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F40397" w14:textId="77777777" w:rsidR="00B178AC" w:rsidRDefault="00B178AC" w:rsidP="00B178AC">
      <w:pPr>
        <w:jc w:val="center"/>
        <w:rPr>
          <w:rFonts w:ascii="Times New Roman" w:hAnsi="Times New Roman" w:cs="Times New Roman"/>
          <w:b/>
          <w:bCs/>
        </w:rPr>
      </w:pPr>
      <w:r>
        <w:rPr>
          <w:noProof/>
        </w:rPr>
        <w:drawing>
          <wp:inline distT="0" distB="0" distL="0" distR="0" wp14:anchorId="5CAF0088" wp14:editId="1DB21F47">
            <wp:extent cx="1187532" cy="1641181"/>
            <wp:effectExtent l="0" t="0" r="0" b="0"/>
            <wp:docPr id="206903299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9032995" name="Picture 1"/>
                    <pic:cNvPicPr>
                      <a:picLocks noChangeAspect="1"/>
                    </pic:cNvPicPr>
                  </pic:nvPicPr>
                  <pic:blipFill>
                    <a:blip r:embed="rId8"/>
                    <a:stretch>
                      <a:fillRect/>
                    </a:stretch>
                  </pic:blipFill>
                  <pic:spPr>
                    <a:xfrm>
                      <a:off x="0" y="0"/>
                      <a:ext cx="1197188" cy="1654526"/>
                    </a:xfrm>
                    <a:prstGeom prst="rect">
                      <a:avLst/>
                    </a:prstGeom>
                  </pic:spPr>
                </pic:pic>
              </a:graphicData>
            </a:graphic>
          </wp:inline>
        </w:drawing>
      </w:r>
    </w:p>
    <w:p w14:paraId="5272E828" w14:textId="77777777" w:rsidR="00B178AC" w:rsidRDefault="00B178AC" w:rsidP="00B178AC">
      <w:pPr>
        <w:jc w:val="center"/>
        <w:rPr>
          <w:rFonts w:ascii="Times New Roman" w:hAnsi="Times New Roman" w:cs="Times New Roman"/>
          <w:b/>
          <w:bCs/>
        </w:rPr>
      </w:pPr>
    </w:p>
    <w:p w14:paraId="602CED37" w14:textId="77777777" w:rsidR="00B178AC" w:rsidRDefault="00B178AC" w:rsidP="00B178AC">
      <w:pPr>
        <w:jc w:val="center"/>
        <w:rPr>
          <w:rFonts w:ascii="Times New Roman" w:hAnsi="Times New Roman" w:cs="Times New Roman"/>
          <w:b/>
          <w:bCs/>
        </w:rPr>
      </w:pPr>
    </w:p>
    <w:p w14:paraId="15816E53" w14:textId="77777777" w:rsidR="00B178AC" w:rsidRDefault="00B178AC" w:rsidP="00B178AC">
      <w:pPr>
        <w:jc w:val="center"/>
        <w:rPr>
          <w:rFonts w:ascii="Times New Roman" w:hAnsi="Times New Roman" w:cs="Times New Roman"/>
          <w:b/>
          <w:bCs/>
        </w:rPr>
      </w:pPr>
    </w:p>
    <w:p w14:paraId="69E20762" w14:textId="77777777" w:rsidR="00B178AC" w:rsidRDefault="00B178AC" w:rsidP="00B178AC">
      <w:pPr>
        <w:jc w:val="center"/>
        <w:rPr>
          <w:rFonts w:ascii="Times New Roman" w:hAnsi="Times New Roman" w:cs="Times New Roman"/>
          <w:b/>
          <w:bCs/>
        </w:rPr>
      </w:pPr>
    </w:p>
    <w:p w14:paraId="3FA80CA5" w14:textId="77777777" w:rsidR="00B178AC" w:rsidRPr="00B178AC" w:rsidRDefault="00B178AC" w:rsidP="00B178AC">
      <w:pPr>
        <w:jc w:val="center"/>
        <w:rPr>
          <w:rFonts w:ascii="Times New Roman" w:hAnsi="Times New Roman" w:cs="Times New Roman"/>
          <w:b/>
          <w:bCs/>
          <w:sz w:val="56"/>
          <w:szCs w:val="48"/>
        </w:rPr>
      </w:pPr>
      <w:r w:rsidRPr="00B178AC">
        <w:rPr>
          <w:rFonts w:ascii="Times New Roman" w:hAnsi="Times New Roman" w:cs="Times New Roman"/>
          <w:b/>
          <w:bCs/>
          <w:sz w:val="56"/>
          <w:szCs w:val="48"/>
        </w:rPr>
        <w:t xml:space="preserve">REPORT </w:t>
      </w:r>
    </w:p>
    <w:p w14:paraId="2ABE3EF2" w14:textId="77777777" w:rsidR="00B178AC" w:rsidRPr="00B178AC" w:rsidRDefault="00B178AC" w:rsidP="00B178AC">
      <w:pPr>
        <w:jc w:val="center"/>
        <w:rPr>
          <w:rFonts w:ascii="Times New Roman" w:hAnsi="Times New Roman" w:cs="Times New Roman"/>
          <w:b/>
          <w:bCs/>
          <w:sz w:val="56"/>
          <w:szCs w:val="48"/>
        </w:rPr>
      </w:pPr>
      <w:r w:rsidRPr="00B178AC">
        <w:rPr>
          <w:rFonts w:ascii="Times New Roman" w:hAnsi="Times New Roman" w:cs="Times New Roman"/>
          <w:b/>
          <w:bCs/>
          <w:sz w:val="56"/>
          <w:szCs w:val="48"/>
        </w:rPr>
        <w:t>OF</w:t>
      </w:r>
    </w:p>
    <w:p w14:paraId="27D2A410" w14:textId="64584E3C" w:rsidR="00B178AC" w:rsidRPr="00B178AC" w:rsidRDefault="00B178AC" w:rsidP="00B178AC">
      <w:pPr>
        <w:jc w:val="center"/>
        <w:rPr>
          <w:rFonts w:ascii="Times New Roman" w:hAnsi="Times New Roman" w:cs="Times New Roman"/>
          <w:b/>
          <w:bCs/>
          <w:sz w:val="56"/>
          <w:szCs w:val="48"/>
        </w:rPr>
      </w:pPr>
      <w:r w:rsidRPr="00B178AC">
        <w:rPr>
          <w:rFonts w:ascii="Times New Roman" w:hAnsi="Times New Roman" w:cs="Times New Roman"/>
          <w:b/>
          <w:bCs/>
          <w:sz w:val="56"/>
          <w:szCs w:val="48"/>
        </w:rPr>
        <w:t>THE FINANCE COMMISSION</w:t>
      </w:r>
    </w:p>
    <w:p w14:paraId="51397C1F" w14:textId="77777777" w:rsidR="00B178AC" w:rsidRPr="00B178AC" w:rsidRDefault="00B178AC" w:rsidP="00B178AC">
      <w:pPr>
        <w:jc w:val="center"/>
        <w:rPr>
          <w:rFonts w:ascii="Times New Roman" w:hAnsi="Times New Roman" w:cs="Times New Roman"/>
          <w:b/>
          <w:bCs/>
          <w:sz w:val="40"/>
          <w:szCs w:val="32"/>
        </w:rPr>
      </w:pPr>
    </w:p>
    <w:p w14:paraId="46B19690" w14:textId="77777777" w:rsidR="00B178AC" w:rsidRDefault="00B178AC" w:rsidP="00B178AC">
      <w:pPr>
        <w:jc w:val="center"/>
        <w:rPr>
          <w:rFonts w:ascii="Times New Roman" w:hAnsi="Times New Roman" w:cs="Times New Roman"/>
          <w:b/>
          <w:bCs/>
        </w:rPr>
      </w:pPr>
    </w:p>
    <w:p w14:paraId="18CDB496" w14:textId="77777777" w:rsidR="00B178AC" w:rsidRDefault="00B178AC" w:rsidP="00B178AC">
      <w:pPr>
        <w:jc w:val="center"/>
        <w:rPr>
          <w:rFonts w:ascii="Times New Roman" w:hAnsi="Times New Roman" w:cs="Times New Roman"/>
          <w:b/>
          <w:bCs/>
        </w:rPr>
      </w:pPr>
    </w:p>
    <w:p w14:paraId="5466993F" w14:textId="77777777" w:rsidR="00B178AC" w:rsidRDefault="00B178AC" w:rsidP="00B178AC">
      <w:pPr>
        <w:jc w:val="center"/>
        <w:rPr>
          <w:rFonts w:ascii="Times New Roman" w:hAnsi="Times New Roman" w:cs="Times New Roman"/>
          <w:b/>
          <w:bCs/>
        </w:rPr>
      </w:pPr>
    </w:p>
    <w:p w14:paraId="6C506DC6" w14:textId="77777777" w:rsidR="00B178AC" w:rsidRDefault="00B178AC" w:rsidP="00B178AC">
      <w:pPr>
        <w:jc w:val="center"/>
        <w:rPr>
          <w:rFonts w:ascii="Times New Roman" w:hAnsi="Times New Roman" w:cs="Times New Roman"/>
          <w:b/>
          <w:bCs/>
        </w:rPr>
      </w:pPr>
    </w:p>
    <w:p w14:paraId="0B859473" w14:textId="77777777" w:rsidR="00B178AC" w:rsidRDefault="00B178AC" w:rsidP="00B178AC">
      <w:pPr>
        <w:jc w:val="center"/>
        <w:rPr>
          <w:rFonts w:ascii="Times New Roman" w:hAnsi="Times New Roman" w:cs="Times New Roman"/>
          <w:b/>
          <w:bCs/>
        </w:rPr>
      </w:pPr>
    </w:p>
    <w:p w14:paraId="7DE02769" w14:textId="77777777" w:rsidR="00B178AC" w:rsidRDefault="00B178AC" w:rsidP="00B178AC">
      <w:pPr>
        <w:jc w:val="center"/>
        <w:rPr>
          <w:rFonts w:ascii="Times New Roman" w:hAnsi="Times New Roman" w:cs="Times New Roman"/>
          <w:b/>
          <w:bCs/>
        </w:rPr>
      </w:pPr>
    </w:p>
    <w:p w14:paraId="21228B31" w14:textId="77777777" w:rsidR="00B178AC" w:rsidRDefault="00B178AC" w:rsidP="00B178AC">
      <w:pPr>
        <w:jc w:val="center"/>
        <w:rPr>
          <w:rFonts w:ascii="Times New Roman" w:hAnsi="Times New Roman" w:cs="Times New Roman"/>
          <w:b/>
          <w:bCs/>
        </w:rPr>
      </w:pPr>
    </w:p>
    <w:p w14:paraId="330F31F7" w14:textId="79A69EE4" w:rsidR="00B178AC" w:rsidRDefault="00B178AC" w:rsidP="00B178AC">
      <w:pPr>
        <w:jc w:val="center"/>
        <w:rPr>
          <w:rFonts w:ascii="Times New Roman" w:hAnsi="Times New Roman" w:cs="Times New Roman"/>
          <w:i/>
          <w:iCs/>
          <w:szCs w:val="20"/>
        </w:rPr>
      </w:pPr>
      <w:r w:rsidRPr="00B178AC">
        <w:rPr>
          <w:rFonts w:ascii="Times New Roman" w:hAnsi="Times New Roman" w:cs="Times New Roman"/>
          <w:b/>
          <w:bCs/>
          <w:sz w:val="56"/>
          <w:szCs w:val="48"/>
        </w:rPr>
        <w:t>1969</w:t>
      </w:r>
      <w:r>
        <w:rPr>
          <w:rFonts w:ascii="Times New Roman" w:hAnsi="Times New Roman" w:cs="Times New Roman"/>
          <w:b/>
          <w:bCs/>
        </w:rPr>
        <w:br w:type="page"/>
      </w:r>
    </w:p>
    <w:p w14:paraId="2CBA4772" w14:textId="0C63042D" w:rsidR="000F7213" w:rsidRPr="008E1321" w:rsidRDefault="000F7213" w:rsidP="000F7213">
      <w:pPr>
        <w:pStyle w:val="Heading1"/>
        <w:numPr>
          <w:ilvl w:val="0"/>
          <w:numId w:val="0"/>
        </w:numPr>
        <w:jc w:val="left"/>
        <w:rPr>
          <w:color w:val="FFFFFF" w:themeColor="background1"/>
          <w:sz w:val="8"/>
          <w:szCs w:val="6"/>
        </w:rPr>
      </w:pPr>
      <w:bookmarkStart w:id="0" w:name="_Toc221115287"/>
      <w:r w:rsidRPr="000F7213">
        <w:rPr>
          <w:color w:val="FFFFFF" w:themeColor="background1"/>
          <w:sz w:val="8"/>
          <w:szCs w:val="6"/>
        </w:rPr>
        <w:lastRenderedPageBreak/>
        <w:t>INDEX</w:t>
      </w:r>
      <w:bookmarkEnd w:id="0"/>
    </w:p>
    <w:p w14:paraId="256F4D69" w14:textId="44233611" w:rsidR="000F7213" w:rsidRPr="008E1321" w:rsidRDefault="000F7213" w:rsidP="000F7213">
      <w:pPr>
        <w:jc w:val="center"/>
        <w:rPr>
          <w:rFonts w:ascii="Times New Roman" w:hAnsi="Times New Roman" w:cs="Times New Roman"/>
          <w:b/>
          <w:bCs/>
        </w:rPr>
      </w:pPr>
      <w:r w:rsidRPr="008E1321">
        <w:rPr>
          <w:rFonts w:ascii="Times New Roman" w:hAnsi="Times New Roman" w:cs="Times New Roman"/>
          <w:b/>
          <w:bCs/>
        </w:rPr>
        <w:t>CONTENTS</w:t>
      </w:r>
    </w:p>
    <w:p w14:paraId="4D4F87D0" w14:textId="4B6ACA28" w:rsidR="00931797" w:rsidRPr="008E1321" w:rsidRDefault="0060494F">
      <w:pPr>
        <w:pStyle w:val="TOC1"/>
        <w:tabs>
          <w:tab w:val="right" w:leader="underscore" w:pos="9350"/>
        </w:tabs>
        <w:rPr>
          <w:rFonts w:ascii="Times New Roman" w:eastAsiaTheme="minorEastAsia" w:hAnsi="Times New Roman" w:cs="Times New Roman"/>
          <w:b w:val="0"/>
          <w:bCs w:val="0"/>
          <w:i w:val="0"/>
          <w:iCs w:val="0"/>
          <w:noProof/>
          <w:szCs w:val="21"/>
          <w:lang w:eastAsia="en-IN"/>
        </w:rPr>
      </w:pPr>
      <w:r w:rsidRPr="008E1321">
        <w:rPr>
          <w:rFonts w:ascii="Times New Roman" w:hAnsi="Times New Roman" w:cs="Times New Roman"/>
          <w:i w:val="0"/>
          <w:iCs w:val="0"/>
        </w:rPr>
        <w:fldChar w:fldCharType="begin"/>
      </w:r>
      <w:r w:rsidRPr="008E1321">
        <w:rPr>
          <w:rFonts w:ascii="Times New Roman" w:hAnsi="Times New Roman" w:cs="Times New Roman"/>
          <w:i w:val="0"/>
          <w:iCs w:val="0"/>
        </w:rPr>
        <w:instrText xml:space="preserve"> TOC \o "1-2" \h \z \u \t "Heading 4,3,Heading 5,4" </w:instrText>
      </w:r>
      <w:r w:rsidRPr="008E1321">
        <w:rPr>
          <w:rFonts w:ascii="Times New Roman" w:hAnsi="Times New Roman" w:cs="Times New Roman"/>
          <w:i w:val="0"/>
          <w:iCs w:val="0"/>
        </w:rPr>
        <w:fldChar w:fldCharType="separate"/>
      </w:r>
      <w:hyperlink w:anchor="_Toc221115287" w:history="1">
        <w:r w:rsidR="00931797" w:rsidRPr="008E1321">
          <w:rPr>
            <w:rStyle w:val="Hyperlink"/>
            <w:rFonts w:ascii="Times New Roman" w:hAnsi="Times New Roman" w:cs="Times New Roman"/>
            <w:i w:val="0"/>
            <w:iCs w:val="0"/>
            <w:noProof/>
          </w:rPr>
          <w:t>INDEX</w:t>
        </w:r>
        <w:r w:rsidR="00931797" w:rsidRPr="008E1321">
          <w:rPr>
            <w:rFonts w:ascii="Times New Roman" w:hAnsi="Times New Roman" w:cs="Times New Roman"/>
            <w:i w:val="0"/>
            <w:iCs w:val="0"/>
            <w:noProof/>
            <w:webHidden/>
          </w:rPr>
          <w:tab/>
        </w:r>
        <w:r w:rsidR="00931797" w:rsidRPr="008E1321">
          <w:rPr>
            <w:rFonts w:ascii="Times New Roman" w:hAnsi="Times New Roman" w:cs="Times New Roman"/>
            <w:i w:val="0"/>
            <w:iCs w:val="0"/>
            <w:noProof/>
            <w:webHidden/>
          </w:rPr>
          <w:fldChar w:fldCharType="begin"/>
        </w:r>
        <w:r w:rsidR="00931797" w:rsidRPr="008E1321">
          <w:rPr>
            <w:rFonts w:ascii="Times New Roman" w:hAnsi="Times New Roman" w:cs="Times New Roman"/>
            <w:i w:val="0"/>
            <w:iCs w:val="0"/>
            <w:noProof/>
            <w:webHidden/>
          </w:rPr>
          <w:instrText xml:space="preserve"> PAGEREF _Toc221115287 \h </w:instrText>
        </w:r>
        <w:r w:rsidR="00931797" w:rsidRPr="008E1321">
          <w:rPr>
            <w:rFonts w:ascii="Times New Roman" w:hAnsi="Times New Roman" w:cs="Times New Roman"/>
            <w:i w:val="0"/>
            <w:iCs w:val="0"/>
            <w:noProof/>
            <w:webHidden/>
          </w:rPr>
        </w:r>
        <w:r w:rsidR="00931797" w:rsidRPr="008E1321">
          <w:rPr>
            <w:rFonts w:ascii="Times New Roman" w:hAnsi="Times New Roman" w:cs="Times New Roman"/>
            <w:i w:val="0"/>
            <w:iCs w:val="0"/>
            <w:noProof/>
            <w:webHidden/>
          </w:rPr>
          <w:fldChar w:fldCharType="separate"/>
        </w:r>
        <w:r w:rsidR="00F70A97">
          <w:rPr>
            <w:rFonts w:ascii="Times New Roman" w:hAnsi="Times New Roman" w:cs="Times New Roman"/>
            <w:i w:val="0"/>
            <w:iCs w:val="0"/>
            <w:noProof/>
            <w:webHidden/>
          </w:rPr>
          <w:t>ii</w:t>
        </w:r>
        <w:r w:rsidR="00931797" w:rsidRPr="008E1321">
          <w:rPr>
            <w:rFonts w:ascii="Times New Roman" w:hAnsi="Times New Roman" w:cs="Times New Roman"/>
            <w:i w:val="0"/>
            <w:iCs w:val="0"/>
            <w:noProof/>
            <w:webHidden/>
          </w:rPr>
          <w:fldChar w:fldCharType="end"/>
        </w:r>
      </w:hyperlink>
    </w:p>
    <w:p w14:paraId="7F1A0EE6" w14:textId="2156854F" w:rsidR="00931797" w:rsidRPr="008E1321" w:rsidRDefault="00931797">
      <w:pPr>
        <w:pStyle w:val="TOC1"/>
        <w:tabs>
          <w:tab w:val="left" w:pos="1440"/>
          <w:tab w:val="right" w:leader="underscore" w:pos="9350"/>
        </w:tabs>
        <w:rPr>
          <w:rFonts w:ascii="Times New Roman" w:eastAsiaTheme="minorEastAsia" w:hAnsi="Times New Roman" w:cs="Times New Roman"/>
          <w:b w:val="0"/>
          <w:bCs w:val="0"/>
          <w:i w:val="0"/>
          <w:iCs w:val="0"/>
          <w:noProof/>
          <w:szCs w:val="21"/>
          <w:lang w:eastAsia="en-IN"/>
        </w:rPr>
      </w:pPr>
      <w:hyperlink w:anchor="_Toc221115288" w:history="1">
        <w:r w:rsidRPr="008E1321">
          <w:rPr>
            <w:rStyle w:val="Hyperlink"/>
            <w:rFonts w:ascii="Times New Roman" w:hAnsi="Times New Roman" w:cs="Times New Roman"/>
            <w:i w:val="0"/>
            <w:iCs w:val="0"/>
            <w:noProof/>
          </w:rPr>
          <w:t>Chapter 1</w:t>
        </w:r>
        <w:r w:rsidRPr="008E1321">
          <w:rPr>
            <w:rFonts w:ascii="Times New Roman" w:eastAsiaTheme="minorEastAsia" w:hAnsi="Times New Roman" w:cs="Times New Roman"/>
            <w:b w:val="0"/>
            <w:bCs w:val="0"/>
            <w:i w:val="0"/>
            <w:iCs w:val="0"/>
            <w:noProof/>
            <w:szCs w:val="21"/>
            <w:lang w:eastAsia="en-IN"/>
          </w:rPr>
          <w:tab/>
        </w:r>
        <w:r w:rsidRPr="008E1321">
          <w:rPr>
            <w:rStyle w:val="Hyperlink"/>
            <w:rFonts w:ascii="Times New Roman" w:hAnsi="Times New Roman" w:cs="Times New Roman"/>
            <w:i w:val="0"/>
            <w:iCs w:val="0"/>
            <w:noProof/>
          </w:rPr>
          <w:t>INTRODUCTORY</w:t>
        </w:r>
        <w:r w:rsidRPr="008E1321">
          <w:rPr>
            <w:rFonts w:ascii="Times New Roman" w:hAnsi="Times New Roman" w:cs="Times New Roman"/>
            <w:i w:val="0"/>
            <w:iCs w:val="0"/>
            <w:noProof/>
            <w:webHidden/>
          </w:rPr>
          <w:tab/>
        </w:r>
        <w:r w:rsidRPr="008E1321">
          <w:rPr>
            <w:rFonts w:ascii="Times New Roman" w:hAnsi="Times New Roman" w:cs="Times New Roman"/>
            <w:i w:val="0"/>
            <w:iCs w:val="0"/>
            <w:noProof/>
            <w:webHidden/>
          </w:rPr>
          <w:fldChar w:fldCharType="begin"/>
        </w:r>
        <w:r w:rsidRPr="008E1321">
          <w:rPr>
            <w:rFonts w:ascii="Times New Roman" w:hAnsi="Times New Roman" w:cs="Times New Roman"/>
            <w:i w:val="0"/>
            <w:iCs w:val="0"/>
            <w:noProof/>
            <w:webHidden/>
          </w:rPr>
          <w:instrText xml:space="preserve"> PAGEREF _Toc221115288 \h </w:instrText>
        </w:r>
        <w:r w:rsidRPr="008E1321">
          <w:rPr>
            <w:rFonts w:ascii="Times New Roman" w:hAnsi="Times New Roman" w:cs="Times New Roman"/>
            <w:i w:val="0"/>
            <w:iCs w:val="0"/>
            <w:noProof/>
            <w:webHidden/>
          </w:rPr>
        </w:r>
        <w:r w:rsidRPr="008E1321">
          <w:rPr>
            <w:rFonts w:ascii="Times New Roman" w:hAnsi="Times New Roman" w:cs="Times New Roman"/>
            <w:i w:val="0"/>
            <w:iCs w:val="0"/>
            <w:noProof/>
            <w:webHidden/>
          </w:rPr>
          <w:fldChar w:fldCharType="separate"/>
        </w:r>
        <w:r w:rsidR="00F70A97">
          <w:rPr>
            <w:rFonts w:ascii="Times New Roman" w:hAnsi="Times New Roman" w:cs="Times New Roman"/>
            <w:i w:val="0"/>
            <w:iCs w:val="0"/>
            <w:noProof/>
            <w:webHidden/>
          </w:rPr>
          <w:t>1</w:t>
        </w:r>
        <w:r w:rsidRPr="008E1321">
          <w:rPr>
            <w:rFonts w:ascii="Times New Roman" w:hAnsi="Times New Roman" w:cs="Times New Roman"/>
            <w:i w:val="0"/>
            <w:iCs w:val="0"/>
            <w:noProof/>
            <w:webHidden/>
          </w:rPr>
          <w:fldChar w:fldCharType="end"/>
        </w:r>
      </w:hyperlink>
    </w:p>
    <w:p w14:paraId="25BA93AE" w14:textId="64814681" w:rsidR="00931797" w:rsidRPr="008E1321" w:rsidRDefault="00931797">
      <w:pPr>
        <w:pStyle w:val="TOC1"/>
        <w:tabs>
          <w:tab w:val="left" w:pos="1440"/>
          <w:tab w:val="right" w:leader="underscore" w:pos="9350"/>
        </w:tabs>
        <w:rPr>
          <w:rFonts w:ascii="Times New Roman" w:eastAsiaTheme="minorEastAsia" w:hAnsi="Times New Roman" w:cs="Times New Roman"/>
          <w:b w:val="0"/>
          <w:bCs w:val="0"/>
          <w:i w:val="0"/>
          <w:iCs w:val="0"/>
          <w:noProof/>
          <w:szCs w:val="21"/>
          <w:lang w:eastAsia="en-IN"/>
        </w:rPr>
      </w:pPr>
      <w:hyperlink w:anchor="_Toc221115289" w:history="1">
        <w:r w:rsidRPr="008E1321">
          <w:rPr>
            <w:rStyle w:val="Hyperlink"/>
            <w:rFonts w:ascii="Times New Roman" w:hAnsi="Times New Roman" w:cs="Times New Roman"/>
            <w:i w:val="0"/>
            <w:iCs w:val="0"/>
            <w:noProof/>
          </w:rPr>
          <w:t>Chapter 2</w:t>
        </w:r>
        <w:r w:rsidRPr="008E1321">
          <w:rPr>
            <w:rFonts w:ascii="Times New Roman" w:eastAsiaTheme="minorEastAsia" w:hAnsi="Times New Roman" w:cs="Times New Roman"/>
            <w:b w:val="0"/>
            <w:bCs w:val="0"/>
            <w:i w:val="0"/>
            <w:iCs w:val="0"/>
            <w:noProof/>
            <w:szCs w:val="21"/>
            <w:lang w:eastAsia="en-IN"/>
          </w:rPr>
          <w:tab/>
        </w:r>
        <w:r w:rsidRPr="008E1321">
          <w:rPr>
            <w:rStyle w:val="Hyperlink"/>
            <w:rFonts w:ascii="Times New Roman" w:hAnsi="Times New Roman" w:cs="Times New Roman"/>
            <w:i w:val="0"/>
            <w:iCs w:val="0"/>
            <w:noProof/>
          </w:rPr>
          <w:t>THE PROBLEMS—OUR APPROACH</w:t>
        </w:r>
        <w:r w:rsidRPr="008E1321">
          <w:rPr>
            <w:rFonts w:ascii="Times New Roman" w:hAnsi="Times New Roman" w:cs="Times New Roman"/>
            <w:i w:val="0"/>
            <w:iCs w:val="0"/>
            <w:noProof/>
            <w:webHidden/>
          </w:rPr>
          <w:tab/>
        </w:r>
        <w:r w:rsidRPr="008E1321">
          <w:rPr>
            <w:rFonts w:ascii="Times New Roman" w:hAnsi="Times New Roman" w:cs="Times New Roman"/>
            <w:i w:val="0"/>
            <w:iCs w:val="0"/>
            <w:noProof/>
            <w:webHidden/>
          </w:rPr>
          <w:fldChar w:fldCharType="begin"/>
        </w:r>
        <w:r w:rsidRPr="008E1321">
          <w:rPr>
            <w:rFonts w:ascii="Times New Roman" w:hAnsi="Times New Roman" w:cs="Times New Roman"/>
            <w:i w:val="0"/>
            <w:iCs w:val="0"/>
            <w:noProof/>
            <w:webHidden/>
          </w:rPr>
          <w:instrText xml:space="preserve"> PAGEREF _Toc221115289 \h </w:instrText>
        </w:r>
        <w:r w:rsidRPr="008E1321">
          <w:rPr>
            <w:rFonts w:ascii="Times New Roman" w:hAnsi="Times New Roman" w:cs="Times New Roman"/>
            <w:i w:val="0"/>
            <w:iCs w:val="0"/>
            <w:noProof/>
            <w:webHidden/>
          </w:rPr>
        </w:r>
        <w:r w:rsidRPr="008E1321">
          <w:rPr>
            <w:rFonts w:ascii="Times New Roman" w:hAnsi="Times New Roman" w:cs="Times New Roman"/>
            <w:i w:val="0"/>
            <w:iCs w:val="0"/>
            <w:noProof/>
            <w:webHidden/>
          </w:rPr>
          <w:fldChar w:fldCharType="separate"/>
        </w:r>
        <w:r w:rsidR="00F70A97">
          <w:rPr>
            <w:rFonts w:ascii="Times New Roman" w:hAnsi="Times New Roman" w:cs="Times New Roman"/>
            <w:i w:val="0"/>
            <w:iCs w:val="0"/>
            <w:noProof/>
            <w:webHidden/>
          </w:rPr>
          <w:t>8</w:t>
        </w:r>
        <w:r w:rsidRPr="008E1321">
          <w:rPr>
            <w:rFonts w:ascii="Times New Roman" w:hAnsi="Times New Roman" w:cs="Times New Roman"/>
            <w:i w:val="0"/>
            <w:iCs w:val="0"/>
            <w:noProof/>
            <w:webHidden/>
          </w:rPr>
          <w:fldChar w:fldCharType="end"/>
        </w:r>
      </w:hyperlink>
    </w:p>
    <w:p w14:paraId="01C03316" w14:textId="511C9416" w:rsidR="00931797" w:rsidRPr="008E1321" w:rsidRDefault="00931797">
      <w:pPr>
        <w:pStyle w:val="TOC1"/>
        <w:tabs>
          <w:tab w:val="left" w:pos="1440"/>
          <w:tab w:val="right" w:leader="underscore" w:pos="9350"/>
        </w:tabs>
        <w:rPr>
          <w:rFonts w:ascii="Times New Roman" w:eastAsiaTheme="minorEastAsia" w:hAnsi="Times New Roman" w:cs="Times New Roman"/>
          <w:b w:val="0"/>
          <w:bCs w:val="0"/>
          <w:i w:val="0"/>
          <w:iCs w:val="0"/>
          <w:noProof/>
          <w:szCs w:val="21"/>
          <w:lang w:eastAsia="en-IN"/>
        </w:rPr>
      </w:pPr>
      <w:hyperlink w:anchor="_Toc221115290" w:history="1">
        <w:r w:rsidRPr="008E1321">
          <w:rPr>
            <w:rStyle w:val="Hyperlink"/>
            <w:rFonts w:ascii="Times New Roman" w:hAnsi="Times New Roman" w:cs="Times New Roman"/>
            <w:i w:val="0"/>
            <w:iCs w:val="0"/>
            <w:noProof/>
          </w:rPr>
          <w:t>Chapter 3</w:t>
        </w:r>
        <w:r w:rsidRPr="008E1321">
          <w:rPr>
            <w:rFonts w:ascii="Times New Roman" w:eastAsiaTheme="minorEastAsia" w:hAnsi="Times New Roman" w:cs="Times New Roman"/>
            <w:b w:val="0"/>
            <w:bCs w:val="0"/>
            <w:i w:val="0"/>
            <w:iCs w:val="0"/>
            <w:noProof/>
            <w:szCs w:val="21"/>
            <w:lang w:eastAsia="en-IN"/>
          </w:rPr>
          <w:tab/>
        </w:r>
        <w:r w:rsidRPr="008E1321">
          <w:rPr>
            <w:rStyle w:val="Hyperlink"/>
            <w:rFonts w:ascii="Times New Roman" w:hAnsi="Times New Roman" w:cs="Times New Roman"/>
            <w:i w:val="0"/>
            <w:iCs w:val="0"/>
            <w:noProof/>
          </w:rPr>
          <w:t>INCOME-TAX</w:t>
        </w:r>
        <w:r w:rsidRPr="008E1321">
          <w:rPr>
            <w:rFonts w:ascii="Times New Roman" w:hAnsi="Times New Roman" w:cs="Times New Roman"/>
            <w:i w:val="0"/>
            <w:iCs w:val="0"/>
            <w:noProof/>
            <w:webHidden/>
          </w:rPr>
          <w:tab/>
        </w:r>
        <w:r w:rsidRPr="008E1321">
          <w:rPr>
            <w:rFonts w:ascii="Times New Roman" w:hAnsi="Times New Roman" w:cs="Times New Roman"/>
            <w:i w:val="0"/>
            <w:iCs w:val="0"/>
            <w:noProof/>
            <w:webHidden/>
          </w:rPr>
          <w:fldChar w:fldCharType="begin"/>
        </w:r>
        <w:r w:rsidRPr="008E1321">
          <w:rPr>
            <w:rFonts w:ascii="Times New Roman" w:hAnsi="Times New Roman" w:cs="Times New Roman"/>
            <w:i w:val="0"/>
            <w:iCs w:val="0"/>
            <w:noProof/>
            <w:webHidden/>
          </w:rPr>
          <w:instrText xml:space="preserve"> PAGEREF _Toc221115290 \h </w:instrText>
        </w:r>
        <w:r w:rsidRPr="008E1321">
          <w:rPr>
            <w:rFonts w:ascii="Times New Roman" w:hAnsi="Times New Roman" w:cs="Times New Roman"/>
            <w:i w:val="0"/>
            <w:iCs w:val="0"/>
            <w:noProof/>
            <w:webHidden/>
          </w:rPr>
        </w:r>
        <w:r w:rsidRPr="008E1321">
          <w:rPr>
            <w:rFonts w:ascii="Times New Roman" w:hAnsi="Times New Roman" w:cs="Times New Roman"/>
            <w:i w:val="0"/>
            <w:iCs w:val="0"/>
            <w:noProof/>
            <w:webHidden/>
          </w:rPr>
          <w:fldChar w:fldCharType="separate"/>
        </w:r>
        <w:r w:rsidR="00F70A97">
          <w:rPr>
            <w:rFonts w:ascii="Times New Roman" w:hAnsi="Times New Roman" w:cs="Times New Roman"/>
            <w:i w:val="0"/>
            <w:iCs w:val="0"/>
            <w:noProof/>
            <w:webHidden/>
          </w:rPr>
          <w:t>19</w:t>
        </w:r>
        <w:r w:rsidRPr="008E1321">
          <w:rPr>
            <w:rFonts w:ascii="Times New Roman" w:hAnsi="Times New Roman" w:cs="Times New Roman"/>
            <w:i w:val="0"/>
            <w:iCs w:val="0"/>
            <w:noProof/>
            <w:webHidden/>
          </w:rPr>
          <w:fldChar w:fldCharType="end"/>
        </w:r>
      </w:hyperlink>
    </w:p>
    <w:p w14:paraId="4574814C" w14:textId="0D361FC8" w:rsidR="00931797" w:rsidRPr="008E1321" w:rsidRDefault="00931797">
      <w:pPr>
        <w:pStyle w:val="TOC1"/>
        <w:tabs>
          <w:tab w:val="left" w:pos="1440"/>
          <w:tab w:val="right" w:leader="underscore" w:pos="9350"/>
        </w:tabs>
        <w:rPr>
          <w:rFonts w:ascii="Times New Roman" w:eastAsiaTheme="minorEastAsia" w:hAnsi="Times New Roman" w:cs="Times New Roman"/>
          <w:b w:val="0"/>
          <w:bCs w:val="0"/>
          <w:i w:val="0"/>
          <w:iCs w:val="0"/>
          <w:noProof/>
          <w:szCs w:val="21"/>
          <w:lang w:eastAsia="en-IN"/>
        </w:rPr>
      </w:pPr>
      <w:hyperlink w:anchor="_Toc221115291" w:history="1">
        <w:r w:rsidRPr="008E1321">
          <w:rPr>
            <w:rStyle w:val="Hyperlink"/>
            <w:rFonts w:ascii="Times New Roman" w:hAnsi="Times New Roman" w:cs="Times New Roman"/>
            <w:i w:val="0"/>
            <w:iCs w:val="0"/>
            <w:noProof/>
          </w:rPr>
          <w:t>Chapter 4</w:t>
        </w:r>
        <w:r w:rsidRPr="008E1321">
          <w:rPr>
            <w:rFonts w:ascii="Times New Roman" w:eastAsiaTheme="minorEastAsia" w:hAnsi="Times New Roman" w:cs="Times New Roman"/>
            <w:b w:val="0"/>
            <w:bCs w:val="0"/>
            <w:i w:val="0"/>
            <w:iCs w:val="0"/>
            <w:noProof/>
            <w:szCs w:val="21"/>
            <w:lang w:eastAsia="en-IN"/>
          </w:rPr>
          <w:tab/>
        </w:r>
        <w:r w:rsidRPr="008E1321">
          <w:rPr>
            <w:rStyle w:val="Hyperlink"/>
            <w:rFonts w:ascii="Times New Roman" w:hAnsi="Times New Roman" w:cs="Times New Roman"/>
            <w:i w:val="0"/>
            <w:iCs w:val="0"/>
            <w:noProof/>
          </w:rPr>
          <w:t>UNION EXCISE DUTIES</w:t>
        </w:r>
        <w:r w:rsidRPr="008E1321">
          <w:rPr>
            <w:rFonts w:ascii="Times New Roman" w:hAnsi="Times New Roman" w:cs="Times New Roman"/>
            <w:i w:val="0"/>
            <w:iCs w:val="0"/>
            <w:noProof/>
            <w:webHidden/>
          </w:rPr>
          <w:tab/>
        </w:r>
        <w:r w:rsidRPr="008E1321">
          <w:rPr>
            <w:rFonts w:ascii="Times New Roman" w:hAnsi="Times New Roman" w:cs="Times New Roman"/>
            <w:i w:val="0"/>
            <w:iCs w:val="0"/>
            <w:noProof/>
            <w:webHidden/>
          </w:rPr>
          <w:fldChar w:fldCharType="begin"/>
        </w:r>
        <w:r w:rsidRPr="008E1321">
          <w:rPr>
            <w:rFonts w:ascii="Times New Roman" w:hAnsi="Times New Roman" w:cs="Times New Roman"/>
            <w:i w:val="0"/>
            <w:iCs w:val="0"/>
            <w:noProof/>
            <w:webHidden/>
          </w:rPr>
          <w:instrText xml:space="preserve"> PAGEREF _Toc221115291 \h </w:instrText>
        </w:r>
        <w:r w:rsidRPr="008E1321">
          <w:rPr>
            <w:rFonts w:ascii="Times New Roman" w:hAnsi="Times New Roman" w:cs="Times New Roman"/>
            <w:i w:val="0"/>
            <w:iCs w:val="0"/>
            <w:noProof/>
            <w:webHidden/>
          </w:rPr>
        </w:r>
        <w:r w:rsidRPr="008E1321">
          <w:rPr>
            <w:rFonts w:ascii="Times New Roman" w:hAnsi="Times New Roman" w:cs="Times New Roman"/>
            <w:i w:val="0"/>
            <w:iCs w:val="0"/>
            <w:noProof/>
            <w:webHidden/>
          </w:rPr>
          <w:fldChar w:fldCharType="separate"/>
        </w:r>
        <w:r w:rsidR="00F70A97">
          <w:rPr>
            <w:rFonts w:ascii="Times New Roman" w:hAnsi="Times New Roman" w:cs="Times New Roman"/>
            <w:i w:val="0"/>
            <w:iCs w:val="0"/>
            <w:noProof/>
            <w:webHidden/>
          </w:rPr>
          <w:t>31</w:t>
        </w:r>
        <w:r w:rsidRPr="008E1321">
          <w:rPr>
            <w:rFonts w:ascii="Times New Roman" w:hAnsi="Times New Roman" w:cs="Times New Roman"/>
            <w:i w:val="0"/>
            <w:iCs w:val="0"/>
            <w:noProof/>
            <w:webHidden/>
          </w:rPr>
          <w:fldChar w:fldCharType="end"/>
        </w:r>
      </w:hyperlink>
    </w:p>
    <w:p w14:paraId="21912432" w14:textId="477B3A7E" w:rsidR="00931797" w:rsidRPr="008E1321" w:rsidRDefault="00931797">
      <w:pPr>
        <w:pStyle w:val="TOC1"/>
        <w:tabs>
          <w:tab w:val="left" w:pos="1440"/>
          <w:tab w:val="right" w:leader="underscore" w:pos="9350"/>
        </w:tabs>
        <w:rPr>
          <w:rFonts w:ascii="Times New Roman" w:eastAsiaTheme="minorEastAsia" w:hAnsi="Times New Roman" w:cs="Times New Roman"/>
          <w:b w:val="0"/>
          <w:bCs w:val="0"/>
          <w:i w:val="0"/>
          <w:iCs w:val="0"/>
          <w:noProof/>
          <w:szCs w:val="21"/>
          <w:lang w:eastAsia="en-IN"/>
        </w:rPr>
      </w:pPr>
      <w:hyperlink w:anchor="_Toc221115292" w:history="1">
        <w:r w:rsidRPr="008E1321">
          <w:rPr>
            <w:rStyle w:val="Hyperlink"/>
            <w:rFonts w:ascii="Times New Roman" w:hAnsi="Times New Roman" w:cs="Times New Roman"/>
            <w:i w:val="0"/>
            <w:iCs w:val="0"/>
            <w:noProof/>
          </w:rPr>
          <w:t>Chapter 5</w:t>
        </w:r>
        <w:r w:rsidRPr="008E1321">
          <w:rPr>
            <w:rFonts w:ascii="Times New Roman" w:eastAsiaTheme="minorEastAsia" w:hAnsi="Times New Roman" w:cs="Times New Roman"/>
            <w:b w:val="0"/>
            <w:bCs w:val="0"/>
            <w:i w:val="0"/>
            <w:iCs w:val="0"/>
            <w:noProof/>
            <w:szCs w:val="21"/>
            <w:lang w:eastAsia="en-IN"/>
          </w:rPr>
          <w:tab/>
        </w:r>
        <w:r w:rsidRPr="008E1321">
          <w:rPr>
            <w:rStyle w:val="Hyperlink"/>
            <w:rFonts w:ascii="Times New Roman" w:hAnsi="Times New Roman" w:cs="Times New Roman"/>
            <w:i w:val="0"/>
            <w:iCs w:val="0"/>
            <w:noProof/>
          </w:rPr>
          <w:t>ADDITIONAL DUTIES OF EXCISE</w:t>
        </w:r>
        <w:r w:rsidRPr="008E1321">
          <w:rPr>
            <w:rFonts w:ascii="Times New Roman" w:hAnsi="Times New Roman" w:cs="Times New Roman"/>
            <w:i w:val="0"/>
            <w:iCs w:val="0"/>
            <w:noProof/>
            <w:webHidden/>
          </w:rPr>
          <w:tab/>
        </w:r>
        <w:r w:rsidRPr="008E1321">
          <w:rPr>
            <w:rFonts w:ascii="Times New Roman" w:hAnsi="Times New Roman" w:cs="Times New Roman"/>
            <w:i w:val="0"/>
            <w:iCs w:val="0"/>
            <w:noProof/>
            <w:webHidden/>
          </w:rPr>
          <w:fldChar w:fldCharType="begin"/>
        </w:r>
        <w:r w:rsidRPr="008E1321">
          <w:rPr>
            <w:rFonts w:ascii="Times New Roman" w:hAnsi="Times New Roman" w:cs="Times New Roman"/>
            <w:i w:val="0"/>
            <w:iCs w:val="0"/>
            <w:noProof/>
            <w:webHidden/>
          </w:rPr>
          <w:instrText xml:space="preserve"> PAGEREF _Toc221115292 \h </w:instrText>
        </w:r>
        <w:r w:rsidRPr="008E1321">
          <w:rPr>
            <w:rFonts w:ascii="Times New Roman" w:hAnsi="Times New Roman" w:cs="Times New Roman"/>
            <w:i w:val="0"/>
            <w:iCs w:val="0"/>
            <w:noProof/>
            <w:webHidden/>
          </w:rPr>
        </w:r>
        <w:r w:rsidRPr="008E1321">
          <w:rPr>
            <w:rFonts w:ascii="Times New Roman" w:hAnsi="Times New Roman" w:cs="Times New Roman"/>
            <w:i w:val="0"/>
            <w:iCs w:val="0"/>
            <w:noProof/>
            <w:webHidden/>
          </w:rPr>
          <w:fldChar w:fldCharType="separate"/>
        </w:r>
        <w:r w:rsidR="00F70A97">
          <w:rPr>
            <w:rFonts w:ascii="Times New Roman" w:hAnsi="Times New Roman" w:cs="Times New Roman"/>
            <w:i w:val="0"/>
            <w:iCs w:val="0"/>
            <w:noProof/>
            <w:webHidden/>
          </w:rPr>
          <w:t>38</w:t>
        </w:r>
        <w:r w:rsidRPr="008E1321">
          <w:rPr>
            <w:rFonts w:ascii="Times New Roman" w:hAnsi="Times New Roman" w:cs="Times New Roman"/>
            <w:i w:val="0"/>
            <w:iCs w:val="0"/>
            <w:noProof/>
            <w:webHidden/>
          </w:rPr>
          <w:fldChar w:fldCharType="end"/>
        </w:r>
      </w:hyperlink>
    </w:p>
    <w:p w14:paraId="582645A3" w14:textId="0CC5FD47" w:rsidR="00931797" w:rsidRPr="008E1321" w:rsidRDefault="00931797">
      <w:pPr>
        <w:pStyle w:val="TOC1"/>
        <w:tabs>
          <w:tab w:val="left" w:pos="1440"/>
          <w:tab w:val="right" w:leader="underscore" w:pos="9350"/>
        </w:tabs>
        <w:rPr>
          <w:rFonts w:ascii="Times New Roman" w:eastAsiaTheme="minorEastAsia" w:hAnsi="Times New Roman" w:cs="Times New Roman"/>
          <w:b w:val="0"/>
          <w:bCs w:val="0"/>
          <w:i w:val="0"/>
          <w:iCs w:val="0"/>
          <w:noProof/>
          <w:szCs w:val="21"/>
          <w:lang w:eastAsia="en-IN"/>
        </w:rPr>
      </w:pPr>
      <w:hyperlink w:anchor="_Toc221115293" w:history="1">
        <w:r w:rsidRPr="008E1321">
          <w:rPr>
            <w:rStyle w:val="Hyperlink"/>
            <w:rFonts w:ascii="Times New Roman" w:hAnsi="Times New Roman" w:cs="Times New Roman"/>
            <w:i w:val="0"/>
            <w:iCs w:val="0"/>
            <w:noProof/>
          </w:rPr>
          <w:t>Chapter 6</w:t>
        </w:r>
        <w:r w:rsidRPr="008E1321">
          <w:rPr>
            <w:rFonts w:ascii="Times New Roman" w:eastAsiaTheme="minorEastAsia" w:hAnsi="Times New Roman" w:cs="Times New Roman"/>
            <w:b w:val="0"/>
            <w:bCs w:val="0"/>
            <w:i w:val="0"/>
            <w:iCs w:val="0"/>
            <w:noProof/>
            <w:szCs w:val="21"/>
            <w:lang w:eastAsia="en-IN"/>
          </w:rPr>
          <w:tab/>
        </w:r>
        <w:r w:rsidRPr="008E1321">
          <w:rPr>
            <w:rStyle w:val="Hyperlink"/>
            <w:rFonts w:ascii="Times New Roman" w:hAnsi="Times New Roman" w:cs="Times New Roman"/>
            <w:i w:val="0"/>
            <w:iCs w:val="0"/>
            <w:noProof/>
          </w:rPr>
          <w:t>GRANTS-IN-AID UNDER ARTICLE 275 OF THE CONSTITUTION</w:t>
        </w:r>
        <w:r w:rsidRPr="008E1321">
          <w:rPr>
            <w:rFonts w:ascii="Times New Roman" w:hAnsi="Times New Roman" w:cs="Times New Roman"/>
            <w:i w:val="0"/>
            <w:iCs w:val="0"/>
            <w:noProof/>
            <w:webHidden/>
          </w:rPr>
          <w:tab/>
        </w:r>
        <w:r w:rsidRPr="008E1321">
          <w:rPr>
            <w:rFonts w:ascii="Times New Roman" w:hAnsi="Times New Roman" w:cs="Times New Roman"/>
            <w:i w:val="0"/>
            <w:iCs w:val="0"/>
            <w:noProof/>
            <w:webHidden/>
          </w:rPr>
          <w:fldChar w:fldCharType="begin"/>
        </w:r>
        <w:r w:rsidRPr="008E1321">
          <w:rPr>
            <w:rFonts w:ascii="Times New Roman" w:hAnsi="Times New Roman" w:cs="Times New Roman"/>
            <w:i w:val="0"/>
            <w:iCs w:val="0"/>
            <w:noProof/>
            <w:webHidden/>
          </w:rPr>
          <w:instrText xml:space="preserve"> PAGEREF _Toc221115293 \h </w:instrText>
        </w:r>
        <w:r w:rsidRPr="008E1321">
          <w:rPr>
            <w:rFonts w:ascii="Times New Roman" w:hAnsi="Times New Roman" w:cs="Times New Roman"/>
            <w:i w:val="0"/>
            <w:iCs w:val="0"/>
            <w:noProof/>
            <w:webHidden/>
          </w:rPr>
        </w:r>
        <w:r w:rsidRPr="008E1321">
          <w:rPr>
            <w:rFonts w:ascii="Times New Roman" w:hAnsi="Times New Roman" w:cs="Times New Roman"/>
            <w:i w:val="0"/>
            <w:iCs w:val="0"/>
            <w:noProof/>
            <w:webHidden/>
          </w:rPr>
          <w:fldChar w:fldCharType="separate"/>
        </w:r>
        <w:r w:rsidR="00F70A97">
          <w:rPr>
            <w:rFonts w:ascii="Times New Roman" w:hAnsi="Times New Roman" w:cs="Times New Roman"/>
            <w:i w:val="0"/>
            <w:iCs w:val="0"/>
            <w:noProof/>
            <w:webHidden/>
          </w:rPr>
          <w:t>47</w:t>
        </w:r>
        <w:r w:rsidRPr="008E1321">
          <w:rPr>
            <w:rFonts w:ascii="Times New Roman" w:hAnsi="Times New Roman" w:cs="Times New Roman"/>
            <w:i w:val="0"/>
            <w:iCs w:val="0"/>
            <w:noProof/>
            <w:webHidden/>
          </w:rPr>
          <w:fldChar w:fldCharType="end"/>
        </w:r>
      </w:hyperlink>
    </w:p>
    <w:p w14:paraId="4F4A7640" w14:textId="5FCF67B4" w:rsidR="00931797" w:rsidRPr="008E1321" w:rsidRDefault="00931797">
      <w:pPr>
        <w:pStyle w:val="TOC1"/>
        <w:tabs>
          <w:tab w:val="left" w:pos="1440"/>
          <w:tab w:val="right" w:leader="underscore" w:pos="9350"/>
        </w:tabs>
        <w:rPr>
          <w:rFonts w:ascii="Times New Roman" w:eastAsiaTheme="minorEastAsia" w:hAnsi="Times New Roman" w:cs="Times New Roman"/>
          <w:b w:val="0"/>
          <w:bCs w:val="0"/>
          <w:i w:val="0"/>
          <w:iCs w:val="0"/>
          <w:noProof/>
          <w:szCs w:val="21"/>
          <w:lang w:eastAsia="en-IN"/>
        </w:rPr>
      </w:pPr>
      <w:hyperlink w:anchor="_Toc221115294" w:history="1">
        <w:r w:rsidRPr="008E1321">
          <w:rPr>
            <w:rStyle w:val="Hyperlink"/>
            <w:rFonts w:ascii="Times New Roman" w:hAnsi="Times New Roman" w:cs="Times New Roman"/>
            <w:i w:val="0"/>
            <w:iCs w:val="0"/>
            <w:noProof/>
          </w:rPr>
          <w:t>Chapter 7</w:t>
        </w:r>
        <w:r w:rsidRPr="008E1321">
          <w:rPr>
            <w:rFonts w:ascii="Times New Roman" w:eastAsiaTheme="minorEastAsia" w:hAnsi="Times New Roman" w:cs="Times New Roman"/>
            <w:b w:val="0"/>
            <w:bCs w:val="0"/>
            <w:i w:val="0"/>
            <w:iCs w:val="0"/>
            <w:noProof/>
            <w:szCs w:val="21"/>
            <w:lang w:eastAsia="en-IN"/>
          </w:rPr>
          <w:tab/>
        </w:r>
        <w:r w:rsidRPr="008E1321">
          <w:rPr>
            <w:rStyle w:val="Hyperlink"/>
            <w:rFonts w:ascii="Times New Roman" w:hAnsi="Times New Roman" w:cs="Times New Roman"/>
            <w:i w:val="0"/>
            <w:iCs w:val="0"/>
            <w:noProof/>
          </w:rPr>
          <w:t>TAXES AND DUTIES UNDER ARTICLE 269 OF THE CONSTITUTION</w:t>
        </w:r>
        <w:r w:rsidRPr="008E1321">
          <w:rPr>
            <w:rFonts w:ascii="Times New Roman" w:hAnsi="Times New Roman" w:cs="Times New Roman"/>
            <w:i w:val="0"/>
            <w:iCs w:val="0"/>
            <w:noProof/>
            <w:webHidden/>
          </w:rPr>
          <w:tab/>
        </w:r>
        <w:r w:rsidRPr="008E1321">
          <w:rPr>
            <w:rFonts w:ascii="Times New Roman" w:hAnsi="Times New Roman" w:cs="Times New Roman"/>
            <w:i w:val="0"/>
            <w:iCs w:val="0"/>
            <w:noProof/>
            <w:webHidden/>
          </w:rPr>
          <w:fldChar w:fldCharType="begin"/>
        </w:r>
        <w:r w:rsidRPr="008E1321">
          <w:rPr>
            <w:rFonts w:ascii="Times New Roman" w:hAnsi="Times New Roman" w:cs="Times New Roman"/>
            <w:i w:val="0"/>
            <w:iCs w:val="0"/>
            <w:noProof/>
            <w:webHidden/>
          </w:rPr>
          <w:instrText xml:space="preserve"> PAGEREF _Toc221115294 \h </w:instrText>
        </w:r>
        <w:r w:rsidRPr="008E1321">
          <w:rPr>
            <w:rFonts w:ascii="Times New Roman" w:hAnsi="Times New Roman" w:cs="Times New Roman"/>
            <w:i w:val="0"/>
            <w:iCs w:val="0"/>
            <w:noProof/>
            <w:webHidden/>
          </w:rPr>
        </w:r>
        <w:r w:rsidRPr="008E1321">
          <w:rPr>
            <w:rFonts w:ascii="Times New Roman" w:hAnsi="Times New Roman" w:cs="Times New Roman"/>
            <w:i w:val="0"/>
            <w:iCs w:val="0"/>
            <w:noProof/>
            <w:webHidden/>
          </w:rPr>
          <w:fldChar w:fldCharType="separate"/>
        </w:r>
        <w:r w:rsidR="00F70A97">
          <w:rPr>
            <w:rFonts w:ascii="Times New Roman" w:hAnsi="Times New Roman" w:cs="Times New Roman"/>
            <w:i w:val="0"/>
            <w:iCs w:val="0"/>
            <w:noProof/>
            <w:webHidden/>
          </w:rPr>
          <w:t>67</w:t>
        </w:r>
        <w:r w:rsidRPr="008E1321">
          <w:rPr>
            <w:rFonts w:ascii="Times New Roman" w:hAnsi="Times New Roman" w:cs="Times New Roman"/>
            <w:i w:val="0"/>
            <w:iCs w:val="0"/>
            <w:noProof/>
            <w:webHidden/>
          </w:rPr>
          <w:fldChar w:fldCharType="end"/>
        </w:r>
      </w:hyperlink>
    </w:p>
    <w:p w14:paraId="76A74EA3" w14:textId="147FE693" w:rsidR="00931797" w:rsidRPr="008E1321" w:rsidRDefault="00931797">
      <w:pPr>
        <w:pStyle w:val="TOC1"/>
        <w:tabs>
          <w:tab w:val="left" w:pos="1440"/>
          <w:tab w:val="right" w:leader="underscore" w:pos="9350"/>
        </w:tabs>
        <w:rPr>
          <w:rFonts w:ascii="Times New Roman" w:eastAsiaTheme="minorEastAsia" w:hAnsi="Times New Roman" w:cs="Times New Roman"/>
          <w:b w:val="0"/>
          <w:bCs w:val="0"/>
          <w:i w:val="0"/>
          <w:iCs w:val="0"/>
          <w:noProof/>
          <w:szCs w:val="21"/>
          <w:lang w:eastAsia="en-IN"/>
        </w:rPr>
      </w:pPr>
      <w:hyperlink w:anchor="_Toc221115295" w:history="1">
        <w:r w:rsidRPr="008E1321">
          <w:rPr>
            <w:rStyle w:val="Hyperlink"/>
            <w:rFonts w:ascii="Times New Roman" w:hAnsi="Times New Roman" w:cs="Times New Roman"/>
            <w:i w:val="0"/>
            <w:iCs w:val="0"/>
            <w:noProof/>
          </w:rPr>
          <w:t>Chapter 8</w:t>
        </w:r>
        <w:r w:rsidRPr="008E1321">
          <w:rPr>
            <w:rFonts w:ascii="Times New Roman" w:eastAsiaTheme="minorEastAsia" w:hAnsi="Times New Roman" w:cs="Times New Roman"/>
            <w:b w:val="0"/>
            <w:bCs w:val="0"/>
            <w:i w:val="0"/>
            <w:iCs w:val="0"/>
            <w:noProof/>
            <w:szCs w:val="21"/>
            <w:lang w:eastAsia="en-IN"/>
          </w:rPr>
          <w:tab/>
        </w:r>
        <w:r w:rsidRPr="008E1321">
          <w:rPr>
            <w:rStyle w:val="Hyperlink"/>
            <w:rFonts w:ascii="Times New Roman" w:hAnsi="Times New Roman" w:cs="Times New Roman"/>
            <w:i w:val="0"/>
            <w:iCs w:val="0"/>
            <w:noProof/>
          </w:rPr>
          <w:t>SCOPE FOR ADDITIONAL REVENUE</w:t>
        </w:r>
        <w:r w:rsidRPr="008E1321">
          <w:rPr>
            <w:rFonts w:ascii="Times New Roman" w:hAnsi="Times New Roman" w:cs="Times New Roman"/>
            <w:i w:val="0"/>
            <w:iCs w:val="0"/>
            <w:noProof/>
            <w:webHidden/>
          </w:rPr>
          <w:tab/>
        </w:r>
        <w:r w:rsidRPr="008E1321">
          <w:rPr>
            <w:rFonts w:ascii="Times New Roman" w:hAnsi="Times New Roman" w:cs="Times New Roman"/>
            <w:i w:val="0"/>
            <w:iCs w:val="0"/>
            <w:noProof/>
            <w:webHidden/>
          </w:rPr>
          <w:fldChar w:fldCharType="begin"/>
        </w:r>
        <w:r w:rsidRPr="008E1321">
          <w:rPr>
            <w:rFonts w:ascii="Times New Roman" w:hAnsi="Times New Roman" w:cs="Times New Roman"/>
            <w:i w:val="0"/>
            <w:iCs w:val="0"/>
            <w:noProof/>
            <w:webHidden/>
          </w:rPr>
          <w:instrText xml:space="preserve"> PAGEREF _Toc221115295 \h </w:instrText>
        </w:r>
        <w:r w:rsidRPr="008E1321">
          <w:rPr>
            <w:rFonts w:ascii="Times New Roman" w:hAnsi="Times New Roman" w:cs="Times New Roman"/>
            <w:i w:val="0"/>
            <w:iCs w:val="0"/>
            <w:noProof/>
            <w:webHidden/>
          </w:rPr>
        </w:r>
        <w:r w:rsidRPr="008E1321">
          <w:rPr>
            <w:rFonts w:ascii="Times New Roman" w:hAnsi="Times New Roman" w:cs="Times New Roman"/>
            <w:i w:val="0"/>
            <w:iCs w:val="0"/>
            <w:noProof/>
            <w:webHidden/>
          </w:rPr>
          <w:fldChar w:fldCharType="separate"/>
        </w:r>
        <w:r w:rsidR="00F70A97">
          <w:rPr>
            <w:rFonts w:ascii="Times New Roman" w:hAnsi="Times New Roman" w:cs="Times New Roman"/>
            <w:i w:val="0"/>
            <w:iCs w:val="0"/>
            <w:noProof/>
            <w:webHidden/>
          </w:rPr>
          <w:t>80</w:t>
        </w:r>
        <w:r w:rsidRPr="008E1321">
          <w:rPr>
            <w:rFonts w:ascii="Times New Roman" w:hAnsi="Times New Roman" w:cs="Times New Roman"/>
            <w:i w:val="0"/>
            <w:iCs w:val="0"/>
            <w:noProof/>
            <w:webHidden/>
          </w:rPr>
          <w:fldChar w:fldCharType="end"/>
        </w:r>
      </w:hyperlink>
    </w:p>
    <w:p w14:paraId="0B80B7CF" w14:textId="3D0C3823" w:rsidR="00931797" w:rsidRPr="008E1321" w:rsidRDefault="00931797">
      <w:pPr>
        <w:pStyle w:val="TOC1"/>
        <w:tabs>
          <w:tab w:val="left" w:pos="1440"/>
          <w:tab w:val="right" w:leader="underscore" w:pos="9350"/>
        </w:tabs>
        <w:rPr>
          <w:rFonts w:ascii="Times New Roman" w:eastAsiaTheme="minorEastAsia" w:hAnsi="Times New Roman" w:cs="Times New Roman"/>
          <w:b w:val="0"/>
          <w:bCs w:val="0"/>
          <w:i w:val="0"/>
          <w:iCs w:val="0"/>
          <w:noProof/>
          <w:szCs w:val="21"/>
          <w:lang w:eastAsia="en-IN"/>
        </w:rPr>
      </w:pPr>
      <w:hyperlink w:anchor="_Toc221115296" w:history="1">
        <w:r w:rsidRPr="008E1321">
          <w:rPr>
            <w:rStyle w:val="Hyperlink"/>
            <w:rFonts w:ascii="Times New Roman" w:hAnsi="Times New Roman" w:cs="Times New Roman"/>
            <w:i w:val="0"/>
            <w:iCs w:val="0"/>
            <w:noProof/>
          </w:rPr>
          <w:t>Chapter 9</w:t>
        </w:r>
        <w:r w:rsidRPr="008E1321">
          <w:rPr>
            <w:rFonts w:ascii="Times New Roman" w:eastAsiaTheme="minorEastAsia" w:hAnsi="Times New Roman" w:cs="Times New Roman"/>
            <w:b w:val="0"/>
            <w:bCs w:val="0"/>
            <w:i w:val="0"/>
            <w:iCs w:val="0"/>
            <w:noProof/>
            <w:szCs w:val="21"/>
            <w:lang w:eastAsia="en-IN"/>
          </w:rPr>
          <w:tab/>
        </w:r>
        <w:r w:rsidRPr="008E1321">
          <w:rPr>
            <w:rStyle w:val="Hyperlink"/>
            <w:rFonts w:ascii="Times New Roman" w:hAnsi="Times New Roman" w:cs="Times New Roman"/>
            <w:i w:val="0"/>
            <w:iCs w:val="0"/>
            <w:noProof/>
          </w:rPr>
          <w:t>SUMMARY OF RECOMMENDATIONS</w:t>
        </w:r>
        <w:r w:rsidRPr="008E1321">
          <w:rPr>
            <w:rFonts w:ascii="Times New Roman" w:hAnsi="Times New Roman" w:cs="Times New Roman"/>
            <w:i w:val="0"/>
            <w:iCs w:val="0"/>
            <w:noProof/>
            <w:webHidden/>
          </w:rPr>
          <w:tab/>
        </w:r>
        <w:r w:rsidRPr="008E1321">
          <w:rPr>
            <w:rFonts w:ascii="Times New Roman" w:hAnsi="Times New Roman" w:cs="Times New Roman"/>
            <w:i w:val="0"/>
            <w:iCs w:val="0"/>
            <w:noProof/>
            <w:webHidden/>
          </w:rPr>
          <w:fldChar w:fldCharType="begin"/>
        </w:r>
        <w:r w:rsidRPr="008E1321">
          <w:rPr>
            <w:rFonts w:ascii="Times New Roman" w:hAnsi="Times New Roman" w:cs="Times New Roman"/>
            <w:i w:val="0"/>
            <w:iCs w:val="0"/>
            <w:noProof/>
            <w:webHidden/>
          </w:rPr>
          <w:instrText xml:space="preserve"> PAGEREF _Toc221115296 \h </w:instrText>
        </w:r>
        <w:r w:rsidRPr="008E1321">
          <w:rPr>
            <w:rFonts w:ascii="Times New Roman" w:hAnsi="Times New Roman" w:cs="Times New Roman"/>
            <w:i w:val="0"/>
            <w:iCs w:val="0"/>
            <w:noProof/>
            <w:webHidden/>
          </w:rPr>
        </w:r>
        <w:r w:rsidRPr="008E1321">
          <w:rPr>
            <w:rFonts w:ascii="Times New Roman" w:hAnsi="Times New Roman" w:cs="Times New Roman"/>
            <w:i w:val="0"/>
            <w:iCs w:val="0"/>
            <w:noProof/>
            <w:webHidden/>
          </w:rPr>
          <w:fldChar w:fldCharType="separate"/>
        </w:r>
        <w:r w:rsidR="00F70A97">
          <w:rPr>
            <w:rFonts w:ascii="Times New Roman" w:hAnsi="Times New Roman" w:cs="Times New Roman"/>
            <w:i w:val="0"/>
            <w:iCs w:val="0"/>
            <w:noProof/>
            <w:webHidden/>
          </w:rPr>
          <w:t>93</w:t>
        </w:r>
        <w:r w:rsidRPr="008E1321">
          <w:rPr>
            <w:rFonts w:ascii="Times New Roman" w:hAnsi="Times New Roman" w:cs="Times New Roman"/>
            <w:i w:val="0"/>
            <w:iCs w:val="0"/>
            <w:noProof/>
            <w:webHidden/>
          </w:rPr>
          <w:fldChar w:fldCharType="end"/>
        </w:r>
      </w:hyperlink>
    </w:p>
    <w:p w14:paraId="64182596" w14:textId="59C22573" w:rsidR="00931797" w:rsidRPr="008E1321" w:rsidRDefault="00931797">
      <w:pPr>
        <w:pStyle w:val="TOC1"/>
        <w:tabs>
          <w:tab w:val="right" w:leader="underscore" w:pos="9350"/>
        </w:tabs>
        <w:rPr>
          <w:rFonts w:ascii="Times New Roman" w:eastAsiaTheme="minorEastAsia" w:hAnsi="Times New Roman" w:cs="Times New Roman"/>
          <w:b w:val="0"/>
          <w:bCs w:val="0"/>
          <w:i w:val="0"/>
          <w:iCs w:val="0"/>
          <w:noProof/>
          <w:szCs w:val="21"/>
          <w:lang w:eastAsia="en-IN"/>
        </w:rPr>
      </w:pPr>
      <w:hyperlink w:anchor="_Toc221115297" w:history="1">
        <w:r w:rsidRPr="008E1321">
          <w:rPr>
            <w:rStyle w:val="Hyperlink"/>
            <w:rFonts w:ascii="Times New Roman" w:hAnsi="Times New Roman" w:cs="Times New Roman"/>
            <w:i w:val="0"/>
            <w:iCs w:val="0"/>
            <w:noProof/>
          </w:rPr>
          <w:t>MINUTE BY SHRI G. SWAMINATHAN​</w:t>
        </w:r>
        <w:r w:rsidRPr="008E1321">
          <w:rPr>
            <w:rFonts w:ascii="Times New Roman" w:hAnsi="Times New Roman" w:cs="Times New Roman"/>
            <w:i w:val="0"/>
            <w:iCs w:val="0"/>
            <w:noProof/>
            <w:webHidden/>
          </w:rPr>
          <w:tab/>
        </w:r>
        <w:r w:rsidRPr="008E1321">
          <w:rPr>
            <w:rFonts w:ascii="Times New Roman" w:hAnsi="Times New Roman" w:cs="Times New Roman"/>
            <w:i w:val="0"/>
            <w:iCs w:val="0"/>
            <w:noProof/>
            <w:webHidden/>
          </w:rPr>
          <w:fldChar w:fldCharType="begin"/>
        </w:r>
        <w:r w:rsidRPr="008E1321">
          <w:rPr>
            <w:rFonts w:ascii="Times New Roman" w:hAnsi="Times New Roman" w:cs="Times New Roman"/>
            <w:i w:val="0"/>
            <w:iCs w:val="0"/>
            <w:noProof/>
            <w:webHidden/>
          </w:rPr>
          <w:instrText xml:space="preserve"> PAGEREF _Toc221115297 \h </w:instrText>
        </w:r>
        <w:r w:rsidRPr="008E1321">
          <w:rPr>
            <w:rFonts w:ascii="Times New Roman" w:hAnsi="Times New Roman" w:cs="Times New Roman"/>
            <w:i w:val="0"/>
            <w:iCs w:val="0"/>
            <w:noProof/>
            <w:webHidden/>
          </w:rPr>
        </w:r>
        <w:r w:rsidRPr="008E1321">
          <w:rPr>
            <w:rFonts w:ascii="Times New Roman" w:hAnsi="Times New Roman" w:cs="Times New Roman"/>
            <w:i w:val="0"/>
            <w:iCs w:val="0"/>
            <w:noProof/>
            <w:webHidden/>
          </w:rPr>
          <w:fldChar w:fldCharType="separate"/>
        </w:r>
        <w:r w:rsidR="00F70A97">
          <w:rPr>
            <w:rFonts w:ascii="Times New Roman" w:hAnsi="Times New Roman" w:cs="Times New Roman"/>
            <w:i w:val="0"/>
            <w:iCs w:val="0"/>
            <w:noProof/>
            <w:webHidden/>
          </w:rPr>
          <w:t>99</w:t>
        </w:r>
        <w:r w:rsidRPr="008E1321">
          <w:rPr>
            <w:rFonts w:ascii="Times New Roman" w:hAnsi="Times New Roman" w:cs="Times New Roman"/>
            <w:i w:val="0"/>
            <w:iCs w:val="0"/>
            <w:noProof/>
            <w:webHidden/>
          </w:rPr>
          <w:fldChar w:fldCharType="end"/>
        </w:r>
      </w:hyperlink>
    </w:p>
    <w:p w14:paraId="0D66DDD6" w14:textId="5846122B" w:rsidR="00931797" w:rsidRPr="008E1321" w:rsidRDefault="00931797">
      <w:pPr>
        <w:pStyle w:val="TOC1"/>
        <w:tabs>
          <w:tab w:val="right" w:leader="underscore" w:pos="9350"/>
        </w:tabs>
        <w:rPr>
          <w:rFonts w:ascii="Times New Roman" w:eastAsiaTheme="minorEastAsia" w:hAnsi="Times New Roman" w:cs="Times New Roman"/>
          <w:b w:val="0"/>
          <w:bCs w:val="0"/>
          <w:i w:val="0"/>
          <w:iCs w:val="0"/>
          <w:noProof/>
          <w:szCs w:val="21"/>
          <w:lang w:eastAsia="en-IN"/>
        </w:rPr>
      </w:pPr>
      <w:hyperlink w:anchor="_Toc221115298" w:history="1">
        <w:r w:rsidRPr="008E1321">
          <w:rPr>
            <w:rStyle w:val="Hyperlink"/>
            <w:rFonts w:ascii="Times New Roman" w:hAnsi="Times New Roman" w:cs="Times New Roman"/>
            <w:i w:val="0"/>
            <w:iCs w:val="0"/>
            <w:noProof/>
          </w:rPr>
          <w:t>APPENDICES</w:t>
        </w:r>
        <w:r w:rsidRPr="008E1321">
          <w:rPr>
            <w:rFonts w:ascii="Times New Roman" w:hAnsi="Times New Roman" w:cs="Times New Roman"/>
            <w:i w:val="0"/>
            <w:iCs w:val="0"/>
            <w:noProof/>
            <w:webHidden/>
          </w:rPr>
          <w:tab/>
        </w:r>
        <w:r w:rsidRPr="008E1321">
          <w:rPr>
            <w:rFonts w:ascii="Times New Roman" w:hAnsi="Times New Roman" w:cs="Times New Roman"/>
            <w:i w:val="0"/>
            <w:iCs w:val="0"/>
            <w:noProof/>
            <w:webHidden/>
          </w:rPr>
          <w:fldChar w:fldCharType="begin"/>
        </w:r>
        <w:r w:rsidRPr="008E1321">
          <w:rPr>
            <w:rFonts w:ascii="Times New Roman" w:hAnsi="Times New Roman" w:cs="Times New Roman"/>
            <w:i w:val="0"/>
            <w:iCs w:val="0"/>
            <w:noProof/>
            <w:webHidden/>
          </w:rPr>
          <w:instrText xml:space="preserve"> PAGEREF _Toc221115298 \h </w:instrText>
        </w:r>
        <w:r w:rsidRPr="008E1321">
          <w:rPr>
            <w:rFonts w:ascii="Times New Roman" w:hAnsi="Times New Roman" w:cs="Times New Roman"/>
            <w:i w:val="0"/>
            <w:iCs w:val="0"/>
            <w:noProof/>
            <w:webHidden/>
          </w:rPr>
        </w:r>
        <w:r w:rsidRPr="008E1321">
          <w:rPr>
            <w:rFonts w:ascii="Times New Roman" w:hAnsi="Times New Roman" w:cs="Times New Roman"/>
            <w:i w:val="0"/>
            <w:iCs w:val="0"/>
            <w:noProof/>
            <w:webHidden/>
          </w:rPr>
          <w:fldChar w:fldCharType="separate"/>
        </w:r>
        <w:r w:rsidR="00F70A97">
          <w:rPr>
            <w:rFonts w:ascii="Times New Roman" w:hAnsi="Times New Roman" w:cs="Times New Roman"/>
            <w:i w:val="0"/>
            <w:iCs w:val="0"/>
            <w:noProof/>
            <w:webHidden/>
          </w:rPr>
          <w:t>108</w:t>
        </w:r>
        <w:r w:rsidRPr="008E1321">
          <w:rPr>
            <w:rFonts w:ascii="Times New Roman" w:hAnsi="Times New Roman" w:cs="Times New Roman"/>
            <w:i w:val="0"/>
            <w:iCs w:val="0"/>
            <w:noProof/>
            <w:webHidden/>
          </w:rPr>
          <w:fldChar w:fldCharType="end"/>
        </w:r>
      </w:hyperlink>
    </w:p>
    <w:p w14:paraId="3E591543" w14:textId="4A4576DC" w:rsidR="00931797" w:rsidRPr="008E1321" w:rsidRDefault="00931797">
      <w:pPr>
        <w:pStyle w:val="TOC2"/>
        <w:tabs>
          <w:tab w:val="right" w:leader="underscore" w:pos="9350"/>
        </w:tabs>
        <w:rPr>
          <w:rFonts w:ascii="Times New Roman" w:eastAsiaTheme="minorEastAsia" w:hAnsi="Times New Roman" w:cs="Times New Roman"/>
          <w:b w:val="0"/>
          <w:bCs w:val="0"/>
          <w:noProof/>
          <w:sz w:val="24"/>
          <w:szCs w:val="21"/>
          <w:lang w:eastAsia="en-IN"/>
        </w:rPr>
      </w:pPr>
      <w:hyperlink w:anchor="_Toc221115299" w:history="1">
        <w:r w:rsidRPr="008E1321">
          <w:rPr>
            <w:rStyle w:val="Hyperlink"/>
            <w:rFonts w:ascii="Times New Roman" w:hAnsi="Times New Roman" w:cs="Times New Roman"/>
            <w:noProof/>
          </w:rPr>
          <w:t>APPENDIX I  PROVISIONS OF THE CONSTITUTION BEARING ON THE WORK OF THE FINANCE COMMISSION</w:t>
        </w:r>
        <w:r w:rsidRPr="008E1321">
          <w:rPr>
            <w:rFonts w:ascii="Times New Roman" w:hAnsi="Times New Roman" w:cs="Times New Roman"/>
            <w:noProof/>
            <w:webHidden/>
          </w:rPr>
          <w:tab/>
        </w:r>
        <w:r w:rsidRPr="008E1321">
          <w:rPr>
            <w:rFonts w:ascii="Times New Roman" w:hAnsi="Times New Roman" w:cs="Times New Roman"/>
            <w:noProof/>
            <w:webHidden/>
          </w:rPr>
          <w:fldChar w:fldCharType="begin"/>
        </w:r>
        <w:r w:rsidRPr="008E1321">
          <w:rPr>
            <w:rFonts w:ascii="Times New Roman" w:hAnsi="Times New Roman" w:cs="Times New Roman"/>
            <w:noProof/>
            <w:webHidden/>
          </w:rPr>
          <w:instrText xml:space="preserve"> PAGEREF _Toc221115299 \h </w:instrText>
        </w:r>
        <w:r w:rsidRPr="008E1321">
          <w:rPr>
            <w:rFonts w:ascii="Times New Roman" w:hAnsi="Times New Roman" w:cs="Times New Roman"/>
            <w:noProof/>
            <w:webHidden/>
          </w:rPr>
        </w:r>
        <w:r w:rsidRPr="008E1321">
          <w:rPr>
            <w:rFonts w:ascii="Times New Roman" w:hAnsi="Times New Roman" w:cs="Times New Roman"/>
            <w:noProof/>
            <w:webHidden/>
          </w:rPr>
          <w:fldChar w:fldCharType="separate"/>
        </w:r>
        <w:r w:rsidR="00F70A97">
          <w:rPr>
            <w:rFonts w:ascii="Times New Roman" w:hAnsi="Times New Roman" w:cs="Times New Roman"/>
            <w:noProof/>
            <w:webHidden/>
          </w:rPr>
          <w:t>109</w:t>
        </w:r>
        <w:r w:rsidRPr="008E1321">
          <w:rPr>
            <w:rFonts w:ascii="Times New Roman" w:hAnsi="Times New Roman" w:cs="Times New Roman"/>
            <w:noProof/>
            <w:webHidden/>
          </w:rPr>
          <w:fldChar w:fldCharType="end"/>
        </w:r>
      </w:hyperlink>
    </w:p>
    <w:p w14:paraId="7A917FDB" w14:textId="6D95F9D1" w:rsidR="00931797" w:rsidRPr="008E1321" w:rsidRDefault="00931797">
      <w:pPr>
        <w:pStyle w:val="TOC2"/>
        <w:tabs>
          <w:tab w:val="right" w:leader="underscore" w:pos="9350"/>
        </w:tabs>
        <w:rPr>
          <w:rFonts w:ascii="Times New Roman" w:eastAsiaTheme="minorEastAsia" w:hAnsi="Times New Roman" w:cs="Times New Roman"/>
          <w:b w:val="0"/>
          <w:bCs w:val="0"/>
          <w:noProof/>
          <w:sz w:val="24"/>
          <w:szCs w:val="21"/>
          <w:lang w:eastAsia="en-IN"/>
        </w:rPr>
      </w:pPr>
      <w:hyperlink w:anchor="_Toc221115300" w:history="1">
        <w:r w:rsidRPr="008E1321">
          <w:rPr>
            <w:rStyle w:val="Hyperlink"/>
            <w:rFonts w:ascii="Times New Roman" w:hAnsi="Times New Roman" w:cs="Times New Roman"/>
            <w:noProof/>
          </w:rPr>
          <w:t>APPENDIX II  DATES OF DISCUSSIONS WITH STATE GOVERNMENTS AND CENTRAL GOVERNMENT MINISTRIES.</w:t>
        </w:r>
        <w:r w:rsidRPr="008E1321">
          <w:rPr>
            <w:rFonts w:ascii="Times New Roman" w:hAnsi="Times New Roman" w:cs="Times New Roman"/>
            <w:noProof/>
            <w:webHidden/>
          </w:rPr>
          <w:tab/>
        </w:r>
        <w:r w:rsidRPr="008E1321">
          <w:rPr>
            <w:rFonts w:ascii="Times New Roman" w:hAnsi="Times New Roman" w:cs="Times New Roman"/>
            <w:noProof/>
            <w:webHidden/>
          </w:rPr>
          <w:fldChar w:fldCharType="begin"/>
        </w:r>
        <w:r w:rsidRPr="008E1321">
          <w:rPr>
            <w:rFonts w:ascii="Times New Roman" w:hAnsi="Times New Roman" w:cs="Times New Roman"/>
            <w:noProof/>
            <w:webHidden/>
          </w:rPr>
          <w:instrText xml:space="preserve"> PAGEREF _Toc221115300 \h </w:instrText>
        </w:r>
        <w:r w:rsidRPr="008E1321">
          <w:rPr>
            <w:rFonts w:ascii="Times New Roman" w:hAnsi="Times New Roman" w:cs="Times New Roman"/>
            <w:noProof/>
            <w:webHidden/>
          </w:rPr>
        </w:r>
        <w:r w:rsidRPr="008E1321">
          <w:rPr>
            <w:rFonts w:ascii="Times New Roman" w:hAnsi="Times New Roman" w:cs="Times New Roman"/>
            <w:noProof/>
            <w:webHidden/>
          </w:rPr>
          <w:fldChar w:fldCharType="separate"/>
        </w:r>
        <w:r w:rsidR="00F70A97">
          <w:rPr>
            <w:rFonts w:ascii="Times New Roman" w:hAnsi="Times New Roman" w:cs="Times New Roman"/>
            <w:noProof/>
            <w:webHidden/>
          </w:rPr>
          <w:t>113</w:t>
        </w:r>
        <w:r w:rsidRPr="008E1321">
          <w:rPr>
            <w:rFonts w:ascii="Times New Roman" w:hAnsi="Times New Roman" w:cs="Times New Roman"/>
            <w:noProof/>
            <w:webHidden/>
          </w:rPr>
          <w:fldChar w:fldCharType="end"/>
        </w:r>
      </w:hyperlink>
    </w:p>
    <w:p w14:paraId="3AE2F091" w14:textId="15217A73" w:rsidR="00931797" w:rsidRPr="008E1321" w:rsidRDefault="00931797">
      <w:pPr>
        <w:pStyle w:val="TOC2"/>
        <w:tabs>
          <w:tab w:val="right" w:leader="underscore" w:pos="9350"/>
        </w:tabs>
        <w:rPr>
          <w:rFonts w:ascii="Times New Roman" w:eastAsiaTheme="minorEastAsia" w:hAnsi="Times New Roman" w:cs="Times New Roman"/>
          <w:b w:val="0"/>
          <w:bCs w:val="0"/>
          <w:noProof/>
          <w:sz w:val="24"/>
          <w:szCs w:val="21"/>
          <w:lang w:eastAsia="en-IN"/>
        </w:rPr>
      </w:pPr>
      <w:hyperlink w:anchor="_Toc221115301" w:history="1">
        <w:r w:rsidRPr="008E1321">
          <w:rPr>
            <w:rStyle w:val="Hyperlink"/>
            <w:rFonts w:ascii="Times New Roman" w:hAnsi="Times New Roman" w:cs="Times New Roman"/>
            <w:noProof/>
          </w:rPr>
          <w:t>APPENDIX III  NAMES OF ORGANISATIONS AND INDIVIDUALS WHO SUBMITTED MEMORANDA TO THE COMMISSION</w:t>
        </w:r>
        <w:r w:rsidRPr="008E1321">
          <w:rPr>
            <w:rFonts w:ascii="Times New Roman" w:hAnsi="Times New Roman" w:cs="Times New Roman"/>
            <w:noProof/>
            <w:webHidden/>
          </w:rPr>
          <w:tab/>
        </w:r>
        <w:r w:rsidRPr="008E1321">
          <w:rPr>
            <w:rFonts w:ascii="Times New Roman" w:hAnsi="Times New Roman" w:cs="Times New Roman"/>
            <w:noProof/>
            <w:webHidden/>
          </w:rPr>
          <w:fldChar w:fldCharType="begin"/>
        </w:r>
        <w:r w:rsidRPr="008E1321">
          <w:rPr>
            <w:rFonts w:ascii="Times New Roman" w:hAnsi="Times New Roman" w:cs="Times New Roman"/>
            <w:noProof/>
            <w:webHidden/>
          </w:rPr>
          <w:instrText xml:space="preserve"> PAGEREF _Toc221115301 \h </w:instrText>
        </w:r>
        <w:r w:rsidRPr="008E1321">
          <w:rPr>
            <w:rFonts w:ascii="Times New Roman" w:hAnsi="Times New Roman" w:cs="Times New Roman"/>
            <w:noProof/>
            <w:webHidden/>
          </w:rPr>
        </w:r>
        <w:r w:rsidRPr="008E1321">
          <w:rPr>
            <w:rFonts w:ascii="Times New Roman" w:hAnsi="Times New Roman" w:cs="Times New Roman"/>
            <w:noProof/>
            <w:webHidden/>
          </w:rPr>
          <w:fldChar w:fldCharType="separate"/>
        </w:r>
        <w:r w:rsidR="00F70A97">
          <w:rPr>
            <w:rFonts w:ascii="Times New Roman" w:hAnsi="Times New Roman" w:cs="Times New Roman"/>
            <w:noProof/>
            <w:webHidden/>
          </w:rPr>
          <w:t>114</w:t>
        </w:r>
        <w:r w:rsidRPr="008E1321">
          <w:rPr>
            <w:rFonts w:ascii="Times New Roman" w:hAnsi="Times New Roman" w:cs="Times New Roman"/>
            <w:noProof/>
            <w:webHidden/>
          </w:rPr>
          <w:fldChar w:fldCharType="end"/>
        </w:r>
      </w:hyperlink>
    </w:p>
    <w:p w14:paraId="2F33B5D5" w14:textId="3D8B6C9A" w:rsidR="00931797" w:rsidRPr="008E1321" w:rsidRDefault="00931797">
      <w:pPr>
        <w:pStyle w:val="TOC2"/>
        <w:tabs>
          <w:tab w:val="right" w:leader="underscore" w:pos="9350"/>
        </w:tabs>
        <w:rPr>
          <w:rFonts w:ascii="Times New Roman" w:eastAsiaTheme="minorEastAsia" w:hAnsi="Times New Roman" w:cs="Times New Roman"/>
          <w:b w:val="0"/>
          <w:bCs w:val="0"/>
          <w:noProof/>
          <w:sz w:val="24"/>
          <w:szCs w:val="21"/>
          <w:lang w:eastAsia="en-IN"/>
        </w:rPr>
      </w:pPr>
      <w:hyperlink w:anchor="_Toc221115302" w:history="1">
        <w:r w:rsidRPr="008E1321">
          <w:rPr>
            <w:rStyle w:val="Hyperlink"/>
            <w:rFonts w:ascii="Times New Roman" w:hAnsi="Times New Roman" w:cs="Times New Roman"/>
            <w:noProof/>
          </w:rPr>
          <w:t>APPENDIX IV  INDIVIDUALS AND ORGANISATIONS WHOSE REPRESENTATIVES APPEARED BEFORE THE COMMISSION AND GAVE ORAL EVIDENCE</w:t>
        </w:r>
        <w:r w:rsidRPr="008E1321">
          <w:rPr>
            <w:rFonts w:ascii="Times New Roman" w:hAnsi="Times New Roman" w:cs="Times New Roman"/>
            <w:noProof/>
            <w:webHidden/>
          </w:rPr>
          <w:tab/>
        </w:r>
        <w:r w:rsidRPr="008E1321">
          <w:rPr>
            <w:rFonts w:ascii="Times New Roman" w:hAnsi="Times New Roman" w:cs="Times New Roman"/>
            <w:noProof/>
            <w:webHidden/>
          </w:rPr>
          <w:fldChar w:fldCharType="begin"/>
        </w:r>
        <w:r w:rsidRPr="008E1321">
          <w:rPr>
            <w:rFonts w:ascii="Times New Roman" w:hAnsi="Times New Roman" w:cs="Times New Roman"/>
            <w:noProof/>
            <w:webHidden/>
          </w:rPr>
          <w:instrText xml:space="preserve"> PAGEREF _Toc221115302 \h </w:instrText>
        </w:r>
        <w:r w:rsidRPr="008E1321">
          <w:rPr>
            <w:rFonts w:ascii="Times New Roman" w:hAnsi="Times New Roman" w:cs="Times New Roman"/>
            <w:noProof/>
            <w:webHidden/>
          </w:rPr>
        </w:r>
        <w:r w:rsidRPr="008E1321">
          <w:rPr>
            <w:rFonts w:ascii="Times New Roman" w:hAnsi="Times New Roman" w:cs="Times New Roman"/>
            <w:noProof/>
            <w:webHidden/>
          </w:rPr>
          <w:fldChar w:fldCharType="separate"/>
        </w:r>
        <w:r w:rsidR="00F70A97">
          <w:rPr>
            <w:rFonts w:ascii="Times New Roman" w:hAnsi="Times New Roman" w:cs="Times New Roman"/>
            <w:noProof/>
            <w:webHidden/>
          </w:rPr>
          <w:t>117</w:t>
        </w:r>
        <w:r w:rsidRPr="008E1321">
          <w:rPr>
            <w:rFonts w:ascii="Times New Roman" w:hAnsi="Times New Roman" w:cs="Times New Roman"/>
            <w:noProof/>
            <w:webHidden/>
          </w:rPr>
          <w:fldChar w:fldCharType="end"/>
        </w:r>
      </w:hyperlink>
    </w:p>
    <w:p w14:paraId="6DD366F8" w14:textId="1FB40B8D" w:rsidR="00931797" w:rsidRPr="008E1321" w:rsidRDefault="00931797">
      <w:pPr>
        <w:pStyle w:val="TOC2"/>
        <w:tabs>
          <w:tab w:val="right" w:leader="underscore" w:pos="9350"/>
        </w:tabs>
        <w:rPr>
          <w:rFonts w:ascii="Times New Roman" w:eastAsiaTheme="minorEastAsia" w:hAnsi="Times New Roman" w:cs="Times New Roman"/>
          <w:b w:val="0"/>
          <w:bCs w:val="0"/>
          <w:noProof/>
          <w:sz w:val="24"/>
          <w:szCs w:val="21"/>
          <w:lang w:eastAsia="en-IN"/>
        </w:rPr>
      </w:pPr>
      <w:hyperlink w:anchor="_Toc221115303" w:history="1">
        <w:r w:rsidRPr="008E1321">
          <w:rPr>
            <w:rStyle w:val="Hyperlink"/>
            <w:rFonts w:ascii="Times New Roman" w:hAnsi="Times New Roman" w:cs="Times New Roman"/>
            <w:noProof/>
          </w:rPr>
          <w:t>APPENDIX V  STATISTICAL TABLES</w:t>
        </w:r>
        <w:r w:rsidRPr="008E1321">
          <w:rPr>
            <w:rFonts w:ascii="Times New Roman" w:hAnsi="Times New Roman" w:cs="Times New Roman"/>
            <w:noProof/>
            <w:webHidden/>
          </w:rPr>
          <w:tab/>
        </w:r>
        <w:r w:rsidRPr="008E1321">
          <w:rPr>
            <w:rFonts w:ascii="Times New Roman" w:hAnsi="Times New Roman" w:cs="Times New Roman"/>
            <w:noProof/>
            <w:webHidden/>
          </w:rPr>
          <w:fldChar w:fldCharType="begin"/>
        </w:r>
        <w:r w:rsidRPr="008E1321">
          <w:rPr>
            <w:rFonts w:ascii="Times New Roman" w:hAnsi="Times New Roman" w:cs="Times New Roman"/>
            <w:noProof/>
            <w:webHidden/>
          </w:rPr>
          <w:instrText xml:space="preserve"> PAGEREF _Toc221115303 \h </w:instrText>
        </w:r>
        <w:r w:rsidRPr="008E1321">
          <w:rPr>
            <w:rFonts w:ascii="Times New Roman" w:hAnsi="Times New Roman" w:cs="Times New Roman"/>
            <w:noProof/>
            <w:webHidden/>
          </w:rPr>
        </w:r>
        <w:r w:rsidRPr="008E1321">
          <w:rPr>
            <w:rFonts w:ascii="Times New Roman" w:hAnsi="Times New Roman" w:cs="Times New Roman"/>
            <w:noProof/>
            <w:webHidden/>
          </w:rPr>
          <w:fldChar w:fldCharType="separate"/>
        </w:r>
        <w:r w:rsidR="00F70A97">
          <w:rPr>
            <w:rFonts w:ascii="Times New Roman" w:hAnsi="Times New Roman" w:cs="Times New Roman"/>
            <w:noProof/>
            <w:webHidden/>
          </w:rPr>
          <w:t>119</w:t>
        </w:r>
        <w:r w:rsidRPr="008E1321">
          <w:rPr>
            <w:rFonts w:ascii="Times New Roman" w:hAnsi="Times New Roman" w:cs="Times New Roman"/>
            <w:noProof/>
            <w:webHidden/>
          </w:rPr>
          <w:fldChar w:fldCharType="end"/>
        </w:r>
      </w:hyperlink>
    </w:p>
    <w:p w14:paraId="622239F1" w14:textId="02372243" w:rsidR="00931797" w:rsidRPr="008E1321" w:rsidRDefault="00931797">
      <w:pPr>
        <w:pStyle w:val="TOC3"/>
        <w:tabs>
          <w:tab w:val="right" w:leader="underscore" w:pos="9350"/>
        </w:tabs>
        <w:rPr>
          <w:rFonts w:ascii="Times New Roman" w:eastAsiaTheme="minorEastAsia" w:hAnsi="Times New Roman" w:cs="Times New Roman"/>
          <w:noProof/>
          <w:sz w:val="24"/>
          <w:szCs w:val="21"/>
          <w:lang w:eastAsia="en-IN"/>
        </w:rPr>
      </w:pPr>
      <w:hyperlink w:anchor="_Toc221115304" w:history="1">
        <w:r w:rsidRPr="008E1321">
          <w:rPr>
            <w:rStyle w:val="Hyperlink"/>
            <w:rFonts w:ascii="Times New Roman" w:hAnsi="Times New Roman" w:cs="Times New Roman"/>
            <w:noProof/>
          </w:rPr>
          <w:t>Table 1: Population of States (1961 Census)</w:t>
        </w:r>
        <w:r w:rsidRPr="008E1321">
          <w:rPr>
            <w:rFonts w:ascii="Times New Roman" w:hAnsi="Times New Roman" w:cs="Times New Roman"/>
            <w:noProof/>
            <w:webHidden/>
          </w:rPr>
          <w:tab/>
        </w:r>
        <w:r w:rsidRPr="008E1321">
          <w:rPr>
            <w:rFonts w:ascii="Times New Roman" w:hAnsi="Times New Roman" w:cs="Times New Roman"/>
            <w:noProof/>
            <w:webHidden/>
          </w:rPr>
          <w:fldChar w:fldCharType="begin"/>
        </w:r>
        <w:r w:rsidRPr="008E1321">
          <w:rPr>
            <w:rFonts w:ascii="Times New Roman" w:hAnsi="Times New Roman" w:cs="Times New Roman"/>
            <w:noProof/>
            <w:webHidden/>
          </w:rPr>
          <w:instrText xml:space="preserve"> PAGEREF _Toc221115304 \h </w:instrText>
        </w:r>
        <w:r w:rsidRPr="008E1321">
          <w:rPr>
            <w:rFonts w:ascii="Times New Roman" w:hAnsi="Times New Roman" w:cs="Times New Roman"/>
            <w:noProof/>
            <w:webHidden/>
          </w:rPr>
        </w:r>
        <w:r w:rsidRPr="008E1321">
          <w:rPr>
            <w:rFonts w:ascii="Times New Roman" w:hAnsi="Times New Roman" w:cs="Times New Roman"/>
            <w:noProof/>
            <w:webHidden/>
          </w:rPr>
          <w:fldChar w:fldCharType="separate"/>
        </w:r>
        <w:r w:rsidR="00F70A97">
          <w:rPr>
            <w:rFonts w:ascii="Times New Roman" w:hAnsi="Times New Roman" w:cs="Times New Roman"/>
            <w:noProof/>
            <w:webHidden/>
          </w:rPr>
          <w:t>124</w:t>
        </w:r>
        <w:r w:rsidRPr="008E1321">
          <w:rPr>
            <w:rFonts w:ascii="Times New Roman" w:hAnsi="Times New Roman" w:cs="Times New Roman"/>
            <w:noProof/>
            <w:webHidden/>
          </w:rPr>
          <w:fldChar w:fldCharType="end"/>
        </w:r>
      </w:hyperlink>
    </w:p>
    <w:p w14:paraId="5615CA83" w14:textId="22B814E7" w:rsidR="00931797" w:rsidRPr="008E1321" w:rsidRDefault="00931797">
      <w:pPr>
        <w:pStyle w:val="TOC3"/>
        <w:tabs>
          <w:tab w:val="right" w:leader="underscore" w:pos="9350"/>
        </w:tabs>
        <w:rPr>
          <w:rFonts w:ascii="Times New Roman" w:eastAsiaTheme="minorEastAsia" w:hAnsi="Times New Roman" w:cs="Times New Roman"/>
          <w:noProof/>
          <w:sz w:val="24"/>
          <w:szCs w:val="21"/>
          <w:lang w:eastAsia="en-IN"/>
        </w:rPr>
      </w:pPr>
      <w:hyperlink w:anchor="_Toc221115305" w:history="1">
        <w:r w:rsidRPr="008E1321">
          <w:rPr>
            <w:rStyle w:val="Hyperlink"/>
            <w:rFonts w:ascii="Times New Roman" w:hAnsi="Times New Roman" w:cs="Times New Roman"/>
            <w:noProof/>
          </w:rPr>
          <w:t>Table 2: Measurement of Sparsity of Population in States</w:t>
        </w:r>
        <w:r w:rsidRPr="008E1321">
          <w:rPr>
            <w:rFonts w:ascii="Times New Roman" w:hAnsi="Times New Roman" w:cs="Times New Roman"/>
            <w:noProof/>
            <w:webHidden/>
          </w:rPr>
          <w:tab/>
        </w:r>
        <w:r w:rsidRPr="008E1321">
          <w:rPr>
            <w:rFonts w:ascii="Times New Roman" w:hAnsi="Times New Roman" w:cs="Times New Roman"/>
            <w:noProof/>
            <w:webHidden/>
          </w:rPr>
          <w:fldChar w:fldCharType="begin"/>
        </w:r>
        <w:r w:rsidRPr="008E1321">
          <w:rPr>
            <w:rFonts w:ascii="Times New Roman" w:hAnsi="Times New Roman" w:cs="Times New Roman"/>
            <w:noProof/>
            <w:webHidden/>
          </w:rPr>
          <w:instrText xml:space="preserve"> PAGEREF _Toc221115305 \h </w:instrText>
        </w:r>
        <w:r w:rsidRPr="008E1321">
          <w:rPr>
            <w:rFonts w:ascii="Times New Roman" w:hAnsi="Times New Roman" w:cs="Times New Roman"/>
            <w:noProof/>
            <w:webHidden/>
          </w:rPr>
        </w:r>
        <w:r w:rsidRPr="008E1321">
          <w:rPr>
            <w:rFonts w:ascii="Times New Roman" w:hAnsi="Times New Roman" w:cs="Times New Roman"/>
            <w:noProof/>
            <w:webHidden/>
          </w:rPr>
          <w:fldChar w:fldCharType="separate"/>
        </w:r>
        <w:r w:rsidR="00F70A97">
          <w:rPr>
            <w:rFonts w:ascii="Times New Roman" w:hAnsi="Times New Roman" w:cs="Times New Roman"/>
            <w:noProof/>
            <w:webHidden/>
          </w:rPr>
          <w:t>125</w:t>
        </w:r>
        <w:r w:rsidRPr="008E1321">
          <w:rPr>
            <w:rFonts w:ascii="Times New Roman" w:hAnsi="Times New Roman" w:cs="Times New Roman"/>
            <w:noProof/>
            <w:webHidden/>
          </w:rPr>
          <w:fldChar w:fldCharType="end"/>
        </w:r>
      </w:hyperlink>
    </w:p>
    <w:p w14:paraId="1D06D603" w14:textId="19ABF230" w:rsidR="00931797" w:rsidRPr="008E1321" w:rsidRDefault="00931797">
      <w:pPr>
        <w:pStyle w:val="TOC3"/>
        <w:tabs>
          <w:tab w:val="right" w:leader="underscore" w:pos="9350"/>
        </w:tabs>
        <w:rPr>
          <w:rFonts w:ascii="Times New Roman" w:eastAsiaTheme="minorEastAsia" w:hAnsi="Times New Roman" w:cs="Times New Roman"/>
          <w:noProof/>
          <w:sz w:val="24"/>
          <w:szCs w:val="21"/>
          <w:lang w:eastAsia="en-IN"/>
        </w:rPr>
      </w:pPr>
      <w:hyperlink w:anchor="_Toc221115306" w:history="1">
        <w:r w:rsidRPr="008E1321">
          <w:rPr>
            <w:rStyle w:val="Hyperlink"/>
            <w:rFonts w:ascii="Times New Roman" w:hAnsi="Times New Roman" w:cs="Times New Roman"/>
            <w:noProof/>
          </w:rPr>
          <w:t>Table 3: Population of Scheduled Castes and Scheduled Tribes in States (1961 Census)</w:t>
        </w:r>
        <w:r w:rsidRPr="008E1321">
          <w:rPr>
            <w:rFonts w:ascii="Times New Roman" w:hAnsi="Times New Roman" w:cs="Times New Roman"/>
            <w:noProof/>
            <w:webHidden/>
          </w:rPr>
          <w:tab/>
        </w:r>
        <w:r w:rsidRPr="008E1321">
          <w:rPr>
            <w:rFonts w:ascii="Times New Roman" w:hAnsi="Times New Roman" w:cs="Times New Roman"/>
            <w:noProof/>
            <w:webHidden/>
          </w:rPr>
          <w:fldChar w:fldCharType="begin"/>
        </w:r>
        <w:r w:rsidRPr="008E1321">
          <w:rPr>
            <w:rFonts w:ascii="Times New Roman" w:hAnsi="Times New Roman" w:cs="Times New Roman"/>
            <w:noProof/>
            <w:webHidden/>
          </w:rPr>
          <w:instrText xml:space="preserve"> PAGEREF _Toc221115306 \h </w:instrText>
        </w:r>
        <w:r w:rsidRPr="008E1321">
          <w:rPr>
            <w:rFonts w:ascii="Times New Roman" w:hAnsi="Times New Roman" w:cs="Times New Roman"/>
            <w:noProof/>
            <w:webHidden/>
          </w:rPr>
        </w:r>
        <w:r w:rsidRPr="008E1321">
          <w:rPr>
            <w:rFonts w:ascii="Times New Roman" w:hAnsi="Times New Roman" w:cs="Times New Roman"/>
            <w:noProof/>
            <w:webHidden/>
          </w:rPr>
          <w:fldChar w:fldCharType="separate"/>
        </w:r>
        <w:r w:rsidR="00F70A97">
          <w:rPr>
            <w:rFonts w:ascii="Times New Roman" w:hAnsi="Times New Roman" w:cs="Times New Roman"/>
            <w:noProof/>
            <w:webHidden/>
          </w:rPr>
          <w:t>126</w:t>
        </w:r>
        <w:r w:rsidRPr="008E1321">
          <w:rPr>
            <w:rFonts w:ascii="Times New Roman" w:hAnsi="Times New Roman" w:cs="Times New Roman"/>
            <w:noProof/>
            <w:webHidden/>
          </w:rPr>
          <w:fldChar w:fldCharType="end"/>
        </w:r>
      </w:hyperlink>
    </w:p>
    <w:p w14:paraId="2A4D0370" w14:textId="115945BA" w:rsidR="00931797" w:rsidRPr="008E1321" w:rsidRDefault="00931797">
      <w:pPr>
        <w:pStyle w:val="TOC3"/>
        <w:tabs>
          <w:tab w:val="right" w:leader="underscore" w:pos="9350"/>
        </w:tabs>
        <w:rPr>
          <w:rFonts w:ascii="Times New Roman" w:eastAsiaTheme="minorEastAsia" w:hAnsi="Times New Roman" w:cs="Times New Roman"/>
          <w:noProof/>
          <w:sz w:val="24"/>
          <w:szCs w:val="21"/>
          <w:lang w:eastAsia="en-IN"/>
        </w:rPr>
      </w:pPr>
      <w:hyperlink w:anchor="_Toc221115307" w:history="1">
        <w:r w:rsidRPr="008E1321">
          <w:rPr>
            <w:rStyle w:val="Hyperlink"/>
            <w:rFonts w:ascii="Times New Roman" w:hAnsi="Times New Roman" w:cs="Times New Roman"/>
            <w:noProof/>
          </w:rPr>
          <w:t>Table 4: Total State Incomes (Net Domestic Product) from 1960-61 to 1964-65 by states indicating figures relating to Agriculture and Animal Husbandry sectors.</w:t>
        </w:r>
        <w:r w:rsidRPr="008E1321">
          <w:rPr>
            <w:rFonts w:ascii="Times New Roman" w:hAnsi="Times New Roman" w:cs="Times New Roman"/>
            <w:noProof/>
            <w:webHidden/>
          </w:rPr>
          <w:tab/>
        </w:r>
        <w:r w:rsidRPr="008E1321">
          <w:rPr>
            <w:rFonts w:ascii="Times New Roman" w:hAnsi="Times New Roman" w:cs="Times New Roman"/>
            <w:noProof/>
            <w:webHidden/>
          </w:rPr>
          <w:fldChar w:fldCharType="begin"/>
        </w:r>
        <w:r w:rsidRPr="008E1321">
          <w:rPr>
            <w:rFonts w:ascii="Times New Roman" w:hAnsi="Times New Roman" w:cs="Times New Roman"/>
            <w:noProof/>
            <w:webHidden/>
          </w:rPr>
          <w:instrText xml:space="preserve"> PAGEREF _Toc221115307 \h </w:instrText>
        </w:r>
        <w:r w:rsidRPr="008E1321">
          <w:rPr>
            <w:rFonts w:ascii="Times New Roman" w:hAnsi="Times New Roman" w:cs="Times New Roman"/>
            <w:noProof/>
            <w:webHidden/>
          </w:rPr>
        </w:r>
        <w:r w:rsidRPr="008E1321">
          <w:rPr>
            <w:rFonts w:ascii="Times New Roman" w:hAnsi="Times New Roman" w:cs="Times New Roman"/>
            <w:noProof/>
            <w:webHidden/>
          </w:rPr>
          <w:fldChar w:fldCharType="separate"/>
        </w:r>
        <w:r w:rsidR="00F70A97">
          <w:rPr>
            <w:rFonts w:ascii="Times New Roman" w:hAnsi="Times New Roman" w:cs="Times New Roman"/>
            <w:noProof/>
            <w:webHidden/>
          </w:rPr>
          <w:t>127</w:t>
        </w:r>
        <w:r w:rsidRPr="008E1321">
          <w:rPr>
            <w:rFonts w:ascii="Times New Roman" w:hAnsi="Times New Roman" w:cs="Times New Roman"/>
            <w:noProof/>
            <w:webHidden/>
          </w:rPr>
          <w:fldChar w:fldCharType="end"/>
        </w:r>
      </w:hyperlink>
    </w:p>
    <w:p w14:paraId="6789AB10" w14:textId="04778610" w:rsidR="00931797" w:rsidRPr="008E1321" w:rsidRDefault="00931797">
      <w:pPr>
        <w:pStyle w:val="TOC3"/>
        <w:tabs>
          <w:tab w:val="right" w:leader="underscore" w:pos="9350"/>
        </w:tabs>
        <w:rPr>
          <w:rFonts w:ascii="Times New Roman" w:eastAsiaTheme="minorEastAsia" w:hAnsi="Times New Roman" w:cs="Times New Roman"/>
          <w:noProof/>
          <w:sz w:val="24"/>
          <w:szCs w:val="21"/>
          <w:lang w:eastAsia="en-IN"/>
        </w:rPr>
      </w:pPr>
      <w:hyperlink w:anchor="_Toc221115308" w:history="1">
        <w:r w:rsidRPr="008E1321">
          <w:rPr>
            <w:rStyle w:val="Hyperlink"/>
            <w:rFonts w:ascii="Times New Roman" w:hAnsi="Times New Roman" w:cs="Times New Roman"/>
            <w:noProof/>
          </w:rPr>
          <w:t>Table 5: Per Capita Income in 1960-61 to 1964-65 by States</w:t>
        </w:r>
        <w:r w:rsidRPr="008E1321">
          <w:rPr>
            <w:rFonts w:ascii="Times New Roman" w:hAnsi="Times New Roman" w:cs="Times New Roman"/>
            <w:noProof/>
            <w:webHidden/>
          </w:rPr>
          <w:tab/>
        </w:r>
        <w:r w:rsidRPr="008E1321">
          <w:rPr>
            <w:rFonts w:ascii="Times New Roman" w:hAnsi="Times New Roman" w:cs="Times New Roman"/>
            <w:noProof/>
            <w:webHidden/>
          </w:rPr>
          <w:fldChar w:fldCharType="begin"/>
        </w:r>
        <w:r w:rsidRPr="008E1321">
          <w:rPr>
            <w:rFonts w:ascii="Times New Roman" w:hAnsi="Times New Roman" w:cs="Times New Roman"/>
            <w:noProof/>
            <w:webHidden/>
          </w:rPr>
          <w:instrText xml:space="preserve"> PAGEREF _Toc221115308 \h </w:instrText>
        </w:r>
        <w:r w:rsidRPr="008E1321">
          <w:rPr>
            <w:rFonts w:ascii="Times New Roman" w:hAnsi="Times New Roman" w:cs="Times New Roman"/>
            <w:noProof/>
            <w:webHidden/>
          </w:rPr>
        </w:r>
        <w:r w:rsidRPr="008E1321">
          <w:rPr>
            <w:rFonts w:ascii="Times New Roman" w:hAnsi="Times New Roman" w:cs="Times New Roman"/>
            <w:noProof/>
            <w:webHidden/>
          </w:rPr>
          <w:fldChar w:fldCharType="separate"/>
        </w:r>
        <w:r w:rsidR="00F70A97">
          <w:rPr>
            <w:rFonts w:ascii="Times New Roman" w:hAnsi="Times New Roman" w:cs="Times New Roman"/>
            <w:noProof/>
            <w:webHidden/>
          </w:rPr>
          <w:t>128</w:t>
        </w:r>
        <w:r w:rsidRPr="008E1321">
          <w:rPr>
            <w:rFonts w:ascii="Times New Roman" w:hAnsi="Times New Roman" w:cs="Times New Roman"/>
            <w:noProof/>
            <w:webHidden/>
          </w:rPr>
          <w:fldChar w:fldCharType="end"/>
        </w:r>
      </w:hyperlink>
    </w:p>
    <w:p w14:paraId="27747AAD" w14:textId="69BC54C6" w:rsidR="00931797" w:rsidRPr="008E1321" w:rsidRDefault="00931797">
      <w:pPr>
        <w:pStyle w:val="TOC3"/>
        <w:tabs>
          <w:tab w:val="right" w:leader="underscore" w:pos="9350"/>
        </w:tabs>
        <w:rPr>
          <w:rFonts w:ascii="Times New Roman" w:eastAsiaTheme="minorEastAsia" w:hAnsi="Times New Roman" w:cs="Times New Roman"/>
          <w:noProof/>
          <w:sz w:val="24"/>
          <w:szCs w:val="21"/>
          <w:lang w:eastAsia="en-IN"/>
        </w:rPr>
      </w:pPr>
      <w:hyperlink w:anchor="_Toc221115309" w:history="1">
        <w:r w:rsidRPr="008E1321">
          <w:rPr>
            <w:rStyle w:val="Hyperlink"/>
            <w:rFonts w:ascii="Times New Roman" w:hAnsi="Times New Roman" w:cs="Times New Roman"/>
            <w:noProof/>
          </w:rPr>
          <w:t>Table 6: Growth and Pattern of State Revenues: 1961-62 and 1965-66 to 1968-69</w:t>
        </w:r>
        <w:r w:rsidRPr="008E1321">
          <w:rPr>
            <w:rFonts w:ascii="Times New Roman" w:hAnsi="Times New Roman" w:cs="Times New Roman"/>
            <w:noProof/>
            <w:webHidden/>
          </w:rPr>
          <w:tab/>
        </w:r>
        <w:r w:rsidRPr="008E1321">
          <w:rPr>
            <w:rFonts w:ascii="Times New Roman" w:hAnsi="Times New Roman" w:cs="Times New Roman"/>
            <w:noProof/>
            <w:webHidden/>
          </w:rPr>
          <w:fldChar w:fldCharType="begin"/>
        </w:r>
        <w:r w:rsidRPr="008E1321">
          <w:rPr>
            <w:rFonts w:ascii="Times New Roman" w:hAnsi="Times New Roman" w:cs="Times New Roman"/>
            <w:noProof/>
            <w:webHidden/>
          </w:rPr>
          <w:instrText xml:space="preserve"> PAGEREF _Toc221115309 \h </w:instrText>
        </w:r>
        <w:r w:rsidRPr="008E1321">
          <w:rPr>
            <w:rFonts w:ascii="Times New Roman" w:hAnsi="Times New Roman" w:cs="Times New Roman"/>
            <w:noProof/>
            <w:webHidden/>
          </w:rPr>
        </w:r>
        <w:r w:rsidRPr="008E1321">
          <w:rPr>
            <w:rFonts w:ascii="Times New Roman" w:hAnsi="Times New Roman" w:cs="Times New Roman"/>
            <w:noProof/>
            <w:webHidden/>
          </w:rPr>
          <w:fldChar w:fldCharType="separate"/>
        </w:r>
        <w:r w:rsidR="00F70A97">
          <w:rPr>
            <w:rFonts w:ascii="Times New Roman" w:hAnsi="Times New Roman" w:cs="Times New Roman"/>
            <w:noProof/>
            <w:webHidden/>
          </w:rPr>
          <w:t>129</w:t>
        </w:r>
        <w:r w:rsidRPr="008E1321">
          <w:rPr>
            <w:rFonts w:ascii="Times New Roman" w:hAnsi="Times New Roman" w:cs="Times New Roman"/>
            <w:noProof/>
            <w:webHidden/>
          </w:rPr>
          <w:fldChar w:fldCharType="end"/>
        </w:r>
      </w:hyperlink>
    </w:p>
    <w:p w14:paraId="3A930DF9" w14:textId="06A9804F" w:rsidR="00931797" w:rsidRPr="008E1321" w:rsidRDefault="00931797">
      <w:pPr>
        <w:pStyle w:val="TOC3"/>
        <w:tabs>
          <w:tab w:val="right" w:leader="underscore" w:pos="9350"/>
        </w:tabs>
        <w:rPr>
          <w:rFonts w:ascii="Times New Roman" w:eastAsiaTheme="minorEastAsia" w:hAnsi="Times New Roman" w:cs="Times New Roman"/>
          <w:noProof/>
          <w:sz w:val="24"/>
          <w:szCs w:val="21"/>
          <w:lang w:eastAsia="en-IN"/>
        </w:rPr>
      </w:pPr>
      <w:hyperlink w:anchor="_Toc221115310" w:history="1">
        <w:r w:rsidRPr="008E1321">
          <w:rPr>
            <w:rStyle w:val="Hyperlink"/>
            <w:rFonts w:ascii="Times New Roman" w:hAnsi="Times New Roman" w:cs="Times New Roman"/>
            <w:noProof/>
          </w:rPr>
          <w:t>Table 7: Growth of revenue from important taxes for all States, 1950-51 to 1967-68</w:t>
        </w:r>
        <w:r w:rsidRPr="008E1321">
          <w:rPr>
            <w:rFonts w:ascii="Times New Roman" w:hAnsi="Times New Roman" w:cs="Times New Roman"/>
            <w:noProof/>
            <w:webHidden/>
          </w:rPr>
          <w:tab/>
        </w:r>
        <w:r w:rsidRPr="008E1321">
          <w:rPr>
            <w:rFonts w:ascii="Times New Roman" w:hAnsi="Times New Roman" w:cs="Times New Roman"/>
            <w:noProof/>
            <w:webHidden/>
          </w:rPr>
          <w:fldChar w:fldCharType="begin"/>
        </w:r>
        <w:r w:rsidRPr="008E1321">
          <w:rPr>
            <w:rFonts w:ascii="Times New Roman" w:hAnsi="Times New Roman" w:cs="Times New Roman"/>
            <w:noProof/>
            <w:webHidden/>
          </w:rPr>
          <w:instrText xml:space="preserve"> PAGEREF _Toc221115310 \h </w:instrText>
        </w:r>
        <w:r w:rsidRPr="008E1321">
          <w:rPr>
            <w:rFonts w:ascii="Times New Roman" w:hAnsi="Times New Roman" w:cs="Times New Roman"/>
            <w:noProof/>
            <w:webHidden/>
          </w:rPr>
        </w:r>
        <w:r w:rsidRPr="008E1321">
          <w:rPr>
            <w:rFonts w:ascii="Times New Roman" w:hAnsi="Times New Roman" w:cs="Times New Roman"/>
            <w:noProof/>
            <w:webHidden/>
          </w:rPr>
          <w:fldChar w:fldCharType="separate"/>
        </w:r>
        <w:r w:rsidR="00F70A97">
          <w:rPr>
            <w:rFonts w:ascii="Times New Roman" w:hAnsi="Times New Roman" w:cs="Times New Roman"/>
            <w:noProof/>
            <w:webHidden/>
          </w:rPr>
          <w:t>135</w:t>
        </w:r>
        <w:r w:rsidRPr="008E1321">
          <w:rPr>
            <w:rFonts w:ascii="Times New Roman" w:hAnsi="Times New Roman" w:cs="Times New Roman"/>
            <w:noProof/>
            <w:webHidden/>
          </w:rPr>
          <w:fldChar w:fldCharType="end"/>
        </w:r>
      </w:hyperlink>
    </w:p>
    <w:p w14:paraId="368BDC1B" w14:textId="74D8BFFC" w:rsidR="00931797" w:rsidRPr="008E1321" w:rsidRDefault="00931797">
      <w:pPr>
        <w:pStyle w:val="TOC3"/>
        <w:tabs>
          <w:tab w:val="right" w:leader="underscore" w:pos="9350"/>
        </w:tabs>
        <w:rPr>
          <w:rFonts w:ascii="Times New Roman" w:eastAsiaTheme="minorEastAsia" w:hAnsi="Times New Roman" w:cs="Times New Roman"/>
          <w:noProof/>
          <w:sz w:val="24"/>
          <w:szCs w:val="21"/>
          <w:lang w:eastAsia="en-IN"/>
        </w:rPr>
      </w:pPr>
      <w:hyperlink w:anchor="_Toc221115311" w:history="1">
        <w:r w:rsidRPr="008E1321">
          <w:rPr>
            <w:rStyle w:val="Hyperlink"/>
            <w:rFonts w:ascii="Times New Roman" w:hAnsi="Times New Roman" w:cs="Times New Roman"/>
            <w:noProof/>
          </w:rPr>
          <w:t>Table 8: State-wise revenue from general sales tax, sales tax on motor spirit and Central sales tax during 1965-66 to 1967-68</w:t>
        </w:r>
        <w:r w:rsidRPr="008E1321">
          <w:rPr>
            <w:rFonts w:ascii="Times New Roman" w:hAnsi="Times New Roman" w:cs="Times New Roman"/>
            <w:noProof/>
            <w:webHidden/>
          </w:rPr>
          <w:tab/>
        </w:r>
        <w:r w:rsidRPr="008E1321">
          <w:rPr>
            <w:rFonts w:ascii="Times New Roman" w:hAnsi="Times New Roman" w:cs="Times New Roman"/>
            <w:noProof/>
            <w:webHidden/>
          </w:rPr>
          <w:fldChar w:fldCharType="begin"/>
        </w:r>
        <w:r w:rsidRPr="008E1321">
          <w:rPr>
            <w:rFonts w:ascii="Times New Roman" w:hAnsi="Times New Roman" w:cs="Times New Roman"/>
            <w:noProof/>
            <w:webHidden/>
          </w:rPr>
          <w:instrText xml:space="preserve"> PAGEREF _Toc221115311 \h </w:instrText>
        </w:r>
        <w:r w:rsidRPr="008E1321">
          <w:rPr>
            <w:rFonts w:ascii="Times New Roman" w:hAnsi="Times New Roman" w:cs="Times New Roman"/>
            <w:noProof/>
            <w:webHidden/>
          </w:rPr>
        </w:r>
        <w:r w:rsidRPr="008E1321">
          <w:rPr>
            <w:rFonts w:ascii="Times New Roman" w:hAnsi="Times New Roman" w:cs="Times New Roman"/>
            <w:noProof/>
            <w:webHidden/>
          </w:rPr>
          <w:fldChar w:fldCharType="separate"/>
        </w:r>
        <w:r w:rsidR="00F70A97">
          <w:rPr>
            <w:rFonts w:ascii="Times New Roman" w:hAnsi="Times New Roman" w:cs="Times New Roman"/>
            <w:noProof/>
            <w:webHidden/>
          </w:rPr>
          <w:t>136</w:t>
        </w:r>
        <w:r w:rsidRPr="008E1321">
          <w:rPr>
            <w:rFonts w:ascii="Times New Roman" w:hAnsi="Times New Roman" w:cs="Times New Roman"/>
            <w:noProof/>
            <w:webHidden/>
          </w:rPr>
          <w:fldChar w:fldCharType="end"/>
        </w:r>
      </w:hyperlink>
    </w:p>
    <w:p w14:paraId="2E87B8B3" w14:textId="4761C0A8" w:rsidR="00931797" w:rsidRPr="008E1321" w:rsidRDefault="00931797">
      <w:pPr>
        <w:pStyle w:val="TOC3"/>
        <w:tabs>
          <w:tab w:val="right" w:leader="underscore" w:pos="9350"/>
        </w:tabs>
        <w:rPr>
          <w:rFonts w:ascii="Times New Roman" w:eastAsiaTheme="minorEastAsia" w:hAnsi="Times New Roman" w:cs="Times New Roman"/>
          <w:noProof/>
          <w:sz w:val="24"/>
          <w:szCs w:val="21"/>
          <w:lang w:eastAsia="en-IN"/>
        </w:rPr>
      </w:pPr>
      <w:hyperlink w:anchor="_Toc221115312" w:history="1">
        <w:r w:rsidRPr="008E1321">
          <w:rPr>
            <w:rStyle w:val="Hyperlink"/>
            <w:rFonts w:ascii="Times New Roman" w:hAnsi="Times New Roman" w:cs="Times New Roman"/>
            <w:noProof/>
          </w:rPr>
          <w:t>Table 9: Total of State tax revenues and per capita tax revenues in 1960-61 and 1965-66 to 1968-69 and targets of additional taxation and realisations thereof in the Third Plan and the three Annual Plans.</w:t>
        </w:r>
        <w:r w:rsidRPr="008E1321">
          <w:rPr>
            <w:rFonts w:ascii="Times New Roman" w:hAnsi="Times New Roman" w:cs="Times New Roman"/>
            <w:noProof/>
            <w:webHidden/>
          </w:rPr>
          <w:tab/>
        </w:r>
        <w:r w:rsidRPr="008E1321">
          <w:rPr>
            <w:rFonts w:ascii="Times New Roman" w:hAnsi="Times New Roman" w:cs="Times New Roman"/>
            <w:noProof/>
            <w:webHidden/>
          </w:rPr>
          <w:fldChar w:fldCharType="begin"/>
        </w:r>
        <w:r w:rsidRPr="008E1321">
          <w:rPr>
            <w:rFonts w:ascii="Times New Roman" w:hAnsi="Times New Roman" w:cs="Times New Roman"/>
            <w:noProof/>
            <w:webHidden/>
          </w:rPr>
          <w:instrText xml:space="preserve"> PAGEREF _Toc221115312 \h </w:instrText>
        </w:r>
        <w:r w:rsidRPr="008E1321">
          <w:rPr>
            <w:rFonts w:ascii="Times New Roman" w:hAnsi="Times New Roman" w:cs="Times New Roman"/>
            <w:noProof/>
            <w:webHidden/>
          </w:rPr>
        </w:r>
        <w:r w:rsidRPr="008E1321">
          <w:rPr>
            <w:rFonts w:ascii="Times New Roman" w:hAnsi="Times New Roman" w:cs="Times New Roman"/>
            <w:noProof/>
            <w:webHidden/>
          </w:rPr>
          <w:fldChar w:fldCharType="separate"/>
        </w:r>
        <w:r w:rsidR="00F70A97">
          <w:rPr>
            <w:rFonts w:ascii="Times New Roman" w:hAnsi="Times New Roman" w:cs="Times New Roman"/>
            <w:noProof/>
            <w:webHidden/>
          </w:rPr>
          <w:t>137</w:t>
        </w:r>
        <w:r w:rsidRPr="008E1321">
          <w:rPr>
            <w:rFonts w:ascii="Times New Roman" w:hAnsi="Times New Roman" w:cs="Times New Roman"/>
            <w:noProof/>
            <w:webHidden/>
          </w:rPr>
          <w:fldChar w:fldCharType="end"/>
        </w:r>
      </w:hyperlink>
    </w:p>
    <w:p w14:paraId="27C56A0B" w14:textId="11D29CAA" w:rsidR="00931797" w:rsidRPr="008E1321" w:rsidRDefault="00931797">
      <w:pPr>
        <w:pStyle w:val="TOC3"/>
        <w:tabs>
          <w:tab w:val="right" w:leader="underscore" w:pos="9350"/>
        </w:tabs>
        <w:rPr>
          <w:rFonts w:ascii="Times New Roman" w:eastAsiaTheme="minorEastAsia" w:hAnsi="Times New Roman" w:cs="Times New Roman"/>
          <w:noProof/>
          <w:sz w:val="24"/>
          <w:szCs w:val="21"/>
          <w:lang w:eastAsia="en-IN"/>
        </w:rPr>
      </w:pPr>
      <w:hyperlink w:anchor="_Toc221115313" w:history="1">
        <w:r w:rsidRPr="008E1321">
          <w:rPr>
            <w:rStyle w:val="Hyperlink"/>
            <w:rFonts w:ascii="Times New Roman" w:hAnsi="Times New Roman" w:cs="Times New Roman"/>
            <w:noProof/>
          </w:rPr>
          <w:t>Table 10: Targets of additional resource mobilisation agreed to by States for the Fourth Plan</w:t>
        </w:r>
        <w:r w:rsidRPr="008E1321">
          <w:rPr>
            <w:rFonts w:ascii="Times New Roman" w:hAnsi="Times New Roman" w:cs="Times New Roman"/>
            <w:noProof/>
            <w:webHidden/>
          </w:rPr>
          <w:tab/>
        </w:r>
        <w:r w:rsidRPr="008E1321">
          <w:rPr>
            <w:rFonts w:ascii="Times New Roman" w:hAnsi="Times New Roman" w:cs="Times New Roman"/>
            <w:noProof/>
            <w:webHidden/>
          </w:rPr>
          <w:fldChar w:fldCharType="begin"/>
        </w:r>
        <w:r w:rsidRPr="008E1321">
          <w:rPr>
            <w:rFonts w:ascii="Times New Roman" w:hAnsi="Times New Roman" w:cs="Times New Roman"/>
            <w:noProof/>
            <w:webHidden/>
          </w:rPr>
          <w:instrText xml:space="preserve"> PAGEREF _Toc221115313 \h </w:instrText>
        </w:r>
        <w:r w:rsidRPr="008E1321">
          <w:rPr>
            <w:rFonts w:ascii="Times New Roman" w:hAnsi="Times New Roman" w:cs="Times New Roman"/>
            <w:noProof/>
            <w:webHidden/>
          </w:rPr>
        </w:r>
        <w:r w:rsidRPr="008E1321">
          <w:rPr>
            <w:rFonts w:ascii="Times New Roman" w:hAnsi="Times New Roman" w:cs="Times New Roman"/>
            <w:noProof/>
            <w:webHidden/>
          </w:rPr>
          <w:fldChar w:fldCharType="separate"/>
        </w:r>
        <w:r w:rsidR="00F70A97">
          <w:rPr>
            <w:rFonts w:ascii="Times New Roman" w:hAnsi="Times New Roman" w:cs="Times New Roman"/>
            <w:noProof/>
            <w:webHidden/>
          </w:rPr>
          <w:t>139</w:t>
        </w:r>
        <w:r w:rsidRPr="008E1321">
          <w:rPr>
            <w:rFonts w:ascii="Times New Roman" w:hAnsi="Times New Roman" w:cs="Times New Roman"/>
            <w:noProof/>
            <w:webHidden/>
          </w:rPr>
          <w:fldChar w:fldCharType="end"/>
        </w:r>
      </w:hyperlink>
    </w:p>
    <w:p w14:paraId="5B81F89E" w14:textId="01B4C9C6" w:rsidR="00931797" w:rsidRPr="008E1321" w:rsidRDefault="00931797">
      <w:pPr>
        <w:pStyle w:val="TOC3"/>
        <w:tabs>
          <w:tab w:val="right" w:leader="underscore" w:pos="9350"/>
        </w:tabs>
        <w:rPr>
          <w:rFonts w:ascii="Times New Roman" w:eastAsiaTheme="minorEastAsia" w:hAnsi="Times New Roman" w:cs="Times New Roman"/>
          <w:noProof/>
          <w:sz w:val="24"/>
          <w:szCs w:val="21"/>
          <w:lang w:eastAsia="en-IN"/>
        </w:rPr>
      </w:pPr>
      <w:hyperlink w:anchor="_Toc221115314" w:history="1">
        <w:r w:rsidRPr="008E1321">
          <w:rPr>
            <w:rStyle w:val="Hyperlink"/>
            <w:rFonts w:ascii="Times New Roman" w:hAnsi="Times New Roman" w:cs="Times New Roman"/>
            <w:noProof/>
          </w:rPr>
          <w:t>Table 11: Tax revenues and non-tax revenues of States in 1967-68</w:t>
        </w:r>
        <w:r w:rsidRPr="008E1321">
          <w:rPr>
            <w:rFonts w:ascii="Times New Roman" w:hAnsi="Times New Roman" w:cs="Times New Roman"/>
            <w:noProof/>
            <w:webHidden/>
          </w:rPr>
          <w:tab/>
        </w:r>
        <w:r w:rsidRPr="008E1321">
          <w:rPr>
            <w:rFonts w:ascii="Times New Roman" w:hAnsi="Times New Roman" w:cs="Times New Roman"/>
            <w:noProof/>
            <w:webHidden/>
          </w:rPr>
          <w:fldChar w:fldCharType="begin"/>
        </w:r>
        <w:r w:rsidRPr="008E1321">
          <w:rPr>
            <w:rFonts w:ascii="Times New Roman" w:hAnsi="Times New Roman" w:cs="Times New Roman"/>
            <w:noProof/>
            <w:webHidden/>
          </w:rPr>
          <w:instrText xml:space="preserve"> PAGEREF _Toc221115314 \h </w:instrText>
        </w:r>
        <w:r w:rsidRPr="008E1321">
          <w:rPr>
            <w:rFonts w:ascii="Times New Roman" w:hAnsi="Times New Roman" w:cs="Times New Roman"/>
            <w:noProof/>
            <w:webHidden/>
          </w:rPr>
        </w:r>
        <w:r w:rsidRPr="008E1321">
          <w:rPr>
            <w:rFonts w:ascii="Times New Roman" w:hAnsi="Times New Roman" w:cs="Times New Roman"/>
            <w:noProof/>
            <w:webHidden/>
          </w:rPr>
          <w:fldChar w:fldCharType="separate"/>
        </w:r>
        <w:r w:rsidR="00F70A97">
          <w:rPr>
            <w:rFonts w:ascii="Times New Roman" w:hAnsi="Times New Roman" w:cs="Times New Roman"/>
            <w:noProof/>
            <w:webHidden/>
          </w:rPr>
          <w:t>140</w:t>
        </w:r>
        <w:r w:rsidRPr="008E1321">
          <w:rPr>
            <w:rFonts w:ascii="Times New Roman" w:hAnsi="Times New Roman" w:cs="Times New Roman"/>
            <w:noProof/>
            <w:webHidden/>
          </w:rPr>
          <w:fldChar w:fldCharType="end"/>
        </w:r>
      </w:hyperlink>
    </w:p>
    <w:p w14:paraId="242BB053" w14:textId="0C338177" w:rsidR="00931797" w:rsidRPr="008E1321" w:rsidRDefault="00931797">
      <w:pPr>
        <w:pStyle w:val="TOC3"/>
        <w:tabs>
          <w:tab w:val="right" w:leader="underscore" w:pos="9350"/>
        </w:tabs>
        <w:rPr>
          <w:rFonts w:ascii="Times New Roman" w:eastAsiaTheme="minorEastAsia" w:hAnsi="Times New Roman" w:cs="Times New Roman"/>
          <w:noProof/>
          <w:sz w:val="24"/>
          <w:szCs w:val="21"/>
          <w:lang w:eastAsia="en-IN"/>
        </w:rPr>
      </w:pPr>
      <w:hyperlink w:anchor="_Toc221115315" w:history="1">
        <w:r w:rsidRPr="008E1321">
          <w:rPr>
            <w:rStyle w:val="Hyperlink"/>
            <w:rFonts w:ascii="Times New Roman" w:hAnsi="Times New Roman" w:cs="Times New Roman"/>
            <w:noProof/>
          </w:rPr>
          <w:t>Table 12: States’ income for 1962-63 to 1964-65 (average), tax revenues in 1967-68 and tax revenues as proportion of the State incomes</w:t>
        </w:r>
        <w:r w:rsidRPr="008E1321">
          <w:rPr>
            <w:rFonts w:ascii="Times New Roman" w:hAnsi="Times New Roman" w:cs="Times New Roman"/>
            <w:noProof/>
            <w:webHidden/>
          </w:rPr>
          <w:tab/>
        </w:r>
        <w:r w:rsidRPr="008E1321">
          <w:rPr>
            <w:rFonts w:ascii="Times New Roman" w:hAnsi="Times New Roman" w:cs="Times New Roman"/>
            <w:noProof/>
            <w:webHidden/>
          </w:rPr>
          <w:fldChar w:fldCharType="begin"/>
        </w:r>
        <w:r w:rsidRPr="008E1321">
          <w:rPr>
            <w:rFonts w:ascii="Times New Roman" w:hAnsi="Times New Roman" w:cs="Times New Roman"/>
            <w:noProof/>
            <w:webHidden/>
          </w:rPr>
          <w:instrText xml:space="preserve"> PAGEREF _Toc221115315 \h </w:instrText>
        </w:r>
        <w:r w:rsidRPr="008E1321">
          <w:rPr>
            <w:rFonts w:ascii="Times New Roman" w:hAnsi="Times New Roman" w:cs="Times New Roman"/>
            <w:noProof/>
            <w:webHidden/>
          </w:rPr>
        </w:r>
        <w:r w:rsidRPr="008E1321">
          <w:rPr>
            <w:rFonts w:ascii="Times New Roman" w:hAnsi="Times New Roman" w:cs="Times New Roman"/>
            <w:noProof/>
            <w:webHidden/>
          </w:rPr>
          <w:fldChar w:fldCharType="separate"/>
        </w:r>
        <w:r w:rsidR="00F70A97">
          <w:rPr>
            <w:rFonts w:ascii="Times New Roman" w:hAnsi="Times New Roman" w:cs="Times New Roman"/>
            <w:noProof/>
            <w:webHidden/>
          </w:rPr>
          <w:t>141</w:t>
        </w:r>
        <w:r w:rsidRPr="008E1321">
          <w:rPr>
            <w:rFonts w:ascii="Times New Roman" w:hAnsi="Times New Roman" w:cs="Times New Roman"/>
            <w:noProof/>
            <w:webHidden/>
          </w:rPr>
          <w:fldChar w:fldCharType="end"/>
        </w:r>
      </w:hyperlink>
    </w:p>
    <w:p w14:paraId="3B181B59" w14:textId="5716E2AF" w:rsidR="00931797" w:rsidRPr="008E1321" w:rsidRDefault="00931797">
      <w:pPr>
        <w:pStyle w:val="TOC3"/>
        <w:tabs>
          <w:tab w:val="right" w:leader="underscore" w:pos="9350"/>
        </w:tabs>
        <w:rPr>
          <w:rFonts w:ascii="Times New Roman" w:eastAsiaTheme="minorEastAsia" w:hAnsi="Times New Roman" w:cs="Times New Roman"/>
          <w:noProof/>
          <w:sz w:val="24"/>
          <w:szCs w:val="21"/>
          <w:lang w:eastAsia="en-IN"/>
        </w:rPr>
      </w:pPr>
      <w:hyperlink w:anchor="_Toc221115316" w:history="1">
        <w:r w:rsidRPr="008E1321">
          <w:rPr>
            <w:rStyle w:val="Hyperlink"/>
            <w:rFonts w:ascii="Times New Roman" w:hAnsi="Times New Roman" w:cs="Times New Roman"/>
            <w:noProof/>
          </w:rPr>
          <w:t>Table 13: All-States tax revenues as percentage of national income from 1950-51 to 1967-68</w:t>
        </w:r>
        <w:r w:rsidRPr="008E1321">
          <w:rPr>
            <w:rFonts w:ascii="Times New Roman" w:hAnsi="Times New Roman" w:cs="Times New Roman"/>
            <w:noProof/>
            <w:webHidden/>
          </w:rPr>
          <w:tab/>
        </w:r>
        <w:r w:rsidRPr="008E1321">
          <w:rPr>
            <w:rFonts w:ascii="Times New Roman" w:hAnsi="Times New Roman" w:cs="Times New Roman"/>
            <w:noProof/>
            <w:webHidden/>
          </w:rPr>
          <w:fldChar w:fldCharType="begin"/>
        </w:r>
        <w:r w:rsidRPr="008E1321">
          <w:rPr>
            <w:rFonts w:ascii="Times New Roman" w:hAnsi="Times New Roman" w:cs="Times New Roman"/>
            <w:noProof/>
            <w:webHidden/>
          </w:rPr>
          <w:instrText xml:space="preserve"> PAGEREF _Toc221115316 \h </w:instrText>
        </w:r>
        <w:r w:rsidRPr="008E1321">
          <w:rPr>
            <w:rFonts w:ascii="Times New Roman" w:hAnsi="Times New Roman" w:cs="Times New Roman"/>
            <w:noProof/>
            <w:webHidden/>
          </w:rPr>
        </w:r>
        <w:r w:rsidRPr="008E1321">
          <w:rPr>
            <w:rFonts w:ascii="Times New Roman" w:hAnsi="Times New Roman" w:cs="Times New Roman"/>
            <w:noProof/>
            <w:webHidden/>
          </w:rPr>
          <w:fldChar w:fldCharType="separate"/>
        </w:r>
        <w:r w:rsidR="00F70A97">
          <w:rPr>
            <w:rFonts w:ascii="Times New Roman" w:hAnsi="Times New Roman" w:cs="Times New Roman"/>
            <w:noProof/>
            <w:webHidden/>
          </w:rPr>
          <w:t>142</w:t>
        </w:r>
        <w:r w:rsidRPr="008E1321">
          <w:rPr>
            <w:rFonts w:ascii="Times New Roman" w:hAnsi="Times New Roman" w:cs="Times New Roman"/>
            <w:noProof/>
            <w:webHidden/>
          </w:rPr>
          <w:fldChar w:fldCharType="end"/>
        </w:r>
      </w:hyperlink>
    </w:p>
    <w:p w14:paraId="26DDEBD7" w14:textId="2A1CFFBB" w:rsidR="00931797" w:rsidRPr="008E1321" w:rsidRDefault="00931797">
      <w:pPr>
        <w:pStyle w:val="TOC3"/>
        <w:tabs>
          <w:tab w:val="right" w:leader="underscore" w:pos="9350"/>
        </w:tabs>
        <w:rPr>
          <w:rFonts w:ascii="Times New Roman" w:eastAsiaTheme="minorEastAsia" w:hAnsi="Times New Roman" w:cs="Times New Roman"/>
          <w:noProof/>
          <w:sz w:val="24"/>
          <w:szCs w:val="21"/>
          <w:lang w:eastAsia="en-IN"/>
        </w:rPr>
      </w:pPr>
      <w:hyperlink w:anchor="_Toc221115317" w:history="1">
        <w:r w:rsidRPr="008E1321">
          <w:rPr>
            <w:rStyle w:val="Hyperlink"/>
            <w:rFonts w:ascii="Times New Roman" w:hAnsi="Times New Roman" w:cs="Times New Roman"/>
            <w:noProof/>
          </w:rPr>
          <w:t>Table 14: Per capita revenue from important State taxes in 1967-68</w:t>
        </w:r>
        <w:r w:rsidRPr="008E1321">
          <w:rPr>
            <w:rFonts w:ascii="Times New Roman" w:hAnsi="Times New Roman" w:cs="Times New Roman"/>
            <w:noProof/>
            <w:webHidden/>
          </w:rPr>
          <w:tab/>
        </w:r>
        <w:r w:rsidRPr="008E1321">
          <w:rPr>
            <w:rFonts w:ascii="Times New Roman" w:hAnsi="Times New Roman" w:cs="Times New Roman"/>
            <w:noProof/>
            <w:webHidden/>
          </w:rPr>
          <w:fldChar w:fldCharType="begin"/>
        </w:r>
        <w:r w:rsidRPr="008E1321">
          <w:rPr>
            <w:rFonts w:ascii="Times New Roman" w:hAnsi="Times New Roman" w:cs="Times New Roman"/>
            <w:noProof/>
            <w:webHidden/>
          </w:rPr>
          <w:instrText xml:space="preserve"> PAGEREF _Toc221115317 \h </w:instrText>
        </w:r>
        <w:r w:rsidRPr="008E1321">
          <w:rPr>
            <w:rFonts w:ascii="Times New Roman" w:hAnsi="Times New Roman" w:cs="Times New Roman"/>
            <w:noProof/>
            <w:webHidden/>
          </w:rPr>
        </w:r>
        <w:r w:rsidRPr="008E1321">
          <w:rPr>
            <w:rFonts w:ascii="Times New Roman" w:hAnsi="Times New Roman" w:cs="Times New Roman"/>
            <w:noProof/>
            <w:webHidden/>
          </w:rPr>
          <w:fldChar w:fldCharType="separate"/>
        </w:r>
        <w:r w:rsidR="00F70A97">
          <w:rPr>
            <w:rFonts w:ascii="Times New Roman" w:hAnsi="Times New Roman" w:cs="Times New Roman"/>
            <w:noProof/>
            <w:webHidden/>
          </w:rPr>
          <w:t>143</w:t>
        </w:r>
        <w:r w:rsidRPr="008E1321">
          <w:rPr>
            <w:rFonts w:ascii="Times New Roman" w:hAnsi="Times New Roman" w:cs="Times New Roman"/>
            <w:noProof/>
            <w:webHidden/>
          </w:rPr>
          <w:fldChar w:fldCharType="end"/>
        </w:r>
      </w:hyperlink>
    </w:p>
    <w:p w14:paraId="2AAD6E06" w14:textId="431683C2" w:rsidR="00931797" w:rsidRPr="008E1321" w:rsidRDefault="00931797">
      <w:pPr>
        <w:pStyle w:val="TOC3"/>
        <w:tabs>
          <w:tab w:val="right" w:leader="underscore" w:pos="9350"/>
        </w:tabs>
        <w:rPr>
          <w:rFonts w:ascii="Times New Roman" w:eastAsiaTheme="minorEastAsia" w:hAnsi="Times New Roman" w:cs="Times New Roman"/>
          <w:noProof/>
          <w:sz w:val="24"/>
          <w:szCs w:val="21"/>
          <w:lang w:eastAsia="en-IN"/>
        </w:rPr>
      </w:pPr>
      <w:hyperlink w:anchor="_Toc221115318" w:history="1">
        <w:r w:rsidRPr="008E1321">
          <w:rPr>
            <w:rStyle w:val="Hyperlink"/>
            <w:rFonts w:ascii="Times New Roman" w:hAnsi="Times New Roman" w:cs="Times New Roman"/>
            <w:noProof/>
          </w:rPr>
          <w:t>Table 15: Per capita tax revenues in 1967-68 as percentage of per capita incomes for 1962-63 to 1964-65 (average)</w:t>
        </w:r>
        <w:r w:rsidRPr="008E1321">
          <w:rPr>
            <w:rFonts w:ascii="Times New Roman" w:hAnsi="Times New Roman" w:cs="Times New Roman"/>
            <w:noProof/>
            <w:webHidden/>
          </w:rPr>
          <w:tab/>
        </w:r>
        <w:r w:rsidRPr="008E1321">
          <w:rPr>
            <w:rFonts w:ascii="Times New Roman" w:hAnsi="Times New Roman" w:cs="Times New Roman"/>
            <w:noProof/>
            <w:webHidden/>
          </w:rPr>
          <w:fldChar w:fldCharType="begin"/>
        </w:r>
        <w:r w:rsidRPr="008E1321">
          <w:rPr>
            <w:rFonts w:ascii="Times New Roman" w:hAnsi="Times New Roman" w:cs="Times New Roman"/>
            <w:noProof/>
            <w:webHidden/>
          </w:rPr>
          <w:instrText xml:space="preserve"> PAGEREF _Toc221115318 \h </w:instrText>
        </w:r>
        <w:r w:rsidRPr="008E1321">
          <w:rPr>
            <w:rFonts w:ascii="Times New Roman" w:hAnsi="Times New Roman" w:cs="Times New Roman"/>
            <w:noProof/>
            <w:webHidden/>
          </w:rPr>
        </w:r>
        <w:r w:rsidRPr="008E1321">
          <w:rPr>
            <w:rFonts w:ascii="Times New Roman" w:hAnsi="Times New Roman" w:cs="Times New Roman"/>
            <w:noProof/>
            <w:webHidden/>
          </w:rPr>
          <w:fldChar w:fldCharType="separate"/>
        </w:r>
        <w:r w:rsidR="00F70A97">
          <w:rPr>
            <w:rFonts w:ascii="Times New Roman" w:hAnsi="Times New Roman" w:cs="Times New Roman"/>
            <w:noProof/>
            <w:webHidden/>
          </w:rPr>
          <w:t>144</w:t>
        </w:r>
        <w:r w:rsidRPr="008E1321">
          <w:rPr>
            <w:rFonts w:ascii="Times New Roman" w:hAnsi="Times New Roman" w:cs="Times New Roman"/>
            <w:noProof/>
            <w:webHidden/>
          </w:rPr>
          <w:fldChar w:fldCharType="end"/>
        </w:r>
      </w:hyperlink>
    </w:p>
    <w:p w14:paraId="5A62AAA1" w14:textId="3B3E0668" w:rsidR="00931797" w:rsidRPr="008E1321" w:rsidRDefault="00931797">
      <w:pPr>
        <w:pStyle w:val="TOC3"/>
        <w:tabs>
          <w:tab w:val="right" w:leader="underscore" w:pos="9350"/>
        </w:tabs>
        <w:rPr>
          <w:rFonts w:ascii="Times New Roman" w:eastAsiaTheme="minorEastAsia" w:hAnsi="Times New Roman" w:cs="Times New Roman"/>
          <w:noProof/>
          <w:sz w:val="24"/>
          <w:szCs w:val="21"/>
          <w:lang w:eastAsia="en-IN"/>
        </w:rPr>
      </w:pPr>
      <w:hyperlink w:anchor="_Toc221115319" w:history="1">
        <w:r w:rsidRPr="008E1321">
          <w:rPr>
            <w:rStyle w:val="Hyperlink"/>
            <w:rFonts w:ascii="Times New Roman" w:hAnsi="Times New Roman" w:cs="Times New Roman"/>
            <w:noProof/>
          </w:rPr>
          <w:t>Table 16: Incidence of land revenue per hectare of net area sown</w:t>
        </w:r>
        <w:r w:rsidRPr="008E1321">
          <w:rPr>
            <w:rFonts w:ascii="Times New Roman" w:hAnsi="Times New Roman" w:cs="Times New Roman"/>
            <w:noProof/>
            <w:webHidden/>
          </w:rPr>
          <w:tab/>
        </w:r>
        <w:r w:rsidRPr="008E1321">
          <w:rPr>
            <w:rFonts w:ascii="Times New Roman" w:hAnsi="Times New Roman" w:cs="Times New Roman"/>
            <w:noProof/>
            <w:webHidden/>
          </w:rPr>
          <w:fldChar w:fldCharType="begin"/>
        </w:r>
        <w:r w:rsidRPr="008E1321">
          <w:rPr>
            <w:rFonts w:ascii="Times New Roman" w:hAnsi="Times New Roman" w:cs="Times New Roman"/>
            <w:noProof/>
            <w:webHidden/>
          </w:rPr>
          <w:instrText xml:space="preserve"> PAGEREF _Toc221115319 \h </w:instrText>
        </w:r>
        <w:r w:rsidRPr="008E1321">
          <w:rPr>
            <w:rFonts w:ascii="Times New Roman" w:hAnsi="Times New Roman" w:cs="Times New Roman"/>
            <w:noProof/>
            <w:webHidden/>
          </w:rPr>
        </w:r>
        <w:r w:rsidRPr="008E1321">
          <w:rPr>
            <w:rFonts w:ascii="Times New Roman" w:hAnsi="Times New Roman" w:cs="Times New Roman"/>
            <w:noProof/>
            <w:webHidden/>
          </w:rPr>
          <w:fldChar w:fldCharType="separate"/>
        </w:r>
        <w:r w:rsidR="00F70A97">
          <w:rPr>
            <w:rFonts w:ascii="Times New Roman" w:hAnsi="Times New Roman" w:cs="Times New Roman"/>
            <w:noProof/>
            <w:webHidden/>
          </w:rPr>
          <w:t>145</w:t>
        </w:r>
        <w:r w:rsidRPr="008E1321">
          <w:rPr>
            <w:rFonts w:ascii="Times New Roman" w:hAnsi="Times New Roman" w:cs="Times New Roman"/>
            <w:noProof/>
            <w:webHidden/>
          </w:rPr>
          <w:fldChar w:fldCharType="end"/>
        </w:r>
      </w:hyperlink>
    </w:p>
    <w:p w14:paraId="1638C326" w14:textId="7694DD1A" w:rsidR="00931797" w:rsidRPr="008E1321" w:rsidRDefault="00931797">
      <w:pPr>
        <w:pStyle w:val="TOC3"/>
        <w:tabs>
          <w:tab w:val="right" w:leader="underscore" w:pos="9350"/>
        </w:tabs>
        <w:rPr>
          <w:rFonts w:ascii="Times New Roman" w:eastAsiaTheme="minorEastAsia" w:hAnsi="Times New Roman" w:cs="Times New Roman"/>
          <w:noProof/>
          <w:sz w:val="24"/>
          <w:szCs w:val="21"/>
          <w:lang w:eastAsia="en-IN"/>
        </w:rPr>
      </w:pPr>
      <w:hyperlink w:anchor="_Toc221115320" w:history="1">
        <w:r w:rsidRPr="008E1321">
          <w:rPr>
            <w:rStyle w:val="Hyperlink"/>
            <w:rFonts w:ascii="Times New Roman" w:hAnsi="Times New Roman" w:cs="Times New Roman"/>
            <w:noProof/>
          </w:rPr>
          <w:t>Table 17: Arrears of Tax Revenues</w:t>
        </w:r>
        <w:r w:rsidRPr="008E1321">
          <w:rPr>
            <w:rFonts w:ascii="Times New Roman" w:hAnsi="Times New Roman" w:cs="Times New Roman"/>
            <w:noProof/>
            <w:webHidden/>
          </w:rPr>
          <w:tab/>
        </w:r>
        <w:r w:rsidRPr="008E1321">
          <w:rPr>
            <w:rFonts w:ascii="Times New Roman" w:hAnsi="Times New Roman" w:cs="Times New Roman"/>
            <w:noProof/>
            <w:webHidden/>
          </w:rPr>
          <w:fldChar w:fldCharType="begin"/>
        </w:r>
        <w:r w:rsidRPr="008E1321">
          <w:rPr>
            <w:rFonts w:ascii="Times New Roman" w:hAnsi="Times New Roman" w:cs="Times New Roman"/>
            <w:noProof/>
            <w:webHidden/>
          </w:rPr>
          <w:instrText xml:space="preserve"> PAGEREF _Toc221115320 \h </w:instrText>
        </w:r>
        <w:r w:rsidRPr="008E1321">
          <w:rPr>
            <w:rFonts w:ascii="Times New Roman" w:hAnsi="Times New Roman" w:cs="Times New Roman"/>
            <w:noProof/>
            <w:webHidden/>
          </w:rPr>
        </w:r>
        <w:r w:rsidRPr="008E1321">
          <w:rPr>
            <w:rFonts w:ascii="Times New Roman" w:hAnsi="Times New Roman" w:cs="Times New Roman"/>
            <w:noProof/>
            <w:webHidden/>
          </w:rPr>
          <w:fldChar w:fldCharType="separate"/>
        </w:r>
        <w:r w:rsidR="00F70A97">
          <w:rPr>
            <w:rFonts w:ascii="Times New Roman" w:hAnsi="Times New Roman" w:cs="Times New Roman"/>
            <w:noProof/>
            <w:webHidden/>
          </w:rPr>
          <w:t>146</w:t>
        </w:r>
        <w:r w:rsidRPr="008E1321">
          <w:rPr>
            <w:rFonts w:ascii="Times New Roman" w:hAnsi="Times New Roman" w:cs="Times New Roman"/>
            <w:noProof/>
            <w:webHidden/>
          </w:rPr>
          <w:fldChar w:fldCharType="end"/>
        </w:r>
      </w:hyperlink>
    </w:p>
    <w:p w14:paraId="1AA3486C" w14:textId="54FB82F3" w:rsidR="00931797" w:rsidRPr="008E1321" w:rsidRDefault="00931797">
      <w:pPr>
        <w:pStyle w:val="TOC3"/>
        <w:tabs>
          <w:tab w:val="right" w:leader="underscore" w:pos="9350"/>
        </w:tabs>
        <w:rPr>
          <w:rFonts w:ascii="Times New Roman" w:eastAsiaTheme="minorEastAsia" w:hAnsi="Times New Roman" w:cs="Times New Roman"/>
          <w:noProof/>
          <w:sz w:val="24"/>
          <w:szCs w:val="21"/>
          <w:lang w:eastAsia="en-IN"/>
        </w:rPr>
      </w:pPr>
      <w:hyperlink w:anchor="_Toc221115321" w:history="1">
        <w:r w:rsidRPr="008E1321">
          <w:rPr>
            <w:rStyle w:val="Hyperlink"/>
            <w:rFonts w:ascii="Times New Roman" w:hAnsi="Times New Roman" w:cs="Times New Roman"/>
            <w:noProof/>
          </w:rPr>
          <w:t>Table 18: Percentage of land revenue arrears to the total demand</w:t>
        </w:r>
        <w:r w:rsidRPr="008E1321">
          <w:rPr>
            <w:rFonts w:ascii="Times New Roman" w:hAnsi="Times New Roman" w:cs="Times New Roman"/>
            <w:noProof/>
            <w:webHidden/>
          </w:rPr>
          <w:tab/>
        </w:r>
        <w:r w:rsidRPr="008E1321">
          <w:rPr>
            <w:rFonts w:ascii="Times New Roman" w:hAnsi="Times New Roman" w:cs="Times New Roman"/>
            <w:noProof/>
            <w:webHidden/>
          </w:rPr>
          <w:fldChar w:fldCharType="begin"/>
        </w:r>
        <w:r w:rsidRPr="008E1321">
          <w:rPr>
            <w:rFonts w:ascii="Times New Roman" w:hAnsi="Times New Roman" w:cs="Times New Roman"/>
            <w:noProof/>
            <w:webHidden/>
          </w:rPr>
          <w:instrText xml:space="preserve"> PAGEREF _Toc221115321 \h </w:instrText>
        </w:r>
        <w:r w:rsidRPr="008E1321">
          <w:rPr>
            <w:rFonts w:ascii="Times New Roman" w:hAnsi="Times New Roman" w:cs="Times New Roman"/>
            <w:noProof/>
            <w:webHidden/>
          </w:rPr>
        </w:r>
        <w:r w:rsidRPr="008E1321">
          <w:rPr>
            <w:rFonts w:ascii="Times New Roman" w:hAnsi="Times New Roman" w:cs="Times New Roman"/>
            <w:noProof/>
            <w:webHidden/>
          </w:rPr>
          <w:fldChar w:fldCharType="separate"/>
        </w:r>
        <w:r w:rsidR="00F70A97">
          <w:rPr>
            <w:rFonts w:ascii="Times New Roman" w:hAnsi="Times New Roman" w:cs="Times New Roman"/>
            <w:noProof/>
            <w:webHidden/>
          </w:rPr>
          <w:t>147</w:t>
        </w:r>
        <w:r w:rsidRPr="008E1321">
          <w:rPr>
            <w:rFonts w:ascii="Times New Roman" w:hAnsi="Times New Roman" w:cs="Times New Roman"/>
            <w:noProof/>
            <w:webHidden/>
          </w:rPr>
          <w:fldChar w:fldCharType="end"/>
        </w:r>
      </w:hyperlink>
    </w:p>
    <w:p w14:paraId="051E12E2" w14:textId="3576148F" w:rsidR="00931797" w:rsidRPr="008E1321" w:rsidRDefault="00931797">
      <w:pPr>
        <w:pStyle w:val="TOC3"/>
        <w:tabs>
          <w:tab w:val="right" w:leader="underscore" w:pos="9350"/>
        </w:tabs>
        <w:rPr>
          <w:rFonts w:ascii="Times New Roman" w:eastAsiaTheme="minorEastAsia" w:hAnsi="Times New Roman" w:cs="Times New Roman"/>
          <w:noProof/>
          <w:sz w:val="24"/>
          <w:szCs w:val="21"/>
          <w:lang w:eastAsia="en-IN"/>
        </w:rPr>
      </w:pPr>
      <w:hyperlink w:anchor="_Toc221115322" w:history="1">
        <w:r w:rsidRPr="008E1321">
          <w:rPr>
            <w:rStyle w:val="Hyperlink"/>
            <w:rFonts w:ascii="Times New Roman" w:hAnsi="Times New Roman" w:cs="Times New Roman"/>
            <w:noProof/>
          </w:rPr>
          <w:t>Table 19: Percentage of Sales Tax arrears to the total demand</w:t>
        </w:r>
        <w:r w:rsidRPr="008E1321">
          <w:rPr>
            <w:rFonts w:ascii="Times New Roman" w:hAnsi="Times New Roman" w:cs="Times New Roman"/>
            <w:noProof/>
            <w:webHidden/>
          </w:rPr>
          <w:tab/>
        </w:r>
        <w:r w:rsidRPr="008E1321">
          <w:rPr>
            <w:rFonts w:ascii="Times New Roman" w:hAnsi="Times New Roman" w:cs="Times New Roman"/>
            <w:noProof/>
            <w:webHidden/>
          </w:rPr>
          <w:fldChar w:fldCharType="begin"/>
        </w:r>
        <w:r w:rsidRPr="008E1321">
          <w:rPr>
            <w:rFonts w:ascii="Times New Roman" w:hAnsi="Times New Roman" w:cs="Times New Roman"/>
            <w:noProof/>
            <w:webHidden/>
          </w:rPr>
          <w:instrText xml:space="preserve"> PAGEREF _Toc221115322 \h </w:instrText>
        </w:r>
        <w:r w:rsidRPr="008E1321">
          <w:rPr>
            <w:rFonts w:ascii="Times New Roman" w:hAnsi="Times New Roman" w:cs="Times New Roman"/>
            <w:noProof/>
            <w:webHidden/>
          </w:rPr>
        </w:r>
        <w:r w:rsidRPr="008E1321">
          <w:rPr>
            <w:rFonts w:ascii="Times New Roman" w:hAnsi="Times New Roman" w:cs="Times New Roman"/>
            <w:noProof/>
            <w:webHidden/>
          </w:rPr>
          <w:fldChar w:fldCharType="separate"/>
        </w:r>
        <w:r w:rsidR="00F70A97">
          <w:rPr>
            <w:rFonts w:ascii="Times New Roman" w:hAnsi="Times New Roman" w:cs="Times New Roman"/>
            <w:noProof/>
            <w:webHidden/>
          </w:rPr>
          <w:t>148</w:t>
        </w:r>
        <w:r w:rsidRPr="008E1321">
          <w:rPr>
            <w:rFonts w:ascii="Times New Roman" w:hAnsi="Times New Roman" w:cs="Times New Roman"/>
            <w:noProof/>
            <w:webHidden/>
          </w:rPr>
          <w:fldChar w:fldCharType="end"/>
        </w:r>
      </w:hyperlink>
    </w:p>
    <w:p w14:paraId="6DC70BB1" w14:textId="1E1E8784" w:rsidR="00931797" w:rsidRPr="008E1321" w:rsidRDefault="00931797">
      <w:pPr>
        <w:pStyle w:val="TOC3"/>
        <w:tabs>
          <w:tab w:val="right" w:leader="underscore" w:pos="9350"/>
        </w:tabs>
        <w:rPr>
          <w:rFonts w:ascii="Times New Roman" w:eastAsiaTheme="minorEastAsia" w:hAnsi="Times New Roman" w:cs="Times New Roman"/>
          <w:noProof/>
          <w:sz w:val="24"/>
          <w:szCs w:val="21"/>
          <w:lang w:eastAsia="en-IN"/>
        </w:rPr>
      </w:pPr>
      <w:hyperlink w:anchor="_Toc221115323" w:history="1">
        <w:r w:rsidRPr="008E1321">
          <w:rPr>
            <w:rStyle w:val="Hyperlink"/>
            <w:rFonts w:ascii="Times New Roman" w:hAnsi="Times New Roman" w:cs="Times New Roman"/>
            <w:noProof/>
          </w:rPr>
          <w:t>Table 20: Rates of General Sales Tax on Important Commodities  (In terms of percentage of the value)</w:t>
        </w:r>
        <w:r w:rsidRPr="008E1321">
          <w:rPr>
            <w:rFonts w:ascii="Times New Roman" w:hAnsi="Times New Roman" w:cs="Times New Roman"/>
            <w:noProof/>
            <w:webHidden/>
          </w:rPr>
          <w:tab/>
        </w:r>
        <w:r w:rsidRPr="008E1321">
          <w:rPr>
            <w:rFonts w:ascii="Times New Roman" w:hAnsi="Times New Roman" w:cs="Times New Roman"/>
            <w:noProof/>
            <w:webHidden/>
          </w:rPr>
          <w:fldChar w:fldCharType="begin"/>
        </w:r>
        <w:r w:rsidRPr="008E1321">
          <w:rPr>
            <w:rFonts w:ascii="Times New Roman" w:hAnsi="Times New Roman" w:cs="Times New Roman"/>
            <w:noProof/>
            <w:webHidden/>
          </w:rPr>
          <w:instrText xml:space="preserve"> PAGEREF _Toc221115323 \h </w:instrText>
        </w:r>
        <w:r w:rsidRPr="008E1321">
          <w:rPr>
            <w:rFonts w:ascii="Times New Roman" w:hAnsi="Times New Roman" w:cs="Times New Roman"/>
            <w:noProof/>
            <w:webHidden/>
          </w:rPr>
        </w:r>
        <w:r w:rsidRPr="008E1321">
          <w:rPr>
            <w:rFonts w:ascii="Times New Roman" w:hAnsi="Times New Roman" w:cs="Times New Roman"/>
            <w:noProof/>
            <w:webHidden/>
          </w:rPr>
          <w:fldChar w:fldCharType="separate"/>
        </w:r>
        <w:r w:rsidR="00F70A97">
          <w:rPr>
            <w:rFonts w:ascii="Times New Roman" w:hAnsi="Times New Roman" w:cs="Times New Roman"/>
            <w:noProof/>
            <w:webHidden/>
          </w:rPr>
          <w:t>149</w:t>
        </w:r>
        <w:r w:rsidRPr="008E1321">
          <w:rPr>
            <w:rFonts w:ascii="Times New Roman" w:hAnsi="Times New Roman" w:cs="Times New Roman"/>
            <w:noProof/>
            <w:webHidden/>
          </w:rPr>
          <w:fldChar w:fldCharType="end"/>
        </w:r>
      </w:hyperlink>
    </w:p>
    <w:p w14:paraId="081869DC" w14:textId="33A07B2C" w:rsidR="00931797" w:rsidRPr="008E1321" w:rsidRDefault="00931797">
      <w:pPr>
        <w:pStyle w:val="TOC3"/>
        <w:tabs>
          <w:tab w:val="right" w:leader="underscore" w:pos="9350"/>
        </w:tabs>
        <w:rPr>
          <w:rFonts w:ascii="Times New Roman" w:eastAsiaTheme="minorEastAsia" w:hAnsi="Times New Roman" w:cs="Times New Roman"/>
          <w:noProof/>
          <w:sz w:val="24"/>
          <w:szCs w:val="21"/>
          <w:lang w:eastAsia="en-IN"/>
        </w:rPr>
      </w:pPr>
      <w:hyperlink w:anchor="_Toc221115324" w:history="1">
        <w:r w:rsidRPr="008E1321">
          <w:rPr>
            <w:rStyle w:val="Hyperlink"/>
            <w:rFonts w:ascii="Times New Roman" w:hAnsi="Times New Roman" w:cs="Times New Roman"/>
            <w:noProof/>
          </w:rPr>
          <w:t>Table 21: Rates of Sales Tax on Motor Spirit</w:t>
        </w:r>
        <w:r w:rsidRPr="008E1321">
          <w:rPr>
            <w:rFonts w:ascii="Times New Roman" w:hAnsi="Times New Roman" w:cs="Times New Roman"/>
            <w:noProof/>
            <w:webHidden/>
          </w:rPr>
          <w:tab/>
        </w:r>
        <w:r w:rsidRPr="008E1321">
          <w:rPr>
            <w:rFonts w:ascii="Times New Roman" w:hAnsi="Times New Roman" w:cs="Times New Roman"/>
            <w:noProof/>
            <w:webHidden/>
          </w:rPr>
          <w:fldChar w:fldCharType="begin"/>
        </w:r>
        <w:r w:rsidRPr="008E1321">
          <w:rPr>
            <w:rFonts w:ascii="Times New Roman" w:hAnsi="Times New Roman" w:cs="Times New Roman"/>
            <w:noProof/>
            <w:webHidden/>
          </w:rPr>
          <w:instrText xml:space="preserve"> PAGEREF _Toc221115324 \h </w:instrText>
        </w:r>
        <w:r w:rsidRPr="008E1321">
          <w:rPr>
            <w:rFonts w:ascii="Times New Roman" w:hAnsi="Times New Roman" w:cs="Times New Roman"/>
            <w:noProof/>
            <w:webHidden/>
          </w:rPr>
        </w:r>
        <w:r w:rsidRPr="008E1321">
          <w:rPr>
            <w:rFonts w:ascii="Times New Roman" w:hAnsi="Times New Roman" w:cs="Times New Roman"/>
            <w:noProof/>
            <w:webHidden/>
          </w:rPr>
          <w:fldChar w:fldCharType="separate"/>
        </w:r>
        <w:r w:rsidR="00F70A97">
          <w:rPr>
            <w:rFonts w:ascii="Times New Roman" w:hAnsi="Times New Roman" w:cs="Times New Roman"/>
            <w:noProof/>
            <w:webHidden/>
          </w:rPr>
          <w:t>151</w:t>
        </w:r>
        <w:r w:rsidRPr="008E1321">
          <w:rPr>
            <w:rFonts w:ascii="Times New Roman" w:hAnsi="Times New Roman" w:cs="Times New Roman"/>
            <w:noProof/>
            <w:webHidden/>
          </w:rPr>
          <w:fldChar w:fldCharType="end"/>
        </w:r>
      </w:hyperlink>
    </w:p>
    <w:p w14:paraId="2BA1C768" w14:textId="1CF76EA5" w:rsidR="00931797" w:rsidRPr="008E1321" w:rsidRDefault="00931797">
      <w:pPr>
        <w:pStyle w:val="TOC3"/>
        <w:tabs>
          <w:tab w:val="right" w:leader="underscore" w:pos="9350"/>
        </w:tabs>
        <w:rPr>
          <w:rFonts w:ascii="Times New Roman" w:eastAsiaTheme="minorEastAsia" w:hAnsi="Times New Roman" w:cs="Times New Roman"/>
          <w:noProof/>
          <w:sz w:val="24"/>
          <w:szCs w:val="21"/>
          <w:lang w:eastAsia="en-IN"/>
        </w:rPr>
      </w:pPr>
      <w:hyperlink w:anchor="_Toc221115325" w:history="1">
        <w:r w:rsidRPr="008E1321">
          <w:rPr>
            <w:rStyle w:val="Hyperlink"/>
            <w:rFonts w:ascii="Times New Roman" w:hAnsi="Times New Roman" w:cs="Times New Roman"/>
            <w:noProof/>
          </w:rPr>
          <w:t>Table 22: Average Rates of Electricity Supply and Electricity Duty</w:t>
        </w:r>
        <w:r w:rsidRPr="008E1321">
          <w:rPr>
            <w:rFonts w:ascii="Times New Roman" w:hAnsi="Times New Roman" w:cs="Times New Roman"/>
            <w:noProof/>
            <w:webHidden/>
          </w:rPr>
          <w:tab/>
        </w:r>
        <w:r w:rsidRPr="008E1321">
          <w:rPr>
            <w:rFonts w:ascii="Times New Roman" w:hAnsi="Times New Roman" w:cs="Times New Roman"/>
            <w:noProof/>
            <w:webHidden/>
          </w:rPr>
          <w:fldChar w:fldCharType="begin"/>
        </w:r>
        <w:r w:rsidRPr="008E1321">
          <w:rPr>
            <w:rFonts w:ascii="Times New Roman" w:hAnsi="Times New Roman" w:cs="Times New Roman"/>
            <w:noProof/>
            <w:webHidden/>
          </w:rPr>
          <w:instrText xml:space="preserve"> PAGEREF _Toc221115325 \h </w:instrText>
        </w:r>
        <w:r w:rsidRPr="008E1321">
          <w:rPr>
            <w:rFonts w:ascii="Times New Roman" w:hAnsi="Times New Roman" w:cs="Times New Roman"/>
            <w:noProof/>
            <w:webHidden/>
          </w:rPr>
        </w:r>
        <w:r w:rsidRPr="008E1321">
          <w:rPr>
            <w:rFonts w:ascii="Times New Roman" w:hAnsi="Times New Roman" w:cs="Times New Roman"/>
            <w:noProof/>
            <w:webHidden/>
          </w:rPr>
          <w:fldChar w:fldCharType="separate"/>
        </w:r>
        <w:r w:rsidR="00F70A97">
          <w:rPr>
            <w:rFonts w:ascii="Times New Roman" w:hAnsi="Times New Roman" w:cs="Times New Roman"/>
            <w:noProof/>
            <w:webHidden/>
          </w:rPr>
          <w:t>153</w:t>
        </w:r>
        <w:r w:rsidRPr="008E1321">
          <w:rPr>
            <w:rFonts w:ascii="Times New Roman" w:hAnsi="Times New Roman" w:cs="Times New Roman"/>
            <w:noProof/>
            <w:webHidden/>
          </w:rPr>
          <w:fldChar w:fldCharType="end"/>
        </w:r>
      </w:hyperlink>
    </w:p>
    <w:p w14:paraId="786BBA3E" w14:textId="05C5CA5C" w:rsidR="00931797" w:rsidRPr="008E1321" w:rsidRDefault="00931797">
      <w:pPr>
        <w:pStyle w:val="TOC3"/>
        <w:tabs>
          <w:tab w:val="right" w:leader="underscore" w:pos="9350"/>
        </w:tabs>
        <w:rPr>
          <w:rFonts w:ascii="Times New Roman" w:eastAsiaTheme="minorEastAsia" w:hAnsi="Times New Roman" w:cs="Times New Roman"/>
          <w:noProof/>
          <w:sz w:val="24"/>
          <w:szCs w:val="21"/>
          <w:lang w:eastAsia="en-IN"/>
        </w:rPr>
      </w:pPr>
      <w:hyperlink w:anchor="_Toc221115326" w:history="1">
        <w:r w:rsidRPr="008E1321">
          <w:rPr>
            <w:rStyle w:val="Hyperlink"/>
            <w:rFonts w:ascii="Times New Roman" w:hAnsi="Times New Roman" w:cs="Times New Roman"/>
            <w:noProof/>
          </w:rPr>
          <w:t>Table 23: Water rates for Rice, Wheat and Sugarcane</w:t>
        </w:r>
        <w:r w:rsidRPr="008E1321">
          <w:rPr>
            <w:rFonts w:ascii="Times New Roman" w:hAnsi="Times New Roman" w:cs="Times New Roman"/>
            <w:noProof/>
            <w:webHidden/>
          </w:rPr>
          <w:tab/>
        </w:r>
        <w:r w:rsidRPr="008E1321">
          <w:rPr>
            <w:rFonts w:ascii="Times New Roman" w:hAnsi="Times New Roman" w:cs="Times New Roman"/>
            <w:noProof/>
            <w:webHidden/>
          </w:rPr>
          <w:fldChar w:fldCharType="begin"/>
        </w:r>
        <w:r w:rsidRPr="008E1321">
          <w:rPr>
            <w:rFonts w:ascii="Times New Roman" w:hAnsi="Times New Roman" w:cs="Times New Roman"/>
            <w:noProof/>
            <w:webHidden/>
          </w:rPr>
          <w:instrText xml:space="preserve"> PAGEREF _Toc221115326 \h </w:instrText>
        </w:r>
        <w:r w:rsidRPr="008E1321">
          <w:rPr>
            <w:rFonts w:ascii="Times New Roman" w:hAnsi="Times New Roman" w:cs="Times New Roman"/>
            <w:noProof/>
            <w:webHidden/>
          </w:rPr>
        </w:r>
        <w:r w:rsidRPr="008E1321">
          <w:rPr>
            <w:rFonts w:ascii="Times New Roman" w:hAnsi="Times New Roman" w:cs="Times New Roman"/>
            <w:noProof/>
            <w:webHidden/>
          </w:rPr>
          <w:fldChar w:fldCharType="separate"/>
        </w:r>
        <w:r w:rsidR="00F70A97">
          <w:rPr>
            <w:rFonts w:ascii="Times New Roman" w:hAnsi="Times New Roman" w:cs="Times New Roman"/>
            <w:noProof/>
            <w:webHidden/>
          </w:rPr>
          <w:t>155</w:t>
        </w:r>
        <w:r w:rsidRPr="008E1321">
          <w:rPr>
            <w:rFonts w:ascii="Times New Roman" w:hAnsi="Times New Roman" w:cs="Times New Roman"/>
            <w:noProof/>
            <w:webHidden/>
          </w:rPr>
          <w:fldChar w:fldCharType="end"/>
        </w:r>
      </w:hyperlink>
    </w:p>
    <w:p w14:paraId="57D4D814" w14:textId="292AB221" w:rsidR="00931797" w:rsidRPr="008E1321" w:rsidRDefault="00931797">
      <w:pPr>
        <w:pStyle w:val="TOC3"/>
        <w:tabs>
          <w:tab w:val="right" w:leader="underscore" w:pos="9350"/>
        </w:tabs>
        <w:rPr>
          <w:rFonts w:ascii="Times New Roman" w:eastAsiaTheme="minorEastAsia" w:hAnsi="Times New Roman" w:cs="Times New Roman"/>
          <w:noProof/>
          <w:sz w:val="24"/>
          <w:szCs w:val="21"/>
          <w:lang w:eastAsia="en-IN"/>
        </w:rPr>
      </w:pPr>
      <w:hyperlink w:anchor="_Toc221115327" w:history="1">
        <w:r w:rsidRPr="008E1321">
          <w:rPr>
            <w:rStyle w:val="Hyperlink"/>
            <w:rFonts w:ascii="Times New Roman" w:hAnsi="Times New Roman" w:cs="Times New Roman"/>
            <w:noProof/>
          </w:rPr>
          <w:t>1968-69</w:t>
        </w:r>
        <w:r w:rsidRPr="008E1321">
          <w:rPr>
            <w:rFonts w:ascii="Times New Roman" w:hAnsi="Times New Roman" w:cs="Times New Roman"/>
            <w:noProof/>
            <w:webHidden/>
          </w:rPr>
          <w:tab/>
        </w:r>
        <w:r w:rsidRPr="008E1321">
          <w:rPr>
            <w:rFonts w:ascii="Times New Roman" w:hAnsi="Times New Roman" w:cs="Times New Roman"/>
            <w:noProof/>
            <w:webHidden/>
          </w:rPr>
          <w:fldChar w:fldCharType="begin"/>
        </w:r>
        <w:r w:rsidRPr="008E1321">
          <w:rPr>
            <w:rFonts w:ascii="Times New Roman" w:hAnsi="Times New Roman" w:cs="Times New Roman"/>
            <w:noProof/>
            <w:webHidden/>
          </w:rPr>
          <w:instrText xml:space="preserve"> PAGEREF _Toc221115327 \h </w:instrText>
        </w:r>
        <w:r w:rsidRPr="008E1321">
          <w:rPr>
            <w:rFonts w:ascii="Times New Roman" w:hAnsi="Times New Roman" w:cs="Times New Roman"/>
            <w:noProof/>
            <w:webHidden/>
          </w:rPr>
        </w:r>
        <w:r w:rsidRPr="008E1321">
          <w:rPr>
            <w:rFonts w:ascii="Times New Roman" w:hAnsi="Times New Roman" w:cs="Times New Roman"/>
            <w:noProof/>
            <w:webHidden/>
          </w:rPr>
          <w:fldChar w:fldCharType="separate"/>
        </w:r>
        <w:r w:rsidR="00F70A97">
          <w:rPr>
            <w:rFonts w:ascii="Times New Roman" w:hAnsi="Times New Roman" w:cs="Times New Roman"/>
            <w:noProof/>
            <w:webHidden/>
          </w:rPr>
          <w:t>155</w:t>
        </w:r>
        <w:r w:rsidRPr="008E1321">
          <w:rPr>
            <w:rFonts w:ascii="Times New Roman" w:hAnsi="Times New Roman" w:cs="Times New Roman"/>
            <w:noProof/>
            <w:webHidden/>
          </w:rPr>
          <w:fldChar w:fldCharType="end"/>
        </w:r>
      </w:hyperlink>
    </w:p>
    <w:p w14:paraId="1B726556" w14:textId="39A9C3B7" w:rsidR="00931797" w:rsidRPr="008E1321" w:rsidRDefault="00931797">
      <w:pPr>
        <w:pStyle w:val="TOC3"/>
        <w:tabs>
          <w:tab w:val="right" w:leader="underscore" w:pos="9350"/>
        </w:tabs>
        <w:rPr>
          <w:rFonts w:ascii="Times New Roman" w:eastAsiaTheme="minorEastAsia" w:hAnsi="Times New Roman" w:cs="Times New Roman"/>
          <w:noProof/>
          <w:sz w:val="24"/>
          <w:szCs w:val="21"/>
          <w:lang w:eastAsia="en-IN"/>
        </w:rPr>
      </w:pPr>
      <w:hyperlink w:anchor="_Toc221115328" w:history="1">
        <w:r w:rsidRPr="008E1321">
          <w:rPr>
            <w:rStyle w:val="Hyperlink"/>
            <w:rFonts w:ascii="Times New Roman" w:hAnsi="Times New Roman" w:cs="Times New Roman"/>
            <w:noProof/>
          </w:rPr>
          <w:t>Table 24: Rates of Entertainment Tax (In terms of percentage of the admission or entry ticket)</w:t>
        </w:r>
        <w:r w:rsidRPr="008E1321">
          <w:rPr>
            <w:rFonts w:ascii="Times New Roman" w:hAnsi="Times New Roman" w:cs="Times New Roman"/>
            <w:noProof/>
            <w:webHidden/>
          </w:rPr>
          <w:tab/>
        </w:r>
        <w:r w:rsidRPr="008E1321">
          <w:rPr>
            <w:rFonts w:ascii="Times New Roman" w:hAnsi="Times New Roman" w:cs="Times New Roman"/>
            <w:noProof/>
            <w:webHidden/>
          </w:rPr>
          <w:fldChar w:fldCharType="begin"/>
        </w:r>
        <w:r w:rsidRPr="008E1321">
          <w:rPr>
            <w:rFonts w:ascii="Times New Roman" w:hAnsi="Times New Roman" w:cs="Times New Roman"/>
            <w:noProof/>
            <w:webHidden/>
          </w:rPr>
          <w:instrText xml:space="preserve"> PAGEREF _Toc221115328 \h </w:instrText>
        </w:r>
        <w:r w:rsidRPr="008E1321">
          <w:rPr>
            <w:rFonts w:ascii="Times New Roman" w:hAnsi="Times New Roman" w:cs="Times New Roman"/>
            <w:noProof/>
            <w:webHidden/>
          </w:rPr>
        </w:r>
        <w:r w:rsidRPr="008E1321">
          <w:rPr>
            <w:rFonts w:ascii="Times New Roman" w:hAnsi="Times New Roman" w:cs="Times New Roman"/>
            <w:noProof/>
            <w:webHidden/>
          </w:rPr>
          <w:fldChar w:fldCharType="separate"/>
        </w:r>
        <w:r w:rsidR="00F70A97">
          <w:rPr>
            <w:rFonts w:ascii="Times New Roman" w:hAnsi="Times New Roman" w:cs="Times New Roman"/>
            <w:noProof/>
            <w:webHidden/>
          </w:rPr>
          <w:t>156</w:t>
        </w:r>
        <w:r w:rsidRPr="008E1321">
          <w:rPr>
            <w:rFonts w:ascii="Times New Roman" w:hAnsi="Times New Roman" w:cs="Times New Roman"/>
            <w:noProof/>
            <w:webHidden/>
          </w:rPr>
          <w:fldChar w:fldCharType="end"/>
        </w:r>
      </w:hyperlink>
    </w:p>
    <w:p w14:paraId="0EA66791" w14:textId="0B4005E3" w:rsidR="00931797" w:rsidRPr="008E1321" w:rsidRDefault="00931797">
      <w:pPr>
        <w:pStyle w:val="TOC3"/>
        <w:tabs>
          <w:tab w:val="right" w:leader="underscore" w:pos="9350"/>
        </w:tabs>
        <w:rPr>
          <w:rFonts w:ascii="Times New Roman" w:eastAsiaTheme="minorEastAsia" w:hAnsi="Times New Roman" w:cs="Times New Roman"/>
          <w:noProof/>
          <w:sz w:val="24"/>
          <w:szCs w:val="21"/>
          <w:lang w:eastAsia="en-IN"/>
        </w:rPr>
      </w:pPr>
      <w:hyperlink w:anchor="_Toc221115329" w:history="1">
        <w:r w:rsidRPr="008E1321">
          <w:rPr>
            <w:rStyle w:val="Hyperlink"/>
            <w:rFonts w:ascii="Times New Roman" w:hAnsi="Times New Roman" w:cs="Times New Roman"/>
            <w:noProof/>
          </w:rPr>
          <w:t>Table 25: Rates of Stamp Duties and Registration</w:t>
        </w:r>
        <w:r w:rsidRPr="008E1321">
          <w:rPr>
            <w:rFonts w:ascii="Times New Roman" w:hAnsi="Times New Roman" w:cs="Times New Roman"/>
            <w:noProof/>
            <w:webHidden/>
          </w:rPr>
          <w:tab/>
        </w:r>
        <w:r w:rsidRPr="008E1321">
          <w:rPr>
            <w:rFonts w:ascii="Times New Roman" w:hAnsi="Times New Roman" w:cs="Times New Roman"/>
            <w:noProof/>
            <w:webHidden/>
          </w:rPr>
          <w:fldChar w:fldCharType="begin"/>
        </w:r>
        <w:r w:rsidRPr="008E1321">
          <w:rPr>
            <w:rFonts w:ascii="Times New Roman" w:hAnsi="Times New Roman" w:cs="Times New Roman"/>
            <w:noProof/>
            <w:webHidden/>
          </w:rPr>
          <w:instrText xml:space="preserve"> PAGEREF _Toc221115329 \h </w:instrText>
        </w:r>
        <w:r w:rsidRPr="008E1321">
          <w:rPr>
            <w:rFonts w:ascii="Times New Roman" w:hAnsi="Times New Roman" w:cs="Times New Roman"/>
            <w:noProof/>
            <w:webHidden/>
          </w:rPr>
        </w:r>
        <w:r w:rsidRPr="008E1321">
          <w:rPr>
            <w:rFonts w:ascii="Times New Roman" w:hAnsi="Times New Roman" w:cs="Times New Roman"/>
            <w:noProof/>
            <w:webHidden/>
          </w:rPr>
          <w:fldChar w:fldCharType="separate"/>
        </w:r>
        <w:r w:rsidR="00F70A97">
          <w:rPr>
            <w:rFonts w:ascii="Times New Roman" w:hAnsi="Times New Roman" w:cs="Times New Roman"/>
            <w:noProof/>
            <w:webHidden/>
          </w:rPr>
          <w:t>159</w:t>
        </w:r>
        <w:r w:rsidRPr="008E1321">
          <w:rPr>
            <w:rFonts w:ascii="Times New Roman" w:hAnsi="Times New Roman" w:cs="Times New Roman"/>
            <w:noProof/>
            <w:webHidden/>
          </w:rPr>
          <w:fldChar w:fldCharType="end"/>
        </w:r>
      </w:hyperlink>
    </w:p>
    <w:p w14:paraId="20DFD88E" w14:textId="3F426BF9" w:rsidR="00931797" w:rsidRPr="008E1321" w:rsidRDefault="00931797">
      <w:pPr>
        <w:pStyle w:val="TOC3"/>
        <w:tabs>
          <w:tab w:val="right" w:leader="underscore" w:pos="9350"/>
        </w:tabs>
        <w:rPr>
          <w:rFonts w:ascii="Times New Roman" w:eastAsiaTheme="minorEastAsia" w:hAnsi="Times New Roman" w:cs="Times New Roman"/>
          <w:noProof/>
          <w:sz w:val="24"/>
          <w:szCs w:val="21"/>
          <w:lang w:eastAsia="en-IN"/>
        </w:rPr>
      </w:pPr>
      <w:hyperlink w:anchor="_Toc221115330" w:history="1">
        <w:r w:rsidRPr="008E1321">
          <w:rPr>
            <w:rStyle w:val="Hyperlink"/>
            <w:rFonts w:ascii="Times New Roman" w:hAnsi="Times New Roman" w:cs="Times New Roman"/>
            <w:noProof/>
          </w:rPr>
          <w:t>Table 26: Rates of tax on motor vehicles</w:t>
        </w:r>
        <w:r w:rsidRPr="008E1321">
          <w:rPr>
            <w:rFonts w:ascii="Times New Roman" w:hAnsi="Times New Roman" w:cs="Times New Roman"/>
            <w:noProof/>
            <w:webHidden/>
          </w:rPr>
          <w:tab/>
        </w:r>
        <w:r w:rsidRPr="008E1321">
          <w:rPr>
            <w:rFonts w:ascii="Times New Roman" w:hAnsi="Times New Roman" w:cs="Times New Roman"/>
            <w:noProof/>
            <w:webHidden/>
          </w:rPr>
          <w:fldChar w:fldCharType="begin"/>
        </w:r>
        <w:r w:rsidRPr="008E1321">
          <w:rPr>
            <w:rFonts w:ascii="Times New Roman" w:hAnsi="Times New Roman" w:cs="Times New Roman"/>
            <w:noProof/>
            <w:webHidden/>
          </w:rPr>
          <w:instrText xml:space="preserve"> PAGEREF _Toc221115330 \h </w:instrText>
        </w:r>
        <w:r w:rsidRPr="008E1321">
          <w:rPr>
            <w:rFonts w:ascii="Times New Roman" w:hAnsi="Times New Roman" w:cs="Times New Roman"/>
            <w:noProof/>
            <w:webHidden/>
          </w:rPr>
        </w:r>
        <w:r w:rsidRPr="008E1321">
          <w:rPr>
            <w:rFonts w:ascii="Times New Roman" w:hAnsi="Times New Roman" w:cs="Times New Roman"/>
            <w:noProof/>
            <w:webHidden/>
          </w:rPr>
          <w:fldChar w:fldCharType="separate"/>
        </w:r>
        <w:r w:rsidR="00F70A97">
          <w:rPr>
            <w:rFonts w:ascii="Times New Roman" w:hAnsi="Times New Roman" w:cs="Times New Roman"/>
            <w:noProof/>
            <w:webHidden/>
          </w:rPr>
          <w:t>160</w:t>
        </w:r>
        <w:r w:rsidRPr="008E1321">
          <w:rPr>
            <w:rFonts w:ascii="Times New Roman" w:hAnsi="Times New Roman" w:cs="Times New Roman"/>
            <w:noProof/>
            <w:webHidden/>
          </w:rPr>
          <w:fldChar w:fldCharType="end"/>
        </w:r>
      </w:hyperlink>
    </w:p>
    <w:p w14:paraId="46837FE0" w14:textId="75A471F2" w:rsidR="00931797" w:rsidRPr="008E1321" w:rsidRDefault="00931797">
      <w:pPr>
        <w:pStyle w:val="TOC3"/>
        <w:tabs>
          <w:tab w:val="right" w:leader="underscore" w:pos="9350"/>
        </w:tabs>
        <w:rPr>
          <w:rFonts w:ascii="Times New Roman" w:eastAsiaTheme="minorEastAsia" w:hAnsi="Times New Roman" w:cs="Times New Roman"/>
          <w:noProof/>
          <w:sz w:val="24"/>
          <w:szCs w:val="21"/>
          <w:lang w:eastAsia="en-IN"/>
        </w:rPr>
      </w:pPr>
      <w:hyperlink w:anchor="_Toc221115331" w:history="1">
        <w:r w:rsidRPr="008E1321">
          <w:rPr>
            <w:rStyle w:val="Hyperlink"/>
            <w:rFonts w:ascii="Times New Roman" w:hAnsi="Times New Roman" w:cs="Times New Roman"/>
            <w:noProof/>
          </w:rPr>
          <w:t>Table 27: Estimated loss of land revenue over the 5-year period 1969-70 to 1973-74 from abolition of the tax or concession given during 1967-68 and 1968-69.</w:t>
        </w:r>
        <w:r w:rsidRPr="008E1321">
          <w:rPr>
            <w:rFonts w:ascii="Times New Roman" w:hAnsi="Times New Roman" w:cs="Times New Roman"/>
            <w:noProof/>
            <w:webHidden/>
          </w:rPr>
          <w:tab/>
        </w:r>
        <w:r w:rsidRPr="008E1321">
          <w:rPr>
            <w:rFonts w:ascii="Times New Roman" w:hAnsi="Times New Roman" w:cs="Times New Roman"/>
            <w:noProof/>
            <w:webHidden/>
          </w:rPr>
          <w:fldChar w:fldCharType="begin"/>
        </w:r>
        <w:r w:rsidRPr="008E1321">
          <w:rPr>
            <w:rFonts w:ascii="Times New Roman" w:hAnsi="Times New Roman" w:cs="Times New Roman"/>
            <w:noProof/>
            <w:webHidden/>
          </w:rPr>
          <w:instrText xml:space="preserve"> PAGEREF _Toc221115331 \h </w:instrText>
        </w:r>
        <w:r w:rsidRPr="008E1321">
          <w:rPr>
            <w:rFonts w:ascii="Times New Roman" w:hAnsi="Times New Roman" w:cs="Times New Roman"/>
            <w:noProof/>
            <w:webHidden/>
          </w:rPr>
        </w:r>
        <w:r w:rsidRPr="008E1321">
          <w:rPr>
            <w:rFonts w:ascii="Times New Roman" w:hAnsi="Times New Roman" w:cs="Times New Roman"/>
            <w:noProof/>
            <w:webHidden/>
          </w:rPr>
          <w:fldChar w:fldCharType="separate"/>
        </w:r>
        <w:r w:rsidR="00F70A97">
          <w:rPr>
            <w:rFonts w:ascii="Times New Roman" w:hAnsi="Times New Roman" w:cs="Times New Roman"/>
            <w:noProof/>
            <w:webHidden/>
          </w:rPr>
          <w:t>163</w:t>
        </w:r>
        <w:r w:rsidRPr="008E1321">
          <w:rPr>
            <w:rFonts w:ascii="Times New Roman" w:hAnsi="Times New Roman" w:cs="Times New Roman"/>
            <w:noProof/>
            <w:webHidden/>
          </w:rPr>
          <w:fldChar w:fldCharType="end"/>
        </w:r>
      </w:hyperlink>
    </w:p>
    <w:p w14:paraId="3DCD885F" w14:textId="5E9354EC" w:rsidR="00931797" w:rsidRPr="008E1321" w:rsidRDefault="00931797">
      <w:pPr>
        <w:pStyle w:val="TOC3"/>
        <w:tabs>
          <w:tab w:val="right" w:leader="underscore" w:pos="9350"/>
        </w:tabs>
        <w:rPr>
          <w:rFonts w:ascii="Times New Roman" w:eastAsiaTheme="minorEastAsia" w:hAnsi="Times New Roman" w:cs="Times New Roman"/>
          <w:noProof/>
          <w:sz w:val="24"/>
          <w:szCs w:val="21"/>
          <w:lang w:eastAsia="en-IN"/>
        </w:rPr>
      </w:pPr>
      <w:hyperlink w:anchor="_Toc221115332" w:history="1">
        <w:r w:rsidRPr="008E1321">
          <w:rPr>
            <w:rStyle w:val="Hyperlink"/>
            <w:rFonts w:ascii="Times New Roman" w:hAnsi="Times New Roman" w:cs="Times New Roman"/>
            <w:noProof/>
          </w:rPr>
          <w:t>Table 28: Estimated loss of revenue over the 5-year period 1969-70 to 1973-74 from abolition of taxes other than land revenue or concession given during 1966-67 to 1968-69</w:t>
        </w:r>
        <w:r w:rsidRPr="008E1321">
          <w:rPr>
            <w:rFonts w:ascii="Times New Roman" w:hAnsi="Times New Roman" w:cs="Times New Roman"/>
            <w:noProof/>
            <w:webHidden/>
          </w:rPr>
          <w:tab/>
        </w:r>
        <w:r w:rsidRPr="008E1321">
          <w:rPr>
            <w:rFonts w:ascii="Times New Roman" w:hAnsi="Times New Roman" w:cs="Times New Roman"/>
            <w:noProof/>
            <w:webHidden/>
          </w:rPr>
          <w:fldChar w:fldCharType="begin"/>
        </w:r>
        <w:r w:rsidRPr="008E1321">
          <w:rPr>
            <w:rFonts w:ascii="Times New Roman" w:hAnsi="Times New Roman" w:cs="Times New Roman"/>
            <w:noProof/>
            <w:webHidden/>
          </w:rPr>
          <w:instrText xml:space="preserve"> PAGEREF _Toc221115332 \h </w:instrText>
        </w:r>
        <w:r w:rsidRPr="008E1321">
          <w:rPr>
            <w:rFonts w:ascii="Times New Roman" w:hAnsi="Times New Roman" w:cs="Times New Roman"/>
            <w:noProof/>
            <w:webHidden/>
          </w:rPr>
        </w:r>
        <w:r w:rsidRPr="008E1321">
          <w:rPr>
            <w:rFonts w:ascii="Times New Roman" w:hAnsi="Times New Roman" w:cs="Times New Roman"/>
            <w:noProof/>
            <w:webHidden/>
          </w:rPr>
          <w:fldChar w:fldCharType="separate"/>
        </w:r>
        <w:r w:rsidR="00F70A97">
          <w:rPr>
            <w:rFonts w:ascii="Times New Roman" w:hAnsi="Times New Roman" w:cs="Times New Roman"/>
            <w:noProof/>
            <w:webHidden/>
          </w:rPr>
          <w:t>165</w:t>
        </w:r>
        <w:r w:rsidRPr="008E1321">
          <w:rPr>
            <w:rFonts w:ascii="Times New Roman" w:hAnsi="Times New Roman" w:cs="Times New Roman"/>
            <w:noProof/>
            <w:webHidden/>
          </w:rPr>
          <w:fldChar w:fldCharType="end"/>
        </w:r>
      </w:hyperlink>
    </w:p>
    <w:p w14:paraId="10F56FBE" w14:textId="596A4694" w:rsidR="00931797" w:rsidRPr="008E1321" w:rsidRDefault="00931797">
      <w:pPr>
        <w:pStyle w:val="TOC3"/>
        <w:tabs>
          <w:tab w:val="right" w:leader="underscore" w:pos="9350"/>
        </w:tabs>
        <w:rPr>
          <w:rFonts w:ascii="Times New Roman" w:eastAsiaTheme="minorEastAsia" w:hAnsi="Times New Roman" w:cs="Times New Roman"/>
          <w:noProof/>
          <w:sz w:val="24"/>
          <w:szCs w:val="21"/>
          <w:lang w:eastAsia="en-IN"/>
        </w:rPr>
      </w:pPr>
      <w:hyperlink w:anchor="_Toc221115333" w:history="1">
        <w:r w:rsidRPr="008E1321">
          <w:rPr>
            <w:rStyle w:val="Hyperlink"/>
            <w:rFonts w:ascii="Times New Roman" w:hAnsi="Times New Roman" w:cs="Times New Roman"/>
            <w:noProof/>
          </w:rPr>
          <w:t>Table 29: Growth and Pattern of States' Revenue Expenditure</w:t>
        </w:r>
        <w:r w:rsidRPr="008E1321">
          <w:rPr>
            <w:rFonts w:ascii="Times New Roman" w:hAnsi="Times New Roman" w:cs="Times New Roman"/>
            <w:noProof/>
            <w:webHidden/>
          </w:rPr>
          <w:tab/>
        </w:r>
        <w:r w:rsidRPr="008E1321">
          <w:rPr>
            <w:rFonts w:ascii="Times New Roman" w:hAnsi="Times New Roman" w:cs="Times New Roman"/>
            <w:noProof/>
            <w:webHidden/>
          </w:rPr>
          <w:fldChar w:fldCharType="begin"/>
        </w:r>
        <w:r w:rsidRPr="008E1321">
          <w:rPr>
            <w:rFonts w:ascii="Times New Roman" w:hAnsi="Times New Roman" w:cs="Times New Roman"/>
            <w:noProof/>
            <w:webHidden/>
          </w:rPr>
          <w:instrText xml:space="preserve"> PAGEREF _Toc221115333 \h </w:instrText>
        </w:r>
        <w:r w:rsidRPr="008E1321">
          <w:rPr>
            <w:rFonts w:ascii="Times New Roman" w:hAnsi="Times New Roman" w:cs="Times New Roman"/>
            <w:noProof/>
            <w:webHidden/>
          </w:rPr>
        </w:r>
        <w:r w:rsidRPr="008E1321">
          <w:rPr>
            <w:rFonts w:ascii="Times New Roman" w:hAnsi="Times New Roman" w:cs="Times New Roman"/>
            <w:noProof/>
            <w:webHidden/>
          </w:rPr>
          <w:fldChar w:fldCharType="separate"/>
        </w:r>
        <w:r w:rsidR="00F70A97">
          <w:rPr>
            <w:rFonts w:ascii="Times New Roman" w:hAnsi="Times New Roman" w:cs="Times New Roman"/>
            <w:noProof/>
            <w:webHidden/>
          </w:rPr>
          <w:t>167</w:t>
        </w:r>
        <w:r w:rsidRPr="008E1321">
          <w:rPr>
            <w:rFonts w:ascii="Times New Roman" w:hAnsi="Times New Roman" w:cs="Times New Roman"/>
            <w:noProof/>
            <w:webHidden/>
          </w:rPr>
          <w:fldChar w:fldCharType="end"/>
        </w:r>
      </w:hyperlink>
    </w:p>
    <w:p w14:paraId="32CC8D96" w14:textId="0EFAE1FE" w:rsidR="00931797" w:rsidRPr="008E1321" w:rsidRDefault="00931797">
      <w:pPr>
        <w:pStyle w:val="TOC3"/>
        <w:tabs>
          <w:tab w:val="right" w:leader="underscore" w:pos="9350"/>
        </w:tabs>
        <w:rPr>
          <w:rFonts w:ascii="Times New Roman" w:eastAsiaTheme="minorEastAsia" w:hAnsi="Times New Roman" w:cs="Times New Roman"/>
          <w:noProof/>
          <w:sz w:val="24"/>
          <w:szCs w:val="21"/>
          <w:lang w:eastAsia="en-IN"/>
        </w:rPr>
      </w:pPr>
      <w:hyperlink w:anchor="_Toc221115334" w:history="1">
        <w:r w:rsidRPr="008E1321">
          <w:rPr>
            <w:rStyle w:val="Hyperlink"/>
            <w:rFonts w:ascii="Times New Roman" w:hAnsi="Times New Roman" w:cs="Times New Roman"/>
            <w:noProof/>
          </w:rPr>
          <w:t>Table 30: Per capita expenditure under important heads in 1967-68</w:t>
        </w:r>
        <w:r w:rsidRPr="008E1321">
          <w:rPr>
            <w:rFonts w:ascii="Times New Roman" w:hAnsi="Times New Roman" w:cs="Times New Roman"/>
            <w:noProof/>
            <w:webHidden/>
          </w:rPr>
          <w:tab/>
        </w:r>
        <w:r w:rsidRPr="008E1321">
          <w:rPr>
            <w:rFonts w:ascii="Times New Roman" w:hAnsi="Times New Roman" w:cs="Times New Roman"/>
            <w:noProof/>
            <w:webHidden/>
          </w:rPr>
          <w:fldChar w:fldCharType="begin"/>
        </w:r>
        <w:r w:rsidRPr="008E1321">
          <w:rPr>
            <w:rFonts w:ascii="Times New Roman" w:hAnsi="Times New Roman" w:cs="Times New Roman"/>
            <w:noProof/>
            <w:webHidden/>
          </w:rPr>
          <w:instrText xml:space="preserve"> PAGEREF _Toc221115334 \h </w:instrText>
        </w:r>
        <w:r w:rsidRPr="008E1321">
          <w:rPr>
            <w:rFonts w:ascii="Times New Roman" w:hAnsi="Times New Roman" w:cs="Times New Roman"/>
            <w:noProof/>
            <w:webHidden/>
          </w:rPr>
        </w:r>
        <w:r w:rsidRPr="008E1321">
          <w:rPr>
            <w:rFonts w:ascii="Times New Roman" w:hAnsi="Times New Roman" w:cs="Times New Roman"/>
            <w:noProof/>
            <w:webHidden/>
          </w:rPr>
          <w:fldChar w:fldCharType="separate"/>
        </w:r>
        <w:r w:rsidR="00F70A97">
          <w:rPr>
            <w:rFonts w:ascii="Times New Roman" w:hAnsi="Times New Roman" w:cs="Times New Roman"/>
            <w:noProof/>
            <w:webHidden/>
          </w:rPr>
          <w:t>173</w:t>
        </w:r>
        <w:r w:rsidRPr="008E1321">
          <w:rPr>
            <w:rFonts w:ascii="Times New Roman" w:hAnsi="Times New Roman" w:cs="Times New Roman"/>
            <w:noProof/>
            <w:webHidden/>
          </w:rPr>
          <w:fldChar w:fldCharType="end"/>
        </w:r>
      </w:hyperlink>
    </w:p>
    <w:p w14:paraId="6C608ADB" w14:textId="5ED240DC" w:rsidR="00931797" w:rsidRPr="008E1321" w:rsidRDefault="00931797">
      <w:pPr>
        <w:pStyle w:val="TOC3"/>
        <w:tabs>
          <w:tab w:val="right" w:leader="underscore" w:pos="9350"/>
        </w:tabs>
        <w:rPr>
          <w:rFonts w:ascii="Times New Roman" w:eastAsiaTheme="minorEastAsia" w:hAnsi="Times New Roman" w:cs="Times New Roman"/>
          <w:noProof/>
          <w:sz w:val="24"/>
          <w:szCs w:val="21"/>
          <w:lang w:eastAsia="en-IN"/>
        </w:rPr>
      </w:pPr>
      <w:hyperlink w:anchor="_Toc221115335" w:history="1">
        <w:r w:rsidRPr="008E1321">
          <w:rPr>
            <w:rStyle w:val="Hyperlink"/>
            <w:rFonts w:ascii="Times New Roman" w:hAnsi="Times New Roman" w:cs="Times New Roman"/>
            <w:noProof/>
          </w:rPr>
          <w:t>Table 31: Revenue expenditure on Natural Calamities during the years 1957-58 to 1967-68</w:t>
        </w:r>
        <w:r w:rsidRPr="008E1321">
          <w:rPr>
            <w:rFonts w:ascii="Times New Roman" w:hAnsi="Times New Roman" w:cs="Times New Roman"/>
            <w:noProof/>
            <w:webHidden/>
          </w:rPr>
          <w:tab/>
        </w:r>
        <w:r w:rsidRPr="008E1321">
          <w:rPr>
            <w:rFonts w:ascii="Times New Roman" w:hAnsi="Times New Roman" w:cs="Times New Roman"/>
            <w:noProof/>
            <w:webHidden/>
          </w:rPr>
          <w:fldChar w:fldCharType="begin"/>
        </w:r>
        <w:r w:rsidRPr="008E1321">
          <w:rPr>
            <w:rFonts w:ascii="Times New Roman" w:hAnsi="Times New Roman" w:cs="Times New Roman"/>
            <w:noProof/>
            <w:webHidden/>
          </w:rPr>
          <w:instrText xml:space="preserve"> PAGEREF _Toc221115335 \h </w:instrText>
        </w:r>
        <w:r w:rsidRPr="008E1321">
          <w:rPr>
            <w:rFonts w:ascii="Times New Roman" w:hAnsi="Times New Roman" w:cs="Times New Roman"/>
            <w:noProof/>
            <w:webHidden/>
          </w:rPr>
        </w:r>
        <w:r w:rsidRPr="008E1321">
          <w:rPr>
            <w:rFonts w:ascii="Times New Roman" w:hAnsi="Times New Roman" w:cs="Times New Roman"/>
            <w:noProof/>
            <w:webHidden/>
          </w:rPr>
          <w:fldChar w:fldCharType="separate"/>
        </w:r>
        <w:r w:rsidR="00F70A97">
          <w:rPr>
            <w:rFonts w:ascii="Times New Roman" w:hAnsi="Times New Roman" w:cs="Times New Roman"/>
            <w:noProof/>
            <w:webHidden/>
          </w:rPr>
          <w:t>175</w:t>
        </w:r>
        <w:r w:rsidRPr="008E1321">
          <w:rPr>
            <w:rFonts w:ascii="Times New Roman" w:hAnsi="Times New Roman" w:cs="Times New Roman"/>
            <w:noProof/>
            <w:webHidden/>
          </w:rPr>
          <w:fldChar w:fldCharType="end"/>
        </w:r>
      </w:hyperlink>
    </w:p>
    <w:p w14:paraId="4EBBEBD1" w14:textId="38EEE08D" w:rsidR="00931797" w:rsidRPr="008E1321" w:rsidRDefault="00931797">
      <w:pPr>
        <w:pStyle w:val="TOC3"/>
        <w:tabs>
          <w:tab w:val="right" w:leader="underscore" w:pos="9350"/>
        </w:tabs>
        <w:rPr>
          <w:rFonts w:ascii="Times New Roman" w:eastAsiaTheme="minorEastAsia" w:hAnsi="Times New Roman" w:cs="Times New Roman"/>
          <w:noProof/>
          <w:sz w:val="24"/>
          <w:szCs w:val="21"/>
          <w:lang w:eastAsia="en-IN"/>
        </w:rPr>
      </w:pPr>
      <w:hyperlink w:anchor="_Toc221115336" w:history="1">
        <w:r w:rsidRPr="008E1321">
          <w:rPr>
            <w:rStyle w:val="Hyperlink"/>
            <w:rFonts w:ascii="Times New Roman" w:hAnsi="Times New Roman" w:cs="Times New Roman"/>
            <w:noProof/>
          </w:rPr>
          <w:t>Table 32: Plan outlay in 1965-66 and 1968-69 and committed expenditure thereon in 1966-67 and 1969-70</w:t>
        </w:r>
        <w:r w:rsidRPr="008E1321">
          <w:rPr>
            <w:rFonts w:ascii="Times New Roman" w:hAnsi="Times New Roman" w:cs="Times New Roman"/>
            <w:noProof/>
            <w:webHidden/>
          </w:rPr>
          <w:tab/>
        </w:r>
        <w:r w:rsidRPr="008E1321">
          <w:rPr>
            <w:rFonts w:ascii="Times New Roman" w:hAnsi="Times New Roman" w:cs="Times New Roman"/>
            <w:noProof/>
            <w:webHidden/>
          </w:rPr>
          <w:fldChar w:fldCharType="begin"/>
        </w:r>
        <w:r w:rsidRPr="008E1321">
          <w:rPr>
            <w:rFonts w:ascii="Times New Roman" w:hAnsi="Times New Roman" w:cs="Times New Roman"/>
            <w:noProof/>
            <w:webHidden/>
          </w:rPr>
          <w:instrText xml:space="preserve"> PAGEREF _Toc221115336 \h </w:instrText>
        </w:r>
        <w:r w:rsidRPr="008E1321">
          <w:rPr>
            <w:rFonts w:ascii="Times New Roman" w:hAnsi="Times New Roman" w:cs="Times New Roman"/>
            <w:noProof/>
            <w:webHidden/>
          </w:rPr>
        </w:r>
        <w:r w:rsidRPr="008E1321">
          <w:rPr>
            <w:rFonts w:ascii="Times New Roman" w:hAnsi="Times New Roman" w:cs="Times New Roman"/>
            <w:noProof/>
            <w:webHidden/>
          </w:rPr>
          <w:fldChar w:fldCharType="separate"/>
        </w:r>
        <w:r w:rsidR="00F70A97">
          <w:rPr>
            <w:rFonts w:ascii="Times New Roman" w:hAnsi="Times New Roman" w:cs="Times New Roman"/>
            <w:noProof/>
            <w:webHidden/>
          </w:rPr>
          <w:t>176</w:t>
        </w:r>
        <w:r w:rsidRPr="008E1321">
          <w:rPr>
            <w:rFonts w:ascii="Times New Roman" w:hAnsi="Times New Roman" w:cs="Times New Roman"/>
            <w:noProof/>
            <w:webHidden/>
          </w:rPr>
          <w:fldChar w:fldCharType="end"/>
        </w:r>
      </w:hyperlink>
    </w:p>
    <w:p w14:paraId="1A529F4C" w14:textId="2CC31296" w:rsidR="00931797" w:rsidRPr="008E1321" w:rsidRDefault="00931797">
      <w:pPr>
        <w:pStyle w:val="TOC3"/>
        <w:tabs>
          <w:tab w:val="right" w:leader="underscore" w:pos="9350"/>
        </w:tabs>
        <w:rPr>
          <w:rFonts w:ascii="Times New Roman" w:eastAsiaTheme="minorEastAsia" w:hAnsi="Times New Roman" w:cs="Times New Roman"/>
          <w:noProof/>
          <w:sz w:val="24"/>
          <w:szCs w:val="21"/>
          <w:lang w:eastAsia="en-IN"/>
        </w:rPr>
      </w:pPr>
      <w:hyperlink w:anchor="_Toc221115337" w:history="1">
        <w:r w:rsidRPr="008E1321">
          <w:rPr>
            <w:rStyle w:val="Hyperlink"/>
            <w:rFonts w:ascii="Times New Roman" w:hAnsi="Times New Roman" w:cs="Times New Roman"/>
            <w:noProof/>
          </w:rPr>
          <w:t>Table 33: Financial Results of Multipurpose River Schemes</w:t>
        </w:r>
        <w:r w:rsidRPr="008E1321">
          <w:rPr>
            <w:rFonts w:ascii="Times New Roman" w:hAnsi="Times New Roman" w:cs="Times New Roman"/>
            <w:noProof/>
            <w:webHidden/>
          </w:rPr>
          <w:tab/>
        </w:r>
        <w:r w:rsidRPr="008E1321">
          <w:rPr>
            <w:rFonts w:ascii="Times New Roman" w:hAnsi="Times New Roman" w:cs="Times New Roman"/>
            <w:noProof/>
            <w:webHidden/>
          </w:rPr>
          <w:fldChar w:fldCharType="begin"/>
        </w:r>
        <w:r w:rsidRPr="008E1321">
          <w:rPr>
            <w:rFonts w:ascii="Times New Roman" w:hAnsi="Times New Roman" w:cs="Times New Roman"/>
            <w:noProof/>
            <w:webHidden/>
          </w:rPr>
          <w:instrText xml:space="preserve"> PAGEREF _Toc221115337 \h </w:instrText>
        </w:r>
        <w:r w:rsidRPr="008E1321">
          <w:rPr>
            <w:rFonts w:ascii="Times New Roman" w:hAnsi="Times New Roman" w:cs="Times New Roman"/>
            <w:noProof/>
            <w:webHidden/>
          </w:rPr>
        </w:r>
        <w:r w:rsidRPr="008E1321">
          <w:rPr>
            <w:rFonts w:ascii="Times New Roman" w:hAnsi="Times New Roman" w:cs="Times New Roman"/>
            <w:noProof/>
            <w:webHidden/>
          </w:rPr>
          <w:fldChar w:fldCharType="separate"/>
        </w:r>
        <w:r w:rsidR="00F70A97">
          <w:rPr>
            <w:rFonts w:ascii="Times New Roman" w:hAnsi="Times New Roman" w:cs="Times New Roman"/>
            <w:noProof/>
            <w:webHidden/>
          </w:rPr>
          <w:t>177</w:t>
        </w:r>
        <w:r w:rsidRPr="008E1321">
          <w:rPr>
            <w:rFonts w:ascii="Times New Roman" w:hAnsi="Times New Roman" w:cs="Times New Roman"/>
            <w:noProof/>
            <w:webHidden/>
          </w:rPr>
          <w:fldChar w:fldCharType="end"/>
        </w:r>
      </w:hyperlink>
    </w:p>
    <w:p w14:paraId="6EB5EF70" w14:textId="4AA9ADC5" w:rsidR="00931797" w:rsidRPr="008E1321" w:rsidRDefault="00931797">
      <w:pPr>
        <w:pStyle w:val="TOC3"/>
        <w:tabs>
          <w:tab w:val="right" w:leader="underscore" w:pos="9350"/>
        </w:tabs>
        <w:rPr>
          <w:rFonts w:ascii="Times New Roman" w:eastAsiaTheme="minorEastAsia" w:hAnsi="Times New Roman" w:cs="Times New Roman"/>
          <w:noProof/>
          <w:sz w:val="24"/>
          <w:szCs w:val="21"/>
          <w:lang w:eastAsia="en-IN"/>
        </w:rPr>
      </w:pPr>
      <w:hyperlink w:anchor="_Toc221115338" w:history="1">
        <w:r w:rsidRPr="008E1321">
          <w:rPr>
            <w:rStyle w:val="Hyperlink"/>
            <w:rFonts w:ascii="Times New Roman" w:hAnsi="Times New Roman" w:cs="Times New Roman"/>
            <w:noProof/>
          </w:rPr>
          <w:t>Table 34: Financial Results of Irrigation Works (Commercial)</w:t>
        </w:r>
        <w:r w:rsidRPr="008E1321">
          <w:rPr>
            <w:rFonts w:ascii="Times New Roman" w:hAnsi="Times New Roman" w:cs="Times New Roman"/>
            <w:noProof/>
            <w:webHidden/>
          </w:rPr>
          <w:tab/>
        </w:r>
        <w:r w:rsidRPr="008E1321">
          <w:rPr>
            <w:rFonts w:ascii="Times New Roman" w:hAnsi="Times New Roman" w:cs="Times New Roman"/>
            <w:noProof/>
            <w:webHidden/>
          </w:rPr>
          <w:fldChar w:fldCharType="begin"/>
        </w:r>
        <w:r w:rsidRPr="008E1321">
          <w:rPr>
            <w:rFonts w:ascii="Times New Roman" w:hAnsi="Times New Roman" w:cs="Times New Roman"/>
            <w:noProof/>
            <w:webHidden/>
          </w:rPr>
          <w:instrText xml:space="preserve"> PAGEREF _Toc221115338 \h </w:instrText>
        </w:r>
        <w:r w:rsidRPr="008E1321">
          <w:rPr>
            <w:rFonts w:ascii="Times New Roman" w:hAnsi="Times New Roman" w:cs="Times New Roman"/>
            <w:noProof/>
            <w:webHidden/>
          </w:rPr>
        </w:r>
        <w:r w:rsidRPr="008E1321">
          <w:rPr>
            <w:rFonts w:ascii="Times New Roman" w:hAnsi="Times New Roman" w:cs="Times New Roman"/>
            <w:noProof/>
            <w:webHidden/>
          </w:rPr>
          <w:fldChar w:fldCharType="separate"/>
        </w:r>
        <w:r w:rsidR="00F70A97">
          <w:rPr>
            <w:rFonts w:ascii="Times New Roman" w:hAnsi="Times New Roman" w:cs="Times New Roman"/>
            <w:noProof/>
            <w:webHidden/>
          </w:rPr>
          <w:t>178</w:t>
        </w:r>
        <w:r w:rsidRPr="008E1321">
          <w:rPr>
            <w:rFonts w:ascii="Times New Roman" w:hAnsi="Times New Roman" w:cs="Times New Roman"/>
            <w:noProof/>
            <w:webHidden/>
          </w:rPr>
          <w:fldChar w:fldCharType="end"/>
        </w:r>
      </w:hyperlink>
    </w:p>
    <w:p w14:paraId="54AF8ACE" w14:textId="3A2DE3B9" w:rsidR="00931797" w:rsidRPr="008E1321" w:rsidRDefault="00931797">
      <w:pPr>
        <w:pStyle w:val="TOC3"/>
        <w:tabs>
          <w:tab w:val="right" w:leader="underscore" w:pos="9350"/>
        </w:tabs>
        <w:rPr>
          <w:rFonts w:ascii="Times New Roman" w:eastAsiaTheme="minorEastAsia" w:hAnsi="Times New Roman" w:cs="Times New Roman"/>
          <w:noProof/>
          <w:sz w:val="24"/>
          <w:szCs w:val="21"/>
          <w:lang w:eastAsia="en-IN"/>
        </w:rPr>
      </w:pPr>
      <w:hyperlink w:anchor="_Toc221115339" w:history="1">
        <w:r w:rsidRPr="008E1321">
          <w:rPr>
            <w:rStyle w:val="Hyperlink"/>
            <w:rFonts w:ascii="Times New Roman" w:hAnsi="Times New Roman" w:cs="Times New Roman"/>
            <w:noProof/>
          </w:rPr>
          <w:t>Table 35: Financial Results of Electricity Schemes run Departmentally</w:t>
        </w:r>
        <w:r w:rsidRPr="008E1321">
          <w:rPr>
            <w:rFonts w:ascii="Times New Roman" w:hAnsi="Times New Roman" w:cs="Times New Roman"/>
            <w:noProof/>
            <w:webHidden/>
          </w:rPr>
          <w:tab/>
        </w:r>
        <w:r w:rsidRPr="008E1321">
          <w:rPr>
            <w:rFonts w:ascii="Times New Roman" w:hAnsi="Times New Roman" w:cs="Times New Roman"/>
            <w:noProof/>
            <w:webHidden/>
          </w:rPr>
          <w:fldChar w:fldCharType="begin"/>
        </w:r>
        <w:r w:rsidRPr="008E1321">
          <w:rPr>
            <w:rFonts w:ascii="Times New Roman" w:hAnsi="Times New Roman" w:cs="Times New Roman"/>
            <w:noProof/>
            <w:webHidden/>
          </w:rPr>
          <w:instrText xml:space="preserve"> PAGEREF _Toc221115339 \h </w:instrText>
        </w:r>
        <w:r w:rsidRPr="008E1321">
          <w:rPr>
            <w:rFonts w:ascii="Times New Roman" w:hAnsi="Times New Roman" w:cs="Times New Roman"/>
            <w:noProof/>
            <w:webHidden/>
          </w:rPr>
        </w:r>
        <w:r w:rsidRPr="008E1321">
          <w:rPr>
            <w:rFonts w:ascii="Times New Roman" w:hAnsi="Times New Roman" w:cs="Times New Roman"/>
            <w:noProof/>
            <w:webHidden/>
          </w:rPr>
          <w:fldChar w:fldCharType="separate"/>
        </w:r>
        <w:r w:rsidR="00F70A97">
          <w:rPr>
            <w:rFonts w:ascii="Times New Roman" w:hAnsi="Times New Roman" w:cs="Times New Roman"/>
            <w:noProof/>
            <w:webHidden/>
          </w:rPr>
          <w:t>179</w:t>
        </w:r>
        <w:r w:rsidRPr="008E1321">
          <w:rPr>
            <w:rFonts w:ascii="Times New Roman" w:hAnsi="Times New Roman" w:cs="Times New Roman"/>
            <w:noProof/>
            <w:webHidden/>
          </w:rPr>
          <w:fldChar w:fldCharType="end"/>
        </w:r>
      </w:hyperlink>
    </w:p>
    <w:p w14:paraId="6D6CE90F" w14:textId="678D3EF0" w:rsidR="00931797" w:rsidRPr="008E1321" w:rsidRDefault="00931797">
      <w:pPr>
        <w:pStyle w:val="TOC3"/>
        <w:tabs>
          <w:tab w:val="right" w:leader="underscore" w:pos="9350"/>
        </w:tabs>
        <w:rPr>
          <w:rFonts w:ascii="Times New Roman" w:eastAsiaTheme="minorEastAsia" w:hAnsi="Times New Roman" w:cs="Times New Roman"/>
          <w:noProof/>
          <w:sz w:val="24"/>
          <w:szCs w:val="21"/>
          <w:lang w:eastAsia="en-IN"/>
        </w:rPr>
      </w:pPr>
      <w:hyperlink w:anchor="_Toc221115340" w:history="1">
        <w:r w:rsidRPr="008E1321">
          <w:rPr>
            <w:rStyle w:val="Hyperlink"/>
            <w:rFonts w:ascii="Times New Roman" w:hAnsi="Times New Roman" w:cs="Times New Roman"/>
            <w:noProof/>
          </w:rPr>
          <w:t>Table 36: Financial working of State Electricity Boards</w:t>
        </w:r>
        <w:r w:rsidRPr="008E1321">
          <w:rPr>
            <w:rFonts w:ascii="Times New Roman" w:hAnsi="Times New Roman" w:cs="Times New Roman"/>
            <w:noProof/>
            <w:webHidden/>
          </w:rPr>
          <w:tab/>
        </w:r>
        <w:r w:rsidRPr="008E1321">
          <w:rPr>
            <w:rFonts w:ascii="Times New Roman" w:hAnsi="Times New Roman" w:cs="Times New Roman"/>
            <w:noProof/>
            <w:webHidden/>
          </w:rPr>
          <w:fldChar w:fldCharType="begin"/>
        </w:r>
        <w:r w:rsidRPr="008E1321">
          <w:rPr>
            <w:rFonts w:ascii="Times New Roman" w:hAnsi="Times New Roman" w:cs="Times New Roman"/>
            <w:noProof/>
            <w:webHidden/>
          </w:rPr>
          <w:instrText xml:space="preserve"> PAGEREF _Toc221115340 \h </w:instrText>
        </w:r>
        <w:r w:rsidRPr="008E1321">
          <w:rPr>
            <w:rFonts w:ascii="Times New Roman" w:hAnsi="Times New Roman" w:cs="Times New Roman"/>
            <w:noProof/>
            <w:webHidden/>
          </w:rPr>
        </w:r>
        <w:r w:rsidRPr="008E1321">
          <w:rPr>
            <w:rFonts w:ascii="Times New Roman" w:hAnsi="Times New Roman" w:cs="Times New Roman"/>
            <w:noProof/>
            <w:webHidden/>
          </w:rPr>
          <w:fldChar w:fldCharType="separate"/>
        </w:r>
        <w:r w:rsidR="00F70A97">
          <w:rPr>
            <w:rFonts w:ascii="Times New Roman" w:hAnsi="Times New Roman" w:cs="Times New Roman"/>
            <w:noProof/>
            <w:webHidden/>
          </w:rPr>
          <w:t>181</w:t>
        </w:r>
        <w:r w:rsidRPr="008E1321">
          <w:rPr>
            <w:rFonts w:ascii="Times New Roman" w:hAnsi="Times New Roman" w:cs="Times New Roman"/>
            <w:noProof/>
            <w:webHidden/>
          </w:rPr>
          <w:fldChar w:fldCharType="end"/>
        </w:r>
      </w:hyperlink>
    </w:p>
    <w:p w14:paraId="0635D7B1" w14:textId="1549ED60" w:rsidR="00931797" w:rsidRPr="008E1321" w:rsidRDefault="00931797">
      <w:pPr>
        <w:pStyle w:val="TOC3"/>
        <w:tabs>
          <w:tab w:val="right" w:leader="underscore" w:pos="9350"/>
        </w:tabs>
        <w:rPr>
          <w:rFonts w:ascii="Times New Roman" w:eastAsiaTheme="minorEastAsia" w:hAnsi="Times New Roman" w:cs="Times New Roman"/>
          <w:noProof/>
          <w:sz w:val="24"/>
          <w:szCs w:val="21"/>
          <w:lang w:eastAsia="en-IN"/>
        </w:rPr>
      </w:pPr>
      <w:hyperlink w:anchor="_Toc221115341" w:history="1">
        <w:r w:rsidRPr="008E1321">
          <w:rPr>
            <w:rStyle w:val="Hyperlink"/>
            <w:rFonts w:ascii="Times New Roman" w:hAnsi="Times New Roman" w:cs="Times New Roman"/>
            <w:noProof/>
          </w:rPr>
          <w:t>Table 37: Rate of return on total capital outlays of Electricity Boards from 1966-67 to 1968-69</w:t>
        </w:r>
        <w:r w:rsidRPr="008E1321">
          <w:rPr>
            <w:rFonts w:ascii="Times New Roman" w:hAnsi="Times New Roman" w:cs="Times New Roman"/>
            <w:noProof/>
            <w:webHidden/>
          </w:rPr>
          <w:tab/>
        </w:r>
        <w:r w:rsidRPr="008E1321">
          <w:rPr>
            <w:rFonts w:ascii="Times New Roman" w:hAnsi="Times New Roman" w:cs="Times New Roman"/>
            <w:noProof/>
            <w:webHidden/>
          </w:rPr>
          <w:fldChar w:fldCharType="begin"/>
        </w:r>
        <w:r w:rsidRPr="008E1321">
          <w:rPr>
            <w:rFonts w:ascii="Times New Roman" w:hAnsi="Times New Roman" w:cs="Times New Roman"/>
            <w:noProof/>
            <w:webHidden/>
          </w:rPr>
          <w:instrText xml:space="preserve"> PAGEREF _Toc221115341 \h </w:instrText>
        </w:r>
        <w:r w:rsidRPr="008E1321">
          <w:rPr>
            <w:rFonts w:ascii="Times New Roman" w:hAnsi="Times New Roman" w:cs="Times New Roman"/>
            <w:noProof/>
            <w:webHidden/>
          </w:rPr>
        </w:r>
        <w:r w:rsidRPr="008E1321">
          <w:rPr>
            <w:rFonts w:ascii="Times New Roman" w:hAnsi="Times New Roman" w:cs="Times New Roman"/>
            <w:noProof/>
            <w:webHidden/>
          </w:rPr>
          <w:fldChar w:fldCharType="separate"/>
        </w:r>
        <w:r w:rsidR="00F70A97">
          <w:rPr>
            <w:rFonts w:ascii="Times New Roman" w:hAnsi="Times New Roman" w:cs="Times New Roman"/>
            <w:noProof/>
            <w:webHidden/>
          </w:rPr>
          <w:t>184</w:t>
        </w:r>
        <w:r w:rsidRPr="008E1321">
          <w:rPr>
            <w:rFonts w:ascii="Times New Roman" w:hAnsi="Times New Roman" w:cs="Times New Roman"/>
            <w:noProof/>
            <w:webHidden/>
          </w:rPr>
          <w:fldChar w:fldCharType="end"/>
        </w:r>
      </w:hyperlink>
    </w:p>
    <w:p w14:paraId="5AA062DD" w14:textId="1A839B7A" w:rsidR="00931797" w:rsidRPr="008E1321" w:rsidRDefault="00931797">
      <w:pPr>
        <w:pStyle w:val="TOC3"/>
        <w:tabs>
          <w:tab w:val="right" w:leader="underscore" w:pos="9350"/>
        </w:tabs>
        <w:rPr>
          <w:rFonts w:ascii="Times New Roman" w:eastAsiaTheme="minorEastAsia" w:hAnsi="Times New Roman" w:cs="Times New Roman"/>
          <w:noProof/>
          <w:sz w:val="24"/>
          <w:szCs w:val="21"/>
          <w:lang w:eastAsia="en-IN"/>
        </w:rPr>
      </w:pPr>
      <w:hyperlink w:anchor="_Toc221115342" w:history="1">
        <w:r w:rsidRPr="008E1321">
          <w:rPr>
            <w:rStyle w:val="Hyperlink"/>
            <w:rFonts w:ascii="Times New Roman" w:hAnsi="Times New Roman" w:cs="Times New Roman"/>
            <w:noProof/>
          </w:rPr>
          <w:t>Table 38: Electricity Boards: Installed capacity, Average cost per unit sold and Average price charged per unit sold: 1967-68</w:t>
        </w:r>
        <w:r w:rsidRPr="008E1321">
          <w:rPr>
            <w:rFonts w:ascii="Times New Roman" w:hAnsi="Times New Roman" w:cs="Times New Roman"/>
            <w:noProof/>
            <w:webHidden/>
          </w:rPr>
          <w:tab/>
        </w:r>
        <w:r w:rsidRPr="008E1321">
          <w:rPr>
            <w:rFonts w:ascii="Times New Roman" w:hAnsi="Times New Roman" w:cs="Times New Roman"/>
            <w:noProof/>
            <w:webHidden/>
          </w:rPr>
          <w:fldChar w:fldCharType="begin"/>
        </w:r>
        <w:r w:rsidRPr="008E1321">
          <w:rPr>
            <w:rFonts w:ascii="Times New Roman" w:hAnsi="Times New Roman" w:cs="Times New Roman"/>
            <w:noProof/>
            <w:webHidden/>
          </w:rPr>
          <w:instrText xml:space="preserve"> PAGEREF _Toc221115342 \h </w:instrText>
        </w:r>
        <w:r w:rsidRPr="008E1321">
          <w:rPr>
            <w:rFonts w:ascii="Times New Roman" w:hAnsi="Times New Roman" w:cs="Times New Roman"/>
            <w:noProof/>
            <w:webHidden/>
          </w:rPr>
        </w:r>
        <w:r w:rsidRPr="008E1321">
          <w:rPr>
            <w:rFonts w:ascii="Times New Roman" w:hAnsi="Times New Roman" w:cs="Times New Roman"/>
            <w:noProof/>
            <w:webHidden/>
          </w:rPr>
          <w:fldChar w:fldCharType="separate"/>
        </w:r>
        <w:r w:rsidR="00F70A97">
          <w:rPr>
            <w:rFonts w:ascii="Times New Roman" w:hAnsi="Times New Roman" w:cs="Times New Roman"/>
            <w:noProof/>
            <w:webHidden/>
          </w:rPr>
          <w:t>185</w:t>
        </w:r>
        <w:r w:rsidRPr="008E1321">
          <w:rPr>
            <w:rFonts w:ascii="Times New Roman" w:hAnsi="Times New Roman" w:cs="Times New Roman"/>
            <w:noProof/>
            <w:webHidden/>
          </w:rPr>
          <w:fldChar w:fldCharType="end"/>
        </w:r>
      </w:hyperlink>
    </w:p>
    <w:p w14:paraId="55FD8FA7" w14:textId="316643C5" w:rsidR="00931797" w:rsidRPr="008E1321" w:rsidRDefault="00931797">
      <w:pPr>
        <w:pStyle w:val="TOC3"/>
        <w:tabs>
          <w:tab w:val="right" w:leader="underscore" w:pos="9350"/>
        </w:tabs>
        <w:rPr>
          <w:rFonts w:ascii="Times New Roman" w:eastAsiaTheme="minorEastAsia" w:hAnsi="Times New Roman" w:cs="Times New Roman"/>
          <w:noProof/>
          <w:sz w:val="24"/>
          <w:szCs w:val="21"/>
          <w:lang w:eastAsia="en-IN"/>
        </w:rPr>
      </w:pPr>
      <w:hyperlink w:anchor="_Toc221115343" w:history="1">
        <w:r w:rsidRPr="008E1321">
          <w:rPr>
            <w:rStyle w:val="Hyperlink"/>
            <w:rFonts w:ascii="Times New Roman" w:hAnsi="Times New Roman" w:cs="Times New Roman"/>
            <w:noProof/>
          </w:rPr>
          <w:t>Table 39: Financial Results of Road and Water Transport Schemes run departmentally</w:t>
        </w:r>
        <w:r w:rsidRPr="008E1321">
          <w:rPr>
            <w:rFonts w:ascii="Times New Roman" w:hAnsi="Times New Roman" w:cs="Times New Roman"/>
            <w:noProof/>
            <w:webHidden/>
          </w:rPr>
          <w:tab/>
        </w:r>
        <w:r w:rsidRPr="008E1321">
          <w:rPr>
            <w:rFonts w:ascii="Times New Roman" w:hAnsi="Times New Roman" w:cs="Times New Roman"/>
            <w:noProof/>
            <w:webHidden/>
          </w:rPr>
          <w:fldChar w:fldCharType="begin"/>
        </w:r>
        <w:r w:rsidRPr="008E1321">
          <w:rPr>
            <w:rFonts w:ascii="Times New Roman" w:hAnsi="Times New Roman" w:cs="Times New Roman"/>
            <w:noProof/>
            <w:webHidden/>
          </w:rPr>
          <w:instrText xml:space="preserve"> PAGEREF _Toc221115343 \h </w:instrText>
        </w:r>
        <w:r w:rsidRPr="008E1321">
          <w:rPr>
            <w:rFonts w:ascii="Times New Roman" w:hAnsi="Times New Roman" w:cs="Times New Roman"/>
            <w:noProof/>
            <w:webHidden/>
          </w:rPr>
        </w:r>
        <w:r w:rsidRPr="008E1321">
          <w:rPr>
            <w:rFonts w:ascii="Times New Roman" w:hAnsi="Times New Roman" w:cs="Times New Roman"/>
            <w:noProof/>
            <w:webHidden/>
          </w:rPr>
          <w:fldChar w:fldCharType="separate"/>
        </w:r>
        <w:r w:rsidR="00F70A97">
          <w:rPr>
            <w:rFonts w:ascii="Times New Roman" w:hAnsi="Times New Roman" w:cs="Times New Roman"/>
            <w:noProof/>
            <w:webHidden/>
          </w:rPr>
          <w:t>186</w:t>
        </w:r>
        <w:r w:rsidRPr="008E1321">
          <w:rPr>
            <w:rFonts w:ascii="Times New Roman" w:hAnsi="Times New Roman" w:cs="Times New Roman"/>
            <w:noProof/>
            <w:webHidden/>
          </w:rPr>
          <w:fldChar w:fldCharType="end"/>
        </w:r>
      </w:hyperlink>
    </w:p>
    <w:p w14:paraId="7B7CCB90" w14:textId="07D876EA" w:rsidR="00931797" w:rsidRPr="008E1321" w:rsidRDefault="00931797">
      <w:pPr>
        <w:pStyle w:val="TOC3"/>
        <w:tabs>
          <w:tab w:val="right" w:leader="underscore" w:pos="9350"/>
        </w:tabs>
        <w:rPr>
          <w:rFonts w:ascii="Times New Roman" w:eastAsiaTheme="minorEastAsia" w:hAnsi="Times New Roman" w:cs="Times New Roman"/>
          <w:noProof/>
          <w:sz w:val="24"/>
          <w:szCs w:val="21"/>
          <w:lang w:eastAsia="en-IN"/>
        </w:rPr>
      </w:pPr>
      <w:hyperlink w:anchor="_Toc221115344" w:history="1">
        <w:r w:rsidRPr="008E1321">
          <w:rPr>
            <w:rStyle w:val="Hyperlink"/>
            <w:rFonts w:ascii="Times New Roman" w:hAnsi="Times New Roman" w:cs="Times New Roman"/>
            <w:noProof/>
          </w:rPr>
          <w:t>Table 40: Outstanding public debt, loans and advances and productive capital outlays as at the end of 1968-69</w:t>
        </w:r>
        <w:r w:rsidRPr="008E1321">
          <w:rPr>
            <w:rFonts w:ascii="Times New Roman" w:hAnsi="Times New Roman" w:cs="Times New Roman"/>
            <w:noProof/>
            <w:webHidden/>
          </w:rPr>
          <w:tab/>
        </w:r>
        <w:r w:rsidRPr="008E1321">
          <w:rPr>
            <w:rFonts w:ascii="Times New Roman" w:hAnsi="Times New Roman" w:cs="Times New Roman"/>
            <w:noProof/>
            <w:webHidden/>
          </w:rPr>
          <w:fldChar w:fldCharType="begin"/>
        </w:r>
        <w:r w:rsidRPr="008E1321">
          <w:rPr>
            <w:rFonts w:ascii="Times New Roman" w:hAnsi="Times New Roman" w:cs="Times New Roman"/>
            <w:noProof/>
            <w:webHidden/>
          </w:rPr>
          <w:instrText xml:space="preserve"> PAGEREF _Toc221115344 \h </w:instrText>
        </w:r>
        <w:r w:rsidRPr="008E1321">
          <w:rPr>
            <w:rFonts w:ascii="Times New Roman" w:hAnsi="Times New Roman" w:cs="Times New Roman"/>
            <w:noProof/>
            <w:webHidden/>
          </w:rPr>
        </w:r>
        <w:r w:rsidRPr="008E1321">
          <w:rPr>
            <w:rFonts w:ascii="Times New Roman" w:hAnsi="Times New Roman" w:cs="Times New Roman"/>
            <w:noProof/>
            <w:webHidden/>
          </w:rPr>
          <w:fldChar w:fldCharType="separate"/>
        </w:r>
        <w:r w:rsidR="00F70A97">
          <w:rPr>
            <w:rFonts w:ascii="Times New Roman" w:hAnsi="Times New Roman" w:cs="Times New Roman"/>
            <w:noProof/>
            <w:webHidden/>
          </w:rPr>
          <w:t>188</w:t>
        </w:r>
        <w:r w:rsidRPr="008E1321">
          <w:rPr>
            <w:rFonts w:ascii="Times New Roman" w:hAnsi="Times New Roman" w:cs="Times New Roman"/>
            <w:noProof/>
            <w:webHidden/>
          </w:rPr>
          <w:fldChar w:fldCharType="end"/>
        </w:r>
      </w:hyperlink>
    </w:p>
    <w:p w14:paraId="7D9A419A" w14:textId="1775C043" w:rsidR="00931797" w:rsidRPr="008E1321" w:rsidRDefault="00931797">
      <w:pPr>
        <w:pStyle w:val="TOC3"/>
        <w:tabs>
          <w:tab w:val="right" w:leader="underscore" w:pos="9350"/>
        </w:tabs>
        <w:rPr>
          <w:rFonts w:ascii="Times New Roman" w:eastAsiaTheme="minorEastAsia" w:hAnsi="Times New Roman" w:cs="Times New Roman"/>
          <w:noProof/>
          <w:sz w:val="24"/>
          <w:szCs w:val="21"/>
          <w:lang w:eastAsia="en-IN"/>
        </w:rPr>
      </w:pPr>
      <w:hyperlink w:anchor="_Toc221115345" w:history="1">
        <w:r w:rsidRPr="008E1321">
          <w:rPr>
            <w:rStyle w:val="Hyperlink"/>
            <w:rFonts w:ascii="Times New Roman" w:hAnsi="Times New Roman" w:cs="Times New Roman"/>
            <w:noProof/>
          </w:rPr>
          <w:t>Table 41: Details of total loans and advances and physical assets of State Governments as on 31-3-1969 (Estimates)</w:t>
        </w:r>
        <w:r w:rsidRPr="008E1321">
          <w:rPr>
            <w:rFonts w:ascii="Times New Roman" w:hAnsi="Times New Roman" w:cs="Times New Roman"/>
            <w:noProof/>
            <w:webHidden/>
          </w:rPr>
          <w:tab/>
        </w:r>
        <w:r w:rsidRPr="008E1321">
          <w:rPr>
            <w:rFonts w:ascii="Times New Roman" w:hAnsi="Times New Roman" w:cs="Times New Roman"/>
            <w:noProof/>
            <w:webHidden/>
          </w:rPr>
          <w:fldChar w:fldCharType="begin"/>
        </w:r>
        <w:r w:rsidRPr="008E1321">
          <w:rPr>
            <w:rFonts w:ascii="Times New Roman" w:hAnsi="Times New Roman" w:cs="Times New Roman"/>
            <w:noProof/>
            <w:webHidden/>
          </w:rPr>
          <w:instrText xml:space="preserve"> PAGEREF _Toc221115345 \h </w:instrText>
        </w:r>
        <w:r w:rsidRPr="008E1321">
          <w:rPr>
            <w:rFonts w:ascii="Times New Roman" w:hAnsi="Times New Roman" w:cs="Times New Roman"/>
            <w:noProof/>
            <w:webHidden/>
          </w:rPr>
        </w:r>
        <w:r w:rsidRPr="008E1321">
          <w:rPr>
            <w:rFonts w:ascii="Times New Roman" w:hAnsi="Times New Roman" w:cs="Times New Roman"/>
            <w:noProof/>
            <w:webHidden/>
          </w:rPr>
          <w:fldChar w:fldCharType="separate"/>
        </w:r>
        <w:r w:rsidR="00F70A97">
          <w:rPr>
            <w:rFonts w:ascii="Times New Roman" w:hAnsi="Times New Roman" w:cs="Times New Roman"/>
            <w:noProof/>
            <w:webHidden/>
          </w:rPr>
          <w:t>189</w:t>
        </w:r>
        <w:r w:rsidRPr="008E1321">
          <w:rPr>
            <w:rFonts w:ascii="Times New Roman" w:hAnsi="Times New Roman" w:cs="Times New Roman"/>
            <w:noProof/>
            <w:webHidden/>
          </w:rPr>
          <w:fldChar w:fldCharType="end"/>
        </w:r>
      </w:hyperlink>
    </w:p>
    <w:p w14:paraId="21D3BF89" w14:textId="6CD5EAEA" w:rsidR="00931797" w:rsidRPr="008E1321" w:rsidRDefault="00931797">
      <w:pPr>
        <w:pStyle w:val="TOC3"/>
        <w:tabs>
          <w:tab w:val="right" w:leader="underscore" w:pos="9350"/>
        </w:tabs>
        <w:rPr>
          <w:rFonts w:ascii="Times New Roman" w:eastAsiaTheme="minorEastAsia" w:hAnsi="Times New Roman" w:cs="Times New Roman"/>
          <w:noProof/>
          <w:sz w:val="24"/>
          <w:szCs w:val="21"/>
          <w:lang w:eastAsia="en-IN"/>
        </w:rPr>
      </w:pPr>
      <w:hyperlink w:anchor="_Toc221115346" w:history="1">
        <w:r w:rsidRPr="008E1321">
          <w:rPr>
            <w:rStyle w:val="Hyperlink"/>
            <w:rFonts w:ascii="Times New Roman" w:hAnsi="Times New Roman" w:cs="Times New Roman"/>
            <w:noProof/>
          </w:rPr>
          <w:t>Table 42: Rate of Dividends on State Investments</w:t>
        </w:r>
        <w:r w:rsidRPr="008E1321">
          <w:rPr>
            <w:rFonts w:ascii="Times New Roman" w:hAnsi="Times New Roman" w:cs="Times New Roman"/>
            <w:noProof/>
            <w:webHidden/>
          </w:rPr>
          <w:tab/>
        </w:r>
        <w:r w:rsidRPr="008E1321">
          <w:rPr>
            <w:rFonts w:ascii="Times New Roman" w:hAnsi="Times New Roman" w:cs="Times New Roman"/>
            <w:noProof/>
            <w:webHidden/>
          </w:rPr>
          <w:fldChar w:fldCharType="begin"/>
        </w:r>
        <w:r w:rsidRPr="008E1321">
          <w:rPr>
            <w:rFonts w:ascii="Times New Roman" w:hAnsi="Times New Roman" w:cs="Times New Roman"/>
            <w:noProof/>
            <w:webHidden/>
          </w:rPr>
          <w:instrText xml:space="preserve"> PAGEREF _Toc221115346 \h </w:instrText>
        </w:r>
        <w:r w:rsidRPr="008E1321">
          <w:rPr>
            <w:rFonts w:ascii="Times New Roman" w:hAnsi="Times New Roman" w:cs="Times New Roman"/>
            <w:noProof/>
            <w:webHidden/>
          </w:rPr>
        </w:r>
        <w:r w:rsidRPr="008E1321">
          <w:rPr>
            <w:rFonts w:ascii="Times New Roman" w:hAnsi="Times New Roman" w:cs="Times New Roman"/>
            <w:noProof/>
            <w:webHidden/>
          </w:rPr>
          <w:fldChar w:fldCharType="separate"/>
        </w:r>
        <w:r w:rsidR="00F70A97">
          <w:rPr>
            <w:rFonts w:ascii="Times New Roman" w:hAnsi="Times New Roman" w:cs="Times New Roman"/>
            <w:noProof/>
            <w:webHidden/>
          </w:rPr>
          <w:t>191</w:t>
        </w:r>
        <w:r w:rsidRPr="008E1321">
          <w:rPr>
            <w:rFonts w:ascii="Times New Roman" w:hAnsi="Times New Roman" w:cs="Times New Roman"/>
            <w:noProof/>
            <w:webHidden/>
          </w:rPr>
          <w:fldChar w:fldCharType="end"/>
        </w:r>
      </w:hyperlink>
    </w:p>
    <w:p w14:paraId="5367B7B8" w14:textId="136F0B79" w:rsidR="00931797" w:rsidRPr="008E1321" w:rsidRDefault="00931797">
      <w:pPr>
        <w:pStyle w:val="TOC3"/>
        <w:tabs>
          <w:tab w:val="right" w:leader="underscore" w:pos="9350"/>
        </w:tabs>
        <w:rPr>
          <w:rFonts w:ascii="Times New Roman" w:eastAsiaTheme="minorEastAsia" w:hAnsi="Times New Roman" w:cs="Times New Roman"/>
          <w:noProof/>
          <w:sz w:val="24"/>
          <w:szCs w:val="21"/>
          <w:lang w:eastAsia="en-IN"/>
        </w:rPr>
      </w:pPr>
      <w:hyperlink w:anchor="_Toc221115347" w:history="1">
        <w:r w:rsidRPr="008E1321">
          <w:rPr>
            <w:rStyle w:val="Hyperlink"/>
            <w:rFonts w:ascii="Times New Roman" w:hAnsi="Times New Roman" w:cs="Times New Roman"/>
            <w:noProof/>
          </w:rPr>
          <w:t>Table 43: Revenue receipts of the Government of India</w:t>
        </w:r>
        <w:r w:rsidRPr="008E1321">
          <w:rPr>
            <w:rFonts w:ascii="Times New Roman" w:hAnsi="Times New Roman" w:cs="Times New Roman"/>
            <w:noProof/>
            <w:webHidden/>
          </w:rPr>
          <w:tab/>
        </w:r>
        <w:r w:rsidRPr="008E1321">
          <w:rPr>
            <w:rFonts w:ascii="Times New Roman" w:hAnsi="Times New Roman" w:cs="Times New Roman"/>
            <w:noProof/>
            <w:webHidden/>
          </w:rPr>
          <w:fldChar w:fldCharType="begin"/>
        </w:r>
        <w:r w:rsidRPr="008E1321">
          <w:rPr>
            <w:rFonts w:ascii="Times New Roman" w:hAnsi="Times New Roman" w:cs="Times New Roman"/>
            <w:noProof/>
            <w:webHidden/>
          </w:rPr>
          <w:instrText xml:space="preserve"> PAGEREF _Toc221115347 \h </w:instrText>
        </w:r>
        <w:r w:rsidRPr="008E1321">
          <w:rPr>
            <w:rFonts w:ascii="Times New Roman" w:hAnsi="Times New Roman" w:cs="Times New Roman"/>
            <w:noProof/>
            <w:webHidden/>
          </w:rPr>
        </w:r>
        <w:r w:rsidRPr="008E1321">
          <w:rPr>
            <w:rFonts w:ascii="Times New Roman" w:hAnsi="Times New Roman" w:cs="Times New Roman"/>
            <w:noProof/>
            <w:webHidden/>
          </w:rPr>
          <w:fldChar w:fldCharType="separate"/>
        </w:r>
        <w:r w:rsidR="00F70A97">
          <w:rPr>
            <w:rFonts w:ascii="Times New Roman" w:hAnsi="Times New Roman" w:cs="Times New Roman"/>
            <w:noProof/>
            <w:webHidden/>
          </w:rPr>
          <w:t>192</w:t>
        </w:r>
        <w:r w:rsidRPr="008E1321">
          <w:rPr>
            <w:rFonts w:ascii="Times New Roman" w:hAnsi="Times New Roman" w:cs="Times New Roman"/>
            <w:noProof/>
            <w:webHidden/>
          </w:rPr>
          <w:fldChar w:fldCharType="end"/>
        </w:r>
      </w:hyperlink>
    </w:p>
    <w:p w14:paraId="4CFFFC96" w14:textId="7A1B250E" w:rsidR="00931797" w:rsidRPr="008E1321" w:rsidRDefault="00931797">
      <w:pPr>
        <w:pStyle w:val="TOC3"/>
        <w:tabs>
          <w:tab w:val="right" w:leader="underscore" w:pos="9350"/>
        </w:tabs>
        <w:rPr>
          <w:rFonts w:ascii="Times New Roman" w:eastAsiaTheme="minorEastAsia" w:hAnsi="Times New Roman" w:cs="Times New Roman"/>
          <w:noProof/>
          <w:sz w:val="24"/>
          <w:szCs w:val="21"/>
          <w:lang w:eastAsia="en-IN"/>
        </w:rPr>
      </w:pPr>
      <w:hyperlink w:anchor="_Toc221115348" w:history="1">
        <w:r w:rsidRPr="008E1321">
          <w:rPr>
            <w:rStyle w:val="Hyperlink"/>
            <w:rFonts w:ascii="Times New Roman" w:hAnsi="Times New Roman" w:cs="Times New Roman"/>
            <w:noProof/>
          </w:rPr>
          <w:t>Table 44: Revenue Expenditure of the Government of India</w:t>
        </w:r>
        <w:r w:rsidRPr="008E1321">
          <w:rPr>
            <w:rFonts w:ascii="Times New Roman" w:hAnsi="Times New Roman" w:cs="Times New Roman"/>
            <w:noProof/>
            <w:webHidden/>
          </w:rPr>
          <w:tab/>
        </w:r>
        <w:r w:rsidRPr="008E1321">
          <w:rPr>
            <w:rFonts w:ascii="Times New Roman" w:hAnsi="Times New Roman" w:cs="Times New Roman"/>
            <w:noProof/>
            <w:webHidden/>
          </w:rPr>
          <w:fldChar w:fldCharType="begin"/>
        </w:r>
        <w:r w:rsidRPr="008E1321">
          <w:rPr>
            <w:rFonts w:ascii="Times New Roman" w:hAnsi="Times New Roman" w:cs="Times New Roman"/>
            <w:noProof/>
            <w:webHidden/>
          </w:rPr>
          <w:instrText xml:space="preserve"> PAGEREF _Toc221115348 \h </w:instrText>
        </w:r>
        <w:r w:rsidRPr="008E1321">
          <w:rPr>
            <w:rFonts w:ascii="Times New Roman" w:hAnsi="Times New Roman" w:cs="Times New Roman"/>
            <w:noProof/>
            <w:webHidden/>
          </w:rPr>
        </w:r>
        <w:r w:rsidRPr="008E1321">
          <w:rPr>
            <w:rFonts w:ascii="Times New Roman" w:hAnsi="Times New Roman" w:cs="Times New Roman"/>
            <w:noProof/>
            <w:webHidden/>
          </w:rPr>
          <w:fldChar w:fldCharType="separate"/>
        </w:r>
        <w:r w:rsidR="00F70A97">
          <w:rPr>
            <w:rFonts w:ascii="Times New Roman" w:hAnsi="Times New Roman" w:cs="Times New Roman"/>
            <w:noProof/>
            <w:webHidden/>
          </w:rPr>
          <w:t>195</w:t>
        </w:r>
        <w:r w:rsidRPr="008E1321">
          <w:rPr>
            <w:rFonts w:ascii="Times New Roman" w:hAnsi="Times New Roman" w:cs="Times New Roman"/>
            <w:noProof/>
            <w:webHidden/>
          </w:rPr>
          <w:fldChar w:fldCharType="end"/>
        </w:r>
      </w:hyperlink>
    </w:p>
    <w:p w14:paraId="1389F22B" w14:textId="30FC754A" w:rsidR="00931797" w:rsidRPr="008E1321" w:rsidRDefault="00931797">
      <w:pPr>
        <w:pStyle w:val="TOC3"/>
        <w:tabs>
          <w:tab w:val="right" w:leader="underscore" w:pos="9350"/>
        </w:tabs>
        <w:rPr>
          <w:rFonts w:ascii="Times New Roman" w:eastAsiaTheme="minorEastAsia" w:hAnsi="Times New Roman" w:cs="Times New Roman"/>
          <w:noProof/>
          <w:sz w:val="24"/>
          <w:szCs w:val="21"/>
          <w:lang w:eastAsia="en-IN"/>
        </w:rPr>
      </w:pPr>
      <w:hyperlink w:anchor="_Toc221115349" w:history="1">
        <w:r w:rsidRPr="008E1321">
          <w:rPr>
            <w:rStyle w:val="Hyperlink"/>
            <w:rFonts w:ascii="Times New Roman" w:hAnsi="Times New Roman" w:cs="Times New Roman"/>
            <w:noProof/>
          </w:rPr>
          <w:t>Table 45: Revenue from Income Tax, Corporation Tax and Union Surcharges</w:t>
        </w:r>
        <w:r w:rsidRPr="008E1321">
          <w:rPr>
            <w:rFonts w:ascii="Times New Roman" w:hAnsi="Times New Roman" w:cs="Times New Roman"/>
            <w:noProof/>
            <w:webHidden/>
          </w:rPr>
          <w:tab/>
        </w:r>
        <w:r w:rsidRPr="008E1321">
          <w:rPr>
            <w:rFonts w:ascii="Times New Roman" w:hAnsi="Times New Roman" w:cs="Times New Roman"/>
            <w:noProof/>
            <w:webHidden/>
          </w:rPr>
          <w:fldChar w:fldCharType="begin"/>
        </w:r>
        <w:r w:rsidRPr="008E1321">
          <w:rPr>
            <w:rFonts w:ascii="Times New Roman" w:hAnsi="Times New Roman" w:cs="Times New Roman"/>
            <w:noProof/>
            <w:webHidden/>
          </w:rPr>
          <w:instrText xml:space="preserve"> PAGEREF _Toc221115349 \h </w:instrText>
        </w:r>
        <w:r w:rsidRPr="008E1321">
          <w:rPr>
            <w:rFonts w:ascii="Times New Roman" w:hAnsi="Times New Roman" w:cs="Times New Roman"/>
            <w:noProof/>
            <w:webHidden/>
          </w:rPr>
        </w:r>
        <w:r w:rsidRPr="008E1321">
          <w:rPr>
            <w:rFonts w:ascii="Times New Roman" w:hAnsi="Times New Roman" w:cs="Times New Roman"/>
            <w:noProof/>
            <w:webHidden/>
          </w:rPr>
          <w:fldChar w:fldCharType="separate"/>
        </w:r>
        <w:r w:rsidR="00F70A97">
          <w:rPr>
            <w:rFonts w:ascii="Times New Roman" w:hAnsi="Times New Roman" w:cs="Times New Roman"/>
            <w:noProof/>
            <w:webHidden/>
          </w:rPr>
          <w:t>197</w:t>
        </w:r>
        <w:r w:rsidRPr="008E1321">
          <w:rPr>
            <w:rFonts w:ascii="Times New Roman" w:hAnsi="Times New Roman" w:cs="Times New Roman"/>
            <w:noProof/>
            <w:webHidden/>
          </w:rPr>
          <w:fldChar w:fldCharType="end"/>
        </w:r>
      </w:hyperlink>
    </w:p>
    <w:p w14:paraId="2E1C0FC6" w14:textId="23899E17" w:rsidR="00931797" w:rsidRPr="008E1321" w:rsidRDefault="00931797">
      <w:pPr>
        <w:pStyle w:val="TOC3"/>
        <w:tabs>
          <w:tab w:val="right" w:leader="underscore" w:pos="9350"/>
        </w:tabs>
        <w:rPr>
          <w:rFonts w:ascii="Times New Roman" w:eastAsiaTheme="minorEastAsia" w:hAnsi="Times New Roman" w:cs="Times New Roman"/>
          <w:noProof/>
          <w:sz w:val="24"/>
          <w:szCs w:val="21"/>
          <w:lang w:eastAsia="en-IN"/>
        </w:rPr>
      </w:pPr>
      <w:hyperlink w:anchor="_Toc221115350" w:history="1">
        <w:r w:rsidRPr="008E1321">
          <w:rPr>
            <w:rStyle w:val="Hyperlink"/>
            <w:rFonts w:ascii="Times New Roman" w:hAnsi="Times New Roman" w:cs="Times New Roman"/>
            <w:noProof/>
          </w:rPr>
          <w:t>Table 46: State-wise assessment of income tax (excluding tax on Union Salaries) for the years 1962-63 to 1964-65.  (Net of reductions on account of appellate order, revision, rectification, etc.)</w:t>
        </w:r>
        <w:r w:rsidRPr="008E1321">
          <w:rPr>
            <w:rFonts w:ascii="Times New Roman" w:hAnsi="Times New Roman" w:cs="Times New Roman"/>
            <w:noProof/>
            <w:webHidden/>
          </w:rPr>
          <w:tab/>
        </w:r>
        <w:r w:rsidRPr="008E1321">
          <w:rPr>
            <w:rFonts w:ascii="Times New Roman" w:hAnsi="Times New Roman" w:cs="Times New Roman"/>
            <w:noProof/>
            <w:webHidden/>
          </w:rPr>
          <w:fldChar w:fldCharType="begin"/>
        </w:r>
        <w:r w:rsidRPr="008E1321">
          <w:rPr>
            <w:rFonts w:ascii="Times New Roman" w:hAnsi="Times New Roman" w:cs="Times New Roman"/>
            <w:noProof/>
            <w:webHidden/>
          </w:rPr>
          <w:instrText xml:space="preserve"> PAGEREF _Toc221115350 \h </w:instrText>
        </w:r>
        <w:r w:rsidRPr="008E1321">
          <w:rPr>
            <w:rFonts w:ascii="Times New Roman" w:hAnsi="Times New Roman" w:cs="Times New Roman"/>
            <w:noProof/>
            <w:webHidden/>
          </w:rPr>
        </w:r>
        <w:r w:rsidRPr="008E1321">
          <w:rPr>
            <w:rFonts w:ascii="Times New Roman" w:hAnsi="Times New Roman" w:cs="Times New Roman"/>
            <w:noProof/>
            <w:webHidden/>
          </w:rPr>
          <w:fldChar w:fldCharType="separate"/>
        </w:r>
        <w:r w:rsidR="00F70A97">
          <w:rPr>
            <w:rFonts w:ascii="Times New Roman" w:hAnsi="Times New Roman" w:cs="Times New Roman"/>
            <w:noProof/>
            <w:webHidden/>
          </w:rPr>
          <w:t>198</w:t>
        </w:r>
        <w:r w:rsidRPr="008E1321">
          <w:rPr>
            <w:rFonts w:ascii="Times New Roman" w:hAnsi="Times New Roman" w:cs="Times New Roman"/>
            <w:noProof/>
            <w:webHidden/>
          </w:rPr>
          <w:fldChar w:fldCharType="end"/>
        </w:r>
      </w:hyperlink>
    </w:p>
    <w:p w14:paraId="0595E298" w14:textId="390FF27B" w:rsidR="00931797" w:rsidRPr="008E1321" w:rsidRDefault="00931797">
      <w:pPr>
        <w:pStyle w:val="TOC3"/>
        <w:tabs>
          <w:tab w:val="right" w:leader="underscore" w:pos="9350"/>
        </w:tabs>
        <w:rPr>
          <w:rFonts w:ascii="Times New Roman" w:eastAsiaTheme="minorEastAsia" w:hAnsi="Times New Roman" w:cs="Times New Roman"/>
          <w:noProof/>
          <w:sz w:val="24"/>
          <w:szCs w:val="21"/>
          <w:lang w:eastAsia="en-IN"/>
        </w:rPr>
      </w:pPr>
      <w:hyperlink w:anchor="_Toc221115351" w:history="1">
        <w:r w:rsidRPr="008E1321">
          <w:rPr>
            <w:rStyle w:val="Hyperlink"/>
            <w:rFonts w:ascii="Times New Roman" w:hAnsi="Times New Roman" w:cs="Times New Roman"/>
            <w:noProof/>
          </w:rPr>
          <w:t>Table 47: Revenue from Union and Additional Excise Duties from 1965-66 to 1969-70 (Commodity-wise for items subject to additional excise duties and for others taken together)</w:t>
        </w:r>
        <w:r w:rsidRPr="008E1321">
          <w:rPr>
            <w:rFonts w:ascii="Times New Roman" w:hAnsi="Times New Roman" w:cs="Times New Roman"/>
            <w:noProof/>
            <w:webHidden/>
          </w:rPr>
          <w:tab/>
        </w:r>
        <w:r w:rsidRPr="008E1321">
          <w:rPr>
            <w:rFonts w:ascii="Times New Roman" w:hAnsi="Times New Roman" w:cs="Times New Roman"/>
            <w:noProof/>
            <w:webHidden/>
          </w:rPr>
          <w:fldChar w:fldCharType="begin"/>
        </w:r>
        <w:r w:rsidRPr="008E1321">
          <w:rPr>
            <w:rFonts w:ascii="Times New Roman" w:hAnsi="Times New Roman" w:cs="Times New Roman"/>
            <w:noProof/>
            <w:webHidden/>
          </w:rPr>
          <w:instrText xml:space="preserve"> PAGEREF _Toc221115351 \h </w:instrText>
        </w:r>
        <w:r w:rsidRPr="008E1321">
          <w:rPr>
            <w:rFonts w:ascii="Times New Roman" w:hAnsi="Times New Roman" w:cs="Times New Roman"/>
            <w:noProof/>
            <w:webHidden/>
          </w:rPr>
        </w:r>
        <w:r w:rsidRPr="008E1321">
          <w:rPr>
            <w:rFonts w:ascii="Times New Roman" w:hAnsi="Times New Roman" w:cs="Times New Roman"/>
            <w:noProof/>
            <w:webHidden/>
          </w:rPr>
          <w:fldChar w:fldCharType="separate"/>
        </w:r>
        <w:r w:rsidR="00F70A97">
          <w:rPr>
            <w:rFonts w:ascii="Times New Roman" w:hAnsi="Times New Roman" w:cs="Times New Roman"/>
            <w:noProof/>
            <w:webHidden/>
          </w:rPr>
          <w:t>199</w:t>
        </w:r>
        <w:r w:rsidRPr="008E1321">
          <w:rPr>
            <w:rFonts w:ascii="Times New Roman" w:hAnsi="Times New Roman" w:cs="Times New Roman"/>
            <w:noProof/>
            <w:webHidden/>
          </w:rPr>
          <w:fldChar w:fldCharType="end"/>
        </w:r>
      </w:hyperlink>
    </w:p>
    <w:p w14:paraId="62229584" w14:textId="3B968DC4" w:rsidR="00931797" w:rsidRPr="008E1321" w:rsidRDefault="00931797">
      <w:pPr>
        <w:pStyle w:val="TOC3"/>
        <w:tabs>
          <w:tab w:val="right" w:leader="underscore" w:pos="9350"/>
        </w:tabs>
        <w:rPr>
          <w:rFonts w:ascii="Times New Roman" w:eastAsiaTheme="minorEastAsia" w:hAnsi="Times New Roman" w:cs="Times New Roman"/>
          <w:noProof/>
          <w:sz w:val="24"/>
          <w:szCs w:val="21"/>
          <w:lang w:eastAsia="en-IN"/>
        </w:rPr>
      </w:pPr>
      <w:hyperlink w:anchor="_Toc221115352" w:history="1">
        <w:r w:rsidRPr="008E1321">
          <w:rPr>
            <w:rStyle w:val="Hyperlink"/>
            <w:rFonts w:ascii="Times New Roman" w:hAnsi="Times New Roman" w:cs="Times New Roman"/>
            <w:noProof/>
          </w:rPr>
          <w:t>Table 48: Revenue from Union Excise Duties, Additional Excise Duties and Special Excise Duties from 1950-51 to 1969-70.</w:t>
        </w:r>
        <w:r w:rsidRPr="008E1321">
          <w:rPr>
            <w:rFonts w:ascii="Times New Roman" w:hAnsi="Times New Roman" w:cs="Times New Roman"/>
            <w:noProof/>
            <w:webHidden/>
          </w:rPr>
          <w:tab/>
        </w:r>
        <w:r w:rsidRPr="008E1321">
          <w:rPr>
            <w:rFonts w:ascii="Times New Roman" w:hAnsi="Times New Roman" w:cs="Times New Roman"/>
            <w:noProof/>
            <w:webHidden/>
          </w:rPr>
          <w:fldChar w:fldCharType="begin"/>
        </w:r>
        <w:r w:rsidRPr="008E1321">
          <w:rPr>
            <w:rFonts w:ascii="Times New Roman" w:hAnsi="Times New Roman" w:cs="Times New Roman"/>
            <w:noProof/>
            <w:webHidden/>
          </w:rPr>
          <w:instrText xml:space="preserve"> PAGEREF _Toc221115352 \h </w:instrText>
        </w:r>
        <w:r w:rsidRPr="008E1321">
          <w:rPr>
            <w:rFonts w:ascii="Times New Roman" w:hAnsi="Times New Roman" w:cs="Times New Roman"/>
            <w:noProof/>
            <w:webHidden/>
          </w:rPr>
        </w:r>
        <w:r w:rsidRPr="008E1321">
          <w:rPr>
            <w:rFonts w:ascii="Times New Roman" w:hAnsi="Times New Roman" w:cs="Times New Roman"/>
            <w:noProof/>
            <w:webHidden/>
          </w:rPr>
          <w:fldChar w:fldCharType="separate"/>
        </w:r>
        <w:r w:rsidR="00F70A97">
          <w:rPr>
            <w:rFonts w:ascii="Times New Roman" w:hAnsi="Times New Roman" w:cs="Times New Roman"/>
            <w:noProof/>
            <w:webHidden/>
          </w:rPr>
          <w:t>200</w:t>
        </w:r>
        <w:r w:rsidRPr="008E1321">
          <w:rPr>
            <w:rFonts w:ascii="Times New Roman" w:hAnsi="Times New Roman" w:cs="Times New Roman"/>
            <w:noProof/>
            <w:webHidden/>
          </w:rPr>
          <w:fldChar w:fldCharType="end"/>
        </w:r>
      </w:hyperlink>
    </w:p>
    <w:p w14:paraId="63CEE0E9" w14:textId="5F3D2C45" w:rsidR="00931797" w:rsidRPr="008E1321" w:rsidRDefault="00931797">
      <w:pPr>
        <w:pStyle w:val="TOC3"/>
        <w:tabs>
          <w:tab w:val="right" w:leader="underscore" w:pos="9350"/>
        </w:tabs>
        <w:rPr>
          <w:rFonts w:ascii="Times New Roman" w:eastAsiaTheme="minorEastAsia" w:hAnsi="Times New Roman" w:cs="Times New Roman"/>
          <w:noProof/>
          <w:sz w:val="24"/>
          <w:szCs w:val="21"/>
          <w:lang w:eastAsia="en-IN"/>
        </w:rPr>
      </w:pPr>
      <w:hyperlink w:anchor="_Toc221115353" w:history="1">
        <w:r w:rsidRPr="008E1321">
          <w:rPr>
            <w:rStyle w:val="Hyperlink"/>
            <w:rFonts w:ascii="Times New Roman" w:hAnsi="Times New Roman" w:cs="Times New Roman"/>
            <w:noProof/>
          </w:rPr>
          <w:t>Table 49: Economic indicators for distribution of States' share of Union Excise Duties.</w:t>
        </w:r>
        <w:r w:rsidRPr="008E1321">
          <w:rPr>
            <w:rFonts w:ascii="Times New Roman" w:hAnsi="Times New Roman" w:cs="Times New Roman"/>
            <w:noProof/>
            <w:webHidden/>
          </w:rPr>
          <w:tab/>
        </w:r>
        <w:r w:rsidRPr="008E1321">
          <w:rPr>
            <w:rFonts w:ascii="Times New Roman" w:hAnsi="Times New Roman" w:cs="Times New Roman"/>
            <w:noProof/>
            <w:webHidden/>
          </w:rPr>
          <w:fldChar w:fldCharType="begin"/>
        </w:r>
        <w:r w:rsidRPr="008E1321">
          <w:rPr>
            <w:rFonts w:ascii="Times New Roman" w:hAnsi="Times New Roman" w:cs="Times New Roman"/>
            <w:noProof/>
            <w:webHidden/>
          </w:rPr>
          <w:instrText xml:space="preserve"> PAGEREF _Toc221115353 \h </w:instrText>
        </w:r>
        <w:r w:rsidRPr="008E1321">
          <w:rPr>
            <w:rFonts w:ascii="Times New Roman" w:hAnsi="Times New Roman" w:cs="Times New Roman"/>
            <w:noProof/>
            <w:webHidden/>
          </w:rPr>
        </w:r>
        <w:r w:rsidRPr="008E1321">
          <w:rPr>
            <w:rFonts w:ascii="Times New Roman" w:hAnsi="Times New Roman" w:cs="Times New Roman"/>
            <w:noProof/>
            <w:webHidden/>
          </w:rPr>
          <w:fldChar w:fldCharType="separate"/>
        </w:r>
        <w:r w:rsidR="00F70A97">
          <w:rPr>
            <w:rFonts w:ascii="Times New Roman" w:hAnsi="Times New Roman" w:cs="Times New Roman"/>
            <w:noProof/>
            <w:webHidden/>
          </w:rPr>
          <w:t>201</w:t>
        </w:r>
        <w:r w:rsidRPr="008E1321">
          <w:rPr>
            <w:rFonts w:ascii="Times New Roman" w:hAnsi="Times New Roman" w:cs="Times New Roman"/>
            <w:noProof/>
            <w:webHidden/>
          </w:rPr>
          <w:fldChar w:fldCharType="end"/>
        </w:r>
      </w:hyperlink>
    </w:p>
    <w:p w14:paraId="1297436F" w14:textId="2CD45D31" w:rsidR="00931797" w:rsidRPr="008E1321" w:rsidRDefault="00931797">
      <w:pPr>
        <w:pStyle w:val="TOC3"/>
        <w:tabs>
          <w:tab w:val="right" w:leader="underscore" w:pos="9350"/>
        </w:tabs>
        <w:rPr>
          <w:rFonts w:ascii="Times New Roman" w:eastAsiaTheme="minorEastAsia" w:hAnsi="Times New Roman" w:cs="Times New Roman"/>
          <w:noProof/>
          <w:sz w:val="24"/>
          <w:szCs w:val="21"/>
          <w:lang w:eastAsia="en-IN"/>
        </w:rPr>
      </w:pPr>
      <w:hyperlink w:anchor="_Toc221115354" w:history="1">
        <w:r w:rsidRPr="008E1321">
          <w:rPr>
            <w:rStyle w:val="Hyperlink"/>
            <w:rFonts w:ascii="Times New Roman" w:hAnsi="Times New Roman" w:cs="Times New Roman"/>
            <w:noProof/>
          </w:rPr>
          <w:t>Table 50: State-wise consumption estimates of Cigarettes</w:t>
        </w:r>
        <w:r w:rsidRPr="008E1321">
          <w:rPr>
            <w:rFonts w:ascii="Times New Roman" w:hAnsi="Times New Roman" w:cs="Times New Roman"/>
            <w:noProof/>
            <w:webHidden/>
          </w:rPr>
          <w:tab/>
        </w:r>
        <w:r w:rsidRPr="008E1321">
          <w:rPr>
            <w:rFonts w:ascii="Times New Roman" w:hAnsi="Times New Roman" w:cs="Times New Roman"/>
            <w:noProof/>
            <w:webHidden/>
          </w:rPr>
          <w:fldChar w:fldCharType="begin"/>
        </w:r>
        <w:r w:rsidRPr="008E1321">
          <w:rPr>
            <w:rFonts w:ascii="Times New Roman" w:hAnsi="Times New Roman" w:cs="Times New Roman"/>
            <w:noProof/>
            <w:webHidden/>
          </w:rPr>
          <w:instrText xml:space="preserve"> PAGEREF _Toc221115354 \h </w:instrText>
        </w:r>
        <w:r w:rsidRPr="008E1321">
          <w:rPr>
            <w:rFonts w:ascii="Times New Roman" w:hAnsi="Times New Roman" w:cs="Times New Roman"/>
            <w:noProof/>
            <w:webHidden/>
          </w:rPr>
        </w:r>
        <w:r w:rsidRPr="008E1321">
          <w:rPr>
            <w:rFonts w:ascii="Times New Roman" w:hAnsi="Times New Roman" w:cs="Times New Roman"/>
            <w:noProof/>
            <w:webHidden/>
          </w:rPr>
          <w:fldChar w:fldCharType="separate"/>
        </w:r>
        <w:r w:rsidR="00F70A97">
          <w:rPr>
            <w:rFonts w:ascii="Times New Roman" w:hAnsi="Times New Roman" w:cs="Times New Roman"/>
            <w:noProof/>
            <w:webHidden/>
          </w:rPr>
          <w:t>203</w:t>
        </w:r>
        <w:r w:rsidRPr="008E1321">
          <w:rPr>
            <w:rFonts w:ascii="Times New Roman" w:hAnsi="Times New Roman" w:cs="Times New Roman"/>
            <w:noProof/>
            <w:webHidden/>
          </w:rPr>
          <w:fldChar w:fldCharType="end"/>
        </w:r>
      </w:hyperlink>
    </w:p>
    <w:p w14:paraId="5002A54E" w14:textId="4A532EDC" w:rsidR="00931797" w:rsidRPr="008E1321" w:rsidRDefault="00931797">
      <w:pPr>
        <w:pStyle w:val="TOC3"/>
        <w:tabs>
          <w:tab w:val="right" w:leader="underscore" w:pos="9350"/>
        </w:tabs>
        <w:rPr>
          <w:rFonts w:ascii="Times New Roman" w:eastAsiaTheme="minorEastAsia" w:hAnsi="Times New Roman" w:cs="Times New Roman"/>
          <w:noProof/>
          <w:sz w:val="24"/>
          <w:szCs w:val="21"/>
          <w:lang w:eastAsia="en-IN"/>
        </w:rPr>
      </w:pPr>
      <w:hyperlink w:anchor="_Toc221115355" w:history="1">
        <w:r w:rsidRPr="008E1321">
          <w:rPr>
            <w:rStyle w:val="Hyperlink"/>
            <w:rFonts w:ascii="Times New Roman" w:hAnsi="Times New Roman" w:cs="Times New Roman"/>
            <w:noProof/>
          </w:rPr>
          <w:t>Table 51: State-wise consumption estimates of Cotton Textiles.</w:t>
        </w:r>
        <w:r w:rsidRPr="008E1321">
          <w:rPr>
            <w:rFonts w:ascii="Times New Roman" w:hAnsi="Times New Roman" w:cs="Times New Roman"/>
            <w:noProof/>
            <w:webHidden/>
          </w:rPr>
          <w:tab/>
        </w:r>
        <w:r w:rsidRPr="008E1321">
          <w:rPr>
            <w:rFonts w:ascii="Times New Roman" w:hAnsi="Times New Roman" w:cs="Times New Roman"/>
            <w:noProof/>
            <w:webHidden/>
          </w:rPr>
          <w:fldChar w:fldCharType="begin"/>
        </w:r>
        <w:r w:rsidRPr="008E1321">
          <w:rPr>
            <w:rFonts w:ascii="Times New Roman" w:hAnsi="Times New Roman" w:cs="Times New Roman"/>
            <w:noProof/>
            <w:webHidden/>
          </w:rPr>
          <w:instrText xml:space="preserve"> PAGEREF _Toc221115355 \h </w:instrText>
        </w:r>
        <w:r w:rsidRPr="008E1321">
          <w:rPr>
            <w:rFonts w:ascii="Times New Roman" w:hAnsi="Times New Roman" w:cs="Times New Roman"/>
            <w:noProof/>
            <w:webHidden/>
          </w:rPr>
        </w:r>
        <w:r w:rsidRPr="008E1321">
          <w:rPr>
            <w:rFonts w:ascii="Times New Roman" w:hAnsi="Times New Roman" w:cs="Times New Roman"/>
            <w:noProof/>
            <w:webHidden/>
          </w:rPr>
          <w:fldChar w:fldCharType="separate"/>
        </w:r>
        <w:r w:rsidR="00F70A97">
          <w:rPr>
            <w:rFonts w:ascii="Times New Roman" w:hAnsi="Times New Roman" w:cs="Times New Roman"/>
            <w:noProof/>
            <w:webHidden/>
          </w:rPr>
          <w:t>204</w:t>
        </w:r>
        <w:r w:rsidRPr="008E1321">
          <w:rPr>
            <w:rFonts w:ascii="Times New Roman" w:hAnsi="Times New Roman" w:cs="Times New Roman"/>
            <w:noProof/>
            <w:webHidden/>
          </w:rPr>
          <w:fldChar w:fldCharType="end"/>
        </w:r>
      </w:hyperlink>
    </w:p>
    <w:p w14:paraId="108C9315" w14:textId="5F22899D" w:rsidR="00931797" w:rsidRPr="008E1321" w:rsidRDefault="00931797">
      <w:pPr>
        <w:pStyle w:val="TOC3"/>
        <w:tabs>
          <w:tab w:val="right" w:leader="underscore" w:pos="9350"/>
        </w:tabs>
        <w:rPr>
          <w:rFonts w:ascii="Times New Roman" w:eastAsiaTheme="minorEastAsia" w:hAnsi="Times New Roman" w:cs="Times New Roman"/>
          <w:noProof/>
          <w:sz w:val="24"/>
          <w:szCs w:val="21"/>
          <w:lang w:eastAsia="en-IN"/>
        </w:rPr>
      </w:pPr>
      <w:hyperlink w:anchor="_Toc221115356" w:history="1">
        <w:r w:rsidRPr="008E1321">
          <w:rPr>
            <w:rStyle w:val="Hyperlink"/>
            <w:rFonts w:ascii="Times New Roman" w:hAnsi="Times New Roman" w:cs="Times New Roman"/>
            <w:noProof/>
          </w:rPr>
          <w:t>Table 52: State-wise consumption of Sugar</w:t>
        </w:r>
        <w:r w:rsidRPr="008E1321">
          <w:rPr>
            <w:rFonts w:ascii="Times New Roman" w:hAnsi="Times New Roman" w:cs="Times New Roman"/>
            <w:noProof/>
            <w:webHidden/>
          </w:rPr>
          <w:tab/>
        </w:r>
        <w:r w:rsidRPr="008E1321">
          <w:rPr>
            <w:rFonts w:ascii="Times New Roman" w:hAnsi="Times New Roman" w:cs="Times New Roman"/>
            <w:noProof/>
            <w:webHidden/>
          </w:rPr>
          <w:fldChar w:fldCharType="begin"/>
        </w:r>
        <w:r w:rsidRPr="008E1321">
          <w:rPr>
            <w:rFonts w:ascii="Times New Roman" w:hAnsi="Times New Roman" w:cs="Times New Roman"/>
            <w:noProof/>
            <w:webHidden/>
          </w:rPr>
          <w:instrText xml:space="preserve"> PAGEREF _Toc221115356 \h </w:instrText>
        </w:r>
        <w:r w:rsidRPr="008E1321">
          <w:rPr>
            <w:rFonts w:ascii="Times New Roman" w:hAnsi="Times New Roman" w:cs="Times New Roman"/>
            <w:noProof/>
            <w:webHidden/>
          </w:rPr>
        </w:r>
        <w:r w:rsidRPr="008E1321">
          <w:rPr>
            <w:rFonts w:ascii="Times New Roman" w:hAnsi="Times New Roman" w:cs="Times New Roman"/>
            <w:noProof/>
            <w:webHidden/>
          </w:rPr>
          <w:fldChar w:fldCharType="separate"/>
        </w:r>
        <w:r w:rsidR="00F70A97">
          <w:rPr>
            <w:rFonts w:ascii="Times New Roman" w:hAnsi="Times New Roman" w:cs="Times New Roman"/>
            <w:noProof/>
            <w:webHidden/>
          </w:rPr>
          <w:t>205</w:t>
        </w:r>
        <w:r w:rsidRPr="008E1321">
          <w:rPr>
            <w:rFonts w:ascii="Times New Roman" w:hAnsi="Times New Roman" w:cs="Times New Roman"/>
            <w:noProof/>
            <w:webHidden/>
          </w:rPr>
          <w:fldChar w:fldCharType="end"/>
        </w:r>
      </w:hyperlink>
    </w:p>
    <w:p w14:paraId="7BF335C3" w14:textId="4688CCCE" w:rsidR="00931797" w:rsidRPr="008E1321" w:rsidRDefault="00931797">
      <w:pPr>
        <w:pStyle w:val="TOC3"/>
        <w:tabs>
          <w:tab w:val="right" w:leader="underscore" w:pos="9350"/>
        </w:tabs>
        <w:rPr>
          <w:rFonts w:ascii="Times New Roman" w:eastAsiaTheme="minorEastAsia" w:hAnsi="Times New Roman" w:cs="Times New Roman"/>
          <w:noProof/>
          <w:sz w:val="24"/>
          <w:szCs w:val="21"/>
          <w:lang w:eastAsia="en-IN"/>
        </w:rPr>
      </w:pPr>
      <w:hyperlink w:anchor="_Toc221115357" w:history="1">
        <w:r w:rsidRPr="008E1321">
          <w:rPr>
            <w:rStyle w:val="Hyperlink"/>
            <w:rFonts w:ascii="Times New Roman" w:hAnsi="Times New Roman" w:cs="Times New Roman"/>
            <w:noProof/>
          </w:rPr>
          <w:t>Table 53: Resources transferred from the Centre to the States.</w:t>
        </w:r>
        <w:r w:rsidRPr="008E1321">
          <w:rPr>
            <w:rFonts w:ascii="Times New Roman" w:hAnsi="Times New Roman" w:cs="Times New Roman"/>
            <w:noProof/>
            <w:webHidden/>
          </w:rPr>
          <w:tab/>
        </w:r>
        <w:r w:rsidRPr="008E1321">
          <w:rPr>
            <w:rFonts w:ascii="Times New Roman" w:hAnsi="Times New Roman" w:cs="Times New Roman"/>
            <w:noProof/>
            <w:webHidden/>
          </w:rPr>
          <w:fldChar w:fldCharType="begin"/>
        </w:r>
        <w:r w:rsidRPr="008E1321">
          <w:rPr>
            <w:rFonts w:ascii="Times New Roman" w:hAnsi="Times New Roman" w:cs="Times New Roman"/>
            <w:noProof/>
            <w:webHidden/>
          </w:rPr>
          <w:instrText xml:space="preserve"> PAGEREF _Toc221115357 \h </w:instrText>
        </w:r>
        <w:r w:rsidRPr="008E1321">
          <w:rPr>
            <w:rFonts w:ascii="Times New Roman" w:hAnsi="Times New Roman" w:cs="Times New Roman"/>
            <w:noProof/>
            <w:webHidden/>
          </w:rPr>
        </w:r>
        <w:r w:rsidRPr="008E1321">
          <w:rPr>
            <w:rFonts w:ascii="Times New Roman" w:hAnsi="Times New Roman" w:cs="Times New Roman"/>
            <w:noProof/>
            <w:webHidden/>
          </w:rPr>
          <w:fldChar w:fldCharType="separate"/>
        </w:r>
        <w:r w:rsidR="00F70A97">
          <w:rPr>
            <w:rFonts w:ascii="Times New Roman" w:hAnsi="Times New Roman" w:cs="Times New Roman"/>
            <w:noProof/>
            <w:webHidden/>
          </w:rPr>
          <w:t>206</w:t>
        </w:r>
        <w:r w:rsidRPr="008E1321">
          <w:rPr>
            <w:rFonts w:ascii="Times New Roman" w:hAnsi="Times New Roman" w:cs="Times New Roman"/>
            <w:noProof/>
            <w:webHidden/>
          </w:rPr>
          <w:fldChar w:fldCharType="end"/>
        </w:r>
      </w:hyperlink>
    </w:p>
    <w:p w14:paraId="3C626F54" w14:textId="0B348455" w:rsidR="00931797" w:rsidRPr="008E1321" w:rsidRDefault="00931797">
      <w:pPr>
        <w:pStyle w:val="TOC3"/>
        <w:tabs>
          <w:tab w:val="right" w:leader="underscore" w:pos="9350"/>
        </w:tabs>
        <w:rPr>
          <w:rFonts w:ascii="Times New Roman" w:eastAsiaTheme="minorEastAsia" w:hAnsi="Times New Roman" w:cs="Times New Roman"/>
          <w:noProof/>
          <w:sz w:val="24"/>
          <w:szCs w:val="21"/>
          <w:lang w:eastAsia="en-IN"/>
        </w:rPr>
      </w:pPr>
      <w:hyperlink w:anchor="_Toc221115358" w:history="1">
        <w:r w:rsidRPr="008E1321">
          <w:rPr>
            <w:rStyle w:val="Hyperlink"/>
            <w:rFonts w:ascii="Times New Roman" w:hAnsi="Times New Roman" w:cs="Times New Roman"/>
            <w:noProof/>
          </w:rPr>
          <w:t>Table 54: Transfer from the Centre to state under the First Finance Commission’s Award (1952-53 to 1956-57)</w:t>
        </w:r>
        <w:r w:rsidRPr="008E1321">
          <w:rPr>
            <w:rFonts w:ascii="Times New Roman" w:hAnsi="Times New Roman" w:cs="Times New Roman"/>
            <w:noProof/>
            <w:webHidden/>
          </w:rPr>
          <w:tab/>
        </w:r>
        <w:r w:rsidRPr="008E1321">
          <w:rPr>
            <w:rFonts w:ascii="Times New Roman" w:hAnsi="Times New Roman" w:cs="Times New Roman"/>
            <w:noProof/>
            <w:webHidden/>
          </w:rPr>
          <w:fldChar w:fldCharType="begin"/>
        </w:r>
        <w:r w:rsidRPr="008E1321">
          <w:rPr>
            <w:rFonts w:ascii="Times New Roman" w:hAnsi="Times New Roman" w:cs="Times New Roman"/>
            <w:noProof/>
            <w:webHidden/>
          </w:rPr>
          <w:instrText xml:space="preserve"> PAGEREF _Toc221115358 \h </w:instrText>
        </w:r>
        <w:r w:rsidRPr="008E1321">
          <w:rPr>
            <w:rFonts w:ascii="Times New Roman" w:hAnsi="Times New Roman" w:cs="Times New Roman"/>
            <w:noProof/>
            <w:webHidden/>
          </w:rPr>
        </w:r>
        <w:r w:rsidRPr="008E1321">
          <w:rPr>
            <w:rFonts w:ascii="Times New Roman" w:hAnsi="Times New Roman" w:cs="Times New Roman"/>
            <w:noProof/>
            <w:webHidden/>
          </w:rPr>
          <w:fldChar w:fldCharType="separate"/>
        </w:r>
        <w:r w:rsidR="00F70A97">
          <w:rPr>
            <w:rFonts w:ascii="Times New Roman" w:hAnsi="Times New Roman" w:cs="Times New Roman"/>
            <w:noProof/>
            <w:webHidden/>
          </w:rPr>
          <w:t>209</w:t>
        </w:r>
        <w:r w:rsidRPr="008E1321">
          <w:rPr>
            <w:rFonts w:ascii="Times New Roman" w:hAnsi="Times New Roman" w:cs="Times New Roman"/>
            <w:noProof/>
            <w:webHidden/>
          </w:rPr>
          <w:fldChar w:fldCharType="end"/>
        </w:r>
      </w:hyperlink>
    </w:p>
    <w:p w14:paraId="2755BC2A" w14:textId="4A7C2824" w:rsidR="00931797" w:rsidRPr="008E1321" w:rsidRDefault="00931797">
      <w:pPr>
        <w:pStyle w:val="TOC3"/>
        <w:tabs>
          <w:tab w:val="right" w:leader="underscore" w:pos="9350"/>
        </w:tabs>
        <w:rPr>
          <w:rFonts w:ascii="Times New Roman" w:eastAsiaTheme="minorEastAsia" w:hAnsi="Times New Roman" w:cs="Times New Roman"/>
          <w:noProof/>
          <w:sz w:val="24"/>
          <w:szCs w:val="21"/>
          <w:lang w:eastAsia="en-IN"/>
        </w:rPr>
      </w:pPr>
      <w:hyperlink w:anchor="_Toc221115359" w:history="1">
        <w:r w:rsidRPr="008E1321">
          <w:rPr>
            <w:rStyle w:val="Hyperlink"/>
            <w:rFonts w:ascii="Times New Roman" w:hAnsi="Times New Roman" w:cs="Times New Roman"/>
            <w:noProof/>
          </w:rPr>
          <w:t>Table 55: Transfers from the Centre to States under the Second Finance Commission's Award. (1957-58 to 1961-62)</w:t>
        </w:r>
        <w:r w:rsidRPr="008E1321">
          <w:rPr>
            <w:rFonts w:ascii="Times New Roman" w:hAnsi="Times New Roman" w:cs="Times New Roman"/>
            <w:noProof/>
            <w:webHidden/>
          </w:rPr>
          <w:tab/>
        </w:r>
        <w:r w:rsidRPr="008E1321">
          <w:rPr>
            <w:rFonts w:ascii="Times New Roman" w:hAnsi="Times New Roman" w:cs="Times New Roman"/>
            <w:noProof/>
            <w:webHidden/>
          </w:rPr>
          <w:fldChar w:fldCharType="begin"/>
        </w:r>
        <w:r w:rsidRPr="008E1321">
          <w:rPr>
            <w:rFonts w:ascii="Times New Roman" w:hAnsi="Times New Roman" w:cs="Times New Roman"/>
            <w:noProof/>
            <w:webHidden/>
          </w:rPr>
          <w:instrText xml:space="preserve"> PAGEREF _Toc221115359 \h </w:instrText>
        </w:r>
        <w:r w:rsidRPr="008E1321">
          <w:rPr>
            <w:rFonts w:ascii="Times New Roman" w:hAnsi="Times New Roman" w:cs="Times New Roman"/>
            <w:noProof/>
            <w:webHidden/>
          </w:rPr>
        </w:r>
        <w:r w:rsidRPr="008E1321">
          <w:rPr>
            <w:rFonts w:ascii="Times New Roman" w:hAnsi="Times New Roman" w:cs="Times New Roman"/>
            <w:noProof/>
            <w:webHidden/>
          </w:rPr>
          <w:fldChar w:fldCharType="separate"/>
        </w:r>
        <w:r w:rsidR="00F70A97">
          <w:rPr>
            <w:rFonts w:ascii="Times New Roman" w:hAnsi="Times New Roman" w:cs="Times New Roman"/>
            <w:noProof/>
            <w:webHidden/>
          </w:rPr>
          <w:t>211</w:t>
        </w:r>
        <w:r w:rsidRPr="008E1321">
          <w:rPr>
            <w:rFonts w:ascii="Times New Roman" w:hAnsi="Times New Roman" w:cs="Times New Roman"/>
            <w:noProof/>
            <w:webHidden/>
          </w:rPr>
          <w:fldChar w:fldCharType="end"/>
        </w:r>
      </w:hyperlink>
    </w:p>
    <w:p w14:paraId="1F205826" w14:textId="2294FC38" w:rsidR="00931797" w:rsidRPr="008E1321" w:rsidRDefault="00931797">
      <w:pPr>
        <w:pStyle w:val="TOC3"/>
        <w:tabs>
          <w:tab w:val="right" w:leader="underscore" w:pos="9350"/>
        </w:tabs>
        <w:rPr>
          <w:rFonts w:ascii="Times New Roman" w:eastAsiaTheme="minorEastAsia" w:hAnsi="Times New Roman" w:cs="Times New Roman"/>
          <w:noProof/>
          <w:sz w:val="24"/>
          <w:szCs w:val="21"/>
          <w:lang w:eastAsia="en-IN"/>
        </w:rPr>
      </w:pPr>
      <w:hyperlink w:anchor="_Toc221115360" w:history="1">
        <w:r w:rsidRPr="008E1321">
          <w:rPr>
            <w:rStyle w:val="Hyperlink"/>
            <w:rFonts w:ascii="Times New Roman" w:hAnsi="Times New Roman" w:cs="Times New Roman"/>
            <w:noProof/>
          </w:rPr>
          <w:t>Table 56: Transfers from the Centre to States under the Third Finance Commission’s Award (1962-63 to 1965-66)</w:t>
        </w:r>
        <w:r w:rsidRPr="008E1321">
          <w:rPr>
            <w:rFonts w:ascii="Times New Roman" w:hAnsi="Times New Roman" w:cs="Times New Roman"/>
            <w:noProof/>
            <w:webHidden/>
          </w:rPr>
          <w:tab/>
        </w:r>
        <w:r w:rsidRPr="008E1321">
          <w:rPr>
            <w:rFonts w:ascii="Times New Roman" w:hAnsi="Times New Roman" w:cs="Times New Roman"/>
            <w:noProof/>
            <w:webHidden/>
          </w:rPr>
          <w:fldChar w:fldCharType="begin"/>
        </w:r>
        <w:r w:rsidRPr="008E1321">
          <w:rPr>
            <w:rFonts w:ascii="Times New Roman" w:hAnsi="Times New Roman" w:cs="Times New Roman"/>
            <w:noProof/>
            <w:webHidden/>
          </w:rPr>
          <w:instrText xml:space="preserve"> PAGEREF _Toc221115360 \h </w:instrText>
        </w:r>
        <w:r w:rsidRPr="008E1321">
          <w:rPr>
            <w:rFonts w:ascii="Times New Roman" w:hAnsi="Times New Roman" w:cs="Times New Roman"/>
            <w:noProof/>
            <w:webHidden/>
          </w:rPr>
        </w:r>
        <w:r w:rsidRPr="008E1321">
          <w:rPr>
            <w:rFonts w:ascii="Times New Roman" w:hAnsi="Times New Roman" w:cs="Times New Roman"/>
            <w:noProof/>
            <w:webHidden/>
          </w:rPr>
          <w:fldChar w:fldCharType="separate"/>
        </w:r>
        <w:r w:rsidR="00F70A97">
          <w:rPr>
            <w:rFonts w:ascii="Times New Roman" w:hAnsi="Times New Roman" w:cs="Times New Roman"/>
            <w:noProof/>
            <w:webHidden/>
          </w:rPr>
          <w:t>212</w:t>
        </w:r>
        <w:r w:rsidRPr="008E1321">
          <w:rPr>
            <w:rFonts w:ascii="Times New Roman" w:hAnsi="Times New Roman" w:cs="Times New Roman"/>
            <w:noProof/>
            <w:webHidden/>
          </w:rPr>
          <w:fldChar w:fldCharType="end"/>
        </w:r>
      </w:hyperlink>
    </w:p>
    <w:p w14:paraId="36E268D2" w14:textId="3DE92E14" w:rsidR="00931797" w:rsidRPr="008E1321" w:rsidRDefault="00931797">
      <w:pPr>
        <w:pStyle w:val="TOC3"/>
        <w:tabs>
          <w:tab w:val="right" w:leader="underscore" w:pos="9350"/>
        </w:tabs>
        <w:rPr>
          <w:rFonts w:ascii="Times New Roman" w:eastAsiaTheme="minorEastAsia" w:hAnsi="Times New Roman" w:cs="Times New Roman"/>
          <w:noProof/>
          <w:sz w:val="24"/>
          <w:szCs w:val="21"/>
          <w:lang w:eastAsia="en-IN"/>
        </w:rPr>
      </w:pPr>
      <w:hyperlink w:anchor="_Toc221115361" w:history="1">
        <w:r w:rsidRPr="008E1321">
          <w:rPr>
            <w:rStyle w:val="Hyperlink"/>
            <w:rFonts w:ascii="Times New Roman" w:hAnsi="Times New Roman" w:cs="Times New Roman"/>
            <w:noProof/>
          </w:rPr>
          <w:t>Table 57: Transfers from the Centre to the States under the Fourth Finance Commission's Award. (1966-67 To1968-69)</w:t>
        </w:r>
        <w:r w:rsidRPr="008E1321">
          <w:rPr>
            <w:rFonts w:ascii="Times New Roman" w:hAnsi="Times New Roman" w:cs="Times New Roman"/>
            <w:noProof/>
            <w:webHidden/>
          </w:rPr>
          <w:tab/>
        </w:r>
        <w:r w:rsidRPr="008E1321">
          <w:rPr>
            <w:rFonts w:ascii="Times New Roman" w:hAnsi="Times New Roman" w:cs="Times New Roman"/>
            <w:noProof/>
            <w:webHidden/>
          </w:rPr>
          <w:fldChar w:fldCharType="begin"/>
        </w:r>
        <w:r w:rsidRPr="008E1321">
          <w:rPr>
            <w:rFonts w:ascii="Times New Roman" w:hAnsi="Times New Roman" w:cs="Times New Roman"/>
            <w:noProof/>
            <w:webHidden/>
          </w:rPr>
          <w:instrText xml:space="preserve"> PAGEREF _Toc221115361 \h </w:instrText>
        </w:r>
        <w:r w:rsidRPr="008E1321">
          <w:rPr>
            <w:rFonts w:ascii="Times New Roman" w:hAnsi="Times New Roman" w:cs="Times New Roman"/>
            <w:noProof/>
            <w:webHidden/>
          </w:rPr>
        </w:r>
        <w:r w:rsidRPr="008E1321">
          <w:rPr>
            <w:rFonts w:ascii="Times New Roman" w:hAnsi="Times New Roman" w:cs="Times New Roman"/>
            <w:noProof/>
            <w:webHidden/>
          </w:rPr>
          <w:fldChar w:fldCharType="separate"/>
        </w:r>
        <w:r w:rsidR="00F70A97">
          <w:rPr>
            <w:rFonts w:ascii="Times New Roman" w:hAnsi="Times New Roman" w:cs="Times New Roman"/>
            <w:noProof/>
            <w:webHidden/>
          </w:rPr>
          <w:t>213</w:t>
        </w:r>
        <w:r w:rsidRPr="008E1321">
          <w:rPr>
            <w:rFonts w:ascii="Times New Roman" w:hAnsi="Times New Roman" w:cs="Times New Roman"/>
            <w:noProof/>
            <w:webHidden/>
          </w:rPr>
          <w:fldChar w:fldCharType="end"/>
        </w:r>
      </w:hyperlink>
    </w:p>
    <w:p w14:paraId="26DC10EA" w14:textId="60D43C4E" w:rsidR="00931797" w:rsidRPr="008E1321" w:rsidRDefault="00931797">
      <w:pPr>
        <w:pStyle w:val="TOC3"/>
        <w:tabs>
          <w:tab w:val="right" w:leader="underscore" w:pos="9350"/>
        </w:tabs>
        <w:rPr>
          <w:rFonts w:ascii="Times New Roman" w:eastAsiaTheme="minorEastAsia" w:hAnsi="Times New Roman" w:cs="Times New Roman"/>
          <w:noProof/>
          <w:sz w:val="24"/>
          <w:szCs w:val="21"/>
          <w:lang w:eastAsia="en-IN"/>
        </w:rPr>
      </w:pPr>
      <w:hyperlink w:anchor="_Toc221115362" w:history="1">
        <w:r w:rsidRPr="008E1321">
          <w:rPr>
            <w:rStyle w:val="Hyperlink"/>
            <w:rFonts w:ascii="Times New Roman" w:hAnsi="Times New Roman" w:cs="Times New Roman"/>
            <w:noProof/>
          </w:rPr>
          <w:t>Table 58: Area Irrigated (net by Main Sources in 1965-66 and number of cultivators as per Census 1961)</w:t>
        </w:r>
        <w:r w:rsidRPr="008E1321">
          <w:rPr>
            <w:rFonts w:ascii="Times New Roman" w:hAnsi="Times New Roman" w:cs="Times New Roman"/>
            <w:noProof/>
            <w:webHidden/>
          </w:rPr>
          <w:tab/>
        </w:r>
        <w:r w:rsidRPr="008E1321">
          <w:rPr>
            <w:rFonts w:ascii="Times New Roman" w:hAnsi="Times New Roman" w:cs="Times New Roman"/>
            <w:noProof/>
            <w:webHidden/>
          </w:rPr>
          <w:fldChar w:fldCharType="begin"/>
        </w:r>
        <w:r w:rsidRPr="008E1321">
          <w:rPr>
            <w:rFonts w:ascii="Times New Roman" w:hAnsi="Times New Roman" w:cs="Times New Roman"/>
            <w:noProof/>
            <w:webHidden/>
          </w:rPr>
          <w:instrText xml:space="preserve"> PAGEREF _Toc221115362 \h </w:instrText>
        </w:r>
        <w:r w:rsidRPr="008E1321">
          <w:rPr>
            <w:rFonts w:ascii="Times New Roman" w:hAnsi="Times New Roman" w:cs="Times New Roman"/>
            <w:noProof/>
            <w:webHidden/>
          </w:rPr>
        </w:r>
        <w:r w:rsidRPr="008E1321">
          <w:rPr>
            <w:rFonts w:ascii="Times New Roman" w:hAnsi="Times New Roman" w:cs="Times New Roman"/>
            <w:noProof/>
            <w:webHidden/>
          </w:rPr>
          <w:fldChar w:fldCharType="separate"/>
        </w:r>
        <w:r w:rsidR="00F70A97">
          <w:rPr>
            <w:rFonts w:ascii="Times New Roman" w:hAnsi="Times New Roman" w:cs="Times New Roman"/>
            <w:noProof/>
            <w:webHidden/>
          </w:rPr>
          <w:t>214</w:t>
        </w:r>
        <w:r w:rsidRPr="008E1321">
          <w:rPr>
            <w:rFonts w:ascii="Times New Roman" w:hAnsi="Times New Roman" w:cs="Times New Roman"/>
            <w:noProof/>
            <w:webHidden/>
          </w:rPr>
          <w:fldChar w:fldCharType="end"/>
        </w:r>
      </w:hyperlink>
    </w:p>
    <w:p w14:paraId="6381A591" w14:textId="13BBFEC3" w:rsidR="00931797" w:rsidRPr="008E1321" w:rsidRDefault="00931797">
      <w:pPr>
        <w:pStyle w:val="TOC3"/>
        <w:tabs>
          <w:tab w:val="right" w:leader="underscore" w:pos="9350"/>
        </w:tabs>
        <w:rPr>
          <w:rFonts w:ascii="Times New Roman" w:eastAsiaTheme="minorEastAsia" w:hAnsi="Times New Roman" w:cs="Times New Roman"/>
          <w:noProof/>
          <w:sz w:val="24"/>
          <w:szCs w:val="21"/>
          <w:lang w:eastAsia="en-IN"/>
        </w:rPr>
      </w:pPr>
      <w:hyperlink w:anchor="_Toc221115363" w:history="1">
        <w:r w:rsidRPr="008E1321">
          <w:rPr>
            <w:rStyle w:val="Hyperlink"/>
            <w:rFonts w:ascii="Times New Roman" w:hAnsi="Times New Roman" w:cs="Times New Roman"/>
            <w:noProof/>
          </w:rPr>
          <w:t>Table 59: Distribution of Area Operated and Households by Size Classes</w:t>
        </w:r>
        <w:r w:rsidRPr="008E1321">
          <w:rPr>
            <w:rFonts w:ascii="Times New Roman" w:hAnsi="Times New Roman" w:cs="Times New Roman"/>
            <w:noProof/>
            <w:webHidden/>
          </w:rPr>
          <w:tab/>
        </w:r>
        <w:r w:rsidRPr="008E1321">
          <w:rPr>
            <w:rFonts w:ascii="Times New Roman" w:hAnsi="Times New Roman" w:cs="Times New Roman"/>
            <w:noProof/>
            <w:webHidden/>
          </w:rPr>
          <w:fldChar w:fldCharType="begin"/>
        </w:r>
        <w:r w:rsidRPr="008E1321">
          <w:rPr>
            <w:rFonts w:ascii="Times New Roman" w:hAnsi="Times New Roman" w:cs="Times New Roman"/>
            <w:noProof/>
            <w:webHidden/>
          </w:rPr>
          <w:instrText xml:space="preserve"> PAGEREF _Toc221115363 \h </w:instrText>
        </w:r>
        <w:r w:rsidRPr="008E1321">
          <w:rPr>
            <w:rFonts w:ascii="Times New Roman" w:hAnsi="Times New Roman" w:cs="Times New Roman"/>
            <w:noProof/>
            <w:webHidden/>
          </w:rPr>
        </w:r>
        <w:r w:rsidRPr="008E1321">
          <w:rPr>
            <w:rFonts w:ascii="Times New Roman" w:hAnsi="Times New Roman" w:cs="Times New Roman"/>
            <w:noProof/>
            <w:webHidden/>
          </w:rPr>
          <w:fldChar w:fldCharType="separate"/>
        </w:r>
        <w:r w:rsidR="00F70A97">
          <w:rPr>
            <w:rFonts w:ascii="Times New Roman" w:hAnsi="Times New Roman" w:cs="Times New Roman"/>
            <w:noProof/>
            <w:webHidden/>
          </w:rPr>
          <w:t>215</w:t>
        </w:r>
        <w:r w:rsidRPr="008E1321">
          <w:rPr>
            <w:rFonts w:ascii="Times New Roman" w:hAnsi="Times New Roman" w:cs="Times New Roman"/>
            <w:noProof/>
            <w:webHidden/>
          </w:rPr>
          <w:fldChar w:fldCharType="end"/>
        </w:r>
      </w:hyperlink>
    </w:p>
    <w:p w14:paraId="7FB98D3B" w14:textId="7F480A67" w:rsidR="00931797" w:rsidRPr="008E1321" w:rsidRDefault="00931797">
      <w:pPr>
        <w:pStyle w:val="TOC3"/>
        <w:tabs>
          <w:tab w:val="right" w:leader="underscore" w:pos="9350"/>
        </w:tabs>
        <w:rPr>
          <w:rFonts w:ascii="Times New Roman" w:eastAsiaTheme="minorEastAsia" w:hAnsi="Times New Roman" w:cs="Times New Roman"/>
          <w:noProof/>
          <w:sz w:val="24"/>
          <w:szCs w:val="21"/>
          <w:lang w:eastAsia="en-IN"/>
        </w:rPr>
      </w:pPr>
      <w:hyperlink w:anchor="_Toc221115364" w:history="1">
        <w:r w:rsidRPr="008E1321">
          <w:rPr>
            <w:rStyle w:val="Hyperlink"/>
            <w:rFonts w:ascii="Times New Roman" w:hAnsi="Times New Roman" w:cs="Times New Roman"/>
            <w:noProof/>
          </w:rPr>
          <w:t>Table 60: Estimated Additional Revenue from Irrigation on the basis of water rates at 12 per cent of gross income.</w:t>
        </w:r>
        <w:r w:rsidRPr="008E1321">
          <w:rPr>
            <w:rFonts w:ascii="Times New Roman" w:hAnsi="Times New Roman" w:cs="Times New Roman"/>
            <w:noProof/>
            <w:webHidden/>
          </w:rPr>
          <w:tab/>
        </w:r>
        <w:r w:rsidRPr="008E1321">
          <w:rPr>
            <w:rFonts w:ascii="Times New Roman" w:hAnsi="Times New Roman" w:cs="Times New Roman"/>
            <w:noProof/>
            <w:webHidden/>
          </w:rPr>
          <w:fldChar w:fldCharType="begin"/>
        </w:r>
        <w:r w:rsidRPr="008E1321">
          <w:rPr>
            <w:rFonts w:ascii="Times New Roman" w:hAnsi="Times New Roman" w:cs="Times New Roman"/>
            <w:noProof/>
            <w:webHidden/>
          </w:rPr>
          <w:instrText xml:space="preserve"> PAGEREF _Toc221115364 \h </w:instrText>
        </w:r>
        <w:r w:rsidRPr="008E1321">
          <w:rPr>
            <w:rFonts w:ascii="Times New Roman" w:hAnsi="Times New Roman" w:cs="Times New Roman"/>
            <w:noProof/>
            <w:webHidden/>
          </w:rPr>
        </w:r>
        <w:r w:rsidRPr="008E1321">
          <w:rPr>
            <w:rFonts w:ascii="Times New Roman" w:hAnsi="Times New Roman" w:cs="Times New Roman"/>
            <w:noProof/>
            <w:webHidden/>
          </w:rPr>
          <w:fldChar w:fldCharType="separate"/>
        </w:r>
        <w:r w:rsidR="00F70A97">
          <w:rPr>
            <w:rFonts w:ascii="Times New Roman" w:hAnsi="Times New Roman" w:cs="Times New Roman"/>
            <w:noProof/>
            <w:webHidden/>
          </w:rPr>
          <w:t>216</w:t>
        </w:r>
        <w:r w:rsidRPr="008E1321">
          <w:rPr>
            <w:rFonts w:ascii="Times New Roman" w:hAnsi="Times New Roman" w:cs="Times New Roman"/>
            <w:noProof/>
            <w:webHidden/>
          </w:rPr>
          <w:fldChar w:fldCharType="end"/>
        </w:r>
      </w:hyperlink>
    </w:p>
    <w:p w14:paraId="0C6BFD4F" w14:textId="40BF9FB3" w:rsidR="00931797" w:rsidRPr="008E1321" w:rsidRDefault="00931797">
      <w:pPr>
        <w:pStyle w:val="TOC3"/>
        <w:tabs>
          <w:tab w:val="right" w:leader="underscore" w:pos="9350"/>
        </w:tabs>
        <w:rPr>
          <w:rFonts w:ascii="Times New Roman" w:eastAsiaTheme="minorEastAsia" w:hAnsi="Times New Roman" w:cs="Times New Roman"/>
          <w:noProof/>
          <w:sz w:val="24"/>
          <w:szCs w:val="21"/>
          <w:lang w:eastAsia="en-IN"/>
        </w:rPr>
      </w:pPr>
      <w:hyperlink w:anchor="_Toc221115365" w:history="1">
        <w:r w:rsidRPr="008E1321">
          <w:rPr>
            <w:rStyle w:val="Hyperlink"/>
            <w:rFonts w:ascii="Times New Roman" w:hAnsi="Times New Roman" w:cs="Times New Roman"/>
            <w:noProof/>
          </w:rPr>
          <w:t>Table 61: Number of factory worker, in different States and their percentage to Population</w:t>
        </w:r>
        <w:r w:rsidRPr="008E1321">
          <w:rPr>
            <w:rFonts w:ascii="Times New Roman" w:hAnsi="Times New Roman" w:cs="Times New Roman"/>
            <w:noProof/>
            <w:webHidden/>
          </w:rPr>
          <w:tab/>
        </w:r>
        <w:r w:rsidRPr="008E1321">
          <w:rPr>
            <w:rFonts w:ascii="Times New Roman" w:hAnsi="Times New Roman" w:cs="Times New Roman"/>
            <w:noProof/>
            <w:webHidden/>
          </w:rPr>
          <w:fldChar w:fldCharType="begin"/>
        </w:r>
        <w:r w:rsidRPr="008E1321">
          <w:rPr>
            <w:rFonts w:ascii="Times New Roman" w:hAnsi="Times New Roman" w:cs="Times New Roman"/>
            <w:noProof/>
            <w:webHidden/>
          </w:rPr>
          <w:instrText xml:space="preserve"> PAGEREF _Toc221115365 \h </w:instrText>
        </w:r>
        <w:r w:rsidRPr="008E1321">
          <w:rPr>
            <w:rFonts w:ascii="Times New Roman" w:hAnsi="Times New Roman" w:cs="Times New Roman"/>
            <w:noProof/>
            <w:webHidden/>
          </w:rPr>
        </w:r>
        <w:r w:rsidRPr="008E1321">
          <w:rPr>
            <w:rFonts w:ascii="Times New Roman" w:hAnsi="Times New Roman" w:cs="Times New Roman"/>
            <w:noProof/>
            <w:webHidden/>
          </w:rPr>
          <w:fldChar w:fldCharType="separate"/>
        </w:r>
        <w:r w:rsidR="00F70A97">
          <w:rPr>
            <w:rFonts w:ascii="Times New Roman" w:hAnsi="Times New Roman" w:cs="Times New Roman"/>
            <w:noProof/>
            <w:webHidden/>
          </w:rPr>
          <w:t>217</w:t>
        </w:r>
        <w:r w:rsidRPr="008E1321">
          <w:rPr>
            <w:rFonts w:ascii="Times New Roman" w:hAnsi="Times New Roman" w:cs="Times New Roman"/>
            <w:noProof/>
            <w:webHidden/>
          </w:rPr>
          <w:fldChar w:fldCharType="end"/>
        </w:r>
      </w:hyperlink>
    </w:p>
    <w:p w14:paraId="25E17054" w14:textId="4CB140EA" w:rsidR="00931797" w:rsidRPr="008E1321" w:rsidRDefault="00931797">
      <w:pPr>
        <w:pStyle w:val="TOC3"/>
        <w:tabs>
          <w:tab w:val="right" w:leader="underscore" w:pos="9350"/>
        </w:tabs>
        <w:rPr>
          <w:rFonts w:ascii="Times New Roman" w:eastAsiaTheme="minorEastAsia" w:hAnsi="Times New Roman" w:cs="Times New Roman"/>
          <w:noProof/>
          <w:sz w:val="24"/>
          <w:szCs w:val="21"/>
          <w:lang w:eastAsia="en-IN"/>
        </w:rPr>
      </w:pPr>
      <w:hyperlink w:anchor="_Toc221115366" w:history="1">
        <w:r w:rsidRPr="008E1321">
          <w:rPr>
            <w:rStyle w:val="Hyperlink"/>
            <w:rFonts w:ascii="Times New Roman" w:hAnsi="Times New Roman" w:cs="Times New Roman"/>
            <w:noProof/>
          </w:rPr>
          <w:t>Table 62: Number of passengers carried by Indian Airlines embarking and disembarking in January, 1969</w:t>
        </w:r>
        <w:r w:rsidRPr="008E1321">
          <w:rPr>
            <w:rFonts w:ascii="Times New Roman" w:hAnsi="Times New Roman" w:cs="Times New Roman"/>
            <w:noProof/>
            <w:webHidden/>
          </w:rPr>
          <w:tab/>
        </w:r>
        <w:r w:rsidRPr="008E1321">
          <w:rPr>
            <w:rFonts w:ascii="Times New Roman" w:hAnsi="Times New Roman" w:cs="Times New Roman"/>
            <w:noProof/>
            <w:webHidden/>
          </w:rPr>
          <w:fldChar w:fldCharType="begin"/>
        </w:r>
        <w:r w:rsidRPr="008E1321">
          <w:rPr>
            <w:rFonts w:ascii="Times New Roman" w:hAnsi="Times New Roman" w:cs="Times New Roman"/>
            <w:noProof/>
            <w:webHidden/>
          </w:rPr>
          <w:instrText xml:space="preserve"> PAGEREF _Toc221115366 \h </w:instrText>
        </w:r>
        <w:r w:rsidRPr="008E1321">
          <w:rPr>
            <w:rFonts w:ascii="Times New Roman" w:hAnsi="Times New Roman" w:cs="Times New Roman"/>
            <w:noProof/>
            <w:webHidden/>
          </w:rPr>
        </w:r>
        <w:r w:rsidRPr="008E1321">
          <w:rPr>
            <w:rFonts w:ascii="Times New Roman" w:hAnsi="Times New Roman" w:cs="Times New Roman"/>
            <w:noProof/>
            <w:webHidden/>
          </w:rPr>
          <w:fldChar w:fldCharType="separate"/>
        </w:r>
        <w:r w:rsidR="00F70A97">
          <w:rPr>
            <w:rFonts w:ascii="Times New Roman" w:hAnsi="Times New Roman" w:cs="Times New Roman"/>
            <w:noProof/>
            <w:webHidden/>
          </w:rPr>
          <w:t>218</w:t>
        </w:r>
        <w:r w:rsidRPr="008E1321">
          <w:rPr>
            <w:rFonts w:ascii="Times New Roman" w:hAnsi="Times New Roman" w:cs="Times New Roman"/>
            <w:noProof/>
            <w:webHidden/>
          </w:rPr>
          <w:fldChar w:fldCharType="end"/>
        </w:r>
      </w:hyperlink>
    </w:p>
    <w:p w14:paraId="549F1BEF" w14:textId="6BC5381D" w:rsidR="00931797" w:rsidRPr="008E1321" w:rsidRDefault="00931797">
      <w:pPr>
        <w:pStyle w:val="TOC3"/>
        <w:tabs>
          <w:tab w:val="right" w:leader="underscore" w:pos="9350"/>
        </w:tabs>
        <w:rPr>
          <w:rFonts w:ascii="Times New Roman" w:eastAsiaTheme="minorEastAsia" w:hAnsi="Times New Roman" w:cs="Times New Roman"/>
          <w:noProof/>
          <w:sz w:val="24"/>
          <w:szCs w:val="21"/>
          <w:lang w:eastAsia="en-IN"/>
        </w:rPr>
      </w:pPr>
      <w:hyperlink w:anchor="_Toc221115367" w:history="1">
        <w:r w:rsidRPr="008E1321">
          <w:rPr>
            <w:rStyle w:val="Hyperlink"/>
            <w:rFonts w:ascii="Times New Roman" w:hAnsi="Times New Roman" w:cs="Times New Roman"/>
            <w:noProof/>
          </w:rPr>
          <w:t>Table 63 Commodity-wise freight earnings of Railways on goods carried during</w:t>
        </w:r>
        <w:r w:rsidRPr="008E1321">
          <w:rPr>
            <w:rFonts w:ascii="Times New Roman" w:hAnsi="Times New Roman" w:cs="Times New Roman"/>
            <w:noProof/>
            <w:webHidden/>
          </w:rPr>
          <w:tab/>
        </w:r>
        <w:r w:rsidRPr="008E1321">
          <w:rPr>
            <w:rFonts w:ascii="Times New Roman" w:hAnsi="Times New Roman" w:cs="Times New Roman"/>
            <w:noProof/>
            <w:webHidden/>
          </w:rPr>
          <w:fldChar w:fldCharType="begin"/>
        </w:r>
        <w:r w:rsidRPr="008E1321">
          <w:rPr>
            <w:rFonts w:ascii="Times New Roman" w:hAnsi="Times New Roman" w:cs="Times New Roman"/>
            <w:noProof/>
            <w:webHidden/>
          </w:rPr>
          <w:instrText xml:space="preserve"> PAGEREF _Toc221115367 \h </w:instrText>
        </w:r>
        <w:r w:rsidRPr="008E1321">
          <w:rPr>
            <w:rFonts w:ascii="Times New Roman" w:hAnsi="Times New Roman" w:cs="Times New Roman"/>
            <w:noProof/>
            <w:webHidden/>
          </w:rPr>
        </w:r>
        <w:r w:rsidRPr="008E1321">
          <w:rPr>
            <w:rFonts w:ascii="Times New Roman" w:hAnsi="Times New Roman" w:cs="Times New Roman"/>
            <w:noProof/>
            <w:webHidden/>
          </w:rPr>
          <w:fldChar w:fldCharType="separate"/>
        </w:r>
        <w:r w:rsidR="00F70A97">
          <w:rPr>
            <w:rFonts w:ascii="Times New Roman" w:hAnsi="Times New Roman" w:cs="Times New Roman"/>
            <w:noProof/>
            <w:webHidden/>
          </w:rPr>
          <w:t>221</w:t>
        </w:r>
        <w:r w:rsidRPr="008E1321">
          <w:rPr>
            <w:rFonts w:ascii="Times New Roman" w:hAnsi="Times New Roman" w:cs="Times New Roman"/>
            <w:noProof/>
            <w:webHidden/>
          </w:rPr>
          <w:fldChar w:fldCharType="end"/>
        </w:r>
      </w:hyperlink>
    </w:p>
    <w:p w14:paraId="76FF7C5C" w14:textId="01CB8A73" w:rsidR="00931797" w:rsidRPr="008E1321" w:rsidRDefault="00931797">
      <w:pPr>
        <w:pStyle w:val="TOC3"/>
        <w:tabs>
          <w:tab w:val="right" w:leader="underscore" w:pos="9350"/>
        </w:tabs>
        <w:rPr>
          <w:rFonts w:ascii="Times New Roman" w:eastAsiaTheme="minorEastAsia" w:hAnsi="Times New Roman" w:cs="Times New Roman"/>
          <w:noProof/>
          <w:sz w:val="24"/>
          <w:szCs w:val="21"/>
          <w:lang w:eastAsia="en-IN"/>
        </w:rPr>
      </w:pPr>
      <w:hyperlink w:anchor="_Toc221115368" w:history="1">
        <w:r w:rsidRPr="008E1321">
          <w:rPr>
            <w:rStyle w:val="Hyperlink"/>
            <w:rFonts w:ascii="Times New Roman" w:hAnsi="Times New Roman" w:cs="Times New Roman"/>
            <w:noProof/>
          </w:rPr>
          <w:t>1965-66 to 1967-68</w:t>
        </w:r>
        <w:r w:rsidRPr="008E1321">
          <w:rPr>
            <w:rFonts w:ascii="Times New Roman" w:hAnsi="Times New Roman" w:cs="Times New Roman"/>
            <w:noProof/>
            <w:webHidden/>
          </w:rPr>
          <w:tab/>
        </w:r>
        <w:r w:rsidRPr="008E1321">
          <w:rPr>
            <w:rFonts w:ascii="Times New Roman" w:hAnsi="Times New Roman" w:cs="Times New Roman"/>
            <w:noProof/>
            <w:webHidden/>
          </w:rPr>
          <w:fldChar w:fldCharType="begin"/>
        </w:r>
        <w:r w:rsidRPr="008E1321">
          <w:rPr>
            <w:rFonts w:ascii="Times New Roman" w:hAnsi="Times New Roman" w:cs="Times New Roman"/>
            <w:noProof/>
            <w:webHidden/>
          </w:rPr>
          <w:instrText xml:space="preserve"> PAGEREF _Toc221115368 \h </w:instrText>
        </w:r>
        <w:r w:rsidRPr="008E1321">
          <w:rPr>
            <w:rFonts w:ascii="Times New Roman" w:hAnsi="Times New Roman" w:cs="Times New Roman"/>
            <w:noProof/>
            <w:webHidden/>
          </w:rPr>
        </w:r>
        <w:r w:rsidRPr="008E1321">
          <w:rPr>
            <w:rFonts w:ascii="Times New Roman" w:hAnsi="Times New Roman" w:cs="Times New Roman"/>
            <w:noProof/>
            <w:webHidden/>
          </w:rPr>
          <w:fldChar w:fldCharType="separate"/>
        </w:r>
        <w:r w:rsidR="00F70A97">
          <w:rPr>
            <w:rFonts w:ascii="Times New Roman" w:hAnsi="Times New Roman" w:cs="Times New Roman"/>
            <w:noProof/>
            <w:webHidden/>
          </w:rPr>
          <w:t>221</w:t>
        </w:r>
        <w:r w:rsidRPr="008E1321">
          <w:rPr>
            <w:rFonts w:ascii="Times New Roman" w:hAnsi="Times New Roman" w:cs="Times New Roman"/>
            <w:noProof/>
            <w:webHidden/>
          </w:rPr>
          <w:fldChar w:fldCharType="end"/>
        </w:r>
      </w:hyperlink>
    </w:p>
    <w:p w14:paraId="4252BBC6" w14:textId="0C2FC4A0" w:rsidR="00931797" w:rsidRPr="008E1321" w:rsidRDefault="00931797">
      <w:pPr>
        <w:pStyle w:val="TOC3"/>
        <w:tabs>
          <w:tab w:val="right" w:leader="underscore" w:pos="9350"/>
        </w:tabs>
        <w:rPr>
          <w:rFonts w:ascii="Times New Roman" w:eastAsiaTheme="minorEastAsia" w:hAnsi="Times New Roman" w:cs="Times New Roman"/>
          <w:noProof/>
          <w:sz w:val="24"/>
          <w:szCs w:val="21"/>
          <w:lang w:eastAsia="en-IN"/>
        </w:rPr>
      </w:pPr>
      <w:hyperlink w:anchor="_Toc221115369" w:history="1">
        <w:r w:rsidRPr="008E1321">
          <w:rPr>
            <w:rStyle w:val="Hyperlink"/>
            <w:rFonts w:ascii="Times New Roman" w:hAnsi="Times New Roman" w:cs="Times New Roman"/>
            <w:noProof/>
          </w:rPr>
          <w:t>Table 64: Position of Railway Finances for the years (1964-65 to 1969-70)</w:t>
        </w:r>
        <w:r w:rsidRPr="008E1321">
          <w:rPr>
            <w:rFonts w:ascii="Times New Roman" w:hAnsi="Times New Roman" w:cs="Times New Roman"/>
            <w:noProof/>
            <w:webHidden/>
          </w:rPr>
          <w:tab/>
        </w:r>
        <w:r w:rsidRPr="008E1321">
          <w:rPr>
            <w:rFonts w:ascii="Times New Roman" w:hAnsi="Times New Roman" w:cs="Times New Roman"/>
            <w:noProof/>
            <w:webHidden/>
          </w:rPr>
          <w:fldChar w:fldCharType="begin"/>
        </w:r>
        <w:r w:rsidRPr="008E1321">
          <w:rPr>
            <w:rFonts w:ascii="Times New Roman" w:hAnsi="Times New Roman" w:cs="Times New Roman"/>
            <w:noProof/>
            <w:webHidden/>
          </w:rPr>
          <w:instrText xml:space="preserve"> PAGEREF _Toc221115369 \h </w:instrText>
        </w:r>
        <w:r w:rsidRPr="008E1321">
          <w:rPr>
            <w:rFonts w:ascii="Times New Roman" w:hAnsi="Times New Roman" w:cs="Times New Roman"/>
            <w:noProof/>
            <w:webHidden/>
          </w:rPr>
        </w:r>
        <w:r w:rsidRPr="008E1321">
          <w:rPr>
            <w:rFonts w:ascii="Times New Roman" w:hAnsi="Times New Roman" w:cs="Times New Roman"/>
            <w:noProof/>
            <w:webHidden/>
          </w:rPr>
          <w:fldChar w:fldCharType="separate"/>
        </w:r>
        <w:r w:rsidR="00F70A97">
          <w:rPr>
            <w:rFonts w:ascii="Times New Roman" w:hAnsi="Times New Roman" w:cs="Times New Roman"/>
            <w:noProof/>
            <w:webHidden/>
          </w:rPr>
          <w:t>222</w:t>
        </w:r>
        <w:r w:rsidRPr="008E1321">
          <w:rPr>
            <w:rFonts w:ascii="Times New Roman" w:hAnsi="Times New Roman" w:cs="Times New Roman"/>
            <w:noProof/>
            <w:webHidden/>
          </w:rPr>
          <w:fldChar w:fldCharType="end"/>
        </w:r>
      </w:hyperlink>
    </w:p>
    <w:p w14:paraId="7AFA7990" w14:textId="79F22745" w:rsidR="00931797" w:rsidRPr="008E1321" w:rsidRDefault="00931797">
      <w:pPr>
        <w:pStyle w:val="TOC3"/>
        <w:tabs>
          <w:tab w:val="right" w:leader="underscore" w:pos="9350"/>
        </w:tabs>
        <w:rPr>
          <w:rFonts w:ascii="Times New Roman" w:eastAsiaTheme="minorEastAsia" w:hAnsi="Times New Roman" w:cs="Times New Roman"/>
          <w:noProof/>
          <w:sz w:val="24"/>
          <w:szCs w:val="21"/>
          <w:lang w:eastAsia="en-IN"/>
        </w:rPr>
      </w:pPr>
      <w:hyperlink w:anchor="_Toc221115370" w:history="1">
        <w:r w:rsidRPr="008E1321">
          <w:rPr>
            <w:rStyle w:val="Hyperlink"/>
            <w:rFonts w:ascii="Times New Roman" w:hAnsi="Times New Roman" w:cs="Times New Roman"/>
            <w:noProof/>
          </w:rPr>
          <w:t>Table 65: Transactions Relating to Purchase and Sale of Securities in each stock Exchange in 1966-67 and 1967-68.</w:t>
        </w:r>
        <w:r w:rsidRPr="008E1321">
          <w:rPr>
            <w:rFonts w:ascii="Times New Roman" w:hAnsi="Times New Roman" w:cs="Times New Roman"/>
            <w:noProof/>
            <w:webHidden/>
          </w:rPr>
          <w:tab/>
        </w:r>
        <w:r w:rsidRPr="008E1321">
          <w:rPr>
            <w:rFonts w:ascii="Times New Roman" w:hAnsi="Times New Roman" w:cs="Times New Roman"/>
            <w:noProof/>
            <w:webHidden/>
          </w:rPr>
          <w:fldChar w:fldCharType="begin"/>
        </w:r>
        <w:r w:rsidRPr="008E1321">
          <w:rPr>
            <w:rFonts w:ascii="Times New Roman" w:hAnsi="Times New Roman" w:cs="Times New Roman"/>
            <w:noProof/>
            <w:webHidden/>
          </w:rPr>
          <w:instrText xml:space="preserve"> PAGEREF _Toc221115370 \h </w:instrText>
        </w:r>
        <w:r w:rsidRPr="008E1321">
          <w:rPr>
            <w:rFonts w:ascii="Times New Roman" w:hAnsi="Times New Roman" w:cs="Times New Roman"/>
            <w:noProof/>
            <w:webHidden/>
          </w:rPr>
        </w:r>
        <w:r w:rsidRPr="008E1321">
          <w:rPr>
            <w:rFonts w:ascii="Times New Roman" w:hAnsi="Times New Roman" w:cs="Times New Roman"/>
            <w:noProof/>
            <w:webHidden/>
          </w:rPr>
          <w:fldChar w:fldCharType="separate"/>
        </w:r>
        <w:r w:rsidR="00F70A97">
          <w:rPr>
            <w:rFonts w:ascii="Times New Roman" w:hAnsi="Times New Roman" w:cs="Times New Roman"/>
            <w:noProof/>
            <w:webHidden/>
          </w:rPr>
          <w:t>223</w:t>
        </w:r>
        <w:r w:rsidRPr="008E1321">
          <w:rPr>
            <w:rFonts w:ascii="Times New Roman" w:hAnsi="Times New Roman" w:cs="Times New Roman"/>
            <w:noProof/>
            <w:webHidden/>
          </w:rPr>
          <w:fldChar w:fldCharType="end"/>
        </w:r>
      </w:hyperlink>
    </w:p>
    <w:p w14:paraId="761672F5" w14:textId="0792AC63" w:rsidR="00931797" w:rsidRPr="008E1321" w:rsidRDefault="00931797">
      <w:pPr>
        <w:pStyle w:val="TOC2"/>
        <w:tabs>
          <w:tab w:val="right" w:leader="underscore" w:pos="9350"/>
        </w:tabs>
        <w:rPr>
          <w:rStyle w:val="Hyperlink"/>
          <w:rFonts w:ascii="Times New Roman" w:hAnsi="Times New Roman" w:cs="Times New Roman"/>
          <w:noProof/>
        </w:rPr>
      </w:pPr>
      <w:hyperlink w:anchor="_Toc221115371" w:history="1">
        <w:r w:rsidRPr="008E1321">
          <w:rPr>
            <w:rStyle w:val="Hyperlink"/>
            <w:rFonts w:ascii="Times New Roman" w:hAnsi="Times New Roman" w:cs="Times New Roman"/>
            <w:noProof/>
          </w:rPr>
          <w:t>APPENDIX VI  TRANSFER OF FUNDS TO STATES BY WAY OF SHARE OF TAXES &amp; DUTIES AND GRANTS UNDER ARTICLE 275</w:t>
        </w:r>
        <w:r w:rsidRPr="008E1321">
          <w:rPr>
            <w:rFonts w:ascii="Times New Roman" w:hAnsi="Times New Roman" w:cs="Times New Roman"/>
            <w:noProof/>
            <w:webHidden/>
          </w:rPr>
          <w:tab/>
        </w:r>
        <w:r w:rsidRPr="008E1321">
          <w:rPr>
            <w:rFonts w:ascii="Times New Roman" w:hAnsi="Times New Roman" w:cs="Times New Roman"/>
            <w:noProof/>
            <w:webHidden/>
          </w:rPr>
          <w:fldChar w:fldCharType="begin"/>
        </w:r>
        <w:r w:rsidRPr="008E1321">
          <w:rPr>
            <w:rFonts w:ascii="Times New Roman" w:hAnsi="Times New Roman" w:cs="Times New Roman"/>
            <w:noProof/>
            <w:webHidden/>
          </w:rPr>
          <w:instrText xml:space="preserve"> PAGEREF _Toc221115371 \h </w:instrText>
        </w:r>
        <w:r w:rsidRPr="008E1321">
          <w:rPr>
            <w:rFonts w:ascii="Times New Roman" w:hAnsi="Times New Roman" w:cs="Times New Roman"/>
            <w:noProof/>
            <w:webHidden/>
          </w:rPr>
        </w:r>
        <w:r w:rsidRPr="008E1321">
          <w:rPr>
            <w:rFonts w:ascii="Times New Roman" w:hAnsi="Times New Roman" w:cs="Times New Roman"/>
            <w:noProof/>
            <w:webHidden/>
          </w:rPr>
          <w:fldChar w:fldCharType="separate"/>
        </w:r>
        <w:r w:rsidR="00F70A97">
          <w:rPr>
            <w:rFonts w:ascii="Times New Roman" w:hAnsi="Times New Roman" w:cs="Times New Roman"/>
            <w:noProof/>
            <w:webHidden/>
          </w:rPr>
          <w:t>224</w:t>
        </w:r>
        <w:r w:rsidRPr="008E1321">
          <w:rPr>
            <w:rFonts w:ascii="Times New Roman" w:hAnsi="Times New Roman" w:cs="Times New Roman"/>
            <w:noProof/>
            <w:webHidden/>
          </w:rPr>
          <w:fldChar w:fldCharType="end"/>
        </w:r>
      </w:hyperlink>
    </w:p>
    <w:p w14:paraId="0E833944" w14:textId="77777777" w:rsidR="008E1321" w:rsidRPr="008E1321" w:rsidRDefault="008E1321" w:rsidP="008E1321"/>
    <w:p w14:paraId="564525B3" w14:textId="1A48E9D6" w:rsidR="00931797" w:rsidRPr="008E1321" w:rsidRDefault="00931797">
      <w:pPr>
        <w:pStyle w:val="TOC1"/>
        <w:tabs>
          <w:tab w:val="right" w:leader="underscore" w:pos="9350"/>
        </w:tabs>
        <w:rPr>
          <w:rFonts w:ascii="Times New Roman" w:eastAsiaTheme="minorEastAsia" w:hAnsi="Times New Roman" w:cs="Times New Roman"/>
          <w:b w:val="0"/>
          <w:bCs w:val="0"/>
          <w:i w:val="0"/>
          <w:iCs w:val="0"/>
          <w:noProof/>
          <w:szCs w:val="21"/>
          <w:lang w:eastAsia="en-IN"/>
        </w:rPr>
      </w:pPr>
      <w:hyperlink w:anchor="_Toc221115372" w:history="1">
        <w:r w:rsidRPr="008E1321">
          <w:rPr>
            <w:rStyle w:val="Hyperlink"/>
            <w:rFonts w:ascii="Times New Roman" w:hAnsi="Times New Roman" w:cs="Times New Roman"/>
            <w:i w:val="0"/>
            <w:iCs w:val="0"/>
            <w:noProof/>
          </w:rPr>
          <w:t>ANNEXURE  INTERIM REPORT OF THE COMMISSION</w:t>
        </w:r>
        <w:r w:rsidRPr="008E1321">
          <w:rPr>
            <w:rFonts w:ascii="Times New Roman" w:hAnsi="Times New Roman" w:cs="Times New Roman"/>
            <w:i w:val="0"/>
            <w:iCs w:val="0"/>
            <w:noProof/>
            <w:webHidden/>
          </w:rPr>
          <w:tab/>
        </w:r>
        <w:r w:rsidRPr="008E1321">
          <w:rPr>
            <w:rFonts w:ascii="Times New Roman" w:hAnsi="Times New Roman" w:cs="Times New Roman"/>
            <w:i w:val="0"/>
            <w:iCs w:val="0"/>
            <w:noProof/>
            <w:webHidden/>
          </w:rPr>
          <w:fldChar w:fldCharType="begin"/>
        </w:r>
        <w:r w:rsidRPr="008E1321">
          <w:rPr>
            <w:rFonts w:ascii="Times New Roman" w:hAnsi="Times New Roman" w:cs="Times New Roman"/>
            <w:i w:val="0"/>
            <w:iCs w:val="0"/>
            <w:noProof/>
            <w:webHidden/>
          </w:rPr>
          <w:instrText xml:space="preserve"> PAGEREF _Toc221115372 \h </w:instrText>
        </w:r>
        <w:r w:rsidRPr="008E1321">
          <w:rPr>
            <w:rFonts w:ascii="Times New Roman" w:hAnsi="Times New Roman" w:cs="Times New Roman"/>
            <w:i w:val="0"/>
            <w:iCs w:val="0"/>
            <w:noProof/>
            <w:webHidden/>
          </w:rPr>
        </w:r>
        <w:r w:rsidRPr="008E1321">
          <w:rPr>
            <w:rFonts w:ascii="Times New Roman" w:hAnsi="Times New Roman" w:cs="Times New Roman"/>
            <w:i w:val="0"/>
            <w:iCs w:val="0"/>
            <w:noProof/>
            <w:webHidden/>
          </w:rPr>
          <w:fldChar w:fldCharType="separate"/>
        </w:r>
        <w:r w:rsidR="00F70A97">
          <w:rPr>
            <w:rFonts w:ascii="Times New Roman" w:hAnsi="Times New Roman" w:cs="Times New Roman"/>
            <w:i w:val="0"/>
            <w:iCs w:val="0"/>
            <w:noProof/>
            <w:webHidden/>
          </w:rPr>
          <w:t>225</w:t>
        </w:r>
        <w:r w:rsidRPr="008E1321">
          <w:rPr>
            <w:rFonts w:ascii="Times New Roman" w:hAnsi="Times New Roman" w:cs="Times New Roman"/>
            <w:i w:val="0"/>
            <w:iCs w:val="0"/>
            <w:noProof/>
            <w:webHidden/>
          </w:rPr>
          <w:fldChar w:fldCharType="end"/>
        </w:r>
      </w:hyperlink>
    </w:p>
    <w:p w14:paraId="35C4383E" w14:textId="705BBB2C" w:rsidR="00931797" w:rsidRPr="008E1321" w:rsidRDefault="00931797">
      <w:pPr>
        <w:pStyle w:val="TOC1"/>
        <w:tabs>
          <w:tab w:val="left" w:pos="1440"/>
          <w:tab w:val="right" w:leader="underscore" w:pos="9350"/>
        </w:tabs>
        <w:rPr>
          <w:rFonts w:ascii="Times New Roman" w:eastAsiaTheme="minorEastAsia" w:hAnsi="Times New Roman" w:cs="Times New Roman"/>
          <w:b w:val="0"/>
          <w:bCs w:val="0"/>
          <w:i w:val="0"/>
          <w:iCs w:val="0"/>
          <w:noProof/>
          <w:szCs w:val="21"/>
          <w:lang w:eastAsia="en-IN"/>
        </w:rPr>
      </w:pPr>
      <w:hyperlink w:anchor="_Toc221115373" w:history="1">
        <w:r w:rsidRPr="008E1321">
          <w:rPr>
            <w:rStyle w:val="Hyperlink"/>
            <w:rFonts w:ascii="Times New Roman" w:hAnsi="Times New Roman" w:cs="Times New Roman"/>
            <w:i w:val="0"/>
            <w:iCs w:val="0"/>
            <w:noProof/>
          </w:rPr>
          <w:t>Chapter 1</w:t>
        </w:r>
        <w:r w:rsidRPr="008E1321">
          <w:rPr>
            <w:rFonts w:ascii="Times New Roman" w:eastAsiaTheme="minorEastAsia" w:hAnsi="Times New Roman" w:cs="Times New Roman"/>
            <w:b w:val="0"/>
            <w:bCs w:val="0"/>
            <w:i w:val="0"/>
            <w:iCs w:val="0"/>
            <w:noProof/>
            <w:szCs w:val="21"/>
            <w:lang w:eastAsia="en-IN"/>
          </w:rPr>
          <w:tab/>
        </w:r>
        <w:r w:rsidRPr="008E1321">
          <w:rPr>
            <w:rStyle w:val="Hyperlink"/>
            <w:rFonts w:ascii="Times New Roman" w:hAnsi="Times New Roman" w:cs="Times New Roman"/>
            <w:i w:val="0"/>
            <w:iCs w:val="0"/>
            <w:noProof/>
          </w:rPr>
          <w:t>INTRODUCTORY</w:t>
        </w:r>
        <w:r w:rsidRPr="008E1321">
          <w:rPr>
            <w:rFonts w:ascii="Times New Roman" w:hAnsi="Times New Roman" w:cs="Times New Roman"/>
            <w:i w:val="0"/>
            <w:iCs w:val="0"/>
            <w:noProof/>
            <w:webHidden/>
          </w:rPr>
          <w:tab/>
        </w:r>
        <w:r w:rsidRPr="008E1321">
          <w:rPr>
            <w:rFonts w:ascii="Times New Roman" w:hAnsi="Times New Roman" w:cs="Times New Roman"/>
            <w:i w:val="0"/>
            <w:iCs w:val="0"/>
            <w:noProof/>
            <w:webHidden/>
          </w:rPr>
          <w:fldChar w:fldCharType="begin"/>
        </w:r>
        <w:r w:rsidRPr="008E1321">
          <w:rPr>
            <w:rFonts w:ascii="Times New Roman" w:hAnsi="Times New Roman" w:cs="Times New Roman"/>
            <w:i w:val="0"/>
            <w:iCs w:val="0"/>
            <w:noProof/>
            <w:webHidden/>
          </w:rPr>
          <w:instrText xml:space="preserve"> PAGEREF _Toc221115373 \h </w:instrText>
        </w:r>
        <w:r w:rsidRPr="008E1321">
          <w:rPr>
            <w:rFonts w:ascii="Times New Roman" w:hAnsi="Times New Roman" w:cs="Times New Roman"/>
            <w:i w:val="0"/>
            <w:iCs w:val="0"/>
            <w:noProof/>
            <w:webHidden/>
          </w:rPr>
        </w:r>
        <w:r w:rsidRPr="008E1321">
          <w:rPr>
            <w:rFonts w:ascii="Times New Roman" w:hAnsi="Times New Roman" w:cs="Times New Roman"/>
            <w:i w:val="0"/>
            <w:iCs w:val="0"/>
            <w:noProof/>
            <w:webHidden/>
          </w:rPr>
          <w:fldChar w:fldCharType="separate"/>
        </w:r>
        <w:r w:rsidR="00F70A97">
          <w:rPr>
            <w:rFonts w:ascii="Times New Roman" w:hAnsi="Times New Roman" w:cs="Times New Roman"/>
            <w:i w:val="0"/>
            <w:iCs w:val="0"/>
            <w:noProof/>
            <w:webHidden/>
          </w:rPr>
          <w:t>229</w:t>
        </w:r>
        <w:r w:rsidRPr="008E1321">
          <w:rPr>
            <w:rFonts w:ascii="Times New Roman" w:hAnsi="Times New Roman" w:cs="Times New Roman"/>
            <w:i w:val="0"/>
            <w:iCs w:val="0"/>
            <w:noProof/>
            <w:webHidden/>
          </w:rPr>
          <w:fldChar w:fldCharType="end"/>
        </w:r>
      </w:hyperlink>
    </w:p>
    <w:p w14:paraId="43AE71CC" w14:textId="500ACBDB" w:rsidR="00931797" w:rsidRPr="008E1321" w:rsidRDefault="00931797">
      <w:pPr>
        <w:pStyle w:val="TOC1"/>
        <w:tabs>
          <w:tab w:val="left" w:pos="1440"/>
          <w:tab w:val="right" w:leader="underscore" w:pos="9350"/>
        </w:tabs>
        <w:rPr>
          <w:rFonts w:ascii="Times New Roman" w:eastAsiaTheme="minorEastAsia" w:hAnsi="Times New Roman" w:cs="Times New Roman"/>
          <w:b w:val="0"/>
          <w:bCs w:val="0"/>
          <w:i w:val="0"/>
          <w:iCs w:val="0"/>
          <w:noProof/>
          <w:szCs w:val="21"/>
          <w:lang w:eastAsia="en-IN"/>
        </w:rPr>
      </w:pPr>
      <w:hyperlink w:anchor="_Toc221115374" w:history="1">
        <w:r w:rsidRPr="008E1321">
          <w:rPr>
            <w:rStyle w:val="Hyperlink"/>
            <w:rFonts w:ascii="Times New Roman" w:hAnsi="Times New Roman" w:cs="Times New Roman"/>
            <w:i w:val="0"/>
            <w:iCs w:val="0"/>
            <w:noProof/>
          </w:rPr>
          <w:t>Chapter 2</w:t>
        </w:r>
        <w:r w:rsidRPr="008E1321">
          <w:rPr>
            <w:rFonts w:ascii="Times New Roman" w:eastAsiaTheme="minorEastAsia" w:hAnsi="Times New Roman" w:cs="Times New Roman"/>
            <w:b w:val="0"/>
            <w:bCs w:val="0"/>
            <w:i w:val="0"/>
            <w:iCs w:val="0"/>
            <w:noProof/>
            <w:szCs w:val="21"/>
            <w:lang w:eastAsia="en-IN"/>
          </w:rPr>
          <w:tab/>
        </w:r>
        <w:r w:rsidRPr="008E1321">
          <w:rPr>
            <w:rStyle w:val="Hyperlink"/>
            <w:rFonts w:ascii="Times New Roman" w:hAnsi="Times New Roman" w:cs="Times New Roman"/>
            <w:i w:val="0"/>
            <w:iCs w:val="0"/>
            <w:noProof/>
          </w:rPr>
          <w:t>GRANT IN LIEU OF TAX ON RAILWAY PASSENGER FARES</w:t>
        </w:r>
        <w:r w:rsidRPr="008E1321">
          <w:rPr>
            <w:rFonts w:ascii="Times New Roman" w:hAnsi="Times New Roman" w:cs="Times New Roman"/>
            <w:i w:val="0"/>
            <w:iCs w:val="0"/>
            <w:noProof/>
            <w:webHidden/>
          </w:rPr>
          <w:tab/>
        </w:r>
        <w:r w:rsidRPr="008E1321">
          <w:rPr>
            <w:rFonts w:ascii="Times New Roman" w:hAnsi="Times New Roman" w:cs="Times New Roman"/>
            <w:i w:val="0"/>
            <w:iCs w:val="0"/>
            <w:noProof/>
            <w:webHidden/>
          </w:rPr>
          <w:fldChar w:fldCharType="begin"/>
        </w:r>
        <w:r w:rsidRPr="008E1321">
          <w:rPr>
            <w:rFonts w:ascii="Times New Roman" w:hAnsi="Times New Roman" w:cs="Times New Roman"/>
            <w:i w:val="0"/>
            <w:iCs w:val="0"/>
            <w:noProof/>
            <w:webHidden/>
          </w:rPr>
          <w:instrText xml:space="preserve"> PAGEREF _Toc221115374 \h </w:instrText>
        </w:r>
        <w:r w:rsidRPr="008E1321">
          <w:rPr>
            <w:rFonts w:ascii="Times New Roman" w:hAnsi="Times New Roman" w:cs="Times New Roman"/>
            <w:i w:val="0"/>
            <w:iCs w:val="0"/>
            <w:noProof/>
            <w:webHidden/>
          </w:rPr>
        </w:r>
        <w:r w:rsidRPr="008E1321">
          <w:rPr>
            <w:rFonts w:ascii="Times New Roman" w:hAnsi="Times New Roman" w:cs="Times New Roman"/>
            <w:i w:val="0"/>
            <w:iCs w:val="0"/>
            <w:noProof/>
            <w:webHidden/>
          </w:rPr>
          <w:fldChar w:fldCharType="separate"/>
        </w:r>
        <w:r w:rsidR="00F70A97">
          <w:rPr>
            <w:rFonts w:ascii="Times New Roman" w:hAnsi="Times New Roman" w:cs="Times New Roman"/>
            <w:i w:val="0"/>
            <w:iCs w:val="0"/>
            <w:noProof/>
            <w:webHidden/>
          </w:rPr>
          <w:t>233</w:t>
        </w:r>
        <w:r w:rsidRPr="008E1321">
          <w:rPr>
            <w:rFonts w:ascii="Times New Roman" w:hAnsi="Times New Roman" w:cs="Times New Roman"/>
            <w:i w:val="0"/>
            <w:iCs w:val="0"/>
            <w:noProof/>
            <w:webHidden/>
          </w:rPr>
          <w:fldChar w:fldCharType="end"/>
        </w:r>
      </w:hyperlink>
    </w:p>
    <w:p w14:paraId="16507FB2" w14:textId="08C96D15" w:rsidR="00931797" w:rsidRPr="008E1321" w:rsidRDefault="00931797">
      <w:pPr>
        <w:pStyle w:val="TOC1"/>
        <w:tabs>
          <w:tab w:val="left" w:pos="1440"/>
          <w:tab w:val="right" w:leader="underscore" w:pos="9350"/>
        </w:tabs>
        <w:rPr>
          <w:rFonts w:ascii="Times New Roman" w:eastAsiaTheme="minorEastAsia" w:hAnsi="Times New Roman" w:cs="Times New Roman"/>
          <w:b w:val="0"/>
          <w:bCs w:val="0"/>
          <w:i w:val="0"/>
          <w:iCs w:val="0"/>
          <w:noProof/>
          <w:szCs w:val="21"/>
          <w:lang w:eastAsia="en-IN"/>
        </w:rPr>
      </w:pPr>
      <w:hyperlink w:anchor="_Toc221115375" w:history="1">
        <w:r w:rsidRPr="008E1321">
          <w:rPr>
            <w:rStyle w:val="Hyperlink"/>
            <w:rFonts w:ascii="Times New Roman" w:hAnsi="Times New Roman" w:cs="Times New Roman"/>
            <w:i w:val="0"/>
            <w:iCs w:val="0"/>
            <w:noProof/>
          </w:rPr>
          <w:t>Chapter 3</w:t>
        </w:r>
        <w:r w:rsidRPr="008E1321">
          <w:rPr>
            <w:rFonts w:ascii="Times New Roman" w:eastAsiaTheme="minorEastAsia" w:hAnsi="Times New Roman" w:cs="Times New Roman"/>
            <w:b w:val="0"/>
            <w:bCs w:val="0"/>
            <w:i w:val="0"/>
            <w:iCs w:val="0"/>
            <w:noProof/>
            <w:szCs w:val="21"/>
            <w:lang w:eastAsia="en-IN"/>
          </w:rPr>
          <w:tab/>
        </w:r>
        <w:r w:rsidRPr="008E1321">
          <w:rPr>
            <w:rStyle w:val="Hyperlink"/>
            <w:rFonts w:ascii="Times New Roman" w:hAnsi="Times New Roman" w:cs="Times New Roman"/>
            <w:i w:val="0"/>
            <w:iCs w:val="0"/>
            <w:noProof/>
          </w:rPr>
          <w:t>ESTATE DUTY</w:t>
        </w:r>
        <w:r w:rsidRPr="008E1321">
          <w:rPr>
            <w:rFonts w:ascii="Times New Roman" w:hAnsi="Times New Roman" w:cs="Times New Roman"/>
            <w:i w:val="0"/>
            <w:iCs w:val="0"/>
            <w:noProof/>
            <w:webHidden/>
          </w:rPr>
          <w:tab/>
        </w:r>
        <w:r w:rsidRPr="008E1321">
          <w:rPr>
            <w:rFonts w:ascii="Times New Roman" w:hAnsi="Times New Roman" w:cs="Times New Roman"/>
            <w:i w:val="0"/>
            <w:iCs w:val="0"/>
            <w:noProof/>
            <w:webHidden/>
          </w:rPr>
          <w:fldChar w:fldCharType="begin"/>
        </w:r>
        <w:r w:rsidRPr="008E1321">
          <w:rPr>
            <w:rFonts w:ascii="Times New Roman" w:hAnsi="Times New Roman" w:cs="Times New Roman"/>
            <w:i w:val="0"/>
            <w:iCs w:val="0"/>
            <w:noProof/>
            <w:webHidden/>
          </w:rPr>
          <w:instrText xml:space="preserve"> PAGEREF _Toc221115375 \h </w:instrText>
        </w:r>
        <w:r w:rsidRPr="008E1321">
          <w:rPr>
            <w:rFonts w:ascii="Times New Roman" w:hAnsi="Times New Roman" w:cs="Times New Roman"/>
            <w:i w:val="0"/>
            <w:iCs w:val="0"/>
            <w:noProof/>
            <w:webHidden/>
          </w:rPr>
        </w:r>
        <w:r w:rsidRPr="008E1321">
          <w:rPr>
            <w:rFonts w:ascii="Times New Roman" w:hAnsi="Times New Roman" w:cs="Times New Roman"/>
            <w:i w:val="0"/>
            <w:iCs w:val="0"/>
            <w:noProof/>
            <w:webHidden/>
          </w:rPr>
          <w:fldChar w:fldCharType="separate"/>
        </w:r>
        <w:r w:rsidR="00F70A97">
          <w:rPr>
            <w:rFonts w:ascii="Times New Roman" w:hAnsi="Times New Roman" w:cs="Times New Roman"/>
            <w:i w:val="0"/>
            <w:iCs w:val="0"/>
            <w:noProof/>
            <w:webHidden/>
          </w:rPr>
          <w:t>236</w:t>
        </w:r>
        <w:r w:rsidRPr="008E1321">
          <w:rPr>
            <w:rFonts w:ascii="Times New Roman" w:hAnsi="Times New Roman" w:cs="Times New Roman"/>
            <w:i w:val="0"/>
            <w:iCs w:val="0"/>
            <w:noProof/>
            <w:webHidden/>
          </w:rPr>
          <w:fldChar w:fldCharType="end"/>
        </w:r>
      </w:hyperlink>
    </w:p>
    <w:p w14:paraId="293F8850" w14:textId="3899E821" w:rsidR="00931797" w:rsidRPr="008E1321" w:rsidRDefault="00931797">
      <w:pPr>
        <w:pStyle w:val="TOC1"/>
        <w:tabs>
          <w:tab w:val="left" w:pos="1440"/>
          <w:tab w:val="right" w:leader="underscore" w:pos="9350"/>
        </w:tabs>
        <w:rPr>
          <w:rFonts w:ascii="Times New Roman" w:eastAsiaTheme="minorEastAsia" w:hAnsi="Times New Roman" w:cs="Times New Roman"/>
          <w:b w:val="0"/>
          <w:bCs w:val="0"/>
          <w:i w:val="0"/>
          <w:iCs w:val="0"/>
          <w:noProof/>
          <w:szCs w:val="21"/>
          <w:lang w:eastAsia="en-IN"/>
        </w:rPr>
      </w:pPr>
      <w:hyperlink w:anchor="_Toc221115376" w:history="1">
        <w:r w:rsidRPr="008E1321">
          <w:rPr>
            <w:rStyle w:val="Hyperlink"/>
            <w:rFonts w:ascii="Times New Roman" w:hAnsi="Times New Roman" w:cs="Times New Roman"/>
            <w:i w:val="0"/>
            <w:iCs w:val="0"/>
            <w:noProof/>
          </w:rPr>
          <w:t>Chapter 4</w:t>
        </w:r>
        <w:r w:rsidRPr="008E1321">
          <w:rPr>
            <w:rFonts w:ascii="Times New Roman" w:eastAsiaTheme="minorEastAsia" w:hAnsi="Times New Roman" w:cs="Times New Roman"/>
            <w:b w:val="0"/>
            <w:bCs w:val="0"/>
            <w:i w:val="0"/>
            <w:iCs w:val="0"/>
            <w:noProof/>
            <w:szCs w:val="21"/>
            <w:lang w:eastAsia="en-IN"/>
          </w:rPr>
          <w:tab/>
        </w:r>
        <w:r w:rsidRPr="008E1321">
          <w:rPr>
            <w:rStyle w:val="Hyperlink"/>
            <w:rFonts w:ascii="Times New Roman" w:hAnsi="Times New Roman" w:cs="Times New Roman"/>
            <w:i w:val="0"/>
            <w:iCs w:val="0"/>
            <w:noProof/>
          </w:rPr>
          <w:t>UNAUTHORISED OVERDRAFTS</w:t>
        </w:r>
        <w:r w:rsidRPr="008E1321">
          <w:rPr>
            <w:rFonts w:ascii="Times New Roman" w:hAnsi="Times New Roman" w:cs="Times New Roman"/>
            <w:i w:val="0"/>
            <w:iCs w:val="0"/>
            <w:noProof/>
            <w:webHidden/>
          </w:rPr>
          <w:tab/>
        </w:r>
        <w:r w:rsidRPr="008E1321">
          <w:rPr>
            <w:rFonts w:ascii="Times New Roman" w:hAnsi="Times New Roman" w:cs="Times New Roman"/>
            <w:i w:val="0"/>
            <w:iCs w:val="0"/>
            <w:noProof/>
            <w:webHidden/>
          </w:rPr>
          <w:fldChar w:fldCharType="begin"/>
        </w:r>
        <w:r w:rsidRPr="008E1321">
          <w:rPr>
            <w:rFonts w:ascii="Times New Roman" w:hAnsi="Times New Roman" w:cs="Times New Roman"/>
            <w:i w:val="0"/>
            <w:iCs w:val="0"/>
            <w:noProof/>
            <w:webHidden/>
          </w:rPr>
          <w:instrText xml:space="preserve"> PAGEREF _Toc221115376 \h </w:instrText>
        </w:r>
        <w:r w:rsidRPr="008E1321">
          <w:rPr>
            <w:rFonts w:ascii="Times New Roman" w:hAnsi="Times New Roman" w:cs="Times New Roman"/>
            <w:i w:val="0"/>
            <w:iCs w:val="0"/>
            <w:noProof/>
            <w:webHidden/>
          </w:rPr>
        </w:r>
        <w:r w:rsidRPr="008E1321">
          <w:rPr>
            <w:rFonts w:ascii="Times New Roman" w:hAnsi="Times New Roman" w:cs="Times New Roman"/>
            <w:i w:val="0"/>
            <w:iCs w:val="0"/>
            <w:noProof/>
            <w:webHidden/>
          </w:rPr>
          <w:fldChar w:fldCharType="separate"/>
        </w:r>
        <w:r w:rsidR="00F70A97">
          <w:rPr>
            <w:rFonts w:ascii="Times New Roman" w:hAnsi="Times New Roman" w:cs="Times New Roman"/>
            <w:i w:val="0"/>
            <w:iCs w:val="0"/>
            <w:noProof/>
            <w:webHidden/>
          </w:rPr>
          <w:t>239</w:t>
        </w:r>
        <w:r w:rsidRPr="008E1321">
          <w:rPr>
            <w:rFonts w:ascii="Times New Roman" w:hAnsi="Times New Roman" w:cs="Times New Roman"/>
            <w:i w:val="0"/>
            <w:iCs w:val="0"/>
            <w:noProof/>
            <w:webHidden/>
          </w:rPr>
          <w:fldChar w:fldCharType="end"/>
        </w:r>
      </w:hyperlink>
    </w:p>
    <w:p w14:paraId="055D24D5" w14:textId="3B29FD1D" w:rsidR="00931797" w:rsidRPr="008E1321" w:rsidRDefault="00931797">
      <w:pPr>
        <w:pStyle w:val="TOC1"/>
        <w:tabs>
          <w:tab w:val="left" w:pos="1440"/>
          <w:tab w:val="right" w:leader="underscore" w:pos="9350"/>
        </w:tabs>
        <w:rPr>
          <w:rFonts w:ascii="Times New Roman" w:eastAsiaTheme="minorEastAsia" w:hAnsi="Times New Roman" w:cs="Times New Roman"/>
          <w:b w:val="0"/>
          <w:bCs w:val="0"/>
          <w:i w:val="0"/>
          <w:iCs w:val="0"/>
          <w:noProof/>
          <w:szCs w:val="21"/>
          <w:lang w:eastAsia="en-IN"/>
        </w:rPr>
      </w:pPr>
      <w:hyperlink w:anchor="_Toc221115377" w:history="1">
        <w:r w:rsidRPr="008E1321">
          <w:rPr>
            <w:rStyle w:val="Hyperlink"/>
            <w:rFonts w:ascii="Times New Roman" w:hAnsi="Times New Roman" w:cs="Times New Roman"/>
            <w:i w:val="0"/>
            <w:iCs w:val="0"/>
            <w:noProof/>
          </w:rPr>
          <w:t>Chapter 5</w:t>
        </w:r>
        <w:r w:rsidRPr="008E1321">
          <w:rPr>
            <w:rFonts w:ascii="Times New Roman" w:eastAsiaTheme="minorEastAsia" w:hAnsi="Times New Roman" w:cs="Times New Roman"/>
            <w:b w:val="0"/>
            <w:bCs w:val="0"/>
            <w:i w:val="0"/>
            <w:iCs w:val="0"/>
            <w:noProof/>
            <w:szCs w:val="21"/>
            <w:lang w:eastAsia="en-IN"/>
          </w:rPr>
          <w:tab/>
        </w:r>
        <w:r w:rsidRPr="008E1321">
          <w:rPr>
            <w:rStyle w:val="Hyperlink"/>
            <w:rFonts w:ascii="Times New Roman" w:hAnsi="Times New Roman" w:cs="Times New Roman"/>
            <w:i w:val="0"/>
            <w:iCs w:val="0"/>
            <w:noProof/>
          </w:rPr>
          <w:t>DEVOLUTIONS AND GRANTS FOR 1969-70</w:t>
        </w:r>
        <w:r w:rsidRPr="008E1321">
          <w:rPr>
            <w:rFonts w:ascii="Times New Roman" w:hAnsi="Times New Roman" w:cs="Times New Roman"/>
            <w:i w:val="0"/>
            <w:iCs w:val="0"/>
            <w:noProof/>
            <w:webHidden/>
          </w:rPr>
          <w:tab/>
        </w:r>
        <w:r w:rsidRPr="008E1321">
          <w:rPr>
            <w:rFonts w:ascii="Times New Roman" w:hAnsi="Times New Roman" w:cs="Times New Roman"/>
            <w:i w:val="0"/>
            <w:iCs w:val="0"/>
            <w:noProof/>
            <w:webHidden/>
          </w:rPr>
          <w:fldChar w:fldCharType="begin"/>
        </w:r>
        <w:r w:rsidRPr="008E1321">
          <w:rPr>
            <w:rFonts w:ascii="Times New Roman" w:hAnsi="Times New Roman" w:cs="Times New Roman"/>
            <w:i w:val="0"/>
            <w:iCs w:val="0"/>
            <w:noProof/>
            <w:webHidden/>
          </w:rPr>
          <w:instrText xml:space="preserve"> PAGEREF _Toc221115377 \h </w:instrText>
        </w:r>
        <w:r w:rsidRPr="008E1321">
          <w:rPr>
            <w:rFonts w:ascii="Times New Roman" w:hAnsi="Times New Roman" w:cs="Times New Roman"/>
            <w:i w:val="0"/>
            <w:iCs w:val="0"/>
            <w:noProof/>
            <w:webHidden/>
          </w:rPr>
        </w:r>
        <w:r w:rsidRPr="008E1321">
          <w:rPr>
            <w:rFonts w:ascii="Times New Roman" w:hAnsi="Times New Roman" w:cs="Times New Roman"/>
            <w:i w:val="0"/>
            <w:iCs w:val="0"/>
            <w:noProof/>
            <w:webHidden/>
          </w:rPr>
          <w:fldChar w:fldCharType="separate"/>
        </w:r>
        <w:r w:rsidR="00F70A97">
          <w:rPr>
            <w:rFonts w:ascii="Times New Roman" w:hAnsi="Times New Roman" w:cs="Times New Roman"/>
            <w:i w:val="0"/>
            <w:iCs w:val="0"/>
            <w:noProof/>
            <w:webHidden/>
          </w:rPr>
          <w:t>256</w:t>
        </w:r>
        <w:r w:rsidRPr="008E1321">
          <w:rPr>
            <w:rFonts w:ascii="Times New Roman" w:hAnsi="Times New Roman" w:cs="Times New Roman"/>
            <w:i w:val="0"/>
            <w:iCs w:val="0"/>
            <w:noProof/>
            <w:webHidden/>
          </w:rPr>
          <w:fldChar w:fldCharType="end"/>
        </w:r>
      </w:hyperlink>
    </w:p>
    <w:p w14:paraId="615AA298" w14:textId="350E1D78" w:rsidR="00931797" w:rsidRPr="008E1321" w:rsidRDefault="00931797">
      <w:pPr>
        <w:pStyle w:val="TOC1"/>
        <w:tabs>
          <w:tab w:val="right" w:leader="underscore" w:pos="9350"/>
        </w:tabs>
        <w:rPr>
          <w:rFonts w:ascii="Times New Roman" w:eastAsiaTheme="minorEastAsia" w:hAnsi="Times New Roman" w:cs="Times New Roman"/>
          <w:b w:val="0"/>
          <w:bCs w:val="0"/>
          <w:i w:val="0"/>
          <w:iCs w:val="0"/>
          <w:noProof/>
          <w:szCs w:val="21"/>
          <w:lang w:eastAsia="en-IN"/>
        </w:rPr>
      </w:pPr>
      <w:hyperlink w:anchor="_Toc221115378" w:history="1">
        <w:r w:rsidRPr="008E1321">
          <w:rPr>
            <w:rStyle w:val="Hyperlink"/>
            <w:rFonts w:ascii="Times New Roman" w:hAnsi="Times New Roman" w:cs="Times New Roman"/>
            <w:i w:val="0"/>
            <w:iCs w:val="0"/>
            <w:noProof/>
          </w:rPr>
          <w:t>APPENDICES</w:t>
        </w:r>
        <w:r w:rsidRPr="008E1321">
          <w:rPr>
            <w:rFonts w:ascii="Times New Roman" w:hAnsi="Times New Roman" w:cs="Times New Roman"/>
            <w:i w:val="0"/>
            <w:iCs w:val="0"/>
            <w:noProof/>
            <w:webHidden/>
          </w:rPr>
          <w:tab/>
        </w:r>
        <w:r w:rsidRPr="008E1321">
          <w:rPr>
            <w:rFonts w:ascii="Times New Roman" w:hAnsi="Times New Roman" w:cs="Times New Roman"/>
            <w:i w:val="0"/>
            <w:iCs w:val="0"/>
            <w:noProof/>
            <w:webHidden/>
          </w:rPr>
          <w:fldChar w:fldCharType="begin"/>
        </w:r>
        <w:r w:rsidRPr="008E1321">
          <w:rPr>
            <w:rFonts w:ascii="Times New Roman" w:hAnsi="Times New Roman" w:cs="Times New Roman"/>
            <w:i w:val="0"/>
            <w:iCs w:val="0"/>
            <w:noProof/>
            <w:webHidden/>
          </w:rPr>
          <w:instrText xml:space="preserve"> PAGEREF _Toc221115378 \h </w:instrText>
        </w:r>
        <w:r w:rsidRPr="008E1321">
          <w:rPr>
            <w:rFonts w:ascii="Times New Roman" w:hAnsi="Times New Roman" w:cs="Times New Roman"/>
            <w:i w:val="0"/>
            <w:iCs w:val="0"/>
            <w:noProof/>
            <w:webHidden/>
          </w:rPr>
        </w:r>
        <w:r w:rsidRPr="008E1321">
          <w:rPr>
            <w:rFonts w:ascii="Times New Roman" w:hAnsi="Times New Roman" w:cs="Times New Roman"/>
            <w:i w:val="0"/>
            <w:iCs w:val="0"/>
            <w:noProof/>
            <w:webHidden/>
          </w:rPr>
          <w:fldChar w:fldCharType="separate"/>
        </w:r>
        <w:r w:rsidR="00F70A97">
          <w:rPr>
            <w:rFonts w:ascii="Times New Roman" w:hAnsi="Times New Roman" w:cs="Times New Roman"/>
            <w:i w:val="0"/>
            <w:iCs w:val="0"/>
            <w:noProof/>
            <w:webHidden/>
          </w:rPr>
          <w:t>263</w:t>
        </w:r>
        <w:r w:rsidRPr="008E1321">
          <w:rPr>
            <w:rFonts w:ascii="Times New Roman" w:hAnsi="Times New Roman" w:cs="Times New Roman"/>
            <w:i w:val="0"/>
            <w:iCs w:val="0"/>
            <w:noProof/>
            <w:webHidden/>
          </w:rPr>
          <w:fldChar w:fldCharType="end"/>
        </w:r>
      </w:hyperlink>
    </w:p>
    <w:p w14:paraId="6D1C894B" w14:textId="3F137E01" w:rsidR="00931797" w:rsidRPr="008E1321" w:rsidRDefault="00931797">
      <w:pPr>
        <w:pStyle w:val="TOC2"/>
        <w:tabs>
          <w:tab w:val="right" w:leader="underscore" w:pos="9350"/>
        </w:tabs>
        <w:rPr>
          <w:rFonts w:ascii="Times New Roman" w:eastAsiaTheme="minorEastAsia" w:hAnsi="Times New Roman" w:cs="Times New Roman"/>
          <w:b w:val="0"/>
          <w:bCs w:val="0"/>
          <w:noProof/>
          <w:sz w:val="24"/>
          <w:szCs w:val="21"/>
          <w:lang w:eastAsia="en-IN"/>
        </w:rPr>
      </w:pPr>
      <w:hyperlink w:anchor="_Toc221115379" w:history="1">
        <w:r w:rsidRPr="008E1321">
          <w:rPr>
            <w:rStyle w:val="Hyperlink"/>
            <w:rFonts w:ascii="Times New Roman" w:hAnsi="Times New Roman" w:cs="Times New Roman"/>
            <w:noProof/>
          </w:rPr>
          <w:t>APPENDIX I (a):  DATES OF DISCUSSIONS WITH STATE GOVERNMENTS</w:t>
        </w:r>
        <w:r w:rsidRPr="008E1321">
          <w:rPr>
            <w:rFonts w:ascii="Times New Roman" w:hAnsi="Times New Roman" w:cs="Times New Roman"/>
            <w:noProof/>
            <w:webHidden/>
          </w:rPr>
          <w:tab/>
        </w:r>
        <w:r w:rsidRPr="008E1321">
          <w:rPr>
            <w:rFonts w:ascii="Times New Roman" w:hAnsi="Times New Roman" w:cs="Times New Roman"/>
            <w:noProof/>
            <w:webHidden/>
          </w:rPr>
          <w:fldChar w:fldCharType="begin"/>
        </w:r>
        <w:r w:rsidRPr="008E1321">
          <w:rPr>
            <w:rFonts w:ascii="Times New Roman" w:hAnsi="Times New Roman" w:cs="Times New Roman"/>
            <w:noProof/>
            <w:webHidden/>
          </w:rPr>
          <w:instrText xml:space="preserve"> PAGEREF _Toc221115379 \h </w:instrText>
        </w:r>
        <w:r w:rsidRPr="008E1321">
          <w:rPr>
            <w:rFonts w:ascii="Times New Roman" w:hAnsi="Times New Roman" w:cs="Times New Roman"/>
            <w:noProof/>
            <w:webHidden/>
          </w:rPr>
        </w:r>
        <w:r w:rsidRPr="008E1321">
          <w:rPr>
            <w:rFonts w:ascii="Times New Roman" w:hAnsi="Times New Roman" w:cs="Times New Roman"/>
            <w:noProof/>
            <w:webHidden/>
          </w:rPr>
          <w:fldChar w:fldCharType="separate"/>
        </w:r>
        <w:r w:rsidR="00F70A97">
          <w:rPr>
            <w:rFonts w:ascii="Times New Roman" w:hAnsi="Times New Roman" w:cs="Times New Roman"/>
            <w:noProof/>
            <w:webHidden/>
          </w:rPr>
          <w:t>265</w:t>
        </w:r>
        <w:r w:rsidRPr="008E1321">
          <w:rPr>
            <w:rFonts w:ascii="Times New Roman" w:hAnsi="Times New Roman" w:cs="Times New Roman"/>
            <w:noProof/>
            <w:webHidden/>
          </w:rPr>
          <w:fldChar w:fldCharType="end"/>
        </w:r>
      </w:hyperlink>
    </w:p>
    <w:p w14:paraId="7ACBE78C" w14:textId="4AF8F55A" w:rsidR="00931797" w:rsidRPr="008E1321" w:rsidRDefault="00931797">
      <w:pPr>
        <w:pStyle w:val="TOC2"/>
        <w:tabs>
          <w:tab w:val="right" w:leader="underscore" w:pos="9350"/>
        </w:tabs>
        <w:rPr>
          <w:rFonts w:ascii="Times New Roman" w:eastAsiaTheme="minorEastAsia" w:hAnsi="Times New Roman" w:cs="Times New Roman"/>
          <w:b w:val="0"/>
          <w:bCs w:val="0"/>
          <w:noProof/>
          <w:sz w:val="24"/>
          <w:szCs w:val="21"/>
          <w:lang w:eastAsia="en-IN"/>
        </w:rPr>
      </w:pPr>
      <w:hyperlink w:anchor="_Toc221115380" w:history="1">
        <w:r w:rsidRPr="008E1321">
          <w:rPr>
            <w:rStyle w:val="Hyperlink"/>
            <w:rFonts w:ascii="Times New Roman" w:hAnsi="Times New Roman" w:cs="Times New Roman"/>
            <w:noProof/>
          </w:rPr>
          <w:t>APPENDIX 1 (b):  DATES OF DISCUSSIONS WITH REPRESENTATIVES OF CENTRAL GOVERNMENT, PLANNING COMMISSION AND GOVERNOR, RESERVE BANK OF INDIA</w:t>
        </w:r>
        <w:r w:rsidRPr="008E1321">
          <w:rPr>
            <w:rFonts w:ascii="Times New Roman" w:hAnsi="Times New Roman" w:cs="Times New Roman"/>
            <w:noProof/>
            <w:webHidden/>
          </w:rPr>
          <w:tab/>
        </w:r>
        <w:r w:rsidRPr="008E1321">
          <w:rPr>
            <w:rFonts w:ascii="Times New Roman" w:hAnsi="Times New Roman" w:cs="Times New Roman"/>
            <w:noProof/>
            <w:webHidden/>
          </w:rPr>
          <w:fldChar w:fldCharType="begin"/>
        </w:r>
        <w:r w:rsidRPr="008E1321">
          <w:rPr>
            <w:rFonts w:ascii="Times New Roman" w:hAnsi="Times New Roman" w:cs="Times New Roman"/>
            <w:noProof/>
            <w:webHidden/>
          </w:rPr>
          <w:instrText xml:space="preserve"> PAGEREF _Toc221115380 \h </w:instrText>
        </w:r>
        <w:r w:rsidRPr="008E1321">
          <w:rPr>
            <w:rFonts w:ascii="Times New Roman" w:hAnsi="Times New Roman" w:cs="Times New Roman"/>
            <w:noProof/>
            <w:webHidden/>
          </w:rPr>
        </w:r>
        <w:r w:rsidRPr="008E1321">
          <w:rPr>
            <w:rFonts w:ascii="Times New Roman" w:hAnsi="Times New Roman" w:cs="Times New Roman"/>
            <w:noProof/>
            <w:webHidden/>
          </w:rPr>
          <w:fldChar w:fldCharType="separate"/>
        </w:r>
        <w:r w:rsidR="00F70A97">
          <w:rPr>
            <w:rFonts w:ascii="Times New Roman" w:hAnsi="Times New Roman" w:cs="Times New Roman"/>
            <w:noProof/>
            <w:webHidden/>
          </w:rPr>
          <w:t>266</w:t>
        </w:r>
        <w:r w:rsidRPr="008E1321">
          <w:rPr>
            <w:rFonts w:ascii="Times New Roman" w:hAnsi="Times New Roman" w:cs="Times New Roman"/>
            <w:noProof/>
            <w:webHidden/>
          </w:rPr>
          <w:fldChar w:fldCharType="end"/>
        </w:r>
      </w:hyperlink>
    </w:p>
    <w:p w14:paraId="7B7ED5E0" w14:textId="53F21BDE" w:rsidR="00931797" w:rsidRPr="008E1321" w:rsidRDefault="00931797">
      <w:pPr>
        <w:pStyle w:val="TOC2"/>
        <w:tabs>
          <w:tab w:val="right" w:leader="underscore" w:pos="9350"/>
        </w:tabs>
        <w:rPr>
          <w:rFonts w:ascii="Times New Roman" w:eastAsiaTheme="minorEastAsia" w:hAnsi="Times New Roman" w:cs="Times New Roman"/>
          <w:b w:val="0"/>
          <w:bCs w:val="0"/>
          <w:noProof/>
          <w:sz w:val="24"/>
          <w:szCs w:val="21"/>
          <w:lang w:eastAsia="en-IN"/>
        </w:rPr>
      </w:pPr>
      <w:hyperlink w:anchor="_Toc221115381" w:history="1">
        <w:r w:rsidRPr="008E1321">
          <w:rPr>
            <w:rStyle w:val="Hyperlink"/>
            <w:rFonts w:ascii="Times New Roman" w:hAnsi="Times New Roman" w:cs="Times New Roman"/>
            <w:noProof/>
          </w:rPr>
          <w:t>APPENDIX II (a) RAILWAY ROUTE LENGTHS IN INDIA BY STATES AND ZONES</w:t>
        </w:r>
        <w:r w:rsidRPr="008E1321">
          <w:rPr>
            <w:rFonts w:ascii="Times New Roman" w:hAnsi="Times New Roman" w:cs="Times New Roman"/>
            <w:noProof/>
            <w:webHidden/>
          </w:rPr>
          <w:tab/>
        </w:r>
        <w:r w:rsidRPr="008E1321">
          <w:rPr>
            <w:rFonts w:ascii="Times New Roman" w:hAnsi="Times New Roman" w:cs="Times New Roman"/>
            <w:noProof/>
            <w:webHidden/>
          </w:rPr>
          <w:fldChar w:fldCharType="begin"/>
        </w:r>
        <w:r w:rsidRPr="008E1321">
          <w:rPr>
            <w:rFonts w:ascii="Times New Roman" w:hAnsi="Times New Roman" w:cs="Times New Roman"/>
            <w:noProof/>
            <w:webHidden/>
          </w:rPr>
          <w:instrText xml:space="preserve"> PAGEREF _Toc221115381 \h </w:instrText>
        </w:r>
        <w:r w:rsidRPr="008E1321">
          <w:rPr>
            <w:rFonts w:ascii="Times New Roman" w:hAnsi="Times New Roman" w:cs="Times New Roman"/>
            <w:noProof/>
            <w:webHidden/>
          </w:rPr>
        </w:r>
        <w:r w:rsidRPr="008E1321">
          <w:rPr>
            <w:rFonts w:ascii="Times New Roman" w:hAnsi="Times New Roman" w:cs="Times New Roman"/>
            <w:noProof/>
            <w:webHidden/>
          </w:rPr>
          <w:fldChar w:fldCharType="separate"/>
        </w:r>
        <w:r w:rsidR="00F70A97">
          <w:rPr>
            <w:rFonts w:ascii="Times New Roman" w:hAnsi="Times New Roman" w:cs="Times New Roman"/>
            <w:noProof/>
            <w:webHidden/>
          </w:rPr>
          <w:t>267</w:t>
        </w:r>
        <w:r w:rsidRPr="008E1321">
          <w:rPr>
            <w:rFonts w:ascii="Times New Roman" w:hAnsi="Times New Roman" w:cs="Times New Roman"/>
            <w:noProof/>
            <w:webHidden/>
          </w:rPr>
          <w:fldChar w:fldCharType="end"/>
        </w:r>
      </w:hyperlink>
    </w:p>
    <w:p w14:paraId="4BDFE17E" w14:textId="22AD7FCE" w:rsidR="00931797" w:rsidRPr="008E1321" w:rsidRDefault="00931797">
      <w:pPr>
        <w:pStyle w:val="TOC2"/>
        <w:tabs>
          <w:tab w:val="right" w:leader="underscore" w:pos="9350"/>
        </w:tabs>
        <w:rPr>
          <w:rFonts w:ascii="Times New Roman" w:eastAsiaTheme="minorEastAsia" w:hAnsi="Times New Roman" w:cs="Times New Roman"/>
          <w:b w:val="0"/>
          <w:bCs w:val="0"/>
          <w:noProof/>
          <w:sz w:val="24"/>
          <w:szCs w:val="21"/>
          <w:lang w:eastAsia="en-IN"/>
        </w:rPr>
      </w:pPr>
      <w:hyperlink w:anchor="_Toc221115382" w:history="1">
        <w:r w:rsidRPr="008E1321">
          <w:rPr>
            <w:rStyle w:val="Hyperlink"/>
            <w:rFonts w:ascii="Times New Roman" w:hAnsi="Times New Roman" w:cs="Times New Roman"/>
            <w:noProof/>
          </w:rPr>
          <w:t>APPENDIX II (b)  RAILWAY EARNINGS FROM PASSENGERS CARRIED ON NON-SUBURBAN ROUTES DURING 1964-65 TO 1966-67</w:t>
        </w:r>
        <w:r w:rsidRPr="008E1321">
          <w:rPr>
            <w:rFonts w:ascii="Times New Roman" w:hAnsi="Times New Roman" w:cs="Times New Roman"/>
            <w:noProof/>
            <w:webHidden/>
          </w:rPr>
          <w:tab/>
        </w:r>
        <w:r w:rsidRPr="008E1321">
          <w:rPr>
            <w:rFonts w:ascii="Times New Roman" w:hAnsi="Times New Roman" w:cs="Times New Roman"/>
            <w:noProof/>
            <w:webHidden/>
          </w:rPr>
          <w:fldChar w:fldCharType="begin"/>
        </w:r>
        <w:r w:rsidRPr="008E1321">
          <w:rPr>
            <w:rFonts w:ascii="Times New Roman" w:hAnsi="Times New Roman" w:cs="Times New Roman"/>
            <w:noProof/>
            <w:webHidden/>
          </w:rPr>
          <w:instrText xml:space="preserve"> PAGEREF _Toc221115382 \h </w:instrText>
        </w:r>
        <w:r w:rsidRPr="008E1321">
          <w:rPr>
            <w:rFonts w:ascii="Times New Roman" w:hAnsi="Times New Roman" w:cs="Times New Roman"/>
            <w:noProof/>
            <w:webHidden/>
          </w:rPr>
        </w:r>
        <w:r w:rsidRPr="008E1321">
          <w:rPr>
            <w:rFonts w:ascii="Times New Roman" w:hAnsi="Times New Roman" w:cs="Times New Roman"/>
            <w:noProof/>
            <w:webHidden/>
          </w:rPr>
          <w:fldChar w:fldCharType="separate"/>
        </w:r>
        <w:r w:rsidR="00F70A97">
          <w:rPr>
            <w:rFonts w:ascii="Times New Roman" w:hAnsi="Times New Roman" w:cs="Times New Roman"/>
            <w:noProof/>
            <w:webHidden/>
          </w:rPr>
          <w:t>269</w:t>
        </w:r>
        <w:r w:rsidRPr="008E1321">
          <w:rPr>
            <w:rFonts w:ascii="Times New Roman" w:hAnsi="Times New Roman" w:cs="Times New Roman"/>
            <w:noProof/>
            <w:webHidden/>
          </w:rPr>
          <w:fldChar w:fldCharType="end"/>
        </w:r>
      </w:hyperlink>
    </w:p>
    <w:p w14:paraId="66DA86FF" w14:textId="04AE4310" w:rsidR="00931797" w:rsidRPr="008E1321" w:rsidRDefault="00931797">
      <w:pPr>
        <w:pStyle w:val="TOC2"/>
        <w:tabs>
          <w:tab w:val="right" w:leader="underscore" w:pos="9350"/>
        </w:tabs>
        <w:rPr>
          <w:rFonts w:ascii="Times New Roman" w:eastAsiaTheme="minorEastAsia" w:hAnsi="Times New Roman" w:cs="Times New Roman"/>
          <w:b w:val="0"/>
          <w:bCs w:val="0"/>
          <w:noProof/>
          <w:sz w:val="24"/>
          <w:szCs w:val="21"/>
          <w:lang w:eastAsia="en-IN"/>
        </w:rPr>
      </w:pPr>
      <w:hyperlink w:anchor="_Toc221115383" w:history="1">
        <w:r w:rsidRPr="008E1321">
          <w:rPr>
            <w:rStyle w:val="Hyperlink"/>
            <w:rFonts w:ascii="Times New Roman" w:hAnsi="Times New Roman" w:cs="Times New Roman"/>
            <w:noProof/>
          </w:rPr>
          <w:t>APPENDIX III</w:t>
        </w:r>
        <w:r w:rsidRPr="008E1321">
          <w:rPr>
            <w:rFonts w:ascii="Times New Roman" w:hAnsi="Times New Roman" w:cs="Times New Roman"/>
            <w:noProof/>
            <w:webHidden/>
          </w:rPr>
          <w:tab/>
        </w:r>
        <w:r w:rsidRPr="008E1321">
          <w:rPr>
            <w:rFonts w:ascii="Times New Roman" w:hAnsi="Times New Roman" w:cs="Times New Roman"/>
            <w:noProof/>
            <w:webHidden/>
          </w:rPr>
          <w:fldChar w:fldCharType="begin"/>
        </w:r>
        <w:r w:rsidRPr="008E1321">
          <w:rPr>
            <w:rFonts w:ascii="Times New Roman" w:hAnsi="Times New Roman" w:cs="Times New Roman"/>
            <w:noProof/>
            <w:webHidden/>
          </w:rPr>
          <w:instrText xml:space="preserve"> PAGEREF _Toc221115383 \h </w:instrText>
        </w:r>
        <w:r w:rsidRPr="008E1321">
          <w:rPr>
            <w:rFonts w:ascii="Times New Roman" w:hAnsi="Times New Roman" w:cs="Times New Roman"/>
            <w:noProof/>
            <w:webHidden/>
          </w:rPr>
        </w:r>
        <w:r w:rsidRPr="008E1321">
          <w:rPr>
            <w:rFonts w:ascii="Times New Roman" w:hAnsi="Times New Roman" w:cs="Times New Roman"/>
            <w:noProof/>
            <w:webHidden/>
          </w:rPr>
          <w:fldChar w:fldCharType="separate"/>
        </w:r>
        <w:r w:rsidR="00F70A97">
          <w:rPr>
            <w:rFonts w:ascii="Times New Roman" w:hAnsi="Times New Roman" w:cs="Times New Roman"/>
            <w:noProof/>
            <w:webHidden/>
          </w:rPr>
          <w:t>271</w:t>
        </w:r>
        <w:r w:rsidRPr="008E1321">
          <w:rPr>
            <w:rFonts w:ascii="Times New Roman" w:hAnsi="Times New Roman" w:cs="Times New Roman"/>
            <w:noProof/>
            <w:webHidden/>
          </w:rPr>
          <w:fldChar w:fldCharType="end"/>
        </w:r>
      </w:hyperlink>
    </w:p>
    <w:p w14:paraId="6879D7E0" w14:textId="0139FA0A" w:rsidR="00931797" w:rsidRPr="008E1321" w:rsidRDefault="00931797">
      <w:pPr>
        <w:pStyle w:val="TOC4"/>
        <w:tabs>
          <w:tab w:val="right" w:leader="underscore" w:pos="9350"/>
        </w:tabs>
        <w:rPr>
          <w:rFonts w:ascii="Times New Roman" w:eastAsiaTheme="minorEastAsia" w:hAnsi="Times New Roman" w:cs="Times New Roman"/>
          <w:noProof/>
          <w:sz w:val="24"/>
          <w:szCs w:val="21"/>
          <w:lang w:eastAsia="en-IN"/>
        </w:rPr>
      </w:pPr>
      <w:hyperlink w:anchor="_Toc221115384" w:history="1">
        <w:r w:rsidRPr="008E1321">
          <w:rPr>
            <w:rStyle w:val="Hyperlink"/>
            <w:rFonts w:ascii="Times New Roman" w:hAnsi="Times New Roman" w:cs="Times New Roman"/>
            <w:noProof/>
          </w:rPr>
          <w:t>Table 1: Limits of ways and means advances for different States from 1-3-1967</w:t>
        </w:r>
        <w:r w:rsidRPr="008E1321">
          <w:rPr>
            <w:rFonts w:ascii="Times New Roman" w:hAnsi="Times New Roman" w:cs="Times New Roman"/>
            <w:noProof/>
            <w:webHidden/>
          </w:rPr>
          <w:tab/>
        </w:r>
        <w:r w:rsidRPr="008E1321">
          <w:rPr>
            <w:rFonts w:ascii="Times New Roman" w:hAnsi="Times New Roman" w:cs="Times New Roman"/>
            <w:noProof/>
            <w:webHidden/>
          </w:rPr>
          <w:fldChar w:fldCharType="begin"/>
        </w:r>
        <w:r w:rsidRPr="008E1321">
          <w:rPr>
            <w:rFonts w:ascii="Times New Roman" w:hAnsi="Times New Roman" w:cs="Times New Roman"/>
            <w:noProof/>
            <w:webHidden/>
          </w:rPr>
          <w:instrText xml:space="preserve"> PAGEREF _Toc221115384 \h </w:instrText>
        </w:r>
        <w:r w:rsidRPr="008E1321">
          <w:rPr>
            <w:rFonts w:ascii="Times New Roman" w:hAnsi="Times New Roman" w:cs="Times New Roman"/>
            <w:noProof/>
            <w:webHidden/>
          </w:rPr>
        </w:r>
        <w:r w:rsidRPr="008E1321">
          <w:rPr>
            <w:rFonts w:ascii="Times New Roman" w:hAnsi="Times New Roman" w:cs="Times New Roman"/>
            <w:noProof/>
            <w:webHidden/>
          </w:rPr>
          <w:fldChar w:fldCharType="separate"/>
        </w:r>
        <w:r w:rsidR="00F70A97">
          <w:rPr>
            <w:rFonts w:ascii="Times New Roman" w:hAnsi="Times New Roman" w:cs="Times New Roman"/>
            <w:noProof/>
            <w:webHidden/>
          </w:rPr>
          <w:t>273</w:t>
        </w:r>
        <w:r w:rsidRPr="008E1321">
          <w:rPr>
            <w:rFonts w:ascii="Times New Roman" w:hAnsi="Times New Roman" w:cs="Times New Roman"/>
            <w:noProof/>
            <w:webHidden/>
          </w:rPr>
          <w:fldChar w:fldCharType="end"/>
        </w:r>
      </w:hyperlink>
    </w:p>
    <w:p w14:paraId="255B9427" w14:textId="52CC2CE6" w:rsidR="00931797" w:rsidRPr="008E1321" w:rsidRDefault="00931797">
      <w:pPr>
        <w:pStyle w:val="TOC4"/>
        <w:tabs>
          <w:tab w:val="right" w:leader="underscore" w:pos="9350"/>
        </w:tabs>
        <w:rPr>
          <w:rFonts w:ascii="Times New Roman" w:eastAsiaTheme="minorEastAsia" w:hAnsi="Times New Roman" w:cs="Times New Roman"/>
          <w:noProof/>
          <w:sz w:val="24"/>
          <w:szCs w:val="21"/>
          <w:lang w:eastAsia="en-IN"/>
        </w:rPr>
      </w:pPr>
      <w:hyperlink w:anchor="_Toc221115385" w:history="1">
        <w:r w:rsidRPr="008E1321">
          <w:rPr>
            <w:rStyle w:val="Hyperlink"/>
            <w:rFonts w:ascii="Times New Roman" w:hAnsi="Times New Roman" w:cs="Times New Roman"/>
            <w:noProof/>
          </w:rPr>
          <w:t>Table 2: Overdraft position of States (1965-66 to 1967-68)</w:t>
        </w:r>
        <w:r w:rsidRPr="008E1321">
          <w:rPr>
            <w:rFonts w:ascii="Times New Roman" w:hAnsi="Times New Roman" w:cs="Times New Roman"/>
            <w:noProof/>
            <w:webHidden/>
          </w:rPr>
          <w:tab/>
        </w:r>
        <w:r w:rsidRPr="008E1321">
          <w:rPr>
            <w:rFonts w:ascii="Times New Roman" w:hAnsi="Times New Roman" w:cs="Times New Roman"/>
            <w:noProof/>
            <w:webHidden/>
          </w:rPr>
          <w:fldChar w:fldCharType="begin"/>
        </w:r>
        <w:r w:rsidRPr="008E1321">
          <w:rPr>
            <w:rFonts w:ascii="Times New Roman" w:hAnsi="Times New Roman" w:cs="Times New Roman"/>
            <w:noProof/>
            <w:webHidden/>
          </w:rPr>
          <w:instrText xml:space="preserve"> PAGEREF _Toc221115385 \h </w:instrText>
        </w:r>
        <w:r w:rsidRPr="008E1321">
          <w:rPr>
            <w:rFonts w:ascii="Times New Roman" w:hAnsi="Times New Roman" w:cs="Times New Roman"/>
            <w:noProof/>
            <w:webHidden/>
          </w:rPr>
        </w:r>
        <w:r w:rsidRPr="008E1321">
          <w:rPr>
            <w:rFonts w:ascii="Times New Roman" w:hAnsi="Times New Roman" w:cs="Times New Roman"/>
            <w:noProof/>
            <w:webHidden/>
          </w:rPr>
          <w:fldChar w:fldCharType="separate"/>
        </w:r>
        <w:r w:rsidR="00F70A97">
          <w:rPr>
            <w:rFonts w:ascii="Times New Roman" w:hAnsi="Times New Roman" w:cs="Times New Roman"/>
            <w:noProof/>
            <w:webHidden/>
          </w:rPr>
          <w:t>274</w:t>
        </w:r>
        <w:r w:rsidRPr="008E1321">
          <w:rPr>
            <w:rFonts w:ascii="Times New Roman" w:hAnsi="Times New Roman" w:cs="Times New Roman"/>
            <w:noProof/>
            <w:webHidden/>
          </w:rPr>
          <w:fldChar w:fldCharType="end"/>
        </w:r>
      </w:hyperlink>
    </w:p>
    <w:p w14:paraId="454F6599" w14:textId="15A82B9F" w:rsidR="00931797" w:rsidRPr="008E1321" w:rsidRDefault="00931797">
      <w:pPr>
        <w:pStyle w:val="TOC4"/>
        <w:tabs>
          <w:tab w:val="right" w:leader="underscore" w:pos="9350"/>
        </w:tabs>
        <w:rPr>
          <w:rFonts w:ascii="Times New Roman" w:eastAsiaTheme="minorEastAsia" w:hAnsi="Times New Roman" w:cs="Times New Roman"/>
          <w:noProof/>
          <w:sz w:val="24"/>
          <w:szCs w:val="21"/>
          <w:lang w:eastAsia="en-IN"/>
        </w:rPr>
      </w:pPr>
      <w:hyperlink w:anchor="_Toc221115386" w:history="1">
        <w:r w:rsidRPr="008E1321">
          <w:rPr>
            <w:rStyle w:val="Hyperlink"/>
            <w:rFonts w:ascii="Times New Roman" w:hAnsi="Times New Roman" w:cs="Times New Roman"/>
            <w:noProof/>
          </w:rPr>
          <w:t>Table 3: Loan repayments and receipts of States</w:t>
        </w:r>
        <w:r w:rsidRPr="008E1321">
          <w:rPr>
            <w:rFonts w:ascii="Times New Roman" w:hAnsi="Times New Roman" w:cs="Times New Roman"/>
            <w:noProof/>
            <w:webHidden/>
          </w:rPr>
          <w:tab/>
        </w:r>
        <w:r w:rsidRPr="008E1321">
          <w:rPr>
            <w:rFonts w:ascii="Times New Roman" w:hAnsi="Times New Roman" w:cs="Times New Roman"/>
            <w:noProof/>
            <w:webHidden/>
          </w:rPr>
          <w:fldChar w:fldCharType="begin"/>
        </w:r>
        <w:r w:rsidRPr="008E1321">
          <w:rPr>
            <w:rFonts w:ascii="Times New Roman" w:hAnsi="Times New Roman" w:cs="Times New Roman"/>
            <w:noProof/>
            <w:webHidden/>
          </w:rPr>
          <w:instrText xml:space="preserve"> PAGEREF _Toc221115386 \h </w:instrText>
        </w:r>
        <w:r w:rsidRPr="008E1321">
          <w:rPr>
            <w:rFonts w:ascii="Times New Roman" w:hAnsi="Times New Roman" w:cs="Times New Roman"/>
            <w:noProof/>
            <w:webHidden/>
          </w:rPr>
        </w:r>
        <w:r w:rsidRPr="008E1321">
          <w:rPr>
            <w:rFonts w:ascii="Times New Roman" w:hAnsi="Times New Roman" w:cs="Times New Roman"/>
            <w:noProof/>
            <w:webHidden/>
          </w:rPr>
          <w:fldChar w:fldCharType="separate"/>
        </w:r>
        <w:r w:rsidR="00F70A97">
          <w:rPr>
            <w:rFonts w:ascii="Times New Roman" w:hAnsi="Times New Roman" w:cs="Times New Roman"/>
            <w:noProof/>
            <w:webHidden/>
          </w:rPr>
          <w:t>275</w:t>
        </w:r>
        <w:r w:rsidRPr="008E1321">
          <w:rPr>
            <w:rFonts w:ascii="Times New Roman" w:hAnsi="Times New Roman" w:cs="Times New Roman"/>
            <w:noProof/>
            <w:webHidden/>
          </w:rPr>
          <w:fldChar w:fldCharType="end"/>
        </w:r>
      </w:hyperlink>
    </w:p>
    <w:p w14:paraId="11F978B9" w14:textId="22F9AF24" w:rsidR="00931797" w:rsidRPr="008E1321" w:rsidRDefault="00931797">
      <w:pPr>
        <w:pStyle w:val="TOC4"/>
        <w:tabs>
          <w:tab w:val="right" w:leader="underscore" w:pos="9350"/>
        </w:tabs>
        <w:rPr>
          <w:rFonts w:ascii="Times New Roman" w:eastAsiaTheme="minorEastAsia" w:hAnsi="Times New Roman" w:cs="Times New Roman"/>
          <w:noProof/>
          <w:sz w:val="24"/>
          <w:szCs w:val="21"/>
          <w:lang w:eastAsia="en-IN"/>
        </w:rPr>
      </w:pPr>
      <w:hyperlink w:anchor="_Toc221115387" w:history="1">
        <w:r w:rsidRPr="008E1321">
          <w:rPr>
            <w:rStyle w:val="Hyperlink"/>
            <w:rFonts w:ascii="Times New Roman" w:hAnsi="Times New Roman" w:cs="Times New Roman"/>
            <w:noProof/>
          </w:rPr>
          <w:t>Table 4: Capital receipts and disbursements (Non-Plan) of State Governments during 1967-68</w:t>
        </w:r>
        <w:r w:rsidRPr="008E1321">
          <w:rPr>
            <w:rFonts w:ascii="Times New Roman" w:hAnsi="Times New Roman" w:cs="Times New Roman"/>
            <w:noProof/>
            <w:webHidden/>
          </w:rPr>
          <w:tab/>
        </w:r>
        <w:r w:rsidRPr="008E1321">
          <w:rPr>
            <w:rFonts w:ascii="Times New Roman" w:hAnsi="Times New Roman" w:cs="Times New Roman"/>
            <w:noProof/>
            <w:webHidden/>
          </w:rPr>
          <w:fldChar w:fldCharType="begin"/>
        </w:r>
        <w:r w:rsidRPr="008E1321">
          <w:rPr>
            <w:rFonts w:ascii="Times New Roman" w:hAnsi="Times New Roman" w:cs="Times New Roman"/>
            <w:noProof/>
            <w:webHidden/>
          </w:rPr>
          <w:instrText xml:space="preserve"> PAGEREF _Toc221115387 \h </w:instrText>
        </w:r>
        <w:r w:rsidRPr="008E1321">
          <w:rPr>
            <w:rFonts w:ascii="Times New Roman" w:hAnsi="Times New Roman" w:cs="Times New Roman"/>
            <w:noProof/>
            <w:webHidden/>
          </w:rPr>
        </w:r>
        <w:r w:rsidRPr="008E1321">
          <w:rPr>
            <w:rFonts w:ascii="Times New Roman" w:hAnsi="Times New Roman" w:cs="Times New Roman"/>
            <w:noProof/>
            <w:webHidden/>
          </w:rPr>
          <w:fldChar w:fldCharType="separate"/>
        </w:r>
        <w:r w:rsidR="00F70A97">
          <w:rPr>
            <w:rFonts w:ascii="Times New Roman" w:hAnsi="Times New Roman" w:cs="Times New Roman"/>
            <w:noProof/>
            <w:webHidden/>
          </w:rPr>
          <w:t>276</w:t>
        </w:r>
        <w:r w:rsidRPr="008E1321">
          <w:rPr>
            <w:rFonts w:ascii="Times New Roman" w:hAnsi="Times New Roman" w:cs="Times New Roman"/>
            <w:noProof/>
            <w:webHidden/>
          </w:rPr>
          <w:fldChar w:fldCharType="end"/>
        </w:r>
      </w:hyperlink>
    </w:p>
    <w:p w14:paraId="2A991864" w14:textId="022282FB" w:rsidR="00931797" w:rsidRPr="008E1321" w:rsidRDefault="00931797">
      <w:pPr>
        <w:pStyle w:val="TOC4"/>
        <w:tabs>
          <w:tab w:val="right" w:leader="underscore" w:pos="9350"/>
        </w:tabs>
        <w:rPr>
          <w:rFonts w:ascii="Times New Roman" w:eastAsiaTheme="minorEastAsia" w:hAnsi="Times New Roman" w:cs="Times New Roman"/>
          <w:noProof/>
          <w:sz w:val="24"/>
          <w:szCs w:val="21"/>
          <w:lang w:eastAsia="en-IN"/>
        </w:rPr>
      </w:pPr>
      <w:hyperlink w:anchor="_Toc221115388" w:history="1">
        <w:r w:rsidRPr="008E1321">
          <w:rPr>
            <w:rStyle w:val="Hyperlink"/>
            <w:rFonts w:ascii="Times New Roman" w:hAnsi="Times New Roman" w:cs="Times New Roman"/>
            <w:noProof/>
          </w:rPr>
          <w:t>Table 5: Monthly collections of Income-tax 1966-67 and 1967-68</w:t>
        </w:r>
        <w:r w:rsidRPr="008E1321">
          <w:rPr>
            <w:rFonts w:ascii="Times New Roman" w:hAnsi="Times New Roman" w:cs="Times New Roman"/>
            <w:noProof/>
            <w:webHidden/>
          </w:rPr>
          <w:tab/>
        </w:r>
        <w:r w:rsidRPr="008E1321">
          <w:rPr>
            <w:rFonts w:ascii="Times New Roman" w:hAnsi="Times New Roman" w:cs="Times New Roman"/>
            <w:noProof/>
            <w:webHidden/>
          </w:rPr>
          <w:fldChar w:fldCharType="begin"/>
        </w:r>
        <w:r w:rsidRPr="008E1321">
          <w:rPr>
            <w:rFonts w:ascii="Times New Roman" w:hAnsi="Times New Roman" w:cs="Times New Roman"/>
            <w:noProof/>
            <w:webHidden/>
          </w:rPr>
          <w:instrText xml:space="preserve"> PAGEREF _Toc221115388 \h </w:instrText>
        </w:r>
        <w:r w:rsidRPr="008E1321">
          <w:rPr>
            <w:rFonts w:ascii="Times New Roman" w:hAnsi="Times New Roman" w:cs="Times New Roman"/>
            <w:noProof/>
            <w:webHidden/>
          </w:rPr>
        </w:r>
        <w:r w:rsidRPr="008E1321">
          <w:rPr>
            <w:rFonts w:ascii="Times New Roman" w:hAnsi="Times New Roman" w:cs="Times New Roman"/>
            <w:noProof/>
            <w:webHidden/>
          </w:rPr>
          <w:fldChar w:fldCharType="separate"/>
        </w:r>
        <w:r w:rsidR="00F70A97">
          <w:rPr>
            <w:rFonts w:ascii="Times New Roman" w:hAnsi="Times New Roman" w:cs="Times New Roman"/>
            <w:noProof/>
            <w:webHidden/>
          </w:rPr>
          <w:t>277</w:t>
        </w:r>
        <w:r w:rsidRPr="008E1321">
          <w:rPr>
            <w:rFonts w:ascii="Times New Roman" w:hAnsi="Times New Roman" w:cs="Times New Roman"/>
            <w:noProof/>
            <w:webHidden/>
          </w:rPr>
          <w:fldChar w:fldCharType="end"/>
        </w:r>
      </w:hyperlink>
    </w:p>
    <w:p w14:paraId="4E497D3C" w14:textId="17D298EB" w:rsidR="00931797" w:rsidRPr="008E1321" w:rsidRDefault="00931797">
      <w:pPr>
        <w:pStyle w:val="TOC4"/>
        <w:tabs>
          <w:tab w:val="right" w:leader="underscore" w:pos="9350"/>
        </w:tabs>
        <w:rPr>
          <w:rFonts w:ascii="Times New Roman" w:eastAsiaTheme="minorEastAsia" w:hAnsi="Times New Roman" w:cs="Times New Roman"/>
          <w:noProof/>
          <w:sz w:val="24"/>
          <w:szCs w:val="21"/>
          <w:lang w:eastAsia="en-IN"/>
        </w:rPr>
      </w:pPr>
      <w:hyperlink w:anchor="_Toc221115389" w:history="1">
        <w:r w:rsidRPr="008E1321">
          <w:rPr>
            <w:rStyle w:val="Hyperlink"/>
            <w:rFonts w:ascii="Times New Roman" w:hAnsi="Times New Roman" w:cs="Times New Roman"/>
            <w:noProof/>
          </w:rPr>
          <w:t>Table 6: Monthly repayment of Central Government loans 1967-68</w:t>
        </w:r>
        <w:r w:rsidRPr="008E1321">
          <w:rPr>
            <w:rFonts w:ascii="Times New Roman" w:hAnsi="Times New Roman" w:cs="Times New Roman"/>
            <w:noProof/>
            <w:webHidden/>
          </w:rPr>
          <w:tab/>
        </w:r>
        <w:r w:rsidRPr="008E1321">
          <w:rPr>
            <w:rFonts w:ascii="Times New Roman" w:hAnsi="Times New Roman" w:cs="Times New Roman"/>
            <w:noProof/>
            <w:webHidden/>
          </w:rPr>
          <w:fldChar w:fldCharType="begin"/>
        </w:r>
        <w:r w:rsidRPr="008E1321">
          <w:rPr>
            <w:rFonts w:ascii="Times New Roman" w:hAnsi="Times New Roman" w:cs="Times New Roman"/>
            <w:noProof/>
            <w:webHidden/>
          </w:rPr>
          <w:instrText xml:space="preserve"> PAGEREF _Toc221115389 \h </w:instrText>
        </w:r>
        <w:r w:rsidRPr="008E1321">
          <w:rPr>
            <w:rFonts w:ascii="Times New Roman" w:hAnsi="Times New Roman" w:cs="Times New Roman"/>
            <w:noProof/>
            <w:webHidden/>
          </w:rPr>
        </w:r>
        <w:r w:rsidRPr="008E1321">
          <w:rPr>
            <w:rFonts w:ascii="Times New Roman" w:hAnsi="Times New Roman" w:cs="Times New Roman"/>
            <w:noProof/>
            <w:webHidden/>
          </w:rPr>
          <w:fldChar w:fldCharType="separate"/>
        </w:r>
        <w:r w:rsidR="00F70A97">
          <w:rPr>
            <w:rFonts w:ascii="Times New Roman" w:hAnsi="Times New Roman" w:cs="Times New Roman"/>
            <w:noProof/>
            <w:webHidden/>
          </w:rPr>
          <w:t>278</w:t>
        </w:r>
        <w:r w:rsidRPr="008E1321">
          <w:rPr>
            <w:rFonts w:ascii="Times New Roman" w:hAnsi="Times New Roman" w:cs="Times New Roman"/>
            <w:noProof/>
            <w:webHidden/>
          </w:rPr>
          <w:fldChar w:fldCharType="end"/>
        </w:r>
      </w:hyperlink>
    </w:p>
    <w:p w14:paraId="74563685" w14:textId="3140FBBB" w:rsidR="00931797" w:rsidRPr="008E1321" w:rsidRDefault="00931797">
      <w:pPr>
        <w:pStyle w:val="TOC4"/>
        <w:tabs>
          <w:tab w:val="right" w:leader="underscore" w:pos="9350"/>
        </w:tabs>
        <w:rPr>
          <w:rFonts w:ascii="Times New Roman" w:eastAsiaTheme="minorEastAsia" w:hAnsi="Times New Roman" w:cs="Times New Roman"/>
          <w:noProof/>
          <w:sz w:val="24"/>
          <w:szCs w:val="21"/>
          <w:lang w:eastAsia="en-IN"/>
        </w:rPr>
      </w:pPr>
      <w:hyperlink w:anchor="_Toc221115390" w:history="1">
        <w:r w:rsidRPr="008E1321">
          <w:rPr>
            <w:rStyle w:val="Hyperlink"/>
            <w:rFonts w:ascii="Times New Roman" w:hAnsi="Times New Roman" w:cs="Times New Roman"/>
            <w:noProof/>
          </w:rPr>
          <w:t>Table 7: Budgetary position of the State Governments</w:t>
        </w:r>
        <w:r w:rsidRPr="008E1321">
          <w:rPr>
            <w:rFonts w:ascii="Times New Roman" w:hAnsi="Times New Roman" w:cs="Times New Roman"/>
            <w:noProof/>
            <w:webHidden/>
          </w:rPr>
          <w:tab/>
        </w:r>
        <w:r w:rsidRPr="008E1321">
          <w:rPr>
            <w:rFonts w:ascii="Times New Roman" w:hAnsi="Times New Roman" w:cs="Times New Roman"/>
            <w:noProof/>
            <w:webHidden/>
          </w:rPr>
          <w:fldChar w:fldCharType="begin"/>
        </w:r>
        <w:r w:rsidRPr="008E1321">
          <w:rPr>
            <w:rFonts w:ascii="Times New Roman" w:hAnsi="Times New Roman" w:cs="Times New Roman"/>
            <w:noProof/>
            <w:webHidden/>
          </w:rPr>
          <w:instrText xml:space="preserve"> PAGEREF _Toc221115390 \h </w:instrText>
        </w:r>
        <w:r w:rsidRPr="008E1321">
          <w:rPr>
            <w:rFonts w:ascii="Times New Roman" w:hAnsi="Times New Roman" w:cs="Times New Roman"/>
            <w:noProof/>
            <w:webHidden/>
          </w:rPr>
        </w:r>
        <w:r w:rsidRPr="008E1321">
          <w:rPr>
            <w:rFonts w:ascii="Times New Roman" w:hAnsi="Times New Roman" w:cs="Times New Roman"/>
            <w:noProof/>
            <w:webHidden/>
          </w:rPr>
          <w:fldChar w:fldCharType="separate"/>
        </w:r>
        <w:r w:rsidR="00F70A97">
          <w:rPr>
            <w:rFonts w:ascii="Times New Roman" w:hAnsi="Times New Roman" w:cs="Times New Roman"/>
            <w:noProof/>
            <w:webHidden/>
          </w:rPr>
          <w:t>279</w:t>
        </w:r>
        <w:r w:rsidRPr="008E1321">
          <w:rPr>
            <w:rFonts w:ascii="Times New Roman" w:hAnsi="Times New Roman" w:cs="Times New Roman"/>
            <w:noProof/>
            <w:webHidden/>
          </w:rPr>
          <w:fldChar w:fldCharType="end"/>
        </w:r>
      </w:hyperlink>
    </w:p>
    <w:p w14:paraId="2A767059" w14:textId="6FE4B007" w:rsidR="00931797" w:rsidRPr="008E1321" w:rsidRDefault="00931797">
      <w:pPr>
        <w:pStyle w:val="TOC2"/>
        <w:tabs>
          <w:tab w:val="right" w:leader="underscore" w:pos="9350"/>
        </w:tabs>
        <w:rPr>
          <w:rFonts w:ascii="Times New Roman" w:eastAsiaTheme="minorEastAsia" w:hAnsi="Times New Roman" w:cs="Times New Roman"/>
          <w:b w:val="0"/>
          <w:bCs w:val="0"/>
          <w:noProof/>
          <w:sz w:val="24"/>
          <w:szCs w:val="21"/>
          <w:lang w:eastAsia="en-IN"/>
        </w:rPr>
      </w:pPr>
      <w:hyperlink w:anchor="_Toc221115391" w:history="1">
        <w:r w:rsidRPr="008E1321">
          <w:rPr>
            <w:rStyle w:val="Hyperlink"/>
            <w:rFonts w:ascii="Times New Roman" w:hAnsi="Times New Roman" w:cs="Times New Roman"/>
            <w:noProof/>
          </w:rPr>
          <w:t>APPENDIX IV  TRANSFER OF FUNDS TO THE STATES BY WAY OF SHARE OF TAXES AND DUTIES AND GRANTS UNDER ARTICLE 275</w:t>
        </w:r>
        <w:r w:rsidRPr="008E1321">
          <w:rPr>
            <w:rFonts w:ascii="Times New Roman" w:hAnsi="Times New Roman" w:cs="Times New Roman"/>
            <w:noProof/>
            <w:webHidden/>
          </w:rPr>
          <w:tab/>
        </w:r>
        <w:r w:rsidRPr="008E1321">
          <w:rPr>
            <w:rFonts w:ascii="Times New Roman" w:hAnsi="Times New Roman" w:cs="Times New Roman"/>
            <w:noProof/>
            <w:webHidden/>
          </w:rPr>
          <w:fldChar w:fldCharType="begin"/>
        </w:r>
        <w:r w:rsidRPr="008E1321">
          <w:rPr>
            <w:rFonts w:ascii="Times New Roman" w:hAnsi="Times New Roman" w:cs="Times New Roman"/>
            <w:noProof/>
            <w:webHidden/>
          </w:rPr>
          <w:instrText xml:space="preserve"> PAGEREF _Toc221115391 \h </w:instrText>
        </w:r>
        <w:r w:rsidRPr="008E1321">
          <w:rPr>
            <w:rFonts w:ascii="Times New Roman" w:hAnsi="Times New Roman" w:cs="Times New Roman"/>
            <w:noProof/>
            <w:webHidden/>
          </w:rPr>
        </w:r>
        <w:r w:rsidRPr="008E1321">
          <w:rPr>
            <w:rFonts w:ascii="Times New Roman" w:hAnsi="Times New Roman" w:cs="Times New Roman"/>
            <w:noProof/>
            <w:webHidden/>
          </w:rPr>
          <w:fldChar w:fldCharType="separate"/>
        </w:r>
        <w:r w:rsidR="00F70A97">
          <w:rPr>
            <w:rFonts w:ascii="Times New Roman" w:hAnsi="Times New Roman" w:cs="Times New Roman"/>
            <w:noProof/>
            <w:webHidden/>
          </w:rPr>
          <w:t>282</w:t>
        </w:r>
        <w:r w:rsidRPr="008E1321">
          <w:rPr>
            <w:rFonts w:ascii="Times New Roman" w:hAnsi="Times New Roman" w:cs="Times New Roman"/>
            <w:noProof/>
            <w:webHidden/>
          </w:rPr>
          <w:fldChar w:fldCharType="end"/>
        </w:r>
      </w:hyperlink>
    </w:p>
    <w:p w14:paraId="5B1796A3" w14:textId="1CC0CCB1" w:rsidR="007245B0" w:rsidRPr="00CA4C73" w:rsidRDefault="0060494F" w:rsidP="00D62D61">
      <w:pPr>
        <w:rPr>
          <w:rFonts w:ascii="Times New Roman" w:hAnsi="Times New Roman" w:cs="Times New Roman"/>
          <w:b/>
          <w:bCs/>
        </w:rPr>
      </w:pPr>
      <w:r w:rsidRPr="008E1321">
        <w:rPr>
          <w:rFonts w:ascii="Times New Roman" w:hAnsi="Times New Roman" w:cs="Times New Roman"/>
          <w:szCs w:val="20"/>
        </w:rPr>
        <w:fldChar w:fldCharType="end"/>
      </w:r>
      <w:r w:rsidR="005958F4" w:rsidRPr="00CA4C73">
        <w:rPr>
          <w:rFonts w:ascii="Times New Roman" w:hAnsi="Times New Roman" w:cs="Times New Roman"/>
          <w:b/>
          <w:bCs/>
        </w:rPr>
        <w:br w:type="page"/>
      </w:r>
    </w:p>
    <w:p w14:paraId="3AAE8FB6" w14:textId="77777777" w:rsidR="007245B0" w:rsidRPr="007245B0" w:rsidRDefault="007245B0" w:rsidP="000F1AA2">
      <w:pPr>
        <w:rPr>
          <w:rFonts w:ascii="Times New Roman" w:hAnsi="Times New Roman" w:cs="Times New Roman"/>
        </w:rPr>
        <w:sectPr w:rsidR="007245B0" w:rsidRPr="007245B0" w:rsidSect="007245B0">
          <w:pgSz w:w="12240" w:h="15840"/>
          <w:pgMar w:top="1440" w:right="1440" w:bottom="1440" w:left="1440" w:header="720" w:footer="720" w:gutter="0"/>
          <w:pgNumType w:fmt="lowerRoman"/>
          <w:cols w:space="720"/>
        </w:sectPr>
      </w:pPr>
    </w:p>
    <w:p w14:paraId="42591487" w14:textId="46A80331" w:rsidR="000F1AA2" w:rsidRPr="00104FBF" w:rsidRDefault="00104FBF" w:rsidP="007C11A0">
      <w:pPr>
        <w:pStyle w:val="Heading1"/>
      </w:pPr>
      <w:r>
        <w:lastRenderedPageBreak/>
        <w:br/>
      </w:r>
      <w:bookmarkStart w:id="1" w:name="_Toc220949665"/>
      <w:bookmarkStart w:id="2" w:name="_Toc221115288"/>
      <w:r w:rsidR="000F1AA2" w:rsidRPr="00104FBF">
        <w:t>INTRODUCTORY</w:t>
      </w:r>
      <w:bookmarkEnd w:id="1"/>
      <w:bookmarkEnd w:id="2"/>
    </w:p>
    <w:p w14:paraId="6C340FB5" w14:textId="38C66CC7" w:rsidR="002F452D" w:rsidRPr="00E36A86" w:rsidRDefault="002F452D" w:rsidP="002B62E9">
      <w:pPr>
        <w:spacing w:line="300" w:lineRule="exact"/>
        <w:ind w:left="360"/>
        <w:jc w:val="both"/>
        <w:rPr>
          <w:rFonts w:ascii="Times New Roman" w:hAnsi="Times New Roman" w:cs="Times New Roman"/>
          <w:sz w:val="28"/>
          <w:szCs w:val="22"/>
        </w:rPr>
      </w:pPr>
      <w:r w:rsidRPr="00E36A86">
        <w:rPr>
          <w:rFonts w:ascii="Times New Roman" w:hAnsi="Times New Roman" w:cs="Times New Roman"/>
          <w:sz w:val="28"/>
          <w:szCs w:val="22"/>
        </w:rPr>
        <w:t>This Finance Commission, the fifth Commission to be set up under Article 280 of the Constitution, was constituted by an Order of the President dated the 29th February,1968, which is reproduced below: —</w:t>
      </w:r>
    </w:p>
    <w:p w14:paraId="244B779C" w14:textId="70D3463C" w:rsidR="002F452D" w:rsidRPr="00E36A86" w:rsidRDefault="002F452D" w:rsidP="002B62E9">
      <w:pPr>
        <w:spacing w:line="300" w:lineRule="exact"/>
        <w:ind w:left="360"/>
        <w:jc w:val="both"/>
        <w:rPr>
          <w:rFonts w:ascii="Times New Roman" w:hAnsi="Times New Roman" w:cs="Times New Roman"/>
          <w:sz w:val="28"/>
          <w:szCs w:val="22"/>
        </w:rPr>
      </w:pPr>
      <w:r w:rsidRPr="00E36A86">
        <w:rPr>
          <w:rFonts w:ascii="Times New Roman" w:hAnsi="Times New Roman" w:cs="Times New Roman"/>
          <w:sz w:val="28"/>
          <w:szCs w:val="22"/>
        </w:rPr>
        <w:t>"In pursuance of the provisions of article 280 of the Constitution of India and of the Finance Commission (Miscellaneous Provisions) Act, 1951 (33 of 1951), the President is pleased to constitute with effect from the 15th March,1968, a Finance Commission consisting of Shri MahavirTyagi, former Union Minister of Rehabilitation, as the</w:t>
      </w:r>
      <w:r w:rsidR="007245B0" w:rsidRPr="00E36A86">
        <w:rPr>
          <w:rFonts w:ascii="Times New Roman" w:hAnsi="Times New Roman" w:cs="Times New Roman"/>
          <w:sz w:val="28"/>
          <w:szCs w:val="22"/>
        </w:rPr>
        <w:t xml:space="preserve"> </w:t>
      </w:r>
      <w:r w:rsidRPr="00E36A86">
        <w:rPr>
          <w:rFonts w:ascii="Times New Roman" w:hAnsi="Times New Roman" w:cs="Times New Roman"/>
          <w:sz w:val="28"/>
          <w:szCs w:val="22"/>
        </w:rPr>
        <w:t>Chairman and the following four other members, namely:</w:t>
      </w:r>
    </w:p>
    <w:p w14:paraId="7E386207" w14:textId="399AABAB" w:rsidR="002F452D" w:rsidRPr="00E36A86" w:rsidRDefault="00C93EBA" w:rsidP="002B62E9">
      <w:pPr>
        <w:pStyle w:val="ListParagraph"/>
        <w:numPr>
          <w:ilvl w:val="1"/>
          <w:numId w:val="4"/>
        </w:numPr>
        <w:spacing w:line="300" w:lineRule="exact"/>
        <w:jc w:val="both"/>
        <w:rPr>
          <w:rFonts w:ascii="Times New Roman" w:hAnsi="Times New Roman" w:cs="Times New Roman"/>
          <w:sz w:val="28"/>
          <w:szCs w:val="22"/>
        </w:rPr>
      </w:pPr>
      <w:r>
        <w:rPr>
          <w:rStyle w:val="FootnoteReference"/>
          <w:rFonts w:ascii="Times New Roman" w:hAnsi="Times New Roman" w:cs="Times New Roman"/>
          <w:sz w:val="28"/>
          <w:szCs w:val="22"/>
        </w:rPr>
        <w:footnoteReference w:id="1"/>
      </w:r>
      <w:r w:rsidR="002F452D" w:rsidRPr="00E36A86">
        <w:rPr>
          <w:rFonts w:ascii="Times New Roman" w:hAnsi="Times New Roman" w:cs="Times New Roman"/>
          <w:sz w:val="28"/>
          <w:szCs w:val="22"/>
        </w:rPr>
        <w:t>Shri P. C. Bhattacharyya, former Governor, Reserve Bank of India.</w:t>
      </w:r>
    </w:p>
    <w:p w14:paraId="541595E3" w14:textId="507C1734" w:rsidR="002F452D" w:rsidRPr="00E36A86" w:rsidRDefault="002F452D" w:rsidP="002B62E9">
      <w:pPr>
        <w:pStyle w:val="ListParagraph"/>
        <w:numPr>
          <w:ilvl w:val="1"/>
          <w:numId w:val="4"/>
        </w:numPr>
        <w:spacing w:line="300" w:lineRule="exact"/>
        <w:jc w:val="both"/>
        <w:rPr>
          <w:rFonts w:ascii="Times New Roman" w:hAnsi="Times New Roman" w:cs="Times New Roman"/>
          <w:sz w:val="28"/>
          <w:szCs w:val="22"/>
        </w:rPr>
      </w:pPr>
      <w:r w:rsidRPr="00E36A86">
        <w:rPr>
          <w:rFonts w:ascii="Times New Roman" w:hAnsi="Times New Roman" w:cs="Times New Roman"/>
          <w:sz w:val="28"/>
          <w:szCs w:val="22"/>
        </w:rPr>
        <w:t>Shri M. Seshachalapathy, retired Judge, Andhra Pradesh High Court.</w:t>
      </w:r>
    </w:p>
    <w:p w14:paraId="5B23FC4E" w14:textId="2C04D56A" w:rsidR="002F452D" w:rsidRPr="00E36A86" w:rsidRDefault="002F452D" w:rsidP="002B62E9">
      <w:pPr>
        <w:pStyle w:val="ListParagraph"/>
        <w:numPr>
          <w:ilvl w:val="1"/>
          <w:numId w:val="4"/>
        </w:numPr>
        <w:spacing w:line="300" w:lineRule="exact"/>
        <w:jc w:val="both"/>
        <w:rPr>
          <w:rFonts w:ascii="Times New Roman" w:hAnsi="Times New Roman" w:cs="Times New Roman"/>
          <w:sz w:val="28"/>
          <w:szCs w:val="22"/>
        </w:rPr>
      </w:pPr>
      <w:r w:rsidRPr="00E36A86">
        <w:rPr>
          <w:rFonts w:ascii="Times New Roman" w:hAnsi="Times New Roman" w:cs="Times New Roman"/>
          <w:sz w:val="28"/>
          <w:szCs w:val="22"/>
        </w:rPr>
        <w:t>Dr. D. T. Lakdawala, Professor, Department of Economics, Bombay University.</w:t>
      </w:r>
    </w:p>
    <w:p w14:paraId="0E932A2F" w14:textId="2D70A5B7" w:rsidR="002F452D" w:rsidRPr="00E36A86" w:rsidRDefault="002F452D" w:rsidP="002B62E9">
      <w:pPr>
        <w:pStyle w:val="ListParagraph"/>
        <w:numPr>
          <w:ilvl w:val="1"/>
          <w:numId w:val="4"/>
        </w:numPr>
        <w:spacing w:line="300" w:lineRule="exact"/>
        <w:jc w:val="both"/>
        <w:rPr>
          <w:rFonts w:ascii="Times New Roman" w:hAnsi="Times New Roman" w:cs="Times New Roman"/>
          <w:sz w:val="28"/>
          <w:szCs w:val="22"/>
        </w:rPr>
      </w:pPr>
      <w:r w:rsidRPr="00E36A86">
        <w:rPr>
          <w:rFonts w:ascii="Times New Roman" w:hAnsi="Times New Roman" w:cs="Times New Roman"/>
          <w:sz w:val="28"/>
          <w:szCs w:val="22"/>
        </w:rPr>
        <w:t>Shri V. L. Gidwani, former Chief Secretary, Government of Gujarat, Member-Secretary.</w:t>
      </w:r>
    </w:p>
    <w:p w14:paraId="3EC60B7D" w14:textId="6092CDD0" w:rsidR="002F452D" w:rsidRPr="00E36A86" w:rsidRDefault="002F452D" w:rsidP="002B62E9">
      <w:pPr>
        <w:pStyle w:val="ListParagraph"/>
        <w:numPr>
          <w:ilvl w:val="0"/>
          <w:numId w:val="4"/>
        </w:numPr>
        <w:spacing w:line="300" w:lineRule="exact"/>
        <w:jc w:val="both"/>
        <w:rPr>
          <w:rFonts w:ascii="Times New Roman" w:hAnsi="Times New Roman" w:cs="Times New Roman"/>
          <w:sz w:val="28"/>
          <w:szCs w:val="22"/>
        </w:rPr>
      </w:pPr>
      <w:r w:rsidRPr="00E36A86">
        <w:rPr>
          <w:rFonts w:ascii="Times New Roman" w:hAnsi="Times New Roman" w:cs="Times New Roman"/>
          <w:sz w:val="28"/>
          <w:szCs w:val="22"/>
        </w:rPr>
        <w:t>The members of the Commission shall hold office until the31st day of July,1969.</w:t>
      </w:r>
    </w:p>
    <w:p w14:paraId="4EB3A003" w14:textId="5485940E" w:rsidR="002F452D" w:rsidRPr="00E36A86" w:rsidRDefault="002F452D" w:rsidP="002B62E9">
      <w:pPr>
        <w:numPr>
          <w:ilvl w:val="0"/>
          <w:numId w:val="4"/>
        </w:numPr>
        <w:spacing w:line="300" w:lineRule="exact"/>
        <w:jc w:val="both"/>
        <w:rPr>
          <w:rFonts w:ascii="Times New Roman" w:hAnsi="Times New Roman" w:cs="Times New Roman"/>
          <w:sz w:val="28"/>
          <w:szCs w:val="22"/>
        </w:rPr>
      </w:pPr>
      <w:r w:rsidRPr="00E36A86">
        <w:rPr>
          <w:rFonts w:ascii="Times New Roman" w:hAnsi="Times New Roman" w:cs="Times New Roman"/>
          <w:sz w:val="28"/>
          <w:szCs w:val="22"/>
        </w:rPr>
        <w:t>Shri Mahavir Tyagi shall render part-time service as Chairman of the Commission until such date as the Central Government may specify in this behalf and thereafter, he shall render whole-time service as Chairman of the Commission. Of the other members, Shri P. C. Bhattacharyya shall render part-time service as member of the Commission until such date as the Central Government may specify in this behalf and thereafter, he shall render whole-time service as member of the Commission. The other three members will render whole-time service.</w:t>
      </w:r>
    </w:p>
    <w:p w14:paraId="5C0E789E" w14:textId="11950CF1" w:rsidR="002F452D" w:rsidRPr="00E36A86" w:rsidRDefault="002F452D" w:rsidP="002B62E9">
      <w:pPr>
        <w:numPr>
          <w:ilvl w:val="0"/>
          <w:numId w:val="4"/>
        </w:numPr>
        <w:spacing w:line="300" w:lineRule="exact"/>
        <w:jc w:val="both"/>
        <w:rPr>
          <w:rFonts w:ascii="Times New Roman" w:hAnsi="Times New Roman" w:cs="Times New Roman"/>
          <w:sz w:val="28"/>
          <w:szCs w:val="22"/>
        </w:rPr>
      </w:pPr>
      <w:r w:rsidRPr="00E36A86">
        <w:rPr>
          <w:rFonts w:ascii="Times New Roman" w:hAnsi="Times New Roman" w:cs="Times New Roman"/>
          <w:sz w:val="28"/>
          <w:szCs w:val="22"/>
        </w:rPr>
        <w:t>The Commission shall make recommendations as to the following matters: —</w:t>
      </w:r>
    </w:p>
    <w:p w14:paraId="1CAF91F3" w14:textId="17150483" w:rsidR="002F452D" w:rsidRPr="00E36A86" w:rsidRDefault="002F452D" w:rsidP="002B62E9">
      <w:pPr>
        <w:pStyle w:val="ListParagraph"/>
        <w:numPr>
          <w:ilvl w:val="1"/>
          <w:numId w:val="4"/>
        </w:numPr>
        <w:spacing w:line="300" w:lineRule="exact"/>
        <w:jc w:val="both"/>
        <w:rPr>
          <w:rFonts w:ascii="Times New Roman" w:hAnsi="Times New Roman" w:cs="Times New Roman"/>
          <w:sz w:val="28"/>
          <w:szCs w:val="22"/>
        </w:rPr>
      </w:pPr>
      <w:r w:rsidRPr="00E36A86">
        <w:rPr>
          <w:rFonts w:ascii="Times New Roman" w:hAnsi="Times New Roman" w:cs="Times New Roman"/>
          <w:sz w:val="28"/>
          <w:szCs w:val="22"/>
        </w:rPr>
        <w:t>the distribution between the Union and the States of the net proceeds of taxes which are to be, or maybe, divided between them under Chapter 1 of Part XII of the Constitution and the allocation between States of the respective shares of such proceeds:</w:t>
      </w:r>
    </w:p>
    <w:p w14:paraId="402B9490" w14:textId="6C088FC8" w:rsidR="002F452D" w:rsidRPr="00E36A86" w:rsidRDefault="002F452D" w:rsidP="002B62E9">
      <w:pPr>
        <w:pStyle w:val="ListParagraph"/>
        <w:numPr>
          <w:ilvl w:val="1"/>
          <w:numId w:val="4"/>
        </w:numPr>
        <w:spacing w:line="300" w:lineRule="exact"/>
        <w:jc w:val="both"/>
        <w:rPr>
          <w:rFonts w:ascii="Times New Roman" w:hAnsi="Times New Roman" w:cs="Times New Roman"/>
          <w:sz w:val="28"/>
          <w:szCs w:val="28"/>
        </w:rPr>
      </w:pPr>
      <w:r w:rsidRPr="00E36A86">
        <w:rPr>
          <w:rFonts w:ascii="Times New Roman" w:hAnsi="Times New Roman" w:cs="Times New Roman"/>
          <w:sz w:val="28"/>
          <w:szCs w:val="22"/>
        </w:rPr>
        <w:t xml:space="preserve">the principles which should govern the grants-in-aid of the revenues of the States out of the Consolidated Fund of India and the sums to be paid to the States which are in need of assistance by way of grants-in-aid of </w:t>
      </w:r>
      <w:r w:rsidRPr="00E36A86">
        <w:rPr>
          <w:rFonts w:ascii="Times New Roman" w:hAnsi="Times New Roman" w:cs="Times New Roman"/>
          <w:sz w:val="28"/>
          <w:szCs w:val="28"/>
        </w:rPr>
        <w:t>their revenues under article 275 for purposes other than those specified in the provisos to clause (1) of that article and other than the requirements of the Five Year Plan, having regard, among other consider-</w:t>
      </w:r>
      <w:r w:rsidRPr="00E36A86">
        <w:rPr>
          <w:rFonts w:ascii="Times New Roman" w:hAnsi="Times New Roman" w:cs="Times New Roman"/>
          <w:sz w:val="28"/>
          <w:szCs w:val="28"/>
        </w:rPr>
        <w:br/>
        <w:t>actions, to—</w:t>
      </w:r>
    </w:p>
    <w:p w14:paraId="7CCBFF8D" w14:textId="77777777" w:rsidR="00C93EBA" w:rsidRDefault="00C93EBA" w:rsidP="00C93EBA">
      <w:pPr>
        <w:pStyle w:val="ListParagraph"/>
        <w:spacing w:line="300" w:lineRule="exact"/>
        <w:ind w:left="2520"/>
        <w:jc w:val="both"/>
        <w:rPr>
          <w:rFonts w:ascii="Times New Roman" w:hAnsi="Times New Roman" w:cs="Times New Roman"/>
          <w:sz w:val="28"/>
          <w:szCs w:val="28"/>
        </w:rPr>
      </w:pPr>
    </w:p>
    <w:p w14:paraId="62EF3E70" w14:textId="49848AC2" w:rsidR="002F452D" w:rsidRPr="00E36A86" w:rsidRDefault="002F452D" w:rsidP="00BE3CC5">
      <w:pPr>
        <w:pStyle w:val="ListParagraph"/>
        <w:numPr>
          <w:ilvl w:val="2"/>
          <w:numId w:val="56"/>
        </w:numPr>
        <w:spacing w:line="300" w:lineRule="exact"/>
        <w:jc w:val="both"/>
        <w:rPr>
          <w:rFonts w:ascii="Times New Roman" w:hAnsi="Times New Roman" w:cs="Times New Roman"/>
          <w:sz w:val="28"/>
          <w:szCs w:val="28"/>
        </w:rPr>
      </w:pPr>
      <w:r w:rsidRPr="00E36A86">
        <w:rPr>
          <w:rFonts w:ascii="Times New Roman" w:hAnsi="Times New Roman" w:cs="Times New Roman"/>
          <w:sz w:val="28"/>
          <w:szCs w:val="28"/>
        </w:rPr>
        <w:t>the revenue resources of those States for the five years ending with the financial year 1973-74 on the basis of the levels of taxation likely to be reach edit the end of the financial year 1968-69.</w:t>
      </w:r>
    </w:p>
    <w:p w14:paraId="0F3B3EA2" w14:textId="55F61E9B" w:rsidR="002F452D" w:rsidRPr="00E36A86" w:rsidRDefault="002F452D" w:rsidP="00BE3CC5">
      <w:pPr>
        <w:pStyle w:val="ListParagraph"/>
        <w:numPr>
          <w:ilvl w:val="2"/>
          <w:numId w:val="56"/>
        </w:numPr>
        <w:spacing w:line="300" w:lineRule="exact"/>
        <w:jc w:val="both"/>
        <w:rPr>
          <w:rFonts w:ascii="Times New Roman" w:hAnsi="Times New Roman" w:cs="Times New Roman"/>
          <w:sz w:val="28"/>
          <w:szCs w:val="28"/>
        </w:rPr>
      </w:pPr>
      <w:r w:rsidRPr="00E36A86">
        <w:rPr>
          <w:rFonts w:ascii="Times New Roman" w:hAnsi="Times New Roman" w:cs="Times New Roman"/>
          <w:sz w:val="28"/>
          <w:szCs w:val="28"/>
        </w:rPr>
        <w:t>the requirements on revenue account of those States to meet the expenditure on administration, interest charges in respect of their debt, main-</w:t>
      </w:r>
      <w:r w:rsidR="003A4C59" w:rsidRPr="00E36A86">
        <w:rPr>
          <w:rFonts w:ascii="Times New Roman" w:hAnsi="Times New Roman" w:cs="Times New Roman"/>
          <w:sz w:val="28"/>
          <w:szCs w:val="28"/>
        </w:rPr>
        <w:t>tenancy</w:t>
      </w:r>
      <w:r w:rsidRPr="00E36A86">
        <w:rPr>
          <w:rFonts w:ascii="Times New Roman" w:hAnsi="Times New Roman" w:cs="Times New Roman"/>
          <w:sz w:val="28"/>
          <w:szCs w:val="28"/>
        </w:rPr>
        <w:t xml:space="preserve"> and upkeep of Plan schemes completed by the end of 1968-69, transfer of funds to local bodies and aided institutions and other committed expenditure.</w:t>
      </w:r>
    </w:p>
    <w:p w14:paraId="6EDE8E90" w14:textId="6E9A4765" w:rsidR="002F452D" w:rsidRPr="00E36A86" w:rsidRDefault="002F452D" w:rsidP="00BE3CC5">
      <w:pPr>
        <w:pStyle w:val="ListParagraph"/>
        <w:numPr>
          <w:ilvl w:val="2"/>
          <w:numId w:val="56"/>
        </w:numPr>
        <w:spacing w:line="300" w:lineRule="exact"/>
        <w:jc w:val="both"/>
        <w:rPr>
          <w:rFonts w:ascii="Times New Roman" w:hAnsi="Times New Roman" w:cs="Times New Roman"/>
          <w:sz w:val="28"/>
          <w:szCs w:val="28"/>
        </w:rPr>
      </w:pPr>
      <w:r w:rsidRPr="00E36A86">
        <w:rPr>
          <w:rFonts w:ascii="Times New Roman" w:hAnsi="Times New Roman" w:cs="Times New Roman"/>
          <w:sz w:val="28"/>
          <w:szCs w:val="28"/>
        </w:rPr>
        <w:t>the scope for better fiscal management as also for economy consistent with efficiency which may be affected by the States in their administrative, maintenance, developmental and other expenditure.</w:t>
      </w:r>
    </w:p>
    <w:p w14:paraId="6B100F9D" w14:textId="6844E73B" w:rsidR="002F452D" w:rsidRPr="00E36A86" w:rsidRDefault="002F452D" w:rsidP="002B62E9">
      <w:pPr>
        <w:pStyle w:val="ListParagraph"/>
        <w:numPr>
          <w:ilvl w:val="1"/>
          <w:numId w:val="4"/>
        </w:numPr>
        <w:spacing w:line="300" w:lineRule="exact"/>
        <w:jc w:val="both"/>
        <w:rPr>
          <w:rFonts w:ascii="Times New Roman" w:hAnsi="Times New Roman" w:cs="Times New Roman"/>
          <w:sz w:val="28"/>
          <w:szCs w:val="28"/>
        </w:rPr>
      </w:pPr>
      <w:r w:rsidRPr="00E36A86">
        <w:rPr>
          <w:rFonts w:ascii="Times New Roman" w:hAnsi="Times New Roman" w:cs="Times New Roman"/>
          <w:sz w:val="28"/>
          <w:szCs w:val="28"/>
        </w:rPr>
        <w:t>the changes, if any, to be made in the principles gov-earning the distribution amongst the States of the grant to be made available to the States in lieu of the re-pealed tax on railway passenger fares.</w:t>
      </w:r>
    </w:p>
    <w:p w14:paraId="6233EA0D" w14:textId="1FB062A9" w:rsidR="002F452D" w:rsidRPr="00E36A86" w:rsidRDefault="002F452D" w:rsidP="002B62E9">
      <w:pPr>
        <w:pStyle w:val="ListParagraph"/>
        <w:numPr>
          <w:ilvl w:val="1"/>
          <w:numId w:val="4"/>
        </w:numPr>
        <w:spacing w:line="300" w:lineRule="exact"/>
        <w:jc w:val="both"/>
        <w:rPr>
          <w:rFonts w:ascii="Times New Roman" w:hAnsi="Times New Roman" w:cs="Times New Roman"/>
          <w:sz w:val="28"/>
          <w:szCs w:val="28"/>
        </w:rPr>
      </w:pPr>
      <w:r w:rsidRPr="00E36A86">
        <w:rPr>
          <w:rFonts w:ascii="Times New Roman" w:hAnsi="Times New Roman" w:cs="Times New Roman"/>
          <w:sz w:val="28"/>
          <w:szCs w:val="28"/>
        </w:rPr>
        <w:t>the changes, if any, to be made in the principles governing the distribution amongst the States under article 269 of the net proceeds in any financial year of estate duty in respect of property other than agricultural land;</w:t>
      </w:r>
    </w:p>
    <w:p w14:paraId="7CA6E3D7" w14:textId="715C1FFB" w:rsidR="002F452D" w:rsidRPr="00E36A86" w:rsidRDefault="002F452D" w:rsidP="002B62E9">
      <w:pPr>
        <w:pStyle w:val="ListParagraph"/>
        <w:numPr>
          <w:ilvl w:val="1"/>
          <w:numId w:val="4"/>
        </w:numPr>
        <w:spacing w:line="300" w:lineRule="exact"/>
        <w:jc w:val="both"/>
        <w:rPr>
          <w:rFonts w:ascii="Times New Roman" w:hAnsi="Times New Roman" w:cs="Times New Roman"/>
          <w:sz w:val="28"/>
          <w:szCs w:val="28"/>
        </w:rPr>
      </w:pPr>
      <w:r w:rsidRPr="00E36A86">
        <w:rPr>
          <w:rFonts w:ascii="Times New Roman" w:hAnsi="Times New Roman" w:cs="Times New Roman"/>
          <w:sz w:val="28"/>
          <w:szCs w:val="28"/>
        </w:rPr>
        <w:t xml:space="preserve">the desirability or otherwise of maintaining the existing arrangements under the Additional Duties </w:t>
      </w:r>
      <w:r w:rsidR="003A4C59" w:rsidRPr="00E36A86">
        <w:rPr>
          <w:rFonts w:ascii="Times New Roman" w:hAnsi="Times New Roman" w:cs="Times New Roman"/>
          <w:sz w:val="28"/>
          <w:szCs w:val="28"/>
        </w:rPr>
        <w:t>of Excise</w:t>
      </w:r>
      <w:r w:rsidRPr="00E36A86">
        <w:rPr>
          <w:rFonts w:ascii="Times New Roman" w:hAnsi="Times New Roman" w:cs="Times New Roman"/>
          <w:sz w:val="28"/>
          <w:szCs w:val="28"/>
        </w:rPr>
        <w:t xml:space="preserve"> (Goods of Special Importance) Act, 1957, </w:t>
      </w:r>
      <w:r w:rsidR="003A4C59" w:rsidRPr="00E36A86">
        <w:rPr>
          <w:rFonts w:ascii="Times New Roman" w:hAnsi="Times New Roman" w:cs="Times New Roman"/>
          <w:sz w:val="28"/>
          <w:szCs w:val="28"/>
        </w:rPr>
        <w:t>in regard</w:t>
      </w:r>
      <w:r w:rsidRPr="00E36A86">
        <w:rPr>
          <w:rFonts w:ascii="Times New Roman" w:hAnsi="Times New Roman" w:cs="Times New Roman"/>
          <w:sz w:val="28"/>
          <w:szCs w:val="28"/>
        </w:rPr>
        <w:t xml:space="preserve"> to the levy of additional duties of excise </w:t>
      </w:r>
      <w:r w:rsidR="003A4C59" w:rsidRPr="00E36A86">
        <w:rPr>
          <w:rFonts w:ascii="Times New Roman" w:hAnsi="Times New Roman" w:cs="Times New Roman"/>
          <w:sz w:val="28"/>
          <w:szCs w:val="28"/>
        </w:rPr>
        <w:t>on sugar</w:t>
      </w:r>
      <w:r w:rsidRPr="00E36A86">
        <w:rPr>
          <w:rFonts w:ascii="Times New Roman" w:hAnsi="Times New Roman" w:cs="Times New Roman"/>
          <w:sz w:val="28"/>
          <w:szCs w:val="28"/>
        </w:rPr>
        <w:t xml:space="preserve">, textiles and tobacco in lieu of the States' </w:t>
      </w:r>
      <w:r w:rsidR="003A4C59" w:rsidRPr="00E36A86">
        <w:rPr>
          <w:rFonts w:ascii="Times New Roman" w:hAnsi="Times New Roman" w:cs="Times New Roman"/>
          <w:sz w:val="28"/>
          <w:szCs w:val="28"/>
        </w:rPr>
        <w:t>sales tax</w:t>
      </w:r>
      <w:r w:rsidRPr="00E36A86">
        <w:rPr>
          <w:rFonts w:ascii="Times New Roman" w:hAnsi="Times New Roman" w:cs="Times New Roman"/>
          <w:sz w:val="28"/>
          <w:szCs w:val="28"/>
        </w:rPr>
        <w:t xml:space="preserve"> thereon, with or without any modifications </w:t>
      </w:r>
      <w:r w:rsidR="003A4C59" w:rsidRPr="00E36A86">
        <w:rPr>
          <w:rFonts w:ascii="Times New Roman" w:hAnsi="Times New Roman" w:cs="Times New Roman"/>
          <w:sz w:val="28"/>
          <w:szCs w:val="28"/>
        </w:rPr>
        <w:t>and the</w:t>
      </w:r>
      <w:r w:rsidRPr="00E36A86">
        <w:rPr>
          <w:rFonts w:ascii="Times New Roman" w:hAnsi="Times New Roman" w:cs="Times New Roman"/>
          <w:sz w:val="28"/>
          <w:szCs w:val="28"/>
        </w:rPr>
        <w:t xml:space="preserve"> scope for extending such arrangements to </w:t>
      </w:r>
      <w:r w:rsidR="003A4C59" w:rsidRPr="00E36A86">
        <w:rPr>
          <w:rFonts w:ascii="Times New Roman" w:hAnsi="Times New Roman" w:cs="Times New Roman"/>
          <w:sz w:val="28"/>
          <w:szCs w:val="28"/>
        </w:rPr>
        <w:t>other items</w:t>
      </w:r>
      <w:r w:rsidRPr="00E36A86">
        <w:rPr>
          <w:rFonts w:ascii="Times New Roman" w:hAnsi="Times New Roman" w:cs="Times New Roman"/>
          <w:sz w:val="28"/>
          <w:szCs w:val="28"/>
        </w:rPr>
        <w:t xml:space="preserve"> or commodities;</w:t>
      </w:r>
    </w:p>
    <w:p w14:paraId="656A68B5" w14:textId="77777777" w:rsidR="007245B0" w:rsidRPr="00E36A86" w:rsidRDefault="002F452D" w:rsidP="002B62E9">
      <w:pPr>
        <w:pStyle w:val="ListParagraph"/>
        <w:numPr>
          <w:ilvl w:val="1"/>
          <w:numId w:val="4"/>
        </w:numPr>
        <w:spacing w:line="300" w:lineRule="exact"/>
        <w:jc w:val="both"/>
        <w:rPr>
          <w:rFonts w:ascii="Times New Roman" w:hAnsi="Times New Roman" w:cs="Times New Roman"/>
          <w:sz w:val="28"/>
          <w:szCs w:val="28"/>
        </w:rPr>
      </w:pPr>
      <w:r w:rsidRPr="00E36A86">
        <w:rPr>
          <w:rFonts w:ascii="Times New Roman" w:hAnsi="Times New Roman" w:cs="Times New Roman"/>
          <w:sz w:val="28"/>
          <w:szCs w:val="28"/>
        </w:rPr>
        <w:t xml:space="preserve">irrespective of the recommendation made under item(e) above, the changes, if any, to be made in the </w:t>
      </w:r>
      <w:r w:rsidR="003A4C59" w:rsidRPr="00E36A86">
        <w:rPr>
          <w:rFonts w:ascii="Times New Roman" w:hAnsi="Times New Roman" w:cs="Times New Roman"/>
          <w:sz w:val="28"/>
          <w:szCs w:val="28"/>
        </w:rPr>
        <w:t>principles</w:t>
      </w:r>
      <w:r w:rsidRPr="00E36A86">
        <w:rPr>
          <w:rFonts w:ascii="Times New Roman" w:hAnsi="Times New Roman" w:cs="Times New Roman"/>
          <w:sz w:val="28"/>
          <w:szCs w:val="28"/>
        </w:rPr>
        <w:t xml:space="preserve"> governing the distribution of the net </w:t>
      </w:r>
      <w:r w:rsidR="003A4C59" w:rsidRPr="00E36A86">
        <w:rPr>
          <w:rFonts w:ascii="Times New Roman" w:hAnsi="Times New Roman" w:cs="Times New Roman"/>
          <w:sz w:val="28"/>
          <w:szCs w:val="28"/>
        </w:rPr>
        <w:t>proceeds in</w:t>
      </w:r>
      <w:r w:rsidRPr="00E36A86">
        <w:rPr>
          <w:rFonts w:ascii="Times New Roman" w:hAnsi="Times New Roman" w:cs="Times New Roman"/>
          <w:sz w:val="28"/>
          <w:szCs w:val="28"/>
        </w:rPr>
        <w:t xml:space="preserve"> any financial year of the additional excise </w:t>
      </w:r>
      <w:r w:rsidR="003A4C59" w:rsidRPr="00E36A86">
        <w:rPr>
          <w:rFonts w:ascii="Times New Roman" w:hAnsi="Times New Roman" w:cs="Times New Roman"/>
          <w:sz w:val="28"/>
          <w:szCs w:val="28"/>
        </w:rPr>
        <w:t>duties leviable</w:t>
      </w:r>
      <w:r w:rsidRPr="00E36A86">
        <w:rPr>
          <w:rFonts w:ascii="Times New Roman" w:hAnsi="Times New Roman" w:cs="Times New Roman"/>
          <w:sz w:val="28"/>
          <w:szCs w:val="28"/>
        </w:rPr>
        <w:t xml:space="preserve"> under the 1957 Act aforesaid on each of the</w:t>
      </w:r>
      <w:r w:rsidR="003A4C59" w:rsidRPr="00E36A86">
        <w:rPr>
          <w:rFonts w:ascii="Times New Roman" w:hAnsi="Times New Roman" w:cs="Times New Roman"/>
          <w:sz w:val="28"/>
          <w:szCs w:val="28"/>
        </w:rPr>
        <w:t xml:space="preserve"> </w:t>
      </w:r>
      <w:r w:rsidRPr="00E36A86">
        <w:rPr>
          <w:rFonts w:ascii="Times New Roman" w:hAnsi="Times New Roman" w:cs="Times New Roman"/>
          <w:sz w:val="28"/>
          <w:szCs w:val="28"/>
        </w:rPr>
        <w:t>following commodities, namely,</w:t>
      </w:r>
    </w:p>
    <w:p w14:paraId="04EE7AB0" w14:textId="4BE56BDB" w:rsidR="007245B0" w:rsidRPr="00E36A86" w:rsidRDefault="002F452D" w:rsidP="00BE3CC5">
      <w:pPr>
        <w:pStyle w:val="ListParagraph"/>
        <w:numPr>
          <w:ilvl w:val="5"/>
          <w:numId w:val="55"/>
        </w:numPr>
        <w:spacing w:line="300" w:lineRule="exact"/>
        <w:jc w:val="both"/>
        <w:rPr>
          <w:rFonts w:ascii="Times New Roman" w:hAnsi="Times New Roman" w:cs="Times New Roman"/>
          <w:sz w:val="28"/>
          <w:szCs w:val="28"/>
        </w:rPr>
      </w:pPr>
      <w:r w:rsidRPr="00E36A86">
        <w:rPr>
          <w:rFonts w:ascii="Times New Roman" w:hAnsi="Times New Roman" w:cs="Times New Roman"/>
          <w:sz w:val="28"/>
          <w:szCs w:val="28"/>
        </w:rPr>
        <w:t>cotton fabrics,</w:t>
      </w:r>
      <w:r w:rsidR="007245B0" w:rsidRPr="00E36A86">
        <w:rPr>
          <w:rFonts w:ascii="Times New Roman" w:hAnsi="Times New Roman" w:cs="Times New Roman"/>
          <w:sz w:val="28"/>
          <w:szCs w:val="28"/>
        </w:rPr>
        <w:t xml:space="preserve"> </w:t>
      </w:r>
    </w:p>
    <w:p w14:paraId="37621EF8" w14:textId="5E71CEC9" w:rsidR="003A4C59" w:rsidRPr="00E36A86" w:rsidRDefault="00E36A86" w:rsidP="00BE3CC5">
      <w:pPr>
        <w:pStyle w:val="ListParagraph"/>
        <w:numPr>
          <w:ilvl w:val="5"/>
          <w:numId w:val="55"/>
        </w:numPr>
        <w:spacing w:line="300" w:lineRule="exact"/>
        <w:jc w:val="both"/>
        <w:rPr>
          <w:rFonts w:ascii="Times New Roman" w:hAnsi="Times New Roman" w:cs="Times New Roman"/>
          <w:sz w:val="28"/>
          <w:szCs w:val="28"/>
        </w:rPr>
      </w:pPr>
      <w:r w:rsidRPr="00E36A86">
        <w:rPr>
          <w:rFonts w:ascii="Times New Roman" w:hAnsi="Times New Roman" w:cs="Times New Roman"/>
          <w:sz w:val="28"/>
          <w:szCs w:val="28"/>
        </w:rPr>
        <w:t xml:space="preserve"> </w:t>
      </w:r>
      <w:r w:rsidR="002F452D" w:rsidRPr="00E36A86">
        <w:rPr>
          <w:rFonts w:ascii="Times New Roman" w:hAnsi="Times New Roman" w:cs="Times New Roman"/>
          <w:sz w:val="28"/>
          <w:szCs w:val="28"/>
        </w:rPr>
        <w:t>silk fabrics,</w:t>
      </w:r>
    </w:p>
    <w:p w14:paraId="53310D11" w14:textId="77777777" w:rsidR="00E36A86" w:rsidRPr="00E36A86" w:rsidRDefault="007245B0" w:rsidP="007B0815">
      <w:pPr>
        <w:pStyle w:val="ListParagraph"/>
        <w:numPr>
          <w:ilvl w:val="5"/>
          <w:numId w:val="55"/>
        </w:numPr>
        <w:spacing w:line="300" w:lineRule="exact"/>
        <w:ind w:left="1985" w:hanging="284"/>
        <w:jc w:val="both"/>
        <w:rPr>
          <w:rFonts w:ascii="Times New Roman" w:hAnsi="Times New Roman" w:cs="Times New Roman"/>
          <w:sz w:val="28"/>
          <w:szCs w:val="28"/>
        </w:rPr>
      </w:pPr>
      <w:r w:rsidRPr="00E36A86">
        <w:rPr>
          <w:rFonts w:ascii="Times New Roman" w:hAnsi="Times New Roman" w:cs="Times New Roman"/>
          <w:sz w:val="28"/>
          <w:szCs w:val="28"/>
        </w:rPr>
        <w:t xml:space="preserve"> </w:t>
      </w:r>
      <w:r w:rsidR="003A4C59" w:rsidRPr="00E36A86">
        <w:rPr>
          <w:rFonts w:ascii="Times New Roman" w:hAnsi="Times New Roman" w:cs="Times New Roman"/>
          <w:sz w:val="28"/>
          <w:szCs w:val="28"/>
        </w:rPr>
        <w:t>woollen fabrics,</w:t>
      </w:r>
    </w:p>
    <w:p w14:paraId="028D792E" w14:textId="77777777" w:rsidR="00E36A86" w:rsidRPr="00E36A86" w:rsidRDefault="003A4C59" w:rsidP="007B0815">
      <w:pPr>
        <w:pStyle w:val="ListParagraph"/>
        <w:numPr>
          <w:ilvl w:val="5"/>
          <w:numId w:val="55"/>
        </w:numPr>
        <w:spacing w:line="300" w:lineRule="exact"/>
        <w:ind w:left="1985" w:hanging="284"/>
        <w:jc w:val="both"/>
        <w:rPr>
          <w:rFonts w:ascii="Times New Roman" w:hAnsi="Times New Roman" w:cs="Times New Roman"/>
          <w:sz w:val="28"/>
          <w:szCs w:val="28"/>
        </w:rPr>
      </w:pPr>
      <w:r w:rsidRPr="00E36A86">
        <w:rPr>
          <w:rFonts w:ascii="Times New Roman" w:hAnsi="Times New Roman" w:cs="Times New Roman"/>
          <w:sz w:val="28"/>
          <w:szCs w:val="28"/>
        </w:rPr>
        <w:t>rayon or artificial silk fabrics,</w:t>
      </w:r>
    </w:p>
    <w:p w14:paraId="24393412" w14:textId="0A0525F2" w:rsidR="007245B0" w:rsidRPr="00E36A86" w:rsidRDefault="003A4C59" w:rsidP="00BE3CC5">
      <w:pPr>
        <w:pStyle w:val="ListParagraph"/>
        <w:numPr>
          <w:ilvl w:val="5"/>
          <w:numId w:val="55"/>
        </w:numPr>
        <w:spacing w:line="300" w:lineRule="exact"/>
        <w:jc w:val="both"/>
        <w:rPr>
          <w:rFonts w:ascii="Times New Roman" w:hAnsi="Times New Roman" w:cs="Times New Roman"/>
          <w:sz w:val="28"/>
          <w:szCs w:val="28"/>
        </w:rPr>
      </w:pPr>
      <w:r w:rsidRPr="00E36A86">
        <w:rPr>
          <w:rFonts w:ascii="Times New Roman" w:hAnsi="Times New Roman" w:cs="Times New Roman"/>
          <w:sz w:val="28"/>
          <w:szCs w:val="28"/>
        </w:rPr>
        <w:t>sugar, and</w:t>
      </w:r>
    </w:p>
    <w:p w14:paraId="3576B3E3" w14:textId="4748C8B1" w:rsidR="003A4C59" w:rsidRPr="00E36A86" w:rsidRDefault="003A4C59" w:rsidP="007B0815">
      <w:pPr>
        <w:pStyle w:val="ListParagraph"/>
        <w:numPr>
          <w:ilvl w:val="5"/>
          <w:numId w:val="55"/>
        </w:numPr>
        <w:spacing w:line="300" w:lineRule="exact"/>
        <w:ind w:left="2127" w:hanging="426"/>
        <w:jc w:val="both"/>
        <w:rPr>
          <w:rFonts w:ascii="Times New Roman" w:hAnsi="Times New Roman" w:cs="Times New Roman"/>
          <w:sz w:val="28"/>
          <w:szCs w:val="28"/>
        </w:rPr>
      </w:pPr>
      <w:r w:rsidRPr="00E36A86">
        <w:rPr>
          <w:rFonts w:ascii="Times New Roman" w:hAnsi="Times New Roman" w:cs="Times New Roman"/>
          <w:sz w:val="28"/>
          <w:szCs w:val="28"/>
        </w:rPr>
        <w:t>tobacco including manufactured tobacco,</w:t>
      </w:r>
      <w:r w:rsidR="007245B0" w:rsidRPr="00E36A86">
        <w:rPr>
          <w:rFonts w:ascii="Times New Roman" w:hAnsi="Times New Roman" w:cs="Times New Roman"/>
          <w:sz w:val="28"/>
          <w:szCs w:val="28"/>
        </w:rPr>
        <w:t xml:space="preserve"> </w:t>
      </w:r>
      <w:r w:rsidRPr="00E36A86">
        <w:rPr>
          <w:rFonts w:ascii="Times New Roman" w:hAnsi="Times New Roman" w:cs="Times New Roman"/>
          <w:sz w:val="28"/>
          <w:szCs w:val="28"/>
        </w:rPr>
        <w:t>in replacement of the States' sales taxes formerly levied by the State Governments:</w:t>
      </w:r>
    </w:p>
    <w:p w14:paraId="5587EEA8" w14:textId="6E25A6D3" w:rsidR="00CC0CFF" w:rsidRPr="00E36A86" w:rsidRDefault="003A4C59" w:rsidP="002B62E9">
      <w:pPr>
        <w:spacing w:line="300" w:lineRule="exact"/>
        <w:ind w:left="1418" w:firstLine="425"/>
        <w:jc w:val="both"/>
        <w:rPr>
          <w:rFonts w:ascii="Times New Roman" w:hAnsi="Times New Roman" w:cs="Times New Roman"/>
          <w:sz w:val="28"/>
          <w:szCs w:val="28"/>
        </w:rPr>
      </w:pPr>
      <w:r w:rsidRPr="00E36A86">
        <w:rPr>
          <w:rFonts w:ascii="Times New Roman" w:hAnsi="Times New Roman" w:cs="Times New Roman"/>
          <w:sz w:val="28"/>
          <w:szCs w:val="28"/>
        </w:rPr>
        <w:t>Provided that the share accruing to each State shall</w:t>
      </w:r>
      <w:r w:rsidR="000F1AA2" w:rsidRPr="00E36A86">
        <w:rPr>
          <w:rFonts w:ascii="Times New Roman" w:hAnsi="Times New Roman" w:cs="Times New Roman"/>
          <w:sz w:val="28"/>
          <w:szCs w:val="28"/>
        </w:rPr>
        <w:t xml:space="preserve"> </w:t>
      </w:r>
      <w:r w:rsidRPr="00E36A86">
        <w:rPr>
          <w:rFonts w:ascii="Times New Roman" w:hAnsi="Times New Roman" w:cs="Times New Roman"/>
          <w:sz w:val="28"/>
          <w:szCs w:val="28"/>
        </w:rPr>
        <w:t xml:space="preserve">not be less than the revenue realised </w:t>
      </w:r>
      <w:r w:rsidR="007D26AB" w:rsidRPr="00E36A86">
        <w:rPr>
          <w:rFonts w:ascii="Times New Roman" w:hAnsi="Times New Roman" w:cs="Times New Roman"/>
          <w:sz w:val="28"/>
          <w:szCs w:val="28"/>
        </w:rPr>
        <w:t>from the</w:t>
      </w:r>
      <w:r w:rsidRPr="00E36A86">
        <w:rPr>
          <w:rFonts w:ascii="Times New Roman" w:hAnsi="Times New Roman" w:cs="Times New Roman"/>
          <w:sz w:val="28"/>
          <w:szCs w:val="28"/>
        </w:rPr>
        <w:t xml:space="preserve"> levy of</w:t>
      </w:r>
      <w:r w:rsidR="000F1AA2" w:rsidRPr="00E36A86">
        <w:rPr>
          <w:rFonts w:ascii="Times New Roman" w:hAnsi="Times New Roman" w:cs="Times New Roman"/>
          <w:sz w:val="28"/>
          <w:szCs w:val="28"/>
        </w:rPr>
        <w:t xml:space="preserve"> </w:t>
      </w:r>
      <w:r w:rsidRPr="00E36A86">
        <w:rPr>
          <w:rFonts w:ascii="Times New Roman" w:hAnsi="Times New Roman" w:cs="Times New Roman"/>
          <w:sz w:val="28"/>
          <w:szCs w:val="28"/>
        </w:rPr>
        <w:t>the sales tax for the financial year 1956-57 in that</w:t>
      </w:r>
      <w:r w:rsidR="000F1AA2" w:rsidRPr="00E36A86">
        <w:rPr>
          <w:rFonts w:ascii="Times New Roman" w:hAnsi="Times New Roman" w:cs="Times New Roman"/>
          <w:sz w:val="28"/>
          <w:szCs w:val="28"/>
        </w:rPr>
        <w:t xml:space="preserve"> </w:t>
      </w:r>
      <w:r w:rsidR="00CC0CFF" w:rsidRPr="00E36A86">
        <w:rPr>
          <w:rFonts w:ascii="Times New Roman" w:hAnsi="Times New Roman" w:cs="Times New Roman"/>
          <w:sz w:val="28"/>
          <w:szCs w:val="28"/>
        </w:rPr>
        <w:t>State;</w:t>
      </w:r>
    </w:p>
    <w:p w14:paraId="5ED0CADC" w14:textId="6C4FE068" w:rsidR="003A4C59" w:rsidRPr="00E36A86" w:rsidRDefault="003A4C59" w:rsidP="002B62E9">
      <w:pPr>
        <w:pStyle w:val="ListParagraph"/>
        <w:numPr>
          <w:ilvl w:val="1"/>
          <w:numId w:val="4"/>
        </w:numPr>
        <w:spacing w:line="300" w:lineRule="exact"/>
        <w:jc w:val="both"/>
        <w:rPr>
          <w:rFonts w:ascii="Times New Roman" w:hAnsi="Times New Roman" w:cs="Times New Roman"/>
          <w:sz w:val="28"/>
          <w:szCs w:val="28"/>
        </w:rPr>
      </w:pPr>
      <w:r w:rsidRPr="00E36A86">
        <w:rPr>
          <w:rFonts w:ascii="Times New Roman" w:hAnsi="Times New Roman" w:cs="Times New Roman"/>
          <w:sz w:val="28"/>
          <w:szCs w:val="28"/>
        </w:rPr>
        <w:t>the principles which should govern the distribution</w:t>
      </w:r>
      <w:r w:rsidR="00CC0CFF" w:rsidRPr="00E36A86">
        <w:rPr>
          <w:rFonts w:ascii="Times New Roman" w:hAnsi="Times New Roman" w:cs="Times New Roman"/>
          <w:sz w:val="28"/>
          <w:szCs w:val="28"/>
        </w:rPr>
        <w:t xml:space="preserve"> </w:t>
      </w:r>
      <w:r w:rsidRPr="00E36A86">
        <w:rPr>
          <w:rFonts w:ascii="Times New Roman" w:hAnsi="Times New Roman" w:cs="Times New Roman"/>
          <w:sz w:val="28"/>
          <w:szCs w:val="28"/>
        </w:rPr>
        <w:t xml:space="preserve">of the net proceeds of such additional items or commodities as may be recommended under </w:t>
      </w:r>
      <w:r w:rsidRPr="00E36A86">
        <w:rPr>
          <w:rFonts w:ascii="Times New Roman" w:hAnsi="Times New Roman" w:cs="Times New Roman"/>
          <w:sz w:val="28"/>
          <w:szCs w:val="28"/>
        </w:rPr>
        <w:lastRenderedPageBreak/>
        <w:t>item (e) above</w:t>
      </w:r>
      <w:r w:rsidR="00E36A86" w:rsidRPr="00E36A86">
        <w:rPr>
          <w:rFonts w:ascii="Times New Roman" w:hAnsi="Times New Roman" w:cs="Times New Roman"/>
          <w:sz w:val="28"/>
          <w:szCs w:val="28"/>
        </w:rPr>
        <w:t xml:space="preserve"> </w:t>
      </w:r>
      <w:r w:rsidRPr="00E36A86">
        <w:rPr>
          <w:rFonts w:ascii="Times New Roman" w:hAnsi="Times New Roman" w:cs="Times New Roman"/>
          <w:sz w:val="28"/>
          <w:szCs w:val="28"/>
        </w:rPr>
        <w:t>for levy of additional excise duties in lieu of the</w:t>
      </w:r>
      <w:r w:rsidR="00CC0CFF" w:rsidRPr="00E36A86">
        <w:rPr>
          <w:rFonts w:ascii="Times New Roman" w:hAnsi="Times New Roman" w:cs="Times New Roman"/>
          <w:sz w:val="28"/>
          <w:szCs w:val="28"/>
        </w:rPr>
        <w:t xml:space="preserve"> </w:t>
      </w:r>
      <w:r w:rsidRPr="00E36A86">
        <w:rPr>
          <w:rFonts w:ascii="Times New Roman" w:hAnsi="Times New Roman" w:cs="Times New Roman"/>
          <w:sz w:val="28"/>
          <w:szCs w:val="28"/>
        </w:rPr>
        <w:t>States' sales taxes thereon;</w:t>
      </w:r>
    </w:p>
    <w:p w14:paraId="0B033962" w14:textId="067EDFC1" w:rsidR="003A4C59" w:rsidRPr="00E36A86" w:rsidRDefault="003A4C59" w:rsidP="002B62E9">
      <w:pPr>
        <w:pStyle w:val="ListParagraph"/>
        <w:numPr>
          <w:ilvl w:val="1"/>
          <w:numId w:val="4"/>
        </w:numPr>
        <w:spacing w:line="300" w:lineRule="exact"/>
        <w:jc w:val="both"/>
        <w:rPr>
          <w:rFonts w:ascii="Times New Roman" w:hAnsi="Times New Roman" w:cs="Times New Roman"/>
          <w:sz w:val="28"/>
          <w:szCs w:val="28"/>
        </w:rPr>
      </w:pPr>
      <w:r w:rsidRPr="00E36A86">
        <w:rPr>
          <w:rFonts w:ascii="Times New Roman" w:hAnsi="Times New Roman" w:cs="Times New Roman"/>
          <w:sz w:val="28"/>
          <w:szCs w:val="28"/>
        </w:rPr>
        <w:t>the scope for raising revenue from the taxes and duties</w:t>
      </w:r>
      <w:r w:rsidR="000F1AA2" w:rsidRPr="00E36A86">
        <w:rPr>
          <w:rFonts w:ascii="Times New Roman" w:hAnsi="Times New Roman" w:cs="Times New Roman"/>
          <w:sz w:val="28"/>
          <w:szCs w:val="28"/>
        </w:rPr>
        <w:t xml:space="preserve"> </w:t>
      </w:r>
      <w:r w:rsidRPr="00E36A86">
        <w:rPr>
          <w:rFonts w:ascii="Times New Roman" w:hAnsi="Times New Roman" w:cs="Times New Roman"/>
          <w:sz w:val="28"/>
          <w:szCs w:val="28"/>
        </w:rPr>
        <w:t>mentioned in article 269 of the Constitution but not</w:t>
      </w:r>
      <w:r w:rsidR="000F1AA2" w:rsidRPr="00E36A86">
        <w:rPr>
          <w:rFonts w:ascii="Times New Roman" w:hAnsi="Times New Roman" w:cs="Times New Roman"/>
          <w:sz w:val="28"/>
          <w:szCs w:val="28"/>
        </w:rPr>
        <w:t xml:space="preserve"> </w:t>
      </w:r>
      <w:r w:rsidRPr="00E36A86">
        <w:rPr>
          <w:rFonts w:ascii="Times New Roman" w:hAnsi="Times New Roman" w:cs="Times New Roman"/>
          <w:sz w:val="28"/>
          <w:szCs w:val="28"/>
        </w:rPr>
        <w:t>levied at present;</w:t>
      </w:r>
    </w:p>
    <w:p w14:paraId="15BD27D1" w14:textId="357DEB82" w:rsidR="003A4C59" w:rsidRPr="00E36A86" w:rsidRDefault="003A4C59" w:rsidP="002B62E9">
      <w:pPr>
        <w:pStyle w:val="ListParagraph"/>
        <w:numPr>
          <w:ilvl w:val="1"/>
          <w:numId w:val="4"/>
        </w:numPr>
        <w:spacing w:line="300" w:lineRule="exact"/>
        <w:jc w:val="both"/>
        <w:rPr>
          <w:rFonts w:ascii="Times New Roman" w:hAnsi="Times New Roman" w:cs="Times New Roman"/>
          <w:sz w:val="28"/>
          <w:szCs w:val="28"/>
        </w:rPr>
      </w:pPr>
      <w:r w:rsidRPr="00E36A86">
        <w:rPr>
          <w:rFonts w:ascii="Times New Roman" w:hAnsi="Times New Roman" w:cs="Times New Roman"/>
          <w:sz w:val="28"/>
          <w:szCs w:val="28"/>
        </w:rPr>
        <w:t>the scope for raising additional revenue by the various</w:t>
      </w:r>
      <w:r w:rsidR="00CC0CFF" w:rsidRPr="00E36A86">
        <w:rPr>
          <w:rFonts w:ascii="Times New Roman" w:hAnsi="Times New Roman" w:cs="Times New Roman"/>
          <w:sz w:val="28"/>
          <w:szCs w:val="28"/>
        </w:rPr>
        <w:t xml:space="preserve"> </w:t>
      </w:r>
      <w:r w:rsidRPr="00E36A86">
        <w:rPr>
          <w:rFonts w:ascii="Times New Roman" w:hAnsi="Times New Roman" w:cs="Times New Roman"/>
          <w:sz w:val="28"/>
          <w:szCs w:val="28"/>
        </w:rPr>
        <w:t>State Governments from the sources of revenue available to them; and</w:t>
      </w:r>
    </w:p>
    <w:p w14:paraId="14AD2DC8" w14:textId="0FB7B21F" w:rsidR="003A4C59" w:rsidRPr="00E36A86" w:rsidRDefault="003A4C59" w:rsidP="002B62E9">
      <w:pPr>
        <w:pStyle w:val="ListParagraph"/>
        <w:numPr>
          <w:ilvl w:val="1"/>
          <w:numId w:val="4"/>
        </w:numPr>
        <w:spacing w:line="300" w:lineRule="exact"/>
        <w:jc w:val="both"/>
        <w:rPr>
          <w:rFonts w:ascii="Times New Roman" w:hAnsi="Times New Roman" w:cs="Times New Roman"/>
          <w:sz w:val="28"/>
          <w:szCs w:val="28"/>
        </w:rPr>
      </w:pPr>
      <w:r w:rsidRPr="00E36A86">
        <w:rPr>
          <w:rFonts w:ascii="Times New Roman" w:hAnsi="Times New Roman" w:cs="Times New Roman"/>
          <w:sz w:val="28"/>
          <w:szCs w:val="28"/>
        </w:rPr>
        <w:t>the problem of unauthorised overdrafts of certain</w:t>
      </w:r>
      <w:r w:rsidR="00CC0CFF" w:rsidRPr="00E36A86">
        <w:rPr>
          <w:rFonts w:ascii="Times New Roman" w:hAnsi="Times New Roman" w:cs="Times New Roman"/>
          <w:sz w:val="28"/>
          <w:szCs w:val="28"/>
        </w:rPr>
        <w:t xml:space="preserve"> </w:t>
      </w:r>
      <w:r w:rsidRPr="00E36A86">
        <w:rPr>
          <w:rFonts w:ascii="Times New Roman" w:hAnsi="Times New Roman" w:cs="Times New Roman"/>
          <w:sz w:val="28"/>
          <w:szCs w:val="28"/>
        </w:rPr>
        <w:t>States with the Reserve Bank and the procedure to be</w:t>
      </w:r>
      <w:r w:rsidR="00CC0CFF" w:rsidRPr="00E36A86">
        <w:rPr>
          <w:rFonts w:ascii="Times New Roman" w:hAnsi="Times New Roman" w:cs="Times New Roman"/>
          <w:sz w:val="28"/>
          <w:szCs w:val="28"/>
        </w:rPr>
        <w:t xml:space="preserve"> </w:t>
      </w:r>
      <w:r w:rsidRPr="00E36A86">
        <w:rPr>
          <w:rFonts w:ascii="Times New Roman" w:hAnsi="Times New Roman" w:cs="Times New Roman"/>
          <w:sz w:val="28"/>
          <w:szCs w:val="28"/>
        </w:rPr>
        <w:t>observed for avoiding such overdrafts.</w:t>
      </w:r>
    </w:p>
    <w:p w14:paraId="52C2159E" w14:textId="7217BA1E" w:rsidR="003A4C59" w:rsidRPr="00E36A86" w:rsidRDefault="003A4C59" w:rsidP="002B62E9">
      <w:pPr>
        <w:numPr>
          <w:ilvl w:val="0"/>
          <w:numId w:val="4"/>
        </w:numPr>
        <w:spacing w:line="300" w:lineRule="exact"/>
        <w:jc w:val="both"/>
        <w:rPr>
          <w:rFonts w:ascii="Times New Roman" w:hAnsi="Times New Roman" w:cs="Times New Roman"/>
          <w:sz w:val="28"/>
          <w:szCs w:val="28"/>
        </w:rPr>
      </w:pPr>
      <w:r w:rsidRPr="00E36A86">
        <w:rPr>
          <w:rFonts w:ascii="Times New Roman" w:hAnsi="Times New Roman" w:cs="Times New Roman"/>
          <w:sz w:val="28"/>
          <w:szCs w:val="28"/>
        </w:rPr>
        <w:t>The Commission in making its recommendations on the</w:t>
      </w:r>
      <w:r w:rsidR="00CC0CFF" w:rsidRPr="00E36A86">
        <w:rPr>
          <w:rFonts w:ascii="Times New Roman" w:hAnsi="Times New Roman" w:cs="Times New Roman"/>
          <w:sz w:val="28"/>
          <w:szCs w:val="28"/>
        </w:rPr>
        <w:t xml:space="preserve"> </w:t>
      </w:r>
      <w:r w:rsidRPr="00E36A86">
        <w:rPr>
          <w:rFonts w:ascii="Times New Roman" w:hAnsi="Times New Roman" w:cs="Times New Roman"/>
          <w:sz w:val="28"/>
          <w:szCs w:val="28"/>
        </w:rPr>
        <w:t xml:space="preserve">various matters aforesaid shall have regard to the resources of the Central Government and the demands thereon on account of the expenditure on civil </w:t>
      </w:r>
      <w:r w:rsidR="00CC0CFF" w:rsidRPr="00E36A86">
        <w:rPr>
          <w:rFonts w:ascii="Times New Roman" w:hAnsi="Times New Roman" w:cs="Times New Roman"/>
          <w:sz w:val="28"/>
          <w:szCs w:val="28"/>
        </w:rPr>
        <w:t>administration, defence</w:t>
      </w:r>
      <w:r w:rsidRPr="00E36A86">
        <w:rPr>
          <w:rFonts w:ascii="Times New Roman" w:hAnsi="Times New Roman" w:cs="Times New Roman"/>
          <w:sz w:val="28"/>
          <w:szCs w:val="28"/>
        </w:rPr>
        <w:t xml:space="preserve"> and border security, debt servicing and other committed expenditures or liabilities.</w:t>
      </w:r>
    </w:p>
    <w:p w14:paraId="7AC41E92" w14:textId="134BF60E" w:rsidR="003A4C59" w:rsidRPr="00E36A86" w:rsidRDefault="003A4C59" w:rsidP="002B62E9">
      <w:pPr>
        <w:numPr>
          <w:ilvl w:val="0"/>
          <w:numId w:val="4"/>
        </w:numPr>
        <w:spacing w:line="300" w:lineRule="exact"/>
        <w:jc w:val="both"/>
        <w:rPr>
          <w:rFonts w:ascii="Times New Roman" w:hAnsi="Times New Roman" w:cs="Times New Roman"/>
          <w:sz w:val="28"/>
          <w:szCs w:val="28"/>
        </w:rPr>
      </w:pPr>
      <w:r w:rsidRPr="00E36A86">
        <w:rPr>
          <w:rFonts w:ascii="Times New Roman" w:hAnsi="Times New Roman" w:cs="Times New Roman"/>
          <w:sz w:val="28"/>
          <w:szCs w:val="28"/>
        </w:rPr>
        <w:t>The Commission shall make an interim Report by the 30thSeptember, 1968</w:t>
      </w:r>
      <w:r w:rsidR="00CC0CFF" w:rsidRPr="00E36A86">
        <w:rPr>
          <w:rFonts w:ascii="Times New Roman" w:hAnsi="Times New Roman" w:cs="Times New Roman"/>
          <w:sz w:val="28"/>
          <w:szCs w:val="28"/>
        </w:rPr>
        <w:t xml:space="preserve"> </w:t>
      </w:r>
      <w:r w:rsidRPr="00E36A86">
        <w:rPr>
          <w:rFonts w:ascii="Times New Roman" w:hAnsi="Times New Roman" w:cs="Times New Roman"/>
          <w:sz w:val="28"/>
          <w:szCs w:val="28"/>
        </w:rPr>
        <w:t xml:space="preserve">covering as many of the matters mentioned in para 4 above as possible and in particular, in </w:t>
      </w:r>
      <w:r w:rsidR="00CC0CFF" w:rsidRPr="00E36A86">
        <w:rPr>
          <w:rFonts w:ascii="Times New Roman" w:hAnsi="Times New Roman" w:cs="Times New Roman"/>
          <w:sz w:val="28"/>
          <w:szCs w:val="28"/>
        </w:rPr>
        <w:t>respect of</w:t>
      </w:r>
      <w:r w:rsidRPr="00E36A86">
        <w:rPr>
          <w:rFonts w:ascii="Times New Roman" w:hAnsi="Times New Roman" w:cs="Times New Roman"/>
          <w:sz w:val="28"/>
          <w:szCs w:val="28"/>
        </w:rPr>
        <w:t xml:space="preserve"> the financial year 1969-70; and make the final Report </w:t>
      </w:r>
      <w:r w:rsidR="00CC0CFF" w:rsidRPr="00E36A86">
        <w:rPr>
          <w:rFonts w:ascii="Times New Roman" w:hAnsi="Times New Roman" w:cs="Times New Roman"/>
          <w:sz w:val="28"/>
          <w:szCs w:val="28"/>
        </w:rPr>
        <w:t>by the</w:t>
      </w:r>
      <w:r w:rsidRPr="00E36A86">
        <w:rPr>
          <w:rFonts w:ascii="Times New Roman" w:hAnsi="Times New Roman" w:cs="Times New Roman"/>
          <w:sz w:val="28"/>
          <w:szCs w:val="28"/>
        </w:rPr>
        <w:t xml:space="preserve"> 31st July, 1969 on each of the said matters and </w:t>
      </w:r>
      <w:r w:rsidR="00CC0CFF" w:rsidRPr="00E36A86">
        <w:rPr>
          <w:rFonts w:ascii="Times New Roman" w:hAnsi="Times New Roman" w:cs="Times New Roman"/>
          <w:sz w:val="28"/>
          <w:szCs w:val="28"/>
        </w:rPr>
        <w:t>covering a</w:t>
      </w:r>
      <w:r w:rsidRPr="00E36A86">
        <w:rPr>
          <w:rFonts w:ascii="Times New Roman" w:hAnsi="Times New Roman" w:cs="Times New Roman"/>
          <w:sz w:val="28"/>
          <w:szCs w:val="28"/>
        </w:rPr>
        <w:t xml:space="preserve"> period of five years commencing from the 1st day </w:t>
      </w:r>
      <w:r w:rsidR="00CC0CFF" w:rsidRPr="00E36A86">
        <w:rPr>
          <w:rFonts w:ascii="Times New Roman" w:hAnsi="Times New Roman" w:cs="Times New Roman"/>
          <w:sz w:val="28"/>
          <w:szCs w:val="28"/>
        </w:rPr>
        <w:t>of April</w:t>
      </w:r>
      <w:r w:rsidRPr="00E36A86">
        <w:rPr>
          <w:rFonts w:ascii="Times New Roman" w:hAnsi="Times New Roman" w:cs="Times New Roman"/>
          <w:sz w:val="28"/>
          <w:szCs w:val="28"/>
        </w:rPr>
        <w:t xml:space="preserve">, 1969, indicating in its Reports the basis on which </w:t>
      </w:r>
      <w:r w:rsidR="00CC0CFF" w:rsidRPr="00E36A86">
        <w:rPr>
          <w:rFonts w:ascii="Times New Roman" w:hAnsi="Times New Roman" w:cs="Times New Roman"/>
          <w:sz w:val="28"/>
          <w:szCs w:val="28"/>
        </w:rPr>
        <w:t>it has</w:t>
      </w:r>
      <w:r w:rsidRPr="00E36A86">
        <w:rPr>
          <w:rFonts w:ascii="Times New Roman" w:hAnsi="Times New Roman" w:cs="Times New Roman"/>
          <w:sz w:val="28"/>
          <w:szCs w:val="28"/>
        </w:rPr>
        <w:t xml:space="preserve"> arrived at its findings and making available the </w:t>
      </w:r>
      <w:r w:rsidR="00CC0CFF" w:rsidRPr="00E36A86">
        <w:rPr>
          <w:rFonts w:ascii="Times New Roman" w:hAnsi="Times New Roman" w:cs="Times New Roman"/>
          <w:sz w:val="28"/>
          <w:szCs w:val="28"/>
        </w:rPr>
        <w:t>relevant</w:t>
      </w:r>
      <w:r w:rsidRPr="00E36A86">
        <w:rPr>
          <w:rFonts w:ascii="Times New Roman" w:hAnsi="Times New Roman" w:cs="Times New Roman"/>
          <w:sz w:val="28"/>
          <w:szCs w:val="28"/>
        </w:rPr>
        <w:t xml:space="preserve"> documents."</w:t>
      </w:r>
    </w:p>
    <w:p w14:paraId="50D5AE84" w14:textId="1278C2AF" w:rsidR="003A4C59" w:rsidRPr="00E36A86" w:rsidRDefault="003A4C59" w:rsidP="002B62E9">
      <w:pPr>
        <w:spacing w:line="300" w:lineRule="exact"/>
        <w:ind w:firstLine="284"/>
        <w:jc w:val="both"/>
        <w:rPr>
          <w:rFonts w:ascii="Times New Roman" w:hAnsi="Times New Roman" w:cs="Times New Roman"/>
          <w:sz w:val="28"/>
          <w:szCs w:val="28"/>
        </w:rPr>
      </w:pPr>
      <w:r w:rsidRPr="00E36A86">
        <w:rPr>
          <w:rFonts w:ascii="Times New Roman" w:hAnsi="Times New Roman" w:cs="Times New Roman"/>
          <w:sz w:val="28"/>
          <w:szCs w:val="28"/>
        </w:rPr>
        <w:t>The date for submission of the interim Report was extended to</w:t>
      </w:r>
      <w:r w:rsidR="000F1AA2" w:rsidRPr="00E36A86">
        <w:rPr>
          <w:rFonts w:ascii="Times New Roman" w:hAnsi="Times New Roman" w:cs="Times New Roman"/>
          <w:sz w:val="28"/>
          <w:szCs w:val="28"/>
        </w:rPr>
        <w:t xml:space="preserve"> </w:t>
      </w:r>
      <w:r w:rsidRPr="00E36A86">
        <w:rPr>
          <w:rFonts w:ascii="Times New Roman" w:hAnsi="Times New Roman" w:cs="Times New Roman"/>
          <w:sz w:val="28"/>
          <w:szCs w:val="28"/>
        </w:rPr>
        <w:t xml:space="preserve">31st </w:t>
      </w:r>
      <w:r w:rsidR="007D26AB" w:rsidRPr="00E36A86">
        <w:rPr>
          <w:rFonts w:ascii="Times New Roman" w:hAnsi="Times New Roman" w:cs="Times New Roman"/>
          <w:sz w:val="28"/>
          <w:szCs w:val="28"/>
        </w:rPr>
        <w:t>October</w:t>
      </w:r>
      <w:r w:rsidRPr="00E36A86">
        <w:rPr>
          <w:rFonts w:ascii="Times New Roman" w:hAnsi="Times New Roman" w:cs="Times New Roman"/>
          <w:sz w:val="28"/>
          <w:szCs w:val="28"/>
        </w:rPr>
        <w:t xml:space="preserve"> 1968, by the President's subsequent Order dated 24</w:t>
      </w:r>
      <w:r w:rsidRPr="00E36A86">
        <w:rPr>
          <w:rFonts w:ascii="Times New Roman" w:hAnsi="Times New Roman" w:cs="Times New Roman"/>
          <w:sz w:val="28"/>
          <w:szCs w:val="28"/>
          <w:vertAlign w:val="superscript"/>
        </w:rPr>
        <w:t>th</w:t>
      </w:r>
      <w:r w:rsidR="000F1AA2" w:rsidRPr="00E36A86">
        <w:rPr>
          <w:rFonts w:ascii="Times New Roman" w:hAnsi="Times New Roman" w:cs="Times New Roman"/>
          <w:sz w:val="28"/>
          <w:szCs w:val="28"/>
        </w:rPr>
        <w:t xml:space="preserve"> </w:t>
      </w:r>
      <w:r w:rsidR="007D26AB" w:rsidRPr="00E36A86">
        <w:rPr>
          <w:rFonts w:ascii="Times New Roman" w:hAnsi="Times New Roman" w:cs="Times New Roman"/>
          <w:sz w:val="28"/>
          <w:szCs w:val="28"/>
        </w:rPr>
        <w:t>September</w:t>
      </w:r>
      <w:r w:rsidRPr="00E36A86">
        <w:rPr>
          <w:rFonts w:ascii="Times New Roman" w:hAnsi="Times New Roman" w:cs="Times New Roman"/>
          <w:sz w:val="28"/>
          <w:szCs w:val="28"/>
        </w:rPr>
        <w:t xml:space="preserve"> 1968.</w:t>
      </w:r>
    </w:p>
    <w:p w14:paraId="28BB64AB" w14:textId="60854E09" w:rsidR="00CC0CFF" w:rsidRPr="00E36A86" w:rsidRDefault="003A4C59" w:rsidP="00F07925">
      <w:pPr>
        <w:pStyle w:val="Heading3"/>
      </w:pPr>
      <w:r w:rsidRPr="00E36A86">
        <w:t xml:space="preserve">During the earlier stages of our work a question arose </w:t>
      </w:r>
      <w:r w:rsidR="00CC0CFF" w:rsidRPr="00E36A86">
        <w:t>as regards</w:t>
      </w:r>
      <w:r w:rsidRPr="00E36A86">
        <w:t xml:space="preserve"> advance tax collections being included in the net proceeds </w:t>
      </w:r>
      <w:r w:rsidR="00CC0CFF" w:rsidRPr="00E36A86">
        <w:t>of income</w:t>
      </w:r>
      <w:r w:rsidRPr="00E36A86">
        <w:t xml:space="preserve"> tax divisible between the</w:t>
      </w:r>
      <w:r w:rsidR="00B3753D" w:rsidRPr="00E36A86">
        <w:t xml:space="preserve"> </w:t>
      </w:r>
      <w:r w:rsidRPr="00E36A86">
        <w:t xml:space="preserve">Union and the States. We took </w:t>
      </w:r>
      <w:r w:rsidR="00CC0CFF" w:rsidRPr="00E36A86">
        <w:t>up this</w:t>
      </w:r>
      <w:r w:rsidRPr="00E36A86">
        <w:t xml:space="preserve"> matter with the Comptroller and Auditor</w:t>
      </w:r>
      <w:r w:rsidR="00B3753D" w:rsidRPr="00E36A86">
        <w:t xml:space="preserve"> </w:t>
      </w:r>
      <w:r w:rsidRPr="00E36A86">
        <w:t>General of India and</w:t>
      </w:r>
      <w:r w:rsidR="00B3753D" w:rsidRPr="00E36A86">
        <w:t xml:space="preserve"> </w:t>
      </w:r>
      <w:r w:rsidR="00CC0CFF" w:rsidRPr="00E36A86">
        <w:t>the Government of India. Subsequently on the 1</w:t>
      </w:r>
      <w:r w:rsidR="00CC0CFF" w:rsidRPr="0074512A">
        <w:rPr>
          <w:vertAlign w:val="superscript"/>
        </w:rPr>
        <w:t>st</w:t>
      </w:r>
      <w:r w:rsidR="0074512A">
        <w:t xml:space="preserve"> </w:t>
      </w:r>
      <w:r w:rsidR="007D26AB" w:rsidRPr="00E36A86">
        <w:t>May</w:t>
      </w:r>
      <w:r w:rsidR="00CC0CFF" w:rsidRPr="00E36A86">
        <w:t xml:space="preserve"> 1969 we received supplementary reference from the President which is reproduced below:</w:t>
      </w:r>
    </w:p>
    <w:p w14:paraId="3811ACB2" w14:textId="71E333A2" w:rsidR="00CC0CFF" w:rsidRPr="00E36A86" w:rsidRDefault="00CC0CFF" w:rsidP="002B62E9">
      <w:pPr>
        <w:spacing w:line="300" w:lineRule="exact"/>
        <w:ind w:left="709" w:hanging="567"/>
        <w:jc w:val="both"/>
        <w:rPr>
          <w:rFonts w:ascii="Times New Roman" w:hAnsi="Times New Roman" w:cs="Times New Roman"/>
          <w:sz w:val="28"/>
          <w:szCs w:val="28"/>
        </w:rPr>
      </w:pPr>
      <w:r w:rsidRPr="00E36A86">
        <w:rPr>
          <w:rFonts w:ascii="Times New Roman" w:hAnsi="Times New Roman" w:cs="Times New Roman"/>
          <w:sz w:val="28"/>
          <w:szCs w:val="28"/>
        </w:rPr>
        <w:t xml:space="preserve">"Whereas since the commencement of the Constitution, </w:t>
      </w:r>
      <w:r w:rsidR="007D26AB" w:rsidRPr="00E36A86">
        <w:rPr>
          <w:rFonts w:ascii="Times New Roman" w:hAnsi="Times New Roman" w:cs="Times New Roman"/>
          <w:sz w:val="28"/>
          <w:szCs w:val="28"/>
        </w:rPr>
        <w:t>Advance</w:t>
      </w:r>
      <w:r w:rsidRPr="00E36A86">
        <w:rPr>
          <w:rFonts w:ascii="Times New Roman" w:hAnsi="Times New Roman" w:cs="Times New Roman"/>
          <w:sz w:val="28"/>
          <w:szCs w:val="28"/>
        </w:rPr>
        <w:t xml:space="preserve"> Tax collections made under the Income-tax Act have been taken into account in determining the net </w:t>
      </w:r>
      <w:r w:rsidR="0074512A" w:rsidRPr="00E36A86">
        <w:rPr>
          <w:rFonts w:ascii="Times New Roman" w:hAnsi="Times New Roman" w:cs="Times New Roman"/>
          <w:sz w:val="28"/>
          <w:szCs w:val="28"/>
        </w:rPr>
        <w:t>proceeds</w:t>
      </w:r>
      <w:r w:rsidRPr="00E36A86">
        <w:rPr>
          <w:rFonts w:ascii="Times New Roman" w:hAnsi="Times New Roman" w:cs="Times New Roman"/>
          <w:sz w:val="28"/>
          <w:szCs w:val="28"/>
        </w:rPr>
        <w:t xml:space="preserve"> of taxes on income for purposes of article 270 (2) of</w:t>
      </w:r>
      <w:r w:rsidR="00E36A86" w:rsidRPr="00E36A86">
        <w:rPr>
          <w:rFonts w:ascii="Times New Roman" w:hAnsi="Times New Roman" w:cs="Times New Roman"/>
          <w:sz w:val="28"/>
          <w:szCs w:val="28"/>
        </w:rPr>
        <w:t xml:space="preserve"> </w:t>
      </w:r>
      <w:r w:rsidRPr="00E36A86">
        <w:rPr>
          <w:rFonts w:ascii="Times New Roman" w:hAnsi="Times New Roman" w:cs="Times New Roman"/>
          <w:sz w:val="28"/>
          <w:szCs w:val="28"/>
        </w:rPr>
        <w:t>the Constitution only on completion of regular assessment;</w:t>
      </w:r>
    </w:p>
    <w:p w14:paraId="191AF877" w14:textId="46103796" w:rsidR="00CC0CFF" w:rsidRPr="00E36A86" w:rsidRDefault="00CC0CFF" w:rsidP="002B62E9">
      <w:pPr>
        <w:spacing w:line="300" w:lineRule="exact"/>
        <w:ind w:left="709" w:hanging="567"/>
        <w:jc w:val="both"/>
        <w:rPr>
          <w:rFonts w:ascii="Times New Roman" w:hAnsi="Times New Roman" w:cs="Times New Roman"/>
          <w:sz w:val="28"/>
          <w:szCs w:val="28"/>
        </w:rPr>
      </w:pPr>
      <w:r w:rsidRPr="00E36A86">
        <w:rPr>
          <w:rFonts w:ascii="Times New Roman" w:hAnsi="Times New Roman" w:cs="Times New Roman"/>
          <w:sz w:val="28"/>
          <w:szCs w:val="28"/>
        </w:rPr>
        <w:t>And whereas successive Finance Commissions have recommended the distribution between the Union and the States of the net proceeds of taxes on income under article280(3) (a) of the Constitution on the said basis;</w:t>
      </w:r>
    </w:p>
    <w:p w14:paraId="3ABAB1DE" w14:textId="587F439A" w:rsidR="00CC0CFF" w:rsidRPr="00E36A86" w:rsidRDefault="00CC0CFF" w:rsidP="002B62E9">
      <w:pPr>
        <w:spacing w:line="300" w:lineRule="exact"/>
        <w:ind w:left="709" w:hanging="567"/>
        <w:jc w:val="both"/>
        <w:rPr>
          <w:rFonts w:ascii="Times New Roman" w:hAnsi="Times New Roman" w:cs="Times New Roman"/>
          <w:sz w:val="28"/>
          <w:szCs w:val="28"/>
        </w:rPr>
      </w:pPr>
      <w:r w:rsidRPr="00E36A86">
        <w:rPr>
          <w:rFonts w:ascii="Times New Roman" w:hAnsi="Times New Roman" w:cs="Times New Roman"/>
          <w:sz w:val="28"/>
          <w:szCs w:val="28"/>
        </w:rPr>
        <w:t>And whereas the Comptroller and Auditor-General of India has also certified the net proceeds of taxes on income under article 279 (1) of the Constitution in each of the financial years until and including 1966-67 on the said basis;</w:t>
      </w:r>
    </w:p>
    <w:p w14:paraId="274653D0" w14:textId="3256F856" w:rsidR="00CC0CFF" w:rsidRPr="00E36A86" w:rsidRDefault="00CC0CFF" w:rsidP="002B62E9">
      <w:pPr>
        <w:spacing w:line="300" w:lineRule="exact"/>
        <w:ind w:left="709" w:hanging="567"/>
        <w:jc w:val="both"/>
        <w:rPr>
          <w:rFonts w:ascii="Times New Roman" w:hAnsi="Times New Roman" w:cs="Times New Roman"/>
          <w:sz w:val="28"/>
          <w:szCs w:val="28"/>
        </w:rPr>
      </w:pPr>
      <w:r w:rsidRPr="00E36A86">
        <w:rPr>
          <w:rFonts w:ascii="Times New Roman" w:hAnsi="Times New Roman" w:cs="Times New Roman"/>
          <w:sz w:val="28"/>
          <w:szCs w:val="28"/>
        </w:rPr>
        <w:t>And whereas it is now considered that the Advance Tax collections made in a financial year should be taken into account in determining the net proceeds of taxes on income</w:t>
      </w:r>
      <w:r w:rsidR="00E36A86" w:rsidRPr="00E36A86">
        <w:rPr>
          <w:rFonts w:ascii="Times New Roman" w:hAnsi="Times New Roman" w:cs="Times New Roman"/>
          <w:sz w:val="28"/>
          <w:szCs w:val="28"/>
        </w:rPr>
        <w:t xml:space="preserve"> </w:t>
      </w:r>
      <w:r w:rsidRPr="00E36A86">
        <w:rPr>
          <w:rFonts w:ascii="Times New Roman" w:hAnsi="Times New Roman" w:cs="Times New Roman"/>
          <w:sz w:val="28"/>
          <w:szCs w:val="28"/>
        </w:rPr>
        <w:t>in that year and not be left over for such determination in subsequent years on completion of regular assessment as hitherto;</w:t>
      </w:r>
    </w:p>
    <w:p w14:paraId="500A14F3" w14:textId="3195EA38" w:rsidR="00CC0CFF" w:rsidRPr="00E36A86" w:rsidRDefault="00CC0CFF" w:rsidP="002B62E9">
      <w:pPr>
        <w:spacing w:line="300" w:lineRule="exact"/>
        <w:ind w:left="709" w:hanging="567"/>
        <w:jc w:val="both"/>
        <w:rPr>
          <w:rFonts w:ascii="Times New Roman" w:hAnsi="Times New Roman" w:cs="Times New Roman"/>
          <w:sz w:val="28"/>
          <w:szCs w:val="28"/>
        </w:rPr>
      </w:pPr>
      <w:r w:rsidRPr="00E36A86">
        <w:rPr>
          <w:rFonts w:ascii="Times New Roman" w:hAnsi="Times New Roman" w:cs="Times New Roman"/>
          <w:sz w:val="28"/>
          <w:szCs w:val="28"/>
        </w:rPr>
        <w:lastRenderedPageBreak/>
        <w:t>Now, therefore, in pursuance of sub-clause (a) and (c) of clause (3) of article 280 of the Constitution of India, the President is pleased to refer the following further matters to the Finance Commission, constituted by S.O. No. 812,</w:t>
      </w:r>
      <w:r w:rsidR="00A266C0">
        <w:rPr>
          <w:rFonts w:ascii="Times New Roman" w:hAnsi="Times New Roman" w:cs="Times New Roman"/>
          <w:sz w:val="28"/>
          <w:szCs w:val="28"/>
        </w:rPr>
        <w:t xml:space="preserve"> </w:t>
      </w:r>
      <w:r w:rsidRPr="00E36A86">
        <w:rPr>
          <w:rFonts w:ascii="Times New Roman" w:hAnsi="Times New Roman" w:cs="Times New Roman"/>
          <w:sz w:val="28"/>
          <w:szCs w:val="28"/>
        </w:rPr>
        <w:t>dated the 29</w:t>
      </w:r>
      <w:r w:rsidRPr="0074512A">
        <w:rPr>
          <w:rFonts w:ascii="Times New Roman" w:hAnsi="Times New Roman" w:cs="Times New Roman"/>
          <w:sz w:val="28"/>
          <w:szCs w:val="28"/>
          <w:vertAlign w:val="superscript"/>
        </w:rPr>
        <w:t>th</w:t>
      </w:r>
      <w:r w:rsidR="0074512A">
        <w:rPr>
          <w:rFonts w:ascii="Times New Roman" w:hAnsi="Times New Roman" w:cs="Times New Roman"/>
          <w:sz w:val="28"/>
          <w:szCs w:val="28"/>
        </w:rPr>
        <w:t xml:space="preserve"> </w:t>
      </w:r>
      <w:r w:rsidRPr="00E36A86">
        <w:rPr>
          <w:rFonts w:ascii="Times New Roman" w:hAnsi="Times New Roman" w:cs="Times New Roman"/>
          <w:sz w:val="28"/>
          <w:szCs w:val="28"/>
        </w:rPr>
        <w:t>February, 1968, namely:</w:t>
      </w:r>
      <w:r w:rsidR="0074512A">
        <w:rPr>
          <w:rFonts w:ascii="Times New Roman" w:hAnsi="Times New Roman" w:cs="Times New Roman"/>
          <w:sz w:val="28"/>
          <w:szCs w:val="28"/>
        </w:rPr>
        <w:t>-</w:t>
      </w:r>
    </w:p>
    <w:p w14:paraId="2DD28592" w14:textId="459DFBB7" w:rsidR="00CC0CFF" w:rsidRPr="00E36A86" w:rsidRDefault="00CC0CFF" w:rsidP="00BE3CC5">
      <w:pPr>
        <w:pStyle w:val="ListParagraph"/>
        <w:numPr>
          <w:ilvl w:val="0"/>
          <w:numId w:val="57"/>
        </w:numPr>
        <w:spacing w:line="300" w:lineRule="exact"/>
        <w:jc w:val="both"/>
        <w:rPr>
          <w:rFonts w:ascii="Times New Roman" w:hAnsi="Times New Roman" w:cs="Times New Roman"/>
          <w:sz w:val="28"/>
          <w:szCs w:val="28"/>
        </w:rPr>
      </w:pPr>
      <w:r w:rsidRPr="00E36A86">
        <w:rPr>
          <w:rFonts w:ascii="Times New Roman" w:hAnsi="Times New Roman" w:cs="Times New Roman"/>
          <w:sz w:val="28"/>
          <w:szCs w:val="28"/>
        </w:rPr>
        <w:t>the distribution of the Advance Tax already collected and not included in the net proceeds of taxes on income in the financial years until and including 1966-67as certified by the Comptroller and Auditor-General of India;</w:t>
      </w:r>
    </w:p>
    <w:p w14:paraId="005AFCF9" w14:textId="79833F80" w:rsidR="00CC0CFF" w:rsidRPr="00E36A86" w:rsidRDefault="00CC0CFF" w:rsidP="00BE3CC5">
      <w:pPr>
        <w:pStyle w:val="ListParagraph"/>
        <w:numPr>
          <w:ilvl w:val="0"/>
          <w:numId w:val="57"/>
        </w:numPr>
        <w:spacing w:line="300" w:lineRule="exact"/>
        <w:jc w:val="both"/>
        <w:rPr>
          <w:rFonts w:ascii="Times New Roman" w:hAnsi="Times New Roman" w:cs="Times New Roman"/>
          <w:sz w:val="28"/>
          <w:szCs w:val="28"/>
        </w:rPr>
      </w:pPr>
      <w:r w:rsidRPr="00E36A86">
        <w:rPr>
          <w:rFonts w:ascii="Times New Roman" w:hAnsi="Times New Roman" w:cs="Times New Roman"/>
          <w:sz w:val="28"/>
          <w:szCs w:val="28"/>
        </w:rPr>
        <w:t xml:space="preserve">the changes, if any, in the distribution between the Union and the States of the net proceeds of taxes on income as prescribed in the Constitution (Distribution of Revenue) Order, 1965, in so far as the taxes </w:t>
      </w:r>
      <w:r w:rsidR="009129FA" w:rsidRPr="00E36A86">
        <w:rPr>
          <w:rFonts w:ascii="Times New Roman" w:hAnsi="Times New Roman" w:cs="Times New Roman"/>
          <w:sz w:val="28"/>
          <w:szCs w:val="28"/>
        </w:rPr>
        <w:t>on income</w:t>
      </w:r>
      <w:r w:rsidRPr="00E36A86">
        <w:rPr>
          <w:rFonts w:ascii="Times New Roman" w:hAnsi="Times New Roman" w:cs="Times New Roman"/>
          <w:sz w:val="28"/>
          <w:szCs w:val="28"/>
        </w:rPr>
        <w:t xml:space="preserve"> collected in the financial years 1967-68and1968-69 are concerned, in the event of the net </w:t>
      </w:r>
      <w:r w:rsidR="009129FA" w:rsidRPr="00E36A86">
        <w:rPr>
          <w:rFonts w:ascii="Times New Roman" w:hAnsi="Times New Roman" w:cs="Times New Roman"/>
          <w:sz w:val="28"/>
          <w:szCs w:val="28"/>
        </w:rPr>
        <w:t>proceeds thereof</w:t>
      </w:r>
      <w:r w:rsidRPr="00E36A86">
        <w:rPr>
          <w:rFonts w:ascii="Times New Roman" w:hAnsi="Times New Roman" w:cs="Times New Roman"/>
          <w:sz w:val="28"/>
          <w:szCs w:val="28"/>
        </w:rPr>
        <w:t xml:space="preserve"> being certified by the Comptroller and Auditor-General of India after taking into account the Advance</w:t>
      </w:r>
      <w:r w:rsidRPr="00E36A86">
        <w:rPr>
          <w:rFonts w:ascii="Times New Roman" w:hAnsi="Times New Roman" w:cs="Times New Roman"/>
          <w:sz w:val="28"/>
          <w:szCs w:val="28"/>
        </w:rPr>
        <w:br/>
        <w:t>Tax collected in the respective years; and</w:t>
      </w:r>
    </w:p>
    <w:p w14:paraId="3DA78225" w14:textId="6513D854" w:rsidR="00CC0CFF" w:rsidRPr="00E36A86" w:rsidRDefault="00CC0CFF" w:rsidP="00BE3CC5">
      <w:pPr>
        <w:pStyle w:val="ListParagraph"/>
        <w:numPr>
          <w:ilvl w:val="0"/>
          <w:numId w:val="57"/>
        </w:numPr>
        <w:spacing w:line="300" w:lineRule="exact"/>
        <w:jc w:val="both"/>
        <w:rPr>
          <w:rFonts w:ascii="Times New Roman" w:hAnsi="Times New Roman" w:cs="Times New Roman"/>
          <w:sz w:val="28"/>
          <w:szCs w:val="28"/>
        </w:rPr>
      </w:pPr>
      <w:r w:rsidRPr="00E36A86">
        <w:rPr>
          <w:rFonts w:ascii="Times New Roman" w:hAnsi="Times New Roman" w:cs="Times New Roman"/>
          <w:sz w:val="28"/>
          <w:szCs w:val="28"/>
        </w:rPr>
        <w:t xml:space="preserve">the distribution of the net proceeds of taxes on </w:t>
      </w:r>
      <w:r w:rsidR="009129FA" w:rsidRPr="00E36A86">
        <w:rPr>
          <w:rFonts w:ascii="Times New Roman" w:hAnsi="Times New Roman" w:cs="Times New Roman"/>
          <w:sz w:val="28"/>
          <w:szCs w:val="28"/>
        </w:rPr>
        <w:t>income in</w:t>
      </w:r>
      <w:r w:rsidRPr="00E36A86">
        <w:rPr>
          <w:rFonts w:ascii="Times New Roman" w:hAnsi="Times New Roman" w:cs="Times New Roman"/>
          <w:sz w:val="28"/>
          <w:szCs w:val="28"/>
        </w:rPr>
        <w:t xml:space="preserve"> each of the financial years 1969-70 to 1973-74 </w:t>
      </w:r>
      <w:r w:rsidR="009129FA" w:rsidRPr="00E36A86">
        <w:rPr>
          <w:rFonts w:ascii="Times New Roman" w:hAnsi="Times New Roman" w:cs="Times New Roman"/>
          <w:sz w:val="28"/>
          <w:szCs w:val="28"/>
        </w:rPr>
        <w:t>as determined</w:t>
      </w:r>
      <w:r w:rsidRPr="00E36A86">
        <w:rPr>
          <w:rFonts w:ascii="Times New Roman" w:hAnsi="Times New Roman" w:cs="Times New Roman"/>
          <w:sz w:val="28"/>
          <w:szCs w:val="28"/>
        </w:rPr>
        <w:t xml:space="preserve"> on the revised basis.</w:t>
      </w:r>
    </w:p>
    <w:p w14:paraId="282DCA72" w14:textId="7C216A38" w:rsidR="009129FA" w:rsidRPr="00E36A86" w:rsidRDefault="00CC0CFF" w:rsidP="002B62E9">
      <w:pPr>
        <w:numPr>
          <w:ilvl w:val="0"/>
          <w:numId w:val="5"/>
        </w:numPr>
        <w:spacing w:line="300" w:lineRule="exact"/>
        <w:jc w:val="both"/>
        <w:rPr>
          <w:rFonts w:ascii="Times New Roman" w:hAnsi="Times New Roman" w:cs="Times New Roman"/>
          <w:sz w:val="28"/>
          <w:szCs w:val="28"/>
        </w:rPr>
      </w:pPr>
      <w:r w:rsidRPr="00E36A86">
        <w:rPr>
          <w:rFonts w:ascii="Times New Roman" w:hAnsi="Times New Roman" w:cs="Times New Roman"/>
          <w:sz w:val="28"/>
          <w:szCs w:val="28"/>
        </w:rPr>
        <w:t xml:space="preserve">The Commission shall take into account the effect of </w:t>
      </w:r>
      <w:r w:rsidR="009129FA" w:rsidRPr="00E36A86">
        <w:rPr>
          <w:rFonts w:ascii="Times New Roman" w:hAnsi="Times New Roman" w:cs="Times New Roman"/>
          <w:sz w:val="28"/>
          <w:szCs w:val="28"/>
        </w:rPr>
        <w:t>the recommendations</w:t>
      </w:r>
      <w:r w:rsidRPr="00E36A86">
        <w:rPr>
          <w:rFonts w:ascii="Times New Roman" w:hAnsi="Times New Roman" w:cs="Times New Roman"/>
          <w:sz w:val="28"/>
          <w:szCs w:val="28"/>
        </w:rPr>
        <w:t xml:space="preserve"> made by them on the matters </w:t>
      </w:r>
      <w:r w:rsidR="009129FA" w:rsidRPr="00E36A86">
        <w:rPr>
          <w:rFonts w:ascii="Times New Roman" w:hAnsi="Times New Roman" w:cs="Times New Roman"/>
          <w:sz w:val="28"/>
          <w:szCs w:val="28"/>
        </w:rPr>
        <w:t>specified in</w:t>
      </w:r>
      <w:r w:rsidRPr="00E36A86">
        <w:rPr>
          <w:rFonts w:ascii="Times New Roman" w:hAnsi="Times New Roman" w:cs="Times New Roman"/>
          <w:sz w:val="28"/>
          <w:szCs w:val="28"/>
        </w:rPr>
        <w:t xml:space="preserve"> paragraph 1 above in making their recommendations</w:t>
      </w:r>
      <w:r w:rsidR="009129FA" w:rsidRPr="00E36A86">
        <w:rPr>
          <w:rFonts w:ascii="Times New Roman" w:hAnsi="Times New Roman" w:cs="Times New Roman"/>
          <w:sz w:val="28"/>
          <w:szCs w:val="28"/>
        </w:rPr>
        <w:t xml:space="preserve"> under S.O. 812 aforesaid, as to the distribution between</w:t>
      </w:r>
      <w:r w:rsidR="009129FA" w:rsidRPr="00E36A86">
        <w:rPr>
          <w:rFonts w:ascii="Times New Roman" w:hAnsi="Times New Roman" w:cs="Times New Roman"/>
          <w:sz w:val="28"/>
          <w:szCs w:val="28"/>
        </w:rPr>
        <w:br/>
        <w:t>the Union and the States of the net proceeds of taxes which</w:t>
      </w:r>
      <w:r w:rsidR="009129FA" w:rsidRPr="00E36A86">
        <w:rPr>
          <w:rFonts w:ascii="Times New Roman" w:hAnsi="Times New Roman" w:cs="Times New Roman"/>
          <w:sz w:val="28"/>
          <w:szCs w:val="28"/>
        </w:rPr>
        <w:br/>
        <w:t xml:space="preserve">are to be, or may be, divided between them and the </w:t>
      </w:r>
      <w:r w:rsidR="00A266C0">
        <w:rPr>
          <w:rFonts w:ascii="Times New Roman" w:hAnsi="Times New Roman" w:cs="Times New Roman"/>
          <w:sz w:val="28"/>
          <w:szCs w:val="28"/>
        </w:rPr>
        <w:t xml:space="preserve">allocation </w:t>
      </w:r>
      <w:r w:rsidR="009129FA" w:rsidRPr="00E36A86">
        <w:rPr>
          <w:rFonts w:ascii="Times New Roman" w:hAnsi="Times New Roman" w:cs="Times New Roman"/>
          <w:sz w:val="28"/>
          <w:szCs w:val="28"/>
        </w:rPr>
        <w:t>between the States of the respective shares of such proceeds under sub-clause (a) of clause (3) of article 280of the Constitution and also as to the determination of the sums to be paid as grants-in-aid of the revenues of the States in need of assistance under clause (1) of article 275of the Constitution."</w:t>
      </w:r>
    </w:p>
    <w:p w14:paraId="7FBC4689" w14:textId="76FE3545" w:rsidR="009129FA" w:rsidRPr="00E36A86" w:rsidRDefault="009129FA" w:rsidP="00F07925">
      <w:pPr>
        <w:pStyle w:val="Heading3"/>
      </w:pPr>
      <w:r w:rsidRPr="00E36A86">
        <w:t>We assumed office on the 15</w:t>
      </w:r>
      <w:r w:rsidRPr="0074512A">
        <w:rPr>
          <w:vertAlign w:val="superscript"/>
        </w:rPr>
        <w:t>th</w:t>
      </w:r>
      <w:r w:rsidR="0074512A">
        <w:t xml:space="preserve"> </w:t>
      </w:r>
      <w:r w:rsidRPr="00E36A86">
        <w:t>March, 1968. The Chairman served on the Commission on a part-time basis up to 31st July, 1968and thereafter rendered whole-time service. Of the other Members, Shri P. C. Bhattacharyya rendered part-time service till the date of his sudden demise on the 13</w:t>
      </w:r>
      <w:r w:rsidRPr="0074512A">
        <w:rPr>
          <w:vertAlign w:val="superscript"/>
        </w:rPr>
        <w:t>th</w:t>
      </w:r>
      <w:r w:rsidR="0074512A">
        <w:t xml:space="preserve"> </w:t>
      </w:r>
      <w:r w:rsidRPr="00E36A86">
        <w:t>February, 1969. His untimely death has been a great loss to the Commission, and we place on record our appreciation and gratitude for the valuable contribution made by him in the Commission's deliberations with his keen intellect, pro-found learning and wide experience.</w:t>
      </w:r>
    </w:p>
    <w:p w14:paraId="74EAEEC7" w14:textId="515F62F5" w:rsidR="009129FA" w:rsidRPr="00E36A86" w:rsidRDefault="009129FA" w:rsidP="00F07925">
      <w:pPr>
        <w:pStyle w:val="Heading3"/>
      </w:pPr>
      <w:r w:rsidRPr="00E36A86">
        <w:t>In place of the late Shri P. C. Bhattacharyya, the President by his Order dated the 19</w:t>
      </w:r>
      <w:r w:rsidRPr="0074512A">
        <w:rPr>
          <w:vertAlign w:val="superscript"/>
        </w:rPr>
        <w:t>th</w:t>
      </w:r>
      <w:r w:rsidR="0074512A">
        <w:t xml:space="preserve"> </w:t>
      </w:r>
      <w:r w:rsidRPr="00E36A86">
        <w:t>February, 1969, appointed Shri G.</w:t>
      </w:r>
      <w:r w:rsidR="0074512A">
        <w:t xml:space="preserve"> </w:t>
      </w:r>
      <w:r w:rsidRPr="00E36A86">
        <w:t>Swaminathan, former Additional Deputy Comptroller and Auditor-General of India, as a part-time Member of the Commission. Shri Swaminathan assumed office as Member on the 21</w:t>
      </w:r>
      <w:r w:rsidRPr="0074512A">
        <w:rPr>
          <w:vertAlign w:val="superscript"/>
        </w:rPr>
        <w:t>st</w:t>
      </w:r>
      <w:r w:rsidR="0074512A">
        <w:t xml:space="preserve"> </w:t>
      </w:r>
      <w:r w:rsidRPr="00E36A86">
        <w:t>February, 1969.</w:t>
      </w:r>
    </w:p>
    <w:p w14:paraId="73D72F9E" w14:textId="6BD4E393" w:rsidR="009129FA" w:rsidRPr="00E36A86" w:rsidRDefault="009129FA" w:rsidP="00F07925">
      <w:pPr>
        <w:pStyle w:val="Heading3"/>
      </w:pPr>
      <w:r w:rsidRPr="00E36A86">
        <w:t>We held our first meeting</w:t>
      </w:r>
      <w:r w:rsidR="00D62D61">
        <w:t>s</w:t>
      </w:r>
      <w:r w:rsidRPr="00E36A86">
        <w:t xml:space="preserve"> on the 16</w:t>
      </w:r>
      <w:r w:rsidRPr="0074512A">
        <w:rPr>
          <w:vertAlign w:val="superscript"/>
        </w:rPr>
        <w:t>th</w:t>
      </w:r>
      <w:r w:rsidR="0074512A">
        <w:t xml:space="preserve"> </w:t>
      </w:r>
      <w:r w:rsidRPr="00E36A86">
        <w:t xml:space="preserve">March, 1968 and adopted rules of procedure similar to those framed by the Fourth Finance Commission. A Press Note was issued on the same day indicating the terms of reference of the Commission and </w:t>
      </w:r>
      <w:r w:rsidRPr="00E36A86">
        <w:lastRenderedPageBreak/>
        <w:t>inviting written memoranda setting out views and specific suggestions from those interested in the matter.</w:t>
      </w:r>
    </w:p>
    <w:p w14:paraId="214AACD2" w14:textId="5EA14873" w:rsidR="009129FA" w:rsidRPr="00E36A86" w:rsidRDefault="009129FA" w:rsidP="00F07925">
      <w:pPr>
        <w:pStyle w:val="Heading3"/>
      </w:pPr>
      <w:r w:rsidRPr="00E36A86">
        <w:t>Before the actual appointment of the Commission our Member-Secretary was appointed as Officer on Special Duty to attend to the preliminary work in the Union Finance Ministry. He addressed the State Governments and the Accountants General in advance for supply of material required in connection with the work of the Commission. The State Governments were requested to supply the forecast of revenue receipts and non-Plan revenue expenditure for the 5 years 1969-70 to 1973-74 and information on various subsidiary points by the 5</w:t>
      </w:r>
      <w:r w:rsidRPr="0074512A">
        <w:rPr>
          <w:vertAlign w:val="superscript"/>
        </w:rPr>
        <w:t>th</w:t>
      </w:r>
      <w:r w:rsidR="0074512A">
        <w:t xml:space="preserve"> </w:t>
      </w:r>
      <w:r w:rsidRPr="00E36A86">
        <w:t>April, 1968. The Union Finance Ministry was also requested to send its forecast and other information by the</w:t>
      </w:r>
      <w:r w:rsidR="0074512A">
        <w:t xml:space="preserve"> </w:t>
      </w:r>
      <w:r w:rsidRPr="00E36A86">
        <w:t>15</w:t>
      </w:r>
      <w:r w:rsidRPr="0074512A">
        <w:rPr>
          <w:vertAlign w:val="superscript"/>
        </w:rPr>
        <w:t>th</w:t>
      </w:r>
      <w:r w:rsidR="0074512A">
        <w:t xml:space="preserve"> </w:t>
      </w:r>
      <w:r w:rsidRPr="00E36A86">
        <w:t>April, 1968. These dates were later extended. The State Governments were asked to submit the information in so far as it was relevant for the interim Report by the end of May, 1968 and their forecasts and Memoranda for the final Report by the end of September, 1968. However, due to certain Constitutional changes and mid-term elections in certain States we received the required material from some of them as late as in March, 1969.</w:t>
      </w:r>
    </w:p>
    <w:p w14:paraId="48D4C7D5" w14:textId="36CF01E2" w:rsidR="009129FA" w:rsidRPr="00E36A86" w:rsidRDefault="009129FA" w:rsidP="00F07925">
      <w:pPr>
        <w:pStyle w:val="Heading3"/>
      </w:pPr>
      <w:r w:rsidRPr="00E36A86">
        <w:t>The Comptroller and Auditor-General of India was requested</w:t>
      </w:r>
      <w:r w:rsidR="0074512A">
        <w:t xml:space="preserve"> </w:t>
      </w:r>
      <w:r w:rsidRPr="00E36A86">
        <w:t>to instruct his principal civil Accounts Officers to supply such statistical material as the Commission might call for and also to meet it for</w:t>
      </w:r>
      <w:r w:rsidR="0074512A">
        <w:t xml:space="preserve"> </w:t>
      </w:r>
      <w:r w:rsidRPr="00E36A86">
        <w:t>discussion when the Commission visited the State headquarters.</w:t>
      </w:r>
    </w:p>
    <w:p w14:paraId="737BFF36" w14:textId="0D6B0463" w:rsidR="001B1288" w:rsidRPr="00E36A86" w:rsidRDefault="009129FA" w:rsidP="00F07925">
      <w:pPr>
        <w:pStyle w:val="Heading3"/>
      </w:pPr>
      <w:r w:rsidRPr="00E36A86">
        <w:t>In view of the limited time available for submission of the interim Report, we invited the State Governments to send their representatives to New Delhi for discussions in respect of all matters to be covered by the interim Report. These discussions were held during the period June to August, 1968.</w:t>
      </w:r>
    </w:p>
    <w:p w14:paraId="2E3DC4C6" w14:textId="049B3E9B" w:rsidR="009129FA" w:rsidRPr="00E36A86" w:rsidRDefault="009129FA" w:rsidP="00F07925">
      <w:pPr>
        <w:pStyle w:val="Heading3"/>
      </w:pPr>
      <w:r w:rsidRPr="00E36A86">
        <w:t>Our interim Report covering items (c), (d) and (j) of paragraph 4 of the Presidential Order and making interim recommendations for devolutions and grants in respect of the financial year 1969-70</w:t>
      </w:r>
      <w:r w:rsidR="005B14D5">
        <w:t xml:space="preserve"> </w:t>
      </w:r>
      <w:r w:rsidRPr="00E36A86">
        <w:t>was submitted to the President on the 31</w:t>
      </w:r>
      <w:r w:rsidRPr="0074512A">
        <w:rPr>
          <w:vertAlign w:val="superscript"/>
        </w:rPr>
        <w:t>st</w:t>
      </w:r>
      <w:r w:rsidR="0074512A">
        <w:t xml:space="preserve"> </w:t>
      </w:r>
      <w:r w:rsidRPr="00E36A86">
        <w:t>October, 1968. A copy</w:t>
      </w:r>
      <w:r w:rsidR="00E36A86" w:rsidRPr="00E36A86">
        <w:t xml:space="preserve"> </w:t>
      </w:r>
      <w:r w:rsidRPr="00E36A86">
        <w:t>of the interim Report is included as Annexure to this final Report.</w:t>
      </w:r>
    </w:p>
    <w:p w14:paraId="34B67EAF" w14:textId="4112C5A8" w:rsidR="009129FA" w:rsidRPr="00E36A86" w:rsidRDefault="009129FA" w:rsidP="00F07925">
      <w:pPr>
        <w:pStyle w:val="Heading3"/>
      </w:pPr>
      <w:r w:rsidRPr="00E36A86">
        <w:t xml:space="preserve">We commenced our discussions and consultations with the State Governments for our final Report in November, 1968, and visited the headquarters of each State for this purpose. Owing mainly to the delay in receipt of forecasts and other necessary material from certain States we were able to complete our visits to all the States only in April, 1969. The dates of the discussions are indicated at Appendix II. They generally commenced with meetings with the Chief Minister, Finance Minister and other Ministers or with the Governor and his senior advisers in case of States then under the President's rule. Thereafter, we had detailed discussions with senior officials for clarification and elucidation of their forecasts and examination of the memoranda and other material furnished. A final meeting was also generally held with the Chief Minister and other Ministers or the Governor. The Chief Minister of Jammu and Kashmir, whom we were not able to meet when we visited the State, was kind enough to come to New Delhi for discussions soon after our return. The Chief Minister of Orissa also held further discussions with us at New Delhi. At the time of </w:t>
      </w:r>
      <w:r w:rsidRPr="00E36A86">
        <w:lastRenderedPageBreak/>
        <w:t>our visits to Bihar, Punjab, Uttar Pradesh and West Bengal, these States were under President's rule. After the formation of representative Governments in these States, the Finance Minister of Punjab and the Chief Minister and Finance Minister of Uttar Pradesh had supplementary discussions with us at New Delhi. All these discussions with the representatives of State Governments at various levels were held in private sessions,</w:t>
      </w:r>
      <w:r w:rsidR="00E36A86" w:rsidRPr="00E36A86">
        <w:t xml:space="preserve"> </w:t>
      </w:r>
      <w:r w:rsidRPr="00E36A86">
        <w:t>and they were frank and informative and gave us a clear picture of their various problems and difficulties as well as their policies and programmes in various matters. We wish to place on record our sincere appreciation and gratitude for the assistance, co-operation</w:t>
      </w:r>
      <w:r w:rsidR="00E36A86" w:rsidRPr="00E36A86">
        <w:t xml:space="preserve"> </w:t>
      </w:r>
      <w:r w:rsidRPr="00E36A86">
        <w:t>and hospitality which we received in ample measure from all the State Governments.</w:t>
      </w:r>
    </w:p>
    <w:p w14:paraId="548F7CEA" w14:textId="28AF1D6F" w:rsidR="006018E2" w:rsidRPr="00E36A86" w:rsidRDefault="006018E2" w:rsidP="00F07925">
      <w:pPr>
        <w:pStyle w:val="Heading3"/>
      </w:pPr>
      <w:r w:rsidRPr="00E36A86">
        <w:t>Both at the time of discussions with State Governments' representatives at New Delhi in connection with the interim Report and at State headquarters for the final Report, the Accountants General of the respective States were present. The Commission had also separate meeting with the Accountant General at the end of discussion with the State's representatives. Our thanks are due to these officers and to the Comptroller and Auditor-General for all the assistance which they have readily rendered to us.</w:t>
      </w:r>
    </w:p>
    <w:p w14:paraId="5AF96A04" w14:textId="25F17AF5" w:rsidR="006018E2" w:rsidRPr="00E36A86" w:rsidRDefault="006018E2" w:rsidP="00F07925">
      <w:pPr>
        <w:pStyle w:val="Heading3"/>
      </w:pPr>
      <w:r w:rsidRPr="00E36A86">
        <w:t>In some State Capitals, on the conclusion of our discussions with the State Governments we met representatives of the Press to keep them informed of the progress of our work, though it was obviously not possible for us to indicate to them any views or conclusions on various matters, which we had still to formulate after completion of the discussions with all State Governments as well as the Government of India. We should like to express our appreciation of the interest shown by the Press in our work.</w:t>
      </w:r>
    </w:p>
    <w:p w14:paraId="2D6502DB" w14:textId="6B46CE3F" w:rsidR="006018E2" w:rsidRPr="00E36A86" w:rsidRDefault="006018E2" w:rsidP="00F07925">
      <w:pPr>
        <w:pStyle w:val="Heading3"/>
      </w:pPr>
      <w:r w:rsidRPr="00E36A86">
        <w:t>Towards the conclusion of our work, we had discussions with the Cabinet Secretary and the Secretaries of the Finance Ministry, Government of India, and with the Chairmen of the Railway Board and the Central Board of Direct Taxes. We had also the opportunity of exchanging views with other distinguished persons including Dr. V. K. R. V. Rao, Minister of Education and Youth Services, Dr. K. L. Rao, Minister of Irrigation and Power, Shri K. Santhanam, Chairman of the Second Finance Commission, Shri A. K. Chanda, former</w:t>
      </w:r>
      <w:r w:rsidR="002D6CEF" w:rsidRPr="00E36A86">
        <w:t xml:space="preserve"> </w:t>
      </w:r>
      <w:r w:rsidRPr="00E36A86">
        <w:t>Comptroller and Auditor-General of India and Chairman of the Third</w:t>
      </w:r>
      <w:r w:rsidR="002D6CEF" w:rsidRPr="00E36A86">
        <w:t xml:space="preserve"> </w:t>
      </w:r>
      <w:r w:rsidRPr="00E36A86">
        <w:t>Finance Commission, Dr. D. R. Gadgil, Deputy Chairman of the</w:t>
      </w:r>
      <w:r w:rsidR="002D6CEF" w:rsidRPr="00E36A86">
        <w:t xml:space="preserve"> </w:t>
      </w:r>
      <w:r w:rsidRPr="00E36A86">
        <w:t>Planning Commission, Shri B. Venkatappiah, Member of the</w:t>
      </w:r>
      <w:r w:rsidR="002D6CEF" w:rsidRPr="00E36A86">
        <w:t xml:space="preserve"> </w:t>
      </w:r>
      <w:r w:rsidRPr="00E36A86">
        <w:t>Planning Commission and Shri N. Rajagopala Ayyangar, Chairman</w:t>
      </w:r>
      <w:r w:rsidRPr="00E36A86">
        <w:br/>
        <w:t>of the Press Council of India. A complete list of persons who appeared before the Commission is given in Appendix IV.</w:t>
      </w:r>
    </w:p>
    <w:p w14:paraId="172B5883" w14:textId="7A772E4E" w:rsidR="006018E2" w:rsidRPr="00E36A86" w:rsidRDefault="006018E2" w:rsidP="00F07925">
      <w:pPr>
        <w:pStyle w:val="Heading3"/>
      </w:pPr>
      <w:r w:rsidRPr="00E36A86">
        <w:t>In pursuance of the Press Note issued by the Commission a</w:t>
      </w:r>
      <w:r w:rsidR="002D6CEF" w:rsidRPr="00E36A86">
        <w:t xml:space="preserve"> </w:t>
      </w:r>
      <w:r w:rsidRPr="00E36A86">
        <w:t>number of memoranda was received from the various Chambers of</w:t>
      </w:r>
      <w:r w:rsidR="002D6CEF" w:rsidRPr="00E36A86">
        <w:t xml:space="preserve"> </w:t>
      </w:r>
      <w:r w:rsidRPr="00E36A86">
        <w:t>Commerce and Industry, Universities, Economists, Members of</w:t>
      </w:r>
      <w:r w:rsidR="002D6CEF" w:rsidRPr="00E36A86">
        <w:t xml:space="preserve"> </w:t>
      </w:r>
      <w:r w:rsidRPr="00E36A86">
        <w:t>Parliament and State Legislatures and others. A list of the organisations and individuals who sent memoranda is given in Appendix III.</w:t>
      </w:r>
      <w:r w:rsidR="002D6CEF" w:rsidRPr="00E36A86">
        <w:t xml:space="preserve"> </w:t>
      </w:r>
      <w:r w:rsidRPr="00E36A86">
        <w:t>The Commission also held discussions with a number of individuals</w:t>
      </w:r>
      <w:r w:rsidR="002D6CEF" w:rsidRPr="00E36A86">
        <w:t xml:space="preserve"> </w:t>
      </w:r>
      <w:r w:rsidRPr="00E36A86">
        <w:t xml:space="preserve">and representatives of Chambers of Commerce and other organisations at the various State headquarters and at New Delhi as indicated in Appendix IV. We are grateful to </w:t>
      </w:r>
      <w:r w:rsidRPr="00E36A86">
        <w:lastRenderedPageBreak/>
        <w:t>all the persons and organisations who have assisted us in our work, for sending their written</w:t>
      </w:r>
      <w:r w:rsidR="002D6CEF" w:rsidRPr="00E36A86">
        <w:t xml:space="preserve"> </w:t>
      </w:r>
      <w:r w:rsidRPr="00E36A86">
        <w:t>memoranda and responding to our request to meet us for personal</w:t>
      </w:r>
      <w:r w:rsidR="002D6CEF" w:rsidRPr="00E36A86">
        <w:t xml:space="preserve"> </w:t>
      </w:r>
      <w:r w:rsidRPr="00E36A86">
        <w:t>discussions at New Delhi and various State headquarters.</w:t>
      </w:r>
    </w:p>
    <w:p w14:paraId="74EF61F8" w14:textId="4B995A77" w:rsidR="006018E2" w:rsidRPr="00E36A86" w:rsidRDefault="006018E2" w:rsidP="00F07925">
      <w:pPr>
        <w:pStyle w:val="Heading3"/>
      </w:pPr>
      <w:r w:rsidRPr="00F07925">
        <w:t>We wish to place on record our sense of appreciation of the</w:t>
      </w:r>
      <w:r w:rsidR="002D6CEF" w:rsidRPr="00F07925">
        <w:t xml:space="preserve"> </w:t>
      </w:r>
      <w:r w:rsidRPr="00F07925">
        <w:t>very useful work done by our officers and the members of our staff.</w:t>
      </w:r>
      <w:r w:rsidR="002D6CEF" w:rsidRPr="00F07925">
        <w:t xml:space="preserve"> </w:t>
      </w:r>
      <w:r w:rsidRPr="00F07925">
        <w:t>Our Joint Secretary, Shri G. C. Katoch, and Deputy Secretaries, Shri</w:t>
      </w:r>
      <w:r w:rsidR="002D6CEF" w:rsidRPr="00F07925">
        <w:t xml:space="preserve"> </w:t>
      </w:r>
      <w:r w:rsidRPr="00F07925">
        <w:t>R. K. Mukherji and Dr. V. P. Kachwaha, efficiently carried out their</w:t>
      </w:r>
      <w:r w:rsidR="00E36A86" w:rsidRPr="00F07925">
        <w:t xml:space="preserve"> </w:t>
      </w:r>
      <w:r w:rsidRPr="00F07925">
        <w:t>onerous responsibilities of collecting, analysing and placing for our</w:t>
      </w:r>
      <w:r w:rsidR="002D6CEF" w:rsidRPr="00F07925">
        <w:t xml:space="preserve"> </w:t>
      </w:r>
      <w:r w:rsidRPr="00F07925">
        <w:t>consideration a large mass of information from several sources and</w:t>
      </w:r>
      <w:r w:rsidR="002D6CEF" w:rsidRPr="00F07925">
        <w:t xml:space="preserve"> </w:t>
      </w:r>
      <w:r w:rsidRPr="00F07925">
        <w:t>assisted us in our deliberations. Our Under Secretary, Shri G. H.</w:t>
      </w:r>
      <w:r w:rsidR="002D6CEF" w:rsidRPr="00F07925">
        <w:t xml:space="preserve"> </w:t>
      </w:r>
      <w:r w:rsidRPr="00F07925">
        <w:t>Bijlani, and our team of Senior Research Officers consisting of Sarva-shri T. S. Rangamannar, R. D. Gupta, G. G. Nair, S. P. Sharma and</w:t>
      </w:r>
      <w:r w:rsidR="002D6CEF" w:rsidRPr="00F07925">
        <w:t xml:space="preserve"> </w:t>
      </w:r>
      <w:r w:rsidRPr="00F07925">
        <w:t>K. V. Nambiar and the technical staff did excellent work, often at</w:t>
      </w:r>
      <w:r w:rsidR="002D6CEF" w:rsidRPr="00F07925">
        <w:t xml:space="preserve"> </w:t>
      </w:r>
      <w:r w:rsidRPr="00F07925">
        <w:t>great pressure, in collecting and processing the budgetary data an</w:t>
      </w:r>
      <w:r w:rsidR="002D6CEF" w:rsidRPr="00F07925">
        <w:t xml:space="preserve">d </w:t>
      </w:r>
      <w:r w:rsidRPr="00F07925">
        <w:t>other statistics and material for our use and in detailed scrutiny of</w:t>
      </w:r>
      <w:r w:rsidR="00E36A86" w:rsidRPr="00F07925">
        <w:t xml:space="preserve"> </w:t>
      </w:r>
      <w:r w:rsidRPr="00F07925">
        <w:t>the forecasts furnished by the State Governments and the Government of India. Our Superintendent, Shri P. Seshadri, and the staff</w:t>
      </w:r>
      <w:r w:rsidR="002D6CEF" w:rsidRPr="00F07925">
        <w:t xml:space="preserve"> </w:t>
      </w:r>
      <w:r w:rsidRPr="00F07925">
        <w:t>under him efficiently looked after the running of the office; and our</w:t>
      </w:r>
      <w:r w:rsidR="002D6CEF" w:rsidRPr="00F07925">
        <w:t xml:space="preserve"> </w:t>
      </w:r>
      <w:r w:rsidRPr="00F07925">
        <w:t>personal staff ungrudgingly carried out the duties assigned to them</w:t>
      </w:r>
      <w:r w:rsidR="002D6CEF" w:rsidRPr="00F07925">
        <w:t xml:space="preserve"> </w:t>
      </w:r>
      <w:r w:rsidRPr="00F07925">
        <w:t>at all times. But for the diligence and willing co-operation of all the</w:t>
      </w:r>
      <w:r w:rsidR="002D6CEF" w:rsidRPr="00F07925">
        <w:t xml:space="preserve"> </w:t>
      </w:r>
      <w:r w:rsidRPr="00F07925">
        <w:t>officers and members of our staff it would not have been possible for</w:t>
      </w:r>
      <w:r w:rsidR="002D6CEF" w:rsidRPr="00F07925">
        <w:t xml:space="preserve"> </w:t>
      </w:r>
      <w:r w:rsidRPr="00F07925">
        <w:t>the Commission to complete its task satisfactorily,</w:t>
      </w:r>
      <w:r w:rsidR="002D6CEF" w:rsidRPr="00F07925">
        <w:t xml:space="preserve"> </w:t>
      </w:r>
      <w:r w:rsidRPr="00F07925">
        <w:t>and we are deeply</w:t>
      </w:r>
      <w:r w:rsidR="0074512A">
        <w:t xml:space="preserve"> </w:t>
      </w:r>
      <w:r w:rsidRPr="00F07925">
        <w:t>grateful to them all</w:t>
      </w:r>
      <w:r w:rsidRPr="00E36A86">
        <w:t>.</w:t>
      </w:r>
    </w:p>
    <w:p w14:paraId="1FB7F773" w14:textId="2308727F" w:rsidR="006018E2" w:rsidRPr="007245B0" w:rsidRDefault="006018E2" w:rsidP="006018E2">
      <w:pPr>
        <w:rPr>
          <w:rFonts w:ascii="Times New Roman" w:hAnsi="Times New Roman" w:cs="Times New Roman"/>
        </w:rPr>
      </w:pPr>
      <w:r w:rsidRPr="007245B0">
        <w:rPr>
          <w:rFonts w:ascii="Times New Roman" w:hAnsi="Times New Roman" w:cs="Times New Roman"/>
        </w:rPr>
        <w:t xml:space="preserve">                                                                                                                                                                       </w:t>
      </w:r>
    </w:p>
    <w:p w14:paraId="5011BE86" w14:textId="77777777" w:rsidR="00E36A86" w:rsidRDefault="00E36A86">
      <w:pPr>
        <w:rPr>
          <w:rFonts w:ascii="Times New Roman" w:hAnsi="Times New Roman" w:cs="Times New Roman"/>
          <w:b/>
          <w:bCs/>
        </w:rPr>
      </w:pPr>
      <w:r>
        <w:rPr>
          <w:rFonts w:ascii="Times New Roman" w:hAnsi="Times New Roman" w:cs="Times New Roman"/>
          <w:b/>
          <w:bCs/>
        </w:rPr>
        <w:br w:type="page"/>
      </w:r>
    </w:p>
    <w:p w14:paraId="04178447" w14:textId="18D39892" w:rsidR="002D6CEF" w:rsidRPr="007245B0" w:rsidRDefault="002B3279" w:rsidP="002B3279">
      <w:pPr>
        <w:pStyle w:val="Heading1"/>
      </w:pPr>
      <w:r>
        <w:lastRenderedPageBreak/>
        <w:br/>
      </w:r>
      <w:bookmarkStart w:id="3" w:name="_Toc220949666"/>
      <w:bookmarkStart w:id="4" w:name="_Toc221115289"/>
      <w:r w:rsidR="002D6CEF" w:rsidRPr="007245B0">
        <w:t>THE PROBLEMS—OUR APPROACH</w:t>
      </w:r>
      <w:bookmarkEnd w:id="3"/>
      <w:bookmarkEnd w:id="4"/>
    </w:p>
    <w:p w14:paraId="153A5BC2" w14:textId="77777777" w:rsidR="002D6CEF" w:rsidRPr="00686F52" w:rsidRDefault="002D6CEF" w:rsidP="00686F52">
      <w:pPr>
        <w:jc w:val="center"/>
        <w:rPr>
          <w:rFonts w:ascii="Times New Roman" w:hAnsi="Times New Roman" w:cs="Times New Roman"/>
          <w:b/>
          <w:bCs/>
          <w:sz w:val="28"/>
          <w:szCs w:val="28"/>
        </w:rPr>
      </w:pPr>
      <w:r w:rsidRPr="00686F52">
        <w:rPr>
          <w:rFonts w:ascii="Times New Roman" w:hAnsi="Times New Roman" w:cs="Times New Roman"/>
          <w:b/>
          <w:bCs/>
          <w:sz w:val="28"/>
          <w:szCs w:val="28"/>
        </w:rPr>
        <w:t>I.—Union-State financial relationships</w:t>
      </w:r>
    </w:p>
    <w:p w14:paraId="7ADECB49" w14:textId="3A5F545A" w:rsidR="002D6CEF" w:rsidRPr="00686F52" w:rsidRDefault="002D6CEF" w:rsidP="00686F52">
      <w:pPr>
        <w:pStyle w:val="Heading3"/>
      </w:pPr>
      <w:r w:rsidRPr="00686F52">
        <w:t>In our Constitution, India is described as a Union of States. Due to a number of provisions in it tending towards a strong Centre, eminent Constitutional writers have described the Indian Constitution as quasi-federal. The imbalance between the functional responsibilities assigned to the States and the financial resources allocated to them, which is a general feature of many full-fledged federations, also exists in India. Many economic, social and develop-mental services like education, medicine and public health, agriculture, cooperation, small industries, etc., require local supervision and nearness of the governing authority, and they have been naturally included in the functions of States which are in more direct contact with the people. In a developing economy these services have to grow rapidly. On the other hand, in</w:t>
      </w:r>
      <w:r w:rsidR="00290983" w:rsidRPr="00686F52">
        <w:t xml:space="preserve"> </w:t>
      </w:r>
      <w:r w:rsidRPr="00686F52">
        <w:t>regard to distribution of powers</w:t>
      </w:r>
      <w:r w:rsidR="00686F52">
        <w:t xml:space="preserve"> </w:t>
      </w:r>
      <w:r w:rsidRPr="00686F52">
        <w:t>of taxation, the Constitution has recognised adequately the economic allegiance of taxes and has assigned each tax exclusively to one or other of the two layers of Government which is best in a position to levy and collect it, thereby attempting to avoid overlapping of</w:t>
      </w:r>
      <w:r w:rsidR="0074512A">
        <w:t xml:space="preserve"> </w:t>
      </w:r>
      <w:r w:rsidRPr="00686F52">
        <w:t>tax jurisdiction. In view of the increasing trend of the economy towards integration under modern conditions, the taxes assigned to the Union have been producing increasingly larger yields. This has resulted in the Union having relatively larger resources than the</w:t>
      </w:r>
      <w:r w:rsidR="00686F52">
        <w:t xml:space="preserve"> </w:t>
      </w:r>
      <w:r w:rsidRPr="00686F52">
        <w:t>States, and consequently there is need for substantial transfers to the States. The changes in the assignment of tax powers which have been adopted hitherto, for instance the amendment of the Constitution regarding tax on inter-State sales and the arrangements in respect of estate duty on agricultural land, have been in the direction of giving further tax powers to the Union. In the current discussions on the question of Union-State financial relationships, while increase in the functions and powers of States is being generally demanded, no clear suggestions have yet emerged regarding the tax powers which should be transferred to the States. On the other hand there is a large school of opinion that advocates the centralization of the tax on agricultural income. There is a chronic gap between the States' own revenues and their expenditure commitments and consequently there is persistent and growing need for larger transfers of funds to States.</w:t>
      </w:r>
    </w:p>
    <w:p w14:paraId="5A039134" w14:textId="5AA1B7FA" w:rsidR="00290983" w:rsidRPr="00686F52" w:rsidRDefault="002D6CEF" w:rsidP="00B77C0B">
      <w:pPr>
        <w:pStyle w:val="Heading3"/>
      </w:pPr>
      <w:r w:rsidRPr="00686F52">
        <w:t>A distinguishing feature of Union-State financial relationships in India is the explicit recognition in the Constitution of the varying nature of this need and the provision of a periodical review of the situation by a quasi-judicial body. Aware of the experience</w:t>
      </w:r>
      <w:r w:rsidR="00686F52">
        <w:t xml:space="preserve"> </w:t>
      </w:r>
      <w:r w:rsidRPr="00686F52">
        <w:t>of other federations regarding the great disparity between the States' capacity to raise revenues and their need to effectively discharge their essential functions, our Constitution-makers made specific</w:t>
      </w:r>
      <w:r w:rsidR="00290983" w:rsidRPr="00686F52">
        <w:t xml:space="preserve"> </w:t>
      </w:r>
      <w:r w:rsidRPr="00686F52">
        <w:t>provisions for remedying this imbalance.</w:t>
      </w:r>
    </w:p>
    <w:p w14:paraId="61CB46DB" w14:textId="3DACD2F1" w:rsidR="002D6CEF" w:rsidRPr="00686F52" w:rsidRDefault="00290983" w:rsidP="00686F52">
      <w:pPr>
        <w:pStyle w:val="Heading3"/>
      </w:pPr>
      <w:r w:rsidRPr="00686F52">
        <w:t>A number of taxes, though levied by the Government of India, are collected and retained by the States (Article 268); the net proceeds of seven items of taxation, though levied and collected by the Government of India, are entirely assigned to the States and</w:t>
      </w:r>
      <w:r w:rsidR="00686F52">
        <w:t xml:space="preserve"> </w:t>
      </w:r>
      <w:r w:rsidRPr="00686F52">
        <w:t xml:space="preserve">distributed among them in accordance with the principles of distribution </w:t>
      </w:r>
      <w:r w:rsidRPr="00686F52">
        <w:lastRenderedPageBreak/>
        <w:t>formulated by Parliament (Article 269). In addition, a percentage of the net proceeds of income-tax is assigned to the States (Article 270). The proceeds thus assigned to the States do not form part of the Consolidated Fund of India. Union excise duties can be shared with the States if Parliament so decides (Article 272), and almost from the commencement of the Constitution, excise duties have been so shared. In 1950-51 the receipts from income-tax and excise duties formed nearly one-half of the Union tax revenues so that the divisible pool was by no means inconsiderable. Further, Article 275 recognises the necessity for grants-in-aid of revenues of States which may be in need of assistance. Different</w:t>
      </w:r>
      <w:r w:rsidR="00686F52">
        <w:t xml:space="preserve"> </w:t>
      </w:r>
      <w:r w:rsidRPr="00686F52">
        <w:t>sums can be fixed for different States, so that the weaker States can be given specific assistance to meet the necessary expenditure in the proper discharge of their duties to their people. Article 282 provides for grants by the Union and the States for any public</w:t>
      </w:r>
      <w:r w:rsidR="0074512A">
        <w:t xml:space="preserve"> </w:t>
      </w:r>
      <w:r w:rsidRPr="00686F52">
        <w:t>purpose.</w:t>
      </w:r>
    </w:p>
    <w:p w14:paraId="10E1617D" w14:textId="6AC60C24" w:rsidR="00290983" w:rsidRPr="00686F52" w:rsidRDefault="00290983" w:rsidP="00686F52">
      <w:pPr>
        <w:pStyle w:val="Heading3"/>
      </w:pPr>
      <w:r w:rsidRPr="00686F52">
        <w:t>None of the Articles 270, 272, 275 and 282 however mentions what amounts are to be so given to the States, or lays down the principles according to which they are to be distributed among the States. Some eminent persons have expressed the view that it would have been better if at least the States' shares in the divisible pool of income-tax and Union excise duties were specifically laid down in the Constitution so as to obviate controversy and uncertainty. In our opinion, the case for such a change is by no means clear. All the four Finance Commissions have recommended progressive enlargement of the divisible pool of taxes to be shared as well as the States' share therein, as the following table indicates:</w:t>
      </w:r>
      <w:r w:rsidR="0074512A">
        <w:t>-</w:t>
      </w:r>
    </w:p>
    <w:p w14:paraId="356F5BE0" w14:textId="175BEED0" w:rsidR="006018E2" w:rsidRDefault="00290983" w:rsidP="00686F52">
      <w:pPr>
        <w:jc w:val="center"/>
        <w:rPr>
          <w:rFonts w:ascii="Times New Roman" w:hAnsi="Times New Roman" w:cs="Times New Roman"/>
          <w:i/>
          <w:iCs/>
          <w:sz w:val="28"/>
          <w:szCs w:val="28"/>
        </w:rPr>
      </w:pPr>
      <w:r w:rsidRPr="00686F52">
        <w:rPr>
          <w:rFonts w:ascii="Times New Roman" w:hAnsi="Times New Roman" w:cs="Times New Roman"/>
          <w:i/>
          <w:iCs/>
          <w:sz w:val="28"/>
          <w:szCs w:val="28"/>
        </w:rPr>
        <w:t>Transfers from tax sharing under</w:t>
      </w:r>
      <w:r w:rsidR="00686F52">
        <w:rPr>
          <w:rFonts w:ascii="Times New Roman" w:hAnsi="Times New Roman" w:cs="Times New Roman"/>
          <w:i/>
          <w:iCs/>
          <w:sz w:val="28"/>
          <w:szCs w:val="28"/>
        </w:rPr>
        <w:t xml:space="preserve"> </w:t>
      </w:r>
      <w:r w:rsidRPr="00686F52">
        <w:rPr>
          <w:rFonts w:ascii="Times New Roman" w:hAnsi="Times New Roman" w:cs="Times New Roman"/>
          <w:i/>
          <w:iCs/>
          <w:sz w:val="28"/>
          <w:szCs w:val="28"/>
        </w:rPr>
        <w:t>Finance Commissions' Awards</w:t>
      </w:r>
    </w:p>
    <w:p w14:paraId="03558D4F" w14:textId="4483BF4F" w:rsidR="00D614C3" w:rsidRPr="0074512A" w:rsidRDefault="00D614C3" w:rsidP="0074512A">
      <w:pPr>
        <w:spacing w:after="0"/>
        <w:jc w:val="right"/>
        <w:rPr>
          <w:rFonts w:ascii="Times New Roman" w:hAnsi="Times New Roman" w:cs="Times New Roman"/>
          <w:i/>
          <w:iCs/>
          <w:szCs w:val="24"/>
        </w:rPr>
      </w:pPr>
      <w:r w:rsidRPr="0074512A">
        <w:rPr>
          <w:rFonts w:ascii="Times New Roman" w:hAnsi="Times New Roman" w:cs="Times New Roman"/>
          <w:i/>
          <w:iCs/>
          <w:szCs w:val="24"/>
        </w:rPr>
        <w:t>(Rs. Crores)</w:t>
      </w:r>
    </w:p>
    <w:tbl>
      <w:tblPr>
        <w:tblStyle w:val="TableGrid"/>
        <w:tblW w:w="0" w:type="auto"/>
        <w:tblLook w:val="04A0" w:firstRow="1" w:lastRow="0" w:firstColumn="1" w:lastColumn="0" w:noHBand="0" w:noVBand="1"/>
      </w:tblPr>
      <w:tblGrid>
        <w:gridCol w:w="2330"/>
        <w:gridCol w:w="2331"/>
        <w:gridCol w:w="2331"/>
        <w:gridCol w:w="2331"/>
      </w:tblGrid>
      <w:tr w:rsidR="00290983" w:rsidRPr="00686F52" w14:paraId="614928E9" w14:textId="77777777" w:rsidTr="00290983">
        <w:tc>
          <w:tcPr>
            <w:tcW w:w="2330" w:type="dxa"/>
          </w:tcPr>
          <w:p w14:paraId="105B620D" w14:textId="71E0E9FB" w:rsidR="00290983" w:rsidRPr="0074512A" w:rsidRDefault="00290983" w:rsidP="00686F52">
            <w:pPr>
              <w:jc w:val="both"/>
              <w:rPr>
                <w:rFonts w:ascii="Times New Roman" w:hAnsi="Times New Roman" w:cs="Times New Roman"/>
                <w:b/>
                <w:bCs/>
                <w:sz w:val="28"/>
                <w:szCs w:val="28"/>
              </w:rPr>
            </w:pPr>
            <w:r w:rsidRPr="0074512A">
              <w:rPr>
                <w:rFonts w:ascii="Times New Roman" w:hAnsi="Times New Roman" w:cs="Times New Roman"/>
                <w:b/>
                <w:bCs/>
                <w:sz w:val="28"/>
                <w:szCs w:val="28"/>
              </w:rPr>
              <w:t>Commissions </w:t>
            </w:r>
          </w:p>
        </w:tc>
        <w:tc>
          <w:tcPr>
            <w:tcW w:w="2331" w:type="dxa"/>
          </w:tcPr>
          <w:p w14:paraId="1CCD5388" w14:textId="1BB82167" w:rsidR="00290983" w:rsidRPr="0074512A" w:rsidRDefault="00290983" w:rsidP="00D614C3">
            <w:pPr>
              <w:jc w:val="center"/>
              <w:rPr>
                <w:rFonts w:ascii="Times New Roman" w:hAnsi="Times New Roman" w:cs="Times New Roman"/>
                <w:b/>
                <w:bCs/>
                <w:sz w:val="28"/>
                <w:szCs w:val="28"/>
              </w:rPr>
            </w:pPr>
            <w:r w:rsidRPr="0074512A">
              <w:rPr>
                <w:rFonts w:ascii="Times New Roman" w:hAnsi="Times New Roman" w:cs="Times New Roman"/>
                <w:b/>
                <w:bCs/>
                <w:sz w:val="28"/>
                <w:szCs w:val="28"/>
              </w:rPr>
              <w:t>First year of the Commission's period</w:t>
            </w:r>
          </w:p>
        </w:tc>
        <w:tc>
          <w:tcPr>
            <w:tcW w:w="2331" w:type="dxa"/>
          </w:tcPr>
          <w:p w14:paraId="0C0A54D6" w14:textId="66CF7E10" w:rsidR="00290983" w:rsidRPr="0074512A" w:rsidRDefault="00290983" w:rsidP="00D614C3">
            <w:pPr>
              <w:jc w:val="center"/>
              <w:rPr>
                <w:rFonts w:ascii="Times New Roman" w:hAnsi="Times New Roman" w:cs="Times New Roman"/>
                <w:b/>
                <w:bCs/>
                <w:sz w:val="28"/>
                <w:szCs w:val="28"/>
              </w:rPr>
            </w:pPr>
            <w:r w:rsidRPr="0074512A">
              <w:rPr>
                <w:rFonts w:ascii="Times New Roman" w:hAnsi="Times New Roman" w:cs="Times New Roman"/>
                <w:b/>
                <w:bCs/>
                <w:sz w:val="28"/>
                <w:szCs w:val="28"/>
              </w:rPr>
              <w:t>Devolution of taxes in the preceding year</w:t>
            </w:r>
          </w:p>
        </w:tc>
        <w:tc>
          <w:tcPr>
            <w:tcW w:w="2331" w:type="dxa"/>
          </w:tcPr>
          <w:p w14:paraId="036553B6" w14:textId="27639BAE" w:rsidR="00290983" w:rsidRPr="0074512A" w:rsidRDefault="00290983" w:rsidP="00D614C3">
            <w:pPr>
              <w:jc w:val="center"/>
              <w:rPr>
                <w:rFonts w:ascii="Times New Roman" w:hAnsi="Times New Roman" w:cs="Times New Roman"/>
                <w:b/>
                <w:bCs/>
                <w:sz w:val="28"/>
                <w:szCs w:val="28"/>
              </w:rPr>
            </w:pPr>
            <w:r w:rsidRPr="0074512A">
              <w:rPr>
                <w:rFonts w:ascii="Times New Roman" w:hAnsi="Times New Roman" w:cs="Times New Roman"/>
                <w:b/>
                <w:bCs/>
                <w:sz w:val="28"/>
                <w:szCs w:val="28"/>
              </w:rPr>
              <w:t>Devolution of taxes in the first year of the Commission's period</w:t>
            </w:r>
          </w:p>
        </w:tc>
      </w:tr>
      <w:tr w:rsidR="00290983" w:rsidRPr="00686F52" w14:paraId="45A5C457" w14:textId="77777777" w:rsidTr="00290983">
        <w:tc>
          <w:tcPr>
            <w:tcW w:w="2330" w:type="dxa"/>
          </w:tcPr>
          <w:p w14:paraId="4EB34A89" w14:textId="74C4F2F0" w:rsidR="00290983" w:rsidRPr="00686F52" w:rsidRDefault="00290983" w:rsidP="00686F52">
            <w:pPr>
              <w:jc w:val="both"/>
              <w:rPr>
                <w:rFonts w:ascii="Times New Roman" w:hAnsi="Times New Roman" w:cs="Times New Roman"/>
                <w:sz w:val="28"/>
                <w:szCs w:val="28"/>
              </w:rPr>
            </w:pPr>
            <w:r w:rsidRPr="00686F52">
              <w:rPr>
                <w:rFonts w:ascii="Times New Roman" w:hAnsi="Times New Roman" w:cs="Times New Roman"/>
                <w:sz w:val="28"/>
                <w:szCs w:val="28"/>
              </w:rPr>
              <w:t>First </w:t>
            </w:r>
          </w:p>
        </w:tc>
        <w:tc>
          <w:tcPr>
            <w:tcW w:w="2331" w:type="dxa"/>
          </w:tcPr>
          <w:p w14:paraId="4F3F4615" w14:textId="3FF985BC" w:rsidR="00290983" w:rsidRPr="00686F52" w:rsidRDefault="00290983" w:rsidP="0074512A">
            <w:pPr>
              <w:jc w:val="center"/>
              <w:rPr>
                <w:rFonts w:ascii="Times New Roman" w:hAnsi="Times New Roman" w:cs="Times New Roman"/>
                <w:sz w:val="28"/>
                <w:szCs w:val="28"/>
              </w:rPr>
            </w:pPr>
            <w:r w:rsidRPr="00686F52">
              <w:rPr>
                <w:rFonts w:ascii="Times New Roman" w:hAnsi="Times New Roman" w:cs="Times New Roman"/>
                <w:sz w:val="28"/>
                <w:szCs w:val="28"/>
              </w:rPr>
              <w:t>1952-53</w:t>
            </w:r>
          </w:p>
        </w:tc>
        <w:tc>
          <w:tcPr>
            <w:tcW w:w="2331" w:type="dxa"/>
          </w:tcPr>
          <w:p w14:paraId="49706513" w14:textId="3D4C35B6" w:rsidR="00290983" w:rsidRPr="00686F52" w:rsidRDefault="00290983" w:rsidP="0074512A">
            <w:pPr>
              <w:jc w:val="center"/>
              <w:rPr>
                <w:rFonts w:ascii="Times New Roman" w:hAnsi="Times New Roman" w:cs="Times New Roman"/>
                <w:sz w:val="28"/>
                <w:szCs w:val="28"/>
              </w:rPr>
            </w:pPr>
            <w:r w:rsidRPr="00686F52">
              <w:rPr>
                <w:rFonts w:ascii="Times New Roman" w:hAnsi="Times New Roman" w:cs="Times New Roman"/>
                <w:sz w:val="28"/>
                <w:szCs w:val="28"/>
              </w:rPr>
              <w:t>52.66</w:t>
            </w:r>
          </w:p>
        </w:tc>
        <w:tc>
          <w:tcPr>
            <w:tcW w:w="2331" w:type="dxa"/>
          </w:tcPr>
          <w:p w14:paraId="77E274BF" w14:textId="19ADFA6C" w:rsidR="00290983" w:rsidRPr="00686F52" w:rsidRDefault="00290983" w:rsidP="0074512A">
            <w:pPr>
              <w:jc w:val="center"/>
              <w:rPr>
                <w:rFonts w:ascii="Times New Roman" w:hAnsi="Times New Roman" w:cs="Times New Roman"/>
                <w:sz w:val="28"/>
                <w:szCs w:val="28"/>
              </w:rPr>
            </w:pPr>
            <w:r w:rsidRPr="00686F52">
              <w:rPr>
                <w:rFonts w:ascii="Times New Roman" w:hAnsi="Times New Roman" w:cs="Times New Roman"/>
                <w:sz w:val="28"/>
                <w:szCs w:val="28"/>
              </w:rPr>
              <w:t>73.23</w:t>
            </w:r>
          </w:p>
        </w:tc>
      </w:tr>
      <w:tr w:rsidR="00290983" w:rsidRPr="00686F52" w14:paraId="35B6603B" w14:textId="77777777" w:rsidTr="00290983">
        <w:tc>
          <w:tcPr>
            <w:tcW w:w="2330" w:type="dxa"/>
          </w:tcPr>
          <w:p w14:paraId="036A0850" w14:textId="603B3477" w:rsidR="00290983" w:rsidRPr="00686F52" w:rsidRDefault="00290983" w:rsidP="00686F52">
            <w:pPr>
              <w:jc w:val="both"/>
              <w:rPr>
                <w:rFonts w:ascii="Times New Roman" w:hAnsi="Times New Roman" w:cs="Times New Roman"/>
                <w:sz w:val="28"/>
                <w:szCs w:val="28"/>
              </w:rPr>
            </w:pPr>
            <w:r w:rsidRPr="00686F52">
              <w:rPr>
                <w:rFonts w:ascii="Times New Roman" w:hAnsi="Times New Roman" w:cs="Times New Roman"/>
                <w:sz w:val="28"/>
                <w:szCs w:val="28"/>
              </w:rPr>
              <w:t>Second </w:t>
            </w:r>
          </w:p>
        </w:tc>
        <w:tc>
          <w:tcPr>
            <w:tcW w:w="2331" w:type="dxa"/>
          </w:tcPr>
          <w:p w14:paraId="15CD9C36" w14:textId="150551C2" w:rsidR="00290983" w:rsidRPr="00686F52" w:rsidRDefault="0074512A" w:rsidP="0074512A">
            <w:pPr>
              <w:jc w:val="center"/>
              <w:rPr>
                <w:rFonts w:ascii="Times New Roman" w:hAnsi="Times New Roman" w:cs="Times New Roman"/>
                <w:sz w:val="28"/>
                <w:szCs w:val="28"/>
              </w:rPr>
            </w:pPr>
            <w:r>
              <w:rPr>
                <w:rFonts w:ascii="Times New Roman" w:hAnsi="Times New Roman" w:cs="Times New Roman"/>
                <w:sz w:val="28"/>
                <w:szCs w:val="28"/>
              </w:rPr>
              <w:t>1</w:t>
            </w:r>
            <w:r w:rsidR="00290983" w:rsidRPr="00686F52">
              <w:rPr>
                <w:rFonts w:ascii="Times New Roman" w:hAnsi="Times New Roman" w:cs="Times New Roman"/>
                <w:sz w:val="28"/>
                <w:szCs w:val="28"/>
              </w:rPr>
              <w:t>957-58</w:t>
            </w:r>
          </w:p>
        </w:tc>
        <w:tc>
          <w:tcPr>
            <w:tcW w:w="2331" w:type="dxa"/>
          </w:tcPr>
          <w:p w14:paraId="0BEE9179" w14:textId="4A3E9C9D" w:rsidR="00290983" w:rsidRPr="00686F52" w:rsidRDefault="00290983" w:rsidP="0074512A">
            <w:pPr>
              <w:jc w:val="center"/>
              <w:rPr>
                <w:rFonts w:ascii="Times New Roman" w:hAnsi="Times New Roman" w:cs="Times New Roman"/>
                <w:sz w:val="28"/>
                <w:szCs w:val="28"/>
              </w:rPr>
            </w:pPr>
            <w:r w:rsidRPr="00686F52">
              <w:rPr>
                <w:rFonts w:ascii="Times New Roman" w:hAnsi="Times New Roman" w:cs="Times New Roman"/>
                <w:sz w:val="28"/>
                <w:szCs w:val="28"/>
              </w:rPr>
              <w:t>78.25</w:t>
            </w:r>
          </w:p>
        </w:tc>
        <w:tc>
          <w:tcPr>
            <w:tcW w:w="2331" w:type="dxa"/>
          </w:tcPr>
          <w:p w14:paraId="5A4F77DE" w14:textId="5B7CF288" w:rsidR="00290983" w:rsidRPr="00686F52" w:rsidRDefault="00290983" w:rsidP="0074512A">
            <w:pPr>
              <w:jc w:val="center"/>
              <w:rPr>
                <w:rFonts w:ascii="Times New Roman" w:hAnsi="Times New Roman" w:cs="Times New Roman"/>
                <w:sz w:val="28"/>
                <w:szCs w:val="28"/>
              </w:rPr>
            </w:pPr>
            <w:r w:rsidRPr="00686F52">
              <w:rPr>
                <w:rFonts w:ascii="Times New Roman" w:hAnsi="Times New Roman" w:cs="Times New Roman"/>
                <w:sz w:val="28"/>
                <w:szCs w:val="28"/>
              </w:rPr>
              <w:t>120.72</w:t>
            </w:r>
          </w:p>
        </w:tc>
      </w:tr>
      <w:tr w:rsidR="00290983" w:rsidRPr="00686F52" w14:paraId="04CE1F50" w14:textId="77777777" w:rsidTr="00290983">
        <w:tc>
          <w:tcPr>
            <w:tcW w:w="2330" w:type="dxa"/>
          </w:tcPr>
          <w:p w14:paraId="30969672" w14:textId="6EAE6119" w:rsidR="00290983" w:rsidRPr="00686F52" w:rsidRDefault="00290983" w:rsidP="00686F52">
            <w:pPr>
              <w:jc w:val="both"/>
              <w:rPr>
                <w:rFonts w:ascii="Times New Roman" w:hAnsi="Times New Roman" w:cs="Times New Roman"/>
                <w:sz w:val="28"/>
                <w:szCs w:val="28"/>
              </w:rPr>
            </w:pPr>
            <w:r w:rsidRPr="00686F52">
              <w:rPr>
                <w:rFonts w:ascii="Times New Roman" w:hAnsi="Times New Roman" w:cs="Times New Roman"/>
                <w:sz w:val="28"/>
                <w:szCs w:val="28"/>
              </w:rPr>
              <w:t>Third</w:t>
            </w:r>
          </w:p>
        </w:tc>
        <w:tc>
          <w:tcPr>
            <w:tcW w:w="2331" w:type="dxa"/>
          </w:tcPr>
          <w:p w14:paraId="1C16532E" w14:textId="0895FD37" w:rsidR="00290983" w:rsidRPr="00686F52" w:rsidRDefault="00290983" w:rsidP="0074512A">
            <w:pPr>
              <w:jc w:val="center"/>
              <w:rPr>
                <w:rFonts w:ascii="Times New Roman" w:hAnsi="Times New Roman" w:cs="Times New Roman"/>
                <w:sz w:val="28"/>
                <w:szCs w:val="28"/>
              </w:rPr>
            </w:pPr>
            <w:r w:rsidRPr="00686F52">
              <w:rPr>
                <w:rFonts w:ascii="Times New Roman" w:hAnsi="Times New Roman" w:cs="Times New Roman"/>
                <w:sz w:val="28"/>
                <w:szCs w:val="28"/>
              </w:rPr>
              <w:t>1962-63</w:t>
            </w:r>
          </w:p>
        </w:tc>
        <w:tc>
          <w:tcPr>
            <w:tcW w:w="2331" w:type="dxa"/>
          </w:tcPr>
          <w:p w14:paraId="1F81D54B" w14:textId="081E42EA" w:rsidR="00290983" w:rsidRPr="00686F52" w:rsidRDefault="00290983" w:rsidP="0074512A">
            <w:pPr>
              <w:jc w:val="center"/>
              <w:rPr>
                <w:rFonts w:ascii="Times New Roman" w:hAnsi="Times New Roman" w:cs="Times New Roman"/>
                <w:sz w:val="28"/>
                <w:szCs w:val="28"/>
              </w:rPr>
            </w:pPr>
            <w:r w:rsidRPr="00686F52">
              <w:rPr>
                <w:rFonts w:ascii="Times New Roman" w:hAnsi="Times New Roman" w:cs="Times New Roman"/>
                <w:sz w:val="28"/>
                <w:szCs w:val="28"/>
              </w:rPr>
              <w:t>192.86</w:t>
            </w:r>
          </w:p>
        </w:tc>
        <w:tc>
          <w:tcPr>
            <w:tcW w:w="2331" w:type="dxa"/>
          </w:tcPr>
          <w:p w14:paraId="52E05FF5" w14:textId="6E27066F" w:rsidR="00290983" w:rsidRPr="00686F52" w:rsidRDefault="00290983" w:rsidP="0074512A">
            <w:pPr>
              <w:jc w:val="center"/>
              <w:rPr>
                <w:rFonts w:ascii="Times New Roman" w:hAnsi="Times New Roman" w:cs="Times New Roman"/>
                <w:sz w:val="28"/>
                <w:szCs w:val="28"/>
              </w:rPr>
            </w:pPr>
            <w:r w:rsidRPr="00686F52">
              <w:rPr>
                <w:rFonts w:ascii="Times New Roman" w:hAnsi="Times New Roman" w:cs="Times New Roman"/>
                <w:sz w:val="28"/>
                <w:szCs w:val="28"/>
              </w:rPr>
              <w:t>236.58</w:t>
            </w:r>
          </w:p>
        </w:tc>
      </w:tr>
      <w:tr w:rsidR="00290983" w:rsidRPr="00686F52" w14:paraId="7A686079" w14:textId="77777777" w:rsidTr="00290983">
        <w:tc>
          <w:tcPr>
            <w:tcW w:w="2330" w:type="dxa"/>
          </w:tcPr>
          <w:p w14:paraId="6D66A971" w14:textId="72C2249F" w:rsidR="00290983" w:rsidRPr="00686F52" w:rsidRDefault="00290983" w:rsidP="00686F52">
            <w:pPr>
              <w:jc w:val="both"/>
              <w:rPr>
                <w:rFonts w:ascii="Times New Roman" w:hAnsi="Times New Roman" w:cs="Times New Roman"/>
                <w:sz w:val="28"/>
                <w:szCs w:val="28"/>
              </w:rPr>
            </w:pPr>
            <w:r w:rsidRPr="00686F52">
              <w:rPr>
                <w:rFonts w:ascii="Times New Roman" w:hAnsi="Times New Roman" w:cs="Times New Roman"/>
                <w:sz w:val="28"/>
                <w:szCs w:val="28"/>
              </w:rPr>
              <w:t>Fourth</w:t>
            </w:r>
          </w:p>
        </w:tc>
        <w:tc>
          <w:tcPr>
            <w:tcW w:w="2331" w:type="dxa"/>
          </w:tcPr>
          <w:p w14:paraId="167F41AC" w14:textId="37BAD189" w:rsidR="00290983" w:rsidRPr="00686F52" w:rsidRDefault="00290983" w:rsidP="0074512A">
            <w:pPr>
              <w:jc w:val="center"/>
              <w:rPr>
                <w:rFonts w:ascii="Times New Roman" w:hAnsi="Times New Roman" w:cs="Times New Roman"/>
                <w:sz w:val="28"/>
                <w:szCs w:val="28"/>
              </w:rPr>
            </w:pPr>
            <w:r w:rsidRPr="00686F52">
              <w:rPr>
                <w:rFonts w:ascii="Times New Roman" w:hAnsi="Times New Roman" w:cs="Times New Roman"/>
                <w:sz w:val="28"/>
                <w:szCs w:val="28"/>
              </w:rPr>
              <w:t>1966-67</w:t>
            </w:r>
          </w:p>
        </w:tc>
        <w:tc>
          <w:tcPr>
            <w:tcW w:w="2331" w:type="dxa"/>
          </w:tcPr>
          <w:p w14:paraId="2B07336F" w14:textId="08B43147" w:rsidR="00290983" w:rsidRPr="00686F52" w:rsidRDefault="00290983" w:rsidP="0074512A">
            <w:pPr>
              <w:jc w:val="center"/>
              <w:rPr>
                <w:rFonts w:ascii="Times New Roman" w:hAnsi="Times New Roman" w:cs="Times New Roman"/>
                <w:sz w:val="28"/>
                <w:szCs w:val="28"/>
              </w:rPr>
            </w:pPr>
            <w:r w:rsidRPr="00686F52">
              <w:rPr>
                <w:rFonts w:ascii="Times New Roman" w:hAnsi="Times New Roman" w:cs="Times New Roman"/>
                <w:sz w:val="28"/>
                <w:szCs w:val="28"/>
              </w:rPr>
              <w:t>288.56</w:t>
            </w:r>
          </w:p>
        </w:tc>
        <w:tc>
          <w:tcPr>
            <w:tcW w:w="2331" w:type="dxa"/>
          </w:tcPr>
          <w:p w14:paraId="4E4CFBE5" w14:textId="144A8ED3" w:rsidR="00290983" w:rsidRPr="00686F52" w:rsidRDefault="00290983" w:rsidP="0074512A">
            <w:pPr>
              <w:jc w:val="center"/>
              <w:rPr>
                <w:rFonts w:ascii="Times New Roman" w:hAnsi="Times New Roman" w:cs="Times New Roman"/>
                <w:sz w:val="28"/>
                <w:szCs w:val="28"/>
              </w:rPr>
            </w:pPr>
            <w:r w:rsidRPr="00686F52">
              <w:rPr>
                <w:rFonts w:ascii="Times New Roman" w:hAnsi="Times New Roman" w:cs="Times New Roman"/>
                <w:sz w:val="28"/>
                <w:szCs w:val="28"/>
              </w:rPr>
              <w:t>384.08</w:t>
            </w:r>
          </w:p>
        </w:tc>
      </w:tr>
    </w:tbl>
    <w:p w14:paraId="09F2AA5D" w14:textId="77777777" w:rsidR="00686F52" w:rsidRDefault="00686F52" w:rsidP="00686F52">
      <w:pPr>
        <w:jc w:val="both"/>
        <w:rPr>
          <w:rFonts w:ascii="Times New Roman" w:hAnsi="Times New Roman" w:cs="Times New Roman"/>
          <w:sz w:val="28"/>
          <w:szCs w:val="28"/>
        </w:rPr>
      </w:pPr>
    </w:p>
    <w:p w14:paraId="2C290E90" w14:textId="34C8EF78" w:rsidR="00290983" w:rsidRPr="00686F52" w:rsidRDefault="003A4343" w:rsidP="00686F52">
      <w:pPr>
        <w:spacing w:line="300" w:lineRule="exact"/>
        <w:jc w:val="both"/>
        <w:rPr>
          <w:rFonts w:ascii="Times New Roman" w:hAnsi="Times New Roman" w:cs="Times New Roman"/>
          <w:sz w:val="28"/>
          <w:szCs w:val="28"/>
        </w:rPr>
      </w:pPr>
      <w:r w:rsidRPr="00686F52">
        <w:rPr>
          <w:rFonts w:ascii="Times New Roman" w:hAnsi="Times New Roman" w:cs="Times New Roman"/>
          <w:sz w:val="28"/>
          <w:szCs w:val="28"/>
        </w:rPr>
        <w:t xml:space="preserve">The principles of distribution of income-tax and Union excise duties among States </w:t>
      </w:r>
      <w:r w:rsidRPr="00D614C3">
        <w:rPr>
          <w:rFonts w:ascii="Times New Roman" w:hAnsi="Times New Roman" w:cs="Times New Roman"/>
          <w:i/>
          <w:iCs/>
          <w:sz w:val="28"/>
          <w:szCs w:val="28"/>
        </w:rPr>
        <w:t>inter se</w:t>
      </w:r>
      <w:r w:rsidRPr="00686F52">
        <w:rPr>
          <w:rFonts w:ascii="Times New Roman" w:hAnsi="Times New Roman" w:cs="Times New Roman"/>
          <w:sz w:val="28"/>
          <w:szCs w:val="28"/>
        </w:rPr>
        <w:t xml:space="preserve"> have also been varied by the Finance Commissions from time to time. These facts constitute a strong case against rigid determination of the States' share in the Constitution itself. Grants under Article 275 must in their very nature be variable and they have to be related to the needs of particular States. But recourse to Article 275 or Article 282 may not be sufficient in itself to meet the needs of additional transfers to States. The founding</w:t>
      </w:r>
      <w:r w:rsidR="00686F52">
        <w:rPr>
          <w:rFonts w:ascii="Times New Roman" w:hAnsi="Times New Roman" w:cs="Times New Roman"/>
          <w:sz w:val="28"/>
          <w:szCs w:val="28"/>
        </w:rPr>
        <w:t xml:space="preserve"> </w:t>
      </w:r>
      <w:r w:rsidRPr="00686F52">
        <w:rPr>
          <w:rFonts w:ascii="Times New Roman" w:hAnsi="Times New Roman" w:cs="Times New Roman"/>
          <w:sz w:val="28"/>
          <w:szCs w:val="28"/>
        </w:rPr>
        <w:t>fathers of our Constitution were aware of this situation and have, therefore, made the provisions relating to federal transfers sufficiently flexible to deal with changing conditions.</w:t>
      </w:r>
    </w:p>
    <w:p w14:paraId="59896E66" w14:textId="053550B1" w:rsidR="003A4343" w:rsidRPr="00686F52" w:rsidRDefault="003A4343" w:rsidP="00686F52">
      <w:pPr>
        <w:pStyle w:val="Heading3"/>
      </w:pPr>
      <w:r w:rsidRPr="00686F52">
        <w:lastRenderedPageBreak/>
        <w:t>The Constitution, therefore, provides for a regular statutory machinery to deal with the devolution of taxes and grants from the Union to the States. The President has to constitute a Finance Commission to carry out this task at the expiration of every fifth year or at such earlier time as he considers necessary. It is the duty of the Commission to make recommendations regarding the distribution of income-tax and Union excise duties between the Union and the States and the allocation of the States' share among them,</w:t>
      </w:r>
      <w:r w:rsidR="00A47866">
        <w:t xml:space="preserve"> </w:t>
      </w:r>
      <w:r w:rsidRPr="00686F52">
        <w:t>and also as to the principles which should govern grants under Article 275. The President may also refer any other matter to the Commission in the interests of sound finance. Under this last provision, questions like the distribution of additional excise duties, taxes under Article 269 and grant in lieu of the tax on railway passenger fares have been referred to the Finance Commissions. Grants under Article 282 are outside the purview of the Finance Commission. It is under this Article that the Government of India give Plan grants</w:t>
      </w:r>
      <w:r w:rsidR="007A25FC">
        <w:t xml:space="preserve"> </w:t>
      </w:r>
      <w:r w:rsidRPr="00686F52">
        <w:t>to promote new programmes, and other grants to meet difficulties of States arising during the interval between two Finance Commissions. In order to meet greater needs arising in their own sphere, the Government of India are also empowered under Article 271 to</w:t>
      </w:r>
      <w:r w:rsidR="00A47866">
        <w:t xml:space="preserve"> </w:t>
      </w:r>
      <w:r w:rsidRPr="00686F52">
        <w:t>levy surcharges on the taxes and duties mentioned in Article 269 and on income-tax.</w:t>
      </w:r>
    </w:p>
    <w:p w14:paraId="085D2842" w14:textId="69C0AF70" w:rsidR="003A4343" w:rsidRPr="00686F52" w:rsidRDefault="003A4343" w:rsidP="00686F52">
      <w:pPr>
        <w:pStyle w:val="Heading3"/>
      </w:pPr>
      <w:r w:rsidRPr="00686F52">
        <w:t>The constitutional arrangement under which a statutory body is charged with the duty of periodically recommending a major part of transfers of Central funds to States is a unique feature of the Indian Constitution. No such machinery for periodical readjustments</w:t>
      </w:r>
      <w:r w:rsidR="00A47866">
        <w:t xml:space="preserve"> </w:t>
      </w:r>
      <w:r w:rsidRPr="00686F52">
        <w:t>has been provided for in any of the older federations. The only near parallel is the Australian Commonwealth Grants Commission, which examines annually the plea of the claimant States of Australia for Commonwealth assistance. This body, however, is not constituted under the Australian Constitution but by a Commonwealth law; it has no power to suggest changes in tax-sharing or to recommend conditional grants. Its functions are confined to recommending unconditional grants for a few States. The innovation of a periodical Finance Commission in the Indian Constitution has the advantage of making it possible to formulate periodically an appropriate combined scheme to cover most of the transfers from the Union to the States. Such transfers have to be made under different Articles and in determining them due regard has to be paid to the language of</w:t>
      </w:r>
      <w:r w:rsidRPr="00686F52">
        <w:br/>
        <w:t>the Articles and the principles of distribution hitherto adopted. But taken together as a whole they can, and must, subserve the overall purpose of providing necessary assistance to the States on an equitable basis.</w:t>
      </w:r>
    </w:p>
    <w:p w14:paraId="4A855F55" w14:textId="6BA441CB" w:rsidR="003A4343" w:rsidRPr="00686F52" w:rsidRDefault="003A4343" w:rsidP="00686F52">
      <w:pPr>
        <w:pStyle w:val="Heading3"/>
      </w:pPr>
      <w:r w:rsidRPr="00686F52">
        <w:t xml:space="preserve">A purposive scheme of federal finance should be designed to serve the following two broad purposes. It should, firstly, augment the States' own limited resources so as to help them meet their expanding need for expenditure as far as that can be done from surpluses of the Union. It must be remembered that the Government of India are not in the happy situation of certain other Federal Governments, whose surpluses are sometimes so large as to create a deflationary influence on the economy. A large transfer to the States means a greater dent in the funds of the Government of India, who have to provide for the compulsive requirements of national defence, situations of national emergency, and the equally imperative overall needs of planning. The pre-emptive character of the financial needs of the Union constitutes a limiting factor in formulating the scheme of </w:t>
      </w:r>
      <w:r w:rsidRPr="00686F52">
        <w:lastRenderedPageBreak/>
        <w:t>transfers to States. Yet the States should have fairly adequate funds, including their own revenues and transfers from the Union, to maintain and improve their services to a reasonable extent. It is essential to provide for investment in human resources, maintenance of welfare services, and building up of necessary infrastructure, which are largely within the State sphere, and the States can justly claim that they should be enabled to carry out these functions up to a reasonable standard and should not be left helpless in the vicious circle of stagnation and low development due to inadequate finance. It is the task of the Finance Commission to strike a dynamic balance between the competing claims of the two layers of Government and to allocate the available resources between them so as to serve the</w:t>
      </w:r>
      <w:r w:rsidR="007A25FC">
        <w:t xml:space="preserve"> </w:t>
      </w:r>
      <w:r w:rsidRPr="00686F52">
        <w:t>needs of the country's welfare and development as a whole. In the case of both, the existing levels of taxation and of expenditure are not adequately indicative of their potential resources and reasonable requirements. It is these factors that the Commission has to take into account in making its recommendations.</w:t>
      </w:r>
    </w:p>
    <w:p w14:paraId="79A70BEE" w14:textId="641FC691" w:rsidR="003A4343" w:rsidRPr="00686F52" w:rsidRDefault="003A4343" w:rsidP="00686F52">
      <w:pPr>
        <w:pStyle w:val="Heading3"/>
      </w:pPr>
      <w:r w:rsidRPr="00686F52">
        <w:t xml:space="preserve">Secondly, it is desirable to see that the transfer of funds is so designed as to assist adequately the States with comparatively less capacity to raise resources. The distribution of Union transfers among the States has to be made after taking into account the resources of individual States so as to avoid large disparities. Of the 17 States in India, the richest has a per capita income of Rs. 619 and the poorest of </w:t>
      </w:r>
      <w:r w:rsidR="00D62D61">
        <w:t xml:space="preserve">Rs. </w:t>
      </w:r>
      <w:r w:rsidRPr="00686F52">
        <w:t>292; the largest State has a population of 9 crores and the smallest one of 4 lakhs. The progress of the nation depends, in a real sense, on the development of the weaker States and there is a danger that large and persistent disparities in the basic service levels in different States would weaken national unity and strength. Substantial amounts distributed among States on the basis of population have the result, to some extent, of reducing disparities between their resources. But the need for equalisation demands a more positive redistributive policy. Such purposive distribution of funds has to distinguish between more advanced and less developed States. Where the general level of economic development of the country is not high, the degree to which backward States can be assisted to come up to the average level of services is a matter for detailed assessment, but there can be no doubt that Article 275 of the Constitution is designed to help the States which are less developed and have less capacity to raise resources of their own. How far such transfers can be made available to enable States with low</w:t>
      </w:r>
      <w:r w:rsidR="00375913" w:rsidRPr="00686F52">
        <w:t xml:space="preserve"> </w:t>
      </w:r>
      <w:r w:rsidRPr="00686F52">
        <w:t>per capita income to improve their level of services, and the stages</w:t>
      </w:r>
      <w:r w:rsidR="00375913" w:rsidRPr="00686F52">
        <w:t xml:space="preserve"> by which that should be done, are matters to be decided not merely</w:t>
      </w:r>
      <w:r w:rsidR="00A47866">
        <w:t xml:space="preserve"> </w:t>
      </w:r>
      <w:r w:rsidR="00375913" w:rsidRPr="00686F52">
        <w:t>on fiscal considerations, but with due regard also to the promotion</w:t>
      </w:r>
      <w:r w:rsidR="00375913" w:rsidRPr="00686F52">
        <w:br/>
        <w:t>of a sense of national unity.</w:t>
      </w:r>
    </w:p>
    <w:p w14:paraId="7CE3EA7E" w14:textId="3093FDA2" w:rsidR="00375913" w:rsidRPr="00686F52" w:rsidRDefault="00375913" w:rsidP="00686F52">
      <w:pPr>
        <w:pStyle w:val="Heading3"/>
      </w:pPr>
      <w:r w:rsidRPr="00686F52">
        <w:t>The transfer of funds recommended by the Finance Commission can only partially fulfil the objective of equalisation in view of the division of functions which now exists between the Planning Commission and the Finance Commission, whereby the former looks after developmental needs and gives Plan grants for this purpose. As the language of Article 275 stands, there is nothing to exclude from its purview grants for meeting revenue expenditure on Plan schemes, nor is there any explicit bar against grants for capital purposes. In the terms of reference of the First Finance Commission there was no mention regarding Plan expenditure, and that Commission dealt with the revenue expenditure requirements of the</w:t>
      </w:r>
      <w:r w:rsidR="007A25FC">
        <w:t xml:space="preserve"> </w:t>
      </w:r>
      <w:r w:rsidRPr="00686F52">
        <w:t xml:space="preserve">States as a </w:t>
      </w:r>
      <w:r w:rsidRPr="00686F52">
        <w:lastRenderedPageBreak/>
        <w:t>whole. The Second Finance Commission was asked to take into account the requirements of the Second Five Year Plan as well as the efforts made by the States to raise additional revenue from the sources available to them. Its recommendations for grants</w:t>
      </w:r>
      <w:r w:rsidR="00A47866">
        <w:t xml:space="preserve"> </w:t>
      </w:r>
      <w:r w:rsidRPr="00686F52">
        <w:t>under Article 275 were such that the States may thereby be able to meet their total revenue expenditure on Plan and non-Plan account along with the Plan grants and revenues from additional tax measures. The Third Finance Commission had similar terms of reference and it recommended, by a majority, grants under Article 275 to the States of such amounts as would enable them, along with any surplus out of tax devolutions, to cover 75 per cent of the revenue portion of their Plan outlay after taking into account the additional tax revenues expected of them. This recommendation was, however, not accepted by the Government of India. The Fourth Finance Commission was not specifically asked to take into consideration the requirements of the Fourth Plan. While it did not consider itself precluded from recommending Plan grants, it did not do so, because it considered it desirable that the Planning Commission, having been specifically constituted for this purpose, should have unhampered authority in this domain. The present Commission is by its terms of reference specifically asked not to take into consideration requirements of the Plan for the purpose of recommending sums to be given as grants under Article 275. The principles evolved for allocation of Central assistance for the Plan among the States provide for a portion of the assistance being distributed only among States with per capita income below the all-India average. It has been argued before us that while our terms of reference exclude the requirements of Plan schemes, they do not contain an embargo on our considering increased expenditure so as to improve the levels of specific social services outside the Plan and that it was open to us to recommend grants for meeting such increases in expenditure. We are not, however, able to agree with this view as it would blur the entire division of functions between this Commission and the Planning Commission.</w:t>
      </w:r>
    </w:p>
    <w:p w14:paraId="7DD988A2" w14:textId="41242ABE" w:rsidR="00375913" w:rsidRPr="00686F52" w:rsidRDefault="00375913" w:rsidP="00686F52">
      <w:pPr>
        <w:pStyle w:val="Heading3"/>
      </w:pPr>
      <w:r w:rsidRPr="00686F52">
        <w:t>It may be observed that there is no similar limitation on the process of tax devolution. The Articles in the Constitution which provide for devolution of taxes have, on the other hand, their own requirements. One State has in its memoranda submitted to us suggested that the proceeds of all taxes and duties, whether they are</w:t>
      </w:r>
      <w:r w:rsidR="00FA01F1" w:rsidRPr="00686F52">
        <w:t xml:space="preserve"> assigned to States or shared with them compulsorily or voluntarily, should be distributed among them in accordance with an integrated scheme of devolution, so that the proceeds of each such tax or duty</w:t>
      </w:r>
      <w:r w:rsidR="00A47866">
        <w:t xml:space="preserve"> </w:t>
      </w:r>
      <w:r w:rsidR="00FA01F1" w:rsidRPr="00686F52">
        <w:t>are treated alike as feeder sources of a common divisible pool; and that their distribution among the States inter se should be made on the basis of uniform principles serving the sole purpose of meeting the fiscal needs of each State. We have carefully considered this suggestion which applies generally to the whole scheme of tax devolution. In our view the Constitution has made a clear distinction between taxes and duties wholly assigned to the States (Article 269), taxes compulsorily shared between the Union and the States (Article</w:t>
      </w:r>
      <w:r w:rsidR="00D614C3">
        <w:t xml:space="preserve"> </w:t>
      </w:r>
      <w:r w:rsidR="00FA01F1" w:rsidRPr="00686F52">
        <w:t xml:space="preserve">270) and duties which may be divided between the Union and the States optionally if so provided by Parliament by law (Article 272). There is separate provision in Article 275 for grants-in-aid to States in need of assistance. In the case of taxes on income other than agricultural income, the proceeds of which are compulsorily shared between the Union and the States, the allocation of a part of such proceeds </w:t>
      </w:r>
      <w:r w:rsidR="00FA01F1" w:rsidRPr="00686F52">
        <w:lastRenderedPageBreak/>
        <w:t>on the basis of contribution has been hitherto adopted, and it can, in a sense, be considered to be the counterpart of the tax on agricultural income which can be levied by the States themselves. Different considerations might arise in the distribution of excise duties where sharing is not obligatory, while the needs of States for assistance as grant-in-aid of their revenues can be dealt with separately by grants under Article 275. We have not therefore thought it necessary or desirable to depart from the practice established by the previous Finance Commissions in formulating separate schemes for distribution of different taxes and duties like estate duty, income tax, Union excise duties, etc.</w:t>
      </w:r>
    </w:p>
    <w:p w14:paraId="1F089F12" w14:textId="62E9D281" w:rsidR="00FA01F1" w:rsidRPr="00686F52" w:rsidRDefault="00FA01F1" w:rsidP="00686F52">
      <w:pPr>
        <w:pStyle w:val="Heading3"/>
      </w:pPr>
      <w:r w:rsidRPr="00686F52">
        <w:t>All the Finance Commissions have taken the view that taxes under Article 269 are levied by the Government of India largely for the sake of uniformity and convenience and they are therefore distributable among the States on the basis of their origin. Regarding income-tax which is compulsorily shareable under Article 270 and the Union excise duties which may be shared under the permissive provisions of Article 272, distribution has to be made among all the States in which they are leviable, in conformity with suitable principles formulated in a Presidential Order or Parliamentary Enactment after considering the recommendations of the Finance Commission. As these taxes are leviable in all States, no State can be excluded from a share in the distribution, nor can the particular requirements of individual States be taken into consideration. Within these limitations, the scheme of transfers has to be so devised that, on the whole, the States with low per capita income may be enabled to provide services reasonably near the all-India level. It cannot however be expected that, as a result of the Finance Commissions' recommendations, all the States would be put in a position of equality. States with higher per capita incomes, higher rates of taxation or greater assets in relation to their debt liabilities, will, to some extent, remain in a better financial position. They would, therefore, be able to spend more on non-Plan revenue account or have a surplus available for Plan and capital purposes. On the other hand, weaker States with per capita expenditure higher than the average, lower tax levels or more unproductive debt and unremunerative commercial departments or enterprises, would, apart from the devolution accruing to them, have to make further efforts to improve their position.</w:t>
      </w:r>
    </w:p>
    <w:p w14:paraId="67341439" w14:textId="3C03C3FE" w:rsidR="00FA01F1" w:rsidRPr="00686F52" w:rsidRDefault="00FA01F1" w:rsidP="00A47866">
      <w:pPr>
        <w:pStyle w:val="Heading3"/>
        <w:numPr>
          <w:ilvl w:val="0"/>
          <w:numId w:val="0"/>
        </w:numPr>
        <w:jc w:val="center"/>
        <w:rPr>
          <w:b/>
          <w:bCs/>
        </w:rPr>
      </w:pPr>
      <w:r w:rsidRPr="00686F52">
        <w:rPr>
          <w:b/>
          <w:bCs/>
        </w:rPr>
        <w:t>II.—Recent development in State finances</w:t>
      </w:r>
    </w:p>
    <w:p w14:paraId="2CB6B3B2" w14:textId="1D01DC7C" w:rsidR="00FA01F1" w:rsidRPr="00686F52" w:rsidRDefault="00FA01F1" w:rsidP="00686F52">
      <w:pPr>
        <w:pStyle w:val="Heading3"/>
      </w:pPr>
      <w:r w:rsidRPr="00686F52">
        <w:t>In performing its task, the Finance Commission has first to address itself to the question of determining the size of devolutions on a broad consideration of the needs of the States and the available surplus funds with the Union. It may be useful in this connection to review the major developments in the field of State finances since the implementation of the recommendations of the Fourth Finance Commission. These recommendations were expected to leave ten States with no deficit on non-Plan revenue account and six States with surpluses on such account. However, in a brief interval of less</w:t>
      </w:r>
      <w:r w:rsidR="00A47866">
        <w:t xml:space="preserve"> </w:t>
      </w:r>
      <w:r w:rsidRPr="00686F52">
        <w:t xml:space="preserve">than three years, a large number of States showed substantial revenue and capital deficits and several States ran into unauthorised overdrafts. The Fourth Finance Commission did not entirely adopt the mechanical approach of covering all the non-Plan revenue deficits estimated by the States, but </w:t>
      </w:r>
      <w:r w:rsidRPr="00686F52">
        <w:lastRenderedPageBreak/>
        <w:t>they reassessed them to some extent. The major modifications made in the States' forecasts were that the Electricity Boards and other Public Corporations were assumed to pay the entire interest due on loans given to them by the States, and departmentally managed enterprises (including electricity schemes) were not to show any working losses. But even if the States had achieved these goals, their deficits would have substantially continued. It will be worthwhile to analyse the causes which underlie this rapid worsening of the financial position of the States.</w:t>
      </w:r>
    </w:p>
    <w:p w14:paraId="3422F6F4" w14:textId="5EC81F39" w:rsidR="003D6A50" w:rsidRPr="00686F52" w:rsidRDefault="00FA01F1" w:rsidP="00686F52">
      <w:pPr>
        <w:pStyle w:val="Heading3"/>
      </w:pPr>
      <w:r w:rsidRPr="00686F52">
        <w:t>The years 1965-66 and 1966-67 were characterised by a combination of difficult circumstances. The hostilities with Pakistan, sudden cessation of American aid, devaluation of the rupee and serious failures of the monsoon made for an extremely uncertain and gloomy situation resulting in the postponement of the Fourth Five</w:t>
      </w:r>
      <w:r w:rsidR="00A47866">
        <w:t xml:space="preserve"> </w:t>
      </w:r>
      <w:r w:rsidRPr="00686F52">
        <w:t>Year Plan. Food prices rose sharply, growth of industrial production slowed down, and real incomes fell. As a result of large increases in the All India Working Class Consumer Price Index number, there was agitation by State Government employees for increases in dearness allowance. During the period from April, 1966 to March, 1969, the Government of India enhanced dearness allowance of their employees with effect from six different dates. With varying time lags, the State Governments had to follow suit. In many States, no margin was left for meeting any increase in other expenditure resulting from increased prices, much less for Plan expenditure. The serious failure of the monsoon in 1966 and 1967 also</w:t>
      </w:r>
      <w:r w:rsidRPr="00686F52">
        <w:br/>
        <w:t>had the effect of increasing the States' expenditure on famine relief, which amounted to Rs. 73.49 crores and Rs. 78.89 crores in 1966-67 and 1967-68, respectively as against the provision of Rs. 15.69 crores per annum which the Fourth Commission had taken into account. The States' finances were also adversely affected due to remissions</w:t>
      </w:r>
      <w:r w:rsidR="00A47866">
        <w:t xml:space="preserve"> </w:t>
      </w:r>
      <w:r w:rsidRPr="00686F52">
        <w:t xml:space="preserve">and suspensions of land revenue and lower recovery of interest and loan instalments due for repayment. The Government of India's scheme for famine assistance by way of grants and loans took </w:t>
      </w:r>
      <w:r w:rsidR="007A25FC" w:rsidRPr="00686F52">
        <w:t>care of</w:t>
      </w:r>
      <w:r w:rsidR="003D6A50" w:rsidRPr="00686F52">
        <w:t xml:space="preserve"> a substantial part of the approved famine expenditure; but the uncovered portion of the approved expenditure, as well as the un- approved items and expenditure by way of loans and advances, cast an additional burden on States' revenues. Owing to the pressing needs of the law-and-order situation, non-developmental expenditure (excluding interest and famine relief) increased at a rate faster than that of non-Plan developmental expenditure. On the receipts side, the States obtained a sizeable benefit by way of larger devolution of taxes to the extent of Rs. 87 crores in 1968-69 due to additional taxation measures taken by the Government of India. Even then, many States had to reduce their revenue Plan expenditure, and some of them relied solely on Central assistance for financing their Plan expenditure. The pattern of Plan assistance complicated the picture by covering a part of the revenue expenditure on Plan account by loans from the Centre. The States also ran into serious difficulties on the capital side, as they got less loan assistance from the Centre and had to make larger repayments. The net transfers from the Centre to the States on capital account decreased from Rs. 560 crores in 1965-66 to Rs. 514 crores in 1967-68 and Rs. 431 crores in 1968-69 (B.E.). The States tried to meet a part of the reduction in loan receipts by reducing their loans and advances to others, but</w:t>
      </w:r>
      <w:r w:rsidR="00A47866">
        <w:t xml:space="preserve"> </w:t>
      </w:r>
      <w:r w:rsidR="003D6A50" w:rsidRPr="00686F52">
        <w:t xml:space="preserve">even then there remained a considerable strain on their finances. In addition, in several States other non-Plan expenditure (excluding </w:t>
      </w:r>
      <w:r w:rsidR="003D6A50" w:rsidRPr="00686F52">
        <w:lastRenderedPageBreak/>
        <w:t>dearness allowance, famine relief and interest charges over which they had no control) has shown a steep increase. It was not possible for us to examine in detail the reasons for this increase.</w:t>
      </w:r>
    </w:p>
    <w:p w14:paraId="227F5673" w14:textId="4C169608" w:rsidR="003D6A50" w:rsidRPr="00686F52" w:rsidRDefault="003D6A50" w:rsidP="00686F52">
      <w:pPr>
        <w:pStyle w:val="Heading3"/>
      </w:pPr>
      <w:r w:rsidRPr="00686F52">
        <w:t>In the context of these difficulties and the heavy requirements for expenditure which they had to meet, the efforts made by</w:t>
      </w:r>
      <w:r w:rsidR="00FB0D70" w:rsidRPr="00686F52">
        <w:t xml:space="preserve"> </w:t>
      </w:r>
      <w:r w:rsidRPr="00686F52">
        <w:t>State Governments for raising more revenues and effecting economy</w:t>
      </w:r>
      <w:r w:rsidR="005B0ED6" w:rsidRPr="00686F52">
        <w:t xml:space="preserve"> </w:t>
      </w:r>
      <w:r w:rsidRPr="00686F52">
        <w:t>of expenditure were on an extremely inadequate scale. The additional tax measures adopted by State Governments from year to</w:t>
      </w:r>
      <w:r w:rsidR="005B0ED6" w:rsidRPr="00686F52">
        <w:t xml:space="preserve"> </w:t>
      </w:r>
      <w:r w:rsidRPr="00686F52">
        <w:t>year were on a diminishing scale, being Rs. 40 crores in 1966-67,</w:t>
      </w:r>
      <w:r w:rsidR="005B0ED6" w:rsidRPr="00686F52">
        <w:t xml:space="preserve"> </w:t>
      </w:r>
      <w:r w:rsidRPr="00686F52">
        <w:t>Rs. 26 crores in 1967-68 and Rs. 18 crores in 1968-69. In the last two</w:t>
      </w:r>
      <w:r w:rsidR="005B0ED6" w:rsidRPr="00686F52">
        <w:t xml:space="preserve"> </w:t>
      </w:r>
      <w:r w:rsidRPr="00686F52">
        <w:t>years, some States abolished or reduced land revenue on smaller</w:t>
      </w:r>
      <w:r w:rsidR="005B0ED6" w:rsidRPr="00686F52">
        <w:t xml:space="preserve"> </w:t>
      </w:r>
      <w:r w:rsidRPr="00686F52">
        <w:t>holdings. The total loss due to various tax reductions is estimated</w:t>
      </w:r>
      <w:r w:rsidR="005B0ED6" w:rsidRPr="00686F52">
        <w:t xml:space="preserve"> </w:t>
      </w:r>
      <w:r w:rsidRPr="00686F52">
        <w:t>at Rs. 13 crores in 1969-70 of which Rs. 9 crores would be under land</w:t>
      </w:r>
      <w:r w:rsidR="005B0ED6" w:rsidRPr="00686F52">
        <w:t xml:space="preserve"> </w:t>
      </w:r>
      <w:r w:rsidRPr="00686F52">
        <w:t>revenue.</w:t>
      </w:r>
    </w:p>
    <w:p w14:paraId="338E64F5" w14:textId="3FA6B590" w:rsidR="005B0ED6" w:rsidRPr="00686F52" w:rsidRDefault="005B0ED6" w:rsidP="00686F52">
      <w:pPr>
        <w:pStyle w:val="Heading3"/>
      </w:pPr>
      <w:r w:rsidRPr="00686F52">
        <w:t>The above aggregate picture of the States financial position does not fully reflect the magnitude of the difficulties of individual States; in the case of weaker States the stress was more acute. It may be mentioned that the position of the Government of India was also not comfortable. Owing to the inflationary pressures and industrial recession, their tax revenues increased at a rate of only 0.75 per cent, which is lower than that of State taxes. With an additional taxation of Rs. 155 crores, the Centre's revenue surplus diminished by Rs. 316 crores between the years 1965-66 and 1968-69 (R.E.).</w:t>
      </w:r>
      <w:r w:rsidR="00A47866" w:rsidRPr="00686F52">
        <w:t xml:space="preserve"> </w:t>
      </w:r>
    </w:p>
    <w:p w14:paraId="7D7DC239" w14:textId="1727B43B" w:rsidR="005B0ED6" w:rsidRPr="00686F52" w:rsidRDefault="005B0ED6" w:rsidP="00686F52">
      <w:pPr>
        <w:pStyle w:val="Heading3"/>
      </w:pPr>
      <w:r w:rsidRPr="00686F52">
        <w:t>The States have thus had to meet the requirements of increased revenue liabilities for which their own revenues along with the transfers recommended by the Fourth Finance Commission have</w:t>
      </w:r>
      <w:r w:rsidR="007C55DD" w:rsidRPr="00686F52">
        <w:t xml:space="preserve"> </w:t>
      </w:r>
      <w:r w:rsidRPr="00686F52">
        <w:t>not been sufficient. The Government of India sanctioned further increase in dearness allowance to their own employees in 1968 when</w:t>
      </w:r>
      <w:r w:rsidR="007C55DD" w:rsidRPr="00686F52">
        <w:t xml:space="preserve"> </w:t>
      </w:r>
      <w:r w:rsidRPr="00686F52">
        <w:t xml:space="preserve">the twelve-monthly average of the </w:t>
      </w:r>
      <w:r w:rsidR="007C55DD" w:rsidRPr="00686F52">
        <w:t>cost-of-living</w:t>
      </w:r>
      <w:r w:rsidRPr="00686F52">
        <w:t xml:space="preserve"> index reached 215.</w:t>
      </w:r>
      <w:r w:rsidR="007C55DD" w:rsidRPr="00686F52">
        <w:t xml:space="preserve"> </w:t>
      </w:r>
      <w:r w:rsidRPr="00686F52">
        <w:t>Many of the State Governments have followed suit. Besides these</w:t>
      </w:r>
      <w:r w:rsidR="007C55DD" w:rsidRPr="00686F52">
        <w:t xml:space="preserve"> </w:t>
      </w:r>
      <w:r w:rsidRPr="00686F52">
        <w:t>increased commitments, they have placed before us fresh proposals</w:t>
      </w:r>
      <w:r w:rsidR="007C55DD" w:rsidRPr="00686F52">
        <w:t xml:space="preserve"> </w:t>
      </w:r>
      <w:r w:rsidRPr="00686F52">
        <w:t>which will add considerably to their non-Plan expenditure. Under</w:t>
      </w:r>
      <w:r w:rsidR="007C55DD" w:rsidRPr="00686F52">
        <w:t xml:space="preserve"> </w:t>
      </w:r>
      <w:r w:rsidRPr="00686F52">
        <w:t>the financial stress, the State Governments had postponed some</w:t>
      </w:r>
      <w:r w:rsidR="007C55DD" w:rsidRPr="00686F52">
        <w:t xml:space="preserve"> </w:t>
      </w:r>
      <w:r w:rsidRPr="00686F52">
        <w:t>items of necessary expenditure which now need urgent attention.</w:t>
      </w:r>
      <w:r w:rsidR="007C55DD" w:rsidRPr="00686F52">
        <w:t xml:space="preserve"> </w:t>
      </w:r>
      <w:r w:rsidRPr="00686F52">
        <w:t>Payments of grants to local bodies and schools were delayed and</w:t>
      </w:r>
      <w:r w:rsidR="007C55DD" w:rsidRPr="00686F52">
        <w:t xml:space="preserve"> </w:t>
      </w:r>
      <w:r w:rsidRPr="00686F52">
        <w:t>they will now have to be made. Maintenance of roads and buildings</w:t>
      </w:r>
      <w:r w:rsidR="007C55DD" w:rsidRPr="00686F52">
        <w:t xml:space="preserve"> </w:t>
      </w:r>
      <w:r w:rsidRPr="00686F52">
        <w:t>was greatly neglected, and it will have to be improved. The Education Commission presided over by Dr. Kothari recommended minimum pay scales for schoolteachers, and several States have suggested provisions for implementing them. A number of States had</w:t>
      </w:r>
      <w:r w:rsidR="007C55DD" w:rsidRPr="00686F52">
        <w:t xml:space="preserve"> </w:t>
      </w:r>
      <w:r w:rsidRPr="00686F52">
        <w:t>appointed Pay Commissions for revising the salary structures of</w:t>
      </w:r>
      <w:r w:rsidR="007C55DD" w:rsidRPr="00686F52">
        <w:t xml:space="preserve"> </w:t>
      </w:r>
      <w:r w:rsidRPr="00686F52">
        <w:t>their employees; their recommendations have now to be carried</w:t>
      </w:r>
      <w:r w:rsidR="007C55DD" w:rsidRPr="00686F52">
        <w:t xml:space="preserve"> </w:t>
      </w:r>
      <w:r w:rsidRPr="00686F52">
        <w:t>out. A few States are considering proposals for reorganisation and</w:t>
      </w:r>
      <w:r w:rsidR="007C55DD" w:rsidRPr="00686F52">
        <w:t xml:space="preserve"> </w:t>
      </w:r>
      <w:r w:rsidRPr="00686F52">
        <w:t>expansion of their police force in the light of their law and order</w:t>
      </w:r>
      <w:r w:rsidR="007C55DD" w:rsidRPr="00686F52">
        <w:t xml:space="preserve"> </w:t>
      </w:r>
      <w:r w:rsidRPr="00686F52">
        <w:t>situations. Interest charges on State borrowings are fast increasing,</w:t>
      </w:r>
      <w:r w:rsidR="007C55DD" w:rsidRPr="00686F52">
        <w:t xml:space="preserve"> </w:t>
      </w:r>
      <w:r w:rsidRPr="00686F52">
        <w:t>but returns from investments and receipts of interest on loans and</w:t>
      </w:r>
      <w:r w:rsidR="007C55DD" w:rsidRPr="00686F52">
        <w:t xml:space="preserve"> </w:t>
      </w:r>
      <w:r w:rsidRPr="00686F52">
        <w:t>advances to others have not been adequate. Some States have</w:t>
      </w:r>
      <w:r w:rsidR="007C55DD" w:rsidRPr="00686F52">
        <w:t xml:space="preserve"> </w:t>
      </w:r>
      <w:r w:rsidRPr="00686F52">
        <w:t>sought</w:t>
      </w:r>
      <w:r w:rsidR="007C55DD" w:rsidRPr="00686F52">
        <w:t xml:space="preserve"> </w:t>
      </w:r>
      <w:r w:rsidRPr="00686F52">
        <w:t>to question the norms adopted by the Fourth Finance Commission</w:t>
      </w:r>
      <w:r w:rsidR="007C55DD" w:rsidRPr="00686F52">
        <w:t xml:space="preserve"> </w:t>
      </w:r>
      <w:r w:rsidRPr="00686F52">
        <w:t>regarding recovery of interest on loans to Electricity Boards on the</w:t>
      </w:r>
      <w:r w:rsidR="007C55DD" w:rsidRPr="00686F52">
        <w:t xml:space="preserve"> </w:t>
      </w:r>
      <w:r w:rsidRPr="00686F52">
        <w:t>ground that the assumptions made by that Commission did not take</w:t>
      </w:r>
      <w:r w:rsidR="007C55DD" w:rsidRPr="00686F52">
        <w:t xml:space="preserve"> </w:t>
      </w:r>
      <w:r w:rsidRPr="00686F52">
        <w:t>into account certain facts like investment on works-in-progress,</w:t>
      </w:r>
      <w:r w:rsidR="007C55DD" w:rsidRPr="00686F52">
        <w:t xml:space="preserve"> </w:t>
      </w:r>
      <w:r w:rsidRPr="00686F52">
        <w:t>losses on rural electrification, high costs of distribution, lack of</w:t>
      </w:r>
      <w:r w:rsidR="007C55DD" w:rsidRPr="00686F52">
        <w:t xml:space="preserve"> </w:t>
      </w:r>
      <w:r w:rsidRPr="00686F52">
        <w:t xml:space="preserve">hydro-electric power, etc. The </w:t>
      </w:r>
      <w:r w:rsidRPr="00686F52">
        <w:lastRenderedPageBreak/>
        <w:t>Fourth Finance Commission had</w:t>
      </w:r>
      <w:r w:rsidR="007C55DD" w:rsidRPr="00686F52">
        <w:t xml:space="preserve"> </w:t>
      </w:r>
      <w:r w:rsidRPr="00686F52">
        <w:t>allowed provision for amortisation of market loans to the extent</w:t>
      </w:r>
      <w:r w:rsidR="007C55DD" w:rsidRPr="00686F52">
        <w:t xml:space="preserve"> </w:t>
      </w:r>
      <w:r w:rsidRPr="00686F52">
        <w:t>that the State Governments were actually making such provision.</w:t>
      </w:r>
      <w:r w:rsidR="007C55DD" w:rsidRPr="00686F52">
        <w:t xml:space="preserve"> </w:t>
      </w:r>
      <w:r w:rsidRPr="00686F52">
        <w:t>Other State Governments that were left out had protested to the</w:t>
      </w:r>
      <w:r w:rsidR="007C55DD" w:rsidRPr="00686F52">
        <w:t xml:space="preserve"> </w:t>
      </w:r>
      <w:r w:rsidRPr="00686F52">
        <w:t>Government of India who agreed to compensate them by converting</w:t>
      </w:r>
      <w:r w:rsidR="007C55DD" w:rsidRPr="00686F52">
        <w:t xml:space="preserve"> </w:t>
      </w:r>
      <w:r w:rsidRPr="00686F52">
        <w:t>a part of their Plan loans into grants. Many State Governments</w:t>
      </w:r>
      <w:r w:rsidR="007C55DD" w:rsidRPr="00686F52">
        <w:t xml:space="preserve"> </w:t>
      </w:r>
      <w:r w:rsidRPr="00686F52">
        <w:t>have now proposed to extend the amortisation provision to their</w:t>
      </w:r>
      <w:r w:rsidRPr="00686F52">
        <w:br/>
        <w:t>loans from the Government of India. On the commencement of the</w:t>
      </w:r>
      <w:r w:rsidR="007C55DD" w:rsidRPr="00686F52">
        <w:t xml:space="preserve"> </w:t>
      </w:r>
      <w:r w:rsidRPr="00686F52">
        <w:t>Fourth Five Year Plan, the revenue expenditure on maintenance of</w:t>
      </w:r>
      <w:r w:rsidR="007C55DD" w:rsidRPr="00686F52">
        <w:t xml:space="preserve"> </w:t>
      </w:r>
      <w:r w:rsidRPr="00686F52">
        <w:t>completed Plan schemes of the years 1966-67 to 1968-69 has become</w:t>
      </w:r>
      <w:r w:rsidR="007C55DD" w:rsidRPr="00686F52">
        <w:t xml:space="preserve"> </w:t>
      </w:r>
      <w:r w:rsidRPr="00686F52">
        <w:t>committed expenditure for which no Plan grant would be received.</w:t>
      </w:r>
    </w:p>
    <w:p w14:paraId="253270C0" w14:textId="50242506" w:rsidR="007C55DD" w:rsidRPr="00686F52" w:rsidRDefault="007C55DD" w:rsidP="00A47866">
      <w:pPr>
        <w:pStyle w:val="Heading3"/>
        <w:numPr>
          <w:ilvl w:val="0"/>
          <w:numId w:val="0"/>
        </w:numPr>
        <w:jc w:val="center"/>
        <w:rPr>
          <w:b/>
          <w:bCs/>
        </w:rPr>
      </w:pPr>
      <w:r w:rsidRPr="00686F52">
        <w:rPr>
          <w:b/>
          <w:bCs/>
        </w:rPr>
        <w:t>III.—Our approach</w:t>
      </w:r>
    </w:p>
    <w:p w14:paraId="63241511" w14:textId="223A5842" w:rsidR="007C55DD" w:rsidRPr="00686F52" w:rsidRDefault="007C55DD" w:rsidP="00686F52">
      <w:pPr>
        <w:pStyle w:val="Heading3"/>
      </w:pPr>
      <w:r w:rsidRPr="00686F52">
        <w:t>In our interim Report, we recommended grants under Article 275 to cover only the expenditure requirements of the States on a cash basis for the year 1969-70. In determining such requirements, we had proceeded on the basis of the 1968-69 budget estimates of the States and allowed for some growth, and for extra expenditure on dearness allowance. We also provided for committed expenditure on an ad hoc basis. On that footing, we provisionally recommended grants under Article 275 to thirteen States, totalling Rs. 176.81 crores. We had postponed consideration of questions relating to norms of tax effort, expenditure and returns from commercial enterprises, provision for amortisation of debt, items of fresh expenditure, etc. We have tried to deal with these matters in this Report.</w:t>
      </w:r>
    </w:p>
    <w:p w14:paraId="17015F52" w14:textId="6AEE21E5" w:rsidR="007C55DD" w:rsidRPr="00686F52" w:rsidRDefault="007C55DD" w:rsidP="00686F52">
      <w:pPr>
        <w:pStyle w:val="Heading3"/>
      </w:pPr>
      <w:r w:rsidRPr="00686F52">
        <w:t>The question of assessment of the forecasts of revenue receipts and expenditure of the States is considered in detail in Chapter 6 of this Report, which deals with grants under Article 275. We propose to indicate here our broad approach to the problem. In estimating the total deficit of each State we have taken into account their revenue resources on the basis of 1968-69 levels of taxation and their requirements for expenditure on revenue account, including committed Plan expenditure and interest charges. We have adopted the States' forecasts of tax and non-tax revenues as well as normal revenue expenditure on the basis of existing policies, with some adjustments. We have assumed suitable rates of returns in respect of investments in Departmental commercial schemes and in other concerns, and recovery of interest due on loans to Electricity Boards and to other parties. These assumptions are made in the expectation that the State Governments will take effective measures to obtain adequate interest on their loans and returns on their investments and commercial undertakings which will safeguard them from loss. No interest has been allowed for ad hoc loans taken from the Government of India to cover unauthorised overdrafts.</w:t>
      </w:r>
    </w:p>
    <w:p w14:paraId="19958EFB" w14:textId="6DB5803C" w:rsidR="007C55DD" w:rsidRPr="00686F52" w:rsidRDefault="007C55DD" w:rsidP="00686F52">
      <w:pPr>
        <w:pStyle w:val="Heading3"/>
      </w:pPr>
      <w:r w:rsidRPr="00686F52">
        <w:t>Having arrived at a broad assessment of the shortfall in the States' revenue resources on this basis, we had to determine how far it should be covered by devolution of taxes and how far by grants under Article 275. The general suggestion of most of the States and the view of many distinguished witnesses before us was that the States' need for additional resources should be met, as far as possible, by devolution of taxes rather than by grants. The earlier Commissions have also expressed the same view. We consider that the aim</w:t>
      </w:r>
      <w:r w:rsidR="00A47866">
        <w:t xml:space="preserve"> </w:t>
      </w:r>
      <w:r w:rsidRPr="00686F52">
        <w:t xml:space="preserve">of a reasonable policy of transfer </w:t>
      </w:r>
      <w:r w:rsidRPr="00686F52">
        <w:lastRenderedPageBreak/>
        <w:t>of resources should be to minimise the number of States receiving grants so that as many States as possible may have the benefit of such additional resources as they may raise.</w:t>
      </w:r>
    </w:p>
    <w:p w14:paraId="01DB1EA4" w14:textId="6EE6FC4C" w:rsidR="007C55DD" w:rsidRPr="00686F52" w:rsidRDefault="007C55DD" w:rsidP="00686F52">
      <w:pPr>
        <w:pStyle w:val="Heading3"/>
      </w:pPr>
      <w:r w:rsidRPr="00686F52">
        <w:t>In the light of these general principles, we considered the question of distribution of proceeds of divisible taxes. We noted that due to inclusion of advance tax collections in the same year according to the revised basis now adopted, the size of the divisible pool of income-tax will now be larger than it was hitherto. In view of the increased needs of the States, however, we considered it necessary to maintain the States' share at the existing level and also to increase the States' share of Union excise duties in the last two years of the five-year period by including the proceeds of special excise duties in the divisible pool. We have also modified the principles of distribution of the States' share among them, with a view to giving greater weightage to population and increasing the relative shares of States</w:t>
      </w:r>
      <w:r w:rsidR="007A25FC">
        <w:t xml:space="preserve"> </w:t>
      </w:r>
      <w:r w:rsidRPr="00686F52">
        <w:t>which have lower per capita income and are economically more backward.</w:t>
      </w:r>
    </w:p>
    <w:p w14:paraId="2E20A77D" w14:textId="745D1955" w:rsidR="007C55DD" w:rsidRPr="00686F52" w:rsidRDefault="007C55DD" w:rsidP="00A47866">
      <w:pPr>
        <w:pStyle w:val="Heading3"/>
      </w:pPr>
      <w:r w:rsidRPr="00686F52">
        <w:t>The question of determining the quantum of grants under Article 275 raises several important considerations. The general principle followed hitherto has been to cover by such grants the non-Plan revenue deficits left after taking tax devolutions into account.</w:t>
      </w:r>
      <w:r w:rsidR="00A47866">
        <w:t xml:space="preserve"> </w:t>
      </w:r>
      <w:r w:rsidRPr="00686F52">
        <w:t>From our analysis of the States' forecasts, it was clear to us that States' deficits on revenue account could not be entirely ascribed to</w:t>
      </w:r>
      <w:r w:rsidR="00A47866">
        <w:t xml:space="preserve"> </w:t>
      </w:r>
      <w:r w:rsidR="00EE6303" w:rsidRPr="00686F52">
        <w:t>their low taxable capacity or their special problems. In some States the rates of taxes are much lower than the general level of rates levied by other States. Some States have adopted policies resulting in expenditure above the average all-India level. Several States urged before us that filling up the entire revenue deficits in such cases was unfair to States which paid greater regard to financial prudence and made greater efforts in raising revenues. A number of eminent witnesses who appeared before us commented adversely on the procedure of mechanically filling up budgetary deficits of States, which puts a premium on disregard of proper fiscal management. We see considerable force in this view. We have also to consider whether the Union can spare all the money needed to cover fully the States' estimated deficits which, according to their forecasts, are of the order</w:t>
      </w:r>
      <w:r w:rsidR="00A47866">
        <w:t xml:space="preserve"> </w:t>
      </w:r>
      <w:r w:rsidR="00EE6303" w:rsidRPr="00686F52">
        <w:t>of Rs. 7368 crores for the five-year period.</w:t>
      </w:r>
    </w:p>
    <w:p w14:paraId="798F37FA" w14:textId="57DBBCBE" w:rsidR="00EE6303" w:rsidRPr="00686F52" w:rsidRDefault="00EE6303" w:rsidP="00686F52">
      <w:pPr>
        <w:pStyle w:val="Heading3"/>
      </w:pPr>
      <w:r w:rsidRPr="00686F52">
        <w:t>Under a federal Constitution, the States have plenary powers within their own sphere in deciding on their policies of taxation, expenditure and investment. It is difficult for a Commission or any out-side authority to judge the propriety of these policies. It is not,</w:t>
      </w:r>
      <w:r w:rsidR="00A47866">
        <w:t xml:space="preserve"> </w:t>
      </w:r>
      <w:r w:rsidRPr="00686F52">
        <w:t xml:space="preserve">therefore, possible to regulate the grants to States on the basis of any judgment regarding the particular policies adopted by individual States. Our terms of reference, however, require us to have regard to the scope for economy consistent with efficiency and to the scope for better fiscal management. All that can be done is to keep in view broad considerations which can be applied to all the States as regards their total tax effort, overall expenditure levels, and returns from investment. There are a few items of revenue receipts and expenditure in respect of </w:t>
      </w:r>
      <w:r w:rsidRPr="00686F52">
        <w:lastRenderedPageBreak/>
        <w:t>which no suitable general consideration could be adopted. These have been taken into account on the basis of actuals.</w:t>
      </w:r>
    </w:p>
    <w:p w14:paraId="5DF3D8CE" w14:textId="234E1397" w:rsidR="00EE6303" w:rsidRPr="00686F52" w:rsidRDefault="00EE6303" w:rsidP="00686F52">
      <w:pPr>
        <w:pStyle w:val="Heading3"/>
      </w:pPr>
      <w:r w:rsidRPr="00686F52">
        <w:t>The deficits worked out in the manner broadly explained in the preceding paragraphs have been taken as reflecting the needs of the States. In case of States where such deficits are not covered by the tax devolutions along with other transfers under Article 269 and</w:t>
      </w:r>
      <w:r w:rsidR="00A47866">
        <w:t xml:space="preserve"> </w:t>
      </w:r>
      <w:r w:rsidRPr="00686F52">
        <w:t>the States' share of the grant in lieu of railway passenger fare tax and additional excise duties, the remaining portions of the deficits have been taken into account for determining grants under Article275.</w:t>
      </w:r>
    </w:p>
    <w:p w14:paraId="761766C9" w14:textId="756629FD" w:rsidR="00EE6303" w:rsidRPr="00686F52" w:rsidRDefault="00EE6303" w:rsidP="001D7ED4">
      <w:pPr>
        <w:pStyle w:val="Heading3"/>
        <w:keepNext w:val="0"/>
      </w:pPr>
      <w:r w:rsidRPr="00686F52">
        <w:t>It was found that for the year 1969-70 and subsequent years the actual deficits of some of the States were likely to be substantially larger than those worked out by us in the manner described above. It is, however, desirable for maintaining the administrative and social services that such States should be given further help for a short period during which they may be expected to take suitable measures for improving their finances. It is necessary also to have regard to the fact that many of the States might have been under the impression that their whole deficit would be taken care of. Accordingly, in cases where the States were likely to incur actual deficits substantially higher than those estimated according to our assessment, we</w:t>
      </w:r>
      <w:r w:rsidR="007C4E37" w:rsidRPr="007C4E37">
        <w:t xml:space="preserve"> </w:t>
      </w:r>
      <w:r w:rsidR="007C4E37" w:rsidRPr="00686F52">
        <w:t>have recommended suitable larger grants in the earlier years and reduced their amounts gradually over the five-year period.</w:t>
      </w:r>
      <w:r w:rsidRPr="00686F52">
        <w:t xml:space="preserve"> </w:t>
      </w:r>
    </w:p>
    <w:p w14:paraId="4255021D" w14:textId="3CFFE21F" w:rsidR="00EE6303" w:rsidRPr="007245B0" w:rsidRDefault="00EE6303" w:rsidP="001D7ED4">
      <w:pPr>
        <w:pStyle w:val="Heading3"/>
        <w:numPr>
          <w:ilvl w:val="0"/>
          <w:numId w:val="0"/>
        </w:numPr>
      </w:pPr>
    </w:p>
    <w:p w14:paraId="74AC7BC3" w14:textId="77777777" w:rsidR="001D7ED4" w:rsidRDefault="001D7ED4">
      <w:pPr>
        <w:rPr>
          <w:rFonts w:ascii="Times New Roman" w:eastAsiaTheme="majorEastAsia" w:hAnsi="Times New Roman" w:cs="Times New Roman"/>
          <w:b/>
          <w:bCs/>
          <w:sz w:val="32"/>
          <w:szCs w:val="28"/>
        </w:rPr>
      </w:pPr>
      <w:r>
        <w:br w:type="page"/>
      </w:r>
    </w:p>
    <w:p w14:paraId="3BC7FC28" w14:textId="3F929009" w:rsidR="00EE6303" w:rsidRPr="007245B0" w:rsidRDefault="00A47866" w:rsidP="007C11A0">
      <w:pPr>
        <w:pStyle w:val="Heading1"/>
      </w:pPr>
      <w:r>
        <w:lastRenderedPageBreak/>
        <w:br/>
      </w:r>
      <w:bookmarkStart w:id="5" w:name="_Toc220949667"/>
      <w:bookmarkStart w:id="6" w:name="_Toc221115290"/>
      <w:r w:rsidR="00EE6303" w:rsidRPr="007245B0">
        <w:t>INCOME-TAX</w:t>
      </w:r>
      <w:bookmarkEnd w:id="5"/>
      <w:bookmarkEnd w:id="6"/>
    </w:p>
    <w:p w14:paraId="0221632D" w14:textId="39A7856B" w:rsidR="00EE6303" w:rsidRPr="007245B0" w:rsidRDefault="00EE6303" w:rsidP="00A47866">
      <w:pPr>
        <w:pStyle w:val="Heading3"/>
      </w:pPr>
      <w:r w:rsidRPr="007245B0">
        <w:t>Under item (a) of paragraph 4 of the President's Order dated the 29th February, 1968, this Commission is required to make recommendations as to "the distribution between the Union and the States of the net proceeds of taxes which are to be, or may be, divided between them under Chapter I of Part XII of the Constitution and the allocation between the States of the respective shares of such proceeds." Under this item we have to consider the distribution</w:t>
      </w:r>
      <w:r w:rsidR="00BF52C8">
        <w:t xml:space="preserve"> </w:t>
      </w:r>
      <w:r w:rsidRPr="007245B0">
        <w:t>of:</w:t>
      </w:r>
      <w:r w:rsidR="00BF52C8">
        <w:t xml:space="preserve"> </w:t>
      </w:r>
      <w:r w:rsidRPr="007245B0">
        <w:t>(1) taxes on income other than agricultural income, in accordance with Article 270 of the Constitution, and (2) Union duties of excise which may be divided between the Union and the States under Article 272 of the Constitution, if Parliament by law so provides. In this Chapter we shall deal with the distribution of proceeds of taxes on income other than agricultural income.</w:t>
      </w:r>
    </w:p>
    <w:p w14:paraId="55E66440" w14:textId="3FFDE663" w:rsidR="00EE6303" w:rsidRPr="007245B0" w:rsidRDefault="00EE6303" w:rsidP="00A47866">
      <w:pPr>
        <w:pStyle w:val="Heading3"/>
      </w:pPr>
      <w:r w:rsidRPr="007245B0">
        <w:t>In this connection we may refer at the outset to the question of inclusion of Advance Tax collections in determining the proceeds of income-tax during the same financial year for the purpose of distribution between the Union and the States. The practice in this</w:t>
      </w:r>
      <w:r w:rsidR="00BF52C8">
        <w:t xml:space="preserve"> </w:t>
      </w:r>
      <w:r w:rsidRPr="007245B0">
        <w:t>regard has hitherto been that Advance Tax collections under the income-tax law have been taken into account in determining the net proceeds of income-tax only on completion of regular assessments. In 1948 it was decided to credit advance tax collections to the revenue head "Taxes on Income". At that time the Government of India decided after consulting the Comptroller and Auditor-General that it was not necessary to change the existing practice of including advance tax collections in the divisible pool only on completion of assessments. This decision was communicated to the then Provincial Governments in January, 1949. Successive Finance Commissions have recommended the distribution between the Union and the States of the net proceeds of income-tax having regard to the estimates of net proceeds furnished by the Government of India on this basis. The Comptroller and Auditor-General of India has also been certifying the net proceeds under Article 279(1) of the Constitution for the years up to 1966-67 on this basis.</w:t>
      </w:r>
    </w:p>
    <w:p w14:paraId="7E4E4ADE" w14:textId="08F57AAC" w:rsidR="00EE6303" w:rsidRPr="007245B0" w:rsidRDefault="00EE6303" w:rsidP="00A47866">
      <w:pPr>
        <w:pStyle w:val="Heading3"/>
      </w:pPr>
      <w:r w:rsidRPr="007245B0">
        <w:t>In their memoranda submitted to us soon after our appointment, some of the State Governments represented that the advance tax collections should form part of the divisible pool in the same year in which they are collected and that their distribution should</w:t>
      </w:r>
      <w:r w:rsidR="00BF52C8">
        <w:t xml:space="preserve"> </w:t>
      </w:r>
      <w:r w:rsidRPr="007245B0">
        <w:t>not be deferred till the completion of assessments. Thereupon we took up this question with the Comptroller and Auditor-General and the Government of India. On examination of the question the Government of India now consider that the advance tax collections made</w:t>
      </w:r>
      <w:r w:rsidR="00BF52C8">
        <w:t xml:space="preserve"> </w:t>
      </w:r>
      <w:r w:rsidRPr="007245B0">
        <w:t>in a financial year should be taken into account in determining the net proceeds of income-tax in that year and not be left over for</w:t>
      </w:r>
      <w:r w:rsidR="00321978" w:rsidRPr="007245B0">
        <w:t xml:space="preserve"> </w:t>
      </w:r>
      <w:r w:rsidRPr="007245B0">
        <w:t xml:space="preserve">such determination on completion of regular assessments in subsequent years as hitherto. The President has therefore made a supplementary reference to us under his Order dated 1st May, 1969 (reproduced in Chapter 1) which requires us to make recommendations regarding the distribution of the advance tax already collected and not included in the net proceeds of the years upto 1966-67, as certified by the Comptroller and Auditor-General, and also the changes, if any, in the distribution </w:t>
      </w:r>
      <w:r w:rsidRPr="007245B0">
        <w:lastRenderedPageBreak/>
        <w:t>between the Union and the States of the income-tax collected during the years 1967-68 and 1968-69 in the event of the Comptroller and Auditor-General certifying the net proceeds of those years after taking into account the advance tax collected in the respective years. We are also required to make recommendations regarding the distribution of the net proceeds of income-tax in the years 1969-70 to 1973-74 as determined on the revised basis.</w:t>
      </w:r>
    </w:p>
    <w:p w14:paraId="1C9B1C97" w14:textId="41C2FCC0" w:rsidR="00EE6303" w:rsidRPr="007245B0" w:rsidRDefault="00EE6303" w:rsidP="00A47866">
      <w:pPr>
        <w:pStyle w:val="Heading3"/>
      </w:pPr>
      <w:r w:rsidRPr="007245B0">
        <w:t>Soon after the receipt of the Presidential Order dated 1</w:t>
      </w:r>
      <w:r w:rsidRPr="007245B0">
        <w:rPr>
          <w:vertAlign w:val="superscript"/>
        </w:rPr>
        <w:t>st</w:t>
      </w:r>
      <w:r w:rsidRPr="007245B0">
        <w:t xml:space="preserve"> May, 1969, we requested all the State Governments and the Government of India to furnish their views and suggestions on the supplementary reference received by us. Their replies have been taken</w:t>
      </w:r>
      <w:r w:rsidR="00BF52C8">
        <w:t xml:space="preserve"> </w:t>
      </w:r>
      <w:r w:rsidRPr="007245B0">
        <w:t>into account in framing our recommendations.</w:t>
      </w:r>
    </w:p>
    <w:p w14:paraId="05A47CBD" w14:textId="77777777" w:rsidR="00EE6303" w:rsidRPr="007245B0" w:rsidRDefault="00EE6303" w:rsidP="00BF52C8">
      <w:pPr>
        <w:pStyle w:val="Heading3"/>
        <w:numPr>
          <w:ilvl w:val="0"/>
          <w:numId w:val="0"/>
        </w:numPr>
        <w:jc w:val="center"/>
        <w:rPr>
          <w:b/>
          <w:bCs/>
        </w:rPr>
      </w:pPr>
      <w:r w:rsidRPr="007245B0">
        <w:rPr>
          <w:b/>
          <w:bCs/>
        </w:rPr>
        <w:t>I. Unadjusted balance of advance tax collections upto 1966-67</w:t>
      </w:r>
    </w:p>
    <w:p w14:paraId="125214C3" w14:textId="0998CD33" w:rsidR="00EE6303" w:rsidRPr="007245B0" w:rsidRDefault="00EE6303" w:rsidP="00A47866">
      <w:pPr>
        <w:pStyle w:val="Heading3"/>
      </w:pPr>
      <w:r w:rsidRPr="007245B0">
        <w:t>Item (a) of the supplementary reference relates to the distribution of the unadjusted amount of advance tax collected under the</w:t>
      </w:r>
      <w:r w:rsidR="00321978" w:rsidRPr="007245B0">
        <w:t xml:space="preserve"> </w:t>
      </w:r>
      <w:r w:rsidRPr="007245B0">
        <w:t>income-tax law during the years upto 1966-67. One State has expressed the view that since the determination of the net proceeds of income-tax under Article 279 is outside the functions of the Finance</w:t>
      </w:r>
      <w:r w:rsidR="00321978" w:rsidRPr="007245B0">
        <w:t xml:space="preserve"> </w:t>
      </w:r>
      <w:r w:rsidRPr="007245B0">
        <w:t>Commission and has to be made by the Comptroller and Auditor</w:t>
      </w:r>
      <w:r w:rsidR="00321978" w:rsidRPr="007245B0">
        <w:t xml:space="preserve"> </w:t>
      </w:r>
      <w:r w:rsidRPr="007245B0">
        <w:t>General according to law, the Presidential Orders issued from time</w:t>
      </w:r>
      <w:r w:rsidR="00321978" w:rsidRPr="007245B0">
        <w:t xml:space="preserve"> </w:t>
      </w:r>
      <w:r w:rsidRPr="007245B0">
        <w:t>to time on the basis of the recommendations made by the respective</w:t>
      </w:r>
      <w:r w:rsidR="00E97885">
        <w:t xml:space="preserve"> </w:t>
      </w:r>
      <w:r w:rsidRPr="007245B0">
        <w:t>Finance Commissions have not lost their validity merely because of</w:t>
      </w:r>
      <w:r w:rsidR="00321978" w:rsidRPr="007245B0">
        <w:t xml:space="preserve"> </w:t>
      </w:r>
      <w:r w:rsidRPr="007245B0">
        <w:t>the realisation that an error was committed in computing the divisible pool, and the correct amount of net proceeds should therefore be</w:t>
      </w:r>
      <w:r w:rsidR="00321978" w:rsidRPr="007245B0">
        <w:t xml:space="preserve"> </w:t>
      </w:r>
      <w:r w:rsidRPr="007245B0">
        <w:t>distributed in accordance with the respective Presidential Orders.</w:t>
      </w:r>
      <w:r w:rsidR="00321978" w:rsidRPr="007245B0">
        <w:t xml:space="preserve"> </w:t>
      </w:r>
      <w:r w:rsidRPr="007245B0">
        <w:t>It is not practicable to proceed on this basis for the reasons explained</w:t>
      </w:r>
      <w:r w:rsidR="00E97885">
        <w:t xml:space="preserve"> </w:t>
      </w:r>
      <w:r w:rsidRPr="007245B0">
        <w:t>in the succeeding paragraph.</w:t>
      </w:r>
    </w:p>
    <w:p w14:paraId="71F335DC" w14:textId="488448A6" w:rsidR="00EE6303" w:rsidRPr="007245B0" w:rsidRDefault="00EE6303" w:rsidP="00A47866">
      <w:pPr>
        <w:pStyle w:val="Heading3"/>
      </w:pPr>
      <w:r w:rsidRPr="007245B0">
        <w:t>The collections of advance tax during the years upto 1966-67</w:t>
      </w:r>
      <w:r w:rsidR="00321978" w:rsidRPr="007245B0">
        <w:t xml:space="preserve"> </w:t>
      </w:r>
      <w:r w:rsidRPr="007245B0">
        <w:t>were being accounted for under a distinct minor head "Advance</w:t>
      </w:r>
      <w:r w:rsidR="00321978" w:rsidRPr="007245B0">
        <w:t xml:space="preserve"> </w:t>
      </w:r>
      <w:r w:rsidRPr="007245B0">
        <w:t>Payments of Tax" under the major head "IV-Taxes on Income other</w:t>
      </w:r>
      <w:r w:rsidR="00321978" w:rsidRPr="007245B0">
        <w:t xml:space="preserve"> </w:t>
      </w:r>
      <w:r w:rsidRPr="007245B0">
        <w:t>than Corporation Tax". As and when each assessment of income-tax</w:t>
      </w:r>
      <w:r w:rsidR="00321978" w:rsidRPr="007245B0">
        <w:t xml:space="preserve"> </w:t>
      </w:r>
      <w:r w:rsidRPr="007245B0">
        <w:t>was completed, the amount of advance tax, if any, was being</w:t>
      </w:r>
      <w:r w:rsidR="00321978" w:rsidRPr="007245B0">
        <w:t xml:space="preserve"> </w:t>
      </w:r>
      <w:r w:rsidRPr="007245B0">
        <w:t>adjusted by transfer from the minor head "Advance Payments of</w:t>
      </w:r>
      <w:r w:rsidR="00321978" w:rsidRPr="007245B0">
        <w:t xml:space="preserve"> </w:t>
      </w:r>
      <w:r w:rsidRPr="007245B0">
        <w:t>Tax" to the respective minor heads, such as (i) "Income Tax—Ordinary Collections" and (ii) "Surcharge (Union)", after refunding the</w:t>
      </w:r>
      <w:r w:rsidR="00321978" w:rsidRPr="007245B0">
        <w:t xml:space="preserve"> </w:t>
      </w:r>
      <w:r w:rsidRPr="007245B0">
        <w:t>excess payment, if any, to the assessee. The adjustments were so</w:t>
      </w:r>
      <w:r w:rsidR="00321978" w:rsidRPr="007245B0">
        <w:t xml:space="preserve"> </w:t>
      </w:r>
      <w:r w:rsidRPr="007245B0">
        <w:t>made for all assessments completed during each year, without</w:t>
      </w:r>
      <w:r w:rsidR="00321978" w:rsidRPr="007245B0">
        <w:t xml:space="preserve"> </w:t>
      </w:r>
      <w:r w:rsidRPr="007245B0">
        <w:t>accounting separately for the amounts of advance tax collections in</w:t>
      </w:r>
      <w:r w:rsidR="00321978" w:rsidRPr="007245B0">
        <w:t xml:space="preserve"> </w:t>
      </w:r>
      <w:r w:rsidRPr="007245B0">
        <w:t>different previous years. The balance of advance tax collected in the</w:t>
      </w:r>
      <w:r w:rsidRPr="007245B0">
        <w:br/>
        <w:t>years upto 1966-67 and not included in the net proceeds of those years</w:t>
      </w:r>
      <w:r w:rsidR="00321978" w:rsidRPr="007245B0">
        <w:t xml:space="preserve"> </w:t>
      </w:r>
      <w:r w:rsidRPr="007245B0">
        <w:t>as certified by the</w:t>
      </w:r>
      <w:r w:rsidR="00321978" w:rsidRPr="007245B0">
        <w:t xml:space="preserve"> </w:t>
      </w:r>
      <w:r w:rsidRPr="007245B0">
        <w:t>Comptroller and Auditor-General thus includes</w:t>
      </w:r>
      <w:r w:rsidR="00321978" w:rsidRPr="007245B0">
        <w:t xml:space="preserve"> </w:t>
      </w:r>
      <w:r w:rsidRPr="007245B0">
        <w:t>amounts actually collected over a number of years as advance tax</w:t>
      </w:r>
      <w:r w:rsidR="00321978" w:rsidRPr="007245B0">
        <w:t xml:space="preserve"> </w:t>
      </w:r>
      <w:r w:rsidRPr="007245B0">
        <w:t>payments both towards ordinary income-tax, which is divisible</w:t>
      </w:r>
      <w:r w:rsidR="00E97885">
        <w:t xml:space="preserve"> </w:t>
      </w:r>
      <w:r w:rsidRPr="007245B0">
        <w:t>between the Union and the States, and towards the Union surcharge</w:t>
      </w:r>
      <w:r w:rsidR="00321978" w:rsidRPr="007245B0">
        <w:t xml:space="preserve"> on income-tax. It is, therefore, not possible to determine what amounts comprised in the unadjusted balance at the end of 1966-67 are relatable to the actual collection of advance tax in each of the</w:t>
      </w:r>
      <w:r w:rsidR="00E97885">
        <w:t xml:space="preserve"> </w:t>
      </w:r>
      <w:r w:rsidR="00321978" w:rsidRPr="007245B0">
        <w:t>earlier years upto that year.</w:t>
      </w:r>
    </w:p>
    <w:p w14:paraId="26D445AE" w14:textId="1814E785" w:rsidR="006D4580" w:rsidRPr="007245B0" w:rsidRDefault="00321978" w:rsidP="00A47866">
      <w:pPr>
        <w:pStyle w:val="Heading3"/>
      </w:pPr>
      <w:r w:rsidRPr="007245B0">
        <w:t>We have ascertained from the Comptroller and Auditor-General that the total unadjusted amount of advance tax outstanding at the end of the financial year 1966-67 was Rs. 387.74 crores. As different rates of surcharge have been in force during different years, the exact amount pertaining to the Union surcharge which forms</w:t>
      </w:r>
      <w:r w:rsidR="006D4580" w:rsidRPr="007245B0">
        <w:t xml:space="preserve"> </w:t>
      </w:r>
      <w:r w:rsidRPr="007245B0">
        <w:t xml:space="preserve">part </w:t>
      </w:r>
      <w:r w:rsidRPr="007245B0">
        <w:lastRenderedPageBreak/>
        <w:t>of the unadjusted balance of advance tax collections cannot be determined until assessments in all cases relating to those years are completed. However, on an analysis of the aggregate amounts of advance tax collections, adjustments and refunds reflected in the accounts of each year, and having regard to the different rates of surcharge in force during each year, the Comptroller and Auditor-General has calculated the portion of the unadjusted balance relating to the Union surcharge, on an approximate basis, as Rs. 16.62 crores. This would leave an amount of Rs. 371.12 crores as ordinary income-tax, to be divided between the Union and the States subject to adjustment in due course, if necessary.</w:t>
      </w:r>
    </w:p>
    <w:p w14:paraId="0F2CAFE5" w14:textId="5C151194" w:rsidR="006D4580" w:rsidRPr="007245B0" w:rsidRDefault="006D4580" w:rsidP="001D7ED4">
      <w:pPr>
        <w:pStyle w:val="Heading3"/>
        <w:keepNext w:val="0"/>
      </w:pPr>
      <w:r w:rsidRPr="007245B0">
        <w:t>Some amounts relatable to the unadjusted balance of advance tax collections would become due for refund to the assessees on completion of regular assessments made during the years 1967-68 onwards. Though the actual refunds made on the basis of assessments during any year, whether in respect of advance tax or ordinary tax collections or Union surcharge, are relatable to collections made in earlier years, they are actually paid out of the collections received as proceeds of tax during that year and they cannot be adjusted against the proceeds of the earlier years. The refunds relatable to the unadjusted portion of advance tax collections would, accordingly be paid out of the proceeds of the subsequent years, and would be taken into account in reduction of the gross collections in determining the proceeds of income-tax in those years. It therefore appears that the whole amount of Rs. 371.12 crores, representing the divisible portion of the unadjusted amount of advance tax collections, is available for distribution under item (a) of the supplementary reference.</w:t>
      </w:r>
    </w:p>
    <w:p w14:paraId="35220C1A" w14:textId="1C2B02A1" w:rsidR="00321978" w:rsidRPr="007245B0" w:rsidRDefault="006D4580" w:rsidP="001D7ED4">
      <w:pPr>
        <w:pStyle w:val="Heading3"/>
        <w:keepNext w:val="0"/>
      </w:pPr>
      <w:r w:rsidRPr="007245B0">
        <w:t>The first question that we have to consider is what percentage of this amount should be assigned to the States, after excluding the proceeds attributable to Union territories. A view has been expressed that since the collections comprising the unadjusted balance formed part of the income-tax proceeds of a number of years which had not been included in the divisible pool, the percentage constituting the States' share should be worked out on the basis of the Presidential Orders applicable to the ordinary income-tax collections of</w:t>
      </w:r>
      <w:r w:rsidR="00E97885">
        <w:t xml:space="preserve"> </w:t>
      </w:r>
      <w:r w:rsidRPr="007245B0">
        <w:t>the respective years. Another view is that since the practice upto this time has been to give to the States the percentage share applicable to the year in which the advance tax collections get adjusted and treated as part of the proceeds after completion of assessments, the unadjusted advance tax collections, which would be brought into the</w:t>
      </w:r>
      <w:r w:rsidR="00E97885">
        <w:t xml:space="preserve"> </w:t>
      </w:r>
      <w:r w:rsidRPr="007245B0">
        <w:t>divisible pool now on adoption of the revised procedure from 1967-68, should be distributed between the Union and the States on the same basis as is adopted for distribution of the net proceeds of income-tax for that year. Accordingly, some States have urged that 75 per cent of the net collections of the entire accumulated balance of advance</w:t>
      </w:r>
      <w:r w:rsidR="00E97885">
        <w:t xml:space="preserve"> </w:t>
      </w:r>
      <w:r w:rsidRPr="007245B0">
        <w:t>tax collections should be allocated to the States.</w:t>
      </w:r>
    </w:p>
    <w:p w14:paraId="38FF1303" w14:textId="246C4FA4" w:rsidR="00321978" w:rsidRPr="007245B0" w:rsidRDefault="006D4580" w:rsidP="001D7ED4">
      <w:pPr>
        <w:pStyle w:val="Heading3"/>
        <w:keepNext w:val="0"/>
      </w:pPr>
      <w:r w:rsidRPr="007245B0">
        <w:t xml:space="preserve">The States' share of the net proceeds of income-tax after excluding the proceeds attributable to Union territories was 50 percent during the years 1949-50 to 1951-52, 55 per cent during the years 1952-53 to 1956-57, 60 per cent during 1957-58 to 1961-62, 66 2/3 per cent during 1962-63 to 1965-66, and 75 per cent thereafter. As explained above, there are practical difficulties in dividing the balance </w:t>
      </w:r>
      <w:r w:rsidRPr="007245B0">
        <w:lastRenderedPageBreak/>
        <w:t>of advance tax collections on the basis of the percentage applicable from time to time to the respective earlier years upto 1966-67 since it is not possible to ascertain the actual amount of unadjusted advance tax collections which pertains to each year and is included in the total unadjusted balance of advance tax collections at the end of 1966-67.</w:t>
      </w:r>
    </w:p>
    <w:p w14:paraId="541B83BE" w14:textId="7B9BBA2C" w:rsidR="00EE6303" w:rsidRPr="007245B0" w:rsidRDefault="006D4580" w:rsidP="001D7ED4">
      <w:pPr>
        <w:pStyle w:val="Heading3"/>
        <w:keepNext w:val="0"/>
      </w:pPr>
      <w:r w:rsidRPr="007245B0">
        <w:t>We considered whether some percentage between 50 and 75 per cent could be adopted as being equitable to both the Union and the States. It has been argued by some of the States that the greater part of the accumulations of unadjusted advance tax collections represents the share of the States unpaid to them for many years, and that they could have had the use and benefit of the money or saved a part of the interest liability incurred by them if it had been received by them earlier. Whatever portion of the balance we might recommend as the States' share, we have, under the terms of the supplementary reference, to take into account the effect of our recommendations on the devolutions and grants to be recommended by us for the five year period from 1969-70 to 1973-74. We, therefore, consider that it would be proper if the share of the States out of the divisible</w:t>
      </w:r>
      <w:r w:rsidR="00E97885">
        <w:t xml:space="preserve"> </w:t>
      </w:r>
      <w:r w:rsidRPr="007245B0">
        <w:t>portion of unadjusted advance tax collections upto the year 1966-67 is determined at 75 per cent. The Fourth Finance Commission had recommended this percentage as the share to be assigned to the States, and we are also recommending the same percentage for the</w:t>
      </w:r>
      <w:r w:rsidR="00E97885">
        <w:t xml:space="preserve"> </w:t>
      </w:r>
      <w:r w:rsidRPr="007245B0">
        <w:t>years 1967-68 and 1968-69, vide paragraph 3.15 below.</w:t>
      </w:r>
    </w:p>
    <w:p w14:paraId="242DEDD2" w14:textId="3A93E165" w:rsidR="006D4580" w:rsidRPr="007245B0" w:rsidRDefault="006D4580" w:rsidP="001D7ED4">
      <w:pPr>
        <w:pStyle w:val="Heading3"/>
        <w:keepNext w:val="0"/>
      </w:pPr>
      <w:r w:rsidRPr="007245B0">
        <w:t>As regards the distribution among the States of the States' share of the accumulated advance tax collections, the views expressed by many of them are on the same lines as those indicated above. Some States suggested that the amount relatable to each of the years upto 1966-67 should be distributed among the States in accordance with the scheme of distribution applicable to the relevant year. Some States are of opinion that since arrears are being paid now, the inter se distribution should also be on the basis of the Presidential Order in force at present. One State expressed the view that the distribution among the States should be made on the same principles as we</w:t>
      </w:r>
      <w:r w:rsidR="00D971B3" w:rsidRPr="007245B0">
        <w:t xml:space="preserve"> </w:t>
      </w:r>
      <w:r w:rsidRPr="007245B0">
        <w:t>might recommend for the years 1969-70 to 1973-74.</w:t>
      </w:r>
    </w:p>
    <w:p w14:paraId="11095FE4" w14:textId="6980CEC1" w:rsidR="006D4580" w:rsidRPr="007245B0" w:rsidRDefault="006D4580" w:rsidP="001D7ED4">
      <w:pPr>
        <w:pStyle w:val="Heading3"/>
        <w:keepNext w:val="0"/>
      </w:pPr>
      <w:r w:rsidRPr="007245B0">
        <w:t>We have already mentioned certain practical difficulties in</w:t>
      </w:r>
      <w:r w:rsidR="00D971B3" w:rsidRPr="007245B0">
        <w:t xml:space="preserve"> </w:t>
      </w:r>
      <w:r w:rsidRPr="007245B0">
        <w:t>volved in determining the States' share of the unadjusted balance on</w:t>
      </w:r>
      <w:r w:rsidR="00D971B3" w:rsidRPr="007245B0">
        <w:t xml:space="preserve"> </w:t>
      </w:r>
      <w:r w:rsidRPr="007245B0">
        <w:t>the basis of the Presidential Orders applicable to the respective</w:t>
      </w:r>
      <w:r w:rsidR="00D971B3" w:rsidRPr="007245B0">
        <w:t xml:space="preserve"> </w:t>
      </w:r>
      <w:r w:rsidRPr="007245B0">
        <w:t>earlier years upto 1966-67. There are additional complications in</w:t>
      </w:r>
      <w:r w:rsidR="00E97885">
        <w:t xml:space="preserve"> </w:t>
      </w:r>
      <w:r w:rsidRPr="007245B0">
        <w:t>working out individual States' shares of the percentage assigned to</w:t>
      </w:r>
      <w:r w:rsidR="00D971B3" w:rsidRPr="007245B0">
        <w:t xml:space="preserve"> </w:t>
      </w:r>
      <w:r w:rsidRPr="007245B0">
        <w:t>the States, in view of the reorganisation of States and formation of</w:t>
      </w:r>
      <w:r w:rsidR="00D971B3" w:rsidRPr="007245B0">
        <w:t xml:space="preserve"> new States at different times during this period. On these considerations, and consistent with our recommendation in regard to the</w:t>
      </w:r>
      <w:r w:rsidR="00E97885">
        <w:t xml:space="preserve"> </w:t>
      </w:r>
      <w:r w:rsidR="00D971B3" w:rsidRPr="007245B0">
        <w:t>share to be assigned to the States out of the unadjusted balance of advance tax collections, we consider that the distribution of the States' share of the unadjusted balance among the States should also follow the same basis that is applicable to the distribution of the States' share of the net proceeds of income-tax in the year 1967-68.</w:t>
      </w:r>
      <w:r w:rsidR="00E97885">
        <w:t xml:space="preserve"> </w:t>
      </w:r>
      <w:r w:rsidR="00D971B3" w:rsidRPr="007245B0">
        <w:t>On this basis, the portion of the unadjusted balance which is attributable to Union territories may be fixed at 2½ per cent, with necessary adjustment in respect of Chandigarh and the areas transferred to Himachal Pradesh, in accordance with the provisions of the Punjab Reorganisation Act, 1966.</w:t>
      </w:r>
    </w:p>
    <w:p w14:paraId="75449AAB" w14:textId="68B279B9" w:rsidR="00D971B3" w:rsidRPr="007245B0" w:rsidRDefault="00D971B3" w:rsidP="001D7ED4">
      <w:pPr>
        <w:pStyle w:val="Heading3"/>
        <w:keepNext w:val="0"/>
      </w:pPr>
      <w:r w:rsidRPr="007245B0">
        <w:lastRenderedPageBreak/>
        <w:t>In regard to the manner of payment of the States' respective shares to them, one suggestion which has been made is to make suitable payments according to the amounts which may be adjusted on the basis of assessments during each year. Other alternatives would be either to pay the whole amount in one lump sum, or to spread the payment over a number of instalments. We are not in agreement with the first suggestion as it is not in keeping with the revised basis now adopted for determining the net proceeds of income-tax, according to which inclusion of the advance tax collections is not to be regulated</w:t>
      </w:r>
      <w:r w:rsidR="00E97885">
        <w:t xml:space="preserve"> </w:t>
      </w:r>
      <w:r w:rsidRPr="007245B0">
        <w:t>with reference to the completion of assessments. Moreover, such a procedure would involve uncertainty regarding the actual sums which would become payable from year to year. However, we consider that payment of the whole of the States' share of unadjusted</w:t>
      </w:r>
      <w:r w:rsidR="00E97885">
        <w:t xml:space="preserve"> </w:t>
      </w:r>
      <w:r w:rsidRPr="007245B0">
        <w:t>balance of advance tax collections in a single year is likely to strain the ways and means position of the Government of India unduly. We therefore consider that it would on the whole be fair and reasonable to provide for payment of the States' share in three equal annual instalments. The determination of the net proceeds of income-tax in the years 1967-68 and 1968-69 on the revised basis would have the result of substantial amounts becoming payable to the States during the current year and in 1970-71 as arrears of their share after adjusting the amounts paid to them on the earlier basis. In view of this and also as an equitable arrangement for spreading the additional burden on the Government of India over a period of years, we consider that the annual instalments of the States' share in respect of the unadjusted amount of advance tax collections upto the year 1966-67 may be paid to the States during each of the years from 1971-72 to 1973-74.</w:t>
      </w:r>
    </w:p>
    <w:p w14:paraId="53D84404" w14:textId="5AD279E7" w:rsidR="00D971B3" w:rsidRPr="007245B0" w:rsidRDefault="00D971B3" w:rsidP="001D7ED4">
      <w:pPr>
        <w:pStyle w:val="Heading3"/>
        <w:keepNext w:val="0"/>
        <w:numPr>
          <w:ilvl w:val="0"/>
          <w:numId w:val="0"/>
        </w:numPr>
        <w:jc w:val="center"/>
        <w:rPr>
          <w:b/>
          <w:bCs/>
        </w:rPr>
      </w:pPr>
      <w:r w:rsidRPr="007245B0">
        <w:rPr>
          <w:b/>
          <w:bCs/>
        </w:rPr>
        <w:t>II. Distribution of net proceeds of income-tax in 1967-68 and 1968-69</w:t>
      </w:r>
    </w:p>
    <w:p w14:paraId="3041D0C0" w14:textId="68A88B29" w:rsidR="006D4580" w:rsidRPr="007245B0" w:rsidRDefault="00D971B3" w:rsidP="001D7ED4">
      <w:pPr>
        <w:pStyle w:val="Heading3"/>
        <w:keepNext w:val="0"/>
      </w:pPr>
      <w:r w:rsidRPr="007245B0">
        <w:t>We now turn to item (b) of the supplementary reference which relates to the distribution between the Union and the States of the net proceeds of income-tax in the years 1967-68 and 1968-69. In the event of the net proceeds of income-tax in these years being certified by the Comptroller and Auditor-General after taking into account the advance tax collected in the respective years, such collections will form part of the certified net proceeds going into the divisible pool, while no adjustments would be made in respect of advance tax collections of previous years. Under clause (b) of the supplementary reference made to us, it is open to us to suggest changes in the distribution between the Union and the States of the net proceeds of</w:t>
      </w:r>
      <w:r w:rsidR="00E97885">
        <w:t xml:space="preserve"> </w:t>
      </w:r>
      <w:r w:rsidRPr="007245B0">
        <w:t>income-tax determined for these years on the revised basis. The Fourth Finance Commission had made its recommendations for the five-year period including these two years having regard to the forecast of the net proceeds which had been furnished by the Government of India on the basis of the earlier practice of excluding advance tax</w:t>
      </w:r>
      <w:r w:rsidRPr="007245B0">
        <w:br/>
        <w:t xml:space="preserve">collections until their adjustment after completion of regular assessments. In view of the revised basis now adopted, the size of the divisible pool for these two years will be substantially increased. We do not, however, think it necessary to suggest any change in the distribution between the Union and the States on the ground that the divisible pool would be larger than what was estimated earlier. We have noted that the Fourth Finance Commission had fixed the States' share at 75 per cent after having regard to the necessity of maintaining the interest of the Government of India in the proceeds at a significant level. The scheme of devolution and grants formulated by </w:t>
      </w:r>
      <w:r w:rsidRPr="007245B0">
        <w:lastRenderedPageBreak/>
        <w:t>the Fourth Finance Commission was based on its assessment of the needs and resources of the States and the surplus available with the Union on the basis of such material and information as were then available to it. It would not be expedient to modify only one part of that Commission's recommendations without a review of the whole question. Payments have also been made to the States on the basis of the departmental estimates of receipts in accordance with the recommendations of Fourth Finance Commission. We therefore consider it desirable that the percentage distribution between the Union and the States of the net proceeds of income-tax in the years 1967-68 and 1968-69 should remain unchanged, and we do not suggest any modification therein. We have, in making our calculations, assumed that</w:t>
      </w:r>
      <w:r w:rsidRPr="007245B0">
        <w:br/>
        <w:t>the balance of the States' share of the net proceeds of income-tax in these two years would be paid to them in the years 1969-70 and 1970-71 respectively when the net proceeds have been certified by the Comptroller and Auditor-General.</w:t>
      </w:r>
    </w:p>
    <w:p w14:paraId="1A6B1B36" w14:textId="107C1B98" w:rsidR="00F02872" w:rsidRPr="007245B0" w:rsidRDefault="00F02872" w:rsidP="001D7ED4">
      <w:pPr>
        <w:pStyle w:val="Heading3"/>
        <w:keepNext w:val="0"/>
        <w:numPr>
          <w:ilvl w:val="0"/>
          <w:numId w:val="0"/>
        </w:numPr>
        <w:jc w:val="center"/>
        <w:rPr>
          <w:b/>
          <w:bCs/>
        </w:rPr>
      </w:pPr>
      <w:r w:rsidRPr="007245B0">
        <w:rPr>
          <w:b/>
          <w:bCs/>
        </w:rPr>
        <w:t>III. Distribution of net proceeds of income-tax in 1969-70 to 1973-74</w:t>
      </w:r>
    </w:p>
    <w:p w14:paraId="54CF68AC" w14:textId="3D751D1D" w:rsidR="00F02872" w:rsidRPr="007245B0" w:rsidRDefault="00F02872" w:rsidP="001D7ED4">
      <w:pPr>
        <w:pStyle w:val="Heading3"/>
        <w:keepNext w:val="0"/>
      </w:pPr>
      <w:r w:rsidRPr="007245B0">
        <w:t>We shall now consider item (c) of the supplementary reference, read with item (a) of paragraph 4 of the Presidential Order dated the 29</w:t>
      </w:r>
      <w:r w:rsidRPr="001D7ED4">
        <w:rPr>
          <w:vertAlign w:val="superscript"/>
        </w:rPr>
        <w:t>th</w:t>
      </w:r>
      <w:r w:rsidR="001D7ED4">
        <w:t xml:space="preserve"> </w:t>
      </w:r>
      <w:r w:rsidRPr="007245B0">
        <w:t>February, 1968. The provisions of Article 270 read with Article 280 (3) of the Constitution require us to make recommendations in regard to the following matters:</w:t>
      </w:r>
      <w:r w:rsidR="001D7ED4">
        <w:t>-</w:t>
      </w:r>
    </w:p>
    <w:p w14:paraId="33EF6088" w14:textId="5A4B9A8A" w:rsidR="00F02872" w:rsidRPr="007245B0" w:rsidRDefault="00F02872" w:rsidP="001D7ED4">
      <w:pPr>
        <w:pStyle w:val="Heading3"/>
        <w:keepNext w:val="0"/>
        <w:numPr>
          <w:ilvl w:val="0"/>
          <w:numId w:val="0"/>
        </w:numPr>
        <w:ind w:left="142"/>
      </w:pPr>
      <w:r w:rsidRPr="007245B0">
        <w:t>(a) The percentage of the net proceeds of taxes on income other than agricultural income to be assigned to the States within which such taxes are leviable;</w:t>
      </w:r>
    </w:p>
    <w:p w14:paraId="01571747" w14:textId="0EA89DEA" w:rsidR="00F02872" w:rsidRPr="007245B0" w:rsidRDefault="00F02872" w:rsidP="001D7ED4">
      <w:pPr>
        <w:pStyle w:val="Heading3"/>
        <w:keepNext w:val="0"/>
        <w:numPr>
          <w:ilvl w:val="0"/>
          <w:numId w:val="0"/>
        </w:numPr>
        <w:ind w:left="142"/>
      </w:pPr>
      <w:r w:rsidRPr="007245B0">
        <w:t>(b) The manner of distribution among the States of the percentage of such net proceeds assigned to them; and</w:t>
      </w:r>
    </w:p>
    <w:p w14:paraId="0524B86B" w14:textId="341A3D01" w:rsidR="00F02872" w:rsidRPr="007245B0" w:rsidRDefault="00F02872" w:rsidP="001D7ED4">
      <w:pPr>
        <w:pStyle w:val="Heading3"/>
        <w:keepNext w:val="0"/>
        <w:numPr>
          <w:ilvl w:val="0"/>
          <w:numId w:val="0"/>
        </w:numPr>
        <w:ind w:left="142"/>
      </w:pPr>
      <w:r w:rsidRPr="007245B0">
        <w:t>(c) The portion of the net proceeds which shall be deemed to represent proceeds attributable to Union territories.</w:t>
      </w:r>
    </w:p>
    <w:p w14:paraId="6CC38822" w14:textId="05D79069" w:rsidR="00F02872" w:rsidRPr="007245B0" w:rsidRDefault="00F02872" w:rsidP="001D7ED4">
      <w:pPr>
        <w:pStyle w:val="Heading3"/>
        <w:keepNext w:val="0"/>
      </w:pPr>
      <w:r w:rsidRPr="007245B0">
        <w:t>According to the existing scheme of distribution, 2½ per cent of the net proceeds of income-tax are deemed to represent proceeds attributable to Union territories. Of the balance, 75 per cent is assigned to the States and the distribution among the States is made according to prescribed percentage shares, determined 80 per cent on the basis of population of the States and 20 per cent on the basis of collections within the States. The Union also retains a portion of the prescribed share of former Punjab State in respect of</w:t>
      </w:r>
      <w:r w:rsidR="00E97885">
        <w:t xml:space="preserve"> </w:t>
      </w:r>
      <w:r w:rsidRPr="007245B0">
        <w:t>Chandigarh and part of Himachal Pradesh, in accordance with the Punjab Reorganisation Act, 1966.</w:t>
      </w:r>
    </w:p>
    <w:p w14:paraId="293391D1" w14:textId="2B0D0A43" w:rsidR="00F02872" w:rsidRPr="007245B0" w:rsidRDefault="00F02872" w:rsidP="001D7ED4">
      <w:pPr>
        <w:pStyle w:val="Heading3"/>
        <w:keepNext w:val="0"/>
      </w:pPr>
      <w:r w:rsidRPr="007245B0">
        <w:t>We may at outset refer briefly to the views placed before us by the State Governments. Most of them suggested an increase in the percentage to be assigned to the States, the suggestions varying from 80 per cent to 100 per cent of the net proceeds. Some of them have also suggested that the net proceeds to be divided between the Union and the States should include a part or the whole of the proceeds of corporation tax and the surcharge at present levied on income-tax for Union purposes, or alternatively, that the Union surcharge should be merged with the basic rates of income-tax. We note that similar views were expressed by States before the earlier Finance Commissions also.</w:t>
      </w:r>
    </w:p>
    <w:p w14:paraId="69A8CB33" w14:textId="18ED5844" w:rsidR="00F02872" w:rsidRPr="007245B0" w:rsidRDefault="00F02872" w:rsidP="001D7ED4">
      <w:pPr>
        <w:pStyle w:val="Heading3"/>
        <w:keepNext w:val="0"/>
      </w:pPr>
      <w:r w:rsidRPr="007245B0">
        <w:lastRenderedPageBreak/>
        <w:t>On the question of allocation between the States of the percentage share assigned to the States together, seven States have suggested that it should be distributed solely on the basis of population. Others have suggested a weightage to population ranging from 50 per cent to 90 per cent, with suitable weightage to other criteria suggested, such as collections, area, urban population, and the States' per capita income. Only one State has expressed the view that the existing scheme of distribution may continue.</w:t>
      </w:r>
    </w:p>
    <w:p w14:paraId="74D23BC8" w14:textId="5068562B" w:rsidR="00F02872" w:rsidRPr="007245B0" w:rsidRDefault="00F02872" w:rsidP="001D7ED4">
      <w:pPr>
        <w:pStyle w:val="Heading3"/>
        <w:keepNext w:val="0"/>
      </w:pPr>
      <w:r w:rsidRPr="007245B0">
        <w:t>The Third and the Fourth Finance Commissions, when they recommended an increase in the States' share of income-tax from 60 per cent to 66⅔ per cent and from 66⅔ per cent to 75 per cent respectively had already taken due notice of the States' representation about the shrinkage of the divisible pool due to the reclassification in 1959 of income-tax paid by companies as corporation tax. We consider that no further increase in the States' share on this ground only is necessary.</w:t>
      </w:r>
    </w:p>
    <w:p w14:paraId="7AD9C935" w14:textId="7872F47E" w:rsidR="00F02872" w:rsidRPr="007245B0" w:rsidRDefault="00F02872" w:rsidP="001D7ED4">
      <w:pPr>
        <w:pStyle w:val="Heading3"/>
        <w:keepNext w:val="0"/>
      </w:pPr>
      <w:r w:rsidRPr="007245B0">
        <w:t>The States' complaint regarding surcharge for Union purposes is that it has continued for a long time and they suggest that it should be merged in the basic rates. They have pointed out that the continuance for a long time of a surcharge wholly retained by the</w:t>
      </w:r>
      <w:r w:rsidR="00E97885">
        <w:t xml:space="preserve"> </w:t>
      </w:r>
      <w:r w:rsidRPr="007245B0">
        <w:t>Union does in practice have the result of reducing the percentage share assigned to the States. In this regard the specific provision in Article 271 of the Constitution clearly permits such a levy, and it cannot be said that the quantum of the surcharge is such as to reduce</w:t>
      </w:r>
      <w:r w:rsidR="00E97885">
        <w:t xml:space="preserve"> </w:t>
      </w:r>
      <w:r w:rsidRPr="007245B0">
        <w:t>unduly the scope of the divisible pool. Nor does the language of that Article warrant the assumption that such surcharge must be related to requirements of a temporary nature only. We think that the grievance expressed by the States in this regard is a matter for</w:t>
      </w:r>
      <w:r w:rsidR="00E97885">
        <w:t xml:space="preserve"> </w:t>
      </w:r>
      <w:r w:rsidRPr="007245B0">
        <w:t>the Government of India to consider.</w:t>
      </w:r>
    </w:p>
    <w:p w14:paraId="57359DA8" w14:textId="77777777" w:rsidR="00797A6A" w:rsidRDefault="00F02872" w:rsidP="001D7ED4">
      <w:pPr>
        <w:pStyle w:val="Heading3"/>
        <w:keepNext w:val="0"/>
      </w:pPr>
      <w:r w:rsidRPr="007245B0">
        <w:t xml:space="preserve">As regards the size of the States' share, we appreciate the desire of the State Governments to have an increased share of receipts from this source in view of their greater and growing needs. However, we are in agreement with the view expressed by the Third and Fourth Finance Commissions that: </w:t>
      </w:r>
    </w:p>
    <w:p w14:paraId="6D2FBD9A" w14:textId="6517A584" w:rsidR="00F02872" w:rsidRPr="007245B0" w:rsidRDefault="00F02872" w:rsidP="001D7ED4">
      <w:pPr>
        <w:pStyle w:val="Heading3"/>
        <w:keepNext w:val="0"/>
        <w:numPr>
          <w:ilvl w:val="0"/>
          <w:numId w:val="0"/>
        </w:numPr>
        <w:ind w:left="426" w:firstLine="425"/>
      </w:pPr>
      <w:r w:rsidRPr="007245B0">
        <w:t>"In the case of a divisible tax in which there is obligatory participation between the Union and the States a sound maxim to adopt would be that all participating Governments, more particularly the one responsible for levy and collection, should have a significant interest in the yield of that tax."</w:t>
      </w:r>
    </w:p>
    <w:p w14:paraId="5EBD6B13" w14:textId="45F8AD9D" w:rsidR="00F02872" w:rsidRPr="007245B0" w:rsidRDefault="00174522" w:rsidP="001D7ED4">
      <w:pPr>
        <w:pStyle w:val="Heading3"/>
        <w:keepNext w:val="0"/>
        <w:numPr>
          <w:ilvl w:val="0"/>
          <w:numId w:val="0"/>
        </w:numPr>
        <w:ind w:left="142"/>
      </w:pPr>
      <w:r w:rsidRPr="007245B0">
        <w:t>We feel that on this principle any further increase in the States' share should be considered only if there is sufficiently strong justification therefor having regard to the scheme of devolution of taxes as a whole. So far as the present five-year period is concerned,</w:t>
      </w:r>
      <w:r w:rsidR="00E97885">
        <w:t xml:space="preserve"> </w:t>
      </w:r>
      <w:r w:rsidRPr="007245B0">
        <w:t>the revised basis for determining the proceeds of income-tax by including advance tax collections without waiting for regular assessments has already resulted in increasing the size of the divisible pool so that the amounts which would be assigned to the States on the existing basis of 75 per cent would be larger. We do not therefore think it necessary to suggest any increase in the States' share of the net proceeds.</w:t>
      </w:r>
    </w:p>
    <w:p w14:paraId="7358733A" w14:textId="0B440A88" w:rsidR="00174522" w:rsidRPr="007245B0" w:rsidRDefault="00174522" w:rsidP="001D7ED4">
      <w:pPr>
        <w:pStyle w:val="Heading3"/>
        <w:keepNext w:val="0"/>
      </w:pPr>
      <w:r w:rsidRPr="007245B0">
        <w:lastRenderedPageBreak/>
        <w:t>As regards the principles of distribution among the States of their share of the divisible pool, the principles adopted by the First Finance Commission were that the distribution should be made 80 per cent. on the basis of population and 20 per cent on the basis of collection. It considered that the elements which should enter into an appropriate scheme of distribution should be firstly, a general measure of need as furnished by population, and secondly, contribution. That Commission adopted the figures of collections to measure the factor of contribution although it was recognised that such figures were only an inadequate and partial measure of contribution.</w:t>
      </w:r>
    </w:p>
    <w:p w14:paraId="708A0893" w14:textId="53DCA3A2" w:rsidR="00174522" w:rsidRPr="007245B0" w:rsidRDefault="00174522" w:rsidP="001D7ED4">
      <w:pPr>
        <w:pStyle w:val="Heading3"/>
        <w:keepNext w:val="0"/>
      </w:pPr>
      <w:r w:rsidRPr="007245B0">
        <w:t>The Third and Fourth Finance Commissions had also adopted the same principles, but the Second Finance Commission was of the view that the principle of collection was not an equitable basis of distribution and should be completely abandoned in favour of population. In coming to this conclusion that Commission took into account the diminished significance of land revenue as a source of States revenues and the greater financial strength of urbanised and industrially developed States. It was also impressed by the consideration that income-tax was paid by a small portion of the population and the bulk of the tax arose out of business incomes which, in the context of economic integration of the country and disappearance of barriers to inter-State trade, was derived from the country as a whole. In order, however, to avoid a sudden break with the recommendations of the First Finance Commission, the Second Finance Commission recommended that the States' share should be distributed 90 per cent on the basis of population and 10 per cent on the basis of collection.</w:t>
      </w:r>
    </w:p>
    <w:p w14:paraId="5903F10B" w14:textId="59500686" w:rsidR="00174522" w:rsidRPr="007245B0" w:rsidRDefault="00174522" w:rsidP="001D7ED4">
      <w:pPr>
        <w:pStyle w:val="Heading3"/>
        <w:keepNext w:val="0"/>
      </w:pPr>
      <w:r w:rsidRPr="007245B0">
        <w:t>The Third Finance Commission restored the 20 per cent weightage given to the factor of contribution as indicated by collections, on the grounds, firstly, that there was a case for weightage to collection in the field of taxes on personal income which included</w:t>
      </w:r>
      <w:r w:rsidR="00797A6A">
        <w:t xml:space="preserve"> </w:t>
      </w:r>
      <w:r w:rsidRPr="007245B0">
        <w:t>incomes of local origin, as had been recognised even by the Second Finance Commission; and secondly, that with the exclusion from the divisible pool of the income-tax paid by companies which would largely have accrued from incomes of all-India origin, a higher percentage than before of the income-tax collections would relate to</w:t>
      </w:r>
      <w:r w:rsidR="00797A6A">
        <w:t xml:space="preserve"> </w:t>
      </w:r>
      <w:r w:rsidRPr="007245B0">
        <w:t>incomes of local origin.</w:t>
      </w:r>
    </w:p>
    <w:p w14:paraId="074317DA" w14:textId="1BB37365" w:rsidR="00174522" w:rsidRPr="007245B0" w:rsidRDefault="00174522" w:rsidP="001D7ED4">
      <w:pPr>
        <w:pStyle w:val="Heading3"/>
        <w:keepNext w:val="0"/>
      </w:pPr>
      <w:r w:rsidRPr="007245B0">
        <w:t>The Fourth Finance Commission agreed with the earlier Commissions that only the two factors of population and contribution were relevant to the distribution scheme; and though contribution was not synonymous with collection, in the absence of suitable data</w:t>
      </w:r>
      <w:r w:rsidR="00797A6A">
        <w:t xml:space="preserve"> </w:t>
      </w:r>
      <w:r w:rsidRPr="007245B0">
        <w:t>necessary for correct determination of the contribution of each State collection must be taken as the only available indicator of contribution. That Commission did not recommend any change in the relative weightage given by the Third Finance Commission to the two</w:t>
      </w:r>
      <w:r w:rsidR="00797A6A">
        <w:t xml:space="preserve"> </w:t>
      </w:r>
      <w:r w:rsidRPr="007245B0">
        <w:t>factors of population and collection, as it felt that a sense of certainty and stability should prevail as regards the principles to be adopted in the distribution of income-tax.</w:t>
      </w:r>
    </w:p>
    <w:p w14:paraId="4C8F27A4" w14:textId="1167E113" w:rsidR="00174522" w:rsidRPr="007245B0" w:rsidRDefault="001043AC" w:rsidP="001D7ED4">
      <w:pPr>
        <w:pStyle w:val="Heading3"/>
        <w:keepNext w:val="0"/>
      </w:pPr>
      <w:r w:rsidRPr="007245B0">
        <w:t xml:space="preserve">While continuity in the principles of distribution of shareable taxes is desirable, we find it difficult to agree with the observation of the Fourth Finance Commission that the question of principles of distribution should not be reopened </w:t>
      </w:r>
      <w:r w:rsidRPr="007245B0">
        <w:lastRenderedPageBreak/>
        <w:t xml:space="preserve">every time a new Finance Commission is appointed. Considerable changes are likely to take place during the period between the appointment of two Finance Commissions in the economic and fiscal situation and the relative needs and resources of the States. We feel that the appointment of a new Finance Commission should provide an opportunity for fresh consideration of various problems in the light of changed circumstances and available information, with due regard to the desirability of maintaining continuity as far as possible. There is nothing wrong in principle in reviewing the basis of distribution of taxes by each Finance Commission. We have, therefore, considered the matter </w:t>
      </w:r>
      <w:r w:rsidRPr="001D7ED4">
        <w:rPr>
          <w:i/>
          <w:iCs/>
        </w:rPr>
        <w:t>de novo</w:t>
      </w:r>
      <w:r w:rsidRPr="007245B0">
        <w:t>.</w:t>
      </w:r>
    </w:p>
    <w:p w14:paraId="6F87DC21" w14:textId="6F20BB86" w:rsidR="001043AC" w:rsidRPr="007245B0" w:rsidRDefault="001043AC" w:rsidP="001D7ED4">
      <w:pPr>
        <w:pStyle w:val="Heading3"/>
        <w:keepNext w:val="0"/>
      </w:pPr>
      <w:r w:rsidRPr="007245B0">
        <w:t>The views urged before us by the State Governments indicate a sharp divergence of opinion regarding the factor of contribution or collection. The more developed States have urged that the factor of contribution should be given greater weightage than at present. In support of this it has been pointed out that as a result of exclusion of income-tax paid by companies, a greater portion of the income-tax collections pertains to incomes of local origin. One State has estimated that about 40 per cent of the total income-tax collections in the country are paid by assessees having income not exceeding Rs. 40,000 and it is claimed that this percentage may be taken as the minimum portion attributable to incomes of local origin. A study made by us in this connection, however, indicated that this would not be true in respect of all the States. Some of the States have objected to the concept of need being adopted in the distribution of shareable taxes, on the ground that devolution of proceeds of tax resources is quite distinct from financial assistance from the Union which should be regulated only under Articles 275 and 282 of the Constitution. It is argued that even if relative needs are to be taken into account, the industrially advanced States should receive a larger share to meet their additional liabilities due to law and order problems, concentrations of industrial labour, urban population, and higher cost of administrative and social services.</w:t>
      </w:r>
    </w:p>
    <w:p w14:paraId="2500E986" w14:textId="7B7A2CE7" w:rsidR="001043AC" w:rsidRPr="007245B0" w:rsidRDefault="001043AC" w:rsidP="001D7ED4">
      <w:pPr>
        <w:pStyle w:val="Heading3"/>
        <w:keepNext w:val="0"/>
      </w:pPr>
      <w:r w:rsidRPr="007245B0">
        <w:t>On the other hand, many of the other States have expressed the view that the factor of collection should be eliminated altogether, while some have urged that the weightage given to collection should be reduced. They have pointed out that nearly three-fourths of the income-tax collections are made only from four industrially advanced States, and that the existing weightage to collection gives a disproportionate benefit to such States. The contention of the more industrially advanced and urbanised States that they have to incur extra expenditure on problems of concentration of industrial labour, etc., is countered by the argument that greater industrial development also enables such States to collect larger revenues from sales taxes and other State levies, and that the fiscal advantages far outweigh any extra liabilities for maintenance of law and order, provision of services, etc.</w:t>
      </w:r>
    </w:p>
    <w:p w14:paraId="5DA836FB" w14:textId="1112E9B2" w:rsidR="00797A6A" w:rsidRPr="00797A6A" w:rsidRDefault="001F2F95" w:rsidP="001D7ED4">
      <w:pPr>
        <w:pStyle w:val="Heading3"/>
        <w:keepNext w:val="0"/>
      </w:pPr>
      <w:r w:rsidRPr="001F2F95">
        <w:t xml:space="preserve">It is also pointed out that the level of industrial development in a State is dependent on several historical and other factors and is greatly affected by policies and decisions taken in the context of national plans of development; it does not depend only on State policies or the initiative of local people. If a larger portion of the divisible pool is made over to the more advanced States, it can only result in an </w:t>
      </w:r>
      <w:r w:rsidRPr="001F2F95">
        <w:lastRenderedPageBreak/>
        <w:t>enhancement of the existing disparities in social and economic development of various States.</w:t>
      </w:r>
    </w:p>
    <w:p w14:paraId="02F0A9C0" w14:textId="48E2F969" w:rsidR="001043AC" w:rsidRPr="007245B0" w:rsidRDefault="001043AC" w:rsidP="001D7ED4">
      <w:pPr>
        <w:pStyle w:val="Heading3"/>
        <w:keepNext w:val="0"/>
      </w:pPr>
      <w:r w:rsidRPr="007245B0">
        <w:t>The arguments for and against contribution being taken as a factor have been effectively dealt with by the First Finance Commission and we need not go over the same ground. Successive Finance Commissions have recommended the distribution of a part of the proceeds of taxes on income on the basis of contribution as roughly indicated by collection. This manner of allocation to the States of a part of taxes on non-agricultural income contributed by them can, in a sense, be regarded as the counterpart in the non-agricultural sector of the taxes on agricultural income which under the Constitution can be levied by the States themselves. It would not therefore be proper to eliminate the factor of contribution entirely. At the same time, we have to take into account the increasing economic unity of the country and interdependence of different regions and the growing impact of development undertaken through National Plans. The increasing needs of States arising from committed expenditure related to Plan schemes and other factors affecting the country as a whole also require that there should be greater weightage to the factor of population, which is a general measure of need. Some modification in the weightage to contribution is also justified on the ground that the size of the divisible pool of income-tax will now be enhanced due to the inclusion of advance tax collections in the proceeds of the same financial year. Having regard to broader considerations of equity and the main purpose of devolution, which is to secure a more balanced correspondence between needs and resources of States in widely different circumstances, we feel that the present weightage to contribution which results in marked disparities between more and less developed States should be reduced. We are, therefore, of opinion that the weightage to the factor of contribution should be fixed at 10 per cent and weightage to population should be increased to 90 per cent.</w:t>
      </w:r>
    </w:p>
    <w:p w14:paraId="057DAC91" w14:textId="207106F3" w:rsidR="001043AC" w:rsidRPr="007245B0" w:rsidRDefault="001043AC" w:rsidP="001D7ED4">
      <w:pPr>
        <w:pStyle w:val="Heading3"/>
        <w:keepNext w:val="0"/>
      </w:pPr>
      <w:r w:rsidRPr="007245B0">
        <w:t xml:space="preserve">As regards measurement of the factor of contribution, it is difficult in the absence of suitable statistics to form a direct estimate of the contribution to the income-tax pool made by incomes of local origin in each State. The criterion of collection hitherto adopted as a measure of contribution has been recognised to be inadequate and unsatisfactory. Firstly, it does not make any allowance for incomes originating outside the State. It is well-known that the place of collection is determined by convenience of the assessees without reference to origin of incomes. Industrialists and other persons with high personal incomes derive profits from activities all over the country. Secondly, the large amount of deductions of tax at source on dividends, interest payments and in other cases, and due benefit of larger collections to States having metropolitan and industrial centres, insofar as the collections relate to assesses residing in other States. On the other hand, any refunds payable in respect of such assessees go to reduce still further the figures of collections in the States where they reside. Moreover, the figures of collections include large overpayments or underpayments which are adjusted only on assessments. We have considered the matter carefully and it appears to us that, instead of figures of collections, the statistics of assessments in different States, after making allowance for reductions on account of appellate orders, references, </w:t>
      </w:r>
      <w:r w:rsidRPr="007245B0">
        <w:lastRenderedPageBreak/>
        <w:t>revisions, rectifications, etc., would provide a more reliable basis to measure the factor of contribution. Accordingly, we consider that during the quinquennium from 1969-70 to 1973-74, 90 per cent of the States’ share of the divisible pool of income-tax should be distributed among them on the basis of population, and the remaining 10 per cent on the basis of figures of assessments after allowing for reductions on account of appellate orders, references, revisions, rectifications, etc.</w:t>
      </w:r>
    </w:p>
    <w:p w14:paraId="3ED04B60" w14:textId="0191D49A" w:rsidR="001043AC" w:rsidRPr="007245B0" w:rsidRDefault="001043AC" w:rsidP="001D7ED4">
      <w:pPr>
        <w:pStyle w:val="Heading3"/>
        <w:keepNext w:val="0"/>
      </w:pPr>
      <w:r w:rsidRPr="007245B0">
        <w:t>The previous Commissions have expressed respective shares of States, worked out on the principles adopted by them, in terms of fixed percentages. For the sake of convenience, we propose to continue this practice. In working out the percentage share of each State we have taken the population figures according to the 1961 Census and the average of the assessments made during the three years ending with 1964-65 which are the latest years for which firm figures are available, after adjustment for reductions on account of appellate orders, etc., during the same years.</w:t>
      </w:r>
    </w:p>
    <w:p w14:paraId="6722D90D" w14:textId="10F06AFC" w:rsidR="001043AC" w:rsidRPr="007245B0" w:rsidRDefault="001043AC" w:rsidP="001D7ED4">
      <w:pPr>
        <w:pStyle w:val="Heading3"/>
        <w:keepNext w:val="0"/>
      </w:pPr>
      <w:r w:rsidRPr="007245B0">
        <w:t>We further recommend that 2</w:t>
      </w:r>
      <w:r w:rsidR="00D14C9B">
        <w:t>.</w:t>
      </w:r>
      <w:r w:rsidRPr="007245B0">
        <w:t>6 per cent of the net proceeds of income-tax should be deemed to be the portion of such proceeds attributable to Union territories. We have arrived at this figure by allocating to the Union territories as at present constituted, taken together, the share which would have accrued to them had they collectively been entitled to a share of income-tax on the same basis that we have recommended for the distribution of States’ share among them.</w:t>
      </w:r>
    </w:p>
    <w:p w14:paraId="7E135477" w14:textId="61AD4283" w:rsidR="001043AC" w:rsidRPr="007245B0" w:rsidRDefault="001043AC" w:rsidP="001D7ED4">
      <w:pPr>
        <w:pStyle w:val="Heading3"/>
        <w:keepNext w:val="0"/>
      </w:pPr>
      <w:r w:rsidRPr="007245B0">
        <w:t>We accordingly make the following recommendations: —</w:t>
      </w:r>
    </w:p>
    <w:p w14:paraId="469C59CF" w14:textId="22ED074B" w:rsidR="001043AC" w:rsidRPr="007245B0" w:rsidRDefault="001043AC" w:rsidP="001D7ED4">
      <w:pPr>
        <w:pStyle w:val="Heading3"/>
        <w:keepNext w:val="0"/>
        <w:numPr>
          <w:ilvl w:val="0"/>
          <w:numId w:val="58"/>
        </w:numPr>
      </w:pPr>
      <w:r w:rsidRPr="007245B0">
        <w:t>In respect of distribution of the unadjusted balance of advance tax collections upto the year 1966-67:</w:t>
      </w:r>
    </w:p>
    <w:p w14:paraId="41F1D1C0" w14:textId="25474AD9" w:rsidR="001043AC" w:rsidRPr="007245B0" w:rsidRDefault="00F433ED" w:rsidP="001D7ED4">
      <w:pPr>
        <w:pStyle w:val="Heading3"/>
        <w:keepNext w:val="0"/>
        <w:numPr>
          <w:ilvl w:val="0"/>
          <w:numId w:val="59"/>
        </w:numPr>
        <w:ind w:hanging="153"/>
      </w:pPr>
      <w:r w:rsidRPr="007245B0">
        <w:t>Out of the amount of such advance tax collections, as determined by the Comptroller and Auditor-General of India, a sum equal to 2½ (two and a half) per cent thereof be deemed to be the portion which represents the proceeds attributable to Union territories, as constituted immediately prior to the Punjab Reorganisation Act, 1966;</w:t>
      </w:r>
    </w:p>
    <w:p w14:paraId="699B9795" w14:textId="15297ACB" w:rsidR="00F433ED" w:rsidRPr="007245B0" w:rsidRDefault="00F433ED" w:rsidP="001D7ED4">
      <w:pPr>
        <w:pStyle w:val="Heading3"/>
        <w:keepNext w:val="0"/>
        <w:numPr>
          <w:ilvl w:val="0"/>
          <w:numId w:val="59"/>
        </w:numPr>
        <w:ind w:hanging="153"/>
      </w:pPr>
      <w:r w:rsidRPr="007245B0">
        <w:t>The percentage of the amount of advance tax as determined by the Comptroller and Auditor-General of</w:t>
      </w:r>
      <w:r w:rsidR="00797A6A">
        <w:t xml:space="preserve"> </w:t>
      </w:r>
      <w:r w:rsidRPr="007245B0">
        <w:t>India except the portion attributable to Union territories, to be assigned to the States should be 75 (seventy-five) per cent;</w:t>
      </w:r>
    </w:p>
    <w:p w14:paraId="61C7F1DB" w14:textId="001A3572" w:rsidR="00F433ED" w:rsidRPr="007245B0" w:rsidRDefault="00F433ED" w:rsidP="001D7ED4">
      <w:pPr>
        <w:pStyle w:val="Heading3"/>
        <w:keepNext w:val="0"/>
        <w:numPr>
          <w:ilvl w:val="0"/>
          <w:numId w:val="59"/>
        </w:numPr>
        <w:ind w:hanging="153"/>
      </w:pPr>
      <w:r w:rsidRPr="007245B0">
        <w:t xml:space="preserve">The distribution among the States </w:t>
      </w:r>
      <w:r w:rsidRPr="007245B0">
        <w:rPr>
          <w:i/>
          <w:iCs/>
        </w:rPr>
        <w:t>inter se</w:t>
      </w:r>
      <w:r w:rsidRPr="007245B0">
        <w:t xml:space="preserve"> of the share assigned to the States should be made on the basis of the percentages recommended by the Fourth Finance Commission, with appropriate adjustments in regard to the share of reorganised Punjab and Haryana States and Union territories in accordance with the Punjab Reorganisation Act, 1966; </w:t>
      </w:r>
    </w:p>
    <w:p w14:paraId="52040911" w14:textId="20079415" w:rsidR="00F433ED" w:rsidRPr="00797A6A" w:rsidRDefault="00F433ED" w:rsidP="001D7ED4">
      <w:pPr>
        <w:pStyle w:val="Heading3"/>
        <w:keepNext w:val="0"/>
        <w:numPr>
          <w:ilvl w:val="0"/>
          <w:numId w:val="59"/>
        </w:numPr>
        <w:ind w:hanging="153"/>
      </w:pPr>
      <w:r w:rsidRPr="007245B0">
        <w:t xml:space="preserve">The share of each </w:t>
      </w:r>
      <w:r w:rsidRPr="00797A6A">
        <w:t>State should be paid to the State Government in three equal annual instalments during the years from 1971-72 to 1973-74</w:t>
      </w:r>
    </w:p>
    <w:p w14:paraId="2C35A3B7" w14:textId="266FFE57" w:rsidR="00F433ED" w:rsidRPr="00797A6A" w:rsidRDefault="00F433ED" w:rsidP="001D7ED4">
      <w:pPr>
        <w:pStyle w:val="Heading3"/>
        <w:keepNext w:val="0"/>
        <w:numPr>
          <w:ilvl w:val="0"/>
          <w:numId w:val="58"/>
        </w:numPr>
      </w:pPr>
      <w:r w:rsidRPr="00797A6A">
        <w:t xml:space="preserve">In respect of distribution between the Union and the States of the net proceeds of income-tax in the years 1967-68 and 1968-69, there should be no change in the distribution as prescribed in the Constitution (Distribution of Revenues) </w:t>
      </w:r>
      <w:r w:rsidRPr="00797A6A">
        <w:lastRenderedPageBreak/>
        <w:t>Order, 1965, in the event of the said net proceeds being certified by the Comptroller and Auditor-General of India on the revised basis;</w:t>
      </w:r>
    </w:p>
    <w:p w14:paraId="5AF57F86" w14:textId="6F6A8F93" w:rsidR="00F433ED" w:rsidRPr="00797A6A" w:rsidRDefault="00F433ED" w:rsidP="001D7ED4">
      <w:pPr>
        <w:pStyle w:val="Heading3"/>
        <w:keepNext w:val="0"/>
        <w:numPr>
          <w:ilvl w:val="0"/>
          <w:numId w:val="58"/>
        </w:numPr>
      </w:pPr>
      <w:r w:rsidRPr="00797A6A">
        <w:t>In respect of the distribution of net proceeds of income-tax in the financial years from 1969-70 to 1973-74:</w:t>
      </w:r>
    </w:p>
    <w:p w14:paraId="172A2EF8" w14:textId="20594D71" w:rsidR="00F433ED" w:rsidRPr="00797A6A" w:rsidRDefault="00F433ED" w:rsidP="001D7ED4">
      <w:pPr>
        <w:pStyle w:val="Heading3"/>
        <w:keepNext w:val="0"/>
        <w:numPr>
          <w:ilvl w:val="0"/>
          <w:numId w:val="60"/>
        </w:numPr>
        <w:ind w:hanging="153"/>
      </w:pPr>
      <w:r w:rsidRPr="00797A6A">
        <w:t>Out of the net proceeds of taxes on income in each financial year, a sum equal to 2·6 per cent thereof be deemed to be the portion which represents the proceeds attributable to Union territories;</w:t>
      </w:r>
    </w:p>
    <w:p w14:paraId="3EB3AC8D" w14:textId="2C6F3551" w:rsidR="00F433ED" w:rsidRPr="00797A6A" w:rsidRDefault="00F433ED" w:rsidP="001D7ED4">
      <w:pPr>
        <w:pStyle w:val="Heading3"/>
        <w:keepNext w:val="0"/>
        <w:numPr>
          <w:ilvl w:val="0"/>
          <w:numId w:val="60"/>
        </w:numPr>
        <w:ind w:hanging="153"/>
      </w:pPr>
      <w:r w:rsidRPr="00797A6A">
        <w:t xml:space="preserve">The percentage of the net proceeds of taxes on income, except the portion which represents proceeds attributable to Union territories, to be assigned to the States should be 75 (seventy-five) per cent; and </w:t>
      </w:r>
    </w:p>
    <w:p w14:paraId="37416C47" w14:textId="474A4E48" w:rsidR="00F433ED" w:rsidRPr="007245B0" w:rsidRDefault="00F433ED" w:rsidP="001D7ED4">
      <w:pPr>
        <w:pStyle w:val="Heading3"/>
        <w:keepNext w:val="0"/>
        <w:numPr>
          <w:ilvl w:val="0"/>
          <w:numId w:val="60"/>
        </w:numPr>
        <w:ind w:hanging="153"/>
      </w:pPr>
      <w:r w:rsidRPr="00797A6A">
        <w:t xml:space="preserve">The distribution among the States </w:t>
      </w:r>
      <w:r w:rsidRPr="00797A6A">
        <w:rPr>
          <w:i/>
          <w:iCs/>
        </w:rPr>
        <w:t>inter se</w:t>
      </w:r>
      <w:r w:rsidRPr="00797A6A">
        <w:t xml:space="preserve"> of the share assigned to the States in respect of each financial</w:t>
      </w:r>
      <w:r w:rsidRPr="007245B0">
        <w:t xml:space="preserve"> year should be made on the basis of the following percentages: —</w:t>
      </w:r>
    </w:p>
    <w:tbl>
      <w:tblPr>
        <w:tblStyle w:val="TableGrid"/>
        <w:tblW w:w="0" w:type="auto"/>
        <w:jc w:val="center"/>
        <w:tblLook w:val="04A0" w:firstRow="1" w:lastRow="0" w:firstColumn="1" w:lastColumn="0" w:noHBand="0" w:noVBand="1"/>
      </w:tblPr>
      <w:tblGrid>
        <w:gridCol w:w="2585"/>
        <w:gridCol w:w="2586"/>
      </w:tblGrid>
      <w:tr w:rsidR="00F433ED" w:rsidRPr="007245B0" w14:paraId="0FBF165B" w14:textId="77777777" w:rsidTr="00E573C0">
        <w:trPr>
          <w:trHeight w:val="283"/>
          <w:jc w:val="center"/>
        </w:trPr>
        <w:tc>
          <w:tcPr>
            <w:tcW w:w="2585" w:type="dxa"/>
            <w:vAlign w:val="center"/>
          </w:tcPr>
          <w:p w14:paraId="3A41D4D2" w14:textId="4DF4B5B6" w:rsidR="00F433ED" w:rsidRPr="007245B0" w:rsidRDefault="00F433ED" w:rsidP="001D7ED4">
            <w:pPr>
              <w:jc w:val="center"/>
              <w:rPr>
                <w:rFonts w:ascii="Times New Roman" w:hAnsi="Times New Roman" w:cs="Times New Roman"/>
                <w:b/>
                <w:bCs/>
              </w:rPr>
            </w:pPr>
            <w:r w:rsidRPr="007245B0">
              <w:rPr>
                <w:rFonts w:ascii="Times New Roman" w:hAnsi="Times New Roman" w:cs="Times New Roman"/>
                <w:b/>
                <w:bCs/>
              </w:rPr>
              <w:t>State</w:t>
            </w:r>
          </w:p>
        </w:tc>
        <w:tc>
          <w:tcPr>
            <w:tcW w:w="2586" w:type="dxa"/>
            <w:vAlign w:val="center"/>
          </w:tcPr>
          <w:p w14:paraId="0A8E4A25" w14:textId="5995607B" w:rsidR="00F433ED" w:rsidRPr="00E573C0" w:rsidRDefault="00F433ED" w:rsidP="001D7ED4">
            <w:pPr>
              <w:jc w:val="center"/>
              <w:rPr>
                <w:rFonts w:ascii="Times New Roman" w:hAnsi="Times New Roman" w:cs="Times New Roman"/>
                <w:b/>
                <w:bCs/>
              </w:rPr>
            </w:pPr>
            <w:r w:rsidRPr="00E573C0">
              <w:rPr>
                <w:rFonts w:ascii="Times New Roman" w:hAnsi="Times New Roman" w:cs="Times New Roman"/>
                <w:b/>
                <w:bCs/>
              </w:rPr>
              <w:t>Percentage</w:t>
            </w:r>
          </w:p>
        </w:tc>
      </w:tr>
      <w:tr w:rsidR="00F433ED" w:rsidRPr="007245B0" w14:paraId="4B494B99" w14:textId="77777777" w:rsidTr="00E573C0">
        <w:trPr>
          <w:trHeight w:val="283"/>
          <w:jc w:val="center"/>
        </w:trPr>
        <w:tc>
          <w:tcPr>
            <w:tcW w:w="2585" w:type="dxa"/>
            <w:vAlign w:val="center"/>
          </w:tcPr>
          <w:p w14:paraId="30C95B47" w14:textId="4BB3F838" w:rsidR="00F433ED" w:rsidRPr="007245B0" w:rsidRDefault="00F433ED" w:rsidP="001D7ED4">
            <w:pPr>
              <w:jc w:val="center"/>
              <w:rPr>
                <w:rFonts w:ascii="Times New Roman" w:hAnsi="Times New Roman" w:cs="Times New Roman"/>
              </w:rPr>
            </w:pPr>
            <w:r w:rsidRPr="007245B0">
              <w:rPr>
                <w:rFonts w:ascii="Times New Roman" w:hAnsi="Times New Roman" w:cs="Times New Roman"/>
              </w:rPr>
              <w:t>Andhra Pradesh</w:t>
            </w:r>
          </w:p>
        </w:tc>
        <w:tc>
          <w:tcPr>
            <w:tcW w:w="2586" w:type="dxa"/>
            <w:vAlign w:val="center"/>
          </w:tcPr>
          <w:p w14:paraId="37BF91CE" w14:textId="242914E3" w:rsidR="00F433ED" w:rsidRPr="007245B0" w:rsidRDefault="00F433ED" w:rsidP="001D7ED4">
            <w:pPr>
              <w:jc w:val="center"/>
              <w:rPr>
                <w:rFonts w:ascii="Times New Roman" w:hAnsi="Times New Roman" w:cs="Times New Roman"/>
              </w:rPr>
            </w:pPr>
            <w:r w:rsidRPr="007245B0">
              <w:rPr>
                <w:rFonts w:ascii="Times New Roman" w:hAnsi="Times New Roman" w:cs="Times New Roman"/>
              </w:rPr>
              <w:t>8.01</w:t>
            </w:r>
          </w:p>
        </w:tc>
      </w:tr>
      <w:tr w:rsidR="00F433ED" w:rsidRPr="007245B0" w14:paraId="13E5596B" w14:textId="77777777" w:rsidTr="00E573C0">
        <w:trPr>
          <w:trHeight w:val="283"/>
          <w:jc w:val="center"/>
        </w:trPr>
        <w:tc>
          <w:tcPr>
            <w:tcW w:w="2585" w:type="dxa"/>
            <w:vAlign w:val="center"/>
          </w:tcPr>
          <w:p w14:paraId="55E61C86" w14:textId="3C1F7294" w:rsidR="00F433ED" w:rsidRPr="007245B0" w:rsidRDefault="00F433ED" w:rsidP="001D7ED4">
            <w:pPr>
              <w:jc w:val="center"/>
              <w:rPr>
                <w:rFonts w:ascii="Times New Roman" w:hAnsi="Times New Roman" w:cs="Times New Roman"/>
              </w:rPr>
            </w:pPr>
            <w:r w:rsidRPr="007245B0">
              <w:rPr>
                <w:rFonts w:ascii="Times New Roman" w:hAnsi="Times New Roman" w:cs="Times New Roman"/>
              </w:rPr>
              <w:t>Assam</w:t>
            </w:r>
          </w:p>
        </w:tc>
        <w:tc>
          <w:tcPr>
            <w:tcW w:w="2586" w:type="dxa"/>
            <w:vAlign w:val="center"/>
          </w:tcPr>
          <w:p w14:paraId="77E128C1" w14:textId="348969CA" w:rsidR="00F433ED" w:rsidRPr="007245B0" w:rsidRDefault="00F433ED" w:rsidP="001D7ED4">
            <w:pPr>
              <w:jc w:val="center"/>
              <w:rPr>
                <w:rFonts w:ascii="Times New Roman" w:hAnsi="Times New Roman" w:cs="Times New Roman"/>
              </w:rPr>
            </w:pPr>
            <w:r w:rsidRPr="007245B0">
              <w:rPr>
                <w:rFonts w:ascii="Times New Roman" w:hAnsi="Times New Roman" w:cs="Times New Roman"/>
              </w:rPr>
              <w:t>2·67</w:t>
            </w:r>
          </w:p>
        </w:tc>
      </w:tr>
      <w:tr w:rsidR="00F433ED" w:rsidRPr="007245B0" w14:paraId="07465065" w14:textId="77777777" w:rsidTr="00E573C0">
        <w:trPr>
          <w:trHeight w:val="283"/>
          <w:jc w:val="center"/>
        </w:trPr>
        <w:tc>
          <w:tcPr>
            <w:tcW w:w="2585" w:type="dxa"/>
            <w:vAlign w:val="center"/>
          </w:tcPr>
          <w:p w14:paraId="60A42786" w14:textId="339B0C41" w:rsidR="00F433ED" w:rsidRPr="007245B0" w:rsidRDefault="00F433ED" w:rsidP="001D7ED4">
            <w:pPr>
              <w:jc w:val="center"/>
              <w:rPr>
                <w:rFonts w:ascii="Times New Roman" w:hAnsi="Times New Roman" w:cs="Times New Roman"/>
              </w:rPr>
            </w:pPr>
            <w:r w:rsidRPr="007245B0">
              <w:rPr>
                <w:rFonts w:ascii="Times New Roman" w:hAnsi="Times New Roman" w:cs="Times New Roman"/>
              </w:rPr>
              <w:t>Bihar</w:t>
            </w:r>
          </w:p>
        </w:tc>
        <w:tc>
          <w:tcPr>
            <w:tcW w:w="2586" w:type="dxa"/>
            <w:vAlign w:val="center"/>
          </w:tcPr>
          <w:p w14:paraId="148D2EBA" w14:textId="17E608AC" w:rsidR="00F433ED" w:rsidRPr="007245B0" w:rsidRDefault="00F433ED" w:rsidP="001D7ED4">
            <w:pPr>
              <w:jc w:val="center"/>
              <w:rPr>
                <w:rFonts w:ascii="Times New Roman" w:hAnsi="Times New Roman" w:cs="Times New Roman"/>
              </w:rPr>
            </w:pPr>
            <w:r w:rsidRPr="007245B0">
              <w:rPr>
                <w:rFonts w:ascii="Times New Roman" w:hAnsi="Times New Roman" w:cs="Times New Roman"/>
              </w:rPr>
              <w:t>9·99</w:t>
            </w:r>
          </w:p>
        </w:tc>
      </w:tr>
      <w:tr w:rsidR="009F5905" w:rsidRPr="007245B0" w14:paraId="612B5147" w14:textId="77777777" w:rsidTr="00E573C0">
        <w:trPr>
          <w:trHeight w:val="283"/>
          <w:jc w:val="center"/>
        </w:trPr>
        <w:tc>
          <w:tcPr>
            <w:tcW w:w="2585" w:type="dxa"/>
            <w:vAlign w:val="center"/>
          </w:tcPr>
          <w:p w14:paraId="3B06A26C" w14:textId="4C4E43C5" w:rsidR="009F5905" w:rsidRPr="007245B0" w:rsidRDefault="009F5905" w:rsidP="001D7ED4">
            <w:pPr>
              <w:jc w:val="center"/>
              <w:rPr>
                <w:rFonts w:ascii="Times New Roman" w:hAnsi="Times New Roman" w:cs="Times New Roman"/>
              </w:rPr>
            </w:pPr>
            <w:r w:rsidRPr="007245B0">
              <w:rPr>
                <w:rFonts w:ascii="Times New Roman" w:hAnsi="Times New Roman" w:cs="Times New Roman"/>
              </w:rPr>
              <w:t>Gujarat</w:t>
            </w:r>
          </w:p>
        </w:tc>
        <w:tc>
          <w:tcPr>
            <w:tcW w:w="2586" w:type="dxa"/>
            <w:vAlign w:val="center"/>
          </w:tcPr>
          <w:p w14:paraId="0891EC85" w14:textId="461FD8DA" w:rsidR="009F5905" w:rsidRPr="007245B0" w:rsidRDefault="009F5905" w:rsidP="001D7ED4">
            <w:pPr>
              <w:jc w:val="center"/>
              <w:rPr>
                <w:rFonts w:ascii="Times New Roman" w:hAnsi="Times New Roman" w:cs="Times New Roman"/>
              </w:rPr>
            </w:pPr>
            <w:r w:rsidRPr="007245B0">
              <w:rPr>
                <w:rFonts w:ascii="Times New Roman" w:hAnsi="Times New Roman" w:cs="Times New Roman"/>
              </w:rPr>
              <w:t>5·13</w:t>
            </w:r>
          </w:p>
        </w:tc>
      </w:tr>
      <w:tr w:rsidR="00F433ED" w:rsidRPr="007245B0" w14:paraId="6BB8BCB4" w14:textId="77777777" w:rsidTr="00E573C0">
        <w:trPr>
          <w:trHeight w:val="283"/>
          <w:jc w:val="center"/>
        </w:trPr>
        <w:tc>
          <w:tcPr>
            <w:tcW w:w="2585" w:type="dxa"/>
            <w:vAlign w:val="center"/>
          </w:tcPr>
          <w:p w14:paraId="2F86D65C" w14:textId="6BD413FB" w:rsidR="00F433ED" w:rsidRPr="007245B0" w:rsidRDefault="00F433ED" w:rsidP="001D7ED4">
            <w:pPr>
              <w:jc w:val="center"/>
              <w:rPr>
                <w:rFonts w:ascii="Times New Roman" w:hAnsi="Times New Roman" w:cs="Times New Roman"/>
              </w:rPr>
            </w:pPr>
            <w:r w:rsidRPr="007245B0">
              <w:rPr>
                <w:rFonts w:ascii="Times New Roman" w:hAnsi="Times New Roman" w:cs="Times New Roman"/>
              </w:rPr>
              <w:t>Haryana</w:t>
            </w:r>
          </w:p>
        </w:tc>
        <w:tc>
          <w:tcPr>
            <w:tcW w:w="2586" w:type="dxa"/>
            <w:vAlign w:val="center"/>
          </w:tcPr>
          <w:p w14:paraId="62DA4C94" w14:textId="7B5A89A2" w:rsidR="00F433ED" w:rsidRPr="007245B0" w:rsidRDefault="00F433ED" w:rsidP="001D7ED4">
            <w:pPr>
              <w:jc w:val="center"/>
              <w:rPr>
                <w:rFonts w:ascii="Times New Roman" w:hAnsi="Times New Roman" w:cs="Times New Roman"/>
              </w:rPr>
            </w:pPr>
            <w:r w:rsidRPr="007245B0">
              <w:rPr>
                <w:rFonts w:ascii="Times New Roman" w:hAnsi="Times New Roman" w:cs="Times New Roman"/>
              </w:rPr>
              <w:t>1.73</w:t>
            </w:r>
          </w:p>
        </w:tc>
      </w:tr>
      <w:tr w:rsidR="00F433ED" w:rsidRPr="007245B0" w14:paraId="1E3A596D" w14:textId="77777777" w:rsidTr="00E573C0">
        <w:trPr>
          <w:trHeight w:val="301"/>
          <w:jc w:val="center"/>
        </w:trPr>
        <w:tc>
          <w:tcPr>
            <w:tcW w:w="2585" w:type="dxa"/>
            <w:vAlign w:val="center"/>
          </w:tcPr>
          <w:p w14:paraId="292C37A8" w14:textId="2C8288BE" w:rsidR="00F433ED" w:rsidRPr="007245B0" w:rsidRDefault="00F433ED" w:rsidP="001D7ED4">
            <w:pPr>
              <w:jc w:val="center"/>
              <w:rPr>
                <w:rFonts w:ascii="Times New Roman" w:hAnsi="Times New Roman" w:cs="Times New Roman"/>
              </w:rPr>
            </w:pPr>
            <w:r w:rsidRPr="007245B0">
              <w:rPr>
                <w:rFonts w:ascii="Times New Roman" w:hAnsi="Times New Roman" w:cs="Times New Roman"/>
              </w:rPr>
              <w:t>Jammu &amp; Kashmir</w:t>
            </w:r>
          </w:p>
        </w:tc>
        <w:tc>
          <w:tcPr>
            <w:tcW w:w="2586" w:type="dxa"/>
            <w:vAlign w:val="center"/>
          </w:tcPr>
          <w:p w14:paraId="20600206" w14:textId="288D624F" w:rsidR="00F433ED" w:rsidRPr="007245B0" w:rsidRDefault="00F433ED" w:rsidP="001D7ED4">
            <w:pPr>
              <w:jc w:val="center"/>
              <w:rPr>
                <w:rFonts w:ascii="Times New Roman" w:hAnsi="Times New Roman" w:cs="Times New Roman"/>
              </w:rPr>
            </w:pPr>
            <w:r w:rsidRPr="007245B0">
              <w:rPr>
                <w:rFonts w:ascii="Times New Roman" w:hAnsi="Times New Roman" w:cs="Times New Roman"/>
              </w:rPr>
              <w:t>0.79</w:t>
            </w:r>
          </w:p>
        </w:tc>
      </w:tr>
      <w:tr w:rsidR="00F433ED" w:rsidRPr="007245B0" w14:paraId="4BD6B61B" w14:textId="77777777" w:rsidTr="00E573C0">
        <w:trPr>
          <w:trHeight w:val="283"/>
          <w:jc w:val="center"/>
        </w:trPr>
        <w:tc>
          <w:tcPr>
            <w:tcW w:w="2585" w:type="dxa"/>
            <w:vAlign w:val="center"/>
          </w:tcPr>
          <w:p w14:paraId="35BDF1D2" w14:textId="420F6537" w:rsidR="00F433ED" w:rsidRPr="007245B0" w:rsidRDefault="00F433ED" w:rsidP="001D7ED4">
            <w:pPr>
              <w:jc w:val="center"/>
              <w:rPr>
                <w:rFonts w:ascii="Times New Roman" w:hAnsi="Times New Roman" w:cs="Times New Roman"/>
              </w:rPr>
            </w:pPr>
            <w:r w:rsidRPr="007245B0">
              <w:rPr>
                <w:rFonts w:ascii="Times New Roman" w:hAnsi="Times New Roman" w:cs="Times New Roman"/>
              </w:rPr>
              <w:t>Kerala</w:t>
            </w:r>
          </w:p>
        </w:tc>
        <w:tc>
          <w:tcPr>
            <w:tcW w:w="2586" w:type="dxa"/>
            <w:vAlign w:val="center"/>
          </w:tcPr>
          <w:p w14:paraId="52F2E8B8" w14:textId="263C9B4E" w:rsidR="00F433ED" w:rsidRPr="007245B0" w:rsidRDefault="00F433ED" w:rsidP="001D7ED4">
            <w:pPr>
              <w:jc w:val="center"/>
              <w:rPr>
                <w:rFonts w:ascii="Times New Roman" w:hAnsi="Times New Roman" w:cs="Times New Roman"/>
              </w:rPr>
            </w:pPr>
            <w:r w:rsidRPr="007245B0">
              <w:rPr>
                <w:rFonts w:ascii="Times New Roman" w:hAnsi="Times New Roman" w:cs="Times New Roman"/>
              </w:rPr>
              <w:t>3·83</w:t>
            </w:r>
          </w:p>
        </w:tc>
      </w:tr>
      <w:tr w:rsidR="00F433ED" w:rsidRPr="007245B0" w14:paraId="5D5AB663" w14:textId="77777777" w:rsidTr="00E573C0">
        <w:trPr>
          <w:trHeight w:val="283"/>
          <w:jc w:val="center"/>
        </w:trPr>
        <w:tc>
          <w:tcPr>
            <w:tcW w:w="2585" w:type="dxa"/>
            <w:vAlign w:val="center"/>
          </w:tcPr>
          <w:p w14:paraId="6D6E6EDE" w14:textId="26607FA4" w:rsidR="00F433ED" w:rsidRPr="007245B0" w:rsidRDefault="00F433ED" w:rsidP="001D7ED4">
            <w:pPr>
              <w:jc w:val="center"/>
              <w:rPr>
                <w:rFonts w:ascii="Times New Roman" w:hAnsi="Times New Roman" w:cs="Times New Roman"/>
              </w:rPr>
            </w:pPr>
            <w:r w:rsidRPr="007245B0">
              <w:rPr>
                <w:rFonts w:ascii="Times New Roman" w:hAnsi="Times New Roman" w:cs="Times New Roman"/>
              </w:rPr>
              <w:t>Madhya Pradesh</w:t>
            </w:r>
          </w:p>
        </w:tc>
        <w:tc>
          <w:tcPr>
            <w:tcW w:w="2586" w:type="dxa"/>
            <w:vAlign w:val="center"/>
          </w:tcPr>
          <w:p w14:paraId="40A03695" w14:textId="159D9BDA" w:rsidR="00F433ED" w:rsidRPr="007245B0" w:rsidRDefault="00F433ED" w:rsidP="001D7ED4">
            <w:pPr>
              <w:jc w:val="center"/>
              <w:rPr>
                <w:rFonts w:ascii="Times New Roman" w:hAnsi="Times New Roman" w:cs="Times New Roman"/>
              </w:rPr>
            </w:pPr>
            <w:r w:rsidRPr="007245B0">
              <w:rPr>
                <w:rFonts w:ascii="Times New Roman" w:hAnsi="Times New Roman" w:cs="Times New Roman"/>
              </w:rPr>
              <w:t>7·09</w:t>
            </w:r>
          </w:p>
        </w:tc>
      </w:tr>
      <w:tr w:rsidR="00F433ED" w:rsidRPr="007245B0" w14:paraId="1C7799A2" w14:textId="77777777" w:rsidTr="00E573C0">
        <w:trPr>
          <w:trHeight w:val="283"/>
          <w:jc w:val="center"/>
        </w:trPr>
        <w:tc>
          <w:tcPr>
            <w:tcW w:w="2585" w:type="dxa"/>
            <w:vAlign w:val="center"/>
          </w:tcPr>
          <w:p w14:paraId="375E490A" w14:textId="7BBDF2E8" w:rsidR="00F433ED" w:rsidRPr="007245B0" w:rsidRDefault="00F433ED" w:rsidP="001D7ED4">
            <w:pPr>
              <w:jc w:val="center"/>
              <w:rPr>
                <w:rFonts w:ascii="Times New Roman" w:hAnsi="Times New Roman" w:cs="Times New Roman"/>
              </w:rPr>
            </w:pPr>
            <w:r w:rsidRPr="007245B0">
              <w:rPr>
                <w:rFonts w:ascii="Times New Roman" w:hAnsi="Times New Roman" w:cs="Times New Roman"/>
              </w:rPr>
              <w:t>Maharashtra</w:t>
            </w:r>
          </w:p>
        </w:tc>
        <w:tc>
          <w:tcPr>
            <w:tcW w:w="2586" w:type="dxa"/>
            <w:vAlign w:val="center"/>
          </w:tcPr>
          <w:p w14:paraId="3724DE79" w14:textId="2759534C" w:rsidR="00F433ED" w:rsidRPr="007245B0" w:rsidRDefault="00F433ED" w:rsidP="001D7ED4">
            <w:pPr>
              <w:jc w:val="center"/>
              <w:rPr>
                <w:rFonts w:ascii="Times New Roman" w:hAnsi="Times New Roman" w:cs="Times New Roman"/>
              </w:rPr>
            </w:pPr>
            <w:r w:rsidRPr="007245B0">
              <w:rPr>
                <w:rFonts w:ascii="Times New Roman" w:hAnsi="Times New Roman" w:cs="Times New Roman"/>
              </w:rPr>
              <w:t>11·34</w:t>
            </w:r>
          </w:p>
        </w:tc>
      </w:tr>
      <w:tr w:rsidR="00F433ED" w:rsidRPr="007245B0" w14:paraId="040C1211" w14:textId="77777777" w:rsidTr="00E573C0">
        <w:trPr>
          <w:trHeight w:val="283"/>
          <w:jc w:val="center"/>
        </w:trPr>
        <w:tc>
          <w:tcPr>
            <w:tcW w:w="2585" w:type="dxa"/>
            <w:vAlign w:val="center"/>
          </w:tcPr>
          <w:p w14:paraId="5E909E7B" w14:textId="40BAE82F" w:rsidR="00F433ED" w:rsidRPr="007245B0" w:rsidRDefault="00F433ED" w:rsidP="001D7ED4">
            <w:pPr>
              <w:jc w:val="center"/>
              <w:rPr>
                <w:rFonts w:ascii="Times New Roman" w:hAnsi="Times New Roman" w:cs="Times New Roman"/>
              </w:rPr>
            </w:pPr>
            <w:r w:rsidRPr="007245B0">
              <w:rPr>
                <w:rFonts w:ascii="Times New Roman" w:hAnsi="Times New Roman" w:cs="Times New Roman"/>
              </w:rPr>
              <w:t>Mysore</w:t>
            </w:r>
          </w:p>
        </w:tc>
        <w:tc>
          <w:tcPr>
            <w:tcW w:w="2586" w:type="dxa"/>
            <w:vAlign w:val="center"/>
          </w:tcPr>
          <w:p w14:paraId="6D1CC706" w14:textId="5215C8B2" w:rsidR="00F433ED" w:rsidRPr="007245B0" w:rsidRDefault="00F433ED" w:rsidP="001D7ED4">
            <w:pPr>
              <w:jc w:val="center"/>
              <w:rPr>
                <w:rFonts w:ascii="Times New Roman" w:hAnsi="Times New Roman" w:cs="Times New Roman"/>
              </w:rPr>
            </w:pPr>
            <w:r w:rsidRPr="007245B0">
              <w:rPr>
                <w:rFonts w:ascii="Times New Roman" w:hAnsi="Times New Roman" w:cs="Times New Roman"/>
              </w:rPr>
              <w:t>5·40</w:t>
            </w:r>
          </w:p>
        </w:tc>
      </w:tr>
      <w:tr w:rsidR="00F433ED" w:rsidRPr="007245B0" w14:paraId="532D3D35" w14:textId="77777777" w:rsidTr="00E573C0">
        <w:trPr>
          <w:trHeight w:val="283"/>
          <w:jc w:val="center"/>
        </w:trPr>
        <w:tc>
          <w:tcPr>
            <w:tcW w:w="2585" w:type="dxa"/>
            <w:vAlign w:val="center"/>
          </w:tcPr>
          <w:p w14:paraId="487037A6" w14:textId="0C2D343A" w:rsidR="00F433ED" w:rsidRPr="007245B0" w:rsidRDefault="00F433ED" w:rsidP="001D7ED4">
            <w:pPr>
              <w:jc w:val="center"/>
              <w:rPr>
                <w:rFonts w:ascii="Times New Roman" w:hAnsi="Times New Roman" w:cs="Times New Roman"/>
              </w:rPr>
            </w:pPr>
            <w:r w:rsidRPr="007245B0">
              <w:rPr>
                <w:rFonts w:ascii="Times New Roman" w:hAnsi="Times New Roman" w:cs="Times New Roman"/>
              </w:rPr>
              <w:t>Nagaland</w:t>
            </w:r>
          </w:p>
        </w:tc>
        <w:tc>
          <w:tcPr>
            <w:tcW w:w="2586" w:type="dxa"/>
            <w:vAlign w:val="center"/>
          </w:tcPr>
          <w:p w14:paraId="1413B5AC" w14:textId="2FE44C7B" w:rsidR="00F433ED" w:rsidRPr="007245B0" w:rsidRDefault="00F433ED" w:rsidP="001D7ED4">
            <w:pPr>
              <w:jc w:val="center"/>
              <w:rPr>
                <w:rFonts w:ascii="Times New Roman" w:hAnsi="Times New Roman" w:cs="Times New Roman"/>
              </w:rPr>
            </w:pPr>
            <w:r w:rsidRPr="007245B0">
              <w:rPr>
                <w:rFonts w:ascii="Times New Roman" w:hAnsi="Times New Roman" w:cs="Times New Roman"/>
              </w:rPr>
              <w:t>0·08</w:t>
            </w:r>
          </w:p>
        </w:tc>
      </w:tr>
      <w:tr w:rsidR="00F433ED" w:rsidRPr="007245B0" w14:paraId="3F433190" w14:textId="77777777" w:rsidTr="00E573C0">
        <w:trPr>
          <w:trHeight w:val="283"/>
          <w:jc w:val="center"/>
        </w:trPr>
        <w:tc>
          <w:tcPr>
            <w:tcW w:w="2585" w:type="dxa"/>
            <w:vAlign w:val="center"/>
          </w:tcPr>
          <w:p w14:paraId="23C48DE0" w14:textId="34AE7CFA" w:rsidR="00F433ED" w:rsidRPr="007245B0" w:rsidRDefault="00F433ED" w:rsidP="001D7ED4">
            <w:pPr>
              <w:jc w:val="center"/>
              <w:rPr>
                <w:rFonts w:ascii="Times New Roman" w:hAnsi="Times New Roman" w:cs="Times New Roman"/>
              </w:rPr>
            </w:pPr>
            <w:r w:rsidRPr="007245B0">
              <w:rPr>
                <w:rFonts w:ascii="Times New Roman" w:hAnsi="Times New Roman" w:cs="Times New Roman"/>
              </w:rPr>
              <w:t>Orissa</w:t>
            </w:r>
          </w:p>
        </w:tc>
        <w:tc>
          <w:tcPr>
            <w:tcW w:w="2586" w:type="dxa"/>
            <w:vAlign w:val="center"/>
          </w:tcPr>
          <w:p w14:paraId="4683899D" w14:textId="3DE821FC" w:rsidR="00F433ED" w:rsidRPr="007245B0" w:rsidRDefault="00F433ED" w:rsidP="001D7ED4">
            <w:pPr>
              <w:jc w:val="center"/>
              <w:rPr>
                <w:rFonts w:ascii="Times New Roman" w:hAnsi="Times New Roman" w:cs="Times New Roman"/>
              </w:rPr>
            </w:pPr>
            <w:r w:rsidRPr="007245B0">
              <w:rPr>
                <w:rFonts w:ascii="Times New Roman" w:hAnsi="Times New Roman" w:cs="Times New Roman"/>
              </w:rPr>
              <w:t>3·75</w:t>
            </w:r>
          </w:p>
        </w:tc>
      </w:tr>
      <w:tr w:rsidR="00F433ED" w:rsidRPr="007245B0" w14:paraId="7AE74AC8" w14:textId="77777777" w:rsidTr="00E573C0">
        <w:trPr>
          <w:trHeight w:val="283"/>
          <w:jc w:val="center"/>
        </w:trPr>
        <w:tc>
          <w:tcPr>
            <w:tcW w:w="2585" w:type="dxa"/>
            <w:vAlign w:val="center"/>
          </w:tcPr>
          <w:p w14:paraId="4234D89B" w14:textId="47A185CF" w:rsidR="00F433ED" w:rsidRPr="007245B0" w:rsidRDefault="00F433ED" w:rsidP="001D7ED4">
            <w:pPr>
              <w:jc w:val="center"/>
              <w:rPr>
                <w:rFonts w:ascii="Times New Roman" w:hAnsi="Times New Roman" w:cs="Times New Roman"/>
              </w:rPr>
            </w:pPr>
            <w:r w:rsidRPr="007245B0">
              <w:rPr>
                <w:rFonts w:ascii="Times New Roman" w:hAnsi="Times New Roman" w:cs="Times New Roman"/>
              </w:rPr>
              <w:t>Punjab</w:t>
            </w:r>
          </w:p>
        </w:tc>
        <w:tc>
          <w:tcPr>
            <w:tcW w:w="2586" w:type="dxa"/>
            <w:vAlign w:val="center"/>
          </w:tcPr>
          <w:p w14:paraId="00669824" w14:textId="0E72D92E" w:rsidR="00F433ED" w:rsidRPr="007245B0" w:rsidRDefault="00F433ED" w:rsidP="001D7ED4">
            <w:pPr>
              <w:jc w:val="center"/>
              <w:rPr>
                <w:rFonts w:ascii="Times New Roman" w:hAnsi="Times New Roman" w:cs="Times New Roman"/>
              </w:rPr>
            </w:pPr>
            <w:r w:rsidRPr="007245B0">
              <w:rPr>
                <w:rFonts w:ascii="Times New Roman" w:hAnsi="Times New Roman" w:cs="Times New Roman"/>
              </w:rPr>
              <w:t>2·55</w:t>
            </w:r>
          </w:p>
        </w:tc>
      </w:tr>
      <w:tr w:rsidR="00F433ED" w:rsidRPr="007245B0" w14:paraId="08F427CF" w14:textId="77777777" w:rsidTr="00E573C0">
        <w:trPr>
          <w:trHeight w:val="283"/>
          <w:jc w:val="center"/>
        </w:trPr>
        <w:tc>
          <w:tcPr>
            <w:tcW w:w="2585" w:type="dxa"/>
            <w:vAlign w:val="center"/>
          </w:tcPr>
          <w:p w14:paraId="04E165CE" w14:textId="5BC0C89D" w:rsidR="00F433ED" w:rsidRPr="007245B0" w:rsidRDefault="00F433ED" w:rsidP="001D7ED4">
            <w:pPr>
              <w:tabs>
                <w:tab w:val="left" w:pos="1038"/>
              </w:tabs>
              <w:jc w:val="center"/>
              <w:rPr>
                <w:rFonts w:ascii="Times New Roman" w:hAnsi="Times New Roman" w:cs="Times New Roman"/>
              </w:rPr>
            </w:pPr>
            <w:r w:rsidRPr="007245B0">
              <w:rPr>
                <w:rFonts w:ascii="Times New Roman" w:hAnsi="Times New Roman" w:cs="Times New Roman"/>
              </w:rPr>
              <w:t>Rajasthan</w:t>
            </w:r>
          </w:p>
        </w:tc>
        <w:tc>
          <w:tcPr>
            <w:tcW w:w="2586" w:type="dxa"/>
            <w:vAlign w:val="center"/>
          </w:tcPr>
          <w:p w14:paraId="560B421D" w14:textId="15FF6F83" w:rsidR="00F433ED" w:rsidRPr="007245B0" w:rsidRDefault="00F433ED" w:rsidP="001D7ED4">
            <w:pPr>
              <w:jc w:val="center"/>
              <w:rPr>
                <w:rFonts w:ascii="Times New Roman" w:hAnsi="Times New Roman" w:cs="Times New Roman"/>
              </w:rPr>
            </w:pPr>
            <w:r w:rsidRPr="007245B0">
              <w:rPr>
                <w:rFonts w:ascii="Times New Roman" w:hAnsi="Times New Roman" w:cs="Times New Roman"/>
              </w:rPr>
              <w:t>4·34</w:t>
            </w:r>
          </w:p>
        </w:tc>
      </w:tr>
      <w:tr w:rsidR="00F433ED" w:rsidRPr="007245B0" w14:paraId="40E19896" w14:textId="77777777" w:rsidTr="00E573C0">
        <w:trPr>
          <w:trHeight w:val="283"/>
          <w:jc w:val="center"/>
        </w:trPr>
        <w:tc>
          <w:tcPr>
            <w:tcW w:w="2585" w:type="dxa"/>
            <w:vAlign w:val="center"/>
          </w:tcPr>
          <w:p w14:paraId="0F8DFD1C" w14:textId="6E950916" w:rsidR="00F433ED" w:rsidRPr="007245B0" w:rsidRDefault="00F433ED" w:rsidP="001D7ED4">
            <w:pPr>
              <w:jc w:val="center"/>
              <w:rPr>
                <w:rFonts w:ascii="Times New Roman" w:hAnsi="Times New Roman" w:cs="Times New Roman"/>
              </w:rPr>
            </w:pPr>
            <w:r w:rsidRPr="007245B0">
              <w:rPr>
                <w:rFonts w:ascii="Times New Roman" w:hAnsi="Times New Roman" w:cs="Times New Roman"/>
              </w:rPr>
              <w:t>Tamil Nadu</w:t>
            </w:r>
          </w:p>
        </w:tc>
        <w:tc>
          <w:tcPr>
            <w:tcW w:w="2586" w:type="dxa"/>
            <w:vAlign w:val="center"/>
          </w:tcPr>
          <w:p w14:paraId="5533D790" w14:textId="202EE6A5" w:rsidR="00F433ED" w:rsidRPr="007245B0" w:rsidRDefault="00F433ED" w:rsidP="001D7ED4">
            <w:pPr>
              <w:jc w:val="center"/>
              <w:rPr>
                <w:rFonts w:ascii="Times New Roman" w:hAnsi="Times New Roman" w:cs="Times New Roman"/>
              </w:rPr>
            </w:pPr>
            <w:r w:rsidRPr="007245B0">
              <w:rPr>
                <w:rFonts w:ascii="Times New Roman" w:hAnsi="Times New Roman" w:cs="Times New Roman"/>
              </w:rPr>
              <w:t>8·18</w:t>
            </w:r>
          </w:p>
        </w:tc>
      </w:tr>
      <w:tr w:rsidR="00F433ED" w:rsidRPr="007245B0" w14:paraId="70AC68D6" w14:textId="77777777" w:rsidTr="00E573C0">
        <w:trPr>
          <w:trHeight w:val="283"/>
          <w:jc w:val="center"/>
        </w:trPr>
        <w:tc>
          <w:tcPr>
            <w:tcW w:w="2585" w:type="dxa"/>
            <w:vAlign w:val="center"/>
          </w:tcPr>
          <w:p w14:paraId="5448EB21" w14:textId="2CDF02F6" w:rsidR="00F433ED" w:rsidRPr="007245B0" w:rsidRDefault="00F433ED" w:rsidP="001D7ED4">
            <w:pPr>
              <w:jc w:val="center"/>
              <w:rPr>
                <w:rFonts w:ascii="Times New Roman" w:hAnsi="Times New Roman" w:cs="Times New Roman"/>
              </w:rPr>
            </w:pPr>
            <w:r w:rsidRPr="007245B0">
              <w:rPr>
                <w:rFonts w:ascii="Times New Roman" w:hAnsi="Times New Roman" w:cs="Times New Roman"/>
              </w:rPr>
              <w:t>Uttar Pradesh</w:t>
            </w:r>
          </w:p>
        </w:tc>
        <w:tc>
          <w:tcPr>
            <w:tcW w:w="2586" w:type="dxa"/>
            <w:vAlign w:val="center"/>
          </w:tcPr>
          <w:p w14:paraId="0C71468E" w14:textId="67DE4F2D" w:rsidR="00F433ED" w:rsidRPr="007245B0" w:rsidRDefault="00F433ED" w:rsidP="001D7ED4">
            <w:pPr>
              <w:jc w:val="center"/>
              <w:rPr>
                <w:rFonts w:ascii="Times New Roman" w:hAnsi="Times New Roman" w:cs="Times New Roman"/>
              </w:rPr>
            </w:pPr>
            <w:r w:rsidRPr="007245B0">
              <w:rPr>
                <w:rFonts w:ascii="Times New Roman" w:hAnsi="Times New Roman" w:cs="Times New Roman"/>
              </w:rPr>
              <w:t>16·01</w:t>
            </w:r>
          </w:p>
        </w:tc>
      </w:tr>
      <w:tr w:rsidR="00F433ED" w:rsidRPr="007245B0" w14:paraId="6D20400A" w14:textId="77777777" w:rsidTr="00E573C0">
        <w:trPr>
          <w:trHeight w:val="283"/>
          <w:jc w:val="center"/>
        </w:trPr>
        <w:tc>
          <w:tcPr>
            <w:tcW w:w="2585" w:type="dxa"/>
            <w:vAlign w:val="center"/>
          </w:tcPr>
          <w:p w14:paraId="09EDB82E" w14:textId="3089155A" w:rsidR="00F433ED" w:rsidRPr="007245B0" w:rsidRDefault="00F433ED" w:rsidP="001D7ED4">
            <w:pPr>
              <w:jc w:val="center"/>
              <w:rPr>
                <w:rFonts w:ascii="Times New Roman" w:hAnsi="Times New Roman" w:cs="Times New Roman"/>
              </w:rPr>
            </w:pPr>
            <w:r w:rsidRPr="007245B0">
              <w:rPr>
                <w:rFonts w:ascii="Times New Roman" w:hAnsi="Times New Roman" w:cs="Times New Roman"/>
              </w:rPr>
              <w:t>West Bengal</w:t>
            </w:r>
          </w:p>
        </w:tc>
        <w:tc>
          <w:tcPr>
            <w:tcW w:w="2586" w:type="dxa"/>
            <w:vAlign w:val="center"/>
          </w:tcPr>
          <w:p w14:paraId="7FBF68B1" w14:textId="4A274169" w:rsidR="00F433ED" w:rsidRPr="007245B0" w:rsidRDefault="00F433ED" w:rsidP="001D7ED4">
            <w:pPr>
              <w:jc w:val="center"/>
              <w:rPr>
                <w:rFonts w:ascii="Times New Roman" w:hAnsi="Times New Roman" w:cs="Times New Roman"/>
              </w:rPr>
            </w:pPr>
            <w:r w:rsidRPr="007245B0">
              <w:rPr>
                <w:rFonts w:ascii="Times New Roman" w:hAnsi="Times New Roman" w:cs="Times New Roman"/>
              </w:rPr>
              <w:t>9·11</w:t>
            </w:r>
          </w:p>
        </w:tc>
      </w:tr>
      <w:tr w:rsidR="00F433ED" w:rsidRPr="007245B0" w14:paraId="697FBCD4" w14:textId="77777777" w:rsidTr="00E573C0">
        <w:trPr>
          <w:trHeight w:val="283"/>
          <w:jc w:val="center"/>
        </w:trPr>
        <w:tc>
          <w:tcPr>
            <w:tcW w:w="2585" w:type="dxa"/>
            <w:vAlign w:val="center"/>
          </w:tcPr>
          <w:p w14:paraId="31C85D4B" w14:textId="42F2812B" w:rsidR="00F433ED" w:rsidRPr="007245B0" w:rsidRDefault="00F433ED" w:rsidP="001D7ED4">
            <w:pPr>
              <w:jc w:val="center"/>
              <w:rPr>
                <w:rFonts w:ascii="Times New Roman" w:hAnsi="Times New Roman" w:cs="Times New Roman"/>
              </w:rPr>
            </w:pPr>
            <w:r w:rsidRPr="007245B0">
              <w:rPr>
                <w:rFonts w:ascii="Times New Roman" w:hAnsi="Times New Roman" w:cs="Times New Roman"/>
              </w:rPr>
              <w:t>Total</w:t>
            </w:r>
          </w:p>
        </w:tc>
        <w:tc>
          <w:tcPr>
            <w:tcW w:w="2586" w:type="dxa"/>
            <w:vAlign w:val="center"/>
          </w:tcPr>
          <w:p w14:paraId="6EAFCE06" w14:textId="113C6C3C" w:rsidR="00F433ED" w:rsidRPr="007245B0" w:rsidRDefault="00F433ED" w:rsidP="001D7ED4">
            <w:pPr>
              <w:jc w:val="center"/>
              <w:rPr>
                <w:rFonts w:ascii="Times New Roman" w:hAnsi="Times New Roman" w:cs="Times New Roman"/>
              </w:rPr>
            </w:pPr>
            <w:r w:rsidRPr="007245B0">
              <w:rPr>
                <w:rFonts w:ascii="Times New Roman" w:hAnsi="Times New Roman" w:cs="Times New Roman"/>
              </w:rPr>
              <w:t>100·00</w:t>
            </w:r>
          </w:p>
        </w:tc>
      </w:tr>
    </w:tbl>
    <w:p w14:paraId="22FE9612" w14:textId="77777777" w:rsidR="00F433ED" w:rsidRPr="007245B0" w:rsidRDefault="00F433ED" w:rsidP="001043AC">
      <w:pPr>
        <w:jc w:val="both"/>
        <w:rPr>
          <w:rFonts w:ascii="Times New Roman" w:hAnsi="Times New Roman" w:cs="Times New Roman"/>
        </w:rPr>
      </w:pPr>
    </w:p>
    <w:p w14:paraId="57277988" w14:textId="3F5AAEEE" w:rsidR="009F5905" w:rsidRPr="007245B0" w:rsidRDefault="009F5905">
      <w:pPr>
        <w:rPr>
          <w:rFonts w:ascii="Times New Roman" w:hAnsi="Times New Roman" w:cs="Times New Roman"/>
        </w:rPr>
      </w:pPr>
      <w:r w:rsidRPr="007245B0">
        <w:rPr>
          <w:rFonts w:ascii="Times New Roman" w:hAnsi="Times New Roman" w:cs="Times New Roman"/>
        </w:rPr>
        <w:br w:type="page"/>
      </w:r>
    </w:p>
    <w:p w14:paraId="2A835F31" w14:textId="543A88E5" w:rsidR="009F5905" w:rsidRPr="007245B0" w:rsidRDefault="00E573C0" w:rsidP="007C11A0">
      <w:pPr>
        <w:pStyle w:val="Heading1"/>
      </w:pPr>
      <w:r>
        <w:lastRenderedPageBreak/>
        <w:br/>
      </w:r>
      <w:bookmarkStart w:id="7" w:name="_Toc220949668"/>
      <w:bookmarkStart w:id="8" w:name="_Toc221115291"/>
      <w:r w:rsidR="009F5905" w:rsidRPr="007245B0">
        <w:t>UNION EXCISE DUTIES</w:t>
      </w:r>
      <w:bookmarkEnd w:id="7"/>
      <w:bookmarkEnd w:id="8"/>
    </w:p>
    <w:p w14:paraId="6C612DED" w14:textId="4265E746" w:rsidR="009F5905" w:rsidRPr="007245B0" w:rsidRDefault="009F5905" w:rsidP="006F66AD">
      <w:pPr>
        <w:pStyle w:val="Heading3"/>
      </w:pPr>
      <w:r w:rsidRPr="007245B0">
        <w:t>As mentioned earlier in paragraph 3.1, we have to consider under item (a) of paragraph 4 of the President’s Order dated the 29</w:t>
      </w:r>
      <w:r w:rsidRPr="00E27B01">
        <w:rPr>
          <w:vertAlign w:val="superscript"/>
        </w:rPr>
        <w:t>th</w:t>
      </w:r>
      <w:r w:rsidR="00E27B01">
        <w:t xml:space="preserve"> </w:t>
      </w:r>
      <w:r w:rsidRPr="007245B0">
        <w:t>February, 1968, the distribution between the Union and the States of the net proceeds of taxes on income other than agricultural income and of Union duties of excise. The distribution of income-tax has been dealt with in Chapter 3. We shall now consider the distribution of the net proceeds of Union excise duties under Article 272 of the Constitution in this Chapter.</w:t>
      </w:r>
    </w:p>
    <w:p w14:paraId="302F2792" w14:textId="20F60501" w:rsidR="009F5905" w:rsidRPr="007245B0" w:rsidRDefault="009F5905" w:rsidP="006F66AD">
      <w:pPr>
        <w:pStyle w:val="Heading3"/>
      </w:pPr>
      <w:r w:rsidRPr="007245B0">
        <w:t>Under Article 272, if Parliament by law so provides, the whole or part of the net proceeds of any Union excise duty can be paid out of the Consolidated Fund of India and distributed among the States to which the law imposing the duty extends. Thus, the sharing of proceeds of Union excise duties by the Union with the States has been left to be decided by Parliament. For this purpose, Parliament is required to lay down the principles of distribution among the States after taking into account the recommendations of the Finance Commission under sub-clause (a) of clause (3) of Article 280.</w:t>
      </w:r>
    </w:p>
    <w:p w14:paraId="1C0DD638" w14:textId="7D726899" w:rsidR="009F5905" w:rsidRPr="007245B0" w:rsidRDefault="009F5905" w:rsidP="006F66AD">
      <w:pPr>
        <w:pStyle w:val="Heading3"/>
      </w:pPr>
      <w:r w:rsidRPr="007245B0">
        <w:t>In accordance with the recommendations of the earlier Finance Commissions, the States have been getting a share out of the proceeds of Union excise duties as part of the devolution of taxes recommended by the Commissions. The sharing of Union excise duties was considered necessary by the earlier Commissions in order to meet the growing needs of the States mainly by devolution of tax revenues, so that both the Union and the States may share in what elasticity the divided taxes possess, and the payment of grants under Article 275 may be required to a lesser extent. It was also considered desirable to widen the field of devolution by having more than one divisible tax so as to secure a balanced scheme of devolution under which the different buoyancy of each tax may not affect the scheme unduly, and on the whole a more even distribution may prevail over a period of years. Moreover, it was felt that income-tax, which is compulsorily divisible under the provisions of Article 270, had a limited scope for expansion while the requirements of the States for expenditure were growing at an increasing pace, particularly due to implementation of National Plans of development. It was therefore considered necessary to provide for increased devolution to the States by a share of Union excise duties under the enabling provisions of Article 272.</w:t>
      </w:r>
    </w:p>
    <w:p w14:paraId="6ED925C3" w14:textId="5720D96E" w:rsidR="009F5905" w:rsidRPr="003B5361" w:rsidRDefault="009F5905" w:rsidP="006F66AD">
      <w:pPr>
        <w:pStyle w:val="Heading3"/>
        <w:rPr>
          <w:szCs w:val="21"/>
        </w:rPr>
      </w:pPr>
      <w:r w:rsidRPr="007245B0">
        <w:t xml:space="preserve">The size of devolution under Union excise duties has been increasing under the recommendations of successive Finance Commissions, which have extended the sharing to more and more items though they have generally reduced the percentage share of the States out of the total proceeds of duties on such larger number of </w:t>
      </w:r>
      <w:r w:rsidRPr="007245B0">
        <w:rPr>
          <w:szCs w:val="24"/>
        </w:rPr>
        <w:t xml:space="preserve">items. The First Finance Commission recommended the distribution among the States of 40 per cent of the duties on three items, namely, matches, tobacco and vegetable products. The Second Finance Commission added five more items, namely, sugar, tea, coffee, paper and vegetable non-essential oils, and reduced the States’ share to 25 per cent. The Third Finance Commission recommended that 20 per cent of the proceeds of all Union excise duties which were then being levied should be shared </w:t>
      </w:r>
      <w:r w:rsidRPr="007245B0">
        <w:rPr>
          <w:szCs w:val="24"/>
        </w:rPr>
        <w:lastRenderedPageBreak/>
        <w:t>with the States, excluding only those items of which the yield was then below Rs. 50 lakhs a year. It also excluded the duty on motor spirit for which a separate scheme for distribution of grants for maintenance and improvement of communications was recommended. The main reasons for extending the scope of sharing to all excise duties was to secure the participation of the States, by convention, in the proceeds of the whole field of Union excises, so that the Union and the States may have a common interest therein which would be conducive to better psychological satisfaction to the States. It would also provide a broader base for distribution, in which the buoyancy of yield on some articles may make good the shortfall on others, so as to maintain a steady flow of assistance. The Fourth Finance Commission recommended the sharing of Union excise duties on all items including even those on which the yield was less than Rs. 50 lakhs per year, and also new commodities on which the excise duties might be levied during the five years 1966–71. The Commission did not bring within the scheme of sharing certain categories of excise duties, namely, cesses levied on certain goods under special Acts, regulatory duties of excise levied under the Finance Acts, and the special duties of excise on certain articles which were being levied from 1963 in the form of surcharges on basic duties on certain items.</w:t>
      </w:r>
    </w:p>
    <w:p w14:paraId="17AD0996" w14:textId="149EC9CB" w:rsidR="009F5905" w:rsidRPr="007245B0" w:rsidRDefault="009F5905" w:rsidP="006F66AD">
      <w:pPr>
        <w:pStyle w:val="Heading3"/>
      </w:pPr>
      <w:r w:rsidRPr="007245B0">
        <w:t>In their memoranda submitted to us, the State Governments have generally asked for an increase in their share of the proceeds of excise duties from 20 per cent to higher levels ranging from 30 to 50 per cent. One State has suggested that 30 per cent of the duties on petroleum products should be separately shared only among the States producing crude oil, the remaining 70 per cent being included in the general divisible pool. Another State has suggested that at least 60 per cent of the yield from duty on motor spirit should be separately distributed as a special grant to States which are backward in road communications. Many States have also demanded that the special duties of excise levied on certain articles in addition to basic duty, which are now retained entirely by the Union, should also be brought within the divisible pool and shared with the States.</w:t>
      </w:r>
    </w:p>
    <w:p w14:paraId="61BA04DD" w14:textId="744B92DF" w:rsidR="006423FD" w:rsidRDefault="005B1851" w:rsidP="00976FE1">
      <w:pPr>
        <w:pStyle w:val="Heading3"/>
        <w:keepNext w:val="0"/>
      </w:pPr>
      <w:r w:rsidRPr="007245B0">
        <w:t xml:space="preserve">We will first consider the question of sharing special excise duties. These duties are being levied from 1963, and the proceeds are earmarked exclusively for Union purposes by a provision included in the Finance Acts under which they are levied. The States had represented to the Fourth Finance Commission also that these should be made shareable. That Commission took the view that it was open to it to suggest that these duties should also be shared with the States and as far as the legal provision made in the Finance Acts is concerned, it considered that such provision could always be modified by Parliament. Particularly in the light of the </w:t>
      </w:r>
      <w:r w:rsidR="006423FD" w:rsidRPr="007245B0">
        <w:t xml:space="preserve">recommendations that the Finance Commission may make. The Third and Fourth Finance Commissions extended the </w:t>
      </w:r>
      <w:r w:rsidR="00E27B01" w:rsidRPr="007245B0">
        <w:t>principle</w:t>
      </w:r>
      <w:r w:rsidR="006423FD" w:rsidRPr="007245B0">
        <w:t xml:space="preserve"> of sharing to all basic excise duties mainly with a view to securing the participation and common interest of both the Union and the States in this field of taxation so that both may have proportionate benefits from its buoyancy. The Fourth Finance Commission did not, however, suggest the extension of the scheme of sharing to special duties of excise as these duties had been introduced recently in the context of National Emergency; that Commission felt that the object of enlarging the size of the States’ share of excise</w:t>
      </w:r>
      <w:r w:rsidR="00976FE1">
        <w:t xml:space="preserve"> </w:t>
      </w:r>
      <w:r w:rsidR="006423FD" w:rsidRPr="007245B0">
        <w:lastRenderedPageBreak/>
        <w:t>duties could equally well be achieved by suggesting a larger share for the States out of the total proceeds of basic duties. That Commission has observed as under :—</w:t>
      </w:r>
    </w:p>
    <w:p w14:paraId="47A14322" w14:textId="3893851D" w:rsidR="00036F38" w:rsidRPr="00036F38" w:rsidRDefault="006423FD" w:rsidP="00E27B01">
      <w:pPr>
        <w:widowControl w:val="0"/>
        <w:ind w:left="1276" w:hanging="567"/>
        <w:jc w:val="both"/>
        <w:rPr>
          <w:rFonts w:ascii="Times New Roman" w:hAnsi="Times New Roman" w:cs="Times New Roman"/>
          <w:sz w:val="28"/>
          <w:szCs w:val="28"/>
        </w:rPr>
      </w:pPr>
      <w:r w:rsidRPr="007245B0">
        <w:rPr>
          <w:rFonts w:ascii="Times New Roman" w:hAnsi="Times New Roman" w:cs="Times New Roman"/>
        </w:rPr>
        <w:t>“</w:t>
      </w:r>
      <w:r w:rsidRPr="00036F38">
        <w:rPr>
          <w:rFonts w:ascii="Times New Roman" w:hAnsi="Times New Roman" w:cs="Times New Roman"/>
          <w:sz w:val="28"/>
          <w:szCs w:val="28"/>
        </w:rPr>
        <w:t xml:space="preserve">These duties are renewed on a year to year basis and are not on the same footing as the basic duties </w:t>
      </w:r>
      <w:r w:rsidR="00036F38" w:rsidRPr="00036F38">
        <w:rPr>
          <w:rFonts w:ascii="Times New Roman" w:hAnsi="Times New Roman" w:cs="Times New Roman"/>
          <w:sz w:val="28"/>
          <w:szCs w:val="28"/>
        </w:rPr>
        <w:t>of excise under the Central Excises and Salt Act, 1944.”</w:t>
      </w:r>
      <w:r w:rsidR="00D01D33">
        <w:rPr>
          <w:rStyle w:val="FootnoteReference"/>
          <w:rFonts w:ascii="Times New Roman" w:hAnsi="Times New Roman" w:cs="Times New Roman"/>
          <w:sz w:val="28"/>
          <w:szCs w:val="28"/>
        </w:rPr>
        <w:footnoteReference w:id="2"/>
      </w:r>
    </w:p>
    <w:p w14:paraId="08C90554" w14:textId="54C0AB95" w:rsidR="00036F38" w:rsidRPr="00036F38" w:rsidRDefault="00036F38" w:rsidP="00E27B01">
      <w:pPr>
        <w:widowControl w:val="0"/>
        <w:ind w:left="1276" w:hanging="567"/>
        <w:jc w:val="both"/>
        <w:rPr>
          <w:rFonts w:ascii="Times New Roman" w:hAnsi="Times New Roman" w:cs="Times New Roman"/>
          <w:sz w:val="28"/>
          <w:szCs w:val="28"/>
        </w:rPr>
      </w:pPr>
      <w:r w:rsidRPr="00036F38">
        <w:rPr>
          <w:rFonts w:ascii="Times New Roman" w:hAnsi="Times New Roman" w:cs="Times New Roman"/>
          <w:sz w:val="28"/>
          <w:szCs w:val="28"/>
        </w:rPr>
        <w:t xml:space="preserve">“We, however, suggest that in </w:t>
      </w:r>
      <w:r w:rsidR="00E27B01">
        <w:rPr>
          <w:rFonts w:ascii="Times New Roman" w:hAnsi="Times New Roman" w:cs="Times New Roman"/>
          <w:sz w:val="28"/>
          <w:szCs w:val="28"/>
        </w:rPr>
        <w:t>f</w:t>
      </w:r>
      <w:r w:rsidRPr="00036F38">
        <w:rPr>
          <w:rFonts w:ascii="Times New Roman" w:hAnsi="Times New Roman" w:cs="Times New Roman"/>
          <w:sz w:val="28"/>
          <w:szCs w:val="28"/>
        </w:rPr>
        <w:t>uture the resort by the Union Government to Special excises should not be the rule but the exception.”</w:t>
      </w:r>
      <w:r w:rsidR="00583A28">
        <w:rPr>
          <w:rStyle w:val="FootnoteReference"/>
          <w:rFonts w:ascii="Times New Roman" w:hAnsi="Times New Roman" w:cs="Times New Roman"/>
          <w:sz w:val="28"/>
          <w:szCs w:val="28"/>
        </w:rPr>
        <w:footnoteReference w:id="3"/>
      </w:r>
    </w:p>
    <w:p w14:paraId="7D77A6D3" w14:textId="08AF68A3" w:rsidR="006423FD" w:rsidRPr="00A05C28" w:rsidRDefault="00036F38" w:rsidP="00B77C0B">
      <w:pPr>
        <w:pStyle w:val="Heading3"/>
        <w:widowControl w:val="0"/>
      </w:pPr>
      <w:r w:rsidRPr="00036F38">
        <w:t>The representatives of the Government of India with whom we discussed this question explained that the need for special excise duties had not disappeared. In this connection, they</w:t>
      </w:r>
      <w:r w:rsidR="00A05C28">
        <w:t xml:space="preserve"> </w:t>
      </w:r>
      <w:r w:rsidR="006423FD" w:rsidRPr="00A05C28">
        <w:t>referred to increased defence expenditure, the necessity of subsidising exports and the cost of the Central Police Force. They stated that what was important in this regard was not whether the proceeds of special excise duties should be distributed or not among the States, but that the percentage share of the States should be so fixed as not to cut into the essential requirements of the Union.</w:t>
      </w:r>
    </w:p>
    <w:p w14:paraId="7247F71E" w14:textId="61540DF8" w:rsidR="006423FD" w:rsidRPr="007245B0" w:rsidRDefault="006423FD" w:rsidP="00A05C28">
      <w:pPr>
        <w:pStyle w:val="Heading3"/>
      </w:pPr>
      <w:r w:rsidRPr="007245B0">
        <w:t>The special excise duties have now been in existence for more than six years since they were first levied in 1963. We agree with the Fourth Finance Commission that such special excise duties should not be the rule but the exception, and are of opinion that if these duties are continued on a long term basis it would be desirable to include them along with other duties in the divisible proceeds. This will fulfil the main purpose of securing a common interest of the Union and the States in the whole field of excise taxation which the Third and Fourth Commissions had kept in view while making their recommendations as explained in paragraphs 4.4 and 4.6 above. While we consider that the inclusion of special excise duties in the divisible pool is desirable in principle, we have not thought it necessary to recommend any change in the present arrangements for the first three years from 1969-70 for the reason explained in the succeeding paragraph.</w:t>
      </w:r>
    </w:p>
    <w:p w14:paraId="1525CF90" w14:textId="0DEA6FEC" w:rsidR="006423FD" w:rsidRPr="007245B0" w:rsidRDefault="006423FD" w:rsidP="00A05C28">
      <w:pPr>
        <w:pStyle w:val="Heading3"/>
      </w:pPr>
      <w:r w:rsidRPr="007245B0">
        <w:t>In making our recommendations relating to the distribution of proceeds of income-tax, we have assumed that the balance of the States’ share of such proceeds pertaining to the years 1967-68 and 1968-69, resulting mainly from the increase due to inclusion of advance tax in the proceeds on the revised basis, will be paid to them</w:t>
      </w:r>
      <w:r w:rsidR="00036F38">
        <w:t xml:space="preserve"> </w:t>
      </w:r>
      <w:r w:rsidRPr="007245B0">
        <w:t xml:space="preserve">in 1969-70 and 1970-71 respectively. The States’ share of the unadjusted amount of advance tax collections upto 1966-67 would be paid to them in three equal annual instalments from 1971-72. Considering the growing requirements of the States, we think that some further increase in the devolutions during the last two years 1972-73 and 1973-74 would be necessary. We, therefore, recommend that the proceeds of special excise duties should be included in the divisible proceeds from the year 1972-73 if such special duties are continued till that year. Having regard to the resources of the Government of India (including the likely additional taxation as indicated in the Draft Fourth Five Year Plan) and the demands thereon on account of expenditure </w:t>
      </w:r>
      <w:r w:rsidRPr="007245B0">
        <w:lastRenderedPageBreak/>
        <w:t>on civil administration, defence and border security, debt servicing and other committed expenditures or liabilities, as also to the revenue resources and expenditure of the States and the estimated yield from basic excise duties and special excise duties, we consider that the share of the States should remain at 20 per cent of the divisible proceeds in each of the five years.</w:t>
      </w:r>
    </w:p>
    <w:p w14:paraId="05E106F7" w14:textId="0FF5A335" w:rsidR="00A05C28" w:rsidRDefault="006423FD" w:rsidP="00A05C28">
      <w:pPr>
        <w:pStyle w:val="Heading3"/>
        <w:keepNext w:val="0"/>
      </w:pPr>
      <w:r w:rsidRPr="007245B0">
        <w:t>As regards the distribution of the States’ share, the First Finance Commission adopted the basis of their respective population. It felt that the object of having an equitable distribution to augment the resources of States could be best achieved by distribution on the basis of population. That Commission was not able to consider consumption, which had been suggested as a basis for distribution, as no reliable statistics of consumption were available. The Second Finance Commission also could not consider the basis of consumption in the absence of necessary data. It noted, however, that while the figures of consumption, if available may provide a suitable basis of distribution, it must be borne in mind that such distribution would operate in favour of the more urbanised States which are already in a position to raise more substantial revenues from sales tax on such consumption. On the whole it preferred that the distribution should be made on the basis of population. It was, however, felt necessary by that Commission to apply a corrective in favour of particular States who would otherwise have been left in a less advantageous position. The shares of States were worked out 90 per cent on basis of population and 10 per cent was used for making certain adjustments in favour of particular States. The Third Finance Commission considered that while population should continue to be the major factor, other factors like the relative financial weakness of the States, disparity in the levels of development, percentage of scheduled castes and tribes and backward classes population, etc., should also be taken into account. The Fourth Finance Commission considered that while consumption or distribution could be taken as a factor for distribution, there were no reliable statistics on the basis of which this could be done. It did not favour the suggestion of using indirect data like ratio of urban population for measuring consumption. It felt that population should be a major factor in determining the distribution, and relative economic and social backwardness should also be taken into account. It however considered that relative financial weakness as measured by revenue deficit should not be taken as an element in sharing taxes. That Commission took population as a general measure of need of States and distributed the States’ share 80 per cent on the basis of population and the remaining 20 per cent on the basis of</w:t>
      </w:r>
      <w:r w:rsidR="00036F38">
        <w:t xml:space="preserve"> </w:t>
      </w:r>
      <w:r w:rsidRPr="007245B0">
        <w:t>social and economic backwardness of the States as assessed on the basis of selective factors as under:</w:t>
      </w:r>
      <w:r w:rsidR="00E27B01">
        <w:t>-</w:t>
      </w:r>
    </w:p>
    <w:p w14:paraId="23C87030" w14:textId="77777777" w:rsidR="00A05C28" w:rsidRDefault="006423FD" w:rsidP="0072464F">
      <w:pPr>
        <w:pStyle w:val="Heading3"/>
        <w:keepNext w:val="0"/>
        <w:numPr>
          <w:ilvl w:val="5"/>
          <w:numId w:val="67"/>
        </w:numPr>
        <w:spacing w:before="0" w:after="0"/>
      </w:pPr>
      <w:r w:rsidRPr="007245B0">
        <w:t>Per capita gross value of agricultural production;</w:t>
      </w:r>
    </w:p>
    <w:p w14:paraId="7A8E57D6" w14:textId="123C0640" w:rsidR="00A05C28" w:rsidRDefault="006423FD" w:rsidP="0072464F">
      <w:pPr>
        <w:pStyle w:val="Heading3"/>
        <w:keepNext w:val="0"/>
        <w:numPr>
          <w:ilvl w:val="5"/>
          <w:numId w:val="67"/>
        </w:numPr>
        <w:spacing w:before="0" w:after="0"/>
      </w:pPr>
      <w:r w:rsidRPr="007245B0">
        <w:t>Per capita value added by manufacture;</w:t>
      </w:r>
    </w:p>
    <w:p w14:paraId="68BB301E" w14:textId="77777777" w:rsidR="00A05C28" w:rsidRDefault="006423FD" w:rsidP="0072464F">
      <w:pPr>
        <w:pStyle w:val="Heading3"/>
        <w:keepNext w:val="0"/>
        <w:numPr>
          <w:ilvl w:val="5"/>
          <w:numId w:val="67"/>
        </w:numPr>
        <w:spacing w:before="0" w:after="0"/>
      </w:pPr>
      <w:r w:rsidRPr="007245B0">
        <w:t>Percentage of workers (as defined in the Census) to the total population;</w:t>
      </w:r>
    </w:p>
    <w:p w14:paraId="283E86E7" w14:textId="77777777" w:rsidR="00A05C28" w:rsidRDefault="006423FD" w:rsidP="0072464F">
      <w:pPr>
        <w:pStyle w:val="Heading3"/>
        <w:keepNext w:val="0"/>
        <w:numPr>
          <w:ilvl w:val="5"/>
          <w:numId w:val="67"/>
        </w:numPr>
        <w:spacing w:before="0" w:after="0"/>
      </w:pPr>
      <w:r w:rsidRPr="007245B0">
        <w:t>Percentage of enrolment in Classes I to V to the population</w:t>
      </w:r>
      <w:r w:rsidR="00A05C28">
        <w:t xml:space="preserve"> </w:t>
      </w:r>
      <w:r w:rsidRPr="007245B0">
        <w:t>in age group 6—11;</w:t>
      </w:r>
      <w:r w:rsidR="00A05C28">
        <w:t xml:space="preserve"> </w:t>
      </w:r>
    </w:p>
    <w:p w14:paraId="431D00B5" w14:textId="77777777" w:rsidR="00A05C28" w:rsidRDefault="00A05C28" w:rsidP="0072464F">
      <w:pPr>
        <w:pStyle w:val="Heading3"/>
        <w:keepNext w:val="0"/>
        <w:numPr>
          <w:ilvl w:val="5"/>
          <w:numId w:val="67"/>
        </w:numPr>
        <w:spacing w:before="0" w:after="0"/>
      </w:pPr>
      <w:r>
        <w:t xml:space="preserve"> </w:t>
      </w:r>
      <w:r w:rsidR="006423FD" w:rsidRPr="007245B0">
        <w:t>Population per hospital bed;</w:t>
      </w:r>
    </w:p>
    <w:p w14:paraId="5543ECCB" w14:textId="77777777" w:rsidR="00A05C28" w:rsidRDefault="006423FD" w:rsidP="0072464F">
      <w:pPr>
        <w:pStyle w:val="Heading3"/>
        <w:keepNext w:val="0"/>
        <w:numPr>
          <w:ilvl w:val="5"/>
          <w:numId w:val="67"/>
        </w:numPr>
        <w:spacing w:before="0" w:after="0"/>
      </w:pPr>
      <w:r w:rsidRPr="007245B0">
        <w:t>Percentage of rural population to total population; and</w:t>
      </w:r>
    </w:p>
    <w:p w14:paraId="23AF2223" w14:textId="7DD7A78E" w:rsidR="005B1851" w:rsidRPr="007245B0" w:rsidRDefault="006423FD" w:rsidP="0072464F">
      <w:pPr>
        <w:pStyle w:val="Heading3"/>
        <w:keepNext w:val="0"/>
        <w:numPr>
          <w:ilvl w:val="5"/>
          <w:numId w:val="67"/>
        </w:numPr>
        <w:spacing w:before="0" w:after="0"/>
      </w:pPr>
      <w:r w:rsidRPr="007245B0">
        <w:lastRenderedPageBreak/>
        <w:t>Percentage of population of Scheduled Castes and Tribes to total population.</w:t>
      </w:r>
    </w:p>
    <w:p w14:paraId="6E8345EF" w14:textId="5E48AA75" w:rsidR="006423FD" w:rsidRPr="00A05C28" w:rsidRDefault="006423FD" w:rsidP="00A05C28">
      <w:pPr>
        <w:spacing w:line="320" w:lineRule="exact"/>
        <w:jc w:val="both"/>
        <w:rPr>
          <w:rFonts w:ascii="Times New Roman" w:hAnsi="Times New Roman" w:cs="Times New Roman"/>
          <w:sz w:val="28"/>
          <w:szCs w:val="22"/>
        </w:rPr>
      </w:pPr>
      <w:r w:rsidRPr="00A05C28">
        <w:rPr>
          <w:rFonts w:ascii="Times New Roman" w:hAnsi="Times New Roman" w:cs="Times New Roman"/>
          <w:sz w:val="28"/>
          <w:szCs w:val="22"/>
        </w:rPr>
        <w:t>The exact manner in which these factors have been combined was not indicated in the Fourth Finance Commission’s Report.</w:t>
      </w:r>
    </w:p>
    <w:p w14:paraId="0CB00A28" w14:textId="4AA52924" w:rsidR="006423FD" w:rsidRPr="007245B0" w:rsidRDefault="006423FD" w:rsidP="00A05C28">
      <w:pPr>
        <w:pStyle w:val="Heading3"/>
      </w:pPr>
      <w:r w:rsidRPr="007245B0">
        <w:t>Various views on this question have been expressed by the States before us. Two States favour continuance of the scheme laid down by the Fourth Finance Commission. Some States have urged that economic backwardness is not a suitable criterion for devolution of taxes. One State has suggested that the distribution should be made on the basis of population and urban population, so as to reflect the higher consumption for urban areas. Another State has suggested that the distribution should be entirely on the basis of consumption which may be measured by total sales-tax collections. Two States have suggested that the criteria should be population and per capita income. One of them suggested per capita income to be used for giving a share only to the States below the average level, while the other suggested inverse per capita income as the basis. Other States have suggested different weightages to be assigned to population and economic backwardness, some of them also suggesting certain criteria by which economic backwardness might be measured. One State has suggested that all the three factors—population, economic backwardness and contribution—should be given suitable weightage. One of the States has expressed the view that the distribution should be mainly regulated by the financial needs of the States and some portion of the States’ share may be distributed on the basis of the degree of tax effort achieved by the States, as an incentive.</w:t>
      </w:r>
    </w:p>
    <w:p w14:paraId="58825AF9" w14:textId="207D928E" w:rsidR="006423FD" w:rsidRPr="007245B0" w:rsidRDefault="006423FD" w:rsidP="00A05C28">
      <w:pPr>
        <w:pStyle w:val="Heading3"/>
      </w:pPr>
      <w:r w:rsidRPr="007245B0">
        <w:t>In considering this question of distribution among the States it is necessary to keep in mind the main purpose of devolution, which is to augment the resources of States in an equitable manner to enable them to meet their growing needs. Such needs depend mainly on the size of the States’ populations, their relative income and resources and their levels of economic development. The principle of contribution is not appropriate as a factor in the distribution among the States of a tax that is shared on a discretionary basis, as is the case with Union excise duties. As observed by the Second Finance Commission, the fact of consumption would operate to the disadvantage of less urbanised States which are not in a position to raise revenues from sales tax to the same extent as more urbanised States. We therefore consider that consumption is not a suitable factor for this purpose, and that the distribution should be based mainly on population, alongwith some criteria to take into account lower potential for raising resources and relative backwardness in economic and social development. We feel that as a broad measure of needs of different States, due regard should be had to criteria like population and suitable indicators of backwardness, rather than the relative financial weakness or budgetary deficits of the States. At the same time, since the States having less per capita incomes have lower potential for raising</w:t>
      </w:r>
      <w:r w:rsidR="00D62D61">
        <w:t xml:space="preserve"> revenue</w:t>
      </w:r>
      <w:r w:rsidRPr="007245B0">
        <w:t xml:space="preserve"> resources and are therefore placed at a disadvantage as compared to the States with higher per capita income, we consider it reasonable that some portion of the States’ share should be distributed to States with per capita income less than the average of all States. For this purpose we have utilised the figures of per capita income of States for the years 1962-63 to 1964-65, </w:t>
      </w:r>
      <w:r w:rsidRPr="007245B0">
        <w:lastRenderedPageBreak/>
        <w:t>prepared by the Central Statistical Organisation, which were made available to us. Having regard to these considerations, we are of opinion that the States’ share of Union excise duties should be distributed among them on the following basis :</w:t>
      </w:r>
      <w:r w:rsidR="0072464F">
        <w:t>-</w:t>
      </w:r>
    </w:p>
    <w:p w14:paraId="433B65BB" w14:textId="4A2D8001" w:rsidR="009F5905" w:rsidRPr="00A05C28" w:rsidRDefault="006423FD" w:rsidP="00A05C28">
      <w:pPr>
        <w:spacing w:line="300" w:lineRule="exact"/>
        <w:jc w:val="both"/>
        <w:rPr>
          <w:rFonts w:ascii="Times New Roman" w:hAnsi="Times New Roman" w:cs="Times New Roman"/>
          <w:sz w:val="28"/>
          <w:szCs w:val="22"/>
        </w:rPr>
      </w:pPr>
      <w:r w:rsidRPr="00A05C28">
        <w:rPr>
          <w:rFonts w:ascii="Times New Roman" w:hAnsi="Times New Roman" w:cs="Times New Roman"/>
          <w:sz w:val="28"/>
          <w:szCs w:val="22"/>
        </w:rPr>
        <w:t>(1) 80 per cent on the basis of population of respective States;</w:t>
      </w:r>
    </w:p>
    <w:p w14:paraId="6D5F255C" w14:textId="427955D6" w:rsidR="006423FD" w:rsidRPr="00A05C28" w:rsidRDefault="006423FD" w:rsidP="00A05C28">
      <w:pPr>
        <w:spacing w:line="300" w:lineRule="exact"/>
        <w:jc w:val="both"/>
        <w:rPr>
          <w:rFonts w:ascii="Times New Roman" w:hAnsi="Times New Roman" w:cs="Times New Roman"/>
          <w:sz w:val="28"/>
          <w:szCs w:val="22"/>
        </w:rPr>
      </w:pPr>
      <w:r w:rsidRPr="00A05C28">
        <w:rPr>
          <w:rFonts w:ascii="Times New Roman" w:hAnsi="Times New Roman" w:cs="Times New Roman"/>
          <w:sz w:val="28"/>
          <w:szCs w:val="22"/>
        </w:rPr>
        <w:t>(2) Out of the remaining 20 per cent—</w:t>
      </w:r>
    </w:p>
    <w:p w14:paraId="1F3EF32F" w14:textId="3A332467" w:rsidR="006423FD" w:rsidRPr="00A05C28" w:rsidRDefault="006423FD" w:rsidP="00A05C28">
      <w:pPr>
        <w:spacing w:line="300" w:lineRule="exact"/>
        <w:ind w:left="360"/>
        <w:jc w:val="both"/>
        <w:rPr>
          <w:rFonts w:ascii="Times New Roman" w:hAnsi="Times New Roman" w:cs="Times New Roman"/>
          <w:sz w:val="28"/>
          <w:szCs w:val="22"/>
        </w:rPr>
      </w:pPr>
      <w:r w:rsidRPr="00A05C28">
        <w:rPr>
          <w:rFonts w:ascii="Times New Roman" w:hAnsi="Times New Roman" w:cs="Times New Roman"/>
          <w:sz w:val="28"/>
          <w:szCs w:val="22"/>
        </w:rPr>
        <w:t>(a). 2/3rd should be distributed among States whose per capita income is below the average per capita income of all States in proportion to the shortfall of the State’s per capita income from all States’ average, multiplied by the population of the State. For this purpose, Nagaland, for which the requisite per capita income statistics are not available, should be equated with Assam.</w:t>
      </w:r>
    </w:p>
    <w:p w14:paraId="470790A9" w14:textId="5CFEA29B" w:rsidR="006423FD" w:rsidRPr="00A05C28" w:rsidRDefault="006423FD" w:rsidP="00A05C28">
      <w:pPr>
        <w:spacing w:line="300" w:lineRule="exact"/>
        <w:ind w:left="360"/>
        <w:jc w:val="both"/>
        <w:rPr>
          <w:rFonts w:ascii="Times New Roman" w:hAnsi="Times New Roman" w:cs="Times New Roman"/>
          <w:sz w:val="28"/>
          <w:szCs w:val="22"/>
        </w:rPr>
      </w:pPr>
      <w:r w:rsidRPr="00A05C28">
        <w:rPr>
          <w:rFonts w:ascii="Times New Roman" w:hAnsi="Times New Roman" w:cs="Times New Roman"/>
          <w:sz w:val="28"/>
          <w:szCs w:val="22"/>
        </w:rPr>
        <w:t>(B).  1/3rd should be distributed according to the integrated index of backwardness on the basis of the following six criteria, viz.,</w:t>
      </w:r>
    </w:p>
    <w:p w14:paraId="0D554299" w14:textId="77777777" w:rsidR="00A05C28" w:rsidRDefault="006423FD" w:rsidP="00A05C28">
      <w:pPr>
        <w:spacing w:after="0" w:line="300" w:lineRule="exact"/>
        <w:ind w:left="720"/>
        <w:jc w:val="both"/>
        <w:rPr>
          <w:rFonts w:ascii="Times New Roman" w:hAnsi="Times New Roman" w:cs="Times New Roman"/>
          <w:sz w:val="28"/>
          <w:szCs w:val="22"/>
        </w:rPr>
      </w:pPr>
      <w:r w:rsidRPr="00A05C28">
        <w:rPr>
          <w:rFonts w:ascii="Times New Roman" w:hAnsi="Times New Roman" w:cs="Times New Roman"/>
          <w:sz w:val="28"/>
          <w:szCs w:val="22"/>
        </w:rPr>
        <w:t>(i) Scheduled tribes population;</w:t>
      </w:r>
    </w:p>
    <w:p w14:paraId="1455C508" w14:textId="77777777" w:rsidR="00A05C28" w:rsidRDefault="006423FD" w:rsidP="00A05C28">
      <w:pPr>
        <w:spacing w:after="0" w:line="300" w:lineRule="exact"/>
        <w:ind w:left="720"/>
        <w:jc w:val="both"/>
        <w:rPr>
          <w:rFonts w:ascii="Times New Roman" w:hAnsi="Times New Roman" w:cs="Times New Roman"/>
          <w:sz w:val="28"/>
          <w:szCs w:val="22"/>
        </w:rPr>
      </w:pPr>
      <w:r w:rsidRPr="00A05C28">
        <w:rPr>
          <w:rFonts w:ascii="Times New Roman" w:hAnsi="Times New Roman" w:cs="Times New Roman"/>
          <w:sz w:val="28"/>
          <w:szCs w:val="22"/>
        </w:rPr>
        <w:t>(ii) Number of factory workers per lakh population;</w:t>
      </w:r>
    </w:p>
    <w:p w14:paraId="53825D70" w14:textId="77777777" w:rsidR="00A05C28" w:rsidRDefault="006423FD" w:rsidP="00A05C28">
      <w:pPr>
        <w:spacing w:after="0" w:line="300" w:lineRule="exact"/>
        <w:ind w:left="720"/>
        <w:jc w:val="both"/>
        <w:rPr>
          <w:rFonts w:ascii="Times New Roman" w:hAnsi="Times New Roman" w:cs="Times New Roman"/>
          <w:sz w:val="28"/>
          <w:szCs w:val="22"/>
        </w:rPr>
      </w:pPr>
      <w:r w:rsidRPr="00A05C28">
        <w:rPr>
          <w:rFonts w:ascii="Times New Roman" w:hAnsi="Times New Roman" w:cs="Times New Roman"/>
          <w:sz w:val="28"/>
          <w:szCs w:val="22"/>
        </w:rPr>
        <w:t>(iii) Net irrigated area per cultivator;(iv) Length of railways and surfaced</w:t>
      </w:r>
      <w:r w:rsidR="00A05C28">
        <w:rPr>
          <w:rFonts w:ascii="Times New Roman" w:hAnsi="Times New Roman" w:cs="Times New Roman"/>
          <w:sz w:val="28"/>
          <w:szCs w:val="22"/>
        </w:rPr>
        <w:t xml:space="preserve"> </w:t>
      </w:r>
      <w:r w:rsidRPr="00A05C28">
        <w:rPr>
          <w:rFonts w:ascii="Times New Roman" w:hAnsi="Times New Roman" w:cs="Times New Roman"/>
          <w:sz w:val="28"/>
          <w:szCs w:val="22"/>
        </w:rPr>
        <w:t>roads per 100 square kilometres;</w:t>
      </w:r>
    </w:p>
    <w:p w14:paraId="1B8501F0" w14:textId="77777777" w:rsidR="00A05C28" w:rsidRDefault="006423FD" w:rsidP="00A05C28">
      <w:pPr>
        <w:spacing w:after="0" w:line="300" w:lineRule="exact"/>
        <w:ind w:left="720"/>
        <w:jc w:val="both"/>
        <w:rPr>
          <w:rFonts w:ascii="Times New Roman" w:hAnsi="Times New Roman" w:cs="Times New Roman"/>
          <w:sz w:val="28"/>
          <w:szCs w:val="22"/>
        </w:rPr>
      </w:pPr>
      <w:r w:rsidRPr="00A05C28">
        <w:rPr>
          <w:rFonts w:ascii="Times New Roman" w:hAnsi="Times New Roman" w:cs="Times New Roman"/>
          <w:sz w:val="28"/>
          <w:szCs w:val="22"/>
        </w:rPr>
        <w:t>(v) Shortfall in number of school-going children as compared to those of school going age;</w:t>
      </w:r>
    </w:p>
    <w:p w14:paraId="1E1BD45E" w14:textId="0F145EC9" w:rsidR="006423FD" w:rsidRPr="00A05C28" w:rsidRDefault="006423FD" w:rsidP="00A05C28">
      <w:pPr>
        <w:spacing w:after="0" w:line="300" w:lineRule="exact"/>
        <w:ind w:left="720"/>
        <w:jc w:val="both"/>
        <w:rPr>
          <w:rFonts w:ascii="Times New Roman" w:hAnsi="Times New Roman" w:cs="Times New Roman"/>
          <w:sz w:val="28"/>
          <w:szCs w:val="22"/>
        </w:rPr>
      </w:pPr>
      <w:r w:rsidRPr="00A05C28">
        <w:rPr>
          <w:rFonts w:ascii="Times New Roman" w:hAnsi="Times New Roman" w:cs="Times New Roman"/>
          <w:sz w:val="28"/>
          <w:szCs w:val="22"/>
        </w:rPr>
        <w:t>(vi) Number of hospital beds per 1,000 population.</w:t>
      </w:r>
    </w:p>
    <w:p w14:paraId="57399896" w14:textId="2CBDC94E" w:rsidR="006423FD" w:rsidRPr="00A05C28" w:rsidRDefault="006423FD" w:rsidP="00A05C28">
      <w:pPr>
        <w:spacing w:line="300" w:lineRule="exact"/>
        <w:jc w:val="both"/>
        <w:rPr>
          <w:rFonts w:ascii="Times New Roman" w:hAnsi="Times New Roman" w:cs="Times New Roman"/>
          <w:sz w:val="28"/>
          <w:szCs w:val="22"/>
        </w:rPr>
      </w:pPr>
      <w:r w:rsidRPr="00A05C28">
        <w:rPr>
          <w:rFonts w:ascii="Times New Roman" w:hAnsi="Times New Roman" w:cs="Times New Roman"/>
          <w:sz w:val="28"/>
          <w:szCs w:val="22"/>
        </w:rPr>
        <w:t>On this basis, the percentage shares of each of the States out of the total States’ shares have been worked out, as indicated in the succeeding paragraph. In working out these shares, we used the inverse of indicators for items (ii), (iii), (iv) and (vi) above, after applying some moderation in the case of States where an indicator was less than one third or more than three times of the average for all the States, and combined them with equal weightage to each along with the remaining indicators.</w:t>
      </w:r>
    </w:p>
    <w:p w14:paraId="420DF6B1" w14:textId="7FC085E7" w:rsidR="006423FD" w:rsidRPr="007245B0" w:rsidRDefault="00C732B3" w:rsidP="00A05C28">
      <w:pPr>
        <w:pStyle w:val="Heading3"/>
      </w:pPr>
      <w:r w:rsidRPr="007245B0">
        <w:t>We, therefore, recommend that—</w:t>
      </w:r>
    </w:p>
    <w:p w14:paraId="66C85E63" w14:textId="77777777" w:rsidR="00C732B3" w:rsidRPr="00A05C28" w:rsidRDefault="00C732B3" w:rsidP="00A05C28">
      <w:pPr>
        <w:spacing w:line="300" w:lineRule="exact"/>
        <w:ind w:left="720"/>
        <w:jc w:val="both"/>
        <w:rPr>
          <w:rFonts w:ascii="Times New Roman" w:hAnsi="Times New Roman" w:cs="Times New Roman"/>
          <w:sz w:val="28"/>
          <w:szCs w:val="22"/>
        </w:rPr>
      </w:pPr>
      <w:r w:rsidRPr="00A05C28">
        <w:rPr>
          <w:rFonts w:ascii="Times New Roman" w:hAnsi="Times New Roman" w:cs="Times New Roman"/>
          <w:sz w:val="28"/>
          <w:szCs w:val="22"/>
        </w:rPr>
        <w:t>(a) during each of the years, 1969-70 to 1971-72 a sum equivalent to 20 (twenty) per cent of the net proceeds of Union duties of excise on all articles levied and collected in that year, excluding special excises, regulatory duties and duties and cesses levied under special Acts and earmarked for special purposes, should be paid out of the Consolidated Fund of India to the States;</w:t>
      </w:r>
    </w:p>
    <w:p w14:paraId="2FD9FB7E" w14:textId="77777777" w:rsidR="00C732B3" w:rsidRPr="00A05C28" w:rsidRDefault="00C732B3" w:rsidP="00A05C28">
      <w:pPr>
        <w:spacing w:line="300" w:lineRule="exact"/>
        <w:ind w:left="720"/>
        <w:jc w:val="both"/>
        <w:rPr>
          <w:rFonts w:ascii="Times New Roman" w:hAnsi="Times New Roman" w:cs="Times New Roman"/>
          <w:sz w:val="28"/>
          <w:szCs w:val="22"/>
        </w:rPr>
      </w:pPr>
      <w:r w:rsidRPr="00A05C28">
        <w:rPr>
          <w:rFonts w:ascii="Times New Roman" w:hAnsi="Times New Roman" w:cs="Times New Roman"/>
          <w:sz w:val="28"/>
          <w:szCs w:val="22"/>
        </w:rPr>
        <w:t>(b) during the years 1972-73 and 1973-74, a sum equivalent to 20 (twenty) per cent of the net proceeds of Union duties of excise on all articles levied and collected in the respective year, including special excises, but excluding regulatory duties and duties and cesses levied under special Acts and earmarked for special purposes, should be paid out of the Consolidated Fund of India to the States: and</w:t>
      </w:r>
    </w:p>
    <w:p w14:paraId="0B2666E8" w14:textId="7DFD88B3" w:rsidR="00C732B3" w:rsidRDefault="00C732B3" w:rsidP="00A05C28">
      <w:pPr>
        <w:spacing w:line="300" w:lineRule="exact"/>
        <w:ind w:left="720"/>
        <w:jc w:val="both"/>
        <w:rPr>
          <w:rFonts w:ascii="Times New Roman" w:hAnsi="Times New Roman" w:cs="Times New Roman"/>
          <w:sz w:val="28"/>
          <w:szCs w:val="22"/>
        </w:rPr>
      </w:pPr>
      <w:r w:rsidRPr="00A05C28">
        <w:rPr>
          <w:rFonts w:ascii="Times New Roman" w:hAnsi="Times New Roman" w:cs="Times New Roman"/>
          <w:sz w:val="28"/>
          <w:szCs w:val="22"/>
        </w:rPr>
        <w:t>(c) the distribution among the States of the sum payable to the States in respect of each financial year should be made on the basis of the following percentages :—</w:t>
      </w:r>
    </w:p>
    <w:p w14:paraId="6AC4BCC0" w14:textId="77777777" w:rsidR="00EE4415" w:rsidRPr="00A05C28" w:rsidRDefault="00EE4415" w:rsidP="00A05C28">
      <w:pPr>
        <w:spacing w:line="300" w:lineRule="exact"/>
        <w:ind w:left="720"/>
        <w:jc w:val="both"/>
        <w:rPr>
          <w:rFonts w:ascii="Times New Roman" w:hAnsi="Times New Roman" w:cs="Times New Roman"/>
          <w:sz w:val="28"/>
          <w:szCs w:val="22"/>
        </w:rPr>
      </w:pPr>
    </w:p>
    <w:tbl>
      <w:tblPr>
        <w:tblStyle w:val="TableGrid"/>
        <w:tblW w:w="0" w:type="auto"/>
        <w:jc w:val="center"/>
        <w:tblLook w:val="04A0" w:firstRow="1" w:lastRow="0" w:firstColumn="1" w:lastColumn="0" w:noHBand="0" w:noVBand="1"/>
      </w:tblPr>
      <w:tblGrid>
        <w:gridCol w:w="3094"/>
        <w:gridCol w:w="3522"/>
      </w:tblGrid>
      <w:tr w:rsidR="00C732B3" w:rsidRPr="00861600" w14:paraId="4C1307A3" w14:textId="77777777" w:rsidTr="00A05C28">
        <w:trPr>
          <w:trHeight w:val="350"/>
          <w:jc w:val="center"/>
        </w:trPr>
        <w:tc>
          <w:tcPr>
            <w:tcW w:w="3094" w:type="dxa"/>
            <w:hideMark/>
          </w:tcPr>
          <w:p w14:paraId="711041D0" w14:textId="77777777" w:rsidR="00C732B3" w:rsidRPr="00861600" w:rsidRDefault="00C732B3" w:rsidP="00976FE1">
            <w:pPr>
              <w:pStyle w:val="NoSpacing"/>
              <w:rPr>
                <w:rFonts w:ascii="Times New Roman" w:hAnsi="Times New Roman" w:cs="Times New Roman"/>
                <w:b/>
                <w:bCs/>
                <w:szCs w:val="24"/>
              </w:rPr>
            </w:pPr>
            <w:r w:rsidRPr="00861600">
              <w:rPr>
                <w:rFonts w:ascii="Times New Roman" w:hAnsi="Times New Roman" w:cs="Times New Roman"/>
                <w:b/>
                <w:bCs/>
                <w:szCs w:val="24"/>
              </w:rPr>
              <w:lastRenderedPageBreak/>
              <w:t>State</w:t>
            </w:r>
          </w:p>
        </w:tc>
        <w:tc>
          <w:tcPr>
            <w:tcW w:w="3522" w:type="dxa"/>
            <w:hideMark/>
          </w:tcPr>
          <w:p w14:paraId="17B9C04D" w14:textId="77777777" w:rsidR="00C732B3" w:rsidRPr="00861600" w:rsidRDefault="00C732B3" w:rsidP="00861600">
            <w:pPr>
              <w:pStyle w:val="NoSpacing"/>
              <w:jc w:val="center"/>
              <w:rPr>
                <w:rFonts w:ascii="Times New Roman" w:hAnsi="Times New Roman" w:cs="Times New Roman"/>
                <w:b/>
                <w:bCs/>
                <w:szCs w:val="24"/>
              </w:rPr>
            </w:pPr>
            <w:r w:rsidRPr="00861600">
              <w:rPr>
                <w:rFonts w:ascii="Times New Roman" w:hAnsi="Times New Roman" w:cs="Times New Roman"/>
                <w:b/>
                <w:bCs/>
                <w:szCs w:val="24"/>
              </w:rPr>
              <w:t>Percentage</w:t>
            </w:r>
          </w:p>
        </w:tc>
      </w:tr>
      <w:tr w:rsidR="00C732B3" w:rsidRPr="00861600" w14:paraId="32E1A26C" w14:textId="77777777" w:rsidTr="00A05C28">
        <w:trPr>
          <w:trHeight w:val="350"/>
          <w:jc w:val="center"/>
        </w:trPr>
        <w:tc>
          <w:tcPr>
            <w:tcW w:w="3094" w:type="dxa"/>
            <w:hideMark/>
          </w:tcPr>
          <w:p w14:paraId="1118E4DD" w14:textId="77777777" w:rsidR="00C732B3" w:rsidRPr="00861600" w:rsidRDefault="00C732B3" w:rsidP="00976FE1">
            <w:pPr>
              <w:pStyle w:val="NoSpacing"/>
              <w:rPr>
                <w:rFonts w:ascii="Times New Roman" w:hAnsi="Times New Roman" w:cs="Times New Roman"/>
                <w:szCs w:val="24"/>
              </w:rPr>
            </w:pPr>
            <w:r w:rsidRPr="00861600">
              <w:rPr>
                <w:rFonts w:ascii="Times New Roman" w:hAnsi="Times New Roman" w:cs="Times New Roman"/>
                <w:szCs w:val="24"/>
              </w:rPr>
              <w:t>Andhra Pradesh</w:t>
            </w:r>
          </w:p>
        </w:tc>
        <w:tc>
          <w:tcPr>
            <w:tcW w:w="3522" w:type="dxa"/>
            <w:hideMark/>
          </w:tcPr>
          <w:p w14:paraId="0310B44D" w14:textId="77777777" w:rsidR="00C732B3" w:rsidRPr="00861600" w:rsidRDefault="00C732B3" w:rsidP="00861600">
            <w:pPr>
              <w:pStyle w:val="NoSpacing"/>
              <w:jc w:val="center"/>
              <w:rPr>
                <w:rFonts w:ascii="Times New Roman" w:hAnsi="Times New Roman" w:cs="Times New Roman"/>
                <w:szCs w:val="24"/>
              </w:rPr>
            </w:pPr>
            <w:r w:rsidRPr="00861600">
              <w:rPr>
                <w:rFonts w:ascii="Times New Roman" w:hAnsi="Times New Roman" w:cs="Times New Roman"/>
                <w:szCs w:val="24"/>
              </w:rPr>
              <w:t>7.15</w:t>
            </w:r>
          </w:p>
        </w:tc>
      </w:tr>
      <w:tr w:rsidR="00C732B3" w:rsidRPr="00861600" w14:paraId="3ED2C5C8" w14:textId="77777777" w:rsidTr="00A05C28">
        <w:trPr>
          <w:trHeight w:val="350"/>
          <w:jc w:val="center"/>
        </w:trPr>
        <w:tc>
          <w:tcPr>
            <w:tcW w:w="3094" w:type="dxa"/>
            <w:hideMark/>
          </w:tcPr>
          <w:p w14:paraId="1520E8C6" w14:textId="77777777" w:rsidR="00C732B3" w:rsidRPr="00861600" w:rsidRDefault="00C732B3" w:rsidP="00976FE1">
            <w:pPr>
              <w:pStyle w:val="NoSpacing"/>
              <w:rPr>
                <w:rFonts w:ascii="Times New Roman" w:hAnsi="Times New Roman" w:cs="Times New Roman"/>
                <w:szCs w:val="24"/>
              </w:rPr>
            </w:pPr>
            <w:r w:rsidRPr="00861600">
              <w:rPr>
                <w:rFonts w:ascii="Times New Roman" w:hAnsi="Times New Roman" w:cs="Times New Roman"/>
                <w:szCs w:val="24"/>
              </w:rPr>
              <w:t>Assam</w:t>
            </w:r>
          </w:p>
        </w:tc>
        <w:tc>
          <w:tcPr>
            <w:tcW w:w="3522" w:type="dxa"/>
            <w:hideMark/>
          </w:tcPr>
          <w:p w14:paraId="2A8EAEC0" w14:textId="77777777" w:rsidR="00C732B3" w:rsidRPr="00861600" w:rsidRDefault="00C732B3" w:rsidP="00861600">
            <w:pPr>
              <w:pStyle w:val="NoSpacing"/>
              <w:jc w:val="center"/>
              <w:rPr>
                <w:rFonts w:ascii="Times New Roman" w:hAnsi="Times New Roman" w:cs="Times New Roman"/>
                <w:szCs w:val="24"/>
              </w:rPr>
            </w:pPr>
            <w:r w:rsidRPr="00861600">
              <w:rPr>
                <w:rFonts w:ascii="Times New Roman" w:hAnsi="Times New Roman" w:cs="Times New Roman"/>
                <w:szCs w:val="24"/>
              </w:rPr>
              <w:t>2.51</w:t>
            </w:r>
          </w:p>
        </w:tc>
      </w:tr>
      <w:tr w:rsidR="00C732B3" w:rsidRPr="00861600" w14:paraId="2EB844C4" w14:textId="77777777" w:rsidTr="00A05C28">
        <w:trPr>
          <w:trHeight w:val="339"/>
          <w:jc w:val="center"/>
        </w:trPr>
        <w:tc>
          <w:tcPr>
            <w:tcW w:w="3094" w:type="dxa"/>
            <w:hideMark/>
          </w:tcPr>
          <w:p w14:paraId="36FA4ED1" w14:textId="77777777" w:rsidR="00C732B3" w:rsidRPr="00861600" w:rsidRDefault="00C732B3" w:rsidP="00976FE1">
            <w:pPr>
              <w:pStyle w:val="NoSpacing"/>
              <w:rPr>
                <w:rFonts w:ascii="Times New Roman" w:hAnsi="Times New Roman" w:cs="Times New Roman"/>
                <w:szCs w:val="24"/>
              </w:rPr>
            </w:pPr>
            <w:r w:rsidRPr="00861600">
              <w:rPr>
                <w:rFonts w:ascii="Times New Roman" w:hAnsi="Times New Roman" w:cs="Times New Roman"/>
                <w:szCs w:val="24"/>
              </w:rPr>
              <w:t>Bihar</w:t>
            </w:r>
          </w:p>
        </w:tc>
        <w:tc>
          <w:tcPr>
            <w:tcW w:w="3522" w:type="dxa"/>
            <w:hideMark/>
          </w:tcPr>
          <w:p w14:paraId="3BAE7481" w14:textId="77777777" w:rsidR="00C732B3" w:rsidRPr="00861600" w:rsidRDefault="00C732B3" w:rsidP="00861600">
            <w:pPr>
              <w:pStyle w:val="NoSpacing"/>
              <w:jc w:val="center"/>
              <w:rPr>
                <w:rFonts w:ascii="Times New Roman" w:hAnsi="Times New Roman" w:cs="Times New Roman"/>
                <w:szCs w:val="24"/>
              </w:rPr>
            </w:pPr>
            <w:r w:rsidRPr="00861600">
              <w:rPr>
                <w:rFonts w:ascii="Times New Roman" w:hAnsi="Times New Roman" w:cs="Times New Roman"/>
                <w:szCs w:val="24"/>
              </w:rPr>
              <w:t>13.81</w:t>
            </w:r>
          </w:p>
        </w:tc>
      </w:tr>
      <w:tr w:rsidR="00C732B3" w:rsidRPr="00861600" w14:paraId="754D3379" w14:textId="77777777" w:rsidTr="00A05C28">
        <w:trPr>
          <w:trHeight w:val="350"/>
          <w:jc w:val="center"/>
        </w:trPr>
        <w:tc>
          <w:tcPr>
            <w:tcW w:w="3094" w:type="dxa"/>
            <w:hideMark/>
          </w:tcPr>
          <w:p w14:paraId="6E32ED1D" w14:textId="77777777" w:rsidR="00C732B3" w:rsidRPr="00861600" w:rsidRDefault="00C732B3" w:rsidP="00976FE1">
            <w:pPr>
              <w:pStyle w:val="NoSpacing"/>
              <w:rPr>
                <w:rFonts w:ascii="Times New Roman" w:hAnsi="Times New Roman" w:cs="Times New Roman"/>
                <w:szCs w:val="24"/>
              </w:rPr>
            </w:pPr>
            <w:r w:rsidRPr="00861600">
              <w:rPr>
                <w:rFonts w:ascii="Times New Roman" w:hAnsi="Times New Roman" w:cs="Times New Roman"/>
                <w:szCs w:val="24"/>
              </w:rPr>
              <w:t>Gujarat</w:t>
            </w:r>
          </w:p>
        </w:tc>
        <w:tc>
          <w:tcPr>
            <w:tcW w:w="3522" w:type="dxa"/>
            <w:hideMark/>
          </w:tcPr>
          <w:p w14:paraId="32BF708A" w14:textId="77777777" w:rsidR="00C732B3" w:rsidRPr="00861600" w:rsidRDefault="00C732B3" w:rsidP="00861600">
            <w:pPr>
              <w:pStyle w:val="NoSpacing"/>
              <w:jc w:val="center"/>
              <w:rPr>
                <w:rFonts w:ascii="Times New Roman" w:hAnsi="Times New Roman" w:cs="Times New Roman"/>
                <w:szCs w:val="24"/>
              </w:rPr>
            </w:pPr>
            <w:r w:rsidRPr="00861600">
              <w:rPr>
                <w:rFonts w:ascii="Times New Roman" w:hAnsi="Times New Roman" w:cs="Times New Roman"/>
                <w:szCs w:val="24"/>
              </w:rPr>
              <w:t>4.17</w:t>
            </w:r>
          </w:p>
        </w:tc>
      </w:tr>
      <w:tr w:rsidR="00C732B3" w:rsidRPr="00861600" w14:paraId="7CC7CF09" w14:textId="77777777" w:rsidTr="00A05C28">
        <w:trPr>
          <w:trHeight w:val="339"/>
          <w:jc w:val="center"/>
        </w:trPr>
        <w:tc>
          <w:tcPr>
            <w:tcW w:w="3094" w:type="dxa"/>
            <w:hideMark/>
          </w:tcPr>
          <w:p w14:paraId="2DBCA4E4" w14:textId="77777777" w:rsidR="00C732B3" w:rsidRPr="00861600" w:rsidRDefault="00C732B3" w:rsidP="00976FE1">
            <w:pPr>
              <w:pStyle w:val="NoSpacing"/>
              <w:rPr>
                <w:rFonts w:ascii="Times New Roman" w:hAnsi="Times New Roman" w:cs="Times New Roman"/>
                <w:szCs w:val="24"/>
              </w:rPr>
            </w:pPr>
            <w:r w:rsidRPr="00861600">
              <w:rPr>
                <w:rFonts w:ascii="Times New Roman" w:hAnsi="Times New Roman" w:cs="Times New Roman"/>
                <w:szCs w:val="24"/>
              </w:rPr>
              <w:t>Haryana</w:t>
            </w:r>
          </w:p>
        </w:tc>
        <w:tc>
          <w:tcPr>
            <w:tcW w:w="3522" w:type="dxa"/>
            <w:hideMark/>
          </w:tcPr>
          <w:p w14:paraId="390E8317" w14:textId="77777777" w:rsidR="00C732B3" w:rsidRPr="00861600" w:rsidRDefault="00C732B3" w:rsidP="00861600">
            <w:pPr>
              <w:pStyle w:val="NoSpacing"/>
              <w:jc w:val="center"/>
              <w:rPr>
                <w:rFonts w:ascii="Times New Roman" w:hAnsi="Times New Roman" w:cs="Times New Roman"/>
                <w:szCs w:val="24"/>
              </w:rPr>
            </w:pPr>
            <w:r w:rsidRPr="00861600">
              <w:rPr>
                <w:rFonts w:ascii="Times New Roman" w:hAnsi="Times New Roman" w:cs="Times New Roman"/>
                <w:szCs w:val="24"/>
              </w:rPr>
              <w:t>1.49</w:t>
            </w:r>
          </w:p>
        </w:tc>
      </w:tr>
      <w:tr w:rsidR="00C732B3" w:rsidRPr="00861600" w14:paraId="129C54E8" w14:textId="77777777" w:rsidTr="00A05C28">
        <w:trPr>
          <w:trHeight w:val="350"/>
          <w:jc w:val="center"/>
        </w:trPr>
        <w:tc>
          <w:tcPr>
            <w:tcW w:w="3094" w:type="dxa"/>
            <w:hideMark/>
          </w:tcPr>
          <w:p w14:paraId="185E89A1" w14:textId="77777777" w:rsidR="00C732B3" w:rsidRPr="00861600" w:rsidRDefault="00C732B3" w:rsidP="00976FE1">
            <w:pPr>
              <w:pStyle w:val="NoSpacing"/>
              <w:rPr>
                <w:rFonts w:ascii="Times New Roman" w:hAnsi="Times New Roman" w:cs="Times New Roman"/>
                <w:szCs w:val="24"/>
              </w:rPr>
            </w:pPr>
            <w:r w:rsidRPr="00861600">
              <w:rPr>
                <w:rFonts w:ascii="Times New Roman" w:hAnsi="Times New Roman" w:cs="Times New Roman"/>
                <w:szCs w:val="24"/>
              </w:rPr>
              <w:t>Jammu &amp; Kashmir</w:t>
            </w:r>
          </w:p>
        </w:tc>
        <w:tc>
          <w:tcPr>
            <w:tcW w:w="3522" w:type="dxa"/>
            <w:hideMark/>
          </w:tcPr>
          <w:p w14:paraId="7DD2949D" w14:textId="77777777" w:rsidR="00C732B3" w:rsidRPr="00861600" w:rsidRDefault="00C732B3" w:rsidP="00861600">
            <w:pPr>
              <w:pStyle w:val="NoSpacing"/>
              <w:jc w:val="center"/>
              <w:rPr>
                <w:rFonts w:ascii="Times New Roman" w:hAnsi="Times New Roman" w:cs="Times New Roman"/>
                <w:szCs w:val="24"/>
              </w:rPr>
            </w:pPr>
            <w:r w:rsidRPr="00861600">
              <w:rPr>
                <w:rFonts w:ascii="Times New Roman" w:hAnsi="Times New Roman" w:cs="Times New Roman"/>
                <w:szCs w:val="24"/>
              </w:rPr>
              <w:t>1.12</w:t>
            </w:r>
          </w:p>
        </w:tc>
      </w:tr>
      <w:tr w:rsidR="00C732B3" w:rsidRPr="00861600" w14:paraId="56BDC5F3" w14:textId="77777777" w:rsidTr="00A05C28">
        <w:trPr>
          <w:trHeight w:val="350"/>
          <w:jc w:val="center"/>
        </w:trPr>
        <w:tc>
          <w:tcPr>
            <w:tcW w:w="3094" w:type="dxa"/>
            <w:hideMark/>
          </w:tcPr>
          <w:p w14:paraId="12720427" w14:textId="77777777" w:rsidR="00C732B3" w:rsidRPr="00861600" w:rsidRDefault="00C732B3" w:rsidP="00976FE1">
            <w:pPr>
              <w:pStyle w:val="NoSpacing"/>
              <w:rPr>
                <w:rFonts w:ascii="Times New Roman" w:hAnsi="Times New Roman" w:cs="Times New Roman"/>
                <w:szCs w:val="24"/>
              </w:rPr>
            </w:pPr>
            <w:r w:rsidRPr="00861600">
              <w:rPr>
                <w:rFonts w:ascii="Times New Roman" w:hAnsi="Times New Roman" w:cs="Times New Roman"/>
                <w:szCs w:val="24"/>
              </w:rPr>
              <w:t>Kerala</w:t>
            </w:r>
          </w:p>
        </w:tc>
        <w:tc>
          <w:tcPr>
            <w:tcW w:w="3522" w:type="dxa"/>
            <w:hideMark/>
          </w:tcPr>
          <w:p w14:paraId="3B1604AA" w14:textId="77777777" w:rsidR="00C732B3" w:rsidRPr="00861600" w:rsidRDefault="00C732B3" w:rsidP="00861600">
            <w:pPr>
              <w:pStyle w:val="NoSpacing"/>
              <w:jc w:val="center"/>
              <w:rPr>
                <w:rFonts w:ascii="Times New Roman" w:hAnsi="Times New Roman" w:cs="Times New Roman"/>
                <w:szCs w:val="24"/>
              </w:rPr>
            </w:pPr>
            <w:r w:rsidRPr="00861600">
              <w:rPr>
                <w:rFonts w:ascii="Times New Roman" w:hAnsi="Times New Roman" w:cs="Times New Roman"/>
                <w:szCs w:val="24"/>
              </w:rPr>
              <w:t>4.28</w:t>
            </w:r>
          </w:p>
        </w:tc>
      </w:tr>
      <w:tr w:rsidR="00C732B3" w:rsidRPr="00861600" w14:paraId="325DC521" w14:textId="77777777" w:rsidTr="00A05C28">
        <w:trPr>
          <w:trHeight w:val="339"/>
          <w:jc w:val="center"/>
        </w:trPr>
        <w:tc>
          <w:tcPr>
            <w:tcW w:w="3094" w:type="dxa"/>
            <w:hideMark/>
          </w:tcPr>
          <w:p w14:paraId="495FCD19" w14:textId="77777777" w:rsidR="00C732B3" w:rsidRPr="00861600" w:rsidRDefault="00C732B3" w:rsidP="00976FE1">
            <w:pPr>
              <w:pStyle w:val="NoSpacing"/>
              <w:rPr>
                <w:rFonts w:ascii="Times New Roman" w:hAnsi="Times New Roman" w:cs="Times New Roman"/>
                <w:szCs w:val="24"/>
              </w:rPr>
            </w:pPr>
            <w:r w:rsidRPr="00861600">
              <w:rPr>
                <w:rFonts w:ascii="Times New Roman" w:hAnsi="Times New Roman" w:cs="Times New Roman"/>
                <w:szCs w:val="24"/>
              </w:rPr>
              <w:t>Madhya Pradesh</w:t>
            </w:r>
          </w:p>
        </w:tc>
        <w:tc>
          <w:tcPr>
            <w:tcW w:w="3522" w:type="dxa"/>
            <w:hideMark/>
          </w:tcPr>
          <w:p w14:paraId="7B4C1F68" w14:textId="77777777" w:rsidR="00C732B3" w:rsidRPr="00861600" w:rsidRDefault="00C732B3" w:rsidP="00861600">
            <w:pPr>
              <w:pStyle w:val="NoSpacing"/>
              <w:jc w:val="center"/>
              <w:rPr>
                <w:rFonts w:ascii="Times New Roman" w:hAnsi="Times New Roman" w:cs="Times New Roman"/>
                <w:szCs w:val="24"/>
              </w:rPr>
            </w:pPr>
            <w:r w:rsidRPr="00861600">
              <w:rPr>
                <w:rFonts w:ascii="Times New Roman" w:hAnsi="Times New Roman" w:cs="Times New Roman"/>
                <w:szCs w:val="24"/>
              </w:rPr>
              <w:t>8.48</w:t>
            </w:r>
          </w:p>
        </w:tc>
      </w:tr>
      <w:tr w:rsidR="00C732B3" w:rsidRPr="00861600" w14:paraId="3DC92692" w14:textId="77777777" w:rsidTr="00A05C28">
        <w:trPr>
          <w:trHeight w:val="350"/>
          <w:jc w:val="center"/>
        </w:trPr>
        <w:tc>
          <w:tcPr>
            <w:tcW w:w="3094" w:type="dxa"/>
            <w:hideMark/>
          </w:tcPr>
          <w:p w14:paraId="52604FA4" w14:textId="77777777" w:rsidR="00C732B3" w:rsidRPr="00861600" w:rsidRDefault="00C732B3" w:rsidP="00976FE1">
            <w:pPr>
              <w:pStyle w:val="NoSpacing"/>
              <w:rPr>
                <w:rFonts w:ascii="Times New Roman" w:hAnsi="Times New Roman" w:cs="Times New Roman"/>
                <w:szCs w:val="24"/>
              </w:rPr>
            </w:pPr>
            <w:r w:rsidRPr="00861600">
              <w:rPr>
                <w:rFonts w:ascii="Times New Roman" w:hAnsi="Times New Roman" w:cs="Times New Roman"/>
                <w:szCs w:val="24"/>
              </w:rPr>
              <w:t>Maharashtra</w:t>
            </w:r>
          </w:p>
        </w:tc>
        <w:tc>
          <w:tcPr>
            <w:tcW w:w="3522" w:type="dxa"/>
            <w:hideMark/>
          </w:tcPr>
          <w:p w14:paraId="53DC1973" w14:textId="77777777" w:rsidR="00C732B3" w:rsidRPr="00861600" w:rsidRDefault="00C732B3" w:rsidP="00861600">
            <w:pPr>
              <w:pStyle w:val="NoSpacing"/>
              <w:jc w:val="center"/>
              <w:rPr>
                <w:rFonts w:ascii="Times New Roman" w:hAnsi="Times New Roman" w:cs="Times New Roman"/>
                <w:szCs w:val="24"/>
              </w:rPr>
            </w:pPr>
            <w:r w:rsidRPr="00861600">
              <w:rPr>
                <w:rFonts w:ascii="Times New Roman" w:hAnsi="Times New Roman" w:cs="Times New Roman"/>
                <w:szCs w:val="24"/>
              </w:rPr>
              <w:t>7.93</w:t>
            </w:r>
          </w:p>
        </w:tc>
      </w:tr>
      <w:tr w:rsidR="00C732B3" w:rsidRPr="00861600" w14:paraId="0A8795BE" w14:textId="77777777" w:rsidTr="00A05C28">
        <w:trPr>
          <w:trHeight w:val="350"/>
          <w:jc w:val="center"/>
        </w:trPr>
        <w:tc>
          <w:tcPr>
            <w:tcW w:w="3094" w:type="dxa"/>
            <w:hideMark/>
          </w:tcPr>
          <w:p w14:paraId="68D9880D" w14:textId="77777777" w:rsidR="00C732B3" w:rsidRPr="00861600" w:rsidRDefault="00C732B3" w:rsidP="00976FE1">
            <w:pPr>
              <w:pStyle w:val="NoSpacing"/>
              <w:rPr>
                <w:rFonts w:ascii="Times New Roman" w:hAnsi="Times New Roman" w:cs="Times New Roman"/>
                <w:szCs w:val="24"/>
              </w:rPr>
            </w:pPr>
            <w:r w:rsidRPr="00861600">
              <w:rPr>
                <w:rFonts w:ascii="Times New Roman" w:hAnsi="Times New Roman" w:cs="Times New Roman"/>
                <w:szCs w:val="24"/>
              </w:rPr>
              <w:t>Mysore</w:t>
            </w:r>
          </w:p>
        </w:tc>
        <w:tc>
          <w:tcPr>
            <w:tcW w:w="3522" w:type="dxa"/>
            <w:hideMark/>
          </w:tcPr>
          <w:p w14:paraId="7C4552D4" w14:textId="77777777" w:rsidR="00C732B3" w:rsidRPr="00861600" w:rsidRDefault="00C732B3" w:rsidP="00861600">
            <w:pPr>
              <w:pStyle w:val="NoSpacing"/>
              <w:jc w:val="center"/>
              <w:rPr>
                <w:rFonts w:ascii="Times New Roman" w:hAnsi="Times New Roman" w:cs="Times New Roman"/>
                <w:szCs w:val="24"/>
              </w:rPr>
            </w:pPr>
            <w:r w:rsidRPr="00861600">
              <w:rPr>
                <w:rFonts w:ascii="Times New Roman" w:hAnsi="Times New Roman" w:cs="Times New Roman"/>
                <w:szCs w:val="24"/>
              </w:rPr>
              <w:t>4.65</w:t>
            </w:r>
          </w:p>
        </w:tc>
      </w:tr>
      <w:tr w:rsidR="00C732B3" w:rsidRPr="00861600" w14:paraId="195ADD1E" w14:textId="77777777" w:rsidTr="00A05C28">
        <w:trPr>
          <w:trHeight w:val="350"/>
          <w:jc w:val="center"/>
        </w:trPr>
        <w:tc>
          <w:tcPr>
            <w:tcW w:w="3094" w:type="dxa"/>
            <w:hideMark/>
          </w:tcPr>
          <w:p w14:paraId="0E883DEB" w14:textId="77777777" w:rsidR="00C732B3" w:rsidRPr="00861600" w:rsidRDefault="00C732B3" w:rsidP="00976FE1">
            <w:pPr>
              <w:pStyle w:val="NoSpacing"/>
              <w:rPr>
                <w:rFonts w:ascii="Times New Roman" w:hAnsi="Times New Roman" w:cs="Times New Roman"/>
                <w:szCs w:val="24"/>
              </w:rPr>
            </w:pPr>
            <w:r w:rsidRPr="00861600">
              <w:rPr>
                <w:rFonts w:ascii="Times New Roman" w:hAnsi="Times New Roman" w:cs="Times New Roman"/>
                <w:szCs w:val="24"/>
              </w:rPr>
              <w:t>Nagaland</w:t>
            </w:r>
          </w:p>
        </w:tc>
        <w:tc>
          <w:tcPr>
            <w:tcW w:w="3522" w:type="dxa"/>
            <w:hideMark/>
          </w:tcPr>
          <w:p w14:paraId="1BBC1413" w14:textId="77777777" w:rsidR="00C732B3" w:rsidRPr="00861600" w:rsidRDefault="00C732B3" w:rsidP="00861600">
            <w:pPr>
              <w:pStyle w:val="NoSpacing"/>
              <w:jc w:val="center"/>
              <w:rPr>
                <w:rFonts w:ascii="Times New Roman" w:hAnsi="Times New Roman" w:cs="Times New Roman"/>
                <w:szCs w:val="24"/>
              </w:rPr>
            </w:pPr>
            <w:r w:rsidRPr="00861600">
              <w:rPr>
                <w:rFonts w:ascii="Times New Roman" w:hAnsi="Times New Roman" w:cs="Times New Roman"/>
                <w:szCs w:val="24"/>
              </w:rPr>
              <w:t>0.08</w:t>
            </w:r>
          </w:p>
        </w:tc>
      </w:tr>
      <w:tr w:rsidR="00C732B3" w:rsidRPr="00861600" w14:paraId="445F57F7" w14:textId="77777777" w:rsidTr="00A05C28">
        <w:trPr>
          <w:trHeight w:val="350"/>
          <w:jc w:val="center"/>
        </w:trPr>
        <w:tc>
          <w:tcPr>
            <w:tcW w:w="3094" w:type="dxa"/>
            <w:hideMark/>
          </w:tcPr>
          <w:p w14:paraId="4DE194ED" w14:textId="77777777" w:rsidR="00C732B3" w:rsidRPr="00861600" w:rsidRDefault="00C732B3" w:rsidP="00976FE1">
            <w:pPr>
              <w:pStyle w:val="NoSpacing"/>
              <w:rPr>
                <w:rFonts w:ascii="Times New Roman" w:hAnsi="Times New Roman" w:cs="Times New Roman"/>
                <w:szCs w:val="24"/>
              </w:rPr>
            </w:pPr>
            <w:r w:rsidRPr="00861600">
              <w:rPr>
                <w:rFonts w:ascii="Times New Roman" w:hAnsi="Times New Roman" w:cs="Times New Roman"/>
                <w:szCs w:val="24"/>
              </w:rPr>
              <w:t>Orissa</w:t>
            </w:r>
          </w:p>
        </w:tc>
        <w:tc>
          <w:tcPr>
            <w:tcW w:w="3522" w:type="dxa"/>
            <w:hideMark/>
          </w:tcPr>
          <w:p w14:paraId="621B1772" w14:textId="77777777" w:rsidR="00C732B3" w:rsidRPr="00861600" w:rsidRDefault="00C732B3" w:rsidP="00861600">
            <w:pPr>
              <w:pStyle w:val="NoSpacing"/>
              <w:jc w:val="center"/>
              <w:rPr>
                <w:rFonts w:ascii="Times New Roman" w:hAnsi="Times New Roman" w:cs="Times New Roman"/>
                <w:szCs w:val="24"/>
              </w:rPr>
            </w:pPr>
            <w:r w:rsidRPr="00861600">
              <w:rPr>
                <w:rFonts w:ascii="Times New Roman" w:hAnsi="Times New Roman" w:cs="Times New Roman"/>
                <w:szCs w:val="24"/>
              </w:rPr>
              <w:t>4.72</w:t>
            </w:r>
          </w:p>
        </w:tc>
      </w:tr>
      <w:tr w:rsidR="00C732B3" w:rsidRPr="00861600" w14:paraId="392CCBFA" w14:textId="77777777" w:rsidTr="00A05C28">
        <w:trPr>
          <w:trHeight w:val="350"/>
          <w:jc w:val="center"/>
        </w:trPr>
        <w:tc>
          <w:tcPr>
            <w:tcW w:w="3094" w:type="dxa"/>
            <w:hideMark/>
          </w:tcPr>
          <w:p w14:paraId="18BE799F" w14:textId="77777777" w:rsidR="00C732B3" w:rsidRPr="00861600" w:rsidRDefault="00C732B3" w:rsidP="00976FE1">
            <w:pPr>
              <w:pStyle w:val="NoSpacing"/>
              <w:rPr>
                <w:rFonts w:ascii="Times New Roman" w:hAnsi="Times New Roman" w:cs="Times New Roman"/>
                <w:szCs w:val="24"/>
              </w:rPr>
            </w:pPr>
            <w:r w:rsidRPr="00861600">
              <w:rPr>
                <w:rFonts w:ascii="Times New Roman" w:hAnsi="Times New Roman" w:cs="Times New Roman"/>
                <w:szCs w:val="24"/>
              </w:rPr>
              <w:t>Punjab</w:t>
            </w:r>
          </w:p>
        </w:tc>
        <w:tc>
          <w:tcPr>
            <w:tcW w:w="3522" w:type="dxa"/>
            <w:hideMark/>
          </w:tcPr>
          <w:p w14:paraId="5E4C88E6" w14:textId="77777777" w:rsidR="00C732B3" w:rsidRPr="00861600" w:rsidRDefault="00C732B3" w:rsidP="00861600">
            <w:pPr>
              <w:pStyle w:val="NoSpacing"/>
              <w:jc w:val="center"/>
              <w:rPr>
                <w:rFonts w:ascii="Times New Roman" w:hAnsi="Times New Roman" w:cs="Times New Roman"/>
                <w:szCs w:val="24"/>
              </w:rPr>
            </w:pPr>
            <w:r w:rsidRPr="00861600">
              <w:rPr>
                <w:rFonts w:ascii="Times New Roman" w:hAnsi="Times New Roman" w:cs="Times New Roman"/>
                <w:szCs w:val="24"/>
              </w:rPr>
              <w:t>2.17</w:t>
            </w:r>
          </w:p>
        </w:tc>
      </w:tr>
      <w:tr w:rsidR="00C732B3" w:rsidRPr="00861600" w14:paraId="211074DC" w14:textId="77777777" w:rsidTr="00A05C28">
        <w:trPr>
          <w:trHeight w:val="350"/>
          <w:jc w:val="center"/>
        </w:trPr>
        <w:tc>
          <w:tcPr>
            <w:tcW w:w="3094" w:type="dxa"/>
            <w:hideMark/>
          </w:tcPr>
          <w:p w14:paraId="069A094B" w14:textId="77777777" w:rsidR="00C732B3" w:rsidRPr="00861600" w:rsidRDefault="00C732B3" w:rsidP="00976FE1">
            <w:pPr>
              <w:pStyle w:val="NoSpacing"/>
              <w:rPr>
                <w:rFonts w:ascii="Times New Roman" w:hAnsi="Times New Roman" w:cs="Times New Roman"/>
                <w:szCs w:val="24"/>
              </w:rPr>
            </w:pPr>
            <w:r w:rsidRPr="00861600">
              <w:rPr>
                <w:rFonts w:ascii="Times New Roman" w:hAnsi="Times New Roman" w:cs="Times New Roman"/>
                <w:szCs w:val="24"/>
              </w:rPr>
              <w:t>Rajasthan</w:t>
            </w:r>
          </w:p>
        </w:tc>
        <w:tc>
          <w:tcPr>
            <w:tcW w:w="3522" w:type="dxa"/>
            <w:hideMark/>
          </w:tcPr>
          <w:p w14:paraId="5E63430F" w14:textId="77777777" w:rsidR="00C732B3" w:rsidRPr="00861600" w:rsidRDefault="00C732B3" w:rsidP="00861600">
            <w:pPr>
              <w:pStyle w:val="NoSpacing"/>
              <w:jc w:val="center"/>
              <w:rPr>
                <w:rFonts w:ascii="Times New Roman" w:hAnsi="Times New Roman" w:cs="Times New Roman"/>
                <w:szCs w:val="24"/>
              </w:rPr>
            </w:pPr>
            <w:r w:rsidRPr="00861600">
              <w:rPr>
                <w:rFonts w:ascii="Times New Roman" w:hAnsi="Times New Roman" w:cs="Times New Roman"/>
                <w:szCs w:val="24"/>
              </w:rPr>
              <w:t>5.28</w:t>
            </w:r>
          </w:p>
        </w:tc>
      </w:tr>
      <w:tr w:rsidR="00C732B3" w:rsidRPr="00861600" w14:paraId="2166596B" w14:textId="77777777" w:rsidTr="00A05C28">
        <w:trPr>
          <w:trHeight w:val="339"/>
          <w:jc w:val="center"/>
        </w:trPr>
        <w:tc>
          <w:tcPr>
            <w:tcW w:w="3094" w:type="dxa"/>
            <w:hideMark/>
          </w:tcPr>
          <w:p w14:paraId="0F5FF0AB" w14:textId="77777777" w:rsidR="00C732B3" w:rsidRPr="00861600" w:rsidRDefault="00C732B3" w:rsidP="00976FE1">
            <w:pPr>
              <w:pStyle w:val="NoSpacing"/>
              <w:rPr>
                <w:rFonts w:ascii="Times New Roman" w:hAnsi="Times New Roman" w:cs="Times New Roman"/>
                <w:szCs w:val="24"/>
              </w:rPr>
            </w:pPr>
            <w:r w:rsidRPr="00861600">
              <w:rPr>
                <w:rFonts w:ascii="Times New Roman" w:hAnsi="Times New Roman" w:cs="Times New Roman"/>
                <w:szCs w:val="24"/>
              </w:rPr>
              <w:t>Tamil Nadu</w:t>
            </w:r>
          </w:p>
        </w:tc>
        <w:tc>
          <w:tcPr>
            <w:tcW w:w="3522" w:type="dxa"/>
            <w:hideMark/>
          </w:tcPr>
          <w:p w14:paraId="6EA0944E" w14:textId="77777777" w:rsidR="00C732B3" w:rsidRPr="00861600" w:rsidRDefault="00C732B3" w:rsidP="00861600">
            <w:pPr>
              <w:pStyle w:val="NoSpacing"/>
              <w:jc w:val="center"/>
              <w:rPr>
                <w:rFonts w:ascii="Times New Roman" w:hAnsi="Times New Roman" w:cs="Times New Roman"/>
                <w:szCs w:val="24"/>
              </w:rPr>
            </w:pPr>
            <w:r w:rsidRPr="00861600">
              <w:rPr>
                <w:rFonts w:ascii="Times New Roman" w:hAnsi="Times New Roman" w:cs="Times New Roman"/>
                <w:szCs w:val="24"/>
              </w:rPr>
              <w:t>6.50</w:t>
            </w:r>
          </w:p>
        </w:tc>
      </w:tr>
      <w:tr w:rsidR="00C732B3" w:rsidRPr="00861600" w14:paraId="525452C9" w14:textId="77777777" w:rsidTr="00A05C28">
        <w:trPr>
          <w:trHeight w:val="350"/>
          <w:jc w:val="center"/>
        </w:trPr>
        <w:tc>
          <w:tcPr>
            <w:tcW w:w="3094" w:type="dxa"/>
            <w:hideMark/>
          </w:tcPr>
          <w:p w14:paraId="6E8112B1" w14:textId="77777777" w:rsidR="00C732B3" w:rsidRPr="00861600" w:rsidRDefault="00C732B3" w:rsidP="00976FE1">
            <w:pPr>
              <w:pStyle w:val="NoSpacing"/>
              <w:rPr>
                <w:rFonts w:ascii="Times New Roman" w:hAnsi="Times New Roman" w:cs="Times New Roman"/>
                <w:szCs w:val="24"/>
              </w:rPr>
            </w:pPr>
            <w:r w:rsidRPr="00861600">
              <w:rPr>
                <w:rFonts w:ascii="Times New Roman" w:hAnsi="Times New Roman" w:cs="Times New Roman"/>
                <w:szCs w:val="24"/>
              </w:rPr>
              <w:t>Uttar Pradesh</w:t>
            </w:r>
          </w:p>
        </w:tc>
        <w:tc>
          <w:tcPr>
            <w:tcW w:w="3522" w:type="dxa"/>
            <w:hideMark/>
          </w:tcPr>
          <w:p w14:paraId="68B712AD" w14:textId="77777777" w:rsidR="00C732B3" w:rsidRPr="00861600" w:rsidRDefault="00C732B3" w:rsidP="00861600">
            <w:pPr>
              <w:pStyle w:val="NoSpacing"/>
              <w:jc w:val="center"/>
              <w:rPr>
                <w:rFonts w:ascii="Times New Roman" w:hAnsi="Times New Roman" w:cs="Times New Roman"/>
                <w:szCs w:val="24"/>
              </w:rPr>
            </w:pPr>
            <w:r w:rsidRPr="00861600">
              <w:rPr>
                <w:rFonts w:ascii="Times New Roman" w:hAnsi="Times New Roman" w:cs="Times New Roman"/>
                <w:szCs w:val="24"/>
              </w:rPr>
              <w:t>18.82</w:t>
            </w:r>
          </w:p>
        </w:tc>
      </w:tr>
      <w:tr w:rsidR="00C732B3" w:rsidRPr="00861600" w14:paraId="6E4514B6" w14:textId="77777777" w:rsidTr="00A05C28">
        <w:trPr>
          <w:trHeight w:val="339"/>
          <w:jc w:val="center"/>
        </w:trPr>
        <w:tc>
          <w:tcPr>
            <w:tcW w:w="3094" w:type="dxa"/>
            <w:hideMark/>
          </w:tcPr>
          <w:p w14:paraId="07F8BDFE" w14:textId="77777777" w:rsidR="00C732B3" w:rsidRPr="00861600" w:rsidRDefault="00C732B3" w:rsidP="00976FE1">
            <w:pPr>
              <w:pStyle w:val="NoSpacing"/>
              <w:rPr>
                <w:rFonts w:ascii="Times New Roman" w:hAnsi="Times New Roman" w:cs="Times New Roman"/>
                <w:szCs w:val="24"/>
              </w:rPr>
            </w:pPr>
            <w:r w:rsidRPr="00861600">
              <w:rPr>
                <w:rFonts w:ascii="Times New Roman" w:hAnsi="Times New Roman" w:cs="Times New Roman"/>
                <w:szCs w:val="24"/>
              </w:rPr>
              <w:t>West Bengal</w:t>
            </w:r>
          </w:p>
        </w:tc>
        <w:tc>
          <w:tcPr>
            <w:tcW w:w="3522" w:type="dxa"/>
            <w:hideMark/>
          </w:tcPr>
          <w:p w14:paraId="6C9D6BFF" w14:textId="77777777" w:rsidR="00C732B3" w:rsidRPr="00861600" w:rsidRDefault="00C732B3" w:rsidP="00861600">
            <w:pPr>
              <w:pStyle w:val="NoSpacing"/>
              <w:jc w:val="center"/>
              <w:rPr>
                <w:rFonts w:ascii="Times New Roman" w:hAnsi="Times New Roman" w:cs="Times New Roman"/>
                <w:szCs w:val="24"/>
              </w:rPr>
            </w:pPr>
            <w:r w:rsidRPr="00861600">
              <w:rPr>
                <w:rFonts w:ascii="Times New Roman" w:hAnsi="Times New Roman" w:cs="Times New Roman"/>
                <w:szCs w:val="24"/>
              </w:rPr>
              <w:t>6.84</w:t>
            </w:r>
          </w:p>
        </w:tc>
      </w:tr>
      <w:tr w:rsidR="00C732B3" w:rsidRPr="00861600" w14:paraId="5955CDB4" w14:textId="77777777" w:rsidTr="00A05C28">
        <w:trPr>
          <w:trHeight w:val="360"/>
          <w:jc w:val="center"/>
        </w:trPr>
        <w:tc>
          <w:tcPr>
            <w:tcW w:w="3094" w:type="dxa"/>
            <w:hideMark/>
          </w:tcPr>
          <w:p w14:paraId="6B388CB7" w14:textId="77777777" w:rsidR="00C732B3" w:rsidRPr="00861600" w:rsidRDefault="00C732B3" w:rsidP="00976FE1">
            <w:pPr>
              <w:pStyle w:val="NoSpacing"/>
              <w:rPr>
                <w:rFonts w:ascii="Times New Roman" w:hAnsi="Times New Roman" w:cs="Times New Roman"/>
                <w:szCs w:val="24"/>
              </w:rPr>
            </w:pPr>
            <w:r w:rsidRPr="00861600">
              <w:rPr>
                <w:rFonts w:ascii="Times New Roman" w:hAnsi="Times New Roman" w:cs="Times New Roman"/>
                <w:szCs w:val="24"/>
              </w:rPr>
              <w:t>TOTAL</w:t>
            </w:r>
          </w:p>
        </w:tc>
        <w:tc>
          <w:tcPr>
            <w:tcW w:w="3522" w:type="dxa"/>
            <w:hideMark/>
          </w:tcPr>
          <w:p w14:paraId="737B3965" w14:textId="77777777" w:rsidR="00C732B3" w:rsidRPr="00861600" w:rsidRDefault="00C732B3" w:rsidP="00861600">
            <w:pPr>
              <w:pStyle w:val="NoSpacing"/>
              <w:jc w:val="center"/>
              <w:rPr>
                <w:rFonts w:ascii="Times New Roman" w:hAnsi="Times New Roman" w:cs="Times New Roman"/>
                <w:szCs w:val="24"/>
              </w:rPr>
            </w:pPr>
            <w:r w:rsidRPr="00861600">
              <w:rPr>
                <w:rFonts w:ascii="Times New Roman" w:hAnsi="Times New Roman" w:cs="Times New Roman"/>
                <w:szCs w:val="24"/>
              </w:rPr>
              <w:t>100.00</w:t>
            </w:r>
          </w:p>
        </w:tc>
      </w:tr>
    </w:tbl>
    <w:p w14:paraId="6BB556DC" w14:textId="297F26E4" w:rsidR="00C732B3" w:rsidRPr="007245B0" w:rsidRDefault="00C732B3" w:rsidP="00976FE1">
      <w:pPr>
        <w:rPr>
          <w:rFonts w:ascii="Times New Roman" w:hAnsi="Times New Roman" w:cs="Times New Roman"/>
        </w:rPr>
      </w:pPr>
    </w:p>
    <w:p w14:paraId="0E03C2F0" w14:textId="77777777" w:rsidR="00C732B3" w:rsidRPr="007245B0" w:rsidRDefault="00C732B3" w:rsidP="00976FE1">
      <w:pPr>
        <w:rPr>
          <w:rFonts w:ascii="Times New Roman" w:hAnsi="Times New Roman" w:cs="Times New Roman"/>
        </w:rPr>
      </w:pPr>
      <w:r w:rsidRPr="007245B0">
        <w:rPr>
          <w:rFonts w:ascii="Times New Roman" w:hAnsi="Times New Roman" w:cs="Times New Roman"/>
        </w:rPr>
        <w:br w:type="page"/>
      </w:r>
    </w:p>
    <w:p w14:paraId="49791FBC" w14:textId="1536F40B" w:rsidR="00C732B3" w:rsidRPr="007245B0" w:rsidRDefault="003F3031" w:rsidP="007C11A0">
      <w:pPr>
        <w:pStyle w:val="Heading1"/>
      </w:pPr>
      <w:r>
        <w:lastRenderedPageBreak/>
        <w:br/>
      </w:r>
      <w:bookmarkStart w:id="9" w:name="_Toc220949669"/>
      <w:bookmarkStart w:id="10" w:name="_Toc221115292"/>
      <w:r w:rsidR="00C732B3" w:rsidRPr="007245B0">
        <w:t>ADDITIONAL DUTIES OF EXCISE</w:t>
      </w:r>
      <w:bookmarkEnd w:id="9"/>
      <w:bookmarkEnd w:id="10"/>
    </w:p>
    <w:p w14:paraId="46FE6BEC" w14:textId="72A2EABB" w:rsidR="00C732B3" w:rsidRPr="007245B0" w:rsidRDefault="00C732B3" w:rsidP="003F3031">
      <w:pPr>
        <w:pStyle w:val="Heading3"/>
        <w:spacing w:line="320" w:lineRule="exact"/>
      </w:pPr>
      <w:r w:rsidRPr="007245B0">
        <w:t>Before we turn to the question of grants under Article 275 of the Constitution, we wish to deal with items (e), (f) and (g) of paragraph 4 of the Order of the President dated the 29</w:t>
      </w:r>
      <w:r w:rsidRPr="0072464F">
        <w:rPr>
          <w:vertAlign w:val="superscript"/>
        </w:rPr>
        <w:t>th</w:t>
      </w:r>
      <w:r w:rsidR="0072464F">
        <w:t xml:space="preserve"> </w:t>
      </w:r>
      <w:r w:rsidRPr="007245B0">
        <w:t>February, 1969, which relate to additional duties of excise. Under these items we are required to make recommendations as to the desirability or otherwise of maintaining the existing arrangements in regard to the levy of additional duties of excise on textiles, sugar and tobacco in lieu of States’ sales taxes thereon, with or without any modifications, and the scope for extending such arrangements to other items or commodities. We are also asked, irrespective of the recommendation which we may make regarding maintaining the existing arrangements, to recommend to what extent changes, if any, should be made in the principles of distribution of the net proceeds of the existing additional excise duties, provided that the share of each State is not less than the revenue realised from the levy of sales tax on these items for the financial year 1956-57 in that State. In the case of the items or commodities which we may recommend for extension of such arrangements, we have further to recommend the principles which should govern the distribution of the net proceeds of additional excise duties thereon among the States.</w:t>
      </w:r>
    </w:p>
    <w:p w14:paraId="53BB75C6" w14:textId="70F56B72" w:rsidR="00C732B3" w:rsidRPr="007245B0" w:rsidRDefault="00C732B3" w:rsidP="003F3031">
      <w:pPr>
        <w:pStyle w:val="Heading3"/>
        <w:spacing w:line="320" w:lineRule="exact"/>
      </w:pPr>
      <w:r w:rsidRPr="007245B0">
        <w:t>The Additional Duties of Excise (Goods of Special Importance) Act, 1957, was enacted in pursuance of a decision taken by the National Development Council in December, 1956, and the recommendations of the Second Finance Commission regarding distribution of the net proceeds among the States. Under the Act, additional duties of excise in lieu of sales taxes then being levied by State Governments on mill-made textiles (except pure silk fabrics), sugar and tobacco came to be levied and collected by the Union, and the levy was extended subsequently to cover pure silk fabrics other than those manufactured on handlooms. The Act laid down the rates of duties chargeable on these items and also the scheme of distribution of the net proceeds among the States by way of payment of certain guaranteed amounts to each State and distribution of the excess by way of percentage shares. The Act does not debar the State Governments from levying sales tax on the specified commodities; but it provides that if, in any year, a State Government levies a tax on the sale or purchase of such commodities, no sums shall be paid to that State in that year as its share out of the net proceeds of additional excise duties, unless the Government of India by special order directs otherwise.</w:t>
      </w:r>
    </w:p>
    <w:p w14:paraId="72426D38" w14:textId="22CE84CB" w:rsidR="00C732B3" w:rsidRPr="007245B0" w:rsidRDefault="00C732B3" w:rsidP="003F3031">
      <w:pPr>
        <w:pStyle w:val="Heading3"/>
        <w:spacing w:line="320" w:lineRule="exact"/>
      </w:pPr>
      <w:r w:rsidRPr="007245B0">
        <w:t>The main considerations which appear to have weighed in favour of the substitution of State sales taxes on these commodities by the levy of additional excise duties by the Union, were the minimisation of chances of leakage and evasion, and the convenience to</w:t>
      </w:r>
      <w:r w:rsidR="006C2D5D" w:rsidRPr="007245B0">
        <w:t xml:space="preserve"> trade and industry resulting from a levy at the point of production. It was also expected that the scheme would enable the Government of India to have more effective control on the total incidence of commodity taxation and to ensure uniformity in the inter-State incidence of taxation. It was felt that due </w:t>
      </w:r>
      <w:r w:rsidR="006C2D5D" w:rsidRPr="007245B0">
        <w:lastRenderedPageBreak/>
        <w:t>to less evasion the revenue realised from the Central levies would be more than the total collections from State sales taxes on these commodities, even though the incidence of the additional excise duties was somewhat lower than the then prevailing average incidence of the sales taxes levied by States on the commodities.</w:t>
      </w:r>
    </w:p>
    <w:p w14:paraId="61894022" w14:textId="68DD0283" w:rsidR="006C2D5D" w:rsidRPr="007245B0" w:rsidRDefault="006C2D5D" w:rsidP="003F3031">
      <w:pPr>
        <w:pStyle w:val="Heading3"/>
        <w:spacing w:line="320" w:lineRule="exact"/>
      </w:pPr>
      <w:r w:rsidRPr="007245B0">
        <w:t>The present scheme has been in operation for more than a decade and we may now examine how far it has worked to the satisfaction of the parties concerned.</w:t>
      </w:r>
    </w:p>
    <w:p w14:paraId="30BC459E" w14:textId="0F55BE79" w:rsidR="006C2D5D" w:rsidRPr="007245B0" w:rsidRDefault="006C2D5D" w:rsidP="003F3031">
      <w:pPr>
        <w:pStyle w:val="Heading3"/>
        <w:spacing w:line="320" w:lineRule="exact"/>
      </w:pPr>
      <w:r w:rsidRPr="007245B0">
        <w:t>Two States, Jammu &amp; Kashmir and Nagaland, were in favour of maintaining the existing arrangements and also extending them to cover more items. Most of the other States have expressed before us their dissatisfaction with the manner in which the scheme of additional excise duties has worked. They complained that the Government of India, while increasing basic excise duties and introducing special excise duties on the same commodities, had kept unchanged the rates of the additional excise duties. The States pointed out that they had suffered loss of potential increase in revenue by surrendering their right to levy sales tax. Whereas the sales tax rates are </w:t>
      </w:r>
      <w:r w:rsidRPr="007245B0">
        <w:rPr>
          <w:i/>
          <w:iCs/>
        </w:rPr>
        <w:t>ad valorem</w:t>
      </w:r>
      <w:r w:rsidRPr="007245B0">
        <w:t>, the additional excise duties have been largely specific, due to which they have lost the advantage of a price-elastic source of revenue. During the past decade the sales tax rates on similar commodities have also been increased. The States contended that they have thus been put to a double disadvantage. It is necessary to examine these contentions of the States which they had also voiced in similar terms before the Fourth Finance Commission.</w:t>
      </w:r>
    </w:p>
    <w:p w14:paraId="1F2964BD" w14:textId="5C76FC08" w:rsidR="006C2D5D" w:rsidRPr="007245B0" w:rsidRDefault="006C2D5D" w:rsidP="003F3031">
      <w:pPr>
        <w:pStyle w:val="Heading3"/>
        <w:spacing w:line="320" w:lineRule="exact"/>
      </w:pPr>
      <w:r w:rsidRPr="007245B0">
        <w:t>During the period 1958-59 to 1968-69, there were practically no changes in basic excise duties on sugar; but there were increases in basic duties on tobacco, unmanufactured and manufactured. The basic excise duties on textiles have also been adjusted a number of times. In addition, special excise duties have been levied on tobacco. The rates of additional excise duties have remained practically unchanged, except for some increase in the case of cigars and cigarettes. The result has been that between 1958-59 and 1967-68, the revenue from basic and special excise duties on these three commodities increased by more than 70 per cent, while that from additional excise duties increased only by 45 per cent.</w:t>
      </w:r>
    </w:p>
    <w:p w14:paraId="214F44B6" w14:textId="7811112A" w:rsidR="00C732B3" w:rsidRDefault="006C2D5D" w:rsidP="003F3031">
      <w:pPr>
        <w:pStyle w:val="Heading3"/>
        <w:spacing w:line="320" w:lineRule="exact"/>
      </w:pPr>
      <w:r w:rsidRPr="007245B0">
        <w:t>The average incidence of additional excise duties in 1966-67 worked out to 1</w:t>
      </w:r>
      <w:r w:rsidR="00D07B4D">
        <w:t>:</w:t>
      </w:r>
      <w:r w:rsidRPr="007245B0">
        <w:t>98 per cent on textiles, 2</w:t>
      </w:r>
      <w:r w:rsidR="00D07B4D">
        <w:t>:</w:t>
      </w:r>
      <w:r w:rsidRPr="007245B0">
        <w:t>93 per cent on unmanufactured tobacco and 7</w:t>
      </w:r>
      <w:r w:rsidR="00D07B4D">
        <w:t>:</w:t>
      </w:r>
      <w:r w:rsidR="0072464F">
        <w:t>21</w:t>
      </w:r>
      <w:r w:rsidRPr="007245B0">
        <w:t xml:space="preserve"> per cent on cigars and cigarettes. The additional excise duty on cigarettes has since been increased, and a 4 per cent </w:t>
      </w:r>
      <w:r w:rsidRPr="007245B0">
        <w:rPr>
          <w:i/>
          <w:iCs/>
        </w:rPr>
        <w:t>ad valorem</w:t>
      </w:r>
      <w:r w:rsidRPr="007245B0">
        <w:t> duty is levied on sugar. The comparative rates of sales tax levied at a single point in some of the States on allied commodities like kerosene, matches, tea, coffee, etc, are as under:</w:t>
      </w:r>
      <w:r w:rsidR="0072464F">
        <w:t>-</w:t>
      </w:r>
    </w:p>
    <w:p w14:paraId="7E8A194D" w14:textId="5B53D875" w:rsidR="003F3031" w:rsidRDefault="003F3031">
      <w:r>
        <w:br w:type="page"/>
      </w:r>
    </w:p>
    <w:tbl>
      <w:tblPr>
        <w:tblStyle w:val="TableGrid"/>
        <w:tblW w:w="0" w:type="auto"/>
        <w:jc w:val="center"/>
        <w:tblLook w:val="04A0" w:firstRow="1" w:lastRow="0" w:firstColumn="1" w:lastColumn="0" w:noHBand="0" w:noVBand="1"/>
      </w:tblPr>
      <w:tblGrid>
        <w:gridCol w:w="1629"/>
        <w:gridCol w:w="2477"/>
      </w:tblGrid>
      <w:tr w:rsidR="003F3031" w:rsidRPr="007245B0" w14:paraId="100E231A" w14:textId="77777777" w:rsidTr="00432359">
        <w:trPr>
          <w:jc w:val="center"/>
        </w:trPr>
        <w:tc>
          <w:tcPr>
            <w:tcW w:w="0" w:type="auto"/>
          </w:tcPr>
          <w:p w14:paraId="63A919F4" w14:textId="77777777" w:rsidR="003F3031" w:rsidRPr="007245B0" w:rsidRDefault="003F3031" w:rsidP="003C6D59">
            <w:pPr>
              <w:pStyle w:val="NoSpacing"/>
              <w:rPr>
                <w:rFonts w:ascii="Times New Roman" w:hAnsi="Times New Roman" w:cs="Times New Roman"/>
              </w:rPr>
            </w:pPr>
          </w:p>
        </w:tc>
        <w:tc>
          <w:tcPr>
            <w:tcW w:w="2477" w:type="dxa"/>
          </w:tcPr>
          <w:p w14:paraId="69557FA1" w14:textId="2F6BD21D" w:rsidR="003F3031" w:rsidRPr="003F3031" w:rsidRDefault="003F3031" w:rsidP="003F3031">
            <w:pPr>
              <w:pStyle w:val="NoSpacing"/>
              <w:jc w:val="center"/>
              <w:rPr>
                <w:rFonts w:ascii="Times New Roman" w:hAnsi="Times New Roman" w:cs="Times New Roman"/>
                <w:b/>
                <w:bCs/>
              </w:rPr>
            </w:pPr>
            <w:r w:rsidRPr="003F3031">
              <w:rPr>
                <w:rFonts w:ascii="Times New Roman" w:hAnsi="Times New Roman" w:cs="Times New Roman"/>
                <w:b/>
                <w:bCs/>
              </w:rPr>
              <w:t>Rates of single point sales tax</w:t>
            </w:r>
          </w:p>
        </w:tc>
      </w:tr>
      <w:tr w:rsidR="006C2D5D" w:rsidRPr="007245B0" w14:paraId="26816A34" w14:textId="77777777" w:rsidTr="00432359">
        <w:trPr>
          <w:jc w:val="center"/>
        </w:trPr>
        <w:tc>
          <w:tcPr>
            <w:tcW w:w="0" w:type="auto"/>
            <w:hideMark/>
          </w:tcPr>
          <w:p w14:paraId="1A0CFE92" w14:textId="0CBD92DA" w:rsidR="006C2D5D" w:rsidRPr="007245B0" w:rsidRDefault="006C2D5D" w:rsidP="003C6D59">
            <w:pPr>
              <w:pStyle w:val="NoSpacing"/>
              <w:rPr>
                <w:rFonts w:ascii="Times New Roman" w:hAnsi="Times New Roman" w:cs="Times New Roman"/>
              </w:rPr>
            </w:pPr>
            <w:r w:rsidRPr="007245B0">
              <w:rPr>
                <w:rFonts w:ascii="Times New Roman" w:hAnsi="Times New Roman" w:cs="Times New Roman"/>
              </w:rPr>
              <w:t xml:space="preserve">Foodgrains </w:t>
            </w:r>
          </w:p>
        </w:tc>
        <w:tc>
          <w:tcPr>
            <w:tcW w:w="2477" w:type="dxa"/>
            <w:hideMark/>
          </w:tcPr>
          <w:p w14:paraId="7F8EDB56" w14:textId="77777777" w:rsidR="006C2D5D" w:rsidRPr="007245B0" w:rsidRDefault="006C2D5D" w:rsidP="003F3031">
            <w:pPr>
              <w:pStyle w:val="NoSpacing"/>
              <w:jc w:val="center"/>
              <w:rPr>
                <w:rFonts w:ascii="Times New Roman" w:hAnsi="Times New Roman" w:cs="Times New Roman"/>
              </w:rPr>
            </w:pPr>
            <w:r w:rsidRPr="007245B0">
              <w:rPr>
                <w:rFonts w:ascii="Times New Roman" w:hAnsi="Times New Roman" w:cs="Times New Roman"/>
              </w:rPr>
              <w:t>1% to 3%</w:t>
            </w:r>
          </w:p>
        </w:tc>
      </w:tr>
      <w:tr w:rsidR="006C2D5D" w:rsidRPr="007245B0" w14:paraId="678F7B69" w14:textId="77777777" w:rsidTr="00432359">
        <w:trPr>
          <w:jc w:val="center"/>
        </w:trPr>
        <w:tc>
          <w:tcPr>
            <w:tcW w:w="0" w:type="auto"/>
            <w:hideMark/>
          </w:tcPr>
          <w:p w14:paraId="4DD41F63" w14:textId="54D358CB" w:rsidR="006C2D5D" w:rsidRPr="007245B0" w:rsidRDefault="006C2D5D" w:rsidP="003C6D59">
            <w:pPr>
              <w:pStyle w:val="NoSpacing"/>
              <w:rPr>
                <w:rFonts w:ascii="Times New Roman" w:hAnsi="Times New Roman" w:cs="Times New Roman"/>
              </w:rPr>
            </w:pPr>
            <w:r w:rsidRPr="007245B0">
              <w:rPr>
                <w:rFonts w:ascii="Times New Roman" w:hAnsi="Times New Roman" w:cs="Times New Roman"/>
              </w:rPr>
              <w:t xml:space="preserve">Kerosene </w:t>
            </w:r>
          </w:p>
        </w:tc>
        <w:tc>
          <w:tcPr>
            <w:tcW w:w="2477" w:type="dxa"/>
            <w:hideMark/>
          </w:tcPr>
          <w:p w14:paraId="5DC4F247" w14:textId="77777777" w:rsidR="006C2D5D" w:rsidRPr="007245B0" w:rsidRDefault="006C2D5D" w:rsidP="003F3031">
            <w:pPr>
              <w:pStyle w:val="NoSpacing"/>
              <w:jc w:val="center"/>
              <w:rPr>
                <w:rFonts w:ascii="Times New Roman" w:hAnsi="Times New Roman" w:cs="Times New Roman"/>
              </w:rPr>
            </w:pPr>
            <w:r w:rsidRPr="007245B0">
              <w:rPr>
                <w:rFonts w:ascii="Times New Roman" w:hAnsi="Times New Roman" w:cs="Times New Roman"/>
              </w:rPr>
              <w:t>3% to 7%</w:t>
            </w:r>
          </w:p>
        </w:tc>
      </w:tr>
      <w:tr w:rsidR="006C2D5D" w:rsidRPr="007245B0" w14:paraId="4E29874B" w14:textId="77777777" w:rsidTr="00432359">
        <w:trPr>
          <w:jc w:val="center"/>
        </w:trPr>
        <w:tc>
          <w:tcPr>
            <w:tcW w:w="0" w:type="auto"/>
            <w:hideMark/>
          </w:tcPr>
          <w:p w14:paraId="067E6163" w14:textId="4B023B69" w:rsidR="006C2D5D" w:rsidRPr="007245B0" w:rsidRDefault="006C2D5D" w:rsidP="003C6D59">
            <w:pPr>
              <w:pStyle w:val="NoSpacing"/>
              <w:rPr>
                <w:rFonts w:ascii="Times New Roman" w:hAnsi="Times New Roman" w:cs="Times New Roman"/>
              </w:rPr>
            </w:pPr>
            <w:r w:rsidRPr="007245B0">
              <w:rPr>
                <w:rFonts w:ascii="Times New Roman" w:hAnsi="Times New Roman" w:cs="Times New Roman"/>
              </w:rPr>
              <w:t xml:space="preserve">Matches </w:t>
            </w:r>
          </w:p>
        </w:tc>
        <w:tc>
          <w:tcPr>
            <w:tcW w:w="2477" w:type="dxa"/>
            <w:hideMark/>
          </w:tcPr>
          <w:p w14:paraId="396AB834" w14:textId="77777777" w:rsidR="006C2D5D" w:rsidRPr="007245B0" w:rsidRDefault="006C2D5D" w:rsidP="003F3031">
            <w:pPr>
              <w:pStyle w:val="NoSpacing"/>
              <w:jc w:val="center"/>
              <w:rPr>
                <w:rFonts w:ascii="Times New Roman" w:hAnsi="Times New Roman" w:cs="Times New Roman"/>
              </w:rPr>
            </w:pPr>
            <w:r w:rsidRPr="007245B0">
              <w:rPr>
                <w:rFonts w:ascii="Times New Roman" w:hAnsi="Times New Roman" w:cs="Times New Roman"/>
              </w:rPr>
              <w:t>3% to 7%</w:t>
            </w:r>
          </w:p>
        </w:tc>
      </w:tr>
      <w:tr w:rsidR="006C2D5D" w:rsidRPr="007245B0" w14:paraId="2997EFD8" w14:textId="77777777" w:rsidTr="00432359">
        <w:trPr>
          <w:jc w:val="center"/>
        </w:trPr>
        <w:tc>
          <w:tcPr>
            <w:tcW w:w="0" w:type="auto"/>
            <w:hideMark/>
          </w:tcPr>
          <w:p w14:paraId="2A38315F" w14:textId="2FAE18EA" w:rsidR="006C2D5D" w:rsidRPr="007245B0" w:rsidRDefault="006C2D5D" w:rsidP="003C6D59">
            <w:pPr>
              <w:pStyle w:val="NoSpacing"/>
              <w:rPr>
                <w:rFonts w:ascii="Times New Roman" w:hAnsi="Times New Roman" w:cs="Times New Roman"/>
              </w:rPr>
            </w:pPr>
            <w:r w:rsidRPr="007245B0">
              <w:rPr>
                <w:rFonts w:ascii="Times New Roman" w:hAnsi="Times New Roman" w:cs="Times New Roman"/>
              </w:rPr>
              <w:t xml:space="preserve">Vanaspati </w:t>
            </w:r>
          </w:p>
        </w:tc>
        <w:tc>
          <w:tcPr>
            <w:tcW w:w="2477" w:type="dxa"/>
            <w:hideMark/>
          </w:tcPr>
          <w:p w14:paraId="48CADD48" w14:textId="77777777" w:rsidR="006C2D5D" w:rsidRPr="007245B0" w:rsidRDefault="006C2D5D" w:rsidP="003F3031">
            <w:pPr>
              <w:pStyle w:val="NoSpacing"/>
              <w:jc w:val="center"/>
              <w:rPr>
                <w:rFonts w:ascii="Times New Roman" w:hAnsi="Times New Roman" w:cs="Times New Roman"/>
              </w:rPr>
            </w:pPr>
            <w:r w:rsidRPr="007245B0">
              <w:rPr>
                <w:rFonts w:ascii="Times New Roman" w:hAnsi="Times New Roman" w:cs="Times New Roman"/>
              </w:rPr>
              <w:t>5% to 10%</w:t>
            </w:r>
          </w:p>
        </w:tc>
      </w:tr>
      <w:tr w:rsidR="006C2D5D" w:rsidRPr="007245B0" w14:paraId="1ECCFC4A" w14:textId="77777777" w:rsidTr="00432359">
        <w:trPr>
          <w:jc w:val="center"/>
        </w:trPr>
        <w:tc>
          <w:tcPr>
            <w:tcW w:w="0" w:type="auto"/>
            <w:hideMark/>
          </w:tcPr>
          <w:p w14:paraId="44D8FF65" w14:textId="44FEA6D1" w:rsidR="006C2D5D" w:rsidRPr="007245B0" w:rsidRDefault="006C2D5D" w:rsidP="003C6D59">
            <w:pPr>
              <w:pStyle w:val="NoSpacing"/>
              <w:rPr>
                <w:rFonts w:ascii="Times New Roman" w:hAnsi="Times New Roman" w:cs="Times New Roman"/>
              </w:rPr>
            </w:pPr>
            <w:r w:rsidRPr="007245B0">
              <w:rPr>
                <w:rFonts w:ascii="Times New Roman" w:hAnsi="Times New Roman" w:cs="Times New Roman"/>
              </w:rPr>
              <w:t xml:space="preserve">Gur </w:t>
            </w:r>
          </w:p>
        </w:tc>
        <w:tc>
          <w:tcPr>
            <w:tcW w:w="2477" w:type="dxa"/>
            <w:hideMark/>
          </w:tcPr>
          <w:p w14:paraId="53CA9BEF" w14:textId="77777777" w:rsidR="006C2D5D" w:rsidRPr="007245B0" w:rsidRDefault="006C2D5D" w:rsidP="003F3031">
            <w:pPr>
              <w:pStyle w:val="NoSpacing"/>
              <w:jc w:val="center"/>
              <w:rPr>
                <w:rFonts w:ascii="Times New Roman" w:hAnsi="Times New Roman" w:cs="Times New Roman"/>
              </w:rPr>
            </w:pPr>
            <w:r w:rsidRPr="007245B0">
              <w:rPr>
                <w:rFonts w:ascii="Times New Roman" w:hAnsi="Times New Roman" w:cs="Times New Roman"/>
              </w:rPr>
              <w:t>2% to 7%</w:t>
            </w:r>
          </w:p>
        </w:tc>
      </w:tr>
      <w:tr w:rsidR="006C2D5D" w:rsidRPr="007245B0" w14:paraId="45C7E304" w14:textId="77777777" w:rsidTr="00432359">
        <w:trPr>
          <w:jc w:val="center"/>
        </w:trPr>
        <w:tc>
          <w:tcPr>
            <w:tcW w:w="0" w:type="auto"/>
            <w:hideMark/>
          </w:tcPr>
          <w:p w14:paraId="38F75BE7" w14:textId="785289A6" w:rsidR="006C2D5D" w:rsidRPr="007245B0" w:rsidRDefault="006C2D5D" w:rsidP="003C6D59">
            <w:pPr>
              <w:pStyle w:val="NoSpacing"/>
              <w:rPr>
                <w:rFonts w:ascii="Times New Roman" w:hAnsi="Times New Roman" w:cs="Times New Roman"/>
              </w:rPr>
            </w:pPr>
            <w:r w:rsidRPr="007245B0">
              <w:rPr>
                <w:rFonts w:ascii="Times New Roman" w:hAnsi="Times New Roman" w:cs="Times New Roman"/>
              </w:rPr>
              <w:t xml:space="preserve">Butter &amp; Ghee </w:t>
            </w:r>
          </w:p>
        </w:tc>
        <w:tc>
          <w:tcPr>
            <w:tcW w:w="2477" w:type="dxa"/>
            <w:hideMark/>
          </w:tcPr>
          <w:p w14:paraId="048D8F87" w14:textId="77777777" w:rsidR="006C2D5D" w:rsidRPr="007245B0" w:rsidRDefault="006C2D5D" w:rsidP="003F3031">
            <w:pPr>
              <w:pStyle w:val="NoSpacing"/>
              <w:jc w:val="center"/>
              <w:rPr>
                <w:rFonts w:ascii="Times New Roman" w:hAnsi="Times New Roman" w:cs="Times New Roman"/>
              </w:rPr>
            </w:pPr>
            <w:r w:rsidRPr="007245B0">
              <w:rPr>
                <w:rFonts w:ascii="Times New Roman" w:hAnsi="Times New Roman" w:cs="Times New Roman"/>
              </w:rPr>
              <w:t>3% to 4%</w:t>
            </w:r>
          </w:p>
        </w:tc>
      </w:tr>
      <w:tr w:rsidR="006C2D5D" w:rsidRPr="007245B0" w14:paraId="39D9CF41" w14:textId="77777777" w:rsidTr="00432359">
        <w:trPr>
          <w:jc w:val="center"/>
        </w:trPr>
        <w:tc>
          <w:tcPr>
            <w:tcW w:w="0" w:type="auto"/>
            <w:hideMark/>
          </w:tcPr>
          <w:p w14:paraId="205CFA67" w14:textId="11778A76" w:rsidR="006C2D5D" w:rsidRPr="007245B0" w:rsidRDefault="006C2D5D" w:rsidP="003C6D59">
            <w:pPr>
              <w:pStyle w:val="NoSpacing"/>
              <w:rPr>
                <w:rFonts w:ascii="Times New Roman" w:hAnsi="Times New Roman" w:cs="Times New Roman"/>
              </w:rPr>
            </w:pPr>
            <w:r w:rsidRPr="007245B0">
              <w:rPr>
                <w:rFonts w:ascii="Times New Roman" w:hAnsi="Times New Roman" w:cs="Times New Roman"/>
              </w:rPr>
              <w:t xml:space="preserve">Tea </w:t>
            </w:r>
          </w:p>
        </w:tc>
        <w:tc>
          <w:tcPr>
            <w:tcW w:w="2477" w:type="dxa"/>
            <w:hideMark/>
          </w:tcPr>
          <w:p w14:paraId="29FF151D" w14:textId="77777777" w:rsidR="006C2D5D" w:rsidRPr="007245B0" w:rsidRDefault="006C2D5D" w:rsidP="003F3031">
            <w:pPr>
              <w:pStyle w:val="NoSpacing"/>
              <w:jc w:val="center"/>
              <w:rPr>
                <w:rFonts w:ascii="Times New Roman" w:hAnsi="Times New Roman" w:cs="Times New Roman"/>
              </w:rPr>
            </w:pPr>
            <w:r w:rsidRPr="007245B0">
              <w:rPr>
                <w:rFonts w:ascii="Times New Roman" w:hAnsi="Times New Roman" w:cs="Times New Roman"/>
              </w:rPr>
              <w:t>2% to 8%</w:t>
            </w:r>
          </w:p>
        </w:tc>
      </w:tr>
      <w:tr w:rsidR="006C2D5D" w:rsidRPr="007245B0" w14:paraId="274C217A" w14:textId="77777777" w:rsidTr="00432359">
        <w:trPr>
          <w:jc w:val="center"/>
        </w:trPr>
        <w:tc>
          <w:tcPr>
            <w:tcW w:w="0" w:type="auto"/>
            <w:hideMark/>
          </w:tcPr>
          <w:p w14:paraId="73F0C2A8" w14:textId="32078CBC" w:rsidR="006C2D5D" w:rsidRPr="007245B0" w:rsidRDefault="006C2D5D" w:rsidP="003C6D59">
            <w:pPr>
              <w:pStyle w:val="NoSpacing"/>
              <w:rPr>
                <w:rFonts w:ascii="Times New Roman" w:hAnsi="Times New Roman" w:cs="Times New Roman"/>
              </w:rPr>
            </w:pPr>
            <w:r w:rsidRPr="007245B0">
              <w:rPr>
                <w:rFonts w:ascii="Times New Roman" w:hAnsi="Times New Roman" w:cs="Times New Roman"/>
              </w:rPr>
              <w:t xml:space="preserve">Coffee </w:t>
            </w:r>
          </w:p>
        </w:tc>
        <w:tc>
          <w:tcPr>
            <w:tcW w:w="2477" w:type="dxa"/>
            <w:hideMark/>
          </w:tcPr>
          <w:p w14:paraId="7668A342" w14:textId="77777777" w:rsidR="006C2D5D" w:rsidRPr="007245B0" w:rsidRDefault="006C2D5D" w:rsidP="003F3031">
            <w:pPr>
              <w:pStyle w:val="NoSpacing"/>
              <w:jc w:val="center"/>
              <w:rPr>
                <w:rFonts w:ascii="Times New Roman" w:hAnsi="Times New Roman" w:cs="Times New Roman"/>
              </w:rPr>
            </w:pPr>
            <w:r w:rsidRPr="007245B0">
              <w:rPr>
                <w:rFonts w:ascii="Times New Roman" w:hAnsi="Times New Roman" w:cs="Times New Roman"/>
              </w:rPr>
              <w:t>4% to 8%</w:t>
            </w:r>
          </w:p>
        </w:tc>
      </w:tr>
      <w:tr w:rsidR="006C2D5D" w:rsidRPr="007245B0" w14:paraId="22206E6C" w14:textId="77777777" w:rsidTr="00432359">
        <w:trPr>
          <w:jc w:val="center"/>
        </w:trPr>
        <w:tc>
          <w:tcPr>
            <w:tcW w:w="0" w:type="auto"/>
            <w:hideMark/>
          </w:tcPr>
          <w:p w14:paraId="2EACFA99" w14:textId="66AEE727" w:rsidR="006C2D5D" w:rsidRPr="007245B0" w:rsidRDefault="006C2D5D" w:rsidP="003C6D59">
            <w:pPr>
              <w:pStyle w:val="NoSpacing"/>
              <w:rPr>
                <w:rFonts w:ascii="Times New Roman" w:hAnsi="Times New Roman" w:cs="Times New Roman"/>
              </w:rPr>
            </w:pPr>
            <w:r w:rsidRPr="007245B0">
              <w:rPr>
                <w:rFonts w:ascii="Times New Roman" w:hAnsi="Times New Roman" w:cs="Times New Roman"/>
              </w:rPr>
              <w:t xml:space="preserve">Leather goods </w:t>
            </w:r>
          </w:p>
        </w:tc>
        <w:tc>
          <w:tcPr>
            <w:tcW w:w="2477" w:type="dxa"/>
            <w:hideMark/>
          </w:tcPr>
          <w:p w14:paraId="3D1678AE" w14:textId="77777777" w:rsidR="006C2D5D" w:rsidRPr="007245B0" w:rsidRDefault="006C2D5D" w:rsidP="003F3031">
            <w:pPr>
              <w:pStyle w:val="NoSpacing"/>
              <w:jc w:val="center"/>
              <w:rPr>
                <w:rFonts w:ascii="Times New Roman" w:hAnsi="Times New Roman" w:cs="Times New Roman"/>
              </w:rPr>
            </w:pPr>
            <w:r w:rsidRPr="007245B0">
              <w:rPr>
                <w:rFonts w:ascii="Times New Roman" w:hAnsi="Times New Roman" w:cs="Times New Roman"/>
              </w:rPr>
              <w:t>5% to 10%</w:t>
            </w:r>
          </w:p>
        </w:tc>
      </w:tr>
    </w:tbl>
    <w:p w14:paraId="16B26A73" w14:textId="77777777" w:rsidR="000C77F2" w:rsidRDefault="000C77F2" w:rsidP="007C11A0">
      <w:pPr>
        <w:spacing w:line="300" w:lineRule="exact"/>
        <w:jc w:val="both"/>
        <w:rPr>
          <w:rFonts w:ascii="Times New Roman" w:hAnsi="Times New Roman" w:cs="Times New Roman"/>
          <w:sz w:val="28"/>
          <w:szCs w:val="22"/>
        </w:rPr>
      </w:pPr>
    </w:p>
    <w:p w14:paraId="224C695F" w14:textId="10DA0304" w:rsidR="006C2D5D" w:rsidRPr="007C11A0" w:rsidRDefault="006C2D5D" w:rsidP="00861600">
      <w:pPr>
        <w:spacing w:line="320" w:lineRule="exact"/>
        <w:jc w:val="both"/>
        <w:rPr>
          <w:rFonts w:ascii="Times New Roman" w:hAnsi="Times New Roman" w:cs="Times New Roman"/>
          <w:sz w:val="28"/>
          <w:szCs w:val="22"/>
        </w:rPr>
      </w:pPr>
      <w:r w:rsidRPr="007C11A0">
        <w:rPr>
          <w:rFonts w:ascii="Times New Roman" w:hAnsi="Times New Roman" w:cs="Times New Roman"/>
          <w:sz w:val="28"/>
          <w:szCs w:val="22"/>
        </w:rPr>
        <w:t>These rates are generally higher than the incidence of additional excise duties and it appears that if the States had been free to exercise their power to levy sales tax on textiles, sugar and tobacco, many of them would have been able to realise more tax revenue from them. The producing States would also have derived the benefit of Central sales tax on exports of these commodities to other States.</w:t>
      </w:r>
    </w:p>
    <w:p w14:paraId="179C62BF" w14:textId="7EDCAC1A" w:rsidR="006C2D5D" w:rsidRPr="007245B0" w:rsidRDefault="006C2D5D" w:rsidP="00861600">
      <w:pPr>
        <w:pStyle w:val="Heading3"/>
        <w:spacing w:line="320" w:lineRule="exact"/>
      </w:pPr>
      <w:r w:rsidRPr="007245B0">
        <w:t>A number of States who had suggested discontinuance of the Scheme, during our discussions with them expressed their willingness to agree to its continuance if certain modifications were made so as to enhance the yield from the additional excise duties adequately. Some of them have suggested for this purpose that the rates of duty should be directly related to the rates of basic and special excise duties, while other States have suggested that they may be reviewed so as to reflect the increase in prices of the commodities in question and the average incidence of States sales taxes on similar items. About half the number of States have urged that the existing arrangements should be discontinued and they should be free to levy sales tax on these commodities themselves. They were not in favour of continuing the scheme even if modifications are made to increase the rates of duty.</w:t>
      </w:r>
    </w:p>
    <w:p w14:paraId="6555CA0A" w14:textId="49095978" w:rsidR="006C2D5D" w:rsidRPr="007245B0" w:rsidRDefault="007C11A0" w:rsidP="00861600">
      <w:pPr>
        <w:pStyle w:val="Heading3"/>
        <w:spacing w:line="320" w:lineRule="exact"/>
      </w:pPr>
      <w:r>
        <w:t>W</w:t>
      </w:r>
      <w:r w:rsidR="006C2D5D" w:rsidRPr="007245B0">
        <w:t>e put it to the States that the rates of basic excise duties on sugar and textiles were regulated from time to time on considerations of economic policy and not merely on the basis of revenue requirements. The States sales taxes are not usually modified in this manner. While the feasibility of raising rates of additional excise duties could be considered when the basic or special duties are increased, no useful purpose would be served by any formal linking of the two.</w:t>
      </w:r>
    </w:p>
    <w:p w14:paraId="5AE58072" w14:textId="10856AF9" w:rsidR="006C2D5D" w:rsidRPr="007245B0" w:rsidRDefault="006C2D5D" w:rsidP="00861600">
      <w:pPr>
        <w:pStyle w:val="Heading3"/>
        <w:spacing w:line="320" w:lineRule="exact"/>
      </w:pPr>
      <w:r w:rsidRPr="007245B0">
        <w:t>There is force in the argument of the States that the rates of additional excise duties being specific, their incidence has not kept pace with that of States sales taxes on similar commodities. To meet this point, the rates could be turned into </w:t>
      </w:r>
      <w:r w:rsidRPr="007245B0">
        <w:rPr>
          <w:i/>
          <w:iCs/>
        </w:rPr>
        <w:t>ad valorem</w:t>
      </w:r>
      <w:r w:rsidRPr="007245B0">
        <w:t xml:space="preserve"> rates, as has been already done in the case of sugar and cigarettes; and even specific rates could be revised periodically having regard to changes in prices. The rates could also be modified to reflect changes in the sales tax rates on corresponding commodities in the States as a whole. Some of the States to whom we put this suggestion were doubtful about the possibility of such an arrangement. They, </w:t>
      </w:r>
      <w:r w:rsidRPr="007245B0">
        <w:lastRenderedPageBreak/>
        <w:t>however, said that they would be agreeable if satisfactory arrangements in this regard could be made, but they were generally averse to extending the arrangement to other commodities. Eight of the States were insistent on the system being discontinued. They pointed out that under the existing arrangement they do not have freedom to increase revenue from taxation of these commodities in the light of their own requirements and judgement. Since these commodities cover a considerable part of the States’ field of sales taxation they keenly desire to have once more the authority to levy sales tax themselves.</w:t>
      </w:r>
    </w:p>
    <w:p w14:paraId="42F5C6DD" w14:textId="5A77E54E" w:rsidR="006C2D5D" w:rsidRPr="007245B0" w:rsidRDefault="006C2D5D" w:rsidP="00861600">
      <w:pPr>
        <w:pStyle w:val="Heading3"/>
        <w:spacing w:line="320" w:lineRule="exact"/>
      </w:pPr>
      <w:r w:rsidRPr="007245B0">
        <w:t>Under the provisions of Section 7 of the Additional Duties of Excise (Goods of Special Importance) Act, 1957, as originally enacted, the items on which additional duties of excise are leviable were declared as goods of special importance in inter-State trade and commerce and the levy of sales tax thereon was made subject to the restrictions specified in Section 14 of the Central Sales Tax Act, 1956. Section 7 of the former Act of 1957 was repealed by the Central Sales Tax (Second Amendment) Act, 1958 and these items were added to the list of declared goods. Some of the State Governments who wanted the additional excise duties to be withdrawn, pointed out to us that the other goods of special importance like coal, unmanufactured cotton, etc., are industrial raw materials or intermediate goods and belong to a category different from textiles, sugar and tobacco, which are consumer goods. They demanded that these restrictions, which had originally been enacted as an integral part of the present arrangements, should also be withdrawn when these arrangements are discontinued, so as to restore to the States unrestricted power to levy sales taxes as on other similar items. We have no doubt that the Government of India will consider this matter if and when the need arises.</w:t>
      </w:r>
    </w:p>
    <w:p w14:paraId="59FF1868" w14:textId="030EE07A" w:rsidR="006C2D5D" w:rsidRPr="007245B0" w:rsidRDefault="006C2D5D" w:rsidP="00861600">
      <w:pPr>
        <w:pStyle w:val="Heading3"/>
        <w:spacing w:line="320" w:lineRule="exact"/>
      </w:pPr>
      <w:r w:rsidRPr="007245B0">
        <w:t>We also discussed this subject with representatives of various Chambers of Commerce and other trade organisations. They generally expressed the view that the existing arrangements have resulted in considerable administrative convenience and have brought relief to the commercial community. They suggested, therefore, that the scheme should be continued; and some of them also proposed its extension to other commodities like iron and steel, cement and paper. Other items suggested to us for this purpose are kerosene, matches and tea. To meet the grievances of the States, some of the Chambers were agreeable to the conversion of the rates of duty into </w:t>
      </w:r>
      <w:r w:rsidRPr="007245B0">
        <w:rPr>
          <w:i/>
          <w:iCs/>
        </w:rPr>
        <w:t>ad valorem</w:t>
      </w:r>
      <w:r w:rsidRPr="007245B0">
        <w:t> rates where possible, and periodical revision of rates in other cases.</w:t>
      </w:r>
    </w:p>
    <w:p w14:paraId="2F13D7CD" w14:textId="4258CCBC" w:rsidR="006C2D5D" w:rsidRPr="007245B0" w:rsidRDefault="006C2D5D" w:rsidP="00861600">
      <w:pPr>
        <w:pStyle w:val="Heading3"/>
        <w:spacing w:line="320" w:lineRule="exact"/>
      </w:pPr>
      <w:r w:rsidRPr="007245B0">
        <w:t>During our discussions with the representatives of the Government of India they expressed the view that, on the whole, the arrangements had worked satisfactorily. As regards the main grievance of the States about the growth of revenue from additional excises having been comparatively small, they felt that the matter could be gone into by the Government of India. The recent conversion of rates of duty on sugar into </w:t>
      </w:r>
      <w:r w:rsidRPr="007245B0">
        <w:rPr>
          <w:i/>
          <w:iCs/>
        </w:rPr>
        <w:t>ad valorem</w:t>
      </w:r>
      <w:r w:rsidRPr="007245B0">
        <w:t> rates would secure for the States the benefit of higher yield with increase in prices. It was stated that while the Government of India derives no revenue from the scheme, they would like it to be continued, if possible,</w:t>
      </w:r>
      <w:r w:rsidR="007C11A0">
        <w:t xml:space="preserve"> </w:t>
      </w:r>
      <w:r w:rsidRPr="007245B0">
        <w:lastRenderedPageBreak/>
        <w:t>because indirect taxation, particularly on items of mass consumption, could serve as an instrument of fiscal policy.</w:t>
      </w:r>
    </w:p>
    <w:p w14:paraId="2F63331F" w14:textId="5D8CB14B" w:rsidR="006C2D5D" w:rsidRPr="007245B0" w:rsidRDefault="006C2D5D" w:rsidP="00861600">
      <w:pPr>
        <w:pStyle w:val="Heading3"/>
        <w:spacing w:line="320" w:lineRule="exact"/>
      </w:pPr>
      <w:r w:rsidRPr="007245B0">
        <w:t>The rationale of the present scheme of additional excises in lieu of sales taxes and the advantages which it was expected to bring, hold good even now. But although a scheme of uniform levy of excise duties in lieu of sales taxes at varying rates on commodities of common consumption might have its own advantages, we consider that the full utility of such a scheme cannot be realised unless the arrangements could be extended to other important commodities also. This could, however, be achieved only if the States were agreeable to such extension. In view of the general opposition of the States, there is obviously no scope for extending the arrangements to other items or commodities in the foreseeable future. Moreover, as rightly pointed out by the Fourth Finance Commission, such a scheme is essentially in the nature of a tax rental agreement between the Union and the States, the operation of which is contingent upon the parties agreeing between themselves. Many States now keenly desire that the power to levy sales tax on these items should revert to them to enable them to make maximum efforts to raise greater resources under their own powers of taxation. While there may be advantages in the present scheme, in</w:t>
      </w:r>
      <w:r w:rsidR="002266BF">
        <w:t xml:space="preserve"> </w:t>
      </w:r>
      <w:r w:rsidRPr="007245B0">
        <w:t>as</w:t>
      </w:r>
      <w:r w:rsidR="002266BF">
        <w:t xml:space="preserve"> </w:t>
      </w:r>
      <w:r w:rsidRPr="007245B0">
        <w:t>much as the States are generally opposed to it, we consider that it would not be desirable to continue the scheme unless the Government of India, after discussing the matter further with the State Governments, can arrive at a general agreement for its continuance with suitable modifications. We would suggest that such discussions with the State Governments may be held as soon as possible.</w:t>
      </w:r>
    </w:p>
    <w:p w14:paraId="6B067D70" w14:textId="56437683" w:rsidR="006C2D5D" w:rsidRPr="007245B0" w:rsidRDefault="006C2D5D" w:rsidP="00861600">
      <w:pPr>
        <w:pStyle w:val="Heading3"/>
        <w:spacing w:line="320" w:lineRule="exact"/>
      </w:pPr>
      <w:r w:rsidRPr="007245B0">
        <w:t xml:space="preserve">This brings us to the question whether any changes should be made in the principles governing the distribution of the net proceeds of additional excise duties leviable under the 1957 Act if the existing arrangements are to continue. In any scheme of distribution for this purpose, it is necessary to see that each State gets a share not less than the revenue realised by it from levy of sales tax on these three items for the year 1956-57. The minimum amounts to be guaranteed to each State were first determined by the Second Finance Commission. Though the State Governments represented to the Third Finance Commission that the amounts should be re-assessed, that Commission did not reopen the question. It only increased the amounts suitably to cover pure silk fabrics to which the arrangements has been extended, and divided the share of Bombay State between the new </w:t>
      </w:r>
      <w:r w:rsidR="00264373" w:rsidRPr="007245B0">
        <w:t>Maharashtra</w:t>
      </w:r>
      <w:r w:rsidRPr="007245B0">
        <w:t xml:space="preserve"> and Gujarat States. The Fourth Finance Commission confirmed the same amounts to be guaranteed to each State. We also decided that it was not possible</w:t>
      </w:r>
      <w:r w:rsidR="00264373" w:rsidRPr="007245B0">
        <w:t xml:space="preserve"> to reopen the question of determining the amounts which should be deemed to represent the revenue realised by each State from sales tax on these items in 1956-57. We have only worked out the shares of the new States of Punjab and Haryana on the basis of the amount guaranteed to the former Punjab State.</w:t>
      </w:r>
    </w:p>
    <w:p w14:paraId="0E683952" w14:textId="6DE46C81" w:rsidR="00264373" w:rsidRPr="007245B0" w:rsidRDefault="00264373" w:rsidP="00861600">
      <w:pPr>
        <w:pStyle w:val="Heading3"/>
        <w:spacing w:line="320" w:lineRule="exact"/>
      </w:pPr>
      <w:r w:rsidRPr="007245B0">
        <w:t xml:space="preserve">Like the earlier Commissions, we have examined the question whether guaranteed amounts should first be set apart from the net proceeds and the balance </w:t>
      </w:r>
      <w:r w:rsidRPr="007245B0">
        <w:lastRenderedPageBreak/>
        <w:t>then distributed among the States on suitable principles, or whether the entire net proceeds should be distributed on suitable principles subject to ensuring that no State gets less than the guaranteed amount as its share. The previous Commissions adopted the first method as they felt that the alternative procedure might create difficulties in case some State’s share fell short of the guaranteed amount. On the basis of the forecast of receipts from this source furnished by the Government of India it appeared to us that this difficulty was not likely to arise. We could not, however, altogether rule out such a contingency. We decided, therefore, to continue the practice already followed in this regard.</w:t>
      </w:r>
    </w:p>
    <w:p w14:paraId="4F6BAAD9" w14:textId="69E39B05" w:rsidR="00264373" w:rsidRPr="007245B0" w:rsidRDefault="00264373" w:rsidP="00861600">
      <w:pPr>
        <w:pStyle w:val="Heading3"/>
        <w:spacing w:line="320" w:lineRule="exact"/>
      </w:pPr>
      <w:r w:rsidRPr="007245B0">
        <w:t>At present, one per cent of the net proceeds are retained as being attributable to Union territories, and 1.5 per cent and 0.05 per cent of the net proceeds are paid to Jammu and Kashmir and Nagaland as their respective shares. These percentages appear to have been adopted on an ad hoc basis. We consider that it will be more appropriate to determine the shares of these two States and the portion of the net proceeds attributable to Union territories on the basis of their respective populations. On this basis the portion to be retained by the Union as being attributable to Union territories will be 2.05 per cent of the net proceeds, while the shares of Jammu and Kashmir and Nagaland will be 0.83 per cent and 0.09 per cent thereof respectively.</w:t>
      </w:r>
    </w:p>
    <w:p w14:paraId="7086192D" w14:textId="47F77721" w:rsidR="00264373" w:rsidRPr="007245B0" w:rsidRDefault="00264373" w:rsidP="00861600">
      <w:pPr>
        <w:pStyle w:val="Heading3"/>
        <w:spacing w:line="320" w:lineRule="exact"/>
      </w:pPr>
      <w:r w:rsidRPr="007245B0">
        <w:t>In regard to the principles for distribution of the balance of the net proceeds of additional excise duties after excluding the total of the guaranteed amounts, the Fourth Finance Commission took the view that figures of collection of all sales taxes were more directly indicative of the contribution made by each State to the divisible surplus, than population. The figures of total sales tax collections have, however, certain limitations for this purpose. Sales taxes are levied at different rates and according to different systems in various States. On the other hand, the additional excise duties on sugar, textiles and tobacco are levied at uniform rates at a single point. Further, the rates of sales taxes vary with the nature of commodities. They are the lowest in case of raw materials and intermediate goods, higher on semi-luxuries than on necessaries, and the highest on luxuries. Sugar and the bulk of textiles belong to the group of necessaries while tobacco may be regarded as a semi-luxury. The richer States are likely to get larger sales tax realisations because of their higher consumption of luxuries and semi-luxuries. It is not possible to make allowances for all these variable factors in adjusting the figures of sales tax collections for this purpose. We can only exclude the realisations on inter-State sales, which are due to exports outside the States.</w:t>
      </w:r>
    </w:p>
    <w:p w14:paraId="6BD26918" w14:textId="66C338A5" w:rsidR="00264373" w:rsidRPr="007245B0" w:rsidRDefault="00264373" w:rsidP="00861600">
      <w:pPr>
        <w:pStyle w:val="Heading3"/>
        <w:spacing w:line="320" w:lineRule="exact"/>
      </w:pPr>
      <w:r w:rsidRPr="007245B0">
        <w:t>Theoretically, the best way of distributing the additional excise duties would be on the basis of consumption. The agreement reached at the National Development Council approving the scheme of additional excise duties on these three commodities had mentioned consumption as the basis of sharing. The data of Statewise consumption compiled by the Central Statistical Organisation include figures for these commodities, vide Tables 50</w:t>
      </w:r>
      <w:r w:rsidR="002266BF">
        <w:t>-</w:t>
      </w:r>
      <w:r w:rsidRPr="007245B0">
        <w:t xml:space="preserve">52. Sugar is being taxed at 4 per </w:t>
      </w:r>
      <w:r w:rsidRPr="007245B0">
        <w:lastRenderedPageBreak/>
        <w:t>cent </w:t>
      </w:r>
      <w:r w:rsidRPr="007245B0">
        <w:rPr>
          <w:i/>
          <w:iCs/>
        </w:rPr>
        <w:t>ad valorem</w:t>
      </w:r>
      <w:r w:rsidRPr="007245B0">
        <w:t> and price differences between different varieties are not large. Figures of sugar consumption by different States are available. In the case of cotton textiles, on which additional excise duties are levied at different rates on a quantitative basis from 3.6 paise to 15.5 paise per sq. metre, only the figures of total expenditure on clothing could be obtained. The statistics regarding tobacco are in terms of quantities of cigarettes consumed. According to the rates of duty in force at present, unmanufactured tobacco is being taxed at three different rates ranging from 6 paise to Rs. 1.10 per Kg. Cigarettes are liable to additional excise duty at rates varying from 5 per cent to 23 per cent, and the actual amounts of duty work out to something from less than 37 paise to more than Rs. 5.75 per thousand. Consumption figures cannot, therefore, furnish us with a satisfactory basis for distribution of proceeds of the additional excise duties. Considering all the circumstances, we have come to the conclusion that the excess of proceeds of additional excise duties over the guaranteed amounts should be distributed partly on the basis of sales tax collections (excluding inter-State sales tax) during the years 1965-66 to 1967-68, and partly on the basis of population. We have, accordingly worked out the percentage shares of States (other than Jammu and Kashmir and Nagaland) on this basis with equal weightage to sales tax collections and population. The shares of the States have been expressed in terms of percentage of the excess amount after payment of the guaranteed amounts.</w:t>
      </w:r>
    </w:p>
    <w:p w14:paraId="504443B3" w14:textId="44799A1F" w:rsidR="00264373" w:rsidRPr="007245B0" w:rsidRDefault="00264373" w:rsidP="00861600">
      <w:pPr>
        <w:pStyle w:val="Heading3"/>
        <w:spacing w:line="320" w:lineRule="exact"/>
      </w:pPr>
      <w:r w:rsidRPr="007245B0">
        <w:t>As we are unable to recommend the extension of the existing arrangements to other items or commodities, the question of considering the principles which should govern the distribution of net proceeds of such additional items mentioned in item (g) of paragraph 4 of the Presidential Order does not arise</w:t>
      </w:r>
      <w:r w:rsidR="00AC1D89">
        <w:t>.</w:t>
      </w:r>
    </w:p>
    <w:p w14:paraId="4FC936AA" w14:textId="4168372A" w:rsidR="00264373" w:rsidRPr="007245B0" w:rsidRDefault="00264373" w:rsidP="00861600">
      <w:pPr>
        <w:pStyle w:val="Heading3"/>
        <w:spacing w:line="320" w:lineRule="exact"/>
      </w:pPr>
      <w:r w:rsidRPr="007245B0">
        <w:t>Accordingly, we recommend that—</w:t>
      </w:r>
    </w:p>
    <w:p w14:paraId="02BA18FF" w14:textId="353B1D62" w:rsidR="00264373" w:rsidRPr="007C11A0" w:rsidRDefault="007C11A0" w:rsidP="00861600">
      <w:pPr>
        <w:pStyle w:val="ListParagraph"/>
        <w:numPr>
          <w:ilvl w:val="0"/>
          <w:numId w:val="61"/>
        </w:numPr>
        <w:spacing w:after="0" w:line="320" w:lineRule="exact"/>
        <w:jc w:val="both"/>
        <w:rPr>
          <w:rFonts w:ascii="Times New Roman" w:hAnsi="Times New Roman" w:cs="Times New Roman"/>
          <w:sz w:val="28"/>
          <w:szCs w:val="22"/>
        </w:rPr>
      </w:pPr>
      <w:r>
        <w:rPr>
          <w:rFonts w:ascii="Times New Roman" w:hAnsi="Times New Roman" w:cs="Times New Roman"/>
          <w:sz w:val="28"/>
          <w:szCs w:val="22"/>
        </w:rPr>
        <w:t xml:space="preserve">(a) </w:t>
      </w:r>
      <w:r w:rsidR="00264373" w:rsidRPr="007C11A0">
        <w:rPr>
          <w:rFonts w:ascii="Times New Roman" w:hAnsi="Times New Roman" w:cs="Times New Roman"/>
          <w:sz w:val="28"/>
          <w:szCs w:val="22"/>
        </w:rPr>
        <w:t>It would not be desirable to maintain the existing arrangements in regard to the levy of additional duties of excise on textiles, sugar and tobacco, unless the Government of India, after discussing the matter further with the State Governments, can arrive at a general agreement for the continuance of the present scheme with suitable modifications;</w:t>
      </w:r>
    </w:p>
    <w:p w14:paraId="385D9BAB" w14:textId="60DA626A" w:rsidR="00264373" w:rsidRPr="007C11A0" w:rsidRDefault="00264373" w:rsidP="00861600">
      <w:pPr>
        <w:spacing w:after="0" w:line="320" w:lineRule="exact"/>
        <w:ind w:left="1134"/>
        <w:jc w:val="both"/>
        <w:rPr>
          <w:rFonts w:ascii="Times New Roman" w:hAnsi="Times New Roman" w:cs="Times New Roman"/>
          <w:sz w:val="28"/>
          <w:szCs w:val="22"/>
        </w:rPr>
      </w:pPr>
      <w:r w:rsidRPr="007C11A0">
        <w:rPr>
          <w:rFonts w:ascii="Times New Roman" w:hAnsi="Times New Roman" w:cs="Times New Roman"/>
          <w:sz w:val="28"/>
          <w:szCs w:val="22"/>
        </w:rPr>
        <w:t>(b) While the arrangements are continued, the rates of duties may be made </w:t>
      </w:r>
      <w:r w:rsidRPr="007C11A0">
        <w:rPr>
          <w:rFonts w:ascii="Times New Roman" w:hAnsi="Times New Roman" w:cs="Times New Roman"/>
          <w:i/>
          <w:iCs/>
          <w:sz w:val="28"/>
          <w:szCs w:val="22"/>
        </w:rPr>
        <w:t>ad valorem</w:t>
      </w:r>
      <w:r w:rsidRPr="007C11A0">
        <w:rPr>
          <w:rFonts w:ascii="Times New Roman" w:hAnsi="Times New Roman" w:cs="Times New Roman"/>
          <w:sz w:val="28"/>
          <w:szCs w:val="22"/>
        </w:rPr>
        <w:t> as far as possible, and may be revised periodically so as to secure reasonable incidence having regard to the prevailing prices and the general level of sales taxes on similar items levied by the States;</w:t>
      </w:r>
    </w:p>
    <w:p w14:paraId="03C140F3" w14:textId="2BBF261E" w:rsidR="00264373" w:rsidRPr="007C11A0" w:rsidRDefault="00264373" w:rsidP="00861600">
      <w:pPr>
        <w:pStyle w:val="ListParagraph"/>
        <w:numPr>
          <w:ilvl w:val="0"/>
          <w:numId w:val="61"/>
        </w:numPr>
        <w:spacing w:after="0" w:line="320" w:lineRule="exact"/>
        <w:jc w:val="both"/>
        <w:rPr>
          <w:rFonts w:ascii="Times New Roman" w:hAnsi="Times New Roman" w:cs="Times New Roman"/>
          <w:sz w:val="28"/>
          <w:szCs w:val="22"/>
        </w:rPr>
      </w:pPr>
      <w:r w:rsidRPr="007C11A0">
        <w:rPr>
          <w:rFonts w:ascii="Times New Roman" w:hAnsi="Times New Roman" w:cs="Times New Roman"/>
          <w:sz w:val="28"/>
          <w:szCs w:val="22"/>
        </w:rPr>
        <w:t>There is no scope at present for extending such arrangements to other items or commodities;</w:t>
      </w:r>
    </w:p>
    <w:p w14:paraId="27E54C4C" w14:textId="1F47EDB1" w:rsidR="00264373" w:rsidRPr="007C11A0" w:rsidRDefault="00264373" w:rsidP="00861600">
      <w:pPr>
        <w:pStyle w:val="ListParagraph"/>
        <w:numPr>
          <w:ilvl w:val="0"/>
          <w:numId w:val="61"/>
        </w:numPr>
        <w:spacing w:after="0" w:line="320" w:lineRule="exact"/>
        <w:jc w:val="both"/>
        <w:rPr>
          <w:rFonts w:ascii="Times New Roman" w:hAnsi="Times New Roman" w:cs="Times New Roman"/>
          <w:sz w:val="28"/>
          <w:szCs w:val="22"/>
        </w:rPr>
      </w:pPr>
      <w:r w:rsidRPr="007C11A0">
        <w:rPr>
          <w:rFonts w:ascii="Times New Roman" w:hAnsi="Times New Roman" w:cs="Times New Roman"/>
          <w:sz w:val="28"/>
          <w:szCs w:val="22"/>
        </w:rPr>
        <w:t>The net proceeds of the additional excise duties during each financial year in which the existing arrangements continue, should be distributed on the following basis:</w:t>
      </w:r>
      <w:r w:rsidR="00861600">
        <w:rPr>
          <w:rFonts w:ascii="Times New Roman" w:hAnsi="Times New Roman" w:cs="Times New Roman"/>
          <w:sz w:val="28"/>
          <w:szCs w:val="22"/>
        </w:rPr>
        <w:t>-</w:t>
      </w:r>
    </w:p>
    <w:p w14:paraId="22ACC4EC" w14:textId="77777777" w:rsidR="00264373" w:rsidRPr="007C11A0" w:rsidRDefault="00264373" w:rsidP="00861600">
      <w:pPr>
        <w:spacing w:after="0" w:line="320" w:lineRule="exact"/>
        <w:ind w:left="1080"/>
        <w:jc w:val="both"/>
        <w:rPr>
          <w:rFonts w:ascii="Times New Roman" w:hAnsi="Times New Roman" w:cs="Times New Roman"/>
          <w:sz w:val="28"/>
          <w:szCs w:val="22"/>
        </w:rPr>
      </w:pPr>
      <w:r w:rsidRPr="007C11A0">
        <w:rPr>
          <w:rFonts w:ascii="Times New Roman" w:hAnsi="Times New Roman" w:cs="Times New Roman"/>
          <w:sz w:val="28"/>
          <w:szCs w:val="22"/>
        </w:rPr>
        <w:t>(a) A sum equal to 2·05 per cent of such net proceeds be retained by the Union as attributable to Union territories;</w:t>
      </w:r>
    </w:p>
    <w:p w14:paraId="590B45E2" w14:textId="77777777" w:rsidR="00264373" w:rsidRPr="007C11A0" w:rsidRDefault="00264373" w:rsidP="00861600">
      <w:pPr>
        <w:spacing w:after="0" w:line="320" w:lineRule="exact"/>
        <w:ind w:left="1080"/>
        <w:jc w:val="both"/>
        <w:rPr>
          <w:rFonts w:ascii="Times New Roman" w:hAnsi="Times New Roman" w:cs="Times New Roman"/>
          <w:sz w:val="28"/>
          <w:szCs w:val="22"/>
        </w:rPr>
      </w:pPr>
      <w:r w:rsidRPr="007C11A0">
        <w:rPr>
          <w:rFonts w:ascii="Times New Roman" w:hAnsi="Times New Roman" w:cs="Times New Roman"/>
          <w:sz w:val="28"/>
          <w:szCs w:val="22"/>
        </w:rPr>
        <w:lastRenderedPageBreak/>
        <w:t>(b) A sum equal to 0·83 per cent of such net proceeds be paid to the State of Jammu and Kashmir as its share;</w:t>
      </w:r>
    </w:p>
    <w:p w14:paraId="2084D921" w14:textId="77777777" w:rsidR="00264373" w:rsidRPr="007C11A0" w:rsidRDefault="00264373" w:rsidP="00861600">
      <w:pPr>
        <w:spacing w:after="0" w:line="320" w:lineRule="exact"/>
        <w:ind w:left="1080"/>
        <w:jc w:val="both"/>
        <w:rPr>
          <w:rFonts w:ascii="Times New Roman" w:hAnsi="Times New Roman" w:cs="Times New Roman"/>
          <w:sz w:val="28"/>
          <w:szCs w:val="22"/>
        </w:rPr>
      </w:pPr>
      <w:r w:rsidRPr="007C11A0">
        <w:rPr>
          <w:rFonts w:ascii="Times New Roman" w:hAnsi="Times New Roman" w:cs="Times New Roman"/>
          <w:sz w:val="28"/>
          <w:szCs w:val="22"/>
        </w:rPr>
        <w:t>(c) A sum equal to 0·09 per cent of such net proceeds be paid to the State of Nagaland as its share;</w:t>
      </w:r>
    </w:p>
    <w:p w14:paraId="238A7B4A" w14:textId="27CB7515" w:rsidR="00583A28" w:rsidRDefault="00264373" w:rsidP="00861600">
      <w:pPr>
        <w:spacing w:after="0" w:line="320" w:lineRule="exact"/>
        <w:ind w:left="1080"/>
        <w:jc w:val="both"/>
        <w:rPr>
          <w:rFonts w:ascii="Times New Roman" w:hAnsi="Times New Roman" w:cs="Times New Roman"/>
          <w:sz w:val="28"/>
          <w:szCs w:val="22"/>
        </w:rPr>
      </w:pPr>
      <w:r w:rsidRPr="007C11A0">
        <w:rPr>
          <w:rFonts w:ascii="Times New Roman" w:hAnsi="Times New Roman" w:cs="Times New Roman"/>
          <w:sz w:val="28"/>
          <w:szCs w:val="22"/>
        </w:rPr>
        <w:t>(d) Out of the remaining balance of 97·03 per cent of such net proceeds the sums specified below, representing the revenue realised in the financial year 1956-57 by each respective State from the levy of sales taxes on the commodities subject to additional excise duties, be first paid as guaranteed amounts to the following States:</w:t>
      </w:r>
      <w:r w:rsidR="002266BF">
        <w:rPr>
          <w:rFonts w:ascii="Times New Roman" w:hAnsi="Times New Roman" w:cs="Times New Roman"/>
          <w:sz w:val="28"/>
          <w:szCs w:val="22"/>
        </w:rPr>
        <w:t>-</w:t>
      </w:r>
    </w:p>
    <w:p w14:paraId="61F0FE5F" w14:textId="77777777" w:rsidR="00264373" w:rsidRDefault="00264373" w:rsidP="00861600">
      <w:pPr>
        <w:spacing w:after="0" w:line="300" w:lineRule="exact"/>
        <w:ind w:left="1080"/>
        <w:jc w:val="both"/>
        <w:rPr>
          <w:rFonts w:ascii="Times New Roman" w:hAnsi="Times New Roman" w:cs="Times New Roman"/>
          <w:sz w:val="28"/>
          <w:szCs w:val="22"/>
        </w:rPr>
      </w:pPr>
    </w:p>
    <w:tbl>
      <w:tblPr>
        <w:tblW w:w="6400" w:type="dxa"/>
        <w:jc w:val="center"/>
        <w:tblLook w:val="04A0" w:firstRow="1" w:lastRow="0" w:firstColumn="1" w:lastColumn="0" w:noHBand="0" w:noVBand="1"/>
      </w:tblPr>
      <w:tblGrid>
        <w:gridCol w:w="3169"/>
        <w:gridCol w:w="3231"/>
      </w:tblGrid>
      <w:tr w:rsidR="002266BF" w:rsidRPr="00583A28" w14:paraId="21266347" w14:textId="77777777" w:rsidTr="002266BF">
        <w:trPr>
          <w:trHeight w:val="533"/>
          <w:jc w:val="center"/>
        </w:trPr>
        <w:tc>
          <w:tcPr>
            <w:tcW w:w="3169" w:type="dxa"/>
            <w:vMerge w:val="restart"/>
            <w:tcBorders>
              <w:top w:val="single" w:sz="4" w:space="0" w:color="auto"/>
              <w:left w:val="single" w:sz="4" w:space="0" w:color="auto"/>
              <w:bottom w:val="single" w:sz="4" w:space="0" w:color="auto"/>
              <w:right w:val="single" w:sz="4" w:space="0" w:color="auto"/>
            </w:tcBorders>
            <w:vAlign w:val="center"/>
            <w:hideMark/>
          </w:tcPr>
          <w:p w14:paraId="65DAA6CA" w14:textId="77777777" w:rsidR="002266BF" w:rsidRPr="00583A28" w:rsidRDefault="002266BF" w:rsidP="00861600">
            <w:pPr>
              <w:spacing w:after="0" w:line="240" w:lineRule="auto"/>
              <w:rPr>
                <w:rFonts w:ascii="Times New Roman" w:eastAsia="Times New Roman" w:hAnsi="Times New Roman" w:cs="Times New Roman"/>
                <w:color w:val="000000"/>
                <w:kern w:val="0"/>
                <w:sz w:val="28"/>
                <w:szCs w:val="28"/>
                <w:lang w:eastAsia="en-IN"/>
                <w14:ligatures w14:val="none"/>
              </w:rPr>
            </w:pPr>
            <w:r w:rsidRPr="00583A28">
              <w:rPr>
                <w:rFonts w:ascii="Times New Roman" w:eastAsia="Times New Roman" w:hAnsi="Times New Roman" w:cs="Times New Roman"/>
                <w:color w:val="000000"/>
                <w:kern w:val="0"/>
                <w:sz w:val="28"/>
                <w:szCs w:val="28"/>
                <w:lang w:eastAsia="en-IN"/>
                <w14:ligatures w14:val="none"/>
              </w:rPr>
              <w:t>States</w:t>
            </w:r>
          </w:p>
        </w:tc>
        <w:tc>
          <w:tcPr>
            <w:tcW w:w="3231" w:type="dxa"/>
            <w:vMerge w:val="restart"/>
            <w:tcBorders>
              <w:top w:val="single" w:sz="4" w:space="0" w:color="auto"/>
              <w:left w:val="single" w:sz="4" w:space="0" w:color="auto"/>
              <w:bottom w:val="single" w:sz="4" w:space="0" w:color="auto"/>
              <w:right w:val="single" w:sz="4" w:space="0" w:color="auto"/>
            </w:tcBorders>
            <w:vAlign w:val="center"/>
            <w:hideMark/>
          </w:tcPr>
          <w:p w14:paraId="103D77B7" w14:textId="77777777" w:rsidR="002266BF" w:rsidRPr="00583A28" w:rsidRDefault="002266BF" w:rsidP="00861600">
            <w:pPr>
              <w:spacing w:after="0" w:line="240" w:lineRule="auto"/>
              <w:jc w:val="center"/>
              <w:rPr>
                <w:rFonts w:ascii="Times New Roman" w:eastAsia="Times New Roman" w:hAnsi="Times New Roman" w:cs="Times New Roman"/>
                <w:b/>
                <w:bCs/>
                <w:color w:val="000000"/>
                <w:kern w:val="0"/>
                <w:sz w:val="28"/>
                <w:szCs w:val="28"/>
                <w:lang w:eastAsia="en-IN"/>
                <w14:ligatures w14:val="none"/>
              </w:rPr>
            </w:pPr>
            <w:r w:rsidRPr="00583A28">
              <w:rPr>
                <w:rFonts w:ascii="Times New Roman" w:eastAsia="Times New Roman" w:hAnsi="Times New Roman" w:cs="Times New Roman"/>
                <w:b/>
                <w:bCs/>
                <w:color w:val="000000"/>
                <w:kern w:val="0"/>
                <w:sz w:val="28"/>
                <w:szCs w:val="28"/>
                <w:lang w:eastAsia="en-IN"/>
                <w14:ligatures w14:val="none"/>
              </w:rPr>
              <w:t>Guaranteed amount (Rs. lakhs)</w:t>
            </w:r>
          </w:p>
        </w:tc>
      </w:tr>
      <w:tr w:rsidR="002266BF" w:rsidRPr="00583A28" w14:paraId="501A85AD" w14:textId="77777777" w:rsidTr="002266BF">
        <w:trPr>
          <w:trHeight w:val="499"/>
          <w:jc w:val="center"/>
        </w:trPr>
        <w:tc>
          <w:tcPr>
            <w:tcW w:w="3169" w:type="dxa"/>
            <w:vMerge/>
            <w:tcBorders>
              <w:top w:val="single" w:sz="4" w:space="0" w:color="auto"/>
              <w:left w:val="single" w:sz="4" w:space="0" w:color="auto"/>
              <w:bottom w:val="single" w:sz="4" w:space="0" w:color="auto"/>
              <w:right w:val="single" w:sz="4" w:space="0" w:color="auto"/>
            </w:tcBorders>
            <w:vAlign w:val="center"/>
            <w:hideMark/>
          </w:tcPr>
          <w:p w14:paraId="58BB4C52" w14:textId="77777777" w:rsidR="002266BF" w:rsidRPr="00583A28" w:rsidRDefault="002266BF" w:rsidP="00861600">
            <w:pPr>
              <w:spacing w:after="0" w:line="240" w:lineRule="auto"/>
              <w:rPr>
                <w:rFonts w:ascii="Times New Roman" w:eastAsia="Times New Roman" w:hAnsi="Times New Roman" w:cs="Times New Roman"/>
                <w:color w:val="000000"/>
                <w:kern w:val="0"/>
                <w:sz w:val="28"/>
                <w:szCs w:val="28"/>
                <w:lang w:eastAsia="en-IN"/>
                <w14:ligatures w14:val="none"/>
              </w:rPr>
            </w:pPr>
          </w:p>
        </w:tc>
        <w:tc>
          <w:tcPr>
            <w:tcW w:w="3231" w:type="dxa"/>
            <w:vMerge/>
            <w:tcBorders>
              <w:top w:val="single" w:sz="4" w:space="0" w:color="auto"/>
              <w:left w:val="single" w:sz="4" w:space="0" w:color="auto"/>
              <w:bottom w:val="single" w:sz="4" w:space="0" w:color="auto"/>
              <w:right w:val="single" w:sz="4" w:space="0" w:color="auto"/>
            </w:tcBorders>
            <w:vAlign w:val="center"/>
            <w:hideMark/>
          </w:tcPr>
          <w:p w14:paraId="246BC21A" w14:textId="77777777" w:rsidR="002266BF" w:rsidRPr="00583A28" w:rsidRDefault="002266BF" w:rsidP="00861600">
            <w:pPr>
              <w:spacing w:after="0" w:line="240" w:lineRule="auto"/>
              <w:rPr>
                <w:rFonts w:ascii="Times New Roman" w:eastAsia="Times New Roman" w:hAnsi="Times New Roman" w:cs="Times New Roman"/>
                <w:b/>
                <w:bCs/>
                <w:color w:val="000000"/>
                <w:kern w:val="0"/>
                <w:sz w:val="28"/>
                <w:szCs w:val="28"/>
                <w:lang w:eastAsia="en-IN"/>
                <w14:ligatures w14:val="none"/>
              </w:rPr>
            </w:pPr>
          </w:p>
        </w:tc>
      </w:tr>
      <w:tr w:rsidR="002266BF" w:rsidRPr="00583A28" w14:paraId="7E5D5423" w14:textId="77777777" w:rsidTr="002266BF">
        <w:trPr>
          <w:trHeight w:val="20"/>
          <w:jc w:val="center"/>
        </w:trPr>
        <w:tc>
          <w:tcPr>
            <w:tcW w:w="3169" w:type="dxa"/>
            <w:tcBorders>
              <w:top w:val="nil"/>
              <w:left w:val="single" w:sz="4" w:space="0" w:color="auto"/>
              <w:bottom w:val="single" w:sz="4" w:space="0" w:color="auto"/>
              <w:right w:val="single" w:sz="4" w:space="0" w:color="auto"/>
            </w:tcBorders>
            <w:vAlign w:val="center"/>
            <w:hideMark/>
          </w:tcPr>
          <w:p w14:paraId="24871870" w14:textId="77777777" w:rsidR="002266BF" w:rsidRPr="00583A28" w:rsidRDefault="002266BF" w:rsidP="00861600">
            <w:pPr>
              <w:spacing w:after="0" w:line="240" w:lineRule="auto"/>
              <w:jc w:val="both"/>
              <w:rPr>
                <w:rFonts w:ascii="Times New Roman" w:eastAsia="Times New Roman" w:hAnsi="Times New Roman" w:cs="Times New Roman"/>
                <w:color w:val="000000"/>
                <w:kern w:val="0"/>
                <w:sz w:val="28"/>
                <w:szCs w:val="28"/>
                <w:lang w:eastAsia="en-IN"/>
                <w14:ligatures w14:val="none"/>
              </w:rPr>
            </w:pPr>
            <w:r w:rsidRPr="00583A28">
              <w:rPr>
                <w:rFonts w:ascii="Times New Roman" w:eastAsia="Times New Roman" w:hAnsi="Times New Roman" w:cs="Times New Roman"/>
                <w:color w:val="000000"/>
                <w:kern w:val="0"/>
                <w:sz w:val="28"/>
                <w:szCs w:val="28"/>
                <w:lang w:eastAsia="en-IN"/>
                <w14:ligatures w14:val="none"/>
              </w:rPr>
              <w:t>Andhra Pradesh</w:t>
            </w:r>
          </w:p>
        </w:tc>
        <w:tc>
          <w:tcPr>
            <w:tcW w:w="3231" w:type="dxa"/>
            <w:tcBorders>
              <w:top w:val="nil"/>
              <w:left w:val="nil"/>
              <w:bottom w:val="single" w:sz="4" w:space="0" w:color="auto"/>
              <w:right w:val="single" w:sz="4" w:space="0" w:color="auto"/>
            </w:tcBorders>
            <w:vAlign w:val="center"/>
            <w:hideMark/>
          </w:tcPr>
          <w:p w14:paraId="6DC14B50" w14:textId="77777777" w:rsidR="002266BF" w:rsidRPr="00583A28" w:rsidRDefault="002266BF" w:rsidP="00861600">
            <w:pPr>
              <w:spacing w:after="0" w:line="240" w:lineRule="auto"/>
              <w:jc w:val="center"/>
              <w:rPr>
                <w:rFonts w:ascii="Times New Roman" w:eastAsia="Times New Roman" w:hAnsi="Times New Roman" w:cs="Times New Roman"/>
                <w:color w:val="000000"/>
                <w:kern w:val="0"/>
                <w:sz w:val="28"/>
                <w:szCs w:val="28"/>
                <w:lang w:eastAsia="en-IN"/>
                <w14:ligatures w14:val="none"/>
              </w:rPr>
            </w:pPr>
            <w:r w:rsidRPr="00583A28">
              <w:rPr>
                <w:rFonts w:ascii="Times New Roman" w:eastAsia="Times New Roman" w:hAnsi="Times New Roman" w:cs="Times New Roman"/>
                <w:color w:val="000000"/>
                <w:kern w:val="0"/>
                <w:sz w:val="28"/>
                <w:szCs w:val="28"/>
                <w:lang w:eastAsia="en-IN"/>
                <w14:ligatures w14:val="none"/>
              </w:rPr>
              <w:t>235·24</w:t>
            </w:r>
          </w:p>
        </w:tc>
      </w:tr>
      <w:tr w:rsidR="002266BF" w:rsidRPr="00583A28" w14:paraId="631EDB5F" w14:textId="77777777" w:rsidTr="002266BF">
        <w:trPr>
          <w:trHeight w:val="20"/>
          <w:jc w:val="center"/>
        </w:trPr>
        <w:tc>
          <w:tcPr>
            <w:tcW w:w="3169" w:type="dxa"/>
            <w:tcBorders>
              <w:top w:val="nil"/>
              <w:left w:val="single" w:sz="4" w:space="0" w:color="auto"/>
              <w:bottom w:val="single" w:sz="4" w:space="0" w:color="auto"/>
              <w:right w:val="single" w:sz="4" w:space="0" w:color="auto"/>
            </w:tcBorders>
            <w:vAlign w:val="center"/>
            <w:hideMark/>
          </w:tcPr>
          <w:p w14:paraId="5D71BEF2" w14:textId="77777777" w:rsidR="002266BF" w:rsidRPr="00583A28" w:rsidRDefault="002266BF" w:rsidP="00861600">
            <w:pPr>
              <w:spacing w:after="0" w:line="240" w:lineRule="auto"/>
              <w:jc w:val="both"/>
              <w:rPr>
                <w:rFonts w:ascii="Times New Roman" w:eastAsia="Times New Roman" w:hAnsi="Times New Roman" w:cs="Times New Roman"/>
                <w:color w:val="000000"/>
                <w:kern w:val="0"/>
                <w:sz w:val="28"/>
                <w:szCs w:val="28"/>
                <w:lang w:eastAsia="en-IN"/>
                <w14:ligatures w14:val="none"/>
              </w:rPr>
            </w:pPr>
            <w:r w:rsidRPr="00583A28">
              <w:rPr>
                <w:rFonts w:ascii="Times New Roman" w:eastAsia="Times New Roman" w:hAnsi="Times New Roman" w:cs="Times New Roman"/>
                <w:color w:val="000000"/>
                <w:kern w:val="0"/>
                <w:sz w:val="28"/>
                <w:szCs w:val="28"/>
                <w:lang w:eastAsia="en-IN"/>
                <w14:ligatures w14:val="none"/>
              </w:rPr>
              <w:t>Assam</w:t>
            </w:r>
          </w:p>
        </w:tc>
        <w:tc>
          <w:tcPr>
            <w:tcW w:w="3231" w:type="dxa"/>
            <w:tcBorders>
              <w:top w:val="nil"/>
              <w:left w:val="nil"/>
              <w:bottom w:val="single" w:sz="4" w:space="0" w:color="auto"/>
              <w:right w:val="single" w:sz="4" w:space="0" w:color="auto"/>
            </w:tcBorders>
            <w:vAlign w:val="center"/>
            <w:hideMark/>
          </w:tcPr>
          <w:p w14:paraId="6FB72A0B" w14:textId="77777777" w:rsidR="002266BF" w:rsidRPr="00583A28" w:rsidRDefault="002266BF" w:rsidP="00861600">
            <w:pPr>
              <w:spacing w:after="0" w:line="240" w:lineRule="auto"/>
              <w:jc w:val="center"/>
              <w:rPr>
                <w:rFonts w:ascii="Times New Roman" w:eastAsia="Times New Roman" w:hAnsi="Times New Roman" w:cs="Times New Roman"/>
                <w:color w:val="000000"/>
                <w:kern w:val="0"/>
                <w:sz w:val="28"/>
                <w:szCs w:val="28"/>
                <w:lang w:eastAsia="en-IN"/>
                <w14:ligatures w14:val="none"/>
              </w:rPr>
            </w:pPr>
            <w:r w:rsidRPr="00583A28">
              <w:rPr>
                <w:rFonts w:ascii="Times New Roman" w:eastAsia="Times New Roman" w:hAnsi="Times New Roman" w:cs="Times New Roman"/>
                <w:color w:val="000000"/>
                <w:kern w:val="0"/>
                <w:sz w:val="28"/>
                <w:szCs w:val="28"/>
                <w:lang w:eastAsia="en-IN"/>
                <w14:ligatures w14:val="none"/>
              </w:rPr>
              <w:t>85·08</w:t>
            </w:r>
          </w:p>
        </w:tc>
      </w:tr>
      <w:tr w:rsidR="002266BF" w:rsidRPr="00583A28" w14:paraId="311811CF" w14:textId="77777777" w:rsidTr="002266BF">
        <w:trPr>
          <w:trHeight w:val="20"/>
          <w:jc w:val="center"/>
        </w:trPr>
        <w:tc>
          <w:tcPr>
            <w:tcW w:w="3169" w:type="dxa"/>
            <w:tcBorders>
              <w:top w:val="nil"/>
              <w:left w:val="single" w:sz="4" w:space="0" w:color="auto"/>
              <w:bottom w:val="single" w:sz="4" w:space="0" w:color="auto"/>
              <w:right w:val="single" w:sz="4" w:space="0" w:color="auto"/>
            </w:tcBorders>
            <w:vAlign w:val="center"/>
            <w:hideMark/>
          </w:tcPr>
          <w:p w14:paraId="31D2C725" w14:textId="77777777" w:rsidR="002266BF" w:rsidRPr="00583A28" w:rsidRDefault="002266BF" w:rsidP="00861600">
            <w:pPr>
              <w:spacing w:after="0" w:line="240" w:lineRule="auto"/>
              <w:jc w:val="both"/>
              <w:rPr>
                <w:rFonts w:ascii="Times New Roman" w:eastAsia="Times New Roman" w:hAnsi="Times New Roman" w:cs="Times New Roman"/>
                <w:color w:val="000000"/>
                <w:kern w:val="0"/>
                <w:sz w:val="28"/>
                <w:szCs w:val="28"/>
                <w:lang w:eastAsia="en-IN"/>
                <w14:ligatures w14:val="none"/>
              </w:rPr>
            </w:pPr>
            <w:r w:rsidRPr="00583A28">
              <w:rPr>
                <w:rFonts w:ascii="Times New Roman" w:eastAsia="Times New Roman" w:hAnsi="Times New Roman" w:cs="Times New Roman"/>
                <w:color w:val="000000"/>
                <w:kern w:val="0"/>
                <w:sz w:val="28"/>
                <w:szCs w:val="28"/>
                <w:lang w:eastAsia="en-IN"/>
                <w14:ligatures w14:val="none"/>
              </w:rPr>
              <w:t>Bihar</w:t>
            </w:r>
          </w:p>
        </w:tc>
        <w:tc>
          <w:tcPr>
            <w:tcW w:w="3231" w:type="dxa"/>
            <w:tcBorders>
              <w:top w:val="nil"/>
              <w:left w:val="nil"/>
              <w:bottom w:val="single" w:sz="4" w:space="0" w:color="auto"/>
              <w:right w:val="single" w:sz="4" w:space="0" w:color="auto"/>
            </w:tcBorders>
            <w:vAlign w:val="center"/>
            <w:hideMark/>
          </w:tcPr>
          <w:p w14:paraId="7E2EA50A" w14:textId="77777777" w:rsidR="002266BF" w:rsidRPr="00583A28" w:rsidRDefault="002266BF" w:rsidP="00861600">
            <w:pPr>
              <w:spacing w:after="0" w:line="240" w:lineRule="auto"/>
              <w:jc w:val="center"/>
              <w:rPr>
                <w:rFonts w:ascii="Times New Roman" w:eastAsia="Times New Roman" w:hAnsi="Times New Roman" w:cs="Times New Roman"/>
                <w:color w:val="000000"/>
                <w:kern w:val="0"/>
                <w:sz w:val="28"/>
                <w:szCs w:val="28"/>
                <w:lang w:eastAsia="en-IN"/>
                <w14:ligatures w14:val="none"/>
              </w:rPr>
            </w:pPr>
            <w:r w:rsidRPr="00583A28">
              <w:rPr>
                <w:rFonts w:ascii="Times New Roman" w:eastAsia="Times New Roman" w:hAnsi="Times New Roman" w:cs="Times New Roman"/>
                <w:color w:val="000000"/>
                <w:kern w:val="0"/>
                <w:sz w:val="28"/>
                <w:szCs w:val="28"/>
                <w:lang w:eastAsia="en-IN"/>
                <w14:ligatures w14:val="none"/>
              </w:rPr>
              <w:t>130·16</w:t>
            </w:r>
          </w:p>
        </w:tc>
      </w:tr>
      <w:tr w:rsidR="002266BF" w:rsidRPr="00583A28" w14:paraId="44DC281C" w14:textId="77777777" w:rsidTr="002266BF">
        <w:trPr>
          <w:trHeight w:val="20"/>
          <w:jc w:val="center"/>
        </w:trPr>
        <w:tc>
          <w:tcPr>
            <w:tcW w:w="3169" w:type="dxa"/>
            <w:tcBorders>
              <w:top w:val="nil"/>
              <w:left w:val="single" w:sz="4" w:space="0" w:color="auto"/>
              <w:bottom w:val="single" w:sz="4" w:space="0" w:color="auto"/>
              <w:right w:val="single" w:sz="4" w:space="0" w:color="auto"/>
            </w:tcBorders>
            <w:vAlign w:val="center"/>
            <w:hideMark/>
          </w:tcPr>
          <w:p w14:paraId="036FEE98" w14:textId="77777777" w:rsidR="002266BF" w:rsidRPr="00583A28" w:rsidRDefault="002266BF" w:rsidP="00861600">
            <w:pPr>
              <w:spacing w:after="0" w:line="240" w:lineRule="auto"/>
              <w:jc w:val="both"/>
              <w:rPr>
                <w:rFonts w:ascii="Times New Roman" w:eastAsia="Times New Roman" w:hAnsi="Times New Roman" w:cs="Times New Roman"/>
                <w:color w:val="000000"/>
                <w:kern w:val="0"/>
                <w:sz w:val="28"/>
                <w:szCs w:val="28"/>
                <w:lang w:eastAsia="en-IN"/>
                <w14:ligatures w14:val="none"/>
              </w:rPr>
            </w:pPr>
            <w:r w:rsidRPr="00583A28">
              <w:rPr>
                <w:rFonts w:ascii="Times New Roman" w:eastAsia="Times New Roman" w:hAnsi="Times New Roman" w:cs="Times New Roman"/>
                <w:color w:val="000000"/>
                <w:kern w:val="0"/>
                <w:sz w:val="28"/>
                <w:szCs w:val="28"/>
                <w:lang w:eastAsia="en-IN"/>
                <w14:ligatures w14:val="none"/>
              </w:rPr>
              <w:t>Gujarat</w:t>
            </w:r>
          </w:p>
        </w:tc>
        <w:tc>
          <w:tcPr>
            <w:tcW w:w="3231" w:type="dxa"/>
            <w:tcBorders>
              <w:top w:val="nil"/>
              <w:left w:val="nil"/>
              <w:bottom w:val="single" w:sz="4" w:space="0" w:color="auto"/>
              <w:right w:val="single" w:sz="4" w:space="0" w:color="auto"/>
            </w:tcBorders>
            <w:vAlign w:val="center"/>
            <w:hideMark/>
          </w:tcPr>
          <w:p w14:paraId="78210020" w14:textId="77777777" w:rsidR="002266BF" w:rsidRPr="00583A28" w:rsidRDefault="002266BF" w:rsidP="00861600">
            <w:pPr>
              <w:spacing w:after="0" w:line="240" w:lineRule="auto"/>
              <w:jc w:val="center"/>
              <w:rPr>
                <w:rFonts w:ascii="Times New Roman" w:eastAsia="Times New Roman" w:hAnsi="Times New Roman" w:cs="Times New Roman"/>
                <w:color w:val="000000"/>
                <w:kern w:val="0"/>
                <w:sz w:val="28"/>
                <w:szCs w:val="28"/>
                <w:lang w:eastAsia="en-IN"/>
                <w14:ligatures w14:val="none"/>
              </w:rPr>
            </w:pPr>
            <w:r w:rsidRPr="00583A28">
              <w:rPr>
                <w:rFonts w:ascii="Times New Roman" w:eastAsia="Times New Roman" w:hAnsi="Times New Roman" w:cs="Times New Roman"/>
                <w:color w:val="000000"/>
                <w:kern w:val="0"/>
                <w:sz w:val="28"/>
                <w:szCs w:val="28"/>
                <w:lang w:eastAsia="en-IN"/>
                <w14:ligatures w14:val="none"/>
              </w:rPr>
              <w:t>323·45</w:t>
            </w:r>
          </w:p>
        </w:tc>
      </w:tr>
      <w:tr w:rsidR="002266BF" w:rsidRPr="00583A28" w14:paraId="19C7C973" w14:textId="77777777" w:rsidTr="002266BF">
        <w:trPr>
          <w:trHeight w:val="20"/>
          <w:jc w:val="center"/>
        </w:trPr>
        <w:tc>
          <w:tcPr>
            <w:tcW w:w="3169" w:type="dxa"/>
            <w:tcBorders>
              <w:top w:val="nil"/>
              <w:left w:val="single" w:sz="4" w:space="0" w:color="auto"/>
              <w:bottom w:val="single" w:sz="4" w:space="0" w:color="auto"/>
              <w:right w:val="single" w:sz="4" w:space="0" w:color="auto"/>
            </w:tcBorders>
            <w:vAlign w:val="center"/>
            <w:hideMark/>
          </w:tcPr>
          <w:p w14:paraId="4CFB88D9" w14:textId="77777777" w:rsidR="002266BF" w:rsidRPr="00583A28" w:rsidRDefault="002266BF" w:rsidP="00861600">
            <w:pPr>
              <w:spacing w:after="0" w:line="240" w:lineRule="auto"/>
              <w:jc w:val="both"/>
              <w:rPr>
                <w:rFonts w:ascii="Times New Roman" w:eastAsia="Times New Roman" w:hAnsi="Times New Roman" w:cs="Times New Roman"/>
                <w:color w:val="000000"/>
                <w:kern w:val="0"/>
                <w:sz w:val="28"/>
                <w:szCs w:val="28"/>
                <w:lang w:eastAsia="en-IN"/>
                <w14:ligatures w14:val="none"/>
              </w:rPr>
            </w:pPr>
            <w:r w:rsidRPr="00583A28">
              <w:rPr>
                <w:rFonts w:ascii="Times New Roman" w:eastAsia="Times New Roman" w:hAnsi="Times New Roman" w:cs="Times New Roman"/>
                <w:color w:val="000000"/>
                <w:kern w:val="0"/>
                <w:sz w:val="28"/>
                <w:szCs w:val="28"/>
                <w:lang w:eastAsia="en-IN"/>
                <w14:ligatures w14:val="none"/>
              </w:rPr>
              <w:t>Haryana</w:t>
            </w:r>
          </w:p>
        </w:tc>
        <w:tc>
          <w:tcPr>
            <w:tcW w:w="3231" w:type="dxa"/>
            <w:tcBorders>
              <w:top w:val="nil"/>
              <w:left w:val="nil"/>
              <w:bottom w:val="single" w:sz="4" w:space="0" w:color="auto"/>
              <w:right w:val="single" w:sz="4" w:space="0" w:color="auto"/>
            </w:tcBorders>
            <w:vAlign w:val="center"/>
            <w:hideMark/>
          </w:tcPr>
          <w:p w14:paraId="68BDBC07" w14:textId="77777777" w:rsidR="002266BF" w:rsidRPr="00583A28" w:rsidRDefault="002266BF" w:rsidP="00861600">
            <w:pPr>
              <w:spacing w:after="0" w:line="240" w:lineRule="auto"/>
              <w:jc w:val="center"/>
              <w:rPr>
                <w:rFonts w:ascii="Times New Roman" w:eastAsia="Times New Roman" w:hAnsi="Times New Roman" w:cs="Times New Roman"/>
                <w:color w:val="000000"/>
                <w:kern w:val="0"/>
                <w:sz w:val="28"/>
                <w:szCs w:val="28"/>
                <w:lang w:eastAsia="en-IN"/>
                <w14:ligatures w14:val="none"/>
              </w:rPr>
            </w:pPr>
            <w:r w:rsidRPr="00583A28">
              <w:rPr>
                <w:rFonts w:ascii="Times New Roman" w:eastAsia="Times New Roman" w:hAnsi="Times New Roman" w:cs="Times New Roman"/>
                <w:color w:val="000000"/>
                <w:kern w:val="0"/>
                <w:sz w:val="28"/>
                <w:szCs w:val="28"/>
                <w:lang w:eastAsia="en-IN"/>
                <w14:ligatures w14:val="none"/>
              </w:rPr>
              <w:t>65·49</w:t>
            </w:r>
          </w:p>
        </w:tc>
      </w:tr>
      <w:tr w:rsidR="002266BF" w:rsidRPr="00583A28" w14:paraId="19A0991D" w14:textId="77777777" w:rsidTr="002266BF">
        <w:trPr>
          <w:trHeight w:val="20"/>
          <w:jc w:val="center"/>
        </w:trPr>
        <w:tc>
          <w:tcPr>
            <w:tcW w:w="3169" w:type="dxa"/>
            <w:tcBorders>
              <w:top w:val="nil"/>
              <w:left w:val="single" w:sz="4" w:space="0" w:color="auto"/>
              <w:bottom w:val="single" w:sz="4" w:space="0" w:color="auto"/>
              <w:right w:val="single" w:sz="4" w:space="0" w:color="auto"/>
            </w:tcBorders>
            <w:vAlign w:val="center"/>
            <w:hideMark/>
          </w:tcPr>
          <w:p w14:paraId="2088002B" w14:textId="77777777" w:rsidR="002266BF" w:rsidRPr="00583A28" w:rsidRDefault="002266BF" w:rsidP="00861600">
            <w:pPr>
              <w:spacing w:after="0" w:line="240" w:lineRule="auto"/>
              <w:jc w:val="both"/>
              <w:rPr>
                <w:rFonts w:ascii="Times New Roman" w:eastAsia="Times New Roman" w:hAnsi="Times New Roman" w:cs="Times New Roman"/>
                <w:color w:val="000000"/>
                <w:kern w:val="0"/>
                <w:sz w:val="28"/>
                <w:szCs w:val="28"/>
                <w:lang w:eastAsia="en-IN"/>
                <w14:ligatures w14:val="none"/>
              </w:rPr>
            </w:pPr>
            <w:r w:rsidRPr="00583A28">
              <w:rPr>
                <w:rFonts w:ascii="Times New Roman" w:eastAsia="Times New Roman" w:hAnsi="Times New Roman" w:cs="Times New Roman"/>
                <w:color w:val="000000"/>
                <w:kern w:val="0"/>
                <w:sz w:val="28"/>
                <w:szCs w:val="28"/>
                <w:lang w:eastAsia="en-IN"/>
                <w14:ligatures w14:val="none"/>
              </w:rPr>
              <w:t>Kerala</w:t>
            </w:r>
          </w:p>
        </w:tc>
        <w:tc>
          <w:tcPr>
            <w:tcW w:w="3231" w:type="dxa"/>
            <w:tcBorders>
              <w:top w:val="nil"/>
              <w:left w:val="nil"/>
              <w:bottom w:val="single" w:sz="4" w:space="0" w:color="auto"/>
              <w:right w:val="single" w:sz="4" w:space="0" w:color="auto"/>
            </w:tcBorders>
            <w:vAlign w:val="center"/>
            <w:hideMark/>
          </w:tcPr>
          <w:p w14:paraId="1C7B3EBA" w14:textId="77777777" w:rsidR="002266BF" w:rsidRPr="00583A28" w:rsidRDefault="002266BF" w:rsidP="00861600">
            <w:pPr>
              <w:spacing w:after="0" w:line="240" w:lineRule="auto"/>
              <w:jc w:val="center"/>
              <w:rPr>
                <w:rFonts w:ascii="Times New Roman" w:eastAsia="Times New Roman" w:hAnsi="Times New Roman" w:cs="Times New Roman"/>
                <w:color w:val="000000"/>
                <w:kern w:val="0"/>
                <w:sz w:val="28"/>
                <w:szCs w:val="28"/>
                <w:lang w:eastAsia="en-IN"/>
                <w14:ligatures w14:val="none"/>
              </w:rPr>
            </w:pPr>
            <w:r w:rsidRPr="00583A28">
              <w:rPr>
                <w:rFonts w:ascii="Times New Roman" w:eastAsia="Times New Roman" w:hAnsi="Times New Roman" w:cs="Times New Roman"/>
                <w:color w:val="000000"/>
                <w:kern w:val="0"/>
                <w:sz w:val="28"/>
                <w:szCs w:val="28"/>
                <w:lang w:eastAsia="en-IN"/>
                <w14:ligatures w14:val="none"/>
              </w:rPr>
              <w:t>95·08</w:t>
            </w:r>
          </w:p>
        </w:tc>
      </w:tr>
      <w:tr w:rsidR="002266BF" w:rsidRPr="00583A28" w14:paraId="21B3AC83" w14:textId="77777777" w:rsidTr="002266BF">
        <w:trPr>
          <w:trHeight w:val="20"/>
          <w:jc w:val="center"/>
        </w:trPr>
        <w:tc>
          <w:tcPr>
            <w:tcW w:w="3169" w:type="dxa"/>
            <w:tcBorders>
              <w:top w:val="nil"/>
              <w:left w:val="single" w:sz="4" w:space="0" w:color="auto"/>
              <w:bottom w:val="single" w:sz="4" w:space="0" w:color="auto"/>
              <w:right w:val="single" w:sz="4" w:space="0" w:color="auto"/>
            </w:tcBorders>
            <w:vAlign w:val="center"/>
            <w:hideMark/>
          </w:tcPr>
          <w:p w14:paraId="411EA26F" w14:textId="77777777" w:rsidR="002266BF" w:rsidRPr="00583A28" w:rsidRDefault="002266BF" w:rsidP="00861600">
            <w:pPr>
              <w:spacing w:after="0" w:line="240" w:lineRule="auto"/>
              <w:jc w:val="both"/>
              <w:rPr>
                <w:rFonts w:ascii="Times New Roman" w:eastAsia="Times New Roman" w:hAnsi="Times New Roman" w:cs="Times New Roman"/>
                <w:color w:val="000000"/>
                <w:kern w:val="0"/>
                <w:sz w:val="28"/>
                <w:szCs w:val="28"/>
                <w:lang w:eastAsia="en-IN"/>
                <w14:ligatures w14:val="none"/>
              </w:rPr>
            </w:pPr>
            <w:r w:rsidRPr="00583A28">
              <w:rPr>
                <w:rFonts w:ascii="Times New Roman" w:eastAsia="Times New Roman" w:hAnsi="Times New Roman" w:cs="Times New Roman"/>
                <w:color w:val="000000"/>
                <w:kern w:val="0"/>
                <w:sz w:val="28"/>
                <w:szCs w:val="28"/>
                <w:lang w:eastAsia="en-IN"/>
                <w14:ligatures w14:val="none"/>
              </w:rPr>
              <w:t>Madhya Pradesh</w:t>
            </w:r>
          </w:p>
        </w:tc>
        <w:tc>
          <w:tcPr>
            <w:tcW w:w="3231" w:type="dxa"/>
            <w:tcBorders>
              <w:top w:val="nil"/>
              <w:left w:val="nil"/>
              <w:bottom w:val="single" w:sz="4" w:space="0" w:color="auto"/>
              <w:right w:val="single" w:sz="4" w:space="0" w:color="auto"/>
            </w:tcBorders>
            <w:vAlign w:val="center"/>
            <w:hideMark/>
          </w:tcPr>
          <w:p w14:paraId="4F4A5F4E" w14:textId="77777777" w:rsidR="002266BF" w:rsidRPr="00583A28" w:rsidRDefault="002266BF" w:rsidP="00861600">
            <w:pPr>
              <w:spacing w:after="0" w:line="240" w:lineRule="auto"/>
              <w:jc w:val="center"/>
              <w:rPr>
                <w:rFonts w:ascii="Times New Roman" w:eastAsia="Times New Roman" w:hAnsi="Times New Roman" w:cs="Times New Roman"/>
                <w:color w:val="000000"/>
                <w:kern w:val="0"/>
                <w:sz w:val="28"/>
                <w:szCs w:val="28"/>
                <w:lang w:eastAsia="en-IN"/>
                <w14:ligatures w14:val="none"/>
              </w:rPr>
            </w:pPr>
            <w:r w:rsidRPr="00583A28">
              <w:rPr>
                <w:rFonts w:ascii="Times New Roman" w:eastAsia="Times New Roman" w:hAnsi="Times New Roman" w:cs="Times New Roman"/>
                <w:color w:val="000000"/>
                <w:kern w:val="0"/>
                <w:sz w:val="28"/>
                <w:szCs w:val="28"/>
                <w:lang w:eastAsia="en-IN"/>
                <w14:ligatures w14:val="none"/>
              </w:rPr>
              <w:t>155·17</w:t>
            </w:r>
          </w:p>
        </w:tc>
      </w:tr>
      <w:tr w:rsidR="002266BF" w:rsidRPr="00583A28" w14:paraId="37197565" w14:textId="77777777" w:rsidTr="002266BF">
        <w:trPr>
          <w:trHeight w:val="20"/>
          <w:jc w:val="center"/>
        </w:trPr>
        <w:tc>
          <w:tcPr>
            <w:tcW w:w="3169" w:type="dxa"/>
            <w:tcBorders>
              <w:top w:val="nil"/>
              <w:left w:val="single" w:sz="4" w:space="0" w:color="auto"/>
              <w:bottom w:val="single" w:sz="4" w:space="0" w:color="auto"/>
              <w:right w:val="single" w:sz="4" w:space="0" w:color="auto"/>
            </w:tcBorders>
            <w:vAlign w:val="center"/>
            <w:hideMark/>
          </w:tcPr>
          <w:p w14:paraId="04EDF33D" w14:textId="77777777" w:rsidR="002266BF" w:rsidRPr="00583A28" w:rsidRDefault="002266BF" w:rsidP="00861600">
            <w:pPr>
              <w:spacing w:after="0" w:line="240" w:lineRule="auto"/>
              <w:jc w:val="both"/>
              <w:rPr>
                <w:rFonts w:ascii="Times New Roman" w:eastAsia="Times New Roman" w:hAnsi="Times New Roman" w:cs="Times New Roman"/>
                <w:color w:val="000000"/>
                <w:kern w:val="0"/>
                <w:sz w:val="28"/>
                <w:szCs w:val="28"/>
                <w:lang w:eastAsia="en-IN"/>
                <w14:ligatures w14:val="none"/>
              </w:rPr>
            </w:pPr>
            <w:r w:rsidRPr="00583A28">
              <w:rPr>
                <w:rFonts w:ascii="Times New Roman" w:eastAsia="Times New Roman" w:hAnsi="Times New Roman" w:cs="Times New Roman"/>
                <w:color w:val="000000"/>
                <w:kern w:val="0"/>
                <w:sz w:val="28"/>
                <w:szCs w:val="28"/>
                <w:lang w:eastAsia="en-IN"/>
                <w14:ligatures w14:val="none"/>
              </w:rPr>
              <w:t>Maharashtra</w:t>
            </w:r>
          </w:p>
        </w:tc>
        <w:tc>
          <w:tcPr>
            <w:tcW w:w="3231" w:type="dxa"/>
            <w:tcBorders>
              <w:top w:val="nil"/>
              <w:left w:val="nil"/>
              <w:bottom w:val="single" w:sz="4" w:space="0" w:color="auto"/>
              <w:right w:val="single" w:sz="4" w:space="0" w:color="auto"/>
            </w:tcBorders>
            <w:vAlign w:val="center"/>
            <w:hideMark/>
          </w:tcPr>
          <w:p w14:paraId="37990FE0" w14:textId="77777777" w:rsidR="002266BF" w:rsidRPr="00583A28" w:rsidRDefault="002266BF" w:rsidP="00861600">
            <w:pPr>
              <w:spacing w:after="0" w:line="240" w:lineRule="auto"/>
              <w:jc w:val="center"/>
              <w:rPr>
                <w:rFonts w:ascii="Times New Roman" w:eastAsia="Times New Roman" w:hAnsi="Times New Roman" w:cs="Times New Roman"/>
                <w:color w:val="000000"/>
                <w:kern w:val="0"/>
                <w:sz w:val="28"/>
                <w:szCs w:val="28"/>
                <w:lang w:eastAsia="en-IN"/>
                <w14:ligatures w14:val="none"/>
              </w:rPr>
            </w:pPr>
            <w:r w:rsidRPr="00583A28">
              <w:rPr>
                <w:rFonts w:ascii="Times New Roman" w:eastAsia="Times New Roman" w:hAnsi="Times New Roman" w:cs="Times New Roman"/>
                <w:color w:val="000000"/>
                <w:kern w:val="0"/>
                <w:sz w:val="28"/>
                <w:szCs w:val="28"/>
                <w:lang w:eastAsia="en-IN"/>
                <w14:ligatures w14:val="none"/>
              </w:rPr>
              <w:t>637·77</w:t>
            </w:r>
          </w:p>
        </w:tc>
      </w:tr>
      <w:tr w:rsidR="002266BF" w:rsidRPr="00583A28" w14:paraId="1A6297D0" w14:textId="77777777" w:rsidTr="002266BF">
        <w:trPr>
          <w:trHeight w:val="20"/>
          <w:jc w:val="center"/>
        </w:trPr>
        <w:tc>
          <w:tcPr>
            <w:tcW w:w="3169" w:type="dxa"/>
            <w:tcBorders>
              <w:top w:val="nil"/>
              <w:left w:val="single" w:sz="4" w:space="0" w:color="auto"/>
              <w:bottom w:val="single" w:sz="4" w:space="0" w:color="auto"/>
              <w:right w:val="single" w:sz="4" w:space="0" w:color="auto"/>
            </w:tcBorders>
            <w:vAlign w:val="center"/>
            <w:hideMark/>
          </w:tcPr>
          <w:p w14:paraId="66B974D6" w14:textId="77777777" w:rsidR="002266BF" w:rsidRPr="00583A28" w:rsidRDefault="002266BF" w:rsidP="00861600">
            <w:pPr>
              <w:spacing w:after="0" w:line="240" w:lineRule="auto"/>
              <w:jc w:val="both"/>
              <w:rPr>
                <w:rFonts w:ascii="Times New Roman" w:eastAsia="Times New Roman" w:hAnsi="Times New Roman" w:cs="Times New Roman"/>
                <w:color w:val="000000"/>
                <w:kern w:val="0"/>
                <w:sz w:val="28"/>
                <w:szCs w:val="28"/>
                <w:lang w:eastAsia="en-IN"/>
                <w14:ligatures w14:val="none"/>
              </w:rPr>
            </w:pPr>
            <w:r w:rsidRPr="00583A28">
              <w:rPr>
                <w:rFonts w:ascii="Times New Roman" w:eastAsia="Times New Roman" w:hAnsi="Times New Roman" w:cs="Times New Roman"/>
                <w:color w:val="000000"/>
                <w:kern w:val="0"/>
                <w:sz w:val="28"/>
                <w:szCs w:val="28"/>
                <w:lang w:eastAsia="en-IN"/>
                <w14:ligatures w14:val="none"/>
              </w:rPr>
              <w:t>Mysore</w:t>
            </w:r>
          </w:p>
        </w:tc>
        <w:tc>
          <w:tcPr>
            <w:tcW w:w="3231" w:type="dxa"/>
            <w:tcBorders>
              <w:top w:val="nil"/>
              <w:left w:val="nil"/>
              <w:bottom w:val="single" w:sz="4" w:space="0" w:color="auto"/>
              <w:right w:val="single" w:sz="4" w:space="0" w:color="auto"/>
            </w:tcBorders>
            <w:vAlign w:val="center"/>
            <w:hideMark/>
          </w:tcPr>
          <w:p w14:paraId="73C42B14" w14:textId="77777777" w:rsidR="002266BF" w:rsidRPr="00583A28" w:rsidRDefault="002266BF" w:rsidP="00861600">
            <w:pPr>
              <w:spacing w:after="0" w:line="240" w:lineRule="auto"/>
              <w:jc w:val="center"/>
              <w:rPr>
                <w:rFonts w:ascii="Times New Roman" w:eastAsia="Times New Roman" w:hAnsi="Times New Roman" w:cs="Times New Roman"/>
                <w:color w:val="000000"/>
                <w:kern w:val="0"/>
                <w:sz w:val="28"/>
                <w:szCs w:val="28"/>
                <w:lang w:eastAsia="en-IN"/>
                <w14:ligatures w14:val="none"/>
              </w:rPr>
            </w:pPr>
            <w:r w:rsidRPr="00583A28">
              <w:rPr>
                <w:rFonts w:ascii="Times New Roman" w:eastAsia="Times New Roman" w:hAnsi="Times New Roman" w:cs="Times New Roman"/>
                <w:color w:val="000000"/>
                <w:kern w:val="0"/>
                <w:sz w:val="28"/>
                <w:szCs w:val="28"/>
                <w:lang w:eastAsia="en-IN"/>
                <w14:ligatures w14:val="none"/>
              </w:rPr>
              <w:t>100·10</w:t>
            </w:r>
          </w:p>
        </w:tc>
      </w:tr>
      <w:tr w:rsidR="002266BF" w:rsidRPr="00583A28" w14:paraId="146AEDDB" w14:textId="77777777" w:rsidTr="002266BF">
        <w:trPr>
          <w:trHeight w:val="20"/>
          <w:jc w:val="center"/>
        </w:trPr>
        <w:tc>
          <w:tcPr>
            <w:tcW w:w="3169" w:type="dxa"/>
            <w:tcBorders>
              <w:top w:val="nil"/>
              <w:left w:val="single" w:sz="4" w:space="0" w:color="auto"/>
              <w:bottom w:val="single" w:sz="4" w:space="0" w:color="auto"/>
              <w:right w:val="single" w:sz="4" w:space="0" w:color="auto"/>
            </w:tcBorders>
            <w:vAlign w:val="center"/>
            <w:hideMark/>
          </w:tcPr>
          <w:p w14:paraId="5366CBCC" w14:textId="77777777" w:rsidR="002266BF" w:rsidRPr="00583A28" w:rsidRDefault="002266BF" w:rsidP="00861600">
            <w:pPr>
              <w:spacing w:after="0" w:line="240" w:lineRule="auto"/>
              <w:jc w:val="both"/>
              <w:rPr>
                <w:rFonts w:ascii="Times New Roman" w:eastAsia="Times New Roman" w:hAnsi="Times New Roman" w:cs="Times New Roman"/>
                <w:color w:val="000000"/>
                <w:kern w:val="0"/>
                <w:sz w:val="28"/>
                <w:szCs w:val="28"/>
                <w:lang w:eastAsia="en-IN"/>
                <w14:ligatures w14:val="none"/>
              </w:rPr>
            </w:pPr>
            <w:r w:rsidRPr="00583A28">
              <w:rPr>
                <w:rFonts w:ascii="Times New Roman" w:eastAsia="Times New Roman" w:hAnsi="Times New Roman" w:cs="Times New Roman"/>
                <w:color w:val="000000"/>
                <w:kern w:val="0"/>
                <w:sz w:val="28"/>
                <w:szCs w:val="28"/>
                <w:lang w:eastAsia="en-IN"/>
                <w14:ligatures w14:val="none"/>
              </w:rPr>
              <w:t>Orissa</w:t>
            </w:r>
          </w:p>
        </w:tc>
        <w:tc>
          <w:tcPr>
            <w:tcW w:w="3231" w:type="dxa"/>
            <w:tcBorders>
              <w:top w:val="nil"/>
              <w:left w:val="nil"/>
              <w:bottom w:val="single" w:sz="4" w:space="0" w:color="auto"/>
              <w:right w:val="single" w:sz="4" w:space="0" w:color="auto"/>
            </w:tcBorders>
            <w:vAlign w:val="center"/>
            <w:hideMark/>
          </w:tcPr>
          <w:p w14:paraId="29A524A8" w14:textId="77777777" w:rsidR="002266BF" w:rsidRPr="00583A28" w:rsidRDefault="002266BF" w:rsidP="00861600">
            <w:pPr>
              <w:spacing w:after="0" w:line="240" w:lineRule="auto"/>
              <w:jc w:val="center"/>
              <w:rPr>
                <w:rFonts w:ascii="Times New Roman" w:eastAsia="Times New Roman" w:hAnsi="Times New Roman" w:cs="Times New Roman"/>
                <w:color w:val="000000"/>
                <w:kern w:val="0"/>
                <w:sz w:val="28"/>
                <w:szCs w:val="28"/>
                <w:lang w:eastAsia="en-IN"/>
                <w14:ligatures w14:val="none"/>
              </w:rPr>
            </w:pPr>
            <w:r w:rsidRPr="00583A28">
              <w:rPr>
                <w:rFonts w:ascii="Times New Roman" w:eastAsia="Times New Roman" w:hAnsi="Times New Roman" w:cs="Times New Roman"/>
                <w:color w:val="000000"/>
                <w:kern w:val="0"/>
                <w:sz w:val="28"/>
                <w:szCs w:val="28"/>
                <w:lang w:eastAsia="en-IN"/>
                <w14:ligatures w14:val="none"/>
              </w:rPr>
              <w:t>85·10</w:t>
            </w:r>
          </w:p>
        </w:tc>
      </w:tr>
      <w:tr w:rsidR="002266BF" w:rsidRPr="00583A28" w14:paraId="01499D01" w14:textId="77777777" w:rsidTr="002266BF">
        <w:trPr>
          <w:trHeight w:val="20"/>
          <w:jc w:val="center"/>
        </w:trPr>
        <w:tc>
          <w:tcPr>
            <w:tcW w:w="3169" w:type="dxa"/>
            <w:tcBorders>
              <w:top w:val="nil"/>
              <w:left w:val="single" w:sz="4" w:space="0" w:color="auto"/>
              <w:bottom w:val="single" w:sz="4" w:space="0" w:color="auto"/>
              <w:right w:val="single" w:sz="4" w:space="0" w:color="auto"/>
            </w:tcBorders>
            <w:vAlign w:val="center"/>
            <w:hideMark/>
          </w:tcPr>
          <w:p w14:paraId="65339950" w14:textId="77777777" w:rsidR="002266BF" w:rsidRPr="00583A28" w:rsidRDefault="002266BF" w:rsidP="00861600">
            <w:pPr>
              <w:spacing w:after="0" w:line="240" w:lineRule="auto"/>
              <w:jc w:val="both"/>
              <w:rPr>
                <w:rFonts w:ascii="Times New Roman" w:eastAsia="Times New Roman" w:hAnsi="Times New Roman" w:cs="Times New Roman"/>
                <w:color w:val="000000"/>
                <w:kern w:val="0"/>
                <w:sz w:val="28"/>
                <w:szCs w:val="28"/>
                <w:lang w:eastAsia="en-IN"/>
                <w14:ligatures w14:val="none"/>
              </w:rPr>
            </w:pPr>
            <w:r w:rsidRPr="00583A28">
              <w:rPr>
                <w:rFonts w:ascii="Times New Roman" w:eastAsia="Times New Roman" w:hAnsi="Times New Roman" w:cs="Times New Roman"/>
                <w:color w:val="000000"/>
                <w:kern w:val="0"/>
                <w:sz w:val="28"/>
                <w:szCs w:val="28"/>
                <w:lang w:eastAsia="en-IN"/>
                <w14:ligatures w14:val="none"/>
              </w:rPr>
              <w:t>Punjab</w:t>
            </w:r>
          </w:p>
        </w:tc>
        <w:tc>
          <w:tcPr>
            <w:tcW w:w="3231" w:type="dxa"/>
            <w:tcBorders>
              <w:top w:val="nil"/>
              <w:left w:val="nil"/>
              <w:bottom w:val="single" w:sz="4" w:space="0" w:color="auto"/>
              <w:right w:val="single" w:sz="4" w:space="0" w:color="auto"/>
            </w:tcBorders>
            <w:vAlign w:val="center"/>
            <w:hideMark/>
          </w:tcPr>
          <w:p w14:paraId="078D7918" w14:textId="77777777" w:rsidR="002266BF" w:rsidRPr="00583A28" w:rsidRDefault="002266BF" w:rsidP="00861600">
            <w:pPr>
              <w:spacing w:after="0" w:line="240" w:lineRule="auto"/>
              <w:jc w:val="center"/>
              <w:rPr>
                <w:rFonts w:ascii="Times New Roman" w:eastAsia="Times New Roman" w:hAnsi="Times New Roman" w:cs="Times New Roman"/>
                <w:color w:val="000000"/>
                <w:kern w:val="0"/>
                <w:sz w:val="28"/>
                <w:szCs w:val="28"/>
                <w:lang w:eastAsia="en-IN"/>
                <w14:ligatures w14:val="none"/>
              </w:rPr>
            </w:pPr>
            <w:r w:rsidRPr="00583A28">
              <w:rPr>
                <w:rFonts w:ascii="Times New Roman" w:eastAsia="Times New Roman" w:hAnsi="Times New Roman" w:cs="Times New Roman"/>
                <w:color w:val="000000"/>
                <w:kern w:val="0"/>
                <w:sz w:val="28"/>
                <w:szCs w:val="28"/>
                <w:lang w:eastAsia="en-IN"/>
                <w14:ligatures w14:val="none"/>
              </w:rPr>
              <w:t>96·07</w:t>
            </w:r>
          </w:p>
        </w:tc>
      </w:tr>
      <w:tr w:rsidR="002266BF" w:rsidRPr="00583A28" w14:paraId="134E8446" w14:textId="77777777" w:rsidTr="002266BF">
        <w:trPr>
          <w:trHeight w:val="20"/>
          <w:jc w:val="center"/>
        </w:trPr>
        <w:tc>
          <w:tcPr>
            <w:tcW w:w="3169" w:type="dxa"/>
            <w:tcBorders>
              <w:top w:val="nil"/>
              <w:left w:val="single" w:sz="4" w:space="0" w:color="auto"/>
              <w:bottom w:val="single" w:sz="4" w:space="0" w:color="auto"/>
              <w:right w:val="single" w:sz="4" w:space="0" w:color="auto"/>
            </w:tcBorders>
            <w:vAlign w:val="center"/>
            <w:hideMark/>
          </w:tcPr>
          <w:p w14:paraId="0018F2CE" w14:textId="77777777" w:rsidR="002266BF" w:rsidRPr="00583A28" w:rsidRDefault="002266BF" w:rsidP="00861600">
            <w:pPr>
              <w:spacing w:after="0" w:line="240" w:lineRule="auto"/>
              <w:jc w:val="both"/>
              <w:rPr>
                <w:rFonts w:ascii="Times New Roman" w:eastAsia="Times New Roman" w:hAnsi="Times New Roman" w:cs="Times New Roman"/>
                <w:color w:val="000000"/>
                <w:kern w:val="0"/>
                <w:sz w:val="28"/>
                <w:szCs w:val="28"/>
                <w:lang w:eastAsia="en-IN"/>
                <w14:ligatures w14:val="none"/>
              </w:rPr>
            </w:pPr>
            <w:r w:rsidRPr="00583A28">
              <w:rPr>
                <w:rFonts w:ascii="Times New Roman" w:eastAsia="Times New Roman" w:hAnsi="Times New Roman" w:cs="Times New Roman"/>
                <w:color w:val="000000"/>
                <w:kern w:val="0"/>
                <w:sz w:val="28"/>
                <w:szCs w:val="28"/>
                <w:lang w:eastAsia="en-IN"/>
                <w14:ligatures w14:val="none"/>
              </w:rPr>
              <w:t>Rajasthan</w:t>
            </w:r>
          </w:p>
        </w:tc>
        <w:tc>
          <w:tcPr>
            <w:tcW w:w="3231" w:type="dxa"/>
            <w:tcBorders>
              <w:top w:val="nil"/>
              <w:left w:val="nil"/>
              <w:bottom w:val="single" w:sz="4" w:space="0" w:color="auto"/>
              <w:right w:val="single" w:sz="4" w:space="0" w:color="auto"/>
            </w:tcBorders>
            <w:vAlign w:val="center"/>
            <w:hideMark/>
          </w:tcPr>
          <w:p w14:paraId="5827683B" w14:textId="77777777" w:rsidR="002266BF" w:rsidRPr="00583A28" w:rsidRDefault="002266BF" w:rsidP="00861600">
            <w:pPr>
              <w:spacing w:after="0" w:line="240" w:lineRule="auto"/>
              <w:jc w:val="center"/>
              <w:rPr>
                <w:rFonts w:ascii="Times New Roman" w:eastAsia="Times New Roman" w:hAnsi="Times New Roman" w:cs="Times New Roman"/>
                <w:color w:val="000000"/>
                <w:kern w:val="0"/>
                <w:sz w:val="28"/>
                <w:szCs w:val="28"/>
                <w:lang w:eastAsia="en-IN"/>
                <w14:ligatures w14:val="none"/>
              </w:rPr>
            </w:pPr>
            <w:r w:rsidRPr="00583A28">
              <w:rPr>
                <w:rFonts w:ascii="Times New Roman" w:eastAsia="Times New Roman" w:hAnsi="Times New Roman" w:cs="Times New Roman"/>
                <w:color w:val="000000"/>
                <w:kern w:val="0"/>
                <w:sz w:val="28"/>
                <w:szCs w:val="28"/>
                <w:lang w:eastAsia="en-IN"/>
                <w14:ligatures w14:val="none"/>
              </w:rPr>
              <w:t>90·10</w:t>
            </w:r>
          </w:p>
        </w:tc>
      </w:tr>
      <w:tr w:rsidR="002266BF" w:rsidRPr="00583A28" w14:paraId="12757505" w14:textId="77777777" w:rsidTr="002266BF">
        <w:trPr>
          <w:trHeight w:val="20"/>
          <w:jc w:val="center"/>
        </w:trPr>
        <w:tc>
          <w:tcPr>
            <w:tcW w:w="3169" w:type="dxa"/>
            <w:tcBorders>
              <w:top w:val="nil"/>
              <w:left w:val="single" w:sz="4" w:space="0" w:color="auto"/>
              <w:bottom w:val="single" w:sz="4" w:space="0" w:color="auto"/>
              <w:right w:val="single" w:sz="4" w:space="0" w:color="auto"/>
            </w:tcBorders>
            <w:vAlign w:val="center"/>
            <w:hideMark/>
          </w:tcPr>
          <w:p w14:paraId="46352535" w14:textId="77777777" w:rsidR="002266BF" w:rsidRPr="00583A28" w:rsidRDefault="002266BF" w:rsidP="00861600">
            <w:pPr>
              <w:spacing w:after="0" w:line="240" w:lineRule="auto"/>
              <w:jc w:val="both"/>
              <w:rPr>
                <w:rFonts w:ascii="Times New Roman" w:eastAsia="Times New Roman" w:hAnsi="Times New Roman" w:cs="Times New Roman"/>
                <w:color w:val="000000"/>
                <w:kern w:val="0"/>
                <w:sz w:val="28"/>
                <w:szCs w:val="28"/>
                <w:lang w:eastAsia="en-IN"/>
                <w14:ligatures w14:val="none"/>
              </w:rPr>
            </w:pPr>
            <w:r w:rsidRPr="00583A28">
              <w:rPr>
                <w:rFonts w:ascii="Times New Roman" w:eastAsia="Times New Roman" w:hAnsi="Times New Roman" w:cs="Times New Roman"/>
                <w:color w:val="000000"/>
                <w:kern w:val="0"/>
                <w:sz w:val="28"/>
                <w:szCs w:val="28"/>
                <w:lang w:eastAsia="en-IN"/>
                <w14:ligatures w14:val="none"/>
              </w:rPr>
              <w:t>Tamil Nadu</w:t>
            </w:r>
          </w:p>
        </w:tc>
        <w:tc>
          <w:tcPr>
            <w:tcW w:w="3231" w:type="dxa"/>
            <w:tcBorders>
              <w:top w:val="nil"/>
              <w:left w:val="nil"/>
              <w:bottom w:val="single" w:sz="4" w:space="0" w:color="auto"/>
              <w:right w:val="single" w:sz="4" w:space="0" w:color="auto"/>
            </w:tcBorders>
            <w:vAlign w:val="center"/>
            <w:hideMark/>
          </w:tcPr>
          <w:p w14:paraId="7FE1296F" w14:textId="77777777" w:rsidR="002266BF" w:rsidRPr="00583A28" w:rsidRDefault="002266BF" w:rsidP="00861600">
            <w:pPr>
              <w:spacing w:after="0" w:line="240" w:lineRule="auto"/>
              <w:jc w:val="center"/>
              <w:rPr>
                <w:rFonts w:ascii="Times New Roman" w:eastAsia="Times New Roman" w:hAnsi="Times New Roman" w:cs="Times New Roman"/>
                <w:color w:val="000000"/>
                <w:kern w:val="0"/>
                <w:sz w:val="28"/>
                <w:szCs w:val="28"/>
                <w:lang w:eastAsia="en-IN"/>
                <w14:ligatures w14:val="none"/>
              </w:rPr>
            </w:pPr>
            <w:r w:rsidRPr="00583A28">
              <w:rPr>
                <w:rFonts w:ascii="Times New Roman" w:eastAsia="Times New Roman" w:hAnsi="Times New Roman" w:cs="Times New Roman"/>
                <w:color w:val="000000"/>
                <w:kern w:val="0"/>
                <w:sz w:val="28"/>
                <w:szCs w:val="28"/>
                <w:lang w:eastAsia="en-IN"/>
                <w14:ligatures w14:val="none"/>
              </w:rPr>
              <w:t>285·34</w:t>
            </w:r>
          </w:p>
        </w:tc>
      </w:tr>
      <w:tr w:rsidR="002266BF" w:rsidRPr="00583A28" w14:paraId="54DBA7C6" w14:textId="77777777" w:rsidTr="002266BF">
        <w:trPr>
          <w:trHeight w:val="20"/>
          <w:jc w:val="center"/>
        </w:trPr>
        <w:tc>
          <w:tcPr>
            <w:tcW w:w="3169" w:type="dxa"/>
            <w:tcBorders>
              <w:top w:val="nil"/>
              <w:left w:val="single" w:sz="4" w:space="0" w:color="auto"/>
              <w:bottom w:val="single" w:sz="4" w:space="0" w:color="auto"/>
              <w:right w:val="single" w:sz="4" w:space="0" w:color="auto"/>
            </w:tcBorders>
            <w:vAlign w:val="center"/>
            <w:hideMark/>
          </w:tcPr>
          <w:p w14:paraId="3F170587" w14:textId="77777777" w:rsidR="002266BF" w:rsidRPr="00583A28" w:rsidRDefault="002266BF" w:rsidP="00861600">
            <w:pPr>
              <w:spacing w:after="0" w:line="240" w:lineRule="auto"/>
              <w:jc w:val="both"/>
              <w:rPr>
                <w:rFonts w:ascii="Times New Roman" w:eastAsia="Times New Roman" w:hAnsi="Times New Roman" w:cs="Times New Roman"/>
                <w:color w:val="000000"/>
                <w:kern w:val="0"/>
                <w:sz w:val="28"/>
                <w:szCs w:val="28"/>
                <w:lang w:eastAsia="en-IN"/>
                <w14:ligatures w14:val="none"/>
              </w:rPr>
            </w:pPr>
            <w:r w:rsidRPr="00583A28">
              <w:rPr>
                <w:rFonts w:ascii="Times New Roman" w:eastAsia="Times New Roman" w:hAnsi="Times New Roman" w:cs="Times New Roman"/>
                <w:color w:val="000000"/>
                <w:kern w:val="0"/>
                <w:sz w:val="28"/>
                <w:szCs w:val="28"/>
                <w:lang w:eastAsia="en-IN"/>
                <w14:ligatures w14:val="none"/>
              </w:rPr>
              <w:t>Uttar Pradesh</w:t>
            </w:r>
          </w:p>
        </w:tc>
        <w:tc>
          <w:tcPr>
            <w:tcW w:w="3231" w:type="dxa"/>
            <w:tcBorders>
              <w:top w:val="nil"/>
              <w:left w:val="nil"/>
              <w:bottom w:val="single" w:sz="4" w:space="0" w:color="auto"/>
              <w:right w:val="single" w:sz="4" w:space="0" w:color="auto"/>
            </w:tcBorders>
            <w:vAlign w:val="center"/>
            <w:hideMark/>
          </w:tcPr>
          <w:p w14:paraId="713BD52C" w14:textId="77777777" w:rsidR="002266BF" w:rsidRPr="00583A28" w:rsidRDefault="002266BF" w:rsidP="00861600">
            <w:pPr>
              <w:spacing w:after="0" w:line="240" w:lineRule="auto"/>
              <w:jc w:val="center"/>
              <w:rPr>
                <w:rFonts w:ascii="Times New Roman" w:eastAsia="Times New Roman" w:hAnsi="Times New Roman" w:cs="Times New Roman"/>
                <w:color w:val="000000"/>
                <w:kern w:val="0"/>
                <w:sz w:val="28"/>
                <w:szCs w:val="28"/>
                <w:lang w:eastAsia="en-IN"/>
                <w14:ligatures w14:val="none"/>
              </w:rPr>
            </w:pPr>
            <w:r w:rsidRPr="00583A28">
              <w:rPr>
                <w:rFonts w:ascii="Times New Roman" w:eastAsia="Times New Roman" w:hAnsi="Times New Roman" w:cs="Times New Roman"/>
                <w:color w:val="000000"/>
                <w:kern w:val="0"/>
                <w:sz w:val="28"/>
                <w:szCs w:val="28"/>
                <w:lang w:eastAsia="en-IN"/>
                <w14:ligatures w14:val="none"/>
              </w:rPr>
              <w:t>575·81</w:t>
            </w:r>
          </w:p>
        </w:tc>
      </w:tr>
      <w:tr w:rsidR="002266BF" w:rsidRPr="00583A28" w14:paraId="3B6B903E" w14:textId="77777777" w:rsidTr="002266BF">
        <w:trPr>
          <w:trHeight w:val="20"/>
          <w:jc w:val="center"/>
        </w:trPr>
        <w:tc>
          <w:tcPr>
            <w:tcW w:w="3169" w:type="dxa"/>
            <w:tcBorders>
              <w:top w:val="nil"/>
              <w:left w:val="single" w:sz="4" w:space="0" w:color="auto"/>
              <w:bottom w:val="single" w:sz="4" w:space="0" w:color="auto"/>
              <w:right w:val="single" w:sz="4" w:space="0" w:color="auto"/>
            </w:tcBorders>
            <w:vAlign w:val="center"/>
            <w:hideMark/>
          </w:tcPr>
          <w:p w14:paraId="09C04BAC" w14:textId="77777777" w:rsidR="002266BF" w:rsidRPr="00583A28" w:rsidRDefault="002266BF" w:rsidP="00861600">
            <w:pPr>
              <w:spacing w:after="0" w:line="240" w:lineRule="auto"/>
              <w:jc w:val="both"/>
              <w:rPr>
                <w:rFonts w:ascii="Times New Roman" w:eastAsia="Times New Roman" w:hAnsi="Times New Roman" w:cs="Times New Roman"/>
                <w:color w:val="000000"/>
                <w:kern w:val="0"/>
                <w:sz w:val="28"/>
                <w:szCs w:val="28"/>
                <w:lang w:eastAsia="en-IN"/>
                <w14:ligatures w14:val="none"/>
              </w:rPr>
            </w:pPr>
            <w:r w:rsidRPr="00583A28">
              <w:rPr>
                <w:rFonts w:ascii="Times New Roman" w:eastAsia="Times New Roman" w:hAnsi="Times New Roman" w:cs="Times New Roman"/>
                <w:color w:val="000000"/>
                <w:kern w:val="0"/>
                <w:sz w:val="28"/>
                <w:szCs w:val="28"/>
                <w:lang w:eastAsia="en-IN"/>
                <w14:ligatures w14:val="none"/>
              </w:rPr>
              <w:t>West Bengal</w:t>
            </w:r>
          </w:p>
        </w:tc>
        <w:tc>
          <w:tcPr>
            <w:tcW w:w="3231" w:type="dxa"/>
            <w:tcBorders>
              <w:top w:val="nil"/>
              <w:left w:val="nil"/>
              <w:bottom w:val="single" w:sz="4" w:space="0" w:color="auto"/>
              <w:right w:val="single" w:sz="4" w:space="0" w:color="auto"/>
            </w:tcBorders>
            <w:vAlign w:val="center"/>
            <w:hideMark/>
          </w:tcPr>
          <w:p w14:paraId="3123B8D0" w14:textId="77777777" w:rsidR="002266BF" w:rsidRPr="00583A28" w:rsidRDefault="002266BF" w:rsidP="00861600">
            <w:pPr>
              <w:spacing w:after="0" w:line="240" w:lineRule="auto"/>
              <w:jc w:val="center"/>
              <w:rPr>
                <w:rFonts w:ascii="Times New Roman" w:eastAsia="Times New Roman" w:hAnsi="Times New Roman" w:cs="Times New Roman"/>
                <w:color w:val="000000"/>
                <w:kern w:val="0"/>
                <w:sz w:val="28"/>
                <w:szCs w:val="28"/>
                <w:lang w:eastAsia="en-IN"/>
                <w14:ligatures w14:val="none"/>
              </w:rPr>
            </w:pPr>
            <w:r w:rsidRPr="00583A28">
              <w:rPr>
                <w:rFonts w:ascii="Times New Roman" w:eastAsia="Times New Roman" w:hAnsi="Times New Roman" w:cs="Times New Roman"/>
                <w:color w:val="000000"/>
                <w:kern w:val="0"/>
                <w:sz w:val="28"/>
                <w:szCs w:val="28"/>
                <w:lang w:eastAsia="en-IN"/>
                <w14:ligatures w14:val="none"/>
              </w:rPr>
              <w:t>280·41</w:t>
            </w:r>
          </w:p>
        </w:tc>
      </w:tr>
    </w:tbl>
    <w:p w14:paraId="7B1FEBB4" w14:textId="51FB4E59" w:rsidR="00255141" w:rsidRPr="00583A28" w:rsidRDefault="00255141" w:rsidP="00861600">
      <w:pPr>
        <w:spacing w:before="240" w:line="300" w:lineRule="exact"/>
        <w:ind w:left="720"/>
        <w:jc w:val="both"/>
        <w:rPr>
          <w:rFonts w:ascii="Times New Roman" w:hAnsi="Times New Roman" w:cs="Times New Roman"/>
          <w:sz w:val="28"/>
          <w:szCs w:val="22"/>
        </w:rPr>
      </w:pPr>
      <w:r w:rsidRPr="00583A28">
        <w:rPr>
          <w:rFonts w:ascii="Times New Roman" w:hAnsi="Times New Roman" w:cs="Times New Roman"/>
          <w:sz w:val="28"/>
          <w:szCs w:val="22"/>
        </w:rPr>
        <w:t>(e) The balance be distributed among the States other than Jammu and Kashmir and Nagaland in accordance with their respective percentage shares of such balance as under:</w:t>
      </w:r>
      <w:r w:rsidR="002266BF">
        <w:rPr>
          <w:rFonts w:ascii="Times New Roman" w:hAnsi="Times New Roman" w:cs="Times New Roman"/>
          <w:sz w:val="28"/>
          <w:szCs w:val="22"/>
        </w:rPr>
        <w:t>-</w:t>
      </w:r>
    </w:p>
    <w:tbl>
      <w:tblPr>
        <w:tblW w:w="6315" w:type="dxa"/>
        <w:jc w:val="center"/>
        <w:tblLook w:val="04A0" w:firstRow="1" w:lastRow="0" w:firstColumn="1" w:lastColumn="0" w:noHBand="0" w:noVBand="1"/>
      </w:tblPr>
      <w:tblGrid>
        <w:gridCol w:w="3142"/>
        <w:gridCol w:w="3173"/>
      </w:tblGrid>
      <w:tr w:rsidR="00583A28" w:rsidRPr="00583A28" w14:paraId="132A8BCE" w14:textId="77777777" w:rsidTr="00583A28">
        <w:trPr>
          <w:trHeight w:val="19"/>
          <w:jc w:val="center"/>
        </w:trPr>
        <w:tc>
          <w:tcPr>
            <w:tcW w:w="3142" w:type="dxa"/>
            <w:tcBorders>
              <w:top w:val="single" w:sz="4" w:space="0" w:color="auto"/>
              <w:left w:val="single" w:sz="4" w:space="0" w:color="auto"/>
              <w:bottom w:val="single" w:sz="4" w:space="0" w:color="auto"/>
              <w:right w:val="single" w:sz="4" w:space="0" w:color="auto"/>
            </w:tcBorders>
            <w:vAlign w:val="center"/>
            <w:hideMark/>
          </w:tcPr>
          <w:p w14:paraId="5E2B8D6C" w14:textId="77777777" w:rsidR="00583A28" w:rsidRPr="00583A28" w:rsidRDefault="00583A28" w:rsidP="00583A28">
            <w:pPr>
              <w:spacing w:after="0" w:line="240" w:lineRule="auto"/>
              <w:jc w:val="center"/>
              <w:rPr>
                <w:rFonts w:ascii="Times New Roman" w:eastAsia="Times New Roman" w:hAnsi="Times New Roman" w:cs="Times New Roman"/>
                <w:b/>
                <w:bCs/>
                <w:color w:val="000000"/>
                <w:kern w:val="0"/>
                <w:sz w:val="28"/>
                <w:szCs w:val="28"/>
                <w:lang w:eastAsia="en-IN"/>
                <w14:ligatures w14:val="none"/>
              </w:rPr>
            </w:pPr>
            <w:r w:rsidRPr="00583A28">
              <w:rPr>
                <w:rFonts w:ascii="Times New Roman" w:eastAsia="Times New Roman" w:hAnsi="Times New Roman" w:cs="Times New Roman"/>
                <w:b/>
                <w:bCs/>
                <w:color w:val="000000"/>
                <w:kern w:val="0"/>
                <w:sz w:val="28"/>
                <w:szCs w:val="28"/>
                <w:lang w:eastAsia="en-IN"/>
                <w14:ligatures w14:val="none"/>
              </w:rPr>
              <w:t>States</w:t>
            </w:r>
          </w:p>
        </w:tc>
        <w:tc>
          <w:tcPr>
            <w:tcW w:w="3173" w:type="dxa"/>
            <w:tcBorders>
              <w:top w:val="single" w:sz="4" w:space="0" w:color="auto"/>
              <w:left w:val="nil"/>
              <w:bottom w:val="single" w:sz="4" w:space="0" w:color="auto"/>
              <w:right w:val="single" w:sz="4" w:space="0" w:color="auto"/>
            </w:tcBorders>
            <w:vAlign w:val="center"/>
            <w:hideMark/>
          </w:tcPr>
          <w:p w14:paraId="47DD62F7" w14:textId="77777777" w:rsidR="00583A28" w:rsidRPr="00583A28" w:rsidRDefault="00583A28" w:rsidP="00583A28">
            <w:pPr>
              <w:spacing w:after="0" w:line="240" w:lineRule="auto"/>
              <w:jc w:val="center"/>
              <w:rPr>
                <w:rFonts w:ascii="Times New Roman" w:eastAsia="Times New Roman" w:hAnsi="Times New Roman" w:cs="Times New Roman"/>
                <w:b/>
                <w:bCs/>
                <w:color w:val="000000"/>
                <w:kern w:val="0"/>
                <w:sz w:val="28"/>
                <w:szCs w:val="28"/>
                <w:lang w:eastAsia="en-IN"/>
                <w14:ligatures w14:val="none"/>
              </w:rPr>
            </w:pPr>
            <w:r w:rsidRPr="00583A28">
              <w:rPr>
                <w:rFonts w:ascii="Times New Roman" w:eastAsia="Times New Roman" w:hAnsi="Times New Roman" w:cs="Times New Roman"/>
                <w:b/>
                <w:bCs/>
                <w:color w:val="000000"/>
                <w:kern w:val="0"/>
                <w:sz w:val="28"/>
                <w:szCs w:val="28"/>
                <w:lang w:eastAsia="en-IN"/>
                <w14:ligatures w14:val="none"/>
              </w:rPr>
              <w:t>Percentage distribution of excess amount</w:t>
            </w:r>
          </w:p>
        </w:tc>
      </w:tr>
      <w:tr w:rsidR="00583A28" w:rsidRPr="00583A28" w14:paraId="433E3833" w14:textId="77777777" w:rsidTr="00583A28">
        <w:trPr>
          <w:trHeight w:val="19"/>
          <w:jc w:val="center"/>
        </w:trPr>
        <w:tc>
          <w:tcPr>
            <w:tcW w:w="3142" w:type="dxa"/>
            <w:tcBorders>
              <w:top w:val="nil"/>
              <w:left w:val="single" w:sz="4" w:space="0" w:color="auto"/>
              <w:bottom w:val="single" w:sz="4" w:space="0" w:color="auto"/>
              <w:right w:val="single" w:sz="4" w:space="0" w:color="auto"/>
            </w:tcBorders>
            <w:vAlign w:val="center"/>
            <w:hideMark/>
          </w:tcPr>
          <w:p w14:paraId="62420ACB" w14:textId="77777777" w:rsidR="00583A28" w:rsidRPr="00583A28" w:rsidRDefault="00583A28" w:rsidP="002266BF">
            <w:pPr>
              <w:spacing w:after="0" w:line="240" w:lineRule="auto"/>
              <w:rPr>
                <w:rFonts w:ascii="Times New Roman" w:eastAsia="Times New Roman" w:hAnsi="Times New Roman" w:cs="Times New Roman"/>
                <w:color w:val="000000"/>
                <w:kern w:val="0"/>
                <w:sz w:val="28"/>
                <w:szCs w:val="28"/>
                <w:lang w:eastAsia="en-IN"/>
                <w14:ligatures w14:val="none"/>
              </w:rPr>
            </w:pPr>
            <w:r w:rsidRPr="00583A28">
              <w:rPr>
                <w:rFonts w:ascii="Times New Roman" w:eastAsia="Times New Roman" w:hAnsi="Times New Roman" w:cs="Times New Roman"/>
                <w:color w:val="000000"/>
                <w:kern w:val="0"/>
                <w:sz w:val="28"/>
                <w:szCs w:val="28"/>
                <w:lang w:eastAsia="en-IN"/>
                <w14:ligatures w14:val="none"/>
              </w:rPr>
              <w:t>Andhra Pradesh</w:t>
            </w:r>
          </w:p>
        </w:tc>
        <w:tc>
          <w:tcPr>
            <w:tcW w:w="3173" w:type="dxa"/>
            <w:tcBorders>
              <w:top w:val="nil"/>
              <w:left w:val="nil"/>
              <w:bottom w:val="single" w:sz="4" w:space="0" w:color="auto"/>
              <w:right w:val="single" w:sz="4" w:space="0" w:color="auto"/>
            </w:tcBorders>
            <w:vAlign w:val="center"/>
            <w:hideMark/>
          </w:tcPr>
          <w:p w14:paraId="1AA4E6FD" w14:textId="77777777" w:rsidR="00583A28" w:rsidRPr="00583A28" w:rsidRDefault="00583A28" w:rsidP="00583A28">
            <w:pPr>
              <w:spacing w:after="0" w:line="240" w:lineRule="auto"/>
              <w:jc w:val="center"/>
              <w:rPr>
                <w:rFonts w:ascii="Times New Roman" w:eastAsia="Times New Roman" w:hAnsi="Times New Roman" w:cs="Times New Roman"/>
                <w:color w:val="000000"/>
                <w:kern w:val="0"/>
                <w:sz w:val="28"/>
                <w:szCs w:val="28"/>
                <w:lang w:eastAsia="en-IN"/>
                <w14:ligatures w14:val="none"/>
              </w:rPr>
            </w:pPr>
            <w:r w:rsidRPr="00583A28">
              <w:rPr>
                <w:rFonts w:ascii="Times New Roman" w:eastAsia="Times New Roman" w:hAnsi="Times New Roman" w:cs="Times New Roman"/>
                <w:color w:val="000000"/>
                <w:kern w:val="0"/>
                <w:sz w:val="28"/>
                <w:szCs w:val="28"/>
                <w:lang w:eastAsia="en-IN"/>
                <w14:ligatures w14:val="none"/>
              </w:rPr>
              <w:t>8·13</w:t>
            </w:r>
          </w:p>
        </w:tc>
      </w:tr>
      <w:tr w:rsidR="00583A28" w:rsidRPr="00583A28" w14:paraId="52DBFF35" w14:textId="77777777" w:rsidTr="00583A28">
        <w:trPr>
          <w:trHeight w:val="19"/>
          <w:jc w:val="center"/>
        </w:trPr>
        <w:tc>
          <w:tcPr>
            <w:tcW w:w="3142" w:type="dxa"/>
            <w:tcBorders>
              <w:top w:val="nil"/>
              <w:left w:val="single" w:sz="4" w:space="0" w:color="auto"/>
              <w:bottom w:val="single" w:sz="4" w:space="0" w:color="auto"/>
              <w:right w:val="single" w:sz="4" w:space="0" w:color="auto"/>
            </w:tcBorders>
            <w:vAlign w:val="center"/>
            <w:hideMark/>
          </w:tcPr>
          <w:p w14:paraId="44FED086" w14:textId="77777777" w:rsidR="00583A28" w:rsidRPr="00583A28" w:rsidRDefault="00583A28" w:rsidP="002266BF">
            <w:pPr>
              <w:spacing w:after="0" w:line="240" w:lineRule="auto"/>
              <w:rPr>
                <w:rFonts w:ascii="Times New Roman" w:eastAsia="Times New Roman" w:hAnsi="Times New Roman" w:cs="Times New Roman"/>
                <w:color w:val="000000"/>
                <w:kern w:val="0"/>
                <w:sz w:val="28"/>
                <w:szCs w:val="28"/>
                <w:lang w:eastAsia="en-IN"/>
                <w14:ligatures w14:val="none"/>
              </w:rPr>
            </w:pPr>
            <w:r w:rsidRPr="00583A28">
              <w:rPr>
                <w:rFonts w:ascii="Times New Roman" w:eastAsia="Times New Roman" w:hAnsi="Times New Roman" w:cs="Times New Roman"/>
                <w:color w:val="000000"/>
                <w:kern w:val="0"/>
                <w:sz w:val="28"/>
                <w:szCs w:val="28"/>
                <w:lang w:eastAsia="en-IN"/>
                <w14:ligatures w14:val="none"/>
              </w:rPr>
              <w:t>Assam</w:t>
            </w:r>
          </w:p>
        </w:tc>
        <w:tc>
          <w:tcPr>
            <w:tcW w:w="3173" w:type="dxa"/>
            <w:tcBorders>
              <w:top w:val="nil"/>
              <w:left w:val="nil"/>
              <w:bottom w:val="single" w:sz="4" w:space="0" w:color="auto"/>
              <w:right w:val="single" w:sz="4" w:space="0" w:color="auto"/>
            </w:tcBorders>
            <w:vAlign w:val="center"/>
            <w:hideMark/>
          </w:tcPr>
          <w:p w14:paraId="7E926FE7" w14:textId="77777777" w:rsidR="00583A28" w:rsidRPr="00583A28" w:rsidRDefault="00583A28" w:rsidP="00583A28">
            <w:pPr>
              <w:spacing w:after="0" w:line="240" w:lineRule="auto"/>
              <w:jc w:val="center"/>
              <w:rPr>
                <w:rFonts w:ascii="Times New Roman" w:eastAsia="Times New Roman" w:hAnsi="Times New Roman" w:cs="Times New Roman"/>
                <w:color w:val="000000"/>
                <w:kern w:val="0"/>
                <w:sz w:val="28"/>
                <w:szCs w:val="28"/>
                <w:lang w:eastAsia="en-IN"/>
                <w14:ligatures w14:val="none"/>
              </w:rPr>
            </w:pPr>
            <w:r w:rsidRPr="00583A28">
              <w:rPr>
                <w:rFonts w:ascii="Times New Roman" w:eastAsia="Times New Roman" w:hAnsi="Times New Roman" w:cs="Times New Roman"/>
                <w:color w:val="000000"/>
                <w:kern w:val="0"/>
                <w:sz w:val="28"/>
                <w:szCs w:val="28"/>
                <w:lang w:eastAsia="en-IN"/>
                <w14:ligatures w14:val="none"/>
              </w:rPr>
              <w:t>2·47</w:t>
            </w:r>
          </w:p>
        </w:tc>
      </w:tr>
      <w:tr w:rsidR="00583A28" w:rsidRPr="00583A28" w14:paraId="53B77937" w14:textId="77777777" w:rsidTr="00583A28">
        <w:trPr>
          <w:trHeight w:val="19"/>
          <w:jc w:val="center"/>
        </w:trPr>
        <w:tc>
          <w:tcPr>
            <w:tcW w:w="3142" w:type="dxa"/>
            <w:tcBorders>
              <w:top w:val="nil"/>
              <w:left w:val="single" w:sz="4" w:space="0" w:color="auto"/>
              <w:bottom w:val="single" w:sz="4" w:space="0" w:color="auto"/>
              <w:right w:val="single" w:sz="4" w:space="0" w:color="auto"/>
            </w:tcBorders>
            <w:vAlign w:val="center"/>
            <w:hideMark/>
          </w:tcPr>
          <w:p w14:paraId="5CDA6BB2" w14:textId="77777777" w:rsidR="00583A28" w:rsidRPr="00583A28" w:rsidRDefault="00583A28" w:rsidP="002266BF">
            <w:pPr>
              <w:spacing w:after="0" w:line="240" w:lineRule="auto"/>
              <w:rPr>
                <w:rFonts w:ascii="Times New Roman" w:eastAsia="Times New Roman" w:hAnsi="Times New Roman" w:cs="Times New Roman"/>
                <w:color w:val="000000"/>
                <w:kern w:val="0"/>
                <w:sz w:val="28"/>
                <w:szCs w:val="28"/>
                <w:lang w:eastAsia="en-IN"/>
                <w14:ligatures w14:val="none"/>
              </w:rPr>
            </w:pPr>
            <w:r w:rsidRPr="00583A28">
              <w:rPr>
                <w:rFonts w:ascii="Times New Roman" w:eastAsia="Times New Roman" w:hAnsi="Times New Roman" w:cs="Times New Roman"/>
                <w:color w:val="000000"/>
                <w:kern w:val="0"/>
                <w:sz w:val="28"/>
                <w:szCs w:val="28"/>
                <w:lang w:eastAsia="en-IN"/>
                <w14:ligatures w14:val="none"/>
              </w:rPr>
              <w:t>Bihar</w:t>
            </w:r>
          </w:p>
        </w:tc>
        <w:tc>
          <w:tcPr>
            <w:tcW w:w="3173" w:type="dxa"/>
            <w:tcBorders>
              <w:top w:val="nil"/>
              <w:left w:val="nil"/>
              <w:bottom w:val="single" w:sz="4" w:space="0" w:color="auto"/>
              <w:right w:val="single" w:sz="4" w:space="0" w:color="auto"/>
            </w:tcBorders>
            <w:vAlign w:val="center"/>
            <w:hideMark/>
          </w:tcPr>
          <w:p w14:paraId="42626487" w14:textId="77777777" w:rsidR="00583A28" w:rsidRPr="00583A28" w:rsidRDefault="00583A28" w:rsidP="00583A28">
            <w:pPr>
              <w:spacing w:after="0" w:line="240" w:lineRule="auto"/>
              <w:jc w:val="center"/>
              <w:rPr>
                <w:rFonts w:ascii="Times New Roman" w:eastAsia="Times New Roman" w:hAnsi="Times New Roman" w:cs="Times New Roman"/>
                <w:color w:val="000000"/>
                <w:kern w:val="0"/>
                <w:sz w:val="28"/>
                <w:szCs w:val="28"/>
                <w:lang w:eastAsia="en-IN"/>
                <w14:ligatures w14:val="none"/>
              </w:rPr>
            </w:pPr>
            <w:r w:rsidRPr="00583A28">
              <w:rPr>
                <w:rFonts w:ascii="Times New Roman" w:eastAsia="Times New Roman" w:hAnsi="Times New Roman" w:cs="Times New Roman"/>
                <w:color w:val="000000"/>
                <w:kern w:val="0"/>
                <w:sz w:val="28"/>
                <w:szCs w:val="28"/>
                <w:lang w:eastAsia="en-IN"/>
                <w14:ligatures w14:val="none"/>
              </w:rPr>
              <w:t>8·40</w:t>
            </w:r>
          </w:p>
        </w:tc>
      </w:tr>
      <w:tr w:rsidR="00583A28" w:rsidRPr="00583A28" w14:paraId="1BF52438" w14:textId="77777777" w:rsidTr="00583A28">
        <w:trPr>
          <w:trHeight w:val="19"/>
          <w:jc w:val="center"/>
        </w:trPr>
        <w:tc>
          <w:tcPr>
            <w:tcW w:w="3142" w:type="dxa"/>
            <w:tcBorders>
              <w:top w:val="nil"/>
              <w:left w:val="single" w:sz="4" w:space="0" w:color="auto"/>
              <w:bottom w:val="single" w:sz="4" w:space="0" w:color="auto"/>
              <w:right w:val="single" w:sz="4" w:space="0" w:color="auto"/>
            </w:tcBorders>
            <w:vAlign w:val="center"/>
            <w:hideMark/>
          </w:tcPr>
          <w:p w14:paraId="40B21B95" w14:textId="77777777" w:rsidR="00583A28" w:rsidRPr="00583A28" w:rsidRDefault="00583A28" w:rsidP="002266BF">
            <w:pPr>
              <w:spacing w:after="0" w:line="240" w:lineRule="auto"/>
              <w:rPr>
                <w:rFonts w:ascii="Times New Roman" w:eastAsia="Times New Roman" w:hAnsi="Times New Roman" w:cs="Times New Roman"/>
                <w:color w:val="000000"/>
                <w:kern w:val="0"/>
                <w:sz w:val="28"/>
                <w:szCs w:val="28"/>
                <w:lang w:eastAsia="en-IN"/>
                <w14:ligatures w14:val="none"/>
              </w:rPr>
            </w:pPr>
            <w:r w:rsidRPr="00583A28">
              <w:rPr>
                <w:rFonts w:ascii="Times New Roman" w:eastAsia="Times New Roman" w:hAnsi="Times New Roman" w:cs="Times New Roman"/>
                <w:color w:val="000000"/>
                <w:kern w:val="0"/>
                <w:sz w:val="28"/>
                <w:szCs w:val="28"/>
                <w:lang w:eastAsia="en-IN"/>
                <w14:ligatures w14:val="none"/>
              </w:rPr>
              <w:t>Gujarat</w:t>
            </w:r>
          </w:p>
        </w:tc>
        <w:tc>
          <w:tcPr>
            <w:tcW w:w="3173" w:type="dxa"/>
            <w:tcBorders>
              <w:top w:val="nil"/>
              <w:left w:val="nil"/>
              <w:bottom w:val="single" w:sz="4" w:space="0" w:color="auto"/>
              <w:right w:val="single" w:sz="4" w:space="0" w:color="auto"/>
            </w:tcBorders>
            <w:vAlign w:val="center"/>
            <w:hideMark/>
          </w:tcPr>
          <w:p w14:paraId="0BD8EC7D" w14:textId="77777777" w:rsidR="00583A28" w:rsidRPr="00583A28" w:rsidRDefault="00583A28" w:rsidP="00583A28">
            <w:pPr>
              <w:spacing w:after="0" w:line="240" w:lineRule="auto"/>
              <w:jc w:val="center"/>
              <w:rPr>
                <w:rFonts w:ascii="Times New Roman" w:eastAsia="Times New Roman" w:hAnsi="Times New Roman" w:cs="Times New Roman"/>
                <w:color w:val="000000"/>
                <w:kern w:val="0"/>
                <w:sz w:val="28"/>
                <w:szCs w:val="28"/>
                <w:lang w:eastAsia="en-IN"/>
                <w14:ligatures w14:val="none"/>
              </w:rPr>
            </w:pPr>
            <w:r w:rsidRPr="00583A28">
              <w:rPr>
                <w:rFonts w:ascii="Times New Roman" w:eastAsia="Times New Roman" w:hAnsi="Times New Roman" w:cs="Times New Roman"/>
                <w:color w:val="000000"/>
                <w:kern w:val="0"/>
                <w:sz w:val="28"/>
                <w:szCs w:val="28"/>
                <w:lang w:eastAsia="en-IN"/>
                <w14:ligatures w14:val="none"/>
              </w:rPr>
              <w:t>6·33</w:t>
            </w:r>
          </w:p>
        </w:tc>
      </w:tr>
      <w:tr w:rsidR="00583A28" w:rsidRPr="00583A28" w14:paraId="430987FD" w14:textId="77777777" w:rsidTr="00583A28">
        <w:trPr>
          <w:trHeight w:val="19"/>
          <w:jc w:val="center"/>
        </w:trPr>
        <w:tc>
          <w:tcPr>
            <w:tcW w:w="3142" w:type="dxa"/>
            <w:tcBorders>
              <w:top w:val="nil"/>
              <w:left w:val="single" w:sz="4" w:space="0" w:color="auto"/>
              <w:bottom w:val="single" w:sz="4" w:space="0" w:color="auto"/>
              <w:right w:val="single" w:sz="4" w:space="0" w:color="auto"/>
            </w:tcBorders>
            <w:vAlign w:val="center"/>
            <w:hideMark/>
          </w:tcPr>
          <w:p w14:paraId="267B43A6" w14:textId="77777777" w:rsidR="00583A28" w:rsidRPr="00583A28" w:rsidRDefault="00583A28" w:rsidP="002266BF">
            <w:pPr>
              <w:spacing w:after="0" w:line="240" w:lineRule="auto"/>
              <w:rPr>
                <w:rFonts w:ascii="Times New Roman" w:eastAsia="Times New Roman" w:hAnsi="Times New Roman" w:cs="Times New Roman"/>
                <w:color w:val="000000"/>
                <w:kern w:val="0"/>
                <w:sz w:val="28"/>
                <w:szCs w:val="28"/>
                <w:lang w:eastAsia="en-IN"/>
                <w14:ligatures w14:val="none"/>
              </w:rPr>
            </w:pPr>
            <w:r w:rsidRPr="00583A28">
              <w:rPr>
                <w:rFonts w:ascii="Times New Roman" w:eastAsia="Times New Roman" w:hAnsi="Times New Roman" w:cs="Times New Roman"/>
                <w:color w:val="000000"/>
                <w:kern w:val="0"/>
                <w:sz w:val="28"/>
                <w:szCs w:val="28"/>
                <w:lang w:eastAsia="en-IN"/>
                <w14:ligatures w14:val="none"/>
              </w:rPr>
              <w:t>Haryana</w:t>
            </w:r>
          </w:p>
        </w:tc>
        <w:tc>
          <w:tcPr>
            <w:tcW w:w="3173" w:type="dxa"/>
            <w:tcBorders>
              <w:top w:val="nil"/>
              <w:left w:val="nil"/>
              <w:bottom w:val="single" w:sz="4" w:space="0" w:color="auto"/>
              <w:right w:val="single" w:sz="4" w:space="0" w:color="auto"/>
            </w:tcBorders>
            <w:vAlign w:val="center"/>
            <w:hideMark/>
          </w:tcPr>
          <w:p w14:paraId="61DEFFD5" w14:textId="77777777" w:rsidR="00583A28" w:rsidRPr="00583A28" w:rsidRDefault="00583A28" w:rsidP="00583A28">
            <w:pPr>
              <w:spacing w:after="0" w:line="240" w:lineRule="auto"/>
              <w:jc w:val="center"/>
              <w:rPr>
                <w:rFonts w:ascii="Times New Roman" w:eastAsia="Times New Roman" w:hAnsi="Times New Roman" w:cs="Times New Roman"/>
                <w:color w:val="000000"/>
                <w:kern w:val="0"/>
                <w:sz w:val="28"/>
                <w:szCs w:val="28"/>
                <w:lang w:eastAsia="en-IN"/>
                <w14:ligatures w14:val="none"/>
              </w:rPr>
            </w:pPr>
            <w:r w:rsidRPr="00583A28">
              <w:rPr>
                <w:rFonts w:ascii="Times New Roman" w:eastAsia="Times New Roman" w:hAnsi="Times New Roman" w:cs="Times New Roman"/>
                <w:color w:val="000000"/>
                <w:kern w:val="0"/>
                <w:sz w:val="28"/>
                <w:szCs w:val="28"/>
                <w:lang w:eastAsia="en-IN"/>
                <w14:ligatures w14:val="none"/>
              </w:rPr>
              <w:t>1·70</w:t>
            </w:r>
          </w:p>
        </w:tc>
      </w:tr>
      <w:tr w:rsidR="00583A28" w:rsidRPr="00583A28" w14:paraId="7B54DAAA" w14:textId="77777777" w:rsidTr="00583A28">
        <w:trPr>
          <w:trHeight w:val="19"/>
          <w:jc w:val="center"/>
        </w:trPr>
        <w:tc>
          <w:tcPr>
            <w:tcW w:w="3142" w:type="dxa"/>
            <w:tcBorders>
              <w:top w:val="nil"/>
              <w:left w:val="single" w:sz="4" w:space="0" w:color="auto"/>
              <w:bottom w:val="single" w:sz="4" w:space="0" w:color="auto"/>
              <w:right w:val="single" w:sz="4" w:space="0" w:color="auto"/>
            </w:tcBorders>
            <w:vAlign w:val="center"/>
            <w:hideMark/>
          </w:tcPr>
          <w:p w14:paraId="5FB2C72E" w14:textId="77777777" w:rsidR="00583A28" w:rsidRPr="00583A28" w:rsidRDefault="00583A28" w:rsidP="002266BF">
            <w:pPr>
              <w:spacing w:after="0" w:line="240" w:lineRule="auto"/>
              <w:rPr>
                <w:rFonts w:ascii="Times New Roman" w:eastAsia="Times New Roman" w:hAnsi="Times New Roman" w:cs="Times New Roman"/>
                <w:color w:val="000000"/>
                <w:kern w:val="0"/>
                <w:sz w:val="28"/>
                <w:szCs w:val="28"/>
                <w:lang w:eastAsia="en-IN"/>
                <w14:ligatures w14:val="none"/>
              </w:rPr>
            </w:pPr>
            <w:r w:rsidRPr="00583A28">
              <w:rPr>
                <w:rFonts w:ascii="Times New Roman" w:eastAsia="Times New Roman" w:hAnsi="Times New Roman" w:cs="Times New Roman"/>
                <w:color w:val="000000"/>
                <w:kern w:val="0"/>
                <w:sz w:val="28"/>
                <w:szCs w:val="28"/>
                <w:lang w:eastAsia="en-IN"/>
                <w14:ligatures w14:val="none"/>
              </w:rPr>
              <w:t>Kerala</w:t>
            </w:r>
          </w:p>
        </w:tc>
        <w:tc>
          <w:tcPr>
            <w:tcW w:w="3173" w:type="dxa"/>
            <w:tcBorders>
              <w:top w:val="nil"/>
              <w:left w:val="nil"/>
              <w:bottom w:val="single" w:sz="4" w:space="0" w:color="auto"/>
              <w:right w:val="single" w:sz="4" w:space="0" w:color="auto"/>
            </w:tcBorders>
            <w:vAlign w:val="center"/>
            <w:hideMark/>
          </w:tcPr>
          <w:p w14:paraId="68901A7B" w14:textId="77777777" w:rsidR="00583A28" w:rsidRPr="00583A28" w:rsidRDefault="00583A28" w:rsidP="00583A28">
            <w:pPr>
              <w:spacing w:after="0" w:line="240" w:lineRule="auto"/>
              <w:jc w:val="center"/>
              <w:rPr>
                <w:rFonts w:ascii="Times New Roman" w:eastAsia="Times New Roman" w:hAnsi="Times New Roman" w:cs="Times New Roman"/>
                <w:color w:val="000000"/>
                <w:kern w:val="0"/>
                <w:sz w:val="28"/>
                <w:szCs w:val="28"/>
                <w:lang w:eastAsia="en-IN"/>
                <w14:ligatures w14:val="none"/>
              </w:rPr>
            </w:pPr>
            <w:r w:rsidRPr="00583A28">
              <w:rPr>
                <w:rFonts w:ascii="Times New Roman" w:eastAsia="Times New Roman" w:hAnsi="Times New Roman" w:cs="Times New Roman"/>
                <w:color w:val="000000"/>
                <w:kern w:val="0"/>
                <w:sz w:val="28"/>
                <w:szCs w:val="28"/>
                <w:lang w:eastAsia="en-IN"/>
                <w14:ligatures w14:val="none"/>
              </w:rPr>
              <w:t>4·84</w:t>
            </w:r>
          </w:p>
        </w:tc>
      </w:tr>
      <w:tr w:rsidR="00583A28" w:rsidRPr="00583A28" w14:paraId="7BE4D713" w14:textId="77777777" w:rsidTr="00583A28">
        <w:trPr>
          <w:trHeight w:val="19"/>
          <w:jc w:val="center"/>
        </w:trPr>
        <w:tc>
          <w:tcPr>
            <w:tcW w:w="3142" w:type="dxa"/>
            <w:tcBorders>
              <w:top w:val="nil"/>
              <w:left w:val="single" w:sz="4" w:space="0" w:color="auto"/>
              <w:bottom w:val="single" w:sz="4" w:space="0" w:color="auto"/>
              <w:right w:val="single" w:sz="4" w:space="0" w:color="auto"/>
            </w:tcBorders>
            <w:vAlign w:val="center"/>
            <w:hideMark/>
          </w:tcPr>
          <w:p w14:paraId="0155A0E0" w14:textId="77777777" w:rsidR="00583A28" w:rsidRPr="00583A28" w:rsidRDefault="00583A28" w:rsidP="002266BF">
            <w:pPr>
              <w:spacing w:after="0" w:line="240" w:lineRule="auto"/>
              <w:rPr>
                <w:rFonts w:ascii="Times New Roman" w:eastAsia="Times New Roman" w:hAnsi="Times New Roman" w:cs="Times New Roman"/>
                <w:color w:val="000000"/>
                <w:kern w:val="0"/>
                <w:sz w:val="28"/>
                <w:szCs w:val="28"/>
                <w:lang w:eastAsia="en-IN"/>
                <w14:ligatures w14:val="none"/>
              </w:rPr>
            </w:pPr>
            <w:r w:rsidRPr="00583A28">
              <w:rPr>
                <w:rFonts w:ascii="Times New Roman" w:eastAsia="Times New Roman" w:hAnsi="Times New Roman" w:cs="Times New Roman"/>
                <w:color w:val="000000"/>
                <w:kern w:val="0"/>
                <w:sz w:val="28"/>
                <w:szCs w:val="28"/>
                <w:lang w:eastAsia="en-IN"/>
                <w14:ligatures w14:val="none"/>
              </w:rPr>
              <w:t>Madhya Pradesh</w:t>
            </w:r>
          </w:p>
        </w:tc>
        <w:tc>
          <w:tcPr>
            <w:tcW w:w="3173" w:type="dxa"/>
            <w:tcBorders>
              <w:top w:val="nil"/>
              <w:left w:val="nil"/>
              <w:bottom w:val="single" w:sz="4" w:space="0" w:color="auto"/>
              <w:right w:val="single" w:sz="4" w:space="0" w:color="auto"/>
            </w:tcBorders>
            <w:vAlign w:val="center"/>
            <w:hideMark/>
          </w:tcPr>
          <w:p w14:paraId="4D096141" w14:textId="77777777" w:rsidR="00583A28" w:rsidRPr="00583A28" w:rsidRDefault="00583A28" w:rsidP="00583A28">
            <w:pPr>
              <w:spacing w:after="0" w:line="240" w:lineRule="auto"/>
              <w:jc w:val="center"/>
              <w:rPr>
                <w:rFonts w:ascii="Times New Roman" w:eastAsia="Times New Roman" w:hAnsi="Times New Roman" w:cs="Times New Roman"/>
                <w:color w:val="000000"/>
                <w:kern w:val="0"/>
                <w:sz w:val="28"/>
                <w:szCs w:val="28"/>
                <w:lang w:eastAsia="en-IN"/>
                <w14:ligatures w14:val="none"/>
              </w:rPr>
            </w:pPr>
            <w:r w:rsidRPr="00583A28">
              <w:rPr>
                <w:rFonts w:ascii="Times New Roman" w:eastAsia="Times New Roman" w:hAnsi="Times New Roman" w:cs="Times New Roman"/>
                <w:color w:val="000000"/>
                <w:kern w:val="0"/>
                <w:sz w:val="28"/>
                <w:szCs w:val="28"/>
                <w:lang w:eastAsia="en-IN"/>
                <w14:ligatures w14:val="none"/>
              </w:rPr>
              <w:t>6·34</w:t>
            </w:r>
          </w:p>
        </w:tc>
      </w:tr>
      <w:tr w:rsidR="00583A28" w:rsidRPr="00583A28" w14:paraId="6EC601F9" w14:textId="77777777" w:rsidTr="00583A28">
        <w:trPr>
          <w:trHeight w:val="19"/>
          <w:jc w:val="center"/>
        </w:trPr>
        <w:tc>
          <w:tcPr>
            <w:tcW w:w="3142" w:type="dxa"/>
            <w:tcBorders>
              <w:top w:val="nil"/>
              <w:left w:val="single" w:sz="4" w:space="0" w:color="auto"/>
              <w:bottom w:val="single" w:sz="4" w:space="0" w:color="auto"/>
              <w:right w:val="single" w:sz="4" w:space="0" w:color="auto"/>
            </w:tcBorders>
            <w:vAlign w:val="center"/>
            <w:hideMark/>
          </w:tcPr>
          <w:p w14:paraId="151BDEC1" w14:textId="77777777" w:rsidR="00583A28" w:rsidRPr="00583A28" w:rsidRDefault="00583A28" w:rsidP="002266BF">
            <w:pPr>
              <w:spacing w:after="0" w:line="240" w:lineRule="auto"/>
              <w:rPr>
                <w:rFonts w:ascii="Times New Roman" w:eastAsia="Times New Roman" w:hAnsi="Times New Roman" w:cs="Times New Roman"/>
                <w:color w:val="000000"/>
                <w:kern w:val="0"/>
                <w:sz w:val="28"/>
                <w:szCs w:val="28"/>
                <w:lang w:eastAsia="en-IN"/>
                <w14:ligatures w14:val="none"/>
              </w:rPr>
            </w:pPr>
            <w:r w:rsidRPr="00583A28">
              <w:rPr>
                <w:rFonts w:ascii="Times New Roman" w:eastAsia="Times New Roman" w:hAnsi="Times New Roman" w:cs="Times New Roman"/>
                <w:color w:val="000000"/>
                <w:kern w:val="0"/>
                <w:sz w:val="28"/>
                <w:szCs w:val="28"/>
                <w:lang w:eastAsia="en-IN"/>
                <w14:ligatures w14:val="none"/>
              </w:rPr>
              <w:lastRenderedPageBreak/>
              <w:t>Maharashtra</w:t>
            </w:r>
          </w:p>
        </w:tc>
        <w:tc>
          <w:tcPr>
            <w:tcW w:w="3173" w:type="dxa"/>
            <w:tcBorders>
              <w:top w:val="nil"/>
              <w:left w:val="nil"/>
              <w:bottom w:val="single" w:sz="4" w:space="0" w:color="auto"/>
              <w:right w:val="single" w:sz="4" w:space="0" w:color="auto"/>
            </w:tcBorders>
            <w:vAlign w:val="center"/>
            <w:hideMark/>
          </w:tcPr>
          <w:p w14:paraId="693D467C" w14:textId="77777777" w:rsidR="00583A28" w:rsidRPr="00583A28" w:rsidRDefault="00583A28" w:rsidP="00583A28">
            <w:pPr>
              <w:spacing w:after="0" w:line="240" w:lineRule="auto"/>
              <w:jc w:val="center"/>
              <w:rPr>
                <w:rFonts w:ascii="Times New Roman" w:eastAsia="Times New Roman" w:hAnsi="Times New Roman" w:cs="Times New Roman"/>
                <w:color w:val="000000"/>
                <w:kern w:val="0"/>
                <w:sz w:val="28"/>
                <w:szCs w:val="28"/>
                <w:lang w:eastAsia="en-IN"/>
                <w14:ligatures w14:val="none"/>
              </w:rPr>
            </w:pPr>
            <w:r w:rsidRPr="00583A28">
              <w:rPr>
                <w:rFonts w:ascii="Times New Roman" w:eastAsia="Times New Roman" w:hAnsi="Times New Roman" w:cs="Times New Roman"/>
                <w:color w:val="000000"/>
                <w:kern w:val="0"/>
                <w:sz w:val="28"/>
                <w:szCs w:val="28"/>
                <w:lang w:eastAsia="en-IN"/>
                <w14:ligatures w14:val="none"/>
              </w:rPr>
              <w:t>13·89</w:t>
            </w:r>
          </w:p>
        </w:tc>
      </w:tr>
      <w:tr w:rsidR="00583A28" w:rsidRPr="00583A28" w14:paraId="2846D847" w14:textId="77777777" w:rsidTr="00583A28">
        <w:trPr>
          <w:trHeight w:val="19"/>
          <w:jc w:val="center"/>
        </w:trPr>
        <w:tc>
          <w:tcPr>
            <w:tcW w:w="3142" w:type="dxa"/>
            <w:tcBorders>
              <w:top w:val="nil"/>
              <w:left w:val="single" w:sz="4" w:space="0" w:color="auto"/>
              <w:bottom w:val="single" w:sz="4" w:space="0" w:color="auto"/>
              <w:right w:val="single" w:sz="4" w:space="0" w:color="auto"/>
            </w:tcBorders>
            <w:vAlign w:val="center"/>
            <w:hideMark/>
          </w:tcPr>
          <w:p w14:paraId="3D46A21F" w14:textId="77777777" w:rsidR="00583A28" w:rsidRPr="00583A28" w:rsidRDefault="00583A28" w:rsidP="002266BF">
            <w:pPr>
              <w:spacing w:after="0" w:line="240" w:lineRule="auto"/>
              <w:rPr>
                <w:rFonts w:ascii="Times New Roman" w:eastAsia="Times New Roman" w:hAnsi="Times New Roman" w:cs="Times New Roman"/>
                <w:color w:val="000000"/>
                <w:kern w:val="0"/>
                <w:sz w:val="28"/>
                <w:szCs w:val="28"/>
                <w:lang w:eastAsia="en-IN"/>
                <w14:ligatures w14:val="none"/>
              </w:rPr>
            </w:pPr>
            <w:r w:rsidRPr="00583A28">
              <w:rPr>
                <w:rFonts w:ascii="Times New Roman" w:eastAsia="Times New Roman" w:hAnsi="Times New Roman" w:cs="Times New Roman"/>
                <w:color w:val="000000"/>
                <w:kern w:val="0"/>
                <w:sz w:val="28"/>
                <w:szCs w:val="28"/>
                <w:lang w:eastAsia="en-IN"/>
                <w14:ligatures w14:val="none"/>
              </w:rPr>
              <w:t>Mysore</w:t>
            </w:r>
          </w:p>
        </w:tc>
        <w:tc>
          <w:tcPr>
            <w:tcW w:w="3173" w:type="dxa"/>
            <w:tcBorders>
              <w:top w:val="nil"/>
              <w:left w:val="nil"/>
              <w:bottom w:val="single" w:sz="4" w:space="0" w:color="auto"/>
              <w:right w:val="single" w:sz="4" w:space="0" w:color="auto"/>
            </w:tcBorders>
            <w:vAlign w:val="center"/>
            <w:hideMark/>
          </w:tcPr>
          <w:p w14:paraId="59C6520E" w14:textId="77777777" w:rsidR="00583A28" w:rsidRPr="00583A28" w:rsidRDefault="00583A28" w:rsidP="00583A28">
            <w:pPr>
              <w:spacing w:after="0" w:line="240" w:lineRule="auto"/>
              <w:jc w:val="center"/>
              <w:rPr>
                <w:rFonts w:ascii="Times New Roman" w:eastAsia="Times New Roman" w:hAnsi="Times New Roman" w:cs="Times New Roman"/>
                <w:color w:val="000000"/>
                <w:kern w:val="0"/>
                <w:sz w:val="28"/>
                <w:szCs w:val="28"/>
                <w:lang w:eastAsia="en-IN"/>
                <w14:ligatures w14:val="none"/>
              </w:rPr>
            </w:pPr>
            <w:r w:rsidRPr="00583A28">
              <w:rPr>
                <w:rFonts w:ascii="Times New Roman" w:eastAsia="Times New Roman" w:hAnsi="Times New Roman" w:cs="Times New Roman"/>
                <w:color w:val="000000"/>
                <w:kern w:val="0"/>
                <w:sz w:val="28"/>
                <w:szCs w:val="28"/>
                <w:lang w:eastAsia="en-IN"/>
                <w14:ligatures w14:val="none"/>
              </w:rPr>
              <w:t>6·00</w:t>
            </w:r>
          </w:p>
        </w:tc>
      </w:tr>
      <w:tr w:rsidR="00583A28" w:rsidRPr="00583A28" w14:paraId="6A4D6E3D" w14:textId="77777777" w:rsidTr="00583A28">
        <w:trPr>
          <w:trHeight w:val="19"/>
          <w:jc w:val="center"/>
        </w:trPr>
        <w:tc>
          <w:tcPr>
            <w:tcW w:w="3142" w:type="dxa"/>
            <w:tcBorders>
              <w:top w:val="nil"/>
              <w:left w:val="single" w:sz="4" w:space="0" w:color="auto"/>
              <w:bottom w:val="single" w:sz="4" w:space="0" w:color="auto"/>
              <w:right w:val="single" w:sz="4" w:space="0" w:color="auto"/>
            </w:tcBorders>
            <w:vAlign w:val="center"/>
            <w:hideMark/>
          </w:tcPr>
          <w:p w14:paraId="40E3D291" w14:textId="77777777" w:rsidR="00583A28" w:rsidRPr="00583A28" w:rsidRDefault="00583A28" w:rsidP="002266BF">
            <w:pPr>
              <w:spacing w:after="0" w:line="240" w:lineRule="auto"/>
              <w:rPr>
                <w:rFonts w:ascii="Times New Roman" w:eastAsia="Times New Roman" w:hAnsi="Times New Roman" w:cs="Times New Roman"/>
                <w:color w:val="000000"/>
                <w:kern w:val="0"/>
                <w:sz w:val="28"/>
                <w:szCs w:val="28"/>
                <w:lang w:eastAsia="en-IN"/>
                <w14:ligatures w14:val="none"/>
              </w:rPr>
            </w:pPr>
            <w:r w:rsidRPr="00583A28">
              <w:rPr>
                <w:rFonts w:ascii="Times New Roman" w:eastAsia="Times New Roman" w:hAnsi="Times New Roman" w:cs="Times New Roman"/>
                <w:color w:val="000000"/>
                <w:kern w:val="0"/>
                <w:sz w:val="28"/>
                <w:szCs w:val="28"/>
                <w:lang w:eastAsia="en-IN"/>
                <w14:ligatures w14:val="none"/>
              </w:rPr>
              <w:t>Orissa</w:t>
            </w:r>
          </w:p>
        </w:tc>
        <w:tc>
          <w:tcPr>
            <w:tcW w:w="3173" w:type="dxa"/>
            <w:tcBorders>
              <w:top w:val="nil"/>
              <w:left w:val="nil"/>
              <w:bottom w:val="single" w:sz="4" w:space="0" w:color="auto"/>
              <w:right w:val="single" w:sz="4" w:space="0" w:color="auto"/>
            </w:tcBorders>
            <w:vAlign w:val="center"/>
            <w:hideMark/>
          </w:tcPr>
          <w:p w14:paraId="7F11D60B" w14:textId="77777777" w:rsidR="00583A28" w:rsidRPr="00583A28" w:rsidRDefault="00583A28" w:rsidP="00583A28">
            <w:pPr>
              <w:spacing w:after="0" w:line="240" w:lineRule="auto"/>
              <w:jc w:val="center"/>
              <w:rPr>
                <w:rFonts w:ascii="Times New Roman" w:eastAsia="Times New Roman" w:hAnsi="Times New Roman" w:cs="Times New Roman"/>
                <w:color w:val="000000"/>
                <w:kern w:val="0"/>
                <w:sz w:val="28"/>
                <w:szCs w:val="28"/>
                <w:lang w:eastAsia="en-IN"/>
                <w14:ligatures w14:val="none"/>
              </w:rPr>
            </w:pPr>
            <w:r w:rsidRPr="00583A28">
              <w:rPr>
                <w:rFonts w:ascii="Times New Roman" w:eastAsia="Times New Roman" w:hAnsi="Times New Roman" w:cs="Times New Roman"/>
                <w:color w:val="000000"/>
                <w:kern w:val="0"/>
                <w:sz w:val="28"/>
                <w:szCs w:val="28"/>
                <w:lang w:eastAsia="en-IN"/>
                <w14:ligatures w14:val="none"/>
              </w:rPr>
              <w:t>3·13</w:t>
            </w:r>
          </w:p>
        </w:tc>
      </w:tr>
      <w:tr w:rsidR="00583A28" w:rsidRPr="00583A28" w14:paraId="02396DA9" w14:textId="77777777" w:rsidTr="00583A28">
        <w:trPr>
          <w:trHeight w:val="19"/>
          <w:jc w:val="center"/>
        </w:trPr>
        <w:tc>
          <w:tcPr>
            <w:tcW w:w="3142" w:type="dxa"/>
            <w:tcBorders>
              <w:top w:val="nil"/>
              <w:left w:val="single" w:sz="4" w:space="0" w:color="auto"/>
              <w:bottom w:val="single" w:sz="4" w:space="0" w:color="auto"/>
              <w:right w:val="single" w:sz="4" w:space="0" w:color="auto"/>
            </w:tcBorders>
            <w:vAlign w:val="center"/>
            <w:hideMark/>
          </w:tcPr>
          <w:p w14:paraId="378AF8F2" w14:textId="77777777" w:rsidR="00583A28" w:rsidRPr="00583A28" w:rsidRDefault="00583A28" w:rsidP="002266BF">
            <w:pPr>
              <w:spacing w:after="0" w:line="240" w:lineRule="auto"/>
              <w:rPr>
                <w:rFonts w:ascii="Times New Roman" w:eastAsia="Times New Roman" w:hAnsi="Times New Roman" w:cs="Times New Roman"/>
                <w:color w:val="000000"/>
                <w:kern w:val="0"/>
                <w:sz w:val="28"/>
                <w:szCs w:val="28"/>
                <w:lang w:eastAsia="en-IN"/>
                <w14:ligatures w14:val="none"/>
              </w:rPr>
            </w:pPr>
            <w:r w:rsidRPr="00583A28">
              <w:rPr>
                <w:rFonts w:ascii="Times New Roman" w:eastAsia="Times New Roman" w:hAnsi="Times New Roman" w:cs="Times New Roman"/>
                <w:color w:val="000000"/>
                <w:kern w:val="0"/>
                <w:sz w:val="28"/>
                <w:szCs w:val="28"/>
                <w:lang w:eastAsia="en-IN"/>
                <w14:ligatures w14:val="none"/>
              </w:rPr>
              <w:t>Punjab</w:t>
            </w:r>
          </w:p>
        </w:tc>
        <w:tc>
          <w:tcPr>
            <w:tcW w:w="3173" w:type="dxa"/>
            <w:tcBorders>
              <w:top w:val="nil"/>
              <w:left w:val="nil"/>
              <w:bottom w:val="single" w:sz="4" w:space="0" w:color="auto"/>
              <w:right w:val="single" w:sz="4" w:space="0" w:color="auto"/>
            </w:tcBorders>
            <w:vAlign w:val="center"/>
            <w:hideMark/>
          </w:tcPr>
          <w:p w14:paraId="697D2D22" w14:textId="77777777" w:rsidR="00583A28" w:rsidRPr="00583A28" w:rsidRDefault="00583A28" w:rsidP="00583A28">
            <w:pPr>
              <w:spacing w:after="0" w:line="240" w:lineRule="auto"/>
              <w:jc w:val="center"/>
              <w:rPr>
                <w:rFonts w:ascii="Times New Roman" w:eastAsia="Times New Roman" w:hAnsi="Times New Roman" w:cs="Times New Roman"/>
                <w:color w:val="000000"/>
                <w:kern w:val="0"/>
                <w:sz w:val="28"/>
                <w:szCs w:val="28"/>
                <w:lang w:eastAsia="en-IN"/>
                <w14:ligatures w14:val="none"/>
              </w:rPr>
            </w:pPr>
            <w:r w:rsidRPr="00583A28">
              <w:rPr>
                <w:rFonts w:ascii="Times New Roman" w:eastAsia="Times New Roman" w:hAnsi="Times New Roman" w:cs="Times New Roman"/>
                <w:color w:val="000000"/>
                <w:kern w:val="0"/>
                <w:sz w:val="28"/>
                <w:szCs w:val="28"/>
                <w:lang w:eastAsia="en-IN"/>
                <w14:ligatures w14:val="none"/>
              </w:rPr>
              <w:t>2·98</w:t>
            </w:r>
          </w:p>
        </w:tc>
      </w:tr>
      <w:tr w:rsidR="00583A28" w:rsidRPr="00583A28" w14:paraId="568D2FD5" w14:textId="77777777" w:rsidTr="00583A28">
        <w:trPr>
          <w:trHeight w:val="19"/>
          <w:jc w:val="center"/>
        </w:trPr>
        <w:tc>
          <w:tcPr>
            <w:tcW w:w="3142" w:type="dxa"/>
            <w:tcBorders>
              <w:top w:val="nil"/>
              <w:left w:val="single" w:sz="4" w:space="0" w:color="auto"/>
              <w:bottom w:val="single" w:sz="4" w:space="0" w:color="auto"/>
              <w:right w:val="single" w:sz="4" w:space="0" w:color="auto"/>
            </w:tcBorders>
            <w:vAlign w:val="center"/>
            <w:hideMark/>
          </w:tcPr>
          <w:p w14:paraId="7030ACFB" w14:textId="77777777" w:rsidR="00583A28" w:rsidRPr="00583A28" w:rsidRDefault="00583A28" w:rsidP="002266BF">
            <w:pPr>
              <w:spacing w:after="0" w:line="240" w:lineRule="auto"/>
              <w:rPr>
                <w:rFonts w:ascii="Times New Roman" w:eastAsia="Times New Roman" w:hAnsi="Times New Roman" w:cs="Times New Roman"/>
                <w:color w:val="000000"/>
                <w:kern w:val="0"/>
                <w:sz w:val="28"/>
                <w:szCs w:val="28"/>
                <w:lang w:eastAsia="en-IN"/>
                <w14:ligatures w14:val="none"/>
              </w:rPr>
            </w:pPr>
            <w:r w:rsidRPr="00583A28">
              <w:rPr>
                <w:rFonts w:ascii="Times New Roman" w:eastAsia="Times New Roman" w:hAnsi="Times New Roman" w:cs="Times New Roman"/>
                <w:color w:val="000000"/>
                <w:kern w:val="0"/>
                <w:sz w:val="28"/>
                <w:szCs w:val="28"/>
                <w:lang w:eastAsia="en-IN"/>
                <w14:ligatures w14:val="none"/>
              </w:rPr>
              <w:t>Rajasthan</w:t>
            </w:r>
          </w:p>
        </w:tc>
        <w:tc>
          <w:tcPr>
            <w:tcW w:w="3173" w:type="dxa"/>
            <w:tcBorders>
              <w:top w:val="nil"/>
              <w:left w:val="nil"/>
              <w:bottom w:val="single" w:sz="4" w:space="0" w:color="auto"/>
              <w:right w:val="single" w:sz="4" w:space="0" w:color="auto"/>
            </w:tcBorders>
            <w:vAlign w:val="center"/>
            <w:hideMark/>
          </w:tcPr>
          <w:p w14:paraId="1669090F" w14:textId="77777777" w:rsidR="00583A28" w:rsidRPr="00583A28" w:rsidRDefault="00583A28" w:rsidP="00583A28">
            <w:pPr>
              <w:spacing w:after="0" w:line="240" w:lineRule="auto"/>
              <w:jc w:val="center"/>
              <w:rPr>
                <w:rFonts w:ascii="Times New Roman" w:eastAsia="Times New Roman" w:hAnsi="Times New Roman" w:cs="Times New Roman"/>
                <w:color w:val="000000"/>
                <w:kern w:val="0"/>
                <w:sz w:val="28"/>
                <w:szCs w:val="28"/>
                <w:lang w:eastAsia="en-IN"/>
                <w14:ligatures w14:val="none"/>
              </w:rPr>
            </w:pPr>
            <w:r w:rsidRPr="00583A28">
              <w:rPr>
                <w:rFonts w:ascii="Times New Roman" w:eastAsia="Times New Roman" w:hAnsi="Times New Roman" w:cs="Times New Roman"/>
                <w:color w:val="000000"/>
                <w:kern w:val="0"/>
                <w:sz w:val="28"/>
                <w:szCs w:val="28"/>
                <w:lang w:eastAsia="en-IN"/>
                <w14:ligatures w14:val="none"/>
              </w:rPr>
              <w:t>4·42</w:t>
            </w:r>
          </w:p>
        </w:tc>
      </w:tr>
      <w:tr w:rsidR="00583A28" w:rsidRPr="00583A28" w14:paraId="2AC5A555" w14:textId="77777777" w:rsidTr="00583A28">
        <w:trPr>
          <w:trHeight w:val="19"/>
          <w:jc w:val="center"/>
        </w:trPr>
        <w:tc>
          <w:tcPr>
            <w:tcW w:w="3142" w:type="dxa"/>
            <w:tcBorders>
              <w:top w:val="nil"/>
              <w:left w:val="single" w:sz="4" w:space="0" w:color="auto"/>
              <w:bottom w:val="single" w:sz="4" w:space="0" w:color="auto"/>
              <w:right w:val="single" w:sz="4" w:space="0" w:color="auto"/>
            </w:tcBorders>
            <w:vAlign w:val="center"/>
            <w:hideMark/>
          </w:tcPr>
          <w:p w14:paraId="0170DEBE" w14:textId="77777777" w:rsidR="00583A28" w:rsidRPr="00583A28" w:rsidRDefault="00583A28" w:rsidP="002266BF">
            <w:pPr>
              <w:spacing w:after="0" w:line="240" w:lineRule="auto"/>
              <w:rPr>
                <w:rFonts w:ascii="Times New Roman" w:eastAsia="Times New Roman" w:hAnsi="Times New Roman" w:cs="Times New Roman"/>
                <w:color w:val="000000"/>
                <w:kern w:val="0"/>
                <w:sz w:val="28"/>
                <w:szCs w:val="28"/>
                <w:lang w:eastAsia="en-IN"/>
                <w14:ligatures w14:val="none"/>
              </w:rPr>
            </w:pPr>
            <w:r w:rsidRPr="00583A28">
              <w:rPr>
                <w:rFonts w:ascii="Times New Roman" w:eastAsia="Times New Roman" w:hAnsi="Times New Roman" w:cs="Times New Roman"/>
                <w:color w:val="000000"/>
                <w:kern w:val="0"/>
                <w:sz w:val="28"/>
                <w:szCs w:val="28"/>
                <w:lang w:eastAsia="en-IN"/>
                <w14:ligatures w14:val="none"/>
              </w:rPr>
              <w:t>Tamil Nadu</w:t>
            </w:r>
          </w:p>
        </w:tc>
        <w:tc>
          <w:tcPr>
            <w:tcW w:w="3173" w:type="dxa"/>
            <w:tcBorders>
              <w:top w:val="nil"/>
              <w:left w:val="nil"/>
              <w:bottom w:val="single" w:sz="4" w:space="0" w:color="auto"/>
              <w:right w:val="single" w:sz="4" w:space="0" w:color="auto"/>
            </w:tcBorders>
            <w:vAlign w:val="center"/>
            <w:hideMark/>
          </w:tcPr>
          <w:p w14:paraId="621DC2C3" w14:textId="77777777" w:rsidR="00583A28" w:rsidRPr="00583A28" w:rsidRDefault="00583A28" w:rsidP="00583A28">
            <w:pPr>
              <w:spacing w:after="0" w:line="240" w:lineRule="auto"/>
              <w:jc w:val="center"/>
              <w:rPr>
                <w:rFonts w:ascii="Times New Roman" w:eastAsia="Times New Roman" w:hAnsi="Times New Roman" w:cs="Times New Roman"/>
                <w:color w:val="000000"/>
                <w:kern w:val="0"/>
                <w:sz w:val="28"/>
                <w:szCs w:val="28"/>
                <w:lang w:eastAsia="en-IN"/>
                <w14:ligatures w14:val="none"/>
              </w:rPr>
            </w:pPr>
            <w:r w:rsidRPr="00583A28">
              <w:rPr>
                <w:rFonts w:ascii="Times New Roman" w:eastAsia="Times New Roman" w:hAnsi="Times New Roman" w:cs="Times New Roman"/>
                <w:color w:val="000000"/>
                <w:kern w:val="0"/>
                <w:sz w:val="28"/>
                <w:szCs w:val="28"/>
                <w:lang w:eastAsia="en-IN"/>
                <w14:ligatures w14:val="none"/>
              </w:rPr>
              <w:t>9·63</w:t>
            </w:r>
          </w:p>
        </w:tc>
      </w:tr>
      <w:tr w:rsidR="00583A28" w:rsidRPr="00583A28" w14:paraId="4283470E" w14:textId="77777777" w:rsidTr="00583A28">
        <w:trPr>
          <w:trHeight w:val="19"/>
          <w:jc w:val="center"/>
        </w:trPr>
        <w:tc>
          <w:tcPr>
            <w:tcW w:w="3142" w:type="dxa"/>
            <w:tcBorders>
              <w:top w:val="nil"/>
              <w:left w:val="single" w:sz="4" w:space="0" w:color="auto"/>
              <w:bottom w:val="single" w:sz="4" w:space="0" w:color="auto"/>
              <w:right w:val="single" w:sz="4" w:space="0" w:color="auto"/>
            </w:tcBorders>
            <w:vAlign w:val="center"/>
            <w:hideMark/>
          </w:tcPr>
          <w:p w14:paraId="7B6481CC" w14:textId="77777777" w:rsidR="00583A28" w:rsidRPr="00583A28" w:rsidRDefault="00583A28" w:rsidP="002266BF">
            <w:pPr>
              <w:spacing w:after="0" w:line="240" w:lineRule="auto"/>
              <w:rPr>
                <w:rFonts w:ascii="Times New Roman" w:eastAsia="Times New Roman" w:hAnsi="Times New Roman" w:cs="Times New Roman"/>
                <w:color w:val="000000"/>
                <w:kern w:val="0"/>
                <w:sz w:val="28"/>
                <w:szCs w:val="28"/>
                <w:lang w:eastAsia="en-IN"/>
                <w14:ligatures w14:val="none"/>
              </w:rPr>
            </w:pPr>
            <w:r w:rsidRPr="00583A28">
              <w:rPr>
                <w:rFonts w:ascii="Times New Roman" w:eastAsia="Times New Roman" w:hAnsi="Times New Roman" w:cs="Times New Roman"/>
                <w:color w:val="000000"/>
                <w:kern w:val="0"/>
                <w:sz w:val="28"/>
                <w:szCs w:val="28"/>
                <w:lang w:eastAsia="en-IN"/>
                <w14:ligatures w14:val="none"/>
              </w:rPr>
              <w:t>Uttar Pradesh</w:t>
            </w:r>
          </w:p>
        </w:tc>
        <w:tc>
          <w:tcPr>
            <w:tcW w:w="3173" w:type="dxa"/>
            <w:tcBorders>
              <w:top w:val="nil"/>
              <w:left w:val="nil"/>
              <w:bottom w:val="single" w:sz="4" w:space="0" w:color="auto"/>
              <w:right w:val="single" w:sz="4" w:space="0" w:color="auto"/>
            </w:tcBorders>
            <w:vAlign w:val="center"/>
            <w:hideMark/>
          </w:tcPr>
          <w:p w14:paraId="59D459BB" w14:textId="77777777" w:rsidR="00583A28" w:rsidRPr="00583A28" w:rsidRDefault="00583A28" w:rsidP="00583A28">
            <w:pPr>
              <w:spacing w:after="0" w:line="240" w:lineRule="auto"/>
              <w:jc w:val="center"/>
              <w:rPr>
                <w:rFonts w:ascii="Times New Roman" w:eastAsia="Times New Roman" w:hAnsi="Times New Roman" w:cs="Times New Roman"/>
                <w:color w:val="000000"/>
                <w:kern w:val="0"/>
                <w:sz w:val="28"/>
                <w:szCs w:val="28"/>
                <w:lang w:eastAsia="en-IN"/>
                <w14:ligatures w14:val="none"/>
              </w:rPr>
            </w:pPr>
            <w:r w:rsidRPr="00583A28">
              <w:rPr>
                <w:rFonts w:ascii="Times New Roman" w:eastAsia="Times New Roman" w:hAnsi="Times New Roman" w:cs="Times New Roman"/>
                <w:color w:val="000000"/>
                <w:kern w:val="0"/>
                <w:sz w:val="28"/>
                <w:szCs w:val="28"/>
                <w:lang w:eastAsia="en-IN"/>
                <w14:ligatures w14:val="none"/>
              </w:rPr>
              <w:t>12·99</w:t>
            </w:r>
          </w:p>
        </w:tc>
      </w:tr>
      <w:tr w:rsidR="00583A28" w:rsidRPr="00583A28" w14:paraId="0FE664F2" w14:textId="77777777" w:rsidTr="00583A28">
        <w:trPr>
          <w:trHeight w:val="19"/>
          <w:jc w:val="center"/>
        </w:trPr>
        <w:tc>
          <w:tcPr>
            <w:tcW w:w="3142" w:type="dxa"/>
            <w:tcBorders>
              <w:top w:val="nil"/>
              <w:left w:val="single" w:sz="4" w:space="0" w:color="auto"/>
              <w:bottom w:val="single" w:sz="4" w:space="0" w:color="auto"/>
              <w:right w:val="single" w:sz="4" w:space="0" w:color="auto"/>
            </w:tcBorders>
            <w:vAlign w:val="center"/>
            <w:hideMark/>
          </w:tcPr>
          <w:p w14:paraId="4149C20C" w14:textId="77777777" w:rsidR="00583A28" w:rsidRPr="00583A28" w:rsidRDefault="00583A28" w:rsidP="002266BF">
            <w:pPr>
              <w:spacing w:after="0" w:line="240" w:lineRule="auto"/>
              <w:rPr>
                <w:rFonts w:ascii="Times New Roman" w:eastAsia="Times New Roman" w:hAnsi="Times New Roman" w:cs="Times New Roman"/>
                <w:color w:val="000000"/>
                <w:kern w:val="0"/>
                <w:sz w:val="28"/>
                <w:szCs w:val="28"/>
                <w:lang w:eastAsia="en-IN"/>
                <w14:ligatures w14:val="none"/>
              </w:rPr>
            </w:pPr>
            <w:r w:rsidRPr="00583A28">
              <w:rPr>
                <w:rFonts w:ascii="Times New Roman" w:eastAsia="Times New Roman" w:hAnsi="Times New Roman" w:cs="Times New Roman"/>
                <w:color w:val="000000"/>
                <w:kern w:val="0"/>
                <w:sz w:val="28"/>
                <w:szCs w:val="28"/>
                <w:lang w:eastAsia="en-IN"/>
                <w14:ligatures w14:val="none"/>
              </w:rPr>
              <w:t>West Bengal</w:t>
            </w:r>
          </w:p>
        </w:tc>
        <w:tc>
          <w:tcPr>
            <w:tcW w:w="3173" w:type="dxa"/>
            <w:tcBorders>
              <w:top w:val="nil"/>
              <w:left w:val="nil"/>
              <w:bottom w:val="single" w:sz="4" w:space="0" w:color="auto"/>
              <w:right w:val="single" w:sz="4" w:space="0" w:color="auto"/>
            </w:tcBorders>
            <w:vAlign w:val="center"/>
            <w:hideMark/>
          </w:tcPr>
          <w:p w14:paraId="45A617A8" w14:textId="77777777" w:rsidR="00583A28" w:rsidRPr="00583A28" w:rsidRDefault="00583A28" w:rsidP="00583A28">
            <w:pPr>
              <w:spacing w:after="0" w:line="240" w:lineRule="auto"/>
              <w:jc w:val="center"/>
              <w:rPr>
                <w:rFonts w:ascii="Times New Roman" w:eastAsia="Times New Roman" w:hAnsi="Times New Roman" w:cs="Times New Roman"/>
                <w:color w:val="000000"/>
                <w:kern w:val="0"/>
                <w:sz w:val="28"/>
                <w:szCs w:val="28"/>
                <w:lang w:eastAsia="en-IN"/>
                <w14:ligatures w14:val="none"/>
              </w:rPr>
            </w:pPr>
            <w:r w:rsidRPr="00583A28">
              <w:rPr>
                <w:rFonts w:ascii="Times New Roman" w:eastAsia="Times New Roman" w:hAnsi="Times New Roman" w:cs="Times New Roman"/>
                <w:color w:val="000000"/>
                <w:kern w:val="0"/>
                <w:sz w:val="28"/>
                <w:szCs w:val="28"/>
                <w:lang w:eastAsia="en-IN"/>
                <w14:ligatures w14:val="none"/>
              </w:rPr>
              <w:t>8·75</w:t>
            </w:r>
          </w:p>
        </w:tc>
      </w:tr>
      <w:tr w:rsidR="00583A28" w:rsidRPr="00583A28" w14:paraId="48293545" w14:textId="77777777" w:rsidTr="00583A28">
        <w:trPr>
          <w:trHeight w:val="19"/>
          <w:jc w:val="center"/>
        </w:trPr>
        <w:tc>
          <w:tcPr>
            <w:tcW w:w="3142" w:type="dxa"/>
            <w:tcBorders>
              <w:top w:val="nil"/>
              <w:left w:val="single" w:sz="4" w:space="0" w:color="auto"/>
              <w:bottom w:val="single" w:sz="4" w:space="0" w:color="auto"/>
              <w:right w:val="single" w:sz="4" w:space="0" w:color="auto"/>
            </w:tcBorders>
            <w:vAlign w:val="center"/>
            <w:hideMark/>
          </w:tcPr>
          <w:p w14:paraId="14BB5462" w14:textId="77777777" w:rsidR="00583A28" w:rsidRPr="00583A28" w:rsidRDefault="00583A28" w:rsidP="002266BF">
            <w:pPr>
              <w:spacing w:after="0" w:line="240" w:lineRule="auto"/>
              <w:rPr>
                <w:rFonts w:ascii="Times New Roman" w:eastAsia="Times New Roman" w:hAnsi="Times New Roman" w:cs="Times New Roman"/>
                <w:color w:val="000000"/>
                <w:kern w:val="0"/>
                <w:sz w:val="28"/>
                <w:szCs w:val="28"/>
                <w:lang w:eastAsia="en-IN"/>
                <w14:ligatures w14:val="none"/>
              </w:rPr>
            </w:pPr>
            <w:r w:rsidRPr="00583A28">
              <w:rPr>
                <w:rFonts w:ascii="Times New Roman" w:eastAsia="Times New Roman" w:hAnsi="Times New Roman" w:cs="Times New Roman"/>
                <w:color w:val="000000"/>
                <w:kern w:val="0"/>
                <w:sz w:val="28"/>
                <w:szCs w:val="28"/>
                <w:lang w:eastAsia="en-IN"/>
                <w14:ligatures w14:val="none"/>
              </w:rPr>
              <w:t>TOTAL</w:t>
            </w:r>
          </w:p>
        </w:tc>
        <w:tc>
          <w:tcPr>
            <w:tcW w:w="3173" w:type="dxa"/>
            <w:tcBorders>
              <w:top w:val="nil"/>
              <w:left w:val="nil"/>
              <w:bottom w:val="single" w:sz="4" w:space="0" w:color="auto"/>
              <w:right w:val="single" w:sz="4" w:space="0" w:color="auto"/>
            </w:tcBorders>
            <w:vAlign w:val="center"/>
            <w:hideMark/>
          </w:tcPr>
          <w:p w14:paraId="71A0FD7A" w14:textId="77777777" w:rsidR="00583A28" w:rsidRPr="00583A28" w:rsidRDefault="00583A28" w:rsidP="00583A28">
            <w:pPr>
              <w:spacing w:after="0" w:line="240" w:lineRule="auto"/>
              <w:jc w:val="center"/>
              <w:rPr>
                <w:rFonts w:ascii="Times New Roman" w:eastAsia="Times New Roman" w:hAnsi="Times New Roman" w:cs="Times New Roman"/>
                <w:color w:val="000000"/>
                <w:kern w:val="0"/>
                <w:sz w:val="28"/>
                <w:szCs w:val="28"/>
                <w:lang w:eastAsia="en-IN"/>
                <w14:ligatures w14:val="none"/>
              </w:rPr>
            </w:pPr>
            <w:r w:rsidRPr="00583A28">
              <w:rPr>
                <w:rFonts w:ascii="Times New Roman" w:eastAsia="Times New Roman" w:hAnsi="Times New Roman" w:cs="Times New Roman"/>
                <w:color w:val="000000"/>
                <w:kern w:val="0"/>
                <w:sz w:val="28"/>
                <w:szCs w:val="28"/>
                <w:lang w:eastAsia="en-IN"/>
                <w14:ligatures w14:val="none"/>
              </w:rPr>
              <w:t>100·00</w:t>
            </w:r>
          </w:p>
        </w:tc>
      </w:tr>
    </w:tbl>
    <w:p w14:paraId="22922297" w14:textId="77777777" w:rsidR="007C11A0" w:rsidRDefault="007C11A0" w:rsidP="006C2D5D">
      <w:pPr>
        <w:jc w:val="both"/>
        <w:rPr>
          <w:rFonts w:ascii="Times New Roman" w:hAnsi="Times New Roman" w:cs="Times New Roman"/>
        </w:rPr>
      </w:pPr>
    </w:p>
    <w:p w14:paraId="45FCAED3" w14:textId="7EA997A7" w:rsidR="007C11A0" w:rsidRPr="00583A28" w:rsidRDefault="00255141" w:rsidP="00583A28">
      <w:pPr>
        <w:spacing w:line="300" w:lineRule="exact"/>
        <w:jc w:val="both"/>
        <w:rPr>
          <w:rFonts w:ascii="Times New Roman" w:hAnsi="Times New Roman" w:cs="Times New Roman"/>
          <w:sz w:val="28"/>
          <w:szCs w:val="22"/>
        </w:rPr>
      </w:pPr>
      <w:r w:rsidRPr="00583A28">
        <w:rPr>
          <w:rFonts w:ascii="Times New Roman" w:hAnsi="Times New Roman" w:cs="Times New Roman"/>
          <w:sz w:val="28"/>
          <w:szCs w:val="22"/>
        </w:rPr>
        <w:t>(f) In case the existing arrangements are discontinued during the course of a financial year, the sums specified in clause (d) above, be reduced </w:t>
      </w:r>
      <w:r w:rsidRPr="00583A28">
        <w:rPr>
          <w:rFonts w:ascii="Times New Roman" w:hAnsi="Times New Roman" w:cs="Times New Roman"/>
          <w:i/>
          <w:iCs/>
          <w:sz w:val="28"/>
          <w:szCs w:val="22"/>
        </w:rPr>
        <w:t>pro rata</w:t>
      </w:r>
      <w:r w:rsidRPr="00583A28">
        <w:rPr>
          <w:rFonts w:ascii="Times New Roman" w:hAnsi="Times New Roman" w:cs="Times New Roman"/>
          <w:sz w:val="28"/>
          <w:szCs w:val="22"/>
        </w:rPr>
        <w:t> in proportion to the period for which the arrangements have continued.</w:t>
      </w:r>
    </w:p>
    <w:p w14:paraId="4B2BE072" w14:textId="77777777" w:rsidR="007C11A0" w:rsidRDefault="007C11A0">
      <w:pPr>
        <w:rPr>
          <w:rFonts w:ascii="Times New Roman" w:hAnsi="Times New Roman" w:cs="Times New Roman"/>
        </w:rPr>
      </w:pPr>
      <w:r>
        <w:rPr>
          <w:rFonts w:ascii="Times New Roman" w:hAnsi="Times New Roman" w:cs="Times New Roman"/>
        </w:rPr>
        <w:br w:type="page"/>
      </w:r>
    </w:p>
    <w:p w14:paraId="446BC09C" w14:textId="5A97EA53" w:rsidR="008E3B34" w:rsidRPr="007C11A0" w:rsidRDefault="007C11A0" w:rsidP="007C11A0">
      <w:pPr>
        <w:pStyle w:val="Heading1"/>
      </w:pPr>
      <w:r w:rsidRPr="007C11A0">
        <w:lastRenderedPageBreak/>
        <w:br/>
      </w:r>
      <w:bookmarkStart w:id="11" w:name="_Toc220949670"/>
      <w:bookmarkStart w:id="12" w:name="_Toc221115293"/>
      <w:r w:rsidR="008E3B34" w:rsidRPr="007C11A0">
        <w:t>GRANTS-IN-AID UNDER ARTICLE 275 OF THE CONSTITUTION</w:t>
      </w:r>
      <w:bookmarkEnd w:id="11"/>
      <w:bookmarkEnd w:id="12"/>
    </w:p>
    <w:p w14:paraId="5CDFF130" w14:textId="496087F3" w:rsidR="008E3B34" w:rsidRPr="00FF13CC" w:rsidRDefault="008E3B34" w:rsidP="00FF13CC">
      <w:pPr>
        <w:pStyle w:val="Heading3"/>
        <w:spacing w:before="0" w:after="0" w:line="310" w:lineRule="exact"/>
        <w:rPr>
          <w:szCs w:val="28"/>
        </w:rPr>
      </w:pPr>
      <w:r w:rsidRPr="00FF13CC">
        <w:rPr>
          <w:szCs w:val="28"/>
        </w:rPr>
        <w:t>Under item (b) of paragraph 4 of the President’s Order dated the 29th February, 1968, we are required to make recommendations as to the principles which should govern the grants-in-aid of the revenues of the States out of the Consolidated Fund of India and also to recommend the sums to be paid to the States which are in need of assistance by way of grants-in-aid of their revenues under Article 275 for purposes other than the Five Year Plans, having regard, among other considerations, to—</w:t>
      </w:r>
    </w:p>
    <w:p w14:paraId="16349F3F" w14:textId="77777777" w:rsidR="008E3B34" w:rsidRPr="00FF13CC" w:rsidRDefault="008E3B34" w:rsidP="00FF13CC">
      <w:pPr>
        <w:spacing w:after="0" w:line="310" w:lineRule="exact"/>
        <w:ind w:left="720" w:hanging="426"/>
        <w:jc w:val="both"/>
        <w:rPr>
          <w:rFonts w:ascii="Times New Roman" w:hAnsi="Times New Roman" w:cs="Times New Roman"/>
          <w:sz w:val="28"/>
          <w:szCs w:val="28"/>
        </w:rPr>
      </w:pPr>
      <w:r w:rsidRPr="00FF13CC">
        <w:rPr>
          <w:rFonts w:ascii="Times New Roman" w:hAnsi="Times New Roman" w:cs="Times New Roman"/>
          <w:sz w:val="28"/>
          <w:szCs w:val="28"/>
        </w:rPr>
        <w:t>(i) the revenue resources of those States for the five years ending with the financial year 1973-74 on the basis of the levels of taxation likely to be reached at the end of the financial year 1968-69;</w:t>
      </w:r>
    </w:p>
    <w:p w14:paraId="7BCE016F" w14:textId="77777777" w:rsidR="008E3B34" w:rsidRPr="00FF13CC" w:rsidRDefault="008E3B34" w:rsidP="00FF13CC">
      <w:pPr>
        <w:spacing w:after="0" w:line="310" w:lineRule="exact"/>
        <w:ind w:left="720" w:hanging="426"/>
        <w:jc w:val="both"/>
        <w:rPr>
          <w:rFonts w:ascii="Times New Roman" w:hAnsi="Times New Roman" w:cs="Times New Roman"/>
          <w:sz w:val="28"/>
          <w:szCs w:val="28"/>
        </w:rPr>
      </w:pPr>
      <w:r w:rsidRPr="00FF13CC">
        <w:rPr>
          <w:rFonts w:ascii="Times New Roman" w:hAnsi="Times New Roman" w:cs="Times New Roman"/>
          <w:sz w:val="28"/>
          <w:szCs w:val="28"/>
        </w:rPr>
        <w:t>(ii) the requirements on revenue account of those States to meet the expenditure on administration, interest charges in respect of their debt, maintenance and upkeep of Plan schemes completed by the end of 1968-69, transfer of funds to local bodies and aided institutions and other committed expenditure; and</w:t>
      </w:r>
    </w:p>
    <w:p w14:paraId="2919FF74" w14:textId="77777777" w:rsidR="008E3B34" w:rsidRPr="00FF13CC" w:rsidRDefault="008E3B34" w:rsidP="00FF13CC">
      <w:pPr>
        <w:spacing w:after="0" w:line="310" w:lineRule="exact"/>
        <w:ind w:left="720" w:hanging="426"/>
        <w:jc w:val="both"/>
        <w:rPr>
          <w:rFonts w:ascii="Times New Roman" w:hAnsi="Times New Roman" w:cs="Times New Roman"/>
          <w:sz w:val="28"/>
          <w:szCs w:val="28"/>
        </w:rPr>
      </w:pPr>
      <w:r w:rsidRPr="00FF13CC">
        <w:rPr>
          <w:rFonts w:ascii="Times New Roman" w:hAnsi="Times New Roman" w:cs="Times New Roman"/>
          <w:sz w:val="28"/>
          <w:szCs w:val="28"/>
        </w:rPr>
        <w:t>(iii) the scope for better fiscal management as also for economy consistent with efficiency which may be effected by the States in their administrative, maintenance, developmental and other expenditure.</w:t>
      </w:r>
    </w:p>
    <w:p w14:paraId="6569CFFE" w14:textId="54DC8E93" w:rsidR="008E3B34" w:rsidRPr="00FF13CC" w:rsidRDefault="008E3B34" w:rsidP="00FF13CC">
      <w:pPr>
        <w:pStyle w:val="Heading3"/>
        <w:spacing w:line="310" w:lineRule="exact"/>
        <w:rPr>
          <w:szCs w:val="28"/>
        </w:rPr>
      </w:pPr>
      <w:r w:rsidRPr="00FF13CC">
        <w:rPr>
          <w:szCs w:val="28"/>
        </w:rPr>
        <w:t>The earlier Finance Commissions have broadly agreed that while the budgetary needs of the States are an important factor in determining the assistance required by the States, a number of adjustments have to be made and several broad considerations kept in mind to determine the amounts of assistance which the States need as grants under Article 275. Their budgetary forecasts have first to be suitably modified to a standard form so as to make them comparable. It is necessary to take into account the efforts made by them to raise resources in relation to their tax potential and the scope for economy in expenditure, and to have regard to the need to avoid large disparities in the standards of basic social services and to provide for special burdens of national interest likely to prove financially strenuous to States. These principles have been generally recognised as unexceptionable. The main differences have been the approach of the different Commissions to grants for Plan purposes and earmarked grants for broad national purposes like education.</w:t>
      </w:r>
    </w:p>
    <w:p w14:paraId="7B7B9D77" w14:textId="778D678D" w:rsidR="008E3B34" w:rsidRPr="00FF13CC" w:rsidRDefault="008E3B34" w:rsidP="00FF13CC">
      <w:pPr>
        <w:pStyle w:val="Heading3"/>
        <w:spacing w:line="310" w:lineRule="exact"/>
        <w:rPr>
          <w:szCs w:val="28"/>
        </w:rPr>
      </w:pPr>
      <w:r w:rsidRPr="00FF13CC">
        <w:rPr>
          <w:szCs w:val="28"/>
        </w:rPr>
        <w:t>In Chapter 2, we have already explained that it is not possible for us to take into account any requirements for the Five Year Plan. It has been suggested to us that we should follow the procedure of the First Finance Commission and earmark a portion of the</w:t>
      </w:r>
      <w:r w:rsidR="003C6D59" w:rsidRPr="00FF13CC">
        <w:rPr>
          <w:szCs w:val="28"/>
        </w:rPr>
        <w:t xml:space="preserve"> </w:t>
      </w:r>
      <w:r w:rsidRPr="00FF13CC">
        <w:rPr>
          <w:szCs w:val="28"/>
        </w:rPr>
        <w:t xml:space="preserve">grant for the purpose of raising school teachers’ salaries to a minimum level. We think, however, that it would be difficult for us as a Commission to judge the requirements for improving the efficiency of existing services through better terms of remuneration. We understand that for the purpose of Plan assistance, the Planning Commission has also been thinking of shifting the emphasis from grants for specific purposes towards block grants for Plan expenditure generally. The </w:t>
      </w:r>
      <w:r w:rsidRPr="00FF13CC">
        <w:rPr>
          <w:szCs w:val="28"/>
        </w:rPr>
        <w:lastRenderedPageBreak/>
        <w:t>Fourth Finance Commission had observed in this connection that even if a special grant could be made under Article 275, such a grant would get merged with the general revenues of the States. Its utilisation could only be reviewed by a subsequent Finance Commission and this would not be of any practical value. We agree with this view.</w:t>
      </w:r>
    </w:p>
    <w:p w14:paraId="6CCD171F" w14:textId="31A4D8C5" w:rsidR="008E3B34" w:rsidRPr="00FF13CC" w:rsidRDefault="008E3B34" w:rsidP="00FF13CC">
      <w:pPr>
        <w:pStyle w:val="Heading3"/>
        <w:spacing w:line="310" w:lineRule="exact"/>
        <w:rPr>
          <w:szCs w:val="28"/>
        </w:rPr>
      </w:pPr>
      <w:r w:rsidRPr="00FF13CC">
        <w:rPr>
          <w:rStyle w:val="Heading3Char"/>
          <w:szCs w:val="28"/>
        </w:rPr>
        <w:t>While the Finance Commissions have broadly agreed on the principles which should govern the determination of the States’ need for assistance, there have been differences in the extent to which they have</w:t>
      </w:r>
      <w:r w:rsidRPr="00FF13CC">
        <w:rPr>
          <w:szCs w:val="28"/>
        </w:rPr>
        <w:t xml:space="preserve"> been able to take these into account. As regards assessment of tax effort, the Second Finance Commission stated</w:t>
      </w:r>
      <w:r w:rsidR="000273E7">
        <w:rPr>
          <w:szCs w:val="28"/>
        </w:rPr>
        <w:t>-</w:t>
      </w:r>
    </w:p>
    <w:p w14:paraId="7163FE3B" w14:textId="1E146197" w:rsidR="008E3B34" w:rsidRPr="00FF13CC" w:rsidRDefault="008E3B34" w:rsidP="00FF13CC">
      <w:pPr>
        <w:spacing w:line="310" w:lineRule="exact"/>
        <w:ind w:left="720"/>
        <w:jc w:val="both"/>
        <w:rPr>
          <w:rFonts w:ascii="Times New Roman" w:hAnsi="Times New Roman" w:cs="Times New Roman"/>
          <w:sz w:val="28"/>
          <w:szCs w:val="28"/>
        </w:rPr>
      </w:pPr>
      <w:r w:rsidRPr="00FF13CC">
        <w:rPr>
          <w:rFonts w:ascii="Times New Roman" w:hAnsi="Times New Roman" w:cs="Times New Roman"/>
          <w:sz w:val="28"/>
          <w:szCs w:val="28"/>
        </w:rPr>
        <w:t>“In our assessment of tax effort we have assumed that if a State raised additional revenue which it has promised for the Plan, it will have done its part”.</w:t>
      </w:r>
      <w:r w:rsidR="00AC1D89">
        <w:rPr>
          <w:rStyle w:val="FootnoteReference"/>
          <w:rFonts w:ascii="Times New Roman" w:hAnsi="Times New Roman" w:cs="Times New Roman"/>
          <w:sz w:val="28"/>
          <w:szCs w:val="28"/>
        </w:rPr>
        <w:footnoteReference w:id="4"/>
      </w:r>
    </w:p>
    <w:p w14:paraId="4E5125D6" w14:textId="0913E00D" w:rsidR="00264373" w:rsidRPr="00FF13CC" w:rsidRDefault="008E3B34" w:rsidP="00FF13CC">
      <w:pPr>
        <w:widowControl w:val="0"/>
        <w:spacing w:line="310" w:lineRule="exact"/>
        <w:jc w:val="both"/>
        <w:rPr>
          <w:rFonts w:ascii="Times New Roman" w:hAnsi="Times New Roman" w:cs="Times New Roman"/>
          <w:sz w:val="28"/>
          <w:szCs w:val="28"/>
        </w:rPr>
      </w:pPr>
      <w:r w:rsidRPr="00FF13CC">
        <w:rPr>
          <w:rFonts w:ascii="Times New Roman" w:hAnsi="Times New Roman" w:cs="Times New Roman"/>
          <w:sz w:val="28"/>
          <w:szCs w:val="28"/>
        </w:rPr>
        <w:t>The Third Finance Commission did not take tax effort into account as it felt that the comparative determination of the tax effort of the States had to be related to their tax potential and required special study. The Fourth Finance Commission expressed agreement with the principle of considering how far the States had made efforts to raise resources in relation to their tax potential. However, in its assessment of the States’ needs, it took into account only non-Plan revenue expenditure and the revenue receipts anticipated on the basis of the then existing level of taxes, and did not examine the extent of additional tax effort as it was related to the financing of the States’ Plan expenditure. It left out of account the estimated losses by departmentally managed enterprises and assumed full realisation of current interest dues from autonomous corporations like the State Electricity Boards.</w:t>
      </w:r>
    </w:p>
    <w:p w14:paraId="4B86E129" w14:textId="4F9D6506" w:rsidR="008E3B34" w:rsidRDefault="008E3B34" w:rsidP="000273E7">
      <w:pPr>
        <w:pStyle w:val="Heading3"/>
        <w:keepNext w:val="0"/>
        <w:spacing w:line="310" w:lineRule="exact"/>
        <w:rPr>
          <w:szCs w:val="28"/>
        </w:rPr>
      </w:pPr>
      <w:r w:rsidRPr="00FF13CC">
        <w:rPr>
          <w:szCs w:val="28"/>
        </w:rPr>
        <w:t>In view of the rapid growth of State expenditure and the very large size of budgetary deficits which, as indicated in the States’ forecasts, comes to Rs. 7,368 crores, we consider that the emphasis must shift significantly from budgetary needs to broad fiscal needs as suggested by the Second Finance Commission. We have accordingly tried to apply the principles laid down by the previous Commissions more extensively. For the purpose of assessing the needs of each State for meeting revenue expenditure, the States’ forecasts were duly scrutinised with a view to placing them on a comparable footing as well as correcting errors of estimation. The receipts and working expenses in respect of the various departmental commercial schemes were segregated to facilitate separate examination of such schemes. Receipts of interest and dividends as well as payment of interest and provision for repayment or amortisation of debt were also separately</w:t>
      </w:r>
      <w:r w:rsidR="00583A28" w:rsidRPr="00FF13CC">
        <w:rPr>
          <w:szCs w:val="28"/>
        </w:rPr>
        <w:t xml:space="preserve"> </w:t>
      </w:r>
      <w:r w:rsidRPr="00FF13CC">
        <w:rPr>
          <w:szCs w:val="28"/>
        </w:rPr>
        <w:t>dealt with. For important items of tax receipts and of expenditure we adopted growth rates within suitable maximum and minimum limits on the basis of past trends, future scope and other relevant factors as explained by the States. The preliminary actuals of 1968-69, wherever available, and budget estimates for 1969-70, were also utilised in assessing the forecasts relating to the initial year 1969-70.</w:t>
      </w:r>
    </w:p>
    <w:p w14:paraId="0EB32AB5" w14:textId="300BC2D6" w:rsidR="008E3B34" w:rsidRPr="00FF13CC" w:rsidRDefault="008E3B34" w:rsidP="000273E7">
      <w:pPr>
        <w:pStyle w:val="Heading3"/>
        <w:spacing w:before="0" w:after="0" w:line="310" w:lineRule="exact"/>
        <w:rPr>
          <w:szCs w:val="28"/>
        </w:rPr>
      </w:pPr>
      <w:r w:rsidRPr="00FF13CC">
        <w:rPr>
          <w:szCs w:val="28"/>
        </w:rPr>
        <w:lastRenderedPageBreak/>
        <w:t>In our assessment of revenue receipts we have taken credit for the interest due from Electricity Boards, except in the case of Assam and Rajasthan. In these two States, we found that the cost of generation and distribution was abnormally high due to factors over which the State Governments had little control. The increased cost could not be covered by the revenue realised despite relatively high tariffs. We have, therefore, assumed in their case receipt of interest only to the extent of half the amount due. To the extent that the estimates of working of certain Electricity Boards during the five years reflected a net surplus, we have also assumed recovery of arrears of interest payments due from them; but we left out of account the portion of such arrears which had resulted from nonpayment of interest in respect of the years 1966-67 to 1968-69, as the Fourth Finance Commission had assumed full payment of interest falling due from 1966-67 in assessing the budgetary needs of the States. In regard to recovery of interest of loans and advances by States to other parties, we assumed that each State Government would realise interest on such loans and advances at least at the average rate of interest payable on its own borrowings. No increase over the forecast of recovery of interest has, however, been assumed in respect of rehabilitation loans given by the State Governments.</w:t>
      </w:r>
    </w:p>
    <w:p w14:paraId="0A7A10AA" w14:textId="69FD4241" w:rsidR="008E3B34" w:rsidRPr="00FF13CC" w:rsidRDefault="008E3B34" w:rsidP="00FF13CC">
      <w:pPr>
        <w:pStyle w:val="Heading3"/>
        <w:spacing w:line="310" w:lineRule="exact"/>
        <w:rPr>
          <w:szCs w:val="28"/>
        </w:rPr>
      </w:pPr>
      <w:r w:rsidRPr="00FF13CC">
        <w:rPr>
          <w:szCs w:val="28"/>
        </w:rPr>
        <w:t>The material furnished by State Governments showed large amounts of arrears of tax revenues, particularly land revenue and sales taxes. In our assessment we have assumed that where these arrears exceed a moderate level representing normal arrears, the excess over such level would be realised during the Fourth Plan period.</w:t>
      </w:r>
    </w:p>
    <w:p w14:paraId="0993FD86" w14:textId="779321EC" w:rsidR="008E3B34" w:rsidRPr="00FF13CC" w:rsidRDefault="008E3B34" w:rsidP="00FF13CC">
      <w:pPr>
        <w:pStyle w:val="Heading3"/>
        <w:spacing w:line="310" w:lineRule="exact"/>
        <w:rPr>
          <w:szCs w:val="28"/>
        </w:rPr>
      </w:pPr>
      <w:r w:rsidRPr="00FF13CC">
        <w:rPr>
          <w:szCs w:val="28"/>
        </w:rPr>
        <w:t>Some State Governments indicated to us their intention to introduce prohibition by gradual stages, which would result in larger budgetary gaps on account of loss of excise revenue as well as additional expenditure required for enforcement staff. Some of them had assumed the receipt of grants from the Government of India for this purpose, on the basis of a communication from the then Deputy Prime Minister and Finance Minister offering to reimburse one-half of the loss of revenue suffered by the States on this account for a period of five years. We have taken the view that, while the State Governments have to decide their own policy regarding adoption of prohibition at such time and by such stages as they may consider desirable, the loss of revenue as well as the additional burden of expenditure required to be incurred on account of such policy should, at the same time, be made good by the States by raising further amounts from the resources available to them and adopting suitable measures of economy, with such assistance as the Government of India may be prepared to give to them. The grant of such assistance would be a matter for settlement between the concerned State Government and the Government of India, when the occasion arises. Accordingly, in our assessment of the State Governments’ forecasts, we have assumed the continuance of receipts from excise duties and expenditure on administration of State Excise Departments having regard to the position existing at the end of the year 1968-69.</w:t>
      </w:r>
    </w:p>
    <w:p w14:paraId="0D71B49B" w14:textId="40FD89F5" w:rsidR="008E3B34" w:rsidRPr="00FF13CC" w:rsidRDefault="008E3B34" w:rsidP="00FF13CC">
      <w:pPr>
        <w:pStyle w:val="Heading3"/>
        <w:spacing w:line="310" w:lineRule="exact"/>
        <w:rPr>
          <w:szCs w:val="28"/>
        </w:rPr>
      </w:pPr>
      <w:r w:rsidRPr="00FF13CC">
        <w:rPr>
          <w:szCs w:val="28"/>
        </w:rPr>
        <w:t xml:space="preserve">On the expenditure side some of the States had provided for large transfers to certain Funds like State Road Funds. To the extent that the transfers to the Funds were utilised either for capital expenditure or for Plan expenditure, they have not </w:t>
      </w:r>
      <w:r w:rsidRPr="00FF13CC">
        <w:rPr>
          <w:szCs w:val="28"/>
        </w:rPr>
        <w:lastRenderedPageBreak/>
        <w:t>been taken into account. Generally, we have also not included in our assessment any net accretions to these Funds.</w:t>
      </w:r>
    </w:p>
    <w:p w14:paraId="5E2A62C1" w14:textId="2188E21B" w:rsidR="008E3B34" w:rsidRPr="00FF13CC" w:rsidRDefault="008E3B34" w:rsidP="00FF13CC">
      <w:pPr>
        <w:pStyle w:val="Heading3"/>
        <w:spacing w:line="310" w:lineRule="exact"/>
        <w:rPr>
          <w:szCs w:val="28"/>
        </w:rPr>
      </w:pPr>
      <w:r w:rsidRPr="00FF13CC">
        <w:rPr>
          <w:szCs w:val="28"/>
        </w:rPr>
        <w:t>We have taken into account the provision made in the States forecasts for repayment of zamindari abolition bonds or similar compensation bonds, except where, as in the case of Tamil Nadu, the arrangement was intended to be self-financing and the entire cost of compensation was to be recovered from the allottees over a period of time.</w:t>
      </w:r>
    </w:p>
    <w:p w14:paraId="1B1B7067" w14:textId="45F8104F" w:rsidR="008E3B34" w:rsidRPr="00FF13CC" w:rsidRDefault="008E3B34" w:rsidP="00FF13CC">
      <w:pPr>
        <w:pStyle w:val="Heading3"/>
        <w:spacing w:line="310" w:lineRule="exact"/>
        <w:rPr>
          <w:szCs w:val="28"/>
        </w:rPr>
      </w:pPr>
      <w:r w:rsidRPr="00FF13CC">
        <w:rPr>
          <w:szCs w:val="28"/>
        </w:rPr>
        <w:t>We did not take into account losses in the case of road transport schemes, in the expectation that the State Governments will take effective measures to obtain returns from them which would cover the working expenses, depreciation and interest.</w:t>
      </w:r>
    </w:p>
    <w:p w14:paraId="06B3D8F7" w14:textId="6C222BCE" w:rsidR="008E3B34" w:rsidRPr="00FF13CC" w:rsidRDefault="008E3B34" w:rsidP="00FF13CC">
      <w:pPr>
        <w:pStyle w:val="Heading3"/>
        <w:spacing w:line="310" w:lineRule="exact"/>
        <w:rPr>
          <w:szCs w:val="28"/>
        </w:rPr>
      </w:pPr>
      <w:r w:rsidRPr="00FF13CC">
        <w:rPr>
          <w:szCs w:val="28"/>
        </w:rPr>
        <w:t>A number of States included in their forecasts large amounts for expenditure on maintenance and repairs of roads and buildings and irrigation works. It was represented that on account of paucity of funds they had not been able to maintain their assets properly in the past, and that it was necessary to provide for clearance of the backlog of repairs as well as for maintenance on improved standards. Some State Governments gave us detailed estimates indicating the levels of expenditure considered necessary for such improved maintenance. The Ministry of Transport and Shipping also furnished us with estimates of normal costs of proper maintenance of certain categories of roads by regions as worked out by a Committee of technical officers. The provisions suggested in these estimates could not be put on a comparable basis and we did not find it practicable to adopt a general standard for such expenditure which could be uniformly applied. However, in our assessment we recognised the need for better maintenance and included provision on the basis of average expenditure during the last three years with substantial increase thereon. Similar increase was also made in the case of capital expenditure on public works and irrigation met from revenue.</w:t>
      </w:r>
    </w:p>
    <w:p w14:paraId="3C974263" w14:textId="60FC2812" w:rsidR="008E3B34" w:rsidRPr="00FF13CC" w:rsidRDefault="008E3B34" w:rsidP="00FF13CC">
      <w:pPr>
        <w:pStyle w:val="Heading3"/>
        <w:spacing w:line="310" w:lineRule="exact"/>
        <w:rPr>
          <w:szCs w:val="28"/>
        </w:rPr>
      </w:pPr>
      <w:r w:rsidRPr="00FF13CC">
        <w:rPr>
          <w:szCs w:val="28"/>
        </w:rPr>
        <w:t xml:space="preserve">Many States included in their forecasts their requirements of expenditure for increases in dearness allowance and revision of pay scales for which they had already incurred liabilities in most cases. So far as dearness allowance is concerned, it was urged that the periodical decisions of the Government of India to increase the dearness allowance of their employees left the State Governments with little option but to allow similar increases for their own employees. In some States the pay scales have also been revised recently, whereas a general revision of the scales of pay of Central Government employees has not been undertaken since 1959, and in such cases we did not think that parity of rates of dearness allowance could justifiably be claimed with those applicable to Central Government employees. We did not find it possible to adjust the requirements on this account owing to lack of detailed information. We have therefore taken into account the likely expenditure on dearness allowance in full. We have not, however, provided for increases of dearness allowance in future. In regard to pay revisions, some State Governments had already given effect to their decisions before the end of 1968-69; others took decisions </w:t>
      </w:r>
      <w:r w:rsidRPr="00FF13CC">
        <w:rPr>
          <w:szCs w:val="28"/>
        </w:rPr>
        <w:lastRenderedPageBreak/>
        <w:t>during the current year, whereas in some cases the States indicated the anticipated effect of pay revisions on the basis of reports of their Pay Commissions, or the likely recommendations of the Commissions whose reports were still awaited. We consider that in cases where the level of expenditure of a State Government is already high, it is necessary to exercise greater restraint in undertaking additional liabilities such as those resulting from pay revision, unless additional resources to meet them can be found by the State Government’s own efforts. At the same time, we felt that the recommendations of such Pay Commissions would generally have to be implemented by the State Governments, and for the purpose of our assessment we have included the provisions necessary for this purpose.</w:t>
      </w:r>
    </w:p>
    <w:p w14:paraId="6EA8DD2B" w14:textId="37CF2314" w:rsidR="008E3B34" w:rsidRPr="00FF13CC" w:rsidRDefault="002E6E0F" w:rsidP="00FF13CC">
      <w:pPr>
        <w:pStyle w:val="Heading3"/>
        <w:spacing w:line="310" w:lineRule="exact"/>
        <w:rPr>
          <w:szCs w:val="28"/>
        </w:rPr>
      </w:pPr>
      <w:r w:rsidRPr="00FF13CC">
        <w:rPr>
          <w:szCs w:val="28"/>
        </w:rPr>
        <w:t>We have allowed provision for payment of food subsidies which are at present being given, but we have not included any provision for enlargement of their scope or for fresh expenditure on such schemes. On the same principle, we have also allowed in our assessments subsidies to State Electricity Boards on account of rural electrification wherever included by the State Governments in their forecasts.</w:t>
      </w:r>
    </w:p>
    <w:p w14:paraId="55AF338C" w14:textId="44D86D80" w:rsidR="002E6E0F" w:rsidRPr="00FF13CC" w:rsidRDefault="002E6E0F" w:rsidP="00FF13CC">
      <w:pPr>
        <w:pStyle w:val="Heading3"/>
        <w:spacing w:line="310" w:lineRule="exact"/>
        <w:rPr>
          <w:szCs w:val="28"/>
        </w:rPr>
      </w:pPr>
      <w:r w:rsidRPr="00FF13CC">
        <w:rPr>
          <w:szCs w:val="28"/>
        </w:rPr>
        <w:t>The earlier Finance Commissions took into account the likely expenditure on relief measures necessitated by natural calamities like famine, floods, etc. The Fourth Finance Commission reassessed the amounts required for this item on the basis of figures of gross expenditure for the eight years ending with 1964-65. We noted that expenditure on this account in the years 1966-67 and 1967-68 during which large parts of the country suffered from severe drought, was clearly abnormal. We, therefore, reassessed the amounts likely to be required for this item on the basis of the average expenditure for the nine years 1957-58 to 1965-66, increased by 25 per cent. in each case. The provision allowed by the Fourth Finance Commission was, however, retained if it was higher than the figures worked out on this basis. In the case of Punjab and Haryana, the requirement was worked out in respect of the former Punjab State on the same principle, and the shares of the two States were determined in the proportion in which the non-Plan expenditure under head “64—Famine Relief” had been allocated by the Dehejia Committee on the division of assets and liabilities of Punjab, in consequence of the Punjab Reorganisation Act, 1966. The Fourth Finance Commission has mentioned in its Report that the provision allowed in the case of West Bengal was not strictly comparable with that of other States, as the expenditure in this State under the head “64—Famine Relief” included some expenditure which was not normally included under this head in other States. We have, therefore, determined the requirement on the basis of the provision allowed for the neighbouring</w:t>
      </w:r>
      <w:r w:rsidR="00583A28" w:rsidRPr="00FF13CC">
        <w:rPr>
          <w:szCs w:val="28"/>
        </w:rPr>
        <w:t xml:space="preserve"> </w:t>
      </w:r>
      <w:r w:rsidRPr="00FF13CC">
        <w:rPr>
          <w:szCs w:val="28"/>
        </w:rPr>
        <w:t>State of Orissa, on a </w:t>
      </w:r>
      <w:r w:rsidRPr="00FF13CC">
        <w:rPr>
          <w:i/>
          <w:iCs/>
          <w:szCs w:val="28"/>
        </w:rPr>
        <w:t>per capita</w:t>
      </w:r>
      <w:r w:rsidRPr="00FF13CC">
        <w:rPr>
          <w:szCs w:val="28"/>
        </w:rPr>
        <w:t> basis. The difference between the amount so arrived at and the annual provision made for this purpose by the Fourth Finance Commission for West Bengal, has been added to the estimate of the State’s expenditure under the head “Miscellaneous” for calculating its revenue deficit.</w:t>
      </w:r>
    </w:p>
    <w:p w14:paraId="3D5956D4" w14:textId="4D48847B" w:rsidR="002E6E0F" w:rsidRPr="00FF13CC" w:rsidRDefault="002E6E0F" w:rsidP="00FF13CC">
      <w:pPr>
        <w:pStyle w:val="Heading3"/>
        <w:spacing w:line="310" w:lineRule="exact"/>
        <w:rPr>
          <w:szCs w:val="28"/>
        </w:rPr>
      </w:pPr>
      <w:r w:rsidRPr="00FF13CC">
        <w:rPr>
          <w:szCs w:val="28"/>
        </w:rPr>
        <w:t>The annual average provisions allowed by us in the States’ forecasts on the basis explained above are indicated below:</w:t>
      </w:r>
      <w:r w:rsidR="000273E7">
        <w:rPr>
          <w:szCs w:val="28"/>
        </w:rPr>
        <w:t>-</w:t>
      </w:r>
    </w:p>
    <w:p w14:paraId="07A33214" w14:textId="77777777" w:rsidR="002E6E0F" w:rsidRPr="007245B0" w:rsidRDefault="002E6E0F" w:rsidP="008E3B34">
      <w:pPr>
        <w:jc w:val="both"/>
        <w:rPr>
          <w:rFonts w:ascii="Times New Roman" w:hAnsi="Times New Roman" w:cs="Times New Roman"/>
        </w:rPr>
      </w:pPr>
    </w:p>
    <w:tbl>
      <w:tblPr>
        <w:tblStyle w:val="TableGrid"/>
        <w:tblW w:w="7926" w:type="dxa"/>
        <w:jc w:val="center"/>
        <w:tblLook w:val="04A0" w:firstRow="1" w:lastRow="0" w:firstColumn="1" w:lastColumn="0" w:noHBand="0" w:noVBand="1"/>
      </w:tblPr>
      <w:tblGrid>
        <w:gridCol w:w="3267"/>
        <w:gridCol w:w="4659"/>
      </w:tblGrid>
      <w:tr w:rsidR="002E6E0F" w:rsidRPr="00583A28" w14:paraId="3D70BF3F" w14:textId="77777777" w:rsidTr="00583A28">
        <w:trPr>
          <w:trHeight w:val="20"/>
          <w:jc w:val="center"/>
        </w:trPr>
        <w:tc>
          <w:tcPr>
            <w:tcW w:w="3267" w:type="dxa"/>
            <w:hideMark/>
          </w:tcPr>
          <w:p w14:paraId="0522B579" w14:textId="77777777" w:rsidR="002E6E0F" w:rsidRPr="00583A28" w:rsidRDefault="002E6E0F" w:rsidP="00583A28">
            <w:pPr>
              <w:pStyle w:val="NoSpacing"/>
              <w:jc w:val="center"/>
              <w:rPr>
                <w:rFonts w:ascii="Times New Roman" w:hAnsi="Times New Roman" w:cs="Times New Roman"/>
                <w:b/>
                <w:bCs/>
                <w:sz w:val="28"/>
                <w:szCs w:val="28"/>
              </w:rPr>
            </w:pPr>
            <w:r w:rsidRPr="00583A28">
              <w:rPr>
                <w:rFonts w:ascii="Times New Roman" w:hAnsi="Times New Roman" w:cs="Times New Roman"/>
                <w:b/>
                <w:bCs/>
                <w:sz w:val="28"/>
                <w:szCs w:val="28"/>
              </w:rPr>
              <w:lastRenderedPageBreak/>
              <w:t>State</w:t>
            </w:r>
          </w:p>
        </w:tc>
        <w:tc>
          <w:tcPr>
            <w:tcW w:w="4659" w:type="dxa"/>
            <w:vAlign w:val="center"/>
            <w:hideMark/>
          </w:tcPr>
          <w:p w14:paraId="4150373C" w14:textId="77777777" w:rsidR="002E6E0F" w:rsidRPr="00583A28" w:rsidRDefault="002E6E0F" w:rsidP="00583A28">
            <w:pPr>
              <w:pStyle w:val="NoSpacing"/>
              <w:jc w:val="center"/>
              <w:rPr>
                <w:rFonts w:ascii="Times New Roman" w:hAnsi="Times New Roman" w:cs="Times New Roman"/>
                <w:b/>
                <w:bCs/>
                <w:sz w:val="28"/>
                <w:szCs w:val="28"/>
              </w:rPr>
            </w:pPr>
            <w:r w:rsidRPr="00583A28">
              <w:rPr>
                <w:rFonts w:ascii="Times New Roman" w:hAnsi="Times New Roman" w:cs="Times New Roman"/>
                <w:b/>
                <w:bCs/>
                <w:sz w:val="28"/>
                <w:szCs w:val="28"/>
              </w:rPr>
              <w:t>Annual provision allowed for relief</w:t>
            </w:r>
          </w:p>
          <w:p w14:paraId="1F98A14D" w14:textId="27A0168C" w:rsidR="002E6E0F" w:rsidRPr="00583A28" w:rsidRDefault="002E6E0F" w:rsidP="00583A28">
            <w:pPr>
              <w:pStyle w:val="NoSpacing"/>
              <w:jc w:val="center"/>
              <w:rPr>
                <w:rFonts w:ascii="Times New Roman" w:hAnsi="Times New Roman" w:cs="Times New Roman"/>
                <w:b/>
                <w:bCs/>
                <w:sz w:val="28"/>
                <w:szCs w:val="28"/>
              </w:rPr>
            </w:pPr>
            <w:r w:rsidRPr="00583A28">
              <w:rPr>
                <w:rFonts w:ascii="Times New Roman" w:hAnsi="Times New Roman" w:cs="Times New Roman"/>
                <w:b/>
                <w:bCs/>
                <w:sz w:val="28"/>
                <w:szCs w:val="28"/>
              </w:rPr>
              <w:t xml:space="preserve">from natural </w:t>
            </w:r>
            <w:r w:rsidR="00BB07E8" w:rsidRPr="00583A28">
              <w:rPr>
                <w:rFonts w:ascii="Times New Roman" w:hAnsi="Times New Roman" w:cs="Times New Roman"/>
                <w:b/>
                <w:bCs/>
                <w:sz w:val="28"/>
                <w:szCs w:val="28"/>
              </w:rPr>
              <w:t>calamities (</w:t>
            </w:r>
            <w:r w:rsidRPr="00583A28">
              <w:rPr>
                <w:rFonts w:ascii="Times New Roman" w:hAnsi="Times New Roman" w:cs="Times New Roman"/>
                <w:b/>
                <w:bCs/>
                <w:sz w:val="28"/>
                <w:szCs w:val="28"/>
              </w:rPr>
              <w:t>Rs. lakhs)</w:t>
            </w:r>
          </w:p>
        </w:tc>
      </w:tr>
      <w:tr w:rsidR="002E6E0F" w:rsidRPr="00583A28" w14:paraId="7EE7C4D2" w14:textId="77777777" w:rsidTr="00583A28">
        <w:trPr>
          <w:trHeight w:val="20"/>
          <w:jc w:val="center"/>
        </w:trPr>
        <w:tc>
          <w:tcPr>
            <w:tcW w:w="3267" w:type="dxa"/>
            <w:hideMark/>
          </w:tcPr>
          <w:p w14:paraId="2965972D" w14:textId="77777777" w:rsidR="002E6E0F" w:rsidRPr="00583A28" w:rsidRDefault="002E6E0F" w:rsidP="003C6D59">
            <w:pPr>
              <w:pStyle w:val="NoSpacing"/>
              <w:rPr>
                <w:rFonts w:ascii="Times New Roman" w:hAnsi="Times New Roman" w:cs="Times New Roman"/>
                <w:sz w:val="28"/>
                <w:szCs w:val="28"/>
              </w:rPr>
            </w:pPr>
            <w:r w:rsidRPr="00583A28">
              <w:rPr>
                <w:rFonts w:ascii="Times New Roman" w:hAnsi="Times New Roman" w:cs="Times New Roman"/>
                <w:sz w:val="28"/>
                <w:szCs w:val="28"/>
              </w:rPr>
              <w:t>Andhra Pradesh</w:t>
            </w:r>
          </w:p>
        </w:tc>
        <w:tc>
          <w:tcPr>
            <w:tcW w:w="4659" w:type="dxa"/>
            <w:vAlign w:val="center"/>
            <w:hideMark/>
          </w:tcPr>
          <w:p w14:paraId="3965512C" w14:textId="77777777" w:rsidR="002E6E0F" w:rsidRPr="00583A28" w:rsidRDefault="002E6E0F" w:rsidP="00583A28">
            <w:pPr>
              <w:pStyle w:val="NoSpacing"/>
              <w:jc w:val="center"/>
              <w:rPr>
                <w:rFonts w:ascii="Times New Roman" w:hAnsi="Times New Roman" w:cs="Times New Roman"/>
                <w:sz w:val="28"/>
                <w:szCs w:val="28"/>
              </w:rPr>
            </w:pPr>
            <w:r w:rsidRPr="00583A28">
              <w:rPr>
                <w:rFonts w:ascii="Times New Roman" w:hAnsi="Times New Roman" w:cs="Times New Roman"/>
                <w:sz w:val="28"/>
                <w:szCs w:val="28"/>
              </w:rPr>
              <w:t>75</w:t>
            </w:r>
          </w:p>
        </w:tc>
      </w:tr>
      <w:tr w:rsidR="002E6E0F" w:rsidRPr="00583A28" w14:paraId="0A44973C" w14:textId="77777777" w:rsidTr="00583A28">
        <w:trPr>
          <w:trHeight w:val="20"/>
          <w:jc w:val="center"/>
        </w:trPr>
        <w:tc>
          <w:tcPr>
            <w:tcW w:w="3267" w:type="dxa"/>
            <w:hideMark/>
          </w:tcPr>
          <w:p w14:paraId="1C76A334" w14:textId="77777777" w:rsidR="002E6E0F" w:rsidRPr="00583A28" w:rsidRDefault="002E6E0F" w:rsidP="003C6D59">
            <w:pPr>
              <w:pStyle w:val="NoSpacing"/>
              <w:rPr>
                <w:rFonts w:ascii="Times New Roman" w:hAnsi="Times New Roman" w:cs="Times New Roman"/>
                <w:sz w:val="28"/>
                <w:szCs w:val="28"/>
              </w:rPr>
            </w:pPr>
            <w:r w:rsidRPr="00583A28">
              <w:rPr>
                <w:rFonts w:ascii="Times New Roman" w:hAnsi="Times New Roman" w:cs="Times New Roman"/>
                <w:sz w:val="28"/>
                <w:szCs w:val="28"/>
              </w:rPr>
              <w:t>Assam</w:t>
            </w:r>
          </w:p>
        </w:tc>
        <w:tc>
          <w:tcPr>
            <w:tcW w:w="4659" w:type="dxa"/>
            <w:vAlign w:val="center"/>
            <w:hideMark/>
          </w:tcPr>
          <w:p w14:paraId="0E5FBF8F" w14:textId="77777777" w:rsidR="002E6E0F" w:rsidRPr="00583A28" w:rsidRDefault="002E6E0F" w:rsidP="00583A28">
            <w:pPr>
              <w:pStyle w:val="NoSpacing"/>
              <w:jc w:val="center"/>
              <w:rPr>
                <w:rFonts w:ascii="Times New Roman" w:hAnsi="Times New Roman" w:cs="Times New Roman"/>
                <w:sz w:val="28"/>
                <w:szCs w:val="28"/>
              </w:rPr>
            </w:pPr>
            <w:r w:rsidRPr="00583A28">
              <w:rPr>
                <w:rFonts w:ascii="Times New Roman" w:hAnsi="Times New Roman" w:cs="Times New Roman"/>
                <w:sz w:val="28"/>
                <w:szCs w:val="28"/>
              </w:rPr>
              <w:t>48</w:t>
            </w:r>
          </w:p>
        </w:tc>
      </w:tr>
      <w:tr w:rsidR="002E6E0F" w:rsidRPr="00583A28" w14:paraId="0EA29CA0" w14:textId="77777777" w:rsidTr="00583A28">
        <w:trPr>
          <w:trHeight w:val="20"/>
          <w:jc w:val="center"/>
        </w:trPr>
        <w:tc>
          <w:tcPr>
            <w:tcW w:w="3267" w:type="dxa"/>
            <w:hideMark/>
          </w:tcPr>
          <w:p w14:paraId="046A9AD0" w14:textId="77777777" w:rsidR="002E6E0F" w:rsidRPr="00583A28" w:rsidRDefault="002E6E0F" w:rsidP="003C6D59">
            <w:pPr>
              <w:pStyle w:val="NoSpacing"/>
              <w:rPr>
                <w:rFonts w:ascii="Times New Roman" w:hAnsi="Times New Roman" w:cs="Times New Roman"/>
                <w:sz w:val="28"/>
                <w:szCs w:val="28"/>
              </w:rPr>
            </w:pPr>
            <w:r w:rsidRPr="00583A28">
              <w:rPr>
                <w:rFonts w:ascii="Times New Roman" w:hAnsi="Times New Roman" w:cs="Times New Roman"/>
                <w:sz w:val="28"/>
                <w:szCs w:val="28"/>
              </w:rPr>
              <w:t>Bihar</w:t>
            </w:r>
          </w:p>
        </w:tc>
        <w:tc>
          <w:tcPr>
            <w:tcW w:w="4659" w:type="dxa"/>
            <w:vAlign w:val="center"/>
            <w:hideMark/>
          </w:tcPr>
          <w:p w14:paraId="08C1D204" w14:textId="77777777" w:rsidR="002E6E0F" w:rsidRPr="00583A28" w:rsidRDefault="002E6E0F" w:rsidP="00583A28">
            <w:pPr>
              <w:pStyle w:val="NoSpacing"/>
              <w:jc w:val="center"/>
              <w:rPr>
                <w:rFonts w:ascii="Times New Roman" w:hAnsi="Times New Roman" w:cs="Times New Roman"/>
                <w:sz w:val="28"/>
                <w:szCs w:val="28"/>
              </w:rPr>
            </w:pPr>
            <w:r w:rsidRPr="00583A28">
              <w:rPr>
                <w:rFonts w:ascii="Times New Roman" w:hAnsi="Times New Roman" w:cs="Times New Roman"/>
                <w:sz w:val="28"/>
                <w:szCs w:val="28"/>
              </w:rPr>
              <w:t>150</w:t>
            </w:r>
          </w:p>
        </w:tc>
      </w:tr>
      <w:tr w:rsidR="002E6E0F" w:rsidRPr="00583A28" w14:paraId="2E15EDA9" w14:textId="77777777" w:rsidTr="00583A28">
        <w:trPr>
          <w:trHeight w:val="20"/>
          <w:jc w:val="center"/>
        </w:trPr>
        <w:tc>
          <w:tcPr>
            <w:tcW w:w="3267" w:type="dxa"/>
            <w:hideMark/>
          </w:tcPr>
          <w:p w14:paraId="0F5F704F" w14:textId="77777777" w:rsidR="002E6E0F" w:rsidRPr="00583A28" w:rsidRDefault="002E6E0F" w:rsidP="003C6D59">
            <w:pPr>
              <w:pStyle w:val="NoSpacing"/>
              <w:rPr>
                <w:rFonts w:ascii="Times New Roman" w:hAnsi="Times New Roman" w:cs="Times New Roman"/>
                <w:sz w:val="28"/>
                <w:szCs w:val="28"/>
              </w:rPr>
            </w:pPr>
            <w:r w:rsidRPr="00583A28">
              <w:rPr>
                <w:rFonts w:ascii="Times New Roman" w:hAnsi="Times New Roman" w:cs="Times New Roman"/>
                <w:sz w:val="28"/>
                <w:szCs w:val="28"/>
              </w:rPr>
              <w:t>Gujarat</w:t>
            </w:r>
          </w:p>
        </w:tc>
        <w:tc>
          <w:tcPr>
            <w:tcW w:w="4659" w:type="dxa"/>
            <w:vAlign w:val="center"/>
            <w:hideMark/>
          </w:tcPr>
          <w:p w14:paraId="5B64336E" w14:textId="77777777" w:rsidR="002E6E0F" w:rsidRPr="00583A28" w:rsidRDefault="002E6E0F" w:rsidP="00583A28">
            <w:pPr>
              <w:pStyle w:val="NoSpacing"/>
              <w:jc w:val="center"/>
              <w:rPr>
                <w:rFonts w:ascii="Times New Roman" w:hAnsi="Times New Roman" w:cs="Times New Roman"/>
                <w:sz w:val="28"/>
                <w:szCs w:val="28"/>
              </w:rPr>
            </w:pPr>
            <w:r w:rsidRPr="00583A28">
              <w:rPr>
                <w:rFonts w:ascii="Times New Roman" w:hAnsi="Times New Roman" w:cs="Times New Roman"/>
                <w:sz w:val="28"/>
                <w:szCs w:val="28"/>
              </w:rPr>
              <w:t>80</w:t>
            </w:r>
          </w:p>
        </w:tc>
      </w:tr>
      <w:tr w:rsidR="002E6E0F" w:rsidRPr="00583A28" w14:paraId="5024313A" w14:textId="77777777" w:rsidTr="00583A28">
        <w:trPr>
          <w:trHeight w:val="20"/>
          <w:jc w:val="center"/>
        </w:trPr>
        <w:tc>
          <w:tcPr>
            <w:tcW w:w="3267" w:type="dxa"/>
            <w:hideMark/>
          </w:tcPr>
          <w:p w14:paraId="1A4B390C" w14:textId="77777777" w:rsidR="002E6E0F" w:rsidRPr="00583A28" w:rsidRDefault="002E6E0F" w:rsidP="003C6D59">
            <w:pPr>
              <w:pStyle w:val="NoSpacing"/>
              <w:rPr>
                <w:rFonts w:ascii="Times New Roman" w:hAnsi="Times New Roman" w:cs="Times New Roman"/>
                <w:sz w:val="28"/>
                <w:szCs w:val="28"/>
              </w:rPr>
            </w:pPr>
            <w:r w:rsidRPr="00583A28">
              <w:rPr>
                <w:rFonts w:ascii="Times New Roman" w:hAnsi="Times New Roman" w:cs="Times New Roman"/>
                <w:sz w:val="28"/>
                <w:szCs w:val="28"/>
              </w:rPr>
              <w:t>Haryana</w:t>
            </w:r>
          </w:p>
        </w:tc>
        <w:tc>
          <w:tcPr>
            <w:tcW w:w="4659" w:type="dxa"/>
            <w:vAlign w:val="center"/>
            <w:hideMark/>
          </w:tcPr>
          <w:p w14:paraId="52D8543B" w14:textId="77777777" w:rsidR="002E6E0F" w:rsidRPr="00583A28" w:rsidRDefault="002E6E0F" w:rsidP="00583A28">
            <w:pPr>
              <w:pStyle w:val="NoSpacing"/>
              <w:jc w:val="center"/>
              <w:rPr>
                <w:rFonts w:ascii="Times New Roman" w:hAnsi="Times New Roman" w:cs="Times New Roman"/>
                <w:sz w:val="28"/>
                <w:szCs w:val="28"/>
              </w:rPr>
            </w:pPr>
            <w:r w:rsidRPr="00583A28">
              <w:rPr>
                <w:rFonts w:ascii="Times New Roman" w:hAnsi="Times New Roman" w:cs="Times New Roman"/>
                <w:sz w:val="28"/>
                <w:szCs w:val="28"/>
              </w:rPr>
              <w:t>155</w:t>
            </w:r>
          </w:p>
        </w:tc>
      </w:tr>
      <w:tr w:rsidR="002E6E0F" w:rsidRPr="00583A28" w14:paraId="2F1A0B05" w14:textId="77777777" w:rsidTr="00583A28">
        <w:trPr>
          <w:trHeight w:val="20"/>
          <w:jc w:val="center"/>
        </w:trPr>
        <w:tc>
          <w:tcPr>
            <w:tcW w:w="3267" w:type="dxa"/>
            <w:hideMark/>
          </w:tcPr>
          <w:p w14:paraId="17815717" w14:textId="77777777" w:rsidR="002E6E0F" w:rsidRPr="00583A28" w:rsidRDefault="002E6E0F" w:rsidP="003C6D59">
            <w:pPr>
              <w:pStyle w:val="NoSpacing"/>
              <w:rPr>
                <w:rFonts w:ascii="Times New Roman" w:hAnsi="Times New Roman" w:cs="Times New Roman"/>
                <w:sz w:val="28"/>
                <w:szCs w:val="28"/>
              </w:rPr>
            </w:pPr>
            <w:r w:rsidRPr="00583A28">
              <w:rPr>
                <w:rFonts w:ascii="Times New Roman" w:hAnsi="Times New Roman" w:cs="Times New Roman"/>
                <w:sz w:val="28"/>
                <w:szCs w:val="28"/>
              </w:rPr>
              <w:t>Jammu &amp; Kashmir</w:t>
            </w:r>
          </w:p>
        </w:tc>
        <w:tc>
          <w:tcPr>
            <w:tcW w:w="4659" w:type="dxa"/>
            <w:vAlign w:val="center"/>
            <w:hideMark/>
          </w:tcPr>
          <w:p w14:paraId="57F6B8BD" w14:textId="77777777" w:rsidR="002E6E0F" w:rsidRPr="00583A28" w:rsidRDefault="002E6E0F" w:rsidP="00583A28">
            <w:pPr>
              <w:pStyle w:val="NoSpacing"/>
              <w:jc w:val="center"/>
              <w:rPr>
                <w:rFonts w:ascii="Times New Roman" w:hAnsi="Times New Roman" w:cs="Times New Roman"/>
                <w:sz w:val="28"/>
                <w:szCs w:val="28"/>
              </w:rPr>
            </w:pPr>
            <w:r w:rsidRPr="00583A28">
              <w:rPr>
                <w:rFonts w:ascii="Times New Roman" w:hAnsi="Times New Roman" w:cs="Times New Roman"/>
                <w:sz w:val="28"/>
                <w:szCs w:val="28"/>
              </w:rPr>
              <w:t>40</w:t>
            </w:r>
          </w:p>
        </w:tc>
      </w:tr>
      <w:tr w:rsidR="002E6E0F" w:rsidRPr="00583A28" w14:paraId="69A293BD" w14:textId="77777777" w:rsidTr="00583A28">
        <w:trPr>
          <w:trHeight w:val="20"/>
          <w:jc w:val="center"/>
        </w:trPr>
        <w:tc>
          <w:tcPr>
            <w:tcW w:w="3267" w:type="dxa"/>
            <w:hideMark/>
          </w:tcPr>
          <w:p w14:paraId="152588EC" w14:textId="77777777" w:rsidR="002E6E0F" w:rsidRPr="00583A28" w:rsidRDefault="002E6E0F" w:rsidP="003C6D59">
            <w:pPr>
              <w:pStyle w:val="NoSpacing"/>
              <w:rPr>
                <w:rFonts w:ascii="Times New Roman" w:hAnsi="Times New Roman" w:cs="Times New Roman"/>
                <w:sz w:val="28"/>
                <w:szCs w:val="28"/>
              </w:rPr>
            </w:pPr>
            <w:r w:rsidRPr="00583A28">
              <w:rPr>
                <w:rFonts w:ascii="Times New Roman" w:hAnsi="Times New Roman" w:cs="Times New Roman"/>
                <w:sz w:val="28"/>
                <w:szCs w:val="28"/>
              </w:rPr>
              <w:t>Kerala</w:t>
            </w:r>
          </w:p>
        </w:tc>
        <w:tc>
          <w:tcPr>
            <w:tcW w:w="4659" w:type="dxa"/>
            <w:vAlign w:val="center"/>
            <w:hideMark/>
          </w:tcPr>
          <w:p w14:paraId="5C0291DC" w14:textId="77777777" w:rsidR="002E6E0F" w:rsidRPr="00583A28" w:rsidRDefault="002E6E0F" w:rsidP="00583A28">
            <w:pPr>
              <w:pStyle w:val="NoSpacing"/>
              <w:jc w:val="center"/>
              <w:rPr>
                <w:rFonts w:ascii="Times New Roman" w:hAnsi="Times New Roman" w:cs="Times New Roman"/>
                <w:sz w:val="28"/>
                <w:szCs w:val="28"/>
              </w:rPr>
            </w:pPr>
            <w:r w:rsidRPr="00583A28">
              <w:rPr>
                <w:rFonts w:ascii="Times New Roman" w:hAnsi="Times New Roman" w:cs="Times New Roman"/>
                <w:sz w:val="28"/>
                <w:szCs w:val="28"/>
              </w:rPr>
              <w:t>10</w:t>
            </w:r>
          </w:p>
        </w:tc>
      </w:tr>
      <w:tr w:rsidR="002E6E0F" w:rsidRPr="00583A28" w14:paraId="1392C630" w14:textId="77777777" w:rsidTr="00583A28">
        <w:trPr>
          <w:trHeight w:val="20"/>
          <w:jc w:val="center"/>
        </w:trPr>
        <w:tc>
          <w:tcPr>
            <w:tcW w:w="3267" w:type="dxa"/>
            <w:hideMark/>
          </w:tcPr>
          <w:p w14:paraId="1D0AAC4E" w14:textId="77777777" w:rsidR="002E6E0F" w:rsidRPr="00583A28" w:rsidRDefault="002E6E0F" w:rsidP="003C6D59">
            <w:pPr>
              <w:pStyle w:val="NoSpacing"/>
              <w:rPr>
                <w:rFonts w:ascii="Times New Roman" w:hAnsi="Times New Roman" w:cs="Times New Roman"/>
                <w:sz w:val="28"/>
                <w:szCs w:val="28"/>
              </w:rPr>
            </w:pPr>
            <w:r w:rsidRPr="00583A28">
              <w:rPr>
                <w:rFonts w:ascii="Times New Roman" w:hAnsi="Times New Roman" w:cs="Times New Roman"/>
                <w:sz w:val="28"/>
                <w:szCs w:val="28"/>
              </w:rPr>
              <w:t>Madhya Pradesh</w:t>
            </w:r>
          </w:p>
        </w:tc>
        <w:tc>
          <w:tcPr>
            <w:tcW w:w="4659" w:type="dxa"/>
            <w:vAlign w:val="center"/>
            <w:hideMark/>
          </w:tcPr>
          <w:p w14:paraId="3D80DC5E" w14:textId="77777777" w:rsidR="002E6E0F" w:rsidRPr="00583A28" w:rsidRDefault="002E6E0F" w:rsidP="00583A28">
            <w:pPr>
              <w:pStyle w:val="NoSpacing"/>
              <w:jc w:val="center"/>
              <w:rPr>
                <w:rFonts w:ascii="Times New Roman" w:hAnsi="Times New Roman" w:cs="Times New Roman"/>
                <w:sz w:val="28"/>
                <w:szCs w:val="28"/>
              </w:rPr>
            </w:pPr>
            <w:r w:rsidRPr="00583A28">
              <w:rPr>
                <w:rFonts w:ascii="Times New Roman" w:hAnsi="Times New Roman" w:cs="Times New Roman"/>
                <w:sz w:val="28"/>
                <w:szCs w:val="28"/>
              </w:rPr>
              <w:t>80</w:t>
            </w:r>
          </w:p>
        </w:tc>
      </w:tr>
      <w:tr w:rsidR="002E6E0F" w:rsidRPr="00583A28" w14:paraId="61B10489" w14:textId="77777777" w:rsidTr="00583A28">
        <w:trPr>
          <w:trHeight w:val="20"/>
          <w:jc w:val="center"/>
        </w:trPr>
        <w:tc>
          <w:tcPr>
            <w:tcW w:w="3267" w:type="dxa"/>
            <w:hideMark/>
          </w:tcPr>
          <w:p w14:paraId="00C9D038" w14:textId="77777777" w:rsidR="002E6E0F" w:rsidRPr="00583A28" w:rsidRDefault="002E6E0F" w:rsidP="003C6D59">
            <w:pPr>
              <w:pStyle w:val="NoSpacing"/>
              <w:rPr>
                <w:rFonts w:ascii="Times New Roman" w:hAnsi="Times New Roman" w:cs="Times New Roman"/>
                <w:sz w:val="28"/>
                <w:szCs w:val="28"/>
              </w:rPr>
            </w:pPr>
            <w:r w:rsidRPr="00583A28">
              <w:rPr>
                <w:rFonts w:ascii="Times New Roman" w:hAnsi="Times New Roman" w:cs="Times New Roman"/>
                <w:sz w:val="28"/>
                <w:szCs w:val="28"/>
              </w:rPr>
              <w:t>Maharashtra</w:t>
            </w:r>
          </w:p>
        </w:tc>
        <w:tc>
          <w:tcPr>
            <w:tcW w:w="4659" w:type="dxa"/>
            <w:vAlign w:val="center"/>
            <w:hideMark/>
          </w:tcPr>
          <w:p w14:paraId="5945B156" w14:textId="77777777" w:rsidR="002E6E0F" w:rsidRPr="00583A28" w:rsidRDefault="002E6E0F" w:rsidP="00583A28">
            <w:pPr>
              <w:pStyle w:val="NoSpacing"/>
              <w:jc w:val="center"/>
              <w:rPr>
                <w:rFonts w:ascii="Times New Roman" w:hAnsi="Times New Roman" w:cs="Times New Roman"/>
                <w:sz w:val="28"/>
                <w:szCs w:val="28"/>
              </w:rPr>
            </w:pPr>
            <w:r w:rsidRPr="00583A28">
              <w:rPr>
                <w:rFonts w:ascii="Times New Roman" w:hAnsi="Times New Roman" w:cs="Times New Roman"/>
                <w:sz w:val="28"/>
                <w:szCs w:val="28"/>
              </w:rPr>
              <w:t>86</w:t>
            </w:r>
          </w:p>
        </w:tc>
      </w:tr>
      <w:tr w:rsidR="002E6E0F" w:rsidRPr="00583A28" w14:paraId="4DD7F047" w14:textId="77777777" w:rsidTr="00583A28">
        <w:trPr>
          <w:trHeight w:val="20"/>
          <w:jc w:val="center"/>
        </w:trPr>
        <w:tc>
          <w:tcPr>
            <w:tcW w:w="3267" w:type="dxa"/>
            <w:hideMark/>
          </w:tcPr>
          <w:p w14:paraId="5F07EE55" w14:textId="77777777" w:rsidR="002E6E0F" w:rsidRPr="00583A28" w:rsidRDefault="002E6E0F" w:rsidP="003C6D59">
            <w:pPr>
              <w:pStyle w:val="NoSpacing"/>
              <w:rPr>
                <w:rFonts w:ascii="Times New Roman" w:hAnsi="Times New Roman" w:cs="Times New Roman"/>
                <w:sz w:val="28"/>
                <w:szCs w:val="28"/>
              </w:rPr>
            </w:pPr>
            <w:r w:rsidRPr="00583A28">
              <w:rPr>
                <w:rFonts w:ascii="Times New Roman" w:hAnsi="Times New Roman" w:cs="Times New Roman"/>
                <w:sz w:val="28"/>
                <w:szCs w:val="28"/>
              </w:rPr>
              <w:t>Mysore</w:t>
            </w:r>
          </w:p>
        </w:tc>
        <w:tc>
          <w:tcPr>
            <w:tcW w:w="4659" w:type="dxa"/>
            <w:vAlign w:val="center"/>
            <w:hideMark/>
          </w:tcPr>
          <w:p w14:paraId="4E4F28AA" w14:textId="77777777" w:rsidR="002E6E0F" w:rsidRPr="00583A28" w:rsidRDefault="002E6E0F" w:rsidP="00583A28">
            <w:pPr>
              <w:pStyle w:val="NoSpacing"/>
              <w:jc w:val="center"/>
              <w:rPr>
                <w:rFonts w:ascii="Times New Roman" w:hAnsi="Times New Roman" w:cs="Times New Roman"/>
                <w:sz w:val="28"/>
                <w:szCs w:val="28"/>
              </w:rPr>
            </w:pPr>
            <w:r w:rsidRPr="00583A28">
              <w:rPr>
                <w:rFonts w:ascii="Times New Roman" w:hAnsi="Times New Roman" w:cs="Times New Roman"/>
                <w:sz w:val="28"/>
                <w:szCs w:val="28"/>
              </w:rPr>
              <w:t>44</w:t>
            </w:r>
          </w:p>
        </w:tc>
      </w:tr>
      <w:tr w:rsidR="002E6E0F" w:rsidRPr="00583A28" w14:paraId="385585A1" w14:textId="77777777" w:rsidTr="00583A28">
        <w:trPr>
          <w:trHeight w:val="20"/>
          <w:jc w:val="center"/>
        </w:trPr>
        <w:tc>
          <w:tcPr>
            <w:tcW w:w="3267" w:type="dxa"/>
            <w:hideMark/>
          </w:tcPr>
          <w:p w14:paraId="7029AA8F" w14:textId="77777777" w:rsidR="002E6E0F" w:rsidRPr="00583A28" w:rsidRDefault="002E6E0F" w:rsidP="003C6D59">
            <w:pPr>
              <w:pStyle w:val="NoSpacing"/>
              <w:rPr>
                <w:rFonts w:ascii="Times New Roman" w:hAnsi="Times New Roman" w:cs="Times New Roman"/>
                <w:sz w:val="28"/>
                <w:szCs w:val="28"/>
              </w:rPr>
            </w:pPr>
            <w:r w:rsidRPr="00583A28">
              <w:rPr>
                <w:rFonts w:ascii="Times New Roman" w:hAnsi="Times New Roman" w:cs="Times New Roman"/>
                <w:sz w:val="28"/>
                <w:szCs w:val="28"/>
              </w:rPr>
              <w:t>Nagaland</w:t>
            </w:r>
          </w:p>
        </w:tc>
        <w:tc>
          <w:tcPr>
            <w:tcW w:w="4659" w:type="dxa"/>
            <w:vAlign w:val="center"/>
            <w:hideMark/>
          </w:tcPr>
          <w:p w14:paraId="098116D4" w14:textId="77777777" w:rsidR="002E6E0F" w:rsidRPr="00583A28" w:rsidRDefault="002E6E0F" w:rsidP="00583A28">
            <w:pPr>
              <w:pStyle w:val="NoSpacing"/>
              <w:jc w:val="center"/>
              <w:rPr>
                <w:rFonts w:ascii="Times New Roman" w:hAnsi="Times New Roman" w:cs="Times New Roman"/>
                <w:sz w:val="28"/>
                <w:szCs w:val="28"/>
              </w:rPr>
            </w:pPr>
            <w:r w:rsidRPr="00583A28">
              <w:rPr>
                <w:rFonts w:ascii="Times New Roman" w:hAnsi="Times New Roman" w:cs="Times New Roman"/>
                <w:sz w:val="28"/>
                <w:szCs w:val="28"/>
              </w:rPr>
              <w:t>..</w:t>
            </w:r>
          </w:p>
        </w:tc>
      </w:tr>
      <w:tr w:rsidR="002E6E0F" w:rsidRPr="00583A28" w14:paraId="607C4505" w14:textId="77777777" w:rsidTr="00583A28">
        <w:trPr>
          <w:trHeight w:val="20"/>
          <w:jc w:val="center"/>
        </w:trPr>
        <w:tc>
          <w:tcPr>
            <w:tcW w:w="3267" w:type="dxa"/>
            <w:hideMark/>
          </w:tcPr>
          <w:p w14:paraId="43F43752" w14:textId="77777777" w:rsidR="002E6E0F" w:rsidRPr="00583A28" w:rsidRDefault="002E6E0F" w:rsidP="003C6D59">
            <w:pPr>
              <w:pStyle w:val="NoSpacing"/>
              <w:rPr>
                <w:rFonts w:ascii="Times New Roman" w:hAnsi="Times New Roman" w:cs="Times New Roman"/>
                <w:sz w:val="28"/>
                <w:szCs w:val="28"/>
              </w:rPr>
            </w:pPr>
            <w:r w:rsidRPr="00583A28">
              <w:rPr>
                <w:rFonts w:ascii="Times New Roman" w:hAnsi="Times New Roman" w:cs="Times New Roman"/>
                <w:sz w:val="28"/>
                <w:szCs w:val="28"/>
              </w:rPr>
              <w:t>Orissa</w:t>
            </w:r>
          </w:p>
        </w:tc>
        <w:tc>
          <w:tcPr>
            <w:tcW w:w="4659" w:type="dxa"/>
            <w:vAlign w:val="center"/>
            <w:hideMark/>
          </w:tcPr>
          <w:p w14:paraId="0AFB29B9" w14:textId="77777777" w:rsidR="002E6E0F" w:rsidRPr="00583A28" w:rsidRDefault="002E6E0F" w:rsidP="00583A28">
            <w:pPr>
              <w:pStyle w:val="NoSpacing"/>
              <w:jc w:val="center"/>
              <w:rPr>
                <w:rFonts w:ascii="Times New Roman" w:hAnsi="Times New Roman" w:cs="Times New Roman"/>
                <w:sz w:val="28"/>
                <w:szCs w:val="28"/>
              </w:rPr>
            </w:pPr>
            <w:r w:rsidRPr="00583A28">
              <w:rPr>
                <w:rFonts w:ascii="Times New Roman" w:hAnsi="Times New Roman" w:cs="Times New Roman"/>
                <w:sz w:val="28"/>
                <w:szCs w:val="28"/>
              </w:rPr>
              <w:t>125</w:t>
            </w:r>
          </w:p>
        </w:tc>
      </w:tr>
      <w:tr w:rsidR="002E6E0F" w:rsidRPr="00583A28" w14:paraId="324799C0" w14:textId="77777777" w:rsidTr="00583A28">
        <w:trPr>
          <w:trHeight w:val="20"/>
          <w:jc w:val="center"/>
        </w:trPr>
        <w:tc>
          <w:tcPr>
            <w:tcW w:w="3267" w:type="dxa"/>
            <w:hideMark/>
          </w:tcPr>
          <w:p w14:paraId="1A70AE1B" w14:textId="77777777" w:rsidR="002E6E0F" w:rsidRPr="00583A28" w:rsidRDefault="002E6E0F" w:rsidP="003C6D59">
            <w:pPr>
              <w:pStyle w:val="NoSpacing"/>
              <w:rPr>
                <w:rFonts w:ascii="Times New Roman" w:hAnsi="Times New Roman" w:cs="Times New Roman"/>
                <w:sz w:val="28"/>
                <w:szCs w:val="28"/>
              </w:rPr>
            </w:pPr>
            <w:r w:rsidRPr="00583A28">
              <w:rPr>
                <w:rFonts w:ascii="Times New Roman" w:hAnsi="Times New Roman" w:cs="Times New Roman"/>
                <w:sz w:val="28"/>
                <w:szCs w:val="28"/>
              </w:rPr>
              <w:t>Punjab</w:t>
            </w:r>
          </w:p>
        </w:tc>
        <w:tc>
          <w:tcPr>
            <w:tcW w:w="4659" w:type="dxa"/>
            <w:vAlign w:val="center"/>
            <w:hideMark/>
          </w:tcPr>
          <w:p w14:paraId="6FD3FAC0" w14:textId="77777777" w:rsidR="002E6E0F" w:rsidRPr="00583A28" w:rsidRDefault="002E6E0F" w:rsidP="00583A28">
            <w:pPr>
              <w:pStyle w:val="NoSpacing"/>
              <w:jc w:val="center"/>
              <w:rPr>
                <w:rFonts w:ascii="Times New Roman" w:hAnsi="Times New Roman" w:cs="Times New Roman"/>
                <w:sz w:val="28"/>
                <w:szCs w:val="28"/>
              </w:rPr>
            </w:pPr>
            <w:r w:rsidRPr="00583A28">
              <w:rPr>
                <w:rFonts w:ascii="Times New Roman" w:hAnsi="Times New Roman" w:cs="Times New Roman"/>
                <w:sz w:val="28"/>
                <w:szCs w:val="28"/>
              </w:rPr>
              <w:t>41</w:t>
            </w:r>
          </w:p>
        </w:tc>
      </w:tr>
      <w:tr w:rsidR="002E6E0F" w:rsidRPr="00583A28" w14:paraId="2BD3C246" w14:textId="77777777" w:rsidTr="00583A28">
        <w:trPr>
          <w:trHeight w:val="20"/>
          <w:jc w:val="center"/>
        </w:trPr>
        <w:tc>
          <w:tcPr>
            <w:tcW w:w="3267" w:type="dxa"/>
            <w:hideMark/>
          </w:tcPr>
          <w:p w14:paraId="7FE23A48" w14:textId="77777777" w:rsidR="002E6E0F" w:rsidRPr="00583A28" w:rsidRDefault="002E6E0F" w:rsidP="003C6D59">
            <w:pPr>
              <w:pStyle w:val="NoSpacing"/>
              <w:rPr>
                <w:rFonts w:ascii="Times New Roman" w:hAnsi="Times New Roman" w:cs="Times New Roman"/>
                <w:sz w:val="28"/>
                <w:szCs w:val="28"/>
              </w:rPr>
            </w:pPr>
            <w:r w:rsidRPr="00583A28">
              <w:rPr>
                <w:rFonts w:ascii="Times New Roman" w:hAnsi="Times New Roman" w:cs="Times New Roman"/>
                <w:sz w:val="28"/>
                <w:szCs w:val="28"/>
              </w:rPr>
              <w:t>Rajasthan</w:t>
            </w:r>
          </w:p>
        </w:tc>
        <w:tc>
          <w:tcPr>
            <w:tcW w:w="4659" w:type="dxa"/>
            <w:vAlign w:val="center"/>
            <w:hideMark/>
          </w:tcPr>
          <w:p w14:paraId="24E2CCB3" w14:textId="77777777" w:rsidR="002E6E0F" w:rsidRPr="00583A28" w:rsidRDefault="002E6E0F" w:rsidP="00583A28">
            <w:pPr>
              <w:pStyle w:val="NoSpacing"/>
              <w:jc w:val="center"/>
              <w:rPr>
                <w:rFonts w:ascii="Times New Roman" w:hAnsi="Times New Roman" w:cs="Times New Roman"/>
                <w:sz w:val="28"/>
                <w:szCs w:val="28"/>
              </w:rPr>
            </w:pPr>
            <w:r w:rsidRPr="00583A28">
              <w:rPr>
                <w:rFonts w:ascii="Times New Roman" w:hAnsi="Times New Roman" w:cs="Times New Roman"/>
                <w:sz w:val="28"/>
                <w:szCs w:val="28"/>
              </w:rPr>
              <w:t>108</w:t>
            </w:r>
          </w:p>
        </w:tc>
      </w:tr>
      <w:tr w:rsidR="002E6E0F" w:rsidRPr="00583A28" w14:paraId="7AFC062A" w14:textId="77777777" w:rsidTr="00583A28">
        <w:trPr>
          <w:trHeight w:val="20"/>
          <w:jc w:val="center"/>
        </w:trPr>
        <w:tc>
          <w:tcPr>
            <w:tcW w:w="3267" w:type="dxa"/>
            <w:hideMark/>
          </w:tcPr>
          <w:p w14:paraId="75D0C9B3" w14:textId="77777777" w:rsidR="002E6E0F" w:rsidRPr="00583A28" w:rsidRDefault="002E6E0F" w:rsidP="003C6D59">
            <w:pPr>
              <w:pStyle w:val="NoSpacing"/>
              <w:rPr>
                <w:rFonts w:ascii="Times New Roman" w:hAnsi="Times New Roman" w:cs="Times New Roman"/>
                <w:sz w:val="28"/>
                <w:szCs w:val="28"/>
              </w:rPr>
            </w:pPr>
            <w:r w:rsidRPr="00583A28">
              <w:rPr>
                <w:rFonts w:ascii="Times New Roman" w:hAnsi="Times New Roman" w:cs="Times New Roman"/>
                <w:sz w:val="28"/>
                <w:szCs w:val="28"/>
              </w:rPr>
              <w:t>Tamil Nadu</w:t>
            </w:r>
          </w:p>
        </w:tc>
        <w:tc>
          <w:tcPr>
            <w:tcW w:w="4659" w:type="dxa"/>
            <w:vAlign w:val="center"/>
            <w:hideMark/>
          </w:tcPr>
          <w:p w14:paraId="65D6C2CC" w14:textId="77777777" w:rsidR="002E6E0F" w:rsidRPr="00583A28" w:rsidRDefault="002E6E0F" w:rsidP="00583A28">
            <w:pPr>
              <w:pStyle w:val="NoSpacing"/>
              <w:jc w:val="center"/>
              <w:rPr>
                <w:rFonts w:ascii="Times New Roman" w:hAnsi="Times New Roman" w:cs="Times New Roman"/>
                <w:sz w:val="28"/>
                <w:szCs w:val="28"/>
              </w:rPr>
            </w:pPr>
            <w:r w:rsidRPr="00583A28">
              <w:rPr>
                <w:rFonts w:ascii="Times New Roman" w:hAnsi="Times New Roman" w:cs="Times New Roman"/>
                <w:sz w:val="28"/>
                <w:szCs w:val="28"/>
              </w:rPr>
              <w:t>50</w:t>
            </w:r>
          </w:p>
        </w:tc>
      </w:tr>
      <w:tr w:rsidR="002E6E0F" w:rsidRPr="00583A28" w14:paraId="7E364888" w14:textId="77777777" w:rsidTr="00583A28">
        <w:trPr>
          <w:trHeight w:val="20"/>
          <w:jc w:val="center"/>
        </w:trPr>
        <w:tc>
          <w:tcPr>
            <w:tcW w:w="3267" w:type="dxa"/>
            <w:hideMark/>
          </w:tcPr>
          <w:p w14:paraId="31857557" w14:textId="77777777" w:rsidR="002E6E0F" w:rsidRPr="00583A28" w:rsidRDefault="002E6E0F" w:rsidP="003C6D59">
            <w:pPr>
              <w:pStyle w:val="NoSpacing"/>
              <w:rPr>
                <w:rFonts w:ascii="Times New Roman" w:hAnsi="Times New Roman" w:cs="Times New Roman"/>
                <w:sz w:val="28"/>
                <w:szCs w:val="28"/>
              </w:rPr>
            </w:pPr>
            <w:r w:rsidRPr="00583A28">
              <w:rPr>
                <w:rFonts w:ascii="Times New Roman" w:hAnsi="Times New Roman" w:cs="Times New Roman"/>
                <w:sz w:val="28"/>
                <w:szCs w:val="28"/>
              </w:rPr>
              <w:t>Uttar Pradesh</w:t>
            </w:r>
          </w:p>
        </w:tc>
        <w:tc>
          <w:tcPr>
            <w:tcW w:w="4659" w:type="dxa"/>
            <w:vAlign w:val="center"/>
            <w:hideMark/>
          </w:tcPr>
          <w:p w14:paraId="67F35CA6" w14:textId="77777777" w:rsidR="002E6E0F" w:rsidRPr="00583A28" w:rsidRDefault="002E6E0F" w:rsidP="00583A28">
            <w:pPr>
              <w:pStyle w:val="NoSpacing"/>
              <w:jc w:val="center"/>
              <w:rPr>
                <w:rFonts w:ascii="Times New Roman" w:hAnsi="Times New Roman" w:cs="Times New Roman"/>
                <w:sz w:val="28"/>
                <w:szCs w:val="28"/>
              </w:rPr>
            </w:pPr>
            <w:r w:rsidRPr="00583A28">
              <w:rPr>
                <w:rFonts w:ascii="Times New Roman" w:hAnsi="Times New Roman" w:cs="Times New Roman"/>
                <w:sz w:val="28"/>
                <w:szCs w:val="28"/>
              </w:rPr>
              <w:t>94</w:t>
            </w:r>
          </w:p>
        </w:tc>
      </w:tr>
      <w:tr w:rsidR="002E6E0F" w:rsidRPr="00583A28" w14:paraId="315E8F44" w14:textId="77777777" w:rsidTr="00583A28">
        <w:trPr>
          <w:trHeight w:val="20"/>
          <w:jc w:val="center"/>
        </w:trPr>
        <w:tc>
          <w:tcPr>
            <w:tcW w:w="3267" w:type="dxa"/>
            <w:hideMark/>
          </w:tcPr>
          <w:p w14:paraId="03898FC2" w14:textId="77777777" w:rsidR="002E6E0F" w:rsidRPr="00583A28" w:rsidRDefault="002E6E0F" w:rsidP="003C6D59">
            <w:pPr>
              <w:pStyle w:val="NoSpacing"/>
              <w:rPr>
                <w:rFonts w:ascii="Times New Roman" w:hAnsi="Times New Roman" w:cs="Times New Roman"/>
                <w:sz w:val="28"/>
                <w:szCs w:val="28"/>
              </w:rPr>
            </w:pPr>
            <w:r w:rsidRPr="00583A28">
              <w:rPr>
                <w:rFonts w:ascii="Times New Roman" w:hAnsi="Times New Roman" w:cs="Times New Roman"/>
                <w:sz w:val="28"/>
                <w:szCs w:val="28"/>
              </w:rPr>
              <w:t>West Bengal</w:t>
            </w:r>
          </w:p>
        </w:tc>
        <w:tc>
          <w:tcPr>
            <w:tcW w:w="4659" w:type="dxa"/>
            <w:vAlign w:val="center"/>
            <w:hideMark/>
          </w:tcPr>
          <w:p w14:paraId="4F5CACD0" w14:textId="77777777" w:rsidR="002E6E0F" w:rsidRPr="00583A28" w:rsidRDefault="002E6E0F" w:rsidP="00583A28">
            <w:pPr>
              <w:pStyle w:val="NoSpacing"/>
              <w:jc w:val="center"/>
              <w:rPr>
                <w:rFonts w:ascii="Times New Roman" w:hAnsi="Times New Roman" w:cs="Times New Roman"/>
                <w:sz w:val="28"/>
                <w:szCs w:val="28"/>
              </w:rPr>
            </w:pPr>
            <w:r w:rsidRPr="00583A28">
              <w:rPr>
                <w:rFonts w:ascii="Times New Roman" w:hAnsi="Times New Roman" w:cs="Times New Roman"/>
                <w:sz w:val="28"/>
                <w:szCs w:val="28"/>
              </w:rPr>
              <w:t>261</w:t>
            </w:r>
          </w:p>
        </w:tc>
      </w:tr>
      <w:tr w:rsidR="002E6E0F" w:rsidRPr="00583A28" w14:paraId="00293021" w14:textId="77777777" w:rsidTr="00583A28">
        <w:trPr>
          <w:trHeight w:val="20"/>
          <w:jc w:val="center"/>
        </w:trPr>
        <w:tc>
          <w:tcPr>
            <w:tcW w:w="3267" w:type="dxa"/>
            <w:hideMark/>
          </w:tcPr>
          <w:p w14:paraId="13AAE62B" w14:textId="77777777" w:rsidR="002E6E0F" w:rsidRPr="00583A28" w:rsidRDefault="002E6E0F" w:rsidP="003C6D59">
            <w:pPr>
              <w:pStyle w:val="NoSpacing"/>
              <w:rPr>
                <w:rFonts w:ascii="Times New Roman" w:hAnsi="Times New Roman" w:cs="Times New Roman"/>
                <w:sz w:val="28"/>
                <w:szCs w:val="28"/>
              </w:rPr>
            </w:pPr>
            <w:r w:rsidRPr="00583A28">
              <w:rPr>
                <w:rFonts w:ascii="Times New Roman" w:hAnsi="Times New Roman" w:cs="Times New Roman"/>
                <w:sz w:val="28"/>
                <w:szCs w:val="28"/>
              </w:rPr>
              <w:t>TOTAL</w:t>
            </w:r>
          </w:p>
        </w:tc>
        <w:tc>
          <w:tcPr>
            <w:tcW w:w="4659" w:type="dxa"/>
            <w:vAlign w:val="center"/>
            <w:hideMark/>
          </w:tcPr>
          <w:p w14:paraId="1E4CB785" w14:textId="77777777" w:rsidR="002E6E0F" w:rsidRPr="00583A28" w:rsidRDefault="002E6E0F" w:rsidP="00583A28">
            <w:pPr>
              <w:pStyle w:val="NoSpacing"/>
              <w:jc w:val="center"/>
              <w:rPr>
                <w:rFonts w:ascii="Times New Roman" w:hAnsi="Times New Roman" w:cs="Times New Roman"/>
                <w:sz w:val="28"/>
                <w:szCs w:val="28"/>
              </w:rPr>
            </w:pPr>
            <w:r w:rsidRPr="00583A28">
              <w:rPr>
                <w:rFonts w:ascii="Times New Roman" w:hAnsi="Times New Roman" w:cs="Times New Roman"/>
                <w:sz w:val="28"/>
                <w:szCs w:val="28"/>
              </w:rPr>
              <w:t>1447</w:t>
            </w:r>
          </w:p>
        </w:tc>
      </w:tr>
    </w:tbl>
    <w:p w14:paraId="55AF2F16" w14:textId="77777777" w:rsidR="008E3B34" w:rsidRPr="007245B0" w:rsidRDefault="008E3B34" w:rsidP="008E3B34">
      <w:pPr>
        <w:jc w:val="both"/>
        <w:rPr>
          <w:rFonts w:ascii="Times New Roman" w:hAnsi="Times New Roman" w:cs="Times New Roman"/>
        </w:rPr>
      </w:pPr>
    </w:p>
    <w:p w14:paraId="6E3F95BC" w14:textId="15F2570C" w:rsidR="008E3B34" w:rsidRPr="007245B0" w:rsidRDefault="00583A28" w:rsidP="00FF13CC">
      <w:pPr>
        <w:pStyle w:val="Heading3"/>
        <w:spacing w:line="310" w:lineRule="exact"/>
      </w:pPr>
      <w:r>
        <w:t>W</w:t>
      </w:r>
      <w:r w:rsidR="002E6E0F" w:rsidRPr="007245B0">
        <w:t xml:space="preserve">hile continuing the practice of making a separate annual provision for expenditure under Famine Relief, we consider that the excess of such provision over the actual expenditure on famine relief in each year should be transferred to a separate Famine Relief Fund which may be drawn upon in other years for meeting expenditure required in excess of the provision allowed by us. We also suggest that the amount of appropriations to the Famine Relief Fund should be invested in easily realisable securities. Although an exactly similar recommendation was made by earlier Finance Commissions also the State Governments have not apparently been able to implement it. If this position continues and the annual appropriations are used to relieve the current ways and means position of the State, the provision allowed by us for famine relief and natural calamities would not serve its real purpose. We, therefore, hope that the State Governments will be able to take appropriate action to implement our recommendation in this respect. Further, in determining the assistance to be given by the Government of India under their scheme of assistance to States for expenditure on relief measures, we think that the accumulated provision for the entire period from 1969-70, and not merely the annual provision relating to the year in which the natural calamity occurs, should be taken into account. Further, it seems to us that for meeting expenditure on natural calamities it would be more fitting if the 75 per cent. assistance to the States, whose finances would also have been adversely affected on the receipts side, is given wholly in the form of grants; and only the amount required for State loans to others may be covered by Central </w:t>
      </w:r>
      <w:r w:rsidR="002E6E0F" w:rsidRPr="007245B0">
        <w:lastRenderedPageBreak/>
        <w:t>loans. The remaining burden of famine relief expenditure should be met by the State itself, as it will be the primary authority for deciding the level of famine expenditure. As at present, a ways and means loan may be given to the States, where necessary, to meet temporary difficulties.</w:t>
      </w:r>
    </w:p>
    <w:p w14:paraId="2C842F14" w14:textId="5BC5CF4A" w:rsidR="002E6E0F" w:rsidRPr="007245B0" w:rsidRDefault="002E6E0F" w:rsidP="00FF13CC">
      <w:pPr>
        <w:pStyle w:val="Heading3"/>
        <w:spacing w:line="310" w:lineRule="exact"/>
      </w:pPr>
      <w:r w:rsidRPr="007245B0">
        <w:t>Separate estimates were furnished by the States in regard to the requirements of expenditure on the maintenance and upkeep of Plan schemes completed by the end of 1968-69. These estimates were scrutinised with reference to the schemewise break-up of the revenue Plan outlays during 1968-69. Generally speaking, we did not take into account provision for contingent expenditure of a non-recurring nature, minor works, or grants for purposes of a capital nature. Expenditure on Establishment and contingencies was generally allowed. Provision for maintenance of roads, buildings, etc., was allowed on the same basis as for similar non-Plan expenditure. The rates of growth adopted in estimating the recurring committed expenditure over the five-year period were limited to the rates adopted in assessing corresponding items of revenue expenditure. In cases where such scheme wise scrutiny was not possible due to inadequate data and the provision in the State’s forecast worked out to a higher percentage of the revenue Plan outlay for 1968-69 than the percentage of the committed expenditure in 1966-67 to the revenue Plan outlay in 1965-66, the provision was limited to the latter percentage after increasing it by 10 per cent. thereof, in order to cover possible variations in the pattern of completed Plan schemes.</w:t>
      </w:r>
    </w:p>
    <w:p w14:paraId="5B4C83B5" w14:textId="20E2ECB6" w:rsidR="002E6E0F" w:rsidRPr="007245B0" w:rsidRDefault="002E6E0F" w:rsidP="00FF13CC">
      <w:pPr>
        <w:pStyle w:val="Heading3"/>
        <w:spacing w:line="310" w:lineRule="exact"/>
      </w:pPr>
      <w:r w:rsidRPr="007245B0">
        <w:t xml:space="preserve">For the purpose of estimating the sums likely to accrue to the States under our recommendations for devolution of taxes, we have adopted the estimates of taxes and duties furnished to us by the Ministry of Finance. We have taken into account the grant in lieu of the tax on railway passenger fares at its present level of Rs. 16·25 crores a year. In case the present arrangements regarding additional excise duties are discontinued, we have assumed that the States will continue to get at least the same amounts from sales tax on these commodities as their share of the proceeds of additional excise duties. Unlike the previous Finance Commissions, this Commission has had to deal with the problem of distribution of unadjusted advance tax collections for the years upto 1966-67, and the increased net proceeds of income-tax determined on the revised basis for the years 1967-68 and 1968-69. We have assumed that final payment to the States for the year 1967-68 will be made in 1969-70 when the net proceeds are certified by the Comptroller and Auditor General, and that similar payment for the year 1968-69 will be made in 1970-71. We have recommended that the States’ share of the unadjusted advance tax collections upto 1966-67 should be paid to them in three equal instalments during the years 1971-72 to 1973-74. The total sums expected to be transferred to States by devolution of taxes in the five years have been estimated on this basis. The total amount of such devolution of taxes to all the States, including the grant in lieu of tax on railway passenger fares and proceeds of additional excise duties comes to about 66 per cent. </w:t>
      </w:r>
      <w:r w:rsidRPr="007245B0">
        <w:lastRenderedPageBreak/>
        <w:t>more than the amount of such devolution as recommended by the Fourth Finance Commission in its report for the five-year period from 1966-67 to 1970-71.</w:t>
      </w:r>
    </w:p>
    <w:p w14:paraId="31C5F71E" w14:textId="261BB8C8" w:rsidR="002E6E0F" w:rsidRPr="007245B0" w:rsidRDefault="002E6E0F" w:rsidP="00FF13CC">
      <w:pPr>
        <w:pStyle w:val="Heading3"/>
        <w:spacing w:line="310" w:lineRule="exact"/>
      </w:pPr>
      <w:r w:rsidRPr="007245B0">
        <w:t>Some States have argued that the increased devolution due to the inclusion of advance tax collections of past years should not be taken into account in estimating their resources over the next five years as they should have been paid larger shares of income-tax proceeds in the earlier years when the collections were made. They have represented that the delay has already added to their financial difficulties and left them with greater loan liabilities. Though we appreciate the States’ argument in this regard, particularly in view of the higher expenditure on dearness allowance, etc., which they have had to incur, we cannot agree with their contention that the increase in devolution which they will receive on this account in the next five years should not be included in their revenue resources for assessing their needs for grants. The share of the divisible pool which the States should receive has not been laid down in any specific terms under the Constitution, but it is to be determined for each period on the basis of the recommendations of the Finance Commission appointed under Article 280 of the Constitution. It is clear that the earlier Finance Commissions had before them the estimates of proceeds of income-tax worked out by the Government of India on the basis that advance tax collections were to be included in the proceeds only after completion of assessments. The recommendations of these Commissions for distribution of income-tax as well as other devolution of taxes and grants under Article 275 were based on these estimates and also on their overall view regarding the total transfers which were necessary to meet the requirements of States as assessed by them. It is not possible for anyone to form an opinion as to what the earlier Commissions would have done in the matter of devolutions if the estimates of proceeds of income-tax before them had included advance tax collections. But the procedure followed by them makes it clear that at least the grants under Article 275 recommended by them might have been smaller. We consider that the States cannot claim as of right that their share of the unforeseen increase in the divisible proceeds of past years which has resulted from the modification in the method of determining the net proceeds of income-tax should be paid to them without being taken into account for the purpose of the whole scheme of transfer of funds to them on assessment of their needs for the next five years. The supplementary reference made to us also specifically requires us to take into account the effect of our recommendations regarding the matters specified therein, in making our recommendations for other devolutions and grants. We have accordingly treated the States’ shares of the unadjusted amount of advance tax and balance of income-tax proceeds of earlier years as part of the resources available to them for meeting their revenue expenditure in the five-year period.</w:t>
      </w:r>
    </w:p>
    <w:p w14:paraId="340131D1" w14:textId="3FD187B3" w:rsidR="002E6E0F" w:rsidRPr="007245B0" w:rsidRDefault="002E6E0F" w:rsidP="00FF13CC">
      <w:pPr>
        <w:pStyle w:val="Heading3"/>
        <w:spacing w:line="310" w:lineRule="exact"/>
      </w:pPr>
      <w:r w:rsidRPr="007245B0">
        <w:t xml:space="preserve">On the basis of the estimated devolution of taxes to each State worked out as above and assessment of the States’ forecasts of their revenue receipts and expenditure as indicated earlier, we found that the States of Bihar, Gujarat, Haryana, Madhya Pradesh, Maharashtra, Mysore, Punjab and Uttar Pradesh will be receiving </w:t>
      </w:r>
      <w:r w:rsidRPr="007245B0">
        <w:lastRenderedPageBreak/>
        <w:t xml:space="preserve">by devolution of taxes amounts which will be sufficient to cover their non-Plan revenue expenditure in the next five years as assessed by us. </w:t>
      </w:r>
    </w:p>
    <w:p w14:paraId="133B7C76" w14:textId="215B732A" w:rsidR="002E6E0F" w:rsidRPr="007245B0" w:rsidRDefault="00497099" w:rsidP="00FF13CC">
      <w:pPr>
        <w:pStyle w:val="Heading3"/>
        <w:spacing w:line="310" w:lineRule="exact"/>
      </w:pPr>
      <w:r w:rsidRPr="007245B0">
        <w:t>The requirements of the other States for grants under Article 275 were then examined in greater detail. As regards their revenue receipts, we have, according to our terms of reference, taken into consideration the scope for better fiscal management. We also kept in mind the principle approved by the earlier Finance Commissions that the efforts made by the States to raise resources in relation to their tax potential should be taken into account. We made a broad comparison of each State’s total tax revenue at the existing levels of taxation with that of other States on a </w:t>
      </w:r>
      <w:r w:rsidRPr="007245B0">
        <w:rPr>
          <w:i/>
          <w:iCs/>
        </w:rPr>
        <w:t>per capita</w:t>
      </w:r>
      <w:r w:rsidRPr="007245B0">
        <w:t> basis. We excluded the receipts from inter-State sales tax in making this comparison. Taking the basis of average State incomes for the three years 1962-63 to 1964-65 furnished to us by the Central Statistical Organisation, we also compared the tax effort as indicated by taking the total tax revenues as a percentage of the State income, after making some allowance for lower yields from agricultural income. We felt that owing to the different circumstances of each State and different policies of the State Governments and the lack of satisfactory data regarding the bases of different State taxes, it was not possible to compare the incidence or yields of particular taxes levied by the States. We therefore considered that a broad comparison should be made on the basis of the incidence of total State taxes in the context of the tax potential of each State as indicated by its level of </w:t>
      </w:r>
      <w:r w:rsidRPr="007245B0">
        <w:rPr>
          <w:i/>
          <w:iCs/>
        </w:rPr>
        <w:t>per capita</w:t>
      </w:r>
      <w:r w:rsidRPr="007245B0">
        <w:t> income. In coming to a view regarding the tax effort of a State where the incidence of total State taxes was low, however, we took note of the relative rates of comparable taxes to the extent possible. In cases where the tax effort of the State examined in this manner appeared to be considerably lower than that of other States with similar </w:t>
      </w:r>
      <w:r w:rsidRPr="007245B0">
        <w:rPr>
          <w:i/>
          <w:iCs/>
        </w:rPr>
        <w:t>per capita</w:t>
      </w:r>
      <w:r w:rsidRPr="007245B0">
        <w:t> income, and particularly States with similar conditions of development, we took this factor into account in assessing the extent to which the State could be expected to make efforts to raise its resources so as to bring it to a comparable level, unless we found that the level of expenditure of the State as compared to similar States was also appreciably lower.</w:t>
      </w:r>
    </w:p>
    <w:p w14:paraId="450C3561" w14:textId="0ECA5E6E" w:rsidR="00497099" w:rsidRPr="007245B0" w:rsidRDefault="00497099" w:rsidP="00FF13CC">
      <w:pPr>
        <w:pStyle w:val="Heading3"/>
        <w:spacing w:line="310" w:lineRule="exact"/>
      </w:pPr>
      <w:r w:rsidRPr="007245B0">
        <w:t>As regards non-tax revenues, we felt that it was not possible to compare the receipts from mining royalties and net receipts from forests. No adjustment for these receipts was considered necessary. Receipts from interest on loans and dividends on investments as well as receipts from departmental commercial schemes were separated for being considered on a different footing. The balance of other non-tax revenues was not examined directly, but we took it into account in reduction of the State’s revenue expenditure on normal items (excluding interest and other debt charges; expenditure on departmental commercial schemes and provision for famine relief), and we compared such net expenditure with similar expenditure of other States having the same order of </w:t>
      </w:r>
      <w:r w:rsidRPr="007245B0">
        <w:rPr>
          <w:i/>
          <w:iCs/>
        </w:rPr>
        <w:t>per capita</w:t>
      </w:r>
      <w:r w:rsidRPr="007245B0">
        <w:t xml:space="preserve"> income and economic development on the lines indicated in paragraph 6.26 below. We shall consider the question of interest receipts, dividends and receipts from departmental commercial schemes along with </w:t>
      </w:r>
      <w:r w:rsidRPr="007245B0">
        <w:lastRenderedPageBreak/>
        <w:t>the interest payments and expenditure on departmental commercial schemes respectively in subsequent paragraphs.</w:t>
      </w:r>
    </w:p>
    <w:p w14:paraId="58B6A513" w14:textId="162E0814" w:rsidR="00497099" w:rsidRPr="007245B0" w:rsidRDefault="00497099" w:rsidP="00FF13CC">
      <w:pPr>
        <w:pStyle w:val="Heading3"/>
        <w:spacing w:line="310" w:lineRule="exact"/>
      </w:pPr>
      <w:r w:rsidRPr="007245B0">
        <w:t>We examined the revenue expenditure of the States as assessed by us according to broad categories. We separated the provisions for interest, appropriation for reduction of debt and expenditure on departmental commercial schemes which are not of a comparable nature. We have considered these alongwith the corresponding receipts under paragraph 6.33. We also excluded provision for famine relief, which has been dealt with in paragraphs 6.15 and 6.16 above. The remaining expenditure including provision for dearness allowance, pay revision, committed expenditure and proposals for fresh expenditure included in the forecasts was taken as the State’s normal revenue expenditure for the purpose of comparison with the level of expenditure in other States.</w:t>
      </w:r>
    </w:p>
    <w:p w14:paraId="75E5E6D1" w14:textId="19A0B29E" w:rsidR="00497099" w:rsidRPr="007245B0" w:rsidRDefault="00497099" w:rsidP="00FF13CC">
      <w:pPr>
        <w:pStyle w:val="Heading3"/>
        <w:spacing w:line="310" w:lineRule="exact"/>
      </w:pPr>
      <w:r w:rsidRPr="007245B0">
        <w:t>The terms of reference require us to have regard to the scope for economy consistent with efficiency. We collected from the States information regarding the economy measures undertaken by them. They gave us details of the steps they had taken in this direction from 1965-66 to 1967-68, including directives to keep vacancies unfilled, curtailment of contingent and travelling expenditure, reduction of provision for maintenance of public works, etc. Several States, however, urged that by their very nature such measures could only be of a short duration and that if they were to continue for a long time they were likely to have an adverse effect on efficiency. They, therefore, proposed to relax most of these restrictions. It was not feasible for us to undertake any examination of the requirements of various State Departments and judge the possibilities of effecting economy. We have, therefore, examined the total revenue expenditure (after excluding famine relief, losses on departmental commercial schemes and net burden of interest) on broad considerations in the light of the levels of such expenditure in other States, particularly those with similar </w:t>
      </w:r>
      <w:r w:rsidRPr="007245B0">
        <w:rPr>
          <w:i/>
          <w:iCs/>
        </w:rPr>
        <w:t>per capita</w:t>
      </w:r>
      <w:r w:rsidRPr="007245B0">
        <w:t> income and having similar conditions.</w:t>
      </w:r>
    </w:p>
    <w:p w14:paraId="1D6F6B75" w14:textId="74BC90E5" w:rsidR="00497099" w:rsidRPr="007245B0" w:rsidRDefault="00497099" w:rsidP="00FF13CC">
      <w:pPr>
        <w:pStyle w:val="Heading3"/>
        <w:spacing w:line="310" w:lineRule="exact"/>
      </w:pPr>
      <w:r w:rsidRPr="007245B0">
        <w:t xml:space="preserve">As the expenditure levels of different States in respect of particular departments and services differ considerably on account of their individual circumstances and policies and the growth of various State activities in the past, it was not possible for us to compare the levels of expenditure in different States in particular fields. We considered that a broad comparison of the levels of total revenue expenditure (after excluding the items mentioned above) would be suitable for assessing the relative needs of States on an equitable basis, particularly as between States with similar levels of income and similar conditions, but with large variations in regard to levels of expenditure. We also took into consideration certain special features of some of the States which tend to increase the level of their revenue expenditure, such as border areas, proportion of Scheduled Tribes, sparseness of population and higher level of development of social services. These are dealt with further in paragraphs 6.27 to 6.32, below. After making some allowance for such factors, we considered that where the level of expenditure in a State was substantially higher than that generally indicated by expenditure in other comparable States, it should be the State’s responsibility to find further resources for meeting part of the </w:t>
      </w:r>
      <w:r w:rsidRPr="007245B0">
        <w:lastRenderedPageBreak/>
        <w:t>extra expenditure and the budgetary deficit as assessed by us should not be covered entirely by grants under Article 275 unless we found that the tax effort of the State in relation to its per capita income was also substantially higher than that of States with similar per capita income and comparable conditions.</w:t>
      </w:r>
    </w:p>
    <w:p w14:paraId="567A2ED6" w14:textId="099DBA09" w:rsidR="00497099" w:rsidRPr="007245B0" w:rsidRDefault="00497099" w:rsidP="00FF13CC">
      <w:pPr>
        <w:pStyle w:val="Heading3"/>
        <w:spacing w:line="310" w:lineRule="exact"/>
      </w:pPr>
      <w:r w:rsidRPr="007245B0">
        <w:t>Several States asked us to consider allowing them a higher level of revenue expenditure on account of certain special factors. These factors are mainly problems of border areas, refugee rehabilitation, large proportion of Scheduled Tribes and sparseness of population. As far as border problems are concerned, many of them are being looked after by the Union which has the responsibility of guarding the frontiers of the country and maintaining the necessary armed and other forces. Border roads of strategic value are constructed entirely from the funds of the Government of India and special grants are also given to State Governments for their maintenance. In addition, the Government of India give special grants for development of border areas. Nevertheless, the States on the border, especially those adjoining Pakistan and China, have to incur some extra expenditure for guarding against infiltration and sabotage and for seeing that the people in the border areas are assisted in their problems. We have kept this factor in view in assessing the level of expenditure of such States.</w:t>
      </w:r>
    </w:p>
    <w:p w14:paraId="28639E96" w14:textId="5CDEB8DF" w:rsidR="00497099" w:rsidRPr="007245B0" w:rsidRDefault="00497099" w:rsidP="00FF13CC">
      <w:pPr>
        <w:pStyle w:val="Heading3"/>
        <w:spacing w:line="310" w:lineRule="exact"/>
      </w:pPr>
      <w:r w:rsidRPr="007245B0">
        <w:t>In this connection, we may mention that the Government of Jammu and Kashmir had proposed a special provision of Rs. 9.20 crores for strengthening and re-organisation of police along the border. These requirements are largely related to the existence of a long cease-fire line with Pakistan and the security problems arising therefrom. We took the view that where such problems exist, it should be left to the Government of India to determine the quantum of further assistance for such purposes in the light of circumstances existing from time to time. Another special liability of border States for which some of them suggested provision, is on account of maintenance of border roads. The responsibility of maintenance of border roads of strategic value built by or at the instance of the Central Government is at present that of the Government of India. We took the view that maintenance of other State Roads in border areas was the normal responsibility of the State Government concerned and no special grant can be provided for this purpose as requested by one State.</w:t>
      </w:r>
    </w:p>
    <w:p w14:paraId="1815F2F4" w14:textId="1108675A" w:rsidR="00670C29" w:rsidRPr="007245B0" w:rsidRDefault="00670C29" w:rsidP="00FF13CC">
      <w:pPr>
        <w:pStyle w:val="Heading3"/>
        <w:spacing w:line="310" w:lineRule="exact"/>
      </w:pPr>
      <w:r w:rsidRPr="007245B0">
        <w:t>As regards relief and rehabilitation of displaced persons, the Government of India are making provision for this purpose in their budget and they also give grants and loans to States. Such loans are repaid only to the extent that the State Governments can recover them. We, therefore, did not see any reason for making a special provision on this account.</w:t>
      </w:r>
    </w:p>
    <w:p w14:paraId="1D162654" w14:textId="50AE70CF" w:rsidR="00670C29" w:rsidRPr="007245B0" w:rsidRDefault="00670C29" w:rsidP="00FF13CC">
      <w:pPr>
        <w:pStyle w:val="Heading3"/>
        <w:spacing w:line="310" w:lineRule="exact"/>
      </w:pPr>
      <w:r w:rsidRPr="007245B0">
        <w:t xml:space="preserve">As far as Scheduled Tribes are concerned, the first proviso to Article 275(1) of the Constitution contains a special provision regarding grants for schemes to promote their welfare, and substantial amounts are being disbursed to States under this provision. Special loans are also being given to States for the welfare of Scheduled Tribes. Besides, the Planning Commission makes special provision both </w:t>
      </w:r>
      <w:r w:rsidRPr="007245B0">
        <w:lastRenderedPageBreak/>
        <w:t>in State Plans and under Centrally sponsored schemes for their social and economic development. However, in view of the economy of the Scheduled Tribes being largely a non-monetized economy and their taxable capacity being lower than that of other sections of the people, we have included the proportion of Scheduled Tribes population in the weightage given to backwardness in our scheme for distribution of Union excise duties. We have also kept this factor in view while considering the comparative levels of expenditure in various States.</w:t>
      </w:r>
    </w:p>
    <w:p w14:paraId="75C91404" w14:textId="62E39940" w:rsidR="00670C29" w:rsidRPr="007245B0" w:rsidRDefault="00670C29" w:rsidP="00FF13CC">
      <w:pPr>
        <w:pStyle w:val="Heading3"/>
        <w:spacing w:line="310" w:lineRule="exact"/>
      </w:pPr>
      <w:r w:rsidRPr="007245B0">
        <w:t>Some sparsely populated States represented to us that their costs of administration and level of expenditure for maintaining an efficient level of social services are high because of their relatively larger area. In some cases, though their actual expenditure is not high, that is due to their lack of resources and low level of services which they are able to provide. We consider this factor is relevant for assessing the level of expenditure and we have kept it in mind.</w:t>
      </w:r>
    </w:p>
    <w:p w14:paraId="3E11E3CD" w14:textId="06AFE634" w:rsidR="00670C29" w:rsidRPr="007245B0" w:rsidRDefault="00670C29" w:rsidP="00FF13CC">
      <w:pPr>
        <w:pStyle w:val="Heading3"/>
        <w:spacing w:line="310" w:lineRule="exact"/>
      </w:pPr>
      <w:r w:rsidRPr="007245B0">
        <w:t>We found that more developed economic and social services were one of the important reasons for the higher revenue expenditure in some States. These services have been developed upto different levels mainly due to historical reasons and different policies regarding expenditure on Plan schemes relating to education and other social services. Any contraction of such services is not desirable. The States where such expenditure is high and which are in need of grants under Article 275 cannot be expected to raise entirely by their own efforts the additional resources for meeting the increased costs for a number of years. We have therefore allowed in case of such States a substantially higher level of expenditure as compared to other States.</w:t>
      </w:r>
    </w:p>
    <w:p w14:paraId="4F5CFD2C" w14:textId="1E938ACB" w:rsidR="00670C29" w:rsidRPr="007245B0" w:rsidRDefault="00670C29" w:rsidP="00FF13CC">
      <w:pPr>
        <w:pStyle w:val="Heading3"/>
        <w:spacing w:line="310" w:lineRule="exact"/>
      </w:pPr>
      <w:r w:rsidRPr="007245B0">
        <w:t>We now turn to the consideration of the net expenditure on account of interest charges and returns from departmental commercial schemes and other investments. As indicated in paragraph 6.6 above, we have, following the principle adopted by the Fourth Finance Commission, generally assumed that the full amount of interest due would be received by the States from their Electricity Boards. We also assumed recovery of interest on loans and advances to other parties at a rate equivalent to the average rate of interest payable by the State on its own borrowings. The bulk of the remaining part of the States’ debt is accounted for by capital expenditure on departmental schemes of irrigation, road transport etc., and by investments in other corporations, companies and industrial concerns. We have applied the principle similar to that adopted by the Fourth Finance Commission in case of these investments. We consider that in the case of multi-purpose river schemes (excluding the cost allocated to flood control) as well as irrigation (commercial), it should be possible for the States to take measures to increase their receipts so as to cover the working expenses on maintenance and management as well as interest on the capital outlay. Many agriculturists have been incurring higher costs in obtaining water from private sources, and there seems to be no reason why public sources of irrigation cannot be managed more satisfactorily so as to produce returns which can at least avoid loss. However, we have, for the present, assumed that within the next five years it would be possible for the State Governments to take steps to improve the returns for covering the working expenses and interest at the rate of 2</w:t>
      </w:r>
      <w:r w:rsidR="00E406D7">
        <w:t xml:space="preserve">½ </w:t>
      </w:r>
      <w:r w:rsidRPr="007245B0">
        <w:t xml:space="preserve">per cent on </w:t>
      </w:r>
      <w:r w:rsidRPr="007245B0">
        <w:lastRenderedPageBreak/>
        <w:t>the investment. As regards other departmental schemes and investments of State Governments, we have assumed that on the whole there would be no net loss and that these schemes and investments taken together will yield returns and dividends which would at least cover the interest charges on the capital involved.</w:t>
      </w:r>
    </w:p>
    <w:p w14:paraId="4EA6544F" w14:textId="530C9AE7" w:rsidR="00670C29" w:rsidRPr="007245B0" w:rsidRDefault="00670C29" w:rsidP="00FF13CC">
      <w:pPr>
        <w:pStyle w:val="Heading3"/>
        <w:spacing w:line="310" w:lineRule="exact"/>
      </w:pPr>
      <w:r w:rsidRPr="007245B0">
        <w:t>The balance of the States’ debt, which is not covered either by loans and advances or by outlay on commercial schemes or investments, is mainly represented by their capital expenditure on other works like roads, buildings, social services etc. In some cases, this debt is also partly due to miscellaneous development loans under the Plan, and </w:t>
      </w:r>
      <w:r w:rsidRPr="007245B0">
        <w:rPr>
          <w:i/>
          <w:iCs/>
        </w:rPr>
        <w:t>ad hoc</w:t>
      </w:r>
      <w:r w:rsidRPr="007245B0">
        <w:t> loans given by the Government of India to cover the unauthorised overdrafts of the State Governments. We have taken the view that the burden of interest charges related to </w:t>
      </w:r>
      <w:r w:rsidRPr="007245B0">
        <w:rPr>
          <w:i/>
          <w:iCs/>
        </w:rPr>
        <w:t>ad hoc</w:t>
      </w:r>
      <w:r w:rsidRPr="007245B0">
        <w:t> loans should not be taken into account for determining the need of the State for grant under Article 275, and it should be left to meet on its own the interest liability as well as repayment by making efforts to curtail its expenditure and augment its revenues. As regards the other debt, which is not covered by the State’s loans to others or its investments and commercial schemes, it is clear that the States cannot meet the interest charges except from their general revenues. We found that the burden of such debt used for purposes not producing any direct returns varied greatly as between different States. We considered that it is desirable to keep the amount of such loans used for unproductive purposes within a suitable proportion of the States’ own annual revenues. We have allowed interest on such debt after limiting its amount to 50 per cent of the States’ own annual revenues as assessed by us. In the case of Assam, Jammu and Kashmir and Nagaland, such interest has been allowed on the whole amount of debt as well as their unfunded debt.</w:t>
      </w:r>
    </w:p>
    <w:p w14:paraId="40A6440D" w14:textId="1362E10E" w:rsidR="00670C29" w:rsidRPr="007245B0" w:rsidRDefault="00670C29" w:rsidP="00FF13CC">
      <w:pPr>
        <w:pStyle w:val="Heading3"/>
        <w:spacing w:line="310" w:lineRule="exact"/>
      </w:pPr>
      <w:r w:rsidRPr="007245B0">
        <w:t xml:space="preserve">On the question of interest on fresh borrowings during the five-year period, we have adopted principles similar to those adopted for the existing debt at the end of 1968-69. The amount of such borrowings, or the purposes for which the moneys would be utilised, cannot be definitely estimated at this stage pending finalisation of the Five-Year Plan. The State Governments (excluding Jammu and Kashmir) have estimated the amount of such fresh loans to be taken by them at about Rs. 5,500 crores. It is certain that a large amount of such loans will be in the form of Central assistance for the Plan, and some Central loans would also be given to the States for other purposes. We are of opinion that the use of loan funds should be restricted mainly to the requirement of loans and advances to be given by the States and for investment in their productive schemes which can in the long run earn enough to meet their interest charges at normal rates, in addition to working expenses and depreciation. Interest on such schemes during the time required for construction and a short gestation period thereafter, may have to be deferred or capitalised if the State cannot meet it from the surpluses of other schemes or its general revenues. But the returns in subsequent years should be expected to meet this additional liability of deferred or capitalised interest over a suitable period. In case of investments in schemes like irrigation which may not be able to pay the full interest charges for a considerable period, we consider that the terms of the loans should be suitably fixed </w:t>
      </w:r>
      <w:r w:rsidRPr="007245B0">
        <w:lastRenderedPageBreak/>
        <w:t>by the Government of India having regard to the anticipated level of returns, and the interest may be waived or kept at a low rate during the period of construction as well as for a suitable period thereafter. The liability of interest in such cases could also be deferred for a suitable period if the State is unable to meet it from its other resources. We consider that in all such cases the burden of interest on the outlay need not be taken into account for the purpose of assessing the need of the State for a grant under Article 275.</w:t>
      </w:r>
    </w:p>
    <w:p w14:paraId="334E2036" w14:textId="14926D99" w:rsidR="00670C29" w:rsidRPr="007245B0" w:rsidRDefault="00670C29" w:rsidP="00FF13CC">
      <w:pPr>
        <w:pStyle w:val="Heading3"/>
        <w:spacing w:line="310" w:lineRule="exact"/>
      </w:pPr>
      <w:r w:rsidRPr="007245B0">
        <w:t>Besides the loans used for schemes of revenue-yielding nature, which we have dealt with in the foregoing paragraph, the States also have to spend every year some amounts for capital expenditure on non-revenue yielding assets like roads, buildings, flood control works, etc. We are of the view that when such expenditure cannot be met from available revenue surpluses, it should be permissible to meet it from loans, and the interest payment for such loans should be included in the assessment of the revenue expenditure of the States. The amount of loans which the States will utilise for such purposes during the five-year period has not been settled and cannot be estimated properly but we have assumed a total amount of about Rs. 235 crores during the five years for such loans to be taken by all the States, and distributed it among them on the basis of population. We have allowed full interest on fresh borrowings to this extent.</w:t>
      </w:r>
    </w:p>
    <w:p w14:paraId="4F5B9228" w14:textId="31CD5A6D" w:rsidR="00670C29" w:rsidRPr="007245B0" w:rsidRDefault="00670C29" w:rsidP="00FF13CC">
      <w:pPr>
        <w:pStyle w:val="Heading3"/>
        <w:spacing w:line="310" w:lineRule="exact"/>
      </w:pPr>
      <w:r w:rsidRPr="007245B0">
        <w:t>In the past, a considerable part of the loans taken by States has been used for meeting revenue expenditure instead of creating assets, making investment in productive schemes or relending to other parties on suitable terms. Substantial amounts have thus been lent by the Government of India to the States in the form of Miscellaneous Development Loans. Even a part of the assistance given by the Government of India for meeting relief expenditure in case of famine and other natural calamities is in the form of loans. In recent years, several States have run into unauthorised overdrafts with the Reserve Bank of India, partly as a result of deficits in their revenue account. The Government of India have given </w:t>
      </w:r>
      <w:r w:rsidRPr="007245B0">
        <w:rPr>
          <w:i/>
          <w:iCs/>
        </w:rPr>
        <w:t>ad hoc</w:t>
      </w:r>
      <w:r w:rsidRPr="007245B0">
        <w:t> loans to the States for covering the unauthorised overdrafts. We consider that the use of loan funds for such purposes is not desirable in the interests of sound finance. We have therefore not made any provision for interest on any borrowings for such purposes.</w:t>
      </w:r>
    </w:p>
    <w:p w14:paraId="0347C1DB" w14:textId="281F19A1" w:rsidR="00670C29" w:rsidRPr="007245B0" w:rsidRDefault="00670C29" w:rsidP="00FF13CC">
      <w:pPr>
        <w:pStyle w:val="Heading3"/>
        <w:spacing w:line="310" w:lineRule="exact"/>
      </w:pPr>
      <w:r w:rsidRPr="007245B0">
        <w:t>We now turn to the question of provision for amortisation of the existing debt of the States as well as their likely borrowings in the five-year period. In this connection, we wish first to indicate the extent to which the total borrowings of States from the Central Government and other sources have increased during the recent years, as indicated below:</w:t>
      </w:r>
    </w:p>
    <w:p w14:paraId="05BA1E89" w14:textId="5585DB55" w:rsidR="00670C29" w:rsidRPr="008B2A7D" w:rsidRDefault="00670C29" w:rsidP="00670C29">
      <w:pPr>
        <w:jc w:val="right"/>
        <w:rPr>
          <w:rFonts w:ascii="Times New Roman" w:hAnsi="Times New Roman" w:cs="Times New Roman"/>
          <w:i/>
          <w:iCs/>
          <w:szCs w:val="20"/>
        </w:rPr>
      </w:pPr>
      <w:r w:rsidRPr="008B2A7D">
        <w:rPr>
          <w:rFonts w:ascii="Times New Roman" w:hAnsi="Times New Roman" w:cs="Times New Roman"/>
          <w:i/>
          <w:iCs/>
          <w:szCs w:val="20"/>
        </w:rPr>
        <w:t>(Rs. crores)</w:t>
      </w:r>
    </w:p>
    <w:tbl>
      <w:tblPr>
        <w:tblStyle w:val="TableGrid"/>
        <w:tblW w:w="0" w:type="auto"/>
        <w:jc w:val="center"/>
        <w:tblLook w:val="04A0" w:firstRow="1" w:lastRow="0" w:firstColumn="1" w:lastColumn="0" w:noHBand="0" w:noVBand="1"/>
      </w:tblPr>
      <w:tblGrid>
        <w:gridCol w:w="4673"/>
        <w:gridCol w:w="1227"/>
        <w:gridCol w:w="1150"/>
        <w:gridCol w:w="1150"/>
        <w:gridCol w:w="1150"/>
      </w:tblGrid>
      <w:tr w:rsidR="00670C29" w:rsidRPr="00583A28" w14:paraId="548523CD" w14:textId="77777777" w:rsidTr="0087313D">
        <w:trPr>
          <w:trHeight w:val="170"/>
          <w:jc w:val="center"/>
        </w:trPr>
        <w:tc>
          <w:tcPr>
            <w:tcW w:w="4673" w:type="dxa"/>
          </w:tcPr>
          <w:p w14:paraId="59EDBE91" w14:textId="77777777" w:rsidR="00670C29" w:rsidRPr="00583A28" w:rsidRDefault="00670C29" w:rsidP="0032622F">
            <w:pPr>
              <w:pStyle w:val="NoSpacing"/>
              <w:rPr>
                <w:rFonts w:ascii="Times New Roman" w:hAnsi="Times New Roman" w:cs="Times New Roman"/>
                <w:sz w:val="28"/>
                <w:szCs w:val="28"/>
              </w:rPr>
            </w:pPr>
          </w:p>
        </w:tc>
        <w:tc>
          <w:tcPr>
            <w:tcW w:w="1227" w:type="dxa"/>
          </w:tcPr>
          <w:p w14:paraId="10B4A768" w14:textId="5178F6CF" w:rsidR="00670C29" w:rsidRPr="00583A28" w:rsidRDefault="00670C29" w:rsidP="0032622F">
            <w:pPr>
              <w:pStyle w:val="NoSpacing"/>
              <w:rPr>
                <w:rFonts w:ascii="Times New Roman" w:hAnsi="Times New Roman" w:cs="Times New Roman"/>
                <w:sz w:val="28"/>
                <w:szCs w:val="28"/>
              </w:rPr>
            </w:pPr>
            <w:r w:rsidRPr="00583A28">
              <w:rPr>
                <w:rStyle w:val="ng-star-inserted"/>
                <w:rFonts w:ascii="Times New Roman" w:hAnsi="Times New Roman" w:cs="Times New Roman"/>
                <w:b/>
                <w:bCs/>
                <w:color w:val="1A1C1E"/>
                <w:sz w:val="28"/>
                <w:szCs w:val="28"/>
              </w:rPr>
              <w:t>1955-56</w:t>
            </w:r>
          </w:p>
        </w:tc>
        <w:tc>
          <w:tcPr>
            <w:tcW w:w="0" w:type="auto"/>
          </w:tcPr>
          <w:p w14:paraId="7D86F561" w14:textId="28A14E80" w:rsidR="00670C29" w:rsidRPr="00583A28" w:rsidRDefault="00670C29" w:rsidP="0032622F">
            <w:pPr>
              <w:pStyle w:val="NoSpacing"/>
              <w:rPr>
                <w:rFonts w:ascii="Times New Roman" w:hAnsi="Times New Roman" w:cs="Times New Roman"/>
                <w:sz w:val="28"/>
                <w:szCs w:val="28"/>
              </w:rPr>
            </w:pPr>
            <w:r w:rsidRPr="00583A28">
              <w:rPr>
                <w:rStyle w:val="ng-star-inserted"/>
                <w:rFonts w:ascii="Times New Roman" w:hAnsi="Times New Roman" w:cs="Times New Roman"/>
                <w:b/>
                <w:bCs/>
                <w:color w:val="1A1C1E"/>
                <w:sz w:val="28"/>
                <w:szCs w:val="28"/>
              </w:rPr>
              <w:t>1960-61</w:t>
            </w:r>
          </w:p>
        </w:tc>
        <w:tc>
          <w:tcPr>
            <w:tcW w:w="0" w:type="auto"/>
          </w:tcPr>
          <w:p w14:paraId="3D8077B6" w14:textId="4F4D3C2C" w:rsidR="00670C29" w:rsidRPr="00583A28" w:rsidRDefault="00670C29" w:rsidP="0032622F">
            <w:pPr>
              <w:pStyle w:val="NoSpacing"/>
              <w:rPr>
                <w:rFonts w:ascii="Times New Roman" w:hAnsi="Times New Roman" w:cs="Times New Roman"/>
                <w:sz w:val="28"/>
                <w:szCs w:val="28"/>
              </w:rPr>
            </w:pPr>
            <w:r w:rsidRPr="00583A28">
              <w:rPr>
                <w:rStyle w:val="ng-star-inserted"/>
                <w:rFonts w:ascii="Times New Roman" w:hAnsi="Times New Roman" w:cs="Times New Roman"/>
                <w:b/>
                <w:bCs/>
                <w:color w:val="1A1C1E"/>
                <w:sz w:val="28"/>
                <w:szCs w:val="28"/>
              </w:rPr>
              <w:t>1965-66</w:t>
            </w:r>
          </w:p>
        </w:tc>
        <w:tc>
          <w:tcPr>
            <w:tcW w:w="0" w:type="auto"/>
          </w:tcPr>
          <w:p w14:paraId="047D4322" w14:textId="610A3C40" w:rsidR="00670C29" w:rsidRPr="00583A28" w:rsidRDefault="00670C29" w:rsidP="0032622F">
            <w:pPr>
              <w:pStyle w:val="NoSpacing"/>
              <w:rPr>
                <w:rFonts w:ascii="Times New Roman" w:hAnsi="Times New Roman" w:cs="Times New Roman"/>
                <w:sz w:val="28"/>
                <w:szCs w:val="28"/>
              </w:rPr>
            </w:pPr>
            <w:r w:rsidRPr="00583A28">
              <w:rPr>
                <w:rStyle w:val="ng-star-inserted"/>
                <w:rFonts w:ascii="Times New Roman" w:hAnsi="Times New Roman" w:cs="Times New Roman"/>
                <w:b/>
                <w:bCs/>
                <w:color w:val="1A1C1E"/>
                <w:sz w:val="28"/>
                <w:szCs w:val="28"/>
              </w:rPr>
              <w:t>1968-69</w:t>
            </w:r>
          </w:p>
        </w:tc>
      </w:tr>
      <w:tr w:rsidR="00670C29" w:rsidRPr="00583A28" w14:paraId="39FCD9E6" w14:textId="77777777" w:rsidTr="0087313D">
        <w:trPr>
          <w:trHeight w:val="170"/>
          <w:jc w:val="center"/>
        </w:trPr>
        <w:tc>
          <w:tcPr>
            <w:tcW w:w="4673" w:type="dxa"/>
            <w:hideMark/>
          </w:tcPr>
          <w:p w14:paraId="6C275171" w14:textId="77777777" w:rsidR="00670C29" w:rsidRPr="00583A28" w:rsidRDefault="00670C29" w:rsidP="0032622F">
            <w:pPr>
              <w:pStyle w:val="NoSpacing"/>
              <w:rPr>
                <w:rFonts w:ascii="Times New Roman" w:hAnsi="Times New Roman" w:cs="Times New Roman"/>
                <w:sz w:val="28"/>
                <w:szCs w:val="28"/>
              </w:rPr>
            </w:pPr>
            <w:r w:rsidRPr="00583A28">
              <w:rPr>
                <w:rFonts w:ascii="Times New Roman" w:hAnsi="Times New Roman" w:cs="Times New Roman"/>
                <w:sz w:val="28"/>
                <w:szCs w:val="28"/>
              </w:rPr>
              <w:t>(A) Public debt at the close of the year</w:t>
            </w:r>
          </w:p>
        </w:tc>
        <w:tc>
          <w:tcPr>
            <w:tcW w:w="1227" w:type="dxa"/>
            <w:hideMark/>
          </w:tcPr>
          <w:p w14:paraId="3B6C5A01" w14:textId="77777777" w:rsidR="00670C29" w:rsidRPr="00583A28" w:rsidRDefault="00670C29" w:rsidP="00E406D7">
            <w:pPr>
              <w:pStyle w:val="NoSpacing"/>
              <w:jc w:val="center"/>
              <w:rPr>
                <w:rFonts w:ascii="Times New Roman" w:hAnsi="Times New Roman" w:cs="Times New Roman"/>
                <w:sz w:val="28"/>
                <w:szCs w:val="28"/>
              </w:rPr>
            </w:pPr>
          </w:p>
        </w:tc>
        <w:tc>
          <w:tcPr>
            <w:tcW w:w="0" w:type="auto"/>
            <w:hideMark/>
          </w:tcPr>
          <w:p w14:paraId="46C5BF3D" w14:textId="77777777" w:rsidR="00670C29" w:rsidRPr="00583A28" w:rsidRDefault="00670C29" w:rsidP="00E406D7">
            <w:pPr>
              <w:pStyle w:val="NoSpacing"/>
              <w:jc w:val="center"/>
              <w:rPr>
                <w:rFonts w:ascii="Times New Roman" w:hAnsi="Times New Roman" w:cs="Times New Roman"/>
                <w:sz w:val="28"/>
                <w:szCs w:val="28"/>
              </w:rPr>
            </w:pPr>
          </w:p>
        </w:tc>
        <w:tc>
          <w:tcPr>
            <w:tcW w:w="0" w:type="auto"/>
            <w:hideMark/>
          </w:tcPr>
          <w:p w14:paraId="2B467010" w14:textId="77777777" w:rsidR="00670C29" w:rsidRPr="00583A28" w:rsidRDefault="00670C29" w:rsidP="00E406D7">
            <w:pPr>
              <w:pStyle w:val="NoSpacing"/>
              <w:jc w:val="center"/>
              <w:rPr>
                <w:rFonts w:ascii="Times New Roman" w:hAnsi="Times New Roman" w:cs="Times New Roman"/>
                <w:sz w:val="28"/>
                <w:szCs w:val="28"/>
              </w:rPr>
            </w:pPr>
          </w:p>
        </w:tc>
        <w:tc>
          <w:tcPr>
            <w:tcW w:w="0" w:type="auto"/>
            <w:hideMark/>
          </w:tcPr>
          <w:p w14:paraId="4845D4AD" w14:textId="77777777" w:rsidR="00670C29" w:rsidRPr="00583A28" w:rsidRDefault="00670C29" w:rsidP="00E406D7">
            <w:pPr>
              <w:pStyle w:val="NoSpacing"/>
              <w:jc w:val="center"/>
              <w:rPr>
                <w:rFonts w:ascii="Times New Roman" w:hAnsi="Times New Roman" w:cs="Times New Roman"/>
                <w:sz w:val="28"/>
                <w:szCs w:val="28"/>
              </w:rPr>
            </w:pPr>
          </w:p>
        </w:tc>
      </w:tr>
      <w:tr w:rsidR="00670C29" w:rsidRPr="00583A28" w14:paraId="611632C9" w14:textId="77777777" w:rsidTr="0087313D">
        <w:trPr>
          <w:trHeight w:val="170"/>
          <w:jc w:val="center"/>
        </w:trPr>
        <w:tc>
          <w:tcPr>
            <w:tcW w:w="4673" w:type="dxa"/>
            <w:hideMark/>
          </w:tcPr>
          <w:p w14:paraId="3440195B" w14:textId="77777777" w:rsidR="00670C29" w:rsidRPr="00583A28" w:rsidRDefault="00670C29" w:rsidP="00E406D7">
            <w:pPr>
              <w:pStyle w:val="NoSpacing"/>
              <w:ind w:left="720"/>
              <w:rPr>
                <w:rFonts w:ascii="Times New Roman" w:hAnsi="Times New Roman" w:cs="Times New Roman"/>
                <w:sz w:val="28"/>
                <w:szCs w:val="28"/>
              </w:rPr>
            </w:pPr>
            <w:r w:rsidRPr="00583A28">
              <w:rPr>
                <w:rFonts w:ascii="Times New Roman" w:hAnsi="Times New Roman" w:cs="Times New Roman"/>
                <w:sz w:val="28"/>
                <w:szCs w:val="28"/>
              </w:rPr>
              <w:t>Loans from Central Government</w:t>
            </w:r>
          </w:p>
        </w:tc>
        <w:tc>
          <w:tcPr>
            <w:tcW w:w="1227" w:type="dxa"/>
            <w:hideMark/>
          </w:tcPr>
          <w:p w14:paraId="1A1998DE" w14:textId="77777777" w:rsidR="00670C29" w:rsidRPr="00583A28" w:rsidRDefault="00670C29" w:rsidP="00E406D7">
            <w:pPr>
              <w:pStyle w:val="NoSpacing"/>
              <w:jc w:val="center"/>
              <w:rPr>
                <w:rFonts w:ascii="Times New Roman" w:hAnsi="Times New Roman" w:cs="Times New Roman"/>
                <w:sz w:val="28"/>
                <w:szCs w:val="28"/>
              </w:rPr>
            </w:pPr>
            <w:r w:rsidRPr="00583A28">
              <w:rPr>
                <w:rFonts w:ascii="Times New Roman" w:hAnsi="Times New Roman" w:cs="Times New Roman"/>
                <w:sz w:val="28"/>
                <w:szCs w:val="28"/>
              </w:rPr>
              <w:t>876·07</w:t>
            </w:r>
          </w:p>
        </w:tc>
        <w:tc>
          <w:tcPr>
            <w:tcW w:w="0" w:type="auto"/>
            <w:hideMark/>
          </w:tcPr>
          <w:p w14:paraId="630A4A33" w14:textId="77777777" w:rsidR="00670C29" w:rsidRPr="00583A28" w:rsidRDefault="00670C29" w:rsidP="00E406D7">
            <w:pPr>
              <w:pStyle w:val="NoSpacing"/>
              <w:jc w:val="center"/>
              <w:rPr>
                <w:rFonts w:ascii="Times New Roman" w:hAnsi="Times New Roman" w:cs="Times New Roman"/>
                <w:sz w:val="28"/>
                <w:szCs w:val="28"/>
              </w:rPr>
            </w:pPr>
            <w:r w:rsidRPr="00583A28">
              <w:rPr>
                <w:rFonts w:ascii="Times New Roman" w:hAnsi="Times New Roman" w:cs="Times New Roman"/>
                <w:sz w:val="28"/>
                <w:szCs w:val="28"/>
              </w:rPr>
              <w:t>2015·81</w:t>
            </w:r>
          </w:p>
        </w:tc>
        <w:tc>
          <w:tcPr>
            <w:tcW w:w="0" w:type="auto"/>
            <w:hideMark/>
          </w:tcPr>
          <w:p w14:paraId="1CCD604B" w14:textId="77777777" w:rsidR="00670C29" w:rsidRPr="00583A28" w:rsidRDefault="00670C29" w:rsidP="00E406D7">
            <w:pPr>
              <w:pStyle w:val="NoSpacing"/>
              <w:jc w:val="center"/>
              <w:rPr>
                <w:rFonts w:ascii="Times New Roman" w:hAnsi="Times New Roman" w:cs="Times New Roman"/>
                <w:sz w:val="28"/>
                <w:szCs w:val="28"/>
              </w:rPr>
            </w:pPr>
            <w:r w:rsidRPr="00583A28">
              <w:rPr>
                <w:rFonts w:ascii="Times New Roman" w:hAnsi="Times New Roman" w:cs="Times New Roman"/>
                <w:sz w:val="28"/>
                <w:szCs w:val="28"/>
              </w:rPr>
              <w:t>4100·92</w:t>
            </w:r>
          </w:p>
        </w:tc>
        <w:tc>
          <w:tcPr>
            <w:tcW w:w="0" w:type="auto"/>
            <w:hideMark/>
          </w:tcPr>
          <w:p w14:paraId="0DF3E7F4" w14:textId="77777777" w:rsidR="00670C29" w:rsidRPr="00583A28" w:rsidRDefault="00670C29" w:rsidP="00E406D7">
            <w:pPr>
              <w:pStyle w:val="NoSpacing"/>
              <w:jc w:val="center"/>
              <w:rPr>
                <w:rFonts w:ascii="Times New Roman" w:hAnsi="Times New Roman" w:cs="Times New Roman"/>
                <w:sz w:val="28"/>
                <w:szCs w:val="28"/>
              </w:rPr>
            </w:pPr>
            <w:r w:rsidRPr="00583A28">
              <w:rPr>
                <w:rFonts w:ascii="Times New Roman" w:hAnsi="Times New Roman" w:cs="Times New Roman"/>
                <w:sz w:val="28"/>
                <w:szCs w:val="28"/>
              </w:rPr>
              <w:t>5585·74</w:t>
            </w:r>
          </w:p>
        </w:tc>
      </w:tr>
      <w:tr w:rsidR="00670C29" w:rsidRPr="00583A28" w14:paraId="1ED4C9BF" w14:textId="77777777" w:rsidTr="0087313D">
        <w:trPr>
          <w:trHeight w:val="170"/>
          <w:jc w:val="center"/>
        </w:trPr>
        <w:tc>
          <w:tcPr>
            <w:tcW w:w="4673" w:type="dxa"/>
            <w:hideMark/>
          </w:tcPr>
          <w:p w14:paraId="2BA73D3C" w14:textId="77777777" w:rsidR="00670C29" w:rsidRPr="00583A28" w:rsidRDefault="00670C29" w:rsidP="00E406D7">
            <w:pPr>
              <w:pStyle w:val="NoSpacing"/>
              <w:ind w:left="720"/>
              <w:rPr>
                <w:rFonts w:ascii="Times New Roman" w:hAnsi="Times New Roman" w:cs="Times New Roman"/>
                <w:sz w:val="28"/>
                <w:szCs w:val="28"/>
              </w:rPr>
            </w:pPr>
            <w:r w:rsidRPr="00583A28">
              <w:rPr>
                <w:rFonts w:ascii="Times New Roman" w:hAnsi="Times New Roman" w:cs="Times New Roman"/>
                <w:sz w:val="28"/>
                <w:szCs w:val="28"/>
              </w:rPr>
              <w:t>Others</w:t>
            </w:r>
          </w:p>
        </w:tc>
        <w:tc>
          <w:tcPr>
            <w:tcW w:w="1227" w:type="dxa"/>
            <w:hideMark/>
          </w:tcPr>
          <w:p w14:paraId="49E4F612" w14:textId="77777777" w:rsidR="00670C29" w:rsidRPr="00583A28" w:rsidRDefault="00670C29" w:rsidP="00E406D7">
            <w:pPr>
              <w:pStyle w:val="NoSpacing"/>
              <w:jc w:val="center"/>
              <w:rPr>
                <w:rFonts w:ascii="Times New Roman" w:hAnsi="Times New Roman" w:cs="Times New Roman"/>
                <w:sz w:val="28"/>
                <w:szCs w:val="28"/>
              </w:rPr>
            </w:pPr>
            <w:r w:rsidRPr="00583A28">
              <w:rPr>
                <w:rFonts w:ascii="Times New Roman" w:hAnsi="Times New Roman" w:cs="Times New Roman"/>
                <w:sz w:val="28"/>
                <w:szCs w:val="28"/>
              </w:rPr>
              <w:t>272·68</w:t>
            </w:r>
          </w:p>
        </w:tc>
        <w:tc>
          <w:tcPr>
            <w:tcW w:w="0" w:type="auto"/>
            <w:hideMark/>
          </w:tcPr>
          <w:p w14:paraId="6FC0F11E" w14:textId="77777777" w:rsidR="00670C29" w:rsidRPr="00583A28" w:rsidRDefault="00670C29" w:rsidP="00E406D7">
            <w:pPr>
              <w:pStyle w:val="NoSpacing"/>
              <w:jc w:val="center"/>
              <w:rPr>
                <w:rFonts w:ascii="Times New Roman" w:hAnsi="Times New Roman" w:cs="Times New Roman"/>
                <w:sz w:val="28"/>
                <w:szCs w:val="28"/>
              </w:rPr>
            </w:pPr>
            <w:r w:rsidRPr="00583A28">
              <w:rPr>
                <w:rFonts w:ascii="Times New Roman" w:hAnsi="Times New Roman" w:cs="Times New Roman"/>
                <w:sz w:val="28"/>
                <w:szCs w:val="28"/>
              </w:rPr>
              <w:t>586·44</w:t>
            </w:r>
          </w:p>
        </w:tc>
        <w:tc>
          <w:tcPr>
            <w:tcW w:w="0" w:type="auto"/>
            <w:hideMark/>
          </w:tcPr>
          <w:p w14:paraId="57EF1145" w14:textId="77777777" w:rsidR="00670C29" w:rsidRPr="00583A28" w:rsidRDefault="00670C29" w:rsidP="00E406D7">
            <w:pPr>
              <w:pStyle w:val="NoSpacing"/>
              <w:jc w:val="center"/>
              <w:rPr>
                <w:rFonts w:ascii="Times New Roman" w:hAnsi="Times New Roman" w:cs="Times New Roman"/>
                <w:sz w:val="28"/>
                <w:szCs w:val="28"/>
              </w:rPr>
            </w:pPr>
            <w:r w:rsidRPr="00583A28">
              <w:rPr>
                <w:rFonts w:ascii="Times New Roman" w:hAnsi="Times New Roman" w:cs="Times New Roman"/>
                <w:sz w:val="28"/>
                <w:szCs w:val="28"/>
              </w:rPr>
              <w:t>1149·11</w:t>
            </w:r>
          </w:p>
        </w:tc>
        <w:tc>
          <w:tcPr>
            <w:tcW w:w="0" w:type="auto"/>
            <w:hideMark/>
          </w:tcPr>
          <w:p w14:paraId="09766A33" w14:textId="77777777" w:rsidR="00670C29" w:rsidRPr="00583A28" w:rsidRDefault="00670C29" w:rsidP="00E406D7">
            <w:pPr>
              <w:pStyle w:val="NoSpacing"/>
              <w:jc w:val="center"/>
              <w:rPr>
                <w:rFonts w:ascii="Times New Roman" w:hAnsi="Times New Roman" w:cs="Times New Roman"/>
                <w:sz w:val="28"/>
                <w:szCs w:val="28"/>
              </w:rPr>
            </w:pPr>
            <w:r w:rsidRPr="00583A28">
              <w:rPr>
                <w:rFonts w:ascii="Times New Roman" w:hAnsi="Times New Roman" w:cs="Times New Roman"/>
                <w:sz w:val="28"/>
                <w:szCs w:val="28"/>
              </w:rPr>
              <w:t>1338·07</w:t>
            </w:r>
          </w:p>
        </w:tc>
      </w:tr>
      <w:tr w:rsidR="00670C29" w:rsidRPr="00583A28" w14:paraId="59AB40D3" w14:textId="77777777" w:rsidTr="0087313D">
        <w:trPr>
          <w:trHeight w:val="170"/>
          <w:jc w:val="center"/>
        </w:trPr>
        <w:tc>
          <w:tcPr>
            <w:tcW w:w="4673" w:type="dxa"/>
            <w:hideMark/>
          </w:tcPr>
          <w:p w14:paraId="644C6619" w14:textId="77777777" w:rsidR="00670C29" w:rsidRPr="00E406D7" w:rsidRDefault="00670C29" w:rsidP="0032622F">
            <w:pPr>
              <w:pStyle w:val="NoSpacing"/>
              <w:rPr>
                <w:rFonts w:ascii="Times New Roman" w:hAnsi="Times New Roman" w:cs="Times New Roman"/>
                <w:sz w:val="28"/>
                <w:szCs w:val="28"/>
              </w:rPr>
            </w:pPr>
            <w:r w:rsidRPr="00E406D7">
              <w:rPr>
                <w:rFonts w:ascii="Times New Roman" w:hAnsi="Times New Roman" w:cs="Times New Roman"/>
                <w:sz w:val="28"/>
                <w:szCs w:val="28"/>
              </w:rPr>
              <w:lastRenderedPageBreak/>
              <w:t>TOTAL</w:t>
            </w:r>
          </w:p>
        </w:tc>
        <w:tc>
          <w:tcPr>
            <w:tcW w:w="1227" w:type="dxa"/>
            <w:hideMark/>
          </w:tcPr>
          <w:p w14:paraId="61F5B262" w14:textId="77777777" w:rsidR="00670C29" w:rsidRPr="00E406D7" w:rsidRDefault="00670C29" w:rsidP="00E406D7">
            <w:pPr>
              <w:pStyle w:val="NoSpacing"/>
              <w:jc w:val="center"/>
              <w:rPr>
                <w:rFonts w:ascii="Times New Roman" w:hAnsi="Times New Roman" w:cs="Times New Roman"/>
                <w:sz w:val="28"/>
                <w:szCs w:val="28"/>
              </w:rPr>
            </w:pPr>
            <w:r w:rsidRPr="00E406D7">
              <w:rPr>
                <w:rFonts w:ascii="Times New Roman" w:hAnsi="Times New Roman" w:cs="Times New Roman"/>
                <w:sz w:val="28"/>
                <w:szCs w:val="28"/>
              </w:rPr>
              <w:t>1148·75</w:t>
            </w:r>
          </w:p>
        </w:tc>
        <w:tc>
          <w:tcPr>
            <w:tcW w:w="0" w:type="auto"/>
            <w:hideMark/>
          </w:tcPr>
          <w:p w14:paraId="29C9499F" w14:textId="77777777" w:rsidR="00670C29" w:rsidRPr="00E406D7" w:rsidRDefault="00670C29" w:rsidP="00E406D7">
            <w:pPr>
              <w:pStyle w:val="NoSpacing"/>
              <w:jc w:val="center"/>
              <w:rPr>
                <w:rFonts w:ascii="Times New Roman" w:hAnsi="Times New Roman" w:cs="Times New Roman"/>
                <w:sz w:val="28"/>
                <w:szCs w:val="28"/>
              </w:rPr>
            </w:pPr>
            <w:r w:rsidRPr="00E406D7">
              <w:rPr>
                <w:rFonts w:ascii="Times New Roman" w:hAnsi="Times New Roman" w:cs="Times New Roman"/>
                <w:sz w:val="28"/>
                <w:szCs w:val="28"/>
              </w:rPr>
              <w:t>2602·25</w:t>
            </w:r>
          </w:p>
        </w:tc>
        <w:tc>
          <w:tcPr>
            <w:tcW w:w="0" w:type="auto"/>
            <w:hideMark/>
          </w:tcPr>
          <w:p w14:paraId="2A1A2172" w14:textId="77777777" w:rsidR="00670C29" w:rsidRPr="00E406D7" w:rsidRDefault="00670C29" w:rsidP="00E406D7">
            <w:pPr>
              <w:pStyle w:val="NoSpacing"/>
              <w:jc w:val="center"/>
              <w:rPr>
                <w:rFonts w:ascii="Times New Roman" w:hAnsi="Times New Roman" w:cs="Times New Roman"/>
                <w:sz w:val="28"/>
                <w:szCs w:val="28"/>
              </w:rPr>
            </w:pPr>
            <w:r w:rsidRPr="00E406D7">
              <w:rPr>
                <w:rFonts w:ascii="Times New Roman" w:hAnsi="Times New Roman" w:cs="Times New Roman"/>
                <w:sz w:val="28"/>
                <w:szCs w:val="28"/>
              </w:rPr>
              <w:t>5250·03</w:t>
            </w:r>
          </w:p>
        </w:tc>
        <w:tc>
          <w:tcPr>
            <w:tcW w:w="0" w:type="auto"/>
            <w:hideMark/>
          </w:tcPr>
          <w:p w14:paraId="4781CD3C" w14:textId="77777777" w:rsidR="00670C29" w:rsidRPr="00E406D7" w:rsidRDefault="00670C29" w:rsidP="00E406D7">
            <w:pPr>
              <w:pStyle w:val="NoSpacing"/>
              <w:jc w:val="center"/>
              <w:rPr>
                <w:rFonts w:ascii="Times New Roman" w:hAnsi="Times New Roman" w:cs="Times New Roman"/>
                <w:sz w:val="28"/>
                <w:szCs w:val="28"/>
              </w:rPr>
            </w:pPr>
            <w:r w:rsidRPr="00E406D7">
              <w:rPr>
                <w:rFonts w:ascii="Times New Roman" w:hAnsi="Times New Roman" w:cs="Times New Roman"/>
                <w:sz w:val="28"/>
                <w:szCs w:val="28"/>
              </w:rPr>
              <w:t>6923·81</w:t>
            </w:r>
          </w:p>
        </w:tc>
      </w:tr>
      <w:tr w:rsidR="00670C29" w:rsidRPr="00583A28" w14:paraId="75A6F7A5" w14:textId="77777777" w:rsidTr="0087313D">
        <w:trPr>
          <w:trHeight w:val="170"/>
          <w:jc w:val="center"/>
        </w:trPr>
        <w:tc>
          <w:tcPr>
            <w:tcW w:w="4673" w:type="dxa"/>
            <w:hideMark/>
          </w:tcPr>
          <w:p w14:paraId="19E2CA2D" w14:textId="47D7BB67" w:rsidR="00670C29" w:rsidRPr="00583A28" w:rsidRDefault="00670C29" w:rsidP="0032622F">
            <w:pPr>
              <w:pStyle w:val="NoSpacing"/>
              <w:rPr>
                <w:rFonts w:ascii="Times New Roman" w:hAnsi="Times New Roman" w:cs="Times New Roman"/>
                <w:sz w:val="28"/>
                <w:szCs w:val="28"/>
              </w:rPr>
            </w:pPr>
            <w:r w:rsidRPr="00583A28">
              <w:rPr>
                <w:rFonts w:ascii="Times New Roman" w:hAnsi="Times New Roman" w:cs="Times New Roman"/>
                <w:sz w:val="28"/>
                <w:szCs w:val="28"/>
              </w:rPr>
              <w:t xml:space="preserve">(B) Unfunded debt </w:t>
            </w:r>
          </w:p>
        </w:tc>
        <w:tc>
          <w:tcPr>
            <w:tcW w:w="1227" w:type="dxa"/>
            <w:hideMark/>
          </w:tcPr>
          <w:p w14:paraId="2C72ECED" w14:textId="77777777" w:rsidR="00670C29" w:rsidRPr="00583A28" w:rsidRDefault="00670C29" w:rsidP="00E406D7">
            <w:pPr>
              <w:pStyle w:val="NoSpacing"/>
              <w:jc w:val="center"/>
              <w:rPr>
                <w:rFonts w:ascii="Times New Roman" w:hAnsi="Times New Roman" w:cs="Times New Roman"/>
                <w:sz w:val="28"/>
                <w:szCs w:val="28"/>
              </w:rPr>
            </w:pPr>
            <w:r w:rsidRPr="00583A28">
              <w:rPr>
                <w:rFonts w:ascii="Times New Roman" w:hAnsi="Times New Roman" w:cs="Times New Roman"/>
                <w:sz w:val="28"/>
                <w:szCs w:val="28"/>
              </w:rPr>
              <w:t>83·19</w:t>
            </w:r>
          </w:p>
        </w:tc>
        <w:tc>
          <w:tcPr>
            <w:tcW w:w="0" w:type="auto"/>
            <w:hideMark/>
          </w:tcPr>
          <w:p w14:paraId="4FF80C00" w14:textId="77777777" w:rsidR="00670C29" w:rsidRPr="00583A28" w:rsidRDefault="00670C29" w:rsidP="00E406D7">
            <w:pPr>
              <w:pStyle w:val="NoSpacing"/>
              <w:jc w:val="center"/>
              <w:rPr>
                <w:rFonts w:ascii="Times New Roman" w:hAnsi="Times New Roman" w:cs="Times New Roman"/>
                <w:sz w:val="28"/>
                <w:szCs w:val="28"/>
              </w:rPr>
            </w:pPr>
            <w:r w:rsidRPr="00583A28">
              <w:rPr>
                <w:rFonts w:ascii="Times New Roman" w:hAnsi="Times New Roman" w:cs="Times New Roman"/>
                <w:sz w:val="28"/>
                <w:szCs w:val="28"/>
              </w:rPr>
              <w:t>134·93</w:t>
            </w:r>
          </w:p>
        </w:tc>
        <w:tc>
          <w:tcPr>
            <w:tcW w:w="0" w:type="auto"/>
            <w:hideMark/>
          </w:tcPr>
          <w:p w14:paraId="79F135E9" w14:textId="77777777" w:rsidR="00670C29" w:rsidRPr="00583A28" w:rsidRDefault="00670C29" w:rsidP="00E406D7">
            <w:pPr>
              <w:pStyle w:val="NoSpacing"/>
              <w:jc w:val="center"/>
              <w:rPr>
                <w:rFonts w:ascii="Times New Roman" w:hAnsi="Times New Roman" w:cs="Times New Roman"/>
                <w:sz w:val="28"/>
                <w:szCs w:val="28"/>
              </w:rPr>
            </w:pPr>
            <w:r w:rsidRPr="00583A28">
              <w:rPr>
                <w:rFonts w:ascii="Times New Roman" w:hAnsi="Times New Roman" w:cs="Times New Roman"/>
                <w:sz w:val="28"/>
                <w:szCs w:val="28"/>
              </w:rPr>
              <w:t>194·82</w:t>
            </w:r>
          </w:p>
        </w:tc>
        <w:tc>
          <w:tcPr>
            <w:tcW w:w="0" w:type="auto"/>
            <w:hideMark/>
          </w:tcPr>
          <w:p w14:paraId="35AE2AA6" w14:textId="77777777" w:rsidR="00670C29" w:rsidRPr="00583A28" w:rsidRDefault="00670C29" w:rsidP="00E406D7">
            <w:pPr>
              <w:pStyle w:val="NoSpacing"/>
              <w:jc w:val="center"/>
              <w:rPr>
                <w:rFonts w:ascii="Times New Roman" w:hAnsi="Times New Roman" w:cs="Times New Roman"/>
                <w:sz w:val="28"/>
                <w:szCs w:val="28"/>
              </w:rPr>
            </w:pPr>
            <w:r w:rsidRPr="00583A28">
              <w:rPr>
                <w:rFonts w:ascii="Times New Roman" w:hAnsi="Times New Roman" w:cs="Times New Roman"/>
                <w:sz w:val="28"/>
                <w:szCs w:val="28"/>
              </w:rPr>
              <w:t>305·07</w:t>
            </w:r>
          </w:p>
        </w:tc>
      </w:tr>
      <w:tr w:rsidR="00670C29" w:rsidRPr="00583A28" w14:paraId="622A311C" w14:textId="77777777" w:rsidTr="0087313D">
        <w:trPr>
          <w:trHeight w:val="170"/>
          <w:jc w:val="center"/>
        </w:trPr>
        <w:tc>
          <w:tcPr>
            <w:tcW w:w="4673" w:type="dxa"/>
            <w:hideMark/>
          </w:tcPr>
          <w:p w14:paraId="217770E0" w14:textId="77777777" w:rsidR="00670C29" w:rsidRPr="00583A28" w:rsidRDefault="00670C29" w:rsidP="00E406D7">
            <w:pPr>
              <w:pStyle w:val="NoSpacing"/>
              <w:ind w:left="720"/>
              <w:rPr>
                <w:rFonts w:ascii="Times New Roman" w:hAnsi="Times New Roman" w:cs="Times New Roman"/>
                <w:sz w:val="28"/>
                <w:szCs w:val="28"/>
              </w:rPr>
            </w:pPr>
            <w:r w:rsidRPr="00583A28">
              <w:rPr>
                <w:rFonts w:ascii="Times New Roman" w:hAnsi="Times New Roman" w:cs="Times New Roman"/>
                <w:sz w:val="28"/>
                <w:szCs w:val="28"/>
              </w:rPr>
              <w:t>Interest payments by States during the year</w:t>
            </w:r>
          </w:p>
        </w:tc>
        <w:tc>
          <w:tcPr>
            <w:tcW w:w="1227" w:type="dxa"/>
            <w:hideMark/>
          </w:tcPr>
          <w:p w14:paraId="7E3205A2" w14:textId="77777777" w:rsidR="00670C29" w:rsidRPr="00583A28" w:rsidRDefault="00670C29" w:rsidP="00E406D7">
            <w:pPr>
              <w:pStyle w:val="NoSpacing"/>
              <w:jc w:val="center"/>
              <w:rPr>
                <w:rFonts w:ascii="Times New Roman" w:hAnsi="Times New Roman" w:cs="Times New Roman"/>
                <w:sz w:val="28"/>
                <w:szCs w:val="28"/>
              </w:rPr>
            </w:pPr>
            <w:r w:rsidRPr="00583A28">
              <w:rPr>
                <w:rFonts w:ascii="Times New Roman" w:hAnsi="Times New Roman" w:cs="Times New Roman"/>
                <w:sz w:val="28"/>
                <w:szCs w:val="28"/>
              </w:rPr>
              <w:t>322·98</w:t>
            </w:r>
          </w:p>
        </w:tc>
        <w:tc>
          <w:tcPr>
            <w:tcW w:w="0" w:type="auto"/>
            <w:hideMark/>
          </w:tcPr>
          <w:p w14:paraId="600F03E6" w14:textId="77777777" w:rsidR="00670C29" w:rsidRPr="00583A28" w:rsidRDefault="00670C29" w:rsidP="00E406D7">
            <w:pPr>
              <w:pStyle w:val="NoSpacing"/>
              <w:jc w:val="center"/>
              <w:rPr>
                <w:rFonts w:ascii="Times New Roman" w:hAnsi="Times New Roman" w:cs="Times New Roman"/>
                <w:sz w:val="28"/>
                <w:szCs w:val="28"/>
              </w:rPr>
            </w:pPr>
            <w:r w:rsidRPr="00583A28">
              <w:rPr>
                <w:rFonts w:ascii="Times New Roman" w:hAnsi="Times New Roman" w:cs="Times New Roman"/>
                <w:sz w:val="28"/>
                <w:szCs w:val="28"/>
              </w:rPr>
              <w:t>86·73</w:t>
            </w:r>
          </w:p>
        </w:tc>
        <w:tc>
          <w:tcPr>
            <w:tcW w:w="0" w:type="auto"/>
            <w:hideMark/>
          </w:tcPr>
          <w:p w14:paraId="3B1565B2" w14:textId="77777777" w:rsidR="00670C29" w:rsidRPr="00583A28" w:rsidRDefault="00670C29" w:rsidP="00E406D7">
            <w:pPr>
              <w:pStyle w:val="NoSpacing"/>
              <w:jc w:val="center"/>
              <w:rPr>
                <w:rFonts w:ascii="Times New Roman" w:hAnsi="Times New Roman" w:cs="Times New Roman"/>
                <w:sz w:val="28"/>
                <w:szCs w:val="28"/>
              </w:rPr>
            </w:pPr>
            <w:r w:rsidRPr="00583A28">
              <w:rPr>
                <w:rFonts w:ascii="Times New Roman" w:hAnsi="Times New Roman" w:cs="Times New Roman"/>
                <w:sz w:val="28"/>
                <w:szCs w:val="28"/>
              </w:rPr>
              <w:t>207·20</w:t>
            </w:r>
          </w:p>
        </w:tc>
        <w:tc>
          <w:tcPr>
            <w:tcW w:w="0" w:type="auto"/>
            <w:hideMark/>
          </w:tcPr>
          <w:p w14:paraId="3EEB4105" w14:textId="77777777" w:rsidR="00670C29" w:rsidRPr="00583A28" w:rsidRDefault="00670C29" w:rsidP="00E406D7">
            <w:pPr>
              <w:pStyle w:val="NoSpacing"/>
              <w:jc w:val="center"/>
              <w:rPr>
                <w:rFonts w:ascii="Times New Roman" w:hAnsi="Times New Roman" w:cs="Times New Roman"/>
                <w:sz w:val="28"/>
                <w:szCs w:val="28"/>
              </w:rPr>
            </w:pPr>
            <w:r w:rsidRPr="00583A28">
              <w:rPr>
                <w:rFonts w:ascii="Times New Roman" w:hAnsi="Times New Roman" w:cs="Times New Roman"/>
                <w:sz w:val="28"/>
                <w:szCs w:val="28"/>
              </w:rPr>
              <w:t>339·08</w:t>
            </w:r>
          </w:p>
        </w:tc>
      </w:tr>
    </w:tbl>
    <w:p w14:paraId="310C5EB6" w14:textId="77777777" w:rsidR="00670C29" w:rsidRPr="007245B0" w:rsidRDefault="00670C29" w:rsidP="00FF13CC">
      <w:pPr>
        <w:spacing w:line="310" w:lineRule="exact"/>
        <w:jc w:val="both"/>
        <w:rPr>
          <w:rFonts w:ascii="Times New Roman" w:hAnsi="Times New Roman" w:cs="Times New Roman"/>
        </w:rPr>
      </w:pPr>
    </w:p>
    <w:p w14:paraId="5A6D0C63" w14:textId="72DB2E02" w:rsidR="00670C29" w:rsidRPr="007245B0" w:rsidRDefault="00670C29" w:rsidP="00FF13CC">
      <w:pPr>
        <w:pStyle w:val="Heading3"/>
        <w:spacing w:line="310" w:lineRule="exact"/>
      </w:pPr>
      <w:r w:rsidRPr="007245B0">
        <w:t>The Second and Third Finance Commissions were of the view that it is not necessary to provide for amortisation of debts from revenue when such provision has to come out of devolution or grants under Article 275. The Fourth Finance Commission, however, took the view that the amortisation of market borrowing of the State Governments must form part of their revenue liabilities. It considered that the question of including provision for amortisation of loans in the revenue requirements of the States was not affected by the source from which the revenues of the State are derived, whether levied and collected by them or accruing to them by way of devolution of taxes or grants under Article 275. That Commission provided for amortisation of market borrowings of the State Governments to the extent of the provision made by them in accordance with their budgetary practices. The Government of India have recently extended to other States, which were not making such provision, the benefit of an equivalent amount for conversion of their Plan loans into grants, in order to remove the disparity between the States resulting from the procedure adopted by the Fourth Finance Commission.</w:t>
      </w:r>
    </w:p>
    <w:p w14:paraId="45196537" w14:textId="27324247" w:rsidR="00497099" w:rsidRPr="007245B0" w:rsidRDefault="00670C29" w:rsidP="00FF13CC">
      <w:pPr>
        <w:pStyle w:val="Heading3"/>
        <w:spacing w:line="310" w:lineRule="exact"/>
      </w:pPr>
      <w:r w:rsidRPr="007245B0">
        <w:t>The State Governments have in their forecasts submitted to us asked a total provision of Rs. 1,222 crores for amortisation of all their existing market loans as well a large part of their Central and other loans and also their fresh borrowings during the five-year period. The Chairman and one of our Members (Shri G. Swaminathan) are of the view that it would not be appropriate to allow any provision for the amortisation of debt as a liability on the revenue account of the States for the purpose of determining their need for</w:t>
      </w:r>
      <w:r w:rsidR="00D85A1C" w:rsidRPr="007245B0">
        <w:t xml:space="preserve"> assistance under Article 275 of the Constitution. This is in accordance with the view expressed by the Second and the Third Finance Commissions. Their view is that the Centre should not be called upon to make an addition to the grants paid to the States to enable them to amortise from revenue any portion of their borrowings. States which have genuine revenue surpluses would, however, be free to make such provision for amortisation as they consider possible. Although the Fourth Finance Commission made a departure and allowed some amortisation provision in accordance with the then existing practices followed by the States and the Government of India also granted further amounts to certain States where the provision taken into account by that Commission was inadequate, there is no reason why the Centre should give grants to States to enable them to repay their loans. It would be for the States themselves to raise adequate resources in order to meet amortisation charges and if this is not found practicable to repay their loans out of fresh borrowings. Apart from this, any scheme of </w:t>
      </w:r>
      <w:r w:rsidR="00D85A1C" w:rsidRPr="007245B0">
        <w:lastRenderedPageBreak/>
        <w:t>amortisation confined to market loans will confer a greater benefit on the more advanced States which are in a better position to borrow from the open market.</w:t>
      </w:r>
    </w:p>
    <w:p w14:paraId="052F166D" w14:textId="773936EC" w:rsidR="00D85A1C" w:rsidRPr="007245B0" w:rsidRDefault="00D85A1C" w:rsidP="00FF13CC">
      <w:pPr>
        <w:pStyle w:val="Heading3"/>
        <w:spacing w:line="310" w:lineRule="exact"/>
      </w:pPr>
      <w:r w:rsidRPr="007245B0">
        <w:t>It is no doubt desirable that such capital outlay as has been incurred on non-revenue-yielding assets should be written off to revenue over a suitable period of years, but the Finance Commission as such is not in a position to assess the extent to which the capital outlay should be treated as wholly unproductive. This examination should be entrusted to an expert Committee with which a representative of the Comptroller and Auditor-General of India should preferably be associated. It is desirable that such an examination is initiated by the Government of India as early as possible and suitable criteria laid down for future guidance. Pending such an examination the Chairman and Shri Swaminathan are of the view that it would be unnecessary to include any provision for amortisation in determining the grants-in-aid to be paid to the States. They are not in favour of the Commission themselves making a provision for amortisation or for writing off unproductive capital expenditure on an </w:t>
      </w:r>
      <w:r w:rsidRPr="007245B0">
        <w:rPr>
          <w:i/>
          <w:iCs/>
        </w:rPr>
        <w:t>ad hoc</w:t>
      </w:r>
      <w:r w:rsidRPr="007245B0">
        <w:t> basis, as this will not cover the entire amount of such expenditure and cannot solve the problem.</w:t>
      </w:r>
    </w:p>
    <w:p w14:paraId="1EA9B76D" w14:textId="2437C702" w:rsidR="00D85A1C" w:rsidRPr="007245B0" w:rsidRDefault="00D85A1C" w:rsidP="00FF13CC">
      <w:pPr>
        <w:pStyle w:val="Heading3"/>
        <w:spacing w:line="310" w:lineRule="exact"/>
      </w:pPr>
      <w:r w:rsidRPr="007245B0">
        <w:t>The remaining three Members of the Commission do not agree with the views expressed on this question by the Chairman and Shri Swaminathan. The view taken by these three members and their recommendations in this regard are as indicated in the following paragraphs.</w:t>
      </w:r>
    </w:p>
    <w:p w14:paraId="6FEE8545" w14:textId="0E548F39" w:rsidR="00D85A1C" w:rsidRPr="007245B0" w:rsidRDefault="00D85A1C" w:rsidP="00FF13CC">
      <w:pPr>
        <w:pStyle w:val="Heading3"/>
        <w:spacing w:line="310" w:lineRule="exact"/>
      </w:pPr>
      <w:r w:rsidRPr="007245B0">
        <w:t xml:space="preserve">After careful consideration of the views expressed on this question by the Second and Third Finance Commissions, they are of opinion that though the amounts of devolutions and grants under Article 275 are transferred to the States from the Union under relevant orders of the President or relevant legislation of Parliament, they are as much a part of their own resources as the revenue derived by them under their powers of taxation and from other sources available to them. The devolution of taxes and statutory grants has been incorporated in the Constitution as a part of the scheme of distribution of revenues between the Union and the States. They are, therefore, in agreement with the view taken by the Fourth Finance Commission that the question of provision for amortisation of loans is not affected by the sources from which the revenues of the States are derived, whether levied and collected by them or accruing to them by devolution of taxes or grants under Article 275. They consider, however, that the provision for amortisation should be more properly related to the purpose for which loan funds are utilised, rather than the source from which the loans have been obtained. Apart from the normal use of borrowed funds by States for making loans and advances to other parties and for capital outlay on departmental commercial schemes and investment in corporations, Electricity Boards, etc., the States have also to find funds for their capital expenditure of non-revenue-yielding nature. They consider that when sufficient surpluses on revenue account are not available, there can be no objection to the use of borrowed funds for this purpose to a limited extent having regard to the annual revenues of the States. It is for this reason that the Commission has provided for interest on only a part of that portion of the existing debt which is not covered by loans and advances given by the </w:t>
      </w:r>
      <w:r w:rsidRPr="007245B0">
        <w:lastRenderedPageBreak/>
        <w:t>State Governments and their productive capital expenditure and investments. On the same basis, the Commission has also provided for interest on a suitable amount of fresh borrowings in the next five years as explained in paragraph 6.36 above. They are, therefore, of opinion that provision should be made for amortisation, or repayment from revenue, of existing debt not covered by such revenue-yielding investments and loans, and of fresh borrowings utilised for such purpose. They have accordingly decided to include necessary provision for this purpose in assessing the revenue requirements of the States. In doing so, they have limited the amount of existing debt to be amortised to fifteen times the annual provision for the five-year period which the Commission has assumed for such loans and they have calculated the amounts required on the basis of amortisation over a period of 20 years in each case. They have also taken care to see that in cases where the total amount of productive investments and loans of a State is less than the amount of its Central debt (excluding </w:t>
      </w:r>
      <w:r w:rsidRPr="007245B0">
        <w:rPr>
          <w:i/>
          <w:iCs/>
        </w:rPr>
        <w:t>ad hoc</w:t>
      </w:r>
      <w:r w:rsidRPr="007245B0">
        <w:t> loans), the balance of the Central debt is also excluded from the remaining unproductive debt, so that the provision made by them should not involve the repayment or amortisation of any part of the Central debt of the States.</w:t>
      </w:r>
    </w:p>
    <w:p w14:paraId="74612E7C" w14:textId="5B38EA66" w:rsidR="00D85A1C" w:rsidRPr="007245B0" w:rsidRDefault="00D85A1C" w:rsidP="00E406D7">
      <w:pPr>
        <w:pStyle w:val="Heading3"/>
        <w:keepNext w:val="0"/>
        <w:spacing w:line="310" w:lineRule="exact"/>
      </w:pPr>
      <w:r w:rsidRPr="007245B0">
        <w:t>While they have made only a limited provision for the amortisation of loans used for non-revenue-yielding purposes, they wish to emphasise that it would be desirable for the States, in the interest of improving their finances, to make larger provision for amortisation of their loans to the maximum extent possible, having regard to their revenue position, and that the amounts so provided in their budgets should be either used for repayment of the loans or be earmarked and kept invested separately from their cash balances so that the moneys become available for meeting their liability for repayment in due course.</w:t>
      </w:r>
    </w:p>
    <w:p w14:paraId="1DC57E9B" w14:textId="59B0AD45" w:rsidR="00FF13CC" w:rsidRPr="00E406D7" w:rsidRDefault="00D85A1C" w:rsidP="00E406D7">
      <w:pPr>
        <w:pStyle w:val="Heading3"/>
        <w:keepNext w:val="0"/>
        <w:spacing w:line="310" w:lineRule="exact"/>
      </w:pPr>
      <w:r w:rsidRPr="007245B0">
        <w:t>The amounts included as provision for amortisation or repayment of debt, including fresh borrowings in the five-year period, in the assessment of the revenue requirements of the States in accordance with the view taken by the majority of the members of the Commission, are as given below:</w:t>
      </w:r>
    </w:p>
    <w:p w14:paraId="18DFCD5E" w14:textId="19B05BFB" w:rsidR="00D85A1C" w:rsidRPr="00E406D7" w:rsidRDefault="00D85A1C" w:rsidP="00E406D7">
      <w:pPr>
        <w:jc w:val="center"/>
        <w:rPr>
          <w:rFonts w:ascii="Times New Roman" w:hAnsi="Times New Roman" w:cs="Times New Roman"/>
          <w:sz w:val="28"/>
          <w:szCs w:val="28"/>
        </w:rPr>
      </w:pPr>
      <w:r w:rsidRPr="00E406D7">
        <w:rPr>
          <w:rFonts w:ascii="Times New Roman" w:hAnsi="Times New Roman" w:cs="Times New Roman"/>
          <w:i/>
          <w:iCs/>
          <w:sz w:val="28"/>
          <w:szCs w:val="28"/>
        </w:rPr>
        <w:t>Provision for amortisation</w:t>
      </w:r>
    </w:p>
    <w:p w14:paraId="1716A445" w14:textId="22FF42A5" w:rsidR="00E45B90" w:rsidRPr="00E406D7" w:rsidRDefault="00D85A1C" w:rsidP="00E406D7">
      <w:pPr>
        <w:jc w:val="right"/>
        <w:rPr>
          <w:rFonts w:ascii="Times New Roman" w:hAnsi="Times New Roman" w:cs="Times New Roman"/>
          <w:i/>
          <w:iCs/>
          <w:szCs w:val="24"/>
        </w:rPr>
      </w:pPr>
      <w:r w:rsidRPr="00E406D7">
        <w:rPr>
          <w:rFonts w:ascii="Times New Roman" w:hAnsi="Times New Roman" w:cs="Times New Roman"/>
          <w:i/>
          <w:iCs/>
          <w:szCs w:val="24"/>
        </w:rPr>
        <w:t>(Rs. crores)</w:t>
      </w:r>
    </w:p>
    <w:tbl>
      <w:tblPr>
        <w:tblStyle w:val="TableGrid"/>
        <w:tblW w:w="5754" w:type="dxa"/>
        <w:jc w:val="center"/>
        <w:tblLook w:val="04A0" w:firstRow="1" w:lastRow="0" w:firstColumn="1" w:lastColumn="0" w:noHBand="0" w:noVBand="1"/>
      </w:tblPr>
      <w:tblGrid>
        <w:gridCol w:w="3811"/>
        <w:gridCol w:w="1943"/>
      </w:tblGrid>
      <w:tr w:rsidR="00D85A1C" w:rsidRPr="00FF13CC" w14:paraId="742CF0B6" w14:textId="77777777" w:rsidTr="00FF13CC">
        <w:trPr>
          <w:trHeight w:val="20"/>
          <w:jc w:val="center"/>
        </w:trPr>
        <w:tc>
          <w:tcPr>
            <w:tcW w:w="0" w:type="auto"/>
            <w:hideMark/>
          </w:tcPr>
          <w:p w14:paraId="00990C90" w14:textId="77777777" w:rsidR="00D85A1C" w:rsidRPr="00E406D7" w:rsidRDefault="00D85A1C" w:rsidP="00E406D7">
            <w:pPr>
              <w:pStyle w:val="NoSpacing"/>
              <w:rPr>
                <w:rFonts w:ascii="Times New Roman" w:hAnsi="Times New Roman" w:cs="Times New Roman"/>
                <w:b/>
                <w:bCs/>
                <w:sz w:val="28"/>
                <w:szCs w:val="28"/>
              </w:rPr>
            </w:pPr>
            <w:r w:rsidRPr="00E406D7">
              <w:rPr>
                <w:rFonts w:ascii="Times New Roman" w:hAnsi="Times New Roman" w:cs="Times New Roman"/>
                <w:b/>
                <w:bCs/>
                <w:sz w:val="28"/>
                <w:szCs w:val="28"/>
              </w:rPr>
              <w:t>State</w:t>
            </w:r>
          </w:p>
        </w:tc>
        <w:tc>
          <w:tcPr>
            <w:tcW w:w="0" w:type="auto"/>
            <w:vAlign w:val="center"/>
            <w:hideMark/>
          </w:tcPr>
          <w:p w14:paraId="0A838FB6" w14:textId="77777777" w:rsidR="00D85A1C" w:rsidRPr="00E406D7" w:rsidRDefault="00D85A1C" w:rsidP="00E406D7">
            <w:pPr>
              <w:pStyle w:val="NoSpacing"/>
              <w:jc w:val="center"/>
              <w:rPr>
                <w:rFonts w:ascii="Times New Roman" w:hAnsi="Times New Roman" w:cs="Times New Roman"/>
                <w:b/>
                <w:bCs/>
                <w:sz w:val="28"/>
                <w:szCs w:val="28"/>
              </w:rPr>
            </w:pPr>
            <w:r w:rsidRPr="00E406D7">
              <w:rPr>
                <w:rFonts w:ascii="Times New Roman" w:hAnsi="Times New Roman" w:cs="Times New Roman"/>
                <w:b/>
                <w:bCs/>
                <w:sz w:val="28"/>
                <w:szCs w:val="28"/>
              </w:rPr>
              <w:t>Amount</w:t>
            </w:r>
          </w:p>
        </w:tc>
      </w:tr>
      <w:tr w:rsidR="00D85A1C" w:rsidRPr="00FF13CC" w14:paraId="29CEA3D2" w14:textId="77777777" w:rsidTr="00FF13CC">
        <w:trPr>
          <w:trHeight w:val="20"/>
          <w:jc w:val="center"/>
        </w:trPr>
        <w:tc>
          <w:tcPr>
            <w:tcW w:w="0" w:type="auto"/>
            <w:hideMark/>
          </w:tcPr>
          <w:p w14:paraId="7B1B7947" w14:textId="77777777" w:rsidR="00D85A1C" w:rsidRPr="00FF13CC" w:rsidRDefault="00D85A1C" w:rsidP="00E406D7">
            <w:pPr>
              <w:pStyle w:val="NoSpacing"/>
              <w:rPr>
                <w:rFonts w:ascii="Times New Roman" w:hAnsi="Times New Roman" w:cs="Times New Roman"/>
                <w:sz w:val="28"/>
                <w:szCs w:val="28"/>
              </w:rPr>
            </w:pPr>
            <w:r w:rsidRPr="00FF13CC">
              <w:rPr>
                <w:rFonts w:ascii="Times New Roman" w:hAnsi="Times New Roman" w:cs="Times New Roman"/>
                <w:sz w:val="28"/>
                <w:szCs w:val="28"/>
              </w:rPr>
              <w:t>Andhra Pradesh</w:t>
            </w:r>
          </w:p>
        </w:tc>
        <w:tc>
          <w:tcPr>
            <w:tcW w:w="0" w:type="auto"/>
            <w:vAlign w:val="center"/>
            <w:hideMark/>
          </w:tcPr>
          <w:p w14:paraId="68088476" w14:textId="77777777" w:rsidR="00D85A1C" w:rsidRPr="00FF13CC" w:rsidRDefault="00D85A1C" w:rsidP="00E406D7">
            <w:pPr>
              <w:pStyle w:val="NoSpacing"/>
              <w:jc w:val="center"/>
              <w:rPr>
                <w:rFonts w:ascii="Times New Roman" w:hAnsi="Times New Roman" w:cs="Times New Roman"/>
                <w:sz w:val="28"/>
                <w:szCs w:val="28"/>
              </w:rPr>
            </w:pPr>
            <w:r w:rsidRPr="00FF13CC">
              <w:rPr>
                <w:rFonts w:ascii="Times New Roman" w:hAnsi="Times New Roman" w:cs="Times New Roman"/>
                <w:sz w:val="28"/>
                <w:szCs w:val="28"/>
              </w:rPr>
              <w:t>1·20</w:t>
            </w:r>
          </w:p>
        </w:tc>
      </w:tr>
      <w:tr w:rsidR="00D85A1C" w:rsidRPr="00FF13CC" w14:paraId="776D9D0D" w14:textId="77777777" w:rsidTr="00FF13CC">
        <w:trPr>
          <w:trHeight w:val="20"/>
          <w:jc w:val="center"/>
        </w:trPr>
        <w:tc>
          <w:tcPr>
            <w:tcW w:w="0" w:type="auto"/>
            <w:hideMark/>
          </w:tcPr>
          <w:p w14:paraId="776F79EA" w14:textId="77777777" w:rsidR="00D85A1C" w:rsidRPr="00FF13CC" w:rsidRDefault="00D85A1C" w:rsidP="00E406D7">
            <w:pPr>
              <w:pStyle w:val="NoSpacing"/>
              <w:rPr>
                <w:rFonts w:ascii="Times New Roman" w:hAnsi="Times New Roman" w:cs="Times New Roman"/>
                <w:sz w:val="28"/>
                <w:szCs w:val="28"/>
              </w:rPr>
            </w:pPr>
            <w:r w:rsidRPr="00FF13CC">
              <w:rPr>
                <w:rFonts w:ascii="Times New Roman" w:hAnsi="Times New Roman" w:cs="Times New Roman"/>
                <w:sz w:val="28"/>
                <w:szCs w:val="28"/>
              </w:rPr>
              <w:t>Assam</w:t>
            </w:r>
          </w:p>
        </w:tc>
        <w:tc>
          <w:tcPr>
            <w:tcW w:w="0" w:type="auto"/>
            <w:vAlign w:val="center"/>
            <w:hideMark/>
          </w:tcPr>
          <w:p w14:paraId="0AA502EB" w14:textId="77777777" w:rsidR="00D85A1C" w:rsidRPr="00FF13CC" w:rsidRDefault="00D85A1C" w:rsidP="00E406D7">
            <w:pPr>
              <w:pStyle w:val="NoSpacing"/>
              <w:jc w:val="center"/>
              <w:rPr>
                <w:rFonts w:ascii="Times New Roman" w:hAnsi="Times New Roman" w:cs="Times New Roman"/>
                <w:sz w:val="28"/>
                <w:szCs w:val="28"/>
              </w:rPr>
            </w:pPr>
            <w:r w:rsidRPr="00FF13CC">
              <w:rPr>
                <w:rFonts w:ascii="Times New Roman" w:hAnsi="Times New Roman" w:cs="Times New Roman"/>
                <w:sz w:val="28"/>
                <w:szCs w:val="28"/>
              </w:rPr>
              <w:t>3·34</w:t>
            </w:r>
          </w:p>
        </w:tc>
      </w:tr>
      <w:tr w:rsidR="00D85A1C" w:rsidRPr="00FF13CC" w14:paraId="07FB267F" w14:textId="77777777" w:rsidTr="00FF13CC">
        <w:trPr>
          <w:trHeight w:val="20"/>
          <w:jc w:val="center"/>
        </w:trPr>
        <w:tc>
          <w:tcPr>
            <w:tcW w:w="0" w:type="auto"/>
            <w:hideMark/>
          </w:tcPr>
          <w:p w14:paraId="432EF7F4" w14:textId="77777777" w:rsidR="00D85A1C" w:rsidRPr="00FF13CC" w:rsidRDefault="00D85A1C" w:rsidP="00E406D7">
            <w:pPr>
              <w:pStyle w:val="NoSpacing"/>
              <w:rPr>
                <w:rFonts w:ascii="Times New Roman" w:hAnsi="Times New Roman" w:cs="Times New Roman"/>
                <w:sz w:val="28"/>
                <w:szCs w:val="28"/>
              </w:rPr>
            </w:pPr>
            <w:r w:rsidRPr="00FF13CC">
              <w:rPr>
                <w:rFonts w:ascii="Times New Roman" w:hAnsi="Times New Roman" w:cs="Times New Roman"/>
                <w:sz w:val="28"/>
                <w:szCs w:val="28"/>
              </w:rPr>
              <w:t>Bihar</w:t>
            </w:r>
          </w:p>
        </w:tc>
        <w:tc>
          <w:tcPr>
            <w:tcW w:w="0" w:type="auto"/>
            <w:vAlign w:val="center"/>
            <w:hideMark/>
          </w:tcPr>
          <w:p w14:paraId="7BEB2BC5" w14:textId="77777777" w:rsidR="00D85A1C" w:rsidRPr="00FF13CC" w:rsidRDefault="00D85A1C" w:rsidP="00E406D7">
            <w:pPr>
              <w:pStyle w:val="NoSpacing"/>
              <w:jc w:val="center"/>
              <w:rPr>
                <w:rFonts w:ascii="Times New Roman" w:hAnsi="Times New Roman" w:cs="Times New Roman"/>
                <w:sz w:val="28"/>
                <w:szCs w:val="28"/>
              </w:rPr>
            </w:pPr>
            <w:r w:rsidRPr="00FF13CC">
              <w:rPr>
                <w:rFonts w:ascii="Times New Roman" w:hAnsi="Times New Roman" w:cs="Times New Roman"/>
                <w:sz w:val="28"/>
                <w:szCs w:val="28"/>
              </w:rPr>
              <w:t>12·02</w:t>
            </w:r>
          </w:p>
        </w:tc>
      </w:tr>
      <w:tr w:rsidR="00D85A1C" w:rsidRPr="00FF13CC" w14:paraId="6595E3E4" w14:textId="77777777" w:rsidTr="00FF13CC">
        <w:trPr>
          <w:trHeight w:val="20"/>
          <w:jc w:val="center"/>
        </w:trPr>
        <w:tc>
          <w:tcPr>
            <w:tcW w:w="0" w:type="auto"/>
            <w:hideMark/>
          </w:tcPr>
          <w:p w14:paraId="4900886A" w14:textId="77777777" w:rsidR="00D85A1C" w:rsidRPr="00FF13CC" w:rsidRDefault="00D85A1C" w:rsidP="00E406D7">
            <w:pPr>
              <w:pStyle w:val="NoSpacing"/>
              <w:rPr>
                <w:rFonts w:ascii="Times New Roman" w:hAnsi="Times New Roman" w:cs="Times New Roman"/>
                <w:sz w:val="28"/>
                <w:szCs w:val="28"/>
              </w:rPr>
            </w:pPr>
            <w:r w:rsidRPr="00FF13CC">
              <w:rPr>
                <w:rFonts w:ascii="Times New Roman" w:hAnsi="Times New Roman" w:cs="Times New Roman"/>
                <w:sz w:val="28"/>
                <w:szCs w:val="28"/>
              </w:rPr>
              <w:t>Gujarat</w:t>
            </w:r>
          </w:p>
        </w:tc>
        <w:tc>
          <w:tcPr>
            <w:tcW w:w="0" w:type="auto"/>
            <w:vAlign w:val="center"/>
            <w:hideMark/>
          </w:tcPr>
          <w:p w14:paraId="347E1FC7" w14:textId="77777777" w:rsidR="00D85A1C" w:rsidRPr="00FF13CC" w:rsidRDefault="00D85A1C" w:rsidP="00E406D7">
            <w:pPr>
              <w:pStyle w:val="NoSpacing"/>
              <w:jc w:val="center"/>
              <w:rPr>
                <w:rFonts w:ascii="Times New Roman" w:hAnsi="Times New Roman" w:cs="Times New Roman"/>
                <w:sz w:val="28"/>
                <w:szCs w:val="28"/>
              </w:rPr>
            </w:pPr>
            <w:r w:rsidRPr="00FF13CC">
              <w:rPr>
                <w:rFonts w:ascii="Times New Roman" w:hAnsi="Times New Roman" w:cs="Times New Roman"/>
                <w:sz w:val="28"/>
                <w:szCs w:val="28"/>
              </w:rPr>
              <w:t>0·69</w:t>
            </w:r>
          </w:p>
        </w:tc>
      </w:tr>
      <w:tr w:rsidR="00D85A1C" w:rsidRPr="00FF13CC" w14:paraId="373C78DA" w14:textId="77777777" w:rsidTr="00FF13CC">
        <w:trPr>
          <w:trHeight w:val="20"/>
          <w:jc w:val="center"/>
        </w:trPr>
        <w:tc>
          <w:tcPr>
            <w:tcW w:w="0" w:type="auto"/>
            <w:hideMark/>
          </w:tcPr>
          <w:p w14:paraId="4254906C" w14:textId="77777777" w:rsidR="00D85A1C" w:rsidRPr="00FF13CC" w:rsidRDefault="00D85A1C" w:rsidP="00E406D7">
            <w:pPr>
              <w:pStyle w:val="NoSpacing"/>
              <w:rPr>
                <w:rFonts w:ascii="Times New Roman" w:hAnsi="Times New Roman" w:cs="Times New Roman"/>
                <w:sz w:val="28"/>
                <w:szCs w:val="28"/>
              </w:rPr>
            </w:pPr>
            <w:r w:rsidRPr="00FF13CC">
              <w:rPr>
                <w:rFonts w:ascii="Times New Roman" w:hAnsi="Times New Roman" w:cs="Times New Roman"/>
                <w:sz w:val="28"/>
                <w:szCs w:val="28"/>
              </w:rPr>
              <w:t>Haryana</w:t>
            </w:r>
          </w:p>
        </w:tc>
        <w:tc>
          <w:tcPr>
            <w:tcW w:w="0" w:type="auto"/>
            <w:vAlign w:val="center"/>
            <w:hideMark/>
          </w:tcPr>
          <w:p w14:paraId="41355CF8" w14:textId="77777777" w:rsidR="00D85A1C" w:rsidRPr="00FF13CC" w:rsidRDefault="00D85A1C" w:rsidP="00E406D7">
            <w:pPr>
              <w:pStyle w:val="NoSpacing"/>
              <w:jc w:val="center"/>
              <w:rPr>
                <w:rFonts w:ascii="Times New Roman" w:hAnsi="Times New Roman" w:cs="Times New Roman"/>
                <w:sz w:val="28"/>
                <w:szCs w:val="28"/>
              </w:rPr>
            </w:pPr>
            <w:r w:rsidRPr="00FF13CC">
              <w:rPr>
                <w:rFonts w:ascii="Times New Roman" w:hAnsi="Times New Roman" w:cs="Times New Roman"/>
                <w:sz w:val="28"/>
                <w:szCs w:val="28"/>
              </w:rPr>
              <w:t>1·73</w:t>
            </w:r>
          </w:p>
        </w:tc>
      </w:tr>
      <w:tr w:rsidR="00D85A1C" w:rsidRPr="00FF13CC" w14:paraId="20446B66" w14:textId="77777777" w:rsidTr="00FF13CC">
        <w:trPr>
          <w:trHeight w:val="20"/>
          <w:jc w:val="center"/>
        </w:trPr>
        <w:tc>
          <w:tcPr>
            <w:tcW w:w="0" w:type="auto"/>
            <w:hideMark/>
          </w:tcPr>
          <w:p w14:paraId="25F5061C" w14:textId="77777777" w:rsidR="00D85A1C" w:rsidRPr="00FF13CC" w:rsidRDefault="00D85A1C" w:rsidP="00E406D7">
            <w:pPr>
              <w:pStyle w:val="NoSpacing"/>
              <w:rPr>
                <w:rFonts w:ascii="Times New Roman" w:hAnsi="Times New Roman" w:cs="Times New Roman"/>
                <w:sz w:val="28"/>
                <w:szCs w:val="28"/>
              </w:rPr>
            </w:pPr>
            <w:r w:rsidRPr="00FF13CC">
              <w:rPr>
                <w:rFonts w:ascii="Times New Roman" w:hAnsi="Times New Roman" w:cs="Times New Roman"/>
                <w:sz w:val="28"/>
                <w:szCs w:val="28"/>
              </w:rPr>
              <w:t>Jammu &amp; Kashmir</w:t>
            </w:r>
          </w:p>
        </w:tc>
        <w:tc>
          <w:tcPr>
            <w:tcW w:w="0" w:type="auto"/>
            <w:vAlign w:val="center"/>
            <w:hideMark/>
          </w:tcPr>
          <w:p w14:paraId="43F81B84" w14:textId="77777777" w:rsidR="00D85A1C" w:rsidRPr="00FF13CC" w:rsidRDefault="00D85A1C" w:rsidP="00E406D7">
            <w:pPr>
              <w:pStyle w:val="NoSpacing"/>
              <w:jc w:val="center"/>
              <w:rPr>
                <w:rFonts w:ascii="Times New Roman" w:hAnsi="Times New Roman" w:cs="Times New Roman"/>
                <w:sz w:val="28"/>
                <w:szCs w:val="28"/>
              </w:rPr>
            </w:pPr>
            <w:r w:rsidRPr="00FF13CC">
              <w:rPr>
                <w:rFonts w:ascii="Times New Roman" w:hAnsi="Times New Roman" w:cs="Times New Roman"/>
                <w:sz w:val="28"/>
                <w:szCs w:val="28"/>
              </w:rPr>
              <w:t>0·24</w:t>
            </w:r>
          </w:p>
        </w:tc>
      </w:tr>
      <w:tr w:rsidR="00D85A1C" w:rsidRPr="00FF13CC" w14:paraId="7D7C790A" w14:textId="77777777" w:rsidTr="00FF13CC">
        <w:trPr>
          <w:trHeight w:val="20"/>
          <w:jc w:val="center"/>
        </w:trPr>
        <w:tc>
          <w:tcPr>
            <w:tcW w:w="0" w:type="auto"/>
            <w:hideMark/>
          </w:tcPr>
          <w:p w14:paraId="7BD8F6BA" w14:textId="77777777" w:rsidR="00D85A1C" w:rsidRPr="00FF13CC" w:rsidRDefault="00D85A1C" w:rsidP="00E406D7">
            <w:pPr>
              <w:pStyle w:val="NoSpacing"/>
              <w:rPr>
                <w:rFonts w:ascii="Times New Roman" w:hAnsi="Times New Roman" w:cs="Times New Roman"/>
                <w:sz w:val="28"/>
                <w:szCs w:val="28"/>
              </w:rPr>
            </w:pPr>
            <w:r w:rsidRPr="00FF13CC">
              <w:rPr>
                <w:rFonts w:ascii="Times New Roman" w:hAnsi="Times New Roman" w:cs="Times New Roman"/>
                <w:sz w:val="28"/>
                <w:szCs w:val="28"/>
              </w:rPr>
              <w:t>Kerala</w:t>
            </w:r>
          </w:p>
        </w:tc>
        <w:tc>
          <w:tcPr>
            <w:tcW w:w="0" w:type="auto"/>
            <w:vAlign w:val="center"/>
            <w:hideMark/>
          </w:tcPr>
          <w:p w14:paraId="4D7E3322" w14:textId="77777777" w:rsidR="00D85A1C" w:rsidRPr="00FF13CC" w:rsidRDefault="00D85A1C" w:rsidP="00E406D7">
            <w:pPr>
              <w:pStyle w:val="NoSpacing"/>
              <w:jc w:val="center"/>
              <w:rPr>
                <w:rFonts w:ascii="Times New Roman" w:hAnsi="Times New Roman" w:cs="Times New Roman"/>
                <w:sz w:val="28"/>
                <w:szCs w:val="28"/>
              </w:rPr>
            </w:pPr>
            <w:r w:rsidRPr="00FF13CC">
              <w:rPr>
                <w:rFonts w:ascii="Times New Roman" w:hAnsi="Times New Roman" w:cs="Times New Roman"/>
                <w:sz w:val="28"/>
                <w:szCs w:val="28"/>
              </w:rPr>
              <w:t>4·78</w:t>
            </w:r>
          </w:p>
        </w:tc>
      </w:tr>
      <w:tr w:rsidR="00D85A1C" w:rsidRPr="00FF13CC" w14:paraId="31144127" w14:textId="77777777" w:rsidTr="00FF13CC">
        <w:trPr>
          <w:trHeight w:val="20"/>
          <w:jc w:val="center"/>
        </w:trPr>
        <w:tc>
          <w:tcPr>
            <w:tcW w:w="0" w:type="auto"/>
            <w:hideMark/>
          </w:tcPr>
          <w:p w14:paraId="2B3C5EBC" w14:textId="77777777" w:rsidR="00D85A1C" w:rsidRPr="00FF13CC" w:rsidRDefault="00D85A1C" w:rsidP="00E406D7">
            <w:pPr>
              <w:pStyle w:val="NoSpacing"/>
              <w:rPr>
                <w:rFonts w:ascii="Times New Roman" w:hAnsi="Times New Roman" w:cs="Times New Roman"/>
                <w:sz w:val="28"/>
                <w:szCs w:val="28"/>
              </w:rPr>
            </w:pPr>
            <w:r w:rsidRPr="00FF13CC">
              <w:rPr>
                <w:rFonts w:ascii="Times New Roman" w:hAnsi="Times New Roman" w:cs="Times New Roman"/>
                <w:sz w:val="28"/>
                <w:szCs w:val="28"/>
              </w:rPr>
              <w:t>Madhya Pradesh</w:t>
            </w:r>
          </w:p>
        </w:tc>
        <w:tc>
          <w:tcPr>
            <w:tcW w:w="0" w:type="auto"/>
            <w:vAlign w:val="center"/>
            <w:hideMark/>
          </w:tcPr>
          <w:p w14:paraId="460B0D91" w14:textId="77777777" w:rsidR="00D85A1C" w:rsidRPr="00FF13CC" w:rsidRDefault="00D85A1C" w:rsidP="00E406D7">
            <w:pPr>
              <w:pStyle w:val="NoSpacing"/>
              <w:jc w:val="center"/>
              <w:rPr>
                <w:rFonts w:ascii="Times New Roman" w:hAnsi="Times New Roman" w:cs="Times New Roman"/>
                <w:sz w:val="28"/>
                <w:szCs w:val="28"/>
              </w:rPr>
            </w:pPr>
            <w:r w:rsidRPr="00FF13CC">
              <w:rPr>
                <w:rFonts w:ascii="Times New Roman" w:hAnsi="Times New Roman" w:cs="Times New Roman"/>
                <w:sz w:val="28"/>
                <w:szCs w:val="28"/>
              </w:rPr>
              <w:t>9·12</w:t>
            </w:r>
          </w:p>
        </w:tc>
      </w:tr>
      <w:tr w:rsidR="00D85A1C" w:rsidRPr="00FF13CC" w14:paraId="1BBE2DB9" w14:textId="77777777" w:rsidTr="00FF13CC">
        <w:trPr>
          <w:trHeight w:val="20"/>
          <w:jc w:val="center"/>
        </w:trPr>
        <w:tc>
          <w:tcPr>
            <w:tcW w:w="0" w:type="auto"/>
            <w:hideMark/>
          </w:tcPr>
          <w:p w14:paraId="711447F6" w14:textId="77777777" w:rsidR="00D85A1C" w:rsidRPr="00FF13CC" w:rsidRDefault="00D85A1C" w:rsidP="00E406D7">
            <w:pPr>
              <w:pStyle w:val="NoSpacing"/>
              <w:rPr>
                <w:rFonts w:ascii="Times New Roman" w:hAnsi="Times New Roman" w:cs="Times New Roman"/>
                <w:sz w:val="28"/>
                <w:szCs w:val="28"/>
              </w:rPr>
            </w:pPr>
            <w:r w:rsidRPr="00FF13CC">
              <w:rPr>
                <w:rFonts w:ascii="Times New Roman" w:hAnsi="Times New Roman" w:cs="Times New Roman"/>
                <w:sz w:val="28"/>
                <w:szCs w:val="28"/>
              </w:rPr>
              <w:t>Maharashtra</w:t>
            </w:r>
          </w:p>
        </w:tc>
        <w:tc>
          <w:tcPr>
            <w:tcW w:w="0" w:type="auto"/>
            <w:vAlign w:val="center"/>
            <w:hideMark/>
          </w:tcPr>
          <w:p w14:paraId="32199D8E" w14:textId="77777777" w:rsidR="00D85A1C" w:rsidRPr="00FF13CC" w:rsidRDefault="00D85A1C" w:rsidP="00E406D7">
            <w:pPr>
              <w:pStyle w:val="NoSpacing"/>
              <w:jc w:val="center"/>
              <w:rPr>
                <w:rFonts w:ascii="Times New Roman" w:hAnsi="Times New Roman" w:cs="Times New Roman"/>
                <w:sz w:val="28"/>
                <w:szCs w:val="28"/>
              </w:rPr>
            </w:pPr>
            <w:r w:rsidRPr="00FF13CC">
              <w:rPr>
                <w:rFonts w:ascii="Times New Roman" w:hAnsi="Times New Roman" w:cs="Times New Roman"/>
                <w:sz w:val="28"/>
                <w:szCs w:val="28"/>
              </w:rPr>
              <w:t>1·32</w:t>
            </w:r>
          </w:p>
        </w:tc>
      </w:tr>
      <w:tr w:rsidR="00D85A1C" w:rsidRPr="00FF13CC" w14:paraId="16FE00A7" w14:textId="77777777" w:rsidTr="00FF13CC">
        <w:trPr>
          <w:trHeight w:val="20"/>
          <w:jc w:val="center"/>
        </w:trPr>
        <w:tc>
          <w:tcPr>
            <w:tcW w:w="0" w:type="auto"/>
            <w:hideMark/>
          </w:tcPr>
          <w:p w14:paraId="69ECE394" w14:textId="77777777" w:rsidR="00D85A1C" w:rsidRPr="00FF13CC" w:rsidRDefault="00D85A1C" w:rsidP="00E406D7">
            <w:pPr>
              <w:pStyle w:val="NoSpacing"/>
              <w:rPr>
                <w:rFonts w:ascii="Times New Roman" w:hAnsi="Times New Roman" w:cs="Times New Roman"/>
                <w:sz w:val="28"/>
                <w:szCs w:val="28"/>
              </w:rPr>
            </w:pPr>
            <w:r w:rsidRPr="00FF13CC">
              <w:rPr>
                <w:rFonts w:ascii="Times New Roman" w:hAnsi="Times New Roman" w:cs="Times New Roman"/>
                <w:sz w:val="28"/>
                <w:szCs w:val="28"/>
              </w:rPr>
              <w:t>Mysore</w:t>
            </w:r>
          </w:p>
        </w:tc>
        <w:tc>
          <w:tcPr>
            <w:tcW w:w="0" w:type="auto"/>
            <w:vAlign w:val="center"/>
            <w:hideMark/>
          </w:tcPr>
          <w:p w14:paraId="3FE388A5" w14:textId="77777777" w:rsidR="00D85A1C" w:rsidRPr="00FF13CC" w:rsidRDefault="00D85A1C" w:rsidP="00E406D7">
            <w:pPr>
              <w:pStyle w:val="NoSpacing"/>
              <w:jc w:val="center"/>
              <w:rPr>
                <w:rFonts w:ascii="Times New Roman" w:hAnsi="Times New Roman" w:cs="Times New Roman"/>
                <w:sz w:val="28"/>
                <w:szCs w:val="28"/>
              </w:rPr>
            </w:pPr>
            <w:r w:rsidRPr="00FF13CC">
              <w:rPr>
                <w:rFonts w:ascii="Times New Roman" w:hAnsi="Times New Roman" w:cs="Times New Roman"/>
                <w:sz w:val="28"/>
                <w:szCs w:val="28"/>
              </w:rPr>
              <w:t>0·78</w:t>
            </w:r>
          </w:p>
        </w:tc>
      </w:tr>
      <w:tr w:rsidR="00D85A1C" w:rsidRPr="00FF13CC" w14:paraId="720FC3AF" w14:textId="77777777" w:rsidTr="00FF13CC">
        <w:trPr>
          <w:trHeight w:val="20"/>
          <w:jc w:val="center"/>
        </w:trPr>
        <w:tc>
          <w:tcPr>
            <w:tcW w:w="0" w:type="auto"/>
            <w:hideMark/>
          </w:tcPr>
          <w:p w14:paraId="296BD0EC" w14:textId="77777777" w:rsidR="00D85A1C" w:rsidRPr="00FF13CC" w:rsidRDefault="00D85A1C" w:rsidP="00E406D7">
            <w:pPr>
              <w:pStyle w:val="NoSpacing"/>
              <w:rPr>
                <w:rFonts w:ascii="Times New Roman" w:hAnsi="Times New Roman" w:cs="Times New Roman"/>
                <w:sz w:val="28"/>
                <w:szCs w:val="28"/>
              </w:rPr>
            </w:pPr>
            <w:r w:rsidRPr="00FF13CC">
              <w:rPr>
                <w:rFonts w:ascii="Times New Roman" w:hAnsi="Times New Roman" w:cs="Times New Roman"/>
                <w:sz w:val="28"/>
                <w:szCs w:val="28"/>
              </w:rPr>
              <w:lastRenderedPageBreak/>
              <w:t>Nagaland</w:t>
            </w:r>
          </w:p>
        </w:tc>
        <w:tc>
          <w:tcPr>
            <w:tcW w:w="0" w:type="auto"/>
            <w:vAlign w:val="center"/>
            <w:hideMark/>
          </w:tcPr>
          <w:p w14:paraId="283AC7CD" w14:textId="77777777" w:rsidR="00D85A1C" w:rsidRPr="00FF13CC" w:rsidRDefault="00D85A1C" w:rsidP="00E406D7">
            <w:pPr>
              <w:pStyle w:val="NoSpacing"/>
              <w:jc w:val="center"/>
              <w:rPr>
                <w:rFonts w:ascii="Times New Roman" w:hAnsi="Times New Roman" w:cs="Times New Roman"/>
                <w:sz w:val="28"/>
                <w:szCs w:val="28"/>
              </w:rPr>
            </w:pPr>
            <w:r w:rsidRPr="00FF13CC">
              <w:rPr>
                <w:rFonts w:ascii="Times New Roman" w:hAnsi="Times New Roman" w:cs="Times New Roman"/>
                <w:sz w:val="28"/>
                <w:szCs w:val="28"/>
              </w:rPr>
              <w:t>0·01</w:t>
            </w:r>
          </w:p>
        </w:tc>
      </w:tr>
      <w:tr w:rsidR="00D85A1C" w:rsidRPr="00FF13CC" w14:paraId="365FE8D1" w14:textId="77777777" w:rsidTr="00FF13CC">
        <w:trPr>
          <w:trHeight w:val="20"/>
          <w:jc w:val="center"/>
        </w:trPr>
        <w:tc>
          <w:tcPr>
            <w:tcW w:w="0" w:type="auto"/>
            <w:hideMark/>
          </w:tcPr>
          <w:p w14:paraId="61D303F6" w14:textId="77777777" w:rsidR="00D85A1C" w:rsidRPr="00FF13CC" w:rsidRDefault="00D85A1C" w:rsidP="00E406D7">
            <w:pPr>
              <w:pStyle w:val="NoSpacing"/>
              <w:rPr>
                <w:rFonts w:ascii="Times New Roman" w:hAnsi="Times New Roman" w:cs="Times New Roman"/>
                <w:sz w:val="28"/>
                <w:szCs w:val="28"/>
              </w:rPr>
            </w:pPr>
            <w:r w:rsidRPr="00FF13CC">
              <w:rPr>
                <w:rFonts w:ascii="Times New Roman" w:hAnsi="Times New Roman" w:cs="Times New Roman"/>
                <w:sz w:val="28"/>
                <w:szCs w:val="28"/>
              </w:rPr>
              <w:t>Orissa</w:t>
            </w:r>
          </w:p>
        </w:tc>
        <w:tc>
          <w:tcPr>
            <w:tcW w:w="0" w:type="auto"/>
            <w:vAlign w:val="center"/>
            <w:hideMark/>
          </w:tcPr>
          <w:p w14:paraId="774BEA14" w14:textId="77777777" w:rsidR="00D85A1C" w:rsidRPr="00FF13CC" w:rsidRDefault="00D85A1C" w:rsidP="00E406D7">
            <w:pPr>
              <w:pStyle w:val="NoSpacing"/>
              <w:jc w:val="center"/>
              <w:rPr>
                <w:rFonts w:ascii="Times New Roman" w:hAnsi="Times New Roman" w:cs="Times New Roman"/>
                <w:sz w:val="28"/>
                <w:szCs w:val="28"/>
              </w:rPr>
            </w:pPr>
            <w:r w:rsidRPr="00FF13CC">
              <w:rPr>
                <w:rFonts w:ascii="Times New Roman" w:hAnsi="Times New Roman" w:cs="Times New Roman"/>
                <w:sz w:val="28"/>
                <w:szCs w:val="28"/>
              </w:rPr>
              <w:t>4·96</w:t>
            </w:r>
          </w:p>
        </w:tc>
      </w:tr>
      <w:tr w:rsidR="00D85A1C" w:rsidRPr="00FF13CC" w14:paraId="5C94C403" w14:textId="77777777" w:rsidTr="00FF13CC">
        <w:trPr>
          <w:trHeight w:val="20"/>
          <w:jc w:val="center"/>
        </w:trPr>
        <w:tc>
          <w:tcPr>
            <w:tcW w:w="0" w:type="auto"/>
            <w:hideMark/>
          </w:tcPr>
          <w:p w14:paraId="187374F7" w14:textId="77777777" w:rsidR="00D85A1C" w:rsidRPr="00FF13CC" w:rsidRDefault="00D85A1C" w:rsidP="00E406D7">
            <w:pPr>
              <w:pStyle w:val="NoSpacing"/>
              <w:rPr>
                <w:rFonts w:ascii="Times New Roman" w:hAnsi="Times New Roman" w:cs="Times New Roman"/>
                <w:sz w:val="28"/>
                <w:szCs w:val="28"/>
              </w:rPr>
            </w:pPr>
            <w:r w:rsidRPr="00FF13CC">
              <w:rPr>
                <w:rFonts w:ascii="Times New Roman" w:hAnsi="Times New Roman" w:cs="Times New Roman"/>
                <w:sz w:val="28"/>
                <w:szCs w:val="28"/>
              </w:rPr>
              <w:t>Punjab</w:t>
            </w:r>
          </w:p>
        </w:tc>
        <w:tc>
          <w:tcPr>
            <w:tcW w:w="0" w:type="auto"/>
            <w:vAlign w:val="center"/>
            <w:hideMark/>
          </w:tcPr>
          <w:p w14:paraId="205AF5CF" w14:textId="77777777" w:rsidR="00D85A1C" w:rsidRPr="00FF13CC" w:rsidRDefault="00D85A1C" w:rsidP="00E406D7">
            <w:pPr>
              <w:pStyle w:val="NoSpacing"/>
              <w:jc w:val="center"/>
              <w:rPr>
                <w:rFonts w:ascii="Times New Roman" w:hAnsi="Times New Roman" w:cs="Times New Roman"/>
                <w:sz w:val="28"/>
                <w:szCs w:val="28"/>
              </w:rPr>
            </w:pPr>
            <w:r w:rsidRPr="00FF13CC">
              <w:rPr>
                <w:rFonts w:ascii="Times New Roman" w:hAnsi="Times New Roman" w:cs="Times New Roman"/>
                <w:sz w:val="28"/>
                <w:szCs w:val="28"/>
              </w:rPr>
              <w:t>0·37</w:t>
            </w:r>
          </w:p>
        </w:tc>
      </w:tr>
      <w:tr w:rsidR="00D85A1C" w:rsidRPr="00FF13CC" w14:paraId="42DE3FF6" w14:textId="77777777" w:rsidTr="00FF13CC">
        <w:trPr>
          <w:trHeight w:val="20"/>
          <w:jc w:val="center"/>
        </w:trPr>
        <w:tc>
          <w:tcPr>
            <w:tcW w:w="0" w:type="auto"/>
            <w:hideMark/>
          </w:tcPr>
          <w:p w14:paraId="5230A1AC" w14:textId="77777777" w:rsidR="00D85A1C" w:rsidRPr="00FF13CC" w:rsidRDefault="00D85A1C" w:rsidP="00E406D7">
            <w:pPr>
              <w:pStyle w:val="NoSpacing"/>
              <w:rPr>
                <w:rFonts w:ascii="Times New Roman" w:hAnsi="Times New Roman" w:cs="Times New Roman"/>
                <w:sz w:val="28"/>
                <w:szCs w:val="28"/>
              </w:rPr>
            </w:pPr>
            <w:r w:rsidRPr="00FF13CC">
              <w:rPr>
                <w:rFonts w:ascii="Times New Roman" w:hAnsi="Times New Roman" w:cs="Times New Roman"/>
                <w:sz w:val="28"/>
                <w:szCs w:val="28"/>
              </w:rPr>
              <w:t>Rajasthan</w:t>
            </w:r>
          </w:p>
        </w:tc>
        <w:tc>
          <w:tcPr>
            <w:tcW w:w="0" w:type="auto"/>
            <w:vAlign w:val="center"/>
            <w:hideMark/>
          </w:tcPr>
          <w:p w14:paraId="2EB7239E" w14:textId="77777777" w:rsidR="00D85A1C" w:rsidRPr="00FF13CC" w:rsidRDefault="00D85A1C" w:rsidP="00E406D7">
            <w:pPr>
              <w:pStyle w:val="NoSpacing"/>
              <w:jc w:val="center"/>
              <w:rPr>
                <w:rFonts w:ascii="Times New Roman" w:hAnsi="Times New Roman" w:cs="Times New Roman"/>
                <w:sz w:val="28"/>
                <w:szCs w:val="28"/>
              </w:rPr>
            </w:pPr>
            <w:r w:rsidRPr="00FF13CC">
              <w:rPr>
                <w:rFonts w:ascii="Times New Roman" w:hAnsi="Times New Roman" w:cs="Times New Roman"/>
                <w:sz w:val="28"/>
                <w:szCs w:val="28"/>
              </w:rPr>
              <w:t>5·68</w:t>
            </w:r>
          </w:p>
        </w:tc>
      </w:tr>
      <w:tr w:rsidR="00D85A1C" w:rsidRPr="00FF13CC" w14:paraId="39464F75" w14:textId="77777777" w:rsidTr="00FF13CC">
        <w:trPr>
          <w:trHeight w:val="20"/>
          <w:jc w:val="center"/>
        </w:trPr>
        <w:tc>
          <w:tcPr>
            <w:tcW w:w="0" w:type="auto"/>
            <w:hideMark/>
          </w:tcPr>
          <w:p w14:paraId="634898DB" w14:textId="77777777" w:rsidR="00D85A1C" w:rsidRPr="00FF13CC" w:rsidRDefault="00D85A1C" w:rsidP="00E406D7">
            <w:pPr>
              <w:pStyle w:val="NoSpacing"/>
              <w:rPr>
                <w:rFonts w:ascii="Times New Roman" w:hAnsi="Times New Roman" w:cs="Times New Roman"/>
                <w:sz w:val="28"/>
                <w:szCs w:val="28"/>
              </w:rPr>
            </w:pPr>
            <w:r w:rsidRPr="00FF13CC">
              <w:rPr>
                <w:rFonts w:ascii="Times New Roman" w:hAnsi="Times New Roman" w:cs="Times New Roman"/>
                <w:sz w:val="28"/>
                <w:szCs w:val="28"/>
              </w:rPr>
              <w:t>Tamil Nadu</w:t>
            </w:r>
          </w:p>
        </w:tc>
        <w:tc>
          <w:tcPr>
            <w:tcW w:w="0" w:type="auto"/>
            <w:vAlign w:val="center"/>
            <w:hideMark/>
          </w:tcPr>
          <w:p w14:paraId="731CF740" w14:textId="77777777" w:rsidR="00D85A1C" w:rsidRPr="00FF13CC" w:rsidRDefault="00D85A1C" w:rsidP="00E406D7">
            <w:pPr>
              <w:pStyle w:val="NoSpacing"/>
              <w:jc w:val="center"/>
              <w:rPr>
                <w:rFonts w:ascii="Times New Roman" w:hAnsi="Times New Roman" w:cs="Times New Roman"/>
                <w:sz w:val="28"/>
                <w:szCs w:val="28"/>
              </w:rPr>
            </w:pPr>
            <w:r w:rsidRPr="00FF13CC">
              <w:rPr>
                <w:rFonts w:ascii="Times New Roman" w:hAnsi="Times New Roman" w:cs="Times New Roman"/>
                <w:sz w:val="28"/>
                <w:szCs w:val="28"/>
              </w:rPr>
              <w:t>1·12</w:t>
            </w:r>
          </w:p>
        </w:tc>
      </w:tr>
      <w:tr w:rsidR="00D85A1C" w:rsidRPr="00FF13CC" w14:paraId="34ED59A6" w14:textId="77777777" w:rsidTr="00FF13CC">
        <w:trPr>
          <w:trHeight w:val="20"/>
          <w:jc w:val="center"/>
        </w:trPr>
        <w:tc>
          <w:tcPr>
            <w:tcW w:w="0" w:type="auto"/>
            <w:hideMark/>
          </w:tcPr>
          <w:p w14:paraId="5963030F" w14:textId="77777777" w:rsidR="00D85A1C" w:rsidRPr="00FF13CC" w:rsidRDefault="00D85A1C" w:rsidP="00E406D7">
            <w:pPr>
              <w:pStyle w:val="NoSpacing"/>
              <w:rPr>
                <w:rFonts w:ascii="Times New Roman" w:hAnsi="Times New Roman" w:cs="Times New Roman"/>
                <w:sz w:val="28"/>
                <w:szCs w:val="28"/>
              </w:rPr>
            </w:pPr>
            <w:r w:rsidRPr="00FF13CC">
              <w:rPr>
                <w:rFonts w:ascii="Times New Roman" w:hAnsi="Times New Roman" w:cs="Times New Roman"/>
                <w:sz w:val="28"/>
                <w:szCs w:val="28"/>
              </w:rPr>
              <w:t>Uttar Pradesh</w:t>
            </w:r>
          </w:p>
        </w:tc>
        <w:tc>
          <w:tcPr>
            <w:tcW w:w="0" w:type="auto"/>
            <w:vAlign w:val="center"/>
            <w:hideMark/>
          </w:tcPr>
          <w:p w14:paraId="46794232" w14:textId="77777777" w:rsidR="00D85A1C" w:rsidRPr="00FF13CC" w:rsidRDefault="00D85A1C" w:rsidP="00E406D7">
            <w:pPr>
              <w:pStyle w:val="NoSpacing"/>
              <w:jc w:val="center"/>
              <w:rPr>
                <w:rFonts w:ascii="Times New Roman" w:hAnsi="Times New Roman" w:cs="Times New Roman"/>
                <w:sz w:val="28"/>
                <w:szCs w:val="28"/>
              </w:rPr>
            </w:pPr>
            <w:r w:rsidRPr="00FF13CC">
              <w:rPr>
                <w:rFonts w:ascii="Times New Roman" w:hAnsi="Times New Roman" w:cs="Times New Roman"/>
                <w:sz w:val="28"/>
                <w:szCs w:val="28"/>
              </w:rPr>
              <w:t>2·45</w:t>
            </w:r>
          </w:p>
        </w:tc>
      </w:tr>
      <w:tr w:rsidR="00D85A1C" w:rsidRPr="00FF13CC" w14:paraId="3A1B924D" w14:textId="77777777" w:rsidTr="00FF13CC">
        <w:trPr>
          <w:trHeight w:val="20"/>
          <w:jc w:val="center"/>
        </w:trPr>
        <w:tc>
          <w:tcPr>
            <w:tcW w:w="0" w:type="auto"/>
            <w:hideMark/>
          </w:tcPr>
          <w:p w14:paraId="1094F4D9" w14:textId="77777777" w:rsidR="00D85A1C" w:rsidRPr="00FF13CC" w:rsidRDefault="00D85A1C" w:rsidP="00E406D7">
            <w:pPr>
              <w:pStyle w:val="NoSpacing"/>
              <w:rPr>
                <w:rFonts w:ascii="Times New Roman" w:hAnsi="Times New Roman" w:cs="Times New Roman"/>
                <w:sz w:val="28"/>
                <w:szCs w:val="28"/>
              </w:rPr>
            </w:pPr>
            <w:r w:rsidRPr="00FF13CC">
              <w:rPr>
                <w:rFonts w:ascii="Times New Roman" w:hAnsi="Times New Roman" w:cs="Times New Roman"/>
                <w:sz w:val="28"/>
                <w:szCs w:val="28"/>
              </w:rPr>
              <w:t>West Bengal</w:t>
            </w:r>
          </w:p>
        </w:tc>
        <w:tc>
          <w:tcPr>
            <w:tcW w:w="0" w:type="auto"/>
            <w:vAlign w:val="center"/>
            <w:hideMark/>
          </w:tcPr>
          <w:p w14:paraId="3D81DD82" w14:textId="77777777" w:rsidR="00D85A1C" w:rsidRPr="00FF13CC" w:rsidRDefault="00D85A1C" w:rsidP="00E406D7">
            <w:pPr>
              <w:pStyle w:val="NoSpacing"/>
              <w:jc w:val="center"/>
              <w:rPr>
                <w:rFonts w:ascii="Times New Roman" w:hAnsi="Times New Roman" w:cs="Times New Roman"/>
                <w:sz w:val="28"/>
                <w:szCs w:val="28"/>
              </w:rPr>
            </w:pPr>
            <w:r w:rsidRPr="00FF13CC">
              <w:rPr>
                <w:rFonts w:ascii="Times New Roman" w:hAnsi="Times New Roman" w:cs="Times New Roman"/>
                <w:sz w:val="28"/>
                <w:szCs w:val="28"/>
              </w:rPr>
              <w:t>9·85</w:t>
            </w:r>
          </w:p>
        </w:tc>
      </w:tr>
      <w:tr w:rsidR="00D85A1C" w:rsidRPr="00FF13CC" w14:paraId="1A6A6A1A" w14:textId="77777777" w:rsidTr="00FF13CC">
        <w:trPr>
          <w:trHeight w:val="20"/>
          <w:jc w:val="center"/>
        </w:trPr>
        <w:tc>
          <w:tcPr>
            <w:tcW w:w="0" w:type="auto"/>
            <w:hideMark/>
          </w:tcPr>
          <w:p w14:paraId="4EC87827" w14:textId="77777777" w:rsidR="00D85A1C" w:rsidRPr="00FF13CC" w:rsidRDefault="00D85A1C" w:rsidP="00E406D7">
            <w:pPr>
              <w:pStyle w:val="NoSpacing"/>
              <w:rPr>
                <w:rFonts w:ascii="Times New Roman" w:hAnsi="Times New Roman" w:cs="Times New Roman"/>
                <w:sz w:val="28"/>
                <w:szCs w:val="28"/>
              </w:rPr>
            </w:pPr>
            <w:r w:rsidRPr="00FF13CC">
              <w:rPr>
                <w:rFonts w:ascii="Times New Roman" w:hAnsi="Times New Roman" w:cs="Times New Roman"/>
                <w:sz w:val="28"/>
                <w:szCs w:val="28"/>
              </w:rPr>
              <w:t>TOTAL</w:t>
            </w:r>
          </w:p>
        </w:tc>
        <w:tc>
          <w:tcPr>
            <w:tcW w:w="0" w:type="auto"/>
            <w:vAlign w:val="center"/>
            <w:hideMark/>
          </w:tcPr>
          <w:p w14:paraId="7BB64462" w14:textId="77777777" w:rsidR="00D85A1C" w:rsidRPr="00FF13CC" w:rsidRDefault="00D85A1C" w:rsidP="00E406D7">
            <w:pPr>
              <w:pStyle w:val="NoSpacing"/>
              <w:jc w:val="center"/>
              <w:rPr>
                <w:rFonts w:ascii="Times New Roman" w:hAnsi="Times New Roman" w:cs="Times New Roman"/>
                <w:sz w:val="28"/>
                <w:szCs w:val="28"/>
              </w:rPr>
            </w:pPr>
            <w:r w:rsidRPr="00FF13CC">
              <w:rPr>
                <w:rFonts w:ascii="Times New Roman" w:hAnsi="Times New Roman" w:cs="Times New Roman"/>
                <w:sz w:val="28"/>
                <w:szCs w:val="28"/>
              </w:rPr>
              <w:t>59·66</w:t>
            </w:r>
          </w:p>
        </w:tc>
      </w:tr>
    </w:tbl>
    <w:p w14:paraId="1C8729AD" w14:textId="2F9AAED1" w:rsidR="00D85A1C" w:rsidRPr="00FF13CC" w:rsidRDefault="00D85A1C" w:rsidP="00E406D7">
      <w:pPr>
        <w:spacing w:before="240" w:line="310" w:lineRule="exact"/>
        <w:jc w:val="both"/>
        <w:rPr>
          <w:rFonts w:ascii="Times New Roman" w:hAnsi="Times New Roman" w:cs="Times New Roman"/>
          <w:sz w:val="28"/>
          <w:szCs w:val="22"/>
        </w:rPr>
      </w:pPr>
      <w:r w:rsidRPr="00FF13CC">
        <w:rPr>
          <w:rFonts w:ascii="Times New Roman" w:hAnsi="Times New Roman" w:cs="Times New Roman"/>
          <w:sz w:val="28"/>
          <w:szCs w:val="22"/>
        </w:rPr>
        <w:t>These amounts are exclusive of the provision which have been made in the case of zamindari abolition bonds and the provision made in case of Rajasthan equal to the receipts from sale of lands mainly in the Rajasthan Canal Project for reducing the capital at charge.</w:t>
      </w:r>
    </w:p>
    <w:p w14:paraId="398C651F" w14:textId="5D65C6D9" w:rsidR="00D85A1C" w:rsidRPr="007245B0" w:rsidRDefault="00D85A1C" w:rsidP="00E406D7">
      <w:pPr>
        <w:pStyle w:val="Heading3"/>
        <w:keepNext w:val="0"/>
        <w:spacing w:line="310" w:lineRule="exact"/>
      </w:pPr>
      <w:r w:rsidRPr="007245B0">
        <w:t>Having expressed our separate views regarding the question of amortisation, we wish to indicate that we have, in assessing the revenue receipts and expenditure of the States and applying the principles and general conditions explained in the preceding paragraphs, particularly kept in view the special problems of the States of Assam, Jammu and Kashmir and Nagaland. We have tried to treat their needs and requirements with as much care and consideration as possible. The grants which we are recommending for these States are of a much larger magnitude than would ordinarily be justified in case of other States of similar size or having similar resources. We hope that these three States also will, on their part, make efforts to increase their resources and exercise better fiscal management and proper economy consistent with efficiency and take steps to improve the returns on their investments so that their financial position may steadily improve and in course of time they may be enabled to have more adequate revenues to improve their social and administrative services.</w:t>
      </w:r>
    </w:p>
    <w:p w14:paraId="7BBC5E76" w14:textId="7ED69ABA" w:rsidR="00D85A1C" w:rsidRDefault="00D85A1C" w:rsidP="00E406D7">
      <w:pPr>
        <w:pStyle w:val="Heading3"/>
        <w:keepNext w:val="0"/>
        <w:spacing w:line="310" w:lineRule="exact"/>
      </w:pPr>
      <w:r w:rsidRPr="007245B0">
        <w:t>After assessing the forecasts of the revenue receipts and non-Plan revenue expenditure of the States and making suitable adjustments in accordance with the principles and general considerations explained in the foregoing paragraphs, we have come to the conclusion that States of Andhra Pradesh, Assam, Jammu and Kashmir, Kerala, Nagaland, Orissa, Rajasthan, Tamil Nadu and West Bengal will be requiring grants-in-aid under Article 275 of the Constitution. As we have modified the estimate of the States’ requirements having regard to several considerations and assumptions, their existing budgetary requirements will not be covered by their own resources along with the devolutions of taxes and grants under Article 275 as worked out on this basis. As explained in paragraph 2.24, we consider that in such circumstances it is desirable for maintaining administrative and social services that the States should be given further assistance for some time during which they may be expected to take effective measures for improving their finances. We, therefore, consider it necessary to recommend larger sums as grants to these States for the earlier years and suitably reduced amounts during the subsequent years.</w:t>
      </w:r>
    </w:p>
    <w:p w14:paraId="4B8194B6" w14:textId="77777777" w:rsidR="00FF13CC" w:rsidRDefault="00FF13CC" w:rsidP="00E406D7"/>
    <w:p w14:paraId="4C741EC5" w14:textId="700FCD83" w:rsidR="00FF13CC" w:rsidRDefault="0087313D" w:rsidP="00E406D7">
      <w:pPr>
        <w:pStyle w:val="Heading3"/>
        <w:keepNext w:val="0"/>
      </w:pPr>
      <w:r w:rsidRPr="0087313D">
        <w:t>In the case of Mysore, the surplus after taking into account the amount of transfers comes to a nominal amount of Rs. 258 crores. The average amount of devolutions to this State during the five-year period would be less than the average annual amount of devolution of taxes and grants which it would have received on the basis of the recommendations of the Fourth Finance Commission. We consider it desirable that this State also should be given some further assistance on a diminishing basis, so as to allow the State some time in which it can make suitable adjustments in its financial arrangements.</w:t>
      </w:r>
    </w:p>
    <w:p w14:paraId="7366816F" w14:textId="49EF8653" w:rsidR="00D85A1C" w:rsidRPr="007245B0" w:rsidRDefault="00D85A1C" w:rsidP="00E406D7">
      <w:pPr>
        <w:pStyle w:val="Heading3"/>
        <w:keepNext w:val="0"/>
        <w:spacing w:line="310" w:lineRule="exact"/>
      </w:pPr>
      <w:r w:rsidRPr="007245B0">
        <w:t>In accordance with the assessment of the States’ revenue resources and their requirements on revenue account for non-Plan expenditure, including the provisions mentioned in paragraph 6.45 above, we find that, besides Mysore, the following States will, after the transfers to them by devolution of taxes as well as their share of the grant in lieu of tax on railway passenger fares and the proceeds of additional excise duties as recommended by us, having surpluses during the five-year period as indicated below. We do not, therefore, recommend any grant to the following States under Article 275:—</w:t>
      </w:r>
    </w:p>
    <w:tbl>
      <w:tblPr>
        <w:tblStyle w:val="TableGrid"/>
        <w:tblW w:w="4902" w:type="dxa"/>
        <w:jc w:val="center"/>
        <w:tblLook w:val="04A0" w:firstRow="1" w:lastRow="0" w:firstColumn="1" w:lastColumn="0" w:noHBand="0" w:noVBand="1"/>
      </w:tblPr>
      <w:tblGrid>
        <w:gridCol w:w="2122"/>
        <w:gridCol w:w="2780"/>
      </w:tblGrid>
      <w:tr w:rsidR="00D85A1C" w:rsidRPr="00E406D7" w14:paraId="153122B3" w14:textId="77777777" w:rsidTr="00114C2A">
        <w:trPr>
          <w:trHeight w:val="24"/>
          <w:jc w:val="center"/>
        </w:trPr>
        <w:tc>
          <w:tcPr>
            <w:tcW w:w="2122" w:type="dxa"/>
            <w:vAlign w:val="center"/>
            <w:hideMark/>
          </w:tcPr>
          <w:p w14:paraId="404F470B" w14:textId="77777777" w:rsidR="00D85A1C" w:rsidRPr="00E406D7" w:rsidRDefault="00D85A1C" w:rsidP="00E406D7">
            <w:pPr>
              <w:jc w:val="center"/>
              <w:rPr>
                <w:rFonts w:ascii="Times New Roman" w:hAnsi="Times New Roman" w:cs="Times New Roman"/>
                <w:b/>
                <w:bCs/>
                <w:sz w:val="28"/>
                <w:szCs w:val="22"/>
              </w:rPr>
            </w:pPr>
            <w:r w:rsidRPr="00E406D7">
              <w:rPr>
                <w:rFonts w:ascii="Times New Roman" w:hAnsi="Times New Roman" w:cs="Times New Roman"/>
                <w:b/>
                <w:bCs/>
                <w:sz w:val="28"/>
                <w:szCs w:val="22"/>
              </w:rPr>
              <w:t>State</w:t>
            </w:r>
          </w:p>
        </w:tc>
        <w:tc>
          <w:tcPr>
            <w:tcW w:w="2780" w:type="dxa"/>
            <w:vAlign w:val="center"/>
            <w:hideMark/>
          </w:tcPr>
          <w:p w14:paraId="3C654C69" w14:textId="6FDFBECD" w:rsidR="00D85A1C" w:rsidRPr="00E406D7" w:rsidRDefault="00D85A1C" w:rsidP="00E406D7">
            <w:pPr>
              <w:jc w:val="center"/>
              <w:rPr>
                <w:rFonts w:ascii="Times New Roman" w:hAnsi="Times New Roman" w:cs="Times New Roman"/>
                <w:b/>
                <w:bCs/>
                <w:sz w:val="28"/>
                <w:szCs w:val="22"/>
              </w:rPr>
            </w:pPr>
            <w:r w:rsidRPr="00E406D7">
              <w:rPr>
                <w:rFonts w:ascii="Times New Roman" w:hAnsi="Times New Roman" w:cs="Times New Roman"/>
                <w:b/>
                <w:bCs/>
                <w:sz w:val="28"/>
                <w:szCs w:val="22"/>
              </w:rPr>
              <w:t>Surplus</w:t>
            </w:r>
            <w:r w:rsidR="00114C2A" w:rsidRPr="00E406D7">
              <w:rPr>
                <w:rFonts w:ascii="Times New Roman" w:hAnsi="Times New Roman" w:cs="Times New Roman"/>
                <w:b/>
                <w:bCs/>
                <w:sz w:val="28"/>
                <w:szCs w:val="22"/>
              </w:rPr>
              <w:t xml:space="preserve"> </w:t>
            </w:r>
            <w:r w:rsidRPr="00E406D7">
              <w:rPr>
                <w:rFonts w:ascii="Times New Roman" w:hAnsi="Times New Roman" w:cs="Times New Roman"/>
                <w:szCs w:val="20"/>
              </w:rPr>
              <w:t>(Rs. crores)</w:t>
            </w:r>
          </w:p>
        </w:tc>
      </w:tr>
      <w:tr w:rsidR="00D85A1C" w:rsidRPr="00E406D7" w14:paraId="11142C29" w14:textId="77777777" w:rsidTr="00114C2A">
        <w:trPr>
          <w:trHeight w:val="24"/>
          <w:jc w:val="center"/>
        </w:trPr>
        <w:tc>
          <w:tcPr>
            <w:tcW w:w="2122" w:type="dxa"/>
            <w:vAlign w:val="center"/>
            <w:hideMark/>
          </w:tcPr>
          <w:p w14:paraId="190CFC9B" w14:textId="77777777" w:rsidR="00D85A1C" w:rsidRPr="00E406D7" w:rsidRDefault="00D85A1C" w:rsidP="00E406D7">
            <w:pPr>
              <w:jc w:val="center"/>
              <w:rPr>
                <w:rFonts w:ascii="Times New Roman" w:hAnsi="Times New Roman" w:cs="Times New Roman"/>
                <w:sz w:val="28"/>
                <w:szCs w:val="22"/>
              </w:rPr>
            </w:pPr>
            <w:r w:rsidRPr="00E406D7">
              <w:rPr>
                <w:rFonts w:ascii="Times New Roman" w:hAnsi="Times New Roman" w:cs="Times New Roman"/>
                <w:sz w:val="28"/>
                <w:szCs w:val="22"/>
              </w:rPr>
              <w:t>Bihar</w:t>
            </w:r>
          </w:p>
        </w:tc>
        <w:tc>
          <w:tcPr>
            <w:tcW w:w="2780" w:type="dxa"/>
            <w:vAlign w:val="center"/>
            <w:hideMark/>
          </w:tcPr>
          <w:p w14:paraId="2243760A" w14:textId="77777777" w:rsidR="00D85A1C" w:rsidRPr="00E406D7" w:rsidRDefault="00D85A1C" w:rsidP="00E406D7">
            <w:pPr>
              <w:jc w:val="center"/>
              <w:rPr>
                <w:rFonts w:ascii="Times New Roman" w:hAnsi="Times New Roman" w:cs="Times New Roman"/>
                <w:sz w:val="28"/>
                <w:szCs w:val="22"/>
              </w:rPr>
            </w:pPr>
            <w:r w:rsidRPr="00E406D7">
              <w:rPr>
                <w:rFonts w:ascii="Times New Roman" w:hAnsi="Times New Roman" w:cs="Times New Roman"/>
                <w:sz w:val="28"/>
                <w:szCs w:val="22"/>
              </w:rPr>
              <w:t>199·46</w:t>
            </w:r>
          </w:p>
        </w:tc>
      </w:tr>
      <w:tr w:rsidR="00D85A1C" w:rsidRPr="00E406D7" w14:paraId="69A08A58" w14:textId="77777777" w:rsidTr="00114C2A">
        <w:trPr>
          <w:trHeight w:val="24"/>
          <w:jc w:val="center"/>
        </w:trPr>
        <w:tc>
          <w:tcPr>
            <w:tcW w:w="2122" w:type="dxa"/>
            <w:vAlign w:val="center"/>
            <w:hideMark/>
          </w:tcPr>
          <w:p w14:paraId="4DEEE228" w14:textId="77777777" w:rsidR="00D85A1C" w:rsidRPr="00E406D7" w:rsidRDefault="00D85A1C" w:rsidP="00E406D7">
            <w:pPr>
              <w:jc w:val="center"/>
              <w:rPr>
                <w:rFonts w:ascii="Times New Roman" w:hAnsi="Times New Roman" w:cs="Times New Roman"/>
                <w:sz w:val="28"/>
                <w:szCs w:val="22"/>
              </w:rPr>
            </w:pPr>
            <w:r w:rsidRPr="00E406D7">
              <w:rPr>
                <w:rFonts w:ascii="Times New Roman" w:hAnsi="Times New Roman" w:cs="Times New Roman"/>
                <w:sz w:val="28"/>
                <w:szCs w:val="22"/>
              </w:rPr>
              <w:t>Gujarat</w:t>
            </w:r>
          </w:p>
        </w:tc>
        <w:tc>
          <w:tcPr>
            <w:tcW w:w="2780" w:type="dxa"/>
            <w:vAlign w:val="center"/>
            <w:hideMark/>
          </w:tcPr>
          <w:p w14:paraId="6066FA63" w14:textId="77777777" w:rsidR="00D85A1C" w:rsidRPr="00E406D7" w:rsidRDefault="00D85A1C" w:rsidP="00E406D7">
            <w:pPr>
              <w:jc w:val="center"/>
              <w:rPr>
                <w:rFonts w:ascii="Times New Roman" w:hAnsi="Times New Roman" w:cs="Times New Roman"/>
                <w:sz w:val="28"/>
                <w:szCs w:val="22"/>
              </w:rPr>
            </w:pPr>
            <w:r w:rsidRPr="00E406D7">
              <w:rPr>
                <w:rFonts w:ascii="Times New Roman" w:hAnsi="Times New Roman" w:cs="Times New Roman"/>
                <w:sz w:val="28"/>
                <w:szCs w:val="22"/>
              </w:rPr>
              <w:t>158·99</w:t>
            </w:r>
          </w:p>
        </w:tc>
      </w:tr>
      <w:tr w:rsidR="00D85A1C" w:rsidRPr="00E406D7" w14:paraId="687E6BBD" w14:textId="77777777" w:rsidTr="00114C2A">
        <w:trPr>
          <w:trHeight w:val="24"/>
          <w:jc w:val="center"/>
        </w:trPr>
        <w:tc>
          <w:tcPr>
            <w:tcW w:w="2122" w:type="dxa"/>
            <w:vAlign w:val="center"/>
            <w:hideMark/>
          </w:tcPr>
          <w:p w14:paraId="4EE83EC4" w14:textId="77777777" w:rsidR="00D85A1C" w:rsidRPr="00E406D7" w:rsidRDefault="00D85A1C" w:rsidP="00E406D7">
            <w:pPr>
              <w:jc w:val="center"/>
              <w:rPr>
                <w:rFonts w:ascii="Times New Roman" w:hAnsi="Times New Roman" w:cs="Times New Roman"/>
                <w:sz w:val="28"/>
                <w:szCs w:val="22"/>
              </w:rPr>
            </w:pPr>
            <w:r w:rsidRPr="00E406D7">
              <w:rPr>
                <w:rFonts w:ascii="Times New Roman" w:hAnsi="Times New Roman" w:cs="Times New Roman"/>
                <w:sz w:val="28"/>
                <w:szCs w:val="22"/>
              </w:rPr>
              <w:t>Haryana</w:t>
            </w:r>
          </w:p>
        </w:tc>
        <w:tc>
          <w:tcPr>
            <w:tcW w:w="2780" w:type="dxa"/>
            <w:vAlign w:val="center"/>
            <w:hideMark/>
          </w:tcPr>
          <w:p w14:paraId="3EBCB527" w14:textId="77777777" w:rsidR="00D85A1C" w:rsidRPr="00E406D7" w:rsidRDefault="00D85A1C" w:rsidP="00E406D7">
            <w:pPr>
              <w:jc w:val="center"/>
              <w:rPr>
                <w:rFonts w:ascii="Times New Roman" w:hAnsi="Times New Roman" w:cs="Times New Roman"/>
                <w:sz w:val="28"/>
                <w:szCs w:val="22"/>
              </w:rPr>
            </w:pPr>
            <w:r w:rsidRPr="00E406D7">
              <w:rPr>
                <w:rFonts w:ascii="Times New Roman" w:hAnsi="Times New Roman" w:cs="Times New Roman"/>
                <w:sz w:val="28"/>
                <w:szCs w:val="22"/>
              </w:rPr>
              <w:t>79·88</w:t>
            </w:r>
          </w:p>
        </w:tc>
      </w:tr>
      <w:tr w:rsidR="00D85A1C" w:rsidRPr="00E406D7" w14:paraId="4D3AA6F8" w14:textId="77777777" w:rsidTr="00114C2A">
        <w:trPr>
          <w:trHeight w:val="24"/>
          <w:jc w:val="center"/>
        </w:trPr>
        <w:tc>
          <w:tcPr>
            <w:tcW w:w="2122" w:type="dxa"/>
            <w:vAlign w:val="center"/>
            <w:hideMark/>
          </w:tcPr>
          <w:p w14:paraId="54F811F1" w14:textId="77777777" w:rsidR="00D85A1C" w:rsidRPr="00E406D7" w:rsidRDefault="00D85A1C" w:rsidP="00E406D7">
            <w:pPr>
              <w:jc w:val="center"/>
              <w:rPr>
                <w:rFonts w:ascii="Times New Roman" w:hAnsi="Times New Roman" w:cs="Times New Roman"/>
                <w:sz w:val="28"/>
                <w:szCs w:val="22"/>
              </w:rPr>
            </w:pPr>
            <w:r w:rsidRPr="00E406D7">
              <w:rPr>
                <w:rFonts w:ascii="Times New Roman" w:hAnsi="Times New Roman" w:cs="Times New Roman"/>
                <w:sz w:val="28"/>
                <w:szCs w:val="22"/>
              </w:rPr>
              <w:t>Madhya Pradesh</w:t>
            </w:r>
          </w:p>
        </w:tc>
        <w:tc>
          <w:tcPr>
            <w:tcW w:w="2780" w:type="dxa"/>
            <w:vAlign w:val="center"/>
            <w:hideMark/>
          </w:tcPr>
          <w:p w14:paraId="4BD5340D" w14:textId="77777777" w:rsidR="00D85A1C" w:rsidRPr="00E406D7" w:rsidRDefault="00D85A1C" w:rsidP="00E406D7">
            <w:pPr>
              <w:jc w:val="center"/>
              <w:rPr>
                <w:rFonts w:ascii="Times New Roman" w:hAnsi="Times New Roman" w:cs="Times New Roman"/>
                <w:sz w:val="28"/>
                <w:szCs w:val="22"/>
              </w:rPr>
            </w:pPr>
            <w:r w:rsidRPr="00E406D7">
              <w:rPr>
                <w:rFonts w:ascii="Times New Roman" w:hAnsi="Times New Roman" w:cs="Times New Roman"/>
                <w:sz w:val="28"/>
                <w:szCs w:val="22"/>
              </w:rPr>
              <w:t>15·09</w:t>
            </w:r>
          </w:p>
        </w:tc>
      </w:tr>
      <w:tr w:rsidR="00D85A1C" w:rsidRPr="00E406D7" w14:paraId="52CB1475" w14:textId="77777777" w:rsidTr="00114C2A">
        <w:trPr>
          <w:trHeight w:val="24"/>
          <w:jc w:val="center"/>
        </w:trPr>
        <w:tc>
          <w:tcPr>
            <w:tcW w:w="2122" w:type="dxa"/>
            <w:vAlign w:val="center"/>
            <w:hideMark/>
          </w:tcPr>
          <w:p w14:paraId="5E246689" w14:textId="77777777" w:rsidR="00D85A1C" w:rsidRPr="00E406D7" w:rsidRDefault="00D85A1C" w:rsidP="00E406D7">
            <w:pPr>
              <w:jc w:val="center"/>
              <w:rPr>
                <w:rFonts w:ascii="Times New Roman" w:hAnsi="Times New Roman" w:cs="Times New Roman"/>
                <w:sz w:val="28"/>
                <w:szCs w:val="22"/>
              </w:rPr>
            </w:pPr>
            <w:r w:rsidRPr="00E406D7">
              <w:rPr>
                <w:rFonts w:ascii="Times New Roman" w:hAnsi="Times New Roman" w:cs="Times New Roman"/>
                <w:sz w:val="28"/>
                <w:szCs w:val="22"/>
              </w:rPr>
              <w:t>Maharashtra</w:t>
            </w:r>
          </w:p>
        </w:tc>
        <w:tc>
          <w:tcPr>
            <w:tcW w:w="2780" w:type="dxa"/>
            <w:vAlign w:val="center"/>
            <w:hideMark/>
          </w:tcPr>
          <w:p w14:paraId="357E8BEF" w14:textId="77777777" w:rsidR="00D85A1C" w:rsidRPr="00E406D7" w:rsidRDefault="00D85A1C" w:rsidP="00E406D7">
            <w:pPr>
              <w:jc w:val="center"/>
              <w:rPr>
                <w:rFonts w:ascii="Times New Roman" w:hAnsi="Times New Roman" w:cs="Times New Roman"/>
                <w:sz w:val="28"/>
                <w:szCs w:val="22"/>
              </w:rPr>
            </w:pPr>
            <w:r w:rsidRPr="00E406D7">
              <w:rPr>
                <w:rFonts w:ascii="Times New Roman" w:hAnsi="Times New Roman" w:cs="Times New Roman"/>
                <w:sz w:val="28"/>
                <w:szCs w:val="22"/>
              </w:rPr>
              <w:t>419·29</w:t>
            </w:r>
          </w:p>
        </w:tc>
      </w:tr>
      <w:tr w:rsidR="00D85A1C" w:rsidRPr="00E406D7" w14:paraId="56733289" w14:textId="77777777" w:rsidTr="00114C2A">
        <w:trPr>
          <w:trHeight w:val="24"/>
          <w:jc w:val="center"/>
        </w:trPr>
        <w:tc>
          <w:tcPr>
            <w:tcW w:w="2122" w:type="dxa"/>
            <w:vAlign w:val="center"/>
            <w:hideMark/>
          </w:tcPr>
          <w:p w14:paraId="53DCB507" w14:textId="77777777" w:rsidR="00D85A1C" w:rsidRPr="00E406D7" w:rsidRDefault="00D85A1C" w:rsidP="00E406D7">
            <w:pPr>
              <w:jc w:val="center"/>
              <w:rPr>
                <w:rFonts w:ascii="Times New Roman" w:hAnsi="Times New Roman" w:cs="Times New Roman"/>
                <w:sz w:val="28"/>
                <w:szCs w:val="22"/>
              </w:rPr>
            </w:pPr>
            <w:r w:rsidRPr="00E406D7">
              <w:rPr>
                <w:rFonts w:ascii="Times New Roman" w:hAnsi="Times New Roman" w:cs="Times New Roman"/>
                <w:sz w:val="28"/>
                <w:szCs w:val="22"/>
              </w:rPr>
              <w:t>Punjab</w:t>
            </w:r>
          </w:p>
        </w:tc>
        <w:tc>
          <w:tcPr>
            <w:tcW w:w="2780" w:type="dxa"/>
            <w:vAlign w:val="center"/>
            <w:hideMark/>
          </w:tcPr>
          <w:p w14:paraId="5519B64B" w14:textId="77777777" w:rsidR="00D85A1C" w:rsidRPr="00E406D7" w:rsidRDefault="00D85A1C" w:rsidP="00E406D7">
            <w:pPr>
              <w:jc w:val="center"/>
              <w:rPr>
                <w:rFonts w:ascii="Times New Roman" w:hAnsi="Times New Roman" w:cs="Times New Roman"/>
                <w:sz w:val="28"/>
                <w:szCs w:val="22"/>
              </w:rPr>
            </w:pPr>
            <w:r w:rsidRPr="00E406D7">
              <w:rPr>
                <w:rFonts w:ascii="Times New Roman" w:hAnsi="Times New Roman" w:cs="Times New Roman"/>
                <w:sz w:val="28"/>
                <w:szCs w:val="22"/>
              </w:rPr>
              <w:t>117·22</w:t>
            </w:r>
          </w:p>
        </w:tc>
      </w:tr>
      <w:tr w:rsidR="00D85A1C" w:rsidRPr="00E406D7" w14:paraId="60E5CE22" w14:textId="77777777" w:rsidTr="00114C2A">
        <w:trPr>
          <w:trHeight w:val="24"/>
          <w:jc w:val="center"/>
        </w:trPr>
        <w:tc>
          <w:tcPr>
            <w:tcW w:w="2122" w:type="dxa"/>
            <w:vAlign w:val="center"/>
            <w:hideMark/>
          </w:tcPr>
          <w:p w14:paraId="1C66A310" w14:textId="77777777" w:rsidR="00D85A1C" w:rsidRPr="00E406D7" w:rsidRDefault="00D85A1C" w:rsidP="00E406D7">
            <w:pPr>
              <w:jc w:val="center"/>
              <w:rPr>
                <w:rFonts w:ascii="Times New Roman" w:hAnsi="Times New Roman" w:cs="Times New Roman"/>
                <w:sz w:val="28"/>
                <w:szCs w:val="22"/>
              </w:rPr>
            </w:pPr>
            <w:r w:rsidRPr="00E406D7">
              <w:rPr>
                <w:rFonts w:ascii="Times New Roman" w:hAnsi="Times New Roman" w:cs="Times New Roman"/>
                <w:sz w:val="28"/>
                <w:szCs w:val="22"/>
              </w:rPr>
              <w:t>Uttar Pradesh</w:t>
            </w:r>
          </w:p>
        </w:tc>
        <w:tc>
          <w:tcPr>
            <w:tcW w:w="2780" w:type="dxa"/>
            <w:vAlign w:val="center"/>
            <w:hideMark/>
          </w:tcPr>
          <w:p w14:paraId="288A68DE" w14:textId="77777777" w:rsidR="00D85A1C" w:rsidRPr="00E406D7" w:rsidRDefault="00D85A1C" w:rsidP="00E406D7">
            <w:pPr>
              <w:jc w:val="center"/>
              <w:rPr>
                <w:rFonts w:ascii="Times New Roman" w:hAnsi="Times New Roman" w:cs="Times New Roman"/>
                <w:sz w:val="28"/>
                <w:szCs w:val="22"/>
              </w:rPr>
            </w:pPr>
            <w:r w:rsidRPr="00E406D7">
              <w:rPr>
                <w:rFonts w:ascii="Times New Roman" w:hAnsi="Times New Roman" w:cs="Times New Roman"/>
                <w:sz w:val="28"/>
                <w:szCs w:val="22"/>
              </w:rPr>
              <w:t>280·87</w:t>
            </w:r>
          </w:p>
        </w:tc>
      </w:tr>
      <w:tr w:rsidR="00D85A1C" w:rsidRPr="00E406D7" w14:paraId="7BE19224" w14:textId="77777777" w:rsidTr="00114C2A">
        <w:trPr>
          <w:trHeight w:val="24"/>
          <w:jc w:val="center"/>
        </w:trPr>
        <w:tc>
          <w:tcPr>
            <w:tcW w:w="2122" w:type="dxa"/>
            <w:vAlign w:val="center"/>
            <w:hideMark/>
          </w:tcPr>
          <w:p w14:paraId="6B21E51C" w14:textId="77777777" w:rsidR="00D85A1C" w:rsidRPr="00E406D7" w:rsidRDefault="00D85A1C" w:rsidP="00E406D7">
            <w:pPr>
              <w:jc w:val="center"/>
              <w:rPr>
                <w:rFonts w:ascii="Times New Roman" w:hAnsi="Times New Roman" w:cs="Times New Roman"/>
                <w:sz w:val="28"/>
                <w:szCs w:val="22"/>
              </w:rPr>
            </w:pPr>
            <w:r w:rsidRPr="00E406D7">
              <w:rPr>
                <w:rFonts w:ascii="Times New Roman" w:hAnsi="Times New Roman" w:cs="Times New Roman"/>
                <w:sz w:val="28"/>
                <w:szCs w:val="22"/>
              </w:rPr>
              <w:t>TOTAL</w:t>
            </w:r>
          </w:p>
        </w:tc>
        <w:tc>
          <w:tcPr>
            <w:tcW w:w="2780" w:type="dxa"/>
            <w:vAlign w:val="center"/>
            <w:hideMark/>
          </w:tcPr>
          <w:p w14:paraId="0E5F5F8E" w14:textId="77777777" w:rsidR="00D85A1C" w:rsidRPr="00E406D7" w:rsidRDefault="00D85A1C" w:rsidP="00E406D7">
            <w:pPr>
              <w:jc w:val="center"/>
              <w:rPr>
                <w:rFonts w:ascii="Times New Roman" w:hAnsi="Times New Roman" w:cs="Times New Roman"/>
                <w:sz w:val="28"/>
                <w:szCs w:val="22"/>
              </w:rPr>
            </w:pPr>
            <w:r w:rsidRPr="00E406D7">
              <w:rPr>
                <w:rFonts w:ascii="Times New Roman" w:hAnsi="Times New Roman" w:cs="Times New Roman"/>
                <w:sz w:val="28"/>
                <w:szCs w:val="22"/>
              </w:rPr>
              <w:t>1270·80</w:t>
            </w:r>
          </w:p>
        </w:tc>
      </w:tr>
    </w:tbl>
    <w:p w14:paraId="0BABD604" w14:textId="77777777" w:rsidR="0031269B" w:rsidRPr="00FF13CC" w:rsidRDefault="0031269B" w:rsidP="00E406D7">
      <w:pPr>
        <w:spacing w:line="310" w:lineRule="exact"/>
        <w:ind w:left="-142"/>
        <w:jc w:val="both"/>
        <w:rPr>
          <w:rFonts w:ascii="Times New Roman" w:hAnsi="Times New Roman" w:cs="Times New Roman"/>
          <w:sz w:val="28"/>
          <w:szCs w:val="22"/>
        </w:rPr>
      </w:pPr>
      <w:r w:rsidRPr="00FF13CC">
        <w:rPr>
          <w:rFonts w:ascii="Times New Roman" w:hAnsi="Times New Roman" w:cs="Times New Roman"/>
          <w:sz w:val="28"/>
          <w:szCs w:val="22"/>
        </w:rPr>
        <w:t>Of these States, Haryana, Maharashtra and Punjab had a revenue surplus according to our assessment, even without devolutions. The level of expenditure in Bihar and Uttar Pradesh was found to be low, and the deficits of these two States, as assessed by us, were much smaller than the devolutions which they will get on the basis of the principles adopted by us.</w:t>
      </w:r>
    </w:p>
    <w:p w14:paraId="5A3E0289" w14:textId="36BD80F8" w:rsidR="0031269B" w:rsidRPr="007245B0" w:rsidRDefault="0031269B" w:rsidP="00E406D7">
      <w:pPr>
        <w:pStyle w:val="Heading3"/>
        <w:keepNext w:val="0"/>
        <w:spacing w:after="0"/>
      </w:pPr>
      <w:r w:rsidRPr="007245B0">
        <w:t>After making the assessments of the forecasts of revenue receipts and non-Plan revenue expenditure of the States as indicated in paragraph 6.47, and taking into account the provisions mentioned in paragraph 6.45 to the inclusion of which the Chairman and Shri Swaminathan do not agree, we recommend that the following States, which will be in need of assistance after the transfers to them by devolution of taxes and their share of the grant in lieu of the tax on railway passenger fares and the proceeds of additional excise duties as recommended by us, be paid sums specified against each of them as grants-in-aid of their revenues in the respective years indicated below under the substantive part of Clause (1) of Article 275 of the Constitution:</w:t>
      </w:r>
    </w:p>
    <w:p w14:paraId="736CC6A2" w14:textId="77777777" w:rsidR="00E406D7" w:rsidRDefault="00E406D7" w:rsidP="00E406D7">
      <w:pPr>
        <w:spacing w:after="0"/>
        <w:ind w:left="-142"/>
        <w:jc w:val="right"/>
        <w:rPr>
          <w:rFonts w:ascii="Times New Roman" w:hAnsi="Times New Roman" w:cs="Times New Roman"/>
          <w:i/>
          <w:iCs/>
          <w:szCs w:val="20"/>
        </w:rPr>
      </w:pPr>
    </w:p>
    <w:p w14:paraId="20520248" w14:textId="7DD870D0" w:rsidR="0031269B" w:rsidRPr="00E406D7" w:rsidRDefault="0031269B" w:rsidP="00E406D7">
      <w:pPr>
        <w:spacing w:after="0"/>
        <w:ind w:left="-142"/>
        <w:jc w:val="right"/>
        <w:rPr>
          <w:rFonts w:ascii="Times New Roman" w:hAnsi="Times New Roman" w:cs="Times New Roman"/>
          <w:i/>
          <w:iCs/>
          <w:szCs w:val="20"/>
        </w:rPr>
      </w:pPr>
      <w:r w:rsidRPr="00E406D7">
        <w:rPr>
          <w:rFonts w:ascii="Times New Roman" w:hAnsi="Times New Roman" w:cs="Times New Roman"/>
          <w:i/>
          <w:iCs/>
          <w:szCs w:val="20"/>
        </w:rPr>
        <w:lastRenderedPageBreak/>
        <w:t>(Rs. crores)</w:t>
      </w:r>
    </w:p>
    <w:tbl>
      <w:tblPr>
        <w:tblStyle w:val="TableGrid"/>
        <w:tblW w:w="9684" w:type="dxa"/>
        <w:jc w:val="center"/>
        <w:tblLook w:val="04A0" w:firstRow="1" w:lastRow="0" w:firstColumn="1" w:lastColumn="0" w:noHBand="0" w:noVBand="1"/>
      </w:tblPr>
      <w:tblGrid>
        <w:gridCol w:w="2263"/>
        <w:gridCol w:w="1465"/>
        <w:gridCol w:w="1160"/>
        <w:gridCol w:w="1160"/>
        <w:gridCol w:w="1159"/>
        <w:gridCol w:w="1308"/>
        <w:gridCol w:w="1169"/>
      </w:tblGrid>
      <w:tr w:rsidR="008828F5" w:rsidRPr="00114C2A" w14:paraId="4DFEB5FC" w14:textId="77777777" w:rsidTr="00E406D7">
        <w:trPr>
          <w:trHeight w:val="713"/>
          <w:jc w:val="center"/>
        </w:trPr>
        <w:tc>
          <w:tcPr>
            <w:tcW w:w="2263" w:type="dxa"/>
            <w:vMerge w:val="restart"/>
            <w:vAlign w:val="center"/>
          </w:tcPr>
          <w:p w14:paraId="33CF7141" w14:textId="159C5AE1" w:rsidR="008828F5" w:rsidRPr="00114C2A" w:rsidRDefault="008828F5" w:rsidP="00E406D7">
            <w:pPr>
              <w:jc w:val="center"/>
              <w:rPr>
                <w:rFonts w:ascii="Times New Roman" w:hAnsi="Times New Roman" w:cs="Times New Roman"/>
                <w:b/>
                <w:bCs/>
                <w:szCs w:val="24"/>
              </w:rPr>
            </w:pPr>
            <w:r w:rsidRPr="00114C2A">
              <w:rPr>
                <w:rFonts w:ascii="Times New Roman" w:hAnsi="Times New Roman" w:cs="Times New Roman"/>
                <w:b/>
                <w:bCs/>
                <w:szCs w:val="24"/>
              </w:rPr>
              <w:t>State</w:t>
            </w:r>
          </w:p>
        </w:tc>
        <w:tc>
          <w:tcPr>
            <w:tcW w:w="1465" w:type="dxa"/>
            <w:vMerge w:val="restart"/>
            <w:vAlign w:val="center"/>
          </w:tcPr>
          <w:p w14:paraId="0D085254" w14:textId="7A0CFD7F" w:rsidR="008828F5" w:rsidRPr="00114C2A" w:rsidRDefault="008828F5" w:rsidP="00E406D7">
            <w:pPr>
              <w:jc w:val="center"/>
              <w:rPr>
                <w:rFonts w:ascii="Times New Roman" w:hAnsi="Times New Roman" w:cs="Times New Roman"/>
                <w:b/>
                <w:bCs/>
                <w:szCs w:val="24"/>
              </w:rPr>
            </w:pPr>
            <w:r w:rsidRPr="00114C2A">
              <w:rPr>
                <w:rFonts w:ascii="Times New Roman" w:hAnsi="Times New Roman" w:cs="Times New Roman"/>
                <w:b/>
                <w:bCs/>
                <w:szCs w:val="24"/>
              </w:rPr>
              <w:t>Total of the sums to be paid in the five years</w:t>
            </w:r>
          </w:p>
        </w:tc>
        <w:tc>
          <w:tcPr>
            <w:tcW w:w="5956" w:type="dxa"/>
            <w:gridSpan w:val="5"/>
            <w:vAlign w:val="center"/>
          </w:tcPr>
          <w:p w14:paraId="306FD9AE" w14:textId="7DAE9DB7" w:rsidR="008828F5" w:rsidRPr="00114C2A" w:rsidRDefault="008828F5" w:rsidP="00E406D7">
            <w:pPr>
              <w:jc w:val="center"/>
              <w:rPr>
                <w:rFonts w:ascii="Times New Roman" w:hAnsi="Times New Roman" w:cs="Times New Roman"/>
                <w:b/>
                <w:bCs/>
                <w:szCs w:val="24"/>
              </w:rPr>
            </w:pPr>
            <w:r w:rsidRPr="00114C2A">
              <w:rPr>
                <w:rFonts w:ascii="Times New Roman" w:hAnsi="Times New Roman" w:cs="Times New Roman"/>
                <w:b/>
                <w:bCs/>
                <w:szCs w:val="24"/>
              </w:rPr>
              <w:t>Grants-in-aid to be paid in</w:t>
            </w:r>
          </w:p>
        </w:tc>
      </w:tr>
      <w:tr w:rsidR="008828F5" w:rsidRPr="00114C2A" w14:paraId="6D9705BA" w14:textId="77777777" w:rsidTr="00E406D7">
        <w:trPr>
          <w:trHeight w:val="21"/>
          <w:jc w:val="center"/>
        </w:trPr>
        <w:tc>
          <w:tcPr>
            <w:tcW w:w="2263" w:type="dxa"/>
            <w:vMerge/>
            <w:vAlign w:val="center"/>
          </w:tcPr>
          <w:p w14:paraId="2E186A67" w14:textId="77777777" w:rsidR="008828F5" w:rsidRPr="00114C2A" w:rsidRDefault="008828F5" w:rsidP="00E406D7">
            <w:pPr>
              <w:jc w:val="center"/>
              <w:rPr>
                <w:rFonts w:ascii="Times New Roman" w:hAnsi="Times New Roman" w:cs="Times New Roman"/>
                <w:b/>
                <w:bCs/>
                <w:szCs w:val="24"/>
              </w:rPr>
            </w:pPr>
          </w:p>
        </w:tc>
        <w:tc>
          <w:tcPr>
            <w:tcW w:w="1465" w:type="dxa"/>
            <w:vMerge/>
            <w:vAlign w:val="center"/>
          </w:tcPr>
          <w:p w14:paraId="03EF4030" w14:textId="273C929F" w:rsidR="008828F5" w:rsidRPr="00114C2A" w:rsidRDefault="008828F5" w:rsidP="00E406D7">
            <w:pPr>
              <w:jc w:val="center"/>
              <w:rPr>
                <w:rFonts w:ascii="Times New Roman" w:hAnsi="Times New Roman" w:cs="Times New Roman"/>
                <w:b/>
                <w:bCs/>
                <w:szCs w:val="24"/>
              </w:rPr>
            </w:pPr>
          </w:p>
        </w:tc>
        <w:tc>
          <w:tcPr>
            <w:tcW w:w="1160" w:type="dxa"/>
            <w:vAlign w:val="center"/>
          </w:tcPr>
          <w:p w14:paraId="0C7E1807" w14:textId="5E759034" w:rsidR="008828F5" w:rsidRPr="00114C2A" w:rsidRDefault="008828F5" w:rsidP="00E406D7">
            <w:pPr>
              <w:jc w:val="center"/>
              <w:rPr>
                <w:rFonts w:ascii="Times New Roman" w:hAnsi="Times New Roman" w:cs="Times New Roman"/>
                <w:b/>
                <w:bCs/>
                <w:szCs w:val="24"/>
              </w:rPr>
            </w:pPr>
            <w:r w:rsidRPr="00114C2A">
              <w:rPr>
                <w:rFonts w:ascii="Times New Roman" w:hAnsi="Times New Roman" w:cs="Times New Roman"/>
                <w:b/>
                <w:bCs/>
                <w:szCs w:val="24"/>
              </w:rPr>
              <w:t>196</w:t>
            </w:r>
            <w:r>
              <w:rPr>
                <w:rFonts w:ascii="Times New Roman" w:hAnsi="Times New Roman" w:cs="Times New Roman"/>
                <w:b/>
                <w:bCs/>
                <w:szCs w:val="24"/>
              </w:rPr>
              <w:t>0</w:t>
            </w:r>
            <w:r w:rsidRPr="00114C2A">
              <w:rPr>
                <w:rFonts w:ascii="Times New Roman" w:hAnsi="Times New Roman" w:cs="Times New Roman"/>
                <w:b/>
                <w:bCs/>
                <w:szCs w:val="24"/>
              </w:rPr>
              <w:t>-70</w:t>
            </w:r>
          </w:p>
        </w:tc>
        <w:tc>
          <w:tcPr>
            <w:tcW w:w="1160" w:type="dxa"/>
            <w:vAlign w:val="center"/>
          </w:tcPr>
          <w:p w14:paraId="5C6C8CEC" w14:textId="5F2A0B22" w:rsidR="008828F5" w:rsidRPr="00114C2A" w:rsidRDefault="008828F5" w:rsidP="00E406D7">
            <w:pPr>
              <w:jc w:val="center"/>
              <w:rPr>
                <w:rFonts w:ascii="Times New Roman" w:hAnsi="Times New Roman" w:cs="Times New Roman"/>
                <w:b/>
                <w:bCs/>
                <w:szCs w:val="24"/>
              </w:rPr>
            </w:pPr>
            <w:r w:rsidRPr="00114C2A">
              <w:rPr>
                <w:rFonts w:ascii="Times New Roman" w:hAnsi="Times New Roman" w:cs="Times New Roman"/>
                <w:b/>
                <w:bCs/>
                <w:szCs w:val="24"/>
              </w:rPr>
              <w:t>1970-71</w:t>
            </w:r>
          </w:p>
        </w:tc>
        <w:tc>
          <w:tcPr>
            <w:tcW w:w="1159" w:type="dxa"/>
            <w:vAlign w:val="center"/>
          </w:tcPr>
          <w:p w14:paraId="4B672568" w14:textId="6AF9F4EF" w:rsidR="008828F5" w:rsidRPr="00114C2A" w:rsidRDefault="008828F5" w:rsidP="00E406D7">
            <w:pPr>
              <w:jc w:val="center"/>
              <w:rPr>
                <w:rFonts w:ascii="Times New Roman" w:hAnsi="Times New Roman" w:cs="Times New Roman"/>
                <w:b/>
                <w:bCs/>
                <w:szCs w:val="24"/>
              </w:rPr>
            </w:pPr>
            <w:r w:rsidRPr="00114C2A">
              <w:rPr>
                <w:rFonts w:ascii="Times New Roman" w:hAnsi="Times New Roman" w:cs="Times New Roman"/>
                <w:b/>
                <w:bCs/>
                <w:szCs w:val="24"/>
              </w:rPr>
              <w:t>1971-72</w:t>
            </w:r>
          </w:p>
        </w:tc>
        <w:tc>
          <w:tcPr>
            <w:tcW w:w="1308" w:type="dxa"/>
            <w:vAlign w:val="center"/>
          </w:tcPr>
          <w:p w14:paraId="4F12E14B" w14:textId="12367002" w:rsidR="008828F5" w:rsidRPr="00114C2A" w:rsidRDefault="008828F5" w:rsidP="00E406D7">
            <w:pPr>
              <w:jc w:val="center"/>
              <w:rPr>
                <w:rFonts w:ascii="Times New Roman" w:hAnsi="Times New Roman" w:cs="Times New Roman"/>
                <w:b/>
                <w:bCs/>
                <w:szCs w:val="24"/>
              </w:rPr>
            </w:pPr>
            <w:r w:rsidRPr="00114C2A">
              <w:rPr>
                <w:rFonts w:ascii="Times New Roman" w:hAnsi="Times New Roman" w:cs="Times New Roman"/>
                <w:b/>
                <w:bCs/>
                <w:szCs w:val="24"/>
              </w:rPr>
              <w:t>1972-73</w:t>
            </w:r>
          </w:p>
        </w:tc>
        <w:tc>
          <w:tcPr>
            <w:tcW w:w="1169" w:type="dxa"/>
            <w:vAlign w:val="center"/>
          </w:tcPr>
          <w:p w14:paraId="2259E446" w14:textId="6DC7E3B1" w:rsidR="008828F5" w:rsidRPr="00114C2A" w:rsidRDefault="008828F5" w:rsidP="00E406D7">
            <w:pPr>
              <w:jc w:val="center"/>
              <w:rPr>
                <w:rFonts w:ascii="Times New Roman" w:hAnsi="Times New Roman" w:cs="Times New Roman"/>
                <w:b/>
                <w:bCs/>
                <w:szCs w:val="24"/>
              </w:rPr>
            </w:pPr>
            <w:r w:rsidRPr="00114C2A">
              <w:rPr>
                <w:rFonts w:ascii="Times New Roman" w:hAnsi="Times New Roman" w:cs="Times New Roman"/>
                <w:b/>
                <w:bCs/>
                <w:szCs w:val="24"/>
              </w:rPr>
              <w:t>1973-74</w:t>
            </w:r>
          </w:p>
        </w:tc>
      </w:tr>
      <w:tr w:rsidR="0032622F" w:rsidRPr="00114C2A" w14:paraId="4D1F68CE" w14:textId="77777777" w:rsidTr="00E406D7">
        <w:trPr>
          <w:trHeight w:val="21"/>
          <w:jc w:val="center"/>
        </w:trPr>
        <w:tc>
          <w:tcPr>
            <w:tcW w:w="2263" w:type="dxa"/>
            <w:vAlign w:val="center"/>
            <w:hideMark/>
          </w:tcPr>
          <w:p w14:paraId="2ACFDDF5" w14:textId="77777777" w:rsidR="0032622F" w:rsidRPr="00114C2A" w:rsidRDefault="0032622F" w:rsidP="00E406D7">
            <w:pPr>
              <w:ind w:left="-142"/>
              <w:jc w:val="center"/>
              <w:rPr>
                <w:rFonts w:ascii="Times New Roman" w:hAnsi="Times New Roman" w:cs="Times New Roman"/>
                <w:szCs w:val="24"/>
              </w:rPr>
            </w:pPr>
            <w:r w:rsidRPr="00114C2A">
              <w:rPr>
                <w:rFonts w:ascii="Times New Roman" w:hAnsi="Times New Roman" w:cs="Times New Roman"/>
                <w:b/>
                <w:bCs/>
                <w:szCs w:val="24"/>
              </w:rPr>
              <w:t>1</w:t>
            </w:r>
          </w:p>
        </w:tc>
        <w:tc>
          <w:tcPr>
            <w:tcW w:w="1465" w:type="dxa"/>
            <w:vAlign w:val="center"/>
            <w:hideMark/>
          </w:tcPr>
          <w:p w14:paraId="0382C7A4" w14:textId="77777777" w:rsidR="0032622F" w:rsidRPr="00114C2A" w:rsidRDefault="0032622F" w:rsidP="00E406D7">
            <w:pPr>
              <w:ind w:left="-142"/>
              <w:jc w:val="center"/>
              <w:rPr>
                <w:rFonts w:ascii="Times New Roman" w:hAnsi="Times New Roman" w:cs="Times New Roman"/>
                <w:szCs w:val="24"/>
              </w:rPr>
            </w:pPr>
            <w:r w:rsidRPr="00114C2A">
              <w:rPr>
                <w:rFonts w:ascii="Times New Roman" w:hAnsi="Times New Roman" w:cs="Times New Roman"/>
                <w:b/>
                <w:bCs/>
                <w:szCs w:val="24"/>
              </w:rPr>
              <w:t>2</w:t>
            </w:r>
          </w:p>
        </w:tc>
        <w:tc>
          <w:tcPr>
            <w:tcW w:w="1160" w:type="dxa"/>
            <w:vAlign w:val="center"/>
            <w:hideMark/>
          </w:tcPr>
          <w:p w14:paraId="4B318491" w14:textId="77777777" w:rsidR="0032622F" w:rsidRPr="00114C2A" w:rsidRDefault="0032622F" w:rsidP="00E406D7">
            <w:pPr>
              <w:ind w:left="-142"/>
              <w:jc w:val="center"/>
              <w:rPr>
                <w:rFonts w:ascii="Times New Roman" w:hAnsi="Times New Roman" w:cs="Times New Roman"/>
                <w:szCs w:val="24"/>
              </w:rPr>
            </w:pPr>
            <w:r w:rsidRPr="00114C2A">
              <w:rPr>
                <w:rFonts w:ascii="Times New Roman" w:hAnsi="Times New Roman" w:cs="Times New Roman"/>
                <w:b/>
                <w:bCs/>
                <w:szCs w:val="24"/>
              </w:rPr>
              <w:t>3</w:t>
            </w:r>
          </w:p>
        </w:tc>
        <w:tc>
          <w:tcPr>
            <w:tcW w:w="1160" w:type="dxa"/>
            <w:vAlign w:val="center"/>
            <w:hideMark/>
          </w:tcPr>
          <w:p w14:paraId="45B78C09" w14:textId="77777777" w:rsidR="0032622F" w:rsidRPr="00114C2A" w:rsidRDefault="0032622F" w:rsidP="00E406D7">
            <w:pPr>
              <w:ind w:left="-142"/>
              <w:jc w:val="center"/>
              <w:rPr>
                <w:rFonts w:ascii="Times New Roman" w:hAnsi="Times New Roman" w:cs="Times New Roman"/>
                <w:szCs w:val="24"/>
              </w:rPr>
            </w:pPr>
            <w:r w:rsidRPr="00114C2A">
              <w:rPr>
                <w:rFonts w:ascii="Times New Roman" w:hAnsi="Times New Roman" w:cs="Times New Roman"/>
                <w:b/>
                <w:bCs/>
                <w:szCs w:val="24"/>
              </w:rPr>
              <w:t>4</w:t>
            </w:r>
          </w:p>
        </w:tc>
        <w:tc>
          <w:tcPr>
            <w:tcW w:w="1159" w:type="dxa"/>
            <w:vAlign w:val="center"/>
            <w:hideMark/>
          </w:tcPr>
          <w:p w14:paraId="2D841B8C" w14:textId="77777777" w:rsidR="0032622F" w:rsidRPr="00114C2A" w:rsidRDefault="0032622F" w:rsidP="00E406D7">
            <w:pPr>
              <w:ind w:left="-142"/>
              <w:jc w:val="center"/>
              <w:rPr>
                <w:rFonts w:ascii="Times New Roman" w:hAnsi="Times New Roman" w:cs="Times New Roman"/>
                <w:szCs w:val="24"/>
              </w:rPr>
            </w:pPr>
            <w:r w:rsidRPr="00114C2A">
              <w:rPr>
                <w:rFonts w:ascii="Times New Roman" w:hAnsi="Times New Roman" w:cs="Times New Roman"/>
                <w:b/>
                <w:bCs/>
                <w:szCs w:val="24"/>
              </w:rPr>
              <w:t>5</w:t>
            </w:r>
          </w:p>
        </w:tc>
        <w:tc>
          <w:tcPr>
            <w:tcW w:w="1308" w:type="dxa"/>
            <w:vAlign w:val="center"/>
            <w:hideMark/>
          </w:tcPr>
          <w:p w14:paraId="4021A160" w14:textId="77777777" w:rsidR="0032622F" w:rsidRPr="00114C2A" w:rsidRDefault="0032622F" w:rsidP="00E406D7">
            <w:pPr>
              <w:ind w:left="-142"/>
              <w:jc w:val="center"/>
              <w:rPr>
                <w:rFonts w:ascii="Times New Roman" w:hAnsi="Times New Roman" w:cs="Times New Roman"/>
                <w:szCs w:val="24"/>
              </w:rPr>
            </w:pPr>
            <w:r w:rsidRPr="00114C2A">
              <w:rPr>
                <w:rFonts w:ascii="Times New Roman" w:hAnsi="Times New Roman" w:cs="Times New Roman"/>
                <w:b/>
                <w:bCs/>
                <w:szCs w:val="24"/>
              </w:rPr>
              <w:t>6</w:t>
            </w:r>
          </w:p>
        </w:tc>
        <w:tc>
          <w:tcPr>
            <w:tcW w:w="1169" w:type="dxa"/>
            <w:vAlign w:val="center"/>
            <w:hideMark/>
          </w:tcPr>
          <w:p w14:paraId="6538BFB5" w14:textId="77777777" w:rsidR="0032622F" w:rsidRPr="00114C2A" w:rsidRDefault="0032622F" w:rsidP="00E406D7">
            <w:pPr>
              <w:ind w:left="-142"/>
              <w:jc w:val="center"/>
              <w:rPr>
                <w:rFonts w:ascii="Times New Roman" w:hAnsi="Times New Roman" w:cs="Times New Roman"/>
                <w:szCs w:val="24"/>
              </w:rPr>
            </w:pPr>
            <w:r w:rsidRPr="00114C2A">
              <w:rPr>
                <w:rFonts w:ascii="Times New Roman" w:hAnsi="Times New Roman" w:cs="Times New Roman"/>
                <w:b/>
                <w:bCs/>
                <w:szCs w:val="24"/>
              </w:rPr>
              <w:t>7</w:t>
            </w:r>
          </w:p>
        </w:tc>
      </w:tr>
      <w:tr w:rsidR="0032622F" w:rsidRPr="00114C2A" w14:paraId="00E29111" w14:textId="77777777" w:rsidTr="00E406D7">
        <w:trPr>
          <w:trHeight w:val="21"/>
          <w:jc w:val="center"/>
        </w:trPr>
        <w:tc>
          <w:tcPr>
            <w:tcW w:w="2263" w:type="dxa"/>
            <w:vAlign w:val="center"/>
            <w:hideMark/>
          </w:tcPr>
          <w:p w14:paraId="49048FCF" w14:textId="77777777" w:rsidR="0032622F" w:rsidRPr="00114C2A" w:rsidRDefault="0032622F" w:rsidP="00E406D7">
            <w:pPr>
              <w:ind w:left="-142"/>
              <w:rPr>
                <w:rFonts w:ascii="Times New Roman" w:hAnsi="Times New Roman" w:cs="Times New Roman"/>
                <w:szCs w:val="24"/>
              </w:rPr>
            </w:pPr>
            <w:r w:rsidRPr="00114C2A">
              <w:rPr>
                <w:rFonts w:ascii="Times New Roman" w:hAnsi="Times New Roman" w:cs="Times New Roman"/>
                <w:szCs w:val="24"/>
              </w:rPr>
              <w:t>Andhra Pradesh</w:t>
            </w:r>
          </w:p>
        </w:tc>
        <w:tc>
          <w:tcPr>
            <w:tcW w:w="1465" w:type="dxa"/>
            <w:vAlign w:val="center"/>
            <w:hideMark/>
          </w:tcPr>
          <w:p w14:paraId="4F0DE465" w14:textId="77777777" w:rsidR="0032622F" w:rsidRPr="00114C2A" w:rsidRDefault="0032622F" w:rsidP="00E406D7">
            <w:pPr>
              <w:ind w:left="-142"/>
              <w:jc w:val="center"/>
              <w:rPr>
                <w:rFonts w:ascii="Times New Roman" w:hAnsi="Times New Roman" w:cs="Times New Roman"/>
                <w:szCs w:val="24"/>
              </w:rPr>
            </w:pPr>
            <w:r w:rsidRPr="00114C2A">
              <w:rPr>
                <w:rFonts w:ascii="Times New Roman" w:hAnsi="Times New Roman" w:cs="Times New Roman"/>
                <w:szCs w:val="24"/>
              </w:rPr>
              <w:t>65·01</w:t>
            </w:r>
          </w:p>
        </w:tc>
        <w:tc>
          <w:tcPr>
            <w:tcW w:w="1160" w:type="dxa"/>
            <w:vAlign w:val="center"/>
            <w:hideMark/>
          </w:tcPr>
          <w:p w14:paraId="62FFDB9E" w14:textId="77777777" w:rsidR="0032622F" w:rsidRPr="00114C2A" w:rsidRDefault="0032622F" w:rsidP="00E406D7">
            <w:pPr>
              <w:ind w:left="-142"/>
              <w:jc w:val="center"/>
              <w:rPr>
                <w:rFonts w:ascii="Times New Roman" w:hAnsi="Times New Roman" w:cs="Times New Roman"/>
                <w:szCs w:val="24"/>
              </w:rPr>
            </w:pPr>
            <w:r w:rsidRPr="00114C2A">
              <w:rPr>
                <w:rFonts w:ascii="Times New Roman" w:hAnsi="Times New Roman" w:cs="Times New Roman"/>
                <w:szCs w:val="24"/>
              </w:rPr>
              <w:t>15·54</w:t>
            </w:r>
          </w:p>
        </w:tc>
        <w:tc>
          <w:tcPr>
            <w:tcW w:w="1160" w:type="dxa"/>
            <w:vAlign w:val="center"/>
            <w:hideMark/>
          </w:tcPr>
          <w:p w14:paraId="0C992FF1" w14:textId="77777777" w:rsidR="0032622F" w:rsidRPr="00114C2A" w:rsidRDefault="0032622F" w:rsidP="00E406D7">
            <w:pPr>
              <w:ind w:left="-142"/>
              <w:jc w:val="center"/>
              <w:rPr>
                <w:rFonts w:ascii="Times New Roman" w:hAnsi="Times New Roman" w:cs="Times New Roman"/>
                <w:szCs w:val="24"/>
              </w:rPr>
            </w:pPr>
            <w:r w:rsidRPr="00114C2A">
              <w:rPr>
                <w:rFonts w:ascii="Times New Roman" w:hAnsi="Times New Roman" w:cs="Times New Roman"/>
                <w:szCs w:val="24"/>
              </w:rPr>
              <w:t>14·27</w:t>
            </w:r>
          </w:p>
        </w:tc>
        <w:tc>
          <w:tcPr>
            <w:tcW w:w="1159" w:type="dxa"/>
            <w:vAlign w:val="center"/>
            <w:hideMark/>
          </w:tcPr>
          <w:p w14:paraId="6BD0E779" w14:textId="77777777" w:rsidR="0032622F" w:rsidRPr="00114C2A" w:rsidRDefault="0032622F" w:rsidP="00E406D7">
            <w:pPr>
              <w:ind w:left="-142"/>
              <w:jc w:val="center"/>
              <w:rPr>
                <w:rFonts w:ascii="Times New Roman" w:hAnsi="Times New Roman" w:cs="Times New Roman"/>
                <w:szCs w:val="24"/>
              </w:rPr>
            </w:pPr>
            <w:r w:rsidRPr="00114C2A">
              <w:rPr>
                <w:rFonts w:ascii="Times New Roman" w:hAnsi="Times New Roman" w:cs="Times New Roman"/>
                <w:szCs w:val="24"/>
              </w:rPr>
              <w:t>13·00</w:t>
            </w:r>
          </w:p>
        </w:tc>
        <w:tc>
          <w:tcPr>
            <w:tcW w:w="1308" w:type="dxa"/>
            <w:vAlign w:val="center"/>
            <w:hideMark/>
          </w:tcPr>
          <w:p w14:paraId="484CEC44" w14:textId="77777777" w:rsidR="0032622F" w:rsidRPr="00114C2A" w:rsidRDefault="0032622F" w:rsidP="00E406D7">
            <w:pPr>
              <w:ind w:left="-142"/>
              <w:jc w:val="center"/>
              <w:rPr>
                <w:rFonts w:ascii="Times New Roman" w:hAnsi="Times New Roman" w:cs="Times New Roman"/>
                <w:szCs w:val="24"/>
              </w:rPr>
            </w:pPr>
            <w:r w:rsidRPr="00114C2A">
              <w:rPr>
                <w:rFonts w:ascii="Times New Roman" w:hAnsi="Times New Roman" w:cs="Times New Roman"/>
                <w:szCs w:val="24"/>
              </w:rPr>
              <w:t>11·73</w:t>
            </w:r>
          </w:p>
        </w:tc>
        <w:tc>
          <w:tcPr>
            <w:tcW w:w="1169" w:type="dxa"/>
            <w:vAlign w:val="center"/>
            <w:hideMark/>
          </w:tcPr>
          <w:p w14:paraId="4A10C857" w14:textId="77777777" w:rsidR="0032622F" w:rsidRPr="00114C2A" w:rsidRDefault="0032622F" w:rsidP="00E406D7">
            <w:pPr>
              <w:ind w:left="-142"/>
              <w:jc w:val="center"/>
              <w:rPr>
                <w:rFonts w:ascii="Times New Roman" w:hAnsi="Times New Roman" w:cs="Times New Roman"/>
                <w:szCs w:val="24"/>
              </w:rPr>
            </w:pPr>
            <w:r w:rsidRPr="00114C2A">
              <w:rPr>
                <w:rFonts w:ascii="Times New Roman" w:hAnsi="Times New Roman" w:cs="Times New Roman"/>
                <w:szCs w:val="24"/>
              </w:rPr>
              <w:t>10·47</w:t>
            </w:r>
          </w:p>
        </w:tc>
      </w:tr>
      <w:tr w:rsidR="0032622F" w:rsidRPr="00114C2A" w14:paraId="7AA783C7" w14:textId="77777777" w:rsidTr="00E406D7">
        <w:trPr>
          <w:trHeight w:val="21"/>
          <w:jc w:val="center"/>
        </w:trPr>
        <w:tc>
          <w:tcPr>
            <w:tcW w:w="2263" w:type="dxa"/>
            <w:vAlign w:val="center"/>
            <w:hideMark/>
          </w:tcPr>
          <w:p w14:paraId="0EE3FC64" w14:textId="77777777" w:rsidR="0032622F" w:rsidRPr="00114C2A" w:rsidRDefault="0032622F" w:rsidP="00E406D7">
            <w:pPr>
              <w:ind w:left="-142"/>
              <w:rPr>
                <w:rFonts w:ascii="Times New Roman" w:hAnsi="Times New Roman" w:cs="Times New Roman"/>
                <w:szCs w:val="24"/>
              </w:rPr>
            </w:pPr>
            <w:r w:rsidRPr="00114C2A">
              <w:rPr>
                <w:rFonts w:ascii="Times New Roman" w:hAnsi="Times New Roman" w:cs="Times New Roman"/>
                <w:szCs w:val="24"/>
              </w:rPr>
              <w:t>Assam</w:t>
            </w:r>
          </w:p>
        </w:tc>
        <w:tc>
          <w:tcPr>
            <w:tcW w:w="1465" w:type="dxa"/>
            <w:vAlign w:val="center"/>
            <w:hideMark/>
          </w:tcPr>
          <w:p w14:paraId="5B56392E" w14:textId="77777777" w:rsidR="0032622F" w:rsidRPr="00114C2A" w:rsidRDefault="0032622F" w:rsidP="00E406D7">
            <w:pPr>
              <w:ind w:left="-142"/>
              <w:jc w:val="center"/>
              <w:rPr>
                <w:rFonts w:ascii="Times New Roman" w:hAnsi="Times New Roman" w:cs="Times New Roman"/>
                <w:szCs w:val="24"/>
              </w:rPr>
            </w:pPr>
            <w:r w:rsidRPr="00114C2A">
              <w:rPr>
                <w:rFonts w:ascii="Times New Roman" w:hAnsi="Times New Roman" w:cs="Times New Roman"/>
                <w:szCs w:val="24"/>
              </w:rPr>
              <w:t>101·97</w:t>
            </w:r>
          </w:p>
        </w:tc>
        <w:tc>
          <w:tcPr>
            <w:tcW w:w="1160" w:type="dxa"/>
            <w:vAlign w:val="center"/>
            <w:hideMark/>
          </w:tcPr>
          <w:p w14:paraId="15DC8F8A" w14:textId="77777777" w:rsidR="0032622F" w:rsidRPr="00114C2A" w:rsidRDefault="0032622F" w:rsidP="00E406D7">
            <w:pPr>
              <w:ind w:left="-142"/>
              <w:jc w:val="center"/>
              <w:rPr>
                <w:rFonts w:ascii="Times New Roman" w:hAnsi="Times New Roman" w:cs="Times New Roman"/>
                <w:szCs w:val="24"/>
              </w:rPr>
            </w:pPr>
            <w:r w:rsidRPr="00114C2A">
              <w:rPr>
                <w:rFonts w:ascii="Times New Roman" w:hAnsi="Times New Roman" w:cs="Times New Roman"/>
                <w:szCs w:val="24"/>
              </w:rPr>
              <w:t>20·80</w:t>
            </w:r>
          </w:p>
        </w:tc>
        <w:tc>
          <w:tcPr>
            <w:tcW w:w="1160" w:type="dxa"/>
            <w:vAlign w:val="center"/>
            <w:hideMark/>
          </w:tcPr>
          <w:p w14:paraId="497B59A1" w14:textId="77777777" w:rsidR="0032622F" w:rsidRPr="00114C2A" w:rsidRDefault="0032622F" w:rsidP="00E406D7">
            <w:pPr>
              <w:ind w:left="-142"/>
              <w:jc w:val="center"/>
              <w:rPr>
                <w:rFonts w:ascii="Times New Roman" w:hAnsi="Times New Roman" w:cs="Times New Roman"/>
                <w:szCs w:val="24"/>
              </w:rPr>
            </w:pPr>
            <w:r w:rsidRPr="00114C2A">
              <w:rPr>
                <w:rFonts w:ascii="Times New Roman" w:hAnsi="Times New Roman" w:cs="Times New Roman"/>
                <w:szCs w:val="24"/>
              </w:rPr>
              <w:t>20·60</w:t>
            </w:r>
          </w:p>
        </w:tc>
        <w:tc>
          <w:tcPr>
            <w:tcW w:w="1159" w:type="dxa"/>
            <w:vAlign w:val="center"/>
            <w:hideMark/>
          </w:tcPr>
          <w:p w14:paraId="1C2A4DAE" w14:textId="77777777" w:rsidR="0032622F" w:rsidRPr="00114C2A" w:rsidRDefault="0032622F" w:rsidP="00E406D7">
            <w:pPr>
              <w:ind w:left="-142"/>
              <w:jc w:val="center"/>
              <w:rPr>
                <w:rFonts w:ascii="Times New Roman" w:hAnsi="Times New Roman" w:cs="Times New Roman"/>
                <w:szCs w:val="24"/>
              </w:rPr>
            </w:pPr>
            <w:r w:rsidRPr="00114C2A">
              <w:rPr>
                <w:rFonts w:ascii="Times New Roman" w:hAnsi="Times New Roman" w:cs="Times New Roman"/>
                <w:szCs w:val="24"/>
              </w:rPr>
              <w:t>20·39</w:t>
            </w:r>
          </w:p>
        </w:tc>
        <w:tc>
          <w:tcPr>
            <w:tcW w:w="1308" w:type="dxa"/>
            <w:vAlign w:val="center"/>
            <w:hideMark/>
          </w:tcPr>
          <w:p w14:paraId="1DF2DE09" w14:textId="77777777" w:rsidR="0032622F" w:rsidRPr="00114C2A" w:rsidRDefault="0032622F" w:rsidP="00E406D7">
            <w:pPr>
              <w:ind w:left="-142"/>
              <w:jc w:val="center"/>
              <w:rPr>
                <w:rFonts w:ascii="Times New Roman" w:hAnsi="Times New Roman" w:cs="Times New Roman"/>
                <w:szCs w:val="24"/>
              </w:rPr>
            </w:pPr>
            <w:r w:rsidRPr="00114C2A">
              <w:rPr>
                <w:rFonts w:ascii="Times New Roman" w:hAnsi="Times New Roman" w:cs="Times New Roman"/>
                <w:szCs w:val="24"/>
              </w:rPr>
              <w:t>20·19</w:t>
            </w:r>
          </w:p>
        </w:tc>
        <w:tc>
          <w:tcPr>
            <w:tcW w:w="1169" w:type="dxa"/>
            <w:vAlign w:val="center"/>
            <w:hideMark/>
          </w:tcPr>
          <w:p w14:paraId="093CC03C" w14:textId="77777777" w:rsidR="0032622F" w:rsidRPr="00114C2A" w:rsidRDefault="0032622F" w:rsidP="00E406D7">
            <w:pPr>
              <w:ind w:left="-142"/>
              <w:jc w:val="center"/>
              <w:rPr>
                <w:rFonts w:ascii="Times New Roman" w:hAnsi="Times New Roman" w:cs="Times New Roman"/>
                <w:szCs w:val="24"/>
              </w:rPr>
            </w:pPr>
            <w:r w:rsidRPr="00114C2A">
              <w:rPr>
                <w:rFonts w:ascii="Times New Roman" w:hAnsi="Times New Roman" w:cs="Times New Roman"/>
                <w:szCs w:val="24"/>
              </w:rPr>
              <w:t>19·99</w:t>
            </w:r>
          </w:p>
        </w:tc>
      </w:tr>
      <w:tr w:rsidR="0032622F" w:rsidRPr="00114C2A" w14:paraId="30F8A0AC" w14:textId="77777777" w:rsidTr="00E406D7">
        <w:trPr>
          <w:trHeight w:val="21"/>
          <w:jc w:val="center"/>
        </w:trPr>
        <w:tc>
          <w:tcPr>
            <w:tcW w:w="2263" w:type="dxa"/>
            <w:vAlign w:val="center"/>
            <w:hideMark/>
          </w:tcPr>
          <w:p w14:paraId="07775C29" w14:textId="77777777" w:rsidR="0032622F" w:rsidRPr="00114C2A" w:rsidRDefault="0032622F" w:rsidP="00E406D7">
            <w:pPr>
              <w:ind w:left="-142"/>
              <w:rPr>
                <w:rFonts w:ascii="Times New Roman" w:hAnsi="Times New Roman" w:cs="Times New Roman"/>
                <w:szCs w:val="24"/>
              </w:rPr>
            </w:pPr>
            <w:r w:rsidRPr="00114C2A">
              <w:rPr>
                <w:rFonts w:ascii="Times New Roman" w:hAnsi="Times New Roman" w:cs="Times New Roman"/>
                <w:szCs w:val="24"/>
              </w:rPr>
              <w:t>Jammu &amp; Kashmir</w:t>
            </w:r>
          </w:p>
        </w:tc>
        <w:tc>
          <w:tcPr>
            <w:tcW w:w="1465" w:type="dxa"/>
            <w:vAlign w:val="center"/>
            <w:hideMark/>
          </w:tcPr>
          <w:p w14:paraId="091755E8" w14:textId="77777777" w:rsidR="0032622F" w:rsidRPr="00114C2A" w:rsidRDefault="0032622F" w:rsidP="00E406D7">
            <w:pPr>
              <w:ind w:left="-142"/>
              <w:jc w:val="center"/>
              <w:rPr>
                <w:rFonts w:ascii="Times New Roman" w:hAnsi="Times New Roman" w:cs="Times New Roman"/>
                <w:szCs w:val="24"/>
              </w:rPr>
            </w:pPr>
            <w:r w:rsidRPr="00114C2A">
              <w:rPr>
                <w:rFonts w:ascii="Times New Roman" w:hAnsi="Times New Roman" w:cs="Times New Roman"/>
                <w:szCs w:val="24"/>
              </w:rPr>
              <w:t>73·68</w:t>
            </w:r>
          </w:p>
        </w:tc>
        <w:tc>
          <w:tcPr>
            <w:tcW w:w="1160" w:type="dxa"/>
            <w:vAlign w:val="center"/>
            <w:hideMark/>
          </w:tcPr>
          <w:p w14:paraId="5F4763EB" w14:textId="77777777" w:rsidR="0032622F" w:rsidRPr="00114C2A" w:rsidRDefault="0032622F" w:rsidP="00E406D7">
            <w:pPr>
              <w:ind w:left="-142"/>
              <w:jc w:val="center"/>
              <w:rPr>
                <w:rFonts w:ascii="Times New Roman" w:hAnsi="Times New Roman" w:cs="Times New Roman"/>
                <w:szCs w:val="24"/>
              </w:rPr>
            </w:pPr>
            <w:r w:rsidRPr="00114C2A">
              <w:rPr>
                <w:rFonts w:ascii="Times New Roman" w:hAnsi="Times New Roman" w:cs="Times New Roman"/>
                <w:szCs w:val="24"/>
              </w:rPr>
              <w:t>16·81</w:t>
            </w:r>
          </w:p>
        </w:tc>
        <w:tc>
          <w:tcPr>
            <w:tcW w:w="1160" w:type="dxa"/>
            <w:vAlign w:val="center"/>
            <w:hideMark/>
          </w:tcPr>
          <w:p w14:paraId="50D128E1" w14:textId="77777777" w:rsidR="0032622F" w:rsidRPr="00114C2A" w:rsidRDefault="0032622F" w:rsidP="00E406D7">
            <w:pPr>
              <w:ind w:left="-142"/>
              <w:jc w:val="center"/>
              <w:rPr>
                <w:rFonts w:ascii="Times New Roman" w:hAnsi="Times New Roman" w:cs="Times New Roman"/>
                <w:szCs w:val="24"/>
              </w:rPr>
            </w:pPr>
            <w:r w:rsidRPr="00114C2A">
              <w:rPr>
                <w:rFonts w:ascii="Times New Roman" w:hAnsi="Times New Roman" w:cs="Times New Roman"/>
                <w:szCs w:val="24"/>
              </w:rPr>
              <w:t>15·77</w:t>
            </w:r>
          </w:p>
        </w:tc>
        <w:tc>
          <w:tcPr>
            <w:tcW w:w="1159" w:type="dxa"/>
            <w:vAlign w:val="center"/>
            <w:hideMark/>
          </w:tcPr>
          <w:p w14:paraId="031A18E8" w14:textId="77777777" w:rsidR="0032622F" w:rsidRPr="00114C2A" w:rsidRDefault="0032622F" w:rsidP="00E406D7">
            <w:pPr>
              <w:ind w:left="-142"/>
              <w:jc w:val="center"/>
              <w:rPr>
                <w:rFonts w:ascii="Times New Roman" w:hAnsi="Times New Roman" w:cs="Times New Roman"/>
                <w:szCs w:val="24"/>
              </w:rPr>
            </w:pPr>
            <w:r w:rsidRPr="00114C2A">
              <w:rPr>
                <w:rFonts w:ascii="Times New Roman" w:hAnsi="Times New Roman" w:cs="Times New Roman"/>
                <w:szCs w:val="24"/>
              </w:rPr>
              <w:t>14·74</w:t>
            </w:r>
          </w:p>
        </w:tc>
        <w:tc>
          <w:tcPr>
            <w:tcW w:w="1308" w:type="dxa"/>
            <w:vAlign w:val="center"/>
            <w:hideMark/>
          </w:tcPr>
          <w:p w14:paraId="1B3A359B" w14:textId="77777777" w:rsidR="0032622F" w:rsidRPr="00114C2A" w:rsidRDefault="0032622F" w:rsidP="00E406D7">
            <w:pPr>
              <w:ind w:left="-142"/>
              <w:jc w:val="center"/>
              <w:rPr>
                <w:rFonts w:ascii="Times New Roman" w:hAnsi="Times New Roman" w:cs="Times New Roman"/>
                <w:szCs w:val="24"/>
              </w:rPr>
            </w:pPr>
            <w:r w:rsidRPr="00114C2A">
              <w:rPr>
                <w:rFonts w:ascii="Times New Roman" w:hAnsi="Times New Roman" w:cs="Times New Roman"/>
                <w:szCs w:val="24"/>
              </w:rPr>
              <w:t>13·70</w:t>
            </w:r>
          </w:p>
        </w:tc>
        <w:tc>
          <w:tcPr>
            <w:tcW w:w="1169" w:type="dxa"/>
            <w:vAlign w:val="center"/>
            <w:hideMark/>
          </w:tcPr>
          <w:p w14:paraId="23272D11" w14:textId="77777777" w:rsidR="0032622F" w:rsidRPr="00114C2A" w:rsidRDefault="0032622F" w:rsidP="00E406D7">
            <w:pPr>
              <w:ind w:left="-142"/>
              <w:jc w:val="center"/>
              <w:rPr>
                <w:rFonts w:ascii="Times New Roman" w:hAnsi="Times New Roman" w:cs="Times New Roman"/>
                <w:szCs w:val="24"/>
              </w:rPr>
            </w:pPr>
            <w:r w:rsidRPr="00114C2A">
              <w:rPr>
                <w:rFonts w:ascii="Times New Roman" w:hAnsi="Times New Roman" w:cs="Times New Roman"/>
                <w:szCs w:val="24"/>
              </w:rPr>
              <w:t>12·66</w:t>
            </w:r>
          </w:p>
        </w:tc>
      </w:tr>
      <w:tr w:rsidR="0032622F" w:rsidRPr="00114C2A" w14:paraId="635923B5" w14:textId="77777777" w:rsidTr="00E406D7">
        <w:trPr>
          <w:trHeight w:val="21"/>
          <w:jc w:val="center"/>
        </w:trPr>
        <w:tc>
          <w:tcPr>
            <w:tcW w:w="2263" w:type="dxa"/>
            <w:vAlign w:val="center"/>
            <w:hideMark/>
          </w:tcPr>
          <w:p w14:paraId="4D38A280" w14:textId="77777777" w:rsidR="0032622F" w:rsidRPr="00114C2A" w:rsidRDefault="0032622F" w:rsidP="00E406D7">
            <w:pPr>
              <w:ind w:left="-142"/>
              <w:rPr>
                <w:rFonts w:ascii="Times New Roman" w:hAnsi="Times New Roman" w:cs="Times New Roman"/>
                <w:szCs w:val="24"/>
              </w:rPr>
            </w:pPr>
            <w:r w:rsidRPr="00114C2A">
              <w:rPr>
                <w:rFonts w:ascii="Times New Roman" w:hAnsi="Times New Roman" w:cs="Times New Roman"/>
                <w:szCs w:val="24"/>
              </w:rPr>
              <w:t>Kerala</w:t>
            </w:r>
          </w:p>
        </w:tc>
        <w:tc>
          <w:tcPr>
            <w:tcW w:w="1465" w:type="dxa"/>
            <w:vAlign w:val="center"/>
            <w:hideMark/>
          </w:tcPr>
          <w:p w14:paraId="10BEF54D" w14:textId="77777777" w:rsidR="0032622F" w:rsidRPr="00114C2A" w:rsidRDefault="0032622F" w:rsidP="00E406D7">
            <w:pPr>
              <w:ind w:left="-142"/>
              <w:jc w:val="center"/>
              <w:rPr>
                <w:rFonts w:ascii="Times New Roman" w:hAnsi="Times New Roman" w:cs="Times New Roman"/>
                <w:szCs w:val="24"/>
              </w:rPr>
            </w:pPr>
            <w:r w:rsidRPr="00114C2A">
              <w:rPr>
                <w:rFonts w:ascii="Times New Roman" w:hAnsi="Times New Roman" w:cs="Times New Roman"/>
                <w:szCs w:val="24"/>
              </w:rPr>
              <w:t>49·65</w:t>
            </w:r>
          </w:p>
        </w:tc>
        <w:tc>
          <w:tcPr>
            <w:tcW w:w="1160" w:type="dxa"/>
            <w:vAlign w:val="center"/>
            <w:hideMark/>
          </w:tcPr>
          <w:p w14:paraId="08D53490" w14:textId="77777777" w:rsidR="0032622F" w:rsidRPr="00114C2A" w:rsidRDefault="0032622F" w:rsidP="00E406D7">
            <w:pPr>
              <w:ind w:left="-142"/>
              <w:jc w:val="center"/>
              <w:rPr>
                <w:rFonts w:ascii="Times New Roman" w:hAnsi="Times New Roman" w:cs="Times New Roman"/>
                <w:szCs w:val="24"/>
              </w:rPr>
            </w:pPr>
            <w:r w:rsidRPr="00114C2A">
              <w:rPr>
                <w:rFonts w:ascii="Times New Roman" w:hAnsi="Times New Roman" w:cs="Times New Roman"/>
                <w:szCs w:val="24"/>
              </w:rPr>
              <w:t>9·93</w:t>
            </w:r>
          </w:p>
        </w:tc>
        <w:tc>
          <w:tcPr>
            <w:tcW w:w="1160" w:type="dxa"/>
            <w:vAlign w:val="center"/>
            <w:hideMark/>
          </w:tcPr>
          <w:p w14:paraId="764E2484" w14:textId="77777777" w:rsidR="0032622F" w:rsidRPr="00114C2A" w:rsidRDefault="0032622F" w:rsidP="00E406D7">
            <w:pPr>
              <w:ind w:left="-142"/>
              <w:jc w:val="center"/>
              <w:rPr>
                <w:rFonts w:ascii="Times New Roman" w:hAnsi="Times New Roman" w:cs="Times New Roman"/>
                <w:szCs w:val="24"/>
              </w:rPr>
            </w:pPr>
            <w:r w:rsidRPr="00114C2A">
              <w:rPr>
                <w:rFonts w:ascii="Times New Roman" w:hAnsi="Times New Roman" w:cs="Times New Roman"/>
                <w:szCs w:val="24"/>
              </w:rPr>
              <w:t>9·93</w:t>
            </w:r>
          </w:p>
        </w:tc>
        <w:tc>
          <w:tcPr>
            <w:tcW w:w="1159" w:type="dxa"/>
            <w:vAlign w:val="center"/>
            <w:hideMark/>
          </w:tcPr>
          <w:p w14:paraId="2EDBE29A" w14:textId="77777777" w:rsidR="0032622F" w:rsidRPr="00114C2A" w:rsidRDefault="0032622F" w:rsidP="00E406D7">
            <w:pPr>
              <w:ind w:left="-142"/>
              <w:jc w:val="center"/>
              <w:rPr>
                <w:rFonts w:ascii="Times New Roman" w:hAnsi="Times New Roman" w:cs="Times New Roman"/>
                <w:szCs w:val="24"/>
              </w:rPr>
            </w:pPr>
            <w:r w:rsidRPr="00114C2A">
              <w:rPr>
                <w:rFonts w:ascii="Times New Roman" w:hAnsi="Times New Roman" w:cs="Times New Roman"/>
                <w:szCs w:val="24"/>
              </w:rPr>
              <w:t>9·93</w:t>
            </w:r>
          </w:p>
        </w:tc>
        <w:tc>
          <w:tcPr>
            <w:tcW w:w="1308" w:type="dxa"/>
            <w:vAlign w:val="center"/>
            <w:hideMark/>
          </w:tcPr>
          <w:p w14:paraId="4490F128" w14:textId="77777777" w:rsidR="0032622F" w:rsidRPr="00114C2A" w:rsidRDefault="0032622F" w:rsidP="00E406D7">
            <w:pPr>
              <w:ind w:left="-142"/>
              <w:jc w:val="center"/>
              <w:rPr>
                <w:rFonts w:ascii="Times New Roman" w:hAnsi="Times New Roman" w:cs="Times New Roman"/>
                <w:szCs w:val="24"/>
              </w:rPr>
            </w:pPr>
            <w:r w:rsidRPr="00114C2A">
              <w:rPr>
                <w:rFonts w:ascii="Times New Roman" w:hAnsi="Times New Roman" w:cs="Times New Roman"/>
                <w:szCs w:val="24"/>
              </w:rPr>
              <w:t>9·93</w:t>
            </w:r>
          </w:p>
        </w:tc>
        <w:tc>
          <w:tcPr>
            <w:tcW w:w="1169" w:type="dxa"/>
            <w:vAlign w:val="center"/>
            <w:hideMark/>
          </w:tcPr>
          <w:p w14:paraId="078062C0" w14:textId="77777777" w:rsidR="0032622F" w:rsidRPr="00114C2A" w:rsidRDefault="0032622F" w:rsidP="00E406D7">
            <w:pPr>
              <w:ind w:left="-142"/>
              <w:jc w:val="center"/>
              <w:rPr>
                <w:rFonts w:ascii="Times New Roman" w:hAnsi="Times New Roman" w:cs="Times New Roman"/>
                <w:szCs w:val="24"/>
              </w:rPr>
            </w:pPr>
            <w:r w:rsidRPr="00114C2A">
              <w:rPr>
                <w:rFonts w:ascii="Times New Roman" w:hAnsi="Times New Roman" w:cs="Times New Roman"/>
                <w:szCs w:val="24"/>
              </w:rPr>
              <w:t>9·93</w:t>
            </w:r>
          </w:p>
        </w:tc>
      </w:tr>
      <w:tr w:rsidR="0032622F" w:rsidRPr="00114C2A" w14:paraId="7EAE8A53" w14:textId="77777777" w:rsidTr="00E406D7">
        <w:trPr>
          <w:trHeight w:val="21"/>
          <w:jc w:val="center"/>
        </w:trPr>
        <w:tc>
          <w:tcPr>
            <w:tcW w:w="2263" w:type="dxa"/>
            <w:vAlign w:val="center"/>
            <w:hideMark/>
          </w:tcPr>
          <w:p w14:paraId="6DBBCD4A" w14:textId="77777777" w:rsidR="0032622F" w:rsidRPr="00114C2A" w:rsidRDefault="0032622F" w:rsidP="00E406D7">
            <w:pPr>
              <w:ind w:left="-142"/>
              <w:rPr>
                <w:rFonts w:ascii="Times New Roman" w:hAnsi="Times New Roman" w:cs="Times New Roman"/>
                <w:szCs w:val="24"/>
              </w:rPr>
            </w:pPr>
            <w:r w:rsidRPr="00114C2A">
              <w:rPr>
                <w:rFonts w:ascii="Times New Roman" w:hAnsi="Times New Roman" w:cs="Times New Roman"/>
                <w:szCs w:val="24"/>
              </w:rPr>
              <w:t>Mysore</w:t>
            </w:r>
          </w:p>
        </w:tc>
        <w:tc>
          <w:tcPr>
            <w:tcW w:w="1465" w:type="dxa"/>
            <w:vAlign w:val="center"/>
            <w:hideMark/>
          </w:tcPr>
          <w:p w14:paraId="58BF775C" w14:textId="77777777" w:rsidR="0032622F" w:rsidRPr="00114C2A" w:rsidRDefault="0032622F" w:rsidP="00E406D7">
            <w:pPr>
              <w:ind w:left="-142"/>
              <w:jc w:val="center"/>
              <w:rPr>
                <w:rFonts w:ascii="Times New Roman" w:hAnsi="Times New Roman" w:cs="Times New Roman"/>
                <w:szCs w:val="24"/>
              </w:rPr>
            </w:pPr>
            <w:r w:rsidRPr="00114C2A">
              <w:rPr>
                <w:rFonts w:ascii="Times New Roman" w:hAnsi="Times New Roman" w:cs="Times New Roman"/>
                <w:szCs w:val="24"/>
              </w:rPr>
              <w:t>17·99</w:t>
            </w:r>
          </w:p>
        </w:tc>
        <w:tc>
          <w:tcPr>
            <w:tcW w:w="1160" w:type="dxa"/>
            <w:vAlign w:val="center"/>
            <w:hideMark/>
          </w:tcPr>
          <w:p w14:paraId="4452D86B" w14:textId="77777777" w:rsidR="0032622F" w:rsidRPr="00114C2A" w:rsidRDefault="0032622F" w:rsidP="00E406D7">
            <w:pPr>
              <w:ind w:left="-142"/>
              <w:jc w:val="center"/>
              <w:rPr>
                <w:rFonts w:ascii="Times New Roman" w:hAnsi="Times New Roman" w:cs="Times New Roman"/>
                <w:szCs w:val="24"/>
              </w:rPr>
            </w:pPr>
            <w:r w:rsidRPr="00114C2A">
              <w:rPr>
                <w:rFonts w:ascii="Times New Roman" w:hAnsi="Times New Roman" w:cs="Times New Roman"/>
                <w:szCs w:val="24"/>
              </w:rPr>
              <w:t>6·48</w:t>
            </w:r>
          </w:p>
        </w:tc>
        <w:tc>
          <w:tcPr>
            <w:tcW w:w="1160" w:type="dxa"/>
            <w:vAlign w:val="center"/>
            <w:hideMark/>
          </w:tcPr>
          <w:p w14:paraId="39454C1A" w14:textId="77777777" w:rsidR="0032622F" w:rsidRPr="00114C2A" w:rsidRDefault="0032622F" w:rsidP="00E406D7">
            <w:pPr>
              <w:ind w:left="-142"/>
              <w:jc w:val="center"/>
              <w:rPr>
                <w:rFonts w:ascii="Times New Roman" w:hAnsi="Times New Roman" w:cs="Times New Roman"/>
                <w:szCs w:val="24"/>
              </w:rPr>
            </w:pPr>
            <w:r w:rsidRPr="00114C2A">
              <w:rPr>
                <w:rFonts w:ascii="Times New Roman" w:hAnsi="Times New Roman" w:cs="Times New Roman"/>
                <w:szCs w:val="24"/>
              </w:rPr>
              <w:t>5·04</w:t>
            </w:r>
          </w:p>
        </w:tc>
        <w:tc>
          <w:tcPr>
            <w:tcW w:w="1159" w:type="dxa"/>
            <w:vAlign w:val="center"/>
            <w:hideMark/>
          </w:tcPr>
          <w:p w14:paraId="32854302" w14:textId="77777777" w:rsidR="0032622F" w:rsidRPr="00114C2A" w:rsidRDefault="0032622F" w:rsidP="00E406D7">
            <w:pPr>
              <w:ind w:left="-142"/>
              <w:jc w:val="center"/>
              <w:rPr>
                <w:rFonts w:ascii="Times New Roman" w:hAnsi="Times New Roman" w:cs="Times New Roman"/>
                <w:szCs w:val="24"/>
              </w:rPr>
            </w:pPr>
            <w:r w:rsidRPr="00114C2A">
              <w:rPr>
                <w:rFonts w:ascii="Times New Roman" w:hAnsi="Times New Roman" w:cs="Times New Roman"/>
                <w:szCs w:val="24"/>
              </w:rPr>
              <w:t>3·60</w:t>
            </w:r>
          </w:p>
        </w:tc>
        <w:tc>
          <w:tcPr>
            <w:tcW w:w="1308" w:type="dxa"/>
            <w:vAlign w:val="center"/>
            <w:hideMark/>
          </w:tcPr>
          <w:p w14:paraId="3D687B18" w14:textId="77777777" w:rsidR="0032622F" w:rsidRPr="00114C2A" w:rsidRDefault="0032622F" w:rsidP="00E406D7">
            <w:pPr>
              <w:ind w:left="-142"/>
              <w:jc w:val="center"/>
              <w:rPr>
                <w:rFonts w:ascii="Times New Roman" w:hAnsi="Times New Roman" w:cs="Times New Roman"/>
                <w:szCs w:val="24"/>
              </w:rPr>
            </w:pPr>
            <w:r w:rsidRPr="00114C2A">
              <w:rPr>
                <w:rFonts w:ascii="Times New Roman" w:hAnsi="Times New Roman" w:cs="Times New Roman"/>
                <w:szCs w:val="24"/>
              </w:rPr>
              <w:t>2·16</w:t>
            </w:r>
          </w:p>
        </w:tc>
        <w:tc>
          <w:tcPr>
            <w:tcW w:w="1169" w:type="dxa"/>
            <w:vAlign w:val="center"/>
            <w:hideMark/>
          </w:tcPr>
          <w:p w14:paraId="6C47199D" w14:textId="77777777" w:rsidR="0032622F" w:rsidRPr="00114C2A" w:rsidRDefault="0032622F" w:rsidP="00E406D7">
            <w:pPr>
              <w:ind w:left="-142"/>
              <w:jc w:val="center"/>
              <w:rPr>
                <w:rFonts w:ascii="Times New Roman" w:hAnsi="Times New Roman" w:cs="Times New Roman"/>
                <w:szCs w:val="24"/>
              </w:rPr>
            </w:pPr>
            <w:r w:rsidRPr="00114C2A">
              <w:rPr>
                <w:rFonts w:ascii="Times New Roman" w:hAnsi="Times New Roman" w:cs="Times New Roman"/>
                <w:szCs w:val="24"/>
              </w:rPr>
              <w:t>0·71</w:t>
            </w:r>
          </w:p>
        </w:tc>
      </w:tr>
      <w:tr w:rsidR="0032622F" w:rsidRPr="00114C2A" w14:paraId="5E409521" w14:textId="77777777" w:rsidTr="00E406D7">
        <w:trPr>
          <w:trHeight w:val="21"/>
          <w:jc w:val="center"/>
        </w:trPr>
        <w:tc>
          <w:tcPr>
            <w:tcW w:w="2263" w:type="dxa"/>
            <w:vAlign w:val="center"/>
            <w:hideMark/>
          </w:tcPr>
          <w:p w14:paraId="08FDA0BF" w14:textId="77777777" w:rsidR="0032622F" w:rsidRPr="00114C2A" w:rsidRDefault="0032622F" w:rsidP="00E406D7">
            <w:pPr>
              <w:ind w:left="-142"/>
              <w:rPr>
                <w:rFonts w:ascii="Times New Roman" w:hAnsi="Times New Roman" w:cs="Times New Roman"/>
                <w:szCs w:val="24"/>
              </w:rPr>
            </w:pPr>
            <w:r w:rsidRPr="00114C2A">
              <w:rPr>
                <w:rFonts w:ascii="Times New Roman" w:hAnsi="Times New Roman" w:cs="Times New Roman"/>
                <w:szCs w:val="24"/>
              </w:rPr>
              <w:t>Nagaland</w:t>
            </w:r>
          </w:p>
        </w:tc>
        <w:tc>
          <w:tcPr>
            <w:tcW w:w="1465" w:type="dxa"/>
            <w:vAlign w:val="center"/>
            <w:hideMark/>
          </w:tcPr>
          <w:p w14:paraId="050C65FB" w14:textId="77777777" w:rsidR="0032622F" w:rsidRPr="00114C2A" w:rsidRDefault="0032622F" w:rsidP="00E406D7">
            <w:pPr>
              <w:ind w:left="-142"/>
              <w:jc w:val="center"/>
              <w:rPr>
                <w:rFonts w:ascii="Times New Roman" w:hAnsi="Times New Roman" w:cs="Times New Roman"/>
                <w:szCs w:val="24"/>
              </w:rPr>
            </w:pPr>
            <w:r w:rsidRPr="00114C2A">
              <w:rPr>
                <w:rFonts w:ascii="Times New Roman" w:hAnsi="Times New Roman" w:cs="Times New Roman"/>
                <w:szCs w:val="24"/>
              </w:rPr>
              <w:t>77·95</w:t>
            </w:r>
          </w:p>
        </w:tc>
        <w:tc>
          <w:tcPr>
            <w:tcW w:w="1160" w:type="dxa"/>
            <w:vAlign w:val="center"/>
            <w:hideMark/>
          </w:tcPr>
          <w:p w14:paraId="47B0F033" w14:textId="77777777" w:rsidR="0032622F" w:rsidRPr="00114C2A" w:rsidRDefault="0032622F" w:rsidP="00E406D7">
            <w:pPr>
              <w:ind w:left="-142"/>
              <w:jc w:val="center"/>
              <w:rPr>
                <w:rFonts w:ascii="Times New Roman" w:hAnsi="Times New Roman" w:cs="Times New Roman"/>
                <w:szCs w:val="24"/>
              </w:rPr>
            </w:pPr>
            <w:r w:rsidRPr="00114C2A">
              <w:rPr>
                <w:rFonts w:ascii="Times New Roman" w:hAnsi="Times New Roman" w:cs="Times New Roman"/>
                <w:szCs w:val="24"/>
              </w:rPr>
              <w:t>17·40</w:t>
            </w:r>
          </w:p>
        </w:tc>
        <w:tc>
          <w:tcPr>
            <w:tcW w:w="1160" w:type="dxa"/>
            <w:vAlign w:val="center"/>
            <w:hideMark/>
          </w:tcPr>
          <w:p w14:paraId="69FBC032" w14:textId="77777777" w:rsidR="0032622F" w:rsidRPr="00114C2A" w:rsidRDefault="0032622F" w:rsidP="00E406D7">
            <w:pPr>
              <w:ind w:left="-142"/>
              <w:jc w:val="center"/>
              <w:rPr>
                <w:rFonts w:ascii="Times New Roman" w:hAnsi="Times New Roman" w:cs="Times New Roman"/>
                <w:szCs w:val="24"/>
              </w:rPr>
            </w:pPr>
            <w:r w:rsidRPr="00114C2A">
              <w:rPr>
                <w:rFonts w:ascii="Times New Roman" w:hAnsi="Times New Roman" w:cs="Times New Roman"/>
                <w:szCs w:val="24"/>
              </w:rPr>
              <w:t>16·49</w:t>
            </w:r>
          </w:p>
        </w:tc>
        <w:tc>
          <w:tcPr>
            <w:tcW w:w="1159" w:type="dxa"/>
            <w:vAlign w:val="center"/>
            <w:hideMark/>
          </w:tcPr>
          <w:p w14:paraId="7A093F0A" w14:textId="77777777" w:rsidR="0032622F" w:rsidRPr="00114C2A" w:rsidRDefault="0032622F" w:rsidP="00E406D7">
            <w:pPr>
              <w:ind w:left="-142"/>
              <w:jc w:val="center"/>
              <w:rPr>
                <w:rFonts w:ascii="Times New Roman" w:hAnsi="Times New Roman" w:cs="Times New Roman"/>
                <w:szCs w:val="24"/>
              </w:rPr>
            </w:pPr>
            <w:r w:rsidRPr="00114C2A">
              <w:rPr>
                <w:rFonts w:ascii="Times New Roman" w:hAnsi="Times New Roman" w:cs="Times New Roman"/>
                <w:szCs w:val="24"/>
              </w:rPr>
              <w:t>15·59</w:t>
            </w:r>
          </w:p>
        </w:tc>
        <w:tc>
          <w:tcPr>
            <w:tcW w:w="1308" w:type="dxa"/>
            <w:vAlign w:val="center"/>
            <w:hideMark/>
          </w:tcPr>
          <w:p w14:paraId="4FC44CA8" w14:textId="77777777" w:rsidR="0032622F" w:rsidRPr="00114C2A" w:rsidRDefault="0032622F" w:rsidP="00E406D7">
            <w:pPr>
              <w:ind w:left="-142"/>
              <w:jc w:val="center"/>
              <w:rPr>
                <w:rFonts w:ascii="Times New Roman" w:hAnsi="Times New Roman" w:cs="Times New Roman"/>
                <w:szCs w:val="24"/>
              </w:rPr>
            </w:pPr>
            <w:r w:rsidRPr="00114C2A">
              <w:rPr>
                <w:rFonts w:ascii="Times New Roman" w:hAnsi="Times New Roman" w:cs="Times New Roman"/>
                <w:szCs w:val="24"/>
              </w:rPr>
              <w:t>14·69</w:t>
            </w:r>
          </w:p>
        </w:tc>
        <w:tc>
          <w:tcPr>
            <w:tcW w:w="1169" w:type="dxa"/>
            <w:vAlign w:val="center"/>
            <w:hideMark/>
          </w:tcPr>
          <w:p w14:paraId="38BDA3C5" w14:textId="77777777" w:rsidR="0032622F" w:rsidRPr="00114C2A" w:rsidRDefault="0032622F" w:rsidP="00E406D7">
            <w:pPr>
              <w:ind w:left="-142"/>
              <w:jc w:val="center"/>
              <w:rPr>
                <w:rFonts w:ascii="Times New Roman" w:hAnsi="Times New Roman" w:cs="Times New Roman"/>
                <w:szCs w:val="24"/>
              </w:rPr>
            </w:pPr>
            <w:r w:rsidRPr="00114C2A">
              <w:rPr>
                <w:rFonts w:ascii="Times New Roman" w:hAnsi="Times New Roman" w:cs="Times New Roman"/>
                <w:szCs w:val="24"/>
              </w:rPr>
              <w:t>13·78</w:t>
            </w:r>
          </w:p>
        </w:tc>
      </w:tr>
      <w:tr w:rsidR="0032622F" w:rsidRPr="00114C2A" w14:paraId="7E2EB0A2" w14:textId="77777777" w:rsidTr="00E406D7">
        <w:trPr>
          <w:trHeight w:val="21"/>
          <w:jc w:val="center"/>
        </w:trPr>
        <w:tc>
          <w:tcPr>
            <w:tcW w:w="2263" w:type="dxa"/>
            <w:vAlign w:val="center"/>
            <w:hideMark/>
          </w:tcPr>
          <w:p w14:paraId="6EA607A6" w14:textId="77777777" w:rsidR="0032622F" w:rsidRPr="00114C2A" w:rsidRDefault="0032622F" w:rsidP="00E406D7">
            <w:pPr>
              <w:ind w:left="-142"/>
              <w:rPr>
                <w:rFonts w:ascii="Times New Roman" w:hAnsi="Times New Roman" w:cs="Times New Roman"/>
                <w:szCs w:val="24"/>
              </w:rPr>
            </w:pPr>
            <w:r w:rsidRPr="00114C2A">
              <w:rPr>
                <w:rFonts w:ascii="Times New Roman" w:hAnsi="Times New Roman" w:cs="Times New Roman"/>
                <w:szCs w:val="24"/>
              </w:rPr>
              <w:t>Orissa</w:t>
            </w:r>
          </w:p>
        </w:tc>
        <w:tc>
          <w:tcPr>
            <w:tcW w:w="1465" w:type="dxa"/>
            <w:vAlign w:val="center"/>
            <w:hideMark/>
          </w:tcPr>
          <w:p w14:paraId="72806463" w14:textId="77777777" w:rsidR="0032622F" w:rsidRPr="00114C2A" w:rsidRDefault="0032622F" w:rsidP="00E406D7">
            <w:pPr>
              <w:ind w:left="-142"/>
              <w:jc w:val="center"/>
              <w:rPr>
                <w:rFonts w:ascii="Times New Roman" w:hAnsi="Times New Roman" w:cs="Times New Roman"/>
                <w:szCs w:val="24"/>
              </w:rPr>
            </w:pPr>
            <w:r w:rsidRPr="00114C2A">
              <w:rPr>
                <w:rFonts w:ascii="Times New Roman" w:hAnsi="Times New Roman" w:cs="Times New Roman"/>
                <w:szCs w:val="24"/>
              </w:rPr>
              <w:t>104·67</w:t>
            </w:r>
          </w:p>
        </w:tc>
        <w:tc>
          <w:tcPr>
            <w:tcW w:w="1160" w:type="dxa"/>
            <w:vAlign w:val="center"/>
            <w:hideMark/>
          </w:tcPr>
          <w:p w14:paraId="4298182F" w14:textId="77777777" w:rsidR="0032622F" w:rsidRPr="00114C2A" w:rsidRDefault="0032622F" w:rsidP="00E406D7">
            <w:pPr>
              <w:ind w:left="-142"/>
              <w:jc w:val="center"/>
              <w:rPr>
                <w:rFonts w:ascii="Times New Roman" w:hAnsi="Times New Roman" w:cs="Times New Roman"/>
                <w:szCs w:val="24"/>
              </w:rPr>
            </w:pPr>
            <w:r w:rsidRPr="00114C2A">
              <w:rPr>
                <w:rFonts w:ascii="Times New Roman" w:hAnsi="Times New Roman" w:cs="Times New Roman"/>
                <w:szCs w:val="24"/>
              </w:rPr>
              <w:t>24·51</w:t>
            </w:r>
          </w:p>
        </w:tc>
        <w:tc>
          <w:tcPr>
            <w:tcW w:w="1160" w:type="dxa"/>
            <w:vAlign w:val="center"/>
            <w:hideMark/>
          </w:tcPr>
          <w:p w14:paraId="5FE4A468" w14:textId="77777777" w:rsidR="0032622F" w:rsidRPr="00114C2A" w:rsidRDefault="0032622F" w:rsidP="00E406D7">
            <w:pPr>
              <w:ind w:left="-142"/>
              <w:jc w:val="center"/>
              <w:rPr>
                <w:rFonts w:ascii="Times New Roman" w:hAnsi="Times New Roman" w:cs="Times New Roman"/>
                <w:szCs w:val="24"/>
              </w:rPr>
            </w:pPr>
            <w:r w:rsidRPr="00114C2A">
              <w:rPr>
                <w:rFonts w:ascii="Times New Roman" w:hAnsi="Times New Roman" w:cs="Times New Roman"/>
                <w:szCs w:val="24"/>
              </w:rPr>
              <w:t>22·72</w:t>
            </w:r>
          </w:p>
        </w:tc>
        <w:tc>
          <w:tcPr>
            <w:tcW w:w="1159" w:type="dxa"/>
            <w:vAlign w:val="center"/>
            <w:hideMark/>
          </w:tcPr>
          <w:p w14:paraId="618401BF" w14:textId="77777777" w:rsidR="0032622F" w:rsidRPr="00114C2A" w:rsidRDefault="0032622F" w:rsidP="00E406D7">
            <w:pPr>
              <w:ind w:left="-142"/>
              <w:jc w:val="center"/>
              <w:rPr>
                <w:rFonts w:ascii="Times New Roman" w:hAnsi="Times New Roman" w:cs="Times New Roman"/>
                <w:szCs w:val="24"/>
              </w:rPr>
            </w:pPr>
            <w:r w:rsidRPr="00114C2A">
              <w:rPr>
                <w:rFonts w:ascii="Times New Roman" w:hAnsi="Times New Roman" w:cs="Times New Roman"/>
                <w:szCs w:val="24"/>
              </w:rPr>
              <w:t>20·94</w:t>
            </w:r>
          </w:p>
        </w:tc>
        <w:tc>
          <w:tcPr>
            <w:tcW w:w="1308" w:type="dxa"/>
            <w:vAlign w:val="center"/>
            <w:hideMark/>
          </w:tcPr>
          <w:p w14:paraId="2043DFAB" w14:textId="77777777" w:rsidR="0032622F" w:rsidRPr="00114C2A" w:rsidRDefault="0032622F" w:rsidP="00E406D7">
            <w:pPr>
              <w:ind w:left="-142"/>
              <w:jc w:val="center"/>
              <w:rPr>
                <w:rFonts w:ascii="Times New Roman" w:hAnsi="Times New Roman" w:cs="Times New Roman"/>
                <w:szCs w:val="24"/>
              </w:rPr>
            </w:pPr>
            <w:r w:rsidRPr="00114C2A">
              <w:rPr>
                <w:rFonts w:ascii="Times New Roman" w:hAnsi="Times New Roman" w:cs="Times New Roman"/>
                <w:szCs w:val="24"/>
              </w:rPr>
              <w:t>19·14</w:t>
            </w:r>
          </w:p>
        </w:tc>
        <w:tc>
          <w:tcPr>
            <w:tcW w:w="1169" w:type="dxa"/>
            <w:vAlign w:val="center"/>
            <w:hideMark/>
          </w:tcPr>
          <w:p w14:paraId="66E87072" w14:textId="77777777" w:rsidR="0032622F" w:rsidRPr="00114C2A" w:rsidRDefault="0032622F" w:rsidP="00E406D7">
            <w:pPr>
              <w:ind w:left="-142"/>
              <w:jc w:val="center"/>
              <w:rPr>
                <w:rFonts w:ascii="Times New Roman" w:hAnsi="Times New Roman" w:cs="Times New Roman"/>
                <w:szCs w:val="24"/>
              </w:rPr>
            </w:pPr>
            <w:r w:rsidRPr="00114C2A">
              <w:rPr>
                <w:rFonts w:ascii="Times New Roman" w:hAnsi="Times New Roman" w:cs="Times New Roman"/>
                <w:szCs w:val="24"/>
              </w:rPr>
              <w:t>17·36</w:t>
            </w:r>
          </w:p>
        </w:tc>
      </w:tr>
      <w:tr w:rsidR="0032622F" w:rsidRPr="00114C2A" w14:paraId="66AE85B5" w14:textId="77777777" w:rsidTr="00E406D7">
        <w:trPr>
          <w:trHeight w:val="21"/>
          <w:jc w:val="center"/>
        </w:trPr>
        <w:tc>
          <w:tcPr>
            <w:tcW w:w="2263" w:type="dxa"/>
            <w:vAlign w:val="center"/>
            <w:hideMark/>
          </w:tcPr>
          <w:p w14:paraId="603B3448" w14:textId="77777777" w:rsidR="0032622F" w:rsidRPr="00114C2A" w:rsidRDefault="0032622F" w:rsidP="00E406D7">
            <w:pPr>
              <w:ind w:left="-142"/>
              <w:rPr>
                <w:rFonts w:ascii="Times New Roman" w:hAnsi="Times New Roman" w:cs="Times New Roman"/>
                <w:szCs w:val="24"/>
              </w:rPr>
            </w:pPr>
            <w:r w:rsidRPr="00114C2A">
              <w:rPr>
                <w:rFonts w:ascii="Times New Roman" w:hAnsi="Times New Roman" w:cs="Times New Roman"/>
                <w:szCs w:val="24"/>
              </w:rPr>
              <w:t>Rajasthan</w:t>
            </w:r>
          </w:p>
        </w:tc>
        <w:tc>
          <w:tcPr>
            <w:tcW w:w="1465" w:type="dxa"/>
            <w:vAlign w:val="center"/>
            <w:hideMark/>
          </w:tcPr>
          <w:p w14:paraId="5A518AB1" w14:textId="77777777" w:rsidR="0032622F" w:rsidRPr="00114C2A" w:rsidRDefault="0032622F" w:rsidP="00E406D7">
            <w:pPr>
              <w:ind w:left="-142"/>
              <w:jc w:val="center"/>
              <w:rPr>
                <w:rFonts w:ascii="Times New Roman" w:hAnsi="Times New Roman" w:cs="Times New Roman"/>
                <w:szCs w:val="24"/>
              </w:rPr>
            </w:pPr>
            <w:r w:rsidRPr="00114C2A">
              <w:rPr>
                <w:rFonts w:ascii="Times New Roman" w:hAnsi="Times New Roman" w:cs="Times New Roman"/>
                <w:szCs w:val="24"/>
              </w:rPr>
              <w:t>51·49</w:t>
            </w:r>
          </w:p>
        </w:tc>
        <w:tc>
          <w:tcPr>
            <w:tcW w:w="1160" w:type="dxa"/>
            <w:vAlign w:val="center"/>
            <w:hideMark/>
          </w:tcPr>
          <w:p w14:paraId="05428EA8" w14:textId="77777777" w:rsidR="0032622F" w:rsidRPr="00114C2A" w:rsidRDefault="0032622F" w:rsidP="00E406D7">
            <w:pPr>
              <w:ind w:left="-142"/>
              <w:jc w:val="center"/>
              <w:rPr>
                <w:rFonts w:ascii="Times New Roman" w:hAnsi="Times New Roman" w:cs="Times New Roman"/>
                <w:szCs w:val="24"/>
              </w:rPr>
            </w:pPr>
            <w:r w:rsidRPr="00114C2A">
              <w:rPr>
                <w:rFonts w:ascii="Times New Roman" w:hAnsi="Times New Roman" w:cs="Times New Roman"/>
                <w:szCs w:val="24"/>
              </w:rPr>
              <w:t>12·36</w:t>
            </w:r>
          </w:p>
        </w:tc>
        <w:tc>
          <w:tcPr>
            <w:tcW w:w="1160" w:type="dxa"/>
            <w:vAlign w:val="center"/>
            <w:hideMark/>
          </w:tcPr>
          <w:p w14:paraId="65677B27" w14:textId="77777777" w:rsidR="0032622F" w:rsidRPr="00114C2A" w:rsidRDefault="0032622F" w:rsidP="00E406D7">
            <w:pPr>
              <w:ind w:left="-142"/>
              <w:jc w:val="center"/>
              <w:rPr>
                <w:rFonts w:ascii="Times New Roman" w:hAnsi="Times New Roman" w:cs="Times New Roman"/>
                <w:szCs w:val="24"/>
              </w:rPr>
            </w:pPr>
            <w:r w:rsidRPr="00114C2A">
              <w:rPr>
                <w:rFonts w:ascii="Times New Roman" w:hAnsi="Times New Roman" w:cs="Times New Roman"/>
                <w:szCs w:val="24"/>
              </w:rPr>
              <w:t>11·33</w:t>
            </w:r>
          </w:p>
        </w:tc>
        <w:tc>
          <w:tcPr>
            <w:tcW w:w="1159" w:type="dxa"/>
            <w:vAlign w:val="center"/>
            <w:hideMark/>
          </w:tcPr>
          <w:p w14:paraId="4DEC62E1" w14:textId="77777777" w:rsidR="0032622F" w:rsidRPr="00114C2A" w:rsidRDefault="0032622F" w:rsidP="00E406D7">
            <w:pPr>
              <w:ind w:left="-142"/>
              <w:jc w:val="center"/>
              <w:rPr>
                <w:rFonts w:ascii="Times New Roman" w:hAnsi="Times New Roman" w:cs="Times New Roman"/>
                <w:szCs w:val="24"/>
              </w:rPr>
            </w:pPr>
            <w:r w:rsidRPr="00114C2A">
              <w:rPr>
                <w:rFonts w:ascii="Times New Roman" w:hAnsi="Times New Roman" w:cs="Times New Roman"/>
                <w:szCs w:val="24"/>
              </w:rPr>
              <w:t>10·30</w:t>
            </w:r>
          </w:p>
        </w:tc>
        <w:tc>
          <w:tcPr>
            <w:tcW w:w="1308" w:type="dxa"/>
            <w:vAlign w:val="center"/>
            <w:hideMark/>
          </w:tcPr>
          <w:p w14:paraId="009A382B" w14:textId="77777777" w:rsidR="0032622F" w:rsidRPr="00114C2A" w:rsidRDefault="0032622F" w:rsidP="00E406D7">
            <w:pPr>
              <w:ind w:left="-142"/>
              <w:jc w:val="center"/>
              <w:rPr>
                <w:rFonts w:ascii="Times New Roman" w:hAnsi="Times New Roman" w:cs="Times New Roman"/>
                <w:szCs w:val="24"/>
              </w:rPr>
            </w:pPr>
            <w:r w:rsidRPr="00114C2A">
              <w:rPr>
                <w:rFonts w:ascii="Times New Roman" w:hAnsi="Times New Roman" w:cs="Times New Roman"/>
                <w:szCs w:val="24"/>
              </w:rPr>
              <w:t>9·27</w:t>
            </w:r>
          </w:p>
        </w:tc>
        <w:tc>
          <w:tcPr>
            <w:tcW w:w="1169" w:type="dxa"/>
            <w:vAlign w:val="center"/>
            <w:hideMark/>
          </w:tcPr>
          <w:p w14:paraId="376988B6" w14:textId="77777777" w:rsidR="0032622F" w:rsidRPr="00114C2A" w:rsidRDefault="0032622F" w:rsidP="00E406D7">
            <w:pPr>
              <w:ind w:left="-142"/>
              <w:jc w:val="center"/>
              <w:rPr>
                <w:rFonts w:ascii="Times New Roman" w:hAnsi="Times New Roman" w:cs="Times New Roman"/>
                <w:szCs w:val="24"/>
              </w:rPr>
            </w:pPr>
            <w:r w:rsidRPr="00114C2A">
              <w:rPr>
                <w:rFonts w:ascii="Times New Roman" w:hAnsi="Times New Roman" w:cs="Times New Roman"/>
                <w:szCs w:val="24"/>
              </w:rPr>
              <w:t>8·23</w:t>
            </w:r>
          </w:p>
        </w:tc>
      </w:tr>
      <w:tr w:rsidR="0032622F" w:rsidRPr="00114C2A" w14:paraId="352D68CF" w14:textId="77777777" w:rsidTr="00E406D7">
        <w:trPr>
          <w:trHeight w:val="21"/>
          <w:jc w:val="center"/>
        </w:trPr>
        <w:tc>
          <w:tcPr>
            <w:tcW w:w="2263" w:type="dxa"/>
            <w:vAlign w:val="center"/>
            <w:hideMark/>
          </w:tcPr>
          <w:p w14:paraId="504C6305" w14:textId="77777777" w:rsidR="0032622F" w:rsidRPr="00114C2A" w:rsidRDefault="0032622F" w:rsidP="00E406D7">
            <w:pPr>
              <w:ind w:left="-142"/>
              <w:rPr>
                <w:rFonts w:ascii="Times New Roman" w:hAnsi="Times New Roman" w:cs="Times New Roman"/>
                <w:szCs w:val="24"/>
              </w:rPr>
            </w:pPr>
            <w:r w:rsidRPr="00114C2A">
              <w:rPr>
                <w:rFonts w:ascii="Times New Roman" w:hAnsi="Times New Roman" w:cs="Times New Roman"/>
                <w:szCs w:val="24"/>
              </w:rPr>
              <w:t>Tamil Nadu</w:t>
            </w:r>
          </w:p>
        </w:tc>
        <w:tc>
          <w:tcPr>
            <w:tcW w:w="1465" w:type="dxa"/>
            <w:vAlign w:val="center"/>
            <w:hideMark/>
          </w:tcPr>
          <w:p w14:paraId="1D7F90BC" w14:textId="77777777" w:rsidR="0032622F" w:rsidRPr="00114C2A" w:rsidRDefault="0032622F" w:rsidP="00E406D7">
            <w:pPr>
              <w:ind w:left="-142"/>
              <w:jc w:val="center"/>
              <w:rPr>
                <w:rFonts w:ascii="Times New Roman" w:hAnsi="Times New Roman" w:cs="Times New Roman"/>
                <w:szCs w:val="24"/>
              </w:rPr>
            </w:pPr>
            <w:r w:rsidRPr="00114C2A">
              <w:rPr>
                <w:rFonts w:ascii="Times New Roman" w:hAnsi="Times New Roman" w:cs="Times New Roman"/>
                <w:szCs w:val="24"/>
              </w:rPr>
              <w:t>22·82</w:t>
            </w:r>
          </w:p>
        </w:tc>
        <w:tc>
          <w:tcPr>
            <w:tcW w:w="1160" w:type="dxa"/>
            <w:vAlign w:val="center"/>
            <w:hideMark/>
          </w:tcPr>
          <w:p w14:paraId="41E02E93" w14:textId="77777777" w:rsidR="0032622F" w:rsidRPr="00114C2A" w:rsidRDefault="0032622F" w:rsidP="00E406D7">
            <w:pPr>
              <w:ind w:left="-142"/>
              <w:jc w:val="center"/>
              <w:rPr>
                <w:rFonts w:ascii="Times New Roman" w:hAnsi="Times New Roman" w:cs="Times New Roman"/>
                <w:szCs w:val="24"/>
              </w:rPr>
            </w:pPr>
            <w:r w:rsidRPr="00114C2A">
              <w:rPr>
                <w:rFonts w:ascii="Times New Roman" w:hAnsi="Times New Roman" w:cs="Times New Roman"/>
                <w:szCs w:val="24"/>
              </w:rPr>
              <w:t>6·61</w:t>
            </w:r>
          </w:p>
        </w:tc>
        <w:tc>
          <w:tcPr>
            <w:tcW w:w="1160" w:type="dxa"/>
            <w:vAlign w:val="center"/>
            <w:hideMark/>
          </w:tcPr>
          <w:p w14:paraId="506792AC" w14:textId="77777777" w:rsidR="0032622F" w:rsidRPr="00114C2A" w:rsidRDefault="0032622F" w:rsidP="00E406D7">
            <w:pPr>
              <w:ind w:left="-142"/>
              <w:jc w:val="center"/>
              <w:rPr>
                <w:rFonts w:ascii="Times New Roman" w:hAnsi="Times New Roman" w:cs="Times New Roman"/>
                <w:szCs w:val="24"/>
              </w:rPr>
            </w:pPr>
            <w:r w:rsidRPr="00114C2A">
              <w:rPr>
                <w:rFonts w:ascii="Times New Roman" w:hAnsi="Times New Roman" w:cs="Times New Roman"/>
                <w:szCs w:val="24"/>
              </w:rPr>
              <w:t>5·59</w:t>
            </w:r>
          </w:p>
        </w:tc>
        <w:tc>
          <w:tcPr>
            <w:tcW w:w="1159" w:type="dxa"/>
            <w:vAlign w:val="center"/>
            <w:hideMark/>
          </w:tcPr>
          <w:p w14:paraId="30729F16" w14:textId="77777777" w:rsidR="0032622F" w:rsidRPr="00114C2A" w:rsidRDefault="0032622F" w:rsidP="00E406D7">
            <w:pPr>
              <w:ind w:left="-142"/>
              <w:jc w:val="center"/>
              <w:rPr>
                <w:rFonts w:ascii="Times New Roman" w:hAnsi="Times New Roman" w:cs="Times New Roman"/>
                <w:szCs w:val="24"/>
              </w:rPr>
            </w:pPr>
            <w:r w:rsidRPr="00114C2A">
              <w:rPr>
                <w:rFonts w:ascii="Times New Roman" w:hAnsi="Times New Roman" w:cs="Times New Roman"/>
                <w:szCs w:val="24"/>
              </w:rPr>
              <w:t>4·56</w:t>
            </w:r>
          </w:p>
        </w:tc>
        <w:tc>
          <w:tcPr>
            <w:tcW w:w="1308" w:type="dxa"/>
            <w:vAlign w:val="center"/>
            <w:hideMark/>
          </w:tcPr>
          <w:p w14:paraId="384DD739" w14:textId="77777777" w:rsidR="0032622F" w:rsidRPr="00114C2A" w:rsidRDefault="0032622F" w:rsidP="00E406D7">
            <w:pPr>
              <w:ind w:left="-142"/>
              <w:jc w:val="center"/>
              <w:rPr>
                <w:rFonts w:ascii="Times New Roman" w:hAnsi="Times New Roman" w:cs="Times New Roman"/>
                <w:szCs w:val="24"/>
              </w:rPr>
            </w:pPr>
            <w:r w:rsidRPr="00114C2A">
              <w:rPr>
                <w:rFonts w:ascii="Times New Roman" w:hAnsi="Times New Roman" w:cs="Times New Roman"/>
                <w:szCs w:val="24"/>
              </w:rPr>
              <w:t>3·54</w:t>
            </w:r>
          </w:p>
        </w:tc>
        <w:tc>
          <w:tcPr>
            <w:tcW w:w="1169" w:type="dxa"/>
            <w:vAlign w:val="center"/>
            <w:hideMark/>
          </w:tcPr>
          <w:p w14:paraId="1D468372" w14:textId="77777777" w:rsidR="0032622F" w:rsidRPr="00114C2A" w:rsidRDefault="0032622F" w:rsidP="00E406D7">
            <w:pPr>
              <w:ind w:left="-142"/>
              <w:jc w:val="center"/>
              <w:rPr>
                <w:rFonts w:ascii="Times New Roman" w:hAnsi="Times New Roman" w:cs="Times New Roman"/>
                <w:szCs w:val="24"/>
              </w:rPr>
            </w:pPr>
            <w:r w:rsidRPr="00114C2A">
              <w:rPr>
                <w:rFonts w:ascii="Times New Roman" w:hAnsi="Times New Roman" w:cs="Times New Roman"/>
                <w:szCs w:val="24"/>
              </w:rPr>
              <w:t>2·52</w:t>
            </w:r>
          </w:p>
        </w:tc>
      </w:tr>
      <w:tr w:rsidR="0032622F" w:rsidRPr="00114C2A" w14:paraId="6DEF44D4" w14:textId="77777777" w:rsidTr="00E406D7">
        <w:trPr>
          <w:trHeight w:val="21"/>
          <w:jc w:val="center"/>
        </w:trPr>
        <w:tc>
          <w:tcPr>
            <w:tcW w:w="2263" w:type="dxa"/>
            <w:vAlign w:val="center"/>
            <w:hideMark/>
          </w:tcPr>
          <w:p w14:paraId="2A1A901D" w14:textId="77777777" w:rsidR="0032622F" w:rsidRPr="00114C2A" w:rsidRDefault="0032622F" w:rsidP="00E406D7">
            <w:pPr>
              <w:ind w:left="-142"/>
              <w:rPr>
                <w:rFonts w:ascii="Times New Roman" w:hAnsi="Times New Roman" w:cs="Times New Roman"/>
                <w:szCs w:val="24"/>
              </w:rPr>
            </w:pPr>
            <w:r w:rsidRPr="00114C2A">
              <w:rPr>
                <w:rFonts w:ascii="Times New Roman" w:hAnsi="Times New Roman" w:cs="Times New Roman"/>
                <w:szCs w:val="24"/>
              </w:rPr>
              <w:t>West Bengal</w:t>
            </w:r>
          </w:p>
        </w:tc>
        <w:tc>
          <w:tcPr>
            <w:tcW w:w="1465" w:type="dxa"/>
            <w:vAlign w:val="center"/>
            <w:hideMark/>
          </w:tcPr>
          <w:p w14:paraId="581763E1" w14:textId="77777777" w:rsidR="0032622F" w:rsidRPr="00114C2A" w:rsidRDefault="0032622F" w:rsidP="00E406D7">
            <w:pPr>
              <w:ind w:left="-142"/>
              <w:jc w:val="center"/>
              <w:rPr>
                <w:rFonts w:ascii="Times New Roman" w:hAnsi="Times New Roman" w:cs="Times New Roman"/>
                <w:szCs w:val="24"/>
              </w:rPr>
            </w:pPr>
            <w:r w:rsidRPr="00114C2A">
              <w:rPr>
                <w:rFonts w:ascii="Times New Roman" w:hAnsi="Times New Roman" w:cs="Times New Roman"/>
                <w:szCs w:val="24"/>
              </w:rPr>
              <w:t>72·62</w:t>
            </w:r>
          </w:p>
        </w:tc>
        <w:tc>
          <w:tcPr>
            <w:tcW w:w="1160" w:type="dxa"/>
            <w:vAlign w:val="center"/>
            <w:hideMark/>
          </w:tcPr>
          <w:p w14:paraId="145F832F" w14:textId="77777777" w:rsidR="0032622F" w:rsidRPr="00114C2A" w:rsidRDefault="0032622F" w:rsidP="00E406D7">
            <w:pPr>
              <w:ind w:left="-142"/>
              <w:jc w:val="center"/>
              <w:rPr>
                <w:rFonts w:ascii="Times New Roman" w:hAnsi="Times New Roman" w:cs="Times New Roman"/>
                <w:szCs w:val="24"/>
              </w:rPr>
            </w:pPr>
            <w:r w:rsidRPr="00114C2A">
              <w:rPr>
                <w:rFonts w:ascii="Times New Roman" w:hAnsi="Times New Roman" w:cs="Times New Roman"/>
                <w:szCs w:val="24"/>
              </w:rPr>
              <w:t>22·29</w:t>
            </w:r>
          </w:p>
        </w:tc>
        <w:tc>
          <w:tcPr>
            <w:tcW w:w="1160" w:type="dxa"/>
            <w:vAlign w:val="center"/>
            <w:hideMark/>
          </w:tcPr>
          <w:p w14:paraId="2F3870C0" w14:textId="77777777" w:rsidR="0032622F" w:rsidRPr="00114C2A" w:rsidRDefault="0032622F" w:rsidP="00E406D7">
            <w:pPr>
              <w:ind w:left="-142"/>
              <w:jc w:val="center"/>
              <w:rPr>
                <w:rFonts w:ascii="Times New Roman" w:hAnsi="Times New Roman" w:cs="Times New Roman"/>
                <w:szCs w:val="24"/>
              </w:rPr>
            </w:pPr>
            <w:r w:rsidRPr="00114C2A">
              <w:rPr>
                <w:rFonts w:ascii="Times New Roman" w:hAnsi="Times New Roman" w:cs="Times New Roman"/>
                <w:szCs w:val="24"/>
              </w:rPr>
              <w:t>18·41</w:t>
            </w:r>
          </w:p>
        </w:tc>
        <w:tc>
          <w:tcPr>
            <w:tcW w:w="1159" w:type="dxa"/>
            <w:vAlign w:val="center"/>
            <w:hideMark/>
          </w:tcPr>
          <w:p w14:paraId="234A44F4" w14:textId="77777777" w:rsidR="0032622F" w:rsidRPr="00114C2A" w:rsidRDefault="0032622F" w:rsidP="00E406D7">
            <w:pPr>
              <w:ind w:left="-142"/>
              <w:jc w:val="center"/>
              <w:rPr>
                <w:rFonts w:ascii="Times New Roman" w:hAnsi="Times New Roman" w:cs="Times New Roman"/>
                <w:szCs w:val="24"/>
              </w:rPr>
            </w:pPr>
            <w:r w:rsidRPr="00114C2A">
              <w:rPr>
                <w:rFonts w:ascii="Times New Roman" w:hAnsi="Times New Roman" w:cs="Times New Roman"/>
                <w:szCs w:val="24"/>
              </w:rPr>
              <w:t>14·52</w:t>
            </w:r>
          </w:p>
        </w:tc>
        <w:tc>
          <w:tcPr>
            <w:tcW w:w="1308" w:type="dxa"/>
            <w:vAlign w:val="center"/>
            <w:hideMark/>
          </w:tcPr>
          <w:p w14:paraId="7343F7E4" w14:textId="77777777" w:rsidR="0032622F" w:rsidRPr="00114C2A" w:rsidRDefault="0032622F" w:rsidP="00E406D7">
            <w:pPr>
              <w:ind w:left="-142"/>
              <w:jc w:val="center"/>
              <w:rPr>
                <w:rFonts w:ascii="Times New Roman" w:hAnsi="Times New Roman" w:cs="Times New Roman"/>
                <w:szCs w:val="24"/>
              </w:rPr>
            </w:pPr>
            <w:r w:rsidRPr="00114C2A">
              <w:rPr>
                <w:rFonts w:ascii="Times New Roman" w:hAnsi="Times New Roman" w:cs="Times New Roman"/>
                <w:szCs w:val="24"/>
              </w:rPr>
              <w:t>10·64</w:t>
            </w:r>
          </w:p>
        </w:tc>
        <w:tc>
          <w:tcPr>
            <w:tcW w:w="1169" w:type="dxa"/>
            <w:vAlign w:val="center"/>
            <w:hideMark/>
          </w:tcPr>
          <w:p w14:paraId="1189C8F6" w14:textId="77777777" w:rsidR="0032622F" w:rsidRPr="00114C2A" w:rsidRDefault="0032622F" w:rsidP="00E406D7">
            <w:pPr>
              <w:ind w:left="-142"/>
              <w:jc w:val="center"/>
              <w:rPr>
                <w:rFonts w:ascii="Times New Roman" w:hAnsi="Times New Roman" w:cs="Times New Roman"/>
                <w:szCs w:val="24"/>
              </w:rPr>
            </w:pPr>
            <w:r w:rsidRPr="00114C2A">
              <w:rPr>
                <w:rFonts w:ascii="Times New Roman" w:hAnsi="Times New Roman" w:cs="Times New Roman"/>
                <w:szCs w:val="24"/>
              </w:rPr>
              <w:t>6·76</w:t>
            </w:r>
          </w:p>
        </w:tc>
      </w:tr>
      <w:tr w:rsidR="0032622F" w:rsidRPr="00114C2A" w14:paraId="04C4E43C" w14:textId="77777777" w:rsidTr="00E406D7">
        <w:trPr>
          <w:trHeight w:val="21"/>
          <w:jc w:val="center"/>
        </w:trPr>
        <w:tc>
          <w:tcPr>
            <w:tcW w:w="2263" w:type="dxa"/>
            <w:vAlign w:val="center"/>
            <w:hideMark/>
          </w:tcPr>
          <w:p w14:paraId="0F307374" w14:textId="77777777" w:rsidR="0032622F" w:rsidRPr="00114C2A" w:rsidRDefault="0032622F" w:rsidP="00E406D7">
            <w:pPr>
              <w:ind w:left="-142"/>
              <w:rPr>
                <w:rFonts w:ascii="Times New Roman" w:hAnsi="Times New Roman" w:cs="Times New Roman"/>
                <w:szCs w:val="24"/>
              </w:rPr>
            </w:pPr>
            <w:r w:rsidRPr="00114C2A">
              <w:rPr>
                <w:rFonts w:ascii="Times New Roman" w:hAnsi="Times New Roman" w:cs="Times New Roman"/>
                <w:b/>
                <w:bCs/>
                <w:szCs w:val="24"/>
              </w:rPr>
              <w:t>TOTAL</w:t>
            </w:r>
          </w:p>
        </w:tc>
        <w:tc>
          <w:tcPr>
            <w:tcW w:w="1465" w:type="dxa"/>
            <w:vAlign w:val="center"/>
            <w:hideMark/>
          </w:tcPr>
          <w:p w14:paraId="50C9D51F" w14:textId="77777777" w:rsidR="0032622F" w:rsidRPr="00114C2A" w:rsidRDefault="0032622F" w:rsidP="00E406D7">
            <w:pPr>
              <w:ind w:left="-142"/>
              <w:jc w:val="center"/>
              <w:rPr>
                <w:rFonts w:ascii="Times New Roman" w:hAnsi="Times New Roman" w:cs="Times New Roman"/>
                <w:szCs w:val="24"/>
              </w:rPr>
            </w:pPr>
            <w:r w:rsidRPr="00114C2A">
              <w:rPr>
                <w:rFonts w:ascii="Times New Roman" w:hAnsi="Times New Roman" w:cs="Times New Roman"/>
                <w:b/>
                <w:bCs/>
                <w:szCs w:val="24"/>
              </w:rPr>
              <w:t>637·85</w:t>
            </w:r>
          </w:p>
        </w:tc>
        <w:tc>
          <w:tcPr>
            <w:tcW w:w="1160" w:type="dxa"/>
            <w:vAlign w:val="center"/>
            <w:hideMark/>
          </w:tcPr>
          <w:p w14:paraId="6A01F800" w14:textId="77777777" w:rsidR="0032622F" w:rsidRPr="00114C2A" w:rsidRDefault="0032622F" w:rsidP="00E406D7">
            <w:pPr>
              <w:ind w:left="-142"/>
              <w:jc w:val="center"/>
              <w:rPr>
                <w:rFonts w:ascii="Times New Roman" w:hAnsi="Times New Roman" w:cs="Times New Roman"/>
                <w:szCs w:val="24"/>
              </w:rPr>
            </w:pPr>
            <w:r w:rsidRPr="00114C2A">
              <w:rPr>
                <w:rFonts w:ascii="Times New Roman" w:hAnsi="Times New Roman" w:cs="Times New Roman"/>
                <w:b/>
                <w:bCs/>
                <w:szCs w:val="24"/>
              </w:rPr>
              <w:t>152·73</w:t>
            </w:r>
          </w:p>
        </w:tc>
        <w:tc>
          <w:tcPr>
            <w:tcW w:w="1160" w:type="dxa"/>
            <w:vAlign w:val="center"/>
            <w:hideMark/>
          </w:tcPr>
          <w:p w14:paraId="68940DDC" w14:textId="77777777" w:rsidR="0032622F" w:rsidRPr="00114C2A" w:rsidRDefault="0032622F" w:rsidP="00E406D7">
            <w:pPr>
              <w:ind w:left="-142"/>
              <w:jc w:val="center"/>
              <w:rPr>
                <w:rFonts w:ascii="Times New Roman" w:hAnsi="Times New Roman" w:cs="Times New Roman"/>
                <w:szCs w:val="24"/>
              </w:rPr>
            </w:pPr>
            <w:r w:rsidRPr="00114C2A">
              <w:rPr>
                <w:rFonts w:ascii="Times New Roman" w:hAnsi="Times New Roman" w:cs="Times New Roman"/>
                <w:b/>
                <w:bCs/>
                <w:szCs w:val="24"/>
              </w:rPr>
              <w:t>140·15</w:t>
            </w:r>
          </w:p>
        </w:tc>
        <w:tc>
          <w:tcPr>
            <w:tcW w:w="1159" w:type="dxa"/>
            <w:vAlign w:val="center"/>
            <w:hideMark/>
          </w:tcPr>
          <w:p w14:paraId="12E4A66A" w14:textId="77777777" w:rsidR="0032622F" w:rsidRPr="00114C2A" w:rsidRDefault="0032622F" w:rsidP="00E406D7">
            <w:pPr>
              <w:ind w:left="-142"/>
              <w:jc w:val="center"/>
              <w:rPr>
                <w:rFonts w:ascii="Times New Roman" w:hAnsi="Times New Roman" w:cs="Times New Roman"/>
                <w:szCs w:val="24"/>
              </w:rPr>
            </w:pPr>
            <w:r w:rsidRPr="00114C2A">
              <w:rPr>
                <w:rFonts w:ascii="Times New Roman" w:hAnsi="Times New Roman" w:cs="Times New Roman"/>
                <w:b/>
                <w:bCs/>
                <w:szCs w:val="24"/>
              </w:rPr>
              <w:t>127·57</w:t>
            </w:r>
          </w:p>
        </w:tc>
        <w:tc>
          <w:tcPr>
            <w:tcW w:w="1308" w:type="dxa"/>
            <w:vAlign w:val="center"/>
            <w:hideMark/>
          </w:tcPr>
          <w:p w14:paraId="68D0DCCA" w14:textId="77777777" w:rsidR="0032622F" w:rsidRPr="00114C2A" w:rsidRDefault="0032622F" w:rsidP="00E406D7">
            <w:pPr>
              <w:ind w:left="-142"/>
              <w:jc w:val="center"/>
              <w:rPr>
                <w:rFonts w:ascii="Times New Roman" w:hAnsi="Times New Roman" w:cs="Times New Roman"/>
                <w:szCs w:val="24"/>
              </w:rPr>
            </w:pPr>
            <w:r w:rsidRPr="00114C2A">
              <w:rPr>
                <w:rFonts w:ascii="Times New Roman" w:hAnsi="Times New Roman" w:cs="Times New Roman"/>
                <w:b/>
                <w:bCs/>
                <w:szCs w:val="24"/>
              </w:rPr>
              <w:t>114·99</w:t>
            </w:r>
          </w:p>
        </w:tc>
        <w:tc>
          <w:tcPr>
            <w:tcW w:w="1169" w:type="dxa"/>
            <w:vAlign w:val="center"/>
            <w:hideMark/>
          </w:tcPr>
          <w:p w14:paraId="2FB318A3" w14:textId="77777777" w:rsidR="0032622F" w:rsidRPr="00114C2A" w:rsidRDefault="0032622F" w:rsidP="00E406D7">
            <w:pPr>
              <w:ind w:left="-142"/>
              <w:jc w:val="center"/>
              <w:rPr>
                <w:rFonts w:ascii="Times New Roman" w:hAnsi="Times New Roman" w:cs="Times New Roman"/>
                <w:szCs w:val="24"/>
              </w:rPr>
            </w:pPr>
            <w:r w:rsidRPr="00114C2A">
              <w:rPr>
                <w:rFonts w:ascii="Times New Roman" w:hAnsi="Times New Roman" w:cs="Times New Roman"/>
                <w:b/>
                <w:bCs/>
                <w:szCs w:val="24"/>
              </w:rPr>
              <w:t>102·41</w:t>
            </w:r>
          </w:p>
        </w:tc>
      </w:tr>
    </w:tbl>
    <w:p w14:paraId="5193168D" w14:textId="77777777" w:rsidR="00B70A0B" w:rsidRDefault="00B70A0B" w:rsidP="00E406D7">
      <w:pPr>
        <w:spacing w:line="300" w:lineRule="exact"/>
        <w:ind w:left="-142"/>
        <w:jc w:val="both"/>
        <w:rPr>
          <w:rFonts w:ascii="Times New Roman" w:hAnsi="Times New Roman" w:cs="Times New Roman"/>
          <w:sz w:val="28"/>
          <w:szCs w:val="22"/>
        </w:rPr>
      </w:pPr>
    </w:p>
    <w:p w14:paraId="13CBED94" w14:textId="12D4FE4F" w:rsidR="00DB7255" w:rsidRPr="00114C2A" w:rsidRDefault="00DB7255" w:rsidP="00E406D7">
      <w:pPr>
        <w:spacing w:line="300" w:lineRule="exact"/>
        <w:ind w:left="-142"/>
        <w:jc w:val="both"/>
        <w:rPr>
          <w:rFonts w:ascii="Times New Roman" w:hAnsi="Times New Roman" w:cs="Times New Roman"/>
          <w:sz w:val="28"/>
          <w:szCs w:val="22"/>
        </w:rPr>
      </w:pPr>
      <w:r w:rsidRPr="00114C2A">
        <w:rPr>
          <w:rFonts w:ascii="Times New Roman" w:hAnsi="Times New Roman" w:cs="Times New Roman"/>
          <w:sz w:val="28"/>
          <w:szCs w:val="22"/>
        </w:rPr>
        <w:t>These sums include the amounts required to cover the residual deficits of the States on the basis of the assessments made by us, which have been distributed in equal instalments over the five years. They also include supplementary amounts which have been allowed on a diminishing basis as a measure of transitional assistance to the States in respect of losses on departmental commercial schemes and investments, recovery of interest and loans, lower tax effort and higher level of expenditure, for which adjustments were made by us in the assessment of their deficits.</w:t>
      </w:r>
    </w:p>
    <w:p w14:paraId="10D36779" w14:textId="19354FDF" w:rsidR="00DB7255" w:rsidRPr="007245B0" w:rsidRDefault="00DB7255">
      <w:pPr>
        <w:rPr>
          <w:rFonts w:ascii="Times New Roman" w:hAnsi="Times New Roman" w:cs="Times New Roman"/>
        </w:rPr>
      </w:pPr>
      <w:r w:rsidRPr="007245B0">
        <w:rPr>
          <w:rFonts w:ascii="Times New Roman" w:hAnsi="Times New Roman" w:cs="Times New Roman"/>
        </w:rPr>
        <w:br w:type="page"/>
      </w:r>
    </w:p>
    <w:p w14:paraId="69210629" w14:textId="5E6112A3" w:rsidR="00DB7255" w:rsidRPr="007245B0" w:rsidRDefault="00114C2A" w:rsidP="00114C2A">
      <w:pPr>
        <w:pStyle w:val="Heading1"/>
      </w:pPr>
      <w:r>
        <w:lastRenderedPageBreak/>
        <w:br/>
      </w:r>
      <w:bookmarkStart w:id="13" w:name="_Toc220949671"/>
      <w:bookmarkStart w:id="14" w:name="_Toc221115294"/>
      <w:r w:rsidR="00DB7255" w:rsidRPr="007245B0">
        <w:t>TAXES AND DUTIES UNDER ARTICLE 269 OF THE CONSTITUTION</w:t>
      </w:r>
      <w:bookmarkEnd w:id="13"/>
      <w:bookmarkEnd w:id="14"/>
    </w:p>
    <w:p w14:paraId="32F6410A" w14:textId="22E1FB2A" w:rsidR="00DB7255" w:rsidRPr="007245B0" w:rsidRDefault="00DB7255" w:rsidP="00BA4AFE">
      <w:pPr>
        <w:pStyle w:val="Heading3"/>
        <w:spacing w:line="330" w:lineRule="exact"/>
      </w:pPr>
      <w:r w:rsidRPr="007245B0">
        <w:t>Paragraph 4(h) of the Order of the President requires us to make recommendations as to the scope for raising revenue from the taxes and duties mentioned in Article 269 of the Constitution but not levied at present.</w:t>
      </w:r>
    </w:p>
    <w:p w14:paraId="2C29F6EC" w14:textId="32F73889" w:rsidR="00DB7255" w:rsidRPr="00114C2A" w:rsidRDefault="00DB7255" w:rsidP="00BA4AFE">
      <w:pPr>
        <w:pStyle w:val="Heading3"/>
        <w:spacing w:line="330" w:lineRule="exact"/>
        <w:rPr>
          <w:szCs w:val="28"/>
        </w:rPr>
      </w:pPr>
      <w:r w:rsidRPr="00114C2A">
        <w:rPr>
          <w:szCs w:val="28"/>
        </w:rPr>
        <w:t>Article 269 mentions the following taxes and duties:</w:t>
      </w:r>
      <w:r w:rsidR="00E406D7">
        <w:rPr>
          <w:szCs w:val="28"/>
        </w:rPr>
        <w:t>-</w:t>
      </w:r>
    </w:p>
    <w:p w14:paraId="15116726" w14:textId="77777777" w:rsidR="00114C2A" w:rsidRPr="00114C2A" w:rsidRDefault="00DB7255" w:rsidP="00BA4AFE">
      <w:pPr>
        <w:spacing w:after="0" w:line="330" w:lineRule="exact"/>
        <w:ind w:left="720"/>
        <w:jc w:val="both"/>
        <w:rPr>
          <w:rFonts w:ascii="Times New Roman" w:hAnsi="Times New Roman" w:cs="Times New Roman"/>
          <w:sz w:val="28"/>
          <w:szCs w:val="28"/>
        </w:rPr>
      </w:pPr>
      <w:r w:rsidRPr="00114C2A">
        <w:rPr>
          <w:rFonts w:ascii="Times New Roman" w:hAnsi="Times New Roman" w:cs="Times New Roman"/>
          <w:sz w:val="28"/>
          <w:szCs w:val="28"/>
        </w:rPr>
        <w:t>(a) Duties in respect of succession to property other than agricultural land;</w:t>
      </w:r>
    </w:p>
    <w:p w14:paraId="3C75C32E" w14:textId="77777777" w:rsidR="00114C2A" w:rsidRPr="00114C2A" w:rsidRDefault="00DB7255" w:rsidP="00BA4AFE">
      <w:pPr>
        <w:spacing w:after="0" w:line="330" w:lineRule="exact"/>
        <w:ind w:left="720"/>
        <w:jc w:val="both"/>
        <w:rPr>
          <w:rFonts w:ascii="Times New Roman" w:hAnsi="Times New Roman" w:cs="Times New Roman"/>
          <w:sz w:val="28"/>
          <w:szCs w:val="28"/>
        </w:rPr>
      </w:pPr>
      <w:r w:rsidRPr="00114C2A">
        <w:rPr>
          <w:rFonts w:ascii="Times New Roman" w:hAnsi="Times New Roman" w:cs="Times New Roman"/>
          <w:sz w:val="28"/>
          <w:szCs w:val="28"/>
        </w:rPr>
        <w:t>(b) Estate duty in respect of property other than agricultural land;</w:t>
      </w:r>
    </w:p>
    <w:p w14:paraId="15FE015B" w14:textId="77777777" w:rsidR="00114C2A" w:rsidRPr="00114C2A" w:rsidRDefault="00DB7255" w:rsidP="00BA4AFE">
      <w:pPr>
        <w:spacing w:after="0" w:line="330" w:lineRule="exact"/>
        <w:ind w:left="720"/>
        <w:jc w:val="both"/>
        <w:rPr>
          <w:rFonts w:ascii="Times New Roman" w:hAnsi="Times New Roman" w:cs="Times New Roman"/>
          <w:sz w:val="28"/>
          <w:szCs w:val="28"/>
        </w:rPr>
      </w:pPr>
      <w:r w:rsidRPr="00114C2A">
        <w:rPr>
          <w:rFonts w:ascii="Times New Roman" w:hAnsi="Times New Roman" w:cs="Times New Roman"/>
          <w:sz w:val="28"/>
          <w:szCs w:val="28"/>
        </w:rPr>
        <w:t>(c) Terminal taxes on goods or passengers carried by railway, sea or air;</w:t>
      </w:r>
    </w:p>
    <w:p w14:paraId="39E66281" w14:textId="77777777" w:rsidR="00114C2A" w:rsidRPr="00114C2A" w:rsidRDefault="00DB7255" w:rsidP="00BA4AFE">
      <w:pPr>
        <w:spacing w:after="0" w:line="330" w:lineRule="exact"/>
        <w:ind w:left="720"/>
        <w:jc w:val="both"/>
        <w:rPr>
          <w:rFonts w:ascii="Times New Roman" w:hAnsi="Times New Roman" w:cs="Times New Roman"/>
          <w:sz w:val="28"/>
          <w:szCs w:val="28"/>
        </w:rPr>
      </w:pPr>
      <w:r w:rsidRPr="00114C2A">
        <w:rPr>
          <w:rFonts w:ascii="Times New Roman" w:hAnsi="Times New Roman" w:cs="Times New Roman"/>
          <w:sz w:val="28"/>
          <w:szCs w:val="28"/>
        </w:rPr>
        <w:t>(d) Taxes on railway fares and freights;</w:t>
      </w:r>
    </w:p>
    <w:p w14:paraId="6E4D1EE4" w14:textId="77777777" w:rsidR="00114C2A" w:rsidRDefault="00DB7255" w:rsidP="00BA4AFE">
      <w:pPr>
        <w:spacing w:after="0" w:line="330" w:lineRule="exact"/>
        <w:ind w:left="720"/>
        <w:jc w:val="both"/>
        <w:rPr>
          <w:rFonts w:ascii="Times New Roman" w:hAnsi="Times New Roman" w:cs="Times New Roman"/>
          <w:sz w:val="28"/>
          <w:szCs w:val="28"/>
        </w:rPr>
      </w:pPr>
      <w:r w:rsidRPr="00114C2A">
        <w:rPr>
          <w:rFonts w:ascii="Times New Roman" w:hAnsi="Times New Roman" w:cs="Times New Roman"/>
          <w:sz w:val="28"/>
          <w:szCs w:val="28"/>
        </w:rPr>
        <w:t>(e) Taxes other than stamp duties on transactions in stock-exchanges and futures markets;</w:t>
      </w:r>
    </w:p>
    <w:p w14:paraId="2582260F" w14:textId="77777777" w:rsidR="00114C2A" w:rsidRDefault="00DB7255" w:rsidP="00BA4AFE">
      <w:pPr>
        <w:spacing w:after="0" w:line="330" w:lineRule="exact"/>
        <w:ind w:left="720"/>
        <w:jc w:val="both"/>
        <w:rPr>
          <w:rFonts w:ascii="Times New Roman" w:hAnsi="Times New Roman" w:cs="Times New Roman"/>
          <w:sz w:val="28"/>
          <w:szCs w:val="28"/>
        </w:rPr>
      </w:pPr>
      <w:r w:rsidRPr="00114C2A">
        <w:rPr>
          <w:rFonts w:ascii="Times New Roman" w:hAnsi="Times New Roman" w:cs="Times New Roman"/>
          <w:sz w:val="28"/>
          <w:szCs w:val="28"/>
        </w:rPr>
        <w:t>(f) Taxes on the sale or purchase of newspapers and on advertisements published therein;</w:t>
      </w:r>
    </w:p>
    <w:p w14:paraId="60F290DA" w14:textId="6778EF53" w:rsidR="00DB7255" w:rsidRPr="00114C2A" w:rsidRDefault="00DB7255" w:rsidP="00BA4AFE">
      <w:pPr>
        <w:spacing w:after="0" w:line="330" w:lineRule="exact"/>
        <w:ind w:left="720"/>
        <w:jc w:val="both"/>
        <w:rPr>
          <w:rFonts w:ascii="Times New Roman" w:hAnsi="Times New Roman" w:cs="Times New Roman"/>
          <w:sz w:val="28"/>
          <w:szCs w:val="28"/>
        </w:rPr>
      </w:pPr>
      <w:r w:rsidRPr="00114C2A">
        <w:rPr>
          <w:rFonts w:ascii="Times New Roman" w:hAnsi="Times New Roman" w:cs="Times New Roman"/>
          <w:sz w:val="28"/>
          <w:szCs w:val="28"/>
        </w:rPr>
        <w:t>(g) Taxes on the sale or purchase of goods other than newspapers, where such sale or purchase takes place in the course of inter-State trade or commerce.</w:t>
      </w:r>
    </w:p>
    <w:p w14:paraId="54ABE239" w14:textId="27BCBF6E" w:rsidR="00DB7255" w:rsidRPr="007245B0" w:rsidRDefault="00DB7255" w:rsidP="00BA4AFE">
      <w:pPr>
        <w:pStyle w:val="Heading3"/>
        <w:spacing w:line="330" w:lineRule="exact"/>
      </w:pPr>
      <w:r w:rsidRPr="00114C2A">
        <w:rPr>
          <w:szCs w:val="28"/>
        </w:rPr>
        <w:t>Of these taxes and duties, those mentioned at (b) and (g)</w:t>
      </w:r>
      <w:r w:rsidRPr="007245B0">
        <w:t xml:space="preserve"> are already being levied and they are therefore outside the purview of the matters referred to us. In regard to item (c), a terminal tax on passengers carried by railway from or to a place of pilgrimage, etc., is being levied under the provisions of the Terminal Tax on Railway Passengers Act, 1956. We considered whether we could examine the scope for raising revenue from this source. Although such a tax on passengers carried by railway falling under item (c) of Article 269(1) of the Constitution is in force, the Act itself restricts the levy of the tax to places of a particular category, namely places of pilgrimage, or places where fairs, melas or exhibitions are held; and the Government have no general power under the Act to levy terminal tax on passengers carried to other categories of towns. The existing law does not thus cover most of the towns to or from which railway passengers are carried, and the field of taxation has been limited to a part of the available field over which the tax could be levied. We have therefore taken the view that we are required to consider this item also insofar as the levy of such tax in respect of other places is concerned, and to make recommendations regarding the scope for raising revenue therefrom.</w:t>
      </w:r>
    </w:p>
    <w:p w14:paraId="2D45D95B" w14:textId="7E6AB1D0" w:rsidR="00DB7255" w:rsidRPr="007245B0" w:rsidRDefault="001F20A0" w:rsidP="00BA4AFE">
      <w:pPr>
        <w:pStyle w:val="Heading3"/>
        <w:spacing w:line="330" w:lineRule="exact"/>
      </w:pPr>
      <w:r w:rsidRPr="007245B0">
        <w:t xml:space="preserve">We invited the views and suggestions of the State Governments on the scope for the levy of the taxes mentioned in Article 269; and the views expressed and suggestions made by them have been taken into account in making our recommendations in respect of each item. At the outset we may mention that there seems to be an impression among some of the States that the Government of India </w:t>
      </w:r>
      <w:r w:rsidRPr="007245B0">
        <w:lastRenderedPageBreak/>
        <w:t>have not shown sufficient interest in the field of taxation covered by this Article in which the whole proceeds are assigned to the States. One of the States pointed out that while taxes mentioned in this Article have not been levied, some new taxes have been introduced which are essentially taxes on income, but do not form a part of the divisible pool of income-tax, e.g., gift tax, wealth tax, and expenditure tax. Our examination of the matter does not show that there has been lack of interest in exploiting this part of the States’ sources of revenue. In fact, two of these taxes are being levied at present. The inclusion of this item in our terms of reference also appears to indicate a desire on the part of the Government of India to explore the possibilities of raising revenue from taxes under Article 269.</w:t>
      </w:r>
    </w:p>
    <w:p w14:paraId="447888CE" w14:textId="004B1459" w:rsidR="001F20A0" w:rsidRPr="007245B0" w:rsidRDefault="001F20A0" w:rsidP="00BA4AFE">
      <w:pPr>
        <w:pStyle w:val="Heading3"/>
        <w:spacing w:line="330" w:lineRule="exact"/>
      </w:pPr>
      <w:r w:rsidRPr="007245B0">
        <w:t>We now proceed to examine the scope of raising revenue from each item of taxes and duties mentioned in this Article, other than estate duty in respect of non-agricultural property and inter-State sales tax.</w:t>
      </w:r>
    </w:p>
    <w:p w14:paraId="68CC7CEF" w14:textId="41D788DD" w:rsidR="001F20A0" w:rsidRPr="00114C2A" w:rsidRDefault="001F20A0" w:rsidP="00BA4AFE">
      <w:pPr>
        <w:spacing w:before="240" w:line="330" w:lineRule="exact"/>
        <w:ind w:left="-142"/>
        <w:jc w:val="center"/>
        <w:rPr>
          <w:rFonts w:ascii="Times New Roman" w:hAnsi="Times New Roman" w:cs="Times New Roman"/>
          <w:b/>
          <w:bCs/>
          <w:sz w:val="28"/>
          <w:szCs w:val="22"/>
        </w:rPr>
      </w:pPr>
      <w:r w:rsidRPr="00114C2A">
        <w:rPr>
          <w:rFonts w:ascii="Times New Roman" w:hAnsi="Times New Roman" w:cs="Times New Roman"/>
          <w:b/>
          <w:bCs/>
          <w:sz w:val="28"/>
          <w:szCs w:val="22"/>
        </w:rPr>
        <w:t>I. Duties in respect of succession to property other than Agricultural Land</w:t>
      </w:r>
    </w:p>
    <w:p w14:paraId="06299441" w14:textId="3B936BA0" w:rsidR="001F20A0" w:rsidRPr="007245B0" w:rsidRDefault="001F20A0" w:rsidP="00BA4AFE">
      <w:pPr>
        <w:pStyle w:val="Heading3"/>
        <w:spacing w:line="330" w:lineRule="exact"/>
      </w:pPr>
      <w:r w:rsidRPr="007245B0">
        <w:t>Though succession duties and estate duty in respect of property other than agricultural land are both specified in Article 269, their incidence falls on the same object, namely, property passing on the death of the owner to his successors. In the case of succession duties, the levy would be based on the parts of an estate devolving on each of the successors, while in the case of estate duty the levy is regulated by the value of the whole estate, though recovery of the duty is made from all the persons benefiting by the estate. Estate duty is already being levied and we think that there would be no particular advantage in levying succession duties also.</w:t>
      </w:r>
    </w:p>
    <w:p w14:paraId="54484488" w14:textId="77777777" w:rsidR="001F20A0" w:rsidRPr="00114C2A" w:rsidRDefault="001F20A0" w:rsidP="00BA4AFE">
      <w:pPr>
        <w:spacing w:before="240" w:line="330" w:lineRule="exact"/>
        <w:jc w:val="center"/>
        <w:rPr>
          <w:rFonts w:ascii="Times New Roman" w:hAnsi="Times New Roman" w:cs="Times New Roman"/>
          <w:sz w:val="28"/>
          <w:szCs w:val="22"/>
        </w:rPr>
      </w:pPr>
      <w:r w:rsidRPr="00114C2A">
        <w:rPr>
          <w:rFonts w:ascii="Times New Roman" w:hAnsi="Times New Roman" w:cs="Times New Roman"/>
          <w:b/>
          <w:bCs/>
          <w:sz w:val="28"/>
          <w:szCs w:val="22"/>
        </w:rPr>
        <w:t>II. Terminal taxes on goods or passengers carried by Railway, Sea or Air</w:t>
      </w:r>
    </w:p>
    <w:p w14:paraId="65D2FF69" w14:textId="29AEB95D" w:rsidR="001F20A0" w:rsidRPr="00114C2A" w:rsidRDefault="001F20A0" w:rsidP="00E406D7">
      <w:pPr>
        <w:pStyle w:val="ListParagraph"/>
        <w:numPr>
          <w:ilvl w:val="1"/>
          <w:numId w:val="1"/>
        </w:numPr>
        <w:spacing w:line="330" w:lineRule="exact"/>
        <w:ind w:left="0" w:firstLine="0"/>
        <w:rPr>
          <w:rFonts w:ascii="Times New Roman" w:hAnsi="Times New Roman" w:cs="Times New Roman"/>
          <w:sz w:val="28"/>
          <w:szCs w:val="22"/>
        </w:rPr>
      </w:pPr>
      <w:r w:rsidRPr="00114C2A">
        <w:rPr>
          <w:rFonts w:ascii="Times New Roman" w:hAnsi="Times New Roman" w:cs="Times New Roman"/>
          <w:i/>
          <w:iCs/>
          <w:sz w:val="28"/>
          <w:szCs w:val="22"/>
        </w:rPr>
        <w:t>Terminal tax on goods carried by railway:</w:t>
      </w:r>
    </w:p>
    <w:p w14:paraId="6B94BB58" w14:textId="1480145A" w:rsidR="001F20A0" w:rsidRPr="007245B0" w:rsidRDefault="001F20A0" w:rsidP="00BA4AFE">
      <w:pPr>
        <w:pStyle w:val="Heading3"/>
        <w:spacing w:line="330" w:lineRule="exact"/>
      </w:pPr>
      <w:r w:rsidRPr="007245B0">
        <w:t>Although terminal taxes on goods or octroi duties are being levied since long by a number of local bodies, a separate terminal tax on goods carried by rail has not been imposed so far by the Government of India.</w:t>
      </w:r>
    </w:p>
    <w:p w14:paraId="43E412CF" w14:textId="595B8F93" w:rsidR="001F20A0" w:rsidRPr="007245B0" w:rsidRDefault="001F20A0" w:rsidP="00BA4AFE">
      <w:pPr>
        <w:pStyle w:val="Heading3"/>
        <w:spacing w:line="330" w:lineRule="exact"/>
      </w:pPr>
      <w:r w:rsidRPr="007245B0">
        <w:t xml:space="preserve">Different views have been expressed by the State Governments regarding this item. While some are in favour of the levy, some others consider that this tax is regressive in nature; still others feel that the revenue realised from this levy may not be very significant. We also consulted the Railway Board, who are likely to be affected directly by this levy and who will also be the agency for its collection. They pointed out that in the event of levy of terminal tax on goods carried by railway, it will be necessary to ensure that the States also impose simultaneously a parallel tax on goods carried by road, so as not to disturb to the disadvantage of the railways the existing relativity between transport charges by rail and road. They stated that the levy of a parallel tax on passengers carried by road had already run into difficulties and the States might not be agreeable to levy a parallel terminal tax on goods carried </w:t>
      </w:r>
      <w:r w:rsidRPr="007245B0">
        <w:lastRenderedPageBreak/>
        <w:t>by road. They also informed us that the question of levy of a terminal tax on goods carried by rail was considered by the State Finance Secretaries in August, 1957, and it was envisaged that certain articles of necessity and common consumption would have to be exempted from the purview of the tax. The Railway Board pointed out that if exemptions have to be granted in respect of such commodities, which at present constitute quite a substantial part of goods traffic on railways, then levy of the tax on the remaining commodities might not be financially attractive. Further, it was pointed out that the proceeds from this tax would go to local bodies concerned and the State Governments might not derive benefit therefrom.</w:t>
      </w:r>
    </w:p>
    <w:p w14:paraId="322845B3" w14:textId="4035D68B" w:rsidR="001F20A0" w:rsidRPr="007245B0" w:rsidRDefault="001F20A0" w:rsidP="00BA4AFE">
      <w:pPr>
        <w:pStyle w:val="Heading3"/>
        <w:spacing w:line="330" w:lineRule="exact"/>
      </w:pPr>
      <w:r w:rsidRPr="007245B0">
        <w:t>We consider that the fact that proceeds from the terminal tax on goods are to be passed on to the local bodies should not stand in the way of levy of the tax, if otherwise justified. To the extent that the revenues of local bodies are increased on this account, the need for grants to be given to these bodies by the State Governments would be reduced. We are, however, of opinion that a terminal tax levied on goods carried by railway would be administratively inconvenient, as it would involve collection of tax at different rates according to destinations, and separate accounting of receipts to be transferred to each State for different local areas therein. It would be far simpler for municipal bodies to suitably modify their octroi or terminal tax rates, or, preferably, impose some levy on the sale or consumption of the goods entering their territorial limits.</w:t>
      </w:r>
    </w:p>
    <w:p w14:paraId="297DA0FE" w14:textId="39D4A098" w:rsidR="007C1733" w:rsidRPr="00114C2A" w:rsidRDefault="001F20A0" w:rsidP="00E406D7">
      <w:pPr>
        <w:pStyle w:val="ListParagraph"/>
        <w:numPr>
          <w:ilvl w:val="1"/>
          <w:numId w:val="1"/>
        </w:numPr>
        <w:spacing w:line="330" w:lineRule="exact"/>
        <w:ind w:left="0" w:firstLine="0"/>
        <w:rPr>
          <w:rFonts w:ascii="Times New Roman" w:hAnsi="Times New Roman" w:cs="Times New Roman"/>
          <w:i/>
          <w:iCs/>
          <w:sz w:val="28"/>
          <w:szCs w:val="22"/>
        </w:rPr>
      </w:pPr>
      <w:r w:rsidRPr="00114C2A">
        <w:rPr>
          <w:rFonts w:ascii="Times New Roman" w:hAnsi="Times New Roman" w:cs="Times New Roman"/>
          <w:i/>
          <w:iCs/>
          <w:sz w:val="28"/>
          <w:szCs w:val="22"/>
        </w:rPr>
        <w:t>Terminal tax on passengers carried by railway</w:t>
      </w:r>
      <w:r w:rsidR="007C1733" w:rsidRPr="00114C2A">
        <w:rPr>
          <w:rFonts w:ascii="Times New Roman" w:hAnsi="Times New Roman" w:cs="Times New Roman"/>
          <w:i/>
          <w:iCs/>
          <w:sz w:val="28"/>
          <w:szCs w:val="22"/>
        </w:rPr>
        <w:t>:</w:t>
      </w:r>
    </w:p>
    <w:p w14:paraId="39D046F4" w14:textId="77F1A648" w:rsidR="007C1733" w:rsidRPr="007245B0" w:rsidRDefault="007C1733" w:rsidP="00BA4AFE">
      <w:pPr>
        <w:pStyle w:val="Heading3"/>
        <w:spacing w:line="330" w:lineRule="exact"/>
      </w:pPr>
      <w:r w:rsidRPr="007245B0">
        <w:rPr>
          <w:i/>
          <w:iCs/>
        </w:rPr>
        <w:t xml:space="preserve"> </w:t>
      </w:r>
      <w:r w:rsidRPr="007245B0">
        <w:t>We were informed that a proposal to levy terminal tax on railway passengers travelling a distance of not less than 150 miles to cities with a population of 3 lakhs or more was considered by the Government of India in 1956, but it was not proceeded with at that time in view of periodical increases in the railway fares. It was estimated then that about Rs. 2.5 crores could be realised from the proposed levy. It was also envisaged that a parallel tax would be levied by the State Governments on passengers carried by road. The Ministry of Railways are of the view that when a terminal tax is levied on railway passengers, it would have to be accompanied by a parallel tax on passengers coming by road transport, or enhancement of the rate of such tax if already levied, so that the relativity of the fares charged by the railway and road transport is maintained. It has also been pointed out to us that the possibility of imposing this tax has to be considered in the context of the total fares payable by railway passengers, in which there have been a number of increases recently. The administrative difficulties in collecting the tax and the need for equalisation of the tax</w:t>
      </w:r>
      <w:r w:rsidRPr="007245B0">
        <w:rPr>
          <w:i/>
          <w:iCs/>
        </w:rPr>
        <w:t xml:space="preserve"> </w:t>
      </w:r>
      <w:r w:rsidRPr="007245B0">
        <w:t>structure with taxes levied on road transport would also have to be taken into account.</w:t>
      </w:r>
    </w:p>
    <w:p w14:paraId="04FA8C15" w14:textId="70997D37" w:rsidR="007C1733" w:rsidRPr="007245B0" w:rsidRDefault="007C1733" w:rsidP="00BA4AFE">
      <w:pPr>
        <w:pStyle w:val="Heading3"/>
        <w:spacing w:line="330" w:lineRule="exact"/>
      </w:pPr>
      <w:r w:rsidRPr="007245B0">
        <w:t xml:space="preserve">We have tried to estimate the likely revenue from a terminal tax on passengers carried by railway, on the basis of information furnished by the Railway Board about the numbers of passengers of each class other than suburban passengers in the year </w:t>
      </w:r>
      <w:r w:rsidRPr="007245B0">
        <w:lastRenderedPageBreak/>
        <w:t>1967-68, originating from cities having a population of more than one lakh according to the Census taken in 1961. It has been stated by that Board that, over a period of time, the numbers of passengers originating from and those terminating at any place may be assumed to be not significantly different. On the assumption that the terminal tax would be levied on non-suburban passengers travelling over distance exceeding 50 Kilometres at rates similar to those at which such tax is at present levied on pilgrims, the likely revenue may be of the order of Rs. 5 crores per annum. Having regard to the administrative difficulties and inconvenience involved in collection, and the need to levy a corresponding tax on passengers travelling by road, we are of opinion that it would not be worthwhile to levy this tax.</w:t>
      </w:r>
    </w:p>
    <w:p w14:paraId="0F50E210" w14:textId="3EEB2B8E" w:rsidR="007C1733" w:rsidRPr="00114C2A" w:rsidRDefault="007C1733" w:rsidP="00E406D7">
      <w:pPr>
        <w:pStyle w:val="ListParagraph"/>
        <w:numPr>
          <w:ilvl w:val="1"/>
          <w:numId w:val="1"/>
        </w:numPr>
        <w:spacing w:line="330" w:lineRule="exact"/>
        <w:ind w:left="0" w:firstLine="0"/>
        <w:rPr>
          <w:rFonts w:ascii="Times New Roman" w:hAnsi="Times New Roman" w:cs="Times New Roman"/>
          <w:i/>
          <w:iCs/>
          <w:sz w:val="28"/>
          <w:szCs w:val="28"/>
        </w:rPr>
      </w:pPr>
      <w:r w:rsidRPr="00114C2A">
        <w:rPr>
          <w:rFonts w:ascii="Times New Roman" w:hAnsi="Times New Roman" w:cs="Times New Roman"/>
          <w:i/>
          <w:iCs/>
          <w:sz w:val="28"/>
          <w:szCs w:val="28"/>
        </w:rPr>
        <w:t>Terminal tax on goods and passengers carried by sea:</w:t>
      </w:r>
    </w:p>
    <w:p w14:paraId="5A0323B3" w14:textId="5A2D7C41" w:rsidR="007C1733" w:rsidRPr="007245B0" w:rsidRDefault="007C1733" w:rsidP="00BA4AFE">
      <w:pPr>
        <w:pStyle w:val="Heading3"/>
        <w:spacing w:line="330" w:lineRule="exact"/>
      </w:pPr>
      <w:r w:rsidRPr="007245B0">
        <w:t>We examined the scope for the levy of a terminal tax on goods and passengers carried by sea on the basis of the facts available to us. The Ministry of Shipping and Transport have pointed out that the coastal passenger traffic is mainly in the Konkan sector and there have been persistent complaints that the fares are already high. There is overseas passenger traffic only on a few routes. With the exception of India/U.K./Continent route, passengers on other routes are mostly deck passengers. A passenger welfare cess is already being levied at Rs. 1 per unberthed passenger and Rs. 2 per saloon or cabin passenger.</w:t>
      </w:r>
    </w:p>
    <w:p w14:paraId="2CFFAE58" w14:textId="506B5ACF" w:rsidR="007C1733" w:rsidRPr="007245B0" w:rsidRDefault="007C1733" w:rsidP="00BA4AFE">
      <w:pPr>
        <w:pStyle w:val="Heading3"/>
        <w:spacing w:line="330" w:lineRule="exact"/>
      </w:pPr>
      <w:r w:rsidRPr="007245B0">
        <w:t>We have estimated that even if a terminal tax is levied at Rs. 2 to Rs. 5 per deck passenger and Rs. 10 to Rs. 15 per saloon or cabin passenger, the yield is not likely to exceed half a crore of rupees. We are of opinion that a revenue of this order would not justify the imposition of such tax on this mode of transport only.</w:t>
      </w:r>
    </w:p>
    <w:p w14:paraId="0DB27BA0" w14:textId="70736CD8" w:rsidR="007C1733" w:rsidRPr="007245B0" w:rsidRDefault="007C1733" w:rsidP="00BA4AFE">
      <w:pPr>
        <w:pStyle w:val="Heading3"/>
        <w:spacing w:line="330" w:lineRule="exact"/>
        <w:rPr>
          <w:i/>
          <w:iCs/>
        </w:rPr>
      </w:pPr>
      <w:r w:rsidRPr="007245B0">
        <w:t>A terminal tax on goods carried by sea can be levied either on the goods exported from or imported into the country or on coastal traffic. Such imports and exports as well as coastal traffic are already subject to various charges at the ports. The volume of goods shipped or landed at such ports is dependent on many factors of location, communication, etc., and is related to the trade and industry of the various regions in the hinterland served by the ports. In view of this larger impact of the shipping cargo traffic we consider that the levy of a terminal tax for the benefit of the ports only would not be justified, and no such tax need be levied in addition to the port charges and other fees already in force</w:t>
      </w:r>
      <w:r w:rsidRPr="007245B0">
        <w:rPr>
          <w:i/>
          <w:iCs/>
        </w:rPr>
        <w:t>.</w:t>
      </w:r>
    </w:p>
    <w:p w14:paraId="227D4734" w14:textId="011357E1" w:rsidR="007C1733" w:rsidRPr="00114C2A" w:rsidRDefault="007C1733" w:rsidP="00E406D7">
      <w:pPr>
        <w:pStyle w:val="ListParagraph"/>
        <w:numPr>
          <w:ilvl w:val="1"/>
          <w:numId w:val="1"/>
        </w:numPr>
        <w:spacing w:line="330" w:lineRule="exact"/>
        <w:ind w:left="0" w:firstLine="0"/>
        <w:rPr>
          <w:rFonts w:ascii="Times New Roman" w:hAnsi="Times New Roman" w:cs="Times New Roman"/>
          <w:i/>
          <w:iCs/>
          <w:sz w:val="28"/>
          <w:szCs w:val="28"/>
        </w:rPr>
      </w:pPr>
      <w:r w:rsidRPr="00114C2A">
        <w:rPr>
          <w:rFonts w:ascii="Times New Roman" w:hAnsi="Times New Roman" w:cs="Times New Roman"/>
          <w:i/>
          <w:iCs/>
          <w:sz w:val="28"/>
          <w:szCs w:val="28"/>
        </w:rPr>
        <w:t>Terminal tax on goods and passengers carried by air:</w:t>
      </w:r>
    </w:p>
    <w:p w14:paraId="21BEE496" w14:textId="305B5A01" w:rsidR="007C1733" w:rsidRPr="007245B0" w:rsidRDefault="007C1733" w:rsidP="00BA4AFE">
      <w:pPr>
        <w:pStyle w:val="Heading3"/>
        <w:spacing w:line="330" w:lineRule="exact"/>
      </w:pPr>
      <w:r w:rsidRPr="007245B0">
        <w:t xml:space="preserve">The incidence of terminal taxes on goods and passengers carried by air would fall on the internal air traffic at many airports in the country as well as international traffic at a small number of airports. The internal traffic is mainly with Indian Airlines Corporation while the international traffic is carried by Air India and the international airlines operating in India. The Government of India (Ministry of Tourism &amp; Civil Aviation), Air India and the Indian Airlines have expressed the view </w:t>
      </w:r>
      <w:r w:rsidRPr="007245B0">
        <w:lastRenderedPageBreak/>
        <w:t>that, having regard to the existing levies on the air industry, there is little scope at present to introduce any new tax, particularly in the context of the need to attract more foreign tourists and to promote civil airlines activity.</w:t>
      </w:r>
    </w:p>
    <w:p w14:paraId="3354159A" w14:textId="4306072E" w:rsidR="007C1733" w:rsidRPr="007245B0" w:rsidRDefault="007C1733" w:rsidP="00BA4AFE">
      <w:pPr>
        <w:pStyle w:val="Heading3"/>
        <w:spacing w:line="330" w:lineRule="exact"/>
      </w:pPr>
      <w:r w:rsidRPr="007245B0">
        <w:t>It is further urged that any levy on passengers or cargo at airports ought to be related to the facilities provided for them at the airports. The facilities provided at present in India are inadequate compared to many airports abroad.</w:t>
      </w:r>
    </w:p>
    <w:p w14:paraId="3BCD76E2" w14:textId="6D8C055C" w:rsidR="007C1733" w:rsidRPr="007245B0" w:rsidRDefault="007C1733" w:rsidP="00BA4AFE">
      <w:pPr>
        <w:pStyle w:val="Heading3"/>
        <w:spacing w:line="330" w:lineRule="exact"/>
      </w:pPr>
      <w:r w:rsidRPr="007245B0">
        <w:t>As regards internal traffic, it is stated that such levy would hamper full utilisation of the increased capacity expected as a result of introduction of large capacity jets in India. It will also discourage growth of cargo traffic by air. The levy, therefore, would not be in the interest of growth of civil aviation in the country. There is already a fee of Rs. 15 per head levied on passengers leaving India for destinations abroad by air from the four international airports in India. Further, such terminal tax is levied in very few other countries.</w:t>
      </w:r>
    </w:p>
    <w:p w14:paraId="7E7B5F9A" w14:textId="7BE506C0" w:rsidR="007C1733" w:rsidRPr="007245B0" w:rsidRDefault="007C1733" w:rsidP="00BA4AFE">
      <w:pPr>
        <w:pStyle w:val="Heading3"/>
        <w:spacing w:line="330" w:lineRule="exact"/>
      </w:pPr>
      <w:r w:rsidRPr="007245B0">
        <w:t>We think that while there is force in some of these arguments, a moderate terminal tax on passengers carried by air cannot be ruled out on these grounds. However, a terminal tax on passengers levied at Rs. 5 per passenger on internal flights and Rs. 25 per passenger on international flights is estimated to yield about Rs. 2.5 crores only. In view of the small yield and as we are not recommending levy of a similar tax on passengers using other modes of transport, we think that levy of such a tax would not at present be expedient. As regards the levy of a terminal tax on air cargo, we feel that such a measure would not be advisable at this stage when this mode of transport of goods is still not sufficiently developed.</w:t>
      </w:r>
    </w:p>
    <w:p w14:paraId="31DF7E40" w14:textId="6B162C6D" w:rsidR="007C1733" w:rsidRPr="00114C2A" w:rsidRDefault="007C1733" w:rsidP="00BA4AFE">
      <w:pPr>
        <w:spacing w:before="240" w:line="330" w:lineRule="exact"/>
        <w:jc w:val="center"/>
        <w:rPr>
          <w:rFonts w:ascii="Times New Roman" w:hAnsi="Times New Roman" w:cs="Times New Roman"/>
          <w:b/>
          <w:bCs/>
          <w:sz w:val="28"/>
          <w:szCs w:val="22"/>
        </w:rPr>
      </w:pPr>
      <w:r w:rsidRPr="00114C2A">
        <w:rPr>
          <w:rFonts w:ascii="Times New Roman" w:hAnsi="Times New Roman" w:cs="Times New Roman"/>
          <w:b/>
          <w:bCs/>
          <w:sz w:val="28"/>
          <w:szCs w:val="22"/>
        </w:rPr>
        <w:t>III. Taxes on Railway Fares and Freights</w:t>
      </w:r>
    </w:p>
    <w:p w14:paraId="2E865D36" w14:textId="47AC3A2D" w:rsidR="00BE4148" w:rsidRPr="002A109B" w:rsidRDefault="00BE4148" w:rsidP="00BA4AFE">
      <w:pPr>
        <w:pStyle w:val="ListParagraph"/>
        <w:numPr>
          <w:ilvl w:val="0"/>
          <w:numId w:val="6"/>
        </w:numPr>
        <w:spacing w:line="330" w:lineRule="exact"/>
        <w:rPr>
          <w:rFonts w:ascii="Times New Roman" w:hAnsi="Times New Roman" w:cs="Times New Roman"/>
          <w:i/>
          <w:iCs/>
          <w:sz w:val="28"/>
          <w:szCs w:val="22"/>
        </w:rPr>
      </w:pPr>
      <w:r w:rsidRPr="002A109B">
        <w:rPr>
          <w:rFonts w:ascii="Times New Roman" w:hAnsi="Times New Roman" w:cs="Times New Roman"/>
          <w:i/>
          <w:iCs/>
          <w:sz w:val="28"/>
          <w:szCs w:val="22"/>
        </w:rPr>
        <w:t>Tax on railway fares:</w:t>
      </w:r>
    </w:p>
    <w:p w14:paraId="4B210981" w14:textId="30D33714" w:rsidR="00BE4148" w:rsidRPr="007245B0" w:rsidRDefault="00BE4148" w:rsidP="00BA4AFE">
      <w:pPr>
        <w:pStyle w:val="Heading3"/>
        <w:spacing w:line="330" w:lineRule="exact"/>
      </w:pPr>
      <w:r w:rsidRPr="007245B0">
        <w:t>In Chapter 2 of our interim Report we referred to the representations made by a number of States about the inadequacy of the grant in lieu of the repealed tax on railway fares and the suggestions made by some States for the revival of the tax. Before considering the matter in the present context, we may briefly recall the history of its levy and its subsequent abolition.</w:t>
      </w:r>
    </w:p>
    <w:p w14:paraId="6F27E237" w14:textId="780DC5FD" w:rsidR="00BE4148" w:rsidRPr="002A109B" w:rsidRDefault="00BE4148" w:rsidP="00BA4AFE">
      <w:pPr>
        <w:pStyle w:val="Heading3"/>
        <w:spacing w:line="330" w:lineRule="exact"/>
      </w:pPr>
      <w:r w:rsidRPr="007245B0">
        <w:t>A tax on railway fares was levied in 1957 as a percentage of the fares and was recovered as an addition to the fare. The rates</w:t>
      </w:r>
      <w:r w:rsidR="002A109B">
        <w:t xml:space="preserve"> </w:t>
      </w:r>
      <w:r w:rsidRPr="002A109B">
        <w:t>of tax were:</w:t>
      </w:r>
      <w:r w:rsidR="0025034A">
        <w:t>-</w:t>
      </w:r>
    </w:p>
    <w:p w14:paraId="323E4464" w14:textId="088A38EC" w:rsidR="00BE4148" w:rsidRPr="002A109B" w:rsidRDefault="00BE4148" w:rsidP="0025034A">
      <w:pPr>
        <w:spacing w:after="0" w:line="330" w:lineRule="exact"/>
        <w:ind w:left="142"/>
        <w:jc w:val="both"/>
        <w:rPr>
          <w:rFonts w:ascii="Times New Roman" w:hAnsi="Times New Roman" w:cs="Times New Roman"/>
          <w:sz w:val="28"/>
          <w:szCs w:val="22"/>
        </w:rPr>
      </w:pPr>
      <w:r w:rsidRPr="002A109B">
        <w:rPr>
          <w:rFonts w:ascii="Times New Roman" w:hAnsi="Times New Roman" w:cs="Times New Roman"/>
          <w:sz w:val="28"/>
          <w:szCs w:val="22"/>
        </w:rPr>
        <w:t xml:space="preserve">(1) Passengers travelling on season tickets </w:t>
      </w:r>
      <w:r w:rsidR="00E278F7">
        <w:rPr>
          <w:rFonts w:ascii="Times New Roman" w:hAnsi="Times New Roman" w:cs="Times New Roman"/>
          <w:sz w:val="28"/>
          <w:szCs w:val="22"/>
        </w:rPr>
        <w:tab/>
      </w:r>
      <w:r w:rsidR="00E278F7">
        <w:rPr>
          <w:rFonts w:ascii="Times New Roman" w:hAnsi="Times New Roman" w:cs="Times New Roman"/>
          <w:sz w:val="28"/>
          <w:szCs w:val="22"/>
        </w:rPr>
        <w:tab/>
      </w:r>
      <w:r w:rsidR="00E278F7">
        <w:rPr>
          <w:rFonts w:ascii="Times New Roman" w:hAnsi="Times New Roman" w:cs="Times New Roman"/>
          <w:sz w:val="28"/>
          <w:szCs w:val="22"/>
        </w:rPr>
        <w:tab/>
      </w:r>
      <w:r w:rsidR="00E278F7">
        <w:rPr>
          <w:rFonts w:ascii="Times New Roman" w:hAnsi="Times New Roman" w:cs="Times New Roman"/>
          <w:sz w:val="28"/>
          <w:szCs w:val="22"/>
        </w:rPr>
        <w:tab/>
      </w:r>
      <w:r w:rsidR="00E278F7">
        <w:rPr>
          <w:rFonts w:ascii="Times New Roman" w:hAnsi="Times New Roman" w:cs="Times New Roman"/>
          <w:sz w:val="28"/>
          <w:szCs w:val="22"/>
        </w:rPr>
        <w:tab/>
      </w:r>
      <w:r w:rsidR="00E406D7">
        <w:rPr>
          <w:rFonts w:ascii="Times New Roman" w:hAnsi="Times New Roman" w:cs="Times New Roman"/>
          <w:sz w:val="28"/>
          <w:szCs w:val="22"/>
        </w:rPr>
        <w:t xml:space="preserve">    </w:t>
      </w:r>
      <w:r w:rsidR="0025034A">
        <w:rPr>
          <w:rFonts w:ascii="Times New Roman" w:hAnsi="Times New Roman" w:cs="Times New Roman"/>
          <w:sz w:val="28"/>
          <w:szCs w:val="22"/>
        </w:rPr>
        <w:tab/>
        <w:t xml:space="preserve">    </w:t>
      </w:r>
      <w:r w:rsidRPr="002A109B">
        <w:rPr>
          <w:rFonts w:ascii="Times New Roman" w:hAnsi="Times New Roman" w:cs="Times New Roman"/>
          <w:sz w:val="28"/>
          <w:szCs w:val="22"/>
        </w:rPr>
        <w:t>Nil.</w:t>
      </w:r>
    </w:p>
    <w:p w14:paraId="19D281A1" w14:textId="76EC9DEF" w:rsidR="00BE4148" w:rsidRPr="002A109B" w:rsidRDefault="00BE4148" w:rsidP="0025034A">
      <w:pPr>
        <w:spacing w:after="0" w:line="330" w:lineRule="exact"/>
        <w:ind w:left="142"/>
        <w:jc w:val="both"/>
        <w:rPr>
          <w:rFonts w:ascii="Times New Roman" w:hAnsi="Times New Roman" w:cs="Times New Roman"/>
          <w:sz w:val="28"/>
          <w:szCs w:val="22"/>
        </w:rPr>
      </w:pPr>
      <w:r w:rsidRPr="002A109B">
        <w:rPr>
          <w:rFonts w:ascii="Times New Roman" w:hAnsi="Times New Roman" w:cs="Times New Roman"/>
          <w:sz w:val="28"/>
          <w:szCs w:val="22"/>
        </w:rPr>
        <w:t xml:space="preserve">(2) Passengers travelling for distance upto 15 miles (inclusive) </w:t>
      </w:r>
      <w:r w:rsidR="00E278F7">
        <w:rPr>
          <w:rFonts w:ascii="Times New Roman" w:hAnsi="Times New Roman" w:cs="Times New Roman"/>
          <w:sz w:val="28"/>
          <w:szCs w:val="22"/>
        </w:rPr>
        <w:tab/>
      </w:r>
      <w:r w:rsidR="00E278F7">
        <w:rPr>
          <w:rFonts w:ascii="Times New Roman" w:hAnsi="Times New Roman" w:cs="Times New Roman"/>
          <w:sz w:val="28"/>
          <w:szCs w:val="22"/>
        </w:rPr>
        <w:tab/>
      </w:r>
      <w:r w:rsidRPr="002A109B">
        <w:rPr>
          <w:rFonts w:ascii="Times New Roman" w:hAnsi="Times New Roman" w:cs="Times New Roman"/>
          <w:sz w:val="28"/>
          <w:szCs w:val="22"/>
        </w:rPr>
        <w:t xml:space="preserve"> </w:t>
      </w:r>
      <w:r w:rsidR="00E406D7">
        <w:rPr>
          <w:rFonts w:ascii="Times New Roman" w:hAnsi="Times New Roman" w:cs="Times New Roman"/>
          <w:sz w:val="28"/>
          <w:szCs w:val="22"/>
        </w:rPr>
        <w:t xml:space="preserve">   </w:t>
      </w:r>
      <w:r w:rsidRPr="002A109B">
        <w:rPr>
          <w:rFonts w:ascii="Times New Roman" w:hAnsi="Times New Roman" w:cs="Times New Roman"/>
          <w:sz w:val="28"/>
          <w:szCs w:val="22"/>
        </w:rPr>
        <w:t>Nil.</w:t>
      </w:r>
    </w:p>
    <w:p w14:paraId="455B0E09" w14:textId="77777777" w:rsidR="00E406D7" w:rsidRDefault="00BE4148" w:rsidP="0025034A">
      <w:pPr>
        <w:spacing w:after="0" w:line="330" w:lineRule="exact"/>
        <w:ind w:left="142"/>
        <w:jc w:val="both"/>
        <w:rPr>
          <w:rFonts w:ascii="Times New Roman" w:hAnsi="Times New Roman" w:cs="Times New Roman"/>
          <w:sz w:val="28"/>
          <w:szCs w:val="22"/>
        </w:rPr>
      </w:pPr>
      <w:r w:rsidRPr="002A109B">
        <w:rPr>
          <w:rFonts w:ascii="Times New Roman" w:hAnsi="Times New Roman" w:cs="Times New Roman"/>
          <w:sz w:val="28"/>
          <w:szCs w:val="22"/>
        </w:rPr>
        <w:t xml:space="preserve">(3) Passengers travelling for distances from 16 miles to </w:t>
      </w:r>
    </w:p>
    <w:p w14:paraId="3BC3B409" w14:textId="085E5BD5" w:rsidR="00BE4148" w:rsidRPr="002A109B" w:rsidRDefault="00BE4148" w:rsidP="0025034A">
      <w:pPr>
        <w:spacing w:after="0" w:line="330" w:lineRule="exact"/>
        <w:ind w:left="862"/>
        <w:jc w:val="both"/>
        <w:rPr>
          <w:rFonts w:ascii="Times New Roman" w:hAnsi="Times New Roman" w:cs="Times New Roman"/>
          <w:sz w:val="28"/>
          <w:szCs w:val="22"/>
        </w:rPr>
      </w:pPr>
      <w:r w:rsidRPr="002A109B">
        <w:rPr>
          <w:rFonts w:ascii="Times New Roman" w:hAnsi="Times New Roman" w:cs="Times New Roman"/>
          <w:sz w:val="28"/>
          <w:szCs w:val="22"/>
        </w:rPr>
        <w:t xml:space="preserve">30 miles (inclusive) </w:t>
      </w:r>
      <w:r w:rsidR="00E278F7">
        <w:rPr>
          <w:rFonts w:ascii="Times New Roman" w:hAnsi="Times New Roman" w:cs="Times New Roman"/>
          <w:sz w:val="28"/>
          <w:szCs w:val="22"/>
        </w:rPr>
        <w:tab/>
      </w:r>
      <w:r w:rsidR="00E278F7">
        <w:rPr>
          <w:rFonts w:ascii="Times New Roman" w:hAnsi="Times New Roman" w:cs="Times New Roman"/>
          <w:sz w:val="28"/>
          <w:szCs w:val="22"/>
        </w:rPr>
        <w:tab/>
      </w:r>
      <w:r w:rsidR="00E278F7">
        <w:rPr>
          <w:rFonts w:ascii="Times New Roman" w:hAnsi="Times New Roman" w:cs="Times New Roman"/>
          <w:sz w:val="28"/>
          <w:szCs w:val="22"/>
        </w:rPr>
        <w:tab/>
      </w:r>
      <w:r w:rsidR="00E278F7">
        <w:rPr>
          <w:rFonts w:ascii="Times New Roman" w:hAnsi="Times New Roman" w:cs="Times New Roman"/>
          <w:sz w:val="28"/>
          <w:szCs w:val="22"/>
        </w:rPr>
        <w:tab/>
      </w:r>
      <w:r w:rsidR="00E278F7">
        <w:rPr>
          <w:rFonts w:ascii="Times New Roman" w:hAnsi="Times New Roman" w:cs="Times New Roman"/>
          <w:sz w:val="28"/>
          <w:szCs w:val="22"/>
        </w:rPr>
        <w:tab/>
      </w:r>
      <w:r w:rsidR="00E278F7">
        <w:rPr>
          <w:rFonts w:ascii="Times New Roman" w:hAnsi="Times New Roman" w:cs="Times New Roman"/>
          <w:sz w:val="28"/>
          <w:szCs w:val="22"/>
        </w:rPr>
        <w:tab/>
      </w:r>
      <w:r w:rsidRPr="002A109B">
        <w:rPr>
          <w:rFonts w:ascii="Times New Roman" w:hAnsi="Times New Roman" w:cs="Times New Roman"/>
          <w:sz w:val="28"/>
          <w:szCs w:val="22"/>
        </w:rPr>
        <w:t xml:space="preserve"> </w:t>
      </w:r>
      <w:r w:rsidR="00E406D7">
        <w:rPr>
          <w:rFonts w:ascii="Times New Roman" w:hAnsi="Times New Roman" w:cs="Times New Roman"/>
          <w:sz w:val="28"/>
          <w:szCs w:val="22"/>
        </w:rPr>
        <w:t xml:space="preserve">   </w:t>
      </w:r>
      <w:r w:rsidR="0025034A">
        <w:rPr>
          <w:rFonts w:ascii="Times New Roman" w:hAnsi="Times New Roman" w:cs="Times New Roman"/>
          <w:sz w:val="28"/>
          <w:szCs w:val="22"/>
        </w:rPr>
        <w:tab/>
        <w:t xml:space="preserve">    </w:t>
      </w:r>
      <w:r w:rsidRPr="002A109B">
        <w:rPr>
          <w:rFonts w:ascii="Times New Roman" w:hAnsi="Times New Roman" w:cs="Times New Roman"/>
          <w:sz w:val="28"/>
          <w:szCs w:val="22"/>
        </w:rPr>
        <w:t>5% of fare</w:t>
      </w:r>
    </w:p>
    <w:p w14:paraId="7D800B21" w14:textId="64A663EB" w:rsidR="00E406D7" w:rsidRDefault="0025034A" w:rsidP="0025034A">
      <w:pPr>
        <w:spacing w:after="0" w:line="330" w:lineRule="exact"/>
        <w:jc w:val="both"/>
        <w:rPr>
          <w:rFonts w:ascii="Times New Roman" w:hAnsi="Times New Roman" w:cs="Times New Roman"/>
          <w:sz w:val="28"/>
          <w:szCs w:val="22"/>
        </w:rPr>
      </w:pPr>
      <w:r>
        <w:rPr>
          <w:rFonts w:ascii="Times New Roman" w:hAnsi="Times New Roman" w:cs="Times New Roman"/>
          <w:sz w:val="28"/>
          <w:szCs w:val="22"/>
        </w:rPr>
        <w:t xml:space="preserve">  </w:t>
      </w:r>
      <w:r w:rsidR="00BE4148" w:rsidRPr="002A109B">
        <w:rPr>
          <w:rFonts w:ascii="Times New Roman" w:hAnsi="Times New Roman" w:cs="Times New Roman"/>
          <w:sz w:val="28"/>
          <w:szCs w:val="22"/>
        </w:rPr>
        <w:t xml:space="preserve">(4) Passengers travelling for distances from 31 miles to </w:t>
      </w:r>
    </w:p>
    <w:p w14:paraId="5DDEA019" w14:textId="196801EB" w:rsidR="00BE4148" w:rsidRPr="002A109B" w:rsidRDefault="00BE4148" w:rsidP="0025034A">
      <w:pPr>
        <w:spacing w:after="0" w:line="330" w:lineRule="exact"/>
        <w:ind w:left="862"/>
        <w:jc w:val="both"/>
        <w:rPr>
          <w:rFonts w:ascii="Times New Roman" w:hAnsi="Times New Roman" w:cs="Times New Roman"/>
          <w:sz w:val="28"/>
          <w:szCs w:val="22"/>
        </w:rPr>
      </w:pPr>
      <w:r w:rsidRPr="002A109B">
        <w:rPr>
          <w:rFonts w:ascii="Times New Roman" w:hAnsi="Times New Roman" w:cs="Times New Roman"/>
          <w:sz w:val="28"/>
          <w:szCs w:val="22"/>
        </w:rPr>
        <w:t xml:space="preserve">500 miles (inclusive) </w:t>
      </w:r>
      <w:r w:rsidR="0025034A">
        <w:rPr>
          <w:rFonts w:ascii="Times New Roman" w:hAnsi="Times New Roman" w:cs="Times New Roman"/>
          <w:sz w:val="28"/>
          <w:szCs w:val="22"/>
        </w:rPr>
        <w:tab/>
      </w:r>
      <w:r w:rsidR="0025034A">
        <w:rPr>
          <w:rFonts w:ascii="Times New Roman" w:hAnsi="Times New Roman" w:cs="Times New Roman"/>
          <w:sz w:val="28"/>
          <w:szCs w:val="22"/>
        </w:rPr>
        <w:tab/>
      </w:r>
      <w:r w:rsidR="0025034A">
        <w:rPr>
          <w:rFonts w:ascii="Times New Roman" w:hAnsi="Times New Roman" w:cs="Times New Roman"/>
          <w:sz w:val="28"/>
          <w:szCs w:val="22"/>
        </w:rPr>
        <w:tab/>
      </w:r>
      <w:r w:rsidR="0025034A">
        <w:rPr>
          <w:rFonts w:ascii="Times New Roman" w:hAnsi="Times New Roman" w:cs="Times New Roman"/>
          <w:sz w:val="28"/>
          <w:szCs w:val="22"/>
        </w:rPr>
        <w:tab/>
      </w:r>
      <w:r w:rsidR="0025034A">
        <w:rPr>
          <w:rFonts w:ascii="Times New Roman" w:hAnsi="Times New Roman" w:cs="Times New Roman"/>
          <w:sz w:val="28"/>
          <w:szCs w:val="22"/>
        </w:rPr>
        <w:tab/>
      </w:r>
      <w:r w:rsidR="0025034A">
        <w:rPr>
          <w:rFonts w:ascii="Times New Roman" w:hAnsi="Times New Roman" w:cs="Times New Roman"/>
          <w:sz w:val="28"/>
          <w:szCs w:val="22"/>
        </w:rPr>
        <w:tab/>
      </w:r>
      <w:r w:rsidR="0025034A">
        <w:rPr>
          <w:rFonts w:ascii="Times New Roman" w:hAnsi="Times New Roman" w:cs="Times New Roman"/>
          <w:sz w:val="28"/>
          <w:szCs w:val="22"/>
        </w:rPr>
        <w:tab/>
        <w:t xml:space="preserve">  </w:t>
      </w:r>
      <w:r w:rsidRPr="002A109B">
        <w:rPr>
          <w:rFonts w:ascii="Times New Roman" w:hAnsi="Times New Roman" w:cs="Times New Roman"/>
          <w:sz w:val="28"/>
          <w:szCs w:val="22"/>
        </w:rPr>
        <w:t>15% of fare</w:t>
      </w:r>
    </w:p>
    <w:p w14:paraId="40B0CF53" w14:textId="48C705E0" w:rsidR="00BE4148" w:rsidRPr="002A109B" w:rsidRDefault="00BE4148" w:rsidP="0025034A">
      <w:pPr>
        <w:spacing w:after="0" w:line="330" w:lineRule="exact"/>
        <w:ind w:left="142"/>
        <w:jc w:val="both"/>
        <w:rPr>
          <w:rFonts w:ascii="Times New Roman" w:hAnsi="Times New Roman" w:cs="Times New Roman"/>
          <w:sz w:val="28"/>
          <w:szCs w:val="22"/>
        </w:rPr>
      </w:pPr>
      <w:r w:rsidRPr="002A109B">
        <w:rPr>
          <w:rFonts w:ascii="Times New Roman" w:hAnsi="Times New Roman" w:cs="Times New Roman"/>
          <w:sz w:val="28"/>
          <w:szCs w:val="22"/>
        </w:rPr>
        <w:t xml:space="preserve">(5) Passengers travelling for distances over 500 miles </w:t>
      </w:r>
      <w:r w:rsidR="00E278F7">
        <w:rPr>
          <w:rFonts w:ascii="Times New Roman" w:hAnsi="Times New Roman" w:cs="Times New Roman"/>
          <w:sz w:val="28"/>
          <w:szCs w:val="22"/>
        </w:rPr>
        <w:tab/>
      </w:r>
      <w:r w:rsidR="0025034A">
        <w:rPr>
          <w:rFonts w:ascii="Times New Roman" w:hAnsi="Times New Roman" w:cs="Times New Roman"/>
          <w:sz w:val="28"/>
          <w:szCs w:val="22"/>
        </w:rPr>
        <w:tab/>
      </w:r>
      <w:r w:rsidR="0025034A">
        <w:rPr>
          <w:rFonts w:ascii="Times New Roman" w:hAnsi="Times New Roman" w:cs="Times New Roman"/>
          <w:sz w:val="28"/>
          <w:szCs w:val="22"/>
        </w:rPr>
        <w:tab/>
        <w:t xml:space="preserve">  </w:t>
      </w:r>
      <w:r w:rsidRPr="002A109B">
        <w:rPr>
          <w:rFonts w:ascii="Times New Roman" w:hAnsi="Times New Roman" w:cs="Times New Roman"/>
          <w:sz w:val="28"/>
          <w:szCs w:val="22"/>
        </w:rPr>
        <w:t>10% of fare</w:t>
      </w:r>
    </w:p>
    <w:p w14:paraId="5A0E80BD" w14:textId="0D7D1328" w:rsidR="00BE4148" w:rsidRPr="002A109B" w:rsidRDefault="00BE4148" w:rsidP="0025034A">
      <w:pPr>
        <w:spacing w:after="0" w:line="330" w:lineRule="exact"/>
        <w:ind w:left="142"/>
        <w:jc w:val="both"/>
        <w:rPr>
          <w:rFonts w:ascii="Times New Roman" w:hAnsi="Times New Roman" w:cs="Times New Roman"/>
          <w:sz w:val="28"/>
          <w:szCs w:val="22"/>
        </w:rPr>
      </w:pPr>
      <w:r w:rsidRPr="002A109B">
        <w:rPr>
          <w:rFonts w:ascii="Times New Roman" w:hAnsi="Times New Roman" w:cs="Times New Roman"/>
          <w:sz w:val="28"/>
          <w:szCs w:val="22"/>
        </w:rPr>
        <w:lastRenderedPageBreak/>
        <w:t xml:space="preserve">(6) Passengers travelling on mileage coupons </w:t>
      </w:r>
      <w:r w:rsidR="0025034A">
        <w:rPr>
          <w:rFonts w:ascii="Times New Roman" w:hAnsi="Times New Roman" w:cs="Times New Roman"/>
          <w:sz w:val="28"/>
          <w:szCs w:val="22"/>
        </w:rPr>
        <w:tab/>
        <w:t xml:space="preserve">    12½ </w:t>
      </w:r>
      <w:r w:rsidRPr="002A109B">
        <w:rPr>
          <w:rFonts w:ascii="Times New Roman" w:hAnsi="Times New Roman" w:cs="Times New Roman"/>
          <w:sz w:val="28"/>
          <w:szCs w:val="22"/>
        </w:rPr>
        <w:t>% of cost of the coupons.</w:t>
      </w:r>
    </w:p>
    <w:p w14:paraId="2010D26A" w14:textId="16FF7F87" w:rsidR="00BE4148" w:rsidRPr="002A109B" w:rsidRDefault="00BE4148" w:rsidP="0025034A">
      <w:pPr>
        <w:spacing w:before="240" w:after="0" w:line="330" w:lineRule="exact"/>
        <w:jc w:val="both"/>
        <w:rPr>
          <w:rFonts w:ascii="Times New Roman" w:hAnsi="Times New Roman" w:cs="Times New Roman"/>
          <w:sz w:val="28"/>
          <w:szCs w:val="22"/>
        </w:rPr>
      </w:pPr>
      <w:r w:rsidRPr="002A109B">
        <w:rPr>
          <w:rFonts w:ascii="Times New Roman" w:hAnsi="Times New Roman" w:cs="Times New Roman"/>
          <w:sz w:val="28"/>
          <w:szCs w:val="22"/>
        </w:rPr>
        <w:t>The tax was in force till the end of 1960-61.</w:t>
      </w:r>
    </w:p>
    <w:p w14:paraId="7FD77F8A" w14:textId="012A1D81" w:rsidR="00BE4148" w:rsidRPr="007245B0" w:rsidRDefault="00BE4148" w:rsidP="00BA4AFE">
      <w:pPr>
        <w:pStyle w:val="Heading3"/>
        <w:spacing w:line="330" w:lineRule="exact"/>
      </w:pPr>
      <w:r w:rsidRPr="007245B0">
        <w:t>In 1960 the Railway Board represented to the Railway Convention Committee that in order to enable the Railways to obviate the necessity of making up the shortfall in their surplus in the quinquennium 1961</w:t>
      </w:r>
      <w:r w:rsidR="0025034A">
        <w:t>-</w:t>
      </w:r>
      <w:r w:rsidRPr="007245B0">
        <w:t>66, and to avoid the continued financing of the Railway Development Fund through loans from General Revenues, it was necessary to allocate to the railways the entire proceeds of the passenger tax to be collected in the period 1961-66, which were estimated to be about Rs. 70 crores. The Board suggested that the tax should be merged with existing fares, so that the proceeds accrue to the Railways in the first instance in the ordinary way; and that the Railways may be required to make every year a special payment, for transfer to the States, equal to the average collection of passenger tax during the three years 1958</w:t>
      </w:r>
      <w:r w:rsidR="0025034A">
        <w:t>-</w:t>
      </w:r>
      <w:r w:rsidRPr="007245B0">
        <w:t>61 (or even the maximum collection of the three years, as may be decided).</w:t>
      </w:r>
    </w:p>
    <w:p w14:paraId="4E243ACF" w14:textId="5CBF78C2" w:rsidR="00BE4148" w:rsidRPr="007245B0" w:rsidRDefault="00BE4148" w:rsidP="00BA4AFE">
      <w:pPr>
        <w:pStyle w:val="Heading3"/>
        <w:spacing w:line="330" w:lineRule="exact"/>
      </w:pPr>
      <w:r w:rsidRPr="007245B0">
        <w:t>On the basis of these suggestions the Railway Convention Committee, 1960, recommended that the passenger tax at the then existing rates might be merged with passenger fares from 1</w:t>
      </w:r>
      <w:r w:rsidRPr="0025034A">
        <w:rPr>
          <w:vertAlign w:val="superscript"/>
        </w:rPr>
        <w:t>st</w:t>
      </w:r>
      <w:r w:rsidR="0025034A">
        <w:t xml:space="preserve"> </w:t>
      </w:r>
      <w:r w:rsidRPr="007245B0">
        <w:t>April, 1961 and that the State Governments should be paid a fixed grant of Rs. 12.50 crores per year during the quinquennium 1961-66 representing the average of the actual collections for the years 1958-59 and 1959-60. This was on the consideration that the States, to whom the proceeds from this tax were payable, were likely to have included this source of income as part of their resources for purposes of the Third Five Year Plan.</w:t>
      </w:r>
    </w:p>
    <w:p w14:paraId="07F4EAC2" w14:textId="35646924" w:rsidR="00BE4148" w:rsidRPr="007245B0" w:rsidRDefault="00BE4148" w:rsidP="00BA4AFE">
      <w:pPr>
        <w:pStyle w:val="Heading3"/>
        <w:spacing w:line="330" w:lineRule="exact"/>
      </w:pPr>
      <w:r w:rsidRPr="007245B0">
        <w:t>Consequent on representations made by the States to the Fourth Finance Commission, the Railway Board suggested to the Railway Convention Committee, 1965, that the grant may be raised to Rs. 16.25 crores, keeping in view the rate of increase in traffic during the five years 1960-61 to 1964-65 and the expected increase in subsequent years. For this purpose it was suggested that the Railways should pay to the Government of India an amount equal to one per cent of the capital at charge on 31-3-1964, out of which Rs. 16.25 crores may be paid as grant to States in lieu of the repealed tax and the balance of about Rs. 1.50 crores may be utilised to assist the States to provide their share of the cost of Railway safety works. The Railway Convention Committee approved this suggestion.</w:t>
      </w:r>
    </w:p>
    <w:p w14:paraId="6FFF1C64" w14:textId="5BD9A7E1" w:rsidR="00BE4148" w:rsidRPr="007245B0" w:rsidRDefault="00BE4148" w:rsidP="00BA4AFE">
      <w:pPr>
        <w:pStyle w:val="Heading3"/>
        <w:spacing w:line="330" w:lineRule="exact"/>
      </w:pPr>
      <w:r w:rsidRPr="007245B0">
        <w:t xml:space="preserve">In their memoranda submitted to us the States have urged that either the tax on railway fares be reintroduced at the same rates at which it was levied in 1957-58, or the quantum of the grant in lieu of the tax may be increased and fixed as a percentage of the railway passenger earnings, such percentage being fixed on the </w:t>
      </w:r>
      <w:r w:rsidRPr="007245B0">
        <w:lastRenderedPageBreak/>
        <w:t>basis of actual tax collections and passenger earnings in the years upto 1960-61 prior to the repeal of the tax.</w:t>
      </w:r>
    </w:p>
    <w:p w14:paraId="28F11CEB" w14:textId="30BF1BBE" w:rsidR="00BE4148" w:rsidRPr="007245B0" w:rsidRDefault="00BE4148" w:rsidP="00BA4AFE">
      <w:pPr>
        <w:pStyle w:val="Heading3"/>
        <w:spacing w:line="330" w:lineRule="exact"/>
      </w:pPr>
      <w:r w:rsidRPr="007245B0">
        <w:t>From the data available to us, it appears that during the three years 1958-59 to 1960-61, the yield from this tax constituted 10.09 per cent to 11.69 per cent of the total non-suburban passenger earnings of railways, inclusive of the tax. The average for the three years comes to about 10.7 per cent. On this basis the amounts payable to the States in lieu of the tax would be higher than the fixed grants recommended by the Railway Convention Committees, and would be of the order of Rs. 25 crores at present.</w:t>
      </w:r>
    </w:p>
    <w:p w14:paraId="44EF2F20" w14:textId="4DEA5546" w:rsidR="00BE4148" w:rsidRPr="007245B0" w:rsidRDefault="00BE4148" w:rsidP="00BA4AFE">
      <w:pPr>
        <w:pStyle w:val="Heading3"/>
        <w:spacing w:line="330" w:lineRule="exact"/>
      </w:pPr>
      <w:r w:rsidRPr="007245B0">
        <w:t>A new Railway Convention Committee has been set up in December, 1968. We expected that their recommendations in regard to the grant to be paid to the States from 1969-70 onwards would be available to us before completion of our work, but it is understood that the Committee’s report would not be available for some months.</w:t>
      </w:r>
    </w:p>
    <w:p w14:paraId="26EFAA9B" w14:textId="62952F24" w:rsidR="00BE4148" w:rsidRPr="007245B0" w:rsidRDefault="00BE4148" w:rsidP="00BA4AFE">
      <w:pPr>
        <w:pStyle w:val="Heading3"/>
        <w:spacing w:line="330" w:lineRule="exact"/>
      </w:pPr>
      <w:r w:rsidRPr="007245B0">
        <w:t>We discussed with representatives of the Railway Board the suggestions of the States that either the tax should be reintroduced or the quantum of the grant in lieu of the tax increased. The Railways have in recent years been incurring heavy losses. It was represented to us that the cost of passenger services had increased considerably, and that whatever additional revenues could be obtained by increase in fares would have to be utilised by them towards meeting the increased cost of operation. Further, they stated that their experience was that whenever fares were increased, there had been a set back in the rate of growth of passenger traffic and they felt that the reintroduction of the tax would affect the railway finances adversely.</w:t>
      </w:r>
    </w:p>
    <w:p w14:paraId="5370B6D4" w14:textId="09DA70C4" w:rsidR="00BE4148" w:rsidRPr="007245B0" w:rsidRDefault="00BE4148" w:rsidP="00BA4AFE">
      <w:pPr>
        <w:pStyle w:val="Heading3"/>
        <w:spacing w:line="330" w:lineRule="exact"/>
      </w:pPr>
      <w:r w:rsidRPr="007245B0">
        <w:t>It appears to us that the quantum of the grant would have been higher than Rs. 12.50 crores if it had been fixed on the basis of actual tax collections during the three full years in which the tax was in existence. The subsequent revision in 1965 also was not related to the increase in total passenger earnings but it took into account the increase in passenger traffic. Due to the substitution of</w:t>
      </w:r>
      <w:r w:rsidR="00C66F68" w:rsidRPr="007245B0">
        <w:t xml:space="preserve"> the tax by a fixed grant, the States do not get a benefit proportionate to what they could have expected from the tax which was levied under Article 269 the proceeds of which are wholly assignable to States. In view of this, their desire for reimposition of the tax can be regarded as legitimate. Nevertheless, we have also to consider the implications of an increase in passenger fares at the present juncture and its adverse effect on the economy. We consider that in view of what has been represented to us regarding the unsatisfactory state of Railway finances during the last few years and their increased expenditure commitments, there is no scope for the reimposition of the tax on railway passenger fares in the present circumstances. We suggest, however, that this </w:t>
      </w:r>
      <w:r w:rsidR="00C66F68" w:rsidRPr="007245B0">
        <w:lastRenderedPageBreak/>
        <w:t>question may be reviewed by the Government of India if and when the railway finances show sufficient improvement.</w:t>
      </w:r>
    </w:p>
    <w:p w14:paraId="22E4A4EF" w14:textId="767C340B" w:rsidR="00C66F68" w:rsidRPr="007245B0" w:rsidRDefault="00C66F68" w:rsidP="00BA4AFE">
      <w:pPr>
        <w:pStyle w:val="Heading3"/>
        <w:spacing w:line="330" w:lineRule="exact"/>
      </w:pPr>
      <w:r w:rsidRPr="007245B0">
        <w:t>As regards the States’ suggestion for increase in the quantum of the grant as an alternative to the reimposition of the tax, we had intended to consider the matter while examining the question of scope for raising revenue from this source under item (h) of the terms of reference. However, as stated above, we have taken the view that in the present circumstances there is no scope for reimposition of the tax. The question of determining the quantum of the grant does not also, strictly, fall within the purview of item (h) of our terms of reference. We have no doubt that the Railway Convention Committee will take into account the views of the States as well as the representations of the Railways in this regard.</w:t>
      </w:r>
    </w:p>
    <w:p w14:paraId="6CA60E9C" w14:textId="26C08A5D" w:rsidR="00C66F68" w:rsidRPr="002A109B" w:rsidRDefault="00C66F68" w:rsidP="00BA4AFE">
      <w:pPr>
        <w:pStyle w:val="ListParagraph"/>
        <w:numPr>
          <w:ilvl w:val="0"/>
          <w:numId w:val="6"/>
        </w:numPr>
        <w:spacing w:line="330" w:lineRule="exact"/>
        <w:rPr>
          <w:rFonts w:ascii="Times New Roman" w:hAnsi="Times New Roman" w:cs="Times New Roman"/>
          <w:i/>
          <w:iCs/>
          <w:sz w:val="28"/>
          <w:szCs w:val="22"/>
        </w:rPr>
      </w:pPr>
      <w:r w:rsidRPr="002A109B">
        <w:rPr>
          <w:rFonts w:ascii="Times New Roman" w:hAnsi="Times New Roman" w:cs="Times New Roman"/>
          <w:i/>
          <w:iCs/>
          <w:sz w:val="28"/>
          <w:szCs w:val="22"/>
        </w:rPr>
        <w:t>Tax on railway freights:</w:t>
      </w:r>
    </w:p>
    <w:p w14:paraId="398B6890" w14:textId="3A162472" w:rsidR="00C66F68" w:rsidRPr="007245B0" w:rsidRDefault="00C66F68" w:rsidP="00BA4AFE">
      <w:pPr>
        <w:pStyle w:val="Heading3"/>
        <w:spacing w:line="330" w:lineRule="exact"/>
      </w:pPr>
      <w:r w:rsidRPr="007245B0">
        <w:t>A tax on railway freights would in effect amount to a general increase in the railway freights. The difference between a tax on railway freights and the terminal tax, which we have dealt with earlier in this Chapter, is that the former is leviable on the freight chargeable for carriage of goods irrespective of the place of origin or destination, while the latter is leviable at fixed amounts with reference to specified places. The levy of a terminal tax would have the effect of raising prices of commodities in some places only; but the levy of a tax on freights would result in a general increase in the prices of commodities transported according to the distances covered. It would also increase the differences in prices prevailing in different regions due to increase in the cost of transport. Besides, such a tax will have a cumulative effect in many cases as it will be leviable on raw materials as well as on goods manufactured therefrom.</w:t>
      </w:r>
    </w:p>
    <w:p w14:paraId="343739C0" w14:textId="1E34568E" w:rsidR="00C66F68" w:rsidRPr="007245B0" w:rsidRDefault="00C66F68" w:rsidP="00BA4AFE">
      <w:pPr>
        <w:pStyle w:val="Heading3"/>
        <w:spacing w:line="330" w:lineRule="exact"/>
      </w:pPr>
      <w:r w:rsidRPr="007245B0">
        <w:t>During the First World War a tax in the form of a surcharge on freights charged by Railways and inland steam vessels was imposed on certain commodities. This tax was discontinued in 1922.</w:t>
      </w:r>
    </w:p>
    <w:p w14:paraId="793A2F94" w14:textId="35F3B2FA" w:rsidR="00C66F68" w:rsidRPr="007245B0" w:rsidRDefault="00C66F68" w:rsidP="00BA4AFE">
      <w:pPr>
        <w:pStyle w:val="Heading3"/>
        <w:spacing w:line="330" w:lineRule="exact"/>
      </w:pPr>
      <w:r w:rsidRPr="007245B0">
        <w:t>It has been urged before us by the Railway Board that the Indian Railways’ freight structure has been so framed as to assist industrial and agricultural development of the country. Coal, for instance, is being carried at a rate which does not cover even the cost of carriage. Other instances of low-rated commodities are ores, manures and fodder. Such liberal treatment is allowed by the railways because the materials are used for industry, and if rates are increased upto the level justified by the cost of transport, there would be general increase in prices which would impede economic development.</w:t>
      </w:r>
    </w:p>
    <w:p w14:paraId="484043E4" w14:textId="6A45D93E" w:rsidR="00C66F68" w:rsidRPr="007245B0" w:rsidRDefault="00C66F68" w:rsidP="00BA4AFE">
      <w:pPr>
        <w:pStyle w:val="Heading3"/>
        <w:spacing w:line="330" w:lineRule="exact"/>
      </w:pPr>
      <w:r w:rsidRPr="007245B0">
        <w:t xml:space="preserve">The Railways feel that if there is any scope for the levy of the tax it can equally be said that there is scope for an increase in the freights, and in the present State of Railway finances such scope should be utilised for the purpose of improving railway revenues rather than for levy of a tax on freights. Another point made by them is that </w:t>
      </w:r>
      <w:r w:rsidRPr="007245B0">
        <w:lastRenderedPageBreak/>
        <w:t>a levy on the freights should be accompanied by a parallel levy on the goods freight charged by the road operators.</w:t>
      </w:r>
    </w:p>
    <w:p w14:paraId="647956DF" w14:textId="61337B90" w:rsidR="00C66F68" w:rsidRPr="007245B0" w:rsidRDefault="00C66F68" w:rsidP="00BA4AFE">
      <w:pPr>
        <w:pStyle w:val="Heading3"/>
        <w:spacing w:line="330" w:lineRule="exact"/>
      </w:pPr>
      <w:r w:rsidRPr="007245B0">
        <w:t>We are of opinion that the freight structure should be consistent with the requirements of economic development of the country as a whole and it should conform to the objectives of the economic policies of Government. We are inclined to the view that, having regard to the position of railway finances at present, the levy of a tax on railway freights is not desirable, particularly as a large portion of the traffic, e.g., foodgrains, coal and coke and ores may, for policy reasons, have to be exempted. Such a tax would increase costs of transport which is not desirable in the interest of general economic policy, and it would also necessitate a corresponding tax on road freights. We feel that in order to derive more revenue for the Union or State exchequers, the increased levy of Union excise duties and State sales taxes would be preferable to a tax on freights for carriage of goods.</w:t>
      </w:r>
    </w:p>
    <w:p w14:paraId="1E068912" w14:textId="77777777" w:rsidR="00C66F68" w:rsidRPr="002A109B" w:rsidRDefault="00C66F68" w:rsidP="00BA4AFE">
      <w:pPr>
        <w:spacing w:before="240" w:line="330" w:lineRule="exact"/>
        <w:jc w:val="center"/>
        <w:rPr>
          <w:rFonts w:ascii="Times New Roman" w:hAnsi="Times New Roman" w:cs="Times New Roman"/>
          <w:b/>
          <w:bCs/>
          <w:sz w:val="28"/>
          <w:szCs w:val="22"/>
        </w:rPr>
      </w:pPr>
      <w:r w:rsidRPr="002A109B">
        <w:rPr>
          <w:rFonts w:ascii="Times New Roman" w:hAnsi="Times New Roman" w:cs="Times New Roman"/>
          <w:b/>
          <w:bCs/>
          <w:sz w:val="28"/>
          <w:szCs w:val="22"/>
        </w:rPr>
        <w:t>IV. Taxes other than stamp duties on transactions in stock-exchanges and futures markets</w:t>
      </w:r>
    </w:p>
    <w:p w14:paraId="7BC54C21" w14:textId="077B515A" w:rsidR="00C66F68" w:rsidRPr="002A109B" w:rsidRDefault="00C66F68" w:rsidP="00BE3CC5">
      <w:pPr>
        <w:pStyle w:val="ListParagraph"/>
        <w:numPr>
          <w:ilvl w:val="0"/>
          <w:numId w:val="62"/>
        </w:numPr>
        <w:spacing w:line="330" w:lineRule="exact"/>
        <w:jc w:val="both"/>
        <w:rPr>
          <w:rFonts w:ascii="Times New Roman" w:hAnsi="Times New Roman" w:cs="Times New Roman"/>
          <w:i/>
          <w:iCs/>
          <w:sz w:val="28"/>
          <w:szCs w:val="22"/>
        </w:rPr>
      </w:pPr>
      <w:r w:rsidRPr="002A109B">
        <w:rPr>
          <w:rFonts w:ascii="Times New Roman" w:hAnsi="Times New Roman" w:cs="Times New Roman"/>
          <w:i/>
          <w:iCs/>
          <w:sz w:val="28"/>
          <w:szCs w:val="22"/>
        </w:rPr>
        <w:t>Tax on transactions in stock-exchanges:</w:t>
      </w:r>
    </w:p>
    <w:p w14:paraId="5B0690F6" w14:textId="41EB6A01" w:rsidR="00C66F68" w:rsidRPr="007245B0" w:rsidRDefault="00C66F68" w:rsidP="00BA4AFE">
      <w:pPr>
        <w:pStyle w:val="Heading3"/>
        <w:spacing w:line="330" w:lineRule="exact"/>
      </w:pPr>
      <w:r w:rsidRPr="007245B0">
        <w:t>Since 1957 all security markets are governed by the Securities Contracts (Regulation) Act, 1956, under which only stock-exchanges recognised by the Central Government are permitted to function.</w:t>
      </w:r>
    </w:p>
    <w:p w14:paraId="25F41AB1" w14:textId="372C01C9" w:rsidR="00C66F68" w:rsidRPr="007245B0" w:rsidRDefault="00C66F68" w:rsidP="00BA4AFE">
      <w:pPr>
        <w:pStyle w:val="Heading3"/>
        <w:spacing w:line="330" w:lineRule="exact"/>
      </w:pPr>
      <w:r w:rsidRPr="007245B0">
        <w:t xml:space="preserve">There are two types of transactions in securities on stock-exchanges—those for spot or hand delivery and the others for clearance. The transactions for the purpose of investments are made for spot or hand delivery, while the transactions for clearance are of a speculative nature. Apart from the brokerage, the purchases or sales of securities in stock-exchanges are at present subject to certain levies. The Government of India levy stamp duty on the actual transfer of shares and debentures under entry 92 of the Union List in the seventh Schedule. Some State Governments levy a stamp duty under entry 63 of the State List on instruments relating to purchase and sale transactions in shares, debentures and other securities. Item (e) of Article 269 relates to taxes other than stamp duty which may be levied on transactions in stock-exchanges and futures markets. The levy of such tax on transactions in stock-exchanges under Article 269 would be in addition to the stamp duty levied by State Governments on the instruments relating to the transactions. The rate of stamp duty levied by the Government of India on transfer of shares is 25 paise per Rs. 100 or part thereof. The rates of stamp duties levied by State Governments on clearance lists of transactions in stock-exchanges vary from 20 paise for Rs. 5,000 or part </w:t>
      </w:r>
      <w:r w:rsidRPr="007245B0">
        <w:lastRenderedPageBreak/>
        <w:t>thereof in the case of Calcutta stock-exchange to 20 paise for Rs. 2,500 or part thereof in the case of Ahmedabad stock-exchange.</w:t>
      </w:r>
    </w:p>
    <w:p w14:paraId="576974EA" w14:textId="55B15891" w:rsidR="00C66F68" w:rsidRPr="007245B0" w:rsidRDefault="00C66F68" w:rsidP="00BA4AFE">
      <w:pPr>
        <w:pStyle w:val="Heading3"/>
        <w:spacing w:line="330" w:lineRule="exact"/>
      </w:pPr>
      <w:r w:rsidRPr="007245B0">
        <w:t>We invited the views of the State Governments on the levy of this tax. Some of the States were in favour of this levy, while some others felt that the yield from this tax would not be substantial or that such levy would not bring any advantage to them in the absence of stock-exchanges or futures markets in their area.</w:t>
      </w:r>
    </w:p>
    <w:p w14:paraId="03B71931" w14:textId="34402627" w:rsidR="00C66F68" w:rsidRPr="007245B0" w:rsidRDefault="00C66F68" w:rsidP="00BA4AFE">
      <w:pPr>
        <w:pStyle w:val="Heading3"/>
        <w:spacing w:line="330" w:lineRule="exact"/>
      </w:pPr>
      <w:r w:rsidRPr="007245B0">
        <w:t>We also invited the views of the various stock-exchange associations in the country. They have all expressed opposition to any fresh levy on the stock-exchanges transactions. According to them even the existing stamp duty levied by the State Governments is prejudicial to the proper working of stock-exchanges.</w:t>
      </w:r>
    </w:p>
    <w:p w14:paraId="224E1AA9" w14:textId="7E1FB9CA" w:rsidR="00C66F68" w:rsidRPr="007245B0" w:rsidRDefault="00C66F68" w:rsidP="00BA4AFE">
      <w:pPr>
        <w:pStyle w:val="Heading3"/>
        <w:spacing w:line="330" w:lineRule="exact"/>
      </w:pPr>
      <w:r w:rsidRPr="007245B0">
        <w:t>We have been able to get statistics relating to the number of securities purchased or sold in stock-exchanges during the years 1966-67 and 1967-68, but we could not get complete statistics regarding the value of such transactions. Due to the large volume of purchase and sale transactions which are entered into on the basis of daily price fluctuations, the rate of any tax under this item can be only of a low order similar to the rate of stamp duty levied by the State Governments on such transactions. Assuming the same rates of tax, the total revenue likely to be realised from this source would not be more than a crore of rupees per year. Since the stamp duties are already being levied by some State Governments on clearance lists and contract notes relating to transactions in stock-exchanges and there is already in existence machinery for collection of such stamp duties, we feel that further scope, if any, for revenue from these transactions could be better exploited by an increase in the rate of such stamp duties, and it is not desirable to introduce a separate tax under Article 269 on such transactions.</w:t>
      </w:r>
    </w:p>
    <w:p w14:paraId="29617F2A" w14:textId="20AAB38B" w:rsidR="00C66F68" w:rsidRPr="002A109B" w:rsidRDefault="00C66F68" w:rsidP="00BE3CC5">
      <w:pPr>
        <w:pStyle w:val="ListParagraph"/>
        <w:numPr>
          <w:ilvl w:val="0"/>
          <w:numId w:val="62"/>
        </w:numPr>
        <w:spacing w:line="330" w:lineRule="exact"/>
        <w:jc w:val="both"/>
        <w:rPr>
          <w:rFonts w:ascii="Times New Roman" w:hAnsi="Times New Roman" w:cs="Times New Roman"/>
          <w:i/>
          <w:iCs/>
          <w:sz w:val="28"/>
          <w:szCs w:val="22"/>
        </w:rPr>
      </w:pPr>
      <w:r w:rsidRPr="002A109B">
        <w:rPr>
          <w:rFonts w:ascii="Times New Roman" w:hAnsi="Times New Roman" w:cs="Times New Roman"/>
          <w:i/>
          <w:iCs/>
          <w:sz w:val="28"/>
          <w:szCs w:val="22"/>
        </w:rPr>
        <w:t xml:space="preserve">Tax on transactions in futures </w:t>
      </w:r>
      <w:r w:rsidR="00960B2E" w:rsidRPr="002A109B">
        <w:rPr>
          <w:rFonts w:ascii="Times New Roman" w:hAnsi="Times New Roman" w:cs="Times New Roman"/>
          <w:i/>
          <w:iCs/>
          <w:sz w:val="28"/>
          <w:szCs w:val="22"/>
        </w:rPr>
        <w:t>markets:</w:t>
      </w:r>
    </w:p>
    <w:p w14:paraId="1C5849D3" w14:textId="4C765F63" w:rsidR="00C66F68" w:rsidRPr="007245B0" w:rsidRDefault="00C66F68" w:rsidP="00BA4AFE">
      <w:pPr>
        <w:pStyle w:val="Heading3"/>
        <w:spacing w:line="330" w:lineRule="exact"/>
      </w:pPr>
      <w:r w:rsidRPr="007245B0">
        <w:t>The forward contracts in the country are regulated by the Forward Contracts (Regulation) Act, 1952. This Act is primarily concerned with the regulation of forward contracts other than non-transferable specific delivery contracts in notified commodities other than securities. It also provides for the regulation of non-transferable specific delivery contracts if considered necessary by Government. At present futures trading under recognised or registered associations is permitted under the Act in cotton seed, linseed, castor seed, coconut oil, turmeric, pepper, jute goods, kapas and kardi seed.</w:t>
      </w:r>
    </w:p>
    <w:p w14:paraId="0214D5C9" w14:textId="7D539FAA" w:rsidR="00C66F68" w:rsidRPr="007245B0" w:rsidRDefault="00C66F68" w:rsidP="00BA4AFE">
      <w:pPr>
        <w:pStyle w:val="Heading3"/>
        <w:spacing w:line="330" w:lineRule="exact"/>
      </w:pPr>
      <w:r w:rsidRPr="007245B0">
        <w:t>The rate of a tax on transactions in futures markets has necessarily to be very moderate as in the case of transactions in stock-exchanges. It is estimated by the Forward Markets Commission that a tax of 25 paise for every Rs. 10,000 value of transactions would yield a revenue of about Rs. 16 lakhs only. In view of such small yield, we consider that it would not be worthwhile to impose the tax,</w:t>
      </w:r>
      <w:r w:rsidR="00455A21" w:rsidRPr="007245B0">
        <w:t xml:space="preserve"> and that such </w:t>
      </w:r>
      <w:r w:rsidR="00455A21" w:rsidRPr="007245B0">
        <w:lastRenderedPageBreak/>
        <w:t>levy could be justified more as a regulatory measure rather than on revenue considerations.</w:t>
      </w:r>
    </w:p>
    <w:p w14:paraId="1BBBEE50" w14:textId="1AC93F5F" w:rsidR="00455A21" w:rsidRPr="00BA4AFE" w:rsidRDefault="00455A21" w:rsidP="00BA4AFE">
      <w:pPr>
        <w:spacing w:before="240" w:line="330" w:lineRule="exact"/>
        <w:jc w:val="center"/>
        <w:rPr>
          <w:rFonts w:ascii="Times New Roman" w:hAnsi="Times New Roman" w:cs="Times New Roman"/>
          <w:b/>
          <w:bCs/>
          <w:sz w:val="28"/>
          <w:szCs w:val="22"/>
        </w:rPr>
      </w:pPr>
      <w:r w:rsidRPr="00BA4AFE">
        <w:rPr>
          <w:rFonts w:ascii="Times New Roman" w:hAnsi="Times New Roman" w:cs="Times New Roman"/>
          <w:b/>
          <w:bCs/>
          <w:sz w:val="28"/>
          <w:szCs w:val="22"/>
        </w:rPr>
        <w:t>V. Taxes on the sale or purchase of newspapers and on advertisements published therein</w:t>
      </w:r>
    </w:p>
    <w:p w14:paraId="35D8520E" w14:textId="48FD25F8" w:rsidR="00455A21" w:rsidRPr="007245B0" w:rsidRDefault="00455A21" w:rsidP="00BA4AFE">
      <w:pPr>
        <w:pStyle w:val="Heading3"/>
        <w:spacing w:line="330" w:lineRule="exact"/>
      </w:pPr>
      <w:r w:rsidRPr="007245B0">
        <w:t>According to the twelfth annual report of the Registrar of Newspapers for India, at the end of the year 1967 there were in existence 9,315 newspapers in India, and 2,363 periodical publications which were not newspapers in the full sense of the term. The total combined circulation of newspapers during that year was 258.17 lakhs, out of which about half the circulation was accounted for by dailies and periodicals having news interest having a circulation of less than 15,000 only. About three fourths of the circulation relates to newspapers in languages other than English.</w:t>
      </w:r>
    </w:p>
    <w:p w14:paraId="46D0C458" w14:textId="78C22E99" w:rsidR="00455A21" w:rsidRPr="007245B0" w:rsidRDefault="00455A21" w:rsidP="00BA4AFE">
      <w:pPr>
        <w:pStyle w:val="Heading3"/>
        <w:spacing w:line="330" w:lineRule="exact"/>
      </w:pPr>
      <w:r w:rsidRPr="007245B0">
        <w:t>The Taxation Enquiry Commission who examined the question in 1953 had felt that a sales tax on newspapers would entail a degree of hardship disproportionate to the revenue, particularly on newspapers with smaller circulation, to which category belonged most of the newspapers published in regional languages. They were of opinion that such sales tax or a tax on advertisements in newspapers would not at that stage be worthwhile, having regard to the fairly widespread opposition which might be expected and which, </w:t>
      </w:r>
      <w:r w:rsidRPr="007245B0">
        <w:rPr>
          <w:i/>
          <w:iCs/>
        </w:rPr>
        <w:t>ex hypothesi</w:t>
      </w:r>
      <w:r w:rsidRPr="007245B0">
        <w:t>, would be vocal.</w:t>
      </w:r>
    </w:p>
    <w:p w14:paraId="2FA591AB" w14:textId="5D297096" w:rsidR="00455A21" w:rsidRPr="007245B0" w:rsidRDefault="00455A21" w:rsidP="00BA4AFE">
      <w:pPr>
        <w:pStyle w:val="Heading3"/>
        <w:spacing w:line="330" w:lineRule="exact"/>
      </w:pPr>
      <w:r w:rsidRPr="007245B0">
        <w:t>Many States have expressed themselves in favour of a levy on sale or purchase of newspapers. Others feel that the newspaper reading habit has not yet spread sufficiently and any tax on sale of newspapers would retard improvement in this regard. As regards the tax on advertisements published in newspapers, some States are of the view that such tax would affect the revenues of small newspapers. A number of States are, however, in favour of this levy and have pointed out that the burden of the tax would fall on the advertisers and not on publishers. The advertisers being mostly companies and business concerns, the addition of the tax would not make any material difference to them. Advertisement agents also obtain large commissions and part of the incidence of the tax could be absorbed by them.</w:t>
      </w:r>
    </w:p>
    <w:p w14:paraId="12A46386" w14:textId="161D962E" w:rsidR="00455A21" w:rsidRPr="007245B0" w:rsidRDefault="00455A21" w:rsidP="00BA4AFE">
      <w:pPr>
        <w:pStyle w:val="Heading3"/>
        <w:spacing w:line="330" w:lineRule="exact"/>
      </w:pPr>
      <w:r w:rsidRPr="007245B0">
        <w:t xml:space="preserve">The Ministry of Information and Broadcasting, Government of India, have stated that newspaper readership in the country is low and confined primarily to large cities and towns. A vast majority of our people are unable to subscribe to newspapers. Therefore, any taxation on the sale of newspapers is likely to hit their existing low sales and circulation and restrict the dissemination of news. As regards levy of a tax on advertisements appearing in newspapers, it has been pointed out by them that this will adversely affect the starting of new newspapers, so necessary in a democracy, </w:t>
      </w:r>
      <w:r w:rsidRPr="007245B0">
        <w:lastRenderedPageBreak/>
        <w:t>and may also cause difficulties to existing newspapers with tight budgets, particularly those with small and medium circulation.</w:t>
      </w:r>
    </w:p>
    <w:p w14:paraId="79B4CF57" w14:textId="6A906ED8" w:rsidR="00455A21" w:rsidRPr="007245B0" w:rsidRDefault="00455A21" w:rsidP="00BA4AFE">
      <w:pPr>
        <w:pStyle w:val="Heading3"/>
        <w:spacing w:line="330" w:lineRule="exact"/>
      </w:pPr>
      <w:r w:rsidRPr="007245B0">
        <w:t>In this connection we have taken note of the fact that in respect of the number of copies of daily newspapers circulated per thousand of population, India lags far behind many other countries as the following table indicates:</w:t>
      </w:r>
      <w:r w:rsidR="0025034A">
        <w:t>-</w:t>
      </w:r>
    </w:p>
    <w:tbl>
      <w:tblPr>
        <w:tblStyle w:val="TableGrid"/>
        <w:tblW w:w="7266" w:type="dxa"/>
        <w:jc w:val="center"/>
        <w:tblLook w:val="04A0" w:firstRow="1" w:lastRow="0" w:firstColumn="1" w:lastColumn="0" w:noHBand="0" w:noVBand="1"/>
      </w:tblPr>
      <w:tblGrid>
        <w:gridCol w:w="2758"/>
        <w:gridCol w:w="963"/>
        <w:gridCol w:w="3545"/>
      </w:tblGrid>
      <w:tr w:rsidR="00455A21" w:rsidRPr="00BA4AFE" w14:paraId="3C69E94D" w14:textId="77777777" w:rsidTr="000B3139">
        <w:trPr>
          <w:trHeight w:val="668"/>
          <w:jc w:val="center"/>
        </w:trPr>
        <w:tc>
          <w:tcPr>
            <w:tcW w:w="0" w:type="auto"/>
            <w:hideMark/>
          </w:tcPr>
          <w:p w14:paraId="5F1B000F" w14:textId="77777777" w:rsidR="00455A21" w:rsidRPr="00BA4AFE" w:rsidRDefault="00455A21" w:rsidP="00455A21">
            <w:pPr>
              <w:rPr>
                <w:rFonts w:ascii="Times New Roman" w:hAnsi="Times New Roman" w:cs="Times New Roman"/>
                <w:b/>
                <w:bCs/>
                <w:sz w:val="28"/>
                <w:szCs w:val="28"/>
              </w:rPr>
            </w:pPr>
            <w:r w:rsidRPr="00BA4AFE">
              <w:rPr>
                <w:rFonts w:ascii="Times New Roman" w:hAnsi="Times New Roman" w:cs="Times New Roman"/>
                <w:b/>
                <w:bCs/>
                <w:sz w:val="28"/>
                <w:szCs w:val="28"/>
              </w:rPr>
              <w:t>Country</w:t>
            </w:r>
          </w:p>
        </w:tc>
        <w:tc>
          <w:tcPr>
            <w:tcW w:w="0" w:type="auto"/>
            <w:hideMark/>
          </w:tcPr>
          <w:p w14:paraId="29DE352A" w14:textId="77777777" w:rsidR="00455A21" w:rsidRPr="00BA4AFE" w:rsidRDefault="00455A21" w:rsidP="00455A21">
            <w:pPr>
              <w:rPr>
                <w:rFonts w:ascii="Times New Roman" w:hAnsi="Times New Roman" w:cs="Times New Roman"/>
                <w:b/>
                <w:bCs/>
                <w:sz w:val="28"/>
                <w:szCs w:val="28"/>
              </w:rPr>
            </w:pPr>
          </w:p>
        </w:tc>
        <w:tc>
          <w:tcPr>
            <w:tcW w:w="0" w:type="auto"/>
            <w:hideMark/>
          </w:tcPr>
          <w:p w14:paraId="1C4C27A9" w14:textId="77777777" w:rsidR="00455A21" w:rsidRPr="00BA4AFE" w:rsidRDefault="00455A21" w:rsidP="00BA4AFE">
            <w:pPr>
              <w:jc w:val="center"/>
              <w:rPr>
                <w:rFonts w:ascii="Times New Roman" w:hAnsi="Times New Roman" w:cs="Times New Roman"/>
                <w:b/>
                <w:bCs/>
                <w:sz w:val="28"/>
                <w:szCs w:val="28"/>
              </w:rPr>
            </w:pPr>
            <w:r w:rsidRPr="00BA4AFE">
              <w:rPr>
                <w:rFonts w:ascii="Times New Roman" w:hAnsi="Times New Roman" w:cs="Times New Roman"/>
                <w:b/>
                <w:bCs/>
                <w:sz w:val="28"/>
                <w:szCs w:val="28"/>
              </w:rPr>
              <w:t>Number of copies of dailies circulated</w:t>
            </w:r>
          </w:p>
          <w:p w14:paraId="4CAA4D72" w14:textId="4F160F0C" w:rsidR="00455A21" w:rsidRPr="00BA4AFE" w:rsidRDefault="00455A21" w:rsidP="00BA4AFE">
            <w:pPr>
              <w:jc w:val="center"/>
              <w:rPr>
                <w:rFonts w:ascii="Times New Roman" w:hAnsi="Times New Roman" w:cs="Times New Roman"/>
                <w:b/>
                <w:bCs/>
                <w:sz w:val="28"/>
                <w:szCs w:val="28"/>
              </w:rPr>
            </w:pPr>
            <w:r w:rsidRPr="00BA4AFE">
              <w:rPr>
                <w:rFonts w:ascii="Times New Roman" w:hAnsi="Times New Roman" w:cs="Times New Roman"/>
                <w:b/>
                <w:bCs/>
                <w:sz w:val="28"/>
                <w:szCs w:val="28"/>
              </w:rPr>
              <w:t>per 1000 population</w:t>
            </w:r>
          </w:p>
        </w:tc>
      </w:tr>
      <w:tr w:rsidR="00455A21" w:rsidRPr="00BA4AFE" w14:paraId="2CA8D9EF" w14:textId="77777777" w:rsidTr="000B3139">
        <w:trPr>
          <w:trHeight w:val="326"/>
          <w:jc w:val="center"/>
        </w:trPr>
        <w:tc>
          <w:tcPr>
            <w:tcW w:w="0" w:type="auto"/>
            <w:hideMark/>
          </w:tcPr>
          <w:p w14:paraId="46281579" w14:textId="77777777" w:rsidR="00455A21" w:rsidRPr="00BA4AFE" w:rsidRDefault="00455A21" w:rsidP="00455A21">
            <w:pPr>
              <w:rPr>
                <w:rFonts w:ascii="Times New Roman" w:hAnsi="Times New Roman" w:cs="Times New Roman"/>
                <w:sz w:val="28"/>
                <w:szCs w:val="28"/>
              </w:rPr>
            </w:pPr>
            <w:r w:rsidRPr="00BA4AFE">
              <w:rPr>
                <w:rFonts w:ascii="Times New Roman" w:hAnsi="Times New Roman" w:cs="Times New Roman"/>
                <w:sz w:val="28"/>
                <w:szCs w:val="28"/>
              </w:rPr>
              <w:t>Sweden</w:t>
            </w:r>
          </w:p>
        </w:tc>
        <w:tc>
          <w:tcPr>
            <w:tcW w:w="0" w:type="auto"/>
            <w:hideMark/>
          </w:tcPr>
          <w:p w14:paraId="0ACCAF62" w14:textId="77777777" w:rsidR="00455A21" w:rsidRPr="00BA4AFE" w:rsidRDefault="00455A21" w:rsidP="00455A21">
            <w:pPr>
              <w:rPr>
                <w:rFonts w:ascii="Times New Roman" w:hAnsi="Times New Roman" w:cs="Times New Roman"/>
                <w:sz w:val="28"/>
                <w:szCs w:val="28"/>
              </w:rPr>
            </w:pPr>
            <w:r w:rsidRPr="00BA4AFE">
              <w:rPr>
                <w:rFonts w:ascii="Times New Roman" w:hAnsi="Times New Roman" w:cs="Times New Roman"/>
                <w:sz w:val="28"/>
                <w:szCs w:val="28"/>
              </w:rPr>
              <w:t>(1963)</w:t>
            </w:r>
          </w:p>
        </w:tc>
        <w:tc>
          <w:tcPr>
            <w:tcW w:w="0" w:type="auto"/>
            <w:hideMark/>
          </w:tcPr>
          <w:p w14:paraId="6970EFB5" w14:textId="77777777" w:rsidR="00455A21" w:rsidRPr="00BA4AFE" w:rsidRDefault="00455A21" w:rsidP="00BA4AFE">
            <w:pPr>
              <w:jc w:val="center"/>
              <w:rPr>
                <w:rFonts w:ascii="Times New Roman" w:hAnsi="Times New Roman" w:cs="Times New Roman"/>
                <w:sz w:val="28"/>
                <w:szCs w:val="28"/>
              </w:rPr>
            </w:pPr>
            <w:r w:rsidRPr="00BA4AFE">
              <w:rPr>
                <w:rFonts w:ascii="Times New Roman" w:hAnsi="Times New Roman" w:cs="Times New Roman"/>
                <w:sz w:val="28"/>
                <w:szCs w:val="28"/>
              </w:rPr>
              <w:t>499</w:t>
            </w:r>
          </w:p>
        </w:tc>
      </w:tr>
      <w:tr w:rsidR="00455A21" w:rsidRPr="00BA4AFE" w14:paraId="3B4A3E79" w14:textId="77777777" w:rsidTr="000B3139">
        <w:trPr>
          <w:trHeight w:val="326"/>
          <w:jc w:val="center"/>
        </w:trPr>
        <w:tc>
          <w:tcPr>
            <w:tcW w:w="0" w:type="auto"/>
            <w:hideMark/>
          </w:tcPr>
          <w:p w14:paraId="64BD5DDE" w14:textId="77777777" w:rsidR="00455A21" w:rsidRPr="00BA4AFE" w:rsidRDefault="00455A21" w:rsidP="00455A21">
            <w:pPr>
              <w:rPr>
                <w:rFonts w:ascii="Times New Roman" w:hAnsi="Times New Roman" w:cs="Times New Roman"/>
                <w:sz w:val="28"/>
                <w:szCs w:val="28"/>
              </w:rPr>
            </w:pPr>
            <w:r w:rsidRPr="00BA4AFE">
              <w:rPr>
                <w:rFonts w:ascii="Times New Roman" w:hAnsi="Times New Roman" w:cs="Times New Roman"/>
                <w:sz w:val="28"/>
                <w:szCs w:val="28"/>
              </w:rPr>
              <w:t>U.K.</w:t>
            </w:r>
          </w:p>
        </w:tc>
        <w:tc>
          <w:tcPr>
            <w:tcW w:w="0" w:type="auto"/>
            <w:hideMark/>
          </w:tcPr>
          <w:p w14:paraId="4FC708C1" w14:textId="77777777" w:rsidR="00455A21" w:rsidRPr="00BA4AFE" w:rsidRDefault="00455A21" w:rsidP="00455A21">
            <w:pPr>
              <w:rPr>
                <w:rFonts w:ascii="Times New Roman" w:hAnsi="Times New Roman" w:cs="Times New Roman"/>
                <w:sz w:val="28"/>
                <w:szCs w:val="28"/>
              </w:rPr>
            </w:pPr>
            <w:r w:rsidRPr="00BA4AFE">
              <w:rPr>
                <w:rFonts w:ascii="Times New Roman" w:hAnsi="Times New Roman" w:cs="Times New Roman"/>
                <w:sz w:val="28"/>
                <w:szCs w:val="28"/>
              </w:rPr>
              <w:t>(1963)</w:t>
            </w:r>
          </w:p>
        </w:tc>
        <w:tc>
          <w:tcPr>
            <w:tcW w:w="0" w:type="auto"/>
            <w:hideMark/>
          </w:tcPr>
          <w:p w14:paraId="21A7BEAA" w14:textId="77777777" w:rsidR="00455A21" w:rsidRPr="00BA4AFE" w:rsidRDefault="00455A21" w:rsidP="00BA4AFE">
            <w:pPr>
              <w:jc w:val="center"/>
              <w:rPr>
                <w:rFonts w:ascii="Times New Roman" w:hAnsi="Times New Roman" w:cs="Times New Roman"/>
                <w:sz w:val="28"/>
                <w:szCs w:val="28"/>
              </w:rPr>
            </w:pPr>
            <w:r w:rsidRPr="00BA4AFE">
              <w:rPr>
                <w:rFonts w:ascii="Times New Roman" w:hAnsi="Times New Roman" w:cs="Times New Roman"/>
                <w:sz w:val="28"/>
                <w:szCs w:val="28"/>
              </w:rPr>
              <w:t>488</w:t>
            </w:r>
          </w:p>
        </w:tc>
      </w:tr>
      <w:tr w:rsidR="00455A21" w:rsidRPr="00BA4AFE" w14:paraId="6A437807" w14:textId="77777777" w:rsidTr="000B3139">
        <w:trPr>
          <w:trHeight w:val="326"/>
          <w:jc w:val="center"/>
        </w:trPr>
        <w:tc>
          <w:tcPr>
            <w:tcW w:w="0" w:type="auto"/>
            <w:hideMark/>
          </w:tcPr>
          <w:p w14:paraId="2A4B8312" w14:textId="77777777" w:rsidR="00455A21" w:rsidRPr="00BA4AFE" w:rsidRDefault="00455A21" w:rsidP="00455A21">
            <w:pPr>
              <w:rPr>
                <w:rFonts w:ascii="Times New Roman" w:hAnsi="Times New Roman" w:cs="Times New Roman"/>
                <w:sz w:val="28"/>
                <w:szCs w:val="28"/>
              </w:rPr>
            </w:pPr>
            <w:r w:rsidRPr="00BA4AFE">
              <w:rPr>
                <w:rFonts w:ascii="Times New Roman" w:hAnsi="Times New Roman" w:cs="Times New Roman"/>
                <w:sz w:val="28"/>
                <w:szCs w:val="28"/>
              </w:rPr>
              <w:t>Japan</w:t>
            </w:r>
          </w:p>
        </w:tc>
        <w:tc>
          <w:tcPr>
            <w:tcW w:w="0" w:type="auto"/>
            <w:hideMark/>
          </w:tcPr>
          <w:p w14:paraId="2DF01E96" w14:textId="77777777" w:rsidR="00455A21" w:rsidRPr="00BA4AFE" w:rsidRDefault="00455A21" w:rsidP="00455A21">
            <w:pPr>
              <w:rPr>
                <w:rFonts w:ascii="Times New Roman" w:hAnsi="Times New Roman" w:cs="Times New Roman"/>
                <w:sz w:val="28"/>
                <w:szCs w:val="28"/>
              </w:rPr>
            </w:pPr>
            <w:r w:rsidRPr="00BA4AFE">
              <w:rPr>
                <w:rFonts w:ascii="Times New Roman" w:hAnsi="Times New Roman" w:cs="Times New Roman"/>
                <w:sz w:val="28"/>
                <w:szCs w:val="28"/>
              </w:rPr>
              <w:t>(1963)</w:t>
            </w:r>
          </w:p>
        </w:tc>
        <w:tc>
          <w:tcPr>
            <w:tcW w:w="0" w:type="auto"/>
            <w:hideMark/>
          </w:tcPr>
          <w:p w14:paraId="6FD21A2F" w14:textId="77777777" w:rsidR="00455A21" w:rsidRPr="00BA4AFE" w:rsidRDefault="00455A21" w:rsidP="00BA4AFE">
            <w:pPr>
              <w:jc w:val="center"/>
              <w:rPr>
                <w:rFonts w:ascii="Times New Roman" w:hAnsi="Times New Roman" w:cs="Times New Roman"/>
                <w:sz w:val="28"/>
                <w:szCs w:val="28"/>
              </w:rPr>
            </w:pPr>
            <w:r w:rsidRPr="00BA4AFE">
              <w:rPr>
                <w:rFonts w:ascii="Times New Roman" w:hAnsi="Times New Roman" w:cs="Times New Roman"/>
                <w:sz w:val="28"/>
                <w:szCs w:val="28"/>
              </w:rPr>
              <w:t>416</w:t>
            </w:r>
          </w:p>
        </w:tc>
      </w:tr>
      <w:tr w:rsidR="00455A21" w:rsidRPr="00BA4AFE" w14:paraId="30869309" w14:textId="77777777" w:rsidTr="000B3139">
        <w:trPr>
          <w:trHeight w:val="326"/>
          <w:jc w:val="center"/>
        </w:trPr>
        <w:tc>
          <w:tcPr>
            <w:tcW w:w="0" w:type="auto"/>
            <w:hideMark/>
          </w:tcPr>
          <w:p w14:paraId="3960A798" w14:textId="77777777" w:rsidR="00455A21" w:rsidRPr="00BA4AFE" w:rsidRDefault="00455A21" w:rsidP="00455A21">
            <w:pPr>
              <w:rPr>
                <w:rFonts w:ascii="Times New Roman" w:hAnsi="Times New Roman" w:cs="Times New Roman"/>
                <w:sz w:val="28"/>
                <w:szCs w:val="28"/>
              </w:rPr>
            </w:pPr>
            <w:r w:rsidRPr="00BA4AFE">
              <w:rPr>
                <w:rFonts w:ascii="Times New Roman" w:hAnsi="Times New Roman" w:cs="Times New Roman"/>
                <w:sz w:val="28"/>
                <w:szCs w:val="28"/>
              </w:rPr>
              <w:t>Federal Republic of Germany</w:t>
            </w:r>
          </w:p>
        </w:tc>
        <w:tc>
          <w:tcPr>
            <w:tcW w:w="0" w:type="auto"/>
            <w:hideMark/>
          </w:tcPr>
          <w:p w14:paraId="4C0A4025" w14:textId="77777777" w:rsidR="00455A21" w:rsidRPr="00BA4AFE" w:rsidRDefault="00455A21" w:rsidP="00455A21">
            <w:pPr>
              <w:rPr>
                <w:rFonts w:ascii="Times New Roman" w:hAnsi="Times New Roman" w:cs="Times New Roman"/>
                <w:sz w:val="28"/>
                <w:szCs w:val="28"/>
              </w:rPr>
            </w:pPr>
            <w:r w:rsidRPr="00BA4AFE">
              <w:rPr>
                <w:rFonts w:ascii="Times New Roman" w:hAnsi="Times New Roman" w:cs="Times New Roman"/>
                <w:sz w:val="28"/>
                <w:szCs w:val="28"/>
              </w:rPr>
              <w:t>(1963)</w:t>
            </w:r>
          </w:p>
        </w:tc>
        <w:tc>
          <w:tcPr>
            <w:tcW w:w="0" w:type="auto"/>
            <w:hideMark/>
          </w:tcPr>
          <w:p w14:paraId="404BA1AF" w14:textId="77777777" w:rsidR="00455A21" w:rsidRPr="00BA4AFE" w:rsidRDefault="00455A21" w:rsidP="00BA4AFE">
            <w:pPr>
              <w:jc w:val="center"/>
              <w:rPr>
                <w:rFonts w:ascii="Times New Roman" w:hAnsi="Times New Roman" w:cs="Times New Roman"/>
                <w:sz w:val="28"/>
                <w:szCs w:val="28"/>
              </w:rPr>
            </w:pPr>
            <w:r w:rsidRPr="00BA4AFE">
              <w:rPr>
                <w:rFonts w:ascii="Times New Roman" w:hAnsi="Times New Roman" w:cs="Times New Roman"/>
                <w:sz w:val="28"/>
                <w:szCs w:val="28"/>
              </w:rPr>
              <w:t>351</w:t>
            </w:r>
          </w:p>
        </w:tc>
      </w:tr>
      <w:tr w:rsidR="00455A21" w:rsidRPr="00BA4AFE" w14:paraId="7C884D26" w14:textId="77777777" w:rsidTr="000B3139">
        <w:trPr>
          <w:trHeight w:val="326"/>
          <w:jc w:val="center"/>
        </w:trPr>
        <w:tc>
          <w:tcPr>
            <w:tcW w:w="0" w:type="auto"/>
            <w:hideMark/>
          </w:tcPr>
          <w:p w14:paraId="35C39FA7" w14:textId="77777777" w:rsidR="00455A21" w:rsidRPr="00BA4AFE" w:rsidRDefault="00455A21" w:rsidP="00455A21">
            <w:pPr>
              <w:rPr>
                <w:rFonts w:ascii="Times New Roman" w:hAnsi="Times New Roman" w:cs="Times New Roman"/>
                <w:sz w:val="28"/>
                <w:szCs w:val="28"/>
              </w:rPr>
            </w:pPr>
            <w:r w:rsidRPr="00BA4AFE">
              <w:rPr>
                <w:rFonts w:ascii="Times New Roman" w:hAnsi="Times New Roman" w:cs="Times New Roman"/>
                <w:sz w:val="28"/>
                <w:szCs w:val="28"/>
              </w:rPr>
              <w:t>U.S.A.</w:t>
            </w:r>
          </w:p>
        </w:tc>
        <w:tc>
          <w:tcPr>
            <w:tcW w:w="0" w:type="auto"/>
            <w:hideMark/>
          </w:tcPr>
          <w:p w14:paraId="2CD0AC46" w14:textId="77777777" w:rsidR="00455A21" w:rsidRPr="00BA4AFE" w:rsidRDefault="00455A21" w:rsidP="00455A21">
            <w:pPr>
              <w:rPr>
                <w:rFonts w:ascii="Times New Roman" w:hAnsi="Times New Roman" w:cs="Times New Roman"/>
                <w:sz w:val="28"/>
                <w:szCs w:val="28"/>
              </w:rPr>
            </w:pPr>
            <w:r w:rsidRPr="00BA4AFE">
              <w:rPr>
                <w:rFonts w:ascii="Times New Roman" w:hAnsi="Times New Roman" w:cs="Times New Roman"/>
                <w:sz w:val="28"/>
                <w:szCs w:val="28"/>
              </w:rPr>
              <w:t>(1963)</w:t>
            </w:r>
          </w:p>
        </w:tc>
        <w:tc>
          <w:tcPr>
            <w:tcW w:w="0" w:type="auto"/>
            <w:hideMark/>
          </w:tcPr>
          <w:p w14:paraId="5C6DD4C4" w14:textId="0CF5353C" w:rsidR="00455A21" w:rsidRPr="00BA4AFE" w:rsidRDefault="00297F4C" w:rsidP="00BA4AFE">
            <w:pPr>
              <w:jc w:val="center"/>
              <w:rPr>
                <w:rFonts w:ascii="Times New Roman" w:hAnsi="Times New Roman" w:cs="Times New Roman"/>
                <w:sz w:val="28"/>
                <w:szCs w:val="28"/>
              </w:rPr>
            </w:pPr>
            <w:r>
              <w:rPr>
                <w:rFonts w:ascii="Times New Roman" w:hAnsi="Times New Roman" w:cs="Times New Roman"/>
                <w:sz w:val="28"/>
                <w:szCs w:val="28"/>
              </w:rPr>
              <w:t>3</w:t>
            </w:r>
            <w:r w:rsidR="00455A21" w:rsidRPr="00BA4AFE">
              <w:rPr>
                <w:rFonts w:ascii="Times New Roman" w:hAnsi="Times New Roman" w:cs="Times New Roman"/>
                <w:sz w:val="28"/>
                <w:szCs w:val="28"/>
              </w:rPr>
              <w:t>11</w:t>
            </w:r>
          </w:p>
        </w:tc>
      </w:tr>
      <w:tr w:rsidR="00455A21" w:rsidRPr="00BA4AFE" w14:paraId="4A58DBE7" w14:textId="77777777" w:rsidTr="000B3139">
        <w:trPr>
          <w:trHeight w:val="326"/>
          <w:jc w:val="center"/>
        </w:trPr>
        <w:tc>
          <w:tcPr>
            <w:tcW w:w="0" w:type="auto"/>
            <w:hideMark/>
          </w:tcPr>
          <w:p w14:paraId="1404A4DE" w14:textId="77777777" w:rsidR="00455A21" w:rsidRPr="00BA4AFE" w:rsidRDefault="00455A21" w:rsidP="00455A21">
            <w:pPr>
              <w:rPr>
                <w:rFonts w:ascii="Times New Roman" w:hAnsi="Times New Roman" w:cs="Times New Roman"/>
                <w:sz w:val="28"/>
                <w:szCs w:val="28"/>
              </w:rPr>
            </w:pPr>
            <w:r w:rsidRPr="00BA4AFE">
              <w:rPr>
                <w:rFonts w:ascii="Times New Roman" w:hAnsi="Times New Roman" w:cs="Times New Roman"/>
                <w:sz w:val="28"/>
                <w:szCs w:val="28"/>
              </w:rPr>
              <w:t>France</w:t>
            </w:r>
          </w:p>
        </w:tc>
        <w:tc>
          <w:tcPr>
            <w:tcW w:w="0" w:type="auto"/>
            <w:hideMark/>
          </w:tcPr>
          <w:p w14:paraId="11358815" w14:textId="77777777" w:rsidR="00455A21" w:rsidRPr="00BA4AFE" w:rsidRDefault="00455A21" w:rsidP="00455A21">
            <w:pPr>
              <w:rPr>
                <w:rFonts w:ascii="Times New Roman" w:hAnsi="Times New Roman" w:cs="Times New Roman"/>
                <w:sz w:val="28"/>
                <w:szCs w:val="28"/>
              </w:rPr>
            </w:pPr>
            <w:r w:rsidRPr="00BA4AFE">
              <w:rPr>
                <w:rFonts w:ascii="Times New Roman" w:hAnsi="Times New Roman" w:cs="Times New Roman"/>
                <w:sz w:val="28"/>
                <w:szCs w:val="28"/>
              </w:rPr>
              <w:t>(1962)</w:t>
            </w:r>
          </w:p>
        </w:tc>
        <w:tc>
          <w:tcPr>
            <w:tcW w:w="0" w:type="auto"/>
            <w:hideMark/>
          </w:tcPr>
          <w:p w14:paraId="4DB24048" w14:textId="77777777" w:rsidR="00455A21" w:rsidRPr="00BA4AFE" w:rsidRDefault="00455A21" w:rsidP="00BA4AFE">
            <w:pPr>
              <w:jc w:val="center"/>
              <w:rPr>
                <w:rFonts w:ascii="Times New Roman" w:hAnsi="Times New Roman" w:cs="Times New Roman"/>
                <w:sz w:val="28"/>
                <w:szCs w:val="28"/>
              </w:rPr>
            </w:pPr>
            <w:r w:rsidRPr="00BA4AFE">
              <w:rPr>
                <w:rFonts w:ascii="Times New Roman" w:hAnsi="Times New Roman" w:cs="Times New Roman"/>
                <w:sz w:val="28"/>
                <w:szCs w:val="28"/>
              </w:rPr>
              <w:t>252</w:t>
            </w:r>
          </w:p>
        </w:tc>
      </w:tr>
      <w:tr w:rsidR="00455A21" w:rsidRPr="00BA4AFE" w14:paraId="32272F08" w14:textId="77777777" w:rsidTr="000B3139">
        <w:trPr>
          <w:trHeight w:val="341"/>
          <w:jc w:val="center"/>
        </w:trPr>
        <w:tc>
          <w:tcPr>
            <w:tcW w:w="0" w:type="auto"/>
            <w:hideMark/>
          </w:tcPr>
          <w:p w14:paraId="4DF90D46" w14:textId="77777777" w:rsidR="00455A21" w:rsidRPr="00BA4AFE" w:rsidRDefault="00455A21" w:rsidP="00455A21">
            <w:pPr>
              <w:rPr>
                <w:rFonts w:ascii="Times New Roman" w:hAnsi="Times New Roman" w:cs="Times New Roman"/>
                <w:sz w:val="28"/>
                <w:szCs w:val="28"/>
              </w:rPr>
            </w:pPr>
            <w:r w:rsidRPr="00BA4AFE">
              <w:rPr>
                <w:rFonts w:ascii="Times New Roman" w:hAnsi="Times New Roman" w:cs="Times New Roman"/>
                <w:sz w:val="28"/>
                <w:szCs w:val="28"/>
              </w:rPr>
              <w:t>Canada</w:t>
            </w:r>
          </w:p>
        </w:tc>
        <w:tc>
          <w:tcPr>
            <w:tcW w:w="0" w:type="auto"/>
            <w:hideMark/>
          </w:tcPr>
          <w:p w14:paraId="667F26E5" w14:textId="77777777" w:rsidR="00455A21" w:rsidRPr="00BA4AFE" w:rsidRDefault="00455A21" w:rsidP="00455A21">
            <w:pPr>
              <w:rPr>
                <w:rFonts w:ascii="Times New Roman" w:hAnsi="Times New Roman" w:cs="Times New Roman"/>
                <w:sz w:val="28"/>
                <w:szCs w:val="28"/>
              </w:rPr>
            </w:pPr>
            <w:r w:rsidRPr="00BA4AFE">
              <w:rPr>
                <w:rFonts w:ascii="Times New Roman" w:hAnsi="Times New Roman" w:cs="Times New Roman"/>
                <w:sz w:val="28"/>
                <w:szCs w:val="28"/>
              </w:rPr>
              <w:t>(1963)</w:t>
            </w:r>
          </w:p>
        </w:tc>
        <w:tc>
          <w:tcPr>
            <w:tcW w:w="0" w:type="auto"/>
            <w:hideMark/>
          </w:tcPr>
          <w:p w14:paraId="370411AF" w14:textId="77777777" w:rsidR="00455A21" w:rsidRPr="00BA4AFE" w:rsidRDefault="00455A21" w:rsidP="00BA4AFE">
            <w:pPr>
              <w:jc w:val="center"/>
              <w:rPr>
                <w:rFonts w:ascii="Times New Roman" w:hAnsi="Times New Roman" w:cs="Times New Roman"/>
                <w:sz w:val="28"/>
                <w:szCs w:val="28"/>
              </w:rPr>
            </w:pPr>
            <w:r w:rsidRPr="00BA4AFE">
              <w:rPr>
                <w:rFonts w:ascii="Times New Roman" w:hAnsi="Times New Roman" w:cs="Times New Roman"/>
                <w:sz w:val="28"/>
                <w:szCs w:val="28"/>
              </w:rPr>
              <w:t>221</w:t>
            </w:r>
          </w:p>
        </w:tc>
      </w:tr>
      <w:tr w:rsidR="00455A21" w:rsidRPr="00BA4AFE" w14:paraId="0DC75DA2" w14:textId="77777777" w:rsidTr="000B3139">
        <w:trPr>
          <w:trHeight w:val="326"/>
          <w:jc w:val="center"/>
        </w:trPr>
        <w:tc>
          <w:tcPr>
            <w:tcW w:w="0" w:type="auto"/>
            <w:hideMark/>
          </w:tcPr>
          <w:p w14:paraId="2444122F" w14:textId="77777777" w:rsidR="00455A21" w:rsidRPr="00BA4AFE" w:rsidRDefault="00455A21" w:rsidP="00455A21">
            <w:pPr>
              <w:rPr>
                <w:rFonts w:ascii="Times New Roman" w:hAnsi="Times New Roman" w:cs="Times New Roman"/>
                <w:sz w:val="28"/>
                <w:szCs w:val="28"/>
              </w:rPr>
            </w:pPr>
            <w:r w:rsidRPr="00BA4AFE">
              <w:rPr>
                <w:rFonts w:ascii="Times New Roman" w:hAnsi="Times New Roman" w:cs="Times New Roman"/>
                <w:sz w:val="28"/>
                <w:szCs w:val="28"/>
              </w:rPr>
              <w:t>U.S.S.R.</w:t>
            </w:r>
          </w:p>
        </w:tc>
        <w:tc>
          <w:tcPr>
            <w:tcW w:w="0" w:type="auto"/>
            <w:hideMark/>
          </w:tcPr>
          <w:p w14:paraId="627A6B77" w14:textId="77777777" w:rsidR="00455A21" w:rsidRPr="00BA4AFE" w:rsidRDefault="00455A21" w:rsidP="00455A21">
            <w:pPr>
              <w:rPr>
                <w:rFonts w:ascii="Times New Roman" w:hAnsi="Times New Roman" w:cs="Times New Roman"/>
                <w:sz w:val="28"/>
                <w:szCs w:val="28"/>
              </w:rPr>
            </w:pPr>
            <w:r w:rsidRPr="00BA4AFE">
              <w:rPr>
                <w:rFonts w:ascii="Times New Roman" w:hAnsi="Times New Roman" w:cs="Times New Roman"/>
                <w:sz w:val="28"/>
                <w:szCs w:val="28"/>
              </w:rPr>
              <w:t>(1963)</w:t>
            </w:r>
          </w:p>
        </w:tc>
        <w:tc>
          <w:tcPr>
            <w:tcW w:w="0" w:type="auto"/>
            <w:hideMark/>
          </w:tcPr>
          <w:p w14:paraId="0D799EA2" w14:textId="77777777" w:rsidR="00455A21" w:rsidRPr="00BA4AFE" w:rsidRDefault="00455A21" w:rsidP="00BA4AFE">
            <w:pPr>
              <w:jc w:val="center"/>
              <w:rPr>
                <w:rFonts w:ascii="Times New Roman" w:hAnsi="Times New Roman" w:cs="Times New Roman"/>
                <w:sz w:val="28"/>
                <w:szCs w:val="28"/>
              </w:rPr>
            </w:pPr>
            <w:r w:rsidRPr="00BA4AFE">
              <w:rPr>
                <w:rFonts w:ascii="Times New Roman" w:hAnsi="Times New Roman" w:cs="Times New Roman"/>
                <w:sz w:val="28"/>
                <w:szCs w:val="28"/>
              </w:rPr>
              <w:t>216</w:t>
            </w:r>
          </w:p>
        </w:tc>
      </w:tr>
      <w:tr w:rsidR="00455A21" w:rsidRPr="00BA4AFE" w14:paraId="3DBD75FE" w14:textId="77777777" w:rsidTr="000B3139">
        <w:trPr>
          <w:trHeight w:val="326"/>
          <w:jc w:val="center"/>
        </w:trPr>
        <w:tc>
          <w:tcPr>
            <w:tcW w:w="0" w:type="auto"/>
            <w:hideMark/>
          </w:tcPr>
          <w:p w14:paraId="345FCCD8" w14:textId="77777777" w:rsidR="00455A21" w:rsidRPr="00BA4AFE" w:rsidRDefault="00455A21" w:rsidP="00455A21">
            <w:pPr>
              <w:rPr>
                <w:rFonts w:ascii="Times New Roman" w:hAnsi="Times New Roman" w:cs="Times New Roman"/>
                <w:sz w:val="28"/>
                <w:szCs w:val="28"/>
              </w:rPr>
            </w:pPr>
            <w:r w:rsidRPr="00BA4AFE">
              <w:rPr>
                <w:rFonts w:ascii="Times New Roman" w:hAnsi="Times New Roman" w:cs="Times New Roman"/>
                <w:sz w:val="28"/>
                <w:szCs w:val="28"/>
              </w:rPr>
              <w:t>Chile</w:t>
            </w:r>
          </w:p>
        </w:tc>
        <w:tc>
          <w:tcPr>
            <w:tcW w:w="0" w:type="auto"/>
            <w:hideMark/>
          </w:tcPr>
          <w:p w14:paraId="5A424EC3" w14:textId="77777777" w:rsidR="00455A21" w:rsidRPr="00BA4AFE" w:rsidRDefault="00455A21" w:rsidP="00455A21">
            <w:pPr>
              <w:rPr>
                <w:rFonts w:ascii="Times New Roman" w:hAnsi="Times New Roman" w:cs="Times New Roman"/>
                <w:sz w:val="28"/>
                <w:szCs w:val="28"/>
              </w:rPr>
            </w:pPr>
            <w:r w:rsidRPr="00BA4AFE">
              <w:rPr>
                <w:rFonts w:ascii="Times New Roman" w:hAnsi="Times New Roman" w:cs="Times New Roman"/>
                <w:sz w:val="28"/>
                <w:szCs w:val="28"/>
              </w:rPr>
              <w:t>(1961)</w:t>
            </w:r>
          </w:p>
        </w:tc>
        <w:tc>
          <w:tcPr>
            <w:tcW w:w="0" w:type="auto"/>
            <w:hideMark/>
          </w:tcPr>
          <w:p w14:paraId="3CD475F1" w14:textId="77777777" w:rsidR="00455A21" w:rsidRPr="00BA4AFE" w:rsidRDefault="00455A21" w:rsidP="00BA4AFE">
            <w:pPr>
              <w:jc w:val="center"/>
              <w:rPr>
                <w:rFonts w:ascii="Times New Roman" w:hAnsi="Times New Roman" w:cs="Times New Roman"/>
                <w:sz w:val="28"/>
                <w:szCs w:val="28"/>
              </w:rPr>
            </w:pPr>
            <w:r w:rsidRPr="00BA4AFE">
              <w:rPr>
                <w:rFonts w:ascii="Times New Roman" w:hAnsi="Times New Roman" w:cs="Times New Roman"/>
                <w:sz w:val="28"/>
                <w:szCs w:val="28"/>
              </w:rPr>
              <w:t>134</w:t>
            </w:r>
          </w:p>
        </w:tc>
      </w:tr>
      <w:tr w:rsidR="00455A21" w:rsidRPr="00BA4AFE" w14:paraId="0DD8E889" w14:textId="77777777" w:rsidTr="000B3139">
        <w:trPr>
          <w:trHeight w:val="326"/>
          <w:jc w:val="center"/>
        </w:trPr>
        <w:tc>
          <w:tcPr>
            <w:tcW w:w="0" w:type="auto"/>
            <w:hideMark/>
          </w:tcPr>
          <w:p w14:paraId="28646A24" w14:textId="77777777" w:rsidR="00455A21" w:rsidRPr="00BA4AFE" w:rsidRDefault="00455A21" w:rsidP="00455A21">
            <w:pPr>
              <w:rPr>
                <w:rFonts w:ascii="Times New Roman" w:hAnsi="Times New Roman" w:cs="Times New Roman"/>
                <w:sz w:val="28"/>
                <w:szCs w:val="28"/>
              </w:rPr>
            </w:pPr>
            <w:r w:rsidRPr="00BA4AFE">
              <w:rPr>
                <w:rFonts w:ascii="Times New Roman" w:hAnsi="Times New Roman" w:cs="Times New Roman"/>
                <w:sz w:val="28"/>
                <w:szCs w:val="28"/>
              </w:rPr>
              <w:t>Italy</w:t>
            </w:r>
          </w:p>
        </w:tc>
        <w:tc>
          <w:tcPr>
            <w:tcW w:w="0" w:type="auto"/>
            <w:hideMark/>
          </w:tcPr>
          <w:p w14:paraId="2F48AAE4" w14:textId="77777777" w:rsidR="00455A21" w:rsidRPr="00BA4AFE" w:rsidRDefault="00455A21" w:rsidP="00455A21">
            <w:pPr>
              <w:rPr>
                <w:rFonts w:ascii="Times New Roman" w:hAnsi="Times New Roman" w:cs="Times New Roman"/>
                <w:sz w:val="28"/>
                <w:szCs w:val="28"/>
              </w:rPr>
            </w:pPr>
            <w:r w:rsidRPr="00BA4AFE">
              <w:rPr>
                <w:rFonts w:ascii="Times New Roman" w:hAnsi="Times New Roman" w:cs="Times New Roman"/>
                <w:sz w:val="28"/>
                <w:szCs w:val="28"/>
              </w:rPr>
              <w:t>(1962)</w:t>
            </w:r>
          </w:p>
        </w:tc>
        <w:tc>
          <w:tcPr>
            <w:tcW w:w="0" w:type="auto"/>
            <w:hideMark/>
          </w:tcPr>
          <w:p w14:paraId="11D0AF11" w14:textId="77777777" w:rsidR="00455A21" w:rsidRPr="00BA4AFE" w:rsidRDefault="00455A21" w:rsidP="00BA4AFE">
            <w:pPr>
              <w:jc w:val="center"/>
              <w:rPr>
                <w:rFonts w:ascii="Times New Roman" w:hAnsi="Times New Roman" w:cs="Times New Roman"/>
                <w:sz w:val="28"/>
                <w:szCs w:val="28"/>
              </w:rPr>
            </w:pPr>
            <w:r w:rsidRPr="00BA4AFE">
              <w:rPr>
                <w:rFonts w:ascii="Times New Roman" w:hAnsi="Times New Roman" w:cs="Times New Roman"/>
                <w:sz w:val="28"/>
                <w:szCs w:val="28"/>
              </w:rPr>
              <w:t>122</w:t>
            </w:r>
          </w:p>
        </w:tc>
      </w:tr>
      <w:tr w:rsidR="00455A21" w:rsidRPr="00BA4AFE" w14:paraId="0AEF21CA" w14:textId="77777777" w:rsidTr="000B3139">
        <w:trPr>
          <w:trHeight w:val="326"/>
          <w:jc w:val="center"/>
        </w:trPr>
        <w:tc>
          <w:tcPr>
            <w:tcW w:w="0" w:type="auto"/>
            <w:hideMark/>
          </w:tcPr>
          <w:p w14:paraId="555D7C93" w14:textId="77777777" w:rsidR="00455A21" w:rsidRPr="00BA4AFE" w:rsidRDefault="00455A21" w:rsidP="00455A21">
            <w:pPr>
              <w:rPr>
                <w:rFonts w:ascii="Times New Roman" w:hAnsi="Times New Roman" w:cs="Times New Roman"/>
                <w:sz w:val="28"/>
                <w:szCs w:val="28"/>
              </w:rPr>
            </w:pPr>
            <w:r w:rsidRPr="00BA4AFE">
              <w:rPr>
                <w:rFonts w:ascii="Times New Roman" w:hAnsi="Times New Roman" w:cs="Times New Roman"/>
                <w:sz w:val="28"/>
                <w:szCs w:val="28"/>
              </w:rPr>
              <w:t>Brazil</w:t>
            </w:r>
          </w:p>
        </w:tc>
        <w:tc>
          <w:tcPr>
            <w:tcW w:w="0" w:type="auto"/>
            <w:hideMark/>
          </w:tcPr>
          <w:p w14:paraId="7E810511" w14:textId="77777777" w:rsidR="00455A21" w:rsidRPr="00BA4AFE" w:rsidRDefault="00455A21" w:rsidP="00455A21">
            <w:pPr>
              <w:rPr>
                <w:rFonts w:ascii="Times New Roman" w:hAnsi="Times New Roman" w:cs="Times New Roman"/>
                <w:sz w:val="28"/>
                <w:szCs w:val="28"/>
              </w:rPr>
            </w:pPr>
            <w:r w:rsidRPr="00BA4AFE">
              <w:rPr>
                <w:rFonts w:ascii="Times New Roman" w:hAnsi="Times New Roman" w:cs="Times New Roman"/>
                <w:sz w:val="28"/>
                <w:szCs w:val="28"/>
              </w:rPr>
              <w:t>(1963)</w:t>
            </w:r>
          </w:p>
        </w:tc>
        <w:tc>
          <w:tcPr>
            <w:tcW w:w="0" w:type="auto"/>
            <w:hideMark/>
          </w:tcPr>
          <w:p w14:paraId="36AC4C12" w14:textId="77777777" w:rsidR="00455A21" w:rsidRPr="00BA4AFE" w:rsidRDefault="00455A21" w:rsidP="00BA4AFE">
            <w:pPr>
              <w:jc w:val="center"/>
              <w:rPr>
                <w:rFonts w:ascii="Times New Roman" w:hAnsi="Times New Roman" w:cs="Times New Roman"/>
                <w:sz w:val="28"/>
                <w:szCs w:val="28"/>
              </w:rPr>
            </w:pPr>
            <w:r w:rsidRPr="00BA4AFE">
              <w:rPr>
                <w:rFonts w:ascii="Times New Roman" w:hAnsi="Times New Roman" w:cs="Times New Roman"/>
                <w:sz w:val="28"/>
                <w:szCs w:val="28"/>
              </w:rPr>
              <w:t>54</w:t>
            </w:r>
          </w:p>
        </w:tc>
      </w:tr>
      <w:tr w:rsidR="00455A21" w:rsidRPr="00BA4AFE" w14:paraId="5429446B" w14:textId="77777777" w:rsidTr="000B3139">
        <w:trPr>
          <w:trHeight w:val="326"/>
          <w:jc w:val="center"/>
        </w:trPr>
        <w:tc>
          <w:tcPr>
            <w:tcW w:w="0" w:type="auto"/>
            <w:hideMark/>
          </w:tcPr>
          <w:p w14:paraId="12EFEE4B" w14:textId="77777777" w:rsidR="00455A21" w:rsidRPr="00BA4AFE" w:rsidRDefault="00455A21" w:rsidP="00455A21">
            <w:pPr>
              <w:rPr>
                <w:rFonts w:ascii="Times New Roman" w:hAnsi="Times New Roman" w:cs="Times New Roman"/>
                <w:sz w:val="28"/>
                <w:szCs w:val="28"/>
              </w:rPr>
            </w:pPr>
            <w:r w:rsidRPr="00BA4AFE">
              <w:rPr>
                <w:rFonts w:ascii="Times New Roman" w:hAnsi="Times New Roman" w:cs="Times New Roman"/>
                <w:sz w:val="28"/>
                <w:szCs w:val="28"/>
              </w:rPr>
              <w:t>Ceylon</w:t>
            </w:r>
          </w:p>
        </w:tc>
        <w:tc>
          <w:tcPr>
            <w:tcW w:w="0" w:type="auto"/>
            <w:hideMark/>
          </w:tcPr>
          <w:p w14:paraId="199577A9" w14:textId="77777777" w:rsidR="00455A21" w:rsidRPr="00BA4AFE" w:rsidRDefault="00455A21" w:rsidP="00455A21">
            <w:pPr>
              <w:rPr>
                <w:rFonts w:ascii="Times New Roman" w:hAnsi="Times New Roman" w:cs="Times New Roman"/>
                <w:sz w:val="28"/>
                <w:szCs w:val="28"/>
              </w:rPr>
            </w:pPr>
            <w:r w:rsidRPr="00BA4AFE">
              <w:rPr>
                <w:rFonts w:ascii="Times New Roman" w:hAnsi="Times New Roman" w:cs="Times New Roman"/>
                <w:sz w:val="28"/>
                <w:szCs w:val="28"/>
              </w:rPr>
              <w:t>(1960)</w:t>
            </w:r>
          </w:p>
        </w:tc>
        <w:tc>
          <w:tcPr>
            <w:tcW w:w="0" w:type="auto"/>
            <w:hideMark/>
          </w:tcPr>
          <w:p w14:paraId="161C3BA7" w14:textId="77777777" w:rsidR="00455A21" w:rsidRPr="00BA4AFE" w:rsidRDefault="00455A21" w:rsidP="00BA4AFE">
            <w:pPr>
              <w:jc w:val="center"/>
              <w:rPr>
                <w:rFonts w:ascii="Times New Roman" w:hAnsi="Times New Roman" w:cs="Times New Roman"/>
                <w:sz w:val="28"/>
                <w:szCs w:val="28"/>
              </w:rPr>
            </w:pPr>
            <w:r w:rsidRPr="00BA4AFE">
              <w:rPr>
                <w:rFonts w:ascii="Times New Roman" w:hAnsi="Times New Roman" w:cs="Times New Roman"/>
                <w:sz w:val="28"/>
                <w:szCs w:val="28"/>
              </w:rPr>
              <w:t>36</w:t>
            </w:r>
          </w:p>
        </w:tc>
      </w:tr>
      <w:tr w:rsidR="00455A21" w:rsidRPr="00BA4AFE" w14:paraId="014F0339" w14:textId="77777777" w:rsidTr="000B3139">
        <w:trPr>
          <w:trHeight w:val="326"/>
          <w:jc w:val="center"/>
        </w:trPr>
        <w:tc>
          <w:tcPr>
            <w:tcW w:w="0" w:type="auto"/>
            <w:hideMark/>
          </w:tcPr>
          <w:p w14:paraId="4E32930A" w14:textId="77777777" w:rsidR="00455A21" w:rsidRPr="00BA4AFE" w:rsidRDefault="00455A21" w:rsidP="00455A21">
            <w:pPr>
              <w:rPr>
                <w:rFonts w:ascii="Times New Roman" w:hAnsi="Times New Roman" w:cs="Times New Roman"/>
                <w:sz w:val="28"/>
                <w:szCs w:val="28"/>
              </w:rPr>
            </w:pPr>
            <w:r w:rsidRPr="00BA4AFE">
              <w:rPr>
                <w:rFonts w:ascii="Times New Roman" w:hAnsi="Times New Roman" w:cs="Times New Roman"/>
                <w:sz w:val="28"/>
                <w:szCs w:val="28"/>
              </w:rPr>
              <w:t>U.A.R.</w:t>
            </w:r>
          </w:p>
        </w:tc>
        <w:tc>
          <w:tcPr>
            <w:tcW w:w="0" w:type="auto"/>
            <w:hideMark/>
          </w:tcPr>
          <w:p w14:paraId="053FBC21" w14:textId="77777777" w:rsidR="00455A21" w:rsidRPr="00BA4AFE" w:rsidRDefault="00455A21" w:rsidP="00455A21">
            <w:pPr>
              <w:rPr>
                <w:rFonts w:ascii="Times New Roman" w:hAnsi="Times New Roman" w:cs="Times New Roman"/>
                <w:sz w:val="28"/>
                <w:szCs w:val="28"/>
              </w:rPr>
            </w:pPr>
            <w:r w:rsidRPr="00BA4AFE">
              <w:rPr>
                <w:rFonts w:ascii="Times New Roman" w:hAnsi="Times New Roman" w:cs="Times New Roman"/>
                <w:sz w:val="28"/>
                <w:szCs w:val="28"/>
              </w:rPr>
              <w:t>(1959)</w:t>
            </w:r>
          </w:p>
        </w:tc>
        <w:tc>
          <w:tcPr>
            <w:tcW w:w="0" w:type="auto"/>
            <w:hideMark/>
          </w:tcPr>
          <w:p w14:paraId="7920FB20" w14:textId="77777777" w:rsidR="00455A21" w:rsidRPr="00BA4AFE" w:rsidRDefault="00455A21" w:rsidP="00BA4AFE">
            <w:pPr>
              <w:jc w:val="center"/>
              <w:rPr>
                <w:rFonts w:ascii="Times New Roman" w:hAnsi="Times New Roman" w:cs="Times New Roman"/>
                <w:sz w:val="28"/>
                <w:szCs w:val="28"/>
              </w:rPr>
            </w:pPr>
            <w:r w:rsidRPr="00BA4AFE">
              <w:rPr>
                <w:rFonts w:ascii="Times New Roman" w:hAnsi="Times New Roman" w:cs="Times New Roman"/>
                <w:sz w:val="28"/>
                <w:szCs w:val="28"/>
              </w:rPr>
              <w:t>20</w:t>
            </w:r>
          </w:p>
        </w:tc>
      </w:tr>
      <w:tr w:rsidR="00455A21" w:rsidRPr="00BA4AFE" w14:paraId="089CB786" w14:textId="77777777" w:rsidTr="000B3139">
        <w:trPr>
          <w:trHeight w:val="326"/>
          <w:jc w:val="center"/>
        </w:trPr>
        <w:tc>
          <w:tcPr>
            <w:tcW w:w="0" w:type="auto"/>
            <w:hideMark/>
          </w:tcPr>
          <w:p w14:paraId="4F3B5A47" w14:textId="77777777" w:rsidR="00455A21" w:rsidRPr="00BA4AFE" w:rsidRDefault="00455A21" w:rsidP="00455A21">
            <w:pPr>
              <w:rPr>
                <w:rFonts w:ascii="Times New Roman" w:hAnsi="Times New Roman" w:cs="Times New Roman"/>
                <w:sz w:val="28"/>
                <w:szCs w:val="28"/>
              </w:rPr>
            </w:pPr>
            <w:r w:rsidRPr="00BA4AFE">
              <w:rPr>
                <w:rFonts w:ascii="Times New Roman" w:hAnsi="Times New Roman" w:cs="Times New Roman"/>
                <w:sz w:val="28"/>
                <w:szCs w:val="28"/>
              </w:rPr>
              <w:t>India</w:t>
            </w:r>
          </w:p>
        </w:tc>
        <w:tc>
          <w:tcPr>
            <w:tcW w:w="0" w:type="auto"/>
            <w:hideMark/>
          </w:tcPr>
          <w:p w14:paraId="330334F4" w14:textId="77777777" w:rsidR="00455A21" w:rsidRPr="00BA4AFE" w:rsidRDefault="00455A21" w:rsidP="00455A21">
            <w:pPr>
              <w:rPr>
                <w:rFonts w:ascii="Times New Roman" w:hAnsi="Times New Roman" w:cs="Times New Roman"/>
                <w:sz w:val="28"/>
                <w:szCs w:val="28"/>
              </w:rPr>
            </w:pPr>
            <w:r w:rsidRPr="00BA4AFE">
              <w:rPr>
                <w:rFonts w:ascii="Times New Roman" w:hAnsi="Times New Roman" w:cs="Times New Roman"/>
                <w:sz w:val="28"/>
                <w:szCs w:val="28"/>
              </w:rPr>
              <w:t>(1966)</w:t>
            </w:r>
          </w:p>
        </w:tc>
        <w:tc>
          <w:tcPr>
            <w:tcW w:w="0" w:type="auto"/>
            <w:hideMark/>
          </w:tcPr>
          <w:p w14:paraId="1D134DCF" w14:textId="77777777" w:rsidR="00455A21" w:rsidRPr="00BA4AFE" w:rsidRDefault="00455A21" w:rsidP="00BA4AFE">
            <w:pPr>
              <w:jc w:val="center"/>
              <w:rPr>
                <w:rFonts w:ascii="Times New Roman" w:hAnsi="Times New Roman" w:cs="Times New Roman"/>
                <w:sz w:val="28"/>
                <w:szCs w:val="28"/>
              </w:rPr>
            </w:pPr>
            <w:r w:rsidRPr="00BA4AFE">
              <w:rPr>
                <w:rFonts w:ascii="Times New Roman" w:hAnsi="Times New Roman" w:cs="Times New Roman"/>
                <w:sz w:val="28"/>
                <w:szCs w:val="28"/>
              </w:rPr>
              <w:t>13·3</w:t>
            </w:r>
          </w:p>
        </w:tc>
      </w:tr>
      <w:tr w:rsidR="00455A21" w:rsidRPr="00BA4AFE" w14:paraId="7CE27696" w14:textId="77777777" w:rsidTr="000B3139">
        <w:trPr>
          <w:trHeight w:val="341"/>
          <w:jc w:val="center"/>
        </w:trPr>
        <w:tc>
          <w:tcPr>
            <w:tcW w:w="0" w:type="auto"/>
            <w:hideMark/>
          </w:tcPr>
          <w:p w14:paraId="7F39416E" w14:textId="77777777" w:rsidR="00455A21" w:rsidRPr="00BA4AFE" w:rsidRDefault="00455A21" w:rsidP="00455A21">
            <w:pPr>
              <w:rPr>
                <w:rFonts w:ascii="Times New Roman" w:hAnsi="Times New Roman" w:cs="Times New Roman"/>
                <w:sz w:val="28"/>
                <w:szCs w:val="28"/>
              </w:rPr>
            </w:pPr>
            <w:r w:rsidRPr="00BA4AFE">
              <w:rPr>
                <w:rFonts w:ascii="Times New Roman" w:hAnsi="Times New Roman" w:cs="Times New Roman"/>
                <w:sz w:val="28"/>
                <w:szCs w:val="28"/>
              </w:rPr>
              <w:t>Burma</w:t>
            </w:r>
          </w:p>
        </w:tc>
        <w:tc>
          <w:tcPr>
            <w:tcW w:w="0" w:type="auto"/>
            <w:hideMark/>
          </w:tcPr>
          <w:p w14:paraId="52900A2D" w14:textId="77777777" w:rsidR="00455A21" w:rsidRPr="00BA4AFE" w:rsidRDefault="00455A21" w:rsidP="00455A21">
            <w:pPr>
              <w:rPr>
                <w:rFonts w:ascii="Times New Roman" w:hAnsi="Times New Roman" w:cs="Times New Roman"/>
                <w:sz w:val="28"/>
                <w:szCs w:val="28"/>
              </w:rPr>
            </w:pPr>
            <w:r w:rsidRPr="00BA4AFE">
              <w:rPr>
                <w:rFonts w:ascii="Times New Roman" w:hAnsi="Times New Roman" w:cs="Times New Roman"/>
                <w:sz w:val="28"/>
                <w:szCs w:val="28"/>
              </w:rPr>
              <w:t>(1962)</w:t>
            </w:r>
          </w:p>
        </w:tc>
        <w:tc>
          <w:tcPr>
            <w:tcW w:w="0" w:type="auto"/>
            <w:hideMark/>
          </w:tcPr>
          <w:p w14:paraId="7AE34BDE" w14:textId="77777777" w:rsidR="00455A21" w:rsidRPr="00BA4AFE" w:rsidRDefault="00455A21" w:rsidP="00BA4AFE">
            <w:pPr>
              <w:jc w:val="center"/>
              <w:rPr>
                <w:rFonts w:ascii="Times New Roman" w:hAnsi="Times New Roman" w:cs="Times New Roman"/>
                <w:sz w:val="28"/>
                <w:szCs w:val="28"/>
              </w:rPr>
            </w:pPr>
            <w:r w:rsidRPr="00BA4AFE">
              <w:rPr>
                <w:rFonts w:ascii="Times New Roman" w:hAnsi="Times New Roman" w:cs="Times New Roman"/>
                <w:sz w:val="28"/>
                <w:szCs w:val="28"/>
              </w:rPr>
              <w:t>9</w:t>
            </w:r>
          </w:p>
        </w:tc>
      </w:tr>
      <w:tr w:rsidR="00455A21" w:rsidRPr="00BA4AFE" w14:paraId="7038CBA8" w14:textId="77777777" w:rsidTr="000B3139">
        <w:trPr>
          <w:trHeight w:val="326"/>
          <w:jc w:val="center"/>
        </w:trPr>
        <w:tc>
          <w:tcPr>
            <w:tcW w:w="0" w:type="auto"/>
            <w:hideMark/>
          </w:tcPr>
          <w:p w14:paraId="16EC4AE9" w14:textId="77777777" w:rsidR="00455A21" w:rsidRPr="00BA4AFE" w:rsidRDefault="00455A21" w:rsidP="00455A21">
            <w:pPr>
              <w:rPr>
                <w:rFonts w:ascii="Times New Roman" w:hAnsi="Times New Roman" w:cs="Times New Roman"/>
                <w:sz w:val="28"/>
                <w:szCs w:val="28"/>
              </w:rPr>
            </w:pPr>
            <w:r w:rsidRPr="00BA4AFE">
              <w:rPr>
                <w:rFonts w:ascii="Times New Roman" w:hAnsi="Times New Roman" w:cs="Times New Roman"/>
                <w:sz w:val="28"/>
                <w:szCs w:val="28"/>
              </w:rPr>
              <w:t>Cambodia</w:t>
            </w:r>
          </w:p>
        </w:tc>
        <w:tc>
          <w:tcPr>
            <w:tcW w:w="0" w:type="auto"/>
            <w:hideMark/>
          </w:tcPr>
          <w:p w14:paraId="02028E36" w14:textId="77777777" w:rsidR="00455A21" w:rsidRPr="00BA4AFE" w:rsidRDefault="00455A21" w:rsidP="00455A21">
            <w:pPr>
              <w:rPr>
                <w:rFonts w:ascii="Times New Roman" w:hAnsi="Times New Roman" w:cs="Times New Roman"/>
                <w:sz w:val="28"/>
                <w:szCs w:val="28"/>
              </w:rPr>
            </w:pPr>
            <w:r w:rsidRPr="00BA4AFE">
              <w:rPr>
                <w:rFonts w:ascii="Times New Roman" w:hAnsi="Times New Roman" w:cs="Times New Roman"/>
                <w:sz w:val="28"/>
                <w:szCs w:val="28"/>
              </w:rPr>
              <w:t>(1962)</w:t>
            </w:r>
          </w:p>
        </w:tc>
        <w:tc>
          <w:tcPr>
            <w:tcW w:w="0" w:type="auto"/>
            <w:hideMark/>
          </w:tcPr>
          <w:p w14:paraId="37165E9F" w14:textId="77777777" w:rsidR="00455A21" w:rsidRPr="00BA4AFE" w:rsidRDefault="00455A21" w:rsidP="00BA4AFE">
            <w:pPr>
              <w:jc w:val="center"/>
              <w:rPr>
                <w:rFonts w:ascii="Times New Roman" w:hAnsi="Times New Roman" w:cs="Times New Roman"/>
                <w:sz w:val="28"/>
                <w:szCs w:val="28"/>
              </w:rPr>
            </w:pPr>
            <w:r w:rsidRPr="00BA4AFE">
              <w:rPr>
                <w:rFonts w:ascii="Times New Roman" w:hAnsi="Times New Roman" w:cs="Times New Roman"/>
                <w:sz w:val="28"/>
                <w:szCs w:val="28"/>
              </w:rPr>
              <w:t>..</w:t>
            </w:r>
          </w:p>
        </w:tc>
      </w:tr>
      <w:tr w:rsidR="00455A21" w:rsidRPr="00BA4AFE" w14:paraId="704D7073" w14:textId="77777777" w:rsidTr="000B3139">
        <w:trPr>
          <w:trHeight w:val="310"/>
          <w:jc w:val="center"/>
        </w:trPr>
        <w:tc>
          <w:tcPr>
            <w:tcW w:w="0" w:type="auto"/>
            <w:hideMark/>
          </w:tcPr>
          <w:p w14:paraId="4DE9F154" w14:textId="77777777" w:rsidR="00455A21" w:rsidRPr="00BA4AFE" w:rsidRDefault="00455A21" w:rsidP="00455A21">
            <w:pPr>
              <w:rPr>
                <w:rFonts w:ascii="Times New Roman" w:hAnsi="Times New Roman" w:cs="Times New Roman"/>
                <w:sz w:val="28"/>
                <w:szCs w:val="28"/>
              </w:rPr>
            </w:pPr>
            <w:r w:rsidRPr="00BA4AFE">
              <w:rPr>
                <w:rFonts w:ascii="Times New Roman" w:hAnsi="Times New Roman" w:cs="Times New Roman"/>
                <w:sz w:val="28"/>
                <w:szCs w:val="28"/>
              </w:rPr>
              <w:t>Pakistan</w:t>
            </w:r>
          </w:p>
        </w:tc>
        <w:tc>
          <w:tcPr>
            <w:tcW w:w="0" w:type="auto"/>
            <w:hideMark/>
          </w:tcPr>
          <w:p w14:paraId="22DC02C0" w14:textId="77777777" w:rsidR="00455A21" w:rsidRPr="00BA4AFE" w:rsidRDefault="00455A21" w:rsidP="00455A21">
            <w:pPr>
              <w:rPr>
                <w:rFonts w:ascii="Times New Roman" w:hAnsi="Times New Roman" w:cs="Times New Roman"/>
                <w:sz w:val="28"/>
                <w:szCs w:val="28"/>
              </w:rPr>
            </w:pPr>
            <w:r w:rsidRPr="00BA4AFE">
              <w:rPr>
                <w:rFonts w:ascii="Times New Roman" w:hAnsi="Times New Roman" w:cs="Times New Roman"/>
                <w:sz w:val="28"/>
                <w:szCs w:val="28"/>
              </w:rPr>
              <w:t>(1962)</w:t>
            </w:r>
          </w:p>
        </w:tc>
        <w:tc>
          <w:tcPr>
            <w:tcW w:w="0" w:type="auto"/>
            <w:hideMark/>
          </w:tcPr>
          <w:p w14:paraId="6D62546B" w14:textId="77777777" w:rsidR="00455A21" w:rsidRPr="00BA4AFE" w:rsidRDefault="00455A21" w:rsidP="00BA4AFE">
            <w:pPr>
              <w:jc w:val="center"/>
              <w:rPr>
                <w:rFonts w:ascii="Times New Roman" w:hAnsi="Times New Roman" w:cs="Times New Roman"/>
                <w:sz w:val="28"/>
                <w:szCs w:val="28"/>
              </w:rPr>
            </w:pPr>
            <w:r w:rsidRPr="00BA4AFE">
              <w:rPr>
                <w:rFonts w:ascii="Times New Roman" w:hAnsi="Times New Roman" w:cs="Times New Roman"/>
                <w:sz w:val="28"/>
                <w:szCs w:val="28"/>
              </w:rPr>
              <w:t>5</w:t>
            </w:r>
          </w:p>
        </w:tc>
      </w:tr>
    </w:tbl>
    <w:p w14:paraId="2537FD55" w14:textId="77777777" w:rsidR="000B3139" w:rsidRDefault="000B3139" w:rsidP="00BA4AFE">
      <w:pPr>
        <w:spacing w:line="320" w:lineRule="exact"/>
        <w:jc w:val="both"/>
        <w:rPr>
          <w:rFonts w:ascii="Times New Roman" w:hAnsi="Times New Roman" w:cs="Times New Roman"/>
          <w:sz w:val="28"/>
          <w:szCs w:val="22"/>
        </w:rPr>
      </w:pPr>
    </w:p>
    <w:p w14:paraId="03A95013" w14:textId="102637D1" w:rsidR="00455A21" w:rsidRPr="00BA4AFE" w:rsidRDefault="00455A21" w:rsidP="00BA4AFE">
      <w:pPr>
        <w:spacing w:line="320" w:lineRule="exact"/>
        <w:jc w:val="both"/>
        <w:rPr>
          <w:rFonts w:ascii="Times New Roman" w:hAnsi="Times New Roman" w:cs="Times New Roman"/>
          <w:sz w:val="28"/>
          <w:szCs w:val="22"/>
        </w:rPr>
      </w:pPr>
      <w:r w:rsidRPr="00BA4AFE">
        <w:rPr>
          <w:rFonts w:ascii="Times New Roman" w:hAnsi="Times New Roman" w:cs="Times New Roman"/>
          <w:sz w:val="28"/>
          <w:szCs w:val="22"/>
        </w:rPr>
        <w:t>As the incidence of a tax on the sale of newspapers would be passed on to the reader, it is likely to affect adversely newspaper readership. In many States text books and other reading matter are exempted from sales tax. If a tax is levied on the sale of newspapers, smaller newspapers will have to be exempted. It has been estimated that even at the rate of 10 per cent on newspapers with a circulation of more than 15,000, the likely revenue from such tax would not exceed Rs. 3 1/2 crores. Having regard to this order of revenue and the adverse effect on newspaper readership, we are of opinion that there is not much scope, in the present circumstances, for raising revenue from a tax on the sale or purchase of newspapers.</w:t>
      </w:r>
    </w:p>
    <w:p w14:paraId="11719DE1" w14:textId="04FB865B" w:rsidR="00455A21" w:rsidRPr="00BA4AFE" w:rsidRDefault="00455A21" w:rsidP="00BA4AFE">
      <w:pPr>
        <w:pStyle w:val="Heading3"/>
        <w:rPr>
          <w:rStyle w:val="Heading3Char"/>
        </w:rPr>
      </w:pPr>
      <w:r w:rsidRPr="00BA4AFE">
        <w:rPr>
          <w:rStyle w:val="Heading3Char"/>
        </w:rPr>
        <w:t xml:space="preserve">As regards tax on advertisements published in newspapers, we were not able to obtain data relating to the total revenue accruing from advertisements to publishers of newspapers. But there is no doubt that advertisement revenue forms an important source of the income of newspapers, which in some cases may be as much </w:t>
      </w:r>
      <w:r w:rsidRPr="00BA4AFE">
        <w:rPr>
          <w:rStyle w:val="Heading3Char"/>
        </w:rPr>
        <w:lastRenderedPageBreak/>
        <w:t>as 50 to 75 per cent of the total income. While the burden of such a</w:t>
      </w:r>
      <w:r w:rsidR="006553E0" w:rsidRPr="00BA4AFE">
        <w:rPr>
          <w:rStyle w:val="Heading3Char"/>
        </w:rPr>
        <w:t xml:space="preserve"> tax would mainly fall on the advertisers and advertising agents and not on the publishers, it is possible that the tax might adversely affect the finances of smaller newspapers. It will, therefore, be desirable to exempt small newspapers and periodicals from such tax. A part of the burden of the tax might indirectly fall on the Government of India and State Governments. Nevertheless, we consider that this is prima facie, a reasonable source from which additional revenues assignable to States could conveniently be raised. Taxes on parallel forms of publicity media like film slides, hoardings, etc. are already being levied. A tax levied at suitable rates, with higher rates on some advertisements like those inserted by companies, large business houses, cinema exhibitors, etc. may not be an undue burden if provision is made for exemption of small newspapers. In the absence of requisite data, we could not arrive at a reliable estimate of the likely revenue. But we consider that there is scope for the levy of this tax and we suggest that the Government of India may examine the question of its levy, rate structure, exemptions to be given, and other relevant matters.</w:t>
      </w:r>
    </w:p>
    <w:p w14:paraId="0596D0CD" w14:textId="05D50338" w:rsidR="006553E0" w:rsidRPr="007245B0" w:rsidRDefault="006553E0">
      <w:pPr>
        <w:rPr>
          <w:rFonts w:ascii="Times New Roman" w:hAnsi="Times New Roman" w:cs="Times New Roman"/>
        </w:rPr>
      </w:pPr>
      <w:r w:rsidRPr="007245B0">
        <w:rPr>
          <w:rFonts w:ascii="Times New Roman" w:hAnsi="Times New Roman" w:cs="Times New Roman"/>
        </w:rPr>
        <w:br w:type="page"/>
      </w:r>
    </w:p>
    <w:p w14:paraId="2F88372A" w14:textId="49F9C24A" w:rsidR="006553E0" w:rsidRPr="007245B0" w:rsidRDefault="00BA4AFE" w:rsidP="00BA4AFE">
      <w:pPr>
        <w:pStyle w:val="Heading1"/>
      </w:pPr>
      <w:r>
        <w:lastRenderedPageBreak/>
        <w:br/>
      </w:r>
      <w:bookmarkStart w:id="15" w:name="_Toc220949672"/>
      <w:bookmarkStart w:id="16" w:name="_Toc221115295"/>
      <w:r w:rsidR="006553E0" w:rsidRPr="007245B0">
        <w:t>SCOPE FOR ADDITIONAL REVENUE</w:t>
      </w:r>
      <w:bookmarkEnd w:id="15"/>
      <w:bookmarkEnd w:id="16"/>
    </w:p>
    <w:p w14:paraId="17B9160F" w14:textId="6A64B369" w:rsidR="006553E0" w:rsidRPr="007245B0" w:rsidRDefault="006553E0" w:rsidP="00BA4AFE">
      <w:pPr>
        <w:pStyle w:val="Heading3"/>
      </w:pPr>
      <w:r w:rsidRPr="007245B0">
        <w:t>Under item (i) of paragraph 4 of the Presidential Order dated the 29</w:t>
      </w:r>
      <w:r w:rsidRPr="00297F4C">
        <w:rPr>
          <w:vertAlign w:val="superscript"/>
        </w:rPr>
        <w:t>th</w:t>
      </w:r>
      <w:r w:rsidR="00297F4C">
        <w:t xml:space="preserve"> </w:t>
      </w:r>
      <w:r w:rsidRPr="007245B0">
        <w:t>February, 1968, we have to make recommendations on the scope for raising additional revenue by the States from the sources of revenue available to them. A full examination of this question would involve our embarking upon an enquiry which can only be adequately undertaken by a Taxation Enquiry Commission. Apart from limitations of time, we did not have sufficient material supplied by the States on this question. In the views expressed by them, some States like Andhra Pradesh, Assam and Gujarat stated that they had already fully exploited all the sources of revenue available to them, and that there was hardly any fresh avenue left. Some of them referred to the ways in which the Government of India could help them in raising more revenues. The Government of Assam referred to the Centre’s unhelpful attitude regarding revision of rate of royalty on crude oil and other minerals and the reimposition of carriage tax on tea and jute. The Government of Gujarat pointed out that the </w:t>
      </w:r>
      <w:r w:rsidRPr="007245B0">
        <w:rPr>
          <w:i/>
          <w:iCs/>
        </w:rPr>
        <w:t>per capita</w:t>
      </w:r>
      <w:r w:rsidRPr="007245B0">
        <w:t> incidence of State taxes in Gujarat had increased in recent years and that, unlike other States which had abolished land revenue, it had imposed education cess and raised the rate of local fund cess. They suggested that stamp duties under Article 268 on bills of exchange, cheques; etc., could be increased. Several States like Mysore, Haryana, Punjab and Rajasthan referred to their difficulties in increasing rates of taxes because of lower rates in neighbouring States. Bihar, Kerala, Punjab and Uttar Pradesh had already appointed Taxation Enquiry Committees whose reports were then awaited and Mysore was contemplating the appointment of a similar Committee. Haryana, Madhya Pradesh, Jammu and Kashmir, Rajasthan and Orissa conceded that there was some scope for raising taxes.</w:t>
      </w:r>
    </w:p>
    <w:p w14:paraId="32900216" w14:textId="731CE2F2" w:rsidR="006553E0" w:rsidRPr="007245B0" w:rsidRDefault="006553E0" w:rsidP="00BA4AFE">
      <w:pPr>
        <w:pStyle w:val="Heading3"/>
      </w:pPr>
      <w:r w:rsidRPr="007245B0">
        <w:t>The State Governments had agreed with the Planning Commission to targets aggregating to Rs. 1,109 crores for mobilisation of additional resources during the Fourth Plan. These targets include revenue resources as well as receipts from rural debentures (</w:t>
      </w:r>
      <w:r w:rsidRPr="007245B0">
        <w:rPr>
          <w:i/>
          <w:iCs/>
        </w:rPr>
        <w:t>vide</w:t>
      </w:r>
      <w:r w:rsidRPr="007245B0">
        <w:t> Table 10). The representatives of many States told us that they had not had time to work out detailed proposals to achieve these targets. The data available with us are thus mainly limited to comparative yields and rates of some of the different taxes in States, which we compiled and the published material on the subject including recent reports by the Taxation Enquiry Committees of Uttar Pradesh and Kerala. We have, therefore, confined our comments only to a few general features.</w:t>
      </w:r>
    </w:p>
    <w:p w14:paraId="69D0D6A9" w14:textId="4780AFDA" w:rsidR="006553E0" w:rsidRPr="007245B0" w:rsidRDefault="006553E0" w:rsidP="00BA4AFE">
      <w:pPr>
        <w:pStyle w:val="Heading3"/>
      </w:pPr>
      <w:r w:rsidRPr="007245B0">
        <w:t>We may begin with a broad picture of the States’ tax revenues </w:t>
      </w:r>
      <w:r w:rsidRPr="007245B0">
        <w:rPr>
          <w:i/>
          <w:iCs/>
        </w:rPr>
        <w:t>per capita</w:t>
      </w:r>
      <w:r w:rsidRPr="007245B0">
        <w:t> and as percentage of their income (</w:t>
      </w:r>
      <w:r w:rsidRPr="007245B0">
        <w:rPr>
          <w:i/>
          <w:iCs/>
        </w:rPr>
        <w:t>vide</w:t>
      </w:r>
      <w:r w:rsidRPr="007245B0">
        <w:t> Tables 14 and 15). Unfortunately, the Central Statistical Organisation has not compiled firm estimates of the States’ income on a comparable basis for years later than 1964-65, and we have used the average State</w:t>
      </w:r>
      <w:r w:rsidR="00595DE8" w:rsidRPr="007245B0">
        <w:t xml:space="preserve"> </w:t>
      </w:r>
      <w:r w:rsidRPr="007245B0">
        <w:t xml:space="preserve">incomes for the three years 1962-63 to 1964-65 as the basis of assessing the average incidence of State taxes; tax revenue figures are, however, available for 1967-68. The effect of taking the tax yields of 1967-68 as a percentage of average State incomes of 1962-63 to 1964-65 would naturally be to exaggerate to some extent the </w:t>
      </w:r>
      <w:r w:rsidRPr="007245B0">
        <w:lastRenderedPageBreak/>
        <w:t>tax burden in all the States. The extent of such over-statement can be seen from the fact that the national income of the country increased during the period by 61 per cent. The extent of increase of money incomes for each State would differ as it would not have participated to the same extent in the change in national income.</w:t>
      </w:r>
    </w:p>
    <w:p w14:paraId="0BC802B1" w14:textId="229CE359" w:rsidR="006553E0" w:rsidRPr="007245B0" w:rsidRDefault="006553E0" w:rsidP="00BA4AFE">
      <w:pPr>
        <w:pStyle w:val="Heading3"/>
      </w:pPr>
      <w:r w:rsidRPr="007245B0">
        <w:t>Table 14 shows large variations in </w:t>
      </w:r>
      <w:r w:rsidRPr="007245B0">
        <w:rPr>
          <w:i/>
          <w:iCs/>
        </w:rPr>
        <w:t>per capita</w:t>
      </w:r>
      <w:r w:rsidRPr="007245B0">
        <w:t> tax revenues from Rs. 12 in Bihar and Orissa to Rs. 37 approximately in Maharashtra and Punjab. The percentages of tax revenue to State income (</w:t>
      </w:r>
      <w:r w:rsidRPr="007245B0">
        <w:rPr>
          <w:i/>
          <w:iCs/>
        </w:rPr>
        <w:t>vide</w:t>
      </w:r>
      <w:r w:rsidRPr="007245B0">
        <w:t> Table 12) also show a wide range of variation from 4.3 per cent. for Orissa to 8.7 per cent. for Kerala. The percentages are widely different even among States with a similar level of </w:t>
      </w:r>
      <w:r w:rsidRPr="007245B0">
        <w:rPr>
          <w:i/>
          <w:iCs/>
        </w:rPr>
        <w:t>per capita</w:t>
      </w:r>
      <w:r w:rsidRPr="007245B0">
        <w:t> income. For instance, among the States with higher </w:t>
      </w:r>
      <w:r w:rsidRPr="007245B0">
        <w:rPr>
          <w:i/>
          <w:iCs/>
        </w:rPr>
        <w:t>per capita</w:t>
      </w:r>
      <w:r w:rsidRPr="007245B0">
        <w:t> income, while Maharashtra and Punjab raised more than 8 per cent. of their incomes as tax revenues, West Bengal with a similar industrial base as Maharashtra obtained only 6.2 per cent. Among the other four States with </w:t>
      </w:r>
      <w:r w:rsidRPr="007245B0">
        <w:rPr>
          <w:i/>
          <w:iCs/>
        </w:rPr>
        <w:t>per capita</w:t>
      </w:r>
      <w:r w:rsidRPr="007245B0">
        <w:t> income above the all-India average, Tamil Nadu raised 7.8 per cent., while Andhra Pradesh and Assam got only a little above 5 per cent.</w:t>
      </w:r>
    </w:p>
    <w:p w14:paraId="131BE5FE" w14:textId="3E083E94" w:rsidR="006553E0" w:rsidRPr="007245B0" w:rsidRDefault="006553E0" w:rsidP="00BA4AFE">
      <w:pPr>
        <w:pStyle w:val="Heading3"/>
      </w:pPr>
      <w:r w:rsidRPr="007245B0">
        <w:t>Table 15 indicates </w:t>
      </w:r>
      <w:r w:rsidRPr="007245B0">
        <w:rPr>
          <w:i/>
          <w:iCs/>
        </w:rPr>
        <w:t>prima facie</w:t>
      </w:r>
      <w:r w:rsidRPr="007245B0">
        <w:t> substantial differences between the tax efforts of States which are similarly situated as regards their </w:t>
      </w:r>
      <w:r w:rsidRPr="007245B0">
        <w:rPr>
          <w:i/>
          <w:iCs/>
        </w:rPr>
        <w:t>per capita</w:t>
      </w:r>
      <w:r w:rsidRPr="007245B0">
        <w:t> income and economic structure. It would be possible for many States to raise larger resources by studying the tax systems and rates adopted by the more highly taxed States in their own income-groups.</w:t>
      </w:r>
    </w:p>
    <w:p w14:paraId="305302C3" w14:textId="155C66AA" w:rsidR="006553E0" w:rsidRPr="007245B0" w:rsidRDefault="006553E0" w:rsidP="00BA4AFE">
      <w:pPr>
        <w:pStyle w:val="Heading3"/>
      </w:pPr>
      <w:r w:rsidRPr="007245B0">
        <w:t>Table 14 shows Statewise the </w:t>
      </w:r>
      <w:r w:rsidRPr="007245B0">
        <w:rPr>
          <w:i/>
          <w:iCs/>
        </w:rPr>
        <w:t>per capita</w:t>
      </w:r>
      <w:r w:rsidRPr="007245B0">
        <w:t> yields of important taxes in 1967-68. The four major State taxes are general sales tax, excise duties, land revenue including agricultural income-tax and taxes on transport. The </w:t>
      </w:r>
      <w:r w:rsidRPr="007245B0">
        <w:rPr>
          <w:i/>
          <w:iCs/>
        </w:rPr>
        <w:t>per capita</w:t>
      </w:r>
      <w:r w:rsidRPr="007245B0">
        <w:t> yield of general sales tax among the five States with higher </w:t>
      </w:r>
      <w:r w:rsidRPr="007245B0">
        <w:rPr>
          <w:i/>
          <w:iCs/>
        </w:rPr>
        <w:t>per capita</w:t>
      </w:r>
      <w:r w:rsidRPr="007245B0">
        <w:t> income varied from more than Rs. 14 in Maharashtra to less than Rs. 7 in West Bengal and Haryana. In the next group, Tamil Nadu had Rs. 11 per head; while Andhra Pradesh and Assam had Rs. 6.88 and Rs. 5.23 respectively. From the States with </w:t>
      </w:r>
      <w:r w:rsidRPr="007245B0">
        <w:rPr>
          <w:i/>
          <w:iCs/>
        </w:rPr>
        <w:t>per capita</w:t>
      </w:r>
      <w:r w:rsidRPr="007245B0">
        <w:t> income below the all-India average, Kerala obtained more than Rs. 10.</w:t>
      </w:r>
    </w:p>
    <w:p w14:paraId="7B9DC33C" w14:textId="69317531" w:rsidR="006553E0" w:rsidRPr="007245B0" w:rsidRDefault="006553E0" w:rsidP="00BA4AFE">
      <w:pPr>
        <w:pStyle w:val="Heading3"/>
      </w:pPr>
      <w:r w:rsidRPr="007245B0">
        <w:t>In taxes on transport, Jammu and Kashmir derived the highest </w:t>
      </w:r>
      <w:r w:rsidRPr="007245B0">
        <w:rPr>
          <w:i/>
          <w:iCs/>
        </w:rPr>
        <w:t>per capita</w:t>
      </w:r>
      <w:r w:rsidRPr="007245B0">
        <w:t> tax revenue of Rs. 9.26 and Tamil Nadu came next; West Bengal with Rs. 3.42 was ninth in rank in this regard.</w:t>
      </w:r>
    </w:p>
    <w:p w14:paraId="4404B186" w14:textId="242A820A" w:rsidR="006553E0" w:rsidRPr="007245B0" w:rsidRDefault="006553E0" w:rsidP="00BA4AFE">
      <w:pPr>
        <w:pStyle w:val="Heading3"/>
      </w:pPr>
      <w:r w:rsidRPr="007245B0">
        <w:t>The yield of excise duties depends on the States’ policy regarding prohibition. In this field, Punjab derived by far the highest revenue of Rs. 11 </w:t>
      </w:r>
      <w:r w:rsidRPr="007245B0">
        <w:rPr>
          <w:i/>
          <w:iCs/>
        </w:rPr>
        <w:t>per capita</w:t>
      </w:r>
      <w:r w:rsidRPr="007245B0">
        <w:t> and the next highest was Haryana with Rs. 6.86. Kerala obtained Rs. 4.7, while West Bengal derived only Rs. 3.21. Both Gujarat and Tamil Nadu with prohibition policies obtained less than Re. 0.3 per head; Maharashtra, which has recently relaxed its excise policy, got less than Re. 1. Here again, West Bengal was behind Andhra Pradesh which had a large dry area, Jammu and Kashmir and even Rajasthan.</w:t>
      </w:r>
    </w:p>
    <w:p w14:paraId="031B4A22" w14:textId="7D01B042" w:rsidR="006553E0" w:rsidRPr="007245B0" w:rsidRDefault="006553E0" w:rsidP="00BA4AFE">
      <w:pPr>
        <w:pStyle w:val="Heading3"/>
      </w:pPr>
      <w:r w:rsidRPr="007245B0">
        <w:t>Land revenue and agricultural income-tax proceeds in different States on a </w:t>
      </w:r>
      <w:r w:rsidRPr="007245B0">
        <w:rPr>
          <w:i/>
          <w:iCs/>
        </w:rPr>
        <w:t>per capita</w:t>
      </w:r>
      <w:r w:rsidRPr="007245B0">
        <w:t xml:space="preserve"> basis are not comparable. But considering that these are the only two direct taxes on incomes from agriculture, which constitute more than two-fifths of the total income of all States, their total contribution of Rs. 113 crores to the tax revenue of </w:t>
      </w:r>
      <w:r w:rsidRPr="007245B0">
        <w:lastRenderedPageBreak/>
        <w:t>all States cannot be considered </w:t>
      </w:r>
      <w:r w:rsidRPr="007245B0">
        <w:rPr>
          <w:i/>
          <w:iCs/>
        </w:rPr>
        <w:t>prima facie</w:t>
      </w:r>
      <w:r w:rsidRPr="007245B0">
        <w:t> to be very satisfactory. Agricultural income tax contributed on an average only one-tenth of the direct taxes on land in all States; in Kerala it was two-thirds; in Assam one-half; in Tamil Nadu and Mysore one-fifth; and in West Bengal less than one-seventh. Many States do not levy tax on agricultural income.</w:t>
      </w:r>
    </w:p>
    <w:p w14:paraId="48F7B5C5" w14:textId="378719FB" w:rsidR="006553E0" w:rsidRPr="007245B0" w:rsidRDefault="006553E0" w:rsidP="00BA4AFE">
      <w:pPr>
        <w:pStyle w:val="Heading3"/>
      </w:pPr>
      <w:r w:rsidRPr="007245B0">
        <w:t>As particular taxes are levied on different bases, it would be more useful to assess their comparative burden by taking their yields as percentages of their bases. It has not, however, been possible to quantify the base of each tax. Proceeds from land revenue and agricultural income-tax may be fairly compared with the agricultural incomes of the States. In case of other taxes, State incomes can be considered as broad indicators of their potential productivity. Land taxation in 1967-68 as percentage of State agricultural income in 1962-65 was the highest in Rajasthan, being 2.49 per cent. In the most prosperous agricultural State, Punjab, it was 0.52 per cent., the same as in Bihar and Orissa, the two States with lowest </w:t>
      </w:r>
      <w:r w:rsidRPr="007245B0">
        <w:rPr>
          <w:i/>
          <w:iCs/>
        </w:rPr>
        <w:t>per capita</w:t>
      </w:r>
      <w:r w:rsidRPr="007245B0">
        <w:t> income. In Andhra Pradesh the yield was less than one per cent. In spite of the general applicability of land taxes to all land holders, the total revenues in all States were only 1.3 per cent. of the agricultural income as compared with personal income-tax on non-agricultural income which amounted to 2.5 per cent. of such income. As percentage of State incomes (</w:t>
      </w:r>
      <w:r w:rsidRPr="007245B0">
        <w:rPr>
          <w:i/>
          <w:iCs/>
        </w:rPr>
        <w:t>vide</w:t>
      </w:r>
      <w:r w:rsidRPr="007245B0">
        <w:t> Table 15), general sales tax proceeds came to 3 per cent. in Kerala and Maharashtra, but only 1.4 per cent. in West Bengal and Haryana. Taxes on transport gave 3.1 per cent in Jammu and Kashmir, and about 1.5 per cent. in Kerala and Tamil Nadu. State excise duties contributed 2.3 per cent. in Punjab, 1.6 per cent. in Haryana and about 1.5 per cent. in Jammu and Kashmir and Kerala, but 0.7 per cent. only in West Bengal.</w:t>
      </w:r>
    </w:p>
    <w:p w14:paraId="620521FB" w14:textId="7A878C42" w:rsidR="006553E0" w:rsidRPr="007245B0" w:rsidRDefault="006553E0" w:rsidP="00BA4AFE">
      <w:pPr>
        <w:pStyle w:val="Heading3"/>
      </w:pPr>
      <w:r w:rsidRPr="007245B0">
        <w:t>This comparative study of the contribution of important State taxes brings out the importance of indirect taxation in State finances. It also shows the large differences in their exploitation by the States.</w:t>
      </w:r>
    </w:p>
    <w:p w14:paraId="79F57BBD" w14:textId="4D24B6E2" w:rsidR="006553E0" w:rsidRPr="007245B0" w:rsidRDefault="006553E0" w:rsidP="00BA4AFE">
      <w:pPr>
        <w:pStyle w:val="Heading3"/>
      </w:pPr>
      <w:r w:rsidRPr="007245B0">
        <w:t>It is unfortunately not possible to get a full picture of the long term changes in the burden of State taxation in relation to their income, as reliable figures of State incomes are not available over a sufficiently long period. It is, however, possible to compare the changes in the combined tax revenues of all States with those in the all-India national income. It will be seen (Table 13) that whereas State tax revenues increased faster than national income in the fifteen years since 1950-51, the percentage of State tax revenues to national income has diminished between 1965-66 and 1967-68 in spite of additional taxation.</w:t>
      </w:r>
    </w:p>
    <w:p w14:paraId="37465479" w14:textId="1C6232B4" w:rsidR="006553E0" w:rsidRPr="007245B0" w:rsidRDefault="006553E0" w:rsidP="00BA4AFE">
      <w:pPr>
        <w:pStyle w:val="Heading3"/>
      </w:pPr>
      <w:r w:rsidRPr="007245B0">
        <w:t>Table 7 gives the yields of different State taxes since 1950-51 for all States together. It shows that the general complaint that th</w:t>
      </w:r>
      <w:r w:rsidR="00595DE8" w:rsidRPr="007245B0">
        <w:t xml:space="preserve">e  </w:t>
      </w:r>
      <w:r w:rsidRPr="007245B0">
        <w:t xml:space="preserve">States’ sources of tax revenue are inelastic is not true of all taxes. State tax revenues have increased five-fold during this period, while Union tax revenues have grown nearly six-fold in the same period. There are, however, important State taxes like sales tax and taxes on transport the yields of which have grown more rapidly. The yield of State excise has however not increased proportionately and land revenue has proved stagnant between 1960-61 and 1967-68. The former is due to the policies adopted by different States. As to land </w:t>
      </w:r>
      <w:r w:rsidRPr="007245B0">
        <w:lastRenderedPageBreak/>
        <w:t>revenue, a detailed examination could be made by the States themselves whether it cannot be made more elastic by suitable changes or supplemented by other productive tax devices.</w:t>
      </w:r>
    </w:p>
    <w:p w14:paraId="2023827F" w14:textId="49996E6F" w:rsidR="006553E0" w:rsidRPr="007245B0" w:rsidRDefault="006553E0" w:rsidP="00BA4AFE">
      <w:pPr>
        <w:pStyle w:val="Heading3"/>
      </w:pPr>
      <w:r w:rsidRPr="007245B0">
        <w:t>After this review of the States’ tax structure, we may consider some general problems of State taxation. For this purpose, it is convenient to consider the question separately in relation to the agricultural and non-agricultural sectors. Both these are subject to a number of common levies like sales tax, excise duties, etc. Studies have, however, revealed that the incidence of such common taxation on the two sectors is uneven, largely due to the consumption in kind of the agricultural sector. The agricultural sector naturally pays less </w:t>
      </w:r>
      <w:r w:rsidRPr="007245B0">
        <w:rPr>
          <w:i/>
          <w:iCs/>
        </w:rPr>
        <w:t>per capita</w:t>
      </w:r>
      <w:r w:rsidRPr="007245B0">
        <w:t> as indirect taxes than the non-agricultural sector, in which </w:t>
      </w:r>
      <w:r w:rsidRPr="007245B0">
        <w:rPr>
          <w:i/>
          <w:iCs/>
        </w:rPr>
        <w:t>per capita</w:t>
      </w:r>
      <w:r w:rsidRPr="007245B0">
        <w:t> incomes are relatively higher, but the same expenditure groups in the rural sector also pay less than their counterparts in urban areas. It is probable that, with greater monetization, more rural prosperity and better integration of the rural and urban economies, this disparity might become reduced.</w:t>
      </w:r>
    </w:p>
    <w:p w14:paraId="0E9561E3" w14:textId="6F0384D7" w:rsidR="006553E0" w:rsidRPr="007245B0" w:rsidRDefault="006553E0" w:rsidP="00BA4AFE">
      <w:pPr>
        <w:pStyle w:val="Heading3"/>
      </w:pPr>
      <w:r w:rsidRPr="007245B0">
        <w:t>But the more important difference between the agricultural and non-agricultural sectors is regarding the different systems of direct taxation to which they are subject. All non-agricultural incomes are subject to a highly progressive personal income-tax. On the other hand, the agricultural sector is, by and large, subject to relatively fixed land taxes levied at proportionate rates, though their level has varied in different regions and also according to the different times when the settlements took place. Apart from a well-designed system of suspensions and remissions, land revenue does not pay regard to the changes in the income of the landholder or his personal circumstances. The only time the land revenue rates are revised is at the time of periodical resettlement, though during this interregnum of thirty to forty years there may be rapid changes in agricultural productivity, terms of trade and farm returns. Even at the time of resettlement, the increase in land revenue is hedged in with various restrictions regarding the permissible enhancement in rates, the treatment of improvements, etc. In a number of States, resettlement has not been attempted since the depression of the nineteen thirties, owing to its time-consuming and complex nature and the general public opposition it has encountered. Some States attempted to supplement land revenue with surcharges on commercial crops, or on bigger holdings. A few States like Maharashtra have adopted a system of substantial proportionate cesses for local purposes. Some States have also levied agricultural income-tax at fairly progressive rates; but a greater part of the proceeds comes from income of plantations which are under corporate management. Direct taxation on agriculturists so far is thus out of accord with modern concepts of progressivity. Whether or not the agricultural</w:t>
      </w:r>
      <w:r w:rsidR="00595DE8" w:rsidRPr="007245B0">
        <w:t xml:space="preserve"> </w:t>
      </w:r>
      <w:r w:rsidRPr="007245B0">
        <w:t>sector should be more lightly taxed than the non-agricultural sector may be a matter of opinion; but it is a fact that the prosperous part of the agricultural sector is now definitely under-taxed. And as agricultural incomes grow, the disparity will become even more pronounced.</w:t>
      </w:r>
    </w:p>
    <w:p w14:paraId="13D90188" w14:textId="6040AC09" w:rsidR="006553E0" w:rsidRPr="007245B0" w:rsidRDefault="006553E0" w:rsidP="00BA4AFE">
      <w:pPr>
        <w:pStyle w:val="Heading3"/>
      </w:pPr>
      <w:r w:rsidRPr="007245B0">
        <w:t xml:space="preserve">The urgent need for devising an appropriate progressive tax policy for Indian agriculture is obvious. Representatives of many States have expressed the view that the development of the agricultural sector is of the utmost importance for progressing towards national prosperity. A large number of schemes involving </w:t>
      </w:r>
      <w:r w:rsidRPr="007245B0">
        <w:lastRenderedPageBreak/>
        <w:t>considerable expenditure are being taken up for this purpose under the Plan. The benefits of such schemes have been improving the condition of agriculturists in many areas but the smaller cultivators and a large section of the rural community have still to face many difficulties. An extensive area in this field has still to be covered by development schemes. For this purpose greater outlay and investment will have to be undertaken in the coming years. In the context of these difficulties and the need for greater expenditure for the improvement of the agricultural sector, the problem of rural taxation requires to be considered. The more prosperous agriculturists who have derived larger benefits from such schemes would not be reluctant to contribute to the resources needed by the States so that more speedy progress could be achieved, by which they as well as the smaller agriculturists would be able to attain greater prosperity.</w:t>
      </w:r>
    </w:p>
    <w:p w14:paraId="071C7D80" w14:textId="348C5C2C" w:rsidR="006553E0" w:rsidRPr="007245B0" w:rsidRDefault="006553E0" w:rsidP="00BA4AFE">
      <w:pPr>
        <w:pStyle w:val="Heading3"/>
      </w:pPr>
      <w:r w:rsidRPr="007245B0">
        <w:t>Some valuable light on the revenue potential of the agricultural sector could have been got from departmental statistics compiled for the administration of agricultural income-tax. The material available is, however, incomplete and inconclusive. In the first place, some imporant States like Andhra Pradesh, Gujarat, Madhya Pradesh, Haryana and Punjab do not levy tax on agricultural incomes, while such tax is levied in Maharashtra only on incomes above Rs. 36,000. Secondly, there is a general feeling that even in States where this tax is levied, it is inadequately enforced.</w:t>
      </w:r>
    </w:p>
    <w:p w14:paraId="6B0748BA" w14:textId="5137D6C8" w:rsidR="006553E0" w:rsidRPr="007245B0" w:rsidRDefault="006553E0" w:rsidP="00BA4AFE">
      <w:pPr>
        <w:pStyle w:val="Heading3"/>
      </w:pPr>
      <w:r w:rsidRPr="007245B0">
        <w:t>The 1961 Census of land holdings carried out by the National Sample Survey shows that, over the country as a whole, land holdings of more than 25 acres accounted for 31 per cent of the area cultivated, and that only two-fifths of the area cultivated was in holdings of less than 10 acres (</w:t>
      </w:r>
      <w:r w:rsidRPr="007245B0">
        <w:rPr>
          <w:i/>
          <w:iCs/>
        </w:rPr>
        <w:t>vide</w:t>
      </w:r>
      <w:r w:rsidRPr="007245B0">
        <w:t> Table 59). While the position in each individual State differs in this respect, and figures may have somewhat changed in the interval, these data indicate that there is a good scope for progressive land taxation.</w:t>
      </w:r>
    </w:p>
    <w:p w14:paraId="117DEE60" w14:textId="31FA44B8" w:rsidR="006553E0" w:rsidRPr="007245B0" w:rsidRDefault="006553E0" w:rsidP="00BA4AFE">
      <w:pPr>
        <w:pStyle w:val="Heading3"/>
      </w:pPr>
      <w:r w:rsidRPr="007245B0">
        <w:t>By and large, the benefits of improvements in farming techniques, organisation and terms of trade tend to go to the larger farmers who have bigger marketable surpluses and more creditworthiness. Technical and organisational developments in the agricultural field have greatly helped the bigger farmers. The problem of rural tax policy is largely one of obtaining some part of the increased incomes of the more prosperous agriculturists for the State revenues so that the facilities which have brought prosperity to the larger farmers could be extended more widely, besides providing more amenities and services to the community in general.</w:t>
      </w:r>
    </w:p>
    <w:p w14:paraId="41019C66" w14:textId="65A7F4E6" w:rsidR="006553E0" w:rsidRPr="007245B0" w:rsidRDefault="006553E0" w:rsidP="00BA4AFE">
      <w:pPr>
        <w:pStyle w:val="Heading3"/>
      </w:pPr>
      <w:r w:rsidRPr="007245B0">
        <w:t xml:space="preserve">The best way to secure a share of the increased margins in the agricultural sector would be to levy an effective income-tax. A tax like land revenue based on the potential ability of a factor of production has the advantage of certainty and fixity and has to be based on some objective tests like size and average productivity of land holdings. It is neutral in its incidence as regards the farmers’ willingness to work and earn more. It works well in a simple society with a small degree of differentiation. But where the standards of cultivation differ widely or where there are rapid changes from year to year, such system would only be tolerated if the rate </w:t>
      </w:r>
      <w:r w:rsidRPr="007245B0">
        <w:lastRenderedPageBreak/>
        <w:t>is low. In course of time as the agricultural economy loses its distinct and separate structure and farming becomes more and more a method of earning in the general economy, the separation of agricultural incomes from other incomes loses its significance. Under the present system, the division of total income into two fragments is an important factor in determing the burden of taxation, and this gives scope for considerable evasion. A single income-tax levied both on agricultural and non-agricultural incomes will have the advantage of a unified system, leaving no scope for evasion by showing greater income under less-taxed or non-taxed sections; it will also be in line with the practice of other advanced countries of the world.</w:t>
      </w:r>
    </w:p>
    <w:p w14:paraId="75D9DDBA" w14:textId="3D2BDBFD" w:rsidR="006553E0" w:rsidRPr="007245B0" w:rsidRDefault="006553E0" w:rsidP="00BA4AFE">
      <w:pPr>
        <w:pStyle w:val="Heading3"/>
      </w:pPr>
      <w:r w:rsidRPr="007245B0">
        <w:t>There is another reason why agricultural prosperity should be taxed. A number of services, Central and State, have to be rendered to the agriculturists free or at concessional rates; rural electrification, distribution of improved seeds, pesticides, fertilisers, rural pumpsets and implements, rural credit, etc., have been, at one time or another, subsidized with a view to stimulate their use and increasing agricultural production. It is not our purpose to question the policy of subsidies and free services. It is perfectly legitimate to charge lower rates for a while to encourage the adoption of better practices and the use of services which improve agricultural production, or to subsidize handicapped farmers even as a long-term policy. However, the former objective has been largely achieved except in some areas. If it is not practicable to charge differential prices to more prosperous farmers, that is an additional reason for levy of a tax on their incomes.</w:t>
      </w:r>
    </w:p>
    <w:p w14:paraId="1CD63639" w14:textId="629B8AD3" w:rsidR="006553E0" w:rsidRPr="007245B0" w:rsidRDefault="006553E0" w:rsidP="00BA4AFE">
      <w:pPr>
        <w:pStyle w:val="Heading3"/>
      </w:pPr>
      <w:r w:rsidRPr="007245B0">
        <w:t>The Taxation Enquiry Commission (1953-54) had recommended that the eventual aim should be to merge agricultural income with non-agricultural income and levy one income-tax. But under our Constitution, the power to levy tax on agricultural income is assigned to the States, while the power to levy taxes on income other than agricultural income is assigned to the Union. Thus, the powers to tax agricultural income and income other than agricultural income fall under two separate spheres of legislative competence. This separation of agricultural income and non-agricultural income for the purpose of taxation is perhaps unique in this country. It is unnecessary to refer to the circumstances that have led to this dichotomy. In order to make a tax on agricultural income effective, some have suggested a Constitutional amendment while others have expressed the view that the States could delegate their tax power to the Union so that it can levy tax on agricultural income along with non-agricultural income, and distribute among the States their due share relatable to agricultural incomes generated in their</w:t>
      </w:r>
      <w:r w:rsidR="00595DE8" w:rsidRPr="007245B0">
        <w:t xml:space="preserve"> </w:t>
      </w:r>
      <w:r w:rsidRPr="007245B0">
        <w:t>jurisdiction. This would depend upon an agreement being reached by the States to have recourse to Article 252 of the Constitution as in the case of estate duty on agricultural land. Apart from possible legal difficulties, it appears to us that the States may be hesitant to delegate their power to the Union unless a large national concensus is achieved in this behalf. It seems to us </w:t>
      </w:r>
      <w:r w:rsidRPr="007245B0">
        <w:rPr>
          <w:i/>
          <w:iCs/>
        </w:rPr>
        <w:t>prima facie</w:t>
      </w:r>
      <w:r w:rsidRPr="007245B0">
        <w:t xml:space="preserve"> that, even without such unified levy of income-tax, the States could derive larger revenue from the tax on agricultural income if, for the purpose of determining the rate of assessment on such income, the total income of the assessee including the non-agricultural income is taken into account. Such a procedure will not be open to the objection that the State is levying tax on non-agricultural income. All that it would mean is that the non-agricultural income would </w:t>
      </w:r>
      <w:r w:rsidRPr="007245B0">
        <w:lastRenderedPageBreak/>
        <w:t>be taken into account only for the purpose of fixing the rate of tax on the agricultural income as is now being done in regard to income accruing outside India in the case of non-residents under the Indian Income-Tax Act. For many years, non-residents have been taxed on their income in India at rates applicable to their “total world income”. We, therefore, suggest that this line of approach may be pursued by the States.</w:t>
      </w:r>
    </w:p>
    <w:p w14:paraId="60EAEDB7" w14:textId="34E7E06D" w:rsidR="006553E0" w:rsidRPr="007245B0" w:rsidRDefault="006553E0" w:rsidP="00BA4AFE">
      <w:pPr>
        <w:pStyle w:val="Heading3"/>
      </w:pPr>
      <w:r w:rsidRPr="007245B0">
        <w:t>It has been argued that while in principle an agricultural income-tax looks attractive, the proposal does not take into account practical difficulties due to peculiarities and conditions of the Indian farmer. Hitherto, income tax has been confined to a few assessees at limited centres accustomed to a highly monetized system, and even so there are many complaints of vexation and harassment. The Indian farmer, it is urged, is largely accustomed to the direct tax on land with a simple fixed liability. He is not used to keep detailed accounts or to face inquiries regarding his production, prices and farm expenditure. These difficulties, however, may not be applicable to the more prosperous agriculturists. The number of farmers who are likely to become subject to agricultural income-tax constitute only a small percentage of the farming community, and their conditions and ability are not greatly different from those of smaller assessees in urban areas. Presumptive rules regarding income per hectare from particular crop under different types of agriculture by regions would minimise inconvenience; seasonal variations in different years may be met by suitable changes in such rules. Even in the case of non-agricultural income-tax, such rules have been adopted for small or illiterate assessees.</w:t>
      </w:r>
    </w:p>
    <w:p w14:paraId="69468FF7" w14:textId="3DC5BFA2" w:rsidR="006553E0" w:rsidRPr="007245B0" w:rsidRDefault="006553E0" w:rsidP="00BA4AFE">
      <w:pPr>
        <w:pStyle w:val="Heading3"/>
      </w:pPr>
      <w:r w:rsidRPr="007245B0">
        <w:t>Some States like Jammu and Kashmir and Maharashtra have pointed out that the amounts which they can raise at present from the agricultural income-tax could be more than made up by alternative levy of other taxes like land cesses or taxes on movement of goods. We however feel that the potential yield from a properly devised and enforced agricultural income-tax has been greatly under-estimated. The present proceeds are hardly an indication of the revenue potential of a proper agricultural income-tax in the near future with fast-changing techniques. Further, as compared to tax on agricultural income, the incidence of other taxes would fall in a different manner on different groups, and it is very unlikely that such incidence would prove to be progressive or obtain a suitable share of the incomes of better-off farmers. In</w:t>
      </w:r>
      <w:r w:rsidR="00595DE8" w:rsidRPr="007245B0">
        <w:t xml:space="preserve"> </w:t>
      </w:r>
      <w:r w:rsidRPr="007245B0">
        <w:t>view of the need for more resources, it should be possible to adopt a combination of both these alternatives, which would bring in much larger sums to the State revenues.</w:t>
      </w:r>
    </w:p>
    <w:p w14:paraId="530DD66A" w14:textId="1D8BC569" w:rsidR="006553E0" w:rsidRPr="007245B0" w:rsidRDefault="001D51D4" w:rsidP="00BA4AFE">
      <w:pPr>
        <w:pStyle w:val="Heading3"/>
      </w:pPr>
      <w:r w:rsidRPr="007245B0">
        <w:t xml:space="preserve">Some State Governments, however, have stated that agricultural income-tax cannot be levied by them for administrative and other reasons, and that in any case they would like to wait till they are reasonably sure that agricultural production has turned the corner. As an alternative, we would suggest in case of such States the levy of crop taxes at differential rates and levy of progressive surcharges on larger landholdings. Both the U.P. and Bihar Taxation Enquiry Committees, which did not see any immediate scope for agricultural income taxation, have recommended the levy of surcharges. These have, however, the defects of land revenue on which they are based, the incidence of which involves large regional disparities. We feel that </w:t>
      </w:r>
      <w:r w:rsidRPr="007245B0">
        <w:lastRenderedPageBreak/>
        <w:t>such alternative levies would to some extent introduce progression in taxation of the agricultural sector.</w:t>
      </w:r>
    </w:p>
    <w:p w14:paraId="533A5B17" w14:textId="5C0FCE13" w:rsidR="001D51D4" w:rsidRPr="007245B0" w:rsidRDefault="001D51D4" w:rsidP="00BA4AFE">
      <w:pPr>
        <w:pStyle w:val="Heading3"/>
      </w:pPr>
      <w:r w:rsidRPr="007245B0">
        <w:t>In the last few years, several States have taken measures to exempt small landholdings from land revenue, and have given up land revenue income, wholly or partially. The types of exemptions given by different States vary in their coverage and detailed application. In some cases, no distinction is made between irrigated and un-irrigated lands for purposes of exemption (vide Table 27). These exemptions will cost the States Rs. 78 crores during the Fourth Plan period. The economic justification urged for exemption is that the smaller farmers are living below the subsistence level and, therefore, they have no taxable surplus. In a country with low national income, trying simultaneously to develop its economy and to provide for better social welfare, it may not be entirely possible to avoid taxation of persons with low incomes. A part of land revenue may be justified on the ground that the State has to incur considerable expenditure for maintaining up-to-date records of land rights. There is enough material to prove that the cultivator greatly values this service and regards land revenue receipts as evidence in his possession of his title to land. The Uttar Pradesh Taxation Enquiry Committee has mentioned that none of the farmers giving evidence before it had demanded abolition of land revenue.</w:t>
      </w:r>
    </w:p>
    <w:p w14:paraId="57E93E67" w14:textId="0C3B3DB7" w:rsidR="006553E0" w:rsidRPr="007245B0" w:rsidRDefault="001D51D4" w:rsidP="00BA4AFE">
      <w:pPr>
        <w:pStyle w:val="Heading3"/>
      </w:pPr>
      <w:r w:rsidRPr="007245B0">
        <w:t>If land revenue is an important source of revenue, the question also arises as to whether the present systems of levy can be so changed as to be more equitable among different areas, and to keep in step with changes in the value of money or the profitability of crops. Periodical revisions of land revenue settlements provide one method for achieving this, but they are cumbrous and unduly costly in money and time. Such costly procedure may be worthwhile only in areas which have not been properly settled yet. As the Taxation Enquiry Commission suggested, surcharges could be levied in areas where the land revenue burden is low. It may also be examined whether some ad hoc increase in surcharges is not possible periodically to bring them in line with price and productivity increases. The rates of tax could also be increased on lands used for non-agricultural purposes, including industrial and commercial uses, particularly in larger urban centres and developing industrial areas.</w:t>
      </w:r>
    </w:p>
    <w:p w14:paraId="18FDE0D9" w14:textId="713C4C94" w:rsidR="001D51D4" w:rsidRPr="007245B0" w:rsidRDefault="001D51D4" w:rsidP="00BA4AFE">
      <w:pPr>
        <w:pStyle w:val="Heading3"/>
      </w:pPr>
      <w:r w:rsidRPr="007245B0">
        <w:t>As we have said earlier, the incidence of State excise largely depends on the States’ policy. Some State Governments have stated that the economic and social advantages of prohibition are sufficient to justify the loss of revenue. Unlike other measures of tax reduction, a successful prohibition policy reduces spendings on drink and adds to the incomes available for other uses. Although it would not be possible to tax additional expenditure at the same rate as on liquor, it should be possible by an elastic tax policy to make good a large part of the revenue loss. However, it would be necessary to ensure that the policy does not fail for lack of proper implementation. It seems, therefore, desirable that State Governments which have adopted a policy of prohibition may review its working and may continue it only if it is serving its real purpose.</w:t>
      </w:r>
    </w:p>
    <w:p w14:paraId="5EA7A3EC" w14:textId="390CABCF" w:rsidR="001D51D4" w:rsidRPr="007245B0" w:rsidRDefault="00BA4AFE" w:rsidP="00BA4AFE">
      <w:pPr>
        <w:pStyle w:val="Heading3"/>
      </w:pPr>
      <w:r>
        <w:t>A</w:t>
      </w:r>
      <w:r w:rsidR="001D51D4" w:rsidRPr="007245B0">
        <w:t xml:space="preserve">s far as other States are concerned, they could examine the policy of their excise arrangements to ensure maximum and stable revenue and minimum evasion. </w:t>
      </w:r>
      <w:r w:rsidR="001D51D4" w:rsidRPr="007245B0">
        <w:lastRenderedPageBreak/>
        <w:t>Some States pointed out to us that the supply of alcohol and molasses had become difficult. If regular official supplies cannot be maintained, irregular channels are likely to spring up. Also, licensed dealers are often under temptation to deal in non-taxed illicit liquor. To make them stick to sales of supplies from official agencies a system of auctions of liquor shop licences with a small </w:t>
      </w:r>
      <w:r w:rsidR="001D51D4" w:rsidRPr="007245B0">
        <w:rPr>
          <w:i/>
          <w:iCs/>
        </w:rPr>
        <w:t>ad valorem</w:t>
      </w:r>
      <w:r w:rsidR="001D51D4" w:rsidRPr="007245B0">
        <w:t> tax on liquor is more helpful than a system of small licence fees coupled with a heavy </w:t>
      </w:r>
      <w:r w:rsidR="001D51D4" w:rsidRPr="007245B0">
        <w:rPr>
          <w:i/>
          <w:iCs/>
        </w:rPr>
        <w:t>ad valorem</w:t>
      </w:r>
      <w:r w:rsidR="001D51D4" w:rsidRPr="007245B0">
        <w:t> tax on liquor. The former system has worked successfully in Punjab. This policy has also been commended by the Uttar Pradesh Taxation Enquiry Committee.</w:t>
      </w:r>
      <w:r>
        <w:rPr>
          <w:rStyle w:val="FootnoteReference"/>
        </w:rPr>
        <w:footnoteReference w:id="5"/>
      </w:r>
      <w:r>
        <w:t xml:space="preserve"> </w:t>
      </w:r>
      <w:r w:rsidR="001D51D4" w:rsidRPr="007245B0">
        <w:t>We feel this matter could be considered by other States with advantage.</w:t>
      </w:r>
    </w:p>
    <w:p w14:paraId="44A52C7B" w14:textId="5E708C55" w:rsidR="001D51D4" w:rsidRPr="007245B0" w:rsidRDefault="001D51D4" w:rsidP="00BE3CC5">
      <w:pPr>
        <w:pStyle w:val="Heading3"/>
      </w:pPr>
      <w:r w:rsidRPr="007245B0">
        <w:t>We may now make some general observations regarding other taxes like sales tax, motor vehicles tax, entertainment taxes, etc. Tables 20 to 26 give the variations in rates of different taxes among States and indicate that a review by the State Governments of the rates levied in their States in the light of rates in different States may be useful. Apart from the question of rates, the collection and evaluation of relevant statistics so as to determine the sources of evasion and avoidance, and their magnitude and direction may help to plug the loopholes. It appears that as regards sales tax definite information about the production, sales and yield of tax in respect of individual commodities is not available. Such information would be useful for taking policy decisions. There is evidence to indicate that evasion exists to a large extent in the case of sales tax. For instance it is stated in the report of the Uttar Pradesh Taxation Enquiry Committee that the State Government raised 53 per cent more from sales tax in 1967-68 over 1965-66 without any increase in rates of tax, mainly as a result of improvement in administrative efficiency. The Kerala State Taxation Enquiry Committee estimated the evasion of sales tax on certain commercial groups on the basis of their marketable surplus and the portion which paid sales tax. It was calculated that about half of the taxable transactions in copra and its products and a similar amount of arecanut evaded tax</w:t>
      </w:r>
      <w:r w:rsidR="00BA4AFE">
        <w:t>.</w:t>
      </w:r>
      <w:r w:rsidR="00BA4AFE">
        <w:rPr>
          <w:rStyle w:val="FootnoteReference"/>
        </w:rPr>
        <w:footnoteReference w:id="6"/>
      </w:r>
      <w:r w:rsidRPr="007245B0">
        <w:t xml:space="preserve"> It is likely that</w:t>
      </w:r>
      <w:r w:rsidR="00BA4AFE">
        <w:t xml:space="preserve"> </w:t>
      </w:r>
      <w:r w:rsidRPr="007245B0">
        <w:t>similar problems exist in regard to other commodities and in other States also. It is important to undertake detailed investigations on such lines to ascertain the magnitude of evasion. This would help further studies to locate the likely points of evasion for working out suitable remedial measures. It has also been suggested that greater co-ordination with and supply of information by road, railway and air authorities regarding bulk movements of goods, and their consignees would be of great use to sales tax authorities.</w:t>
      </w:r>
    </w:p>
    <w:p w14:paraId="0FA85469" w14:textId="3A0D5A34" w:rsidR="001D51D4" w:rsidRPr="007245B0" w:rsidRDefault="001D51D4" w:rsidP="00BA4AFE">
      <w:pPr>
        <w:pStyle w:val="Heading3"/>
      </w:pPr>
      <w:r w:rsidRPr="007245B0">
        <w:t xml:space="preserve">Several States have urged before us that in determining their tax rates they had to take into consideration the rates which are in operation in other States, especially in neighbouring States. While some variations in tax rates among neighbouring States are only to be expected, large variations in some types of taxes may make resource mobilisation by the States more difficult. In land revenue and betterment duties, the effects are only psychological as there is no mobility of the object taxed. Variations in rates of taxes on sales of final consumption goods of daily use may not </w:t>
      </w:r>
      <w:r w:rsidRPr="007245B0">
        <w:lastRenderedPageBreak/>
        <w:t>be of great practical consequence as the consumers cannot generally shift their site of purchase from one State to another. The possibilities of avoidance are, however, greater in the case of durable and more expensive consumer goods. The States have, therefore, arrived at an agreement regarding certain minimum rates of tax on such articles. Similar scope also exists in bulk commodities and industrial raw materials and intermediate goods. Unfortunately similar agreement has not been reached for such goods except those covered by the Central Sales Tax Act. Several States, on the other hand, offer competitive concessions and exemptions to industries in order to make it more profitable for them to be located within their borders. There is always the risk that industries might sell goods outside the State or make their purchases from outside on a consignment basis. Since local consumption is the basis of sales tax, the former practice cannot be properly objected to. But the latter can affect the basis of State taxation adversely. To promote necessary coordination in tax policies, the neighbouring States should be prepared to adjust their tax rates and for this purpose it will be useful if the Government of India can also give its assistance and support. It has been represented to us, however, that in a few cases the Centre has not given a favourable response. It is stated that the Union territory of Delhi adopted the policy that its sales tax rates must be at least one point lower than those in neighbouring States. The Uttar Pradesh Taxation Enquiry Committee has pointed out several instances where the rates in Uttar Pradesh had to be reduced in order to put its industries on a par with those in Delhi.</w:t>
      </w:r>
      <w:r w:rsidR="00BA4AFE">
        <w:rPr>
          <w:rStyle w:val="FootnoteReference"/>
        </w:rPr>
        <w:footnoteReference w:id="7"/>
      </w:r>
      <w:r w:rsidRPr="007245B0">
        <w:t xml:space="preserve"> We are of opinion that this matter deserves to be examined early.</w:t>
      </w:r>
    </w:p>
    <w:p w14:paraId="47BAFEEF" w14:textId="30B926E3" w:rsidR="001D51D4" w:rsidRPr="007245B0" w:rsidRDefault="001D51D4" w:rsidP="00BA4AFE">
      <w:pPr>
        <w:pStyle w:val="Heading3"/>
      </w:pPr>
      <w:r w:rsidRPr="007245B0">
        <w:t>The Uttar Pradesh Taxation Enquiry Committee has also remarked that in many cases transactions shown as consignments and works contracts, which are not liable to States’ sales taxation, were not genuine and that they were manipulated to hide the real nature of sales transactions. It is desirable that the Government of India as well as State Governments may consider what measures could be devised to meet this situation.</w:t>
      </w:r>
    </w:p>
    <w:p w14:paraId="2F3EEC58" w14:textId="13EE0B1C" w:rsidR="00964941" w:rsidRPr="007245B0" w:rsidRDefault="00964941" w:rsidP="00BA4AFE">
      <w:pPr>
        <w:pStyle w:val="Heading3"/>
      </w:pPr>
      <w:r w:rsidRPr="007245B0">
        <w:t>Collection of past arrears is as much an addition to current resources as tax revenues. We, therefore, tried to obtain from State Governments detailed information about their tax arrears. These amount to Rs. 186 crores (</w:t>
      </w:r>
      <w:r w:rsidRPr="007245B0">
        <w:rPr>
          <w:i/>
          <w:iCs/>
        </w:rPr>
        <w:t>vide</w:t>
      </w:r>
      <w:r w:rsidRPr="007245B0">
        <w:t> Table 17). It is likely that a large part of such arrears may not be recoverable and some of them may be the subject of appeal or revision proceedings. But the size of realisable arrears would still seem to be very large. A further analysis was made of the land revenue and sales tax arrears, which account for about nine-tenths of the total tax arrears, and it showed that these arrears had increased from Rs. 106 crores in 1963-64 to Rs. 146 crores in 1967-68. In the case of land revenue, we found that the arrears, which naturally varied from year to year due to differences in the season, were consistently more than 30 per cent of current dues in the case of a few States (</w:t>
      </w:r>
      <w:r w:rsidRPr="007245B0">
        <w:rPr>
          <w:i/>
          <w:iCs/>
        </w:rPr>
        <w:t>vide</w:t>
      </w:r>
      <w:r w:rsidRPr="007245B0">
        <w:t> Table 18). While there were no similar annual variations in the case of sales tax arrears, there were a few States with more than one-fifth of their current dues as arrears (</w:t>
      </w:r>
      <w:r w:rsidRPr="007245B0">
        <w:rPr>
          <w:i/>
          <w:iCs/>
        </w:rPr>
        <w:t>vide</w:t>
      </w:r>
      <w:r w:rsidRPr="007245B0">
        <w:t xml:space="preserve"> Table 19). </w:t>
      </w:r>
      <w:r w:rsidRPr="007245B0">
        <w:lastRenderedPageBreak/>
        <w:t>We feel that the magnitude of arrears can be considerably brought down by State Governments.</w:t>
      </w:r>
    </w:p>
    <w:p w14:paraId="1BFDC895" w14:textId="724B86E7" w:rsidR="00964941" w:rsidRPr="007245B0" w:rsidRDefault="00964941" w:rsidP="00BA4AFE">
      <w:pPr>
        <w:pStyle w:val="Heading3"/>
      </w:pPr>
      <w:r w:rsidRPr="007245B0">
        <w:t>Non-tax revenues (excluding grants) are a significant portion of the total revenues of States accounting for more than one-third. In the case of some States like Jammu and Kashmir, Nagaland and Orissa, they account for more than one-half (</w:t>
      </w:r>
      <w:r w:rsidRPr="007245B0">
        <w:rPr>
          <w:i/>
          <w:iCs/>
        </w:rPr>
        <w:t>vide</w:t>
      </w:r>
      <w:r w:rsidRPr="007245B0">
        <w:t> Table 11). Some of these receipts, like forest revenue, are dependent on the natural resources of the States and the extent to which these are properly exploited. Some items, like departmental receipts, depend on the scale of services provided and policy decisions regarding charges to be levied for the services. These could be reviewed periodically so as to reduce the net cost of such services. Some other items like receipts from mining royalties depend on policies and decisions of the Government of India. We shall confine our remarks here to receipts of interest on loans advanced by State Governments, returns on departmental commercial schemes and dividends from investments.</w:t>
      </w:r>
    </w:p>
    <w:p w14:paraId="7204C315" w14:textId="137787CD" w:rsidR="00964941" w:rsidRPr="007245B0" w:rsidRDefault="00964941" w:rsidP="00BA4AFE">
      <w:pPr>
        <w:pStyle w:val="Heading3"/>
      </w:pPr>
      <w:r w:rsidRPr="007245B0">
        <w:t>The value of assets owned and amount of loans advanced by the State Governments at the end of 1968-69 totalled Rs. 8,400 crores of which Rs. 3,200 crores was loans, and Rs. 5,200 crores direct investments (</w:t>
      </w:r>
      <w:r w:rsidRPr="007245B0">
        <w:rPr>
          <w:i/>
          <w:iCs/>
        </w:rPr>
        <w:t>vide</w:t>
      </w:r>
      <w:r w:rsidRPr="007245B0">
        <w:t> Table 41). Multipurpose river schemes and commercial irrigation accounted for one-fourth of the capital outlay, and loans to Electricity Boards and investment in electricity schemes for an equal amount. Investments in industrial and economic development amounted to Rs. 500 crores, and loans to others (excluding Electricity Boards) Rs. 1,200 crores. Capital outlay on assets like roads and buildings, non-commercial irrigation, public health and agriculture accounted for another Rs. 2,200 crores.</w:t>
      </w:r>
    </w:p>
    <w:p w14:paraId="3BBCFD5B" w14:textId="17D735DC" w:rsidR="00964941" w:rsidRPr="007245B0" w:rsidRDefault="00964941" w:rsidP="00BA4AFE">
      <w:pPr>
        <w:pStyle w:val="Heading3"/>
      </w:pPr>
      <w:r w:rsidRPr="007245B0">
        <w:t>Out of the productive capital outlay, that on multipurpose river schemes and commercial irrigation presents certain difficulties in the matter of obtaining adequate returns. In 1967-68, the losses on multi-purpose river schemes, after taking into account the interest liability, amounted to Rs. 24 crores of which Andhra Pradesh accounted for more than Rs. 8 crores. In commercial irrigation, the gross receipts did not cover even the working expenses; there was a net loss of Rs. 52 crores (</w:t>
      </w:r>
      <w:r w:rsidRPr="007245B0">
        <w:rPr>
          <w:i/>
          <w:iCs/>
        </w:rPr>
        <w:t>vide</w:t>
      </w:r>
      <w:r w:rsidRPr="007245B0">
        <w:t> Table 34) in that year after providing for interest charges.</w:t>
      </w:r>
    </w:p>
    <w:p w14:paraId="056C6919" w14:textId="582B0433" w:rsidR="00BE4148" w:rsidRPr="007245B0" w:rsidRDefault="00964941" w:rsidP="00BA4AFE">
      <w:pPr>
        <w:pStyle w:val="Heading3"/>
      </w:pPr>
      <w:r w:rsidRPr="007245B0">
        <w:t>The Committee (known as Nijalingappa Committee) which was appointed by the Government of India in 1964 to suggest ways and means of improving financial returns from irrigation projects recommended a levy at the rate of 25 to 40 per cent of the net benefits accruing due to irrigation, and where such net benefits were not ascertainable, a rate of 5 to 12 per cent of the value of gross produce. It found that the prevalent water rates were much lower. It recommended a quinquennial revision of rates in accordance with price changes. A comparison of the irrigation rates charged at present on rice, wheat and sugarcane shows wide variations between States (</w:t>
      </w:r>
      <w:r w:rsidRPr="007245B0">
        <w:rPr>
          <w:i/>
          <w:iCs/>
        </w:rPr>
        <w:t>vide</w:t>
      </w:r>
      <w:r w:rsidRPr="007245B0">
        <w:t xml:space="preserve"> Table 23). In some States water rates which were fixed long back have not been raised in spite of higher prices and costs, and improved techniques. A statement prepared by the Ministry of Irrigation and Power estimated that if water rates on rice, wheat and sugarcane were increased to 12 per cent of the gross benefit, </w:t>
      </w:r>
      <w:r w:rsidRPr="007245B0">
        <w:lastRenderedPageBreak/>
        <w:t>which is the maximum recommended by the Nijalingappa Committee, the receipts would increase to Rs. 187 crores a year (Table 60).</w:t>
      </w:r>
    </w:p>
    <w:p w14:paraId="523CE62C" w14:textId="63A83603" w:rsidR="00964941" w:rsidRPr="007245B0" w:rsidRDefault="00964941" w:rsidP="00BA4AFE">
      <w:pPr>
        <w:pStyle w:val="Heading3"/>
      </w:pPr>
      <w:r w:rsidRPr="007245B0">
        <w:t>Losses on irrigation schemes can be due to various reasons, such as low water rates, inability or unwillingness to revise them, faulty planning, lack of ability to take follow-up measures, bad water management, etc. They can only be made more paying if remedial action is taken regarding these matters. We hope the State Governments concerned will examine the importance of such factors in the case of their schemes and take necessary steps to improve the returns from them.</w:t>
      </w:r>
    </w:p>
    <w:p w14:paraId="05571A0D" w14:textId="674C5AAB" w:rsidR="00964941" w:rsidRPr="007245B0" w:rsidRDefault="00964941" w:rsidP="00BA4AFE">
      <w:pPr>
        <w:pStyle w:val="Heading3"/>
      </w:pPr>
      <w:r w:rsidRPr="007245B0">
        <w:t>The State Electricity Boards are expected to conduct their working on business principles without loss. By and large, electricity is either an item of domestic consumption or it is used by medium and large industries which should be in a position to pay for it. Rural electrification has just become important and in some States it is being subsidised directly and forms an item of the States’ expenditure. The Committee on the Working of State Electricity Boards (known as Venkataraman Committee), visualised two phases during which they should improve their working and earn 9.5 per cent on their capital base, besides 1 1/2 per cent in the form of electricity duties. According to the Committee, the immediate objective of the State Electricity Boards should be to achieve self-sufficiency which implied net receipts of 6.5 per cent on the total capital invested after meeting working expenses and provision for depreciation. This return was to be utilised for meeting interest charges (6 per cent) and for contribution to the general reserve fund (0.5 per cent). In the second phase, the Boards were expected to be able to secure an additional net return of 3 per cent on the capital base. The Committee opined that the Boards which have already achieved the first stage should take steps to realise the second phase immediately, and the remaining Boards should achieve the first stage in 3 to 5 years and the second stage within 3 to 5 years thereafter. By now, the first phase should have been completed for almost all the Boards.</w:t>
      </w:r>
    </w:p>
    <w:p w14:paraId="2443E9DF" w14:textId="551FB46C" w:rsidR="00964941" w:rsidRPr="007245B0" w:rsidRDefault="00964941" w:rsidP="00BE3CC5">
      <w:pPr>
        <w:pStyle w:val="Heading3"/>
      </w:pPr>
      <w:r w:rsidRPr="007245B0">
        <w:t>The Committee visualised that in order to achieve this end, suitable upward revision of power tariff rates and maximum economy in the working expenses would be essential. An undertaking to take such measures has also been given by the State Governments to the</w:t>
      </w:r>
      <w:r w:rsidR="00BA4AFE">
        <w:t xml:space="preserve"> </w:t>
      </w:r>
      <w:r w:rsidRPr="007245B0">
        <w:t>World Bank. In spite of this, the working of the Electricity Boards for 1968-69 shows that some Boards do not have enough surplus to pay the interest due on State loans given to them (Tables 36 and 37). Some of them have large arrears of interest to clear up. With some more effort and improved management, the Boards should be able to attain much better results.</w:t>
      </w:r>
    </w:p>
    <w:p w14:paraId="5C6FE5F4" w14:textId="37F66A39" w:rsidR="00964941" w:rsidRPr="007245B0" w:rsidRDefault="00964941" w:rsidP="00BA4AFE">
      <w:pPr>
        <w:pStyle w:val="Heading3"/>
      </w:pPr>
      <w:r w:rsidRPr="007245B0">
        <w:t>The rates charged for electricity vary widely according to the purposes for which it is used. Electricity for domestic use attracts the highest rate. Often, the charge varies according to whether the use is for lighting or heating. Large industrial users and agriculturists are charged lower rates. The weighted average of the rates charged for separate uses varied widely from 6.4 paise per unit in Mysore to 13.4 in Punjab and 16.4 in Andhra (excluding electricity duty). In the case of some Electricity Boards making losses, the rates were lower and could </w:t>
      </w:r>
      <w:r w:rsidRPr="007245B0">
        <w:rPr>
          <w:i/>
          <w:iCs/>
        </w:rPr>
        <w:t>prima facie</w:t>
      </w:r>
      <w:r w:rsidRPr="007245B0">
        <w:t xml:space="preserve"> be </w:t>
      </w:r>
      <w:r w:rsidRPr="007245B0">
        <w:lastRenderedPageBreak/>
        <w:t>increased. Efforts could also be made to reduce disparity of rates in neighbouring States by consultations between States on a regional basis.</w:t>
      </w:r>
    </w:p>
    <w:p w14:paraId="4BD5A897" w14:textId="79B07090" w:rsidR="00964941" w:rsidRPr="007245B0" w:rsidRDefault="00964941" w:rsidP="00BA4AFE">
      <w:pPr>
        <w:pStyle w:val="Heading3"/>
      </w:pPr>
      <w:r w:rsidRPr="007245B0">
        <w:t>Loans to third parties other than Electricity Boards fetched interest at a low average rate of 3.7 per cent in 1967-68, the State-wise figures varying from about 5 per cent to 1 per cent. There were interest arrears of Rs. 19 crores excluding those due from displaced persons. With a firmer and more businesslike policy, higher recoveries could be expected.</w:t>
      </w:r>
    </w:p>
    <w:p w14:paraId="5EB198B9" w14:textId="722210CA" w:rsidR="00964941" w:rsidRPr="007245B0" w:rsidRDefault="00964941" w:rsidP="00BA4AFE">
      <w:pPr>
        <w:pStyle w:val="Heading3"/>
      </w:pPr>
      <w:r w:rsidRPr="007245B0">
        <w:t>Investment in Road Transport Corporations yields a good rate of return even now. The problem of subsidising them is confined only to urban areas. Other investments seem to be yielding much less. An average return of only 1.35 per cent was earned on State investments in 1968-69 (</w:t>
      </w:r>
      <w:r w:rsidRPr="007245B0">
        <w:rPr>
          <w:i/>
          <w:iCs/>
        </w:rPr>
        <w:t>vide</w:t>
      </w:r>
      <w:r w:rsidRPr="007245B0">
        <w:t> Table 42). Among the States the returns varied from 3.37 per cent to less than 1 per cent. It should be possible to step up the returns substantially. The States should be able to cover lower returns from some investments by higher returns from others, so as to realise an average return not less than the interest on their own borrowings.</w:t>
      </w:r>
    </w:p>
    <w:p w14:paraId="5E3CD250" w14:textId="46E1A61A" w:rsidR="00964941" w:rsidRPr="007245B0" w:rsidRDefault="00964941" w:rsidP="00BA4AFE">
      <w:pPr>
        <w:pStyle w:val="Heading3"/>
      </w:pPr>
      <w:r w:rsidRPr="007245B0">
        <w:t>In order to make certain levies more acceptable to the people paying them, the proceeds are sometimes earmarked for purposes of special interest to those on whom the incidence of such levies falls. Education is one of such purposes which can evoke a favourable response. In recent years, the policy of free and compulsory education is being extended to cover children beyond the primary stage and tuition fees are being exempted on a large scale. In one State education even at the University level is free. The Constitutional directive requires provision of free and compulsory education for children upto the age of fourteen years. Expenditure on education is bound to increase particularly if the recommendations of the Education Commission regarding minimum salaries of school teachers are implemented. Education for children upto fourteen is an objective in which every citizen would be interested, and the improvement of the pay of teachers would also find general support. Some States already levied education cess on land revenue and tax on property. We suggest that other States may also consider the possibility of taking similar action.</w:t>
      </w:r>
    </w:p>
    <w:p w14:paraId="4C423142" w14:textId="1AAECE92" w:rsidR="00964941" w:rsidRPr="007245B0" w:rsidRDefault="001C72DE" w:rsidP="00BC5891">
      <w:pPr>
        <w:rPr>
          <w:rFonts w:ascii="Times New Roman" w:hAnsi="Times New Roman" w:cs="Times New Roman"/>
        </w:rPr>
      </w:pPr>
      <w:r w:rsidRPr="007245B0">
        <w:rPr>
          <w:rFonts w:ascii="Times New Roman" w:hAnsi="Times New Roman" w:cs="Times New Roman"/>
        </w:rPr>
        <w:br w:type="page"/>
      </w:r>
    </w:p>
    <w:p w14:paraId="6C2F9935" w14:textId="065D93D1" w:rsidR="00964941" w:rsidRPr="007245B0" w:rsidRDefault="00803F7A" w:rsidP="00803F7A">
      <w:pPr>
        <w:pStyle w:val="Heading1"/>
      </w:pPr>
      <w:r>
        <w:lastRenderedPageBreak/>
        <w:br/>
      </w:r>
      <w:bookmarkStart w:id="17" w:name="_Toc220949673"/>
      <w:bookmarkStart w:id="18" w:name="_Toc221115296"/>
      <w:r w:rsidR="00964941" w:rsidRPr="007245B0">
        <w:t>SUMMARY OF RECOMMENDATIONS</w:t>
      </w:r>
      <w:bookmarkEnd w:id="17"/>
      <w:bookmarkEnd w:id="18"/>
    </w:p>
    <w:p w14:paraId="79158674" w14:textId="0FF47988" w:rsidR="00964941" w:rsidRPr="007245B0" w:rsidRDefault="00964941" w:rsidP="00803F7A">
      <w:pPr>
        <w:pStyle w:val="Heading3"/>
      </w:pPr>
      <w:r w:rsidRPr="007245B0">
        <w:t>Our recommendations to the President in regard to devolution of taxes and grants-in-aid of the revenues of the States are set out below:</w:t>
      </w:r>
      <w:r w:rsidR="002166E0">
        <w:t>-</w:t>
      </w:r>
    </w:p>
    <w:p w14:paraId="49D40840" w14:textId="77777777" w:rsidR="00964941" w:rsidRPr="00803F7A" w:rsidRDefault="00964941" w:rsidP="00803F7A">
      <w:pPr>
        <w:spacing w:before="240" w:line="300" w:lineRule="exact"/>
        <w:ind w:left="-142" w:hanging="425"/>
        <w:jc w:val="both"/>
        <w:rPr>
          <w:rFonts w:ascii="Times New Roman" w:hAnsi="Times New Roman" w:cs="Times New Roman"/>
          <w:sz w:val="28"/>
          <w:szCs w:val="22"/>
        </w:rPr>
      </w:pPr>
      <w:r w:rsidRPr="00803F7A">
        <w:rPr>
          <w:rFonts w:ascii="Times New Roman" w:hAnsi="Times New Roman" w:cs="Times New Roman"/>
          <w:b/>
          <w:bCs/>
          <w:sz w:val="28"/>
          <w:szCs w:val="22"/>
        </w:rPr>
        <w:t>I—Income-tax :</w:t>
      </w:r>
    </w:p>
    <w:p w14:paraId="664D5FAE" w14:textId="286EBA7D" w:rsidR="00964941" w:rsidRPr="00803F7A" w:rsidRDefault="00964941" w:rsidP="00803F7A">
      <w:pPr>
        <w:spacing w:after="0" w:line="300" w:lineRule="exact"/>
        <w:ind w:left="-142"/>
        <w:jc w:val="both"/>
        <w:rPr>
          <w:rFonts w:ascii="Times New Roman" w:hAnsi="Times New Roman" w:cs="Times New Roman"/>
          <w:sz w:val="28"/>
          <w:szCs w:val="22"/>
        </w:rPr>
      </w:pPr>
      <w:r w:rsidRPr="00803F7A">
        <w:rPr>
          <w:rFonts w:ascii="Times New Roman" w:hAnsi="Times New Roman" w:cs="Times New Roman"/>
          <w:sz w:val="28"/>
          <w:szCs w:val="22"/>
        </w:rPr>
        <w:t>(a) In respect of distribution of the unadjusted balance of advance tax collections upto the year 1966-67:</w:t>
      </w:r>
    </w:p>
    <w:p w14:paraId="415C8DA6" w14:textId="77777777" w:rsidR="00964941" w:rsidRPr="00803F7A" w:rsidRDefault="00964941" w:rsidP="00803F7A">
      <w:pPr>
        <w:spacing w:after="0" w:line="300" w:lineRule="exact"/>
        <w:ind w:left="720" w:hanging="436"/>
        <w:jc w:val="both"/>
        <w:rPr>
          <w:rFonts w:ascii="Times New Roman" w:hAnsi="Times New Roman" w:cs="Times New Roman"/>
          <w:sz w:val="28"/>
          <w:szCs w:val="22"/>
        </w:rPr>
      </w:pPr>
      <w:r w:rsidRPr="00803F7A">
        <w:rPr>
          <w:rFonts w:ascii="Times New Roman" w:hAnsi="Times New Roman" w:cs="Times New Roman"/>
          <w:sz w:val="28"/>
          <w:szCs w:val="22"/>
        </w:rPr>
        <w:t>(i) Out of the amount of such advance tax collections, as determined by the Comptroller and Auditor-General of India, a sum equal to 2 1/2 (two and a half) per cent thereof be deemed to be the portion which represents the proceeds attributable to Union territories, as constituted immediately prior to the Punjab Reorganisation Act, 1966;</w:t>
      </w:r>
    </w:p>
    <w:p w14:paraId="16B2E150" w14:textId="77777777" w:rsidR="00964941" w:rsidRPr="00803F7A" w:rsidRDefault="00964941" w:rsidP="00803F7A">
      <w:pPr>
        <w:spacing w:after="0" w:line="300" w:lineRule="exact"/>
        <w:ind w:left="720" w:hanging="436"/>
        <w:jc w:val="both"/>
        <w:rPr>
          <w:rFonts w:ascii="Times New Roman" w:hAnsi="Times New Roman" w:cs="Times New Roman"/>
          <w:sz w:val="28"/>
          <w:szCs w:val="22"/>
        </w:rPr>
      </w:pPr>
      <w:r w:rsidRPr="00803F7A">
        <w:rPr>
          <w:rFonts w:ascii="Times New Roman" w:hAnsi="Times New Roman" w:cs="Times New Roman"/>
          <w:sz w:val="28"/>
          <w:szCs w:val="22"/>
        </w:rPr>
        <w:t>(ii) The percentage of the amount of advance tax as determined by the Comptroller and Auditor-General of India except the portion attributable to Union territories, to be assigned to the States should be 75 (seventy-five) per cent:</w:t>
      </w:r>
    </w:p>
    <w:p w14:paraId="677A82E4" w14:textId="77777777" w:rsidR="00964941" w:rsidRPr="00803F7A" w:rsidRDefault="00964941" w:rsidP="00803F7A">
      <w:pPr>
        <w:spacing w:after="0" w:line="300" w:lineRule="exact"/>
        <w:ind w:left="720" w:hanging="436"/>
        <w:jc w:val="both"/>
        <w:rPr>
          <w:rFonts w:ascii="Times New Roman" w:hAnsi="Times New Roman" w:cs="Times New Roman"/>
          <w:sz w:val="28"/>
          <w:szCs w:val="22"/>
        </w:rPr>
      </w:pPr>
      <w:r w:rsidRPr="00803F7A">
        <w:rPr>
          <w:rFonts w:ascii="Times New Roman" w:hAnsi="Times New Roman" w:cs="Times New Roman"/>
          <w:sz w:val="28"/>
          <w:szCs w:val="22"/>
        </w:rPr>
        <w:t>(iii) The distribution among the States </w:t>
      </w:r>
      <w:r w:rsidRPr="00803F7A">
        <w:rPr>
          <w:rFonts w:ascii="Times New Roman" w:hAnsi="Times New Roman" w:cs="Times New Roman"/>
          <w:i/>
          <w:iCs/>
          <w:sz w:val="28"/>
          <w:szCs w:val="22"/>
        </w:rPr>
        <w:t>inter se</w:t>
      </w:r>
      <w:r w:rsidRPr="00803F7A">
        <w:rPr>
          <w:rFonts w:ascii="Times New Roman" w:hAnsi="Times New Roman" w:cs="Times New Roman"/>
          <w:sz w:val="28"/>
          <w:szCs w:val="22"/>
        </w:rPr>
        <w:t> of the share assigned to the States should be made on the basis of the percentages recommended by the Fourth Finance Commission, with appropriate adjustments in regard to the share of reorganised Punjab and Haryana States and Union territories in accordance with the Punjab Reorganisation Act, 1966;</w:t>
      </w:r>
    </w:p>
    <w:p w14:paraId="61FC53F2" w14:textId="77777777" w:rsidR="00964941" w:rsidRPr="00803F7A" w:rsidRDefault="00964941" w:rsidP="00803F7A">
      <w:pPr>
        <w:spacing w:after="0" w:line="300" w:lineRule="exact"/>
        <w:ind w:left="720" w:hanging="436"/>
        <w:jc w:val="both"/>
        <w:rPr>
          <w:rFonts w:ascii="Times New Roman" w:hAnsi="Times New Roman" w:cs="Times New Roman"/>
          <w:sz w:val="28"/>
          <w:szCs w:val="22"/>
        </w:rPr>
      </w:pPr>
      <w:r w:rsidRPr="00803F7A">
        <w:rPr>
          <w:rFonts w:ascii="Times New Roman" w:hAnsi="Times New Roman" w:cs="Times New Roman"/>
          <w:sz w:val="28"/>
          <w:szCs w:val="22"/>
        </w:rPr>
        <w:t>(iv) The share of each State should be paid to the State Government in three equal annual instalments during the years from 1971-72 to 1973-74.</w:t>
      </w:r>
    </w:p>
    <w:p w14:paraId="282D5311" w14:textId="77777777" w:rsidR="00964941" w:rsidRPr="00803F7A" w:rsidRDefault="00964941" w:rsidP="00803F7A">
      <w:pPr>
        <w:spacing w:before="240" w:after="0" w:line="300" w:lineRule="exact"/>
        <w:ind w:left="-142"/>
        <w:jc w:val="both"/>
        <w:rPr>
          <w:rFonts w:ascii="Times New Roman" w:hAnsi="Times New Roman" w:cs="Times New Roman"/>
          <w:sz w:val="28"/>
          <w:szCs w:val="22"/>
        </w:rPr>
      </w:pPr>
      <w:r w:rsidRPr="00803F7A">
        <w:rPr>
          <w:rFonts w:ascii="Times New Roman" w:hAnsi="Times New Roman" w:cs="Times New Roman"/>
          <w:sz w:val="28"/>
          <w:szCs w:val="22"/>
        </w:rPr>
        <w:t>(b) In respect of distribution between the Union and the States of the net proceeds of income-tax in the years 1967-68 and 1968-69, there should be no change in the distribution as prescribed in the Constitution (Distribution of Revenues) Order, 1965, in the event of the said net proceeds being certified by the Comptroller and Auditor-General of India on the revised basis;</w:t>
      </w:r>
    </w:p>
    <w:p w14:paraId="6DD87915" w14:textId="77777777" w:rsidR="00964941" w:rsidRPr="00803F7A" w:rsidRDefault="00964941" w:rsidP="00803F7A">
      <w:pPr>
        <w:spacing w:before="240" w:after="0" w:line="300" w:lineRule="exact"/>
        <w:ind w:left="-142"/>
        <w:jc w:val="both"/>
        <w:rPr>
          <w:rFonts w:ascii="Times New Roman" w:hAnsi="Times New Roman" w:cs="Times New Roman"/>
          <w:sz w:val="28"/>
          <w:szCs w:val="22"/>
        </w:rPr>
      </w:pPr>
      <w:r w:rsidRPr="00803F7A">
        <w:rPr>
          <w:rFonts w:ascii="Times New Roman" w:hAnsi="Times New Roman" w:cs="Times New Roman"/>
          <w:sz w:val="28"/>
          <w:szCs w:val="22"/>
        </w:rPr>
        <w:t>(c) In respect of the distribution of net proceeds of income-tax in the financial years from 1969-70 to 1973-74;</w:t>
      </w:r>
    </w:p>
    <w:p w14:paraId="24AA0687" w14:textId="77777777" w:rsidR="00964941" w:rsidRPr="00803F7A" w:rsidRDefault="00964941" w:rsidP="00803F7A">
      <w:pPr>
        <w:spacing w:after="0" w:line="300" w:lineRule="exact"/>
        <w:ind w:left="720" w:hanging="436"/>
        <w:jc w:val="both"/>
        <w:rPr>
          <w:rFonts w:ascii="Times New Roman" w:hAnsi="Times New Roman" w:cs="Times New Roman"/>
          <w:sz w:val="28"/>
          <w:szCs w:val="22"/>
        </w:rPr>
      </w:pPr>
      <w:r w:rsidRPr="00803F7A">
        <w:rPr>
          <w:rFonts w:ascii="Times New Roman" w:hAnsi="Times New Roman" w:cs="Times New Roman"/>
          <w:sz w:val="28"/>
          <w:szCs w:val="22"/>
        </w:rPr>
        <w:t>(i) Out of the net proceeds of taxes on income in each financial year, a sum equal to 2.6 per cent thereof be deemed to be the portion which represents the proceeds attributable to Union territories;</w:t>
      </w:r>
    </w:p>
    <w:p w14:paraId="29C9321A" w14:textId="082DE23E" w:rsidR="00964941" w:rsidRPr="00803F7A" w:rsidRDefault="00964941" w:rsidP="00803F7A">
      <w:pPr>
        <w:spacing w:after="0" w:line="300" w:lineRule="exact"/>
        <w:ind w:left="720" w:hanging="436"/>
        <w:jc w:val="both"/>
        <w:rPr>
          <w:rFonts w:ascii="Times New Roman" w:hAnsi="Times New Roman" w:cs="Times New Roman"/>
          <w:sz w:val="28"/>
          <w:szCs w:val="22"/>
        </w:rPr>
      </w:pPr>
      <w:r w:rsidRPr="00803F7A">
        <w:rPr>
          <w:rFonts w:ascii="Times New Roman" w:hAnsi="Times New Roman" w:cs="Times New Roman"/>
          <w:sz w:val="28"/>
          <w:szCs w:val="22"/>
        </w:rPr>
        <w:t>(ii) The percentage of the net proceeds of taxes on income, except the portion which represents proceeds attributable to Union territories, to be assigned to the States should be 75 (seventy-five) per cent: and</w:t>
      </w:r>
      <w:r w:rsidR="000A290F" w:rsidRPr="00803F7A">
        <w:rPr>
          <w:rFonts w:ascii="Times New Roman" w:hAnsi="Times New Roman" w:cs="Times New Roman"/>
          <w:sz w:val="28"/>
          <w:szCs w:val="22"/>
        </w:rPr>
        <w:t xml:space="preserve"> </w:t>
      </w:r>
    </w:p>
    <w:p w14:paraId="21C950B7" w14:textId="33EA09AC" w:rsidR="00803F7A" w:rsidRDefault="00BC5891" w:rsidP="00803F7A">
      <w:pPr>
        <w:spacing w:after="0" w:line="300" w:lineRule="exact"/>
        <w:ind w:left="720" w:hanging="436"/>
        <w:jc w:val="both"/>
        <w:rPr>
          <w:rFonts w:ascii="Times New Roman" w:hAnsi="Times New Roman" w:cs="Times New Roman"/>
          <w:sz w:val="28"/>
          <w:szCs w:val="22"/>
        </w:rPr>
      </w:pPr>
      <w:r w:rsidRPr="00803F7A">
        <w:rPr>
          <w:rFonts w:ascii="Times New Roman" w:hAnsi="Times New Roman" w:cs="Times New Roman"/>
          <w:sz w:val="28"/>
          <w:szCs w:val="22"/>
        </w:rPr>
        <w:t>(iii)</w:t>
      </w:r>
      <w:r w:rsidR="00803F7A">
        <w:rPr>
          <w:rFonts w:ascii="Times New Roman" w:hAnsi="Times New Roman" w:cs="Times New Roman"/>
          <w:sz w:val="28"/>
          <w:szCs w:val="22"/>
        </w:rPr>
        <w:t xml:space="preserve"> </w:t>
      </w:r>
      <w:r w:rsidRPr="00803F7A">
        <w:rPr>
          <w:rFonts w:ascii="Times New Roman" w:hAnsi="Times New Roman" w:cs="Times New Roman"/>
          <w:sz w:val="28"/>
          <w:szCs w:val="22"/>
        </w:rPr>
        <w:t>The distribution among the States inter se of the</w:t>
      </w:r>
      <w:r w:rsidR="00803F7A">
        <w:rPr>
          <w:rFonts w:ascii="Times New Roman" w:hAnsi="Times New Roman" w:cs="Times New Roman"/>
          <w:sz w:val="28"/>
          <w:szCs w:val="22"/>
        </w:rPr>
        <w:t xml:space="preserve"> </w:t>
      </w:r>
      <w:r w:rsidRPr="00803F7A">
        <w:rPr>
          <w:rFonts w:ascii="Times New Roman" w:hAnsi="Times New Roman" w:cs="Times New Roman"/>
          <w:sz w:val="28"/>
          <w:szCs w:val="22"/>
        </w:rPr>
        <w:t>share assigned to the States in respect of each financial</w:t>
      </w:r>
      <w:r w:rsidR="00803F7A">
        <w:rPr>
          <w:rFonts w:ascii="Times New Roman" w:hAnsi="Times New Roman" w:cs="Times New Roman"/>
          <w:sz w:val="28"/>
          <w:szCs w:val="22"/>
        </w:rPr>
        <w:t xml:space="preserve"> </w:t>
      </w:r>
      <w:r w:rsidRPr="00803F7A">
        <w:rPr>
          <w:rFonts w:ascii="Times New Roman" w:hAnsi="Times New Roman" w:cs="Times New Roman"/>
          <w:sz w:val="28"/>
          <w:szCs w:val="22"/>
        </w:rPr>
        <w:t>year should be made on the basis of the following</w:t>
      </w:r>
      <w:r w:rsidRPr="00803F7A">
        <w:rPr>
          <w:rFonts w:ascii="Times New Roman" w:hAnsi="Times New Roman" w:cs="Times New Roman"/>
          <w:sz w:val="28"/>
          <w:szCs w:val="22"/>
        </w:rPr>
        <w:br/>
        <w:t>percentages:</w:t>
      </w:r>
    </w:p>
    <w:p w14:paraId="3481DE5B" w14:textId="77777777" w:rsidR="00803F7A" w:rsidRDefault="00803F7A">
      <w:pPr>
        <w:rPr>
          <w:rFonts w:ascii="Times New Roman" w:hAnsi="Times New Roman" w:cs="Times New Roman"/>
          <w:sz w:val="28"/>
          <w:szCs w:val="22"/>
        </w:rPr>
      </w:pPr>
      <w:r>
        <w:rPr>
          <w:rFonts w:ascii="Times New Roman" w:hAnsi="Times New Roman" w:cs="Times New Roman"/>
          <w:sz w:val="28"/>
          <w:szCs w:val="22"/>
        </w:rPr>
        <w:br w:type="page"/>
      </w:r>
    </w:p>
    <w:tbl>
      <w:tblPr>
        <w:tblStyle w:val="TableGrid"/>
        <w:tblW w:w="5783" w:type="dxa"/>
        <w:jc w:val="center"/>
        <w:tblLook w:val="04A0" w:firstRow="1" w:lastRow="0" w:firstColumn="1" w:lastColumn="0" w:noHBand="0" w:noVBand="1"/>
      </w:tblPr>
      <w:tblGrid>
        <w:gridCol w:w="3417"/>
        <w:gridCol w:w="2366"/>
      </w:tblGrid>
      <w:tr w:rsidR="00BC5891" w:rsidRPr="00803F7A" w14:paraId="1E1D65B0" w14:textId="77777777" w:rsidTr="00803F7A">
        <w:trPr>
          <w:trHeight w:val="397"/>
          <w:jc w:val="center"/>
        </w:trPr>
        <w:tc>
          <w:tcPr>
            <w:tcW w:w="0" w:type="auto"/>
            <w:vAlign w:val="center"/>
            <w:hideMark/>
          </w:tcPr>
          <w:p w14:paraId="22B6892F" w14:textId="77777777" w:rsidR="00BC5891" w:rsidRPr="00803F7A" w:rsidRDefault="00BC5891" w:rsidP="00803F7A">
            <w:pPr>
              <w:ind w:left="720"/>
              <w:rPr>
                <w:rFonts w:ascii="Times New Roman" w:hAnsi="Times New Roman" w:cs="Times New Roman"/>
                <w:b/>
                <w:bCs/>
                <w:sz w:val="28"/>
                <w:szCs w:val="28"/>
              </w:rPr>
            </w:pPr>
            <w:r w:rsidRPr="00803F7A">
              <w:rPr>
                <w:rFonts w:ascii="Times New Roman" w:hAnsi="Times New Roman" w:cs="Times New Roman"/>
                <w:b/>
                <w:bCs/>
                <w:sz w:val="28"/>
                <w:szCs w:val="28"/>
              </w:rPr>
              <w:lastRenderedPageBreak/>
              <w:t>State</w:t>
            </w:r>
          </w:p>
        </w:tc>
        <w:tc>
          <w:tcPr>
            <w:tcW w:w="0" w:type="auto"/>
            <w:vAlign w:val="center"/>
            <w:hideMark/>
          </w:tcPr>
          <w:p w14:paraId="4FB99887" w14:textId="77777777" w:rsidR="00BC5891" w:rsidRPr="00803F7A" w:rsidRDefault="00BC5891" w:rsidP="00803F7A">
            <w:pPr>
              <w:ind w:left="720"/>
              <w:jc w:val="center"/>
              <w:rPr>
                <w:rFonts w:ascii="Times New Roman" w:hAnsi="Times New Roman" w:cs="Times New Roman"/>
                <w:b/>
                <w:bCs/>
                <w:sz w:val="28"/>
                <w:szCs w:val="28"/>
              </w:rPr>
            </w:pPr>
            <w:r w:rsidRPr="00803F7A">
              <w:rPr>
                <w:rFonts w:ascii="Times New Roman" w:hAnsi="Times New Roman" w:cs="Times New Roman"/>
                <w:b/>
                <w:bCs/>
                <w:sz w:val="28"/>
                <w:szCs w:val="28"/>
              </w:rPr>
              <w:t>Percentage</w:t>
            </w:r>
          </w:p>
        </w:tc>
      </w:tr>
      <w:tr w:rsidR="00BC5891" w:rsidRPr="00803F7A" w14:paraId="0AC1FF22" w14:textId="77777777" w:rsidTr="00803F7A">
        <w:trPr>
          <w:trHeight w:val="397"/>
          <w:jc w:val="center"/>
        </w:trPr>
        <w:tc>
          <w:tcPr>
            <w:tcW w:w="0" w:type="auto"/>
            <w:vAlign w:val="center"/>
            <w:hideMark/>
          </w:tcPr>
          <w:p w14:paraId="68D2C0F7" w14:textId="77777777" w:rsidR="00BC5891" w:rsidRPr="00803F7A" w:rsidRDefault="00BC5891" w:rsidP="00803F7A">
            <w:pPr>
              <w:ind w:left="720"/>
              <w:rPr>
                <w:rFonts w:ascii="Times New Roman" w:hAnsi="Times New Roman" w:cs="Times New Roman"/>
                <w:sz w:val="28"/>
                <w:szCs w:val="28"/>
              </w:rPr>
            </w:pPr>
            <w:r w:rsidRPr="00803F7A">
              <w:rPr>
                <w:rFonts w:ascii="Times New Roman" w:hAnsi="Times New Roman" w:cs="Times New Roman"/>
                <w:sz w:val="28"/>
                <w:szCs w:val="28"/>
              </w:rPr>
              <w:t>Andhra Pradesh</w:t>
            </w:r>
          </w:p>
        </w:tc>
        <w:tc>
          <w:tcPr>
            <w:tcW w:w="0" w:type="auto"/>
            <w:vAlign w:val="center"/>
            <w:hideMark/>
          </w:tcPr>
          <w:p w14:paraId="7841AE20" w14:textId="77777777" w:rsidR="00BC5891" w:rsidRPr="00803F7A" w:rsidRDefault="00BC5891" w:rsidP="00803F7A">
            <w:pPr>
              <w:ind w:left="720"/>
              <w:jc w:val="center"/>
              <w:rPr>
                <w:rFonts w:ascii="Times New Roman" w:hAnsi="Times New Roman" w:cs="Times New Roman"/>
                <w:sz w:val="28"/>
                <w:szCs w:val="28"/>
              </w:rPr>
            </w:pPr>
            <w:r w:rsidRPr="00803F7A">
              <w:rPr>
                <w:rFonts w:ascii="Times New Roman" w:hAnsi="Times New Roman" w:cs="Times New Roman"/>
                <w:sz w:val="28"/>
                <w:szCs w:val="28"/>
              </w:rPr>
              <w:t>8.01</w:t>
            </w:r>
          </w:p>
        </w:tc>
      </w:tr>
      <w:tr w:rsidR="00BC5891" w:rsidRPr="00803F7A" w14:paraId="06AC0756" w14:textId="77777777" w:rsidTr="00803F7A">
        <w:trPr>
          <w:trHeight w:val="397"/>
          <w:jc w:val="center"/>
        </w:trPr>
        <w:tc>
          <w:tcPr>
            <w:tcW w:w="0" w:type="auto"/>
            <w:vAlign w:val="center"/>
            <w:hideMark/>
          </w:tcPr>
          <w:p w14:paraId="4F65786B" w14:textId="77777777" w:rsidR="00BC5891" w:rsidRPr="00803F7A" w:rsidRDefault="00BC5891" w:rsidP="00803F7A">
            <w:pPr>
              <w:ind w:left="720"/>
              <w:rPr>
                <w:rFonts w:ascii="Times New Roman" w:hAnsi="Times New Roman" w:cs="Times New Roman"/>
                <w:sz w:val="28"/>
                <w:szCs w:val="28"/>
              </w:rPr>
            </w:pPr>
            <w:r w:rsidRPr="00803F7A">
              <w:rPr>
                <w:rFonts w:ascii="Times New Roman" w:hAnsi="Times New Roman" w:cs="Times New Roman"/>
                <w:sz w:val="28"/>
                <w:szCs w:val="28"/>
              </w:rPr>
              <w:t>Assam</w:t>
            </w:r>
          </w:p>
        </w:tc>
        <w:tc>
          <w:tcPr>
            <w:tcW w:w="0" w:type="auto"/>
            <w:vAlign w:val="center"/>
            <w:hideMark/>
          </w:tcPr>
          <w:p w14:paraId="02C97C23" w14:textId="77777777" w:rsidR="00BC5891" w:rsidRPr="00803F7A" w:rsidRDefault="00BC5891" w:rsidP="00803F7A">
            <w:pPr>
              <w:ind w:left="720"/>
              <w:jc w:val="center"/>
              <w:rPr>
                <w:rFonts w:ascii="Times New Roman" w:hAnsi="Times New Roman" w:cs="Times New Roman"/>
                <w:sz w:val="28"/>
                <w:szCs w:val="28"/>
              </w:rPr>
            </w:pPr>
            <w:r w:rsidRPr="00803F7A">
              <w:rPr>
                <w:rFonts w:ascii="Times New Roman" w:hAnsi="Times New Roman" w:cs="Times New Roman"/>
                <w:sz w:val="28"/>
                <w:szCs w:val="28"/>
              </w:rPr>
              <w:t>2.67</w:t>
            </w:r>
          </w:p>
        </w:tc>
      </w:tr>
      <w:tr w:rsidR="00BC5891" w:rsidRPr="00803F7A" w14:paraId="3A52CF9E" w14:textId="77777777" w:rsidTr="00803F7A">
        <w:trPr>
          <w:trHeight w:val="397"/>
          <w:jc w:val="center"/>
        </w:trPr>
        <w:tc>
          <w:tcPr>
            <w:tcW w:w="0" w:type="auto"/>
            <w:vAlign w:val="center"/>
            <w:hideMark/>
          </w:tcPr>
          <w:p w14:paraId="10A21FB3" w14:textId="77777777" w:rsidR="00BC5891" w:rsidRPr="00803F7A" w:rsidRDefault="00BC5891" w:rsidP="00803F7A">
            <w:pPr>
              <w:ind w:left="720"/>
              <w:rPr>
                <w:rFonts w:ascii="Times New Roman" w:hAnsi="Times New Roman" w:cs="Times New Roman"/>
                <w:sz w:val="28"/>
                <w:szCs w:val="28"/>
              </w:rPr>
            </w:pPr>
            <w:r w:rsidRPr="00803F7A">
              <w:rPr>
                <w:rFonts w:ascii="Times New Roman" w:hAnsi="Times New Roman" w:cs="Times New Roman"/>
                <w:sz w:val="28"/>
                <w:szCs w:val="28"/>
              </w:rPr>
              <w:t>Bihar</w:t>
            </w:r>
          </w:p>
        </w:tc>
        <w:tc>
          <w:tcPr>
            <w:tcW w:w="0" w:type="auto"/>
            <w:vAlign w:val="center"/>
            <w:hideMark/>
          </w:tcPr>
          <w:p w14:paraId="36A6DC00" w14:textId="77777777" w:rsidR="00BC5891" w:rsidRPr="00803F7A" w:rsidRDefault="00BC5891" w:rsidP="00803F7A">
            <w:pPr>
              <w:ind w:left="720"/>
              <w:jc w:val="center"/>
              <w:rPr>
                <w:rFonts w:ascii="Times New Roman" w:hAnsi="Times New Roman" w:cs="Times New Roman"/>
                <w:sz w:val="28"/>
                <w:szCs w:val="28"/>
              </w:rPr>
            </w:pPr>
            <w:r w:rsidRPr="00803F7A">
              <w:rPr>
                <w:rFonts w:ascii="Times New Roman" w:hAnsi="Times New Roman" w:cs="Times New Roman"/>
                <w:sz w:val="28"/>
                <w:szCs w:val="28"/>
              </w:rPr>
              <w:t>9.99</w:t>
            </w:r>
          </w:p>
        </w:tc>
      </w:tr>
      <w:tr w:rsidR="00BC5891" w:rsidRPr="00803F7A" w14:paraId="7FD3BE50" w14:textId="77777777" w:rsidTr="00803F7A">
        <w:trPr>
          <w:trHeight w:val="397"/>
          <w:jc w:val="center"/>
        </w:trPr>
        <w:tc>
          <w:tcPr>
            <w:tcW w:w="0" w:type="auto"/>
            <w:vAlign w:val="center"/>
            <w:hideMark/>
          </w:tcPr>
          <w:p w14:paraId="15F3B9DE" w14:textId="77777777" w:rsidR="00BC5891" w:rsidRPr="00803F7A" w:rsidRDefault="00BC5891" w:rsidP="00803F7A">
            <w:pPr>
              <w:ind w:left="720"/>
              <w:rPr>
                <w:rFonts w:ascii="Times New Roman" w:hAnsi="Times New Roman" w:cs="Times New Roman"/>
                <w:sz w:val="28"/>
                <w:szCs w:val="28"/>
              </w:rPr>
            </w:pPr>
            <w:r w:rsidRPr="00803F7A">
              <w:rPr>
                <w:rFonts w:ascii="Times New Roman" w:hAnsi="Times New Roman" w:cs="Times New Roman"/>
                <w:sz w:val="28"/>
                <w:szCs w:val="28"/>
              </w:rPr>
              <w:t>Gujarat</w:t>
            </w:r>
          </w:p>
        </w:tc>
        <w:tc>
          <w:tcPr>
            <w:tcW w:w="0" w:type="auto"/>
            <w:vAlign w:val="center"/>
            <w:hideMark/>
          </w:tcPr>
          <w:p w14:paraId="422E287B" w14:textId="0F430F4E" w:rsidR="00BC5891" w:rsidRPr="00803F7A" w:rsidRDefault="00BC5891" w:rsidP="00803F7A">
            <w:pPr>
              <w:ind w:left="720"/>
              <w:jc w:val="center"/>
              <w:rPr>
                <w:rFonts w:ascii="Times New Roman" w:hAnsi="Times New Roman" w:cs="Times New Roman"/>
                <w:sz w:val="28"/>
                <w:szCs w:val="28"/>
              </w:rPr>
            </w:pPr>
            <w:r w:rsidRPr="00803F7A">
              <w:rPr>
                <w:rFonts w:ascii="Times New Roman" w:hAnsi="Times New Roman" w:cs="Times New Roman"/>
                <w:sz w:val="28"/>
                <w:szCs w:val="28"/>
              </w:rPr>
              <w:t>5.13</w:t>
            </w:r>
          </w:p>
        </w:tc>
      </w:tr>
      <w:tr w:rsidR="00BC5891" w:rsidRPr="00803F7A" w14:paraId="553DBCE4" w14:textId="77777777" w:rsidTr="00803F7A">
        <w:trPr>
          <w:trHeight w:val="397"/>
          <w:jc w:val="center"/>
        </w:trPr>
        <w:tc>
          <w:tcPr>
            <w:tcW w:w="0" w:type="auto"/>
            <w:vAlign w:val="center"/>
            <w:hideMark/>
          </w:tcPr>
          <w:p w14:paraId="7938F5C6" w14:textId="77777777" w:rsidR="00BC5891" w:rsidRPr="00803F7A" w:rsidRDefault="00BC5891" w:rsidP="00803F7A">
            <w:pPr>
              <w:ind w:left="720"/>
              <w:rPr>
                <w:rFonts w:ascii="Times New Roman" w:hAnsi="Times New Roman" w:cs="Times New Roman"/>
                <w:sz w:val="28"/>
                <w:szCs w:val="28"/>
              </w:rPr>
            </w:pPr>
            <w:r w:rsidRPr="00803F7A">
              <w:rPr>
                <w:rFonts w:ascii="Times New Roman" w:hAnsi="Times New Roman" w:cs="Times New Roman"/>
                <w:sz w:val="28"/>
                <w:szCs w:val="28"/>
              </w:rPr>
              <w:t>Haryana</w:t>
            </w:r>
          </w:p>
        </w:tc>
        <w:tc>
          <w:tcPr>
            <w:tcW w:w="0" w:type="auto"/>
            <w:vAlign w:val="center"/>
            <w:hideMark/>
          </w:tcPr>
          <w:p w14:paraId="1939B0BB" w14:textId="77777777" w:rsidR="00BC5891" w:rsidRPr="00803F7A" w:rsidRDefault="00BC5891" w:rsidP="00803F7A">
            <w:pPr>
              <w:ind w:left="720"/>
              <w:jc w:val="center"/>
              <w:rPr>
                <w:rFonts w:ascii="Times New Roman" w:hAnsi="Times New Roman" w:cs="Times New Roman"/>
                <w:sz w:val="28"/>
                <w:szCs w:val="28"/>
              </w:rPr>
            </w:pPr>
            <w:r w:rsidRPr="00803F7A">
              <w:rPr>
                <w:rFonts w:ascii="Times New Roman" w:hAnsi="Times New Roman" w:cs="Times New Roman"/>
                <w:sz w:val="28"/>
                <w:szCs w:val="28"/>
              </w:rPr>
              <w:t>1.73</w:t>
            </w:r>
          </w:p>
        </w:tc>
      </w:tr>
      <w:tr w:rsidR="00BC5891" w:rsidRPr="00803F7A" w14:paraId="13C80760" w14:textId="77777777" w:rsidTr="00803F7A">
        <w:trPr>
          <w:trHeight w:val="397"/>
          <w:jc w:val="center"/>
        </w:trPr>
        <w:tc>
          <w:tcPr>
            <w:tcW w:w="0" w:type="auto"/>
            <w:vAlign w:val="center"/>
            <w:hideMark/>
          </w:tcPr>
          <w:p w14:paraId="3C845131" w14:textId="77777777" w:rsidR="00BC5891" w:rsidRPr="00803F7A" w:rsidRDefault="00BC5891" w:rsidP="00803F7A">
            <w:pPr>
              <w:ind w:left="720"/>
              <w:rPr>
                <w:rFonts w:ascii="Times New Roman" w:hAnsi="Times New Roman" w:cs="Times New Roman"/>
                <w:sz w:val="28"/>
                <w:szCs w:val="28"/>
              </w:rPr>
            </w:pPr>
            <w:r w:rsidRPr="00803F7A">
              <w:rPr>
                <w:rFonts w:ascii="Times New Roman" w:hAnsi="Times New Roman" w:cs="Times New Roman"/>
                <w:sz w:val="28"/>
                <w:szCs w:val="28"/>
              </w:rPr>
              <w:t>Jammu and Kashmir</w:t>
            </w:r>
          </w:p>
        </w:tc>
        <w:tc>
          <w:tcPr>
            <w:tcW w:w="0" w:type="auto"/>
            <w:vAlign w:val="center"/>
            <w:hideMark/>
          </w:tcPr>
          <w:p w14:paraId="3B2BA0E3" w14:textId="77777777" w:rsidR="00BC5891" w:rsidRPr="00803F7A" w:rsidRDefault="00BC5891" w:rsidP="00803F7A">
            <w:pPr>
              <w:ind w:left="720"/>
              <w:jc w:val="center"/>
              <w:rPr>
                <w:rFonts w:ascii="Times New Roman" w:hAnsi="Times New Roman" w:cs="Times New Roman"/>
                <w:sz w:val="28"/>
                <w:szCs w:val="28"/>
              </w:rPr>
            </w:pPr>
            <w:r w:rsidRPr="00803F7A">
              <w:rPr>
                <w:rFonts w:ascii="Times New Roman" w:hAnsi="Times New Roman" w:cs="Times New Roman"/>
                <w:sz w:val="28"/>
                <w:szCs w:val="28"/>
              </w:rPr>
              <w:t>0.79</w:t>
            </w:r>
          </w:p>
        </w:tc>
      </w:tr>
      <w:tr w:rsidR="00BC5891" w:rsidRPr="00803F7A" w14:paraId="491E0BCF" w14:textId="77777777" w:rsidTr="00803F7A">
        <w:trPr>
          <w:trHeight w:val="397"/>
          <w:jc w:val="center"/>
        </w:trPr>
        <w:tc>
          <w:tcPr>
            <w:tcW w:w="0" w:type="auto"/>
            <w:vAlign w:val="center"/>
            <w:hideMark/>
          </w:tcPr>
          <w:p w14:paraId="7BCF985B" w14:textId="77777777" w:rsidR="00BC5891" w:rsidRPr="00803F7A" w:rsidRDefault="00BC5891" w:rsidP="00803F7A">
            <w:pPr>
              <w:ind w:left="720"/>
              <w:rPr>
                <w:rFonts w:ascii="Times New Roman" w:hAnsi="Times New Roman" w:cs="Times New Roman"/>
                <w:sz w:val="28"/>
                <w:szCs w:val="28"/>
              </w:rPr>
            </w:pPr>
            <w:r w:rsidRPr="00803F7A">
              <w:rPr>
                <w:rFonts w:ascii="Times New Roman" w:hAnsi="Times New Roman" w:cs="Times New Roman"/>
                <w:sz w:val="28"/>
                <w:szCs w:val="28"/>
              </w:rPr>
              <w:t>Kerala</w:t>
            </w:r>
          </w:p>
        </w:tc>
        <w:tc>
          <w:tcPr>
            <w:tcW w:w="0" w:type="auto"/>
            <w:vAlign w:val="center"/>
            <w:hideMark/>
          </w:tcPr>
          <w:p w14:paraId="6614DAE2" w14:textId="77777777" w:rsidR="00BC5891" w:rsidRPr="00803F7A" w:rsidRDefault="00BC5891" w:rsidP="00803F7A">
            <w:pPr>
              <w:ind w:left="720"/>
              <w:jc w:val="center"/>
              <w:rPr>
                <w:rFonts w:ascii="Times New Roman" w:hAnsi="Times New Roman" w:cs="Times New Roman"/>
                <w:sz w:val="28"/>
                <w:szCs w:val="28"/>
              </w:rPr>
            </w:pPr>
            <w:r w:rsidRPr="00803F7A">
              <w:rPr>
                <w:rFonts w:ascii="Times New Roman" w:hAnsi="Times New Roman" w:cs="Times New Roman"/>
                <w:sz w:val="28"/>
                <w:szCs w:val="28"/>
              </w:rPr>
              <w:t>3.83</w:t>
            </w:r>
          </w:p>
        </w:tc>
      </w:tr>
      <w:tr w:rsidR="00BC5891" w:rsidRPr="00803F7A" w14:paraId="12E7B0F6" w14:textId="77777777" w:rsidTr="00803F7A">
        <w:trPr>
          <w:trHeight w:val="397"/>
          <w:jc w:val="center"/>
        </w:trPr>
        <w:tc>
          <w:tcPr>
            <w:tcW w:w="0" w:type="auto"/>
            <w:vAlign w:val="center"/>
            <w:hideMark/>
          </w:tcPr>
          <w:p w14:paraId="20B7D9C5" w14:textId="77777777" w:rsidR="00BC5891" w:rsidRPr="00803F7A" w:rsidRDefault="00BC5891" w:rsidP="00803F7A">
            <w:pPr>
              <w:ind w:left="720"/>
              <w:rPr>
                <w:rFonts w:ascii="Times New Roman" w:hAnsi="Times New Roman" w:cs="Times New Roman"/>
                <w:sz w:val="28"/>
                <w:szCs w:val="28"/>
              </w:rPr>
            </w:pPr>
            <w:r w:rsidRPr="00803F7A">
              <w:rPr>
                <w:rFonts w:ascii="Times New Roman" w:hAnsi="Times New Roman" w:cs="Times New Roman"/>
                <w:sz w:val="28"/>
                <w:szCs w:val="28"/>
              </w:rPr>
              <w:t>Madhya Pradesh</w:t>
            </w:r>
          </w:p>
        </w:tc>
        <w:tc>
          <w:tcPr>
            <w:tcW w:w="0" w:type="auto"/>
            <w:vAlign w:val="center"/>
            <w:hideMark/>
          </w:tcPr>
          <w:p w14:paraId="482A1EAD" w14:textId="77777777" w:rsidR="00BC5891" w:rsidRPr="00803F7A" w:rsidRDefault="00BC5891" w:rsidP="00803F7A">
            <w:pPr>
              <w:ind w:left="720"/>
              <w:jc w:val="center"/>
              <w:rPr>
                <w:rFonts w:ascii="Times New Roman" w:hAnsi="Times New Roman" w:cs="Times New Roman"/>
                <w:sz w:val="28"/>
                <w:szCs w:val="28"/>
              </w:rPr>
            </w:pPr>
            <w:r w:rsidRPr="00803F7A">
              <w:rPr>
                <w:rFonts w:ascii="Times New Roman" w:hAnsi="Times New Roman" w:cs="Times New Roman"/>
                <w:sz w:val="28"/>
                <w:szCs w:val="28"/>
              </w:rPr>
              <w:t>7.09</w:t>
            </w:r>
          </w:p>
        </w:tc>
      </w:tr>
      <w:tr w:rsidR="00BC5891" w:rsidRPr="00803F7A" w14:paraId="04AAF699" w14:textId="77777777" w:rsidTr="00803F7A">
        <w:trPr>
          <w:trHeight w:val="397"/>
          <w:jc w:val="center"/>
        </w:trPr>
        <w:tc>
          <w:tcPr>
            <w:tcW w:w="0" w:type="auto"/>
            <w:vAlign w:val="center"/>
            <w:hideMark/>
          </w:tcPr>
          <w:p w14:paraId="5D7C863C" w14:textId="77777777" w:rsidR="00BC5891" w:rsidRPr="00803F7A" w:rsidRDefault="00BC5891" w:rsidP="00803F7A">
            <w:pPr>
              <w:ind w:left="720"/>
              <w:rPr>
                <w:rFonts w:ascii="Times New Roman" w:hAnsi="Times New Roman" w:cs="Times New Roman"/>
                <w:sz w:val="28"/>
                <w:szCs w:val="28"/>
              </w:rPr>
            </w:pPr>
            <w:r w:rsidRPr="00803F7A">
              <w:rPr>
                <w:rFonts w:ascii="Times New Roman" w:hAnsi="Times New Roman" w:cs="Times New Roman"/>
                <w:sz w:val="28"/>
                <w:szCs w:val="28"/>
              </w:rPr>
              <w:t>Maharashtra</w:t>
            </w:r>
          </w:p>
        </w:tc>
        <w:tc>
          <w:tcPr>
            <w:tcW w:w="0" w:type="auto"/>
            <w:vAlign w:val="center"/>
            <w:hideMark/>
          </w:tcPr>
          <w:p w14:paraId="0D36A6D5" w14:textId="77777777" w:rsidR="00BC5891" w:rsidRPr="00803F7A" w:rsidRDefault="00BC5891" w:rsidP="00803F7A">
            <w:pPr>
              <w:ind w:left="720"/>
              <w:jc w:val="center"/>
              <w:rPr>
                <w:rFonts w:ascii="Times New Roman" w:hAnsi="Times New Roman" w:cs="Times New Roman"/>
                <w:sz w:val="28"/>
                <w:szCs w:val="28"/>
              </w:rPr>
            </w:pPr>
            <w:r w:rsidRPr="00803F7A">
              <w:rPr>
                <w:rFonts w:ascii="Times New Roman" w:hAnsi="Times New Roman" w:cs="Times New Roman"/>
                <w:sz w:val="28"/>
                <w:szCs w:val="28"/>
              </w:rPr>
              <w:t>11.34</w:t>
            </w:r>
          </w:p>
        </w:tc>
      </w:tr>
      <w:tr w:rsidR="00BC5891" w:rsidRPr="00803F7A" w14:paraId="1FD0AE3D" w14:textId="77777777" w:rsidTr="00803F7A">
        <w:trPr>
          <w:trHeight w:val="397"/>
          <w:jc w:val="center"/>
        </w:trPr>
        <w:tc>
          <w:tcPr>
            <w:tcW w:w="0" w:type="auto"/>
            <w:vAlign w:val="center"/>
            <w:hideMark/>
          </w:tcPr>
          <w:p w14:paraId="2DC30E6B" w14:textId="77777777" w:rsidR="00BC5891" w:rsidRPr="00803F7A" w:rsidRDefault="00BC5891" w:rsidP="00803F7A">
            <w:pPr>
              <w:ind w:left="720"/>
              <w:rPr>
                <w:rFonts w:ascii="Times New Roman" w:hAnsi="Times New Roman" w:cs="Times New Roman"/>
                <w:sz w:val="28"/>
                <w:szCs w:val="28"/>
              </w:rPr>
            </w:pPr>
            <w:r w:rsidRPr="00803F7A">
              <w:rPr>
                <w:rFonts w:ascii="Times New Roman" w:hAnsi="Times New Roman" w:cs="Times New Roman"/>
                <w:sz w:val="28"/>
                <w:szCs w:val="28"/>
              </w:rPr>
              <w:t>Mysore</w:t>
            </w:r>
          </w:p>
        </w:tc>
        <w:tc>
          <w:tcPr>
            <w:tcW w:w="0" w:type="auto"/>
            <w:vAlign w:val="center"/>
            <w:hideMark/>
          </w:tcPr>
          <w:p w14:paraId="2F0CF99C" w14:textId="20C66E50" w:rsidR="00BC5891" w:rsidRPr="00803F7A" w:rsidRDefault="00BC5891" w:rsidP="00803F7A">
            <w:pPr>
              <w:ind w:left="720"/>
              <w:jc w:val="center"/>
              <w:rPr>
                <w:rFonts w:ascii="Times New Roman" w:hAnsi="Times New Roman" w:cs="Times New Roman"/>
                <w:sz w:val="28"/>
                <w:szCs w:val="28"/>
              </w:rPr>
            </w:pPr>
            <w:r w:rsidRPr="00803F7A">
              <w:rPr>
                <w:rFonts w:ascii="Times New Roman" w:hAnsi="Times New Roman" w:cs="Times New Roman"/>
                <w:sz w:val="28"/>
                <w:szCs w:val="28"/>
              </w:rPr>
              <w:t>5</w:t>
            </w:r>
            <w:r w:rsidR="00803F7A">
              <w:rPr>
                <w:rFonts w:ascii="Times New Roman" w:hAnsi="Times New Roman" w:cs="Times New Roman"/>
                <w:sz w:val="28"/>
                <w:szCs w:val="28"/>
              </w:rPr>
              <w:t>.</w:t>
            </w:r>
            <w:r w:rsidRPr="00803F7A">
              <w:rPr>
                <w:rFonts w:ascii="Times New Roman" w:hAnsi="Times New Roman" w:cs="Times New Roman"/>
                <w:sz w:val="28"/>
                <w:szCs w:val="28"/>
              </w:rPr>
              <w:t>40</w:t>
            </w:r>
          </w:p>
        </w:tc>
      </w:tr>
      <w:tr w:rsidR="00BC5891" w:rsidRPr="00803F7A" w14:paraId="1346ADB7" w14:textId="77777777" w:rsidTr="00803F7A">
        <w:trPr>
          <w:trHeight w:val="397"/>
          <w:jc w:val="center"/>
        </w:trPr>
        <w:tc>
          <w:tcPr>
            <w:tcW w:w="0" w:type="auto"/>
            <w:vAlign w:val="center"/>
            <w:hideMark/>
          </w:tcPr>
          <w:p w14:paraId="23B92876" w14:textId="77777777" w:rsidR="00BC5891" w:rsidRPr="00803F7A" w:rsidRDefault="00BC5891" w:rsidP="00803F7A">
            <w:pPr>
              <w:ind w:left="720"/>
              <w:rPr>
                <w:rFonts w:ascii="Times New Roman" w:hAnsi="Times New Roman" w:cs="Times New Roman"/>
                <w:sz w:val="28"/>
                <w:szCs w:val="28"/>
              </w:rPr>
            </w:pPr>
            <w:r w:rsidRPr="00803F7A">
              <w:rPr>
                <w:rFonts w:ascii="Times New Roman" w:hAnsi="Times New Roman" w:cs="Times New Roman"/>
                <w:sz w:val="28"/>
                <w:szCs w:val="28"/>
              </w:rPr>
              <w:t>Nagaland</w:t>
            </w:r>
          </w:p>
        </w:tc>
        <w:tc>
          <w:tcPr>
            <w:tcW w:w="0" w:type="auto"/>
            <w:vAlign w:val="center"/>
            <w:hideMark/>
          </w:tcPr>
          <w:p w14:paraId="11520997" w14:textId="77777777" w:rsidR="00BC5891" w:rsidRPr="00803F7A" w:rsidRDefault="00BC5891" w:rsidP="00803F7A">
            <w:pPr>
              <w:ind w:left="720"/>
              <w:jc w:val="center"/>
              <w:rPr>
                <w:rFonts w:ascii="Times New Roman" w:hAnsi="Times New Roman" w:cs="Times New Roman"/>
                <w:sz w:val="28"/>
                <w:szCs w:val="28"/>
              </w:rPr>
            </w:pPr>
            <w:r w:rsidRPr="00803F7A">
              <w:rPr>
                <w:rFonts w:ascii="Times New Roman" w:hAnsi="Times New Roman" w:cs="Times New Roman"/>
                <w:sz w:val="28"/>
                <w:szCs w:val="28"/>
              </w:rPr>
              <w:t>0.08</w:t>
            </w:r>
          </w:p>
        </w:tc>
      </w:tr>
      <w:tr w:rsidR="00BC5891" w:rsidRPr="00803F7A" w14:paraId="3C7CD96A" w14:textId="77777777" w:rsidTr="00803F7A">
        <w:trPr>
          <w:trHeight w:val="397"/>
          <w:jc w:val="center"/>
        </w:trPr>
        <w:tc>
          <w:tcPr>
            <w:tcW w:w="0" w:type="auto"/>
            <w:vAlign w:val="center"/>
            <w:hideMark/>
          </w:tcPr>
          <w:p w14:paraId="19830060" w14:textId="77777777" w:rsidR="00BC5891" w:rsidRPr="00803F7A" w:rsidRDefault="00BC5891" w:rsidP="00803F7A">
            <w:pPr>
              <w:ind w:left="720"/>
              <w:rPr>
                <w:rFonts w:ascii="Times New Roman" w:hAnsi="Times New Roman" w:cs="Times New Roman"/>
                <w:sz w:val="28"/>
                <w:szCs w:val="28"/>
              </w:rPr>
            </w:pPr>
            <w:r w:rsidRPr="00803F7A">
              <w:rPr>
                <w:rFonts w:ascii="Times New Roman" w:hAnsi="Times New Roman" w:cs="Times New Roman"/>
                <w:sz w:val="28"/>
                <w:szCs w:val="28"/>
              </w:rPr>
              <w:t>Orissa</w:t>
            </w:r>
          </w:p>
        </w:tc>
        <w:tc>
          <w:tcPr>
            <w:tcW w:w="0" w:type="auto"/>
            <w:vAlign w:val="center"/>
            <w:hideMark/>
          </w:tcPr>
          <w:p w14:paraId="51B233DF" w14:textId="77777777" w:rsidR="00BC5891" w:rsidRPr="00803F7A" w:rsidRDefault="00BC5891" w:rsidP="00803F7A">
            <w:pPr>
              <w:ind w:left="720"/>
              <w:jc w:val="center"/>
              <w:rPr>
                <w:rFonts w:ascii="Times New Roman" w:hAnsi="Times New Roman" w:cs="Times New Roman"/>
                <w:sz w:val="28"/>
                <w:szCs w:val="28"/>
              </w:rPr>
            </w:pPr>
            <w:r w:rsidRPr="00803F7A">
              <w:rPr>
                <w:rFonts w:ascii="Times New Roman" w:hAnsi="Times New Roman" w:cs="Times New Roman"/>
                <w:sz w:val="28"/>
                <w:szCs w:val="28"/>
              </w:rPr>
              <w:t>3.75</w:t>
            </w:r>
          </w:p>
        </w:tc>
      </w:tr>
      <w:tr w:rsidR="00BC5891" w:rsidRPr="00803F7A" w14:paraId="15823B90" w14:textId="77777777" w:rsidTr="00803F7A">
        <w:trPr>
          <w:trHeight w:val="397"/>
          <w:jc w:val="center"/>
        </w:trPr>
        <w:tc>
          <w:tcPr>
            <w:tcW w:w="0" w:type="auto"/>
            <w:vAlign w:val="center"/>
            <w:hideMark/>
          </w:tcPr>
          <w:p w14:paraId="1CAD8476" w14:textId="77777777" w:rsidR="00BC5891" w:rsidRPr="00803F7A" w:rsidRDefault="00BC5891" w:rsidP="00803F7A">
            <w:pPr>
              <w:ind w:left="720"/>
              <w:rPr>
                <w:rFonts w:ascii="Times New Roman" w:hAnsi="Times New Roman" w:cs="Times New Roman"/>
                <w:sz w:val="28"/>
                <w:szCs w:val="28"/>
              </w:rPr>
            </w:pPr>
            <w:r w:rsidRPr="00803F7A">
              <w:rPr>
                <w:rFonts w:ascii="Times New Roman" w:hAnsi="Times New Roman" w:cs="Times New Roman"/>
                <w:sz w:val="28"/>
                <w:szCs w:val="28"/>
              </w:rPr>
              <w:t>Punjab</w:t>
            </w:r>
          </w:p>
        </w:tc>
        <w:tc>
          <w:tcPr>
            <w:tcW w:w="0" w:type="auto"/>
            <w:vAlign w:val="center"/>
            <w:hideMark/>
          </w:tcPr>
          <w:p w14:paraId="47BF6B3F" w14:textId="77777777" w:rsidR="00BC5891" w:rsidRPr="00803F7A" w:rsidRDefault="00BC5891" w:rsidP="00803F7A">
            <w:pPr>
              <w:ind w:left="720"/>
              <w:jc w:val="center"/>
              <w:rPr>
                <w:rFonts w:ascii="Times New Roman" w:hAnsi="Times New Roman" w:cs="Times New Roman"/>
                <w:sz w:val="28"/>
                <w:szCs w:val="28"/>
              </w:rPr>
            </w:pPr>
            <w:r w:rsidRPr="00803F7A">
              <w:rPr>
                <w:rFonts w:ascii="Times New Roman" w:hAnsi="Times New Roman" w:cs="Times New Roman"/>
                <w:sz w:val="28"/>
                <w:szCs w:val="28"/>
              </w:rPr>
              <w:t>2.55</w:t>
            </w:r>
          </w:p>
        </w:tc>
      </w:tr>
      <w:tr w:rsidR="00BC5891" w:rsidRPr="00803F7A" w14:paraId="1F91EC7E" w14:textId="77777777" w:rsidTr="00803F7A">
        <w:trPr>
          <w:trHeight w:val="397"/>
          <w:jc w:val="center"/>
        </w:trPr>
        <w:tc>
          <w:tcPr>
            <w:tcW w:w="0" w:type="auto"/>
            <w:vAlign w:val="center"/>
            <w:hideMark/>
          </w:tcPr>
          <w:p w14:paraId="4033B777" w14:textId="77777777" w:rsidR="00BC5891" w:rsidRPr="00803F7A" w:rsidRDefault="00BC5891" w:rsidP="00803F7A">
            <w:pPr>
              <w:ind w:left="720"/>
              <w:rPr>
                <w:rFonts w:ascii="Times New Roman" w:hAnsi="Times New Roman" w:cs="Times New Roman"/>
                <w:sz w:val="28"/>
                <w:szCs w:val="28"/>
              </w:rPr>
            </w:pPr>
            <w:r w:rsidRPr="00803F7A">
              <w:rPr>
                <w:rFonts w:ascii="Times New Roman" w:hAnsi="Times New Roman" w:cs="Times New Roman"/>
                <w:sz w:val="28"/>
                <w:szCs w:val="28"/>
              </w:rPr>
              <w:t>Rajasthan</w:t>
            </w:r>
          </w:p>
        </w:tc>
        <w:tc>
          <w:tcPr>
            <w:tcW w:w="0" w:type="auto"/>
            <w:vAlign w:val="center"/>
            <w:hideMark/>
          </w:tcPr>
          <w:p w14:paraId="1B1213E5" w14:textId="77777777" w:rsidR="00BC5891" w:rsidRPr="00803F7A" w:rsidRDefault="00BC5891" w:rsidP="00803F7A">
            <w:pPr>
              <w:ind w:left="720"/>
              <w:jc w:val="center"/>
              <w:rPr>
                <w:rFonts w:ascii="Times New Roman" w:hAnsi="Times New Roman" w:cs="Times New Roman"/>
                <w:sz w:val="28"/>
                <w:szCs w:val="28"/>
              </w:rPr>
            </w:pPr>
            <w:r w:rsidRPr="00803F7A">
              <w:rPr>
                <w:rFonts w:ascii="Times New Roman" w:hAnsi="Times New Roman" w:cs="Times New Roman"/>
                <w:sz w:val="28"/>
                <w:szCs w:val="28"/>
              </w:rPr>
              <w:t>4.34</w:t>
            </w:r>
          </w:p>
        </w:tc>
      </w:tr>
      <w:tr w:rsidR="00BC5891" w:rsidRPr="00803F7A" w14:paraId="5A5CE02B" w14:textId="77777777" w:rsidTr="00803F7A">
        <w:trPr>
          <w:trHeight w:val="397"/>
          <w:jc w:val="center"/>
        </w:trPr>
        <w:tc>
          <w:tcPr>
            <w:tcW w:w="0" w:type="auto"/>
            <w:vAlign w:val="center"/>
            <w:hideMark/>
          </w:tcPr>
          <w:p w14:paraId="3C2A6F5F" w14:textId="77777777" w:rsidR="00BC5891" w:rsidRPr="00803F7A" w:rsidRDefault="00BC5891" w:rsidP="00803F7A">
            <w:pPr>
              <w:ind w:left="720"/>
              <w:rPr>
                <w:rFonts w:ascii="Times New Roman" w:hAnsi="Times New Roman" w:cs="Times New Roman"/>
                <w:sz w:val="28"/>
                <w:szCs w:val="28"/>
              </w:rPr>
            </w:pPr>
            <w:r w:rsidRPr="00803F7A">
              <w:rPr>
                <w:rFonts w:ascii="Times New Roman" w:hAnsi="Times New Roman" w:cs="Times New Roman"/>
                <w:sz w:val="28"/>
                <w:szCs w:val="28"/>
              </w:rPr>
              <w:t>Tamil Nadu</w:t>
            </w:r>
          </w:p>
        </w:tc>
        <w:tc>
          <w:tcPr>
            <w:tcW w:w="0" w:type="auto"/>
            <w:vAlign w:val="center"/>
            <w:hideMark/>
          </w:tcPr>
          <w:p w14:paraId="42FF61EF" w14:textId="77777777" w:rsidR="00BC5891" w:rsidRPr="00803F7A" w:rsidRDefault="00BC5891" w:rsidP="00803F7A">
            <w:pPr>
              <w:ind w:left="720"/>
              <w:jc w:val="center"/>
              <w:rPr>
                <w:rFonts w:ascii="Times New Roman" w:hAnsi="Times New Roman" w:cs="Times New Roman"/>
                <w:sz w:val="28"/>
                <w:szCs w:val="28"/>
              </w:rPr>
            </w:pPr>
            <w:r w:rsidRPr="00803F7A">
              <w:rPr>
                <w:rFonts w:ascii="Times New Roman" w:hAnsi="Times New Roman" w:cs="Times New Roman"/>
                <w:sz w:val="28"/>
                <w:szCs w:val="28"/>
              </w:rPr>
              <w:t>8.18</w:t>
            </w:r>
          </w:p>
        </w:tc>
      </w:tr>
      <w:tr w:rsidR="00BC5891" w:rsidRPr="00803F7A" w14:paraId="4E493DA5" w14:textId="77777777" w:rsidTr="00803F7A">
        <w:trPr>
          <w:trHeight w:val="397"/>
          <w:jc w:val="center"/>
        </w:trPr>
        <w:tc>
          <w:tcPr>
            <w:tcW w:w="0" w:type="auto"/>
            <w:vAlign w:val="center"/>
            <w:hideMark/>
          </w:tcPr>
          <w:p w14:paraId="3810C35D" w14:textId="77777777" w:rsidR="00BC5891" w:rsidRPr="00803F7A" w:rsidRDefault="00BC5891" w:rsidP="00803F7A">
            <w:pPr>
              <w:ind w:left="720"/>
              <w:rPr>
                <w:rFonts w:ascii="Times New Roman" w:hAnsi="Times New Roman" w:cs="Times New Roman"/>
                <w:sz w:val="28"/>
                <w:szCs w:val="28"/>
              </w:rPr>
            </w:pPr>
            <w:r w:rsidRPr="00803F7A">
              <w:rPr>
                <w:rFonts w:ascii="Times New Roman" w:hAnsi="Times New Roman" w:cs="Times New Roman"/>
                <w:sz w:val="28"/>
                <w:szCs w:val="28"/>
              </w:rPr>
              <w:t>Uttar Pradesh</w:t>
            </w:r>
          </w:p>
        </w:tc>
        <w:tc>
          <w:tcPr>
            <w:tcW w:w="0" w:type="auto"/>
            <w:vAlign w:val="center"/>
            <w:hideMark/>
          </w:tcPr>
          <w:p w14:paraId="76239648" w14:textId="77777777" w:rsidR="00BC5891" w:rsidRPr="00803F7A" w:rsidRDefault="00BC5891" w:rsidP="00803F7A">
            <w:pPr>
              <w:ind w:left="720"/>
              <w:jc w:val="center"/>
              <w:rPr>
                <w:rFonts w:ascii="Times New Roman" w:hAnsi="Times New Roman" w:cs="Times New Roman"/>
                <w:sz w:val="28"/>
                <w:szCs w:val="28"/>
              </w:rPr>
            </w:pPr>
            <w:r w:rsidRPr="00803F7A">
              <w:rPr>
                <w:rFonts w:ascii="Times New Roman" w:hAnsi="Times New Roman" w:cs="Times New Roman"/>
                <w:sz w:val="28"/>
                <w:szCs w:val="28"/>
              </w:rPr>
              <w:t>16.01</w:t>
            </w:r>
          </w:p>
        </w:tc>
      </w:tr>
      <w:tr w:rsidR="00BC5891" w:rsidRPr="00803F7A" w14:paraId="3A56B88D" w14:textId="77777777" w:rsidTr="00803F7A">
        <w:trPr>
          <w:trHeight w:val="397"/>
          <w:jc w:val="center"/>
        </w:trPr>
        <w:tc>
          <w:tcPr>
            <w:tcW w:w="0" w:type="auto"/>
            <w:vAlign w:val="center"/>
            <w:hideMark/>
          </w:tcPr>
          <w:p w14:paraId="6ACEB596" w14:textId="77777777" w:rsidR="00BC5891" w:rsidRPr="00803F7A" w:rsidRDefault="00BC5891" w:rsidP="00803F7A">
            <w:pPr>
              <w:ind w:left="720"/>
              <w:rPr>
                <w:rFonts w:ascii="Times New Roman" w:hAnsi="Times New Roman" w:cs="Times New Roman"/>
                <w:sz w:val="28"/>
                <w:szCs w:val="28"/>
              </w:rPr>
            </w:pPr>
            <w:r w:rsidRPr="00803F7A">
              <w:rPr>
                <w:rFonts w:ascii="Times New Roman" w:hAnsi="Times New Roman" w:cs="Times New Roman"/>
                <w:sz w:val="28"/>
                <w:szCs w:val="28"/>
              </w:rPr>
              <w:t>West Bengal</w:t>
            </w:r>
          </w:p>
        </w:tc>
        <w:tc>
          <w:tcPr>
            <w:tcW w:w="0" w:type="auto"/>
            <w:vAlign w:val="center"/>
            <w:hideMark/>
          </w:tcPr>
          <w:p w14:paraId="171922BF" w14:textId="77777777" w:rsidR="00BC5891" w:rsidRPr="00803F7A" w:rsidRDefault="00BC5891" w:rsidP="00803F7A">
            <w:pPr>
              <w:ind w:left="720"/>
              <w:jc w:val="center"/>
              <w:rPr>
                <w:rFonts w:ascii="Times New Roman" w:hAnsi="Times New Roman" w:cs="Times New Roman"/>
                <w:sz w:val="28"/>
                <w:szCs w:val="28"/>
              </w:rPr>
            </w:pPr>
            <w:r w:rsidRPr="00803F7A">
              <w:rPr>
                <w:rFonts w:ascii="Times New Roman" w:hAnsi="Times New Roman" w:cs="Times New Roman"/>
                <w:sz w:val="28"/>
                <w:szCs w:val="28"/>
              </w:rPr>
              <w:t>9.11</w:t>
            </w:r>
          </w:p>
        </w:tc>
      </w:tr>
      <w:tr w:rsidR="00BC5891" w:rsidRPr="00803F7A" w14:paraId="0993238D" w14:textId="77777777" w:rsidTr="00803F7A">
        <w:trPr>
          <w:trHeight w:val="397"/>
          <w:jc w:val="center"/>
        </w:trPr>
        <w:tc>
          <w:tcPr>
            <w:tcW w:w="0" w:type="auto"/>
            <w:vAlign w:val="center"/>
            <w:hideMark/>
          </w:tcPr>
          <w:p w14:paraId="2BF2D7C9" w14:textId="77777777" w:rsidR="00BC5891" w:rsidRPr="00803F7A" w:rsidRDefault="00BC5891" w:rsidP="00803F7A">
            <w:pPr>
              <w:ind w:left="720"/>
              <w:rPr>
                <w:rFonts w:ascii="Times New Roman" w:hAnsi="Times New Roman" w:cs="Times New Roman"/>
                <w:sz w:val="28"/>
                <w:szCs w:val="28"/>
              </w:rPr>
            </w:pPr>
            <w:r w:rsidRPr="00803F7A">
              <w:rPr>
                <w:rFonts w:ascii="Times New Roman" w:hAnsi="Times New Roman" w:cs="Times New Roman"/>
                <w:sz w:val="28"/>
                <w:szCs w:val="28"/>
              </w:rPr>
              <w:t>TOTAL</w:t>
            </w:r>
          </w:p>
        </w:tc>
        <w:tc>
          <w:tcPr>
            <w:tcW w:w="0" w:type="auto"/>
            <w:vAlign w:val="center"/>
            <w:hideMark/>
          </w:tcPr>
          <w:p w14:paraId="1E4CF657" w14:textId="753C1ED9" w:rsidR="00BC5891" w:rsidRPr="00803F7A" w:rsidRDefault="00BC5891" w:rsidP="00803F7A">
            <w:pPr>
              <w:ind w:left="720"/>
              <w:jc w:val="center"/>
              <w:rPr>
                <w:rFonts w:ascii="Times New Roman" w:hAnsi="Times New Roman" w:cs="Times New Roman"/>
                <w:sz w:val="28"/>
                <w:szCs w:val="28"/>
              </w:rPr>
            </w:pPr>
            <w:r w:rsidRPr="00803F7A">
              <w:rPr>
                <w:rFonts w:ascii="Times New Roman" w:hAnsi="Times New Roman" w:cs="Times New Roman"/>
                <w:sz w:val="28"/>
                <w:szCs w:val="28"/>
              </w:rPr>
              <w:t>100.00</w:t>
            </w:r>
          </w:p>
        </w:tc>
      </w:tr>
    </w:tbl>
    <w:p w14:paraId="6A448340" w14:textId="77777777" w:rsidR="00BC5891" w:rsidRPr="007245B0" w:rsidRDefault="00BC5891" w:rsidP="00BC5891">
      <w:pPr>
        <w:ind w:left="720"/>
        <w:jc w:val="both"/>
        <w:rPr>
          <w:rFonts w:ascii="Times New Roman" w:hAnsi="Times New Roman" w:cs="Times New Roman"/>
        </w:rPr>
      </w:pPr>
    </w:p>
    <w:p w14:paraId="1E96F1A1" w14:textId="6576CFED" w:rsidR="00964941" w:rsidRPr="00803F7A" w:rsidRDefault="00803F7A" w:rsidP="00803F7A">
      <w:pPr>
        <w:spacing w:before="240" w:line="300" w:lineRule="exact"/>
        <w:ind w:left="-142" w:hanging="425"/>
        <w:jc w:val="both"/>
        <w:rPr>
          <w:rFonts w:ascii="Times New Roman" w:hAnsi="Times New Roman" w:cs="Times New Roman"/>
          <w:b/>
          <w:bCs/>
          <w:sz w:val="28"/>
          <w:szCs w:val="22"/>
        </w:rPr>
      </w:pPr>
      <w:r>
        <w:rPr>
          <w:rFonts w:ascii="Times New Roman" w:hAnsi="Times New Roman" w:cs="Times New Roman"/>
          <w:b/>
          <w:bCs/>
          <w:sz w:val="28"/>
          <w:szCs w:val="22"/>
        </w:rPr>
        <w:t>II</w:t>
      </w:r>
      <w:r w:rsidR="00BC5891" w:rsidRPr="00803F7A">
        <w:rPr>
          <w:rFonts w:ascii="Times New Roman" w:hAnsi="Times New Roman" w:cs="Times New Roman"/>
          <w:b/>
          <w:bCs/>
          <w:sz w:val="28"/>
          <w:szCs w:val="22"/>
        </w:rPr>
        <w:t>--Union Excise Duties </w:t>
      </w:r>
    </w:p>
    <w:p w14:paraId="3763F81C" w14:textId="13787BCD" w:rsidR="00035789" w:rsidRPr="00803F7A" w:rsidRDefault="00BC5891" w:rsidP="00BE3CC5">
      <w:pPr>
        <w:pStyle w:val="ListParagraph"/>
        <w:numPr>
          <w:ilvl w:val="0"/>
          <w:numId w:val="63"/>
        </w:numPr>
        <w:jc w:val="both"/>
        <w:rPr>
          <w:rFonts w:ascii="Times New Roman" w:hAnsi="Times New Roman" w:cs="Times New Roman"/>
          <w:sz w:val="28"/>
          <w:szCs w:val="22"/>
        </w:rPr>
      </w:pPr>
      <w:r w:rsidRPr="00803F7A">
        <w:rPr>
          <w:rFonts w:ascii="Times New Roman" w:hAnsi="Times New Roman" w:cs="Times New Roman"/>
          <w:sz w:val="28"/>
          <w:szCs w:val="22"/>
        </w:rPr>
        <w:t>During each of the years 1969-70 to 1971-72 a sum equivalent to 20 (twenty) per cent. of the net proceeds of Union</w:t>
      </w:r>
      <w:r w:rsidR="00803F7A">
        <w:rPr>
          <w:rFonts w:ascii="Times New Roman" w:hAnsi="Times New Roman" w:cs="Times New Roman"/>
          <w:sz w:val="28"/>
          <w:szCs w:val="22"/>
        </w:rPr>
        <w:t xml:space="preserve"> </w:t>
      </w:r>
      <w:r w:rsidRPr="00803F7A">
        <w:rPr>
          <w:rFonts w:ascii="Times New Roman" w:hAnsi="Times New Roman" w:cs="Times New Roman"/>
          <w:sz w:val="28"/>
          <w:szCs w:val="22"/>
        </w:rPr>
        <w:t>duties of excise on all articles levied and collected in that</w:t>
      </w:r>
      <w:r w:rsidR="00803F7A">
        <w:rPr>
          <w:rFonts w:ascii="Times New Roman" w:hAnsi="Times New Roman" w:cs="Times New Roman"/>
          <w:sz w:val="28"/>
          <w:szCs w:val="22"/>
        </w:rPr>
        <w:t xml:space="preserve"> </w:t>
      </w:r>
      <w:r w:rsidRPr="00803F7A">
        <w:rPr>
          <w:rFonts w:ascii="Times New Roman" w:hAnsi="Times New Roman" w:cs="Times New Roman"/>
          <w:sz w:val="28"/>
          <w:szCs w:val="22"/>
        </w:rPr>
        <w:t>year, excluding special excises, regulatory duties and</w:t>
      </w:r>
      <w:r w:rsidR="00803F7A">
        <w:rPr>
          <w:rFonts w:ascii="Times New Roman" w:hAnsi="Times New Roman" w:cs="Times New Roman"/>
          <w:sz w:val="28"/>
          <w:szCs w:val="22"/>
        </w:rPr>
        <w:t xml:space="preserve"> </w:t>
      </w:r>
      <w:r w:rsidRPr="00803F7A">
        <w:rPr>
          <w:rFonts w:ascii="Times New Roman" w:hAnsi="Times New Roman" w:cs="Times New Roman"/>
          <w:sz w:val="28"/>
          <w:szCs w:val="22"/>
        </w:rPr>
        <w:t>duties and cesses levied under special Acts and earmarked</w:t>
      </w:r>
      <w:r w:rsidR="00803F7A">
        <w:rPr>
          <w:rFonts w:ascii="Times New Roman" w:hAnsi="Times New Roman" w:cs="Times New Roman"/>
          <w:sz w:val="28"/>
          <w:szCs w:val="22"/>
        </w:rPr>
        <w:t xml:space="preserve"> </w:t>
      </w:r>
      <w:r w:rsidRPr="00803F7A">
        <w:rPr>
          <w:rFonts w:ascii="Times New Roman" w:hAnsi="Times New Roman" w:cs="Times New Roman"/>
          <w:sz w:val="28"/>
          <w:szCs w:val="22"/>
        </w:rPr>
        <w:t>for special purposes, should be paid out of the Consolidated</w:t>
      </w:r>
      <w:r w:rsidR="00803F7A">
        <w:rPr>
          <w:rFonts w:ascii="Times New Roman" w:hAnsi="Times New Roman" w:cs="Times New Roman"/>
          <w:sz w:val="28"/>
          <w:szCs w:val="22"/>
        </w:rPr>
        <w:t xml:space="preserve"> </w:t>
      </w:r>
      <w:r w:rsidRPr="00803F7A">
        <w:rPr>
          <w:rFonts w:ascii="Times New Roman" w:hAnsi="Times New Roman" w:cs="Times New Roman"/>
          <w:sz w:val="28"/>
          <w:szCs w:val="22"/>
        </w:rPr>
        <w:t>Fund of India to the States;</w:t>
      </w:r>
    </w:p>
    <w:p w14:paraId="6844D73D" w14:textId="7CCA7C89" w:rsidR="00035789" w:rsidRPr="00803F7A" w:rsidRDefault="00035789" w:rsidP="00BE3CC5">
      <w:pPr>
        <w:pStyle w:val="ListParagraph"/>
        <w:numPr>
          <w:ilvl w:val="0"/>
          <w:numId w:val="63"/>
        </w:numPr>
        <w:jc w:val="both"/>
        <w:rPr>
          <w:rFonts w:ascii="Times New Roman" w:hAnsi="Times New Roman" w:cs="Times New Roman"/>
          <w:sz w:val="28"/>
          <w:szCs w:val="22"/>
        </w:rPr>
      </w:pPr>
      <w:r w:rsidRPr="00803F7A">
        <w:rPr>
          <w:rFonts w:ascii="Times New Roman" w:hAnsi="Times New Roman" w:cs="Times New Roman"/>
          <w:sz w:val="28"/>
          <w:szCs w:val="22"/>
        </w:rPr>
        <w:t>during the years 1972-73 and 1973-74, a sum equivalent to</w:t>
      </w:r>
      <w:r w:rsidR="00803F7A">
        <w:rPr>
          <w:rFonts w:ascii="Times New Roman" w:hAnsi="Times New Roman" w:cs="Times New Roman"/>
          <w:sz w:val="28"/>
          <w:szCs w:val="22"/>
        </w:rPr>
        <w:t xml:space="preserve"> </w:t>
      </w:r>
      <w:r w:rsidRPr="00803F7A">
        <w:rPr>
          <w:rFonts w:ascii="Times New Roman" w:hAnsi="Times New Roman" w:cs="Times New Roman"/>
          <w:sz w:val="28"/>
          <w:szCs w:val="22"/>
        </w:rPr>
        <w:t>20 (twenty) per cent. of the net proceeds of Union duties</w:t>
      </w:r>
      <w:r w:rsidR="00803F7A">
        <w:rPr>
          <w:rFonts w:ascii="Times New Roman" w:hAnsi="Times New Roman" w:cs="Times New Roman"/>
          <w:sz w:val="28"/>
          <w:szCs w:val="22"/>
        </w:rPr>
        <w:t xml:space="preserve"> </w:t>
      </w:r>
      <w:r w:rsidRPr="00803F7A">
        <w:rPr>
          <w:rFonts w:ascii="Times New Roman" w:hAnsi="Times New Roman" w:cs="Times New Roman"/>
          <w:sz w:val="28"/>
          <w:szCs w:val="22"/>
        </w:rPr>
        <w:t>of excise on all articles levied and collected in the respe</w:t>
      </w:r>
      <w:r w:rsidR="00803F7A">
        <w:rPr>
          <w:rFonts w:ascii="Times New Roman" w:hAnsi="Times New Roman" w:cs="Times New Roman"/>
          <w:sz w:val="28"/>
          <w:szCs w:val="22"/>
        </w:rPr>
        <w:t>c</w:t>
      </w:r>
      <w:r w:rsidRPr="00803F7A">
        <w:rPr>
          <w:rFonts w:ascii="Times New Roman" w:hAnsi="Times New Roman" w:cs="Times New Roman"/>
          <w:sz w:val="28"/>
          <w:szCs w:val="22"/>
        </w:rPr>
        <w:t>tive year, including special excises, but excluding regulatory duties and duties and cesses levied under special Acts</w:t>
      </w:r>
      <w:r w:rsidRPr="00803F7A">
        <w:rPr>
          <w:rFonts w:ascii="Times New Roman" w:hAnsi="Times New Roman" w:cs="Times New Roman"/>
          <w:sz w:val="28"/>
          <w:szCs w:val="22"/>
        </w:rPr>
        <w:br/>
        <w:t>and earmarked for special purposes, should be paid out of</w:t>
      </w:r>
      <w:r w:rsidRPr="00803F7A">
        <w:rPr>
          <w:rFonts w:ascii="Times New Roman" w:hAnsi="Times New Roman" w:cs="Times New Roman"/>
          <w:sz w:val="28"/>
          <w:szCs w:val="22"/>
        </w:rPr>
        <w:br/>
        <w:t>the Consolidated Fund of India to the States; and</w:t>
      </w:r>
    </w:p>
    <w:p w14:paraId="34333906" w14:textId="6DB0806F" w:rsidR="00035789" w:rsidRPr="00803F7A" w:rsidRDefault="00035789" w:rsidP="00BE3CC5">
      <w:pPr>
        <w:pStyle w:val="ListParagraph"/>
        <w:numPr>
          <w:ilvl w:val="0"/>
          <w:numId w:val="63"/>
        </w:numPr>
        <w:jc w:val="both"/>
        <w:rPr>
          <w:rFonts w:ascii="Times New Roman" w:hAnsi="Times New Roman" w:cs="Times New Roman"/>
          <w:sz w:val="28"/>
          <w:szCs w:val="22"/>
        </w:rPr>
      </w:pPr>
      <w:r w:rsidRPr="00803F7A">
        <w:rPr>
          <w:rFonts w:ascii="Times New Roman" w:hAnsi="Times New Roman" w:cs="Times New Roman"/>
          <w:sz w:val="28"/>
          <w:szCs w:val="22"/>
        </w:rPr>
        <w:lastRenderedPageBreak/>
        <w:t>the distribution among the States of the sum payable to</w:t>
      </w:r>
      <w:r w:rsidR="00803F7A">
        <w:rPr>
          <w:rFonts w:ascii="Times New Roman" w:hAnsi="Times New Roman" w:cs="Times New Roman"/>
          <w:sz w:val="28"/>
          <w:szCs w:val="22"/>
        </w:rPr>
        <w:t xml:space="preserve"> </w:t>
      </w:r>
      <w:r w:rsidRPr="00803F7A">
        <w:rPr>
          <w:rFonts w:ascii="Times New Roman" w:hAnsi="Times New Roman" w:cs="Times New Roman"/>
          <w:sz w:val="28"/>
          <w:szCs w:val="22"/>
        </w:rPr>
        <w:t>the States in respect of each financial year should be made</w:t>
      </w:r>
      <w:r w:rsidR="00803F7A">
        <w:rPr>
          <w:rFonts w:ascii="Times New Roman" w:hAnsi="Times New Roman" w:cs="Times New Roman"/>
          <w:sz w:val="28"/>
          <w:szCs w:val="22"/>
        </w:rPr>
        <w:t xml:space="preserve"> </w:t>
      </w:r>
      <w:r w:rsidRPr="00803F7A">
        <w:rPr>
          <w:rFonts w:ascii="Times New Roman" w:hAnsi="Times New Roman" w:cs="Times New Roman"/>
          <w:sz w:val="28"/>
          <w:szCs w:val="22"/>
        </w:rPr>
        <w:t>on the basis of the following percentages:-</w:t>
      </w:r>
    </w:p>
    <w:tbl>
      <w:tblPr>
        <w:tblpPr w:leftFromText="180" w:rightFromText="180" w:vertAnchor="text" w:tblpXSpec="center" w:tblpY="1"/>
        <w:tblOverlap w:val="never"/>
        <w:tblW w:w="5636" w:type="dxa"/>
        <w:tblLook w:val="04A0" w:firstRow="1" w:lastRow="0" w:firstColumn="1" w:lastColumn="0" w:noHBand="0" w:noVBand="1"/>
      </w:tblPr>
      <w:tblGrid>
        <w:gridCol w:w="3058"/>
        <w:gridCol w:w="2578"/>
      </w:tblGrid>
      <w:tr w:rsidR="00035789" w:rsidRPr="00803F7A" w14:paraId="0DC8DF2E" w14:textId="77777777" w:rsidTr="00803F7A">
        <w:trPr>
          <w:trHeight w:val="188"/>
        </w:trPr>
        <w:tc>
          <w:tcPr>
            <w:tcW w:w="3058" w:type="dxa"/>
            <w:tcBorders>
              <w:top w:val="single" w:sz="4" w:space="0" w:color="auto"/>
              <w:left w:val="single" w:sz="4" w:space="0" w:color="auto"/>
              <w:bottom w:val="single" w:sz="4" w:space="0" w:color="auto"/>
              <w:right w:val="single" w:sz="4" w:space="0" w:color="auto"/>
            </w:tcBorders>
            <w:noWrap/>
            <w:vAlign w:val="bottom"/>
            <w:hideMark/>
          </w:tcPr>
          <w:p w14:paraId="55006CB6" w14:textId="77777777" w:rsidR="00035789" w:rsidRPr="00803F7A" w:rsidRDefault="00035789" w:rsidP="00035789">
            <w:pPr>
              <w:spacing w:after="0" w:line="240" w:lineRule="auto"/>
              <w:rPr>
                <w:rFonts w:ascii="Times New Roman" w:eastAsia="Times New Roman" w:hAnsi="Times New Roman" w:cs="Times New Roman"/>
                <w:b/>
                <w:bCs/>
                <w:color w:val="000000"/>
                <w:kern w:val="0"/>
                <w:sz w:val="28"/>
                <w:szCs w:val="28"/>
                <w:lang w:eastAsia="en-IN"/>
                <w14:ligatures w14:val="none"/>
              </w:rPr>
            </w:pPr>
            <w:r w:rsidRPr="00803F7A">
              <w:rPr>
                <w:rFonts w:ascii="Times New Roman" w:eastAsia="Times New Roman" w:hAnsi="Times New Roman" w:cs="Times New Roman"/>
                <w:b/>
                <w:bCs/>
                <w:color w:val="000000"/>
                <w:kern w:val="0"/>
                <w:sz w:val="28"/>
                <w:szCs w:val="28"/>
                <w:lang w:eastAsia="en-IN"/>
                <w14:ligatures w14:val="none"/>
              </w:rPr>
              <w:t xml:space="preserve">State </w:t>
            </w:r>
          </w:p>
        </w:tc>
        <w:tc>
          <w:tcPr>
            <w:tcW w:w="2578" w:type="dxa"/>
            <w:tcBorders>
              <w:top w:val="single" w:sz="4" w:space="0" w:color="auto"/>
              <w:left w:val="nil"/>
              <w:bottom w:val="single" w:sz="4" w:space="0" w:color="auto"/>
              <w:right w:val="single" w:sz="4" w:space="0" w:color="auto"/>
            </w:tcBorders>
            <w:noWrap/>
            <w:vAlign w:val="bottom"/>
            <w:hideMark/>
          </w:tcPr>
          <w:p w14:paraId="0C57579D" w14:textId="77777777" w:rsidR="00035789" w:rsidRPr="00803F7A" w:rsidRDefault="00035789" w:rsidP="00035789">
            <w:pPr>
              <w:spacing w:after="0" w:line="240" w:lineRule="auto"/>
              <w:jc w:val="center"/>
              <w:rPr>
                <w:rFonts w:ascii="Times New Roman" w:eastAsia="Times New Roman" w:hAnsi="Times New Roman" w:cs="Times New Roman"/>
                <w:b/>
                <w:bCs/>
                <w:color w:val="000000"/>
                <w:kern w:val="0"/>
                <w:sz w:val="28"/>
                <w:szCs w:val="28"/>
                <w:lang w:eastAsia="en-IN"/>
                <w14:ligatures w14:val="none"/>
              </w:rPr>
            </w:pPr>
            <w:r w:rsidRPr="00803F7A">
              <w:rPr>
                <w:rFonts w:ascii="Times New Roman" w:eastAsia="Times New Roman" w:hAnsi="Times New Roman" w:cs="Times New Roman"/>
                <w:b/>
                <w:bCs/>
                <w:color w:val="000000"/>
                <w:kern w:val="0"/>
                <w:sz w:val="28"/>
                <w:szCs w:val="28"/>
                <w:lang w:eastAsia="en-IN"/>
                <w14:ligatures w14:val="none"/>
              </w:rPr>
              <w:t>Percentage</w:t>
            </w:r>
          </w:p>
        </w:tc>
      </w:tr>
      <w:tr w:rsidR="00035789" w:rsidRPr="00803F7A" w14:paraId="4A552977" w14:textId="77777777" w:rsidTr="00803F7A">
        <w:trPr>
          <w:trHeight w:val="188"/>
        </w:trPr>
        <w:tc>
          <w:tcPr>
            <w:tcW w:w="3058" w:type="dxa"/>
            <w:tcBorders>
              <w:top w:val="nil"/>
              <w:left w:val="single" w:sz="4" w:space="0" w:color="auto"/>
              <w:bottom w:val="single" w:sz="4" w:space="0" w:color="auto"/>
              <w:right w:val="single" w:sz="4" w:space="0" w:color="auto"/>
            </w:tcBorders>
            <w:noWrap/>
            <w:vAlign w:val="bottom"/>
            <w:hideMark/>
          </w:tcPr>
          <w:p w14:paraId="6E26A393" w14:textId="77777777" w:rsidR="00035789" w:rsidRPr="00803F7A" w:rsidRDefault="00035789" w:rsidP="00035789">
            <w:pPr>
              <w:spacing w:after="0" w:line="240" w:lineRule="auto"/>
              <w:rPr>
                <w:rFonts w:ascii="Times New Roman" w:eastAsia="Times New Roman" w:hAnsi="Times New Roman" w:cs="Times New Roman"/>
                <w:color w:val="000000"/>
                <w:kern w:val="0"/>
                <w:sz w:val="28"/>
                <w:szCs w:val="28"/>
                <w:lang w:eastAsia="en-IN"/>
                <w14:ligatures w14:val="none"/>
              </w:rPr>
            </w:pPr>
            <w:r w:rsidRPr="00803F7A">
              <w:rPr>
                <w:rFonts w:ascii="Times New Roman" w:eastAsia="Times New Roman" w:hAnsi="Times New Roman" w:cs="Times New Roman"/>
                <w:color w:val="000000"/>
                <w:kern w:val="0"/>
                <w:sz w:val="28"/>
                <w:szCs w:val="28"/>
                <w:lang w:eastAsia="en-IN"/>
                <w14:ligatures w14:val="none"/>
              </w:rPr>
              <w:t xml:space="preserve">Andhra Pradesh </w:t>
            </w:r>
          </w:p>
        </w:tc>
        <w:tc>
          <w:tcPr>
            <w:tcW w:w="2578" w:type="dxa"/>
            <w:tcBorders>
              <w:top w:val="nil"/>
              <w:left w:val="nil"/>
              <w:bottom w:val="single" w:sz="4" w:space="0" w:color="auto"/>
              <w:right w:val="single" w:sz="4" w:space="0" w:color="auto"/>
            </w:tcBorders>
            <w:noWrap/>
            <w:vAlign w:val="bottom"/>
            <w:hideMark/>
          </w:tcPr>
          <w:p w14:paraId="5B5E43A0" w14:textId="77777777" w:rsidR="00035789" w:rsidRPr="00803F7A" w:rsidRDefault="00035789" w:rsidP="00035789">
            <w:pPr>
              <w:spacing w:after="0" w:line="240" w:lineRule="auto"/>
              <w:jc w:val="center"/>
              <w:rPr>
                <w:rFonts w:ascii="Times New Roman" w:eastAsia="Times New Roman" w:hAnsi="Times New Roman" w:cs="Times New Roman"/>
                <w:color w:val="000000"/>
                <w:kern w:val="0"/>
                <w:sz w:val="28"/>
                <w:szCs w:val="28"/>
                <w:lang w:eastAsia="en-IN"/>
                <w14:ligatures w14:val="none"/>
              </w:rPr>
            </w:pPr>
            <w:r w:rsidRPr="00803F7A">
              <w:rPr>
                <w:rFonts w:ascii="Times New Roman" w:eastAsia="Times New Roman" w:hAnsi="Times New Roman" w:cs="Times New Roman"/>
                <w:color w:val="000000"/>
                <w:kern w:val="0"/>
                <w:sz w:val="28"/>
                <w:szCs w:val="28"/>
                <w:lang w:eastAsia="en-IN"/>
                <w14:ligatures w14:val="none"/>
              </w:rPr>
              <w:t>7.15</w:t>
            </w:r>
          </w:p>
        </w:tc>
      </w:tr>
      <w:tr w:rsidR="00035789" w:rsidRPr="00803F7A" w14:paraId="0F06C65F" w14:textId="77777777" w:rsidTr="00803F7A">
        <w:trPr>
          <w:trHeight w:val="188"/>
        </w:trPr>
        <w:tc>
          <w:tcPr>
            <w:tcW w:w="3058" w:type="dxa"/>
            <w:tcBorders>
              <w:top w:val="nil"/>
              <w:left w:val="single" w:sz="4" w:space="0" w:color="auto"/>
              <w:bottom w:val="single" w:sz="4" w:space="0" w:color="auto"/>
              <w:right w:val="single" w:sz="4" w:space="0" w:color="auto"/>
            </w:tcBorders>
            <w:noWrap/>
            <w:vAlign w:val="bottom"/>
            <w:hideMark/>
          </w:tcPr>
          <w:p w14:paraId="402499FD" w14:textId="77777777" w:rsidR="00035789" w:rsidRPr="00803F7A" w:rsidRDefault="00035789" w:rsidP="00035789">
            <w:pPr>
              <w:spacing w:after="0" w:line="240" w:lineRule="auto"/>
              <w:rPr>
                <w:rFonts w:ascii="Times New Roman" w:eastAsia="Times New Roman" w:hAnsi="Times New Roman" w:cs="Times New Roman"/>
                <w:color w:val="000000"/>
                <w:kern w:val="0"/>
                <w:sz w:val="28"/>
                <w:szCs w:val="28"/>
                <w:lang w:eastAsia="en-IN"/>
                <w14:ligatures w14:val="none"/>
              </w:rPr>
            </w:pPr>
            <w:r w:rsidRPr="00803F7A">
              <w:rPr>
                <w:rFonts w:ascii="Times New Roman" w:eastAsia="Times New Roman" w:hAnsi="Times New Roman" w:cs="Times New Roman"/>
                <w:color w:val="000000"/>
                <w:kern w:val="0"/>
                <w:sz w:val="28"/>
                <w:szCs w:val="28"/>
                <w:lang w:eastAsia="en-IN"/>
                <w14:ligatures w14:val="none"/>
              </w:rPr>
              <w:t xml:space="preserve">Assam </w:t>
            </w:r>
          </w:p>
        </w:tc>
        <w:tc>
          <w:tcPr>
            <w:tcW w:w="2578" w:type="dxa"/>
            <w:tcBorders>
              <w:top w:val="nil"/>
              <w:left w:val="nil"/>
              <w:bottom w:val="single" w:sz="4" w:space="0" w:color="auto"/>
              <w:right w:val="single" w:sz="4" w:space="0" w:color="auto"/>
            </w:tcBorders>
            <w:noWrap/>
            <w:vAlign w:val="bottom"/>
            <w:hideMark/>
          </w:tcPr>
          <w:p w14:paraId="57345DFE" w14:textId="77777777" w:rsidR="00035789" w:rsidRPr="00803F7A" w:rsidRDefault="00035789" w:rsidP="00035789">
            <w:pPr>
              <w:spacing w:after="0" w:line="240" w:lineRule="auto"/>
              <w:jc w:val="center"/>
              <w:rPr>
                <w:rFonts w:ascii="Times New Roman" w:eastAsia="Times New Roman" w:hAnsi="Times New Roman" w:cs="Times New Roman"/>
                <w:color w:val="000000"/>
                <w:kern w:val="0"/>
                <w:sz w:val="28"/>
                <w:szCs w:val="28"/>
                <w:lang w:eastAsia="en-IN"/>
                <w14:ligatures w14:val="none"/>
              </w:rPr>
            </w:pPr>
            <w:r w:rsidRPr="00803F7A">
              <w:rPr>
                <w:rFonts w:ascii="Times New Roman" w:eastAsia="Times New Roman" w:hAnsi="Times New Roman" w:cs="Times New Roman"/>
                <w:color w:val="000000"/>
                <w:kern w:val="0"/>
                <w:sz w:val="28"/>
                <w:szCs w:val="28"/>
                <w:lang w:eastAsia="en-IN"/>
                <w14:ligatures w14:val="none"/>
              </w:rPr>
              <w:t>2.51</w:t>
            </w:r>
          </w:p>
        </w:tc>
      </w:tr>
      <w:tr w:rsidR="00035789" w:rsidRPr="00803F7A" w14:paraId="29C0E747" w14:textId="77777777" w:rsidTr="00803F7A">
        <w:trPr>
          <w:trHeight w:val="188"/>
        </w:trPr>
        <w:tc>
          <w:tcPr>
            <w:tcW w:w="3058" w:type="dxa"/>
            <w:tcBorders>
              <w:top w:val="nil"/>
              <w:left w:val="single" w:sz="4" w:space="0" w:color="auto"/>
              <w:bottom w:val="single" w:sz="4" w:space="0" w:color="auto"/>
              <w:right w:val="single" w:sz="4" w:space="0" w:color="auto"/>
            </w:tcBorders>
            <w:noWrap/>
            <w:vAlign w:val="bottom"/>
            <w:hideMark/>
          </w:tcPr>
          <w:p w14:paraId="11F4EFF9" w14:textId="77777777" w:rsidR="00035789" w:rsidRPr="00803F7A" w:rsidRDefault="00035789" w:rsidP="00035789">
            <w:pPr>
              <w:spacing w:after="0" w:line="240" w:lineRule="auto"/>
              <w:rPr>
                <w:rFonts w:ascii="Times New Roman" w:eastAsia="Times New Roman" w:hAnsi="Times New Roman" w:cs="Times New Roman"/>
                <w:color w:val="000000"/>
                <w:kern w:val="0"/>
                <w:sz w:val="28"/>
                <w:szCs w:val="28"/>
                <w:lang w:eastAsia="en-IN"/>
                <w14:ligatures w14:val="none"/>
              </w:rPr>
            </w:pPr>
            <w:r w:rsidRPr="00803F7A">
              <w:rPr>
                <w:rFonts w:ascii="Times New Roman" w:eastAsia="Times New Roman" w:hAnsi="Times New Roman" w:cs="Times New Roman"/>
                <w:color w:val="000000"/>
                <w:kern w:val="0"/>
                <w:sz w:val="28"/>
                <w:szCs w:val="28"/>
                <w:lang w:eastAsia="en-IN"/>
                <w14:ligatures w14:val="none"/>
              </w:rPr>
              <w:t xml:space="preserve">Bihar </w:t>
            </w:r>
          </w:p>
        </w:tc>
        <w:tc>
          <w:tcPr>
            <w:tcW w:w="2578" w:type="dxa"/>
            <w:tcBorders>
              <w:top w:val="nil"/>
              <w:left w:val="nil"/>
              <w:bottom w:val="single" w:sz="4" w:space="0" w:color="auto"/>
              <w:right w:val="single" w:sz="4" w:space="0" w:color="auto"/>
            </w:tcBorders>
            <w:noWrap/>
            <w:vAlign w:val="bottom"/>
            <w:hideMark/>
          </w:tcPr>
          <w:p w14:paraId="7CA6E58A" w14:textId="77777777" w:rsidR="00035789" w:rsidRPr="00803F7A" w:rsidRDefault="00035789" w:rsidP="00035789">
            <w:pPr>
              <w:spacing w:after="0" w:line="240" w:lineRule="auto"/>
              <w:jc w:val="center"/>
              <w:rPr>
                <w:rFonts w:ascii="Times New Roman" w:eastAsia="Times New Roman" w:hAnsi="Times New Roman" w:cs="Times New Roman"/>
                <w:color w:val="000000"/>
                <w:kern w:val="0"/>
                <w:sz w:val="28"/>
                <w:szCs w:val="28"/>
                <w:lang w:eastAsia="en-IN"/>
                <w14:ligatures w14:val="none"/>
              </w:rPr>
            </w:pPr>
            <w:r w:rsidRPr="00803F7A">
              <w:rPr>
                <w:rFonts w:ascii="Times New Roman" w:eastAsia="Times New Roman" w:hAnsi="Times New Roman" w:cs="Times New Roman"/>
                <w:color w:val="000000"/>
                <w:kern w:val="0"/>
                <w:sz w:val="28"/>
                <w:szCs w:val="28"/>
                <w:lang w:eastAsia="en-IN"/>
                <w14:ligatures w14:val="none"/>
              </w:rPr>
              <w:t>13.81</w:t>
            </w:r>
          </w:p>
        </w:tc>
      </w:tr>
      <w:tr w:rsidR="00035789" w:rsidRPr="00803F7A" w14:paraId="3D2E67AA" w14:textId="77777777" w:rsidTr="00803F7A">
        <w:trPr>
          <w:trHeight w:val="188"/>
        </w:trPr>
        <w:tc>
          <w:tcPr>
            <w:tcW w:w="3058" w:type="dxa"/>
            <w:tcBorders>
              <w:top w:val="nil"/>
              <w:left w:val="single" w:sz="4" w:space="0" w:color="auto"/>
              <w:bottom w:val="single" w:sz="4" w:space="0" w:color="auto"/>
              <w:right w:val="single" w:sz="4" w:space="0" w:color="auto"/>
            </w:tcBorders>
            <w:noWrap/>
            <w:vAlign w:val="bottom"/>
            <w:hideMark/>
          </w:tcPr>
          <w:p w14:paraId="68756A47" w14:textId="77777777" w:rsidR="00035789" w:rsidRPr="00803F7A" w:rsidRDefault="00035789" w:rsidP="00035789">
            <w:pPr>
              <w:spacing w:after="0" w:line="240" w:lineRule="auto"/>
              <w:rPr>
                <w:rFonts w:ascii="Times New Roman" w:eastAsia="Times New Roman" w:hAnsi="Times New Roman" w:cs="Times New Roman"/>
                <w:color w:val="000000"/>
                <w:kern w:val="0"/>
                <w:sz w:val="28"/>
                <w:szCs w:val="28"/>
                <w:lang w:eastAsia="en-IN"/>
                <w14:ligatures w14:val="none"/>
              </w:rPr>
            </w:pPr>
            <w:r w:rsidRPr="00803F7A">
              <w:rPr>
                <w:rFonts w:ascii="Times New Roman" w:eastAsia="Times New Roman" w:hAnsi="Times New Roman" w:cs="Times New Roman"/>
                <w:color w:val="000000"/>
                <w:kern w:val="0"/>
                <w:sz w:val="28"/>
                <w:szCs w:val="28"/>
                <w:lang w:eastAsia="en-IN"/>
                <w14:ligatures w14:val="none"/>
              </w:rPr>
              <w:t xml:space="preserve">Gujarat </w:t>
            </w:r>
          </w:p>
        </w:tc>
        <w:tc>
          <w:tcPr>
            <w:tcW w:w="2578" w:type="dxa"/>
            <w:tcBorders>
              <w:top w:val="nil"/>
              <w:left w:val="nil"/>
              <w:bottom w:val="single" w:sz="4" w:space="0" w:color="auto"/>
              <w:right w:val="single" w:sz="4" w:space="0" w:color="auto"/>
            </w:tcBorders>
            <w:noWrap/>
            <w:vAlign w:val="bottom"/>
            <w:hideMark/>
          </w:tcPr>
          <w:p w14:paraId="7B7B1DAD" w14:textId="77777777" w:rsidR="00035789" w:rsidRPr="00803F7A" w:rsidRDefault="00035789" w:rsidP="00035789">
            <w:pPr>
              <w:spacing w:after="0" w:line="240" w:lineRule="auto"/>
              <w:jc w:val="center"/>
              <w:rPr>
                <w:rFonts w:ascii="Times New Roman" w:eastAsia="Times New Roman" w:hAnsi="Times New Roman" w:cs="Times New Roman"/>
                <w:color w:val="000000"/>
                <w:kern w:val="0"/>
                <w:sz w:val="28"/>
                <w:szCs w:val="28"/>
                <w:lang w:eastAsia="en-IN"/>
                <w14:ligatures w14:val="none"/>
              </w:rPr>
            </w:pPr>
            <w:r w:rsidRPr="00803F7A">
              <w:rPr>
                <w:rFonts w:ascii="Times New Roman" w:eastAsia="Times New Roman" w:hAnsi="Times New Roman" w:cs="Times New Roman"/>
                <w:color w:val="000000"/>
                <w:kern w:val="0"/>
                <w:sz w:val="28"/>
                <w:szCs w:val="28"/>
                <w:lang w:eastAsia="en-IN"/>
                <w14:ligatures w14:val="none"/>
              </w:rPr>
              <w:t>4.17</w:t>
            </w:r>
          </w:p>
        </w:tc>
      </w:tr>
      <w:tr w:rsidR="00035789" w:rsidRPr="00803F7A" w14:paraId="3210F4D1" w14:textId="77777777" w:rsidTr="00803F7A">
        <w:trPr>
          <w:trHeight w:val="188"/>
        </w:trPr>
        <w:tc>
          <w:tcPr>
            <w:tcW w:w="3058" w:type="dxa"/>
            <w:tcBorders>
              <w:top w:val="nil"/>
              <w:left w:val="single" w:sz="4" w:space="0" w:color="auto"/>
              <w:bottom w:val="single" w:sz="4" w:space="0" w:color="auto"/>
              <w:right w:val="single" w:sz="4" w:space="0" w:color="auto"/>
            </w:tcBorders>
            <w:noWrap/>
            <w:vAlign w:val="bottom"/>
            <w:hideMark/>
          </w:tcPr>
          <w:p w14:paraId="384BBB4D" w14:textId="77777777" w:rsidR="00035789" w:rsidRPr="00803F7A" w:rsidRDefault="00035789" w:rsidP="00035789">
            <w:pPr>
              <w:spacing w:after="0" w:line="240" w:lineRule="auto"/>
              <w:rPr>
                <w:rFonts w:ascii="Times New Roman" w:eastAsia="Times New Roman" w:hAnsi="Times New Roman" w:cs="Times New Roman"/>
                <w:color w:val="000000"/>
                <w:kern w:val="0"/>
                <w:sz w:val="28"/>
                <w:szCs w:val="28"/>
                <w:lang w:eastAsia="en-IN"/>
                <w14:ligatures w14:val="none"/>
              </w:rPr>
            </w:pPr>
            <w:r w:rsidRPr="00803F7A">
              <w:rPr>
                <w:rFonts w:ascii="Times New Roman" w:eastAsia="Times New Roman" w:hAnsi="Times New Roman" w:cs="Times New Roman"/>
                <w:color w:val="000000"/>
                <w:kern w:val="0"/>
                <w:sz w:val="28"/>
                <w:szCs w:val="28"/>
                <w:lang w:eastAsia="en-IN"/>
                <w14:ligatures w14:val="none"/>
              </w:rPr>
              <w:t xml:space="preserve">Haryana </w:t>
            </w:r>
          </w:p>
        </w:tc>
        <w:tc>
          <w:tcPr>
            <w:tcW w:w="2578" w:type="dxa"/>
            <w:tcBorders>
              <w:top w:val="nil"/>
              <w:left w:val="nil"/>
              <w:bottom w:val="single" w:sz="4" w:space="0" w:color="auto"/>
              <w:right w:val="single" w:sz="4" w:space="0" w:color="auto"/>
            </w:tcBorders>
            <w:noWrap/>
            <w:vAlign w:val="bottom"/>
            <w:hideMark/>
          </w:tcPr>
          <w:p w14:paraId="4C5D4AF2" w14:textId="2C4702FD" w:rsidR="00035789" w:rsidRPr="00803F7A" w:rsidRDefault="00035789" w:rsidP="00035789">
            <w:pPr>
              <w:spacing w:after="0" w:line="240" w:lineRule="auto"/>
              <w:jc w:val="center"/>
              <w:rPr>
                <w:rFonts w:ascii="Times New Roman" w:eastAsia="Times New Roman" w:hAnsi="Times New Roman" w:cs="Times New Roman"/>
                <w:color w:val="000000"/>
                <w:kern w:val="0"/>
                <w:sz w:val="28"/>
                <w:szCs w:val="28"/>
                <w:lang w:eastAsia="en-IN"/>
                <w14:ligatures w14:val="none"/>
              </w:rPr>
            </w:pPr>
            <w:r w:rsidRPr="00803F7A">
              <w:rPr>
                <w:rFonts w:ascii="Times New Roman" w:eastAsia="Times New Roman" w:hAnsi="Times New Roman" w:cs="Times New Roman"/>
                <w:color w:val="000000"/>
                <w:kern w:val="0"/>
                <w:sz w:val="28"/>
                <w:szCs w:val="28"/>
                <w:lang w:eastAsia="en-IN"/>
                <w14:ligatures w14:val="none"/>
              </w:rPr>
              <w:t>1.</w:t>
            </w:r>
            <w:r w:rsidR="00E13E35">
              <w:rPr>
                <w:rFonts w:ascii="Times New Roman" w:eastAsia="Times New Roman" w:hAnsi="Times New Roman" w:cs="Times New Roman"/>
                <w:color w:val="000000"/>
                <w:kern w:val="0"/>
                <w:sz w:val="28"/>
                <w:szCs w:val="28"/>
                <w:lang w:eastAsia="en-IN"/>
                <w14:ligatures w14:val="none"/>
              </w:rPr>
              <w:t>4</w:t>
            </w:r>
            <w:r w:rsidRPr="00803F7A">
              <w:rPr>
                <w:rFonts w:ascii="Times New Roman" w:eastAsia="Times New Roman" w:hAnsi="Times New Roman" w:cs="Times New Roman"/>
                <w:color w:val="000000"/>
                <w:kern w:val="0"/>
                <w:sz w:val="28"/>
                <w:szCs w:val="28"/>
                <w:lang w:eastAsia="en-IN"/>
                <w14:ligatures w14:val="none"/>
              </w:rPr>
              <w:t>9</w:t>
            </w:r>
          </w:p>
        </w:tc>
      </w:tr>
      <w:tr w:rsidR="00035789" w:rsidRPr="00803F7A" w14:paraId="0EDE44C5" w14:textId="77777777" w:rsidTr="00803F7A">
        <w:trPr>
          <w:trHeight w:val="188"/>
        </w:trPr>
        <w:tc>
          <w:tcPr>
            <w:tcW w:w="3058" w:type="dxa"/>
            <w:tcBorders>
              <w:top w:val="nil"/>
              <w:left w:val="single" w:sz="4" w:space="0" w:color="auto"/>
              <w:bottom w:val="single" w:sz="4" w:space="0" w:color="auto"/>
              <w:right w:val="single" w:sz="4" w:space="0" w:color="auto"/>
            </w:tcBorders>
            <w:noWrap/>
            <w:vAlign w:val="bottom"/>
            <w:hideMark/>
          </w:tcPr>
          <w:p w14:paraId="4F8CB3AB" w14:textId="77777777" w:rsidR="00035789" w:rsidRPr="00803F7A" w:rsidRDefault="00035789" w:rsidP="00035789">
            <w:pPr>
              <w:spacing w:after="0" w:line="240" w:lineRule="auto"/>
              <w:rPr>
                <w:rFonts w:ascii="Times New Roman" w:eastAsia="Times New Roman" w:hAnsi="Times New Roman" w:cs="Times New Roman"/>
                <w:color w:val="000000"/>
                <w:kern w:val="0"/>
                <w:sz w:val="28"/>
                <w:szCs w:val="28"/>
                <w:lang w:eastAsia="en-IN"/>
                <w14:ligatures w14:val="none"/>
              </w:rPr>
            </w:pPr>
            <w:r w:rsidRPr="00803F7A">
              <w:rPr>
                <w:rFonts w:ascii="Times New Roman" w:eastAsia="Times New Roman" w:hAnsi="Times New Roman" w:cs="Times New Roman"/>
                <w:color w:val="000000"/>
                <w:kern w:val="0"/>
                <w:sz w:val="28"/>
                <w:szCs w:val="28"/>
                <w:lang w:eastAsia="en-IN"/>
                <w14:ligatures w14:val="none"/>
              </w:rPr>
              <w:t xml:space="preserve">Jammu and Kashmir </w:t>
            </w:r>
          </w:p>
        </w:tc>
        <w:tc>
          <w:tcPr>
            <w:tcW w:w="2578" w:type="dxa"/>
            <w:tcBorders>
              <w:top w:val="nil"/>
              <w:left w:val="nil"/>
              <w:bottom w:val="single" w:sz="4" w:space="0" w:color="auto"/>
              <w:right w:val="single" w:sz="4" w:space="0" w:color="auto"/>
            </w:tcBorders>
            <w:noWrap/>
            <w:vAlign w:val="bottom"/>
            <w:hideMark/>
          </w:tcPr>
          <w:p w14:paraId="63D5745F" w14:textId="77777777" w:rsidR="00035789" w:rsidRPr="00803F7A" w:rsidRDefault="00035789" w:rsidP="00035789">
            <w:pPr>
              <w:spacing w:after="0" w:line="240" w:lineRule="auto"/>
              <w:jc w:val="center"/>
              <w:rPr>
                <w:rFonts w:ascii="Times New Roman" w:eastAsia="Times New Roman" w:hAnsi="Times New Roman" w:cs="Times New Roman"/>
                <w:color w:val="000000"/>
                <w:kern w:val="0"/>
                <w:sz w:val="28"/>
                <w:szCs w:val="28"/>
                <w:lang w:eastAsia="en-IN"/>
                <w14:ligatures w14:val="none"/>
              </w:rPr>
            </w:pPr>
            <w:r w:rsidRPr="00803F7A">
              <w:rPr>
                <w:rFonts w:ascii="Times New Roman" w:eastAsia="Times New Roman" w:hAnsi="Times New Roman" w:cs="Times New Roman"/>
                <w:color w:val="000000"/>
                <w:kern w:val="0"/>
                <w:sz w:val="28"/>
                <w:szCs w:val="28"/>
                <w:lang w:eastAsia="en-IN"/>
                <w14:ligatures w14:val="none"/>
              </w:rPr>
              <w:t>1.12</w:t>
            </w:r>
          </w:p>
        </w:tc>
      </w:tr>
      <w:tr w:rsidR="00035789" w:rsidRPr="00803F7A" w14:paraId="58B83B8B" w14:textId="77777777" w:rsidTr="00803F7A">
        <w:trPr>
          <w:trHeight w:val="188"/>
        </w:trPr>
        <w:tc>
          <w:tcPr>
            <w:tcW w:w="3058" w:type="dxa"/>
            <w:tcBorders>
              <w:top w:val="nil"/>
              <w:left w:val="single" w:sz="4" w:space="0" w:color="auto"/>
              <w:bottom w:val="single" w:sz="4" w:space="0" w:color="auto"/>
              <w:right w:val="single" w:sz="4" w:space="0" w:color="auto"/>
            </w:tcBorders>
            <w:noWrap/>
            <w:vAlign w:val="bottom"/>
            <w:hideMark/>
          </w:tcPr>
          <w:p w14:paraId="0000EE65" w14:textId="77777777" w:rsidR="00035789" w:rsidRPr="00803F7A" w:rsidRDefault="00035789" w:rsidP="00035789">
            <w:pPr>
              <w:spacing w:after="0" w:line="240" w:lineRule="auto"/>
              <w:rPr>
                <w:rFonts w:ascii="Times New Roman" w:eastAsia="Times New Roman" w:hAnsi="Times New Roman" w:cs="Times New Roman"/>
                <w:color w:val="000000"/>
                <w:kern w:val="0"/>
                <w:sz w:val="28"/>
                <w:szCs w:val="28"/>
                <w:lang w:eastAsia="en-IN"/>
                <w14:ligatures w14:val="none"/>
              </w:rPr>
            </w:pPr>
            <w:r w:rsidRPr="00803F7A">
              <w:rPr>
                <w:rFonts w:ascii="Times New Roman" w:eastAsia="Times New Roman" w:hAnsi="Times New Roman" w:cs="Times New Roman"/>
                <w:color w:val="000000"/>
                <w:kern w:val="0"/>
                <w:sz w:val="28"/>
                <w:szCs w:val="28"/>
                <w:lang w:eastAsia="en-IN"/>
                <w14:ligatures w14:val="none"/>
              </w:rPr>
              <w:t xml:space="preserve">Kerala </w:t>
            </w:r>
          </w:p>
        </w:tc>
        <w:tc>
          <w:tcPr>
            <w:tcW w:w="2578" w:type="dxa"/>
            <w:tcBorders>
              <w:top w:val="nil"/>
              <w:left w:val="nil"/>
              <w:bottom w:val="single" w:sz="4" w:space="0" w:color="auto"/>
              <w:right w:val="single" w:sz="4" w:space="0" w:color="auto"/>
            </w:tcBorders>
            <w:noWrap/>
            <w:vAlign w:val="bottom"/>
            <w:hideMark/>
          </w:tcPr>
          <w:p w14:paraId="3EC64E57" w14:textId="77777777" w:rsidR="00035789" w:rsidRPr="00803F7A" w:rsidRDefault="00035789" w:rsidP="00035789">
            <w:pPr>
              <w:spacing w:after="0" w:line="240" w:lineRule="auto"/>
              <w:jc w:val="center"/>
              <w:rPr>
                <w:rFonts w:ascii="Times New Roman" w:eastAsia="Times New Roman" w:hAnsi="Times New Roman" w:cs="Times New Roman"/>
                <w:color w:val="000000"/>
                <w:kern w:val="0"/>
                <w:sz w:val="28"/>
                <w:szCs w:val="28"/>
                <w:lang w:eastAsia="en-IN"/>
                <w14:ligatures w14:val="none"/>
              </w:rPr>
            </w:pPr>
            <w:r w:rsidRPr="00803F7A">
              <w:rPr>
                <w:rFonts w:ascii="Times New Roman" w:eastAsia="Times New Roman" w:hAnsi="Times New Roman" w:cs="Times New Roman"/>
                <w:color w:val="000000"/>
                <w:kern w:val="0"/>
                <w:sz w:val="28"/>
                <w:szCs w:val="28"/>
                <w:lang w:eastAsia="en-IN"/>
                <w14:ligatures w14:val="none"/>
              </w:rPr>
              <w:t>4.28</w:t>
            </w:r>
          </w:p>
        </w:tc>
      </w:tr>
      <w:tr w:rsidR="00035789" w:rsidRPr="00803F7A" w14:paraId="4E924C63" w14:textId="77777777" w:rsidTr="00803F7A">
        <w:trPr>
          <w:trHeight w:val="188"/>
        </w:trPr>
        <w:tc>
          <w:tcPr>
            <w:tcW w:w="3058" w:type="dxa"/>
            <w:tcBorders>
              <w:top w:val="nil"/>
              <w:left w:val="single" w:sz="4" w:space="0" w:color="auto"/>
              <w:bottom w:val="single" w:sz="4" w:space="0" w:color="auto"/>
              <w:right w:val="single" w:sz="4" w:space="0" w:color="auto"/>
            </w:tcBorders>
            <w:noWrap/>
            <w:vAlign w:val="bottom"/>
            <w:hideMark/>
          </w:tcPr>
          <w:p w14:paraId="2ED12641" w14:textId="77777777" w:rsidR="00035789" w:rsidRPr="00803F7A" w:rsidRDefault="00035789" w:rsidP="00035789">
            <w:pPr>
              <w:spacing w:after="0" w:line="240" w:lineRule="auto"/>
              <w:rPr>
                <w:rFonts w:ascii="Times New Roman" w:eastAsia="Times New Roman" w:hAnsi="Times New Roman" w:cs="Times New Roman"/>
                <w:color w:val="000000"/>
                <w:kern w:val="0"/>
                <w:sz w:val="28"/>
                <w:szCs w:val="28"/>
                <w:lang w:eastAsia="en-IN"/>
                <w14:ligatures w14:val="none"/>
              </w:rPr>
            </w:pPr>
            <w:r w:rsidRPr="00803F7A">
              <w:rPr>
                <w:rFonts w:ascii="Times New Roman" w:eastAsia="Times New Roman" w:hAnsi="Times New Roman" w:cs="Times New Roman"/>
                <w:color w:val="000000"/>
                <w:kern w:val="0"/>
                <w:sz w:val="28"/>
                <w:szCs w:val="28"/>
                <w:lang w:eastAsia="en-IN"/>
                <w14:ligatures w14:val="none"/>
              </w:rPr>
              <w:t xml:space="preserve">Madhya Pradesh </w:t>
            </w:r>
          </w:p>
        </w:tc>
        <w:tc>
          <w:tcPr>
            <w:tcW w:w="2578" w:type="dxa"/>
            <w:tcBorders>
              <w:top w:val="nil"/>
              <w:left w:val="nil"/>
              <w:bottom w:val="single" w:sz="4" w:space="0" w:color="auto"/>
              <w:right w:val="single" w:sz="4" w:space="0" w:color="auto"/>
            </w:tcBorders>
            <w:noWrap/>
            <w:vAlign w:val="bottom"/>
            <w:hideMark/>
          </w:tcPr>
          <w:p w14:paraId="28B54E87" w14:textId="77777777" w:rsidR="00035789" w:rsidRPr="00803F7A" w:rsidRDefault="00035789" w:rsidP="00035789">
            <w:pPr>
              <w:spacing w:after="0" w:line="240" w:lineRule="auto"/>
              <w:jc w:val="center"/>
              <w:rPr>
                <w:rFonts w:ascii="Times New Roman" w:eastAsia="Times New Roman" w:hAnsi="Times New Roman" w:cs="Times New Roman"/>
                <w:color w:val="000000"/>
                <w:kern w:val="0"/>
                <w:sz w:val="28"/>
                <w:szCs w:val="28"/>
                <w:lang w:eastAsia="en-IN"/>
                <w14:ligatures w14:val="none"/>
              </w:rPr>
            </w:pPr>
            <w:r w:rsidRPr="00803F7A">
              <w:rPr>
                <w:rFonts w:ascii="Times New Roman" w:eastAsia="Times New Roman" w:hAnsi="Times New Roman" w:cs="Times New Roman"/>
                <w:color w:val="000000"/>
                <w:kern w:val="0"/>
                <w:sz w:val="28"/>
                <w:szCs w:val="28"/>
                <w:lang w:eastAsia="en-IN"/>
                <w14:ligatures w14:val="none"/>
              </w:rPr>
              <w:t>8.48</w:t>
            </w:r>
          </w:p>
        </w:tc>
      </w:tr>
      <w:tr w:rsidR="00035789" w:rsidRPr="00803F7A" w14:paraId="347C5F7D" w14:textId="77777777" w:rsidTr="00803F7A">
        <w:trPr>
          <w:trHeight w:val="188"/>
        </w:trPr>
        <w:tc>
          <w:tcPr>
            <w:tcW w:w="3058" w:type="dxa"/>
            <w:tcBorders>
              <w:top w:val="nil"/>
              <w:left w:val="single" w:sz="4" w:space="0" w:color="auto"/>
              <w:bottom w:val="single" w:sz="4" w:space="0" w:color="auto"/>
              <w:right w:val="single" w:sz="4" w:space="0" w:color="auto"/>
            </w:tcBorders>
            <w:noWrap/>
            <w:vAlign w:val="bottom"/>
            <w:hideMark/>
          </w:tcPr>
          <w:p w14:paraId="5D894668" w14:textId="77777777" w:rsidR="00035789" w:rsidRPr="00803F7A" w:rsidRDefault="00035789" w:rsidP="00035789">
            <w:pPr>
              <w:spacing w:after="0" w:line="240" w:lineRule="auto"/>
              <w:rPr>
                <w:rFonts w:ascii="Times New Roman" w:eastAsia="Times New Roman" w:hAnsi="Times New Roman" w:cs="Times New Roman"/>
                <w:color w:val="000000"/>
                <w:kern w:val="0"/>
                <w:sz w:val="28"/>
                <w:szCs w:val="28"/>
                <w:lang w:eastAsia="en-IN"/>
                <w14:ligatures w14:val="none"/>
              </w:rPr>
            </w:pPr>
            <w:r w:rsidRPr="00803F7A">
              <w:rPr>
                <w:rFonts w:ascii="Times New Roman" w:eastAsia="Times New Roman" w:hAnsi="Times New Roman" w:cs="Times New Roman"/>
                <w:color w:val="000000"/>
                <w:kern w:val="0"/>
                <w:sz w:val="28"/>
                <w:szCs w:val="28"/>
                <w:lang w:eastAsia="en-IN"/>
                <w14:ligatures w14:val="none"/>
              </w:rPr>
              <w:t xml:space="preserve">Maharashtra </w:t>
            </w:r>
          </w:p>
        </w:tc>
        <w:tc>
          <w:tcPr>
            <w:tcW w:w="2578" w:type="dxa"/>
            <w:tcBorders>
              <w:top w:val="nil"/>
              <w:left w:val="nil"/>
              <w:bottom w:val="single" w:sz="4" w:space="0" w:color="auto"/>
              <w:right w:val="single" w:sz="4" w:space="0" w:color="auto"/>
            </w:tcBorders>
            <w:noWrap/>
            <w:vAlign w:val="bottom"/>
            <w:hideMark/>
          </w:tcPr>
          <w:p w14:paraId="765EF8D1" w14:textId="77777777" w:rsidR="00035789" w:rsidRPr="00803F7A" w:rsidRDefault="00035789" w:rsidP="00035789">
            <w:pPr>
              <w:spacing w:after="0" w:line="240" w:lineRule="auto"/>
              <w:jc w:val="center"/>
              <w:rPr>
                <w:rFonts w:ascii="Times New Roman" w:eastAsia="Times New Roman" w:hAnsi="Times New Roman" w:cs="Times New Roman"/>
                <w:color w:val="000000"/>
                <w:kern w:val="0"/>
                <w:sz w:val="28"/>
                <w:szCs w:val="28"/>
                <w:lang w:eastAsia="en-IN"/>
                <w14:ligatures w14:val="none"/>
              </w:rPr>
            </w:pPr>
            <w:r w:rsidRPr="00803F7A">
              <w:rPr>
                <w:rFonts w:ascii="Times New Roman" w:eastAsia="Times New Roman" w:hAnsi="Times New Roman" w:cs="Times New Roman"/>
                <w:color w:val="000000"/>
                <w:kern w:val="0"/>
                <w:sz w:val="28"/>
                <w:szCs w:val="28"/>
                <w:lang w:eastAsia="en-IN"/>
                <w14:ligatures w14:val="none"/>
              </w:rPr>
              <w:t>7.93</w:t>
            </w:r>
          </w:p>
        </w:tc>
      </w:tr>
      <w:tr w:rsidR="00035789" w:rsidRPr="00803F7A" w14:paraId="2EAA0358" w14:textId="77777777" w:rsidTr="00803F7A">
        <w:trPr>
          <w:trHeight w:val="188"/>
        </w:trPr>
        <w:tc>
          <w:tcPr>
            <w:tcW w:w="3058" w:type="dxa"/>
            <w:tcBorders>
              <w:top w:val="nil"/>
              <w:left w:val="single" w:sz="4" w:space="0" w:color="auto"/>
              <w:bottom w:val="single" w:sz="4" w:space="0" w:color="auto"/>
              <w:right w:val="single" w:sz="4" w:space="0" w:color="auto"/>
            </w:tcBorders>
            <w:noWrap/>
            <w:vAlign w:val="bottom"/>
            <w:hideMark/>
          </w:tcPr>
          <w:p w14:paraId="2268181A" w14:textId="77777777" w:rsidR="00035789" w:rsidRPr="00803F7A" w:rsidRDefault="00035789" w:rsidP="00035789">
            <w:pPr>
              <w:spacing w:after="0" w:line="240" w:lineRule="auto"/>
              <w:rPr>
                <w:rFonts w:ascii="Times New Roman" w:eastAsia="Times New Roman" w:hAnsi="Times New Roman" w:cs="Times New Roman"/>
                <w:color w:val="000000"/>
                <w:kern w:val="0"/>
                <w:sz w:val="28"/>
                <w:szCs w:val="28"/>
                <w:lang w:eastAsia="en-IN"/>
                <w14:ligatures w14:val="none"/>
              </w:rPr>
            </w:pPr>
            <w:r w:rsidRPr="00803F7A">
              <w:rPr>
                <w:rFonts w:ascii="Times New Roman" w:eastAsia="Times New Roman" w:hAnsi="Times New Roman" w:cs="Times New Roman"/>
                <w:color w:val="000000"/>
                <w:kern w:val="0"/>
                <w:sz w:val="28"/>
                <w:szCs w:val="28"/>
                <w:lang w:eastAsia="en-IN"/>
                <w14:ligatures w14:val="none"/>
              </w:rPr>
              <w:t xml:space="preserve">Mysore </w:t>
            </w:r>
          </w:p>
        </w:tc>
        <w:tc>
          <w:tcPr>
            <w:tcW w:w="2578" w:type="dxa"/>
            <w:tcBorders>
              <w:top w:val="nil"/>
              <w:left w:val="nil"/>
              <w:bottom w:val="single" w:sz="4" w:space="0" w:color="auto"/>
              <w:right w:val="single" w:sz="4" w:space="0" w:color="auto"/>
            </w:tcBorders>
            <w:noWrap/>
            <w:vAlign w:val="bottom"/>
            <w:hideMark/>
          </w:tcPr>
          <w:p w14:paraId="0E71612F" w14:textId="77777777" w:rsidR="00035789" w:rsidRPr="00803F7A" w:rsidRDefault="00035789" w:rsidP="00035789">
            <w:pPr>
              <w:spacing w:after="0" w:line="240" w:lineRule="auto"/>
              <w:jc w:val="center"/>
              <w:rPr>
                <w:rFonts w:ascii="Times New Roman" w:eastAsia="Times New Roman" w:hAnsi="Times New Roman" w:cs="Times New Roman"/>
                <w:color w:val="000000"/>
                <w:kern w:val="0"/>
                <w:sz w:val="28"/>
                <w:szCs w:val="28"/>
                <w:lang w:eastAsia="en-IN"/>
                <w14:ligatures w14:val="none"/>
              </w:rPr>
            </w:pPr>
            <w:r w:rsidRPr="00803F7A">
              <w:rPr>
                <w:rFonts w:ascii="Times New Roman" w:eastAsia="Times New Roman" w:hAnsi="Times New Roman" w:cs="Times New Roman"/>
                <w:color w:val="000000"/>
                <w:kern w:val="0"/>
                <w:sz w:val="28"/>
                <w:szCs w:val="28"/>
                <w:lang w:eastAsia="en-IN"/>
                <w14:ligatures w14:val="none"/>
              </w:rPr>
              <w:t>4.65</w:t>
            </w:r>
          </w:p>
        </w:tc>
      </w:tr>
      <w:tr w:rsidR="00035789" w:rsidRPr="00803F7A" w14:paraId="543CE271" w14:textId="77777777" w:rsidTr="00803F7A">
        <w:trPr>
          <w:trHeight w:val="188"/>
        </w:trPr>
        <w:tc>
          <w:tcPr>
            <w:tcW w:w="3058" w:type="dxa"/>
            <w:tcBorders>
              <w:top w:val="nil"/>
              <w:left w:val="single" w:sz="4" w:space="0" w:color="auto"/>
              <w:bottom w:val="single" w:sz="4" w:space="0" w:color="auto"/>
              <w:right w:val="single" w:sz="4" w:space="0" w:color="auto"/>
            </w:tcBorders>
            <w:noWrap/>
            <w:vAlign w:val="bottom"/>
            <w:hideMark/>
          </w:tcPr>
          <w:p w14:paraId="4B4F1472" w14:textId="77777777" w:rsidR="00035789" w:rsidRPr="00803F7A" w:rsidRDefault="00035789" w:rsidP="00035789">
            <w:pPr>
              <w:spacing w:after="0" w:line="240" w:lineRule="auto"/>
              <w:rPr>
                <w:rFonts w:ascii="Times New Roman" w:eastAsia="Times New Roman" w:hAnsi="Times New Roman" w:cs="Times New Roman"/>
                <w:color w:val="000000"/>
                <w:kern w:val="0"/>
                <w:sz w:val="28"/>
                <w:szCs w:val="28"/>
                <w:lang w:eastAsia="en-IN"/>
                <w14:ligatures w14:val="none"/>
              </w:rPr>
            </w:pPr>
            <w:r w:rsidRPr="00803F7A">
              <w:rPr>
                <w:rFonts w:ascii="Times New Roman" w:eastAsia="Times New Roman" w:hAnsi="Times New Roman" w:cs="Times New Roman"/>
                <w:color w:val="000000"/>
                <w:kern w:val="0"/>
                <w:sz w:val="28"/>
                <w:szCs w:val="28"/>
                <w:lang w:eastAsia="en-IN"/>
                <w14:ligatures w14:val="none"/>
              </w:rPr>
              <w:t xml:space="preserve">Nagaland </w:t>
            </w:r>
          </w:p>
        </w:tc>
        <w:tc>
          <w:tcPr>
            <w:tcW w:w="2578" w:type="dxa"/>
            <w:tcBorders>
              <w:top w:val="nil"/>
              <w:left w:val="nil"/>
              <w:bottom w:val="single" w:sz="4" w:space="0" w:color="auto"/>
              <w:right w:val="single" w:sz="4" w:space="0" w:color="auto"/>
            </w:tcBorders>
            <w:noWrap/>
            <w:vAlign w:val="bottom"/>
            <w:hideMark/>
          </w:tcPr>
          <w:p w14:paraId="33D02C36" w14:textId="77777777" w:rsidR="00035789" w:rsidRPr="00803F7A" w:rsidRDefault="00035789" w:rsidP="00035789">
            <w:pPr>
              <w:spacing w:after="0" w:line="240" w:lineRule="auto"/>
              <w:jc w:val="center"/>
              <w:rPr>
                <w:rFonts w:ascii="Times New Roman" w:eastAsia="Times New Roman" w:hAnsi="Times New Roman" w:cs="Times New Roman"/>
                <w:color w:val="000000"/>
                <w:kern w:val="0"/>
                <w:sz w:val="28"/>
                <w:szCs w:val="28"/>
                <w:lang w:eastAsia="en-IN"/>
                <w14:ligatures w14:val="none"/>
              </w:rPr>
            </w:pPr>
            <w:r w:rsidRPr="00803F7A">
              <w:rPr>
                <w:rFonts w:ascii="Times New Roman" w:eastAsia="Times New Roman" w:hAnsi="Times New Roman" w:cs="Times New Roman"/>
                <w:color w:val="000000"/>
                <w:kern w:val="0"/>
                <w:sz w:val="28"/>
                <w:szCs w:val="28"/>
                <w:lang w:eastAsia="en-IN"/>
                <w14:ligatures w14:val="none"/>
              </w:rPr>
              <w:t>0.08</w:t>
            </w:r>
          </w:p>
        </w:tc>
      </w:tr>
      <w:tr w:rsidR="00035789" w:rsidRPr="00803F7A" w14:paraId="637E3914" w14:textId="77777777" w:rsidTr="00803F7A">
        <w:trPr>
          <w:trHeight w:val="188"/>
        </w:trPr>
        <w:tc>
          <w:tcPr>
            <w:tcW w:w="3058" w:type="dxa"/>
            <w:tcBorders>
              <w:top w:val="nil"/>
              <w:left w:val="single" w:sz="4" w:space="0" w:color="auto"/>
              <w:bottom w:val="single" w:sz="4" w:space="0" w:color="auto"/>
              <w:right w:val="single" w:sz="4" w:space="0" w:color="auto"/>
            </w:tcBorders>
            <w:noWrap/>
            <w:vAlign w:val="bottom"/>
            <w:hideMark/>
          </w:tcPr>
          <w:p w14:paraId="3EC7E630" w14:textId="77777777" w:rsidR="00035789" w:rsidRPr="00803F7A" w:rsidRDefault="00035789" w:rsidP="00035789">
            <w:pPr>
              <w:spacing w:after="0" w:line="240" w:lineRule="auto"/>
              <w:rPr>
                <w:rFonts w:ascii="Times New Roman" w:eastAsia="Times New Roman" w:hAnsi="Times New Roman" w:cs="Times New Roman"/>
                <w:color w:val="000000"/>
                <w:kern w:val="0"/>
                <w:sz w:val="28"/>
                <w:szCs w:val="28"/>
                <w:lang w:eastAsia="en-IN"/>
                <w14:ligatures w14:val="none"/>
              </w:rPr>
            </w:pPr>
            <w:r w:rsidRPr="00803F7A">
              <w:rPr>
                <w:rFonts w:ascii="Times New Roman" w:eastAsia="Times New Roman" w:hAnsi="Times New Roman" w:cs="Times New Roman"/>
                <w:color w:val="000000"/>
                <w:kern w:val="0"/>
                <w:sz w:val="28"/>
                <w:szCs w:val="28"/>
                <w:lang w:eastAsia="en-IN"/>
                <w14:ligatures w14:val="none"/>
              </w:rPr>
              <w:t xml:space="preserve">Orissa </w:t>
            </w:r>
          </w:p>
        </w:tc>
        <w:tc>
          <w:tcPr>
            <w:tcW w:w="2578" w:type="dxa"/>
            <w:tcBorders>
              <w:top w:val="nil"/>
              <w:left w:val="nil"/>
              <w:bottom w:val="single" w:sz="4" w:space="0" w:color="auto"/>
              <w:right w:val="single" w:sz="4" w:space="0" w:color="auto"/>
            </w:tcBorders>
            <w:noWrap/>
            <w:vAlign w:val="bottom"/>
            <w:hideMark/>
          </w:tcPr>
          <w:p w14:paraId="15D690D0" w14:textId="77777777" w:rsidR="00035789" w:rsidRPr="00803F7A" w:rsidRDefault="00035789" w:rsidP="00035789">
            <w:pPr>
              <w:spacing w:after="0" w:line="240" w:lineRule="auto"/>
              <w:jc w:val="center"/>
              <w:rPr>
                <w:rFonts w:ascii="Times New Roman" w:eastAsia="Times New Roman" w:hAnsi="Times New Roman" w:cs="Times New Roman"/>
                <w:color w:val="000000"/>
                <w:kern w:val="0"/>
                <w:sz w:val="28"/>
                <w:szCs w:val="28"/>
                <w:lang w:eastAsia="en-IN"/>
                <w14:ligatures w14:val="none"/>
              </w:rPr>
            </w:pPr>
            <w:r w:rsidRPr="00803F7A">
              <w:rPr>
                <w:rFonts w:ascii="Times New Roman" w:eastAsia="Times New Roman" w:hAnsi="Times New Roman" w:cs="Times New Roman"/>
                <w:color w:val="000000"/>
                <w:kern w:val="0"/>
                <w:sz w:val="28"/>
                <w:szCs w:val="28"/>
                <w:lang w:eastAsia="en-IN"/>
                <w14:ligatures w14:val="none"/>
              </w:rPr>
              <w:t>4.72</w:t>
            </w:r>
          </w:p>
        </w:tc>
      </w:tr>
      <w:tr w:rsidR="00035789" w:rsidRPr="00803F7A" w14:paraId="5393F20A" w14:textId="77777777" w:rsidTr="00803F7A">
        <w:trPr>
          <w:trHeight w:val="188"/>
        </w:trPr>
        <w:tc>
          <w:tcPr>
            <w:tcW w:w="3058" w:type="dxa"/>
            <w:tcBorders>
              <w:top w:val="nil"/>
              <w:left w:val="single" w:sz="4" w:space="0" w:color="auto"/>
              <w:bottom w:val="single" w:sz="4" w:space="0" w:color="auto"/>
              <w:right w:val="single" w:sz="4" w:space="0" w:color="auto"/>
            </w:tcBorders>
            <w:noWrap/>
            <w:vAlign w:val="bottom"/>
            <w:hideMark/>
          </w:tcPr>
          <w:p w14:paraId="7C6092F9" w14:textId="77777777" w:rsidR="00035789" w:rsidRPr="00803F7A" w:rsidRDefault="00035789" w:rsidP="00035789">
            <w:pPr>
              <w:spacing w:after="0" w:line="240" w:lineRule="auto"/>
              <w:rPr>
                <w:rFonts w:ascii="Times New Roman" w:eastAsia="Times New Roman" w:hAnsi="Times New Roman" w:cs="Times New Roman"/>
                <w:color w:val="000000"/>
                <w:kern w:val="0"/>
                <w:sz w:val="28"/>
                <w:szCs w:val="28"/>
                <w:lang w:eastAsia="en-IN"/>
                <w14:ligatures w14:val="none"/>
              </w:rPr>
            </w:pPr>
            <w:r w:rsidRPr="00803F7A">
              <w:rPr>
                <w:rFonts w:ascii="Times New Roman" w:eastAsia="Times New Roman" w:hAnsi="Times New Roman" w:cs="Times New Roman"/>
                <w:color w:val="000000"/>
                <w:kern w:val="0"/>
                <w:sz w:val="28"/>
                <w:szCs w:val="28"/>
                <w:lang w:eastAsia="en-IN"/>
                <w14:ligatures w14:val="none"/>
              </w:rPr>
              <w:t xml:space="preserve">Punjab </w:t>
            </w:r>
          </w:p>
        </w:tc>
        <w:tc>
          <w:tcPr>
            <w:tcW w:w="2578" w:type="dxa"/>
            <w:tcBorders>
              <w:top w:val="nil"/>
              <w:left w:val="nil"/>
              <w:bottom w:val="single" w:sz="4" w:space="0" w:color="auto"/>
              <w:right w:val="single" w:sz="4" w:space="0" w:color="auto"/>
            </w:tcBorders>
            <w:noWrap/>
            <w:vAlign w:val="bottom"/>
            <w:hideMark/>
          </w:tcPr>
          <w:p w14:paraId="1FF34B14" w14:textId="77777777" w:rsidR="00035789" w:rsidRPr="00803F7A" w:rsidRDefault="00035789" w:rsidP="00035789">
            <w:pPr>
              <w:spacing w:after="0" w:line="240" w:lineRule="auto"/>
              <w:jc w:val="center"/>
              <w:rPr>
                <w:rFonts w:ascii="Times New Roman" w:eastAsia="Times New Roman" w:hAnsi="Times New Roman" w:cs="Times New Roman"/>
                <w:color w:val="000000"/>
                <w:kern w:val="0"/>
                <w:sz w:val="28"/>
                <w:szCs w:val="28"/>
                <w:lang w:eastAsia="en-IN"/>
                <w14:ligatures w14:val="none"/>
              </w:rPr>
            </w:pPr>
            <w:r w:rsidRPr="00803F7A">
              <w:rPr>
                <w:rFonts w:ascii="Times New Roman" w:eastAsia="Times New Roman" w:hAnsi="Times New Roman" w:cs="Times New Roman"/>
                <w:color w:val="000000"/>
                <w:kern w:val="0"/>
                <w:sz w:val="28"/>
                <w:szCs w:val="28"/>
                <w:lang w:eastAsia="en-IN"/>
                <w14:ligatures w14:val="none"/>
              </w:rPr>
              <w:t>2.17</w:t>
            </w:r>
          </w:p>
        </w:tc>
      </w:tr>
      <w:tr w:rsidR="00035789" w:rsidRPr="00803F7A" w14:paraId="41B8A533" w14:textId="77777777" w:rsidTr="00803F7A">
        <w:trPr>
          <w:trHeight w:val="188"/>
        </w:trPr>
        <w:tc>
          <w:tcPr>
            <w:tcW w:w="3058" w:type="dxa"/>
            <w:tcBorders>
              <w:top w:val="nil"/>
              <w:left w:val="single" w:sz="4" w:space="0" w:color="auto"/>
              <w:bottom w:val="single" w:sz="4" w:space="0" w:color="auto"/>
              <w:right w:val="single" w:sz="4" w:space="0" w:color="auto"/>
            </w:tcBorders>
            <w:noWrap/>
            <w:vAlign w:val="bottom"/>
            <w:hideMark/>
          </w:tcPr>
          <w:p w14:paraId="6DB9572D" w14:textId="77777777" w:rsidR="00035789" w:rsidRPr="00803F7A" w:rsidRDefault="00035789" w:rsidP="00035789">
            <w:pPr>
              <w:spacing w:after="0" w:line="240" w:lineRule="auto"/>
              <w:rPr>
                <w:rFonts w:ascii="Times New Roman" w:eastAsia="Times New Roman" w:hAnsi="Times New Roman" w:cs="Times New Roman"/>
                <w:color w:val="000000"/>
                <w:kern w:val="0"/>
                <w:sz w:val="28"/>
                <w:szCs w:val="28"/>
                <w:lang w:eastAsia="en-IN"/>
                <w14:ligatures w14:val="none"/>
              </w:rPr>
            </w:pPr>
            <w:r w:rsidRPr="00803F7A">
              <w:rPr>
                <w:rFonts w:ascii="Times New Roman" w:eastAsia="Times New Roman" w:hAnsi="Times New Roman" w:cs="Times New Roman"/>
                <w:color w:val="000000"/>
                <w:kern w:val="0"/>
                <w:sz w:val="28"/>
                <w:szCs w:val="28"/>
                <w:lang w:eastAsia="en-IN"/>
                <w14:ligatures w14:val="none"/>
              </w:rPr>
              <w:t xml:space="preserve">Rajasthan </w:t>
            </w:r>
          </w:p>
        </w:tc>
        <w:tc>
          <w:tcPr>
            <w:tcW w:w="2578" w:type="dxa"/>
            <w:tcBorders>
              <w:top w:val="nil"/>
              <w:left w:val="nil"/>
              <w:bottom w:val="single" w:sz="4" w:space="0" w:color="auto"/>
              <w:right w:val="single" w:sz="4" w:space="0" w:color="auto"/>
            </w:tcBorders>
            <w:noWrap/>
            <w:vAlign w:val="bottom"/>
            <w:hideMark/>
          </w:tcPr>
          <w:p w14:paraId="7A52489D" w14:textId="77777777" w:rsidR="00035789" w:rsidRPr="00803F7A" w:rsidRDefault="00035789" w:rsidP="00035789">
            <w:pPr>
              <w:spacing w:after="0" w:line="240" w:lineRule="auto"/>
              <w:jc w:val="center"/>
              <w:rPr>
                <w:rFonts w:ascii="Times New Roman" w:eastAsia="Times New Roman" w:hAnsi="Times New Roman" w:cs="Times New Roman"/>
                <w:color w:val="000000"/>
                <w:kern w:val="0"/>
                <w:sz w:val="28"/>
                <w:szCs w:val="28"/>
                <w:lang w:eastAsia="en-IN"/>
                <w14:ligatures w14:val="none"/>
              </w:rPr>
            </w:pPr>
            <w:r w:rsidRPr="00803F7A">
              <w:rPr>
                <w:rFonts w:ascii="Times New Roman" w:eastAsia="Times New Roman" w:hAnsi="Times New Roman" w:cs="Times New Roman"/>
                <w:color w:val="000000"/>
                <w:kern w:val="0"/>
                <w:sz w:val="28"/>
                <w:szCs w:val="28"/>
                <w:lang w:eastAsia="en-IN"/>
                <w14:ligatures w14:val="none"/>
              </w:rPr>
              <w:t>5.28</w:t>
            </w:r>
          </w:p>
        </w:tc>
      </w:tr>
      <w:tr w:rsidR="00035789" w:rsidRPr="00803F7A" w14:paraId="674BBE82" w14:textId="77777777" w:rsidTr="00803F7A">
        <w:trPr>
          <w:trHeight w:val="188"/>
        </w:trPr>
        <w:tc>
          <w:tcPr>
            <w:tcW w:w="3058" w:type="dxa"/>
            <w:tcBorders>
              <w:top w:val="nil"/>
              <w:left w:val="single" w:sz="4" w:space="0" w:color="auto"/>
              <w:bottom w:val="single" w:sz="4" w:space="0" w:color="auto"/>
              <w:right w:val="single" w:sz="4" w:space="0" w:color="auto"/>
            </w:tcBorders>
            <w:noWrap/>
            <w:vAlign w:val="bottom"/>
            <w:hideMark/>
          </w:tcPr>
          <w:p w14:paraId="63A65A3C" w14:textId="77777777" w:rsidR="00035789" w:rsidRPr="00803F7A" w:rsidRDefault="00035789" w:rsidP="00035789">
            <w:pPr>
              <w:spacing w:after="0" w:line="240" w:lineRule="auto"/>
              <w:rPr>
                <w:rFonts w:ascii="Times New Roman" w:eastAsia="Times New Roman" w:hAnsi="Times New Roman" w:cs="Times New Roman"/>
                <w:color w:val="000000"/>
                <w:kern w:val="0"/>
                <w:sz w:val="28"/>
                <w:szCs w:val="28"/>
                <w:lang w:eastAsia="en-IN"/>
                <w14:ligatures w14:val="none"/>
              </w:rPr>
            </w:pPr>
            <w:r w:rsidRPr="00803F7A">
              <w:rPr>
                <w:rFonts w:ascii="Times New Roman" w:eastAsia="Times New Roman" w:hAnsi="Times New Roman" w:cs="Times New Roman"/>
                <w:color w:val="000000"/>
                <w:kern w:val="0"/>
                <w:sz w:val="28"/>
                <w:szCs w:val="28"/>
                <w:lang w:eastAsia="en-IN"/>
                <w14:ligatures w14:val="none"/>
              </w:rPr>
              <w:t>Tamil Nadu</w:t>
            </w:r>
          </w:p>
        </w:tc>
        <w:tc>
          <w:tcPr>
            <w:tcW w:w="2578" w:type="dxa"/>
            <w:tcBorders>
              <w:top w:val="nil"/>
              <w:left w:val="nil"/>
              <w:bottom w:val="single" w:sz="4" w:space="0" w:color="auto"/>
              <w:right w:val="single" w:sz="4" w:space="0" w:color="auto"/>
            </w:tcBorders>
            <w:noWrap/>
            <w:vAlign w:val="bottom"/>
            <w:hideMark/>
          </w:tcPr>
          <w:p w14:paraId="7FE09F49" w14:textId="368DA122" w:rsidR="00035789" w:rsidRPr="00803F7A" w:rsidRDefault="00035789" w:rsidP="00035789">
            <w:pPr>
              <w:spacing w:after="0" w:line="240" w:lineRule="auto"/>
              <w:jc w:val="center"/>
              <w:rPr>
                <w:rFonts w:ascii="Times New Roman" w:eastAsia="Times New Roman" w:hAnsi="Times New Roman" w:cs="Times New Roman"/>
                <w:color w:val="000000"/>
                <w:kern w:val="0"/>
                <w:sz w:val="28"/>
                <w:szCs w:val="28"/>
                <w:lang w:eastAsia="en-IN"/>
                <w14:ligatures w14:val="none"/>
              </w:rPr>
            </w:pPr>
            <w:r w:rsidRPr="00803F7A">
              <w:rPr>
                <w:rFonts w:ascii="Times New Roman" w:eastAsia="Times New Roman" w:hAnsi="Times New Roman" w:cs="Times New Roman"/>
                <w:color w:val="000000"/>
                <w:kern w:val="0"/>
                <w:sz w:val="28"/>
                <w:szCs w:val="28"/>
                <w:lang w:eastAsia="en-IN"/>
                <w14:ligatures w14:val="none"/>
              </w:rPr>
              <w:t>6.5</w:t>
            </w:r>
            <w:r w:rsidR="00B07595">
              <w:rPr>
                <w:rFonts w:ascii="Times New Roman" w:eastAsia="Times New Roman" w:hAnsi="Times New Roman" w:cs="Times New Roman"/>
                <w:color w:val="000000"/>
                <w:kern w:val="0"/>
                <w:sz w:val="28"/>
                <w:szCs w:val="28"/>
                <w:lang w:eastAsia="en-IN"/>
                <w14:ligatures w14:val="none"/>
              </w:rPr>
              <w:t>0</w:t>
            </w:r>
          </w:p>
        </w:tc>
      </w:tr>
      <w:tr w:rsidR="00035789" w:rsidRPr="00803F7A" w14:paraId="15BECD4E" w14:textId="77777777" w:rsidTr="00803F7A">
        <w:trPr>
          <w:trHeight w:val="188"/>
        </w:trPr>
        <w:tc>
          <w:tcPr>
            <w:tcW w:w="3058" w:type="dxa"/>
            <w:tcBorders>
              <w:top w:val="nil"/>
              <w:left w:val="single" w:sz="4" w:space="0" w:color="auto"/>
              <w:bottom w:val="single" w:sz="4" w:space="0" w:color="auto"/>
              <w:right w:val="single" w:sz="4" w:space="0" w:color="auto"/>
            </w:tcBorders>
            <w:noWrap/>
            <w:vAlign w:val="bottom"/>
            <w:hideMark/>
          </w:tcPr>
          <w:p w14:paraId="5FD87F54" w14:textId="77777777" w:rsidR="00035789" w:rsidRPr="00803F7A" w:rsidRDefault="00035789" w:rsidP="00035789">
            <w:pPr>
              <w:spacing w:after="0" w:line="240" w:lineRule="auto"/>
              <w:rPr>
                <w:rFonts w:ascii="Times New Roman" w:eastAsia="Times New Roman" w:hAnsi="Times New Roman" w:cs="Times New Roman"/>
                <w:color w:val="000000"/>
                <w:kern w:val="0"/>
                <w:sz w:val="28"/>
                <w:szCs w:val="28"/>
                <w:lang w:eastAsia="en-IN"/>
                <w14:ligatures w14:val="none"/>
              </w:rPr>
            </w:pPr>
            <w:r w:rsidRPr="00803F7A">
              <w:rPr>
                <w:rFonts w:ascii="Times New Roman" w:eastAsia="Times New Roman" w:hAnsi="Times New Roman" w:cs="Times New Roman"/>
                <w:color w:val="000000"/>
                <w:kern w:val="0"/>
                <w:sz w:val="28"/>
                <w:szCs w:val="28"/>
                <w:lang w:eastAsia="en-IN"/>
                <w14:ligatures w14:val="none"/>
              </w:rPr>
              <w:t xml:space="preserve">Uttar Pradesh </w:t>
            </w:r>
          </w:p>
        </w:tc>
        <w:tc>
          <w:tcPr>
            <w:tcW w:w="2578" w:type="dxa"/>
            <w:tcBorders>
              <w:top w:val="nil"/>
              <w:left w:val="nil"/>
              <w:bottom w:val="single" w:sz="4" w:space="0" w:color="auto"/>
              <w:right w:val="single" w:sz="4" w:space="0" w:color="auto"/>
            </w:tcBorders>
            <w:noWrap/>
            <w:vAlign w:val="bottom"/>
            <w:hideMark/>
          </w:tcPr>
          <w:p w14:paraId="0F99AE42" w14:textId="77777777" w:rsidR="00035789" w:rsidRPr="00803F7A" w:rsidRDefault="00035789" w:rsidP="00035789">
            <w:pPr>
              <w:spacing w:after="0" w:line="240" w:lineRule="auto"/>
              <w:jc w:val="center"/>
              <w:rPr>
                <w:rFonts w:ascii="Times New Roman" w:eastAsia="Times New Roman" w:hAnsi="Times New Roman" w:cs="Times New Roman"/>
                <w:color w:val="000000"/>
                <w:kern w:val="0"/>
                <w:sz w:val="28"/>
                <w:szCs w:val="28"/>
                <w:lang w:eastAsia="en-IN"/>
                <w14:ligatures w14:val="none"/>
              </w:rPr>
            </w:pPr>
            <w:r w:rsidRPr="00803F7A">
              <w:rPr>
                <w:rFonts w:ascii="Times New Roman" w:eastAsia="Times New Roman" w:hAnsi="Times New Roman" w:cs="Times New Roman"/>
                <w:color w:val="000000"/>
                <w:kern w:val="0"/>
                <w:sz w:val="28"/>
                <w:szCs w:val="28"/>
                <w:lang w:eastAsia="en-IN"/>
                <w14:ligatures w14:val="none"/>
              </w:rPr>
              <w:t>18.82</w:t>
            </w:r>
          </w:p>
        </w:tc>
      </w:tr>
      <w:tr w:rsidR="00035789" w:rsidRPr="00803F7A" w14:paraId="136D3E77" w14:textId="77777777" w:rsidTr="00803F7A">
        <w:trPr>
          <w:trHeight w:val="188"/>
        </w:trPr>
        <w:tc>
          <w:tcPr>
            <w:tcW w:w="3058" w:type="dxa"/>
            <w:tcBorders>
              <w:top w:val="nil"/>
              <w:left w:val="single" w:sz="4" w:space="0" w:color="auto"/>
              <w:bottom w:val="single" w:sz="4" w:space="0" w:color="auto"/>
              <w:right w:val="single" w:sz="4" w:space="0" w:color="auto"/>
            </w:tcBorders>
            <w:noWrap/>
            <w:vAlign w:val="bottom"/>
            <w:hideMark/>
          </w:tcPr>
          <w:p w14:paraId="53D6ED12" w14:textId="77777777" w:rsidR="00035789" w:rsidRPr="00803F7A" w:rsidRDefault="00035789" w:rsidP="00035789">
            <w:pPr>
              <w:spacing w:after="0" w:line="240" w:lineRule="auto"/>
              <w:rPr>
                <w:rFonts w:ascii="Times New Roman" w:eastAsia="Times New Roman" w:hAnsi="Times New Roman" w:cs="Times New Roman"/>
                <w:color w:val="000000"/>
                <w:kern w:val="0"/>
                <w:sz w:val="28"/>
                <w:szCs w:val="28"/>
                <w:lang w:eastAsia="en-IN"/>
                <w14:ligatures w14:val="none"/>
              </w:rPr>
            </w:pPr>
            <w:r w:rsidRPr="00803F7A">
              <w:rPr>
                <w:rFonts w:ascii="Times New Roman" w:eastAsia="Times New Roman" w:hAnsi="Times New Roman" w:cs="Times New Roman"/>
                <w:color w:val="000000"/>
                <w:kern w:val="0"/>
                <w:sz w:val="28"/>
                <w:szCs w:val="28"/>
                <w:lang w:eastAsia="en-IN"/>
                <w14:ligatures w14:val="none"/>
              </w:rPr>
              <w:t xml:space="preserve">West Bengal </w:t>
            </w:r>
          </w:p>
        </w:tc>
        <w:tc>
          <w:tcPr>
            <w:tcW w:w="2578" w:type="dxa"/>
            <w:tcBorders>
              <w:top w:val="nil"/>
              <w:left w:val="nil"/>
              <w:bottom w:val="single" w:sz="4" w:space="0" w:color="auto"/>
              <w:right w:val="single" w:sz="4" w:space="0" w:color="auto"/>
            </w:tcBorders>
            <w:noWrap/>
            <w:vAlign w:val="bottom"/>
            <w:hideMark/>
          </w:tcPr>
          <w:p w14:paraId="7751AD2B" w14:textId="77777777" w:rsidR="00035789" w:rsidRPr="00803F7A" w:rsidRDefault="00035789" w:rsidP="00035789">
            <w:pPr>
              <w:spacing w:after="0" w:line="240" w:lineRule="auto"/>
              <w:jc w:val="center"/>
              <w:rPr>
                <w:rFonts w:ascii="Times New Roman" w:eastAsia="Times New Roman" w:hAnsi="Times New Roman" w:cs="Times New Roman"/>
                <w:color w:val="000000"/>
                <w:kern w:val="0"/>
                <w:sz w:val="28"/>
                <w:szCs w:val="28"/>
                <w:lang w:eastAsia="en-IN"/>
                <w14:ligatures w14:val="none"/>
              </w:rPr>
            </w:pPr>
            <w:r w:rsidRPr="00803F7A">
              <w:rPr>
                <w:rFonts w:ascii="Times New Roman" w:eastAsia="Times New Roman" w:hAnsi="Times New Roman" w:cs="Times New Roman"/>
                <w:color w:val="000000"/>
                <w:kern w:val="0"/>
                <w:sz w:val="28"/>
                <w:szCs w:val="28"/>
                <w:lang w:eastAsia="en-IN"/>
                <w14:ligatures w14:val="none"/>
              </w:rPr>
              <w:t>6.84</w:t>
            </w:r>
          </w:p>
        </w:tc>
      </w:tr>
      <w:tr w:rsidR="00035789" w:rsidRPr="00803F7A" w14:paraId="660AAC0B" w14:textId="77777777" w:rsidTr="00803F7A">
        <w:trPr>
          <w:trHeight w:val="188"/>
        </w:trPr>
        <w:tc>
          <w:tcPr>
            <w:tcW w:w="3058" w:type="dxa"/>
            <w:tcBorders>
              <w:top w:val="nil"/>
              <w:left w:val="single" w:sz="4" w:space="0" w:color="auto"/>
              <w:bottom w:val="single" w:sz="4" w:space="0" w:color="auto"/>
              <w:right w:val="single" w:sz="4" w:space="0" w:color="auto"/>
            </w:tcBorders>
            <w:noWrap/>
            <w:vAlign w:val="bottom"/>
            <w:hideMark/>
          </w:tcPr>
          <w:p w14:paraId="610207D0" w14:textId="77777777" w:rsidR="00035789" w:rsidRPr="00803F7A" w:rsidRDefault="00035789" w:rsidP="00035789">
            <w:pPr>
              <w:spacing w:after="0" w:line="240" w:lineRule="auto"/>
              <w:rPr>
                <w:rFonts w:ascii="Times New Roman" w:eastAsia="Times New Roman" w:hAnsi="Times New Roman" w:cs="Times New Roman"/>
                <w:color w:val="000000"/>
                <w:kern w:val="0"/>
                <w:sz w:val="28"/>
                <w:szCs w:val="28"/>
                <w:lang w:eastAsia="en-IN"/>
                <w14:ligatures w14:val="none"/>
              </w:rPr>
            </w:pPr>
            <w:r w:rsidRPr="00803F7A">
              <w:rPr>
                <w:rFonts w:ascii="Times New Roman" w:eastAsia="Times New Roman" w:hAnsi="Times New Roman" w:cs="Times New Roman"/>
                <w:color w:val="000000"/>
                <w:kern w:val="0"/>
                <w:sz w:val="28"/>
                <w:szCs w:val="28"/>
                <w:lang w:eastAsia="en-IN"/>
                <w14:ligatures w14:val="none"/>
              </w:rPr>
              <w:t xml:space="preserve">TOTAL </w:t>
            </w:r>
          </w:p>
        </w:tc>
        <w:tc>
          <w:tcPr>
            <w:tcW w:w="2578" w:type="dxa"/>
            <w:tcBorders>
              <w:top w:val="nil"/>
              <w:left w:val="nil"/>
              <w:bottom w:val="single" w:sz="4" w:space="0" w:color="auto"/>
              <w:right w:val="single" w:sz="4" w:space="0" w:color="auto"/>
            </w:tcBorders>
            <w:noWrap/>
            <w:vAlign w:val="bottom"/>
            <w:hideMark/>
          </w:tcPr>
          <w:p w14:paraId="25F29353" w14:textId="149F97A1" w:rsidR="00035789" w:rsidRPr="00803F7A" w:rsidRDefault="00035789" w:rsidP="00035789">
            <w:pPr>
              <w:spacing w:after="0" w:line="240" w:lineRule="auto"/>
              <w:jc w:val="center"/>
              <w:rPr>
                <w:rFonts w:ascii="Times New Roman" w:eastAsia="Times New Roman" w:hAnsi="Times New Roman" w:cs="Times New Roman"/>
                <w:color w:val="000000"/>
                <w:kern w:val="0"/>
                <w:sz w:val="28"/>
                <w:szCs w:val="28"/>
                <w:lang w:eastAsia="en-IN"/>
                <w14:ligatures w14:val="none"/>
              </w:rPr>
            </w:pPr>
            <w:r w:rsidRPr="00803F7A">
              <w:rPr>
                <w:rFonts w:ascii="Times New Roman" w:eastAsia="Times New Roman" w:hAnsi="Times New Roman" w:cs="Times New Roman"/>
                <w:color w:val="000000"/>
                <w:kern w:val="0"/>
                <w:sz w:val="28"/>
                <w:szCs w:val="28"/>
                <w:lang w:eastAsia="en-IN"/>
                <w14:ligatures w14:val="none"/>
              </w:rPr>
              <w:t>100</w:t>
            </w:r>
            <w:r w:rsidR="009D41C0">
              <w:rPr>
                <w:rFonts w:ascii="Times New Roman" w:eastAsia="Times New Roman" w:hAnsi="Times New Roman" w:cs="Times New Roman"/>
                <w:color w:val="000000"/>
                <w:kern w:val="0"/>
                <w:sz w:val="28"/>
                <w:szCs w:val="28"/>
                <w:lang w:eastAsia="en-IN"/>
                <w14:ligatures w14:val="none"/>
              </w:rPr>
              <w:t>.00</w:t>
            </w:r>
          </w:p>
        </w:tc>
      </w:tr>
    </w:tbl>
    <w:p w14:paraId="360E5C43" w14:textId="77777777" w:rsidR="00803F7A" w:rsidRDefault="00035789" w:rsidP="00803F7A">
      <w:pPr>
        <w:spacing w:line="300" w:lineRule="exact"/>
        <w:ind w:left="-142" w:hanging="425"/>
        <w:jc w:val="both"/>
        <w:rPr>
          <w:rFonts w:ascii="Times New Roman" w:hAnsi="Times New Roman" w:cs="Times New Roman"/>
          <w:b/>
          <w:bCs/>
          <w:sz w:val="28"/>
          <w:szCs w:val="22"/>
        </w:rPr>
      </w:pPr>
      <w:r w:rsidRPr="007245B0">
        <w:rPr>
          <w:rFonts w:ascii="Times New Roman" w:hAnsi="Times New Roman" w:cs="Times New Roman"/>
        </w:rPr>
        <w:br w:type="textWrapping" w:clear="all"/>
      </w:r>
    </w:p>
    <w:p w14:paraId="3956B7B0" w14:textId="562A766F" w:rsidR="001F3F52" w:rsidRPr="00803F7A" w:rsidRDefault="001F3F52" w:rsidP="00803F7A">
      <w:pPr>
        <w:spacing w:line="300" w:lineRule="exact"/>
        <w:ind w:left="-142" w:hanging="425"/>
        <w:jc w:val="both"/>
        <w:rPr>
          <w:rFonts w:ascii="Times New Roman" w:hAnsi="Times New Roman" w:cs="Times New Roman"/>
          <w:b/>
          <w:bCs/>
          <w:sz w:val="28"/>
          <w:szCs w:val="22"/>
        </w:rPr>
      </w:pPr>
      <w:r w:rsidRPr="00803F7A">
        <w:rPr>
          <w:rFonts w:ascii="Times New Roman" w:hAnsi="Times New Roman" w:cs="Times New Roman"/>
          <w:b/>
          <w:bCs/>
          <w:sz w:val="28"/>
          <w:szCs w:val="22"/>
        </w:rPr>
        <w:t>III-Additional Duties of Excise:​</w:t>
      </w:r>
    </w:p>
    <w:p w14:paraId="3700A48F" w14:textId="5C097529" w:rsidR="001F3F52" w:rsidRPr="00803F7A" w:rsidRDefault="00803F7A" w:rsidP="00BE3CC5">
      <w:pPr>
        <w:pStyle w:val="ListParagraph"/>
        <w:numPr>
          <w:ilvl w:val="0"/>
          <w:numId w:val="64"/>
        </w:numPr>
        <w:spacing w:line="300" w:lineRule="exact"/>
        <w:jc w:val="both"/>
        <w:rPr>
          <w:rFonts w:ascii="Times New Roman" w:hAnsi="Times New Roman" w:cs="Times New Roman"/>
          <w:sz w:val="28"/>
          <w:szCs w:val="22"/>
        </w:rPr>
      </w:pPr>
      <w:r w:rsidRPr="00803F7A">
        <w:rPr>
          <w:rFonts w:ascii="Times New Roman" w:hAnsi="Times New Roman" w:cs="Times New Roman"/>
          <w:sz w:val="28"/>
          <w:szCs w:val="22"/>
        </w:rPr>
        <w:t xml:space="preserve">(a) </w:t>
      </w:r>
      <w:r w:rsidR="001F3F52" w:rsidRPr="00803F7A">
        <w:rPr>
          <w:rFonts w:ascii="Times New Roman" w:hAnsi="Times New Roman" w:cs="Times New Roman"/>
          <w:sz w:val="28"/>
          <w:szCs w:val="22"/>
        </w:rPr>
        <w:t>It would not be desirable to maintain the existing</w:t>
      </w:r>
      <w:r w:rsidRPr="00803F7A">
        <w:rPr>
          <w:rFonts w:ascii="Times New Roman" w:hAnsi="Times New Roman" w:cs="Times New Roman"/>
          <w:sz w:val="28"/>
          <w:szCs w:val="22"/>
        </w:rPr>
        <w:t xml:space="preserve"> </w:t>
      </w:r>
      <w:r w:rsidR="001F3F52" w:rsidRPr="00803F7A">
        <w:rPr>
          <w:rFonts w:ascii="Times New Roman" w:hAnsi="Times New Roman" w:cs="Times New Roman"/>
          <w:sz w:val="28"/>
          <w:szCs w:val="22"/>
        </w:rPr>
        <w:t>arrangements in regard to the levy of additional duties</w:t>
      </w:r>
      <w:r w:rsidRPr="00803F7A">
        <w:rPr>
          <w:rFonts w:ascii="Times New Roman" w:hAnsi="Times New Roman" w:cs="Times New Roman"/>
          <w:sz w:val="28"/>
          <w:szCs w:val="22"/>
        </w:rPr>
        <w:t xml:space="preserve"> </w:t>
      </w:r>
      <w:r w:rsidR="001F3F52" w:rsidRPr="00803F7A">
        <w:rPr>
          <w:rFonts w:ascii="Times New Roman" w:hAnsi="Times New Roman" w:cs="Times New Roman"/>
          <w:sz w:val="28"/>
          <w:szCs w:val="22"/>
        </w:rPr>
        <w:t>of excise on textiles, sugar and tobacco, unless the</w:t>
      </w:r>
      <w:r w:rsidR="00DD2746">
        <w:rPr>
          <w:rFonts w:ascii="Times New Roman" w:hAnsi="Times New Roman" w:cs="Times New Roman"/>
          <w:sz w:val="28"/>
          <w:szCs w:val="22"/>
        </w:rPr>
        <w:t xml:space="preserve"> </w:t>
      </w:r>
      <w:r w:rsidR="001F3F52" w:rsidRPr="00803F7A">
        <w:rPr>
          <w:rFonts w:ascii="Times New Roman" w:hAnsi="Times New Roman" w:cs="Times New Roman"/>
          <w:sz w:val="28"/>
          <w:szCs w:val="22"/>
        </w:rPr>
        <w:t>Government of India, after discussing the matter further with the State Governments, can arrive at a</w:t>
      </w:r>
      <w:r w:rsidRPr="00803F7A">
        <w:rPr>
          <w:rFonts w:ascii="Times New Roman" w:hAnsi="Times New Roman" w:cs="Times New Roman"/>
          <w:sz w:val="28"/>
          <w:szCs w:val="22"/>
        </w:rPr>
        <w:t xml:space="preserve"> </w:t>
      </w:r>
      <w:r w:rsidR="001F3F52" w:rsidRPr="00803F7A">
        <w:rPr>
          <w:rFonts w:ascii="Times New Roman" w:hAnsi="Times New Roman" w:cs="Times New Roman"/>
          <w:sz w:val="28"/>
          <w:szCs w:val="22"/>
        </w:rPr>
        <w:t>general agreement for the continuance of the present</w:t>
      </w:r>
      <w:r w:rsidRPr="00803F7A">
        <w:rPr>
          <w:rFonts w:ascii="Times New Roman" w:hAnsi="Times New Roman" w:cs="Times New Roman"/>
          <w:sz w:val="28"/>
          <w:szCs w:val="22"/>
        </w:rPr>
        <w:t xml:space="preserve"> </w:t>
      </w:r>
      <w:r w:rsidR="001F3F52" w:rsidRPr="00803F7A">
        <w:rPr>
          <w:rFonts w:ascii="Times New Roman" w:hAnsi="Times New Roman" w:cs="Times New Roman"/>
          <w:sz w:val="28"/>
          <w:szCs w:val="22"/>
        </w:rPr>
        <w:t>scheme with suitable modifications:​</w:t>
      </w:r>
    </w:p>
    <w:p w14:paraId="2EB5D5F2" w14:textId="4F8DBE91" w:rsidR="001F3F52" w:rsidRPr="00803F7A" w:rsidRDefault="001F3F52" w:rsidP="00803F7A">
      <w:pPr>
        <w:spacing w:line="300" w:lineRule="exact"/>
        <w:ind w:left="720"/>
        <w:jc w:val="both"/>
        <w:rPr>
          <w:rFonts w:ascii="Times New Roman" w:hAnsi="Times New Roman" w:cs="Times New Roman"/>
          <w:sz w:val="28"/>
          <w:szCs w:val="22"/>
        </w:rPr>
      </w:pPr>
      <w:r w:rsidRPr="00803F7A">
        <w:rPr>
          <w:rFonts w:ascii="Times New Roman" w:hAnsi="Times New Roman" w:cs="Times New Roman"/>
          <w:sz w:val="28"/>
          <w:szCs w:val="22"/>
        </w:rPr>
        <w:t>(b) While the arrangements are continued, the rates of</w:t>
      </w:r>
      <w:r w:rsidR="00594F5D" w:rsidRPr="00803F7A">
        <w:rPr>
          <w:rFonts w:ascii="Times New Roman" w:hAnsi="Times New Roman" w:cs="Times New Roman"/>
          <w:sz w:val="28"/>
          <w:szCs w:val="22"/>
        </w:rPr>
        <w:t xml:space="preserve">   </w:t>
      </w:r>
      <w:r w:rsidR="00594F5D" w:rsidRPr="00803F7A">
        <w:rPr>
          <w:rFonts w:ascii="Times New Roman" w:hAnsi="Times New Roman" w:cs="Times New Roman"/>
          <w:sz w:val="28"/>
          <w:szCs w:val="22"/>
        </w:rPr>
        <w:tab/>
      </w:r>
      <w:r w:rsidRPr="00803F7A">
        <w:rPr>
          <w:rFonts w:ascii="Times New Roman" w:hAnsi="Times New Roman" w:cs="Times New Roman"/>
          <w:sz w:val="28"/>
          <w:szCs w:val="22"/>
        </w:rPr>
        <w:t>duties may be made </w:t>
      </w:r>
      <w:r w:rsidRPr="00803F7A">
        <w:rPr>
          <w:rFonts w:ascii="Times New Roman" w:hAnsi="Times New Roman" w:cs="Times New Roman"/>
          <w:i/>
          <w:iCs/>
          <w:sz w:val="28"/>
          <w:szCs w:val="22"/>
        </w:rPr>
        <w:t>ad</w:t>
      </w:r>
      <w:r w:rsidR="00803F7A" w:rsidRPr="00803F7A">
        <w:rPr>
          <w:rFonts w:ascii="Times New Roman" w:hAnsi="Times New Roman" w:cs="Times New Roman"/>
          <w:i/>
          <w:iCs/>
          <w:sz w:val="28"/>
          <w:szCs w:val="22"/>
        </w:rPr>
        <w:t xml:space="preserve"> v</w:t>
      </w:r>
      <w:r w:rsidRPr="00803F7A">
        <w:rPr>
          <w:rFonts w:ascii="Times New Roman" w:hAnsi="Times New Roman" w:cs="Times New Roman"/>
          <w:i/>
          <w:iCs/>
          <w:sz w:val="28"/>
          <w:szCs w:val="22"/>
        </w:rPr>
        <w:t>alorem</w:t>
      </w:r>
      <w:r w:rsidRPr="00803F7A">
        <w:rPr>
          <w:rFonts w:ascii="Times New Roman" w:hAnsi="Times New Roman" w:cs="Times New Roman"/>
          <w:sz w:val="28"/>
          <w:szCs w:val="22"/>
        </w:rPr>
        <w:t> as far as possible, and</w:t>
      </w:r>
      <w:r w:rsidR="00803F7A" w:rsidRPr="00803F7A">
        <w:rPr>
          <w:rFonts w:ascii="Times New Roman" w:hAnsi="Times New Roman" w:cs="Times New Roman"/>
          <w:sz w:val="28"/>
          <w:szCs w:val="22"/>
        </w:rPr>
        <w:t xml:space="preserve"> </w:t>
      </w:r>
      <w:r w:rsidRPr="00803F7A">
        <w:rPr>
          <w:rFonts w:ascii="Times New Roman" w:hAnsi="Times New Roman" w:cs="Times New Roman"/>
          <w:sz w:val="28"/>
          <w:szCs w:val="22"/>
        </w:rPr>
        <w:t>may be revised periodically so as to secure reasonable</w:t>
      </w:r>
      <w:r w:rsidR="00DD2746">
        <w:rPr>
          <w:rFonts w:ascii="Times New Roman" w:hAnsi="Times New Roman" w:cs="Times New Roman"/>
          <w:sz w:val="28"/>
          <w:szCs w:val="22"/>
        </w:rPr>
        <w:t xml:space="preserve"> </w:t>
      </w:r>
      <w:r w:rsidRPr="00803F7A">
        <w:rPr>
          <w:rFonts w:ascii="Times New Roman" w:hAnsi="Times New Roman" w:cs="Times New Roman"/>
          <w:sz w:val="28"/>
          <w:szCs w:val="22"/>
        </w:rPr>
        <w:t>incidence having regard to the prevailing prices and</w:t>
      </w:r>
      <w:r w:rsidR="00803F7A" w:rsidRPr="00803F7A">
        <w:rPr>
          <w:rFonts w:ascii="Times New Roman" w:hAnsi="Times New Roman" w:cs="Times New Roman"/>
          <w:sz w:val="28"/>
          <w:szCs w:val="22"/>
        </w:rPr>
        <w:t xml:space="preserve"> </w:t>
      </w:r>
      <w:r w:rsidRPr="00803F7A">
        <w:rPr>
          <w:rFonts w:ascii="Times New Roman" w:hAnsi="Times New Roman" w:cs="Times New Roman"/>
          <w:sz w:val="28"/>
          <w:szCs w:val="22"/>
        </w:rPr>
        <w:t>the general level of sales taxes on similar items levied</w:t>
      </w:r>
      <w:r w:rsidR="00803F7A" w:rsidRPr="00803F7A">
        <w:rPr>
          <w:rFonts w:ascii="Times New Roman" w:hAnsi="Times New Roman" w:cs="Times New Roman"/>
          <w:sz w:val="28"/>
          <w:szCs w:val="22"/>
        </w:rPr>
        <w:t xml:space="preserve"> </w:t>
      </w:r>
      <w:r w:rsidRPr="00803F7A">
        <w:rPr>
          <w:rFonts w:ascii="Times New Roman" w:hAnsi="Times New Roman" w:cs="Times New Roman"/>
          <w:sz w:val="28"/>
          <w:szCs w:val="22"/>
        </w:rPr>
        <w:t>by the States;​</w:t>
      </w:r>
    </w:p>
    <w:p w14:paraId="10DD7025" w14:textId="3A325420" w:rsidR="001F3F52" w:rsidRPr="00803F7A" w:rsidRDefault="001F3F52" w:rsidP="00BE3CC5">
      <w:pPr>
        <w:pStyle w:val="ListParagraph"/>
        <w:numPr>
          <w:ilvl w:val="0"/>
          <w:numId w:val="64"/>
        </w:numPr>
        <w:spacing w:line="300" w:lineRule="exact"/>
        <w:jc w:val="both"/>
        <w:rPr>
          <w:rFonts w:ascii="Times New Roman" w:hAnsi="Times New Roman" w:cs="Times New Roman"/>
          <w:sz w:val="28"/>
          <w:szCs w:val="22"/>
        </w:rPr>
      </w:pPr>
      <w:r w:rsidRPr="00803F7A">
        <w:rPr>
          <w:rFonts w:ascii="Times New Roman" w:hAnsi="Times New Roman" w:cs="Times New Roman"/>
          <w:sz w:val="28"/>
          <w:szCs w:val="22"/>
        </w:rPr>
        <w:t>There is no scope at present for extending such arrangements to other items or commodities;​</w:t>
      </w:r>
    </w:p>
    <w:p w14:paraId="608587EB" w14:textId="0FC5B6B9" w:rsidR="001F3F52" w:rsidRPr="00803F7A" w:rsidRDefault="001F3F52" w:rsidP="00BE3CC5">
      <w:pPr>
        <w:pStyle w:val="ListParagraph"/>
        <w:numPr>
          <w:ilvl w:val="0"/>
          <w:numId w:val="64"/>
        </w:numPr>
        <w:spacing w:line="300" w:lineRule="exact"/>
        <w:jc w:val="both"/>
        <w:rPr>
          <w:rFonts w:ascii="Times New Roman" w:hAnsi="Times New Roman" w:cs="Times New Roman"/>
          <w:sz w:val="28"/>
          <w:szCs w:val="22"/>
        </w:rPr>
      </w:pPr>
      <w:r w:rsidRPr="00803F7A">
        <w:rPr>
          <w:rFonts w:ascii="Times New Roman" w:hAnsi="Times New Roman" w:cs="Times New Roman"/>
          <w:sz w:val="28"/>
          <w:szCs w:val="22"/>
        </w:rPr>
        <w:t>The net proceeds of the additional excise duties during each</w:t>
      </w:r>
      <w:r w:rsidR="00803F7A" w:rsidRPr="00803F7A">
        <w:rPr>
          <w:rFonts w:ascii="Times New Roman" w:hAnsi="Times New Roman" w:cs="Times New Roman"/>
          <w:sz w:val="28"/>
          <w:szCs w:val="22"/>
        </w:rPr>
        <w:t xml:space="preserve"> </w:t>
      </w:r>
      <w:r w:rsidRPr="00803F7A">
        <w:rPr>
          <w:rFonts w:ascii="Times New Roman" w:hAnsi="Times New Roman" w:cs="Times New Roman"/>
          <w:sz w:val="28"/>
          <w:szCs w:val="22"/>
        </w:rPr>
        <w:t>financial year in which the existing arrangements continue, should be distributed on the following basis:</w:t>
      </w:r>
    </w:p>
    <w:p w14:paraId="568059D0" w14:textId="68DD763F" w:rsidR="001F3F52" w:rsidRPr="00803F7A" w:rsidRDefault="001F3F52" w:rsidP="00803F7A">
      <w:pPr>
        <w:spacing w:line="300" w:lineRule="exact"/>
        <w:ind w:left="720"/>
        <w:jc w:val="both"/>
        <w:rPr>
          <w:rFonts w:ascii="Times New Roman" w:hAnsi="Times New Roman" w:cs="Times New Roman"/>
          <w:sz w:val="28"/>
          <w:szCs w:val="22"/>
        </w:rPr>
      </w:pPr>
      <w:r w:rsidRPr="00803F7A">
        <w:rPr>
          <w:rFonts w:ascii="Times New Roman" w:hAnsi="Times New Roman" w:cs="Times New Roman"/>
          <w:sz w:val="28"/>
          <w:szCs w:val="22"/>
        </w:rPr>
        <w:t>(a) A sum equal to 2.05 per cent, of such net proceeds be</w:t>
      </w:r>
      <w:r w:rsidR="00803F7A" w:rsidRPr="00803F7A">
        <w:rPr>
          <w:rFonts w:ascii="Times New Roman" w:hAnsi="Times New Roman" w:cs="Times New Roman"/>
          <w:sz w:val="28"/>
          <w:szCs w:val="22"/>
        </w:rPr>
        <w:t xml:space="preserve"> </w:t>
      </w:r>
      <w:r w:rsidRPr="00803F7A">
        <w:rPr>
          <w:rFonts w:ascii="Times New Roman" w:hAnsi="Times New Roman" w:cs="Times New Roman"/>
          <w:sz w:val="28"/>
          <w:szCs w:val="22"/>
        </w:rPr>
        <w:t>retained by the Union as attributable to Union</w:t>
      </w:r>
      <w:r w:rsidR="00803F7A" w:rsidRPr="00803F7A">
        <w:rPr>
          <w:rFonts w:ascii="Times New Roman" w:hAnsi="Times New Roman" w:cs="Times New Roman"/>
          <w:sz w:val="28"/>
          <w:szCs w:val="22"/>
        </w:rPr>
        <w:t xml:space="preserve"> </w:t>
      </w:r>
      <w:r w:rsidRPr="00803F7A">
        <w:rPr>
          <w:rFonts w:ascii="Times New Roman" w:hAnsi="Times New Roman" w:cs="Times New Roman"/>
          <w:sz w:val="28"/>
          <w:szCs w:val="22"/>
        </w:rPr>
        <w:t>territories;​</w:t>
      </w:r>
    </w:p>
    <w:p w14:paraId="150274C7" w14:textId="26563E88" w:rsidR="001F3F52" w:rsidRPr="00803F7A" w:rsidRDefault="001F3F52" w:rsidP="00803F7A">
      <w:pPr>
        <w:spacing w:line="300" w:lineRule="exact"/>
        <w:ind w:left="720"/>
        <w:jc w:val="both"/>
        <w:rPr>
          <w:rFonts w:ascii="Times New Roman" w:hAnsi="Times New Roman" w:cs="Times New Roman"/>
          <w:sz w:val="28"/>
          <w:szCs w:val="22"/>
        </w:rPr>
      </w:pPr>
      <w:r w:rsidRPr="00803F7A">
        <w:rPr>
          <w:rFonts w:ascii="Times New Roman" w:hAnsi="Times New Roman" w:cs="Times New Roman"/>
          <w:sz w:val="28"/>
          <w:szCs w:val="22"/>
        </w:rPr>
        <w:lastRenderedPageBreak/>
        <w:t>(b) A sum equal to 0.83 per cent. of such net proceeds be</w:t>
      </w:r>
      <w:r w:rsidR="00803F7A" w:rsidRPr="00803F7A">
        <w:rPr>
          <w:rFonts w:ascii="Times New Roman" w:hAnsi="Times New Roman" w:cs="Times New Roman"/>
          <w:sz w:val="28"/>
          <w:szCs w:val="22"/>
        </w:rPr>
        <w:t xml:space="preserve"> </w:t>
      </w:r>
      <w:r w:rsidRPr="00803F7A">
        <w:rPr>
          <w:rFonts w:ascii="Times New Roman" w:hAnsi="Times New Roman" w:cs="Times New Roman"/>
          <w:sz w:val="28"/>
          <w:szCs w:val="22"/>
        </w:rPr>
        <w:t>paid to the State of Jammu and Kashmir as its share;​</w:t>
      </w:r>
    </w:p>
    <w:p w14:paraId="1A46C592" w14:textId="67E99349" w:rsidR="001F3F52" w:rsidRPr="00803F7A" w:rsidRDefault="001F3F52" w:rsidP="00803F7A">
      <w:pPr>
        <w:spacing w:line="300" w:lineRule="exact"/>
        <w:ind w:left="720"/>
        <w:jc w:val="both"/>
        <w:rPr>
          <w:rFonts w:ascii="Times New Roman" w:hAnsi="Times New Roman" w:cs="Times New Roman"/>
          <w:sz w:val="28"/>
          <w:szCs w:val="22"/>
        </w:rPr>
      </w:pPr>
      <w:r w:rsidRPr="00803F7A">
        <w:rPr>
          <w:rFonts w:ascii="Times New Roman" w:hAnsi="Times New Roman" w:cs="Times New Roman"/>
          <w:sz w:val="28"/>
          <w:szCs w:val="22"/>
        </w:rPr>
        <w:t>(c) A sum equal to 0.09 per cent. of such net proceeds be</w:t>
      </w:r>
      <w:r w:rsidR="00803F7A" w:rsidRPr="00803F7A">
        <w:rPr>
          <w:rFonts w:ascii="Times New Roman" w:hAnsi="Times New Roman" w:cs="Times New Roman"/>
          <w:sz w:val="28"/>
          <w:szCs w:val="22"/>
        </w:rPr>
        <w:t xml:space="preserve"> </w:t>
      </w:r>
      <w:r w:rsidRPr="00803F7A">
        <w:rPr>
          <w:rFonts w:ascii="Times New Roman" w:hAnsi="Times New Roman" w:cs="Times New Roman"/>
          <w:sz w:val="28"/>
          <w:szCs w:val="22"/>
        </w:rPr>
        <w:t>paid to the State of Nagaland as its share;​</w:t>
      </w:r>
    </w:p>
    <w:p w14:paraId="28162C43" w14:textId="01FA3960" w:rsidR="001F3F52" w:rsidRPr="00803F7A" w:rsidRDefault="001F3F52" w:rsidP="00803F7A">
      <w:pPr>
        <w:spacing w:line="300" w:lineRule="exact"/>
        <w:ind w:left="720"/>
        <w:jc w:val="both"/>
        <w:rPr>
          <w:rFonts w:ascii="Times New Roman" w:hAnsi="Times New Roman" w:cs="Times New Roman"/>
          <w:sz w:val="28"/>
          <w:szCs w:val="22"/>
        </w:rPr>
      </w:pPr>
      <w:r w:rsidRPr="00803F7A">
        <w:rPr>
          <w:rFonts w:ascii="Times New Roman" w:hAnsi="Times New Roman" w:cs="Times New Roman"/>
          <w:sz w:val="28"/>
          <w:szCs w:val="22"/>
        </w:rPr>
        <w:t>(d) Out of the remaining balance of 97-03 per cent. of such</w:t>
      </w:r>
      <w:r w:rsidR="00803F7A" w:rsidRPr="00803F7A">
        <w:rPr>
          <w:rFonts w:ascii="Times New Roman" w:hAnsi="Times New Roman" w:cs="Times New Roman"/>
          <w:sz w:val="28"/>
          <w:szCs w:val="22"/>
        </w:rPr>
        <w:t xml:space="preserve"> </w:t>
      </w:r>
      <w:r w:rsidRPr="00803F7A">
        <w:rPr>
          <w:rFonts w:ascii="Times New Roman" w:hAnsi="Times New Roman" w:cs="Times New Roman"/>
          <w:sz w:val="28"/>
          <w:szCs w:val="22"/>
        </w:rPr>
        <w:t>net proceeds the sums specified below, representing the</w:t>
      </w:r>
      <w:r w:rsidR="00803F7A" w:rsidRPr="00803F7A">
        <w:rPr>
          <w:rFonts w:ascii="Times New Roman" w:hAnsi="Times New Roman" w:cs="Times New Roman"/>
          <w:sz w:val="28"/>
          <w:szCs w:val="22"/>
        </w:rPr>
        <w:t xml:space="preserve"> </w:t>
      </w:r>
      <w:r w:rsidRPr="00803F7A">
        <w:rPr>
          <w:rFonts w:ascii="Times New Roman" w:hAnsi="Times New Roman" w:cs="Times New Roman"/>
          <w:sz w:val="28"/>
          <w:szCs w:val="22"/>
        </w:rPr>
        <w:t>revenue realised in the financial year 1956-57 by each</w:t>
      </w:r>
      <w:r w:rsidR="00803F7A">
        <w:rPr>
          <w:rFonts w:ascii="Times New Roman" w:hAnsi="Times New Roman" w:cs="Times New Roman"/>
          <w:sz w:val="28"/>
          <w:szCs w:val="22"/>
        </w:rPr>
        <w:t xml:space="preserve"> </w:t>
      </w:r>
      <w:r w:rsidRPr="00803F7A">
        <w:rPr>
          <w:rFonts w:ascii="Times New Roman" w:hAnsi="Times New Roman" w:cs="Times New Roman"/>
          <w:sz w:val="28"/>
          <w:szCs w:val="22"/>
        </w:rPr>
        <w:t>respective State from the levy of sales taxes on the</w:t>
      </w:r>
      <w:r w:rsidR="00803F7A" w:rsidRPr="00803F7A">
        <w:rPr>
          <w:rFonts w:ascii="Times New Roman" w:hAnsi="Times New Roman" w:cs="Times New Roman"/>
          <w:sz w:val="28"/>
          <w:szCs w:val="22"/>
        </w:rPr>
        <w:t xml:space="preserve"> </w:t>
      </w:r>
      <w:r w:rsidRPr="00803F7A">
        <w:rPr>
          <w:rFonts w:ascii="Times New Roman" w:hAnsi="Times New Roman" w:cs="Times New Roman"/>
          <w:sz w:val="28"/>
          <w:szCs w:val="22"/>
        </w:rPr>
        <w:t>commodities subject to additional excise duties, be first</w:t>
      </w:r>
      <w:r w:rsidR="00803F7A" w:rsidRPr="00803F7A">
        <w:rPr>
          <w:rFonts w:ascii="Times New Roman" w:hAnsi="Times New Roman" w:cs="Times New Roman"/>
          <w:sz w:val="28"/>
          <w:szCs w:val="22"/>
        </w:rPr>
        <w:t xml:space="preserve"> </w:t>
      </w:r>
      <w:r w:rsidRPr="00803F7A">
        <w:rPr>
          <w:rFonts w:ascii="Times New Roman" w:hAnsi="Times New Roman" w:cs="Times New Roman"/>
          <w:sz w:val="28"/>
          <w:szCs w:val="22"/>
        </w:rPr>
        <w:t>paid as guaranteed amounts to the following States:-</w:t>
      </w:r>
    </w:p>
    <w:tbl>
      <w:tblPr>
        <w:tblStyle w:val="TableGrid"/>
        <w:tblW w:w="5565" w:type="dxa"/>
        <w:jc w:val="center"/>
        <w:tblLook w:val="04A0" w:firstRow="1" w:lastRow="0" w:firstColumn="1" w:lastColumn="0" w:noHBand="0" w:noVBand="1"/>
      </w:tblPr>
      <w:tblGrid>
        <w:gridCol w:w="2005"/>
        <w:gridCol w:w="3560"/>
      </w:tblGrid>
      <w:tr w:rsidR="001F3F52" w:rsidRPr="00803F7A" w14:paraId="7F36B997" w14:textId="77777777" w:rsidTr="00803F7A">
        <w:trPr>
          <w:trHeight w:val="20"/>
          <w:jc w:val="center"/>
        </w:trPr>
        <w:tc>
          <w:tcPr>
            <w:tcW w:w="0" w:type="auto"/>
            <w:hideMark/>
          </w:tcPr>
          <w:p w14:paraId="66ECFEC2" w14:textId="77777777" w:rsidR="001F3F52" w:rsidRPr="00803F7A" w:rsidRDefault="001F3F52" w:rsidP="00803F7A">
            <w:pPr>
              <w:spacing w:line="278" w:lineRule="auto"/>
              <w:jc w:val="both"/>
              <w:rPr>
                <w:rFonts w:ascii="Times New Roman" w:hAnsi="Times New Roman" w:cs="Times New Roman"/>
                <w:b/>
                <w:bCs/>
                <w:sz w:val="28"/>
                <w:szCs w:val="22"/>
              </w:rPr>
            </w:pPr>
            <w:r w:rsidRPr="00803F7A">
              <w:rPr>
                <w:rFonts w:ascii="Times New Roman" w:hAnsi="Times New Roman" w:cs="Times New Roman"/>
                <w:b/>
                <w:bCs/>
                <w:sz w:val="28"/>
                <w:szCs w:val="22"/>
              </w:rPr>
              <w:t>State</w:t>
            </w:r>
          </w:p>
        </w:tc>
        <w:tc>
          <w:tcPr>
            <w:tcW w:w="0" w:type="auto"/>
            <w:vAlign w:val="center"/>
            <w:hideMark/>
          </w:tcPr>
          <w:p w14:paraId="2CF6480C" w14:textId="77777777" w:rsidR="001F3F52" w:rsidRPr="00803F7A" w:rsidRDefault="001F3F52" w:rsidP="00803F7A">
            <w:pPr>
              <w:spacing w:line="278" w:lineRule="auto"/>
              <w:jc w:val="center"/>
              <w:rPr>
                <w:rFonts w:ascii="Times New Roman" w:hAnsi="Times New Roman" w:cs="Times New Roman"/>
                <w:b/>
                <w:bCs/>
                <w:sz w:val="28"/>
                <w:szCs w:val="22"/>
              </w:rPr>
            </w:pPr>
            <w:r w:rsidRPr="00803F7A">
              <w:rPr>
                <w:rFonts w:ascii="Times New Roman" w:hAnsi="Times New Roman" w:cs="Times New Roman"/>
                <w:b/>
                <w:bCs/>
                <w:sz w:val="28"/>
                <w:szCs w:val="22"/>
              </w:rPr>
              <w:t>Guaranteed amount (Rs. lakhs)</w:t>
            </w:r>
          </w:p>
        </w:tc>
      </w:tr>
      <w:tr w:rsidR="001F3F52" w:rsidRPr="00803F7A" w14:paraId="7068D2C7" w14:textId="77777777" w:rsidTr="00803F7A">
        <w:trPr>
          <w:trHeight w:val="20"/>
          <w:jc w:val="center"/>
        </w:trPr>
        <w:tc>
          <w:tcPr>
            <w:tcW w:w="0" w:type="auto"/>
            <w:hideMark/>
          </w:tcPr>
          <w:p w14:paraId="717ACFC3" w14:textId="77777777" w:rsidR="001F3F52" w:rsidRPr="00803F7A" w:rsidRDefault="001F3F52" w:rsidP="00803F7A">
            <w:pPr>
              <w:spacing w:line="278" w:lineRule="auto"/>
              <w:jc w:val="both"/>
              <w:rPr>
                <w:rFonts w:ascii="Times New Roman" w:hAnsi="Times New Roman" w:cs="Times New Roman"/>
                <w:sz w:val="28"/>
                <w:szCs w:val="22"/>
              </w:rPr>
            </w:pPr>
            <w:r w:rsidRPr="00803F7A">
              <w:rPr>
                <w:rFonts w:ascii="Times New Roman" w:hAnsi="Times New Roman" w:cs="Times New Roman"/>
                <w:sz w:val="28"/>
                <w:szCs w:val="22"/>
              </w:rPr>
              <w:t>Andhra Pradesh</w:t>
            </w:r>
          </w:p>
        </w:tc>
        <w:tc>
          <w:tcPr>
            <w:tcW w:w="0" w:type="auto"/>
            <w:vAlign w:val="center"/>
            <w:hideMark/>
          </w:tcPr>
          <w:p w14:paraId="0F815A10" w14:textId="77777777" w:rsidR="001F3F52" w:rsidRPr="00803F7A" w:rsidRDefault="001F3F52" w:rsidP="00803F7A">
            <w:pPr>
              <w:spacing w:line="278" w:lineRule="auto"/>
              <w:jc w:val="center"/>
              <w:rPr>
                <w:rFonts w:ascii="Times New Roman" w:hAnsi="Times New Roman" w:cs="Times New Roman"/>
                <w:sz w:val="28"/>
                <w:szCs w:val="22"/>
              </w:rPr>
            </w:pPr>
            <w:r w:rsidRPr="00803F7A">
              <w:rPr>
                <w:rFonts w:ascii="Times New Roman" w:hAnsi="Times New Roman" w:cs="Times New Roman"/>
                <w:sz w:val="28"/>
                <w:szCs w:val="22"/>
              </w:rPr>
              <w:t>235.24</w:t>
            </w:r>
          </w:p>
        </w:tc>
      </w:tr>
      <w:tr w:rsidR="001F3F52" w:rsidRPr="00803F7A" w14:paraId="36DE1811" w14:textId="77777777" w:rsidTr="00803F7A">
        <w:trPr>
          <w:trHeight w:val="20"/>
          <w:jc w:val="center"/>
        </w:trPr>
        <w:tc>
          <w:tcPr>
            <w:tcW w:w="0" w:type="auto"/>
            <w:hideMark/>
          </w:tcPr>
          <w:p w14:paraId="006B1AA0" w14:textId="77777777" w:rsidR="001F3F52" w:rsidRPr="00803F7A" w:rsidRDefault="001F3F52" w:rsidP="00803F7A">
            <w:pPr>
              <w:spacing w:line="278" w:lineRule="auto"/>
              <w:jc w:val="both"/>
              <w:rPr>
                <w:rFonts w:ascii="Times New Roman" w:hAnsi="Times New Roman" w:cs="Times New Roman"/>
                <w:sz w:val="28"/>
                <w:szCs w:val="22"/>
              </w:rPr>
            </w:pPr>
            <w:r w:rsidRPr="00803F7A">
              <w:rPr>
                <w:rFonts w:ascii="Times New Roman" w:hAnsi="Times New Roman" w:cs="Times New Roman"/>
                <w:sz w:val="28"/>
                <w:szCs w:val="22"/>
              </w:rPr>
              <w:t>Assam</w:t>
            </w:r>
          </w:p>
        </w:tc>
        <w:tc>
          <w:tcPr>
            <w:tcW w:w="0" w:type="auto"/>
            <w:vAlign w:val="center"/>
            <w:hideMark/>
          </w:tcPr>
          <w:p w14:paraId="27E92931" w14:textId="77777777" w:rsidR="001F3F52" w:rsidRPr="00803F7A" w:rsidRDefault="001F3F52" w:rsidP="00803F7A">
            <w:pPr>
              <w:spacing w:line="278" w:lineRule="auto"/>
              <w:jc w:val="center"/>
              <w:rPr>
                <w:rFonts w:ascii="Times New Roman" w:hAnsi="Times New Roman" w:cs="Times New Roman"/>
                <w:sz w:val="28"/>
                <w:szCs w:val="22"/>
              </w:rPr>
            </w:pPr>
            <w:r w:rsidRPr="00803F7A">
              <w:rPr>
                <w:rFonts w:ascii="Times New Roman" w:hAnsi="Times New Roman" w:cs="Times New Roman"/>
                <w:sz w:val="28"/>
                <w:szCs w:val="22"/>
              </w:rPr>
              <w:t>85.08</w:t>
            </w:r>
          </w:p>
        </w:tc>
      </w:tr>
      <w:tr w:rsidR="001F3F52" w:rsidRPr="00803F7A" w14:paraId="2143AED0" w14:textId="77777777" w:rsidTr="00803F7A">
        <w:trPr>
          <w:trHeight w:val="20"/>
          <w:jc w:val="center"/>
        </w:trPr>
        <w:tc>
          <w:tcPr>
            <w:tcW w:w="0" w:type="auto"/>
            <w:hideMark/>
          </w:tcPr>
          <w:p w14:paraId="014E0C4C" w14:textId="77777777" w:rsidR="001F3F52" w:rsidRPr="00803F7A" w:rsidRDefault="001F3F52" w:rsidP="00803F7A">
            <w:pPr>
              <w:spacing w:line="278" w:lineRule="auto"/>
              <w:jc w:val="both"/>
              <w:rPr>
                <w:rFonts w:ascii="Times New Roman" w:hAnsi="Times New Roman" w:cs="Times New Roman"/>
                <w:sz w:val="28"/>
                <w:szCs w:val="22"/>
              </w:rPr>
            </w:pPr>
            <w:r w:rsidRPr="00803F7A">
              <w:rPr>
                <w:rFonts w:ascii="Times New Roman" w:hAnsi="Times New Roman" w:cs="Times New Roman"/>
                <w:sz w:val="28"/>
                <w:szCs w:val="22"/>
              </w:rPr>
              <w:t>Bihar</w:t>
            </w:r>
          </w:p>
        </w:tc>
        <w:tc>
          <w:tcPr>
            <w:tcW w:w="0" w:type="auto"/>
            <w:vAlign w:val="center"/>
            <w:hideMark/>
          </w:tcPr>
          <w:p w14:paraId="2A3A7FC0" w14:textId="77777777" w:rsidR="001F3F52" w:rsidRPr="00803F7A" w:rsidRDefault="001F3F52" w:rsidP="00803F7A">
            <w:pPr>
              <w:spacing w:line="278" w:lineRule="auto"/>
              <w:jc w:val="center"/>
              <w:rPr>
                <w:rFonts w:ascii="Times New Roman" w:hAnsi="Times New Roman" w:cs="Times New Roman"/>
                <w:sz w:val="28"/>
                <w:szCs w:val="22"/>
              </w:rPr>
            </w:pPr>
            <w:r w:rsidRPr="00803F7A">
              <w:rPr>
                <w:rFonts w:ascii="Times New Roman" w:hAnsi="Times New Roman" w:cs="Times New Roman"/>
                <w:sz w:val="28"/>
                <w:szCs w:val="22"/>
              </w:rPr>
              <w:t>130.16</w:t>
            </w:r>
          </w:p>
        </w:tc>
      </w:tr>
      <w:tr w:rsidR="001F3F52" w:rsidRPr="00803F7A" w14:paraId="1B80C947" w14:textId="77777777" w:rsidTr="00803F7A">
        <w:trPr>
          <w:trHeight w:val="20"/>
          <w:jc w:val="center"/>
        </w:trPr>
        <w:tc>
          <w:tcPr>
            <w:tcW w:w="0" w:type="auto"/>
            <w:hideMark/>
          </w:tcPr>
          <w:p w14:paraId="3C961A2C" w14:textId="77777777" w:rsidR="001F3F52" w:rsidRPr="00803F7A" w:rsidRDefault="001F3F52" w:rsidP="00803F7A">
            <w:pPr>
              <w:spacing w:line="278" w:lineRule="auto"/>
              <w:jc w:val="both"/>
              <w:rPr>
                <w:rFonts w:ascii="Times New Roman" w:hAnsi="Times New Roman" w:cs="Times New Roman"/>
                <w:sz w:val="28"/>
                <w:szCs w:val="22"/>
              </w:rPr>
            </w:pPr>
            <w:r w:rsidRPr="00803F7A">
              <w:rPr>
                <w:rFonts w:ascii="Times New Roman" w:hAnsi="Times New Roman" w:cs="Times New Roman"/>
                <w:sz w:val="28"/>
                <w:szCs w:val="22"/>
              </w:rPr>
              <w:t>Gujarat</w:t>
            </w:r>
          </w:p>
        </w:tc>
        <w:tc>
          <w:tcPr>
            <w:tcW w:w="0" w:type="auto"/>
            <w:vAlign w:val="center"/>
            <w:hideMark/>
          </w:tcPr>
          <w:p w14:paraId="6576D972" w14:textId="77777777" w:rsidR="001F3F52" w:rsidRPr="00803F7A" w:rsidRDefault="001F3F52" w:rsidP="00803F7A">
            <w:pPr>
              <w:spacing w:line="278" w:lineRule="auto"/>
              <w:jc w:val="center"/>
              <w:rPr>
                <w:rFonts w:ascii="Times New Roman" w:hAnsi="Times New Roman" w:cs="Times New Roman"/>
                <w:sz w:val="28"/>
                <w:szCs w:val="22"/>
              </w:rPr>
            </w:pPr>
            <w:r w:rsidRPr="00803F7A">
              <w:rPr>
                <w:rFonts w:ascii="Times New Roman" w:hAnsi="Times New Roman" w:cs="Times New Roman"/>
                <w:sz w:val="28"/>
                <w:szCs w:val="22"/>
              </w:rPr>
              <w:t>323.45</w:t>
            </w:r>
          </w:p>
        </w:tc>
      </w:tr>
      <w:tr w:rsidR="001F3F52" w:rsidRPr="00803F7A" w14:paraId="238FD675" w14:textId="77777777" w:rsidTr="00803F7A">
        <w:trPr>
          <w:trHeight w:val="20"/>
          <w:jc w:val="center"/>
        </w:trPr>
        <w:tc>
          <w:tcPr>
            <w:tcW w:w="0" w:type="auto"/>
            <w:hideMark/>
          </w:tcPr>
          <w:p w14:paraId="36B65A9F" w14:textId="77777777" w:rsidR="001F3F52" w:rsidRPr="00803F7A" w:rsidRDefault="001F3F52" w:rsidP="00803F7A">
            <w:pPr>
              <w:spacing w:line="278" w:lineRule="auto"/>
              <w:jc w:val="both"/>
              <w:rPr>
                <w:rFonts w:ascii="Times New Roman" w:hAnsi="Times New Roman" w:cs="Times New Roman"/>
                <w:sz w:val="28"/>
                <w:szCs w:val="22"/>
              </w:rPr>
            </w:pPr>
            <w:r w:rsidRPr="00803F7A">
              <w:rPr>
                <w:rFonts w:ascii="Times New Roman" w:hAnsi="Times New Roman" w:cs="Times New Roman"/>
                <w:sz w:val="28"/>
                <w:szCs w:val="22"/>
              </w:rPr>
              <w:t>Haryana</w:t>
            </w:r>
          </w:p>
        </w:tc>
        <w:tc>
          <w:tcPr>
            <w:tcW w:w="0" w:type="auto"/>
            <w:vAlign w:val="center"/>
            <w:hideMark/>
          </w:tcPr>
          <w:p w14:paraId="0CBF5796" w14:textId="77777777" w:rsidR="001F3F52" w:rsidRPr="00803F7A" w:rsidRDefault="001F3F52" w:rsidP="00803F7A">
            <w:pPr>
              <w:spacing w:line="278" w:lineRule="auto"/>
              <w:jc w:val="center"/>
              <w:rPr>
                <w:rFonts w:ascii="Times New Roman" w:hAnsi="Times New Roman" w:cs="Times New Roman"/>
                <w:sz w:val="28"/>
                <w:szCs w:val="22"/>
              </w:rPr>
            </w:pPr>
            <w:r w:rsidRPr="00803F7A">
              <w:rPr>
                <w:rFonts w:ascii="Times New Roman" w:hAnsi="Times New Roman" w:cs="Times New Roman"/>
                <w:sz w:val="28"/>
                <w:szCs w:val="22"/>
              </w:rPr>
              <w:t>65.49</w:t>
            </w:r>
          </w:p>
        </w:tc>
      </w:tr>
      <w:tr w:rsidR="001F3F52" w:rsidRPr="00803F7A" w14:paraId="730E4CF0" w14:textId="77777777" w:rsidTr="00803F7A">
        <w:trPr>
          <w:trHeight w:val="20"/>
          <w:jc w:val="center"/>
        </w:trPr>
        <w:tc>
          <w:tcPr>
            <w:tcW w:w="0" w:type="auto"/>
            <w:hideMark/>
          </w:tcPr>
          <w:p w14:paraId="60230C7C" w14:textId="77777777" w:rsidR="001F3F52" w:rsidRPr="00803F7A" w:rsidRDefault="001F3F52" w:rsidP="00803F7A">
            <w:pPr>
              <w:spacing w:line="278" w:lineRule="auto"/>
              <w:jc w:val="both"/>
              <w:rPr>
                <w:rFonts w:ascii="Times New Roman" w:hAnsi="Times New Roman" w:cs="Times New Roman"/>
                <w:sz w:val="28"/>
                <w:szCs w:val="22"/>
              </w:rPr>
            </w:pPr>
            <w:r w:rsidRPr="00803F7A">
              <w:rPr>
                <w:rFonts w:ascii="Times New Roman" w:hAnsi="Times New Roman" w:cs="Times New Roman"/>
                <w:sz w:val="28"/>
                <w:szCs w:val="22"/>
              </w:rPr>
              <w:t>Kerala</w:t>
            </w:r>
          </w:p>
        </w:tc>
        <w:tc>
          <w:tcPr>
            <w:tcW w:w="0" w:type="auto"/>
            <w:vAlign w:val="center"/>
            <w:hideMark/>
          </w:tcPr>
          <w:p w14:paraId="3BA2E3EA" w14:textId="77777777" w:rsidR="001F3F52" w:rsidRPr="00803F7A" w:rsidRDefault="001F3F52" w:rsidP="00803F7A">
            <w:pPr>
              <w:spacing w:line="278" w:lineRule="auto"/>
              <w:jc w:val="center"/>
              <w:rPr>
                <w:rFonts w:ascii="Times New Roman" w:hAnsi="Times New Roman" w:cs="Times New Roman"/>
                <w:sz w:val="28"/>
                <w:szCs w:val="22"/>
              </w:rPr>
            </w:pPr>
            <w:r w:rsidRPr="00803F7A">
              <w:rPr>
                <w:rFonts w:ascii="Times New Roman" w:hAnsi="Times New Roman" w:cs="Times New Roman"/>
                <w:sz w:val="28"/>
                <w:szCs w:val="22"/>
              </w:rPr>
              <w:t>95.08</w:t>
            </w:r>
          </w:p>
        </w:tc>
      </w:tr>
      <w:tr w:rsidR="001F3F52" w:rsidRPr="00803F7A" w14:paraId="0B992424" w14:textId="77777777" w:rsidTr="00803F7A">
        <w:trPr>
          <w:trHeight w:val="20"/>
          <w:jc w:val="center"/>
        </w:trPr>
        <w:tc>
          <w:tcPr>
            <w:tcW w:w="0" w:type="auto"/>
            <w:hideMark/>
          </w:tcPr>
          <w:p w14:paraId="06AA9797" w14:textId="77777777" w:rsidR="001F3F52" w:rsidRPr="00803F7A" w:rsidRDefault="001F3F52" w:rsidP="00803F7A">
            <w:pPr>
              <w:spacing w:line="278" w:lineRule="auto"/>
              <w:jc w:val="both"/>
              <w:rPr>
                <w:rFonts w:ascii="Times New Roman" w:hAnsi="Times New Roman" w:cs="Times New Roman"/>
                <w:sz w:val="28"/>
                <w:szCs w:val="22"/>
              </w:rPr>
            </w:pPr>
            <w:r w:rsidRPr="00803F7A">
              <w:rPr>
                <w:rFonts w:ascii="Times New Roman" w:hAnsi="Times New Roman" w:cs="Times New Roman"/>
                <w:sz w:val="28"/>
                <w:szCs w:val="22"/>
              </w:rPr>
              <w:t>Madhya Pradesh</w:t>
            </w:r>
          </w:p>
        </w:tc>
        <w:tc>
          <w:tcPr>
            <w:tcW w:w="0" w:type="auto"/>
            <w:vAlign w:val="center"/>
            <w:hideMark/>
          </w:tcPr>
          <w:p w14:paraId="59862DD5" w14:textId="77777777" w:rsidR="001F3F52" w:rsidRPr="00803F7A" w:rsidRDefault="001F3F52" w:rsidP="00803F7A">
            <w:pPr>
              <w:spacing w:line="278" w:lineRule="auto"/>
              <w:jc w:val="center"/>
              <w:rPr>
                <w:rFonts w:ascii="Times New Roman" w:hAnsi="Times New Roman" w:cs="Times New Roman"/>
                <w:sz w:val="28"/>
                <w:szCs w:val="22"/>
              </w:rPr>
            </w:pPr>
            <w:r w:rsidRPr="00803F7A">
              <w:rPr>
                <w:rFonts w:ascii="Times New Roman" w:hAnsi="Times New Roman" w:cs="Times New Roman"/>
                <w:sz w:val="28"/>
                <w:szCs w:val="22"/>
              </w:rPr>
              <w:t>155.17</w:t>
            </w:r>
          </w:p>
        </w:tc>
      </w:tr>
      <w:tr w:rsidR="001F3F52" w:rsidRPr="00803F7A" w14:paraId="3C7B52B7" w14:textId="77777777" w:rsidTr="00803F7A">
        <w:trPr>
          <w:trHeight w:val="20"/>
          <w:jc w:val="center"/>
        </w:trPr>
        <w:tc>
          <w:tcPr>
            <w:tcW w:w="0" w:type="auto"/>
            <w:hideMark/>
          </w:tcPr>
          <w:p w14:paraId="0D0C31CD" w14:textId="77777777" w:rsidR="001F3F52" w:rsidRPr="00803F7A" w:rsidRDefault="001F3F52" w:rsidP="00803F7A">
            <w:pPr>
              <w:spacing w:line="278" w:lineRule="auto"/>
              <w:jc w:val="both"/>
              <w:rPr>
                <w:rFonts w:ascii="Times New Roman" w:hAnsi="Times New Roman" w:cs="Times New Roman"/>
                <w:sz w:val="28"/>
                <w:szCs w:val="22"/>
              </w:rPr>
            </w:pPr>
            <w:r w:rsidRPr="00803F7A">
              <w:rPr>
                <w:rFonts w:ascii="Times New Roman" w:hAnsi="Times New Roman" w:cs="Times New Roman"/>
                <w:sz w:val="28"/>
                <w:szCs w:val="22"/>
              </w:rPr>
              <w:t>Maharashtra</w:t>
            </w:r>
          </w:p>
        </w:tc>
        <w:tc>
          <w:tcPr>
            <w:tcW w:w="0" w:type="auto"/>
            <w:vAlign w:val="center"/>
            <w:hideMark/>
          </w:tcPr>
          <w:p w14:paraId="27DF4C35" w14:textId="77777777" w:rsidR="001F3F52" w:rsidRPr="00803F7A" w:rsidRDefault="001F3F52" w:rsidP="00803F7A">
            <w:pPr>
              <w:spacing w:line="278" w:lineRule="auto"/>
              <w:jc w:val="center"/>
              <w:rPr>
                <w:rFonts w:ascii="Times New Roman" w:hAnsi="Times New Roman" w:cs="Times New Roman"/>
                <w:sz w:val="28"/>
                <w:szCs w:val="22"/>
              </w:rPr>
            </w:pPr>
            <w:r w:rsidRPr="00803F7A">
              <w:rPr>
                <w:rFonts w:ascii="Times New Roman" w:hAnsi="Times New Roman" w:cs="Times New Roman"/>
                <w:sz w:val="28"/>
                <w:szCs w:val="22"/>
              </w:rPr>
              <w:t>637.77</w:t>
            </w:r>
          </w:p>
        </w:tc>
      </w:tr>
      <w:tr w:rsidR="001F3F52" w:rsidRPr="00803F7A" w14:paraId="04D3C7EC" w14:textId="77777777" w:rsidTr="00803F7A">
        <w:trPr>
          <w:trHeight w:val="20"/>
          <w:jc w:val="center"/>
        </w:trPr>
        <w:tc>
          <w:tcPr>
            <w:tcW w:w="0" w:type="auto"/>
            <w:hideMark/>
          </w:tcPr>
          <w:p w14:paraId="6220F891" w14:textId="77777777" w:rsidR="001F3F52" w:rsidRPr="00803F7A" w:rsidRDefault="001F3F52" w:rsidP="00803F7A">
            <w:pPr>
              <w:spacing w:line="278" w:lineRule="auto"/>
              <w:jc w:val="both"/>
              <w:rPr>
                <w:rFonts w:ascii="Times New Roman" w:hAnsi="Times New Roman" w:cs="Times New Roman"/>
                <w:sz w:val="28"/>
                <w:szCs w:val="22"/>
              </w:rPr>
            </w:pPr>
            <w:r w:rsidRPr="00803F7A">
              <w:rPr>
                <w:rFonts w:ascii="Times New Roman" w:hAnsi="Times New Roman" w:cs="Times New Roman"/>
                <w:sz w:val="28"/>
                <w:szCs w:val="22"/>
              </w:rPr>
              <w:t>Mysore</w:t>
            </w:r>
          </w:p>
        </w:tc>
        <w:tc>
          <w:tcPr>
            <w:tcW w:w="0" w:type="auto"/>
            <w:vAlign w:val="center"/>
            <w:hideMark/>
          </w:tcPr>
          <w:p w14:paraId="25ECB476" w14:textId="77777777" w:rsidR="001F3F52" w:rsidRPr="00803F7A" w:rsidRDefault="001F3F52" w:rsidP="00803F7A">
            <w:pPr>
              <w:spacing w:line="278" w:lineRule="auto"/>
              <w:jc w:val="center"/>
              <w:rPr>
                <w:rFonts w:ascii="Times New Roman" w:hAnsi="Times New Roman" w:cs="Times New Roman"/>
                <w:sz w:val="28"/>
                <w:szCs w:val="22"/>
              </w:rPr>
            </w:pPr>
            <w:r w:rsidRPr="00803F7A">
              <w:rPr>
                <w:rFonts w:ascii="Times New Roman" w:hAnsi="Times New Roman" w:cs="Times New Roman"/>
                <w:sz w:val="28"/>
                <w:szCs w:val="22"/>
              </w:rPr>
              <w:t>100.10</w:t>
            </w:r>
          </w:p>
        </w:tc>
      </w:tr>
      <w:tr w:rsidR="001F3F52" w:rsidRPr="00803F7A" w14:paraId="410F6F94" w14:textId="77777777" w:rsidTr="00803F7A">
        <w:trPr>
          <w:trHeight w:val="20"/>
          <w:jc w:val="center"/>
        </w:trPr>
        <w:tc>
          <w:tcPr>
            <w:tcW w:w="0" w:type="auto"/>
            <w:hideMark/>
          </w:tcPr>
          <w:p w14:paraId="4BA94CED" w14:textId="77777777" w:rsidR="001F3F52" w:rsidRPr="00803F7A" w:rsidRDefault="001F3F52" w:rsidP="00803F7A">
            <w:pPr>
              <w:spacing w:line="278" w:lineRule="auto"/>
              <w:jc w:val="both"/>
              <w:rPr>
                <w:rFonts w:ascii="Times New Roman" w:hAnsi="Times New Roman" w:cs="Times New Roman"/>
                <w:sz w:val="28"/>
                <w:szCs w:val="22"/>
              </w:rPr>
            </w:pPr>
            <w:r w:rsidRPr="00803F7A">
              <w:rPr>
                <w:rFonts w:ascii="Times New Roman" w:hAnsi="Times New Roman" w:cs="Times New Roman"/>
                <w:sz w:val="28"/>
                <w:szCs w:val="22"/>
              </w:rPr>
              <w:t>Orissa</w:t>
            </w:r>
          </w:p>
        </w:tc>
        <w:tc>
          <w:tcPr>
            <w:tcW w:w="0" w:type="auto"/>
            <w:vAlign w:val="center"/>
            <w:hideMark/>
          </w:tcPr>
          <w:p w14:paraId="38F8EFAC" w14:textId="77777777" w:rsidR="001F3F52" w:rsidRPr="00803F7A" w:rsidRDefault="001F3F52" w:rsidP="00803F7A">
            <w:pPr>
              <w:spacing w:line="278" w:lineRule="auto"/>
              <w:jc w:val="center"/>
              <w:rPr>
                <w:rFonts w:ascii="Times New Roman" w:hAnsi="Times New Roman" w:cs="Times New Roman"/>
                <w:sz w:val="28"/>
                <w:szCs w:val="22"/>
              </w:rPr>
            </w:pPr>
            <w:r w:rsidRPr="00803F7A">
              <w:rPr>
                <w:rFonts w:ascii="Times New Roman" w:hAnsi="Times New Roman" w:cs="Times New Roman"/>
                <w:sz w:val="28"/>
                <w:szCs w:val="22"/>
              </w:rPr>
              <w:t>85.10</w:t>
            </w:r>
          </w:p>
        </w:tc>
      </w:tr>
      <w:tr w:rsidR="001F3F52" w:rsidRPr="00803F7A" w14:paraId="7A14AA14" w14:textId="77777777" w:rsidTr="00803F7A">
        <w:trPr>
          <w:trHeight w:val="20"/>
          <w:jc w:val="center"/>
        </w:trPr>
        <w:tc>
          <w:tcPr>
            <w:tcW w:w="0" w:type="auto"/>
            <w:hideMark/>
          </w:tcPr>
          <w:p w14:paraId="08384F4B" w14:textId="77777777" w:rsidR="001F3F52" w:rsidRPr="00803F7A" w:rsidRDefault="001F3F52" w:rsidP="00803F7A">
            <w:pPr>
              <w:spacing w:line="278" w:lineRule="auto"/>
              <w:jc w:val="both"/>
              <w:rPr>
                <w:rFonts w:ascii="Times New Roman" w:hAnsi="Times New Roman" w:cs="Times New Roman"/>
                <w:sz w:val="28"/>
                <w:szCs w:val="22"/>
              </w:rPr>
            </w:pPr>
            <w:r w:rsidRPr="00803F7A">
              <w:rPr>
                <w:rFonts w:ascii="Times New Roman" w:hAnsi="Times New Roman" w:cs="Times New Roman"/>
                <w:sz w:val="28"/>
                <w:szCs w:val="22"/>
              </w:rPr>
              <w:t>Punjab</w:t>
            </w:r>
          </w:p>
        </w:tc>
        <w:tc>
          <w:tcPr>
            <w:tcW w:w="0" w:type="auto"/>
            <w:vAlign w:val="center"/>
            <w:hideMark/>
          </w:tcPr>
          <w:p w14:paraId="7346B181" w14:textId="77777777" w:rsidR="001F3F52" w:rsidRPr="00803F7A" w:rsidRDefault="001F3F52" w:rsidP="00803F7A">
            <w:pPr>
              <w:spacing w:line="278" w:lineRule="auto"/>
              <w:jc w:val="center"/>
              <w:rPr>
                <w:rFonts w:ascii="Times New Roman" w:hAnsi="Times New Roman" w:cs="Times New Roman"/>
                <w:sz w:val="28"/>
                <w:szCs w:val="22"/>
              </w:rPr>
            </w:pPr>
            <w:r w:rsidRPr="00803F7A">
              <w:rPr>
                <w:rFonts w:ascii="Times New Roman" w:hAnsi="Times New Roman" w:cs="Times New Roman"/>
                <w:sz w:val="28"/>
                <w:szCs w:val="22"/>
              </w:rPr>
              <w:t>96.07</w:t>
            </w:r>
          </w:p>
        </w:tc>
      </w:tr>
      <w:tr w:rsidR="001F3F52" w:rsidRPr="00803F7A" w14:paraId="74A9E747" w14:textId="77777777" w:rsidTr="00803F7A">
        <w:trPr>
          <w:trHeight w:val="20"/>
          <w:jc w:val="center"/>
        </w:trPr>
        <w:tc>
          <w:tcPr>
            <w:tcW w:w="0" w:type="auto"/>
            <w:hideMark/>
          </w:tcPr>
          <w:p w14:paraId="05CDCA2A" w14:textId="77777777" w:rsidR="001F3F52" w:rsidRPr="00803F7A" w:rsidRDefault="001F3F52" w:rsidP="00803F7A">
            <w:pPr>
              <w:spacing w:line="278" w:lineRule="auto"/>
              <w:jc w:val="both"/>
              <w:rPr>
                <w:rFonts w:ascii="Times New Roman" w:hAnsi="Times New Roman" w:cs="Times New Roman"/>
                <w:sz w:val="28"/>
                <w:szCs w:val="22"/>
              </w:rPr>
            </w:pPr>
            <w:r w:rsidRPr="00803F7A">
              <w:rPr>
                <w:rFonts w:ascii="Times New Roman" w:hAnsi="Times New Roman" w:cs="Times New Roman"/>
                <w:sz w:val="28"/>
                <w:szCs w:val="22"/>
              </w:rPr>
              <w:t>Rajasthan</w:t>
            </w:r>
          </w:p>
        </w:tc>
        <w:tc>
          <w:tcPr>
            <w:tcW w:w="0" w:type="auto"/>
            <w:vAlign w:val="center"/>
            <w:hideMark/>
          </w:tcPr>
          <w:p w14:paraId="42D15B57" w14:textId="77777777" w:rsidR="001F3F52" w:rsidRPr="00803F7A" w:rsidRDefault="001F3F52" w:rsidP="00803F7A">
            <w:pPr>
              <w:spacing w:line="278" w:lineRule="auto"/>
              <w:jc w:val="center"/>
              <w:rPr>
                <w:rFonts w:ascii="Times New Roman" w:hAnsi="Times New Roman" w:cs="Times New Roman"/>
                <w:sz w:val="28"/>
                <w:szCs w:val="22"/>
              </w:rPr>
            </w:pPr>
            <w:r w:rsidRPr="00803F7A">
              <w:rPr>
                <w:rFonts w:ascii="Times New Roman" w:hAnsi="Times New Roman" w:cs="Times New Roman"/>
                <w:sz w:val="28"/>
                <w:szCs w:val="22"/>
              </w:rPr>
              <w:t>90.10</w:t>
            </w:r>
          </w:p>
        </w:tc>
      </w:tr>
      <w:tr w:rsidR="001F3F52" w:rsidRPr="00803F7A" w14:paraId="2376397D" w14:textId="77777777" w:rsidTr="00803F7A">
        <w:trPr>
          <w:trHeight w:val="20"/>
          <w:jc w:val="center"/>
        </w:trPr>
        <w:tc>
          <w:tcPr>
            <w:tcW w:w="0" w:type="auto"/>
            <w:hideMark/>
          </w:tcPr>
          <w:p w14:paraId="351A845B" w14:textId="77777777" w:rsidR="001F3F52" w:rsidRPr="00803F7A" w:rsidRDefault="001F3F52" w:rsidP="00803F7A">
            <w:pPr>
              <w:spacing w:line="278" w:lineRule="auto"/>
              <w:jc w:val="both"/>
              <w:rPr>
                <w:rFonts w:ascii="Times New Roman" w:hAnsi="Times New Roman" w:cs="Times New Roman"/>
                <w:sz w:val="28"/>
                <w:szCs w:val="22"/>
              </w:rPr>
            </w:pPr>
            <w:r w:rsidRPr="00803F7A">
              <w:rPr>
                <w:rFonts w:ascii="Times New Roman" w:hAnsi="Times New Roman" w:cs="Times New Roman"/>
                <w:sz w:val="28"/>
                <w:szCs w:val="22"/>
              </w:rPr>
              <w:t>Tamil Nadu</w:t>
            </w:r>
          </w:p>
        </w:tc>
        <w:tc>
          <w:tcPr>
            <w:tcW w:w="0" w:type="auto"/>
            <w:vAlign w:val="center"/>
            <w:hideMark/>
          </w:tcPr>
          <w:p w14:paraId="555470BF" w14:textId="77777777" w:rsidR="001F3F52" w:rsidRPr="00803F7A" w:rsidRDefault="001F3F52" w:rsidP="00803F7A">
            <w:pPr>
              <w:spacing w:line="278" w:lineRule="auto"/>
              <w:jc w:val="center"/>
              <w:rPr>
                <w:rFonts w:ascii="Times New Roman" w:hAnsi="Times New Roman" w:cs="Times New Roman"/>
                <w:sz w:val="28"/>
                <w:szCs w:val="22"/>
              </w:rPr>
            </w:pPr>
            <w:r w:rsidRPr="00803F7A">
              <w:rPr>
                <w:rFonts w:ascii="Times New Roman" w:hAnsi="Times New Roman" w:cs="Times New Roman"/>
                <w:sz w:val="28"/>
                <w:szCs w:val="22"/>
              </w:rPr>
              <w:t>285.34</w:t>
            </w:r>
          </w:p>
        </w:tc>
      </w:tr>
      <w:tr w:rsidR="001F3F52" w:rsidRPr="00803F7A" w14:paraId="562F55BB" w14:textId="77777777" w:rsidTr="00803F7A">
        <w:trPr>
          <w:trHeight w:val="20"/>
          <w:jc w:val="center"/>
        </w:trPr>
        <w:tc>
          <w:tcPr>
            <w:tcW w:w="0" w:type="auto"/>
            <w:hideMark/>
          </w:tcPr>
          <w:p w14:paraId="09882BAF" w14:textId="77777777" w:rsidR="001F3F52" w:rsidRPr="00803F7A" w:rsidRDefault="001F3F52" w:rsidP="00803F7A">
            <w:pPr>
              <w:spacing w:line="278" w:lineRule="auto"/>
              <w:jc w:val="both"/>
              <w:rPr>
                <w:rFonts w:ascii="Times New Roman" w:hAnsi="Times New Roman" w:cs="Times New Roman"/>
                <w:sz w:val="28"/>
                <w:szCs w:val="22"/>
              </w:rPr>
            </w:pPr>
            <w:r w:rsidRPr="00803F7A">
              <w:rPr>
                <w:rFonts w:ascii="Times New Roman" w:hAnsi="Times New Roman" w:cs="Times New Roman"/>
                <w:sz w:val="28"/>
                <w:szCs w:val="22"/>
              </w:rPr>
              <w:t>Uttar Pradesh</w:t>
            </w:r>
          </w:p>
        </w:tc>
        <w:tc>
          <w:tcPr>
            <w:tcW w:w="0" w:type="auto"/>
            <w:vAlign w:val="center"/>
            <w:hideMark/>
          </w:tcPr>
          <w:p w14:paraId="48007FB0" w14:textId="77777777" w:rsidR="001F3F52" w:rsidRPr="00803F7A" w:rsidRDefault="001F3F52" w:rsidP="00803F7A">
            <w:pPr>
              <w:spacing w:line="278" w:lineRule="auto"/>
              <w:jc w:val="center"/>
              <w:rPr>
                <w:rFonts w:ascii="Times New Roman" w:hAnsi="Times New Roman" w:cs="Times New Roman"/>
                <w:sz w:val="28"/>
                <w:szCs w:val="22"/>
              </w:rPr>
            </w:pPr>
            <w:r w:rsidRPr="00803F7A">
              <w:rPr>
                <w:rFonts w:ascii="Times New Roman" w:hAnsi="Times New Roman" w:cs="Times New Roman"/>
                <w:sz w:val="28"/>
                <w:szCs w:val="22"/>
              </w:rPr>
              <w:t>575.81</w:t>
            </w:r>
          </w:p>
        </w:tc>
      </w:tr>
      <w:tr w:rsidR="001F3F52" w:rsidRPr="00803F7A" w14:paraId="1B951081" w14:textId="77777777" w:rsidTr="00803F7A">
        <w:trPr>
          <w:trHeight w:val="20"/>
          <w:jc w:val="center"/>
        </w:trPr>
        <w:tc>
          <w:tcPr>
            <w:tcW w:w="0" w:type="auto"/>
            <w:hideMark/>
          </w:tcPr>
          <w:p w14:paraId="70F8DC1E" w14:textId="77777777" w:rsidR="001F3F52" w:rsidRPr="00803F7A" w:rsidRDefault="001F3F52" w:rsidP="00803F7A">
            <w:pPr>
              <w:spacing w:line="278" w:lineRule="auto"/>
              <w:jc w:val="both"/>
              <w:rPr>
                <w:rFonts w:ascii="Times New Roman" w:hAnsi="Times New Roman" w:cs="Times New Roman"/>
                <w:sz w:val="28"/>
                <w:szCs w:val="22"/>
              </w:rPr>
            </w:pPr>
            <w:r w:rsidRPr="00803F7A">
              <w:rPr>
                <w:rFonts w:ascii="Times New Roman" w:hAnsi="Times New Roman" w:cs="Times New Roman"/>
                <w:sz w:val="28"/>
                <w:szCs w:val="22"/>
              </w:rPr>
              <w:t>West Bengal</w:t>
            </w:r>
          </w:p>
        </w:tc>
        <w:tc>
          <w:tcPr>
            <w:tcW w:w="0" w:type="auto"/>
            <w:vAlign w:val="center"/>
            <w:hideMark/>
          </w:tcPr>
          <w:p w14:paraId="16216E67" w14:textId="77777777" w:rsidR="001F3F52" w:rsidRPr="00803F7A" w:rsidRDefault="001F3F52" w:rsidP="00803F7A">
            <w:pPr>
              <w:spacing w:line="278" w:lineRule="auto"/>
              <w:jc w:val="center"/>
              <w:rPr>
                <w:rFonts w:ascii="Times New Roman" w:hAnsi="Times New Roman" w:cs="Times New Roman"/>
                <w:sz w:val="28"/>
                <w:szCs w:val="22"/>
              </w:rPr>
            </w:pPr>
            <w:r w:rsidRPr="00803F7A">
              <w:rPr>
                <w:rFonts w:ascii="Times New Roman" w:hAnsi="Times New Roman" w:cs="Times New Roman"/>
                <w:sz w:val="28"/>
                <w:szCs w:val="22"/>
              </w:rPr>
              <w:t>280.41</w:t>
            </w:r>
          </w:p>
        </w:tc>
      </w:tr>
    </w:tbl>
    <w:p w14:paraId="5DFCE8DE" w14:textId="75ACBEFC" w:rsidR="001F3F52" w:rsidRPr="007245B0" w:rsidRDefault="001F3F52" w:rsidP="001F3F52">
      <w:pPr>
        <w:jc w:val="both"/>
        <w:rPr>
          <w:rFonts w:ascii="Times New Roman" w:hAnsi="Times New Roman" w:cs="Times New Roman"/>
        </w:rPr>
      </w:pPr>
    </w:p>
    <w:p w14:paraId="4095316E" w14:textId="5CAC60F0" w:rsidR="00803F7A" w:rsidRDefault="00B979EE" w:rsidP="00803F7A">
      <w:pPr>
        <w:spacing w:line="300" w:lineRule="exact"/>
        <w:ind w:left="720"/>
        <w:jc w:val="both"/>
        <w:rPr>
          <w:rFonts w:ascii="Times New Roman" w:hAnsi="Times New Roman" w:cs="Times New Roman"/>
        </w:rPr>
      </w:pPr>
      <w:r w:rsidRPr="00803F7A">
        <w:rPr>
          <w:rFonts w:ascii="Times New Roman" w:hAnsi="Times New Roman" w:cs="Times New Roman"/>
          <w:sz w:val="28"/>
          <w:szCs w:val="22"/>
        </w:rPr>
        <w:t>(e) The balance be distributed among the States other than</w:t>
      </w:r>
      <w:r w:rsidR="00803F7A">
        <w:rPr>
          <w:rFonts w:ascii="Times New Roman" w:hAnsi="Times New Roman" w:cs="Times New Roman"/>
          <w:sz w:val="28"/>
          <w:szCs w:val="22"/>
        </w:rPr>
        <w:t xml:space="preserve"> </w:t>
      </w:r>
      <w:r w:rsidRPr="00803F7A">
        <w:rPr>
          <w:rFonts w:ascii="Times New Roman" w:hAnsi="Times New Roman" w:cs="Times New Roman"/>
          <w:sz w:val="28"/>
          <w:szCs w:val="22"/>
        </w:rPr>
        <w:t>Jammu and Kashmir and Nagaland in accordance with</w:t>
      </w:r>
      <w:r w:rsidR="00803F7A">
        <w:rPr>
          <w:rFonts w:ascii="Times New Roman" w:hAnsi="Times New Roman" w:cs="Times New Roman"/>
          <w:sz w:val="28"/>
          <w:szCs w:val="22"/>
        </w:rPr>
        <w:t xml:space="preserve"> </w:t>
      </w:r>
      <w:r w:rsidRPr="00803F7A">
        <w:rPr>
          <w:rFonts w:ascii="Times New Roman" w:hAnsi="Times New Roman" w:cs="Times New Roman"/>
          <w:sz w:val="28"/>
          <w:szCs w:val="22"/>
        </w:rPr>
        <w:t>their respective percentage shares of such balance as</w:t>
      </w:r>
      <w:r w:rsidR="00803F7A">
        <w:rPr>
          <w:rFonts w:ascii="Times New Roman" w:hAnsi="Times New Roman" w:cs="Times New Roman"/>
          <w:sz w:val="28"/>
          <w:szCs w:val="22"/>
        </w:rPr>
        <w:t xml:space="preserve"> </w:t>
      </w:r>
      <w:r w:rsidRPr="00803F7A">
        <w:rPr>
          <w:rFonts w:ascii="Times New Roman" w:hAnsi="Times New Roman" w:cs="Times New Roman"/>
          <w:sz w:val="28"/>
          <w:szCs w:val="22"/>
        </w:rPr>
        <w:t>under:</w:t>
      </w:r>
      <w:r w:rsidRPr="007245B0">
        <w:rPr>
          <w:rFonts w:ascii="Times New Roman" w:hAnsi="Times New Roman" w:cs="Times New Roman"/>
        </w:rPr>
        <w:t> </w:t>
      </w:r>
    </w:p>
    <w:p w14:paraId="5C0FC182" w14:textId="77777777" w:rsidR="00803F7A" w:rsidRDefault="00803F7A">
      <w:pPr>
        <w:rPr>
          <w:rFonts w:ascii="Times New Roman" w:hAnsi="Times New Roman" w:cs="Times New Roman"/>
        </w:rPr>
      </w:pPr>
      <w:r>
        <w:rPr>
          <w:rFonts w:ascii="Times New Roman" w:hAnsi="Times New Roman" w:cs="Times New Roman"/>
        </w:rPr>
        <w:br w:type="page"/>
      </w:r>
    </w:p>
    <w:tbl>
      <w:tblPr>
        <w:tblStyle w:val="TableGrid"/>
        <w:tblW w:w="5848" w:type="dxa"/>
        <w:jc w:val="center"/>
        <w:tblLook w:val="04A0" w:firstRow="1" w:lastRow="0" w:firstColumn="1" w:lastColumn="0" w:noHBand="0" w:noVBand="1"/>
      </w:tblPr>
      <w:tblGrid>
        <w:gridCol w:w="2972"/>
        <w:gridCol w:w="2876"/>
      </w:tblGrid>
      <w:tr w:rsidR="00B979EE" w:rsidRPr="00803F7A" w14:paraId="3A3A9ADF" w14:textId="77777777" w:rsidTr="00803F7A">
        <w:trPr>
          <w:trHeight w:val="348"/>
          <w:jc w:val="center"/>
        </w:trPr>
        <w:tc>
          <w:tcPr>
            <w:tcW w:w="2972" w:type="dxa"/>
            <w:hideMark/>
          </w:tcPr>
          <w:p w14:paraId="177AC9C2" w14:textId="77777777" w:rsidR="00B979EE" w:rsidRPr="00803F7A" w:rsidRDefault="00B979EE" w:rsidP="00B979EE">
            <w:pPr>
              <w:pStyle w:val="NoSpacing"/>
              <w:rPr>
                <w:rFonts w:ascii="Times New Roman" w:hAnsi="Times New Roman" w:cs="Times New Roman"/>
                <w:b/>
                <w:bCs/>
                <w:sz w:val="28"/>
                <w:szCs w:val="28"/>
              </w:rPr>
            </w:pPr>
            <w:r w:rsidRPr="00803F7A">
              <w:rPr>
                <w:rFonts w:ascii="Times New Roman" w:hAnsi="Times New Roman" w:cs="Times New Roman"/>
                <w:b/>
                <w:bCs/>
                <w:sz w:val="28"/>
                <w:szCs w:val="28"/>
              </w:rPr>
              <w:lastRenderedPageBreak/>
              <w:t>State</w:t>
            </w:r>
          </w:p>
        </w:tc>
        <w:tc>
          <w:tcPr>
            <w:tcW w:w="2876" w:type="dxa"/>
            <w:hideMark/>
          </w:tcPr>
          <w:p w14:paraId="5C9AD06C" w14:textId="77777777" w:rsidR="00B979EE" w:rsidRPr="00803F7A" w:rsidRDefault="00B979EE" w:rsidP="00B979EE">
            <w:pPr>
              <w:pStyle w:val="NoSpacing"/>
              <w:jc w:val="center"/>
              <w:rPr>
                <w:rFonts w:ascii="Times New Roman" w:hAnsi="Times New Roman" w:cs="Times New Roman"/>
                <w:b/>
                <w:bCs/>
                <w:sz w:val="28"/>
                <w:szCs w:val="28"/>
              </w:rPr>
            </w:pPr>
            <w:r w:rsidRPr="00803F7A">
              <w:rPr>
                <w:rFonts w:ascii="Times New Roman" w:hAnsi="Times New Roman" w:cs="Times New Roman"/>
                <w:b/>
                <w:bCs/>
                <w:sz w:val="28"/>
                <w:szCs w:val="28"/>
              </w:rPr>
              <w:t>Percentage distribution of excess amount</w:t>
            </w:r>
          </w:p>
        </w:tc>
      </w:tr>
      <w:tr w:rsidR="00B979EE" w:rsidRPr="00803F7A" w14:paraId="1EB995EA" w14:textId="77777777" w:rsidTr="00803F7A">
        <w:trPr>
          <w:trHeight w:val="339"/>
          <w:jc w:val="center"/>
        </w:trPr>
        <w:tc>
          <w:tcPr>
            <w:tcW w:w="2972" w:type="dxa"/>
            <w:hideMark/>
          </w:tcPr>
          <w:p w14:paraId="75543C78" w14:textId="77777777" w:rsidR="00B979EE" w:rsidRPr="00803F7A" w:rsidRDefault="00B979EE" w:rsidP="00B979EE">
            <w:pPr>
              <w:pStyle w:val="NoSpacing"/>
              <w:rPr>
                <w:rFonts w:ascii="Times New Roman" w:hAnsi="Times New Roman" w:cs="Times New Roman"/>
                <w:sz w:val="28"/>
                <w:szCs w:val="28"/>
              </w:rPr>
            </w:pPr>
            <w:r w:rsidRPr="00803F7A">
              <w:rPr>
                <w:rFonts w:ascii="Times New Roman" w:hAnsi="Times New Roman" w:cs="Times New Roman"/>
                <w:sz w:val="28"/>
                <w:szCs w:val="28"/>
              </w:rPr>
              <w:t>Andhra Pradesh</w:t>
            </w:r>
          </w:p>
        </w:tc>
        <w:tc>
          <w:tcPr>
            <w:tcW w:w="2876" w:type="dxa"/>
            <w:hideMark/>
          </w:tcPr>
          <w:p w14:paraId="3BA0B12B" w14:textId="77777777" w:rsidR="00B979EE" w:rsidRPr="00803F7A" w:rsidRDefault="00B979EE" w:rsidP="00B979EE">
            <w:pPr>
              <w:pStyle w:val="NoSpacing"/>
              <w:jc w:val="center"/>
              <w:rPr>
                <w:rFonts w:ascii="Times New Roman" w:hAnsi="Times New Roman" w:cs="Times New Roman"/>
                <w:sz w:val="28"/>
                <w:szCs w:val="28"/>
              </w:rPr>
            </w:pPr>
            <w:r w:rsidRPr="00803F7A">
              <w:rPr>
                <w:rFonts w:ascii="Times New Roman" w:hAnsi="Times New Roman" w:cs="Times New Roman"/>
                <w:sz w:val="28"/>
                <w:szCs w:val="28"/>
              </w:rPr>
              <w:t>8.13</w:t>
            </w:r>
          </w:p>
        </w:tc>
      </w:tr>
      <w:tr w:rsidR="00B979EE" w:rsidRPr="00803F7A" w14:paraId="3008BF03" w14:textId="77777777" w:rsidTr="00803F7A">
        <w:trPr>
          <w:trHeight w:val="348"/>
          <w:jc w:val="center"/>
        </w:trPr>
        <w:tc>
          <w:tcPr>
            <w:tcW w:w="2972" w:type="dxa"/>
            <w:hideMark/>
          </w:tcPr>
          <w:p w14:paraId="50B8FCEF" w14:textId="77777777" w:rsidR="00B979EE" w:rsidRPr="00803F7A" w:rsidRDefault="00B979EE" w:rsidP="00B979EE">
            <w:pPr>
              <w:pStyle w:val="NoSpacing"/>
              <w:rPr>
                <w:rFonts w:ascii="Times New Roman" w:hAnsi="Times New Roman" w:cs="Times New Roman"/>
                <w:sz w:val="28"/>
                <w:szCs w:val="28"/>
              </w:rPr>
            </w:pPr>
            <w:r w:rsidRPr="00803F7A">
              <w:rPr>
                <w:rFonts w:ascii="Times New Roman" w:hAnsi="Times New Roman" w:cs="Times New Roman"/>
                <w:sz w:val="28"/>
                <w:szCs w:val="28"/>
              </w:rPr>
              <w:t>Assam</w:t>
            </w:r>
          </w:p>
        </w:tc>
        <w:tc>
          <w:tcPr>
            <w:tcW w:w="2876" w:type="dxa"/>
            <w:hideMark/>
          </w:tcPr>
          <w:p w14:paraId="63CC4F3D" w14:textId="77777777" w:rsidR="00B979EE" w:rsidRPr="00803F7A" w:rsidRDefault="00B979EE" w:rsidP="00B979EE">
            <w:pPr>
              <w:pStyle w:val="NoSpacing"/>
              <w:jc w:val="center"/>
              <w:rPr>
                <w:rFonts w:ascii="Times New Roman" w:hAnsi="Times New Roman" w:cs="Times New Roman"/>
                <w:sz w:val="28"/>
                <w:szCs w:val="28"/>
              </w:rPr>
            </w:pPr>
            <w:r w:rsidRPr="00803F7A">
              <w:rPr>
                <w:rFonts w:ascii="Times New Roman" w:hAnsi="Times New Roman" w:cs="Times New Roman"/>
                <w:sz w:val="28"/>
                <w:szCs w:val="28"/>
              </w:rPr>
              <w:t>2.47</w:t>
            </w:r>
          </w:p>
        </w:tc>
      </w:tr>
      <w:tr w:rsidR="00B979EE" w:rsidRPr="00803F7A" w14:paraId="5C5F4684" w14:textId="77777777" w:rsidTr="00803F7A">
        <w:trPr>
          <w:trHeight w:val="348"/>
          <w:jc w:val="center"/>
        </w:trPr>
        <w:tc>
          <w:tcPr>
            <w:tcW w:w="2972" w:type="dxa"/>
            <w:hideMark/>
          </w:tcPr>
          <w:p w14:paraId="5A94A67D" w14:textId="77777777" w:rsidR="00B979EE" w:rsidRPr="00803F7A" w:rsidRDefault="00B979EE" w:rsidP="00B979EE">
            <w:pPr>
              <w:pStyle w:val="NoSpacing"/>
              <w:rPr>
                <w:rFonts w:ascii="Times New Roman" w:hAnsi="Times New Roman" w:cs="Times New Roman"/>
                <w:sz w:val="28"/>
                <w:szCs w:val="28"/>
              </w:rPr>
            </w:pPr>
            <w:r w:rsidRPr="00803F7A">
              <w:rPr>
                <w:rFonts w:ascii="Times New Roman" w:hAnsi="Times New Roman" w:cs="Times New Roman"/>
                <w:sz w:val="28"/>
                <w:szCs w:val="28"/>
              </w:rPr>
              <w:t>Bihar</w:t>
            </w:r>
          </w:p>
        </w:tc>
        <w:tc>
          <w:tcPr>
            <w:tcW w:w="2876" w:type="dxa"/>
            <w:hideMark/>
          </w:tcPr>
          <w:p w14:paraId="13C3DF6E" w14:textId="77777777" w:rsidR="00B979EE" w:rsidRPr="00803F7A" w:rsidRDefault="00B979EE" w:rsidP="00B979EE">
            <w:pPr>
              <w:pStyle w:val="NoSpacing"/>
              <w:jc w:val="center"/>
              <w:rPr>
                <w:rFonts w:ascii="Times New Roman" w:hAnsi="Times New Roman" w:cs="Times New Roman"/>
                <w:sz w:val="28"/>
                <w:szCs w:val="28"/>
              </w:rPr>
            </w:pPr>
            <w:r w:rsidRPr="00803F7A">
              <w:rPr>
                <w:rFonts w:ascii="Times New Roman" w:hAnsi="Times New Roman" w:cs="Times New Roman"/>
                <w:sz w:val="28"/>
                <w:szCs w:val="28"/>
              </w:rPr>
              <w:t>8.40</w:t>
            </w:r>
          </w:p>
        </w:tc>
      </w:tr>
      <w:tr w:rsidR="00B979EE" w:rsidRPr="00803F7A" w14:paraId="49A4AE21" w14:textId="77777777" w:rsidTr="00803F7A">
        <w:trPr>
          <w:trHeight w:val="348"/>
          <w:jc w:val="center"/>
        </w:trPr>
        <w:tc>
          <w:tcPr>
            <w:tcW w:w="2972" w:type="dxa"/>
            <w:hideMark/>
          </w:tcPr>
          <w:p w14:paraId="4E2121B3" w14:textId="77777777" w:rsidR="00B979EE" w:rsidRPr="00803F7A" w:rsidRDefault="00B979EE" w:rsidP="00B979EE">
            <w:pPr>
              <w:pStyle w:val="NoSpacing"/>
              <w:rPr>
                <w:rFonts w:ascii="Times New Roman" w:hAnsi="Times New Roman" w:cs="Times New Roman"/>
                <w:sz w:val="28"/>
                <w:szCs w:val="28"/>
              </w:rPr>
            </w:pPr>
            <w:r w:rsidRPr="00803F7A">
              <w:rPr>
                <w:rFonts w:ascii="Times New Roman" w:hAnsi="Times New Roman" w:cs="Times New Roman"/>
                <w:sz w:val="28"/>
                <w:szCs w:val="28"/>
              </w:rPr>
              <w:t>Gujarat</w:t>
            </w:r>
          </w:p>
        </w:tc>
        <w:tc>
          <w:tcPr>
            <w:tcW w:w="2876" w:type="dxa"/>
            <w:hideMark/>
          </w:tcPr>
          <w:p w14:paraId="6816B182" w14:textId="77777777" w:rsidR="00B979EE" w:rsidRPr="00803F7A" w:rsidRDefault="00B979EE" w:rsidP="00B979EE">
            <w:pPr>
              <w:pStyle w:val="NoSpacing"/>
              <w:jc w:val="center"/>
              <w:rPr>
                <w:rFonts w:ascii="Times New Roman" w:hAnsi="Times New Roman" w:cs="Times New Roman"/>
                <w:sz w:val="28"/>
                <w:szCs w:val="28"/>
              </w:rPr>
            </w:pPr>
            <w:r w:rsidRPr="00803F7A">
              <w:rPr>
                <w:rFonts w:ascii="Times New Roman" w:hAnsi="Times New Roman" w:cs="Times New Roman"/>
                <w:sz w:val="28"/>
                <w:szCs w:val="28"/>
              </w:rPr>
              <w:t>6.33</w:t>
            </w:r>
          </w:p>
        </w:tc>
      </w:tr>
      <w:tr w:rsidR="00B979EE" w:rsidRPr="00803F7A" w14:paraId="58031E94" w14:textId="77777777" w:rsidTr="00803F7A">
        <w:trPr>
          <w:trHeight w:val="339"/>
          <w:jc w:val="center"/>
        </w:trPr>
        <w:tc>
          <w:tcPr>
            <w:tcW w:w="2972" w:type="dxa"/>
            <w:hideMark/>
          </w:tcPr>
          <w:p w14:paraId="4DB90307" w14:textId="77777777" w:rsidR="00B979EE" w:rsidRPr="00803F7A" w:rsidRDefault="00B979EE" w:rsidP="00B979EE">
            <w:pPr>
              <w:pStyle w:val="NoSpacing"/>
              <w:rPr>
                <w:rFonts w:ascii="Times New Roman" w:hAnsi="Times New Roman" w:cs="Times New Roman"/>
                <w:sz w:val="28"/>
                <w:szCs w:val="28"/>
              </w:rPr>
            </w:pPr>
            <w:r w:rsidRPr="00803F7A">
              <w:rPr>
                <w:rFonts w:ascii="Times New Roman" w:hAnsi="Times New Roman" w:cs="Times New Roman"/>
                <w:sz w:val="28"/>
                <w:szCs w:val="28"/>
              </w:rPr>
              <w:t>Haryana</w:t>
            </w:r>
          </w:p>
        </w:tc>
        <w:tc>
          <w:tcPr>
            <w:tcW w:w="2876" w:type="dxa"/>
            <w:hideMark/>
          </w:tcPr>
          <w:p w14:paraId="4DB5F19E" w14:textId="77777777" w:rsidR="00B979EE" w:rsidRPr="00803F7A" w:rsidRDefault="00B979EE" w:rsidP="00B979EE">
            <w:pPr>
              <w:pStyle w:val="NoSpacing"/>
              <w:jc w:val="center"/>
              <w:rPr>
                <w:rFonts w:ascii="Times New Roman" w:hAnsi="Times New Roman" w:cs="Times New Roman"/>
                <w:sz w:val="28"/>
                <w:szCs w:val="28"/>
              </w:rPr>
            </w:pPr>
            <w:r w:rsidRPr="00803F7A">
              <w:rPr>
                <w:rFonts w:ascii="Times New Roman" w:hAnsi="Times New Roman" w:cs="Times New Roman"/>
                <w:sz w:val="28"/>
                <w:szCs w:val="28"/>
              </w:rPr>
              <w:t>1.70</w:t>
            </w:r>
          </w:p>
        </w:tc>
      </w:tr>
      <w:tr w:rsidR="00B979EE" w:rsidRPr="00803F7A" w14:paraId="477684C6" w14:textId="77777777" w:rsidTr="00803F7A">
        <w:trPr>
          <w:trHeight w:val="348"/>
          <w:jc w:val="center"/>
        </w:trPr>
        <w:tc>
          <w:tcPr>
            <w:tcW w:w="2972" w:type="dxa"/>
            <w:hideMark/>
          </w:tcPr>
          <w:p w14:paraId="0AB8E7FD" w14:textId="77777777" w:rsidR="00B979EE" w:rsidRPr="00803F7A" w:rsidRDefault="00B979EE" w:rsidP="00B979EE">
            <w:pPr>
              <w:pStyle w:val="NoSpacing"/>
              <w:rPr>
                <w:rFonts w:ascii="Times New Roman" w:hAnsi="Times New Roman" w:cs="Times New Roman"/>
                <w:sz w:val="28"/>
                <w:szCs w:val="28"/>
              </w:rPr>
            </w:pPr>
            <w:r w:rsidRPr="00803F7A">
              <w:rPr>
                <w:rFonts w:ascii="Times New Roman" w:hAnsi="Times New Roman" w:cs="Times New Roman"/>
                <w:sz w:val="28"/>
                <w:szCs w:val="28"/>
              </w:rPr>
              <w:t>Kerala</w:t>
            </w:r>
          </w:p>
        </w:tc>
        <w:tc>
          <w:tcPr>
            <w:tcW w:w="2876" w:type="dxa"/>
            <w:hideMark/>
          </w:tcPr>
          <w:p w14:paraId="72A88EAD" w14:textId="27786576" w:rsidR="00B979EE" w:rsidRPr="00803F7A" w:rsidRDefault="00B979EE" w:rsidP="00B979EE">
            <w:pPr>
              <w:pStyle w:val="NoSpacing"/>
              <w:jc w:val="center"/>
              <w:rPr>
                <w:rFonts w:ascii="Times New Roman" w:hAnsi="Times New Roman" w:cs="Times New Roman"/>
                <w:sz w:val="28"/>
                <w:szCs w:val="28"/>
              </w:rPr>
            </w:pPr>
            <w:r w:rsidRPr="00803F7A">
              <w:rPr>
                <w:rFonts w:ascii="Times New Roman" w:hAnsi="Times New Roman" w:cs="Times New Roman"/>
                <w:sz w:val="28"/>
                <w:szCs w:val="28"/>
              </w:rPr>
              <w:t>4</w:t>
            </w:r>
            <w:r w:rsidR="002166E0">
              <w:rPr>
                <w:rFonts w:ascii="Times New Roman" w:hAnsi="Times New Roman" w:cs="Times New Roman"/>
                <w:sz w:val="28"/>
                <w:szCs w:val="28"/>
              </w:rPr>
              <w:t>.</w:t>
            </w:r>
            <w:r w:rsidRPr="00803F7A">
              <w:rPr>
                <w:rFonts w:ascii="Times New Roman" w:hAnsi="Times New Roman" w:cs="Times New Roman"/>
                <w:sz w:val="28"/>
                <w:szCs w:val="28"/>
              </w:rPr>
              <w:t>84</w:t>
            </w:r>
          </w:p>
        </w:tc>
      </w:tr>
      <w:tr w:rsidR="00B979EE" w:rsidRPr="00803F7A" w14:paraId="19FEFB4D" w14:textId="77777777" w:rsidTr="00803F7A">
        <w:trPr>
          <w:trHeight w:val="348"/>
          <w:jc w:val="center"/>
        </w:trPr>
        <w:tc>
          <w:tcPr>
            <w:tcW w:w="2972" w:type="dxa"/>
            <w:hideMark/>
          </w:tcPr>
          <w:p w14:paraId="28D07892" w14:textId="77777777" w:rsidR="00B979EE" w:rsidRPr="00803F7A" w:rsidRDefault="00B979EE" w:rsidP="00B979EE">
            <w:pPr>
              <w:pStyle w:val="NoSpacing"/>
              <w:rPr>
                <w:rFonts w:ascii="Times New Roman" w:hAnsi="Times New Roman" w:cs="Times New Roman"/>
                <w:sz w:val="28"/>
                <w:szCs w:val="28"/>
              </w:rPr>
            </w:pPr>
            <w:r w:rsidRPr="00803F7A">
              <w:rPr>
                <w:rFonts w:ascii="Times New Roman" w:hAnsi="Times New Roman" w:cs="Times New Roman"/>
                <w:sz w:val="28"/>
                <w:szCs w:val="28"/>
              </w:rPr>
              <w:t>Madhya Pradesh</w:t>
            </w:r>
          </w:p>
        </w:tc>
        <w:tc>
          <w:tcPr>
            <w:tcW w:w="2876" w:type="dxa"/>
            <w:hideMark/>
          </w:tcPr>
          <w:p w14:paraId="60AE4E4E" w14:textId="38AFE49E" w:rsidR="00B979EE" w:rsidRPr="00803F7A" w:rsidRDefault="00B979EE" w:rsidP="00B979EE">
            <w:pPr>
              <w:pStyle w:val="NoSpacing"/>
              <w:jc w:val="center"/>
              <w:rPr>
                <w:rFonts w:ascii="Times New Roman" w:hAnsi="Times New Roman" w:cs="Times New Roman"/>
                <w:sz w:val="28"/>
                <w:szCs w:val="28"/>
              </w:rPr>
            </w:pPr>
            <w:r w:rsidRPr="00803F7A">
              <w:rPr>
                <w:rFonts w:ascii="Times New Roman" w:hAnsi="Times New Roman" w:cs="Times New Roman"/>
                <w:sz w:val="28"/>
                <w:szCs w:val="28"/>
              </w:rPr>
              <w:t>6</w:t>
            </w:r>
            <w:r w:rsidR="002166E0">
              <w:rPr>
                <w:rFonts w:ascii="Times New Roman" w:hAnsi="Times New Roman" w:cs="Times New Roman"/>
                <w:sz w:val="28"/>
                <w:szCs w:val="28"/>
              </w:rPr>
              <w:t>.</w:t>
            </w:r>
            <w:r w:rsidRPr="00803F7A">
              <w:rPr>
                <w:rFonts w:ascii="Times New Roman" w:hAnsi="Times New Roman" w:cs="Times New Roman"/>
                <w:sz w:val="28"/>
                <w:szCs w:val="28"/>
              </w:rPr>
              <w:t>34</w:t>
            </w:r>
          </w:p>
        </w:tc>
      </w:tr>
      <w:tr w:rsidR="00B979EE" w:rsidRPr="00803F7A" w14:paraId="024B2DE2" w14:textId="77777777" w:rsidTr="00803F7A">
        <w:trPr>
          <w:trHeight w:val="339"/>
          <w:jc w:val="center"/>
        </w:trPr>
        <w:tc>
          <w:tcPr>
            <w:tcW w:w="2972" w:type="dxa"/>
            <w:hideMark/>
          </w:tcPr>
          <w:p w14:paraId="65FB8134" w14:textId="77777777" w:rsidR="00B979EE" w:rsidRPr="00803F7A" w:rsidRDefault="00B979EE" w:rsidP="00B979EE">
            <w:pPr>
              <w:pStyle w:val="NoSpacing"/>
              <w:rPr>
                <w:rFonts w:ascii="Times New Roman" w:hAnsi="Times New Roman" w:cs="Times New Roman"/>
                <w:sz w:val="28"/>
                <w:szCs w:val="28"/>
              </w:rPr>
            </w:pPr>
            <w:r w:rsidRPr="00803F7A">
              <w:rPr>
                <w:rFonts w:ascii="Times New Roman" w:hAnsi="Times New Roman" w:cs="Times New Roman"/>
                <w:sz w:val="28"/>
                <w:szCs w:val="28"/>
              </w:rPr>
              <w:t>Maharashtra</w:t>
            </w:r>
          </w:p>
        </w:tc>
        <w:tc>
          <w:tcPr>
            <w:tcW w:w="2876" w:type="dxa"/>
            <w:hideMark/>
          </w:tcPr>
          <w:p w14:paraId="7C98859F" w14:textId="77777777" w:rsidR="00B979EE" w:rsidRPr="00803F7A" w:rsidRDefault="00B979EE" w:rsidP="00B979EE">
            <w:pPr>
              <w:pStyle w:val="NoSpacing"/>
              <w:jc w:val="center"/>
              <w:rPr>
                <w:rFonts w:ascii="Times New Roman" w:hAnsi="Times New Roman" w:cs="Times New Roman"/>
                <w:sz w:val="28"/>
                <w:szCs w:val="28"/>
              </w:rPr>
            </w:pPr>
            <w:r w:rsidRPr="00803F7A">
              <w:rPr>
                <w:rFonts w:ascii="Times New Roman" w:hAnsi="Times New Roman" w:cs="Times New Roman"/>
                <w:sz w:val="28"/>
                <w:szCs w:val="28"/>
              </w:rPr>
              <w:t>13.89</w:t>
            </w:r>
          </w:p>
        </w:tc>
      </w:tr>
      <w:tr w:rsidR="00B979EE" w:rsidRPr="00803F7A" w14:paraId="07211F57" w14:textId="77777777" w:rsidTr="00803F7A">
        <w:trPr>
          <w:trHeight w:val="348"/>
          <w:jc w:val="center"/>
        </w:trPr>
        <w:tc>
          <w:tcPr>
            <w:tcW w:w="2972" w:type="dxa"/>
            <w:hideMark/>
          </w:tcPr>
          <w:p w14:paraId="192BFA2A" w14:textId="77777777" w:rsidR="00B979EE" w:rsidRPr="00803F7A" w:rsidRDefault="00B979EE" w:rsidP="00B979EE">
            <w:pPr>
              <w:pStyle w:val="NoSpacing"/>
              <w:rPr>
                <w:rFonts w:ascii="Times New Roman" w:hAnsi="Times New Roman" w:cs="Times New Roman"/>
                <w:sz w:val="28"/>
                <w:szCs w:val="28"/>
              </w:rPr>
            </w:pPr>
            <w:r w:rsidRPr="00803F7A">
              <w:rPr>
                <w:rFonts w:ascii="Times New Roman" w:hAnsi="Times New Roman" w:cs="Times New Roman"/>
                <w:sz w:val="28"/>
                <w:szCs w:val="28"/>
              </w:rPr>
              <w:t>Mysore</w:t>
            </w:r>
          </w:p>
        </w:tc>
        <w:tc>
          <w:tcPr>
            <w:tcW w:w="2876" w:type="dxa"/>
            <w:hideMark/>
          </w:tcPr>
          <w:p w14:paraId="4728E68A" w14:textId="77777777" w:rsidR="00B979EE" w:rsidRPr="00803F7A" w:rsidRDefault="00B979EE" w:rsidP="00B979EE">
            <w:pPr>
              <w:pStyle w:val="NoSpacing"/>
              <w:jc w:val="center"/>
              <w:rPr>
                <w:rFonts w:ascii="Times New Roman" w:hAnsi="Times New Roman" w:cs="Times New Roman"/>
                <w:sz w:val="28"/>
                <w:szCs w:val="28"/>
              </w:rPr>
            </w:pPr>
            <w:r w:rsidRPr="00803F7A">
              <w:rPr>
                <w:rFonts w:ascii="Times New Roman" w:hAnsi="Times New Roman" w:cs="Times New Roman"/>
                <w:sz w:val="28"/>
                <w:szCs w:val="28"/>
              </w:rPr>
              <w:t>6.00</w:t>
            </w:r>
          </w:p>
        </w:tc>
      </w:tr>
      <w:tr w:rsidR="00B979EE" w:rsidRPr="00803F7A" w14:paraId="377B5ACF" w14:textId="77777777" w:rsidTr="00803F7A">
        <w:trPr>
          <w:trHeight w:val="348"/>
          <w:jc w:val="center"/>
        </w:trPr>
        <w:tc>
          <w:tcPr>
            <w:tcW w:w="2972" w:type="dxa"/>
            <w:hideMark/>
          </w:tcPr>
          <w:p w14:paraId="1CBC12F7" w14:textId="77777777" w:rsidR="00B979EE" w:rsidRPr="00803F7A" w:rsidRDefault="00B979EE" w:rsidP="00B979EE">
            <w:pPr>
              <w:pStyle w:val="NoSpacing"/>
              <w:rPr>
                <w:rFonts w:ascii="Times New Roman" w:hAnsi="Times New Roman" w:cs="Times New Roman"/>
                <w:sz w:val="28"/>
                <w:szCs w:val="28"/>
              </w:rPr>
            </w:pPr>
            <w:r w:rsidRPr="00803F7A">
              <w:rPr>
                <w:rFonts w:ascii="Times New Roman" w:hAnsi="Times New Roman" w:cs="Times New Roman"/>
                <w:sz w:val="28"/>
                <w:szCs w:val="28"/>
              </w:rPr>
              <w:t>Orissa</w:t>
            </w:r>
          </w:p>
        </w:tc>
        <w:tc>
          <w:tcPr>
            <w:tcW w:w="2876" w:type="dxa"/>
            <w:hideMark/>
          </w:tcPr>
          <w:p w14:paraId="763056B5" w14:textId="77777777" w:rsidR="00B979EE" w:rsidRPr="00803F7A" w:rsidRDefault="00B979EE" w:rsidP="00B979EE">
            <w:pPr>
              <w:pStyle w:val="NoSpacing"/>
              <w:jc w:val="center"/>
              <w:rPr>
                <w:rFonts w:ascii="Times New Roman" w:hAnsi="Times New Roman" w:cs="Times New Roman"/>
                <w:sz w:val="28"/>
                <w:szCs w:val="28"/>
              </w:rPr>
            </w:pPr>
            <w:r w:rsidRPr="00803F7A">
              <w:rPr>
                <w:rFonts w:ascii="Times New Roman" w:hAnsi="Times New Roman" w:cs="Times New Roman"/>
                <w:sz w:val="28"/>
                <w:szCs w:val="28"/>
              </w:rPr>
              <w:t>3.13</w:t>
            </w:r>
          </w:p>
        </w:tc>
      </w:tr>
      <w:tr w:rsidR="00B979EE" w:rsidRPr="00803F7A" w14:paraId="1DADBAC3" w14:textId="77777777" w:rsidTr="00803F7A">
        <w:trPr>
          <w:trHeight w:val="339"/>
          <w:jc w:val="center"/>
        </w:trPr>
        <w:tc>
          <w:tcPr>
            <w:tcW w:w="2972" w:type="dxa"/>
            <w:hideMark/>
          </w:tcPr>
          <w:p w14:paraId="1257972F" w14:textId="77777777" w:rsidR="00B979EE" w:rsidRPr="00803F7A" w:rsidRDefault="00B979EE" w:rsidP="00B979EE">
            <w:pPr>
              <w:pStyle w:val="NoSpacing"/>
              <w:rPr>
                <w:rFonts w:ascii="Times New Roman" w:hAnsi="Times New Roman" w:cs="Times New Roman"/>
                <w:sz w:val="28"/>
                <w:szCs w:val="28"/>
              </w:rPr>
            </w:pPr>
            <w:r w:rsidRPr="00803F7A">
              <w:rPr>
                <w:rFonts w:ascii="Times New Roman" w:hAnsi="Times New Roman" w:cs="Times New Roman"/>
                <w:sz w:val="28"/>
                <w:szCs w:val="28"/>
              </w:rPr>
              <w:t>Punjab</w:t>
            </w:r>
          </w:p>
        </w:tc>
        <w:tc>
          <w:tcPr>
            <w:tcW w:w="2876" w:type="dxa"/>
            <w:hideMark/>
          </w:tcPr>
          <w:p w14:paraId="454FB3B3" w14:textId="77777777" w:rsidR="00B979EE" w:rsidRPr="00803F7A" w:rsidRDefault="00B979EE" w:rsidP="00B979EE">
            <w:pPr>
              <w:pStyle w:val="NoSpacing"/>
              <w:jc w:val="center"/>
              <w:rPr>
                <w:rFonts w:ascii="Times New Roman" w:hAnsi="Times New Roman" w:cs="Times New Roman"/>
                <w:sz w:val="28"/>
                <w:szCs w:val="28"/>
              </w:rPr>
            </w:pPr>
            <w:r w:rsidRPr="00803F7A">
              <w:rPr>
                <w:rFonts w:ascii="Times New Roman" w:hAnsi="Times New Roman" w:cs="Times New Roman"/>
                <w:sz w:val="28"/>
                <w:szCs w:val="28"/>
              </w:rPr>
              <w:t>2.98</w:t>
            </w:r>
          </w:p>
        </w:tc>
      </w:tr>
      <w:tr w:rsidR="00B979EE" w:rsidRPr="00803F7A" w14:paraId="767E0196" w14:textId="77777777" w:rsidTr="00803F7A">
        <w:trPr>
          <w:trHeight w:val="348"/>
          <w:jc w:val="center"/>
        </w:trPr>
        <w:tc>
          <w:tcPr>
            <w:tcW w:w="2972" w:type="dxa"/>
            <w:hideMark/>
          </w:tcPr>
          <w:p w14:paraId="2CE2916C" w14:textId="77777777" w:rsidR="00B979EE" w:rsidRPr="00803F7A" w:rsidRDefault="00B979EE" w:rsidP="00B979EE">
            <w:pPr>
              <w:pStyle w:val="NoSpacing"/>
              <w:rPr>
                <w:rFonts w:ascii="Times New Roman" w:hAnsi="Times New Roman" w:cs="Times New Roman"/>
                <w:sz w:val="28"/>
                <w:szCs w:val="28"/>
              </w:rPr>
            </w:pPr>
            <w:r w:rsidRPr="00803F7A">
              <w:rPr>
                <w:rFonts w:ascii="Times New Roman" w:hAnsi="Times New Roman" w:cs="Times New Roman"/>
                <w:sz w:val="28"/>
                <w:szCs w:val="28"/>
              </w:rPr>
              <w:t>Rajasthan</w:t>
            </w:r>
          </w:p>
        </w:tc>
        <w:tc>
          <w:tcPr>
            <w:tcW w:w="2876" w:type="dxa"/>
            <w:hideMark/>
          </w:tcPr>
          <w:p w14:paraId="0AF1BA20" w14:textId="77777777" w:rsidR="00B979EE" w:rsidRPr="00803F7A" w:rsidRDefault="00B979EE" w:rsidP="00B979EE">
            <w:pPr>
              <w:pStyle w:val="NoSpacing"/>
              <w:jc w:val="center"/>
              <w:rPr>
                <w:rFonts w:ascii="Times New Roman" w:hAnsi="Times New Roman" w:cs="Times New Roman"/>
                <w:sz w:val="28"/>
                <w:szCs w:val="28"/>
              </w:rPr>
            </w:pPr>
            <w:r w:rsidRPr="00803F7A">
              <w:rPr>
                <w:rFonts w:ascii="Times New Roman" w:hAnsi="Times New Roman" w:cs="Times New Roman"/>
                <w:sz w:val="28"/>
                <w:szCs w:val="28"/>
              </w:rPr>
              <w:t>4.42</w:t>
            </w:r>
          </w:p>
        </w:tc>
      </w:tr>
      <w:tr w:rsidR="00B979EE" w:rsidRPr="00803F7A" w14:paraId="49BBE701" w14:textId="77777777" w:rsidTr="00803F7A">
        <w:trPr>
          <w:trHeight w:val="348"/>
          <w:jc w:val="center"/>
        </w:trPr>
        <w:tc>
          <w:tcPr>
            <w:tcW w:w="2972" w:type="dxa"/>
            <w:hideMark/>
          </w:tcPr>
          <w:p w14:paraId="5B0FDEE3" w14:textId="77777777" w:rsidR="00B979EE" w:rsidRPr="00803F7A" w:rsidRDefault="00B979EE" w:rsidP="00B979EE">
            <w:pPr>
              <w:pStyle w:val="NoSpacing"/>
              <w:rPr>
                <w:rFonts w:ascii="Times New Roman" w:hAnsi="Times New Roman" w:cs="Times New Roman"/>
                <w:sz w:val="28"/>
                <w:szCs w:val="28"/>
              </w:rPr>
            </w:pPr>
            <w:r w:rsidRPr="00803F7A">
              <w:rPr>
                <w:rFonts w:ascii="Times New Roman" w:hAnsi="Times New Roman" w:cs="Times New Roman"/>
                <w:sz w:val="28"/>
                <w:szCs w:val="28"/>
              </w:rPr>
              <w:t>Tamil Nadu</w:t>
            </w:r>
          </w:p>
        </w:tc>
        <w:tc>
          <w:tcPr>
            <w:tcW w:w="2876" w:type="dxa"/>
            <w:hideMark/>
          </w:tcPr>
          <w:p w14:paraId="0AE68D00" w14:textId="77777777" w:rsidR="00B979EE" w:rsidRPr="00803F7A" w:rsidRDefault="00B979EE" w:rsidP="00B979EE">
            <w:pPr>
              <w:pStyle w:val="NoSpacing"/>
              <w:jc w:val="center"/>
              <w:rPr>
                <w:rFonts w:ascii="Times New Roman" w:hAnsi="Times New Roman" w:cs="Times New Roman"/>
                <w:sz w:val="28"/>
                <w:szCs w:val="28"/>
              </w:rPr>
            </w:pPr>
            <w:r w:rsidRPr="00803F7A">
              <w:rPr>
                <w:rFonts w:ascii="Times New Roman" w:hAnsi="Times New Roman" w:cs="Times New Roman"/>
                <w:sz w:val="28"/>
                <w:szCs w:val="28"/>
              </w:rPr>
              <w:t>9.63</w:t>
            </w:r>
          </w:p>
        </w:tc>
      </w:tr>
      <w:tr w:rsidR="00B979EE" w:rsidRPr="00803F7A" w14:paraId="47634B2E" w14:textId="77777777" w:rsidTr="00803F7A">
        <w:trPr>
          <w:trHeight w:val="339"/>
          <w:jc w:val="center"/>
        </w:trPr>
        <w:tc>
          <w:tcPr>
            <w:tcW w:w="2972" w:type="dxa"/>
            <w:hideMark/>
          </w:tcPr>
          <w:p w14:paraId="4899FF6F" w14:textId="77777777" w:rsidR="00B979EE" w:rsidRPr="00803F7A" w:rsidRDefault="00B979EE" w:rsidP="00B979EE">
            <w:pPr>
              <w:pStyle w:val="NoSpacing"/>
              <w:rPr>
                <w:rFonts w:ascii="Times New Roman" w:hAnsi="Times New Roman" w:cs="Times New Roman"/>
                <w:sz w:val="28"/>
                <w:szCs w:val="28"/>
              </w:rPr>
            </w:pPr>
            <w:r w:rsidRPr="00803F7A">
              <w:rPr>
                <w:rFonts w:ascii="Times New Roman" w:hAnsi="Times New Roman" w:cs="Times New Roman"/>
                <w:sz w:val="28"/>
                <w:szCs w:val="28"/>
              </w:rPr>
              <w:t>Uttar Pradesh</w:t>
            </w:r>
          </w:p>
        </w:tc>
        <w:tc>
          <w:tcPr>
            <w:tcW w:w="2876" w:type="dxa"/>
            <w:hideMark/>
          </w:tcPr>
          <w:p w14:paraId="56E918A5" w14:textId="77777777" w:rsidR="00B979EE" w:rsidRPr="00803F7A" w:rsidRDefault="00B979EE" w:rsidP="00B979EE">
            <w:pPr>
              <w:pStyle w:val="NoSpacing"/>
              <w:jc w:val="center"/>
              <w:rPr>
                <w:rFonts w:ascii="Times New Roman" w:hAnsi="Times New Roman" w:cs="Times New Roman"/>
                <w:sz w:val="28"/>
                <w:szCs w:val="28"/>
              </w:rPr>
            </w:pPr>
            <w:r w:rsidRPr="00803F7A">
              <w:rPr>
                <w:rFonts w:ascii="Times New Roman" w:hAnsi="Times New Roman" w:cs="Times New Roman"/>
                <w:sz w:val="28"/>
                <w:szCs w:val="28"/>
              </w:rPr>
              <w:t>12.99</w:t>
            </w:r>
          </w:p>
        </w:tc>
      </w:tr>
      <w:tr w:rsidR="00B979EE" w:rsidRPr="00803F7A" w14:paraId="09C774E3" w14:textId="77777777" w:rsidTr="00803F7A">
        <w:trPr>
          <w:trHeight w:val="348"/>
          <w:jc w:val="center"/>
        </w:trPr>
        <w:tc>
          <w:tcPr>
            <w:tcW w:w="2972" w:type="dxa"/>
            <w:hideMark/>
          </w:tcPr>
          <w:p w14:paraId="47480A5D" w14:textId="77777777" w:rsidR="00B979EE" w:rsidRPr="00803F7A" w:rsidRDefault="00B979EE" w:rsidP="00B979EE">
            <w:pPr>
              <w:pStyle w:val="NoSpacing"/>
              <w:rPr>
                <w:rFonts w:ascii="Times New Roman" w:hAnsi="Times New Roman" w:cs="Times New Roman"/>
                <w:sz w:val="28"/>
                <w:szCs w:val="28"/>
              </w:rPr>
            </w:pPr>
            <w:r w:rsidRPr="00803F7A">
              <w:rPr>
                <w:rFonts w:ascii="Times New Roman" w:hAnsi="Times New Roman" w:cs="Times New Roman"/>
                <w:sz w:val="28"/>
                <w:szCs w:val="28"/>
              </w:rPr>
              <w:t>West Bengal</w:t>
            </w:r>
          </w:p>
        </w:tc>
        <w:tc>
          <w:tcPr>
            <w:tcW w:w="2876" w:type="dxa"/>
            <w:hideMark/>
          </w:tcPr>
          <w:p w14:paraId="31C265C8" w14:textId="07B86C45" w:rsidR="00B979EE" w:rsidRPr="00803F7A" w:rsidRDefault="00B979EE" w:rsidP="00B979EE">
            <w:pPr>
              <w:pStyle w:val="NoSpacing"/>
              <w:jc w:val="center"/>
              <w:rPr>
                <w:rFonts w:ascii="Times New Roman" w:hAnsi="Times New Roman" w:cs="Times New Roman"/>
                <w:sz w:val="28"/>
                <w:szCs w:val="28"/>
              </w:rPr>
            </w:pPr>
            <w:r w:rsidRPr="00803F7A">
              <w:rPr>
                <w:rFonts w:ascii="Times New Roman" w:hAnsi="Times New Roman" w:cs="Times New Roman"/>
                <w:sz w:val="28"/>
                <w:szCs w:val="28"/>
              </w:rPr>
              <w:t>8</w:t>
            </w:r>
            <w:r w:rsidR="002166E0">
              <w:rPr>
                <w:rFonts w:ascii="Times New Roman" w:hAnsi="Times New Roman" w:cs="Times New Roman"/>
                <w:sz w:val="28"/>
                <w:szCs w:val="28"/>
              </w:rPr>
              <w:t>.</w:t>
            </w:r>
            <w:r w:rsidRPr="00803F7A">
              <w:rPr>
                <w:rFonts w:ascii="Times New Roman" w:hAnsi="Times New Roman" w:cs="Times New Roman"/>
                <w:sz w:val="28"/>
                <w:szCs w:val="28"/>
              </w:rPr>
              <w:t>75</w:t>
            </w:r>
          </w:p>
        </w:tc>
      </w:tr>
      <w:tr w:rsidR="00B979EE" w:rsidRPr="00803F7A" w14:paraId="3859ED8B" w14:textId="77777777" w:rsidTr="00803F7A">
        <w:trPr>
          <w:trHeight w:val="348"/>
          <w:jc w:val="center"/>
        </w:trPr>
        <w:tc>
          <w:tcPr>
            <w:tcW w:w="2972" w:type="dxa"/>
            <w:hideMark/>
          </w:tcPr>
          <w:p w14:paraId="43DBEA07" w14:textId="77777777" w:rsidR="00B979EE" w:rsidRPr="00803F7A" w:rsidRDefault="00B979EE" w:rsidP="00B979EE">
            <w:pPr>
              <w:pStyle w:val="NoSpacing"/>
              <w:rPr>
                <w:rFonts w:ascii="Times New Roman" w:hAnsi="Times New Roman" w:cs="Times New Roman"/>
                <w:sz w:val="28"/>
                <w:szCs w:val="28"/>
              </w:rPr>
            </w:pPr>
            <w:r w:rsidRPr="00803F7A">
              <w:rPr>
                <w:rFonts w:ascii="Times New Roman" w:hAnsi="Times New Roman" w:cs="Times New Roman"/>
                <w:sz w:val="28"/>
                <w:szCs w:val="28"/>
              </w:rPr>
              <w:t>TOTAL</w:t>
            </w:r>
          </w:p>
        </w:tc>
        <w:tc>
          <w:tcPr>
            <w:tcW w:w="2876" w:type="dxa"/>
            <w:hideMark/>
          </w:tcPr>
          <w:p w14:paraId="66ADE5E8" w14:textId="77777777" w:rsidR="00B979EE" w:rsidRPr="00803F7A" w:rsidRDefault="00B979EE" w:rsidP="00B979EE">
            <w:pPr>
              <w:pStyle w:val="NoSpacing"/>
              <w:jc w:val="center"/>
              <w:rPr>
                <w:rFonts w:ascii="Times New Roman" w:hAnsi="Times New Roman" w:cs="Times New Roman"/>
                <w:sz w:val="28"/>
                <w:szCs w:val="28"/>
              </w:rPr>
            </w:pPr>
            <w:r w:rsidRPr="00803F7A">
              <w:rPr>
                <w:rFonts w:ascii="Times New Roman" w:hAnsi="Times New Roman" w:cs="Times New Roman"/>
                <w:sz w:val="28"/>
                <w:szCs w:val="28"/>
              </w:rPr>
              <w:t>100.00</w:t>
            </w:r>
          </w:p>
        </w:tc>
      </w:tr>
    </w:tbl>
    <w:p w14:paraId="3737ECB8" w14:textId="1895732E" w:rsidR="00B979EE" w:rsidRPr="00803F7A" w:rsidRDefault="00B979EE" w:rsidP="00803F7A">
      <w:pPr>
        <w:spacing w:before="240" w:line="300" w:lineRule="exact"/>
        <w:ind w:left="720"/>
        <w:jc w:val="both"/>
        <w:rPr>
          <w:rFonts w:ascii="Times New Roman" w:hAnsi="Times New Roman" w:cs="Times New Roman"/>
          <w:sz w:val="28"/>
          <w:szCs w:val="22"/>
        </w:rPr>
      </w:pPr>
      <w:r w:rsidRPr="00803F7A">
        <w:rPr>
          <w:rFonts w:ascii="Times New Roman" w:hAnsi="Times New Roman" w:cs="Times New Roman"/>
          <w:sz w:val="28"/>
          <w:szCs w:val="22"/>
        </w:rPr>
        <w:t>(f) In case the existing arrangements are discontinued during</w:t>
      </w:r>
      <w:r w:rsidR="00803F7A">
        <w:rPr>
          <w:rFonts w:ascii="Times New Roman" w:hAnsi="Times New Roman" w:cs="Times New Roman"/>
          <w:sz w:val="28"/>
          <w:szCs w:val="22"/>
        </w:rPr>
        <w:t xml:space="preserve"> </w:t>
      </w:r>
      <w:r w:rsidRPr="00803F7A">
        <w:rPr>
          <w:rFonts w:ascii="Times New Roman" w:hAnsi="Times New Roman" w:cs="Times New Roman"/>
          <w:sz w:val="28"/>
          <w:szCs w:val="22"/>
        </w:rPr>
        <w:t>the course of a financial year, the sums specified in clause</w:t>
      </w:r>
      <w:r w:rsidR="00803F7A">
        <w:rPr>
          <w:rFonts w:ascii="Times New Roman" w:hAnsi="Times New Roman" w:cs="Times New Roman"/>
          <w:sz w:val="28"/>
          <w:szCs w:val="22"/>
        </w:rPr>
        <w:t xml:space="preserve"> </w:t>
      </w:r>
      <w:r w:rsidRPr="00803F7A">
        <w:rPr>
          <w:rFonts w:ascii="Times New Roman" w:hAnsi="Times New Roman" w:cs="Times New Roman"/>
          <w:sz w:val="28"/>
          <w:szCs w:val="22"/>
        </w:rPr>
        <w:t>(d) above, be reduced pro</w:t>
      </w:r>
      <w:r w:rsidR="00A55F3A">
        <w:rPr>
          <w:rFonts w:ascii="Times New Roman" w:hAnsi="Times New Roman" w:cs="Times New Roman"/>
          <w:sz w:val="28"/>
          <w:szCs w:val="22"/>
        </w:rPr>
        <w:t xml:space="preserve"> </w:t>
      </w:r>
      <w:r w:rsidRPr="00803F7A">
        <w:rPr>
          <w:rFonts w:ascii="Times New Roman" w:hAnsi="Times New Roman" w:cs="Times New Roman"/>
          <w:sz w:val="28"/>
          <w:szCs w:val="22"/>
        </w:rPr>
        <w:t>rata </w:t>
      </w:r>
      <w:r w:rsidR="00A55F3A">
        <w:rPr>
          <w:rFonts w:ascii="Times New Roman" w:hAnsi="Times New Roman" w:cs="Times New Roman"/>
          <w:sz w:val="28"/>
          <w:szCs w:val="22"/>
        </w:rPr>
        <w:t xml:space="preserve">in proportion </w:t>
      </w:r>
      <w:r w:rsidRPr="00803F7A">
        <w:rPr>
          <w:rFonts w:ascii="Times New Roman" w:hAnsi="Times New Roman" w:cs="Times New Roman"/>
          <w:sz w:val="28"/>
          <w:szCs w:val="22"/>
        </w:rPr>
        <w:t>to the period for which the</w:t>
      </w:r>
      <w:r w:rsidR="00803F7A">
        <w:rPr>
          <w:rFonts w:ascii="Times New Roman" w:hAnsi="Times New Roman" w:cs="Times New Roman"/>
          <w:sz w:val="28"/>
          <w:szCs w:val="22"/>
        </w:rPr>
        <w:t xml:space="preserve"> </w:t>
      </w:r>
      <w:r w:rsidRPr="00803F7A">
        <w:rPr>
          <w:rFonts w:ascii="Times New Roman" w:hAnsi="Times New Roman" w:cs="Times New Roman"/>
          <w:sz w:val="28"/>
          <w:szCs w:val="22"/>
        </w:rPr>
        <w:t>arrangements have continued.</w:t>
      </w:r>
    </w:p>
    <w:p w14:paraId="4139FC44" w14:textId="682E53A0" w:rsidR="00B979EE" w:rsidRPr="00803F7A" w:rsidRDefault="00594F5D" w:rsidP="00803F7A">
      <w:pPr>
        <w:spacing w:before="240" w:line="300" w:lineRule="exact"/>
        <w:ind w:left="-142" w:hanging="425"/>
        <w:jc w:val="both"/>
        <w:rPr>
          <w:rFonts w:ascii="Times New Roman" w:hAnsi="Times New Roman" w:cs="Times New Roman"/>
          <w:b/>
          <w:bCs/>
          <w:sz w:val="28"/>
          <w:szCs w:val="22"/>
        </w:rPr>
      </w:pPr>
      <w:r w:rsidRPr="00803F7A">
        <w:rPr>
          <w:rFonts w:ascii="Times New Roman" w:hAnsi="Times New Roman" w:cs="Times New Roman"/>
          <w:b/>
          <w:bCs/>
          <w:sz w:val="28"/>
          <w:szCs w:val="22"/>
        </w:rPr>
        <w:t>4</w:t>
      </w:r>
      <w:r w:rsidR="00B979EE" w:rsidRPr="00803F7A">
        <w:rPr>
          <w:rFonts w:ascii="Times New Roman" w:hAnsi="Times New Roman" w:cs="Times New Roman"/>
          <w:b/>
          <w:bCs/>
          <w:sz w:val="28"/>
          <w:szCs w:val="22"/>
        </w:rPr>
        <w:t>-Grants -in-aid:​</w:t>
      </w:r>
    </w:p>
    <w:p w14:paraId="688FA334" w14:textId="716467BD" w:rsidR="00B979EE" w:rsidRPr="00803F7A" w:rsidRDefault="00B979EE" w:rsidP="00803F7A">
      <w:pPr>
        <w:spacing w:line="300" w:lineRule="exact"/>
        <w:ind w:left="720"/>
        <w:jc w:val="both"/>
        <w:rPr>
          <w:rFonts w:ascii="Times New Roman" w:hAnsi="Times New Roman" w:cs="Times New Roman"/>
          <w:sz w:val="28"/>
          <w:szCs w:val="22"/>
        </w:rPr>
      </w:pPr>
      <w:r w:rsidRPr="00803F7A">
        <w:rPr>
          <w:rFonts w:ascii="Times New Roman" w:hAnsi="Times New Roman" w:cs="Times New Roman"/>
          <w:sz w:val="28"/>
          <w:szCs w:val="22"/>
        </w:rPr>
        <w:t>The following States be paid the sums specified against each of</w:t>
      </w:r>
      <w:r w:rsidRPr="00803F7A">
        <w:rPr>
          <w:rFonts w:ascii="Times New Roman" w:hAnsi="Times New Roman" w:cs="Times New Roman"/>
          <w:sz w:val="28"/>
          <w:szCs w:val="22"/>
        </w:rPr>
        <w:br/>
        <w:t>them as grants-in-aid of their revenues in the respective years indicated in the table below, under the substantive part of Clause (1)</w:t>
      </w:r>
    </w:p>
    <w:tbl>
      <w:tblPr>
        <w:tblStyle w:val="TableGrid"/>
        <w:tblW w:w="10806" w:type="dxa"/>
        <w:jc w:val="center"/>
        <w:tblLayout w:type="fixed"/>
        <w:tblLook w:val="04A0" w:firstRow="1" w:lastRow="0" w:firstColumn="1" w:lastColumn="0" w:noHBand="0" w:noVBand="1"/>
      </w:tblPr>
      <w:tblGrid>
        <w:gridCol w:w="2017"/>
        <w:gridCol w:w="2449"/>
        <w:gridCol w:w="1440"/>
        <w:gridCol w:w="1441"/>
        <w:gridCol w:w="1187"/>
        <w:gridCol w:w="1118"/>
        <w:gridCol w:w="1154"/>
      </w:tblGrid>
      <w:tr w:rsidR="00587B4A" w:rsidRPr="00803F7A" w14:paraId="1A85A880" w14:textId="77777777" w:rsidTr="00803F7A">
        <w:trPr>
          <w:trHeight w:val="761"/>
          <w:jc w:val="center"/>
        </w:trPr>
        <w:tc>
          <w:tcPr>
            <w:tcW w:w="2017" w:type="dxa"/>
            <w:vMerge w:val="restart"/>
          </w:tcPr>
          <w:p w14:paraId="339F7516" w14:textId="78CF4CC4" w:rsidR="00587B4A" w:rsidRPr="00803F7A" w:rsidRDefault="00587B4A" w:rsidP="00587B4A">
            <w:pPr>
              <w:pStyle w:val="NoSpacing"/>
              <w:rPr>
                <w:rFonts w:ascii="Times New Roman" w:hAnsi="Times New Roman" w:cs="Times New Roman"/>
                <w:b/>
                <w:bCs/>
                <w:sz w:val="28"/>
                <w:szCs w:val="28"/>
              </w:rPr>
            </w:pPr>
            <w:r w:rsidRPr="00803F7A">
              <w:rPr>
                <w:rFonts w:ascii="Times New Roman" w:hAnsi="Times New Roman" w:cs="Times New Roman"/>
                <w:b/>
                <w:bCs/>
                <w:sz w:val="28"/>
                <w:szCs w:val="28"/>
              </w:rPr>
              <w:t>State</w:t>
            </w:r>
          </w:p>
        </w:tc>
        <w:tc>
          <w:tcPr>
            <w:tcW w:w="2449" w:type="dxa"/>
            <w:vMerge w:val="restart"/>
          </w:tcPr>
          <w:p w14:paraId="075BAD0E" w14:textId="681A34BE" w:rsidR="00587B4A" w:rsidRPr="00803F7A" w:rsidRDefault="00587B4A" w:rsidP="002166E0">
            <w:pPr>
              <w:pStyle w:val="NoSpacing"/>
              <w:jc w:val="center"/>
              <w:rPr>
                <w:rFonts w:ascii="Times New Roman" w:hAnsi="Times New Roman" w:cs="Times New Roman"/>
                <w:b/>
                <w:bCs/>
                <w:sz w:val="28"/>
                <w:szCs w:val="28"/>
              </w:rPr>
            </w:pPr>
            <w:r w:rsidRPr="00803F7A">
              <w:rPr>
                <w:rFonts w:ascii="Times New Roman" w:hAnsi="Times New Roman" w:cs="Times New Roman"/>
                <w:b/>
                <w:bCs/>
                <w:sz w:val="28"/>
                <w:szCs w:val="28"/>
              </w:rPr>
              <w:t>Total of the sums to be paid in the five years</w:t>
            </w:r>
          </w:p>
        </w:tc>
        <w:tc>
          <w:tcPr>
            <w:tcW w:w="6340" w:type="dxa"/>
            <w:gridSpan w:val="5"/>
          </w:tcPr>
          <w:p w14:paraId="1E9C706A" w14:textId="70E9C724" w:rsidR="00587B4A" w:rsidRPr="00803F7A" w:rsidRDefault="00587B4A" w:rsidP="002166E0">
            <w:pPr>
              <w:pStyle w:val="NoSpacing"/>
              <w:jc w:val="center"/>
              <w:rPr>
                <w:rFonts w:ascii="Times New Roman" w:hAnsi="Times New Roman" w:cs="Times New Roman"/>
                <w:b/>
                <w:bCs/>
                <w:sz w:val="28"/>
                <w:szCs w:val="28"/>
              </w:rPr>
            </w:pPr>
            <w:r w:rsidRPr="00803F7A">
              <w:rPr>
                <w:rFonts w:ascii="Times New Roman" w:hAnsi="Times New Roman" w:cs="Times New Roman"/>
                <w:b/>
                <w:bCs/>
                <w:sz w:val="28"/>
                <w:szCs w:val="28"/>
              </w:rPr>
              <w:t>Grants-in-aid to be paid in</w:t>
            </w:r>
          </w:p>
        </w:tc>
      </w:tr>
      <w:tr w:rsidR="00587B4A" w:rsidRPr="00803F7A" w14:paraId="0A7965C8" w14:textId="77777777" w:rsidTr="00803F7A">
        <w:trPr>
          <w:trHeight w:val="761"/>
          <w:jc w:val="center"/>
        </w:trPr>
        <w:tc>
          <w:tcPr>
            <w:tcW w:w="2017" w:type="dxa"/>
            <w:vMerge/>
            <w:hideMark/>
          </w:tcPr>
          <w:p w14:paraId="2DB0EEE4" w14:textId="63240B38" w:rsidR="00587B4A" w:rsidRPr="00803F7A" w:rsidRDefault="00587B4A" w:rsidP="00587B4A">
            <w:pPr>
              <w:pStyle w:val="NoSpacing"/>
              <w:rPr>
                <w:rFonts w:ascii="Times New Roman" w:hAnsi="Times New Roman" w:cs="Times New Roman"/>
                <w:b/>
                <w:bCs/>
                <w:sz w:val="28"/>
                <w:szCs w:val="28"/>
              </w:rPr>
            </w:pPr>
          </w:p>
        </w:tc>
        <w:tc>
          <w:tcPr>
            <w:tcW w:w="2449" w:type="dxa"/>
            <w:vMerge/>
            <w:hideMark/>
          </w:tcPr>
          <w:p w14:paraId="77C965AF" w14:textId="3E8DFC70" w:rsidR="00587B4A" w:rsidRPr="00803F7A" w:rsidRDefault="00587B4A" w:rsidP="002166E0">
            <w:pPr>
              <w:pStyle w:val="NoSpacing"/>
              <w:jc w:val="center"/>
              <w:rPr>
                <w:rFonts w:ascii="Times New Roman" w:hAnsi="Times New Roman" w:cs="Times New Roman"/>
                <w:b/>
                <w:bCs/>
                <w:sz w:val="28"/>
                <w:szCs w:val="28"/>
              </w:rPr>
            </w:pPr>
          </w:p>
        </w:tc>
        <w:tc>
          <w:tcPr>
            <w:tcW w:w="1440" w:type="dxa"/>
            <w:hideMark/>
          </w:tcPr>
          <w:p w14:paraId="044EE802" w14:textId="2422BF1A" w:rsidR="00587B4A" w:rsidRPr="00803F7A" w:rsidRDefault="00587B4A" w:rsidP="002166E0">
            <w:pPr>
              <w:pStyle w:val="NoSpacing"/>
              <w:jc w:val="center"/>
              <w:rPr>
                <w:rFonts w:ascii="Times New Roman" w:hAnsi="Times New Roman" w:cs="Times New Roman"/>
                <w:b/>
                <w:bCs/>
                <w:sz w:val="28"/>
                <w:szCs w:val="28"/>
              </w:rPr>
            </w:pPr>
            <w:r w:rsidRPr="00803F7A">
              <w:rPr>
                <w:rFonts w:ascii="Times New Roman" w:hAnsi="Times New Roman" w:cs="Times New Roman"/>
                <w:b/>
                <w:bCs/>
                <w:sz w:val="28"/>
                <w:szCs w:val="28"/>
              </w:rPr>
              <w:t>1969-70</w:t>
            </w:r>
          </w:p>
        </w:tc>
        <w:tc>
          <w:tcPr>
            <w:tcW w:w="1441" w:type="dxa"/>
          </w:tcPr>
          <w:p w14:paraId="62274AE6" w14:textId="640A01EA" w:rsidR="00587B4A" w:rsidRPr="00803F7A" w:rsidRDefault="00587B4A" w:rsidP="002166E0">
            <w:pPr>
              <w:pStyle w:val="NoSpacing"/>
              <w:jc w:val="center"/>
              <w:rPr>
                <w:rFonts w:ascii="Times New Roman" w:hAnsi="Times New Roman" w:cs="Times New Roman"/>
                <w:b/>
                <w:bCs/>
                <w:sz w:val="28"/>
                <w:szCs w:val="28"/>
              </w:rPr>
            </w:pPr>
            <w:r w:rsidRPr="00803F7A">
              <w:rPr>
                <w:rFonts w:ascii="Times New Roman" w:hAnsi="Times New Roman" w:cs="Times New Roman"/>
                <w:b/>
                <w:bCs/>
                <w:sz w:val="28"/>
                <w:szCs w:val="28"/>
              </w:rPr>
              <w:t>1970-71</w:t>
            </w:r>
          </w:p>
        </w:tc>
        <w:tc>
          <w:tcPr>
            <w:tcW w:w="1187" w:type="dxa"/>
          </w:tcPr>
          <w:p w14:paraId="18713FE9" w14:textId="6EF8540F" w:rsidR="00587B4A" w:rsidRPr="00803F7A" w:rsidRDefault="00587B4A" w:rsidP="002166E0">
            <w:pPr>
              <w:pStyle w:val="NoSpacing"/>
              <w:jc w:val="center"/>
              <w:rPr>
                <w:rFonts w:ascii="Times New Roman" w:hAnsi="Times New Roman" w:cs="Times New Roman"/>
                <w:b/>
                <w:bCs/>
                <w:sz w:val="28"/>
                <w:szCs w:val="28"/>
              </w:rPr>
            </w:pPr>
            <w:r w:rsidRPr="00803F7A">
              <w:rPr>
                <w:rFonts w:ascii="Times New Roman" w:hAnsi="Times New Roman" w:cs="Times New Roman"/>
                <w:b/>
                <w:bCs/>
                <w:sz w:val="28"/>
                <w:szCs w:val="28"/>
              </w:rPr>
              <w:t>1971-72</w:t>
            </w:r>
          </w:p>
        </w:tc>
        <w:tc>
          <w:tcPr>
            <w:tcW w:w="1118" w:type="dxa"/>
          </w:tcPr>
          <w:p w14:paraId="4BAD85C4" w14:textId="47BDAC6C" w:rsidR="00587B4A" w:rsidRPr="00803F7A" w:rsidRDefault="00587B4A" w:rsidP="002166E0">
            <w:pPr>
              <w:pStyle w:val="NoSpacing"/>
              <w:jc w:val="center"/>
              <w:rPr>
                <w:rFonts w:ascii="Times New Roman" w:hAnsi="Times New Roman" w:cs="Times New Roman"/>
                <w:b/>
                <w:bCs/>
                <w:sz w:val="28"/>
                <w:szCs w:val="28"/>
              </w:rPr>
            </w:pPr>
            <w:r w:rsidRPr="00803F7A">
              <w:rPr>
                <w:rFonts w:ascii="Times New Roman" w:hAnsi="Times New Roman" w:cs="Times New Roman"/>
                <w:b/>
                <w:bCs/>
                <w:sz w:val="28"/>
                <w:szCs w:val="28"/>
              </w:rPr>
              <w:t>1972-73</w:t>
            </w:r>
          </w:p>
        </w:tc>
        <w:tc>
          <w:tcPr>
            <w:tcW w:w="1152" w:type="dxa"/>
          </w:tcPr>
          <w:p w14:paraId="5AF18BEA" w14:textId="528C9781" w:rsidR="00587B4A" w:rsidRPr="00803F7A" w:rsidRDefault="00587B4A" w:rsidP="002166E0">
            <w:pPr>
              <w:pStyle w:val="NoSpacing"/>
              <w:jc w:val="center"/>
              <w:rPr>
                <w:rFonts w:ascii="Times New Roman" w:hAnsi="Times New Roman" w:cs="Times New Roman"/>
                <w:b/>
                <w:bCs/>
                <w:sz w:val="28"/>
                <w:szCs w:val="28"/>
              </w:rPr>
            </w:pPr>
            <w:r w:rsidRPr="00803F7A">
              <w:rPr>
                <w:rFonts w:ascii="Times New Roman" w:hAnsi="Times New Roman" w:cs="Times New Roman"/>
                <w:b/>
                <w:bCs/>
                <w:sz w:val="28"/>
                <w:szCs w:val="28"/>
              </w:rPr>
              <w:t>1973-74</w:t>
            </w:r>
          </w:p>
        </w:tc>
      </w:tr>
      <w:tr w:rsidR="00587B4A" w:rsidRPr="00803F7A" w14:paraId="08B1826E" w14:textId="77777777" w:rsidTr="00803F7A">
        <w:trPr>
          <w:trHeight w:val="510"/>
          <w:jc w:val="center"/>
        </w:trPr>
        <w:tc>
          <w:tcPr>
            <w:tcW w:w="2017" w:type="dxa"/>
            <w:hideMark/>
          </w:tcPr>
          <w:p w14:paraId="6E425B08" w14:textId="77777777" w:rsidR="00587B4A" w:rsidRPr="00803F7A" w:rsidRDefault="00587B4A" w:rsidP="00587B4A">
            <w:pPr>
              <w:pStyle w:val="NoSpacing"/>
              <w:rPr>
                <w:rFonts w:ascii="Times New Roman" w:hAnsi="Times New Roman" w:cs="Times New Roman"/>
                <w:sz w:val="28"/>
                <w:szCs w:val="28"/>
              </w:rPr>
            </w:pPr>
            <w:r w:rsidRPr="00803F7A">
              <w:rPr>
                <w:rFonts w:ascii="Times New Roman" w:hAnsi="Times New Roman" w:cs="Times New Roman"/>
                <w:sz w:val="28"/>
                <w:szCs w:val="28"/>
              </w:rPr>
              <w:t>Andhra Pradesh</w:t>
            </w:r>
          </w:p>
        </w:tc>
        <w:tc>
          <w:tcPr>
            <w:tcW w:w="2449" w:type="dxa"/>
            <w:hideMark/>
          </w:tcPr>
          <w:p w14:paraId="02AB36A6" w14:textId="77777777" w:rsidR="00587B4A" w:rsidRPr="00803F7A" w:rsidRDefault="00587B4A" w:rsidP="002166E0">
            <w:pPr>
              <w:pStyle w:val="NoSpacing"/>
              <w:jc w:val="center"/>
              <w:rPr>
                <w:rFonts w:ascii="Times New Roman" w:hAnsi="Times New Roman" w:cs="Times New Roman"/>
                <w:sz w:val="28"/>
                <w:szCs w:val="28"/>
              </w:rPr>
            </w:pPr>
            <w:r w:rsidRPr="00803F7A">
              <w:rPr>
                <w:rFonts w:ascii="Times New Roman" w:hAnsi="Times New Roman" w:cs="Times New Roman"/>
                <w:sz w:val="28"/>
                <w:szCs w:val="28"/>
              </w:rPr>
              <w:t>65.01</w:t>
            </w:r>
          </w:p>
        </w:tc>
        <w:tc>
          <w:tcPr>
            <w:tcW w:w="1440" w:type="dxa"/>
            <w:hideMark/>
          </w:tcPr>
          <w:p w14:paraId="7D5C31C7" w14:textId="77777777" w:rsidR="00587B4A" w:rsidRPr="00803F7A" w:rsidRDefault="00587B4A" w:rsidP="002166E0">
            <w:pPr>
              <w:pStyle w:val="NoSpacing"/>
              <w:jc w:val="center"/>
              <w:rPr>
                <w:rFonts w:ascii="Times New Roman" w:hAnsi="Times New Roman" w:cs="Times New Roman"/>
                <w:sz w:val="28"/>
                <w:szCs w:val="28"/>
              </w:rPr>
            </w:pPr>
            <w:r w:rsidRPr="00803F7A">
              <w:rPr>
                <w:rFonts w:ascii="Times New Roman" w:hAnsi="Times New Roman" w:cs="Times New Roman"/>
                <w:sz w:val="28"/>
                <w:szCs w:val="28"/>
              </w:rPr>
              <w:t>15.54</w:t>
            </w:r>
          </w:p>
        </w:tc>
        <w:tc>
          <w:tcPr>
            <w:tcW w:w="1441" w:type="dxa"/>
            <w:hideMark/>
          </w:tcPr>
          <w:p w14:paraId="54EE9754" w14:textId="77777777" w:rsidR="00587B4A" w:rsidRPr="00803F7A" w:rsidRDefault="00587B4A" w:rsidP="002166E0">
            <w:pPr>
              <w:pStyle w:val="NoSpacing"/>
              <w:jc w:val="center"/>
              <w:rPr>
                <w:rFonts w:ascii="Times New Roman" w:hAnsi="Times New Roman" w:cs="Times New Roman"/>
                <w:sz w:val="28"/>
                <w:szCs w:val="28"/>
              </w:rPr>
            </w:pPr>
            <w:r w:rsidRPr="00803F7A">
              <w:rPr>
                <w:rFonts w:ascii="Times New Roman" w:hAnsi="Times New Roman" w:cs="Times New Roman"/>
                <w:sz w:val="28"/>
                <w:szCs w:val="28"/>
              </w:rPr>
              <w:t>14.27</w:t>
            </w:r>
          </w:p>
        </w:tc>
        <w:tc>
          <w:tcPr>
            <w:tcW w:w="1187" w:type="dxa"/>
            <w:hideMark/>
          </w:tcPr>
          <w:p w14:paraId="603061FB" w14:textId="77777777" w:rsidR="00587B4A" w:rsidRPr="00803F7A" w:rsidRDefault="00587B4A" w:rsidP="002166E0">
            <w:pPr>
              <w:pStyle w:val="NoSpacing"/>
              <w:jc w:val="center"/>
              <w:rPr>
                <w:rFonts w:ascii="Times New Roman" w:hAnsi="Times New Roman" w:cs="Times New Roman"/>
                <w:sz w:val="28"/>
                <w:szCs w:val="28"/>
              </w:rPr>
            </w:pPr>
            <w:r w:rsidRPr="00803F7A">
              <w:rPr>
                <w:rFonts w:ascii="Times New Roman" w:hAnsi="Times New Roman" w:cs="Times New Roman"/>
                <w:sz w:val="28"/>
                <w:szCs w:val="28"/>
              </w:rPr>
              <w:t>13.00</w:t>
            </w:r>
          </w:p>
        </w:tc>
        <w:tc>
          <w:tcPr>
            <w:tcW w:w="1118" w:type="dxa"/>
            <w:hideMark/>
          </w:tcPr>
          <w:p w14:paraId="3B2BCCAD" w14:textId="77777777" w:rsidR="00587B4A" w:rsidRPr="00803F7A" w:rsidRDefault="00587B4A" w:rsidP="002166E0">
            <w:pPr>
              <w:pStyle w:val="NoSpacing"/>
              <w:jc w:val="center"/>
              <w:rPr>
                <w:rFonts w:ascii="Times New Roman" w:hAnsi="Times New Roman" w:cs="Times New Roman"/>
                <w:sz w:val="28"/>
                <w:szCs w:val="28"/>
              </w:rPr>
            </w:pPr>
            <w:r w:rsidRPr="00803F7A">
              <w:rPr>
                <w:rFonts w:ascii="Times New Roman" w:hAnsi="Times New Roman" w:cs="Times New Roman"/>
                <w:sz w:val="28"/>
                <w:szCs w:val="28"/>
              </w:rPr>
              <w:t>11.73</w:t>
            </w:r>
          </w:p>
        </w:tc>
        <w:tc>
          <w:tcPr>
            <w:tcW w:w="1152" w:type="dxa"/>
            <w:hideMark/>
          </w:tcPr>
          <w:p w14:paraId="1A57D14E" w14:textId="77777777" w:rsidR="00587B4A" w:rsidRPr="00803F7A" w:rsidRDefault="00587B4A" w:rsidP="002166E0">
            <w:pPr>
              <w:pStyle w:val="NoSpacing"/>
              <w:jc w:val="center"/>
              <w:rPr>
                <w:rFonts w:ascii="Times New Roman" w:hAnsi="Times New Roman" w:cs="Times New Roman"/>
                <w:sz w:val="28"/>
                <w:szCs w:val="28"/>
              </w:rPr>
            </w:pPr>
            <w:r w:rsidRPr="00803F7A">
              <w:rPr>
                <w:rFonts w:ascii="Times New Roman" w:hAnsi="Times New Roman" w:cs="Times New Roman"/>
                <w:sz w:val="28"/>
                <w:szCs w:val="28"/>
              </w:rPr>
              <w:t>10.47</w:t>
            </w:r>
          </w:p>
        </w:tc>
      </w:tr>
      <w:tr w:rsidR="00587B4A" w:rsidRPr="00803F7A" w14:paraId="720BCC8C" w14:textId="77777777" w:rsidTr="00803F7A">
        <w:trPr>
          <w:trHeight w:val="249"/>
          <w:jc w:val="center"/>
        </w:trPr>
        <w:tc>
          <w:tcPr>
            <w:tcW w:w="2017" w:type="dxa"/>
            <w:hideMark/>
          </w:tcPr>
          <w:p w14:paraId="1CE57A00" w14:textId="77777777" w:rsidR="00587B4A" w:rsidRPr="00803F7A" w:rsidRDefault="00587B4A" w:rsidP="00587B4A">
            <w:pPr>
              <w:pStyle w:val="NoSpacing"/>
              <w:rPr>
                <w:rFonts w:ascii="Times New Roman" w:hAnsi="Times New Roman" w:cs="Times New Roman"/>
                <w:sz w:val="28"/>
                <w:szCs w:val="28"/>
              </w:rPr>
            </w:pPr>
            <w:r w:rsidRPr="00803F7A">
              <w:rPr>
                <w:rFonts w:ascii="Times New Roman" w:hAnsi="Times New Roman" w:cs="Times New Roman"/>
                <w:sz w:val="28"/>
                <w:szCs w:val="28"/>
              </w:rPr>
              <w:t>Assam</w:t>
            </w:r>
          </w:p>
        </w:tc>
        <w:tc>
          <w:tcPr>
            <w:tcW w:w="2449" w:type="dxa"/>
            <w:hideMark/>
          </w:tcPr>
          <w:p w14:paraId="2A8602C8" w14:textId="77777777" w:rsidR="00587B4A" w:rsidRPr="00803F7A" w:rsidRDefault="00587B4A" w:rsidP="002166E0">
            <w:pPr>
              <w:pStyle w:val="NoSpacing"/>
              <w:jc w:val="center"/>
              <w:rPr>
                <w:rFonts w:ascii="Times New Roman" w:hAnsi="Times New Roman" w:cs="Times New Roman"/>
                <w:sz w:val="28"/>
                <w:szCs w:val="28"/>
              </w:rPr>
            </w:pPr>
            <w:r w:rsidRPr="00803F7A">
              <w:rPr>
                <w:rFonts w:ascii="Times New Roman" w:hAnsi="Times New Roman" w:cs="Times New Roman"/>
                <w:sz w:val="28"/>
                <w:szCs w:val="28"/>
              </w:rPr>
              <w:t>101.97</w:t>
            </w:r>
          </w:p>
        </w:tc>
        <w:tc>
          <w:tcPr>
            <w:tcW w:w="1440" w:type="dxa"/>
            <w:hideMark/>
          </w:tcPr>
          <w:p w14:paraId="72256FA5" w14:textId="77777777" w:rsidR="00587B4A" w:rsidRPr="00803F7A" w:rsidRDefault="00587B4A" w:rsidP="002166E0">
            <w:pPr>
              <w:pStyle w:val="NoSpacing"/>
              <w:jc w:val="center"/>
              <w:rPr>
                <w:rFonts w:ascii="Times New Roman" w:hAnsi="Times New Roman" w:cs="Times New Roman"/>
                <w:sz w:val="28"/>
                <w:szCs w:val="28"/>
              </w:rPr>
            </w:pPr>
            <w:r w:rsidRPr="00803F7A">
              <w:rPr>
                <w:rFonts w:ascii="Times New Roman" w:hAnsi="Times New Roman" w:cs="Times New Roman"/>
                <w:sz w:val="28"/>
                <w:szCs w:val="28"/>
              </w:rPr>
              <w:t>20.80</w:t>
            </w:r>
          </w:p>
        </w:tc>
        <w:tc>
          <w:tcPr>
            <w:tcW w:w="1441" w:type="dxa"/>
            <w:hideMark/>
          </w:tcPr>
          <w:p w14:paraId="2139079A" w14:textId="77777777" w:rsidR="00587B4A" w:rsidRPr="00803F7A" w:rsidRDefault="00587B4A" w:rsidP="002166E0">
            <w:pPr>
              <w:pStyle w:val="NoSpacing"/>
              <w:jc w:val="center"/>
              <w:rPr>
                <w:rFonts w:ascii="Times New Roman" w:hAnsi="Times New Roman" w:cs="Times New Roman"/>
                <w:sz w:val="28"/>
                <w:szCs w:val="28"/>
              </w:rPr>
            </w:pPr>
            <w:r w:rsidRPr="00803F7A">
              <w:rPr>
                <w:rFonts w:ascii="Times New Roman" w:hAnsi="Times New Roman" w:cs="Times New Roman"/>
                <w:sz w:val="28"/>
                <w:szCs w:val="28"/>
              </w:rPr>
              <w:t>20.60</w:t>
            </w:r>
          </w:p>
        </w:tc>
        <w:tc>
          <w:tcPr>
            <w:tcW w:w="1187" w:type="dxa"/>
            <w:hideMark/>
          </w:tcPr>
          <w:p w14:paraId="23E55FC3" w14:textId="77777777" w:rsidR="00587B4A" w:rsidRPr="00803F7A" w:rsidRDefault="00587B4A" w:rsidP="002166E0">
            <w:pPr>
              <w:pStyle w:val="NoSpacing"/>
              <w:jc w:val="center"/>
              <w:rPr>
                <w:rFonts w:ascii="Times New Roman" w:hAnsi="Times New Roman" w:cs="Times New Roman"/>
                <w:sz w:val="28"/>
                <w:szCs w:val="28"/>
              </w:rPr>
            </w:pPr>
            <w:r w:rsidRPr="00803F7A">
              <w:rPr>
                <w:rFonts w:ascii="Times New Roman" w:hAnsi="Times New Roman" w:cs="Times New Roman"/>
                <w:sz w:val="28"/>
                <w:szCs w:val="28"/>
              </w:rPr>
              <w:t>20.39</w:t>
            </w:r>
          </w:p>
        </w:tc>
        <w:tc>
          <w:tcPr>
            <w:tcW w:w="1118" w:type="dxa"/>
            <w:hideMark/>
          </w:tcPr>
          <w:p w14:paraId="319773E3" w14:textId="77777777" w:rsidR="00587B4A" w:rsidRPr="00803F7A" w:rsidRDefault="00587B4A" w:rsidP="002166E0">
            <w:pPr>
              <w:pStyle w:val="NoSpacing"/>
              <w:jc w:val="center"/>
              <w:rPr>
                <w:rFonts w:ascii="Times New Roman" w:hAnsi="Times New Roman" w:cs="Times New Roman"/>
                <w:sz w:val="28"/>
                <w:szCs w:val="28"/>
              </w:rPr>
            </w:pPr>
            <w:r w:rsidRPr="00803F7A">
              <w:rPr>
                <w:rFonts w:ascii="Times New Roman" w:hAnsi="Times New Roman" w:cs="Times New Roman"/>
                <w:sz w:val="28"/>
                <w:szCs w:val="28"/>
              </w:rPr>
              <w:t>20.19</w:t>
            </w:r>
          </w:p>
        </w:tc>
        <w:tc>
          <w:tcPr>
            <w:tcW w:w="1152" w:type="dxa"/>
            <w:hideMark/>
          </w:tcPr>
          <w:p w14:paraId="1A45A036" w14:textId="77777777" w:rsidR="00587B4A" w:rsidRPr="00803F7A" w:rsidRDefault="00587B4A" w:rsidP="002166E0">
            <w:pPr>
              <w:pStyle w:val="NoSpacing"/>
              <w:jc w:val="center"/>
              <w:rPr>
                <w:rFonts w:ascii="Times New Roman" w:hAnsi="Times New Roman" w:cs="Times New Roman"/>
                <w:sz w:val="28"/>
                <w:szCs w:val="28"/>
              </w:rPr>
            </w:pPr>
            <w:r w:rsidRPr="00803F7A">
              <w:rPr>
                <w:rFonts w:ascii="Times New Roman" w:hAnsi="Times New Roman" w:cs="Times New Roman"/>
                <w:sz w:val="28"/>
                <w:szCs w:val="28"/>
              </w:rPr>
              <w:t>19.99</w:t>
            </w:r>
          </w:p>
        </w:tc>
      </w:tr>
      <w:tr w:rsidR="00587B4A" w:rsidRPr="00803F7A" w14:paraId="59499AC5" w14:textId="77777777" w:rsidTr="00803F7A">
        <w:trPr>
          <w:trHeight w:val="499"/>
          <w:jc w:val="center"/>
        </w:trPr>
        <w:tc>
          <w:tcPr>
            <w:tcW w:w="2017" w:type="dxa"/>
            <w:hideMark/>
          </w:tcPr>
          <w:p w14:paraId="49B31869" w14:textId="77777777" w:rsidR="00587B4A" w:rsidRPr="00803F7A" w:rsidRDefault="00587B4A" w:rsidP="00587B4A">
            <w:pPr>
              <w:pStyle w:val="NoSpacing"/>
              <w:rPr>
                <w:rFonts w:ascii="Times New Roman" w:hAnsi="Times New Roman" w:cs="Times New Roman"/>
                <w:sz w:val="28"/>
                <w:szCs w:val="28"/>
              </w:rPr>
            </w:pPr>
            <w:r w:rsidRPr="00803F7A">
              <w:rPr>
                <w:rFonts w:ascii="Times New Roman" w:hAnsi="Times New Roman" w:cs="Times New Roman"/>
                <w:sz w:val="28"/>
                <w:szCs w:val="28"/>
              </w:rPr>
              <w:t>Jammu and Kashmir</w:t>
            </w:r>
          </w:p>
        </w:tc>
        <w:tc>
          <w:tcPr>
            <w:tcW w:w="2449" w:type="dxa"/>
            <w:hideMark/>
          </w:tcPr>
          <w:p w14:paraId="76BC503A" w14:textId="77777777" w:rsidR="00587B4A" w:rsidRPr="00803F7A" w:rsidRDefault="00587B4A" w:rsidP="002166E0">
            <w:pPr>
              <w:pStyle w:val="NoSpacing"/>
              <w:jc w:val="center"/>
              <w:rPr>
                <w:rFonts w:ascii="Times New Roman" w:hAnsi="Times New Roman" w:cs="Times New Roman"/>
                <w:sz w:val="28"/>
                <w:szCs w:val="28"/>
              </w:rPr>
            </w:pPr>
            <w:r w:rsidRPr="00803F7A">
              <w:rPr>
                <w:rFonts w:ascii="Times New Roman" w:hAnsi="Times New Roman" w:cs="Times New Roman"/>
                <w:sz w:val="28"/>
                <w:szCs w:val="28"/>
              </w:rPr>
              <w:t>73.68</w:t>
            </w:r>
          </w:p>
        </w:tc>
        <w:tc>
          <w:tcPr>
            <w:tcW w:w="1440" w:type="dxa"/>
            <w:hideMark/>
          </w:tcPr>
          <w:p w14:paraId="315ECA57" w14:textId="77777777" w:rsidR="00587B4A" w:rsidRPr="00803F7A" w:rsidRDefault="00587B4A" w:rsidP="002166E0">
            <w:pPr>
              <w:pStyle w:val="NoSpacing"/>
              <w:jc w:val="center"/>
              <w:rPr>
                <w:rFonts w:ascii="Times New Roman" w:hAnsi="Times New Roman" w:cs="Times New Roman"/>
                <w:sz w:val="28"/>
                <w:szCs w:val="28"/>
              </w:rPr>
            </w:pPr>
            <w:r w:rsidRPr="00803F7A">
              <w:rPr>
                <w:rFonts w:ascii="Times New Roman" w:hAnsi="Times New Roman" w:cs="Times New Roman"/>
                <w:sz w:val="28"/>
                <w:szCs w:val="28"/>
              </w:rPr>
              <w:t>16.81</w:t>
            </w:r>
          </w:p>
        </w:tc>
        <w:tc>
          <w:tcPr>
            <w:tcW w:w="1441" w:type="dxa"/>
            <w:hideMark/>
          </w:tcPr>
          <w:p w14:paraId="1C853C75" w14:textId="77777777" w:rsidR="00587B4A" w:rsidRPr="00803F7A" w:rsidRDefault="00587B4A" w:rsidP="002166E0">
            <w:pPr>
              <w:pStyle w:val="NoSpacing"/>
              <w:jc w:val="center"/>
              <w:rPr>
                <w:rFonts w:ascii="Times New Roman" w:hAnsi="Times New Roman" w:cs="Times New Roman"/>
                <w:sz w:val="28"/>
                <w:szCs w:val="28"/>
              </w:rPr>
            </w:pPr>
            <w:r w:rsidRPr="00803F7A">
              <w:rPr>
                <w:rFonts w:ascii="Times New Roman" w:hAnsi="Times New Roman" w:cs="Times New Roman"/>
                <w:sz w:val="28"/>
                <w:szCs w:val="28"/>
              </w:rPr>
              <w:t>15.77</w:t>
            </w:r>
          </w:p>
        </w:tc>
        <w:tc>
          <w:tcPr>
            <w:tcW w:w="1187" w:type="dxa"/>
            <w:hideMark/>
          </w:tcPr>
          <w:p w14:paraId="3E6D079B" w14:textId="77777777" w:rsidR="00587B4A" w:rsidRPr="00803F7A" w:rsidRDefault="00587B4A" w:rsidP="002166E0">
            <w:pPr>
              <w:pStyle w:val="NoSpacing"/>
              <w:jc w:val="center"/>
              <w:rPr>
                <w:rFonts w:ascii="Times New Roman" w:hAnsi="Times New Roman" w:cs="Times New Roman"/>
                <w:sz w:val="28"/>
                <w:szCs w:val="28"/>
              </w:rPr>
            </w:pPr>
            <w:r w:rsidRPr="00803F7A">
              <w:rPr>
                <w:rFonts w:ascii="Times New Roman" w:hAnsi="Times New Roman" w:cs="Times New Roman"/>
                <w:sz w:val="28"/>
                <w:szCs w:val="28"/>
              </w:rPr>
              <w:t>14.74</w:t>
            </w:r>
          </w:p>
        </w:tc>
        <w:tc>
          <w:tcPr>
            <w:tcW w:w="1118" w:type="dxa"/>
            <w:hideMark/>
          </w:tcPr>
          <w:p w14:paraId="77C99A80" w14:textId="77777777" w:rsidR="00587B4A" w:rsidRPr="00803F7A" w:rsidRDefault="00587B4A" w:rsidP="002166E0">
            <w:pPr>
              <w:pStyle w:val="NoSpacing"/>
              <w:jc w:val="center"/>
              <w:rPr>
                <w:rFonts w:ascii="Times New Roman" w:hAnsi="Times New Roman" w:cs="Times New Roman"/>
                <w:sz w:val="28"/>
                <w:szCs w:val="28"/>
              </w:rPr>
            </w:pPr>
            <w:r w:rsidRPr="00803F7A">
              <w:rPr>
                <w:rFonts w:ascii="Times New Roman" w:hAnsi="Times New Roman" w:cs="Times New Roman"/>
                <w:sz w:val="28"/>
                <w:szCs w:val="28"/>
              </w:rPr>
              <w:t>13.70</w:t>
            </w:r>
          </w:p>
        </w:tc>
        <w:tc>
          <w:tcPr>
            <w:tcW w:w="1152" w:type="dxa"/>
            <w:hideMark/>
          </w:tcPr>
          <w:p w14:paraId="0C390E80" w14:textId="77777777" w:rsidR="00587B4A" w:rsidRPr="00803F7A" w:rsidRDefault="00587B4A" w:rsidP="002166E0">
            <w:pPr>
              <w:pStyle w:val="NoSpacing"/>
              <w:jc w:val="center"/>
              <w:rPr>
                <w:rFonts w:ascii="Times New Roman" w:hAnsi="Times New Roman" w:cs="Times New Roman"/>
                <w:sz w:val="28"/>
                <w:szCs w:val="28"/>
              </w:rPr>
            </w:pPr>
            <w:r w:rsidRPr="00803F7A">
              <w:rPr>
                <w:rFonts w:ascii="Times New Roman" w:hAnsi="Times New Roman" w:cs="Times New Roman"/>
                <w:sz w:val="28"/>
                <w:szCs w:val="28"/>
              </w:rPr>
              <w:t>12.66</w:t>
            </w:r>
          </w:p>
        </w:tc>
      </w:tr>
      <w:tr w:rsidR="00587B4A" w:rsidRPr="00803F7A" w14:paraId="3DF5B945" w14:textId="77777777" w:rsidTr="00803F7A">
        <w:trPr>
          <w:trHeight w:val="261"/>
          <w:jc w:val="center"/>
        </w:trPr>
        <w:tc>
          <w:tcPr>
            <w:tcW w:w="2017" w:type="dxa"/>
            <w:hideMark/>
          </w:tcPr>
          <w:p w14:paraId="77C35DD7" w14:textId="77777777" w:rsidR="00587B4A" w:rsidRPr="00803F7A" w:rsidRDefault="00587B4A" w:rsidP="00587B4A">
            <w:pPr>
              <w:pStyle w:val="NoSpacing"/>
              <w:rPr>
                <w:rFonts w:ascii="Times New Roman" w:hAnsi="Times New Roman" w:cs="Times New Roman"/>
                <w:sz w:val="28"/>
                <w:szCs w:val="28"/>
              </w:rPr>
            </w:pPr>
            <w:r w:rsidRPr="00803F7A">
              <w:rPr>
                <w:rFonts w:ascii="Times New Roman" w:hAnsi="Times New Roman" w:cs="Times New Roman"/>
                <w:sz w:val="28"/>
                <w:szCs w:val="28"/>
              </w:rPr>
              <w:t>Kerala</w:t>
            </w:r>
          </w:p>
        </w:tc>
        <w:tc>
          <w:tcPr>
            <w:tcW w:w="2449" w:type="dxa"/>
            <w:hideMark/>
          </w:tcPr>
          <w:p w14:paraId="1CF3FEFD" w14:textId="77777777" w:rsidR="00587B4A" w:rsidRPr="00803F7A" w:rsidRDefault="00587B4A" w:rsidP="002166E0">
            <w:pPr>
              <w:pStyle w:val="NoSpacing"/>
              <w:jc w:val="center"/>
              <w:rPr>
                <w:rFonts w:ascii="Times New Roman" w:hAnsi="Times New Roman" w:cs="Times New Roman"/>
                <w:sz w:val="28"/>
                <w:szCs w:val="28"/>
              </w:rPr>
            </w:pPr>
            <w:r w:rsidRPr="00803F7A">
              <w:rPr>
                <w:rFonts w:ascii="Times New Roman" w:hAnsi="Times New Roman" w:cs="Times New Roman"/>
                <w:sz w:val="28"/>
                <w:szCs w:val="28"/>
              </w:rPr>
              <w:t>49.65</w:t>
            </w:r>
          </w:p>
        </w:tc>
        <w:tc>
          <w:tcPr>
            <w:tcW w:w="1440" w:type="dxa"/>
            <w:hideMark/>
          </w:tcPr>
          <w:p w14:paraId="5789E961" w14:textId="77777777" w:rsidR="00587B4A" w:rsidRPr="00803F7A" w:rsidRDefault="00587B4A" w:rsidP="002166E0">
            <w:pPr>
              <w:pStyle w:val="NoSpacing"/>
              <w:jc w:val="center"/>
              <w:rPr>
                <w:rFonts w:ascii="Times New Roman" w:hAnsi="Times New Roman" w:cs="Times New Roman"/>
                <w:sz w:val="28"/>
                <w:szCs w:val="28"/>
              </w:rPr>
            </w:pPr>
            <w:r w:rsidRPr="00803F7A">
              <w:rPr>
                <w:rFonts w:ascii="Times New Roman" w:hAnsi="Times New Roman" w:cs="Times New Roman"/>
                <w:sz w:val="28"/>
                <w:szCs w:val="28"/>
              </w:rPr>
              <w:t>9.93</w:t>
            </w:r>
          </w:p>
        </w:tc>
        <w:tc>
          <w:tcPr>
            <w:tcW w:w="1441" w:type="dxa"/>
            <w:hideMark/>
          </w:tcPr>
          <w:p w14:paraId="60CB144A" w14:textId="77777777" w:rsidR="00587B4A" w:rsidRPr="00803F7A" w:rsidRDefault="00587B4A" w:rsidP="002166E0">
            <w:pPr>
              <w:pStyle w:val="NoSpacing"/>
              <w:jc w:val="center"/>
              <w:rPr>
                <w:rFonts w:ascii="Times New Roman" w:hAnsi="Times New Roman" w:cs="Times New Roman"/>
                <w:sz w:val="28"/>
                <w:szCs w:val="28"/>
              </w:rPr>
            </w:pPr>
            <w:r w:rsidRPr="00803F7A">
              <w:rPr>
                <w:rFonts w:ascii="Times New Roman" w:hAnsi="Times New Roman" w:cs="Times New Roman"/>
                <w:sz w:val="28"/>
                <w:szCs w:val="28"/>
              </w:rPr>
              <w:t>9.93</w:t>
            </w:r>
          </w:p>
        </w:tc>
        <w:tc>
          <w:tcPr>
            <w:tcW w:w="1187" w:type="dxa"/>
            <w:hideMark/>
          </w:tcPr>
          <w:p w14:paraId="69D643DB" w14:textId="77777777" w:rsidR="00587B4A" w:rsidRPr="00803F7A" w:rsidRDefault="00587B4A" w:rsidP="002166E0">
            <w:pPr>
              <w:pStyle w:val="NoSpacing"/>
              <w:jc w:val="center"/>
              <w:rPr>
                <w:rFonts w:ascii="Times New Roman" w:hAnsi="Times New Roman" w:cs="Times New Roman"/>
                <w:sz w:val="28"/>
                <w:szCs w:val="28"/>
              </w:rPr>
            </w:pPr>
            <w:r w:rsidRPr="00803F7A">
              <w:rPr>
                <w:rFonts w:ascii="Times New Roman" w:hAnsi="Times New Roman" w:cs="Times New Roman"/>
                <w:sz w:val="28"/>
                <w:szCs w:val="28"/>
              </w:rPr>
              <w:t>9.93</w:t>
            </w:r>
          </w:p>
        </w:tc>
        <w:tc>
          <w:tcPr>
            <w:tcW w:w="1118" w:type="dxa"/>
            <w:hideMark/>
          </w:tcPr>
          <w:p w14:paraId="5BF614C1" w14:textId="77777777" w:rsidR="00587B4A" w:rsidRPr="00803F7A" w:rsidRDefault="00587B4A" w:rsidP="002166E0">
            <w:pPr>
              <w:pStyle w:val="NoSpacing"/>
              <w:jc w:val="center"/>
              <w:rPr>
                <w:rFonts w:ascii="Times New Roman" w:hAnsi="Times New Roman" w:cs="Times New Roman"/>
                <w:sz w:val="28"/>
                <w:szCs w:val="28"/>
              </w:rPr>
            </w:pPr>
            <w:r w:rsidRPr="00803F7A">
              <w:rPr>
                <w:rFonts w:ascii="Times New Roman" w:hAnsi="Times New Roman" w:cs="Times New Roman"/>
                <w:sz w:val="28"/>
                <w:szCs w:val="28"/>
              </w:rPr>
              <w:t>9.93</w:t>
            </w:r>
          </w:p>
        </w:tc>
        <w:tc>
          <w:tcPr>
            <w:tcW w:w="1152" w:type="dxa"/>
            <w:hideMark/>
          </w:tcPr>
          <w:p w14:paraId="0A87150C" w14:textId="77777777" w:rsidR="00587B4A" w:rsidRPr="00803F7A" w:rsidRDefault="00587B4A" w:rsidP="002166E0">
            <w:pPr>
              <w:pStyle w:val="NoSpacing"/>
              <w:jc w:val="center"/>
              <w:rPr>
                <w:rFonts w:ascii="Times New Roman" w:hAnsi="Times New Roman" w:cs="Times New Roman"/>
                <w:sz w:val="28"/>
                <w:szCs w:val="28"/>
              </w:rPr>
            </w:pPr>
            <w:r w:rsidRPr="00803F7A">
              <w:rPr>
                <w:rFonts w:ascii="Times New Roman" w:hAnsi="Times New Roman" w:cs="Times New Roman"/>
                <w:sz w:val="28"/>
                <w:szCs w:val="28"/>
              </w:rPr>
              <w:t>9.93</w:t>
            </w:r>
          </w:p>
        </w:tc>
      </w:tr>
      <w:tr w:rsidR="00587B4A" w:rsidRPr="00803F7A" w14:paraId="4EA04B5A" w14:textId="77777777" w:rsidTr="00803F7A">
        <w:trPr>
          <w:trHeight w:val="249"/>
          <w:jc w:val="center"/>
        </w:trPr>
        <w:tc>
          <w:tcPr>
            <w:tcW w:w="2017" w:type="dxa"/>
            <w:hideMark/>
          </w:tcPr>
          <w:p w14:paraId="16D16B74" w14:textId="77777777" w:rsidR="00587B4A" w:rsidRPr="00803F7A" w:rsidRDefault="00587B4A" w:rsidP="00587B4A">
            <w:pPr>
              <w:pStyle w:val="NoSpacing"/>
              <w:rPr>
                <w:rFonts w:ascii="Times New Roman" w:hAnsi="Times New Roman" w:cs="Times New Roman"/>
                <w:sz w:val="28"/>
                <w:szCs w:val="28"/>
              </w:rPr>
            </w:pPr>
            <w:r w:rsidRPr="00803F7A">
              <w:rPr>
                <w:rFonts w:ascii="Times New Roman" w:hAnsi="Times New Roman" w:cs="Times New Roman"/>
                <w:sz w:val="28"/>
                <w:szCs w:val="28"/>
              </w:rPr>
              <w:t>Mysore</w:t>
            </w:r>
          </w:p>
        </w:tc>
        <w:tc>
          <w:tcPr>
            <w:tcW w:w="2449" w:type="dxa"/>
            <w:hideMark/>
          </w:tcPr>
          <w:p w14:paraId="7B13FD61" w14:textId="77777777" w:rsidR="00587B4A" w:rsidRPr="00803F7A" w:rsidRDefault="00587B4A" w:rsidP="002166E0">
            <w:pPr>
              <w:pStyle w:val="NoSpacing"/>
              <w:jc w:val="center"/>
              <w:rPr>
                <w:rFonts w:ascii="Times New Roman" w:hAnsi="Times New Roman" w:cs="Times New Roman"/>
                <w:sz w:val="28"/>
                <w:szCs w:val="28"/>
              </w:rPr>
            </w:pPr>
            <w:r w:rsidRPr="00803F7A">
              <w:rPr>
                <w:rFonts w:ascii="Times New Roman" w:hAnsi="Times New Roman" w:cs="Times New Roman"/>
                <w:sz w:val="28"/>
                <w:szCs w:val="28"/>
              </w:rPr>
              <w:t>17.99</w:t>
            </w:r>
          </w:p>
        </w:tc>
        <w:tc>
          <w:tcPr>
            <w:tcW w:w="1440" w:type="dxa"/>
            <w:hideMark/>
          </w:tcPr>
          <w:p w14:paraId="48EC73F0" w14:textId="77777777" w:rsidR="00587B4A" w:rsidRPr="00803F7A" w:rsidRDefault="00587B4A" w:rsidP="002166E0">
            <w:pPr>
              <w:pStyle w:val="NoSpacing"/>
              <w:jc w:val="center"/>
              <w:rPr>
                <w:rFonts w:ascii="Times New Roman" w:hAnsi="Times New Roman" w:cs="Times New Roman"/>
                <w:sz w:val="28"/>
                <w:szCs w:val="28"/>
              </w:rPr>
            </w:pPr>
            <w:r w:rsidRPr="00803F7A">
              <w:rPr>
                <w:rFonts w:ascii="Times New Roman" w:hAnsi="Times New Roman" w:cs="Times New Roman"/>
                <w:sz w:val="28"/>
                <w:szCs w:val="28"/>
              </w:rPr>
              <w:t>6.48</w:t>
            </w:r>
          </w:p>
        </w:tc>
        <w:tc>
          <w:tcPr>
            <w:tcW w:w="1441" w:type="dxa"/>
            <w:hideMark/>
          </w:tcPr>
          <w:p w14:paraId="3228A836" w14:textId="77777777" w:rsidR="00587B4A" w:rsidRPr="00803F7A" w:rsidRDefault="00587B4A" w:rsidP="002166E0">
            <w:pPr>
              <w:pStyle w:val="NoSpacing"/>
              <w:jc w:val="center"/>
              <w:rPr>
                <w:rFonts w:ascii="Times New Roman" w:hAnsi="Times New Roman" w:cs="Times New Roman"/>
                <w:sz w:val="28"/>
                <w:szCs w:val="28"/>
              </w:rPr>
            </w:pPr>
            <w:r w:rsidRPr="00803F7A">
              <w:rPr>
                <w:rFonts w:ascii="Times New Roman" w:hAnsi="Times New Roman" w:cs="Times New Roman"/>
                <w:sz w:val="28"/>
                <w:szCs w:val="28"/>
              </w:rPr>
              <w:t>5.04</w:t>
            </w:r>
          </w:p>
        </w:tc>
        <w:tc>
          <w:tcPr>
            <w:tcW w:w="1187" w:type="dxa"/>
            <w:hideMark/>
          </w:tcPr>
          <w:p w14:paraId="5CC9FA47" w14:textId="77777777" w:rsidR="00587B4A" w:rsidRPr="00803F7A" w:rsidRDefault="00587B4A" w:rsidP="002166E0">
            <w:pPr>
              <w:pStyle w:val="NoSpacing"/>
              <w:jc w:val="center"/>
              <w:rPr>
                <w:rFonts w:ascii="Times New Roman" w:hAnsi="Times New Roman" w:cs="Times New Roman"/>
                <w:sz w:val="28"/>
                <w:szCs w:val="28"/>
              </w:rPr>
            </w:pPr>
            <w:r w:rsidRPr="00803F7A">
              <w:rPr>
                <w:rFonts w:ascii="Times New Roman" w:hAnsi="Times New Roman" w:cs="Times New Roman"/>
                <w:sz w:val="28"/>
                <w:szCs w:val="28"/>
              </w:rPr>
              <w:t>3.60</w:t>
            </w:r>
          </w:p>
        </w:tc>
        <w:tc>
          <w:tcPr>
            <w:tcW w:w="1118" w:type="dxa"/>
            <w:hideMark/>
          </w:tcPr>
          <w:p w14:paraId="4B936DC1" w14:textId="77777777" w:rsidR="00587B4A" w:rsidRPr="00803F7A" w:rsidRDefault="00587B4A" w:rsidP="002166E0">
            <w:pPr>
              <w:pStyle w:val="NoSpacing"/>
              <w:jc w:val="center"/>
              <w:rPr>
                <w:rFonts w:ascii="Times New Roman" w:hAnsi="Times New Roman" w:cs="Times New Roman"/>
                <w:sz w:val="28"/>
                <w:szCs w:val="28"/>
              </w:rPr>
            </w:pPr>
            <w:r w:rsidRPr="00803F7A">
              <w:rPr>
                <w:rFonts w:ascii="Times New Roman" w:hAnsi="Times New Roman" w:cs="Times New Roman"/>
                <w:sz w:val="28"/>
                <w:szCs w:val="28"/>
              </w:rPr>
              <w:t>2.16</w:t>
            </w:r>
          </w:p>
        </w:tc>
        <w:tc>
          <w:tcPr>
            <w:tcW w:w="1152" w:type="dxa"/>
            <w:hideMark/>
          </w:tcPr>
          <w:p w14:paraId="71E65788" w14:textId="77777777" w:rsidR="00587B4A" w:rsidRPr="00803F7A" w:rsidRDefault="00587B4A" w:rsidP="002166E0">
            <w:pPr>
              <w:pStyle w:val="NoSpacing"/>
              <w:jc w:val="center"/>
              <w:rPr>
                <w:rFonts w:ascii="Times New Roman" w:hAnsi="Times New Roman" w:cs="Times New Roman"/>
                <w:sz w:val="28"/>
                <w:szCs w:val="28"/>
              </w:rPr>
            </w:pPr>
            <w:r w:rsidRPr="00803F7A">
              <w:rPr>
                <w:rFonts w:ascii="Times New Roman" w:hAnsi="Times New Roman" w:cs="Times New Roman"/>
                <w:sz w:val="28"/>
                <w:szCs w:val="28"/>
              </w:rPr>
              <w:t>0.71</w:t>
            </w:r>
          </w:p>
        </w:tc>
      </w:tr>
      <w:tr w:rsidR="00587B4A" w:rsidRPr="00803F7A" w14:paraId="1BCCC2D7" w14:textId="77777777" w:rsidTr="00803F7A">
        <w:trPr>
          <w:trHeight w:val="249"/>
          <w:jc w:val="center"/>
        </w:trPr>
        <w:tc>
          <w:tcPr>
            <w:tcW w:w="2017" w:type="dxa"/>
            <w:hideMark/>
          </w:tcPr>
          <w:p w14:paraId="76779229" w14:textId="77777777" w:rsidR="00587B4A" w:rsidRPr="00803F7A" w:rsidRDefault="00587B4A" w:rsidP="00587B4A">
            <w:pPr>
              <w:pStyle w:val="NoSpacing"/>
              <w:rPr>
                <w:rFonts w:ascii="Times New Roman" w:hAnsi="Times New Roman" w:cs="Times New Roman"/>
                <w:sz w:val="28"/>
                <w:szCs w:val="28"/>
              </w:rPr>
            </w:pPr>
            <w:r w:rsidRPr="00803F7A">
              <w:rPr>
                <w:rFonts w:ascii="Times New Roman" w:hAnsi="Times New Roman" w:cs="Times New Roman"/>
                <w:sz w:val="28"/>
                <w:szCs w:val="28"/>
              </w:rPr>
              <w:t>Nagaland</w:t>
            </w:r>
          </w:p>
        </w:tc>
        <w:tc>
          <w:tcPr>
            <w:tcW w:w="2449" w:type="dxa"/>
            <w:hideMark/>
          </w:tcPr>
          <w:p w14:paraId="642F2042" w14:textId="77777777" w:rsidR="00587B4A" w:rsidRPr="00803F7A" w:rsidRDefault="00587B4A" w:rsidP="002166E0">
            <w:pPr>
              <w:pStyle w:val="NoSpacing"/>
              <w:jc w:val="center"/>
              <w:rPr>
                <w:rFonts w:ascii="Times New Roman" w:hAnsi="Times New Roman" w:cs="Times New Roman"/>
                <w:sz w:val="28"/>
                <w:szCs w:val="28"/>
              </w:rPr>
            </w:pPr>
            <w:r w:rsidRPr="00803F7A">
              <w:rPr>
                <w:rFonts w:ascii="Times New Roman" w:hAnsi="Times New Roman" w:cs="Times New Roman"/>
                <w:sz w:val="28"/>
                <w:szCs w:val="28"/>
              </w:rPr>
              <w:t>77.95</w:t>
            </w:r>
          </w:p>
        </w:tc>
        <w:tc>
          <w:tcPr>
            <w:tcW w:w="1440" w:type="dxa"/>
            <w:hideMark/>
          </w:tcPr>
          <w:p w14:paraId="7EF57D6F" w14:textId="77777777" w:rsidR="00587B4A" w:rsidRPr="00803F7A" w:rsidRDefault="00587B4A" w:rsidP="002166E0">
            <w:pPr>
              <w:pStyle w:val="NoSpacing"/>
              <w:jc w:val="center"/>
              <w:rPr>
                <w:rFonts w:ascii="Times New Roman" w:hAnsi="Times New Roman" w:cs="Times New Roman"/>
                <w:sz w:val="28"/>
                <w:szCs w:val="28"/>
              </w:rPr>
            </w:pPr>
            <w:r w:rsidRPr="00803F7A">
              <w:rPr>
                <w:rFonts w:ascii="Times New Roman" w:hAnsi="Times New Roman" w:cs="Times New Roman"/>
                <w:sz w:val="28"/>
                <w:szCs w:val="28"/>
              </w:rPr>
              <w:t>17.40</w:t>
            </w:r>
          </w:p>
        </w:tc>
        <w:tc>
          <w:tcPr>
            <w:tcW w:w="1441" w:type="dxa"/>
            <w:hideMark/>
          </w:tcPr>
          <w:p w14:paraId="2AD9F606" w14:textId="77777777" w:rsidR="00587B4A" w:rsidRPr="00803F7A" w:rsidRDefault="00587B4A" w:rsidP="002166E0">
            <w:pPr>
              <w:pStyle w:val="NoSpacing"/>
              <w:jc w:val="center"/>
              <w:rPr>
                <w:rFonts w:ascii="Times New Roman" w:hAnsi="Times New Roman" w:cs="Times New Roman"/>
                <w:sz w:val="28"/>
                <w:szCs w:val="28"/>
              </w:rPr>
            </w:pPr>
            <w:r w:rsidRPr="00803F7A">
              <w:rPr>
                <w:rFonts w:ascii="Times New Roman" w:hAnsi="Times New Roman" w:cs="Times New Roman"/>
                <w:sz w:val="28"/>
                <w:szCs w:val="28"/>
              </w:rPr>
              <w:t>16.49</w:t>
            </w:r>
          </w:p>
        </w:tc>
        <w:tc>
          <w:tcPr>
            <w:tcW w:w="1187" w:type="dxa"/>
            <w:hideMark/>
          </w:tcPr>
          <w:p w14:paraId="06C010D6" w14:textId="77777777" w:rsidR="00587B4A" w:rsidRPr="00803F7A" w:rsidRDefault="00587B4A" w:rsidP="002166E0">
            <w:pPr>
              <w:pStyle w:val="NoSpacing"/>
              <w:jc w:val="center"/>
              <w:rPr>
                <w:rFonts w:ascii="Times New Roman" w:hAnsi="Times New Roman" w:cs="Times New Roman"/>
                <w:sz w:val="28"/>
                <w:szCs w:val="28"/>
              </w:rPr>
            </w:pPr>
            <w:r w:rsidRPr="00803F7A">
              <w:rPr>
                <w:rFonts w:ascii="Times New Roman" w:hAnsi="Times New Roman" w:cs="Times New Roman"/>
                <w:sz w:val="28"/>
                <w:szCs w:val="28"/>
              </w:rPr>
              <w:t>15.49</w:t>
            </w:r>
          </w:p>
        </w:tc>
        <w:tc>
          <w:tcPr>
            <w:tcW w:w="1118" w:type="dxa"/>
            <w:hideMark/>
          </w:tcPr>
          <w:p w14:paraId="11528E41" w14:textId="77777777" w:rsidR="00587B4A" w:rsidRPr="00803F7A" w:rsidRDefault="00587B4A" w:rsidP="002166E0">
            <w:pPr>
              <w:pStyle w:val="NoSpacing"/>
              <w:jc w:val="center"/>
              <w:rPr>
                <w:rFonts w:ascii="Times New Roman" w:hAnsi="Times New Roman" w:cs="Times New Roman"/>
                <w:sz w:val="28"/>
                <w:szCs w:val="28"/>
              </w:rPr>
            </w:pPr>
            <w:r w:rsidRPr="00803F7A">
              <w:rPr>
                <w:rFonts w:ascii="Times New Roman" w:hAnsi="Times New Roman" w:cs="Times New Roman"/>
                <w:sz w:val="28"/>
                <w:szCs w:val="28"/>
              </w:rPr>
              <w:t>14.69</w:t>
            </w:r>
          </w:p>
        </w:tc>
        <w:tc>
          <w:tcPr>
            <w:tcW w:w="1152" w:type="dxa"/>
            <w:hideMark/>
          </w:tcPr>
          <w:p w14:paraId="2728030B" w14:textId="77777777" w:rsidR="00587B4A" w:rsidRPr="00803F7A" w:rsidRDefault="00587B4A" w:rsidP="002166E0">
            <w:pPr>
              <w:pStyle w:val="NoSpacing"/>
              <w:jc w:val="center"/>
              <w:rPr>
                <w:rFonts w:ascii="Times New Roman" w:hAnsi="Times New Roman" w:cs="Times New Roman"/>
                <w:sz w:val="28"/>
                <w:szCs w:val="28"/>
              </w:rPr>
            </w:pPr>
            <w:r w:rsidRPr="00803F7A">
              <w:rPr>
                <w:rFonts w:ascii="Times New Roman" w:hAnsi="Times New Roman" w:cs="Times New Roman"/>
                <w:sz w:val="28"/>
                <w:szCs w:val="28"/>
              </w:rPr>
              <w:t>13.78</w:t>
            </w:r>
          </w:p>
        </w:tc>
      </w:tr>
      <w:tr w:rsidR="00587B4A" w:rsidRPr="00803F7A" w14:paraId="219A778B" w14:textId="77777777" w:rsidTr="00803F7A">
        <w:trPr>
          <w:trHeight w:val="249"/>
          <w:jc w:val="center"/>
        </w:trPr>
        <w:tc>
          <w:tcPr>
            <w:tcW w:w="2017" w:type="dxa"/>
            <w:hideMark/>
          </w:tcPr>
          <w:p w14:paraId="195B6C1A" w14:textId="77777777" w:rsidR="00587B4A" w:rsidRPr="00803F7A" w:rsidRDefault="00587B4A" w:rsidP="00587B4A">
            <w:pPr>
              <w:pStyle w:val="NoSpacing"/>
              <w:rPr>
                <w:rFonts w:ascii="Times New Roman" w:hAnsi="Times New Roman" w:cs="Times New Roman"/>
                <w:sz w:val="28"/>
                <w:szCs w:val="28"/>
              </w:rPr>
            </w:pPr>
            <w:r w:rsidRPr="00803F7A">
              <w:rPr>
                <w:rFonts w:ascii="Times New Roman" w:hAnsi="Times New Roman" w:cs="Times New Roman"/>
                <w:sz w:val="28"/>
                <w:szCs w:val="28"/>
              </w:rPr>
              <w:lastRenderedPageBreak/>
              <w:t>Orissa</w:t>
            </w:r>
          </w:p>
        </w:tc>
        <w:tc>
          <w:tcPr>
            <w:tcW w:w="2449" w:type="dxa"/>
            <w:hideMark/>
          </w:tcPr>
          <w:p w14:paraId="634EEB8C" w14:textId="77777777" w:rsidR="00587B4A" w:rsidRPr="00803F7A" w:rsidRDefault="00587B4A" w:rsidP="002166E0">
            <w:pPr>
              <w:pStyle w:val="NoSpacing"/>
              <w:jc w:val="center"/>
              <w:rPr>
                <w:rFonts w:ascii="Times New Roman" w:hAnsi="Times New Roman" w:cs="Times New Roman"/>
                <w:sz w:val="28"/>
                <w:szCs w:val="28"/>
              </w:rPr>
            </w:pPr>
            <w:r w:rsidRPr="00803F7A">
              <w:rPr>
                <w:rFonts w:ascii="Times New Roman" w:hAnsi="Times New Roman" w:cs="Times New Roman"/>
                <w:sz w:val="28"/>
                <w:szCs w:val="28"/>
              </w:rPr>
              <w:t>104.67</w:t>
            </w:r>
          </w:p>
        </w:tc>
        <w:tc>
          <w:tcPr>
            <w:tcW w:w="1440" w:type="dxa"/>
            <w:hideMark/>
          </w:tcPr>
          <w:p w14:paraId="65AF4C59" w14:textId="77777777" w:rsidR="00587B4A" w:rsidRPr="00803F7A" w:rsidRDefault="00587B4A" w:rsidP="002166E0">
            <w:pPr>
              <w:pStyle w:val="NoSpacing"/>
              <w:jc w:val="center"/>
              <w:rPr>
                <w:rFonts w:ascii="Times New Roman" w:hAnsi="Times New Roman" w:cs="Times New Roman"/>
                <w:sz w:val="28"/>
                <w:szCs w:val="28"/>
              </w:rPr>
            </w:pPr>
            <w:r w:rsidRPr="00803F7A">
              <w:rPr>
                <w:rFonts w:ascii="Times New Roman" w:hAnsi="Times New Roman" w:cs="Times New Roman"/>
                <w:sz w:val="28"/>
                <w:szCs w:val="28"/>
              </w:rPr>
              <w:t>24.51</w:t>
            </w:r>
          </w:p>
        </w:tc>
        <w:tc>
          <w:tcPr>
            <w:tcW w:w="1441" w:type="dxa"/>
            <w:hideMark/>
          </w:tcPr>
          <w:p w14:paraId="1110E127" w14:textId="77777777" w:rsidR="00587B4A" w:rsidRPr="00803F7A" w:rsidRDefault="00587B4A" w:rsidP="002166E0">
            <w:pPr>
              <w:pStyle w:val="NoSpacing"/>
              <w:jc w:val="center"/>
              <w:rPr>
                <w:rFonts w:ascii="Times New Roman" w:hAnsi="Times New Roman" w:cs="Times New Roman"/>
                <w:sz w:val="28"/>
                <w:szCs w:val="28"/>
              </w:rPr>
            </w:pPr>
            <w:r w:rsidRPr="00803F7A">
              <w:rPr>
                <w:rFonts w:ascii="Times New Roman" w:hAnsi="Times New Roman" w:cs="Times New Roman"/>
                <w:sz w:val="28"/>
                <w:szCs w:val="28"/>
              </w:rPr>
              <w:t>22.72</w:t>
            </w:r>
          </w:p>
        </w:tc>
        <w:tc>
          <w:tcPr>
            <w:tcW w:w="1187" w:type="dxa"/>
            <w:hideMark/>
          </w:tcPr>
          <w:p w14:paraId="4F9A6172" w14:textId="77777777" w:rsidR="00587B4A" w:rsidRPr="00803F7A" w:rsidRDefault="00587B4A" w:rsidP="002166E0">
            <w:pPr>
              <w:pStyle w:val="NoSpacing"/>
              <w:jc w:val="center"/>
              <w:rPr>
                <w:rFonts w:ascii="Times New Roman" w:hAnsi="Times New Roman" w:cs="Times New Roman"/>
                <w:sz w:val="28"/>
                <w:szCs w:val="28"/>
              </w:rPr>
            </w:pPr>
            <w:r w:rsidRPr="00803F7A">
              <w:rPr>
                <w:rFonts w:ascii="Times New Roman" w:hAnsi="Times New Roman" w:cs="Times New Roman"/>
                <w:sz w:val="28"/>
                <w:szCs w:val="28"/>
              </w:rPr>
              <w:t>20.94</w:t>
            </w:r>
          </w:p>
        </w:tc>
        <w:tc>
          <w:tcPr>
            <w:tcW w:w="1118" w:type="dxa"/>
            <w:hideMark/>
          </w:tcPr>
          <w:p w14:paraId="709928CE" w14:textId="77777777" w:rsidR="00587B4A" w:rsidRPr="00803F7A" w:rsidRDefault="00587B4A" w:rsidP="002166E0">
            <w:pPr>
              <w:pStyle w:val="NoSpacing"/>
              <w:jc w:val="center"/>
              <w:rPr>
                <w:rFonts w:ascii="Times New Roman" w:hAnsi="Times New Roman" w:cs="Times New Roman"/>
                <w:sz w:val="28"/>
                <w:szCs w:val="28"/>
              </w:rPr>
            </w:pPr>
            <w:r w:rsidRPr="00803F7A">
              <w:rPr>
                <w:rFonts w:ascii="Times New Roman" w:hAnsi="Times New Roman" w:cs="Times New Roman"/>
                <w:sz w:val="28"/>
                <w:szCs w:val="28"/>
              </w:rPr>
              <w:t>19.14</w:t>
            </w:r>
          </w:p>
        </w:tc>
        <w:tc>
          <w:tcPr>
            <w:tcW w:w="1152" w:type="dxa"/>
            <w:hideMark/>
          </w:tcPr>
          <w:p w14:paraId="3EBF513C" w14:textId="77777777" w:rsidR="00587B4A" w:rsidRPr="00803F7A" w:rsidRDefault="00587B4A" w:rsidP="002166E0">
            <w:pPr>
              <w:pStyle w:val="NoSpacing"/>
              <w:jc w:val="center"/>
              <w:rPr>
                <w:rFonts w:ascii="Times New Roman" w:hAnsi="Times New Roman" w:cs="Times New Roman"/>
                <w:sz w:val="28"/>
                <w:szCs w:val="28"/>
              </w:rPr>
            </w:pPr>
            <w:r w:rsidRPr="00803F7A">
              <w:rPr>
                <w:rFonts w:ascii="Times New Roman" w:hAnsi="Times New Roman" w:cs="Times New Roman"/>
                <w:sz w:val="28"/>
                <w:szCs w:val="28"/>
              </w:rPr>
              <w:t>17.36</w:t>
            </w:r>
          </w:p>
        </w:tc>
      </w:tr>
      <w:tr w:rsidR="00587B4A" w:rsidRPr="00803F7A" w14:paraId="6071A678" w14:textId="77777777" w:rsidTr="00803F7A">
        <w:trPr>
          <w:trHeight w:val="249"/>
          <w:jc w:val="center"/>
        </w:trPr>
        <w:tc>
          <w:tcPr>
            <w:tcW w:w="2017" w:type="dxa"/>
            <w:hideMark/>
          </w:tcPr>
          <w:p w14:paraId="3DE8E3CA" w14:textId="77777777" w:rsidR="00587B4A" w:rsidRPr="00803F7A" w:rsidRDefault="00587B4A" w:rsidP="00587B4A">
            <w:pPr>
              <w:pStyle w:val="NoSpacing"/>
              <w:rPr>
                <w:rFonts w:ascii="Times New Roman" w:hAnsi="Times New Roman" w:cs="Times New Roman"/>
                <w:sz w:val="28"/>
                <w:szCs w:val="28"/>
              </w:rPr>
            </w:pPr>
            <w:r w:rsidRPr="00803F7A">
              <w:rPr>
                <w:rFonts w:ascii="Times New Roman" w:hAnsi="Times New Roman" w:cs="Times New Roman"/>
                <w:sz w:val="28"/>
                <w:szCs w:val="28"/>
              </w:rPr>
              <w:t>Rajasthan</w:t>
            </w:r>
          </w:p>
        </w:tc>
        <w:tc>
          <w:tcPr>
            <w:tcW w:w="2449" w:type="dxa"/>
            <w:hideMark/>
          </w:tcPr>
          <w:p w14:paraId="2A77A37C" w14:textId="77777777" w:rsidR="00587B4A" w:rsidRPr="00803F7A" w:rsidRDefault="00587B4A" w:rsidP="002166E0">
            <w:pPr>
              <w:pStyle w:val="NoSpacing"/>
              <w:jc w:val="center"/>
              <w:rPr>
                <w:rFonts w:ascii="Times New Roman" w:hAnsi="Times New Roman" w:cs="Times New Roman"/>
                <w:sz w:val="28"/>
                <w:szCs w:val="28"/>
              </w:rPr>
            </w:pPr>
            <w:r w:rsidRPr="00803F7A">
              <w:rPr>
                <w:rFonts w:ascii="Times New Roman" w:hAnsi="Times New Roman" w:cs="Times New Roman"/>
                <w:sz w:val="28"/>
                <w:szCs w:val="28"/>
              </w:rPr>
              <w:t>51.49</w:t>
            </w:r>
          </w:p>
        </w:tc>
        <w:tc>
          <w:tcPr>
            <w:tcW w:w="1440" w:type="dxa"/>
            <w:hideMark/>
          </w:tcPr>
          <w:p w14:paraId="4AC7A37D" w14:textId="77777777" w:rsidR="00587B4A" w:rsidRPr="00803F7A" w:rsidRDefault="00587B4A" w:rsidP="002166E0">
            <w:pPr>
              <w:pStyle w:val="NoSpacing"/>
              <w:jc w:val="center"/>
              <w:rPr>
                <w:rFonts w:ascii="Times New Roman" w:hAnsi="Times New Roman" w:cs="Times New Roman"/>
                <w:sz w:val="28"/>
                <w:szCs w:val="28"/>
              </w:rPr>
            </w:pPr>
            <w:r w:rsidRPr="00803F7A">
              <w:rPr>
                <w:rFonts w:ascii="Times New Roman" w:hAnsi="Times New Roman" w:cs="Times New Roman"/>
                <w:sz w:val="28"/>
                <w:szCs w:val="28"/>
              </w:rPr>
              <w:t>12.36</w:t>
            </w:r>
          </w:p>
        </w:tc>
        <w:tc>
          <w:tcPr>
            <w:tcW w:w="1441" w:type="dxa"/>
            <w:hideMark/>
          </w:tcPr>
          <w:p w14:paraId="67D7CB46" w14:textId="77777777" w:rsidR="00587B4A" w:rsidRPr="00803F7A" w:rsidRDefault="00587B4A" w:rsidP="002166E0">
            <w:pPr>
              <w:pStyle w:val="NoSpacing"/>
              <w:jc w:val="center"/>
              <w:rPr>
                <w:rFonts w:ascii="Times New Roman" w:hAnsi="Times New Roman" w:cs="Times New Roman"/>
                <w:sz w:val="28"/>
                <w:szCs w:val="28"/>
              </w:rPr>
            </w:pPr>
            <w:r w:rsidRPr="00803F7A">
              <w:rPr>
                <w:rFonts w:ascii="Times New Roman" w:hAnsi="Times New Roman" w:cs="Times New Roman"/>
                <w:sz w:val="28"/>
                <w:szCs w:val="28"/>
              </w:rPr>
              <w:t>11.33</w:t>
            </w:r>
          </w:p>
        </w:tc>
        <w:tc>
          <w:tcPr>
            <w:tcW w:w="1187" w:type="dxa"/>
            <w:hideMark/>
          </w:tcPr>
          <w:p w14:paraId="5C9E269A" w14:textId="77777777" w:rsidR="00587B4A" w:rsidRPr="00803F7A" w:rsidRDefault="00587B4A" w:rsidP="002166E0">
            <w:pPr>
              <w:pStyle w:val="NoSpacing"/>
              <w:jc w:val="center"/>
              <w:rPr>
                <w:rFonts w:ascii="Times New Roman" w:hAnsi="Times New Roman" w:cs="Times New Roman"/>
                <w:sz w:val="28"/>
                <w:szCs w:val="28"/>
              </w:rPr>
            </w:pPr>
            <w:r w:rsidRPr="00803F7A">
              <w:rPr>
                <w:rFonts w:ascii="Times New Roman" w:hAnsi="Times New Roman" w:cs="Times New Roman"/>
                <w:sz w:val="28"/>
                <w:szCs w:val="28"/>
              </w:rPr>
              <w:t>10.30</w:t>
            </w:r>
          </w:p>
        </w:tc>
        <w:tc>
          <w:tcPr>
            <w:tcW w:w="1118" w:type="dxa"/>
            <w:hideMark/>
          </w:tcPr>
          <w:p w14:paraId="3A3BCA8C" w14:textId="77777777" w:rsidR="00587B4A" w:rsidRPr="00803F7A" w:rsidRDefault="00587B4A" w:rsidP="002166E0">
            <w:pPr>
              <w:pStyle w:val="NoSpacing"/>
              <w:jc w:val="center"/>
              <w:rPr>
                <w:rFonts w:ascii="Times New Roman" w:hAnsi="Times New Roman" w:cs="Times New Roman"/>
                <w:sz w:val="28"/>
                <w:szCs w:val="28"/>
              </w:rPr>
            </w:pPr>
            <w:r w:rsidRPr="00803F7A">
              <w:rPr>
                <w:rFonts w:ascii="Times New Roman" w:hAnsi="Times New Roman" w:cs="Times New Roman"/>
                <w:sz w:val="28"/>
                <w:szCs w:val="28"/>
              </w:rPr>
              <w:t>9.27</w:t>
            </w:r>
          </w:p>
        </w:tc>
        <w:tc>
          <w:tcPr>
            <w:tcW w:w="1152" w:type="dxa"/>
            <w:hideMark/>
          </w:tcPr>
          <w:p w14:paraId="22D62637" w14:textId="77777777" w:rsidR="00587B4A" w:rsidRPr="00803F7A" w:rsidRDefault="00587B4A" w:rsidP="002166E0">
            <w:pPr>
              <w:pStyle w:val="NoSpacing"/>
              <w:jc w:val="center"/>
              <w:rPr>
                <w:rFonts w:ascii="Times New Roman" w:hAnsi="Times New Roman" w:cs="Times New Roman"/>
                <w:sz w:val="28"/>
                <w:szCs w:val="28"/>
              </w:rPr>
            </w:pPr>
            <w:r w:rsidRPr="00803F7A">
              <w:rPr>
                <w:rFonts w:ascii="Times New Roman" w:hAnsi="Times New Roman" w:cs="Times New Roman"/>
                <w:sz w:val="28"/>
                <w:szCs w:val="28"/>
              </w:rPr>
              <w:t>8.23</w:t>
            </w:r>
          </w:p>
        </w:tc>
      </w:tr>
      <w:tr w:rsidR="00587B4A" w:rsidRPr="00803F7A" w14:paraId="1E3B1593" w14:textId="77777777" w:rsidTr="00803F7A">
        <w:trPr>
          <w:trHeight w:val="261"/>
          <w:jc w:val="center"/>
        </w:trPr>
        <w:tc>
          <w:tcPr>
            <w:tcW w:w="2017" w:type="dxa"/>
            <w:hideMark/>
          </w:tcPr>
          <w:p w14:paraId="030C387E" w14:textId="77777777" w:rsidR="00587B4A" w:rsidRPr="00803F7A" w:rsidRDefault="00587B4A" w:rsidP="00587B4A">
            <w:pPr>
              <w:pStyle w:val="NoSpacing"/>
              <w:rPr>
                <w:rFonts w:ascii="Times New Roman" w:hAnsi="Times New Roman" w:cs="Times New Roman"/>
                <w:sz w:val="28"/>
                <w:szCs w:val="28"/>
              </w:rPr>
            </w:pPr>
            <w:r w:rsidRPr="00803F7A">
              <w:rPr>
                <w:rFonts w:ascii="Times New Roman" w:hAnsi="Times New Roman" w:cs="Times New Roman"/>
                <w:sz w:val="28"/>
                <w:szCs w:val="28"/>
              </w:rPr>
              <w:t>Tamil Nadu</w:t>
            </w:r>
          </w:p>
        </w:tc>
        <w:tc>
          <w:tcPr>
            <w:tcW w:w="2449" w:type="dxa"/>
            <w:hideMark/>
          </w:tcPr>
          <w:p w14:paraId="06DFE6A9" w14:textId="77777777" w:rsidR="00587B4A" w:rsidRPr="00803F7A" w:rsidRDefault="00587B4A" w:rsidP="002166E0">
            <w:pPr>
              <w:pStyle w:val="NoSpacing"/>
              <w:jc w:val="center"/>
              <w:rPr>
                <w:rFonts w:ascii="Times New Roman" w:hAnsi="Times New Roman" w:cs="Times New Roman"/>
                <w:sz w:val="28"/>
                <w:szCs w:val="28"/>
              </w:rPr>
            </w:pPr>
            <w:r w:rsidRPr="00803F7A">
              <w:rPr>
                <w:rFonts w:ascii="Times New Roman" w:hAnsi="Times New Roman" w:cs="Times New Roman"/>
                <w:sz w:val="28"/>
                <w:szCs w:val="28"/>
              </w:rPr>
              <w:t>22.82</w:t>
            </w:r>
          </w:p>
        </w:tc>
        <w:tc>
          <w:tcPr>
            <w:tcW w:w="1440" w:type="dxa"/>
            <w:hideMark/>
          </w:tcPr>
          <w:p w14:paraId="56A08D4E" w14:textId="77777777" w:rsidR="00587B4A" w:rsidRPr="00803F7A" w:rsidRDefault="00587B4A" w:rsidP="002166E0">
            <w:pPr>
              <w:pStyle w:val="NoSpacing"/>
              <w:jc w:val="center"/>
              <w:rPr>
                <w:rFonts w:ascii="Times New Roman" w:hAnsi="Times New Roman" w:cs="Times New Roman"/>
                <w:sz w:val="28"/>
                <w:szCs w:val="28"/>
              </w:rPr>
            </w:pPr>
            <w:r w:rsidRPr="00803F7A">
              <w:rPr>
                <w:rFonts w:ascii="Times New Roman" w:hAnsi="Times New Roman" w:cs="Times New Roman"/>
                <w:sz w:val="28"/>
                <w:szCs w:val="28"/>
              </w:rPr>
              <w:t>6.61</w:t>
            </w:r>
          </w:p>
        </w:tc>
        <w:tc>
          <w:tcPr>
            <w:tcW w:w="1441" w:type="dxa"/>
            <w:hideMark/>
          </w:tcPr>
          <w:p w14:paraId="6859C4BD" w14:textId="77777777" w:rsidR="00587B4A" w:rsidRPr="00803F7A" w:rsidRDefault="00587B4A" w:rsidP="002166E0">
            <w:pPr>
              <w:pStyle w:val="NoSpacing"/>
              <w:jc w:val="center"/>
              <w:rPr>
                <w:rFonts w:ascii="Times New Roman" w:hAnsi="Times New Roman" w:cs="Times New Roman"/>
                <w:sz w:val="28"/>
                <w:szCs w:val="28"/>
              </w:rPr>
            </w:pPr>
            <w:r w:rsidRPr="00803F7A">
              <w:rPr>
                <w:rFonts w:ascii="Times New Roman" w:hAnsi="Times New Roman" w:cs="Times New Roman"/>
                <w:sz w:val="28"/>
                <w:szCs w:val="28"/>
              </w:rPr>
              <w:t>5.59</w:t>
            </w:r>
          </w:p>
        </w:tc>
        <w:tc>
          <w:tcPr>
            <w:tcW w:w="1187" w:type="dxa"/>
            <w:hideMark/>
          </w:tcPr>
          <w:p w14:paraId="56DD684A" w14:textId="77777777" w:rsidR="00587B4A" w:rsidRPr="00803F7A" w:rsidRDefault="00587B4A" w:rsidP="002166E0">
            <w:pPr>
              <w:pStyle w:val="NoSpacing"/>
              <w:jc w:val="center"/>
              <w:rPr>
                <w:rFonts w:ascii="Times New Roman" w:hAnsi="Times New Roman" w:cs="Times New Roman"/>
                <w:sz w:val="28"/>
                <w:szCs w:val="28"/>
              </w:rPr>
            </w:pPr>
            <w:r w:rsidRPr="00803F7A">
              <w:rPr>
                <w:rFonts w:ascii="Times New Roman" w:hAnsi="Times New Roman" w:cs="Times New Roman"/>
                <w:sz w:val="28"/>
                <w:szCs w:val="28"/>
              </w:rPr>
              <w:t>4.56</w:t>
            </w:r>
          </w:p>
        </w:tc>
        <w:tc>
          <w:tcPr>
            <w:tcW w:w="1118" w:type="dxa"/>
            <w:hideMark/>
          </w:tcPr>
          <w:p w14:paraId="06F6D2BA" w14:textId="77777777" w:rsidR="00587B4A" w:rsidRPr="00803F7A" w:rsidRDefault="00587B4A" w:rsidP="002166E0">
            <w:pPr>
              <w:pStyle w:val="NoSpacing"/>
              <w:jc w:val="center"/>
              <w:rPr>
                <w:rFonts w:ascii="Times New Roman" w:hAnsi="Times New Roman" w:cs="Times New Roman"/>
                <w:sz w:val="28"/>
                <w:szCs w:val="28"/>
              </w:rPr>
            </w:pPr>
            <w:r w:rsidRPr="00803F7A">
              <w:rPr>
                <w:rFonts w:ascii="Times New Roman" w:hAnsi="Times New Roman" w:cs="Times New Roman"/>
                <w:sz w:val="28"/>
                <w:szCs w:val="28"/>
              </w:rPr>
              <w:t>3.54</w:t>
            </w:r>
          </w:p>
        </w:tc>
        <w:tc>
          <w:tcPr>
            <w:tcW w:w="1152" w:type="dxa"/>
            <w:hideMark/>
          </w:tcPr>
          <w:p w14:paraId="45FED601" w14:textId="77777777" w:rsidR="00587B4A" w:rsidRPr="00803F7A" w:rsidRDefault="00587B4A" w:rsidP="002166E0">
            <w:pPr>
              <w:pStyle w:val="NoSpacing"/>
              <w:jc w:val="center"/>
              <w:rPr>
                <w:rFonts w:ascii="Times New Roman" w:hAnsi="Times New Roman" w:cs="Times New Roman"/>
                <w:sz w:val="28"/>
                <w:szCs w:val="28"/>
              </w:rPr>
            </w:pPr>
            <w:r w:rsidRPr="00803F7A">
              <w:rPr>
                <w:rFonts w:ascii="Times New Roman" w:hAnsi="Times New Roman" w:cs="Times New Roman"/>
                <w:sz w:val="28"/>
                <w:szCs w:val="28"/>
              </w:rPr>
              <w:t>2.52</w:t>
            </w:r>
          </w:p>
        </w:tc>
      </w:tr>
      <w:tr w:rsidR="00587B4A" w:rsidRPr="00803F7A" w14:paraId="7AE48E55" w14:textId="77777777" w:rsidTr="00803F7A">
        <w:trPr>
          <w:trHeight w:val="249"/>
          <w:jc w:val="center"/>
        </w:trPr>
        <w:tc>
          <w:tcPr>
            <w:tcW w:w="2017" w:type="dxa"/>
            <w:hideMark/>
          </w:tcPr>
          <w:p w14:paraId="5BB779C6" w14:textId="77777777" w:rsidR="00587B4A" w:rsidRPr="00803F7A" w:rsidRDefault="00587B4A" w:rsidP="00587B4A">
            <w:pPr>
              <w:pStyle w:val="NoSpacing"/>
              <w:rPr>
                <w:rFonts w:ascii="Times New Roman" w:hAnsi="Times New Roman" w:cs="Times New Roman"/>
                <w:sz w:val="28"/>
                <w:szCs w:val="28"/>
              </w:rPr>
            </w:pPr>
            <w:r w:rsidRPr="00803F7A">
              <w:rPr>
                <w:rFonts w:ascii="Times New Roman" w:hAnsi="Times New Roman" w:cs="Times New Roman"/>
                <w:sz w:val="28"/>
                <w:szCs w:val="28"/>
              </w:rPr>
              <w:t>West Bengal</w:t>
            </w:r>
          </w:p>
        </w:tc>
        <w:tc>
          <w:tcPr>
            <w:tcW w:w="2449" w:type="dxa"/>
            <w:hideMark/>
          </w:tcPr>
          <w:p w14:paraId="28C784D0" w14:textId="77777777" w:rsidR="00587B4A" w:rsidRPr="00803F7A" w:rsidRDefault="00587B4A" w:rsidP="002166E0">
            <w:pPr>
              <w:pStyle w:val="NoSpacing"/>
              <w:jc w:val="center"/>
              <w:rPr>
                <w:rFonts w:ascii="Times New Roman" w:hAnsi="Times New Roman" w:cs="Times New Roman"/>
                <w:sz w:val="28"/>
                <w:szCs w:val="28"/>
              </w:rPr>
            </w:pPr>
            <w:r w:rsidRPr="00803F7A">
              <w:rPr>
                <w:rFonts w:ascii="Times New Roman" w:hAnsi="Times New Roman" w:cs="Times New Roman"/>
                <w:sz w:val="28"/>
                <w:szCs w:val="28"/>
              </w:rPr>
              <w:t>72.62</w:t>
            </w:r>
          </w:p>
        </w:tc>
        <w:tc>
          <w:tcPr>
            <w:tcW w:w="1440" w:type="dxa"/>
            <w:hideMark/>
          </w:tcPr>
          <w:p w14:paraId="093ED7EA" w14:textId="77777777" w:rsidR="00587B4A" w:rsidRPr="00803F7A" w:rsidRDefault="00587B4A" w:rsidP="002166E0">
            <w:pPr>
              <w:pStyle w:val="NoSpacing"/>
              <w:jc w:val="center"/>
              <w:rPr>
                <w:rFonts w:ascii="Times New Roman" w:hAnsi="Times New Roman" w:cs="Times New Roman"/>
                <w:sz w:val="28"/>
                <w:szCs w:val="28"/>
              </w:rPr>
            </w:pPr>
            <w:r w:rsidRPr="00803F7A">
              <w:rPr>
                <w:rFonts w:ascii="Times New Roman" w:hAnsi="Times New Roman" w:cs="Times New Roman"/>
                <w:sz w:val="28"/>
                <w:szCs w:val="28"/>
              </w:rPr>
              <w:t>22.29</w:t>
            </w:r>
          </w:p>
        </w:tc>
        <w:tc>
          <w:tcPr>
            <w:tcW w:w="1441" w:type="dxa"/>
            <w:hideMark/>
          </w:tcPr>
          <w:p w14:paraId="4AEDCFE6" w14:textId="77777777" w:rsidR="00587B4A" w:rsidRPr="00803F7A" w:rsidRDefault="00587B4A" w:rsidP="002166E0">
            <w:pPr>
              <w:pStyle w:val="NoSpacing"/>
              <w:jc w:val="center"/>
              <w:rPr>
                <w:rFonts w:ascii="Times New Roman" w:hAnsi="Times New Roman" w:cs="Times New Roman"/>
                <w:sz w:val="28"/>
                <w:szCs w:val="28"/>
              </w:rPr>
            </w:pPr>
            <w:r w:rsidRPr="00803F7A">
              <w:rPr>
                <w:rFonts w:ascii="Times New Roman" w:hAnsi="Times New Roman" w:cs="Times New Roman"/>
                <w:sz w:val="28"/>
                <w:szCs w:val="28"/>
              </w:rPr>
              <w:t>18.41</w:t>
            </w:r>
          </w:p>
        </w:tc>
        <w:tc>
          <w:tcPr>
            <w:tcW w:w="1187" w:type="dxa"/>
            <w:hideMark/>
          </w:tcPr>
          <w:p w14:paraId="204D849F" w14:textId="77777777" w:rsidR="00587B4A" w:rsidRPr="00803F7A" w:rsidRDefault="00587B4A" w:rsidP="002166E0">
            <w:pPr>
              <w:pStyle w:val="NoSpacing"/>
              <w:jc w:val="center"/>
              <w:rPr>
                <w:rFonts w:ascii="Times New Roman" w:hAnsi="Times New Roman" w:cs="Times New Roman"/>
                <w:sz w:val="28"/>
                <w:szCs w:val="28"/>
              </w:rPr>
            </w:pPr>
            <w:r w:rsidRPr="00803F7A">
              <w:rPr>
                <w:rFonts w:ascii="Times New Roman" w:hAnsi="Times New Roman" w:cs="Times New Roman"/>
                <w:sz w:val="28"/>
                <w:szCs w:val="28"/>
              </w:rPr>
              <w:t>14.52</w:t>
            </w:r>
          </w:p>
        </w:tc>
        <w:tc>
          <w:tcPr>
            <w:tcW w:w="1118" w:type="dxa"/>
            <w:hideMark/>
          </w:tcPr>
          <w:p w14:paraId="58E587F9" w14:textId="77777777" w:rsidR="00587B4A" w:rsidRPr="00803F7A" w:rsidRDefault="00587B4A" w:rsidP="002166E0">
            <w:pPr>
              <w:pStyle w:val="NoSpacing"/>
              <w:jc w:val="center"/>
              <w:rPr>
                <w:rFonts w:ascii="Times New Roman" w:hAnsi="Times New Roman" w:cs="Times New Roman"/>
                <w:sz w:val="28"/>
                <w:szCs w:val="28"/>
              </w:rPr>
            </w:pPr>
            <w:r w:rsidRPr="00803F7A">
              <w:rPr>
                <w:rFonts w:ascii="Times New Roman" w:hAnsi="Times New Roman" w:cs="Times New Roman"/>
                <w:sz w:val="28"/>
                <w:szCs w:val="28"/>
              </w:rPr>
              <w:t>10.64</w:t>
            </w:r>
          </w:p>
        </w:tc>
        <w:tc>
          <w:tcPr>
            <w:tcW w:w="1152" w:type="dxa"/>
            <w:hideMark/>
          </w:tcPr>
          <w:p w14:paraId="789E4ED8" w14:textId="77777777" w:rsidR="00587B4A" w:rsidRPr="00803F7A" w:rsidRDefault="00587B4A" w:rsidP="002166E0">
            <w:pPr>
              <w:pStyle w:val="NoSpacing"/>
              <w:jc w:val="center"/>
              <w:rPr>
                <w:rFonts w:ascii="Times New Roman" w:hAnsi="Times New Roman" w:cs="Times New Roman"/>
                <w:sz w:val="28"/>
                <w:szCs w:val="28"/>
              </w:rPr>
            </w:pPr>
            <w:r w:rsidRPr="00803F7A">
              <w:rPr>
                <w:rFonts w:ascii="Times New Roman" w:hAnsi="Times New Roman" w:cs="Times New Roman"/>
                <w:sz w:val="28"/>
                <w:szCs w:val="28"/>
              </w:rPr>
              <w:t>6.76</w:t>
            </w:r>
          </w:p>
        </w:tc>
      </w:tr>
      <w:tr w:rsidR="00587B4A" w:rsidRPr="00803F7A" w14:paraId="6B07E188" w14:textId="77777777" w:rsidTr="00803F7A">
        <w:trPr>
          <w:trHeight w:val="249"/>
          <w:jc w:val="center"/>
        </w:trPr>
        <w:tc>
          <w:tcPr>
            <w:tcW w:w="2017" w:type="dxa"/>
            <w:hideMark/>
          </w:tcPr>
          <w:p w14:paraId="2D355B2D" w14:textId="77777777" w:rsidR="00587B4A" w:rsidRPr="00803F7A" w:rsidRDefault="00587B4A" w:rsidP="00587B4A">
            <w:pPr>
              <w:pStyle w:val="NoSpacing"/>
              <w:rPr>
                <w:rFonts w:ascii="Times New Roman" w:hAnsi="Times New Roman" w:cs="Times New Roman"/>
                <w:sz w:val="28"/>
                <w:szCs w:val="28"/>
              </w:rPr>
            </w:pPr>
            <w:r w:rsidRPr="00803F7A">
              <w:rPr>
                <w:rFonts w:ascii="Times New Roman" w:hAnsi="Times New Roman" w:cs="Times New Roman"/>
                <w:sz w:val="28"/>
                <w:szCs w:val="28"/>
              </w:rPr>
              <w:t>TOTAL</w:t>
            </w:r>
          </w:p>
        </w:tc>
        <w:tc>
          <w:tcPr>
            <w:tcW w:w="2449" w:type="dxa"/>
            <w:hideMark/>
          </w:tcPr>
          <w:p w14:paraId="72F79068" w14:textId="77777777" w:rsidR="00587B4A" w:rsidRPr="00803F7A" w:rsidRDefault="00587B4A" w:rsidP="002166E0">
            <w:pPr>
              <w:pStyle w:val="NoSpacing"/>
              <w:jc w:val="center"/>
              <w:rPr>
                <w:rFonts w:ascii="Times New Roman" w:hAnsi="Times New Roman" w:cs="Times New Roman"/>
                <w:sz w:val="28"/>
                <w:szCs w:val="28"/>
              </w:rPr>
            </w:pPr>
            <w:r w:rsidRPr="00803F7A">
              <w:rPr>
                <w:rFonts w:ascii="Times New Roman" w:hAnsi="Times New Roman" w:cs="Times New Roman"/>
                <w:sz w:val="28"/>
                <w:szCs w:val="28"/>
              </w:rPr>
              <w:t>637.85</w:t>
            </w:r>
          </w:p>
        </w:tc>
        <w:tc>
          <w:tcPr>
            <w:tcW w:w="1440" w:type="dxa"/>
            <w:hideMark/>
          </w:tcPr>
          <w:p w14:paraId="1E6BD56D" w14:textId="77777777" w:rsidR="00587B4A" w:rsidRPr="00803F7A" w:rsidRDefault="00587B4A" w:rsidP="002166E0">
            <w:pPr>
              <w:pStyle w:val="NoSpacing"/>
              <w:jc w:val="center"/>
              <w:rPr>
                <w:rFonts w:ascii="Times New Roman" w:hAnsi="Times New Roman" w:cs="Times New Roman"/>
                <w:sz w:val="28"/>
                <w:szCs w:val="28"/>
              </w:rPr>
            </w:pPr>
            <w:r w:rsidRPr="00803F7A">
              <w:rPr>
                <w:rFonts w:ascii="Times New Roman" w:hAnsi="Times New Roman" w:cs="Times New Roman"/>
                <w:sz w:val="28"/>
                <w:szCs w:val="28"/>
              </w:rPr>
              <w:t>152.73</w:t>
            </w:r>
          </w:p>
        </w:tc>
        <w:tc>
          <w:tcPr>
            <w:tcW w:w="1441" w:type="dxa"/>
            <w:hideMark/>
          </w:tcPr>
          <w:p w14:paraId="29E782F4" w14:textId="77777777" w:rsidR="00587B4A" w:rsidRPr="00803F7A" w:rsidRDefault="00587B4A" w:rsidP="002166E0">
            <w:pPr>
              <w:pStyle w:val="NoSpacing"/>
              <w:jc w:val="center"/>
              <w:rPr>
                <w:rFonts w:ascii="Times New Roman" w:hAnsi="Times New Roman" w:cs="Times New Roman"/>
                <w:sz w:val="28"/>
                <w:szCs w:val="28"/>
              </w:rPr>
            </w:pPr>
            <w:r w:rsidRPr="00803F7A">
              <w:rPr>
                <w:rFonts w:ascii="Times New Roman" w:hAnsi="Times New Roman" w:cs="Times New Roman"/>
                <w:sz w:val="28"/>
                <w:szCs w:val="28"/>
              </w:rPr>
              <w:t>140.15</w:t>
            </w:r>
          </w:p>
        </w:tc>
        <w:tc>
          <w:tcPr>
            <w:tcW w:w="1187" w:type="dxa"/>
            <w:hideMark/>
          </w:tcPr>
          <w:p w14:paraId="319781A4" w14:textId="77777777" w:rsidR="00587B4A" w:rsidRPr="00803F7A" w:rsidRDefault="00587B4A" w:rsidP="002166E0">
            <w:pPr>
              <w:pStyle w:val="NoSpacing"/>
              <w:jc w:val="center"/>
              <w:rPr>
                <w:rFonts w:ascii="Times New Roman" w:hAnsi="Times New Roman" w:cs="Times New Roman"/>
                <w:sz w:val="28"/>
                <w:szCs w:val="28"/>
              </w:rPr>
            </w:pPr>
            <w:r w:rsidRPr="00803F7A">
              <w:rPr>
                <w:rFonts w:ascii="Times New Roman" w:hAnsi="Times New Roman" w:cs="Times New Roman"/>
                <w:sz w:val="28"/>
                <w:szCs w:val="28"/>
              </w:rPr>
              <w:t>127.57</w:t>
            </w:r>
          </w:p>
        </w:tc>
        <w:tc>
          <w:tcPr>
            <w:tcW w:w="1118" w:type="dxa"/>
            <w:hideMark/>
          </w:tcPr>
          <w:p w14:paraId="1C55307F" w14:textId="77777777" w:rsidR="00587B4A" w:rsidRPr="00803F7A" w:rsidRDefault="00587B4A" w:rsidP="002166E0">
            <w:pPr>
              <w:pStyle w:val="NoSpacing"/>
              <w:jc w:val="center"/>
              <w:rPr>
                <w:rFonts w:ascii="Times New Roman" w:hAnsi="Times New Roman" w:cs="Times New Roman"/>
                <w:sz w:val="28"/>
                <w:szCs w:val="28"/>
              </w:rPr>
            </w:pPr>
            <w:r w:rsidRPr="00803F7A">
              <w:rPr>
                <w:rFonts w:ascii="Times New Roman" w:hAnsi="Times New Roman" w:cs="Times New Roman"/>
                <w:sz w:val="28"/>
                <w:szCs w:val="28"/>
              </w:rPr>
              <w:t>114.99</w:t>
            </w:r>
          </w:p>
        </w:tc>
        <w:tc>
          <w:tcPr>
            <w:tcW w:w="1152" w:type="dxa"/>
            <w:hideMark/>
          </w:tcPr>
          <w:p w14:paraId="0B32294B" w14:textId="77777777" w:rsidR="00587B4A" w:rsidRPr="00803F7A" w:rsidRDefault="00587B4A" w:rsidP="002166E0">
            <w:pPr>
              <w:pStyle w:val="NoSpacing"/>
              <w:jc w:val="center"/>
              <w:rPr>
                <w:rFonts w:ascii="Times New Roman" w:hAnsi="Times New Roman" w:cs="Times New Roman"/>
                <w:sz w:val="28"/>
                <w:szCs w:val="28"/>
              </w:rPr>
            </w:pPr>
            <w:r w:rsidRPr="00803F7A">
              <w:rPr>
                <w:rFonts w:ascii="Times New Roman" w:hAnsi="Times New Roman" w:cs="Times New Roman"/>
                <w:sz w:val="28"/>
                <w:szCs w:val="28"/>
              </w:rPr>
              <w:t>102.41</w:t>
            </w:r>
          </w:p>
        </w:tc>
      </w:tr>
    </w:tbl>
    <w:p w14:paraId="37D2C8CA" w14:textId="598E1F2E" w:rsidR="00587B4A" w:rsidRPr="007245B0" w:rsidRDefault="00587B4A" w:rsidP="00B979EE">
      <w:pPr>
        <w:jc w:val="both"/>
        <w:rPr>
          <w:rFonts w:ascii="Times New Roman" w:hAnsi="Times New Roman" w:cs="Times New Roman"/>
        </w:rPr>
      </w:pPr>
    </w:p>
    <w:p w14:paraId="6B70572F" w14:textId="77777777" w:rsidR="00587B4A" w:rsidRPr="00BE3CC5" w:rsidRDefault="00587B4A" w:rsidP="00BE3CC5">
      <w:pPr>
        <w:spacing w:line="300" w:lineRule="exact"/>
        <w:jc w:val="both"/>
        <w:rPr>
          <w:rFonts w:ascii="Times New Roman" w:hAnsi="Times New Roman" w:cs="Times New Roman"/>
          <w:sz w:val="28"/>
          <w:szCs w:val="22"/>
        </w:rPr>
      </w:pPr>
      <w:r w:rsidRPr="00BE3CC5">
        <w:rPr>
          <w:rFonts w:ascii="Times New Roman" w:hAnsi="Times New Roman" w:cs="Times New Roman"/>
          <w:sz w:val="28"/>
          <w:szCs w:val="22"/>
        </w:rPr>
        <w:t>These sums are inclusive of the amounts specified in paragraph 6.45, as recommended by the majority of the Members.​</w:t>
      </w:r>
    </w:p>
    <w:p w14:paraId="4FCD8528" w14:textId="2C5667FC" w:rsidR="00587B4A" w:rsidRPr="007245B0" w:rsidRDefault="00587B4A" w:rsidP="00BE3CC5">
      <w:pPr>
        <w:pStyle w:val="Heading3"/>
      </w:pPr>
      <w:r w:rsidRPr="007245B0">
        <w:t>With reference to Clause (e) of paragraph 76 of our interim Report, we recommend that the payments made to the States on the basis of recommendations in clauses (a) to (d) of that paragraph be adjusted against the respective amounts payable to them in accordance with the recommendations made in this Report.​</w:t>
      </w:r>
    </w:p>
    <w:p w14:paraId="1A7A3CB4" w14:textId="3BE2E506" w:rsidR="00587B4A" w:rsidRPr="007245B0" w:rsidRDefault="00587B4A" w:rsidP="00BE3CC5">
      <w:pPr>
        <w:pStyle w:val="Heading3"/>
      </w:pPr>
      <w:r w:rsidRPr="007245B0">
        <w:t>The position regarding the estimated amounts of transfer of funds to the States by way of their share of taxes and duties and grants under Article 275(1) in the five years 1969-70 to 1973-74 in accordance with the recommendations made in our interim Report and in this Report, as compared with such transfers envisaged by the Fourth Finance Commission for the period 1966-67 to 1970-71, is shown in Appendix VI.​</w:t>
      </w:r>
    </w:p>
    <w:p w14:paraId="2673A095" w14:textId="77777777" w:rsidR="00587B4A" w:rsidRPr="00BE3CC5" w:rsidRDefault="00587B4A" w:rsidP="00587B4A">
      <w:pPr>
        <w:jc w:val="right"/>
        <w:rPr>
          <w:rFonts w:ascii="Times New Roman" w:hAnsi="Times New Roman" w:cs="Times New Roman"/>
          <w:sz w:val="28"/>
          <w:szCs w:val="22"/>
        </w:rPr>
      </w:pPr>
      <w:r w:rsidRPr="00BE3CC5">
        <w:rPr>
          <w:rFonts w:ascii="Times New Roman" w:hAnsi="Times New Roman" w:cs="Times New Roman"/>
          <w:sz w:val="28"/>
          <w:szCs w:val="22"/>
        </w:rPr>
        <w:t>MAHAVIR TYAGI,</w:t>
      </w:r>
      <w:r w:rsidRPr="00BE3CC5">
        <w:rPr>
          <w:rFonts w:ascii="Times New Roman" w:hAnsi="Times New Roman" w:cs="Times New Roman"/>
          <w:sz w:val="28"/>
          <w:szCs w:val="22"/>
        </w:rPr>
        <w:br/>
      </w:r>
      <w:r w:rsidRPr="00E418BA">
        <w:rPr>
          <w:rFonts w:ascii="Times New Roman" w:hAnsi="Times New Roman" w:cs="Times New Roman"/>
          <w:i/>
          <w:iCs/>
          <w:sz w:val="28"/>
          <w:szCs w:val="22"/>
        </w:rPr>
        <w:t>Chairman</w:t>
      </w:r>
      <w:r w:rsidRPr="00BE3CC5">
        <w:rPr>
          <w:rFonts w:ascii="Times New Roman" w:hAnsi="Times New Roman" w:cs="Times New Roman"/>
          <w:sz w:val="28"/>
          <w:szCs w:val="22"/>
        </w:rPr>
        <w:br/>
        <w:t>M. SESHACHELAPATI,</w:t>
      </w:r>
      <w:r w:rsidRPr="00BE3CC5">
        <w:rPr>
          <w:rFonts w:ascii="Times New Roman" w:hAnsi="Times New Roman" w:cs="Times New Roman"/>
          <w:sz w:val="28"/>
          <w:szCs w:val="22"/>
        </w:rPr>
        <w:br/>
      </w:r>
      <w:r w:rsidRPr="00E418BA">
        <w:rPr>
          <w:rFonts w:ascii="Times New Roman" w:hAnsi="Times New Roman" w:cs="Times New Roman"/>
          <w:i/>
          <w:iCs/>
          <w:sz w:val="28"/>
          <w:szCs w:val="22"/>
        </w:rPr>
        <w:t>Member</w:t>
      </w:r>
      <w:r w:rsidRPr="00BE3CC5">
        <w:rPr>
          <w:rFonts w:ascii="Times New Roman" w:hAnsi="Times New Roman" w:cs="Times New Roman"/>
          <w:sz w:val="28"/>
          <w:szCs w:val="22"/>
        </w:rPr>
        <w:br/>
        <w:t>D. T. LAKDAWALA,</w:t>
      </w:r>
      <w:r w:rsidRPr="00BE3CC5">
        <w:rPr>
          <w:rFonts w:ascii="Times New Roman" w:hAnsi="Times New Roman" w:cs="Times New Roman"/>
          <w:sz w:val="28"/>
          <w:szCs w:val="22"/>
        </w:rPr>
        <w:br/>
      </w:r>
      <w:r w:rsidRPr="00E418BA">
        <w:rPr>
          <w:rFonts w:ascii="Times New Roman" w:hAnsi="Times New Roman" w:cs="Times New Roman"/>
          <w:i/>
          <w:iCs/>
          <w:sz w:val="28"/>
          <w:szCs w:val="22"/>
        </w:rPr>
        <w:t>Member</w:t>
      </w:r>
      <w:r w:rsidRPr="00BE3CC5">
        <w:rPr>
          <w:rFonts w:ascii="Times New Roman" w:hAnsi="Times New Roman" w:cs="Times New Roman"/>
          <w:sz w:val="28"/>
          <w:szCs w:val="22"/>
        </w:rPr>
        <w:br/>
        <w:t>G. SWAMINATHAN,</w:t>
      </w:r>
      <w:r w:rsidRPr="00BE3CC5">
        <w:rPr>
          <w:rFonts w:ascii="Times New Roman" w:hAnsi="Times New Roman" w:cs="Times New Roman"/>
          <w:sz w:val="28"/>
          <w:szCs w:val="22"/>
        </w:rPr>
        <w:br/>
      </w:r>
      <w:r w:rsidRPr="00E418BA">
        <w:rPr>
          <w:rFonts w:ascii="Times New Roman" w:hAnsi="Times New Roman" w:cs="Times New Roman"/>
          <w:i/>
          <w:iCs/>
          <w:sz w:val="28"/>
          <w:szCs w:val="22"/>
        </w:rPr>
        <w:t>Member</w:t>
      </w:r>
      <w:r w:rsidRPr="00BE3CC5">
        <w:rPr>
          <w:rFonts w:ascii="Times New Roman" w:hAnsi="Times New Roman" w:cs="Times New Roman"/>
          <w:sz w:val="28"/>
          <w:szCs w:val="22"/>
        </w:rPr>
        <w:br/>
        <w:t>V. L. GIDWANI,</w:t>
      </w:r>
      <w:r w:rsidRPr="00BE3CC5">
        <w:rPr>
          <w:rFonts w:ascii="Times New Roman" w:hAnsi="Times New Roman" w:cs="Times New Roman"/>
          <w:sz w:val="28"/>
          <w:szCs w:val="22"/>
        </w:rPr>
        <w:br/>
      </w:r>
      <w:r w:rsidRPr="00E418BA">
        <w:rPr>
          <w:rFonts w:ascii="Times New Roman" w:hAnsi="Times New Roman" w:cs="Times New Roman"/>
          <w:i/>
          <w:iCs/>
          <w:sz w:val="28"/>
          <w:szCs w:val="22"/>
        </w:rPr>
        <w:t>Member-Secretary.</w:t>
      </w:r>
      <w:r w:rsidRPr="00E418BA">
        <w:rPr>
          <w:rFonts w:ascii="Times New Roman" w:hAnsi="Times New Roman" w:cs="Times New Roman"/>
          <w:i/>
          <w:iCs/>
          <w:sz w:val="28"/>
          <w:szCs w:val="22"/>
        </w:rPr>
        <w:br/>
      </w:r>
    </w:p>
    <w:p w14:paraId="7BD8B784" w14:textId="5FCDE38D" w:rsidR="00587B4A" w:rsidRPr="00BE3CC5" w:rsidRDefault="00587B4A" w:rsidP="00587B4A">
      <w:pPr>
        <w:rPr>
          <w:rFonts w:ascii="Times New Roman" w:hAnsi="Times New Roman" w:cs="Times New Roman"/>
          <w:sz w:val="28"/>
          <w:szCs w:val="22"/>
        </w:rPr>
      </w:pPr>
      <w:r w:rsidRPr="00BE3CC5">
        <w:rPr>
          <w:rFonts w:ascii="Times New Roman" w:hAnsi="Times New Roman" w:cs="Times New Roman"/>
          <w:sz w:val="28"/>
          <w:szCs w:val="22"/>
        </w:rPr>
        <w:t>NEW DELHI,</w:t>
      </w:r>
      <w:r w:rsidRPr="00BE3CC5">
        <w:rPr>
          <w:rFonts w:ascii="Times New Roman" w:hAnsi="Times New Roman" w:cs="Times New Roman"/>
          <w:sz w:val="28"/>
          <w:szCs w:val="22"/>
        </w:rPr>
        <w:br/>
      </w:r>
      <w:r w:rsidRPr="00E418BA">
        <w:rPr>
          <w:rFonts w:ascii="Times New Roman" w:hAnsi="Times New Roman" w:cs="Times New Roman"/>
          <w:i/>
          <w:iCs/>
          <w:sz w:val="28"/>
          <w:szCs w:val="22"/>
        </w:rPr>
        <w:t>July 31, 1969.</w:t>
      </w:r>
      <w:r w:rsidRPr="00E418BA">
        <w:rPr>
          <w:rFonts w:ascii="Times New Roman" w:hAnsi="Times New Roman" w:cs="Times New Roman"/>
          <w:i/>
          <w:iCs/>
          <w:sz w:val="28"/>
          <w:szCs w:val="22"/>
        </w:rPr>
        <w:br/>
        <w:t xml:space="preserve"> </w:t>
      </w:r>
      <w:r w:rsidRPr="00E418BA">
        <w:rPr>
          <w:rFonts w:ascii="Times New Roman" w:hAnsi="Times New Roman" w:cs="Times New Roman"/>
          <w:i/>
          <w:iCs/>
          <w:sz w:val="28"/>
          <w:szCs w:val="22"/>
        </w:rPr>
        <w:br w:type="page"/>
      </w:r>
    </w:p>
    <w:p w14:paraId="4405494D" w14:textId="77777777" w:rsidR="00587B4A" w:rsidRPr="007245B0" w:rsidRDefault="00587B4A" w:rsidP="00BE3CC5">
      <w:pPr>
        <w:pStyle w:val="Heading1"/>
        <w:numPr>
          <w:ilvl w:val="0"/>
          <w:numId w:val="0"/>
        </w:numPr>
      </w:pPr>
      <w:bookmarkStart w:id="19" w:name="_Toc220949674"/>
      <w:bookmarkStart w:id="20" w:name="_Toc221115297"/>
      <w:r w:rsidRPr="007245B0">
        <w:lastRenderedPageBreak/>
        <w:t>MINUTE BY SHRI G. SWAMINATHAN​</w:t>
      </w:r>
      <w:bookmarkEnd w:id="19"/>
      <w:bookmarkEnd w:id="20"/>
    </w:p>
    <w:p w14:paraId="19D9DCAD" w14:textId="77777777" w:rsidR="00587B4A" w:rsidRPr="00BE3CC5" w:rsidRDefault="00587B4A" w:rsidP="00BE3CC5">
      <w:pPr>
        <w:spacing w:line="300" w:lineRule="exact"/>
        <w:ind w:firstLine="273"/>
        <w:jc w:val="both"/>
        <w:rPr>
          <w:rFonts w:ascii="Times New Roman" w:hAnsi="Times New Roman" w:cs="Times New Roman"/>
          <w:sz w:val="28"/>
          <w:szCs w:val="22"/>
        </w:rPr>
      </w:pPr>
      <w:r w:rsidRPr="00BE3CC5">
        <w:rPr>
          <w:rFonts w:ascii="Times New Roman" w:hAnsi="Times New Roman" w:cs="Times New Roman"/>
          <w:sz w:val="28"/>
          <w:szCs w:val="22"/>
        </w:rPr>
        <w:t>I wish to add a few observations on certain matters arising from our recommendations relating to the devolution of taxes and grants to States during the five-year period beginning 1969-70.​</w:t>
      </w:r>
    </w:p>
    <w:p w14:paraId="1BFB128B" w14:textId="4E0B1A0C" w:rsidR="00587B4A" w:rsidRPr="00BE3CC5" w:rsidRDefault="00587B4A" w:rsidP="00BE3CC5">
      <w:pPr>
        <w:pStyle w:val="ListParagraph"/>
        <w:numPr>
          <w:ilvl w:val="0"/>
          <w:numId w:val="65"/>
        </w:numPr>
        <w:spacing w:line="300" w:lineRule="exact"/>
        <w:ind w:left="0" w:firstLine="131"/>
        <w:jc w:val="both"/>
        <w:rPr>
          <w:rFonts w:ascii="Times New Roman" w:hAnsi="Times New Roman" w:cs="Times New Roman"/>
        </w:rPr>
      </w:pPr>
      <w:r w:rsidRPr="00BE3CC5">
        <w:rPr>
          <w:rFonts w:ascii="Times New Roman" w:hAnsi="Times New Roman" w:cs="Times New Roman"/>
          <w:sz w:val="28"/>
          <w:szCs w:val="22"/>
        </w:rPr>
        <w:t>In Chapter 2 we have referred to the principles underlying the scheme of devolution and grants and have stated that distribution of Union transfers among the States has to be made after taking into account the resources of individual States so as to avoid large disparities. We have also drawn attention to the fact that the transfer of funds recommended by the Finance Commission can only partially fulfil the objective of equalisation, owing to the existence of some limiting factors. The Finance Commission has to proceed on the basis that the Plan will as far as possible ensure an equitable development in the field of social services but the expenditure on such services, to the extent to which they become committed after the completion of a Plan, are taken into account in the assessment of expenditure made by the Finance Commission. The table below indicates the estimates of the annual average of the total amounts likely to be transferred to the States during the five-year period from 1969-70 as a result of devolution and grants recommended by us as compared with the corresponding annual average of such payments made during the period 1966-67 to 1968-69.</w:t>
      </w:r>
    </w:p>
    <w:tbl>
      <w:tblPr>
        <w:tblW w:w="10560" w:type="dxa"/>
        <w:jc w:val="center"/>
        <w:tblLook w:val="04A0" w:firstRow="1" w:lastRow="0" w:firstColumn="1" w:lastColumn="0" w:noHBand="0" w:noVBand="1"/>
      </w:tblPr>
      <w:tblGrid>
        <w:gridCol w:w="1947"/>
        <w:gridCol w:w="2574"/>
        <w:gridCol w:w="2327"/>
        <w:gridCol w:w="1856"/>
        <w:gridCol w:w="1856"/>
      </w:tblGrid>
      <w:tr w:rsidR="0077799E" w:rsidRPr="00BE3CC5" w14:paraId="3A6AA741" w14:textId="77777777" w:rsidTr="00BE3CC5">
        <w:trPr>
          <w:trHeight w:val="982"/>
          <w:jc w:val="center"/>
        </w:trPr>
        <w:tc>
          <w:tcPr>
            <w:tcW w:w="1947" w:type="dxa"/>
            <w:tcBorders>
              <w:top w:val="single" w:sz="4" w:space="0" w:color="auto"/>
              <w:left w:val="single" w:sz="4" w:space="0" w:color="auto"/>
              <w:bottom w:val="single" w:sz="4" w:space="0" w:color="auto"/>
              <w:right w:val="single" w:sz="4" w:space="0" w:color="auto"/>
            </w:tcBorders>
            <w:hideMark/>
          </w:tcPr>
          <w:p w14:paraId="090B34C7" w14:textId="77777777" w:rsidR="0077799E" w:rsidRPr="00BE3CC5" w:rsidRDefault="0077799E" w:rsidP="0077799E">
            <w:pPr>
              <w:pStyle w:val="NoSpacing"/>
              <w:rPr>
                <w:rFonts w:ascii="Times New Roman" w:hAnsi="Times New Roman" w:cs="Times New Roman"/>
                <w:b/>
                <w:bCs/>
                <w:szCs w:val="24"/>
                <w:lang w:eastAsia="en-IN"/>
              </w:rPr>
            </w:pPr>
            <w:r w:rsidRPr="00BE3CC5">
              <w:rPr>
                <w:rFonts w:ascii="Times New Roman" w:hAnsi="Times New Roman" w:cs="Times New Roman"/>
                <w:b/>
                <w:bCs/>
                <w:szCs w:val="24"/>
                <w:lang w:eastAsia="en-IN"/>
              </w:rPr>
              <w:t>States</w:t>
            </w:r>
          </w:p>
        </w:tc>
        <w:tc>
          <w:tcPr>
            <w:tcW w:w="2574" w:type="dxa"/>
            <w:tcBorders>
              <w:top w:val="single" w:sz="4" w:space="0" w:color="auto"/>
              <w:left w:val="nil"/>
              <w:bottom w:val="single" w:sz="4" w:space="0" w:color="auto"/>
              <w:right w:val="single" w:sz="4" w:space="0" w:color="auto"/>
            </w:tcBorders>
            <w:hideMark/>
          </w:tcPr>
          <w:p w14:paraId="0DF471DD" w14:textId="77777777" w:rsidR="0077799E" w:rsidRPr="00BE3CC5" w:rsidRDefault="0077799E" w:rsidP="0077799E">
            <w:pPr>
              <w:pStyle w:val="NoSpacing"/>
              <w:rPr>
                <w:rFonts w:ascii="Times New Roman" w:hAnsi="Times New Roman" w:cs="Times New Roman"/>
                <w:b/>
                <w:bCs/>
                <w:szCs w:val="24"/>
                <w:lang w:eastAsia="en-IN"/>
              </w:rPr>
            </w:pPr>
            <w:r w:rsidRPr="00BE3CC5">
              <w:rPr>
                <w:rFonts w:ascii="Times New Roman" w:hAnsi="Times New Roman" w:cs="Times New Roman"/>
                <w:b/>
                <w:bCs/>
                <w:szCs w:val="24"/>
                <w:lang w:eastAsia="en-IN"/>
              </w:rPr>
              <w:t>Annual average of payments of devolutions and grants during the period 1966-67 to 1968-69 (Rs. crores)</w:t>
            </w:r>
          </w:p>
        </w:tc>
        <w:tc>
          <w:tcPr>
            <w:tcW w:w="2327" w:type="dxa"/>
            <w:tcBorders>
              <w:top w:val="single" w:sz="4" w:space="0" w:color="auto"/>
              <w:left w:val="nil"/>
              <w:bottom w:val="single" w:sz="4" w:space="0" w:color="auto"/>
              <w:right w:val="single" w:sz="4" w:space="0" w:color="auto"/>
            </w:tcBorders>
            <w:hideMark/>
          </w:tcPr>
          <w:p w14:paraId="75C0EE45" w14:textId="3CA28980" w:rsidR="0077799E" w:rsidRPr="00BE3CC5" w:rsidRDefault="0077799E" w:rsidP="0077799E">
            <w:pPr>
              <w:pStyle w:val="NoSpacing"/>
              <w:rPr>
                <w:rFonts w:ascii="Times New Roman" w:hAnsi="Times New Roman" w:cs="Times New Roman"/>
                <w:b/>
                <w:bCs/>
                <w:szCs w:val="24"/>
                <w:lang w:eastAsia="en-IN"/>
              </w:rPr>
            </w:pPr>
            <w:r w:rsidRPr="00BE3CC5">
              <w:rPr>
                <w:rFonts w:ascii="Times New Roman" w:hAnsi="Times New Roman" w:cs="Times New Roman"/>
                <w:b/>
                <w:bCs/>
                <w:szCs w:val="24"/>
                <w:lang w:eastAsia="en-IN"/>
              </w:rPr>
              <w:t>Estimated annual average of devolutions and grants</w:t>
            </w:r>
            <w:r w:rsidR="00BE3CC5" w:rsidRPr="00BE3CC5">
              <w:rPr>
                <w:rStyle w:val="FootnoteReference"/>
                <w:rFonts w:ascii="Times New Roman" w:hAnsi="Times New Roman" w:cs="Times New Roman"/>
                <w:b/>
                <w:bCs/>
                <w:szCs w:val="24"/>
                <w:lang w:eastAsia="en-IN"/>
              </w:rPr>
              <w:footnoteReference w:id="8"/>
            </w:r>
            <w:r w:rsidRPr="00BE3CC5">
              <w:rPr>
                <w:rFonts w:ascii="Times New Roman" w:hAnsi="Times New Roman" w:cs="Times New Roman"/>
                <w:b/>
                <w:bCs/>
                <w:szCs w:val="24"/>
                <w:lang w:eastAsia="en-IN"/>
              </w:rPr>
              <w:t xml:space="preserve"> during the five-year period from 1969-70 (Rs. crores)</w:t>
            </w:r>
          </w:p>
        </w:tc>
        <w:tc>
          <w:tcPr>
            <w:tcW w:w="1856" w:type="dxa"/>
            <w:tcBorders>
              <w:top w:val="single" w:sz="4" w:space="0" w:color="auto"/>
              <w:left w:val="nil"/>
              <w:bottom w:val="single" w:sz="4" w:space="0" w:color="auto"/>
              <w:right w:val="single" w:sz="4" w:space="0" w:color="auto"/>
            </w:tcBorders>
            <w:hideMark/>
          </w:tcPr>
          <w:p w14:paraId="0581B5BF" w14:textId="77777777" w:rsidR="0077799E" w:rsidRPr="00BE3CC5" w:rsidRDefault="0077799E" w:rsidP="0077799E">
            <w:pPr>
              <w:pStyle w:val="NoSpacing"/>
              <w:rPr>
                <w:rFonts w:ascii="Times New Roman" w:hAnsi="Times New Roman" w:cs="Times New Roman"/>
                <w:b/>
                <w:bCs/>
                <w:szCs w:val="24"/>
                <w:lang w:eastAsia="en-IN"/>
              </w:rPr>
            </w:pPr>
            <w:r w:rsidRPr="00BE3CC5">
              <w:rPr>
                <w:rFonts w:ascii="Times New Roman" w:hAnsi="Times New Roman" w:cs="Times New Roman"/>
                <w:b/>
                <w:bCs/>
                <w:szCs w:val="24"/>
                <w:lang w:eastAsia="en-IN"/>
              </w:rPr>
              <w:t>Per capita annual average (Rs.) for the 3-year period from 1966-67</w:t>
            </w:r>
          </w:p>
        </w:tc>
        <w:tc>
          <w:tcPr>
            <w:tcW w:w="1856" w:type="dxa"/>
            <w:tcBorders>
              <w:top w:val="single" w:sz="4" w:space="0" w:color="auto"/>
              <w:left w:val="nil"/>
              <w:bottom w:val="single" w:sz="4" w:space="0" w:color="auto"/>
              <w:right w:val="single" w:sz="4" w:space="0" w:color="auto"/>
            </w:tcBorders>
            <w:hideMark/>
          </w:tcPr>
          <w:p w14:paraId="5C260A6C" w14:textId="77777777" w:rsidR="0077799E" w:rsidRPr="00BE3CC5" w:rsidRDefault="0077799E" w:rsidP="0077799E">
            <w:pPr>
              <w:pStyle w:val="NoSpacing"/>
              <w:rPr>
                <w:rFonts w:ascii="Times New Roman" w:hAnsi="Times New Roman" w:cs="Times New Roman"/>
                <w:b/>
                <w:bCs/>
                <w:szCs w:val="24"/>
                <w:lang w:eastAsia="en-IN"/>
              </w:rPr>
            </w:pPr>
            <w:r w:rsidRPr="00BE3CC5">
              <w:rPr>
                <w:rFonts w:ascii="Times New Roman" w:hAnsi="Times New Roman" w:cs="Times New Roman"/>
                <w:b/>
                <w:bCs/>
                <w:szCs w:val="24"/>
                <w:lang w:eastAsia="en-IN"/>
              </w:rPr>
              <w:t>Per capita annual average (Rs.) for the 5-year period from 1969-70</w:t>
            </w:r>
          </w:p>
        </w:tc>
      </w:tr>
      <w:tr w:rsidR="0077799E" w:rsidRPr="00BE3CC5" w14:paraId="79404F1C" w14:textId="77777777" w:rsidTr="00BE3CC5">
        <w:trPr>
          <w:trHeight w:val="171"/>
          <w:jc w:val="center"/>
        </w:trPr>
        <w:tc>
          <w:tcPr>
            <w:tcW w:w="1947" w:type="dxa"/>
            <w:tcBorders>
              <w:top w:val="nil"/>
              <w:left w:val="single" w:sz="4" w:space="0" w:color="auto"/>
              <w:bottom w:val="single" w:sz="4" w:space="0" w:color="auto"/>
              <w:right w:val="single" w:sz="4" w:space="0" w:color="auto"/>
            </w:tcBorders>
            <w:vAlign w:val="center"/>
            <w:hideMark/>
          </w:tcPr>
          <w:p w14:paraId="289F302C" w14:textId="77777777" w:rsidR="0077799E" w:rsidRPr="00BE3CC5" w:rsidRDefault="0077799E" w:rsidP="0077799E">
            <w:pPr>
              <w:pStyle w:val="NoSpacing"/>
              <w:rPr>
                <w:rFonts w:ascii="Times New Roman" w:hAnsi="Times New Roman" w:cs="Times New Roman"/>
                <w:szCs w:val="24"/>
                <w:lang w:eastAsia="en-IN"/>
              </w:rPr>
            </w:pPr>
            <w:r w:rsidRPr="00BE3CC5">
              <w:rPr>
                <w:rFonts w:ascii="Times New Roman" w:hAnsi="Times New Roman" w:cs="Times New Roman"/>
                <w:szCs w:val="24"/>
                <w:lang w:eastAsia="en-IN"/>
              </w:rPr>
              <w:t>Andhra Pradesh</w:t>
            </w:r>
          </w:p>
        </w:tc>
        <w:tc>
          <w:tcPr>
            <w:tcW w:w="2574" w:type="dxa"/>
            <w:tcBorders>
              <w:top w:val="nil"/>
              <w:left w:val="nil"/>
              <w:bottom w:val="single" w:sz="4" w:space="0" w:color="auto"/>
              <w:right w:val="single" w:sz="4" w:space="0" w:color="auto"/>
            </w:tcBorders>
            <w:vAlign w:val="center"/>
            <w:hideMark/>
          </w:tcPr>
          <w:p w14:paraId="7E07CD5D" w14:textId="77777777" w:rsidR="0077799E" w:rsidRPr="00BE3CC5" w:rsidRDefault="0077799E" w:rsidP="00BE3CC5">
            <w:pPr>
              <w:pStyle w:val="NoSpacing"/>
              <w:jc w:val="center"/>
              <w:rPr>
                <w:rFonts w:ascii="Times New Roman" w:hAnsi="Times New Roman" w:cs="Times New Roman"/>
                <w:szCs w:val="24"/>
                <w:lang w:eastAsia="en-IN"/>
              </w:rPr>
            </w:pPr>
            <w:r w:rsidRPr="00BE3CC5">
              <w:rPr>
                <w:rFonts w:ascii="Times New Roman" w:hAnsi="Times New Roman" w:cs="Times New Roman"/>
                <w:szCs w:val="24"/>
                <w:lang w:eastAsia="en-IN"/>
              </w:rPr>
              <w:t>46.83</w:t>
            </w:r>
          </w:p>
        </w:tc>
        <w:tc>
          <w:tcPr>
            <w:tcW w:w="2327" w:type="dxa"/>
            <w:tcBorders>
              <w:top w:val="nil"/>
              <w:left w:val="nil"/>
              <w:bottom w:val="single" w:sz="4" w:space="0" w:color="auto"/>
              <w:right w:val="single" w:sz="4" w:space="0" w:color="auto"/>
            </w:tcBorders>
            <w:vAlign w:val="center"/>
            <w:hideMark/>
          </w:tcPr>
          <w:p w14:paraId="0C5E70A2" w14:textId="77777777" w:rsidR="0077799E" w:rsidRPr="00BE3CC5" w:rsidRDefault="0077799E" w:rsidP="00BE3CC5">
            <w:pPr>
              <w:pStyle w:val="NoSpacing"/>
              <w:jc w:val="center"/>
              <w:rPr>
                <w:rFonts w:ascii="Times New Roman" w:hAnsi="Times New Roman" w:cs="Times New Roman"/>
                <w:szCs w:val="24"/>
                <w:lang w:eastAsia="en-IN"/>
              </w:rPr>
            </w:pPr>
            <w:r w:rsidRPr="00BE3CC5">
              <w:rPr>
                <w:rFonts w:ascii="Times New Roman" w:hAnsi="Times New Roman" w:cs="Times New Roman"/>
                <w:szCs w:val="24"/>
                <w:lang w:eastAsia="en-IN"/>
              </w:rPr>
              <w:t>67.62</w:t>
            </w:r>
          </w:p>
        </w:tc>
        <w:tc>
          <w:tcPr>
            <w:tcW w:w="1856" w:type="dxa"/>
            <w:tcBorders>
              <w:top w:val="nil"/>
              <w:left w:val="nil"/>
              <w:bottom w:val="single" w:sz="4" w:space="0" w:color="auto"/>
              <w:right w:val="single" w:sz="4" w:space="0" w:color="auto"/>
            </w:tcBorders>
            <w:vAlign w:val="center"/>
            <w:hideMark/>
          </w:tcPr>
          <w:p w14:paraId="1E13B678" w14:textId="77777777" w:rsidR="0077799E" w:rsidRPr="00BE3CC5" w:rsidRDefault="0077799E" w:rsidP="00BE3CC5">
            <w:pPr>
              <w:pStyle w:val="NoSpacing"/>
              <w:jc w:val="center"/>
              <w:rPr>
                <w:rFonts w:ascii="Times New Roman" w:hAnsi="Times New Roman" w:cs="Times New Roman"/>
                <w:szCs w:val="24"/>
                <w:lang w:eastAsia="en-IN"/>
              </w:rPr>
            </w:pPr>
            <w:r w:rsidRPr="00BE3CC5">
              <w:rPr>
                <w:rFonts w:ascii="Times New Roman" w:hAnsi="Times New Roman" w:cs="Times New Roman"/>
                <w:szCs w:val="24"/>
                <w:lang w:eastAsia="en-IN"/>
              </w:rPr>
              <w:t>13.1</w:t>
            </w:r>
          </w:p>
        </w:tc>
        <w:tc>
          <w:tcPr>
            <w:tcW w:w="1856" w:type="dxa"/>
            <w:tcBorders>
              <w:top w:val="nil"/>
              <w:left w:val="nil"/>
              <w:bottom w:val="single" w:sz="4" w:space="0" w:color="auto"/>
              <w:right w:val="single" w:sz="4" w:space="0" w:color="auto"/>
            </w:tcBorders>
            <w:vAlign w:val="center"/>
            <w:hideMark/>
          </w:tcPr>
          <w:p w14:paraId="754BD53C" w14:textId="77777777" w:rsidR="0077799E" w:rsidRPr="00BE3CC5" w:rsidRDefault="0077799E" w:rsidP="00BE3CC5">
            <w:pPr>
              <w:pStyle w:val="NoSpacing"/>
              <w:jc w:val="center"/>
              <w:rPr>
                <w:rFonts w:ascii="Times New Roman" w:hAnsi="Times New Roman" w:cs="Times New Roman"/>
                <w:szCs w:val="24"/>
                <w:lang w:eastAsia="en-IN"/>
              </w:rPr>
            </w:pPr>
            <w:r w:rsidRPr="00BE3CC5">
              <w:rPr>
                <w:rFonts w:ascii="Times New Roman" w:hAnsi="Times New Roman" w:cs="Times New Roman"/>
                <w:szCs w:val="24"/>
                <w:lang w:eastAsia="en-IN"/>
              </w:rPr>
              <w:t>18.8</w:t>
            </w:r>
          </w:p>
        </w:tc>
      </w:tr>
      <w:tr w:rsidR="0077799E" w:rsidRPr="00BE3CC5" w14:paraId="0D2728A6" w14:textId="77777777" w:rsidTr="00BE3CC5">
        <w:trPr>
          <w:trHeight w:val="171"/>
          <w:jc w:val="center"/>
        </w:trPr>
        <w:tc>
          <w:tcPr>
            <w:tcW w:w="1947" w:type="dxa"/>
            <w:tcBorders>
              <w:top w:val="nil"/>
              <w:left w:val="single" w:sz="4" w:space="0" w:color="auto"/>
              <w:bottom w:val="single" w:sz="4" w:space="0" w:color="auto"/>
              <w:right w:val="single" w:sz="4" w:space="0" w:color="auto"/>
            </w:tcBorders>
            <w:vAlign w:val="center"/>
            <w:hideMark/>
          </w:tcPr>
          <w:p w14:paraId="3327F02A" w14:textId="77777777" w:rsidR="0077799E" w:rsidRPr="00BE3CC5" w:rsidRDefault="0077799E" w:rsidP="0077799E">
            <w:pPr>
              <w:pStyle w:val="NoSpacing"/>
              <w:rPr>
                <w:rFonts w:ascii="Times New Roman" w:hAnsi="Times New Roman" w:cs="Times New Roman"/>
                <w:szCs w:val="24"/>
                <w:lang w:eastAsia="en-IN"/>
              </w:rPr>
            </w:pPr>
            <w:r w:rsidRPr="00BE3CC5">
              <w:rPr>
                <w:rFonts w:ascii="Times New Roman" w:hAnsi="Times New Roman" w:cs="Times New Roman"/>
                <w:szCs w:val="24"/>
                <w:lang w:eastAsia="en-IN"/>
              </w:rPr>
              <w:t>Bihar</w:t>
            </w:r>
          </w:p>
        </w:tc>
        <w:tc>
          <w:tcPr>
            <w:tcW w:w="2574" w:type="dxa"/>
            <w:tcBorders>
              <w:top w:val="nil"/>
              <w:left w:val="nil"/>
              <w:bottom w:val="single" w:sz="4" w:space="0" w:color="auto"/>
              <w:right w:val="single" w:sz="4" w:space="0" w:color="auto"/>
            </w:tcBorders>
            <w:vAlign w:val="center"/>
            <w:hideMark/>
          </w:tcPr>
          <w:p w14:paraId="1E355300" w14:textId="77777777" w:rsidR="0077799E" w:rsidRPr="00BE3CC5" w:rsidRDefault="0077799E" w:rsidP="00BE3CC5">
            <w:pPr>
              <w:pStyle w:val="NoSpacing"/>
              <w:jc w:val="center"/>
              <w:rPr>
                <w:rFonts w:ascii="Times New Roman" w:hAnsi="Times New Roman" w:cs="Times New Roman"/>
                <w:szCs w:val="24"/>
                <w:lang w:eastAsia="en-IN"/>
              </w:rPr>
            </w:pPr>
            <w:r w:rsidRPr="00BE3CC5">
              <w:rPr>
                <w:rFonts w:ascii="Times New Roman" w:hAnsi="Times New Roman" w:cs="Times New Roman"/>
                <w:szCs w:val="24"/>
                <w:lang w:eastAsia="en-IN"/>
              </w:rPr>
              <w:t>40.2</w:t>
            </w:r>
          </w:p>
        </w:tc>
        <w:tc>
          <w:tcPr>
            <w:tcW w:w="2327" w:type="dxa"/>
            <w:tcBorders>
              <w:top w:val="nil"/>
              <w:left w:val="nil"/>
              <w:bottom w:val="single" w:sz="4" w:space="0" w:color="auto"/>
              <w:right w:val="single" w:sz="4" w:space="0" w:color="auto"/>
            </w:tcBorders>
            <w:vAlign w:val="center"/>
            <w:hideMark/>
          </w:tcPr>
          <w:p w14:paraId="7EBDF55F" w14:textId="77777777" w:rsidR="0077799E" w:rsidRPr="00BE3CC5" w:rsidRDefault="0077799E" w:rsidP="00BE3CC5">
            <w:pPr>
              <w:pStyle w:val="NoSpacing"/>
              <w:jc w:val="center"/>
              <w:rPr>
                <w:rFonts w:ascii="Times New Roman" w:hAnsi="Times New Roman" w:cs="Times New Roman"/>
                <w:szCs w:val="24"/>
                <w:lang w:eastAsia="en-IN"/>
              </w:rPr>
            </w:pPr>
            <w:r w:rsidRPr="00BE3CC5">
              <w:rPr>
                <w:rFonts w:ascii="Times New Roman" w:hAnsi="Times New Roman" w:cs="Times New Roman"/>
                <w:szCs w:val="24"/>
                <w:lang w:eastAsia="en-IN"/>
              </w:rPr>
              <w:t>81.48</w:t>
            </w:r>
          </w:p>
        </w:tc>
        <w:tc>
          <w:tcPr>
            <w:tcW w:w="1856" w:type="dxa"/>
            <w:tcBorders>
              <w:top w:val="nil"/>
              <w:left w:val="nil"/>
              <w:bottom w:val="single" w:sz="4" w:space="0" w:color="auto"/>
              <w:right w:val="single" w:sz="4" w:space="0" w:color="auto"/>
            </w:tcBorders>
            <w:vAlign w:val="center"/>
            <w:hideMark/>
          </w:tcPr>
          <w:p w14:paraId="587B3D90" w14:textId="77777777" w:rsidR="0077799E" w:rsidRPr="00BE3CC5" w:rsidRDefault="0077799E" w:rsidP="00BE3CC5">
            <w:pPr>
              <w:pStyle w:val="NoSpacing"/>
              <w:jc w:val="center"/>
              <w:rPr>
                <w:rFonts w:ascii="Times New Roman" w:hAnsi="Times New Roman" w:cs="Times New Roman"/>
                <w:szCs w:val="24"/>
                <w:lang w:eastAsia="en-IN"/>
              </w:rPr>
            </w:pPr>
            <w:r w:rsidRPr="00BE3CC5">
              <w:rPr>
                <w:rFonts w:ascii="Times New Roman" w:hAnsi="Times New Roman" w:cs="Times New Roman"/>
                <w:szCs w:val="24"/>
                <w:lang w:eastAsia="en-IN"/>
              </w:rPr>
              <w:t>8.7</w:t>
            </w:r>
          </w:p>
        </w:tc>
        <w:tc>
          <w:tcPr>
            <w:tcW w:w="1856" w:type="dxa"/>
            <w:tcBorders>
              <w:top w:val="nil"/>
              <w:left w:val="nil"/>
              <w:bottom w:val="single" w:sz="4" w:space="0" w:color="auto"/>
              <w:right w:val="single" w:sz="4" w:space="0" w:color="auto"/>
            </w:tcBorders>
            <w:vAlign w:val="center"/>
            <w:hideMark/>
          </w:tcPr>
          <w:p w14:paraId="0AF5A77D" w14:textId="77777777" w:rsidR="0077799E" w:rsidRPr="00BE3CC5" w:rsidRDefault="0077799E" w:rsidP="00BE3CC5">
            <w:pPr>
              <w:pStyle w:val="NoSpacing"/>
              <w:jc w:val="center"/>
              <w:rPr>
                <w:rFonts w:ascii="Times New Roman" w:hAnsi="Times New Roman" w:cs="Times New Roman"/>
                <w:szCs w:val="24"/>
                <w:lang w:eastAsia="en-IN"/>
              </w:rPr>
            </w:pPr>
            <w:r w:rsidRPr="00BE3CC5">
              <w:rPr>
                <w:rFonts w:ascii="Times New Roman" w:hAnsi="Times New Roman" w:cs="Times New Roman"/>
                <w:szCs w:val="24"/>
                <w:lang w:eastAsia="en-IN"/>
              </w:rPr>
              <w:t>17.5</w:t>
            </w:r>
          </w:p>
        </w:tc>
      </w:tr>
      <w:tr w:rsidR="0077799E" w:rsidRPr="00BE3CC5" w14:paraId="4793DDD7" w14:textId="77777777" w:rsidTr="00BE3CC5">
        <w:trPr>
          <w:trHeight w:val="171"/>
          <w:jc w:val="center"/>
        </w:trPr>
        <w:tc>
          <w:tcPr>
            <w:tcW w:w="1947" w:type="dxa"/>
            <w:tcBorders>
              <w:top w:val="nil"/>
              <w:left w:val="single" w:sz="4" w:space="0" w:color="auto"/>
              <w:bottom w:val="single" w:sz="4" w:space="0" w:color="auto"/>
              <w:right w:val="single" w:sz="4" w:space="0" w:color="auto"/>
            </w:tcBorders>
            <w:vAlign w:val="center"/>
            <w:hideMark/>
          </w:tcPr>
          <w:p w14:paraId="324F31A9" w14:textId="77777777" w:rsidR="0077799E" w:rsidRPr="00BE3CC5" w:rsidRDefault="0077799E" w:rsidP="0077799E">
            <w:pPr>
              <w:pStyle w:val="NoSpacing"/>
              <w:rPr>
                <w:rFonts w:ascii="Times New Roman" w:hAnsi="Times New Roman" w:cs="Times New Roman"/>
                <w:szCs w:val="24"/>
                <w:lang w:eastAsia="en-IN"/>
              </w:rPr>
            </w:pPr>
            <w:r w:rsidRPr="00BE3CC5">
              <w:rPr>
                <w:rFonts w:ascii="Times New Roman" w:hAnsi="Times New Roman" w:cs="Times New Roman"/>
                <w:szCs w:val="24"/>
                <w:lang w:eastAsia="en-IN"/>
              </w:rPr>
              <w:t>Gujarat</w:t>
            </w:r>
          </w:p>
        </w:tc>
        <w:tc>
          <w:tcPr>
            <w:tcW w:w="2574" w:type="dxa"/>
            <w:tcBorders>
              <w:top w:val="nil"/>
              <w:left w:val="nil"/>
              <w:bottom w:val="single" w:sz="4" w:space="0" w:color="auto"/>
              <w:right w:val="single" w:sz="4" w:space="0" w:color="auto"/>
            </w:tcBorders>
            <w:vAlign w:val="center"/>
            <w:hideMark/>
          </w:tcPr>
          <w:p w14:paraId="2330F391" w14:textId="77777777" w:rsidR="0077799E" w:rsidRPr="00BE3CC5" w:rsidRDefault="0077799E" w:rsidP="00BE3CC5">
            <w:pPr>
              <w:pStyle w:val="NoSpacing"/>
              <w:jc w:val="center"/>
              <w:rPr>
                <w:rFonts w:ascii="Times New Roman" w:hAnsi="Times New Roman" w:cs="Times New Roman"/>
                <w:szCs w:val="24"/>
                <w:lang w:eastAsia="en-IN"/>
              </w:rPr>
            </w:pPr>
            <w:r w:rsidRPr="00BE3CC5">
              <w:rPr>
                <w:rFonts w:ascii="Times New Roman" w:hAnsi="Times New Roman" w:cs="Times New Roman"/>
                <w:szCs w:val="24"/>
                <w:lang w:eastAsia="en-IN"/>
              </w:rPr>
              <w:t>24.59</w:t>
            </w:r>
          </w:p>
        </w:tc>
        <w:tc>
          <w:tcPr>
            <w:tcW w:w="2327" w:type="dxa"/>
            <w:tcBorders>
              <w:top w:val="nil"/>
              <w:left w:val="nil"/>
              <w:bottom w:val="single" w:sz="4" w:space="0" w:color="auto"/>
              <w:right w:val="single" w:sz="4" w:space="0" w:color="auto"/>
            </w:tcBorders>
            <w:vAlign w:val="center"/>
            <w:hideMark/>
          </w:tcPr>
          <w:p w14:paraId="27FCCCFB" w14:textId="77777777" w:rsidR="0077799E" w:rsidRPr="00BE3CC5" w:rsidRDefault="0077799E" w:rsidP="00BE3CC5">
            <w:pPr>
              <w:pStyle w:val="NoSpacing"/>
              <w:jc w:val="center"/>
              <w:rPr>
                <w:rFonts w:ascii="Times New Roman" w:hAnsi="Times New Roman" w:cs="Times New Roman"/>
                <w:szCs w:val="24"/>
                <w:lang w:eastAsia="en-IN"/>
              </w:rPr>
            </w:pPr>
            <w:r w:rsidRPr="00BE3CC5">
              <w:rPr>
                <w:rFonts w:ascii="Times New Roman" w:hAnsi="Times New Roman" w:cs="Times New Roman"/>
                <w:szCs w:val="24"/>
                <w:lang w:eastAsia="en-IN"/>
              </w:rPr>
              <w:t>36.55</w:t>
            </w:r>
          </w:p>
        </w:tc>
        <w:tc>
          <w:tcPr>
            <w:tcW w:w="1856" w:type="dxa"/>
            <w:tcBorders>
              <w:top w:val="nil"/>
              <w:left w:val="nil"/>
              <w:bottom w:val="single" w:sz="4" w:space="0" w:color="auto"/>
              <w:right w:val="single" w:sz="4" w:space="0" w:color="auto"/>
            </w:tcBorders>
            <w:vAlign w:val="center"/>
            <w:hideMark/>
          </w:tcPr>
          <w:p w14:paraId="285081B7" w14:textId="77777777" w:rsidR="0077799E" w:rsidRPr="00BE3CC5" w:rsidRDefault="0077799E" w:rsidP="00BE3CC5">
            <w:pPr>
              <w:pStyle w:val="NoSpacing"/>
              <w:jc w:val="center"/>
              <w:rPr>
                <w:rFonts w:ascii="Times New Roman" w:hAnsi="Times New Roman" w:cs="Times New Roman"/>
                <w:szCs w:val="24"/>
                <w:lang w:eastAsia="en-IN"/>
              </w:rPr>
            </w:pPr>
            <w:r w:rsidRPr="00BE3CC5">
              <w:rPr>
                <w:rFonts w:ascii="Times New Roman" w:hAnsi="Times New Roman" w:cs="Times New Roman"/>
                <w:szCs w:val="24"/>
                <w:lang w:eastAsia="en-IN"/>
              </w:rPr>
              <w:t>11.9</w:t>
            </w:r>
          </w:p>
        </w:tc>
        <w:tc>
          <w:tcPr>
            <w:tcW w:w="1856" w:type="dxa"/>
            <w:tcBorders>
              <w:top w:val="nil"/>
              <w:left w:val="nil"/>
              <w:bottom w:val="single" w:sz="4" w:space="0" w:color="auto"/>
              <w:right w:val="single" w:sz="4" w:space="0" w:color="auto"/>
            </w:tcBorders>
            <w:vAlign w:val="center"/>
            <w:hideMark/>
          </w:tcPr>
          <w:p w14:paraId="338D1CBA" w14:textId="77777777" w:rsidR="0077799E" w:rsidRPr="00BE3CC5" w:rsidRDefault="0077799E" w:rsidP="00BE3CC5">
            <w:pPr>
              <w:pStyle w:val="NoSpacing"/>
              <w:jc w:val="center"/>
              <w:rPr>
                <w:rFonts w:ascii="Times New Roman" w:hAnsi="Times New Roman" w:cs="Times New Roman"/>
                <w:szCs w:val="24"/>
                <w:lang w:eastAsia="en-IN"/>
              </w:rPr>
            </w:pPr>
            <w:r w:rsidRPr="00BE3CC5">
              <w:rPr>
                <w:rFonts w:ascii="Times New Roman" w:hAnsi="Times New Roman" w:cs="Times New Roman"/>
                <w:szCs w:val="24"/>
                <w:lang w:eastAsia="en-IN"/>
              </w:rPr>
              <w:t>17.7</w:t>
            </w:r>
          </w:p>
        </w:tc>
      </w:tr>
      <w:tr w:rsidR="0077799E" w:rsidRPr="00BE3CC5" w14:paraId="0E5039AA" w14:textId="77777777" w:rsidTr="00BE3CC5">
        <w:trPr>
          <w:trHeight w:val="171"/>
          <w:jc w:val="center"/>
        </w:trPr>
        <w:tc>
          <w:tcPr>
            <w:tcW w:w="1947" w:type="dxa"/>
            <w:tcBorders>
              <w:top w:val="nil"/>
              <w:left w:val="single" w:sz="4" w:space="0" w:color="auto"/>
              <w:bottom w:val="single" w:sz="4" w:space="0" w:color="auto"/>
              <w:right w:val="single" w:sz="4" w:space="0" w:color="auto"/>
            </w:tcBorders>
            <w:vAlign w:val="center"/>
            <w:hideMark/>
          </w:tcPr>
          <w:p w14:paraId="0EB26BE2" w14:textId="77777777" w:rsidR="0077799E" w:rsidRPr="00BE3CC5" w:rsidRDefault="0077799E" w:rsidP="0077799E">
            <w:pPr>
              <w:pStyle w:val="NoSpacing"/>
              <w:rPr>
                <w:rFonts w:ascii="Times New Roman" w:hAnsi="Times New Roman" w:cs="Times New Roman"/>
                <w:szCs w:val="24"/>
                <w:lang w:eastAsia="en-IN"/>
              </w:rPr>
            </w:pPr>
            <w:r w:rsidRPr="00BE3CC5">
              <w:rPr>
                <w:rFonts w:ascii="Times New Roman" w:hAnsi="Times New Roman" w:cs="Times New Roman"/>
                <w:szCs w:val="24"/>
                <w:lang w:eastAsia="en-IN"/>
              </w:rPr>
              <w:t>Haryana</w:t>
            </w:r>
          </w:p>
        </w:tc>
        <w:tc>
          <w:tcPr>
            <w:tcW w:w="2574" w:type="dxa"/>
            <w:tcBorders>
              <w:top w:val="nil"/>
              <w:left w:val="nil"/>
              <w:bottom w:val="single" w:sz="4" w:space="0" w:color="auto"/>
              <w:right w:val="single" w:sz="4" w:space="0" w:color="auto"/>
            </w:tcBorders>
            <w:vAlign w:val="center"/>
            <w:hideMark/>
          </w:tcPr>
          <w:p w14:paraId="6DE16A5B" w14:textId="77777777" w:rsidR="0077799E" w:rsidRPr="00BE3CC5" w:rsidRDefault="0077799E" w:rsidP="00BE3CC5">
            <w:pPr>
              <w:pStyle w:val="NoSpacing"/>
              <w:jc w:val="center"/>
              <w:rPr>
                <w:rFonts w:ascii="Times New Roman" w:hAnsi="Times New Roman" w:cs="Times New Roman"/>
                <w:szCs w:val="24"/>
                <w:lang w:eastAsia="en-IN"/>
              </w:rPr>
            </w:pPr>
            <w:r w:rsidRPr="00BE3CC5">
              <w:rPr>
                <w:rFonts w:ascii="Times New Roman" w:hAnsi="Times New Roman" w:cs="Times New Roman"/>
                <w:szCs w:val="24"/>
                <w:lang w:eastAsia="en-IN"/>
              </w:rPr>
              <w:t>6.92</w:t>
            </w:r>
          </w:p>
        </w:tc>
        <w:tc>
          <w:tcPr>
            <w:tcW w:w="2327" w:type="dxa"/>
            <w:tcBorders>
              <w:top w:val="nil"/>
              <w:left w:val="nil"/>
              <w:bottom w:val="single" w:sz="4" w:space="0" w:color="auto"/>
              <w:right w:val="single" w:sz="4" w:space="0" w:color="auto"/>
            </w:tcBorders>
            <w:vAlign w:val="center"/>
            <w:hideMark/>
          </w:tcPr>
          <w:p w14:paraId="7BBA1A2B" w14:textId="77777777" w:rsidR="0077799E" w:rsidRPr="00BE3CC5" w:rsidRDefault="0077799E" w:rsidP="00BE3CC5">
            <w:pPr>
              <w:pStyle w:val="NoSpacing"/>
              <w:jc w:val="center"/>
              <w:rPr>
                <w:rFonts w:ascii="Times New Roman" w:hAnsi="Times New Roman" w:cs="Times New Roman"/>
                <w:szCs w:val="24"/>
                <w:lang w:eastAsia="en-IN"/>
              </w:rPr>
            </w:pPr>
            <w:r w:rsidRPr="00BE3CC5">
              <w:rPr>
                <w:rFonts w:ascii="Times New Roman" w:hAnsi="Times New Roman" w:cs="Times New Roman"/>
                <w:szCs w:val="24"/>
                <w:lang w:eastAsia="en-IN"/>
              </w:rPr>
              <w:t>11.92</w:t>
            </w:r>
          </w:p>
        </w:tc>
        <w:tc>
          <w:tcPr>
            <w:tcW w:w="1856" w:type="dxa"/>
            <w:tcBorders>
              <w:top w:val="nil"/>
              <w:left w:val="nil"/>
              <w:bottom w:val="single" w:sz="4" w:space="0" w:color="auto"/>
              <w:right w:val="single" w:sz="4" w:space="0" w:color="auto"/>
            </w:tcBorders>
            <w:vAlign w:val="center"/>
            <w:hideMark/>
          </w:tcPr>
          <w:p w14:paraId="2D8AE03A" w14:textId="77777777" w:rsidR="0077799E" w:rsidRPr="00BE3CC5" w:rsidRDefault="0077799E" w:rsidP="00BE3CC5">
            <w:pPr>
              <w:pStyle w:val="NoSpacing"/>
              <w:jc w:val="center"/>
              <w:rPr>
                <w:rFonts w:ascii="Times New Roman" w:hAnsi="Times New Roman" w:cs="Times New Roman"/>
                <w:szCs w:val="24"/>
                <w:lang w:eastAsia="en-IN"/>
              </w:rPr>
            </w:pPr>
            <w:r w:rsidRPr="00BE3CC5">
              <w:rPr>
                <w:rFonts w:ascii="Times New Roman" w:hAnsi="Times New Roman" w:cs="Times New Roman"/>
                <w:szCs w:val="24"/>
                <w:lang w:eastAsia="en-IN"/>
              </w:rPr>
              <w:t>9.1</w:t>
            </w:r>
          </w:p>
        </w:tc>
        <w:tc>
          <w:tcPr>
            <w:tcW w:w="1856" w:type="dxa"/>
            <w:tcBorders>
              <w:top w:val="nil"/>
              <w:left w:val="nil"/>
              <w:bottom w:val="single" w:sz="4" w:space="0" w:color="auto"/>
              <w:right w:val="single" w:sz="4" w:space="0" w:color="auto"/>
            </w:tcBorders>
            <w:vAlign w:val="center"/>
            <w:hideMark/>
          </w:tcPr>
          <w:p w14:paraId="43C8ED9B" w14:textId="77777777" w:rsidR="0077799E" w:rsidRPr="00BE3CC5" w:rsidRDefault="0077799E" w:rsidP="00BE3CC5">
            <w:pPr>
              <w:pStyle w:val="NoSpacing"/>
              <w:jc w:val="center"/>
              <w:rPr>
                <w:rFonts w:ascii="Times New Roman" w:hAnsi="Times New Roman" w:cs="Times New Roman"/>
                <w:szCs w:val="24"/>
                <w:lang w:eastAsia="en-IN"/>
              </w:rPr>
            </w:pPr>
            <w:r w:rsidRPr="00BE3CC5">
              <w:rPr>
                <w:rFonts w:ascii="Times New Roman" w:hAnsi="Times New Roman" w:cs="Times New Roman"/>
                <w:szCs w:val="24"/>
                <w:lang w:eastAsia="en-IN"/>
              </w:rPr>
              <w:t>15.6</w:t>
            </w:r>
          </w:p>
        </w:tc>
      </w:tr>
      <w:tr w:rsidR="0077799E" w:rsidRPr="00BE3CC5" w14:paraId="3D9DAAC0" w14:textId="77777777" w:rsidTr="00BE3CC5">
        <w:trPr>
          <w:trHeight w:val="171"/>
          <w:jc w:val="center"/>
        </w:trPr>
        <w:tc>
          <w:tcPr>
            <w:tcW w:w="1947" w:type="dxa"/>
            <w:tcBorders>
              <w:top w:val="nil"/>
              <w:left w:val="single" w:sz="4" w:space="0" w:color="auto"/>
              <w:bottom w:val="single" w:sz="4" w:space="0" w:color="auto"/>
              <w:right w:val="single" w:sz="4" w:space="0" w:color="auto"/>
            </w:tcBorders>
            <w:vAlign w:val="center"/>
            <w:hideMark/>
          </w:tcPr>
          <w:p w14:paraId="36C0E6E1" w14:textId="77777777" w:rsidR="0077799E" w:rsidRPr="00BE3CC5" w:rsidRDefault="0077799E" w:rsidP="0077799E">
            <w:pPr>
              <w:pStyle w:val="NoSpacing"/>
              <w:rPr>
                <w:rFonts w:ascii="Times New Roman" w:hAnsi="Times New Roman" w:cs="Times New Roman"/>
                <w:szCs w:val="24"/>
                <w:lang w:eastAsia="en-IN"/>
              </w:rPr>
            </w:pPr>
            <w:r w:rsidRPr="00BE3CC5">
              <w:rPr>
                <w:rFonts w:ascii="Times New Roman" w:hAnsi="Times New Roman" w:cs="Times New Roman"/>
                <w:szCs w:val="24"/>
                <w:lang w:eastAsia="en-IN"/>
              </w:rPr>
              <w:t>Kerala</w:t>
            </w:r>
          </w:p>
        </w:tc>
        <w:tc>
          <w:tcPr>
            <w:tcW w:w="2574" w:type="dxa"/>
            <w:tcBorders>
              <w:top w:val="nil"/>
              <w:left w:val="nil"/>
              <w:bottom w:val="single" w:sz="4" w:space="0" w:color="auto"/>
              <w:right w:val="single" w:sz="4" w:space="0" w:color="auto"/>
            </w:tcBorders>
            <w:vAlign w:val="center"/>
            <w:hideMark/>
          </w:tcPr>
          <w:p w14:paraId="21662174" w14:textId="77777777" w:rsidR="0077799E" w:rsidRPr="00BE3CC5" w:rsidRDefault="0077799E" w:rsidP="00BE3CC5">
            <w:pPr>
              <w:pStyle w:val="NoSpacing"/>
              <w:jc w:val="center"/>
              <w:rPr>
                <w:rFonts w:ascii="Times New Roman" w:hAnsi="Times New Roman" w:cs="Times New Roman"/>
                <w:szCs w:val="24"/>
                <w:lang w:eastAsia="en-IN"/>
              </w:rPr>
            </w:pPr>
            <w:r w:rsidRPr="00BE3CC5">
              <w:rPr>
                <w:rFonts w:ascii="Times New Roman" w:hAnsi="Times New Roman" w:cs="Times New Roman"/>
                <w:szCs w:val="24"/>
                <w:lang w:eastAsia="en-IN"/>
              </w:rPr>
              <w:t>37.89</w:t>
            </w:r>
          </w:p>
        </w:tc>
        <w:tc>
          <w:tcPr>
            <w:tcW w:w="2327" w:type="dxa"/>
            <w:tcBorders>
              <w:top w:val="nil"/>
              <w:left w:val="nil"/>
              <w:bottom w:val="single" w:sz="4" w:space="0" w:color="auto"/>
              <w:right w:val="single" w:sz="4" w:space="0" w:color="auto"/>
            </w:tcBorders>
            <w:vAlign w:val="center"/>
            <w:hideMark/>
          </w:tcPr>
          <w:p w14:paraId="661E1F34" w14:textId="77777777" w:rsidR="0077799E" w:rsidRPr="00BE3CC5" w:rsidRDefault="0077799E" w:rsidP="00BE3CC5">
            <w:pPr>
              <w:pStyle w:val="NoSpacing"/>
              <w:jc w:val="center"/>
              <w:rPr>
                <w:rFonts w:ascii="Times New Roman" w:hAnsi="Times New Roman" w:cs="Times New Roman"/>
                <w:szCs w:val="24"/>
                <w:lang w:eastAsia="en-IN"/>
              </w:rPr>
            </w:pPr>
            <w:r w:rsidRPr="00BE3CC5">
              <w:rPr>
                <w:rFonts w:ascii="Times New Roman" w:hAnsi="Times New Roman" w:cs="Times New Roman"/>
                <w:szCs w:val="24"/>
                <w:lang w:eastAsia="en-IN"/>
              </w:rPr>
              <w:t>37.72</w:t>
            </w:r>
          </w:p>
        </w:tc>
        <w:tc>
          <w:tcPr>
            <w:tcW w:w="1856" w:type="dxa"/>
            <w:tcBorders>
              <w:top w:val="nil"/>
              <w:left w:val="nil"/>
              <w:bottom w:val="single" w:sz="4" w:space="0" w:color="auto"/>
              <w:right w:val="single" w:sz="4" w:space="0" w:color="auto"/>
            </w:tcBorders>
            <w:vAlign w:val="center"/>
            <w:hideMark/>
          </w:tcPr>
          <w:p w14:paraId="2C9FF358" w14:textId="77777777" w:rsidR="0077799E" w:rsidRPr="00BE3CC5" w:rsidRDefault="0077799E" w:rsidP="00BE3CC5">
            <w:pPr>
              <w:pStyle w:val="NoSpacing"/>
              <w:jc w:val="center"/>
              <w:rPr>
                <w:rFonts w:ascii="Times New Roman" w:hAnsi="Times New Roman" w:cs="Times New Roman"/>
                <w:szCs w:val="24"/>
                <w:lang w:eastAsia="en-IN"/>
              </w:rPr>
            </w:pPr>
            <w:r w:rsidRPr="00BE3CC5">
              <w:rPr>
                <w:rFonts w:ascii="Times New Roman" w:hAnsi="Times New Roman" w:cs="Times New Roman"/>
                <w:szCs w:val="24"/>
                <w:lang w:eastAsia="en-IN"/>
              </w:rPr>
              <w:t>22.4</w:t>
            </w:r>
          </w:p>
        </w:tc>
        <w:tc>
          <w:tcPr>
            <w:tcW w:w="1856" w:type="dxa"/>
            <w:tcBorders>
              <w:top w:val="nil"/>
              <w:left w:val="nil"/>
              <w:bottom w:val="single" w:sz="4" w:space="0" w:color="auto"/>
              <w:right w:val="single" w:sz="4" w:space="0" w:color="auto"/>
            </w:tcBorders>
            <w:vAlign w:val="center"/>
            <w:hideMark/>
          </w:tcPr>
          <w:p w14:paraId="0F474E90" w14:textId="77777777" w:rsidR="0077799E" w:rsidRPr="00BE3CC5" w:rsidRDefault="0077799E" w:rsidP="00BE3CC5">
            <w:pPr>
              <w:pStyle w:val="NoSpacing"/>
              <w:jc w:val="center"/>
              <w:rPr>
                <w:rFonts w:ascii="Times New Roman" w:hAnsi="Times New Roman" w:cs="Times New Roman"/>
                <w:szCs w:val="24"/>
                <w:lang w:eastAsia="en-IN"/>
              </w:rPr>
            </w:pPr>
            <w:r w:rsidRPr="00BE3CC5">
              <w:rPr>
                <w:rFonts w:ascii="Times New Roman" w:hAnsi="Times New Roman" w:cs="Times New Roman"/>
                <w:szCs w:val="24"/>
                <w:lang w:eastAsia="en-IN"/>
              </w:rPr>
              <w:t>22.3</w:t>
            </w:r>
          </w:p>
        </w:tc>
      </w:tr>
      <w:tr w:rsidR="0077799E" w:rsidRPr="00BE3CC5" w14:paraId="5F636BB1" w14:textId="77777777" w:rsidTr="00BE3CC5">
        <w:trPr>
          <w:trHeight w:val="171"/>
          <w:jc w:val="center"/>
        </w:trPr>
        <w:tc>
          <w:tcPr>
            <w:tcW w:w="1947" w:type="dxa"/>
            <w:tcBorders>
              <w:top w:val="nil"/>
              <w:left w:val="single" w:sz="4" w:space="0" w:color="auto"/>
              <w:bottom w:val="single" w:sz="4" w:space="0" w:color="auto"/>
              <w:right w:val="single" w:sz="4" w:space="0" w:color="auto"/>
            </w:tcBorders>
            <w:vAlign w:val="center"/>
            <w:hideMark/>
          </w:tcPr>
          <w:p w14:paraId="64AC69AE" w14:textId="77777777" w:rsidR="0077799E" w:rsidRPr="00BE3CC5" w:rsidRDefault="0077799E" w:rsidP="0077799E">
            <w:pPr>
              <w:pStyle w:val="NoSpacing"/>
              <w:rPr>
                <w:rFonts w:ascii="Times New Roman" w:hAnsi="Times New Roman" w:cs="Times New Roman"/>
                <w:szCs w:val="24"/>
                <w:lang w:eastAsia="en-IN"/>
              </w:rPr>
            </w:pPr>
            <w:r w:rsidRPr="00BE3CC5">
              <w:rPr>
                <w:rFonts w:ascii="Times New Roman" w:hAnsi="Times New Roman" w:cs="Times New Roman"/>
                <w:szCs w:val="24"/>
                <w:lang w:eastAsia="en-IN"/>
              </w:rPr>
              <w:t>Madhya Pradesh</w:t>
            </w:r>
          </w:p>
        </w:tc>
        <w:tc>
          <w:tcPr>
            <w:tcW w:w="2574" w:type="dxa"/>
            <w:tcBorders>
              <w:top w:val="nil"/>
              <w:left w:val="nil"/>
              <w:bottom w:val="single" w:sz="4" w:space="0" w:color="auto"/>
              <w:right w:val="single" w:sz="4" w:space="0" w:color="auto"/>
            </w:tcBorders>
            <w:vAlign w:val="center"/>
            <w:hideMark/>
          </w:tcPr>
          <w:p w14:paraId="455F218F" w14:textId="77777777" w:rsidR="0077799E" w:rsidRPr="00BE3CC5" w:rsidRDefault="0077799E" w:rsidP="00BE3CC5">
            <w:pPr>
              <w:pStyle w:val="NoSpacing"/>
              <w:jc w:val="center"/>
              <w:rPr>
                <w:rFonts w:ascii="Times New Roman" w:hAnsi="Times New Roman" w:cs="Times New Roman"/>
                <w:szCs w:val="24"/>
                <w:lang w:eastAsia="en-IN"/>
              </w:rPr>
            </w:pPr>
            <w:r w:rsidRPr="00BE3CC5">
              <w:rPr>
                <w:rFonts w:ascii="Times New Roman" w:hAnsi="Times New Roman" w:cs="Times New Roman"/>
                <w:szCs w:val="24"/>
                <w:lang w:eastAsia="en-IN"/>
              </w:rPr>
              <w:t>32.59</w:t>
            </w:r>
          </w:p>
        </w:tc>
        <w:tc>
          <w:tcPr>
            <w:tcW w:w="2327" w:type="dxa"/>
            <w:tcBorders>
              <w:top w:val="nil"/>
              <w:left w:val="nil"/>
              <w:bottom w:val="single" w:sz="4" w:space="0" w:color="auto"/>
              <w:right w:val="single" w:sz="4" w:space="0" w:color="auto"/>
            </w:tcBorders>
            <w:vAlign w:val="center"/>
            <w:hideMark/>
          </w:tcPr>
          <w:p w14:paraId="6D97539F" w14:textId="77777777" w:rsidR="0077799E" w:rsidRPr="00BE3CC5" w:rsidRDefault="0077799E" w:rsidP="00BE3CC5">
            <w:pPr>
              <w:pStyle w:val="NoSpacing"/>
              <w:jc w:val="center"/>
              <w:rPr>
                <w:rFonts w:ascii="Times New Roman" w:hAnsi="Times New Roman" w:cs="Times New Roman"/>
                <w:szCs w:val="24"/>
                <w:lang w:eastAsia="en-IN"/>
              </w:rPr>
            </w:pPr>
            <w:r w:rsidRPr="00BE3CC5">
              <w:rPr>
                <w:rFonts w:ascii="Times New Roman" w:hAnsi="Times New Roman" w:cs="Times New Roman"/>
                <w:szCs w:val="24"/>
                <w:lang w:eastAsia="en-IN"/>
              </w:rPr>
              <w:t>54.81</w:t>
            </w:r>
          </w:p>
        </w:tc>
        <w:tc>
          <w:tcPr>
            <w:tcW w:w="1856" w:type="dxa"/>
            <w:tcBorders>
              <w:top w:val="nil"/>
              <w:left w:val="nil"/>
              <w:bottom w:val="single" w:sz="4" w:space="0" w:color="auto"/>
              <w:right w:val="single" w:sz="4" w:space="0" w:color="auto"/>
            </w:tcBorders>
            <w:vAlign w:val="center"/>
            <w:hideMark/>
          </w:tcPr>
          <w:p w14:paraId="616FF172" w14:textId="77777777" w:rsidR="0077799E" w:rsidRPr="00BE3CC5" w:rsidRDefault="0077799E" w:rsidP="00BE3CC5">
            <w:pPr>
              <w:pStyle w:val="NoSpacing"/>
              <w:jc w:val="center"/>
              <w:rPr>
                <w:rFonts w:ascii="Times New Roman" w:hAnsi="Times New Roman" w:cs="Times New Roman"/>
                <w:szCs w:val="24"/>
                <w:lang w:eastAsia="en-IN"/>
              </w:rPr>
            </w:pPr>
            <w:r w:rsidRPr="00BE3CC5">
              <w:rPr>
                <w:rFonts w:ascii="Times New Roman" w:hAnsi="Times New Roman" w:cs="Times New Roman"/>
                <w:szCs w:val="24"/>
                <w:lang w:eastAsia="en-IN"/>
              </w:rPr>
              <w:t>10.1</w:t>
            </w:r>
          </w:p>
        </w:tc>
        <w:tc>
          <w:tcPr>
            <w:tcW w:w="1856" w:type="dxa"/>
            <w:tcBorders>
              <w:top w:val="nil"/>
              <w:left w:val="nil"/>
              <w:bottom w:val="single" w:sz="4" w:space="0" w:color="auto"/>
              <w:right w:val="single" w:sz="4" w:space="0" w:color="auto"/>
            </w:tcBorders>
            <w:vAlign w:val="center"/>
            <w:hideMark/>
          </w:tcPr>
          <w:p w14:paraId="1E8E97D4" w14:textId="77777777" w:rsidR="0077799E" w:rsidRPr="00BE3CC5" w:rsidRDefault="0077799E" w:rsidP="00BE3CC5">
            <w:pPr>
              <w:pStyle w:val="NoSpacing"/>
              <w:jc w:val="center"/>
              <w:rPr>
                <w:rFonts w:ascii="Times New Roman" w:hAnsi="Times New Roman" w:cs="Times New Roman"/>
                <w:szCs w:val="24"/>
                <w:lang w:eastAsia="en-IN"/>
              </w:rPr>
            </w:pPr>
            <w:r w:rsidRPr="00BE3CC5">
              <w:rPr>
                <w:rFonts w:ascii="Times New Roman" w:hAnsi="Times New Roman" w:cs="Times New Roman"/>
                <w:szCs w:val="24"/>
                <w:lang w:eastAsia="en-IN"/>
              </w:rPr>
              <w:t>16.9</w:t>
            </w:r>
          </w:p>
        </w:tc>
      </w:tr>
      <w:tr w:rsidR="0077799E" w:rsidRPr="00BE3CC5" w14:paraId="32476B55" w14:textId="77777777" w:rsidTr="00BE3CC5">
        <w:trPr>
          <w:trHeight w:val="171"/>
          <w:jc w:val="center"/>
        </w:trPr>
        <w:tc>
          <w:tcPr>
            <w:tcW w:w="1947" w:type="dxa"/>
            <w:tcBorders>
              <w:top w:val="nil"/>
              <w:left w:val="single" w:sz="4" w:space="0" w:color="auto"/>
              <w:bottom w:val="single" w:sz="4" w:space="0" w:color="auto"/>
              <w:right w:val="single" w:sz="4" w:space="0" w:color="auto"/>
            </w:tcBorders>
            <w:vAlign w:val="center"/>
            <w:hideMark/>
          </w:tcPr>
          <w:p w14:paraId="042750AD" w14:textId="77777777" w:rsidR="0077799E" w:rsidRPr="00BE3CC5" w:rsidRDefault="0077799E" w:rsidP="0077799E">
            <w:pPr>
              <w:pStyle w:val="NoSpacing"/>
              <w:rPr>
                <w:rFonts w:ascii="Times New Roman" w:hAnsi="Times New Roman" w:cs="Times New Roman"/>
                <w:szCs w:val="24"/>
                <w:lang w:eastAsia="en-IN"/>
              </w:rPr>
            </w:pPr>
            <w:r w:rsidRPr="00BE3CC5">
              <w:rPr>
                <w:rFonts w:ascii="Times New Roman" w:hAnsi="Times New Roman" w:cs="Times New Roman"/>
                <w:szCs w:val="24"/>
                <w:lang w:eastAsia="en-IN"/>
              </w:rPr>
              <w:t>Maharashtra</w:t>
            </w:r>
          </w:p>
        </w:tc>
        <w:tc>
          <w:tcPr>
            <w:tcW w:w="2574" w:type="dxa"/>
            <w:tcBorders>
              <w:top w:val="nil"/>
              <w:left w:val="nil"/>
              <w:bottom w:val="single" w:sz="4" w:space="0" w:color="auto"/>
              <w:right w:val="single" w:sz="4" w:space="0" w:color="auto"/>
            </w:tcBorders>
            <w:vAlign w:val="center"/>
            <w:hideMark/>
          </w:tcPr>
          <w:p w14:paraId="734EBB7C" w14:textId="77777777" w:rsidR="0077799E" w:rsidRPr="00BE3CC5" w:rsidRDefault="0077799E" w:rsidP="00BE3CC5">
            <w:pPr>
              <w:pStyle w:val="NoSpacing"/>
              <w:jc w:val="center"/>
              <w:rPr>
                <w:rFonts w:ascii="Times New Roman" w:hAnsi="Times New Roman" w:cs="Times New Roman"/>
                <w:szCs w:val="24"/>
                <w:lang w:eastAsia="en-IN"/>
              </w:rPr>
            </w:pPr>
            <w:r w:rsidRPr="00BE3CC5">
              <w:rPr>
                <w:rFonts w:ascii="Times New Roman" w:hAnsi="Times New Roman" w:cs="Times New Roman"/>
                <w:szCs w:val="24"/>
                <w:lang w:eastAsia="en-IN"/>
              </w:rPr>
              <w:t>52.4</w:t>
            </w:r>
          </w:p>
        </w:tc>
        <w:tc>
          <w:tcPr>
            <w:tcW w:w="2327" w:type="dxa"/>
            <w:tcBorders>
              <w:top w:val="nil"/>
              <w:left w:val="nil"/>
              <w:bottom w:val="single" w:sz="4" w:space="0" w:color="auto"/>
              <w:right w:val="single" w:sz="4" w:space="0" w:color="auto"/>
            </w:tcBorders>
            <w:vAlign w:val="center"/>
            <w:hideMark/>
          </w:tcPr>
          <w:p w14:paraId="2E7B7E8E" w14:textId="77777777" w:rsidR="0077799E" w:rsidRPr="00BE3CC5" w:rsidRDefault="0077799E" w:rsidP="00BE3CC5">
            <w:pPr>
              <w:pStyle w:val="NoSpacing"/>
              <w:jc w:val="center"/>
              <w:rPr>
                <w:rFonts w:ascii="Times New Roman" w:hAnsi="Times New Roman" w:cs="Times New Roman"/>
                <w:szCs w:val="24"/>
                <w:lang w:eastAsia="en-IN"/>
              </w:rPr>
            </w:pPr>
            <w:r w:rsidRPr="00BE3CC5">
              <w:rPr>
                <w:rFonts w:ascii="Times New Roman" w:hAnsi="Times New Roman" w:cs="Times New Roman"/>
                <w:szCs w:val="24"/>
                <w:lang w:eastAsia="en-IN"/>
              </w:rPr>
              <w:t>76.73</w:t>
            </w:r>
          </w:p>
        </w:tc>
        <w:tc>
          <w:tcPr>
            <w:tcW w:w="1856" w:type="dxa"/>
            <w:tcBorders>
              <w:top w:val="nil"/>
              <w:left w:val="nil"/>
              <w:bottom w:val="single" w:sz="4" w:space="0" w:color="auto"/>
              <w:right w:val="single" w:sz="4" w:space="0" w:color="auto"/>
            </w:tcBorders>
            <w:vAlign w:val="center"/>
            <w:hideMark/>
          </w:tcPr>
          <w:p w14:paraId="52B2E6D3" w14:textId="77777777" w:rsidR="0077799E" w:rsidRPr="00BE3CC5" w:rsidRDefault="0077799E" w:rsidP="00BE3CC5">
            <w:pPr>
              <w:pStyle w:val="NoSpacing"/>
              <w:jc w:val="center"/>
              <w:rPr>
                <w:rFonts w:ascii="Times New Roman" w:hAnsi="Times New Roman" w:cs="Times New Roman"/>
                <w:szCs w:val="24"/>
                <w:lang w:eastAsia="en-IN"/>
              </w:rPr>
            </w:pPr>
            <w:r w:rsidRPr="00BE3CC5">
              <w:rPr>
                <w:rFonts w:ascii="Times New Roman" w:hAnsi="Times New Roman" w:cs="Times New Roman"/>
                <w:szCs w:val="24"/>
                <w:lang w:eastAsia="en-IN"/>
              </w:rPr>
              <w:t>13.3</w:t>
            </w:r>
          </w:p>
        </w:tc>
        <w:tc>
          <w:tcPr>
            <w:tcW w:w="1856" w:type="dxa"/>
            <w:tcBorders>
              <w:top w:val="nil"/>
              <w:left w:val="nil"/>
              <w:bottom w:val="single" w:sz="4" w:space="0" w:color="auto"/>
              <w:right w:val="single" w:sz="4" w:space="0" w:color="auto"/>
            </w:tcBorders>
            <w:vAlign w:val="center"/>
            <w:hideMark/>
          </w:tcPr>
          <w:p w14:paraId="344E134E" w14:textId="77777777" w:rsidR="0077799E" w:rsidRPr="00BE3CC5" w:rsidRDefault="0077799E" w:rsidP="00BE3CC5">
            <w:pPr>
              <w:pStyle w:val="NoSpacing"/>
              <w:jc w:val="center"/>
              <w:rPr>
                <w:rFonts w:ascii="Times New Roman" w:hAnsi="Times New Roman" w:cs="Times New Roman"/>
                <w:szCs w:val="24"/>
                <w:lang w:eastAsia="en-IN"/>
              </w:rPr>
            </w:pPr>
            <w:r w:rsidRPr="00BE3CC5">
              <w:rPr>
                <w:rFonts w:ascii="Times New Roman" w:hAnsi="Times New Roman" w:cs="Times New Roman"/>
                <w:szCs w:val="24"/>
                <w:lang w:eastAsia="en-IN"/>
              </w:rPr>
              <w:t>19.4</w:t>
            </w:r>
          </w:p>
        </w:tc>
      </w:tr>
      <w:tr w:rsidR="0077799E" w:rsidRPr="00BE3CC5" w14:paraId="4C1C69CB" w14:textId="77777777" w:rsidTr="00BE3CC5">
        <w:trPr>
          <w:trHeight w:val="171"/>
          <w:jc w:val="center"/>
        </w:trPr>
        <w:tc>
          <w:tcPr>
            <w:tcW w:w="1947" w:type="dxa"/>
            <w:tcBorders>
              <w:top w:val="nil"/>
              <w:left w:val="single" w:sz="4" w:space="0" w:color="auto"/>
              <w:bottom w:val="single" w:sz="4" w:space="0" w:color="auto"/>
              <w:right w:val="single" w:sz="4" w:space="0" w:color="auto"/>
            </w:tcBorders>
            <w:vAlign w:val="center"/>
            <w:hideMark/>
          </w:tcPr>
          <w:p w14:paraId="78ED671B" w14:textId="77777777" w:rsidR="0077799E" w:rsidRPr="00BE3CC5" w:rsidRDefault="0077799E" w:rsidP="0077799E">
            <w:pPr>
              <w:pStyle w:val="NoSpacing"/>
              <w:rPr>
                <w:rFonts w:ascii="Times New Roman" w:hAnsi="Times New Roman" w:cs="Times New Roman"/>
                <w:szCs w:val="24"/>
                <w:lang w:eastAsia="en-IN"/>
              </w:rPr>
            </w:pPr>
            <w:r w:rsidRPr="00BE3CC5">
              <w:rPr>
                <w:rFonts w:ascii="Times New Roman" w:hAnsi="Times New Roman" w:cs="Times New Roman"/>
                <w:szCs w:val="24"/>
                <w:lang w:eastAsia="en-IN"/>
              </w:rPr>
              <w:t>Mysore</w:t>
            </w:r>
          </w:p>
        </w:tc>
        <w:tc>
          <w:tcPr>
            <w:tcW w:w="2574" w:type="dxa"/>
            <w:tcBorders>
              <w:top w:val="nil"/>
              <w:left w:val="nil"/>
              <w:bottom w:val="single" w:sz="4" w:space="0" w:color="auto"/>
              <w:right w:val="single" w:sz="4" w:space="0" w:color="auto"/>
            </w:tcBorders>
            <w:vAlign w:val="center"/>
            <w:hideMark/>
          </w:tcPr>
          <w:p w14:paraId="46995EBC" w14:textId="77777777" w:rsidR="0077799E" w:rsidRPr="00BE3CC5" w:rsidRDefault="0077799E" w:rsidP="00BE3CC5">
            <w:pPr>
              <w:pStyle w:val="NoSpacing"/>
              <w:jc w:val="center"/>
              <w:rPr>
                <w:rFonts w:ascii="Times New Roman" w:hAnsi="Times New Roman" w:cs="Times New Roman"/>
                <w:szCs w:val="24"/>
                <w:lang w:eastAsia="en-IN"/>
              </w:rPr>
            </w:pPr>
            <w:r w:rsidRPr="00BE3CC5">
              <w:rPr>
                <w:rFonts w:ascii="Times New Roman" w:hAnsi="Times New Roman" w:cs="Times New Roman"/>
                <w:szCs w:val="24"/>
                <w:lang w:eastAsia="en-IN"/>
              </w:rPr>
              <w:t>43.52</w:t>
            </w:r>
          </w:p>
        </w:tc>
        <w:tc>
          <w:tcPr>
            <w:tcW w:w="2327" w:type="dxa"/>
            <w:tcBorders>
              <w:top w:val="nil"/>
              <w:left w:val="nil"/>
              <w:bottom w:val="single" w:sz="4" w:space="0" w:color="auto"/>
              <w:right w:val="single" w:sz="4" w:space="0" w:color="auto"/>
            </w:tcBorders>
            <w:vAlign w:val="center"/>
            <w:hideMark/>
          </w:tcPr>
          <w:p w14:paraId="04D429BE" w14:textId="77777777" w:rsidR="0077799E" w:rsidRPr="00BE3CC5" w:rsidRDefault="0077799E" w:rsidP="00BE3CC5">
            <w:pPr>
              <w:pStyle w:val="NoSpacing"/>
              <w:jc w:val="center"/>
              <w:rPr>
                <w:rFonts w:ascii="Times New Roman" w:hAnsi="Times New Roman" w:cs="Times New Roman"/>
                <w:szCs w:val="24"/>
                <w:lang w:eastAsia="en-IN"/>
              </w:rPr>
            </w:pPr>
            <w:r w:rsidRPr="00BE3CC5">
              <w:rPr>
                <w:rFonts w:ascii="Times New Roman" w:hAnsi="Times New Roman" w:cs="Times New Roman"/>
                <w:szCs w:val="24"/>
                <w:lang w:eastAsia="en-IN"/>
              </w:rPr>
              <w:t>39.49</w:t>
            </w:r>
          </w:p>
        </w:tc>
        <w:tc>
          <w:tcPr>
            <w:tcW w:w="1856" w:type="dxa"/>
            <w:tcBorders>
              <w:top w:val="nil"/>
              <w:left w:val="nil"/>
              <w:bottom w:val="single" w:sz="4" w:space="0" w:color="auto"/>
              <w:right w:val="single" w:sz="4" w:space="0" w:color="auto"/>
            </w:tcBorders>
            <w:vAlign w:val="center"/>
            <w:hideMark/>
          </w:tcPr>
          <w:p w14:paraId="5A521086" w14:textId="77777777" w:rsidR="0077799E" w:rsidRPr="00BE3CC5" w:rsidRDefault="0077799E" w:rsidP="00BE3CC5">
            <w:pPr>
              <w:pStyle w:val="NoSpacing"/>
              <w:jc w:val="center"/>
              <w:rPr>
                <w:rFonts w:ascii="Times New Roman" w:hAnsi="Times New Roman" w:cs="Times New Roman"/>
                <w:szCs w:val="24"/>
                <w:lang w:eastAsia="en-IN"/>
              </w:rPr>
            </w:pPr>
            <w:r w:rsidRPr="00BE3CC5">
              <w:rPr>
                <w:rFonts w:ascii="Times New Roman" w:hAnsi="Times New Roman" w:cs="Times New Roman"/>
                <w:szCs w:val="24"/>
                <w:lang w:eastAsia="en-IN"/>
              </w:rPr>
              <w:t>18.5</w:t>
            </w:r>
          </w:p>
        </w:tc>
        <w:tc>
          <w:tcPr>
            <w:tcW w:w="1856" w:type="dxa"/>
            <w:tcBorders>
              <w:top w:val="nil"/>
              <w:left w:val="nil"/>
              <w:bottom w:val="single" w:sz="4" w:space="0" w:color="auto"/>
              <w:right w:val="single" w:sz="4" w:space="0" w:color="auto"/>
            </w:tcBorders>
            <w:vAlign w:val="center"/>
            <w:hideMark/>
          </w:tcPr>
          <w:p w14:paraId="1950CEDB" w14:textId="77777777" w:rsidR="0077799E" w:rsidRPr="00BE3CC5" w:rsidRDefault="0077799E" w:rsidP="00BE3CC5">
            <w:pPr>
              <w:pStyle w:val="NoSpacing"/>
              <w:jc w:val="center"/>
              <w:rPr>
                <w:rFonts w:ascii="Times New Roman" w:hAnsi="Times New Roman" w:cs="Times New Roman"/>
                <w:szCs w:val="24"/>
                <w:lang w:eastAsia="en-IN"/>
              </w:rPr>
            </w:pPr>
            <w:r w:rsidRPr="00BE3CC5">
              <w:rPr>
                <w:rFonts w:ascii="Times New Roman" w:hAnsi="Times New Roman" w:cs="Times New Roman"/>
                <w:szCs w:val="24"/>
                <w:lang w:eastAsia="en-IN"/>
              </w:rPr>
              <w:t>16.7</w:t>
            </w:r>
          </w:p>
        </w:tc>
      </w:tr>
      <w:tr w:rsidR="0077799E" w:rsidRPr="00BE3CC5" w14:paraId="481604B8" w14:textId="77777777" w:rsidTr="00BE3CC5">
        <w:trPr>
          <w:trHeight w:val="171"/>
          <w:jc w:val="center"/>
        </w:trPr>
        <w:tc>
          <w:tcPr>
            <w:tcW w:w="1947" w:type="dxa"/>
            <w:tcBorders>
              <w:top w:val="nil"/>
              <w:left w:val="single" w:sz="4" w:space="0" w:color="auto"/>
              <w:bottom w:val="single" w:sz="4" w:space="0" w:color="auto"/>
              <w:right w:val="single" w:sz="4" w:space="0" w:color="auto"/>
            </w:tcBorders>
            <w:vAlign w:val="center"/>
            <w:hideMark/>
          </w:tcPr>
          <w:p w14:paraId="79138076" w14:textId="77777777" w:rsidR="0077799E" w:rsidRPr="00BE3CC5" w:rsidRDefault="0077799E" w:rsidP="0077799E">
            <w:pPr>
              <w:pStyle w:val="NoSpacing"/>
              <w:rPr>
                <w:rFonts w:ascii="Times New Roman" w:hAnsi="Times New Roman" w:cs="Times New Roman"/>
                <w:szCs w:val="24"/>
                <w:lang w:eastAsia="en-IN"/>
              </w:rPr>
            </w:pPr>
            <w:r w:rsidRPr="00BE3CC5">
              <w:rPr>
                <w:rFonts w:ascii="Times New Roman" w:hAnsi="Times New Roman" w:cs="Times New Roman"/>
                <w:szCs w:val="24"/>
                <w:lang w:eastAsia="en-IN"/>
              </w:rPr>
              <w:t>Orissa</w:t>
            </w:r>
          </w:p>
        </w:tc>
        <w:tc>
          <w:tcPr>
            <w:tcW w:w="2574" w:type="dxa"/>
            <w:tcBorders>
              <w:top w:val="nil"/>
              <w:left w:val="nil"/>
              <w:bottom w:val="single" w:sz="4" w:space="0" w:color="auto"/>
              <w:right w:val="single" w:sz="4" w:space="0" w:color="auto"/>
            </w:tcBorders>
            <w:vAlign w:val="center"/>
            <w:hideMark/>
          </w:tcPr>
          <w:p w14:paraId="7C342866" w14:textId="77777777" w:rsidR="0077799E" w:rsidRPr="00BE3CC5" w:rsidRDefault="0077799E" w:rsidP="00BE3CC5">
            <w:pPr>
              <w:pStyle w:val="NoSpacing"/>
              <w:jc w:val="center"/>
              <w:rPr>
                <w:rFonts w:ascii="Times New Roman" w:hAnsi="Times New Roman" w:cs="Times New Roman"/>
                <w:szCs w:val="24"/>
                <w:lang w:eastAsia="en-IN"/>
              </w:rPr>
            </w:pPr>
            <w:r w:rsidRPr="00BE3CC5">
              <w:rPr>
                <w:rFonts w:ascii="Times New Roman" w:hAnsi="Times New Roman" w:cs="Times New Roman"/>
                <w:szCs w:val="24"/>
                <w:lang w:eastAsia="en-IN"/>
              </w:rPr>
              <w:t>46.74</w:t>
            </w:r>
          </w:p>
        </w:tc>
        <w:tc>
          <w:tcPr>
            <w:tcW w:w="2327" w:type="dxa"/>
            <w:tcBorders>
              <w:top w:val="nil"/>
              <w:left w:val="nil"/>
              <w:bottom w:val="single" w:sz="4" w:space="0" w:color="auto"/>
              <w:right w:val="single" w:sz="4" w:space="0" w:color="auto"/>
            </w:tcBorders>
            <w:vAlign w:val="center"/>
            <w:hideMark/>
          </w:tcPr>
          <w:p w14:paraId="77FEC2DE" w14:textId="77777777" w:rsidR="0077799E" w:rsidRPr="00BE3CC5" w:rsidRDefault="0077799E" w:rsidP="00BE3CC5">
            <w:pPr>
              <w:pStyle w:val="NoSpacing"/>
              <w:jc w:val="center"/>
              <w:rPr>
                <w:rFonts w:ascii="Times New Roman" w:hAnsi="Times New Roman" w:cs="Times New Roman"/>
                <w:szCs w:val="24"/>
                <w:lang w:eastAsia="en-IN"/>
              </w:rPr>
            </w:pPr>
            <w:r w:rsidRPr="00BE3CC5">
              <w:rPr>
                <w:rFonts w:ascii="Times New Roman" w:hAnsi="Times New Roman" w:cs="Times New Roman"/>
                <w:szCs w:val="24"/>
                <w:lang w:eastAsia="en-IN"/>
              </w:rPr>
              <w:t>49.14</w:t>
            </w:r>
          </w:p>
        </w:tc>
        <w:tc>
          <w:tcPr>
            <w:tcW w:w="1856" w:type="dxa"/>
            <w:tcBorders>
              <w:top w:val="nil"/>
              <w:left w:val="nil"/>
              <w:bottom w:val="single" w:sz="4" w:space="0" w:color="auto"/>
              <w:right w:val="single" w:sz="4" w:space="0" w:color="auto"/>
            </w:tcBorders>
            <w:vAlign w:val="center"/>
            <w:hideMark/>
          </w:tcPr>
          <w:p w14:paraId="0386BB8F" w14:textId="77777777" w:rsidR="0077799E" w:rsidRPr="00BE3CC5" w:rsidRDefault="0077799E" w:rsidP="00BE3CC5">
            <w:pPr>
              <w:pStyle w:val="NoSpacing"/>
              <w:jc w:val="center"/>
              <w:rPr>
                <w:rFonts w:ascii="Times New Roman" w:hAnsi="Times New Roman" w:cs="Times New Roman"/>
                <w:szCs w:val="24"/>
                <w:lang w:eastAsia="en-IN"/>
              </w:rPr>
            </w:pPr>
            <w:r w:rsidRPr="00BE3CC5">
              <w:rPr>
                <w:rFonts w:ascii="Times New Roman" w:hAnsi="Times New Roman" w:cs="Times New Roman"/>
                <w:szCs w:val="24"/>
                <w:lang w:eastAsia="en-IN"/>
              </w:rPr>
              <w:t>26.6</w:t>
            </w:r>
          </w:p>
        </w:tc>
        <w:tc>
          <w:tcPr>
            <w:tcW w:w="1856" w:type="dxa"/>
            <w:tcBorders>
              <w:top w:val="nil"/>
              <w:left w:val="nil"/>
              <w:bottom w:val="single" w:sz="4" w:space="0" w:color="auto"/>
              <w:right w:val="single" w:sz="4" w:space="0" w:color="auto"/>
            </w:tcBorders>
            <w:vAlign w:val="center"/>
            <w:hideMark/>
          </w:tcPr>
          <w:p w14:paraId="62D608A1" w14:textId="77777777" w:rsidR="0077799E" w:rsidRPr="00BE3CC5" w:rsidRDefault="0077799E" w:rsidP="00BE3CC5">
            <w:pPr>
              <w:pStyle w:val="NoSpacing"/>
              <w:jc w:val="center"/>
              <w:rPr>
                <w:rFonts w:ascii="Times New Roman" w:hAnsi="Times New Roman" w:cs="Times New Roman"/>
                <w:szCs w:val="24"/>
                <w:lang w:eastAsia="en-IN"/>
              </w:rPr>
            </w:pPr>
            <w:r w:rsidRPr="00BE3CC5">
              <w:rPr>
                <w:rFonts w:ascii="Times New Roman" w:hAnsi="Times New Roman" w:cs="Times New Roman"/>
                <w:szCs w:val="24"/>
                <w:lang w:eastAsia="en-IN"/>
              </w:rPr>
              <w:t>28.1</w:t>
            </w:r>
          </w:p>
        </w:tc>
      </w:tr>
      <w:tr w:rsidR="0077799E" w:rsidRPr="00BE3CC5" w14:paraId="31B2E96C" w14:textId="77777777" w:rsidTr="00BE3CC5">
        <w:trPr>
          <w:trHeight w:val="171"/>
          <w:jc w:val="center"/>
        </w:trPr>
        <w:tc>
          <w:tcPr>
            <w:tcW w:w="1947" w:type="dxa"/>
            <w:tcBorders>
              <w:top w:val="nil"/>
              <w:left w:val="single" w:sz="4" w:space="0" w:color="auto"/>
              <w:bottom w:val="single" w:sz="4" w:space="0" w:color="auto"/>
              <w:right w:val="single" w:sz="4" w:space="0" w:color="auto"/>
            </w:tcBorders>
            <w:vAlign w:val="center"/>
            <w:hideMark/>
          </w:tcPr>
          <w:p w14:paraId="0FBFE6D5" w14:textId="77777777" w:rsidR="0077799E" w:rsidRPr="00BE3CC5" w:rsidRDefault="0077799E" w:rsidP="0077799E">
            <w:pPr>
              <w:pStyle w:val="NoSpacing"/>
              <w:rPr>
                <w:rFonts w:ascii="Times New Roman" w:hAnsi="Times New Roman" w:cs="Times New Roman"/>
                <w:szCs w:val="24"/>
                <w:lang w:eastAsia="en-IN"/>
              </w:rPr>
            </w:pPr>
            <w:r w:rsidRPr="00BE3CC5">
              <w:rPr>
                <w:rFonts w:ascii="Times New Roman" w:hAnsi="Times New Roman" w:cs="Times New Roman"/>
                <w:szCs w:val="24"/>
                <w:lang w:eastAsia="en-IN"/>
              </w:rPr>
              <w:t>Punjab</w:t>
            </w:r>
          </w:p>
        </w:tc>
        <w:tc>
          <w:tcPr>
            <w:tcW w:w="2574" w:type="dxa"/>
            <w:tcBorders>
              <w:top w:val="nil"/>
              <w:left w:val="nil"/>
              <w:bottom w:val="single" w:sz="4" w:space="0" w:color="auto"/>
              <w:right w:val="single" w:sz="4" w:space="0" w:color="auto"/>
            </w:tcBorders>
            <w:vAlign w:val="center"/>
            <w:hideMark/>
          </w:tcPr>
          <w:p w14:paraId="500720A4" w14:textId="77777777" w:rsidR="0077799E" w:rsidRPr="00BE3CC5" w:rsidRDefault="0077799E" w:rsidP="00BE3CC5">
            <w:pPr>
              <w:pStyle w:val="NoSpacing"/>
              <w:jc w:val="center"/>
              <w:rPr>
                <w:rFonts w:ascii="Times New Roman" w:hAnsi="Times New Roman" w:cs="Times New Roman"/>
                <w:szCs w:val="24"/>
                <w:lang w:eastAsia="en-IN"/>
              </w:rPr>
            </w:pPr>
            <w:r w:rsidRPr="00BE3CC5">
              <w:rPr>
                <w:rFonts w:ascii="Times New Roman" w:hAnsi="Times New Roman" w:cs="Times New Roman"/>
                <w:szCs w:val="24"/>
                <w:lang w:eastAsia="en-IN"/>
              </w:rPr>
              <w:t>12.96</w:t>
            </w:r>
          </w:p>
        </w:tc>
        <w:tc>
          <w:tcPr>
            <w:tcW w:w="2327" w:type="dxa"/>
            <w:tcBorders>
              <w:top w:val="nil"/>
              <w:left w:val="nil"/>
              <w:bottom w:val="single" w:sz="4" w:space="0" w:color="auto"/>
              <w:right w:val="single" w:sz="4" w:space="0" w:color="auto"/>
            </w:tcBorders>
            <w:vAlign w:val="center"/>
            <w:hideMark/>
          </w:tcPr>
          <w:p w14:paraId="3C7C1450" w14:textId="77777777" w:rsidR="0077799E" w:rsidRPr="00BE3CC5" w:rsidRDefault="0077799E" w:rsidP="00BE3CC5">
            <w:pPr>
              <w:pStyle w:val="NoSpacing"/>
              <w:jc w:val="center"/>
              <w:rPr>
                <w:rFonts w:ascii="Times New Roman" w:hAnsi="Times New Roman" w:cs="Times New Roman"/>
                <w:szCs w:val="24"/>
                <w:lang w:eastAsia="en-IN"/>
              </w:rPr>
            </w:pPr>
            <w:r w:rsidRPr="00BE3CC5">
              <w:rPr>
                <w:rFonts w:ascii="Times New Roman" w:hAnsi="Times New Roman" w:cs="Times New Roman"/>
                <w:szCs w:val="24"/>
                <w:lang w:eastAsia="en-IN"/>
              </w:rPr>
              <w:t>17.83</w:t>
            </w:r>
          </w:p>
        </w:tc>
        <w:tc>
          <w:tcPr>
            <w:tcW w:w="1856" w:type="dxa"/>
            <w:tcBorders>
              <w:top w:val="nil"/>
              <w:left w:val="nil"/>
              <w:bottom w:val="single" w:sz="4" w:space="0" w:color="auto"/>
              <w:right w:val="single" w:sz="4" w:space="0" w:color="auto"/>
            </w:tcBorders>
            <w:vAlign w:val="center"/>
            <w:hideMark/>
          </w:tcPr>
          <w:p w14:paraId="7F2407A4" w14:textId="77777777" w:rsidR="0077799E" w:rsidRPr="00BE3CC5" w:rsidRDefault="0077799E" w:rsidP="00BE3CC5">
            <w:pPr>
              <w:pStyle w:val="NoSpacing"/>
              <w:jc w:val="center"/>
              <w:rPr>
                <w:rFonts w:ascii="Times New Roman" w:hAnsi="Times New Roman" w:cs="Times New Roman"/>
                <w:szCs w:val="24"/>
                <w:lang w:eastAsia="en-IN"/>
              </w:rPr>
            </w:pPr>
            <w:r w:rsidRPr="00BE3CC5">
              <w:rPr>
                <w:rFonts w:ascii="Times New Roman" w:hAnsi="Times New Roman" w:cs="Times New Roman"/>
                <w:szCs w:val="24"/>
                <w:lang w:eastAsia="en-IN"/>
              </w:rPr>
              <w:t>11.6</w:t>
            </w:r>
          </w:p>
        </w:tc>
        <w:tc>
          <w:tcPr>
            <w:tcW w:w="1856" w:type="dxa"/>
            <w:tcBorders>
              <w:top w:val="nil"/>
              <w:left w:val="nil"/>
              <w:bottom w:val="single" w:sz="4" w:space="0" w:color="auto"/>
              <w:right w:val="single" w:sz="4" w:space="0" w:color="auto"/>
            </w:tcBorders>
            <w:vAlign w:val="center"/>
            <w:hideMark/>
          </w:tcPr>
          <w:p w14:paraId="244622D4" w14:textId="77777777" w:rsidR="0077799E" w:rsidRPr="00BE3CC5" w:rsidRDefault="0077799E" w:rsidP="00BE3CC5">
            <w:pPr>
              <w:pStyle w:val="NoSpacing"/>
              <w:jc w:val="center"/>
              <w:rPr>
                <w:rFonts w:ascii="Times New Roman" w:hAnsi="Times New Roman" w:cs="Times New Roman"/>
                <w:szCs w:val="24"/>
                <w:lang w:eastAsia="en-IN"/>
              </w:rPr>
            </w:pPr>
            <w:r w:rsidRPr="00BE3CC5">
              <w:rPr>
                <w:rFonts w:ascii="Times New Roman" w:hAnsi="Times New Roman" w:cs="Times New Roman"/>
                <w:szCs w:val="24"/>
                <w:lang w:eastAsia="en-IN"/>
              </w:rPr>
              <w:t>16.1</w:t>
            </w:r>
          </w:p>
        </w:tc>
      </w:tr>
      <w:tr w:rsidR="0077799E" w:rsidRPr="00BE3CC5" w14:paraId="3393A5D1" w14:textId="77777777" w:rsidTr="00BE3CC5">
        <w:trPr>
          <w:trHeight w:val="171"/>
          <w:jc w:val="center"/>
        </w:trPr>
        <w:tc>
          <w:tcPr>
            <w:tcW w:w="1947" w:type="dxa"/>
            <w:tcBorders>
              <w:top w:val="nil"/>
              <w:left w:val="single" w:sz="4" w:space="0" w:color="auto"/>
              <w:bottom w:val="single" w:sz="4" w:space="0" w:color="auto"/>
              <w:right w:val="single" w:sz="4" w:space="0" w:color="auto"/>
            </w:tcBorders>
            <w:vAlign w:val="center"/>
            <w:hideMark/>
          </w:tcPr>
          <w:p w14:paraId="37B195DF" w14:textId="77777777" w:rsidR="0077799E" w:rsidRPr="00BE3CC5" w:rsidRDefault="0077799E" w:rsidP="0077799E">
            <w:pPr>
              <w:pStyle w:val="NoSpacing"/>
              <w:rPr>
                <w:rFonts w:ascii="Times New Roman" w:hAnsi="Times New Roman" w:cs="Times New Roman"/>
                <w:szCs w:val="24"/>
                <w:lang w:eastAsia="en-IN"/>
              </w:rPr>
            </w:pPr>
            <w:r w:rsidRPr="00BE3CC5">
              <w:rPr>
                <w:rFonts w:ascii="Times New Roman" w:hAnsi="Times New Roman" w:cs="Times New Roman"/>
                <w:szCs w:val="24"/>
                <w:lang w:eastAsia="en-IN"/>
              </w:rPr>
              <w:t>Rajasthan</w:t>
            </w:r>
          </w:p>
        </w:tc>
        <w:tc>
          <w:tcPr>
            <w:tcW w:w="2574" w:type="dxa"/>
            <w:tcBorders>
              <w:top w:val="nil"/>
              <w:left w:val="nil"/>
              <w:bottom w:val="single" w:sz="4" w:space="0" w:color="auto"/>
              <w:right w:val="single" w:sz="4" w:space="0" w:color="auto"/>
            </w:tcBorders>
            <w:vAlign w:val="center"/>
            <w:hideMark/>
          </w:tcPr>
          <w:p w14:paraId="32CF6A59" w14:textId="77777777" w:rsidR="0077799E" w:rsidRPr="00BE3CC5" w:rsidRDefault="0077799E" w:rsidP="00BE3CC5">
            <w:pPr>
              <w:pStyle w:val="NoSpacing"/>
              <w:jc w:val="center"/>
              <w:rPr>
                <w:rFonts w:ascii="Times New Roman" w:hAnsi="Times New Roman" w:cs="Times New Roman"/>
                <w:szCs w:val="24"/>
                <w:lang w:eastAsia="en-IN"/>
              </w:rPr>
            </w:pPr>
            <w:r w:rsidRPr="00BE3CC5">
              <w:rPr>
                <w:rFonts w:ascii="Times New Roman" w:hAnsi="Times New Roman" w:cs="Times New Roman"/>
                <w:szCs w:val="24"/>
                <w:lang w:eastAsia="en-IN"/>
              </w:rPr>
              <w:t>26.3</w:t>
            </w:r>
          </w:p>
        </w:tc>
        <w:tc>
          <w:tcPr>
            <w:tcW w:w="2327" w:type="dxa"/>
            <w:tcBorders>
              <w:top w:val="nil"/>
              <w:left w:val="nil"/>
              <w:bottom w:val="single" w:sz="4" w:space="0" w:color="auto"/>
              <w:right w:val="single" w:sz="4" w:space="0" w:color="auto"/>
            </w:tcBorders>
            <w:vAlign w:val="center"/>
            <w:hideMark/>
          </w:tcPr>
          <w:p w14:paraId="5A2FA61B" w14:textId="77777777" w:rsidR="0077799E" w:rsidRPr="00BE3CC5" w:rsidRDefault="0077799E" w:rsidP="00BE3CC5">
            <w:pPr>
              <w:pStyle w:val="NoSpacing"/>
              <w:jc w:val="center"/>
              <w:rPr>
                <w:rFonts w:ascii="Times New Roman" w:hAnsi="Times New Roman" w:cs="Times New Roman"/>
                <w:szCs w:val="24"/>
                <w:lang w:eastAsia="en-IN"/>
              </w:rPr>
            </w:pPr>
            <w:r w:rsidRPr="00BE3CC5">
              <w:rPr>
                <w:rFonts w:ascii="Times New Roman" w:hAnsi="Times New Roman" w:cs="Times New Roman"/>
                <w:szCs w:val="24"/>
                <w:lang w:eastAsia="en-IN"/>
              </w:rPr>
              <w:t>43.19</w:t>
            </w:r>
          </w:p>
        </w:tc>
        <w:tc>
          <w:tcPr>
            <w:tcW w:w="1856" w:type="dxa"/>
            <w:tcBorders>
              <w:top w:val="nil"/>
              <w:left w:val="nil"/>
              <w:bottom w:val="single" w:sz="4" w:space="0" w:color="auto"/>
              <w:right w:val="single" w:sz="4" w:space="0" w:color="auto"/>
            </w:tcBorders>
            <w:vAlign w:val="center"/>
            <w:hideMark/>
          </w:tcPr>
          <w:p w14:paraId="7104487A" w14:textId="77777777" w:rsidR="0077799E" w:rsidRPr="00BE3CC5" w:rsidRDefault="0077799E" w:rsidP="00BE3CC5">
            <w:pPr>
              <w:pStyle w:val="NoSpacing"/>
              <w:jc w:val="center"/>
              <w:rPr>
                <w:rFonts w:ascii="Times New Roman" w:hAnsi="Times New Roman" w:cs="Times New Roman"/>
                <w:szCs w:val="24"/>
                <w:lang w:eastAsia="en-IN"/>
              </w:rPr>
            </w:pPr>
            <w:r w:rsidRPr="00BE3CC5">
              <w:rPr>
                <w:rFonts w:ascii="Times New Roman" w:hAnsi="Times New Roman" w:cs="Times New Roman"/>
                <w:szCs w:val="24"/>
                <w:lang w:eastAsia="en-IN"/>
              </w:rPr>
              <w:t>13.1</w:t>
            </w:r>
          </w:p>
        </w:tc>
        <w:tc>
          <w:tcPr>
            <w:tcW w:w="1856" w:type="dxa"/>
            <w:tcBorders>
              <w:top w:val="nil"/>
              <w:left w:val="nil"/>
              <w:bottom w:val="single" w:sz="4" w:space="0" w:color="auto"/>
              <w:right w:val="single" w:sz="4" w:space="0" w:color="auto"/>
            </w:tcBorders>
            <w:vAlign w:val="center"/>
            <w:hideMark/>
          </w:tcPr>
          <w:p w14:paraId="4C5D5506" w14:textId="77777777" w:rsidR="0077799E" w:rsidRPr="00BE3CC5" w:rsidRDefault="0077799E" w:rsidP="00BE3CC5">
            <w:pPr>
              <w:pStyle w:val="NoSpacing"/>
              <w:jc w:val="center"/>
              <w:rPr>
                <w:rFonts w:ascii="Times New Roman" w:hAnsi="Times New Roman" w:cs="Times New Roman"/>
                <w:szCs w:val="24"/>
                <w:lang w:eastAsia="en-IN"/>
              </w:rPr>
            </w:pPr>
            <w:r w:rsidRPr="00BE3CC5">
              <w:rPr>
                <w:rFonts w:ascii="Times New Roman" w:hAnsi="Times New Roman" w:cs="Times New Roman"/>
                <w:szCs w:val="24"/>
                <w:lang w:eastAsia="en-IN"/>
              </w:rPr>
              <w:t>21.4</w:t>
            </w:r>
          </w:p>
        </w:tc>
      </w:tr>
      <w:tr w:rsidR="0077799E" w:rsidRPr="00BE3CC5" w14:paraId="10DDBB7E" w14:textId="77777777" w:rsidTr="00BE3CC5">
        <w:trPr>
          <w:trHeight w:val="171"/>
          <w:jc w:val="center"/>
        </w:trPr>
        <w:tc>
          <w:tcPr>
            <w:tcW w:w="1947" w:type="dxa"/>
            <w:tcBorders>
              <w:top w:val="nil"/>
              <w:left w:val="single" w:sz="4" w:space="0" w:color="auto"/>
              <w:bottom w:val="single" w:sz="4" w:space="0" w:color="auto"/>
              <w:right w:val="single" w:sz="4" w:space="0" w:color="auto"/>
            </w:tcBorders>
            <w:vAlign w:val="center"/>
            <w:hideMark/>
          </w:tcPr>
          <w:p w14:paraId="424D0636" w14:textId="77777777" w:rsidR="0077799E" w:rsidRPr="00BE3CC5" w:rsidRDefault="0077799E" w:rsidP="0077799E">
            <w:pPr>
              <w:pStyle w:val="NoSpacing"/>
              <w:rPr>
                <w:rFonts w:ascii="Times New Roman" w:hAnsi="Times New Roman" w:cs="Times New Roman"/>
                <w:szCs w:val="24"/>
                <w:lang w:eastAsia="en-IN"/>
              </w:rPr>
            </w:pPr>
            <w:r w:rsidRPr="00BE3CC5">
              <w:rPr>
                <w:rFonts w:ascii="Times New Roman" w:hAnsi="Times New Roman" w:cs="Times New Roman"/>
                <w:szCs w:val="24"/>
                <w:lang w:eastAsia="en-IN"/>
              </w:rPr>
              <w:t>Tamil Nadu</w:t>
            </w:r>
          </w:p>
        </w:tc>
        <w:tc>
          <w:tcPr>
            <w:tcW w:w="2574" w:type="dxa"/>
            <w:tcBorders>
              <w:top w:val="nil"/>
              <w:left w:val="nil"/>
              <w:bottom w:val="single" w:sz="4" w:space="0" w:color="auto"/>
              <w:right w:val="single" w:sz="4" w:space="0" w:color="auto"/>
            </w:tcBorders>
            <w:vAlign w:val="center"/>
            <w:hideMark/>
          </w:tcPr>
          <w:p w14:paraId="1FF423CE" w14:textId="77777777" w:rsidR="0077799E" w:rsidRPr="00BE3CC5" w:rsidRDefault="0077799E" w:rsidP="00BE3CC5">
            <w:pPr>
              <w:pStyle w:val="NoSpacing"/>
              <w:jc w:val="center"/>
              <w:rPr>
                <w:rFonts w:ascii="Times New Roman" w:hAnsi="Times New Roman" w:cs="Times New Roman"/>
                <w:szCs w:val="24"/>
                <w:lang w:eastAsia="en-IN"/>
              </w:rPr>
            </w:pPr>
            <w:r w:rsidRPr="00BE3CC5">
              <w:rPr>
                <w:rFonts w:ascii="Times New Roman" w:hAnsi="Times New Roman" w:cs="Times New Roman"/>
                <w:szCs w:val="24"/>
                <w:lang w:eastAsia="en-IN"/>
              </w:rPr>
              <w:t>41.7</w:t>
            </w:r>
          </w:p>
        </w:tc>
        <w:tc>
          <w:tcPr>
            <w:tcW w:w="2327" w:type="dxa"/>
            <w:tcBorders>
              <w:top w:val="nil"/>
              <w:left w:val="nil"/>
              <w:bottom w:val="single" w:sz="4" w:space="0" w:color="auto"/>
              <w:right w:val="single" w:sz="4" w:space="0" w:color="auto"/>
            </w:tcBorders>
            <w:vAlign w:val="center"/>
            <w:hideMark/>
          </w:tcPr>
          <w:p w14:paraId="740E55AC" w14:textId="77777777" w:rsidR="0077799E" w:rsidRPr="00BE3CC5" w:rsidRDefault="0077799E" w:rsidP="00BE3CC5">
            <w:pPr>
              <w:pStyle w:val="NoSpacing"/>
              <w:jc w:val="center"/>
              <w:rPr>
                <w:rFonts w:ascii="Times New Roman" w:hAnsi="Times New Roman" w:cs="Times New Roman"/>
                <w:szCs w:val="24"/>
                <w:lang w:eastAsia="en-IN"/>
              </w:rPr>
            </w:pPr>
            <w:r w:rsidRPr="00BE3CC5">
              <w:rPr>
                <w:rFonts w:ascii="Times New Roman" w:hAnsi="Times New Roman" w:cs="Times New Roman"/>
                <w:szCs w:val="24"/>
                <w:lang w:eastAsia="en-IN"/>
              </w:rPr>
              <w:t>58.8</w:t>
            </w:r>
          </w:p>
        </w:tc>
        <w:tc>
          <w:tcPr>
            <w:tcW w:w="1856" w:type="dxa"/>
            <w:tcBorders>
              <w:top w:val="nil"/>
              <w:left w:val="nil"/>
              <w:bottom w:val="single" w:sz="4" w:space="0" w:color="auto"/>
              <w:right w:val="single" w:sz="4" w:space="0" w:color="auto"/>
            </w:tcBorders>
            <w:vAlign w:val="center"/>
            <w:hideMark/>
          </w:tcPr>
          <w:p w14:paraId="64F99E65" w14:textId="77777777" w:rsidR="0077799E" w:rsidRPr="00BE3CC5" w:rsidRDefault="0077799E" w:rsidP="00BE3CC5">
            <w:pPr>
              <w:pStyle w:val="NoSpacing"/>
              <w:jc w:val="center"/>
              <w:rPr>
                <w:rFonts w:ascii="Times New Roman" w:hAnsi="Times New Roman" w:cs="Times New Roman"/>
                <w:szCs w:val="24"/>
                <w:lang w:eastAsia="en-IN"/>
              </w:rPr>
            </w:pPr>
            <w:r w:rsidRPr="00BE3CC5">
              <w:rPr>
                <w:rFonts w:ascii="Times New Roman" w:hAnsi="Times New Roman" w:cs="Times New Roman"/>
                <w:szCs w:val="24"/>
                <w:lang w:eastAsia="en-IN"/>
              </w:rPr>
              <w:t>12.4</w:t>
            </w:r>
          </w:p>
        </w:tc>
        <w:tc>
          <w:tcPr>
            <w:tcW w:w="1856" w:type="dxa"/>
            <w:tcBorders>
              <w:top w:val="nil"/>
              <w:left w:val="nil"/>
              <w:bottom w:val="single" w:sz="4" w:space="0" w:color="auto"/>
              <w:right w:val="single" w:sz="4" w:space="0" w:color="auto"/>
            </w:tcBorders>
            <w:vAlign w:val="center"/>
            <w:hideMark/>
          </w:tcPr>
          <w:p w14:paraId="573E6CB8" w14:textId="77777777" w:rsidR="0077799E" w:rsidRPr="00BE3CC5" w:rsidRDefault="0077799E" w:rsidP="00BE3CC5">
            <w:pPr>
              <w:pStyle w:val="NoSpacing"/>
              <w:jc w:val="center"/>
              <w:rPr>
                <w:rFonts w:ascii="Times New Roman" w:hAnsi="Times New Roman" w:cs="Times New Roman"/>
                <w:szCs w:val="24"/>
                <w:lang w:eastAsia="en-IN"/>
              </w:rPr>
            </w:pPr>
            <w:r w:rsidRPr="00BE3CC5">
              <w:rPr>
                <w:rFonts w:ascii="Times New Roman" w:hAnsi="Times New Roman" w:cs="Times New Roman"/>
                <w:szCs w:val="24"/>
                <w:lang w:eastAsia="en-IN"/>
              </w:rPr>
              <w:t>17.5</w:t>
            </w:r>
          </w:p>
        </w:tc>
      </w:tr>
      <w:tr w:rsidR="0077799E" w:rsidRPr="00BE3CC5" w14:paraId="2ECA181B" w14:textId="77777777" w:rsidTr="00BE3CC5">
        <w:trPr>
          <w:trHeight w:val="171"/>
          <w:jc w:val="center"/>
        </w:trPr>
        <w:tc>
          <w:tcPr>
            <w:tcW w:w="1947" w:type="dxa"/>
            <w:tcBorders>
              <w:top w:val="nil"/>
              <w:left w:val="single" w:sz="4" w:space="0" w:color="auto"/>
              <w:bottom w:val="single" w:sz="4" w:space="0" w:color="auto"/>
              <w:right w:val="single" w:sz="4" w:space="0" w:color="auto"/>
            </w:tcBorders>
            <w:vAlign w:val="center"/>
            <w:hideMark/>
          </w:tcPr>
          <w:p w14:paraId="256E92CA" w14:textId="77777777" w:rsidR="0077799E" w:rsidRPr="00BE3CC5" w:rsidRDefault="0077799E" w:rsidP="0077799E">
            <w:pPr>
              <w:pStyle w:val="NoSpacing"/>
              <w:rPr>
                <w:rFonts w:ascii="Times New Roman" w:hAnsi="Times New Roman" w:cs="Times New Roman"/>
                <w:szCs w:val="24"/>
                <w:lang w:eastAsia="en-IN"/>
              </w:rPr>
            </w:pPr>
            <w:r w:rsidRPr="00BE3CC5">
              <w:rPr>
                <w:rFonts w:ascii="Times New Roman" w:hAnsi="Times New Roman" w:cs="Times New Roman"/>
                <w:szCs w:val="24"/>
                <w:lang w:eastAsia="en-IN"/>
              </w:rPr>
              <w:t>Uttar Pradesh</w:t>
            </w:r>
          </w:p>
        </w:tc>
        <w:tc>
          <w:tcPr>
            <w:tcW w:w="2574" w:type="dxa"/>
            <w:tcBorders>
              <w:top w:val="nil"/>
              <w:left w:val="nil"/>
              <w:bottom w:val="single" w:sz="4" w:space="0" w:color="auto"/>
              <w:right w:val="single" w:sz="4" w:space="0" w:color="auto"/>
            </w:tcBorders>
            <w:vAlign w:val="center"/>
            <w:hideMark/>
          </w:tcPr>
          <w:p w14:paraId="1E0203D6" w14:textId="77777777" w:rsidR="0077799E" w:rsidRPr="00BE3CC5" w:rsidRDefault="0077799E" w:rsidP="00BE3CC5">
            <w:pPr>
              <w:pStyle w:val="NoSpacing"/>
              <w:jc w:val="center"/>
              <w:rPr>
                <w:rFonts w:ascii="Times New Roman" w:hAnsi="Times New Roman" w:cs="Times New Roman"/>
                <w:szCs w:val="24"/>
                <w:lang w:eastAsia="en-IN"/>
              </w:rPr>
            </w:pPr>
            <w:r w:rsidRPr="00BE3CC5">
              <w:rPr>
                <w:rFonts w:ascii="Times New Roman" w:hAnsi="Times New Roman" w:cs="Times New Roman"/>
                <w:szCs w:val="24"/>
                <w:lang w:eastAsia="en-IN"/>
              </w:rPr>
              <w:t>75.41</w:t>
            </w:r>
          </w:p>
        </w:tc>
        <w:tc>
          <w:tcPr>
            <w:tcW w:w="2327" w:type="dxa"/>
            <w:tcBorders>
              <w:top w:val="nil"/>
              <w:left w:val="nil"/>
              <w:bottom w:val="single" w:sz="4" w:space="0" w:color="auto"/>
              <w:right w:val="single" w:sz="4" w:space="0" w:color="auto"/>
            </w:tcBorders>
            <w:vAlign w:val="center"/>
            <w:hideMark/>
          </w:tcPr>
          <w:p w14:paraId="4E59E1E9" w14:textId="77777777" w:rsidR="0077799E" w:rsidRPr="00BE3CC5" w:rsidRDefault="0077799E" w:rsidP="00BE3CC5">
            <w:pPr>
              <w:pStyle w:val="NoSpacing"/>
              <w:jc w:val="center"/>
              <w:rPr>
                <w:rFonts w:ascii="Times New Roman" w:hAnsi="Times New Roman" w:cs="Times New Roman"/>
                <w:szCs w:val="24"/>
                <w:lang w:eastAsia="en-IN"/>
              </w:rPr>
            </w:pPr>
            <w:r w:rsidRPr="00BE3CC5">
              <w:rPr>
                <w:rFonts w:ascii="Times New Roman" w:hAnsi="Times New Roman" w:cs="Times New Roman"/>
                <w:szCs w:val="24"/>
                <w:lang w:eastAsia="en-IN"/>
              </w:rPr>
              <w:t>124.03</w:t>
            </w:r>
          </w:p>
        </w:tc>
        <w:tc>
          <w:tcPr>
            <w:tcW w:w="1856" w:type="dxa"/>
            <w:tcBorders>
              <w:top w:val="nil"/>
              <w:left w:val="nil"/>
              <w:bottom w:val="single" w:sz="4" w:space="0" w:color="auto"/>
              <w:right w:val="single" w:sz="4" w:space="0" w:color="auto"/>
            </w:tcBorders>
            <w:vAlign w:val="center"/>
            <w:hideMark/>
          </w:tcPr>
          <w:p w14:paraId="693C982F" w14:textId="77777777" w:rsidR="0077799E" w:rsidRPr="00BE3CC5" w:rsidRDefault="0077799E" w:rsidP="00BE3CC5">
            <w:pPr>
              <w:pStyle w:val="NoSpacing"/>
              <w:jc w:val="center"/>
              <w:rPr>
                <w:rFonts w:ascii="Times New Roman" w:hAnsi="Times New Roman" w:cs="Times New Roman"/>
                <w:szCs w:val="24"/>
                <w:lang w:eastAsia="en-IN"/>
              </w:rPr>
            </w:pPr>
            <w:r w:rsidRPr="00BE3CC5">
              <w:rPr>
                <w:rFonts w:ascii="Times New Roman" w:hAnsi="Times New Roman" w:cs="Times New Roman"/>
                <w:szCs w:val="24"/>
                <w:lang w:eastAsia="en-IN"/>
              </w:rPr>
              <w:t>10.2</w:t>
            </w:r>
          </w:p>
        </w:tc>
        <w:tc>
          <w:tcPr>
            <w:tcW w:w="1856" w:type="dxa"/>
            <w:tcBorders>
              <w:top w:val="nil"/>
              <w:left w:val="nil"/>
              <w:bottom w:val="single" w:sz="4" w:space="0" w:color="auto"/>
              <w:right w:val="single" w:sz="4" w:space="0" w:color="auto"/>
            </w:tcBorders>
            <w:vAlign w:val="center"/>
            <w:hideMark/>
          </w:tcPr>
          <w:p w14:paraId="54A73C88" w14:textId="77777777" w:rsidR="0077799E" w:rsidRPr="00BE3CC5" w:rsidRDefault="0077799E" w:rsidP="00BE3CC5">
            <w:pPr>
              <w:pStyle w:val="NoSpacing"/>
              <w:jc w:val="center"/>
              <w:rPr>
                <w:rFonts w:ascii="Times New Roman" w:hAnsi="Times New Roman" w:cs="Times New Roman"/>
                <w:szCs w:val="24"/>
                <w:lang w:eastAsia="en-IN"/>
              </w:rPr>
            </w:pPr>
            <w:r w:rsidRPr="00BE3CC5">
              <w:rPr>
                <w:rFonts w:ascii="Times New Roman" w:hAnsi="Times New Roman" w:cs="Times New Roman"/>
                <w:szCs w:val="24"/>
                <w:lang w:eastAsia="en-IN"/>
              </w:rPr>
              <w:t>16.8</w:t>
            </w:r>
          </w:p>
        </w:tc>
      </w:tr>
      <w:tr w:rsidR="0077799E" w:rsidRPr="00BE3CC5" w14:paraId="0868D028" w14:textId="77777777" w:rsidTr="00BE3CC5">
        <w:trPr>
          <w:trHeight w:val="171"/>
          <w:jc w:val="center"/>
        </w:trPr>
        <w:tc>
          <w:tcPr>
            <w:tcW w:w="1947" w:type="dxa"/>
            <w:tcBorders>
              <w:top w:val="nil"/>
              <w:left w:val="single" w:sz="4" w:space="0" w:color="auto"/>
              <w:bottom w:val="single" w:sz="4" w:space="0" w:color="auto"/>
              <w:right w:val="single" w:sz="4" w:space="0" w:color="auto"/>
            </w:tcBorders>
            <w:vAlign w:val="center"/>
            <w:hideMark/>
          </w:tcPr>
          <w:p w14:paraId="1A0B9076" w14:textId="77777777" w:rsidR="0077799E" w:rsidRPr="00BE3CC5" w:rsidRDefault="0077799E" w:rsidP="0077799E">
            <w:pPr>
              <w:pStyle w:val="NoSpacing"/>
              <w:rPr>
                <w:rFonts w:ascii="Times New Roman" w:hAnsi="Times New Roman" w:cs="Times New Roman"/>
                <w:szCs w:val="24"/>
                <w:lang w:eastAsia="en-IN"/>
              </w:rPr>
            </w:pPr>
            <w:r w:rsidRPr="00BE3CC5">
              <w:rPr>
                <w:rFonts w:ascii="Times New Roman" w:hAnsi="Times New Roman" w:cs="Times New Roman"/>
                <w:szCs w:val="24"/>
                <w:lang w:eastAsia="en-IN"/>
              </w:rPr>
              <w:t>West Bengal</w:t>
            </w:r>
          </w:p>
        </w:tc>
        <w:tc>
          <w:tcPr>
            <w:tcW w:w="2574" w:type="dxa"/>
            <w:tcBorders>
              <w:top w:val="nil"/>
              <w:left w:val="nil"/>
              <w:bottom w:val="single" w:sz="4" w:space="0" w:color="auto"/>
              <w:right w:val="single" w:sz="4" w:space="0" w:color="auto"/>
            </w:tcBorders>
            <w:vAlign w:val="center"/>
            <w:hideMark/>
          </w:tcPr>
          <w:p w14:paraId="48B1D1BD" w14:textId="77777777" w:rsidR="0077799E" w:rsidRPr="00BE3CC5" w:rsidRDefault="0077799E" w:rsidP="00BE3CC5">
            <w:pPr>
              <w:pStyle w:val="NoSpacing"/>
              <w:jc w:val="center"/>
              <w:rPr>
                <w:rFonts w:ascii="Times New Roman" w:hAnsi="Times New Roman" w:cs="Times New Roman"/>
                <w:szCs w:val="24"/>
                <w:lang w:eastAsia="en-IN"/>
              </w:rPr>
            </w:pPr>
            <w:r w:rsidRPr="00BE3CC5">
              <w:rPr>
                <w:rFonts w:ascii="Times New Roman" w:hAnsi="Times New Roman" w:cs="Times New Roman"/>
                <w:szCs w:val="24"/>
                <w:lang w:eastAsia="en-IN"/>
              </w:rPr>
              <w:t>39.44</w:t>
            </w:r>
          </w:p>
        </w:tc>
        <w:tc>
          <w:tcPr>
            <w:tcW w:w="2327" w:type="dxa"/>
            <w:tcBorders>
              <w:top w:val="nil"/>
              <w:left w:val="nil"/>
              <w:bottom w:val="single" w:sz="4" w:space="0" w:color="auto"/>
              <w:right w:val="single" w:sz="4" w:space="0" w:color="auto"/>
            </w:tcBorders>
            <w:vAlign w:val="center"/>
            <w:hideMark/>
          </w:tcPr>
          <w:p w14:paraId="68C81573" w14:textId="77777777" w:rsidR="0077799E" w:rsidRPr="00BE3CC5" w:rsidRDefault="0077799E" w:rsidP="00BE3CC5">
            <w:pPr>
              <w:pStyle w:val="NoSpacing"/>
              <w:jc w:val="center"/>
              <w:rPr>
                <w:rFonts w:ascii="Times New Roman" w:hAnsi="Times New Roman" w:cs="Times New Roman"/>
                <w:szCs w:val="24"/>
                <w:lang w:eastAsia="en-IN"/>
              </w:rPr>
            </w:pPr>
            <w:r w:rsidRPr="00BE3CC5">
              <w:rPr>
                <w:rFonts w:ascii="Times New Roman" w:hAnsi="Times New Roman" w:cs="Times New Roman"/>
                <w:szCs w:val="24"/>
                <w:lang w:eastAsia="en-IN"/>
              </w:rPr>
              <w:t>71.89</w:t>
            </w:r>
          </w:p>
        </w:tc>
        <w:tc>
          <w:tcPr>
            <w:tcW w:w="1856" w:type="dxa"/>
            <w:tcBorders>
              <w:top w:val="nil"/>
              <w:left w:val="nil"/>
              <w:bottom w:val="single" w:sz="4" w:space="0" w:color="auto"/>
              <w:right w:val="single" w:sz="4" w:space="0" w:color="auto"/>
            </w:tcBorders>
            <w:vAlign w:val="center"/>
            <w:hideMark/>
          </w:tcPr>
          <w:p w14:paraId="5EEBDC27" w14:textId="77777777" w:rsidR="0077799E" w:rsidRPr="00BE3CC5" w:rsidRDefault="0077799E" w:rsidP="00BE3CC5">
            <w:pPr>
              <w:pStyle w:val="NoSpacing"/>
              <w:jc w:val="center"/>
              <w:rPr>
                <w:rFonts w:ascii="Times New Roman" w:hAnsi="Times New Roman" w:cs="Times New Roman"/>
                <w:szCs w:val="24"/>
                <w:lang w:eastAsia="en-IN"/>
              </w:rPr>
            </w:pPr>
            <w:r w:rsidRPr="00BE3CC5">
              <w:rPr>
                <w:rFonts w:ascii="Times New Roman" w:hAnsi="Times New Roman" w:cs="Times New Roman"/>
                <w:szCs w:val="24"/>
                <w:lang w:eastAsia="en-IN"/>
              </w:rPr>
              <w:t>11.3</w:t>
            </w:r>
          </w:p>
        </w:tc>
        <w:tc>
          <w:tcPr>
            <w:tcW w:w="1856" w:type="dxa"/>
            <w:tcBorders>
              <w:top w:val="nil"/>
              <w:left w:val="nil"/>
              <w:bottom w:val="single" w:sz="4" w:space="0" w:color="auto"/>
              <w:right w:val="single" w:sz="4" w:space="0" w:color="auto"/>
            </w:tcBorders>
            <w:vAlign w:val="center"/>
            <w:hideMark/>
          </w:tcPr>
          <w:p w14:paraId="1969BC48" w14:textId="77777777" w:rsidR="0077799E" w:rsidRPr="00BE3CC5" w:rsidRDefault="0077799E" w:rsidP="00BE3CC5">
            <w:pPr>
              <w:pStyle w:val="NoSpacing"/>
              <w:jc w:val="center"/>
              <w:rPr>
                <w:rFonts w:ascii="Times New Roman" w:hAnsi="Times New Roman" w:cs="Times New Roman"/>
                <w:szCs w:val="24"/>
                <w:lang w:eastAsia="en-IN"/>
              </w:rPr>
            </w:pPr>
            <w:r w:rsidRPr="00BE3CC5">
              <w:rPr>
                <w:rFonts w:ascii="Times New Roman" w:hAnsi="Times New Roman" w:cs="Times New Roman"/>
                <w:szCs w:val="24"/>
                <w:lang w:eastAsia="en-IN"/>
              </w:rPr>
              <w:t>20.6</w:t>
            </w:r>
          </w:p>
        </w:tc>
      </w:tr>
      <w:tr w:rsidR="0077799E" w:rsidRPr="00BE3CC5" w14:paraId="4F19A681" w14:textId="77777777" w:rsidTr="00BE3CC5">
        <w:trPr>
          <w:trHeight w:val="171"/>
          <w:jc w:val="center"/>
        </w:trPr>
        <w:tc>
          <w:tcPr>
            <w:tcW w:w="1947" w:type="dxa"/>
            <w:tcBorders>
              <w:top w:val="nil"/>
              <w:left w:val="single" w:sz="4" w:space="0" w:color="auto"/>
              <w:bottom w:val="single" w:sz="4" w:space="0" w:color="auto"/>
              <w:right w:val="single" w:sz="4" w:space="0" w:color="auto"/>
            </w:tcBorders>
            <w:vAlign w:val="center"/>
            <w:hideMark/>
          </w:tcPr>
          <w:p w14:paraId="38063246" w14:textId="77777777" w:rsidR="0077799E" w:rsidRPr="00BE3CC5" w:rsidRDefault="0077799E" w:rsidP="0077799E">
            <w:pPr>
              <w:pStyle w:val="NoSpacing"/>
              <w:rPr>
                <w:rFonts w:ascii="Times New Roman" w:hAnsi="Times New Roman" w:cs="Times New Roman"/>
                <w:szCs w:val="24"/>
                <w:lang w:eastAsia="en-IN"/>
              </w:rPr>
            </w:pPr>
            <w:r w:rsidRPr="00BE3CC5">
              <w:rPr>
                <w:rFonts w:ascii="Times New Roman" w:hAnsi="Times New Roman" w:cs="Times New Roman"/>
                <w:szCs w:val="24"/>
                <w:lang w:eastAsia="en-IN"/>
              </w:rPr>
              <w:t>TOTAL (14 States)</w:t>
            </w:r>
          </w:p>
        </w:tc>
        <w:tc>
          <w:tcPr>
            <w:tcW w:w="2574" w:type="dxa"/>
            <w:tcBorders>
              <w:top w:val="nil"/>
              <w:left w:val="nil"/>
              <w:bottom w:val="single" w:sz="4" w:space="0" w:color="auto"/>
              <w:right w:val="single" w:sz="4" w:space="0" w:color="auto"/>
            </w:tcBorders>
            <w:vAlign w:val="center"/>
            <w:hideMark/>
          </w:tcPr>
          <w:p w14:paraId="60C3738E" w14:textId="77777777" w:rsidR="0077799E" w:rsidRPr="00BE3CC5" w:rsidRDefault="0077799E" w:rsidP="00BE3CC5">
            <w:pPr>
              <w:pStyle w:val="NoSpacing"/>
              <w:jc w:val="center"/>
              <w:rPr>
                <w:rFonts w:ascii="Times New Roman" w:hAnsi="Times New Roman" w:cs="Times New Roman"/>
                <w:szCs w:val="24"/>
                <w:lang w:eastAsia="en-IN"/>
              </w:rPr>
            </w:pPr>
            <w:r w:rsidRPr="00BE3CC5">
              <w:rPr>
                <w:rFonts w:ascii="Times New Roman" w:hAnsi="Times New Roman" w:cs="Times New Roman"/>
                <w:szCs w:val="24"/>
                <w:lang w:eastAsia="en-IN"/>
              </w:rPr>
              <w:t>527.49</w:t>
            </w:r>
          </w:p>
        </w:tc>
        <w:tc>
          <w:tcPr>
            <w:tcW w:w="2327" w:type="dxa"/>
            <w:tcBorders>
              <w:top w:val="nil"/>
              <w:left w:val="nil"/>
              <w:bottom w:val="single" w:sz="4" w:space="0" w:color="auto"/>
              <w:right w:val="single" w:sz="4" w:space="0" w:color="auto"/>
            </w:tcBorders>
            <w:vAlign w:val="center"/>
            <w:hideMark/>
          </w:tcPr>
          <w:p w14:paraId="4534FD68" w14:textId="77777777" w:rsidR="0077799E" w:rsidRPr="00BE3CC5" w:rsidRDefault="0077799E" w:rsidP="00BE3CC5">
            <w:pPr>
              <w:pStyle w:val="NoSpacing"/>
              <w:jc w:val="center"/>
              <w:rPr>
                <w:rFonts w:ascii="Times New Roman" w:hAnsi="Times New Roman" w:cs="Times New Roman"/>
                <w:szCs w:val="24"/>
                <w:lang w:eastAsia="en-IN"/>
              </w:rPr>
            </w:pPr>
            <w:r w:rsidRPr="00BE3CC5">
              <w:rPr>
                <w:rFonts w:ascii="Times New Roman" w:hAnsi="Times New Roman" w:cs="Times New Roman"/>
                <w:szCs w:val="24"/>
                <w:lang w:eastAsia="en-IN"/>
              </w:rPr>
              <w:t>771.2</w:t>
            </w:r>
          </w:p>
        </w:tc>
        <w:tc>
          <w:tcPr>
            <w:tcW w:w="1856" w:type="dxa"/>
            <w:tcBorders>
              <w:top w:val="nil"/>
              <w:left w:val="nil"/>
              <w:bottom w:val="single" w:sz="4" w:space="0" w:color="auto"/>
              <w:right w:val="single" w:sz="4" w:space="0" w:color="auto"/>
            </w:tcBorders>
            <w:vAlign w:val="center"/>
            <w:hideMark/>
          </w:tcPr>
          <w:p w14:paraId="1CEA4B10" w14:textId="77777777" w:rsidR="0077799E" w:rsidRPr="00BE3CC5" w:rsidRDefault="0077799E" w:rsidP="00BE3CC5">
            <w:pPr>
              <w:pStyle w:val="NoSpacing"/>
              <w:jc w:val="center"/>
              <w:rPr>
                <w:rFonts w:ascii="Times New Roman" w:hAnsi="Times New Roman" w:cs="Times New Roman"/>
                <w:szCs w:val="24"/>
                <w:lang w:eastAsia="en-IN"/>
              </w:rPr>
            </w:pPr>
            <w:r w:rsidRPr="00BE3CC5">
              <w:rPr>
                <w:rFonts w:ascii="Times New Roman" w:hAnsi="Times New Roman" w:cs="Times New Roman"/>
                <w:szCs w:val="24"/>
                <w:lang w:eastAsia="en-IN"/>
              </w:rPr>
              <w:t>12.7</w:t>
            </w:r>
          </w:p>
        </w:tc>
        <w:tc>
          <w:tcPr>
            <w:tcW w:w="1856" w:type="dxa"/>
            <w:tcBorders>
              <w:top w:val="nil"/>
              <w:left w:val="nil"/>
              <w:bottom w:val="single" w:sz="4" w:space="0" w:color="auto"/>
              <w:right w:val="single" w:sz="4" w:space="0" w:color="auto"/>
            </w:tcBorders>
            <w:vAlign w:val="center"/>
            <w:hideMark/>
          </w:tcPr>
          <w:p w14:paraId="634E54D7" w14:textId="77777777" w:rsidR="0077799E" w:rsidRPr="00BE3CC5" w:rsidRDefault="0077799E" w:rsidP="00BE3CC5">
            <w:pPr>
              <w:pStyle w:val="NoSpacing"/>
              <w:jc w:val="center"/>
              <w:rPr>
                <w:rFonts w:ascii="Times New Roman" w:hAnsi="Times New Roman" w:cs="Times New Roman"/>
                <w:szCs w:val="24"/>
                <w:lang w:eastAsia="en-IN"/>
              </w:rPr>
            </w:pPr>
            <w:r w:rsidRPr="00BE3CC5">
              <w:rPr>
                <w:rFonts w:ascii="Times New Roman" w:hAnsi="Times New Roman" w:cs="Times New Roman"/>
                <w:szCs w:val="24"/>
                <w:lang w:eastAsia="en-IN"/>
              </w:rPr>
              <w:t>18.6</w:t>
            </w:r>
          </w:p>
        </w:tc>
      </w:tr>
      <w:tr w:rsidR="0077799E" w:rsidRPr="00BE3CC5" w14:paraId="2ECB2F04" w14:textId="77777777" w:rsidTr="00BE3CC5">
        <w:trPr>
          <w:trHeight w:val="171"/>
          <w:jc w:val="center"/>
        </w:trPr>
        <w:tc>
          <w:tcPr>
            <w:tcW w:w="1947" w:type="dxa"/>
            <w:tcBorders>
              <w:top w:val="nil"/>
              <w:left w:val="single" w:sz="4" w:space="0" w:color="auto"/>
              <w:bottom w:val="single" w:sz="4" w:space="0" w:color="auto"/>
              <w:right w:val="single" w:sz="4" w:space="0" w:color="auto"/>
            </w:tcBorders>
            <w:vAlign w:val="center"/>
            <w:hideMark/>
          </w:tcPr>
          <w:p w14:paraId="26157A02" w14:textId="77777777" w:rsidR="0077799E" w:rsidRPr="00BE3CC5" w:rsidRDefault="0077799E" w:rsidP="0077799E">
            <w:pPr>
              <w:pStyle w:val="NoSpacing"/>
              <w:rPr>
                <w:rFonts w:ascii="Times New Roman" w:hAnsi="Times New Roman" w:cs="Times New Roman"/>
                <w:szCs w:val="24"/>
                <w:lang w:eastAsia="en-IN"/>
              </w:rPr>
            </w:pPr>
            <w:r w:rsidRPr="00BE3CC5">
              <w:rPr>
                <w:rFonts w:ascii="Times New Roman" w:hAnsi="Times New Roman" w:cs="Times New Roman"/>
                <w:szCs w:val="24"/>
                <w:lang w:eastAsia="en-IN"/>
              </w:rPr>
              <w:t>Assam</w:t>
            </w:r>
          </w:p>
        </w:tc>
        <w:tc>
          <w:tcPr>
            <w:tcW w:w="2574" w:type="dxa"/>
            <w:tcBorders>
              <w:top w:val="nil"/>
              <w:left w:val="nil"/>
              <w:bottom w:val="single" w:sz="4" w:space="0" w:color="auto"/>
              <w:right w:val="single" w:sz="4" w:space="0" w:color="auto"/>
            </w:tcBorders>
            <w:vAlign w:val="center"/>
            <w:hideMark/>
          </w:tcPr>
          <w:p w14:paraId="20F65BB8" w14:textId="77777777" w:rsidR="0077799E" w:rsidRPr="00BE3CC5" w:rsidRDefault="0077799E" w:rsidP="00BE3CC5">
            <w:pPr>
              <w:pStyle w:val="NoSpacing"/>
              <w:jc w:val="center"/>
              <w:rPr>
                <w:rFonts w:ascii="Times New Roman" w:hAnsi="Times New Roman" w:cs="Times New Roman"/>
                <w:szCs w:val="24"/>
                <w:lang w:eastAsia="en-IN"/>
              </w:rPr>
            </w:pPr>
            <w:r w:rsidRPr="00BE3CC5">
              <w:rPr>
                <w:rFonts w:ascii="Times New Roman" w:hAnsi="Times New Roman" w:cs="Times New Roman"/>
                <w:szCs w:val="24"/>
                <w:lang w:eastAsia="en-IN"/>
              </w:rPr>
              <w:t>29.29</w:t>
            </w:r>
          </w:p>
        </w:tc>
        <w:tc>
          <w:tcPr>
            <w:tcW w:w="2327" w:type="dxa"/>
            <w:tcBorders>
              <w:top w:val="nil"/>
              <w:left w:val="nil"/>
              <w:bottom w:val="single" w:sz="4" w:space="0" w:color="auto"/>
              <w:right w:val="single" w:sz="4" w:space="0" w:color="auto"/>
            </w:tcBorders>
            <w:vAlign w:val="center"/>
            <w:hideMark/>
          </w:tcPr>
          <w:p w14:paraId="26297624" w14:textId="77777777" w:rsidR="0077799E" w:rsidRPr="00BE3CC5" w:rsidRDefault="0077799E" w:rsidP="00BE3CC5">
            <w:pPr>
              <w:pStyle w:val="NoSpacing"/>
              <w:jc w:val="center"/>
              <w:rPr>
                <w:rFonts w:ascii="Times New Roman" w:hAnsi="Times New Roman" w:cs="Times New Roman"/>
                <w:szCs w:val="24"/>
                <w:lang w:eastAsia="en-IN"/>
              </w:rPr>
            </w:pPr>
            <w:r w:rsidRPr="00BE3CC5">
              <w:rPr>
                <w:rFonts w:ascii="Times New Roman" w:hAnsi="Times New Roman" w:cs="Times New Roman"/>
                <w:szCs w:val="24"/>
                <w:lang w:eastAsia="en-IN"/>
              </w:rPr>
              <w:t>38.37</w:t>
            </w:r>
          </w:p>
        </w:tc>
        <w:tc>
          <w:tcPr>
            <w:tcW w:w="1856" w:type="dxa"/>
            <w:tcBorders>
              <w:top w:val="nil"/>
              <w:left w:val="nil"/>
              <w:bottom w:val="single" w:sz="4" w:space="0" w:color="auto"/>
              <w:right w:val="single" w:sz="4" w:space="0" w:color="auto"/>
            </w:tcBorders>
            <w:vAlign w:val="center"/>
            <w:hideMark/>
          </w:tcPr>
          <w:p w14:paraId="1FA603D2" w14:textId="77777777" w:rsidR="0077799E" w:rsidRPr="00BE3CC5" w:rsidRDefault="0077799E" w:rsidP="00BE3CC5">
            <w:pPr>
              <w:pStyle w:val="NoSpacing"/>
              <w:jc w:val="center"/>
              <w:rPr>
                <w:rFonts w:ascii="Times New Roman" w:hAnsi="Times New Roman" w:cs="Times New Roman"/>
                <w:szCs w:val="24"/>
                <w:lang w:eastAsia="en-IN"/>
              </w:rPr>
            </w:pPr>
            <w:r w:rsidRPr="00BE3CC5">
              <w:rPr>
                <w:rFonts w:ascii="Times New Roman" w:hAnsi="Times New Roman" w:cs="Times New Roman"/>
                <w:szCs w:val="24"/>
                <w:lang w:eastAsia="en-IN"/>
              </w:rPr>
              <w:t>24.7</w:t>
            </w:r>
          </w:p>
        </w:tc>
        <w:tc>
          <w:tcPr>
            <w:tcW w:w="1856" w:type="dxa"/>
            <w:tcBorders>
              <w:top w:val="nil"/>
              <w:left w:val="nil"/>
              <w:bottom w:val="single" w:sz="4" w:space="0" w:color="auto"/>
              <w:right w:val="single" w:sz="4" w:space="0" w:color="auto"/>
            </w:tcBorders>
            <w:vAlign w:val="center"/>
            <w:hideMark/>
          </w:tcPr>
          <w:p w14:paraId="3EED405E" w14:textId="77777777" w:rsidR="0077799E" w:rsidRPr="00BE3CC5" w:rsidRDefault="0077799E" w:rsidP="00BE3CC5">
            <w:pPr>
              <w:pStyle w:val="NoSpacing"/>
              <w:jc w:val="center"/>
              <w:rPr>
                <w:rFonts w:ascii="Times New Roman" w:hAnsi="Times New Roman" w:cs="Times New Roman"/>
                <w:szCs w:val="24"/>
                <w:lang w:eastAsia="en-IN"/>
              </w:rPr>
            </w:pPr>
            <w:r w:rsidRPr="00BE3CC5">
              <w:rPr>
                <w:rFonts w:ascii="Times New Roman" w:hAnsi="Times New Roman" w:cs="Times New Roman"/>
                <w:szCs w:val="24"/>
                <w:lang w:eastAsia="en-IN"/>
              </w:rPr>
              <w:t>32.3</w:t>
            </w:r>
          </w:p>
        </w:tc>
      </w:tr>
      <w:tr w:rsidR="0077799E" w:rsidRPr="00BE3CC5" w14:paraId="1F0B8606" w14:textId="77777777" w:rsidTr="00BE3CC5">
        <w:trPr>
          <w:trHeight w:val="171"/>
          <w:jc w:val="center"/>
        </w:trPr>
        <w:tc>
          <w:tcPr>
            <w:tcW w:w="1947" w:type="dxa"/>
            <w:tcBorders>
              <w:top w:val="nil"/>
              <w:left w:val="single" w:sz="4" w:space="0" w:color="auto"/>
              <w:bottom w:val="single" w:sz="4" w:space="0" w:color="auto"/>
              <w:right w:val="single" w:sz="4" w:space="0" w:color="auto"/>
            </w:tcBorders>
            <w:vAlign w:val="center"/>
            <w:hideMark/>
          </w:tcPr>
          <w:p w14:paraId="43D77043" w14:textId="77777777" w:rsidR="0077799E" w:rsidRPr="00BE3CC5" w:rsidRDefault="0077799E" w:rsidP="0077799E">
            <w:pPr>
              <w:pStyle w:val="NoSpacing"/>
              <w:rPr>
                <w:rFonts w:ascii="Times New Roman" w:hAnsi="Times New Roman" w:cs="Times New Roman"/>
                <w:szCs w:val="24"/>
                <w:lang w:eastAsia="en-IN"/>
              </w:rPr>
            </w:pPr>
            <w:r w:rsidRPr="00BE3CC5">
              <w:rPr>
                <w:rFonts w:ascii="Times New Roman" w:hAnsi="Times New Roman" w:cs="Times New Roman"/>
                <w:szCs w:val="24"/>
                <w:lang w:eastAsia="en-IN"/>
              </w:rPr>
              <w:lastRenderedPageBreak/>
              <w:t>Jammu &amp; Kashmir</w:t>
            </w:r>
          </w:p>
        </w:tc>
        <w:tc>
          <w:tcPr>
            <w:tcW w:w="2574" w:type="dxa"/>
            <w:tcBorders>
              <w:top w:val="nil"/>
              <w:left w:val="nil"/>
              <w:bottom w:val="single" w:sz="4" w:space="0" w:color="auto"/>
              <w:right w:val="single" w:sz="4" w:space="0" w:color="auto"/>
            </w:tcBorders>
            <w:vAlign w:val="center"/>
            <w:hideMark/>
          </w:tcPr>
          <w:p w14:paraId="3AFAA2F1" w14:textId="77777777" w:rsidR="0077799E" w:rsidRPr="00BE3CC5" w:rsidRDefault="0077799E" w:rsidP="00BE3CC5">
            <w:pPr>
              <w:pStyle w:val="NoSpacing"/>
              <w:jc w:val="center"/>
              <w:rPr>
                <w:rFonts w:ascii="Times New Roman" w:hAnsi="Times New Roman" w:cs="Times New Roman"/>
                <w:szCs w:val="24"/>
                <w:lang w:eastAsia="en-IN"/>
              </w:rPr>
            </w:pPr>
            <w:r w:rsidRPr="00BE3CC5">
              <w:rPr>
                <w:rFonts w:ascii="Times New Roman" w:hAnsi="Times New Roman" w:cs="Times New Roman"/>
                <w:szCs w:val="24"/>
                <w:lang w:eastAsia="en-IN"/>
              </w:rPr>
              <w:t>13.22</w:t>
            </w:r>
          </w:p>
        </w:tc>
        <w:tc>
          <w:tcPr>
            <w:tcW w:w="2327" w:type="dxa"/>
            <w:tcBorders>
              <w:top w:val="nil"/>
              <w:left w:val="nil"/>
              <w:bottom w:val="single" w:sz="4" w:space="0" w:color="auto"/>
              <w:right w:val="single" w:sz="4" w:space="0" w:color="auto"/>
            </w:tcBorders>
            <w:vAlign w:val="center"/>
            <w:hideMark/>
          </w:tcPr>
          <w:p w14:paraId="3C49C0E8" w14:textId="77777777" w:rsidR="0077799E" w:rsidRPr="00BE3CC5" w:rsidRDefault="0077799E" w:rsidP="00BE3CC5">
            <w:pPr>
              <w:pStyle w:val="NoSpacing"/>
              <w:jc w:val="center"/>
              <w:rPr>
                <w:rFonts w:ascii="Times New Roman" w:hAnsi="Times New Roman" w:cs="Times New Roman"/>
                <w:szCs w:val="24"/>
                <w:lang w:eastAsia="en-IN"/>
              </w:rPr>
            </w:pPr>
            <w:r w:rsidRPr="00BE3CC5">
              <w:rPr>
                <w:rFonts w:ascii="Times New Roman" w:hAnsi="Times New Roman" w:cs="Times New Roman"/>
                <w:szCs w:val="24"/>
                <w:lang w:eastAsia="en-IN"/>
              </w:rPr>
              <w:t>21.32</w:t>
            </w:r>
          </w:p>
        </w:tc>
        <w:tc>
          <w:tcPr>
            <w:tcW w:w="1856" w:type="dxa"/>
            <w:tcBorders>
              <w:top w:val="nil"/>
              <w:left w:val="nil"/>
              <w:bottom w:val="single" w:sz="4" w:space="0" w:color="auto"/>
              <w:right w:val="single" w:sz="4" w:space="0" w:color="auto"/>
            </w:tcBorders>
            <w:vAlign w:val="center"/>
            <w:hideMark/>
          </w:tcPr>
          <w:p w14:paraId="747A5773" w14:textId="77777777" w:rsidR="0077799E" w:rsidRPr="00BE3CC5" w:rsidRDefault="0077799E" w:rsidP="00BE3CC5">
            <w:pPr>
              <w:pStyle w:val="NoSpacing"/>
              <w:jc w:val="center"/>
              <w:rPr>
                <w:rFonts w:ascii="Times New Roman" w:hAnsi="Times New Roman" w:cs="Times New Roman"/>
                <w:szCs w:val="24"/>
                <w:lang w:eastAsia="en-IN"/>
              </w:rPr>
            </w:pPr>
            <w:r w:rsidRPr="00BE3CC5">
              <w:rPr>
                <w:rFonts w:ascii="Times New Roman" w:hAnsi="Times New Roman" w:cs="Times New Roman"/>
                <w:szCs w:val="24"/>
                <w:lang w:eastAsia="en-IN"/>
              </w:rPr>
              <w:t>37.1</w:t>
            </w:r>
          </w:p>
        </w:tc>
        <w:tc>
          <w:tcPr>
            <w:tcW w:w="1856" w:type="dxa"/>
            <w:tcBorders>
              <w:top w:val="nil"/>
              <w:left w:val="nil"/>
              <w:bottom w:val="single" w:sz="4" w:space="0" w:color="auto"/>
              <w:right w:val="single" w:sz="4" w:space="0" w:color="auto"/>
            </w:tcBorders>
            <w:vAlign w:val="center"/>
            <w:hideMark/>
          </w:tcPr>
          <w:p w14:paraId="1479C872" w14:textId="77777777" w:rsidR="0077799E" w:rsidRPr="00BE3CC5" w:rsidRDefault="0077799E" w:rsidP="00BE3CC5">
            <w:pPr>
              <w:pStyle w:val="NoSpacing"/>
              <w:jc w:val="center"/>
              <w:rPr>
                <w:rFonts w:ascii="Times New Roman" w:hAnsi="Times New Roman" w:cs="Times New Roman"/>
                <w:szCs w:val="24"/>
                <w:lang w:eastAsia="en-IN"/>
              </w:rPr>
            </w:pPr>
            <w:r w:rsidRPr="00BE3CC5">
              <w:rPr>
                <w:rFonts w:ascii="Times New Roman" w:hAnsi="Times New Roman" w:cs="Times New Roman"/>
                <w:szCs w:val="24"/>
                <w:lang w:eastAsia="en-IN"/>
              </w:rPr>
              <w:t>59.2</w:t>
            </w:r>
          </w:p>
        </w:tc>
      </w:tr>
      <w:tr w:rsidR="0077799E" w:rsidRPr="00BE3CC5" w14:paraId="6AF9FA11" w14:textId="77777777" w:rsidTr="00BE3CC5">
        <w:trPr>
          <w:trHeight w:val="171"/>
          <w:jc w:val="center"/>
        </w:trPr>
        <w:tc>
          <w:tcPr>
            <w:tcW w:w="1947" w:type="dxa"/>
            <w:tcBorders>
              <w:top w:val="nil"/>
              <w:left w:val="single" w:sz="4" w:space="0" w:color="auto"/>
              <w:bottom w:val="single" w:sz="4" w:space="0" w:color="auto"/>
              <w:right w:val="single" w:sz="4" w:space="0" w:color="auto"/>
            </w:tcBorders>
            <w:vAlign w:val="center"/>
            <w:hideMark/>
          </w:tcPr>
          <w:p w14:paraId="18214808" w14:textId="77777777" w:rsidR="0077799E" w:rsidRPr="00BE3CC5" w:rsidRDefault="0077799E" w:rsidP="0077799E">
            <w:pPr>
              <w:pStyle w:val="NoSpacing"/>
              <w:rPr>
                <w:rFonts w:ascii="Times New Roman" w:hAnsi="Times New Roman" w:cs="Times New Roman"/>
                <w:szCs w:val="24"/>
                <w:lang w:eastAsia="en-IN"/>
              </w:rPr>
            </w:pPr>
            <w:r w:rsidRPr="00BE3CC5">
              <w:rPr>
                <w:rFonts w:ascii="Times New Roman" w:hAnsi="Times New Roman" w:cs="Times New Roman"/>
                <w:szCs w:val="24"/>
                <w:lang w:eastAsia="en-IN"/>
              </w:rPr>
              <w:t>Nagaland</w:t>
            </w:r>
          </w:p>
        </w:tc>
        <w:tc>
          <w:tcPr>
            <w:tcW w:w="2574" w:type="dxa"/>
            <w:tcBorders>
              <w:top w:val="nil"/>
              <w:left w:val="nil"/>
              <w:bottom w:val="single" w:sz="4" w:space="0" w:color="auto"/>
              <w:right w:val="single" w:sz="4" w:space="0" w:color="auto"/>
            </w:tcBorders>
            <w:vAlign w:val="center"/>
            <w:hideMark/>
          </w:tcPr>
          <w:p w14:paraId="4FD5290E" w14:textId="77777777" w:rsidR="0077799E" w:rsidRPr="00BE3CC5" w:rsidRDefault="0077799E" w:rsidP="00BE3CC5">
            <w:pPr>
              <w:pStyle w:val="NoSpacing"/>
              <w:jc w:val="center"/>
              <w:rPr>
                <w:rFonts w:ascii="Times New Roman" w:hAnsi="Times New Roman" w:cs="Times New Roman"/>
                <w:szCs w:val="24"/>
                <w:lang w:eastAsia="en-IN"/>
              </w:rPr>
            </w:pPr>
            <w:r w:rsidRPr="00BE3CC5">
              <w:rPr>
                <w:rFonts w:ascii="Times New Roman" w:hAnsi="Times New Roman" w:cs="Times New Roman"/>
                <w:szCs w:val="24"/>
                <w:lang w:eastAsia="en-IN"/>
              </w:rPr>
              <w:t>11.71</w:t>
            </w:r>
          </w:p>
        </w:tc>
        <w:tc>
          <w:tcPr>
            <w:tcW w:w="2327" w:type="dxa"/>
            <w:tcBorders>
              <w:top w:val="nil"/>
              <w:left w:val="nil"/>
              <w:bottom w:val="single" w:sz="4" w:space="0" w:color="auto"/>
              <w:right w:val="single" w:sz="4" w:space="0" w:color="auto"/>
            </w:tcBorders>
            <w:vAlign w:val="center"/>
            <w:hideMark/>
          </w:tcPr>
          <w:p w14:paraId="3F94E93C" w14:textId="77777777" w:rsidR="0077799E" w:rsidRPr="00BE3CC5" w:rsidRDefault="0077799E" w:rsidP="00BE3CC5">
            <w:pPr>
              <w:pStyle w:val="NoSpacing"/>
              <w:jc w:val="center"/>
              <w:rPr>
                <w:rFonts w:ascii="Times New Roman" w:hAnsi="Times New Roman" w:cs="Times New Roman"/>
                <w:szCs w:val="24"/>
                <w:lang w:eastAsia="en-IN"/>
              </w:rPr>
            </w:pPr>
            <w:r w:rsidRPr="00BE3CC5">
              <w:rPr>
                <w:rFonts w:ascii="Times New Roman" w:hAnsi="Times New Roman" w:cs="Times New Roman"/>
                <w:szCs w:val="24"/>
                <w:lang w:eastAsia="en-IN"/>
              </w:rPr>
              <w:t>16.14</w:t>
            </w:r>
          </w:p>
        </w:tc>
        <w:tc>
          <w:tcPr>
            <w:tcW w:w="1856" w:type="dxa"/>
            <w:tcBorders>
              <w:top w:val="nil"/>
              <w:left w:val="nil"/>
              <w:bottom w:val="single" w:sz="4" w:space="0" w:color="auto"/>
              <w:right w:val="single" w:sz="4" w:space="0" w:color="auto"/>
            </w:tcBorders>
            <w:vAlign w:val="center"/>
            <w:hideMark/>
          </w:tcPr>
          <w:p w14:paraId="4EC472E5" w14:textId="77777777" w:rsidR="0077799E" w:rsidRPr="00BE3CC5" w:rsidRDefault="0077799E" w:rsidP="00BE3CC5">
            <w:pPr>
              <w:pStyle w:val="NoSpacing"/>
              <w:jc w:val="center"/>
              <w:rPr>
                <w:rFonts w:ascii="Times New Roman" w:hAnsi="Times New Roman" w:cs="Times New Roman"/>
                <w:szCs w:val="24"/>
                <w:lang w:eastAsia="en-IN"/>
              </w:rPr>
            </w:pPr>
            <w:r w:rsidRPr="00BE3CC5">
              <w:rPr>
                <w:rFonts w:ascii="Times New Roman" w:hAnsi="Times New Roman" w:cs="Times New Roman"/>
                <w:szCs w:val="24"/>
                <w:lang w:eastAsia="en-IN"/>
              </w:rPr>
              <w:t>317.3</w:t>
            </w:r>
          </w:p>
        </w:tc>
        <w:tc>
          <w:tcPr>
            <w:tcW w:w="1856" w:type="dxa"/>
            <w:tcBorders>
              <w:top w:val="nil"/>
              <w:left w:val="nil"/>
              <w:bottom w:val="single" w:sz="4" w:space="0" w:color="auto"/>
              <w:right w:val="single" w:sz="4" w:space="0" w:color="auto"/>
            </w:tcBorders>
            <w:vAlign w:val="center"/>
            <w:hideMark/>
          </w:tcPr>
          <w:p w14:paraId="61789BB3" w14:textId="77777777" w:rsidR="0077799E" w:rsidRPr="00BE3CC5" w:rsidRDefault="0077799E" w:rsidP="00BE3CC5">
            <w:pPr>
              <w:pStyle w:val="NoSpacing"/>
              <w:jc w:val="center"/>
              <w:rPr>
                <w:rFonts w:ascii="Times New Roman" w:hAnsi="Times New Roman" w:cs="Times New Roman"/>
                <w:szCs w:val="24"/>
                <w:lang w:eastAsia="en-IN"/>
              </w:rPr>
            </w:pPr>
            <w:r w:rsidRPr="00BE3CC5">
              <w:rPr>
                <w:rFonts w:ascii="Times New Roman" w:hAnsi="Times New Roman" w:cs="Times New Roman"/>
                <w:szCs w:val="24"/>
                <w:lang w:eastAsia="en-IN"/>
              </w:rPr>
              <w:t>437.4</w:t>
            </w:r>
          </w:p>
        </w:tc>
      </w:tr>
      <w:tr w:rsidR="0077799E" w:rsidRPr="00BE3CC5" w14:paraId="0086ABF6" w14:textId="77777777" w:rsidTr="00BE3CC5">
        <w:trPr>
          <w:trHeight w:val="171"/>
          <w:jc w:val="center"/>
        </w:trPr>
        <w:tc>
          <w:tcPr>
            <w:tcW w:w="1947" w:type="dxa"/>
            <w:tcBorders>
              <w:top w:val="nil"/>
              <w:left w:val="single" w:sz="4" w:space="0" w:color="auto"/>
              <w:bottom w:val="single" w:sz="4" w:space="0" w:color="auto"/>
              <w:right w:val="single" w:sz="4" w:space="0" w:color="auto"/>
            </w:tcBorders>
            <w:vAlign w:val="center"/>
            <w:hideMark/>
          </w:tcPr>
          <w:p w14:paraId="12FB486D" w14:textId="77777777" w:rsidR="0077799E" w:rsidRPr="00BE3CC5" w:rsidRDefault="0077799E" w:rsidP="0077799E">
            <w:pPr>
              <w:pStyle w:val="NoSpacing"/>
              <w:rPr>
                <w:rFonts w:ascii="Times New Roman" w:hAnsi="Times New Roman" w:cs="Times New Roman"/>
                <w:szCs w:val="24"/>
                <w:lang w:eastAsia="en-IN"/>
              </w:rPr>
            </w:pPr>
            <w:r w:rsidRPr="00BE3CC5">
              <w:rPr>
                <w:rFonts w:ascii="Times New Roman" w:hAnsi="Times New Roman" w:cs="Times New Roman"/>
                <w:szCs w:val="24"/>
                <w:lang w:eastAsia="en-IN"/>
              </w:rPr>
              <w:t>TOTAL (3 States)</w:t>
            </w:r>
          </w:p>
        </w:tc>
        <w:tc>
          <w:tcPr>
            <w:tcW w:w="2574" w:type="dxa"/>
            <w:tcBorders>
              <w:top w:val="nil"/>
              <w:left w:val="nil"/>
              <w:bottom w:val="single" w:sz="4" w:space="0" w:color="auto"/>
              <w:right w:val="single" w:sz="4" w:space="0" w:color="auto"/>
            </w:tcBorders>
            <w:vAlign w:val="center"/>
            <w:hideMark/>
          </w:tcPr>
          <w:p w14:paraId="4D1646F4" w14:textId="77777777" w:rsidR="0077799E" w:rsidRPr="00BE3CC5" w:rsidRDefault="0077799E" w:rsidP="00BE3CC5">
            <w:pPr>
              <w:pStyle w:val="NoSpacing"/>
              <w:jc w:val="center"/>
              <w:rPr>
                <w:rFonts w:ascii="Times New Roman" w:hAnsi="Times New Roman" w:cs="Times New Roman"/>
                <w:szCs w:val="24"/>
                <w:lang w:eastAsia="en-IN"/>
              </w:rPr>
            </w:pPr>
            <w:r w:rsidRPr="00BE3CC5">
              <w:rPr>
                <w:rFonts w:ascii="Times New Roman" w:hAnsi="Times New Roman" w:cs="Times New Roman"/>
                <w:szCs w:val="24"/>
                <w:lang w:eastAsia="en-IN"/>
              </w:rPr>
              <w:t>54.22</w:t>
            </w:r>
          </w:p>
        </w:tc>
        <w:tc>
          <w:tcPr>
            <w:tcW w:w="2327" w:type="dxa"/>
            <w:tcBorders>
              <w:top w:val="nil"/>
              <w:left w:val="nil"/>
              <w:bottom w:val="single" w:sz="4" w:space="0" w:color="auto"/>
              <w:right w:val="single" w:sz="4" w:space="0" w:color="auto"/>
            </w:tcBorders>
            <w:vAlign w:val="center"/>
            <w:hideMark/>
          </w:tcPr>
          <w:p w14:paraId="6AACD1CF" w14:textId="77777777" w:rsidR="0077799E" w:rsidRPr="00BE3CC5" w:rsidRDefault="0077799E" w:rsidP="00BE3CC5">
            <w:pPr>
              <w:pStyle w:val="NoSpacing"/>
              <w:jc w:val="center"/>
              <w:rPr>
                <w:rFonts w:ascii="Times New Roman" w:hAnsi="Times New Roman" w:cs="Times New Roman"/>
                <w:szCs w:val="24"/>
                <w:lang w:eastAsia="en-IN"/>
              </w:rPr>
            </w:pPr>
            <w:r w:rsidRPr="00BE3CC5">
              <w:rPr>
                <w:rFonts w:ascii="Times New Roman" w:hAnsi="Times New Roman" w:cs="Times New Roman"/>
                <w:szCs w:val="24"/>
                <w:lang w:eastAsia="en-IN"/>
              </w:rPr>
              <w:t>75.83</w:t>
            </w:r>
          </w:p>
        </w:tc>
        <w:tc>
          <w:tcPr>
            <w:tcW w:w="1856" w:type="dxa"/>
            <w:tcBorders>
              <w:top w:val="nil"/>
              <w:left w:val="nil"/>
              <w:bottom w:val="single" w:sz="4" w:space="0" w:color="auto"/>
              <w:right w:val="single" w:sz="4" w:space="0" w:color="auto"/>
            </w:tcBorders>
            <w:vAlign w:val="center"/>
            <w:hideMark/>
          </w:tcPr>
          <w:p w14:paraId="02F9E3DF" w14:textId="77777777" w:rsidR="0077799E" w:rsidRPr="00BE3CC5" w:rsidRDefault="0077799E" w:rsidP="00BE3CC5">
            <w:pPr>
              <w:pStyle w:val="NoSpacing"/>
              <w:jc w:val="center"/>
              <w:rPr>
                <w:rFonts w:ascii="Times New Roman" w:hAnsi="Times New Roman" w:cs="Times New Roman"/>
                <w:szCs w:val="24"/>
                <w:lang w:eastAsia="en-IN"/>
              </w:rPr>
            </w:pPr>
            <w:r w:rsidRPr="00BE3CC5">
              <w:rPr>
                <w:rFonts w:ascii="Times New Roman" w:hAnsi="Times New Roman" w:cs="Times New Roman"/>
                <w:szCs w:val="24"/>
                <w:lang w:eastAsia="en-IN"/>
              </w:rPr>
              <w:t>23.8</w:t>
            </w:r>
          </w:p>
        </w:tc>
        <w:tc>
          <w:tcPr>
            <w:tcW w:w="1856" w:type="dxa"/>
            <w:tcBorders>
              <w:top w:val="nil"/>
              <w:left w:val="nil"/>
              <w:bottom w:val="single" w:sz="4" w:space="0" w:color="auto"/>
              <w:right w:val="single" w:sz="4" w:space="0" w:color="auto"/>
            </w:tcBorders>
            <w:vAlign w:val="center"/>
            <w:hideMark/>
          </w:tcPr>
          <w:p w14:paraId="47A7842E" w14:textId="77777777" w:rsidR="0077799E" w:rsidRPr="00BE3CC5" w:rsidRDefault="0077799E" w:rsidP="00BE3CC5">
            <w:pPr>
              <w:pStyle w:val="NoSpacing"/>
              <w:jc w:val="center"/>
              <w:rPr>
                <w:rFonts w:ascii="Times New Roman" w:hAnsi="Times New Roman" w:cs="Times New Roman"/>
                <w:szCs w:val="24"/>
                <w:lang w:eastAsia="en-IN"/>
              </w:rPr>
            </w:pPr>
            <w:r w:rsidRPr="00BE3CC5">
              <w:rPr>
                <w:rFonts w:ascii="Times New Roman" w:hAnsi="Times New Roman" w:cs="Times New Roman"/>
                <w:szCs w:val="24"/>
                <w:lang w:eastAsia="en-IN"/>
              </w:rPr>
              <w:t>33.3</w:t>
            </w:r>
          </w:p>
        </w:tc>
      </w:tr>
      <w:tr w:rsidR="0077799E" w:rsidRPr="00BE3CC5" w14:paraId="456D0598" w14:textId="77777777" w:rsidTr="00BE3CC5">
        <w:trPr>
          <w:trHeight w:val="327"/>
          <w:jc w:val="center"/>
        </w:trPr>
        <w:tc>
          <w:tcPr>
            <w:tcW w:w="1947" w:type="dxa"/>
            <w:tcBorders>
              <w:top w:val="nil"/>
              <w:left w:val="single" w:sz="4" w:space="0" w:color="auto"/>
              <w:bottom w:val="single" w:sz="4" w:space="0" w:color="auto"/>
              <w:right w:val="single" w:sz="4" w:space="0" w:color="auto"/>
            </w:tcBorders>
            <w:vAlign w:val="center"/>
            <w:hideMark/>
          </w:tcPr>
          <w:p w14:paraId="497FBF47" w14:textId="77777777" w:rsidR="0077799E" w:rsidRPr="00BE3CC5" w:rsidRDefault="0077799E" w:rsidP="0077799E">
            <w:pPr>
              <w:pStyle w:val="NoSpacing"/>
              <w:rPr>
                <w:rFonts w:ascii="Times New Roman" w:hAnsi="Times New Roman" w:cs="Times New Roman"/>
                <w:szCs w:val="24"/>
                <w:lang w:eastAsia="en-IN"/>
              </w:rPr>
            </w:pPr>
            <w:r w:rsidRPr="00BE3CC5">
              <w:rPr>
                <w:rFonts w:ascii="Times New Roman" w:hAnsi="Times New Roman" w:cs="Times New Roman"/>
                <w:szCs w:val="24"/>
                <w:lang w:eastAsia="en-IN"/>
              </w:rPr>
              <w:t>GRAND TOTAL (17 States)</w:t>
            </w:r>
          </w:p>
        </w:tc>
        <w:tc>
          <w:tcPr>
            <w:tcW w:w="2574" w:type="dxa"/>
            <w:tcBorders>
              <w:top w:val="nil"/>
              <w:left w:val="nil"/>
              <w:bottom w:val="single" w:sz="4" w:space="0" w:color="auto"/>
              <w:right w:val="single" w:sz="4" w:space="0" w:color="auto"/>
            </w:tcBorders>
            <w:vAlign w:val="center"/>
            <w:hideMark/>
          </w:tcPr>
          <w:p w14:paraId="44D9E880" w14:textId="77777777" w:rsidR="0077799E" w:rsidRPr="00BE3CC5" w:rsidRDefault="0077799E" w:rsidP="00BE3CC5">
            <w:pPr>
              <w:pStyle w:val="NoSpacing"/>
              <w:jc w:val="center"/>
              <w:rPr>
                <w:rFonts w:ascii="Times New Roman" w:hAnsi="Times New Roman" w:cs="Times New Roman"/>
                <w:szCs w:val="24"/>
                <w:lang w:eastAsia="en-IN"/>
              </w:rPr>
            </w:pPr>
            <w:r w:rsidRPr="00BE3CC5">
              <w:rPr>
                <w:rFonts w:ascii="Times New Roman" w:hAnsi="Times New Roman" w:cs="Times New Roman"/>
                <w:szCs w:val="24"/>
                <w:lang w:eastAsia="en-IN"/>
              </w:rPr>
              <w:t>581.71</w:t>
            </w:r>
          </w:p>
        </w:tc>
        <w:tc>
          <w:tcPr>
            <w:tcW w:w="2327" w:type="dxa"/>
            <w:tcBorders>
              <w:top w:val="nil"/>
              <w:left w:val="nil"/>
              <w:bottom w:val="single" w:sz="4" w:space="0" w:color="auto"/>
              <w:right w:val="single" w:sz="4" w:space="0" w:color="auto"/>
            </w:tcBorders>
            <w:vAlign w:val="center"/>
            <w:hideMark/>
          </w:tcPr>
          <w:p w14:paraId="76B95668" w14:textId="77777777" w:rsidR="0077799E" w:rsidRPr="00BE3CC5" w:rsidRDefault="0077799E" w:rsidP="00BE3CC5">
            <w:pPr>
              <w:pStyle w:val="NoSpacing"/>
              <w:jc w:val="center"/>
              <w:rPr>
                <w:rFonts w:ascii="Times New Roman" w:hAnsi="Times New Roman" w:cs="Times New Roman"/>
                <w:szCs w:val="24"/>
                <w:lang w:eastAsia="en-IN"/>
              </w:rPr>
            </w:pPr>
            <w:r w:rsidRPr="00BE3CC5">
              <w:rPr>
                <w:rFonts w:ascii="Times New Roman" w:hAnsi="Times New Roman" w:cs="Times New Roman"/>
                <w:szCs w:val="24"/>
                <w:lang w:eastAsia="en-IN"/>
              </w:rPr>
              <w:t>847.03</w:t>
            </w:r>
          </w:p>
        </w:tc>
        <w:tc>
          <w:tcPr>
            <w:tcW w:w="1856" w:type="dxa"/>
            <w:tcBorders>
              <w:top w:val="nil"/>
              <w:left w:val="nil"/>
              <w:bottom w:val="single" w:sz="4" w:space="0" w:color="auto"/>
              <w:right w:val="single" w:sz="4" w:space="0" w:color="auto"/>
            </w:tcBorders>
            <w:vAlign w:val="center"/>
            <w:hideMark/>
          </w:tcPr>
          <w:p w14:paraId="3F34C0CD" w14:textId="77777777" w:rsidR="0077799E" w:rsidRPr="00BE3CC5" w:rsidRDefault="0077799E" w:rsidP="00BE3CC5">
            <w:pPr>
              <w:pStyle w:val="NoSpacing"/>
              <w:jc w:val="center"/>
              <w:rPr>
                <w:rFonts w:ascii="Times New Roman" w:hAnsi="Times New Roman" w:cs="Times New Roman"/>
                <w:szCs w:val="24"/>
                <w:lang w:eastAsia="en-IN"/>
              </w:rPr>
            </w:pPr>
            <w:r w:rsidRPr="00BE3CC5">
              <w:rPr>
                <w:rFonts w:ascii="Times New Roman" w:hAnsi="Times New Roman" w:cs="Times New Roman"/>
                <w:szCs w:val="24"/>
                <w:lang w:eastAsia="en-IN"/>
              </w:rPr>
              <w:t>13.5</w:t>
            </w:r>
          </w:p>
        </w:tc>
        <w:tc>
          <w:tcPr>
            <w:tcW w:w="1856" w:type="dxa"/>
            <w:tcBorders>
              <w:top w:val="nil"/>
              <w:left w:val="nil"/>
              <w:bottom w:val="single" w:sz="4" w:space="0" w:color="auto"/>
              <w:right w:val="single" w:sz="4" w:space="0" w:color="auto"/>
            </w:tcBorders>
            <w:vAlign w:val="center"/>
            <w:hideMark/>
          </w:tcPr>
          <w:p w14:paraId="65D55D66" w14:textId="77777777" w:rsidR="0077799E" w:rsidRPr="00BE3CC5" w:rsidRDefault="0077799E" w:rsidP="00BE3CC5">
            <w:pPr>
              <w:pStyle w:val="NoSpacing"/>
              <w:jc w:val="center"/>
              <w:rPr>
                <w:rFonts w:ascii="Times New Roman" w:hAnsi="Times New Roman" w:cs="Times New Roman"/>
                <w:szCs w:val="24"/>
                <w:lang w:eastAsia="en-IN"/>
              </w:rPr>
            </w:pPr>
            <w:r w:rsidRPr="00BE3CC5">
              <w:rPr>
                <w:rFonts w:ascii="Times New Roman" w:hAnsi="Times New Roman" w:cs="Times New Roman"/>
                <w:szCs w:val="24"/>
                <w:lang w:eastAsia="en-IN"/>
              </w:rPr>
              <w:t>19.7</w:t>
            </w:r>
          </w:p>
        </w:tc>
      </w:tr>
    </w:tbl>
    <w:p w14:paraId="7D21D51B" w14:textId="77777777" w:rsidR="00587B4A" w:rsidRPr="007245B0" w:rsidRDefault="00587B4A" w:rsidP="00587B4A">
      <w:pPr>
        <w:pStyle w:val="NoSpacing"/>
        <w:rPr>
          <w:rFonts w:ascii="Times New Roman" w:hAnsi="Times New Roman" w:cs="Times New Roman"/>
        </w:rPr>
      </w:pPr>
    </w:p>
    <w:p w14:paraId="7EAEE7E6" w14:textId="71DEDF5F" w:rsidR="00B21DEC" w:rsidRPr="00BE3CC5" w:rsidRDefault="00B21DEC" w:rsidP="00BE3CC5">
      <w:pPr>
        <w:pStyle w:val="ListParagraph"/>
        <w:numPr>
          <w:ilvl w:val="0"/>
          <w:numId w:val="65"/>
        </w:numPr>
        <w:spacing w:line="300" w:lineRule="exact"/>
        <w:ind w:left="0" w:firstLine="131"/>
        <w:jc w:val="both"/>
        <w:rPr>
          <w:rFonts w:ascii="Times New Roman" w:hAnsi="Times New Roman" w:cs="Times New Roman"/>
          <w:sz w:val="28"/>
          <w:szCs w:val="22"/>
        </w:rPr>
      </w:pPr>
      <w:r w:rsidRPr="00BE3CC5">
        <w:rPr>
          <w:rFonts w:ascii="Times New Roman" w:hAnsi="Times New Roman" w:cs="Times New Roman"/>
          <w:sz w:val="28"/>
          <w:szCs w:val="22"/>
        </w:rPr>
        <w:t>It will be seen from paragraph 6.49 of our Report that the scheme of devolutions recommended by us will substantially add to the surpluses of the advanced States with relatively high per capita income. This would have the effect of widening the disparity between them and the other States. The question arises whether there is no remedy for this state of affairs. It may be noted that the Fourth Finance Commission’s award was expected to result in surpluses to certain States of the magnitude indicated below:</w:t>
      </w:r>
    </w:p>
    <w:tbl>
      <w:tblPr>
        <w:tblW w:w="6249" w:type="dxa"/>
        <w:jc w:val="center"/>
        <w:tblLook w:val="04A0" w:firstRow="1" w:lastRow="0" w:firstColumn="1" w:lastColumn="0" w:noHBand="0" w:noVBand="1"/>
      </w:tblPr>
      <w:tblGrid>
        <w:gridCol w:w="2928"/>
        <w:gridCol w:w="3321"/>
      </w:tblGrid>
      <w:tr w:rsidR="00B21DEC" w:rsidRPr="00BE3CC5" w14:paraId="3E95FB6C" w14:textId="77777777" w:rsidTr="00BE3CC5">
        <w:trPr>
          <w:trHeight w:val="293"/>
          <w:jc w:val="center"/>
        </w:trPr>
        <w:tc>
          <w:tcPr>
            <w:tcW w:w="2928" w:type="dxa"/>
            <w:tcBorders>
              <w:top w:val="single" w:sz="4" w:space="0" w:color="auto"/>
              <w:left w:val="single" w:sz="4" w:space="0" w:color="auto"/>
              <w:bottom w:val="single" w:sz="4" w:space="0" w:color="auto"/>
              <w:right w:val="single" w:sz="4" w:space="0" w:color="auto"/>
            </w:tcBorders>
            <w:vAlign w:val="center"/>
            <w:hideMark/>
          </w:tcPr>
          <w:p w14:paraId="3570E06F" w14:textId="77777777" w:rsidR="00B21DEC" w:rsidRPr="00BE3CC5" w:rsidRDefault="00B21DEC" w:rsidP="00B21DEC">
            <w:pPr>
              <w:spacing w:after="0" w:line="240" w:lineRule="auto"/>
              <w:jc w:val="center"/>
              <w:rPr>
                <w:rFonts w:ascii="Times New Roman" w:eastAsia="Times New Roman" w:hAnsi="Times New Roman" w:cs="Times New Roman"/>
                <w:b/>
                <w:bCs/>
                <w:color w:val="000000"/>
                <w:kern w:val="0"/>
                <w:szCs w:val="24"/>
                <w:lang w:eastAsia="en-IN"/>
                <w14:ligatures w14:val="none"/>
              </w:rPr>
            </w:pPr>
            <w:r w:rsidRPr="00BE3CC5">
              <w:rPr>
                <w:rFonts w:ascii="Times New Roman" w:eastAsia="Times New Roman" w:hAnsi="Times New Roman" w:cs="Times New Roman"/>
                <w:b/>
                <w:bCs/>
                <w:color w:val="000000"/>
                <w:kern w:val="0"/>
                <w:szCs w:val="24"/>
                <w:lang w:eastAsia="en-IN"/>
                <w14:ligatures w14:val="none"/>
              </w:rPr>
              <w:t>State</w:t>
            </w:r>
          </w:p>
        </w:tc>
        <w:tc>
          <w:tcPr>
            <w:tcW w:w="3321" w:type="dxa"/>
            <w:tcBorders>
              <w:top w:val="single" w:sz="4" w:space="0" w:color="auto"/>
              <w:left w:val="nil"/>
              <w:bottom w:val="single" w:sz="4" w:space="0" w:color="auto"/>
              <w:right w:val="single" w:sz="4" w:space="0" w:color="auto"/>
            </w:tcBorders>
            <w:vAlign w:val="center"/>
            <w:hideMark/>
          </w:tcPr>
          <w:p w14:paraId="465ED173" w14:textId="77777777" w:rsidR="00B21DEC" w:rsidRPr="00BE3CC5" w:rsidRDefault="00B21DEC" w:rsidP="00B21DEC">
            <w:pPr>
              <w:spacing w:after="0" w:line="240" w:lineRule="auto"/>
              <w:jc w:val="center"/>
              <w:rPr>
                <w:rFonts w:ascii="Times New Roman" w:eastAsia="Times New Roman" w:hAnsi="Times New Roman" w:cs="Times New Roman"/>
                <w:b/>
                <w:bCs/>
                <w:color w:val="000000"/>
                <w:kern w:val="0"/>
                <w:szCs w:val="24"/>
                <w:lang w:eastAsia="en-IN"/>
                <w14:ligatures w14:val="none"/>
              </w:rPr>
            </w:pPr>
            <w:r w:rsidRPr="00BE3CC5">
              <w:rPr>
                <w:rFonts w:ascii="Times New Roman" w:eastAsia="Times New Roman" w:hAnsi="Times New Roman" w:cs="Times New Roman"/>
                <w:b/>
                <w:bCs/>
                <w:color w:val="000000"/>
                <w:kern w:val="0"/>
                <w:szCs w:val="24"/>
                <w:lang w:eastAsia="en-IN"/>
                <w14:ligatures w14:val="none"/>
              </w:rPr>
              <w:t>(Rs. crores)</w:t>
            </w:r>
          </w:p>
        </w:tc>
      </w:tr>
      <w:tr w:rsidR="00B21DEC" w:rsidRPr="00BE3CC5" w14:paraId="14C2A539" w14:textId="77777777" w:rsidTr="00BE3CC5">
        <w:trPr>
          <w:trHeight w:val="293"/>
          <w:jc w:val="center"/>
        </w:trPr>
        <w:tc>
          <w:tcPr>
            <w:tcW w:w="2928" w:type="dxa"/>
            <w:tcBorders>
              <w:top w:val="nil"/>
              <w:left w:val="single" w:sz="4" w:space="0" w:color="auto"/>
              <w:bottom w:val="single" w:sz="4" w:space="0" w:color="auto"/>
              <w:right w:val="single" w:sz="4" w:space="0" w:color="auto"/>
            </w:tcBorders>
            <w:vAlign w:val="center"/>
            <w:hideMark/>
          </w:tcPr>
          <w:p w14:paraId="1ADB457D" w14:textId="77777777" w:rsidR="00B21DEC" w:rsidRPr="00BE3CC5" w:rsidRDefault="00B21DEC" w:rsidP="00B21DEC">
            <w:pPr>
              <w:spacing w:after="0" w:line="240" w:lineRule="auto"/>
              <w:rPr>
                <w:rFonts w:ascii="Times New Roman" w:eastAsia="Times New Roman" w:hAnsi="Times New Roman" w:cs="Times New Roman"/>
                <w:color w:val="000000"/>
                <w:kern w:val="0"/>
                <w:szCs w:val="24"/>
                <w:lang w:eastAsia="en-IN"/>
                <w14:ligatures w14:val="none"/>
              </w:rPr>
            </w:pPr>
            <w:r w:rsidRPr="00BE3CC5">
              <w:rPr>
                <w:rFonts w:ascii="Times New Roman" w:eastAsia="Times New Roman" w:hAnsi="Times New Roman" w:cs="Times New Roman"/>
                <w:color w:val="000000"/>
                <w:kern w:val="0"/>
                <w:szCs w:val="24"/>
                <w:lang w:eastAsia="en-IN"/>
                <w14:ligatures w14:val="none"/>
              </w:rPr>
              <w:t>Bihar</w:t>
            </w:r>
          </w:p>
        </w:tc>
        <w:tc>
          <w:tcPr>
            <w:tcW w:w="3321" w:type="dxa"/>
            <w:tcBorders>
              <w:top w:val="nil"/>
              <w:left w:val="nil"/>
              <w:bottom w:val="single" w:sz="4" w:space="0" w:color="auto"/>
              <w:right w:val="single" w:sz="4" w:space="0" w:color="auto"/>
            </w:tcBorders>
            <w:vAlign w:val="center"/>
            <w:hideMark/>
          </w:tcPr>
          <w:p w14:paraId="69058B6C" w14:textId="77777777" w:rsidR="00B21DEC" w:rsidRPr="00BE3CC5" w:rsidRDefault="00B21DEC" w:rsidP="00B21DEC">
            <w:pPr>
              <w:spacing w:after="0" w:line="240" w:lineRule="auto"/>
              <w:jc w:val="center"/>
              <w:rPr>
                <w:rFonts w:ascii="Times New Roman" w:eastAsia="Times New Roman" w:hAnsi="Times New Roman" w:cs="Times New Roman"/>
                <w:color w:val="000000"/>
                <w:kern w:val="0"/>
                <w:szCs w:val="24"/>
                <w:lang w:eastAsia="en-IN"/>
                <w14:ligatures w14:val="none"/>
              </w:rPr>
            </w:pPr>
            <w:r w:rsidRPr="00BE3CC5">
              <w:rPr>
                <w:rFonts w:ascii="Times New Roman" w:eastAsia="Times New Roman" w:hAnsi="Times New Roman" w:cs="Times New Roman"/>
                <w:color w:val="000000"/>
                <w:kern w:val="0"/>
                <w:szCs w:val="24"/>
                <w:lang w:eastAsia="en-IN"/>
                <w14:ligatures w14:val="none"/>
              </w:rPr>
              <w:t>89.25</w:t>
            </w:r>
          </w:p>
        </w:tc>
      </w:tr>
      <w:tr w:rsidR="00B21DEC" w:rsidRPr="00BE3CC5" w14:paraId="46E79AD9" w14:textId="77777777" w:rsidTr="00BE3CC5">
        <w:trPr>
          <w:trHeight w:val="293"/>
          <w:jc w:val="center"/>
        </w:trPr>
        <w:tc>
          <w:tcPr>
            <w:tcW w:w="2928" w:type="dxa"/>
            <w:tcBorders>
              <w:top w:val="nil"/>
              <w:left w:val="single" w:sz="4" w:space="0" w:color="auto"/>
              <w:bottom w:val="single" w:sz="4" w:space="0" w:color="auto"/>
              <w:right w:val="single" w:sz="4" w:space="0" w:color="auto"/>
            </w:tcBorders>
            <w:vAlign w:val="center"/>
            <w:hideMark/>
          </w:tcPr>
          <w:p w14:paraId="0A494045" w14:textId="77777777" w:rsidR="00B21DEC" w:rsidRPr="00BE3CC5" w:rsidRDefault="00B21DEC" w:rsidP="00B21DEC">
            <w:pPr>
              <w:spacing w:after="0" w:line="240" w:lineRule="auto"/>
              <w:rPr>
                <w:rFonts w:ascii="Times New Roman" w:eastAsia="Times New Roman" w:hAnsi="Times New Roman" w:cs="Times New Roman"/>
                <w:color w:val="000000"/>
                <w:kern w:val="0"/>
                <w:szCs w:val="24"/>
                <w:lang w:eastAsia="en-IN"/>
                <w14:ligatures w14:val="none"/>
              </w:rPr>
            </w:pPr>
            <w:r w:rsidRPr="00BE3CC5">
              <w:rPr>
                <w:rFonts w:ascii="Times New Roman" w:eastAsia="Times New Roman" w:hAnsi="Times New Roman" w:cs="Times New Roman"/>
                <w:color w:val="000000"/>
                <w:kern w:val="0"/>
                <w:szCs w:val="24"/>
                <w:lang w:eastAsia="en-IN"/>
                <w14:ligatures w14:val="none"/>
              </w:rPr>
              <w:t>Gujarat</w:t>
            </w:r>
          </w:p>
        </w:tc>
        <w:tc>
          <w:tcPr>
            <w:tcW w:w="3321" w:type="dxa"/>
            <w:tcBorders>
              <w:top w:val="nil"/>
              <w:left w:val="nil"/>
              <w:bottom w:val="single" w:sz="4" w:space="0" w:color="auto"/>
              <w:right w:val="single" w:sz="4" w:space="0" w:color="auto"/>
            </w:tcBorders>
            <w:vAlign w:val="center"/>
            <w:hideMark/>
          </w:tcPr>
          <w:p w14:paraId="37335243" w14:textId="3DBD056E" w:rsidR="00B21DEC" w:rsidRPr="00BE3CC5" w:rsidRDefault="00B21DEC" w:rsidP="00B21DEC">
            <w:pPr>
              <w:spacing w:after="0" w:line="240" w:lineRule="auto"/>
              <w:jc w:val="center"/>
              <w:rPr>
                <w:rFonts w:ascii="Times New Roman" w:eastAsia="Times New Roman" w:hAnsi="Times New Roman" w:cs="Times New Roman"/>
                <w:color w:val="000000"/>
                <w:kern w:val="0"/>
                <w:szCs w:val="24"/>
                <w:lang w:eastAsia="en-IN"/>
                <w14:ligatures w14:val="none"/>
              </w:rPr>
            </w:pPr>
            <w:r w:rsidRPr="00BE3CC5">
              <w:rPr>
                <w:rFonts w:ascii="Times New Roman" w:eastAsia="Times New Roman" w:hAnsi="Times New Roman" w:cs="Times New Roman"/>
                <w:color w:val="000000"/>
                <w:kern w:val="0"/>
                <w:szCs w:val="24"/>
                <w:lang w:eastAsia="en-IN"/>
                <w14:ligatures w14:val="none"/>
              </w:rPr>
              <w:t>8</w:t>
            </w:r>
            <w:r w:rsidR="00BE3CC5">
              <w:rPr>
                <w:rFonts w:ascii="Times New Roman" w:eastAsia="Times New Roman" w:hAnsi="Times New Roman" w:cs="Times New Roman"/>
                <w:color w:val="000000"/>
                <w:kern w:val="0"/>
                <w:szCs w:val="24"/>
                <w:lang w:eastAsia="en-IN"/>
                <w14:ligatures w14:val="none"/>
              </w:rPr>
              <w:t>.00</w:t>
            </w:r>
          </w:p>
        </w:tc>
      </w:tr>
      <w:tr w:rsidR="00B21DEC" w:rsidRPr="00BE3CC5" w14:paraId="1DC8BE30" w14:textId="77777777" w:rsidTr="00BE3CC5">
        <w:trPr>
          <w:trHeight w:val="405"/>
          <w:jc w:val="center"/>
        </w:trPr>
        <w:tc>
          <w:tcPr>
            <w:tcW w:w="2928" w:type="dxa"/>
            <w:tcBorders>
              <w:top w:val="nil"/>
              <w:left w:val="single" w:sz="4" w:space="0" w:color="auto"/>
              <w:bottom w:val="single" w:sz="4" w:space="0" w:color="auto"/>
              <w:right w:val="single" w:sz="4" w:space="0" w:color="auto"/>
            </w:tcBorders>
            <w:vAlign w:val="center"/>
            <w:hideMark/>
          </w:tcPr>
          <w:p w14:paraId="3E2C4DC0" w14:textId="77777777" w:rsidR="00B21DEC" w:rsidRPr="00BE3CC5" w:rsidRDefault="00B21DEC" w:rsidP="00B21DEC">
            <w:pPr>
              <w:spacing w:after="0" w:line="240" w:lineRule="auto"/>
              <w:rPr>
                <w:rFonts w:ascii="Times New Roman" w:eastAsia="Times New Roman" w:hAnsi="Times New Roman" w:cs="Times New Roman"/>
                <w:color w:val="000000"/>
                <w:kern w:val="0"/>
                <w:szCs w:val="24"/>
                <w:lang w:eastAsia="en-IN"/>
                <w14:ligatures w14:val="none"/>
              </w:rPr>
            </w:pPr>
            <w:r w:rsidRPr="00BE3CC5">
              <w:rPr>
                <w:rFonts w:ascii="Times New Roman" w:eastAsia="Times New Roman" w:hAnsi="Times New Roman" w:cs="Times New Roman"/>
                <w:color w:val="000000"/>
                <w:kern w:val="0"/>
                <w:szCs w:val="24"/>
                <w:lang w:eastAsia="en-IN"/>
                <w14:ligatures w14:val="none"/>
              </w:rPr>
              <w:t>Maharashtra</w:t>
            </w:r>
          </w:p>
        </w:tc>
        <w:tc>
          <w:tcPr>
            <w:tcW w:w="3321" w:type="dxa"/>
            <w:tcBorders>
              <w:top w:val="nil"/>
              <w:left w:val="nil"/>
              <w:bottom w:val="single" w:sz="4" w:space="0" w:color="auto"/>
              <w:right w:val="single" w:sz="4" w:space="0" w:color="auto"/>
            </w:tcBorders>
            <w:vAlign w:val="center"/>
            <w:hideMark/>
          </w:tcPr>
          <w:p w14:paraId="44AF8D33" w14:textId="77777777" w:rsidR="00B21DEC" w:rsidRPr="00BE3CC5" w:rsidRDefault="00B21DEC" w:rsidP="00B21DEC">
            <w:pPr>
              <w:spacing w:after="0" w:line="240" w:lineRule="auto"/>
              <w:jc w:val="center"/>
              <w:rPr>
                <w:rFonts w:ascii="Times New Roman" w:eastAsia="Times New Roman" w:hAnsi="Times New Roman" w:cs="Times New Roman"/>
                <w:color w:val="000000"/>
                <w:kern w:val="0"/>
                <w:szCs w:val="24"/>
                <w:lang w:eastAsia="en-IN"/>
                <w14:ligatures w14:val="none"/>
              </w:rPr>
            </w:pPr>
            <w:r w:rsidRPr="00BE3CC5">
              <w:rPr>
                <w:rFonts w:ascii="Times New Roman" w:eastAsia="Times New Roman" w:hAnsi="Times New Roman" w:cs="Times New Roman"/>
                <w:color w:val="000000"/>
                <w:kern w:val="0"/>
                <w:szCs w:val="24"/>
                <w:lang w:eastAsia="en-IN"/>
                <w14:ligatures w14:val="none"/>
              </w:rPr>
              <w:t>215.66</w:t>
            </w:r>
          </w:p>
        </w:tc>
      </w:tr>
      <w:tr w:rsidR="00B21DEC" w:rsidRPr="00BE3CC5" w14:paraId="70F4C2E3" w14:textId="77777777" w:rsidTr="00BE3CC5">
        <w:trPr>
          <w:trHeight w:val="293"/>
          <w:jc w:val="center"/>
        </w:trPr>
        <w:tc>
          <w:tcPr>
            <w:tcW w:w="2928" w:type="dxa"/>
            <w:tcBorders>
              <w:top w:val="nil"/>
              <w:left w:val="single" w:sz="4" w:space="0" w:color="auto"/>
              <w:bottom w:val="single" w:sz="4" w:space="0" w:color="auto"/>
              <w:right w:val="single" w:sz="4" w:space="0" w:color="auto"/>
            </w:tcBorders>
            <w:vAlign w:val="center"/>
            <w:hideMark/>
          </w:tcPr>
          <w:p w14:paraId="3934F70D" w14:textId="77777777" w:rsidR="00B21DEC" w:rsidRPr="00BE3CC5" w:rsidRDefault="00B21DEC" w:rsidP="00B21DEC">
            <w:pPr>
              <w:spacing w:after="0" w:line="240" w:lineRule="auto"/>
              <w:rPr>
                <w:rFonts w:ascii="Times New Roman" w:eastAsia="Times New Roman" w:hAnsi="Times New Roman" w:cs="Times New Roman"/>
                <w:color w:val="000000"/>
                <w:kern w:val="0"/>
                <w:szCs w:val="24"/>
                <w:lang w:eastAsia="en-IN"/>
                <w14:ligatures w14:val="none"/>
              </w:rPr>
            </w:pPr>
            <w:r w:rsidRPr="00BE3CC5">
              <w:rPr>
                <w:rFonts w:ascii="Times New Roman" w:eastAsia="Times New Roman" w:hAnsi="Times New Roman" w:cs="Times New Roman"/>
                <w:color w:val="000000"/>
                <w:kern w:val="0"/>
                <w:szCs w:val="24"/>
                <w:lang w:eastAsia="en-IN"/>
                <w14:ligatures w14:val="none"/>
              </w:rPr>
              <w:t>Punjab</w:t>
            </w:r>
          </w:p>
        </w:tc>
        <w:tc>
          <w:tcPr>
            <w:tcW w:w="3321" w:type="dxa"/>
            <w:tcBorders>
              <w:top w:val="nil"/>
              <w:left w:val="nil"/>
              <w:bottom w:val="single" w:sz="4" w:space="0" w:color="auto"/>
              <w:right w:val="single" w:sz="4" w:space="0" w:color="auto"/>
            </w:tcBorders>
            <w:vAlign w:val="center"/>
            <w:hideMark/>
          </w:tcPr>
          <w:p w14:paraId="3FF68FBB" w14:textId="77777777" w:rsidR="00B21DEC" w:rsidRPr="00BE3CC5" w:rsidRDefault="00B21DEC" w:rsidP="00B21DEC">
            <w:pPr>
              <w:spacing w:after="0" w:line="240" w:lineRule="auto"/>
              <w:jc w:val="center"/>
              <w:rPr>
                <w:rFonts w:ascii="Times New Roman" w:eastAsia="Times New Roman" w:hAnsi="Times New Roman" w:cs="Times New Roman"/>
                <w:color w:val="000000"/>
                <w:kern w:val="0"/>
                <w:szCs w:val="24"/>
                <w:lang w:eastAsia="en-IN"/>
                <w14:ligatures w14:val="none"/>
              </w:rPr>
            </w:pPr>
            <w:r w:rsidRPr="00BE3CC5">
              <w:rPr>
                <w:rFonts w:ascii="Times New Roman" w:eastAsia="Times New Roman" w:hAnsi="Times New Roman" w:cs="Times New Roman"/>
                <w:color w:val="000000"/>
                <w:kern w:val="0"/>
                <w:szCs w:val="24"/>
                <w:lang w:eastAsia="en-IN"/>
                <w14:ligatures w14:val="none"/>
              </w:rPr>
              <w:t>29.83</w:t>
            </w:r>
          </w:p>
        </w:tc>
      </w:tr>
      <w:tr w:rsidR="00B21DEC" w:rsidRPr="00BE3CC5" w14:paraId="15A55E4D" w14:textId="77777777" w:rsidTr="00BE3CC5">
        <w:trPr>
          <w:trHeight w:val="374"/>
          <w:jc w:val="center"/>
        </w:trPr>
        <w:tc>
          <w:tcPr>
            <w:tcW w:w="2928" w:type="dxa"/>
            <w:tcBorders>
              <w:top w:val="nil"/>
              <w:left w:val="single" w:sz="4" w:space="0" w:color="auto"/>
              <w:bottom w:val="single" w:sz="4" w:space="0" w:color="auto"/>
              <w:right w:val="single" w:sz="4" w:space="0" w:color="auto"/>
            </w:tcBorders>
            <w:vAlign w:val="center"/>
            <w:hideMark/>
          </w:tcPr>
          <w:p w14:paraId="78E56304" w14:textId="77777777" w:rsidR="00B21DEC" w:rsidRPr="00BE3CC5" w:rsidRDefault="00B21DEC" w:rsidP="00B21DEC">
            <w:pPr>
              <w:spacing w:after="0" w:line="240" w:lineRule="auto"/>
              <w:rPr>
                <w:rFonts w:ascii="Times New Roman" w:eastAsia="Times New Roman" w:hAnsi="Times New Roman" w:cs="Times New Roman"/>
                <w:color w:val="000000"/>
                <w:kern w:val="0"/>
                <w:szCs w:val="24"/>
                <w:lang w:eastAsia="en-IN"/>
                <w14:ligatures w14:val="none"/>
              </w:rPr>
            </w:pPr>
            <w:r w:rsidRPr="00BE3CC5">
              <w:rPr>
                <w:rFonts w:ascii="Times New Roman" w:eastAsia="Times New Roman" w:hAnsi="Times New Roman" w:cs="Times New Roman"/>
                <w:color w:val="000000"/>
                <w:kern w:val="0"/>
                <w:szCs w:val="24"/>
                <w:lang w:eastAsia="en-IN"/>
                <w14:ligatures w14:val="none"/>
              </w:rPr>
              <w:t>Uttar Pradesh</w:t>
            </w:r>
          </w:p>
        </w:tc>
        <w:tc>
          <w:tcPr>
            <w:tcW w:w="3321" w:type="dxa"/>
            <w:tcBorders>
              <w:top w:val="nil"/>
              <w:left w:val="nil"/>
              <w:bottom w:val="single" w:sz="4" w:space="0" w:color="auto"/>
              <w:right w:val="single" w:sz="4" w:space="0" w:color="auto"/>
            </w:tcBorders>
            <w:vAlign w:val="center"/>
            <w:hideMark/>
          </w:tcPr>
          <w:p w14:paraId="131487AB" w14:textId="77777777" w:rsidR="00B21DEC" w:rsidRPr="00BE3CC5" w:rsidRDefault="00B21DEC" w:rsidP="00B21DEC">
            <w:pPr>
              <w:spacing w:after="0" w:line="240" w:lineRule="auto"/>
              <w:jc w:val="center"/>
              <w:rPr>
                <w:rFonts w:ascii="Times New Roman" w:eastAsia="Times New Roman" w:hAnsi="Times New Roman" w:cs="Times New Roman"/>
                <w:color w:val="000000"/>
                <w:kern w:val="0"/>
                <w:szCs w:val="24"/>
                <w:lang w:eastAsia="en-IN"/>
                <w14:ligatures w14:val="none"/>
              </w:rPr>
            </w:pPr>
            <w:r w:rsidRPr="00BE3CC5">
              <w:rPr>
                <w:rFonts w:ascii="Times New Roman" w:eastAsia="Times New Roman" w:hAnsi="Times New Roman" w:cs="Times New Roman"/>
                <w:color w:val="000000"/>
                <w:kern w:val="0"/>
                <w:szCs w:val="24"/>
                <w:lang w:eastAsia="en-IN"/>
                <w14:ligatures w14:val="none"/>
              </w:rPr>
              <w:t>17.02</w:t>
            </w:r>
          </w:p>
        </w:tc>
      </w:tr>
      <w:tr w:rsidR="00B21DEC" w:rsidRPr="00BE3CC5" w14:paraId="0B395BC8" w14:textId="77777777" w:rsidTr="00BE3CC5">
        <w:trPr>
          <w:trHeight w:val="293"/>
          <w:jc w:val="center"/>
        </w:trPr>
        <w:tc>
          <w:tcPr>
            <w:tcW w:w="2928" w:type="dxa"/>
            <w:tcBorders>
              <w:top w:val="nil"/>
              <w:left w:val="single" w:sz="4" w:space="0" w:color="auto"/>
              <w:bottom w:val="single" w:sz="4" w:space="0" w:color="auto"/>
              <w:right w:val="single" w:sz="4" w:space="0" w:color="auto"/>
            </w:tcBorders>
            <w:vAlign w:val="center"/>
            <w:hideMark/>
          </w:tcPr>
          <w:p w14:paraId="041F65C6" w14:textId="77777777" w:rsidR="00B21DEC" w:rsidRPr="00BE3CC5" w:rsidRDefault="00B21DEC" w:rsidP="00B21DEC">
            <w:pPr>
              <w:spacing w:after="0" w:line="240" w:lineRule="auto"/>
              <w:rPr>
                <w:rFonts w:ascii="Times New Roman" w:eastAsia="Times New Roman" w:hAnsi="Times New Roman" w:cs="Times New Roman"/>
                <w:color w:val="000000"/>
                <w:kern w:val="0"/>
                <w:szCs w:val="24"/>
                <w:lang w:eastAsia="en-IN"/>
                <w14:ligatures w14:val="none"/>
              </w:rPr>
            </w:pPr>
            <w:r w:rsidRPr="00BE3CC5">
              <w:rPr>
                <w:rFonts w:ascii="Times New Roman" w:eastAsia="Times New Roman" w:hAnsi="Times New Roman" w:cs="Times New Roman"/>
                <w:color w:val="000000"/>
                <w:kern w:val="0"/>
                <w:szCs w:val="24"/>
                <w:lang w:eastAsia="en-IN"/>
                <w14:ligatures w14:val="none"/>
              </w:rPr>
              <w:t>West Bengal</w:t>
            </w:r>
          </w:p>
        </w:tc>
        <w:tc>
          <w:tcPr>
            <w:tcW w:w="3321" w:type="dxa"/>
            <w:tcBorders>
              <w:top w:val="nil"/>
              <w:left w:val="nil"/>
              <w:bottom w:val="single" w:sz="4" w:space="0" w:color="auto"/>
              <w:right w:val="single" w:sz="4" w:space="0" w:color="auto"/>
            </w:tcBorders>
            <w:vAlign w:val="center"/>
            <w:hideMark/>
          </w:tcPr>
          <w:p w14:paraId="43902071" w14:textId="77777777" w:rsidR="00B21DEC" w:rsidRPr="00BE3CC5" w:rsidRDefault="00B21DEC" w:rsidP="00B21DEC">
            <w:pPr>
              <w:spacing w:after="0" w:line="240" w:lineRule="auto"/>
              <w:jc w:val="center"/>
              <w:rPr>
                <w:rFonts w:ascii="Times New Roman" w:eastAsia="Times New Roman" w:hAnsi="Times New Roman" w:cs="Times New Roman"/>
                <w:color w:val="000000"/>
                <w:kern w:val="0"/>
                <w:szCs w:val="24"/>
                <w:lang w:eastAsia="en-IN"/>
                <w14:ligatures w14:val="none"/>
              </w:rPr>
            </w:pPr>
            <w:r w:rsidRPr="00BE3CC5">
              <w:rPr>
                <w:rFonts w:ascii="Times New Roman" w:eastAsia="Times New Roman" w:hAnsi="Times New Roman" w:cs="Times New Roman"/>
                <w:color w:val="000000"/>
                <w:kern w:val="0"/>
                <w:szCs w:val="24"/>
                <w:lang w:eastAsia="en-IN"/>
                <w14:ligatures w14:val="none"/>
              </w:rPr>
              <w:t>13.97</w:t>
            </w:r>
          </w:p>
        </w:tc>
      </w:tr>
      <w:tr w:rsidR="00B21DEC" w:rsidRPr="00BE3CC5" w14:paraId="4AFF9492" w14:textId="77777777" w:rsidTr="00BE3CC5">
        <w:trPr>
          <w:trHeight w:val="293"/>
          <w:jc w:val="center"/>
        </w:trPr>
        <w:tc>
          <w:tcPr>
            <w:tcW w:w="2928" w:type="dxa"/>
            <w:tcBorders>
              <w:top w:val="nil"/>
              <w:left w:val="single" w:sz="4" w:space="0" w:color="auto"/>
              <w:bottom w:val="single" w:sz="4" w:space="0" w:color="auto"/>
              <w:right w:val="single" w:sz="4" w:space="0" w:color="auto"/>
            </w:tcBorders>
            <w:vAlign w:val="center"/>
            <w:hideMark/>
          </w:tcPr>
          <w:p w14:paraId="3282BB22" w14:textId="77777777" w:rsidR="00B21DEC" w:rsidRPr="00BE3CC5" w:rsidRDefault="00B21DEC" w:rsidP="00B21DEC">
            <w:pPr>
              <w:spacing w:after="0" w:line="240" w:lineRule="auto"/>
              <w:rPr>
                <w:rFonts w:ascii="Times New Roman" w:eastAsia="Times New Roman" w:hAnsi="Times New Roman" w:cs="Times New Roman"/>
                <w:b/>
                <w:bCs/>
                <w:color w:val="000000"/>
                <w:kern w:val="0"/>
                <w:szCs w:val="24"/>
                <w:lang w:eastAsia="en-IN"/>
                <w14:ligatures w14:val="none"/>
              </w:rPr>
            </w:pPr>
            <w:r w:rsidRPr="00BE3CC5">
              <w:rPr>
                <w:rFonts w:ascii="Times New Roman" w:eastAsia="Times New Roman" w:hAnsi="Times New Roman" w:cs="Times New Roman"/>
                <w:b/>
                <w:bCs/>
                <w:color w:val="000000"/>
                <w:kern w:val="0"/>
                <w:szCs w:val="24"/>
                <w:lang w:eastAsia="en-IN"/>
                <w14:ligatures w14:val="none"/>
              </w:rPr>
              <w:t>TOTAL</w:t>
            </w:r>
          </w:p>
        </w:tc>
        <w:tc>
          <w:tcPr>
            <w:tcW w:w="3321" w:type="dxa"/>
            <w:tcBorders>
              <w:top w:val="nil"/>
              <w:left w:val="nil"/>
              <w:bottom w:val="single" w:sz="4" w:space="0" w:color="auto"/>
              <w:right w:val="single" w:sz="4" w:space="0" w:color="auto"/>
            </w:tcBorders>
            <w:vAlign w:val="center"/>
            <w:hideMark/>
          </w:tcPr>
          <w:p w14:paraId="5C51D906" w14:textId="77777777" w:rsidR="00B21DEC" w:rsidRPr="00BE3CC5" w:rsidRDefault="00B21DEC" w:rsidP="00B21DEC">
            <w:pPr>
              <w:spacing w:after="0" w:line="240" w:lineRule="auto"/>
              <w:jc w:val="center"/>
              <w:rPr>
                <w:rFonts w:ascii="Times New Roman" w:eastAsia="Times New Roman" w:hAnsi="Times New Roman" w:cs="Times New Roman"/>
                <w:b/>
                <w:bCs/>
                <w:color w:val="000000"/>
                <w:kern w:val="0"/>
                <w:szCs w:val="24"/>
                <w:lang w:eastAsia="en-IN"/>
                <w14:ligatures w14:val="none"/>
              </w:rPr>
            </w:pPr>
            <w:r w:rsidRPr="00BE3CC5">
              <w:rPr>
                <w:rFonts w:ascii="Times New Roman" w:eastAsia="Times New Roman" w:hAnsi="Times New Roman" w:cs="Times New Roman"/>
                <w:b/>
                <w:bCs/>
                <w:color w:val="000000"/>
                <w:kern w:val="0"/>
                <w:szCs w:val="24"/>
                <w:lang w:eastAsia="en-IN"/>
                <w14:ligatures w14:val="none"/>
              </w:rPr>
              <w:t>373.73</w:t>
            </w:r>
          </w:p>
        </w:tc>
      </w:tr>
    </w:tbl>
    <w:p w14:paraId="6031CA54" w14:textId="77777777" w:rsidR="00B21DEC" w:rsidRPr="007245B0" w:rsidRDefault="00B21DEC" w:rsidP="00B21DEC">
      <w:pPr>
        <w:pStyle w:val="NoSpacing"/>
        <w:rPr>
          <w:rFonts w:ascii="Times New Roman" w:hAnsi="Times New Roman" w:cs="Times New Roman"/>
        </w:rPr>
      </w:pPr>
    </w:p>
    <w:p w14:paraId="40A4FF95" w14:textId="28B5C420" w:rsidR="00B21DEC" w:rsidRPr="00BE3CC5" w:rsidRDefault="00B21DEC" w:rsidP="00BE3CC5">
      <w:pPr>
        <w:spacing w:line="300" w:lineRule="exact"/>
        <w:ind w:firstLine="273"/>
        <w:jc w:val="both"/>
        <w:rPr>
          <w:rFonts w:ascii="Times New Roman" w:hAnsi="Times New Roman" w:cs="Times New Roman"/>
          <w:sz w:val="28"/>
          <w:szCs w:val="22"/>
        </w:rPr>
      </w:pPr>
      <w:r w:rsidRPr="00BE3CC5">
        <w:rPr>
          <w:rFonts w:ascii="Times New Roman" w:hAnsi="Times New Roman" w:cs="Times New Roman"/>
          <w:sz w:val="28"/>
          <w:szCs w:val="22"/>
        </w:rPr>
        <w:t>We have followed more or less the line of approach adopted by the Fourth Finance Commission but with modifications in certain directions which have the effect of securing a larger devolution to States with lower per capita income. The strikingly increased surpluses now expected to arise (Rs. 1,273 crores to 8 States) indicate that modification in the devolution scheme made by us do not go far in the direction of reducing disparities.</w:t>
      </w:r>
    </w:p>
    <w:p w14:paraId="08D241E9" w14:textId="0488CE92" w:rsidR="00B21DEC" w:rsidRPr="00BE3CC5" w:rsidRDefault="00B21DEC" w:rsidP="00BE3CC5">
      <w:pPr>
        <w:pStyle w:val="ListParagraph"/>
        <w:numPr>
          <w:ilvl w:val="0"/>
          <w:numId w:val="65"/>
        </w:numPr>
        <w:spacing w:before="240" w:line="300" w:lineRule="exact"/>
        <w:ind w:left="0" w:firstLine="131"/>
        <w:jc w:val="both"/>
        <w:rPr>
          <w:rFonts w:ascii="Times New Roman" w:hAnsi="Times New Roman" w:cs="Times New Roman"/>
          <w:sz w:val="28"/>
          <w:szCs w:val="22"/>
        </w:rPr>
      </w:pPr>
      <w:r w:rsidRPr="00BE3CC5">
        <w:rPr>
          <w:rFonts w:ascii="Times New Roman" w:hAnsi="Times New Roman" w:cs="Times New Roman"/>
          <w:sz w:val="28"/>
          <w:szCs w:val="22"/>
        </w:rPr>
        <w:t>In this connection, it has been indicated, in the concluding portion of paragraph 2.11 of our Report that the Finance Commission’s recommendations cannot be expected to place all States in a position of equality. It has to be recognised that there are also other factors which enable the advanced States to make more rapid progress in raising their per capita income level. For instance, it has been pointed out to us by several State Governments that such States have enjoyed several advantages in the matter of further industrial development, utilisation of credit resources flowing through money markets, location of Central Government’s projects in some of them and also, to some extent, as a result of Central Government’s decisions in the matter of industrial licensing. (Table I annexed to this minute). Table II gives a few instances indicating relative progress made by the States.</w:t>
      </w:r>
    </w:p>
    <w:p w14:paraId="5499879C" w14:textId="136E776B" w:rsidR="007E3032" w:rsidRPr="00BE3CC5" w:rsidRDefault="00B21DEC" w:rsidP="00BE3CC5">
      <w:pPr>
        <w:pStyle w:val="ListParagraph"/>
        <w:numPr>
          <w:ilvl w:val="0"/>
          <w:numId w:val="65"/>
        </w:numPr>
        <w:spacing w:before="240" w:line="300" w:lineRule="exact"/>
        <w:ind w:left="0" w:firstLine="131"/>
        <w:jc w:val="both"/>
        <w:rPr>
          <w:rFonts w:ascii="Times New Roman" w:hAnsi="Times New Roman" w:cs="Times New Roman"/>
        </w:rPr>
      </w:pPr>
      <w:r w:rsidRPr="00BE3CC5">
        <w:rPr>
          <w:rFonts w:ascii="Times New Roman" w:hAnsi="Times New Roman" w:cs="Times New Roman"/>
          <w:sz w:val="28"/>
          <w:szCs w:val="22"/>
        </w:rPr>
        <w:t xml:space="preserve">The taxes of the more industrialised States are also more elastic; for example in the matter of sales tax the manufacturing centres can realise substantial amounts by levying the tax on semi-manufactured and manufactured products distributed all </w:t>
      </w:r>
      <w:r w:rsidRPr="00BE3CC5">
        <w:rPr>
          <w:rFonts w:ascii="Times New Roman" w:hAnsi="Times New Roman" w:cs="Times New Roman"/>
          <w:sz w:val="28"/>
          <w:szCs w:val="22"/>
        </w:rPr>
        <w:lastRenderedPageBreak/>
        <w:t>over India. Thus in 1967-68 four States realised Rs. 66 crores by way of inter-State sales tax out of a total collection in all States of Rs. 111 crores during that year. It is also possible that industrialised States will be able to levy general sales tax at the first stage of sale of their manufactured</w:t>
      </w:r>
      <w:r w:rsidR="00BE3CC5">
        <w:rPr>
          <w:rFonts w:ascii="Times New Roman" w:hAnsi="Times New Roman" w:cs="Times New Roman"/>
          <w:sz w:val="28"/>
          <w:szCs w:val="22"/>
        </w:rPr>
        <w:t xml:space="preserve"> g</w:t>
      </w:r>
      <w:r w:rsidR="007E3032" w:rsidRPr="00BE3CC5">
        <w:rPr>
          <w:rFonts w:ascii="Times New Roman" w:hAnsi="Times New Roman" w:cs="Times New Roman"/>
          <w:sz w:val="28"/>
          <w:szCs w:val="22"/>
        </w:rPr>
        <w:t>oods which are ultimately consumed in other States in India. The distribution of a percentage of the divisible pool of the States’ share of taxes on income on the basis of collection of assessment in the respective States also give same advantage to such States. The per capita plan outlay is also greater in the more industrialised States owing to the larger resources available to them, as may be seen from the following table:</w:t>
      </w:r>
    </w:p>
    <w:tbl>
      <w:tblPr>
        <w:tblW w:w="10114" w:type="dxa"/>
        <w:tblLook w:val="04A0" w:firstRow="1" w:lastRow="0" w:firstColumn="1" w:lastColumn="0" w:noHBand="0" w:noVBand="1"/>
      </w:tblPr>
      <w:tblGrid>
        <w:gridCol w:w="1601"/>
        <w:gridCol w:w="1634"/>
        <w:gridCol w:w="2320"/>
        <w:gridCol w:w="1879"/>
        <w:gridCol w:w="2680"/>
      </w:tblGrid>
      <w:tr w:rsidR="007E3032" w:rsidRPr="00BE3CC5" w14:paraId="2784822A" w14:textId="77777777" w:rsidTr="007E3032">
        <w:trPr>
          <w:trHeight w:val="325"/>
        </w:trPr>
        <w:tc>
          <w:tcPr>
            <w:tcW w:w="1601" w:type="dxa"/>
            <w:vMerge w:val="restart"/>
            <w:tcBorders>
              <w:top w:val="single" w:sz="4" w:space="0" w:color="auto"/>
              <w:left w:val="single" w:sz="4" w:space="0" w:color="auto"/>
              <w:bottom w:val="single" w:sz="4" w:space="0" w:color="000000"/>
              <w:right w:val="single" w:sz="4" w:space="0" w:color="auto"/>
            </w:tcBorders>
            <w:hideMark/>
          </w:tcPr>
          <w:p w14:paraId="14244A3B" w14:textId="77777777" w:rsidR="007E3032" w:rsidRPr="00BE3CC5" w:rsidRDefault="007E3032" w:rsidP="007E3032">
            <w:pPr>
              <w:spacing w:after="0" w:line="240" w:lineRule="auto"/>
              <w:jc w:val="center"/>
              <w:rPr>
                <w:rFonts w:ascii="Times New Roman" w:eastAsia="Times New Roman" w:hAnsi="Times New Roman" w:cs="Times New Roman"/>
                <w:b/>
                <w:bCs/>
                <w:color w:val="000000"/>
                <w:kern w:val="0"/>
                <w:szCs w:val="24"/>
                <w:lang w:eastAsia="en-IN"/>
                <w14:ligatures w14:val="none"/>
              </w:rPr>
            </w:pPr>
            <w:r w:rsidRPr="00BE3CC5">
              <w:rPr>
                <w:rFonts w:ascii="Times New Roman" w:eastAsia="Times New Roman" w:hAnsi="Times New Roman" w:cs="Times New Roman"/>
                <w:b/>
                <w:bCs/>
                <w:color w:val="000000"/>
                <w:kern w:val="0"/>
                <w:szCs w:val="24"/>
                <w:lang w:eastAsia="en-IN"/>
                <w14:ligatures w14:val="none"/>
              </w:rPr>
              <w:t>States</w:t>
            </w:r>
          </w:p>
        </w:tc>
        <w:tc>
          <w:tcPr>
            <w:tcW w:w="3954" w:type="dxa"/>
            <w:gridSpan w:val="2"/>
            <w:tcBorders>
              <w:top w:val="single" w:sz="4" w:space="0" w:color="auto"/>
              <w:left w:val="nil"/>
              <w:bottom w:val="single" w:sz="4" w:space="0" w:color="auto"/>
              <w:right w:val="single" w:sz="4" w:space="0" w:color="auto"/>
            </w:tcBorders>
            <w:noWrap/>
            <w:vAlign w:val="bottom"/>
            <w:hideMark/>
          </w:tcPr>
          <w:p w14:paraId="4F4076F3" w14:textId="77777777" w:rsidR="007E3032" w:rsidRPr="00BE3CC5" w:rsidRDefault="007E3032" w:rsidP="007E3032">
            <w:pPr>
              <w:spacing w:after="0" w:line="240" w:lineRule="auto"/>
              <w:jc w:val="center"/>
              <w:rPr>
                <w:rFonts w:ascii="Times New Roman" w:eastAsia="Times New Roman" w:hAnsi="Times New Roman" w:cs="Times New Roman"/>
                <w:b/>
                <w:bCs/>
                <w:color w:val="000000"/>
                <w:kern w:val="0"/>
                <w:szCs w:val="24"/>
                <w:lang w:eastAsia="en-IN"/>
                <w14:ligatures w14:val="none"/>
              </w:rPr>
            </w:pPr>
            <w:r w:rsidRPr="00BE3CC5">
              <w:rPr>
                <w:rFonts w:ascii="Times New Roman" w:eastAsia="Times New Roman" w:hAnsi="Times New Roman" w:cs="Times New Roman"/>
                <w:b/>
                <w:bCs/>
                <w:color w:val="000000"/>
                <w:kern w:val="0"/>
                <w:szCs w:val="24"/>
                <w:lang w:eastAsia="en-IN"/>
                <w14:ligatures w14:val="none"/>
              </w:rPr>
              <w:t xml:space="preserve">Total for 18- year period (1951-69) </w:t>
            </w:r>
          </w:p>
        </w:tc>
        <w:tc>
          <w:tcPr>
            <w:tcW w:w="4559" w:type="dxa"/>
            <w:gridSpan w:val="2"/>
            <w:tcBorders>
              <w:top w:val="single" w:sz="4" w:space="0" w:color="auto"/>
              <w:left w:val="nil"/>
              <w:bottom w:val="single" w:sz="4" w:space="0" w:color="auto"/>
              <w:right w:val="single" w:sz="4" w:space="0" w:color="auto"/>
            </w:tcBorders>
            <w:noWrap/>
            <w:vAlign w:val="bottom"/>
            <w:hideMark/>
          </w:tcPr>
          <w:p w14:paraId="772026FC" w14:textId="1C2D35E5" w:rsidR="007E3032" w:rsidRPr="00BE3CC5" w:rsidRDefault="00E418BA" w:rsidP="007E3032">
            <w:pPr>
              <w:spacing w:after="0" w:line="240" w:lineRule="auto"/>
              <w:jc w:val="center"/>
              <w:rPr>
                <w:rFonts w:ascii="Times New Roman" w:eastAsia="Times New Roman" w:hAnsi="Times New Roman" w:cs="Times New Roman"/>
                <w:b/>
                <w:bCs/>
                <w:color w:val="000000"/>
                <w:kern w:val="0"/>
                <w:szCs w:val="24"/>
                <w:lang w:eastAsia="en-IN"/>
                <w14:ligatures w14:val="none"/>
              </w:rPr>
            </w:pPr>
            <w:r>
              <w:rPr>
                <w:rFonts w:ascii="Times New Roman" w:eastAsia="Times New Roman" w:hAnsi="Times New Roman" w:cs="Times New Roman"/>
                <w:b/>
                <w:bCs/>
                <w:color w:val="000000"/>
                <w:kern w:val="0"/>
                <w:szCs w:val="24"/>
                <w:lang w:eastAsia="en-IN"/>
                <w14:ligatures w14:val="none"/>
              </w:rPr>
              <w:t>F</w:t>
            </w:r>
            <w:r w:rsidR="007E3032" w:rsidRPr="00BE3CC5">
              <w:rPr>
                <w:rFonts w:ascii="Times New Roman" w:eastAsia="Times New Roman" w:hAnsi="Times New Roman" w:cs="Times New Roman"/>
                <w:b/>
                <w:bCs/>
                <w:color w:val="000000"/>
                <w:kern w:val="0"/>
                <w:szCs w:val="24"/>
                <w:lang w:eastAsia="en-IN"/>
                <w14:ligatures w14:val="none"/>
              </w:rPr>
              <w:t xml:space="preserve">ourth </w:t>
            </w:r>
            <w:r>
              <w:rPr>
                <w:rFonts w:ascii="Times New Roman" w:eastAsia="Times New Roman" w:hAnsi="Times New Roman" w:cs="Times New Roman"/>
                <w:b/>
                <w:bCs/>
                <w:color w:val="000000"/>
                <w:kern w:val="0"/>
                <w:szCs w:val="24"/>
                <w:lang w:eastAsia="en-IN"/>
                <w14:ligatures w14:val="none"/>
              </w:rPr>
              <w:t>P</w:t>
            </w:r>
            <w:r w:rsidR="007E3032" w:rsidRPr="00BE3CC5">
              <w:rPr>
                <w:rFonts w:ascii="Times New Roman" w:eastAsia="Times New Roman" w:hAnsi="Times New Roman" w:cs="Times New Roman"/>
                <w:b/>
                <w:bCs/>
                <w:color w:val="000000"/>
                <w:kern w:val="0"/>
                <w:szCs w:val="24"/>
                <w:lang w:eastAsia="en-IN"/>
                <w14:ligatures w14:val="none"/>
              </w:rPr>
              <w:t>lan (1969-74)</w:t>
            </w:r>
          </w:p>
        </w:tc>
      </w:tr>
      <w:tr w:rsidR="007E3032" w:rsidRPr="00BE3CC5" w14:paraId="3E7B66DA" w14:textId="77777777" w:rsidTr="007E3032">
        <w:trPr>
          <w:trHeight w:val="618"/>
        </w:trPr>
        <w:tc>
          <w:tcPr>
            <w:tcW w:w="1601" w:type="dxa"/>
            <w:vMerge/>
            <w:tcBorders>
              <w:top w:val="single" w:sz="4" w:space="0" w:color="auto"/>
              <w:left w:val="single" w:sz="4" w:space="0" w:color="auto"/>
              <w:bottom w:val="single" w:sz="4" w:space="0" w:color="000000"/>
              <w:right w:val="single" w:sz="4" w:space="0" w:color="auto"/>
            </w:tcBorders>
            <w:vAlign w:val="center"/>
            <w:hideMark/>
          </w:tcPr>
          <w:p w14:paraId="21825F66" w14:textId="77777777" w:rsidR="007E3032" w:rsidRPr="00BE3CC5" w:rsidRDefault="007E3032" w:rsidP="007E3032">
            <w:pPr>
              <w:spacing w:after="0" w:line="240" w:lineRule="auto"/>
              <w:rPr>
                <w:rFonts w:ascii="Times New Roman" w:eastAsia="Times New Roman" w:hAnsi="Times New Roman" w:cs="Times New Roman"/>
                <w:b/>
                <w:bCs/>
                <w:color w:val="000000"/>
                <w:kern w:val="0"/>
                <w:szCs w:val="24"/>
                <w:lang w:eastAsia="en-IN"/>
                <w14:ligatures w14:val="none"/>
              </w:rPr>
            </w:pPr>
          </w:p>
        </w:tc>
        <w:tc>
          <w:tcPr>
            <w:tcW w:w="1634" w:type="dxa"/>
            <w:tcBorders>
              <w:top w:val="nil"/>
              <w:left w:val="nil"/>
              <w:bottom w:val="single" w:sz="4" w:space="0" w:color="auto"/>
              <w:right w:val="single" w:sz="4" w:space="0" w:color="auto"/>
            </w:tcBorders>
            <w:hideMark/>
          </w:tcPr>
          <w:p w14:paraId="2192933D" w14:textId="00C01F4E" w:rsidR="007E3032" w:rsidRPr="00BE3CC5" w:rsidRDefault="007E3032" w:rsidP="007E3032">
            <w:pPr>
              <w:spacing w:after="0" w:line="240" w:lineRule="auto"/>
              <w:jc w:val="center"/>
              <w:rPr>
                <w:rFonts w:ascii="Times New Roman" w:eastAsia="Times New Roman" w:hAnsi="Times New Roman" w:cs="Times New Roman"/>
                <w:b/>
                <w:bCs/>
                <w:color w:val="000000"/>
                <w:kern w:val="0"/>
                <w:szCs w:val="24"/>
                <w:lang w:eastAsia="en-IN"/>
                <w14:ligatures w14:val="none"/>
              </w:rPr>
            </w:pPr>
            <w:r w:rsidRPr="00BE3CC5">
              <w:rPr>
                <w:rFonts w:ascii="Times New Roman" w:eastAsia="Times New Roman" w:hAnsi="Times New Roman" w:cs="Times New Roman"/>
                <w:b/>
                <w:bCs/>
                <w:color w:val="000000"/>
                <w:kern w:val="0"/>
                <w:szCs w:val="24"/>
                <w:lang w:eastAsia="en-IN"/>
                <w14:ligatures w14:val="none"/>
              </w:rPr>
              <w:t xml:space="preserve">Plan outlay (per </w:t>
            </w:r>
            <w:r w:rsidR="00E418BA" w:rsidRPr="00BE3CC5">
              <w:rPr>
                <w:rFonts w:ascii="Times New Roman" w:eastAsia="Times New Roman" w:hAnsi="Times New Roman" w:cs="Times New Roman"/>
                <w:b/>
                <w:bCs/>
                <w:color w:val="000000"/>
                <w:kern w:val="0"/>
                <w:szCs w:val="24"/>
                <w:lang w:eastAsia="en-IN"/>
                <w14:ligatures w14:val="none"/>
              </w:rPr>
              <w:t>capita in</w:t>
            </w:r>
            <w:r w:rsidRPr="00BE3CC5">
              <w:rPr>
                <w:rFonts w:ascii="Times New Roman" w:eastAsia="Times New Roman" w:hAnsi="Times New Roman" w:cs="Times New Roman"/>
                <w:b/>
                <w:bCs/>
                <w:color w:val="000000"/>
                <w:kern w:val="0"/>
                <w:szCs w:val="24"/>
                <w:lang w:eastAsia="en-IN"/>
                <w14:ligatures w14:val="none"/>
              </w:rPr>
              <w:t xml:space="preserve"> Rs.) </w:t>
            </w:r>
          </w:p>
        </w:tc>
        <w:tc>
          <w:tcPr>
            <w:tcW w:w="2320" w:type="dxa"/>
            <w:tcBorders>
              <w:top w:val="nil"/>
              <w:left w:val="nil"/>
              <w:bottom w:val="single" w:sz="4" w:space="0" w:color="auto"/>
              <w:right w:val="single" w:sz="4" w:space="0" w:color="auto"/>
            </w:tcBorders>
            <w:hideMark/>
          </w:tcPr>
          <w:p w14:paraId="0F275412" w14:textId="20F6A56B" w:rsidR="007E3032" w:rsidRPr="00BE3CC5" w:rsidRDefault="007E3032" w:rsidP="007E3032">
            <w:pPr>
              <w:spacing w:after="0" w:line="240" w:lineRule="auto"/>
              <w:jc w:val="center"/>
              <w:rPr>
                <w:rFonts w:ascii="Times New Roman" w:eastAsia="Times New Roman" w:hAnsi="Times New Roman" w:cs="Times New Roman"/>
                <w:b/>
                <w:bCs/>
                <w:color w:val="000000"/>
                <w:kern w:val="0"/>
                <w:szCs w:val="24"/>
                <w:lang w:eastAsia="en-IN"/>
                <w14:ligatures w14:val="none"/>
              </w:rPr>
            </w:pPr>
            <w:r w:rsidRPr="00BE3CC5">
              <w:rPr>
                <w:rFonts w:ascii="Times New Roman" w:eastAsia="Times New Roman" w:hAnsi="Times New Roman" w:cs="Times New Roman"/>
                <w:b/>
                <w:bCs/>
                <w:color w:val="000000"/>
                <w:kern w:val="0"/>
                <w:szCs w:val="24"/>
                <w:lang w:eastAsia="en-IN"/>
                <w14:ligatures w14:val="none"/>
              </w:rPr>
              <w:t xml:space="preserve">Central assistance (per </w:t>
            </w:r>
            <w:r w:rsidR="00E418BA" w:rsidRPr="00BE3CC5">
              <w:rPr>
                <w:rFonts w:ascii="Times New Roman" w:eastAsia="Times New Roman" w:hAnsi="Times New Roman" w:cs="Times New Roman"/>
                <w:b/>
                <w:bCs/>
                <w:color w:val="000000"/>
                <w:kern w:val="0"/>
                <w:szCs w:val="24"/>
                <w:lang w:eastAsia="en-IN"/>
                <w14:ligatures w14:val="none"/>
              </w:rPr>
              <w:t>capita in</w:t>
            </w:r>
            <w:r w:rsidRPr="00BE3CC5">
              <w:rPr>
                <w:rFonts w:ascii="Times New Roman" w:eastAsia="Times New Roman" w:hAnsi="Times New Roman" w:cs="Times New Roman"/>
                <w:b/>
                <w:bCs/>
                <w:color w:val="000000"/>
                <w:kern w:val="0"/>
                <w:szCs w:val="24"/>
                <w:lang w:eastAsia="en-IN"/>
                <w14:ligatures w14:val="none"/>
              </w:rPr>
              <w:t xml:space="preserve"> Rs.) </w:t>
            </w:r>
          </w:p>
        </w:tc>
        <w:tc>
          <w:tcPr>
            <w:tcW w:w="1879" w:type="dxa"/>
            <w:tcBorders>
              <w:top w:val="nil"/>
              <w:left w:val="nil"/>
              <w:bottom w:val="single" w:sz="4" w:space="0" w:color="auto"/>
              <w:right w:val="single" w:sz="4" w:space="0" w:color="auto"/>
            </w:tcBorders>
            <w:hideMark/>
          </w:tcPr>
          <w:p w14:paraId="72D0DFE6" w14:textId="4F85E300" w:rsidR="007E3032" w:rsidRPr="00BE3CC5" w:rsidRDefault="007E3032" w:rsidP="007E3032">
            <w:pPr>
              <w:spacing w:after="0" w:line="240" w:lineRule="auto"/>
              <w:jc w:val="center"/>
              <w:rPr>
                <w:rFonts w:ascii="Times New Roman" w:eastAsia="Times New Roman" w:hAnsi="Times New Roman" w:cs="Times New Roman"/>
                <w:b/>
                <w:bCs/>
                <w:color w:val="000000"/>
                <w:kern w:val="0"/>
                <w:szCs w:val="24"/>
                <w:lang w:eastAsia="en-IN"/>
                <w14:ligatures w14:val="none"/>
              </w:rPr>
            </w:pPr>
            <w:r w:rsidRPr="00BE3CC5">
              <w:rPr>
                <w:rFonts w:ascii="Times New Roman" w:eastAsia="Times New Roman" w:hAnsi="Times New Roman" w:cs="Times New Roman"/>
                <w:b/>
                <w:bCs/>
                <w:color w:val="000000"/>
                <w:kern w:val="0"/>
                <w:szCs w:val="24"/>
                <w:lang w:eastAsia="en-IN"/>
                <w14:ligatures w14:val="none"/>
              </w:rPr>
              <w:t xml:space="preserve">Plan outlay (per </w:t>
            </w:r>
            <w:r w:rsidR="00E418BA" w:rsidRPr="00BE3CC5">
              <w:rPr>
                <w:rFonts w:ascii="Times New Roman" w:eastAsia="Times New Roman" w:hAnsi="Times New Roman" w:cs="Times New Roman"/>
                <w:b/>
                <w:bCs/>
                <w:color w:val="000000"/>
                <w:kern w:val="0"/>
                <w:szCs w:val="24"/>
                <w:lang w:eastAsia="en-IN"/>
                <w14:ligatures w14:val="none"/>
              </w:rPr>
              <w:t>capita in</w:t>
            </w:r>
            <w:r w:rsidRPr="00BE3CC5">
              <w:rPr>
                <w:rFonts w:ascii="Times New Roman" w:eastAsia="Times New Roman" w:hAnsi="Times New Roman" w:cs="Times New Roman"/>
                <w:b/>
                <w:bCs/>
                <w:color w:val="000000"/>
                <w:kern w:val="0"/>
                <w:szCs w:val="24"/>
                <w:lang w:eastAsia="en-IN"/>
                <w14:ligatures w14:val="none"/>
              </w:rPr>
              <w:t xml:space="preserve"> Rs.) </w:t>
            </w:r>
          </w:p>
        </w:tc>
        <w:tc>
          <w:tcPr>
            <w:tcW w:w="2679" w:type="dxa"/>
            <w:tcBorders>
              <w:top w:val="nil"/>
              <w:left w:val="nil"/>
              <w:bottom w:val="single" w:sz="4" w:space="0" w:color="auto"/>
              <w:right w:val="single" w:sz="4" w:space="0" w:color="auto"/>
            </w:tcBorders>
            <w:hideMark/>
          </w:tcPr>
          <w:p w14:paraId="522A5E95" w14:textId="7D25D560" w:rsidR="007E3032" w:rsidRPr="00BE3CC5" w:rsidRDefault="007E3032" w:rsidP="007E3032">
            <w:pPr>
              <w:spacing w:after="0" w:line="240" w:lineRule="auto"/>
              <w:jc w:val="center"/>
              <w:rPr>
                <w:rFonts w:ascii="Times New Roman" w:eastAsia="Times New Roman" w:hAnsi="Times New Roman" w:cs="Times New Roman"/>
                <w:b/>
                <w:bCs/>
                <w:color w:val="000000"/>
                <w:kern w:val="0"/>
                <w:szCs w:val="24"/>
                <w:lang w:eastAsia="en-IN"/>
                <w14:ligatures w14:val="none"/>
              </w:rPr>
            </w:pPr>
            <w:r w:rsidRPr="00BE3CC5">
              <w:rPr>
                <w:rFonts w:ascii="Times New Roman" w:eastAsia="Times New Roman" w:hAnsi="Times New Roman" w:cs="Times New Roman"/>
                <w:b/>
                <w:bCs/>
                <w:color w:val="000000"/>
                <w:kern w:val="0"/>
                <w:szCs w:val="24"/>
                <w:lang w:eastAsia="en-IN"/>
                <w14:ligatures w14:val="none"/>
              </w:rPr>
              <w:t xml:space="preserve">Central assistance (per </w:t>
            </w:r>
            <w:r w:rsidR="00E418BA" w:rsidRPr="00BE3CC5">
              <w:rPr>
                <w:rFonts w:ascii="Times New Roman" w:eastAsia="Times New Roman" w:hAnsi="Times New Roman" w:cs="Times New Roman"/>
                <w:b/>
                <w:bCs/>
                <w:color w:val="000000"/>
                <w:kern w:val="0"/>
                <w:szCs w:val="24"/>
                <w:lang w:eastAsia="en-IN"/>
                <w14:ligatures w14:val="none"/>
              </w:rPr>
              <w:t>capita in</w:t>
            </w:r>
            <w:r w:rsidRPr="00BE3CC5">
              <w:rPr>
                <w:rFonts w:ascii="Times New Roman" w:eastAsia="Times New Roman" w:hAnsi="Times New Roman" w:cs="Times New Roman"/>
                <w:b/>
                <w:bCs/>
                <w:color w:val="000000"/>
                <w:kern w:val="0"/>
                <w:szCs w:val="24"/>
                <w:lang w:eastAsia="en-IN"/>
                <w14:ligatures w14:val="none"/>
              </w:rPr>
              <w:t xml:space="preserve"> Rs.) </w:t>
            </w:r>
          </w:p>
        </w:tc>
      </w:tr>
      <w:tr w:rsidR="007E3032" w:rsidRPr="00BE3CC5" w14:paraId="625FC242" w14:textId="77777777" w:rsidTr="007E3032">
        <w:trPr>
          <w:trHeight w:val="325"/>
        </w:trPr>
        <w:tc>
          <w:tcPr>
            <w:tcW w:w="1601" w:type="dxa"/>
            <w:tcBorders>
              <w:top w:val="nil"/>
              <w:left w:val="single" w:sz="4" w:space="0" w:color="auto"/>
              <w:bottom w:val="single" w:sz="4" w:space="0" w:color="auto"/>
              <w:right w:val="single" w:sz="4" w:space="0" w:color="auto"/>
            </w:tcBorders>
            <w:hideMark/>
          </w:tcPr>
          <w:p w14:paraId="1F25822E" w14:textId="77777777" w:rsidR="007E3032" w:rsidRPr="00BE3CC5" w:rsidRDefault="007E3032" w:rsidP="007E3032">
            <w:pPr>
              <w:spacing w:after="0" w:line="240" w:lineRule="auto"/>
              <w:jc w:val="center"/>
              <w:rPr>
                <w:rFonts w:ascii="Times New Roman" w:eastAsia="Times New Roman" w:hAnsi="Times New Roman" w:cs="Times New Roman"/>
                <w:color w:val="000000"/>
                <w:kern w:val="0"/>
                <w:szCs w:val="24"/>
                <w:lang w:eastAsia="en-IN"/>
                <w14:ligatures w14:val="none"/>
              </w:rPr>
            </w:pPr>
            <w:r w:rsidRPr="00BE3CC5">
              <w:rPr>
                <w:rFonts w:ascii="Times New Roman" w:eastAsia="Times New Roman" w:hAnsi="Times New Roman" w:cs="Times New Roman"/>
                <w:color w:val="000000"/>
                <w:kern w:val="0"/>
                <w:szCs w:val="24"/>
                <w:lang w:eastAsia="en-IN"/>
                <w14:ligatures w14:val="none"/>
              </w:rPr>
              <w:t>1</w:t>
            </w:r>
          </w:p>
        </w:tc>
        <w:tc>
          <w:tcPr>
            <w:tcW w:w="1634" w:type="dxa"/>
            <w:tcBorders>
              <w:top w:val="nil"/>
              <w:left w:val="nil"/>
              <w:bottom w:val="single" w:sz="4" w:space="0" w:color="auto"/>
              <w:right w:val="single" w:sz="4" w:space="0" w:color="auto"/>
            </w:tcBorders>
            <w:hideMark/>
          </w:tcPr>
          <w:p w14:paraId="7CFFCF09" w14:textId="77777777" w:rsidR="007E3032" w:rsidRPr="00BE3CC5" w:rsidRDefault="007E3032" w:rsidP="007E3032">
            <w:pPr>
              <w:spacing w:after="0" w:line="240" w:lineRule="auto"/>
              <w:jc w:val="center"/>
              <w:rPr>
                <w:rFonts w:ascii="Times New Roman" w:eastAsia="Times New Roman" w:hAnsi="Times New Roman" w:cs="Times New Roman"/>
                <w:color w:val="000000"/>
                <w:kern w:val="0"/>
                <w:szCs w:val="24"/>
                <w:lang w:eastAsia="en-IN"/>
                <w14:ligatures w14:val="none"/>
              </w:rPr>
            </w:pPr>
            <w:r w:rsidRPr="00BE3CC5">
              <w:rPr>
                <w:rFonts w:ascii="Times New Roman" w:eastAsia="Times New Roman" w:hAnsi="Times New Roman" w:cs="Times New Roman"/>
                <w:color w:val="000000"/>
                <w:kern w:val="0"/>
                <w:szCs w:val="24"/>
                <w:lang w:eastAsia="en-IN"/>
                <w14:ligatures w14:val="none"/>
              </w:rPr>
              <w:t>2</w:t>
            </w:r>
          </w:p>
        </w:tc>
        <w:tc>
          <w:tcPr>
            <w:tcW w:w="2320" w:type="dxa"/>
            <w:tcBorders>
              <w:top w:val="nil"/>
              <w:left w:val="nil"/>
              <w:bottom w:val="single" w:sz="4" w:space="0" w:color="auto"/>
              <w:right w:val="single" w:sz="4" w:space="0" w:color="auto"/>
            </w:tcBorders>
            <w:hideMark/>
          </w:tcPr>
          <w:p w14:paraId="7CB6928A" w14:textId="77777777" w:rsidR="007E3032" w:rsidRPr="00BE3CC5" w:rsidRDefault="007E3032" w:rsidP="007E3032">
            <w:pPr>
              <w:spacing w:after="0" w:line="240" w:lineRule="auto"/>
              <w:jc w:val="center"/>
              <w:rPr>
                <w:rFonts w:ascii="Times New Roman" w:eastAsia="Times New Roman" w:hAnsi="Times New Roman" w:cs="Times New Roman"/>
                <w:color w:val="000000"/>
                <w:kern w:val="0"/>
                <w:szCs w:val="24"/>
                <w:lang w:eastAsia="en-IN"/>
                <w14:ligatures w14:val="none"/>
              </w:rPr>
            </w:pPr>
            <w:r w:rsidRPr="00BE3CC5">
              <w:rPr>
                <w:rFonts w:ascii="Times New Roman" w:eastAsia="Times New Roman" w:hAnsi="Times New Roman" w:cs="Times New Roman"/>
                <w:color w:val="000000"/>
                <w:kern w:val="0"/>
                <w:szCs w:val="24"/>
                <w:lang w:eastAsia="en-IN"/>
                <w14:ligatures w14:val="none"/>
              </w:rPr>
              <w:t>3</w:t>
            </w:r>
          </w:p>
        </w:tc>
        <w:tc>
          <w:tcPr>
            <w:tcW w:w="1879" w:type="dxa"/>
            <w:tcBorders>
              <w:top w:val="nil"/>
              <w:left w:val="nil"/>
              <w:bottom w:val="single" w:sz="4" w:space="0" w:color="auto"/>
              <w:right w:val="single" w:sz="4" w:space="0" w:color="auto"/>
            </w:tcBorders>
            <w:hideMark/>
          </w:tcPr>
          <w:p w14:paraId="0320A528" w14:textId="77777777" w:rsidR="007E3032" w:rsidRPr="00BE3CC5" w:rsidRDefault="007E3032" w:rsidP="007E3032">
            <w:pPr>
              <w:spacing w:after="0" w:line="240" w:lineRule="auto"/>
              <w:jc w:val="center"/>
              <w:rPr>
                <w:rFonts w:ascii="Times New Roman" w:eastAsia="Times New Roman" w:hAnsi="Times New Roman" w:cs="Times New Roman"/>
                <w:color w:val="000000"/>
                <w:kern w:val="0"/>
                <w:szCs w:val="24"/>
                <w:lang w:eastAsia="en-IN"/>
                <w14:ligatures w14:val="none"/>
              </w:rPr>
            </w:pPr>
            <w:r w:rsidRPr="00BE3CC5">
              <w:rPr>
                <w:rFonts w:ascii="Times New Roman" w:eastAsia="Times New Roman" w:hAnsi="Times New Roman" w:cs="Times New Roman"/>
                <w:color w:val="000000"/>
                <w:kern w:val="0"/>
                <w:szCs w:val="24"/>
                <w:lang w:eastAsia="en-IN"/>
                <w14:ligatures w14:val="none"/>
              </w:rPr>
              <w:t>4</w:t>
            </w:r>
          </w:p>
        </w:tc>
        <w:tc>
          <w:tcPr>
            <w:tcW w:w="2679" w:type="dxa"/>
            <w:tcBorders>
              <w:top w:val="nil"/>
              <w:left w:val="nil"/>
              <w:bottom w:val="single" w:sz="4" w:space="0" w:color="auto"/>
              <w:right w:val="single" w:sz="4" w:space="0" w:color="auto"/>
            </w:tcBorders>
            <w:hideMark/>
          </w:tcPr>
          <w:p w14:paraId="166CAE19" w14:textId="77777777" w:rsidR="007E3032" w:rsidRPr="00BE3CC5" w:rsidRDefault="007E3032" w:rsidP="007E3032">
            <w:pPr>
              <w:spacing w:after="0" w:line="240" w:lineRule="auto"/>
              <w:jc w:val="center"/>
              <w:rPr>
                <w:rFonts w:ascii="Times New Roman" w:eastAsia="Times New Roman" w:hAnsi="Times New Roman" w:cs="Times New Roman"/>
                <w:color w:val="000000"/>
                <w:kern w:val="0"/>
                <w:szCs w:val="24"/>
                <w:lang w:eastAsia="en-IN"/>
                <w14:ligatures w14:val="none"/>
              </w:rPr>
            </w:pPr>
            <w:r w:rsidRPr="00BE3CC5">
              <w:rPr>
                <w:rFonts w:ascii="Times New Roman" w:eastAsia="Times New Roman" w:hAnsi="Times New Roman" w:cs="Times New Roman"/>
                <w:color w:val="000000"/>
                <w:kern w:val="0"/>
                <w:szCs w:val="24"/>
                <w:lang w:eastAsia="en-IN"/>
                <w14:ligatures w14:val="none"/>
              </w:rPr>
              <w:t>5</w:t>
            </w:r>
          </w:p>
        </w:tc>
      </w:tr>
      <w:tr w:rsidR="007E3032" w:rsidRPr="00BE3CC5" w14:paraId="41D95F77" w14:textId="77777777" w:rsidTr="007E3032">
        <w:trPr>
          <w:trHeight w:val="325"/>
        </w:trPr>
        <w:tc>
          <w:tcPr>
            <w:tcW w:w="1601" w:type="dxa"/>
            <w:tcBorders>
              <w:top w:val="nil"/>
              <w:left w:val="single" w:sz="4" w:space="0" w:color="auto"/>
              <w:bottom w:val="single" w:sz="4" w:space="0" w:color="auto"/>
              <w:right w:val="single" w:sz="4" w:space="0" w:color="auto"/>
            </w:tcBorders>
            <w:vAlign w:val="center"/>
            <w:hideMark/>
          </w:tcPr>
          <w:p w14:paraId="0EAC5245" w14:textId="77777777" w:rsidR="007E3032" w:rsidRPr="00BE3CC5" w:rsidRDefault="007E3032" w:rsidP="007E3032">
            <w:pPr>
              <w:spacing w:after="0" w:line="240" w:lineRule="auto"/>
              <w:rPr>
                <w:rFonts w:ascii="Times New Roman" w:eastAsia="Times New Roman" w:hAnsi="Times New Roman" w:cs="Times New Roman"/>
                <w:color w:val="000000"/>
                <w:kern w:val="0"/>
                <w:szCs w:val="24"/>
                <w:lang w:eastAsia="en-IN"/>
                <w14:ligatures w14:val="none"/>
              </w:rPr>
            </w:pPr>
            <w:r w:rsidRPr="00BE3CC5">
              <w:rPr>
                <w:rFonts w:ascii="Times New Roman" w:eastAsia="Times New Roman" w:hAnsi="Times New Roman" w:cs="Times New Roman"/>
                <w:color w:val="000000"/>
                <w:kern w:val="0"/>
                <w:szCs w:val="24"/>
                <w:lang w:eastAsia="en-IN"/>
                <w14:ligatures w14:val="none"/>
              </w:rPr>
              <w:t>Andhra Pradesh</w:t>
            </w:r>
          </w:p>
        </w:tc>
        <w:tc>
          <w:tcPr>
            <w:tcW w:w="1634" w:type="dxa"/>
            <w:tcBorders>
              <w:top w:val="nil"/>
              <w:left w:val="nil"/>
              <w:bottom w:val="single" w:sz="4" w:space="0" w:color="auto"/>
              <w:right w:val="single" w:sz="4" w:space="0" w:color="auto"/>
            </w:tcBorders>
            <w:vAlign w:val="center"/>
            <w:hideMark/>
          </w:tcPr>
          <w:p w14:paraId="03DCD0F3" w14:textId="77777777" w:rsidR="007E3032" w:rsidRPr="00BE3CC5" w:rsidRDefault="007E3032" w:rsidP="007E3032">
            <w:pPr>
              <w:spacing w:after="0" w:line="240" w:lineRule="auto"/>
              <w:jc w:val="center"/>
              <w:rPr>
                <w:rFonts w:ascii="Times New Roman" w:eastAsia="Times New Roman" w:hAnsi="Times New Roman" w:cs="Times New Roman"/>
                <w:color w:val="000000"/>
                <w:kern w:val="0"/>
                <w:szCs w:val="24"/>
                <w:lang w:eastAsia="en-IN"/>
                <w14:ligatures w14:val="none"/>
              </w:rPr>
            </w:pPr>
            <w:r w:rsidRPr="00BE3CC5">
              <w:rPr>
                <w:rFonts w:ascii="Times New Roman" w:eastAsia="Times New Roman" w:hAnsi="Times New Roman" w:cs="Times New Roman"/>
                <w:color w:val="000000"/>
                <w:kern w:val="0"/>
                <w:szCs w:val="24"/>
                <w:lang w:eastAsia="en-IN"/>
                <w14:ligatures w14:val="none"/>
              </w:rPr>
              <w:t>243</w:t>
            </w:r>
          </w:p>
        </w:tc>
        <w:tc>
          <w:tcPr>
            <w:tcW w:w="2320" w:type="dxa"/>
            <w:tcBorders>
              <w:top w:val="nil"/>
              <w:left w:val="nil"/>
              <w:bottom w:val="single" w:sz="4" w:space="0" w:color="auto"/>
              <w:right w:val="single" w:sz="4" w:space="0" w:color="auto"/>
            </w:tcBorders>
            <w:vAlign w:val="center"/>
            <w:hideMark/>
          </w:tcPr>
          <w:p w14:paraId="4948B060" w14:textId="77777777" w:rsidR="007E3032" w:rsidRPr="00BE3CC5" w:rsidRDefault="007E3032" w:rsidP="007E3032">
            <w:pPr>
              <w:spacing w:after="0" w:line="240" w:lineRule="auto"/>
              <w:jc w:val="center"/>
              <w:rPr>
                <w:rFonts w:ascii="Times New Roman" w:eastAsia="Times New Roman" w:hAnsi="Times New Roman" w:cs="Times New Roman"/>
                <w:color w:val="000000"/>
                <w:kern w:val="0"/>
                <w:szCs w:val="24"/>
                <w:lang w:eastAsia="en-IN"/>
                <w14:ligatures w14:val="none"/>
              </w:rPr>
            </w:pPr>
            <w:r w:rsidRPr="00BE3CC5">
              <w:rPr>
                <w:rFonts w:ascii="Times New Roman" w:eastAsia="Times New Roman" w:hAnsi="Times New Roman" w:cs="Times New Roman"/>
                <w:color w:val="000000"/>
                <w:kern w:val="0"/>
                <w:szCs w:val="24"/>
                <w:lang w:eastAsia="en-IN"/>
                <w14:ligatures w14:val="none"/>
              </w:rPr>
              <w:t>149</w:t>
            </w:r>
          </w:p>
        </w:tc>
        <w:tc>
          <w:tcPr>
            <w:tcW w:w="1879" w:type="dxa"/>
            <w:tcBorders>
              <w:top w:val="nil"/>
              <w:left w:val="nil"/>
              <w:bottom w:val="single" w:sz="4" w:space="0" w:color="auto"/>
              <w:right w:val="single" w:sz="4" w:space="0" w:color="auto"/>
            </w:tcBorders>
            <w:vAlign w:val="center"/>
            <w:hideMark/>
          </w:tcPr>
          <w:p w14:paraId="04A33243" w14:textId="77777777" w:rsidR="007E3032" w:rsidRPr="00BE3CC5" w:rsidRDefault="007E3032" w:rsidP="007E3032">
            <w:pPr>
              <w:spacing w:after="0" w:line="240" w:lineRule="auto"/>
              <w:jc w:val="center"/>
              <w:rPr>
                <w:rFonts w:ascii="Times New Roman" w:eastAsia="Times New Roman" w:hAnsi="Times New Roman" w:cs="Times New Roman"/>
                <w:color w:val="000000"/>
                <w:kern w:val="0"/>
                <w:szCs w:val="24"/>
                <w:lang w:eastAsia="en-IN"/>
                <w14:ligatures w14:val="none"/>
              </w:rPr>
            </w:pPr>
            <w:r w:rsidRPr="00BE3CC5">
              <w:rPr>
                <w:rFonts w:ascii="Times New Roman" w:eastAsia="Times New Roman" w:hAnsi="Times New Roman" w:cs="Times New Roman"/>
                <w:color w:val="000000"/>
                <w:kern w:val="0"/>
                <w:szCs w:val="24"/>
                <w:lang w:eastAsia="en-IN"/>
                <w14:ligatures w14:val="none"/>
              </w:rPr>
              <w:t>90</w:t>
            </w:r>
          </w:p>
        </w:tc>
        <w:tc>
          <w:tcPr>
            <w:tcW w:w="2679" w:type="dxa"/>
            <w:tcBorders>
              <w:top w:val="nil"/>
              <w:left w:val="nil"/>
              <w:bottom w:val="single" w:sz="4" w:space="0" w:color="auto"/>
              <w:right w:val="single" w:sz="4" w:space="0" w:color="auto"/>
            </w:tcBorders>
            <w:vAlign w:val="center"/>
            <w:hideMark/>
          </w:tcPr>
          <w:p w14:paraId="03CBF096" w14:textId="77777777" w:rsidR="007E3032" w:rsidRPr="00BE3CC5" w:rsidRDefault="007E3032" w:rsidP="007E3032">
            <w:pPr>
              <w:spacing w:after="0" w:line="240" w:lineRule="auto"/>
              <w:jc w:val="center"/>
              <w:rPr>
                <w:rFonts w:ascii="Times New Roman" w:eastAsia="Times New Roman" w:hAnsi="Times New Roman" w:cs="Times New Roman"/>
                <w:color w:val="000000"/>
                <w:kern w:val="0"/>
                <w:szCs w:val="24"/>
                <w:lang w:eastAsia="en-IN"/>
                <w14:ligatures w14:val="none"/>
              </w:rPr>
            </w:pPr>
            <w:r w:rsidRPr="00BE3CC5">
              <w:rPr>
                <w:rFonts w:ascii="Times New Roman" w:eastAsia="Times New Roman" w:hAnsi="Times New Roman" w:cs="Times New Roman"/>
                <w:color w:val="000000"/>
                <w:kern w:val="0"/>
                <w:szCs w:val="24"/>
                <w:lang w:eastAsia="en-IN"/>
                <w14:ligatures w14:val="none"/>
              </w:rPr>
              <w:t>60</w:t>
            </w:r>
          </w:p>
        </w:tc>
      </w:tr>
      <w:tr w:rsidR="007E3032" w:rsidRPr="00BE3CC5" w14:paraId="45DDB88E" w14:textId="77777777" w:rsidTr="007E3032">
        <w:trPr>
          <w:trHeight w:val="325"/>
        </w:trPr>
        <w:tc>
          <w:tcPr>
            <w:tcW w:w="1601" w:type="dxa"/>
            <w:tcBorders>
              <w:top w:val="nil"/>
              <w:left w:val="single" w:sz="4" w:space="0" w:color="auto"/>
              <w:bottom w:val="single" w:sz="4" w:space="0" w:color="auto"/>
              <w:right w:val="single" w:sz="4" w:space="0" w:color="auto"/>
            </w:tcBorders>
            <w:vAlign w:val="center"/>
            <w:hideMark/>
          </w:tcPr>
          <w:p w14:paraId="4B30422E" w14:textId="77777777" w:rsidR="007E3032" w:rsidRPr="00BE3CC5" w:rsidRDefault="007E3032" w:rsidP="007E3032">
            <w:pPr>
              <w:spacing w:after="0" w:line="240" w:lineRule="auto"/>
              <w:rPr>
                <w:rFonts w:ascii="Times New Roman" w:eastAsia="Times New Roman" w:hAnsi="Times New Roman" w:cs="Times New Roman"/>
                <w:color w:val="000000"/>
                <w:kern w:val="0"/>
                <w:szCs w:val="24"/>
                <w:lang w:eastAsia="en-IN"/>
                <w14:ligatures w14:val="none"/>
              </w:rPr>
            </w:pPr>
            <w:r w:rsidRPr="00BE3CC5">
              <w:rPr>
                <w:rFonts w:ascii="Times New Roman" w:eastAsia="Times New Roman" w:hAnsi="Times New Roman" w:cs="Times New Roman"/>
                <w:color w:val="000000"/>
                <w:kern w:val="0"/>
                <w:szCs w:val="24"/>
                <w:lang w:eastAsia="en-IN"/>
                <w14:ligatures w14:val="none"/>
              </w:rPr>
              <w:t>Assam</w:t>
            </w:r>
          </w:p>
        </w:tc>
        <w:tc>
          <w:tcPr>
            <w:tcW w:w="1634" w:type="dxa"/>
            <w:tcBorders>
              <w:top w:val="nil"/>
              <w:left w:val="nil"/>
              <w:bottom w:val="single" w:sz="4" w:space="0" w:color="auto"/>
              <w:right w:val="single" w:sz="4" w:space="0" w:color="auto"/>
            </w:tcBorders>
            <w:vAlign w:val="center"/>
            <w:hideMark/>
          </w:tcPr>
          <w:p w14:paraId="1567B269" w14:textId="77777777" w:rsidR="007E3032" w:rsidRPr="00BE3CC5" w:rsidRDefault="007E3032" w:rsidP="007E3032">
            <w:pPr>
              <w:spacing w:after="0" w:line="240" w:lineRule="auto"/>
              <w:jc w:val="center"/>
              <w:rPr>
                <w:rFonts w:ascii="Times New Roman" w:eastAsia="Times New Roman" w:hAnsi="Times New Roman" w:cs="Times New Roman"/>
                <w:color w:val="000000"/>
                <w:kern w:val="0"/>
                <w:szCs w:val="24"/>
                <w:lang w:eastAsia="en-IN"/>
                <w14:ligatures w14:val="none"/>
              </w:rPr>
            </w:pPr>
            <w:r w:rsidRPr="00BE3CC5">
              <w:rPr>
                <w:rFonts w:ascii="Times New Roman" w:eastAsia="Times New Roman" w:hAnsi="Times New Roman" w:cs="Times New Roman"/>
                <w:color w:val="000000"/>
                <w:kern w:val="0"/>
                <w:szCs w:val="24"/>
                <w:lang w:eastAsia="en-IN"/>
                <w14:ligatures w14:val="none"/>
              </w:rPr>
              <w:t>269</w:t>
            </w:r>
          </w:p>
        </w:tc>
        <w:tc>
          <w:tcPr>
            <w:tcW w:w="2320" w:type="dxa"/>
            <w:tcBorders>
              <w:top w:val="nil"/>
              <w:left w:val="nil"/>
              <w:bottom w:val="single" w:sz="4" w:space="0" w:color="auto"/>
              <w:right w:val="single" w:sz="4" w:space="0" w:color="auto"/>
            </w:tcBorders>
            <w:vAlign w:val="center"/>
            <w:hideMark/>
          </w:tcPr>
          <w:p w14:paraId="46341580" w14:textId="77777777" w:rsidR="007E3032" w:rsidRPr="00BE3CC5" w:rsidRDefault="007E3032" w:rsidP="007E3032">
            <w:pPr>
              <w:spacing w:after="0" w:line="240" w:lineRule="auto"/>
              <w:jc w:val="center"/>
              <w:rPr>
                <w:rFonts w:ascii="Times New Roman" w:eastAsia="Times New Roman" w:hAnsi="Times New Roman" w:cs="Times New Roman"/>
                <w:color w:val="000000"/>
                <w:kern w:val="0"/>
                <w:szCs w:val="24"/>
                <w:lang w:eastAsia="en-IN"/>
                <w14:ligatures w14:val="none"/>
              </w:rPr>
            </w:pPr>
            <w:r w:rsidRPr="00BE3CC5">
              <w:rPr>
                <w:rFonts w:ascii="Times New Roman" w:eastAsia="Times New Roman" w:hAnsi="Times New Roman" w:cs="Times New Roman"/>
                <w:color w:val="000000"/>
                <w:kern w:val="0"/>
                <w:szCs w:val="24"/>
                <w:lang w:eastAsia="en-IN"/>
                <w14:ligatures w14:val="none"/>
              </w:rPr>
              <w:t>201</w:t>
            </w:r>
          </w:p>
        </w:tc>
        <w:tc>
          <w:tcPr>
            <w:tcW w:w="1879" w:type="dxa"/>
            <w:tcBorders>
              <w:top w:val="nil"/>
              <w:left w:val="nil"/>
              <w:bottom w:val="single" w:sz="4" w:space="0" w:color="auto"/>
              <w:right w:val="single" w:sz="4" w:space="0" w:color="auto"/>
            </w:tcBorders>
            <w:vAlign w:val="center"/>
            <w:hideMark/>
          </w:tcPr>
          <w:p w14:paraId="5729A18C" w14:textId="77777777" w:rsidR="007E3032" w:rsidRPr="00BE3CC5" w:rsidRDefault="007E3032" w:rsidP="007E3032">
            <w:pPr>
              <w:spacing w:after="0" w:line="240" w:lineRule="auto"/>
              <w:jc w:val="center"/>
              <w:rPr>
                <w:rFonts w:ascii="Times New Roman" w:eastAsia="Times New Roman" w:hAnsi="Times New Roman" w:cs="Times New Roman"/>
                <w:color w:val="000000"/>
                <w:kern w:val="0"/>
                <w:szCs w:val="24"/>
                <w:lang w:eastAsia="en-IN"/>
                <w14:ligatures w14:val="none"/>
              </w:rPr>
            </w:pPr>
            <w:r w:rsidRPr="00BE3CC5">
              <w:rPr>
                <w:rFonts w:ascii="Times New Roman" w:eastAsia="Times New Roman" w:hAnsi="Times New Roman" w:cs="Times New Roman"/>
                <w:color w:val="000000"/>
                <w:kern w:val="0"/>
                <w:szCs w:val="24"/>
                <w:lang w:eastAsia="en-IN"/>
                <w14:ligatures w14:val="none"/>
              </w:rPr>
              <w:t>161</w:t>
            </w:r>
          </w:p>
        </w:tc>
        <w:tc>
          <w:tcPr>
            <w:tcW w:w="2679" w:type="dxa"/>
            <w:tcBorders>
              <w:top w:val="nil"/>
              <w:left w:val="nil"/>
              <w:bottom w:val="single" w:sz="4" w:space="0" w:color="auto"/>
              <w:right w:val="single" w:sz="4" w:space="0" w:color="auto"/>
            </w:tcBorders>
            <w:vAlign w:val="center"/>
            <w:hideMark/>
          </w:tcPr>
          <w:p w14:paraId="73274DB9" w14:textId="77777777" w:rsidR="007E3032" w:rsidRPr="00BE3CC5" w:rsidRDefault="007E3032" w:rsidP="007E3032">
            <w:pPr>
              <w:spacing w:after="0" w:line="240" w:lineRule="auto"/>
              <w:jc w:val="center"/>
              <w:rPr>
                <w:rFonts w:ascii="Times New Roman" w:eastAsia="Times New Roman" w:hAnsi="Times New Roman" w:cs="Times New Roman"/>
                <w:color w:val="000000"/>
                <w:kern w:val="0"/>
                <w:szCs w:val="24"/>
                <w:lang w:eastAsia="en-IN"/>
                <w14:ligatures w14:val="none"/>
              </w:rPr>
            </w:pPr>
            <w:r w:rsidRPr="00BE3CC5">
              <w:rPr>
                <w:rFonts w:ascii="Times New Roman" w:eastAsia="Times New Roman" w:hAnsi="Times New Roman" w:cs="Times New Roman"/>
                <w:color w:val="000000"/>
                <w:kern w:val="0"/>
                <w:szCs w:val="24"/>
                <w:lang w:eastAsia="en-IN"/>
                <w14:ligatures w14:val="none"/>
              </w:rPr>
              <w:t>157</w:t>
            </w:r>
          </w:p>
        </w:tc>
      </w:tr>
      <w:tr w:rsidR="007E3032" w:rsidRPr="00BE3CC5" w14:paraId="31079413" w14:textId="77777777" w:rsidTr="007E3032">
        <w:trPr>
          <w:trHeight w:val="325"/>
        </w:trPr>
        <w:tc>
          <w:tcPr>
            <w:tcW w:w="1601" w:type="dxa"/>
            <w:tcBorders>
              <w:top w:val="nil"/>
              <w:left w:val="single" w:sz="4" w:space="0" w:color="auto"/>
              <w:bottom w:val="single" w:sz="4" w:space="0" w:color="auto"/>
              <w:right w:val="single" w:sz="4" w:space="0" w:color="auto"/>
            </w:tcBorders>
            <w:vAlign w:val="center"/>
            <w:hideMark/>
          </w:tcPr>
          <w:p w14:paraId="65FDED49" w14:textId="77777777" w:rsidR="007E3032" w:rsidRPr="00BE3CC5" w:rsidRDefault="007E3032" w:rsidP="007E3032">
            <w:pPr>
              <w:spacing w:after="0" w:line="240" w:lineRule="auto"/>
              <w:rPr>
                <w:rFonts w:ascii="Times New Roman" w:eastAsia="Times New Roman" w:hAnsi="Times New Roman" w:cs="Times New Roman"/>
                <w:color w:val="000000"/>
                <w:kern w:val="0"/>
                <w:szCs w:val="24"/>
                <w:lang w:eastAsia="en-IN"/>
                <w14:ligatures w14:val="none"/>
              </w:rPr>
            </w:pPr>
            <w:r w:rsidRPr="00BE3CC5">
              <w:rPr>
                <w:rFonts w:ascii="Times New Roman" w:eastAsia="Times New Roman" w:hAnsi="Times New Roman" w:cs="Times New Roman"/>
                <w:color w:val="000000"/>
                <w:kern w:val="0"/>
                <w:szCs w:val="24"/>
                <w:lang w:eastAsia="en-IN"/>
                <w14:ligatures w14:val="none"/>
              </w:rPr>
              <w:t>Bihar</w:t>
            </w:r>
          </w:p>
        </w:tc>
        <w:tc>
          <w:tcPr>
            <w:tcW w:w="1634" w:type="dxa"/>
            <w:tcBorders>
              <w:top w:val="nil"/>
              <w:left w:val="nil"/>
              <w:bottom w:val="single" w:sz="4" w:space="0" w:color="auto"/>
              <w:right w:val="single" w:sz="4" w:space="0" w:color="auto"/>
            </w:tcBorders>
            <w:vAlign w:val="center"/>
            <w:hideMark/>
          </w:tcPr>
          <w:p w14:paraId="5984F138" w14:textId="77777777" w:rsidR="007E3032" w:rsidRPr="00BE3CC5" w:rsidRDefault="007E3032" w:rsidP="007E3032">
            <w:pPr>
              <w:spacing w:after="0" w:line="240" w:lineRule="auto"/>
              <w:jc w:val="center"/>
              <w:rPr>
                <w:rFonts w:ascii="Times New Roman" w:eastAsia="Times New Roman" w:hAnsi="Times New Roman" w:cs="Times New Roman"/>
                <w:color w:val="000000"/>
                <w:kern w:val="0"/>
                <w:szCs w:val="24"/>
                <w:lang w:eastAsia="en-IN"/>
                <w14:ligatures w14:val="none"/>
              </w:rPr>
            </w:pPr>
            <w:r w:rsidRPr="00BE3CC5">
              <w:rPr>
                <w:rFonts w:ascii="Times New Roman" w:eastAsia="Times New Roman" w:hAnsi="Times New Roman" w:cs="Times New Roman"/>
                <w:color w:val="000000"/>
                <w:kern w:val="0"/>
                <w:szCs w:val="24"/>
                <w:lang w:eastAsia="en-IN"/>
                <w14:ligatures w14:val="none"/>
              </w:rPr>
              <w:t>181</w:t>
            </w:r>
          </w:p>
        </w:tc>
        <w:tc>
          <w:tcPr>
            <w:tcW w:w="2320" w:type="dxa"/>
            <w:tcBorders>
              <w:top w:val="nil"/>
              <w:left w:val="nil"/>
              <w:bottom w:val="single" w:sz="4" w:space="0" w:color="auto"/>
              <w:right w:val="single" w:sz="4" w:space="0" w:color="auto"/>
            </w:tcBorders>
            <w:vAlign w:val="center"/>
            <w:hideMark/>
          </w:tcPr>
          <w:p w14:paraId="5C26DA2B" w14:textId="77777777" w:rsidR="007E3032" w:rsidRPr="00BE3CC5" w:rsidRDefault="007E3032" w:rsidP="007E3032">
            <w:pPr>
              <w:spacing w:after="0" w:line="240" w:lineRule="auto"/>
              <w:jc w:val="center"/>
              <w:rPr>
                <w:rFonts w:ascii="Times New Roman" w:eastAsia="Times New Roman" w:hAnsi="Times New Roman" w:cs="Times New Roman"/>
                <w:color w:val="000000"/>
                <w:kern w:val="0"/>
                <w:szCs w:val="24"/>
                <w:lang w:eastAsia="en-IN"/>
                <w14:ligatures w14:val="none"/>
              </w:rPr>
            </w:pPr>
            <w:r w:rsidRPr="00BE3CC5">
              <w:rPr>
                <w:rFonts w:ascii="Times New Roman" w:eastAsia="Times New Roman" w:hAnsi="Times New Roman" w:cs="Times New Roman"/>
                <w:color w:val="000000"/>
                <w:kern w:val="0"/>
                <w:szCs w:val="24"/>
                <w:lang w:eastAsia="en-IN"/>
                <w14:ligatures w14:val="none"/>
              </w:rPr>
              <w:t>109</w:t>
            </w:r>
          </w:p>
        </w:tc>
        <w:tc>
          <w:tcPr>
            <w:tcW w:w="1879" w:type="dxa"/>
            <w:tcBorders>
              <w:top w:val="nil"/>
              <w:left w:val="nil"/>
              <w:bottom w:val="single" w:sz="4" w:space="0" w:color="auto"/>
              <w:right w:val="single" w:sz="4" w:space="0" w:color="auto"/>
            </w:tcBorders>
            <w:vAlign w:val="center"/>
            <w:hideMark/>
          </w:tcPr>
          <w:p w14:paraId="598C81E1" w14:textId="77777777" w:rsidR="007E3032" w:rsidRPr="00BE3CC5" w:rsidRDefault="007E3032" w:rsidP="007E3032">
            <w:pPr>
              <w:spacing w:after="0" w:line="240" w:lineRule="auto"/>
              <w:jc w:val="center"/>
              <w:rPr>
                <w:rFonts w:ascii="Times New Roman" w:eastAsia="Times New Roman" w:hAnsi="Times New Roman" w:cs="Times New Roman"/>
                <w:color w:val="000000"/>
                <w:kern w:val="0"/>
                <w:szCs w:val="24"/>
                <w:lang w:eastAsia="en-IN"/>
                <w14:ligatures w14:val="none"/>
              </w:rPr>
            </w:pPr>
            <w:r w:rsidRPr="00BE3CC5">
              <w:rPr>
                <w:rFonts w:ascii="Times New Roman" w:eastAsia="Times New Roman" w:hAnsi="Times New Roman" w:cs="Times New Roman"/>
                <w:color w:val="000000"/>
                <w:kern w:val="0"/>
                <w:szCs w:val="24"/>
                <w:lang w:eastAsia="en-IN"/>
                <w14:ligatures w14:val="none"/>
              </w:rPr>
              <w:t>82</w:t>
            </w:r>
          </w:p>
        </w:tc>
        <w:tc>
          <w:tcPr>
            <w:tcW w:w="2679" w:type="dxa"/>
            <w:tcBorders>
              <w:top w:val="nil"/>
              <w:left w:val="nil"/>
              <w:bottom w:val="single" w:sz="4" w:space="0" w:color="auto"/>
              <w:right w:val="single" w:sz="4" w:space="0" w:color="auto"/>
            </w:tcBorders>
            <w:vAlign w:val="center"/>
            <w:hideMark/>
          </w:tcPr>
          <w:p w14:paraId="7E5F81E8" w14:textId="77777777" w:rsidR="007E3032" w:rsidRPr="00BE3CC5" w:rsidRDefault="007E3032" w:rsidP="007E3032">
            <w:pPr>
              <w:spacing w:after="0" w:line="240" w:lineRule="auto"/>
              <w:jc w:val="center"/>
              <w:rPr>
                <w:rFonts w:ascii="Times New Roman" w:eastAsia="Times New Roman" w:hAnsi="Times New Roman" w:cs="Times New Roman"/>
                <w:color w:val="000000"/>
                <w:kern w:val="0"/>
                <w:szCs w:val="24"/>
                <w:lang w:eastAsia="en-IN"/>
                <w14:ligatures w14:val="none"/>
              </w:rPr>
            </w:pPr>
            <w:r w:rsidRPr="00BE3CC5">
              <w:rPr>
                <w:rFonts w:ascii="Times New Roman" w:eastAsia="Times New Roman" w:hAnsi="Times New Roman" w:cs="Times New Roman"/>
                <w:color w:val="000000"/>
                <w:kern w:val="0"/>
                <w:szCs w:val="24"/>
                <w:lang w:eastAsia="en-IN"/>
                <w14:ligatures w14:val="none"/>
              </w:rPr>
              <w:t>63</w:t>
            </w:r>
          </w:p>
        </w:tc>
      </w:tr>
      <w:tr w:rsidR="007E3032" w:rsidRPr="00BE3CC5" w14:paraId="4EB031B5" w14:textId="77777777" w:rsidTr="007E3032">
        <w:trPr>
          <w:trHeight w:val="325"/>
        </w:trPr>
        <w:tc>
          <w:tcPr>
            <w:tcW w:w="1601" w:type="dxa"/>
            <w:tcBorders>
              <w:top w:val="nil"/>
              <w:left w:val="single" w:sz="4" w:space="0" w:color="auto"/>
              <w:bottom w:val="single" w:sz="4" w:space="0" w:color="auto"/>
              <w:right w:val="single" w:sz="4" w:space="0" w:color="auto"/>
            </w:tcBorders>
            <w:vAlign w:val="center"/>
            <w:hideMark/>
          </w:tcPr>
          <w:p w14:paraId="0AC85ADF" w14:textId="77777777" w:rsidR="007E3032" w:rsidRPr="00BE3CC5" w:rsidRDefault="007E3032" w:rsidP="007E3032">
            <w:pPr>
              <w:spacing w:after="0" w:line="240" w:lineRule="auto"/>
              <w:rPr>
                <w:rFonts w:ascii="Times New Roman" w:eastAsia="Times New Roman" w:hAnsi="Times New Roman" w:cs="Times New Roman"/>
                <w:color w:val="000000"/>
                <w:kern w:val="0"/>
                <w:szCs w:val="24"/>
                <w:lang w:eastAsia="en-IN"/>
                <w14:ligatures w14:val="none"/>
              </w:rPr>
            </w:pPr>
            <w:r w:rsidRPr="00BE3CC5">
              <w:rPr>
                <w:rFonts w:ascii="Times New Roman" w:eastAsia="Times New Roman" w:hAnsi="Times New Roman" w:cs="Times New Roman"/>
                <w:color w:val="000000"/>
                <w:kern w:val="0"/>
                <w:szCs w:val="24"/>
                <w:lang w:eastAsia="en-IN"/>
                <w14:ligatures w14:val="none"/>
              </w:rPr>
              <w:t>Gujarat</w:t>
            </w:r>
          </w:p>
        </w:tc>
        <w:tc>
          <w:tcPr>
            <w:tcW w:w="1634" w:type="dxa"/>
            <w:tcBorders>
              <w:top w:val="nil"/>
              <w:left w:val="nil"/>
              <w:bottom w:val="single" w:sz="4" w:space="0" w:color="auto"/>
              <w:right w:val="single" w:sz="4" w:space="0" w:color="auto"/>
            </w:tcBorders>
            <w:vAlign w:val="center"/>
            <w:hideMark/>
          </w:tcPr>
          <w:p w14:paraId="4352D8CE" w14:textId="77777777" w:rsidR="007E3032" w:rsidRPr="00BE3CC5" w:rsidRDefault="007E3032" w:rsidP="007E3032">
            <w:pPr>
              <w:spacing w:after="0" w:line="240" w:lineRule="auto"/>
              <w:jc w:val="center"/>
              <w:rPr>
                <w:rFonts w:ascii="Times New Roman" w:eastAsia="Times New Roman" w:hAnsi="Times New Roman" w:cs="Times New Roman"/>
                <w:color w:val="000000"/>
                <w:kern w:val="0"/>
                <w:szCs w:val="24"/>
                <w:lang w:eastAsia="en-IN"/>
                <w14:ligatures w14:val="none"/>
              </w:rPr>
            </w:pPr>
            <w:r w:rsidRPr="00BE3CC5">
              <w:rPr>
                <w:rFonts w:ascii="Times New Roman" w:eastAsia="Times New Roman" w:hAnsi="Times New Roman" w:cs="Times New Roman"/>
                <w:color w:val="000000"/>
                <w:kern w:val="0"/>
                <w:szCs w:val="24"/>
                <w:lang w:eastAsia="en-IN"/>
                <w14:ligatures w14:val="none"/>
              </w:rPr>
              <w:t>346</w:t>
            </w:r>
          </w:p>
        </w:tc>
        <w:tc>
          <w:tcPr>
            <w:tcW w:w="2320" w:type="dxa"/>
            <w:tcBorders>
              <w:top w:val="nil"/>
              <w:left w:val="nil"/>
              <w:bottom w:val="single" w:sz="4" w:space="0" w:color="auto"/>
              <w:right w:val="single" w:sz="4" w:space="0" w:color="auto"/>
            </w:tcBorders>
            <w:vAlign w:val="center"/>
            <w:hideMark/>
          </w:tcPr>
          <w:p w14:paraId="5C542EBA" w14:textId="77777777" w:rsidR="007E3032" w:rsidRPr="00BE3CC5" w:rsidRDefault="007E3032" w:rsidP="007E3032">
            <w:pPr>
              <w:spacing w:after="0" w:line="240" w:lineRule="auto"/>
              <w:jc w:val="center"/>
              <w:rPr>
                <w:rFonts w:ascii="Times New Roman" w:eastAsia="Times New Roman" w:hAnsi="Times New Roman" w:cs="Times New Roman"/>
                <w:color w:val="000000"/>
                <w:kern w:val="0"/>
                <w:szCs w:val="24"/>
                <w:lang w:eastAsia="en-IN"/>
                <w14:ligatures w14:val="none"/>
              </w:rPr>
            </w:pPr>
            <w:r w:rsidRPr="00BE3CC5">
              <w:rPr>
                <w:rFonts w:ascii="Times New Roman" w:eastAsia="Times New Roman" w:hAnsi="Times New Roman" w:cs="Times New Roman"/>
                <w:color w:val="000000"/>
                <w:kern w:val="0"/>
                <w:szCs w:val="24"/>
                <w:lang w:eastAsia="en-IN"/>
                <w14:ligatures w14:val="none"/>
              </w:rPr>
              <w:t>132</w:t>
            </w:r>
          </w:p>
        </w:tc>
        <w:tc>
          <w:tcPr>
            <w:tcW w:w="1879" w:type="dxa"/>
            <w:tcBorders>
              <w:top w:val="nil"/>
              <w:left w:val="nil"/>
              <w:bottom w:val="single" w:sz="4" w:space="0" w:color="auto"/>
              <w:right w:val="single" w:sz="4" w:space="0" w:color="auto"/>
            </w:tcBorders>
            <w:vAlign w:val="center"/>
            <w:hideMark/>
          </w:tcPr>
          <w:p w14:paraId="249171E2" w14:textId="77777777" w:rsidR="007E3032" w:rsidRPr="00BE3CC5" w:rsidRDefault="007E3032" w:rsidP="007E3032">
            <w:pPr>
              <w:spacing w:after="0" w:line="240" w:lineRule="auto"/>
              <w:jc w:val="center"/>
              <w:rPr>
                <w:rFonts w:ascii="Times New Roman" w:eastAsia="Times New Roman" w:hAnsi="Times New Roman" w:cs="Times New Roman"/>
                <w:color w:val="000000"/>
                <w:kern w:val="0"/>
                <w:szCs w:val="24"/>
                <w:lang w:eastAsia="en-IN"/>
                <w14:ligatures w14:val="none"/>
              </w:rPr>
            </w:pPr>
            <w:r w:rsidRPr="00BE3CC5">
              <w:rPr>
                <w:rFonts w:ascii="Times New Roman" w:eastAsia="Times New Roman" w:hAnsi="Times New Roman" w:cs="Times New Roman"/>
                <w:color w:val="000000"/>
                <w:kern w:val="0"/>
                <w:szCs w:val="24"/>
                <w:lang w:eastAsia="en-IN"/>
                <w14:ligatures w14:val="none"/>
              </w:rPr>
              <w:t>188</w:t>
            </w:r>
          </w:p>
        </w:tc>
        <w:tc>
          <w:tcPr>
            <w:tcW w:w="2679" w:type="dxa"/>
            <w:tcBorders>
              <w:top w:val="nil"/>
              <w:left w:val="nil"/>
              <w:bottom w:val="single" w:sz="4" w:space="0" w:color="auto"/>
              <w:right w:val="single" w:sz="4" w:space="0" w:color="auto"/>
            </w:tcBorders>
            <w:vAlign w:val="center"/>
            <w:hideMark/>
          </w:tcPr>
          <w:p w14:paraId="7ACABC8C" w14:textId="77777777" w:rsidR="007E3032" w:rsidRPr="00BE3CC5" w:rsidRDefault="007E3032" w:rsidP="007E3032">
            <w:pPr>
              <w:spacing w:after="0" w:line="240" w:lineRule="auto"/>
              <w:jc w:val="center"/>
              <w:rPr>
                <w:rFonts w:ascii="Times New Roman" w:eastAsia="Times New Roman" w:hAnsi="Times New Roman" w:cs="Times New Roman"/>
                <w:color w:val="000000"/>
                <w:kern w:val="0"/>
                <w:szCs w:val="24"/>
                <w:lang w:eastAsia="en-IN"/>
                <w14:ligatures w14:val="none"/>
              </w:rPr>
            </w:pPr>
            <w:r w:rsidRPr="00BE3CC5">
              <w:rPr>
                <w:rFonts w:ascii="Times New Roman" w:eastAsia="Times New Roman" w:hAnsi="Times New Roman" w:cs="Times New Roman"/>
                <w:color w:val="000000"/>
                <w:kern w:val="0"/>
                <w:szCs w:val="24"/>
                <w:lang w:eastAsia="en-IN"/>
                <w14:ligatures w14:val="none"/>
              </w:rPr>
              <w:t>66</w:t>
            </w:r>
          </w:p>
        </w:tc>
      </w:tr>
      <w:tr w:rsidR="007E3032" w:rsidRPr="00BE3CC5" w14:paraId="4AC9929A" w14:textId="77777777" w:rsidTr="007E3032">
        <w:trPr>
          <w:trHeight w:val="325"/>
        </w:trPr>
        <w:tc>
          <w:tcPr>
            <w:tcW w:w="1601" w:type="dxa"/>
            <w:tcBorders>
              <w:top w:val="nil"/>
              <w:left w:val="single" w:sz="4" w:space="0" w:color="auto"/>
              <w:bottom w:val="single" w:sz="4" w:space="0" w:color="auto"/>
              <w:right w:val="single" w:sz="4" w:space="0" w:color="auto"/>
            </w:tcBorders>
            <w:vAlign w:val="center"/>
            <w:hideMark/>
          </w:tcPr>
          <w:p w14:paraId="586FC77E" w14:textId="77777777" w:rsidR="007E3032" w:rsidRPr="00BE3CC5" w:rsidRDefault="007E3032" w:rsidP="007E3032">
            <w:pPr>
              <w:spacing w:after="0" w:line="240" w:lineRule="auto"/>
              <w:rPr>
                <w:rFonts w:ascii="Times New Roman" w:eastAsia="Times New Roman" w:hAnsi="Times New Roman" w:cs="Times New Roman"/>
                <w:color w:val="000000"/>
                <w:kern w:val="0"/>
                <w:szCs w:val="24"/>
                <w:lang w:eastAsia="en-IN"/>
                <w14:ligatures w14:val="none"/>
              </w:rPr>
            </w:pPr>
            <w:r w:rsidRPr="00BE3CC5">
              <w:rPr>
                <w:rFonts w:ascii="Times New Roman" w:eastAsia="Times New Roman" w:hAnsi="Times New Roman" w:cs="Times New Roman"/>
                <w:color w:val="000000"/>
                <w:kern w:val="0"/>
                <w:szCs w:val="24"/>
                <w:lang w:eastAsia="en-IN"/>
                <w14:ligatures w14:val="none"/>
              </w:rPr>
              <w:t>Haryana*</w:t>
            </w:r>
          </w:p>
        </w:tc>
        <w:tc>
          <w:tcPr>
            <w:tcW w:w="1634" w:type="dxa"/>
            <w:tcBorders>
              <w:top w:val="nil"/>
              <w:left w:val="nil"/>
              <w:bottom w:val="single" w:sz="4" w:space="0" w:color="auto"/>
              <w:right w:val="single" w:sz="4" w:space="0" w:color="auto"/>
            </w:tcBorders>
            <w:vAlign w:val="center"/>
            <w:hideMark/>
          </w:tcPr>
          <w:p w14:paraId="53450556" w14:textId="77777777" w:rsidR="007E3032" w:rsidRPr="00BE3CC5" w:rsidRDefault="007E3032" w:rsidP="007E3032">
            <w:pPr>
              <w:spacing w:after="0" w:line="240" w:lineRule="auto"/>
              <w:jc w:val="center"/>
              <w:rPr>
                <w:rFonts w:ascii="Times New Roman" w:eastAsia="Times New Roman" w:hAnsi="Times New Roman" w:cs="Times New Roman"/>
                <w:color w:val="000000"/>
                <w:kern w:val="0"/>
                <w:szCs w:val="24"/>
                <w:lang w:eastAsia="en-IN"/>
                <w14:ligatures w14:val="none"/>
              </w:rPr>
            </w:pPr>
            <w:r w:rsidRPr="00BE3CC5">
              <w:rPr>
                <w:rFonts w:ascii="Times New Roman" w:eastAsia="Times New Roman" w:hAnsi="Times New Roman" w:cs="Times New Roman"/>
                <w:color w:val="000000"/>
                <w:kern w:val="0"/>
                <w:szCs w:val="24"/>
                <w:lang w:eastAsia="en-IN"/>
                <w14:ligatures w14:val="none"/>
              </w:rPr>
              <w:t>81*</w:t>
            </w:r>
          </w:p>
        </w:tc>
        <w:tc>
          <w:tcPr>
            <w:tcW w:w="2320" w:type="dxa"/>
            <w:tcBorders>
              <w:top w:val="nil"/>
              <w:left w:val="nil"/>
              <w:bottom w:val="single" w:sz="4" w:space="0" w:color="auto"/>
              <w:right w:val="single" w:sz="4" w:space="0" w:color="auto"/>
            </w:tcBorders>
            <w:vAlign w:val="center"/>
            <w:hideMark/>
          </w:tcPr>
          <w:p w14:paraId="19EAA8E8" w14:textId="77777777" w:rsidR="007E3032" w:rsidRPr="00BE3CC5" w:rsidRDefault="007E3032" w:rsidP="007E3032">
            <w:pPr>
              <w:spacing w:after="0" w:line="240" w:lineRule="auto"/>
              <w:jc w:val="center"/>
              <w:rPr>
                <w:rFonts w:ascii="Times New Roman" w:eastAsia="Times New Roman" w:hAnsi="Times New Roman" w:cs="Times New Roman"/>
                <w:color w:val="000000"/>
                <w:kern w:val="0"/>
                <w:szCs w:val="24"/>
                <w:lang w:eastAsia="en-IN"/>
                <w14:ligatures w14:val="none"/>
              </w:rPr>
            </w:pPr>
            <w:r w:rsidRPr="00BE3CC5">
              <w:rPr>
                <w:rFonts w:ascii="Times New Roman" w:eastAsia="Times New Roman" w:hAnsi="Times New Roman" w:cs="Times New Roman"/>
                <w:color w:val="000000"/>
                <w:kern w:val="0"/>
                <w:szCs w:val="24"/>
                <w:lang w:eastAsia="en-IN"/>
                <w14:ligatures w14:val="none"/>
              </w:rPr>
              <w:t>52*</w:t>
            </w:r>
          </w:p>
        </w:tc>
        <w:tc>
          <w:tcPr>
            <w:tcW w:w="1879" w:type="dxa"/>
            <w:tcBorders>
              <w:top w:val="nil"/>
              <w:left w:val="nil"/>
              <w:bottom w:val="single" w:sz="4" w:space="0" w:color="auto"/>
              <w:right w:val="single" w:sz="4" w:space="0" w:color="auto"/>
            </w:tcBorders>
            <w:vAlign w:val="center"/>
            <w:hideMark/>
          </w:tcPr>
          <w:p w14:paraId="5A5E9F00" w14:textId="77777777" w:rsidR="007E3032" w:rsidRPr="00BE3CC5" w:rsidRDefault="007E3032" w:rsidP="007E3032">
            <w:pPr>
              <w:spacing w:after="0" w:line="240" w:lineRule="auto"/>
              <w:jc w:val="center"/>
              <w:rPr>
                <w:rFonts w:ascii="Times New Roman" w:eastAsia="Times New Roman" w:hAnsi="Times New Roman" w:cs="Times New Roman"/>
                <w:color w:val="000000"/>
                <w:kern w:val="0"/>
                <w:szCs w:val="24"/>
                <w:lang w:eastAsia="en-IN"/>
                <w14:ligatures w14:val="none"/>
              </w:rPr>
            </w:pPr>
            <w:r w:rsidRPr="00BE3CC5">
              <w:rPr>
                <w:rFonts w:ascii="Times New Roman" w:eastAsia="Times New Roman" w:hAnsi="Times New Roman" w:cs="Times New Roman"/>
                <w:color w:val="000000"/>
                <w:kern w:val="0"/>
                <w:szCs w:val="24"/>
                <w:lang w:eastAsia="en-IN"/>
                <w14:ligatures w14:val="none"/>
              </w:rPr>
              <w:t>212</w:t>
            </w:r>
          </w:p>
        </w:tc>
        <w:tc>
          <w:tcPr>
            <w:tcW w:w="2679" w:type="dxa"/>
            <w:tcBorders>
              <w:top w:val="nil"/>
              <w:left w:val="nil"/>
              <w:bottom w:val="single" w:sz="4" w:space="0" w:color="auto"/>
              <w:right w:val="single" w:sz="4" w:space="0" w:color="auto"/>
            </w:tcBorders>
            <w:vAlign w:val="center"/>
            <w:hideMark/>
          </w:tcPr>
          <w:p w14:paraId="7B06B137" w14:textId="77777777" w:rsidR="007E3032" w:rsidRPr="00BE3CC5" w:rsidRDefault="007E3032" w:rsidP="007E3032">
            <w:pPr>
              <w:spacing w:after="0" w:line="240" w:lineRule="auto"/>
              <w:jc w:val="center"/>
              <w:rPr>
                <w:rFonts w:ascii="Times New Roman" w:eastAsia="Times New Roman" w:hAnsi="Times New Roman" w:cs="Times New Roman"/>
                <w:color w:val="000000"/>
                <w:kern w:val="0"/>
                <w:szCs w:val="24"/>
                <w:lang w:eastAsia="en-IN"/>
                <w14:ligatures w14:val="none"/>
              </w:rPr>
            </w:pPr>
            <w:r w:rsidRPr="00BE3CC5">
              <w:rPr>
                <w:rFonts w:ascii="Times New Roman" w:eastAsia="Times New Roman" w:hAnsi="Times New Roman" w:cs="Times New Roman"/>
                <w:color w:val="000000"/>
                <w:kern w:val="0"/>
                <w:szCs w:val="24"/>
                <w:lang w:eastAsia="en-IN"/>
                <w14:ligatures w14:val="none"/>
              </w:rPr>
              <w:t>87</w:t>
            </w:r>
          </w:p>
        </w:tc>
      </w:tr>
      <w:tr w:rsidR="007E3032" w:rsidRPr="00BE3CC5" w14:paraId="27D5A4F1" w14:textId="77777777" w:rsidTr="007E3032">
        <w:trPr>
          <w:trHeight w:val="325"/>
        </w:trPr>
        <w:tc>
          <w:tcPr>
            <w:tcW w:w="1601" w:type="dxa"/>
            <w:tcBorders>
              <w:top w:val="nil"/>
              <w:left w:val="single" w:sz="4" w:space="0" w:color="auto"/>
              <w:bottom w:val="single" w:sz="4" w:space="0" w:color="auto"/>
              <w:right w:val="single" w:sz="4" w:space="0" w:color="auto"/>
            </w:tcBorders>
            <w:vAlign w:val="center"/>
            <w:hideMark/>
          </w:tcPr>
          <w:p w14:paraId="3209EF18" w14:textId="77777777" w:rsidR="007E3032" w:rsidRPr="00BE3CC5" w:rsidRDefault="007E3032" w:rsidP="007E3032">
            <w:pPr>
              <w:spacing w:after="0" w:line="240" w:lineRule="auto"/>
              <w:rPr>
                <w:rFonts w:ascii="Times New Roman" w:eastAsia="Times New Roman" w:hAnsi="Times New Roman" w:cs="Times New Roman"/>
                <w:color w:val="000000"/>
                <w:kern w:val="0"/>
                <w:szCs w:val="24"/>
                <w:lang w:eastAsia="en-IN"/>
                <w14:ligatures w14:val="none"/>
              </w:rPr>
            </w:pPr>
            <w:r w:rsidRPr="00BE3CC5">
              <w:rPr>
                <w:rFonts w:ascii="Times New Roman" w:eastAsia="Times New Roman" w:hAnsi="Times New Roman" w:cs="Times New Roman"/>
                <w:color w:val="000000"/>
                <w:kern w:val="0"/>
                <w:szCs w:val="24"/>
                <w:lang w:eastAsia="en-IN"/>
                <w14:ligatures w14:val="none"/>
              </w:rPr>
              <w:t>Jammu and Kashmir</w:t>
            </w:r>
          </w:p>
        </w:tc>
        <w:tc>
          <w:tcPr>
            <w:tcW w:w="1634" w:type="dxa"/>
            <w:tcBorders>
              <w:top w:val="nil"/>
              <w:left w:val="nil"/>
              <w:bottom w:val="single" w:sz="4" w:space="0" w:color="auto"/>
              <w:right w:val="single" w:sz="4" w:space="0" w:color="auto"/>
            </w:tcBorders>
            <w:vAlign w:val="center"/>
            <w:hideMark/>
          </w:tcPr>
          <w:p w14:paraId="42263AB2" w14:textId="77777777" w:rsidR="007E3032" w:rsidRPr="00BE3CC5" w:rsidRDefault="007E3032" w:rsidP="007E3032">
            <w:pPr>
              <w:spacing w:after="0" w:line="240" w:lineRule="auto"/>
              <w:jc w:val="center"/>
              <w:rPr>
                <w:rFonts w:ascii="Times New Roman" w:eastAsia="Times New Roman" w:hAnsi="Times New Roman" w:cs="Times New Roman"/>
                <w:color w:val="000000"/>
                <w:kern w:val="0"/>
                <w:szCs w:val="24"/>
                <w:lang w:eastAsia="en-IN"/>
                <w14:ligatures w14:val="none"/>
              </w:rPr>
            </w:pPr>
            <w:r w:rsidRPr="00BE3CC5">
              <w:rPr>
                <w:rFonts w:ascii="Times New Roman" w:eastAsia="Times New Roman" w:hAnsi="Times New Roman" w:cs="Times New Roman"/>
                <w:color w:val="000000"/>
                <w:kern w:val="0"/>
                <w:szCs w:val="24"/>
                <w:lang w:eastAsia="en-IN"/>
                <w14:ligatures w14:val="none"/>
              </w:rPr>
              <w:t>453</w:t>
            </w:r>
          </w:p>
        </w:tc>
        <w:tc>
          <w:tcPr>
            <w:tcW w:w="2320" w:type="dxa"/>
            <w:tcBorders>
              <w:top w:val="nil"/>
              <w:left w:val="nil"/>
              <w:bottom w:val="single" w:sz="4" w:space="0" w:color="auto"/>
              <w:right w:val="single" w:sz="4" w:space="0" w:color="auto"/>
            </w:tcBorders>
            <w:vAlign w:val="center"/>
            <w:hideMark/>
          </w:tcPr>
          <w:p w14:paraId="4FA6835F" w14:textId="77777777" w:rsidR="007E3032" w:rsidRPr="00BE3CC5" w:rsidRDefault="007E3032" w:rsidP="007E3032">
            <w:pPr>
              <w:spacing w:after="0" w:line="240" w:lineRule="auto"/>
              <w:jc w:val="center"/>
              <w:rPr>
                <w:rFonts w:ascii="Times New Roman" w:eastAsia="Times New Roman" w:hAnsi="Times New Roman" w:cs="Times New Roman"/>
                <w:color w:val="000000"/>
                <w:kern w:val="0"/>
                <w:szCs w:val="24"/>
                <w:lang w:eastAsia="en-IN"/>
                <w14:ligatures w14:val="none"/>
              </w:rPr>
            </w:pPr>
            <w:r w:rsidRPr="00BE3CC5">
              <w:rPr>
                <w:rFonts w:ascii="Times New Roman" w:eastAsia="Times New Roman" w:hAnsi="Times New Roman" w:cs="Times New Roman"/>
                <w:color w:val="000000"/>
                <w:kern w:val="0"/>
                <w:szCs w:val="24"/>
                <w:lang w:eastAsia="en-IN"/>
                <w14:ligatures w14:val="none"/>
              </w:rPr>
              <w:t>416</w:t>
            </w:r>
          </w:p>
        </w:tc>
        <w:tc>
          <w:tcPr>
            <w:tcW w:w="1879" w:type="dxa"/>
            <w:tcBorders>
              <w:top w:val="nil"/>
              <w:left w:val="nil"/>
              <w:bottom w:val="single" w:sz="4" w:space="0" w:color="auto"/>
              <w:right w:val="single" w:sz="4" w:space="0" w:color="auto"/>
            </w:tcBorders>
            <w:vAlign w:val="center"/>
            <w:hideMark/>
          </w:tcPr>
          <w:p w14:paraId="420AC301" w14:textId="77777777" w:rsidR="007E3032" w:rsidRPr="00BE3CC5" w:rsidRDefault="007E3032" w:rsidP="007E3032">
            <w:pPr>
              <w:spacing w:after="0" w:line="240" w:lineRule="auto"/>
              <w:jc w:val="center"/>
              <w:rPr>
                <w:rFonts w:ascii="Times New Roman" w:eastAsia="Times New Roman" w:hAnsi="Times New Roman" w:cs="Times New Roman"/>
                <w:color w:val="000000"/>
                <w:kern w:val="0"/>
                <w:szCs w:val="24"/>
                <w:lang w:eastAsia="en-IN"/>
                <w14:ligatures w14:val="none"/>
              </w:rPr>
            </w:pPr>
            <w:r w:rsidRPr="00BE3CC5">
              <w:rPr>
                <w:rFonts w:ascii="Times New Roman" w:eastAsia="Times New Roman" w:hAnsi="Times New Roman" w:cs="Times New Roman"/>
                <w:color w:val="000000"/>
                <w:kern w:val="0"/>
                <w:szCs w:val="24"/>
                <w:lang w:eastAsia="en-IN"/>
                <w14:ligatures w14:val="none"/>
              </w:rPr>
              <w:t>382</w:t>
            </w:r>
          </w:p>
        </w:tc>
        <w:tc>
          <w:tcPr>
            <w:tcW w:w="2679" w:type="dxa"/>
            <w:tcBorders>
              <w:top w:val="nil"/>
              <w:left w:val="nil"/>
              <w:bottom w:val="single" w:sz="4" w:space="0" w:color="auto"/>
              <w:right w:val="single" w:sz="4" w:space="0" w:color="auto"/>
            </w:tcBorders>
            <w:vAlign w:val="center"/>
            <w:hideMark/>
          </w:tcPr>
          <w:p w14:paraId="31E7E1FE" w14:textId="77777777" w:rsidR="007E3032" w:rsidRPr="00BE3CC5" w:rsidRDefault="007E3032" w:rsidP="007E3032">
            <w:pPr>
              <w:spacing w:after="0" w:line="240" w:lineRule="auto"/>
              <w:jc w:val="center"/>
              <w:rPr>
                <w:rFonts w:ascii="Times New Roman" w:eastAsia="Times New Roman" w:hAnsi="Times New Roman" w:cs="Times New Roman"/>
                <w:color w:val="000000"/>
                <w:kern w:val="0"/>
                <w:szCs w:val="24"/>
                <w:lang w:eastAsia="en-IN"/>
                <w14:ligatures w14:val="none"/>
              </w:rPr>
            </w:pPr>
            <w:r w:rsidRPr="00BE3CC5">
              <w:rPr>
                <w:rFonts w:ascii="Times New Roman" w:eastAsia="Times New Roman" w:hAnsi="Times New Roman" w:cs="Times New Roman"/>
                <w:color w:val="000000"/>
                <w:kern w:val="0"/>
                <w:szCs w:val="24"/>
                <w:lang w:eastAsia="en-IN"/>
                <w14:ligatures w14:val="none"/>
              </w:rPr>
              <w:t>382</w:t>
            </w:r>
          </w:p>
        </w:tc>
      </w:tr>
      <w:tr w:rsidR="007E3032" w:rsidRPr="00BE3CC5" w14:paraId="242F259A" w14:textId="77777777" w:rsidTr="007E3032">
        <w:trPr>
          <w:trHeight w:val="325"/>
        </w:trPr>
        <w:tc>
          <w:tcPr>
            <w:tcW w:w="1601" w:type="dxa"/>
            <w:tcBorders>
              <w:top w:val="nil"/>
              <w:left w:val="single" w:sz="4" w:space="0" w:color="auto"/>
              <w:bottom w:val="single" w:sz="4" w:space="0" w:color="auto"/>
              <w:right w:val="single" w:sz="4" w:space="0" w:color="auto"/>
            </w:tcBorders>
            <w:vAlign w:val="center"/>
            <w:hideMark/>
          </w:tcPr>
          <w:p w14:paraId="4A2578F5" w14:textId="77777777" w:rsidR="007E3032" w:rsidRPr="00BE3CC5" w:rsidRDefault="007E3032" w:rsidP="007E3032">
            <w:pPr>
              <w:spacing w:after="0" w:line="240" w:lineRule="auto"/>
              <w:rPr>
                <w:rFonts w:ascii="Times New Roman" w:eastAsia="Times New Roman" w:hAnsi="Times New Roman" w:cs="Times New Roman"/>
                <w:color w:val="000000"/>
                <w:kern w:val="0"/>
                <w:szCs w:val="24"/>
                <w:lang w:eastAsia="en-IN"/>
                <w14:ligatures w14:val="none"/>
              </w:rPr>
            </w:pPr>
            <w:r w:rsidRPr="00BE3CC5">
              <w:rPr>
                <w:rFonts w:ascii="Times New Roman" w:eastAsia="Times New Roman" w:hAnsi="Times New Roman" w:cs="Times New Roman"/>
                <w:color w:val="000000"/>
                <w:kern w:val="0"/>
                <w:szCs w:val="24"/>
                <w:lang w:eastAsia="en-IN"/>
                <w14:ligatures w14:val="none"/>
              </w:rPr>
              <w:t>Kerala</w:t>
            </w:r>
          </w:p>
        </w:tc>
        <w:tc>
          <w:tcPr>
            <w:tcW w:w="1634" w:type="dxa"/>
            <w:tcBorders>
              <w:top w:val="nil"/>
              <w:left w:val="nil"/>
              <w:bottom w:val="single" w:sz="4" w:space="0" w:color="auto"/>
              <w:right w:val="single" w:sz="4" w:space="0" w:color="auto"/>
            </w:tcBorders>
            <w:vAlign w:val="center"/>
            <w:hideMark/>
          </w:tcPr>
          <w:p w14:paraId="1A9E2CD1" w14:textId="77777777" w:rsidR="007E3032" w:rsidRPr="00BE3CC5" w:rsidRDefault="007E3032" w:rsidP="007E3032">
            <w:pPr>
              <w:spacing w:after="0" w:line="240" w:lineRule="auto"/>
              <w:jc w:val="center"/>
              <w:rPr>
                <w:rFonts w:ascii="Times New Roman" w:eastAsia="Times New Roman" w:hAnsi="Times New Roman" w:cs="Times New Roman"/>
                <w:color w:val="000000"/>
                <w:kern w:val="0"/>
                <w:szCs w:val="24"/>
                <w:lang w:eastAsia="en-IN"/>
                <w14:ligatures w14:val="none"/>
              </w:rPr>
            </w:pPr>
            <w:r w:rsidRPr="00BE3CC5">
              <w:rPr>
                <w:rFonts w:ascii="Times New Roman" w:eastAsia="Times New Roman" w:hAnsi="Times New Roman" w:cs="Times New Roman"/>
                <w:color w:val="000000"/>
                <w:kern w:val="0"/>
                <w:szCs w:val="24"/>
                <w:lang w:eastAsia="en-IN"/>
                <w14:ligatures w14:val="none"/>
              </w:rPr>
              <w:t>264</w:t>
            </w:r>
          </w:p>
        </w:tc>
        <w:tc>
          <w:tcPr>
            <w:tcW w:w="2320" w:type="dxa"/>
            <w:tcBorders>
              <w:top w:val="nil"/>
              <w:left w:val="nil"/>
              <w:bottom w:val="single" w:sz="4" w:space="0" w:color="auto"/>
              <w:right w:val="single" w:sz="4" w:space="0" w:color="auto"/>
            </w:tcBorders>
            <w:vAlign w:val="center"/>
            <w:hideMark/>
          </w:tcPr>
          <w:p w14:paraId="412A1149" w14:textId="77777777" w:rsidR="007E3032" w:rsidRPr="00BE3CC5" w:rsidRDefault="007E3032" w:rsidP="007E3032">
            <w:pPr>
              <w:spacing w:after="0" w:line="240" w:lineRule="auto"/>
              <w:jc w:val="center"/>
              <w:rPr>
                <w:rFonts w:ascii="Times New Roman" w:eastAsia="Times New Roman" w:hAnsi="Times New Roman" w:cs="Times New Roman"/>
                <w:color w:val="000000"/>
                <w:kern w:val="0"/>
                <w:szCs w:val="24"/>
                <w:lang w:eastAsia="en-IN"/>
                <w14:ligatures w14:val="none"/>
              </w:rPr>
            </w:pPr>
            <w:r w:rsidRPr="00BE3CC5">
              <w:rPr>
                <w:rFonts w:ascii="Times New Roman" w:eastAsia="Times New Roman" w:hAnsi="Times New Roman" w:cs="Times New Roman"/>
                <w:color w:val="000000"/>
                <w:kern w:val="0"/>
                <w:szCs w:val="24"/>
                <w:lang w:eastAsia="en-IN"/>
                <w14:ligatures w14:val="none"/>
              </w:rPr>
              <w:t>161</w:t>
            </w:r>
          </w:p>
        </w:tc>
        <w:tc>
          <w:tcPr>
            <w:tcW w:w="1879" w:type="dxa"/>
            <w:tcBorders>
              <w:top w:val="nil"/>
              <w:left w:val="nil"/>
              <w:bottom w:val="single" w:sz="4" w:space="0" w:color="auto"/>
              <w:right w:val="single" w:sz="4" w:space="0" w:color="auto"/>
            </w:tcBorders>
            <w:vAlign w:val="center"/>
            <w:hideMark/>
          </w:tcPr>
          <w:p w14:paraId="05E602AD" w14:textId="77777777" w:rsidR="007E3032" w:rsidRPr="00BE3CC5" w:rsidRDefault="007E3032" w:rsidP="007E3032">
            <w:pPr>
              <w:spacing w:after="0" w:line="240" w:lineRule="auto"/>
              <w:jc w:val="center"/>
              <w:rPr>
                <w:rFonts w:ascii="Times New Roman" w:eastAsia="Times New Roman" w:hAnsi="Times New Roman" w:cs="Times New Roman"/>
                <w:color w:val="000000"/>
                <w:kern w:val="0"/>
                <w:szCs w:val="24"/>
                <w:lang w:eastAsia="en-IN"/>
                <w14:ligatures w14:val="none"/>
              </w:rPr>
            </w:pPr>
            <w:r w:rsidRPr="00BE3CC5">
              <w:rPr>
                <w:rFonts w:ascii="Times New Roman" w:eastAsia="Times New Roman" w:hAnsi="Times New Roman" w:cs="Times New Roman"/>
                <w:color w:val="000000"/>
                <w:kern w:val="0"/>
                <w:szCs w:val="24"/>
                <w:lang w:eastAsia="en-IN"/>
                <w14:ligatures w14:val="none"/>
              </w:rPr>
              <w:t>133</w:t>
            </w:r>
          </w:p>
        </w:tc>
        <w:tc>
          <w:tcPr>
            <w:tcW w:w="2679" w:type="dxa"/>
            <w:tcBorders>
              <w:top w:val="nil"/>
              <w:left w:val="nil"/>
              <w:bottom w:val="single" w:sz="4" w:space="0" w:color="auto"/>
              <w:right w:val="single" w:sz="4" w:space="0" w:color="auto"/>
            </w:tcBorders>
            <w:vAlign w:val="center"/>
            <w:hideMark/>
          </w:tcPr>
          <w:p w14:paraId="64016290" w14:textId="77777777" w:rsidR="007E3032" w:rsidRPr="00BE3CC5" w:rsidRDefault="007E3032" w:rsidP="007E3032">
            <w:pPr>
              <w:spacing w:after="0" w:line="240" w:lineRule="auto"/>
              <w:jc w:val="center"/>
              <w:rPr>
                <w:rFonts w:ascii="Times New Roman" w:eastAsia="Times New Roman" w:hAnsi="Times New Roman" w:cs="Times New Roman"/>
                <w:color w:val="000000"/>
                <w:kern w:val="0"/>
                <w:szCs w:val="24"/>
                <w:lang w:eastAsia="en-IN"/>
                <w14:ligatures w14:val="none"/>
              </w:rPr>
            </w:pPr>
            <w:r w:rsidRPr="00BE3CC5">
              <w:rPr>
                <w:rFonts w:ascii="Times New Roman" w:eastAsia="Times New Roman" w:hAnsi="Times New Roman" w:cs="Times New Roman"/>
                <w:color w:val="000000"/>
                <w:kern w:val="0"/>
                <w:szCs w:val="24"/>
                <w:lang w:eastAsia="en-IN"/>
                <w14:ligatures w14:val="none"/>
              </w:rPr>
              <w:t>90</w:t>
            </w:r>
          </w:p>
        </w:tc>
      </w:tr>
      <w:tr w:rsidR="007E3032" w:rsidRPr="00BE3CC5" w14:paraId="2E2880C2" w14:textId="77777777" w:rsidTr="007E3032">
        <w:trPr>
          <w:trHeight w:val="325"/>
        </w:trPr>
        <w:tc>
          <w:tcPr>
            <w:tcW w:w="1601" w:type="dxa"/>
            <w:tcBorders>
              <w:top w:val="nil"/>
              <w:left w:val="single" w:sz="4" w:space="0" w:color="auto"/>
              <w:bottom w:val="single" w:sz="4" w:space="0" w:color="auto"/>
              <w:right w:val="single" w:sz="4" w:space="0" w:color="auto"/>
            </w:tcBorders>
            <w:vAlign w:val="center"/>
            <w:hideMark/>
          </w:tcPr>
          <w:p w14:paraId="3FC23F04" w14:textId="77777777" w:rsidR="007E3032" w:rsidRPr="00BE3CC5" w:rsidRDefault="007E3032" w:rsidP="007E3032">
            <w:pPr>
              <w:spacing w:after="0" w:line="240" w:lineRule="auto"/>
              <w:rPr>
                <w:rFonts w:ascii="Times New Roman" w:eastAsia="Times New Roman" w:hAnsi="Times New Roman" w:cs="Times New Roman"/>
                <w:color w:val="000000"/>
                <w:kern w:val="0"/>
                <w:szCs w:val="24"/>
                <w:lang w:eastAsia="en-IN"/>
                <w14:ligatures w14:val="none"/>
              </w:rPr>
            </w:pPr>
            <w:r w:rsidRPr="00BE3CC5">
              <w:rPr>
                <w:rFonts w:ascii="Times New Roman" w:eastAsia="Times New Roman" w:hAnsi="Times New Roman" w:cs="Times New Roman"/>
                <w:color w:val="000000"/>
                <w:kern w:val="0"/>
                <w:szCs w:val="24"/>
                <w:lang w:eastAsia="en-IN"/>
                <w14:ligatures w14:val="none"/>
              </w:rPr>
              <w:t>Madhya Pradesh</w:t>
            </w:r>
          </w:p>
        </w:tc>
        <w:tc>
          <w:tcPr>
            <w:tcW w:w="1634" w:type="dxa"/>
            <w:tcBorders>
              <w:top w:val="nil"/>
              <w:left w:val="nil"/>
              <w:bottom w:val="single" w:sz="4" w:space="0" w:color="auto"/>
              <w:right w:val="single" w:sz="4" w:space="0" w:color="auto"/>
            </w:tcBorders>
            <w:vAlign w:val="center"/>
            <w:hideMark/>
          </w:tcPr>
          <w:p w14:paraId="19F84D87" w14:textId="77777777" w:rsidR="007E3032" w:rsidRPr="00BE3CC5" w:rsidRDefault="007E3032" w:rsidP="007E3032">
            <w:pPr>
              <w:spacing w:after="0" w:line="240" w:lineRule="auto"/>
              <w:jc w:val="center"/>
              <w:rPr>
                <w:rFonts w:ascii="Times New Roman" w:eastAsia="Times New Roman" w:hAnsi="Times New Roman" w:cs="Times New Roman"/>
                <w:color w:val="000000"/>
                <w:kern w:val="0"/>
                <w:szCs w:val="24"/>
                <w:lang w:eastAsia="en-IN"/>
                <w14:ligatures w14:val="none"/>
              </w:rPr>
            </w:pPr>
            <w:r w:rsidRPr="00BE3CC5">
              <w:rPr>
                <w:rFonts w:ascii="Times New Roman" w:eastAsia="Times New Roman" w:hAnsi="Times New Roman" w:cs="Times New Roman"/>
                <w:color w:val="000000"/>
                <w:kern w:val="0"/>
                <w:szCs w:val="24"/>
                <w:lang w:eastAsia="en-IN"/>
                <w14:ligatures w14:val="none"/>
              </w:rPr>
              <w:t>223</w:t>
            </w:r>
          </w:p>
        </w:tc>
        <w:tc>
          <w:tcPr>
            <w:tcW w:w="2320" w:type="dxa"/>
            <w:tcBorders>
              <w:top w:val="nil"/>
              <w:left w:val="nil"/>
              <w:bottom w:val="single" w:sz="4" w:space="0" w:color="auto"/>
              <w:right w:val="single" w:sz="4" w:space="0" w:color="auto"/>
            </w:tcBorders>
            <w:vAlign w:val="center"/>
            <w:hideMark/>
          </w:tcPr>
          <w:p w14:paraId="65C2FC0C" w14:textId="77777777" w:rsidR="007E3032" w:rsidRPr="00BE3CC5" w:rsidRDefault="007E3032" w:rsidP="007E3032">
            <w:pPr>
              <w:spacing w:after="0" w:line="240" w:lineRule="auto"/>
              <w:jc w:val="center"/>
              <w:rPr>
                <w:rFonts w:ascii="Times New Roman" w:eastAsia="Times New Roman" w:hAnsi="Times New Roman" w:cs="Times New Roman"/>
                <w:color w:val="000000"/>
                <w:kern w:val="0"/>
                <w:szCs w:val="24"/>
                <w:lang w:eastAsia="en-IN"/>
                <w14:ligatures w14:val="none"/>
              </w:rPr>
            </w:pPr>
            <w:r w:rsidRPr="00BE3CC5">
              <w:rPr>
                <w:rFonts w:ascii="Times New Roman" w:eastAsia="Times New Roman" w:hAnsi="Times New Roman" w:cs="Times New Roman"/>
                <w:color w:val="000000"/>
                <w:kern w:val="0"/>
                <w:szCs w:val="24"/>
                <w:lang w:eastAsia="en-IN"/>
                <w14:ligatures w14:val="none"/>
              </w:rPr>
              <w:t>164</w:t>
            </w:r>
          </w:p>
        </w:tc>
        <w:tc>
          <w:tcPr>
            <w:tcW w:w="1879" w:type="dxa"/>
            <w:tcBorders>
              <w:top w:val="nil"/>
              <w:left w:val="nil"/>
              <w:bottom w:val="single" w:sz="4" w:space="0" w:color="auto"/>
              <w:right w:val="single" w:sz="4" w:space="0" w:color="auto"/>
            </w:tcBorders>
            <w:vAlign w:val="center"/>
            <w:hideMark/>
          </w:tcPr>
          <w:p w14:paraId="044C478F" w14:textId="77777777" w:rsidR="007E3032" w:rsidRPr="00BE3CC5" w:rsidRDefault="007E3032" w:rsidP="007E3032">
            <w:pPr>
              <w:spacing w:after="0" w:line="240" w:lineRule="auto"/>
              <w:jc w:val="center"/>
              <w:rPr>
                <w:rFonts w:ascii="Times New Roman" w:eastAsia="Times New Roman" w:hAnsi="Times New Roman" w:cs="Times New Roman"/>
                <w:color w:val="000000"/>
                <w:kern w:val="0"/>
                <w:szCs w:val="24"/>
                <w:lang w:eastAsia="en-IN"/>
                <w14:ligatures w14:val="none"/>
              </w:rPr>
            </w:pPr>
            <w:r w:rsidRPr="00BE3CC5">
              <w:rPr>
                <w:rFonts w:ascii="Times New Roman" w:eastAsia="Times New Roman" w:hAnsi="Times New Roman" w:cs="Times New Roman"/>
                <w:color w:val="000000"/>
                <w:kern w:val="0"/>
                <w:szCs w:val="24"/>
                <w:lang w:eastAsia="en-IN"/>
                <w14:ligatures w14:val="none"/>
              </w:rPr>
              <w:t>96</w:t>
            </w:r>
          </w:p>
        </w:tc>
        <w:tc>
          <w:tcPr>
            <w:tcW w:w="2679" w:type="dxa"/>
            <w:tcBorders>
              <w:top w:val="nil"/>
              <w:left w:val="nil"/>
              <w:bottom w:val="single" w:sz="4" w:space="0" w:color="auto"/>
              <w:right w:val="single" w:sz="4" w:space="0" w:color="auto"/>
            </w:tcBorders>
            <w:vAlign w:val="center"/>
            <w:hideMark/>
          </w:tcPr>
          <w:p w14:paraId="7D61DB56" w14:textId="77777777" w:rsidR="007E3032" w:rsidRPr="00BE3CC5" w:rsidRDefault="007E3032" w:rsidP="007E3032">
            <w:pPr>
              <w:spacing w:after="0" w:line="240" w:lineRule="auto"/>
              <w:jc w:val="center"/>
              <w:rPr>
                <w:rFonts w:ascii="Times New Roman" w:eastAsia="Times New Roman" w:hAnsi="Times New Roman" w:cs="Times New Roman"/>
                <w:color w:val="000000"/>
                <w:kern w:val="0"/>
                <w:szCs w:val="24"/>
                <w:lang w:eastAsia="en-IN"/>
                <w14:ligatures w14:val="none"/>
              </w:rPr>
            </w:pPr>
            <w:r w:rsidRPr="00BE3CC5">
              <w:rPr>
                <w:rFonts w:ascii="Times New Roman" w:eastAsia="Times New Roman" w:hAnsi="Times New Roman" w:cs="Times New Roman"/>
                <w:color w:val="000000"/>
                <w:kern w:val="0"/>
                <w:szCs w:val="24"/>
                <w:lang w:eastAsia="en-IN"/>
                <w14:ligatures w14:val="none"/>
              </w:rPr>
              <w:t>71</w:t>
            </w:r>
          </w:p>
        </w:tc>
      </w:tr>
      <w:tr w:rsidR="007E3032" w:rsidRPr="00BE3CC5" w14:paraId="3D44B8B1" w14:textId="77777777" w:rsidTr="007E3032">
        <w:trPr>
          <w:trHeight w:val="325"/>
        </w:trPr>
        <w:tc>
          <w:tcPr>
            <w:tcW w:w="1601" w:type="dxa"/>
            <w:tcBorders>
              <w:top w:val="nil"/>
              <w:left w:val="single" w:sz="4" w:space="0" w:color="auto"/>
              <w:bottom w:val="single" w:sz="4" w:space="0" w:color="auto"/>
              <w:right w:val="single" w:sz="4" w:space="0" w:color="auto"/>
            </w:tcBorders>
            <w:vAlign w:val="center"/>
            <w:hideMark/>
          </w:tcPr>
          <w:p w14:paraId="62E05888" w14:textId="77777777" w:rsidR="007E3032" w:rsidRPr="00BE3CC5" w:rsidRDefault="007E3032" w:rsidP="007E3032">
            <w:pPr>
              <w:spacing w:after="0" w:line="240" w:lineRule="auto"/>
              <w:rPr>
                <w:rFonts w:ascii="Times New Roman" w:eastAsia="Times New Roman" w:hAnsi="Times New Roman" w:cs="Times New Roman"/>
                <w:color w:val="000000"/>
                <w:kern w:val="0"/>
                <w:szCs w:val="24"/>
                <w:lang w:eastAsia="en-IN"/>
                <w14:ligatures w14:val="none"/>
              </w:rPr>
            </w:pPr>
            <w:r w:rsidRPr="00BE3CC5">
              <w:rPr>
                <w:rFonts w:ascii="Times New Roman" w:eastAsia="Times New Roman" w:hAnsi="Times New Roman" w:cs="Times New Roman"/>
                <w:color w:val="000000"/>
                <w:kern w:val="0"/>
                <w:szCs w:val="24"/>
                <w:lang w:eastAsia="en-IN"/>
                <w14:ligatures w14:val="none"/>
              </w:rPr>
              <w:t>Maharashtra</w:t>
            </w:r>
          </w:p>
        </w:tc>
        <w:tc>
          <w:tcPr>
            <w:tcW w:w="1634" w:type="dxa"/>
            <w:tcBorders>
              <w:top w:val="nil"/>
              <w:left w:val="nil"/>
              <w:bottom w:val="single" w:sz="4" w:space="0" w:color="auto"/>
              <w:right w:val="single" w:sz="4" w:space="0" w:color="auto"/>
            </w:tcBorders>
            <w:vAlign w:val="center"/>
            <w:hideMark/>
          </w:tcPr>
          <w:p w14:paraId="53B1533D" w14:textId="77777777" w:rsidR="007E3032" w:rsidRPr="00BE3CC5" w:rsidRDefault="007E3032" w:rsidP="007E3032">
            <w:pPr>
              <w:spacing w:after="0" w:line="240" w:lineRule="auto"/>
              <w:jc w:val="center"/>
              <w:rPr>
                <w:rFonts w:ascii="Times New Roman" w:eastAsia="Times New Roman" w:hAnsi="Times New Roman" w:cs="Times New Roman"/>
                <w:color w:val="000000"/>
                <w:kern w:val="0"/>
                <w:szCs w:val="24"/>
                <w:lang w:eastAsia="en-IN"/>
                <w14:ligatures w14:val="none"/>
              </w:rPr>
            </w:pPr>
            <w:r w:rsidRPr="00BE3CC5">
              <w:rPr>
                <w:rFonts w:ascii="Times New Roman" w:eastAsia="Times New Roman" w:hAnsi="Times New Roman" w:cs="Times New Roman"/>
                <w:color w:val="000000"/>
                <w:kern w:val="0"/>
                <w:szCs w:val="24"/>
                <w:lang w:eastAsia="en-IN"/>
                <w14:ligatures w14:val="none"/>
              </w:rPr>
              <w:t>300</w:t>
            </w:r>
          </w:p>
        </w:tc>
        <w:tc>
          <w:tcPr>
            <w:tcW w:w="2320" w:type="dxa"/>
            <w:tcBorders>
              <w:top w:val="nil"/>
              <w:left w:val="nil"/>
              <w:bottom w:val="single" w:sz="4" w:space="0" w:color="auto"/>
              <w:right w:val="single" w:sz="4" w:space="0" w:color="auto"/>
            </w:tcBorders>
            <w:vAlign w:val="center"/>
            <w:hideMark/>
          </w:tcPr>
          <w:p w14:paraId="54D33256" w14:textId="77777777" w:rsidR="007E3032" w:rsidRPr="00BE3CC5" w:rsidRDefault="007E3032" w:rsidP="007E3032">
            <w:pPr>
              <w:spacing w:after="0" w:line="240" w:lineRule="auto"/>
              <w:jc w:val="center"/>
              <w:rPr>
                <w:rFonts w:ascii="Times New Roman" w:eastAsia="Times New Roman" w:hAnsi="Times New Roman" w:cs="Times New Roman"/>
                <w:color w:val="000000"/>
                <w:kern w:val="0"/>
                <w:szCs w:val="24"/>
                <w:lang w:eastAsia="en-IN"/>
                <w14:ligatures w14:val="none"/>
              </w:rPr>
            </w:pPr>
            <w:r w:rsidRPr="00BE3CC5">
              <w:rPr>
                <w:rFonts w:ascii="Times New Roman" w:eastAsia="Times New Roman" w:hAnsi="Times New Roman" w:cs="Times New Roman"/>
                <w:color w:val="000000"/>
                <w:kern w:val="0"/>
                <w:szCs w:val="24"/>
                <w:lang w:eastAsia="en-IN"/>
                <w14:ligatures w14:val="none"/>
              </w:rPr>
              <w:t>102</w:t>
            </w:r>
          </w:p>
        </w:tc>
        <w:tc>
          <w:tcPr>
            <w:tcW w:w="1879" w:type="dxa"/>
            <w:tcBorders>
              <w:top w:val="nil"/>
              <w:left w:val="nil"/>
              <w:bottom w:val="single" w:sz="4" w:space="0" w:color="auto"/>
              <w:right w:val="single" w:sz="4" w:space="0" w:color="auto"/>
            </w:tcBorders>
            <w:vAlign w:val="center"/>
            <w:hideMark/>
          </w:tcPr>
          <w:p w14:paraId="453EEBA7" w14:textId="77777777" w:rsidR="007E3032" w:rsidRPr="00BE3CC5" w:rsidRDefault="007E3032" w:rsidP="007E3032">
            <w:pPr>
              <w:spacing w:after="0" w:line="240" w:lineRule="auto"/>
              <w:jc w:val="center"/>
              <w:rPr>
                <w:rFonts w:ascii="Times New Roman" w:eastAsia="Times New Roman" w:hAnsi="Times New Roman" w:cs="Times New Roman"/>
                <w:color w:val="000000"/>
                <w:kern w:val="0"/>
                <w:szCs w:val="24"/>
                <w:lang w:eastAsia="en-IN"/>
                <w14:ligatures w14:val="none"/>
              </w:rPr>
            </w:pPr>
            <w:r w:rsidRPr="00BE3CC5">
              <w:rPr>
                <w:rFonts w:ascii="Times New Roman" w:eastAsia="Times New Roman" w:hAnsi="Times New Roman" w:cs="Times New Roman"/>
                <w:color w:val="000000"/>
                <w:kern w:val="0"/>
                <w:szCs w:val="24"/>
                <w:lang w:eastAsia="en-IN"/>
                <w14:ligatures w14:val="none"/>
              </w:rPr>
              <w:t>178</w:t>
            </w:r>
          </w:p>
        </w:tc>
        <w:tc>
          <w:tcPr>
            <w:tcW w:w="2679" w:type="dxa"/>
            <w:tcBorders>
              <w:top w:val="nil"/>
              <w:left w:val="nil"/>
              <w:bottom w:val="single" w:sz="4" w:space="0" w:color="auto"/>
              <w:right w:val="single" w:sz="4" w:space="0" w:color="auto"/>
            </w:tcBorders>
            <w:vAlign w:val="center"/>
            <w:hideMark/>
          </w:tcPr>
          <w:p w14:paraId="19E33A6A" w14:textId="77777777" w:rsidR="007E3032" w:rsidRPr="00BE3CC5" w:rsidRDefault="007E3032" w:rsidP="007E3032">
            <w:pPr>
              <w:spacing w:after="0" w:line="240" w:lineRule="auto"/>
              <w:jc w:val="center"/>
              <w:rPr>
                <w:rFonts w:ascii="Times New Roman" w:eastAsia="Times New Roman" w:hAnsi="Times New Roman" w:cs="Times New Roman"/>
                <w:color w:val="000000"/>
                <w:kern w:val="0"/>
                <w:szCs w:val="24"/>
                <w:lang w:eastAsia="en-IN"/>
                <w14:ligatures w14:val="none"/>
              </w:rPr>
            </w:pPr>
            <w:r w:rsidRPr="00BE3CC5">
              <w:rPr>
                <w:rFonts w:ascii="Times New Roman" w:eastAsia="Times New Roman" w:hAnsi="Times New Roman" w:cs="Times New Roman"/>
                <w:color w:val="000000"/>
                <w:kern w:val="0"/>
                <w:szCs w:val="24"/>
                <w:lang w:eastAsia="en-IN"/>
                <w14:ligatures w14:val="none"/>
              </w:rPr>
              <w:t>54</w:t>
            </w:r>
          </w:p>
        </w:tc>
      </w:tr>
      <w:tr w:rsidR="007E3032" w:rsidRPr="00BE3CC5" w14:paraId="2B49FC31" w14:textId="77777777" w:rsidTr="007E3032">
        <w:trPr>
          <w:trHeight w:val="325"/>
        </w:trPr>
        <w:tc>
          <w:tcPr>
            <w:tcW w:w="1601" w:type="dxa"/>
            <w:tcBorders>
              <w:top w:val="nil"/>
              <w:left w:val="single" w:sz="4" w:space="0" w:color="auto"/>
              <w:bottom w:val="single" w:sz="4" w:space="0" w:color="auto"/>
              <w:right w:val="single" w:sz="4" w:space="0" w:color="auto"/>
            </w:tcBorders>
            <w:vAlign w:val="center"/>
            <w:hideMark/>
          </w:tcPr>
          <w:p w14:paraId="106E4362" w14:textId="77777777" w:rsidR="007E3032" w:rsidRPr="00BE3CC5" w:rsidRDefault="007E3032" w:rsidP="007E3032">
            <w:pPr>
              <w:spacing w:after="0" w:line="240" w:lineRule="auto"/>
              <w:rPr>
                <w:rFonts w:ascii="Times New Roman" w:eastAsia="Times New Roman" w:hAnsi="Times New Roman" w:cs="Times New Roman"/>
                <w:color w:val="000000"/>
                <w:kern w:val="0"/>
                <w:szCs w:val="24"/>
                <w:lang w:eastAsia="en-IN"/>
                <w14:ligatures w14:val="none"/>
              </w:rPr>
            </w:pPr>
            <w:r w:rsidRPr="00BE3CC5">
              <w:rPr>
                <w:rFonts w:ascii="Times New Roman" w:eastAsia="Times New Roman" w:hAnsi="Times New Roman" w:cs="Times New Roman"/>
                <w:color w:val="000000"/>
                <w:kern w:val="0"/>
                <w:szCs w:val="24"/>
                <w:lang w:eastAsia="en-IN"/>
                <w14:ligatures w14:val="none"/>
              </w:rPr>
              <w:t>Mysore</w:t>
            </w:r>
          </w:p>
        </w:tc>
        <w:tc>
          <w:tcPr>
            <w:tcW w:w="1634" w:type="dxa"/>
            <w:tcBorders>
              <w:top w:val="nil"/>
              <w:left w:val="nil"/>
              <w:bottom w:val="single" w:sz="4" w:space="0" w:color="auto"/>
              <w:right w:val="single" w:sz="4" w:space="0" w:color="auto"/>
            </w:tcBorders>
            <w:vAlign w:val="center"/>
            <w:hideMark/>
          </w:tcPr>
          <w:p w14:paraId="711BBB59" w14:textId="77777777" w:rsidR="007E3032" w:rsidRPr="00BE3CC5" w:rsidRDefault="007E3032" w:rsidP="007E3032">
            <w:pPr>
              <w:spacing w:after="0" w:line="240" w:lineRule="auto"/>
              <w:jc w:val="center"/>
              <w:rPr>
                <w:rFonts w:ascii="Times New Roman" w:eastAsia="Times New Roman" w:hAnsi="Times New Roman" w:cs="Times New Roman"/>
                <w:color w:val="000000"/>
                <w:kern w:val="0"/>
                <w:szCs w:val="24"/>
                <w:lang w:eastAsia="en-IN"/>
                <w14:ligatures w14:val="none"/>
              </w:rPr>
            </w:pPr>
            <w:r w:rsidRPr="00BE3CC5">
              <w:rPr>
                <w:rFonts w:ascii="Times New Roman" w:eastAsia="Times New Roman" w:hAnsi="Times New Roman" w:cs="Times New Roman"/>
                <w:color w:val="000000"/>
                <w:kern w:val="0"/>
                <w:szCs w:val="24"/>
                <w:lang w:eastAsia="en-IN"/>
                <w14:ligatures w14:val="none"/>
              </w:rPr>
              <w:t>292</w:t>
            </w:r>
          </w:p>
        </w:tc>
        <w:tc>
          <w:tcPr>
            <w:tcW w:w="2320" w:type="dxa"/>
            <w:tcBorders>
              <w:top w:val="nil"/>
              <w:left w:val="nil"/>
              <w:bottom w:val="single" w:sz="4" w:space="0" w:color="auto"/>
              <w:right w:val="single" w:sz="4" w:space="0" w:color="auto"/>
            </w:tcBorders>
            <w:vAlign w:val="center"/>
            <w:hideMark/>
          </w:tcPr>
          <w:p w14:paraId="4FEF40BD" w14:textId="77777777" w:rsidR="007E3032" w:rsidRPr="00BE3CC5" w:rsidRDefault="007E3032" w:rsidP="007E3032">
            <w:pPr>
              <w:spacing w:after="0" w:line="240" w:lineRule="auto"/>
              <w:jc w:val="center"/>
              <w:rPr>
                <w:rFonts w:ascii="Times New Roman" w:eastAsia="Times New Roman" w:hAnsi="Times New Roman" w:cs="Times New Roman"/>
                <w:color w:val="000000"/>
                <w:kern w:val="0"/>
                <w:szCs w:val="24"/>
                <w:lang w:eastAsia="en-IN"/>
                <w14:ligatures w14:val="none"/>
              </w:rPr>
            </w:pPr>
            <w:r w:rsidRPr="00BE3CC5">
              <w:rPr>
                <w:rFonts w:ascii="Times New Roman" w:eastAsia="Times New Roman" w:hAnsi="Times New Roman" w:cs="Times New Roman"/>
                <w:color w:val="000000"/>
                <w:kern w:val="0"/>
                <w:szCs w:val="24"/>
                <w:lang w:eastAsia="en-IN"/>
                <w14:ligatures w14:val="none"/>
              </w:rPr>
              <w:t>162</w:t>
            </w:r>
          </w:p>
        </w:tc>
        <w:tc>
          <w:tcPr>
            <w:tcW w:w="1879" w:type="dxa"/>
            <w:tcBorders>
              <w:top w:val="nil"/>
              <w:left w:val="nil"/>
              <w:bottom w:val="single" w:sz="4" w:space="0" w:color="auto"/>
              <w:right w:val="single" w:sz="4" w:space="0" w:color="auto"/>
            </w:tcBorders>
            <w:vAlign w:val="center"/>
            <w:hideMark/>
          </w:tcPr>
          <w:p w14:paraId="289372CB" w14:textId="77777777" w:rsidR="007E3032" w:rsidRPr="00BE3CC5" w:rsidRDefault="007E3032" w:rsidP="007E3032">
            <w:pPr>
              <w:spacing w:after="0" w:line="240" w:lineRule="auto"/>
              <w:jc w:val="center"/>
              <w:rPr>
                <w:rFonts w:ascii="Times New Roman" w:eastAsia="Times New Roman" w:hAnsi="Times New Roman" w:cs="Times New Roman"/>
                <w:color w:val="000000"/>
                <w:kern w:val="0"/>
                <w:szCs w:val="24"/>
                <w:lang w:eastAsia="en-IN"/>
                <w14:ligatures w14:val="none"/>
              </w:rPr>
            </w:pPr>
            <w:r w:rsidRPr="00BE3CC5">
              <w:rPr>
                <w:rFonts w:ascii="Times New Roman" w:eastAsia="Times New Roman" w:hAnsi="Times New Roman" w:cs="Times New Roman"/>
                <w:color w:val="000000"/>
                <w:kern w:val="0"/>
                <w:szCs w:val="24"/>
                <w:lang w:eastAsia="en-IN"/>
                <w14:ligatures w14:val="none"/>
              </w:rPr>
              <w:t>122</w:t>
            </w:r>
          </w:p>
        </w:tc>
        <w:tc>
          <w:tcPr>
            <w:tcW w:w="2679" w:type="dxa"/>
            <w:tcBorders>
              <w:top w:val="nil"/>
              <w:left w:val="nil"/>
              <w:bottom w:val="single" w:sz="4" w:space="0" w:color="auto"/>
              <w:right w:val="single" w:sz="4" w:space="0" w:color="auto"/>
            </w:tcBorders>
            <w:vAlign w:val="center"/>
            <w:hideMark/>
          </w:tcPr>
          <w:p w14:paraId="3BA7B14F" w14:textId="77777777" w:rsidR="007E3032" w:rsidRPr="00BE3CC5" w:rsidRDefault="007E3032" w:rsidP="007E3032">
            <w:pPr>
              <w:spacing w:after="0" w:line="240" w:lineRule="auto"/>
              <w:jc w:val="center"/>
              <w:rPr>
                <w:rFonts w:ascii="Times New Roman" w:eastAsia="Times New Roman" w:hAnsi="Times New Roman" w:cs="Times New Roman"/>
                <w:color w:val="000000"/>
                <w:kern w:val="0"/>
                <w:szCs w:val="24"/>
                <w:lang w:eastAsia="en-IN"/>
                <w14:ligatures w14:val="none"/>
              </w:rPr>
            </w:pPr>
            <w:r w:rsidRPr="00BE3CC5">
              <w:rPr>
                <w:rFonts w:ascii="Times New Roman" w:eastAsia="Times New Roman" w:hAnsi="Times New Roman" w:cs="Times New Roman"/>
                <w:color w:val="000000"/>
                <w:kern w:val="0"/>
                <w:szCs w:val="24"/>
                <w:lang w:eastAsia="en-IN"/>
                <w14:ligatures w14:val="none"/>
              </w:rPr>
              <w:t>65</w:t>
            </w:r>
          </w:p>
        </w:tc>
      </w:tr>
      <w:tr w:rsidR="007E3032" w:rsidRPr="00BE3CC5" w14:paraId="0D4967F2" w14:textId="77777777" w:rsidTr="007E3032">
        <w:trPr>
          <w:trHeight w:val="325"/>
        </w:trPr>
        <w:tc>
          <w:tcPr>
            <w:tcW w:w="1601" w:type="dxa"/>
            <w:tcBorders>
              <w:top w:val="nil"/>
              <w:left w:val="single" w:sz="4" w:space="0" w:color="auto"/>
              <w:bottom w:val="single" w:sz="4" w:space="0" w:color="auto"/>
              <w:right w:val="single" w:sz="4" w:space="0" w:color="auto"/>
            </w:tcBorders>
            <w:vAlign w:val="center"/>
            <w:hideMark/>
          </w:tcPr>
          <w:p w14:paraId="505CAB22" w14:textId="77777777" w:rsidR="007E3032" w:rsidRPr="00BE3CC5" w:rsidRDefault="007E3032" w:rsidP="007E3032">
            <w:pPr>
              <w:spacing w:after="0" w:line="240" w:lineRule="auto"/>
              <w:rPr>
                <w:rFonts w:ascii="Times New Roman" w:eastAsia="Times New Roman" w:hAnsi="Times New Roman" w:cs="Times New Roman"/>
                <w:color w:val="000000"/>
                <w:kern w:val="0"/>
                <w:szCs w:val="24"/>
                <w:lang w:eastAsia="en-IN"/>
                <w14:ligatures w14:val="none"/>
              </w:rPr>
            </w:pPr>
            <w:r w:rsidRPr="00BE3CC5">
              <w:rPr>
                <w:rFonts w:ascii="Times New Roman" w:eastAsia="Times New Roman" w:hAnsi="Times New Roman" w:cs="Times New Roman"/>
                <w:color w:val="000000"/>
                <w:kern w:val="0"/>
                <w:szCs w:val="24"/>
                <w:lang w:eastAsia="en-IN"/>
                <w14:ligatures w14:val="none"/>
              </w:rPr>
              <w:t>Nagaland</w:t>
            </w:r>
          </w:p>
        </w:tc>
        <w:tc>
          <w:tcPr>
            <w:tcW w:w="1634" w:type="dxa"/>
            <w:tcBorders>
              <w:top w:val="nil"/>
              <w:left w:val="nil"/>
              <w:bottom w:val="single" w:sz="4" w:space="0" w:color="auto"/>
              <w:right w:val="single" w:sz="4" w:space="0" w:color="auto"/>
            </w:tcBorders>
            <w:vAlign w:val="center"/>
            <w:hideMark/>
          </w:tcPr>
          <w:p w14:paraId="0E1E0E32" w14:textId="77777777" w:rsidR="007E3032" w:rsidRPr="00BE3CC5" w:rsidRDefault="007E3032" w:rsidP="007E3032">
            <w:pPr>
              <w:spacing w:after="0" w:line="240" w:lineRule="auto"/>
              <w:jc w:val="center"/>
              <w:rPr>
                <w:rFonts w:ascii="Times New Roman" w:eastAsia="Times New Roman" w:hAnsi="Times New Roman" w:cs="Times New Roman"/>
                <w:color w:val="000000"/>
                <w:kern w:val="0"/>
                <w:szCs w:val="24"/>
                <w:lang w:eastAsia="en-IN"/>
                <w14:ligatures w14:val="none"/>
              </w:rPr>
            </w:pPr>
            <w:r w:rsidRPr="00BE3CC5">
              <w:rPr>
                <w:rFonts w:ascii="Times New Roman" w:eastAsia="Times New Roman" w:hAnsi="Times New Roman" w:cs="Times New Roman"/>
                <w:color w:val="000000"/>
                <w:kern w:val="0"/>
                <w:szCs w:val="24"/>
                <w:lang w:eastAsia="en-IN"/>
                <w14:ligatures w14:val="none"/>
              </w:rPr>
              <w:t>715</w:t>
            </w:r>
          </w:p>
        </w:tc>
        <w:tc>
          <w:tcPr>
            <w:tcW w:w="2320" w:type="dxa"/>
            <w:tcBorders>
              <w:top w:val="nil"/>
              <w:left w:val="nil"/>
              <w:bottom w:val="single" w:sz="4" w:space="0" w:color="auto"/>
              <w:right w:val="single" w:sz="4" w:space="0" w:color="auto"/>
            </w:tcBorders>
            <w:vAlign w:val="center"/>
            <w:hideMark/>
          </w:tcPr>
          <w:p w14:paraId="32135BA6" w14:textId="77777777" w:rsidR="007E3032" w:rsidRPr="00BE3CC5" w:rsidRDefault="007E3032" w:rsidP="007E3032">
            <w:pPr>
              <w:spacing w:after="0" w:line="240" w:lineRule="auto"/>
              <w:jc w:val="center"/>
              <w:rPr>
                <w:rFonts w:ascii="Times New Roman" w:eastAsia="Times New Roman" w:hAnsi="Times New Roman" w:cs="Times New Roman"/>
                <w:color w:val="000000"/>
                <w:kern w:val="0"/>
                <w:szCs w:val="24"/>
                <w:lang w:eastAsia="en-IN"/>
                <w14:ligatures w14:val="none"/>
              </w:rPr>
            </w:pPr>
            <w:r w:rsidRPr="00BE3CC5">
              <w:rPr>
                <w:rFonts w:ascii="Times New Roman" w:eastAsia="Times New Roman" w:hAnsi="Times New Roman" w:cs="Times New Roman"/>
                <w:color w:val="000000"/>
                <w:kern w:val="0"/>
                <w:szCs w:val="24"/>
                <w:lang w:eastAsia="en-IN"/>
                <w14:ligatures w14:val="none"/>
              </w:rPr>
              <w:t>715</w:t>
            </w:r>
          </w:p>
        </w:tc>
        <w:tc>
          <w:tcPr>
            <w:tcW w:w="1879" w:type="dxa"/>
            <w:tcBorders>
              <w:top w:val="nil"/>
              <w:left w:val="nil"/>
              <w:bottom w:val="single" w:sz="4" w:space="0" w:color="auto"/>
              <w:right w:val="single" w:sz="4" w:space="0" w:color="auto"/>
            </w:tcBorders>
            <w:vAlign w:val="center"/>
            <w:hideMark/>
          </w:tcPr>
          <w:p w14:paraId="2BAFADB9" w14:textId="77777777" w:rsidR="007E3032" w:rsidRPr="00BE3CC5" w:rsidRDefault="007E3032" w:rsidP="007E3032">
            <w:pPr>
              <w:spacing w:after="0" w:line="240" w:lineRule="auto"/>
              <w:jc w:val="center"/>
              <w:rPr>
                <w:rFonts w:ascii="Times New Roman" w:eastAsia="Times New Roman" w:hAnsi="Times New Roman" w:cs="Times New Roman"/>
                <w:color w:val="000000"/>
                <w:kern w:val="0"/>
                <w:szCs w:val="24"/>
                <w:lang w:eastAsia="en-IN"/>
                <w14:ligatures w14:val="none"/>
              </w:rPr>
            </w:pPr>
            <w:r w:rsidRPr="00BE3CC5">
              <w:rPr>
                <w:rFonts w:ascii="Times New Roman" w:eastAsia="Times New Roman" w:hAnsi="Times New Roman" w:cs="Times New Roman"/>
                <w:color w:val="000000"/>
                <w:kern w:val="0"/>
                <w:szCs w:val="24"/>
                <w:lang w:eastAsia="en-IN"/>
                <w14:ligatures w14:val="none"/>
              </w:rPr>
              <w:t>875</w:t>
            </w:r>
          </w:p>
        </w:tc>
        <w:tc>
          <w:tcPr>
            <w:tcW w:w="2679" w:type="dxa"/>
            <w:tcBorders>
              <w:top w:val="nil"/>
              <w:left w:val="nil"/>
              <w:bottom w:val="single" w:sz="4" w:space="0" w:color="auto"/>
              <w:right w:val="single" w:sz="4" w:space="0" w:color="auto"/>
            </w:tcBorders>
            <w:vAlign w:val="center"/>
            <w:hideMark/>
          </w:tcPr>
          <w:p w14:paraId="0DA85173" w14:textId="77777777" w:rsidR="007E3032" w:rsidRPr="00BE3CC5" w:rsidRDefault="007E3032" w:rsidP="007E3032">
            <w:pPr>
              <w:spacing w:after="0" w:line="240" w:lineRule="auto"/>
              <w:jc w:val="center"/>
              <w:rPr>
                <w:rFonts w:ascii="Times New Roman" w:eastAsia="Times New Roman" w:hAnsi="Times New Roman" w:cs="Times New Roman"/>
                <w:color w:val="000000"/>
                <w:kern w:val="0"/>
                <w:szCs w:val="24"/>
                <w:lang w:eastAsia="en-IN"/>
                <w14:ligatures w14:val="none"/>
              </w:rPr>
            </w:pPr>
            <w:r w:rsidRPr="00BE3CC5">
              <w:rPr>
                <w:rFonts w:ascii="Times New Roman" w:eastAsia="Times New Roman" w:hAnsi="Times New Roman" w:cs="Times New Roman"/>
                <w:color w:val="000000"/>
                <w:kern w:val="0"/>
                <w:szCs w:val="24"/>
                <w:lang w:eastAsia="en-IN"/>
                <w14:ligatures w14:val="none"/>
              </w:rPr>
              <w:t>875</w:t>
            </w:r>
          </w:p>
        </w:tc>
      </w:tr>
      <w:tr w:rsidR="007E3032" w:rsidRPr="00BE3CC5" w14:paraId="4D5BFE27" w14:textId="77777777" w:rsidTr="007E3032">
        <w:trPr>
          <w:trHeight w:val="325"/>
        </w:trPr>
        <w:tc>
          <w:tcPr>
            <w:tcW w:w="1601" w:type="dxa"/>
            <w:tcBorders>
              <w:top w:val="nil"/>
              <w:left w:val="single" w:sz="4" w:space="0" w:color="auto"/>
              <w:bottom w:val="single" w:sz="4" w:space="0" w:color="auto"/>
              <w:right w:val="single" w:sz="4" w:space="0" w:color="auto"/>
            </w:tcBorders>
            <w:vAlign w:val="center"/>
            <w:hideMark/>
          </w:tcPr>
          <w:p w14:paraId="5425671C" w14:textId="77777777" w:rsidR="007E3032" w:rsidRPr="00BE3CC5" w:rsidRDefault="007E3032" w:rsidP="007E3032">
            <w:pPr>
              <w:spacing w:after="0" w:line="240" w:lineRule="auto"/>
              <w:rPr>
                <w:rFonts w:ascii="Times New Roman" w:eastAsia="Times New Roman" w:hAnsi="Times New Roman" w:cs="Times New Roman"/>
                <w:color w:val="000000"/>
                <w:kern w:val="0"/>
                <w:szCs w:val="24"/>
                <w:lang w:eastAsia="en-IN"/>
                <w14:ligatures w14:val="none"/>
              </w:rPr>
            </w:pPr>
            <w:r w:rsidRPr="00BE3CC5">
              <w:rPr>
                <w:rFonts w:ascii="Times New Roman" w:eastAsia="Times New Roman" w:hAnsi="Times New Roman" w:cs="Times New Roman"/>
                <w:color w:val="000000"/>
                <w:kern w:val="0"/>
                <w:szCs w:val="24"/>
                <w:lang w:eastAsia="en-IN"/>
                <w14:ligatures w14:val="none"/>
              </w:rPr>
              <w:t>Orissa</w:t>
            </w:r>
          </w:p>
        </w:tc>
        <w:tc>
          <w:tcPr>
            <w:tcW w:w="1634" w:type="dxa"/>
            <w:tcBorders>
              <w:top w:val="nil"/>
              <w:left w:val="nil"/>
              <w:bottom w:val="single" w:sz="4" w:space="0" w:color="auto"/>
              <w:right w:val="single" w:sz="4" w:space="0" w:color="auto"/>
            </w:tcBorders>
            <w:vAlign w:val="center"/>
            <w:hideMark/>
          </w:tcPr>
          <w:p w14:paraId="39F17FDA" w14:textId="77777777" w:rsidR="007E3032" w:rsidRPr="00BE3CC5" w:rsidRDefault="007E3032" w:rsidP="007E3032">
            <w:pPr>
              <w:spacing w:after="0" w:line="240" w:lineRule="auto"/>
              <w:jc w:val="center"/>
              <w:rPr>
                <w:rFonts w:ascii="Times New Roman" w:eastAsia="Times New Roman" w:hAnsi="Times New Roman" w:cs="Times New Roman"/>
                <w:color w:val="000000"/>
                <w:kern w:val="0"/>
                <w:szCs w:val="24"/>
                <w:lang w:eastAsia="en-IN"/>
                <w14:ligatures w14:val="none"/>
              </w:rPr>
            </w:pPr>
            <w:r w:rsidRPr="00BE3CC5">
              <w:rPr>
                <w:rFonts w:ascii="Times New Roman" w:eastAsia="Times New Roman" w:hAnsi="Times New Roman" w:cs="Times New Roman"/>
                <w:color w:val="000000"/>
                <w:kern w:val="0"/>
                <w:szCs w:val="24"/>
                <w:lang w:eastAsia="en-IN"/>
                <w14:ligatures w14:val="none"/>
              </w:rPr>
              <w:t>309</w:t>
            </w:r>
          </w:p>
        </w:tc>
        <w:tc>
          <w:tcPr>
            <w:tcW w:w="2320" w:type="dxa"/>
            <w:tcBorders>
              <w:top w:val="nil"/>
              <w:left w:val="nil"/>
              <w:bottom w:val="single" w:sz="4" w:space="0" w:color="auto"/>
              <w:right w:val="single" w:sz="4" w:space="0" w:color="auto"/>
            </w:tcBorders>
            <w:vAlign w:val="center"/>
            <w:hideMark/>
          </w:tcPr>
          <w:p w14:paraId="00C2B081" w14:textId="77777777" w:rsidR="007E3032" w:rsidRPr="00BE3CC5" w:rsidRDefault="007E3032" w:rsidP="007E3032">
            <w:pPr>
              <w:spacing w:after="0" w:line="240" w:lineRule="auto"/>
              <w:jc w:val="center"/>
              <w:rPr>
                <w:rFonts w:ascii="Times New Roman" w:eastAsia="Times New Roman" w:hAnsi="Times New Roman" w:cs="Times New Roman"/>
                <w:color w:val="000000"/>
                <w:kern w:val="0"/>
                <w:szCs w:val="24"/>
                <w:lang w:eastAsia="en-IN"/>
                <w14:ligatures w14:val="none"/>
              </w:rPr>
            </w:pPr>
            <w:r w:rsidRPr="00BE3CC5">
              <w:rPr>
                <w:rFonts w:ascii="Times New Roman" w:eastAsia="Times New Roman" w:hAnsi="Times New Roman" w:cs="Times New Roman"/>
                <w:color w:val="000000"/>
                <w:kern w:val="0"/>
                <w:szCs w:val="24"/>
                <w:lang w:eastAsia="en-IN"/>
                <w14:ligatures w14:val="none"/>
              </w:rPr>
              <w:t>214</w:t>
            </w:r>
          </w:p>
        </w:tc>
        <w:tc>
          <w:tcPr>
            <w:tcW w:w="1879" w:type="dxa"/>
            <w:tcBorders>
              <w:top w:val="nil"/>
              <w:left w:val="nil"/>
              <w:bottom w:val="single" w:sz="4" w:space="0" w:color="auto"/>
              <w:right w:val="single" w:sz="4" w:space="0" w:color="auto"/>
            </w:tcBorders>
            <w:vAlign w:val="center"/>
            <w:hideMark/>
          </w:tcPr>
          <w:p w14:paraId="47FA0454" w14:textId="77777777" w:rsidR="007E3032" w:rsidRPr="00BE3CC5" w:rsidRDefault="007E3032" w:rsidP="007E3032">
            <w:pPr>
              <w:spacing w:after="0" w:line="240" w:lineRule="auto"/>
              <w:jc w:val="center"/>
              <w:rPr>
                <w:rFonts w:ascii="Times New Roman" w:eastAsia="Times New Roman" w:hAnsi="Times New Roman" w:cs="Times New Roman"/>
                <w:color w:val="000000"/>
                <w:kern w:val="0"/>
                <w:szCs w:val="24"/>
                <w:lang w:eastAsia="en-IN"/>
                <w14:ligatures w14:val="none"/>
              </w:rPr>
            </w:pPr>
            <w:r w:rsidRPr="00BE3CC5">
              <w:rPr>
                <w:rFonts w:ascii="Times New Roman" w:eastAsia="Times New Roman" w:hAnsi="Times New Roman" w:cs="Times New Roman"/>
                <w:color w:val="000000"/>
                <w:kern w:val="0"/>
                <w:szCs w:val="24"/>
                <w:lang w:eastAsia="en-IN"/>
                <w14:ligatures w14:val="none"/>
              </w:rPr>
              <w:t>81</w:t>
            </w:r>
          </w:p>
        </w:tc>
        <w:tc>
          <w:tcPr>
            <w:tcW w:w="2679" w:type="dxa"/>
            <w:tcBorders>
              <w:top w:val="nil"/>
              <w:left w:val="nil"/>
              <w:bottom w:val="single" w:sz="4" w:space="0" w:color="auto"/>
              <w:right w:val="single" w:sz="4" w:space="0" w:color="auto"/>
            </w:tcBorders>
            <w:vAlign w:val="center"/>
            <w:hideMark/>
          </w:tcPr>
          <w:p w14:paraId="5D84DE96" w14:textId="77777777" w:rsidR="007E3032" w:rsidRPr="00BE3CC5" w:rsidRDefault="007E3032" w:rsidP="007E3032">
            <w:pPr>
              <w:spacing w:after="0" w:line="240" w:lineRule="auto"/>
              <w:jc w:val="center"/>
              <w:rPr>
                <w:rFonts w:ascii="Times New Roman" w:eastAsia="Times New Roman" w:hAnsi="Times New Roman" w:cs="Times New Roman"/>
                <w:color w:val="000000"/>
                <w:kern w:val="0"/>
                <w:szCs w:val="24"/>
                <w:lang w:eastAsia="en-IN"/>
                <w14:ligatures w14:val="none"/>
              </w:rPr>
            </w:pPr>
            <w:r w:rsidRPr="00BE3CC5">
              <w:rPr>
                <w:rFonts w:ascii="Times New Roman" w:eastAsia="Times New Roman" w:hAnsi="Times New Roman" w:cs="Times New Roman"/>
                <w:color w:val="000000"/>
                <w:kern w:val="0"/>
                <w:szCs w:val="24"/>
                <w:lang w:eastAsia="en-IN"/>
                <w14:ligatures w14:val="none"/>
              </w:rPr>
              <w:t>71</w:t>
            </w:r>
          </w:p>
        </w:tc>
      </w:tr>
      <w:tr w:rsidR="007E3032" w:rsidRPr="00BE3CC5" w14:paraId="447ED26C" w14:textId="77777777" w:rsidTr="007E3032">
        <w:trPr>
          <w:trHeight w:val="325"/>
        </w:trPr>
        <w:tc>
          <w:tcPr>
            <w:tcW w:w="1601" w:type="dxa"/>
            <w:tcBorders>
              <w:top w:val="nil"/>
              <w:left w:val="single" w:sz="4" w:space="0" w:color="auto"/>
              <w:bottom w:val="single" w:sz="4" w:space="0" w:color="auto"/>
              <w:right w:val="single" w:sz="4" w:space="0" w:color="auto"/>
            </w:tcBorders>
            <w:vAlign w:val="center"/>
            <w:hideMark/>
          </w:tcPr>
          <w:p w14:paraId="5D31F9F4" w14:textId="77777777" w:rsidR="007E3032" w:rsidRPr="00BE3CC5" w:rsidRDefault="007E3032" w:rsidP="007E3032">
            <w:pPr>
              <w:spacing w:after="0" w:line="240" w:lineRule="auto"/>
              <w:rPr>
                <w:rFonts w:ascii="Times New Roman" w:eastAsia="Times New Roman" w:hAnsi="Times New Roman" w:cs="Times New Roman"/>
                <w:color w:val="000000"/>
                <w:kern w:val="0"/>
                <w:szCs w:val="24"/>
                <w:lang w:eastAsia="en-IN"/>
                <w14:ligatures w14:val="none"/>
              </w:rPr>
            </w:pPr>
            <w:r w:rsidRPr="00BE3CC5">
              <w:rPr>
                <w:rFonts w:ascii="Times New Roman" w:eastAsia="Times New Roman" w:hAnsi="Times New Roman" w:cs="Times New Roman"/>
                <w:color w:val="000000"/>
                <w:kern w:val="0"/>
                <w:szCs w:val="24"/>
                <w:lang w:eastAsia="en-IN"/>
                <w14:ligatures w14:val="none"/>
              </w:rPr>
              <w:t>Punjab†</w:t>
            </w:r>
          </w:p>
        </w:tc>
        <w:tc>
          <w:tcPr>
            <w:tcW w:w="1634" w:type="dxa"/>
            <w:tcBorders>
              <w:top w:val="nil"/>
              <w:left w:val="nil"/>
              <w:bottom w:val="single" w:sz="4" w:space="0" w:color="auto"/>
              <w:right w:val="single" w:sz="4" w:space="0" w:color="auto"/>
            </w:tcBorders>
            <w:vAlign w:val="center"/>
            <w:hideMark/>
          </w:tcPr>
          <w:p w14:paraId="614EF309" w14:textId="77777777" w:rsidR="007E3032" w:rsidRPr="00BE3CC5" w:rsidRDefault="007E3032" w:rsidP="007E3032">
            <w:pPr>
              <w:spacing w:after="0" w:line="240" w:lineRule="auto"/>
              <w:jc w:val="center"/>
              <w:rPr>
                <w:rFonts w:ascii="Times New Roman" w:eastAsia="Times New Roman" w:hAnsi="Times New Roman" w:cs="Times New Roman"/>
                <w:color w:val="000000"/>
                <w:kern w:val="0"/>
                <w:szCs w:val="24"/>
                <w:lang w:eastAsia="en-IN"/>
                <w14:ligatures w14:val="none"/>
              </w:rPr>
            </w:pPr>
            <w:r w:rsidRPr="00BE3CC5">
              <w:rPr>
                <w:rFonts w:ascii="Times New Roman" w:eastAsia="Times New Roman" w:hAnsi="Times New Roman" w:cs="Times New Roman"/>
                <w:color w:val="000000"/>
                <w:kern w:val="0"/>
                <w:szCs w:val="24"/>
                <w:lang w:eastAsia="en-IN"/>
                <w14:ligatures w14:val="none"/>
              </w:rPr>
              <w:t>395</w:t>
            </w:r>
          </w:p>
        </w:tc>
        <w:tc>
          <w:tcPr>
            <w:tcW w:w="2320" w:type="dxa"/>
            <w:tcBorders>
              <w:top w:val="nil"/>
              <w:left w:val="nil"/>
              <w:bottom w:val="single" w:sz="4" w:space="0" w:color="auto"/>
              <w:right w:val="single" w:sz="4" w:space="0" w:color="auto"/>
            </w:tcBorders>
            <w:vAlign w:val="center"/>
            <w:hideMark/>
          </w:tcPr>
          <w:p w14:paraId="2CCE819A" w14:textId="77777777" w:rsidR="007E3032" w:rsidRPr="00BE3CC5" w:rsidRDefault="007E3032" w:rsidP="007E3032">
            <w:pPr>
              <w:spacing w:after="0" w:line="240" w:lineRule="auto"/>
              <w:jc w:val="center"/>
              <w:rPr>
                <w:rFonts w:ascii="Times New Roman" w:eastAsia="Times New Roman" w:hAnsi="Times New Roman" w:cs="Times New Roman"/>
                <w:color w:val="000000"/>
                <w:kern w:val="0"/>
                <w:szCs w:val="24"/>
                <w:lang w:eastAsia="en-IN"/>
                <w14:ligatures w14:val="none"/>
              </w:rPr>
            </w:pPr>
            <w:r w:rsidRPr="00BE3CC5">
              <w:rPr>
                <w:rFonts w:ascii="Times New Roman" w:eastAsia="Times New Roman" w:hAnsi="Times New Roman" w:cs="Times New Roman"/>
                <w:color w:val="000000"/>
                <w:kern w:val="0"/>
                <w:szCs w:val="24"/>
                <w:lang w:eastAsia="en-IN"/>
                <w14:ligatures w14:val="none"/>
              </w:rPr>
              <w:t>242</w:t>
            </w:r>
          </w:p>
        </w:tc>
        <w:tc>
          <w:tcPr>
            <w:tcW w:w="1879" w:type="dxa"/>
            <w:tcBorders>
              <w:top w:val="nil"/>
              <w:left w:val="nil"/>
              <w:bottom w:val="single" w:sz="4" w:space="0" w:color="auto"/>
              <w:right w:val="single" w:sz="4" w:space="0" w:color="auto"/>
            </w:tcBorders>
            <w:vAlign w:val="center"/>
            <w:hideMark/>
          </w:tcPr>
          <w:p w14:paraId="094EC8EA" w14:textId="77777777" w:rsidR="007E3032" w:rsidRPr="00BE3CC5" w:rsidRDefault="007E3032" w:rsidP="007E3032">
            <w:pPr>
              <w:spacing w:after="0" w:line="240" w:lineRule="auto"/>
              <w:jc w:val="center"/>
              <w:rPr>
                <w:rFonts w:ascii="Times New Roman" w:eastAsia="Times New Roman" w:hAnsi="Times New Roman" w:cs="Times New Roman"/>
                <w:color w:val="000000"/>
                <w:kern w:val="0"/>
                <w:szCs w:val="24"/>
                <w:lang w:eastAsia="en-IN"/>
                <w14:ligatures w14:val="none"/>
              </w:rPr>
            </w:pPr>
            <w:r w:rsidRPr="00BE3CC5">
              <w:rPr>
                <w:rFonts w:ascii="Times New Roman" w:eastAsia="Times New Roman" w:hAnsi="Times New Roman" w:cs="Times New Roman"/>
                <w:color w:val="000000"/>
                <w:kern w:val="0"/>
                <w:szCs w:val="24"/>
                <w:lang w:eastAsia="en-IN"/>
                <w14:ligatures w14:val="none"/>
              </w:rPr>
              <w:t>206</w:t>
            </w:r>
          </w:p>
        </w:tc>
        <w:tc>
          <w:tcPr>
            <w:tcW w:w="2679" w:type="dxa"/>
            <w:tcBorders>
              <w:top w:val="nil"/>
              <w:left w:val="nil"/>
              <w:bottom w:val="single" w:sz="4" w:space="0" w:color="auto"/>
              <w:right w:val="single" w:sz="4" w:space="0" w:color="auto"/>
            </w:tcBorders>
            <w:vAlign w:val="center"/>
            <w:hideMark/>
          </w:tcPr>
          <w:p w14:paraId="2E7E75ED" w14:textId="77777777" w:rsidR="007E3032" w:rsidRPr="00BE3CC5" w:rsidRDefault="007E3032" w:rsidP="007E3032">
            <w:pPr>
              <w:spacing w:after="0" w:line="240" w:lineRule="auto"/>
              <w:jc w:val="center"/>
              <w:rPr>
                <w:rFonts w:ascii="Times New Roman" w:eastAsia="Times New Roman" w:hAnsi="Times New Roman" w:cs="Times New Roman"/>
                <w:color w:val="000000"/>
                <w:kern w:val="0"/>
                <w:szCs w:val="24"/>
                <w:lang w:eastAsia="en-IN"/>
                <w14:ligatures w14:val="none"/>
              </w:rPr>
            </w:pPr>
            <w:r w:rsidRPr="00BE3CC5">
              <w:rPr>
                <w:rFonts w:ascii="Times New Roman" w:eastAsia="Times New Roman" w:hAnsi="Times New Roman" w:cs="Times New Roman"/>
                <w:color w:val="000000"/>
                <w:kern w:val="0"/>
                <w:szCs w:val="24"/>
                <w:lang w:eastAsia="en-IN"/>
                <w14:ligatures w14:val="none"/>
              </w:rPr>
              <w:t>77</w:t>
            </w:r>
          </w:p>
        </w:tc>
      </w:tr>
      <w:tr w:rsidR="007E3032" w:rsidRPr="00BE3CC5" w14:paraId="398073E4" w14:textId="77777777" w:rsidTr="007E3032">
        <w:trPr>
          <w:trHeight w:val="325"/>
        </w:trPr>
        <w:tc>
          <w:tcPr>
            <w:tcW w:w="1601" w:type="dxa"/>
            <w:tcBorders>
              <w:top w:val="nil"/>
              <w:left w:val="single" w:sz="4" w:space="0" w:color="auto"/>
              <w:bottom w:val="single" w:sz="4" w:space="0" w:color="auto"/>
              <w:right w:val="single" w:sz="4" w:space="0" w:color="auto"/>
            </w:tcBorders>
            <w:vAlign w:val="center"/>
            <w:hideMark/>
          </w:tcPr>
          <w:p w14:paraId="505B6475" w14:textId="77777777" w:rsidR="007E3032" w:rsidRPr="00BE3CC5" w:rsidRDefault="007E3032" w:rsidP="007E3032">
            <w:pPr>
              <w:spacing w:after="0" w:line="240" w:lineRule="auto"/>
              <w:rPr>
                <w:rFonts w:ascii="Times New Roman" w:eastAsia="Times New Roman" w:hAnsi="Times New Roman" w:cs="Times New Roman"/>
                <w:color w:val="000000"/>
                <w:kern w:val="0"/>
                <w:szCs w:val="24"/>
                <w:lang w:eastAsia="en-IN"/>
                <w14:ligatures w14:val="none"/>
              </w:rPr>
            </w:pPr>
            <w:r w:rsidRPr="00BE3CC5">
              <w:rPr>
                <w:rFonts w:ascii="Times New Roman" w:eastAsia="Times New Roman" w:hAnsi="Times New Roman" w:cs="Times New Roman"/>
                <w:color w:val="000000"/>
                <w:kern w:val="0"/>
                <w:szCs w:val="24"/>
                <w:lang w:eastAsia="en-IN"/>
                <w14:ligatures w14:val="none"/>
              </w:rPr>
              <w:t>Rajasthan</w:t>
            </w:r>
          </w:p>
        </w:tc>
        <w:tc>
          <w:tcPr>
            <w:tcW w:w="1634" w:type="dxa"/>
            <w:tcBorders>
              <w:top w:val="nil"/>
              <w:left w:val="nil"/>
              <w:bottom w:val="single" w:sz="4" w:space="0" w:color="auto"/>
              <w:right w:val="single" w:sz="4" w:space="0" w:color="auto"/>
            </w:tcBorders>
            <w:vAlign w:val="center"/>
            <w:hideMark/>
          </w:tcPr>
          <w:p w14:paraId="5D29B392" w14:textId="77777777" w:rsidR="007E3032" w:rsidRPr="00BE3CC5" w:rsidRDefault="007E3032" w:rsidP="007E3032">
            <w:pPr>
              <w:spacing w:after="0" w:line="240" w:lineRule="auto"/>
              <w:jc w:val="center"/>
              <w:rPr>
                <w:rFonts w:ascii="Times New Roman" w:eastAsia="Times New Roman" w:hAnsi="Times New Roman" w:cs="Times New Roman"/>
                <w:color w:val="000000"/>
                <w:kern w:val="0"/>
                <w:szCs w:val="24"/>
                <w:lang w:eastAsia="en-IN"/>
                <w14:ligatures w14:val="none"/>
              </w:rPr>
            </w:pPr>
            <w:r w:rsidRPr="00BE3CC5">
              <w:rPr>
                <w:rFonts w:ascii="Times New Roman" w:eastAsia="Times New Roman" w:hAnsi="Times New Roman" w:cs="Times New Roman"/>
                <w:color w:val="000000"/>
                <w:kern w:val="0"/>
                <w:szCs w:val="24"/>
                <w:lang w:eastAsia="en-IN"/>
                <w14:ligatures w14:val="none"/>
              </w:rPr>
              <w:t>260</w:t>
            </w:r>
          </w:p>
        </w:tc>
        <w:tc>
          <w:tcPr>
            <w:tcW w:w="2320" w:type="dxa"/>
            <w:tcBorders>
              <w:top w:val="nil"/>
              <w:left w:val="nil"/>
              <w:bottom w:val="single" w:sz="4" w:space="0" w:color="auto"/>
              <w:right w:val="single" w:sz="4" w:space="0" w:color="auto"/>
            </w:tcBorders>
            <w:vAlign w:val="center"/>
            <w:hideMark/>
          </w:tcPr>
          <w:p w14:paraId="23DAC46D" w14:textId="77777777" w:rsidR="007E3032" w:rsidRPr="00BE3CC5" w:rsidRDefault="007E3032" w:rsidP="007E3032">
            <w:pPr>
              <w:spacing w:after="0" w:line="240" w:lineRule="auto"/>
              <w:jc w:val="center"/>
              <w:rPr>
                <w:rFonts w:ascii="Times New Roman" w:eastAsia="Times New Roman" w:hAnsi="Times New Roman" w:cs="Times New Roman"/>
                <w:color w:val="000000"/>
                <w:kern w:val="0"/>
                <w:szCs w:val="24"/>
                <w:lang w:eastAsia="en-IN"/>
                <w14:ligatures w14:val="none"/>
              </w:rPr>
            </w:pPr>
            <w:r w:rsidRPr="00BE3CC5">
              <w:rPr>
                <w:rFonts w:ascii="Times New Roman" w:eastAsia="Times New Roman" w:hAnsi="Times New Roman" w:cs="Times New Roman"/>
                <w:color w:val="000000"/>
                <w:kern w:val="0"/>
                <w:szCs w:val="24"/>
                <w:lang w:eastAsia="en-IN"/>
                <w14:ligatures w14:val="none"/>
              </w:rPr>
              <w:t>202</w:t>
            </w:r>
          </w:p>
        </w:tc>
        <w:tc>
          <w:tcPr>
            <w:tcW w:w="1879" w:type="dxa"/>
            <w:tcBorders>
              <w:top w:val="nil"/>
              <w:left w:val="nil"/>
              <w:bottom w:val="single" w:sz="4" w:space="0" w:color="auto"/>
              <w:right w:val="single" w:sz="4" w:space="0" w:color="auto"/>
            </w:tcBorders>
            <w:vAlign w:val="center"/>
            <w:hideMark/>
          </w:tcPr>
          <w:p w14:paraId="1AAE6204" w14:textId="77777777" w:rsidR="007E3032" w:rsidRPr="00BE3CC5" w:rsidRDefault="007E3032" w:rsidP="007E3032">
            <w:pPr>
              <w:spacing w:after="0" w:line="240" w:lineRule="auto"/>
              <w:jc w:val="center"/>
              <w:rPr>
                <w:rFonts w:ascii="Times New Roman" w:eastAsia="Times New Roman" w:hAnsi="Times New Roman" w:cs="Times New Roman"/>
                <w:color w:val="000000"/>
                <w:kern w:val="0"/>
                <w:szCs w:val="24"/>
                <w:lang w:eastAsia="en-IN"/>
                <w14:ligatures w14:val="none"/>
              </w:rPr>
            </w:pPr>
            <w:r w:rsidRPr="00BE3CC5">
              <w:rPr>
                <w:rFonts w:ascii="Times New Roman" w:eastAsia="Times New Roman" w:hAnsi="Times New Roman" w:cs="Times New Roman"/>
                <w:color w:val="000000"/>
                <w:kern w:val="0"/>
                <w:szCs w:val="24"/>
                <w:lang w:eastAsia="en-IN"/>
                <w14:ligatures w14:val="none"/>
              </w:rPr>
              <w:t>101</w:t>
            </w:r>
          </w:p>
        </w:tc>
        <w:tc>
          <w:tcPr>
            <w:tcW w:w="2679" w:type="dxa"/>
            <w:tcBorders>
              <w:top w:val="nil"/>
              <w:left w:val="nil"/>
              <w:bottom w:val="single" w:sz="4" w:space="0" w:color="auto"/>
              <w:right w:val="single" w:sz="4" w:space="0" w:color="auto"/>
            </w:tcBorders>
            <w:vAlign w:val="center"/>
            <w:hideMark/>
          </w:tcPr>
          <w:p w14:paraId="2EF2F3D1" w14:textId="77777777" w:rsidR="007E3032" w:rsidRPr="00BE3CC5" w:rsidRDefault="007E3032" w:rsidP="007E3032">
            <w:pPr>
              <w:spacing w:after="0" w:line="240" w:lineRule="auto"/>
              <w:jc w:val="center"/>
              <w:rPr>
                <w:rFonts w:ascii="Times New Roman" w:eastAsia="Times New Roman" w:hAnsi="Times New Roman" w:cs="Times New Roman"/>
                <w:color w:val="000000"/>
                <w:kern w:val="0"/>
                <w:szCs w:val="24"/>
                <w:lang w:eastAsia="en-IN"/>
                <w14:ligatures w14:val="none"/>
              </w:rPr>
            </w:pPr>
            <w:r w:rsidRPr="00BE3CC5">
              <w:rPr>
                <w:rFonts w:ascii="Times New Roman" w:eastAsia="Times New Roman" w:hAnsi="Times New Roman" w:cs="Times New Roman"/>
                <w:color w:val="000000"/>
                <w:kern w:val="0"/>
                <w:szCs w:val="24"/>
                <w:lang w:eastAsia="en-IN"/>
                <w14:ligatures w14:val="none"/>
              </w:rPr>
              <w:t>93</w:t>
            </w:r>
          </w:p>
        </w:tc>
      </w:tr>
      <w:tr w:rsidR="007E3032" w:rsidRPr="00BE3CC5" w14:paraId="2CA8BFB4" w14:textId="77777777" w:rsidTr="007E3032">
        <w:trPr>
          <w:trHeight w:val="325"/>
        </w:trPr>
        <w:tc>
          <w:tcPr>
            <w:tcW w:w="1601" w:type="dxa"/>
            <w:tcBorders>
              <w:top w:val="nil"/>
              <w:left w:val="single" w:sz="4" w:space="0" w:color="auto"/>
              <w:bottom w:val="single" w:sz="4" w:space="0" w:color="auto"/>
              <w:right w:val="single" w:sz="4" w:space="0" w:color="auto"/>
            </w:tcBorders>
            <w:vAlign w:val="center"/>
            <w:hideMark/>
          </w:tcPr>
          <w:p w14:paraId="0FEAB8F0" w14:textId="77777777" w:rsidR="007E3032" w:rsidRPr="00BE3CC5" w:rsidRDefault="007E3032" w:rsidP="007E3032">
            <w:pPr>
              <w:spacing w:after="0" w:line="240" w:lineRule="auto"/>
              <w:rPr>
                <w:rFonts w:ascii="Times New Roman" w:eastAsia="Times New Roman" w:hAnsi="Times New Roman" w:cs="Times New Roman"/>
                <w:color w:val="000000"/>
                <w:kern w:val="0"/>
                <w:szCs w:val="24"/>
                <w:lang w:eastAsia="en-IN"/>
                <w14:ligatures w14:val="none"/>
              </w:rPr>
            </w:pPr>
            <w:r w:rsidRPr="00BE3CC5">
              <w:rPr>
                <w:rFonts w:ascii="Times New Roman" w:eastAsia="Times New Roman" w:hAnsi="Times New Roman" w:cs="Times New Roman"/>
                <w:color w:val="000000"/>
                <w:kern w:val="0"/>
                <w:szCs w:val="24"/>
                <w:lang w:eastAsia="en-IN"/>
                <w14:ligatures w14:val="none"/>
              </w:rPr>
              <w:t>Tamil Nadu</w:t>
            </w:r>
          </w:p>
        </w:tc>
        <w:tc>
          <w:tcPr>
            <w:tcW w:w="1634" w:type="dxa"/>
            <w:tcBorders>
              <w:top w:val="nil"/>
              <w:left w:val="nil"/>
              <w:bottom w:val="single" w:sz="4" w:space="0" w:color="auto"/>
              <w:right w:val="single" w:sz="4" w:space="0" w:color="auto"/>
            </w:tcBorders>
            <w:vAlign w:val="center"/>
            <w:hideMark/>
          </w:tcPr>
          <w:p w14:paraId="3AC59120" w14:textId="77777777" w:rsidR="007E3032" w:rsidRPr="00BE3CC5" w:rsidRDefault="007E3032" w:rsidP="007E3032">
            <w:pPr>
              <w:spacing w:after="0" w:line="240" w:lineRule="auto"/>
              <w:jc w:val="center"/>
              <w:rPr>
                <w:rFonts w:ascii="Times New Roman" w:eastAsia="Times New Roman" w:hAnsi="Times New Roman" w:cs="Times New Roman"/>
                <w:color w:val="000000"/>
                <w:kern w:val="0"/>
                <w:szCs w:val="24"/>
                <w:lang w:eastAsia="en-IN"/>
                <w14:ligatures w14:val="none"/>
              </w:rPr>
            </w:pPr>
            <w:r w:rsidRPr="00BE3CC5">
              <w:rPr>
                <w:rFonts w:ascii="Times New Roman" w:eastAsia="Times New Roman" w:hAnsi="Times New Roman" w:cs="Times New Roman"/>
                <w:color w:val="000000"/>
                <w:kern w:val="0"/>
                <w:szCs w:val="24"/>
                <w:lang w:eastAsia="en-IN"/>
                <w14:ligatures w14:val="none"/>
              </w:rPr>
              <w:t>254</w:t>
            </w:r>
          </w:p>
        </w:tc>
        <w:tc>
          <w:tcPr>
            <w:tcW w:w="2320" w:type="dxa"/>
            <w:tcBorders>
              <w:top w:val="nil"/>
              <w:left w:val="nil"/>
              <w:bottom w:val="single" w:sz="4" w:space="0" w:color="auto"/>
              <w:right w:val="single" w:sz="4" w:space="0" w:color="auto"/>
            </w:tcBorders>
            <w:vAlign w:val="center"/>
            <w:hideMark/>
          </w:tcPr>
          <w:p w14:paraId="485D4C78" w14:textId="77777777" w:rsidR="007E3032" w:rsidRPr="00BE3CC5" w:rsidRDefault="007E3032" w:rsidP="007E3032">
            <w:pPr>
              <w:spacing w:after="0" w:line="240" w:lineRule="auto"/>
              <w:jc w:val="center"/>
              <w:rPr>
                <w:rFonts w:ascii="Times New Roman" w:eastAsia="Times New Roman" w:hAnsi="Times New Roman" w:cs="Times New Roman"/>
                <w:color w:val="000000"/>
                <w:kern w:val="0"/>
                <w:szCs w:val="24"/>
                <w:lang w:eastAsia="en-IN"/>
                <w14:ligatures w14:val="none"/>
              </w:rPr>
            </w:pPr>
            <w:r w:rsidRPr="00BE3CC5">
              <w:rPr>
                <w:rFonts w:ascii="Times New Roman" w:eastAsia="Times New Roman" w:hAnsi="Times New Roman" w:cs="Times New Roman"/>
                <w:color w:val="000000"/>
                <w:kern w:val="0"/>
                <w:szCs w:val="24"/>
                <w:lang w:eastAsia="en-IN"/>
                <w14:ligatures w14:val="none"/>
              </w:rPr>
              <w:t>131</w:t>
            </w:r>
          </w:p>
        </w:tc>
        <w:tc>
          <w:tcPr>
            <w:tcW w:w="1879" w:type="dxa"/>
            <w:tcBorders>
              <w:top w:val="nil"/>
              <w:left w:val="nil"/>
              <w:bottom w:val="single" w:sz="4" w:space="0" w:color="auto"/>
              <w:right w:val="single" w:sz="4" w:space="0" w:color="auto"/>
            </w:tcBorders>
            <w:vAlign w:val="center"/>
            <w:hideMark/>
          </w:tcPr>
          <w:p w14:paraId="3E4B7B40" w14:textId="77777777" w:rsidR="007E3032" w:rsidRPr="00BE3CC5" w:rsidRDefault="007E3032" w:rsidP="007E3032">
            <w:pPr>
              <w:spacing w:after="0" w:line="240" w:lineRule="auto"/>
              <w:jc w:val="center"/>
              <w:rPr>
                <w:rFonts w:ascii="Times New Roman" w:eastAsia="Times New Roman" w:hAnsi="Times New Roman" w:cs="Times New Roman"/>
                <w:color w:val="000000"/>
                <w:kern w:val="0"/>
                <w:szCs w:val="24"/>
                <w:lang w:eastAsia="en-IN"/>
                <w14:ligatures w14:val="none"/>
              </w:rPr>
            </w:pPr>
            <w:r w:rsidRPr="00BE3CC5">
              <w:rPr>
                <w:rFonts w:ascii="Times New Roman" w:eastAsia="Times New Roman" w:hAnsi="Times New Roman" w:cs="Times New Roman"/>
                <w:color w:val="000000"/>
                <w:kern w:val="0"/>
                <w:szCs w:val="24"/>
                <w:lang w:eastAsia="en-IN"/>
                <w14:ligatures w14:val="none"/>
              </w:rPr>
              <w:t>136</w:t>
            </w:r>
          </w:p>
        </w:tc>
        <w:tc>
          <w:tcPr>
            <w:tcW w:w="2679" w:type="dxa"/>
            <w:tcBorders>
              <w:top w:val="nil"/>
              <w:left w:val="nil"/>
              <w:bottom w:val="single" w:sz="4" w:space="0" w:color="auto"/>
              <w:right w:val="single" w:sz="4" w:space="0" w:color="auto"/>
            </w:tcBorders>
            <w:vAlign w:val="center"/>
            <w:hideMark/>
          </w:tcPr>
          <w:p w14:paraId="70C4100D" w14:textId="77777777" w:rsidR="007E3032" w:rsidRPr="00BE3CC5" w:rsidRDefault="007E3032" w:rsidP="007E3032">
            <w:pPr>
              <w:spacing w:after="0" w:line="240" w:lineRule="auto"/>
              <w:jc w:val="center"/>
              <w:rPr>
                <w:rFonts w:ascii="Times New Roman" w:eastAsia="Times New Roman" w:hAnsi="Times New Roman" w:cs="Times New Roman"/>
                <w:color w:val="000000"/>
                <w:kern w:val="0"/>
                <w:szCs w:val="24"/>
                <w:lang w:eastAsia="en-IN"/>
                <w14:ligatures w14:val="none"/>
              </w:rPr>
            </w:pPr>
            <w:r w:rsidRPr="00BE3CC5">
              <w:rPr>
                <w:rFonts w:ascii="Times New Roman" w:eastAsia="Times New Roman" w:hAnsi="Times New Roman" w:cs="Times New Roman"/>
                <w:color w:val="000000"/>
                <w:kern w:val="0"/>
                <w:szCs w:val="24"/>
                <w:lang w:eastAsia="en-IN"/>
                <w14:ligatures w14:val="none"/>
              </w:rPr>
              <w:t>55</w:t>
            </w:r>
          </w:p>
        </w:tc>
      </w:tr>
      <w:tr w:rsidR="007E3032" w:rsidRPr="00BE3CC5" w14:paraId="1B535AD3" w14:textId="77777777" w:rsidTr="007E3032">
        <w:trPr>
          <w:trHeight w:val="325"/>
        </w:trPr>
        <w:tc>
          <w:tcPr>
            <w:tcW w:w="1601" w:type="dxa"/>
            <w:tcBorders>
              <w:top w:val="nil"/>
              <w:left w:val="single" w:sz="4" w:space="0" w:color="auto"/>
              <w:bottom w:val="single" w:sz="4" w:space="0" w:color="auto"/>
              <w:right w:val="single" w:sz="4" w:space="0" w:color="auto"/>
            </w:tcBorders>
            <w:vAlign w:val="center"/>
            <w:hideMark/>
          </w:tcPr>
          <w:p w14:paraId="60CF3554" w14:textId="77777777" w:rsidR="007E3032" w:rsidRPr="00BE3CC5" w:rsidRDefault="007E3032" w:rsidP="007E3032">
            <w:pPr>
              <w:spacing w:after="0" w:line="240" w:lineRule="auto"/>
              <w:rPr>
                <w:rFonts w:ascii="Times New Roman" w:eastAsia="Times New Roman" w:hAnsi="Times New Roman" w:cs="Times New Roman"/>
                <w:color w:val="000000"/>
                <w:kern w:val="0"/>
                <w:szCs w:val="24"/>
                <w:lang w:eastAsia="en-IN"/>
                <w14:ligatures w14:val="none"/>
              </w:rPr>
            </w:pPr>
            <w:r w:rsidRPr="00BE3CC5">
              <w:rPr>
                <w:rFonts w:ascii="Times New Roman" w:eastAsia="Times New Roman" w:hAnsi="Times New Roman" w:cs="Times New Roman"/>
                <w:color w:val="000000"/>
                <w:kern w:val="0"/>
                <w:szCs w:val="24"/>
                <w:lang w:eastAsia="en-IN"/>
                <w14:ligatures w14:val="none"/>
              </w:rPr>
              <w:t>Uttar Pradesh</w:t>
            </w:r>
          </w:p>
        </w:tc>
        <w:tc>
          <w:tcPr>
            <w:tcW w:w="1634" w:type="dxa"/>
            <w:tcBorders>
              <w:top w:val="nil"/>
              <w:left w:val="nil"/>
              <w:bottom w:val="single" w:sz="4" w:space="0" w:color="auto"/>
              <w:right w:val="single" w:sz="4" w:space="0" w:color="auto"/>
            </w:tcBorders>
            <w:vAlign w:val="center"/>
            <w:hideMark/>
          </w:tcPr>
          <w:p w14:paraId="083DC8A9" w14:textId="77777777" w:rsidR="007E3032" w:rsidRPr="00BE3CC5" w:rsidRDefault="007E3032" w:rsidP="007E3032">
            <w:pPr>
              <w:spacing w:after="0" w:line="240" w:lineRule="auto"/>
              <w:jc w:val="center"/>
              <w:rPr>
                <w:rFonts w:ascii="Times New Roman" w:eastAsia="Times New Roman" w:hAnsi="Times New Roman" w:cs="Times New Roman"/>
                <w:color w:val="000000"/>
                <w:kern w:val="0"/>
                <w:szCs w:val="24"/>
                <w:lang w:eastAsia="en-IN"/>
                <w14:ligatures w14:val="none"/>
              </w:rPr>
            </w:pPr>
            <w:r w:rsidRPr="00BE3CC5">
              <w:rPr>
                <w:rFonts w:ascii="Times New Roman" w:eastAsia="Times New Roman" w:hAnsi="Times New Roman" w:cs="Times New Roman"/>
                <w:color w:val="000000"/>
                <w:kern w:val="0"/>
                <w:szCs w:val="24"/>
                <w:lang w:eastAsia="en-IN"/>
                <w14:ligatures w14:val="none"/>
              </w:rPr>
              <w:t>190</w:t>
            </w:r>
          </w:p>
        </w:tc>
        <w:tc>
          <w:tcPr>
            <w:tcW w:w="2320" w:type="dxa"/>
            <w:tcBorders>
              <w:top w:val="nil"/>
              <w:left w:val="nil"/>
              <w:bottom w:val="single" w:sz="4" w:space="0" w:color="auto"/>
              <w:right w:val="single" w:sz="4" w:space="0" w:color="auto"/>
            </w:tcBorders>
            <w:vAlign w:val="center"/>
            <w:hideMark/>
          </w:tcPr>
          <w:p w14:paraId="4547B983" w14:textId="77777777" w:rsidR="007E3032" w:rsidRPr="00BE3CC5" w:rsidRDefault="007E3032" w:rsidP="007E3032">
            <w:pPr>
              <w:spacing w:after="0" w:line="240" w:lineRule="auto"/>
              <w:jc w:val="center"/>
              <w:rPr>
                <w:rFonts w:ascii="Times New Roman" w:eastAsia="Times New Roman" w:hAnsi="Times New Roman" w:cs="Times New Roman"/>
                <w:color w:val="000000"/>
                <w:kern w:val="0"/>
                <w:szCs w:val="24"/>
                <w:lang w:eastAsia="en-IN"/>
                <w14:ligatures w14:val="none"/>
              </w:rPr>
            </w:pPr>
            <w:r w:rsidRPr="00BE3CC5">
              <w:rPr>
                <w:rFonts w:ascii="Times New Roman" w:eastAsia="Times New Roman" w:hAnsi="Times New Roman" w:cs="Times New Roman"/>
                <w:color w:val="000000"/>
                <w:kern w:val="0"/>
                <w:szCs w:val="24"/>
                <w:lang w:eastAsia="en-IN"/>
                <w14:ligatures w14:val="none"/>
              </w:rPr>
              <w:t>111</w:t>
            </w:r>
          </w:p>
        </w:tc>
        <w:tc>
          <w:tcPr>
            <w:tcW w:w="1879" w:type="dxa"/>
            <w:tcBorders>
              <w:top w:val="nil"/>
              <w:left w:val="nil"/>
              <w:bottom w:val="single" w:sz="4" w:space="0" w:color="auto"/>
              <w:right w:val="single" w:sz="4" w:space="0" w:color="auto"/>
            </w:tcBorders>
            <w:vAlign w:val="center"/>
            <w:hideMark/>
          </w:tcPr>
          <w:p w14:paraId="6BA4A051" w14:textId="77777777" w:rsidR="007E3032" w:rsidRPr="00BE3CC5" w:rsidRDefault="007E3032" w:rsidP="007E3032">
            <w:pPr>
              <w:spacing w:after="0" w:line="240" w:lineRule="auto"/>
              <w:jc w:val="center"/>
              <w:rPr>
                <w:rFonts w:ascii="Times New Roman" w:eastAsia="Times New Roman" w:hAnsi="Times New Roman" w:cs="Times New Roman"/>
                <w:color w:val="000000"/>
                <w:kern w:val="0"/>
                <w:szCs w:val="24"/>
                <w:lang w:eastAsia="en-IN"/>
                <w14:ligatures w14:val="none"/>
              </w:rPr>
            </w:pPr>
            <w:r w:rsidRPr="00BE3CC5">
              <w:rPr>
                <w:rFonts w:ascii="Times New Roman" w:eastAsia="Times New Roman" w:hAnsi="Times New Roman" w:cs="Times New Roman"/>
                <w:color w:val="000000"/>
                <w:kern w:val="0"/>
                <w:szCs w:val="24"/>
                <w:lang w:eastAsia="en-IN"/>
                <w14:ligatures w14:val="none"/>
              </w:rPr>
              <w:t>114</w:t>
            </w:r>
          </w:p>
        </w:tc>
        <w:tc>
          <w:tcPr>
            <w:tcW w:w="2679" w:type="dxa"/>
            <w:tcBorders>
              <w:top w:val="nil"/>
              <w:left w:val="nil"/>
              <w:bottom w:val="single" w:sz="4" w:space="0" w:color="auto"/>
              <w:right w:val="single" w:sz="4" w:space="0" w:color="auto"/>
            </w:tcBorders>
            <w:vAlign w:val="center"/>
            <w:hideMark/>
          </w:tcPr>
          <w:p w14:paraId="25A73971" w14:textId="77777777" w:rsidR="007E3032" w:rsidRPr="00BE3CC5" w:rsidRDefault="007E3032" w:rsidP="007E3032">
            <w:pPr>
              <w:spacing w:after="0" w:line="240" w:lineRule="auto"/>
              <w:jc w:val="center"/>
              <w:rPr>
                <w:rFonts w:ascii="Times New Roman" w:eastAsia="Times New Roman" w:hAnsi="Times New Roman" w:cs="Times New Roman"/>
                <w:color w:val="000000"/>
                <w:kern w:val="0"/>
                <w:szCs w:val="24"/>
                <w:lang w:eastAsia="en-IN"/>
                <w14:ligatures w14:val="none"/>
              </w:rPr>
            </w:pPr>
            <w:r w:rsidRPr="00BE3CC5">
              <w:rPr>
                <w:rFonts w:ascii="Times New Roman" w:eastAsia="Times New Roman" w:hAnsi="Times New Roman" w:cs="Times New Roman"/>
                <w:color w:val="000000"/>
                <w:kern w:val="0"/>
                <w:szCs w:val="24"/>
                <w:lang w:eastAsia="en-IN"/>
                <w14:ligatures w14:val="none"/>
              </w:rPr>
              <w:t>63</w:t>
            </w:r>
          </w:p>
        </w:tc>
      </w:tr>
      <w:tr w:rsidR="007E3032" w:rsidRPr="00BE3CC5" w14:paraId="42C84B60" w14:textId="77777777" w:rsidTr="007E3032">
        <w:trPr>
          <w:trHeight w:val="325"/>
        </w:trPr>
        <w:tc>
          <w:tcPr>
            <w:tcW w:w="1601" w:type="dxa"/>
            <w:tcBorders>
              <w:top w:val="nil"/>
              <w:left w:val="single" w:sz="4" w:space="0" w:color="auto"/>
              <w:bottom w:val="single" w:sz="4" w:space="0" w:color="auto"/>
              <w:right w:val="single" w:sz="4" w:space="0" w:color="auto"/>
            </w:tcBorders>
            <w:vAlign w:val="center"/>
            <w:hideMark/>
          </w:tcPr>
          <w:p w14:paraId="67D02206" w14:textId="77777777" w:rsidR="007E3032" w:rsidRPr="00BE3CC5" w:rsidRDefault="007E3032" w:rsidP="007E3032">
            <w:pPr>
              <w:spacing w:after="0" w:line="240" w:lineRule="auto"/>
              <w:rPr>
                <w:rFonts w:ascii="Times New Roman" w:eastAsia="Times New Roman" w:hAnsi="Times New Roman" w:cs="Times New Roman"/>
                <w:color w:val="000000"/>
                <w:kern w:val="0"/>
                <w:szCs w:val="24"/>
                <w:lang w:eastAsia="en-IN"/>
                <w14:ligatures w14:val="none"/>
              </w:rPr>
            </w:pPr>
            <w:r w:rsidRPr="00BE3CC5">
              <w:rPr>
                <w:rFonts w:ascii="Times New Roman" w:eastAsia="Times New Roman" w:hAnsi="Times New Roman" w:cs="Times New Roman"/>
                <w:color w:val="000000"/>
                <w:kern w:val="0"/>
                <w:szCs w:val="24"/>
                <w:lang w:eastAsia="en-IN"/>
                <w14:ligatures w14:val="none"/>
              </w:rPr>
              <w:t>West Bengal</w:t>
            </w:r>
          </w:p>
        </w:tc>
        <w:tc>
          <w:tcPr>
            <w:tcW w:w="1634" w:type="dxa"/>
            <w:tcBorders>
              <w:top w:val="nil"/>
              <w:left w:val="nil"/>
              <w:bottom w:val="single" w:sz="4" w:space="0" w:color="auto"/>
              <w:right w:val="single" w:sz="4" w:space="0" w:color="auto"/>
            </w:tcBorders>
            <w:vAlign w:val="center"/>
            <w:hideMark/>
          </w:tcPr>
          <w:p w14:paraId="36B6240F" w14:textId="77777777" w:rsidR="007E3032" w:rsidRPr="00BE3CC5" w:rsidRDefault="007E3032" w:rsidP="007E3032">
            <w:pPr>
              <w:spacing w:after="0" w:line="240" w:lineRule="auto"/>
              <w:jc w:val="center"/>
              <w:rPr>
                <w:rFonts w:ascii="Times New Roman" w:eastAsia="Times New Roman" w:hAnsi="Times New Roman" w:cs="Times New Roman"/>
                <w:color w:val="000000"/>
                <w:kern w:val="0"/>
                <w:szCs w:val="24"/>
                <w:lang w:eastAsia="en-IN"/>
                <w14:ligatures w14:val="none"/>
              </w:rPr>
            </w:pPr>
            <w:r w:rsidRPr="00BE3CC5">
              <w:rPr>
                <w:rFonts w:ascii="Times New Roman" w:eastAsia="Times New Roman" w:hAnsi="Times New Roman" w:cs="Times New Roman"/>
                <w:color w:val="000000"/>
                <w:kern w:val="0"/>
                <w:szCs w:val="24"/>
                <w:lang w:eastAsia="en-IN"/>
                <w14:ligatures w14:val="none"/>
              </w:rPr>
              <w:t>243</w:t>
            </w:r>
          </w:p>
        </w:tc>
        <w:tc>
          <w:tcPr>
            <w:tcW w:w="2320" w:type="dxa"/>
            <w:tcBorders>
              <w:top w:val="nil"/>
              <w:left w:val="nil"/>
              <w:bottom w:val="single" w:sz="4" w:space="0" w:color="auto"/>
              <w:right w:val="single" w:sz="4" w:space="0" w:color="auto"/>
            </w:tcBorders>
            <w:vAlign w:val="center"/>
            <w:hideMark/>
          </w:tcPr>
          <w:p w14:paraId="0492322A" w14:textId="77777777" w:rsidR="007E3032" w:rsidRPr="00BE3CC5" w:rsidRDefault="007E3032" w:rsidP="007E3032">
            <w:pPr>
              <w:spacing w:after="0" w:line="240" w:lineRule="auto"/>
              <w:jc w:val="center"/>
              <w:rPr>
                <w:rFonts w:ascii="Times New Roman" w:eastAsia="Times New Roman" w:hAnsi="Times New Roman" w:cs="Times New Roman"/>
                <w:color w:val="000000"/>
                <w:kern w:val="0"/>
                <w:szCs w:val="24"/>
                <w:lang w:eastAsia="en-IN"/>
                <w14:ligatures w14:val="none"/>
              </w:rPr>
            </w:pPr>
            <w:r w:rsidRPr="00BE3CC5">
              <w:rPr>
                <w:rFonts w:ascii="Times New Roman" w:eastAsia="Times New Roman" w:hAnsi="Times New Roman" w:cs="Times New Roman"/>
                <w:color w:val="000000"/>
                <w:kern w:val="0"/>
                <w:szCs w:val="24"/>
                <w:lang w:eastAsia="en-IN"/>
                <w14:ligatures w14:val="none"/>
              </w:rPr>
              <w:t>141</w:t>
            </w:r>
          </w:p>
        </w:tc>
        <w:tc>
          <w:tcPr>
            <w:tcW w:w="1879" w:type="dxa"/>
            <w:tcBorders>
              <w:top w:val="nil"/>
              <w:left w:val="nil"/>
              <w:bottom w:val="single" w:sz="4" w:space="0" w:color="auto"/>
              <w:right w:val="single" w:sz="4" w:space="0" w:color="auto"/>
            </w:tcBorders>
            <w:vAlign w:val="center"/>
            <w:hideMark/>
          </w:tcPr>
          <w:p w14:paraId="779B1925" w14:textId="77777777" w:rsidR="007E3032" w:rsidRPr="00BE3CC5" w:rsidRDefault="007E3032" w:rsidP="007E3032">
            <w:pPr>
              <w:spacing w:after="0" w:line="240" w:lineRule="auto"/>
              <w:jc w:val="center"/>
              <w:rPr>
                <w:rFonts w:ascii="Times New Roman" w:eastAsia="Times New Roman" w:hAnsi="Times New Roman" w:cs="Times New Roman"/>
                <w:color w:val="000000"/>
                <w:kern w:val="0"/>
                <w:szCs w:val="24"/>
                <w:lang w:eastAsia="en-IN"/>
                <w14:ligatures w14:val="none"/>
              </w:rPr>
            </w:pPr>
            <w:r w:rsidRPr="00BE3CC5">
              <w:rPr>
                <w:rFonts w:ascii="Times New Roman" w:eastAsia="Times New Roman" w:hAnsi="Times New Roman" w:cs="Times New Roman"/>
                <w:color w:val="000000"/>
                <w:kern w:val="0"/>
                <w:szCs w:val="24"/>
                <w:lang w:eastAsia="en-IN"/>
                <w14:ligatures w14:val="none"/>
              </w:rPr>
              <w:t>79</w:t>
            </w:r>
          </w:p>
        </w:tc>
        <w:tc>
          <w:tcPr>
            <w:tcW w:w="2679" w:type="dxa"/>
            <w:tcBorders>
              <w:top w:val="nil"/>
              <w:left w:val="nil"/>
              <w:bottom w:val="single" w:sz="4" w:space="0" w:color="auto"/>
              <w:right w:val="single" w:sz="4" w:space="0" w:color="auto"/>
            </w:tcBorders>
            <w:vAlign w:val="center"/>
            <w:hideMark/>
          </w:tcPr>
          <w:p w14:paraId="1420A0DF" w14:textId="77777777" w:rsidR="007E3032" w:rsidRPr="00BE3CC5" w:rsidRDefault="007E3032" w:rsidP="007E3032">
            <w:pPr>
              <w:spacing w:after="0" w:line="240" w:lineRule="auto"/>
              <w:jc w:val="center"/>
              <w:rPr>
                <w:rFonts w:ascii="Times New Roman" w:eastAsia="Times New Roman" w:hAnsi="Times New Roman" w:cs="Times New Roman"/>
                <w:color w:val="000000"/>
                <w:kern w:val="0"/>
                <w:szCs w:val="24"/>
                <w:lang w:eastAsia="en-IN"/>
                <w14:ligatures w14:val="none"/>
              </w:rPr>
            </w:pPr>
            <w:r w:rsidRPr="00BE3CC5">
              <w:rPr>
                <w:rFonts w:ascii="Times New Roman" w:eastAsia="Times New Roman" w:hAnsi="Times New Roman" w:cs="Times New Roman"/>
                <w:color w:val="000000"/>
                <w:kern w:val="0"/>
                <w:szCs w:val="24"/>
                <w:lang w:eastAsia="en-IN"/>
                <w14:ligatures w14:val="none"/>
              </w:rPr>
              <w:t>54</w:t>
            </w:r>
          </w:p>
        </w:tc>
      </w:tr>
      <w:tr w:rsidR="007E3032" w:rsidRPr="00BE3CC5" w14:paraId="2908CD2C" w14:textId="77777777" w:rsidTr="007E3032">
        <w:trPr>
          <w:trHeight w:val="325"/>
        </w:trPr>
        <w:tc>
          <w:tcPr>
            <w:tcW w:w="1601" w:type="dxa"/>
            <w:tcBorders>
              <w:top w:val="nil"/>
              <w:left w:val="single" w:sz="4" w:space="0" w:color="auto"/>
              <w:bottom w:val="single" w:sz="4" w:space="0" w:color="auto"/>
              <w:right w:val="single" w:sz="4" w:space="0" w:color="auto"/>
            </w:tcBorders>
            <w:vAlign w:val="center"/>
            <w:hideMark/>
          </w:tcPr>
          <w:p w14:paraId="19007CD7" w14:textId="77777777" w:rsidR="007E3032" w:rsidRPr="00BE3CC5" w:rsidRDefault="007E3032" w:rsidP="007E3032">
            <w:pPr>
              <w:spacing w:after="0" w:line="240" w:lineRule="auto"/>
              <w:rPr>
                <w:rFonts w:ascii="Times New Roman" w:eastAsia="Times New Roman" w:hAnsi="Times New Roman" w:cs="Times New Roman"/>
                <w:color w:val="000000"/>
                <w:kern w:val="0"/>
                <w:szCs w:val="24"/>
                <w:lang w:eastAsia="en-IN"/>
                <w14:ligatures w14:val="none"/>
              </w:rPr>
            </w:pPr>
            <w:r w:rsidRPr="00BE3CC5">
              <w:rPr>
                <w:rFonts w:ascii="Times New Roman" w:eastAsia="Times New Roman" w:hAnsi="Times New Roman" w:cs="Times New Roman"/>
                <w:color w:val="000000"/>
                <w:kern w:val="0"/>
                <w:szCs w:val="24"/>
                <w:lang w:eastAsia="en-IN"/>
                <w14:ligatures w14:val="none"/>
              </w:rPr>
              <w:t>All States total</w:t>
            </w:r>
          </w:p>
        </w:tc>
        <w:tc>
          <w:tcPr>
            <w:tcW w:w="1634" w:type="dxa"/>
            <w:tcBorders>
              <w:top w:val="nil"/>
              <w:left w:val="nil"/>
              <w:bottom w:val="single" w:sz="4" w:space="0" w:color="auto"/>
              <w:right w:val="single" w:sz="4" w:space="0" w:color="auto"/>
            </w:tcBorders>
            <w:vAlign w:val="center"/>
            <w:hideMark/>
          </w:tcPr>
          <w:p w14:paraId="42C20B36" w14:textId="77777777" w:rsidR="007E3032" w:rsidRPr="00BE3CC5" w:rsidRDefault="007E3032" w:rsidP="007E3032">
            <w:pPr>
              <w:spacing w:after="0" w:line="240" w:lineRule="auto"/>
              <w:jc w:val="center"/>
              <w:rPr>
                <w:rFonts w:ascii="Times New Roman" w:eastAsia="Times New Roman" w:hAnsi="Times New Roman" w:cs="Times New Roman"/>
                <w:color w:val="000000"/>
                <w:kern w:val="0"/>
                <w:szCs w:val="24"/>
                <w:lang w:eastAsia="en-IN"/>
                <w14:ligatures w14:val="none"/>
              </w:rPr>
            </w:pPr>
            <w:r w:rsidRPr="00BE3CC5">
              <w:rPr>
                <w:rFonts w:ascii="Times New Roman" w:eastAsia="Times New Roman" w:hAnsi="Times New Roman" w:cs="Times New Roman"/>
                <w:color w:val="000000"/>
                <w:kern w:val="0"/>
                <w:szCs w:val="24"/>
                <w:lang w:eastAsia="en-IN"/>
                <w14:ligatures w14:val="none"/>
              </w:rPr>
              <w:t>253</w:t>
            </w:r>
          </w:p>
        </w:tc>
        <w:tc>
          <w:tcPr>
            <w:tcW w:w="2320" w:type="dxa"/>
            <w:tcBorders>
              <w:top w:val="nil"/>
              <w:left w:val="nil"/>
              <w:bottom w:val="single" w:sz="4" w:space="0" w:color="auto"/>
              <w:right w:val="single" w:sz="4" w:space="0" w:color="auto"/>
            </w:tcBorders>
            <w:vAlign w:val="center"/>
            <w:hideMark/>
          </w:tcPr>
          <w:p w14:paraId="2934FEEB" w14:textId="77777777" w:rsidR="007E3032" w:rsidRPr="00BE3CC5" w:rsidRDefault="007E3032" w:rsidP="007E3032">
            <w:pPr>
              <w:spacing w:after="0" w:line="240" w:lineRule="auto"/>
              <w:jc w:val="center"/>
              <w:rPr>
                <w:rFonts w:ascii="Times New Roman" w:eastAsia="Times New Roman" w:hAnsi="Times New Roman" w:cs="Times New Roman"/>
                <w:color w:val="000000"/>
                <w:kern w:val="0"/>
                <w:szCs w:val="24"/>
                <w:lang w:eastAsia="en-IN"/>
                <w14:ligatures w14:val="none"/>
              </w:rPr>
            </w:pPr>
            <w:r w:rsidRPr="00BE3CC5">
              <w:rPr>
                <w:rFonts w:ascii="Times New Roman" w:eastAsia="Times New Roman" w:hAnsi="Times New Roman" w:cs="Times New Roman"/>
                <w:color w:val="000000"/>
                <w:kern w:val="0"/>
                <w:szCs w:val="24"/>
                <w:lang w:eastAsia="en-IN"/>
                <w14:ligatures w14:val="none"/>
              </w:rPr>
              <w:t>147</w:t>
            </w:r>
          </w:p>
        </w:tc>
        <w:tc>
          <w:tcPr>
            <w:tcW w:w="1879" w:type="dxa"/>
            <w:tcBorders>
              <w:top w:val="nil"/>
              <w:left w:val="nil"/>
              <w:bottom w:val="single" w:sz="4" w:space="0" w:color="auto"/>
              <w:right w:val="single" w:sz="4" w:space="0" w:color="auto"/>
            </w:tcBorders>
            <w:vAlign w:val="center"/>
            <w:hideMark/>
          </w:tcPr>
          <w:p w14:paraId="71245137" w14:textId="77777777" w:rsidR="007E3032" w:rsidRPr="00BE3CC5" w:rsidRDefault="007E3032" w:rsidP="007E3032">
            <w:pPr>
              <w:spacing w:after="0" w:line="240" w:lineRule="auto"/>
              <w:jc w:val="center"/>
              <w:rPr>
                <w:rFonts w:ascii="Times New Roman" w:eastAsia="Times New Roman" w:hAnsi="Times New Roman" w:cs="Times New Roman"/>
                <w:color w:val="000000"/>
                <w:kern w:val="0"/>
                <w:szCs w:val="24"/>
                <w:lang w:eastAsia="en-IN"/>
                <w14:ligatures w14:val="none"/>
              </w:rPr>
            </w:pPr>
            <w:r w:rsidRPr="00BE3CC5">
              <w:rPr>
                <w:rFonts w:ascii="Times New Roman" w:eastAsia="Times New Roman" w:hAnsi="Times New Roman" w:cs="Times New Roman"/>
                <w:color w:val="000000"/>
                <w:kern w:val="0"/>
                <w:szCs w:val="24"/>
                <w:lang w:eastAsia="en-IN"/>
                <w14:ligatures w14:val="none"/>
              </w:rPr>
              <w:t>123</w:t>
            </w:r>
          </w:p>
        </w:tc>
        <w:tc>
          <w:tcPr>
            <w:tcW w:w="2679" w:type="dxa"/>
            <w:tcBorders>
              <w:top w:val="nil"/>
              <w:left w:val="nil"/>
              <w:bottom w:val="single" w:sz="4" w:space="0" w:color="auto"/>
              <w:right w:val="single" w:sz="4" w:space="0" w:color="auto"/>
            </w:tcBorders>
            <w:vAlign w:val="center"/>
            <w:hideMark/>
          </w:tcPr>
          <w:p w14:paraId="194C8EA3" w14:textId="77777777" w:rsidR="007E3032" w:rsidRPr="00BE3CC5" w:rsidRDefault="007E3032" w:rsidP="007E3032">
            <w:pPr>
              <w:spacing w:after="0" w:line="240" w:lineRule="auto"/>
              <w:jc w:val="center"/>
              <w:rPr>
                <w:rFonts w:ascii="Times New Roman" w:eastAsia="Times New Roman" w:hAnsi="Times New Roman" w:cs="Times New Roman"/>
                <w:color w:val="000000"/>
                <w:kern w:val="0"/>
                <w:szCs w:val="24"/>
                <w:lang w:eastAsia="en-IN"/>
                <w14:ligatures w14:val="none"/>
              </w:rPr>
            </w:pPr>
            <w:r w:rsidRPr="00BE3CC5">
              <w:rPr>
                <w:rFonts w:ascii="Times New Roman" w:eastAsia="Times New Roman" w:hAnsi="Times New Roman" w:cs="Times New Roman"/>
                <w:color w:val="000000"/>
                <w:kern w:val="0"/>
                <w:szCs w:val="24"/>
                <w:lang w:eastAsia="en-IN"/>
                <w14:ligatures w14:val="none"/>
              </w:rPr>
              <w:t>71</w:t>
            </w:r>
          </w:p>
        </w:tc>
      </w:tr>
    </w:tbl>
    <w:p w14:paraId="1BED6948" w14:textId="2F77D0F7" w:rsidR="00B979EE" w:rsidRPr="00BE3CC5" w:rsidRDefault="007E3032" w:rsidP="0077799E">
      <w:pPr>
        <w:pStyle w:val="NoSpacing"/>
        <w:rPr>
          <w:rFonts w:ascii="Times New Roman" w:hAnsi="Times New Roman" w:cs="Times New Roman"/>
          <w:sz w:val="20"/>
          <w:szCs w:val="20"/>
        </w:rPr>
      </w:pPr>
      <w:r w:rsidRPr="00BE3CC5">
        <w:rPr>
          <w:rFonts w:ascii="Times New Roman" w:hAnsi="Times New Roman" w:cs="Times New Roman"/>
          <w:sz w:val="20"/>
          <w:szCs w:val="20"/>
        </w:rPr>
        <w:t>* Figures relate to 1966–69 Annual Plans only.</w:t>
      </w:r>
      <w:r w:rsidRPr="00BE3CC5">
        <w:rPr>
          <w:rFonts w:ascii="Times New Roman" w:hAnsi="Times New Roman" w:cs="Times New Roman"/>
          <w:sz w:val="20"/>
          <w:szCs w:val="20"/>
        </w:rPr>
        <w:br/>
        <w:t>† Composite Punjab upto reorganisation.</w:t>
      </w:r>
    </w:p>
    <w:p w14:paraId="357FA915" w14:textId="73DBDCAE" w:rsidR="00ED2B57" w:rsidRPr="00BE3CC5" w:rsidRDefault="00ED2B57" w:rsidP="00406460">
      <w:pPr>
        <w:pStyle w:val="ListParagraph"/>
        <w:numPr>
          <w:ilvl w:val="0"/>
          <w:numId w:val="65"/>
        </w:numPr>
        <w:spacing w:before="240" w:line="300" w:lineRule="exact"/>
        <w:ind w:left="0" w:firstLine="131"/>
        <w:jc w:val="both"/>
        <w:rPr>
          <w:rFonts w:ascii="Times New Roman" w:hAnsi="Times New Roman" w:cs="Times New Roman"/>
          <w:sz w:val="28"/>
          <w:szCs w:val="22"/>
        </w:rPr>
      </w:pPr>
      <w:r w:rsidRPr="00BE3CC5">
        <w:rPr>
          <w:rFonts w:ascii="Times New Roman" w:hAnsi="Times New Roman" w:cs="Times New Roman"/>
          <w:sz w:val="28"/>
          <w:szCs w:val="22"/>
        </w:rPr>
        <w:t xml:space="preserve">As early as 1955, the States Re-organisation Commission observed in their Report that, according to the figures published by the Bombay Government, Greater Bombay's average surplus of revenue over expenditure (during the three years ending March, 1955) was of the order of Rs. 12 crores. If similar figures could be worked out under the present conditions for some of the important cities where industrial and commercial activities have been concentrated as a result of economic </w:t>
      </w:r>
      <w:r w:rsidRPr="00BE3CC5">
        <w:rPr>
          <w:rFonts w:ascii="Times New Roman" w:hAnsi="Times New Roman" w:cs="Times New Roman"/>
          <w:sz w:val="28"/>
          <w:szCs w:val="22"/>
        </w:rPr>
        <w:lastRenderedPageBreak/>
        <w:t>policies pursued hitherto, it might help in the consideration of the steps which can be taken to reduce disparities and enable more advanced areas to share the prosperity with the rest of the country which in a way contributes to their growth and</w:t>
      </w:r>
      <w:r w:rsidR="00406460">
        <w:rPr>
          <w:rFonts w:ascii="Times New Roman" w:hAnsi="Times New Roman" w:cs="Times New Roman"/>
          <w:sz w:val="28"/>
          <w:szCs w:val="22"/>
        </w:rPr>
        <w:t xml:space="preserve"> </w:t>
      </w:r>
      <w:r w:rsidRPr="00BE3CC5">
        <w:rPr>
          <w:rFonts w:ascii="Times New Roman" w:hAnsi="Times New Roman" w:cs="Times New Roman"/>
          <w:sz w:val="28"/>
          <w:szCs w:val="22"/>
        </w:rPr>
        <w:t>importance.​</w:t>
      </w:r>
    </w:p>
    <w:p w14:paraId="7D86504F" w14:textId="205A0666" w:rsidR="00ED2B57" w:rsidRPr="00BE3CC5" w:rsidRDefault="00ED2B57" w:rsidP="00406460">
      <w:pPr>
        <w:pStyle w:val="ListParagraph"/>
        <w:numPr>
          <w:ilvl w:val="0"/>
          <w:numId w:val="65"/>
        </w:numPr>
        <w:spacing w:before="240" w:line="300" w:lineRule="exact"/>
        <w:ind w:left="0" w:firstLine="131"/>
        <w:jc w:val="both"/>
        <w:rPr>
          <w:rFonts w:ascii="Times New Roman" w:hAnsi="Times New Roman" w:cs="Times New Roman"/>
          <w:sz w:val="28"/>
          <w:szCs w:val="22"/>
        </w:rPr>
      </w:pPr>
      <w:r w:rsidRPr="00BE3CC5">
        <w:rPr>
          <w:rFonts w:ascii="Times New Roman" w:hAnsi="Times New Roman" w:cs="Times New Roman"/>
          <w:sz w:val="28"/>
          <w:szCs w:val="22"/>
        </w:rPr>
        <w:t>The recommendations embodied in our Report have been made after the fullest consideration of the State Governments' representations and having regard to the undesirability of reducing the percentage representing the States' share of the divisible taxes. In these circumstances, the surplus devolutions to certain States are unavoidable but if any modifications are to be considered with a view to reducing the disparity in distribution the only possible way would be to reduce the States' share of divisible proceeds of income-tax to 65 per cent., and distribute the entire amount among the States wholly on a population basis. This method of distribution was advocated by the Second Finance Commission, although not applied by them fully in framing their recommendations. Further, in regard to Union Excise Duties the States' share of divisible pool may be reduced to 15 per cent. To the extent to which these reduced percentages for the devolution of income-tax and Union Excise Duties will result in a short-fall of the devolutions accruing to the States for which a grant under Article 275 of the Constitution has been recommended, such short-fall will have to be made good by a suitable increase in the amounts paid to them as</w:t>
      </w:r>
      <w:r w:rsidR="007825D4">
        <w:rPr>
          <w:rFonts w:ascii="Times New Roman" w:hAnsi="Times New Roman" w:cs="Times New Roman"/>
          <w:sz w:val="28"/>
          <w:szCs w:val="22"/>
        </w:rPr>
        <w:t xml:space="preserve"> </w:t>
      </w:r>
      <w:r w:rsidRPr="00BE3CC5">
        <w:rPr>
          <w:rFonts w:ascii="Times New Roman" w:hAnsi="Times New Roman" w:cs="Times New Roman"/>
          <w:sz w:val="28"/>
          <w:szCs w:val="22"/>
        </w:rPr>
        <w:t>grants-in-aid.​</w:t>
      </w:r>
    </w:p>
    <w:p w14:paraId="24C3E40E" w14:textId="2E483CA5" w:rsidR="00ED2B57" w:rsidRPr="00BE3CC5" w:rsidRDefault="00ED2B57" w:rsidP="00406460">
      <w:pPr>
        <w:pStyle w:val="ListParagraph"/>
        <w:numPr>
          <w:ilvl w:val="0"/>
          <w:numId w:val="65"/>
        </w:numPr>
        <w:spacing w:before="240" w:line="300" w:lineRule="exact"/>
        <w:ind w:left="0" w:firstLine="131"/>
        <w:jc w:val="both"/>
        <w:rPr>
          <w:rFonts w:ascii="Times New Roman" w:hAnsi="Times New Roman" w:cs="Times New Roman"/>
          <w:sz w:val="28"/>
          <w:szCs w:val="22"/>
        </w:rPr>
      </w:pPr>
      <w:r w:rsidRPr="00BE3CC5">
        <w:rPr>
          <w:rFonts w:ascii="Times New Roman" w:hAnsi="Times New Roman" w:cs="Times New Roman"/>
          <w:sz w:val="28"/>
          <w:szCs w:val="22"/>
        </w:rPr>
        <w:t>This scheme involving a reduction in the percentage of the States' share of divisible taxes will thus not result in any reduction of the total amount payable by way of devolutions and grants payable to the States in receipt of grants-in-aid. On the other hand, it will only reduce the surplus amounts which would otherwise accrue to certain States beyond what they require to cover their non-Plan Revenue gap according to the uniform assessment standards applied by us. The amounts thus reduced will incidentally become available as additional resources for the Plans of</w:t>
      </w:r>
      <w:r w:rsidR="007825D4">
        <w:rPr>
          <w:rFonts w:ascii="Times New Roman" w:hAnsi="Times New Roman" w:cs="Times New Roman"/>
          <w:sz w:val="28"/>
          <w:szCs w:val="22"/>
        </w:rPr>
        <w:t xml:space="preserve"> </w:t>
      </w:r>
      <w:r w:rsidRPr="00BE3CC5">
        <w:rPr>
          <w:rFonts w:ascii="Times New Roman" w:hAnsi="Times New Roman" w:cs="Times New Roman"/>
          <w:sz w:val="28"/>
          <w:szCs w:val="22"/>
        </w:rPr>
        <w:t>all States.​</w:t>
      </w:r>
    </w:p>
    <w:p w14:paraId="506E13CC" w14:textId="292B61CC" w:rsidR="00ED2B57" w:rsidRPr="007825D4" w:rsidRDefault="00ED2B57" w:rsidP="007825D4">
      <w:pPr>
        <w:pStyle w:val="ListParagraph"/>
        <w:numPr>
          <w:ilvl w:val="0"/>
          <w:numId w:val="65"/>
        </w:numPr>
        <w:spacing w:before="240" w:line="300" w:lineRule="exact"/>
        <w:ind w:left="0" w:firstLine="131"/>
        <w:jc w:val="both"/>
        <w:rPr>
          <w:rFonts w:ascii="Times New Roman" w:hAnsi="Times New Roman" w:cs="Times New Roman"/>
          <w:sz w:val="28"/>
          <w:szCs w:val="22"/>
        </w:rPr>
      </w:pPr>
      <w:r w:rsidRPr="00BE3CC5">
        <w:rPr>
          <w:rFonts w:ascii="Times New Roman" w:hAnsi="Times New Roman" w:cs="Times New Roman"/>
          <w:sz w:val="28"/>
          <w:szCs w:val="22"/>
        </w:rPr>
        <w:t>Although the scheme of devolutions has been framed with reference to the requirements of the States as worked out by us on a uniform basis, it is realised that the devolutions and grants can cover only a portion of the huge deficits amounting to over Rs. 7,000 crores according to the States' forecasts. Even this has been rendered possible by the inclusion of advance tax collections under the Income-Tax Act and the increase in the Central Government's revenues derived from taxes on income and Central excise, which rose from an annual average of about Rs. 725 crores in the Third Plan period to a figure of Rs. 1,470 crores during the three years from 1966-67.</w:t>
      </w:r>
      <w:r w:rsidR="007825D4">
        <w:rPr>
          <w:rFonts w:ascii="Times New Roman" w:hAnsi="Times New Roman" w:cs="Times New Roman"/>
          <w:sz w:val="28"/>
          <w:szCs w:val="22"/>
        </w:rPr>
        <w:t xml:space="preserve"> </w:t>
      </w:r>
      <w:r w:rsidRPr="007825D4">
        <w:rPr>
          <w:rFonts w:ascii="Times New Roman" w:hAnsi="Times New Roman" w:cs="Times New Roman"/>
          <w:sz w:val="28"/>
          <w:szCs w:val="22"/>
        </w:rPr>
        <w:t xml:space="preserve">It is not certain whether this rate of growth will be maintained in the future. Although we have made some general suggestions regarding the scope for additional taxation in Chapter 8 of our Report, the extent to which it would be possible to adopt any of them will depend upon a detailed investigation of the tax potential which is bound to vary from State to State. On the expenditure side, the interest liabilities are mounting up. To the extent the States do not find it possible to work up to the standards adopted by us in assessing the revenue gap particularly those relating to elimination of losses, collection of interest, etc., their liabilities will go up. The current expenditure on the 4th Plan will also become 'committed </w:t>
      </w:r>
      <w:r w:rsidRPr="007825D4">
        <w:rPr>
          <w:rFonts w:ascii="Times New Roman" w:hAnsi="Times New Roman" w:cs="Times New Roman"/>
          <w:sz w:val="28"/>
          <w:szCs w:val="22"/>
        </w:rPr>
        <w:lastRenderedPageBreak/>
        <w:t>expenditure' after the five-year period and add a large amount to the non-Plan requirements.​</w:t>
      </w:r>
    </w:p>
    <w:p w14:paraId="29FA4E28" w14:textId="4F47FF48" w:rsidR="00ED2B57" w:rsidRPr="00BE3CC5" w:rsidRDefault="00ED2B57" w:rsidP="007825D4">
      <w:pPr>
        <w:pStyle w:val="ListParagraph"/>
        <w:numPr>
          <w:ilvl w:val="0"/>
          <w:numId w:val="65"/>
        </w:numPr>
        <w:spacing w:before="240" w:line="300" w:lineRule="exact"/>
        <w:ind w:left="0" w:firstLine="131"/>
        <w:jc w:val="both"/>
        <w:rPr>
          <w:rFonts w:ascii="Times New Roman" w:hAnsi="Times New Roman" w:cs="Times New Roman"/>
          <w:sz w:val="28"/>
          <w:szCs w:val="22"/>
        </w:rPr>
      </w:pPr>
      <w:r w:rsidRPr="00BE3CC5">
        <w:rPr>
          <w:rFonts w:ascii="Times New Roman" w:hAnsi="Times New Roman" w:cs="Times New Roman"/>
          <w:sz w:val="28"/>
          <w:szCs w:val="22"/>
        </w:rPr>
        <w:t>The total expenditure of all States on revenue account (both Plan and non-Plan) increased by 68.9 per cent. during the period 1961-62 to 1965-66 and 36.4 per cent. during the period 1965-66 to 1968-69. The figures for individual States showed wide variations. During the same two periods, the devolution and grants to States from the Central Government increased by 51.6 per cent. and 83.9 per cent. respectively while the Central Government's total expenditure on revenue account (Plan and non-Plan including devolutions and grants) increased by 114.5 per cent. and 39.9 per cent. respectively. Some State Governments have already explored the possibilities of economy in expenditure and growth of revenue by undertaking special enquiries. Nevertheless, it is possible that in some cases certain items of expenditure might have been sanctioned in the expectation that the entire non-Plan gap will somehow be covered by the Finance Commission's recommendations. This has not been possible and may not be possible in future. It may, therefore, be relevant in this connection to keep in view the recommendation made by the Second Finance Commission in the following terms:​</w:t>
      </w:r>
    </w:p>
    <w:p w14:paraId="02950E3B" w14:textId="4D6D98D8" w:rsidR="00ED2B57" w:rsidRDefault="00ED2B57" w:rsidP="007825D4">
      <w:pPr>
        <w:pStyle w:val="NoSpacing"/>
        <w:spacing w:line="300" w:lineRule="exact"/>
        <w:ind w:left="426" w:firstLine="426"/>
        <w:jc w:val="both"/>
        <w:rPr>
          <w:rFonts w:ascii="Times New Roman" w:hAnsi="Times New Roman" w:cs="Times New Roman"/>
          <w:sz w:val="28"/>
          <w:szCs w:val="22"/>
        </w:rPr>
      </w:pPr>
      <w:r w:rsidRPr="007825D4">
        <w:rPr>
          <w:rFonts w:ascii="Times New Roman" w:hAnsi="Times New Roman" w:cs="Times New Roman"/>
          <w:sz w:val="28"/>
          <w:szCs w:val="22"/>
        </w:rPr>
        <w:t>"We noticed that in some States administrative re-organisation, such as re-organisation of the Police was being undertaken. While we do not wish to express any opinion on the necessity for such reorganisations, we should like to urge the need for caution. With practically all the available resources earmarked for the Plan or for meeting committed expenditure, administrative reorganisation involving increase in non-development expenditure should not be undertaken unless it is inescapable. Even then, it should be phased over as long a period as possible." (Para. 188).​</w:t>
      </w:r>
    </w:p>
    <w:p w14:paraId="4C97A936" w14:textId="77777777" w:rsidR="007825D4" w:rsidRPr="007825D4" w:rsidRDefault="007825D4" w:rsidP="007825D4">
      <w:pPr>
        <w:pStyle w:val="NoSpacing"/>
        <w:spacing w:line="300" w:lineRule="exact"/>
        <w:ind w:left="426" w:firstLine="426"/>
        <w:jc w:val="both"/>
        <w:rPr>
          <w:rFonts w:ascii="Times New Roman" w:hAnsi="Times New Roman" w:cs="Times New Roman"/>
          <w:sz w:val="28"/>
          <w:szCs w:val="22"/>
        </w:rPr>
      </w:pPr>
    </w:p>
    <w:p w14:paraId="7CF98112" w14:textId="77777777" w:rsidR="00322723" w:rsidRPr="007245B0" w:rsidRDefault="00322723" w:rsidP="00ED2B57">
      <w:pPr>
        <w:pStyle w:val="NoSpacing"/>
        <w:rPr>
          <w:rFonts w:ascii="Times New Roman" w:hAnsi="Times New Roman" w:cs="Times New Roman"/>
        </w:rPr>
      </w:pPr>
    </w:p>
    <w:p w14:paraId="04EED9A7" w14:textId="6D4D1042" w:rsidR="00ED2B57" w:rsidRPr="007825D4" w:rsidRDefault="00ED2B57" w:rsidP="00ED2B57">
      <w:pPr>
        <w:pStyle w:val="NoSpacing"/>
        <w:rPr>
          <w:rFonts w:ascii="Times New Roman" w:hAnsi="Times New Roman" w:cs="Times New Roman"/>
          <w:sz w:val="28"/>
          <w:szCs w:val="22"/>
        </w:rPr>
      </w:pPr>
      <w:r w:rsidRPr="007825D4">
        <w:rPr>
          <w:rFonts w:ascii="Times New Roman" w:hAnsi="Times New Roman" w:cs="Times New Roman"/>
          <w:sz w:val="28"/>
          <w:szCs w:val="22"/>
        </w:rPr>
        <w:t>NEW DELHI,</w:t>
      </w:r>
      <w:r w:rsidR="007825D4">
        <w:rPr>
          <w:rFonts w:ascii="Times New Roman" w:hAnsi="Times New Roman" w:cs="Times New Roman"/>
          <w:sz w:val="28"/>
          <w:szCs w:val="22"/>
        </w:rPr>
        <w:tab/>
      </w:r>
      <w:r w:rsidR="007825D4">
        <w:rPr>
          <w:rFonts w:ascii="Times New Roman" w:hAnsi="Times New Roman" w:cs="Times New Roman"/>
          <w:sz w:val="28"/>
          <w:szCs w:val="22"/>
        </w:rPr>
        <w:tab/>
      </w:r>
      <w:r w:rsidR="007825D4">
        <w:rPr>
          <w:rFonts w:ascii="Times New Roman" w:hAnsi="Times New Roman" w:cs="Times New Roman"/>
          <w:sz w:val="28"/>
          <w:szCs w:val="22"/>
        </w:rPr>
        <w:tab/>
      </w:r>
      <w:r w:rsidR="007825D4">
        <w:rPr>
          <w:rFonts w:ascii="Times New Roman" w:hAnsi="Times New Roman" w:cs="Times New Roman"/>
          <w:sz w:val="28"/>
          <w:szCs w:val="22"/>
        </w:rPr>
        <w:tab/>
      </w:r>
      <w:r w:rsidR="007825D4">
        <w:rPr>
          <w:rFonts w:ascii="Times New Roman" w:hAnsi="Times New Roman" w:cs="Times New Roman"/>
          <w:sz w:val="28"/>
          <w:szCs w:val="22"/>
        </w:rPr>
        <w:tab/>
      </w:r>
      <w:r w:rsidR="007825D4">
        <w:rPr>
          <w:rFonts w:ascii="Times New Roman" w:hAnsi="Times New Roman" w:cs="Times New Roman"/>
          <w:sz w:val="28"/>
          <w:szCs w:val="22"/>
        </w:rPr>
        <w:tab/>
      </w:r>
      <w:r w:rsidR="007825D4">
        <w:rPr>
          <w:rFonts w:ascii="Times New Roman" w:hAnsi="Times New Roman" w:cs="Times New Roman"/>
          <w:sz w:val="28"/>
          <w:szCs w:val="22"/>
        </w:rPr>
        <w:tab/>
        <w:t xml:space="preserve">     </w:t>
      </w:r>
      <w:r w:rsidR="007825D4" w:rsidRPr="007825D4">
        <w:rPr>
          <w:rFonts w:ascii="Times New Roman" w:hAnsi="Times New Roman" w:cs="Times New Roman"/>
          <w:sz w:val="28"/>
          <w:szCs w:val="22"/>
        </w:rPr>
        <w:t>G. SWAMINATHAN,</w:t>
      </w:r>
      <w:r w:rsidRPr="007825D4">
        <w:rPr>
          <w:rFonts w:ascii="Times New Roman" w:hAnsi="Times New Roman" w:cs="Times New Roman"/>
          <w:sz w:val="28"/>
          <w:szCs w:val="22"/>
        </w:rPr>
        <w:br/>
      </w:r>
      <w:r w:rsidRPr="00E418BA">
        <w:rPr>
          <w:rFonts w:ascii="Times New Roman" w:hAnsi="Times New Roman" w:cs="Times New Roman"/>
          <w:i/>
          <w:iCs/>
          <w:sz w:val="28"/>
          <w:szCs w:val="22"/>
        </w:rPr>
        <w:t>July 31, 1969.</w:t>
      </w:r>
      <w:r w:rsidR="007825D4">
        <w:rPr>
          <w:rFonts w:ascii="Times New Roman" w:hAnsi="Times New Roman" w:cs="Times New Roman"/>
          <w:sz w:val="28"/>
          <w:szCs w:val="22"/>
        </w:rPr>
        <w:tab/>
      </w:r>
      <w:r w:rsidR="007825D4">
        <w:rPr>
          <w:rFonts w:ascii="Times New Roman" w:hAnsi="Times New Roman" w:cs="Times New Roman"/>
          <w:sz w:val="28"/>
          <w:szCs w:val="22"/>
        </w:rPr>
        <w:tab/>
      </w:r>
      <w:r w:rsidR="007825D4">
        <w:rPr>
          <w:rFonts w:ascii="Times New Roman" w:hAnsi="Times New Roman" w:cs="Times New Roman"/>
          <w:sz w:val="28"/>
          <w:szCs w:val="22"/>
        </w:rPr>
        <w:tab/>
      </w:r>
      <w:r w:rsidR="007825D4">
        <w:rPr>
          <w:rFonts w:ascii="Times New Roman" w:hAnsi="Times New Roman" w:cs="Times New Roman"/>
          <w:sz w:val="28"/>
          <w:szCs w:val="22"/>
        </w:rPr>
        <w:tab/>
      </w:r>
      <w:r w:rsidR="007825D4">
        <w:rPr>
          <w:rFonts w:ascii="Times New Roman" w:hAnsi="Times New Roman" w:cs="Times New Roman"/>
          <w:sz w:val="28"/>
          <w:szCs w:val="22"/>
        </w:rPr>
        <w:tab/>
      </w:r>
      <w:r w:rsidR="007825D4">
        <w:rPr>
          <w:rFonts w:ascii="Times New Roman" w:hAnsi="Times New Roman" w:cs="Times New Roman"/>
          <w:sz w:val="28"/>
          <w:szCs w:val="22"/>
        </w:rPr>
        <w:tab/>
      </w:r>
      <w:r w:rsidR="007825D4">
        <w:rPr>
          <w:rFonts w:ascii="Times New Roman" w:hAnsi="Times New Roman" w:cs="Times New Roman"/>
          <w:sz w:val="28"/>
          <w:szCs w:val="22"/>
        </w:rPr>
        <w:tab/>
      </w:r>
      <w:r w:rsidR="007825D4">
        <w:rPr>
          <w:rFonts w:ascii="Times New Roman" w:hAnsi="Times New Roman" w:cs="Times New Roman"/>
          <w:sz w:val="28"/>
          <w:szCs w:val="22"/>
        </w:rPr>
        <w:tab/>
      </w:r>
      <w:r w:rsidR="007825D4">
        <w:rPr>
          <w:rFonts w:ascii="Times New Roman" w:hAnsi="Times New Roman" w:cs="Times New Roman"/>
          <w:sz w:val="28"/>
          <w:szCs w:val="22"/>
        </w:rPr>
        <w:tab/>
      </w:r>
      <w:r w:rsidR="007825D4" w:rsidRPr="00E418BA">
        <w:rPr>
          <w:rFonts w:ascii="Times New Roman" w:hAnsi="Times New Roman" w:cs="Times New Roman"/>
          <w:i/>
          <w:iCs/>
          <w:sz w:val="28"/>
          <w:szCs w:val="22"/>
        </w:rPr>
        <w:t xml:space="preserve">      Member</w:t>
      </w:r>
    </w:p>
    <w:p w14:paraId="2B4F9BAA" w14:textId="08FCE2E6" w:rsidR="00ED2B57" w:rsidRPr="007825D4" w:rsidRDefault="00ED2B57" w:rsidP="00ED2B57">
      <w:pPr>
        <w:pStyle w:val="NoSpacing"/>
        <w:jc w:val="right"/>
        <w:rPr>
          <w:rFonts w:ascii="Times New Roman" w:hAnsi="Times New Roman" w:cs="Times New Roman"/>
          <w:sz w:val="28"/>
          <w:szCs w:val="22"/>
        </w:rPr>
      </w:pPr>
      <w:r w:rsidRPr="007825D4">
        <w:rPr>
          <w:rFonts w:ascii="Times New Roman" w:hAnsi="Times New Roman" w:cs="Times New Roman"/>
          <w:sz w:val="28"/>
          <w:szCs w:val="22"/>
        </w:rPr>
        <w:br/>
      </w:r>
    </w:p>
    <w:p w14:paraId="1F27D5FF" w14:textId="63A9864B" w:rsidR="00A45FA0" w:rsidRPr="007825D4" w:rsidRDefault="00A45FA0">
      <w:pPr>
        <w:rPr>
          <w:rFonts w:ascii="Times New Roman" w:hAnsi="Times New Roman" w:cs="Times New Roman"/>
          <w:sz w:val="28"/>
          <w:szCs w:val="22"/>
        </w:rPr>
      </w:pPr>
      <w:r w:rsidRPr="007825D4">
        <w:rPr>
          <w:rFonts w:ascii="Times New Roman" w:hAnsi="Times New Roman" w:cs="Times New Roman"/>
          <w:sz w:val="28"/>
          <w:szCs w:val="22"/>
        </w:rPr>
        <w:br w:type="page"/>
      </w:r>
    </w:p>
    <w:p w14:paraId="48E90466" w14:textId="77777777" w:rsidR="00AA617D" w:rsidRDefault="00AA617D" w:rsidP="00ED2B57">
      <w:pPr>
        <w:pStyle w:val="NoSpacing"/>
        <w:rPr>
          <w:rFonts w:ascii="Times New Roman" w:hAnsi="Times New Roman" w:cs="Times New Roman"/>
        </w:rPr>
        <w:sectPr w:rsidR="00AA617D" w:rsidSect="007C4E37">
          <w:headerReference w:type="default" r:id="rId9"/>
          <w:pgSz w:w="12240" w:h="15840"/>
          <w:pgMar w:top="284" w:right="1440" w:bottom="709" w:left="1440" w:header="720" w:footer="720" w:gutter="0"/>
          <w:pgNumType w:start="1"/>
          <w:cols w:space="720"/>
        </w:sectPr>
      </w:pPr>
    </w:p>
    <w:p w14:paraId="0771FC78" w14:textId="080FD1AD" w:rsidR="00D63BD2" w:rsidRPr="001B5187" w:rsidRDefault="00D63BD2" w:rsidP="00AA617D">
      <w:pPr>
        <w:pStyle w:val="NoSpacing"/>
        <w:jc w:val="center"/>
        <w:rPr>
          <w:rFonts w:ascii="Times New Roman" w:hAnsi="Times New Roman" w:cs="Times New Roman"/>
          <w:sz w:val="28"/>
          <w:szCs w:val="22"/>
        </w:rPr>
      </w:pPr>
      <w:r w:rsidRPr="001B5187">
        <w:rPr>
          <w:rFonts w:ascii="Times New Roman" w:hAnsi="Times New Roman" w:cs="Times New Roman"/>
          <w:b/>
          <w:bCs/>
          <w:sz w:val="28"/>
          <w:szCs w:val="22"/>
        </w:rPr>
        <w:lastRenderedPageBreak/>
        <w:t xml:space="preserve">Table </w:t>
      </w:r>
      <w:r w:rsidR="001B5187">
        <w:rPr>
          <w:rFonts w:ascii="Times New Roman" w:hAnsi="Times New Roman" w:cs="Times New Roman"/>
          <w:b/>
          <w:bCs/>
          <w:sz w:val="28"/>
          <w:szCs w:val="22"/>
        </w:rPr>
        <w:t>I</w:t>
      </w:r>
      <w:r w:rsidRPr="001B5187">
        <w:rPr>
          <w:rFonts w:ascii="Times New Roman" w:hAnsi="Times New Roman" w:cs="Times New Roman"/>
          <w:sz w:val="28"/>
          <w:szCs w:val="22"/>
        </w:rPr>
        <w:t xml:space="preserve"> (annexed to the </w:t>
      </w:r>
      <w:r w:rsidR="00387525" w:rsidRPr="001B5187">
        <w:rPr>
          <w:rFonts w:ascii="Times New Roman" w:hAnsi="Times New Roman" w:cs="Times New Roman"/>
          <w:sz w:val="28"/>
          <w:szCs w:val="22"/>
        </w:rPr>
        <w:t>Minute by</w:t>
      </w:r>
      <w:r w:rsidRPr="001B5187">
        <w:rPr>
          <w:rFonts w:ascii="Times New Roman" w:hAnsi="Times New Roman" w:cs="Times New Roman"/>
          <w:sz w:val="28"/>
          <w:szCs w:val="22"/>
        </w:rPr>
        <w:t xml:space="preserve"> Shri Swaminathan)</w:t>
      </w:r>
    </w:p>
    <w:p w14:paraId="79A7B1F0" w14:textId="271A7DFD" w:rsidR="00D63BD2" w:rsidRDefault="00D63BD2" w:rsidP="00AA617D">
      <w:pPr>
        <w:pStyle w:val="NoSpacing"/>
        <w:jc w:val="center"/>
        <w:rPr>
          <w:rFonts w:ascii="Times New Roman" w:hAnsi="Times New Roman" w:cs="Times New Roman"/>
          <w:sz w:val="28"/>
          <w:szCs w:val="22"/>
        </w:rPr>
      </w:pPr>
      <w:r w:rsidRPr="001B5187">
        <w:rPr>
          <w:rFonts w:ascii="Times New Roman" w:hAnsi="Times New Roman" w:cs="Times New Roman"/>
          <w:sz w:val="28"/>
          <w:szCs w:val="22"/>
        </w:rPr>
        <w:t xml:space="preserve">Financial Assistance secured </w:t>
      </w:r>
      <w:r w:rsidR="00387525" w:rsidRPr="001B5187">
        <w:rPr>
          <w:rFonts w:ascii="Times New Roman" w:hAnsi="Times New Roman" w:cs="Times New Roman"/>
          <w:sz w:val="28"/>
          <w:szCs w:val="22"/>
        </w:rPr>
        <w:t>by</w:t>
      </w:r>
      <w:r w:rsidRPr="001B5187">
        <w:rPr>
          <w:rFonts w:ascii="Times New Roman" w:hAnsi="Times New Roman" w:cs="Times New Roman"/>
          <w:sz w:val="28"/>
          <w:szCs w:val="22"/>
        </w:rPr>
        <w:t xml:space="preserve"> States from Different Financing Agencies</w:t>
      </w:r>
    </w:p>
    <w:p w14:paraId="37B887C0" w14:textId="77777777" w:rsidR="005F3655" w:rsidRDefault="005F3655" w:rsidP="00AA617D">
      <w:pPr>
        <w:pStyle w:val="NoSpacing"/>
        <w:jc w:val="center"/>
        <w:rPr>
          <w:rFonts w:ascii="Times New Roman" w:hAnsi="Times New Roman" w:cs="Times New Roman"/>
          <w:sz w:val="28"/>
          <w:szCs w:val="22"/>
        </w:rPr>
      </w:pPr>
    </w:p>
    <w:tbl>
      <w:tblPr>
        <w:tblW w:w="14612" w:type="dxa"/>
        <w:tblLook w:val="04A0" w:firstRow="1" w:lastRow="0" w:firstColumn="1" w:lastColumn="0" w:noHBand="0" w:noVBand="1"/>
      </w:tblPr>
      <w:tblGrid>
        <w:gridCol w:w="1752"/>
        <w:gridCol w:w="2040"/>
        <w:gridCol w:w="2040"/>
        <w:gridCol w:w="2040"/>
        <w:gridCol w:w="1111"/>
        <w:gridCol w:w="1264"/>
        <w:gridCol w:w="1550"/>
        <w:gridCol w:w="1331"/>
        <w:gridCol w:w="1484"/>
      </w:tblGrid>
      <w:tr w:rsidR="005F3655" w:rsidRPr="005F3655" w14:paraId="04F97780" w14:textId="77777777" w:rsidTr="005F3655">
        <w:trPr>
          <w:trHeight w:val="20"/>
        </w:trPr>
        <w:tc>
          <w:tcPr>
            <w:tcW w:w="1752" w:type="dxa"/>
            <w:vMerge w:val="restart"/>
            <w:tcBorders>
              <w:top w:val="single" w:sz="4" w:space="0" w:color="auto"/>
              <w:left w:val="single" w:sz="4" w:space="0" w:color="auto"/>
              <w:bottom w:val="single" w:sz="4" w:space="0" w:color="auto"/>
              <w:right w:val="single" w:sz="4" w:space="0" w:color="auto"/>
            </w:tcBorders>
            <w:vAlign w:val="center"/>
            <w:hideMark/>
          </w:tcPr>
          <w:p w14:paraId="79E10EB8" w14:textId="77777777" w:rsidR="005F3655" w:rsidRPr="005F3655" w:rsidRDefault="005F3655" w:rsidP="005F3655">
            <w:pPr>
              <w:spacing w:after="0" w:line="240" w:lineRule="auto"/>
              <w:jc w:val="center"/>
              <w:rPr>
                <w:rFonts w:ascii="Times New Roman" w:eastAsia="Times New Roman" w:hAnsi="Times New Roman" w:cs="Times New Roman"/>
                <w:b/>
                <w:bCs/>
                <w:color w:val="000000"/>
                <w:kern w:val="0"/>
                <w:sz w:val="28"/>
                <w:szCs w:val="28"/>
                <w:lang w:eastAsia="en-IN"/>
                <w14:ligatures w14:val="none"/>
              </w:rPr>
            </w:pPr>
            <w:r w:rsidRPr="005F3655">
              <w:rPr>
                <w:rFonts w:ascii="Times New Roman" w:eastAsia="Times New Roman" w:hAnsi="Times New Roman" w:cs="Times New Roman"/>
                <w:b/>
                <w:bCs/>
                <w:color w:val="000000"/>
                <w:kern w:val="0"/>
                <w:sz w:val="28"/>
                <w:szCs w:val="28"/>
                <w:lang w:eastAsia="en-IN"/>
                <w14:ligatures w14:val="none"/>
              </w:rPr>
              <w:t>State</w:t>
            </w:r>
          </w:p>
        </w:tc>
        <w:tc>
          <w:tcPr>
            <w:tcW w:w="2040" w:type="dxa"/>
            <w:vMerge w:val="restart"/>
            <w:tcBorders>
              <w:top w:val="single" w:sz="4" w:space="0" w:color="auto"/>
              <w:left w:val="single" w:sz="4" w:space="0" w:color="auto"/>
              <w:bottom w:val="single" w:sz="4" w:space="0" w:color="auto"/>
              <w:right w:val="single" w:sz="4" w:space="0" w:color="auto"/>
            </w:tcBorders>
            <w:vAlign w:val="center"/>
            <w:hideMark/>
          </w:tcPr>
          <w:p w14:paraId="49FEA7C6" w14:textId="77777777" w:rsidR="005F3655" w:rsidRPr="005F3655" w:rsidRDefault="005F3655" w:rsidP="005F3655">
            <w:pPr>
              <w:spacing w:after="0" w:line="240" w:lineRule="auto"/>
              <w:jc w:val="center"/>
              <w:rPr>
                <w:rFonts w:ascii="Times New Roman" w:eastAsia="Times New Roman" w:hAnsi="Times New Roman" w:cs="Times New Roman"/>
                <w:b/>
                <w:bCs/>
                <w:color w:val="000000"/>
                <w:kern w:val="0"/>
                <w:sz w:val="28"/>
                <w:szCs w:val="28"/>
                <w:lang w:eastAsia="en-IN"/>
                <w14:ligatures w14:val="none"/>
              </w:rPr>
            </w:pPr>
            <w:r w:rsidRPr="005F3655">
              <w:rPr>
                <w:rFonts w:ascii="Times New Roman" w:eastAsia="Times New Roman" w:hAnsi="Times New Roman" w:cs="Times New Roman"/>
                <w:b/>
                <w:bCs/>
                <w:color w:val="000000"/>
                <w:kern w:val="0"/>
                <w:sz w:val="28"/>
                <w:szCs w:val="28"/>
                <w:lang w:eastAsia="en-IN"/>
                <w14:ligatures w14:val="none"/>
              </w:rPr>
              <w:t>Disbursement of assistance by Industrial Development Bank of India during July 1964–June 1968</w:t>
            </w:r>
          </w:p>
        </w:tc>
        <w:tc>
          <w:tcPr>
            <w:tcW w:w="2040" w:type="dxa"/>
            <w:vMerge w:val="restart"/>
            <w:tcBorders>
              <w:top w:val="single" w:sz="4" w:space="0" w:color="auto"/>
              <w:left w:val="single" w:sz="4" w:space="0" w:color="auto"/>
              <w:bottom w:val="single" w:sz="4" w:space="0" w:color="auto"/>
              <w:right w:val="single" w:sz="4" w:space="0" w:color="auto"/>
            </w:tcBorders>
            <w:vAlign w:val="center"/>
            <w:hideMark/>
          </w:tcPr>
          <w:p w14:paraId="49772561" w14:textId="77777777" w:rsidR="005F3655" w:rsidRPr="005F3655" w:rsidRDefault="005F3655" w:rsidP="005F3655">
            <w:pPr>
              <w:spacing w:after="0" w:line="240" w:lineRule="auto"/>
              <w:jc w:val="center"/>
              <w:rPr>
                <w:rFonts w:ascii="Times New Roman" w:eastAsia="Times New Roman" w:hAnsi="Times New Roman" w:cs="Times New Roman"/>
                <w:b/>
                <w:bCs/>
                <w:color w:val="000000"/>
                <w:kern w:val="0"/>
                <w:sz w:val="28"/>
                <w:szCs w:val="28"/>
                <w:lang w:eastAsia="en-IN"/>
                <w14:ligatures w14:val="none"/>
              </w:rPr>
            </w:pPr>
            <w:r w:rsidRPr="005F3655">
              <w:rPr>
                <w:rFonts w:ascii="Times New Roman" w:eastAsia="Times New Roman" w:hAnsi="Times New Roman" w:cs="Times New Roman"/>
                <w:b/>
                <w:bCs/>
                <w:color w:val="000000"/>
                <w:kern w:val="0"/>
                <w:sz w:val="28"/>
                <w:szCs w:val="28"/>
                <w:lang w:eastAsia="en-IN"/>
                <w14:ligatures w14:val="none"/>
              </w:rPr>
              <w:t>Disbursement of financial by Industrial Finance Corporation (India) up to 30th June 1968</w:t>
            </w:r>
          </w:p>
        </w:tc>
        <w:tc>
          <w:tcPr>
            <w:tcW w:w="2040" w:type="dxa"/>
            <w:vMerge w:val="restart"/>
            <w:tcBorders>
              <w:top w:val="single" w:sz="4" w:space="0" w:color="auto"/>
              <w:left w:val="single" w:sz="4" w:space="0" w:color="auto"/>
              <w:bottom w:val="single" w:sz="4" w:space="0" w:color="auto"/>
              <w:right w:val="single" w:sz="4" w:space="0" w:color="auto"/>
            </w:tcBorders>
            <w:vAlign w:val="center"/>
            <w:hideMark/>
          </w:tcPr>
          <w:p w14:paraId="7AE1DAE4" w14:textId="77777777" w:rsidR="005F3655" w:rsidRPr="005F3655" w:rsidRDefault="005F3655" w:rsidP="005F3655">
            <w:pPr>
              <w:spacing w:after="0" w:line="240" w:lineRule="auto"/>
              <w:jc w:val="center"/>
              <w:rPr>
                <w:rFonts w:ascii="Times New Roman" w:eastAsia="Times New Roman" w:hAnsi="Times New Roman" w:cs="Times New Roman"/>
                <w:b/>
                <w:bCs/>
                <w:color w:val="000000"/>
                <w:kern w:val="0"/>
                <w:sz w:val="28"/>
                <w:szCs w:val="28"/>
                <w:lang w:eastAsia="en-IN"/>
                <w14:ligatures w14:val="none"/>
              </w:rPr>
            </w:pPr>
            <w:r w:rsidRPr="005F3655">
              <w:rPr>
                <w:rFonts w:ascii="Times New Roman" w:eastAsia="Times New Roman" w:hAnsi="Times New Roman" w:cs="Times New Roman"/>
                <w:b/>
                <w:bCs/>
                <w:color w:val="000000"/>
                <w:kern w:val="0"/>
                <w:sz w:val="28"/>
                <w:szCs w:val="28"/>
                <w:lang w:eastAsia="en-IN"/>
                <w14:ligatures w14:val="none"/>
              </w:rPr>
              <w:t>Loans Disbursement by Industrial credit &amp; Investment corporation of India upto 31-12-1966 (net amount sanctioned)</w:t>
            </w:r>
          </w:p>
        </w:tc>
        <w:tc>
          <w:tcPr>
            <w:tcW w:w="2375" w:type="dxa"/>
            <w:gridSpan w:val="2"/>
            <w:tcBorders>
              <w:top w:val="single" w:sz="4" w:space="0" w:color="auto"/>
              <w:left w:val="nil"/>
              <w:bottom w:val="single" w:sz="4" w:space="0" w:color="auto"/>
              <w:right w:val="single" w:sz="4" w:space="0" w:color="auto"/>
            </w:tcBorders>
            <w:vAlign w:val="center"/>
            <w:hideMark/>
          </w:tcPr>
          <w:p w14:paraId="4597692B" w14:textId="77777777" w:rsidR="005F3655" w:rsidRPr="005F3655" w:rsidRDefault="005F3655" w:rsidP="005F3655">
            <w:pPr>
              <w:spacing w:after="0" w:line="240" w:lineRule="auto"/>
              <w:jc w:val="center"/>
              <w:rPr>
                <w:rFonts w:ascii="Times New Roman" w:eastAsia="Times New Roman" w:hAnsi="Times New Roman" w:cs="Times New Roman"/>
                <w:b/>
                <w:bCs/>
                <w:color w:val="000000"/>
                <w:kern w:val="0"/>
                <w:sz w:val="28"/>
                <w:szCs w:val="28"/>
                <w:lang w:eastAsia="en-IN"/>
                <w14:ligatures w14:val="none"/>
              </w:rPr>
            </w:pPr>
            <w:r w:rsidRPr="005F3655">
              <w:rPr>
                <w:rFonts w:ascii="Times New Roman" w:eastAsia="Times New Roman" w:hAnsi="Times New Roman" w:cs="Times New Roman"/>
                <w:b/>
                <w:bCs/>
                <w:color w:val="000000"/>
                <w:kern w:val="0"/>
                <w:sz w:val="28"/>
                <w:szCs w:val="28"/>
                <w:lang w:eastAsia="en-IN"/>
                <w14:ligatures w14:val="none"/>
              </w:rPr>
              <w:t>Central Investment on Industrial Projects</w:t>
            </w:r>
          </w:p>
        </w:tc>
        <w:tc>
          <w:tcPr>
            <w:tcW w:w="1550" w:type="dxa"/>
            <w:vMerge w:val="restart"/>
            <w:tcBorders>
              <w:top w:val="single" w:sz="4" w:space="0" w:color="auto"/>
              <w:left w:val="single" w:sz="4" w:space="0" w:color="auto"/>
              <w:bottom w:val="single" w:sz="4" w:space="0" w:color="auto"/>
              <w:right w:val="single" w:sz="4" w:space="0" w:color="auto"/>
            </w:tcBorders>
            <w:vAlign w:val="center"/>
            <w:hideMark/>
          </w:tcPr>
          <w:p w14:paraId="5CAA78B3" w14:textId="77777777" w:rsidR="005F3655" w:rsidRPr="005F3655" w:rsidRDefault="005F3655" w:rsidP="005F3655">
            <w:pPr>
              <w:spacing w:after="0" w:line="240" w:lineRule="auto"/>
              <w:jc w:val="center"/>
              <w:rPr>
                <w:rFonts w:ascii="Times New Roman" w:eastAsia="Times New Roman" w:hAnsi="Times New Roman" w:cs="Times New Roman"/>
                <w:b/>
                <w:bCs/>
                <w:color w:val="000000"/>
                <w:kern w:val="0"/>
                <w:sz w:val="28"/>
                <w:szCs w:val="28"/>
                <w:lang w:eastAsia="en-IN"/>
                <w14:ligatures w14:val="none"/>
              </w:rPr>
            </w:pPr>
            <w:r w:rsidRPr="005F3655">
              <w:rPr>
                <w:rFonts w:ascii="Times New Roman" w:eastAsia="Times New Roman" w:hAnsi="Times New Roman" w:cs="Times New Roman"/>
                <w:b/>
                <w:bCs/>
                <w:color w:val="000000"/>
                <w:kern w:val="0"/>
                <w:sz w:val="28"/>
                <w:szCs w:val="28"/>
                <w:lang w:eastAsia="en-IN"/>
                <w14:ligatures w14:val="none"/>
              </w:rPr>
              <w:t>Licences issued under Industries (Dev. &amp; Reg.) Act</w:t>
            </w:r>
          </w:p>
        </w:tc>
        <w:tc>
          <w:tcPr>
            <w:tcW w:w="2815" w:type="dxa"/>
            <w:gridSpan w:val="2"/>
            <w:tcBorders>
              <w:top w:val="single" w:sz="4" w:space="0" w:color="auto"/>
              <w:left w:val="nil"/>
              <w:bottom w:val="single" w:sz="4" w:space="0" w:color="auto"/>
              <w:right w:val="single" w:sz="4" w:space="0" w:color="auto"/>
            </w:tcBorders>
            <w:vAlign w:val="center"/>
            <w:hideMark/>
          </w:tcPr>
          <w:p w14:paraId="12E56251" w14:textId="5A450A02" w:rsidR="005F3655" w:rsidRPr="005F3655" w:rsidRDefault="005F3655" w:rsidP="005F3655">
            <w:pPr>
              <w:spacing w:after="0" w:line="240" w:lineRule="auto"/>
              <w:jc w:val="center"/>
              <w:rPr>
                <w:rFonts w:ascii="Times New Roman" w:eastAsia="Times New Roman" w:hAnsi="Times New Roman" w:cs="Times New Roman"/>
                <w:b/>
                <w:bCs/>
                <w:color w:val="000000"/>
                <w:kern w:val="0"/>
                <w:sz w:val="28"/>
                <w:szCs w:val="28"/>
                <w:lang w:eastAsia="en-IN"/>
                <w14:ligatures w14:val="none"/>
              </w:rPr>
            </w:pPr>
            <w:r w:rsidRPr="005F3655">
              <w:rPr>
                <w:rFonts w:ascii="Times New Roman" w:eastAsia="Times New Roman" w:hAnsi="Times New Roman" w:cs="Times New Roman"/>
                <w:b/>
                <w:bCs/>
                <w:color w:val="000000"/>
                <w:kern w:val="0"/>
                <w:sz w:val="28"/>
                <w:szCs w:val="28"/>
                <w:lang w:eastAsia="en-IN"/>
                <w14:ligatures w14:val="none"/>
              </w:rPr>
              <w:t xml:space="preserve">Banking </w:t>
            </w:r>
            <w:r w:rsidR="00A55F3A">
              <w:rPr>
                <w:rFonts w:ascii="Times New Roman" w:eastAsia="Times New Roman" w:hAnsi="Times New Roman" w:cs="Times New Roman"/>
                <w:b/>
                <w:bCs/>
                <w:color w:val="000000"/>
                <w:kern w:val="0"/>
                <w:sz w:val="28"/>
                <w:szCs w:val="28"/>
                <w:lang w:eastAsia="en-IN"/>
                <w14:ligatures w14:val="none"/>
              </w:rPr>
              <w:t>operations</w:t>
            </w:r>
            <w:r w:rsidRPr="005F3655">
              <w:rPr>
                <w:rFonts w:ascii="Times New Roman" w:eastAsia="Times New Roman" w:hAnsi="Times New Roman" w:cs="Times New Roman"/>
                <w:b/>
                <w:bCs/>
                <w:color w:val="000000"/>
                <w:kern w:val="0"/>
                <w:sz w:val="28"/>
                <w:szCs w:val="28"/>
                <w:lang w:eastAsia="en-IN"/>
                <w14:ligatures w14:val="none"/>
              </w:rPr>
              <w:t xml:space="preserve"> (per capita)</w:t>
            </w:r>
          </w:p>
        </w:tc>
      </w:tr>
      <w:tr w:rsidR="005F3655" w:rsidRPr="005F3655" w14:paraId="1BFC3B0D" w14:textId="77777777" w:rsidTr="005F3655">
        <w:trPr>
          <w:trHeight w:val="499"/>
        </w:trPr>
        <w:tc>
          <w:tcPr>
            <w:tcW w:w="1752" w:type="dxa"/>
            <w:vMerge/>
            <w:tcBorders>
              <w:top w:val="single" w:sz="4" w:space="0" w:color="auto"/>
              <w:left w:val="single" w:sz="4" w:space="0" w:color="auto"/>
              <w:bottom w:val="single" w:sz="4" w:space="0" w:color="auto"/>
              <w:right w:val="single" w:sz="4" w:space="0" w:color="auto"/>
            </w:tcBorders>
            <w:vAlign w:val="center"/>
            <w:hideMark/>
          </w:tcPr>
          <w:p w14:paraId="716A1435" w14:textId="77777777" w:rsidR="005F3655" w:rsidRPr="005F3655" w:rsidRDefault="005F3655" w:rsidP="005F3655">
            <w:pPr>
              <w:spacing w:after="0" w:line="240" w:lineRule="auto"/>
              <w:rPr>
                <w:rFonts w:ascii="Times New Roman" w:eastAsia="Times New Roman" w:hAnsi="Times New Roman" w:cs="Times New Roman"/>
                <w:b/>
                <w:bCs/>
                <w:color w:val="000000"/>
                <w:kern w:val="0"/>
                <w:sz w:val="28"/>
                <w:szCs w:val="28"/>
                <w:lang w:eastAsia="en-IN"/>
                <w14:ligatures w14:val="none"/>
              </w:rPr>
            </w:pPr>
          </w:p>
        </w:tc>
        <w:tc>
          <w:tcPr>
            <w:tcW w:w="2040" w:type="dxa"/>
            <w:vMerge/>
            <w:tcBorders>
              <w:top w:val="single" w:sz="4" w:space="0" w:color="auto"/>
              <w:left w:val="single" w:sz="4" w:space="0" w:color="auto"/>
              <w:bottom w:val="single" w:sz="4" w:space="0" w:color="auto"/>
              <w:right w:val="single" w:sz="4" w:space="0" w:color="auto"/>
            </w:tcBorders>
            <w:vAlign w:val="center"/>
            <w:hideMark/>
          </w:tcPr>
          <w:p w14:paraId="0D9623A0" w14:textId="77777777" w:rsidR="005F3655" w:rsidRPr="005F3655" w:rsidRDefault="005F3655" w:rsidP="005F3655">
            <w:pPr>
              <w:spacing w:after="0" w:line="240" w:lineRule="auto"/>
              <w:rPr>
                <w:rFonts w:ascii="Times New Roman" w:eastAsia="Times New Roman" w:hAnsi="Times New Roman" w:cs="Times New Roman"/>
                <w:b/>
                <w:bCs/>
                <w:color w:val="000000"/>
                <w:kern w:val="0"/>
                <w:sz w:val="28"/>
                <w:szCs w:val="28"/>
                <w:lang w:eastAsia="en-IN"/>
                <w14:ligatures w14:val="none"/>
              </w:rPr>
            </w:pPr>
          </w:p>
        </w:tc>
        <w:tc>
          <w:tcPr>
            <w:tcW w:w="2040" w:type="dxa"/>
            <w:vMerge/>
            <w:tcBorders>
              <w:top w:val="single" w:sz="4" w:space="0" w:color="auto"/>
              <w:left w:val="single" w:sz="4" w:space="0" w:color="auto"/>
              <w:bottom w:val="single" w:sz="4" w:space="0" w:color="auto"/>
              <w:right w:val="single" w:sz="4" w:space="0" w:color="auto"/>
            </w:tcBorders>
            <w:vAlign w:val="center"/>
            <w:hideMark/>
          </w:tcPr>
          <w:p w14:paraId="53E17A08" w14:textId="77777777" w:rsidR="005F3655" w:rsidRPr="005F3655" w:rsidRDefault="005F3655" w:rsidP="005F3655">
            <w:pPr>
              <w:spacing w:after="0" w:line="240" w:lineRule="auto"/>
              <w:rPr>
                <w:rFonts w:ascii="Times New Roman" w:eastAsia="Times New Roman" w:hAnsi="Times New Roman" w:cs="Times New Roman"/>
                <w:b/>
                <w:bCs/>
                <w:color w:val="000000"/>
                <w:kern w:val="0"/>
                <w:sz w:val="28"/>
                <w:szCs w:val="28"/>
                <w:lang w:eastAsia="en-IN"/>
                <w14:ligatures w14:val="none"/>
              </w:rPr>
            </w:pPr>
          </w:p>
        </w:tc>
        <w:tc>
          <w:tcPr>
            <w:tcW w:w="2040" w:type="dxa"/>
            <w:vMerge/>
            <w:tcBorders>
              <w:top w:val="single" w:sz="4" w:space="0" w:color="auto"/>
              <w:left w:val="single" w:sz="4" w:space="0" w:color="auto"/>
              <w:bottom w:val="single" w:sz="4" w:space="0" w:color="auto"/>
              <w:right w:val="single" w:sz="4" w:space="0" w:color="auto"/>
            </w:tcBorders>
            <w:vAlign w:val="center"/>
            <w:hideMark/>
          </w:tcPr>
          <w:p w14:paraId="0C1354A2" w14:textId="77777777" w:rsidR="005F3655" w:rsidRPr="005F3655" w:rsidRDefault="005F3655" w:rsidP="005F3655">
            <w:pPr>
              <w:spacing w:after="0" w:line="240" w:lineRule="auto"/>
              <w:rPr>
                <w:rFonts w:ascii="Times New Roman" w:eastAsia="Times New Roman" w:hAnsi="Times New Roman" w:cs="Times New Roman"/>
                <w:b/>
                <w:bCs/>
                <w:color w:val="000000"/>
                <w:kern w:val="0"/>
                <w:sz w:val="28"/>
                <w:szCs w:val="28"/>
                <w:lang w:eastAsia="en-IN"/>
                <w14:ligatures w14:val="none"/>
              </w:rPr>
            </w:pPr>
          </w:p>
        </w:tc>
        <w:tc>
          <w:tcPr>
            <w:tcW w:w="1111" w:type="dxa"/>
            <w:vMerge w:val="restart"/>
            <w:tcBorders>
              <w:top w:val="nil"/>
              <w:left w:val="single" w:sz="4" w:space="0" w:color="auto"/>
              <w:bottom w:val="single" w:sz="4" w:space="0" w:color="auto"/>
              <w:right w:val="single" w:sz="4" w:space="0" w:color="auto"/>
            </w:tcBorders>
            <w:vAlign w:val="center"/>
            <w:hideMark/>
          </w:tcPr>
          <w:p w14:paraId="5CA28884" w14:textId="77777777" w:rsidR="005F3655" w:rsidRPr="005F3655" w:rsidRDefault="005F3655" w:rsidP="005F3655">
            <w:pPr>
              <w:spacing w:after="0" w:line="240" w:lineRule="auto"/>
              <w:jc w:val="center"/>
              <w:rPr>
                <w:rFonts w:ascii="Times New Roman" w:eastAsia="Times New Roman" w:hAnsi="Times New Roman" w:cs="Times New Roman"/>
                <w:b/>
                <w:bCs/>
                <w:color w:val="000000"/>
                <w:kern w:val="0"/>
                <w:sz w:val="28"/>
                <w:szCs w:val="28"/>
                <w:lang w:eastAsia="en-IN"/>
                <w14:ligatures w14:val="none"/>
              </w:rPr>
            </w:pPr>
            <w:r w:rsidRPr="005F3655">
              <w:rPr>
                <w:rFonts w:ascii="Times New Roman" w:eastAsia="Times New Roman" w:hAnsi="Times New Roman" w:cs="Times New Roman"/>
                <w:b/>
                <w:bCs/>
                <w:color w:val="000000"/>
                <w:kern w:val="0"/>
                <w:sz w:val="28"/>
                <w:szCs w:val="28"/>
                <w:lang w:eastAsia="en-IN"/>
                <w14:ligatures w14:val="none"/>
              </w:rPr>
              <w:t>Total 1951-68</w:t>
            </w:r>
          </w:p>
        </w:tc>
        <w:tc>
          <w:tcPr>
            <w:tcW w:w="1263" w:type="dxa"/>
            <w:vMerge w:val="restart"/>
            <w:tcBorders>
              <w:top w:val="nil"/>
              <w:left w:val="single" w:sz="4" w:space="0" w:color="auto"/>
              <w:bottom w:val="single" w:sz="4" w:space="0" w:color="auto"/>
              <w:right w:val="single" w:sz="4" w:space="0" w:color="auto"/>
            </w:tcBorders>
            <w:vAlign w:val="center"/>
            <w:hideMark/>
          </w:tcPr>
          <w:p w14:paraId="625C1C99" w14:textId="77777777" w:rsidR="005F3655" w:rsidRPr="005F3655" w:rsidRDefault="005F3655" w:rsidP="005F3655">
            <w:pPr>
              <w:spacing w:after="0" w:line="240" w:lineRule="auto"/>
              <w:jc w:val="center"/>
              <w:rPr>
                <w:rFonts w:ascii="Times New Roman" w:eastAsia="Times New Roman" w:hAnsi="Times New Roman" w:cs="Times New Roman"/>
                <w:b/>
                <w:bCs/>
                <w:color w:val="000000"/>
                <w:kern w:val="0"/>
                <w:sz w:val="28"/>
                <w:szCs w:val="28"/>
                <w:lang w:eastAsia="en-IN"/>
                <w14:ligatures w14:val="none"/>
              </w:rPr>
            </w:pPr>
            <w:r w:rsidRPr="005F3655">
              <w:rPr>
                <w:rFonts w:ascii="Times New Roman" w:eastAsia="Times New Roman" w:hAnsi="Times New Roman" w:cs="Times New Roman"/>
                <w:b/>
                <w:bCs/>
                <w:color w:val="000000"/>
                <w:kern w:val="0"/>
                <w:sz w:val="28"/>
                <w:szCs w:val="28"/>
                <w:lang w:eastAsia="en-IN"/>
                <w14:ligatures w14:val="none"/>
              </w:rPr>
              <w:t xml:space="preserve">Balance to made </w:t>
            </w:r>
          </w:p>
        </w:tc>
        <w:tc>
          <w:tcPr>
            <w:tcW w:w="1550" w:type="dxa"/>
            <w:vMerge/>
            <w:tcBorders>
              <w:top w:val="single" w:sz="4" w:space="0" w:color="auto"/>
              <w:left w:val="single" w:sz="4" w:space="0" w:color="auto"/>
              <w:bottom w:val="single" w:sz="4" w:space="0" w:color="auto"/>
              <w:right w:val="single" w:sz="4" w:space="0" w:color="auto"/>
            </w:tcBorders>
            <w:vAlign w:val="center"/>
            <w:hideMark/>
          </w:tcPr>
          <w:p w14:paraId="02C201F6" w14:textId="77777777" w:rsidR="005F3655" w:rsidRPr="005F3655" w:rsidRDefault="005F3655" w:rsidP="005F3655">
            <w:pPr>
              <w:spacing w:after="0" w:line="240" w:lineRule="auto"/>
              <w:rPr>
                <w:rFonts w:ascii="Times New Roman" w:eastAsia="Times New Roman" w:hAnsi="Times New Roman" w:cs="Times New Roman"/>
                <w:b/>
                <w:bCs/>
                <w:color w:val="000000"/>
                <w:kern w:val="0"/>
                <w:sz w:val="28"/>
                <w:szCs w:val="28"/>
                <w:lang w:eastAsia="en-IN"/>
                <w14:ligatures w14:val="none"/>
              </w:rPr>
            </w:pPr>
          </w:p>
        </w:tc>
        <w:tc>
          <w:tcPr>
            <w:tcW w:w="1331" w:type="dxa"/>
            <w:vMerge w:val="restart"/>
            <w:tcBorders>
              <w:top w:val="nil"/>
              <w:left w:val="single" w:sz="4" w:space="0" w:color="auto"/>
              <w:bottom w:val="single" w:sz="4" w:space="0" w:color="auto"/>
              <w:right w:val="single" w:sz="4" w:space="0" w:color="auto"/>
            </w:tcBorders>
            <w:vAlign w:val="center"/>
            <w:hideMark/>
          </w:tcPr>
          <w:p w14:paraId="67D1EED1" w14:textId="0F67A7B6" w:rsidR="005F3655" w:rsidRPr="005F3655" w:rsidRDefault="005F3655" w:rsidP="005F3655">
            <w:pPr>
              <w:spacing w:after="0" w:line="240" w:lineRule="auto"/>
              <w:jc w:val="center"/>
              <w:rPr>
                <w:rFonts w:ascii="Times New Roman" w:eastAsia="Times New Roman" w:hAnsi="Times New Roman" w:cs="Times New Roman"/>
                <w:b/>
                <w:bCs/>
                <w:color w:val="000000"/>
                <w:kern w:val="0"/>
                <w:sz w:val="28"/>
                <w:szCs w:val="28"/>
                <w:lang w:eastAsia="en-IN"/>
                <w14:ligatures w14:val="none"/>
              </w:rPr>
            </w:pPr>
            <w:r w:rsidRPr="005F3655">
              <w:rPr>
                <w:rFonts w:ascii="Times New Roman" w:eastAsia="Times New Roman" w:hAnsi="Times New Roman" w:cs="Times New Roman"/>
                <w:b/>
                <w:bCs/>
                <w:color w:val="000000"/>
                <w:kern w:val="0"/>
                <w:sz w:val="28"/>
                <w:szCs w:val="28"/>
                <w:lang w:eastAsia="en-IN"/>
                <w14:ligatures w14:val="none"/>
              </w:rPr>
              <w:t xml:space="preserve">Deposits 1966 </w:t>
            </w:r>
          </w:p>
        </w:tc>
        <w:tc>
          <w:tcPr>
            <w:tcW w:w="1483" w:type="dxa"/>
            <w:vMerge w:val="restart"/>
            <w:tcBorders>
              <w:top w:val="nil"/>
              <w:left w:val="single" w:sz="4" w:space="0" w:color="auto"/>
              <w:bottom w:val="single" w:sz="4" w:space="0" w:color="auto"/>
              <w:right w:val="single" w:sz="4" w:space="0" w:color="auto"/>
            </w:tcBorders>
            <w:vAlign w:val="center"/>
            <w:hideMark/>
          </w:tcPr>
          <w:p w14:paraId="7BC3A775" w14:textId="1699B4FF" w:rsidR="005F3655" w:rsidRPr="005F3655" w:rsidRDefault="005F3655" w:rsidP="005F3655">
            <w:pPr>
              <w:spacing w:after="0" w:line="240" w:lineRule="auto"/>
              <w:jc w:val="center"/>
              <w:rPr>
                <w:rFonts w:ascii="Times New Roman" w:eastAsia="Times New Roman" w:hAnsi="Times New Roman" w:cs="Times New Roman"/>
                <w:b/>
                <w:bCs/>
                <w:color w:val="000000"/>
                <w:kern w:val="0"/>
                <w:sz w:val="28"/>
                <w:szCs w:val="28"/>
                <w:lang w:eastAsia="en-IN"/>
                <w14:ligatures w14:val="none"/>
              </w:rPr>
            </w:pPr>
            <w:r w:rsidRPr="005F3655">
              <w:rPr>
                <w:rFonts w:ascii="Times New Roman" w:eastAsia="Times New Roman" w:hAnsi="Times New Roman" w:cs="Times New Roman"/>
                <w:b/>
                <w:bCs/>
                <w:color w:val="000000"/>
                <w:kern w:val="0"/>
                <w:sz w:val="28"/>
                <w:szCs w:val="28"/>
                <w:lang w:eastAsia="en-IN"/>
                <w14:ligatures w14:val="none"/>
              </w:rPr>
              <w:t xml:space="preserve">Advances 1966 </w:t>
            </w:r>
          </w:p>
        </w:tc>
      </w:tr>
      <w:tr w:rsidR="005F3655" w:rsidRPr="005F3655" w14:paraId="4568659C" w14:textId="77777777" w:rsidTr="005F3655">
        <w:trPr>
          <w:trHeight w:val="499"/>
        </w:trPr>
        <w:tc>
          <w:tcPr>
            <w:tcW w:w="1752" w:type="dxa"/>
            <w:vMerge/>
            <w:tcBorders>
              <w:top w:val="single" w:sz="4" w:space="0" w:color="auto"/>
              <w:left w:val="single" w:sz="4" w:space="0" w:color="auto"/>
              <w:bottom w:val="single" w:sz="4" w:space="0" w:color="auto"/>
              <w:right w:val="single" w:sz="4" w:space="0" w:color="auto"/>
            </w:tcBorders>
            <w:vAlign w:val="center"/>
            <w:hideMark/>
          </w:tcPr>
          <w:p w14:paraId="36722BD4" w14:textId="77777777" w:rsidR="005F3655" w:rsidRPr="005F3655" w:rsidRDefault="005F3655" w:rsidP="005F3655">
            <w:pPr>
              <w:spacing w:after="0" w:line="240" w:lineRule="auto"/>
              <w:rPr>
                <w:rFonts w:ascii="Times New Roman" w:eastAsia="Times New Roman" w:hAnsi="Times New Roman" w:cs="Times New Roman"/>
                <w:b/>
                <w:bCs/>
                <w:color w:val="000000"/>
                <w:kern w:val="0"/>
                <w:sz w:val="28"/>
                <w:szCs w:val="28"/>
                <w:lang w:eastAsia="en-IN"/>
                <w14:ligatures w14:val="none"/>
              </w:rPr>
            </w:pPr>
          </w:p>
        </w:tc>
        <w:tc>
          <w:tcPr>
            <w:tcW w:w="2040" w:type="dxa"/>
            <w:vMerge/>
            <w:tcBorders>
              <w:top w:val="single" w:sz="4" w:space="0" w:color="auto"/>
              <w:left w:val="single" w:sz="4" w:space="0" w:color="auto"/>
              <w:bottom w:val="single" w:sz="4" w:space="0" w:color="auto"/>
              <w:right w:val="single" w:sz="4" w:space="0" w:color="auto"/>
            </w:tcBorders>
            <w:vAlign w:val="center"/>
            <w:hideMark/>
          </w:tcPr>
          <w:p w14:paraId="55083024" w14:textId="77777777" w:rsidR="005F3655" w:rsidRPr="005F3655" w:rsidRDefault="005F3655" w:rsidP="005F3655">
            <w:pPr>
              <w:spacing w:after="0" w:line="240" w:lineRule="auto"/>
              <w:rPr>
                <w:rFonts w:ascii="Times New Roman" w:eastAsia="Times New Roman" w:hAnsi="Times New Roman" w:cs="Times New Roman"/>
                <w:b/>
                <w:bCs/>
                <w:color w:val="000000"/>
                <w:kern w:val="0"/>
                <w:sz w:val="28"/>
                <w:szCs w:val="28"/>
                <w:lang w:eastAsia="en-IN"/>
                <w14:ligatures w14:val="none"/>
              </w:rPr>
            </w:pPr>
          </w:p>
        </w:tc>
        <w:tc>
          <w:tcPr>
            <w:tcW w:w="2040" w:type="dxa"/>
            <w:vMerge/>
            <w:tcBorders>
              <w:top w:val="single" w:sz="4" w:space="0" w:color="auto"/>
              <w:left w:val="single" w:sz="4" w:space="0" w:color="auto"/>
              <w:bottom w:val="single" w:sz="4" w:space="0" w:color="auto"/>
              <w:right w:val="single" w:sz="4" w:space="0" w:color="auto"/>
            </w:tcBorders>
            <w:vAlign w:val="center"/>
            <w:hideMark/>
          </w:tcPr>
          <w:p w14:paraId="362BC3E6" w14:textId="77777777" w:rsidR="005F3655" w:rsidRPr="005F3655" w:rsidRDefault="005F3655" w:rsidP="005F3655">
            <w:pPr>
              <w:spacing w:after="0" w:line="240" w:lineRule="auto"/>
              <w:rPr>
                <w:rFonts w:ascii="Times New Roman" w:eastAsia="Times New Roman" w:hAnsi="Times New Roman" w:cs="Times New Roman"/>
                <w:b/>
                <w:bCs/>
                <w:color w:val="000000"/>
                <w:kern w:val="0"/>
                <w:sz w:val="28"/>
                <w:szCs w:val="28"/>
                <w:lang w:eastAsia="en-IN"/>
                <w14:ligatures w14:val="none"/>
              </w:rPr>
            </w:pPr>
          </w:p>
        </w:tc>
        <w:tc>
          <w:tcPr>
            <w:tcW w:w="2040" w:type="dxa"/>
            <w:vMerge/>
            <w:tcBorders>
              <w:top w:val="single" w:sz="4" w:space="0" w:color="auto"/>
              <w:left w:val="single" w:sz="4" w:space="0" w:color="auto"/>
              <w:bottom w:val="single" w:sz="4" w:space="0" w:color="auto"/>
              <w:right w:val="single" w:sz="4" w:space="0" w:color="auto"/>
            </w:tcBorders>
            <w:vAlign w:val="center"/>
            <w:hideMark/>
          </w:tcPr>
          <w:p w14:paraId="48071AD5" w14:textId="77777777" w:rsidR="005F3655" w:rsidRPr="005F3655" w:rsidRDefault="005F3655" w:rsidP="005F3655">
            <w:pPr>
              <w:spacing w:after="0" w:line="240" w:lineRule="auto"/>
              <w:rPr>
                <w:rFonts w:ascii="Times New Roman" w:eastAsia="Times New Roman" w:hAnsi="Times New Roman" w:cs="Times New Roman"/>
                <w:b/>
                <w:bCs/>
                <w:color w:val="000000"/>
                <w:kern w:val="0"/>
                <w:sz w:val="28"/>
                <w:szCs w:val="28"/>
                <w:lang w:eastAsia="en-IN"/>
                <w14:ligatures w14:val="none"/>
              </w:rPr>
            </w:pPr>
          </w:p>
        </w:tc>
        <w:tc>
          <w:tcPr>
            <w:tcW w:w="1111" w:type="dxa"/>
            <w:vMerge/>
            <w:tcBorders>
              <w:top w:val="nil"/>
              <w:left w:val="single" w:sz="4" w:space="0" w:color="auto"/>
              <w:bottom w:val="single" w:sz="4" w:space="0" w:color="auto"/>
              <w:right w:val="single" w:sz="4" w:space="0" w:color="auto"/>
            </w:tcBorders>
            <w:vAlign w:val="center"/>
            <w:hideMark/>
          </w:tcPr>
          <w:p w14:paraId="539D33C5" w14:textId="77777777" w:rsidR="005F3655" w:rsidRPr="005F3655" w:rsidRDefault="005F3655" w:rsidP="005F3655">
            <w:pPr>
              <w:spacing w:after="0" w:line="240" w:lineRule="auto"/>
              <w:rPr>
                <w:rFonts w:ascii="Times New Roman" w:eastAsia="Times New Roman" w:hAnsi="Times New Roman" w:cs="Times New Roman"/>
                <w:b/>
                <w:bCs/>
                <w:color w:val="000000"/>
                <w:kern w:val="0"/>
                <w:sz w:val="28"/>
                <w:szCs w:val="28"/>
                <w:lang w:eastAsia="en-IN"/>
                <w14:ligatures w14:val="none"/>
              </w:rPr>
            </w:pPr>
          </w:p>
        </w:tc>
        <w:tc>
          <w:tcPr>
            <w:tcW w:w="1263" w:type="dxa"/>
            <w:vMerge/>
            <w:tcBorders>
              <w:top w:val="nil"/>
              <w:left w:val="single" w:sz="4" w:space="0" w:color="auto"/>
              <w:bottom w:val="single" w:sz="4" w:space="0" w:color="auto"/>
              <w:right w:val="single" w:sz="4" w:space="0" w:color="auto"/>
            </w:tcBorders>
            <w:vAlign w:val="center"/>
            <w:hideMark/>
          </w:tcPr>
          <w:p w14:paraId="50D7F6F7" w14:textId="77777777" w:rsidR="005F3655" w:rsidRPr="005F3655" w:rsidRDefault="005F3655" w:rsidP="005F3655">
            <w:pPr>
              <w:spacing w:after="0" w:line="240" w:lineRule="auto"/>
              <w:rPr>
                <w:rFonts w:ascii="Times New Roman" w:eastAsia="Times New Roman" w:hAnsi="Times New Roman" w:cs="Times New Roman"/>
                <w:b/>
                <w:bCs/>
                <w:color w:val="000000"/>
                <w:kern w:val="0"/>
                <w:sz w:val="28"/>
                <w:szCs w:val="28"/>
                <w:lang w:eastAsia="en-IN"/>
                <w14:ligatures w14:val="none"/>
              </w:rPr>
            </w:pPr>
          </w:p>
        </w:tc>
        <w:tc>
          <w:tcPr>
            <w:tcW w:w="1550" w:type="dxa"/>
            <w:vMerge/>
            <w:tcBorders>
              <w:top w:val="single" w:sz="4" w:space="0" w:color="auto"/>
              <w:left w:val="single" w:sz="4" w:space="0" w:color="auto"/>
              <w:bottom w:val="single" w:sz="4" w:space="0" w:color="auto"/>
              <w:right w:val="single" w:sz="4" w:space="0" w:color="auto"/>
            </w:tcBorders>
            <w:vAlign w:val="center"/>
            <w:hideMark/>
          </w:tcPr>
          <w:p w14:paraId="082A38E0" w14:textId="77777777" w:rsidR="005F3655" w:rsidRPr="005F3655" w:rsidRDefault="005F3655" w:rsidP="005F3655">
            <w:pPr>
              <w:spacing w:after="0" w:line="240" w:lineRule="auto"/>
              <w:rPr>
                <w:rFonts w:ascii="Times New Roman" w:eastAsia="Times New Roman" w:hAnsi="Times New Roman" w:cs="Times New Roman"/>
                <w:b/>
                <w:bCs/>
                <w:color w:val="000000"/>
                <w:kern w:val="0"/>
                <w:sz w:val="28"/>
                <w:szCs w:val="28"/>
                <w:lang w:eastAsia="en-IN"/>
                <w14:ligatures w14:val="none"/>
              </w:rPr>
            </w:pPr>
          </w:p>
        </w:tc>
        <w:tc>
          <w:tcPr>
            <w:tcW w:w="1331" w:type="dxa"/>
            <w:vMerge/>
            <w:tcBorders>
              <w:top w:val="nil"/>
              <w:left w:val="single" w:sz="4" w:space="0" w:color="auto"/>
              <w:bottom w:val="single" w:sz="4" w:space="0" w:color="auto"/>
              <w:right w:val="single" w:sz="4" w:space="0" w:color="auto"/>
            </w:tcBorders>
            <w:vAlign w:val="center"/>
            <w:hideMark/>
          </w:tcPr>
          <w:p w14:paraId="56D4A65E" w14:textId="77777777" w:rsidR="005F3655" w:rsidRPr="005F3655" w:rsidRDefault="005F3655" w:rsidP="005F3655">
            <w:pPr>
              <w:spacing w:after="0" w:line="240" w:lineRule="auto"/>
              <w:rPr>
                <w:rFonts w:ascii="Times New Roman" w:eastAsia="Times New Roman" w:hAnsi="Times New Roman" w:cs="Times New Roman"/>
                <w:b/>
                <w:bCs/>
                <w:color w:val="000000"/>
                <w:kern w:val="0"/>
                <w:sz w:val="28"/>
                <w:szCs w:val="28"/>
                <w:lang w:eastAsia="en-IN"/>
                <w14:ligatures w14:val="none"/>
              </w:rPr>
            </w:pPr>
          </w:p>
        </w:tc>
        <w:tc>
          <w:tcPr>
            <w:tcW w:w="1483" w:type="dxa"/>
            <w:vMerge/>
            <w:tcBorders>
              <w:top w:val="nil"/>
              <w:left w:val="single" w:sz="4" w:space="0" w:color="auto"/>
              <w:bottom w:val="single" w:sz="4" w:space="0" w:color="auto"/>
              <w:right w:val="single" w:sz="4" w:space="0" w:color="auto"/>
            </w:tcBorders>
            <w:vAlign w:val="center"/>
            <w:hideMark/>
          </w:tcPr>
          <w:p w14:paraId="36FF3872" w14:textId="77777777" w:rsidR="005F3655" w:rsidRPr="005F3655" w:rsidRDefault="005F3655" w:rsidP="005F3655">
            <w:pPr>
              <w:spacing w:after="0" w:line="240" w:lineRule="auto"/>
              <w:rPr>
                <w:rFonts w:ascii="Times New Roman" w:eastAsia="Times New Roman" w:hAnsi="Times New Roman" w:cs="Times New Roman"/>
                <w:b/>
                <w:bCs/>
                <w:color w:val="000000"/>
                <w:kern w:val="0"/>
                <w:sz w:val="28"/>
                <w:szCs w:val="28"/>
                <w:lang w:eastAsia="en-IN"/>
                <w14:ligatures w14:val="none"/>
              </w:rPr>
            </w:pPr>
          </w:p>
        </w:tc>
      </w:tr>
      <w:tr w:rsidR="005F3655" w:rsidRPr="005F3655" w14:paraId="76F0BF3A" w14:textId="77777777" w:rsidTr="005F3655">
        <w:trPr>
          <w:trHeight w:val="20"/>
        </w:trPr>
        <w:tc>
          <w:tcPr>
            <w:tcW w:w="1752" w:type="dxa"/>
            <w:tcBorders>
              <w:top w:val="nil"/>
              <w:left w:val="single" w:sz="4" w:space="0" w:color="auto"/>
              <w:bottom w:val="single" w:sz="4" w:space="0" w:color="auto"/>
              <w:right w:val="single" w:sz="4" w:space="0" w:color="auto"/>
            </w:tcBorders>
            <w:vAlign w:val="center"/>
            <w:hideMark/>
          </w:tcPr>
          <w:p w14:paraId="510EEA9C" w14:textId="77777777" w:rsidR="005F3655" w:rsidRPr="005F3655" w:rsidRDefault="005F3655" w:rsidP="005F3655">
            <w:pPr>
              <w:spacing w:after="0" w:line="240" w:lineRule="auto"/>
              <w:jc w:val="center"/>
              <w:rPr>
                <w:rFonts w:ascii="Times New Roman" w:eastAsia="Times New Roman" w:hAnsi="Times New Roman" w:cs="Times New Roman"/>
                <w:b/>
                <w:bCs/>
                <w:color w:val="000000"/>
                <w:kern w:val="0"/>
                <w:sz w:val="28"/>
                <w:szCs w:val="28"/>
                <w:lang w:eastAsia="en-IN"/>
                <w14:ligatures w14:val="none"/>
              </w:rPr>
            </w:pPr>
            <w:r w:rsidRPr="005F3655">
              <w:rPr>
                <w:rFonts w:ascii="Times New Roman" w:eastAsia="Times New Roman" w:hAnsi="Times New Roman" w:cs="Times New Roman"/>
                <w:b/>
                <w:bCs/>
                <w:color w:val="000000"/>
                <w:kern w:val="0"/>
                <w:sz w:val="28"/>
                <w:szCs w:val="28"/>
                <w:lang w:eastAsia="en-IN"/>
                <w14:ligatures w14:val="none"/>
              </w:rPr>
              <w:t> </w:t>
            </w:r>
          </w:p>
        </w:tc>
        <w:tc>
          <w:tcPr>
            <w:tcW w:w="2040" w:type="dxa"/>
            <w:tcBorders>
              <w:top w:val="nil"/>
              <w:left w:val="nil"/>
              <w:bottom w:val="single" w:sz="4" w:space="0" w:color="auto"/>
              <w:right w:val="single" w:sz="4" w:space="0" w:color="auto"/>
            </w:tcBorders>
            <w:vAlign w:val="center"/>
            <w:hideMark/>
          </w:tcPr>
          <w:p w14:paraId="444B53D0" w14:textId="77777777" w:rsidR="005F3655" w:rsidRPr="005F3655" w:rsidRDefault="005F3655" w:rsidP="005F3655">
            <w:pPr>
              <w:spacing w:after="0" w:line="240" w:lineRule="auto"/>
              <w:jc w:val="center"/>
              <w:rPr>
                <w:rFonts w:ascii="Times New Roman" w:eastAsia="Times New Roman" w:hAnsi="Times New Roman" w:cs="Times New Roman"/>
                <w:b/>
                <w:bCs/>
                <w:color w:val="000000"/>
                <w:kern w:val="0"/>
                <w:sz w:val="28"/>
                <w:szCs w:val="28"/>
                <w:lang w:eastAsia="en-IN"/>
                <w14:ligatures w14:val="none"/>
              </w:rPr>
            </w:pPr>
            <w:r w:rsidRPr="005F3655">
              <w:rPr>
                <w:rFonts w:ascii="Times New Roman" w:eastAsia="Times New Roman" w:hAnsi="Times New Roman" w:cs="Times New Roman"/>
                <w:b/>
                <w:bCs/>
                <w:color w:val="000000"/>
                <w:kern w:val="0"/>
                <w:sz w:val="28"/>
                <w:szCs w:val="28"/>
                <w:lang w:eastAsia="en-IN"/>
                <w14:ligatures w14:val="none"/>
              </w:rPr>
              <w:t>(Rs. Crore)</w:t>
            </w:r>
          </w:p>
        </w:tc>
        <w:tc>
          <w:tcPr>
            <w:tcW w:w="2040" w:type="dxa"/>
            <w:tcBorders>
              <w:top w:val="nil"/>
              <w:left w:val="nil"/>
              <w:bottom w:val="single" w:sz="4" w:space="0" w:color="auto"/>
              <w:right w:val="single" w:sz="4" w:space="0" w:color="auto"/>
            </w:tcBorders>
            <w:vAlign w:val="center"/>
            <w:hideMark/>
          </w:tcPr>
          <w:p w14:paraId="18DB370B" w14:textId="77777777" w:rsidR="005F3655" w:rsidRPr="005F3655" w:rsidRDefault="005F3655" w:rsidP="005F3655">
            <w:pPr>
              <w:spacing w:after="0" w:line="240" w:lineRule="auto"/>
              <w:jc w:val="center"/>
              <w:rPr>
                <w:rFonts w:ascii="Times New Roman" w:eastAsia="Times New Roman" w:hAnsi="Times New Roman" w:cs="Times New Roman"/>
                <w:b/>
                <w:bCs/>
                <w:color w:val="000000"/>
                <w:kern w:val="0"/>
                <w:sz w:val="28"/>
                <w:szCs w:val="28"/>
                <w:lang w:eastAsia="en-IN"/>
                <w14:ligatures w14:val="none"/>
              </w:rPr>
            </w:pPr>
            <w:r w:rsidRPr="005F3655">
              <w:rPr>
                <w:rFonts w:ascii="Times New Roman" w:eastAsia="Times New Roman" w:hAnsi="Times New Roman" w:cs="Times New Roman"/>
                <w:b/>
                <w:bCs/>
                <w:color w:val="000000"/>
                <w:kern w:val="0"/>
                <w:sz w:val="28"/>
                <w:szCs w:val="28"/>
                <w:lang w:eastAsia="en-IN"/>
                <w14:ligatures w14:val="none"/>
              </w:rPr>
              <w:t>(Rs. Crore)</w:t>
            </w:r>
          </w:p>
        </w:tc>
        <w:tc>
          <w:tcPr>
            <w:tcW w:w="2040" w:type="dxa"/>
            <w:tcBorders>
              <w:top w:val="nil"/>
              <w:left w:val="nil"/>
              <w:bottom w:val="single" w:sz="4" w:space="0" w:color="auto"/>
              <w:right w:val="single" w:sz="4" w:space="0" w:color="auto"/>
            </w:tcBorders>
            <w:vAlign w:val="center"/>
            <w:hideMark/>
          </w:tcPr>
          <w:p w14:paraId="2CDB6ABA" w14:textId="77777777" w:rsidR="005F3655" w:rsidRPr="005F3655" w:rsidRDefault="005F3655" w:rsidP="005F3655">
            <w:pPr>
              <w:spacing w:after="0" w:line="240" w:lineRule="auto"/>
              <w:jc w:val="center"/>
              <w:rPr>
                <w:rFonts w:ascii="Times New Roman" w:eastAsia="Times New Roman" w:hAnsi="Times New Roman" w:cs="Times New Roman"/>
                <w:b/>
                <w:bCs/>
                <w:color w:val="000000"/>
                <w:kern w:val="0"/>
                <w:sz w:val="28"/>
                <w:szCs w:val="28"/>
                <w:lang w:eastAsia="en-IN"/>
                <w14:ligatures w14:val="none"/>
              </w:rPr>
            </w:pPr>
            <w:r w:rsidRPr="005F3655">
              <w:rPr>
                <w:rFonts w:ascii="Times New Roman" w:eastAsia="Times New Roman" w:hAnsi="Times New Roman" w:cs="Times New Roman"/>
                <w:b/>
                <w:bCs/>
                <w:color w:val="000000"/>
                <w:kern w:val="0"/>
                <w:sz w:val="28"/>
                <w:szCs w:val="28"/>
                <w:lang w:eastAsia="en-IN"/>
                <w14:ligatures w14:val="none"/>
              </w:rPr>
              <w:t>(Rs. Crore)</w:t>
            </w:r>
          </w:p>
        </w:tc>
        <w:tc>
          <w:tcPr>
            <w:tcW w:w="1111" w:type="dxa"/>
            <w:tcBorders>
              <w:top w:val="nil"/>
              <w:left w:val="nil"/>
              <w:bottom w:val="single" w:sz="4" w:space="0" w:color="auto"/>
              <w:right w:val="single" w:sz="4" w:space="0" w:color="auto"/>
            </w:tcBorders>
            <w:vAlign w:val="center"/>
            <w:hideMark/>
          </w:tcPr>
          <w:p w14:paraId="789A3137" w14:textId="77777777" w:rsidR="005F3655" w:rsidRPr="005F3655" w:rsidRDefault="005F3655" w:rsidP="005F3655">
            <w:pPr>
              <w:spacing w:after="0" w:line="240" w:lineRule="auto"/>
              <w:jc w:val="center"/>
              <w:rPr>
                <w:rFonts w:ascii="Times New Roman" w:eastAsia="Times New Roman" w:hAnsi="Times New Roman" w:cs="Times New Roman"/>
                <w:b/>
                <w:bCs/>
                <w:color w:val="000000"/>
                <w:kern w:val="0"/>
                <w:sz w:val="28"/>
                <w:szCs w:val="28"/>
                <w:lang w:eastAsia="en-IN"/>
                <w14:ligatures w14:val="none"/>
              </w:rPr>
            </w:pPr>
            <w:r w:rsidRPr="005F3655">
              <w:rPr>
                <w:rFonts w:ascii="Times New Roman" w:eastAsia="Times New Roman" w:hAnsi="Times New Roman" w:cs="Times New Roman"/>
                <w:b/>
                <w:bCs/>
                <w:color w:val="000000"/>
                <w:kern w:val="0"/>
                <w:sz w:val="28"/>
                <w:szCs w:val="28"/>
                <w:lang w:eastAsia="en-IN"/>
                <w14:ligatures w14:val="none"/>
              </w:rPr>
              <w:t>(Rs. Crore)</w:t>
            </w:r>
          </w:p>
        </w:tc>
        <w:tc>
          <w:tcPr>
            <w:tcW w:w="1263" w:type="dxa"/>
            <w:tcBorders>
              <w:top w:val="nil"/>
              <w:left w:val="nil"/>
              <w:bottom w:val="single" w:sz="4" w:space="0" w:color="auto"/>
              <w:right w:val="single" w:sz="4" w:space="0" w:color="auto"/>
            </w:tcBorders>
            <w:vAlign w:val="center"/>
            <w:hideMark/>
          </w:tcPr>
          <w:p w14:paraId="4E5F0E67" w14:textId="77777777" w:rsidR="005F3655" w:rsidRPr="005F3655" w:rsidRDefault="005F3655" w:rsidP="005F3655">
            <w:pPr>
              <w:spacing w:after="0" w:line="240" w:lineRule="auto"/>
              <w:jc w:val="center"/>
              <w:rPr>
                <w:rFonts w:ascii="Times New Roman" w:eastAsia="Times New Roman" w:hAnsi="Times New Roman" w:cs="Times New Roman"/>
                <w:b/>
                <w:bCs/>
                <w:color w:val="000000"/>
                <w:kern w:val="0"/>
                <w:sz w:val="28"/>
                <w:szCs w:val="28"/>
                <w:lang w:eastAsia="en-IN"/>
                <w14:ligatures w14:val="none"/>
              </w:rPr>
            </w:pPr>
            <w:r w:rsidRPr="005F3655">
              <w:rPr>
                <w:rFonts w:ascii="Times New Roman" w:eastAsia="Times New Roman" w:hAnsi="Times New Roman" w:cs="Times New Roman"/>
                <w:b/>
                <w:bCs/>
                <w:color w:val="000000"/>
                <w:kern w:val="0"/>
                <w:sz w:val="28"/>
                <w:szCs w:val="28"/>
                <w:lang w:eastAsia="en-IN"/>
                <w14:ligatures w14:val="none"/>
              </w:rPr>
              <w:t>(Rs. Crore)</w:t>
            </w:r>
          </w:p>
        </w:tc>
        <w:tc>
          <w:tcPr>
            <w:tcW w:w="1550" w:type="dxa"/>
            <w:tcBorders>
              <w:top w:val="nil"/>
              <w:left w:val="nil"/>
              <w:bottom w:val="single" w:sz="4" w:space="0" w:color="auto"/>
              <w:right w:val="single" w:sz="4" w:space="0" w:color="auto"/>
            </w:tcBorders>
            <w:vAlign w:val="center"/>
            <w:hideMark/>
          </w:tcPr>
          <w:p w14:paraId="2FB87656" w14:textId="77777777" w:rsidR="005F3655" w:rsidRPr="005F3655" w:rsidRDefault="005F3655" w:rsidP="005F3655">
            <w:pPr>
              <w:spacing w:after="0" w:line="240" w:lineRule="auto"/>
              <w:jc w:val="center"/>
              <w:rPr>
                <w:rFonts w:ascii="Times New Roman" w:eastAsia="Times New Roman" w:hAnsi="Times New Roman" w:cs="Times New Roman"/>
                <w:b/>
                <w:bCs/>
                <w:color w:val="000000"/>
                <w:kern w:val="0"/>
                <w:sz w:val="28"/>
                <w:szCs w:val="28"/>
                <w:lang w:eastAsia="en-IN"/>
                <w14:ligatures w14:val="none"/>
              </w:rPr>
            </w:pPr>
            <w:r w:rsidRPr="005F3655">
              <w:rPr>
                <w:rFonts w:ascii="Times New Roman" w:eastAsia="Times New Roman" w:hAnsi="Times New Roman" w:cs="Times New Roman"/>
                <w:b/>
                <w:bCs/>
                <w:color w:val="000000"/>
                <w:kern w:val="0"/>
                <w:sz w:val="28"/>
                <w:szCs w:val="28"/>
                <w:lang w:eastAsia="en-IN"/>
                <w14:ligatures w14:val="none"/>
              </w:rPr>
              <w:t> </w:t>
            </w:r>
          </w:p>
        </w:tc>
        <w:tc>
          <w:tcPr>
            <w:tcW w:w="1331" w:type="dxa"/>
            <w:tcBorders>
              <w:top w:val="nil"/>
              <w:left w:val="nil"/>
              <w:bottom w:val="single" w:sz="4" w:space="0" w:color="auto"/>
              <w:right w:val="single" w:sz="4" w:space="0" w:color="auto"/>
            </w:tcBorders>
            <w:vAlign w:val="center"/>
            <w:hideMark/>
          </w:tcPr>
          <w:p w14:paraId="52A090D1" w14:textId="77777777" w:rsidR="005F3655" w:rsidRPr="005F3655" w:rsidRDefault="005F3655" w:rsidP="005F3655">
            <w:pPr>
              <w:spacing w:after="0" w:line="240" w:lineRule="auto"/>
              <w:jc w:val="center"/>
              <w:rPr>
                <w:rFonts w:ascii="Times New Roman" w:eastAsia="Times New Roman" w:hAnsi="Times New Roman" w:cs="Times New Roman"/>
                <w:b/>
                <w:bCs/>
                <w:color w:val="000000"/>
                <w:kern w:val="0"/>
                <w:sz w:val="28"/>
                <w:szCs w:val="28"/>
                <w:lang w:eastAsia="en-IN"/>
                <w14:ligatures w14:val="none"/>
              </w:rPr>
            </w:pPr>
            <w:r w:rsidRPr="005F3655">
              <w:rPr>
                <w:rFonts w:ascii="Times New Roman" w:eastAsia="Times New Roman" w:hAnsi="Times New Roman" w:cs="Times New Roman"/>
                <w:b/>
                <w:bCs/>
                <w:color w:val="000000"/>
                <w:kern w:val="0"/>
                <w:sz w:val="28"/>
                <w:szCs w:val="28"/>
                <w:lang w:eastAsia="en-IN"/>
                <w14:ligatures w14:val="none"/>
              </w:rPr>
              <w:t>Rs.</w:t>
            </w:r>
          </w:p>
        </w:tc>
        <w:tc>
          <w:tcPr>
            <w:tcW w:w="1483" w:type="dxa"/>
            <w:tcBorders>
              <w:top w:val="nil"/>
              <w:left w:val="nil"/>
              <w:bottom w:val="single" w:sz="4" w:space="0" w:color="auto"/>
              <w:right w:val="single" w:sz="4" w:space="0" w:color="auto"/>
            </w:tcBorders>
            <w:vAlign w:val="center"/>
            <w:hideMark/>
          </w:tcPr>
          <w:p w14:paraId="74E07804" w14:textId="77777777" w:rsidR="005F3655" w:rsidRPr="005F3655" w:rsidRDefault="005F3655" w:rsidP="005F3655">
            <w:pPr>
              <w:spacing w:after="0" w:line="240" w:lineRule="auto"/>
              <w:jc w:val="center"/>
              <w:rPr>
                <w:rFonts w:ascii="Times New Roman" w:eastAsia="Times New Roman" w:hAnsi="Times New Roman" w:cs="Times New Roman"/>
                <w:b/>
                <w:bCs/>
                <w:color w:val="000000"/>
                <w:kern w:val="0"/>
                <w:sz w:val="28"/>
                <w:szCs w:val="28"/>
                <w:lang w:eastAsia="en-IN"/>
                <w14:ligatures w14:val="none"/>
              </w:rPr>
            </w:pPr>
            <w:r w:rsidRPr="005F3655">
              <w:rPr>
                <w:rFonts w:ascii="Times New Roman" w:eastAsia="Times New Roman" w:hAnsi="Times New Roman" w:cs="Times New Roman"/>
                <w:b/>
                <w:bCs/>
                <w:color w:val="000000"/>
                <w:kern w:val="0"/>
                <w:sz w:val="28"/>
                <w:szCs w:val="28"/>
                <w:lang w:eastAsia="en-IN"/>
                <w14:ligatures w14:val="none"/>
              </w:rPr>
              <w:t>Rs.</w:t>
            </w:r>
          </w:p>
        </w:tc>
      </w:tr>
      <w:tr w:rsidR="005F3655" w:rsidRPr="005F3655" w14:paraId="5694DA28" w14:textId="77777777" w:rsidTr="005F3655">
        <w:trPr>
          <w:trHeight w:val="20"/>
        </w:trPr>
        <w:tc>
          <w:tcPr>
            <w:tcW w:w="1752" w:type="dxa"/>
            <w:tcBorders>
              <w:top w:val="nil"/>
              <w:left w:val="single" w:sz="4" w:space="0" w:color="auto"/>
              <w:bottom w:val="single" w:sz="4" w:space="0" w:color="auto"/>
              <w:right w:val="single" w:sz="4" w:space="0" w:color="auto"/>
            </w:tcBorders>
            <w:vAlign w:val="center"/>
            <w:hideMark/>
          </w:tcPr>
          <w:p w14:paraId="0CE51C4B" w14:textId="77777777" w:rsidR="005F3655" w:rsidRPr="005F3655" w:rsidRDefault="005F3655" w:rsidP="005F3655">
            <w:pPr>
              <w:spacing w:after="0" w:line="240" w:lineRule="auto"/>
              <w:jc w:val="center"/>
              <w:rPr>
                <w:rFonts w:ascii="Times New Roman" w:eastAsia="Times New Roman" w:hAnsi="Times New Roman" w:cs="Times New Roman"/>
                <w:b/>
                <w:bCs/>
                <w:color w:val="000000"/>
                <w:kern w:val="0"/>
                <w:sz w:val="28"/>
                <w:szCs w:val="28"/>
                <w:lang w:eastAsia="en-IN"/>
                <w14:ligatures w14:val="none"/>
              </w:rPr>
            </w:pPr>
            <w:r w:rsidRPr="005F3655">
              <w:rPr>
                <w:rFonts w:ascii="Times New Roman" w:eastAsia="Times New Roman" w:hAnsi="Times New Roman" w:cs="Times New Roman"/>
                <w:b/>
                <w:bCs/>
                <w:color w:val="000000"/>
                <w:kern w:val="0"/>
                <w:sz w:val="28"/>
                <w:szCs w:val="28"/>
                <w:lang w:eastAsia="en-IN"/>
                <w14:ligatures w14:val="none"/>
              </w:rPr>
              <w:t>1</w:t>
            </w:r>
          </w:p>
        </w:tc>
        <w:tc>
          <w:tcPr>
            <w:tcW w:w="2040" w:type="dxa"/>
            <w:tcBorders>
              <w:top w:val="nil"/>
              <w:left w:val="nil"/>
              <w:bottom w:val="single" w:sz="4" w:space="0" w:color="auto"/>
              <w:right w:val="single" w:sz="4" w:space="0" w:color="auto"/>
            </w:tcBorders>
            <w:vAlign w:val="center"/>
            <w:hideMark/>
          </w:tcPr>
          <w:p w14:paraId="4C7B256A" w14:textId="77777777" w:rsidR="005F3655" w:rsidRPr="005F3655" w:rsidRDefault="005F3655" w:rsidP="005F3655">
            <w:pPr>
              <w:spacing w:after="0" w:line="240" w:lineRule="auto"/>
              <w:jc w:val="center"/>
              <w:rPr>
                <w:rFonts w:ascii="Times New Roman" w:eastAsia="Times New Roman" w:hAnsi="Times New Roman" w:cs="Times New Roman"/>
                <w:b/>
                <w:bCs/>
                <w:color w:val="000000"/>
                <w:kern w:val="0"/>
                <w:sz w:val="28"/>
                <w:szCs w:val="28"/>
                <w:lang w:eastAsia="en-IN"/>
                <w14:ligatures w14:val="none"/>
              </w:rPr>
            </w:pPr>
            <w:r w:rsidRPr="005F3655">
              <w:rPr>
                <w:rFonts w:ascii="Times New Roman" w:eastAsia="Times New Roman" w:hAnsi="Times New Roman" w:cs="Times New Roman"/>
                <w:b/>
                <w:bCs/>
                <w:color w:val="000000"/>
                <w:kern w:val="0"/>
                <w:sz w:val="28"/>
                <w:szCs w:val="28"/>
                <w:lang w:eastAsia="en-IN"/>
                <w14:ligatures w14:val="none"/>
              </w:rPr>
              <w:t>2</w:t>
            </w:r>
          </w:p>
        </w:tc>
        <w:tc>
          <w:tcPr>
            <w:tcW w:w="2040" w:type="dxa"/>
            <w:tcBorders>
              <w:top w:val="nil"/>
              <w:left w:val="nil"/>
              <w:bottom w:val="single" w:sz="4" w:space="0" w:color="auto"/>
              <w:right w:val="single" w:sz="4" w:space="0" w:color="auto"/>
            </w:tcBorders>
            <w:vAlign w:val="center"/>
            <w:hideMark/>
          </w:tcPr>
          <w:p w14:paraId="2B5727E1" w14:textId="77777777" w:rsidR="005F3655" w:rsidRPr="005F3655" w:rsidRDefault="005F3655" w:rsidP="005F3655">
            <w:pPr>
              <w:spacing w:after="0" w:line="240" w:lineRule="auto"/>
              <w:jc w:val="center"/>
              <w:rPr>
                <w:rFonts w:ascii="Times New Roman" w:eastAsia="Times New Roman" w:hAnsi="Times New Roman" w:cs="Times New Roman"/>
                <w:b/>
                <w:bCs/>
                <w:color w:val="000000"/>
                <w:kern w:val="0"/>
                <w:sz w:val="28"/>
                <w:szCs w:val="28"/>
                <w:lang w:eastAsia="en-IN"/>
                <w14:ligatures w14:val="none"/>
              </w:rPr>
            </w:pPr>
            <w:r w:rsidRPr="005F3655">
              <w:rPr>
                <w:rFonts w:ascii="Times New Roman" w:eastAsia="Times New Roman" w:hAnsi="Times New Roman" w:cs="Times New Roman"/>
                <w:b/>
                <w:bCs/>
                <w:color w:val="000000"/>
                <w:kern w:val="0"/>
                <w:sz w:val="28"/>
                <w:szCs w:val="28"/>
                <w:lang w:eastAsia="en-IN"/>
                <w14:ligatures w14:val="none"/>
              </w:rPr>
              <w:t>3</w:t>
            </w:r>
          </w:p>
        </w:tc>
        <w:tc>
          <w:tcPr>
            <w:tcW w:w="2040" w:type="dxa"/>
            <w:tcBorders>
              <w:top w:val="nil"/>
              <w:left w:val="nil"/>
              <w:bottom w:val="single" w:sz="4" w:space="0" w:color="auto"/>
              <w:right w:val="single" w:sz="4" w:space="0" w:color="auto"/>
            </w:tcBorders>
            <w:vAlign w:val="center"/>
            <w:hideMark/>
          </w:tcPr>
          <w:p w14:paraId="49A1AA72" w14:textId="77777777" w:rsidR="005F3655" w:rsidRPr="005F3655" w:rsidRDefault="005F3655" w:rsidP="005F3655">
            <w:pPr>
              <w:spacing w:after="0" w:line="240" w:lineRule="auto"/>
              <w:jc w:val="center"/>
              <w:rPr>
                <w:rFonts w:ascii="Times New Roman" w:eastAsia="Times New Roman" w:hAnsi="Times New Roman" w:cs="Times New Roman"/>
                <w:b/>
                <w:bCs/>
                <w:color w:val="000000"/>
                <w:kern w:val="0"/>
                <w:sz w:val="28"/>
                <w:szCs w:val="28"/>
                <w:lang w:eastAsia="en-IN"/>
                <w14:ligatures w14:val="none"/>
              </w:rPr>
            </w:pPr>
            <w:r w:rsidRPr="005F3655">
              <w:rPr>
                <w:rFonts w:ascii="Times New Roman" w:eastAsia="Times New Roman" w:hAnsi="Times New Roman" w:cs="Times New Roman"/>
                <w:b/>
                <w:bCs/>
                <w:color w:val="000000"/>
                <w:kern w:val="0"/>
                <w:sz w:val="28"/>
                <w:szCs w:val="28"/>
                <w:lang w:eastAsia="en-IN"/>
                <w14:ligatures w14:val="none"/>
              </w:rPr>
              <w:t>4</w:t>
            </w:r>
          </w:p>
        </w:tc>
        <w:tc>
          <w:tcPr>
            <w:tcW w:w="1111" w:type="dxa"/>
            <w:tcBorders>
              <w:top w:val="nil"/>
              <w:left w:val="nil"/>
              <w:bottom w:val="single" w:sz="4" w:space="0" w:color="auto"/>
              <w:right w:val="single" w:sz="4" w:space="0" w:color="auto"/>
            </w:tcBorders>
            <w:vAlign w:val="center"/>
            <w:hideMark/>
          </w:tcPr>
          <w:p w14:paraId="5A14AABC" w14:textId="77777777" w:rsidR="005F3655" w:rsidRPr="005F3655" w:rsidRDefault="005F3655" w:rsidP="005F3655">
            <w:pPr>
              <w:spacing w:after="0" w:line="240" w:lineRule="auto"/>
              <w:jc w:val="center"/>
              <w:rPr>
                <w:rFonts w:ascii="Times New Roman" w:eastAsia="Times New Roman" w:hAnsi="Times New Roman" w:cs="Times New Roman"/>
                <w:b/>
                <w:bCs/>
                <w:color w:val="000000"/>
                <w:kern w:val="0"/>
                <w:sz w:val="28"/>
                <w:szCs w:val="28"/>
                <w:lang w:eastAsia="en-IN"/>
                <w14:ligatures w14:val="none"/>
              </w:rPr>
            </w:pPr>
            <w:r w:rsidRPr="005F3655">
              <w:rPr>
                <w:rFonts w:ascii="Times New Roman" w:eastAsia="Times New Roman" w:hAnsi="Times New Roman" w:cs="Times New Roman"/>
                <w:b/>
                <w:bCs/>
                <w:color w:val="000000"/>
                <w:kern w:val="0"/>
                <w:sz w:val="28"/>
                <w:szCs w:val="28"/>
                <w:lang w:eastAsia="en-IN"/>
                <w14:ligatures w14:val="none"/>
              </w:rPr>
              <w:t>5</w:t>
            </w:r>
          </w:p>
        </w:tc>
        <w:tc>
          <w:tcPr>
            <w:tcW w:w="1263" w:type="dxa"/>
            <w:tcBorders>
              <w:top w:val="nil"/>
              <w:left w:val="nil"/>
              <w:bottom w:val="single" w:sz="4" w:space="0" w:color="auto"/>
              <w:right w:val="single" w:sz="4" w:space="0" w:color="auto"/>
            </w:tcBorders>
            <w:vAlign w:val="center"/>
            <w:hideMark/>
          </w:tcPr>
          <w:p w14:paraId="65E6C789" w14:textId="77777777" w:rsidR="005F3655" w:rsidRPr="005F3655" w:rsidRDefault="005F3655" w:rsidP="005F3655">
            <w:pPr>
              <w:spacing w:after="0" w:line="240" w:lineRule="auto"/>
              <w:jc w:val="center"/>
              <w:rPr>
                <w:rFonts w:ascii="Times New Roman" w:eastAsia="Times New Roman" w:hAnsi="Times New Roman" w:cs="Times New Roman"/>
                <w:b/>
                <w:bCs/>
                <w:color w:val="000000"/>
                <w:kern w:val="0"/>
                <w:sz w:val="28"/>
                <w:szCs w:val="28"/>
                <w:lang w:eastAsia="en-IN"/>
                <w14:ligatures w14:val="none"/>
              </w:rPr>
            </w:pPr>
            <w:r w:rsidRPr="005F3655">
              <w:rPr>
                <w:rFonts w:ascii="Times New Roman" w:eastAsia="Times New Roman" w:hAnsi="Times New Roman" w:cs="Times New Roman"/>
                <w:b/>
                <w:bCs/>
                <w:color w:val="000000"/>
                <w:kern w:val="0"/>
                <w:sz w:val="28"/>
                <w:szCs w:val="28"/>
                <w:lang w:eastAsia="en-IN"/>
                <w14:ligatures w14:val="none"/>
              </w:rPr>
              <w:t>6</w:t>
            </w:r>
          </w:p>
        </w:tc>
        <w:tc>
          <w:tcPr>
            <w:tcW w:w="1550" w:type="dxa"/>
            <w:tcBorders>
              <w:top w:val="nil"/>
              <w:left w:val="nil"/>
              <w:bottom w:val="single" w:sz="4" w:space="0" w:color="auto"/>
              <w:right w:val="single" w:sz="4" w:space="0" w:color="auto"/>
            </w:tcBorders>
            <w:vAlign w:val="center"/>
            <w:hideMark/>
          </w:tcPr>
          <w:p w14:paraId="6181B96B" w14:textId="77777777" w:rsidR="005F3655" w:rsidRPr="005F3655" w:rsidRDefault="005F3655" w:rsidP="005F3655">
            <w:pPr>
              <w:spacing w:after="0" w:line="240" w:lineRule="auto"/>
              <w:jc w:val="center"/>
              <w:rPr>
                <w:rFonts w:ascii="Times New Roman" w:eastAsia="Times New Roman" w:hAnsi="Times New Roman" w:cs="Times New Roman"/>
                <w:b/>
                <w:bCs/>
                <w:color w:val="000000"/>
                <w:kern w:val="0"/>
                <w:sz w:val="28"/>
                <w:szCs w:val="28"/>
                <w:lang w:eastAsia="en-IN"/>
                <w14:ligatures w14:val="none"/>
              </w:rPr>
            </w:pPr>
            <w:r w:rsidRPr="005F3655">
              <w:rPr>
                <w:rFonts w:ascii="Times New Roman" w:eastAsia="Times New Roman" w:hAnsi="Times New Roman" w:cs="Times New Roman"/>
                <w:b/>
                <w:bCs/>
                <w:color w:val="000000"/>
                <w:kern w:val="0"/>
                <w:sz w:val="28"/>
                <w:szCs w:val="28"/>
                <w:lang w:eastAsia="en-IN"/>
                <w14:ligatures w14:val="none"/>
              </w:rPr>
              <w:t>7</w:t>
            </w:r>
          </w:p>
        </w:tc>
        <w:tc>
          <w:tcPr>
            <w:tcW w:w="1331" w:type="dxa"/>
            <w:tcBorders>
              <w:top w:val="nil"/>
              <w:left w:val="nil"/>
              <w:bottom w:val="single" w:sz="4" w:space="0" w:color="auto"/>
              <w:right w:val="single" w:sz="4" w:space="0" w:color="auto"/>
            </w:tcBorders>
            <w:vAlign w:val="center"/>
            <w:hideMark/>
          </w:tcPr>
          <w:p w14:paraId="48B3383B" w14:textId="77777777" w:rsidR="005F3655" w:rsidRPr="005F3655" w:rsidRDefault="005F3655" w:rsidP="005F3655">
            <w:pPr>
              <w:spacing w:after="0" w:line="240" w:lineRule="auto"/>
              <w:jc w:val="center"/>
              <w:rPr>
                <w:rFonts w:ascii="Times New Roman" w:eastAsia="Times New Roman" w:hAnsi="Times New Roman" w:cs="Times New Roman"/>
                <w:b/>
                <w:bCs/>
                <w:color w:val="000000"/>
                <w:kern w:val="0"/>
                <w:sz w:val="28"/>
                <w:szCs w:val="28"/>
                <w:lang w:eastAsia="en-IN"/>
                <w14:ligatures w14:val="none"/>
              </w:rPr>
            </w:pPr>
            <w:r w:rsidRPr="005F3655">
              <w:rPr>
                <w:rFonts w:ascii="Times New Roman" w:eastAsia="Times New Roman" w:hAnsi="Times New Roman" w:cs="Times New Roman"/>
                <w:b/>
                <w:bCs/>
                <w:color w:val="000000"/>
                <w:kern w:val="0"/>
                <w:sz w:val="28"/>
                <w:szCs w:val="28"/>
                <w:lang w:eastAsia="en-IN"/>
                <w14:ligatures w14:val="none"/>
              </w:rPr>
              <w:t>8</w:t>
            </w:r>
          </w:p>
        </w:tc>
        <w:tc>
          <w:tcPr>
            <w:tcW w:w="1483" w:type="dxa"/>
            <w:tcBorders>
              <w:top w:val="nil"/>
              <w:left w:val="nil"/>
              <w:bottom w:val="single" w:sz="4" w:space="0" w:color="auto"/>
              <w:right w:val="single" w:sz="4" w:space="0" w:color="auto"/>
            </w:tcBorders>
            <w:vAlign w:val="center"/>
            <w:hideMark/>
          </w:tcPr>
          <w:p w14:paraId="1E80FAAA" w14:textId="77777777" w:rsidR="005F3655" w:rsidRPr="005F3655" w:rsidRDefault="005F3655" w:rsidP="005F3655">
            <w:pPr>
              <w:spacing w:after="0" w:line="240" w:lineRule="auto"/>
              <w:jc w:val="center"/>
              <w:rPr>
                <w:rFonts w:ascii="Times New Roman" w:eastAsia="Times New Roman" w:hAnsi="Times New Roman" w:cs="Times New Roman"/>
                <w:b/>
                <w:bCs/>
                <w:color w:val="000000"/>
                <w:kern w:val="0"/>
                <w:sz w:val="28"/>
                <w:szCs w:val="28"/>
                <w:lang w:eastAsia="en-IN"/>
                <w14:ligatures w14:val="none"/>
              </w:rPr>
            </w:pPr>
            <w:r w:rsidRPr="005F3655">
              <w:rPr>
                <w:rFonts w:ascii="Times New Roman" w:eastAsia="Times New Roman" w:hAnsi="Times New Roman" w:cs="Times New Roman"/>
                <w:b/>
                <w:bCs/>
                <w:color w:val="000000"/>
                <w:kern w:val="0"/>
                <w:sz w:val="28"/>
                <w:szCs w:val="28"/>
                <w:lang w:eastAsia="en-IN"/>
                <w14:ligatures w14:val="none"/>
              </w:rPr>
              <w:t>9</w:t>
            </w:r>
          </w:p>
        </w:tc>
      </w:tr>
      <w:tr w:rsidR="005F3655" w:rsidRPr="005F3655" w14:paraId="56F6DE26" w14:textId="77777777" w:rsidTr="005F3655">
        <w:trPr>
          <w:trHeight w:val="20"/>
        </w:trPr>
        <w:tc>
          <w:tcPr>
            <w:tcW w:w="1752" w:type="dxa"/>
            <w:tcBorders>
              <w:top w:val="nil"/>
              <w:left w:val="single" w:sz="4" w:space="0" w:color="auto"/>
              <w:bottom w:val="single" w:sz="4" w:space="0" w:color="auto"/>
              <w:right w:val="single" w:sz="4" w:space="0" w:color="auto"/>
            </w:tcBorders>
            <w:vAlign w:val="center"/>
            <w:hideMark/>
          </w:tcPr>
          <w:p w14:paraId="2782026E" w14:textId="77777777" w:rsidR="005F3655" w:rsidRPr="005F3655" w:rsidRDefault="005F3655" w:rsidP="005F3655">
            <w:pPr>
              <w:spacing w:after="0" w:line="240" w:lineRule="auto"/>
              <w:rPr>
                <w:rFonts w:ascii="Times New Roman" w:eastAsia="Times New Roman" w:hAnsi="Times New Roman" w:cs="Times New Roman"/>
                <w:color w:val="000000"/>
                <w:kern w:val="0"/>
                <w:sz w:val="28"/>
                <w:szCs w:val="28"/>
                <w:lang w:eastAsia="en-IN"/>
                <w14:ligatures w14:val="none"/>
              </w:rPr>
            </w:pPr>
            <w:r w:rsidRPr="005F3655">
              <w:rPr>
                <w:rFonts w:ascii="Times New Roman" w:eastAsia="Times New Roman" w:hAnsi="Times New Roman" w:cs="Times New Roman"/>
                <w:color w:val="000000"/>
                <w:kern w:val="0"/>
                <w:sz w:val="28"/>
                <w:szCs w:val="28"/>
                <w:lang w:eastAsia="en-IN"/>
                <w14:ligatures w14:val="none"/>
              </w:rPr>
              <w:t>Andhra Pradesh</w:t>
            </w:r>
          </w:p>
        </w:tc>
        <w:tc>
          <w:tcPr>
            <w:tcW w:w="2040" w:type="dxa"/>
            <w:tcBorders>
              <w:top w:val="nil"/>
              <w:left w:val="nil"/>
              <w:bottom w:val="single" w:sz="4" w:space="0" w:color="auto"/>
              <w:right w:val="single" w:sz="4" w:space="0" w:color="auto"/>
            </w:tcBorders>
            <w:vAlign w:val="center"/>
            <w:hideMark/>
          </w:tcPr>
          <w:p w14:paraId="41A3FDE4" w14:textId="77777777" w:rsidR="005F3655" w:rsidRPr="005F3655" w:rsidRDefault="005F3655" w:rsidP="005F3655">
            <w:pPr>
              <w:spacing w:after="0" w:line="240" w:lineRule="auto"/>
              <w:jc w:val="center"/>
              <w:rPr>
                <w:rFonts w:ascii="Times New Roman" w:eastAsia="Times New Roman" w:hAnsi="Times New Roman" w:cs="Times New Roman"/>
                <w:color w:val="000000"/>
                <w:kern w:val="0"/>
                <w:sz w:val="28"/>
                <w:szCs w:val="28"/>
                <w:lang w:eastAsia="en-IN"/>
                <w14:ligatures w14:val="none"/>
              </w:rPr>
            </w:pPr>
            <w:r w:rsidRPr="005F3655">
              <w:rPr>
                <w:rFonts w:ascii="Times New Roman" w:eastAsia="Times New Roman" w:hAnsi="Times New Roman" w:cs="Times New Roman"/>
                <w:color w:val="000000"/>
                <w:kern w:val="0"/>
                <w:sz w:val="28"/>
                <w:szCs w:val="28"/>
                <w:lang w:eastAsia="en-IN"/>
                <w14:ligatures w14:val="none"/>
              </w:rPr>
              <w:t>14.53</w:t>
            </w:r>
          </w:p>
        </w:tc>
        <w:tc>
          <w:tcPr>
            <w:tcW w:w="2040" w:type="dxa"/>
            <w:tcBorders>
              <w:top w:val="nil"/>
              <w:left w:val="nil"/>
              <w:bottom w:val="single" w:sz="4" w:space="0" w:color="auto"/>
              <w:right w:val="single" w:sz="4" w:space="0" w:color="auto"/>
            </w:tcBorders>
            <w:vAlign w:val="center"/>
            <w:hideMark/>
          </w:tcPr>
          <w:p w14:paraId="4B4FFC0E" w14:textId="77777777" w:rsidR="005F3655" w:rsidRPr="005F3655" w:rsidRDefault="005F3655" w:rsidP="005F3655">
            <w:pPr>
              <w:spacing w:after="0" w:line="240" w:lineRule="auto"/>
              <w:jc w:val="center"/>
              <w:rPr>
                <w:rFonts w:ascii="Times New Roman" w:eastAsia="Times New Roman" w:hAnsi="Times New Roman" w:cs="Times New Roman"/>
                <w:color w:val="000000"/>
                <w:kern w:val="0"/>
                <w:sz w:val="28"/>
                <w:szCs w:val="28"/>
                <w:lang w:eastAsia="en-IN"/>
                <w14:ligatures w14:val="none"/>
              </w:rPr>
            </w:pPr>
            <w:r w:rsidRPr="005F3655">
              <w:rPr>
                <w:rFonts w:ascii="Times New Roman" w:eastAsia="Times New Roman" w:hAnsi="Times New Roman" w:cs="Times New Roman"/>
                <w:color w:val="000000"/>
                <w:kern w:val="0"/>
                <w:sz w:val="28"/>
                <w:szCs w:val="28"/>
                <w:lang w:eastAsia="en-IN"/>
                <w14:ligatures w14:val="none"/>
              </w:rPr>
              <w:t>20.42</w:t>
            </w:r>
          </w:p>
        </w:tc>
        <w:tc>
          <w:tcPr>
            <w:tcW w:w="2040" w:type="dxa"/>
            <w:tcBorders>
              <w:top w:val="nil"/>
              <w:left w:val="nil"/>
              <w:bottom w:val="single" w:sz="4" w:space="0" w:color="auto"/>
              <w:right w:val="single" w:sz="4" w:space="0" w:color="auto"/>
            </w:tcBorders>
            <w:vAlign w:val="center"/>
            <w:hideMark/>
          </w:tcPr>
          <w:p w14:paraId="568571F6" w14:textId="77777777" w:rsidR="005F3655" w:rsidRPr="005F3655" w:rsidRDefault="005F3655" w:rsidP="005F3655">
            <w:pPr>
              <w:spacing w:after="0" w:line="240" w:lineRule="auto"/>
              <w:jc w:val="center"/>
              <w:rPr>
                <w:rFonts w:ascii="Times New Roman" w:eastAsia="Times New Roman" w:hAnsi="Times New Roman" w:cs="Times New Roman"/>
                <w:color w:val="000000"/>
                <w:kern w:val="0"/>
                <w:sz w:val="28"/>
                <w:szCs w:val="28"/>
                <w:lang w:eastAsia="en-IN"/>
                <w14:ligatures w14:val="none"/>
              </w:rPr>
            </w:pPr>
            <w:r w:rsidRPr="005F3655">
              <w:rPr>
                <w:rFonts w:ascii="Times New Roman" w:eastAsia="Times New Roman" w:hAnsi="Times New Roman" w:cs="Times New Roman"/>
                <w:color w:val="000000"/>
                <w:kern w:val="0"/>
                <w:sz w:val="28"/>
                <w:szCs w:val="28"/>
                <w:lang w:eastAsia="en-IN"/>
                <w14:ligatures w14:val="none"/>
              </w:rPr>
              <w:t>9.04</w:t>
            </w:r>
          </w:p>
        </w:tc>
        <w:tc>
          <w:tcPr>
            <w:tcW w:w="1111" w:type="dxa"/>
            <w:tcBorders>
              <w:top w:val="nil"/>
              <w:left w:val="nil"/>
              <w:bottom w:val="single" w:sz="4" w:space="0" w:color="auto"/>
              <w:right w:val="single" w:sz="4" w:space="0" w:color="auto"/>
            </w:tcBorders>
            <w:vAlign w:val="center"/>
            <w:hideMark/>
          </w:tcPr>
          <w:p w14:paraId="5871D224" w14:textId="77777777" w:rsidR="005F3655" w:rsidRPr="005F3655" w:rsidRDefault="005F3655" w:rsidP="005F3655">
            <w:pPr>
              <w:spacing w:after="0" w:line="240" w:lineRule="auto"/>
              <w:jc w:val="center"/>
              <w:rPr>
                <w:rFonts w:ascii="Times New Roman" w:eastAsia="Times New Roman" w:hAnsi="Times New Roman" w:cs="Times New Roman"/>
                <w:color w:val="000000"/>
                <w:kern w:val="0"/>
                <w:sz w:val="28"/>
                <w:szCs w:val="28"/>
                <w:lang w:eastAsia="en-IN"/>
                <w14:ligatures w14:val="none"/>
              </w:rPr>
            </w:pPr>
            <w:r w:rsidRPr="005F3655">
              <w:rPr>
                <w:rFonts w:ascii="Times New Roman" w:eastAsia="Times New Roman" w:hAnsi="Times New Roman" w:cs="Times New Roman"/>
                <w:color w:val="000000"/>
                <w:kern w:val="0"/>
                <w:sz w:val="28"/>
                <w:szCs w:val="28"/>
                <w:lang w:eastAsia="en-IN"/>
                <w14:ligatures w14:val="none"/>
              </w:rPr>
              <w:t>87.3</w:t>
            </w:r>
          </w:p>
        </w:tc>
        <w:tc>
          <w:tcPr>
            <w:tcW w:w="1263" w:type="dxa"/>
            <w:tcBorders>
              <w:top w:val="nil"/>
              <w:left w:val="nil"/>
              <w:bottom w:val="single" w:sz="4" w:space="0" w:color="auto"/>
              <w:right w:val="single" w:sz="4" w:space="0" w:color="auto"/>
            </w:tcBorders>
            <w:vAlign w:val="center"/>
            <w:hideMark/>
          </w:tcPr>
          <w:p w14:paraId="21979EE0" w14:textId="77777777" w:rsidR="005F3655" w:rsidRPr="005F3655" w:rsidRDefault="005F3655" w:rsidP="005F3655">
            <w:pPr>
              <w:spacing w:after="0" w:line="240" w:lineRule="auto"/>
              <w:jc w:val="center"/>
              <w:rPr>
                <w:rFonts w:ascii="Times New Roman" w:eastAsia="Times New Roman" w:hAnsi="Times New Roman" w:cs="Times New Roman"/>
                <w:color w:val="000000"/>
                <w:kern w:val="0"/>
                <w:sz w:val="28"/>
                <w:szCs w:val="28"/>
                <w:lang w:eastAsia="en-IN"/>
                <w14:ligatures w14:val="none"/>
              </w:rPr>
            </w:pPr>
            <w:r w:rsidRPr="005F3655">
              <w:rPr>
                <w:rFonts w:ascii="Times New Roman" w:eastAsia="Times New Roman" w:hAnsi="Times New Roman" w:cs="Times New Roman"/>
                <w:color w:val="000000"/>
                <w:kern w:val="0"/>
                <w:sz w:val="28"/>
                <w:szCs w:val="28"/>
                <w:lang w:eastAsia="en-IN"/>
                <w14:ligatures w14:val="none"/>
              </w:rPr>
              <w:t>36.1</w:t>
            </w:r>
          </w:p>
        </w:tc>
        <w:tc>
          <w:tcPr>
            <w:tcW w:w="1550" w:type="dxa"/>
            <w:tcBorders>
              <w:top w:val="nil"/>
              <w:left w:val="nil"/>
              <w:bottom w:val="single" w:sz="4" w:space="0" w:color="auto"/>
              <w:right w:val="single" w:sz="4" w:space="0" w:color="auto"/>
            </w:tcBorders>
            <w:vAlign w:val="center"/>
            <w:hideMark/>
          </w:tcPr>
          <w:p w14:paraId="50B6AB26" w14:textId="77777777" w:rsidR="005F3655" w:rsidRPr="005F3655" w:rsidRDefault="005F3655" w:rsidP="005F3655">
            <w:pPr>
              <w:spacing w:after="0" w:line="240" w:lineRule="auto"/>
              <w:jc w:val="center"/>
              <w:rPr>
                <w:rFonts w:ascii="Times New Roman" w:eastAsia="Times New Roman" w:hAnsi="Times New Roman" w:cs="Times New Roman"/>
                <w:color w:val="000000"/>
                <w:kern w:val="0"/>
                <w:sz w:val="28"/>
                <w:szCs w:val="28"/>
                <w:lang w:eastAsia="en-IN"/>
                <w14:ligatures w14:val="none"/>
              </w:rPr>
            </w:pPr>
            <w:r w:rsidRPr="005F3655">
              <w:rPr>
                <w:rFonts w:ascii="Times New Roman" w:eastAsia="Times New Roman" w:hAnsi="Times New Roman" w:cs="Times New Roman"/>
                <w:color w:val="000000"/>
                <w:kern w:val="0"/>
                <w:sz w:val="28"/>
                <w:szCs w:val="28"/>
                <w:lang w:eastAsia="en-IN"/>
                <w14:ligatures w14:val="none"/>
              </w:rPr>
              <w:t>379</w:t>
            </w:r>
          </w:p>
        </w:tc>
        <w:tc>
          <w:tcPr>
            <w:tcW w:w="1331" w:type="dxa"/>
            <w:tcBorders>
              <w:top w:val="nil"/>
              <w:left w:val="nil"/>
              <w:bottom w:val="single" w:sz="4" w:space="0" w:color="auto"/>
              <w:right w:val="single" w:sz="4" w:space="0" w:color="auto"/>
            </w:tcBorders>
            <w:vAlign w:val="center"/>
            <w:hideMark/>
          </w:tcPr>
          <w:p w14:paraId="0AD0BE5A" w14:textId="77777777" w:rsidR="005F3655" w:rsidRPr="005F3655" w:rsidRDefault="005F3655" w:rsidP="005F3655">
            <w:pPr>
              <w:spacing w:after="0" w:line="240" w:lineRule="auto"/>
              <w:jc w:val="center"/>
              <w:rPr>
                <w:rFonts w:ascii="Times New Roman" w:eastAsia="Times New Roman" w:hAnsi="Times New Roman" w:cs="Times New Roman"/>
                <w:color w:val="000000"/>
                <w:kern w:val="0"/>
                <w:sz w:val="28"/>
                <w:szCs w:val="28"/>
                <w:lang w:eastAsia="en-IN"/>
                <w14:ligatures w14:val="none"/>
              </w:rPr>
            </w:pPr>
            <w:r w:rsidRPr="005F3655">
              <w:rPr>
                <w:rFonts w:ascii="Times New Roman" w:eastAsia="Times New Roman" w:hAnsi="Times New Roman" w:cs="Times New Roman"/>
                <w:color w:val="000000"/>
                <w:kern w:val="0"/>
                <w:sz w:val="28"/>
                <w:szCs w:val="28"/>
                <w:lang w:eastAsia="en-IN"/>
                <w14:ligatures w14:val="none"/>
              </w:rPr>
              <w:t>33.3</w:t>
            </w:r>
          </w:p>
        </w:tc>
        <w:tc>
          <w:tcPr>
            <w:tcW w:w="1483" w:type="dxa"/>
            <w:tcBorders>
              <w:top w:val="nil"/>
              <w:left w:val="nil"/>
              <w:bottom w:val="single" w:sz="4" w:space="0" w:color="auto"/>
              <w:right w:val="single" w:sz="4" w:space="0" w:color="auto"/>
            </w:tcBorders>
            <w:vAlign w:val="center"/>
            <w:hideMark/>
          </w:tcPr>
          <w:p w14:paraId="05234B9B" w14:textId="77777777" w:rsidR="005F3655" w:rsidRPr="005F3655" w:rsidRDefault="005F3655" w:rsidP="005F3655">
            <w:pPr>
              <w:spacing w:after="0" w:line="240" w:lineRule="auto"/>
              <w:jc w:val="center"/>
              <w:rPr>
                <w:rFonts w:ascii="Times New Roman" w:eastAsia="Times New Roman" w:hAnsi="Times New Roman" w:cs="Times New Roman"/>
                <w:color w:val="000000"/>
                <w:kern w:val="0"/>
                <w:sz w:val="28"/>
                <w:szCs w:val="28"/>
                <w:lang w:eastAsia="en-IN"/>
                <w14:ligatures w14:val="none"/>
              </w:rPr>
            </w:pPr>
            <w:r w:rsidRPr="005F3655">
              <w:rPr>
                <w:rFonts w:ascii="Times New Roman" w:eastAsia="Times New Roman" w:hAnsi="Times New Roman" w:cs="Times New Roman"/>
                <w:color w:val="000000"/>
                <w:kern w:val="0"/>
                <w:sz w:val="28"/>
                <w:szCs w:val="28"/>
                <w:lang w:eastAsia="en-IN"/>
                <w14:ligatures w14:val="none"/>
              </w:rPr>
              <w:t>20.3</w:t>
            </w:r>
          </w:p>
        </w:tc>
      </w:tr>
      <w:tr w:rsidR="005F3655" w:rsidRPr="005F3655" w14:paraId="413110DE" w14:textId="77777777" w:rsidTr="005F3655">
        <w:trPr>
          <w:trHeight w:val="20"/>
        </w:trPr>
        <w:tc>
          <w:tcPr>
            <w:tcW w:w="1752" w:type="dxa"/>
            <w:tcBorders>
              <w:top w:val="nil"/>
              <w:left w:val="single" w:sz="4" w:space="0" w:color="auto"/>
              <w:bottom w:val="single" w:sz="4" w:space="0" w:color="auto"/>
              <w:right w:val="single" w:sz="4" w:space="0" w:color="auto"/>
            </w:tcBorders>
            <w:vAlign w:val="center"/>
            <w:hideMark/>
          </w:tcPr>
          <w:p w14:paraId="57B54473" w14:textId="77777777" w:rsidR="005F3655" w:rsidRPr="005F3655" w:rsidRDefault="005F3655" w:rsidP="005F3655">
            <w:pPr>
              <w:spacing w:after="0" w:line="240" w:lineRule="auto"/>
              <w:rPr>
                <w:rFonts w:ascii="Times New Roman" w:eastAsia="Times New Roman" w:hAnsi="Times New Roman" w:cs="Times New Roman"/>
                <w:color w:val="000000"/>
                <w:kern w:val="0"/>
                <w:sz w:val="28"/>
                <w:szCs w:val="28"/>
                <w:lang w:eastAsia="en-IN"/>
                <w14:ligatures w14:val="none"/>
              </w:rPr>
            </w:pPr>
            <w:r w:rsidRPr="005F3655">
              <w:rPr>
                <w:rFonts w:ascii="Times New Roman" w:eastAsia="Times New Roman" w:hAnsi="Times New Roman" w:cs="Times New Roman"/>
                <w:color w:val="000000"/>
                <w:kern w:val="0"/>
                <w:sz w:val="28"/>
                <w:szCs w:val="28"/>
                <w:lang w:eastAsia="en-IN"/>
                <w14:ligatures w14:val="none"/>
              </w:rPr>
              <w:t>Assam</w:t>
            </w:r>
          </w:p>
        </w:tc>
        <w:tc>
          <w:tcPr>
            <w:tcW w:w="2040" w:type="dxa"/>
            <w:tcBorders>
              <w:top w:val="nil"/>
              <w:left w:val="nil"/>
              <w:bottom w:val="single" w:sz="4" w:space="0" w:color="auto"/>
              <w:right w:val="single" w:sz="4" w:space="0" w:color="auto"/>
            </w:tcBorders>
            <w:vAlign w:val="center"/>
            <w:hideMark/>
          </w:tcPr>
          <w:p w14:paraId="600FD827" w14:textId="77777777" w:rsidR="005F3655" w:rsidRPr="005F3655" w:rsidRDefault="005F3655" w:rsidP="005F3655">
            <w:pPr>
              <w:spacing w:after="0" w:line="240" w:lineRule="auto"/>
              <w:jc w:val="center"/>
              <w:rPr>
                <w:rFonts w:ascii="Times New Roman" w:eastAsia="Times New Roman" w:hAnsi="Times New Roman" w:cs="Times New Roman"/>
                <w:color w:val="000000"/>
                <w:kern w:val="0"/>
                <w:sz w:val="28"/>
                <w:szCs w:val="28"/>
                <w:lang w:eastAsia="en-IN"/>
                <w14:ligatures w14:val="none"/>
              </w:rPr>
            </w:pPr>
            <w:r w:rsidRPr="005F3655">
              <w:rPr>
                <w:rFonts w:ascii="Times New Roman" w:eastAsia="Times New Roman" w:hAnsi="Times New Roman" w:cs="Times New Roman"/>
                <w:color w:val="000000"/>
                <w:kern w:val="0"/>
                <w:sz w:val="28"/>
                <w:szCs w:val="28"/>
                <w:lang w:eastAsia="en-IN"/>
                <w14:ligatures w14:val="none"/>
              </w:rPr>
              <w:t>0.12</w:t>
            </w:r>
          </w:p>
        </w:tc>
        <w:tc>
          <w:tcPr>
            <w:tcW w:w="2040" w:type="dxa"/>
            <w:tcBorders>
              <w:top w:val="nil"/>
              <w:left w:val="nil"/>
              <w:bottom w:val="single" w:sz="4" w:space="0" w:color="auto"/>
              <w:right w:val="single" w:sz="4" w:space="0" w:color="auto"/>
            </w:tcBorders>
            <w:vAlign w:val="center"/>
            <w:hideMark/>
          </w:tcPr>
          <w:p w14:paraId="5AE42AFB" w14:textId="77777777" w:rsidR="005F3655" w:rsidRPr="005F3655" w:rsidRDefault="005F3655" w:rsidP="005F3655">
            <w:pPr>
              <w:spacing w:after="0" w:line="240" w:lineRule="auto"/>
              <w:jc w:val="center"/>
              <w:rPr>
                <w:rFonts w:ascii="Times New Roman" w:eastAsia="Times New Roman" w:hAnsi="Times New Roman" w:cs="Times New Roman"/>
                <w:color w:val="000000"/>
                <w:kern w:val="0"/>
                <w:sz w:val="28"/>
                <w:szCs w:val="28"/>
                <w:lang w:eastAsia="en-IN"/>
                <w14:ligatures w14:val="none"/>
              </w:rPr>
            </w:pPr>
            <w:r w:rsidRPr="005F3655">
              <w:rPr>
                <w:rFonts w:ascii="Times New Roman" w:eastAsia="Times New Roman" w:hAnsi="Times New Roman" w:cs="Times New Roman"/>
                <w:color w:val="000000"/>
                <w:kern w:val="0"/>
                <w:sz w:val="28"/>
                <w:szCs w:val="28"/>
                <w:lang w:eastAsia="en-IN"/>
                <w14:ligatures w14:val="none"/>
              </w:rPr>
              <w:t>5.46</w:t>
            </w:r>
          </w:p>
        </w:tc>
        <w:tc>
          <w:tcPr>
            <w:tcW w:w="2040" w:type="dxa"/>
            <w:tcBorders>
              <w:top w:val="nil"/>
              <w:left w:val="nil"/>
              <w:bottom w:val="single" w:sz="4" w:space="0" w:color="auto"/>
              <w:right w:val="single" w:sz="4" w:space="0" w:color="auto"/>
            </w:tcBorders>
            <w:vAlign w:val="center"/>
            <w:hideMark/>
          </w:tcPr>
          <w:p w14:paraId="7E51BEB7" w14:textId="77777777" w:rsidR="005F3655" w:rsidRPr="005F3655" w:rsidRDefault="005F3655" w:rsidP="005F3655">
            <w:pPr>
              <w:spacing w:after="0" w:line="240" w:lineRule="auto"/>
              <w:jc w:val="center"/>
              <w:rPr>
                <w:rFonts w:ascii="Times New Roman" w:eastAsia="Times New Roman" w:hAnsi="Times New Roman" w:cs="Times New Roman"/>
                <w:color w:val="000000"/>
                <w:kern w:val="0"/>
                <w:sz w:val="28"/>
                <w:szCs w:val="28"/>
                <w:lang w:eastAsia="en-IN"/>
                <w14:ligatures w14:val="none"/>
              </w:rPr>
            </w:pPr>
            <w:r w:rsidRPr="005F3655">
              <w:rPr>
                <w:rFonts w:ascii="Times New Roman" w:eastAsia="Times New Roman" w:hAnsi="Times New Roman" w:cs="Times New Roman"/>
                <w:color w:val="000000"/>
                <w:kern w:val="0"/>
                <w:sz w:val="28"/>
                <w:szCs w:val="28"/>
                <w:lang w:eastAsia="en-IN"/>
                <w14:ligatures w14:val="none"/>
              </w:rPr>
              <w:t>1.9</w:t>
            </w:r>
          </w:p>
        </w:tc>
        <w:tc>
          <w:tcPr>
            <w:tcW w:w="1111" w:type="dxa"/>
            <w:tcBorders>
              <w:top w:val="nil"/>
              <w:left w:val="nil"/>
              <w:bottom w:val="single" w:sz="4" w:space="0" w:color="auto"/>
              <w:right w:val="single" w:sz="4" w:space="0" w:color="auto"/>
            </w:tcBorders>
            <w:vAlign w:val="center"/>
            <w:hideMark/>
          </w:tcPr>
          <w:p w14:paraId="210E6306" w14:textId="77777777" w:rsidR="005F3655" w:rsidRPr="005F3655" w:rsidRDefault="005F3655" w:rsidP="005F3655">
            <w:pPr>
              <w:spacing w:after="0" w:line="240" w:lineRule="auto"/>
              <w:jc w:val="center"/>
              <w:rPr>
                <w:rFonts w:ascii="Times New Roman" w:eastAsia="Times New Roman" w:hAnsi="Times New Roman" w:cs="Times New Roman"/>
                <w:color w:val="000000"/>
                <w:kern w:val="0"/>
                <w:sz w:val="28"/>
                <w:szCs w:val="28"/>
                <w:lang w:eastAsia="en-IN"/>
                <w14:ligatures w14:val="none"/>
              </w:rPr>
            </w:pPr>
            <w:r w:rsidRPr="005F3655">
              <w:rPr>
                <w:rFonts w:ascii="Times New Roman" w:eastAsia="Times New Roman" w:hAnsi="Times New Roman" w:cs="Times New Roman"/>
                <w:color w:val="000000"/>
                <w:kern w:val="0"/>
                <w:sz w:val="28"/>
                <w:szCs w:val="28"/>
                <w:lang w:eastAsia="en-IN"/>
                <w14:ligatures w14:val="none"/>
              </w:rPr>
              <w:t>40.2</w:t>
            </w:r>
          </w:p>
        </w:tc>
        <w:tc>
          <w:tcPr>
            <w:tcW w:w="1263" w:type="dxa"/>
            <w:tcBorders>
              <w:top w:val="nil"/>
              <w:left w:val="nil"/>
              <w:bottom w:val="single" w:sz="4" w:space="0" w:color="auto"/>
              <w:right w:val="single" w:sz="4" w:space="0" w:color="auto"/>
            </w:tcBorders>
            <w:vAlign w:val="center"/>
            <w:hideMark/>
          </w:tcPr>
          <w:p w14:paraId="3FF9B06D" w14:textId="77777777" w:rsidR="005F3655" w:rsidRPr="005F3655" w:rsidRDefault="005F3655" w:rsidP="005F3655">
            <w:pPr>
              <w:spacing w:after="0" w:line="240" w:lineRule="auto"/>
              <w:jc w:val="center"/>
              <w:rPr>
                <w:rFonts w:ascii="Times New Roman" w:eastAsia="Times New Roman" w:hAnsi="Times New Roman" w:cs="Times New Roman"/>
                <w:color w:val="000000"/>
                <w:kern w:val="0"/>
                <w:sz w:val="28"/>
                <w:szCs w:val="28"/>
                <w:lang w:eastAsia="en-IN"/>
                <w14:ligatures w14:val="none"/>
              </w:rPr>
            </w:pPr>
            <w:r w:rsidRPr="005F3655">
              <w:rPr>
                <w:rFonts w:ascii="Times New Roman" w:eastAsia="Times New Roman" w:hAnsi="Times New Roman" w:cs="Times New Roman"/>
                <w:color w:val="000000"/>
                <w:kern w:val="0"/>
                <w:sz w:val="28"/>
                <w:szCs w:val="28"/>
                <w:lang w:eastAsia="en-IN"/>
                <w14:ligatures w14:val="none"/>
              </w:rPr>
              <w:t>31</w:t>
            </w:r>
          </w:p>
        </w:tc>
        <w:tc>
          <w:tcPr>
            <w:tcW w:w="1550" w:type="dxa"/>
            <w:tcBorders>
              <w:top w:val="nil"/>
              <w:left w:val="nil"/>
              <w:bottom w:val="single" w:sz="4" w:space="0" w:color="auto"/>
              <w:right w:val="single" w:sz="4" w:space="0" w:color="auto"/>
            </w:tcBorders>
            <w:vAlign w:val="center"/>
            <w:hideMark/>
          </w:tcPr>
          <w:p w14:paraId="68F217DE" w14:textId="77777777" w:rsidR="005F3655" w:rsidRPr="005F3655" w:rsidRDefault="005F3655" w:rsidP="005F3655">
            <w:pPr>
              <w:spacing w:after="0" w:line="240" w:lineRule="auto"/>
              <w:jc w:val="center"/>
              <w:rPr>
                <w:rFonts w:ascii="Times New Roman" w:eastAsia="Times New Roman" w:hAnsi="Times New Roman" w:cs="Times New Roman"/>
                <w:color w:val="000000"/>
                <w:kern w:val="0"/>
                <w:sz w:val="28"/>
                <w:szCs w:val="28"/>
                <w:lang w:eastAsia="en-IN"/>
                <w14:ligatures w14:val="none"/>
              </w:rPr>
            </w:pPr>
            <w:r w:rsidRPr="005F3655">
              <w:rPr>
                <w:rFonts w:ascii="Times New Roman" w:eastAsia="Times New Roman" w:hAnsi="Times New Roman" w:cs="Times New Roman"/>
                <w:color w:val="000000"/>
                <w:kern w:val="0"/>
                <w:sz w:val="28"/>
                <w:szCs w:val="28"/>
                <w:lang w:eastAsia="en-IN"/>
                <w14:ligatures w14:val="none"/>
              </w:rPr>
              <w:t>105</w:t>
            </w:r>
          </w:p>
        </w:tc>
        <w:tc>
          <w:tcPr>
            <w:tcW w:w="1331" w:type="dxa"/>
            <w:tcBorders>
              <w:top w:val="nil"/>
              <w:left w:val="nil"/>
              <w:bottom w:val="single" w:sz="4" w:space="0" w:color="auto"/>
              <w:right w:val="single" w:sz="4" w:space="0" w:color="auto"/>
            </w:tcBorders>
            <w:vAlign w:val="center"/>
            <w:hideMark/>
          </w:tcPr>
          <w:p w14:paraId="2A8A8A6C" w14:textId="77777777" w:rsidR="005F3655" w:rsidRPr="005F3655" w:rsidRDefault="005F3655" w:rsidP="005F3655">
            <w:pPr>
              <w:spacing w:after="0" w:line="240" w:lineRule="auto"/>
              <w:jc w:val="center"/>
              <w:rPr>
                <w:rFonts w:ascii="Times New Roman" w:eastAsia="Times New Roman" w:hAnsi="Times New Roman" w:cs="Times New Roman"/>
                <w:color w:val="000000"/>
                <w:kern w:val="0"/>
                <w:sz w:val="28"/>
                <w:szCs w:val="28"/>
                <w:lang w:eastAsia="en-IN"/>
                <w14:ligatures w14:val="none"/>
              </w:rPr>
            </w:pPr>
            <w:r w:rsidRPr="005F3655">
              <w:rPr>
                <w:rFonts w:ascii="Times New Roman" w:eastAsia="Times New Roman" w:hAnsi="Times New Roman" w:cs="Times New Roman"/>
                <w:color w:val="000000"/>
                <w:kern w:val="0"/>
                <w:sz w:val="28"/>
                <w:szCs w:val="28"/>
                <w:lang w:eastAsia="en-IN"/>
                <w14:ligatures w14:val="none"/>
              </w:rPr>
              <w:t>26.2</w:t>
            </w:r>
          </w:p>
        </w:tc>
        <w:tc>
          <w:tcPr>
            <w:tcW w:w="1483" w:type="dxa"/>
            <w:tcBorders>
              <w:top w:val="nil"/>
              <w:left w:val="nil"/>
              <w:bottom w:val="single" w:sz="4" w:space="0" w:color="auto"/>
              <w:right w:val="single" w:sz="4" w:space="0" w:color="auto"/>
            </w:tcBorders>
            <w:vAlign w:val="center"/>
            <w:hideMark/>
          </w:tcPr>
          <w:p w14:paraId="1FED24DB" w14:textId="77777777" w:rsidR="005F3655" w:rsidRPr="005F3655" w:rsidRDefault="005F3655" w:rsidP="005F3655">
            <w:pPr>
              <w:spacing w:after="0" w:line="240" w:lineRule="auto"/>
              <w:jc w:val="center"/>
              <w:rPr>
                <w:rFonts w:ascii="Times New Roman" w:eastAsia="Times New Roman" w:hAnsi="Times New Roman" w:cs="Times New Roman"/>
                <w:color w:val="000000"/>
                <w:kern w:val="0"/>
                <w:sz w:val="28"/>
                <w:szCs w:val="28"/>
                <w:lang w:eastAsia="en-IN"/>
                <w14:ligatures w14:val="none"/>
              </w:rPr>
            </w:pPr>
            <w:r w:rsidRPr="005F3655">
              <w:rPr>
                <w:rFonts w:ascii="Times New Roman" w:eastAsia="Times New Roman" w:hAnsi="Times New Roman" w:cs="Times New Roman"/>
                <w:color w:val="000000"/>
                <w:kern w:val="0"/>
                <w:sz w:val="28"/>
                <w:szCs w:val="28"/>
                <w:lang w:eastAsia="en-IN"/>
                <w14:ligatures w14:val="none"/>
              </w:rPr>
              <w:t>7.1</w:t>
            </w:r>
          </w:p>
        </w:tc>
      </w:tr>
      <w:tr w:rsidR="005F3655" w:rsidRPr="005F3655" w14:paraId="7FA7E8F3" w14:textId="77777777" w:rsidTr="005F3655">
        <w:trPr>
          <w:trHeight w:val="20"/>
        </w:trPr>
        <w:tc>
          <w:tcPr>
            <w:tcW w:w="1752" w:type="dxa"/>
            <w:tcBorders>
              <w:top w:val="nil"/>
              <w:left w:val="single" w:sz="4" w:space="0" w:color="auto"/>
              <w:bottom w:val="single" w:sz="4" w:space="0" w:color="auto"/>
              <w:right w:val="single" w:sz="4" w:space="0" w:color="auto"/>
            </w:tcBorders>
            <w:vAlign w:val="center"/>
            <w:hideMark/>
          </w:tcPr>
          <w:p w14:paraId="1260EA25" w14:textId="77777777" w:rsidR="005F3655" w:rsidRPr="005F3655" w:rsidRDefault="005F3655" w:rsidP="005F3655">
            <w:pPr>
              <w:spacing w:after="0" w:line="240" w:lineRule="auto"/>
              <w:rPr>
                <w:rFonts w:ascii="Times New Roman" w:eastAsia="Times New Roman" w:hAnsi="Times New Roman" w:cs="Times New Roman"/>
                <w:color w:val="000000"/>
                <w:kern w:val="0"/>
                <w:sz w:val="28"/>
                <w:szCs w:val="28"/>
                <w:lang w:eastAsia="en-IN"/>
                <w14:ligatures w14:val="none"/>
              </w:rPr>
            </w:pPr>
            <w:r w:rsidRPr="005F3655">
              <w:rPr>
                <w:rFonts w:ascii="Times New Roman" w:eastAsia="Times New Roman" w:hAnsi="Times New Roman" w:cs="Times New Roman"/>
                <w:color w:val="000000"/>
                <w:kern w:val="0"/>
                <w:sz w:val="28"/>
                <w:szCs w:val="28"/>
                <w:lang w:eastAsia="en-IN"/>
                <w14:ligatures w14:val="none"/>
              </w:rPr>
              <w:t>Bihar</w:t>
            </w:r>
          </w:p>
        </w:tc>
        <w:tc>
          <w:tcPr>
            <w:tcW w:w="2040" w:type="dxa"/>
            <w:tcBorders>
              <w:top w:val="nil"/>
              <w:left w:val="nil"/>
              <w:bottom w:val="single" w:sz="4" w:space="0" w:color="auto"/>
              <w:right w:val="single" w:sz="4" w:space="0" w:color="auto"/>
            </w:tcBorders>
            <w:vAlign w:val="center"/>
            <w:hideMark/>
          </w:tcPr>
          <w:p w14:paraId="2B034A96" w14:textId="77777777" w:rsidR="005F3655" w:rsidRPr="005F3655" w:rsidRDefault="005F3655" w:rsidP="005F3655">
            <w:pPr>
              <w:spacing w:after="0" w:line="240" w:lineRule="auto"/>
              <w:jc w:val="center"/>
              <w:rPr>
                <w:rFonts w:ascii="Times New Roman" w:eastAsia="Times New Roman" w:hAnsi="Times New Roman" w:cs="Times New Roman"/>
                <w:color w:val="000000"/>
                <w:kern w:val="0"/>
                <w:sz w:val="28"/>
                <w:szCs w:val="28"/>
                <w:lang w:eastAsia="en-IN"/>
                <w14:ligatures w14:val="none"/>
              </w:rPr>
            </w:pPr>
            <w:r w:rsidRPr="005F3655">
              <w:rPr>
                <w:rFonts w:ascii="Times New Roman" w:eastAsia="Times New Roman" w:hAnsi="Times New Roman" w:cs="Times New Roman"/>
                <w:color w:val="000000"/>
                <w:kern w:val="0"/>
                <w:sz w:val="28"/>
                <w:szCs w:val="28"/>
                <w:lang w:eastAsia="en-IN"/>
                <w14:ligatures w14:val="none"/>
              </w:rPr>
              <w:t>1.43</w:t>
            </w:r>
          </w:p>
        </w:tc>
        <w:tc>
          <w:tcPr>
            <w:tcW w:w="2040" w:type="dxa"/>
            <w:tcBorders>
              <w:top w:val="nil"/>
              <w:left w:val="nil"/>
              <w:bottom w:val="single" w:sz="4" w:space="0" w:color="auto"/>
              <w:right w:val="single" w:sz="4" w:space="0" w:color="auto"/>
            </w:tcBorders>
            <w:vAlign w:val="center"/>
            <w:hideMark/>
          </w:tcPr>
          <w:p w14:paraId="3851185C" w14:textId="77777777" w:rsidR="005F3655" w:rsidRPr="005F3655" w:rsidRDefault="005F3655" w:rsidP="005F3655">
            <w:pPr>
              <w:spacing w:after="0" w:line="240" w:lineRule="auto"/>
              <w:jc w:val="center"/>
              <w:rPr>
                <w:rFonts w:ascii="Times New Roman" w:eastAsia="Times New Roman" w:hAnsi="Times New Roman" w:cs="Times New Roman"/>
                <w:color w:val="000000"/>
                <w:kern w:val="0"/>
                <w:sz w:val="28"/>
                <w:szCs w:val="28"/>
                <w:lang w:eastAsia="en-IN"/>
                <w14:ligatures w14:val="none"/>
              </w:rPr>
            </w:pPr>
            <w:r w:rsidRPr="005F3655">
              <w:rPr>
                <w:rFonts w:ascii="Times New Roman" w:eastAsia="Times New Roman" w:hAnsi="Times New Roman" w:cs="Times New Roman"/>
                <w:color w:val="000000"/>
                <w:kern w:val="0"/>
                <w:sz w:val="28"/>
                <w:szCs w:val="28"/>
                <w:lang w:eastAsia="en-IN"/>
                <w14:ligatures w14:val="none"/>
              </w:rPr>
              <w:t>15.54</w:t>
            </w:r>
          </w:p>
        </w:tc>
        <w:tc>
          <w:tcPr>
            <w:tcW w:w="2040" w:type="dxa"/>
            <w:tcBorders>
              <w:top w:val="nil"/>
              <w:left w:val="nil"/>
              <w:bottom w:val="single" w:sz="4" w:space="0" w:color="auto"/>
              <w:right w:val="single" w:sz="4" w:space="0" w:color="auto"/>
            </w:tcBorders>
            <w:vAlign w:val="center"/>
            <w:hideMark/>
          </w:tcPr>
          <w:p w14:paraId="1A206049" w14:textId="10D72506" w:rsidR="005F3655" w:rsidRPr="005F3655" w:rsidRDefault="005F3655" w:rsidP="005F3655">
            <w:pPr>
              <w:spacing w:after="0" w:line="240" w:lineRule="auto"/>
              <w:jc w:val="center"/>
              <w:rPr>
                <w:rFonts w:ascii="Times New Roman" w:eastAsia="Times New Roman" w:hAnsi="Times New Roman" w:cs="Times New Roman"/>
                <w:color w:val="000000"/>
                <w:kern w:val="0"/>
                <w:sz w:val="28"/>
                <w:szCs w:val="28"/>
                <w:lang w:eastAsia="en-IN"/>
                <w14:ligatures w14:val="none"/>
              </w:rPr>
            </w:pPr>
            <w:r w:rsidRPr="005F3655">
              <w:rPr>
                <w:rFonts w:ascii="Times New Roman" w:eastAsia="Times New Roman" w:hAnsi="Times New Roman" w:cs="Times New Roman"/>
                <w:color w:val="000000"/>
                <w:kern w:val="0"/>
                <w:sz w:val="28"/>
                <w:szCs w:val="28"/>
                <w:lang w:eastAsia="en-IN"/>
                <w14:ligatures w14:val="none"/>
              </w:rPr>
              <w:t>27.</w:t>
            </w:r>
            <w:r>
              <w:rPr>
                <w:rFonts w:ascii="Times New Roman" w:eastAsia="Times New Roman" w:hAnsi="Times New Roman" w:cs="Times New Roman"/>
                <w:color w:val="000000"/>
                <w:kern w:val="0"/>
                <w:sz w:val="28"/>
                <w:szCs w:val="28"/>
                <w:lang w:eastAsia="en-IN"/>
                <w14:ligatures w14:val="none"/>
              </w:rPr>
              <w:t>6</w:t>
            </w:r>
            <w:r w:rsidRPr="005F3655">
              <w:rPr>
                <w:rFonts w:ascii="Times New Roman" w:eastAsia="Times New Roman" w:hAnsi="Times New Roman" w:cs="Times New Roman"/>
                <w:color w:val="000000"/>
                <w:kern w:val="0"/>
                <w:sz w:val="28"/>
                <w:szCs w:val="28"/>
                <w:lang w:eastAsia="en-IN"/>
                <w14:ligatures w14:val="none"/>
              </w:rPr>
              <w:t>2</w:t>
            </w:r>
          </w:p>
        </w:tc>
        <w:tc>
          <w:tcPr>
            <w:tcW w:w="1111" w:type="dxa"/>
            <w:tcBorders>
              <w:top w:val="nil"/>
              <w:left w:val="nil"/>
              <w:bottom w:val="single" w:sz="4" w:space="0" w:color="auto"/>
              <w:right w:val="single" w:sz="4" w:space="0" w:color="auto"/>
            </w:tcBorders>
            <w:vAlign w:val="center"/>
            <w:hideMark/>
          </w:tcPr>
          <w:p w14:paraId="671A8258" w14:textId="77777777" w:rsidR="005F3655" w:rsidRPr="005F3655" w:rsidRDefault="005F3655" w:rsidP="005F3655">
            <w:pPr>
              <w:spacing w:after="0" w:line="240" w:lineRule="auto"/>
              <w:jc w:val="center"/>
              <w:rPr>
                <w:rFonts w:ascii="Times New Roman" w:eastAsia="Times New Roman" w:hAnsi="Times New Roman" w:cs="Times New Roman"/>
                <w:color w:val="000000"/>
                <w:kern w:val="0"/>
                <w:sz w:val="28"/>
                <w:szCs w:val="28"/>
                <w:lang w:eastAsia="en-IN"/>
                <w14:ligatures w14:val="none"/>
              </w:rPr>
            </w:pPr>
            <w:r w:rsidRPr="005F3655">
              <w:rPr>
                <w:rFonts w:ascii="Times New Roman" w:eastAsia="Times New Roman" w:hAnsi="Times New Roman" w:cs="Times New Roman"/>
                <w:color w:val="000000"/>
                <w:kern w:val="0"/>
                <w:sz w:val="28"/>
                <w:szCs w:val="28"/>
                <w:lang w:eastAsia="en-IN"/>
                <w14:ligatures w14:val="none"/>
              </w:rPr>
              <w:t>356.5</w:t>
            </w:r>
          </w:p>
        </w:tc>
        <w:tc>
          <w:tcPr>
            <w:tcW w:w="1263" w:type="dxa"/>
            <w:tcBorders>
              <w:top w:val="nil"/>
              <w:left w:val="nil"/>
              <w:bottom w:val="single" w:sz="4" w:space="0" w:color="auto"/>
              <w:right w:val="single" w:sz="4" w:space="0" w:color="auto"/>
            </w:tcBorders>
            <w:vAlign w:val="center"/>
            <w:hideMark/>
          </w:tcPr>
          <w:p w14:paraId="7F076226" w14:textId="77777777" w:rsidR="005F3655" w:rsidRPr="005F3655" w:rsidRDefault="005F3655" w:rsidP="005F3655">
            <w:pPr>
              <w:spacing w:after="0" w:line="240" w:lineRule="auto"/>
              <w:jc w:val="center"/>
              <w:rPr>
                <w:rFonts w:ascii="Times New Roman" w:eastAsia="Times New Roman" w:hAnsi="Times New Roman" w:cs="Times New Roman"/>
                <w:color w:val="000000"/>
                <w:kern w:val="0"/>
                <w:sz w:val="28"/>
                <w:szCs w:val="28"/>
                <w:lang w:eastAsia="en-IN"/>
                <w14:ligatures w14:val="none"/>
              </w:rPr>
            </w:pPr>
            <w:r w:rsidRPr="005F3655">
              <w:rPr>
                <w:rFonts w:ascii="Times New Roman" w:eastAsia="Times New Roman" w:hAnsi="Times New Roman" w:cs="Times New Roman"/>
                <w:color w:val="000000"/>
                <w:kern w:val="0"/>
                <w:sz w:val="28"/>
                <w:szCs w:val="28"/>
                <w:lang w:eastAsia="en-IN"/>
                <w14:ligatures w14:val="none"/>
              </w:rPr>
              <w:t>739.2</w:t>
            </w:r>
          </w:p>
        </w:tc>
        <w:tc>
          <w:tcPr>
            <w:tcW w:w="1550" w:type="dxa"/>
            <w:tcBorders>
              <w:top w:val="nil"/>
              <w:left w:val="nil"/>
              <w:bottom w:val="single" w:sz="4" w:space="0" w:color="auto"/>
              <w:right w:val="single" w:sz="4" w:space="0" w:color="auto"/>
            </w:tcBorders>
            <w:vAlign w:val="center"/>
            <w:hideMark/>
          </w:tcPr>
          <w:p w14:paraId="594D597E" w14:textId="77777777" w:rsidR="005F3655" w:rsidRPr="005F3655" w:rsidRDefault="005F3655" w:rsidP="005F3655">
            <w:pPr>
              <w:spacing w:after="0" w:line="240" w:lineRule="auto"/>
              <w:jc w:val="center"/>
              <w:rPr>
                <w:rFonts w:ascii="Times New Roman" w:eastAsia="Times New Roman" w:hAnsi="Times New Roman" w:cs="Times New Roman"/>
                <w:color w:val="000000"/>
                <w:kern w:val="0"/>
                <w:sz w:val="28"/>
                <w:szCs w:val="28"/>
                <w:lang w:eastAsia="en-IN"/>
                <w14:ligatures w14:val="none"/>
              </w:rPr>
            </w:pPr>
            <w:r w:rsidRPr="005F3655">
              <w:rPr>
                <w:rFonts w:ascii="Times New Roman" w:eastAsia="Times New Roman" w:hAnsi="Times New Roman" w:cs="Times New Roman"/>
                <w:color w:val="000000"/>
                <w:kern w:val="0"/>
                <w:sz w:val="28"/>
                <w:szCs w:val="28"/>
                <w:lang w:eastAsia="en-IN"/>
                <w14:ligatures w14:val="none"/>
              </w:rPr>
              <w:t>571</w:t>
            </w:r>
          </w:p>
        </w:tc>
        <w:tc>
          <w:tcPr>
            <w:tcW w:w="1331" w:type="dxa"/>
            <w:tcBorders>
              <w:top w:val="nil"/>
              <w:left w:val="nil"/>
              <w:bottom w:val="single" w:sz="4" w:space="0" w:color="auto"/>
              <w:right w:val="single" w:sz="4" w:space="0" w:color="auto"/>
            </w:tcBorders>
            <w:vAlign w:val="center"/>
            <w:hideMark/>
          </w:tcPr>
          <w:p w14:paraId="076F2333" w14:textId="77777777" w:rsidR="005F3655" w:rsidRPr="005F3655" w:rsidRDefault="005F3655" w:rsidP="005F3655">
            <w:pPr>
              <w:spacing w:after="0" w:line="240" w:lineRule="auto"/>
              <w:jc w:val="center"/>
              <w:rPr>
                <w:rFonts w:ascii="Times New Roman" w:eastAsia="Times New Roman" w:hAnsi="Times New Roman" w:cs="Times New Roman"/>
                <w:color w:val="000000"/>
                <w:kern w:val="0"/>
                <w:sz w:val="28"/>
                <w:szCs w:val="28"/>
                <w:lang w:eastAsia="en-IN"/>
                <w14:ligatures w14:val="none"/>
              </w:rPr>
            </w:pPr>
            <w:r w:rsidRPr="005F3655">
              <w:rPr>
                <w:rFonts w:ascii="Times New Roman" w:eastAsia="Times New Roman" w:hAnsi="Times New Roman" w:cs="Times New Roman"/>
                <w:color w:val="000000"/>
                <w:kern w:val="0"/>
                <w:sz w:val="28"/>
                <w:szCs w:val="28"/>
                <w:lang w:eastAsia="en-IN"/>
                <w14:ligatures w14:val="none"/>
              </w:rPr>
              <w:t>21.3</w:t>
            </w:r>
          </w:p>
        </w:tc>
        <w:tc>
          <w:tcPr>
            <w:tcW w:w="1483" w:type="dxa"/>
            <w:tcBorders>
              <w:top w:val="nil"/>
              <w:left w:val="nil"/>
              <w:bottom w:val="single" w:sz="4" w:space="0" w:color="auto"/>
              <w:right w:val="single" w:sz="4" w:space="0" w:color="auto"/>
            </w:tcBorders>
            <w:vAlign w:val="center"/>
            <w:hideMark/>
          </w:tcPr>
          <w:p w14:paraId="4DA608A2" w14:textId="77777777" w:rsidR="005F3655" w:rsidRPr="005F3655" w:rsidRDefault="005F3655" w:rsidP="005F3655">
            <w:pPr>
              <w:spacing w:after="0" w:line="240" w:lineRule="auto"/>
              <w:jc w:val="center"/>
              <w:rPr>
                <w:rFonts w:ascii="Times New Roman" w:eastAsia="Times New Roman" w:hAnsi="Times New Roman" w:cs="Times New Roman"/>
                <w:color w:val="000000"/>
                <w:kern w:val="0"/>
                <w:sz w:val="28"/>
                <w:szCs w:val="28"/>
                <w:lang w:eastAsia="en-IN"/>
                <w14:ligatures w14:val="none"/>
              </w:rPr>
            </w:pPr>
            <w:r w:rsidRPr="005F3655">
              <w:rPr>
                <w:rFonts w:ascii="Times New Roman" w:eastAsia="Times New Roman" w:hAnsi="Times New Roman" w:cs="Times New Roman"/>
                <w:color w:val="000000"/>
                <w:kern w:val="0"/>
                <w:sz w:val="28"/>
                <w:szCs w:val="28"/>
                <w:lang w:eastAsia="en-IN"/>
                <w14:ligatures w14:val="none"/>
              </w:rPr>
              <w:t>7.8</w:t>
            </w:r>
          </w:p>
        </w:tc>
      </w:tr>
      <w:tr w:rsidR="005F3655" w:rsidRPr="005F3655" w14:paraId="0737686C" w14:textId="77777777" w:rsidTr="005F3655">
        <w:trPr>
          <w:trHeight w:val="20"/>
        </w:trPr>
        <w:tc>
          <w:tcPr>
            <w:tcW w:w="1752" w:type="dxa"/>
            <w:tcBorders>
              <w:top w:val="nil"/>
              <w:left w:val="single" w:sz="4" w:space="0" w:color="auto"/>
              <w:bottom w:val="single" w:sz="4" w:space="0" w:color="auto"/>
              <w:right w:val="single" w:sz="4" w:space="0" w:color="auto"/>
            </w:tcBorders>
            <w:vAlign w:val="center"/>
            <w:hideMark/>
          </w:tcPr>
          <w:p w14:paraId="67A0AD62" w14:textId="77777777" w:rsidR="005F3655" w:rsidRPr="005F3655" w:rsidRDefault="005F3655" w:rsidP="005F3655">
            <w:pPr>
              <w:spacing w:after="0" w:line="240" w:lineRule="auto"/>
              <w:rPr>
                <w:rFonts w:ascii="Times New Roman" w:eastAsia="Times New Roman" w:hAnsi="Times New Roman" w:cs="Times New Roman"/>
                <w:color w:val="000000"/>
                <w:kern w:val="0"/>
                <w:sz w:val="28"/>
                <w:szCs w:val="28"/>
                <w:lang w:eastAsia="en-IN"/>
                <w14:ligatures w14:val="none"/>
              </w:rPr>
            </w:pPr>
            <w:r w:rsidRPr="005F3655">
              <w:rPr>
                <w:rFonts w:ascii="Times New Roman" w:eastAsia="Times New Roman" w:hAnsi="Times New Roman" w:cs="Times New Roman"/>
                <w:color w:val="000000"/>
                <w:kern w:val="0"/>
                <w:sz w:val="28"/>
                <w:szCs w:val="28"/>
                <w:lang w:eastAsia="en-IN"/>
                <w14:ligatures w14:val="none"/>
              </w:rPr>
              <w:t>Gujarat</w:t>
            </w:r>
          </w:p>
        </w:tc>
        <w:tc>
          <w:tcPr>
            <w:tcW w:w="2040" w:type="dxa"/>
            <w:tcBorders>
              <w:top w:val="nil"/>
              <w:left w:val="nil"/>
              <w:bottom w:val="single" w:sz="4" w:space="0" w:color="auto"/>
              <w:right w:val="single" w:sz="4" w:space="0" w:color="auto"/>
            </w:tcBorders>
            <w:vAlign w:val="center"/>
            <w:hideMark/>
          </w:tcPr>
          <w:p w14:paraId="1A28733A" w14:textId="77777777" w:rsidR="005F3655" w:rsidRPr="005F3655" w:rsidRDefault="005F3655" w:rsidP="005F3655">
            <w:pPr>
              <w:spacing w:after="0" w:line="240" w:lineRule="auto"/>
              <w:jc w:val="center"/>
              <w:rPr>
                <w:rFonts w:ascii="Times New Roman" w:eastAsia="Times New Roman" w:hAnsi="Times New Roman" w:cs="Times New Roman"/>
                <w:color w:val="000000"/>
                <w:kern w:val="0"/>
                <w:sz w:val="28"/>
                <w:szCs w:val="28"/>
                <w:lang w:eastAsia="en-IN"/>
                <w14:ligatures w14:val="none"/>
              </w:rPr>
            </w:pPr>
            <w:r w:rsidRPr="005F3655">
              <w:rPr>
                <w:rFonts w:ascii="Times New Roman" w:eastAsia="Times New Roman" w:hAnsi="Times New Roman" w:cs="Times New Roman"/>
                <w:color w:val="000000"/>
                <w:kern w:val="0"/>
                <w:sz w:val="28"/>
                <w:szCs w:val="28"/>
                <w:lang w:eastAsia="en-IN"/>
                <w14:ligatures w14:val="none"/>
              </w:rPr>
              <w:t>29.83</w:t>
            </w:r>
          </w:p>
        </w:tc>
        <w:tc>
          <w:tcPr>
            <w:tcW w:w="2040" w:type="dxa"/>
            <w:tcBorders>
              <w:top w:val="nil"/>
              <w:left w:val="nil"/>
              <w:bottom w:val="single" w:sz="4" w:space="0" w:color="auto"/>
              <w:right w:val="single" w:sz="4" w:space="0" w:color="auto"/>
            </w:tcBorders>
            <w:vAlign w:val="center"/>
            <w:hideMark/>
          </w:tcPr>
          <w:p w14:paraId="1CD93DC2" w14:textId="77777777" w:rsidR="005F3655" w:rsidRPr="005F3655" w:rsidRDefault="005F3655" w:rsidP="005F3655">
            <w:pPr>
              <w:spacing w:after="0" w:line="240" w:lineRule="auto"/>
              <w:jc w:val="center"/>
              <w:rPr>
                <w:rFonts w:ascii="Times New Roman" w:eastAsia="Times New Roman" w:hAnsi="Times New Roman" w:cs="Times New Roman"/>
                <w:color w:val="000000"/>
                <w:kern w:val="0"/>
                <w:sz w:val="28"/>
                <w:szCs w:val="28"/>
                <w:lang w:eastAsia="en-IN"/>
                <w14:ligatures w14:val="none"/>
              </w:rPr>
            </w:pPr>
            <w:r w:rsidRPr="005F3655">
              <w:rPr>
                <w:rFonts w:ascii="Times New Roman" w:eastAsia="Times New Roman" w:hAnsi="Times New Roman" w:cs="Times New Roman"/>
                <w:color w:val="000000"/>
                <w:kern w:val="0"/>
                <w:sz w:val="28"/>
                <w:szCs w:val="28"/>
                <w:lang w:eastAsia="en-IN"/>
                <w14:ligatures w14:val="none"/>
              </w:rPr>
              <w:t>15.38</w:t>
            </w:r>
          </w:p>
        </w:tc>
        <w:tc>
          <w:tcPr>
            <w:tcW w:w="2040" w:type="dxa"/>
            <w:tcBorders>
              <w:top w:val="nil"/>
              <w:left w:val="nil"/>
              <w:bottom w:val="single" w:sz="4" w:space="0" w:color="auto"/>
              <w:right w:val="single" w:sz="4" w:space="0" w:color="auto"/>
            </w:tcBorders>
            <w:vAlign w:val="center"/>
            <w:hideMark/>
          </w:tcPr>
          <w:p w14:paraId="5522EC1B" w14:textId="77777777" w:rsidR="005F3655" w:rsidRPr="005F3655" w:rsidRDefault="005F3655" w:rsidP="005F3655">
            <w:pPr>
              <w:spacing w:after="0" w:line="240" w:lineRule="auto"/>
              <w:jc w:val="center"/>
              <w:rPr>
                <w:rFonts w:ascii="Times New Roman" w:eastAsia="Times New Roman" w:hAnsi="Times New Roman" w:cs="Times New Roman"/>
                <w:color w:val="000000"/>
                <w:kern w:val="0"/>
                <w:sz w:val="28"/>
                <w:szCs w:val="28"/>
                <w:lang w:eastAsia="en-IN"/>
                <w14:ligatures w14:val="none"/>
              </w:rPr>
            </w:pPr>
            <w:r w:rsidRPr="005F3655">
              <w:rPr>
                <w:rFonts w:ascii="Times New Roman" w:eastAsia="Times New Roman" w:hAnsi="Times New Roman" w:cs="Times New Roman"/>
                <w:color w:val="000000"/>
                <w:kern w:val="0"/>
                <w:sz w:val="28"/>
                <w:szCs w:val="28"/>
                <w:lang w:eastAsia="en-IN"/>
                <w14:ligatures w14:val="none"/>
              </w:rPr>
              <w:t>23.92</w:t>
            </w:r>
          </w:p>
        </w:tc>
        <w:tc>
          <w:tcPr>
            <w:tcW w:w="1111" w:type="dxa"/>
            <w:tcBorders>
              <w:top w:val="nil"/>
              <w:left w:val="nil"/>
              <w:bottom w:val="single" w:sz="4" w:space="0" w:color="auto"/>
              <w:right w:val="single" w:sz="4" w:space="0" w:color="auto"/>
            </w:tcBorders>
            <w:vAlign w:val="center"/>
            <w:hideMark/>
          </w:tcPr>
          <w:p w14:paraId="37C89D3A" w14:textId="77777777" w:rsidR="005F3655" w:rsidRPr="005F3655" w:rsidRDefault="005F3655" w:rsidP="005F3655">
            <w:pPr>
              <w:spacing w:after="0" w:line="240" w:lineRule="auto"/>
              <w:jc w:val="center"/>
              <w:rPr>
                <w:rFonts w:ascii="Times New Roman" w:eastAsia="Times New Roman" w:hAnsi="Times New Roman" w:cs="Times New Roman"/>
                <w:color w:val="000000"/>
                <w:kern w:val="0"/>
                <w:sz w:val="28"/>
                <w:szCs w:val="28"/>
                <w:lang w:eastAsia="en-IN"/>
                <w14:ligatures w14:val="none"/>
              </w:rPr>
            </w:pPr>
            <w:r w:rsidRPr="005F3655">
              <w:rPr>
                <w:rFonts w:ascii="Times New Roman" w:eastAsia="Times New Roman" w:hAnsi="Times New Roman" w:cs="Times New Roman"/>
                <w:color w:val="000000"/>
                <w:kern w:val="0"/>
                <w:sz w:val="28"/>
                <w:szCs w:val="28"/>
                <w:lang w:eastAsia="en-IN"/>
                <w14:ligatures w14:val="none"/>
              </w:rPr>
              <w:t>48</w:t>
            </w:r>
          </w:p>
        </w:tc>
        <w:tc>
          <w:tcPr>
            <w:tcW w:w="1263" w:type="dxa"/>
            <w:tcBorders>
              <w:top w:val="nil"/>
              <w:left w:val="nil"/>
              <w:bottom w:val="single" w:sz="4" w:space="0" w:color="auto"/>
              <w:right w:val="single" w:sz="4" w:space="0" w:color="auto"/>
            </w:tcBorders>
            <w:vAlign w:val="center"/>
            <w:hideMark/>
          </w:tcPr>
          <w:p w14:paraId="2644969C" w14:textId="77777777" w:rsidR="005F3655" w:rsidRPr="005F3655" w:rsidRDefault="005F3655" w:rsidP="005F3655">
            <w:pPr>
              <w:spacing w:after="0" w:line="240" w:lineRule="auto"/>
              <w:jc w:val="center"/>
              <w:rPr>
                <w:rFonts w:ascii="Times New Roman" w:eastAsia="Times New Roman" w:hAnsi="Times New Roman" w:cs="Times New Roman"/>
                <w:color w:val="000000"/>
                <w:kern w:val="0"/>
                <w:sz w:val="28"/>
                <w:szCs w:val="28"/>
                <w:lang w:eastAsia="en-IN"/>
                <w14:ligatures w14:val="none"/>
              </w:rPr>
            </w:pPr>
            <w:r w:rsidRPr="005F3655">
              <w:rPr>
                <w:rFonts w:ascii="Times New Roman" w:eastAsia="Times New Roman" w:hAnsi="Times New Roman" w:cs="Times New Roman"/>
                <w:color w:val="000000"/>
                <w:kern w:val="0"/>
                <w:sz w:val="28"/>
                <w:szCs w:val="28"/>
                <w:lang w:eastAsia="en-IN"/>
                <w14:ligatures w14:val="none"/>
              </w:rPr>
              <w:t>111.5</w:t>
            </w:r>
          </w:p>
        </w:tc>
        <w:tc>
          <w:tcPr>
            <w:tcW w:w="1550" w:type="dxa"/>
            <w:tcBorders>
              <w:top w:val="nil"/>
              <w:left w:val="nil"/>
              <w:bottom w:val="single" w:sz="4" w:space="0" w:color="auto"/>
              <w:right w:val="single" w:sz="4" w:space="0" w:color="auto"/>
            </w:tcBorders>
            <w:vAlign w:val="center"/>
            <w:hideMark/>
          </w:tcPr>
          <w:p w14:paraId="30529EA9" w14:textId="77777777" w:rsidR="005F3655" w:rsidRPr="005F3655" w:rsidRDefault="005F3655" w:rsidP="005F3655">
            <w:pPr>
              <w:spacing w:after="0" w:line="240" w:lineRule="auto"/>
              <w:jc w:val="center"/>
              <w:rPr>
                <w:rFonts w:ascii="Times New Roman" w:eastAsia="Times New Roman" w:hAnsi="Times New Roman" w:cs="Times New Roman"/>
                <w:color w:val="000000"/>
                <w:kern w:val="0"/>
                <w:sz w:val="28"/>
                <w:szCs w:val="28"/>
                <w:lang w:eastAsia="en-IN"/>
                <w14:ligatures w14:val="none"/>
              </w:rPr>
            </w:pPr>
            <w:r w:rsidRPr="005F3655">
              <w:rPr>
                <w:rFonts w:ascii="Times New Roman" w:eastAsia="Times New Roman" w:hAnsi="Times New Roman" w:cs="Times New Roman"/>
                <w:color w:val="000000"/>
                <w:kern w:val="0"/>
                <w:sz w:val="28"/>
                <w:szCs w:val="28"/>
                <w:lang w:eastAsia="en-IN"/>
                <w14:ligatures w14:val="none"/>
              </w:rPr>
              <w:t>963</w:t>
            </w:r>
          </w:p>
        </w:tc>
        <w:tc>
          <w:tcPr>
            <w:tcW w:w="1331" w:type="dxa"/>
            <w:tcBorders>
              <w:top w:val="nil"/>
              <w:left w:val="nil"/>
              <w:bottom w:val="single" w:sz="4" w:space="0" w:color="auto"/>
              <w:right w:val="single" w:sz="4" w:space="0" w:color="auto"/>
            </w:tcBorders>
            <w:vAlign w:val="center"/>
            <w:hideMark/>
          </w:tcPr>
          <w:p w14:paraId="6C9D97E0" w14:textId="77777777" w:rsidR="005F3655" w:rsidRPr="005F3655" w:rsidRDefault="005F3655" w:rsidP="005F3655">
            <w:pPr>
              <w:spacing w:after="0" w:line="240" w:lineRule="auto"/>
              <w:jc w:val="center"/>
              <w:rPr>
                <w:rFonts w:ascii="Times New Roman" w:eastAsia="Times New Roman" w:hAnsi="Times New Roman" w:cs="Times New Roman"/>
                <w:color w:val="000000"/>
                <w:kern w:val="0"/>
                <w:sz w:val="28"/>
                <w:szCs w:val="28"/>
                <w:lang w:eastAsia="en-IN"/>
                <w14:ligatures w14:val="none"/>
              </w:rPr>
            </w:pPr>
            <w:r w:rsidRPr="005F3655">
              <w:rPr>
                <w:rFonts w:ascii="Times New Roman" w:eastAsia="Times New Roman" w:hAnsi="Times New Roman" w:cs="Times New Roman"/>
                <w:color w:val="000000"/>
                <w:kern w:val="0"/>
                <w:sz w:val="28"/>
                <w:szCs w:val="28"/>
                <w:lang w:eastAsia="en-IN"/>
                <w14:ligatures w14:val="none"/>
              </w:rPr>
              <w:t>124.1</w:t>
            </w:r>
          </w:p>
        </w:tc>
        <w:tc>
          <w:tcPr>
            <w:tcW w:w="1483" w:type="dxa"/>
            <w:tcBorders>
              <w:top w:val="nil"/>
              <w:left w:val="nil"/>
              <w:bottom w:val="single" w:sz="4" w:space="0" w:color="auto"/>
              <w:right w:val="single" w:sz="4" w:space="0" w:color="auto"/>
            </w:tcBorders>
            <w:vAlign w:val="center"/>
            <w:hideMark/>
          </w:tcPr>
          <w:p w14:paraId="74D86E73" w14:textId="77777777" w:rsidR="005F3655" w:rsidRPr="005F3655" w:rsidRDefault="005F3655" w:rsidP="005F3655">
            <w:pPr>
              <w:spacing w:after="0" w:line="240" w:lineRule="auto"/>
              <w:jc w:val="center"/>
              <w:rPr>
                <w:rFonts w:ascii="Times New Roman" w:eastAsia="Times New Roman" w:hAnsi="Times New Roman" w:cs="Times New Roman"/>
                <w:color w:val="000000"/>
                <w:kern w:val="0"/>
                <w:sz w:val="28"/>
                <w:szCs w:val="28"/>
                <w:lang w:eastAsia="en-IN"/>
                <w14:ligatures w14:val="none"/>
              </w:rPr>
            </w:pPr>
            <w:r w:rsidRPr="005F3655">
              <w:rPr>
                <w:rFonts w:ascii="Times New Roman" w:eastAsia="Times New Roman" w:hAnsi="Times New Roman" w:cs="Times New Roman"/>
                <w:color w:val="000000"/>
                <w:kern w:val="0"/>
                <w:sz w:val="28"/>
                <w:szCs w:val="28"/>
                <w:lang w:eastAsia="en-IN"/>
                <w14:ligatures w14:val="none"/>
              </w:rPr>
              <w:t>61.1</w:t>
            </w:r>
          </w:p>
        </w:tc>
      </w:tr>
      <w:tr w:rsidR="005F3655" w:rsidRPr="005F3655" w14:paraId="5BF8DEAB" w14:textId="77777777" w:rsidTr="005F3655">
        <w:trPr>
          <w:trHeight w:val="20"/>
        </w:trPr>
        <w:tc>
          <w:tcPr>
            <w:tcW w:w="1752" w:type="dxa"/>
            <w:tcBorders>
              <w:top w:val="nil"/>
              <w:left w:val="single" w:sz="4" w:space="0" w:color="auto"/>
              <w:bottom w:val="single" w:sz="4" w:space="0" w:color="auto"/>
              <w:right w:val="single" w:sz="4" w:space="0" w:color="auto"/>
            </w:tcBorders>
            <w:vAlign w:val="center"/>
            <w:hideMark/>
          </w:tcPr>
          <w:p w14:paraId="73ADAF6E" w14:textId="77777777" w:rsidR="005F3655" w:rsidRPr="005F3655" w:rsidRDefault="005F3655" w:rsidP="005F3655">
            <w:pPr>
              <w:spacing w:after="0" w:line="240" w:lineRule="auto"/>
              <w:rPr>
                <w:rFonts w:ascii="Times New Roman" w:eastAsia="Times New Roman" w:hAnsi="Times New Roman" w:cs="Times New Roman"/>
                <w:color w:val="000000"/>
                <w:kern w:val="0"/>
                <w:sz w:val="28"/>
                <w:szCs w:val="28"/>
                <w:lang w:eastAsia="en-IN"/>
                <w14:ligatures w14:val="none"/>
              </w:rPr>
            </w:pPr>
            <w:r w:rsidRPr="005F3655">
              <w:rPr>
                <w:rFonts w:ascii="Times New Roman" w:eastAsia="Times New Roman" w:hAnsi="Times New Roman" w:cs="Times New Roman"/>
                <w:color w:val="000000"/>
                <w:kern w:val="0"/>
                <w:sz w:val="28"/>
                <w:szCs w:val="28"/>
                <w:lang w:eastAsia="en-IN"/>
                <w14:ligatures w14:val="none"/>
              </w:rPr>
              <w:t>Haryana</w:t>
            </w:r>
          </w:p>
        </w:tc>
        <w:tc>
          <w:tcPr>
            <w:tcW w:w="2040" w:type="dxa"/>
            <w:tcBorders>
              <w:top w:val="nil"/>
              <w:left w:val="nil"/>
              <w:bottom w:val="single" w:sz="4" w:space="0" w:color="auto"/>
              <w:right w:val="single" w:sz="4" w:space="0" w:color="auto"/>
            </w:tcBorders>
            <w:vAlign w:val="center"/>
            <w:hideMark/>
          </w:tcPr>
          <w:p w14:paraId="692FF1A4" w14:textId="77777777" w:rsidR="005F3655" w:rsidRPr="005F3655" w:rsidRDefault="005F3655" w:rsidP="005F3655">
            <w:pPr>
              <w:spacing w:after="0" w:line="240" w:lineRule="auto"/>
              <w:jc w:val="center"/>
              <w:rPr>
                <w:rFonts w:ascii="Times New Roman" w:eastAsia="Times New Roman" w:hAnsi="Times New Roman" w:cs="Times New Roman"/>
                <w:color w:val="000000"/>
                <w:kern w:val="0"/>
                <w:sz w:val="28"/>
                <w:szCs w:val="28"/>
                <w:lang w:eastAsia="en-IN"/>
                <w14:ligatures w14:val="none"/>
              </w:rPr>
            </w:pPr>
            <w:r w:rsidRPr="005F3655">
              <w:rPr>
                <w:rFonts w:ascii="Times New Roman" w:eastAsia="Times New Roman" w:hAnsi="Times New Roman" w:cs="Times New Roman"/>
                <w:color w:val="000000"/>
                <w:kern w:val="0"/>
                <w:sz w:val="28"/>
                <w:szCs w:val="28"/>
                <w:lang w:eastAsia="en-IN"/>
                <w14:ligatures w14:val="none"/>
              </w:rPr>
              <w:t>1.65</w:t>
            </w:r>
          </w:p>
        </w:tc>
        <w:tc>
          <w:tcPr>
            <w:tcW w:w="2040" w:type="dxa"/>
            <w:tcBorders>
              <w:top w:val="nil"/>
              <w:left w:val="nil"/>
              <w:bottom w:val="single" w:sz="4" w:space="0" w:color="auto"/>
              <w:right w:val="single" w:sz="4" w:space="0" w:color="auto"/>
            </w:tcBorders>
            <w:vAlign w:val="center"/>
            <w:hideMark/>
          </w:tcPr>
          <w:p w14:paraId="6F5602F5" w14:textId="77777777" w:rsidR="005F3655" w:rsidRPr="005F3655" w:rsidRDefault="005F3655" w:rsidP="005F3655">
            <w:pPr>
              <w:spacing w:after="0" w:line="240" w:lineRule="auto"/>
              <w:jc w:val="center"/>
              <w:rPr>
                <w:rFonts w:ascii="Times New Roman" w:eastAsia="Times New Roman" w:hAnsi="Times New Roman" w:cs="Times New Roman"/>
                <w:color w:val="000000"/>
                <w:kern w:val="0"/>
                <w:sz w:val="28"/>
                <w:szCs w:val="28"/>
                <w:lang w:eastAsia="en-IN"/>
                <w14:ligatures w14:val="none"/>
              </w:rPr>
            </w:pPr>
            <w:r w:rsidRPr="005F3655">
              <w:rPr>
                <w:rFonts w:ascii="Times New Roman" w:eastAsia="Times New Roman" w:hAnsi="Times New Roman" w:cs="Times New Roman"/>
                <w:color w:val="000000"/>
                <w:kern w:val="0"/>
                <w:sz w:val="28"/>
                <w:szCs w:val="28"/>
                <w:lang w:eastAsia="en-IN"/>
                <w14:ligatures w14:val="none"/>
              </w:rPr>
              <w:t>4.67</w:t>
            </w:r>
          </w:p>
        </w:tc>
        <w:tc>
          <w:tcPr>
            <w:tcW w:w="2040" w:type="dxa"/>
            <w:tcBorders>
              <w:top w:val="nil"/>
              <w:left w:val="nil"/>
              <w:bottom w:val="single" w:sz="4" w:space="0" w:color="auto"/>
              <w:right w:val="single" w:sz="4" w:space="0" w:color="auto"/>
            </w:tcBorders>
            <w:vAlign w:val="center"/>
            <w:hideMark/>
          </w:tcPr>
          <w:p w14:paraId="51BC5DCD" w14:textId="77777777" w:rsidR="005F3655" w:rsidRPr="005F3655" w:rsidRDefault="005F3655" w:rsidP="005F3655">
            <w:pPr>
              <w:spacing w:after="0" w:line="240" w:lineRule="auto"/>
              <w:jc w:val="center"/>
              <w:rPr>
                <w:rFonts w:ascii="Times New Roman" w:eastAsia="Times New Roman" w:hAnsi="Times New Roman" w:cs="Times New Roman"/>
                <w:color w:val="000000"/>
                <w:kern w:val="0"/>
                <w:sz w:val="28"/>
                <w:szCs w:val="28"/>
                <w:lang w:eastAsia="en-IN"/>
                <w14:ligatures w14:val="none"/>
              </w:rPr>
            </w:pPr>
            <w:r w:rsidRPr="005F3655">
              <w:rPr>
                <w:rFonts w:ascii="Times New Roman" w:eastAsia="Times New Roman" w:hAnsi="Times New Roman" w:cs="Times New Roman"/>
                <w:color w:val="000000"/>
                <w:kern w:val="0"/>
                <w:sz w:val="28"/>
                <w:szCs w:val="28"/>
                <w:lang w:eastAsia="en-IN"/>
                <w14:ligatures w14:val="none"/>
              </w:rPr>
              <w:t>2.29</w:t>
            </w:r>
          </w:p>
        </w:tc>
        <w:tc>
          <w:tcPr>
            <w:tcW w:w="1111" w:type="dxa"/>
            <w:tcBorders>
              <w:top w:val="nil"/>
              <w:left w:val="nil"/>
              <w:bottom w:val="single" w:sz="4" w:space="0" w:color="auto"/>
              <w:right w:val="single" w:sz="4" w:space="0" w:color="auto"/>
            </w:tcBorders>
            <w:vAlign w:val="center"/>
            <w:hideMark/>
          </w:tcPr>
          <w:p w14:paraId="4267516C" w14:textId="77777777" w:rsidR="005F3655" w:rsidRPr="005F3655" w:rsidRDefault="005F3655" w:rsidP="005F3655">
            <w:pPr>
              <w:spacing w:after="0" w:line="240" w:lineRule="auto"/>
              <w:jc w:val="center"/>
              <w:rPr>
                <w:rFonts w:ascii="Times New Roman" w:eastAsia="Times New Roman" w:hAnsi="Times New Roman" w:cs="Times New Roman"/>
                <w:color w:val="000000"/>
                <w:kern w:val="0"/>
                <w:sz w:val="28"/>
                <w:szCs w:val="28"/>
                <w:lang w:eastAsia="en-IN"/>
                <w14:ligatures w14:val="none"/>
              </w:rPr>
            </w:pPr>
            <w:r w:rsidRPr="005F3655">
              <w:rPr>
                <w:rFonts w:ascii="Times New Roman" w:eastAsia="Times New Roman" w:hAnsi="Times New Roman" w:cs="Times New Roman"/>
                <w:color w:val="000000"/>
                <w:kern w:val="0"/>
                <w:sz w:val="28"/>
                <w:szCs w:val="28"/>
                <w:lang w:eastAsia="en-IN"/>
                <w14:ligatures w14:val="none"/>
              </w:rPr>
              <w:t>8.5</w:t>
            </w:r>
          </w:p>
        </w:tc>
        <w:tc>
          <w:tcPr>
            <w:tcW w:w="1263" w:type="dxa"/>
            <w:tcBorders>
              <w:top w:val="nil"/>
              <w:left w:val="nil"/>
              <w:bottom w:val="single" w:sz="4" w:space="0" w:color="auto"/>
              <w:right w:val="single" w:sz="4" w:space="0" w:color="auto"/>
            </w:tcBorders>
            <w:vAlign w:val="center"/>
            <w:hideMark/>
          </w:tcPr>
          <w:p w14:paraId="10AB6ECF" w14:textId="77777777" w:rsidR="005F3655" w:rsidRPr="005F3655" w:rsidRDefault="005F3655" w:rsidP="005F3655">
            <w:pPr>
              <w:spacing w:after="0" w:line="240" w:lineRule="auto"/>
              <w:jc w:val="center"/>
              <w:rPr>
                <w:rFonts w:ascii="Times New Roman" w:eastAsia="Times New Roman" w:hAnsi="Times New Roman" w:cs="Times New Roman"/>
                <w:color w:val="000000"/>
                <w:kern w:val="0"/>
                <w:sz w:val="28"/>
                <w:szCs w:val="28"/>
                <w:lang w:eastAsia="en-IN"/>
                <w14:ligatures w14:val="none"/>
              </w:rPr>
            </w:pPr>
            <w:r w:rsidRPr="005F3655">
              <w:rPr>
                <w:rFonts w:ascii="Times New Roman" w:eastAsia="Times New Roman" w:hAnsi="Times New Roman" w:cs="Times New Roman"/>
                <w:color w:val="000000"/>
                <w:kern w:val="0"/>
                <w:sz w:val="28"/>
                <w:szCs w:val="28"/>
                <w:lang w:eastAsia="en-IN"/>
                <w14:ligatures w14:val="none"/>
              </w:rPr>
              <w:t>–</w:t>
            </w:r>
          </w:p>
        </w:tc>
        <w:tc>
          <w:tcPr>
            <w:tcW w:w="1550" w:type="dxa"/>
            <w:tcBorders>
              <w:top w:val="nil"/>
              <w:left w:val="nil"/>
              <w:bottom w:val="single" w:sz="4" w:space="0" w:color="auto"/>
              <w:right w:val="single" w:sz="4" w:space="0" w:color="auto"/>
            </w:tcBorders>
            <w:vAlign w:val="center"/>
            <w:hideMark/>
          </w:tcPr>
          <w:p w14:paraId="1BC6B51F" w14:textId="77777777" w:rsidR="005F3655" w:rsidRPr="005F3655" w:rsidRDefault="005F3655" w:rsidP="005F3655">
            <w:pPr>
              <w:spacing w:after="0" w:line="240" w:lineRule="auto"/>
              <w:jc w:val="center"/>
              <w:rPr>
                <w:rFonts w:ascii="Times New Roman" w:eastAsia="Times New Roman" w:hAnsi="Times New Roman" w:cs="Times New Roman"/>
                <w:color w:val="000000"/>
                <w:kern w:val="0"/>
                <w:sz w:val="28"/>
                <w:szCs w:val="28"/>
                <w:lang w:eastAsia="en-IN"/>
                <w14:ligatures w14:val="none"/>
              </w:rPr>
            </w:pPr>
            <w:r w:rsidRPr="005F3655">
              <w:rPr>
                <w:rFonts w:ascii="Times New Roman" w:eastAsia="Times New Roman" w:hAnsi="Times New Roman" w:cs="Times New Roman"/>
                <w:color w:val="000000"/>
                <w:kern w:val="0"/>
                <w:sz w:val="28"/>
                <w:szCs w:val="28"/>
                <w:lang w:eastAsia="en-IN"/>
                <w14:ligatures w14:val="none"/>
              </w:rPr>
              <w:t>22</w:t>
            </w:r>
          </w:p>
        </w:tc>
        <w:tc>
          <w:tcPr>
            <w:tcW w:w="1331" w:type="dxa"/>
            <w:tcBorders>
              <w:top w:val="nil"/>
              <w:left w:val="nil"/>
              <w:bottom w:val="single" w:sz="4" w:space="0" w:color="auto"/>
              <w:right w:val="single" w:sz="4" w:space="0" w:color="auto"/>
            </w:tcBorders>
            <w:vAlign w:val="center"/>
            <w:hideMark/>
          </w:tcPr>
          <w:p w14:paraId="311F2966" w14:textId="77777777" w:rsidR="005F3655" w:rsidRPr="005F3655" w:rsidRDefault="005F3655" w:rsidP="005F3655">
            <w:pPr>
              <w:spacing w:after="0" w:line="240" w:lineRule="auto"/>
              <w:jc w:val="center"/>
              <w:rPr>
                <w:rFonts w:ascii="Times New Roman" w:eastAsia="Times New Roman" w:hAnsi="Times New Roman" w:cs="Times New Roman"/>
                <w:color w:val="000000"/>
                <w:kern w:val="0"/>
                <w:sz w:val="28"/>
                <w:szCs w:val="28"/>
                <w:lang w:eastAsia="en-IN"/>
                <w14:ligatures w14:val="none"/>
              </w:rPr>
            </w:pPr>
            <w:r w:rsidRPr="005F3655">
              <w:rPr>
                <w:rFonts w:ascii="Times New Roman" w:eastAsia="Times New Roman" w:hAnsi="Times New Roman" w:cs="Times New Roman"/>
                <w:color w:val="000000"/>
                <w:kern w:val="0"/>
                <w:sz w:val="28"/>
                <w:szCs w:val="28"/>
                <w:lang w:eastAsia="en-IN"/>
                <w14:ligatures w14:val="none"/>
              </w:rPr>
              <w:t>–</w:t>
            </w:r>
          </w:p>
        </w:tc>
        <w:tc>
          <w:tcPr>
            <w:tcW w:w="1483" w:type="dxa"/>
            <w:tcBorders>
              <w:top w:val="nil"/>
              <w:left w:val="nil"/>
              <w:bottom w:val="single" w:sz="4" w:space="0" w:color="auto"/>
              <w:right w:val="single" w:sz="4" w:space="0" w:color="auto"/>
            </w:tcBorders>
            <w:vAlign w:val="center"/>
            <w:hideMark/>
          </w:tcPr>
          <w:p w14:paraId="1383FE4E" w14:textId="77777777" w:rsidR="005F3655" w:rsidRPr="005F3655" w:rsidRDefault="005F3655" w:rsidP="005F3655">
            <w:pPr>
              <w:spacing w:after="0" w:line="240" w:lineRule="auto"/>
              <w:jc w:val="center"/>
              <w:rPr>
                <w:rFonts w:ascii="Times New Roman" w:eastAsia="Times New Roman" w:hAnsi="Times New Roman" w:cs="Times New Roman"/>
                <w:color w:val="000000"/>
                <w:kern w:val="0"/>
                <w:sz w:val="28"/>
                <w:szCs w:val="28"/>
                <w:lang w:eastAsia="en-IN"/>
                <w14:ligatures w14:val="none"/>
              </w:rPr>
            </w:pPr>
            <w:r w:rsidRPr="005F3655">
              <w:rPr>
                <w:rFonts w:ascii="Times New Roman" w:eastAsia="Times New Roman" w:hAnsi="Times New Roman" w:cs="Times New Roman"/>
                <w:color w:val="000000"/>
                <w:kern w:val="0"/>
                <w:sz w:val="28"/>
                <w:szCs w:val="28"/>
                <w:lang w:eastAsia="en-IN"/>
                <w14:ligatures w14:val="none"/>
              </w:rPr>
              <w:t>–</w:t>
            </w:r>
          </w:p>
        </w:tc>
      </w:tr>
      <w:tr w:rsidR="005F3655" w:rsidRPr="005F3655" w14:paraId="60AA40B8" w14:textId="77777777" w:rsidTr="005F3655">
        <w:trPr>
          <w:trHeight w:val="20"/>
        </w:trPr>
        <w:tc>
          <w:tcPr>
            <w:tcW w:w="1752" w:type="dxa"/>
            <w:tcBorders>
              <w:top w:val="nil"/>
              <w:left w:val="single" w:sz="4" w:space="0" w:color="auto"/>
              <w:bottom w:val="single" w:sz="4" w:space="0" w:color="auto"/>
              <w:right w:val="single" w:sz="4" w:space="0" w:color="auto"/>
            </w:tcBorders>
            <w:vAlign w:val="center"/>
            <w:hideMark/>
          </w:tcPr>
          <w:p w14:paraId="7583311E" w14:textId="77777777" w:rsidR="005F3655" w:rsidRPr="005F3655" w:rsidRDefault="005F3655" w:rsidP="005F3655">
            <w:pPr>
              <w:spacing w:after="0" w:line="240" w:lineRule="auto"/>
              <w:rPr>
                <w:rFonts w:ascii="Times New Roman" w:eastAsia="Times New Roman" w:hAnsi="Times New Roman" w:cs="Times New Roman"/>
                <w:color w:val="000000"/>
                <w:kern w:val="0"/>
                <w:sz w:val="28"/>
                <w:szCs w:val="28"/>
                <w:lang w:eastAsia="en-IN"/>
                <w14:ligatures w14:val="none"/>
              </w:rPr>
            </w:pPr>
            <w:r w:rsidRPr="005F3655">
              <w:rPr>
                <w:rFonts w:ascii="Times New Roman" w:eastAsia="Times New Roman" w:hAnsi="Times New Roman" w:cs="Times New Roman"/>
                <w:color w:val="000000"/>
                <w:kern w:val="0"/>
                <w:sz w:val="28"/>
                <w:szCs w:val="28"/>
                <w:lang w:eastAsia="en-IN"/>
                <w14:ligatures w14:val="none"/>
              </w:rPr>
              <w:t>Jammu &amp; Kashmir</w:t>
            </w:r>
          </w:p>
        </w:tc>
        <w:tc>
          <w:tcPr>
            <w:tcW w:w="2040" w:type="dxa"/>
            <w:tcBorders>
              <w:top w:val="nil"/>
              <w:left w:val="nil"/>
              <w:bottom w:val="single" w:sz="4" w:space="0" w:color="auto"/>
              <w:right w:val="single" w:sz="4" w:space="0" w:color="auto"/>
            </w:tcBorders>
            <w:vAlign w:val="center"/>
            <w:hideMark/>
          </w:tcPr>
          <w:p w14:paraId="4500346C" w14:textId="77777777" w:rsidR="005F3655" w:rsidRPr="005F3655" w:rsidRDefault="005F3655" w:rsidP="005F3655">
            <w:pPr>
              <w:spacing w:after="0" w:line="240" w:lineRule="auto"/>
              <w:jc w:val="center"/>
              <w:rPr>
                <w:rFonts w:ascii="Times New Roman" w:eastAsia="Times New Roman" w:hAnsi="Times New Roman" w:cs="Times New Roman"/>
                <w:color w:val="000000"/>
                <w:kern w:val="0"/>
                <w:sz w:val="28"/>
                <w:szCs w:val="28"/>
                <w:lang w:eastAsia="en-IN"/>
                <w14:ligatures w14:val="none"/>
              </w:rPr>
            </w:pPr>
            <w:r w:rsidRPr="005F3655">
              <w:rPr>
                <w:rFonts w:ascii="Times New Roman" w:eastAsia="Times New Roman" w:hAnsi="Times New Roman" w:cs="Times New Roman"/>
                <w:color w:val="000000"/>
                <w:kern w:val="0"/>
                <w:sz w:val="28"/>
                <w:szCs w:val="28"/>
                <w:lang w:eastAsia="en-IN"/>
                <w14:ligatures w14:val="none"/>
              </w:rPr>
              <w:t>–</w:t>
            </w:r>
          </w:p>
        </w:tc>
        <w:tc>
          <w:tcPr>
            <w:tcW w:w="2040" w:type="dxa"/>
            <w:tcBorders>
              <w:top w:val="nil"/>
              <w:left w:val="nil"/>
              <w:bottom w:val="single" w:sz="4" w:space="0" w:color="auto"/>
              <w:right w:val="single" w:sz="4" w:space="0" w:color="auto"/>
            </w:tcBorders>
            <w:vAlign w:val="center"/>
            <w:hideMark/>
          </w:tcPr>
          <w:p w14:paraId="33E7FC0F" w14:textId="77777777" w:rsidR="005F3655" w:rsidRPr="005F3655" w:rsidRDefault="005F3655" w:rsidP="005F3655">
            <w:pPr>
              <w:spacing w:after="0" w:line="240" w:lineRule="auto"/>
              <w:jc w:val="center"/>
              <w:rPr>
                <w:rFonts w:ascii="Times New Roman" w:eastAsia="Times New Roman" w:hAnsi="Times New Roman" w:cs="Times New Roman"/>
                <w:color w:val="000000"/>
                <w:kern w:val="0"/>
                <w:sz w:val="28"/>
                <w:szCs w:val="28"/>
                <w:lang w:eastAsia="en-IN"/>
                <w14:ligatures w14:val="none"/>
              </w:rPr>
            </w:pPr>
            <w:r w:rsidRPr="005F3655">
              <w:rPr>
                <w:rFonts w:ascii="Times New Roman" w:eastAsia="Times New Roman" w:hAnsi="Times New Roman" w:cs="Times New Roman"/>
                <w:color w:val="000000"/>
                <w:kern w:val="0"/>
                <w:sz w:val="28"/>
                <w:szCs w:val="28"/>
                <w:lang w:eastAsia="en-IN"/>
                <w14:ligatures w14:val="none"/>
              </w:rPr>
              <w:t>–</w:t>
            </w:r>
          </w:p>
        </w:tc>
        <w:tc>
          <w:tcPr>
            <w:tcW w:w="2040" w:type="dxa"/>
            <w:tcBorders>
              <w:top w:val="nil"/>
              <w:left w:val="nil"/>
              <w:bottom w:val="single" w:sz="4" w:space="0" w:color="auto"/>
              <w:right w:val="single" w:sz="4" w:space="0" w:color="auto"/>
            </w:tcBorders>
            <w:vAlign w:val="center"/>
            <w:hideMark/>
          </w:tcPr>
          <w:p w14:paraId="65BDA9B5" w14:textId="77777777" w:rsidR="005F3655" w:rsidRPr="005F3655" w:rsidRDefault="005F3655" w:rsidP="005F3655">
            <w:pPr>
              <w:spacing w:after="0" w:line="240" w:lineRule="auto"/>
              <w:jc w:val="center"/>
              <w:rPr>
                <w:rFonts w:ascii="Times New Roman" w:eastAsia="Times New Roman" w:hAnsi="Times New Roman" w:cs="Times New Roman"/>
                <w:color w:val="000000"/>
                <w:kern w:val="0"/>
                <w:sz w:val="28"/>
                <w:szCs w:val="28"/>
                <w:lang w:eastAsia="en-IN"/>
                <w14:ligatures w14:val="none"/>
              </w:rPr>
            </w:pPr>
            <w:r w:rsidRPr="005F3655">
              <w:rPr>
                <w:rFonts w:ascii="Times New Roman" w:eastAsia="Times New Roman" w:hAnsi="Times New Roman" w:cs="Times New Roman"/>
                <w:color w:val="000000"/>
                <w:kern w:val="0"/>
                <w:sz w:val="28"/>
                <w:szCs w:val="28"/>
                <w:lang w:eastAsia="en-IN"/>
                <w14:ligatures w14:val="none"/>
              </w:rPr>
              <w:t>–</w:t>
            </w:r>
          </w:p>
        </w:tc>
        <w:tc>
          <w:tcPr>
            <w:tcW w:w="1111" w:type="dxa"/>
            <w:tcBorders>
              <w:top w:val="nil"/>
              <w:left w:val="nil"/>
              <w:bottom w:val="single" w:sz="4" w:space="0" w:color="auto"/>
              <w:right w:val="single" w:sz="4" w:space="0" w:color="auto"/>
            </w:tcBorders>
            <w:vAlign w:val="center"/>
            <w:hideMark/>
          </w:tcPr>
          <w:p w14:paraId="382471ED" w14:textId="77777777" w:rsidR="005F3655" w:rsidRPr="005F3655" w:rsidRDefault="005F3655" w:rsidP="005F3655">
            <w:pPr>
              <w:spacing w:after="0" w:line="240" w:lineRule="auto"/>
              <w:jc w:val="center"/>
              <w:rPr>
                <w:rFonts w:ascii="Times New Roman" w:eastAsia="Times New Roman" w:hAnsi="Times New Roman" w:cs="Times New Roman"/>
                <w:color w:val="000000"/>
                <w:kern w:val="0"/>
                <w:sz w:val="28"/>
                <w:szCs w:val="28"/>
                <w:lang w:eastAsia="en-IN"/>
                <w14:ligatures w14:val="none"/>
              </w:rPr>
            </w:pPr>
            <w:r w:rsidRPr="005F3655">
              <w:rPr>
                <w:rFonts w:ascii="Times New Roman" w:eastAsia="Times New Roman" w:hAnsi="Times New Roman" w:cs="Times New Roman"/>
                <w:color w:val="000000"/>
                <w:kern w:val="0"/>
                <w:sz w:val="28"/>
                <w:szCs w:val="28"/>
                <w:lang w:eastAsia="en-IN"/>
                <w14:ligatures w14:val="none"/>
              </w:rPr>
              <w:t>–</w:t>
            </w:r>
          </w:p>
        </w:tc>
        <w:tc>
          <w:tcPr>
            <w:tcW w:w="1263" w:type="dxa"/>
            <w:tcBorders>
              <w:top w:val="nil"/>
              <w:left w:val="nil"/>
              <w:bottom w:val="single" w:sz="4" w:space="0" w:color="auto"/>
              <w:right w:val="single" w:sz="4" w:space="0" w:color="auto"/>
            </w:tcBorders>
            <w:vAlign w:val="center"/>
            <w:hideMark/>
          </w:tcPr>
          <w:p w14:paraId="69335D86" w14:textId="77777777" w:rsidR="005F3655" w:rsidRPr="005F3655" w:rsidRDefault="005F3655" w:rsidP="005F3655">
            <w:pPr>
              <w:spacing w:after="0" w:line="240" w:lineRule="auto"/>
              <w:jc w:val="center"/>
              <w:rPr>
                <w:rFonts w:ascii="Times New Roman" w:eastAsia="Times New Roman" w:hAnsi="Times New Roman" w:cs="Times New Roman"/>
                <w:color w:val="000000"/>
                <w:kern w:val="0"/>
                <w:sz w:val="28"/>
                <w:szCs w:val="28"/>
                <w:lang w:eastAsia="en-IN"/>
                <w14:ligatures w14:val="none"/>
              </w:rPr>
            </w:pPr>
            <w:r w:rsidRPr="005F3655">
              <w:rPr>
                <w:rFonts w:ascii="Times New Roman" w:eastAsia="Times New Roman" w:hAnsi="Times New Roman" w:cs="Times New Roman"/>
                <w:color w:val="000000"/>
                <w:kern w:val="0"/>
                <w:sz w:val="28"/>
                <w:szCs w:val="28"/>
                <w:lang w:eastAsia="en-IN"/>
                <w14:ligatures w14:val="none"/>
              </w:rPr>
              <w:t>–</w:t>
            </w:r>
          </w:p>
        </w:tc>
        <w:tc>
          <w:tcPr>
            <w:tcW w:w="1550" w:type="dxa"/>
            <w:tcBorders>
              <w:top w:val="nil"/>
              <w:left w:val="nil"/>
              <w:bottom w:val="single" w:sz="4" w:space="0" w:color="auto"/>
              <w:right w:val="single" w:sz="4" w:space="0" w:color="auto"/>
            </w:tcBorders>
            <w:vAlign w:val="center"/>
            <w:hideMark/>
          </w:tcPr>
          <w:p w14:paraId="7297C202" w14:textId="77777777" w:rsidR="005F3655" w:rsidRPr="005F3655" w:rsidRDefault="005F3655" w:rsidP="005F3655">
            <w:pPr>
              <w:spacing w:after="0" w:line="240" w:lineRule="auto"/>
              <w:jc w:val="center"/>
              <w:rPr>
                <w:rFonts w:ascii="Times New Roman" w:eastAsia="Times New Roman" w:hAnsi="Times New Roman" w:cs="Times New Roman"/>
                <w:color w:val="000000"/>
                <w:kern w:val="0"/>
                <w:sz w:val="28"/>
                <w:szCs w:val="28"/>
                <w:lang w:eastAsia="en-IN"/>
                <w14:ligatures w14:val="none"/>
              </w:rPr>
            </w:pPr>
            <w:r w:rsidRPr="005F3655">
              <w:rPr>
                <w:rFonts w:ascii="Times New Roman" w:eastAsia="Times New Roman" w:hAnsi="Times New Roman" w:cs="Times New Roman"/>
                <w:color w:val="000000"/>
                <w:kern w:val="0"/>
                <w:sz w:val="28"/>
                <w:szCs w:val="28"/>
                <w:lang w:eastAsia="en-IN"/>
                <w14:ligatures w14:val="none"/>
              </w:rPr>
              <w:t>6</w:t>
            </w:r>
          </w:p>
        </w:tc>
        <w:tc>
          <w:tcPr>
            <w:tcW w:w="1331" w:type="dxa"/>
            <w:tcBorders>
              <w:top w:val="nil"/>
              <w:left w:val="nil"/>
              <w:bottom w:val="single" w:sz="4" w:space="0" w:color="auto"/>
              <w:right w:val="single" w:sz="4" w:space="0" w:color="auto"/>
            </w:tcBorders>
            <w:vAlign w:val="center"/>
            <w:hideMark/>
          </w:tcPr>
          <w:p w14:paraId="42FAA8E2" w14:textId="77777777" w:rsidR="005F3655" w:rsidRPr="005F3655" w:rsidRDefault="005F3655" w:rsidP="005F3655">
            <w:pPr>
              <w:spacing w:after="0" w:line="240" w:lineRule="auto"/>
              <w:jc w:val="center"/>
              <w:rPr>
                <w:rFonts w:ascii="Times New Roman" w:eastAsia="Times New Roman" w:hAnsi="Times New Roman" w:cs="Times New Roman"/>
                <w:color w:val="000000"/>
                <w:kern w:val="0"/>
                <w:sz w:val="28"/>
                <w:szCs w:val="28"/>
                <w:lang w:eastAsia="en-IN"/>
                <w14:ligatures w14:val="none"/>
              </w:rPr>
            </w:pPr>
            <w:r w:rsidRPr="005F3655">
              <w:rPr>
                <w:rFonts w:ascii="Times New Roman" w:eastAsia="Times New Roman" w:hAnsi="Times New Roman" w:cs="Times New Roman"/>
                <w:color w:val="000000"/>
                <w:kern w:val="0"/>
                <w:sz w:val="28"/>
                <w:szCs w:val="28"/>
                <w:lang w:eastAsia="en-IN"/>
                <w14:ligatures w14:val="none"/>
              </w:rPr>
              <w:t>51.1</w:t>
            </w:r>
          </w:p>
        </w:tc>
        <w:tc>
          <w:tcPr>
            <w:tcW w:w="1483" w:type="dxa"/>
            <w:tcBorders>
              <w:top w:val="nil"/>
              <w:left w:val="nil"/>
              <w:bottom w:val="single" w:sz="4" w:space="0" w:color="auto"/>
              <w:right w:val="single" w:sz="4" w:space="0" w:color="auto"/>
            </w:tcBorders>
            <w:vAlign w:val="center"/>
            <w:hideMark/>
          </w:tcPr>
          <w:p w14:paraId="252DBE25" w14:textId="77777777" w:rsidR="005F3655" w:rsidRPr="005F3655" w:rsidRDefault="005F3655" w:rsidP="005F3655">
            <w:pPr>
              <w:spacing w:after="0" w:line="240" w:lineRule="auto"/>
              <w:jc w:val="center"/>
              <w:rPr>
                <w:rFonts w:ascii="Times New Roman" w:eastAsia="Times New Roman" w:hAnsi="Times New Roman" w:cs="Times New Roman"/>
                <w:color w:val="000000"/>
                <w:kern w:val="0"/>
                <w:sz w:val="28"/>
                <w:szCs w:val="28"/>
                <w:lang w:eastAsia="en-IN"/>
                <w14:ligatures w14:val="none"/>
              </w:rPr>
            </w:pPr>
            <w:r w:rsidRPr="005F3655">
              <w:rPr>
                <w:rFonts w:ascii="Times New Roman" w:eastAsia="Times New Roman" w:hAnsi="Times New Roman" w:cs="Times New Roman"/>
                <w:color w:val="000000"/>
                <w:kern w:val="0"/>
                <w:sz w:val="28"/>
                <w:szCs w:val="28"/>
                <w:lang w:eastAsia="en-IN"/>
                <w14:ligatures w14:val="none"/>
              </w:rPr>
              <w:t>3.7</w:t>
            </w:r>
          </w:p>
        </w:tc>
      </w:tr>
      <w:tr w:rsidR="005F3655" w:rsidRPr="005F3655" w14:paraId="5A8B87DE" w14:textId="77777777" w:rsidTr="005F3655">
        <w:trPr>
          <w:trHeight w:val="20"/>
        </w:trPr>
        <w:tc>
          <w:tcPr>
            <w:tcW w:w="1752" w:type="dxa"/>
            <w:tcBorders>
              <w:top w:val="nil"/>
              <w:left w:val="single" w:sz="4" w:space="0" w:color="auto"/>
              <w:bottom w:val="single" w:sz="4" w:space="0" w:color="auto"/>
              <w:right w:val="single" w:sz="4" w:space="0" w:color="auto"/>
            </w:tcBorders>
            <w:vAlign w:val="center"/>
            <w:hideMark/>
          </w:tcPr>
          <w:p w14:paraId="7E81BE70" w14:textId="77777777" w:rsidR="005F3655" w:rsidRPr="005F3655" w:rsidRDefault="005F3655" w:rsidP="005F3655">
            <w:pPr>
              <w:spacing w:after="0" w:line="240" w:lineRule="auto"/>
              <w:rPr>
                <w:rFonts w:ascii="Times New Roman" w:eastAsia="Times New Roman" w:hAnsi="Times New Roman" w:cs="Times New Roman"/>
                <w:color w:val="000000"/>
                <w:kern w:val="0"/>
                <w:sz w:val="28"/>
                <w:szCs w:val="28"/>
                <w:lang w:eastAsia="en-IN"/>
                <w14:ligatures w14:val="none"/>
              </w:rPr>
            </w:pPr>
            <w:r w:rsidRPr="005F3655">
              <w:rPr>
                <w:rFonts w:ascii="Times New Roman" w:eastAsia="Times New Roman" w:hAnsi="Times New Roman" w:cs="Times New Roman"/>
                <w:color w:val="000000"/>
                <w:kern w:val="0"/>
                <w:sz w:val="28"/>
                <w:szCs w:val="28"/>
                <w:lang w:eastAsia="en-IN"/>
                <w14:ligatures w14:val="none"/>
              </w:rPr>
              <w:t>Kerala</w:t>
            </w:r>
          </w:p>
        </w:tc>
        <w:tc>
          <w:tcPr>
            <w:tcW w:w="2040" w:type="dxa"/>
            <w:tcBorders>
              <w:top w:val="nil"/>
              <w:left w:val="nil"/>
              <w:bottom w:val="single" w:sz="4" w:space="0" w:color="auto"/>
              <w:right w:val="single" w:sz="4" w:space="0" w:color="auto"/>
            </w:tcBorders>
            <w:vAlign w:val="center"/>
            <w:hideMark/>
          </w:tcPr>
          <w:p w14:paraId="5273C898" w14:textId="77777777" w:rsidR="005F3655" w:rsidRPr="005F3655" w:rsidRDefault="005F3655" w:rsidP="005F3655">
            <w:pPr>
              <w:spacing w:after="0" w:line="240" w:lineRule="auto"/>
              <w:jc w:val="center"/>
              <w:rPr>
                <w:rFonts w:ascii="Times New Roman" w:eastAsia="Times New Roman" w:hAnsi="Times New Roman" w:cs="Times New Roman"/>
                <w:color w:val="000000"/>
                <w:kern w:val="0"/>
                <w:sz w:val="28"/>
                <w:szCs w:val="28"/>
                <w:lang w:eastAsia="en-IN"/>
                <w14:ligatures w14:val="none"/>
              </w:rPr>
            </w:pPr>
            <w:r w:rsidRPr="005F3655">
              <w:rPr>
                <w:rFonts w:ascii="Times New Roman" w:eastAsia="Times New Roman" w:hAnsi="Times New Roman" w:cs="Times New Roman"/>
                <w:color w:val="000000"/>
                <w:kern w:val="0"/>
                <w:sz w:val="28"/>
                <w:szCs w:val="28"/>
                <w:lang w:eastAsia="en-IN"/>
                <w14:ligatures w14:val="none"/>
              </w:rPr>
              <w:t>2.04</w:t>
            </w:r>
          </w:p>
        </w:tc>
        <w:tc>
          <w:tcPr>
            <w:tcW w:w="2040" w:type="dxa"/>
            <w:tcBorders>
              <w:top w:val="nil"/>
              <w:left w:val="nil"/>
              <w:bottom w:val="single" w:sz="4" w:space="0" w:color="auto"/>
              <w:right w:val="single" w:sz="4" w:space="0" w:color="auto"/>
            </w:tcBorders>
            <w:vAlign w:val="center"/>
            <w:hideMark/>
          </w:tcPr>
          <w:p w14:paraId="3EE35D70" w14:textId="77777777" w:rsidR="005F3655" w:rsidRPr="005F3655" w:rsidRDefault="005F3655" w:rsidP="005F3655">
            <w:pPr>
              <w:spacing w:after="0" w:line="240" w:lineRule="auto"/>
              <w:jc w:val="center"/>
              <w:rPr>
                <w:rFonts w:ascii="Times New Roman" w:eastAsia="Times New Roman" w:hAnsi="Times New Roman" w:cs="Times New Roman"/>
                <w:color w:val="000000"/>
                <w:kern w:val="0"/>
                <w:sz w:val="28"/>
                <w:szCs w:val="28"/>
                <w:lang w:eastAsia="en-IN"/>
                <w14:ligatures w14:val="none"/>
              </w:rPr>
            </w:pPr>
            <w:r w:rsidRPr="005F3655">
              <w:rPr>
                <w:rFonts w:ascii="Times New Roman" w:eastAsia="Times New Roman" w:hAnsi="Times New Roman" w:cs="Times New Roman"/>
                <w:color w:val="000000"/>
                <w:kern w:val="0"/>
                <w:sz w:val="28"/>
                <w:szCs w:val="28"/>
                <w:lang w:eastAsia="en-IN"/>
                <w14:ligatures w14:val="none"/>
              </w:rPr>
              <w:t>10.22</w:t>
            </w:r>
          </w:p>
        </w:tc>
        <w:tc>
          <w:tcPr>
            <w:tcW w:w="2040" w:type="dxa"/>
            <w:tcBorders>
              <w:top w:val="nil"/>
              <w:left w:val="nil"/>
              <w:bottom w:val="single" w:sz="4" w:space="0" w:color="auto"/>
              <w:right w:val="single" w:sz="4" w:space="0" w:color="auto"/>
            </w:tcBorders>
            <w:vAlign w:val="center"/>
            <w:hideMark/>
          </w:tcPr>
          <w:p w14:paraId="338472F2" w14:textId="77777777" w:rsidR="005F3655" w:rsidRPr="005F3655" w:rsidRDefault="005F3655" w:rsidP="005F3655">
            <w:pPr>
              <w:spacing w:after="0" w:line="240" w:lineRule="auto"/>
              <w:jc w:val="center"/>
              <w:rPr>
                <w:rFonts w:ascii="Times New Roman" w:eastAsia="Times New Roman" w:hAnsi="Times New Roman" w:cs="Times New Roman"/>
                <w:color w:val="000000"/>
                <w:kern w:val="0"/>
                <w:sz w:val="28"/>
                <w:szCs w:val="28"/>
                <w:lang w:eastAsia="en-IN"/>
                <w14:ligatures w14:val="none"/>
              </w:rPr>
            </w:pPr>
            <w:r w:rsidRPr="005F3655">
              <w:rPr>
                <w:rFonts w:ascii="Times New Roman" w:eastAsia="Times New Roman" w:hAnsi="Times New Roman" w:cs="Times New Roman"/>
                <w:color w:val="000000"/>
                <w:kern w:val="0"/>
                <w:sz w:val="28"/>
                <w:szCs w:val="28"/>
                <w:lang w:eastAsia="en-IN"/>
                <w14:ligatures w14:val="none"/>
              </w:rPr>
              <w:t>1.69</w:t>
            </w:r>
          </w:p>
        </w:tc>
        <w:tc>
          <w:tcPr>
            <w:tcW w:w="1111" w:type="dxa"/>
            <w:tcBorders>
              <w:top w:val="nil"/>
              <w:left w:val="nil"/>
              <w:bottom w:val="single" w:sz="4" w:space="0" w:color="auto"/>
              <w:right w:val="single" w:sz="4" w:space="0" w:color="auto"/>
            </w:tcBorders>
            <w:vAlign w:val="center"/>
            <w:hideMark/>
          </w:tcPr>
          <w:p w14:paraId="7B3A7EE9" w14:textId="77777777" w:rsidR="005F3655" w:rsidRPr="005F3655" w:rsidRDefault="005F3655" w:rsidP="005F3655">
            <w:pPr>
              <w:spacing w:after="0" w:line="240" w:lineRule="auto"/>
              <w:jc w:val="center"/>
              <w:rPr>
                <w:rFonts w:ascii="Times New Roman" w:eastAsia="Times New Roman" w:hAnsi="Times New Roman" w:cs="Times New Roman"/>
                <w:color w:val="000000"/>
                <w:kern w:val="0"/>
                <w:sz w:val="28"/>
                <w:szCs w:val="28"/>
                <w:lang w:eastAsia="en-IN"/>
                <w14:ligatures w14:val="none"/>
              </w:rPr>
            </w:pPr>
            <w:r w:rsidRPr="005F3655">
              <w:rPr>
                <w:rFonts w:ascii="Times New Roman" w:eastAsia="Times New Roman" w:hAnsi="Times New Roman" w:cs="Times New Roman"/>
                <w:color w:val="000000"/>
                <w:kern w:val="0"/>
                <w:sz w:val="28"/>
                <w:szCs w:val="28"/>
                <w:lang w:eastAsia="en-IN"/>
                <w14:ligatures w14:val="none"/>
              </w:rPr>
              <w:t>68.3</w:t>
            </w:r>
          </w:p>
        </w:tc>
        <w:tc>
          <w:tcPr>
            <w:tcW w:w="1263" w:type="dxa"/>
            <w:tcBorders>
              <w:top w:val="nil"/>
              <w:left w:val="nil"/>
              <w:bottom w:val="single" w:sz="4" w:space="0" w:color="auto"/>
              <w:right w:val="single" w:sz="4" w:space="0" w:color="auto"/>
            </w:tcBorders>
            <w:vAlign w:val="center"/>
            <w:hideMark/>
          </w:tcPr>
          <w:p w14:paraId="0E23980D" w14:textId="77777777" w:rsidR="005F3655" w:rsidRPr="005F3655" w:rsidRDefault="005F3655" w:rsidP="005F3655">
            <w:pPr>
              <w:spacing w:after="0" w:line="240" w:lineRule="auto"/>
              <w:jc w:val="center"/>
              <w:rPr>
                <w:rFonts w:ascii="Times New Roman" w:eastAsia="Times New Roman" w:hAnsi="Times New Roman" w:cs="Times New Roman"/>
                <w:color w:val="000000"/>
                <w:kern w:val="0"/>
                <w:sz w:val="28"/>
                <w:szCs w:val="28"/>
                <w:lang w:eastAsia="en-IN"/>
                <w14:ligatures w14:val="none"/>
              </w:rPr>
            </w:pPr>
            <w:r w:rsidRPr="005F3655">
              <w:rPr>
                <w:rFonts w:ascii="Times New Roman" w:eastAsia="Times New Roman" w:hAnsi="Times New Roman" w:cs="Times New Roman"/>
                <w:color w:val="000000"/>
                <w:kern w:val="0"/>
                <w:sz w:val="28"/>
                <w:szCs w:val="28"/>
                <w:lang w:eastAsia="en-IN"/>
                <w14:ligatures w14:val="none"/>
              </w:rPr>
              <w:t>67</w:t>
            </w:r>
          </w:p>
        </w:tc>
        <w:tc>
          <w:tcPr>
            <w:tcW w:w="1550" w:type="dxa"/>
            <w:tcBorders>
              <w:top w:val="nil"/>
              <w:left w:val="nil"/>
              <w:bottom w:val="single" w:sz="4" w:space="0" w:color="auto"/>
              <w:right w:val="single" w:sz="4" w:space="0" w:color="auto"/>
            </w:tcBorders>
            <w:vAlign w:val="center"/>
            <w:hideMark/>
          </w:tcPr>
          <w:p w14:paraId="068CD151" w14:textId="77777777" w:rsidR="005F3655" w:rsidRPr="005F3655" w:rsidRDefault="005F3655" w:rsidP="005F3655">
            <w:pPr>
              <w:spacing w:after="0" w:line="240" w:lineRule="auto"/>
              <w:jc w:val="center"/>
              <w:rPr>
                <w:rFonts w:ascii="Times New Roman" w:eastAsia="Times New Roman" w:hAnsi="Times New Roman" w:cs="Times New Roman"/>
                <w:color w:val="000000"/>
                <w:kern w:val="0"/>
                <w:sz w:val="28"/>
                <w:szCs w:val="28"/>
                <w:lang w:eastAsia="en-IN"/>
                <w14:ligatures w14:val="none"/>
              </w:rPr>
            </w:pPr>
            <w:r w:rsidRPr="005F3655">
              <w:rPr>
                <w:rFonts w:ascii="Times New Roman" w:eastAsia="Times New Roman" w:hAnsi="Times New Roman" w:cs="Times New Roman"/>
                <w:color w:val="000000"/>
                <w:kern w:val="0"/>
                <w:sz w:val="28"/>
                <w:szCs w:val="28"/>
                <w:lang w:eastAsia="en-IN"/>
                <w14:ligatures w14:val="none"/>
              </w:rPr>
              <w:t>395</w:t>
            </w:r>
          </w:p>
        </w:tc>
        <w:tc>
          <w:tcPr>
            <w:tcW w:w="1331" w:type="dxa"/>
            <w:tcBorders>
              <w:top w:val="nil"/>
              <w:left w:val="nil"/>
              <w:bottom w:val="single" w:sz="4" w:space="0" w:color="auto"/>
              <w:right w:val="single" w:sz="4" w:space="0" w:color="auto"/>
            </w:tcBorders>
            <w:vAlign w:val="center"/>
            <w:hideMark/>
          </w:tcPr>
          <w:p w14:paraId="6346B271" w14:textId="77777777" w:rsidR="005F3655" w:rsidRPr="005F3655" w:rsidRDefault="005F3655" w:rsidP="005F3655">
            <w:pPr>
              <w:spacing w:after="0" w:line="240" w:lineRule="auto"/>
              <w:jc w:val="center"/>
              <w:rPr>
                <w:rFonts w:ascii="Times New Roman" w:eastAsia="Times New Roman" w:hAnsi="Times New Roman" w:cs="Times New Roman"/>
                <w:color w:val="000000"/>
                <w:kern w:val="0"/>
                <w:sz w:val="28"/>
                <w:szCs w:val="28"/>
                <w:lang w:eastAsia="en-IN"/>
                <w14:ligatures w14:val="none"/>
              </w:rPr>
            </w:pPr>
            <w:r w:rsidRPr="005F3655">
              <w:rPr>
                <w:rFonts w:ascii="Times New Roman" w:eastAsia="Times New Roman" w:hAnsi="Times New Roman" w:cs="Times New Roman"/>
                <w:color w:val="000000"/>
                <w:kern w:val="0"/>
                <w:sz w:val="28"/>
                <w:szCs w:val="28"/>
                <w:lang w:eastAsia="en-IN"/>
                <w14:ligatures w14:val="none"/>
              </w:rPr>
              <w:t>57.8</w:t>
            </w:r>
          </w:p>
        </w:tc>
        <w:tc>
          <w:tcPr>
            <w:tcW w:w="1483" w:type="dxa"/>
            <w:tcBorders>
              <w:top w:val="nil"/>
              <w:left w:val="nil"/>
              <w:bottom w:val="single" w:sz="4" w:space="0" w:color="auto"/>
              <w:right w:val="single" w:sz="4" w:space="0" w:color="auto"/>
            </w:tcBorders>
            <w:vAlign w:val="center"/>
            <w:hideMark/>
          </w:tcPr>
          <w:p w14:paraId="2A3884B9" w14:textId="77777777" w:rsidR="005F3655" w:rsidRPr="005F3655" w:rsidRDefault="005F3655" w:rsidP="005F3655">
            <w:pPr>
              <w:spacing w:after="0" w:line="240" w:lineRule="auto"/>
              <w:jc w:val="center"/>
              <w:rPr>
                <w:rFonts w:ascii="Times New Roman" w:eastAsia="Times New Roman" w:hAnsi="Times New Roman" w:cs="Times New Roman"/>
                <w:color w:val="000000"/>
                <w:kern w:val="0"/>
                <w:sz w:val="28"/>
                <w:szCs w:val="28"/>
                <w:lang w:eastAsia="en-IN"/>
                <w14:ligatures w14:val="none"/>
              </w:rPr>
            </w:pPr>
            <w:r w:rsidRPr="005F3655">
              <w:rPr>
                <w:rFonts w:ascii="Times New Roman" w:eastAsia="Times New Roman" w:hAnsi="Times New Roman" w:cs="Times New Roman"/>
                <w:color w:val="000000"/>
                <w:kern w:val="0"/>
                <w:sz w:val="28"/>
                <w:szCs w:val="28"/>
                <w:lang w:eastAsia="en-IN"/>
                <w14:ligatures w14:val="none"/>
              </w:rPr>
              <w:t>34.3</w:t>
            </w:r>
          </w:p>
        </w:tc>
      </w:tr>
      <w:tr w:rsidR="005F3655" w:rsidRPr="005F3655" w14:paraId="1C18265C" w14:textId="77777777" w:rsidTr="005F3655">
        <w:trPr>
          <w:trHeight w:val="20"/>
        </w:trPr>
        <w:tc>
          <w:tcPr>
            <w:tcW w:w="1752" w:type="dxa"/>
            <w:tcBorders>
              <w:top w:val="nil"/>
              <w:left w:val="single" w:sz="4" w:space="0" w:color="auto"/>
              <w:bottom w:val="single" w:sz="4" w:space="0" w:color="auto"/>
              <w:right w:val="single" w:sz="4" w:space="0" w:color="auto"/>
            </w:tcBorders>
            <w:vAlign w:val="center"/>
            <w:hideMark/>
          </w:tcPr>
          <w:p w14:paraId="35E82A50" w14:textId="77777777" w:rsidR="005F3655" w:rsidRPr="005F3655" w:rsidRDefault="005F3655" w:rsidP="005F3655">
            <w:pPr>
              <w:spacing w:after="0" w:line="240" w:lineRule="auto"/>
              <w:rPr>
                <w:rFonts w:ascii="Times New Roman" w:eastAsia="Times New Roman" w:hAnsi="Times New Roman" w:cs="Times New Roman"/>
                <w:color w:val="000000"/>
                <w:kern w:val="0"/>
                <w:sz w:val="28"/>
                <w:szCs w:val="28"/>
                <w:lang w:eastAsia="en-IN"/>
                <w14:ligatures w14:val="none"/>
              </w:rPr>
            </w:pPr>
            <w:r w:rsidRPr="005F3655">
              <w:rPr>
                <w:rFonts w:ascii="Times New Roman" w:eastAsia="Times New Roman" w:hAnsi="Times New Roman" w:cs="Times New Roman"/>
                <w:color w:val="000000"/>
                <w:kern w:val="0"/>
                <w:sz w:val="28"/>
                <w:szCs w:val="28"/>
                <w:lang w:eastAsia="en-IN"/>
                <w14:ligatures w14:val="none"/>
              </w:rPr>
              <w:t>Madhya Pradesh</w:t>
            </w:r>
          </w:p>
        </w:tc>
        <w:tc>
          <w:tcPr>
            <w:tcW w:w="2040" w:type="dxa"/>
            <w:tcBorders>
              <w:top w:val="nil"/>
              <w:left w:val="nil"/>
              <w:bottom w:val="single" w:sz="4" w:space="0" w:color="auto"/>
              <w:right w:val="single" w:sz="4" w:space="0" w:color="auto"/>
            </w:tcBorders>
            <w:vAlign w:val="center"/>
            <w:hideMark/>
          </w:tcPr>
          <w:p w14:paraId="26AC10A9" w14:textId="77777777" w:rsidR="005F3655" w:rsidRPr="005F3655" w:rsidRDefault="005F3655" w:rsidP="005F3655">
            <w:pPr>
              <w:spacing w:after="0" w:line="240" w:lineRule="auto"/>
              <w:jc w:val="center"/>
              <w:rPr>
                <w:rFonts w:ascii="Times New Roman" w:eastAsia="Times New Roman" w:hAnsi="Times New Roman" w:cs="Times New Roman"/>
                <w:color w:val="000000"/>
                <w:kern w:val="0"/>
                <w:sz w:val="28"/>
                <w:szCs w:val="28"/>
                <w:lang w:eastAsia="en-IN"/>
                <w14:ligatures w14:val="none"/>
              </w:rPr>
            </w:pPr>
            <w:r w:rsidRPr="005F3655">
              <w:rPr>
                <w:rFonts w:ascii="Times New Roman" w:eastAsia="Times New Roman" w:hAnsi="Times New Roman" w:cs="Times New Roman"/>
                <w:color w:val="000000"/>
                <w:kern w:val="0"/>
                <w:sz w:val="28"/>
                <w:szCs w:val="28"/>
                <w:lang w:eastAsia="en-IN"/>
                <w14:ligatures w14:val="none"/>
              </w:rPr>
              <w:t>3.67</w:t>
            </w:r>
          </w:p>
        </w:tc>
        <w:tc>
          <w:tcPr>
            <w:tcW w:w="2040" w:type="dxa"/>
            <w:tcBorders>
              <w:top w:val="nil"/>
              <w:left w:val="nil"/>
              <w:bottom w:val="single" w:sz="4" w:space="0" w:color="auto"/>
              <w:right w:val="single" w:sz="4" w:space="0" w:color="auto"/>
            </w:tcBorders>
            <w:vAlign w:val="center"/>
            <w:hideMark/>
          </w:tcPr>
          <w:p w14:paraId="3207F5D1" w14:textId="77777777" w:rsidR="005F3655" w:rsidRPr="005F3655" w:rsidRDefault="005F3655" w:rsidP="005F3655">
            <w:pPr>
              <w:spacing w:after="0" w:line="240" w:lineRule="auto"/>
              <w:jc w:val="center"/>
              <w:rPr>
                <w:rFonts w:ascii="Times New Roman" w:eastAsia="Times New Roman" w:hAnsi="Times New Roman" w:cs="Times New Roman"/>
                <w:color w:val="000000"/>
                <w:kern w:val="0"/>
                <w:sz w:val="28"/>
                <w:szCs w:val="28"/>
                <w:lang w:eastAsia="en-IN"/>
                <w14:ligatures w14:val="none"/>
              </w:rPr>
            </w:pPr>
            <w:r w:rsidRPr="005F3655">
              <w:rPr>
                <w:rFonts w:ascii="Times New Roman" w:eastAsia="Times New Roman" w:hAnsi="Times New Roman" w:cs="Times New Roman"/>
                <w:color w:val="000000"/>
                <w:kern w:val="0"/>
                <w:sz w:val="28"/>
                <w:szCs w:val="28"/>
                <w:lang w:eastAsia="en-IN"/>
                <w14:ligatures w14:val="none"/>
              </w:rPr>
              <w:t>5.82</w:t>
            </w:r>
          </w:p>
        </w:tc>
        <w:tc>
          <w:tcPr>
            <w:tcW w:w="2040" w:type="dxa"/>
            <w:tcBorders>
              <w:top w:val="nil"/>
              <w:left w:val="nil"/>
              <w:bottom w:val="single" w:sz="4" w:space="0" w:color="auto"/>
              <w:right w:val="single" w:sz="4" w:space="0" w:color="auto"/>
            </w:tcBorders>
            <w:vAlign w:val="center"/>
            <w:hideMark/>
          </w:tcPr>
          <w:p w14:paraId="766E2545" w14:textId="77777777" w:rsidR="005F3655" w:rsidRPr="005F3655" w:rsidRDefault="005F3655" w:rsidP="005F3655">
            <w:pPr>
              <w:spacing w:after="0" w:line="240" w:lineRule="auto"/>
              <w:jc w:val="center"/>
              <w:rPr>
                <w:rFonts w:ascii="Times New Roman" w:eastAsia="Times New Roman" w:hAnsi="Times New Roman" w:cs="Times New Roman"/>
                <w:color w:val="000000"/>
                <w:kern w:val="0"/>
                <w:sz w:val="28"/>
                <w:szCs w:val="28"/>
                <w:lang w:eastAsia="en-IN"/>
                <w14:ligatures w14:val="none"/>
              </w:rPr>
            </w:pPr>
            <w:r w:rsidRPr="005F3655">
              <w:rPr>
                <w:rFonts w:ascii="Times New Roman" w:eastAsia="Times New Roman" w:hAnsi="Times New Roman" w:cs="Times New Roman"/>
                <w:color w:val="000000"/>
                <w:kern w:val="0"/>
                <w:sz w:val="28"/>
                <w:szCs w:val="28"/>
                <w:lang w:eastAsia="en-IN"/>
                <w14:ligatures w14:val="none"/>
              </w:rPr>
              <w:t>3.42</w:t>
            </w:r>
          </w:p>
        </w:tc>
        <w:tc>
          <w:tcPr>
            <w:tcW w:w="1111" w:type="dxa"/>
            <w:tcBorders>
              <w:top w:val="nil"/>
              <w:left w:val="nil"/>
              <w:bottom w:val="single" w:sz="4" w:space="0" w:color="auto"/>
              <w:right w:val="single" w:sz="4" w:space="0" w:color="auto"/>
            </w:tcBorders>
            <w:vAlign w:val="center"/>
            <w:hideMark/>
          </w:tcPr>
          <w:p w14:paraId="7A98B9CE" w14:textId="77777777" w:rsidR="005F3655" w:rsidRPr="005F3655" w:rsidRDefault="005F3655" w:rsidP="005F3655">
            <w:pPr>
              <w:spacing w:after="0" w:line="240" w:lineRule="auto"/>
              <w:jc w:val="center"/>
              <w:rPr>
                <w:rFonts w:ascii="Times New Roman" w:eastAsia="Times New Roman" w:hAnsi="Times New Roman" w:cs="Times New Roman"/>
                <w:color w:val="000000"/>
                <w:kern w:val="0"/>
                <w:sz w:val="28"/>
                <w:szCs w:val="28"/>
                <w:lang w:eastAsia="en-IN"/>
                <w14:ligatures w14:val="none"/>
              </w:rPr>
            </w:pPr>
            <w:r w:rsidRPr="005F3655">
              <w:rPr>
                <w:rFonts w:ascii="Times New Roman" w:eastAsia="Times New Roman" w:hAnsi="Times New Roman" w:cs="Times New Roman"/>
                <w:color w:val="000000"/>
                <w:kern w:val="0"/>
                <w:sz w:val="28"/>
                <w:szCs w:val="28"/>
                <w:lang w:eastAsia="en-IN"/>
                <w14:ligatures w14:val="none"/>
              </w:rPr>
              <w:t>459.1</w:t>
            </w:r>
          </w:p>
        </w:tc>
        <w:tc>
          <w:tcPr>
            <w:tcW w:w="1263" w:type="dxa"/>
            <w:tcBorders>
              <w:top w:val="nil"/>
              <w:left w:val="nil"/>
              <w:bottom w:val="single" w:sz="4" w:space="0" w:color="auto"/>
              <w:right w:val="single" w:sz="4" w:space="0" w:color="auto"/>
            </w:tcBorders>
            <w:vAlign w:val="center"/>
            <w:hideMark/>
          </w:tcPr>
          <w:p w14:paraId="501D09D9" w14:textId="77777777" w:rsidR="005F3655" w:rsidRPr="005F3655" w:rsidRDefault="005F3655" w:rsidP="005F3655">
            <w:pPr>
              <w:spacing w:after="0" w:line="240" w:lineRule="auto"/>
              <w:jc w:val="center"/>
              <w:rPr>
                <w:rFonts w:ascii="Times New Roman" w:eastAsia="Times New Roman" w:hAnsi="Times New Roman" w:cs="Times New Roman"/>
                <w:color w:val="000000"/>
                <w:kern w:val="0"/>
                <w:sz w:val="28"/>
                <w:szCs w:val="28"/>
                <w:lang w:eastAsia="en-IN"/>
                <w14:ligatures w14:val="none"/>
              </w:rPr>
            </w:pPr>
            <w:r w:rsidRPr="005F3655">
              <w:rPr>
                <w:rFonts w:ascii="Times New Roman" w:eastAsia="Times New Roman" w:hAnsi="Times New Roman" w:cs="Times New Roman"/>
                <w:color w:val="000000"/>
                <w:kern w:val="0"/>
                <w:sz w:val="28"/>
                <w:szCs w:val="28"/>
                <w:lang w:eastAsia="en-IN"/>
                <w14:ligatures w14:val="none"/>
              </w:rPr>
              <w:t>153</w:t>
            </w:r>
          </w:p>
        </w:tc>
        <w:tc>
          <w:tcPr>
            <w:tcW w:w="1550" w:type="dxa"/>
            <w:tcBorders>
              <w:top w:val="nil"/>
              <w:left w:val="nil"/>
              <w:bottom w:val="single" w:sz="4" w:space="0" w:color="auto"/>
              <w:right w:val="single" w:sz="4" w:space="0" w:color="auto"/>
            </w:tcBorders>
            <w:vAlign w:val="center"/>
            <w:hideMark/>
          </w:tcPr>
          <w:p w14:paraId="050FA6F9" w14:textId="77777777" w:rsidR="005F3655" w:rsidRPr="005F3655" w:rsidRDefault="005F3655" w:rsidP="005F3655">
            <w:pPr>
              <w:spacing w:after="0" w:line="240" w:lineRule="auto"/>
              <w:jc w:val="center"/>
              <w:rPr>
                <w:rFonts w:ascii="Times New Roman" w:eastAsia="Times New Roman" w:hAnsi="Times New Roman" w:cs="Times New Roman"/>
                <w:color w:val="000000"/>
                <w:kern w:val="0"/>
                <w:sz w:val="28"/>
                <w:szCs w:val="28"/>
                <w:lang w:eastAsia="en-IN"/>
                <w14:ligatures w14:val="none"/>
              </w:rPr>
            </w:pPr>
            <w:r w:rsidRPr="005F3655">
              <w:rPr>
                <w:rFonts w:ascii="Times New Roman" w:eastAsia="Times New Roman" w:hAnsi="Times New Roman" w:cs="Times New Roman"/>
                <w:color w:val="000000"/>
                <w:kern w:val="0"/>
                <w:sz w:val="28"/>
                <w:szCs w:val="28"/>
                <w:lang w:eastAsia="en-IN"/>
                <w14:ligatures w14:val="none"/>
              </w:rPr>
              <w:t>275</w:t>
            </w:r>
          </w:p>
        </w:tc>
        <w:tc>
          <w:tcPr>
            <w:tcW w:w="1331" w:type="dxa"/>
            <w:tcBorders>
              <w:top w:val="nil"/>
              <w:left w:val="nil"/>
              <w:bottom w:val="single" w:sz="4" w:space="0" w:color="auto"/>
              <w:right w:val="single" w:sz="4" w:space="0" w:color="auto"/>
            </w:tcBorders>
            <w:vAlign w:val="center"/>
            <w:hideMark/>
          </w:tcPr>
          <w:p w14:paraId="44854977" w14:textId="77777777" w:rsidR="005F3655" w:rsidRPr="005F3655" w:rsidRDefault="005F3655" w:rsidP="005F3655">
            <w:pPr>
              <w:spacing w:after="0" w:line="240" w:lineRule="auto"/>
              <w:jc w:val="center"/>
              <w:rPr>
                <w:rFonts w:ascii="Times New Roman" w:eastAsia="Times New Roman" w:hAnsi="Times New Roman" w:cs="Times New Roman"/>
                <w:color w:val="000000"/>
                <w:kern w:val="0"/>
                <w:sz w:val="28"/>
                <w:szCs w:val="28"/>
                <w:lang w:eastAsia="en-IN"/>
                <w14:ligatures w14:val="none"/>
              </w:rPr>
            </w:pPr>
            <w:r w:rsidRPr="005F3655">
              <w:rPr>
                <w:rFonts w:ascii="Times New Roman" w:eastAsia="Times New Roman" w:hAnsi="Times New Roman" w:cs="Times New Roman"/>
                <w:color w:val="000000"/>
                <w:kern w:val="0"/>
                <w:sz w:val="28"/>
                <w:szCs w:val="28"/>
                <w:lang w:eastAsia="en-IN"/>
                <w14:ligatures w14:val="none"/>
              </w:rPr>
              <w:t>23.8</w:t>
            </w:r>
          </w:p>
        </w:tc>
        <w:tc>
          <w:tcPr>
            <w:tcW w:w="1483" w:type="dxa"/>
            <w:tcBorders>
              <w:top w:val="nil"/>
              <w:left w:val="nil"/>
              <w:bottom w:val="single" w:sz="4" w:space="0" w:color="auto"/>
              <w:right w:val="single" w:sz="4" w:space="0" w:color="auto"/>
            </w:tcBorders>
            <w:vAlign w:val="center"/>
            <w:hideMark/>
          </w:tcPr>
          <w:p w14:paraId="48603E1C" w14:textId="77777777" w:rsidR="005F3655" w:rsidRPr="005F3655" w:rsidRDefault="005F3655" w:rsidP="005F3655">
            <w:pPr>
              <w:spacing w:after="0" w:line="240" w:lineRule="auto"/>
              <w:jc w:val="center"/>
              <w:rPr>
                <w:rFonts w:ascii="Times New Roman" w:eastAsia="Times New Roman" w:hAnsi="Times New Roman" w:cs="Times New Roman"/>
                <w:color w:val="000000"/>
                <w:kern w:val="0"/>
                <w:sz w:val="28"/>
                <w:szCs w:val="28"/>
                <w:lang w:eastAsia="en-IN"/>
                <w14:ligatures w14:val="none"/>
              </w:rPr>
            </w:pPr>
            <w:r w:rsidRPr="005F3655">
              <w:rPr>
                <w:rFonts w:ascii="Times New Roman" w:eastAsia="Times New Roman" w:hAnsi="Times New Roman" w:cs="Times New Roman"/>
                <w:color w:val="000000"/>
                <w:kern w:val="0"/>
                <w:sz w:val="28"/>
                <w:szCs w:val="28"/>
                <w:lang w:eastAsia="en-IN"/>
                <w14:ligatures w14:val="none"/>
              </w:rPr>
              <w:t>15.9</w:t>
            </w:r>
          </w:p>
        </w:tc>
      </w:tr>
      <w:tr w:rsidR="005F3655" w:rsidRPr="005F3655" w14:paraId="6B286030" w14:textId="77777777" w:rsidTr="005F3655">
        <w:trPr>
          <w:trHeight w:val="20"/>
        </w:trPr>
        <w:tc>
          <w:tcPr>
            <w:tcW w:w="1752" w:type="dxa"/>
            <w:tcBorders>
              <w:top w:val="nil"/>
              <w:left w:val="single" w:sz="4" w:space="0" w:color="auto"/>
              <w:bottom w:val="single" w:sz="4" w:space="0" w:color="auto"/>
              <w:right w:val="single" w:sz="4" w:space="0" w:color="auto"/>
            </w:tcBorders>
            <w:vAlign w:val="center"/>
            <w:hideMark/>
          </w:tcPr>
          <w:p w14:paraId="65844B1F" w14:textId="77777777" w:rsidR="005F3655" w:rsidRPr="005F3655" w:rsidRDefault="005F3655" w:rsidP="005F3655">
            <w:pPr>
              <w:spacing w:after="0" w:line="240" w:lineRule="auto"/>
              <w:rPr>
                <w:rFonts w:ascii="Times New Roman" w:eastAsia="Times New Roman" w:hAnsi="Times New Roman" w:cs="Times New Roman"/>
                <w:color w:val="000000"/>
                <w:kern w:val="0"/>
                <w:sz w:val="28"/>
                <w:szCs w:val="28"/>
                <w:lang w:eastAsia="en-IN"/>
                <w14:ligatures w14:val="none"/>
              </w:rPr>
            </w:pPr>
            <w:r w:rsidRPr="005F3655">
              <w:rPr>
                <w:rFonts w:ascii="Times New Roman" w:eastAsia="Times New Roman" w:hAnsi="Times New Roman" w:cs="Times New Roman"/>
                <w:color w:val="000000"/>
                <w:kern w:val="0"/>
                <w:sz w:val="28"/>
                <w:szCs w:val="28"/>
                <w:lang w:eastAsia="en-IN"/>
                <w14:ligatures w14:val="none"/>
              </w:rPr>
              <w:t>Maharashtra</w:t>
            </w:r>
          </w:p>
        </w:tc>
        <w:tc>
          <w:tcPr>
            <w:tcW w:w="2040" w:type="dxa"/>
            <w:tcBorders>
              <w:top w:val="nil"/>
              <w:left w:val="nil"/>
              <w:bottom w:val="single" w:sz="4" w:space="0" w:color="auto"/>
              <w:right w:val="single" w:sz="4" w:space="0" w:color="auto"/>
            </w:tcBorders>
            <w:vAlign w:val="center"/>
            <w:hideMark/>
          </w:tcPr>
          <w:p w14:paraId="1F42CAD7" w14:textId="77777777" w:rsidR="005F3655" w:rsidRPr="005F3655" w:rsidRDefault="005F3655" w:rsidP="005F3655">
            <w:pPr>
              <w:spacing w:after="0" w:line="240" w:lineRule="auto"/>
              <w:jc w:val="center"/>
              <w:rPr>
                <w:rFonts w:ascii="Times New Roman" w:eastAsia="Times New Roman" w:hAnsi="Times New Roman" w:cs="Times New Roman"/>
                <w:color w:val="000000"/>
                <w:kern w:val="0"/>
                <w:sz w:val="28"/>
                <w:szCs w:val="28"/>
                <w:lang w:eastAsia="en-IN"/>
                <w14:ligatures w14:val="none"/>
              </w:rPr>
            </w:pPr>
            <w:r w:rsidRPr="005F3655">
              <w:rPr>
                <w:rFonts w:ascii="Times New Roman" w:eastAsia="Times New Roman" w:hAnsi="Times New Roman" w:cs="Times New Roman"/>
                <w:color w:val="000000"/>
                <w:kern w:val="0"/>
                <w:sz w:val="28"/>
                <w:szCs w:val="28"/>
                <w:lang w:eastAsia="en-IN"/>
                <w14:ligatures w14:val="none"/>
              </w:rPr>
              <w:t>57.38</w:t>
            </w:r>
          </w:p>
        </w:tc>
        <w:tc>
          <w:tcPr>
            <w:tcW w:w="2040" w:type="dxa"/>
            <w:tcBorders>
              <w:top w:val="nil"/>
              <w:left w:val="nil"/>
              <w:bottom w:val="single" w:sz="4" w:space="0" w:color="auto"/>
              <w:right w:val="single" w:sz="4" w:space="0" w:color="auto"/>
            </w:tcBorders>
            <w:vAlign w:val="center"/>
            <w:hideMark/>
          </w:tcPr>
          <w:p w14:paraId="606C6721" w14:textId="77777777" w:rsidR="005F3655" w:rsidRPr="005F3655" w:rsidRDefault="005F3655" w:rsidP="005F3655">
            <w:pPr>
              <w:spacing w:after="0" w:line="240" w:lineRule="auto"/>
              <w:jc w:val="center"/>
              <w:rPr>
                <w:rFonts w:ascii="Times New Roman" w:eastAsia="Times New Roman" w:hAnsi="Times New Roman" w:cs="Times New Roman"/>
                <w:color w:val="000000"/>
                <w:kern w:val="0"/>
                <w:sz w:val="28"/>
                <w:szCs w:val="28"/>
                <w:lang w:eastAsia="en-IN"/>
                <w14:ligatures w14:val="none"/>
              </w:rPr>
            </w:pPr>
            <w:r w:rsidRPr="005F3655">
              <w:rPr>
                <w:rFonts w:ascii="Times New Roman" w:eastAsia="Times New Roman" w:hAnsi="Times New Roman" w:cs="Times New Roman"/>
                <w:color w:val="000000"/>
                <w:kern w:val="0"/>
                <w:sz w:val="28"/>
                <w:szCs w:val="28"/>
                <w:lang w:eastAsia="en-IN"/>
                <w14:ligatures w14:val="none"/>
              </w:rPr>
              <w:t>44.1</w:t>
            </w:r>
          </w:p>
        </w:tc>
        <w:tc>
          <w:tcPr>
            <w:tcW w:w="2040" w:type="dxa"/>
            <w:tcBorders>
              <w:top w:val="nil"/>
              <w:left w:val="nil"/>
              <w:bottom w:val="single" w:sz="4" w:space="0" w:color="auto"/>
              <w:right w:val="single" w:sz="4" w:space="0" w:color="auto"/>
            </w:tcBorders>
            <w:vAlign w:val="center"/>
            <w:hideMark/>
          </w:tcPr>
          <w:p w14:paraId="39BD52B4" w14:textId="77777777" w:rsidR="005F3655" w:rsidRPr="005F3655" w:rsidRDefault="005F3655" w:rsidP="005F3655">
            <w:pPr>
              <w:spacing w:after="0" w:line="240" w:lineRule="auto"/>
              <w:jc w:val="center"/>
              <w:rPr>
                <w:rFonts w:ascii="Times New Roman" w:eastAsia="Times New Roman" w:hAnsi="Times New Roman" w:cs="Times New Roman"/>
                <w:color w:val="000000"/>
                <w:kern w:val="0"/>
                <w:sz w:val="28"/>
                <w:szCs w:val="28"/>
                <w:lang w:eastAsia="en-IN"/>
                <w14:ligatures w14:val="none"/>
              </w:rPr>
            </w:pPr>
            <w:r w:rsidRPr="005F3655">
              <w:rPr>
                <w:rFonts w:ascii="Times New Roman" w:eastAsia="Times New Roman" w:hAnsi="Times New Roman" w:cs="Times New Roman"/>
                <w:color w:val="000000"/>
                <w:kern w:val="0"/>
                <w:sz w:val="28"/>
                <w:szCs w:val="28"/>
                <w:lang w:eastAsia="en-IN"/>
                <w14:ligatures w14:val="none"/>
              </w:rPr>
              <w:t>66.53</w:t>
            </w:r>
          </w:p>
        </w:tc>
        <w:tc>
          <w:tcPr>
            <w:tcW w:w="1111" w:type="dxa"/>
            <w:tcBorders>
              <w:top w:val="nil"/>
              <w:left w:val="nil"/>
              <w:bottom w:val="single" w:sz="4" w:space="0" w:color="auto"/>
              <w:right w:val="single" w:sz="4" w:space="0" w:color="auto"/>
            </w:tcBorders>
            <w:vAlign w:val="center"/>
            <w:hideMark/>
          </w:tcPr>
          <w:p w14:paraId="2F1A8494" w14:textId="77777777" w:rsidR="005F3655" w:rsidRPr="005F3655" w:rsidRDefault="005F3655" w:rsidP="005F3655">
            <w:pPr>
              <w:spacing w:after="0" w:line="240" w:lineRule="auto"/>
              <w:jc w:val="center"/>
              <w:rPr>
                <w:rFonts w:ascii="Times New Roman" w:eastAsia="Times New Roman" w:hAnsi="Times New Roman" w:cs="Times New Roman"/>
                <w:color w:val="000000"/>
                <w:kern w:val="0"/>
                <w:sz w:val="28"/>
                <w:szCs w:val="28"/>
                <w:lang w:eastAsia="en-IN"/>
                <w14:ligatures w14:val="none"/>
              </w:rPr>
            </w:pPr>
            <w:r w:rsidRPr="005F3655">
              <w:rPr>
                <w:rFonts w:ascii="Times New Roman" w:eastAsia="Times New Roman" w:hAnsi="Times New Roman" w:cs="Times New Roman"/>
                <w:color w:val="000000"/>
                <w:kern w:val="0"/>
                <w:sz w:val="28"/>
                <w:szCs w:val="28"/>
                <w:lang w:eastAsia="en-IN"/>
                <w14:ligatures w14:val="none"/>
              </w:rPr>
              <w:t>49.9</w:t>
            </w:r>
          </w:p>
        </w:tc>
        <w:tc>
          <w:tcPr>
            <w:tcW w:w="1263" w:type="dxa"/>
            <w:tcBorders>
              <w:top w:val="nil"/>
              <w:left w:val="nil"/>
              <w:bottom w:val="single" w:sz="4" w:space="0" w:color="auto"/>
              <w:right w:val="single" w:sz="4" w:space="0" w:color="auto"/>
            </w:tcBorders>
            <w:vAlign w:val="center"/>
            <w:hideMark/>
          </w:tcPr>
          <w:p w14:paraId="275CFCA8" w14:textId="77777777" w:rsidR="005F3655" w:rsidRPr="005F3655" w:rsidRDefault="005F3655" w:rsidP="005F3655">
            <w:pPr>
              <w:spacing w:after="0" w:line="240" w:lineRule="auto"/>
              <w:jc w:val="center"/>
              <w:rPr>
                <w:rFonts w:ascii="Times New Roman" w:eastAsia="Times New Roman" w:hAnsi="Times New Roman" w:cs="Times New Roman"/>
                <w:color w:val="000000"/>
                <w:kern w:val="0"/>
                <w:sz w:val="28"/>
                <w:szCs w:val="28"/>
                <w:lang w:eastAsia="en-IN"/>
                <w14:ligatures w14:val="none"/>
              </w:rPr>
            </w:pPr>
            <w:r w:rsidRPr="005F3655">
              <w:rPr>
                <w:rFonts w:ascii="Times New Roman" w:eastAsia="Times New Roman" w:hAnsi="Times New Roman" w:cs="Times New Roman"/>
                <w:color w:val="000000"/>
                <w:kern w:val="0"/>
                <w:sz w:val="28"/>
                <w:szCs w:val="28"/>
                <w:lang w:eastAsia="en-IN"/>
                <w14:ligatures w14:val="none"/>
              </w:rPr>
              <w:t>139.6</w:t>
            </w:r>
          </w:p>
        </w:tc>
        <w:tc>
          <w:tcPr>
            <w:tcW w:w="1550" w:type="dxa"/>
            <w:tcBorders>
              <w:top w:val="nil"/>
              <w:left w:val="nil"/>
              <w:bottom w:val="single" w:sz="4" w:space="0" w:color="auto"/>
              <w:right w:val="single" w:sz="4" w:space="0" w:color="auto"/>
            </w:tcBorders>
            <w:vAlign w:val="center"/>
            <w:hideMark/>
          </w:tcPr>
          <w:p w14:paraId="3555792C" w14:textId="77777777" w:rsidR="005F3655" w:rsidRPr="005F3655" w:rsidRDefault="005F3655" w:rsidP="005F3655">
            <w:pPr>
              <w:spacing w:after="0" w:line="240" w:lineRule="auto"/>
              <w:jc w:val="center"/>
              <w:rPr>
                <w:rFonts w:ascii="Times New Roman" w:eastAsia="Times New Roman" w:hAnsi="Times New Roman" w:cs="Times New Roman"/>
                <w:color w:val="000000"/>
                <w:kern w:val="0"/>
                <w:sz w:val="28"/>
                <w:szCs w:val="28"/>
                <w:lang w:eastAsia="en-IN"/>
                <w14:ligatures w14:val="none"/>
              </w:rPr>
            </w:pPr>
            <w:r w:rsidRPr="005F3655">
              <w:rPr>
                <w:rFonts w:ascii="Times New Roman" w:eastAsia="Times New Roman" w:hAnsi="Times New Roman" w:cs="Times New Roman"/>
                <w:color w:val="000000"/>
                <w:kern w:val="0"/>
                <w:sz w:val="28"/>
                <w:szCs w:val="28"/>
                <w:lang w:eastAsia="en-IN"/>
                <w14:ligatures w14:val="none"/>
              </w:rPr>
              <w:t>3084</w:t>
            </w:r>
          </w:p>
        </w:tc>
        <w:tc>
          <w:tcPr>
            <w:tcW w:w="1331" w:type="dxa"/>
            <w:tcBorders>
              <w:top w:val="nil"/>
              <w:left w:val="nil"/>
              <w:bottom w:val="single" w:sz="4" w:space="0" w:color="auto"/>
              <w:right w:val="single" w:sz="4" w:space="0" w:color="auto"/>
            </w:tcBorders>
            <w:vAlign w:val="center"/>
            <w:hideMark/>
          </w:tcPr>
          <w:p w14:paraId="2B16530B" w14:textId="77777777" w:rsidR="005F3655" w:rsidRPr="005F3655" w:rsidRDefault="005F3655" w:rsidP="005F3655">
            <w:pPr>
              <w:spacing w:after="0" w:line="240" w:lineRule="auto"/>
              <w:jc w:val="center"/>
              <w:rPr>
                <w:rFonts w:ascii="Times New Roman" w:eastAsia="Times New Roman" w:hAnsi="Times New Roman" w:cs="Times New Roman"/>
                <w:color w:val="000000"/>
                <w:kern w:val="0"/>
                <w:sz w:val="28"/>
                <w:szCs w:val="28"/>
                <w:lang w:eastAsia="en-IN"/>
                <w14:ligatures w14:val="none"/>
              </w:rPr>
            </w:pPr>
            <w:r w:rsidRPr="005F3655">
              <w:rPr>
                <w:rFonts w:ascii="Times New Roman" w:eastAsia="Times New Roman" w:hAnsi="Times New Roman" w:cs="Times New Roman"/>
                <w:color w:val="000000"/>
                <w:kern w:val="0"/>
                <w:sz w:val="28"/>
                <w:szCs w:val="28"/>
                <w:lang w:eastAsia="en-IN"/>
                <w14:ligatures w14:val="none"/>
              </w:rPr>
              <w:t>203.9</w:t>
            </w:r>
          </w:p>
        </w:tc>
        <w:tc>
          <w:tcPr>
            <w:tcW w:w="1483" w:type="dxa"/>
            <w:tcBorders>
              <w:top w:val="nil"/>
              <w:left w:val="nil"/>
              <w:bottom w:val="single" w:sz="4" w:space="0" w:color="auto"/>
              <w:right w:val="single" w:sz="4" w:space="0" w:color="auto"/>
            </w:tcBorders>
            <w:vAlign w:val="center"/>
            <w:hideMark/>
          </w:tcPr>
          <w:p w14:paraId="127CA078" w14:textId="77777777" w:rsidR="005F3655" w:rsidRPr="005F3655" w:rsidRDefault="005F3655" w:rsidP="005F3655">
            <w:pPr>
              <w:spacing w:after="0" w:line="240" w:lineRule="auto"/>
              <w:jc w:val="center"/>
              <w:rPr>
                <w:rFonts w:ascii="Times New Roman" w:eastAsia="Times New Roman" w:hAnsi="Times New Roman" w:cs="Times New Roman"/>
                <w:color w:val="000000"/>
                <w:kern w:val="0"/>
                <w:sz w:val="28"/>
                <w:szCs w:val="28"/>
                <w:lang w:eastAsia="en-IN"/>
                <w14:ligatures w14:val="none"/>
              </w:rPr>
            </w:pPr>
            <w:r w:rsidRPr="005F3655">
              <w:rPr>
                <w:rFonts w:ascii="Times New Roman" w:eastAsia="Times New Roman" w:hAnsi="Times New Roman" w:cs="Times New Roman"/>
                <w:color w:val="000000"/>
                <w:kern w:val="0"/>
                <w:sz w:val="28"/>
                <w:szCs w:val="28"/>
                <w:lang w:eastAsia="en-IN"/>
                <w14:ligatures w14:val="none"/>
              </w:rPr>
              <w:t>174.1</w:t>
            </w:r>
          </w:p>
        </w:tc>
      </w:tr>
      <w:tr w:rsidR="005F3655" w:rsidRPr="005F3655" w14:paraId="348C0693" w14:textId="77777777" w:rsidTr="005F3655">
        <w:trPr>
          <w:trHeight w:val="20"/>
        </w:trPr>
        <w:tc>
          <w:tcPr>
            <w:tcW w:w="1752" w:type="dxa"/>
            <w:tcBorders>
              <w:top w:val="nil"/>
              <w:left w:val="single" w:sz="4" w:space="0" w:color="auto"/>
              <w:bottom w:val="single" w:sz="4" w:space="0" w:color="auto"/>
              <w:right w:val="single" w:sz="4" w:space="0" w:color="auto"/>
            </w:tcBorders>
            <w:vAlign w:val="center"/>
            <w:hideMark/>
          </w:tcPr>
          <w:p w14:paraId="06FF0C8C" w14:textId="77777777" w:rsidR="005F3655" w:rsidRPr="005F3655" w:rsidRDefault="005F3655" w:rsidP="005F3655">
            <w:pPr>
              <w:spacing w:after="0" w:line="240" w:lineRule="auto"/>
              <w:rPr>
                <w:rFonts w:ascii="Times New Roman" w:eastAsia="Times New Roman" w:hAnsi="Times New Roman" w:cs="Times New Roman"/>
                <w:color w:val="000000"/>
                <w:kern w:val="0"/>
                <w:sz w:val="28"/>
                <w:szCs w:val="28"/>
                <w:lang w:eastAsia="en-IN"/>
                <w14:ligatures w14:val="none"/>
              </w:rPr>
            </w:pPr>
            <w:r w:rsidRPr="005F3655">
              <w:rPr>
                <w:rFonts w:ascii="Times New Roman" w:eastAsia="Times New Roman" w:hAnsi="Times New Roman" w:cs="Times New Roman"/>
                <w:color w:val="000000"/>
                <w:kern w:val="0"/>
                <w:sz w:val="28"/>
                <w:szCs w:val="28"/>
                <w:lang w:eastAsia="en-IN"/>
                <w14:ligatures w14:val="none"/>
              </w:rPr>
              <w:lastRenderedPageBreak/>
              <w:t>Mysore</w:t>
            </w:r>
          </w:p>
        </w:tc>
        <w:tc>
          <w:tcPr>
            <w:tcW w:w="2040" w:type="dxa"/>
            <w:tcBorders>
              <w:top w:val="nil"/>
              <w:left w:val="nil"/>
              <w:bottom w:val="single" w:sz="4" w:space="0" w:color="auto"/>
              <w:right w:val="single" w:sz="4" w:space="0" w:color="auto"/>
            </w:tcBorders>
            <w:vAlign w:val="center"/>
            <w:hideMark/>
          </w:tcPr>
          <w:p w14:paraId="01911B20" w14:textId="77777777" w:rsidR="005F3655" w:rsidRPr="005F3655" w:rsidRDefault="005F3655" w:rsidP="005F3655">
            <w:pPr>
              <w:spacing w:after="0" w:line="240" w:lineRule="auto"/>
              <w:jc w:val="center"/>
              <w:rPr>
                <w:rFonts w:ascii="Times New Roman" w:eastAsia="Times New Roman" w:hAnsi="Times New Roman" w:cs="Times New Roman"/>
                <w:color w:val="000000"/>
                <w:kern w:val="0"/>
                <w:sz w:val="28"/>
                <w:szCs w:val="28"/>
                <w:lang w:eastAsia="en-IN"/>
                <w14:ligatures w14:val="none"/>
              </w:rPr>
            </w:pPr>
            <w:r w:rsidRPr="005F3655">
              <w:rPr>
                <w:rFonts w:ascii="Times New Roman" w:eastAsia="Times New Roman" w:hAnsi="Times New Roman" w:cs="Times New Roman"/>
                <w:color w:val="000000"/>
                <w:kern w:val="0"/>
                <w:sz w:val="28"/>
                <w:szCs w:val="28"/>
                <w:lang w:eastAsia="en-IN"/>
                <w14:ligatures w14:val="none"/>
              </w:rPr>
              <w:t>5.11</w:t>
            </w:r>
          </w:p>
        </w:tc>
        <w:tc>
          <w:tcPr>
            <w:tcW w:w="2040" w:type="dxa"/>
            <w:tcBorders>
              <w:top w:val="nil"/>
              <w:left w:val="nil"/>
              <w:bottom w:val="single" w:sz="4" w:space="0" w:color="auto"/>
              <w:right w:val="single" w:sz="4" w:space="0" w:color="auto"/>
            </w:tcBorders>
            <w:vAlign w:val="center"/>
            <w:hideMark/>
          </w:tcPr>
          <w:p w14:paraId="36CA39F2" w14:textId="77777777" w:rsidR="005F3655" w:rsidRPr="005F3655" w:rsidRDefault="005F3655" w:rsidP="005F3655">
            <w:pPr>
              <w:spacing w:after="0" w:line="240" w:lineRule="auto"/>
              <w:jc w:val="center"/>
              <w:rPr>
                <w:rFonts w:ascii="Times New Roman" w:eastAsia="Times New Roman" w:hAnsi="Times New Roman" w:cs="Times New Roman"/>
                <w:color w:val="000000"/>
                <w:kern w:val="0"/>
                <w:sz w:val="28"/>
                <w:szCs w:val="28"/>
                <w:lang w:eastAsia="en-IN"/>
                <w14:ligatures w14:val="none"/>
              </w:rPr>
            </w:pPr>
            <w:r w:rsidRPr="005F3655">
              <w:rPr>
                <w:rFonts w:ascii="Times New Roman" w:eastAsia="Times New Roman" w:hAnsi="Times New Roman" w:cs="Times New Roman"/>
                <w:color w:val="000000"/>
                <w:kern w:val="0"/>
                <w:sz w:val="28"/>
                <w:szCs w:val="28"/>
                <w:lang w:eastAsia="en-IN"/>
                <w14:ligatures w14:val="none"/>
              </w:rPr>
              <w:t>13.54</w:t>
            </w:r>
          </w:p>
        </w:tc>
        <w:tc>
          <w:tcPr>
            <w:tcW w:w="2040" w:type="dxa"/>
            <w:tcBorders>
              <w:top w:val="nil"/>
              <w:left w:val="nil"/>
              <w:bottom w:val="single" w:sz="4" w:space="0" w:color="auto"/>
              <w:right w:val="single" w:sz="4" w:space="0" w:color="auto"/>
            </w:tcBorders>
            <w:vAlign w:val="center"/>
            <w:hideMark/>
          </w:tcPr>
          <w:p w14:paraId="071DCFE9" w14:textId="77777777" w:rsidR="005F3655" w:rsidRPr="005F3655" w:rsidRDefault="005F3655" w:rsidP="005F3655">
            <w:pPr>
              <w:spacing w:after="0" w:line="240" w:lineRule="auto"/>
              <w:jc w:val="center"/>
              <w:rPr>
                <w:rFonts w:ascii="Times New Roman" w:eastAsia="Times New Roman" w:hAnsi="Times New Roman" w:cs="Times New Roman"/>
                <w:color w:val="000000"/>
                <w:kern w:val="0"/>
                <w:sz w:val="28"/>
                <w:szCs w:val="28"/>
                <w:lang w:eastAsia="en-IN"/>
                <w14:ligatures w14:val="none"/>
              </w:rPr>
            </w:pPr>
            <w:r w:rsidRPr="005F3655">
              <w:rPr>
                <w:rFonts w:ascii="Times New Roman" w:eastAsia="Times New Roman" w:hAnsi="Times New Roman" w:cs="Times New Roman"/>
                <w:color w:val="000000"/>
                <w:kern w:val="0"/>
                <w:sz w:val="28"/>
                <w:szCs w:val="28"/>
                <w:lang w:eastAsia="en-IN"/>
                <w14:ligatures w14:val="none"/>
              </w:rPr>
              <w:t>12.39</w:t>
            </w:r>
          </w:p>
        </w:tc>
        <w:tc>
          <w:tcPr>
            <w:tcW w:w="1111" w:type="dxa"/>
            <w:tcBorders>
              <w:top w:val="nil"/>
              <w:left w:val="nil"/>
              <w:bottom w:val="single" w:sz="4" w:space="0" w:color="auto"/>
              <w:right w:val="single" w:sz="4" w:space="0" w:color="auto"/>
            </w:tcBorders>
            <w:vAlign w:val="center"/>
            <w:hideMark/>
          </w:tcPr>
          <w:p w14:paraId="1DBDD82A" w14:textId="77777777" w:rsidR="005F3655" w:rsidRPr="005F3655" w:rsidRDefault="005F3655" w:rsidP="005F3655">
            <w:pPr>
              <w:spacing w:after="0" w:line="240" w:lineRule="auto"/>
              <w:jc w:val="center"/>
              <w:rPr>
                <w:rFonts w:ascii="Times New Roman" w:eastAsia="Times New Roman" w:hAnsi="Times New Roman" w:cs="Times New Roman"/>
                <w:color w:val="000000"/>
                <w:kern w:val="0"/>
                <w:sz w:val="28"/>
                <w:szCs w:val="28"/>
                <w:lang w:eastAsia="en-IN"/>
                <w14:ligatures w14:val="none"/>
              </w:rPr>
            </w:pPr>
            <w:r w:rsidRPr="005F3655">
              <w:rPr>
                <w:rFonts w:ascii="Times New Roman" w:eastAsia="Times New Roman" w:hAnsi="Times New Roman" w:cs="Times New Roman"/>
                <w:color w:val="000000"/>
                <w:kern w:val="0"/>
                <w:sz w:val="28"/>
                <w:szCs w:val="28"/>
                <w:lang w:eastAsia="en-IN"/>
                <w14:ligatures w14:val="none"/>
              </w:rPr>
              <w:t>48.4</w:t>
            </w:r>
          </w:p>
        </w:tc>
        <w:tc>
          <w:tcPr>
            <w:tcW w:w="1263" w:type="dxa"/>
            <w:tcBorders>
              <w:top w:val="nil"/>
              <w:left w:val="nil"/>
              <w:bottom w:val="single" w:sz="4" w:space="0" w:color="auto"/>
              <w:right w:val="single" w:sz="4" w:space="0" w:color="auto"/>
            </w:tcBorders>
            <w:vAlign w:val="center"/>
            <w:hideMark/>
          </w:tcPr>
          <w:p w14:paraId="171A97C8" w14:textId="77777777" w:rsidR="005F3655" w:rsidRPr="005F3655" w:rsidRDefault="005F3655" w:rsidP="005F3655">
            <w:pPr>
              <w:spacing w:after="0" w:line="240" w:lineRule="auto"/>
              <w:jc w:val="center"/>
              <w:rPr>
                <w:rFonts w:ascii="Times New Roman" w:eastAsia="Times New Roman" w:hAnsi="Times New Roman" w:cs="Times New Roman"/>
                <w:color w:val="000000"/>
                <w:kern w:val="0"/>
                <w:sz w:val="28"/>
                <w:szCs w:val="28"/>
                <w:lang w:eastAsia="en-IN"/>
                <w14:ligatures w14:val="none"/>
              </w:rPr>
            </w:pPr>
            <w:r w:rsidRPr="005F3655">
              <w:rPr>
                <w:rFonts w:ascii="Times New Roman" w:eastAsia="Times New Roman" w:hAnsi="Times New Roman" w:cs="Times New Roman"/>
                <w:color w:val="000000"/>
                <w:kern w:val="0"/>
                <w:sz w:val="28"/>
                <w:szCs w:val="28"/>
                <w:lang w:eastAsia="en-IN"/>
                <w14:ligatures w14:val="none"/>
              </w:rPr>
              <w:t>8.7</w:t>
            </w:r>
          </w:p>
        </w:tc>
        <w:tc>
          <w:tcPr>
            <w:tcW w:w="1550" w:type="dxa"/>
            <w:tcBorders>
              <w:top w:val="nil"/>
              <w:left w:val="nil"/>
              <w:bottom w:val="single" w:sz="4" w:space="0" w:color="auto"/>
              <w:right w:val="single" w:sz="4" w:space="0" w:color="auto"/>
            </w:tcBorders>
            <w:vAlign w:val="center"/>
            <w:hideMark/>
          </w:tcPr>
          <w:p w14:paraId="723D82EF" w14:textId="77777777" w:rsidR="005F3655" w:rsidRPr="005F3655" w:rsidRDefault="005F3655" w:rsidP="005F3655">
            <w:pPr>
              <w:spacing w:after="0" w:line="240" w:lineRule="auto"/>
              <w:jc w:val="center"/>
              <w:rPr>
                <w:rFonts w:ascii="Times New Roman" w:eastAsia="Times New Roman" w:hAnsi="Times New Roman" w:cs="Times New Roman"/>
                <w:color w:val="000000"/>
                <w:kern w:val="0"/>
                <w:sz w:val="28"/>
                <w:szCs w:val="28"/>
                <w:lang w:eastAsia="en-IN"/>
                <w14:ligatures w14:val="none"/>
              </w:rPr>
            </w:pPr>
            <w:r w:rsidRPr="005F3655">
              <w:rPr>
                <w:rFonts w:ascii="Times New Roman" w:eastAsia="Times New Roman" w:hAnsi="Times New Roman" w:cs="Times New Roman"/>
                <w:color w:val="000000"/>
                <w:kern w:val="0"/>
                <w:sz w:val="28"/>
                <w:szCs w:val="28"/>
                <w:lang w:eastAsia="en-IN"/>
                <w14:ligatures w14:val="none"/>
              </w:rPr>
              <w:t>380</w:t>
            </w:r>
          </w:p>
        </w:tc>
        <w:tc>
          <w:tcPr>
            <w:tcW w:w="1331" w:type="dxa"/>
            <w:tcBorders>
              <w:top w:val="nil"/>
              <w:left w:val="nil"/>
              <w:bottom w:val="single" w:sz="4" w:space="0" w:color="auto"/>
              <w:right w:val="single" w:sz="4" w:space="0" w:color="auto"/>
            </w:tcBorders>
            <w:vAlign w:val="center"/>
            <w:hideMark/>
          </w:tcPr>
          <w:p w14:paraId="3CD4FC44" w14:textId="77777777" w:rsidR="005F3655" w:rsidRPr="005F3655" w:rsidRDefault="005F3655" w:rsidP="005F3655">
            <w:pPr>
              <w:spacing w:after="0" w:line="240" w:lineRule="auto"/>
              <w:jc w:val="center"/>
              <w:rPr>
                <w:rFonts w:ascii="Times New Roman" w:eastAsia="Times New Roman" w:hAnsi="Times New Roman" w:cs="Times New Roman"/>
                <w:color w:val="000000"/>
                <w:kern w:val="0"/>
                <w:sz w:val="28"/>
                <w:szCs w:val="28"/>
                <w:lang w:eastAsia="en-IN"/>
                <w14:ligatures w14:val="none"/>
              </w:rPr>
            </w:pPr>
            <w:r w:rsidRPr="005F3655">
              <w:rPr>
                <w:rFonts w:ascii="Times New Roman" w:eastAsia="Times New Roman" w:hAnsi="Times New Roman" w:cs="Times New Roman"/>
                <w:color w:val="000000"/>
                <w:kern w:val="0"/>
                <w:sz w:val="28"/>
                <w:szCs w:val="28"/>
                <w:lang w:eastAsia="en-IN"/>
                <w14:ligatures w14:val="none"/>
              </w:rPr>
              <w:t>68.3</w:t>
            </w:r>
          </w:p>
        </w:tc>
        <w:tc>
          <w:tcPr>
            <w:tcW w:w="1483" w:type="dxa"/>
            <w:tcBorders>
              <w:top w:val="nil"/>
              <w:left w:val="nil"/>
              <w:bottom w:val="single" w:sz="4" w:space="0" w:color="auto"/>
              <w:right w:val="single" w:sz="4" w:space="0" w:color="auto"/>
            </w:tcBorders>
            <w:vAlign w:val="center"/>
            <w:hideMark/>
          </w:tcPr>
          <w:p w14:paraId="51DE96D7" w14:textId="77777777" w:rsidR="005F3655" w:rsidRPr="005F3655" w:rsidRDefault="005F3655" w:rsidP="005F3655">
            <w:pPr>
              <w:spacing w:after="0" w:line="240" w:lineRule="auto"/>
              <w:jc w:val="center"/>
              <w:rPr>
                <w:rFonts w:ascii="Times New Roman" w:eastAsia="Times New Roman" w:hAnsi="Times New Roman" w:cs="Times New Roman"/>
                <w:color w:val="000000"/>
                <w:kern w:val="0"/>
                <w:sz w:val="28"/>
                <w:szCs w:val="28"/>
                <w:lang w:eastAsia="en-IN"/>
                <w14:ligatures w14:val="none"/>
              </w:rPr>
            </w:pPr>
            <w:r w:rsidRPr="005F3655">
              <w:rPr>
                <w:rFonts w:ascii="Times New Roman" w:eastAsia="Times New Roman" w:hAnsi="Times New Roman" w:cs="Times New Roman"/>
                <w:color w:val="000000"/>
                <w:kern w:val="0"/>
                <w:sz w:val="28"/>
                <w:szCs w:val="28"/>
                <w:lang w:eastAsia="en-IN"/>
                <w14:ligatures w14:val="none"/>
              </w:rPr>
              <w:t>43.7</w:t>
            </w:r>
          </w:p>
        </w:tc>
      </w:tr>
      <w:tr w:rsidR="005F3655" w:rsidRPr="005F3655" w14:paraId="458D9E37" w14:textId="77777777" w:rsidTr="005F3655">
        <w:trPr>
          <w:trHeight w:val="20"/>
        </w:trPr>
        <w:tc>
          <w:tcPr>
            <w:tcW w:w="1752" w:type="dxa"/>
            <w:tcBorders>
              <w:top w:val="nil"/>
              <w:left w:val="single" w:sz="4" w:space="0" w:color="auto"/>
              <w:bottom w:val="single" w:sz="4" w:space="0" w:color="auto"/>
              <w:right w:val="single" w:sz="4" w:space="0" w:color="auto"/>
            </w:tcBorders>
            <w:vAlign w:val="center"/>
            <w:hideMark/>
          </w:tcPr>
          <w:p w14:paraId="7AE5051F" w14:textId="77777777" w:rsidR="005F3655" w:rsidRPr="005F3655" w:rsidRDefault="005F3655" w:rsidP="005F3655">
            <w:pPr>
              <w:spacing w:after="0" w:line="240" w:lineRule="auto"/>
              <w:rPr>
                <w:rFonts w:ascii="Times New Roman" w:eastAsia="Times New Roman" w:hAnsi="Times New Roman" w:cs="Times New Roman"/>
                <w:color w:val="000000"/>
                <w:kern w:val="0"/>
                <w:sz w:val="28"/>
                <w:szCs w:val="28"/>
                <w:lang w:eastAsia="en-IN"/>
                <w14:ligatures w14:val="none"/>
              </w:rPr>
            </w:pPr>
            <w:r w:rsidRPr="005F3655">
              <w:rPr>
                <w:rFonts w:ascii="Times New Roman" w:eastAsia="Times New Roman" w:hAnsi="Times New Roman" w:cs="Times New Roman"/>
                <w:color w:val="000000"/>
                <w:kern w:val="0"/>
                <w:sz w:val="28"/>
                <w:szCs w:val="28"/>
                <w:lang w:eastAsia="en-IN"/>
                <w14:ligatures w14:val="none"/>
              </w:rPr>
              <w:t>Nagaland</w:t>
            </w:r>
          </w:p>
        </w:tc>
        <w:tc>
          <w:tcPr>
            <w:tcW w:w="2040" w:type="dxa"/>
            <w:tcBorders>
              <w:top w:val="nil"/>
              <w:left w:val="nil"/>
              <w:bottom w:val="single" w:sz="4" w:space="0" w:color="auto"/>
              <w:right w:val="single" w:sz="4" w:space="0" w:color="auto"/>
            </w:tcBorders>
            <w:vAlign w:val="center"/>
            <w:hideMark/>
          </w:tcPr>
          <w:p w14:paraId="3F0280A8" w14:textId="77777777" w:rsidR="005F3655" w:rsidRPr="005F3655" w:rsidRDefault="005F3655" w:rsidP="005F3655">
            <w:pPr>
              <w:spacing w:after="0" w:line="240" w:lineRule="auto"/>
              <w:jc w:val="center"/>
              <w:rPr>
                <w:rFonts w:ascii="Times New Roman" w:eastAsia="Times New Roman" w:hAnsi="Times New Roman" w:cs="Times New Roman"/>
                <w:color w:val="000000"/>
                <w:kern w:val="0"/>
                <w:sz w:val="28"/>
                <w:szCs w:val="28"/>
                <w:lang w:eastAsia="en-IN"/>
                <w14:ligatures w14:val="none"/>
              </w:rPr>
            </w:pPr>
            <w:r w:rsidRPr="005F3655">
              <w:rPr>
                <w:rFonts w:ascii="Times New Roman" w:eastAsia="Times New Roman" w:hAnsi="Times New Roman" w:cs="Times New Roman"/>
                <w:color w:val="000000"/>
                <w:kern w:val="0"/>
                <w:sz w:val="28"/>
                <w:szCs w:val="28"/>
                <w:lang w:eastAsia="en-IN"/>
                <w14:ligatures w14:val="none"/>
              </w:rPr>
              <w:t>–</w:t>
            </w:r>
          </w:p>
        </w:tc>
        <w:tc>
          <w:tcPr>
            <w:tcW w:w="2040" w:type="dxa"/>
            <w:tcBorders>
              <w:top w:val="nil"/>
              <w:left w:val="nil"/>
              <w:bottom w:val="single" w:sz="4" w:space="0" w:color="auto"/>
              <w:right w:val="single" w:sz="4" w:space="0" w:color="auto"/>
            </w:tcBorders>
            <w:vAlign w:val="center"/>
            <w:hideMark/>
          </w:tcPr>
          <w:p w14:paraId="5E0E7363" w14:textId="77777777" w:rsidR="005F3655" w:rsidRPr="005F3655" w:rsidRDefault="005F3655" w:rsidP="005F3655">
            <w:pPr>
              <w:spacing w:after="0" w:line="240" w:lineRule="auto"/>
              <w:jc w:val="center"/>
              <w:rPr>
                <w:rFonts w:ascii="Times New Roman" w:eastAsia="Times New Roman" w:hAnsi="Times New Roman" w:cs="Times New Roman"/>
                <w:color w:val="000000"/>
                <w:kern w:val="0"/>
                <w:sz w:val="28"/>
                <w:szCs w:val="28"/>
                <w:lang w:eastAsia="en-IN"/>
                <w14:ligatures w14:val="none"/>
              </w:rPr>
            </w:pPr>
            <w:r w:rsidRPr="005F3655">
              <w:rPr>
                <w:rFonts w:ascii="Times New Roman" w:eastAsia="Times New Roman" w:hAnsi="Times New Roman" w:cs="Times New Roman"/>
                <w:color w:val="000000"/>
                <w:kern w:val="0"/>
                <w:sz w:val="28"/>
                <w:szCs w:val="28"/>
                <w:lang w:eastAsia="en-IN"/>
                <w14:ligatures w14:val="none"/>
              </w:rPr>
              <w:t>–</w:t>
            </w:r>
          </w:p>
        </w:tc>
        <w:tc>
          <w:tcPr>
            <w:tcW w:w="2040" w:type="dxa"/>
            <w:tcBorders>
              <w:top w:val="nil"/>
              <w:left w:val="nil"/>
              <w:bottom w:val="single" w:sz="4" w:space="0" w:color="auto"/>
              <w:right w:val="single" w:sz="4" w:space="0" w:color="auto"/>
            </w:tcBorders>
            <w:vAlign w:val="center"/>
            <w:hideMark/>
          </w:tcPr>
          <w:p w14:paraId="6B6D8C4E" w14:textId="77777777" w:rsidR="005F3655" w:rsidRPr="005F3655" w:rsidRDefault="005F3655" w:rsidP="005F3655">
            <w:pPr>
              <w:spacing w:after="0" w:line="240" w:lineRule="auto"/>
              <w:jc w:val="center"/>
              <w:rPr>
                <w:rFonts w:ascii="Times New Roman" w:eastAsia="Times New Roman" w:hAnsi="Times New Roman" w:cs="Times New Roman"/>
                <w:color w:val="000000"/>
                <w:kern w:val="0"/>
                <w:sz w:val="28"/>
                <w:szCs w:val="28"/>
                <w:lang w:eastAsia="en-IN"/>
                <w14:ligatures w14:val="none"/>
              </w:rPr>
            </w:pPr>
            <w:r w:rsidRPr="005F3655">
              <w:rPr>
                <w:rFonts w:ascii="Times New Roman" w:eastAsia="Times New Roman" w:hAnsi="Times New Roman" w:cs="Times New Roman"/>
                <w:color w:val="000000"/>
                <w:kern w:val="0"/>
                <w:sz w:val="28"/>
                <w:szCs w:val="28"/>
                <w:lang w:eastAsia="en-IN"/>
                <w14:ligatures w14:val="none"/>
              </w:rPr>
              <w:t>–</w:t>
            </w:r>
          </w:p>
        </w:tc>
        <w:tc>
          <w:tcPr>
            <w:tcW w:w="1111" w:type="dxa"/>
            <w:tcBorders>
              <w:top w:val="nil"/>
              <w:left w:val="nil"/>
              <w:bottom w:val="single" w:sz="4" w:space="0" w:color="auto"/>
              <w:right w:val="single" w:sz="4" w:space="0" w:color="auto"/>
            </w:tcBorders>
            <w:vAlign w:val="center"/>
            <w:hideMark/>
          </w:tcPr>
          <w:p w14:paraId="64AC8964" w14:textId="77777777" w:rsidR="005F3655" w:rsidRPr="005F3655" w:rsidRDefault="005F3655" w:rsidP="005F3655">
            <w:pPr>
              <w:spacing w:after="0" w:line="240" w:lineRule="auto"/>
              <w:jc w:val="center"/>
              <w:rPr>
                <w:rFonts w:ascii="Times New Roman" w:eastAsia="Times New Roman" w:hAnsi="Times New Roman" w:cs="Times New Roman"/>
                <w:color w:val="000000"/>
                <w:kern w:val="0"/>
                <w:sz w:val="28"/>
                <w:szCs w:val="28"/>
                <w:lang w:eastAsia="en-IN"/>
                <w14:ligatures w14:val="none"/>
              </w:rPr>
            </w:pPr>
            <w:r w:rsidRPr="005F3655">
              <w:rPr>
                <w:rFonts w:ascii="Times New Roman" w:eastAsia="Times New Roman" w:hAnsi="Times New Roman" w:cs="Times New Roman"/>
                <w:color w:val="000000"/>
                <w:kern w:val="0"/>
                <w:sz w:val="28"/>
                <w:szCs w:val="28"/>
                <w:lang w:eastAsia="en-IN"/>
                <w14:ligatures w14:val="none"/>
              </w:rPr>
              <w:t>–</w:t>
            </w:r>
          </w:p>
        </w:tc>
        <w:tc>
          <w:tcPr>
            <w:tcW w:w="1263" w:type="dxa"/>
            <w:tcBorders>
              <w:top w:val="nil"/>
              <w:left w:val="nil"/>
              <w:bottom w:val="single" w:sz="4" w:space="0" w:color="auto"/>
              <w:right w:val="single" w:sz="4" w:space="0" w:color="auto"/>
            </w:tcBorders>
            <w:vAlign w:val="center"/>
            <w:hideMark/>
          </w:tcPr>
          <w:p w14:paraId="4A1FA150" w14:textId="77777777" w:rsidR="005F3655" w:rsidRPr="005F3655" w:rsidRDefault="005F3655" w:rsidP="005F3655">
            <w:pPr>
              <w:spacing w:after="0" w:line="240" w:lineRule="auto"/>
              <w:jc w:val="center"/>
              <w:rPr>
                <w:rFonts w:ascii="Times New Roman" w:eastAsia="Times New Roman" w:hAnsi="Times New Roman" w:cs="Times New Roman"/>
                <w:color w:val="000000"/>
                <w:kern w:val="0"/>
                <w:sz w:val="28"/>
                <w:szCs w:val="28"/>
                <w:lang w:eastAsia="en-IN"/>
                <w14:ligatures w14:val="none"/>
              </w:rPr>
            </w:pPr>
            <w:r w:rsidRPr="005F3655">
              <w:rPr>
                <w:rFonts w:ascii="Times New Roman" w:eastAsia="Times New Roman" w:hAnsi="Times New Roman" w:cs="Times New Roman"/>
                <w:color w:val="000000"/>
                <w:kern w:val="0"/>
                <w:sz w:val="28"/>
                <w:szCs w:val="28"/>
                <w:lang w:eastAsia="en-IN"/>
                <w14:ligatures w14:val="none"/>
              </w:rPr>
              <w:t>–</w:t>
            </w:r>
          </w:p>
        </w:tc>
        <w:tc>
          <w:tcPr>
            <w:tcW w:w="1550" w:type="dxa"/>
            <w:tcBorders>
              <w:top w:val="nil"/>
              <w:left w:val="nil"/>
              <w:bottom w:val="single" w:sz="4" w:space="0" w:color="auto"/>
              <w:right w:val="single" w:sz="4" w:space="0" w:color="auto"/>
            </w:tcBorders>
            <w:vAlign w:val="center"/>
            <w:hideMark/>
          </w:tcPr>
          <w:p w14:paraId="3A7C47B0" w14:textId="77777777" w:rsidR="005F3655" w:rsidRPr="005F3655" w:rsidRDefault="005F3655" w:rsidP="005F3655">
            <w:pPr>
              <w:spacing w:after="0" w:line="240" w:lineRule="auto"/>
              <w:jc w:val="center"/>
              <w:rPr>
                <w:rFonts w:ascii="Times New Roman" w:eastAsia="Times New Roman" w:hAnsi="Times New Roman" w:cs="Times New Roman"/>
                <w:color w:val="000000"/>
                <w:kern w:val="0"/>
                <w:sz w:val="28"/>
                <w:szCs w:val="28"/>
                <w:lang w:eastAsia="en-IN"/>
                <w14:ligatures w14:val="none"/>
              </w:rPr>
            </w:pPr>
            <w:r w:rsidRPr="005F3655">
              <w:rPr>
                <w:rFonts w:ascii="Times New Roman" w:eastAsia="Times New Roman" w:hAnsi="Times New Roman" w:cs="Times New Roman"/>
                <w:color w:val="000000"/>
                <w:kern w:val="0"/>
                <w:sz w:val="28"/>
                <w:szCs w:val="28"/>
                <w:lang w:eastAsia="en-IN"/>
                <w14:ligatures w14:val="none"/>
              </w:rPr>
              <w:t>–</w:t>
            </w:r>
          </w:p>
        </w:tc>
        <w:tc>
          <w:tcPr>
            <w:tcW w:w="1331" w:type="dxa"/>
            <w:tcBorders>
              <w:top w:val="nil"/>
              <w:left w:val="nil"/>
              <w:bottom w:val="single" w:sz="4" w:space="0" w:color="auto"/>
              <w:right w:val="single" w:sz="4" w:space="0" w:color="auto"/>
            </w:tcBorders>
            <w:vAlign w:val="center"/>
            <w:hideMark/>
          </w:tcPr>
          <w:p w14:paraId="4CD70BAB" w14:textId="77777777" w:rsidR="005F3655" w:rsidRPr="005F3655" w:rsidRDefault="005F3655" w:rsidP="005F3655">
            <w:pPr>
              <w:spacing w:after="0" w:line="240" w:lineRule="auto"/>
              <w:jc w:val="center"/>
              <w:rPr>
                <w:rFonts w:ascii="Times New Roman" w:eastAsia="Times New Roman" w:hAnsi="Times New Roman" w:cs="Times New Roman"/>
                <w:color w:val="000000"/>
                <w:kern w:val="0"/>
                <w:sz w:val="28"/>
                <w:szCs w:val="28"/>
                <w:lang w:eastAsia="en-IN"/>
                <w14:ligatures w14:val="none"/>
              </w:rPr>
            </w:pPr>
            <w:r w:rsidRPr="005F3655">
              <w:rPr>
                <w:rFonts w:ascii="Times New Roman" w:eastAsia="Times New Roman" w:hAnsi="Times New Roman" w:cs="Times New Roman"/>
                <w:color w:val="000000"/>
                <w:kern w:val="0"/>
                <w:sz w:val="28"/>
                <w:szCs w:val="28"/>
                <w:lang w:eastAsia="en-IN"/>
                <w14:ligatures w14:val="none"/>
              </w:rPr>
              <w:t>–</w:t>
            </w:r>
          </w:p>
        </w:tc>
        <w:tc>
          <w:tcPr>
            <w:tcW w:w="1483" w:type="dxa"/>
            <w:tcBorders>
              <w:top w:val="nil"/>
              <w:left w:val="nil"/>
              <w:bottom w:val="single" w:sz="4" w:space="0" w:color="auto"/>
              <w:right w:val="single" w:sz="4" w:space="0" w:color="auto"/>
            </w:tcBorders>
            <w:vAlign w:val="center"/>
            <w:hideMark/>
          </w:tcPr>
          <w:p w14:paraId="70E78C10" w14:textId="77777777" w:rsidR="005F3655" w:rsidRPr="005F3655" w:rsidRDefault="005F3655" w:rsidP="005F3655">
            <w:pPr>
              <w:spacing w:after="0" w:line="240" w:lineRule="auto"/>
              <w:jc w:val="center"/>
              <w:rPr>
                <w:rFonts w:ascii="Times New Roman" w:eastAsia="Times New Roman" w:hAnsi="Times New Roman" w:cs="Times New Roman"/>
                <w:color w:val="000000"/>
                <w:kern w:val="0"/>
                <w:sz w:val="28"/>
                <w:szCs w:val="28"/>
                <w:lang w:eastAsia="en-IN"/>
                <w14:ligatures w14:val="none"/>
              </w:rPr>
            </w:pPr>
            <w:r w:rsidRPr="005F3655">
              <w:rPr>
                <w:rFonts w:ascii="Times New Roman" w:eastAsia="Times New Roman" w:hAnsi="Times New Roman" w:cs="Times New Roman"/>
                <w:color w:val="000000"/>
                <w:kern w:val="0"/>
                <w:sz w:val="28"/>
                <w:szCs w:val="28"/>
                <w:lang w:eastAsia="en-IN"/>
                <w14:ligatures w14:val="none"/>
              </w:rPr>
              <w:t>–</w:t>
            </w:r>
          </w:p>
        </w:tc>
      </w:tr>
      <w:tr w:rsidR="005F3655" w:rsidRPr="005F3655" w14:paraId="4793FECA" w14:textId="77777777" w:rsidTr="005F3655">
        <w:trPr>
          <w:trHeight w:val="20"/>
        </w:trPr>
        <w:tc>
          <w:tcPr>
            <w:tcW w:w="1752" w:type="dxa"/>
            <w:tcBorders>
              <w:top w:val="nil"/>
              <w:left w:val="single" w:sz="4" w:space="0" w:color="auto"/>
              <w:bottom w:val="single" w:sz="4" w:space="0" w:color="auto"/>
              <w:right w:val="single" w:sz="4" w:space="0" w:color="auto"/>
            </w:tcBorders>
            <w:vAlign w:val="center"/>
            <w:hideMark/>
          </w:tcPr>
          <w:p w14:paraId="64FB8C0E" w14:textId="77777777" w:rsidR="005F3655" w:rsidRPr="005F3655" w:rsidRDefault="005F3655" w:rsidP="005F3655">
            <w:pPr>
              <w:spacing w:after="0" w:line="240" w:lineRule="auto"/>
              <w:rPr>
                <w:rFonts w:ascii="Times New Roman" w:eastAsia="Times New Roman" w:hAnsi="Times New Roman" w:cs="Times New Roman"/>
                <w:color w:val="000000"/>
                <w:kern w:val="0"/>
                <w:sz w:val="28"/>
                <w:szCs w:val="28"/>
                <w:lang w:eastAsia="en-IN"/>
                <w14:ligatures w14:val="none"/>
              </w:rPr>
            </w:pPr>
            <w:r w:rsidRPr="005F3655">
              <w:rPr>
                <w:rFonts w:ascii="Times New Roman" w:eastAsia="Times New Roman" w:hAnsi="Times New Roman" w:cs="Times New Roman"/>
                <w:color w:val="000000"/>
                <w:kern w:val="0"/>
                <w:sz w:val="28"/>
                <w:szCs w:val="28"/>
                <w:lang w:eastAsia="en-IN"/>
                <w14:ligatures w14:val="none"/>
              </w:rPr>
              <w:t>Orissa</w:t>
            </w:r>
          </w:p>
        </w:tc>
        <w:tc>
          <w:tcPr>
            <w:tcW w:w="2040" w:type="dxa"/>
            <w:tcBorders>
              <w:top w:val="nil"/>
              <w:left w:val="nil"/>
              <w:bottom w:val="single" w:sz="4" w:space="0" w:color="auto"/>
              <w:right w:val="single" w:sz="4" w:space="0" w:color="auto"/>
            </w:tcBorders>
            <w:vAlign w:val="center"/>
            <w:hideMark/>
          </w:tcPr>
          <w:p w14:paraId="2138DA64" w14:textId="77777777" w:rsidR="005F3655" w:rsidRPr="005F3655" w:rsidRDefault="005F3655" w:rsidP="005F3655">
            <w:pPr>
              <w:spacing w:after="0" w:line="240" w:lineRule="auto"/>
              <w:jc w:val="center"/>
              <w:rPr>
                <w:rFonts w:ascii="Times New Roman" w:eastAsia="Times New Roman" w:hAnsi="Times New Roman" w:cs="Times New Roman"/>
                <w:color w:val="000000"/>
                <w:kern w:val="0"/>
                <w:sz w:val="28"/>
                <w:szCs w:val="28"/>
                <w:lang w:eastAsia="en-IN"/>
                <w14:ligatures w14:val="none"/>
              </w:rPr>
            </w:pPr>
            <w:r w:rsidRPr="005F3655">
              <w:rPr>
                <w:rFonts w:ascii="Times New Roman" w:eastAsia="Times New Roman" w:hAnsi="Times New Roman" w:cs="Times New Roman"/>
                <w:color w:val="000000"/>
                <w:kern w:val="0"/>
                <w:sz w:val="28"/>
                <w:szCs w:val="28"/>
                <w:lang w:eastAsia="en-IN"/>
                <w14:ligatures w14:val="none"/>
              </w:rPr>
              <w:t>1.33</w:t>
            </w:r>
          </w:p>
        </w:tc>
        <w:tc>
          <w:tcPr>
            <w:tcW w:w="2040" w:type="dxa"/>
            <w:tcBorders>
              <w:top w:val="nil"/>
              <w:left w:val="nil"/>
              <w:bottom w:val="single" w:sz="4" w:space="0" w:color="auto"/>
              <w:right w:val="single" w:sz="4" w:space="0" w:color="auto"/>
            </w:tcBorders>
            <w:vAlign w:val="center"/>
            <w:hideMark/>
          </w:tcPr>
          <w:p w14:paraId="1D1EF7FC" w14:textId="77777777" w:rsidR="005F3655" w:rsidRPr="005F3655" w:rsidRDefault="005F3655" w:rsidP="005F3655">
            <w:pPr>
              <w:spacing w:after="0" w:line="240" w:lineRule="auto"/>
              <w:jc w:val="center"/>
              <w:rPr>
                <w:rFonts w:ascii="Times New Roman" w:eastAsia="Times New Roman" w:hAnsi="Times New Roman" w:cs="Times New Roman"/>
                <w:color w:val="000000"/>
                <w:kern w:val="0"/>
                <w:sz w:val="28"/>
                <w:szCs w:val="28"/>
                <w:lang w:eastAsia="en-IN"/>
                <w14:ligatures w14:val="none"/>
              </w:rPr>
            </w:pPr>
            <w:r w:rsidRPr="005F3655">
              <w:rPr>
                <w:rFonts w:ascii="Times New Roman" w:eastAsia="Times New Roman" w:hAnsi="Times New Roman" w:cs="Times New Roman"/>
                <w:color w:val="000000"/>
                <w:kern w:val="0"/>
                <w:sz w:val="28"/>
                <w:szCs w:val="28"/>
                <w:lang w:eastAsia="en-IN"/>
                <w14:ligatures w14:val="none"/>
              </w:rPr>
              <w:t>5.53</w:t>
            </w:r>
          </w:p>
        </w:tc>
        <w:tc>
          <w:tcPr>
            <w:tcW w:w="2040" w:type="dxa"/>
            <w:tcBorders>
              <w:top w:val="nil"/>
              <w:left w:val="nil"/>
              <w:bottom w:val="single" w:sz="4" w:space="0" w:color="auto"/>
              <w:right w:val="single" w:sz="4" w:space="0" w:color="auto"/>
            </w:tcBorders>
            <w:vAlign w:val="center"/>
            <w:hideMark/>
          </w:tcPr>
          <w:p w14:paraId="481C473A" w14:textId="77777777" w:rsidR="005F3655" w:rsidRPr="005F3655" w:rsidRDefault="005F3655" w:rsidP="005F3655">
            <w:pPr>
              <w:spacing w:after="0" w:line="240" w:lineRule="auto"/>
              <w:jc w:val="center"/>
              <w:rPr>
                <w:rFonts w:ascii="Times New Roman" w:eastAsia="Times New Roman" w:hAnsi="Times New Roman" w:cs="Times New Roman"/>
                <w:color w:val="000000"/>
                <w:kern w:val="0"/>
                <w:sz w:val="28"/>
                <w:szCs w:val="28"/>
                <w:lang w:eastAsia="en-IN"/>
                <w14:ligatures w14:val="none"/>
              </w:rPr>
            </w:pPr>
            <w:r w:rsidRPr="005F3655">
              <w:rPr>
                <w:rFonts w:ascii="Times New Roman" w:eastAsia="Times New Roman" w:hAnsi="Times New Roman" w:cs="Times New Roman"/>
                <w:color w:val="000000"/>
                <w:kern w:val="0"/>
                <w:sz w:val="28"/>
                <w:szCs w:val="28"/>
                <w:lang w:eastAsia="en-IN"/>
                <w14:ligatures w14:val="none"/>
              </w:rPr>
              <w:t>4.09</w:t>
            </w:r>
          </w:p>
        </w:tc>
        <w:tc>
          <w:tcPr>
            <w:tcW w:w="1111" w:type="dxa"/>
            <w:tcBorders>
              <w:top w:val="nil"/>
              <w:left w:val="nil"/>
              <w:bottom w:val="single" w:sz="4" w:space="0" w:color="auto"/>
              <w:right w:val="single" w:sz="4" w:space="0" w:color="auto"/>
            </w:tcBorders>
            <w:vAlign w:val="center"/>
            <w:hideMark/>
          </w:tcPr>
          <w:p w14:paraId="7FE55D40" w14:textId="77777777" w:rsidR="005F3655" w:rsidRPr="005F3655" w:rsidRDefault="005F3655" w:rsidP="005F3655">
            <w:pPr>
              <w:spacing w:after="0" w:line="240" w:lineRule="auto"/>
              <w:jc w:val="center"/>
              <w:rPr>
                <w:rFonts w:ascii="Times New Roman" w:eastAsia="Times New Roman" w:hAnsi="Times New Roman" w:cs="Times New Roman"/>
                <w:color w:val="000000"/>
                <w:kern w:val="0"/>
                <w:sz w:val="28"/>
                <w:szCs w:val="28"/>
                <w:lang w:eastAsia="en-IN"/>
                <w14:ligatures w14:val="none"/>
              </w:rPr>
            </w:pPr>
            <w:r w:rsidRPr="005F3655">
              <w:rPr>
                <w:rFonts w:ascii="Times New Roman" w:eastAsia="Times New Roman" w:hAnsi="Times New Roman" w:cs="Times New Roman"/>
                <w:color w:val="000000"/>
                <w:kern w:val="0"/>
                <w:sz w:val="28"/>
                <w:szCs w:val="28"/>
                <w:lang w:eastAsia="en-IN"/>
                <w14:ligatures w14:val="none"/>
              </w:rPr>
              <w:t>418.1</w:t>
            </w:r>
          </w:p>
        </w:tc>
        <w:tc>
          <w:tcPr>
            <w:tcW w:w="1263" w:type="dxa"/>
            <w:tcBorders>
              <w:top w:val="nil"/>
              <w:left w:val="nil"/>
              <w:bottom w:val="single" w:sz="4" w:space="0" w:color="auto"/>
              <w:right w:val="single" w:sz="4" w:space="0" w:color="auto"/>
            </w:tcBorders>
            <w:vAlign w:val="center"/>
            <w:hideMark/>
          </w:tcPr>
          <w:p w14:paraId="1D3750A5" w14:textId="77777777" w:rsidR="005F3655" w:rsidRPr="005F3655" w:rsidRDefault="005F3655" w:rsidP="005F3655">
            <w:pPr>
              <w:spacing w:after="0" w:line="240" w:lineRule="auto"/>
              <w:jc w:val="center"/>
              <w:rPr>
                <w:rFonts w:ascii="Times New Roman" w:eastAsia="Times New Roman" w:hAnsi="Times New Roman" w:cs="Times New Roman"/>
                <w:color w:val="000000"/>
                <w:kern w:val="0"/>
                <w:sz w:val="28"/>
                <w:szCs w:val="28"/>
                <w:lang w:eastAsia="en-IN"/>
                <w14:ligatures w14:val="none"/>
              </w:rPr>
            </w:pPr>
            <w:r w:rsidRPr="005F3655">
              <w:rPr>
                <w:rFonts w:ascii="Times New Roman" w:eastAsia="Times New Roman" w:hAnsi="Times New Roman" w:cs="Times New Roman"/>
                <w:color w:val="000000"/>
                <w:kern w:val="0"/>
                <w:sz w:val="28"/>
                <w:szCs w:val="28"/>
                <w:lang w:eastAsia="en-IN"/>
                <w14:ligatures w14:val="none"/>
              </w:rPr>
              <w:t>8</w:t>
            </w:r>
          </w:p>
        </w:tc>
        <w:tc>
          <w:tcPr>
            <w:tcW w:w="1550" w:type="dxa"/>
            <w:tcBorders>
              <w:top w:val="nil"/>
              <w:left w:val="nil"/>
              <w:bottom w:val="single" w:sz="4" w:space="0" w:color="auto"/>
              <w:right w:val="single" w:sz="4" w:space="0" w:color="auto"/>
            </w:tcBorders>
            <w:vAlign w:val="center"/>
            <w:hideMark/>
          </w:tcPr>
          <w:p w14:paraId="6E1D8F19" w14:textId="77777777" w:rsidR="005F3655" w:rsidRPr="005F3655" w:rsidRDefault="005F3655" w:rsidP="005F3655">
            <w:pPr>
              <w:spacing w:after="0" w:line="240" w:lineRule="auto"/>
              <w:jc w:val="center"/>
              <w:rPr>
                <w:rFonts w:ascii="Times New Roman" w:eastAsia="Times New Roman" w:hAnsi="Times New Roman" w:cs="Times New Roman"/>
                <w:color w:val="000000"/>
                <w:kern w:val="0"/>
                <w:sz w:val="28"/>
                <w:szCs w:val="28"/>
                <w:lang w:eastAsia="en-IN"/>
                <w14:ligatures w14:val="none"/>
              </w:rPr>
            </w:pPr>
            <w:r w:rsidRPr="005F3655">
              <w:rPr>
                <w:rFonts w:ascii="Times New Roman" w:eastAsia="Times New Roman" w:hAnsi="Times New Roman" w:cs="Times New Roman"/>
                <w:color w:val="000000"/>
                <w:kern w:val="0"/>
                <w:sz w:val="28"/>
                <w:szCs w:val="28"/>
                <w:lang w:eastAsia="en-IN"/>
                <w14:ligatures w14:val="none"/>
              </w:rPr>
              <w:t>143</w:t>
            </w:r>
          </w:p>
        </w:tc>
        <w:tc>
          <w:tcPr>
            <w:tcW w:w="1331" w:type="dxa"/>
            <w:tcBorders>
              <w:top w:val="nil"/>
              <w:left w:val="nil"/>
              <w:bottom w:val="single" w:sz="4" w:space="0" w:color="auto"/>
              <w:right w:val="single" w:sz="4" w:space="0" w:color="auto"/>
            </w:tcBorders>
            <w:vAlign w:val="center"/>
            <w:hideMark/>
          </w:tcPr>
          <w:p w14:paraId="7F07A505" w14:textId="77777777" w:rsidR="005F3655" w:rsidRPr="005F3655" w:rsidRDefault="005F3655" w:rsidP="005F3655">
            <w:pPr>
              <w:spacing w:after="0" w:line="240" w:lineRule="auto"/>
              <w:jc w:val="center"/>
              <w:rPr>
                <w:rFonts w:ascii="Times New Roman" w:eastAsia="Times New Roman" w:hAnsi="Times New Roman" w:cs="Times New Roman"/>
                <w:color w:val="000000"/>
                <w:kern w:val="0"/>
                <w:sz w:val="28"/>
                <w:szCs w:val="28"/>
                <w:lang w:eastAsia="en-IN"/>
                <w14:ligatures w14:val="none"/>
              </w:rPr>
            </w:pPr>
            <w:r w:rsidRPr="005F3655">
              <w:rPr>
                <w:rFonts w:ascii="Times New Roman" w:eastAsia="Times New Roman" w:hAnsi="Times New Roman" w:cs="Times New Roman"/>
                <w:color w:val="000000"/>
                <w:kern w:val="0"/>
                <w:sz w:val="28"/>
                <w:szCs w:val="28"/>
                <w:lang w:eastAsia="en-IN"/>
                <w14:ligatures w14:val="none"/>
              </w:rPr>
              <w:t>10</w:t>
            </w:r>
          </w:p>
        </w:tc>
        <w:tc>
          <w:tcPr>
            <w:tcW w:w="1483" w:type="dxa"/>
            <w:tcBorders>
              <w:top w:val="nil"/>
              <w:left w:val="nil"/>
              <w:bottom w:val="single" w:sz="4" w:space="0" w:color="auto"/>
              <w:right w:val="single" w:sz="4" w:space="0" w:color="auto"/>
            </w:tcBorders>
            <w:vAlign w:val="center"/>
            <w:hideMark/>
          </w:tcPr>
          <w:p w14:paraId="6352A33B" w14:textId="77777777" w:rsidR="005F3655" w:rsidRPr="005F3655" w:rsidRDefault="005F3655" w:rsidP="005F3655">
            <w:pPr>
              <w:spacing w:after="0" w:line="240" w:lineRule="auto"/>
              <w:jc w:val="center"/>
              <w:rPr>
                <w:rFonts w:ascii="Times New Roman" w:eastAsia="Times New Roman" w:hAnsi="Times New Roman" w:cs="Times New Roman"/>
                <w:color w:val="000000"/>
                <w:kern w:val="0"/>
                <w:sz w:val="28"/>
                <w:szCs w:val="28"/>
                <w:lang w:eastAsia="en-IN"/>
                <w14:ligatures w14:val="none"/>
              </w:rPr>
            </w:pPr>
            <w:r w:rsidRPr="005F3655">
              <w:rPr>
                <w:rFonts w:ascii="Times New Roman" w:eastAsia="Times New Roman" w:hAnsi="Times New Roman" w:cs="Times New Roman"/>
                <w:color w:val="000000"/>
                <w:kern w:val="0"/>
                <w:sz w:val="28"/>
                <w:szCs w:val="28"/>
                <w:lang w:eastAsia="en-IN"/>
                <w14:ligatures w14:val="none"/>
              </w:rPr>
              <w:t>4.5</w:t>
            </w:r>
          </w:p>
        </w:tc>
      </w:tr>
      <w:tr w:rsidR="005F3655" w:rsidRPr="005F3655" w14:paraId="7C4FC1B9" w14:textId="77777777" w:rsidTr="005F3655">
        <w:trPr>
          <w:trHeight w:val="20"/>
        </w:trPr>
        <w:tc>
          <w:tcPr>
            <w:tcW w:w="1752" w:type="dxa"/>
            <w:tcBorders>
              <w:top w:val="nil"/>
              <w:left w:val="single" w:sz="4" w:space="0" w:color="auto"/>
              <w:bottom w:val="single" w:sz="4" w:space="0" w:color="auto"/>
              <w:right w:val="single" w:sz="4" w:space="0" w:color="auto"/>
            </w:tcBorders>
            <w:vAlign w:val="center"/>
            <w:hideMark/>
          </w:tcPr>
          <w:p w14:paraId="13A25D6F" w14:textId="77777777" w:rsidR="005F3655" w:rsidRPr="005F3655" w:rsidRDefault="005F3655" w:rsidP="005F3655">
            <w:pPr>
              <w:spacing w:after="0" w:line="240" w:lineRule="auto"/>
              <w:rPr>
                <w:rFonts w:ascii="Times New Roman" w:eastAsia="Times New Roman" w:hAnsi="Times New Roman" w:cs="Times New Roman"/>
                <w:color w:val="000000"/>
                <w:kern w:val="0"/>
                <w:sz w:val="28"/>
                <w:szCs w:val="28"/>
                <w:lang w:eastAsia="en-IN"/>
                <w14:ligatures w14:val="none"/>
              </w:rPr>
            </w:pPr>
            <w:r w:rsidRPr="005F3655">
              <w:rPr>
                <w:rFonts w:ascii="Times New Roman" w:eastAsia="Times New Roman" w:hAnsi="Times New Roman" w:cs="Times New Roman"/>
                <w:color w:val="000000"/>
                <w:kern w:val="0"/>
                <w:sz w:val="28"/>
                <w:szCs w:val="28"/>
                <w:lang w:eastAsia="en-IN"/>
                <w14:ligatures w14:val="none"/>
              </w:rPr>
              <w:t>Punjab</w:t>
            </w:r>
          </w:p>
        </w:tc>
        <w:tc>
          <w:tcPr>
            <w:tcW w:w="2040" w:type="dxa"/>
            <w:tcBorders>
              <w:top w:val="nil"/>
              <w:left w:val="nil"/>
              <w:bottom w:val="single" w:sz="4" w:space="0" w:color="auto"/>
              <w:right w:val="single" w:sz="4" w:space="0" w:color="auto"/>
            </w:tcBorders>
            <w:vAlign w:val="center"/>
            <w:hideMark/>
          </w:tcPr>
          <w:p w14:paraId="56E71AD4" w14:textId="77777777" w:rsidR="005F3655" w:rsidRPr="005F3655" w:rsidRDefault="005F3655" w:rsidP="005F3655">
            <w:pPr>
              <w:spacing w:after="0" w:line="240" w:lineRule="auto"/>
              <w:jc w:val="center"/>
              <w:rPr>
                <w:rFonts w:ascii="Times New Roman" w:eastAsia="Times New Roman" w:hAnsi="Times New Roman" w:cs="Times New Roman"/>
                <w:color w:val="000000"/>
                <w:kern w:val="0"/>
                <w:sz w:val="28"/>
                <w:szCs w:val="28"/>
                <w:lang w:eastAsia="en-IN"/>
                <w14:ligatures w14:val="none"/>
              </w:rPr>
            </w:pPr>
            <w:r w:rsidRPr="005F3655">
              <w:rPr>
                <w:rFonts w:ascii="Times New Roman" w:eastAsia="Times New Roman" w:hAnsi="Times New Roman" w:cs="Times New Roman"/>
                <w:color w:val="000000"/>
                <w:kern w:val="0"/>
                <w:sz w:val="28"/>
                <w:szCs w:val="28"/>
                <w:lang w:eastAsia="en-IN"/>
                <w14:ligatures w14:val="none"/>
              </w:rPr>
              <w:t>1.29</w:t>
            </w:r>
          </w:p>
        </w:tc>
        <w:tc>
          <w:tcPr>
            <w:tcW w:w="2040" w:type="dxa"/>
            <w:tcBorders>
              <w:top w:val="nil"/>
              <w:left w:val="nil"/>
              <w:bottom w:val="single" w:sz="4" w:space="0" w:color="auto"/>
              <w:right w:val="single" w:sz="4" w:space="0" w:color="auto"/>
            </w:tcBorders>
            <w:vAlign w:val="center"/>
            <w:hideMark/>
          </w:tcPr>
          <w:p w14:paraId="7AFD16FF" w14:textId="77777777" w:rsidR="005F3655" w:rsidRPr="005F3655" w:rsidRDefault="005F3655" w:rsidP="005F3655">
            <w:pPr>
              <w:spacing w:after="0" w:line="240" w:lineRule="auto"/>
              <w:jc w:val="center"/>
              <w:rPr>
                <w:rFonts w:ascii="Times New Roman" w:eastAsia="Times New Roman" w:hAnsi="Times New Roman" w:cs="Times New Roman"/>
                <w:color w:val="000000"/>
                <w:kern w:val="0"/>
                <w:sz w:val="28"/>
                <w:szCs w:val="28"/>
                <w:lang w:eastAsia="en-IN"/>
                <w14:ligatures w14:val="none"/>
              </w:rPr>
            </w:pPr>
            <w:r w:rsidRPr="005F3655">
              <w:rPr>
                <w:rFonts w:ascii="Times New Roman" w:eastAsia="Times New Roman" w:hAnsi="Times New Roman" w:cs="Times New Roman"/>
                <w:color w:val="000000"/>
                <w:kern w:val="0"/>
                <w:sz w:val="28"/>
                <w:szCs w:val="28"/>
                <w:lang w:eastAsia="en-IN"/>
                <w14:ligatures w14:val="none"/>
              </w:rPr>
              <w:t>5.04</w:t>
            </w:r>
          </w:p>
        </w:tc>
        <w:tc>
          <w:tcPr>
            <w:tcW w:w="2040" w:type="dxa"/>
            <w:tcBorders>
              <w:top w:val="nil"/>
              <w:left w:val="nil"/>
              <w:bottom w:val="single" w:sz="4" w:space="0" w:color="auto"/>
              <w:right w:val="single" w:sz="4" w:space="0" w:color="auto"/>
            </w:tcBorders>
            <w:vAlign w:val="center"/>
            <w:hideMark/>
          </w:tcPr>
          <w:p w14:paraId="5A6828A0" w14:textId="77777777" w:rsidR="005F3655" w:rsidRPr="005F3655" w:rsidRDefault="005F3655" w:rsidP="005F3655">
            <w:pPr>
              <w:spacing w:after="0" w:line="240" w:lineRule="auto"/>
              <w:jc w:val="center"/>
              <w:rPr>
                <w:rFonts w:ascii="Times New Roman" w:eastAsia="Times New Roman" w:hAnsi="Times New Roman" w:cs="Times New Roman"/>
                <w:color w:val="000000"/>
                <w:kern w:val="0"/>
                <w:sz w:val="28"/>
                <w:szCs w:val="28"/>
                <w:lang w:eastAsia="en-IN"/>
                <w14:ligatures w14:val="none"/>
              </w:rPr>
            </w:pPr>
            <w:r w:rsidRPr="005F3655">
              <w:rPr>
                <w:rFonts w:ascii="Times New Roman" w:eastAsia="Times New Roman" w:hAnsi="Times New Roman" w:cs="Times New Roman"/>
                <w:color w:val="000000"/>
                <w:kern w:val="0"/>
                <w:sz w:val="28"/>
                <w:szCs w:val="28"/>
                <w:lang w:eastAsia="en-IN"/>
                <w14:ligatures w14:val="none"/>
              </w:rPr>
              <w:t>0.1</w:t>
            </w:r>
          </w:p>
        </w:tc>
        <w:tc>
          <w:tcPr>
            <w:tcW w:w="1111" w:type="dxa"/>
            <w:tcBorders>
              <w:top w:val="nil"/>
              <w:left w:val="nil"/>
              <w:bottom w:val="single" w:sz="4" w:space="0" w:color="auto"/>
              <w:right w:val="single" w:sz="4" w:space="0" w:color="auto"/>
            </w:tcBorders>
            <w:vAlign w:val="center"/>
            <w:hideMark/>
          </w:tcPr>
          <w:p w14:paraId="68EB62DB" w14:textId="77777777" w:rsidR="005F3655" w:rsidRPr="005F3655" w:rsidRDefault="005F3655" w:rsidP="005F3655">
            <w:pPr>
              <w:spacing w:after="0" w:line="240" w:lineRule="auto"/>
              <w:jc w:val="center"/>
              <w:rPr>
                <w:rFonts w:ascii="Times New Roman" w:eastAsia="Times New Roman" w:hAnsi="Times New Roman" w:cs="Times New Roman"/>
                <w:color w:val="000000"/>
                <w:kern w:val="0"/>
                <w:sz w:val="28"/>
                <w:szCs w:val="28"/>
                <w:lang w:eastAsia="en-IN"/>
                <w14:ligatures w14:val="none"/>
              </w:rPr>
            </w:pPr>
            <w:r w:rsidRPr="005F3655">
              <w:rPr>
                <w:rFonts w:ascii="Times New Roman" w:eastAsia="Times New Roman" w:hAnsi="Times New Roman" w:cs="Times New Roman"/>
                <w:color w:val="000000"/>
                <w:kern w:val="0"/>
                <w:sz w:val="28"/>
                <w:szCs w:val="28"/>
                <w:lang w:eastAsia="en-IN"/>
                <w14:ligatures w14:val="none"/>
              </w:rPr>
              <w:t>32.2</w:t>
            </w:r>
          </w:p>
        </w:tc>
        <w:tc>
          <w:tcPr>
            <w:tcW w:w="1263" w:type="dxa"/>
            <w:tcBorders>
              <w:top w:val="nil"/>
              <w:left w:val="nil"/>
              <w:bottom w:val="single" w:sz="4" w:space="0" w:color="auto"/>
              <w:right w:val="single" w:sz="4" w:space="0" w:color="auto"/>
            </w:tcBorders>
            <w:vAlign w:val="center"/>
            <w:hideMark/>
          </w:tcPr>
          <w:p w14:paraId="293C5882" w14:textId="77777777" w:rsidR="005F3655" w:rsidRPr="005F3655" w:rsidRDefault="005F3655" w:rsidP="005F3655">
            <w:pPr>
              <w:spacing w:after="0" w:line="240" w:lineRule="auto"/>
              <w:jc w:val="center"/>
              <w:rPr>
                <w:rFonts w:ascii="Times New Roman" w:eastAsia="Times New Roman" w:hAnsi="Times New Roman" w:cs="Times New Roman"/>
                <w:color w:val="000000"/>
                <w:kern w:val="0"/>
                <w:sz w:val="28"/>
                <w:szCs w:val="28"/>
                <w:lang w:eastAsia="en-IN"/>
                <w14:ligatures w14:val="none"/>
              </w:rPr>
            </w:pPr>
            <w:r w:rsidRPr="005F3655">
              <w:rPr>
                <w:rFonts w:ascii="Times New Roman" w:eastAsia="Times New Roman" w:hAnsi="Times New Roman" w:cs="Times New Roman"/>
                <w:color w:val="000000"/>
                <w:kern w:val="0"/>
                <w:sz w:val="28"/>
                <w:szCs w:val="28"/>
                <w:lang w:eastAsia="en-IN"/>
                <w14:ligatures w14:val="none"/>
              </w:rPr>
              <w:t>–</w:t>
            </w:r>
          </w:p>
        </w:tc>
        <w:tc>
          <w:tcPr>
            <w:tcW w:w="1550" w:type="dxa"/>
            <w:tcBorders>
              <w:top w:val="nil"/>
              <w:left w:val="nil"/>
              <w:bottom w:val="single" w:sz="4" w:space="0" w:color="auto"/>
              <w:right w:val="single" w:sz="4" w:space="0" w:color="auto"/>
            </w:tcBorders>
            <w:vAlign w:val="center"/>
            <w:hideMark/>
          </w:tcPr>
          <w:p w14:paraId="0B1C2AC1" w14:textId="77777777" w:rsidR="005F3655" w:rsidRPr="005F3655" w:rsidRDefault="005F3655" w:rsidP="005F3655">
            <w:pPr>
              <w:spacing w:after="0" w:line="240" w:lineRule="auto"/>
              <w:jc w:val="center"/>
              <w:rPr>
                <w:rFonts w:ascii="Times New Roman" w:eastAsia="Times New Roman" w:hAnsi="Times New Roman" w:cs="Times New Roman"/>
                <w:color w:val="000000"/>
                <w:kern w:val="0"/>
                <w:sz w:val="28"/>
                <w:szCs w:val="28"/>
                <w:lang w:eastAsia="en-IN"/>
                <w14:ligatures w14:val="none"/>
              </w:rPr>
            </w:pPr>
            <w:r w:rsidRPr="005F3655">
              <w:rPr>
                <w:rFonts w:ascii="Times New Roman" w:eastAsia="Times New Roman" w:hAnsi="Times New Roman" w:cs="Times New Roman"/>
                <w:color w:val="000000"/>
                <w:kern w:val="0"/>
                <w:sz w:val="28"/>
                <w:szCs w:val="28"/>
                <w:lang w:eastAsia="en-IN"/>
                <w14:ligatures w14:val="none"/>
              </w:rPr>
              <w:t>731</w:t>
            </w:r>
          </w:p>
        </w:tc>
        <w:tc>
          <w:tcPr>
            <w:tcW w:w="1331" w:type="dxa"/>
            <w:tcBorders>
              <w:top w:val="nil"/>
              <w:left w:val="nil"/>
              <w:bottom w:val="single" w:sz="4" w:space="0" w:color="auto"/>
              <w:right w:val="single" w:sz="4" w:space="0" w:color="auto"/>
            </w:tcBorders>
            <w:vAlign w:val="center"/>
            <w:hideMark/>
          </w:tcPr>
          <w:p w14:paraId="52A0D214" w14:textId="77777777" w:rsidR="005F3655" w:rsidRPr="005F3655" w:rsidRDefault="005F3655" w:rsidP="005F3655">
            <w:pPr>
              <w:spacing w:after="0" w:line="240" w:lineRule="auto"/>
              <w:jc w:val="center"/>
              <w:rPr>
                <w:rFonts w:ascii="Times New Roman" w:eastAsia="Times New Roman" w:hAnsi="Times New Roman" w:cs="Times New Roman"/>
                <w:color w:val="000000"/>
                <w:kern w:val="0"/>
                <w:sz w:val="28"/>
                <w:szCs w:val="28"/>
                <w:lang w:eastAsia="en-IN"/>
                <w14:ligatures w14:val="none"/>
              </w:rPr>
            </w:pPr>
            <w:r w:rsidRPr="005F3655">
              <w:rPr>
                <w:rFonts w:ascii="Times New Roman" w:eastAsia="Times New Roman" w:hAnsi="Times New Roman" w:cs="Times New Roman"/>
                <w:color w:val="000000"/>
                <w:kern w:val="0"/>
                <w:sz w:val="28"/>
                <w:szCs w:val="28"/>
                <w:lang w:eastAsia="en-IN"/>
                <w14:ligatures w14:val="none"/>
              </w:rPr>
              <w:t>109.8</w:t>
            </w:r>
          </w:p>
        </w:tc>
        <w:tc>
          <w:tcPr>
            <w:tcW w:w="1483" w:type="dxa"/>
            <w:tcBorders>
              <w:top w:val="nil"/>
              <w:left w:val="nil"/>
              <w:bottom w:val="single" w:sz="4" w:space="0" w:color="auto"/>
              <w:right w:val="single" w:sz="4" w:space="0" w:color="auto"/>
            </w:tcBorders>
            <w:vAlign w:val="center"/>
            <w:hideMark/>
          </w:tcPr>
          <w:p w14:paraId="7EA82A4B" w14:textId="77777777" w:rsidR="005F3655" w:rsidRPr="005F3655" w:rsidRDefault="005F3655" w:rsidP="005F3655">
            <w:pPr>
              <w:spacing w:after="0" w:line="240" w:lineRule="auto"/>
              <w:jc w:val="center"/>
              <w:rPr>
                <w:rFonts w:ascii="Times New Roman" w:eastAsia="Times New Roman" w:hAnsi="Times New Roman" w:cs="Times New Roman"/>
                <w:color w:val="000000"/>
                <w:kern w:val="0"/>
                <w:sz w:val="28"/>
                <w:szCs w:val="28"/>
                <w:lang w:eastAsia="en-IN"/>
                <w14:ligatures w14:val="none"/>
              </w:rPr>
            </w:pPr>
            <w:r w:rsidRPr="005F3655">
              <w:rPr>
                <w:rFonts w:ascii="Times New Roman" w:eastAsia="Times New Roman" w:hAnsi="Times New Roman" w:cs="Times New Roman"/>
                <w:color w:val="000000"/>
                <w:kern w:val="0"/>
                <w:sz w:val="28"/>
                <w:szCs w:val="28"/>
                <w:lang w:eastAsia="en-IN"/>
                <w14:ligatures w14:val="none"/>
              </w:rPr>
              <w:t>37.1</w:t>
            </w:r>
          </w:p>
        </w:tc>
      </w:tr>
      <w:tr w:rsidR="005F3655" w:rsidRPr="005F3655" w14:paraId="672F2428" w14:textId="77777777" w:rsidTr="005F3655">
        <w:trPr>
          <w:trHeight w:val="20"/>
        </w:trPr>
        <w:tc>
          <w:tcPr>
            <w:tcW w:w="1752" w:type="dxa"/>
            <w:tcBorders>
              <w:top w:val="nil"/>
              <w:left w:val="single" w:sz="4" w:space="0" w:color="auto"/>
              <w:bottom w:val="single" w:sz="4" w:space="0" w:color="auto"/>
              <w:right w:val="single" w:sz="4" w:space="0" w:color="auto"/>
            </w:tcBorders>
            <w:vAlign w:val="center"/>
            <w:hideMark/>
          </w:tcPr>
          <w:p w14:paraId="1AC7D656" w14:textId="77777777" w:rsidR="005F3655" w:rsidRPr="005F3655" w:rsidRDefault="005F3655" w:rsidP="005F3655">
            <w:pPr>
              <w:spacing w:after="0" w:line="240" w:lineRule="auto"/>
              <w:rPr>
                <w:rFonts w:ascii="Times New Roman" w:eastAsia="Times New Roman" w:hAnsi="Times New Roman" w:cs="Times New Roman"/>
                <w:color w:val="000000"/>
                <w:kern w:val="0"/>
                <w:sz w:val="28"/>
                <w:szCs w:val="28"/>
                <w:lang w:eastAsia="en-IN"/>
                <w14:ligatures w14:val="none"/>
              </w:rPr>
            </w:pPr>
            <w:r w:rsidRPr="005F3655">
              <w:rPr>
                <w:rFonts w:ascii="Times New Roman" w:eastAsia="Times New Roman" w:hAnsi="Times New Roman" w:cs="Times New Roman"/>
                <w:color w:val="000000"/>
                <w:kern w:val="0"/>
                <w:sz w:val="28"/>
                <w:szCs w:val="28"/>
                <w:lang w:eastAsia="en-IN"/>
                <w14:ligatures w14:val="none"/>
              </w:rPr>
              <w:t>Rajasthan</w:t>
            </w:r>
          </w:p>
        </w:tc>
        <w:tc>
          <w:tcPr>
            <w:tcW w:w="2040" w:type="dxa"/>
            <w:tcBorders>
              <w:top w:val="nil"/>
              <w:left w:val="nil"/>
              <w:bottom w:val="single" w:sz="4" w:space="0" w:color="auto"/>
              <w:right w:val="single" w:sz="4" w:space="0" w:color="auto"/>
            </w:tcBorders>
            <w:vAlign w:val="center"/>
            <w:hideMark/>
          </w:tcPr>
          <w:p w14:paraId="7F766C18" w14:textId="77777777" w:rsidR="005F3655" w:rsidRPr="005F3655" w:rsidRDefault="005F3655" w:rsidP="005F3655">
            <w:pPr>
              <w:spacing w:after="0" w:line="240" w:lineRule="auto"/>
              <w:jc w:val="center"/>
              <w:rPr>
                <w:rFonts w:ascii="Times New Roman" w:eastAsia="Times New Roman" w:hAnsi="Times New Roman" w:cs="Times New Roman"/>
                <w:color w:val="000000"/>
                <w:kern w:val="0"/>
                <w:sz w:val="28"/>
                <w:szCs w:val="28"/>
                <w:lang w:eastAsia="en-IN"/>
                <w14:ligatures w14:val="none"/>
              </w:rPr>
            </w:pPr>
            <w:r w:rsidRPr="005F3655">
              <w:rPr>
                <w:rFonts w:ascii="Times New Roman" w:eastAsia="Times New Roman" w:hAnsi="Times New Roman" w:cs="Times New Roman"/>
                <w:color w:val="000000"/>
                <w:kern w:val="0"/>
                <w:sz w:val="28"/>
                <w:szCs w:val="28"/>
                <w:lang w:eastAsia="en-IN"/>
                <w14:ligatures w14:val="none"/>
              </w:rPr>
              <w:t>1.89</w:t>
            </w:r>
          </w:p>
        </w:tc>
        <w:tc>
          <w:tcPr>
            <w:tcW w:w="2040" w:type="dxa"/>
            <w:tcBorders>
              <w:top w:val="nil"/>
              <w:left w:val="nil"/>
              <w:bottom w:val="single" w:sz="4" w:space="0" w:color="auto"/>
              <w:right w:val="single" w:sz="4" w:space="0" w:color="auto"/>
            </w:tcBorders>
            <w:vAlign w:val="center"/>
            <w:hideMark/>
          </w:tcPr>
          <w:p w14:paraId="7D1DC02A" w14:textId="77777777" w:rsidR="005F3655" w:rsidRPr="005F3655" w:rsidRDefault="005F3655" w:rsidP="005F3655">
            <w:pPr>
              <w:spacing w:after="0" w:line="240" w:lineRule="auto"/>
              <w:jc w:val="center"/>
              <w:rPr>
                <w:rFonts w:ascii="Times New Roman" w:eastAsia="Times New Roman" w:hAnsi="Times New Roman" w:cs="Times New Roman"/>
                <w:color w:val="000000"/>
                <w:kern w:val="0"/>
                <w:sz w:val="28"/>
                <w:szCs w:val="28"/>
                <w:lang w:eastAsia="en-IN"/>
                <w14:ligatures w14:val="none"/>
              </w:rPr>
            </w:pPr>
            <w:r w:rsidRPr="005F3655">
              <w:rPr>
                <w:rFonts w:ascii="Times New Roman" w:eastAsia="Times New Roman" w:hAnsi="Times New Roman" w:cs="Times New Roman"/>
                <w:color w:val="000000"/>
                <w:kern w:val="0"/>
                <w:sz w:val="28"/>
                <w:szCs w:val="28"/>
                <w:lang w:eastAsia="en-IN"/>
                <w14:ligatures w14:val="none"/>
              </w:rPr>
              <w:t>13.12</w:t>
            </w:r>
          </w:p>
        </w:tc>
        <w:tc>
          <w:tcPr>
            <w:tcW w:w="2040" w:type="dxa"/>
            <w:tcBorders>
              <w:top w:val="nil"/>
              <w:left w:val="nil"/>
              <w:bottom w:val="single" w:sz="4" w:space="0" w:color="auto"/>
              <w:right w:val="single" w:sz="4" w:space="0" w:color="auto"/>
            </w:tcBorders>
            <w:vAlign w:val="center"/>
            <w:hideMark/>
          </w:tcPr>
          <w:p w14:paraId="7961F760" w14:textId="77777777" w:rsidR="005F3655" w:rsidRPr="005F3655" w:rsidRDefault="005F3655" w:rsidP="005F3655">
            <w:pPr>
              <w:spacing w:after="0" w:line="240" w:lineRule="auto"/>
              <w:jc w:val="center"/>
              <w:rPr>
                <w:rFonts w:ascii="Times New Roman" w:eastAsia="Times New Roman" w:hAnsi="Times New Roman" w:cs="Times New Roman"/>
                <w:color w:val="000000"/>
                <w:kern w:val="0"/>
                <w:sz w:val="28"/>
                <w:szCs w:val="28"/>
                <w:lang w:eastAsia="en-IN"/>
                <w14:ligatures w14:val="none"/>
              </w:rPr>
            </w:pPr>
            <w:r w:rsidRPr="005F3655">
              <w:rPr>
                <w:rFonts w:ascii="Times New Roman" w:eastAsia="Times New Roman" w:hAnsi="Times New Roman" w:cs="Times New Roman"/>
                <w:color w:val="000000"/>
                <w:kern w:val="0"/>
                <w:sz w:val="28"/>
                <w:szCs w:val="28"/>
                <w:lang w:eastAsia="en-IN"/>
                <w14:ligatures w14:val="none"/>
              </w:rPr>
              <w:t>2.37</w:t>
            </w:r>
          </w:p>
        </w:tc>
        <w:tc>
          <w:tcPr>
            <w:tcW w:w="1111" w:type="dxa"/>
            <w:tcBorders>
              <w:top w:val="nil"/>
              <w:left w:val="nil"/>
              <w:bottom w:val="single" w:sz="4" w:space="0" w:color="auto"/>
              <w:right w:val="single" w:sz="4" w:space="0" w:color="auto"/>
            </w:tcBorders>
            <w:vAlign w:val="center"/>
            <w:hideMark/>
          </w:tcPr>
          <w:p w14:paraId="3E5C2246" w14:textId="77777777" w:rsidR="005F3655" w:rsidRPr="005F3655" w:rsidRDefault="005F3655" w:rsidP="005F3655">
            <w:pPr>
              <w:spacing w:after="0" w:line="240" w:lineRule="auto"/>
              <w:jc w:val="center"/>
              <w:rPr>
                <w:rFonts w:ascii="Times New Roman" w:eastAsia="Times New Roman" w:hAnsi="Times New Roman" w:cs="Times New Roman"/>
                <w:color w:val="000000"/>
                <w:kern w:val="0"/>
                <w:sz w:val="28"/>
                <w:szCs w:val="28"/>
                <w:lang w:eastAsia="en-IN"/>
                <w14:ligatures w14:val="none"/>
              </w:rPr>
            </w:pPr>
            <w:r w:rsidRPr="005F3655">
              <w:rPr>
                <w:rFonts w:ascii="Times New Roman" w:eastAsia="Times New Roman" w:hAnsi="Times New Roman" w:cs="Times New Roman"/>
                <w:color w:val="000000"/>
                <w:kern w:val="0"/>
                <w:sz w:val="28"/>
                <w:szCs w:val="28"/>
                <w:lang w:eastAsia="en-IN"/>
                <w14:ligatures w14:val="none"/>
              </w:rPr>
              <w:t>30.5</w:t>
            </w:r>
          </w:p>
        </w:tc>
        <w:tc>
          <w:tcPr>
            <w:tcW w:w="1263" w:type="dxa"/>
            <w:tcBorders>
              <w:top w:val="nil"/>
              <w:left w:val="nil"/>
              <w:bottom w:val="single" w:sz="4" w:space="0" w:color="auto"/>
              <w:right w:val="single" w:sz="4" w:space="0" w:color="auto"/>
            </w:tcBorders>
            <w:vAlign w:val="center"/>
            <w:hideMark/>
          </w:tcPr>
          <w:p w14:paraId="6F9BAFC4" w14:textId="77777777" w:rsidR="005F3655" w:rsidRPr="005F3655" w:rsidRDefault="005F3655" w:rsidP="005F3655">
            <w:pPr>
              <w:spacing w:after="0" w:line="240" w:lineRule="auto"/>
              <w:jc w:val="center"/>
              <w:rPr>
                <w:rFonts w:ascii="Times New Roman" w:eastAsia="Times New Roman" w:hAnsi="Times New Roman" w:cs="Times New Roman"/>
                <w:color w:val="000000"/>
                <w:kern w:val="0"/>
                <w:sz w:val="28"/>
                <w:szCs w:val="28"/>
                <w:lang w:eastAsia="en-IN"/>
                <w14:ligatures w14:val="none"/>
              </w:rPr>
            </w:pPr>
            <w:r w:rsidRPr="005F3655">
              <w:rPr>
                <w:rFonts w:ascii="Times New Roman" w:eastAsia="Times New Roman" w:hAnsi="Times New Roman" w:cs="Times New Roman"/>
                <w:color w:val="000000"/>
                <w:kern w:val="0"/>
                <w:sz w:val="28"/>
                <w:szCs w:val="28"/>
                <w:lang w:eastAsia="en-IN"/>
                <w14:ligatures w14:val="none"/>
              </w:rPr>
              <w:t>85.9</w:t>
            </w:r>
          </w:p>
        </w:tc>
        <w:tc>
          <w:tcPr>
            <w:tcW w:w="1550" w:type="dxa"/>
            <w:tcBorders>
              <w:top w:val="nil"/>
              <w:left w:val="nil"/>
              <w:bottom w:val="single" w:sz="4" w:space="0" w:color="auto"/>
              <w:right w:val="single" w:sz="4" w:space="0" w:color="auto"/>
            </w:tcBorders>
            <w:vAlign w:val="center"/>
            <w:hideMark/>
          </w:tcPr>
          <w:p w14:paraId="42B2F853" w14:textId="77777777" w:rsidR="005F3655" w:rsidRPr="005F3655" w:rsidRDefault="005F3655" w:rsidP="005F3655">
            <w:pPr>
              <w:spacing w:after="0" w:line="240" w:lineRule="auto"/>
              <w:jc w:val="center"/>
              <w:rPr>
                <w:rFonts w:ascii="Times New Roman" w:eastAsia="Times New Roman" w:hAnsi="Times New Roman" w:cs="Times New Roman"/>
                <w:color w:val="000000"/>
                <w:kern w:val="0"/>
                <w:sz w:val="28"/>
                <w:szCs w:val="28"/>
                <w:lang w:eastAsia="en-IN"/>
                <w14:ligatures w14:val="none"/>
              </w:rPr>
            </w:pPr>
            <w:r w:rsidRPr="005F3655">
              <w:rPr>
                <w:rFonts w:ascii="Times New Roman" w:eastAsia="Times New Roman" w:hAnsi="Times New Roman" w:cs="Times New Roman"/>
                <w:color w:val="000000"/>
                <w:kern w:val="0"/>
                <w:sz w:val="28"/>
                <w:szCs w:val="28"/>
                <w:lang w:eastAsia="en-IN"/>
                <w14:ligatures w14:val="none"/>
              </w:rPr>
              <w:t>203</w:t>
            </w:r>
          </w:p>
        </w:tc>
        <w:tc>
          <w:tcPr>
            <w:tcW w:w="1331" w:type="dxa"/>
            <w:tcBorders>
              <w:top w:val="nil"/>
              <w:left w:val="nil"/>
              <w:bottom w:val="single" w:sz="4" w:space="0" w:color="auto"/>
              <w:right w:val="single" w:sz="4" w:space="0" w:color="auto"/>
            </w:tcBorders>
            <w:vAlign w:val="center"/>
            <w:hideMark/>
          </w:tcPr>
          <w:p w14:paraId="66ED6762" w14:textId="77777777" w:rsidR="005F3655" w:rsidRPr="005F3655" w:rsidRDefault="005F3655" w:rsidP="005F3655">
            <w:pPr>
              <w:spacing w:after="0" w:line="240" w:lineRule="auto"/>
              <w:jc w:val="center"/>
              <w:rPr>
                <w:rFonts w:ascii="Times New Roman" w:eastAsia="Times New Roman" w:hAnsi="Times New Roman" w:cs="Times New Roman"/>
                <w:color w:val="000000"/>
                <w:kern w:val="0"/>
                <w:sz w:val="28"/>
                <w:szCs w:val="28"/>
                <w:lang w:eastAsia="en-IN"/>
                <w14:ligatures w14:val="none"/>
              </w:rPr>
            </w:pPr>
            <w:r w:rsidRPr="005F3655">
              <w:rPr>
                <w:rFonts w:ascii="Times New Roman" w:eastAsia="Times New Roman" w:hAnsi="Times New Roman" w:cs="Times New Roman"/>
                <w:color w:val="000000"/>
                <w:kern w:val="0"/>
                <w:sz w:val="28"/>
                <w:szCs w:val="28"/>
                <w:lang w:eastAsia="en-IN"/>
                <w14:ligatures w14:val="none"/>
              </w:rPr>
              <w:t>26.3</w:t>
            </w:r>
          </w:p>
        </w:tc>
        <w:tc>
          <w:tcPr>
            <w:tcW w:w="1483" w:type="dxa"/>
            <w:tcBorders>
              <w:top w:val="nil"/>
              <w:left w:val="nil"/>
              <w:bottom w:val="single" w:sz="4" w:space="0" w:color="auto"/>
              <w:right w:val="single" w:sz="4" w:space="0" w:color="auto"/>
            </w:tcBorders>
            <w:vAlign w:val="center"/>
            <w:hideMark/>
          </w:tcPr>
          <w:p w14:paraId="3CA415A2" w14:textId="77777777" w:rsidR="005F3655" w:rsidRPr="005F3655" w:rsidRDefault="005F3655" w:rsidP="005F3655">
            <w:pPr>
              <w:spacing w:after="0" w:line="240" w:lineRule="auto"/>
              <w:jc w:val="center"/>
              <w:rPr>
                <w:rFonts w:ascii="Times New Roman" w:eastAsia="Times New Roman" w:hAnsi="Times New Roman" w:cs="Times New Roman"/>
                <w:color w:val="000000"/>
                <w:kern w:val="0"/>
                <w:sz w:val="28"/>
                <w:szCs w:val="28"/>
                <w:lang w:eastAsia="en-IN"/>
                <w14:ligatures w14:val="none"/>
              </w:rPr>
            </w:pPr>
            <w:r w:rsidRPr="005F3655">
              <w:rPr>
                <w:rFonts w:ascii="Times New Roman" w:eastAsia="Times New Roman" w:hAnsi="Times New Roman" w:cs="Times New Roman"/>
                <w:color w:val="000000"/>
                <w:kern w:val="0"/>
                <w:sz w:val="28"/>
                <w:szCs w:val="28"/>
                <w:lang w:eastAsia="en-IN"/>
                <w14:ligatures w14:val="none"/>
              </w:rPr>
              <w:t>12.2</w:t>
            </w:r>
          </w:p>
        </w:tc>
      </w:tr>
      <w:tr w:rsidR="005F3655" w:rsidRPr="005F3655" w14:paraId="438E46F1" w14:textId="77777777" w:rsidTr="005F3655">
        <w:trPr>
          <w:trHeight w:val="20"/>
        </w:trPr>
        <w:tc>
          <w:tcPr>
            <w:tcW w:w="1752" w:type="dxa"/>
            <w:tcBorders>
              <w:top w:val="nil"/>
              <w:left w:val="single" w:sz="4" w:space="0" w:color="auto"/>
              <w:bottom w:val="single" w:sz="4" w:space="0" w:color="auto"/>
              <w:right w:val="single" w:sz="4" w:space="0" w:color="auto"/>
            </w:tcBorders>
            <w:vAlign w:val="center"/>
            <w:hideMark/>
          </w:tcPr>
          <w:p w14:paraId="168B13A3" w14:textId="77777777" w:rsidR="005F3655" w:rsidRPr="005F3655" w:rsidRDefault="005F3655" w:rsidP="005F3655">
            <w:pPr>
              <w:spacing w:after="0" w:line="240" w:lineRule="auto"/>
              <w:rPr>
                <w:rFonts w:ascii="Times New Roman" w:eastAsia="Times New Roman" w:hAnsi="Times New Roman" w:cs="Times New Roman"/>
                <w:color w:val="000000"/>
                <w:kern w:val="0"/>
                <w:sz w:val="28"/>
                <w:szCs w:val="28"/>
                <w:lang w:eastAsia="en-IN"/>
                <w14:ligatures w14:val="none"/>
              </w:rPr>
            </w:pPr>
            <w:r w:rsidRPr="005F3655">
              <w:rPr>
                <w:rFonts w:ascii="Times New Roman" w:eastAsia="Times New Roman" w:hAnsi="Times New Roman" w:cs="Times New Roman"/>
                <w:color w:val="000000"/>
                <w:kern w:val="0"/>
                <w:sz w:val="28"/>
                <w:szCs w:val="28"/>
                <w:lang w:eastAsia="en-IN"/>
                <w14:ligatures w14:val="none"/>
              </w:rPr>
              <w:t>Tamil Nadu</w:t>
            </w:r>
          </w:p>
        </w:tc>
        <w:tc>
          <w:tcPr>
            <w:tcW w:w="2040" w:type="dxa"/>
            <w:tcBorders>
              <w:top w:val="nil"/>
              <w:left w:val="nil"/>
              <w:bottom w:val="single" w:sz="4" w:space="0" w:color="auto"/>
              <w:right w:val="single" w:sz="4" w:space="0" w:color="auto"/>
            </w:tcBorders>
            <w:vAlign w:val="center"/>
            <w:hideMark/>
          </w:tcPr>
          <w:p w14:paraId="707D066A" w14:textId="77777777" w:rsidR="005F3655" w:rsidRPr="005F3655" w:rsidRDefault="005F3655" w:rsidP="005F3655">
            <w:pPr>
              <w:spacing w:after="0" w:line="240" w:lineRule="auto"/>
              <w:jc w:val="center"/>
              <w:rPr>
                <w:rFonts w:ascii="Times New Roman" w:eastAsia="Times New Roman" w:hAnsi="Times New Roman" w:cs="Times New Roman"/>
                <w:color w:val="000000"/>
                <w:kern w:val="0"/>
                <w:sz w:val="28"/>
                <w:szCs w:val="28"/>
                <w:lang w:eastAsia="en-IN"/>
                <w14:ligatures w14:val="none"/>
              </w:rPr>
            </w:pPr>
            <w:r w:rsidRPr="005F3655">
              <w:rPr>
                <w:rFonts w:ascii="Times New Roman" w:eastAsia="Times New Roman" w:hAnsi="Times New Roman" w:cs="Times New Roman"/>
                <w:color w:val="000000"/>
                <w:kern w:val="0"/>
                <w:sz w:val="28"/>
                <w:szCs w:val="28"/>
                <w:lang w:eastAsia="en-IN"/>
                <w14:ligatures w14:val="none"/>
              </w:rPr>
              <w:t>21.88</w:t>
            </w:r>
          </w:p>
        </w:tc>
        <w:tc>
          <w:tcPr>
            <w:tcW w:w="2040" w:type="dxa"/>
            <w:tcBorders>
              <w:top w:val="nil"/>
              <w:left w:val="nil"/>
              <w:bottom w:val="single" w:sz="4" w:space="0" w:color="auto"/>
              <w:right w:val="single" w:sz="4" w:space="0" w:color="auto"/>
            </w:tcBorders>
            <w:vAlign w:val="center"/>
            <w:hideMark/>
          </w:tcPr>
          <w:p w14:paraId="076C052D" w14:textId="77777777" w:rsidR="005F3655" w:rsidRPr="005F3655" w:rsidRDefault="005F3655" w:rsidP="005F3655">
            <w:pPr>
              <w:spacing w:after="0" w:line="240" w:lineRule="auto"/>
              <w:jc w:val="center"/>
              <w:rPr>
                <w:rFonts w:ascii="Times New Roman" w:eastAsia="Times New Roman" w:hAnsi="Times New Roman" w:cs="Times New Roman"/>
                <w:color w:val="000000"/>
                <w:kern w:val="0"/>
                <w:sz w:val="28"/>
                <w:szCs w:val="28"/>
                <w:lang w:eastAsia="en-IN"/>
                <w14:ligatures w14:val="none"/>
              </w:rPr>
            </w:pPr>
            <w:r w:rsidRPr="005F3655">
              <w:rPr>
                <w:rFonts w:ascii="Times New Roman" w:eastAsia="Times New Roman" w:hAnsi="Times New Roman" w:cs="Times New Roman"/>
                <w:color w:val="000000"/>
                <w:kern w:val="0"/>
                <w:sz w:val="28"/>
                <w:szCs w:val="28"/>
                <w:lang w:eastAsia="en-IN"/>
                <w14:ligatures w14:val="none"/>
              </w:rPr>
              <w:t>35.3</w:t>
            </w:r>
          </w:p>
        </w:tc>
        <w:tc>
          <w:tcPr>
            <w:tcW w:w="2040" w:type="dxa"/>
            <w:tcBorders>
              <w:top w:val="nil"/>
              <w:left w:val="nil"/>
              <w:bottom w:val="single" w:sz="4" w:space="0" w:color="auto"/>
              <w:right w:val="single" w:sz="4" w:space="0" w:color="auto"/>
            </w:tcBorders>
            <w:vAlign w:val="center"/>
            <w:hideMark/>
          </w:tcPr>
          <w:p w14:paraId="560F3BC7" w14:textId="28B41230" w:rsidR="005F3655" w:rsidRPr="005F3655" w:rsidRDefault="005F3655" w:rsidP="005F3655">
            <w:pPr>
              <w:spacing w:after="0" w:line="240" w:lineRule="auto"/>
              <w:jc w:val="center"/>
              <w:rPr>
                <w:rFonts w:ascii="Times New Roman" w:eastAsia="Times New Roman" w:hAnsi="Times New Roman" w:cs="Times New Roman"/>
                <w:color w:val="000000"/>
                <w:kern w:val="0"/>
                <w:sz w:val="28"/>
                <w:szCs w:val="28"/>
                <w:lang w:eastAsia="en-IN"/>
                <w14:ligatures w14:val="none"/>
              </w:rPr>
            </w:pPr>
            <w:r>
              <w:rPr>
                <w:rFonts w:ascii="Times New Roman" w:eastAsia="Times New Roman" w:hAnsi="Times New Roman" w:cs="Times New Roman"/>
                <w:color w:val="000000"/>
                <w:kern w:val="0"/>
                <w:sz w:val="28"/>
                <w:szCs w:val="28"/>
                <w:lang w:eastAsia="en-IN"/>
                <w14:ligatures w14:val="none"/>
              </w:rPr>
              <w:t>1</w:t>
            </w:r>
            <w:r w:rsidRPr="005F3655">
              <w:rPr>
                <w:rFonts w:ascii="Times New Roman" w:eastAsia="Times New Roman" w:hAnsi="Times New Roman" w:cs="Times New Roman"/>
                <w:color w:val="000000"/>
                <w:kern w:val="0"/>
                <w:sz w:val="28"/>
                <w:szCs w:val="28"/>
                <w:lang w:eastAsia="en-IN"/>
                <w14:ligatures w14:val="none"/>
              </w:rPr>
              <w:t>9.67</w:t>
            </w:r>
          </w:p>
        </w:tc>
        <w:tc>
          <w:tcPr>
            <w:tcW w:w="1111" w:type="dxa"/>
            <w:tcBorders>
              <w:top w:val="nil"/>
              <w:left w:val="nil"/>
              <w:bottom w:val="single" w:sz="4" w:space="0" w:color="auto"/>
              <w:right w:val="single" w:sz="4" w:space="0" w:color="auto"/>
            </w:tcBorders>
            <w:vAlign w:val="center"/>
            <w:hideMark/>
          </w:tcPr>
          <w:p w14:paraId="2175367C" w14:textId="77777777" w:rsidR="005F3655" w:rsidRPr="005F3655" w:rsidRDefault="005F3655" w:rsidP="005F3655">
            <w:pPr>
              <w:spacing w:after="0" w:line="240" w:lineRule="auto"/>
              <w:jc w:val="center"/>
              <w:rPr>
                <w:rFonts w:ascii="Times New Roman" w:eastAsia="Times New Roman" w:hAnsi="Times New Roman" w:cs="Times New Roman"/>
                <w:color w:val="000000"/>
                <w:kern w:val="0"/>
                <w:sz w:val="28"/>
                <w:szCs w:val="28"/>
                <w:lang w:eastAsia="en-IN"/>
                <w14:ligatures w14:val="none"/>
              </w:rPr>
            </w:pPr>
            <w:r w:rsidRPr="005F3655">
              <w:rPr>
                <w:rFonts w:ascii="Times New Roman" w:eastAsia="Times New Roman" w:hAnsi="Times New Roman" w:cs="Times New Roman"/>
                <w:color w:val="000000"/>
                <w:kern w:val="0"/>
                <w:sz w:val="28"/>
                <w:szCs w:val="28"/>
                <w:lang w:eastAsia="en-IN"/>
                <w14:ligatures w14:val="none"/>
              </w:rPr>
              <w:t>245.8</w:t>
            </w:r>
          </w:p>
        </w:tc>
        <w:tc>
          <w:tcPr>
            <w:tcW w:w="1263" w:type="dxa"/>
            <w:tcBorders>
              <w:top w:val="nil"/>
              <w:left w:val="nil"/>
              <w:bottom w:val="single" w:sz="4" w:space="0" w:color="auto"/>
              <w:right w:val="single" w:sz="4" w:space="0" w:color="auto"/>
            </w:tcBorders>
            <w:vAlign w:val="center"/>
            <w:hideMark/>
          </w:tcPr>
          <w:p w14:paraId="28B7E9D2" w14:textId="77777777" w:rsidR="005F3655" w:rsidRPr="005F3655" w:rsidRDefault="005F3655" w:rsidP="005F3655">
            <w:pPr>
              <w:spacing w:after="0" w:line="240" w:lineRule="auto"/>
              <w:jc w:val="center"/>
              <w:rPr>
                <w:rFonts w:ascii="Times New Roman" w:eastAsia="Times New Roman" w:hAnsi="Times New Roman" w:cs="Times New Roman"/>
                <w:color w:val="000000"/>
                <w:kern w:val="0"/>
                <w:sz w:val="28"/>
                <w:szCs w:val="28"/>
                <w:lang w:eastAsia="en-IN"/>
                <w14:ligatures w14:val="none"/>
              </w:rPr>
            </w:pPr>
            <w:r w:rsidRPr="005F3655">
              <w:rPr>
                <w:rFonts w:ascii="Times New Roman" w:eastAsia="Times New Roman" w:hAnsi="Times New Roman" w:cs="Times New Roman"/>
                <w:color w:val="000000"/>
                <w:kern w:val="0"/>
                <w:sz w:val="28"/>
                <w:szCs w:val="28"/>
                <w:lang w:eastAsia="en-IN"/>
                <w14:ligatures w14:val="none"/>
              </w:rPr>
              <w:t>53.5</w:t>
            </w:r>
          </w:p>
        </w:tc>
        <w:tc>
          <w:tcPr>
            <w:tcW w:w="1550" w:type="dxa"/>
            <w:tcBorders>
              <w:top w:val="nil"/>
              <w:left w:val="nil"/>
              <w:bottom w:val="single" w:sz="4" w:space="0" w:color="auto"/>
              <w:right w:val="single" w:sz="4" w:space="0" w:color="auto"/>
            </w:tcBorders>
            <w:vAlign w:val="center"/>
            <w:hideMark/>
          </w:tcPr>
          <w:p w14:paraId="3291EEAA" w14:textId="1F2A83B5" w:rsidR="005F3655" w:rsidRPr="005F3655" w:rsidRDefault="005F3655" w:rsidP="005F3655">
            <w:pPr>
              <w:spacing w:after="0" w:line="240" w:lineRule="auto"/>
              <w:jc w:val="center"/>
              <w:rPr>
                <w:rFonts w:ascii="Times New Roman" w:eastAsia="Times New Roman" w:hAnsi="Times New Roman" w:cs="Times New Roman"/>
                <w:color w:val="000000"/>
                <w:kern w:val="0"/>
                <w:sz w:val="28"/>
                <w:szCs w:val="28"/>
                <w:lang w:eastAsia="en-IN"/>
                <w14:ligatures w14:val="none"/>
              </w:rPr>
            </w:pPr>
            <w:r w:rsidRPr="005F3655">
              <w:rPr>
                <w:rFonts w:ascii="Times New Roman" w:eastAsia="Times New Roman" w:hAnsi="Times New Roman" w:cs="Times New Roman"/>
                <w:color w:val="000000"/>
                <w:kern w:val="0"/>
                <w:sz w:val="28"/>
                <w:szCs w:val="28"/>
                <w:lang w:eastAsia="en-IN"/>
                <w14:ligatures w14:val="none"/>
              </w:rPr>
              <w:t>1149</w:t>
            </w:r>
          </w:p>
        </w:tc>
        <w:tc>
          <w:tcPr>
            <w:tcW w:w="1331" w:type="dxa"/>
            <w:tcBorders>
              <w:top w:val="nil"/>
              <w:left w:val="nil"/>
              <w:bottom w:val="single" w:sz="4" w:space="0" w:color="auto"/>
              <w:right w:val="single" w:sz="4" w:space="0" w:color="auto"/>
            </w:tcBorders>
            <w:vAlign w:val="center"/>
            <w:hideMark/>
          </w:tcPr>
          <w:p w14:paraId="237DAD47" w14:textId="77777777" w:rsidR="005F3655" w:rsidRPr="005F3655" w:rsidRDefault="005F3655" w:rsidP="005F3655">
            <w:pPr>
              <w:spacing w:after="0" w:line="240" w:lineRule="auto"/>
              <w:jc w:val="center"/>
              <w:rPr>
                <w:rFonts w:ascii="Times New Roman" w:eastAsia="Times New Roman" w:hAnsi="Times New Roman" w:cs="Times New Roman"/>
                <w:color w:val="000000"/>
                <w:kern w:val="0"/>
                <w:sz w:val="28"/>
                <w:szCs w:val="28"/>
                <w:lang w:eastAsia="en-IN"/>
                <w14:ligatures w14:val="none"/>
              </w:rPr>
            </w:pPr>
            <w:r w:rsidRPr="005F3655">
              <w:rPr>
                <w:rFonts w:ascii="Times New Roman" w:eastAsia="Times New Roman" w:hAnsi="Times New Roman" w:cs="Times New Roman"/>
                <w:color w:val="000000"/>
                <w:kern w:val="0"/>
                <w:sz w:val="28"/>
                <w:szCs w:val="28"/>
                <w:lang w:eastAsia="en-IN"/>
                <w14:ligatures w14:val="none"/>
              </w:rPr>
              <w:t>65.5</w:t>
            </w:r>
          </w:p>
        </w:tc>
        <w:tc>
          <w:tcPr>
            <w:tcW w:w="1483" w:type="dxa"/>
            <w:tcBorders>
              <w:top w:val="nil"/>
              <w:left w:val="nil"/>
              <w:bottom w:val="single" w:sz="4" w:space="0" w:color="auto"/>
              <w:right w:val="single" w:sz="4" w:space="0" w:color="auto"/>
            </w:tcBorders>
            <w:vAlign w:val="center"/>
            <w:hideMark/>
          </w:tcPr>
          <w:p w14:paraId="276D3524" w14:textId="77777777" w:rsidR="005F3655" w:rsidRPr="005F3655" w:rsidRDefault="005F3655" w:rsidP="005F3655">
            <w:pPr>
              <w:spacing w:after="0" w:line="240" w:lineRule="auto"/>
              <w:jc w:val="center"/>
              <w:rPr>
                <w:rFonts w:ascii="Times New Roman" w:eastAsia="Times New Roman" w:hAnsi="Times New Roman" w:cs="Times New Roman"/>
                <w:color w:val="000000"/>
                <w:kern w:val="0"/>
                <w:sz w:val="28"/>
                <w:szCs w:val="28"/>
                <w:lang w:eastAsia="en-IN"/>
                <w14:ligatures w14:val="none"/>
              </w:rPr>
            </w:pPr>
            <w:r w:rsidRPr="005F3655">
              <w:rPr>
                <w:rFonts w:ascii="Times New Roman" w:eastAsia="Times New Roman" w:hAnsi="Times New Roman" w:cs="Times New Roman"/>
                <w:color w:val="000000"/>
                <w:kern w:val="0"/>
                <w:sz w:val="28"/>
                <w:szCs w:val="28"/>
                <w:lang w:eastAsia="en-IN"/>
                <w14:ligatures w14:val="none"/>
              </w:rPr>
              <w:t>66.3</w:t>
            </w:r>
          </w:p>
        </w:tc>
      </w:tr>
      <w:tr w:rsidR="005F3655" w:rsidRPr="005F3655" w14:paraId="0221240C" w14:textId="77777777" w:rsidTr="005F3655">
        <w:trPr>
          <w:trHeight w:val="20"/>
        </w:trPr>
        <w:tc>
          <w:tcPr>
            <w:tcW w:w="1752" w:type="dxa"/>
            <w:tcBorders>
              <w:top w:val="nil"/>
              <w:left w:val="single" w:sz="4" w:space="0" w:color="auto"/>
              <w:bottom w:val="single" w:sz="4" w:space="0" w:color="auto"/>
              <w:right w:val="single" w:sz="4" w:space="0" w:color="auto"/>
            </w:tcBorders>
            <w:vAlign w:val="center"/>
            <w:hideMark/>
          </w:tcPr>
          <w:p w14:paraId="44447221" w14:textId="77777777" w:rsidR="005F3655" w:rsidRPr="005F3655" w:rsidRDefault="005F3655" w:rsidP="005F3655">
            <w:pPr>
              <w:spacing w:after="0" w:line="240" w:lineRule="auto"/>
              <w:rPr>
                <w:rFonts w:ascii="Times New Roman" w:eastAsia="Times New Roman" w:hAnsi="Times New Roman" w:cs="Times New Roman"/>
                <w:color w:val="000000"/>
                <w:kern w:val="0"/>
                <w:sz w:val="28"/>
                <w:szCs w:val="28"/>
                <w:lang w:eastAsia="en-IN"/>
                <w14:ligatures w14:val="none"/>
              </w:rPr>
            </w:pPr>
            <w:r w:rsidRPr="005F3655">
              <w:rPr>
                <w:rFonts w:ascii="Times New Roman" w:eastAsia="Times New Roman" w:hAnsi="Times New Roman" w:cs="Times New Roman"/>
                <w:color w:val="000000"/>
                <w:kern w:val="0"/>
                <w:sz w:val="28"/>
                <w:szCs w:val="28"/>
                <w:lang w:eastAsia="en-IN"/>
                <w14:ligatures w14:val="none"/>
              </w:rPr>
              <w:t>Uttar Pradesh</w:t>
            </w:r>
          </w:p>
        </w:tc>
        <w:tc>
          <w:tcPr>
            <w:tcW w:w="2040" w:type="dxa"/>
            <w:tcBorders>
              <w:top w:val="nil"/>
              <w:left w:val="nil"/>
              <w:bottom w:val="single" w:sz="4" w:space="0" w:color="auto"/>
              <w:right w:val="single" w:sz="4" w:space="0" w:color="auto"/>
            </w:tcBorders>
            <w:vAlign w:val="center"/>
            <w:hideMark/>
          </w:tcPr>
          <w:p w14:paraId="10DB2905" w14:textId="77777777" w:rsidR="005F3655" w:rsidRPr="005F3655" w:rsidRDefault="005F3655" w:rsidP="005F3655">
            <w:pPr>
              <w:spacing w:after="0" w:line="240" w:lineRule="auto"/>
              <w:jc w:val="center"/>
              <w:rPr>
                <w:rFonts w:ascii="Times New Roman" w:eastAsia="Times New Roman" w:hAnsi="Times New Roman" w:cs="Times New Roman"/>
                <w:color w:val="000000"/>
                <w:kern w:val="0"/>
                <w:sz w:val="28"/>
                <w:szCs w:val="28"/>
                <w:lang w:eastAsia="en-IN"/>
                <w14:ligatures w14:val="none"/>
              </w:rPr>
            </w:pPr>
            <w:r w:rsidRPr="005F3655">
              <w:rPr>
                <w:rFonts w:ascii="Times New Roman" w:eastAsia="Times New Roman" w:hAnsi="Times New Roman" w:cs="Times New Roman"/>
                <w:color w:val="000000"/>
                <w:kern w:val="0"/>
                <w:sz w:val="28"/>
                <w:szCs w:val="28"/>
                <w:lang w:eastAsia="en-IN"/>
                <w14:ligatures w14:val="none"/>
              </w:rPr>
              <w:t>3.68</w:t>
            </w:r>
          </w:p>
        </w:tc>
        <w:tc>
          <w:tcPr>
            <w:tcW w:w="2040" w:type="dxa"/>
            <w:tcBorders>
              <w:top w:val="nil"/>
              <w:left w:val="nil"/>
              <w:bottom w:val="single" w:sz="4" w:space="0" w:color="auto"/>
              <w:right w:val="single" w:sz="4" w:space="0" w:color="auto"/>
            </w:tcBorders>
            <w:vAlign w:val="center"/>
            <w:hideMark/>
          </w:tcPr>
          <w:p w14:paraId="42C14DCD" w14:textId="77777777" w:rsidR="005F3655" w:rsidRPr="005F3655" w:rsidRDefault="005F3655" w:rsidP="005F3655">
            <w:pPr>
              <w:spacing w:after="0" w:line="240" w:lineRule="auto"/>
              <w:jc w:val="center"/>
              <w:rPr>
                <w:rFonts w:ascii="Times New Roman" w:eastAsia="Times New Roman" w:hAnsi="Times New Roman" w:cs="Times New Roman"/>
                <w:color w:val="000000"/>
                <w:kern w:val="0"/>
                <w:sz w:val="28"/>
                <w:szCs w:val="28"/>
                <w:lang w:eastAsia="en-IN"/>
                <w14:ligatures w14:val="none"/>
              </w:rPr>
            </w:pPr>
            <w:r w:rsidRPr="005F3655">
              <w:rPr>
                <w:rFonts w:ascii="Times New Roman" w:eastAsia="Times New Roman" w:hAnsi="Times New Roman" w:cs="Times New Roman"/>
                <w:color w:val="000000"/>
                <w:kern w:val="0"/>
                <w:sz w:val="28"/>
                <w:szCs w:val="28"/>
                <w:lang w:eastAsia="en-IN"/>
                <w14:ligatures w14:val="none"/>
              </w:rPr>
              <w:t>16</w:t>
            </w:r>
          </w:p>
        </w:tc>
        <w:tc>
          <w:tcPr>
            <w:tcW w:w="2040" w:type="dxa"/>
            <w:tcBorders>
              <w:top w:val="nil"/>
              <w:left w:val="nil"/>
              <w:bottom w:val="single" w:sz="4" w:space="0" w:color="auto"/>
              <w:right w:val="single" w:sz="4" w:space="0" w:color="auto"/>
            </w:tcBorders>
            <w:vAlign w:val="center"/>
            <w:hideMark/>
          </w:tcPr>
          <w:p w14:paraId="0CD29907" w14:textId="77777777" w:rsidR="005F3655" w:rsidRPr="005F3655" w:rsidRDefault="005F3655" w:rsidP="005F3655">
            <w:pPr>
              <w:spacing w:after="0" w:line="240" w:lineRule="auto"/>
              <w:jc w:val="center"/>
              <w:rPr>
                <w:rFonts w:ascii="Times New Roman" w:eastAsia="Times New Roman" w:hAnsi="Times New Roman" w:cs="Times New Roman"/>
                <w:color w:val="000000"/>
                <w:kern w:val="0"/>
                <w:sz w:val="28"/>
                <w:szCs w:val="28"/>
                <w:lang w:eastAsia="en-IN"/>
                <w14:ligatures w14:val="none"/>
              </w:rPr>
            </w:pPr>
            <w:r w:rsidRPr="005F3655">
              <w:rPr>
                <w:rFonts w:ascii="Times New Roman" w:eastAsia="Times New Roman" w:hAnsi="Times New Roman" w:cs="Times New Roman"/>
                <w:color w:val="000000"/>
                <w:kern w:val="0"/>
                <w:sz w:val="28"/>
                <w:szCs w:val="28"/>
                <w:lang w:eastAsia="en-IN"/>
                <w14:ligatures w14:val="none"/>
              </w:rPr>
              <w:t>5.67</w:t>
            </w:r>
          </w:p>
        </w:tc>
        <w:tc>
          <w:tcPr>
            <w:tcW w:w="1111" w:type="dxa"/>
            <w:tcBorders>
              <w:top w:val="nil"/>
              <w:left w:val="nil"/>
              <w:bottom w:val="single" w:sz="4" w:space="0" w:color="auto"/>
              <w:right w:val="single" w:sz="4" w:space="0" w:color="auto"/>
            </w:tcBorders>
            <w:vAlign w:val="center"/>
            <w:hideMark/>
          </w:tcPr>
          <w:p w14:paraId="06455612" w14:textId="77777777" w:rsidR="005F3655" w:rsidRPr="005F3655" w:rsidRDefault="005F3655" w:rsidP="005F3655">
            <w:pPr>
              <w:spacing w:after="0" w:line="240" w:lineRule="auto"/>
              <w:jc w:val="center"/>
              <w:rPr>
                <w:rFonts w:ascii="Times New Roman" w:eastAsia="Times New Roman" w:hAnsi="Times New Roman" w:cs="Times New Roman"/>
                <w:color w:val="000000"/>
                <w:kern w:val="0"/>
                <w:sz w:val="28"/>
                <w:szCs w:val="28"/>
                <w:lang w:eastAsia="en-IN"/>
                <w14:ligatures w14:val="none"/>
              </w:rPr>
            </w:pPr>
            <w:r w:rsidRPr="005F3655">
              <w:rPr>
                <w:rFonts w:ascii="Times New Roman" w:eastAsia="Times New Roman" w:hAnsi="Times New Roman" w:cs="Times New Roman"/>
                <w:color w:val="000000"/>
                <w:kern w:val="0"/>
                <w:sz w:val="28"/>
                <w:szCs w:val="28"/>
                <w:lang w:eastAsia="en-IN"/>
                <w14:ligatures w14:val="none"/>
              </w:rPr>
              <w:t>147.9</w:t>
            </w:r>
          </w:p>
        </w:tc>
        <w:tc>
          <w:tcPr>
            <w:tcW w:w="1263" w:type="dxa"/>
            <w:tcBorders>
              <w:top w:val="nil"/>
              <w:left w:val="nil"/>
              <w:bottom w:val="single" w:sz="4" w:space="0" w:color="auto"/>
              <w:right w:val="single" w:sz="4" w:space="0" w:color="auto"/>
            </w:tcBorders>
            <w:vAlign w:val="center"/>
            <w:hideMark/>
          </w:tcPr>
          <w:p w14:paraId="2D03B0AE" w14:textId="77777777" w:rsidR="005F3655" w:rsidRPr="005F3655" w:rsidRDefault="005F3655" w:rsidP="005F3655">
            <w:pPr>
              <w:spacing w:after="0" w:line="240" w:lineRule="auto"/>
              <w:jc w:val="center"/>
              <w:rPr>
                <w:rFonts w:ascii="Times New Roman" w:eastAsia="Times New Roman" w:hAnsi="Times New Roman" w:cs="Times New Roman"/>
                <w:color w:val="000000"/>
                <w:kern w:val="0"/>
                <w:sz w:val="28"/>
                <w:szCs w:val="28"/>
                <w:lang w:eastAsia="en-IN"/>
                <w14:ligatures w14:val="none"/>
              </w:rPr>
            </w:pPr>
            <w:r w:rsidRPr="005F3655">
              <w:rPr>
                <w:rFonts w:ascii="Times New Roman" w:eastAsia="Times New Roman" w:hAnsi="Times New Roman" w:cs="Times New Roman"/>
                <w:color w:val="000000"/>
                <w:kern w:val="0"/>
                <w:sz w:val="28"/>
                <w:szCs w:val="28"/>
                <w:lang w:eastAsia="en-IN"/>
                <w14:ligatures w14:val="none"/>
              </w:rPr>
              <w:t>19.3</w:t>
            </w:r>
          </w:p>
        </w:tc>
        <w:tc>
          <w:tcPr>
            <w:tcW w:w="1550" w:type="dxa"/>
            <w:tcBorders>
              <w:top w:val="nil"/>
              <w:left w:val="nil"/>
              <w:bottom w:val="single" w:sz="4" w:space="0" w:color="auto"/>
              <w:right w:val="single" w:sz="4" w:space="0" w:color="auto"/>
            </w:tcBorders>
            <w:vAlign w:val="center"/>
            <w:hideMark/>
          </w:tcPr>
          <w:p w14:paraId="019DC946" w14:textId="77777777" w:rsidR="005F3655" w:rsidRPr="005F3655" w:rsidRDefault="005F3655" w:rsidP="005F3655">
            <w:pPr>
              <w:spacing w:after="0" w:line="240" w:lineRule="auto"/>
              <w:jc w:val="center"/>
              <w:rPr>
                <w:rFonts w:ascii="Times New Roman" w:eastAsia="Times New Roman" w:hAnsi="Times New Roman" w:cs="Times New Roman"/>
                <w:color w:val="000000"/>
                <w:kern w:val="0"/>
                <w:sz w:val="28"/>
                <w:szCs w:val="28"/>
                <w:lang w:eastAsia="en-IN"/>
                <w14:ligatures w14:val="none"/>
              </w:rPr>
            </w:pPr>
            <w:r w:rsidRPr="005F3655">
              <w:rPr>
                <w:rFonts w:ascii="Times New Roman" w:eastAsia="Times New Roman" w:hAnsi="Times New Roman" w:cs="Times New Roman"/>
                <w:color w:val="000000"/>
                <w:kern w:val="0"/>
                <w:sz w:val="28"/>
                <w:szCs w:val="28"/>
                <w:lang w:eastAsia="en-IN"/>
                <w14:ligatures w14:val="none"/>
              </w:rPr>
              <w:t>748</w:t>
            </w:r>
          </w:p>
        </w:tc>
        <w:tc>
          <w:tcPr>
            <w:tcW w:w="1331" w:type="dxa"/>
            <w:tcBorders>
              <w:top w:val="nil"/>
              <w:left w:val="nil"/>
              <w:bottom w:val="single" w:sz="4" w:space="0" w:color="auto"/>
              <w:right w:val="single" w:sz="4" w:space="0" w:color="auto"/>
            </w:tcBorders>
            <w:vAlign w:val="center"/>
            <w:hideMark/>
          </w:tcPr>
          <w:p w14:paraId="1D3F2F8A" w14:textId="77777777" w:rsidR="005F3655" w:rsidRPr="005F3655" w:rsidRDefault="005F3655" w:rsidP="005F3655">
            <w:pPr>
              <w:spacing w:after="0" w:line="240" w:lineRule="auto"/>
              <w:jc w:val="center"/>
              <w:rPr>
                <w:rFonts w:ascii="Times New Roman" w:eastAsia="Times New Roman" w:hAnsi="Times New Roman" w:cs="Times New Roman"/>
                <w:color w:val="000000"/>
                <w:kern w:val="0"/>
                <w:sz w:val="28"/>
                <w:szCs w:val="28"/>
                <w:lang w:eastAsia="en-IN"/>
                <w14:ligatures w14:val="none"/>
              </w:rPr>
            </w:pPr>
            <w:r w:rsidRPr="005F3655">
              <w:rPr>
                <w:rFonts w:ascii="Times New Roman" w:eastAsia="Times New Roman" w:hAnsi="Times New Roman" w:cs="Times New Roman"/>
                <w:color w:val="000000"/>
                <w:kern w:val="0"/>
                <w:sz w:val="28"/>
                <w:szCs w:val="28"/>
                <w:lang w:eastAsia="en-IN"/>
                <w14:ligatures w14:val="none"/>
              </w:rPr>
              <w:t>32.3</w:t>
            </w:r>
          </w:p>
        </w:tc>
        <w:tc>
          <w:tcPr>
            <w:tcW w:w="1483" w:type="dxa"/>
            <w:tcBorders>
              <w:top w:val="nil"/>
              <w:left w:val="nil"/>
              <w:bottom w:val="single" w:sz="4" w:space="0" w:color="auto"/>
              <w:right w:val="single" w:sz="4" w:space="0" w:color="auto"/>
            </w:tcBorders>
            <w:vAlign w:val="center"/>
            <w:hideMark/>
          </w:tcPr>
          <w:p w14:paraId="1C0F81F3" w14:textId="77777777" w:rsidR="005F3655" w:rsidRPr="005F3655" w:rsidRDefault="005F3655" w:rsidP="005F3655">
            <w:pPr>
              <w:spacing w:after="0" w:line="240" w:lineRule="auto"/>
              <w:jc w:val="center"/>
              <w:rPr>
                <w:rFonts w:ascii="Times New Roman" w:eastAsia="Times New Roman" w:hAnsi="Times New Roman" w:cs="Times New Roman"/>
                <w:color w:val="000000"/>
                <w:kern w:val="0"/>
                <w:sz w:val="28"/>
                <w:szCs w:val="28"/>
                <w:lang w:eastAsia="en-IN"/>
                <w14:ligatures w14:val="none"/>
              </w:rPr>
            </w:pPr>
            <w:r w:rsidRPr="005F3655">
              <w:rPr>
                <w:rFonts w:ascii="Times New Roman" w:eastAsia="Times New Roman" w:hAnsi="Times New Roman" w:cs="Times New Roman"/>
                <w:color w:val="000000"/>
                <w:kern w:val="0"/>
                <w:sz w:val="28"/>
                <w:szCs w:val="28"/>
                <w:lang w:eastAsia="en-IN"/>
                <w14:ligatures w14:val="none"/>
              </w:rPr>
              <w:t>13.6</w:t>
            </w:r>
          </w:p>
        </w:tc>
      </w:tr>
      <w:tr w:rsidR="005F3655" w:rsidRPr="005F3655" w14:paraId="7CC7E249" w14:textId="77777777" w:rsidTr="005F3655">
        <w:trPr>
          <w:trHeight w:val="20"/>
        </w:trPr>
        <w:tc>
          <w:tcPr>
            <w:tcW w:w="1752" w:type="dxa"/>
            <w:tcBorders>
              <w:top w:val="nil"/>
              <w:left w:val="single" w:sz="4" w:space="0" w:color="auto"/>
              <w:bottom w:val="single" w:sz="4" w:space="0" w:color="auto"/>
              <w:right w:val="single" w:sz="4" w:space="0" w:color="auto"/>
            </w:tcBorders>
            <w:vAlign w:val="center"/>
            <w:hideMark/>
          </w:tcPr>
          <w:p w14:paraId="4C70A4F5" w14:textId="77777777" w:rsidR="005F3655" w:rsidRPr="005F3655" w:rsidRDefault="005F3655" w:rsidP="005F3655">
            <w:pPr>
              <w:spacing w:after="0" w:line="240" w:lineRule="auto"/>
              <w:rPr>
                <w:rFonts w:ascii="Times New Roman" w:eastAsia="Times New Roman" w:hAnsi="Times New Roman" w:cs="Times New Roman"/>
                <w:color w:val="000000"/>
                <w:kern w:val="0"/>
                <w:sz w:val="28"/>
                <w:szCs w:val="28"/>
                <w:lang w:eastAsia="en-IN"/>
                <w14:ligatures w14:val="none"/>
              </w:rPr>
            </w:pPr>
            <w:r w:rsidRPr="005F3655">
              <w:rPr>
                <w:rFonts w:ascii="Times New Roman" w:eastAsia="Times New Roman" w:hAnsi="Times New Roman" w:cs="Times New Roman"/>
                <w:color w:val="000000"/>
                <w:kern w:val="0"/>
                <w:sz w:val="28"/>
                <w:szCs w:val="28"/>
                <w:lang w:eastAsia="en-IN"/>
                <w14:ligatures w14:val="none"/>
              </w:rPr>
              <w:t>West Bengal</w:t>
            </w:r>
          </w:p>
        </w:tc>
        <w:tc>
          <w:tcPr>
            <w:tcW w:w="2040" w:type="dxa"/>
            <w:tcBorders>
              <w:top w:val="nil"/>
              <w:left w:val="nil"/>
              <w:bottom w:val="single" w:sz="4" w:space="0" w:color="auto"/>
              <w:right w:val="single" w:sz="4" w:space="0" w:color="auto"/>
            </w:tcBorders>
            <w:vAlign w:val="center"/>
            <w:hideMark/>
          </w:tcPr>
          <w:p w14:paraId="18751CDE" w14:textId="77777777" w:rsidR="005F3655" w:rsidRPr="005F3655" w:rsidRDefault="005F3655" w:rsidP="005F3655">
            <w:pPr>
              <w:spacing w:after="0" w:line="240" w:lineRule="auto"/>
              <w:jc w:val="center"/>
              <w:rPr>
                <w:rFonts w:ascii="Times New Roman" w:eastAsia="Times New Roman" w:hAnsi="Times New Roman" w:cs="Times New Roman"/>
                <w:color w:val="000000"/>
                <w:kern w:val="0"/>
                <w:sz w:val="28"/>
                <w:szCs w:val="28"/>
                <w:lang w:eastAsia="en-IN"/>
                <w14:ligatures w14:val="none"/>
              </w:rPr>
            </w:pPr>
            <w:r w:rsidRPr="005F3655">
              <w:rPr>
                <w:rFonts w:ascii="Times New Roman" w:eastAsia="Times New Roman" w:hAnsi="Times New Roman" w:cs="Times New Roman"/>
                <w:color w:val="000000"/>
                <w:kern w:val="0"/>
                <w:sz w:val="28"/>
                <w:szCs w:val="28"/>
                <w:lang w:eastAsia="en-IN"/>
                <w14:ligatures w14:val="none"/>
              </w:rPr>
              <w:t>15.22</w:t>
            </w:r>
          </w:p>
        </w:tc>
        <w:tc>
          <w:tcPr>
            <w:tcW w:w="2040" w:type="dxa"/>
            <w:tcBorders>
              <w:top w:val="nil"/>
              <w:left w:val="nil"/>
              <w:bottom w:val="single" w:sz="4" w:space="0" w:color="auto"/>
              <w:right w:val="single" w:sz="4" w:space="0" w:color="auto"/>
            </w:tcBorders>
            <w:vAlign w:val="center"/>
            <w:hideMark/>
          </w:tcPr>
          <w:p w14:paraId="5FE138E1" w14:textId="77777777" w:rsidR="005F3655" w:rsidRPr="005F3655" w:rsidRDefault="005F3655" w:rsidP="005F3655">
            <w:pPr>
              <w:spacing w:after="0" w:line="240" w:lineRule="auto"/>
              <w:jc w:val="center"/>
              <w:rPr>
                <w:rFonts w:ascii="Times New Roman" w:eastAsia="Times New Roman" w:hAnsi="Times New Roman" w:cs="Times New Roman"/>
                <w:color w:val="000000"/>
                <w:kern w:val="0"/>
                <w:sz w:val="28"/>
                <w:szCs w:val="28"/>
                <w:lang w:eastAsia="en-IN"/>
                <w14:ligatures w14:val="none"/>
              </w:rPr>
            </w:pPr>
            <w:r w:rsidRPr="005F3655">
              <w:rPr>
                <w:rFonts w:ascii="Times New Roman" w:eastAsia="Times New Roman" w:hAnsi="Times New Roman" w:cs="Times New Roman"/>
                <w:color w:val="000000"/>
                <w:kern w:val="0"/>
                <w:sz w:val="28"/>
                <w:szCs w:val="28"/>
                <w:lang w:eastAsia="en-IN"/>
                <w14:ligatures w14:val="none"/>
              </w:rPr>
              <w:t>23.18</w:t>
            </w:r>
          </w:p>
        </w:tc>
        <w:tc>
          <w:tcPr>
            <w:tcW w:w="2040" w:type="dxa"/>
            <w:tcBorders>
              <w:top w:val="nil"/>
              <w:left w:val="nil"/>
              <w:bottom w:val="single" w:sz="4" w:space="0" w:color="auto"/>
              <w:right w:val="single" w:sz="4" w:space="0" w:color="auto"/>
            </w:tcBorders>
            <w:vAlign w:val="center"/>
            <w:hideMark/>
          </w:tcPr>
          <w:p w14:paraId="5E4FED79" w14:textId="77777777" w:rsidR="005F3655" w:rsidRPr="005F3655" w:rsidRDefault="005F3655" w:rsidP="005F3655">
            <w:pPr>
              <w:spacing w:after="0" w:line="240" w:lineRule="auto"/>
              <w:jc w:val="center"/>
              <w:rPr>
                <w:rFonts w:ascii="Times New Roman" w:eastAsia="Times New Roman" w:hAnsi="Times New Roman" w:cs="Times New Roman"/>
                <w:color w:val="000000"/>
                <w:kern w:val="0"/>
                <w:sz w:val="28"/>
                <w:szCs w:val="28"/>
                <w:lang w:eastAsia="en-IN"/>
                <w14:ligatures w14:val="none"/>
              </w:rPr>
            </w:pPr>
            <w:r w:rsidRPr="005F3655">
              <w:rPr>
                <w:rFonts w:ascii="Times New Roman" w:eastAsia="Times New Roman" w:hAnsi="Times New Roman" w:cs="Times New Roman"/>
                <w:color w:val="000000"/>
                <w:kern w:val="0"/>
                <w:sz w:val="28"/>
                <w:szCs w:val="28"/>
                <w:lang w:eastAsia="en-IN"/>
                <w14:ligatures w14:val="none"/>
              </w:rPr>
              <w:t>16</w:t>
            </w:r>
          </w:p>
        </w:tc>
        <w:tc>
          <w:tcPr>
            <w:tcW w:w="1111" w:type="dxa"/>
            <w:tcBorders>
              <w:top w:val="nil"/>
              <w:left w:val="nil"/>
              <w:bottom w:val="single" w:sz="4" w:space="0" w:color="auto"/>
              <w:right w:val="single" w:sz="4" w:space="0" w:color="auto"/>
            </w:tcBorders>
            <w:vAlign w:val="center"/>
            <w:hideMark/>
          </w:tcPr>
          <w:p w14:paraId="3B561DB7" w14:textId="77777777" w:rsidR="005F3655" w:rsidRPr="005F3655" w:rsidRDefault="005F3655" w:rsidP="005F3655">
            <w:pPr>
              <w:spacing w:after="0" w:line="240" w:lineRule="auto"/>
              <w:jc w:val="center"/>
              <w:rPr>
                <w:rFonts w:ascii="Times New Roman" w:eastAsia="Times New Roman" w:hAnsi="Times New Roman" w:cs="Times New Roman"/>
                <w:color w:val="000000"/>
                <w:kern w:val="0"/>
                <w:sz w:val="28"/>
                <w:szCs w:val="28"/>
                <w:lang w:eastAsia="en-IN"/>
                <w14:ligatures w14:val="none"/>
              </w:rPr>
            </w:pPr>
            <w:r w:rsidRPr="005F3655">
              <w:rPr>
                <w:rFonts w:ascii="Times New Roman" w:eastAsia="Times New Roman" w:hAnsi="Times New Roman" w:cs="Times New Roman"/>
                <w:color w:val="000000"/>
                <w:kern w:val="0"/>
                <w:sz w:val="28"/>
                <w:szCs w:val="28"/>
                <w:lang w:eastAsia="en-IN"/>
                <w14:ligatures w14:val="none"/>
              </w:rPr>
              <w:t>408.2</w:t>
            </w:r>
          </w:p>
        </w:tc>
        <w:tc>
          <w:tcPr>
            <w:tcW w:w="1263" w:type="dxa"/>
            <w:tcBorders>
              <w:top w:val="nil"/>
              <w:left w:val="nil"/>
              <w:bottom w:val="single" w:sz="4" w:space="0" w:color="auto"/>
              <w:right w:val="single" w:sz="4" w:space="0" w:color="auto"/>
            </w:tcBorders>
            <w:vAlign w:val="center"/>
            <w:hideMark/>
          </w:tcPr>
          <w:p w14:paraId="71BEB864" w14:textId="77777777" w:rsidR="005F3655" w:rsidRPr="005F3655" w:rsidRDefault="005F3655" w:rsidP="005F3655">
            <w:pPr>
              <w:spacing w:after="0" w:line="240" w:lineRule="auto"/>
              <w:jc w:val="center"/>
              <w:rPr>
                <w:rFonts w:ascii="Times New Roman" w:eastAsia="Times New Roman" w:hAnsi="Times New Roman" w:cs="Times New Roman"/>
                <w:color w:val="000000"/>
                <w:kern w:val="0"/>
                <w:sz w:val="28"/>
                <w:szCs w:val="28"/>
                <w:lang w:eastAsia="en-IN"/>
                <w14:ligatures w14:val="none"/>
              </w:rPr>
            </w:pPr>
            <w:r w:rsidRPr="005F3655">
              <w:rPr>
                <w:rFonts w:ascii="Times New Roman" w:eastAsia="Times New Roman" w:hAnsi="Times New Roman" w:cs="Times New Roman"/>
                <w:color w:val="000000"/>
                <w:kern w:val="0"/>
                <w:sz w:val="28"/>
                <w:szCs w:val="28"/>
                <w:lang w:eastAsia="en-IN"/>
                <w14:ligatures w14:val="none"/>
              </w:rPr>
              <w:t>47.3</w:t>
            </w:r>
          </w:p>
        </w:tc>
        <w:tc>
          <w:tcPr>
            <w:tcW w:w="1550" w:type="dxa"/>
            <w:tcBorders>
              <w:top w:val="nil"/>
              <w:left w:val="nil"/>
              <w:bottom w:val="single" w:sz="4" w:space="0" w:color="auto"/>
              <w:right w:val="single" w:sz="4" w:space="0" w:color="auto"/>
            </w:tcBorders>
            <w:vAlign w:val="center"/>
            <w:hideMark/>
          </w:tcPr>
          <w:p w14:paraId="3CB4B609" w14:textId="77777777" w:rsidR="005F3655" w:rsidRPr="005F3655" w:rsidRDefault="005F3655" w:rsidP="005F3655">
            <w:pPr>
              <w:spacing w:after="0" w:line="240" w:lineRule="auto"/>
              <w:jc w:val="center"/>
              <w:rPr>
                <w:rFonts w:ascii="Times New Roman" w:eastAsia="Times New Roman" w:hAnsi="Times New Roman" w:cs="Times New Roman"/>
                <w:color w:val="000000"/>
                <w:kern w:val="0"/>
                <w:sz w:val="28"/>
                <w:szCs w:val="28"/>
                <w:lang w:eastAsia="en-IN"/>
                <w14:ligatures w14:val="none"/>
              </w:rPr>
            </w:pPr>
            <w:r w:rsidRPr="005F3655">
              <w:rPr>
                <w:rFonts w:ascii="Times New Roman" w:eastAsia="Times New Roman" w:hAnsi="Times New Roman" w:cs="Times New Roman"/>
                <w:color w:val="000000"/>
                <w:kern w:val="0"/>
                <w:sz w:val="28"/>
                <w:szCs w:val="28"/>
                <w:lang w:eastAsia="en-IN"/>
                <w14:ligatures w14:val="none"/>
              </w:rPr>
              <w:t>1854</w:t>
            </w:r>
          </w:p>
        </w:tc>
        <w:tc>
          <w:tcPr>
            <w:tcW w:w="1331" w:type="dxa"/>
            <w:tcBorders>
              <w:top w:val="nil"/>
              <w:left w:val="nil"/>
              <w:bottom w:val="single" w:sz="4" w:space="0" w:color="auto"/>
              <w:right w:val="single" w:sz="4" w:space="0" w:color="auto"/>
            </w:tcBorders>
            <w:vAlign w:val="center"/>
            <w:hideMark/>
          </w:tcPr>
          <w:p w14:paraId="7BB84BB6" w14:textId="77777777" w:rsidR="005F3655" w:rsidRPr="005F3655" w:rsidRDefault="005F3655" w:rsidP="005F3655">
            <w:pPr>
              <w:spacing w:after="0" w:line="240" w:lineRule="auto"/>
              <w:jc w:val="center"/>
              <w:rPr>
                <w:rFonts w:ascii="Times New Roman" w:eastAsia="Times New Roman" w:hAnsi="Times New Roman" w:cs="Times New Roman"/>
                <w:color w:val="000000"/>
                <w:kern w:val="0"/>
                <w:sz w:val="28"/>
                <w:szCs w:val="28"/>
                <w:lang w:eastAsia="en-IN"/>
                <w14:ligatures w14:val="none"/>
              </w:rPr>
            </w:pPr>
            <w:r w:rsidRPr="005F3655">
              <w:rPr>
                <w:rFonts w:ascii="Times New Roman" w:eastAsia="Times New Roman" w:hAnsi="Times New Roman" w:cs="Times New Roman"/>
                <w:color w:val="000000"/>
                <w:kern w:val="0"/>
                <w:sz w:val="28"/>
                <w:szCs w:val="28"/>
                <w:lang w:eastAsia="en-IN"/>
                <w14:ligatures w14:val="none"/>
              </w:rPr>
              <w:t>128.2</w:t>
            </w:r>
          </w:p>
        </w:tc>
        <w:tc>
          <w:tcPr>
            <w:tcW w:w="1483" w:type="dxa"/>
            <w:tcBorders>
              <w:top w:val="nil"/>
              <w:left w:val="nil"/>
              <w:bottom w:val="single" w:sz="4" w:space="0" w:color="auto"/>
              <w:right w:val="single" w:sz="4" w:space="0" w:color="auto"/>
            </w:tcBorders>
            <w:vAlign w:val="center"/>
            <w:hideMark/>
          </w:tcPr>
          <w:p w14:paraId="683D7A27" w14:textId="77777777" w:rsidR="005F3655" w:rsidRPr="005F3655" w:rsidRDefault="005F3655" w:rsidP="005F3655">
            <w:pPr>
              <w:spacing w:after="0" w:line="240" w:lineRule="auto"/>
              <w:jc w:val="center"/>
              <w:rPr>
                <w:rFonts w:ascii="Times New Roman" w:eastAsia="Times New Roman" w:hAnsi="Times New Roman" w:cs="Times New Roman"/>
                <w:color w:val="000000"/>
                <w:kern w:val="0"/>
                <w:sz w:val="28"/>
                <w:szCs w:val="28"/>
                <w:lang w:eastAsia="en-IN"/>
                <w14:ligatures w14:val="none"/>
              </w:rPr>
            </w:pPr>
            <w:r w:rsidRPr="005F3655">
              <w:rPr>
                <w:rFonts w:ascii="Times New Roman" w:eastAsia="Times New Roman" w:hAnsi="Times New Roman" w:cs="Times New Roman"/>
                <w:color w:val="000000"/>
                <w:kern w:val="0"/>
                <w:sz w:val="28"/>
                <w:szCs w:val="28"/>
                <w:lang w:eastAsia="en-IN"/>
                <w14:ligatures w14:val="none"/>
              </w:rPr>
              <w:t>142</w:t>
            </w:r>
          </w:p>
        </w:tc>
      </w:tr>
      <w:tr w:rsidR="005F3655" w:rsidRPr="005F3655" w14:paraId="33A1CDA6" w14:textId="77777777" w:rsidTr="005F3655">
        <w:trPr>
          <w:trHeight w:val="20"/>
        </w:trPr>
        <w:tc>
          <w:tcPr>
            <w:tcW w:w="1752" w:type="dxa"/>
            <w:tcBorders>
              <w:top w:val="nil"/>
              <w:left w:val="single" w:sz="4" w:space="0" w:color="auto"/>
              <w:bottom w:val="single" w:sz="4" w:space="0" w:color="auto"/>
              <w:right w:val="single" w:sz="4" w:space="0" w:color="auto"/>
            </w:tcBorders>
            <w:vAlign w:val="center"/>
            <w:hideMark/>
          </w:tcPr>
          <w:p w14:paraId="1B410BC6" w14:textId="77777777" w:rsidR="005F3655" w:rsidRPr="005F3655" w:rsidRDefault="005F3655" w:rsidP="005F3655">
            <w:pPr>
              <w:spacing w:after="0" w:line="240" w:lineRule="auto"/>
              <w:rPr>
                <w:rFonts w:ascii="Times New Roman" w:eastAsia="Times New Roman" w:hAnsi="Times New Roman" w:cs="Times New Roman"/>
                <w:color w:val="000000"/>
                <w:kern w:val="0"/>
                <w:sz w:val="28"/>
                <w:szCs w:val="28"/>
                <w:lang w:eastAsia="en-IN"/>
                <w14:ligatures w14:val="none"/>
              </w:rPr>
            </w:pPr>
            <w:r w:rsidRPr="005F3655">
              <w:rPr>
                <w:rFonts w:ascii="Times New Roman" w:eastAsia="Times New Roman" w:hAnsi="Times New Roman" w:cs="Times New Roman"/>
                <w:color w:val="000000"/>
                <w:kern w:val="0"/>
                <w:sz w:val="28"/>
                <w:szCs w:val="28"/>
                <w:lang w:eastAsia="en-IN"/>
                <w14:ligatures w14:val="none"/>
              </w:rPr>
              <w:t>Union Territories</w:t>
            </w:r>
          </w:p>
        </w:tc>
        <w:tc>
          <w:tcPr>
            <w:tcW w:w="2040" w:type="dxa"/>
            <w:tcBorders>
              <w:top w:val="nil"/>
              <w:left w:val="nil"/>
              <w:bottom w:val="single" w:sz="4" w:space="0" w:color="auto"/>
              <w:right w:val="single" w:sz="4" w:space="0" w:color="auto"/>
            </w:tcBorders>
            <w:vAlign w:val="center"/>
            <w:hideMark/>
          </w:tcPr>
          <w:p w14:paraId="296D6B25" w14:textId="77777777" w:rsidR="005F3655" w:rsidRPr="005F3655" w:rsidRDefault="005F3655" w:rsidP="005F3655">
            <w:pPr>
              <w:spacing w:after="0" w:line="240" w:lineRule="auto"/>
              <w:jc w:val="center"/>
              <w:rPr>
                <w:rFonts w:ascii="Times New Roman" w:eastAsia="Times New Roman" w:hAnsi="Times New Roman" w:cs="Times New Roman"/>
                <w:color w:val="000000"/>
                <w:kern w:val="0"/>
                <w:sz w:val="28"/>
                <w:szCs w:val="28"/>
                <w:lang w:eastAsia="en-IN"/>
                <w14:ligatures w14:val="none"/>
              </w:rPr>
            </w:pPr>
            <w:r w:rsidRPr="005F3655">
              <w:rPr>
                <w:rFonts w:ascii="Times New Roman" w:eastAsia="Times New Roman" w:hAnsi="Times New Roman" w:cs="Times New Roman"/>
                <w:color w:val="000000"/>
                <w:kern w:val="0"/>
                <w:sz w:val="28"/>
                <w:szCs w:val="28"/>
                <w:lang w:eastAsia="en-IN"/>
                <w14:ligatures w14:val="none"/>
              </w:rPr>
              <w:t>2.74</w:t>
            </w:r>
          </w:p>
        </w:tc>
        <w:tc>
          <w:tcPr>
            <w:tcW w:w="2040" w:type="dxa"/>
            <w:tcBorders>
              <w:top w:val="nil"/>
              <w:left w:val="nil"/>
              <w:bottom w:val="single" w:sz="4" w:space="0" w:color="auto"/>
              <w:right w:val="single" w:sz="4" w:space="0" w:color="auto"/>
            </w:tcBorders>
            <w:vAlign w:val="center"/>
            <w:hideMark/>
          </w:tcPr>
          <w:p w14:paraId="65B43777" w14:textId="77777777" w:rsidR="005F3655" w:rsidRPr="005F3655" w:rsidRDefault="005F3655" w:rsidP="005F3655">
            <w:pPr>
              <w:spacing w:after="0" w:line="240" w:lineRule="auto"/>
              <w:jc w:val="center"/>
              <w:rPr>
                <w:rFonts w:ascii="Times New Roman" w:eastAsia="Times New Roman" w:hAnsi="Times New Roman" w:cs="Times New Roman"/>
                <w:color w:val="000000"/>
                <w:kern w:val="0"/>
                <w:sz w:val="28"/>
                <w:szCs w:val="28"/>
                <w:lang w:eastAsia="en-IN"/>
                <w14:ligatures w14:val="none"/>
              </w:rPr>
            </w:pPr>
            <w:r w:rsidRPr="005F3655">
              <w:rPr>
                <w:rFonts w:ascii="Times New Roman" w:eastAsia="Times New Roman" w:hAnsi="Times New Roman" w:cs="Times New Roman"/>
                <w:color w:val="000000"/>
                <w:kern w:val="0"/>
                <w:sz w:val="28"/>
                <w:szCs w:val="28"/>
                <w:lang w:eastAsia="en-IN"/>
                <w14:ligatures w14:val="none"/>
              </w:rPr>
              <w:t>3.19</w:t>
            </w:r>
          </w:p>
        </w:tc>
        <w:tc>
          <w:tcPr>
            <w:tcW w:w="2040" w:type="dxa"/>
            <w:tcBorders>
              <w:top w:val="nil"/>
              <w:left w:val="nil"/>
              <w:bottom w:val="single" w:sz="4" w:space="0" w:color="auto"/>
              <w:right w:val="single" w:sz="4" w:space="0" w:color="auto"/>
            </w:tcBorders>
            <w:vAlign w:val="center"/>
            <w:hideMark/>
          </w:tcPr>
          <w:p w14:paraId="4DC0C5F1" w14:textId="77777777" w:rsidR="005F3655" w:rsidRPr="005F3655" w:rsidRDefault="005F3655" w:rsidP="005F3655">
            <w:pPr>
              <w:spacing w:after="0" w:line="240" w:lineRule="auto"/>
              <w:jc w:val="center"/>
              <w:rPr>
                <w:rFonts w:ascii="Times New Roman" w:eastAsia="Times New Roman" w:hAnsi="Times New Roman" w:cs="Times New Roman"/>
                <w:color w:val="000000"/>
                <w:kern w:val="0"/>
                <w:sz w:val="28"/>
                <w:szCs w:val="28"/>
                <w:lang w:eastAsia="en-IN"/>
                <w14:ligatures w14:val="none"/>
              </w:rPr>
            </w:pPr>
            <w:r w:rsidRPr="005F3655">
              <w:rPr>
                <w:rFonts w:ascii="Times New Roman" w:eastAsia="Times New Roman" w:hAnsi="Times New Roman" w:cs="Times New Roman"/>
                <w:color w:val="000000"/>
                <w:kern w:val="0"/>
                <w:sz w:val="28"/>
                <w:szCs w:val="28"/>
                <w:lang w:eastAsia="en-IN"/>
                <w14:ligatures w14:val="none"/>
              </w:rPr>
              <w:t>1.03</w:t>
            </w:r>
          </w:p>
        </w:tc>
        <w:tc>
          <w:tcPr>
            <w:tcW w:w="1111" w:type="dxa"/>
            <w:tcBorders>
              <w:top w:val="nil"/>
              <w:left w:val="nil"/>
              <w:bottom w:val="single" w:sz="4" w:space="0" w:color="auto"/>
              <w:right w:val="single" w:sz="4" w:space="0" w:color="auto"/>
            </w:tcBorders>
            <w:vAlign w:val="center"/>
            <w:hideMark/>
          </w:tcPr>
          <w:p w14:paraId="77769619" w14:textId="77777777" w:rsidR="005F3655" w:rsidRPr="005F3655" w:rsidRDefault="005F3655" w:rsidP="005F3655">
            <w:pPr>
              <w:spacing w:after="0" w:line="240" w:lineRule="auto"/>
              <w:jc w:val="center"/>
              <w:rPr>
                <w:rFonts w:ascii="Times New Roman" w:eastAsia="Times New Roman" w:hAnsi="Times New Roman" w:cs="Times New Roman"/>
                <w:color w:val="000000"/>
                <w:kern w:val="0"/>
                <w:sz w:val="28"/>
                <w:szCs w:val="28"/>
                <w:lang w:eastAsia="en-IN"/>
                <w14:ligatures w14:val="none"/>
              </w:rPr>
            </w:pPr>
            <w:r w:rsidRPr="005F3655">
              <w:rPr>
                <w:rFonts w:ascii="Times New Roman" w:eastAsia="Times New Roman" w:hAnsi="Times New Roman" w:cs="Times New Roman"/>
                <w:color w:val="000000"/>
                <w:kern w:val="0"/>
                <w:sz w:val="28"/>
                <w:szCs w:val="28"/>
                <w:lang w:eastAsia="en-IN"/>
                <w14:ligatures w14:val="none"/>
              </w:rPr>
              <w:t>0.8</w:t>
            </w:r>
          </w:p>
        </w:tc>
        <w:tc>
          <w:tcPr>
            <w:tcW w:w="1263" w:type="dxa"/>
            <w:tcBorders>
              <w:top w:val="nil"/>
              <w:left w:val="nil"/>
              <w:bottom w:val="single" w:sz="4" w:space="0" w:color="auto"/>
              <w:right w:val="single" w:sz="4" w:space="0" w:color="auto"/>
            </w:tcBorders>
            <w:vAlign w:val="center"/>
            <w:hideMark/>
          </w:tcPr>
          <w:p w14:paraId="1B693E56" w14:textId="77777777" w:rsidR="005F3655" w:rsidRPr="005F3655" w:rsidRDefault="005F3655" w:rsidP="005F3655">
            <w:pPr>
              <w:spacing w:after="0" w:line="240" w:lineRule="auto"/>
              <w:jc w:val="center"/>
              <w:rPr>
                <w:rFonts w:ascii="Times New Roman" w:eastAsia="Times New Roman" w:hAnsi="Times New Roman" w:cs="Times New Roman"/>
                <w:color w:val="000000"/>
                <w:kern w:val="0"/>
                <w:sz w:val="28"/>
                <w:szCs w:val="28"/>
                <w:lang w:eastAsia="en-IN"/>
                <w14:ligatures w14:val="none"/>
              </w:rPr>
            </w:pPr>
            <w:r w:rsidRPr="005F3655">
              <w:rPr>
                <w:rFonts w:ascii="Times New Roman" w:eastAsia="Times New Roman" w:hAnsi="Times New Roman" w:cs="Times New Roman"/>
                <w:color w:val="000000"/>
                <w:kern w:val="0"/>
                <w:sz w:val="28"/>
                <w:szCs w:val="28"/>
                <w:lang w:eastAsia="en-IN"/>
                <w14:ligatures w14:val="none"/>
              </w:rPr>
              <w:t>0.7</w:t>
            </w:r>
          </w:p>
        </w:tc>
        <w:tc>
          <w:tcPr>
            <w:tcW w:w="1550" w:type="dxa"/>
            <w:tcBorders>
              <w:top w:val="nil"/>
              <w:left w:val="nil"/>
              <w:bottom w:val="single" w:sz="4" w:space="0" w:color="auto"/>
              <w:right w:val="single" w:sz="4" w:space="0" w:color="auto"/>
            </w:tcBorders>
            <w:vAlign w:val="center"/>
            <w:hideMark/>
          </w:tcPr>
          <w:p w14:paraId="2F892975" w14:textId="77777777" w:rsidR="005F3655" w:rsidRPr="005F3655" w:rsidRDefault="005F3655" w:rsidP="005F3655">
            <w:pPr>
              <w:spacing w:after="0" w:line="240" w:lineRule="auto"/>
              <w:jc w:val="center"/>
              <w:rPr>
                <w:rFonts w:ascii="Times New Roman" w:eastAsia="Times New Roman" w:hAnsi="Times New Roman" w:cs="Times New Roman"/>
                <w:color w:val="000000"/>
                <w:kern w:val="0"/>
                <w:sz w:val="28"/>
                <w:szCs w:val="28"/>
                <w:lang w:eastAsia="en-IN"/>
                <w14:ligatures w14:val="none"/>
              </w:rPr>
            </w:pPr>
            <w:r w:rsidRPr="005F3655">
              <w:rPr>
                <w:rFonts w:ascii="Times New Roman" w:eastAsia="Times New Roman" w:hAnsi="Times New Roman" w:cs="Times New Roman"/>
                <w:color w:val="000000"/>
                <w:kern w:val="0"/>
                <w:sz w:val="28"/>
                <w:szCs w:val="28"/>
                <w:lang w:eastAsia="en-IN"/>
                <w14:ligatures w14:val="none"/>
              </w:rPr>
              <w:t>260</w:t>
            </w:r>
          </w:p>
        </w:tc>
        <w:tc>
          <w:tcPr>
            <w:tcW w:w="1331" w:type="dxa"/>
            <w:tcBorders>
              <w:top w:val="nil"/>
              <w:left w:val="nil"/>
              <w:bottom w:val="single" w:sz="4" w:space="0" w:color="auto"/>
              <w:right w:val="single" w:sz="4" w:space="0" w:color="auto"/>
            </w:tcBorders>
            <w:vAlign w:val="center"/>
            <w:hideMark/>
          </w:tcPr>
          <w:p w14:paraId="3C083A88" w14:textId="77777777" w:rsidR="005F3655" w:rsidRPr="005F3655" w:rsidRDefault="005F3655" w:rsidP="005F3655">
            <w:pPr>
              <w:spacing w:after="0" w:line="240" w:lineRule="auto"/>
              <w:jc w:val="center"/>
              <w:rPr>
                <w:rFonts w:ascii="Times New Roman" w:eastAsia="Times New Roman" w:hAnsi="Times New Roman" w:cs="Times New Roman"/>
                <w:color w:val="000000"/>
                <w:kern w:val="0"/>
                <w:sz w:val="28"/>
                <w:szCs w:val="28"/>
                <w:lang w:eastAsia="en-IN"/>
                <w14:ligatures w14:val="none"/>
              </w:rPr>
            </w:pPr>
            <w:r w:rsidRPr="005F3655">
              <w:rPr>
                <w:rFonts w:ascii="Times New Roman" w:eastAsia="Times New Roman" w:hAnsi="Times New Roman" w:cs="Times New Roman"/>
                <w:color w:val="000000"/>
                <w:kern w:val="0"/>
                <w:sz w:val="28"/>
                <w:szCs w:val="28"/>
                <w:lang w:eastAsia="en-IN"/>
                <w14:ligatures w14:val="none"/>
              </w:rPr>
              <w:t>72.1</w:t>
            </w:r>
          </w:p>
        </w:tc>
        <w:tc>
          <w:tcPr>
            <w:tcW w:w="1483" w:type="dxa"/>
            <w:tcBorders>
              <w:top w:val="nil"/>
              <w:left w:val="nil"/>
              <w:bottom w:val="single" w:sz="4" w:space="0" w:color="auto"/>
              <w:right w:val="single" w:sz="4" w:space="0" w:color="auto"/>
            </w:tcBorders>
            <w:vAlign w:val="center"/>
            <w:hideMark/>
          </w:tcPr>
          <w:p w14:paraId="22BA42C2" w14:textId="77777777" w:rsidR="005F3655" w:rsidRPr="005F3655" w:rsidRDefault="005F3655" w:rsidP="005F3655">
            <w:pPr>
              <w:spacing w:after="0" w:line="240" w:lineRule="auto"/>
              <w:jc w:val="center"/>
              <w:rPr>
                <w:rFonts w:ascii="Times New Roman" w:eastAsia="Times New Roman" w:hAnsi="Times New Roman" w:cs="Times New Roman"/>
                <w:color w:val="000000"/>
                <w:kern w:val="0"/>
                <w:sz w:val="28"/>
                <w:szCs w:val="28"/>
                <w:lang w:eastAsia="en-IN"/>
                <w14:ligatures w14:val="none"/>
              </w:rPr>
            </w:pPr>
            <w:r w:rsidRPr="005F3655">
              <w:rPr>
                <w:rFonts w:ascii="Times New Roman" w:eastAsia="Times New Roman" w:hAnsi="Times New Roman" w:cs="Times New Roman"/>
                <w:color w:val="000000"/>
                <w:kern w:val="0"/>
                <w:sz w:val="28"/>
                <w:szCs w:val="28"/>
                <w:lang w:eastAsia="en-IN"/>
                <w14:ligatures w14:val="none"/>
              </w:rPr>
              <w:t>50</w:t>
            </w:r>
          </w:p>
        </w:tc>
      </w:tr>
      <w:tr w:rsidR="005F3655" w:rsidRPr="005F3655" w14:paraId="438E0CDC" w14:textId="77777777" w:rsidTr="005F3655">
        <w:trPr>
          <w:trHeight w:val="20"/>
        </w:trPr>
        <w:tc>
          <w:tcPr>
            <w:tcW w:w="1752" w:type="dxa"/>
            <w:tcBorders>
              <w:top w:val="nil"/>
              <w:left w:val="single" w:sz="4" w:space="0" w:color="auto"/>
              <w:bottom w:val="single" w:sz="4" w:space="0" w:color="auto"/>
              <w:right w:val="single" w:sz="4" w:space="0" w:color="auto"/>
            </w:tcBorders>
            <w:vAlign w:val="center"/>
            <w:hideMark/>
          </w:tcPr>
          <w:p w14:paraId="615B1971" w14:textId="77777777" w:rsidR="005F3655" w:rsidRPr="005F3655" w:rsidRDefault="005F3655" w:rsidP="005F3655">
            <w:pPr>
              <w:spacing w:after="0" w:line="240" w:lineRule="auto"/>
              <w:rPr>
                <w:rFonts w:ascii="Times New Roman" w:eastAsia="Times New Roman" w:hAnsi="Times New Roman" w:cs="Times New Roman"/>
                <w:b/>
                <w:bCs/>
                <w:color w:val="000000"/>
                <w:kern w:val="0"/>
                <w:sz w:val="28"/>
                <w:szCs w:val="28"/>
                <w:lang w:eastAsia="en-IN"/>
                <w14:ligatures w14:val="none"/>
              </w:rPr>
            </w:pPr>
            <w:r w:rsidRPr="005F3655">
              <w:rPr>
                <w:rFonts w:ascii="Times New Roman" w:eastAsia="Times New Roman" w:hAnsi="Times New Roman" w:cs="Times New Roman"/>
                <w:b/>
                <w:bCs/>
                <w:color w:val="000000"/>
                <w:kern w:val="0"/>
                <w:sz w:val="28"/>
                <w:szCs w:val="28"/>
                <w:lang w:eastAsia="en-IN"/>
                <w14:ligatures w14:val="none"/>
              </w:rPr>
              <w:t>TOTAL</w:t>
            </w:r>
          </w:p>
        </w:tc>
        <w:tc>
          <w:tcPr>
            <w:tcW w:w="2040" w:type="dxa"/>
            <w:tcBorders>
              <w:top w:val="nil"/>
              <w:left w:val="nil"/>
              <w:bottom w:val="single" w:sz="4" w:space="0" w:color="auto"/>
              <w:right w:val="single" w:sz="4" w:space="0" w:color="auto"/>
            </w:tcBorders>
            <w:vAlign w:val="center"/>
            <w:hideMark/>
          </w:tcPr>
          <w:p w14:paraId="7EEBF078" w14:textId="77777777" w:rsidR="005F3655" w:rsidRPr="005F3655" w:rsidRDefault="005F3655" w:rsidP="005F3655">
            <w:pPr>
              <w:spacing w:after="0" w:line="240" w:lineRule="auto"/>
              <w:jc w:val="center"/>
              <w:rPr>
                <w:rFonts w:ascii="Times New Roman" w:eastAsia="Times New Roman" w:hAnsi="Times New Roman" w:cs="Times New Roman"/>
                <w:b/>
                <w:bCs/>
                <w:color w:val="000000"/>
                <w:kern w:val="0"/>
                <w:sz w:val="28"/>
                <w:szCs w:val="28"/>
                <w:lang w:eastAsia="en-IN"/>
                <w14:ligatures w14:val="none"/>
              </w:rPr>
            </w:pPr>
            <w:r w:rsidRPr="005F3655">
              <w:rPr>
                <w:rFonts w:ascii="Times New Roman" w:eastAsia="Times New Roman" w:hAnsi="Times New Roman" w:cs="Times New Roman"/>
                <w:b/>
                <w:bCs/>
                <w:color w:val="000000"/>
                <w:kern w:val="0"/>
                <w:sz w:val="28"/>
                <w:szCs w:val="28"/>
                <w:lang w:eastAsia="en-IN"/>
                <w14:ligatures w14:val="none"/>
              </w:rPr>
              <w:t>163.8</w:t>
            </w:r>
          </w:p>
        </w:tc>
        <w:tc>
          <w:tcPr>
            <w:tcW w:w="2040" w:type="dxa"/>
            <w:tcBorders>
              <w:top w:val="nil"/>
              <w:left w:val="nil"/>
              <w:bottom w:val="single" w:sz="4" w:space="0" w:color="auto"/>
              <w:right w:val="single" w:sz="4" w:space="0" w:color="auto"/>
            </w:tcBorders>
            <w:vAlign w:val="center"/>
            <w:hideMark/>
          </w:tcPr>
          <w:p w14:paraId="3C75256D" w14:textId="77777777" w:rsidR="005F3655" w:rsidRPr="005F3655" w:rsidRDefault="005F3655" w:rsidP="005F3655">
            <w:pPr>
              <w:spacing w:after="0" w:line="240" w:lineRule="auto"/>
              <w:jc w:val="center"/>
              <w:rPr>
                <w:rFonts w:ascii="Times New Roman" w:eastAsia="Times New Roman" w:hAnsi="Times New Roman" w:cs="Times New Roman"/>
                <w:b/>
                <w:bCs/>
                <w:color w:val="000000"/>
                <w:kern w:val="0"/>
                <w:sz w:val="28"/>
                <w:szCs w:val="28"/>
                <w:lang w:eastAsia="en-IN"/>
                <w14:ligatures w14:val="none"/>
              </w:rPr>
            </w:pPr>
            <w:r w:rsidRPr="005F3655">
              <w:rPr>
                <w:rFonts w:ascii="Times New Roman" w:eastAsia="Times New Roman" w:hAnsi="Times New Roman" w:cs="Times New Roman"/>
                <w:b/>
                <w:bCs/>
                <w:color w:val="000000"/>
                <w:kern w:val="0"/>
                <w:sz w:val="28"/>
                <w:szCs w:val="28"/>
                <w:lang w:eastAsia="en-IN"/>
                <w14:ligatures w14:val="none"/>
              </w:rPr>
              <w:t>236.5</w:t>
            </w:r>
          </w:p>
        </w:tc>
        <w:tc>
          <w:tcPr>
            <w:tcW w:w="2040" w:type="dxa"/>
            <w:tcBorders>
              <w:top w:val="nil"/>
              <w:left w:val="nil"/>
              <w:bottom w:val="single" w:sz="4" w:space="0" w:color="auto"/>
              <w:right w:val="single" w:sz="4" w:space="0" w:color="auto"/>
            </w:tcBorders>
            <w:vAlign w:val="center"/>
            <w:hideMark/>
          </w:tcPr>
          <w:p w14:paraId="7529ADEC" w14:textId="77777777" w:rsidR="005F3655" w:rsidRPr="005F3655" w:rsidRDefault="005F3655" w:rsidP="005F3655">
            <w:pPr>
              <w:spacing w:after="0" w:line="240" w:lineRule="auto"/>
              <w:jc w:val="center"/>
              <w:rPr>
                <w:rFonts w:ascii="Times New Roman" w:eastAsia="Times New Roman" w:hAnsi="Times New Roman" w:cs="Times New Roman"/>
                <w:b/>
                <w:bCs/>
                <w:color w:val="000000"/>
                <w:kern w:val="0"/>
                <w:sz w:val="28"/>
                <w:szCs w:val="28"/>
                <w:lang w:eastAsia="en-IN"/>
                <w14:ligatures w14:val="none"/>
              </w:rPr>
            </w:pPr>
            <w:r w:rsidRPr="005F3655">
              <w:rPr>
                <w:rFonts w:ascii="Times New Roman" w:eastAsia="Times New Roman" w:hAnsi="Times New Roman" w:cs="Times New Roman"/>
                <w:b/>
                <w:bCs/>
                <w:color w:val="000000"/>
                <w:kern w:val="0"/>
                <w:sz w:val="28"/>
                <w:szCs w:val="28"/>
                <w:lang w:eastAsia="en-IN"/>
                <w14:ligatures w14:val="none"/>
              </w:rPr>
              <w:t>198</w:t>
            </w:r>
          </w:p>
        </w:tc>
        <w:tc>
          <w:tcPr>
            <w:tcW w:w="1111" w:type="dxa"/>
            <w:tcBorders>
              <w:top w:val="nil"/>
              <w:left w:val="nil"/>
              <w:bottom w:val="single" w:sz="4" w:space="0" w:color="auto"/>
              <w:right w:val="single" w:sz="4" w:space="0" w:color="auto"/>
            </w:tcBorders>
            <w:vAlign w:val="center"/>
            <w:hideMark/>
          </w:tcPr>
          <w:p w14:paraId="5B022314" w14:textId="77777777" w:rsidR="005F3655" w:rsidRPr="005F3655" w:rsidRDefault="005F3655" w:rsidP="005F3655">
            <w:pPr>
              <w:spacing w:after="0" w:line="240" w:lineRule="auto"/>
              <w:jc w:val="center"/>
              <w:rPr>
                <w:rFonts w:ascii="Times New Roman" w:eastAsia="Times New Roman" w:hAnsi="Times New Roman" w:cs="Times New Roman"/>
                <w:b/>
                <w:bCs/>
                <w:color w:val="000000"/>
                <w:kern w:val="0"/>
                <w:sz w:val="28"/>
                <w:szCs w:val="28"/>
                <w:lang w:eastAsia="en-IN"/>
                <w14:ligatures w14:val="none"/>
              </w:rPr>
            </w:pPr>
            <w:r w:rsidRPr="005F3655">
              <w:rPr>
                <w:rFonts w:ascii="Times New Roman" w:eastAsia="Times New Roman" w:hAnsi="Times New Roman" w:cs="Times New Roman"/>
                <w:b/>
                <w:bCs/>
                <w:color w:val="000000"/>
                <w:kern w:val="0"/>
                <w:sz w:val="28"/>
                <w:szCs w:val="28"/>
                <w:lang w:eastAsia="en-IN"/>
                <w14:ligatures w14:val="none"/>
              </w:rPr>
              <w:t>2450</w:t>
            </w:r>
          </w:p>
        </w:tc>
        <w:tc>
          <w:tcPr>
            <w:tcW w:w="1263" w:type="dxa"/>
            <w:tcBorders>
              <w:top w:val="nil"/>
              <w:left w:val="nil"/>
              <w:bottom w:val="single" w:sz="4" w:space="0" w:color="auto"/>
              <w:right w:val="single" w:sz="4" w:space="0" w:color="auto"/>
            </w:tcBorders>
            <w:vAlign w:val="center"/>
            <w:hideMark/>
          </w:tcPr>
          <w:p w14:paraId="7C08A947" w14:textId="77777777" w:rsidR="005F3655" w:rsidRPr="005F3655" w:rsidRDefault="005F3655" w:rsidP="005F3655">
            <w:pPr>
              <w:spacing w:after="0" w:line="240" w:lineRule="auto"/>
              <w:jc w:val="center"/>
              <w:rPr>
                <w:rFonts w:ascii="Times New Roman" w:eastAsia="Times New Roman" w:hAnsi="Times New Roman" w:cs="Times New Roman"/>
                <w:b/>
                <w:bCs/>
                <w:color w:val="000000"/>
                <w:kern w:val="0"/>
                <w:sz w:val="28"/>
                <w:szCs w:val="28"/>
                <w:lang w:eastAsia="en-IN"/>
                <w14:ligatures w14:val="none"/>
              </w:rPr>
            </w:pPr>
            <w:r w:rsidRPr="005F3655">
              <w:rPr>
                <w:rFonts w:ascii="Times New Roman" w:eastAsia="Times New Roman" w:hAnsi="Times New Roman" w:cs="Times New Roman"/>
                <w:b/>
                <w:bCs/>
                <w:color w:val="000000"/>
                <w:kern w:val="0"/>
                <w:sz w:val="28"/>
                <w:szCs w:val="28"/>
                <w:lang w:eastAsia="en-IN"/>
                <w14:ligatures w14:val="none"/>
              </w:rPr>
              <w:t>1501</w:t>
            </w:r>
          </w:p>
        </w:tc>
        <w:tc>
          <w:tcPr>
            <w:tcW w:w="1550" w:type="dxa"/>
            <w:tcBorders>
              <w:top w:val="nil"/>
              <w:left w:val="nil"/>
              <w:bottom w:val="single" w:sz="4" w:space="0" w:color="auto"/>
              <w:right w:val="single" w:sz="4" w:space="0" w:color="auto"/>
            </w:tcBorders>
            <w:vAlign w:val="center"/>
            <w:hideMark/>
          </w:tcPr>
          <w:p w14:paraId="73530206" w14:textId="77777777" w:rsidR="005F3655" w:rsidRPr="005F3655" w:rsidRDefault="005F3655" w:rsidP="005F3655">
            <w:pPr>
              <w:spacing w:after="0" w:line="240" w:lineRule="auto"/>
              <w:jc w:val="center"/>
              <w:rPr>
                <w:rFonts w:ascii="Times New Roman" w:eastAsia="Times New Roman" w:hAnsi="Times New Roman" w:cs="Times New Roman"/>
                <w:b/>
                <w:bCs/>
                <w:color w:val="000000"/>
                <w:kern w:val="0"/>
                <w:sz w:val="28"/>
                <w:szCs w:val="28"/>
                <w:lang w:eastAsia="en-IN"/>
                <w14:ligatures w14:val="none"/>
              </w:rPr>
            </w:pPr>
            <w:r w:rsidRPr="005F3655">
              <w:rPr>
                <w:rFonts w:ascii="Times New Roman" w:eastAsia="Times New Roman" w:hAnsi="Times New Roman" w:cs="Times New Roman"/>
                <w:b/>
                <w:bCs/>
                <w:color w:val="000000"/>
                <w:kern w:val="0"/>
                <w:sz w:val="28"/>
                <w:szCs w:val="28"/>
                <w:lang w:eastAsia="en-IN"/>
                <w14:ligatures w14:val="none"/>
              </w:rPr>
              <w:t>11268</w:t>
            </w:r>
          </w:p>
        </w:tc>
        <w:tc>
          <w:tcPr>
            <w:tcW w:w="1331" w:type="dxa"/>
            <w:tcBorders>
              <w:top w:val="nil"/>
              <w:left w:val="nil"/>
              <w:bottom w:val="single" w:sz="4" w:space="0" w:color="auto"/>
              <w:right w:val="single" w:sz="4" w:space="0" w:color="auto"/>
            </w:tcBorders>
            <w:vAlign w:val="center"/>
            <w:hideMark/>
          </w:tcPr>
          <w:p w14:paraId="52819C7C" w14:textId="77777777" w:rsidR="005F3655" w:rsidRPr="005F3655" w:rsidRDefault="005F3655" w:rsidP="005F3655">
            <w:pPr>
              <w:spacing w:after="0" w:line="240" w:lineRule="auto"/>
              <w:jc w:val="center"/>
              <w:rPr>
                <w:rFonts w:ascii="Times New Roman" w:eastAsia="Times New Roman" w:hAnsi="Times New Roman" w:cs="Times New Roman"/>
                <w:color w:val="000000"/>
                <w:kern w:val="0"/>
                <w:sz w:val="28"/>
                <w:szCs w:val="28"/>
                <w:lang w:eastAsia="en-IN"/>
                <w14:ligatures w14:val="none"/>
              </w:rPr>
            </w:pPr>
            <w:r w:rsidRPr="005F3655">
              <w:rPr>
                <w:rFonts w:ascii="Times New Roman" w:eastAsia="Times New Roman" w:hAnsi="Times New Roman" w:cs="Times New Roman"/>
                <w:color w:val="000000"/>
                <w:kern w:val="0"/>
                <w:sz w:val="28"/>
                <w:szCs w:val="28"/>
                <w:lang w:eastAsia="en-IN"/>
                <w14:ligatures w14:val="none"/>
              </w:rPr>
              <w:t>—</w:t>
            </w:r>
          </w:p>
        </w:tc>
        <w:tc>
          <w:tcPr>
            <w:tcW w:w="1483" w:type="dxa"/>
            <w:tcBorders>
              <w:top w:val="nil"/>
              <w:left w:val="nil"/>
              <w:bottom w:val="single" w:sz="4" w:space="0" w:color="auto"/>
              <w:right w:val="single" w:sz="4" w:space="0" w:color="auto"/>
            </w:tcBorders>
            <w:vAlign w:val="center"/>
            <w:hideMark/>
          </w:tcPr>
          <w:p w14:paraId="515D2813" w14:textId="77777777" w:rsidR="005F3655" w:rsidRPr="005F3655" w:rsidRDefault="005F3655" w:rsidP="005F3655">
            <w:pPr>
              <w:spacing w:after="0" w:line="240" w:lineRule="auto"/>
              <w:jc w:val="center"/>
              <w:rPr>
                <w:rFonts w:ascii="Times New Roman" w:eastAsia="Times New Roman" w:hAnsi="Times New Roman" w:cs="Times New Roman"/>
                <w:color w:val="000000"/>
                <w:kern w:val="0"/>
                <w:sz w:val="28"/>
                <w:szCs w:val="28"/>
                <w:lang w:eastAsia="en-IN"/>
                <w14:ligatures w14:val="none"/>
              </w:rPr>
            </w:pPr>
            <w:r w:rsidRPr="005F3655">
              <w:rPr>
                <w:rFonts w:ascii="Times New Roman" w:eastAsia="Times New Roman" w:hAnsi="Times New Roman" w:cs="Times New Roman"/>
                <w:color w:val="000000"/>
                <w:kern w:val="0"/>
                <w:sz w:val="28"/>
                <w:szCs w:val="28"/>
                <w:lang w:eastAsia="en-IN"/>
                <w14:ligatures w14:val="none"/>
              </w:rPr>
              <w:t>—</w:t>
            </w:r>
          </w:p>
        </w:tc>
      </w:tr>
    </w:tbl>
    <w:p w14:paraId="50DEC5E5" w14:textId="77777777" w:rsidR="00AA617D" w:rsidRPr="00AA617D" w:rsidRDefault="00AA617D" w:rsidP="00AA617D">
      <w:pPr>
        <w:pStyle w:val="NoSpacing"/>
        <w:rPr>
          <w:rFonts w:ascii="Times New Roman" w:hAnsi="Times New Roman" w:cs="Times New Roman"/>
          <w:sz w:val="20"/>
          <w:szCs w:val="18"/>
        </w:rPr>
      </w:pPr>
      <w:r w:rsidRPr="00AA617D">
        <w:rPr>
          <w:rFonts w:ascii="Times New Roman" w:hAnsi="Times New Roman" w:cs="Times New Roman"/>
          <w:sz w:val="20"/>
          <w:szCs w:val="18"/>
        </w:rPr>
        <w:t>Source: Report of the Kerala Taxation Enquiry Committee, 1969.</w:t>
      </w:r>
    </w:p>
    <w:p w14:paraId="0D5AB777" w14:textId="77777777" w:rsidR="00AA617D" w:rsidRPr="00AA617D" w:rsidRDefault="00AA617D" w:rsidP="00AA617D">
      <w:pPr>
        <w:pStyle w:val="NoSpacing"/>
        <w:rPr>
          <w:rFonts w:ascii="Times New Roman" w:hAnsi="Times New Roman" w:cs="Times New Roman"/>
          <w:sz w:val="20"/>
          <w:szCs w:val="18"/>
        </w:rPr>
      </w:pPr>
    </w:p>
    <w:p w14:paraId="31FF7D9C" w14:textId="6C3CF877" w:rsidR="00AA617D" w:rsidRPr="00AA617D" w:rsidRDefault="00AA617D" w:rsidP="00AA617D">
      <w:pPr>
        <w:pStyle w:val="NoSpacing"/>
        <w:rPr>
          <w:rFonts w:ascii="Times New Roman" w:hAnsi="Times New Roman" w:cs="Times New Roman"/>
          <w:sz w:val="20"/>
          <w:szCs w:val="18"/>
        </w:rPr>
        <w:sectPr w:rsidR="00AA617D" w:rsidRPr="00AA617D" w:rsidSect="00AA617D">
          <w:pgSz w:w="15840" w:h="12240" w:orient="landscape"/>
          <w:pgMar w:top="1440" w:right="1440" w:bottom="1440" w:left="709" w:header="720" w:footer="720" w:gutter="0"/>
          <w:cols w:space="720"/>
        </w:sectPr>
      </w:pPr>
      <w:r w:rsidRPr="00AA617D">
        <w:rPr>
          <w:rFonts w:ascii="Times New Roman" w:hAnsi="Times New Roman" w:cs="Times New Roman"/>
          <w:sz w:val="20"/>
          <w:szCs w:val="18"/>
        </w:rPr>
        <w:t>NOTE: It is gathered that the Government of India have also incurred capital expenditure amounting to Rs. 190 crores in all during 1951-68 for the development of major ports in India and they propose to invest a similar amount to complete the projects in hand. These investments will also add to the prosperity of the States in which the major ports are situated.</w:t>
      </w:r>
    </w:p>
    <w:p w14:paraId="6326E91A" w14:textId="2E14499C" w:rsidR="007248A5" w:rsidRPr="001B5187" w:rsidRDefault="007248A5" w:rsidP="001B5187">
      <w:pPr>
        <w:pStyle w:val="NoSpacing"/>
        <w:jc w:val="center"/>
        <w:rPr>
          <w:rFonts w:ascii="Times New Roman" w:hAnsi="Times New Roman" w:cs="Times New Roman"/>
          <w:i/>
          <w:iCs/>
          <w:sz w:val="28"/>
          <w:szCs w:val="22"/>
        </w:rPr>
      </w:pPr>
      <w:r w:rsidRPr="001B5187">
        <w:rPr>
          <w:rFonts w:ascii="Times New Roman" w:hAnsi="Times New Roman" w:cs="Times New Roman"/>
          <w:b/>
          <w:bCs/>
          <w:sz w:val="28"/>
          <w:szCs w:val="22"/>
        </w:rPr>
        <w:lastRenderedPageBreak/>
        <w:t xml:space="preserve">TABLE II </w:t>
      </w:r>
      <w:r w:rsidRPr="001B5187">
        <w:rPr>
          <w:rFonts w:ascii="Times New Roman" w:hAnsi="Times New Roman" w:cs="Times New Roman"/>
          <w:i/>
          <w:iCs/>
          <w:sz w:val="28"/>
          <w:szCs w:val="22"/>
        </w:rPr>
        <w:t>(annexed to the Minute by Shri Swaminathan)</w:t>
      </w:r>
    </w:p>
    <w:p w14:paraId="71DB2E42" w14:textId="4467913A" w:rsidR="007248A5" w:rsidRDefault="007248A5" w:rsidP="001B5187">
      <w:pPr>
        <w:pStyle w:val="NoSpacing"/>
        <w:jc w:val="center"/>
        <w:rPr>
          <w:rFonts w:ascii="Times New Roman" w:hAnsi="Times New Roman" w:cs="Times New Roman"/>
          <w:sz w:val="28"/>
          <w:szCs w:val="22"/>
        </w:rPr>
      </w:pPr>
      <w:r w:rsidRPr="001B5187">
        <w:rPr>
          <w:rFonts w:ascii="Times New Roman" w:hAnsi="Times New Roman" w:cs="Times New Roman"/>
          <w:sz w:val="28"/>
          <w:szCs w:val="22"/>
        </w:rPr>
        <w:t>Installed capacity (‘000 Kw.), new registration of companies and value added by manufacture for all the States and Union Territories</w:t>
      </w:r>
    </w:p>
    <w:p w14:paraId="1A7CF46E" w14:textId="77777777" w:rsidR="0077660A" w:rsidRPr="001B5187" w:rsidRDefault="0077660A" w:rsidP="001B5187">
      <w:pPr>
        <w:pStyle w:val="NoSpacing"/>
        <w:jc w:val="center"/>
        <w:rPr>
          <w:rFonts w:ascii="Times New Roman" w:hAnsi="Times New Roman" w:cs="Times New Roman"/>
          <w:sz w:val="28"/>
          <w:szCs w:val="22"/>
        </w:rPr>
      </w:pPr>
    </w:p>
    <w:tbl>
      <w:tblPr>
        <w:tblW w:w="10496" w:type="dxa"/>
        <w:tblInd w:w="-575" w:type="dxa"/>
        <w:tblLook w:val="04A0" w:firstRow="1" w:lastRow="0" w:firstColumn="1" w:lastColumn="0" w:noHBand="0" w:noVBand="1"/>
      </w:tblPr>
      <w:tblGrid>
        <w:gridCol w:w="1616"/>
        <w:gridCol w:w="1262"/>
        <w:gridCol w:w="1803"/>
        <w:gridCol w:w="1146"/>
        <w:gridCol w:w="1829"/>
        <w:gridCol w:w="1442"/>
        <w:gridCol w:w="1688"/>
      </w:tblGrid>
      <w:tr w:rsidR="007933DE" w:rsidRPr="001B5187" w14:paraId="6826F51A" w14:textId="77777777" w:rsidTr="007933DE">
        <w:trPr>
          <w:trHeight w:val="1184"/>
        </w:trPr>
        <w:tc>
          <w:tcPr>
            <w:tcW w:w="1326" w:type="dxa"/>
            <w:vMerge w:val="restart"/>
            <w:tcBorders>
              <w:top w:val="single" w:sz="4" w:space="0" w:color="auto"/>
              <w:left w:val="single" w:sz="4" w:space="0" w:color="auto"/>
              <w:bottom w:val="single" w:sz="4" w:space="0" w:color="auto"/>
              <w:right w:val="single" w:sz="4" w:space="0" w:color="auto"/>
            </w:tcBorders>
            <w:vAlign w:val="center"/>
            <w:hideMark/>
          </w:tcPr>
          <w:p w14:paraId="0BDFADDC" w14:textId="77777777" w:rsidR="007933DE" w:rsidRPr="001B5187" w:rsidRDefault="007933DE" w:rsidP="007933DE">
            <w:pPr>
              <w:spacing w:after="0" w:line="240" w:lineRule="auto"/>
              <w:jc w:val="center"/>
              <w:rPr>
                <w:rFonts w:ascii="Times New Roman" w:eastAsia="Times New Roman" w:hAnsi="Times New Roman" w:cs="Times New Roman"/>
                <w:b/>
                <w:bCs/>
                <w:color w:val="000000"/>
                <w:kern w:val="0"/>
                <w:sz w:val="28"/>
                <w:szCs w:val="28"/>
                <w:lang w:eastAsia="en-IN"/>
                <w14:ligatures w14:val="none"/>
              </w:rPr>
            </w:pPr>
            <w:r w:rsidRPr="001B5187">
              <w:rPr>
                <w:rFonts w:ascii="Times New Roman" w:eastAsia="Times New Roman" w:hAnsi="Times New Roman" w:cs="Times New Roman"/>
                <w:b/>
                <w:bCs/>
                <w:color w:val="000000"/>
                <w:kern w:val="0"/>
                <w:sz w:val="28"/>
                <w:szCs w:val="28"/>
                <w:lang w:eastAsia="en-IN"/>
                <w14:ligatures w14:val="none"/>
              </w:rPr>
              <w:t>States</w:t>
            </w:r>
          </w:p>
        </w:tc>
        <w:tc>
          <w:tcPr>
            <w:tcW w:w="3065" w:type="dxa"/>
            <w:gridSpan w:val="2"/>
            <w:tcBorders>
              <w:top w:val="single" w:sz="4" w:space="0" w:color="auto"/>
              <w:left w:val="nil"/>
              <w:bottom w:val="single" w:sz="4" w:space="0" w:color="auto"/>
              <w:right w:val="single" w:sz="4" w:space="0" w:color="auto"/>
            </w:tcBorders>
            <w:noWrap/>
            <w:vAlign w:val="center"/>
            <w:hideMark/>
          </w:tcPr>
          <w:p w14:paraId="1F1D8E8D" w14:textId="259DCCEA" w:rsidR="007933DE" w:rsidRPr="001B5187" w:rsidRDefault="007933DE" w:rsidP="007933DE">
            <w:pPr>
              <w:spacing w:after="0" w:line="240" w:lineRule="auto"/>
              <w:jc w:val="center"/>
              <w:rPr>
                <w:rFonts w:ascii="Times New Roman" w:eastAsia="Times New Roman" w:hAnsi="Times New Roman" w:cs="Times New Roman"/>
                <w:b/>
                <w:bCs/>
                <w:color w:val="000000"/>
                <w:kern w:val="0"/>
                <w:sz w:val="28"/>
                <w:szCs w:val="28"/>
                <w:lang w:eastAsia="en-IN"/>
                <w14:ligatures w14:val="none"/>
              </w:rPr>
            </w:pPr>
            <w:r w:rsidRPr="001B5187">
              <w:rPr>
                <w:rFonts w:ascii="Times New Roman" w:eastAsia="Times New Roman" w:hAnsi="Times New Roman" w:cs="Times New Roman"/>
                <w:b/>
                <w:bCs/>
                <w:color w:val="000000"/>
                <w:kern w:val="0"/>
                <w:sz w:val="28"/>
                <w:szCs w:val="28"/>
                <w:lang w:eastAsia="en-IN"/>
                <w14:ligatures w14:val="none"/>
              </w:rPr>
              <w:t>Installed capacity (‘000 Kw.) at the end of</w:t>
            </w:r>
            <w:r w:rsidR="005F3655">
              <w:rPr>
                <w:rFonts w:ascii="Times New Roman" w:eastAsia="Times New Roman" w:hAnsi="Times New Roman" w:cs="Times New Roman"/>
                <w:b/>
                <w:bCs/>
                <w:color w:val="000000"/>
                <w:kern w:val="0"/>
                <w:sz w:val="28"/>
                <w:szCs w:val="28"/>
                <w:lang w:eastAsia="en-IN"/>
                <w14:ligatures w14:val="none"/>
              </w:rPr>
              <w:t xml:space="preserve"> </w:t>
            </w:r>
          </w:p>
        </w:tc>
        <w:tc>
          <w:tcPr>
            <w:tcW w:w="2975" w:type="dxa"/>
            <w:gridSpan w:val="2"/>
            <w:tcBorders>
              <w:top w:val="single" w:sz="4" w:space="0" w:color="auto"/>
              <w:left w:val="nil"/>
              <w:bottom w:val="single" w:sz="4" w:space="0" w:color="auto"/>
              <w:right w:val="single" w:sz="4" w:space="0" w:color="auto"/>
            </w:tcBorders>
            <w:noWrap/>
            <w:vAlign w:val="center"/>
            <w:hideMark/>
          </w:tcPr>
          <w:p w14:paraId="4BF28D34" w14:textId="77777777" w:rsidR="007933DE" w:rsidRPr="001B5187" w:rsidRDefault="007933DE" w:rsidP="007933DE">
            <w:pPr>
              <w:spacing w:after="0" w:line="240" w:lineRule="auto"/>
              <w:jc w:val="center"/>
              <w:rPr>
                <w:rFonts w:ascii="Times New Roman" w:eastAsia="Times New Roman" w:hAnsi="Times New Roman" w:cs="Times New Roman"/>
                <w:b/>
                <w:bCs/>
                <w:color w:val="000000"/>
                <w:kern w:val="0"/>
                <w:sz w:val="28"/>
                <w:szCs w:val="28"/>
                <w:lang w:eastAsia="en-IN"/>
                <w14:ligatures w14:val="none"/>
              </w:rPr>
            </w:pPr>
            <w:r w:rsidRPr="001B5187">
              <w:rPr>
                <w:rFonts w:ascii="Times New Roman" w:eastAsia="Times New Roman" w:hAnsi="Times New Roman" w:cs="Times New Roman"/>
                <w:b/>
                <w:bCs/>
                <w:color w:val="000000"/>
                <w:kern w:val="0"/>
                <w:sz w:val="28"/>
                <w:szCs w:val="28"/>
                <w:lang w:eastAsia="en-IN"/>
                <w14:ligatures w14:val="none"/>
              </w:rPr>
              <w:t>New registration of companies (Rs. crores)</w:t>
            </w:r>
          </w:p>
        </w:tc>
        <w:tc>
          <w:tcPr>
            <w:tcW w:w="3130" w:type="dxa"/>
            <w:gridSpan w:val="2"/>
            <w:tcBorders>
              <w:top w:val="single" w:sz="4" w:space="0" w:color="auto"/>
              <w:left w:val="nil"/>
              <w:bottom w:val="single" w:sz="4" w:space="0" w:color="auto"/>
              <w:right w:val="single" w:sz="4" w:space="0" w:color="auto"/>
            </w:tcBorders>
            <w:noWrap/>
            <w:vAlign w:val="center"/>
            <w:hideMark/>
          </w:tcPr>
          <w:p w14:paraId="331FDB25" w14:textId="77777777" w:rsidR="007933DE" w:rsidRPr="001B5187" w:rsidRDefault="007933DE" w:rsidP="007933DE">
            <w:pPr>
              <w:spacing w:after="0" w:line="240" w:lineRule="auto"/>
              <w:jc w:val="center"/>
              <w:rPr>
                <w:rFonts w:ascii="Times New Roman" w:eastAsia="Times New Roman" w:hAnsi="Times New Roman" w:cs="Times New Roman"/>
                <w:b/>
                <w:bCs/>
                <w:color w:val="000000"/>
                <w:kern w:val="0"/>
                <w:sz w:val="28"/>
                <w:szCs w:val="28"/>
                <w:lang w:eastAsia="en-IN"/>
                <w14:ligatures w14:val="none"/>
              </w:rPr>
            </w:pPr>
            <w:r w:rsidRPr="001B5187">
              <w:rPr>
                <w:rFonts w:ascii="Times New Roman" w:eastAsia="Times New Roman" w:hAnsi="Times New Roman" w:cs="Times New Roman"/>
                <w:b/>
                <w:bCs/>
                <w:color w:val="000000"/>
                <w:kern w:val="0"/>
                <w:sz w:val="28"/>
                <w:szCs w:val="28"/>
                <w:lang w:eastAsia="en-IN"/>
                <w14:ligatures w14:val="none"/>
              </w:rPr>
              <w:t>Value added by manufacture (Rs. crores)</w:t>
            </w:r>
          </w:p>
        </w:tc>
      </w:tr>
      <w:tr w:rsidR="007933DE" w:rsidRPr="001B5187" w14:paraId="7DAD057A" w14:textId="77777777" w:rsidTr="007933DE">
        <w:trPr>
          <w:trHeight w:val="315"/>
        </w:trPr>
        <w:tc>
          <w:tcPr>
            <w:tcW w:w="1326" w:type="dxa"/>
            <w:vMerge/>
            <w:tcBorders>
              <w:top w:val="single" w:sz="4" w:space="0" w:color="auto"/>
              <w:left w:val="single" w:sz="4" w:space="0" w:color="auto"/>
              <w:bottom w:val="single" w:sz="4" w:space="0" w:color="auto"/>
              <w:right w:val="single" w:sz="4" w:space="0" w:color="auto"/>
            </w:tcBorders>
            <w:vAlign w:val="center"/>
            <w:hideMark/>
          </w:tcPr>
          <w:p w14:paraId="3995DE68" w14:textId="77777777" w:rsidR="007933DE" w:rsidRPr="001B5187" w:rsidRDefault="007933DE" w:rsidP="007933DE">
            <w:pPr>
              <w:spacing w:after="0" w:line="240" w:lineRule="auto"/>
              <w:rPr>
                <w:rFonts w:ascii="Times New Roman" w:eastAsia="Times New Roman" w:hAnsi="Times New Roman" w:cs="Times New Roman"/>
                <w:b/>
                <w:bCs/>
                <w:color w:val="000000"/>
                <w:kern w:val="0"/>
                <w:sz w:val="28"/>
                <w:szCs w:val="28"/>
                <w:lang w:eastAsia="en-IN"/>
                <w14:ligatures w14:val="none"/>
              </w:rPr>
            </w:pPr>
          </w:p>
        </w:tc>
        <w:tc>
          <w:tcPr>
            <w:tcW w:w="1262" w:type="dxa"/>
            <w:tcBorders>
              <w:top w:val="nil"/>
              <w:left w:val="nil"/>
              <w:bottom w:val="single" w:sz="4" w:space="0" w:color="auto"/>
              <w:right w:val="single" w:sz="4" w:space="0" w:color="auto"/>
            </w:tcBorders>
            <w:vAlign w:val="center"/>
            <w:hideMark/>
          </w:tcPr>
          <w:p w14:paraId="45820E34" w14:textId="77777777" w:rsidR="007933DE" w:rsidRPr="001B5187" w:rsidRDefault="007933DE" w:rsidP="007933DE">
            <w:pPr>
              <w:spacing w:after="0" w:line="240" w:lineRule="auto"/>
              <w:jc w:val="center"/>
              <w:rPr>
                <w:rFonts w:ascii="Times New Roman" w:eastAsia="Times New Roman" w:hAnsi="Times New Roman" w:cs="Times New Roman"/>
                <w:b/>
                <w:bCs/>
                <w:color w:val="000000"/>
                <w:kern w:val="0"/>
                <w:sz w:val="28"/>
                <w:szCs w:val="28"/>
                <w:lang w:eastAsia="en-IN"/>
                <w14:ligatures w14:val="none"/>
              </w:rPr>
            </w:pPr>
            <w:r w:rsidRPr="001B5187">
              <w:rPr>
                <w:rFonts w:ascii="Times New Roman" w:eastAsia="Times New Roman" w:hAnsi="Times New Roman" w:cs="Times New Roman"/>
                <w:b/>
                <w:bCs/>
                <w:color w:val="000000"/>
                <w:kern w:val="0"/>
                <w:sz w:val="28"/>
                <w:szCs w:val="28"/>
                <w:lang w:eastAsia="en-IN"/>
                <w14:ligatures w14:val="none"/>
              </w:rPr>
              <w:t>1951</w:t>
            </w:r>
          </w:p>
        </w:tc>
        <w:tc>
          <w:tcPr>
            <w:tcW w:w="1803" w:type="dxa"/>
            <w:tcBorders>
              <w:top w:val="nil"/>
              <w:left w:val="nil"/>
              <w:bottom w:val="single" w:sz="4" w:space="0" w:color="auto"/>
              <w:right w:val="single" w:sz="4" w:space="0" w:color="auto"/>
            </w:tcBorders>
            <w:vAlign w:val="center"/>
            <w:hideMark/>
          </w:tcPr>
          <w:p w14:paraId="2967B33D" w14:textId="77777777" w:rsidR="007933DE" w:rsidRPr="001B5187" w:rsidRDefault="007933DE" w:rsidP="007933DE">
            <w:pPr>
              <w:spacing w:after="0" w:line="240" w:lineRule="auto"/>
              <w:jc w:val="center"/>
              <w:rPr>
                <w:rFonts w:ascii="Times New Roman" w:eastAsia="Times New Roman" w:hAnsi="Times New Roman" w:cs="Times New Roman"/>
                <w:b/>
                <w:bCs/>
                <w:color w:val="000000"/>
                <w:kern w:val="0"/>
                <w:sz w:val="28"/>
                <w:szCs w:val="28"/>
                <w:lang w:eastAsia="en-IN"/>
                <w14:ligatures w14:val="none"/>
              </w:rPr>
            </w:pPr>
            <w:r w:rsidRPr="001B5187">
              <w:rPr>
                <w:rFonts w:ascii="Times New Roman" w:eastAsia="Times New Roman" w:hAnsi="Times New Roman" w:cs="Times New Roman"/>
                <w:b/>
                <w:bCs/>
                <w:color w:val="000000"/>
                <w:kern w:val="0"/>
                <w:sz w:val="28"/>
                <w:szCs w:val="28"/>
                <w:lang w:eastAsia="en-IN"/>
                <w14:ligatures w14:val="none"/>
              </w:rPr>
              <w:t>1966–67</w:t>
            </w:r>
          </w:p>
        </w:tc>
        <w:tc>
          <w:tcPr>
            <w:tcW w:w="1146" w:type="dxa"/>
            <w:tcBorders>
              <w:top w:val="nil"/>
              <w:left w:val="nil"/>
              <w:bottom w:val="single" w:sz="4" w:space="0" w:color="auto"/>
              <w:right w:val="single" w:sz="4" w:space="0" w:color="auto"/>
            </w:tcBorders>
            <w:vAlign w:val="center"/>
            <w:hideMark/>
          </w:tcPr>
          <w:p w14:paraId="0A53F68B" w14:textId="77777777" w:rsidR="007933DE" w:rsidRPr="001B5187" w:rsidRDefault="007933DE" w:rsidP="007933DE">
            <w:pPr>
              <w:spacing w:after="0" w:line="240" w:lineRule="auto"/>
              <w:jc w:val="center"/>
              <w:rPr>
                <w:rFonts w:ascii="Times New Roman" w:eastAsia="Times New Roman" w:hAnsi="Times New Roman" w:cs="Times New Roman"/>
                <w:b/>
                <w:bCs/>
                <w:color w:val="000000"/>
                <w:kern w:val="0"/>
                <w:sz w:val="28"/>
                <w:szCs w:val="28"/>
                <w:lang w:eastAsia="en-IN"/>
                <w14:ligatures w14:val="none"/>
              </w:rPr>
            </w:pPr>
            <w:r w:rsidRPr="001B5187">
              <w:rPr>
                <w:rFonts w:ascii="Times New Roman" w:eastAsia="Times New Roman" w:hAnsi="Times New Roman" w:cs="Times New Roman"/>
                <w:b/>
                <w:bCs/>
                <w:color w:val="000000"/>
                <w:kern w:val="0"/>
                <w:sz w:val="28"/>
                <w:szCs w:val="28"/>
                <w:lang w:eastAsia="en-IN"/>
                <w14:ligatures w14:val="none"/>
              </w:rPr>
              <w:t>1957</w:t>
            </w:r>
          </w:p>
        </w:tc>
        <w:tc>
          <w:tcPr>
            <w:tcW w:w="1829" w:type="dxa"/>
            <w:tcBorders>
              <w:top w:val="nil"/>
              <w:left w:val="nil"/>
              <w:bottom w:val="single" w:sz="4" w:space="0" w:color="auto"/>
              <w:right w:val="single" w:sz="4" w:space="0" w:color="auto"/>
            </w:tcBorders>
            <w:vAlign w:val="center"/>
            <w:hideMark/>
          </w:tcPr>
          <w:p w14:paraId="5225DBA2" w14:textId="77777777" w:rsidR="007933DE" w:rsidRPr="001B5187" w:rsidRDefault="007933DE" w:rsidP="007933DE">
            <w:pPr>
              <w:spacing w:after="0" w:line="240" w:lineRule="auto"/>
              <w:jc w:val="center"/>
              <w:rPr>
                <w:rFonts w:ascii="Times New Roman" w:eastAsia="Times New Roman" w:hAnsi="Times New Roman" w:cs="Times New Roman"/>
                <w:b/>
                <w:bCs/>
                <w:color w:val="000000"/>
                <w:kern w:val="0"/>
                <w:sz w:val="28"/>
                <w:szCs w:val="28"/>
                <w:lang w:eastAsia="en-IN"/>
                <w14:ligatures w14:val="none"/>
              </w:rPr>
            </w:pPr>
            <w:r w:rsidRPr="001B5187">
              <w:rPr>
                <w:rFonts w:ascii="Times New Roman" w:eastAsia="Times New Roman" w:hAnsi="Times New Roman" w:cs="Times New Roman"/>
                <w:b/>
                <w:bCs/>
                <w:color w:val="000000"/>
                <w:kern w:val="0"/>
                <w:sz w:val="28"/>
                <w:szCs w:val="28"/>
                <w:lang w:eastAsia="en-IN"/>
                <w14:ligatures w14:val="none"/>
              </w:rPr>
              <w:t>1966–67</w:t>
            </w:r>
          </w:p>
        </w:tc>
        <w:tc>
          <w:tcPr>
            <w:tcW w:w="1442" w:type="dxa"/>
            <w:tcBorders>
              <w:top w:val="nil"/>
              <w:left w:val="nil"/>
              <w:bottom w:val="single" w:sz="4" w:space="0" w:color="auto"/>
              <w:right w:val="single" w:sz="4" w:space="0" w:color="auto"/>
            </w:tcBorders>
            <w:vAlign w:val="center"/>
            <w:hideMark/>
          </w:tcPr>
          <w:p w14:paraId="1167A4FB" w14:textId="77777777" w:rsidR="007933DE" w:rsidRPr="001B5187" w:rsidRDefault="007933DE" w:rsidP="007933DE">
            <w:pPr>
              <w:spacing w:after="0" w:line="240" w:lineRule="auto"/>
              <w:jc w:val="center"/>
              <w:rPr>
                <w:rFonts w:ascii="Times New Roman" w:eastAsia="Times New Roman" w:hAnsi="Times New Roman" w:cs="Times New Roman"/>
                <w:b/>
                <w:bCs/>
                <w:color w:val="000000"/>
                <w:kern w:val="0"/>
                <w:sz w:val="28"/>
                <w:szCs w:val="28"/>
                <w:lang w:eastAsia="en-IN"/>
                <w14:ligatures w14:val="none"/>
              </w:rPr>
            </w:pPr>
            <w:r w:rsidRPr="001B5187">
              <w:rPr>
                <w:rFonts w:ascii="Times New Roman" w:eastAsia="Times New Roman" w:hAnsi="Times New Roman" w:cs="Times New Roman"/>
                <w:b/>
                <w:bCs/>
                <w:color w:val="000000"/>
                <w:kern w:val="0"/>
                <w:sz w:val="28"/>
                <w:szCs w:val="28"/>
                <w:lang w:eastAsia="en-IN"/>
                <w14:ligatures w14:val="none"/>
              </w:rPr>
              <w:t>1959</w:t>
            </w:r>
          </w:p>
        </w:tc>
        <w:tc>
          <w:tcPr>
            <w:tcW w:w="1688" w:type="dxa"/>
            <w:tcBorders>
              <w:top w:val="nil"/>
              <w:left w:val="nil"/>
              <w:bottom w:val="single" w:sz="4" w:space="0" w:color="auto"/>
              <w:right w:val="single" w:sz="4" w:space="0" w:color="auto"/>
            </w:tcBorders>
            <w:vAlign w:val="center"/>
            <w:hideMark/>
          </w:tcPr>
          <w:p w14:paraId="5030DD77" w14:textId="77777777" w:rsidR="007933DE" w:rsidRPr="001B5187" w:rsidRDefault="007933DE" w:rsidP="007933DE">
            <w:pPr>
              <w:spacing w:after="0" w:line="240" w:lineRule="auto"/>
              <w:jc w:val="center"/>
              <w:rPr>
                <w:rFonts w:ascii="Times New Roman" w:eastAsia="Times New Roman" w:hAnsi="Times New Roman" w:cs="Times New Roman"/>
                <w:b/>
                <w:bCs/>
                <w:color w:val="000000"/>
                <w:kern w:val="0"/>
                <w:sz w:val="28"/>
                <w:szCs w:val="28"/>
                <w:lang w:eastAsia="en-IN"/>
                <w14:ligatures w14:val="none"/>
              </w:rPr>
            </w:pPr>
            <w:r w:rsidRPr="001B5187">
              <w:rPr>
                <w:rFonts w:ascii="Times New Roman" w:eastAsia="Times New Roman" w:hAnsi="Times New Roman" w:cs="Times New Roman"/>
                <w:b/>
                <w:bCs/>
                <w:color w:val="000000"/>
                <w:kern w:val="0"/>
                <w:sz w:val="28"/>
                <w:szCs w:val="28"/>
                <w:lang w:eastAsia="en-IN"/>
                <w14:ligatures w14:val="none"/>
              </w:rPr>
              <w:t>1965</w:t>
            </w:r>
          </w:p>
        </w:tc>
      </w:tr>
      <w:tr w:rsidR="007933DE" w:rsidRPr="001B5187" w14:paraId="21D9685C" w14:textId="77777777" w:rsidTr="007933DE">
        <w:trPr>
          <w:trHeight w:val="315"/>
        </w:trPr>
        <w:tc>
          <w:tcPr>
            <w:tcW w:w="1326" w:type="dxa"/>
            <w:tcBorders>
              <w:top w:val="nil"/>
              <w:left w:val="single" w:sz="4" w:space="0" w:color="auto"/>
              <w:bottom w:val="single" w:sz="4" w:space="0" w:color="auto"/>
              <w:right w:val="single" w:sz="4" w:space="0" w:color="auto"/>
            </w:tcBorders>
            <w:vAlign w:val="center"/>
            <w:hideMark/>
          </w:tcPr>
          <w:p w14:paraId="71B8250F" w14:textId="77777777" w:rsidR="007933DE" w:rsidRPr="001B5187" w:rsidRDefault="007933DE" w:rsidP="007933DE">
            <w:pPr>
              <w:spacing w:after="0" w:line="240" w:lineRule="auto"/>
              <w:jc w:val="center"/>
              <w:rPr>
                <w:rFonts w:ascii="Times New Roman" w:eastAsia="Times New Roman" w:hAnsi="Times New Roman" w:cs="Times New Roman"/>
                <w:b/>
                <w:bCs/>
                <w:color w:val="000000"/>
                <w:kern w:val="0"/>
                <w:sz w:val="28"/>
                <w:szCs w:val="28"/>
                <w:lang w:eastAsia="en-IN"/>
                <w14:ligatures w14:val="none"/>
              </w:rPr>
            </w:pPr>
            <w:r w:rsidRPr="001B5187">
              <w:rPr>
                <w:rFonts w:ascii="Times New Roman" w:eastAsia="Times New Roman" w:hAnsi="Times New Roman" w:cs="Times New Roman"/>
                <w:b/>
                <w:bCs/>
                <w:color w:val="000000"/>
                <w:kern w:val="0"/>
                <w:sz w:val="28"/>
                <w:szCs w:val="28"/>
                <w:lang w:eastAsia="en-IN"/>
                <w14:ligatures w14:val="none"/>
              </w:rPr>
              <w:t>1</w:t>
            </w:r>
          </w:p>
        </w:tc>
        <w:tc>
          <w:tcPr>
            <w:tcW w:w="1262" w:type="dxa"/>
            <w:tcBorders>
              <w:top w:val="nil"/>
              <w:left w:val="nil"/>
              <w:bottom w:val="single" w:sz="4" w:space="0" w:color="auto"/>
              <w:right w:val="single" w:sz="4" w:space="0" w:color="auto"/>
            </w:tcBorders>
            <w:vAlign w:val="center"/>
            <w:hideMark/>
          </w:tcPr>
          <w:p w14:paraId="4072A783" w14:textId="77777777" w:rsidR="007933DE" w:rsidRPr="001B5187" w:rsidRDefault="007933DE" w:rsidP="007933DE">
            <w:pPr>
              <w:spacing w:after="0" w:line="240" w:lineRule="auto"/>
              <w:jc w:val="center"/>
              <w:rPr>
                <w:rFonts w:ascii="Times New Roman" w:eastAsia="Times New Roman" w:hAnsi="Times New Roman" w:cs="Times New Roman"/>
                <w:b/>
                <w:bCs/>
                <w:color w:val="000000"/>
                <w:kern w:val="0"/>
                <w:sz w:val="28"/>
                <w:szCs w:val="28"/>
                <w:lang w:eastAsia="en-IN"/>
                <w14:ligatures w14:val="none"/>
              </w:rPr>
            </w:pPr>
            <w:r w:rsidRPr="001B5187">
              <w:rPr>
                <w:rFonts w:ascii="Times New Roman" w:eastAsia="Times New Roman" w:hAnsi="Times New Roman" w:cs="Times New Roman"/>
                <w:b/>
                <w:bCs/>
                <w:color w:val="000000"/>
                <w:kern w:val="0"/>
                <w:sz w:val="28"/>
                <w:szCs w:val="28"/>
                <w:lang w:eastAsia="en-IN"/>
                <w14:ligatures w14:val="none"/>
              </w:rPr>
              <w:t>2</w:t>
            </w:r>
          </w:p>
        </w:tc>
        <w:tc>
          <w:tcPr>
            <w:tcW w:w="1803" w:type="dxa"/>
            <w:tcBorders>
              <w:top w:val="nil"/>
              <w:left w:val="nil"/>
              <w:bottom w:val="single" w:sz="4" w:space="0" w:color="auto"/>
              <w:right w:val="single" w:sz="4" w:space="0" w:color="auto"/>
            </w:tcBorders>
            <w:vAlign w:val="center"/>
            <w:hideMark/>
          </w:tcPr>
          <w:p w14:paraId="09911832" w14:textId="77777777" w:rsidR="007933DE" w:rsidRPr="001B5187" w:rsidRDefault="007933DE" w:rsidP="007933DE">
            <w:pPr>
              <w:spacing w:after="0" w:line="240" w:lineRule="auto"/>
              <w:jc w:val="center"/>
              <w:rPr>
                <w:rFonts w:ascii="Times New Roman" w:eastAsia="Times New Roman" w:hAnsi="Times New Roman" w:cs="Times New Roman"/>
                <w:b/>
                <w:bCs/>
                <w:color w:val="000000"/>
                <w:kern w:val="0"/>
                <w:sz w:val="28"/>
                <w:szCs w:val="28"/>
                <w:lang w:eastAsia="en-IN"/>
                <w14:ligatures w14:val="none"/>
              </w:rPr>
            </w:pPr>
            <w:r w:rsidRPr="001B5187">
              <w:rPr>
                <w:rFonts w:ascii="Times New Roman" w:eastAsia="Times New Roman" w:hAnsi="Times New Roman" w:cs="Times New Roman"/>
                <w:b/>
                <w:bCs/>
                <w:color w:val="000000"/>
                <w:kern w:val="0"/>
                <w:sz w:val="28"/>
                <w:szCs w:val="28"/>
                <w:lang w:eastAsia="en-IN"/>
                <w14:ligatures w14:val="none"/>
              </w:rPr>
              <w:t>3</w:t>
            </w:r>
          </w:p>
        </w:tc>
        <w:tc>
          <w:tcPr>
            <w:tcW w:w="1146" w:type="dxa"/>
            <w:tcBorders>
              <w:top w:val="nil"/>
              <w:left w:val="nil"/>
              <w:bottom w:val="single" w:sz="4" w:space="0" w:color="auto"/>
              <w:right w:val="single" w:sz="4" w:space="0" w:color="auto"/>
            </w:tcBorders>
            <w:vAlign w:val="center"/>
            <w:hideMark/>
          </w:tcPr>
          <w:p w14:paraId="1E59F435" w14:textId="77777777" w:rsidR="007933DE" w:rsidRPr="001B5187" w:rsidRDefault="007933DE" w:rsidP="007933DE">
            <w:pPr>
              <w:spacing w:after="0" w:line="240" w:lineRule="auto"/>
              <w:jc w:val="center"/>
              <w:rPr>
                <w:rFonts w:ascii="Times New Roman" w:eastAsia="Times New Roman" w:hAnsi="Times New Roman" w:cs="Times New Roman"/>
                <w:b/>
                <w:bCs/>
                <w:color w:val="000000"/>
                <w:kern w:val="0"/>
                <w:sz w:val="28"/>
                <w:szCs w:val="28"/>
                <w:lang w:eastAsia="en-IN"/>
                <w14:ligatures w14:val="none"/>
              </w:rPr>
            </w:pPr>
            <w:r w:rsidRPr="001B5187">
              <w:rPr>
                <w:rFonts w:ascii="Times New Roman" w:eastAsia="Times New Roman" w:hAnsi="Times New Roman" w:cs="Times New Roman"/>
                <w:b/>
                <w:bCs/>
                <w:color w:val="000000"/>
                <w:kern w:val="0"/>
                <w:sz w:val="28"/>
                <w:szCs w:val="28"/>
                <w:lang w:eastAsia="en-IN"/>
                <w14:ligatures w14:val="none"/>
              </w:rPr>
              <w:t>4</w:t>
            </w:r>
          </w:p>
        </w:tc>
        <w:tc>
          <w:tcPr>
            <w:tcW w:w="1829" w:type="dxa"/>
            <w:tcBorders>
              <w:top w:val="nil"/>
              <w:left w:val="nil"/>
              <w:bottom w:val="single" w:sz="4" w:space="0" w:color="auto"/>
              <w:right w:val="single" w:sz="4" w:space="0" w:color="auto"/>
            </w:tcBorders>
            <w:vAlign w:val="center"/>
            <w:hideMark/>
          </w:tcPr>
          <w:p w14:paraId="7BFA5803" w14:textId="77777777" w:rsidR="007933DE" w:rsidRPr="001B5187" w:rsidRDefault="007933DE" w:rsidP="007933DE">
            <w:pPr>
              <w:spacing w:after="0" w:line="240" w:lineRule="auto"/>
              <w:jc w:val="center"/>
              <w:rPr>
                <w:rFonts w:ascii="Times New Roman" w:eastAsia="Times New Roman" w:hAnsi="Times New Roman" w:cs="Times New Roman"/>
                <w:b/>
                <w:bCs/>
                <w:color w:val="000000"/>
                <w:kern w:val="0"/>
                <w:sz w:val="28"/>
                <w:szCs w:val="28"/>
                <w:lang w:eastAsia="en-IN"/>
                <w14:ligatures w14:val="none"/>
              </w:rPr>
            </w:pPr>
            <w:r w:rsidRPr="001B5187">
              <w:rPr>
                <w:rFonts w:ascii="Times New Roman" w:eastAsia="Times New Roman" w:hAnsi="Times New Roman" w:cs="Times New Roman"/>
                <w:b/>
                <w:bCs/>
                <w:color w:val="000000"/>
                <w:kern w:val="0"/>
                <w:sz w:val="28"/>
                <w:szCs w:val="28"/>
                <w:lang w:eastAsia="en-IN"/>
                <w14:ligatures w14:val="none"/>
              </w:rPr>
              <w:t>5</w:t>
            </w:r>
          </w:p>
        </w:tc>
        <w:tc>
          <w:tcPr>
            <w:tcW w:w="1442" w:type="dxa"/>
            <w:tcBorders>
              <w:top w:val="nil"/>
              <w:left w:val="nil"/>
              <w:bottom w:val="single" w:sz="4" w:space="0" w:color="auto"/>
              <w:right w:val="single" w:sz="4" w:space="0" w:color="auto"/>
            </w:tcBorders>
            <w:vAlign w:val="center"/>
            <w:hideMark/>
          </w:tcPr>
          <w:p w14:paraId="4E0F6539" w14:textId="77777777" w:rsidR="007933DE" w:rsidRPr="001B5187" w:rsidRDefault="007933DE" w:rsidP="007933DE">
            <w:pPr>
              <w:spacing w:after="0" w:line="240" w:lineRule="auto"/>
              <w:jc w:val="center"/>
              <w:rPr>
                <w:rFonts w:ascii="Times New Roman" w:eastAsia="Times New Roman" w:hAnsi="Times New Roman" w:cs="Times New Roman"/>
                <w:b/>
                <w:bCs/>
                <w:color w:val="000000"/>
                <w:kern w:val="0"/>
                <w:sz w:val="28"/>
                <w:szCs w:val="28"/>
                <w:lang w:eastAsia="en-IN"/>
                <w14:ligatures w14:val="none"/>
              </w:rPr>
            </w:pPr>
            <w:r w:rsidRPr="001B5187">
              <w:rPr>
                <w:rFonts w:ascii="Times New Roman" w:eastAsia="Times New Roman" w:hAnsi="Times New Roman" w:cs="Times New Roman"/>
                <w:b/>
                <w:bCs/>
                <w:color w:val="000000"/>
                <w:kern w:val="0"/>
                <w:sz w:val="28"/>
                <w:szCs w:val="28"/>
                <w:lang w:eastAsia="en-IN"/>
                <w14:ligatures w14:val="none"/>
              </w:rPr>
              <w:t>6</w:t>
            </w:r>
          </w:p>
        </w:tc>
        <w:tc>
          <w:tcPr>
            <w:tcW w:w="1688" w:type="dxa"/>
            <w:tcBorders>
              <w:top w:val="nil"/>
              <w:left w:val="nil"/>
              <w:bottom w:val="single" w:sz="4" w:space="0" w:color="auto"/>
              <w:right w:val="single" w:sz="4" w:space="0" w:color="auto"/>
            </w:tcBorders>
            <w:vAlign w:val="center"/>
            <w:hideMark/>
          </w:tcPr>
          <w:p w14:paraId="3FAB188B" w14:textId="77777777" w:rsidR="007933DE" w:rsidRPr="001B5187" w:rsidRDefault="007933DE" w:rsidP="007933DE">
            <w:pPr>
              <w:spacing w:after="0" w:line="240" w:lineRule="auto"/>
              <w:jc w:val="center"/>
              <w:rPr>
                <w:rFonts w:ascii="Times New Roman" w:eastAsia="Times New Roman" w:hAnsi="Times New Roman" w:cs="Times New Roman"/>
                <w:b/>
                <w:bCs/>
                <w:color w:val="000000"/>
                <w:kern w:val="0"/>
                <w:sz w:val="28"/>
                <w:szCs w:val="28"/>
                <w:lang w:eastAsia="en-IN"/>
                <w14:ligatures w14:val="none"/>
              </w:rPr>
            </w:pPr>
            <w:r w:rsidRPr="001B5187">
              <w:rPr>
                <w:rFonts w:ascii="Times New Roman" w:eastAsia="Times New Roman" w:hAnsi="Times New Roman" w:cs="Times New Roman"/>
                <w:b/>
                <w:bCs/>
                <w:color w:val="000000"/>
                <w:kern w:val="0"/>
                <w:sz w:val="28"/>
                <w:szCs w:val="28"/>
                <w:lang w:eastAsia="en-IN"/>
                <w14:ligatures w14:val="none"/>
              </w:rPr>
              <w:t>7</w:t>
            </w:r>
          </w:p>
        </w:tc>
      </w:tr>
      <w:tr w:rsidR="007933DE" w:rsidRPr="001B5187" w14:paraId="241556F2" w14:textId="77777777" w:rsidTr="007933DE">
        <w:trPr>
          <w:trHeight w:val="315"/>
        </w:trPr>
        <w:tc>
          <w:tcPr>
            <w:tcW w:w="1326" w:type="dxa"/>
            <w:tcBorders>
              <w:top w:val="nil"/>
              <w:left w:val="single" w:sz="4" w:space="0" w:color="auto"/>
              <w:bottom w:val="single" w:sz="4" w:space="0" w:color="auto"/>
              <w:right w:val="single" w:sz="4" w:space="0" w:color="auto"/>
            </w:tcBorders>
            <w:vAlign w:val="center"/>
            <w:hideMark/>
          </w:tcPr>
          <w:p w14:paraId="2C855F6C" w14:textId="77777777" w:rsidR="007933DE" w:rsidRPr="001B5187" w:rsidRDefault="007933DE" w:rsidP="007933DE">
            <w:pPr>
              <w:spacing w:after="0" w:line="240" w:lineRule="auto"/>
              <w:rPr>
                <w:rFonts w:ascii="Times New Roman" w:eastAsia="Times New Roman" w:hAnsi="Times New Roman" w:cs="Times New Roman"/>
                <w:color w:val="000000"/>
                <w:kern w:val="0"/>
                <w:sz w:val="28"/>
                <w:szCs w:val="28"/>
                <w:lang w:eastAsia="en-IN"/>
                <w14:ligatures w14:val="none"/>
              </w:rPr>
            </w:pPr>
            <w:r w:rsidRPr="001B5187">
              <w:rPr>
                <w:rFonts w:ascii="Times New Roman" w:eastAsia="Times New Roman" w:hAnsi="Times New Roman" w:cs="Times New Roman"/>
                <w:color w:val="000000"/>
                <w:kern w:val="0"/>
                <w:sz w:val="28"/>
                <w:szCs w:val="28"/>
                <w:lang w:eastAsia="en-IN"/>
                <w14:ligatures w14:val="none"/>
              </w:rPr>
              <w:t>Andhra Pradesh</w:t>
            </w:r>
          </w:p>
        </w:tc>
        <w:tc>
          <w:tcPr>
            <w:tcW w:w="1262" w:type="dxa"/>
            <w:tcBorders>
              <w:top w:val="nil"/>
              <w:left w:val="nil"/>
              <w:bottom w:val="single" w:sz="4" w:space="0" w:color="auto"/>
              <w:right w:val="single" w:sz="4" w:space="0" w:color="auto"/>
            </w:tcBorders>
            <w:vAlign w:val="center"/>
            <w:hideMark/>
          </w:tcPr>
          <w:p w14:paraId="13AA8F73" w14:textId="77777777" w:rsidR="007933DE" w:rsidRPr="001B5187" w:rsidRDefault="007933DE" w:rsidP="007933DE">
            <w:pPr>
              <w:spacing w:after="0" w:line="240" w:lineRule="auto"/>
              <w:jc w:val="center"/>
              <w:rPr>
                <w:rFonts w:ascii="Times New Roman" w:eastAsia="Times New Roman" w:hAnsi="Times New Roman" w:cs="Times New Roman"/>
                <w:color w:val="000000"/>
                <w:kern w:val="0"/>
                <w:sz w:val="28"/>
                <w:szCs w:val="28"/>
                <w:lang w:eastAsia="en-IN"/>
                <w14:ligatures w14:val="none"/>
              </w:rPr>
            </w:pPr>
            <w:r w:rsidRPr="001B5187">
              <w:rPr>
                <w:rFonts w:ascii="Times New Roman" w:eastAsia="Times New Roman" w:hAnsi="Times New Roman" w:cs="Times New Roman"/>
                <w:color w:val="000000"/>
                <w:kern w:val="0"/>
                <w:sz w:val="28"/>
                <w:szCs w:val="28"/>
                <w:lang w:eastAsia="en-IN"/>
                <w14:ligatures w14:val="none"/>
              </w:rPr>
              <w:t>59</w:t>
            </w:r>
          </w:p>
        </w:tc>
        <w:tc>
          <w:tcPr>
            <w:tcW w:w="1803" w:type="dxa"/>
            <w:tcBorders>
              <w:top w:val="nil"/>
              <w:left w:val="nil"/>
              <w:bottom w:val="single" w:sz="4" w:space="0" w:color="auto"/>
              <w:right w:val="single" w:sz="4" w:space="0" w:color="auto"/>
            </w:tcBorders>
            <w:vAlign w:val="center"/>
            <w:hideMark/>
          </w:tcPr>
          <w:p w14:paraId="114DE0C2" w14:textId="77777777" w:rsidR="007933DE" w:rsidRPr="001B5187" w:rsidRDefault="007933DE" w:rsidP="007933DE">
            <w:pPr>
              <w:spacing w:after="0" w:line="240" w:lineRule="auto"/>
              <w:jc w:val="center"/>
              <w:rPr>
                <w:rFonts w:ascii="Times New Roman" w:eastAsia="Times New Roman" w:hAnsi="Times New Roman" w:cs="Times New Roman"/>
                <w:color w:val="000000"/>
                <w:kern w:val="0"/>
                <w:sz w:val="28"/>
                <w:szCs w:val="28"/>
                <w:lang w:eastAsia="en-IN"/>
                <w14:ligatures w14:val="none"/>
              </w:rPr>
            </w:pPr>
            <w:r w:rsidRPr="001B5187">
              <w:rPr>
                <w:rFonts w:ascii="Times New Roman" w:eastAsia="Times New Roman" w:hAnsi="Times New Roman" w:cs="Times New Roman"/>
                <w:color w:val="000000"/>
                <w:kern w:val="0"/>
                <w:sz w:val="28"/>
                <w:szCs w:val="28"/>
                <w:lang w:eastAsia="en-IN"/>
                <w14:ligatures w14:val="none"/>
              </w:rPr>
              <w:t>427</w:t>
            </w:r>
          </w:p>
        </w:tc>
        <w:tc>
          <w:tcPr>
            <w:tcW w:w="1146" w:type="dxa"/>
            <w:tcBorders>
              <w:top w:val="nil"/>
              <w:left w:val="nil"/>
              <w:bottom w:val="single" w:sz="4" w:space="0" w:color="auto"/>
              <w:right w:val="single" w:sz="4" w:space="0" w:color="auto"/>
            </w:tcBorders>
            <w:vAlign w:val="center"/>
            <w:hideMark/>
          </w:tcPr>
          <w:p w14:paraId="73B42BDE" w14:textId="77777777" w:rsidR="007933DE" w:rsidRPr="001B5187" w:rsidRDefault="007933DE" w:rsidP="007933DE">
            <w:pPr>
              <w:spacing w:after="0" w:line="240" w:lineRule="auto"/>
              <w:jc w:val="center"/>
              <w:rPr>
                <w:rFonts w:ascii="Times New Roman" w:eastAsia="Times New Roman" w:hAnsi="Times New Roman" w:cs="Times New Roman"/>
                <w:color w:val="000000"/>
                <w:kern w:val="0"/>
                <w:sz w:val="28"/>
                <w:szCs w:val="28"/>
                <w:lang w:eastAsia="en-IN"/>
                <w14:ligatures w14:val="none"/>
              </w:rPr>
            </w:pPr>
            <w:r w:rsidRPr="001B5187">
              <w:rPr>
                <w:rFonts w:ascii="Times New Roman" w:eastAsia="Times New Roman" w:hAnsi="Times New Roman" w:cs="Times New Roman"/>
                <w:color w:val="000000"/>
                <w:kern w:val="0"/>
                <w:sz w:val="28"/>
                <w:szCs w:val="28"/>
                <w:lang w:eastAsia="en-IN"/>
                <w14:ligatures w14:val="none"/>
              </w:rPr>
              <w:t>9</w:t>
            </w:r>
          </w:p>
        </w:tc>
        <w:tc>
          <w:tcPr>
            <w:tcW w:w="1829" w:type="dxa"/>
            <w:tcBorders>
              <w:top w:val="nil"/>
              <w:left w:val="nil"/>
              <w:bottom w:val="single" w:sz="4" w:space="0" w:color="auto"/>
              <w:right w:val="single" w:sz="4" w:space="0" w:color="auto"/>
            </w:tcBorders>
            <w:vAlign w:val="center"/>
            <w:hideMark/>
          </w:tcPr>
          <w:p w14:paraId="6203E918" w14:textId="77777777" w:rsidR="007933DE" w:rsidRPr="001B5187" w:rsidRDefault="007933DE" w:rsidP="007933DE">
            <w:pPr>
              <w:spacing w:after="0" w:line="240" w:lineRule="auto"/>
              <w:jc w:val="center"/>
              <w:rPr>
                <w:rFonts w:ascii="Times New Roman" w:eastAsia="Times New Roman" w:hAnsi="Times New Roman" w:cs="Times New Roman"/>
                <w:color w:val="000000"/>
                <w:kern w:val="0"/>
                <w:sz w:val="28"/>
                <w:szCs w:val="28"/>
                <w:lang w:eastAsia="en-IN"/>
                <w14:ligatures w14:val="none"/>
              </w:rPr>
            </w:pPr>
            <w:r w:rsidRPr="001B5187">
              <w:rPr>
                <w:rFonts w:ascii="Times New Roman" w:eastAsia="Times New Roman" w:hAnsi="Times New Roman" w:cs="Times New Roman"/>
                <w:color w:val="000000"/>
                <w:kern w:val="0"/>
                <w:sz w:val="28"/>
                <w:szCs w:val="28"/>
                <w:lang w:eastAsia="en-IN"/>
                <w14:ligatures w14:val="none"/>
              </w:rPr>
              <w:t>39</w:t>
            </w:r>
          </w:p>
        </w:tc>
        <w:tc>
          <w:tcPr>
            <w:tcW w:w="1442" w:type="dxa"/>
            <w:tcBorders>
              <w:top w:val="nil"/>
              <w:left w:val="nil"/>
              <w:bottom w:val="single" w:sz="4" w:space="0" w:color="auto"/>
              <w:right w:val="single" w:sz="4" w:space="0" w:color="auto"/>
            </w:tcBorders>
            <w:vAlign w:val="center"/>
            <w:hideMark/>
          </w:tcPr>
          <w:p w14:paraId="4B122AE4" w14:textId="77777777" w:rsidR="007933DE" w:rsidRPr="001B5187" w:rsidRDefault="007933DE" w:rsidP="007933DE">
            <w:pPr>
              <w:spacing w:after="0" w:line="240" w:lineRule="auto"/>
              <w:jc w:val="center"/>
              <w:rPr>
                <w:rFonts w:ascii="Times New Roman" w:eastAsia="Times New Roman" w:hAnsi="Times New Roman" w:cs="Times New Roman"/>
                <w:color w:val="000000"/>
                <w:kern w:val="0"/>
                <w:sz w:val="28"/>
                <w:szCs w:val="28"/>
                <w:lang w:eastAsia="en-IN"/>
                <w14:ligatures w14:val="none"/>
              </w:rPr>
            </w:pPr>
            <w:r w:rsidRPr="001B5187">
              <w:rPr>
                <w:rFonts w:ascii="Times New Roman" w:eastAsia="Times New Roman" w:hAnsi="Times New Roman" w:cs="Times New Roman"/>
                <w:color w:val="000000"/>
                <w:kern w:val="0"/>
                <w:sz w:val="28"/>
                <w:szCs w:val="28"/>
                <w:lang w:eastAsia="en-IN"/>
                <w14:ligatures w14:val="none"/>
              </w:rPr>
              <w:t>19.3</w:t>
            </w:r>
          </w:p>
        </w:tc>
        <w:tc>
          <w:tcPr>
            <w:tcW w:w="1688" w:type="dxa"/>
            <w:tcBorders>
              <w:top w:val="nil"/>
              <w:left w:val="nil"/>
              <w:bottom w:val="single" w:sz="4" w:space="0" w:color="auto"/>
              <w:right w:val="single" w:sz="4" w:space="0" w:color="auto"/>
            </w:tcBorders>
            <w:vAlign w:val="center"/>
            <w:hideMark/>
          </w:tcPr>
          <w:p w14:paraId="13043942" w14:textId="77777777" w:rsidR="007933DE" w:rsidRPr="001B5187" w:rsidRDefault="007933DE" w:rsidP="007933DE">
            <w:pPr>
              <w:spacing w:after="0" w:line="240" w:lineRule="auto"/>
              <w:jc w:val="center"/>
              <w:rPr>
                <w:rFonts w:ascii="Times New Roman" w:eastAsia="Times New Roman" w:hAnsi="Times New Roman" w:cs="Times New Roman"/>
                <w:color w:val="000000"/>
                <w:kern w:val="0"/>
                <w:sz w:val="28"/>
                <w:szCs w:val="28"/>
                <w:lang w:eastAsia="en-IN"/>
                <w14:ligatures w14:val="none"/>
              </w:rPr>
            </w:pPr>
            <w:r w:rsidRPr="001B5187">
              <w:rPr>
                <w:rFonts w:ascii="Times New Roman" w:eastAsia="Times New Roman" w:hAnsi="Times New Roman" w:cs="Times New Roman"/>
                <w:color w:val="000000"/>
                <w:kern w:val="0"/>
                <w:sz w:val="28"/>
                <w:szCs w:val="28"/>
                <w:lang w:eastAsia="en-IN"/>
                <w14:ligatures w14:val="none"/>
              </w:rPr>
              <w:t>52.7</w:t>
            </w:r>
          </w:p>
        </w:tc>
      </w:tr>
      <w:tr w:rsidR="007933DE" w:rsidRPr="001B5187" w14:paraId="78913E56" w14:textId="77777777" w:rsidTr="007933DE">
        <w:trPr>
          <w:trHeight w:val="315"/>
        </w:trPr>
        <w:tc>
          <w:tcPr>
            <w:tcW w:w="1326" w:type="dxa"/>
            <w:tcBorders>
              <w:top w:val="nil"/>
              <w:left w:val="single" w:sz="4" w:space="0" w:color="auto"/>
              <w:bottom w:val="single" w:sz="4" w:space="0" w:color="auto"/>
              <w:right w:val="single" w:sz="4" w:space="0" w:color="auto"/>
            </w:tcBorders>
            <w:vAlign w:val="center"/>
            <w:hideMark/>
          </w:tcPr>
          <w:p w14:paraId="61B53DB5" w14:textId="77777777" w:rsidR="007933DE" w:rsidRPr="001B5187" w:rsidRDefault="007933DE" w:rsidP="007933DE">
            <w:pPr>
              <w:spacing w:after="0" w:line="240" w:lineRule="auto"/>
              <w:rPr>
                <w:rFonts w:ascii="Times New Roman" w:eastAsia="Times New Roman" w:hAnsi="Times New Roman" w:cs="Times New Roman"/>
                <w:color w:val="000000"/>
                <w:kern w:val="0"/>
                <w:sz w:val="28"/>
                <w:szCs w:val="28"/>
                <w:lang w:eastAsia="en-IN"/>
                <w14:ligatures w14:val="none"/>
              </w:rPr>
            </w:pPr>
            <w:r w:rsidRPr="001B5187">
              <w:rPr>
                <w:rFonts w:ascii="Times New Roman" w:eastAsia="Times New Roman" w:hAnsi="Times New Roman" w:cs="Times New Roman"/>
                <w:color w:val="000000"/>
                <w:kern w:val="0"/>
                <w:sz w:val="28"/>
                <w:szCs w:val="28"/>
                <w:lang w:eastAsia="en-IN"/>
                <w14:ligatures w14:val="none"/>
              </w:rPr>
              <w:t>Assam</w:t>
            </w:r>
          </w:p>
        </w:tc>
        <w:tc>
          <w:tcPr>
            <w:tcW w:w="1262" w:type="dxa"/>
            <w:tcBorders>
              <w:top w:val="nil"/>
              <w:left w:val="nil"/>
              <w:bottom w:val="single" w:sz="4" w:space="0" w:color="auto"/>
              <w:right w:val="single" w:sz="4" w:space="0" w:color="auto"/>
            </w:tcBorders>
            <w:vAlign w:val="center"/>
            <w:hideMark/>
          </w:tcPr>
          <w:p w14:paraId="010D20A6" w14:textId="77777777" w:rsidR="007933DE" w:rsidRPr="001B5187" w:rsidRDefault="007933DE" w:rsidP="007933DE">
            <w:pPr>
              <w:spacing w:after="0" w:line="240" w:lineRule="auto"/>
              <w:jc w:val="center"/>
              <w:rPr>
                <w:rFonts w:ascii="Times New Roman" w:eastAsia="Times New Roman" w:hAnsi="Times New Roman" w:cs="Times New Roman"/>
                <w:color w:val="000000"/>
                <w:kern w:val="0"/>
                <w:sz w:val="28"/>
                <w:szCs w:val="28"/>
                <w:lang w:eastAsia="en-IN"/>
                <w14:ligatures w14:val="none"/>
              </w:rPr>
            </w:pPr>
            <w:r w:rsidRPr="001B5187">
              <w:rPr>
                <w:rFonts w:ascii="Times New Roman" w:eastAsia="Times New Roman" w:hAnsi="Times New Roman" w:cs="Times New Roman"/>
                <w:color w:val="000000"/>
                <w:kern w:val="0"/>
                <w:sz w:val="28"/>
                <w:szCs w:val="28"/>
                <w:lang w:eastAsia="en-IN"/>
                <w14:ligatures w14:val="none"/>
              </w:rPr>
              <w:t>3</w:t>
            </w:r>
          </w:p>
        </w:tc>
        <w:tc>
          <w:tcPr>
            <w:tcW w:w="1803" w:type="dxa"/>
            <w:tcBorders>
              <w:top w:val="nil"/>
              <w:left w:val="nil"/>
              <w:bottom w:val="single" w:sz="4" w:space="0" w:color="auto"/>
              <w:right w:val="single" w:sz="4" w:space="0" w:color="auto"/>
            </w:tcBorders>
            <w:vAlign w:val="center"/>
            <w:hideMark/>
          </w:tcPr>
          <w:p w14:paraId="6FAA3640" w14:textId="77777777" w:rsidR="007933DE" w:rsidRPr="001B5187" w:rsidRDefault="007933DE" w:rsidP="007933DE">
            <w:pPr>
              <w:spacing w:after="0" w:line="240" w:lineRule="auto"/>
              <w:jc w:val="center"/>
              <w:rPr>
                <w:rFonts w:ascii="Times New Roman" w:eastAsia="Times New Roman" w:hAnsi="Times New Roman" w:cs="Times New Roman"/>
                <w:color w:val="000000"/>
                <w:kern w:val="0"/>
                <w:sz w:val="28"/>
                <w:szCs w:val="28"/>
                <w:lang w:eastAsia="en-IN"/>
                <w14:ligatures w14:val="none"/>
              </w:rPr>
            </w:pPr>
            <w:r w:rsidRPr="001B5187">
              <w:rPr>
                <w:rFonts w:ascii="Times New Roman" w:eastAsia="Times New Roman" w:hAnsi="Times New Roman" w:cs="Times New Roman"/>
                <w:color w:val="000000"/>
                <w:kern w:val="0"/>
                <w:sz w:val="28"/>
                <w:szCs w:val="28"/>
                <w:lang w:eastAsia="en-IN"/>
                <w14:ligatures w14:val="none"/>
              </w:rPr>
              <w:t>161</w:t>
            </w:r>
          </w:p>
        </w:tc>
        <w:tc>
          <w:tcPr>
            <w:tcW w:w="1146" w:type="dxa"/>
            <w:tcBorders>
              <w:top w:val="nil"/>
              <w:left w:val="nil"/>
              <w:bottom w:val="single" w:sz="4" w:space="0" w:color="auto"/>
              <w:right w:val="single" w:sz="4" w:space="0" w:color="auto"/>
            </w:tcBorders>
            <w:vAlign w:val="center"/>
            <w:hideMark/>
          </w:tcPr>
          <w:p w14:paraId="6FF02D0F" w14:textId="77777777" w:rsidR="007933DE" w:rsidRPr="001B5187" w:rsidRDefault="007933DE" w:rsidP="007933DE">
            <w:pPr>
              <w:spacing w:after="0" w:line="240" w:lineRule="auto"/>
              <w:jc w:val="center"/>
              <w:rPr>
                <w:rFonts w:ascii="Times New Roman" w:eastAsia="Times New Roman" w:hAnsi="Times New Roman" w:cs="Times New Roman"/>
                <w:color w:val="000000"/>
                <w:kern w:val="0"/>
                <w:sz w:val="28"/>
                <w:szCs w:val="28"/>
                <w:lang w:eastAsia="en-IN"/>
                <w14:ligatures w14:val="none"/>
              </w:rPr>
            </w:pPr>
            <w:r w:rsidRPr="001B5187">
              <w:rPr>
                <w:rFonts w:ascii="Times New Roman" w:eastAsia="Times New Roman" w:hAnsi="Times New Roman" w:cs="Times New Roman"/>
                <w:color w:val="000000"/>
                <w:kern w:val="0"/>
                <w:sz w:val="28"/>
                <w:szCs w:val="28"/>
                <w:lang w:eastAsia="en-IN"/>
                <w14:ligatures w14:val="none"/>
              </w:rPr>
              <w:t>10</w:t>
            </w:r>
          </w:p>
        </w:tc>
        <w:tc>
          <w:tcPr>
            <w:tcW w:w="1829" w:type="dxa"/>
            <w:tcBorders>
              <w:top w:val="nil"/>
              <w:left w:val="nil"/>
              <w:bottom w:val="single" w:sz="4" w:space="0" w:color="auto"/>
              <w:right w:val="single" w:sz="4" w:space="0" w:color="auto"/>
            </w:tcBorders>
            <w:vAlign w:val="center"/>
            <w:hideMark/>
          </w:tcPr>
          <w:p w14:paraId="6BFD8EE9" w14:textId="77777777" w:rsidR="007933DE" w:rsidRPr="001B5187" w:rsidRDefault="007933DE" w:rsidP="007933DE">
            <w:pPr>
              <w:spacing w:after="0" w:line="240" w:lineRule="auto"/>
              <w:jc w:val="center"/>
              <w:rPr>
                <w:rFonts w:ascii="Times New Roman" w:eastAsia="Times New Roman" w:hAnsi="Times New Roman" w:cs="Times New Roman"/>
                <w:color w:val="000000"/>
                <w:kern w:val="0"/>
                <w:sz w:val="28"/>
                <w:szCs w:val="28"/>
                <w:lang w:eastAsia="en-IN"/>
                <w14:ligatures w14:val="none"/>
              </w:rPr>
            </w:pPr>
            <w:r w:rsidRPr="001B5187">
              <w:rPr>
                <w:rFonts w:ascii="Times New Roman" w:eastAsia="Times New Roman" w:hAnsi="Times New Roman" w:cs="Times New Roman"/>
                <w:color w:val="000000"/>
                <w:kern w:val="0"/>
                <w:sz w:val="28"/>
                <w:szCs w:val="28"/>
                <w:lang w:eastAsia="en-IN"/>
                <w14:ligatures w14:val="none"/>
              </w:rPr>
              <w:t>6</w:t>
            </w:r>
          </w:p>
        </w:tc>
        <w:tc>
          <w:tcPr>
            <w:tcW w:w="1442" w:type="dxa"/>
            <w:tcBorders>
              <w:top w:val="nil"/>
              <w:left w:val="nil"/>
              <w:bottom w:val="single" w:sz="4" w:space="0" w:color="auto"/>
              <w:right w:val="single" w:sz="4" w:space="0" w:color="auto"/>
            </w:tcBorders>
            <w:vAlign w:val="center"/>
            <w:hideMark/>
          </w:tcPr>
          <w:p w14:paraId="79606139" w14:textId="77777777" w:rsidR="007933DE" w:rsidRPr="001B5187" w:rsidRDefault="007933DE" w:rsidP="007933DE">
            <w:pPr>
              <w:spacing w:after="0" w:line="240" w:lineRule="auto"/>
              <w:jc w:val="center"/>
              <w:rPr>
                <w:rFonts w:ascii="Times New Roman" w:eastAsia="Times New Roman" w:hAnsi="Times New Roman" w:cs="Times New Roman"/>
                <w:color w:val="000000"/>
                <w:kern w:val="0"/>
                <w:sz w:val="28"/>
                <w:szCs w:val="28"/>
                <w:lang w:eastAsia="en-IN"/>
                <w14:ligatures w14:val="none"/>
              </w:rPr>
            </w:pPr>
            <w:r w:rsidRPr="001B5187">
              <w:rPr>
                <w:rFonts w:ascii="Times New Roman" w:eastAsia="Times New Roman" w:hAnsi="Times New Roman" w:cs="Times New Roman"/>
                <w:color w:val="000000"/>
                <w:kern w:val="0"/>
                <w:sz w:val="28"/>
                <w:szCs w:val="28"/>
                <w:lang w:eastAsia="en-IN"/>
                <w14:ligatures w14:val="none"/>
              </w:rPr>
              <w:t>32.4</w:t>
            </w:r>
          </w:p>
        </w:tc>
        <w:tc>
          <w:tcPr>
            <w:tcW w:w="1688" w:type="dxa"/>
            <w:tcBorders>
              <w:top w:val="nil"/>
              <w:left w:val="nil"/>
              <w:bottom w:val="single" w:sz="4" w:space="0" w:color="auto"/>
              <w:right w:val="single" w:sz="4" w:space="0" w:color="auto"/>
            </w:tcBorders>
            <w:vAlign w:val="center"/>
            <w:hideMark/>
          </w:tcPr>
          <w:p w14:paraId="017ECD29" w14:textId="77777777" w:rsidR="007933DE" w:rsidRPr="001B5187" w:rsidRDefault="007933DE" w:rsidP="007933DE">
            <w:pPr>
              <w:spacing w:after="0" w:line="240" w:lineRule="auto"/>
              <w:jc w:val="center"/>
              <w:rPr>
                <w:rFonts w:ascii="Times New Roman" w:eastAsia="Times New Roman" w:hAnsi="Times New Roman" w:cs="Times New Roman"/>
                <w:color w:val="000000"/>
                <w:kern w:val="0"/>
                <w:sz w:val="28"/>
                <w:szCs w:val="28"/>
                <w:lang w:eastAsia="en-IN"/>
                <w14:ligatures w14:val="none"/>
              </w:rPr>
            </w:pPr>
            <w:r w:rsidRPr="001B5187">
              <w:rPr>
                <w:rFonts w:ascii="Times New Roman" w:eastAsia="Times New Roman" w:hAnsi="Times New Roman" w:cs="Times New Roman"/>
                <w:color w:val="000000"/>
                <w:kern w:val="0"/>
                <w:sz w:val="28"/>
                <w:szCs w:val="28"/>
                <w:lang w:eastAsia="en-IN"/>
                <w14:ligatures w14:val="none"/>
              </w:rPr>
              <w:t>22</w:t>
            </w:r>
          </w:p>
        </w:tc>
      </w:tr>
      <w:tr w:rsidR="007933DE" w:rsidRPr="001B5187" w14:paraId="59C11AC9" w14:textId="77777777" w:rsidTr="007933DE">
        <w:trPr>
          <w:trHeight w:val="315"/>
        </w:trPr>
        <w:tc>
          <w:tcPr>
            <w:tcW w:w="1326" w:type="dxa"/>
            <w:tcBorders>
              <w:top w:val="nil"/>
              <w:left w:val="single" w:sz="4" w:space="0" w:color="auto"/>
              <w:bottom w:val="single" w:sz="4" w:space="0" w:color="auto"/>
              <w:right w:val="single" w:sz="4" w:space="0" w:color="auto"/>
            </w:tcBorders>
            <w:vAlign w:val="center"/>
            <w:hideMark/>
          </w:tcPr>
          <w:p w14:paraId="77115C08" w14:textId="77777777" w:rsidR="007933DE" w:rsidRPr="001B5187" w:rsidRDefault="007933DE" w:rsidP="007933DE">
            <w:pPr>
              <w:spacing w:after="0" w:line="240" w:lineRule="auto"/>
              <w:rPr>
                <w:rFonts w:ascii="Times New Roman" w:eastAsia="Times New Roman" w:hAnsi="Times New Roman" w:cs="Times New Roman"/>
                <w:color w:val="000000"/>
                <w:kern w:val="0"/>
                <w:sz w:val="28"/>
                <w:szCs w:val="28"/>
                <w:lang w:eastAsia="en-IN"/>
                <w14:ligatures w14:val="none"/>
              </w:rPr>
            </w:pPr>
            <w:r w:rsidRPr="001B5187">
              <w:rPr>
                <w:rFonts w:ascii="Times New Roman" w:eastAsia="Times New Roman" w:hAnsi="Times New Roman" w:cs="Times New Roman"/>
                <w:color w:val="000000"/>
                <w:kern w:val="0"/>
                <w:sz w:val="28"/>
                <w:szCs w:val="28"/>
                <w:lang w:eastAsia="en-IN"/>
                <w14:ligatures w14:val="none"/>
              </w:rPr>
              <w:t>Bihar</w:t>
            </w:r>
          </w:p>
        </w:tc>
        <w:tc>
          <w:tcPr>
            <w:tcW w:w="1262" w:type="dxa"/>
            <w:tcBorders>
              <w:top w:val="nil"/>
              <w:left w:val="nil"/>
              <w:bottom w:val="single" w:sz="4" w:space="0" w:color="auto"/>
              <w:right w:val="single" w:sz="4" w:space="0" w:color="auto"/>
            </w:tcBorders>
            <w:vAlign w:val="center"/>
            <w:hideMark/>
          </w:tcPr>
          <w:p w14:paraId="70048EC6" w14:textId="77777777" w:rsidR="007933DE" w:rsidRPr="001B5187" w:rsidRDefault="007933DE" w:rsidP="007933DE">
            <w:pPr>
              <w:spacing w:after="0" w:line="240" w:lineRule="auto"/>
              <w:jc w:val="center"/>
              <w:rPr>
                <w:rFonts w:ascii="Times New Roman" w:eastAsia="Times New Roman" w:hAnsi="Times New Roman" w:cs="Times New Roman"/>
                <w:color w:val="000000"/>
                <w:kern w:val="0"/>
                <w:sz w:val="28"/>
                <w:szCs w:val="28"/>
                <w:lang w:eastAsia="en-IN"/>
                <w14:ligatures w14:val="none"/>
              </w:rPr>
            </w:pPr>
            <w:r w:rsidRPr="001B5187">
              <w:rPr>
                <w:rFonts w:ascii="Times New Roman" w:eastAsia="Times New Roman" w:hAnsi="Times New Roman" w:cs="Times New Roman"/>
                <w:color w:val="000000"/>
                <w:kern w:val="0"/>
                <w:sz w:val="28"/>
                <w:szCs w:val="28"/>
                <w:lang w:eastAsia="en-IN"/>
                <w14:ligatures w14:val="none"/>
              </w:rPr>
              <w:t>47</w:t>
            </w:r>
          </w:p>
        </w:tc>
        <w:tc>
          <w:tcPr>
            <w:tcW w:w="1803" w:type="dxa"/>
            <w:tcBorders>
              <w:top w:val="nil"/>
              <w:left w:val="nil"/>
              <w:bottom w:val="single" w:sz="4" w:space="0" w:color="auto"/>
              <w:right w:val="single" w:sz="4" w:space="0" w:color="auto"/>
            </w:tcBorders>
            <w:vAlign w:val="center"/>
            <w:hideMark/>
          </w:tcPr>
          <w:p w14:paraId="79E6231C" w14:textId="77777777" w:rsidR="007933DE" w:rsidRPr="001B5187" w:rsidRDefault="007933DE" w:rsidP="007933DE">
            <w:pPr>
              <w:spacing w:after="0" w:line="240" w:lineRule="auto"/>
              <w:jc w:val="center"/>
              <w:rPr>
                <w:rFonts w:ascii="Times New Roman" w:eastAsia="Times New Roman" w:hAnsi="Times New Roman" w:cs="Times New Roman"/>
                <w:color w:val="000000"/>
                <w:kern w:val="0"/>
                <w:sz w:val="28"/>
                <w:szCs w:val="28"/>
                <w:lang w:eastAsia="en-IN"/>
                <w14:ligatures w14:val="none"/>
              </w:rPr>
            </w:pPr>
            <w:r w:rsidRPr="001B5187">
              <w:rPr>
                <w:rFonts w:ascii="Times New Roman" w:eastAsia="Times New Roman" w:hAnsi="Times New Roman" w:cs="Times New Roman"/>
                <w:color w:val="000000"/>
                <w:kern w:val="0"/>
                <w:sz w:val="28"/>
                <w:szCs w:val="28"/>
                <w:lang w:eastAsia="en-IN"/>
                <w14:ligatures w14:val="none"/>
              </w:rPr>
              <w:t>147</w:t>
            </w:r>
          </w:p>
        </w:tc>
        <w:tc>
          <w:tcPr>
            <w:tcW w:w="1146" w:type="dxa"/>
            <w:tcBorders>
              <w:top w:val="nil"/>
              <w:left w:val="nil"/>
              <w:bottom w:val="single" w:sz="4" w:space="0" w:color="auto"/>
              <w:right w:val="single" w:sz="4" w:space="0" w:color="auto"/>
            </w:tcBorders>
            <w:vAlign w:val="center"/>
            <w:hideMark/>
          </w:tcPr>
          <w:p w14:paraId="0CDDD9A5" w14:textId="77777777" w:rsidR="007933DE" w:rsidRPr="001B5187" w:rsidRDefault="007933DE" w:rsidP="007933DE">
            <w:pPr>
              <w:spacing w:after="0" w:line="240" w:lineRule="auto"/>
              <w:jc w:val="center"/>
              <w:rPr>
                <w:rFonts w:ascii="Times New Roman" w:eastAsia="Times New Roman" w:hAnsi="Times New Roman" w:cs="Times New Roman"/>
                <w:color w:val="000000"/>
                <w:kern w:val="0"/>
                <w:sz w:val="28"/>
                <w:szCs w:val="28"/>
                <w:lang w:eastAsia="en-IN"/>
                <w14:ligatures w14:val="none"/>
              </w:rPr>
            </w:pPr>
            <w:r w:rsidRPr="001B5187">
              <w:rPr>
                <w:rFonts w:ascii="Times New Roman" w:eastAsia="Times New Roman" w:hAnsi="Times New Roman" w:cs="Times New Roman"/>
                <w:color w:val="000000"/>
                <w:kern w:val="0"/>
                <w:sz w:val="28"/>
                <w:szCs w:val="28"/>
                <w:lang w:eastAsia="en-IN"/>
                <w14:ligatures w14:val="none"/>
              </w:rPr>
              <w:t>17</w:t>
            </w:r>
          </w:p>
        </w:tc>
        <w:tc>
          <w:tcPr>
            <w:tcW w:w="1829" w:type="dxa"/>
            <w:tcBorders>
              <w:top w:val="nil"/>
              <w:left w:val="nil"/>
              <w:bottom w:val="single" w:sz="4" w:space="0" w:color="auto"/>
              <w:right w:val="single" w:sz="4" w:space="0" w:color="auto"/>
            </w:tcBorders>
            <w:vAlign w:val="center"/>
            <w:hideMark/>
          </w:tcPr>
          <w:p w14:paraId="35F334C8" w14:textId="77777777" w:rsidR="007933DE" w:rsidRPr="001B5187" w:rsidRDefault="007933DE" w:rsidP="007933DE">
            <w:pPr>
              <w:spacing w:after="0" w:line="240" w:lineRule="auto"/>
              <w:jc w:val="center"/>
              <w:rPr>
                <w:rFonts w:ascii="Times New Roman" w:eastAsia="Times New Roman" w:hAnsi="Times New Roman" w:cs="Times New Roman"/>
                <w:color w:val="000000"/>
                <w:kern w:val="0"/>
                <w:sz w:val="28"/>
                <w:szCs w:val="28"/>
                <w:lang w:eastAsia="en-IN"/>
                <w14:ligatures w14:val="none"/>
              </w:rPr>
            </w:pPr>
            <w:r w:rsidRPr="001B5187">
              <w:rPr>
                <w:rFonts w:ascii="Times New Roman" w:eastAsia="Times New Roman" w:hAnsi="Times New Roman" w:cs="Times New Roman"/>
                <w:color w:val="000000"/>
                <w:kern w:val="0"/>
                <w:sz w:val="28"/>
                <w:szCs w:val="28"/>
                <w:lang w:eastAsia="en-IN"/>
                <w14:ligatures w14:val="none"/>
              </w:rPr>
              <w:t>19</w:t>
            </w:r>
          </w:p>
        </w:tc>
        <w:tc>
          <w:tcPr>
            <w:tcW w:w="1442" w:type="dxa"/>
            <w:tcBorders>
              <w:top w:val="nil"/>
              <w:left w:val="nil"/>
              <w:bottom w:val="single" w:sz="4" w:space="0" w:color="auto"/>
              <w:right w:val="single" w:sz="4" w:space="0" w:color="auto"/>
            </w:tcBorders>
            <w:vAlign w:val="center"/>
            <w:hideMark/>
          </w:tcPr>
          <w:p w14:paraId="4E3CAC14" w14:textId="77777777" w:rsidR="007933DE" w:rsidRPr="001B5187" w:rsidRDefault="007933DE" w:rsidP="007933DE">
            <w:pPr>
              <w:spacing w:after="0" w:line="240" w:lineRule="auto"/>
              <w:jc w:val="center"/>
              <w:rPr>
                <w:rFonts w:ascii="Times New Roman" w:eastAsia="Times New Roman" w:hAnsi="Times New Roman" w:cs="Times New Roman"/>
                <w:color w:val="000000"/>
                <w:kern w:val="0"/>
                <w:sz w:val="28"/>
                <w:szCs w:val="28"/>
                <w:lang w:eastAsia="en-IN"/>
                <w14:ligatures w14:val="none"/>
              </w:rPr>
            </w:pPr>
            <w:r w:rsidRPr="001B5187">
              <w:rPr>
                <w:rFonts w:ascii="Times New Roman" w:eastAsia="Times New Roman" w:hAnsi="Times New Roman" w:cs="Times New Roman"/>
                <w:color w:val="000000"/>
                <w:kern w:val="0"/>
                <w:sz w:val="28"/>
                <w:szCs w:val="28"/>
                <w:lang w:eastAsia="en-IN"/>
                <w14:ligatures w14:val="none"/>
              </w:rPr>
              <w:t>74.9</w:t>
            </w:r>
          </w:p>
        </w:tc>
        <w:tc>
          <w:tcPr>
            <w:tcW w:w="1688" w:type="dxa"/>
            <w:tcBorders>
              <w:top w:val="nil"/>
              <w:left w:val="nil"/>
              <w:bottom w:val="single" w:sz="4" w:space="0" w:color="auto"/>
              <w:right w:val="single" w:sz="4" w:space="0" w:color="auto"/>
            </w:tcBorders>
            <w:vAlign w:val="center"/>
            <w:hideMark/>
          </w:tcPr>
          <w:p w14:paraId="08A269CA" w14:textId="77777777" w:rsidR="007933DE" w:rsidRPr="001B5187" w:rsidRDefault="007933DE" w:rsidP="007933DE">
            <w:pPr>
              <w:spacing w:after="0" w:line="240" w:lineRule="auto"/>
              <w:jc w:val="center"/>
              <w:rPr>
                <w:rFonts w:ascii="Times New Roman" w:eastAsia="Times New Roman" w:hAnsi="Times New Roman" w:cs="Times New Roman"/>
                <w:color w:val="000000"/>
                <w:kern w:val="0"/>
                <w:sz w:val="28"/>
                <w:szCs w:val="28"/>
                <w:lang w:eastAsia="en-IN"/>
                <w14:ligatures w14:val="none"/>
              </w:rPr>
            </w:pPr>
            <w:r w:rsidRPr="001B5187">
              <w:rPr>
                <w:rFonts w:ascii="Times New Roman" w:eastAsia="Times New Roman" w:hAnsi="Times New Roman" w:cs="Times New Roman"/>
                <w:color w:val="000000"/>
                <w:kern w:val="0"/>
                <w:sz w:val="28"/>
                <w:szCs w:val="28"/>
                <w:lang w:eastAsia="en-IN"/>
                <w14:ligatures w14:val="none"/>
              </w:rPr>
              <w:t>120.1</w:t>
            </w:r>
          </w:p>
        </w:tc>
      </w:tr>
      <w:tr w:rsidR="007933DE" w:rsidRPr="001B5187" w14:paraId="704B5E25" w14:textId="77777777" w:rsidTr="007933DE">
        <w:trPr>
          <w:trHeight w:val="315"/>
        </w:trPr>
        <w:tc>
          <w:tcPr>
            <w:tcW w:w="1326" w:type="dxa"/>
            <w:tcBorders>
              <w:top w:val="nil"/>
              <w:left w:val="single" w:sz="4" w:space="0" w:color="auto"/>
              <w:bottom w:val="single" w:sz="4" w:space="0" w:color="auto"/>
              <w:right w:val="single" w:sz="4" w:space="0" w:color="auto"/>
            </w:tcBorders>
            <w:vAlign w:val="center"/>
            <w:hideMark/>
          </w:tcPr>
          <w:p w14:paraId="602D77E5" w14:textId="77777777" w:rsidR="007933DE" w:rsidRPr="001B5187" w:rsidRDefault="007933DE" w:rsidP="007933DE">
            <w:pPr>
              <w:spacing w:after="0" w:line="240" w:lineRule="auto"/>
              <w:rPr>
                <w:rFonts w:ascii="Times New Roman" w:eastAsia="Times New Roman" w:hAnsi="Times New Roman" w:cs="Times New Roman"/>
                <w:color w:val="000000"/>
                <w:kern w:val="0"/>
                <w:sz w:val="28"/>
                <w:szCs w:val="28"/>
                <w:lang w:eastAsia="en-IN"/>
                <w14:ligatures w14:val="none"/>
              </w:rPr>
            </w:pPr>
            <w:r w:rsidRPr="001B5187">
              <w:rPr>
                <w:rFonts w:ascii="Times New Roman" w:eastAsia="Times New Roman" w:hAnsi="Times New Roman" w:cs="Times New Roman"/>
                <w:color w:val="000000"/>
                <w:kern w:val="0"/>
                <w:sz w:val="28"/>
                <w:szCs w:val="28"/>
                <w:lang w:eastAsia="en-IN"/>
                <w14:ligatures w14:val="none"/>
              </w:rPr>
              <w:t>Gujarat</w:t>
            </w:r>
          </w:p>
        </w:tc>
        <w:tc>
          <w:tcPr>
            <w:tcW w:w="1262" w:type="dxa"/>
            <w:tcBorders>
              <w:top w:val="nil"/>
              <w:left w:val="nil"/>
              <w:bottom w:val="single" w:sz="4" w:space="0" w:color="auto"/>
              <w:right w:val="single" w:sz="4" w:space="0" w:color="auto"/>
            </w:tcBorders>
            <w:vAlign w:val="center"/>
            <w:hideMark/>
          </w:tcPr>
          <w:p w14:paraId="4B5D7517" w14:textId="77777777" w:rsidR="007933DE" w:rsidRPr="001B5187" w:rsidRDefault="007933DE" w:rsidP="007933DE">
            <w:pPr>
              <w:spacing w:after="0" w:line="240" w:lineRule="auto"/>
              <w:jc w:val="center"/>
              <w:rPr>
                <w:rFonts w:ascii="Times New Roman" w:eastAsia="Times New Roman" w:hAnsi="Times New Roman" w:cs="Times New Roman"/>
                <w:color w:val="000000"/>
                <w:kern w:val="0"/>
                <w:sz w:val="28"/>
                <w:szCs w:val="28"/>
                <w:lang w:eastAsia="en-IN"/>
                <w14:ligatures w14:val="none"/>
              </w:rPr>
            </w:pPr>
            <w:r w:rsidRPr="001B5187">
              <w:rPr>
                <w:rFonts w:ascii="Times New Roman" w:eastAsia="Times New Roman" w:hAnsi="Times New Roman" w:cs="Times New Roman"/>
                <w:color w:val="000000"/>
                <w:kern w:val="0"/>
                <w:sz w:val="28"/>
                <w:szCs w:val="28"/>
                <w:lang w:eastAsia="en-IN"/>
                <w14:ligatures w14:val="none"/>
              </w:rPr>
              <w:t>142</w:t>
            </w:r>
          </w:p>
        </w:tc>
        <w:tc>
          <w:tcPr>
            <w:tcW w:w="1803" w:type="dxa"/>
            <w:tcBorders>
              <w:top w:val="nil"/>
              <w:left w:val="nil"/>
              <w:bottom w:val="single" w:sz="4" w:space="0" w:color="auto"/>
              <w:right w:val="single" w:sz="4" w:space="0" w:color="auto"/>
            </w:tcBorders>
            <w:vAlign w:val="center"/>
            <w:hideMark/>
          </w:tcPr>
          <w:p w14:paraId="5B61D895" w14:textId="77777777" w:rsidR="007933DE" w:rsidRPr="001B5187" w:rsidRDefault="007933DE" w:rsidP="007933DE">
            <w:pPr>
              <w:spacing w:after="0" w:line="240" w:lineRule="auto"/>
              <w:jc w:val="center"/>
              <w:rPr>
                <w:rFonts w:ascii="Times New Roman" w:eastAsia="Times New Roman" w:hAnsi="Times New Roman" w:cs="Times New Roman"/>
                <w:color w:val="000000"/>
                <w:kern w:val="0"/>
                <w:sz w:val="28"/>
                <w:szCs w:val="28"/>
                <w:lang w:eastAsia="en-IN"/>
                <w14:ligatures w14:val="none"/>
              </w:rPr>
            </w:pPr>
            <w:r w:rsidRPr="001B5187">
              <w:rPr>
                <w:rFonts w:ascii="Times New Roman" w:eastAsia="Times New Roman" w:hAnsi="Times New Roman" w:cs="Times New Roman"/>
                <w:color w:val="000000"/>
                <w:kern w:val="0"/>
                <w:sz w:val="28"/>
                <w:szCs w:val="28"/>
                <w:lang w:eastAsia="en-IN"/>
                <w14:ligatures w14:val="none"/>
              </w:rPr>
              <w:t>676</w:t>
            </w:r>
          </w:p>
        </w:tc>
        <w:tc>
          <w:tcPr>
            <w:tcW w:w="1146" w:type="dxa"/>
            <w:tcBorders>
              <w:top w:val="nil"/>
              <w:left w:val="nil"/>
              <w:bottom w:val="single" w:sz="4" w:space="0" w:color="auto"/>
              <w:right w:val="single" w:sz="4" w:space="0" w:color="auto"/>
            </w:tcBorders>
            <w:vAlign w:val="center"/>
            <w:hideMark/>
          </w:tcPr>
          <w:p w14:paraId="53BEB52D" w14:textId="77777777" w:rsidR="007933DE" w:rsidRPr="001B5187" w:rsidRDefault="007933DE" w:rsidP="007933DE">
            <w:pPr>
              <w:spacing w:after="0" w:line="240" w:lineRule="auto"/>
              <w:jc w:val="center"/>
              <w:rPr>
                <w:rFonts w:ascii="Times New Roman" w:eastAsia="Times New Roman" w:hAnsi="Times New Roman" w:cs="Times New Roman"/>
                <w:color w:val="000000"/>
                <w:kern w:val="0"/>
                <w:sz w:val="28"/>
                <w:szCs w:val="28"/>
                <w:lang w:eastAsia="en-IN"/>
                <w14:ligatures w14:val="none"/>
              </w:rPr>
            </w:pPr>
            <w:r w:rsidRPr="001B5187">
              <w:rPr>
                <w:rFonts w:ascii="Times New Roman" w:eastAsia="Times New Roman" w:hAnsi="Times New Roman" w:cs="Times New Roman"/>
                <w:color w:val="000000"/>
                <w:kern w:val="0"/>
                <w:sz w:val="28"/>
                <w:szCs w:val="28"/>
                <w:lang w:eastAsia="en-IN"/>
                <w14:ligatures w14:val="none"/>
              </w:rPr>
              <w:t>—</w:t>
            </w:r>
          </w:p>
        </w:tc>
        <w:tc>
          <w:tcPr>
            <w:tcW w:w="1829" w:type="dxa"/>
            <w:tcBorders>
              <w:top w:val="nil"/>
              <w:left w:val="nil"/>
              <w:bottom w:val="single" w:sz="4" w:space="0" w:color="auto"/>
              <w:right w:val="single" w:sz="4" w:space="0" w:color="auto"/>
            </w:tcBorders>
            <w:vAlign w:val="center"/>
            <w:hideMark/>
          </w:tcPr>
          <w:p w14:paraId="56397283" w14:textId="77777777" w:rsidR="007933DE" w:rsidRPr="001B5187" w:rsidRDefault="007933DE" w:rsidP="007933DE">
            <w:pPr>
              <w:spacing w:after="0" w:line="240" w:lineRule="auto"/>
              <w:jc w:val="center"/>
              <w:rPr>
                <w:rFonts w:ascii="Times New Roman" w:eastAsia="Times New Roman" w:hAnsi="Times New Roman" w:cs="Times New Roman"/>
                <w:color w:val="000000"/>
                <w:kern w:val="0"/>
                <w:sz w:val="28"/>
                <w:szCs w:val="28"/>
                <w:lang w:eastAsia="en-IN"/>
                <w14:ligatures w14:val="none"/>
              </w:rPr>
            </w:pPr>
            <w:r w:rsidRPr="001B5187">
              <w:rPr>
                <w:rFonts w:ascii="Times New Roman" w:eastAsia="Times New Roman" w:hAnsi="Times New Roman" w:cs="Times New Roman"/>
                <w:color w:val="000000"/>
                <w:kern w:val="0"/>
                <w:sz w:val="28"/>
                <w:szCs w:val="28"/>
                <w:lang w:eastAsia="en-IN"/>
                <w14:ligatures w14:val="none"/>
              </w:rPr>
              <w:t>—</w:t>
            </w:r>
          </w:p>
        </w:tc>
        <w:tc>
          <w:tcPr>
            <w:tcW w:w="1442" w:type="dxa"/>
            <w:tcBorders>
              <w:top w:val="nil"/>
              <w:left w:val="nil"/>
              <w:bottom w:val="single" w:sz="4" w:space="0" w:color="auto"/>
              <w:right w:val="single" w:sz="4" w:space="0" w:color="auto"/>
            </w:tcBorders>
            <w:vAlign w:val="center"/>
            <w:hideMark/>
          </w:tcPr>
          <w:p w14:paraId="74EAEC65" w14:textId="77777777" w:rsidR="007933DE" w:rsidRPr="001B5187" w:rsidRDefault="007933DE" w:rsidP="007933DE">
            <w:pPr>
              <w:spacing w:after="0" w:line="240" w:lineRule="auto"/>
              <w:jc w:val="center"/>
              <w:rPr>
                <w:rFonts w:ascii="Times New Roman" w:eastAsia="Times New Roman" w:hAnsi="Times New Roman" w:cs="Times New Roman"/>
                <w:color w:val="000000"/>
                <w:kern w:val="0"/>
                <w:sz w:val="28"/>
                <w:szCs w:val="28"/>
                <w:lang w:eastAsia="en-IN"/>
                <w14:ligatures w14:val="none"/>
              </w:rPr>
            </w:pPr>
            <w:r w:rsidRPr="001B5187">
              <w:rPr>
                <w:rFonts w:ascii="Times New Roman" w:eastAsia="Times New Roman" w:hAnsi="Times New Roman" w:cs="Times New Roman"/>
                <w:color w:val="000000"/>
                <w:kern w:val="0"/>
                <w:sz w:val="28"/>
                <w:szCs w:val="28"/>
                <w:lang w:eastAsia="en-IN"/>
                <w14:ligatures w14:val="none"/>
              </w:rPr>
              <w:t>77.8</w:t>
            </w:r>
          </w:p>
        </w:tc>
        <w:tc>
          <w:tcPr>
            <w:tcW w:w="1688" w:type="dxa"/>
            <w:tcBorders>
              <w:top w:val="nil"/>
              <w:left w:val="nil"/>
              <w:bottom w:val="single" w:sz="4" w:space="0" w:color="auto"/>
              <w:right w:val="single" w:sz="4" w:space="0" w:color="auto"/>
            </w:tcBorders>
            <w:vAlign w:val="center"/>
            <w:hideMark/>
          </w:tcPr>
          <w:p w14:paraId="737BD29A" w14:textId="0E280B34" w:rsidR="007933DE" w:rsidRPr="001B5187" w:rsidRDefault="007933DE" w:rsidP="007933DE">
            <w:pPr>
              <w:spacing w:after="0" w:line="240" w:lineRule="auto"/>
              <w:jc w:val="center"/>
              <w:rPr>
                <w:rFonts w:ascii="Times New Roman" w:eastAsia="Times New Roman" w:hAnsi="Times New Roman" w:cs="Times New Roman"/>
                <w:color w:val="000000"/>
                <w:kern w:val="0"/>
                <w:sz w:val="28"/>
                <w:szCs w:val="28"/>
                <w:lang w:eastAsia="en-IN"/>
                <w14:ligatures w14:val="none"/>
              </w:rPr>
            </w:pPr>
            <w:r w:rsidRPr="001B5187">
              <w:rPr>
                <w:rFonts w:ascii="Times New Roman" w:eastAsia="Times New Roman" w:hAnsi="Times New Roman" w:cs="Times New Roman"/>
                <w:color w:val="000000"/>
                <w:kern w:val="0"/>
                <w:sz w:val="28"/>
                <w:szCs w:val="28"/>
                <w:lang w:eastAsia="en-IN"/>
                <w14:ligatures w14:val="none"/>
              </w:rPr>
              <w:t>142</w:t>
            </w:r>
            <w:r w:rsidR="00387525">
              <w:rPr>
                <w:rFonts w:ascii="Times New Roman" w:eastAsia="Times New Roman" w:hAnsi="Times New Roman" w:cs="Times New Roman"/>
                <w:color w:val="000000"/>
                <w:kern w:val="0"/>
                <w:sz w:val="28"/>
                <w:szCs w:val="28"/>
                <w:lang w:eastAsia="en-IN"/>
                <w14:ligatures w14:val="none"/>
              </w:rPr>
              <w:t>.0</w:t>
            </w:r>
          </w:p>
        </w:tc>
      </w:tr>
      <w:tr w:rsidR="007933DE" w:rsidRPr="001B5187" w14:paraId="403B7767" w14:textId="77777777" w:rsidTr="007933DE">
        <w:trPr>
          <w:trHeight w:val="315"/>
        </w:trPr>
        <w:tc>
          <w:tcPr>
            <w:tcW w:w="1326" w:type="dxa"/>
            <w:tcBorders>
              <w:top w:val="nil"/>
              <w:left w:val="single" w:sz="4" w:space="0" w:color="auto"/>
              <w:bottom w:val="single" w:sz="4" w:space="0" w:color="auto"/>
              <w:right w:val="single" w:sz="4" w:space="0" w:color="auto"/>
            </w:tcBorders>
            <w:vAlign w:val="center"/>
            <w:hideMark/>
          </w:tcPr>
          <w:p w14:paraId="1667A98E" w14:textId="77777777" w:rsidR="007933DE" w:rsidRPr="001B5187" w:rsidRDefault="007933DE" w:rsidP="007933DE">
            <w:pPr>
              <w:spacing w:after="0" w:line="240" w:lineRule="auto"/>
              <w:rPr>
                <w:rFonts w:ascii="Times New Roman" w:eastAsia="Times New Roman" w:hAnsi="Times New Roman" w:cs="Times New Roman"/>
                <w:color w:val="000000"/>
                <w:kern w:val="0"/>
                <w:sz w:val="28"/>
                <w:szCs w:val="28"/>
                <w:lang w:eastAsia="en-IN"/>
                <w14:ligatures w14:val="none"/>
              </w:rPr>
            </w:pPr>
            <w:r w:rsidRPr="001B5187">
              <w:rPr>
                <w:rFonts w:ascii="Times New Roman" w:eastAsia="Times New Roman" w:hAnsi="Times New Roman" w:cs="Times New Roman"/>
                <w:color w:val="000000"/>
                <w:kern w:val="0"/>
                <w:sz w:val="28"/>
                <w:szCs w:val="28"/>
                <w:lang w:eastAsia="en-IN"/>
                <w14:ligatures w14:val="none"/>
              </w:rPr>
              <w:t>Haryana</w:t>
            </w:r>
          </w:p>
        </w:tc>
        <w:tc>
          <w:tcPr>
            <w:tcW w:w="1262" w:type="dxa"/>
            <w:tcBorders>
              <w:top w:val="nil"/>
              <w:left w:val="nil"/>
              <w:bottom w:val="single" w:sz="4" w:space="0" w:color="auto"/>
              <w:right w:val="single" w:sz="4" w:space="0" w:color="auto"/>
            </w:tcBorders>
            <w:vAlign w:val="center"/>
            <w:hideMark/>
          </w:tcPr>
          <w:p w14:paraId="21E066A8" w14:textId="77777777" w:rsidR="007933DE" w:rsidRPr="001B5187" w:rsidRDefault="007933DE" w:rsidP="007933DE">
            <w:pPr>
              <w:spacing w:after="0" w:line="240" w:lineRule="auto"/>
              <w:jc w:val="center"/>
              <w:rPr>
                <w:rFonts w:ascii="Times New Roman" w:eastAsia="Times New Roman" w:hAnsi="Times New Roman" w:cs="Times New Roman"/>
                <w:color w:val="000000"/>
                <w:kern w:val="0"/>
                <w:sz w:val="28"/>
                <w:szCs w:val="28"/>
                <w:lang w:eastAsia="en-IN"/>
                <w14:ligatures w14:val="none"/>
              </w:rPr>
            </w:pPr>
            <w:r w:rsidRPr="001B5187">
              <w:rPr>
                <w:rFonts w:ascii="Times New Roman" w:eastAsia="Times New Roman" w:hAnsi="Times New Roman" w:cs="Times New Roman"/>
                <w:color w:val="000000"/>
                <w:kern w:val="0"/>
                <w:sz w:val="28"/>
                <w:szCs w:val="28"/>
                <w:lang w:eastAsia="en-IN"/>
                <w14:ligatures w14:val="none"/>
              </w:rPr>
              <w:t>—</w:t>
            </w:r>
          </w:p>
        </w:tc>
        <w:tc>
          <w:tcPr>
            <w:tcW w:w="1803" w:type="dxa"/>
            <w:tcBorders>
              <w:top w:val="nil"/>
              <w:left w:val="nil"/>
              <w:bottom w:val="single" w:sz="4" w:space="0" w:color="auto"/>
              <w:right w:val="single" w:sz="4" w:space="0" w:color="auto"/>
            </w:tcBorders>
            <w:vAlign w:val="center"/>
            <w:hideMark/>
          </w:tcPr>
          <w:p w14:paraId="38CF0C1B" w14:textId="77777777" w:rsidR="007933DE" w:rsidRPr="001B5187" w:rsidRDefault="007933DE" w:rsidP="007933DE">
            <w:pPr>
              <w:spacing w:after="0" w:line="240" w:lineRule="auto"/>
              <w:jc w:val="center"/>
              <w:rPr>
                <w:rFonts w:ascii="Times New Roman" w:eastAsia="Times New Roman" w:hAnsi="Times New Roman" w:cs="Times New Roman"/>
                <w:color w:val="000000"/>
                <w:kern w:val="0"/>
                <w:sz w:val="28"/>
                <w:szCs w:val="28"/>
                <w:lang w:eastAsia="en-IN"/>
                <w14:ligatures w14:val="none"/>
              </w:rPr>
            </w:pPr>
            <w:r w:rsidRPr="001B5187">
              <w:rPr>
                <w:rFonts w:ascii="Times New Roman" w:eastAsia="Times New Roman" w:hAnsi="Times New Roman" w:cs="Times New Roman"/>
                <w:color w:val="000000"/>
                <w:kern w:val="0"/>
                <w:sz w:val="28"/>
                <w:szCs w:val="28"/>
                <w:lang w:eastAsia="en-IN"/>
                <w14:ligatures w14:val="none"/>
              </w:rPr>
              <w:t>—</w:t>
            </w:r>
          </w:p>
        </w:tc>
        <w:tc>
          <w:tcPr>
            <w:tcW w:w="1146" w:type="dxa"/>
            <w:tcBorders>
              <w:top w:val="nil"/>
              <w:left w:val="nil"/>
              <w:bottom w:val="single" w:sz="4" w:space="0" w:color="auto"/>
              <w:right w:val="single" w:sz="4" w:space="0" w:color="auto"/>
            </w:tcBorders>
            <w:vAlign w:val="center"/>
            <w:hideMark/>
          </w:tcPr>
          <w:p w14:paraId="7A102FD0" w14:textId="77777777" w:rsidR="007933DE" w:rsidRPr="001B5187" w:rsidRDefault="007933DE" w:rsidP="007933DE">
            <w:pPr>
              <w:spacing w:after="0" w:line="240" w:lineRule="auto"/>
              <w:jc w:val="center"/>
              <w:rPr>
                <w:rFonts w:ascii="Times New Roman" w:eastAsia="Times New Roman" w:hAnsi="Times New Roman" w:cs="Times New Roman"/>
                <w:color w:val="000000"/>
                <w:kern w:val="0"/>
                <w:sz w:val="28"/>
                <w:szCs w:val="28"/>
                <w:lang w:eastAsia="en-IN"/>
                <w14:ligatures w14:val="none"/>
              </w:rPr>
            </w:pPr>
            <w:r w:rsidRPr="001B5187">
              <w:rPr>
                <w:rFonts w:ascii="Times New Roman" w:eastAsia="Times New Roman" w:hAnsi="Times New Roman" w:cs="Times New Roman"/>
                <w:color w:val="000000"/>
                <w:kern w:val="0"/>
                <w:sz w:val="28"/>
                <w:szCs w:val="28"/>
                <w:lang w:eastAsia="en-IN"/>
                <w14:ligatures w14:val="none"/>
              </w:rPr>
              <w:t>—</w:t>
            </w:r>
          </w:p>
        </w:tc>
        <w:tc>
          <w:tcPr>
            <w:tcW w:w="1829" w:type="dxa"/>
            <w:tcBorders>
              <w:top w:val="nil"/>
              <w:left w:val="nil"/>
              <w:bottom w:val="single" w:sz="4" w:space="0" w:color="auto"/>
              <w:right w:val="single" w:sz="4" w:space="0" w:color="auto"/>
            </w:tcBorders>
            <w:vAlign w:val="center"/>
            <w:hideMark/>
          </w:tcPr>
          <w:p w14:paraId="5A072DC1" w14:textId="77777777" w:rsidR="007933DE" w:rsidRPr="001B5187" w:rsidRDefault="007933DE" w:rsidP="007933DE">
            <w:pPr>
              <w:spacing w:after="0" w:line="240" w:lineRule="auto"/>
              <w:jc w:val="center"/>
              <w:rPr>
                <w:rFonts w:ascii="Times New Roman" w:eastAsia="Times New Roman" w:hAnsi="Times New Roman" w:cs="Times New Roman"/>
                <w:color w:val="000000"/>
                <w:kern w:val="0"/>
                <w:sz w:val="28"/>
                <w:szCs w:val="28"/>
                <w:lang w:eastAsia="en-IN"/>
                <w14:ligatures w14:val="none"/>
              </w:rPr>
            </w:pPr>
            <w:r w:rsidRPr="001B5187">
              <w:rPr>
                <w:rFonts w:ascii="Times New Roman" w:eastAsia="Times New Roman" w:hAnsi="Times New Roman" w:cs="Times New Roman"/>
                <w:color w:val="000000"/>
                <w:kern w:val="0"/>
                <w:sz w:val="28"/>
                <w:szCs w:val="28"/>
                <w:lang w:eastAsia="en-IN"/>
                <w14:ligatures w14:val="none"/>
              </w:rPr>
              <w:t>—</w:t>
            </w:r>
          </w:p>
        </w:tc>
        <w:tc>
          <w:tcPr>
            <w:tcW w:w="1442" w:type="dxa"/>
            <w:tcBorders>
              <w:top w:val="nil"/>
              <w:left w:val="nil"/>
              <w:bottom w:val="single" w:sz="4" w:space="0" w:color="auto"/>
              <w:right w:val="single" w:sz="4" w:space="0" w:color="auto"/>
            </w:tcBorders>
            <w:vAlign w:val="center"/>
            <w:hideMark/>
          </w:tcPr>
          <w:p w14:paraId="6073343B" w14:textId="2D4E8D3A" w:rsidR="007933DE" w:rsidRPr="001B5187" w:rsidRDefault="007933DE" w:rsidP="007933DE">
            <w:pPr>
              <w:spacing w:after="0" w:line="240" w:lineRule="auto"/>
              <w:jc w:val="center"/>
              <w:rPr>
                <w:rFonts w:ascii="Times New Roman" w:eastAsia="Times New Roman" w:hAnsi="Times New Roman" w:cs="Times New Roman"/>
                <w:color w:val="000000"/>
                <w:kern w:val="0"/>
                <w:sz w:val="28"/>
                <w:szCs w:val="28"/>
                <w:lang w:eastAsia="en-IN"/>
                <w14:ligatures w14:val="none"/>
              </w:rPr>
            </w:pPr>
            <w:r w:rsidRPr="001B5187">
              <w:rPr>
                <w:rFonts w:ascii="Times New Roman" w:eastAsia="Times New Roman" w:hAnsi="Times New Roman" w:cs="Times New Roman"/>
                <w:color w:val="000000"/>
                <w:kern w:val="0"/>
                <w:sz w:val="28"/>
                <w:szCs w:val="28"/>
                <w:lang w:eastAsia="en-IN"/>
                <w14:ligatures w14:val="none"/>
              </w:rPr>
              <w:t> </w:t>
            </w:r>
            <w:r w:rsidR="00387525" w:rsidRPr="001B5187">
              <w:rPr>
                <w:rFonts w:ascii="Times New Roman" w:eastAsia="Times New Roman" w:hAnsi="Times New Roman" w:cs="Times New Roman"/>
                <w:color w:val="000000"/>
                <w:kern w:val="0"/>
                <w:sz w:val="28"/>
                <w:szCs w:val="28"/>
                <w:lang w:eastAsia="en-IN"/>
                <w14:ligatures w14:val="none"/>
              </w:rPr>
              <w:t>—</w:t>
            </w:r>
          </w:p>
        </w:tc>
        <w:tc>
          <w:tcPr>
            <w:tcW w:w="1688" w:type="dxa"/>
            <w:tcBorders>
              <w:top w:val="nil"/>
              <w:left w:val="nil"/>
              <w:bottom w:val="single" w:sz="4" w:space="0" w:color="auto"/>
              <w:right w:val="single" w:sz="4" w:space="0" w:color="auto"/>
            </w:tcBorders>
            <w:vAlign w:val="center"/>
            <w:hideMark/>
          </w:tcPr>
          <w:p w14:paraId="3EA7A396" w14:textId="77777777" w:rsidR="007933DE" w:rsidRPr="001B5187" w:rsidRDefault="007933DE" w:rsidP="007933DE">
            <w:pPr>
              <w:spacing w:after="0" w:line="240" w:lineRule="auto"/>
              <w:jc w:val="center"/>
              <w:rPr>
                <w:rFonts w:ascii="Times New Roman" w:eastAsia="Times New Roman" w:hAnsi="Times New Roman" w:cs="Times New Roman"/>
                <w:color w:val="000000"/>
                <w:kern w:val="0"/>
                <w:sz w:val="28"/>
                <w:szCs w:val="28"/>
                <w:lang w:eastAsia="en-IN"/>
                <w14:ligatures w14:val="none"/>
              </w:rPr>
            </w:pPr>
            <w:r w:rsidRPr="001B5187">
              <w:rPr>
                <w:rFonts w:ascii="Times New Roman" w:eastAsia="Times New Roman" w:hAnsi="Times New Roman" w:cs="Times New Roman"/>
                <w:color w:val="000000"/>
                <w:kern w:val="0"/>
                <w:sz w:val="28"/>
                <w:szCs w:val="28"/>
                <w:lang w:eastAsia="en-IN"/>
                <w14:ligatures w14:val="none"/>
              </w:rPr>
              <w:t>—</w:t>
            </w:r>
          </w:p>
        </w:tc>
      </w:tr>
      <w:tr w:rsidR="007933DE" w:rsidRPr="001B5187" w14:paraId="3A845318" w14:textId="77777777" w:rsidTr="007933DE">
        <w:trPr>
          <w:trHeight w:val="631"/>
        </w:trPr>
        <w:tc>
          <w:tcPr>
            <w:tcW w:w="1326" w:type="dxa"/>
            <w:tcBorders>
              <w:top w:val="nil"/>
              <w:left w:val="single" w:sz="4" w:space="0" w:color="auto"/>
              <w:bottom w:val="single" w:sz="4" w:space="0" w:color="auto"/>
              <w:right w:val="single" w:sz="4" w:space="0" w:color="auto"/>
            </w:tcBorders>
            <w:vAlign w:val="center"/>
            <w:hideMark/>
          </w:tcPr>
          <w:p w14:paraId="44606FF4" w14:textId="77777777" w:rsidR="007933DE" w:rsidRPr="001B5187" w:rsidRDefault="007933DE" w:rsidP="007933DE">
            <w:pPr>
              <w:spacing w:after="0" w:line="240" w:lineRule="auto"/>
              <w:rPr>
                <w:rFonts w:ascii="Times New Roman" w:eastAsia="Times New Roman" w:hAnsi="Times New Roman" w:cs="Times New Roman"/>
                <w:color w:val="000000"/>
                <w:kern w:val="0"/>
                <w:sz w:val="28"/>
                <w:szCs w:val="28"/>
                <w:lang w:eastAsia="en-IN"/>
                <w14:ligatures w14:val="none"/>
              </w:rPr>
            </w:pPr>
            <w:r w:rsidRPr="001B5187">
              <w:rPr>
                <w:rFonts w:ascii="Times New Roman" w:eastAsia="Times New Roman" w:hAnsi="Times New Roman" w:cs="Times New Roman"/>
                <w:color w:val="000000"/>
                <w:kern w:val="0"/>
                <w:sz w:val="28"/>
                <w:szCs w:val="28"/>
                <w:lang w:eastAsia="en-IN"/>
                <w14:ligatures w14:val="none"/>
              </w:rPr>
              <w:t>Jammu and Kashmir</w:t>
            </w:r>
          </w:p>
        </w:tc>
        <w:tc>
          <w:tcPr>
            <w:tcW w:w="1262" w:type="dxa"/>
            <w:tcBorders>
              <w:top w:val="nil"/>
              <w:left w:val="nil"/>
              <w:bottom w:val="single" w:sz="4" w:space="0" w:color="auto"/>
              <w:right w:val="single" w:sz="4" w:space="0" w:color="auto"/>
            </w:tcBorders>
            <w:vAlign w:val="center"/>
            <w:hideMark/>
          </w:tcPr>
          <w:p w14:paraId="42B3ACB2" w14:textId="77777777" w:rsidR="007933DE" w:rsidRPr="001B5187" w:rsidRDefault="007933DE" w:rsidP="007933DE">
            <w:pPr>
              <w:spacing w:after="0" w:line="240" w:lineRule="auto"/>
              <w:jc w:val="center"/>
              <w:rPr>
                <w:rFonts w:ascii="Times New Roman" w:eastAsia="Times New Roman" w:hAnsi="Times New Roman" w:cs="Times New Roman"/>
                <w:color w:val="000000"/>
                <w:kern w:val="0"/>
                <w:sz w:val="28"/>
                <w:szCs w:val="28"/>
                <w:lang w:eastAsia="en-IN"/>
                <w14:ligatures w14:val="none"/>
              </w:rPr>
            </w:pPr>
            <w:r w:rsidRPr="001B5187">
              <w:rPr>
                <w:rFonts w:ascii="Times New Roman" w:eastAsia="Times New Roman" w:hAnsi="Times New Roman" w:cs="Times New Roman"/>
                <w:color w:val="000000"/>
                <w:kern w:val="0"/>
                <w:sz w:val="28"/>
                <w:szCs w:val="28"/>
                <w:lang w:eastAsia="en-IN"/>
                <w14:ligatures w14:val="none"/>
              </w:rPr>
              <w:t>6</w:t>
            </w:r>
          </w:p>
        </w:tc>
        <w:tc>
          <w:tcPr>
            <w:tcW w:w="1803" w:type="dxa"/>
            <w:tcBorders>
              <w:top w:val="nil"/>
              <w:left w:val="nil"/>
              <w:bottom w:val="single" w:sz="4" w:space="0" w:color="auto"/>
              <w:right w:val="single" w:sz="4" w:space="0" w:color="auto"/>
            </w:tcBorders>
            <w:vAlign w:val="center"/>
            <w:hideMark/>
          </w:tcPr>
          <w:p w14:paraId="01F50654" w14:textId="77777777" w:rsidR="007933DE" w:rsidRPr="001B5187" w:rsidRDefault="007933DE" w:rsidP="007933DE">
            <w:pPr>
              <w:spacing w:after="0" w:line="240" w:lineRule="auto"/>
              <w:jc w:val="center"/>
              <w:rPr>
                <w:rFonts w:ascii="Times New Roman" w:eastAsia="Times New Roman" w:hAnsi="Times New Roman" w:cs="Times New Roman"/>
                <w:color w:val="000000"/>
                <w:kern w:val="0"/>
                <w:sz w:val="28"/>
                <w:szCs w:val="28"/>
                <w:lang w:eastAsia="en-IN"/>
                <w14:ligatures w14:val="none"/>
              </w:rPr>
            </w:pPr>
            <w:r w:rsidRPr="001B5187">
              <w:rPr>
                <w:rFonts w:ascii="Times New Roman" w:eastAsia="Times New Roman" w:hAnsi="Times New Roman" w:cs="Times New Roman"/>
                <w:color w:val="000000"/>
                <w:kern w:val="0"/>
                <w:sz w:val="28"/>
                <w:szCs w:val="28"/>
                <w:lang w:eastAsia="en-IN"/>
                <w14:ligatures w14:val="none"/>
              </w:rPr>
              <w:t>36</w:t>
            </w:r>
          </w:p>
        </w:tc>
        <w:tc>
          <w:tcPr>
            <w:tcW w:w="1146" w:type="dxa"/>
            <w:tcBorders>
              <w:top w:val="nil"/>
              <w:left w:val="nil"/>
              <w:bottom w:val="single" w:sz="4" w:space="0" w:color="auto"/>
              <w:right w:val="single" w:sz="4" w:space="0" w:color="auto"/>
            </w:tcBorders>
            <w:vAlign w:val="center"/>
            <w:hideMark/>
          </w:tcPr>
          <w:p w14:paraId="300079F1" w14:textId="77777777" w:rsidR="007933DE" w:rsidRPr="001B5187" w:rsidRDefault="007933DE" w:rsidP="007933DE">
            <w:pPr>
              <w:spacing w:after="0" w:line="240" w:lineRule="auto"/>
              <w:jc w:val="center"/>
              <w:rPr>
                <w:rFonts w:ascii="Times New Roman" w:eastAsia="Times New Roman" w:hAnsi="Times New Roman" w:cs="Times New Roman"/>
                <w:color w:val="000000"/>
                <w:kern w:val="0"/>
                <w:sz w:val="28"/>
                <w:szCs w:val="28"/>
                <w:lang w:eastAsia="en-IN"/>
                <w14:ligatures w14:val="none"/>
              </w:rPr>
            </w:pPr>
            <w:r w:rsidRPr="001B5187">
              <w:rPr>
                <w:rFonts w:ascii="Times New Roman" w:eastAsia="Times New Roman" w:hAnsi="Times New Roman" w:cs="Times New Roman"/>
                <w:color w:val="000000"/>
                <w:kern w:val="0"/>
                <w:sz w:val="28"/>
                <w:szCs w:val="28"/>
                <w:lang w:eastAsia="en-IN"/>
                <w14:ligatures w14:val="none"/>
              </w:rPr>
              <w:t>—</w:t>
            </w:r>
          </w:p>
        </w:tc>
        <w:tc>
          <w:tcPr>
            <w:tcW w:w="1829" w:type="dxa"/>
            <w:tcBorders>
              <w:top w:val="nil"/>
              <w:left w:val="nil"/>
              <w:bottom w:val="single" w:sz="4" w:space="0" w:color="auto"/>
              <w:right w:val="single" w:sz="4" w:space="0" w:color="auto"/>
            </w:tcBorders>
            <w:vAlign w:val="center"/>
            <w:hideMark/>
          </w:tcPr>
          <w:p w14:paraId="1D52D996" w14:textId="77777777" w:rsidR="007933DE" w:rsidRPr="001B5187" w:rsidRDefault="007933DE" w:rsidP="007933DE">
            <w:pPr>
              <w:spacing w:after="0" w:line="240" w:lineRule="auto"/>
              <w:jc w:val="center"/>
              <w:rPr>
                <w:rFonts w:ascii="Times New Roman" w:eastAsia="Times New Roman" w:hAnsi="Times New Roman" w:cs="Times New Roman"/>
                <w:color w:val="000000"/>
                <w:kern w:val="0"/>
                <w:sz w:val="28"/>
                <w:szCs w:val="28"/>
                <w:lang w:eastAsia="en-IN"/>
                <w14:ligatures w14:val="none"/>
              </w:rPr>
            </w:pPr>
            <w:r w:rsidRPr="001B5187">
              <w:rPr>
                <w:rFonts w:ascii="Times New Roman" w:eastAsia="Times New Roman" w:hAnsi="Times New Roman" w:cs="Times New Roman"/>
                <w:color w:val="000000"/>
                <w:kern w:val="0"/>
                <w:sz w:val="28"/>
                <w:szCs w:val="28"/>
                <w:lang w:eastAsia="en-IN"/>
                <w14:ligatures w14:val="none"/>
              </w:rPr>
              <w:t>—</w:t>
            </w:r>
          </w:p>
        </w:tc>
        <w:tc>
          <w:tcPr>
            <w:tcW w:w="1442" w:type="dxa"/>
            <w:tcBorders>
              <w:top w:val="nil"/>
              <w:left w:val="nil"/>
              <w:bottom w:val="single" w:sz="4" w:space="0" w:color="auto"/>
              <w:right w:val="single" w:sz="4" w:space="0" w:color="auto"/>
            </w:tcBorders>
            <w:vAlign w:val="center"/>
            <w:hideMark/>
          </w:tcPr>
          <w:p w14:paraId="0E722178" w14:textId="77777777" w:rsidR="007933DE" w:rsidRPr="001B5187" w:rsidRDefault="007933DE" w:rsidP="007933DE">
            <w:pPr>
              <w:spacing w:after="0" w:line="240" w:lineRule="auto"/>
              <w:jc w:val="center"/>
              <w:rPr>
                <w:rFonts w:ascii="Times New Roman" w:eastAsia="Times New Roman" w:hAnsi="Times New Roman" w:cs="Times New Roman"/>
                <w:color w:val="000000"/>
                <w:kern w:val="0"/>
                <w:sz w:val="28"/>
                <w:szCs w:val="28"/>
                <w:lang w:eastAsia="en-IN"/>
                <w14:ligatures w14:val="none"/>
              </w:rPr>
            </w:pPr>
            <w:r w:rsidRPr="001B5187">
              <w:rPr>
                <w:rFonts w:ascii="Times New Roman" w:eastAsia="Times New Roman" w:hAnsi="Times New Roman" w:cs="Times New Roman"/>
                <w:color w:val="000000"/>
                <w:kern w:val="0"/>
                <w:sz w:val="28"/>
                <w:szCs w:val="28"/>
                <w:lang w:eastAsia="en-IN"/>
                <w14:ligatures w14:val="none"/>
              </w:rPr>
              <w:t>0.7</w:t>
            </w:r>
          </w:p>
        </w:tc>
        <w:tc>
          <w:tcPr>
            <w:tcW w:w="1688" w:type="dxa"/>
            <w:tcBorders>
              <w:top w:val="nil"/>
              <w:left w:val="nil"/>
              <w:bottom w:val="single" w:sz="4" w:space="0" w:color="auto"/>
              <w:right w:val="single" w:sz="4" w:space="0" w:color="auto"/>
            </w:tcBorders>
            <w:vAlign w:val="center"/>
            <w:hideMark/>
          </w:tcPr>
          <w:p w14:paraId="4B7AA121" w14:textId="77777777" w:rsidR="007933DE" w:rsidRPr="001B5187" w:rsidRDefault="007933DE" w:rsidP="007933DE">
            <w:pPr>
              <w:spacing w:after="0" w:line="240" w:lineRule="auto"/>
              <w:jc w:val="center"/>
              <w:rPr>
                <w:rFonts w:ascii="Times New Roman" w:eastAsia="Times New Roman" w:hAnsi="Times New Roman" w:cs="Times New Roman"/>
                <w:color w:val="000000"/>
                <w:kern w:val="0"/>
                <w:sz w:val="28"/>
                <w:szCs w:val="28"/>
                <w:lang w:eastAsia="en-IN"/>
                <w14:ligatures w14:val="none"/>
              </w:rPr>
            </w:pPr>
            <w:r w:rsidRPr="001B5187">
              <w:rPr>
                <w:rFonts w:ascii="Times New Roman" w:eastAsia="Times New Roman" w:hAnsi="Times New Roman" w:cs="Times New Roman"/>
                <w:color w:val="000000"/>
                <w:kern w:val="0"/>
                <w:sz w:val="28"/>
                <w:szCs w:val="28"/>
                <w:lang w:eastAsia="en-IN"/>
                <w14:ligatures w14:val="none"/>
              </w:rPr>
              <w:t>2.6</w:t>
            </w:r>
          </w:p>
        </w:tc>
      </w:tr>
      <w:tr w:rsidR="007933DE" w:rsidRPr="001B5187" w14:paraId="637CD23F" w14:textId="77777777" w:rsidTr="007933DE">
        <w:trPr>
          <w:trHeight w:val="315"/>
        </w:trPr>
        <w:tc>
          <w:tcPr>
            <w:tcW w:w="1326" w:type="dxa"/>
            <w:tcBorders>
              <w:top w:val="nil"/>
              <w:left w:val="single" w:sz="4" w:space="0" w:color="auto"/>
              <w:bottom w:val="single" w:sz="4" w:space="0" w:color="auto"/>
              <w:right w:val="single" w:sz="4" w:space="0" w:color="auto"/>
            </w:tcBorders>
            <w:vAlign w:val="center"/>
            <w:hideMark/>
          </w:tcPr>
          <w:p w14:paraId="01748CF9" w14:textId="77777777" w:rsidR="007933DE" w:rsidRPr="001B5187" w:rsidRDefault="007933DE" w:rsidP="007933DE">
            <w:pPr>
              <w:spacing w:after="0" w:line="240" w:lineRule="auto"/>
              <w:rPr>
                <w:rFonts w:ascii="Times New Roman" w:eastAsia="Times New Roman" w:hAnsi="Times New Roman" w:cs="Times New Roman"/>
                <w:color w:val="000000"/>
                <w:kern w:val="0"/>
                <w:sz w:val="28"/>
                <w:szCs w:val="28"/>
                <w:lang w:eastAsia="en-IN"/>
                <w14:ligatures w14:val="none"/>
              </w:rPr>
            </w:pPr>
            <w:r w:rsidRPr="001B5187">
              <w:rPr>
                <w:rFonts w:ascii="Times New Roman" w:eastAsia="Times New Roman" w:hAnsi="Times New Roman" w:cs="Times New Roman"/>
                <w:color w:val="000000"/>
                <w:kern w:val="0"/>
                <w:sz w:val="28"/>
                <w:szCs w:val="28"/>
                <w:lang w:eastAsia="en-IN"/>
                <w14:ligatures w14:val="none"/>
              </w:rPr>
              <w:t>Kerala</w:t>
            </w:r>
          </w:p>
        </w:tc>
        <w:tc>
          <w:tcPr>
            <w:tcW w:w="1262" w:type="dxa"/>
            <w:tcBorders>
              <w:top w:val="nil"/>
              <w:left w:val="nil"/>
              <w:bottom w:val="single" w:sz="4" w:space="0" w:color="auto"/>
              <w:right w:val="single" w:sz="4" w:space="0" w:color="auto"/>
            </w:tcBorders>
            <w:vAlign w:val="center"/>
            <w:hideMark/>
          </w:tcPr>
          <w:p w14:paraId="6F50EA58" w14:textId="77777777" w:rsidR="007933DE" w:rsidRPr="001B5187" w:rsidRDefault="007933DE" w:rsidP="007933DE">
            <w:pPr>
              <w:spacing w:after="0" w:line="240" w:lineRule="auto"/>
              <w:jc w:val="center"/>
              <w:rPr>
                <w:rFonts w:ascii="Times New Roman" w:eastAsia="Times New Roman" w:hAnsi="Times New Roman" w:cs="Times New Roman"/>
                <w:color w:val="000000"/>
                <w:kern w:val="0"/>
                <w:sz w:val="28"/>
                <w:szCs w:val="28"/>
                <w:lang w:eastAsia="en-IN"/>
                <w14:ligatures w14:val="none"/>
              </w:rPr>
            </w:pPr>
            <w:r w:rsidRPr="001B5187">
              <w:rPr>
                <w:rFonts w:ascii="Times New Roman" w:eastAsia="Times New Roman" w:hAnsi="Times New Roman" w:cs="Times New Roman"/>
                <w:color w:val="000000"/>
                <w:kern w:val="0"/>
                <w:sz w:val="28"/>
                <w:szCs w:val="28"/>
                <w:lang w:eastAsia="en-IN"/>
                <w14:ligatures w14:val="none"/>
              </w:rPr>
              <w:t>33</w:t>
            </w:r>
          </w:p>
        </w:tc>
        <w:tc>
          <w:tcPr>
            <w:tcW w:w="1803" w:type="dxa"/>
            <w:tcBorders>
              <w:top w:val="nil"/>
              <w:left w:val="nil"/>
              <w:bottom w:val="single" w:sz="4" w:space="0" w:color="auto"/>
              <w:right w:val="single" w:sz="4" w:space="0" w:color="auto"/>
            </w:tcBorders>
            <w:vAlign w:val="center"/>
            <w:hideMark/>
          </w:tcPr>
          <w:p w14:paraId="0E3B3386" w14:textId="77777777" w:rsidR="007933DE" w:rsidRPr="001B5187" w:rsidRDefault="007933DE" w:rsidP="007933DE">
            <w:pPr>
              <w:spacing w:after="0" w:line="240" w:lineRule="auto"/>
              <w:jc w:val="center"/>
              <w:rPr>
                <w:rFonts w:ascii="Times New Roman" w:eastAsia="Times New Roman" w:hAnsi="Times New Roman" w:cs="Times New Roman"/>
                <w:color w:val="000000"/>
                <w:kern w:val="0"/>
                <w:sz w:val="28"/>
                <w:szCs w:val="28"/>
                <w:lang w:eastAsia="en-IN"/>
                <w14:ligatures w14:val="none"/>
              </w:rPr>
            </w:pPr>
            <w:r w:rsidRPr="001B5187">
              <w:rPr>
                <w:rFonts w:ascii="Times New Roman" w:eastAsia="Times New Roman" w:hAnsi="Times New Roman" w:cs="Times New Roman"/>
                <w:color w:val="000000"/>
                <w:kern w:val="0"/>
                <w:sz w:val="28"/>
                <w:szCs w:val="28"/>
                <w:lang w:eastAsia="en-IN"/>
                <w14:ligatures w14:val="none"/>
              </w:rPr>
              <w:t>365</w:t>
            </w:r>
          </w:p>
        </w:tc>
        <w:tc>
          <w:tcPr>
            <w:tcW w:w="1146" w:type="dxa"/>
            <w:tcBorders>
              <w:top w:val="nil"/>
              <w:left w:val="nil"/>
              <w:bottom w:val="single" w:sz="4" w:space="0" w:color="auto"/>
              <w:right w:val="single" w:sz="4" w:space="0" w:color="auto"/>
            </w:tcBorders>
            <w:vAlign w:val="center"/>
            <w:hideMark/>
          </w:tcPr>
          <w:p w14:paraId="10345CF2" w14:textId="77777777" w:rsidR="007933DE" w:rsidRPr="001B5187" w:rsidRDefault="007933DE" w:rsidP="007933DE">
            <w:pPr>
              <w:spacing w:after="0" w:line="240" w:lineRule="auto"/>
              <w:jc w:val="center"/>
              <w:rPr>
                <w:rFonts w:ascii="Times New Roman" w:eastAsia="Times New Roman" w:hAnsi="Times New Roman" w:cs="Times New Roman"/>
                <w:color w:val="000000"/>
                <w:kern w:val="0"/>
                <w:sz w:val="28"/>
                <w:szCs w:val="28"/>
                <w:lang w:eastAsia="en-IN"/>
                <w14:ligatures w14:val="none"/>
              </w:rPr>
            </w:pPr>
            <w:r w:rsidRPr="001B5187">
              <w:rPr>
                <w:rFonts w:ascii="Times New Roman" w:eastAsia="Times New Roman" w:hAnsi="Times New Roman" w:cs="Times New Roman"/>
                <w:color w:val="000000"/>
                <w:kern w:val="0"/>
                <w:sz w:val="28"/>
                <w:szCs w:val="28"/>
                <w:lang w:eastAsia="en-IN"/>
                <w14:ligatures w14:val="none"/>
              </w:rPr>
              <w:t>39</w:t>
            </w:r>
          </w:p>
        </w:tc>
        <w:tc>
          <w:tcPr>
            <w:tcW w:w="1829" w:type="dxa"/>
            <w:tcBorders>
              <w:top w:val="nil"/>
              <w:left w:val="nil"/>
              <w:bottom w:val="single" w:sz="4" w:space="0" w:color="auto"/>
              <w:right w:val="single" w:sz="4" w:space="0" w:color="auto"/>
            </w:tcBorders>
            <w:vAlign w:val="center"/>
            <w:hideMark/>
          </w:tcPr>
          <w:p w14:paraId="43DE6B68" w14:textId="77777777" w:rsidR="007933DE" w:rsidRPr="001B5187" w:rsidRDefault="007933DE" w:rsidP="007933DE">
            <w:pPr>
              <w:spacing w:after="0" w:line="240" w:lineRule="auto"/>
              <w:jc w:val="center"/>
              <w:rPr>
                <w:rFonts w:ascii="Times New Roman" w:eastAsia="Times New Roman" w:hAnsi="Times New Roman" w:cs="Times New Roman"/>
                <w:color w:val="000000"/>
                <w:kern w:val="0"/>
                <w:sz w:val="28"/>
                <w:szCs w:val="28"/>
                <w:lang w:eastAsia="en-IN"/>
                <w14:ligatures w14:val="none"/>
              </w:rPr>
            </w:pPr>
            <w:r w:rsidRPr="001B5187">
              <w:rPr>
                <w:rFonts w:ascii="Times New Roman" w:eastAsia="Times New Roman" w:hAnsi="Times New Roman" w:cs="Times New Roman"/>
                <w:color w:val="000000"/>
                <w:kern w:val="0"/>
                <w:sz w:val="28"/>
                <w:szCs w:val="28"/>
                <w:lang w:eastAsia="en-IN"/>
                <w14:ligatures w14:val="none"/>
              </w:rPr>
              <w:t>20</w:t>
            </w:r>
          </w:p>
        </w:tc>
        <w:tc>
          <w:tcPr>
            <w:tcW w:w="1442" w:type="dxa"/>
            <w:tcBorders>
              <w:top w:val="nil"/>
              <w:left w:val="nil"/>
              <w:bottom w:val="single" w:sz="4" w:space="0" w:color="auto"/>
              <w:right w:val="single" w:sz="4" w:space="0" w:color="auto"/>
            </w:tcBorders>
            <w:vAlign w:val="center"/>
            <w:hideMark/>
          </w:tcPr>
          <w:p w14:paraId="46CB5729" w14:textId="77777777" w:rsidR="007933DE" w:rsidRPr="001B5187" w:rsidRDefault="007933DE" w:rsidP="007933DE">
            <w:pPr>
              <w:spacing w:after="0" w:line="240" w:lineRule="auto"/>
              <w:jc w:val="center"/>
              <w:rPr>
                <w:rFonts w:ascii="Times New Roman" w:eastAsia="Times New Roman" w:hAnsi="Times New Roman" w:cs="Times New Roman"/>
                <w:color w:val="000000"/>
                <w:kern w:val="0"/>
                <w:sz w:val="28"/>
                <w:szCs w:val="28"/>
                <w:lang w:eastAsia="en-IN"/>
                <w14:ligatures w14:val="none"/>
              </w:rPr>
            </w:pPr>
            <w:r w:rsidRPr="001B5187">
              <w:rPr>
                <w:rFonts w:ascii="Times New Roman" w:eastAsia="Times New Roman" w:hAnsi="Times New Roman" w:cs="Times New Roman"/>
                <w:color w:val="000000"/>
                <w:kern w:val="0"/>
                <w:sz w:val="28"/>
                <w:szCs w:val="28"/>
                <w:lang w:eastAsia="en-IN"/>
                <w14:ligatures w14:val="none"/>
              </w:rPr>
              <w:t>21.7</w:t>
            </w:r>
          </w:p>
        </w:tc>
        <w:tc>
          <w:tcPr>
            <w:tcW w:w="1688" w:type="dxa"/>
            <w:tcBorders>
              <w:top w:val="nil"/>
              <w:left w:val="nil"/>
              <w:bottom w:val="single" w:sz="4" w:space="0" w:color="auto"/>
              <w:right w:val="single" w:sz="4" w:space="0" w:color="auto"/>
            </w:tcBorders>
            <w:vAlign w:val="center"/>
            <w:hideMark/>
          </w:tcPr>
          <w:p w14:paraId="01DBACB2" w14:textId="77777777" w:rsidR="007933DE" w:rsidRPr="001B5187" w:rsidRDefault="007933DE" w:rsidP="007933DE">
            <w:pPr>
              <w:spacing w:after="0" w:line="240" w:lineRule="auto"/>
              <w:jc w:val="center"/>
              <w:rPr>
                <w:rFonts w:ascii="Times New Roman" w:eastAsia="Times New Roman" w:hAnsi="Times New Roman" w:cs="Times New Roman"/>
                <w:color w:val="000000"/>
                <w:kern w:val="0"/>
                <w:sz w:val="28"/>
                <w:szCs w:val="28"/>
                <w:lang w:eastAsia="en-IN"/>
                <w14:ligatures w14:val="none"/>
              </w:rPr>
            </w:pPr>
            <w:r w:rsidRPr="001B5187">
              <w:rPr>
                <w:rFonts w:ascii="Times New Roman" w:eastAsia="Times New Roman" w:hAnsi="Times New Roman" w:cs="Times New Roman"/>
                <w:color w:val="000000"/>
                <w:kern w:val="0"/>
                <w:sz w:val="28"/>
                <w:szCs w:val="28"/>
                <w:lang w:eastAsia="en-IN"/>
                <w14:ligatures w14:val="none"/>
              </w:rPr>
              <w:t>33.1</w:t>
            </w:r>
          </w:p>
        </w:tc>
      </w:tr>
      <w:tr w:rsidR="007933DE" w:rsidRPr="001B5187" w14:paraId="47CF892B" w14:textId="77777777" w:rsidTr="007933DE">
        <w:trPr>
          <w:trHeight w:val="315"/>
        </w:trPr>
        <w:tc>
          <w:tcPr>
            <w:tcW w:w="1326" w:type="dxa"/>
            <w:tcBorders>
              <w:top w:val="nil"/>
              <w:left w:val="single" w:sz="4" w:space="0" w:color="auto"/>
              <w:bottom w:val="single" w:sz="4" w:space="0" w:color="auto"/>
              <w:right w:val="single" w:sz="4" w:space="0" w:color="auto"/>
            </w:tcBorders>
            <w:vAlign w:val="center"/>
            <w:hideMark/>
          </w:tcPr>
          <w:p w14:paraId="469AB3D3" w14:textId="77777777" w:rsidR="007933DE" w:rsidRPr="001B5187" w:rsidRDefault="007933DE" w:rsidP="007933DE">
            <w:pPr>
              <w:spacing w:after="0" w:line="240" w:lineRule="auto"/>
              <w:rPr>
                <w:rFonts w:ascii="Times New Roman" w:eastAsia="Times New Roman" w:hAnsi="Times New Roman" w:cs="Times New Roman"/>
                <w:color w:val="000000"/>
                <w:kern w:val="0"/>
                <w:sz w:val="28"/>
                <w:szCs w:val="28"/>
                <w:lang w:eastAsia="en-IN"/>
                <w14:ligatures w14:val="none"/>
              </w:rPr>
            </w:pPr>
            <w:r w:rsidRPr="001B5187">
              <w:rPr>
                <w:rFonts w:ascii="Times New Roman" w:eastAsia="Times New Roman" w:hAnsi="Times New Roman" w:cs="Times New Roman"/>
                <w:color w:val="000000"/>
                <w:kern w:val="0"/>
                <w:sz w:val="28"/>
                <w:szCs w:val="28"/>
                <w:lang w:eastAsia="en-IN"/>
                <w14:ligatures w14:val="none"/>
              </w:rPr>
              <w:t>Madhya Pradesh</w:t>
            </w:r>
          </w:p>
        </w:tc>
        <w:tc>
          <w:tcPr>
            <w:tcW w:w="1262" w:type="dxa"/>
            <w:tcBorders>
              <w:top w:val="nil"/>
              <w:left w:val="nil"/>
              <w:bottom w:val="single" w:sz="4" w:space="0" w:color="auto"/>
              <w:right w:val="single" w:sz="4" w:space="0" w:color="auto"/>
            </w:tcBorders>
            <w:vAlign w:val="center"/>
            <w:hideMark/>
          </w:tcPr>
          <w:p w14:paraId="37F17693" w14:textId="77777777" w:rsidR="007933DE" w:rsidRPr="001B5187" w:rsidRDefault="007933DE" w:rsidP="007933DE">
            <w:pPr>
              <w:spacing w:after="0" w:line="240" w:lineRule="auto"/>
              <w:jc w:val="center"/>
              <w:rPr>
                <w:rFonts w:ascii="Times New Roman" w:eastAsia="Times New Roman" w:hAnsi="Times New Roman" w:cs="Times New Roman"/>
                <w:color w:val="000000"/>
                <w:kern w:val="0"/>
                <w:sz w:val="28"/>
                <w:szCs w:val="28"/>
                <w:lang w:eastAsia="en-IN"/>
                <w14:ligatures w14:val="none"/>
              </w:rPr>
            </w:pPr>
            <w:r w:rsidRPr="001B5187">
              <w:rPr>
                <w:rFonts w:ascii="Times New Roman" w:eastAsia="Times New Roman" w:hAnsi="Times New Roman" w:cs="Times New Roman"/>
                <w:color w:val="000000"/>
                <w:kern w:val="0"/>
                <w:sz w:val="28"/>
                <w:szCs w:val="28"/>
                <w:lang w:eastAsia="en-IN"/>
                <w14:ligatures w14:val="none"/>
              </w:rPr>
              <w:t>39</w:t>
            </w:r>
          </w:p>
        </w:tc>
        <w:tc>
          <w:tcPr>
            <w:tcW w:w="1803" w:type="dxa"/>
            <w:tcBorders>
              <w:top w:val="nil"/>
              <w:left w:val="nil"/>
              <w:bottom w:val="single" w:sz="4" w:space="0" w:color="auto"/>
              <w:right w:val="single" w:sz="4" w:space="0" w:color="auto"/>
            </w:tcBorders>
            <w:vAlign w:val="center"/>
            <w:hideMark/>
          </w:tcPr>
          <w:p w14:paraId="455EC5D6" w14:textId="77777777" w:rsidR="007933DE" w:rsidRPr="001B5187" w:rsidRDefault="007933DE" w:rsidP="007933DE">
            <w:pPr>
              <w:spacing w:after="0" w:line="240" w:lineRule="auto"/>
              <w:jc w:val="center"/>
              <w:rPr>
                <w:rFonts w:ascii="Times New Roman" w:eastAsia="Times New Roman" w:hAnsi="Times New Roman" w:cs="Times New Roman"/>
                <w:color w:val="000000"/>
                <w:kern w:val="0"/>
                <w:sz w:val="28"/>
                <w:szCs w:val="28"/>
                <w:lang w:eastAsia="en-IN"/>
                <w14:ligatures w14:val="none"/>
              </w:rPr>
            </w:pPr>
            <w:r w:rsidRPr="001B5187">
              <w:rPr>
                <w:rFonts w:ascii="Times New Roman" w:eastAsia="Times New Roman" w:hAnsi="Times New Roman" w:cs="Times New Roman"/>
                <w:color w:val="000000"/>
                <w:kern w:val="0"/>
                <w:sz w:val="28"/>
                <w:szCs w:val="28"/>
                <w:lang w:eastAsia="en-IN"/>
                <w14:ligatures w14:val="none"/>
              </w:rPr>
              <w:t>377</w:t>
            </w:r>
          </w:p>
        </w:tc>
        <w:tc>
          <w:tcPr>
            <w:tcW w:w="1146" w:type="dxa"/>
            <w:tcBorders>
              <w:top w:val="nil"/>
              <w:left w:val="nil"/>
              <w:bottom w:val="single" w:sz="4" w:space="0" w:color="auto"/>
              <w:right w:val="single" w:sz="4" w:space="0" w:color="auto"/>
            </w:tcBorders>
            <w:vAlign w:val="center"/>
            <w:hideMark/>
          </w:tcPr>
          <w:p w14:paraId="5FD873D0" w14:textId="77777777" w:rsidR="007933DE" w:rsidRPr="001B5187" w:rsidRDefault="007933DE" w:rsidP="007933DE">
            <w:pPr>
              <w:spacing w:after="0" w:line="240" w:lineRule="auto"/>
              <w:jc w:val="center"/>
              <w:rPr>
                <w:rFonts w:ascii="Times New Roman" w:eastAsia="Times New Roman" w:hAnsi="Times New Roman" w:cs="Times New Roman"/>
                <w:color w:val="000000"/>
                <w:kern w:val="0"/>
                <w:sz w:val="28"/>
                <w:szCs w:val="28"/>
                <w:lang w:eastAsia="en-IN"/>
                <w14:ligatures w14:val="none"/>
              </w:rPr>
            </w:pPr>
            <w:r w:rsidRPr="001B5187">
              <w:rPr>
                <w:rFonts w:ascii="Times New Roman" w:eastAsia="Times New Roman" w:hAnsi="Times New Roman" w:cs="Times New Roman"/>
                <w:color w:val="000000"/>
                <w:kern w:val="0"/>
                <w:sz w:val="28"/>
                <w:szCs w:val="28"/>
                <w:lang w:eastAsia="en-IN"/>
                <w14:ligatures w14:val="none"/>
              </w:rPr>
              <w:t>5</w:t>
            </w:r>
          </w:p>
        </w:tc>
        <w:tc>
          <w:tcPr>
            <w:tcW w:w="1829" w:type="dxa"/>
            <w:tcBorders>
              <w:top w:val="nil"/>
              <w:left w:val="nil"/>
              <w:bottom w:val="single" w:sz="4" w:space="0" w:color="auto"/>
              <w:right w:val="single" w:sz="4" w:space="0" w:color="auto"/>
            </w:tcBorders>
            <w:vAlign w:val="center"/>
            <w:hideMark/>
          </w:tcPr>
          <w:p w14:paraId="0DDFE0EF" w14:textId="77777777" w:rsidR="007933DE" w:rsidRPr="001B5187" w:rsidRDefault="007933DE" w:rsidP="007933DE">
            <w:pPr>
              <w:spacing w:after="0" w:line="240" w:lineRule="auto"/>
              <w:jc w:val="center"/>
              <w:rPr>
                <w:rFonts w:ascii="Times New Roman" w:eastAsia="Times New Roman" w:hAnsi="Times New Roman" w:cs="Times New Roman"/>
                <w:color w:val="000000"/>
                <w:kern w:val="0"/>
                <w:sz w:val="28"/>
                <w:szCs w:val="28"/>
                <w:lang w:eastAsia="en-IN"/>
                <w14:ligatures w14:val="none"/>
              </w:rPr>
            </w:pPr>
            <w:r w:rsidRPr="001B5187">
              <w:rPr>
                <w:rFonts w:ascii="Times New Roman" w:eastAsia="Times New Roman" w:hAnsi="Times New Roman" w:cs="Times New Roman"/>
                <w:color w:val="000000"/>
                <w:kern w:val="0"/>
                <w:sz w:val="28"/>
                <w:szCs w:val="28"/>
                <w:lang w:eastAsia="en-IN"/>
                <w14:ligatures w14:val="none"/>
              </w:rPr>
              <w:t>10</w:t>
            </w:r>
          </w:p>
        </w:tc>
        <w:tc>
          <w:tcPr>
            <w:tcW w:w="1442" w:type="dxa"/>
            <w:tcBorders>
              <w:top w:val="nil"/>
              <w:left w:val="nil"/>
              <w:bottom w:val="single" w:sz="4" w:space="0" w:color="auto"/>
              <w:right w:val="single" w:sz="4" w:space="0" w:color="auto"/>
            </w:tcBorders>
            <w:vAlign w:val="center"/>
            <w:hideMark/>
          </w:tcPr>
          <w:p w14:paraId="60C4F9A7" w14:textId="77777777" w:rsidR="007933DE" w:rsidRPr="001B5187" w:rsidRDefault="007933DE" w:rsidP="007933DE">
            <w:pPr>
              <w:spacing w:after="0" w:line="240" w:lineRule="auto"/>
              <w:jc w:val="center"/>
              <w:rPr>
                <w:rFonts w:ascii="Times New Roman" w:eastAsia="Times New Roman" w:hAnsi="Times New Roman" w:cs="Times New Roman"/>
                <w:color w:val="000000"/>
                <w:kern w:val="0"/>
                <w:sz w:val="28"/>
                <w:szCs w:val="28"/>
                <w:lang w:eastAsia="en-IN"/>
                <w14:ligatures w14:val="none"/>
              </w:rPr>
            </w:pPr>
            <w:r w:rsidRPr="001B5187">
              <w:rPr>
                <w:rFonts w:ascii="Times New Roman" w:eastAsia="Times New Roman" w:hAnsi="Times New Roman" w:cs="Times New Roman"/>
                <w:color w:val="000000"/>
                <w:kern w:val="0"/>
                <w:sz w:val="28"/>
                <w:szCs w:val="28"/>
                <w:lang w:eastAsia="en-IN"/>
                <w14:ligatures w14:val="none"/>
              </w:rPr>
              <w:t>13.2</w:t>
            </w:r>
          </w:p>
        </w:tc>
        <w:tc>
          <w:tcPr>
            <w:tcW w:w="1688" w:type="dxa"/>
            <w:tcBorders>
              <w:top w:val="nil"/>
              <w:left w:val="nil"/>
              <w:bottom w:val="single" w:sz="4" w:space="0" w:color="auto"/>
              <w:right w:val="single" w:sz="4" w:space="0" w:color="auto"/>
            </w:tcBorders>
            <w:vAlign w:val="center"/>
            <w:hideMark/>
          </w:tcPr>
          <w:p w14:paraId="7FAA6AC8" w14:textId="77777777" w:rsidR="007933DE" w:rsidRPr="001B5187" w:rsidRDefault="007933DE" w:rsidP="007933DE">
            <w:pPr>
              <w:spacing w:after="0" w:line="240" w:lineRule="auto"/>
              <w:jc w:val="center"/>
              <w:rPr>
                <w:rFonts w:ascii="Times New Roman" w:eastAsia="Times New Roman" w:hAnsi="Times New Roman" w:cs="Times New Roman"/>
                <w:color w:val="000000"/>
                <w:kern w:val="0"/>
                <w:sz w:val="28"/>
                <w:szCs w:val="28"/>
                <w:lang w:eastAsia="en-IN"/>
                <w14:ligatures w14:val="none"/>
              </w:rPr>
            </w:pPr>
            <w:r w:rsidRPr="001B5187">
              <w:rPr>
                <w:rFonts w:ascii="Times New Roman" w:eastAsia="Times New Roman" w:hAnsi="Times New Roman" w:cs="Times New Roman"/>
                <w:color w:val="000000"/>
                <w:kern w:val="0"/>
                <w:sz w:val="28"/>
                <w:szCs w:val="28"/>
                <w:lang w:eastAsia="en-IN"/>
                <w14:ligatures w14:val="none"/>
              </w:rPr>
              <w:t>48.9</w:t>
            </w:r>
          </w:p>
        </w:tc>
      </w:tr>
      <w:tr w:rsidR="007933DE" w:rsidRPr="001B5187" w14:paraId="55E812D4" w14:textId="77777777" w:rsidTr="007933DE">
        <w:trPr>
          <w:trHeight w:val="315"/>
        </w:trPr>
        <w:tc>
          <w:tcPr>
            <w:tcW w:w="1326" w:type="dxa"/>
            <w:tcBorders>
              <w:top w:val="nil"/>
              <w:left w:val="single" w:sz="4" w:space="0" w:color="auto"/>
              <w:bottom w:val="single" w:sz="4" w:space="0" w:color="auto"/>
              <w:right w:val="single" w:sz="4" w:space="0" w:color="auto"/>
            </w:tcBorders>
            <w:vAlign w:val="center"/>
            <w:hideMark/>
          </w:tcPr>
          <w:p w14:paraId="7FCE230A" w14:textId="77777777" w:rsidR="007933DE" w:rsidRPr="001B5187" w:rsidRDefault="007933DE" w:rsidP="007933DE">
            <w:pPr>
              <w:spacing w:after="0" w:line="240" w:lineRule="auto"/>
              <w:rPr>
                <w:rFonts w:ascii="Times New Roman" w:eastAsia="Times New Roman" w:hAnsi="Times New Roman" w:cs="Times New Roman"/>
                <w:color w:val="000000"/>
                <w:kern w:val="0"/>
                <w:sz w:val="28"/>
                <w:szCs w:val="28"/>
                <w:lang w:eastAsia="en-IN"/>
                <w14:ligatures w14:val="none"/>
              </w:rPr>
            </w:pPr>
            <w:r w:rsidRPr="001B5187">
              <w:rPr>
                <w:rFonts w:ascii="Times New Roman" w:eastAsia="Times New Roman" w:hAnsi="Times New Roman" w:cs="Times New Roman"/>
                <w:color w:val="000000"/>
                <w:kern w:val="0"/>
                <w:sz w:val="28"/>
                <w:szCs w:val="28"/>
                <w:lang w:eastAsia="en-IN"/>
                <w14:ligatures w14:val="none"/>
              </w:rPr>
              <w:t>Maharashtra</w:t>
            </w:r>
          </w:p>
        </w:tc>
        <w:tc>
          <w:tcPr>
            <w:tcW w:w="1262" w:type="dxa"/>
            <w:tcBorders>
              <w:top w:val="nil"/>
              <w:left w:val="nil"/>
              <w:bottom w:val="single" w:sz="4" w:space="0" w:color="auto"/>
              <w:right w:val="single" w:sz="4" w:space="0" w:color="auto"/>
            </w:tcBorders>
            <w:vAlign w:val="center"/>
            <w:hideMark/>
          </w:tcPr>
          <w:p w14:paraId="22233078" w14:textId="77777777" w:rsidR="007933DE" w:rsidRPr="001B5187" w:rsidRDefault="007933DE" w:rsidP="007933DE">
            <w:pPr>
              <w:spacing w:after="0" w:line="240" w:lineRule="auto"/>
              <w:jc w:val="center"/>
              <w:rPr>
                <w:rFonts w:ascii="Times New Roman" w:eastAsia="Times New Roman" w:hAnsi="Times New Roman" w:cs="Times New Roman"/>
                <w:color w:val="000000"/>
                <w:kern w:val="0"/>
                <w:sz w:val="28"/>
                <w:szCs w:val="28"/>
                <w:lang w:eastAsia="en-IN"/>
                <w14:ligatures w14:val="none"/>
              </w:rPr>
            </w:pPr>
            <w:r w:rsidRPr="001B5187">
              <w:rPr>
                <w:rFonts w:ascii="Times New Roman" w:eastAsia="Times New Roman" w:hAnsi="Times New Roman" w:cs="Times New Roman"/>
                <w:color w:val="000000"/>
                <w:kern w:val="0"/>
                <w:sz w:val="28"/>
                <w:szCs w:val="28"/>
                <w:lang w:eastAsia="en-IN"/>
                <w14:ligatures w14:val="none"/>
              </w:rPr>
              <w:t>339</w:t>
            </w:r>
          </w:p>
        </w:tc>
        <w:tc>
          <w:tcPr>
            <w:tcW w:w="1803" w:type="dxa"/>
            <w:tcBorders>
              <w:top w:val="nil"/>
              <w:left w:val="nil"/>
              <w:bottom w:val="single" w:sz="4" w:space="0" w:color="auto"/>
              <w:right w:val="single" w:sz="4" w:space="0" w:color="auto"/>
            </w:tcBorders>
            <w:vAlign w:val="center"/>
            <w:hideMark/>
          </w:tcPr>
          <w:p w14:paraId="3B072C8F" w14:textId="77777777" w:rsidR="007933DE" w:rsidRPr="001B5187" w:rsidRDefault="007933DE" w:rsidP="007933DE">
            <w:pPr>
              <w:spacing w:after="0" w:line="240" w:lineRule="auto"/>
              <w:jc w:val="center"/>
              <w:rPr>
                <w:rFonts w:ascii="Times New Roman" w:eastAsia="Times New Roman" w:hAnsi="Times New Roman" w:cs="Times New Roman"/>
                <w:color w:val="000000"/>
                <w:kern w:val="0"/>
                <w:sz w:val="28"/>
                <w:szCs w:val="28"/>
                <w:lang w:eastAsia="en-IN"/>
                <w14:ligatures w14:val="none"/>
              </w:rPr>
            </w:pPr>
            <w:r w:rsidRPr="001B5187">
              <w:rPr>
                <w:rFonts w:ascii="Times New Roman" w:eastAsia="Times New Roman" w:hAnsi="Times New Roman" w:cs="Times New Roman"/>
                <w:color w:val="000000"/>
                <w:kern w:val="0"/>
                <w:sz w:val="28"/>
                <w:szCs w:val="28"/>
                <w:lang w:eastAsia="en-IN"/>
                <w14:ligatures w14:val="none"/>
              </w:rPr>
              <w:t>1455</w:t>
            </w:r>
          </w:p>
        </w:tc>
        <w:tc>
          <w:tcPr>
            <w:tcW w:w="1146" w:type="dxa"/>
            <w:tcBorders>
              <w:top w:val="nil"/>
              <w:left w:val="nil"/>
              <w:bottom w:val="single" w:sz="4" w:space="0" w:color="auto"/>
              <w:right w:val="single" w:sz="4" w:space="0" w:color="auto"/>
            </w:tcBorders>
            <w:vAlign w:val="center"/>
            <w:hideMark/>
          </w:tcPr>
          <w:p w14:paraId="1D452FEF" w14:textId="77777777" w:rsidR="007933DE" w:rsidRPr="001B5187" w:rsidRDefault="007933DE" w:rsidP="007933DE">
            <w:pPr>
              <w:spacing w:after="0" w:line="240" w:lineRule="auto"/>
              <w:jc w:val="center"/>
              <w:rPr>
                <w:rFonts w:ascii="Times New Roman" w:eastAsia="Times New Roman" w:hAnsi="Times New Roman" w:cs="Times New Roman"/>
                <w:color w:val="000000"/>
                <w:kern w:val="0"/>
                <w:sz w:val="28"/>
                <w:szCs w:val="28"/>
                <w:lang w:eastAsia="en-IN"/>
                <w14:ligatures w14:val="none"/>
              </w:rPr>
            </w:pPr>
            <w:r w:rsidRPr="001B5187">
              <w:rPr>
                <w:rFonts w:ascii="Times New Roman" w:eastAsia="Times New Roman" w:hAnsi="Times New Roman" w:cs="Times New Roman"/>
                <w:color w:val="000000"/>
                <w:kern w:val="0"/>
                <w:sz w:val="28"/>
                <w:szCs w:val="28"/>
                <w:lang w:eastAsia="en-IN"/>
                <w14:ligatures w14:val="none"/>
              </w:rPr>
              <w:t>170†</w:t>
            </w:r>
          </w:p>
        </w:tc>
        <w:tc>
          <w:tcPr>
            <w:tcW w:w="1829" w:type="dxa"/>
            <w:tcBorders>
              <w:top w:val="nil"/>
              <w:left w:val="nil"/>
              <w:bottom w:val="single" w:sz="4" w:space="0" w:color="auto"/>
              <w:right w:val="single" w:sz="4" w:space="0" w:color="auto"/>
            </w:tcBorders>
            <w:vAlign w:val="center"/>
            <w:hideMark/>
          </w:tcPr>
          <w:p w14:paraId="024CB055" w14:textId="77777777" w:rsidR="007933DE" w:rsidRPr="001B5187" w:rsidRDefault="007933DE" w:rsidP="007933DE">
            <w:pPr>
              <w:spacing w:after="0" w:line="240" w:lineRule="auto"/>
              <w:jc w:val="center"/>
              <w:rPr>
                <w:rFonts w:ascii="Times New Roman" w:eastAsia="Times New Roman" w:hAnsi="Times New Roman" w:cs="Times New Roman"/>
                <w:color w:val="000000"/>
                <w:kern w:val="0"/>
                <w:sz w:val="28"/>
                <w:szCs w:val="28"/>
                <w:lang w:eastAsia="en-IN"/>
                <w14:ligatures w14:val="none"/>
              </w:rPr>
            </w:pPr>
            <w:r w:rsidRPr="001B5187">
              <w:rPr>
                <w:rFonts w:ascii="Times New Roman" w:eastAsia="Times New Roman" w:hAnsi="Times New Roman" w:cs="Times New Roman"/>
                <w:color w:val="000000"/>
                <w:kern w:val="0"/>
                <w:sz w:val="28"/>
                <w:szCs w:val="28"/>
                <w:lang w:eastAsia="en-IN"/>
                <w14:ligatures w14:val="none"/>
              </w:rPr>
              <w:t>288†</w:t>
            </w:r>
          </w:p>
        </w:tc>
        <w:tc>
          <w:tcPr>
            <w:tcW w:w="1442" w:type="dxa"/>
            <w:tcBorders>
              <w:top w:val="nil"/>
              <w:left w:val="nil"/>
              <w:bottom w:val="single" w:sz="4" w:space="0" w:color="auto"/>
              <w:right w:val="single" w:sz="4" w:space="0" w:color="auto"/>
            </w:tcBorders>
            <w:vAlign w:val="center"/>
            <w:hideMark/>
          </w:tcPr>
          <w:p w14:paraId="53154B73" w14:textId="77777777" w:rsidR="007933DE" w:rsidRPr="001B5187" w:rsidRDefault="007933DE" w:rsidP="007933DE">
            <w:pPr>
              <w:spacing w:after="0" w:line="240" w:lineRule="auto"/>
              <w:jc w:val="center"/>
              <w:rPr>
                <w:rFonts w:ascii="Times New Roman" w:eastAsia="Times New Roman" w:hAnsi="Times New Roman" w:cs="Times New Roman"/>
                <w:color w:val="000000"/>
                <w:kern w:val="0"/>
                <w:sz w:val="28"/>
                <w:szCs w:val="28"/>
                <w:lang w:eastAsia="en-IN"/>
                <w14:ligatures w14:val="none"/>
              </w:rPr>
            </w:pPr>
            <w:r w:rsidRPr="001B5187">
              <w:rPr>
                <w:rFonts w:ascii="Times New Roman" w:eastAsia="Times New Roman" w:hAnsi="Times New Roman" w:cs="Times New Roman"/>
                <w:color w:val="000000"/>
                <w:kern w:val="0"/>
                <w:sz w:val="28"/>
                <w:szCs w:val="28"/>
                <w:lang w:eastAsia="en-IN"/>
                <w14:ligatures w14:val="none"/>
              </w:rPr>
              <w:t>214.6</w:t>
            </w:r>
          </w:p>
        </w:tc>
        <w:tc>
          <w:tcPr>
            <w:tcW w:w="1688" w:type="dxa"/>
            <w:tcBorders>
              <w:top w:val="nil"/>
              <w:left w:val="nil"/>
              <w:bottom w:val="single" w:sz="4" w:space="0" w:color="auto"/>
              <w:right w:val="single" w:sz="4" w:space="0" w:color="auto"/>
            </w:tcBorders>
            <w:vAlign w:val="center"/>
            <w:hideMark/>
          </w:tcPr>
          <w:p w14:paraId="72FC58D0" w14:textId="77777777" w:rsidR="007933DE" w:rsidRPr="001B5187" w:rsidRDefault="007933DE" w:rsidP="007933DE">
            <w:pPr>
              <w:spacing w:after="0" w:line="240" w:lineRule="auto"/>
              <w:jc w:val="center"/>
              <w:rPr>
                <w:rFonts w:ascii="Times New Roman" w:eastAsia="Times New Roman" w:hAnsi="Times New Roman" w:cs="Times New Roman"/>
                <w:color w:val="000000"/>
                <w:kern w:val="0"/>
                <w:sz w:val="28"/>
                <w:szCs w:val="28"/>
                <w:lang w:eastAsia="en-IN"/>
                <w14:ligatures w14:val="none"/>
              </w:rPr>
            </w:pPr>
            <w:r w:rsidRPr="001B5187">
              <w:rPr>
                <w:rFonts w:ascii="Times New Roman" w:eastAsia="Times New Roman" w:hAnsi="Times New Roman" w:cs="Times New Roman"/>
                <w:color w:val="000000"/>
                <w:kern w:val="0"/>
                <w:sz w:val="28"/>
                <w:szCs w:val="28"/>
                <w:lang w:eastAsia="en-IN"/>
                <w14:ligatures w14:val="none"/>
              </w:rPr>
              <w:t>417</w:t>
            </w:r>
          </w:p>
        </w:tc>
      </w:tr>
      <w:tr w:rsidR="007933DE" w:rsidRPr="001B5187" w14:paraId="4767714E" w14:textId="77777777" w:rsidTr="007933DE">
        <w:trPr>
          <w:trHeight w:val="315"/>
        </w:trPr>
        <w:tc>
          <w:tcPr>
            <w:tcW w:w="1326" w:type="dxa"/>
            <w:tcBorders>
              <w:top w:val="nil"/>
              <w:left w:val="single" w:sz="4" w:space="0" w:color="auto"/>
              <w:bottom w:val="single" w:sz="4" w:space="0" w:color="auto"/>
              <w:right w:val="single" w:sz="4" w:space="0" w:color="auto"/>
            </w:tcBorders>
            <w:vAlign w:val="center"/>
            <w:hideMark/>
          </w:tcPr>
          <w:p w14:paraId="4327452D" w14:textId="77777777" w:rsidR="007933DE" w:rsidRPr="001B5187" w:rsidRDefault="007933DE" w:rsidP="007933DE">
            <w:pPr>
              <w:spacing w:after="0" w:line="240" w:lineRule="auto"/>
              <w:rPr>
                <w:rFonts w:ascii="Times New Roman" w:eastAsia="Times New Roman" w:hAnsi="Times New Roman" w:cs="Times New Roman"/>
                <w:color w:val="000000"/>
                <w:kern w:val="0"/>
                <w:sz w:val="28"/>
                <w:szCs w:val="28"/>
                <w:lang w:eastAsia="en-IN"/>
                <w14:ligatures w14:val="none"/>
              </w:rPr>
            </w:pPr>
            <w:r w:rsidRPr="001B5187">
              <w:rPr>
                <w:rFonts w:ascii="Times New Roman" w:eastAsia="Times New Roman" w:hAnsi="Times New Roman" w:cs="Times New Roman"/>
                <w:color w:val="000000"/>
                <w:kern w:val="0"/>
                <w:sz w:val="28"/>
                <w:szCs w:val="28"/>
                <w:lang w:eastAsia="en-IN"/>
                <w14:ligatures w14:val="none"/>
              </w:rPr>
              <w:t>Mysore</w:t>
            </w:r>
          </w:p>
        </w:tc>
        <w:tc>
          <w:tcPr>
            <w:tcW w:w="1262" w:type="dxa"/>
            <w:tcBorders>
              <w:top w:val="nil"/>
              <w:left w:val="nil"/>
              <w:bottom w:val="single" w:sz="4" w:space="0" w:color="auto"/>
              <w:right w:val="single" w:sz="4" w:space="0" w:color="auto"/>
            </w:tcBorders>
            <w:vAlign w:val="center"/>
            <w:hideMark/>
          </w:tcPr>
          <w:p w14:paraId="5495BA58" w14:textId="77777777" w:rsidR="007933DE" w:rsidRPr="001B5187" w:rsidRDefault="007933DE" w:rsidP="007933DE">
            <w:pPr>
              <w:spacing w:after="0" w:line="240" w:lineRule="auto"/>
              <w:jc w:val="center"/>
              <w:rPr>
                <w:rFonts w:ascii="Times New Roman" w:eastAsia="Times New Roman" w:hAnsi="Times New Roman" w:cs="Times New Roman"/>
                <w:color w:val="000000"/>
                <w:kern w:val="0"/>
                <w:sz w:val="28"/>
                <w:szCs w:val="28"/>
                <w:lang w:eastAsia="en-IN"/>
                <w14:ligatures w14:val="none"/>
              </w:rPr>
            </w:pPr>
            <w:r w:rsidRPr="001B5187">
              <w:rPr>
                <w:rFonts w:ascii="Times New Roman" w:eastAsia="Times New Roman" w:hAnsi="Times New Roman" w:cs="Times New Roman"/>
                <w:color w:val="000000"/>
                <w:kern w:val="0"/>
                <w:sz w:val="28"/>
                <w:szCs w:val="28"/>
                <w:lang w:eastAsia="en-IN"/>
                <w14:ligatures w14:val="none"/>
              </w:rPr>
              <w:t>115</w:t>
            </w:r>
          </w:p>
        </w:tc>
        <w:tc>
          <w:tcPr>
            <w:tcW w:w="1803" w:type="dxa"/>
            <w:tcBorders>
              <w:top w:val="nil"/>
              <w:left w:val="nil"/>
              <w:bottom w:val="single" w:sz="4" w:space="0" w:color="auto"/>
              <w:right w:val="single" w:sz="4" w:space="0" w:color="auto"/>
            </w:tcBorders>
            <w:vAlign w:val="center"/>
            <w:hideMark/>
          </w:tcPr>
          <w:p w14:paraId="0F1AAA7F" w14:textId="77777777" w:rsidR="007933DE" w:rsidRPr="001B5187" w:rsidRDefault="007933DE" w:rsidP="007933DE">
            <w:pPr>
              <w:spacing w:after="0" w:line="240" w:lineRule="auto"/>
              <w:jc w:val="center"/>
              <w:rPr>
                <w:rFonts w:ascii="Times New Roman" w:eastAsia="Times New Roman" w:hAnsi="Times New Roman" w:cs="Times New Roman"/>
                <w:color w:val="000000"/>
                <w:kern w:val="0"/>
                <w:sz w:val="28"/>
                <w:szCs w:val="28"/>
                <w:lang w:eastAsia="en-IN"/>
                <w14:ligatures w14:val="none"/>
              </w:rPr>
            </w:pPr>
            <w:r w:rsidRPr="001B5187">
              <w:rPr>
                <w:rFonts w:ascii="Times New Roman" w:eastAsia="Times New Roman" w:hAnsi="Times New Roman" w:cs="Times New Roman"/>
                <w:color w:val="000000"/>
                <w:kern w:val="0"/>
                <w:sz w:val="28"/>
                <w:szCs w:val="28"/>
                <w:lang w:eastAsia="en-IN"/>
                <w14:ligatures w14:val="none"/>
              </w:rPr>
              <w:t>461</w:t>
            </w:r>
          </w:p>
        </w:tc>
        <w:tc>
          <w:tcPr>
            <w:tcW w:w="1146" w:type="dxa"/>
            <w:tcBorders>
              <w:top w:val="nil"/>
              <w:left w:val="nil"/>
              <w:bottom w:val="single" w:sz="4" w:space="0" w:color="auto"/>
              <w:right w:val="single" w:sz="4" w:space="0" w:color="auto"/>
            </w:tcBorders>
            <w:vAlign w:val="center"/>
            <w:hideMark/>
          </w:tcPr>
          <w:p w14:paraId="0D0B8C87" w14:textId="77777777" w:rsidR="007933DE" w:rsidRPr="001B5187" w:rsidRDefault="007933DE" w:rsidP="007933DE">
            <w:pPr>
              <w:spacing w:after="0" w:line="240" w:lineRule="auto"/>
              <w:jc w:val="center"/>
              <w:rPr>
                <w:rFonts w:ascii="Times New Roman" w:eastAsia="Times New Roman" w:hAnsi="Times New Roman" w:cs="Times New Roman"/>
                <w:color w:val="000000"/>
                <w:kern w:val="0"/>
                <w:sz w:val="28"/>
                <w:szCs w:val="28"/>
                <w:lang w:eastAsia="en-IN"/>
                <w14:ligatures w14:val="none"/>
              </w:rPr>
            </w:pPr>
            <w:r w:rsidRPr="001B5187">
              <w:rPr>
                <w:rFonts w:ascii="Times New Roman" w:eastAsia="Times New Roman" w:hAnsi="Times New Roman" w:cs="Times New Roman"/>
                <w:color w:val="000000"/>
                <w:kern w:val="0"/>
                <w:sz w:val="28"/>
                <w:szCs w:val="28"/>
                <w:lang w:eastAsia="en-IN"/>
                <w14:ligatures w14:val="none"/>
              </w:rPr>
              <w:t>5</w:t>
            </w:r>
          </w:p>
        </w:tc>
        <w:tc>
          <w:tcPr>
            <w:tcW w:w="1829" w:type="dxa"/>
            <w:tcBorders>
              <w:top w:val="nil"/>
              <w:left w:val="nil"/>
              <w:bottom w:val="single" w:sz="4" w:space="0" w:color="auto"/>
              <w:right w:val="single" w:sz="4" w:space="0" w:color="auto"/>
            </w:tcBorders>
            <w:vAlign w:val="center"/>
            <w:hideMark/>
          </w:tcPr>
          <w:p w14:paraId="0F1AC7F9" w14:textId="77777777" w:rsidR="007933DE" w:rsidRPr="001B5187" w:rsidRDefault="007933DE" w:rsidP="007933DE">
            <w:pPr>
              <w:spacing w:after="0" w:line="240" w:lineRule="auto"/>
              <w:jc w:val="center"/>
              <w:rPr>
                <w:rFonts w:ascii="Times New Roman" w:eastAsia="Times New Roman" w:hAnsi="Times New Roman" w:cs="Times New Roman"/>
                <w:color w:val="000000"/>
                <w:kern w:val="0"/>
                <w:sz w:val="28"/>
                <w:szCs w:val="28"/>
                <w:lang w:eastAsia="en-IN"/>
                <w14:ligatures w14:val="none"/>
              </w:rPr>
            </w:pPr>
            <w:r w:rsidRPr="001B5187">
              <w:rPr>
                <w:rFonts w:ascii="Times New Roman" w:eastAsia="Times New Roman" w:hAnsi="Times New Roman" w:cs="Times New Roman"/>
                <w:color w:val="000000"/>
                <w:kern w:val="0"/>
                <w:sz w:val="28"/>
                <w:szCs w:val="28"/>
                <w:lang w:eastAsia="en-IN"/>
                <w14:ligatures w14:val="none"/>
              </w:rPr>
              <w:t>47</w:t>
            </w:r>
          </w:p>
        </w:tc>
        <w:tc>
          <w:tcPr>
            <w:tcW w:w="1442" w:type="dxa"/>
            <w:tcBorders>
              <w:top w:val="nil"/>
              <w:left w:val="nil"/>
              <w:bottom w:val="single" w:sz="4" w:space="0" w:color="auto"/>
              <w:right w:val="single" w:sz="4" w:space="0" w:color="auto"/>
            </w:tcBorders>
            <w:vAlign w:val="center"/>
            <w:hideMark/>
          </w:tcPr>
          <w:p w14:paraId="11766663" w14:textId="77777777" w:rsidR="007933DE" w:rsidRPr="001B5187" w:rsidRDefault="007933DE" w:rsidP="007933DE">
            <w:pPr>
              <w:spacing w:after="0" w:line="240" w:lineRule="auto"/>
              <w:jc w:val="center"/>
              <w:rPr>
                <w:rFonts w:ascii="Times New Roman" w:eastAsia="Times New Roman" w:hAnsi="Times New Roman" w:cs="Times New Roman"/>
                <w:color w:val="000000"/>
                <w:kern w:val="0"/>
                <w:sz w:val="28"/>
                <w:szCs w:val="28"/>
                <w:lang w:eastAsia="en-IN"/>
                <w14:ligatures w14:val="none"/>
              </w:rPr>
            </w:pPr>
            <w:r w:rsidRPr="001B5187">
              <w:rPr>
                <w:rFonts w:ascii="Times New Roman" w:eastAsia="Times New Roman" w:hAnsi="Times New Roman" w:cs="Times New Roman"/>
                <w:color w:val="000000"/>
                <w:kern w:val="0"/>
                <w:sz w:val="28"/>
                <w:szCs w:val="28"/>
                <w:lang w:eastAsia="en-IN"/>
                <w14:ligatures w14:val="none"/>
              </w:rPr>
              <w:t>25.8</w:t>
            </w:r>
          </w:p>
        </w:tc>
        <w:tc>
          <w:tcPr>
            <w:tcW w:w="1688" w:type="dxa"/>
            <w:tcBorders>
              <w:top w:val="nil"/>
              <w:left w:val="nil"/>
              <w:bottom w:val="single" w:sz="4" w:space="0" w:color="auto"/>
              <w:right w:val="single" w:sz="4" w:space="0" w:color="auto"/>
            </w:tcBorders>
            <w:vAlign w:val="center"/>
            <w:hideMark/>
          </w:tcPr>
          <w:p w14:paraId="0642B005" w14:textId="77777777" w:rsidR="007933DE" w:rsidRPr="001B5187" w:rsidRDefault="007933DE" w:rsidP="007933DE">
            <w:pPr>
              <w:spacing w:after="0" w:line="240" w:lineRule="auto"/>
              <w:jc w:val="center"/>
              <w:rPr>
                <w:rFonts w:ascii="Times New Roman" w:eastAsia="Times New Roman" w:hAnsi="Times New Roman" w:cs="Times New Roman"/>
                <w:color w:val="000000"/>
                <w:kern w:val="0"/>
                <w:sz w:val="28"/>
                <w:szCs w:val="28"/>
                <w:lang w:eastAsia="en-IN"/>
                <w14:ligatures w14:val="none"/>
              </w:rPr>
            </w:pPr>
            <w:r w:rsidRPr="001B5187">
              <w:rPr>
                <w:rFonts w:ascii="Times New Roman" w:eastAsia="Times New Roman" w:hAnsi="Times New Roman" w:cs="Times New Roman"/>
                <w:color w:val="000000"/>
                <w:kern w:val="0"/>
                <w:sz w:val="28"/>
                <w:szCs w:val="28"/>
                <w:lang w:eastAsia="en-IN"/>
                <w14:ligatures w14:val="none"/>
              </w:rPr>
              <w:t>75.4</w:t>
            </w:r>
          </w:p>
        </w:tc>
      </w:tr>
      <w:tr w:rsidR="007933DE" w:rsidRPr="001B5187" w14:paraId="660CC4AD" w14:textId="77777777" w:rsidTr="007933DE">
        <w:trPr>
          <w:trHeight w:val="315"/>
        </w:trPr>
        <w:tc>
          <w:tcPr>
            <w:tcW w:w="1326" w:type="dxa"/>
            <w:tcBorders>
              <w:top w:val="nil"/>
              <w:left w:val="single" w:sz="4" w:space="0" w:color="auto"/>
              <w:bottom w:val="single" w:sz="4" w:space="0" w:color="auto"/>
              <w:right w:val="single" w:sz="4" w:space="0" w:color="auto"/>
            </w:tcBorders>
            <w:vAlign w:val="center"/>
            <w:hideMark/>
          </w:tcPr>
          <w:p w14:paraId="66728DBB" w14:textId="77777777" w:rsidR="007933DE" w:rsidRPr="001B5187" w:rsidRDefault="007933DE" w:rsidP="007933DE">
            <w:pPr>
              <w:spacing w:after="0" w:line="240" w:lineRule="auto"/>
              <w:rPr>
                <w:rFonts w:ascii="Times New Roman" w:eastAsia="Times New Roman" w:hAnsi="Times New Roman" w:cs="Times New Roman"/>
                <w:color w:val="000000"/>
                <w:kern w:val="0"/>
                <w:sz w:val="28"/>
                <w:szCs w:val="28"/>
                <w:lang w:eastAsia="en-IN"/>
                <w14:ligatures w14:val="none"/>
              </w:rPr>
            </w:pPr>
            <w:r w:rsidRPr="001B5187">
              <w:rPr>
                <w:rFonts w:ascii="Times New Roman" w:eastAsia="Times New Roman" w:hAnsi="Times New Roman" w:cs="Times New Roman"/>
                <w:color w:val="000000"/>
                <w:kern w:val="0"/>
                <w:sz w:val="28"/>
                <w:szCs w:val="28"/>
                <w:lang w:eastAsia="en-IN"/>
                <w14:ligatures w14:val="none"/>
              </w:rPr>
              <w:t>Nagaland</w:t>
            </w:r>
          </w:p>
        </w:tc>
        <w:tc>
          <w:tcPr>
            <w:tcW w:w="1262" w:type="dxa"/>
            <w:tcBorders>
              <w:top w:val="nil"/>
              <w:left w:val="nil"/>
              <w:bottom w:val="single" w:sz="4" w:space="0" w:color="auto"/>
              <w:right w:val="single" w:sz="4" w:space="0" w:color="auto"/>
            </w:tcBorders>
            <w:vAlign w:val="center"/>
            <w:hideMark/>
          </w:tcPr>
          <w:p w14:paraId="53B43B50" w14:textId="77777777" w:rsidR="007933DE" w:rsidRPr="001B5187" w:rsidRDefault="007933DE" w:rsidP="007933DE">
            <w:pPr>
              <w:spacing w:after="0" w:line="240" w:lineRule="auto"/>
              <w:jc w:val="center"/>
              <w:rPr>
                <w:rFonts w:ascii="Times New Roman" w:eastAsia="Times New Roman" w:hAnsi="Times New Roman" w:cs="Times New Roman"/>
                <w:color w:val="000000"/>
                <w:kern w:val="0"/>
                <w:sz w:val="28"/>
                <w:szCs w:val="28"/>
                <w:lang w:eastAsia="en-IN"/>
                <w14:ligatures w14:val="none"/>
              </w:rPr>
            </w:pPr>
            <w:r w:rsidRPr="001B5187">
              <w:rPr>
                <w:rFonts w:ascii="Times New Roman" w:eastAsia="Times New Roman" w:hAnsi="Times New Roman" w:cs="Times New Roman"/>
                <w:color w:val="000000"/>
                <w:kern w:val="0"/>
                <w:sz w:val="28"/>
                <w:szCs w:val="28"/>
                <w:lang w:eastAsia="en-IN"/>
                <w14:ligatures w14:val="none"/>
              </w:rPr>
              <w:t>—</w:t>
            </w:r>
          </w:p>
        </w:tc>
        <w:tc>
          <w:tcPr>
            <w:tcW w:w="1803" w:type="dxa"/>
            <w:tcBorders>
              <w:top w:val="nil"/>
              <w:left w:val="nil"/>
              <w:bottom w:val="single" w:sz="4" w:space="0" w:color="auto"/>
              <w:right w:val="single" w:sz="4" w:space="0" w:color="auto"/>
            </w:tcBorders>
            <w:vAlign w:val="center"/>
            <w:hideMark/>
          </w:tcPr>
          <w:p w14:paraId="445459FB" w14:textId="77777777" w:rsidR="007933DE" w:rsidRPr="001B5187" w:rsidRDefault="007933DE" w:rsidP="007933DE">
            <w:pPr>
              <w:spacing w:after="0" w:line="240" w:lineRule="auto"/>
              <w:jc w:val="center"/>
              <w:rPr>
                <w:rFonts w:ascii="Times New Roman" w:eastAsia="Times New Roman" w:hAnsi="Times New Roman" w:cs="Times New Roman"/>
                <w:color w:val="000000"/>
                <w:kern w:val="0"/>
                <w:sz w:val="28"/>
                <w:szCs w:val="28"/>
                <w:lang w:eastAsia="en-IN"/>
                <w14:ligatures w14:val="none"/>
              </w:rPr>
            </w:pPr>
            <w:r w:rsidRPr="001B5187">
              <w:rPr>
                <w:rFonts w:ascii="Times New Roman" w:eastAsia="Times New Roman" w:hAnsi="Times New Roman" w:cs="Times New Roman"/>
                <w:color w:val="000000"/>
                <w:kern w:val="0"/>
                <w:sz w:val="28"/>
                <w:szCs w:val="28"/>
                <w:lang w:eastAsia="en-IN"/>
                <w14:ligatures w14:val="none"/>
              </w:rPr>
              <w:t>—</w:t>
            </w:r>
          </w:p>
        </w:tc>
        <w:tc>
          <w:tcPr>
            <w:tcW w:w="1146" w:type="dxa"/>
            <w:tcBorders>
              <w:top w:val="nil"/>
              <w:left w:val="nil"/>
              <w:bottom w:val="single" w:sz="4" w:space="0" w:color="auto"/>
              <w:right w:val="single" w:sz="4" w:space="0" w:color="auto"/>
            </w:tcBorders>
            <w:vAlign w:val="center"/>
            <w:hideMark/>
          </w:tcPr>
          <w:p w14:paraId="730CDDED" w14:textId="77777777" w:rsidR="007933DE" w:rsidRPr="001B5187" w:rsidRDefault="007933DE" w:rsidP="007933DE">
            <w:pPr>
              <w:spacing w:after="0" w:line="240" w:lineRule="auto"/>
              <w:jc w:val="center"/>
              <w:rPr>
                <w:rFonts w:ascii="Times New Roman" w:eastAsia="Times New Roman" w:hAnsi="Times New Roman" w:cs="Times New Roman"/>
                <w:color w:val="000000"/>
                <w:kern w:val="0"/>
                <w:sz w:val="28"/>
                <w:szCs w:val="28"/>
                <w:lang w:eastAsia="en-IN"/>
                <w14:ligatures w14:val="none"/>
              </w:rPr>
            </w:pPr>
            <w:r w:rsidRPr="001B5187">
              <w:rPr>
                <w:rFonts w:ascii="Times New Roman" w:eastAsia="Times New Roman" w:hAnsi="Times New Roman" w:cs="Times New Roman"/>
                <w:color w:val="000000"/>
                <w:kern w:val="0"/>
                <w:sz w:val="28"/>
                <w:szCs w:val="28"/>
                <w:lang w:eastAsia="en-IN"/>
                <w14:ligatures w14:val="none"/>
              </w:rPr>
              <w:t>—</w:t>
            </w:r>
          </w:p>
        </w:tc>
        <w:tc>
          <w:tcPr>
            <w:tcW w:w="1829" w:type="dxa"/>
            <w:tcBorders>
              <w:top w:val="nil"/>
              <w:left w:val="nil"/>
              <w:bottom w:val="single" w:sz="4" w:space="0" w:color="auto"/>
              <w:right w:val="single" w:sz="4" w:space="0" w:color="auto"/>
            </w:tcBorders>
            <w:vAlign w:val="center"/>
            <w:hideMark/>
          </w:tcPr>
          <w:p w14:paraId="4FAAD4F1" w14:textId="77777777" w:rsidR="007933DE" w:rsidRPr="001B5187" w:rsidRDefault="007933DE" w:rsidP="007933DE">
            <w:pPr>
              <w:spacing w:after="0" w:line="240" w:lineRule="auto"/>
              <w:jc w:val="center"/>
              <w:rPr>
                <w:rFonts w:ascii="Times New Roman" w:eastAsia="Times New Roman" w:hAnsi="Times New Roman" w:cs="Times New Roman"/>
                <w:color w:val="000000"/>
                <w:kern w:val="0"/>
                <w:sz w:val="28"/>
                <w:szCs w:val="28"/>
                <w:lang w:eastAsia="en-IN"/>
                <w14:ligatures w14:val="none"/>
              </w:rPr>
            </w:pPr>
            <w:r w:rsidRPr="001B5187">
              <w:rPr>
                <w:rFonts w:ascii="Times New Roman" w:eastAsia="Times New Roman" w:hAnsi="Times New Roman" w:cs="Times New Roman"/>
                <w:color w:val="000000"/>
                <w:kern w:val="0"/>
                <w:sz w:val="28"/>
                <w:szCs w:val="28"/>
                <w:lang w:eastAsia="en-IN"/>
                <w14:ligatures w14:val="none"/>
              </w:rPr>
              <w:t>—</w:t>
            </w:r>
          </w:p>
        </w:tc>
        <w:tc>
          <w:tcPr>
            <w:tcW w:w="1442" w:type="dxa"/>
            <w:tcBorders>
              <w:top w:val="nil"/>
              <w:left w:val="nil"/>
              <w:bottom w:val="single" w:sz="4" w:space="0" w:color="auto"/>
              <w:right w:val="single" w:sz="4" w:space="0" w:color="auto"/>
            </w:tcBorders>
            <w:vAlign w:val="center"/>
            <w:hideMark/>
          </w:tcPr>
          <w:p w14:paraId="67B80787" w14:textId="77777777" w:rsidR="007933DE" w:rsidRPr="001B5187" w:rsidRDefault="007933DE" w:rsidP="007933DE">
            <w:pPr>
              <w:spacing w:after="0" w:line="240" w:lineRule="auto"/>
              <w:jc w:val="center"/>
              <w:rPr>
                <w:rFonts w:ascii="Times New Roman" w:eastAsia="Times New Roman" w:hAnsi="Times New Roman" w:cs="Times New Roman"/>
                <w:color w:val="000000"/>
                <w:kern w:val="0"/>
                <w:sz w:val="28"/>
                <w:szCs w:val="28"/>
                <w:lang w:eastAsia="en-IN"/>
                <w14:ligatures w14:val="none"/>
              </w:rPr>
            </w:pPr>
            <w:r w:rsidRPr="001B5187">
              <w:rPr>
                <w:rFonts w:ascii="Times New Roman" w:eastAsia="Times New Roman" w:hAnsi="Times New Roman" w:cs="Times New Roman"/>
                <w:color w:val="000000"/>
                <w:kern w:val="0"/>
                <w:sz w:val="28"/>
                <w:szCs w:val="28"/>
                <w:lang w:eastAsia="en-IN"/>
                <w14:ligatures w14:val="none"/>
              </w:rPr>
              <w:t>—</w:t>
            </w:r>
          </w:p>
        </w:tc>
        <w:tc>
          <w:tcPr>
            <w:tcW w:w="1688" w:type="dxa"/>
            <w:tcBorders>
              <w:top w:val="nil"/>
              <w:left w:val="nil"/>
              <w:bottom w:val="single" w:sz="4" w:space="0" w:color="auto"/>
              <w:right w:val="single" w:sz="4" w:space="0" w:color="auto"/>
            </w:tcBorders>
            <w:vAlign w:val="center"/>
            <w:hideMark/>
          </w:tcPr>
          <w:p w14:paraId="1A05A80D" w14:textId="77777777" w:rsidR="007933DE" w:rsidRPr="001B5187" w:rsidRDefault="007933DE" w:rsidP="007933DE">
            <w:pPr>
              <w:spacing w:after="0" w:line="240" w:lineRule="auto"/>
              <w:jc w:val="center"/>
              <w:rPr>
                <w:rFonts w:ascii="Times New Roman" w:eastAsia="Times New Roman" w:hAnsi="Times New Roman" w:cs="Times New Roman"/>
                <w:color w:val="000000"/>
                <w:kern w:val="0"/>
                <w:sz w:val="28"/>
                <w:szCs w:val="28"/>
                <w:lang w:eastAsia="en-IN"/>
                <w14:ligatures w14:val="none"/>
              </w:rPr>
            </w:pPr>
            <w:r w:rsidRPr="001B5187">
              <w:rPr>
                <w:rFonts w:ascii="Times New Roman" w:eastAsia="Times New Roman" w:hAnsi="Times New Roman" w:cs="Times New Roman"/>
                <w:color w:val="000000"/>
                <w:kern w:val="0"/>
                <w:sz w:val="28"/>
                <w:szCs w:val="28"/>
                <w:lang w:eastAsia="en-IN"/>
                <w14:ligatures w14:val="none"/>
              </w:rPr>
              <w:t>—</w:t>
            </w:r>
          </w:p>
        </w:tc>
      </w:tr>
      <w:tr w:rsidR="007933DE" w:rsidRPr="001B5187" w14:paraId="752479A0" w14:textId="77777777" w:rsidTr="007933DE">
        <w:trPr>
          <w:trHeight w:val="315"/>
        </w:trPr>
        <w:tc>
          <w:tcPr>
            <w:tcW w:w="1326" w:type="dxa"/>
            <w:tcBorders>
              <w:top w:val="nil"/>
              <w:left w:val="single" w:sz="4" w:space="0" w:color="auto"/>
              <w:bottom w:val="single" w:sz="4" w:space="0" w:color="auto"/>
              <w:right w:val="single" w:sz="4" w:space="0" w:color="auto"/>
            </w:tcBorders>
            <w:vAlign w:val="center"/>
            <w:hideMark/>
          </w:tcPr>
          <w:p w14:paraId="12E20568" w14:textId="77777777" w:rsidR="007933DE" w:rsidRPr="001B5187" w:rsidRDefault="007933DE" w:rsidP="007933DE">
            <w:pPr>
              <w:spacing w:after="0" w:line="240" w:lineRule="auto"/>
              <w:rPr>
                <w:rFonts w:ascii="Times New Roman" w:eastAsia="Times New Roman" w:hAnsi="Times New Roman" w:cs="Times New Roman"/>
                <w:color w:val="000000"/>
                <w:kern w:val="0"/>
                <w:sz w:val="28"/>
                <w:szCs w:val="28"/>
                <w:lang w:eastAsia="en-IN"/>
                <w14:ligatures w14:val="none"/>
              </w:rPr>
            </w:pPr>
            <w:r w:rsidRPr="001B5187">
              <w:rPr>
                <w:rFonts w:ascii="Times New Roman" w:eastAsia="Times New Roman" w:hAnsi="Times New Roman" w:cs="Times New Roman"/>
                <w:color w:val="000000"/>
                <w:kern w:val="0"/>
                <w:sz w:val="28"/>
                <w:szCs w:val="28"/>
                <w:lang w:eastAsia="en-IN"/>
                <w14:ligatures w14:val="none"/>
              </w:rPr>
              <w:t>Orissa</w:t>
            </w:r>
          </w:p>
        </w:tc>
        <w:tc>
          <w:tcPr>
            <w:tcW w:w="1262" w:type="dxa"/>
            <w:tcBorders>
              <w:top w:val="nil"/>
              <w:left w:val="nil"/>
              <w:bottom w:val="single" w:sz="4" w:space="0" w:color="auto"/>
              <w:right w:val="single" w:sz="4" w:space="0" w:color="auto"/>
            </w:tcBorders>
            <w:vAlign w:val="center"/>
            <w:hideMark/>
          </w:tcPr>
          <w:p w14:paraId="03F6111F" w14:textId="77777777" w:rsidR="007933DE" w:rsidRPr="001B5187" w:rsidRDefault="007933DE" w:rsidP="007933DE">
            <w:pPr>
              <w:spacing w:after="0" w:line="240" w:lineRule="auto"/>
              <w:jc w:val="center"/>
              <w:rPr>
                <w:rFonts w:ascii="Times New Roman" w:eastAsia="Times New Roman" w:hAnsi="Times New Roman" w:cs="Times New Roman"/>
                <w:color w:val="000000"/>
                <w:kern w:val="0"/>
                <w:sz w:val="28"/>
                <w:szCs w:val="28"/>
                <w:lang w:eastAsia="en-IN"/>
                <w14:ligatures w14:val="none"/>
              </w:rPr>
            </w:pPr>
            <w:r w:rsidRPr="001B5187">
              <w:rPr>
                <w:rFonts w:ascii="Times New Roman" w:eastAsia="Times New Roman" w:hAnsi="Times New Roman" w:cs="Times New Roman"/>
                <w:color w:val="000000"/>
                <w:kern w:val="0"/>
                <w:sz w:val="28"/>
                <w:szCs w:val="28"/>
                <w:lang w:eastAsia="en-IN"/>
                <w14:ligatures w14:val="none"/>
              </w:rPr>
              <w:t>5</w:t>
            </w:r>
          </w:p>
        </w:tc>
        <w:tc>
          <w:tcPr>
            <w:tcW w:w="1803" w:type="dxa"/>
            <w:tcBorders>
              <w:top w:val="nil"/>
              <w:left w:val="nil"/>
              <w:bottom w:val="single" w:sz="4" w:space="0" w:color="auto"/>
              <w:right w:val="single" w:sz="4" w:space="0" w:color="auto"/>
            </w:tcBorders>
            <w:vAlign w:val="center"/>
            <w:hideMark/>
          </w:tcPr>
          <w:p w14:paraId="11FB776E" w14:textId="77777777" w:rsidR="007933DE" w:rsidRPr="001B5187" w:rsidRDefault="007933DE" w:rsidP="007933DE">
            <w:pPr>
              <w:spacing w:after="0" w:line="240" w:lineRule="auto"/>
              <w:jc w:val="center"/>
              <w:rPr>
                <w:rFonts w:ascii="Times New Roman" w:eastAsia="Times New Roman" w:hAnsi="Times New Roman" w:cs="Times New Roman"/>
                <w:color w:val="000000"/>
                <w:kern w:val="0"/>
                <w:sz w:val="28"/>
                <w:szCs w:val="28"/>
                <w:lang w:eastAsia="en-IN"/>
                <w14:ligatures w14:val="none"/>
              </w:rPr>
            </w:pPr>
            <w:r w:rsidRPr="001B5187">
              <w:rPr>
                <w:rFonts w:ascii="Times New Roman" w:eastAsia="Times New Roman" w:hAnsi="Times New Roman" w:cs="Times New Roman"/>
                <w:color w:val="000000"/>
                <w:kern w:val="0"/>
                <w:sz w:val="28"/>
                <w:szCs w:val="28"/>
                <w:lang w:eastAsia="en-IN"/>
                <w14:ligatures w14:val="none"/>
              </w:rPr>
              <w:t>318</w:t>
            </w:r>
          </w:p>
        </w:tc>
        <w:tc>
          <w:tcPr>
            <w:tcW w:w="1146" w:type="dxa"/>
            <w:tcBorders>
              <w:top w:val="nil"/>
              <w:left w:val="nil"/>
              <w:bottom w:val="single" w:sz="4" w:space="0" w:color="auto"/>
              <w:right w:val="single" w:sz="4" w:space="0" w:color="auto"/>
            </w:tcBorders>
            <w:vAlign w:val="center"/>
            <w:hideMark/>
          </w:tcPr>
          <w:p w14:paraId="77216E08" w14:textId="77777777" w:rsidR="007933DE" w:rsidRPr="001B5187" w:rsidRDefault="007933DE" w:rsidP="007933DE">
            <w:pPr>
              <w:spacing w:after="0" w:line="240" w:lineRule="auto"/>
              <w:jc w:val="center"/>
              <w:rPr>
                <w:rFonts w:ascii="Times New Roman" w:eastAsia="Times New Roman" w:hAnsi="Times New Roman" w:cs="Times New Roman"/>
                <w:color w:val="000000"/>
                <w:kern w:val="0"/>
                <w:sz w:val="28"/>
                <w:szCs w:val="28"/>
                <w:lang w:eastAsia="en-IN"/>
                <w14:ligatures w14:val="none"/>
              </w:rPr>
            </w:pPr>
            <w:r w:rsidRPr="001B5187">
              <w:rPr>
                <w:rFonts w:ascii="Times New Roman" w:eastAsia="Times New Roman" w:hAnsi="Times New Roman" w:cs="Times New Roman"/>
                <w:color w:val="000000"/>
                <w:kern w:val="0"/>
                <w:sz w:val="28"/>
                <w:szCs w:val="28"/>
                <w:lang w:eastAsia="en-IN"/>
                <w14:ligatures w14:val="none"/>
              </w:rPr>
              <w:t>6</w:t>
            </w:r>
          </w:p>
        </w:tc>
        <w:tc>
          <w:tcPr>
            <w:tcW w:w="1829" w:type="dxa"/>
            <w:tcBorders>
              <w:top w:val="nil"/>
              <w:left w:val="nil"/>
              <w:bottom w:val="single" w:sz="4" w:space="0" w:color="auto"/>
              <w:right w:val="single" w:sz="4" w:space="0" w:color="auto"/>
            </w:tcBorders>
            <w:vAlign w:val="center"/>
            <w:hideMark/>
          </w:tcPr>
          <w:p w14:paraId="58871627" w14:textId="77777777" w:rsidR="007933DE" w:rsidRPr="001B5187" w:rsidRDefault="007933DE" w:rsidP="007933DE">
            <w:pPr>
              <w:spacing w:after="0" w:line="240" w:lineRule="auto"/>
              <w:jc w:val="center"/>
              <w:rPr>
                <w:rFonts w:ascii="Times New Roman" w:eastAsia="Times New Roman" w:hAnsi="Times New Roman" w:cs="Times New Roman"/>
                <w:color w:val="000000"/>
                <w:kern w:val="0"/>
                <w:sz w:val="28"/>
                <w:szCs w:val="28"/>
                <w:lang w:eastAsia="en-IN"/>
                <w14:ligatures w14:val="none"/>
              </w:rPr>
            </w:pPr>
            <w:r w:rsidRPr="001B5187">
              <w:rPr>
                <w:rFonts w:ascii="Times New Roman" w:eastAsia="Times New Roman" w:hAnsi="Times New Roman" w:cs="Times New Roman"/>
                <w:color w:val="000000"/>
                <w:kern w:val="0"/>
                <w:sz w:val="28"/>
                <w:szCs w:val="28"/>
                <w:lang w:eastAsia="en-IN"/>
                <w14:ligatures w14:val="none"/>
              </w:rPr>
              <w:t>6</w:t>
            </w:r>
          </w:p>
        </w:tc>
        <w:tc>
          <w:tcPr>
            <w:tcW w:w="1442" w:type="dxa"/>
            <w:tcBorders>
              <w:top w:val="nil"/>
              <w:left w:val="nil"/>
              <w:bottom w:val="single" w:sz="4" w:space="0" w:color="auto"/>
              <w:right w:val="single" w:sz="4" w:space="0" w:color="auto"/>
            </w:tcBorders>
            <w:vAlign w:val="center"/>
            <w:hideMark/>
          </w:tcPr>
          <w:p w14:paraId="5169A9B6" w14:textId="77777777" w:rsidR="007933DE" w:rsidRPr="001B5187" w:rsidRDefault="007933DE" w:rsidP="007933DE">
            <w:pPr>
              <w:spacing w:after="0" w:line="240" w:lineRule="auto"/>
              <w:jc w:val="center"/>
              <w:rPr>
                <w:rFonts w:ascii="Times New Roman" w:eastAsia="Times New Roman" w:hAnsi="Times New Roman" w:cs="Times New Roman"/>
                <w:color w:val="000000"/>
                <w:kern w:val="0"/>
                <w:sz w:val="28"/>
                <w:szCs w:val="28"/>
                <w:lang w:eastAsia="en-IN"/>
                <w14:ligatures w14:val="none"/>
              </w:rPr>
            </w:pPr>
            <w:r w:rsidRPr="001B5187">
              <w:rPr>
                <w:rFonts w:ascii="Times New Roman" w:eastAsia="Times New Roman" w:hAnsi="Times New Roman" w:cs="Times New Roman"/>
                <w:color w:val="000000"/>
                <w:kern w:val="0"/>
                <w:sz w:val="28"/>
                <w:szCs w:val="28"/>
                <w:lang w:eastAsia="en-IN"/>
                <w14:ligatures w14:val="none"/>
              </w:rPr>
              <w:t>8.7</w:t>
            </w:r>
          </w:p>
        </w:tc>
        <w:tc>
          <w:tcPr>
            <w:tcW w:w="1688" w:type="dxa"/>
            <w:tcBorders>
              <w:top w:val="nil"/>
              <w:left w:val="nil"/>
              <w:bottom w:val="single" w:sz="4" w:space="0" w:color="auto"/>
              <w:right w:val="single" w:sz="4" w:space="0" w:color="auto"/>
            </w:tcBorders>
            <w:vAlign w:val="center"/>
            <w:hideMark/>
          </w:tcPr>
          <w:p w14:paraId="5DA09943" w14:textId="77777777" w:rsidR="007933DE" w:rsidRPr="001B5187" w:rsidRDefault="007933DE" w:rsidP="007933DE">
            <w:pPr>
              <w:spacing w:after="0" w:line="240" w:lineRule="auto"/>
              <w:jc w:val="center"/>
              <w:rPr>
                <w:rFonts w:ascii="Times New Roman" w:eastAsia="Times New Roman" w:hAnsi="Times New Roman" w:cs="Times New Roman"/>
                <w:color w:val="000000"/>
                <w:kern w:val="0"/>
                <w:sz w:val="28"/>
                <w:szCs w:val="28"/>
                <w:lang w:eastAsia="en-IN"/>
                <w14:ligatures w14:val="none"/>
              </w:rPr>
            </w:pPr>
            <w:r w:rsidRPr="001B5187">
              <w:rPr>
                <w:rFonts w:ascii="Times New Roman" w:eastAsia="Times New Roman" w:hAnsi="Times New Roman" w:cs="Times New Roman"/>
                <w:color w:val="000000"/>
                <w:kern w:val="0"/>
                <w:sz w:val="28"/>
                <w:szCs w:val="28"/>
                <w:lang w:eastAsia="en-IN"/>
                <w14:ligatures w14:val="none"/>
              </w:rPr>
              <w:t>38.7</w:t>
            </w:r>
          </w:p>
        </w:tc>
      </w:tr>
      <w:tr w:rsidR="007933DE" w:rsidRPr="001B5187" w14:paraId="25652D25" w14:textId="77777777" w:rsidTr="007933DE">
        <w:trPr>
          <w:trHeight w:val="315"/>
        </w:trPr>
        <w:tc>
          <w:tcPr>
            <w:tcW w:w="1326" w:type="dxa"/>
            <w:tcBorders>
              <w:top w:val="nil"/>
              <w:left w:val="single" w:sz="4" w:space="0" w:color="auto"/>
              <w:bottom w:val="single" w:sz="4" w:space="0" w:color="auto"/>
              <w:right w:val="single" w:sz="4" w:space="0" w:color="auto"/>
            </w:tcBorders>
            <w:vAlign w:val="center"/>
            <w:hideMark/>
          </w:tcPr>
          <w:p w14:paraId="135AEA9C" w14:textId="77777777" w:rsidR="007933DE" w:rsidRPr="001B5187" w:rsidRDefault="007933DE" w:rsidP="007933DE">
            <w:pPr>
              <w:spacing w:after="0" w:line="240" w:lineRule="auto"/>
              <w:rPr>
                <w:rFonts w:ascii="Times New Roman" w:eastAsia="Times New Roman" w:hAnsi="Times New Roman" w:cs="Times New Roman"/>
                <w:color w:val="000000"/>
                <w:kern w:val="0"/>
                <w:sz w:val="28"/>
                <w:szCs w:val="28"/>
                <w:lang w:eastAsia="en-IN"/>
                <w14:ligatures w14:val="none"/>
              </w:rPr>
            </w:pPr>
            <w:r w:rsidRPr="001B5187">
              <w:rPr>
                <w:rFonts w:ascii="Times New Roman" w:eastAsia="Times New Roman" w:hAnsi="Times New Roman" w:cs="Times New Roman"/>
                <w:color w:val="000000"/>
                <w:kern w:val="0"/>
                <w:sz w:val="28"/>
                <w:szCs w:val="28"/>
                <w:lang w:eastAsia="en-IN"/>
                <w14:ligatures w14:val="none"/>
              </w:rPr>
              <w:t>Punjab</w:t>
            </w:r>
          </w:p>
        </w:tc>
        <w:tc>
          <w:tcPr>
            <w:tcW w:w="1262" w:type="dxa"/>
            <w:tcBorders>
              <w:top w:val="nil"/>
              <w:left w:val="nil"/>
              <w:bottom w:val="single" w:sz="4" w:space="0" w:color="auto"/>
              <w:right w:val="single" w:sz="4" w:space="0" w:color="auto"/>
            </w:tcBorders>
            <w:vAlign w:val="center"/>
            <w:hideMark/>
          </w:tcPr>
          <w:p w14:paraId="21E72356" w14:textId="77777777" w:rsidR="007933DE" w:rsidRPr="001B5187" w:rsidRDefault="007933DE" w:rsidP="007933DE">
            <w:pPr>
              <w:spacing w:after="0" w:line="240" w:lineRule="auto"/>
              <w:jc w:val="center"/>
              <w:rPr>
                <w:rFonts w:ascii="Times New Roman" w:eastAsia="Times New Roman" w:hAnsi="Times New Roman" w:cs="Times New Roman"/>
                <w:color w:val="000000"/>
                <w:kern w:val="0"/>
                <w:sz w:val="28"/>
                <w:szCs w:val="28"/>
                <w:lang w:eastAsia="en-IN"/>
                <w14:ligatures w14:val="none"/>
              </w:rPr>
            </w:pPr>
            <w:r w:rsidRPr="001B5187">
              <w:rPr>
                <w:rFonts w:ascii="Times New Roman" w:eastAsia="Times New Roman" w:hAnsi="Times New Roman" w:cs="Times New Roman"/>
                <w:color w:val="000000"/>
                <w:kern w:val="0"/>
                <w:sz w:val="28"/>
                <w:szCs w:val="28"/>
                <w:lang w:eastAsia="en-IN"/>
                <w14:ligatures w14:val="none"/>
              </w:rPr>
              <w:t>71*</w:t>
            </w:r>
          </w:p>
        </w:tc>
        <w:tc>
          <w:tcPr>
            <w:tcW w:w="1803" w:type="dxa"/>
            <w:tcBorders>
              <w:top w:val="nil"/>
              <w:left w:val="nil"/>
              <w:bottom w:val="single" w:sz="4" w:space="0" w:color="auto"/>
              <w:right w:val="single" w:sz="4" w:space="0" w:color="auto"/>
            </w:tcBorders>
            <w:vAlign w:val="center"/>
            <w:hideMark/>
          </w:tcPr>
          <w:p w14:paraId="3B436AB7" w14:textId="77777777" w:rsidR="007933DE" w:rsidRPr="001B5187" w:rsidRDefault="007933DE" w:rsidP="007933DE">
            <w:pPr>
              <w:spacing w:after="0" w:line="240" w:lineRule="auto"/>
              <w:jc w:val="center"/>
              <w:rPr>
                <w:rFonts w:ascii="Times New Roman" w:eastAsia="Times New Roman" w:hAnsi="Times New Roman" w:cs="Times New Roman"/>
                <w:color w:val="000000"/>
                <w:kern w:val="0"/>
                <w:sz w:val="28"/>
                <w:szCs w:val="28"/>
                <w:lang w:eastAsia="en-IN"/>
                <w14:ligatures w14:val="none"/>
              </w:rPr>
            </w:pPr>
            <w:r w:rsidRPr="001B5187">
              <w:rPr>
                <w:rFonts w:ascii="Times New Roman" w:eastAsia="Times New Roman" w:hAnsi="Times New Roman" w:cs="Times New Roman"/>
                <w:color w:val="000000"/>
                <w:kern w:val="0"/>
                <w:sz w:val="28"/>
                <w:szCs w:val="28"/>
                <w:lang w:eastAsia="en-IN"/>
                <w14:ligatures w14:val="none"/>
              </w:rPr>
              <w:t>919*</w:t>
            </w:r>
          </w:p>
        </w:tc>
        <w:tc>
          <w:tcPr>
            <w:tcW w:w="1146" w:type="dxa"/>
            <w:tcBorders>
              <w:top w:val="nil"/>
              <w:left w:val="nil"/>
              <w:bottom w:val="single" w:sz="4" w:space="0" w:color="auto"/>
              <w:right w:val="single" w:sz="4" w:space="0" w:color="auto"/>
            </w:tcBorders>
            <w:vAlign w:val="center"/>
            <w:hideMark/>
          </w:tcPr>
          <w:p w14:paraId="2461CB78" w14:textId="77777777" w:rsidR="007933DE" w:rsidRPr="001B5187" w:rsidRDefault="007933DE" w:rsidP="007933DE">
            <w:pPr>
              <w:spacing w:after="0" w:line="240" w:lineRule="auto"/>
              <w:jc w:val="center"/>
              <w:rPr>
                <w:rFonts w:ascii="Times New Roman" w:eastAsia="Times New Roman" w:hAnsi="Times New Roman" w:cs="Times New Roman"/>
                <w:color w:val="000000"/>
                <w:kern w:val="0"/>
                <w:sz w:val="28"/>
                <w:szCs w:val="28"/>
                <w:lang w:eastAsia="en-IN"/>
                <w14:ligatures w14:val="none"/>
              </w:rPr>
            </w:pPr>
            <w:r w:rsidRPr="001B5187">
              <w:rPr>
                <w:rFonts w:ascii="Times New Roman" w:eastAsia="Times New Roman" w:hAnsi="Times New Roman" w:cs="Times New Roman"/>
                <w:color w:val="000000"/>
                <w:kern w:val="0"/>
                <w:sz w:val="28"/>
                <w:szCs w:val="28"/>
                <w:lang w:eastAsia="en-IN"/>
                <w14:ligatures w14:val="none"/>
              </w:rPr>
              <w:t>29*</w:t>
            </w:r>
          </w:p>
        </w:tc>
        <w:tc>
          <w:tcPr>
            <w:tcW w:w="1829" w:type="dxa"/>
            <w:tcBorders>
              <w:top w:val="nil"/>
              <w:left w:val="nil"/>
              <w:bottom w:val="single" w:sz="4" w:space="0" w:color="auto"/>
              <w:right w:val="single" w:sz="4" w:space="0" w:color="auto"/>
            </w:tcBorders>
            <w:vAlign w:val="center"/>
            <w:hideMark/>
          </w:tcPr>
          <w:p w14:paraId="56C77E07" w14:textId="77777777" w:rsidR="007933DE" w:rsidRPr="001B5187" w:rsidRDefault="007933DE" w:rsidP="007933DE">
            <w:pPr>
              <w:spacing w:after="0" w:line="240" w:lineRule="auto"/>
              <w:jc w:val="center"/>
              <w:rPr>
                <w:rFonts w:ascii="Times New Roman" w:eastAsia="Times New Roman" w:hAnsi="Times New Roman" w:cs="Times New Roman"/>
                <w:color w:val="000000"/>
                <w:kern w:val="0"/>
                <w:sz w:val="28"/>
                <w:szCs w:val="28"/>
                <w:lang w:eastAsia="en-IN"/>
                <w14:ligatures w14:val="none"/>
              </w:rPr>
            </w:pPr>
            <w:r w:rsidRPr="001B5187">
              <w:rPr>
                <w:rFonts w:ascii="Times New Roman" w:eastAsia="Times New Roman" w:hAnsi="Times New Roman" w:cs="Times New Roman"/>
                <w:color w:val="000000"/>
                <w:kern w:val="0"/>
                <w:sz w:val="28"/>
                <w:szCs w:val="28"/>
                <w:lang w:eastAsia="en-IN"/>
                <w14:ligatures w14:val="none"/>
              </w:rPr>
              <w:t>56*</w:t>
            </w:r>
          </w:p>
        </w:tc>
        <w:tc>
          <w:tcPr>
            <w:tcW w:w="1442" w:type="dxa"/>
            <w:tcBorders>
              <w:top w:val="nil"/>
              <w:left w:val="nil"/>
              <w:bottom w:val="single" w:sz="4" w:space="0" w:color="auto"/>
              <w:right w:val="single" w:sz="4" w:space="0" w:color="auto"/>
            </w:tcBorders>
            <w:vAlign w:val="center"/>
            <w:hideMark/>
          </w:tcPr>
          <w:p w14:paraId="3E3ABEAA" w14:textId="31CAECD9" w:rsidR="007933DE" w:rsidRPr="001B5187" w:rsidRDefault="007933DE" w:rsidP="007933DE">
            <w:pPr>
              <w:spacing w:after="0" w:line="240" w:lineRule="auto"/>
              <w:jc w:val="center"/>
              <w:rPr>
                <w:rFonts w:ascii="Times New Roman" w:eastAsia="Times New Roman" w:hAnsi="Times New Roman" w:cs="Times New Roman"/>
                <w:color w:val="000000"/>
                <w:kern w:val="0"/>
                <w:sz w:val="28"/>
                <w:szCs w:val="28"/>
                <w:lang w:eastAsia="en-IN"/>
                <w14:ligatures w14:val="none"/>
              </w:rPr>
            </w:pPr>
            <w:r w:rsidRPr="001B5187">
              <w:rPr>
                <w:rFonts w:ascii="Times New Roman" w:eastAsia="Times New Roman" w:hAnsi="Times New Roman" w:cs="Times New Roman"/>
                <w:color w:val="000000"/>
                <w:kern w:val="0"/>
                <w:sz w:val="28"/>
                <w:szCs w:val="28"/>
                <w:lang w:eastAsia="en-IN"/>
                <w14:ligatures w14:val="none"/>
              </w:rPr>
              <w:t>16.8</w:t>
            </w:r>
            <w:r w:rsidR="00A55F3A">
              <w:rPr>
                <w:rFonts w:ascii="Times New Roman" w:eastAsia="Times New Roman" w:hAnsi="Times New Roman" w:cs="Times New Roman"/>
                <w:color w:val="000000"/>
                <w:kern w:val="0"/>
                <w:sz w:val="28"/>
                <w:szCs w:val="28"/>
                <w:lang w:eastAsia="en-IN"/>
                <w14:ligatures w14:val="none"/>
              </w:rPr>
              <w:t>*</w:t>
            </w:r>
          </w:p>
        </w:tc>
        <w:tc>
          <w:tcPr>
            <w:tcW w:w="1688" w:type="dxa"/>
            <w:tcBorders>
              <w:top w:val="nil"/>
              <w:left w:val="nil"/>
              <w:bottom w:val="single" w:sz="4" w:space="0" w:color="auto"/>
              <w:right w:val="single" w:sz="4" w:space="0" w:color="auto"/>
            </w:tcBorders>
            <w:vAlign w:val="center"/>
            <w:hideMark/>
          </w:tcPr>
          <w:p w14:paraId="6EB15DB7" w14:textId="50ED1161" w:rsidR="007933DE" w:rsidRPr="001B5187" w:rsidRDefault="007933DE" w:rsidP="007933DE">
            <w:pPr>
              <w:spacing w:after="0" w:line="240" w:lineRule="auto"/>
              <w:jc w:val="center"/>
              <w:rPr>
                <w:rFonts w:ascii="Times New Roman" w:eastAsia="Times New Roman" w:hAnsi="Times New Roman" w:cs="Times New Roman"/>
                <w:color w:val="000000"/>
                <w:kern w:val="0"/>
                <w:sz w:val="28"/>
                <w:szCs w:val="28"/>
                <w:lang w:eastAsia="en-IN"/>
                <w14:ligatures w14:val="none"/>
              </w:rPr>
            </w:pPr>
            <w:r w:rsidRPr="001B5187">
              <w:rPr>
                <w:rFonts w:ascii="Times New Roman" w:eastAsia="Times New Roman" w:hAnsi="Times New Roman" w:cs="Times New Roman"/>
                <w:color w:val="000000"/>
                <w:kern w:val="0"/>
                <w:sz w:val="28"/>
                <w:szCs w:val="28"/>
                <w:lang w:eastAsia="en-IN"/>
                <w14:ligatures w14:val="none"/>
              </w:rPr>
              <w:t>60</w:t>
            </w:r>
            <w:r w:rsidR="00A55F3A">
              <w:rPr>
                <w:rFonts w:ascii="Times New Roman" w:eastAsia="Times New Roman" w:hAnsi="Times New Roman" w:cs="Times New Roman"/>
                <w:color w:val="000000"/>
                <w:kern w:val="0"/>
                <w:sz w:val="28"/>
                <w:szCs w:val="28"/>
                <w:lang w:eastAsia="en-IN"/>
                <w14:ligatures w14:val="none"/>
              </w:rPr>
              <w:t>*</w:t>
            </w:r>
          </w:p>
        </w:tc>
      </w:tr>
      <w:tr w:rsidR="007933DE" w:rsidRPr="001B5187" w14:paraId="24858775" w14:textId="77777777" w:rsidTr="007933DE">
        <w:trPr>
          <w:trHeight w:val="315"/>
        </w:trPr>
        <w:tc>
          <w:tcPr>
            <w:tcW w:w="1326" w:type="dxa"/>
            <w:tcBorders>
              <w:top w:val="nil"/>
              <w:left w:val="single" w:sz="4" w:space="0" w:color="auto"/>
              <w:bottom w:val="single" w:sz="4" w:space="0" w:color="auto"/>
              <w:right w:val="single" w:sz="4" w:space="0" w:color="auto"/>
            </w:tcBorders>
            <w:vAlign w:val="center"/>
            <w:hideMark/>
          </w:tcPr>
          <w:p w14:paraId="35819B11" w14:textId="77777777" w:rsidR="007933DE" w:rsidRPr="001B5187" w:rsidRDefault="007933DE" w:rsidP="007933DE">
            <w:pPr>
              <w:spacing w:after="0" w:line="240" w:lineRule="auto"/>
              <w:rPr>
                <w:rFonts w:ascii="Times New Roman" w:eastAsia="Times New Roman" w:hAnsi="Times New Roman" w:cs="Times New Roman"/>
                <w:color w:val="000000"/>
                <w:kern w:val="0"/>
                <w:sz w:val="28"/>
                <w:szCs w:val="28"/>
                <w:lang w:eastAsia="en-IN"/>
                <w14:ligatures w14:val="none"/>
              </w:rPr>
            </w:pPr>
            <w:r w:rsidRPr="001B5187">
              <w:rPr>
                <w:rFonts w:ascii="Times New Roman" w:eastAsia="Times New Roman" w:hAnsi="Times New Roman" w:cs="Times New Roman"/>
                <w:color w:val="000000"/>
                <w:kern w:val="0"/>
                <w:sz w:val="28"/>
                <w:szCs w:val="28"/>
                <w:lang w:eastAsia="en-IN"/>
                <w14:ligatures w14:val="none"/>
              </w:rPr>
              <w:t>Rajasthan</w:t>
            </w:r>
          </w:p>
        </w:tc>
        <w:tc>
          <w:tcPr>
            <w:tcW w:w="1262" w:type="dxa"/>
            <w:tcBorders>
              <w:top w:val="nil"/>
              <w:left w:val="nil"/>
              <w:bottom w:val="single" w:sz="4" w:space="0" w:color="auto"/>
              <w:right w:val="single" w:sz="4" w:space="0" w:color="auto"/>
            </w:tcBorders>
            <w:vAlign w:val="center"/>
            <w:hideMark/>
          </w:tcPr>
          <w:p w14:paraId="48269E9C" w14:textId="77777777" w:rsidR="007933DE" w:rsidRPr="001B5187" w:rsidRDefault="007933DE" w:rsidP="007933DE">
            <w:pPr>
              <w:spacing w:after="0" w:line="240" w:lineRule="auto"/>
              <w:jc w:val="center"/>
              <w:rPr>
                <w:rFonts w:ascii="Times New Roman" w:eastAsia="Times New Roman" w:hAnsi="Times New Roman" w:cs="Times New Roman"/>
                <w:color w:val="000000"/>
                <w:kern w:val="0"/>
                <w:sz w:val="28"/>
                <w:szCs w:val="28"/>
                <w:lang w:eastAsia="en-IN"/>
                <w14:ligatures w14:val="none"/>
              </w:rPr>
            </w:pPr>
            <w:r w:rsidRPr="001B5187">
              <w:rPr>
                <w:rFonts w:ascii="Times New Roman" w:eastAsia="Times New Roman" w:hAnsi="Times New Roman" w:cs="Times New Roman"/>
                <w:color w:val="000000"/>
                <w:kern w:val="0"/>
                <w:sz w:val="28"/>
                <w:szCs w:val="28"/>
                <w:lang w:eastAsia="en-IN"/>
                <w14:ligatures w14:val="none"/>
              </w:rPr>
              <w:t>31</w:t>
            </w:r>
          </w:p>
        </w:tc>
        <w:tc>
          <w:tcPr>
            <w:tcW w:w="1803" w:type="dxa"/>
            <w:tcBorders>
              <w:top w:val="nil"/>
              <w:left w:val="nil"/>
              <w:bottom w:val="single" w:sz="4" w:space="0" w:color="auto"/>
              <w:right w:val="single" w:sz="4" w:space="0" w:color="auto"/>
            </w:tcBorders>
            <w:vAlign w:val="center"/>
            <w:hideMark/>
          </w:tcPr>
          <w:p w14:paraId="0C9FB2CC" w14:textId="77777777" w:rsidR="007933DE" w:rsidRPr="001B5187" w:rsidRDefault="007933DE" w:rsidP="007933DE">
            <w:pPr>
              <w:spacing w:after="0" w:line="240" w:lineRule="auto"/>
              <w:jc w:val="center"/>
              <w:rPr>
                <w:rFonts w:ascii="Times New Roman" w:eastAsia="Times New Roman" w:hAnsi="Times New Roman" w:cs="Times New Roman"/>
                <w:color w:val="000000"/>
                <w:kern w:val="0"/>
                <w:sz w:val="28"/>
                <w:szCs w:val="28"/>
                <w:lang w:eastAsia="en-IN"/>
                <w14:ligatures w14:val="none"/>
              </w:rPr>
            </w:pPr>
            <w:r w:rsidRPr="001B5187">
              <w:rPr>
                <w:rFonts w:ascii="Times New Roman" w:eastAsia="Times New Roman" w:hAnsi="Times New Roman" w:cs="Times New Roman"/>
                <w:color w:val="000000"/>
                <w:kern w:val="0"/>
                <w:sz w:val="28"/>
                <w:szCs w:val="28"/>
                <w:lang w:eastAsia="en-IN"/>
                <w14:ligatures w14:val="none"/>
              </w:rPr>
              <w:t>307</w:t>
            </w:r>
          </w:p>
        </w:tc>
        <w:tc>
          <w:tcPr>
            <w:tcW w:w="1146" w:type="dxa"/>
            <w:tcBorders>
              <w:top w:val="nil"/>
              <w:left w:val="nil"/>
              <w:bottom w:val="single" w:sz="4" w:space="0" w:color="auto"/>
              <w:right w:val="single" w:sz="4" w:space="0" w:color="auto"/>
            </w:tcBorders>
            <w:vAlign w:val="center"/>
            <w:hideMark/>
          </w:tcPr>
          <w:p w14:paraId="659AF3B4" w14:textId="77777777" w:rsidR="007933DE" w:rsidRPr="001B5187" w:rsidRDefault="007933DE" w:rsidP="007933DE">
            <w:pPr>
              <w:spacing w:after="0" w:line="240" w:lineRule="auto"/>
              <w:jc w:val="center"/>
              <w:rPr>
                <w:rFonts w:ascii="Times New Roman" w:eastAsia="Times New Roman" w:hAnsi="Times New Roman" w:cs="Times New Roman"/>
                <w:color w:val="000000"/>
                <w:kern w:val="0"/>
                <w:sz w:val="28"/>
                <w:szCs w:val="28"/>
                <w:lang w:eastAsia="en-IN"/>
                <w14:ligatures w14:val="none"/>
              </w:rPr>
            </w:pPr>
            <w:r w:rsidRPr="001B5187">
              <w:rPr>
                <w:rFonts w:ascii="Times New Roman" w:eastAsia="Times New Roman" w:hAnsi="Times New Roman" w:cs="Times New Roman"/>
                <w:color w:val="000000"/>
                <w:kern w:val="0"/>
                <w:sz w:val="28"/>
                <w:szCs w:val="28"/>
                <w:lang w:eastAsia="en-IN"/>
                <w14:ligatures w14:val="none"/>
              </w:rPr>
              <w:t>13</w:t>
            </w:r>
          </w:p>
        </w:tc>
        <w:tc>
          <w:tcPr>
            <w:tcW w:w="1829" w:type="dxa"/>
            <w:tcBorders>
              <w:top w:val="nil"/>
              <w:left w:val="nil"/>
              <w:bottom w:val="single" w:sz="4" w:space="0" w:color="auto"/>
              <w:right w:val="single" w:sz="4" w:space="0" w:color="auto"/>
            </w:tcBorders>
            <w:vAlign w:val="center"/>
            <w:hideMark/>
          </w:tcPr>
          <w:p w14:paraId="0484380E" w14:textId="77777777" w:rsidR="007933DE" w:rsidRPr="001B5187" w:rsidRDefault="007933DE" w:rsidP="007933DE">
            <w:pPr>
              <w:spacing w:after="0" w:line="240" w:lineRule="auto"/>
              <w:jc w:val="center"/>
              <w:rPr>
                <w:rFonts w:ascii="Times New Roman" w:eastAsia="Times New Roman" w:hAnsi="Times New Roman" w:cs="Times New Roman"/>
                <w:color w:val="000000"/>
                <w:kern w:val="0"/>
                <w:sz w:val="28"/>
                <w:szCs w:val="28"/>
                <w:lang w:eastAsia="en-IN"/>
                <w14:ligatures w14:val="none"/>
              </w:rPr>
            </w:pPr>
            <w:r w:rsidRPr="001B5187">
              <w:rPr>
                <w:rFonts w:ascii="Times New Roman" w:eastAsia="Times New Roman" w:hAnsi="Times New Roman" w:cs="Times New Roman"/>
                <w:color w:val="000000"/>
                <w:kern w:val="0"/>
                <w:sz w:val="28"/>
                <w:szCs w:val="28"/>
                <w:lang w:eastAsia="en-IN"/>
                <w14:ligatures w14:val="none"/>
              </w:rPr>
              <w:t>5</w:t>
            </w:r>
          </w:p>
        </w:tc>
        <w:tc>
          <w:tcPr>
            <w:tcW w:w="1442" w:type="dxa"/>
            <w:tcBorders>
              <w:top w:val="nil"/>
              <w:left w:val="nil"/>
              <w:bottom w:val="single" w:sz="4" w:space="0" w:color="auto"/>
              <w:right w:val="single" w:sz="4" w:space="0" w:color="auto"/>
            </w:tcBorders>
            <w:vAlign w:val="center"/>
            <w:hideMark/>
          </w:tcPr>
          <w:p w14:paraId="5F6727A2" w14:textId="77777777" w:rsidR="007933DE" w:rsidRPr="001B5187" w:rsidRDefault="007933DE" w:rsidP="007933DE">
            <w:pPr>
              <w:spacing w:after="0" w:line="240" w:lineRule="auto"/>
              <w:jc w:val="center"/>
              <w:rPr>
                <w:rFonts w:ascii="Times New Roman" w:eastAsia="Times New Roman" w:hAnsi="Times New Roman" w:cs="Times New Roman"/>
                <w:color w:val="000000"/>
                <w:kern w:val="0"/>
                <w:sz w:val="28"/>
                <w:szCs w:val="28"/>
                <w:lang w:eastAsia="en-IN"/>
                <w14:ligatures w14:val="none"/>
              </w:rPr>
            </w:pPr>
            <w:r w:rsidRPr="001B5187">
              <w:rPr>
                <w:rFonts w:ascii="Times New Roman" w:eastAsia="Times New Roman" w:hAnsi="Times New Roman" w:cs="Times New Roman"/>
                <w:color w:val="000000"/>
                <w:kern w:val="0"/>
                <w:sz w:val="28"/>
                <w:szCs w:val="28"/>
                <w:lang w:eastAsia="en-IN"/>
                <w14:ligatures w14:val="none"/>
              </w:rPr>
              <w:t>6.6</w:t>
            </w:r>
          </w:p>
        </w:tc>
        <w:tc>
          <w:tcPr>
            <w:tcW w:w="1688" w:type="dxa"/>
            <w:tcBorders>
              <w:top w:val="nil"/>
              <w:left w:val="nil"/>
              <w:bottom w:val="single" w:sz="4" w:space="0" w:color="auto"/>
              <w:right w:val="single" w:sz="4" w:space="0" w:color="auto"/>
            </w:tcBorders>
            <w:vAlign w:val="center"/>
            <w:hideMark/>
          </w:tcPr>
          <w:p w14:paraId="136854AF" w14:textId="77777777" w:rsidR="007933DE" w:rsidRPr="001B5187" w:rsidRDefault="007933DE" w:rsidP="007933DE">
            <w:pPr>
              <w:spacing w:after="0" w:line="240" w:lineRule="auto"/>
              <w:jc w:val="center"/>
              <w:rPr>
                <w:rFonts w:ascii="Times New Roman" w:eastAsia="Times New Roman" w:hAnsi="Times New Roman" w:cs="Times New Roman"/>
                <w:color w:val="000000"/>
                <w:kern w:val="0"/>
                <w:sz w:val="28"/>
                <w:szCs w:val="28"/>
                <w:lang w:eastAsia="en-IN"/>
                <w14:ligatures w14:val="none"/>
              </w:rPr>
            </w:pPr>
            <w:r w:rsidRPr="001B5187">
              <w:rPr>
                <w:rFonts w:ascii="Times New Roman" w:eastAsia="Times New Roman" w:hAnsi="Times New Roman" w:cs="Times New Roman"/>
                <w:color w:val="000000"/>
                <w:kern w:val="0"/>
                <w:sz w:val="28"/>
                <w:szCs w:val="28"/>
                <w:lang w:eastAsia="en-IN"/>
                <w14:ligatures w14:val="none"/>
              </w:rPr>
              <w:t>20.5</w:t>
            </w:r>
          </w:p>
        </w:tc>
      </w:tr>
      <w:tr w:rsidR="007933DE" w:rsidRPr="001B5187" w14:paraId="5C4C62CC" w14:textId="77777777" w:rsidTr="007933DE">
        <w:trPr>
          <w:trHeight w:val="315"/>
        </w:trPr>
        <w:tc>
          <w:tcPr>
            <w:tcW w:w="1326" w:type="dxa"/>
            <w:tcBorders>
              <w:top w:val="nil"/>
              <w:left w:val="single" w:sz="4" w:space="0" w:color="auto"/>
              <w:bottom w:val="single" w:sz="4" w:space="0" w:color="auto"/>
              <w:right w:val="single" w:sz="4" w:space="0" w:color="auto"/>
            </w:tcBorders>
            <w:vAlign w:val="center"/>
            <w:hideMark/>
          </w:tcPr>
          <w:p w14:paraId="31AA4ABA" w14:textId="77777777" w:rsidR="007933DE" w:rsidRPr="001B5187" w:rsidRDefault="007933DE" w:rsidP="007933DE">
            <w:pPr>
              <w:spacing w:after="0" w:line="240" w:lineRule="auto"/>
              <w:rPr>
                <w:rFonts w:ascii="Times New Roman" w:eastAsia="Times New Roman" w:hAnsi="Times New Roman" w:cs="Times New Roman"/>
                <w:color w:val="000000"/>
                <w:kern w:val="0"/>
                <w:sz w:val="28"/>
                <w:szCs w:val="28"/>
                <w:lang w:eastAsia="en-IN"/>
                <w14:ligatures w14:val="none"/>
              </w:rPr>
            </w:pPr>
            <w:r w:rsidRPr="001B5187">
              <w:rPr>
                <w:rFonts w:ascii="Times New Roman" w:eastAsia="Times New Roman" w:hAnsi="Times New Roman" w:cs="Times New Roman"/>
                <w:color w:val="000000"/>
                <w:kern w:val="0"/>
                <w:sz w:val="28"/>
                <w:szCs w:val="28"/>
                <w:lang w:eastAsia="en-IN"/>
                <w14:ligatures w14:val="none"/>
              </w:rPr>
              <w:t>Tamil Nadu</w:t>
            </w:r>
          </w:p>
        </w:tc>
        <w:tc>
          <w:tcPr>
            <w:tcW w:w="1262" w:type="dxa"/>
            <w:tcBorders>
              <w:top w:val="nil"/>
              <w:left w:val="nil"/>
              <w:bottom w:val="single" w:sz="4" w:space="0" w:color="auto"/>
              <w:right w:val="single" w:sz="4" w:space="0" w:color="auto"/>
            </w:tcBorders>
            <w:vAlign w:val="center"/>
            <w:hideMark/>
          </w:tcPr>
          <w:p w14:paraId="6D019663" w14:textId="77777777" w:rsidR="007933DE" w:rsidRPr="001B5187" w:rsidRDefault="007933DE" w:rsidP="007933DE">
            <w:pPr>
              <w:spacing w:after="0" w:line="240" w:lineRule="auto"/>
              <w:jc w:val="center"/>
              <w:rPr>
                <w:rFonts w:ascii="Times New Roman" w:eastAsia="Times New Roman" w:hAnsi="Times New Roman" w:cs="Times New Roman"/>
                <w:color w:val="000000"/>
                <w:kern w:val="0"/>
                <w:sz w:val="28"/>
                <w:szCs w:val="28"/>
                <w:lang w:eastAsia="en-IN"/>
                <w14:ligatures w14:val="none"/>
              </w:rPr>
            </w:pPr>
            <w:r w:rsidRPr="001B5187">
              <w:rPr>
                <w:rFonts w:ascii="Times New Roman" w:eastAsia="Times New Roman" w:hAnsi="Times New Roman" w:cs="Times New Roman"/>
                <w:color w:val="000000"/>
                <w:kern w:val="0"/>
                <w:sz w:val="28"/>
                <w:szCs w:val="28"/>
                <w:lang w:eastAsia="en-IN"/>
                <w14:ligatures w14:val="none"/>
              </w:rPr>
              <w:t>155</w:t>
            </w:r>
          </w:p>
        </w:tc>
        <w:tc>
          <w:tcPr>
            <w:tcW w:w="1803" w:type="dxa"/>
            <w:tcBorders>
              <w:top w:val="nil"/>
              <w:left w:val="nil"/>
              <w:bottom w:val="single" w:sz="4" w:space="0" w:color="auto"/>
              <w:right w:val="single" w:sz="4" w:space="0" w:color="auto"/>
            </w:tcBorders>
            <w:vAlign w:val="center"/>
            <w:hideMark/>
          </w:tcPr>
          <w:p w14:paraId="70F3457B" w14:textId="77777777" w:rsidR="007933DE" w:rsidRPr="001B5187" w:rsidRDefault="007933DE" w:rsidP="007933DE">
            <w:pPr>
              <w:spacing w:after="0" w:line="240" w:lineRule="auto"/>
              <w:jc w:val="center"/>
              <w:rPr>
                <w:rFonts w:ascii="Times New Roman" w:eastAsia="Times New Roman" w:hAnsi="Times New Roman" w:cs="Times New Roman"/>
                <w:color w:val="000000"/>
                <w:kern w:val="0"/>
                <w:sz w:val="28"/>
                <w:szCs w:val="28"/>
                <w:lang w:eastAsia="en-IN"/>
                <w14:ligatures w14:val="none"/>
              </w:rPr>
            </w:pPr>
            <w:r w:rsidRPr="001B5187">
              <w:rPr>
                <w:rFonts w:ascii="Times New Roman" w:eastAsia="Times New Roman" w:hAnsi="Times New Roman" w:cs="Times New Roman"/>
                <w:color w:val="000000"/>
                <w:kern w:val="0"/>
                <w:sz w:val="28"/>
                <w:szCs w:val="28"/>
                <w:lang w:eastAsia="en-IN"/>
                <w14:ligatures w14:val="none"/>
              </w:rPr>
              <w:t>1381</w:t>
            </w:r>
          </w:p>
        </w:tc>
        <w:tc>
          <w:tcPr>
            <w:tcW w:w="1146" w:type="dxa"/>
            <w:tcBorders>
              <w:top w:val="nil"/>
              <w:left w:val="nil"/>
              <w:bottom w:val="single" w:sz="4" w:space="0" w:color="auto"/>
              <w:right w:val="single" w:sz="4" w:space="0" w:color="auto"/>
            </w:tcBorders>
            <w:vAlign w:val="center"/>
            <w:hideMark/>
          </w:tcPr>
          <w:p w14:paraId="3FBD60B7" w14:textId="77777777" w:rsidR="007933DE" w:rsidRPr="001B5187" w:rsidRDefault="007933DE" w:rsidP="007933DE">
            <w:pPr>
              <w:spacing w:after="0" w:line="240" w:lineRule="auto"/>
              <w:jc w:val="center"/>
              <w:rPr>
                <w:rFonts w:ascii="Times New Roman" w:eastAsia="Times New Roman" w:hAnsi="Times New Roman" w:cs="Times New Roman"/>
                <w:color w:val="000000"/>
                <w:kern w:val="0"/>
                <w:sz w:val="28"/>
                <w:szCs w:val="28"/>
                <w:lang w:eastAsia="en-IN"/>
                <w14:ligatures w14:val="none"/>
              </w:rPr>
            </w:pPr>
            <w:r w:rsidRPr="001B5187">
              <w:rPr>
                <w:rFonts w:ascii="Times New Roman" w:eastAsia="Times New Roman" w:hAnsi="Times New Roman" w:cs="Times New Roman"/>
                <w:color w:val="000000"/>
                <w:kern w:val="0"/>
                <w:sz w:val="28"/>
                <w:szCs w:val="28"/>
                <w:lang w:eastAsia="en-IN"/>
                <w14:ligatures w14:val="none"/>
              </w:rPr>
              <w:t>93</w:t>
            </w:r>
          </w:p>
        </w:tc>
        <w:tc>
          <w:tcPr>
            <w:tcW w:w="1829" w:type="dxa"/>
            <w:tcBorders>
              <w:top w:val="nil"/>
              <w:left w:val="nil"/>
              <w:bottom w:val="single" w:sz="4" w:space="0" w:color="auto"/>
              <w:right w:val="single" w:sz="4" w:space="0" w:color="auto"/>
            </w:tcBorders>
            <w:vAlign w:val="center"/>
            <w:hideMark/>
          </w:tcPr>
          <w:p w14:paraId="5F342F02" w14:textId="77777777" w:rsidR="007933DE" w:rsidRPr="001B5187" w:rsidRDefault="007933DE" w:rsidP="007933DE">
            <w:pPr>
              <w:spacing w:after="0" w:line="240" w:lineRule="auto"/>
              <w:jc w:val="center"/>
              <w:rPr>
                <w:rFonts w:ascii="Times New Roman" w:eastAsia="Times New Roman" w:hAnsi="Times New Roman" w:cs="Times New Roman"/>
                <w:color w:val="000000"/>
                <w:kern w:val="0"/>
                <w:sz w:val="28"/>
                <w:szCs w:val="28"/>
                <w:lang w:eastAsia="en-IN"/>
                <w14:ligatures w14:val="none"/>
              </w:rPr>
            </w:pPr>
            <w:r w:rsidRPr="001B5187">
              <w:rPr>
                <w:rFonts w:ascii="Times New Roman" w:eastAsia="Times New Roman" w:hAnsi="Times New Roman" w:cs="Times New Roman"/>
                <w:color w:val="000000"/>
                <w:kern w:val="0"/>
                <w:sz w:val="28"/>
                <w:szCs w:val="28"/>
                <w:lang w:eastAsia="en-IN"/>
                <w14:ligatures w14:val="none"/>
              </w:rPr>
              <w:t>91</w:t>
            </w:r>
          </w:p>
        </w:tc>
        <w:tc>
          <w:tcPr>
            <w:tcW w:w="1442" w:type="dxa"/>
            <w:tcBorders>
              <w:top w:val="nil"/>
              <w:left w:val="nil"/>
              <w:bottom w:val="single" w:sz="4" w:space="0" w:color="auto"/>
              <w:right w:val="single" w:sz="4" w:space="0" w:color="auto"/>
            </w:tcBorders>
            <w:vAlign w:val="center"/>
            <w:hideMark/>
          </w:tcPr>
          <w:p w14:paraId="6FFC5A75" w14:textId="77777777" w:rsidR="007933DE" w:rsidRPr="001B5187" w:rsidRDefault="007933DE" w:rsidP="007933DE">
            <w:pPr>
              <w:spacing w:after="0" w:line="240" w:lineRule="auto"/>
              <w:jc w:val="center"/>
              <w:rPr>
                <w:rFonts w:ascii="Times New Roman" w:eastAsia="Times New Roman" w:hAnsi="Times New Roman" w:cs="Times New Roman"/>
                <w:color w:val="000000"/>
                <w:kern w:val="0"/>
                <w:sz w:val="28"/>
                <w:szCs w:val="28"/>
                <w:lang w:eastAsia="en-IN"/>
                <w14:ligatures w14:val="none"/>
              </w:rPr>
            </w:pPr>
            <w:r w:rsidRPr="001B5187">
              <w:rPr>
                <w:rFonts w:ascii="Times New Roman" w:eastAsia="Times New Roman" w:hAnsi="Times New Roman" w:cs="Times New Roman"/>
                <w:color w:val="000000"/>
                <w:kern w:val="0"/>
                <w:sz w:val="28"/>
                <w:szCs w:val="28"/>
                <w:lang w:eastAsia="en-IN"/>
                <w14:ligatures w14:val="none"/>
              </w:rPr>
              <w:t>51</w:t>
            </w:r>
          </w:p>
        </w:tc>
        <w:tc>
          <w:tcPr>
            <w:tcW w:w="1688" w:type="dxa"/>
            <w:tcBorders>
              <w:top w:val="nil"/>
              <w:left w:val="nil"/>
              <w:bottom w:val="single" w:sz="4" w:space="0" w:color="auto"/>
              <w:right w:val="single" w:sz="4" w:space="0" w:color="auto"/>
            </w:tcBorders>
            <w:vAlign w:val="center"/>
            <w:hideMark/>
          </w:tcPr>
          <w:p w14:paraId="3F272893" w14:textId="77777777" w:rsidR="007933DE" w:rsidRPr="001B5187" w:rsidRDefault="007933DE" w:rsidP="007933DE">
            <w:pPr>
              <w:spacing w:after="0" w:line="240" w:lineRule="auto"/>
              <w:jc w:val="center"/>
              <w:rPr>
                <w:rFonts w:ascii="Times New Roman" w:eastAsia="Times New Roman" w:hAnsi="Times New Roman" w:cs="Times New Roman"/>
                <w:color w:val="000000"/>
                <w:kern w:val="0"/>
                <w:sz w:val="28"/>
                <w:szCs w:val="28"/>
                <w:lang w:eastAsia="en-IN"/>
                <w14:ligatures w14:val="none"/>
              </w:rPr>
            </w:pPr>
            <w:r w:rsidRPr="001B5187">
              <w:rPr>
                <w:rFonts w:ascii="Times New Roman" w:eastAsia="Times New Roman" w:hAnsi="Times New Roman" w:cs="Times New Roman"/>
                <w:color w:val="000000"/>
                <w:kern w:val="0"/>
                <w:sz w:val="28"/>
                <w:szCs w:val="28"/>
                <w:lang w:eastAsia="en-IN"/>
                <w14:ligatures w14:val="none"/>
              </w:rPr>
              <w:t>149.8</w:t>
            </w:r>
          </w:p>
        </w:tc>
      </w:tr>
      <w:tr w:rsidR="007933DE" w:rsidRPr="001B5187" w14:paraId="24A454B6" w14:textId="77777777" w:rsidTr="007933DE">
        <w:trPr>
          <w:trHeight w:val="315"/>
        </w:trPr>
        <w:tc>
          <w:tcPr>
            <w:tcW w:w="1326" w:type="dxa"/>
            <w:tcBorders>
              <w:top w:val="nil"/>
              <w:left w:val="single" w:sz="4" w:space="0" w:color="auto"/>
              <w:bottom w:val="single" w:sz="4" w:space="0" w:color="auto"/>
              <w:right w:val="single" w:sz="4" w:space="0" w:color="auto"/>
            </w:tcBorders>
            <w:vAlign w:val="center"/>
            <w:hideMark/>
          </w:tcPr>
          <w:p w14:paraId="79770C50" w14:textId="77777777" w:rsidR="007933DE" w:rsidRPr="001B5187" w:rsidRDefault="007933DE" w:rsidP="007933DE">
            <w:pPr>
              <w:spacing w:after="0" w:line="240" w:lineRule="auto"/>
              <w:rPr>
                <w:rFonts w:ascii="Times New Roman" w:eastAsia="Times New Roman" w:hAnsi="Times New Roman" w:cs="Times New Roman"/>
                <w:color w:val="000000"/>
                <w:kern w:val="0"/>
                <w:sz w:val="28"/>
                <w:szCs w:val="28"/>
                <w:lang w:eastAsia="en-IN"/>
                <w14:ligatures w14:val="none"/>
              </w:rPr>
            </w:pPr>
            <w:r w:rsidRPr="001B5187">
              <w:rPr>
                <w:rFonts w:ascii="Times New Roman" w:eastAsia="Times New Roman" w:hAnsi="Times New Roman" w:cs="Times New Roman"/>
                <w:color w:val="000000"/>
                <w:kern w:val="0"/>
                <w:sz w:val="28"/>
                <w:szCs w:val="28"/>
                <w:lang w:eastAsia="en-IN"/>
                <w14:ligatures w14:val="none"/>
              </w:rPr>
              <w:t>Uttar Pradesh</w:t>
            </w:r>
          </w:p>
        </w:tc>
        <w:tc>
          <w:tcPr>
            <w:tcW w:w="1262" w:type="dxa"/>
            <w:tcBorders>
              <w:top w:val="nil"/>
              <w:left w:val="nil"/>
              <w:bottom w:val="single" w:sz="4" w:space="0" w:color="auto"/>
              <w:right w:val="single" w:sz="4" w:space="0" w:color="auto"/>
            </w:tcBorders>
            <w:vAlign w:val="center"/>
            <w:hideMark/>
          </w:tcPr>
          <w:p w14:paraId="672061F4" w14:textId="77777777" w:rsidR="007933DE" w:rsidRPr="001B5187" w:rsidRDefault="007933DE" w:rsidP="007933DE">
            <w:pPr>
              <w:spacing w:after="0" w:line="240" w:lineRule="auto"/>
              <w:jc w:val="center"/>
              <w:rPr>
                <w:rFonts w:ascii="Times New Roman" w:eastAsia="Times New Roman" w:hAnsi="Times New Roman" w:cs="Times New Roman"/>
                <w:color w:val="000000"/>
                <w:kern w:val="0"/>
                <w:sz w:val="28"/>
                <w:szCs w:val="28"/>
                <w:lang w:eastAsia="en-IN"/>
                <w14:ligatures w14:val="none"/>
              </w:rPr>
            </w:pPr>
            <w:r w:rsidRPr="001B5187">
              <w:rPr>
                <w:rFonts w:ascii="Times New Roman" w:eastAsia="Times New Roman" w:hAnsi="Times New Roman" w:cs="Times New Roman"/>
                <w:color w:val="000000"/>
                <w:kern w:val="0"/>
                <w:sz w:val="28"/>
                <w:szCs w:val="28"/>
                <w:lang w:eastAsia="en-IN"/>
                <w14:ligatures w14:val="none"/>
              </w:rPr>
              <w:t>200</w:t>
            </w:r>
          </w:p>
        </w:tc>
        <w:tc>
          <w:tcPr>
            <w:tcW w:w="1803" w:type="dxa"/>
            <w:tcBorders>
              <w:top w:val="nil"/>
              <w:left w:val="nil"/>
              <w:bottom w:val="single" w:sz="4" w:space="0" w:color="auto"/>
              <w:right w:val="single" w:sz="4" w:space="0" w:color="auto"/>
            </w:tcBorders>
            <w:vAlign w:val="center"/>
            <w:hideMark/>
          </w:tcPr>
          <w:p w14:paraId="605AC872" w14:textId="77777777" w:rsidR="007933DE" w:rsidRPr="001B5187" w:rsidRDefault="007933DE" w:rsidP="007933DE">
            <w:pPr>
              <w:spacing w:after="0" w:line="240" w:lineRule="auto"/>
              <w:jc w:val="center"/>
              <w:rPr>
                <w:rFonts w:ascii="Times New Roman" w:eastAsia="Times New Roman" w:hAnsi="Times New Roman" w:cs="Times New Roman"/>
                <w:color w:val="000000"/>
                <w:kern w:val="0"/>
                <w:sz w:val="28"/>
                <w:szCs w:val="28"/>
                <w:lang w:eastAsia="en-IN"/>
                <w14:ligatures w14:val="none"/>
              </w:rPr>
            </w:pPr>
            <w:r w:rsidRPr="001B5187">
              <w:rPr>
                <w:rFonts w:ascii="Times New Roman" w:eastAsia="Times New Roman" w:hAnsi="Times New Roman" w:cs="Times New Roman"/>
                <w:color w:val="000000"/>
                <w:kern w:val="0"/>
                <w:sz w:val="28"/>
                <w:szCs w:val="28"/>
                <w:lang w:eastAsia="en-IN"/>
                <w14:ligatures w14:val="none"/>
              </w:rPr>
              <w:t>925</w:t>
            </w:r>
          </w:p>
        </w:tc>
        <w:tc>
          <w:tcPr>
            <w:tcW w:w="1146" w:type="dxa"/>
            <w:tcBorders>
              <w:top w:val="nil"/>
              <w:left w:val="nil"/>
              <w:bottom w:val="single" w:sz="4" w:space="0" w:color="auto"/>
              <w:right w:val="single" w:sz="4" w:space="0" w:color="auto"/>
            </w:tcBorders>
            <w:vAlign w:val="center"/>
            <w:hideMark/>
          </w:tcPr>
          <w:p w14:paraId="15C8B274" w14:textId="77777777" w:rsidR="007933DE" w:rsidRPr="001B5187" w:rsidRDefault="007933DE" w:rsidP="007933DE">
            <w:pPr>
              <w:spacing w:after="0" w:line="240" w:lineRule="auto"/>
              <w:jc w:val="center"/>
              <w:rPr>
                <w:rFonts w:ascii="Times New Roman" w:eastAsia="Times New Roman" w:hAnsi="Times New Roman" w:cs="Times New Roman"/>
                <w:color w:val="000000"/>
                <w:kern w:val="0"/>
                <w:sz w:val="28"/>
                <w:szCs w:val="28"/>
                <w:lang w:eastAsia="en-IN"/>
                <w14:ligatures w14:val="none"/>
              </w:rPr>
            </w:pPr>
            <w:r w:rsidRPr="001B5187">
              <w:rPr>
                <w:rFonts w:ascii="Times New Roman" w:eastAsia="Times New Roman" w:hAnsi="Times New Roman" w:cs="Times New Roman"/>
                <w:color w:val="000000"/>
                <w:kern w:val="0"/>
                <w:sz w:val="28"/>
                <w:szCs w:val="28"/>
                <w:lang w:eastAsia="en-IN"/>
                <w14:ligatures w14:val="none"/>
              </w:rPr>
              <w:t>38</w:t>
            </w:r>
          </w:p>
        </w:tc>
        <w:tc>
          <w:tcPr>
            <w:tcW w:w="1829" w:type="dxa"/>
            <w:tcBorders>
              <w:top w:val="nil"/>
              <w:left w:val="nil"/>
              <w:bottom w:val="single" w:sz="4" w:space="0" w:color="auto"/>
              <w:right w:val="single" w:sz="4" w:space="0" w:color="auto"/>
            </w:tcBorders>
            <w:vAlign w:val="center"/>
            <w:hideMark/>
          </w:tcPr>
          <w:p w14:paraId="4F72DB57" w14:textId="77777777" w:rsidR="007933DE" w:rsidRPr="001B5187" w:rsidRDefault="007933DE" w:rsidP="007933DE">
            <w:pPr>
              <w:spacing w:after="0" w:line="240" w:lineRule="auto"/>
              <w:jc w:val="center"/>
              <w:rPr>
                <w:rFonts w:ascii="Times New Roman" w:eastAsia="Times New Roman" w:hAnsi="Times New Roman" w:cs="Times New Roman"/>
                <w:color w:val="000000"/>
                <w:kern w:val="0"/>
                <w:sz w:val="28"/>
                <w:szCs w:val="28"/>
                <w:lang w:eastAsia="en-IN"/>
                <w14:ligatures w14:val="none"/>
              </w:rPr>
            </w:pPr>
            <w:r w:rsidRPr="001B5187">
              <w:rPr>
                <w:rFonts w:ascii="Times New Roman" w:eastAsia="Times New Roman" w:hAnsi="Times New Roman" w:cs="Times New Roman"/>
                <w:color w:val="000000"/>
                <w:kern w:val="0"/>
                <w:sz w:val="28"/>
                <w:szCs w:val="28"/>
                <w:lang w:eastAsia="en-IN"/>
                <w14:ligatures w14:val="none"/>
              </w:rPr>
              <w:t>45</w:t>
            </w:r>
          </w:p>
        </w:tc>
        <w:tc>
          <w:tcPr>
            <w:tcW w:w="1442" w:type="dxa"/>
            <w:tcBorders>
              <w:top w:val="nil"/>
              <w:left w:val="nil"/>
              <w:bottom w:val="single" w:sz="4" w:space="0" w:color="auto"/>
              <w:right w:val="single" w:sz="4" w:space="0" w:color="auto"/>
            </w:tcBorders>
            <w:vAlign w:val="center"/>
            <w:hideMark/>
          </w:tcPr>
          <w:p w14:paraId="04557239" w14:textId="77777777" w:rsidR="007933DE" w:rsidRPr="001B5187" w:rsidRDefault="007933DE" w:rsidP="007933DE">
            <w:pPr>
              <w:spacing w:after="0" w:line="240" w:lineRule="auto"/>
              <w:jc w:val="center"/>
              <w:rPr>
                <w:rFonts w:ascii="Times New Roman" w:eastAsia="Times New Roman" w:hAnsi="Times New Roman" w:cs="Times New Roman"/>
                <w:color w:val="000000"/>
                <w:kern w:val="0"/>
                <w:sz w:val="28"/>
                <w:szCs w:val="28"/>
                <w:lang w:eastAsia="en-IN"/>
                <w14:ligatures w14:val="none"/>
              </w:rPr>
            </w:pPr>
            <w:r w:rsidRPr="001B5187">
              <w:rPr>
                <w:rFonts w:ascii="Times New Roman" w:eastAsia="Times New Roman" w:hAnsi="Times New Roman" w:cs="Times New Roman"/>
                <w:color w:val="000000"/>
                <w:kern w:val="0"/>
                <w:sz w:val="28"/>
                <w:szCs w:val="28"/>
                <w:lang w:eastAsia="en-IN"/>
                <w14:ligatures w14:val="none"/>
              </w:rPr>
              <w:t>47.3</w:t>
            </w:r>
          </w:p>
        </w:tc>
        <w:tc>
          <w:tcPr>
            <w:tcW w:w="1688" w:type="dxa"/>
            <w:tcBorders>
              <w:top w:val="nil"/>
              <w:left w:val="nil"/>
              <w:bottom w:val="single" w:sz="4" w:space="0" w:color="auto"/>
              <w:right w:val="single" w:sz="4" w:space="0" w:color="auto"/>
            </w:tcBorders>
            <w:vAlign w:val="center"/>
            <w:hideMark/>
          </w:tcPr>
          <w:p w14:paraId="5D0BB179" w14:textId="77777777" w:rsidR="007933DE" w:rsidRPr="001B5187" w:rsidRDefault="007933DE" w:rsidP="007933DE">
            <w:pPr>
              <w:spacing w:after="0" w:line="240" w:lineRule="auto"/>
              <w:jc w:val="center"/>
              <w:rPr>
                <w:rFonts w:ascii="Times New Roman" w:eastAsia="Times New Roman" w:hAnsi="Times New Roman" w:cs="Times New Roman"/>
                <w:color w:val="000000"/>
                <w:kern w:val="0"/>
                <w:sz w:val="28"/>
                <w:szCs w:val="28"/>
                <w:lang w:eastAsia="en-IN"/>
                <w14:ligatures w14:val="none"/>
              </w:rPr>
            </w:pPr>
            <w:r w:rsidRPr="001B5187">
              <w:rPr>
                <w:rFonts w:ascii="Times New Roman" w:eastAsia="Times New Roman" w:hAnsi="Times New Roman" w:cs="Times New Roman"/>
                <w:color w:val="000000"/>
                <w:kern w:val="0"/>
                <w:sz w:val="28"/>
                <w:szCs w:val="28"/>
                <w:lang w:eastAsia="en-IN"/>
                <w14:ligatures w14:val="none"/>
              </w:rPr>
              <w:t>106.8</w:t>
            </w:r>
          </w:p>
        </w:tc>
      </w:tr>
      <w:tr w:rsidR="007933DE" w:rsidRPr="001B5187" w14:paraId="79D86302" w14:textId="77777777" w:rsidTr="007933DE">
        <w:trPr>
          <w:trHeight w:val="315"/>
        </w:trPr>
        <w:tc>
          <w:tcPr>
            <w:tcW w:w="1326" w:type="dxa"/>
            <w:tcBorders>
              <w:top w:val="nil"/>
              <w:left w:val="single" w:sz="4" w:space="0" w:color="auto"/>
              <w:bottom w:val="single" w:sz="4" w:space="0" w:color="auto"/>
              <w:right w:val="single" w:sz="4" w:space="0" w:color="auto"/>
            </w:tcBorders>
            <w:vAlign w:val="center"/>
            <w:hideMark/>
          </w:tcPr>
          <w:p w14:paraId="4F529738" w14:textId="77777777" w:rsidR="007933DE" w:rsidRPr="001B5187" w:rsidRDefault="007933DE" w:rsidP="007933DE">
            <w:pPr>
              <w:spacing w:after="0" w:line="240" w:lineRule="auto"/>
              <w:rPr>
                <w:rFonts w:ascii="Times New Roman" w:eastAsia="Times New Roman" w:hAnsi="Times New Roman" w:cs="Times New Roman"/>
                <w:color w:val="000000"/>
                <w:kern w:val="0"/>
                <w:sz w:val="28"/>
                <w:szCs w:val="28"/>
                <w:lang w:eastAsia="en-IN"/>
                <w14:ligatures w14:val="none"/>
              </w:rPr>
            </w:pPr>
            <w:r w:rsidRPr="001B5187">
              <w:rPr>
                <w:rFonts w:ascii="Times New Roman" w:eastAsia="Times New Roman" w:hAnsi="Times New Roman" w:cs="Times New Roman"/>
                <w:color w:val="000000"/>
                <w:kern w:val="0"/>
                <w:sz w:val="28"/>
                <w:szCs w:val="28"/>
                <w:lang w:eastAsia="en-IN"/>
                <w14:ligatures w14:val="none"/>
              </w:rPr>
              <w:t>West Bengal</w:t>
            </w:r>
          </w:p>
        </w:tc>
        <w:tc>
          <w:tcPr>
            <w:tcW w:w="1262" w:type="dxa"/>
            <w:tcBorders>
              <w:top w:val="nil"/>
              <w:left w:val="nil"/>
              <w:bottom w:val="single" w:sz="4" w:space="0" w:color="auto"/>
              <w:right w:val="single" w:sz="4" w:space="0" w:color="auto"/>
            </w:tcBorders>
            <w:vAlign w:val="center"/>
            <w:hideMark/>
          </w:tcPr>
          <w:p w14:paraId="2E8015AA" w14:textId="77777777" w:rsidR="007933DE" w:rsidRPr="001B5187" w:rsidRDefault="007933DE" w:rsidP="007933DE">
            <w:pPr>
              <w:spacing w:after="0" w:line="240" w:lineRule="auto"/>
              <w:jc w:val="center"/>
              <w:rPr>
                <w:rFonts w:ascii="Times New Roman" w:eastAsia="Times New Roman" w:hAnsi="Times New Roman" w:cs="Times New Roman"/>
                <w:color w:val="000000"/>
                <w:kern w:val="0"/>
                <w:sz w:val="28"/>
                <w:szCs w:val="28"/>
                <w:lang w:eastAsia="en-IN"/>
                <w14:ligatures w14:val="none"/>
              </w:rPr>
            </w:pPr>
            <w:r w:rsidRPr="001B5187">
              <w:rPr>
                <w:rFonts w:ascii="Times New Roman" w:eastAsia="Times New Roman" w:hAnsi="Times New Roman" w:cs="Times New Roman"/>
                <w:color w:val="000000"/>
                <w:kern w:val="0"/>
                <w:sz w:val="28"/>
                <w:szCs w:val="28"/>
                <w:lang w:eastAsia="en-IN"/>
                <w14:ligatures w14:val="none"/>
              </w:rPr>
              <w:t>546</w:t>
            </w:r>
          </w:p>
        </w:tc>
        <w:tc>
          <w:tcPr>
            <w:tcW w:w="1803" w:type="dxa"/>
            <w:tcBorders>
              <w:top w:val="nil"/>
              <w:left w:val="nil"/>
              <w:bottom w:val="single" w:sz="4" w:space="0" w:color="auto"/>
              <w:right w:val="single" w:sz="4" w:space="0" w:color="auto"/>
            </w:tcBorders>
            <w:vAlign w:val="center"/>
            <w:hideMark/>
          </w:tcPr>
          <w:p w14:paraId="02CBD7D4" w14:textId="77777777" w:rsidR="007933DE" w:rsidRPr="001B5187" w:rsidRDefault="007933DE" w:rsidP="007933DE">
            <w:pPr>
              <w:spacing w:after="0" w:line="240" w:lineRule="auto"/>
              <w:jc w:val="center"/>
              <w:rPr>
                <w:rFonts w:ascii="Times New Roman" w:eastAsia="Times New Roman" w:hAnsi="Times New Roman" w:cs="Times New Roman"/>
                <w:color w:val="000000"/>
                <w:kern w:val="0"/>
                <w:sz w:val="28"/>
                <w:szCs w:val="28"/>
                <w:lang w:eastAsia="en-IN"/>
                <w14:ligatures w14:val="none"/>
              </w:rPr>
            </w:pPr>
            <w:r w:rsidRPr="001B5187">
              <w:rPr>
                <w:rFonts w:ascii="Times New Roman" w:eastAsia="Times New Roman" w:hAnsi="Times New Roman" w:cs="Times New Roman"/>
                <w:color w:val="000000"/>
                <w:kern w:val="0"/>
                <w:sz w:val="28"/>
                <w:szCs w:val="28"/>
                <w:lang w:eastAsia="en-IN"/>
                <w14:ligatures w14:val="none"/>
              </w:rPr>
              <w:t>1207</w:t>
            </w:r>
          </w:p>
        </w:tc>
        <w:tc>
          <w:tcPr>
            <w:tcW w:w="1146" w:type="dxa"/>
            <w:tcBorders>
              <w:top w:val="nil"/>
              <w:left w:val="nil"/>
              <w:bottom w:val="single" w:sz="4" w:space="0" w:color="auto"/>
              <w:right w:val="single" w:sz="4" w:space="0" w:color="auto"/>
            </w:tcBorders>
            <w:vAlign w:val="center"/>
            <w:hideMark/>
          </w:tcPr>
          <w:p w14:paraId="612394EA" w14:textId="77777777" w:rsidR="007933DE" w:rsidRPr="001B5187" w:rsidRDefault="007933DE" w:rsidP="007933DE">
            <w:pPr>
              <w:spacing w:after="0" w:line="240" w:lineRule="auto"/>
              <w:jc w:val="center"/>
              <w:rPr>
                <w:rFonts w:ascii="Times New Roman" w:eastAsia="Times New Roman" w:hAnsi="Times New Roman" w:cs="Times New Roman"/>
                <w:color w:val="000000"/>
                <w:kern w:val="0"/>
                <w:sz w:val="28"/>
                <w:szCs w:val="28"/>
                <w:lang w:eastAsia="en-IN"/>
                <w14:ligatures w14:val="none"/>
              </w:rPr>
            </w:pPr>
            <w:r w:rsidRPr="001B5187">
              <w:rPr>
                <w:rFonts w:ascii="Times New Roman" w:eastAsia="Times New Roman" w:hAnsi="Times New Roman" w:cs="Times New Roman"/>
                <w:color w:val="000000"/>
                <w:kern w:val="0"/>
                <w:sz w:val="28"/>
                <w:szCs w:val="28"/>
                <w:lang w:eastAsia="en-IN"/>
                <w14:ligatures w14:val="none"/>
              </w:rPr>
              <w:t>301</w:t>
            </w:r>
          </w:p>
        </w:tc>
        <w:tc>
          <w:tcPr>
            <w:tcW w:w="1829" w:type="dxa"/>
            <w:tcBorders>
              <w:top w:val="nil"/>
              <w:left w:val="nil"/>
              <w:bottom w:val="single" w:sz="4" w:space="0" w:color="auto"/>
              <w:right w:val="single" w:sz="4" w:space="0" w:color="auto"/>
            </w:tcBorders>
            <w:vAlign w:val="center"/>
            <w:hideMark/>
          </w:tcPr>
          <w:p w14:paraId="2D14B7FE" w14:textId="77777777" w:rsidR="007933DE" w:rsidRPr="001B5187" w:rsidRDefault="007933DE" w:rsidP="007933DE">
            <w:pPr>
              <w:spacing w:after="0" w:line="240" w:lineRule="auto"/>
              <w:jc w:val="center"/>
              <w:rPr>
                <w:rFonts w:ascii="Times New Roman" w:eastAsia="Times New Roman" w:hAnsi="Times New Roman" w:cs="Times New Roman"/>
                <w:color w:val="000000"/>
                <w:kern w:val="0"/>
                <w:sz w:val="28"/>
                <w:szCs w:val="28"/>
                <w:lang w:eastAsia="en-IN"/>
                <w14:ligatures w14:val="none"/>
              </w:rPr>
            </w:pPr>
            <w:r w:rsidRPr="001B5187">
              <w:rPr>
                <w:rFonts w:ascii="Times New Roman" w:eastAsia="Times New Roman" w:hAnsi="Times New Roman" w:cs="Times New Roman"/>
                <w:color w:val="000000"/>
                <w:kern w:val="0"/>
                <w:sz w:val="28"/>
                <w:szCs w:val="28"/>
                <w:lang w:eastAsia="en-IN"/>
                <w14:ligatures w14:val="none"/>
              </w:rPr>
              <w:t>246</w:t>
            </w:r>
          </w:p>
        </w:tc>
        <w:tc>
          <w:tcPr>
            <w:tcW w:w="1442" w:type="dxa"/>
            <w:tcBorders>
              <w:top w:val="nil"/>
              <w:left w:val="nil"/>
              <w:bottom w:val="single" w:sz="4" w:space="0" w:color="auto"/>
              <w:right w:val="single" w:sz="4" w:space="0" w:color="auto"/>
            </w:tcBorders>
            <w:vAlign w:val="center"/>
            <w:hideMark/>
          </w:tcPr>
          <w:p w14:paraId="0EE353BB" w14:textId="77777777" w:rsidR="007933DE" w:rsidRPr="001B5187" w:rsidRDefault="007933DE" w:rsidP="007933DE">
            <w:pPr>
              <w:spacing w:after="0" w:line="240" w:lineRule="auto"/>
              <w:jc w:val="center"/>
              <w:rPr>
                <w:rFonts w:ascii="Times New Roman" w:eastAsia="Times New Roman" w:hAnsi="Times New Roman" w:cs="Times New Roman"/>
                <w:color w:val="000000"/>
                <w:kern w:val="0"/>
                <w:sz w:val="28"/>
                <w:szCs w:val="28"/>
                <w:lang w:eastAsia="en-IN"/>
                <w14:ligatures w14:val="none"/>
              </w:rPr>
            </w:pPr>
            <w:r w:rsidRPr="001B5187">
              <w:rPr>
                <w:rFonts w:ascii="Times New Roman" w:eastAsia="Times New Roman" w:hAnsi="Times New Roman" w:cs="Times New Roman"/>
                <w:color w:val="000000"/>
                <w:kern w:val="0"/>
                <w:sz w:val="28"/>
                <w:szCs w:val="28"/>
                <w:lang w:eastAsia="en-IN"/>
                <w14:ligatures w14:val="none"/>
              </w:rPr>
              <w:t>187.6</w:t>
            </w:r>
          </w:p>
        </w:tc>
        <w:tc>
          <w:tcPr>
            <w:tcW w:w="1688" w:type="dxa"/>
            <w:tcBorders>
              <w:top w:val="nil"/>
              <w:left w:val="nil"/>
              <w:bottom w:val="single" w:sz="4" w:space="0" w:color="auto"/>
              <w:right w:val="single" w:sz="4" w:space="0" w:color="auto"/>
            </w:tcBorders>
            <w:vAlign w:val="center"/>
            <w:hideMark/>
          </w:tcPr>
          <w:p w14:paraId="420FF936" w14:textId="77777777" w:rsidR="007933DE" w:rsidRPr="001B5187" w:rsidRDefault="007933DE" w:rsidP="007933DE">
            <w:pPr>
              <w:spacing w:after="0" w:line="240" w:lineRule="auto"/>
              <w:jc w:val="center"/>
              <w:rPr>
                <w:rFonts w:ascii="Times New Roman" w:eastAsia="Times New Roman" w:hAnsi="Times New Roman" w:cs="Times New Roman"/>
                <w:color w:val="000000"/>
                <w:kern w:val="0"/>
                <w:sz w:val="28"/>
                <w:szCs w:val="28"/>
                <w:lang w:eastAsia="en-IN"/>
                <w14:ligatures w14:val="none"/>
              </w:rPr>
            </w:pPr>
            <w:r w:rsidRPr="001B5187">
              <w:rPr>
                <w:rFonts w:ascii="Times New Roman" w:eastAsia="Times New Roman" w:hAnsi="Times New Roman" w:cs="Times New Roman"/>
                <w:color w:val="000000"/>
                <w:kern w:val="0"/>
                <w:sz w:val="28"/>
                <w:szCs w:val="28"/>
                <w:lang w:eastAsia="en-IN"/>
                <w14:ligatures w14:val="none"/>
              </w:rPr>
              <w:t>364.9</w:t>
            </w:r>
          </w:p>
        </w:tc>
      </w:tr>
      <w:tr w:rsidR="007933DE" w:rsidRPr="001B5187" w14:paraId="453E4E1A" w14:textId="77777777" w:rsidTr="007933DE">
        <w:trPr>
          <w:trHeight w:val="315"/>
        </w:trPr>
        <w:tc>
          <w:tcPr>
            <w:tcW w:w="1326" w:type="dxa"/>
            <w:tcBorders>
              <w:top w:val="nil"/>
              <w:left w:val="single" w:sz="4" w:space="0" w:color="auto"/>
              <w:bottom w:val="single" w:sz="4" w:space="0" w:color="auto"/>
              <w:right w:val="single" w:sz="4" w:space="0" w:color="auto"/>
            </w:tcBorders>
            <w:vAlign w:val="center"/>
            <w:hideMark/>
          </w:tcPr>
          <w:p w14:paraId="7D5B2E1F" w14:textId="77777777" w:rsidR="007933DE" w:rsidRPr="001B5187" w:rsidRDefault="007933DE" w:rsidP="007933DE">
            <w:pPr>
              <w:spacing w:after="0" w:line="240" w:lineRule="auto"/>
              <w:rPr>
                <w:rFonts w:ascii="Times New Roman" w:eastAsia="Times New Roman" w:hAnsi="Times New Roman" w:cs="Times New Roman"/>
                <w:color w:val="000000"/>
                <w:kern w:val="0"/>
                <w:sz w:val="28"/>
                <w:szCs w:val="28"/>
                <w:lang w:eastAsia="en-IN"/>
                <w14:ligatures w14:val="none"/>
              </w:rPr>
            </w:pPr>
            <w:r w:rsidRPr="001B5187">
              <w:rPr>
                <w:rFonts w:ascii="Times New Roman" w:eastAsia="Times New Roman" w:hAnsi="Times New Roman" w:cs="Times New Roman"/>
                <w:color w:val="000000"/>
                <w:kern w:val="0"/>
                <w:sz w:val="28"/>
                <w:szCs w:val="28"/>
                <w:lang w:eastAsia="en-IN"/>
                <w14:ligatures w14:val="none"/>
              </w:rPr>
              <w:t>D.V.C.</w:t>
            </w:r>
          </w:p>
        </w:tc>
        <w:tc>
          <w:tcPr>
            <w:tcW w:w="1262" w:type="dxa"/>
            <w:tcBorders>
              <w:top w:val="nil"/>
              <w:left w:val="nil"/>
              <w:bottom w:val="single" w:sz="4" w:space="0" w:color="auto"/>
              <w:right w:val="single" w:sz="4" w:space="0" w:color="auto"/>
            </w:tcBorders>
            <w:vAlign w:val="center"/>
            <w:hideMark/>
          </w:tcPr>
          <w:p w14:paraId="2E0558C5" w14:textId="77777777" w:rsidR="007933DE" w:rsidRPr="001B5187" w:rsidRDefault="007933DE" w:rsidP="007933DE">
            <w:pPr>
              <w:spacing w:after="0" w:line="240" w:lineRule="auto"/>
              <w:jc w:val="center"/>
              <w:rPr>
                <w:rFonts w:ascii="Times New Roman" w:eastAsia="Times New Roman" w:hAnsi="Times New Roman" w:cs="Times New Roman"/>
                <w:color w:val="000000"/>
                <w:kern w:val="0"/>
                <w:sz w:val="28"/>
                <w:szCs w:val="28"/>
                <w:lang w:eastAsia="en-IN"/>
                <w14:ligatures w14:val="none"/>
              </w:rPr>
            </w:pPr>
            <w:r w:rsidRPr="001B5187">
              <w:rPr>
                <w:rFonts w:ascii="Times New Roman" w:eastAsia="Times New Roman" w:hAnsi="Times New Roman" w:cs="Times New Roman"/>
                <w:color w:val="000000"/>
                <w:kern w:val="0"/>
                <w:sz w:val="28"/>
                <w:szCs w:val="28"/>
                <w:lang w:eastAsia="en-IN"/>
                <w14:ligatures w14:val="none"/>
              </w:rPr>
              <w:t>—</w:t>
            </w:r>
          </w:p>
        </w:tc>
        <w:tc>
          <w:tcPr>
            <w:tcW w:w="1803" w:type="dxa"/>
            <w:tcBorders>
              <w:top w:val="nil"/>
              <w:left w:val="nil"/>
              <w:bottom w:val="single" w:sz="4" w:space="0" w:color="auto"/>
              <w:right w:val="single" w:sz="4" w:space="0" w:color="auto"/>
            </w:tcBorders>
            <w:vAlign w:val="center"/>
            <w:hideMark/>
          </w:tcPr>
          <w:p w14:paraId="1E2B3AA3" w14:textId="77777777" w:rsidR="007933DE" w:rsidRPr="001B5187" w:rsidRDefault="007933DE" w:rsidP="007933DE">
            <w:pPr>
              <w:spacing w:after="0" w:line="240" w:lineRule="auto"/>
              <w:jc w:val="center"/>
              <w:rPr>
                <w:rFonts w:ascii="Times New Roman" w:eastAsia="Times New Roman" w:hAnsi="Times New Roman" w:cs="Times New Roman"/>
                <w:color w:val="000000"/>
                <w:kern w:val="0"/>
                <w:sz w:val="28"/>
                <w:szCs w:val="28"/>
                <w:lang w:eastAsia="en-IN"/>
                <w14:ligatures w14:val="none"/>
              </w:rPr>
            </w:pPr>
            <w:r w:rsidRPr="001B5187">
              <w:rPr>
                <w:rFonts w:ascii="Times New Roman" w:eastAsia="Times New Roman" w:hAnsi="Times New Roman" w:cs="Times New Roman"/>
                <w:color w:val="000000"/>
                <w:kern w:val="0"/>
                <w:sz w:val="28"/>
                <w:szCs w:val="28"/>
                <w:lang w:eastAsia="en-IN"/>
                <w14:ligatures w14:val="none"/>
              </w:rPr>
              <w:t>944</w:t>
            </w:r>
          </w:p>
        </w:tc>
        <w:tc>
          <w:tcPr>
            <w:tcW w:w="1146" w:type="dxa"/>
            <w:tcBorders>
              <w:top w:val="nil"/>
              <w:left w:val="nil"/>
              <w:bottom w:val="single" w:sz="4" w:space="0" w:color="auto"/>
              <w:right w:val="single" w:sz="4" w:space="0" w:color="auto"/>
            </w:tcBorders>
            <w:vAlign w:val="center"/>
            <w:hideMark/>
          </w:tcPr>
          <w:p w14:paraId="7B75341C" w14:textId="77777777" w:rsidR="007933DE" w:rsidRPr="001B5187" w:rsidRDefault="007933DE" w:rsidP="007933DE">
            <w:pPr>
              <w:spacing w:after="0" w:line="240" w:lineRule="auto"/>
              <w:jc w:val="center"/>
              <w:rPr>
                <w:rFonts w:ascii="Times New Roman" w:eastAsia="Times New Roman" w:hAnsi="Times New Roman" w:cs="Times New Roman"/>
                <w:color w:val="000000"/>
                <w:kern w:val="0"/>
                <w:sz w:val="28"/>
                <w:szCs w:val="28"/>
                <w:lang w:eastAsia="en-IN"/>
                <w14:ligatures w14:val="none"/>
              </w:rPr>
            </w:pPr>
            <w:r w:rsidRPr="001B5187">
              <w:rPr>
                <w:rFonts w:ascii="Times New Roman" w:eastAsia="Times New Roman" w:hAnsi="Times New Roman" w:cs="Times New Roman"/>
                <w:color w:val="000000"/>
                <w:kern w:val="0"/>
                <w:sz w:val="28"/>
                <w:szCs w:val="28"/>
                <w:lang w:eastAsia="en-IN"/>
                <w14:ligatures w14:val="none"/>
              </w:rPr>
              <w:t>—</w:t>
            </w:r>
          </w:p>
        </w:tc>
        <w:tc>
          <w:tcPr>
            <w:tcW w:w="1829" w:type="dxa"/>
            <w:tcBorders>
              <w:top w:val="nil"/>
              <w:left w:val="nil"/>
              <w:bottom w:val="single" w:sz="4" w:space="0" w:color="auto"/>
              <w:right w:val="single" w:sz="4" w:space="0" w:color="auto"/>
            </w:tcBorders>
            <w:vAlign w:val="center"/>
            <w:hideMark/>
          </w:tcPr>
          <w:p w14:paraId="5A5D1F84" w14:textId="77777777" w:rsidR="007933DE" w:rsidRPr="001B5187" w:rsidRDefault="007933DE" w:rsidP="007933DE">
            <w:pPr>
              <w:spacing w:after="0" w:line="240" w:lineRule="auto"/>
              <w:jc w:val="center"/>
              <w:rPr>
                <w:rFonts w:ascii="Times New Roman" w:eastAsia="Times New Roman" w:hAnsi="Times New Roman" w:cs="Times New Roman"/>
                <w:color w:val="000000"/>
                <w:kern w:val="0"/>
                <w:sz w:val="28"/>
                <w:szCs w:val="28"/>
                <w:lang w:eastAsia="en-IN"/>
                <w14:ligatures w14:val="none"/>
              </w:rPr>
            </w:pPr>
            <w:r w:rsidRPr="001B5187">
              <w:rPr>
                <w:rFonts w:ascii="Times New Roman" w:eastAsia="Times New Roman" w:hAnsi="Times New Roman" w:cs="Times New Roman"/>
                <w:color w:val="000000"/>
                <w:kern w:val="0"/>
                <w:sz w:val="28"/>
                <w:szCs w:val="28"/>
                <w:lang w:eastAsia="en-IN"/>
                <w14:ligatures w14:val="none"/>
              </w:rPr>
              <w:t>—</w:t>
            </w:r>
          </w:p>
        </w:tc>
        <w:tc>
          <w:tcPr>
            <w:tcW w:w="1442" w:type="dxa"/>
            <w:tcBorders>
              <w:top w:val="nil"/>
              <w:left w:val="nil"/>
              <w:bottom w:val="single" w:sz="4" w:space="0" w:color="auto"/>
              <w:right w:val="single" w:sz="4" w:space="0" w:color="auto"/>
            </w:tcBorders>
            <w:vAlign w:val="center"/>
            <w:hideMark/>
          </w:tcPr>
          <w:p w14:paraId="418EE2D8" w14:textId="77777777" w:rsidR="007933DE" w:rsidRPr="001B5187" w:rsidRDefault="007933DE" w:rsidP="007933DE">
            <w:pPr>
              <w:spacing w:after="0" w:line="240" w:lineRule="auto"/>
              <w:jc w:val="center"/>
              <w:rPr>
                <w:rFonts w:ascii="Times New Roman" w:eastAsia="Times New Roman" w:hAnsi="Times New Roman" w:cs="Times New Roman"/>
                <w:color w:val="000000"/>
                <w:kern w:val="0"/>
                <w:sz w:val="28"/>
                <w:szCs w:val="28"/>
                <w:lang w:eastAsia="en-IN"/>
                <w14:ligatures w14:val="none"/>
              </w:rPr>
            </w:pPr>
            <w:r w:rsidRPr="001B5187">
              <w:rPr>
                <w:rFonts w:ascii="Times New Roman" w:eastAsia="Times New Roman" w:hAnsi="Times New Roman" w:cs="Times New Roman"/>
                <w:color w:val="000000"/>
                <w:kern w:val="0"/>
                <w:sz w:val="28"/>
                <w:szCs w:val="28"/>
                <w:lang w:eastAsia="en-IN"/>
                <w14:ligatures w14:val="none"/>
              </w:rPr>
              <w:t>—</w:t>
            </w:r>
          </w:p>
        </w:tc>
        <w:tc>
          <w:tcPr>
            <w:tcW w:w="1688" w:type="dxa"/>
            <w:tcBorders>
              <w:top w:val="nil"/>
              <w:left w:val="nil"/>
              <w:bottom w:val="single" w:sz="4" w:space="0" w:color="auto"/>
              <w:right w:val="single" w:sz="4" w:space="0" w:color="auto"/>
            </w:tcBorders>
            <w:vAlign w:val="center"/>
            <w:hideMark/>
          </w:tcPr>
          <w:p w14:paraId="21A154C8" w14:textId="77777777" w:rsidR="007933DE" w:rsidRPr="001B5187" w:rsidRDefault="007933DE" w:rsidP="007933DE">
            <w:pPr>
              <w:spacing w:after="0" w:line="240" w:lineRule="auto"/>
              <w:jc w:val="center"/>
              <w:rPr>
                <w:rFonts w:ascii="Times New Roman" w:eastAsia="Times New Roman" w:hAnsi="Times New Roman" w:cs="Times New Roman"/>
                <w:color w:val="000000"/>
                <w:kern w:val="0"/>
                <w:sz w:val="28"/>
                <w:szCs w:val="28"/>
                <w:lang w:eastAsia="en-IN"/>
                <w14:ligatures w14:val="none"/>
              </w:rPr>
            </w:pPr>
            <w:r w:rsidRPr="001B5187">
              <w:rPr>
                <w:rFonts w:ascii="Times New Roman" w:eastAsia="Times New Roman" w:hAnsi="Times New Roman" w:cs="Times New Roman"/>
                <w:color w:val="000000"/>
                <w:kern w:val="0"/>
                <w:sz w:val="28"/>
                <w:szCs w:val="28"/>
                <w:lang w:eastAsia="en-IN"/>
                <w14:ligatures w14:val="none"/>
              </w:rPr>
              <w:t>—</w:t>
            </w:r>
          </w:p>
        </w:tc>
      </w:tr>
      <w:tr w:rsidR="007933DE" w:rsidRPr="001B5187" w14:paraId="573FE697" w14:textId="77777777" w:rsidTr="007933DE">
        <w:trPr>
          <w:trHeight w:val="315"/>
        </w:trPr>
        <w:tc>
          <w:tcPr>
            <w:tcW w:w="1326" w:type="dxa"/>
            <w:tcBorders>
              <w:top w:val="nil"/>
              <w:left w:val="single" w:sz="4" w:space="0" w:color="auto"/>
              <w:bottom w:val="single" w:sz="4" w:space="0" w:color="auto"/>
              <w:right w:val="single" w:sz="4" w:space="0" w:color="auto"/>
            </w:tcBorders>
            <w:vAlign w:val="center"/>
            <w:hideMark/>
          </w:tcPr>
          <w:p w14:paraId="0247264C" w14:textId="77777777" w:rsidR="007933DE" w:rsidRPr="001B5187" w:rsidRDefault="007933DE" w:rsidP="007933DE">
            <w:pPr>
              <w:spacing w:after="0" w:line="240" w:lineRule="auto"/>
              <w:rPr>
                <w:rFonts w:ascii="Times New Roman" w:eastAsia="Times New Roman" w:hAnsi="Times New Roman" w:cs="Times New Roman"/>
                <w:color w:val="000000"/>
                <w:kern w:val="0"/>
                <w:sz w:val="28"/>
                <w:szCs w:val="28"/>
                <w:lang w:eastAsia="en-IN"/>
                <w14:ligatures w14:val="none"/>
              </w:rPr>
            </w:pPr>
            <w:r w:rsidRPr="001B5187">
              <w:rPr>
                <w:rFonts w:ascii="Times New Roman" w:eastAsia="Times New Roman" w:hAnsi="Times New Roman" w:cs="Times New Roman"/>
                <w:color w:val="000000"/>
                <w:kern w:val="0"/>
                <w:sz w:val="28"/>
                <w:szCs w:val="28"/>
                <w:lang w:eastAsia="en-IN"/>
                <w14:ligatures w14:val="none"/>
              </w:rPr>
              <w:t>Union Territories</w:t>
            </w:r>
          </w:p>
        </w:tc>
        <w:tc>
          <w:tcPr>
            <w:tcW w:w="1262" w:type="dxa"/>
            <w:tcBorders>
              <w:top w:val="nil"/>
              <w:left w:val="nil"/>
              <w:bottom w:val="single" w:sz="4" w:space="0" w:color="auto"/>
              <w:right w:val="single" w:sz="4" w:space="0" w:color="auto"/>
            </w:tcBorders>
            <w:vAlign w:val="center"/>
            <w:hideMark/>
          </w:tcPr>
          <w:p w14:paraId="7E94E5D5" w14:textId="77777777" w:rsidR="007933DE" w:rsidRPr="001B5187" w:rsidRDefault="007933DE" w:rsidP="007933DE">
            <w:pPr>
              <w:spacing w:after="0" w:line="240" w:lineRule="auto"/>
              <w:jc w:val="center"/>
              <w:rPr>
                <w:rFonts w:ascii="Times New Roman" w:eastAsia="Times New Roman" w:hAnsi="Times New Roman" w:cs="Times New Roman"/>
                <w:color w:val="000000"/>
                <w:kern w:val="0"/>
                <w:sz w:val="28"/>
                <w:szCs w:val="28"/>
                <w:lang w:eastAsia="en-IN"/>
                <w14:ligatures w14:val="none"/>
              </w:rPr>
            </w:pPr>
            <w:r w:rsidRPr="001B5187">
              <w:rPr>
                <w:rFonts w:ascii="Times New Roman" w:eastAsia="Times New Roman" w:hAnsi="Times New Roman" w:cs="Times New Roman"/>
                <w:color w:val="000000"/>
                <w:kern w:val="0"/>
                <w:sz w:val="28"/>
                <w:szCs w:val="28"/>
                <w:lang w:eastAsia="en-IN"/>
                <w14:ligatures w14:val="none"/>
              </w:rPr>
              <w:t>51</w:t>
            </w:r>
          </w:p>
        </w:tc>
        <w:tc>
          <w:tcPr>
            <w:tcW w:w="1803" w:type="dxa"/>
            <w:tcBorders>
              <w:top w:val="nil"/>
              <w:left w:val="nil"/>
              <w:bottom w:val="single" w:sz="4" w:space="0" w:color="auto"/>
              <w:right w:val="single" w:sz="4" w:space="0" w:color="auto"/>
            </w:tcBorders>
            <w:vAlign w:val="center"/>
            <w:hideMark/>
          </w:tcPr>
          <w:p w14:paraId="31420D60" w14:textId="77777777" w:rsidR="007933DE" w:rsidRPr="001B5187" w:rsidRDefault="007933DE" w:rsidP="007933DE">
            <w:pPr>
              <w:spacing w:after="0" w:line="240" w:lineRule="auto"/>
              <w:jc w:val="center"/>
              <w:rPr>
                <w:rFonts w:ascii="Times New Roman" w:eastAsia="Times New Roman" w:hAnsi="Times New Roman" w:cs="Times New Roman"/>
                <w:color w:val="000000"/>
                <w:kern w:val="0"/>
                <w:sz w:val="28"/>
                <w:szCs w:val="28"/>
                <w:lang w:eastAsia="en-IN"/>
                <w14:ligatures w14:val="none"/>
              </w:rPr>
            </w:pPr>
            <w:r w:rsidRPr="001B5187">
              <w:rPr>
                <w:rFonts w:ascii="Times New Roman" w:eastAsia="Times New Roman" w:hAnsi="Times New Roman" w:cs="Times New Roman"/>
                <w:color w:val="000000"/>
                <w:kern w:val="0"/>
                <w:sz w:val="28"/>
                <w:szCs w:val="28"/>
                <w:lang w:eastAsia="en-IN"/>
                <w14:ligatures w14:val="none"/>
              </w:rPr>
              <w:t>140</w:t>
            </w:r>
          </w:p>
        </w:tc>
        <w:tc>
          <w:tcPr>
            <w:tcW w:w="1146" w:type="dxa"/>
            <w:tcBorders>
              <w:top w:val="nil"/>
              <w:left w:val="nil"/>
              <w:bottom w:val="single" w:sz="4" w:space="0" w:color="auto"/>
              <w:right w:val="single" w:sz="4" w:space="0" w:color="auto"/>
            </w:tcBorders>
            <w:vAlign w:val="center"/>
            <w:hideMark/>
          </w:tcPr>
          <w:p w14:paraId="4E07E322" w14:textId="77777777" w:rsidR="007933DE" w:rsidRPr="001B5187" w:rsidRDefault="007933DE" w:rsidP="007933DE">
            <w:pPr>
              <w:spacing w:after="0" w:line="240" w:lineRule="auto"/>
              <w:jc w:val="center"/>
              <w:rPr>
                <w:rFonts w:ascii="Times New Roman" w:eastAsia="Times New Roman" w:hAnsi="Times New Roman" w:cs="Times New Roman"/>
                <w:color w:val="000000"/>
                <w:kern w:val="0"/>
                <w:sz w:val="28"/>
                <w:szCs w:val="28"/>
                <w:lang w:eastAsia="en-IN"/>
                <w14:ligatures w14:val="none"/>
              </w:rPr>
            </w:pPr>
            <w:r w:rsidRPr="001B5187">
              <w:rPr>
                <w:rFonts w:ascii="Times New Roman" w:eastAsia="Times New Roman" w:hAnsi="Times New Roman" w:cs="Times New Roman"/>
                <w:color w:val="000000"/>
                <w:kern w:val="0"/>
                <w:sz w:val="28"/>
                <w:szCs w:val="28"/>
                <w:lang w:eastAsia="en-IN"/>
                <w14:ligatures w14:val="none"/>
              </w:rPr>
              <w:t>113</w:t>
            </w:r>
          </w:p>
        </w:tc>
        <w:tc>
          <w:tcPr>
            <w:tcW w:w="1829" w:type="dxa"/>
            <w:tcBorders>
              <w:top w:val="nil"/>
              <w:left w:val="nil"/>
              <w:bottom w:val="single" w:sz="4" w:space="0" w:color="auto"/>
              <w:right w:val="single" w:sz="4" w:space="0" w:color="auto"/>
            </w:tcBorders>
            <w:vAlign w:val="center"/>
            <w:hideMark/>
          </w:tcPr>
          <w:p w14:paraId="1FA15F3A" w14:textId="77777777" w:rsidR="007933DE" w:rsidRPr="001B5187" w:rsidRDefault="007933DE" w:rsidP="007933DE">
            <w:pPr>
              <w:spacing w:after="0" w:line="240" w:lineRule="auto"/>
              <w:jc w:val="center"/>
              <w:rPr>
                <w:rFonts w:ascii="Times New Roman" w:eastAsia="Times New Roman" w:hAnsi="Times New Roman" w:cs="Times New Roman"/>
                <w:color w:val="000000"/>
                <w:kern w:val="0"/>
                <w:sz w:val="28"/>
                <w:szCs w:val="28"/>
                <w:lang w:eastAsia="en-IN"/>
                <w14:ligatures w14:val="none"/>
              </w:rPr>
            </w:pPr>
            <w:r w:rsidRPr="001B5187">
              <w:rPr>
                <w:rFonts w:ascii="Times New Roman" w:eastAsia="Times New Roman" w:hAnsi="Times New Roman" w:cs="Times New Roman"/>
                <w:color w:val="000000"/>
                <w:kern w:val="0"/>
                <w:sz w:val="28"/>
                <w:szCs w:val="28"/>
                <w:lang w:eastAsia="en-IN"/>
                <w14:ligatures w14:val="none"/>
              </w:rPr>
              <w:t>161</w:t>
            </w:r>
          </w:p>
        </w:tc>
        <w:tc>
          <w:tcPr>
            <w:tcW w:w="1442" w:type="dxa"/>
            <w:tcBorders>
              <w:top w:val="nil"/>
              <w:left w:val="nil"/>
              <w:bottom w:val="single" w:sz="4" w:space="0" w:color="auto"/>
              <w:right w:val="single" w:sz="4" w:space="0" w:color="auto"/>
            </w:tcBorders>
            <w:vAlign w:val="center"/>
            <w:hideMark/>
          </w:tcPr>
          <w:p w14:paraId="0CCEFFAD" w14:textId="7AC074B9" w:rsidR="007933DE" w:rsidRPr="001B5187" w:rsidRDefault="007933DE" w:rsidP="007933DE">
            <w:pPr>
              <w:spacing w:after="0" w:line="240" w:lineRule="auto"/>
              <w:jc w:val="center"/>
              <w:rPr>
                <w:rFonts w:ascii="Times New Roman" w:eastAsia="Times New Roman" w:hAnsi="Times New Roman" w:cs="Times New Roman"/>
                <w:color w:val="000000"/>
                <w:kern w:val="0"/>
                <w:sz w:val="28"/>
                <w:szCs w:val="28"/>
                <w:lang w:eastAsia="en-IN"/>
                <w14:ligatures w14:val="none"/>
              </w:rPr>
            </w:pPr>
            <w:r w:rsidRPr="001B5187">
              <w:rPr>
                <w:rFonts w:ascii="Times New Roman" w:eastAsia="Times New Roman" w:hAnsi="Times New Roman" w:cs="Times New Roman"/>
                <w:color w:val="000000"/>
                <w:kern w:val="0"/>
                <w:sz w:val="28"/>
                <w:szCs w:val="28"/>
                <w:lang w:eastAsia="en-IN"/>
                <w14:ligatures w14:val="none"/>
              </w:rPr>
              <w:t>15</w:t>
            </w:r>
            <w:r w:rsidR="00C20062">
              <w:rPr>
                <w:rFonts w:ascii="Times New Roman" w:eastAsia="Times New Roman" w:hAnsi="Times New Roman" w:cs="Times New Roman"/>
                <w:color w:val="000000"/>
                <w:kern w:val="0"/>
                <w:sz w:val="28"/>
                <w:szCs w:val="28"/>
                <w:lang w:eastAsia="en-IN"/>
                <w14:ligatures w14:val="none"/>
              </w:rPr>
              <w:t>.0</w:t>
            </w:r>
          </w:p>
        </w:tc>
        <w:tc>
          <w:tcPr>
            <w:tcW w:w="1688" w:type="dxa"/>
            <w:tcBorders>
              <w:top w:val="nil"/>
              <w:left w:val="nil"/>
              <w:bottom w:val="single" w:sz="4" w:space="0" w:color="auto"/>
              <w:right w:val="single" w:sz="4" w:space="0" w:color="auto"/>
            </w:tcBorders>
            <w:vAlign w:val="center"/>
            <w:hideMark/>
          </w:tcPr>
          <w:p w14:paraId="7C334DE3" w14:textId="05B58723" w:rsidR="007933DE" w:rsidRPr="001B5187" w:rsidRDefault="007933DE" w:rsidP="007933DE">
            <w:pPr>
              <w:spacing w:after="0" w:line="240" w:lineRule="auto"/>
              <w:jc w:val="center"/>
              <w:rPr>
                <w:rFonts w:ascii="Times New Roman" w:eastAsia="Times New Roman" w:hAnsi="Times New Roman" w:cs="Times New Roman"/>
                <w:color w:val="000000"/>
                <w:kern w:val="0"/>
                <w:sz w:val="28"/>
                <w:szCs w:val="28"/>
                <w:lang w:eastAsia="en-IN"/>
                <w14:ligatures w14:val="none"/>
              </w:rPr>
            </w:pPr>
            <w:r w:rsidRPr="001B5187">
              <w:rPr>
                <w:rFonts w:ascii="Times New Roman" w:eastAsia="Times New Roman" w:hAnsi="Times New Roman" w:cs="Times New Roman"/>
                <w:color w:val="000000"/>
                <w:kern w:val="0"/>
                <w:sz w:val="28"/>
                <w:szCs w:val="28"/>
                <w:lang w:eastAsia="en-IN"/>
                <w14:ligatures w14:val="none"/>
              </w:rPr>
              <w:t>32</w:t>
            </w:r>
            <w:r w:rsidR="00C20062">
              <w:rPr>
                <w:rFonts w:ascii="Times New Roman" w:eastAsia="Times New Roman" w:hAnsi="Times New Roman" w:cs="Times New Roman"/>
                <w:color w:val="000000"/>
                <w:kern w:val="0"/>
                <w:sz w:val="28"/>
                <w:szCs w:val="28"/>
                <w:lang w:eastAsia="en-IN"/>
                <w14:ligatures w14:val="none"/>
              </w:rPr>
              <w:t>.0</w:t>
            </w:r>
          </w:p>
        </w:tc>
      </w:tr>
      <w:tr w:rsidR="007933DE" w:rsidRPr="001B5187" w14:paraId="2093F669" w14:textId="77777777" w:rsidTr="007933DE">
        <w:trPr>
          <w:trHeight w:val="315"/>
        </w:trPr>
        <w:tc>
          <w:tcPr>
            <w:tcW w:w="1326" w:type="dxa"/>
            <w:tcBorders>
              <w:top w:val="nil"/>
              <w:left w:val="single" w:sz="4" w:space="0" w:color="auto"/>
              <w:bottom w:val="single" w:sz="4" w:space="0" w:color="auto"/>
              <w:right w:val="single" w:sz="4" w:space="0" w:color="auto"/>
            </w:tcBorders>
            <w:vAlign w:val="center"/>
            <w:hideMark/>
          </w:tcPr>
          <w:p w14:paraId="497E02B3" w14:textId="77777777" w:rsidR="007933DE" w:rsidRPr="001B5187" w:rsidRDefault="007933DE" w:rsidP="007933DE">
            <w:pPr>
              <w:spacing w:after="0" w:line="240" w:lineRule="auto"/>
              <w:rPr>
                <w:rFonts w:ascii="Times New Roman" w:eastAsia="Times New Roman" w:hAnsi="Times New Roman" w:cs="Times New Roman"/>
                <w:b/>
                <w:bCs/>
                <w:color w:val="000000"/>
                <w:kern w:val="0"/>
                <w:sz w:val="28"/>
                <w:szCs w:val="28"/>
                <w:lang w:eastAsia="en-IN"/>
                <w14:ligatures w14:val="none"/>
              </w:rPr>
            </w:pPr>
            <w:r w:rsidRPr="001B5187">
              <w:rPr>
                <w:rFonts w:ascii="Times New Roman" w:eastAsia="Times New Roman" w:hAnsi="Times New Roman" w:cs="Times New Roman"/>
                <w:b/>
                <w:bCs/>
                <w:color w:val="000000"/>
                <w:kern w:val="0"/>
                <w:sz w:val="28"/>
                <w:szCs w:val="28"/>
                <w:lang w:eastAsia="en-IN"/>
                <w14:ligatures w14:val="none"/>
              </w:rPr>
              <w:t>TOTAL</w:t>
            </w:r>
          </w:p>
        </w:tc>
        <w:tc>
          <w:tcPr>
            <w:tcW w:w="1262" w:type="dxa"/>
            <w:tcBorders>
              <w:top w:val="nil"/>
              <w:left w:val="nil"/>
              <w:bottom w:val="single" w:sz="4" w:space="0" w:color="auto"/>
              <w:right w:val="single" w:sz="4" w:space="0" w:color="auto"/>
            </w:tcBorders>
            <w:vAlign w:val="center"/>
            <w:hideMark/>
          </w:tcPr>
          <w:p w14:paraId="023A70B0" w14:textId="77777777" w:rsidR="007933DE" w:rsidRPr="001B5187" w:rsidRDefault="007933DE" w:rsidP="007933DE">
            <w:pPr>
              <w:spacing w:after="0" w:line="240" w:lineRule="auto"/>
              <w:jc w:val="center"/>
              <w:rPr>
                <w:rFonts w:ascii="Times New Roman" w:eastAsia="Times New Roman" w:hAnsi="Times New Roman" w:cs="Times New Roman"/>
                <w:b/>
                <w:bCs/>
                <w:color w:val="000000"/>
                <w:kern w:val="0"/>
                <w:sz w:val="28"/>
                <w:szCs w:val="28"/>
                <w:lang w:eastAsia="en-IN"/>
                <w14:ligatures w14:val="none"/>
              </w:rPr>
            </w:pPr>
            <w:r w:rsidRPr="001B5187">
              <w:rPr>
                <w:rFonts w:ascii="Times New Roman" w:eastAsia="Times New Roman" w:hAnsi="Times New Roman" w:cs="Times New Roman"/>
                <w:b/>
                <w:bCs/>
                <w:color w:val="000000"/>
                <w:kern w:val="0"/>
                <w:sz w:val="28"/>
                <w:szCs w:val="28"/>
                <w:lang w:eastAsia="en-IN"/>
                <w14:ligatures w14:val="none"/>
              </w:rPr>
              <w:t>1835</w:t>
            </w:r>
          </w:p>
        </w:tc>
        <w:tc>
          <w:tcPr>
            <w:tcW w:w="1803" w:type="dxa"/>
            <w:tcBorders>
              <w:top w:val="nil"/>
              <w:left w:val="nil"/>
              <w:bottom w:val="single" w:sz="4" w:space="0" w:color="auto"/>
              <w:right w:val="single" w:sz="4" w:space="0" w:color="auto"/>
            </w:tcBorders>
            <w:vAlign w:val="center"/>
            <w:hideMark/>
          </w:tcPr>
          <w:p w14:paraId="1701B362" w14:textId="77777777" w:rsidR="007933DE" w:rsidRPr="001B5187" w:rsidRDefault="007933DE" w:rsidP="007933DE">
            <w:pPr>
              <w:spacing w:after="0" w:line="240" w:lineRule="auto"/>
              <w:jc w:val="center"/>
              <w:rPr>
                <w:rFonts w:ascii="Times New Roman" w:eastAsia="Times New Roman" w:hAnsi="Times New Roman" w:cs="Times New Roman"/>
                <w:b/>
                <w:bCs/>
                <w:color w:val="000000"/>
                <w:kern w:val="0"/>
                <w:sz w:val="28"/>
                <w:szCs w:val="28"/>
                <w:lang w:eastAsia="en-IN"/>
                <w14:ligatures w14:val="none"/>
              </w:rPr>
            </w:pPr>
            <w:r w:rsidRPr="001B5187">
              <w:rPr>
                <w:rFonts w:ascii="Times New Roman" w:eastAsia="Times New Roman" w:hAnsi="Times New Roman" w:cs="Times New Roman"/>
                <w:b/>
                <w:bCs/>
                <w:color w:val="000000"/>
                <w:kern w:val="0"/>
                <w:sz w:val="28"/>
                <w:szCs w:val="28"/>
                <w:lang w:eastAsia="en-IN"/>
                <w14:ligatures w14:val="none"/>
              </w:rPr>
              <w:t>10246</w:t>
            </w:r>
          </w:p>
        </w:tc>
        <w:tc>
          <w:tcPr>
            <w:tcW w:w="1146" w:type="dxa"/>
            <w:tcBorders>
              <w:top w:val="nil"/>
              <w:left w:val="nil"/>
              <w:bottom w:val="single" w:sz="4" w:space="0" w:color="auto"/>
              <w:right w:val="single" w:sz="4" w:space="0" w:color="auto"/>
            </w:tcBorders>
            <w:vAlign w:val="center"/>
            <w:hideMark/>
          </w:tcPr>
          <w:p w14:paraId="374B66DC" w14:textId="77777777" w:rsidR="007933DE" w:rsidRPr="001B5187" w:rsidRDefault="007933DE" w:rsidP="007933DE">
            <w:pPr>
              <w:spacing w:after="0" w:line="240" w:lineRule="auto"/>
              <w:jc w:val="center"/>
              <w:rPr>
                <w:rFonts w:ascii="Times New Roman" w:eastAsia="Times New Roman" w:hAnsi="Times New Roman" w:cs="Times New Roman"/>
                <w:b/>
                <w:bCs/>
                <w:color w:val="000000"/>
                <w:kern w:val="0"/>
                <w:sz w:val="28"/>
                <w:szCs w:val="28"/>
                <w:lang w:eastAsia="en-IN"/>
                <w14:ligatures w14:val="none"/>
              </w:rPr>
            </w:pPr>
            <w:r w:rsidRPr="001B5187">
              <w:rPr>
                <w:rFonts w:ascii="Times New Roman" w:eastAsia="Times New Roman" w:hAnsi="Times New Roman" w:cs="Times New Roman"/>
                <w:b/>
                <w:bCs/>
                <w:color w:val="000000"/>
                <w:kern w:val="0"/>
                <w:sz w:val="28"/>
                <w:szCs w:val="28"/>
                <w:lang w:eastAsia="en-IN"/>
                <w14:ligatures w14:val="none"/>
              </w:rPr>
              <w:t>848</w:t>
            </w:r>
          </w:p>
        </w:tc>
        <w:tc>
          <w:tcPr>
            <w:tcW w:w="1829" w:type="dxa"/>
            <w:tcBorders>
              <w:top w:val="nil"/>
              <w:left w:val="nil"/>
              <w:bottom w:val="single" w:sz="4" w:space="0" w:color="auto"/>
              <w:right w:val="single" w:sz="4" w:space="0" w:color="auto"/>
            </w:tcBorders>
            <w:vAlign w:val="center"/>
            <w:hideMark/>
          </w:tcPr>
          <w:p w14:paraId="62B5CF80" w14:textId="77777777" w:rsidR="007933DE" w:rsidRPr="001B5187" w:rsidRDefault="007933DE" w:rsidP="007933DE">
            <w:pPr>
              <w:spacing w:after="0" w:line="240" w:lineRule="auto"/>
              <w:jc w:val="center"/>
              <w:rPr>
                <w:rFonts w:ascii="Times New Roman" w:eastAsia="Times New Roman" w:hAnsi="Times New Roman" w:cs="Times New Roman"/>
                <w:b/>
                <w:bCs/>
                <w:color w:val="000000"/>
                <w:kern w:val="0"/>
                <w:sz w:val="28"/>
                <w:szCs w:val="28"/>
                <w:lang w:eastAsia="en-IN"/>
                <w14:ligatures w14:val="none"/>
              </w:rPr>
            </w:pPr>
            <w:r w:rsidRPr="001B5187">
              <w:rPr>
                <w:rFonts w:ascii="Times New Roman" w:eastAsia="Times New Roman" w:hAnsi="Times New Roman" w:cs="Times New Roman"/>
                <w:b/>
                <w:bCs/>
                <w:color w:val="000000"/>
                <w:kern w:val="0"/>
                <w:sz w:val="28"/>
                <w:szCs w:val="28"/>
                <w:lang w:eastAsia="en-IN"/>
                <w14:ligatures w14:val="none"/>
              </w:rPr>
              <w:t>1039</w:t>
            </w:r>
          </w:p>
        </w:tc>
        <w:tc>
          <w:tcPr>
            <w:tcW w:w="1442" w:type="dxa"/>
            <w:tcBorders>
              <w:top w:val="nil"/>
              <w:left w:val="nil"/>
              <w:bottom w:val="single" w:sz="4" w:space="0" w:color="auto"/>
              <w:right w:val="single" w:sz="4" w:space="0" w:color="auto"/>
            </w:tcBorders>
            <w:vAlign w:val="center"/>
            <w:hideMark/>
          </w:tcPr>
          <w:p w14:paraId="73E64993" w14:textId="77777777" w:rsidR="007933DE" w:rsidRPr="001B5187" w:rsidRDefault="007933DE" w:rsidP="007933DE">
            <w:pPr>
              <w:spacing w:after="0" w:line="240" w:lineRule="auto"/>
              <w:jc w:val="center"/>
              <w:rPr>
                <w:rFonts w:ascii="Times New Roman" w:eastAsia="Times New Roman" w:hAnsi="Times New Roman" w:cs="Times New Roman"/>
                <w:b/>
                <w:bCs/>
                <w:color w:val="000000"/>
                <w:kern w:val="0"/>
                <w:sz w:val="28"/>
                <w:szCs w:val="28"/>
                <w:lang w:eastAsia="en-IN"/>
                <w14:ligatures w14:val="none"/>
              </w:rPr>
            </w:pPr>
            <w:r w:rsidRPr="001B5187">
              <w:rPr>
                <w:rFonts w:ascii="Times New Roman" w:eastAsia="Times New Roman" w:hAnsi="Times New Roman" w:cs="Times New Roman"/>
                <w:b/>
                <w:bCs/>
                <w:color w:val="000000"/>
                <w:kern w:val="0"/>
                <w:sz w:val="28"/>
                <w:szCs w:val="28"/>
                <w:lang w:eastAsia="en-IN"/>
                <w14:ligatures w14:val="none"/>
              </w:rPr>
              <w:t>813.4</w:t>
            </w:r>
          </w:p>
        </w:tc>
        <w:tc>
          <w:tcPr>
            <w:tcW w:w="1688" w:type="dxa"/>
            <w:tcBorders>
              <w:top w:val="nil"/>
              <w:left w:val="nil"/>
              <w:bottom w:val="single" w:sz="4" w:space="0" w:color="auto"/>
              <w:right w:val="single" w:sz="4" w:space="0" w:color="auto"/>
            </w:tcBorders>
            <w:vAlign w:val="center"/>
            <w:hideMark/>
          </w:tcPr>
          <w:p w14:paraId="64A171B4" w14:textId="77777777" w:rsidR="007933DE" w:rsidRPr="001B5187" w:rsidRDefault="007933DE" w:rsidP="007933DE">
            <w:pPr>
              <w:spacing w:after="0" w:line="240" w:lineRule="auto"/>
              <w:jc w:val="center"/>
              <w:rPr>
                <w:rFonts w:ascii="Times New Roman" w:eastAsia="Times New Roman" w:hAnsi="Times New Roman" w:cs="Times New Roman"/>
                <w:b/>
                <w:bCs/>
                <w:color w:val="000000"/>
                <w:kern w:val="0"/>
                <w:sz w:val="28"/>
                <w:szCs w:val="28"/>
                <w:lang w:eastAsia="en-IN"/>
                <w14:ligatures w14:val="none"/>
              </w:rPr>
            </w:pPr>
            <w:r w:rsidRPr="001B5187">
              <w:rPr>
                <w:rFonts w:ascii="Times New Roman" w:eastAsia="Times New Roman" w:hAnsi="Times New Roman" w:cs="Times New Roman"/>
                <w:b/>
                <w:bCs/>
                <w:color w:val="000000"/>
                <w:kern w:val="0"/>
                <w:sz w:val="28"/>
                <w:szCs w:val="28"/>
                <w:lang w:eastAsia="en-IN"/>
                <w14:ligatures w14:val="none"/>
              </w:rPr>
              <w:t>1686.5</w:t>
            </w:r>
          </w:p>
        </w:tc>
      </w:tr>
    </w:tbl>
    <w:p w14:paraId="179EBB0A" w14:textId="67779D38" w:rsidR="007933DE" w:rsidRPr="001B5187" w:rsidRDefault="00D80B2A" w:rsidP="001B5187">
      <w:pPr>
        <w:spacing w:after="0" w:line="240" w:lineRule="auto"/>
        <w:rPr>
          <w:rFonts w:ascii="Times New Roman" w:hAnsi="Times New Roman" w:cs="Times New Roman"/>
          <w:sz w:val="20"/>
          <w:szCs w:val="18"/>
        </w:rPr>
      </w:pPr>
      <w:r w:rsidRPr="001B5187">
        <w:rPr>
          <w:rFonts w:ascii="Times New Roman" w:hAnsi="Times New Roman" w:cs="Times New Roman"/>
          <w:sz w:val="20"/>
          <w:szCs w:val="18"/>
        </w:rPr>
        <w:t>†Composite Bombay</w:t>
      </w:r>
      <w:r w:rsidR="001B5187" w:rsidRPr="001B5187">
        <w:rPr>
          <w:rFonts w:ascii="Times New Roman" w:hAnsi="Times New Roman" w:cs="Times New Roman"/>
          <w:sz w:val="20"/>
          <w:szCs w:val="18"/>
        </w:rPr>
        <w:t>.</w:t>
      </w:r>
    </w:p>
    <w:p w14:paraId="66D12A04" w14:textId="317B2F79" w:rsidR="001B5187" w:rsidRPr="001B5187" w:rsidRDefault="001B5187" w:rsidP="001B5187">
      <w:pPr>
        <w:spacing w:after="0" w:line="240" w:lineRule="auto"/>
        <w:rPr>
          <w:rFonts w:ascii="Times New Roman" w:hAnsi="Times New Roman" w:cs="Times New Roman"/>
          <w:sz w:val="20"/>
          <w:szCs w:val="18"/>
        </w:rPr>
      </w:pPr>
      <w:r w:rsidRPr="001B5187">
        <w:rPr>
          <w:rFonts w:ascii="Times New Roman" w:hAnsi="Times New Roman" w:cs="Times New Roman"/>
          <w:sz w:val="20"/>
          <w:szCs w:val="18"/>
        </w:rPr>
        <w:t>* Includes Haryana.</w:t>
      </w:r>
    </w:p>
    <w:p w14:paraId="1BDE1CB4" w14:textId="02D47EDC" w:rsidR="00D80B2A" w:rsidRPr="001B5187" w:rsidRDefault="00D80B2A" w:rsidP="001B5187">
      <w:pPr>
        <w:spacing w:line="240" w:lineRule="auto"/>
        <w:rPr>
          <w:rFonts w:ascii="Times New Roman" w:hAnsi="Times New Roman" w:cs="Times New Roman"/>
          <w:sz w:val="20"/>
          <w:szCs w:val="18"/>
        </w:rPr>
      </w:pPr>
      <w:r w:rsidRPr="001B5187">
        <w:rPr>
          <w:rFonts w:ascii="Times New Roman" w:hAnsi="Times New Roman" w:cs="Times New Roman"/>
          <w:sz w:val="20"/>
          <w:szCs w:val="18"/>
        </w:rPr>
        <w:t>Source: Report of Taxation Enquiry Committee 1969, Government of Kerala.</w:t>
      </w:r>
    </w:p>
    <w:p w14:paraId="00368550" w14:textId="14244C06" w:rsidR="007D3997" w:rsidRDefault="007D3997">
      <w:pPr>
        <w:rPr>
          <w:rFonts w:ascii="Times New Roman" w:hAnsi="Times New Roman" w:cs="Times New Roman"/>
          <w:sz w:val="144"/>
          <w:szCs w:val="144"/>
        </w:rPr>
      </w:pPr>
      <w:r>
        <w:rPr>
          <w:rFonts w:ascii="Times New Roman" w:hAnsi="Times New Roman" w:cs="Times New Roman"/>
          <w:sz w:val="144"/>
          <w:szCs w:val="144"/>
        </w:rPr>
        <w:lastRenderedPageBreak/>
        <w:br w:type="page"/>
      </w:r>
    </w:p>
    <w:p w14:paraId="4F853F65" w14:textId="77777777" w:rsidR="007933DE" w:rsidRPr="007245B0" w:rsidRDefault="007933DE" w:rsidP="007933DE">
      <w:pPr>
        <w:jc w:val="center"/>
        <w:rPr>
          <w:rFonts w:ascii="Times New Roman" w:hAnsi="Times New Roman" w:cs="Times New Roman"/>
          <w:sz w:val="144"/>
          <w:szCs w:val="144"/>
        </w:rPr>
      </w:pPr>
    </w:p>
    <w:p w14:paraId="42C3021C" w14:textId="77777777" w:rsidR="007933DE" w:rsidRPr="007245B0" w:rsidRDefault="007933DE" w:rsidP="007933DE">
      <w:pPr>
        <w:jc w:val="center"/>
        <w:rPr>
          <w:rFonts w:ascii="Times New Roman" w:hAnsi="Times New Roman" w:cs="Times New Roman"/>
          <w:sz w:val="144"/>
          <w:szCs w:val="144"/>
        </w:rPr>
      </w:pPr>
    </w:p>
    <w:p w14:paraId="58472226" w14:textId="77777777" w:rsidR="007933DE" w:rsidRPr="007245B0" w:rsidRDefault="007933DE" w:rsidP="007933DE">
      <w:pPr>
        <w:jc w:val="center"/>
        <w:rPr>
          <w:rFonts w:ascii="Times New Roman" w:hAnsi="Times New Roman" w:cs="Times New Roman"/>
          <w:sz w:val="144"/>
          <w:szCs w:val="144"/>
        </w:rPr>
      </w:pPr>
    </w:p>
    <w:p w14:paraId="4F49D200" w14:textId="4E34BD18" w:rsidR="007933DE" w:rsidRPr="007D3997" w:rsidRDefault="007933DE" w:rsidP="007D3997">
      <w:pPr>
        <w:pStyle w:val="Heading1"/>
        <w:numPr>
          <w:ilvl w:val="0"/>
          <w:numId w:val="0"/>
        </w:numPr>
        <w:rPr>
          <w:sz w:val="40"/>
          <w:szCs w:val="36"/>
        </w:rPr>
      </w:pPr>
      <w:bookmarkStart w:id="21" w:name="_Toc220949675"/>
      <w:bookmarkStart w:id="22" w:name="_Toc221115298"/>
      <w:r w:rsidRPr="007D3997">
        <w:rPr>
          <w:sz w:val="40"/>
          <w:szCs w:val="36"/>
        </w:rPr>
        <w:t>APPENDICES</w:t>
      </w:r>
      <w:bookmarkEnd w:id="21"/>
      <w:bookmarkEnd w:id="22"/>
    </w:p>
    <w:p w14:paraId="37225FEB" w14:textId="02E9840A" w:rsidR="007933DE" w:rsidRPr="007245B0" w:rsidRDefault="007933DE" w:rsidP="007933DE">
      <w:pPr>
        <w:rPr>
          <w:rFonts w:ascii="Times New Roman" w:hAnsi="Times New Roman" w:cs="Times New Roman"/>
          <w:sz w:val="144"/>
          <w:szCs w:val="144"/>
        </w:rPr>
      </w:pPr>
    </w:p>
    <w:p w14:paraId="38E57456" w14:textId="77777777" w:rsidR="007933DE" w:rsidRPr="007245B0" w:rsidRDefault="007933DE" w:rsidP="007933DE">
      <w:pPr>
        <w:rPr>
          <w:rFonts w:ascii="Times New Roman" w:hAnsi="Times New Roman" w:cs="Times New Roman"/>
          <w:sz w:val="144"/>
          <w:szCs w:val="144"/>
        </w:rPr>
      </w:pPr>
    </w:p>
    <w:p w14:paraId="61C59102" w14:textId="1E4E1932" w:rsidR="007933DE" w:rsidRPr="007245B0" w:rsidRDefault="007933DE">
      <w:pPr>
        <w:rPr>
          <w:rFonts w:ascii="Times New Roman" w:hAnsi="Times New Roman" w:cs="Times New Roman"/>
          <w:szCs w:val="24"/>
        </w:rPr>
      </w:pPr>
      <w:r w:rsidRPr="007245B0">
        <w:rPr>
          <w:rFonts w:ascii="Times New Roman" w:hAnsi="Times New Roman" w:cs="Times New Roman"/>
          <w:szCs w:val="24"/>
        </w:rPr>
        <w:br w:type="page"/>
      </w:r>
    </w:p>
    <w:p w14:paraId="46D30B67" w14:textId="0175DAA9" w:rsidR="007933DE" w:rsidRPr="00FD0DAE" w:rsidRDefault="007933DE" w:rsidP="00FD0DAE">
      <w:pPr>
        <w:pStyle w:val="Heading2"/>
      </w:pPr>
      <w:bookmarkStart w:id="23" w:name="_Toc220949676"/>
      <w:bookmarkStart w:id="24" w:name="_Toc221115299"/>
      <w:r w:rsidRPr="00FD0DAE">
        <w:lastRenderedPageBreak/>
        <w:t>APPENDIX I</w:t>
      </w:r>
      <w:r w:rsidR="002A60FE" w:rsidRPr="00FD0DAE">
        <w:t xml:space="preserve"> </w:t>
      </w:r>
      <w:r w:rsidR="00FD0DAE">
        <w:br/>
      </w:r>
      <w:r w:rsidRPr="00FD0DAE">
        <w:t>PROVISIONS OF THE CONSTITUTION BEARING ON THE WORK OF THE FINANCE COMMISSION</w:t>
      </w:r>
      <w:bookmarkEnd w:id="23"/>
      <w:bookmarkEnd w:id="24"/>
    </w:p>
    <w:p w14:paraId="46BE00E2" w14:textId="77777777" w:rsidR="007933DE" w:rsidRPr="00FD0DAE" w:rsidRDefault="007933DE" w:rsidP="00FD0DAE">
      <w:pPr>
        <w:spacing w:line="280" w:lineRule="exact"/>
        <w:jc w:val="both"/>
        <w:rPr>
          <w:rFonts w:ascii="Times New Roman" w:hAnsi="Times New Roman" w:cs="Times New Roman"/>
          <w:b/>
          <w:bCs/>
          <w:sz w:val="26"/>
          <w:szCs w:val="26"/>
        </w:rPr>
      </w:pPr>
      <w:r w:rsidRPr="00FD0DAE">
        <w:rPr>
          <w:rFonts w:ascii="Times New Roman" w:hAnsi="Times New Roman" w:cs="Times New Roman"/>
          <w:b/>
          <w:bCs/>
          <w:sz w:val="26"/>
          <w:szCs w:val="26"/>
        </w:rPr>
        <w:t>Article 268—</w:t>
      </w:r>
    </w:p>
    <w:p w14:paraId="0234AB6F" w14:textId="77777777" w:rsidR="007933DE" w:rsidRPr="00FD0DAE" w:rsidRDefault="007933DE" w:rsidP="00FD0DAE">
      <w:pPr>
        <w:spacing w:after="0" w:line="280" w:lineRule="exact"/>
        <w:ind w:left="720"/>
        <w:jc w:val="both"/>
        <w:rPr>
          <w:rFonts w:ascii="Times New Roman" w:hAnsi="Times New Roman" w:cs="Times New Roman"/>
          <w:sz w:val="26"/>
          <w:szCs w:val="26"/>
        </w:rPr>
      </w:pPr>
      <w:r w:rsidRPr="00FD0DAE">
        <w:rPr>
          <w:rFonts w:ascii="Times New Roman" w:hAnsi="Times New Roman" w:cs="Times New Roman"/>
          <w:sz w:val="26"/>
          <w:szCs w:val="26"/>
        </w:rPr>
        <w:t>(1) Such stamp duties and such duties of excise on medicinal and toilet preparations as are mentioned in the Union List shall be levied by the Government of India but shall be collected—</w:t>
      </w:r>
    </w:p>
    <w:p w14:paraId="39A15FD2" w14:textId="77777777" w:rsidR="007933DE" w:rsidRPr="00FD0DAE" w:rsidRDefault="007933DE" w:rsidP="00FD0DAE">
      <w:pPr>
        <w:spacing w:after="0" w:line="280" w:lineRule="exact"/>
        <w:ind w:left="1440"/>
        <w:jc w:val="both"/>
        <w:rPr>
          <w:rFonts w:ascii="Times New Roman" w:hAnsi="Times New Roman" w:cs="Times New Roman"/>
          <w:sz w:val="26"/>
          <w:szCs w:val="26"/>
        </w:rPr>
      </w:pPr>
      <w:r w:rsidRPr="00FD0DAE">
        <w:rPr>
          <w:rFonts w:ascii="Times New Roman" w:hAnsi="Times New Roman" w:cs="Times New Roman"/>
          <w:sz w:val="26"/>
          <w:szCs w:val="26"/>
        </w:rPr>
        <w:t>(a) in the case where such duties are leviable within any Union territory, by the Government of India, and</w:t>
      </w:r>
    </w:p>
    <w:p w14:paraId="7EE5D25B" w14:textId="77777777" w:rsidR="007933DE" w:rsidRPr="00FD0DAE" w:rsidRDefault="007933DE" w:rsidP="00FD0DAE">
      <w:pPr>
        <w:spacing w:after="0" w:line="280" w:lineRule="exact"/>
        <w:ind w:left="1440"/>
        <w:jc w:val="both"/>
        <w:rPr>
          <w:rFonts w:ascii="Times New Roman" w:hAnsi="Times New Roman" w:cs="Times New Roman"/>
          <w:sz w:val="26"/>
          <w:szCs w:val="26"/>
        </w:rPr>
      </w:pPr>
      <w:r w:rsidRPr="00FD0DAE">
        <w:rPr>
          <w:rFonts w:ascii="Times New Roman" w:hAnsi="Times New Roman" w:cs="Times New Roman"/>
          <w:sz w:val="26"/>
          <w:szCs w:val="26"/>
        </w:rPr>
        <w:t>(b) in other cases, by the States within which such duties are respectively leviable.</w:t>
      </w:r>
    </w:p>
    <w:p w14:paraId="51C3E073" w14:textId="77777777" w:rsidR="007933DE" w:rsidRPr="00FD0DAE" w:rsidRDefault="007933DE" w:rsidP="00FD0DAE">
      <w:pPr>
        <w:spacing w:line="280" w:lineRule="exact"/>
        <w:ind w:left="720"/>
        <w:jc w:val="both"/>
        <w:rPr>
          <w:rFonts w:ascii="Times New Roman" w:hAnsi="Times New Roman" w:cs="Times New Roman"/>
          <w:sz w:val="26"/>
          <w:szCs w:val="26"/>
        </w:rPr>
      </w:pPr>
      <w:r w:rsidRPr="00FD0DAE">
        <w:rPr>
          <w:rFonts w:ascii="Times New Roman" w:hAnsi="Times New Roman" w:cs="Times New Roman"/>
          <w:sz w:val="26"/>
          <w:szCs w:val="26"/>
        </w:rPr>
        <w:t>(2) The proceeds in any financial year of any such duty leviable within any State shall not form part of the Consolidated Fund of India, but shall be assigned to that State.</w:t>
      </w:r>
    </w:p>
    <w:p w14:paraId="59C8922D" w14:textId="77777777" w:rsidR="007933DE" w:rsidRPr="00FD0DAE" w:rsidRDefault="007933DE" w:rsidP="00FD0DAE">
      <w:pPr>
        <w:spacing w:line="280" w:lineRule="exact"/>
        <w:jc w:val="both"/>
        <w:rPr>
          <w:rFonts w:ascii="Times New Roman" w:hAnsi="Times New Roman" w:cs="Times New Roman"/>
          <w:b/>
          <w:bCs/>
          <w:sz w:val="26"/>
          <w:szCs w:val="26"/>
        </w:rPr>
      </w:pPr>
      <w:r w:rsidRPr="00FD0DAE">
        <w:rPr>
          <w:rFonts w:ascii="Times New Roman" w:hAnsi="Times New Roman" w:cs="Times New Roman"/>
          <w:b/>
          <w:bCs/>
          <w:sz w:val="26"/>
          <w:szCs w:val="26"/>
        </w:rPr>
        <w:t>Article 269—</w:t>
      </w:r>
    </w:p>
    <w:p w14:paraId="7E9CA33B" w14:textId="3733B263" w:rsidR="007933DE" w:rsidRPr="00FD0DAE" w:rsidRDefault="007933DE" w:rsidP="00FD0DAE">
      <w:pPr>
        <w:spacing w:line="280" w:lineRule="exact"/>
        <w:ind w:left="720"/>
        <w:jc w:val="both"/>
        <w:rPr>
          <w:rFonts w:ascii="Times New Roman" w:hAnsi="Times New Roman" w:cs="Times New Roman"/>
          <w:sz w:val="26"/>
          <w:szCs w:val="26"/>
        </w:rPr>
      </w:pPr>
      <w:r w:rsidRPr="00FD0DAE">
        <w:rPr>
          <w:rFonts w:ascii="Times New Roman" w:hAnsi="Times New Roman" w:cs="Times New Roman"/>
          <w:sz w:val="26"/>
          <w:szCs w:val="26"/>
        </w:rPr>
        <w:t>(1) The following duties and taxes shall be levied and collected by the Government of India but shall be assigned to the States in the manner provided in clause (2), namely:</w:t>
      </w:r>
      <w:r w:rsidR="005F3655">
        <w:rPr>
          <w:rFonts w:ascii="Times New Roman" w:hAnsi="Times New Roman" w:cs="Times New Roman"/>
          <w:sz w:val="26"/>
          <w:szCs w:val="26"/>
        </w:rPr>
        <w:t>-</w:t>
      </w:r>
    </w:p>
    <w:p w14:paraId="5A2F1B4C" w14:textId="77777777" w:rsidR="007933DE" w:rsidRPr="00FD0DAE" w:rsidRDefault="007933DE" w:rsidP="00FD0DAE">
      <w:pPr>
        <w:spacing w:after="0" w:line="280" w:lineRule="exact"/>
        <w:ind w:left="1418"/>
        <w:jc w:val="both"/>
        <w:rPr>
          <w:rFonts w:ascii="Times New Roman" w:hAnsi="Times New Roman" w:cs="Times New Roman"/>
          <w:sz w:val="26"/>
          <w:szCs w:val="26"/>
        </w:rPr>
      </w:pPr>
      <w:r w:rsidRPr="00FD0DAE">
        <w:rPr>
          <w:rFonts w:ascii="Times New Roman" w:hAnsi="Times New Roman" w:cs="Times New Roman"/>
          <w:sz w:val="26"/>
          <w:szCs w:val="26"/>
        </w:rPr>
        <w:t>(a) duties in respect of succession to property other than agricultural land;</w:t>
      </w:r>
    </w:p>
    <w:p w14:paraId="5C371F07" w14:textId="77777777" w:rsidR="007933DE" w:rsidRPr="00FD0DAE" w:rsidRDefault="007933DE" w:rsidP="00FD0DAE">
      <w:pPr>
        <w:spacing w:after="0" w:line="280" w:lineRule="exact"/>
        <w:ind w:left="720" w:firstLine="720"/>
        <w:jc w:val="both"/>
        <w:rPr>
          <w:rFonts w:ascii="Times New Roman" w:hAnsi="Times New Roman" w:cs="Times New Roman"/>
          <w:sz w:val="26"/>
          <w:szCs w:val="26"/>
        </w:rPr>
      </w:pPr>
      <w:r w:rsidRPr="00FD0DAE">
        <w:rPr>
          <w:rFonts w:ascii="Times New Roman" w:hAnsi="Times New Roman" w:cs="Times New Roman"/>
          <w:sz w:val="26"/>
          <w:szCs w:val="26"/>
        </w:rPr>
        <w:t>(b) estate duty in respect of property other than agricultural land;</w:t>
      </w:r>
    </w:p>
    <w:p w14:paraId="49AE4960" w14:textId="77777777" w:rsidR="007933DE" w:rsidRPr="00FD0DAE" w:rsidRDefault="007933DE" w:rsidP="00FD0DAE">
      <w:pPr>
        <w:spacing w:after="0" w:line="280" w:lineRule="exact"/>
        <w:ind w:left="720" w:firstLine="720"/>
        <w:jc w:val="both"/>
        <w:rPr>
          <w:rFonts w:ascii="Times New Roman" w:hAnsi="Times New Roman" w:cs="Times New Roman"/>
          <w:sz w:val="26"/>
          <w:szCs w:val="26"/>
        </w:rPr>
      </w:pPr>
      <w:r w:rsidRPr="00FD0DAE">
        <w:rPr>
          <w:rFonts w:ascii="Times New Roman" w:hAnsi="Times New Roman" w:cs="Times New Roman"/>
          <w:sz w:val="26"/>
          <w:szCs w:val="26"/>
        </w:rPr>
        <w:t>(c) terminal taxes on goods or passengers carried by railway, sea or air;</w:t>
      </w:r>
    </w:p>
    <w:p w14:paraId="3E41CF0D" w14:textId="77777777" w:rsidR="007933DE" w:rsidRPr="00FD0DAE" w:rsidRDefault="007933DE" w:rsidP="00FD0DAE">
      <w:pPr>
        <w:spacing w:after="0" w:line="280" w:lineRule="exact"/>
        <w:ind w:left="720" w:firstLine="720"/>
        <w:jc w:val="both"/>
        <w:rPr>
          <w:rFonts w:ascii="Times New Roman" w:hAnsi="Times New Roman" w:cs="Times New Roman"/>
          <w:sz w:val="26"/>
          <w:szCs w:val="26"/>
        </w:rPr>
      </w:pPr>
      <w:r w:rsidRPr="00FD0DAE">
        <w:rPr>
          <w:rFonts w:ascii="Times New Roman" w:hAnsi="Times New Roman" w:cs="Times New Roman"/>
          <w:sz w:val="26"/>
          <w:szCs w:val="26"/>
        </w:rPr>
        <w:t>(d) taxes on railway fares and freights;</w:t>
      </w:r>
    </w:p>
    <w:p w14:paraId="7DB10421" w14:textId="77777777" w:rsidR="007933DE" w:rsidRPr="00FD0DAE" w:rsidRDefault="007933DE" w:rsidP="00FD0DAE">
      <w:pPr>
        <w:spacing w:after="0" w:line="280" w:lineRule="exact"/>
        <w:ind w:left="1440"/>
        <w:jc w:val="both"/>
        <w:rPr>
          <w:rFonts w:ascii="Times New Roman" w:hAnsi="Times New Roman" w:cs="Times New Roman"/>
          <w:sz w:val="26"/>
          <w:szCs w:val="26"/>
        </w:rPr>
      </w:pPr>
      <w:r w:rsidRPr="00FD0DAE">
        <w:rPr>
          <w:rFonts w:ascii="Times New Roman" w:hAnsi="Times New Roman" w:cs="Times New Roman"/>
          <w:sz w:val="26"/>
          <w:szCs w:val="26"/>
        </w:rPr>
        <w:t>(e) taxes other than stamp duties on transactions in stock-exchanges and futures markets;</w:t>
      </w:r>
    </w:p>
    <w:p w14:paraId="0AF86119" w14:textId="77777777" w:rsidR="007933DE" w:rsidRPr="00FD0DAE" w:rsidRDefault="007933DE" w:rsidP="00FD0DAE">
      <w:pPr>
        <w:spacing w:after="0" w:line="280" w:lineRule="exact"/>
        <w:ind w:left="1440"/>
        <w:jc w:val="both"/>
        <w:rPr>
          <w:rFonts w:ascii="Times New Roman" w:hAnsi="Times New Roman" w:cs="Times New Roman"/>
          <w:sz w:val="26"/>
          <w:szCs w:val="26"/>
        </w:rPr>
      </w:pPr>
      <w:r w:rsidRPr="00FD0DAE">
        <w:rPr>
          <w:rFonts w:ascii="Times New Roman" w:hAnsi="Times New Roman" w:cs="Times New Roman"/>
          <w:sz w:val="26"/>
          <w:szCs w:val="26"/>
        </w:rPr>
        <w:t>(f) taxes on the sale or purchase of newspapers and on advertisements published therein;</w:t>
      </w:r>
    </w:p>
    <w:p w14:paraId="75B1C057" w14:textId="77777777" w:rsidR="007933DE" w:rsidRPr="00FD0DAE" w:rsidRDefault="007933DE" w:rsidP="00FD0DAE">
      <w:pPr>
        <w:spacing w:after="0" w:line="280" w:lineRule="exact"/>
        <w:ind w:left="1440"/>
        <w:jc w:val="both"/>
        <w:rPr>
          <w:rFonts w:ascii="Times New Roman" w:hAnsi="Times New Roman" w:cs="Times New Roman"/>
          <w:sz w:val="26"/>
          <w:szCs w:val="26"/>
        </w:rPr>
      </w:pPr>
      <w:r w:rsidRPr="00FD0DAE">
        <w:rPr>
          <w:rFonts w:ascii="Times New Roman" w:hAnsi="Times New Roman" w:cs="Times New Roman"/>
          <w:sz w:val="26"/>
          <w:szCs w:val="26"/>
        </w:rPr>
        <w:t>(g) taxes on the sale or purchase of goods other than newspapers, where such sale or purchase takes place in the course of inter-State trade or commerce.</w:t>
      </w:r>
    </w:p>
    <w:p w14:paraId="3F2CB5A7" w14:textId="77777777" w:rsidR="007933DE" w:rsidRPr="00FD0DAE" w:rsidRDefault="007933DE" w:rsidP="00FD0DAE">
      <w:pPr>
        <w:spacing w:line="280" w:lineRule="exact"/>
        <w:ind w:left="720"/>
        <w:jc w:val="both"/>
        <w:rPr>
          <w:rFonts w:ascii="Times New Roman" w:hAnsi="Times New Roman" w:cs="Times New Roman"/>
          <w:sz w:val="26"/>
          <w:szCs w:val="26"/>
        </w:rPr>
      </w:pPr>
      <w:r w:rsidRPr="00FD0DAE">
        <w:rPr>
          <w:rFonts w:ascii="Times New Roman" w:hAnsi="Times New Roman" w:cs="Times New Roman"/>
          <w:sz w:val="26"/>
          <w:szCs w:val="26"/>
        </w:rPr>
        <w:t>(2) The net proceeds in any financial year of any such duty or tax, except in so far as those proceeds represent proceeds attributable to Union territories, shall not form part of the Consolidated Fund of India, but shall be assigned to the States within which that duty or tax is leviable in that year, and shall be distributed among those States in accordance with such principles of distribution as may be formulated by Parliament by law.</w:t>
      </w:r>
    </w:p>
    <w:p w14:paraId="3D764E8E" w14:textId="67DD65CF" w:rsidR="007933DE" w:rsidRPr="00FD0DAE" w:rsidRDefault="007933DE" w:rsidP="00FD0DAE">
      <w:pPr>
        <w:spacing w:line="280" w:lineRule="exact"/>
        <w:ind w:left="720"/>
        <w:jc w:val="both"/>
        <w:rPr>
          <w:rFonts w:ascii="Times New Roman" w:hAnsi="Times New Roman" w:cs="Times New Roman"/>
          <w:sz w:val="26"/>
          <w:szCs w:val="26"/>
        </w:rPr>
      </w:pPr>
      <w:r w:rsidRPr="00FD0DAE">
        <w:rPr>
          <w:rFonts w:ascii="Times New Roman" w:hAnsi="Times New Roman" w:cs="Times New Roman"/>
          <w:sz w:val="26"/>
          <w:szCs w:val="26"/>
        </w:rPr>
        <w:t>(3) Parliament may by law formulate principles for determining when a sale or purchase of goods takes place in the course of inter-State trade or commerce.</w:t>
      </w:r>
    </w:p>
    <w:p w14:paraId="7EB071E0" w14:textId="77777777" w:rsidR="007933DE" w:rsidRPr="00FD0DAE" w:rsidRDefault="007933DE" w:rsidP="00FD0DAE">
      <w:pPr>
        <w:spacing w:line="280" w:lineRule="exact"/>
        <w:jc w:val="both"/>
        <w:rPr>
          <w:rFonts w:ascii="Times New Roman" w:hAnsi="Times New Roman" w:cs="Times New Roman"/>
          <w:b/>
          <w:bCs/>
          <w:sz w:val="26"/>
          <w:szCs w:val="26"/>
        </w:rPr>
      </w:pPr>
      <w:r w:rsidRPr="00FD0DAE">
        <w:rPr>
          <w:rFonts w:ascii="Times New Roman" w:hAnsi="Times New Roman" w:cs="Times New Roman"/>
          <w:b/>
          <w:bCs/>
          <w:sz w:val="26"/>
          <w:szCs w:val="26"/>
        </w:rPr>
        <w:t>Article 270—</w:t>
      </w:r>
    </w:p>
    <w:p w14:paraId="520DABD7" w14:textId="77777777" w:rsidR="007933DE" w:rsidRPr="00FD0DAE" w:rsidRDefault="007933DE" w:rsidP="00FD0DAE">
      <w:pPr>
        <w:spacing w:line="280" w:lineRule="exact"/>
        <w:ind w:left="720"/>
        <w:jc w:val="both"/>
        <w:rPr>
          <w:rFonts w:ascii="Times New Roman" w:hAnsi="Times New Roman" w:cs="Times New Roman"/>
          <w:sz w:val="26"/>
          <w:szCs w:val="26"/>
        </w:rPr>
      </w:pPr>
      <w:r w:rsidRPr="00FD0DAE">
        <w:rPr>
          <w:rFonts w:ascii="Times New Roman" w:hAnsi="Times New Roman" w:cs="Times New Roman"/>
          <w:sz w:val="26"/>
          <w:szCs w:val="26"/>
        </w:rPr>
        <w:t>(1) Taxes on income other than agricultural income shall be levied and collected by the Government of India and distributed between the Union and the States in the manner provided in clause (2).</w:t>
      </w:r>
    </w:p>
    <w:p w14:paraId="71862E8B" w14:textId="77777777" w:rsidR="007933DE" w:rsidRPr="00FD0DAE" w:rsidRDefault="007933DE" w:rsidP="00FD0DAE">
      <w:pPr>
        <w:spacing w:line="280" w:lineRule="exact"/>
        <w:ind w:left="720"/>
        <w:jc w:val="both"/>
        <w:rPr>
          <w:rFonts w:ascii="Times New Roman" w:hAnsi="Times New Roman" w:cs="Times New Roman"/>
          <w:sz w:val="26"/>
          <w:szCs w:val="26"/>
        </w:rPr>
      </w:pPr>
      <w:r w:rsidRPr="00FD0DAE">
        <w:rPr>
          <w:rFonts w:ascii="Times New Roman" w:hAnsi="Times New Roman" w:cs="Times New Roman"/>
          <w:sz w:val="26"/>
          <w:szCs w:val="26"/>
        </w:rPr>
        <w:lastRenderedPageBreak/>
        <w:t>(2) Such percentage, as may be prescribed, of the net proceeds in any financial year of any such tax, except in so far as those proceeds represent proceeds attributable to Union emoluments, shall not form part of the Consolidated Fund of India, but shall be assigned to the States within which that tax is leviable in that year, and shall be distributed among those States in such manner and from such time as may be prescribed.</w:t>
      </w:r>
    </w:p>
    <w:p w14:paraId="71102C5C" w14:textId="77777777" w:rsidR="00B96BB7" w:rsidRPr="00FD0DAE" w:rsidRDefault="00B96BB7" w:rsidP="00FD0DAE">
      <w:pPr>
        <w:spacing w:line="280" w:lineRule="exact"/>
        <w:ind w:left="720"/>
        <w:jc w:val="both"/>
        <w:rPr>
          <w:rFonts w:ascii="Times New Roman" w:hAnsi="Times New Roman" w:cs="Times New Roman"/>
          <w:sz w:val="26"/>
          <w:szCs w:val="26"/>
        </w:rPr>
      </w:pPr>
      <w:r w:rsidRPr="00FD0DAE">
        <w:rPr>
          <w:rFonts w:ascii="Times New Roman" w:hAnsi="Times New Roman" w:cs="Times New Roman"/>
          <w:sz w:val="26"/>
          <w:szCs w:val="26"/>
        </w:rPr>
        <w:t>(3) For the purposes of clause (2), in each financial year such percentage as may be prescribed of so much of the net proceeds of taxes on income as does not represent the net proceeds of taxes payable in respect of Union emoluments shall be deemed to represent proceeds attributable to Union territories.</w:t>
      </w:r>
    </w:p>
    <w:p w14:paraId="1482B957" w14:textId="77777777" w:rsidR="00B96BB7" w:rsidRPr="00FD0DAE" w:rsidRDefault="00B96BB7" w:rsidP="00FD0DAE">
      <w:pPr>
        <w:spacing w:after="0" w:line="280" w:lineRule="exact"/>
        <w:ind w:firstLine="720"/>
        <w:jc w:val="both"/>
        <w:rPr>
          <w:rFonts w:ascii="Times New Roman" w:hAnsi="Times New Roman" w:cs="Times New Roman"/>
          <w:sz w:val="26"/>
          <w:szCs w:val="26"/>
        </w:rPr>
      </w:pPr>
      <w:r w:rsidRPr="00FD0DAE">
        <w:rPr>
          <w:rFonts w:ascii="Times New Roman" w:hAnsi="Times New Roman" w:cs="Times New Roman"/>
          <w:sz w:val="26"/>
          <w:szCs w:val="26"/>
        </w:rPr>
        <w:t>(4) In this article—</w:t>
      </w:r>
    </w:p>
    <w:p w14:paraId="760CF214" w14:textId="77777777" w:rsidR="00B96BB7" w:rsidRPr="00FD0DAE" w:rsidRDefault="00B96BB7" w:rsidP="00FD0DAE">
      <w:pPr>
        <w:spacing w:after="0" w:line="280" w:lineRule="exact"/>
        <w:ind w:left="720" w:firstLine="720"/>
        <w:jc w:val="both"/>
        <w:rPr>
          <w:rFonts w:ascii="Times New Roman" w:hAnsi="Times New Roman" w:cs="Times New Roman"/>
          <w:sz w:val="26"/>
          <w:szCs w:val="26"/>
        </w:rPr>
      </w:pPr>
      <w:r w:rsidRPr="00FD0DAE">
        <w:rPr>
          <w:rFonts w:ascii="Times New Roman" w:hAnsi="Times New Roman" w:cs="Times New Roman"/>
          <w:sz w:val="26"/>
          <w:szCs w:val="26"/>
        </w:rPr>
        <w:t>(a) “taxes on income” does not include a corporation tax;</w:t>
      </w:r>
    </w:p>
    <w:p w14:paraId="549BD221" w14:textId="77777777" w:rsidR="00FD0DAE" w:rsidRPr="00FD0DAE" w:rsidRDefault="00B96BB7" w:rsidP="00FD0DAE">
      <w:pPr>
        <w:spacing w:after="0" w:line="280" w:lineRule="exact"/>
        <w:ind w:left="720" w:firstLine="720"/>
        <w:jc w:val="both"/>
        <w:rPr>
          <w:rFonts w:ascii="Times New Roman" w:hAnsi="Times New Roman" w:cs="Times New Roman"/>
          <w:sz w:val="26"/>
          <w:szCs w:val="26"/>
        </w:rPr>
      </w:pPr>
      <w:r w:rsidRPr="00FD0DAE">
        <w:rPr>
          <w:rFonts w:ascii="Times New Roman" w:hAnsi="Times New Roman" w:cs="Times New Roman"/>
          <w:sz w:val="26"/>
          <w:szCs w:val="26"/>
        </w:rPr>
        <w:t>(b) “prescribed” means—</w:t>
      </w:r>
    </w:p>
    <w:p w14:paraId="24A528EC" w14:textId="77777777" w:rsidR="00FD0DAE" w:rsidRPr="00FD0DAE" w:rsidRDefault="00B96BB7" w:rsidP="00FD0DAE">
      <w:pPr>
        <w:spacing w:after="0" w:line="280" w:lineRule="exact"/>
        <w:ind w:left="2160"/>
        <w:jc w:val="both"/>
        <w:rPr>
          <w:rFonts w:ascii="Times New Roman" w:hAnsi="Times New Roman" w:cs="Times New Roman"/>
          <w:sz w:val="26"/>
          <w:szCs w:val="26"/>
        </w:rPr>
      </w:pPr>
      <w:r w:rsidRPr="00FD0DAE">
        <w:rPr>
          <w:rFonts w:ascii="Times New Roman" w:hAnsi="Times New Roman" w:cs="Times New Roman"/>
          <w:sz w:val="26"/>
          <w:szCs w:val="26"/>
        </w:rPr>
        <w:t>(i) until a Finance Commission has been constituted, prescribed by the President by Order, and</w:t>
      </w:r>
      <w:r w:rsidR="00FD0DAE" w:rsidRPr="00FD0DAE">
        <w:rPr>
          <w:rFonts w:ascii="Times New Roman" w:hAnsi="Times New Roman" w:cs="Times New Roman"/>
          <w:sz w:val="26"/>
          <w:szCs w:val="26"/>
        </w:rPr>
        <w:t xml:space="preserve"> </w:t>
      </w:r>
    </w:p>
    <w:p w14:paraId="69AFE14C" w14:textId="06F94A54" w:rsidR="00B96BB7" w:rsidRPr="00FD0DAE" w:rsidRDefault="00B96BB7" w:rsidP="00FD0DAE">
      <w:pPr>
        <w:spacing w:after="0" w:line="280" w:lineRule="exact"/>
        <w:ind w:left="2160"/>
        <w:jc w:val="both"/>
        <w:rPr>
          <w:rFonts w:ascii="Times New Roman" w:hAnsi="Times New Roman" w:cs="Times New Roman"/>
          <w:sz w:val="26"/>
          <w:szCs w:val="26"/>
        </w:rPr>
      </w:pPr>
      <w:r w:rsidRPr="00FD0DAE">
        <w:rPr>
          <w:rFonts w:ascii="Times New Roman" w:hAnsi="Times New Roman" w:cs="Times New Roman"/>
          <w:sz w:val="26"/>
          <w:szCs w:val="26"/>
        </w:rPr>
        <w:t>(ii) after a Finance Commission has been constituted, prescribed by the President by Order after considering the recommendations of the Finance Commission;</w:t>
      </w:r>
    </w:p>
    <w:p w14:paraId="44E31DC0" w14:textId="59756FA0" w:rsidR="00B96BB7" w:rsidRPr="00FD0DAE" w:rsidRDefault="00B96BB7" w:rsidP="00FD0DAE">
      <w:pPr>
        <w:spacing w:after="0" w:line="280" w:lineRule="exact"/>
        <w:ind w:left="1440"/>
        <w:jc w:val="both"/>
        <w:rPr>
          <w:rFonts w:ascii="Times New Roman" w:hAnsi="Times New Roman" w:cs="Times New Roman"/>
          <w:sz w:val="26"/>
          <w:szCs w:val="26"/>
        </w:rPr>
      </w:pPr>
      <w:r w:rsidRPr="00FD0DAE">
        <w:rPr>
          <w:rFonts w:ascii="Times New Roman" w:hAnsi="Times New Roman" w:cs="Times New Roman"/>
          <w:sz w:val="26"/>
          <w:szCs w:val="26"/>
        </w:rPr>
        <w:t>(c) “Union emoluments” includes all emoluments and pensions payable out of the Consolidated Fund of India in respect of which income-tax is chargeable.</w:t>
      </w:r>
    </w:p>
    <w:p w14:paraId="57F9389F" w14:textId="77777777" w:rsidR="00B96BB7" w:rsidRPr="00FD0DAE" w:rsidRDefault="00B96BB7" w:rsidP="00FD0DAE">
      <w:pPr>
        <w:spacing w:line="280" w:lineRule="exact"/>
        <w:jc w:val="both"/>
        <w:rPr>
          <w:rFonts w:ascii="Times New Roman" w:hAnsi="Times New Roman" w:cs="Times New Roman"/>
          <w:b/>
          <w:bCs/>
          <w:sz w:val="26"/>
          <w:szCs w:val="26"/>
        </w:rPr>
      </w:pPr>
      <w:r w:rsidRPr="00FD0DAE">
        <w:rPr>
          <w:rFonts w:ascii="Times New Roman" w:hAnsi="Times New Roman" w:cs="Times New Roman"/>
          <w:b/>
          <w:bCs/>
          <w:sz w:val="26"/>
          <w:szCs w:val="26"/>
        </w:rPr>
        <w:t>Article 271—</w:t>
      </w:r>
    </w:p>
    <w:p w14:paraId="45F26B09" w14:textId="31591467" w:rsidR="00B96BB7" w:rsidRPr="00FD0DAE" w:rsidRDefault="00B96BB7" w:rsidP="00FD0DAE">
      <w:pPr>
        <w:spacing w:line="280" w:lineRule="exact"/>
        <w:ind w:left="720"/>
        <w:jc w:val="both"/>
        <w:rPr>
          <w:rFonts w:ascii="Times New Roman" w:hAnsi="Times New Roman" w:cs="Times New Roman"/>
          <w:sz w:val="26"/>
          <w:szCs w:val="26"/>
        </w:rPr>
      </w:pPr>
      <w:r w:rsidRPr="00FD0DAE">
        <w:rPr>
          <w:rFonts w:ascii="Times New Roman" w:hAnsi="Times New Roman" w:cs="Times New Roman"/>
          <w:sz w:val="26"/>
          <w:szCs w:val="26"/>
        </w:rPr>
        <w:t>Notwithstanding anything in articles 269 and 270, Parliament may at any time increase any of the duties or taxes referred to in those articles by a surcharge for purposes of the Union and the whole proceeds of any such surcharge shall form part of the Consolidated Fund of India.</w:t>
      </w:r>
    </w:p>
    <w:p w14:paraId="000109F2" w14:textId="77777777" w:rsidR="00B96BB7" w:rsidRPr="00FD0DAE" w:rsidRDefault="00B96BB7" w:rsidP="00FD0DAE">
      <w:pPr>
        <w:spacing w:line="280" w:lineRule="exact"/>
        <w:jc w:val="both"/>
        <w:rPr>
          <w:rFonts w:ascii="Times New Roman" w:hAnsi="Times New Roman" w:cs="Times New Roman"/>
          <w:b/>
          <w:bCs/>
          <w:sz w:val="26"/>
          <w:szCs w:val="26"/>
        </w:rPr>
      </w:pPr>
      <w:r w:rsidRPr="00FD0DAE">
        <w:rPr>
          <w:rFonts w:ascii="Times New Roman" w:hAnsi="Times New Roman" w:cs="Times New Roman"/>
          <w:b/>
          <w:bCs/>
          <w:sz w:val="26"/>
          <w:szCs w:val="26"/>
        </w:rPr>
        <w:t>Article 272—</w:t>
      </w:r>
    </w:p>
    <w:p w14:paraId="4DA1BD98" w14:textId="2C39A7CA" w:rsidR="00B96BB7" w:rsidRPr="00FD0DAE" w:rsidRDefault="00B96BB7" w:rsidP="00FD0DAE">
      <w:pPr>
        <w:spacing w:line="280" w:lineRule="exact"/>
        <w:ind w:left="720"/>
        <w:jc w:val="both"/>
        <w:rPr>
          <w:rFonts w:ascii="Times New Roman" w:hAnsi="Times New Roman" w:cs="Times New Roman"/>
          <w:sz w:val="26"/>
          <w:szCs w:val="26"/>
        </w:rPr>
      </w:pPr>
      <w:r w:rsidRPr="00FD0DAE">
        <w:rPr>
          <w:rFonts w:ascii="Times New Roman" w:hAnsi="Times New Roman" w:cs="Times New Roman"/>
          <w:sz w:val="26"/>
          <w:szCs w:val="26"/>
        </w:rPr>
        <w:t>Union duties of excise other than such duties of excise on medicinal and toilet preparations as are mentioned in the Union List shall be levied and collected by the Government of India, but, if Parliament by law so provides, there shall be paid out of the Consolidated Fund of India to the States to which the law imposing the duty extends sums equivalent to the whole or any part of the net proceeds of that duty, and those sums shall be distributed among those States</w:t>
      </w:r>
      <w:r w:rsidR="00FD0DAE" w:rsidRPr="00FD0DAE">
        <w:rPr>
          <w:rFonts w:ascii="Times New Roman" w:hAnsi="Times New Roman" w:cs="Times New Roman"/>
          <w:sz w:val="26"/>
          <w:szCs w:val="26"/>
        </w:rPr>
        <w:t xml:space="preserve"> </w:t>
      </w:r>
      <w:r w:rsidRPr="00FD0DAE">
        <w:rPr>
          <w:rFonts w:ascii="Times New Roman" w:hAnsi="Times New Roman" w:cs="Times New Roman"/>
          <w:sz w:val="26"/>
          <w:szCs w:val="26"/>
        </w:rPr>
        <w:t>in accordance with such principles of distribution as may be formulated by such law.</w:t>
      </w:r>
    </w:p>
    <w:p w14:paraId="01EE5DE9" w14:textId="7B217566" w:rsidR="00B96BB7" w:rsidRPr="00FD0DAE" w:rsidRDefault="00B96BB7" w:rsidP="00FD0DAE">
      <w:pPr>
        <w:spacing w:line="280" w:lineRule="exact"/>
        <w:jc w:val="both"/>
        <w:rPr>
          <w:rFonts w:ascii="Times New Roman" w:hAnsi="Times New Roman" w:cs="Times New Roman"/>
          <w:sz w:val="26"/>
          <w:szCs w:val="26"/>
        </w:rPr>
      </w:pPr>
      <w:r w:rsidRPr="00FD0DAE">
        <w:rPr>
          <w:rFonts w:ascii="Times New Roman" w:hAnsi="Times New Roman" w:cs="Times New Roman"/>
          <w:b/>
          <w:bCs/>
          <w:sz w:val="26"/>
          <w:szCs w:val="26"/>
        </w:rPr>
        <w:t>Article 274—</w:t>
      </w:r>
    </w:p>
    <w:p w14:paraId="3095706A" w14:textId="77777777" w:rsidR="00B96BB7" w:rsidRPr="00FD0DAE" w:rsidRDefault="00B96BB7" w:rsidP="00FD0DAE">
      <w:pPr>
        <w:spacing w:after="0" w:line="280" w:lineRule="exact"/>
        <w:ind w:left="720"/>
        <w:jc w:val="both"/>
        <w:rPr>
          <w:rFonts w:ascii="Times New Roman" w:hAnsi="Times New Roman" w:cs="Times New Roman"/>
          <w:sz w:val="26"/>
          <w:szCs w:val="26"/>
        </w:rPr>
      </w:pPr>
      <w:r w:rsidRPr="00FD0DAE">
        <w:rPr>
          <w:rFonts w:ascii="Times New Roman" w:hAnsi="Times New Roman" w:cs="Times New Roman"/>
          <w:sz w:val="26"/>
          <w:szCs w:val="26"/>
        </w:rPr>
        <w:t>(1) No Bill or amendment which imposes or varies any tax or duty in which States are interested or which varies the meaning of the expression “agricultural income” as defined for the purposes of the enactments relating to Indian income-tax, or which affects the principles on which under any of the foregoing provisions of this Chapter moneys are or may be distributable to States, or which imposes any such surcharge for the purposes of the Union as is mentioned in the foregoing provisions of this Chapter, shall be introduced or moved in either House of Parliament except on the recommendation of the President.</w:t>
      </w:r>
    </w:p>
    <w:p w14:paraId="700651E6" w14:textId="77777777" w:rsidR="00B96BB7" w:rsidRPr="00FD0DAE" w:rsidRDefault="00B96BB7" w:rsidP="00FD0DAE">
      <w:pPr>
        <w:spacing w:after="0" w:line="280" w:lineRule="exact"/>
        <w:ind w:left="720"/>
        <w:jc w:val="both"/>
        <w:rPr>
          <w:rFonts w:ascii="Times New Roman" w:hAnsi="Times New Roman" w:cs="Times New Roman"/>
          <w:sz w:val="26"/>
          <w:szCs w:val="26"/>
        </w:rPr>
      </w:pPr>
      <w:r w:rsidRPr="00FD0DAE">
        <w:rPr>
          <w:rFonts w:ascii="Times New Roman" w:hAnsi="Times New Roman" w:cs="Times New Roman"/>
          <w:sz w:val="26"/>
          <w:szCs w:val="26"/>
        </w:rPr>
        <w:lastRenderedPageBreak/>
        <w:t>(2) In this article, the expression “tax or duty in which States are interested” means—</w:t>
      </w:r>
    </w:p>
    <w:p w14:paraId="3D80C8A9" w14:textId="77777777" w:rsidR="00B96BB7" w:rsidRPr="00FD0DAE" w:rsidRDefault="00B96BB7" w:rsidP="00FD0DAE">
      <w:pPr>
        <w:spacing w:after="0" w:line="280" w:lineRule="exact"/>
        <w:ind w:left="1440"/>
        <w:jc w:val="both"/>
        <w:rPr>
          <w:rFonts w:ascii="Times New Roman" w:hAnsi="Times New Roman" w:cs="Times New Roman"/>
          <w:sz w:val="26"/>
          <w:szCs w:val="26"/>
        </w:rPr>
      </w:pPr>
      <w:r w:rsidRPr="00FD0DAE">
        <w:rPr>
          <w:rFonts w:ascii="Times New Roman" w:hAnsi="Times New Roman" w:cs="Times New Roman"/>
          <w:sz w:val="26"/>
          <w:szCs w:val="26"/>
        </w:rPr>
        <w:t>(a) a tax or duty the whole or part of the net proceeds whereof are assigned to any State; or</w:t>
      </w:r>
    </w:p>
    <w:p w14:paraId="109EC8A6" w14:textId="77777777" w:rsidR="00B96BB7" w:rsidRPr="00FD0DAE" w:rsidRDefault="00B96BB7" w:rsidP="00FD0DAE">
      <w:pPr>
        <w:spacing w:after="0" w:line="280" w:lineRule="exact"/>
        <w:ind w:left="1440"/>
        <w:jc w:val="both"/>
        <w:rPr>
          <w:rFonts w:ascii="Times New Roman" w:hAnsi="Times New Roman" w:cs="Times New Roman"/>
          <w:sz w:val="26"/>
          <w:szCs w:val="26"/>
        </w:rPr>
      </w:pPr>
      <w:r w:rsidRPr="00FD0DAE">
        <w:rPr>
          <w:rFonts w:ascii="Times New Roman" w:hAnsi="Times New Roman" w:cs="Times New Roman"/>
          <w:sz w:val="26"/>
          <w:szCs w:val="26"/>
        </w:rPr>
        <w:t>(b) a tax or duty by reference to the net proceeds whereof sums are for the time being payable out of the Consolidated Fund of India to any State.</w:t>
      </w:r>
    </w:p>
    <w:p w14:paraId="0B85C75B" w14:textId="77777777" w:rsidR="00B96BB7" w:rsidRPr="00FD0DAE" w:rsidRDefault="00B96BB7" w:rsidP="00FD0DAE">
      <w:pPr>
        <w:spacing w:line="280" w:lineRule="exact"/>
        <w:jc w:val="both"/>
        <w:rPr>
          <w:rFonts w:ascii="Times New Roman" w:hAnsi="Times New Roman" w:cs="Times New Roman"/>
          <w:b/>
          <w:bCs/>
          <w:sz w:val="26"/>
          <w:szCs w:val="26"/>
        </w:rPr>
      </w:pPr>
      <w:r w:rsidRPr="00FD0DAE">
        <w:rPr>
          <w:rFonts w:ascii="Times New Roman" w:hAnsi="Times New Roman" w:cs="Times New Roman"/>
          <w:b/>
          <w:bCs/>
          <w:sz w:val="26"/>
          <w:szCs w:val="26"/>
        </w:rPr>
        <w:t>Article 275—</w:t>
      </w:r>
    </w:p>
    <w:p w14:paraId="263DA3B6" w14:textId="77777777" w:rsidR="00B96BB7" w:rsidRPr="00FD0DAE" w:rsidRDefault="00B96BB7" w:rsidP="00FD0DAE">
      <w:pPr>
        <w:spacing w:line="280" w:lineRule="exact"/>
        <w:ind w:left="720"/>
        <w:jc w:val="both"/>
        <w:rPr>
          <w:rFonts w:ascii="Times New Roman" w:hAnsi="Times New Roman" w:cs="Times New Roman"/>
          <w:sz w:val="26"/>
          <w:szCs w:val="26"/>
        </w:rPr>
      </w:pPr>
      <w:r w:rsidRPr="00FD0DAE">
        <w:rPr>
          <w:rFonts w:ascii="Times New Roman" w:hAnsi="Times New Roman" w:cs="Times New Roman"/>
          <w:sz w:val="26"/>
          <w:szCs w:val="26"/>
        </w:rPr>
        <w:t>(1) Such sums as Parliament may by law provide shall be charged on the Consolidated Fund of India in each year as grants-in-aid of the revenues of such States as Parliament may determine to be in need of assistance, and different sums may be fixed for different States:</w:t>
      </w:r>
    </w:p>
    <w:p w14:paraId="25BE32B1" w14:textId="77777777" w:rsidR="00B96BB7" w:rsidRPr="00FD0DAE" w:rsidRDefault="00B96BB7" w:rsidP="00FD0DAE">
      <w:pPr>
        <w:spacing w:line="280" w:lineRule="exact"/>
        <w:ind w:left="720"/>
        <w:jc w:val="both"/>
        <w:rPr>
          <w:rFonts w:ascii="Times New Roman" w:hAnsi="Times New Roman" w:cs="Times New Roman"/>
          <w:sz w:val="26"/>
          <w:szCs w:val="26"/>
        </w:rPr>
      </w:pPr>
      <w:r w:rsidRPr="00FD0DAE">
        <w:rPr>
          <w:rFonts w:ascii="Times New Roman" w:hAnsi="Times New Roman" w:cs="Times New Roman"/>
          <w:sz w:val="26"/>
          <w:szCs w:val="26"/>
        </w:rPr>
        <w:t>Provided that there shall be paid out of the Consolidated Fund of India as grants-in-aid of the revenues of a State such capital and recurring sums as may be necessary to enable that State to meet the costs of such schemes of development as may be undertaken by the State with the approval of the Government of India for the purpose of promoting the welfare of the Scheduled Tribes in that State or of raising the level of administration of the Scheduled Areas therein to that of the administration of the rest of the areas of that State.</w:t>
      </w:r>
    </w:p>
    <w:p w14:paraId="762635B6" w14:textId="77777777" w:rsidR="00B96BB7" w:rsidRPr="00FD0DAE" w:rsidRDefault="00B96BB7" w:rsidP="00FD0DAE">
      <w:pPr>
        <w:spacing w:line="280" w:lineRule="exact"/>
        <w:ind w:left="720" w:firstLine="273"/>
        <w:jc w:val="both"/>
        <w:rPr>
          <w:rFonts w:ascii="Times New Roman" w:hAnsi="Times New Roman" w:cs="Times New Roman"/>
          <w:sz w:val="26"/>
          <w:szCs w:val="26"/>
        </w:rPr>
      </w:pPr>
      <w:r w:rsidRPr="00FD0DAE">
        <w:rPr>
          <w:rFonts w:ascii="Times New Roman" w:hAnsi="Times New Roman" w:cs="Times New Roman"/>
          <w:sz w:val="26"/>
          <w:szCs w:val="26"/>
        </w:rPr>
        <w:t>Provided further that there shall be paid out of the Consolidated Fund of India as grants-in-aid of the revenues of the State of Assam sums, capital and recurring, equivalent to—</w:t>
      </w:r>
    </w:p>
    <w:p w14:paraId="32E79063" w14:textId="77777777" w:rsidR="00B96BB7" w:rsidRPr="00FD0DAE" w:rsidRDefault="00B96BB7" w:rsidP="00FD0DAE">
      <w:pPr>
        <w:spacing w:after="0" w:line="280" w:lineRule="exact"/>
        <w:ind w:left="1440"/>
        <w:jc w:val="both"/>
        <w:rPr>
          <w:rFonts w:ascii="Times New Roman" w:hAnsi="Times New Roman" w:cs="Times New Roman"/>
          <w:sz w:val="26"/>
          <w:szCs w:val="26"/>
        </w:rPr>
      </w:pPr>
      <w:r w:rsidRPr="00FD0DAE">
        <w:rPr>
          <w:rFonts w:ascii="Times New Roman" w:hAnsi="Times New Roman" w:cs="Times New Roman"/>
          <w:sz w:val="26"/>
          <w:szCs w:val="26"/>
        </w:rPr>
        <w:t>(a) the average excess of expenditure over the revenues during the two years immediately preceding the commencement of this Constitution in respect of the administration of the tribal areas specified in Part A of the table appended to paragraph 20 of the Sixth Schedule; and</w:t>
      </w:r>
    </w:p>
    <w:p w14:paraId="789AF6CF" w14:textId="77777777" w:rsidR="00B96BB7" w:rsidRPr="00FD0DAE" w:rsidRDefault="00B96BB7" w:rsidP="00FD0DAE">
      <w:pPr>
        <w:spacing w:after="0" w:line="280" w:lineRule="exact"/>
        <w:ind w:left="1440"/>
        <w:jc w:val="both"/>
        <w:rPr>
          <w:rFonts w:ascii="Times New Roman" w:hAnsi="Times New Roman" w:cs="Times New Roman"/>
          <w:sz w:val="26"/>
          <w:szCs w:val="26"/>
        </w:rPr>
      </w:pPr>
      <w:r w:rsidRPr="00FD0DAE">
        <w:rPr>
          <w:rFonts w:ascii="Times New Roman" w:hAnsi="Times New Roman" w:cs="Times New Roman"/>
          <w:sz w:val="26"/>
          <w:szCs w:val="26"/>
        </w:rPr>
        <w:t>(b) the cost of such schemes of development as may be undertaken by that State with the approval of the Government of India for the purpose of raising the level of administration of the said areas to that of the administration of the rest of the areas of that State.</w:t>
      </w:r>
    </w:p>
    <w:p w14:paraId="6BFB6306" w14:textId="77777777" w:rsidR="00B96BB7" w:rsidRPr="00FD0DAE" w:rsidRDefault="00B96BB7" w:rsidP="00FD0DAE">
      <w:pPr>
        <w:spacing w:line="280" w:lineRule="exact"/>
        <w:ind w:left="720"/>
        <w:jc w:val="both"/>
        <w:rPr>
          <w:rFonts w:ascii="Times New Roman" w:hAnsi="Times New Roman" w:cs="Times New Roman"/>
          <w:sz w:val="26"/>
          <w:szCs w:val="26"/>
        </w:rPr>
      </w:pPr>
      <w:r w:rsidRPr="00FD0DAE">
        <w:rPr>
          <w:rFonts w:ascii="Times New Roman" w:hAnsi="Times New Roman" w:cs="Times New Roman"/>
          <w:sz w:val="26"/>
          <w:szCs w:val="26"/>
        </w:rPr>
        <w:t>(2) Until provision is made by Parliament under clause (3), the powers conferred on Parliament under that clause shall be exercisable by the President by order and any order made by the President under this clause shall have effect subject to any provision so made by Parliament:</w:t>
      </w:r>
    </w:p>
    <w:p w14:paraId="3C17521C" w14:textId="1BC37879" w:rsidR="00B96BB7" w:rsidRPr="00FD0DAE" w:rsidRDefault="00B96BB7" w:rsidP="00FD0DAE">
      <w:pPr>
        <w:spacing w:line="280" w:lineRule="exact"/>
        <w:ind w:left="720" w:firstLine="273"/>
        <w:jc w:val="both"/>
        <w:rPr>
          <w:rFonts w:ascii="Times New Roman" w:hAnsi="Times New Roman" w:cs="Times New Roman"/>
          <w:sz w:val="26"/>
          <w:szCs w:val="26"/>
        </w:rPr>
      </w:pPr>
      <w:r w:rsidRPr="00FD0DAE">
        <w:rPr>
          <w:rFonts w:ascii="Times New Roman" w:hAnsi="Times New Roman" w:cs="Times New Roman"/>
          <w:sz w:val="26"/>
          <w:szCs w:val="26"/>
        </w:rPr>
        <w:t>Provided that after a Finance Commission has been constituted no order shall be made under this clause by the President except after considering the recommendations of the Finance Commission.</w:t>
      </w:r>
    </w:p>
    <w:p w14:paraId="65B5C740" w14:textId="77777777" w:rsidR="00B96BB7" w:rsidRPr="00FD0DAE" w:rsidRDefault="00B96BB7" w:rsidP="00FD0DAE">
      <w:pPr>
        <w:spacing w:line="280" w:lineRule="exact"/>
        <w:jc w:val="both"/>
        <w:rPr>
          <w:rFonts w:ascii="Times New Roman" w:hAnsi="Times New Roman" w:cs="Times New Roman"/>
          <w:sz w:val="26"/>
          <w:szCs w:val="26"/>
        </w:rPr>
      </w:pPr>
      <w:r w:rsidRPr="00FD0DAE">
        <w:rPr>
          <w:rFonts w:ascii="Times New Roman" w:hAnsi="Times New Roman" w:cs="Times New Roman"/>
          <w:b/>
          <w:bCs/>
          <w:sz w:val="26"/>
          <w:szCs w:val="26"/>
        </w:rPr>
        <w:t>Article 279—</w:t>
      </w:r>
    </w:p>
    <w:p w14:paraId="09A9BC3E" w14:textId="77777777" w:rsidR="00B96BB7" w:rsidRPr="00FD0DAE" w:rsidRDefault="00B96BB7" w:rsidP="00FD0DAE">
      <w:pPr>
        <w:spacing w:line="280" w:lineRule="exact"/>
        <w:ind w:left="720"/>
        <w:jc w:val="both"/>
        <w:rPr>
          <w:rFonts w:ascii="Times New Roman" w:hAnsi="Times New Roman" w:cs="Times New Roman"/>
          <w:sz w:val="26"/>
          <w:szCs w:val="26"/>
        </w:rPr>
      </w:pPr>
      <w:r w:rsidRPr="00FD0DAE">
        <w:rPr>
          <w:rFonts w:ascii="Times New Roman" w:hAnsi="Times New Roman" w:cs="Times New Roman"/>
          <w:sz w:val="26"/>
          <w:szCs w:val="26"/>
        </w:rPr>
        <w:t>(1) In the foregoing provisions of this Chapter, “net proceeds” means in relation to any tax or duty the proceeds thereof reduced by the cost of collection, and for the purposes of those provisions the net proceeds of any tax or duty, or of any part of any tax or duty, attributable to any area shall be ascertained and certified by the Comptroller and Auditor-General of India, whose certificate shall be final.</w:t>
      </w:r>
    </w:p>
    <w:p w14:paraId="60AC09B6" w14:textId="2D75E7B2" w:rsidR="00B96BB7" w:rsidRPr="00FD0DAE" w:rsidRDefault="00B96BB7" w:rsidP="00FD0DAE">
      <w:pPr>
        <w:spacing w:line="280" w:lineRule="exact"/>
        <w:ind w:left="720"/>
        <w:jc w:val="both"/>
        <w:rPr>
          <w:rFonts w:ascii="Times New Roman" w:hAnsi="Times New Roman" w:cs="Times New Roman"/>
          <w:sz w:val="26"/>
          <w:szCs w:val="26"/>
        </w:rPr>
      </w:pPr>
      <w:r w:rsidRPr="00FD0DAE">
        <w:rPr>
          <w:rFonts w:ascii="Times New Roman" w:hAnsi="Times New Roman" w:cs="Times New Roman"/>
          <w:sz w:val="26"/>
          <w:szCs w:val="26"/>
        </w:rPr>
        <w:lastRenderedPageBreak/>
        <w:t>(2) Subject as aforesaid, and to any other express provision of this Chapter, a law made by Parliament or an order of the President may, in any case where under this Part the proceeds of any duty or tax are, or may be, assigned to any State, provide for the manner in which the proceeds are to be calculated, for the time from or at which and the manner in which any payments are to be made, for the making of adjustments between one financial year and another, and for any other incidental or ancillary matters.</w:t>
      </w:r>
    </w:p>
    <w:p w14:paraId="42FD8074" w14:textId="77777777" w:rsidR="00B96BB7" w:rsidRPr="00FD0DAE" w:rsidRDefault="00B96BB7" w:rsidP="00FD0DAE">
      <w:pPr>
        <w:spacing w:line="280" w:lineRule="exact"/>
        <w:jc w:val="both"/>
        <w:rPr>
          <w:rFonts w:ascii="Times New Roman" w:hAnsi="Times New Roman" w:cs="Times New Roman"/>
          <w:sz w:val="26"/>
          <w:szCs w:val="26"/>
        </w:rPr>
      </w:pPr>
      <w:r w:rsidRPr="00FD0DAE">
        <w:rPr>
          <w:rFonts w:ascii="Times New Roman" w:hAnsi="Times New Roman" w:cs="Times New Roman"/>
          <w:b/>
          <w:bCs/>
          <w:sz w:val="26"/>
          <w:szCs w:val="26"/>
        </w:rPr>
        <w:t>Article 280—</w:t>
      </w:r>
    </w:p>
    <w:p w14:paraId="1235CD37" w14:textId="77777777" w:rsidR="00B96BB7" w:rsidRPr="00FD0DAE" w:rsidRDefault="00B96BB7" w:rsidP="00FD0DAE">
      <w:pPr>
        <w:spacing w:line="280" w:lineRule="exact"/>
        <w:ind w:left="720"/>
        <w:jc w:val="both"/>
        <w:rPr>
          <w:rFonts w:ascii="Times New Roman" w:hAnsi="Times New Roman" w:cs="Times New Roman"/>
          <w:sz w:val="26"/>
          <w:szCs w:val="26"/>
        </w:rPr>
      </w:pPr>
      <w:r w:rsidRPr="00FD0DAE">
        <w:rPr>
          <w:rFonts w:ascii="Times New Roman" w:hAnsi="Times New Roman" w:cs="Times New Roman"/>
          <w:sz w:val="26"/>
          <w:szCs w:val="26"/>
        </w:rPr>
        <w:t>(1) The President shall, within two years from the commencement of this Constitution and thereafter at the expiration of every fifth year or at such earlier time as the President considers necessary, by order constitute a Finance Commission which shall consist of a Chairman and four other members to be appointed by the President.</w:t>
      </w:r>
    </w:p>
    <w:p w14:paraId="350E801D" w14:textId="77777777" w:rsidR="00B96BB7" w:rsidRPr="00FD0DAE" w:rsidRDefault="00B96BB7" w:rsidP="00FD0DAE">
      <w:pPr>
        <w:spacing w:line="280" w:lineRule="exact"/>
        <w:ind w:left="720"/>
        <w:jc w:val="both"/>
        <w:rPr>
          <w:rFonts w:ascii="Times New Roman" w:hAnsi="Times New Roman" w:cs="Times New Roman"/>
          <w:sz w:val="26"/>
          <w:szCs w:val="26"/>
        </w:rPr>
      </w:pPr>
      <w:r w:rsidRPr="00FD0DAE">
        <w:rPr>
          <w:rFonts w:ascii="Times New Roman" w:hAnsi="Times New Roman" w:cs="Times New Roman"/>
          <w:sz w:val="26"/>
          <w:szCs w:val="26"/>
        </w:rPr>
        <w:t>(2) Parliament may by law determine the qualifications which shall be requisite for appointment as members of the Commission and the manner in which they shall be selected.</w:t>
      </w:r>
    </w:p>
    <w:p w14:paraId="085596CE" w14:textId="77777777" w:rsidR="00B96BB7" w:rsidRPr="00FD0DAE" w:rsidRDefault="00B96BB7" w:rsidP="00FD0DAE">
      <w:pPr>
        <w:spacing w:line="280" w:lineRule="exact"/>
        <w:ind w:left="720"/>
        <w:jc w:val="both"/>
        <w:rPr>
          <w:rFonts w:ascii="Times New Roman" w:hAnsi="Times New Roman" w:cs="Times New Roman"/>
          <w:sz w:val="26"/>
          <w:szCs w:val="26"/>
        </w:rPr>
      </w:pPr>
      <w:r w:rsidRPr="00FD0DAE">
        <w:rPr>
          <w:rFonts w:ascii="Times New Roman" w:hAnsi="Times New Roman" w:cs="Times New Roman"/>
          <w:sz w:val="26"/>
          <w:szCs w:val="26"/>
        </w:rPr>
        <w:t>(3) It shall be the duty of the Commission to make recommendations to the President as to—</w:t>
      </w:r>
    </w:p>
    <w:p w14:paraId="56870E23" w14:textId="77777777" w:rsidR="00B96BB7" w:rsidRPr="00FD0DAE" w:rsidRDefault="00B96BB7" w:rsidP="00FD0DAE">
      <w:pPr>
        <w:spacing w:after="0" w:line="280" w:lineRule="exact"/>
        <w:ind w:left="1440"/>
        <w:jc w:val="both"/>
        <w:rPr>
          <w:rFonts w:ascii="Times New Roman" w:hAnsi="Times New Roman" w:cs="Times New Roman"/>
          <w:sz w:val="26"/>
          <w:szCs w:val="26"/>
        </w:rPr>
      </w:pPr>
      <w:r w:rsidRPr="00FD0DAE">
        <w:rPr>
          <w:rFonts w:ascii="Times New Roman" w:hAnsi="Times New Roman" w:cs="Times New Roman"/>
          <w:sz w:val="26"/>
          <w:szCs w:val="26"/>
        </w:rPr>
        <w:t>(a) the distribution between the Union and the States of the net proceeds of taxes which are to be, or may be, divided between them under this Chapter and the allocation between the States of the respective shares of such proceeds;</w:t>
      </w:r>
    </w:p>
    <w:p w14:paraId="1636427D" w14:textId="77777777" w:rsidR="00B96BB7" w:rsidRPr="00FD0DAE" w:rsidRDefault="00B96BB7" w:rsidP="00FD0DAE">
      <w:pPr>
        <w:spacing w:after="0" w:line="280" w:lineRule="exact"/>
        <w:ind w:left="1440"/>
        <w:jc w:val="both"/>
        <w:rPr>
          <w:rFonts w:ascii="Times New Roman" w:hAnsi="Times New Roman" w:cs="Times New Roman"/>
          <w:sz w:val="26"/>
          <w:szCs w:val="26"/>
        </w:rPr>
      </w:pPr>
      <w:r w:rsidRPr="00FD0DAE">
        <w:rPr>
          <w:rFonts w:ascii="Times New Roman" w:hAnsi="Times New Roman" w:cs="Times New Roman"/>
          <w:sz w:val="26"/>
          <w:szCs w:val="26"/>
        </w:rPr>
        <w:t>(b) the principles which should govern the grants-in-aid of the revenues of the States out of the Consolidated Fund of India;</w:t>
      </w:r>
    </w:p>
    <w:p w14:paraId="3AA16CDC" w14:textId="77777777" w:rsidR="00B96BB7" w:rsidRPr="00FD0DAE" w:rsidRDefault="00B96BB7" w:rsidP="00FD0DAE">
      <w:pPr>
        <w:spacing w:after="0" w:line="280" w:lineRule="exact"/>
        <w:ind w:left="1440"/>
        <w:jc w:val="both"/>
        <w:rPr>
          <w:rFonts w:ascii="Times New Roman" w:hAnsi="Times New Roman" w:cs="Times New Roman"/>
          <w:sz w:val="26"/>
          <w:szCs w:val="26"/>
        </w:rPr>
      </w:pPr>
      <w:r w:rsidRPr="00FD0DAE">
        <w:rPr>
          <w:rFonts w:ascii="Times New Roman" w:hAnsi="Times New Roman" w:cs="Times New Roman"/>
          <w:sz w:val="26"/>
          <w:szCs w:val="26"/>
        </w:rPr>
        <w:t>(c) any other matter referred to the Commission by the President in the interests of sound finance.</w:t>
      </w:r>
    </w:p>
    <w:p w14:paraId="5DD9F748" w14:textId="77777777" w:rsidR="00B96BB7" w:rsidRPr="00FD0DAE" w:rsidRDefault="00B96BB7" w:rsidP="00FD0DAE">
      <w:pPr>
        <w:spacing w:line="280" w:lineRule="exact"/>
        <w:ind w:left="720"/>
        <w:jc w:val="both"/>
        <w:rPr>
          <w:rFonts w:ascii="Times New Roman" w:hAnsi="Times New Roman" w:cs="Times New Roman"/>
          <w:sz w:val="26"/>
          <w:szCs w:val="26"/>
        </w:rPr>
      </w:pPr>
      <w:r w:rsidRPr="00FD0DAE">
        <w:rPr>
          <w:rFonts w:ascii="Times New Roman" w:hAnsi="Times New Roman" w:cs="Times New Roman"/>
          <w:sz w:val="26"/>
          <w:szCs w:val="26"/>
        </w:rPr>
        <w:t>(4) The Commission shall determine their procedure and shall have such powers in the performance of their functions as Parliament may by law confer on them.</w:t>
      </w:r>
    </w:p>
    <w:p w14:paraId="228D7EE0" w14:textId="77777777" w:rsidR="00B96BB7" w:rsidRPr="00FD0DAE" w:rsidRDefault="00B96BB7" w:rsidP="00FD0DAE">
      <w:pPr>
        <w:spacing w:line="280" w:lineRule="exact"/>
        <w:jc w:val="both"/>
        <w:rPr>
          <w:rFonts w:ascii="Times New Roman" w:hAnsi="Times New Roman" w:cs="Times New Roman"/>
          <w:sz w:val="26"/>
          <w:szCs w:val="26"/>
        </w:rPr>
      </w:pPr>
      <w:r w:rsidRPr="00FD0DAE">
        <w:rPr>
          <w:rFonts w:ascii="Times New Roman" w:hAnsi="Times New Roman" w:cs="Times New Roman"/>
          <w:b/>
          <w:bCs/>
          <w:sz w:val="26"/>
          <w:szCs w:val="26"/>
        </w:rPr>
        <w:t>Article 281—</w:t>
      </w:r>
    </w:p>
    <w:p w14:paraId="29492C58" w14:textId="77777777" w:rsidR="00B96BB7" w:rsidRPr="00FD0DAE" w:rsidRDefault="00B96BB7" w:rsidP="00FD0DAE">
      <w:pPr>
        <w:spacing w:line="280" w:lineRule="exact"/>
        <w:ind w:left="720"/>
        <w:jc w:val="both"/>
        <w:rPr>
          <w:rFonts w:ascii="Times New Roman" w:hAnsi="Times New Roman" w:cs="Times New Roman"/>
          <w:sz w:val="26"/>
          <w:szCs w:val="26"/>
        </w:rPr>
      </w:pPr>
      <w:r w:rsidRPr="00FD0DAE">
        <w:rPr>
          <w:rFonts w:ascii="Times New Roman" w:hAnsi="Times New Roman" w:cs="Times New Roman"/>
          <w:sz w:val="26"/>
          <w:szCs w:val="26"/>
        </w:rPr>
        <w:t>The President shall cause every recommendation made by the Finance Commission under the provisions of this Constitution together with an explanatory memorandum as to the action taken thereon to be laid before each House of Parliament.</w:t>
      </w:r>
    </w:p>
    <w:p w14:paraId="14C9E92B" w14:textId="77777777" w:rsidR="00B96BB7" w:rsidRPr="00FD0DAE" w:rsidRDefault="00B96BB7" w:rsidP="00FD0DAE">
      <w:pPr>
        <w:spacing w:line="280" w:lineRule="exact"/>
        <w:jc w:val="both"/>
        <w:rPr>
          <w:rFonts w:ascii="Times New Roman" w:hAnsi="Times New Roman" w:cs="Times New Roman"/>
          <w:sz w:val="26"/>
          <w:szCs w:val="26"/>
        </w:rPr>
      </w:pPr>
      <w:r w:rsidRPr="00FD0DAE">
        <w:rPr>
          <w:rFonts w:ascii="Times New Roman" w:hAnsi="Times New Roman" w:cs="Times New Roman"/>
          <w:b/>
          <w:bCs/>
          <w:sz w:val="26"/>
          <w:szCs w:val="26"/>
        </w:rPr>
        <w:t>Article 282—</w:t>
      </w:r>
    </w:p>
    <w:p w14:paraId="7C71E0A7" w14:textId="1A52BDCF" w:rsidR="00FD0DAE" w:rsidRPr="00FD0DAE" w:rsidRDefault="00B96BB7" w:rsidP="00FD0DAE">
      <w:pPr>
        <w:spacing w:line="280" w:lineRule="exact"/>
        <w:ind w:left="720"/>
        <w:jc w:val="both"/>
        <w:rPr>
          <w:rFonts w:ascii="Times New Roman" w:hAnsi="Times New Roman" w:cs="Times New Roman"/>
          <w:sz w:val="26"/>
          <w:szCs w:val="26"/>
        </w:rPr>
      </w:pPr>
      <w:r w:rsidRPr="00FD0DAE">
        <w:rPr>
          <w:rFonts w:ascii="Times New Roman" w:hAnsi="Times New Roman" w:cs="Times New Roman"/>
          <w:sz w:val="26"/>
          <w:szCs w:val="26"/>
        </w:rPr>
        <w:t>The Union or a State may make any grants for any public purpose, notwithstanding that the purpose is not one with respect to which Parliament or the Legislature of the State, as the case may be, may make laws.</w:t>
      </w:r>
    </w:p>
    <w:p w14:paraId="3A877F24" w14:textId="77777777" w:rsidR="00FD0DAE" w:rsidRDefault="00FD0DAE">
      <w:pPr>
        <w:rPr>
          <w:rFonts w:ascii="Times New Roman" w:hAnsi="Times New Roman" w:cs="Times New Roman"/>
        </w:rPr>
      </w:pPr>
      <w:r>
        <w:rPr>
          <w:rFonts w:ascii="Times New Roman" w:hAnsi="Times New Roman" w:cs="Times New Roman"/>
        </w:rPr>
        <w:br w:type="page"/>
      </w:r>
    </w:p>
    <w:p w14:paraId="1FD00920" w14:textId="6B2FB955" w:rsidR="00616C55" w:rsidRPr="007245B0" w:rsidRDefault="00616C55" w:rsidP="00FD0DAE">
      <w:pPr>
        <w:pStyle w:val="Heading2"/>
      </w:pPr>
      <w:bookmarkStart w:id="25" w:name="_Toc220949677"/>
      <w:bookmarkStart w:id="26" w:name="_Toc221115300"/>
      <w:r w:rsidRPr="007245B0">
        <w:lastRenderedPageBreak/>
        <w:t>APPENDIX II</w:t>
      </w:r>
      <w:r w:rsidR="00FD0DAE">
        <w:t xml:space="preserve"> </w:t>
      </w:r>
      <w:r w:rsidR="00FD0DAE">
        <w:br/>
      </w:r>
      <w:r w:rsidRPr="007245B0">
        <w:t>DATES OF DISCUSSIONS WITH STATE GOVERNMENTS AND CENTRAL GOVERNMENT MINISTRIES</w:t>
      </w:r>
      <w:r w:rsidR="000A3A8F" w:rsidRPr="007245B0">
        <w:t>.</w:t>
      </w:r>
      <w:bookmarkEnd w:id="25"/>
      <w:bookmarkEnd w:id="26"/>
    </w:p>
    <w:p w14:paraId="6C12704D" w14:textId="77777777" w:rsidR="000A3A8F" w:rsidRPr="00FD0DAE" w:rsidRDefault="000A3A8F" w:rsidP="00FD0DAE">
      <w:pPr>
        <w:pStyle w:val="NoSpacing"/>
        <w:spacing w:after="240"/>
        <w:rPr>
          <w:rFonts w:ascii="Times New Roman" w:hAnsi="Times New Roman" w:cs="Times New Roman"/>
          <w:b/>
          <w:bCs/>
          <w:sz w:val="26"/>
          <w:szCs w:val="26"/>
        </w:rPr>
      </w:pPr>
      <w:r w:rsidRPr="00FD0DAE">
        <w:rPr>
          <w:rFonts w:ascii="Times New Roman" w:hAnsi="Times New Roman" w:cs="Times New Roman"/>
          <w:b/>
          <w:bCs/>
          <w:sz w:val="26"/>
          <w:szCs w:val="26"/>
        </w:rPr>
        <w:t>(A) Discussions with State Governments at State Headquarters</w:t>
      </w:r>
    </w:p>
    <w:tbl>
      <w:tblPr>
        <w:tblStyle w:val="TableGrid"/>
        <w:tblW w:w="7609" w:type="dxa"/>
        <w:jc w:val="center"/>
        <w:shd w:val="clear" w:color="auto" w:fill="FFFFFF" w:themeFill="background1"/>
        <w:tblLook w:val="04A0" w:firstRow="1" w:lastRow="0" w:firstColumn="1" w:lastColumn="0" w:noHBand="0" w:noVBand="1"/>
      </w:tblPr>
      <w:tblGrid>
        <w:gridCol w:w="2824"/>
        <w:gridCol w:w="4785"/>
      </w:tblGrid>
      <w:tr w:rsidR="000A3A8F" w:rsidRPr="00FD0DAE" w14:paraId="21457A60" w14:textId="77777777" w:rsidTr="00FD0DAE">
        <w:trPr>
          <w:trHeight w:val="286"/>
          <w:jc w:val="center"/>
        </w:trPr>
        <w:tc>
          <w:tcPr>
            <w:tcW w:w="0" w:type="auto"/>
            <w:shd w:val="clear" w:color="auto" w:fill="FFFFFF" w:themeFill="background1"/>
            <w:hideMark/>
          </w:tcPr>
          <w:p w14:paraId="16A888A1" w14:textId="77777777" w:rsidR="000A3A8F" w:rsidRPr="00FD0DAE" w:rsidRDefault="000A3A8F" w:rsidP="000A3A8F">
            <w:pPr>
              <w:pStyle w:val="NoSpacing"/>
              <w:rPr>
                <w:rFonts w:ascii="Times New Roman" w:hAnsi="Times New Roman" w:cs="Times New Roman"/>
                <w:sz w:val="26"/>
                <w:szCs w:val="26"/>
              </w:rPr>
            </w:pPr>
            <w:r w:rsidRPr="00FD0DAE">
              <w:rPr>
                <w:rFonts w:ascii="Times New Roman" w:hAnsi="Times New Roman" w:cs="Times New Roman"/>
                <w:sz w:val="26"/>
                <w:szCs w:val="26"/>
              </w:rPr>
              <w:t>Punjab</w:t>
            </w:r>
          </w:p>
        </w:tc>
        <w:tc>
          <w:tcPr>
            <w:tcW w:w="0" w:type="auto"/>
            <w:shd w:val="clear" w:color="auto" w:fill="FFFFFF" w:themeFill="background1"/>
            <w:hideMark/>
          </w:tcPr>
          <w:p w14:paraId="5A8E5450" w14:textId="77777777" w:rsidR="000A3A8F" w:rsidRPr="00FD0DAE" w:rsidRDefault="000A3A8F" w:rsidP="000A3A8F">
            <w:pPr>
              <w:pStyle w:val="NoSpacing"/>
              <w:rPr>
                <w:rFonts w:ascii="Times New Roman" w:hAnsi="Times New Roman" w:cs="Times New Roman"/>
                <w:sz w:val="26"/>
                <w:szCs w:val="26"/>
              </w:rPr>
            </w:pPr>
            <w:r w:rsidRPr="00FD0DAE">
              <w:rPr>
                <w:rFonts w:ascii="Times New Roman" w:hAnsi="Times New Roman" w:cs="Times New Roman"/>
                <w:sz w:val="26"/>
                <w:szCs w:val="26"/>
              </w:rPr>
              <w:t>18th, 20th and 21st November, 1968</w:t>
            </w:r>
          </w:p>
        </w:tc>
      </w:tr>
      <w:tr w:rsidR="000A3A8F" w:rsidRPr="00FD0DAE" w14:paraId="55250F46" w14:textId="77777777" w:rsidTr="00FD0DAE">
        <w:trPr>
          <w:trHeight w:val="299"/>
          <w:jc w:val="center"/>
        </w:trPr>
        <w:tc>
          <w:tcPr>
            <w:tcW w:w="0" w:type="auto"/>
            <w:shd w:val="clear" w:color="auto" w:fill="FFFFFF" w:themeFill="background1"/>
            <w:hideMark/>
          </w:tcPr>
          <w:p w14:paraId="01746B47" w14:textId="77777777" w:rsidR="000A3A8F" w:rsidRPr="00FD0DAE" w:rsidRDefault="000A3A8F" w:rsidP="000A3A8F">
            <w:pPr>
              <w:pStyle w:val="NoSpacing"/>
              <w:rPr>
                <w:rFonts w:ascii="Times New Roman" w:hAnsi="Times New Roman" w:cs="Times New Roman"/>
                <w:sz w:val="26"/>
                <w:szCs w:val="26"/>
              </w:rPr>
            </w:pPr>
            <w:r w:rsidRPr="00FD0DAE">
              <w:rPr>
                <w:rFonts w:ascii="Times New Roman" w:hAnsi="Times New Roman" w:cs="Times New Roman"/>
                <w:sz w:val="26"/>
                <w:szCs w:val="26"/>
              </w:rPr>
              <w:t>Haryana</w:t>
            </w:r>
          </w:p>
        </w:tc>
        <w:tc>
          <w:tcPr>
            <w:tcW w:w="0" w:type="auto"/>
            <w:shd w:val="clear" w:color="auto" w:fill="FFFFFF" w:themeFill="background1"/>
            <w:hideMark/>
          </w:tcPr>
          <w:p w14:paraId="6A443152" w14:textId="77777777" w:rsidR="000A3A8F" w:rsidRPr="00FD0DAE" w:rsidRDefault="000A3A8F" w:rsidP="000A3A8F">
            <w:pPr>
              <w:pStyle w:val="NoSpacing"/>
              <w:rPr>
                <w:rFonts w:ascii="Times New Roman" w:hAnsi="Times New Roman" w:cs="Times New Roman"/>
                <w:sz w:val="26"/>
                <w:szCs w:val="26"/>
              </w:rPr>
            </w:pPr>
            <w:r w:rsidRPr="00FD0DAE">
              <w:rPr>
                <w:rFonts w:ascii="Times New Roman" w:hAnsi="Times New Roman" w:cs="Times New Roman"/>
                <w:sz w:val="26"/>
                <w:szCs w:val="26"/>
              </w:rPr>
              <w:t>19th and 21st November, 1968</w:t>
            </w:r>
          </w:p>
        </w:tc>
      </w:tr>
      <w:tr w:rsidR="000A3A8F" w:rsidRPr="00FD0DAE" w14:paraId="699822F2" w14:textId="77777777" w:rsidTr="00FD0DAE">
        <w:trPr>
          <w:trHeight w:val="286"/>
          <w:jc w:val="center"/>
        </w:trPr>
        <w:tc>
          <w:tcPr>
            <w:tcW w:w="0" w:type="auto"/>
            <w:shd w:val="clear" w:color="auto" w:fill="FFFFFF" w:themeFill="background1"/>
            <w:hideMark/>
          </w:tcPr>
          <w:p w14:paraId="09C7D8BC" w14:textId="77777777" w:rsidR="000A3A8F" w:rsidRPr="00FD0DAE" w:rsidRDefault="000A3A8F" w:rsidP="000A3A8F">
            <w:pPr>
              <w:pStyle w:val="NoSpacing"/>
              <w:rPr>
                <w:rFonts w:ascii="Times New Roman" w:hAnsi="Times New Roman" w:cs="Times New Roman"/>
                <w:sz w:val="26"/>
                <w:szCs w:val="26"/>
              </w:rPr>
            </w:pPr>
            <w:r w:rsidRPr="00FD0DAE">
              <w:rPr>
                <w:rFonts w:ascii="Times New Roman" w:hAnsi="Times New Roman" w:cs="Times New Roman"/>
                <w:sz w:val="26"/>
                <w:szCs w:val="26"/>
              </w:rPr>
              <w:t>Assam</w:t>
            </w:r>
          </w:p>
        </w:tc>
        <w:tc>
          <w:tcPr>
            <w:tcW w:w="0" w:type="auto"/>
            <w:shd w:val="clear" w:color="auto" w:fill="FFFFFF" w:themeFill="background1"/>
            <w:hideMark/>
          </w:tcPr>
          <w:p w14:paraId="52D251C7" w14:textId="77777777" w:rsidR="000A3A8F" w:rsidRPr="00FD0DAE" w:rsidRDefault="000A3A8F" w:rsidP="000A3A8F">
            <w:pPr>
              <w:pStyle w:val="NoSpacing"/>
              <w:rPr>
                <w:rFonts w:ascii="Times New Roman" w:hAnsi="Times New Roman" w:cs="Times New Roman"/>
                <w:sz w:val="26"/>
                <w:szCs w:val="26"/>
              </w:rPr>
            </w:pPr>
            <w:r w:rsidRPr="00FD0DAE">
              <w:rPr>
                <w:rFonts w:ascii="Times New Roman" w:hAnsi="Times New Roman" w:cs="Times New Roman"/>
                <w:sz w:val="26"/>
                <w:szCs w:val="26"/>
              </w:rPr>
              <w:t>2nd and 3rd December, 1968</w:t>
            </w:r>
          </w:p>
        </w:tc>
      </w:tr>
      <w:tr w:rsidR="000A3A8F" w:rsidRPr="00FD0DAE" w14:paraId="38DB53D4" w14:textId="77777777" w:rsidTr="00FD0DAE">
        <w:trPr>
          <w:trHeight w:val="286"/>
          <w:jc w:val="center"/>
        </w:trPr>
        <w:tc>
          <w:tcPr>
            <w:tcW w:w="0" w:type="auto"/>
            <w:shd w:val="clear" w:color="auto" w:fill="FFFFFF" w:themeFill="background1"/>
            <w:hideMark/>
          </w:tcPr>
          <w:p w14:paraId="0C818E16" w14:textId="77777777" w:rsidR="000A3A8F" w:rsidRPr="00FD0DAE" w:rsidRDefault="000A3A8F" w:rsidP="000A3A8F">
            <w:pPr>
              <w:pStyle w:val="NoSpacing"/>
              <w:rPr>
                <w:rFonts w:ascii="Times New Roman" w:hAnsi="Times New Roman" w:cs="Times New Roman"/>
                <w:sz w:val="26"/>
                <w:szCs w:val="26"/>
              </w:rPr>
            </w:pPr>
            <w:r w:rsidRPr="00FD0DAE">
              <w:rPr>
                <w:rFonts w:ascii="Times New Roman" w:hAnsi="Times New Roman" w:cs="Times New Roman"/>
                <w:sz w:val="26"/>
                <w:szCs w:val="26"/>
              </w:rPr>
              <w:t>Rajasthan</w:t>
            </w:r>
          </w:p>
        </w:tc>
        <w:tc>
          <w:tcPr>
            <w:tcW w:w="0" w:type="auto"/>
            <w:shd w:val="clear" w:color="auto" w:fill="FFFFFF" w:themeFill="background1"/>
            <w:hideMark/>
          </w:tcPr>
          <w:p w14:paraId="6134923F" w14:textId="77777777" w:rsidR="000A3A8F" w:rsidRPr="00FD0DAE" w:rsidRDefault="000A3A8F" w:rsidP="000A3A8F">
            <w:pPr>
              <w:pStyle w:val="NoSpacing"/>
              <w:rPr>
                <w:rFonts w:ascii="Times New Roman" w:hAnsi="Times New Roman" w:cs="Times New Roman"/>
                <w:sz w:val="26"/>
                <w:szCs w:val="26"/>
              </w:rPr>
            </w:pPr>
            <w:r w:rsidRPr="00FD0DAE">
              <w:rPr>
                <w:rFonts w:ascii="Times New Roman" w:hAnsi="Times New Roman" w:cs="Times New Roman"/>
                <w:sz w:val="26"/>
                <w:szCs w:val="26"/>
              </w:rPr>
              <w:t>16th and 17th December, 1968</w:t>
            </w:r>
          </w:p>
        </w:tc>
      </w:tr>
      <w:tr w:rsidR="000A3A8F" w:rsidRPr="00FD0DAE" w14:paraId="326170CD" w14:textId="77777777" w:rsidTr="00FD0DAE">
        <w:trPr>
          <w:trHeight w:val="286"/>
          <w:jc w:val="center"/>
        </w:trPr>
        <w:tc>
          <w:tcPr>
            <w:tcW w:w="0" w:type="auto"/>
            <w:shd w:val="clear" w:color="auto" w:fill="FFFFFF" w:themeFill="background1"/>
            <w:hideMark/>
          </w:tcPr>
          <w:p w14:paraId="512BB6CB" w14:textId="77777777" w:rsidR="000A3A8F" w:rsidRPr="00FD0DAE" w:rsidRDefault="000A3A8F" w:rsidP="000A3A8F">
            <w:pPr>
              <w:pStyle w:val="NoSpacing"/>
              <w:rPr>
                <w:rFonts w:ascii="Times New Roman" w:hAnsi="Times New Roman" w:cs="Times New Roman"/>
                <w:sz w:val="26"/>
                <w:szCs w:val="26"/>
              </w:rPr>
            </w:pPr>
            <w:r w:rsidRPr="00FD0DAE">
              <w:rPr>
                <w:rFonts w:ascii="Times New Roman" w:hAnsi="Times New Roman" w:cs="Times New Roman"/>
                <w:sz w:val="26"/>
                <w:szCs w:val="26"/>
              </w:rPr>
              <w:t>Mysore</w:t>
            </w:r>
          </w:p>
        </w:tc>
        <w:tc>
          <w:tcPr>
            <w:tcW w:w="0" w:type="auto"/>
            <w:shd w:val="clear" w:color="auto" w:fill="FFFFFF" w:themeFill="background1"/>
            <w:hideMark/>
          </w:tcPr>
          <w:p w14:paraId="15106E3A" w14:textId="77777777" w:rsidR="000A3A8F" w:rsidRPr="00FD0DAE" w:rsidRDefault="000A3A8F" w:rsidP="000A3A8F">
            <w:pPr>
              <w:pStyle w:val="NoSpacing"/>
              <w:rPr>
                <w:rFonts w:ascii="Times New Roman" w:hAnsi="Times New Roman" w:cs="Times New Roman"/>
                <w:sz w:val="26"/>
                <w:szCs w:val="26"/>
              </w:rPr>
            </w:pPr>
            <w:r w:rsidRPr="00FD0DAE">
              <w:rPr>
                <w:rFonts w:ascii="Times New Roman" w:hAnsi="Times New Roman" w:cs="Times New Roman"/>
                <w:sz w:val="26"/>
                <w:szCs w:val="26"/>
              </w:rPr>
              <w:t>3rd and 4th January, 1969</w:t>
            </w:r>
          </w:p>
        </w:tc>
      </w:tr>
      <w:tr w:rsidR="000A3A8F" w:rsidRPr="00FD0DAE" w14:paraId="65BE6C8E" w14:textId="77777777" w:rsidTr="00FD0DAE">
        <w:trPr>
          <w:trHeight w:val="286"/>
          <w:jc w:val="center"/>
        </w:trPr>
        <w:tc>
          <w:tcPr>
            <w:tcW w:w="0" w:type="auto"/>
            <w:shd w:val="clear" w:color="auto" w:fill="FFFFFF" w:themeFill="background1"/>
            <w:hideMark/>
          </w:tcPr>
          <w:p w14:paraId="5F31381F" w14:textId="77777777" w:rsidR="000A3A8F" w:rsidRPr="00FD0DAE" w:rsidRDefault="000A3A8F" w:rsidP="000A3A8F">
            <w:pPr>
              <w:pStyle w:val="NoSpacing"/>
              <w:rPr>
                <w:rFonts w:ascii="Times New Roman" w:hAnsi="Times New Roman" w:cs="Times New Roman"/>
                <w:sz w:val="26"/>
                <w:szCs w:val="26"/>
              </w:rPr>
            </w:pPr>
            <w:r w:rsidRPr="00FD0DAE">
              <w:rPr>
                <w:rFonts w:ascii="Times New Roman" w:hAnsi="Times New Roman" w:cs="Times New Roman"/>
                <w:sz w:val="26"/>
                <w:szCs w:val="26"/>
              </w:rPr>
              <w:t>Tamil Nadu</w:t>
            </w:r>
          </w:p>
        </w:tc>
        <w:tc>
          <w:tcPr>
            <w:tcW w:w="0" w:type="auto"/>
            <w:shd w:val="clear" w:color="auto" w:fill="FFFFFF" w:themeFill="background1"/>
            <w:hideMark/>
          </w:tcPr>
          <w:p w14:paraId="7E42DA52" w14:textId="77777777" w:rsidR="000A3A8F" w:rsidRPr="00FD0DAE" w:rsidRDefault="000A3A8F" w:rsidP="000A3A8F">
            <w:pPr>
              <w:pStyle w:val="NoSpacing"/>
              <w:rPr>
                <w:rFonts w:ascii="Times New Roman" w:hAnsi="Times New Roman" w:cs="Times New Roman"/>
                <w:sz w:val="26"/>
                <w:szCs w:val="26"/>
              </w:rPr>
            </w:pPr>
            <w:r w:rsidRPr="00FD0DAE">
              <w:rPr>
                <w:rFonts w:ascii="Times New Roman" w:hAnsi="Times New Roman" w:cs="Times New Roman"/>
                <w:sz w:val="26"/>
                <w:szCs w:val="26"/>
              </w:rPr>
              <w:t>6th and 7th January, 1969</w:t>
            </w:r>
          </w:p>
        </w:tc>
      </w:tr>
      <w:tr w:rsidR="000A3A8F" w:rsidRPr="00FD0DAE" w14:paraId="04FBF7B0" w14:textId="77777777" w:rsidTr="00FD0DAE">
        <w:trPr>
          <w:trHeight w:val="299"/>
          <w:jc w:val="center"/>
        </w:trPr>
        <w:tc>
          <w:tcPr>
            <w:tcW w:w="0" w:type="auto"/>
            <w:shd w:val="clear" w:color="auto" w:fill="FFFFFF" w:themeFill="background1"/>
            <w:hideMark/>
          </w:tcPr>
          <w:p w14:paraId="55576BA9" w14:textId="77777777" w:rsidR="000A3A8F" w:rsidRPr="00FD0DAE" w:rsidRDefault="000A3A8F" w:rsidP="000A3A8F">
            <w:pPr>
              <w:pStyle w:val="NoSpacing"/>
              <w:rPr>
                <w:rFonts w:ascii="Times New Roman" w:hAnsi="Times New Roman" w:cs="Times New Roman"/>
                <w:sz w:val="26"/>
                <w:szCs w:val="26"/>
              </w:rPr>
            </w:pPr>
            <w:r w:rsidRPr="00FD0DAE">
              <w:rPr>
                <w:rFonts w:ascii="Times New Roman" w:hAnsi="Times New Roman" w:cs="Times New Roman"/>
                <w:sz w:val="26"/>
                <w:szCs w:val="26"/>
              </w:rPr>
              <w:t>Kerala</w:t>
            </w:r>
          </w:p>
        </w:tc>
        <w:tc>
          <w:tcPr>
            <w:tcW w:w="0" w:type="auto"/>
            <w:shd w:val="clear" w:color="auto" w:fill="FFFFFF" w:themeFill="background1"/>
            <w:hideMark/>
          </w:tcPr>
          <w:p w14:paraId="15CA17B3" w14:textId="77777777" w:rsidR="000A3A8F" w:rsidRPr="00FD0DAE" w:rsidRDefault="000A3A8F" w:rsidP="000A3A8F">
            <w:pPr>
              <w:pStyle w:val="NoSpacing"/>
              <w:rPr>
                <w:rFonts w:ascii="Times New Roman" w:hAnsi="Times New Roman" w:cs="Times New Roman"/>
                <w:sz w:val="26"/>
                <w:szCs w:val="26"/>
              </w:rPr>
            </w:pPr>
            <w:r w:rsidRPr="00FD0DAE">
              <w:rPr>
                <w:rFonts w:ascii="Times New Roman" w:hAnsi="Times New Roman" w:cs="Times New Roman"/>
                <w:sz w:val="26"/>
                <w:szCs w:val="26"/>
              </w:rPr>
              <w:t>9th and 10th January, 1969</w:t>
            </w:r>
          </w:p>
        </w:tc>
      </w:tr>
      <w:tr w:rsidR="000A3A8F" w:rsidRPr="00FD0DAE" w14:paraId="70D52723" w14:textId="77777777" w:rsidTr="00FD0DAE">
        <w:trPr>
          <w:trHeight w:val="286"/>
          <w:jc w:val="center"/>
        </w:trPr>
        <w:tc>
          <w:tcPr>
            <w:tcW w:w="0" w:type="auto"/>
            <w:shd w:val="clear" w:color="auto" w:fill="FFFFFF" w:themeFill="background1"/>
            <w:hideMark/>
          </w:tcPr>
          <w:p w14:paraId="5159BD41" w14:textId="77777777" w:rsidR="000A3A8F" w:rsidRPr="00FD0DAE" w:rsidRDefault="000A3A8F" w:rsidP="000A3A8F">
            <w:pPr>
              <w:pStyle w:val="NoSpacing"/>
              <w:rPr>
                <w:rFonts w:ascii="Times New Roman" w:hAnsi="Times New Roman" w:cs="Times New Roman"/>
                <w:sz w:val="26"/>
                <w:szCs w:val="26"/>
              </w:rPr>
            </w:pPr>
            <w:r w:rsidRPr="00FD0DAE">
              <w:rPr>
                <w:rFonts w:ascii="Times New Roman" w:hAnsi="Times New Roman" w:cs="Times New Roman"/>
                <w:sz w:val="26"/>
                <w:szCs w:val="26"/>
              </w:rPr>
              <w:t>Uttar Pradesh</w:t>
            </w:r>
          </w:p>
        </w:tc>
        <w:tc>
          <w:tcPr>
            <w:tcW w:w="0" w:type="auto"/>
            <w:shd w:val="clear" w:color="auto" w:fill="FFFFFF" w:themeFill="background1"/>
            <w:hideMark/>
          </w:tcPr>
          <w:p w14:paraId="7ABE47CB" w14:textId="77777777" w:rsidR="000A3A8F" w:rsidRPr="00FD0DAE" w:rsidRDefault="000A3A8F" w:rsidP="000A3A8F">
            <w:pPr>
              <w:pStyle w:val="NoSpacing"/>
              <w:rPr>
                <w:rFonts w:ascii="Times New Roman" w:hAnsi="Times New Roman" w:cs="Times New Roman"/>
                <w:sz w:val="26"/>
                <w:szCs w:val="26"/>
              </w:rPr>
            </w:pPr>
            <w:r w:rsidRPr="00FD0DAE">
              <w:rPr>
                <w:rFonts w:ascii="Times New Roman" w:hAnsi="Times New Roman" w:cs="Times New Roman"/>
                <w:sz w:val="26"/>
                <w:szCs w:val="26"/>
              </w:rPr>
              <w:t>17th and 18th January, 1969</w:t>
            </w:r>
          </w:p>
        </w:tc>
      </w:tr>
      <w:tr w:rsidR="000A3A8F" w:rsidRPr="00FD0DAE" w14:paraId="13AAEB70" w14:textId="77777777" w:rsidTr="00FD0DAE">
        <w:trPr>
          <w:trHeight w:val="286"/>
          <w:jc w:val="center"/>
        </w:trPr>
        <w:tc>
          <w:tcPr>
            <w:tcW w:w="0" w:type="auto"/>
            <w:shd w:val="clear" w:color="auto" w:fill="FFFFFF" w:themeFill="background1"/>
            <w:hideMark/>
          </w:tcPr>
          <w:p w14:paraId="3C4B553D" w14:textId="77777777" w:rsidR="000A3A8F" w:rsidRPr="00FD0DAE" w:rsidRDefault="000A3A8F" w:rsidP="000A3A8F">
            <w:pPr>
              <w:pStyle w:val="NoSpacing"/>
              <w:rPr>
                <w:rFonts w:ascii="Times New Roman" w:hAnsi="Times New Roman" w:cs="Times New Roman"/>
                <w:sz w:val="26"/>
                <w:szCs w:val="26"/>
              </w:rPr>
            </w:pPr>
            <w:r w:rsidRPr="00FD0DAE">
              <w:rPr>
                <w:rFonts w:ascii="Times New Roman" w:hAnsi="Times New Roman" w:cs="Times New Roman"/>
                <w:sz w:val="26"/>
                <w:szCs w:val="26"/>
              </w:rPr>
              <w:t>Bihar</w:t>
            </w:r>
          </w:p>
        </w:tc>
        <w:tc>
          <w:tcPr>
            <w:tcW w:w="0" w:type="auto"/>
            <w:shd w:val="clear" w:color="auto" w:fill="FFFFFF" w:themeFill="background1"/>
            <w:hideMark/>
          </w:tcPr>
          <w:p w14:paraId="3111D1D0" w14:textId="77777777" w:rsidR="000A3A8F" w:rsidRPr="00FD0DAE" w:rsidRDefault="000A3A8F" w:rsidP="000A3A8F">
            <w:pPr>
              <w:pStyle w:val="NoSpacing"/>
              <w:rPr>
                <w:rFonts w:ascii="Times New Roman" w:hAnsi="Times New Roman" w:cs="Times New Roman"/>
                <w:sz w:val="26"/>
                <w:szCs w:val="26"/>
              </w:rPr>
            </w:pPr>
            <w:r w:rsidRPr="00FD0DAE">
              <w:rPr>
                <w:rFonts w:ascii="Times New Roman" w:hAnsi="Times New Roman" w:cs="Times New Roman"/>
                <w:sz w:val="26"/>
                <w:szCs w:val="26"/>
              </w:rPr>
              <w:t>20th and 21st January, 1969</w:t>
            </w:r>
          </w:p>
        </w:tc>
      </w:tr>
      <w:tr w:rsidR="000A3A8F" w:rsidRPr="00FD0DAE" w14:paraId="32104CC1" w14:textId="77777777" w:rsidTr="00FD0DAE">
        <w:trPr>
          <w:trHeight w:val="286"/>
          <w:jc w:val="center"/>
        </w:trPr>
        <w:tc>
          <w:tcPr>
            <w:tcW w:w="0" w:type="auto"/>
            <w:shd w:val="clear" w:color="auto" w:fill="FFFFFF" w:themeFill="background1"/>
            <w:hideMark/>
          </w:tcPr>
          <w:p w14:paraId="1F16D71F" w14:textId="77777777" w:rsidR="000A3A8F" w:rsidRPr="00FD0DAE" w:rsidRDefault="000A3A8F" w:rsidP="000A3A8F">
            <w:pPr>
              <w:pStyle w:val="NoSpacing"/>
              <w:rPr>
                <w:rFonts w:ascii="Times New Roman" w:hAnsi="Times New Roman" w:cs="Times New Roman"/>
                <w:sz w:val="26"/>
                <w:szCs w:val="26"/>
              </w:rPr>
            </w:pPr>
            <w:r w:rsidRPr="00FD0DAE">
              <w:rPr>
                <w:rFonts w:ascii="Times New Roman" w:hAnsi="Times New Roman" w:cs="Times New Roman"/>
                <w:sz w:val="26"/>
                <w:szCs w:val="26"/>
              </w:rPr>
              <w:t>Andhra Pradesh</w:t>
            </w:r>
          </w:p>
        </w:tc>
        <w:tc>
          <w:tcPr>
            <w:tcW w:w="0" w:type="auto"/>
            <w:shd w:val="clear" w:color="auto" w:fill="FFFFFF" w:themeFill="background1"/>
            <w:hideMark/>
          </w:tcPr>
          <w:p w14:paraId="4A4772EA" w14:textId="77777777" w:rsidR="000A3A8F" w:rsidRPr="00FD0DAE" w:rsidRDefault="000A3A8F" w:rsidP="000A3A8F">
            <w:pPr>
              <w:pStyle w:val="NoSpacing"/>
              <w:rPr>
                <w:rFonts w:ascii="Times New Roman" w:hAnsi="Times New Roman" w:cs="Times New Roman"/>
                <w:sz w:val="26"/>
                <w:szCs w:val="26"/>
              </w:rPr>
            </w:pPr>
            <w:r w:rsidRPr="00FD0DAE">
              <w:rPr>
                <w:rFonts w:ascii="Times New Roman" w:hAnsi="Times New Roman" w:cs="Times New Roman"/>
                <w:sz w:val="26"/>
                <w:szCs w:val="26"/>
              </w:rPr>
              <w:t>27th and 28th January, 1969</w:t>
            </w:r>
          </w:p>
        </w:tc>
      </w:tr>
      <w:tr w:rsidR="000A3A8F" w:rsidRPr="00FD0DAE" w14:paraId="497195F0" w14:textId="77777777" w:rsidTr="00FD0DAE">
        <w:trPr>
          <w:trHeight w:val="286"/>
          <w:jc w:val="center"/>
        </w:trPr>
        <w:tc>
          <w:tcPr>
            <w:tcW w:w="0" w:type="auto"/>
            <w:shd w:val="clear" w:color="auto" w:fill="FFFFFF" w:themeFill="background1"/>
            <w:hideMark/>
          </w:tcPr>
          <w:p w14:paraId="365D6879" w14:textId="77777777" w:rsidR="000A3A8F" w:rsidRPr="00FD0DAE" w:rsidRDefault="000A3A8F" w:rsidP="000A3A8F">
            <w:pPr>
              <w:pStyle w:val="NoSpacing"/>
              <w:rPr>
                <w:rFonts w:ascii="Times New Roman" w:hAnsi="Times New Roman" w:cs="Times New Roman"/>
                <w:sz w:val="26"/>
                <w:szCs w:val="26"/>
              </w:rPr>
            </w:pPr>
            <w:r w:rsidRPr="00FD0DAE">
              <w:rPr>
                <w:rFonts w:ascii="Times New Roman" w:hAnsi="Times New Roman" w:cs="Times New Roman"/>
                <w:sz w:val="26"/>
                <w:szCs w:val="26"/>
              </w:rPr>
              <w:t>Orissa</w:t>
            </w:r>
          </w:p>
        </w:tc>
        <w:tc>
          <w:tcPr>
            <w:tcW w:w="0" w:type="auto"/>
            <w:shd w:val="clear" w:color="auto" w:fill="FFFFFF" w:themeFill="background1"/>
            <w:hideMark/>
          </w:tcPr>
          <w:p w14:paraId="387DB410" w14:textId="77777777" w:rsidR="000A3A8F" w:rsidRPr="00FD0DAE" w:rsidRDefault="000A3A8F" w:rsidP="000A3A8F">
            <w:pPr>
              <w:pStyle w:val="NoSpacing"/>
              <w:rPr>
                <w:rFonts w:ascii="Times New Roman" w:hAnsi="Times New Roman" w:cs="Times New Roman"/>
                <w:sz w:val="26"/>
                <w:szCs w:val="26"/>
              </w:rPr>
            </w:pPr>
            <w:r w:rsidRPr="00FD0DAE">
              <w:rPr>
                <w:rFonts w:ascii="Times New Roman" w:hAnsi="Times New Roman" w:cs="Times New Roman"/>
                <w:sz w:val="26"/>
                <w:szCs w:val="26"/>
              </w:rPr>
              <w:t>31st January and 1st February, 1969</w:t>
            </w:r>
          </w:p>
        </w:tc>
      </w:tr>
      <w:tr w:rsidR="000A3A8F" w:rsidRPr="00FD0DAE" w14:paraId="685790C1" w14:textId="77777777" w:rsidTr="00FD0DAE">
        <w:trPr>
          <w:trHeight w:val="299"/>
          <w:jc w:val="center"/>
        </w:trPr>
        <w:tc>
          <w:tcPr>
            <w:tcW w:w="0" w:type="auto"/>
            <w:shd w:val="clear" w:color="auto" w:fill="FFFFFF" w:themeFill="background1"/>
            <w:hideMark/>
          </w:tcPr>
          <w:p w14:paraId="25920702" w14:textId="77777777" w:rsidR="000A3A8F" w:rsidRPr="00FD0DAE" w:rsidRDefault="000A3A8F" w:rsidP="000A3A8F">
            <w:pPr>
              <w:pStyle w:val="NoSpacing"/>
              <w:rPr>
                <w:rFonts w:ascii="Times New Roman" w:hAnsi="Times New Roman" w:cs="Times New Roman"/>
                <w:sz w:val="26"/>
                <w:szCs w:val="26"/>
              </w:rPr>
            </w:pPr>
            <w:r w:rsidRPr="00FD0DAE">
              <w:rPr>
                <w:rFonts w:ascii="Times New Roman" w:hAnsi="Times New Roman" w:cs="Times New Roman"/>
                <w:sz w:val="26"/>
                <w:szCs w:val="26"/>
              </w:rPr>
              <w:t>Madhya Pradesh</w:t>
            </w:r>
          </w:p>
        </w:tc>
        <w:tc>
          <w:tcPr>
            <w:tcW w:w="0" w:type="auto"/>
            <w:shd w:val="clear" w:color="auto" w:fill="FFFFFF" w:themeFill="background1"/>
            <w:hideMark/>
          </w:tcPr>
          <w:p w14:paraId="6E23A400" w14:textId="77777777" w:rsidR="000A3A8F" w:rsidRPr="00FD0DAE" w:rsidRDefault="000A3A8F" w:rsidP="000A3A8F">
            <w:pPr>
              <w:pStyle w:val="NoSpacing"/>
              <w:rPr>
                <w:rFonts w:ascii="Times New Roman" w:hAnsi="Times New Roman" w:cs="Times New Roman"/>
                <w:sz w:val="26"/>
                <w:szCs w:val="26"/>
              </w:rPr>
            </w:pPr>
            <w:r w:rsidRPr="00FD0DAE">
              <w:rPr>
                <w:rFonts w:ascii="Times New Roman" w:hAnsi="Times New Roman" w:cs="Times New Roman"/>
                <w:sz w:val="26"/>
                <w:szCs w:val="26"/>
              </w:rPr>
              <w:t>2nd and 3rd March, 1969</w:t>
            </w:r>
          </w:p>
        </w:tc>
      </w:tr>
      <w:tr w:rsidR="000A3A8F" w:rsidRPr="00FD0DAE" w14:paraId="3917C12F" w14:textId="77777777" w:rsidTr="00FD0DAE">
        <w:trPr>
          <w:trHeight w:val="286"/>
          <w:jc w:val="center"/>
        </w:trPr>
        <w:tc>
          <w:tcPr>
            <w:tcW w:w="0" w:type="auto"/>
            <w:shd w:val="clear" w:color="auto" w:fill="FFFFFF" w:themeFill="background1"/>
            <w:hideMark/>
          </w:tcPr>
          <w:p w14:paraId="02592697" w14:textId="77777777" w:rsidR="000A3A8F" w:rsidRPr="00FD0DAE" w:rsidRDefault="000A3A8F" w:rsidP="000A3A8F">
            <w:pPr>
              <w:pStyle w:val="NoSpacing"/>
              <w:rPr>
                <w:rFonts w:ascii="Times New Roman" w:hAnsi="Times New Roman" w:cs="Times New Roman"/>
                <w:sz w:val="26"/>
                <w:szCs w:val="26"/>
              </w:rPr>
            </w:pPr>
            <w:r w:rsidRPr="00FD0DAE">
              <w:rPr>
                <w:rFonts w:ascii="Times New Roman" w:hAnsi="Times New Roman" w:cs="Times New Roman"/>
                <w:sz w:val="26"/>
                <w:szCs w:val="26"/>
              </w:rPr>
              <w:t>Gujarat</w:t>
            </w:r>
          </w:p>
        </w:tc>
        <w:tc>
          <w:tcPr>
            <w:tcW w:w="0" w:type="auto"/>
            <w:shd w:val="clear" w:color="auto" w:fill="FFFFFF" w:themeFill="background1"/>
            <w:hideMark/>
          </w:tcPr>
          <w:p w14:paraId="312A269A" w14:textId="77777777" w:rsidR="000A3A8F" w:rsidRPr="00FD0DAE" w:rsidRDefault="000A3A8F" w:rsidP="000A3A8F">
            <w:pPr>
              <w:pStyle w:val="NoSpacing"/>
              <w:rPr>
                <w:rFonts w:ascii="Times New Roman" w:hAnsi="Times New Roman" w:cs="Times New Roman"/>
                <w:sz w:val="26"/>
                <w:szCs w:val="26"/>
              </w:rPr>
            </w:pPr>
            <w:r w:rsidRPr="00FD0DAE">
              <w:rPr>
                <w:rFonts w:ascii="Times New Roman" w:hAnsi="Times New Roman" w:cs="Times New Roman"/>
                <w:sz w:val="26"/>
                <w:szCs w:val="26"/>
              </w:rPr>
              <w:t>15th March, 1969</w:t>
            </w:r>
          </w:p>
        </w:tc>
      </w:tr>
      <w:tr w:rsidR="000A3A8F" w:rsidRPr="00FD0DAE" w14:paraId="5CEB798F" w14:textId="77777777" w:rsidTr="00FD0DAE">
        <w:trPr>
          <w:trHeight w:val="286"/>
          <w:jc w:val="center"/>
        </w:trPr>
        <w:tc>
          <w:tcPr>
            <w:tcW w:w="0" w:type="auto"/>
            <w:shd w:val="clear" w:color="auto" w:fill="FFFFFF" w:themeFill="background1"/>
            <w:hideMark/>
          </w:tcPr>
          <w:p w14:paraId="5F5AED62" w14:textId="77777777" w:rsidR="000A3A8F" w:rsidRPr="00FD0DAE" w:rsidRDefault="000A3A8F" w:rsidP="000A3A8F">
            <w:pPr>
              <w:pStyle w:val="NoSpacing"/>
              <w:rPr>
                <w:rFonts w:ascii="Times New Roman" w:hAnsi="Times New Roman" w:cs="Times New Roman"/>
                <w:sz w:val="26"/>
                <w:szCs w:val="26"/>
              </w:rPr>
            </w:pPr>
            <w:r w:rsidRPr="00FD0DAE">
              <w:rPr>
                <w:rFonts w:ascii="Times New Roman" w:hAnsi="Times New Roman" w:cs="Times New Roman"/>
                <w:sz w:val="26"/>
                <w:szCs w:val="26"/>
              </w:rPr>
              <w:t>Nagaland</w:t>
            </w:r>
          </w:p>
        </w:tc>
        <w:tc>
          <w:tcPr>
            <w:tcW w:w="0" w:type="auto"/>
            <w:shd w:val="clear" w:color="auto" w:fill="FFFFFF" w:themeFill="background1"/>
            <w:hideMark/>
          </w:tcPr>
          <w:p w14:paraId="3E51A31E" w14:textId="77777777" w:rsidR="000A3A8F" w:rsidRPr="00FD0DAE" w:rsidRDefault="000A3A8F" w:rsidP="000A3A8F">
            <w:pPr>
              <w:pStyle w:val="NoSpacing"/>
              <w:rPr>
                <w:rFonts w:ascii="Times New Roman" w:hAnsi="Times New Roman" w:cs="Times New Roman"/>
                <w:sz w:val="26"/>
                <w:szCs w:val="26"/>
              </w:rPr>
            </w:pPr>
            <w:r w:rsidRPr="00FD0DAE">
              <w:rPr>
                <w:rFonts w:ascii="Times New Roman" w:hAnsi="Times New Roman" w:cs="Times New Roman"/>
                <w:sz w:val="26"/>
                <w:szCs w:val="26"/>
              </w:rPr>
              <w:t>31st March, 1969</w:t>
            </w:r>
          </w:p>
        </w:tc>
      </w:tr>
      <w:tr w:rsidR="000A3A8F" w:rsidRPr="00FD0DAE" w14:paraId="339CF646" w14:textId="77777777" w:rsidTr="00FD0DAE">
        <w:trPr>
          <w:trHeight w:val="286"/>
          <w:jc w:val="center"/>
        </w:trPr>
        <w:tc>
          <w:tcPr>
            <w:tcW w:w="0" w:type="auto"/>
            <w:shd w:val="clear" w:color="auto" w:fill="FFFFFF" w:themeFill="background1"/>
            <w:hideMark/>
          </w:tcPr>
          <w:p w14:paraId="50A33D9D" w14:textId="77777777" w:rsidR="000A3A8F" w:rsidRPr="00FD0DAE" w:rsidRDefault="000A3A8F" w:rsidP="000A3A8F">
            <w:pPr>
              <w:pStyle w:val="NoSpacing"/>
              <w:rPr>
                <w:rFonts w:ascii="Times New Roman" w:hAnsi="Times New Roman" w:cs="Times New Roman"/>
                <w:sz w:val="26"/>
                <w:szCs w:val="26"/>
              </w:rPr>
            </w:pPr>
            <w:r w:rsidRPr="00FD0DAE">
              <w:rPr>
                <w:rFonts w:ascii="Times New Roman" w:hAnsi="Times New Roman" w:cs="Times New Roman"/>
                <w:sz w:val="26"/>
                <w:szCs w:val="26"/>
              </w:rPr>
              <w:t>West Bengal</w:t>
            </w:r>
          </w:p>
        </w:tc>
        <w:tc>
          <w:tcPr>
            <w:tcW w:w="0" w:type="auto"/>
            <w:shd w:val="clear" w:color="auto" w:fill="FFFFFF" w:themeFill="background1"/>
            <w:hideMark/>
          </w:tcPr>
          <w:p w14:paraId="217F81A2" w14:textId="77777777" w:rsidR="000A3A8F" w:rsidRPr="00FD0DAE" w:rsidRDefault="000A3A8F" w:rsidP="000A3A8F">
            <w:pPr>
              <w:pStyle w:val="NoSpacing"/>
              <w:rPr>
                <w:rFonts w:ascii="Times New Roman" w:hAnsi="Times New Roman" w:cs="Times New Roman"/>
                <w:sz w:val="26"/>
                <w:szCs w:val="26"/>
              </w:rPr>
            </w:pPr>
            <w:r w:rsidRPr="00FD0DAE">
              <w:rPr>
                <w:rFonts w:ascii="Times New Roman" w:hAnsi="Times New Roman" w:cs="Times New Roman"/>
                <w:sz w:val="26"/>
                <w:szCs w:val="26"/>
              </w:rPr>
              <w:t>2nd, 3rd and 4th April, 1969</w:t>
            </w:r>
          </w:p>
        </w:tc>
      </w:tr>
      <w:tr w:rsidR="000A3A8F" w:rsidRPr="00FD0DAE" w14:paraId="1CD073FC" w14:textId="77777777" w:rsidTr="00FD0DAE">
        <w:trPr>
          <w:trHeight w:val="286"/>
          <w:jc w:val="center"/>
        </w:trPr>
        <w:tc>
          <w:tcPr>
            <w:tcW w:w="0" w:type="auto"/>
            <w:shd w:val="clear" w:color="auto" w:fill="FFFFFF" w:themeFill="background1"/>
            <w:hideMark/>
          </w:tcPr>
          <w:p w14:paraId="27A0ADC7" w14:textId="77777777" w:rsidR="000A3A8F" w:rsidRPr="00FD0DAE" w:rsidRDefault="000A3A8F" w:rsidP="000A3A8F">
            <w:pPr>
              <w:pStyle w:val="NoSpacing"/>
              <w:rPr>
                <w:rFonts w:ascii="Times New Roman" w:hAnsi="Times New Roman" w:cs="Times New Roman"/>
                <w:sz w:val="26"/>
                <w:szCs w:val="26"/>
              </w:rPr>
            </w:pPr>
            <w:r w:rsidRPr="00FD0DAE">
              <w:rPr>
                <w:rFonts w:ascii="Times New Roman" w:hAnsi="Times New Roman" w:cs="Times New Roman"/>
                <w:sz w:val="26"/>
                <w:szCs w:val="26"/>
              </w:rPr>
              <w:t>Maharashtra</w:t>
            </w:r>
          </w:p>
        </w:tc>
        <w:tc>
          <w:tcPr>
            <w:tcW w:w="0" w:type="auto"/>
            <w:shd w:val="clear" w:color="auto" w:fill="FFFFFF" w:themeFill="background1"/>
            <w:hideMark/>
          </w:tcPr>
          <w:p w14:paraId="5A3776AB" w14:textId="77777777" w:rsidR="000A3A8F" w:rsidRPr="00FD0DAE" w:rsidRDefault="000A3A8F" w:rsidP="000A3A8F">
            <w:pPr>
              <w:pStyle w:val="NoSpacing"/>
              <w:rPr>
                <w:rFonts w:ascii="Times New Roman" w:hAnsi="Times New Roman" w:cs="Times New Roman"/>
                <w:sz w:val="26"/>
                <w:szCs w:val="26"/>
              </w:rPr>
            </w:pPr>
            <w:r w:rsidRPr="00FD0DAE">
              <w:rPr>
                <w:rFonts w:ascii="Times New Roman" w:hAnsi="Times New Roman" w:cs="Times New Roman"/>
                <w:sz w:val="26"/>
                <w:szCs w:val="26"/>
              </w:rPr>
              <w:t>7th, 8th and 9th April, 1969</w:t>
            </w:r>
          </w:p>
        </w:tc>
      </w:tr>
      <w:tr w:rsidR="000A3A8F" w:rsidRPr="00FD0DAE" w14:paraId="04364F3E" w14:textId="77777777" w:rsidTr="00FD0DAE">
        <w:trPr>
          <w:trHeight w:val="286"/>
          <w:jc w:val="center"/>
        </w:trPr>
        <w:tc>
          <w:tcPr>
            <w:tcW w:w="0" w:type="auto"/>
            <w:shd w:val="clear" w:color="auto" w:fill="FFFFFF" w:themeFill="background1"/>
            <w:hideMark/>
          </w:tcPr>
          <w:p w14:paraId="03FE59AD" w14:textId="77777777" w:rsidR="000A3A8F" w:rsidRPr="00FD0DAE" w:rsidRDefault="000A3A8F" w:rsidP="000A3A8F">
            <w:pPr>
              <w:pStyle w:val="NoSpacing"/>
              <w:rPr>
                <w:rFonts w:ascii="Times New Roman" w:hAnsi="Times New Roman" w:cs="Times New Roman"/>
                <w:sz w:val="26"/>
                <w:szCs w:val="26"/>
              </w:rPr>
            </w:pPr>
            <w:r w:rsidRPr="00FD0DAE">
              <w:rPr>
                <w:rFonts w:ascii="Times New Roman" w:hAnsi="Times New Roman" w:cs="Times New Roman"/>
                <w:sz w:val="26"/>
                <w:szCs w:val="26"/>
              </w:rPr>
              <w:t>Jammu and Kashmir</w:t>
            </w:r>
          </w:p>
        </w:tc>
        <w:tc>
          <w:tcPr>
            <w:tcW w:w="0" w:type="auto"/>
            <w:shd w:val="clear" w:color="auto" w:fill="FFFFFF" w:themeFill="background1"/>
            <w:hideMark/>
          </w:tcPr>
          <w:p w14:paraId="4FC2EE21" w14:textId="77777777" w:rsidR="000A3A8F" w:rsidRPr="00FD0DAE" w:rsidRDefault="000A3A8F" w:rsidP="000A3A8F">
            <w:pPr>
              <w:pStyle w:val="NoSpacing"/>
              <w:rPr>
                <w:rFonts w:ascii="Times New Roman" w:hAnsi="Times New Roman" w:cs="Times New Roman"/>
                <w:sz w:val="26"/>
                <w:szCs w:val="26"/>
              </w:rPr>
            </w:pPr>
            <w:r w:rsidRPr="00FD0DAE">
              <w:rPr>
                <w:rFonts w:ascii="Times New Roman" w:hAnsi="Times New Roman" w:cs="Times New Roman"/>
                <w:sz w:val="26"/>
                <w:szCs w:val="26"/>
              </w:rPr>
              <w:t>15th and 16th April, 1969</w:t>
            </w:r>
          </w:p>
        </w:tc>
      </w:tr>
    </w:tbl>
    <w:p w14:paraId="328ABC8A" w14:textId="63C8C2EE" w:rsidR="000A3A8F" w:rsidRPr="00FD0DAE" w:rsidRDefault="000A3A8F" w:rsidP="000A3A8F">
      <w:pPr>
        <w:pStyle w:val="NoSpacing"/>
        <w:rPr>
          <w:rFonts w:ascii="Times New Roman" w:hAnsi="Times New Roman" w:cs="Times New Roman"/>
          <w:sz w:val="26"/>
          <w:szCs w:val="26"/>
        </w:rPr>
      </w:pPr>
    </w:p>
    <w:p w14:paraId="0F6FCAC2" w14:textId="77777777" w:rsidR="000A3A8F" w:rsidRPr="00FD0DAE" w:rsidRDefault="000A3A8F" w:rsidP="00FD0DAE">
      <w:pPr>
        <w:pStyle w:val="NoSpacing"/>
        <w:jc w:val="center"/>
        <w:rPr>
          <w:rFonts w:ascii="Times New Roman" w:hAnsi="Times New Roman" w:cs="Times New Roman"/>
          <w:b/>
          <w:bCs/>
          <w:sz w:val="26"/>
          <w:szCs w:val="26"/>
        </w:rPr>
      </w:pPr>
      <w:r w:rsidRPr="00FD0DAE">
        <w:rPr>
          <w:rFonts w:ascii="Times New Roman" w:hAnsi="Times New Roman" w:cs="Times New Roman"/>
          <w:b/>
          <w:bCs/>
          <w:sz w:val="26"/>
          <w:szCs w:val="26"/>
        </w:rPr>
        <w:t>Further Meetings Held at New Delhi</w:t>
      </w:r>
    </w:p>
    <w:p w14:paraId="013B32D5" w14:textId="77777777" w:rsidR="000A3A8F" w:rsidRPr="00FD0DAE" w:rsidRDefault="000A3A8F" w:rsidP="000A3A8F">
      <w:pPr>
        <w:pStyle w:val="NoSpacing"/>
        <w:rPr>
          <w:rFonts w:ascii="Times New Roman" w:hAnsi="Times New Roman" w:cs="Times New Roman"/>
          <w:b/>
          <w:bCs/>
          <w:sz w:val="26"/>
          <w:szCs w:val="26"/>
        </w:rPr>
      </w:pPr>
    </w:p>
    <w:tbl>
      <w:tblPr>
        <w:tblStyle w:val="TableGrid"/>
        <w:tblW w:w="0" w:type="auto"/>
        <w:jc w:val="center"/>
        <w:tblLook w:val="04A0" w:firstRow="1" w:lastRow="0" w:firstColumn="1" w:lastColumn="0" w:noHBand="0" w:noVBand="1"/>
      </w:tblPr>
      <w:tblGrid>
        <w:gridCol w:w="5557"/>
        <w:gridCol w:w="1928"/>
      </w:tblGrid>
      <w:tr w:rsidR="000A3A8F" w:rsidRPr="00FD0DAE" w14:paraId="4D875E86" w14:textId="77777777" w:rsidTr="00FD0DAE">
        <w:trPr>
          <w:jc w:val="center"/>
        </w:trPr>
        <w:tc>
          <w:tcPr>
            <w:tcW w:w="0" w:type="auto"/>
            <w:hideMark/>
          </w:tcPr>
          <w:p w14:paraId="4EC23909" w14:textId="77777777" w:rsidR="000A3A8F" w:rsidRPr="00FD0DAE" w:rsidRDefault="000A3A8F" w:rsidP="000A3A8F">
            <w:pPr>
              <w:pStyle w:val="NoSpacing"/>
              <w:rPr>
                <w:rFonts w:ascii="Times New Roman" w:hAnsi="Times New Roman" w:cs="Times New Roman"/>
                <w:b/>
                <w:bCs/>
                <w:sz w:val="26"/>
                <w:szCs w:val="26"/>
              </w:rPr>
            </w:pPr>
            <w:r w:rsidRPr="00FD0DAE">
              <w:rPr>
                <w:rFonts w:ascii="Times New Roman" w:hAnsi="Times New Roman" w:cs="Times New Roman"/>
                <w:b/>
                <w:bCs/>
                <w:sz w:val="26"/>
                <w:szCs w:val="26"/>
              </w:rPr>
              <w:t>Participants</w:t>
            </w:r>
          </w:p>
        </w:tc>
        <w:tc>
          <w:tcPr>
            <w:tcW w:w="0" w:type="auto"/>
            <w:hideMark/>
          </w:tcPr>
          <w:p w14:paraId="0C12EFD4" w14:textId="77777777" w:rsidR="000A3A8F" w:rsidRPr="00FD0DAE" w:rsidRDefault="000A3A8F" w:rsidP="000A3A8F">
            <w:pPr>
              <w:pStyle w:val="NoSpacing"/>
              <w:rPr>
                <w:rFonts w:ascii="Times New Roman" w:hAnsi="Times New Roman" w:cs="Times New Roman"/>
                <w:b/>
                <w:bCs/>
                <w:sz w:val="26"/>
                <w:szCs w:val="26"/>
              </w:rPr>
            </w:pPr>
            <w:r w:rsidRPr="00FD0DAE">
              <w:rPr>
                <w:rFonts w:ascii="Times New Roman" w:hAnsi="Times New Roman" w:cs="Times New Roman"/>
                <w:b/>
                <w:bCs/>
                <w:sz w:val="26"/>
                <w:szCs w:val="26"/>
              </w:rPr>
              <w:t>Date</w:t>
            </w:r>
          </w:p>
        </w:tc>
      </w:tr>
      <w:tr w:rsidR="000A3A8F" w:rsidRPr="00FD0DAE" w14:paraId="735DB890" w14:textId="77777777" w:rsidTr="00FD0DAE">
        <w:trPr>
          <w:jc w:val="center"/>
        </w:trPr>
        <w:tc>
          <w:tcPr>
            <w:tcW w:w="0" w:type="auto"/>
            <w:hideMark/>
          </w:tcPr>
          <w:p w14:paraId="5D421198" w14:textId="77777777" w:rsidR="000A3A8F" w:rsidRPr="00FD0DAE" w:rsidRDefault="000A3A8F" w:rsidP="000A3A8F">
            <w:pPr>
              <w:pStyle w:val="NoSpacing"/>
              <w:rPr>
                <w:rFonts w:ascii="Times New Roman" w:hAnsi="Times New Roman" w:cs="Times New Roman"/>
                <w:sz w:val="26"/>
                <w:szCs w:val="26"/>
              </w:rPr>
            </w:pPr>
            <w:r w:rsidRPr="00FD0DAE">
              <w:rPr>
                <w:rFonts w:ascii="Times New Roman" w:hAnsi="Times New Roman" w:cs="Times New Roman"/>
                <w:sz w:val="26"/>
                <w:szCs w:val="26"/>
              </w:rPr>
              <w:t>Finance Minister, Punjab</w:t>
            </w:r>
          </w:p>
        </w:tc>
        <w:tc>
          <w:tcPr>
            <w:tcW w:w="0" w:type="auto"/>
            <w:hideMark/>
          </w:tcPr>
          <w:p w14:paraId="4AA9E908" w14:textId="77777777" w:rsidR="000A3A8F" w:rsidRPr="00FD0DAE" w:rsidRDefault="000A3A8F" w:rsidP="000A3A8F">
            <w:pPr>
              <w:pStyle w:val="NoSpacing"/>
              <w:rPr>
                <w:rFonts w:ascii="Times New Roman" w:hAnsi="Times New Roman" w:cs="Times New Roman"/>
                <w:sz w:val="26"/>
                <w:szCs w:val="26"/>
              </w:rPr>
            </w:pPr>
            <w:r w:rsidRPr="00FD0DAE">
              <w:rPr>
                <w:rFonts w:ascii="Times New Roman" w:hAnsi="Times New Roman" w:cs="Times New Roman"/>
                <w:sz w:val="26"/>
                <w:szCs w:val="26"/>
              </w:rPr>
              <w:t>14th April, 1969</w:t>
            </w:r>
          </w:p>
        </w:tc>
      </w:tr>
      <w:tr w:rsidR="000A3A8F" w:rsidRPr="00FD0DAE" w14:paraId="6A6F4EBA" w14:textId="77777777" w:rsidTr="00FD0DAE">
        <w:trPr>
          <w:jc w:val="center"/>
        </w:trPr>
        <w:tc>
          <w:tcPr>
            <w:tcW w:w="0" w:type="auto"/>
            <w:hideMark/>
          </w:tcPr>
          <w:p w14:paraId="6D7E524A" w14:textId="77777777" w:rsidR="000A3A8F" w:rsidRPr="00FD0DAE" w:rsidRDefault="000A3A8F" w:rsidP="000A3A8F">
            <w:pPr>
              <w:pStyle w:val="NoSpacing"/>
              <w:rPr>
                <w:rFonts w:ascii="Times New Roman" w:hAnsi="Times New Roman" w:cs="Times New Roman"/>
                <w:sz w:val="26"/>
                <w:szCs w:val="26"/>
              </w:rPr>
            </w:pPr>
            <w:r w:rsidRPr="00FD0DAE">
              <w:rPr>
                <w:rFonts w:ascii="Times New Roman" w:hAnsi="Times New Roman" w:cs="Times New Roman"/>
                <w:sz w:val="26"/>
                <w:szCs w:val="26"/>
              </w:rPr>
              <w:t>Chief Minister, Jammu and Kashmir</w:t>
            </w:r>
          </w:p>
        </w:tc>
        <w:tc>
          <w:tcPr>
            <w:tcW w:w="0" w:type="auto"/>
            <w:hideMark/>
          </w:tcPr>
          <w:p w14:paraId="2227C2F7" w14:textId="77777777" w:rsidR="000A3A8F" w:rsidRPr="00FD0DAE" w:rsidRDefault="000A3A8F" w:rsidP="000A3A8F">
            <w:pPr>
              <w:pStyle w:val="NoSpacing"/>
              <w:rPr>
                <w:rFonts w:ascii="Times New Roman" w:hAnsi="Times New Roman" w:cs="Times New Roman"/>
                <w:sz w:val="26"/>
                <w:szCs w:val="26"/>
              </w:rPr>
            </w:pPr>
            <w:r w:rsidRPr="00FD0DAE">
              <w:rPr>
                <w:rFonts w:ascii="Times New Roman" w:hAnsi="Times New Roman" w:cs="Times New Roman"/>
                <w:sz w:val="26"/>
                <w:szCs w:val="26"/>
              </w:rPr>
              <w:t>19th April, 1969</w:t>
            </w:r>
          </w:p>
        </w:tc>
      </w:tr>
      <w:tr w:rsidR="000A3A8F" w:rsidRPr="00FD0DAE" w14:paraId="66ED0986" w14:textId="77777777" w:rsidTr="00FD0DAE">
        <w:trPr>
          <w:jc w:val="center"/>
        </w:trPr>
        <w:tc>
          <w:tcPr>
            <w:tcW w:w="0" w:type="auto"/>
            <w:hideMark/>
          </w:tcPr>
          <w:p w14:paraId="4B2C1CF9" w14:textId="77777777" w:rsidR="000A3A8F" w:rsidRPr="00FD0DAE" w:rsidRDefault="000A3A8F" w:rsidP="000A3A8F">
            <w:pPr>
              <w:pStyle w:val="NoSpacing"/>
              <w:rPr>
                <w:rFonts w:ascii="Times New Roman" w:hAnsi="Times New Roman" w:cs="Times New Roman"/>
                <w:sz w:val="26"/>
                <w:szCs w:val="26"/>
              </w:rPr>
            </w:pPr>
            <w:r w:rsidRPr="00FD0DAE">
              <w:rPr>
                <w:rFonts w:ascii="Times New Roman" w:hAnsi="Times New Roman" w:cs="Times New Roman"/>
                <w:sz w:val="26"/>
                <w:szCs w:val="26"/>
              </w:rPr>
              <w:t>Chief Minister, Orissa</w:t>
            </w:r>
          </w:p>
        </w:tc>
        <w:tc>
          <w:tcPr>
            <w:tcW w:w="0" w:type="auto"/>
            <w:hideMark/>
          </w:tcPr>
          <w:p w14:paraId="76604968" w14:textId="77777777" w:rsidR="000A3A8F" w:rsidRPr="00FD0DAE" w:rsidRDefault="000A3A8F" w:rsidP="000A3A8F">
            <w:pPr>
              <w:pStyle w:val="NoSpacing"/>
              <w:rPr>
                <w:rFonts w:ascii="Times New Roman" w:hAnsi="Times New Roman" w:cs="Times New Roman"/>
                <w:sz w:val="26"/>
                <w:szCs w:val="26"/>
              </w:rPr>
            </w:pPr>
            <w:r w:rsidRPr="00FD0DAE">
              <w:rPr>
                <w:rFonts w:ascii="Times New Roman" w:hAnsi="Times New Roman" w:cs="Times New Roman"/>
                <w:sz w:val="26"/>
                <w:szCs w:val="26"/>
              </w:rPr>
              <w:t>21st April, 1969</w:t>
            </w:r>
          </w:p>
        </w:tc>
      </w:tr>
      <w:tr w:rsidR="000A3A8F" w:rsidRPr="00FD0DAE" w14:paraId="7FAF770E" w14:textId="77777777" w:rsidTr="00FD0DAE">
        <w:trPr>
          <w:jc w:val="center"/>
        </w:trPr>
        <w:tc>
          <w:tcPr>
            <w:tcW w:w="0" w:type="auto"/>
            <w:hideMark/>
          </w:tcPr>
          <w:p w14:paraId="2E934581" w14:textId="77777777" w:rsidR="000A3A8F" w:rsidRPr="00FD0DAE" w:rsidRDefault="000A3A8F" w:rsidP="000A3A8F">
            <w:pPr>
              <w:pStyle w:val="NoSpacing"/>
              <w:rPr>
                <w:rFonts w:ascii="Times New Roman" w:hAnsi="Times New Roman" w:cs="Times New Roman"/>
                <w:sz w:val="26"/>
                <w:szCs w:val="26"/>
              </w:rPr>
            </w:pPr>
            <w:r w:rsidRPr="00FD0DAE">
              <w:rPr>
                <w:rFonts w:ascii="Times New Roman" w:hAnsi="Times New Roman" w:cs="Times New Roman"/>
                <w:sz w:val="26"/>
                <w:szCs w:val="26"/>
              </w:rPr>
              <w:t>Chief Minister and Finance Minister, Uttar Pradesh</w:t>
            </w:r>
          </w:p>
        </w:tc>
        <w:tc>
          <w:tcPr>
            <w:tcW w:w="0" w:type="auto"/>
            <w:hideMark/>
          </w:tcPr>
          <w:p w14:paraId="62DE27F3" w14:textId="77777777" w:rsidR="000A3A8F" w:rsidRPr="00FD0DAE" w:rsidRDefault="000A3A8F" w:rsidP="000A3A8F">
            <w:pPr>
              <w:pStyle w:val="NoSpacing"/>
              <w:rPr>
                <w:rFonts w:ascii="Times New Roman" w:hAnsi="Times New Roman" w:cs="Times New Roman"/>
                <w:sz w:val="26"/>
                <w:szCs w:val="26"/>
              </w:rPr>
            </w:pPr>
            <w:r w:rsidRPr="00FD0DAE">
              <w:rPr>
                <w:rFonts w:ascii="Times New Roman" w:hAnsi="Times New Roman" w:cs="Times New Roman"/>
                <w:sz w:val="26"/>
                <w:szCs w:val="26"/>
              </w:rPr>
              <w:t>13th May, 1969</w:t>
            </w:r>
          </w:p>
        </w:tc>
      </w:tr>
    </w:tbl>
    <w:p w14:paraId="097755DE" w14:textId="4B0F7D9A" w:rsidR="000A3A8F" w:rsidRPr="00FD0DAE" w:rsidRDefault="000A3A8F" w:rsidP="000A3A8F">
      <w:pPr>
        <w:pStyle w:val="NoSpacing"/>
        <w:rPr>
          <w:rFonts w:ascii="Times New Roman" w:hAnsi="Times New Roman" w:cs="Times New Roman"/>
          <w:sz w:val="26"/>
          <w:szCs w:val="26"/>
        </w:rPr>
      </w:pPr>
    </w:p>
    <w:p w14:paraId="4225C9D7" w14:textId="77777777" w:rsidR="000A3A8F" w:rsidRPr="00FD0DAE" w:rsidRDefault="000A3A8F" w:rsidP="000A3A8F">
      <w:pPr>
        <w:pStyle w:val="NoSpacing"/>
        <w:rPr>
          <w:rFonts w:ascii="Times New Roman" w:hAnsi="Times New Roman" w:cs="Times New Roman"/>
          <w:b/>
          <w:bCs/>
          <w:sz w:val="26"/>
          <w:szCs w:val="26"/>
        </w:rPr>
      </w:pPr>
      <w:r w:rsidRPr="00FD0DAE">
        <w:rPr>
          <w:rFonts w:ascii="Times New Roman" w:hAnsi="Times New Roman" w:cs="Times New Roman"/>
          <w:b/>
          <w:bCs/>
          <w:sz w:val="26"/>
          <w:szCs w:val="26"/>
        </w:rPr>
        <w:t>(B) Discussions with Central Government Ministries</w:t>
      </w:r>
    </w:p>
    <w:p w14:paraId="13D0C482" w14:textId="77777777" w:rsidR="000A3A8F" w:rsidRPr="00FD0DAE" w:rsidRDefault="000A3A8F" w:rsidP="000A3A8F">
      <w:pPr>
        <w:pStyle w:val="NoSpacing"/>
        <w:rPr>
          <w:rFonts w:ascii="Times New Roman" w:hAnsi="Times New Roman" w:cs="Times New Roman"/>
          <w:b/>
          <w:bCs/>
          <w:sz w:val="26"/>
          <w:szCs w:val="26"/>
        </w:rPr>
      </w:pPr>
    </w:p>
    <w:tbl>
      <w:tblPr>
        <w:tblStyle w:val="TableGrid"/>
        <w:tblW w:w="8645" w:type="dxa"/>
        <w:jc w:val="center"/>
        <w:tblLook w:val="04A0" w:firstRow="1" w:lastRow="0" w:firstColumn="1" w:lastColumn="0" w:noHBand="0" w:noVBand="1"/>
      </w:tblPr>
      <w:tblGrid>
        <w:gridCol w:w="5825"/>
        <w:gridCol w:w="2820"/>
      </w:tblGrid>
      <w:tr w:rsidR="000A3A8F" w:rsidRPr="00FD0DAE" w14:paraId="071B8FDD" w14:textId="77777777" w:rsidTr="00FD0DAE">
        <w:trPr>
          <w:trHeight w:val="344"/>
          <w:jc w:val="center"/>
        </w:trPr>
        <w:tc>
          <w:tcPr>
            <w:tcW w:w="0" w:type="auto"/>
            <w:hideMark/>
          </w:tcPr>
          <w:p w14:paraId="3EBD0CAE" w14:textId="77777777" w:rsidR="000A3A8F" w:rsidRPr="00FD0DAE" w:rsidRDefault="000A3A8F" w:rsidP="000A3A8F">
            <w:pPr>
              <w:pStyle w:val="NoSpacing"/>
              <w:rPr>
                <w:rFonts w:ascii="Times New Roman" w:hAnsi="Times New Roman" w:cs="Times New Roman"/>
                <w:b/>
                <w:bCs/>
                <w:sz w:val="26"/>
                <w:szCs w:val="26"/>
              </w:rPr>
            </w:pPr>
            <w:r w:rsidRPr="00FD0DAE">
              <w:rPr>
                <w:rFonts w:ascii="Times New Roman" w:hAnsi="Times New Roman" w:cs="Times New Roman"/>
                <w:b/>
                <w:bCs/>
                <w:sz w:val="26"/>
                <w:szCs w:val="26"/>
              </w:rPr>
              <w:t>Officials / Ministries</w:t>
            </w:r>
          </w:p>
        </w:tc>
        <w:tc>
          <w:tcPr>
            <w:tcW w:w="0" w:type="auto"/>
            <w:hideMark/>
          </w:tcPr>
          <w:p w14:paraId="759C454D" w14:textId="77777777" w:rsidR="000A3A8F" w:rsidRPr="00FD0DAE" w:rsidRDefault="000A3A8F" w:rsidP="000A3A8F">
            <w:pPr>
              <w:pStyle w:val="NoSpacing"/>
              <w:rPr>
                <w:rFonts w:ascii="Times New Roman" w:hAnsi="Times New Roman" w:cs="Times New Roman"/>
                <w:b/>
                <w:bCs/>
                <w:sz w:val="26"/>
                <w:szCs w:val="26"/>
              </w:rPr>
            </w:pPr>
            <w:r w:rsidRPr="00FD0DAE">
              <w:rPr>
                <w:rFonts w:ascii="Times New Roman" w:hAnsi="Times New Roman" w:cs="Times New Roman"/>
                <w:b/>
                <w:bCs/>
                <w:sz w:val="26"/>
                <w:szCs w:val="26"/>
              </w:rPr>
              <w:t>Dates</w:t>
            </w:r>
          </w:p>
        </w:tc>
      </w:tr>
      <w:tr w:rsidR="000A3A8F" w:rsidRPr="00FD0DAE" w14:paraId="1B061CDD" w14:textId="77777777" w:rsidTr="00FD0DAE">
        <w:trPr>
          <w:trHeight w:val="327"/>
          <w:jc w:val="center"/>
        </w:trPr>
        <w:tc>
          <w:tcPr>
            <w:tcW w:w="0" w:type="auto"/>
            <w:hideMark/>
          </w:tcPr>
          <w:p w14:paraId="476AD28C" w14:textId="77777777" w:rsidR="000A3A8F" w:rsidRPr="00FD0DAE" w:rsidRDefault="000A3A8F" w:rsidP="000A3A8F">
            <w:pPr>
              <w:pStyle w:val="NoSpacing"/>
              <w:rPr>
                <w:rFonts w:ascii="Times New Roman" w:hAnsi="Times New Roman" w:cs="Times New Roman"/>
                <w:sz w:val="26"/>
                <w:szCs w:val="26"/>
              </w:rPr>
            </w:pPr>
            <w:r w:rsidRPr="00FD0DAE">
              <w:rPr>
                <w:rFonts w:ascii="Times New Roman" w:hAnsi="Times New Roman" w:cs="Times New Roman"/>
                <w:sz w:val="26"/>
                <w:szCs w:val="26"/>
              </w:rPr>
              <w:t>Chairman, Central Board of Direct Taxes</w:t>
            </w:r>
          </w:p>
        </w:tc>
        <w:tc>
          <w:tcPr>
            <w:tcW w:w="0" w:type="auto"/>
            <w:hideMark/>
          </w:tcPr>
          <w:p w14:paraId="681C26B7" w14:textId="77777777" w:rsidR="000A3A8F" w:rsidRPr="00FD0DAE" w:rsidRDefault="000A3A8F" w:rsidP="000A3A8F">
            <w:pPr>
              <w:pStyle w:val="NoSpacing"/>
              <w:rPr>
                <w:rFonts w:ascii="Times New Roman" w:hAnsi="Times New Roman" w:cs="Times New Roman"/>
                <w:sz w:val="26"/>
                <w:szCs w:val="26"/>
              </w:rPr>
            </w:pPr>
            <w:r w:rsidRPr="00FD0DAE">
              <w:rPr>
                <w:rFonts w:ascii="Times New Roman" w:hAnsi="Times New Roman" w:cs="Times New Roman"/>
                <w:sz w:val="26"/>
                <w:szCs w:val="26"/>
              </w:rPr>
              <w:t>9th June, 1969</w:t>
            </w:r>
          </w:p>
        </w:tc>
      </w:tr>
      <w:tr w:rsidR="000A3A8F" w:rsidRPr="00FD0DAE" w14:paraId="2CBD6852" w14:textId="77777777" w:rsidTr="00FD0DAE">
        <w:trPr>
          <w:trHeight w:val="688"/>
          <w:jc w:val="center"/>
        </w:trPr>
        <w:tc>
          <w:tcPr>
            <w:tcW w:w="0" w:type="auto"/>
            <w:hideMark/>
          </w:tcPr>
          <w:p w14:paraId="548E10B8" w14:textId="77777777" w:rsidR="000A3A8F" w:rsidRPr="00FD0DAE" w:rsidRDefault="000A3A8F" w:rsidP="000A3A8F">
            <w:pPr>
              <w:pStyle w:val="NoSpacing"/>
              <w:rPr>
                <w:rFonts w:ascii="Times New Roman" w:hAnsi="Times New Roman" w:cs="Times New Roman"/>
                <w:sz w:val="26"/>
                <w:szCs w:val="26"/>
              </w:rPr>
            </w:pPr>
            <w:r w:rsidRPr="00FD0DAE">
              <w:rPr>
                <w:rFonts w:ascii="Times New Roman" w:hAnsi="Times New Roman" w:cs="Times New Roman"/>
                <w:sz w:val="26"/>
                <w:szCs w:val="26"/>
              </w:rPr>
              <w:t>Finance Secretary, Secretary (Expenditure), Special Secretary, Ministry of Finance</w:t>
            </w:r>
          </w:p>
        </w:tc>
        <w:tc>
          <w:tcPr>
            <w:tcW w:w="0" w:type="auto"/>
            <w:hideMark/>
          </w:tcPr>
          <w:p w14:paraId="692432CA" w14:textId="77777777" w:rsidR="000A3A8F" w:rsidRPr="00FD0DAE" w:rsidRDefault="000A3A8F" w:rsidP="000A3A8F">
            <w:pPr>
              <w:pStyle w:val="NoSpacing"/>
              <w:rPr>
                <w:rFonts w:ascii="Times New Roman" w:hAnsi="Times New Roman" w:cs="Times New Roman"/>
                <w:sz w:val="26"/>
                <w:szCs w:val="26"/>
              </w:rPr>
            </w:pPr>
            <w:r w:rsidRPr="00FD0DAE">
              <w:rPr>
                <w:rFonts w:ascii="Times New Roman" w:hAnsi="Times New Roman" w:cs="Times New Roman"/>
                <w:sz w:val="26"/>
                <w:szCs w:val="26"/>
              </w:rPr>
              <w:t>19th and 20th June and 10th July, 1969</w:t>
            </w:r>
          </w:p>
        </w:tc>
      </w:tr>
      <w:tr w:rsidR="000A3A8F" w:rsidRPr="00FD0DAE" w14:paraId="75C535DC" w14:textId="77777777" w:rsidTr="00FD0DAE">
        <w:trPr>
          <w:trHeight w:val="671"/>
          <w:jc w:val="center"/>
        </w:trPr>
        <w:tc>
          <w:tcPr>
            <w:tcW w:w="0" w:type="auto"/>
            <w:hideMark/>
          </w:tcPr>
          <w:p w14:paraId="7957CBB5" w14:textId="77777777" w:rsidR="000A3A8F" w:rsidRPr="00FD0DAE" w:rsidRDefault="000A3A8F" w:rsidP="000A3A8F">
            <w:pPr>
              <w:pStyle w:val="NoSpacing"/>
              <w:rPr>
                <w:rFonts w:ascii="Times New Roman" w:hAnsi="Times New Roman" w:cs="Times New Roman"/>
                <w:sz w:val="26"/>
                <w:szCs w:val="26"/>
              </w:rPr>
            </w:pPr>
            <w:r w:rsidRPr="00FD0DAE">
              <w:rPr>
                <w:rFonts w:ascii="Times New Roman" w:hAnsi="Times New Roman" w:cs="Times New Roman"/>
                <w:sz w:val="26"/>
                <w:szCs w:val="26"/>
              </w:rPr>
              <w:t>Chairman, Railway Board and Financial Commissioner, Railway Board</w:t>
            </w:r>
          </w:p>
        </w:tc>
        <w:tc>
          <w:tcPr>
            <w:tcW w:w="0" w:type="auto"/>
            <w:hideMark/>
          </w:tcPr>
          <w:p w14:paraId="382EC841" w14:textId="77777777" w:rsidR="000A3A8F" w:rsidRPr="00FD0DAE" w:rsidRDefault="000A3A8F" w:rsidP="000A3A8F">
            <w:pPr>
              <w:pStyle w:val="NoSpacing"/>
              <w:rPr>
                <w:rFonts w:ascii="Times New Roman" w:hAnsi="Times New Roman" w:cs="Times New Roman"/>
                <w:sz w:val="26"/>
                <w:szCs w:val="26"/>
              </w:rPr>
            </w:pPr>
            <w:r w:rsidRPr="00FD0DAE">
              <w:rPr>
                <w:rFonts w:ascii="Times New Roman" w:hAnsi="Times New Roman" w:cs="Times New Roman"/>
                <w:sz w:val="26"/>
                <w:szCs w:val="26"/>
              </w:rPr>
              <w:t>21st June, 1969</w:t>
            </w:r>
          </w:p>
        </w:tc>
      </w:tr>
    </w:tbl>
    <w:p w14:paraId="24F4D267" w14:textId="17E3833F" w:rsidR="007933DE" w:rsidRPr="00FD0DAE" w:rsidRDefault="007933DE" w:rsidP="00616C55">
      <w:pPr>
        <w:pStyle w:val="NoSpacing"/>
        <w:rPr>
          <w:rFonts w:ascii="Times New Roman" w:hAnsi="Times New Roman" w:cs="Times New Roman"/>
          <w:sz w:val="26"/>
          <w:szCs w:val="26"/>
        </w:rPr>
      </w:pPr>
    </w:p>
    <w:p w14:paraId="6A6D4108" w14:textId="7C64C743" w:rsidR="000A3A8F" w:rsidRPr="007245B0" w:rsidRDefault="000A3A8F">
      <w:pPr>
        <w:rPr>
          <w:rFonts w:ascii="Times New Roman" w:hAnsi="Times New Roman" w:cs="Times New Roman"/>
        </w:rPr>
      </w:pPr>
      <w:r w:rsidRPr="007245B0">
        <w:rPr>
          <w:rFonts w:ascii="Times New Roman" w:hAnsi="Times New Roman" w:cs="Times New Roman"/>
        </w:rPr>
        <w:br w:type="page"/>
      </w:r>
    </w:p>
    <w:p w14:paraId="48F71EA0" w14:textId="7A841FFF" w:rsidR="00D7047A" w:rsidRPr="007245B0" w:rsidRDefault="00D7047A" w:rsidP="00474CDC">
      <w:pPr>
        <w:pStyle w:val="Heading2"/>
      </w:pPr>
      <w:bookmarkStart w:id="27" w:name="_Toc220949678"/>
      <w:bookmarkStart w:id="28" w:name="_Toc221115301"/>
      <w:r w:rsidRPr="007245B0">
        <w:lastRenderedPageBreak/>
        <w:t xml:space="preserve">APPENDIX </w:t>
      </w:r>
      <w:r w:rsidR="00474CDC" w:rsidRPr="007245B0">
        <w:t>III</w:t>
      </w:r>
      <w:r w:rsidR="00474CDC">
        <w:t xml:space="preserve"> </w:t>
      </w:r>
      <w:r w:rsidR="00474CDC">
        <w:br/>
      </w:r>
      <w:r w:rsidR="00474CDC" w:rsidRPr="007245B0">
        <w:t>NAMES OF ORGANISATIONS AND INDIVIDUALS WHO SUBMITTED MEMORANDA TO THE COMMISSION</w:t>
      </w:r>
      <w:bookmarkEnd w:id="27"/>
      <w:bookmarkEnd w:id="28"/>
    </w:p>
    <w:p w14:paraId="4B5EAD9A" w14:textId="77777777" w:rsidR="00D7047A" w:rsidRPr="00474CDC" w:rsidRDefault="00D7047A" w:rsidP="008E210D">
      <w:pPr>
        <w:pStyle w:val="NoSpacing"/>
        <w:rPr>
          <w:rFonts w:ascii="Times New Roman" w:hAnsi="Times New Roman" w:cs="Times New Roman"/>
          <w:i/>
          <w:iCs/>
          <w:sz w:val="26"/>
          <w:szCs w:val="26"/>
        </w:rPr>
      </w:pPr>
      <w:r w:rsidRPr="00474CDC">
        <w:rPr>
          <w:rFonts w:ascii="Times New Roman" w:hAnsi="Times New Roman" w:cs="Times New Roman"/>
          <w:i/>
          <w:iCs/>
          <w:sz w:val="26"/>
          <w:szCs w:val="26"/>
        </w:rPr>
        <w:t>(a) Organisations which submitted Memoranda to the Commission</w:t>
      </w:r>
    </w:p>
    <w:p w14:paraId="22C1FC17" w14:textId="77777777" w:rsidR="00474CDC" w:rsidRPr="00474CDC" w:rsidRDefault="00474CDC" w:rsidP="008E210D">
      <w:pPr>
        <w:pStyle w:val="NoSpacing"/>
        <w:rPr>
          <w:rFonts w:ascii="Times New Roman" w:hAnsi="Times New Roman" w:cs="Times New Roman"/>
          <w:sz w:val="26"/>
          <w:szCs w:val="26"/>
        </w:rPr>
      </w:pPr>
    </w:p>
    <w:p w14:paraId="649A3EC3" w14:textId="77777777" w:rsidR="00474CDC" w:rsidRPr="00474CDC" w:rsidRDefault="00474CDC" w:rsidP="00474CDC">
      <w:pPr>
        <w:pStyle w:val="NoSpacing"/>
        <w:rPr>
          <w:rFonts w:ascii="Times New Roman" w:hAnsi="Times New Roman" w:cs="Times New Roman"/>
          <w:sz w:val="26"/>
          <w:szCs w:val="26"/>
        </w:rPr>
      </w:pPr>
      <w:r w:rsidRPr="00474CDC">
        <w:rPr>
          <w:rFonts w:ascii="Times New Roman" w:hAnsi="Times New Roman" w:cs="Times New Roman"/>
          <w:sz w:val="26"/>
          <w:szCs w:val="26"/>
        </w:rPr>
        <w:t>1</w:t>
      </w:r>
      <w:r w:rsidRPr="00474CDC">
        <w:rPr>
          <w:rFonts w:ascii="Times New Roman" w:hAnsi="Times New Roman" w:cs="Times New Roman"/>
          <w:sz w:val="26"/>
          <w:szCs w:val="26"/>
        </w:rPr>
        <w:tab/>
        <w:t>Assam Parishad, Gauhati</w:t>
      </w:r>
    </w:p>
    <w:p w14:paraId="0C66AE56" w14:textId="77777777" w:rsidR="00474CDC" w:rsidRPr="00474CDC" w:rsidRDefault="00474CDC" w:rsidP="00474CDC">
      <w:pPr>
        <w:pStyle w:val="NoSpacing"/>
        <w:rPr>
          <w:rFonts w:ascii="Times New Roman" w:hAnsi="Times New Roman" w:cs="Times New Roman"/>
          <w:sz w:val="26"/>
          <w:szCs w:val="26"/>
        </w:rPr>
      </w:pPr>
      <w:r w:rsidRPr="00474CDC">
        <w:rPr>
          <w:rFonts w:ascii="Times New Roman" w:hAnsi="Times New Roman" w:cs="Times New Roman"/>
          <w:sz w:val="26"/>
          <w:szCs w:val="26"/>
        </w:rPr>
        <w:t>2</w:t>
      </w:r>
      <w:r w:rsidRPr="00474CDC">
        <w:rPr>
          <w:rFonts w:ascii="Times New Roman" w:hAnsi="Times New Roman" w:cs="Times New Roman"/>
          <w:sz w:val="26"/>
          <w:szCs w:val="26"/>
        </w:rPr>
        <w:tab/>
        <w:t>Bharat Chamber of Commerce, Calcutta.</w:t>
      </w:r>
    </w:p>
    <w:p w14:paraId="5A3AD782" w14:textId="77777777" w:rsidR="00474CDC" w:rsidRPr="00474CDC" w:rsidRDefault="00474CDC" w:rsidP="00474CDC">
      <w:pPr>
        <w:pStyle w:val="NoSpacing"/>
        <w:rPr>
          <w:rFonts w:ascii="Times New Roman" w:hAnsi="Times New Roman" w:cs="Times New Roman"/>
          <w:sz w:val="26"/>
          <w:szCs w:val="26"/>
        </w:rPr>
      </w:pPr>
      <w:r w:rsidRPr="00474CDC">
        <w:rPr>
          <w:rFonts w:ascii="Times New Roman" w:hAnsi="Times New Roman" w:cs="Times New Roman"/>
          <w:sz w:val="26"/>
          <w:szCs w:val="26"/>
        </w:rPr>
        <w:t>3</w:t>
      </w:r>
      <w:r w:rsidRPr="00474CDC">
        <w:rPr>
          <w:rFonts w:ascii="Times New Roman" w:hAnsi="Times New Roman" w:cs="Times New Roman"/>
          <w:sz w:val="26"/>
          <w:szCs w:val="26"/>
        </w:rPr>
        <w:tab/>
        <w:t>Bihar Chamber of Commerce, Patna</w:t>
      </w:r>
    </w:p>
    <w:p w14:paraId="1E6A6DE5" w14:textId="77777777" w:rsidR="00474CDC" w:rsidRPr="00474CDC" w:rsidRDefault="00474CDC" w:rsidP="00474CDC">
      <w:pPr>
        <w:pStyle w:val="NoSpacing"/>
        <w:rPr>
          <w:rFonts w:ascii="Times New Roman" w:hAnsi="Times New Roman" w:cs="Times New Roman"/>
          <w:sz w:val="26"/>
          <w:szCs w:val="26"/>
        </w:rPr>
      </w:pPr>
      <w:r w:rsidRPr="00474CDC">
        <w:rPr>
          <w:rFonts w:ascii="Times New Roman" w:hAnsi="Times New Roman" w:cs="Times New Roman"/>
          <w:sz w:val="26"/>
          <w:szCs w:val="26"/>
        </w:rPr>
        <w:t>4</w:t>
      </w:r>
      <w:r w:rsidRPr="00474CDC">
        <w:rPr>
          <w:rFonts w:ascii="Times New Roman" w:hAnsi="Times New Roman" w:cs="Times New Roman"/>
          <w:sz w:val="26"/>
          <w:szCs w:val="26"/>
        </w:rPr>
        <w:tab/>
        <w:t>Birla Institute of Technology &amp; Science, Pilani, Rajasthan</w:t>
      </w:r>
    </w:p>
    <w:p w14:paraId="7406B198" w14:textId="77777777" w:rsidR="00474CDC" w:rsidRPr="00474CDC" w:rsidRDefault="00474CDC" w:rsidP="00474CDC">
      <w:pPr>
        <w:pStyle w:val="NoSpacing"/>
        <w:rPr>
          <w:rFonts w:ascii="Times New Roman" w:hAnsi="Times New Roman" w:cs="Times New Roman"/>
          <w:sz w:val="26"/>
          <w:szCs w:val="26"/>
        </w:rPr>
      </w:pPr>
      <w:r w:rsidRPr="00474CDC">
        <w:rPr>
          <w:rFonts w:ascii="Times New Roman" w:hAnsi="Times New Roman" w:cs="Times New Roman"/>
          <w:sz w:val="26"/>
          <w:szCs w:val="26"/>
        </w:rPr>
        <w:t>5</w:t>
      </w:r>
      <w:r w:rsidRPr="00474CDC">
        <w:rPr>
          <w:rFonts w:ascii="Times New Roman" w:hAnsi="Times New Roman" w:cs="Times New Roman"/>
          <w:sz w:val="26"/>
          <w:szCs w:val="26"/>
        </w:rPr>
        <w:tab/>
        <w:t>Bombay Shroffs Association, Bombay</w:t>
      </w:r>
    </w:p>
    <w:p w14:paraId="3FD81865" w14:textId="77777777" w:rsidR="00474CDC" w:rsidRPr="00474CDC" w:rsidRDefault="00474CDC" w:rsidP="00474CDC">
      <w:pPr>
        <w:pStyle w:val="NoSpacing"/>
        <w:rPr>
          <w:rFonts w:ascii="Times New Roman" w:hAnsi="Times New Roman" w:cs="Times New Roman"/>
          <w:sz w:val="26"/>
          <w:szCs w:val="26"/>
        </w:rPr>
      </w:pPr>
      <w:r w:rsidRPr="00474CDC">
        <w:rPr>
          <w:rFonts w:ascii="Times New Roman" w:hAnsi="Times New Roman" w:cs="Times New Roman"/>
          <w:sz w:val="26"/>
          <w:szCs w:val="26"/>
        </w:rPr>
        <w:t>6</w:t>
      </w:r>
      <w:r w:rsidRPr="00474CDC">
        <w:rPr>
          <w:rFonts w:ascii="Times New Roman" w:hAnsi="Times New Roman" w:cs="Times New Roman"/>
          <w:sz w:val="26"/>
          <w:szCs w:val="26"/>
        </w:rPr>
        <w:tab/>
        <w:t>Chemists and Druggists Association, Madras</w:t>
      </w:r>
    </w:p>
    <w:p w14:paraId="602C9E0D" w14:textId="77777777" w:rsidR="00474CDC" w:rsidRPr="00474CDC" w:rsidRDefault="00474CDC" w:rsidP="00474CDC">
      <w:pPr>
        <w:pStyle w:val="NoSpacing"/>
        <w:rPr>
          <w:rFonts w:ascii="Times New Roman" w:hAnsi="Times New Roman" w:cs="Times New Roman"/>
          <w:sz w:val="26"/>
          <w:szCs w:val="26"/>
        </w:rPr>
      </w:pPr>
      <w:r w:rsidRPr="00474CDC">
        <w:rPr>
          <w:rFonts w:ascii="Times New Roman" w:hAnsi="Times New Roman" w:cs="Times New Roman"/>
          <w:sz w:val="26"/>
          <w:szCs w:val="26"/>
        </w:rPr>
        <w:t>7</w:t>
      </w:r>
      <w:r w:rsidRPr="00474CDC">
        <w:rPr>
          <w:rFonts w:ascii="Times New Roman" w:hAnsi="Times New Roman" w:cs="Times New Roman"/>
          <w:sz w:val="26"/>
          <w:szCs w:val="26"/>
        </w:rPr>
        <w:tab/>
        <w:t>Communist Party of India (Marxists), Kerala</w:t>
      </w:r>
    </w:p>
    <w:p w14:paraId="2AB83DE1" w14:textId="77777777" w:rsidR="00474CDC" w:rsidRPr="00474CDC" w:rsidRDefault="00474CDC" w:rsidP="00474CDC">
      <w:pPr>
        <w:pStyle w:val="NoSpacing"/>
        <w:rPr>
          <w:rFonts w:ascii="Times New Roman" w:hAnsi="Times New Roman" w:cs="Times New Roman"/>
          <w:sz w:val="26"/>
          <w:szCs w:val="26"/>
        </w:rPr>
      </w:pPr>
      <w:r w:rsidRPr="00474CDC">
        <w:rPr>
          <w:rFonts w:ascii="Times New Roman" w:hAnsi="Times New Roman" w:cs="Times New Roman"/>
          <w:sz w:val="26"/>
          <w:szCs w:val="26"/>
        </w:rPr>
        <w:t>8</w:t>
      </w:r>
      <w:r w:rsidRPr="00474CDC">
        <w:rPr>
          <w:rFonts w:ascii="Times New Roman" w:hAnsi="Times New Roman" w:cs="Times New Roman"/>
          <w:sz w:val="26"/>
          <w:szCs w:val="26"/>
        </w:rPr>
        <w:tab/>
        <w:t>Delhi State Chemists Association, New Delhi</w:t>
      </w:r>
    </w:p>
    <w:p w14:paraId="792A9C74" w14:textId="77777777" w:rsidR="00474CDC" w:rsidRPr="00474CDC" w:rsidRDefault="00474CDC" w:rsidP="00474CDC">
      <w:pPr>
        <w:pStyle w:val="NoSpacing"/>
        <w:rPr>
          <w:rFonts w:ascii="Times New Roman" w:hAnsi="Times New Roman" w:cs="Times New Roman"/>
          <w:sz w:val="26"/>
          <w:szCs w:val="26"/>
        </w:rPr>
      </w:pPr>
      <w:r w:rsidRPr="00474CDC">
        <w:rPr>
          <w:rFonts w:ascii="Times New Roman" w:hAnsi="Times New Roman" w:cs="Times New Roman"/>
          <w:sz w:val="26"/>
          <w:szCs w:val="26"/>
        </w:rPr>
        <w:t>9</w:t>
      </w:r>
      <w:r w:rsidRPr="00474CDC">
        <w:rPr>
          <w:rFonts w:ascii="Times New Roman" w:hAnsi="Times New Roman" w:cs="Times New Roman"/>
          <w:sz w:val="26"/>
          <w:szCs w:val="26"/>
        </w:rPr>
        <w:tab/>
        <w:t>Department of Economics, Calcutta University</w:t>
      </w:r>
    </w:p>
    <w:p w14:paraId="72C1056C" w14:textId="77777777" w:rsidR="00474CDC" w:rsidRPr="00474CDC" w:rsidRDefault="00474CDC" w:rsidP="00474CDC">
      <w:pPr>
        <w:pStyle w:val="NoSpacing"/>
        <w:rPr>
          <w:rFonts w:ascii="Times New Roman" w:hAnsi="Times New Roman" w:cs="Times New Roman"/>
          <w:sz w:val="26"/>
          <w:szCs w:val="26"/>
        </w:rPr>
      </w:pPr>
      <w:r w:rsidRPr="00474CDC">
        <w:rPr>
          <w:rFonts w:ascii="Times New Roman" w:hAnsi="Times New Roman" w:cs="Times New Roman"/>
          <w:sz w:val="26"/>
          <w:szCs w:val="26"/>
        </w:rPr>
        <w:t>10</w:t>
      </w:r>
      <w:r w:rsidRPr="00474CDC">
        <w:rPr>
          <w:rFonts w:ascii="Times New Roman" w:hAnsi="Times New Roman" w:cs="Times New Roman"/>
          <w:sz w:val="26"/>
          <w:szCs w:val="26"/>
        </w:rPr>
        <w:tab/>
        <w:t>Engineering Association of Northern India, Kanpur</w:t>
      </w:r>
    </w:p>
    <w:p w14:paraId="71FA0707" w14:textId="77777777" w:rsidR="00474CDC" w:rsidRPr="00474CDC" w:rsidRDefault="00474CDC" w:rsidP="00474CDC">
      <w:pPr>
        <w:pStyle w:val="NoSpacing"/>
        <w:rPr>
          <w:rFonts w:ascii="Times New Roman" w:hAnsi="Times New Roman" w:cs="Times New Roman"/>
          <w:sz w:val="26"/>
          <w:szCs w:val="26"/>
        </w:rPr>
      </w:pPr>
      <w:r w:rsidRPr="00474CDC">
        <w:rPr>
          <w:rFonts w:ascii="Times New Roman" w:hAnsi="Times New Roman" w:cs="Times New Roman"/>
          <w:sz w:val="26"/>
          <w:szCs w:val="26"/>
        </w:rPr>
        <w:t>11</w:t>
      </w:r>
      <w:r w:rsidRPr="00474CDC">
        <w:rPr>
          <w:rFonts w:ascii="Times New Roman" w:hAnsi="Times New Roman" w:cs="Times New Roman"/>
          <w:sz w:val="26"/>
          <w:szCs w:val="26"/>
        </w:rPr>
        <w:tab/>
        <w:t>Executive Committee of Congress Legislative Party, Gujarat</w:t>
      </w:r>
    </w:p>
    <w:p w14:paraId="1FEC8F0E" w14:textId="77777777" w:rsidR="00474CDC" w:rsidRPr="00474CDC" w:rsidRDefault="00474CDC" w:rsidP="00474CDC">
      <w:pPr>
        <w:pStyle w:val="NoSpacing"/>
        <w:rPr>
          <w:rFonts w:ascii="Times New Roman" w:hAnsi="Times New Roman" w:cs="Times New Roman"/>
          <w:sz w:val="26"/>
          <w:szCs w:val="26"/>
        </w:rPr>
      </w:pPr>
      <w:r w:rsidRPr="00474CDC">
        <w:rPr>
          <w:rFonts w:ascii="Times New Roman" w:hAnsi="Times New Roman" w:cs="Times New Roman"/>
          <w:sz w:val="26"/>
          <w:szCs w:val="26"/>
        </w:rPr>
        <w:t>12</w:t>
      </w:r>
      <w:r w:rsidRPr="00474CDC">
        <w:rPr>
          <w:rFonts w:ascii="Times New Roman" w:hAnsi="Times New Roman" w:cs="Times New Roman"/>
          <w:sz w:val="26"/>
          <w:szCs w:val="26"/>
        </w:rPr>
        <w:tab/>
        <w:t>Federation of Gujarat Mills and Industry, Baroda</w:t>
      </w:r>
    </w:p>
    <w:p w14:paraId="5138DB22" w14:textId="77777777" w:rsidR="00474CDC" w:rsidRPr="00474CDC" w:rsidRDefault="00474CDC" w:rsidP="00474CDC">
      <w:pPr>
        <w:pStyle w:val="NoSpacing"/>
        <w:rPr>
          <w:rFonts w:ascii="Times New Roman" w:hAnsi="Times New Roman" w:cs="Times New Roman"/>
          <w:sz w:val="26"/>
          <w:szCs w:val="26"/>
        </w:rPr>
      </w:pPr>
      <w:r w:rsidRPr="00474CDC">
        <w:rPr>
          <w:rFonts w:ascii="Times New Roman" w:hAnsi="Times New Roman" w:cs="Times New Roman"/>
          <w:sz w:val="26"/>
          <w:szCs w:val="26"/>
        </w:rPr>
        <w:t>13</w:t>
      </w:r>
      <w:r w:rsidRPr="00474CDC">
        <w:rPr>
          <w:rFonts w:ascii="Times New Roman" w:hAnsi="Times New Roman" w:cs="Times New Roman"/>
          <w:sz w:val="26"/>
          <w:szCs w:val="26"/>
        </w:rPr>
        <w:tab/>
        <w:t>Federation of Paper Traders Association of India, Bombay</w:t>
      </w:r>
    </w:p>
    <w:p w14:paraId="0D3B9965" w14:textId="77777777" w:rsidR="00474CDC" w:rsidRPr="00474CDC" w:rsidRDefault="00474CDC" w:rsidP="00474CDC">
      <w:pPr>
        <w:pStyle w:val="NoSpacing"/>
        <w:rPr>
          <w:rFonts w:ascii="Times New Roman" w:hAnsi="Times New Roman" w:cs="Times New Roman"/>
          <w:sz w:val="26"/>
          <w:szCs w:val="26"/>
        </w:rPr>
      </w:pPr>
      <w:r w:rsidRPr="00474CDC">
        <w:rPr>
          <w:rFonts w:ascii="Times New Roman" w:hAnsi="Times New Roman" w:cs="Times New Roman"/>
          <w:sz w:val="26"/>
          <w:szCs w:val="26"/>
        </w:rPr>
        <w:t>14</w:t>
      </w:r>
      <w:r w:rsidRPr="00474CDC">
        <w:rPr>
          <w:rFonts w:ascii="Times New Roman" w:hAnsi="Times New Roman" w:cs="Times New Roman"/>
          <w:sz w:val="26"/>
          <w:szCs w:val="26"/>
        </w:rPr>
        <w:tab/>
        <w:t>Gujarat Chamber of Commerce and Industry, Ahmedabad</w:t>
      </w:r>
    </w:p>
    <w:p w14:paraId="42787CB3" w14:textId="77777777" w:rsidR="00474CDC" w:rsidRPr="00474CDC" w:rsidRDefault="00474CDC" w:rsidP="00474CDC">
      <w:pPr>
        <w:pStyle w:val="NoSpacing"/>
        <w:rPr>
          <w:rFonts w:ascii="Times New Roman" w:hAnsi="Times New Roman" w:cs="Times New Roman"/>
          <w:sz w:val="26"/>
          <w:szCs w:val="26"/>
        </w:rPr>
      </w:pPr>
      <w:r w:rsidRPr="00474CDC">
        <w:rPr>
          <w:rFonts w:ascii="Times New Roman" w:hAnsi="Times New Roman" w:cs="Times New Roman"/>
          <w:sz w:val="26"/>
          <w:szCs w:val="26"/>
        </w:rPr>
        <w:t>15</w:t>
      </w:r>
      <w:r w:rsidRPr="00474CDC">
        <w:rPr>
          <w:rFonts w:ascii="Times New Roman" w:hAnsi="Times New Roman" w:cs="Times New Roman"/>
          <w:sz w:val="26"/>
          <w:szCs w:val="26"/>
        </w:rPr>
        <w:tab/>
        <w:t>Gokhale Institute of Public Affairs, Bangalore</w:t>
      </w:r>
    </w:p>
    <w:p w14:paraId="2354C408" w14:textId="77777777" w:rsidR="00474CDC" w:rsidRPr="00474CDC" w:rsidRDefault="00474CDC" w:rsidP="00474CDC">
      <w:pPr>
        <w:pStyle w:val="NoSpacing"/>
        <w:rPr>
          <w:rFonts w:ascii="Times New Roman" w:hAnsi="Times New Roman" w:cs="Times New Roman"/>
          <w:sz w:val="26"/>
          <w:szCs w:val="26"/>
        </w:rPr>
      </w:pPr>
      <w:r w:rsidRPr="00474CDC">
        <w:rPr>
          <w:rFonts w:ascii="Times New Roman" w:hAnsi="Times New Roman" w:cs="Times New Roman"/>
          <w:sz w:val="26"/>
          <w:szCs w:val="26"/>
        </w:rPr>
        <w:t>16</w:t>
      </w:r>
      <w:r w:rsidRPr="00474CDC">
        <w:rPr>
          <w:rFonts w:ascii="Times New Roman" w:hAnsi="Times New Roman" w:cs="Times New Roman"/>
          <w:sz w:val="26"/>
          <w:szCs w:val="26"/>
        </w:rPr>
        <w:tab/>
        <w:t>Indian Roads and Transport Development Association Ltd., Bombay</w:t>
      </w:r>
    </w:p>
    <w:p w14:paraId="05F13B0E" w14:textId="77777777" w:rsidR="00474CDC" w:rsidRPr="00474CDC" w:rsidRDefault="00474CDC" w:rsidP="00474CDC">
      <w:pPr>
        <w:pStyle w:val="NoSpacing"/>
        <w:rPr>
          <w:rFonts w:ascii="Times New Roman" w:hAnsi="Times New Roman" w:cs="Times New Roman"/>
          <w:sz w:val="26"/>
          <w:szCs w:val="26"/>
        </w:rPr>
      </w:pPr>
      <w:r w:rsidRPr="00474CDC">
        <w:rPr>
          <w:rFonts w:ascii="Times New Roman" w:hAnsi="Times New Roman" w:cs="Times New Roman"/>
          <w:sz w:val="26"/>
          <w:szCs w:val="26"/>
        </w:rPr>
        <w:t>17</w:t>
      </w:r>
      <w:r w:rsidRPr="00474CDC">
        <w:rPr>
          <w:rFonts w:ascii="Times New Roman" w:hAnsi="Times New Roman" w:cs="Times New Roman"/>
          <w:sz w:val="26"/>
          <w:szCs w:val="26"/>
        </w:rPr>
        <w:tab/>
        <w:t>Indian Chamber of Commerce, Calcutta</w:t>
      </w:r>
    </w:p>
    <w:p w14:paraId="12733AE4" w14:textId="77777777" w:rsidR="00474CDC" w:rsidRPr="00474CDC" w:rsidRDefault="00474CDC" w:rsidP="00474CDC">
      <w:pPr>
        <w:pStyle w:val="NoSpacing"/>
        <w:rPr>
          <w:rFonts w:ascii="Times New Roman" w:hAnsi="Times New Roman" w:cs="Times New Roman"/>
          <w:sz w:val="26"/>
          <w:szCs w:val="26"/>
        </w:rPr>
      </w:pPr>
      <w:r w:rsidRPr="00474CDC">
        <w:rPr>
          <w:rFonts w:ascii="Times New Roman" w:hAnsi="Times New Roman" w:cs="Times New Roman"/>
          <w:sz w:val="26"/>
          <w:szCs w:val="26"/>
        </w:rPr>
        <w:t>18</w:t>
      </w:r>
      <w:r w:rsidRPr="00474CDC">
        <w:rPr>
          <w:rFonts w:ascii="Times New Roman" w:hAnsi="Times New Roman" w:cs="Times New Roman"/>
          <w:sz w:val="26"/>
          <w:szCs w:val="26"/>
        </w:rPr>
        <w:tab/>
        <w:t>Inter-University Board of India and Ceylon, New Delhi</w:t>
      </w:r>
    </w:p>
    <w:p w14:paraId="69A6F625" w14:textId="77777777" w:rsidR="00474CDC" w:rsidRPr="00474CDC" w:rsidRDefault="00474CDC" w:rsidP="00474CDC">
      <w:pPr>
        <w:pStyle w:val="NoSpacing"/>
        <w:rPr>
          <w:rFonts w:ascii="Times New Roman" w:hAnsi="Times New Roman" w:cs="Times New Roman"/>
          <w:sz w:val="26"/>
          <w:szCs w:val="26"/>
        </w:rPr>
      </w:pPr>
      <w:r w:rsidRPr="00474CDC">
        <w:rPr>
          <w:rFonts w:ascii="Times New Roman" w:hAnsi="Times New Roman" w:cs="Times New Roman"/>
          <w:sz w:val="26"/>
          <w:szCs w:val="26"/>
        </w:rPr>
        <w:t>19</w:t>
      </w:r>
      <w:r w:rsidRPr="00474CDC">
        <w:rPr>
          <w:rFonts w:ascii="Times New Roman" w:hAnsi="Times New Roman" w:cs="Times New Roman"/>
          <w:sz w:val="26"/>
          <w:szCs w:val="26"/>
        </w:rPr>
        <w:tab/>
        <w:t>Kerala State Committee of Communist Party, Kerala</w:t>
      </w:r>
    </w:p>
    <w:p w14:paraId="453DE7EC" w14:textId="77777777" w:rsidR="00474CDC" w:rsidRPr="00474CDC" w:rsidRDefault="00474CDC" w:rsidP="00474CDC">
      <w:pPr>
        <w:pStyle w:val="NoSpacing"/>
        <w:rPr>
          <w:rFonts w:ascii="Times New Roman" w:hAnsi="Times New Roman" w:cs="Times New Roman"/>
          <w:sz w:val="26"/>
          <w:szCs w:val="26"/>
        </w:rPr>
      </w:pPr>
      <w:r w:rsidRPr="00474CDC">
        <w:rPr>
          <w:rFonts w:ascii="Times New Roman" w:hAnsi="Times New Roman" w:cs="Times New Roman"/>
          <w:sz w:val="26"/>
          <w:szCs w:val="26"/>
        </w:rPr>
        <w:t>20</w:t>
      </w:r>
      <w:r w:rsidRPr="00474CDC">
        <w:rPr>
          <w:rFonts w:ascii="Times New Roman" w:hAnsi="Times New Roman" w:cs="Times New Roman"/>
          <w:sz w:val="26"/>
          <w:szCs w:val="26"/>
        </w:rPr>
        <w:tab/>
        <w:t>Madurai Ramnad Chamber of Commerce, Madurai</w:t>
      </w:r>
    </w:p>
    <w:p w14:paraId="72F71396" w14:textId="77777777" w:rsidR="00474CDC" w:rsidRPr="00474CDC" w:rsidRDefault="00474CDC" w:rsidP="00474CDC">
      <w:pPr>
        <w:pStyle w:val="NoSpacing"/>
        <w:rPr>
          <w:rFonts w:ascii="Times New Roman" w:hAnsi="Times New Roman" w:cs="Times New Roman"/>
          <w:sz w:val="26"/>
          <w:szCs w:val="26"/>
        </w:rPr>
      </w:pPr>
      <w:r w:rsidRPr="00474CDC">
        <w:rPr>
          <w:rFonts w:ascii="Times New Roman" w:hAnsi="Times New Roman" w:cs="Times New Roman"/>
          <w:sz w:val="26"/>
          <w:szCs w:val="26"/>
        </w:rPr>
        <w:t>21</w:t>
      </w:r>
      <w:r w:rsidRPr="00474CDC">
        <w:rPr>
          <w:rFonts w:ascii="Times New Roman" w:hAnsi="Times New Roman" w:cs="Times New Roman"/>
          <w:sz w:val="26"/>
          <w:szCs w:val="26"/>
        </w:rPr>
        <w:tab/>
        <w:t>Merchants Chamber of Uttar Pradesh, Uttar Pradesh</w:t>
      </w:r>
    </w:p>
    <w:p w14:paraId="0BB74CF1" w14:textId="77777777" w:rsidR="00474CDC" w:rsidRPr="00474CDC" w:rsidRDefault="00474CDC" w:rsidP="00474CDC">
      <w:pPr>
        <w:pStyle w:val="NoSpacing"/>
        <w:rPr>
          <w:rFonts w:ascii="Times New Roman" w:hAnsi="Times New Roman" w:cs="Times New Roman"/>
          <w:sz w:val="26"/>
          <w:szCs w:val="26"/>
        </w:rPr>
      </w:pPr>
      <w:r w:rsidRPr="00474CDC">
        <w:rPr>
          <w:rFonts w:ascii="Times New Roman" w:hAnsi="Times New Roman" w:cs="Times New Roman"/>
          <w:sz w:val="26"/>
          <w:szCs w:val="26"/>
        </w:rPr>
        <w:t>22</w:t>
      </w:r>
      <w:r w:rsidRPr="00474CDC">
        <w:rPr>
          <w:rFonts w:ascii="Times New Roman" w:hAnsi="Times New Roman" w:cs="Times New Roman"/>
          <w:sz w:val="26"/>
          <w:szCs w:val="26"/>
        </w:rPr>
        <w:tab/>
        <w:t>Mysore Chamber of Commerce &amp; Industry, Bangalore</w:t>
      </w:r>
    </w:p>
    <w:p w14:paraId="120F7F50" w14:textId="77777777" w:rsidR="00474CDC" w:rsidRPr="00474CDC" w:rsidRDefault="00474CDC" w:rsidP="00474CDC">
      <w:pPr>
        <w:pStyle w:val="NoSpacing"/>
        <w:rPr>
          <w:rFonts w:ascii="Times New Roman" w:hAnsi="Times New Roman" w:cs="Times New Roman"/>
          <w:sz w:val="26"/>
          <w:szCs w:val="26"/>
        </w:rPr>
      </w:pPr>
      <w:r w:rsidRPr="00474CDC">
        <w:rPr>
          <w:rFonts w:ascii="Times New Roman" w:hAnsi="Times New Roman" w:cs="Times New Roman"/>
          <w:sz w:val="26"/>
          <w:szCs w:val="26"/>
        </w:rPr>
        <w:t>23</w:t>
      </w:r>
      <w:r w:rsidRPr="00474CDC">
        <w:rPr>
          <w:rFonts w:ascii="Times New Roman" w:hAnsi="Times New Roman" w:cs="Times New Roman"/>
          <w:sz w:val="26"/>
          <w:szCs w:val="26"/>
        </w:rPr>
        <w:tab/>
        <w:t>Non-Gazetted Officers Association, Gulbarga</w:t>
      </w:r>
    </w:p>
    <w:p w14:paraId="7793D7A8" w14:textId="77777777" w:rsidR="00474CDC" w:rsidRPr="00474CDC" w:rsidRDefault="00474CDC" w:rsidP="00474CDC">
      <w:pPr>
        <w:pStyle w:val="NoSpacing"/>
        <w:rPr>
          <w:rFonts w:ascii="Times New Roman" w:hAnsi="Times New Roman" w:cs="Times New Roman"/>
          <w:sz w:val="26"/>
          <w:szCs w:val="26"/>
        </w:rPr>
      </w:pPr>
      <w:r w:rsidRPr="00474CDC">
        <w:rPr>
          <w:rFonts w:ascii="Times New Roman" w:hAnsi="Times New Roman" w:cs="Times New Roman"/>
          <w:sz w:val="26"/>
          <w:szCs w:val="26"/>
        </w:rPr>
        <w:t>24</w:t>
      </w:r>
      <w:r w:rsidRPr="00474CDC">
        <w:rPr>
          <w:rFonts w:ascii="Times New Roman" w:hAnsi="Times New Roman" w:cs="Times New Roman"/>
          <w:sz w:val="26"/>
          <w:szCs w:val="26"/>
        </w:rPr>
        <w:tab/>
        <w:t>Non-official members of the State Planning Board, Kerala</w:t>
      </w:r>
    </w:p>
    <w:p w14:paraId="7DC53FB0" w14:textId="77777777" w:rsidR="00474CDC" w:rsidRPr="00474CDC" w:rsidRDefault="00474CDC" w:rsidP="00474CDC">
      <w:pPr>
        <w:pStyle w:val="NoSpacing"/>
        <w:rPr>
          <w:rFonts w:ascii="Times New Roman" w:hAnsi="Times New Roman" w:cs="Times New Roman"/>
          <w:sz w:val="26"/>
          <w:szCs w:val="26"/>
        </w:rPr>
      </w:pPr>
      <w:r w:rsidRPr="00474CDC">
        <w:rPr>
          <w:rFonts w:ascii="Times New Roman" w:hAnsi="Times New Roman" w:cs="Times New Roman"/>
          <w:sz w:val="26"/>
          <w:szCs w:val="26"/>
        </w:rPr>
        <w:t>25</w:t>
      </w:r>
      <w:r w:rsidRPr="00474CDC">
        <w:rPr>
          <w:rFonts w:ascii="Times New Roman" w:hAnsi="Times New Roman" w:cs="Times New Roman"/>
          <w:sz w:val="26"/>
          <w:szCs w:val="26"/>
        </w:rPr>
        <w:tab/>
        <w:t>Rajasthan Chamber of Commerce, Jaipur</w:t>
      </w:r>
    </w:p>
    <w:p w14:paraId="1329464A" w14:textId="77777777" w:rsidR="00474CDC" w:rsidRPr="00474CDC" w:rsidRDefault="00474CDC" w:rsidP="00474CDC">
      <w:pPr>
        <w:pStyle w:val="NoSpacing"/>
        <w:rPr>
          <w:rFonts w:ascii="Times New Roman" w:hAnsi="Times New Roman" w:cs="Times New Roman"/>
          <w:sz w:val="26"/>
          <w:szCs w:val="26"/>
        </w:rPr>
      </w:pPr>
      <w:r w:rsidRPr="00474CDC">
        <w:rPr>
          <w:rFonts w:ascii="Times New Roman" w:hAnsi="Times New Roman" w:cs="Times New Roman"/>
          <w:sz w:val="26"/>
          <w:szCs w:val="26"/>
        </w:rPr>
        <w:t>26</w:t>
      </w:r>
      <w:r w:rsidRPr="00474CDC">
        <w:rPr>
          <w:rFonts w:ascii="Times New Roman" w:hAnsi="Times New Roman" w:cs="Times New Roman"/>
          <w:sz w:val="26"/>
          <w:szCs w:val="26"/>
        </w:rPr>
        <w:tab/>
        <w:t>Rajasthan Vyapar Udyog Mandal, Jaipur</w:t>
      </w:r>
    </w:p>
    <w:p w14:paraId="317A4865" w14:textId="77777777" w:rsidR="00474CDC" w:rsidRPr="00474CDC" w:rsidRDefault="00474CDC" w:rsidP="00474CDC">
      <w:pPr>
        <w:pStyle w:val="NoSpacing"/>
        <w:rPr>
          <w:rFonts w:ascii="Times New Roman" w:hAnsi="Times New Roman" w:cs="Times New Roman"/>
          <w:sz w:val="26"/>
          <w:szCs w:val="26"/>
        </w:rPr>
      </w:pPr>
      <w:r w:rsidRPr="00474CDC">
        <w:rPr>
          <w:rFonts w:ascii="Times New Roman" w:hAnsi="Times New Roman" w:cs="Times New Roman"/>
          <w:sz w:val="26"/>
          <w:szCs w:val="26"/>
        </w:rPr>
        <w:t>27</w:t>
      </w:r>
      <w:r w:rsidRPr="00474CDC">
        <w:rPr>
          <w:rFonts w:ascii="Times New Roman" w:hAnsi="Times New Roman" w:cs="Times New Roman"/>
          <w:sz w:val="26"/>
          <w:szCs w:val="26"/>
        </w:rPr>
        <w:tab/>
        <w:t>Raniganj Chamber of Commerce, West Bengal</w:t>
      </w:r>
    </w:p>
    <w:p w14:paraId="3B38176B" w14:textId="77777777" w:rsidR="00474CDC" w:rsidRPr="00474CDC" w:rsidRDefault="00474CDC" w:rsidP="00474CDC">
      <w:pPr>
        <w:pStyle w:val="NoSpacing"/>
        <w:rPr>
          <w:rFonts w:ascii="Times New Roman" w:hAnsi="Times New Roman" w:cs="Times New Roman"/>
          <w:sz w:val="26"/>
          <w:szCs w:val="26"/>
        </w:rPr>
      </w:pPr>
      <w:r w:rsidRPr="00474CDC">
        <w:rPr>
          <w:rFonts w:ascii="Times New Roman" w:hAnsi="Times New Roman" w:cs="Times New Roman"/>
          <w:sz w:val="26"/>
          <w:szCs w:val="26"/>
        </w:rPr>
        <w:t>28</w:t>
      </w:r>
      <w:r w:rsidRPr="00474CDC">
        <w:rPr>
          <w:rFonts w:ascii="Times New Roman" w:hAnsi="Times New Roman" w:cs="Times New Roman"/>
          <w:sz w:val="26"/>
          <w:szCs w:val="26"/>
        </w:rPr>
        <w:tab/>
        <w:t>The Indian Merchants Chamber, Bombay</w:t>
      </w:r>
    </w:p>
    <w:p w14:paraId="71E73DB5" w14:textId="77777777" w:rsidR="00474CDC" w:rsidRPr="00474CDC" w:rsidRDefault="00474CDC" w:rsidP="00474CDC">
      <w:pPr>
        <w:pStyle w:val="NoSpacing"/>
        <w:rPr>
          <w:rFonts w:ascii="Times New Roman" w:hAnsi="Times New Roman" w:cs="Times New Roman"/>
          <w:sz w:val="26"/>
          <w:szCs w:val="26"/>
        </w:rPr>
      </w:pPr>
      <w:r w:rsidRPr="00474CDC">
        <w:rPr>
          <w:rFonts w:ascii="Times New Roman" w:hAnsi="Times New Roman" w:cs="Times New Roman"/>
          <w:sz w:val="26"/>
          <w:szCs w:val="26"/>
        </w:rPr>
        <w:t>29</w:t>
      </w:r>
      <w:r w:rsidRPr="00474CDC">
        <w:rPr>
          <w:rFonts w:ascii="Times New Roman" w:hAnsi="Times New Roman" w:cs="Times New Roman"/>
          <w:sz w:val="26"/>
          <w:szCs w:val="26"/>
        </w:rPr>
        <w:tab/>
        <w:t>The Institute of Chartered Accountants of India, New Delhi</w:t>
      </w:r>
    </w:p>
    <w:p w14:paraId="4F3740CA" w14:textId="77777777" w:rsidR="00474CDC" w:rsidRPr="00474CDC" w:rsidRDefault="00474CDC" w:rsidP="00474CDC">
      <w:pPr>
        <w:pStyle w:val="NoSpacing"/>
        <w:rPr>
          <w:rFonts w:ascii="Times New Roman" w:hAnsi="Times New Roman" w:cs="Times New Roman"/>
          <w:sz w:val="26"/>
          <w:szCs w:val="26"/>
        </w:rPr>
      </w:pPr>
      <w:r w:rsidRPr="00474CDC">
        <w:rPr>
          <w:rFonts w:ascii="Times New Roman" w:hAnsi="Times New Roman" w:cs="Times New Roman"/>
          <w:sz w:val="26"/>
          <w:szCs w:val="26"/>
        </w:rPr>
        <w:t>30</w:t>
      </w:r>
      <w:r w:rsidRPr="00474CDC">
        <w:rPr>
          <w:rFonts w:ascii="Times New Roman" w:hAnsi="Times New Roman" w:cs="Times New Roman"/>
          <w:sz w:val="26"/>
          <w:szCs w:val="26"/>
        </w:rPr>
        <w:tab/>
        <w:t>University of Madras, Chepauk, Madras</w:t>
      </w:r>
    </w:p>
    <w:p w14:paraId="73AE2BBA" w14:textId="15BD5EED" w:rsidR="00474CDC" w:rsidRPr="00474CDC" w:rsidRDefault="00474CDC" w:rsidP="00474CDC">
      <w:pPr>
        <w:pStyle w:val="NoSpacing"/>
        <w:rPr>
          <w:rFonts w:ascii="Times New Roman" w:hAnsi="Times New Roman" w:cs="Times New Roman"/>
          <w:sz w:val="26"/>
          <w:szCs w:val="26"/>
        </w:rPr>
      </w:pPr>
      <w:r w:rsidRPr="00474CDC">
        <w:rPr>
          <w:rFonts w:ascii="Times New Roman" w:hAnsi="Times New Roman" w:cs="Times New Roman"/>
          <w:sz w:val="26"/>
          <w:szCs w:val="26"/>
        </w:rPr>
        <w:t>31</w:t>
      </w:r>
      <w:r w:rsidRPr="00474CDC">
        <w:rPr>
          <w:rFonts w:ascii="Times New Roman" w:hAnsi="Times New Roman" w:cs="Times New Roman"/>
          <w:sz w:val="26"/>
          <w:szCs w:val="26"/>
        </w:rPr>
        <w:tab/>
        <w:t>Vyaparik Association Mandal, Hanumangarh Town, Rajasthan</w:t>
      </w:r>
    </w:p>
    <w:p w14:paraId="413D631B" w14:textId="77777777" w:rsidR="000A3A8F" w:rsidRPr="007245B0" w:rsidRDefault="000A3A8F" w:rsidP="008E210D">
      <w:pPr>
        <w:pStyle w:val="NoSpacing"/>
        <w:rPr>
          <w:rFonts w:ascii="Times New Roman" w:hAnsi="Times New Roman" w:cs="Times New Roman"/>
        </w:rPr>
      </w:pPr>
    </w:p>
    <w:p w14:paraId="7EA05774" w14:textId="77777777" w:rsidR="00474CDC" w:rsidRDefault="00474CDC">
      <w:pPr>
        <w:rPr>
          <w:rFonts w:ascii="Times New Roman" w:hAnsi="Times New Roman" w:cs="Times New Roman"/>
          <w:b/>
          <w:bCs/>
        </w:rPr>
      </w:pPr>
      <w:r>
        <w:rPr>
          <w:rFonts w:ascii="Times New Roman" w:hAnsi="Times New Roman" w:cs="Times New Roman"/>
          <w:b/>
          <w:bCs/>
        </w:rPr>
        <w:br w:type="page"/>
      </w:r>
    </w:p>
    <w:p w14:paraId="7B94E692" w14:textId="77777777" w:rsidR="00F75421" w:rsidRDefault="00F75421" w:rsidP="00F75421">
      <w:pPr>
        <w:pStyle w:val="NoSpacing"/>
        <w:rPr>
          <w:rFonts w:ascii="Times New Roman" w:hAnsi="Times New Roman" w:cs="Times New Roman"/>
          <w:i/>
          <w:iCs/>
          <w:sz w:val="26"/>
          <w:szCs w:val="26"/>
        </w:rPr>
      </w:pPr>
      <w:r w:rsidRPr="00474CDC">
        <w:rPr>
          <w:rFonts w:ascii="Times New Roman" w:hAnsi="Times New Roman" w:cs="Times New Roman"/>
          <w:i/>
          <w:iCs/>
          <w:sz w:val="26"/>
          <w:szCs w:val="26"/>
        </w:rPr>
        <w:lastRenderedPageBreak/>
        <w:t>(b) Individuals who submitted Memoranda to the Commission</w:t>
      </w:r>
    </w:p>
    <w:p w14:paraId="015DBF82" w14:textId="77777777" w:rsidR="00474CDC" w:rsidRDefault="00474CDC" w:rsidP="00F75421">
      <w:pPr>
        <w:pStyle w:val="NoSpacing"/>
        <w:rPr>
          <w:rFonts w:ascii="Times New Roman" w:hAnsi="Times New Roman" w:cs="Times New Roman"/>
          <w:i/>
          <w:iCs/>
          <w:sz w:val="26"/>
          <w:szCs w:val="26"/>
        </w:rPr>
      </w:pPr>
    </w:p>
    <w:p w14:paraId="331A6F12" w14:textId="77777777" w:rsidR="00474CDC" w:rsidRPr="00474CDC" w:rsidRDefault="00474CDC" w:rsidP="00474CDC">
      <w:pPr>
        <w:pStyle w:val="NoSpacing"/>
        <w:spacing w:line="300" w:lineRule="exact"/>
        <w:rPr>
          <w:rFonts w:ascii="Times New Roman" w:hAnsi="Times New Roman" w:cs="Times New Roman"/>
          <w:sz w:val="26"/>
          <w:szCs w:val="26"/>
        </w:rPr>
      </w:pPr>
      <w:r w:rsidRPr="00474CDC">
        <w:rPr>
          <w:rFonts w:ascii="Times New Roman" w:hAnsi="Times New Roman" w:cs="Times New Roman"/>
          <w:sz w:val="26"/>
          <w:szCs w:val="26"/>
        </w:rPr>
        <w:t>1</w:t>
      </w:r>
      <w:r w:rsidRPr="00474CDC">
        <w:rPr>
          <w:rFonts w:ascii="Times New Roman" w:hAnsi="Times New Roman" w:cs="Times New Roman"/>
          <w:sz w:val="26"/>
          <w:szCs w:val="26"/>
        </w:rPr>
        <w:tab/>
        <w:t>Shri Yogindra Sharma, Member, Lok Sabha</w:t>
      </w:r>
    </w:p>
    <w:p w14:paraId="1823E453" w14:textId="77777777" w:rsidR="00474CDC" w:rsidRPr="00474CDC" w:rsidRDefault="00474CDC" w:rsidP="00474CDC">
      <w:pPr>
        <w:pStyle w:val="NoSpacing"/>
        <w:spacing w:line="300" w:lineRule="exact"/>
        <w:rPr>
          <w:rFonts w:ascii="Times New Roman" w:hAnsi="Times New Roman" w:cs="Times New Roman"/>
          <w:sz w:val="26"/>
          <w:szCs w:val="26"/>
        </w:rPr>
      </w:pPr>
      <w:r w:rsidRPr="00474CDC">
        <w:rPr>
          <w:rFonts w:ascii="Times New Roman" w:hAnsi="Times New Roman" w:cs="Times New Roman"/>
          <w:sz w:val="26"/>
          <w:szCs w:val="26"/>
        </w:rPr>
        <w:t>2</w:t>
      </w:r>
      <w:r w:rsidRPr="00474CDC">
        <w:rPr>
          <w:rFonts w:ascii="Times New Roman" w:hAnsi="Times New Roman" w:cs="Times New Roman"/>
          <w:sz w:val="26"/>
          <w:szCs w:val="26"/>
        </w:rPr>
        <w:tab/>
        <w:t>Shri Hem Raj, Member, Lok Sabha</w:t>
      </w:r>
    </w:p>
    <w:p w14:paraId="33FB1560" w14:textId="77777777" w:rsidR="00474CDC" w:rsidRPr="00474CDC" w:rsidRDefault="00474CDC" w:rsidP="00474CDC">
      <w:pPr>
        <w:pStyle w:val="NoSpacing"/>
        <w:spacing w:line="300" w:lineRule="exact"/>
        <w:rPr>
          <w:rFonts w:ascii="Times New Roman" w:hAnsi="Times New Roman" w:cs="Times New Roman"/>
          <w:sz w:val="26"/>
          <w:szCs w:val="26"/>
        </w:rPr>
      </w:pPr>
      <w:r w:rsidRPr="00474CDC">
        <w:rPr>
          <w:rFonts w:ascii="Times New Roman" w:hAnsi="Times New Roman" w:cs="Times New Roman"/>
          <w:sz w:val="26"/>
          <w:szCs w:val="26"/>
        </w:rPr>
        <w:t>3</w:t>
      </w:r>
      <w:r w:rsidRPr="00474CDC">
        <w:rPr>
          <w:rFonts w:ascii="Times New Roman" w:hAnsi="Times New Roman" w:cs="Times New Roman"/>
          <w:sz w:val="26"/>
          <w:szCs w:val="26"/>
        </w:rPr>
        <w:tab/>
        <w:t>Shri Era Sezhiyan, Member, Lok Sabha</w:t>
      </w:r>
    </w:p>
    <w:p w14:paraId="426FD9D1" w14:textId="77777777" w:rsidR="00474CDC" w:rsidRPr="00474CDC" w:rsidRDefault="00474CDC" w:rsidP="00474CDC">
      <w:pPr>
        <w:pStyle w:val="NoSpacing"/>
        <w:spacing w:line="300" w:lineRule="exact"/>
        <w:rPr>
          <w:rFonts w:ascii="Times New Roman" w:hAnsi="Times New Roman" w:cs="Times New Roman"/>
          <w:sz w:val="26"/>
          <w:szCs w:val="26"/>
        </w:rPr>
      </w:pPr>
      <w:r w:rsidRPr="00474CDC">
        <w:rPr>
          <w:rFonts w:ascii="Times New Roman" w:hAnsi="Times New Roman" w:cs="Times New Roman"/>
          <w:sz w:val="26"/>
          <w:szCs w:val="26"/>
        </w:rPr>
        <w:t>4</w:t>
      </w:r>
      <w:r w:rsidRPr="00474CDC">
        <w:rPr>
          <w:rFonts w:ascii="Times New Roman" w:hAnsi="Times New Roman" w:cs="Times New Roman"/>
          <w:sz w:val="26"/>
          <w:szCs w:val="26"/>
        </w:rPr>
        <w:tab/>
        <w:t>Shri P. Viswambharan, Member, Lok Sabha</w:t>
      </w:r>
    </w:p>
    <w:p w14:paraId="58040DE0" w14:textId="77777777" w:rsidR="00474CDC" w:rsidRPr="00474CDC" w:rsidRDefault="00474CDC" w:rsidP="00474CDC">
      <w:pPr>
        <w:pStyle w:val="NoSpacing"/>
        <w:spacing w:line="300" w:lineRule="exact"/>
        <w:rPr>
          <w:rFonts w:ascii="Times New Roman" w:hAnsi="Times New Roman" w:cs="Times New Roman"/>
          <w:sz w:val="26"/>
          <w:szCs w:val="26"/>
        </w:rPr>
      </w:pPr>
      <w:r w:rsidRPr="00474CDC">
        <w:rPr>
          <w:rFonts w:ascii="Times New Roman" w:hAnsi="Times New Roman" w:cs="Times New Roman"/>
          <w:sz w:val="26"/>
          <w:szCs w:val="26"/>
        </w:rPr>
        <w:t>5</w:t>
      </w:r>
      <w:r w:rsidRPr="00474CDC">
        <w:rPr>
          <w:rFonts w:ascii="Times New Roman" w:hAnsi="Times New Roman" w:cs="Times New Roman"/>
          <w:sz w:val="26"/>
          <w:szCs w:val="26"/>
        </w:rPr>
        <w:tab/>
        <w:t>Shri N. Sreekantan Nair, Member, Lok Sabha</w:t>
      </w:r>
    </w:p>
    <w:p w14:paraId="2E953A3F" w14:textId="77777777" w:rsidR="00474CDC" w:rsidRPr="00474CDC" w:rsidRDefault="00474CDC" w:rsidP="00474CDC">
      <w:pPr>
        <w:pStyle w:val="NoSpacing"/>
        <w:spacing w:line="300" w:lineRule="exact"/>
        <w:rPr>
          <w:rFonts w:ascii="Times New Roman" w:hAnsi="Times New Roman" w:cs="Times New Roman"/>
          <w:sz w:val="26"/>
          <w:szCs w:val="26"/>
        </w:rPr>
      </w:pPr>
      <w:r w:rsidRPr="00474CDC">
        <w:rPr>
          <w:rFonts w:ascii="Times New Roman" w:hAnsi="Times New Roman" w:cs="Times New Roman"/>
          <w:sz w:val="26"/>
          <w:szCs w:val="26"/>
        </w:rPr>
        <w:t>6</w:t>
      </w:r>
      <w:r w:rsidRPr="00474CDC">
        <w:rPr>
          <w:rFonts w:ascii="Times New Roman" w:hAnsi="Times New Roman" w:cs="Times New Roman"/>
          <w:sz w:val="26"/>
          <w:szCs w:val="26"/>
        </w:rPr>
        <w:tab/>
        <w:t>Shri C. T. Dhandapani, Member, Rajya Sabha</w:t>
      </w:r>
    </w:p>
    <w:p w14:paraId="2DE83DA2" w14:textId="77777777" w:rsidR="00474CDC" w:rsidRPr="00474CDC" w:rsidRDefault="00474CDC" w:rsidP="00474CDC">
      <w:pPr>
        <w:pStyle w:val="NoSpacing"/>
        <w:spacing w:line="300" w:lineRule="exact"/>
        <w:rPr>
          <w:rFonts w:ascii="Times New Roman" w:hAnsi="Times New Roman" w:cs="Times New Roman"/>
          <w:sz w:val="26"/>
          <w:szCs w:val="26"/>
        </w:rPr>
      </w:pPr>
      <w:r w:rsidRPr="00474CDC">
        <w:rPr>
          <w:rFonts w:ascii="Times New Roman" w:hAnsi="Times New Roman" w:cs="Times New Roman"/>
          <w:sz w:val="26"/>
          <w:szCs w:val="26"/>
        </w:rPr>
        <w:t>7</w:t>
      </w:r>
      <w:r w:rsidRPr="00474CDC">
        <w:rPr>
          <w:rFonts w:ascii="Times New Roman" w:hAnsi="Times New Roman" w:cs="Times New Roman"/>
          <w:sz w:val="26"/>
          <w:szCs w:val="26"/>
        </w:rPr>
        <w:tab/>
        <w:t>Shri K. Chandrasekharan, Member, Rajya Sabha</w:t>
      </w:r>
    </w:p>
    <w:p w14:paraId="419132EA" w14:textId="77777777" w:rsidR="00474CDC" w:rsidRPr="00474CDC" w:rsidRDefault="00474CDC" w:rsidP="00474CDC">
      <w:pPr>
        <w:pStyle w:val="NoSpacing"/>
        <w:spacing w:line="300" w:lineRule="exact"/>
        <w:rPr>
          <w:rFonts w:ascii="Times New Roman" w:hAnsi="Times New Roman" w:cs="Times New Roman"/>
          <w:sz w:val="26"/>
          <w:szCs w:val="26"/>
        </w:rPr>
      </w:pPr>
      <w:r w:rsidRPr="00474CDC">
        <w:rPr>
          <w:rFonts w:ascii="Times New Roman" w:hAnsi="Times New Roman" w:cs="Times New Roman"/>
          <w:sz w:val="26"/>
          <w:szCs w:val="26"/>
        </w:rPr>
        <w:t>8</w:t>
      </w:r>
      <w:r w:rsidRPr="00474CDC">
        <w:rPr>
          <w:rFonts w:ascii="Times New Roman" w:hAnsi="Times New Roman" w:cs="Times New Roman"/>
          <w:sz w:val="26"/>
          <w:szCs w:val="26"/>
        </w:rPr>
        <w:tab/>
        <w:t>Smt. Shakuntala Panjipe, Member, Rajya Sabha</w:t>
      </w:r>
    </w:p>
    <w:p w14:paraId="7A5B0449" w14:textId="77777777" w:rsidR="00474CDC" w:rsidRPr="00474CDC" w:rsidRDefault="00474CDC" w:rsidP="00474CDC">
      <w:pPr>
        <w:pStyle w:val="NoSpacing"/>
        <w:spacing w:line="300" w:lineRule="exact"/>
        <w:rPr>
          <w:rFonts w:ascii="Times New Roman" w:hAnsi="Times New Roman" w:cs="Times New Roman"/>
          <w:sz w:val="26"/>
          <w:szCs w:val="26"/>
        </w:rPr>
      </w:pPr>
      <w:r w:rsidRPr="00474CDC">
        <w:rPr>
          <w:rFonts w:ascii="Times New Roman" w:hAnsi="Times New Roman" w:cs="Times New Roman"/>
          <w:sz w:val="26"/>
          <w:szCs w:val="26"/>
        </w:rPr>
        <w:t>9</w:t>
      </w:r>
      <w:r w:rsidRPr="00474CDC">
        <w:rPr>
          <w:rFonts w:ascii="Times New Roman" w:hAnsi="Times New Roman" w:cs="Times New Roman"/>
          <w:sz w:val="26"/>
          <w:szCs w:val="26"/>
        </w:rPr>
        <w:tab/>
        <w:t>Shri Babubhai M. Chinai, Member, Rajya Sabha</w:t>
      </w:r>
    </w:p>
    <w:p w14:paraId="10C05717" w14:textId="1F188992" w:rsidR="00474CDC" w:rsidRPr="00474CDC" w:rsidRDefault="00474CDC" w:rsidP="00C20062">
      <w:pPr>
        <w:pStyle w:val="NoSpacing"/>
        <w:spacing w:line="300" w:lineRule="exact"/>
        <w:ind w:left="720" w:hanging="720"/>
        <w:rPr>
          <w:rFonts w:ascii="Times New Roman" w:hAnsi="Times New Roman" w:cs="Times New Roman"/>
          <w:sz w:val="26"/>
          <w:szCs w:val="26"/>
        </w:rPr>
      </w:pPr>
      <w:r w:rsidRPr="00474CDC">
        <w:rPr>
          <w:rFonts w:ascii="Times New Roman" w:hAnsi="Times New Roman" w:cs="Times New Roman"/>
          <w:sz w:val="26"/>
          <w:szCs w:val="26"/>
        </w:rPr>
        <w:t>10</w:t>
      </w:r>
      <w:r w:rsidRPr="00474CDC">
        <w:rPr>
          <w:rFonts w:ascii="Times New Roman" w:hAnsi="Times New Roman" w:cs="Times New Roman"/>
          <w:sz w:val="26"/>
          <w:szCs w:val="26"/>
        </w:rPr>
        <w:tab/>
        <w:t>Shri Akbar Ali Khan, Member, Rajya Sabha, with Shri L. A. Gup</w:t>
      </w:r>
      <w:r w:rsidR="00C20062">
        <w:rPr>
          <w:rFonts w:ascii="Times New Roman" w:hAnsi="Times New Roman" w:cs="Times New Roman"/>
          <w:sz w:val="26"/>
          <w:szCs w:val="26"/>
        </w:rPr>
        <w:t>ta</w:t>
      </w:r>
      <w:r w:rsidRPr="00474CDC">
        <w:rPr>
          <w:rFonts w:ascii="Times New Roman" w:hAnsi="Times New Roman" w:cs="Times New Roman"/>
          <w:sz w:val="26"/>
          <w:szCs w:val="26"/>
        </w:rPr>
        <w:t xml:space="preserve"> and Shri Abdul Qader</w:t>
      </w:r>
    </w:p>
    <w:p w14:paraId="3DD9B67E" w14:textId="77777777" w:rsidR="00474CDC" w:rsidRPr="00474CDC" w:rsidRDefault="00474CDC" w:rsidP="00474CDC">
      <w:pPr>
        <w:pStyle w:val="NoSpacing"/>
        <w:spacing w:line="300" w:lineRule="exact"/>
        <w:rPr>
          <w:rFonts w:ascii="Times New Roman" w:hAnsi="Times New Roman" w:cs="Times New Roman"/>
          <w:sz w:val="26"/>
          <w:szCs w:val="26"/>
        </w:rPr>
      </w:pPr>
      <w:r w:rsidRPr="00474CDC">
        <w:rPr>
          <w:rFonts w:ascii="Times New Roman" w:hAnsi="Times New Roman" w:cs="Times New Roman"/>
          <w:sz w:val="26"/>
          <w:szCs w:val="26"/>
        </w:rPr>
        <w:t>11</w:t>
      </w:r>
      <w:r w:rsidRPr="00474CDC">
        <w:rPr>
          <w:rFonts w:ascii="Times New Roman" w:hAnsi="Times New Roman" w:cs="Times New Roman"/>
          <w:sz w:val="26"/>
          <w:szCs w:val="26"/>
        </w:rPr>
        <w:tab/>
        <w:t>Shri Pragada Kotaiah, M.L.A., Andhra Pradesh</w:t>
      </w:r>
    </w:p>
    <w:p w14:paraId="643ACEE5" w14:textId="77777777" w:rsidR="00474CDC" w:rsidRPr="00474CDC" w:rsidRDefault="00474CDC" w:rsidP="00474CDC">
      <w:pPr>
        <w:pStyle w:val="NoSpacing"/>
        <w:spacing w:line="300" w:lineRule="exact"/>
        <w:rPr>
          <w:rFonts w:ascii="Times New Roman" w:hAnsi="Times New Roman" w:cs="Times New Roman"/>
          <w:sz w:val="26"/>
          <w:szCs w:val="26"/>
        </w:rPr>
      </w:pPr>
      <w:r w:rsidRPr="00474CDC">
        <w:rPr>
          <w:rFonts w:ascii="Times New Roman" w:hAnsi="Times New Roman" w:cs="Times New Roman"/>
          <w:sz w:val="26"/>
          <w:szCs w:val="26"/>
        </w:rPr>
        <w:t>12</w:t>
      </w:r>
      <w:r w:rsidRPr="00474CDC">
        <w:rPr>
          <w:rFonts w:ascii="Times New Roman" w:hAnsi="Times New Roman" w:cs="Times New Roman"/>
          <w:sz w:val="26"/>
          <w:szCs w:val="26"/>
        </w:rPr>
        <w:tab/>
        <w:t>Shri Vavilala Gopalakrishnayya, M.L.A., Andhra Pradesh</w:t>
      </w:r>
    </w:p>
    <w:p w14:paraId="3F202033" w14:textId="77777777" w:rsidR="00474CDC" w:rsidRPr="00474CDC" w:rsidRDefault="00474CDC" w:rsidP="00474CDC">
      <w:pPr>
        <w:pStyle w:val="NoSpacing"/>
        <w:spacing w:line="300" w:lineRule="exact"/>
        <w:rPr>
          <w:rFonts w:ascii="Times New Roman" w:hAnsi="Times New Roman" w:cs="Times New Roman"/>
          <w:sz w:val="26"/>
          <w:szCs w:val="26"/>
        </w:rPr>
      </w:pPr>
      <w:r w:rsidRPr="00474CDC">
        <w:rPr>
          <w:rFonts w:ascii="Times New Roman" w:hAnsi="Times New Roman" w:cs="Times New Roman"/>
          <w:sz w:val="26"/>
          <w:szCs w:val="26"/>
        </w:rPr>
        <w:t>13</w:t>
      </w:r>
      <w:r w:rsidRPr="00474CDC">
        <w:rPr>
          <w:rFonts w:ascii="Times New Roman" w:hAnsi="Times New Roman" w:cs="Times New Roman"/>
          <w:sz w:val="26"/>
          <w:szCs w:val="26"/>
        </w:rPr>
        <w:tab/>
        <w:t>Raja Shri S. N. Bhanja Deo of Kanika, M.L.A., Cuttack</w:t>
      </w:r>
    </w:p>
    <w:p w14:paraId="4E802BC7" w14:textId="46E2C919" w:rsidR="00474CDC" w:rsidRPr="00474CDC" w:rsidRDefault="00474CDC" w:rsidP="00474CDC">
      <w:pPr>
        <w:pStyle w:val="NoSpacing"/>
        <w:spacing w:line="300" w:lineRule="exact"/>
        <w:rPr>
          <w:rFonts w:ascii="Times New Roman" w:hAnsi="Times New Roman" w:cs="Times New Roman"/>
          <w:sz w:val="26"/>
          <w:szCs w:val="26"/>
        </w:rPr>
      </w:pPr>
      <w:r w:rsidRPr="00474CDC">
        <w:rPr>
          <w:rFonts w:ascii="Times New Roman" w:hAnsi="Times New Roman" w:cs="Times New Roman"/>
          <w:sz w:val="26"/>
          <w:szCs w:val="26"/>
        </w:rPr>
        <w:t>14</w:t>
      </w:r>
      <w:r w:rsidRPr="00474CDC">
        <w:rPr>
          <w:rFonts w:ascii="Times New Roman" w:hAnsi="Times New Roman" w:cs="Times New Roman"/>
          <w:sz w:val="26"/>
          <w:szCs w:val="26"/>
        </w:rPr>
        <w:tab/>
        <w:t>Shri E. Ahamed</w:t>
      </w:r>
      <w:r w:rsidR="00BA63A4">
        <w:rPr>
          <w:rFonts w:ascii="Times New Roman" w:hAnsi="Times New Roman" w:cs="Times New Roman"/>
          <w:sz w:val="26"/>
          <w:szCs w:val="26"/>
        </w:rPr>
        <w:t>,</w:t>
      </w:r>
      <w:r w:rsidRPr="00474CDC">
        <w:rPr>
          <w:rFonts w:ascii="Times New Roman" w:hAnsi="Times New Roman" w:cs="Times New Roman"/>
          <w:sz w:val="26"/>
          <w:szCs w:val="26"/>
        </w:rPr>
        <w:t xml:space="preserve"> M.L.A., Kerala</w:t>
      </w:r>
    </w:p>
    <w:p w14:paraId="261C56AC" w14:textId="77777777" w:rsidR="00474CDC" w:rsidRPr="00474CDC" w:rsidRDefault="00474CDC" w:rsidP="00474CDC">
      <w:pPr>
        <w:pStyle w:val="NoSpacing"/>
        <w:spacing w:line="300" w:lineRule="exact"/>
        <w:rPr>
          <w:rFonts w:ascii="Times New Roman" w:hAnsi="Times New Roman" w:cs="Times New Roman"/>
          <w:sz w:val="26"/>
          <w:szCs w:val="26"/>
        </w:rPr>
      </w:pPr>
      <w:r w:rsidRPr="00474CDC">
        <w:rPr>
          <w:rFonts w:ascii="Times New Roman" w:hAnsi="Times New Roman" w:cs="Times New Roman"/>
          <w:sz w:val="26"/>
          <w:szCs w:val="26"/>
        </w:rPr>
        <w:t>15</w:t>
      </w:r>
      <w:r w:rsidRPr="00474CDC">
        <w:rPr>
          <w:rFonts w:ascii="Times New Roman" w:hAnsi="Times New Roman" w:cs="Times New Roman"/>
          <w:sz w:val="26"/>
          <w:szCs w:val="26"/>
        </w:rPr>
        <w:tab/>
        <w:t>Shri K. M. George, M.L.A., Kerala</w:t>
      </w:r>
    </w:p>
    <w:p w14:paraId="2835D51C" w14:textId="77777777" w:rsidR="00474CDC" w:rsidRPr="00474CDC" w:rsidRDefault="00474CDC" w:rsidP="00474CDC">
      <w:pPr>
        <w:pStyle w:val="NoSpacing"/>
        <w:spacing w:line="300" w:lineRule="exact"/>
        <w:rPr>
          <w:rFonts w:ascii="Times New Roman" w:hAnsi="Times New Roman" w:cs="Times New Roman"/>
          <w:sz w:val="26"/>
          <w:szCs w:val="26"/>
        </w:rPr>
      </w:pPr>
      <w:r w:rsidRPr="00474CDC">
        <w:rPr>
          <w:rFonts w:ascii="Times New Roman" w:hAnsi="Times New Roman" w:cs="Times New Roman"/>
          <w:sz w:val="26"/>
          <w:szCs w:val="26"/>
        </w:rPr>
        <w:t>16</w:t>
      </w:r>
      <w:r w:rsidRPr="00474CDC">
        <w:rPr>
          <w:rFonts w:ascii="Times New Roman" w:hAnsi="Times New Roman" w:cs="Times New Roman"/>
          <w:sz w:val="26"/>
          <w:szCs w:val="26"/>
        </w:rPr>
        <w:tab/>
        <w:t>Shri Mahant Ram Sharma, M.L.A., J &amp; K</w:t>
      </w:r>
    </w:p>
    <w:p w14:paraId="343D57BB" w14:textId="77777777" w:rsidR="00474CDC" w:rsidRPr="00474CDC" w:rsidRDefault="00474CDC" w:rsidP="00474CDC">
      <w:pPr>
        <w:pStyle w:val="NoSpacing"/>
        <w:spacing w:line="300" w:lineRule="exact"/>
        <w:rPr>
          <w:rFonts w:ascii="Times New Roman" w:hAnsi="Times New Roman" w:cs="Times New Roman"/>
          <w:sz w:val="26"/>
          <w:szCs w:val="26"/>
        </w:rPr>
      </w:pPr>
      <w:r w:rsidRPr="00474CDC">
        <w:rPr>
          <w:rFonts w:ascii="Times New Roman" w:hAnsi="Times New Roman" w:cs="Times New Roman"/>
          <w:sz w:val="26"/>
          <w:szCs w:val="26"/>
        </w:rPr>
        <w:t>17</w:t>
      </w:r>
      <w:r w:rsidRPr="00474CDC">
        <w:rPr>
          <w:rFonts w:ascii="Times New Roman" w:hAnsi="Times New Roman" w:cs="Times New Roman"/>
          <w:sz w:val="26"/>
          <w:szCs w:val="26"/>
        </w:rPr>
        <w:tab/>
        <w:t>Shri K. Digambar Rao, M.L.A., Mysore</w:t>
      </w:r>
    </w:p>
    <w:p w14:paraId="305B827E" w14:textId="77777777" w:rsidR="00474CDC" w:rsidRPr="00474CDC" w:rsidRDefault="00474CDC" w:rsidP="00474CDC">
      <w:pPr>
        <w:pStyle w:val="NoSpacing"/>
        <w:spacing w:line="300" w:lineRule="exact"/>
        <w:rPr>
          <w:rFonts w:ascii="Times New Roman" w:hAnsi="Times New Roman" w:cs="Times New Roman"/>
          <w:sz w:val="26"/>
          <w:szCs w:val="26"/>
        </w:rPr>
      </w:pPr>
      <w:r w:rsidRPr="00474CDC">
        <w:rPr>
          <w:rFonts w:ascii="Times New Roman" w:hAnsi="Times New Roman" w:cs="Times New Roman"/>
          <w:sz w:val="26"/>
          <w:szCs w:val="26"/>
        </w:rPr>
        <w:t>18</w:t>
      </w:r>
      <w:r w:rsidRPr="00474CDC">
        <w:rPr>
          <w:rFonts w:ascii="Times New Roman" w:hAnsi="Times New Roman" w:cs="Times New Roman"/>
          <w:sz w:val="26"/>
          <w:szCs w:val="26"/>
        </w:rPr>
        <w:tab/>
        <w:t>Shri M. Nagappa, M.L.A., Mysore</w:t>
      </w:r>
    </w:p>
    <w:p w14:paraId="41A9E248" w14:textId="77777777" w:rsidR="00474CDC" w:rsidRPr="00474CDC" w:rsidRDefault="00474CDC" w:rsidP="00474CDC">
      <w:pPr>
        <w:pStyle w:val="NoSpacing"/>
        <w:spacing w:line="300" w:lineRule="exact"/>
        <w:rPr>
          <w:rFonts w:ascii="Times New Roman" w:hAnsi="Times New Roman" w:cs="Times New Roman"/>
          <w:sz w:val="26"/>
          <w:szCs w:val="26"/>
        </w:rPr>
      </w:pPr>
      <w:r w:rsidRPr="00474CDC">
        <w:rPr>
          <w:rFonts w:ascii="Times New Roman" w:hAnsi="Times New Roman" w:cs="Times New Roman"/>
          <w:sz w:val="26"/>
          <w:szCs w:val="26"/>
        </w:rPr>
        <w:t>19</w:t>
      </w:r>
      <w:r w:rsidRPr="00474CDC">
        <w:rPr>
          <w:rFonts w:ascii="Times New Roman" w:hAnsi="Times New Roman" w:cs="Times New Roman"/>
          <w:sz w:val="26"/>
          <w:szCs w:val="26"/>
        </w:rPr>
        <w:tab/>
        <w:t>Shri M. Y. Ghorpade, M.L.A., Mysore</w:t>
      </w:r>
    </w:p>
    <w:p w14:paraId="2D5ABB13" w14:textId="77777777" w:rsidR="00474CDC" w:rsidRPr="00474CDC" w:rsidRDefault="00474CDC" w:rsidP="00474CDC">
      <w:pPr>
        <w:pStyle w:val="NoSpacing"/>
        <w:spacing w:line="300" w:lineRule="exact"/>
        <w:rPr>
          <w:rFonts w:ascii="Times New Roman" w:hAnsi="Times New Roman" w:cs="Times New Roman"/>
          <w:sz w:val="26"/>
          <w:szCs w:val="26"/>
        </w:rPr>
      </w:pPr>
      <w:r w:rsidRPr="00474CDC">
        <w:rPr>
          <w:rFonts w:ascii="Times New Roman" w:hAnsi="Times New Roman" w:cs="Times New Roman"/>
          <w:sz w:val="26"/>
          <w:szCs w:val="26"/>
        </w:rPr>
        <w:t>20</w:t>
      </w:r>
      <w:r w:rsidRPr="00474CDC">
        <w:rPr>
          <w:rFonts w:ascii="Times New Roman" w:hAnsi="Times New Roman" w:cs="Times New Roman"/>
          <w:sz w:val="26"/>
          <w:szCs w:val="26"/>
        </w:rPr>
        <w:tab/>
        <w:t>Lt. Col. Joginder Singh Mann, Speaker, Punjab Vidhan Sabha</w:t>
      </w:r>
    </w:p>
    <w:p w14:paraId="0CC7965B" w14:textId="77777777" w:rsidR="00474CDC" w:rsidRPr="00474CDC" w:rsidRDefault="00474CDC" w:rsidP="00474CDC">
      <w:pPr>
        <w:pStyle w:val="NoSpacing"/>
        <w:spacing w:line="300" w:lineRule="exact"/>
        <w:rPr>
          <w:rFonts w:ascii="Times New Roman" w:hAnsi="Times New Roman" w:cs="Times New Roman"/>
          <w:sz w:val="26"/>
          <w:szCs w:val="26"/>
        </w:rPr>
      </w:pPr>
      <w:r w:rsidRPr="00474CDC">
        <w:rPr>
          <w:rFonts w:ascii="Times New Roman" w:hAnsi="Times New Roman" w:cs="Times New Roman"/>
          <w:sz w:val="26"/>
          <w:szCs w:val="26"/>
        </w:rPr>
        <w:t>21</w:t>
      </w:r>
      <w:r w:rsidRPr="00474CDC">
        <w:rPr>
          <w:rFonts w:ascii="Times New Roman" w:hAnsi="Times New Roman" w:cs="Times New Roman"/>
          <w:sz w:val="26"/>
          <w:szCs w:val="26"/>
        </w:rPr>
        <w:tab/>
        <w:t>Shri Gurnam Singh, M.L.A., Punjab (now Chief Minister of Punjab)</w:t>
      </w:r>
    </w:p>
    <w:p w14:paraId="5FDFDB5A" w14:textId="77777777" w:rsidR="00474CDC" w:rsidRPr="00474CDC" w:rsidRDefault="00474CDC" w:rsidP="00474CDC">
      <w:pPr>
        <w:pStyle w:val="NoSpacing"/>
        <w:spacing w:line="300" w:lineRule="exact"/>
        <w:rPr>
          <w:rFonts w:ascii="Times New Roman" w:hAnsi="Times New Roman" w:cs="Times New Roman"/>
          <w:sz w:val="26"/>
          <w:szCs w:val="26"/>
        </w:rPr>
      </w:pPr>
      <w:r w:rsidRPr="00474CDC">
        <w:rPr>
          <w:rFonts w:ascii="Times New Roman" w:hAnsi="Times New Roman" w:cs="Times New Roman"/>
          <w:sz w:val="26"/>
          <w:szCs w:val="26"/>
        </w:rPr>
        <w:t>22</w:t>
      </w:r>
      <w:r w:rsidRPr="00474CDC">
        <w:rPr>
          <w:rFonts w:ascii="Times New Roman" w:hAnsi="Times New Roman" w:cs="Times New Roman"/>
          <w:sz w:val="26"/>
          <w:szCs w:val="26"/>
        </w:rPr>
        <w:tab/>
        <w:t>Sardar Gjan Singh Rarewala, M.L.A., Punjab</w:t>
      </w:r>
    </w:p>
    <w:p w14:paraId="29EEF1AD" w14:textId="77777777" w:rsidR="00474CDC" w:rsidRPr="00474CDC" w:rsidRDefault="00474CDC" w:rsidP="00474CDC">
      <w:pPr>
        <w:pStyle w:val="NoSpacing"/>
        <w:spacing w:line="300" w:lineRule="exact"/>
        <w:rPr>
          <w:rFonts w:ascii="Times New Roman" w:hAnsi="Times New Roman" w:cs="Times New Roman"/>
          <w:sz w:val="26"/>
          <w:szCs w:val="26"/>
        </w:rPr>
      </w:pPr>
      <w:r w:rsidRPr="00474CDC">
        <w:rPr>
          <w:rFonts w:ascii="Times New Roman" w:hAnsi="Times New Roman" w:cs="Times New Roman"/>
          <w:sz w:val="26"/>
          <w:szCs w:val="26"/>
        </w:rPr>
        <w:t>23</w:t>
      </w:r>
      <w:r w:rsidRPr="00474CDC">
        <w:rPr>
          <w:rFonts w:ascii="Times New Roman" w:hAnsi="Times New Roman" w:cs="Times New Roman"/>
          <w:sz w:val="26"/>
          <w:szCs w:val="26"/>
        </w:rPr>
        <w:tab/>
        <w:t>Shri Aseshwar Goita, M.L.A., Bihar</w:t>
      </w:r>
    </w:p>
    <w:p w14:paraId="4EBA357D" w14:textId="77777777" w:rsidR="00474CDC" w:rsidRPr="00474CDC" w:rsidRDefault="00474CDC" w:rsidP="00474CDC">
      <w:pPr>
        <w:pStyle w:val="NoSpacing"/>
        <w:spacing w:line="300" w:lineRule="exact"/>
        <w:rPr>
          <w:rFonts w:ascii="Times New Roman" w:hAnsi="Times New Roman" w:cs="Times New Roman"/>
          <w:sz w:val="26"/>
          <w:szCs w:val="26"/>
        </w:rPr>
      </w:pPr>
      <w:r w:rsidRPr="00474CDC">
        <w:rPr>
          <w:rFonts w:ascii="Times New Roman" w:hAnsi="Times New Roman" w:cs="Times New Roman"/>
          <w:sz w:val="26"/>
          <w:szCs w:val="26"/>
        </w:rPr>
        <w:t>24</w:t>
      </w:r>
      <w:r w:rsidRPr="00474CDC">
        <w:rPr>
          <w:rFonts w:ascii="Times New Roman" w:hAnsi="Times New Roman" w:cs="Times New Roman"/>
          <w:sz w:val="26"/>
          <w:szCs w:val="26"/>
        </w:rPr>
        <w:tab/>
        <w:t>Shri Hara Prasad Chatterji, Councillor, Corporation of Calcutta</w:t>
      </w:r>
    </w:p>
    <w:p w14:paraId="58A2ECBA" w14:textId="77777777" w:rsidR="00474CDC" w:rsidRPr="00474CDC" w:rsidRDefault="00474CDC" w:rsidP="00474CDC">
      <w:pPr>
        <w:pStyle w:val="NoSpacing"/>
        <w:spacing w:line="300" w:lineRule="exact"/>
        <w:rPr>
          <w:rFonts w:ascii="Times New Roman" w:hAnsi="Times New Roman" w:cs="Times New Roman"/>
          <w:sz w:val="26"/>
          <w:szCs w:val="26"/>
        </w:rPr>
      </w:pPr>
      <w:r w:rsidRPr="00474CDC">
        <w:rPr>
          <w:rFonts w:ascii="Times New Roman" w:hAnsi="Times New Roman" w:cs="Times New Roman"/>
          <w:sz w:val="26"/>
          <w:szCs w:val="26"/>
        </w:rPr>
        <w:t>25</w:t>
      </w:r>
      <w:r w:rsidRPr="00474CDC">
        <w:rPr>
          <w:rFonts w:ascii="Times New Roman" w:hAnsi="Times New Roman" w:cs="Times New Roman"/>
          <w:sz w:val="26"/>
          <w:szCs w:val="26"/>
        </w:rPr>
        <w:tab/>
        <w:t>Shri Fakhir Chandra Roy, Ex-M.L.A.</w:t>
      </w:r>
    </w:p>
    <w:p w14:paraId="7D60801F" w14:textId="77777777" w:rsidR="00474CDC" w:rsidRPr="00474CDC" w:rsidRDefault="00474CDC" w:rsidP="00474CDC">
      <w:pPr>
        <w:pStyle w:val="NoSpacing"/>
        <w:spacing w:line="300" w:lineRule="exact"/>
        <w:rPr>
          <w:rFonts w:ascii="Times New Roman" w:hAnsi="Times New Roman" w:cs="Times New Roman"/>
          <w:sz w:val="26"/>
          <w:szCs w:val="26"/>
        </w:rPr>
      </w:pPr>
      <w:r w:rsidRPr="00474CDC">
        <w:rPr>
          <w:rFonts w:ascii="Times New Roman" w:hAnsi="Times New Roman" w:cs="Times New Roman"/>
          <w:sz w:val="26"/>
          <w:szCs w:val="26"/>
        </w:rPr>
        <w:t>26</w:t>
      </w:r>
      <w:r w:rsidRPr="00474CDC">
        <w:rPr>
          <w:rFonts w:ascii="Times New Roman" w:hAnsi="Times New Roman" w:cs="Times New Roman"/>
          <w:sz w:val="26"/>
          <w:szCs w:val="26"/>
        </w:rPr>
        <w:tab/>
        <w:t>Shri Bisuram Medhi, M.L.A., Gauhati</w:t>
      </w:r>
    </w:p>
    <w:p w14:paraId="7A201C52" w14:textId="77777777" w:rsidR="00474CDC" w:rsidRPr="00474CDC" w:rsidRDefault="00474CDC" w:rsidP="00474CDC">
      <w:pPr>
        <w:pStyle w:val="NoSpacing"/>
        <w:spacing w:line="300" w:lineRule="exact"/>
        <w:rPr>
          <w:rFonts w:ascii="Times New Roman" w:hAnsi="Times New Roman" w:cs="Times New Roman"/>
          <w:sz w:val="26"/>
          <w:szCs w:val="26"/>
        </w:rPr>
      </w:pPr>
      <w:r w:rsidRPr="00474CDC">
        <w:rPr>
          <w:rFonts w:ascii="Times New Roman" w:hAnsi="Times New Roman" w:cs="Times New Roman"/>
          <w:sz w:val="26"/>
          <w:szCs w:val="26"/>
        </w:rPr>
        <w:t>27</w:t>
      </w:r>
      <w:r w:rsidRPr="00474CDC">
        <w:rPr>
          <w:rFonts w:ascii="Times New Roman" w:hAnsi="Times New Roman" w:cs="Times New Roman"/>
          <w:sz w:val="26"/>
          <w:szCs w:val="26"/>
        </w:rPr>
        <w:tab/>
        <w:t>Shri Anil Kumar Sharma, Gauhati University, Gauhati</w:t>
      </w:r>
    </w:p>
    <w:p w14:paraId="3CEB67C1" w14:textId="77777777" w:rsidR="00474CDC" w:rsidRPr="00474CDC" w:rsidRDefault="00474CDC" w:rsidP="00474CDC">
      <w:pPr>
        <w:pStyle w:val="NoSpacing"/>
        <w:spacing w:line="300" w:lineRule="exact"/>
        <w:rPr>
          <w:rFonts w:ascii="Times New Roman" w:hAnsi="Times New Roman" w:cs="Times New Roman"/>
          <w:sz w:val="26"/>
          <w:szCs w:val="26"/>
        </w:rPr>
      </w:pPr>
      <w:r w:rsidRPr="00474CDC">
        <w:rPr>
          <w:rFonts w:ascii="Times New Roman" w:hAnsi="Times New Roman" w:cs="Times New Roman"/>
          <w:sz w:val="26"/>
          <w:szCs w:val="26"/>
        </w:rPr>
        <w:t>28</w:t>
      </w:r>
      <w:r w:rsidRPr="00474CDC">
        <w:rPr>
          <w:rFonts w:ascii="Times New Roman" w:hAnsi="Times New Roman" w:cs="Times New Roman"/>
          <w:sz w:val="26"/>
          <w:szCs w:val="26"/>
        </w:rPr>
        <w:tab/>
        <w:t>Dr. V. N. Bhatt, Reserve Bank of India, Bombay</w:t>
      </w:r>
    </w:p>
    <w:p w14:paraId="2DF83B98" w14:textId="77777777" w:rsidR="00474CDC" w:rsidRPr="00474CDC" w:rsidRDefault="00474CDC" w:rsidP="00474CDC">
      <w:pPr>
        <w:pStyle w:val="NoSpacing"/>
        <w:spacing w:line="300" w:lineRule="exact"/>
        <w:rPr>
          <w:rFonts w:ascii="Times New Roman" w:hAnsi="Times New Roman" w:cs="Times New Roman"/>
          <w:sz w:val="26"/>
          <w:szCs w:val="26"/>
        </w:rPr>
      </w:pPr>
      <w:r w:rsidRPr="00474CDC">
        <w:rPr>
          <w:rFonts w:ascii="Times New Roman" w:hAnsi="Times New Roman" w:cs="Times New Roman"/>
          <w:sz w:val="26"/>
          <w:szCs w:val="26"/>
        </w:rPr>
        <w:t>29</w:t>
      </w:r>
      <w:r w:rsidRPr="00474CDC">
        <w:rPr>
          <w:rFonts w:ascii="Times New Roman" w:hAnsi="Times New Roman" w:cs="Times New Roman"/>
          <w:sz w:val="26"/>
          <w:szCs w:val="26"/>
        </w:rPr>
        <w:tab/>
        <w:t>Dr. P. K. Bhargava, Banaras Hindu University, Varanasi</w:t>
      </w:r>
    </w:p>
    <w:p w14:paraId="2712FFF3" w14:textId="77777777" w:rsidR="00474CDC" w:rsidRPr="00474CDC" w:rsidRDefault="00474CDC" w:rsidP="00474CDC">
      <w:pPr>
        <w:pStyle w:val="NoSpacing"/>
        <w:spacing w:line="300" w:lineRule="exact"/>
        <w:rPr>
          <w:rFonts w:ascii="Times New Roman" w:hAnsi="Times New Roman" w:cs="Times New Roman"/>
          <w:sz w:val="26"/>
          <w:szCs w:val="26"/>
        </w:rPr>
      </w:pPr>
      <w:r w:rsidRPr="00474CDC">
        <w:rPr>
          <w:rFonts w:ascii="Times New Roman" w:hAnsi="Times New Roman" w:cs="Times New Roman"/>
          <w:sz w:val="26"/>
          <w:szCs w:val="26"/>
        </w:rPr>
        <w:t>30</w:t>
      </w:r>
      <w:r w:rsidRPr="00474CDC">
        <w:rPr>
          <w:rFonts w:ascii="Times New Roman" w:hAnsi="Times New Roman" w:cs="Times New Roman"/>
          <w:sz w:val="26"/>
          <w:szCs w:val="26"/>
        </w:rPr>
        <w:tab/>
        <w:t>Shri P. R. Brahmananda, University of Bombay, Bombay</w:t>
      </w:r>
    </w:p>
    <w:p w14:paraId="1EF1DCEE" w14:textId="77777777" w:rsidR="00474CDC" w:rsidRPr="00474CDC" w:rsidRDefault="00474CDC" w:rsidP="00474CDC">
      <w:pPr>
        <w:pStyle w:val="NoSpacing"/>
        <w:spacing w:line="300" w:lineRule="exact"/>
        <w:rPr>
          <w:rFonts w:ascii="Times New Roman" w:hAnsi="Times New Roman" w:cs="Times New Roman"/>
          <w:sz w:val="26"/>
          <w:szCs w:val="26"/>
        </w:rPr>
      </w:pPr>
      <w:r w:rsidRPr="00474CDC">
        <w:rPr>
          <w:rFonts w:ascii="Times New Roman" w:hAnsi="Times New Roman" w:cs="Times New Roman"/>
          <w:sz w:val="26"/>
          <w:szCs w:val="26"/>
        </w:rPr>
        <w:t>31</w:t>
      </w:r>
      <w:r w:rsidRPr="00474CDC">
        <w:rPr>
          <w:rFonts w:ascii="Times New Roman" w:hAnsi="Times New Roman" w:cs="Times New Roman"/>
          <w:sz w:val="26"/>
          <w:szCs w:val="26"/>
        </w:rPr>
        <w:tab/>
        <w:t>Dr. R. J. Chelliah, Osmania University, Hyderabad</w:t>
      </w:r>
    </w:p>
    <w:p w14:paraId="3FB54D29" w14:textId="77777777" w:rsidR="00474CDC" w:rsidRPr="00474CDC" w:rsidRDefault="00474CDC" w:rsidP="00474CDC">
      <w:pPr>
        <w:pStyle w:val="NoSpacing"/>
        <w:spacing w:line="300" w:lineRule="exact"/>
        <w:rPr>
          <w:rFonts w:ascii="Times New Roman" w:hAnsi="Times New Roman" w:cs="Times New Roman"/>
          <w:sz w:val="26"/>
          <w:szCs w:val="26"/>
        </w:rPr>
      </w:pPr>
      <w:r w:rsidRPr="00474CDC">
        <w:rPr>
          <w:rFonts w:ascii="Times New Roman" w:hAnsi="Times New Roman" w:cs="Times New Roman"/>
          <w:sz w:val="26"/>
          <w:szCs w:val="26"/>
        </w:rPr>
        <w:t>32</w:t>
      </w:r>
      <w:r w:rsidRPr="00474CDC">
        <w:rPr>
          <w:rFonts w:ascii="Times New Roman" w:hAnsi="Times New Roman" w:cs="Times New Roman"/>
          <w:sz w:val="26"/>
          <w:szCs w:val="26"/>
        </w:rPr>
        <w:tab/>
        <w:t>Prof. A. K. Das Gupta, A. N. Sinha Institute of Social Studies, Patna</w:t>
      </w:r>
    </w:p>
    <w:p w14:paraId="295DE84D" w14:textId="77777777" w:rsidR="00474CDC" w:rsidRPr="00474CDC" w:rsidRDefault="00474CDC" w:rsidP="00474CDC">
      <w:pPr>
        <w:pStyle w:val="NoSpacing"/>
        <w:spacing w:line="300" w:lineRule="exact"/>
        <w:rPr>
          <w:rFonts w:ascii="Times New Roman" w:hAnsi="Times New Roman" w:cs="Times New Roman"/>
          <w:sz w:val="26"/>
          <w:szCs w:val="26"/>
        </w:rPr>
      </w:pPr>
      <w:r w:rsidRPr="00474CDC">
        <w:rPr>
          <w:rFonts w:ascii="Times New Roman" w:hAnsi="Times New Roman" w:cs="Times New Roman"/>
          <w:sz w:val="26"/>
          <w:szCs w:val="26"/>
        </w:rPr>
        <w:t>33</w:t>
      </w:r>
      <w:r w:rsidRPr="00474CDC">
        <w:rPr>
          <w:rFonts w:ascii="Times New Roman" w:hAnsi="Times New Roman" w:cs="Times New Roman"/>
          <w:sz w:val="26"/>
          <w:szCs w:val="26"/>
        </w:rPr>
        <w:tab/>
        <w:t>Shri Divakar Jha, Patna University, Patna</w:t>
      </w:r>
    </w:p>
    <w:p w14:paraId="12A5939D" w14:textId="77777777" w:rsidR="00474CDC" w:rsidRPr="00474CDC" w:rsidRDefault="00474CDC" w:rsidP="00474CDC">
      <w:pPr>
        <w:pStyle w:val="NoSpacing"/>
        <w:spacing w:line="300" w:lineRule="exact"/>
        <w:rPr>
          <w:rFonts w:ascii="Times New Roman" w:hAnsi="Times New Roman" w:cs="Times New Roman"/>
          <w:sz w:val="26"/>
          <w:szCs w:val="26"/>
        </w:rPr>
      </w:pPr>
      <w:r w:rsidRPr="00474CDC">
        <w:rPr>
          <w:rFonts w:ascii="Times New Roman" w:hAnsi="Times New Roman" w:cs="Times New Roman"/>
          <w:sz w:val="26"/>
          <w:szCs w:val="26"/>
        </w:rPr>
        <w:t>34</w:t>
      </w:r>
      <w:r w:rsidRPr="00474CDC">
        <w:rPr>
          <w:rFonts w:ascii="Times New Roman" w:hAnsi="Times New Roman" w:cs="Times New Roman"/>
          <w:sz w:val="26"/>
          <w:szCs w:val="26"/>
        </w:rPr>
        <w:tab/>
        <w:t>Shri Gyan Chand, Delhi</w:t>
      </w:r>
    </w:p>
    <w:p w14:paraId="751CA601" w14:textId="77777777" w:rsidR="00474CDC" w:rsidRPr="00474CDC" w:rsidRDefault="00474CDC" w:rsidP="00474CDC">
      <w:pPr>
        <w:pStyle w:val="NoSpacing"/>
        <w:spacing w:line="300" w:lineRule="exact"/>
        <w:rPr>
          <w:rFonts w:ascii="Times New Roman" w:hAnsi="Times New Roman" w:cs="Times New Roman"/>
          <w:sz w:val="26"/>
          <w:szCs w:val="26"/>
        </w:rPr>
      </w:pPr>
      <w:r w:rsidRPr="00474CDC">
        <w:rPr>
          <w:rFonts w:ascii="Times New Roman" w:hAnsi="Times New Roman" w:cs="Times New Roman"/>
          <w:sz w:val="26"/>
          <w:szCs w:val="26"/>
        </w:rPr>
        <w:t>35</w:t>
      </w:r>
      <w:r w:rsidRPr="00474CDC">
        <w:rPr>
          <w:rFonts w:ascii="Times New Roman" w:hAnsi="Times New Roman" w:cs="Times New Roman"/>
          <w:sz w:val="26"/>
          <w:szCs w:val="26"/>
        </w:rPr>
        <w:tab/>
        <w:t>Dr. N. Jha, Bhagalpur University, Bhagalpur</w:t>
      </w:r>
    </w:p>
    <w:p w14:paraId="06BA9306" w14:textId="67196880" w:rsidR="00474CDC" w:rsidRPr="00474CDC" w:rsidRDefault="00474CDC" w:rsidP="00474CDC">
      <w:pPr>
        <w:pStyle w:val="NoSpacing"/>
        <w:spacing w:line="300" w:lineRule="exact"/>
        <w:rPr>
          <w:rFonts w:ascii="Times New Roman" w:hAnsi="Times New Roman" w:cs="Times New Roman"/>
          <w:sz w:val="26"/>
          <w:szCs w:val="26"/>
        </w:rPr>
      </w:pPr>
      <w:r w:rsidRPr="00474CDC">
        <w:rPr>
          <w:rFonts w:ascii="Times New Roman" w:hAnsi="Times New Roman" w:cs="Times New Roman"/>
          <w:sz w:val="26"/>
          <w:szCs w:val="26"/>
        </w:rPr>
        <w:t>36</w:t>
      </w:r>
      <w:r w:rsidRPr="00474CDC">
        <w:rPr>
          <w:rFonts w:ascii="Times New Roman" w:hAnsi="Times New Roman" w:cs="Times New Roman"/>
          <w:sz w:val="26"/>
          <w:szCs w:val="26"/>
        </w:rPr>
        <w:tab/>
        <w:t>Shri M. D. Joshi, Lucknow University, Lucknow</w:t>
      </w:r>
    </w:p>
    <w:p w14:paraId="4B3B294E" w14:textId="77777777" w:rsidR="00474CDC" w:rsidRPr="00474CDC" w:rsidRDefault="00474CDC" w:rsidP="00474CDC">
      <w:pPr>
        <w:pStyle w:val="NoSpacing"/>
        <w:spacing w:line="300" w:lineRule="exact"/>
        <w:rPr>
          <w:rFonts w:ascii="Times New Roman" w:hAnsi="Times New Roman" w:cs="Times New Roman"/>
          <w:sz w:val="26"/>
          <w:szCs w:val="26"/>
        </w:rPr>
      </w:pPr>
      <w:r w:rsidRPr="00474CDC">
        <w:rPr>
          <w:rFonts w:ascii="Times New Roman" w:hAnsi="Times New Roman" w:cs="Times New Roman"/>
          <w:sz w:val="26"/>
          <w:szCs w:val="26"/>
        </w:rPr>
        <w:t>37</w:t>
      </w:r>
      <w:r w:rsidRPr="00474CDC">
        <w:rPr>
          <w:rFonts w:ascii="Times New Roman" w:hAnsi="Times New Roman" w:cs="Times New Roman"/>
          <w:sz w:val="26"/>
          <w:szCs w:val="26"/>
        </w:rPr>
        <w:tab/>
        <w:t>Shri K. L. Joshi, University of Indore, Indore</w:t>
      </w:r>
    </w:p>
    <w:p w14:paraId="37AC7DB6" w14:textId="77777777" w:rsidR="00474CDC" w:rsidRPr="00474CDC" w:rsidRDefault="00474CDC" w:rsidP="00474CDC">
      <w:pPr>
        <w:pStyle w:val="NoSpacing"/>
        <w:spacing w:line="300" w:lineRule="exact"/>
        <w:rPr>
          <w:rFonts w:ascii="Times New Roman" w:hAnsi="Times New Roman" w:cs="Times New Roman"/>
          <w:sz w:val="26"/>
          <w:szCs w:val="26"/>
        </w:rPr>
      </w:pPr>
      <w:r w:rsidRPr="00474CDC">
        <w:rPr>
          <w:rFonts w:ascii="Times New Roman" w:hAnsi="Times New Roman" w:cs="Times New Roman"/>
          <w:sz w:val="26"/>
          <w:szCs w:val="26"/>
        </w:rPr>
        <w:t>38</w:t>
      </w:r>
      <w:r w:rsidRPr="00474CDC">
        <w:rPr>
          <w:rFonts w:ascii="Times New Roman" w:hAnsi="Times New Roman" w:cs="Times New Roman"/>
          <w:sz w:val="26"/>
          <w:szCs w:val="26"/>
        </w:rPr>
        <w:tab/>
        <w:t>Shri R. K. Maheswari, Udaipur</w:t>
      </w:r>
    </w:p>
    <w:p w14:paraId="6F5F89ED" w14:textId="77777777" w:rsidR="00474CDC" w:rsidRPr="00474CDC" w:rsidRDefault="00474CDC" w:rsidP="00474CDC">
      <w:pPr>
        <w:pStyle w:val="NoSpacing"/>
        <w:spacing w:line="300" w:lineRule="exact"/>
        <w:rPr>
          <w:rFonts w:ascii="Times New Roman" w:hAnsi="Times New Roman" w:cs="Times New Roman"/>
          <w:sz w:val="26"/>
          <w:szCs w:val="26"/>
        </w:rPr>
      </w:pPr>
      <w:r w:rsidRPr="00474CDC">
        <w:rPr>
          <w:rFonts w:ascii="Times New Roman" w:hAnsi="Times New Roman" w:cs="Times New Roman"/>
          <w:sz w:val="26"/>
          <w:szCs w:val="26"/>
        </w:rPr>
        <w:t>39</w:t>
      </w:r>
      <w:r w:rsidRPr="00474CDC">
        <w:rPr>
          <w:rFonts w:ascii="Times New Roman" w:hAnsi="Times New Roman" w:cs="Times New Roman"/>
          <w:sz w:val="26"/>
          <w:szCs w:val="26"/>
        </w:rPr>
        <w:tab/>
        <w:t>Shri Manoranjan Sinha Ray, Santiniketan, West Bengal</w:t>
      </w:r>
    </w:p>
    <w:p w14:paraId="3F3B4EFF" w14:textId="77777777" w:rsidR="00474CDC" w:rsidRPr="00474CDC" w:rsidRDefault="00474CDC" w:rsidP="00474CDC">
      <w:pPr>
        <w:pStyle w:val="NoSpacing"/>
        <w:spacing w:line="300" w:lineRule="exact"/>
        <w:rPr>
          <w:rFonts w:ascii="Times New Roman" w:hAnsi="Times New Roman" w:cs="Times New Roman"/>
          <w:sz w:val="26"/>
          <w:szCs w:val="26"/>
        </w:rPr>
      </w:pPr>
      <w:r w:rsidRPr="00474CDC">
        <w:rPr>
          <w:rFonts w:ascii="Times New Roman" w:hAnsi="Times New Roman" w:cs="Times New Roman"/>
          <w:sz w:val="26"/>
          <w:szCs w:val="26"/>
        </w:rPr>
        <w:t>40</w:t>
      </w:r>
      <w:r w:rsidRPr="00474CDC">
        <w:rPr>
          <w:rFonts w:ascii="Times New Roman" w:hAnsi="Times New Roman" w:cs="Times New Roman"/>
          <w:sz w:val="26"/>
          <w:szCs w:val="26"/>
        </w:rPr>
        <w:tab/>
        <w:t>Dr. E. T. Mathew, Kerala University, Trivandrum</w:t>
      </w:r>
    </w:p>
    <w:p w14:paraId="615256E4" w14:textId="77777777" w:rsidR="00474CDC" w:rsidRPr="00474CDC" w:rsidRDefault="00474CDC" w:rsidP="00474CDC">
      <w:pPr>
        <w:pStyle w:val="NoSpacing"/>
        <w:spacing w:line="300" w:lineRule="exact"/>
        <w:rPr>
          <w:rFonts w:ascii="Times New Roman" w:hAnsi="Times New Roman" w:cs="Times New Roman"/>
          <w:sz w:val="26"/>
          <w:szCs w:val="26"/>
        </w:rPr>
      </w:pPr>
      <w:r w:rsidRPr="00474CDC">
        <w:rPr>
          <w:rFonts w:ascii="Times New Roman" w:hAnsi="Times New Roman" w:cs="Times New Roman"/>
          <w:sz w:val="26"/>
          <w:szCs w:val="26"/>
        </w:rPr>
        <w:t>41</w:t>
      </w:r>
      <w:r w:rsidRPr="00474CDC">
        <w:rPr>
          <w:rFonts w:ascii="Times New Roman" w:hAnsi="Times New Roman" w:cs="Times New Roman"/>
          <w:sz w:val="26"/>
          <w:szCs w:val="26"/>
        </w:rPr>
        <w:tab/>
        <w:t>Dr. B. Misra, Utkal University, Bhubaneswar</w:t>
      </w:r>
    </w:p>
    <w:p w14:paraId="2EDC42E5" w14:textId="77777777" w:rsidR="00474CDC" w:rsidRPr="00474CDC" w:rsidRDefault="00474CDC" w:rsidP="00474CDC">
      <w:pPr>
        <w:pStyle w:val="NoSpacing"/>
        <w:spacing w:line="300" w:lineRule="exact"/>
        <w:rPr>
          <w:rFonts w:ascii="Times New Roman" w:hAnsi="Times New Roman" w:cs="Times New Roman"/>
          <w:sz w:val="26"/>
          <w:szCs w:val="26"/>
        </w:rPr>
      </w:pPr>
      <w:r w:rsidRPr="00474CDC">
        <w:rPr>
          <w:rFonts w:ascii="Times New Roman" w:hAnsi="Times New Roman" w:cs="Times New Roman"/>
          <w:sz w:val="26"/>
          <w:szCs w:val="26"/>
        </w:rPr>
        <w:lastRenderedPageBreak/>
        <w:t>42</w:t>
      </w:r>
      <w:r w:rsidRPr="00474CDC">
        <w:rPr>
          <w:rFonts w:ascii="Times New Roman" w:hAnsi="Times New Roman" w:cs="Times New Roman"/>
          <w:sz w:val="26"/>
          <w:szCs w:val="26"/>
        </w:rPr>
        <w:tab/>
        <w:t>Shri V. S. Murthi, Nagpur University, Nagpur</w:t>
      </w:r>
    </w:p>
    <w:p w14:paraId="52FF0B67" w14:textId="727BCC94" w:rsidR="00474CDC" w:rsidRPr="00474CDC" w:rsidRDefault="00474CDC" w:rsidP="00474CDC">
      <w:pPr>
        <w:pStyle w:val="NoSpacing"/>
        <w:spacing w:line="300" w:lineRule="exact"/>
        <w:rPr>
          <w:rFonts w:ascii="Times New Roman" w:hAnsi="Times New Roman" w:cs="Times New Roman"/>
          <w:sz w:val="26"/>
          <w:szCs w:val="26"/>
        </w:rPr>
      </w:pPr>
      <w:r w:rsidRPr="00474CDC">
        <w:rPr>
          <w:rFonts w:ascii="Times New Roman" w:hAnsi="Times New Roman" w:cs="Times New Roman"/>
          <w:sz w:val="26"/>
          <w:szCs w:val="26"/>
        </w:rPr>
        <w:t>43</w:t>
      </w:r>
      <w:r w:rsidRPr="00474CDC">
        <w:rPr>
          <w:rFonts w:ascii="Times New Roman" w:hAnsi="Times New Roman" w:cs="Times New Roman"/>
          <w:sz w:val="26"/>
          <w:szCs w:val="26"/>
        </w:rPr>
        <w:tab/>
        <w:t xml:space="preserve">Dr. D. M. </w:t>
      </w:r>
      <w:r w:rsidR="00BA63A4" w:rsidRPr="00474CDC">
        <w:rPr>
          <w:rFonts w:ascii="Times New Roman" w:hAnsi="Times New Roman" w:cs="Times New Roman"/>
          <w:sz w:val="26"/>
          <w:szCs w:val="26"/>
        </w:rPr>
        <w:t>Nanjundappa, Karnatak</w:t>
      </w:r>
      <w:r w:rsidRPr="00474CDC">
        <w:rPr>
          <w:rFonts w:ascii="Times New Roman" w:hAnsi="Times New Roman" w:cs="Times New Roman"/>
          <w:sz w:val="26"/>
          <w:szCs w:val="26"/>
        </w:rPr>
        <w:t xml:space="preserve"> University, Dharwar</w:t>
      </w:r>
    </w:p>
    <w:p w14:paraId="1D6561CF" w14:textId="77777777" w:rsidR="00474CDC" w:rsidRPr="00474CDC" w:rsidRDefault="00474CDC" w:rsidP="00474CDC">
      <w:pPr>
        <w:pStyle w:val="NoSpacing"/>
        <w:spacing w:line="300" w:lineRule="exact"/>
        <w:rPr>
          <w:rFonts w:ascii="Times New Roman" w:hAnsi="Times New Roman" w:cs="Times New Roman"/>
          <w:sz w:val="26"/>
          <w:szCs w:val="26"/>
        </w:rPr>
      </w:pPr>
      <w:r w:rsidRPr="00474CDC">
        <w:rPr>
          <w:rFonts w:ascii="Times New Roman" w:hAnsi="Times New Roman" w:cs="Times New Roman"/>
          <w:sz w:val="26"/>
          <w:szCs w:val="26"/>
        </w:rPr>
        <w:t>44</w:t>
      </w:r>
      <w:r w:rsidRPr="00474CDC">
        <w:rPr>
          <w:rFonts w:ascii="Times New Roman" w:hAnsi="Times New Roman" w:cs="Times New Roman"/>
          <w:sz w:val="26"/>
          <w:szCs w:val="26"/>
        </w:rPr>
        <w:tab/>
        <w:t>Mrs. Nirmala Banerjee, Calcutta Metropolitan Planning Organisation, Calcutta</w:t>
      </w:r>
    </w:p>
    <w:p w14:paraId="5566118C" w14:textId="77777777" w:rsidR="00474CDC" w:rsidRPr="00474CDC" w:rsidRDefault="00474CDC" w:rsidP="00474CDC">
      <w:pPr>
        <w:pStyle w:val="NoSpacing"/>
        <w:spacing w:line="300" w:lineRule="exact"/>
        <w:rPr>
          <w:rFonts w:ascii="Times New Roman" w:hAnsi="Times New Roman" w:cs="Times New Roman"/>
          <w:sz w:val="26"/>
          <w:szCs w:val="26"/>
        </w:rPr>
      </w:pPr>
      <w:r w:rsidRPr="00474CDC">
        <w:rPr>
          <w:rFonts w:ascii="Times New Roman" w:hAnsi="Times New Roman" w:cs="Times New Roman"/>
          <w:sz w:val="26"/>
          <w:szCs w:val="26"/>
        </w:rPr>
        <w:t>45</w:t>
      </w:r>
      <w:r w:rsidRPr="00474CDC">
        <w:rPr>
          <w:rFonts w:ascii="Times New Roman" w:hAnsi="Times New Roman" w:cs="Times New Roman"/>
          <w:sz w:val="26"/>
          <w:szCs w:val="26"/>
        </w:rPr>
        <w:tab/>
        <w:t>Shri G. Parthasarathy, Andhra University, Waltair</w:t>
      </w:r>
    </w:p>
    <w:p w14:paraId="47BC0F69" w14:textId="77777777" w:rsidR="00474CDC" w:rsidRPr="00474CDC" w:rsidRDefault="00474CDC" w:rsidP="00474CDC">
      <w:pPr>
        <w:pStyle w:val="NoSpacing"/>
        <w:spacing w:line="300" w:lineRule="exact"/>
        <w:rPr>
          <w:rFonts w:ascii="Times New Roman" w:hAnsi="Times New Roman" w:cs="Times New Roman"/>
          <w:sz w:val="26"/>
          <w:szCs w:val="26"/>
        </w:rPr>
      </w:pPr>
      <w:r w:rsidRPr="00474CDC">
        <w:rPr>
          <w:rFonts w:ascii="Times New Roman" w:hAnsi="Times New Roman" w:cs="Times New Roman"/>
          <w:sz w:val="26"/>
          <w:szCs w:val="26"/>
        </w:rPr>
        <w:t>46</w:t>
      </w:r>
      <w:r w:rsidRPr="00474CDC">
        <w:rPr>
          <w:rFonts w:ascii="Times New Roman" w:hAnsi="Times New Roman" w:cs="Times New Roman"/>
          <w:sz w:val="26"/>
          <w:szCs w:val="26"/>
        </w:rPr>
        <w:tab/>
        <w:t>Prof. V. R. Pillai, Kerala</w:t>
      </w:r>
    </w:p>
    <w:p w14:paraId="14A80A09" w14:textId="77777777" w:rsidR="00474CDC" w:rsidRPr="00474CDC" w:rsidRDefault="00474CDC" w:rsidP="00474CDC">
      <w:pPr>
        <w:pStyle w:val="NoSpacing"/>
        <w:spacing w:line="300" w:lineRule="exact"/>
        <w:rPr>
          <w:rFonts w:ascii="Times New Roman" w:hAnsi="Times New Roman" w:cs="Times New Roman"/>
          <w:sz w:val="26"/>
          <w:szCs w:val="26"/>
        </w:rPr>
      </w:pPr>
      <w:r w:rsidRPr="00474CDC">
        <w:rPr>
          <w:rFonts w:ascii="Times New Roman" w:hAnsi="Times New Roman" w:cs="Times New Roman"/>
          <w:sz w:val="26"/>
          <w:szCs w:val="26"/>
        </w:rPr>
        <w:t>47</w:t>
      </w:r>
      <w:r w:rsidRPr="00474CDC">
        <w:rPr>
          <w:rFonts w:ascii="Times New Roman" w:hAnsi="Times New Roman" w:cs="Times New Roman"/>
          <w:sz w:val="26"/>
          <w:szCs w:val="26"/>
        </w:rPr>
        <w:tab/>
        <w:t>Prof. V. A. Patel, Badra, Gujarat</w:t>
      </w:r>
    </w:p>
    <w:p w14:paraId="0D95BB69" w14:textId="77777777" w:rsidR="00474CDC" w:rsidRPr="00474CDC" w:rsidRDefault="00474CDC" w:rsidP="00474CDC">
      <w:pPr>
        <w:pStyle w:val="NoSpacing"/>
        <w:spacing w:line="300" w:lineRule="exact"/>
        <w:rPr>
          <w:rFonts w:ascii="Times New Roman" w:hAnsi="Times New Roman" w:cs="Times New Roman"/>
          <w:sz w:val="26"/>
          <w:szCs w:val="26"/>
        </w:rPr>
      </w:pPr>
      <w:r w:rsidRPr="00474CDC">
        <w:rPr>
          <w:rFonts w:ascii="Times New Roman" w:hAnsi="Times New Roman" w:cs="Times New Roman"/>
          <w:sz w:val="26"/>
          <w:szCs w:val="26"/>
        </w:rPr>
        <w:t>48</w:t>
      </w:r>
      <w:r w:rsidRPr="00474CDC">
        <w:rPr>
          <w:rFonts w:ascii="Times New Roman" w:hAnsi="Times New Roman" w:cs="Times New Roman"/>
          <w:sz w:val="26"/>
          <w:szCs w:val="26"/>
        </w:rPr>
        <w:tab/>
        <w:t>Dr. Rajendra S. Jain, Bhopal</w:t>
      </w:r>
    </w:p>
    <w:p w14:paraId="44437134" w14:textId="77777777" w:rsidR="00474CDC" w:rsidRPr="00474CDC" w:rsidRDefault="00474CDC" w:rsidP="00474CDC">
      <w:pPr>
        <w:pStyle w:val="NoSpacing"/>
        <w:spacing w:line="300" w:lineRule="exact"/>
        <w:rPr>
          <w:rFonts w:ascii="Times New Roman" w:hAnsi="Times New Roman" w:cs="Times New Roman"/>
          <w:sz w:val="26"/>
          <w:szCs w:val="26"/>
        </w:rPr>
      </w:pPr>
      <w:r w:rsidRPr="00474CDC">
        <w:rPr>
          <w:rFonts w:ascii="Times New Roman" w:hAnsi="Times New Roman" w:cs="Times New Roman"/>
          <w:sz w:val="26"/>
          <w:szCs w:val="26"/>
        </w:rPr>
        <w:t>49</w:t>
      </w:r>
      <w:r w:rsidRPr="00474CDC">
        <w:rPr>
          <w:rFonts w:ascii="Times New Roman" w:hAnsi="Times New Roman" w:cs="Times New Roman"/>
          <w:sz w:val="26"/>
          <w:szCs w:val="26"/>
        </w:rPr>
        <w:tab/>
        <w:t>Prof. Raj Krishna, University of Rajasthan, Jaipur</w:t>
      </w:r>
    </w:p>
    <w:p w14:paraId="6A5AAB5C" w14:textId="77777777" w:rsidR="00474CDC" w:rsidRPr="00474CDC" w:rsidRDefault="00474CDC" w:rsidP="00474CDC">
      <w:pPr>
        <w:pStyle w:val="NoSpacing"/>
        <w:spacing w:line="300" w:lineRule="exact"/>
        <w:rPr>
          <w:rFonts w:ascii="Times New Roman" w:hAnsi="Times New Roman" w:cs="Times New Roman"/>
          <w:sz w:val="26"/>
          <w:szCs w:val="26"/>
        </w:rPr>
      </w:pPr>
      <w:r w:rsidRPr="00474CDC">
        <w:rPr>
          <w:rFonts w:ascii="Times New Roman" w:hAnsi="Times New Roman" w:cs="Times New Roman"/>
          <w:sz w:val="26"/>
          <w:szCs w:val="26"/>
        </w:rPr>
        <w:t>50</w:t>
      </w:r>
      <w:r w:rsidRPr="00474CDC">
        <w:rPr>
          <w:rFonts w:ascii="Times New Roman" w:hAnsi="Times New Roman" w:cs="Times New Roman"/>
          <w:sz w:val="26"/>
          <w:szCs w:val="26"/>
        </w:rPr>
        <w:tab/>
        <w:t>Shri A. Raman, University of Madras, Madras</w:t>
      </w:r>
    </w:p>
    <w:p w14:paraId="336CCF99" w14:textId="77777777" w:rsidR="00474CDC" w:rsidRPr="00474CDC" w:rsidRDefault="00474CDC" w:rsidP="00474CDC">
      <w:pPr>
        <w:pStyle w:val="NoSpacing"/>
        <w:spacing w:line="300" w:lineRule="exact"/>
        <w:rPr>
          <w:rFonts w:ascii="Times New Roman" w:hAnsi="Times New Roman" w:cs="Times New Roman"/>
          <w:sz w:val="26"/>
          <w:szCs w:val="26"/>
        </w:rPr>
      </w:pPr>
      <w:r w:rsidRPr="00474CDC">
        <w:rPr>
          <w:rFonts w:ascii="Times New Roman" w:hAnsi="Times New Roman" w:cs="Times New Roman"/>
          <w:sz w:val="26"/>
          <w:szCs w:val="26"/>
        </w:rPr>
        <w:t>51</w:t>
      </w:r>
      <w:r w:rsidRPr="00474CDC">
        <w:rPr>
          <w:rFonts w:ascii="Times New Roman" w:hAnsi="Times New Roman" w:cs="Times New Roman"/>
          <w:sz w:val="26"/>
          <w:szCs w:val="26"/>
        </w:rPr>
        <w:tab/>
        <w:t>Shri P. Sambaiah, State Bank of India, Bombay</w:t>
      </w:r>
    </w:p>
    <w:p w14:paraId="7064FEFD" w14:textId="77777777" w:rsidR="00474CDC" w:rsidRPr="00474CDC" w:rsidRDefault="00474CDC" w:rsidP="00474CDC">
      <w:pPr>
        <w:pStyle w:val="NoSpacing"/>
        <w:spacing w:line="300" w:lineRule="exact"/>
        <w:rPr>
          <w:rFonts w:ascii="Times New Roman" w:hAnsi="Times New Roman" w:cs="Times New Roman"/>
          <w:sz w:val="26"/>
          <w:szCs w:val="26"/>
        </w:rPr>
      </w:pPr>
      <w:r w:rsidRPr="00474CDC">
        <w:rPr>
          <w:rFonts w:ascii="Times New Roman" w:hAnsi="Times New Roman" w:cs="Times New Roman"/>
          <w:sz w:val="26"/>
          <w:szCs w:val="26"/>
        </w:rPr>
        <w:t>52</w:t>
      </w:r>
      <w:r w:rsidRPr="00474CDC">
        <w:rPr>
          <w:rFonts w:ascii="Times New Roman" w:hAnsi="Times New Roman" w:cs="Times New Roman"/>
          <w:sz w:val="26"/>
          <w:szCs w:val="26"/>
        </w:rPr>
        <w:tab/>
        <w:t>Shri K. V. S. Sastri, Andhra University, Post Graduate Centre, Guntur</w:t>
      </w:r>
    </w:p>
    <w:p w14:paraId="6D972B04" w14:textId="77777777" w:rsidR="00474CDC" w:rsidRPr="00474CDC" w:rsidRDefault="00474CDC" w:rsidP="00474CDC">
      <w:pPr>
        <w:pStyle w:val="NoSpacing"/>
        <w:spacing w:line="300" w:lineRule="exact"/>
        <w:rPr>
          <w:rFonts w:ascii="Times New Roman" w:hAnsi="Times New Roman" w:cs="Times New Roman"/>
          <w:sz w:val="26"/>
          <w:szCs w:val="26"/>
        </w:rPr>
      </w:pPr>
      <w:r w:rsidRPr="00474CDC">
        <w:rPr>
          <w:rFonts w:ascii="Times New Roman" w:hAnsi="Times New Roman" w:cs="Times New Roman"/>
          <w:sz w:val="26"/>
          <w:szCs w:val="26"/>
        </w:rPr>
        <w:t>53</w:t>
      </w:r>
      <w:r w:rsidRPr="00474CDC">
        <w:rPr>
          <w:rFonts w:ascii="Times New Roman" w:hAnsi="Times New Roman" w:cs="Times New Roman"/>
          <w:sz w:val="26"/>
          <w:szCs w:val="26"/>
        </w:rPr>
        <w:tab/>
        <w:t>Dr. V. Shanmugasundaram, University of Madras, Madras</w:t>
      </w:r>
    </w:p>
    <w:p w14:paraId="5B5A2313" w14:textId="77777777" w:rsidR="00474CDC" w:rsidRPr="00474CDC" w:rsidRDefault="00474CDC" w:rsidP="00474CDC">
      <w:pPr>
        <w:pStyle w:val="NoSpacing"/>
        <w:spacing w:line="300" w:lineRule="exact"/>
        <w:rPr>
          <w:rFonts w:ascii="Times New Roman" w:hAnsi="Times New Roman" w:cs="Times New Roman"/>
          <w:sz w:val="26"/>
          <w:szCs w:val="26"/>
        </w:rPr>
      </w:pPr>
      <w:r w:rsidRPr="00474CDC">
        <w:rPr>
          <w:rFonts w:ascii="Times New Roman" w:hAnsi="Times New Roman" w:cs="Times New Roman"/>
          <w:sz w:val="26"/>
          <w:szCs w:val="26"/>
        </w:rPr>
        <w:t>54</w:t>
      </w:r>
      <w:r w:rsidRPr="00474CDC">
        <w:rPr>
          <w:rFonts w:ascii="Times New Roman" w:hAnsi="Times New Roman" w:cs="Times New Roman"/>
          <w:sz w:val="26"/>
          <w:szCs w:val="26"/>
        </w:rPr>
        <w:tab/>
        <w:t>Dr. P. C. Thomas, Gauhati University, Gauhati</w:t>
      </w:r>
    </w:p>
    <w:p w14:paraId="2C007C07" w14:textId="77777777" w:rsidR="00474CDC" w:rsidRPr="00474CDC" w:rsidRDefault="00474CDC" w:rsidP="00474CDC">
      <w:pPr>
        <w:pStyle w:val="NoSpacing"/>
        <w:spacing w:line="300" w:lineRule="exact"/>
        <w:rPr>
          <w:rFonts w:ascii="Times New Roman" w:hAnsi="Times New Roman" w:cs="Times New Roman"/>
          <w:sz w:val="26"/>
          <w:szCs w:val="26"/>
        </w:rPr>
      </w:pPr>
      <w:r w:rsidRPr="00474CDC">
        <w:rPr>
          <w:rFonts w:ascii="Times New Roman" w:hAnsi="Times New Roman" w:cs="Times New Roman"/>
          <w:sz w:val="26"/>
          <w:szCs w:val="26"/>
        </w:rPr>
        <w:t>55</w:t>
      </w:r>
      <w:r w:rsidRPr="00474CDC">
        <w:rPr>
          <w:rFonts w:ascii="Times New Roman" w:hAnsi="Times New Roman" w:cs="Times New Roman"/>
          <w:sz w:val="26"/>
          <w:szCs w:val="26"/>
        </w:rPr>
        <w:tab/>
        <w:t>Dr. R. N. Tripathy, Ranchi University, Ranchi</w:t>
      </w:r>
    </w:p>
    <w:p w14:paraId="29A2D024" w14:textId="77777777" w:rsidR="00474CDC" w:rsidRPr="00474CDC" w:rsidRDefault="00474CDC" w:rsidP="00474CDC">
      <w:pPr>
        <w:pStyle w:val="NoSpacing"/>
        <w:spacing w:line="300" w:lineRule="exact"/>
        <w:rPr>
          <w:rFonts w:ascii="Times New Roman" w:hAnsi="Times New Roman" w:cs="Times New Roman"/>
          <w:sz w:val="26"/>
          <w:szCs w:val="26"/>
        </w:rPr>
      </w:pPr>
      <w:r w:rsidRPr="00474CDC">
        <w:rPr>
          <w:rFonts w:ascii="Times New Roman" w:hAnsi="Times New Roman" w:cs="Times New Roman"/>
          <w:sz w:val="26"/>
          <w:szCs w:val="26"/>
        </w:rPr>
        <w:t>56</w:t>
      </w:r>
      <w:r w:rsidRPr="00474CDC">
        <w:rPr>
          <w:rFonts w:ascii="Times New Roman" w:hAnsi="Times New Roman" w:cs="Times New Roman"/>
          <w:sz w:val="26"/>
          <w:szCs w:val="26"/>
        </w:rPr>
        <w:tab/>
        <w:t>Mrs. Ursula K. Hicks, Linacre College, Oxford, England</w:t>
      </w:r>
    </w:p>
    <w:p w14:paraId="6617C660" w14:textId="77777777" w:rsidR="00474CDC" w:rsidRPr="00474CDC" w:rsidRDefault="00474CDC" w:rsidP="00474CDC">
      <w:pPr>
        <w:pStyle w:val="NoSpacing"/>
        <w:spacing w:line="300" w:lineRule="exact"/>
        <w:rPr>
          <w:rFonts w:ascii="Times New Roman" w:hAnsi="Times New Roman" w:cs="Times New Roman"/>
          <w:sz w:val="26"/>
          <w:szCs w:val="26"/>
        </w:rPr>
      </w:pPr>
      <w:r w:rsidRPr="00474CDC">
        <w:rPr>
          <w:rFonts w:ascii="Times New Roman" w:hAnsi="Times New Roman" w:cs="Times New Roman"/>
          <w:sz w:val="26"/>
          <w:szCs w:val="26"/>
        </w:rPr>
        <w:t>57</w:t>
      </w:r>
      <w:r w:rsidRPr="00474CDC">
        <w:rPr>
          <w:rFonts w:ascii="Times New Roman" w:hAnsi="Times New Roman" w:cs="Times New Roman"/>
          <w:sz w:val="26"/>
          <w:szCs w:val="26"/>
        </w:rPr>
        <w:tab/>
        <w:t>Dr. K. Venkatagiri, Bangalore University, Bangalore</w:t>
      </w:r>
    </w:p>
    <w:p w14:paraId="704D0131" w14:textId="39222DC9" w:rsidR="00ED3CB7" w:rsidRPr="00474CDC" w:rsidRDefault="00474CDC" w:rsidP="00474CDC">
      <w:pPr>
        <w:pStyle w:val="NoSpacing"/>
        <w:spacing w:line="300" w:lineRule="exact"/>
        <w:rPr>
          <w:rFonts w:ascii="Times New Roman" w:hAnsi="Times New Roman" w:cs="Times New Roman"/>
          <w:sz w:val="26"/>
          <w:szCs w:val="26"/>
        </w:rPr>
      </w:pPr>
      <w:r w:rsidRPr="00474CDC">
        <w:rPr>
          <w:rFonts w:ascii="Times New Roman" w:hAnsi="Times New Roman" w:cs="Times New Roman"/>
          <w:sz w:val="26"/>
          <w:szCs w:val="26"/>
        </w:rPr>
        <w:t>58</w:t>
      </w:r>
      <w:r w:rsidRPr="00474CDC">
        <w:rPr>
          <w:rFonts w:ascii="Times New Roman" w:hAnsi="Times New Roman" w:cs="Times New Roman"/>
          <w:sz w:val="26"/>
          <w:szCs w:val="26"/>
        </w:rPr>
        <w:tab/>
        <w:t>Shri V. S. Vyas, Sardar Patel Vidyalaya, Gujarat</w:t>
      </w:r>
    </w:p>
    <w:p w14:paraId="622F8A96" w14:textId="77777777" w:rsidR="00474CDC" w:rsidRDefault="00474CDC">
      <w:pPr>
        <w:rPr>
          <w:rFonts w:ascii="Times New Roman" w:hAnsi="Times New Roman" w:cs="Times New Roman"/>
          <w:b/>
          <w:bCs/>
        </w:rPr>
      </w:pPr>
      <w:r>
        <w:rPr>
          <w:rFonts w:ascii="Times New Roman" w:hAnsi="Times New Roman" w:cs="Times New Roman"/>
          <w:b/>
          <w:bCs/>
        </w:rPr>
        <w:br w:type="page"/>
      </w:r>
    </w:p>
    <w:p w14:paraId="7184A3B4" w14:textId="05A57F6E" w:rsidR="00E26F3B" w:rsidRPr="007245B0" w:rsidRDefault="00E26F3B" w:rsidP="00474CDC">
      <w:pPr>
        <w:pStyle w:val="Heading2"/>
      </w:pPr>
      <w:bookmarkStart w:id="29" w:name="_Toc220949679"/>
      <w:bookmarkStart w:id="30" w:name="_Toc221115302"/>
      <w:r w:rsidRPr="007245B0">
        <w:lastRenderedPageBreak/>
        <w:t>APPENDIX IV</w:t>
      </w:r>
      <w:r w:rsidR="00474CDC">
        <w:t xml:space="preserve"> </w:t>
      </w:r>
      <w:r w:rsidR="00474CDC">
        <w:br/>
      </w:r>
      <w:r w:rsidR="00474CDC" w:rsidRPr="007245B0">
        <w:t>INDIVIDUALS AND ORGANISATIONS WHOSE REPRESENTATIVES APPEARED BEFORE THE COMMISSION AND GAVE ORAL EVIDENCE</w:t>
      </w:r>
      <w:bookmarkEnd w:id="29"/>
      <w:bookmarkEnd w:id="30"/>
    </w:p>
    <w:p w14:paraId="08892CC6" w14:textId="77777777" w:rsidR="00E26F3B" w:rsidRPr="00474CDC" w:rsidRDefault="00E26F3B" w:rsidP="00474CDC">
      <w:pPr>
        <w:pStyle w:val="NoSpacing"/>
        <w:spacing w:line="300" w:lineRule="exact"/>
        <w:rPr>
          <w:rFonts w:ascii="Times New Roman" w:hAnsi="Times New Roman" w:cs="Times New Roman"/>
          <w:i/>
          <w:iCs/>
          <w:sz w:val="26"/>
          <w:szCs w:val="26"/>
        </w:rPr>
      </w:pPr>
      <w:r w:rsidRPr="00474CDC">
        <w:rPr>
          <w:rFonts w:ascii="Times New Roman" w:hAnsi="Times New Roman" w:cs="Times New Roman"/>
          <w:i/>
          <w:iCs/>
          <w:sz w:val="26"/>
          <w:szCs w:val="26"/>
        </w:rPr>
        <w:t>(a) Individuals who appeared before the Commission</w:t>
      </w:r>
    </w:p>
    <w:p w14:paraId="1975C1F6" w14:textId="77777777" w:rsidR="00474CDC" w:rsidRPr="00474CDC" w:rsidRDefault="00474CDC" w:rsidP="00474CDC">
      <w:pPr>
        <w:pStyle w:val="NoSpacing"/>
        <w:spacing w:line="300" w:lineRule="exact"/>
        <w:rPr>
          <w:rFonts w:ascii="Times New Roman" w:hAnsi="Times New Roman" w:cs="Times New Roman"/>
          <w:i/>
          <w:iCs/>
          <w:sz w:val="26"/>
          <w:szCs w:val="26"/>
        </w:rPr>
      </w:pPr>
    </w:p>
    <w:p w14:paraId="7C7B516B" w14:textId="77777777" w:rsidR="00474CDC" w:rsidRPr="00474CDC" w:rsidRDefault="00474CDC" w:rsidP="00474CDC">
      <w:pPr>
        <w:pStyle w:val="NoSpacing"/>
        <w:spacing w:line="300" w:lineRule="exact"/>
        <w:rPr>
          <w:rFonts w:ascii="Times New Roman" w:hAnsi="Times New Roman" w:cs="Times New Roman"/>
          <w:sz w:val="26"/>
          <w:szCs w:val="26"/>
        </w:rPr>
      </w:pPr>
      <w:r w:rsidRPr="00474CDC">
        <w:rPr>
          <w:rFonts w:ascii="Times New Roman" w:hAnsi="Times New Roman" w:cs="Times New Roman"/>
          <w:sz w:val="26"/>
          <w:szCs w:val="26"/>
        </w:rPr>
        <w:t>1</w:t>
      </w:r>
      <w:r w:rsidRPr="00474CDC">
        <w:rPr>
          <w:rFonts w:ascii="Times New Roman" w:hAnsi="Times New Roman" w:cs="Times New Roman"/>
          <w:sz w:val="26"/>
          <w:szCs w:val="26"/>
        </w:rPr>
        <w:tab/>
        <w:t>Dr. V. K. R. V. Rao, Union Minister of Education and Youth Services</w:t>
      </w:r>
    </w:p>
    <w:p w14:paraId="21EF80F1" w14:textId="77777777" w:rsidR="00474CDC" w:rsidRPr="00474CDC" w:rsidRDefault="00474CDC" w:rsidP="00474CDC">
      <w:pPr>
        <w:pStyle w:val="NoSpacing"/>
        <w:spacing w:line="300" w:lineRule="exact"/>
        <w:rPr>
          <w:rFonts w:ascii="Times New Roman" w:hAnsi="Times New Roman" w:cs="Times New Roman"/>
          <w:sz w:val="26"/>
          <w:szCs w:val="26"/>
        </w:rPr>
      </w:pPr>
      <w:r w:rsidRPr="00474CDC">
        <w:rPr>
          <w:rFonts w:ascii="Times New Roman" w:hAnsi="Times New Roman" w:cs="Times New Roman"/>
          <w:sz w:val="26"/>
          <w:szCs w:val="26"/>
        </w:rPr>
        <w:t>2</w:t>
      </w:r>
      <w:r w:rsidRPr="00474CDC">
        <w:rPr>
          <w:rFonts w:ascii="Times New Roman" w:hAnsi="Times New Roman" w:cs="Times New Roman"/>
          <w:sz w:val="26"/>
          <w:szCs w:val="26"/>
        </w:rPr>
        <w:tab/>
        <w:t>Dr. K. L. Rao, Union Minister of Irrigation and Power</w:t>
      </w:r>
    </w:p>
    <w:p w14:paraId="7C3255D2" w14:textId="77777777" w:rsidR="00474CDC" w:rsidRPr="00474CDC" w:rsidRDefault="00474CDC" w:rsidP="00474CDC">
      <w:pPr>
        <w:pStyle w:val="NoSpacing"/>
        <w:spacing w:line="300" w:lineRule="exact"/>
        <w:rPr>
          <w:rFonts w:ascii="Times New Roman" w:hAnsi="Times New Roman" w:cs="Times New Roman"/>
          <w:sz w:val="26"/>
          <w:szCs w:val="26"/>
        </w:rPr>
      </w:pPr>
      <w:r w:rsidRPr="00474CDC">
        <w:rPr>
          <w:rFonts w:ascii="Times New Roman" w:hAnsi="Times New Roman" w:cs="Times New Roman"/>
          <w:sz w:val="26"/>
          <w:szCs w:val="26"/>
        </w:rPr>
        <w:t>3</w:t>
      </w:r>
      <w:r w:rsidRPr="00474CDC">
        <w:rPr>
          <w:rFonts w:ascii="Times New Roman" w:hAnsi="Times New Roman" w:cs="Times New Roman"/>
          <w:sz w:val="26"/>
          <w:szCs w:val="26"/>
        </w:rPr>
        <w:tab/>
        <w:t>Dr. D. R. Gadgil, Deputy Chairman, Planning Commission</w:t>
      </w:r>
    </w:p>
    <w:p w14:paraId="321342F0" w14:textId="77777777" w:rsidR="00474CDC" w:rsidRPr="00474CDC" w:rsidRDefault="00474CDC" w:rsidP="00474CDC">
      <w:pPr>
        <w:pStyle w:val="NoSpacing"/>
        <w:spacing w:line="300" w:lineRule="exact"/>
        <w:rPr>
          <w:rFonts w:ascii="Times New Roman" w:hAnsi="Times New Roman" w:cs="Times New Roman"/>
          <w:sz w:val="26"/>
          <w:szCs w:val="26"/>
        </w:rPr>
      </w:pPr>
      <w:r w:rsidRPr="00474CDC">
        <w:rPr>
          <w:rFonts w:ascii="Times New Roman" w:hAnsi="Times New Roman" w:cs="Times New Roman"/>
          <w:sz w:val="26"/>
          <w:szCs w:val="26"/>
        </w:rPr>
        <w:t>4</w:t>
      </w:r>
      <w:r w:rsidRPr="00474CDC">
        <w:rPr>
          <w:rFonts w:ascii="Times New Roman" w:hAnsi="Times New Roman" w:cs="Times New Roman"/>
          <w:sz w:val="26"/>
          <w:szCs w:val="26"/>
        </w:rPr>
        <w:tab/>
        <w:t>Shri N. Rajagopala Iyengar, Chairman, Press Council of India</w:t>
      </w:r>
    </w:p>
    <w:p w14:paraId="27FBCF86" w14:textId="77777777" w:rsidR="00474CDC" w:rsidRPr="00474CDC" w:rsidRDefault="00474CDC" w:rsidP="00474CDC">
      <w:pPr>
        <w:pStyle w:val="NoSpacing"/>
        <w:spacing w:line="300" w:lineRule="exact"/>
        <w:rPr>
          <w:rFonts w:ascii="Times New Roman" w:hAnsi="Times New Roman" w:cs="Times New Roman"/>
          <w:sz w:val="26"/>
          <w:szCs w:val="26"/>
        </w:rPr>
      </w:pPr>
      <w:r w:rsidRPr="00474CDC">
        <w:rPr>
          <w:rFonts w:ascii="Times New Roman" w:hAnsi="Times New Roman" w:cs="Times New Roman"/>
          <w:sz w:val="26"/>
          <w:szCs w:val="26"/>
        </w:rPr>
        <w:t>5</w:t>
      </w:r>
      <w:r w:rsidRPr="00474CDC">
        <w:rPr>
          <w:rFonts w:ascii="Times New Roman" w:hAnsi="Times New Roman" w:cs="Times New Roman"/>
          <w:sz w:val="26"/>
          <w:szCs w:val="26"/>
        </w:rPr>
        <w:tab/>
        <w:t>Shri K. Santhanam, Ex-Chairman, Second Finance Commission</w:t>
      </w:r>
    </w:p>
    <w:p w14:paraId="02551576" w14:textId="77777777" w:rsidR="00474CDC" w:rsidRPr="00474CDC" w:rsidRDefault="00474CDC" w:rsidP="00474CDC">
      <w:pPr>
        <w:pStyle w:val="NoSpacing"/>
        <w:spacing w:line="300" w:lineRule="exact"/>
        <w:rPr>
          <w:rFonts w:ascii="Times New Roman" w:hAnsi="Times New Roman" w:cs="Times New Roman"/>
          <w:sz w:val="26"/>
          <w:szCs w:val="26"/>
        </w:rPr>
      </w:pPr>
      <w:r w:rsidRPr="00474CDC">
        <w:rPr>
          <w:rFonts w:ascii="Times New Roman" w:hAnsi="Times New Roman" w:cs="Times New Roman"/>
          <w:sz w:val="26"/>
          <w:szCs w:val="26"/>
        </w:rPr>
        <w:t>6</w:t>
      </w:r>
      <w:r w:rsidRPr="00474CDC">
        <w:rPr>
          <w:rFonts w:ascii="Times New Roman" w:hAnsi="Times New Roman" w:cs="Times New Roman"/>
          <w:sz w:val="26"/>
          <w:szCs w:val="26"/>
        </w:rPr>
        <w:tab/>
        <w:t>Shri A. K. Chanda, Ex-Chairman, Third Finance Commission</w:t>
      </w:r>
    </w:p>
    <w:p w14:paraId="1524F1D0" w14:textId="2B00D1A8" w:rsidR="00474CDC" w:rsidRPr="00474CDC" w:rsidRDefault="00474CDC" w:rsidP="00474CDC">
      <w:pPr>
        <w:pStyle w:val="NoSpacing"/>
        <w:spacing w:line="300" w:lineRule="exact"/>
        <w:rPr>
          <w:rFonts w:ascii="Times New Roman" w:hAnsi="Times New Roman" w:cs="Times New Roman"/>
          <w:sz w:val="26"/>
          <w:szCs w:val="26"/>
        </w:rPr>
      </w:pPr>
      <w:r w:rsidRPr="00474CDC">
        <w:rPr>
          <w:rFonts w:ascii="Times New Roman" w:hAnsi="Times New Roman" w:cs="Times New Roman"/>
          <w:sz w:val="26"/>
          <w:szCs w:val="26"/>
        </w:rPr>
        <w:t>7</w:t>
      </w:r>
      <w:r w:rsidRPr="00474CDC">
        <w:rPr>
          <w:rFonts w:ascii="Times New Roman" w:hAnsi="Times New Roman" w:cs="Times New Roman"/>
          <w:sz w:val="26"/>
          <w:szCs w:val="26"/>
        </w:rPr>
        <w:tab/>
        <w:t>Shri B. Venkatappia</w:t>
      </w:r>
      <w:r w:rsidR="00BA63A4">
        <w:rPr>
          <w:rFonts w:ascii="Times New Roman" w:hAnsi="Times New Roman" w:cs="Times New Roman"/>
          <w:sz w:val="26"/>
          <w:szCs w:val="26"/>
        </w:rPr>
        <w:t>h</w:t>
      </w:r>
      <w:r w:rsidRPr="00474CDC">
        <w:rPr>
          <w:rFonts w:ascii="Times New Roman" w:hAnsi="Times New Roman" w:cs="Times New Roman"/>
          <w:sz w:val="26"/>
          <w:szCs w:val="26"/>
        </w:rPr>
        <w:t>, Member, Planning Commission</w:t>
      </w:r>
    </w:p>
    <w:p w14:paraId="455D76E8" w14:textId="77777777" w:rsidR="00474CDC" w:rsidRPr="00474CDC" w:rsidRDefault="00474CDC" w:rsidP="00474CDC">
      <w:pPr>
        <w:pStyle w:val="NoSpacing"/>
        <w:spacing w:line="300" w:lineRule="exact"/>
        <w:rPr>
          <w:rFonts w:ascii="Times New Roman" w:hAnsi="Times New Roman" w:cs="Times New Roman"/>
          <w:sz w:val="26"/>
          <w:szCs w:val="26"/>
        </w:rPr>
      </w:pPr>
      <w:r w:rsidRPr="00474CDC">
        <w:rPr>
          <w:rFonts w:ascii="Times New Roman" w:hAnsi="Times New Roman" w:cs="Times New Roman"/>
          <w:sz w:val="26"/>
          <w:szCs w:val="26"/>
        </w:rPr>
        <w:t>8</w:t>
      </w:r>
      <w:r w:rsidRPr="00474CDC">
        <w:rPr>
          <w:rFonts w:ascii="Times New Roman" w:hAnsi="Times New Roman" w:cs="Times New Roman"/>
          <w:sz w:val="26"/>
          <w:szCs w:val="26"/>
        </w:rPr>
        <w:tab/>
        <w:t>Shri B. Sivaraman, Cabinet Secretary</w:t>
      </w:r>
    </w:p>
    <w:p w14:paraId="2DA7718F" w14:textId="77777777" w:rsidR="00474CDC" w:rsidRPr="00474CDC" w:rsidRDefault="00474CDC" w:rsidP="00474CDC">
      <w:pPr>
        <w:pStyle w:val="NoSpacing"/>
        <w:spacing w:line="300" w:lineRule="exact"/>
        <w:rPr>
          <w:rFonts w:ascii="Times New Roman" w:hAnsi="Times New Roman" w:cs="Times New Roman"/>
          <w:sz w:val="26"/>
          <w:szCs w:val="26"/>
        </w:rPr>
      </w:pPr>
      <w:r w:rsidRPr="00474CDC">
        <w:rPr>
          <w:rFonts w:ascii="Times New Roman" w:hAnsi="Times New Roman" w:cs="Times New Roman"/>
          <w:sz w:val="26"/>
          <w:szCs w:val="26"/>
        </w:rPr>
        <w:t>9</w:t>
      </w:r>
      <w:r w:rsidRPr="00474CDC">
        <w:rPr>
          <w:rFonts w:ascii="Times New Roman" w:hAnsi="Times New Roman" w:cs="Times New Roman"/>
          <w:sz w:val="26"/>
          <w:szCs w:val="26"/>
        </w:rPr>
        <w:tab/>
        <w:t>Shri A. K. Gopalan, Member, Lok Sabha</w:t>
      </w:r>
    </w:p>
    <w:p w14:paraId="0BBC352C" w14:textId="77777777" w:rsidR="00474CDC" w:rsidRPr="00474CDC" w:rsidRDefault="00474CDC" w:rsidP="00474CDC">
      <w:pPr>
        <w:pStyle w:val="NoSpacing"/>
        <w:spacing w:line="300" w:lineRule="exact"/>
        <w:rPr>
          <w:rFonts w:ascii="Times New Roman" w:hAnsi="Times New Roman" w:cs="Times New Roman"/>
          <w:sz w:val="26"/>
          <w:szCs w:val="26"/>
        </w:rPr>
      </w:pPr>
      <w:r w:rsidRPr="00474CDC">
        <w:rPr>
          <w:rFonts w:ascii="Times New Roman" w:hAnsi="Times New Roman" w:cs="Times New Roman"/>
          <w:sz w:val="26"/>
          <w:szCs w:val="26"/>
        </w:rPr>
        <w:t>10</w:t>
      </w:r>
      <w:r w:rsidRPr="00474CDC">
        <w:rPr>
          <w:rFonts w:ascii="Times New Roman" w:hAnsi="Times New Roman" w:cs="Times New Roman"/>
          <w:sz w:val="26"/>
          <w:szCs w:val="26"/>
        </w:rPr>
        <w:tab/>
        <w:t>Shri N. Sreekantan Nair, Member, Lok Sabha</w:t>
      </w:r>
    </w:p>
    <w:p w14:paraId="4E5091A1" w14:textId="77777777" w:rsidR="00474CDC" w:rsidRPr="00474CDC" w:rsidRDefault="00474CDC" w:rsidP="00474CDC">
      <w:pPr>
        <w:pStyle w:val="NoSpacing"/>
        <w:spacing w:line="300" w:lineRule="exact"/>
        <w:rPr>
          <w:rFonts w:ascii="Times New Roman" w:hAnsi="Times New Roman" w:cs="Times New Roman"/>
          <w:sz w:val="26"/>
          <w:szCs w:val="26"/>
        </w:rPr>
      </w:pPr>
      <w:r w:rsidRPr="00474CDC">
        <w:rPr>
          <w:rFonts w:ascii="Times New Roman" w:hAnsi="Times New Roman" w:cs="Times New Roman"/>
          <w:sz w:val="26"/>
          <w:szCs w:val="26"/>
        </w:rPr>
        <w:t>11</w:t>
      </w:r>
      <w:r w:rsidRPr="00474CDC">
        <w:rPr>
          <w:rFonts w:ascii="Times New Roman" w:hAnsi="Times New Roman" w:cs="Times New Roman"/>
          <w:sz w:val="26"/>
          <w:szCs w:val="26"/>
        </w:rPr>
        <w:tab/>
        <w:t>Shri P. Viswambharan, Member, Lok Sabha</w:t>
      </w:r>
    </w:p>
    <w:p w14:paraId="03EFB39F" w14:textId="77777777" w:rsidR="00474CDC" w:rsidRPr="00474CDC" w:rsidRDefault="00474CDC" w:rsidP="00474CDC">
      <w:pPr>
        <w:pStyle w:val="NoSpacing"/>
        <w:spacing w:line="300" w:lineRule="exact"/>
        <w:rPr>
          <w:rFonts w:ascii="Times New Roman" w:hAnsi="Times New Roman" w:cs="Times New Roman"/>
          <w:sz w:val="26"/>
          <w:szCs w:val="26"/>
        </w:rPr>
      </w:pPr>
      <w:r w:rsidRPr="00474CDC">
        <w:rPr>
          <w:rFonts w:ascii="Times New Roman" w:hAnsi="Times New Roman" w:cs="Times New Roman"/>
          <w:sz w:val="26"/>
          <w:szCs w:val="26"/>
        </w:rPr>
        <w:t>12</w:t>
      </w:r>
      <w:r w:rsidRPr="00474CDC">
        <w:rPr>
          <w:rFonts w:ascii="Times New Roman" w:hAnsi="Times New Roman" w:cs="Times New Roman"/>
          <w:sz w:val="26"/>
          <w:szCs w:val="26"/>
        </w:rPr>
        <w:tab/>
        <w:t>Shri K. Chandrasekharan, Member, Rajya Sabha</w:t>
      </w:r>
    </w:p>
    <w:p w14:paraId="1DCA7DFB" w14:textId="77777777" w:rsidR="00474CDC" w:rsidRPr="00474CDC" w:rsidRDefault="00474CDC" w:rsidP="00474CDC">
      <w:pPr>
        <w:pStyle w:val="NoSpacing"/>
        <w:spacing w:line="300" w:lineRule="exact"/>
        <w:rPr>
          <w:rFonts w:ascii="Times New Roman" w:hAnsi="Times New Roman" w:cs="Times New Roman"/>
          <w:sz w:val="26"/>
          <w:szCs w:val="26"/>
        </w:rPr>
      </w:pPr>
      <w:r w:rsidRPr="00474CDC">
        <w:rPr>
          <w:rFonts w:ascii="Times New Roman" w:hAnsi="Times New Roman" w:cs="Times New Roman"/>
          <w:sz w:val="26"/>
          <w:szCs w:val="26"/>
        </w:rPr>
        <w:t>13</w:t>
      </w:r>
      <w:r w:rsidRPr="00474CDC">
        <w:rPr>
          <w:rFonts w:ascii="Times New Roman" w:hAnsi="Times New Roman" w:cs="Times New Roman"/>
          <w:sz w:val="26"/>
          <w:szCs w:val="26"/>
        </w:rPr>
        <w:tab/>
        <w:t>Shri C. Achutha Menon, Member, Rajya Sabha</w:t>
      </w:r>
    </w:p>
    <w:p w14:paraId="7C4FC7E4" w14:textId="77777777" w:rsidR="00474CDC" w:rsidRPr="00474CDC" w:rsidRDefault="00474CDC" w:rsidP="00474CDC">
      <w:pPr>
        <w:pStyle w:val="NoSpacing"/>
        <w:spacing w:line="300" w:lineRule="exact"/>
        <w:rPr>
          <w:rFonts w:ascii="Times New Roman" w:hAnsi="Times New Roman" w:cs="Times New Roman"/>
          <w:sz w:val="26"/>
          <w:szCs w:val="26"/>
        </w:rPr>
      </w:pPr>
      <w:r w:rsidRPr="00474CDC">
        <w:rPr>
          <w:rFonts w:ascii="Times New Roman" w:hAnsi="Times New Roman" w:cs="Times New Roman"/>
          <w:sz w:val="26"/>
          <w:szCs w:val="26"/>
        </w:rPr>
        <w:t>14</w:t>
      </w:r>
      <w:r w:rsidRPr="00474CDC">
        <w:rPr>
          <w:rFonts w:ascii="Times New Roman" w:hAnsi="Times New Roman" w:cs="Times New Roman"/>
          <w:sz w:val="26"/>
          <w:szCs w:val="26"/>
        </w:rPr>
        <w:tab/>
        <w:t>Shri K. Karunakaran, M.L.A., Kerala</w:t>
      </w:r>
    </w:p>
    <w:p w14:paraId="1BB4817F" w14:textId="77777777" w:rsidR="00474CDC" w:rsidRPr="00474CDC" w:rsidRDefault="00474CDC" w:rsidP="00474CDC">
      <w:pPr>
        <w:pStyle w:val="NoSpacing"/>
        <w:spacing w:line="300" w:lineRule="exact"/>
        <w:rPr>
          <w:rFonts w:ascii="Times New Roman" w:hAnsi="Times New Roman" w:cs="Times New Roman"/>
          <w:sz w:val="26"/>
          <w:szCs w:val="26"/>
        </w:rPr>
      </w:pPr>
      <w:r w:rsidRPr="00474CDC">
        <w:rPr>
          <w:rFonts w:ascii="Times New Roman" w:hAnsi="Times New Roman" w:cs="Times New Roman"/>
          <w:sz w:val="26"/>
          <w:szCs w:val="26"/>
        </w:rPr>
        <w:t>15</w:t>
      </w:r>
      <w:r w:rsidRPr="00474CDC">
        <w:rPr>
          <w:rFonts w:ascii="Times New Roman" w:hAnsi="Times New Roman" w:cs="Times New Roman"/>
          <w:sz w:val="26"/>
          <w:szCs w:val="26"/>
        </w:rPr>
        <w:tab/>
        <w:t>Shri K. M. George, M.L.A., Kerala</w:t>
      </w:r>
    </w:p>
    <w:p w14:paraId="76D8AECA" w14:textId="77777777" w:rsidR="00474CDC" w:rsidRPr="00474CDC" w:rsidRDefault="00474CDC" w:rsidP="00474CDC">
      <w:pPr>
        <w:pStyle w:val="NoSpacing"/>
        <w:spacing w:line="300" w:lineRule="exact"/>
        <w:rPr>
          <w:rFonts w:ascii="Times New Roman" w:hAnsi="Times New Roman" w:cs="Times New Roman"/>
          <w:sz w:val="26"/>
          <w:szCs w:val="26"/>
        </w:rPr>
      </w:pPr>
      <w:r w:rsidRPr="00474CDC">
        <w:rPr>
          <w:rFonts w:ascii="Times New Roman" w:hAnsi="Times New Roman" w:cs="Times New Roman"/>
          <w:sz w:val="26"/>
          <w:szCs w:val="26"/>
        </w:rPr>
        <w:t>16</w:t>
      </w:r>
      <w:r w:rsidRPr="00474CDC">
        <w:rPr>
          <w:rFonts w:ascii="Times New Roman" w:hAnsi="Times New Roman" w:cs="Times New Roman"/>
          <w:sz w:val="26"/>
          <w:szCs w:val="26"/>
        </w:rPr>
        <w:tab/>
        <w:t>Shri E. Ahamed, M.L.A., Kerala</w:t>
      </w:r>
    </w:p>
    <w:p w14:paraId="71B66A6D" w14:textId="77777777" w:rsidR="00474CDC" w:rsidRPr="00474CDC" w:rsidRDefault="00474CDC" w:rsidP="00474CDC">
      <w:pPr>
        <w:pStyle w:val="NoSpacing"/>
        <w:spacing w:line="300" w:lineRule="exact"/>
        <w:rPr>
          <w:rFonts w:ascii="Times New Roman" w:hAnsi="Times New Roman" w:cs="Times New Roman"/>
          <w:sz w:val="26"/>
          <w:szCs w:val="26"/>
        </w:rPr>
      </w:pPr>
      <w:r w:rsidRPr="00474CDC">
        <w:rPr>
          <w:rFonts w:ascii="Times New Roman" w:hAnsi="Times New Roman" w:cs="Times New Roman"/>
          <w:sz w:val="26"/>
          <w:szCs w:val="26"/>
        </w:rPr>
        <w:t>17</w:t>
      </w:r>
      <w:r w:rsidRPr="00474CDC">
        <w:rPr>
          <w:rFonts w:ascii="Times New Roman" w:hAnsi="Times New Roman" w:cs="Times New Roman"/>
          <w:sz w:val="26"/>
          <w:szCs w:val="26"/>
        </w:rPr>
        <w:tab/>
        <w:t>Shri P. Govinda Pillai, M.L.A., Kerala</w:t>
      </w:r>
    </w:p>
    <w:p w14:paraId="7E1DB8ED" w14:textId="77777777" w:rsidR="00474CDC" w:rsidRPr="00474CDC" w:rsidRDefault="00474CDC" w:rsidP="00474CDC">
      <w:pPr>
        <w:pStyle w:val="NoSpacing"/>
        <w:spacing w:line="300" w:lineRule="exact"/>
        <w:rPr>
          <w:rFonts w:ascii="Times New Roman" w:hAnsi="Times New Roman" w:cs="Times New Roman"/>
          <w:sz w:val="26"/>
          <w:szCs w:val="26"/>
        </w:rPr>
      </w:pPr>
      <w:r w:rsidRPr="00474CDC">
        <w:rPr>
          <w:rFonts w:ascii="Times New Roman" w:hAnsi="Times New Roman" w:cs="Times New Roman"/>
          <w:sz w:val="26"/>
          <w:szCs w:val="26"/>
        </w:rPr>
        <w:t>18</w:t>
      </w:r>
      <w:r w:rsidRPr="00474CDC">
        <w:rPr>
          <w:rFonts w:ascii="Times New Roman" w:hAnsi="Times New Roman" w:cs="Times New Roman"/>
          <w:sz w:val="26"/>
          <w:szCs w:val="26"/>
        </w:rPr>
        <w:tab/>
        <w:t>Shri Vavilala Gopalakrishnayya, M.L.A., Andhra Pradesh</w:t>
      </w:r>
    </w:p>
    <w:p w14:paraId="554C5A80" w14:textId="77777777" w:rsidR="00474CDC" w:rsidRPr="00474CDC" w:rsidRDefault="00474CDC" w:rsidP="00474CDC">
      <w:pPr>
        <w:pStyle w:val="NoSpacing"/>
        <w:spacing w:line="300" w:lineRule="exact"/>
        <w:rPr>
          <w:rFonts w:ascii="Times New Roman" w:hAnsi="Times New Roman" w:cs="Times New Roman"/>
          <w:sz w:val="26"/>
          <w:szCs w:val="26"/>
        </w:rPr>
      </w:pPr>
      <w:r w:rsidRPr="00474CDC">
        <w:rPr>
          <w:rFonts w:ascii="Times New Roman" w:hAnsi="Times New Roman" w:cs="Times New Roman"/>
          <w:sz w:val="26"/>
          <w:szCs w:val="26"/>
        </w:rPr>
        <w:t>19</w:t>
      </w:r>
      <w:r w:rsidRPr="00474CDC">
        <w:rPr>
          <w:rFonts w:ascii="Times New Roman" w:hAnsi="Times New Roman" w:cs="Times New Roman"/>
          <w:sz w:val="26"/>
          <w:szCs w:val="26"/>
        </w:rPr>
        <w:tab/>
        <w:t>Shri J. J. Anjaria, Deputy Governor, Reserve Bank of India, Bombay</w:t>
      </w:r>
    </w:p>
    <w:p w14:paraId="6D38CAD2" w14:textId="77777777" w:rsidR="00474CDC" w:rsidRPr="00474CDC" w:rsidRDefault="00474CDC" w:rsidP="00474CDC">
      <w:pPr>
        <w:pStyle w:val="NoSpacing"/>
        <w:spacing w:line="300" w:lineRule="exact"/>
        <w:rPr>
          <w:rFonts w:ascii="Times New Roman" w:hAnsi="Times New Roman" w:cs="Times New Roman"/>
          <w:sz w:val="26"/>
          <w:szCs w:val="26"/>
        </w:rPr>
      </w:pPr>
      <w:r w:rsidRPr="00474CDC">
        <w:rPr>
          <w:rFonts w:ascii="Times New Roman" w:hAnsi="Times New Roman" w:cs="Times New Roman"/>
          <w:sz w:val="26"/>
          <w:szCs w:val="26"/>
        </w:rPr>
        <w:t>20</w:t>
      </w:r>
      <w:r w:rsidRPr="00474CDC">
        <w:rPr>
          <w:rFonts w:ascii="Times New Roman" w:hAnsi="Times New Roman" w:cs="Times New Roman"/>
          <w:sz w:val="26"/>
          <w:szCs w:val="26"/>
        </w:rPr>
        <w:tab/>
        <w:t>Shri N. E. Balaram, Kerala</w:t>
      </w:r>
    </w:p>
    <w:p w14:paraId="36C9D0D4" w14:textId="77777777" w:rsidR="00474CDC" w:rsidRPr="00474CDC" w:rsidRDefault="00474CDC" w:rsidP="00474CDC">
      <w:pPr>
        <w:pStyle w:val="NoSpacing"/>
        <w:spacing w:line="300" w:lineRule="exact"/>
        <w:rPr>
          <w:rFonts w:ascii="Times New Roman" w:hAnsi="Times New Roman" w:cs="Times New Roman"/>
          <w:sz w:val="26"/>
          <w:szCs w:val="26"/>
        </w:rPr>
      </w:pPr>
      <w:r w:rsidRPr="00474CDC">
        <w:rPr>
          <w:rFonts w:ascii="Times New Roman" w:hAnsi="Times New Roman" w:cs="Times New Roman"/>
          <w:sz w:val="26"/>
          <w:szCs w:val="26"/>
        </w:rPr>
        <w:t>21</w:t>
      </w:r>
      <w:r w:rsidRPr="00474CDC">
        <w:rPr>
          <w:rFonts w:ascii="Times New Roman" w:hAnsi="Times New Roman" w:cs="Times New Roman"/>
          <w:sz w:val="26"/>
          <w:szCs w:val="26"/>
        </w:rPr>
        <w:tab/>
        <w:t>Shri V. V. Bhatt, Reserve Bank of India</w:t>
      </w:r>
    </w:p>
    <w:p w14:paraId="775D1646" w14:textId="77777777" w:rsidR="00474CDC" w:rsidRPr="00474CDC" w:rsidRDefault="00474CDC" w:rsidP="00474CDC">
      <w:pPr>
        <w:pStyle w:val="NoSpacing"/>
        <w:spacing w:line="300" w:lineRule="exact"/>
        <w:rPr>
          <w:rFonts w:ascii="Times New Roman" w:hAnsi="Times New Roman" w:cs="Times New Roman"/>
          <w:sz w:val="26"/>
          <w:szCs w:val="26"/>
        </w:rPr>
      </w:pPr>
      <w:r w:rsidRPr="00474CDC">
        <w:rPr>
          <w:rFonts w:ascii="Times New Roman" w:hAnsi="Times New Roman" w:cs="Times New Roman"/>
          <w:sz w:val="26"/>
          <w:szCs w:val="26"/>
        </w:rPr>
        <w:t>22</w:t>
      </w:r>
      <w:r w:rsidRPr="00474CDC">
        <w:rPr>
          <w:rFonts w:ascii="Times New Roman" w:hAnsi="Times New Roman" w:cs="Times New Roman"/>
          <w:sz w:val="26"/>
          <w:szCs w:val="26"/>
        </w:rPr>
        <w:tab/>
        <w:t>Dr. P. R. Brahmananda, Bombay University</w:t>
      </w:r>
    </w:p>
    <w:p w14:paraId="492C83A6" w14:textId="77777777" w:rsidR="00474CDC" w:rsidRPr="00474CDC" w:rsidRDefault="00474CDC" w:rsidP="00474CDC">
      <w:pPr>
        <w:pStyle w:val="NoSpacing"/>
        <w:spacing w:line="300" w:lineRule="exact"/>
        <w:rPr>
          <w:rFonts w:ascii="Times New Roman" w:hAnsi="Times New Roman" w:cs="Times New Roman"/>
          <w:sz w:val="26"/>
          <w:szCs w:val="26"/>
        </w:rPr>
      </w:pPr>
      <w:r w:rsidRPr="00474CDC">
        <w:rPr>
          <w:rFonts w:ascii="Times New Roman" w:hAnsi="Times New Roman" w:cs="Times New Roman"/>
          <w:sz w:val="26"/>
          <w:szCs w:val="26"/>
        </w:rPr>
        <w:t>23</w:t>
      </w:r>
      <w:r w:rsidRPr="00474CDC">
        <w:rPr>
          <w:rFonts w:ascii="Times New Roman" w:hAnsi="Times New Roman" w:cs="Times New Roman"/>
          <w:sz w:val="26"/>
          <w:szCs w:val="26"/>
        </w:rPr>
        <w:tab/>
        <w:t>Dr. P. K. Bhargava, Banaras Hindu University</w:t>
      </w:r>
    </w:p>
    <w:p w14:paraId="4BC359D6" w14:textId="77777777" w:rsidR="00474CDC" w:rsidRPr="00474CDC" w:rsidRDefault="00474CDC" w:rsidP="00474CDC">
      <w:pPr>
        <w:pStyle w:val="NoSpacing"/>
        <w:spacing w:line="300" w:lineRule="exact"/>
        <w:rPr>
          <w:rFonts w:ascii="Times New Roman" w:hAnsi="Times New Roman" w:cs="Times New Roman"/>
          <w:sz w:val="26"/>
          <w:szCs w:val="26"/>
        </w:rPr>
      </w:pPr>
      <w:r w:rsidRPr="00474CDC">
        <w:rPr>
          <w:rFonts w:ascii="Times New Roman" w:hAnsi="Times New Roman" w:cs="Times New Roman"/>
          <w:sz w:val="26"/>
          <w:szCs w:val="26"/>
        </w:rPr>
        <w:t>24</w:t>
      </w:r>
      <w:r w:rsidRPr="00474CDC">
        <w:rPr>
          <w:rFonts w:ascii="Times New Roman" w:hAnsi="Times New Roman" w:cs="Times New Roman"/>
          <w:sz w:val="26"/>
          <w:szCs w:val="26"/>
        </w:rPr>
        <w:tab/>
        <w:t>Dr. R. J. Chelliah, Osmania University</w:t>
      </w:r>
    </w:p>
    <w:p w14:paraId="205A3B1D" w14:textId="77777777" w:rsidR="00474CDC" w:rsidRPr="00474CDC" w:rsidRDefault="00474CDC" w:rsidP="00474CDC">
      <w:pPr>
        <w:pStyle w:val="NoSpacing"/>
        <w:spacing w:line="300" w:lineRule="exact"/>
        <w:rPr>
          <w:rFonts w:ascii="Times New Roman" w:hAnsi="Times New Roman" w:cs="Times New Roman"/>
          <w:sz w:val="26"/>
          <w:szCs w:val="26"/>
        </w:rPr>
      </w:pPr>
      <w:r w:rsidRPr="00474CDC">
        <w:rPr>
          <w:rFonts w:ascii="Times New Roman" w:hAnsi="Times New Roman" w:cs="Times New Roman"/>
          <w:sz w:val="26"/>
          <w:szCs w:val="26"/>
        </w:rPr>
        <w:t>25</w:t>
      </w:r>
      <w:r w:rsidRPr="00474CDC">
        <w:rPr>
          <w:rFonts w:ascii="Times New Roman" w:hAnsi="Times New Roman" w:cs="Times New Roman"/>
          <w:sz w:val="26"/>
          <w:szCs w:val="26"/>
        </w:rPr>
        <w:tab/>
        <w:t>Dr. V. V. Borkar, Marathwada University</w:t>
      </w:r>
    </w:p>
    <w:p w14:paraId="409A8F3E" w14:textId="77777777" w:rsidR="00474CDC" w:rsidRPr="00474CDC" w:rsidRDefault="00474CDC" w:rsidP="00474CDC">
      <w:pPr>
        <w:pStyle w:val="NoSpacing"/>
        <w:spacing w:line="300" w:lineRule="exact"/>
        <w:rPr>
          <w:rFonts w:ascii="Times New Roman" w:hAnsi="Times New Roman" w:cs="Times New Roman"/>
          <w:sz w:val="26"/>
          <w:szCs w:val="26"/>
        </w:rPr>
      </w:pPr>
      <w:r w:rsidRPr="00474CDC">
        <w:rPr>
          <w:rFonts w:ascii="Times New Roman" w:hAnsi="Times New Roman" w:cs="Times New Roman"/>
          <w:sz w:val="26"/>
          <w:szCs w:val="26"/>
        </w:rPr>
        <w:t>26</w:t>
      </w:r>
      <w:r w:rsidRPr="00474CDC">
        <w:rPr>
          <w:rFonts w:ascii="Times New Roman" w:hAnsi="Times New Roman" w:cs="Times New Roman"/>
          <w:sz w:val="26"/>
          <w:szCs w:val="26"/>
        </w:rPr>
        <w:tab/>
        <w:t>Prof. A. K. Das Gupta, A. N. Sinha Institute of Social Studies</w:t>
      </w:r>
    </w:p>
    <w:p w14:paraId="047610D9" w14:textId="77777777" w:rsidR="00474CDC" w:rsidRPr="00474CDC" w:rsidRDefault="00474CDC" w:rsidP="00474CDC">
      <w:pPr>
        <w:pStyle w:val="NoSpacing"/>
        <w:spacing w:line="300" w:lineRule="exact"/>
        <w:rPr>
          <w:rFonts w:ascii="Times New Roman" w:hAnsi="Times New Roman" w:cs="Times New Roman"/>
          <w:sz w:val="26"/>
          <w:szCs w:val="26"/>
        </w:rPr>
      </w:pPr>
      <w:r w:rsidRPr="00474CDC">
        <w:rPr>
          <w:rFonts w:ascii="Times New Roman" w:hAnsi="Times New Roman" w:cs="Times New Roman"/>
          <w:sz w:val="26"/>
          <w:szCs w:val="26"/>
        </w:rPr>
        <w:t>27</w:t>
      </w:r>
      <w:r w:rsidRPr="00474CDC">
        <w:rPr>
          <w:rFonts w:ascii="Times New Roman" w:hAnsi="Times New Roman" w:cs="Times New Roman"/>
          <w:sz w:val="26"/>
          <w:szCs w:val="26"/>
        </w:rPr>
        <w:tab/>
        <w:t>Prof. A. L. Dantwala, University of Bombay</w:t>
      </w:r>
    </w:p>
    <w:p w14:paraId="407107B5" w14:textId="77777777" w:rsidR="00474CDC" w:rsidRPr="00474CDC" w:rsidRDefault="00474CDC" w:rsidP="00474CDC">
      <w:pPr>
        <w:pStyle w:val="NoSpacing"/>
        <w:spacing w:line="300" w:lineRule="exact"/>
        <w:rPr>
          <w:rFonts w:ascii="Times New Roman" w:hAnsi="Times New Roman" w:cs="Times New Roman"/>
          <w:sz w:val="26"/>
          <w:szCs w:val="26"/>
        </w:rPr>
      </w:pPr>
      <w:r w:rsidRPr="00474CDC">
        <w:rPr>
          <w:rFonts w:ascii="Times New Roman" w:hAnsi="Times New Roman" w:cs="Times New Roman"/>
          <w:sz w:val="26"/>
          <w:szCs w:val="26"/>
        </w:rPr>
        <w:t>28</w:t>
      </w:r>
      <w:r w:rsidRPr="00474CDC">
        <w:rPr>
          <w:rFonts w:ascii="Times New Roman" w:hAnsi="Times New Roman" w:cs="Times New Roman"/>
          <w:sz w:val="26"/>
          <w:szCs w:val="26"/>
        </w:rPr>
        <w:tab/>
        <w:t>Dr. M. H. Gopalan, University of Mysore</w:t>
      </w:r>
    </w:p>
    <w:p w14:paraId="4B419168" w14:textId="77777777" w:rsidR="00474CDC" w:rsidRPr="00474CDC" w:rsidRDefault="00474CDC" w:rsidP="00474CDC">
      <w:pPr>
        <w:pStyle w:val="NoSpacing"/>
        <w:spacing w:line="300" w:lineRule="exact"/>
        <w:rPr>
          <w:rFonts w:ascii="Times New Roman" w:hAnsi="Times New Roman" w:cs="Times New Roman"/>
          <w:sz w:val="26"/>
          <w:szCs w:val="26"/>
        </w:rPr>
      </w:pPr>
      <w:r w:rsidRPr="00474CDC">
        <w:rPr>
          <w:rFonts w:ascii="Times New Roman" w:hAnsi="Times New Roman" w:cs="Times New Roman"/>
          <w:sz w:val="26"/>
          <w:szCs w:val="26"/>
        </w:rPr>
        <w:t>29</w:t>
      </w:r>
      <w:r w:rsidRPr="00474CDC">
        <w:rPr>
          <w:rFonts w:ascii="Times New Roman" w:hAnsi="Times New Roman" w:cs="Times New Roman"/>
          <w:sz w:val="26"/>
          <w:szCs w:val="26"/>
        </w:rPr>
        <w:tab/>
        <w:t>Shri O. J. Joseph, Kerala</w:t>
      </w:r>
    </w:p>
    <w:p w14:paraId="2D7416C7" w14:textId="77777777" w:rsidR="00474CDC" w:rsidRPr="00474CDC" w:rsidRDefault="00474CDC" w:rsidP="00474CDC">
      <w:pPr>
        <w:pStyle w:val="NoSpacing"/>
        <w:spacing w:line="300" w:lineRule="exact"/>
        <w:rPr>
          <w:rFonts w:ascii="Times New Roman" w:hAnsi="Times New Roman" w:cs="Times New Roman"/>
          <w:sz w:val="26"/>
          <w:szCs w:val="26"/>
        </w:rPr>
      </w:pPr>
      <w:r w:rsidRPr="00474CDC">
        <w:rPr>
          <w:rFonts w:ascii="Times New Roman" w:hAnsi="Times New Roman" w:cs="Times New Roman"/>
          <w:sz w:val="26"/>
          <w:szCs w:val="26"/>
        </w:rPr>
        <w:t>30</w:t>
      </w:r>
      <w:r w:rsidRPr="00474CDC">
        <w:rPr>
          <w:rFonts w:ascii="Times New Roman" w:hAnsi="Times New Roman" w:cs="Times New Roman"/>
          <w:sz w:val="26"/>
          <w:szCs w:val="26"/>
        </w:rPr>
        <w:tab/>
        <w:t>Dr. M. D. Joshi, Lucknow University</w:t>
      </w:r>
    </w:p>
    <w:p w14:paraId="591B3491" w14:textId="599A9B85" w:rsidR="00474CDC" w:rsidRPr="00474CDC" w:rsidRDefault="00474CDC" w:rsidP="00474CDC">
      <w:pPr>
        <w:pStyle w:val="NoSpacing"/>
        <w:spacing w:line="300" w:lineRule="exact"/>
        <w:rPr>
          <w:rFonts w:ascii="Times New Roman" w:hAnsi="Times New Roman" w:cs="Times New Roman"/>
          <w:sz w:val="26"/>
          <w:szCs w:val="26"/>
        </w:rPr>
      </w:pPr>
      <w:r w:rsidRPr="00474CDC">
        <w:rPr>
          <w:rFonts w:ascii="Times New Roman" w:hAnsi="Times New Roman" w:cs="Times New Roman"/>
          <w:sz w:val="26"/>
          <w:szCs w:val="26"/>
        </w:rPr>
        <w:t>31</w:t>
      </w:r>
      <w:r w:rsidRPr="00474CDC">
        <w:rPr>
          <w:rFonts w:ascii="Times New Roman" w:hAnsi="Times New Roman" w:cs="Times New Roman"/>
          <w:sz w:val="26"/>
          <w:szCs w:val="26"/>
        </w:rPr>
        <w:tab/>
        <w:t>Prof. Lovell Harris</w:t>
      </w:r>
    </w:p>
    <w:p w14:paraId="0B22378D" w14:textId="77777777" w:rsidR="00474CDC" w:rsidRPr="00474CDC" w:rsidRDefault="00474CDC" w:rsidP="00474CDC">
      <w:pPr>
        <w:pStyle w:val="NoSpacing"/>
        <w:spacing w:line="300" w:lineRule="exact"/>
        <w:rPr>
          <w:rFonts w:ascii="Times New Roman" w:hAnsi="Times New Roman" w:cs="Times New Roman"/>
          <w:sz w:val="26"/>
          <w:szCs w:val="26"/>
        </w:rPr>
      </w:pPr>
      <w:r w:rsidRPr="00474CDC">
        <w:rPr>
          <w:rFonts w:ascii="Times New Roman" w:hAnsi="Times New Roman" w:cs="Times New Roman"/>
          <w:sz w:val="26"/>
          <w:szCs w:val="26"/>
        </w:rPr>
        <w:t>32</w:t>
      </w:r>
      <w:r w:rsidRPr="00474CDC">
        <w:rPr>
          <w:rFonts w:ascii="Times New Roman" w:hAnsi="Times New Roman" w:cs="Times New Roman"/>
          <w:sz w:val="26"/>
          <w:szCs w:val="26"/>
        </w:rPr>
        <w:tab/>
        <w:t>Prof. E. T. Mathew, University of Kerala, Trivandrum</w:t>
      </w:r>
    </w:p>
    <w:p w14:paraId="3AB9E0B5" w14:textId="5ED53E91" w:rsidR="00474CDC" w:rsidRPr="00474CDC" w:rsidRDefault="00474CDC" w:rsidP="00474CDC">
      <w:pPr>
        <w:pStyle w:val="NoSpacing"/>
        <w:spacing w:line="300" w:lineRule="exact"/>
        <w:rPr>
          <w:rFonts w:ascii="Times New Roman" w:hAnsi="Times New Roman" w:cs="Times New Roman"/>
          <w:sz w:val="26"/>
          <w:szCs w:val="26"/>
        </w:rPr>
      </w:pPr>
      <w:r w:rsidRPr="00474CDC">
        <w:rPr>
          <w:rFonts w:ascii="Times New Roman" w:hAnsi="Times New Roman" w:cs="Times New Roman"/>
          <w:sz w:val="26"/>
          <w:szCs w:val="26"/>
        </w:rPr>
        <w:t>33</w:t>
      </w:r>
      <w:r w:rsidRPr="00474CDC">
        <w:rPr>
          <w:rFonts w:ascii="Times New Roman" w:hAnsi="Times New Roman" w:cs="Times New Roman"/>
          <w:sz w:val="26"/>
          <w:szCs w:val="26"/>
        </w:rPr>
        <w:tab/>
        <w:t>Dr. Minocha, Ham</w:t>
      </w:r>
      <w:r w:rsidR="00A55F3A">
        <w:rPr>
          <w:rFonts w:ascii="Times New Roman" w:hAnsi="Times New Roman" w:cs="Times New Roman"/>
          <w:sz w:val="26"/>
          <w:szCs w:val="26"/>
        </w:rPr>
        <w:t>i</w:t>
      </w:r>
      <w:r w:rsidRPr="00474CDC">
        <w:rPr>
          <w:rFonts w:ascii="Times New Roman" w:hAnsi="Times New Roman" w:cs="Times New Roman"/>
          <w:sz w:val="26"/>
          <w:szCs w:val="26"/>
        </w:rPr>
        <w:t>dia</w:t>
      </w:r>
      <w:r w:rsidR="00A55F3A">
        <w:rPr>
          <w:rFonts w:ascii="Times New Roman" w:hAnsi="Times New Roman" w:cs="Times New Roman"/>
          <w:sz w:val="26"/>
          <w:szCs w:val="26"/>
        </w:rPr>
        <w:t xml:space="preserve"> College, Bhopal</w:t>
      </w:r>
    </w:p>
    <w:p w14:paraId="07EE5A59" w14:textId="77777777" w:rsidR="00474CDC" w:rsidRPr="00474CDC" w:rsidRDefault="00474CDC" w:rsidP="00474CDC">
      <w:pPr>
        <w:pStyle w:val="NoSpacing"/>
        <w:spacing w:line="300" w:lineRule="exact"/>
        <w:rPr>
          <w:rFonts w:ascii="Times New Roman" w:hAnsi="Times New Roman" w:cs="Times New Roman"/>
          <w:sz w:val="26"/>
          <w:szCs w:val="26"/>
        </w:rPr>
      </w:pPr>
      <w:r w:rsidRPr="00474CDC">
        <w:rPr>
          <w:rFonts w:ascii="Times New Roman" w:hAnsi="Times New Roman" w:cs="Times New Roman"/>
          <w:sz w:val="26"/>
          <w:szCs w:val="26"/>
        </w:rPr>
        <w:t>34</w:t>
      </w:r>
      <w:r w:rsidRPr="00474CDC">
        <w:rPr>
          <w:rFonts w:ascii="Times New Roman" w:hAnsi="Times New Roman" w:cs="Times New Roman"/>
          <w:sz w:val="26"/>
          <w:szCs w:val="26"/>
        </w:rPr>
        <w:tab/>
        <w:t>Dr. B. Misra, Utkal University</w:t>
      </w:r>
    </w:p>
    <w:p w14:paraId="5E0CAC99" w14:textId="77777777" w:rsidR="00474CDC" w:rsidRPr="00474CDC" w:rsidRDefault="00474CDC" w:rsidP="00474CDC">
      <w:pPr>
        <w:pStyle w:val="NoSpacing"/>
        <w:spacing w:line="300" w:lineRule="exact"/>
        <w:rPr>
          <w:rFonts w:ascii="Times New Roman" w:hAnsi="Times New Roman" w:cs="Times New Roman"/>
          <w:sz w:val="26"/>
          <w:szCs w:val="26"/>
        </w:rPr>
      </w:pPr>
      <w:r w:rsidRPr="00474CDC">
        <w:rPr>
          <w:rFonts w:ascii="Times New Roman" w:hAnsi="Times New Roman" w:cs="Times New Roman"/>
          <w:sz w:val="26"/>
          <w:szCs w:val="26"/>
        </w:rPr>
        <w:t>35</w:t>
      </w:r>
      <w:r w:rsidRPr="00474CDC">
        <w:rPr>
          <w:rFonts w:ascii="Times New Roman" w:hAnsi="Times New Roman" w:cs="Times New Roman"/>
          <w:sz w:val="26"/>
          <w:szCs w:val="26"/>
        </w:rPr>
        <w:tab/>
        <w:t>Shri K. N. Nagar, Katti, Madhya Pradesh</w:t>
      </w:r>
    </w:p>
    <w:p w14:paraId="27464020" w14:textId="77777777" w:rsidR="00474CDC" w:rsidRPr="00474CDC" w:rsidRDefault="00474CDC" w:rsidP="00474CDC">
      <w:pPr>
        <w:pStyle w:val="NoSpacing"/>
        <w:spacing w:line="300" w:lineRule="exact"/>
        <w:rPr>
          <w:rFonts w:ascii="Times New Roman" w:hAnsi="Times New Roman" w:cs="Times New Roman"/>
          <w:sz w:val="26"/>
          <w:szCs w:val="26"/>
        </w:rPr>
      </w:pPr>
      <w:r w:rsidRPr="00474CDC">
        <w:rPr>
          <w:rFonts w:ascii="Times New Roman" w:hAnsi="Times New Roman" w:cs="Times New Roman"/>
          <w:sz w:val="26"/>
          <w:szCs w:val="26"/>
        </w:rPr>
        <w:t>36</w:t>
      </w:r>
      <w:r w:rsidRPr="00474CDC">
        <w:rPr>
          <w:rFonts w:ascii="Times New Roman" w:hAnsi="Times New Roman" w:cs="Times New Roman"/>
          <w:sz w:val="26"/>
          <w:szCs w:val="26"/>
        </w:rPr>
        <w:tab/>
        <w:t>Prof. V. R. Pillay, Kerala University, Trivandrum</w:t>
      </w:r>
    </w:p>
    <w:p w14:paraId="4D16DD99" w14:textId="77777777" w:rsidR="00474CDC" w:rsidRPr="00474CDC" w:rsidRDefault="00474CDC" w:rsidP="00474CDC">
      <w:pPr>
        <w:pStyle w:val="NoSpacing"/>
        <w:spacing w:line="300" w:lineRule="exact"/>
        <w:rPr>
          <w:rFonts w:ascii="Times New Roman" w:hAnsi="Times New Roman" w:cs="Times New Roman"/>
          <w:sz w:val="26"/>
          <w:szCs w:val="26"/>
        </w:rPr>
      </w:pPr>
      <w:r w:rsidRPr="00474CDC">
        <w:rPr>
          <w:rFonts w:ascii="Times New Roman" w:hAnsi="Times New Roman" w:cs="Times New Roman"/>
          <w:sz w:val="26"/>
          <w:szCs w:val="26"/>
        </w:rPr>
        <w:t>37</w:t>
      </w:r>
      <w:r w:rsidRPr="00474CDC">
        <w:rPr>
          <w:rFonts w:ascii="Times New Roman" w:hAnsi="Times New Roman" w:cs="Times New Roman"/>
          <w:sz w:val="26"/>
          <w:szCs w:val="26"/>
        </w:rPr>
        <w:tab/>
        <w:t>Shri Ravikarunakaran, Kerala</w:t>
      </w:r>
    </w:p>
    <w:p w14:paraId="0140057C" w14:textId="77777777" w:rsidR="00474CDC" w:rsidRPr="00474CDC" w:rsidRDefault="00474CDC" w:rsidP="00474CDC">
      <w:pPr>
        <w:pStyle w:val="NoSpacing"/>
        <w:spacing w:line="300" w:lineRule="exact"/>
        <w:rPr>
          <w:rFonts w:ascii="Times New Roman" w:hAnsi="Times New Roman" w:cs="Times New Roman"/>
          <w:sz w:val="26"/>
          <w:szCs w:val="26"/>
        </w:rPr>
      </w:pPr>
      <w:r w:rsidRPr="00474CDC">
        <w:rPr>
          <w:rFonts w:ascii="Times New Roman" w:hAnsi="Times New Roman" w:cs="Times New Roman"/>
          <w:sz w:val="26"/>
          <w:szCs w:val="26"/>
        </w:rPr>
        <w:lastRenderedPageBreak/>
        <w:t>38</w:t>
      </w:r>
      <w:r w:rsidRPr="00474CDC">
        <w:rPr>
          <w:rFonts w:ascii="Times New Roman" w:hAnsi="Times New Roman" w:cs="Times New Roman"/>
          <w:sz w:val="26"/>
          <w:szCs w:val="26"/>
        </w:rPr>
        <w:tab/>
        <w:t>Dr. Raj Krishna, University of Rajasthan</w:t>
      </w:r>
    </w:p>
    <w:p w14:paraId="101F23CB" w14:textId="77777777" w:rsidR="00474CDC" w:rsidRPr="00474CDC" w:rsidRDefault="00474CDC" w:rsidP="00474CDC">
      <w:pPr>
        <w:pStyle w:val="NoSpacing"/>
        <w:spacing w:line="300" w:lineRule="exact"/>
        <w:rPr>
          <w:rFonts w:ascii="Times New Roman" w:hAnsi="Times New Roman" w:cs="Times New Roman"/>
          <w:sz w:val="26"/>
          <w:szCs w:val="26"/>
        </w:rPr>
      </w:pPr>
      <w:r w:rsidRPr="00474CDC">
        <w:rPr>
          <w:rFonts w:ascii="Times New Roman" w:hAnsi="Times New Roman" w:cs="Times New Roman"/>
          <w:sz w:val="26"/>
          <w:szCs w:val="26"/>
        </w:rPr>
        <w:t>39</w:t>
      </w:r>
      <w:r w:rsidRPr="00474CDC">
        <w:rPr>
          <w:rFonts w:ascii="Times New Roman" w:hAnsi="Times New Roman" w:cs="Times New Roman"/>
          <w:sz w:val="26"/>
          <w:szCs w:val="26"/>
        </w:rPr>
        <w:tab/>
        <w:t>Shri P. Sambaiah, State Bank of India</w:t>
      </w:r>
    </w:p>
    <w:p w14:paraId="15ACC9A3" w14:textId="77777777" w:rsidR="00474CDC" w:rsidRPr="00474CDC" w:rsidRDefault="00474CDC" w:rsidP="00474CDC">
      <w:pPr>
        <w:pStyle w:val="NoSpacing"/>
        <w:spacing w:line="300" w:lineRule="exact"/>
        <w:rPr>
          <w:rFonts w:ascii="Times New Roman" w:hAnsi="Times New Roman" w:cs="Times New Roman"/>
          <w:sz w:val="26"/>
          <w:szCs w:val="26"/>
        </w:rPr>
      </w:pPr>
      <w:r w:rsidRPr="00474CDC">
        <w:rPr>
          <w:rFonts w:ascii="Times New Roman" w:hAnsi="Times New Roman" w:cs="Times New Roman"/>
          <w:sz w:val="26"/>
          <w:szCs w:val="26"/>
        </w:rPr>
        <w:t>40</w:t>
      </w:r>
      <w:r w:rsidRPr="00474CDC">
        <w:rPr>
          <w:rFonts w:ascii="Times New Roman" w:hAnsi="Times New Roman" w:cs="Times New Roman"/>
          <w:sz w:val="26"/>
          <w:szCs w:val="26"/>
        </w:rPr>
        <w:tab/>
        <w:t>Dr. Sailendra Singh, Lucknow University</w:t>
      </w:r>
    </w:p>
    <w:p w14:paraId="20C03B9C" w14:textId="77777777" w:rsidR="00474CDC" w:rsidRPr="00474CDC" w:rsidRDefault="00474CDC" w:rsidP="00474CDC">
      <w:pPr>
        <w:pStyle w:val="NoSpacing"/>
        <w:spacing w:line="300" w:lineRule="exact"/>
        <w:rPr>
          <w:rFonts w:ascii="Times New Roman" w:hAnsi="Times New Roman" w:cs="Times New Roman"/>
          <w:sz w:val="26"/>
          <w:szCs w:val="26"/>
        </w:rPr>
      </w:pPr>
      <w:r w:rsidRPr="00474CDC">
        <w:rPr>
          <w:rFonts w:ascii="Times New Roman" w:hAnsi="Times New Roman" w:cs="Times New Roman"/>
          <w:sz w:val="26"/>
          <w:szCs w:val="26"/>
        </w:rPr>
        <w:t>41</w:t>
      </w:r>
      <w:r w:rsidRPr="00474CDC">
        <w:rPr>
          <w:rFonts w:ascii="Times New Roman" w:hAnsi="Times New Roman" w:cs="Times New Roman"/>
          <w:sz w:val="26"/>
          <w:szCs w:val="26"/>
        </w:rPr>
        <w:tab/>
        <w:t>Dr. Shanmuga Sundaram, Madras University</w:t>
      </w:r>
    </w:p>
    <w:p w14:paraId="09BB9326" w14:textId="77777777" w:rsidR="00474CDC" w:rsidRPr="00474CDC" w:rsidRDefault="00474CDC" w:rsidP="00474CDC">
      <w:pPr>
        <w:pStyle w:val="NoSpacing"/>
        <w:spacing w:line="300" w:lineRule="exact"/>
        <w:rPr>
          <w:rFonts w:ascii="Times New Roman" w:hAnsi="Times New Roman" w:cs="Times New Roman"/>
          <w:sz w:val="26"/>
          <w:szCs w:val="26"/>
        </w:rPr>
      </w:pPr>
      <w:r w:rsidRPr="00474CDC">
        <w:rPr>
          <w:rFonts w:ascii="Times New Roman" w:hAnsi="Times New Roman" w:cs="Times New Roman"/>
          <w:sz w:val="26"/>
          <w:szCs w:val="26"/>
        </w:rPr>
        <w:t>42</w:t>
      </w:r>
      <w:r w:rsidRPr="00474CDC">
        <w:rPr>
          <w:rFonts w:ascii="Times New Roman" w:hAnsi="Times New Roman" w:cs="Times New Roman"/>
          <w:sz w:val="26"/>
          <w:szCs w:val="26"/>
        </w:rPr>
        <w:tab/>
        <w:t>Dr. P. C. Thomas, Gauhati University, Gauhati</w:t>
      </w:r>
    </w:p>
    <w:p w14:paraId="7C08CEDD" w14:textId="77777777" w:rsidR="00474CDC" w:rsidRPr="00474CDC" w:rsidRDefault="00474CDC" w:rsidP="00474CDC">
      <w:pPr>
        <w:pStyle w:val="NoSpacing"/>
        <w:spacing w:line="300" w:lineRule="exact"/>
        <w:rPr>
          <w:rFonts w:ascii="Times New Roman" w:hAnsi="Times New Roman" w:cs="Times New Roman"/>
          <w:sz w:val="26"/>
          <w:szCs w:val="26"/>
        </w:rPr>
      </w:pPr>
      <w:r w:rsidRPr="00474CDC">
        <w:rPr>
          <w:rFonts w:ascii="Times New Roman" w:hAnsi="Times New Roman" w:cs="Times New Roman"/>
          <w:sz w:val="26"/>
          <w:szCs w:val="26"/>
        </w:rPr>
        <w:t>43</w:t>
      </w:r>
      <w:r w:rsidRPr="00474CDC">
        <w:rPr>
          <w:rFonts w:ascii="Times New Roman" w:hAnsi="Times New Roman" w:cs="Times New Roman"/>
          <w:sz w:val="26"/>
          <w:szCs w:val="26"/>
        </w:rPr>
        <w:tab/>
        <w:t>Dr. Ved Gandhi, Indian Institute of Management, Ahmedabad</w:t>
      </w:r>
    </w:p>
    <w:p w14:paraId="50C15C4D" w14:textId="1187859A" w:rsidR="00A82F22" w:rsidRPr="00474CDC" w:rsidRDefault="00474CDC" w:rsidP="00474CDC">
      <w:pPr>
        <w:pStyle w:val="NoSpacing"/>
        <w:spacing w:line="300" w:lineRule="exact"/>
        <w:rPr>
          <w:rFonts w:ascii="Times New Roman" w:hAnsi="Times New Roman" w:cs="Times New Roman"/>
          <w:sz w:val="26"/>
          <w:szCs w:val="26"/>
        </w:rPr>
      </w:pPr>
      <w:r>
        <w:rPr>
          <w:rFonts w:ascii="Times New Roman" w:hAnsi="Times New Roman" w:cs="Times New Roman"/>
          <w:sz w:val="26"/>
          <w:szCs w:val="26"/>
        </w:rPr>
        <w:t>44</w:t>
      </w:r>
      <w:r>
        <w:rPr>
          <w:rFonts w:ascii="Times New Roman" w:hAnsi="Times New Roman" w:cs="Times New Roman"/>
          <w:sz w:val="26"/>
          <w:szCs w:val="26"/>
        </w:rPr>
        <w:tab/>
      </w:r>
      <w:r w:rsidRPr="00474CDC">
        <w:rPr>
          <w:rFonts w:ascii="Times New Roman" w:hAnsi="Times New Roman" w:cs="Times New Roman"/>
          <w:sz w:val="26"/>
          <w:szCs w:val="26"/>
        </w:rPr>
        <w:t>Mr. W. Prest, Melbourne University, Australia</w:t>
      </w:r>
    </w:p>
    <w:p w14:paraId="2CD78A19" w14:textId="77777777" w:rsidR="00474CDC" w:rsidRDefault="00474CDC" w:rsidP="00474CDC">
      <w:pPr>
        <w:pStyle w:val="NoSpacing"/>
        <w:rPr>
          <w:rFonts w:ascii="Times New Roman" w:hAnsi="Times New Roman" w:cs="Times New Roman"/>
        </w:rPr>
      </w:pPr>
    </w:p>
    <w:p w14:paraId="1EACF6A1" w14:textId="2097AC90" w:rsidR="00F46B27" w:rsidRPr="00474CDC" w:rsidRDefault="00474CDC" w:rsidP="00474CDC">
      <w:pPr>
        <w:pStyle w:val="NoSpacing"/>
        <w:rPr>
          <w:rFonts w:ascii="Times New Roman" w:hAnsi="Times New Roman" w:cs="Times New Roman"/>
          <w:i/>
          <w:iCs/>
          <w:sz w:val="26"/>
          <w:szCs w:val="26"/>
        </w:rPr>
      </w:pPr>
      <w:r>
        <w:rPr>
          <w:rFonts w:ascii="Times New Roman" w:hAnsi="Times New Roman" w:cs="Times New Roman"/>
          <w:i/>
          <w:iCs/>
          <w:sz w:val="26"/>
          <w:szCs w:val="26"/>
        </w:rPr>
        <w:t xml:space="preserve">(b) </w:t>
      </w:r>
      <w:r w:rsidR="00F46B27" w:rsidRPr="00474CDC">
        <w:rPr>
          <w:rFonts w:ascii="Times New Roman" w:hAnsi="Times New Roman" w:cs="Times New Roman"/>
          <w:i/>
          <w:iCs/>
          <w:sz w:val="26"/>
          <w:szCs w:val="26"/>
        </w:rPr>
        <w:t>Organisations whose representatives appeared before the Commission:</w:t>
      </w:r>
    </w:p>
    <w:p w14:paraId="76D18159" w14:textId="77777777" w:rsidR="00F46B27" w:rsidRPr="00474CDC" w:rsidRDefault="00F46B27" w:rsidP="00474CDC">
      <w:pPr>
        <w:pStyle w:val="NoSpacing"/>
        <w:spacing w:line="300" w:lineRule="exact"/>
        <w:rPr>
          <w:rFonts w:ascii="Times New Roman" w:hAnsi="Times New Roman" w:cs="Times New Roman"/>
          <w:sz w:val="26"/>
          <w:szCs w:val="26"/>
        </w:rPr>
      </w:pPr>
    </w:p>
    <w:p w14:paraId="2E9C024E" w14:textId="77777777" w:rsidR="00474CDC" w:rsidRPr="00474CDC" w:rsidRDefault="00474CDC" w:rsidP="00474CDC">
      <w:pPr>
        <w:pStyle w:val="NoSpacing"/>
        <w:spacing w:line="300" w:lineRule="exact"/>
        <w:rPr>
          <w:rFonts w:ascii="Times New Roman" w:hAnsi="Times New Roman" w:cs="Times New Roman"/>
          <w:sz w:val="26"/>
          <w:szCs w:val="26"/>
        </w:rPr>
      </w:pPr>
      <w:r w:rsidRPr="00474CDC">
        <w:rPr>
          <w:rFonts w:ascii="Times New Roman" w:hAnsi="Times New Roman" w:cs="Times New Roman"/>
          <w:sz w:val="26"/>
          <w:szCs w:val="26"/>
        </w:rPr>
        <w:t>1</w:t>
      </w:r>
      <w:r w:rsidRPr="00474CDC">
        <w:rPr>
          <w:rFonts w:ascii="Times New Roman" w:hAnsi="Times New Roman" w:cs="Times New Roman"/>
          <w:sz w:val="26"/>
          <w:szCs w:val="26"/>
        </w:rPr>
        <w:tab/>
        <w:t>Bharat Chamber of Commerce, Calcutta</w:t>
      </w:r>
    </w:p>
    <w:p w14:paraId="32112B86" w14:textId="77777777" w:rsidR="00474CDC" w:rsidRPr="00474CDC" w:rsidRDefault="00474CDC" w:rsidP="00474CDC">
      <w:pPr>
        <w:pStyle w:val="NoSpacing"/>
        <w:spacing w:line="300" w:lineRule="exact"/>
        <w:rPr>
          <w:rFonts w:ascii="Times New Roman" w:hAnsi="Times New Roman" w:cs="Times New Roman"/>
          <w:sz w:val="26"/>
          <w:szCs w:val="26"/>
        </w:rPr>
      </w:pPr>
      <w:r w:rsidRPr="00474CDC">
        <w:rPr>
          <w:rFonts w:ascii="Times New Roman" w:hAnsi="Times New Roman" w:cs="Times New Roman"/>
          <w:sz w:val="26"/>
          <w:szCs w:val="26"/>
        </w:rPr>
        <w:t>2</w:t>
      </w:r>
      <w:r w:rsidRPr="00474CDC">
        <w:rPr>
          <w:rFonts w:ascii="Times New Roman" w:hAnsi="Times New Roman" w:cs="Times New Roman"/>
          <w:sz w:val="26"/>
          <w:szCs w:val="26"/>
        </w:rPr>
        <w:tab/>
        <w:t>Bihar Chamber of Commerce, Patna</w:t>
      </w:r>
    </w:p>
    <w:p w14:paraId="57BF8E91" w14:textId="77777777" w:rsidR="00474CDC" w:rsidRPr="00474CDC" w:rsidRDefault="00474CDC" w:rsidP="00474CDC">
      <w:pPr>
        <w:pStyle w:val="NoSpacing"/>
        <w:spacing w:line="300" w:lineRule="exact"/>
        <w:rPr>
          <w:rFonts w:ascii="Times New Roman" w:hAnsi="Times New Roman" w:cs="Times New Roman"/>
          <w:sz w:val="26"/>
          <w:szCs w:val="26"/>
        </w:rPr>
      </w:pPr>
      <w:r w:rsidRPr="00474CDC">
        <w:rPr>
          <w:rFonts w:ascii="Times New Roman" w:hAnsi="Times New Roman" w:cs="Times New Roman"/>
          <w:sz w:val="26"/>
          <w:szCs w:val="26"/>
        </w:rPr>
        <w:t>3</w:t>
      </w:r>
      <w:r w:rsidRPr="00474CDC">
        <w:rPr>
          <w:rFonts w:ascii="Times New Roman" w:hAnsi="Times New Roman" w:cs="Times New Roman"/>
          <w:sz w:val="26"/>
          <w:szCs w:val="26"/>
        </w:rPr>
        <w:tab/>
        <w:t>Bombay Shroffs’ Association</w:t>
      </w:r>
    </w:p>
    <w:p w14:paraId="6ACD372D" w14:textId="77777777" w:rsidR="00474CDC" w:rsidRPr="00474CDC" w:rsidRDefault="00474CDC" w:rsidP="00474CDC">
      <w:pPr>
        <w:pStyle w:val="NoSpacing"/>
        <w:spacing w:line="300" w:lineRule="exact"/>
        <w:rPr>
          <w:rFonts w:ascii="Times New Roman" w:hAnsi="Times New Roman" w:cs="Times New Roman"/>
          <w:sz w:val="26"/>
          <w:szCs w:val="26"/>
        </w:rPr>
      </w:pPr>
      <w:r w:rsidRPr="00474CDC">
        <w:rPr>
          <w:rFonts w:ascii="Times New Roman" w:hAnsi="Times New Roman" w:cs="Times New Roman"/>
          <w:sz w:val="26"/>
          <w:szCs w:val="26"/>
        </w:rPr>
        <w:t>4</w:t>
      </w:r>
      <w:r w:rsidRPr="00474CDC">
        <w:rPr>
          <w:rFonts w:ascii="Times New Roman" w:hAnsi="Times New Roman" w:cs="Times New Roman"/>
          <w:sz w:val="26"/>
          <w:szCs w:val="26"/>
        </w:rPr>
        <w:tab/>
        <w:t>Communist Party of India (Marxists), Kerala</w:t>
      </w:r>
    </w:p>
    <w:p w14:paraId="5DCAA5C4" w14:textId="0D503809" w:rsidR="00474CDC" w:rsidRPr="00474CDC" w:rsidRDefault="00474CDC" w:rsidP="00474CDC">
      <w:pPr>
        <w:pStyle w:val="NoSpacing"/>
        <w:spacing w:line="300" w:lineRule="exact"/>
        <w:rPr>
          <w:rFonts w:ascii="Times New Roman" w:hAnsi="Times New Roman" w:cs="Times New Roman"/>
          <w:sz w:val="26"/>
          <w:szCs w:val="26"/>
        </w:rPr>
      </w:pPr>
      <w:r w:rsidRPr="00474CDC">
        <w:rPr>
          <w:rFonts w:ascii="Times New Roman" w:hAnsi="Times New Roman" w:cs="Times New Roman"/>
          <w:sz w:val="26"/>
          <w:szCs w:val="26"/>
        </w:rPr>
        <w:t>5</w:t>
      </w:r>
      <w:r w:rsidRPr="00474CDC">
        <w:rPr>
          <w:rFonts w:ascii="Times New Roman" w:hAnsi="Times New Roman" w:cs="Times New Roman"/>
          <w:sz w:val="26"/>
          <w:szCs w:val="26"/>
        </w:rPr>
        <w:tab/>
        <w:t xml:space="preserve">Engineering Association (including representatives of </w:t>
      </w:r>
      <w:r w:rsidR="000411F6" w:rsidRPr="00474CDC">
        <w:rPr>
          <w:rFonts w:ascii="Times New Roman" w:hAnsi="Times New Roman" w:cs="Times New Roman"/>
          <w:sz w:val="26"/>
          <w:szCs w:val="26"/>
        </w:rPr>
        <w:t>Small-Scale</w:t>
      </w:r>
      <w:r w:rsidRPr="00474CDC">
        <w:rPr>
          <w:rFonts w:ascii="Times New Roman" w:hAnsi="Times New Roman" w:cs="Times New Roman"/>
          <w:sz w:val="26"/>
          <w:szCs w:val="26"/>
        </w:rPr>
        <w:t xml:space="preserve"> Industries)</w:t>
      </w:r>
    </w:p>
    <w:p w14:paraId="42464A1D" w14:textId="77777777" w:rsidR="00474CDC" w:rsidRPr="00474CDC" w:rsidRDefault="00474CDC" w:rsidP="00474CDC">
      <w:pPr>
        <w:pStyle w:val="NoSpacing"/>
        <w:spacing w:line="300" w:lineRule="exact"/>
        <w:rPr>
          <w:rFonts w:ascii="Times New Roman" w:hAnsi="Times New Roman" w:cs="Times New Roman"/>
          <w:sz w:val="26"/>
          <w:szCs w:val="26"/>
        </w:rPr>
      </w:pPr>
      <w:r w:rsidRPr="00474CDC">
        <w:rPr>
          <w:rFonts w:ascii="Times New Roman" w:hAnsi="Times New Roman" w:cs="Times New Roman"/>
          <w:sz w:val="26"/>
          <w:szCs w:val="26"/>
        </w:rPr>
        <w:t>6</w:t>
      </w:r>
      <w:r w:rsidRPr="00474CDC">
        <w:rPr>
          <w:rFonts w:ascii="Times New Roman" w:hAnsi="Times New Roman" w:cs="Times New Roman"/>
          <w:sz w:val="26"/>
          <w:szCs w:val="26"/>
        </w:rPr>
        <w:tab/>
        <w:t>Federation of Paper Traders Association of India</w:t>
      </w:r>
    </w:p>
    <w:p w14:paraId="1D960252" w14:textId="77777777" w:rsidR="00474CDC" w:rsidRPr="00474CDC" w:rsidRDefault="00474CDC" w:rsidP="00474CDC">
      <w:pPr>
        <w:pStyle w:val="NoSpacing"/>
        <w:spacing w:line="300" w:lineRule="exact"/>
        <w:rPr>
          <w:rFonts w:ascii="Times New Roman" w:hAnsi="Times New Roman" w:cs="Times New Roman"/>
          <w:sz w:val="26"/>
          <w:szCs w:val="26"/>
        </w:rPr>
      </w:pPr>
      <w:r w:rsidRPr="00474CDC">
        <w:rPr>
          <w:rFonts w:ascii="Times New Roman" w:hAnsi="Times New Roman" w:cs="Times New Roman"/>
          <w:sz w:val="26"/>
          <w:szCs w:val="26"/>
        </w:rPr>
        <w:t>7</w:t>
      </w:r>
      <w:r w:rsidRPr="00474CDC">
        <w:rPr>
          <w:rFonts w:ascii="Times New Roman" w:hAnsi="Times New Roman" w:cs="Times New Roman"/>
          <w:sz w:val="26"/>
          <w:szCs w:val="26"/>
        </w:rPr>
        <w:tab/>
        <w:t>Gokhale Institute of Public Affairs, Bangalore</w:t>
      </w:r>
    </w:p>
    <w:p w14:paraId="1EE3B7B7" w14:textId="77777777" w:rsidR="00474CDC" w:rsidRPr="00474CDC" w:rsidRDefault="00474CDC" w:rsidP="00474CDC">
      <w:pPr>
        <w:pStyle w:val="NoSpacing"/>
        <w:spacing w:line="300" w:lineRule="exact"/>
        <w:rPr>
          <w:rFonts w:ascii="Times New Roman" w:hAnsi="Times New Roman" w:cs="Times New Roman"/>
          <w:sz w:val="26"/>
          <w:szCs w:val="26"/>
        </w:rPr>
      </w:pPr>
      <w:r w:rsidRPr="00474CDC">
        <w:rPr>
          <w:rFonts w:ascii="Times New Roman" w:hAnsi="Times New Roman" w:cs="Times New Roman"/>
          <w:sz w:val="26"/>
          <w:szCs w:val="26"/>
        </w:rPr>
        <w:t>8</w:t>
      </w:r>
      <w:r w:rsidRPr="00474CDC">
        <w:rPr>
          <w:rFonts w:ascii="Times New Roman" w:hAnsi="Times New Roman" w:cs="Times New Roman"/>
          <w:sz w:val="26"/>
          <w:szCs w:val="26"/>
        </w:rPr>
        <w:tab/>
        <w:t>Gujarat Chamber of Commerce and Industries, Ahmedabad</w:t>
      </w:r>
    </w:p>
    <w:p w14:paraId="210BBC9A" w14:textId="77777777" w:rsidR="00474CDC" w:rsidRPr="00474CDC" w:rsidRDefault="00474CDC" w:rsidP="00474CDC">
      <w:pPr>
        <w:pStyle w:val="NoSpacing"/>
        <w:spacing w:line="300" w:lineRule="exact"/>
        <w:rPr>
          <w:rFonts w:ascii="Times New Roman" w:hAnsi="Times New Roman" w:cs="Times New Roman"/>
          <w:sz w:val="26"/>
          <w:szCs w:val="26"/>
        </w:rPr>
      </w:pPr>
      <w:r w:rsidRPr="00474CDC">
        <w:rPr>
          <w:rFonts w:ascii="Times New Roman" w:hAnsi="Times New Roman" w:cs="Times New Roman"/>
          <w:sz w:val="26"/>
          <w:szCs w:val="26"/>
        </w:rPr>
        <w:t>9</w:t>
      </w:r>
      <w:r w:rsidRPr="00474CDC">
        <w:rPr>
          <w:rFonts w:ascii="Times New Roman" w:hAnsi="Times New Roman" w:cs="Times New Roman"/>
          <w:sz w:val="26"/>
          <w:szCs w:val="26"/>
        </w:rPr>
        <w:tab/>
        <w:t>Indian Chamber of Commerce, Calcutta</w:t>
      </w:r>
    </w:p>
    <w:p w14:paraId="5A4F209B" w14:textId="77777777" w:rsidR="00474CDC" w:rsidRPr="00474CDC" w:rsidRDefault="00474CDC" w:rsidP="00474CDC">
      <w:pPr>
        <w:pStyle w:val="NoSpacing"/>
        <w:spacing w:line="300" w:lineRule="exact"/>
        <w:rPr>
          <w:rFonts w:ascii="Times New Roman" w:hAnsi="Times New Roman" w:cs="Times New Roman"/>
          <w:sz w:val="26"/>
          <w:szCs w:val="26"/>
        </w:rPr>
      </w:pPr>
      <w:r w:rsidRPr="00474CDC">
        <w:rPr>
          <w:rFonts w:ascii="Times New Roman" w:hAnsi="Times New Roman" w:cs="Times New Roman"/>
          <w:sz w:val="26"/>
          <w:szCs w:val="26"/>
        </w:rPr>
        <w:t>10</w:t>
      </w:r>
      <w:r w:rsidRPr="00474CDC">
        <w:rPr>
          <w:rFonts w:ascii="Times New Roman" w:hAnsi="Times New Roman" w:cs="Times New Roman"/>
          <w:sz w:val="26"/>
          <w:szCs w:val="26"/>
        </w:rPr>
        <w:tab/>
        <w:t>Indian Merchants Chamber, Bombay</w:t>
      </w:r>
    </w:p>
    <w:p w14:paraId="28A2D126" w14:textId="77777777" w:rsidR="00474CDC" w:rsidRPr="00474CDC" w:rsidRDefault="00474CDC" w:rsidP="00474CDC">
      <w:pPr>
        <w:pStyle w:val="NoSpacing"/>
        <w:spacing w:line="300" w:lineRule="exact"/>
        <w:rPr>
          <w:rFonts w:ascii="Times New Roman" w:hAnsi="Times New Roman" w:cs="Times New Roman"/>
          <w:sz w:val="26"/>
          <w:szCs w:val="26"/>
        </w:rPr>
      </w:pPr>
      <w:r w:rsidRPr="00474CDC">
        <w:rPr>
          <w:rFonts w:ascii="Times New Roman" w:hAnsi="Times New Roman" w:cs="Times New Roman"/>
          <w:sz w:val="26"/>
          <w:szCs w:val="26"/>
        </w:rPr>
        <w:t>11</w:t>
      </w:r>
      <w:r w:rsidRPr="00474CDC">
        <w:rPr>
          <w:rFonts w:ascii="Times New Roman" w:hAnsi="Times New Roman" w:cs="Times New Roman"/>
          <w:sz w:val="26"/>
          <w:szCs w:val="26"/>
        </w:rPr>
        <w:tab/>
        <w:t>Leaders of the Congress Party of the Gujarat Legislative Assembly</w:t>
      </w:r>
    </w:p>
    <w:p w14:paraId="093E556E" w14:textId="77777777" w:rsidR="00474CDC" w:rsidRPr="00474CDC" w:rsidRDefault="00474CDC" w:rsidP="00474CDC">
      <w:pPr>
        <w:pStyle w:val="NoSpacing"/>
        <w:spacing w:line="300" w:lineRule="exact"/>
        <w:rPr>
          <w:rFonts w:ascii="Times New Roman" w:hAnsi="Times New Roman" w:cs="Times New Roman"/>
          <w:sz w:val="26"/>
          <w:szCs w:val="26"/>
        </w:rPr>
      </w:pPr>
      <w:r w:rsidRPr="00474CDC">
        <w:rPr>
          <w:rFonts w:ascii="Times New Roman" w:hAnsi="Times New Roman" w:cs="Times New Roman"/>
          <w:sz w:val="26"/>
          <w:szCs w:val="26"/>
        </w:rPr>
        <w:t>12</w:t>
      </w:r>
      <w:r w:rsidRPr="00474CDC">
        <w:rPr>
          <w:rFonts w:ascii="Times New Roman" w:hAnsi="Times New Roman" w:cs="Times New Roman"/>
          <w:sz w:val="26"/>
          <w:szCs w:val="26"/>
        </w:rPr>
        <w:tab/>
        <w:t>Leaders of Opposition parties of the Gujarat Legislative Assembly</w:t>
      </w:r>
    </w:p>
    <w:p w14:paraId="37602066" w14:textId="77777777" w:rsidR="00474CDC" w:rsidRPr="00474CDC" w:rsidRDefault="00474CDC" w:rsidP="00474CDC">
      <w:pPr>
        <w:pStyle w:val="NoSpacing"/>
        <w:spacing w:line="300" w:lineRule="exact"/>
        <w:rPr>
          <w:rFonts w:ascii="Times New Roman" w:hAnsi="Times New Roman" w:cs="Times New Roman"/>
          <w:sz w:val="26"/>
          <w:szCs w:val="26"/>
        </w:rPr>
      </w:pPr>
      <w:r w:rsidRPr="00474CDC">
        <w:rPr>
          <w:rFonts w:ascii="Times New Roman" w:hAnsi="Times New Roman" w:cs="Times New Roman"/>
          <w:sz w:val="26"/>
          <w:szCs w:val="26"/>
        </w:rPr>
        <w:t>13</w:t>
      </w:r>
      <w:r w:rsidRPr="00474CDC">
        <w:rPr>
          <w:rFonts w:ascii="Times New Roman" w:hAnsi="Times New Roman" w:cs="Times New Roman"/>
          <w:sz w:val="26"/>
          <w:szCs w:val="26"/>
        </w:rPr>
        <w:tab/>
        <w:t>Mysore Chamber of Commerce, Bangalore</w:t>
      </w:r>
    </w:p>
    <w:p w14:paraId="7DC7AECF" w14:textId="77777777" w:rsidR="00474CDC" w:rsidRPr="00474CDC" w:rsidRDefault="00474CDC" w:rsidP="00474CDC">
      <w:pPr>
        <w:pStyle w:val="NoSpacing"/>
        <w:spacing w:line="300" w:lineRule="exact"/>
        <w:rPr>
          <w:rFonts w:ascii="Times New Roman" w:hAnsi="Times New Roman" w:cs="Times New Roman"/>
          <w:sz w:val="26"/>
          <w:szCs w:val="26"/>
        </w:rPr>
      </w:pPr>
      <w:r w:rsidRPr="00474CDC">
        <w:rPr>
          <w:rFonts w:ascii="Times New Roman" w:hAnsi="Times New Roman" w:cs="Times New Roman"/>
          <w:sz w:val="26"/>
          <w:szCs w:val="26"/>
        </w:rPr>
        <w:t>14</w:t>
      </w:r>
      <w:r w:rsidRPr="00474CDC">
        <w:rPr>
          <w:rFonts w:ascii="Times New Roman" w:hAnsi="Times New Roman" w:cs="Times New Roman"/>
          <w:sz w:val="26"/>
          <w:szCs w:val="26"/>
        </w:rPr>
        <w:tab/>
        <w:t>Merchants’ Chamber of Commerce, Uttar Pradesh</w:t>
      </w:r>
    </w:p>
    <w:p w14:paraId="708A3F85" w14:textId="77777777" w:rsidR="00474CDC" w:rsidRPr="00474CDC" w:rsidRDefault="00474CDC" w:rsidP="00474CDC">
      <w:pPr>
        <w:pStyle w:val="NoSpacing"/>
        <w:spacing w:line="300" w:lineRule="exact"/>
        <w:rPr>
          <w:rFonts w:ascii="Times New Roman" w:hAnsi="Times New Roman" w:cs="Times New Roman"/>
          <w:sz w:val="26"/>
          <w:szCs w:val="26"/>
        </w:rPr>
      </w:pPr>
      <w:r w:rsidRPr="00474CDC">
        <w:rPr>
          <w:rFonts w:ascii="Times New Roman" w:hAnsi="Times New Roman" w:cs="Times New Roman"/>
          <w:sz w:val="26"/>
          <w:szCs w:val="26"/>
        </w:rPr>
        <w:t>15</w:t>
      </w:r>
      <w:r w:rsidRPr="00474CDC">
        <w:rPr>
          <w:rFonts w:ascii="Times New Roman" w:hAnsi="Times New Roman" w:cs="Times New Roman"/>
          <w:sz w:val="26"/>
          <w:szCs w:val="26"/>
        </w:rPr>
        <w:tab/>
        <w:t>Non-official members of the State Planning Board, Kerala</w:t>
      </w:r>
    </w:p>
    <w:p w14:paraId="02B3C921" w14:textId="77777777" w:rsidR="00474CDC" w:rsidRPr="00474CDC" w:rsidRDefault="00474CDC" w:rsidP="00474CDC">
      <w:pPr>
        <w:pStyle w:val="NoSpacing"/>
        <w:spacing w:line="300" w:lineRule="exact"/>
        <w:rPr>
          <w:rFonts w:ascii="Times New Roman" w:hAnsi="Times New Roman" w:cs="Times New Roman"/>
          <w:sz w:val="26"/>
          <w:szCs w:val="26"/>
        </w:rPr>
      </w:pPr>
      <w:r w:rsidRPr="00474CDC">
        <w:rPr>
          <w:rFonts w:ascii="Times New Roman" w:hAnsi="Times New Roman" w:cs="Times New Roman"/>
          <w:sz w:val="26"/>
          <w:szCs w:val="26"/>
        </w:rPr>
        <w:t>16</w:t>
      </w:r>
      <w:r w:rsidRPr="00474CDC">
        <w:rPr>
          <w:rFonts w:ascii="Times New Roman" w:hAnsi="Times New Roman" w:cs="Times New Roman"/>
          <w:sz w:val="26"/>
          <w:szCs w:val="26"/>
        </w:rPr>
        <w:tab/>
        <w:t>Rajasthan Chamber of Commerce and Industries, Jaipur</w:t>
      </w:r>
    </w:p>
    <w:p w14:paraId="4637BB8C" w14:textId="77777777" w:rsidR="00474CDC" w:rsidRPr="00474CDC" w:rsidRDefault="00474CDC" w:rsidP="00474CDC">
      <w:pPr>
        <w:pStyle w:val="NoSpacing"/>
        <w:spacing w:line="300" w:lineRule="exact"/>
        <w:rPr>
          <w:rFonts w:ascii="Times New Roman" w:hAnsi="Times New Roman" w:cs="Times New Roman"/>
          <w:sz w:val="26"/>
          <w:szCs w:val="26"/>
        </w:rPr>
      </w:pPr>
      <w:r w:rsidRPr="00474CDC">
        <w:rPr>
          <w:rFonts w:ascii="Times New Roman" w:hAnsi="Times New Roman" w:cs="Times New Roman"/>
          <w:sz w:val="26"/>
          <w:szCs w:val="26"/>
        </w:rPr>
        <w:t>17</w:t>
      </w:r>
      <w:r w:rsidRPr="00474CDC">
        <w:rPr>
          <w:rFonts w:ascii="Times New Roman" w:hAnsi="Times New Roman" w:cs="Times New Roman"/>
          <w:sz w:val="26"/>
          <w:szCs w:val="26"/>
        </w:rPr>
        <w:tab/>
        <w:t>Rajasthan Vyapar Udyog Mandal, Jaipur</w:t>
      </w:r>
    </w:p>
    <w:p w14:paraId="6322CB6B" w14:textId="77777777" w:rsidR="00474CDC" w:rsidRPr="00474CDC" w:rsidRDefault="00474CDC" w:rsidP="00474CDC">
      <w:pPr>
        <w:pStyle w:val="NoSpacing"/>
        <w:spacing w:line="300" w:lineRule="exact"/>
        <w:rPr>
          <w:rFonts w:ascii="Times New Roman" w:hAnsi="Times New Roman" w:cs="Times New Roman"/>
          <w:sz w:val="26"/>
          <w:szCs w:val="26"/>
        </w:rPr>
      </w:pPr>
      <w:r w:rsidRPr="00474CDC">
        <w:rPr>
          <w:rFonts w:ascii="Times New Roman" w:hAnsi="Times New Roman" w:cs="Times New Roman"/>
          <w:sz w:val="26"/>
          <w:szCs w:val="26"/>
        </w:rPr>
        <w:t>18</w:t>
      </w:r>
      <w:r w:rsidRPr="00474CDC">
        <w:rPr>
          <w:rFonts w:ascii="Times New Roman" w:hAnsi="Times New Roman" w:cs="Times New Roman"/>
          <w:sz w:val="26"/>
          <w:szCs w:val="26"/>
        </w:rPr>
        <w:tab/>
        <w:t>Upper India Chamber of Commerce</w:t>
      </w:r>
    </w:p>
    <w:p w14:paraId="48E2A562" w14:textId="77777777" w:rsidR="00474CDC" w:rsidRPr="00474CDC" w:rsidRDefault="00474CDC" w:rsidP="00474CDC">
      <w:pPr>
        <w:pStyle w:val="NoSpacing"/>
        <w:spacing w:line="300" w:lineRule="exact"/>
        <w:rPr>
          <w:rFonts w:ascii="Times New Roman" w:hAnsi="Times New Roman" w:cs="Times New Roman"/>
          <w:sz w:val="26"/>
          <w:szCs w:val="26"/>
        </w:rPr>
      </w:pPr>
      <w:r w:rsidRPr="00474CDC">
        <w:rPr>
          <w:rFonts w:ascii="Times New Roman" w:hAnsi="Times New Roman" w:cs="Times New Roman"/>
          <w:sz w:val="26"/>
          <w:szCs w:val="26"/>
        </w:rPr>
        <w:t>19</w:t>
      </w:r>
      <w:r w:rsidRPr="00474CDC">
        <w:rPr>
          <w:rFonts w:ascii="Times New Roman" w:hAnsi="Times New Roman" w:cs="Times New Roman"/>
          <w:sz w:val="26"/>
          <w:szCs w:val="26"/>
        </w:rPr>
        <w:tab/>
        <w:t>Uttar Pradesh Chamber of Commerce</w:t>
      </w:r>
    </w:p>
    <w:p w14:paraId="08593EAD" w14:textId="39EF6E74" w:rsidR="00474CDC" w:rsidRPr="00474CDC" w:rsidRDefault="00474CDC" w:rsidP="00474CDC">
      <w:pPr>
        <w:pStyle w:val="NoSpacing"/>
        <w:spacing w:line="300" w:lineRule="exact"/>
        <w:rPr>
          <w:rFonts w:ascii="Times New Roman" w:hAnsi="Times New Roman" w:cs="Times New Roman"/>
          <w:sz w:val="26"/>
          <w:szCs w:val="26"/>
        </w:rPr>
      </w:pPr>
      <w:r w:rsidRPr="00474CDC">
        <w:rPr>
          <w:rFonts w:ascii="Times New Roman" w:hAnsi="Times New Roman" w:cs="Times New Roman"/>
          <w:sz w:val="26"/>
          <w:szCs w:val="26"/>
        </w:rPr>
        <w:t>20</w:t>
      </w:r>
      <w:r w:rsidRPr="00474CDC">
        <w:rPr>
          <w:rFonts w:ascii="Times New Roman" w:hAnsi="Times New Roman" w:cs="Times New Roman"/>
          <w:sz w:val="26"/>
          <w:szCs w:val="26"/>
        </w:rPr>
        <w:tab/>
        <w:t>Vyapari Association Mandal, Hanumangarh</w:t>
      </w:r>
    </w:p>
    <w:p w14:paraId="455E579C" w14:textId="56121AB4" w:rsidR="00180C3B" w:rsidRPr="007245B0" w:rsidRDefault="00180C3B" w:rsidP="00F46B27">
      <w:pPr>
        <w:pStyle w:val="NoSpacing"/>
        <w:ind w:left="360"/>
        <w:rPr>
          <w:rFonts w:ascii="Times New Roman" w:hAnsi="Times New Roman" w:cs="Times New Roman"/>
        </w:rPr>
      </w:pPr>
    </w:p>
    <w:p w14:paraId="1175EC99" w14:textId="77777777" w:rsidR="00C056B7" w:rsidRDefault="00180C3B" w:rsidP="00D80B2A">
      <w:pPr>
        <w:pStyle w:val="NoSpacing"/>
        <w:ind w:left="360"/>
        <w:jc w:val="center"/>
        <w:rPr>
          <w:rFonts w:ascii="Times New Roman" w:hAnsi="Times New Roman" w:cs="Times New Roman"/>
        </w:rPr>
      </w:pPr>
      <w:r w:rsidRPr="007245B0">
        <w:rPr>
          <w:rFonts w:ascii="Times New Roman" w:hAnsi="Times New Roman" w:cs="Times New Roman"/>
        </w:rPr>
        <w:br w:type="page"/>
      </w:r>
    </w:p>
    <w:p w14:paraId="187128DE" w14:textId="77777777" w:rsidR="00C056B7" w:rsidRDefault="00C056B7" w:rsidP="00D80B2A">
      <w:pPr>
        <w:pStyle w:val="NoSpacing"/>
        <w:ind w:left="360"/>
        <w:jc w:val="center"/>
        <w:rPr>
          <w:rFonts w:ascii="Times New Roman" w:hAnsi="Times New Roman" w:cs="Times New Roman"/>
        </w:rPr>
      </w:pPr>
    </w:p>
    <w:p w14:paraId="624E0DC7" w14:textId="77777777" w:rsidR="00C056B7" w:rsidRDefault="00C056B7" w:rsidP="00D80B2A">
      <w:pPr>
        <w:pStyle w:val="NoSpacing"/>
        <w:ind w:left="360"/>
        <w:jc w:val="center"/>
        <w:rPr>
          <w:rFonts w:ascii="Times New Roman" w:hAnsi="Times New Roman" w:cs="Times New Roman"/>
        </w:rPr>
      </w:pPr>
    </w:p>
    <w:p w14:paraId="518B548E" w14:textId="77777777" w:rsidR="00C056B7" w:rsidRDefault="00C056B7" w:rsidP="00D80B2A">
      <w:pPr>
        <w:pStyle w:val="NoSpacing"/>
        <w:ind w:left="360"/>
        <w:jc w:val="center"/>
        <w:rPr>
          <w:rFonts w:ascii="Times New Roman" w:hAnsi="Times New Roman" w:cs="Times New Roman"/>
        </w:rPr>
      </w:pPr>
    </w:p>
    <w:p w14:paraId="1A5E6F68" w14:textId="77777777" w:rsidR="00C056B7" w:rsidRDefault="00C056B7" w:rsidP="00D80B2A">
      <w:pPr>
        <w:pStyle w:val="NoSpacing"/>
        <w:ind w:left="360"/>
        <w:jc w:val="center"/>
        <w:rPr>
          <w:rFonts w:ascii="Times New Roman" w:hAnsi="Times New Roman" w:cs="Times New Roman"/>
        </w:rPr>
      </w:pPr>
    </w:p>
    <w:p w14:paraId="648A9ECD" w14:textId="77777777" w:rsidR="00C056B7" w:rsidRDefault="00C056B7" w:rsidP="00D80B2A">
      <w:pPr>
        <w:pStyle w:val="NoSpacing"/>
        <w:ind w:left="360"/>
        <w:jc w:val="center"/>
        <w:rPr>
          <w:rFonts w:ascii="Times New Roman" w:hAnsi="Times New Roman" w:cs="Times New Roman"/>
        </w:rPr>
      </w:pPr>
    </w:p>
    <w:p w14:paraId="1EACBD5A" w14:textId="77777777" w:rsidR="00C056B7" w:rsidRDefault="00C056B7" w:rsidP="00D80B2A">
      <w:pPr>
        <w:pStyle w:val="NoSpacing"/>
        <w:ind w:left="360"/>
        <w:jc w:val="center"/>
        <w:rPr>
          <w:rFonts w:ascii="Times New Roman" w:hAnsi="Times New Roman" w:cs="Times New Roman"/>
        </w:rPr>
      </w:pPr>
    </w:p>
    <w:p w14:paraId="7A66D60B" w14:textId="77777777" w:rsidR="00C056B7" w:rsidRDefault="00C056B7" w:rsidP="00D80B2A">
      <w:pPr>
        <w:pStyle w:val="NoSpacing"/>
        <w:ind w:left="360"/>
        <w:jc w:val="center"/>
        <w:rPr>
          <w:rFonts w:ascii="Times New Roman" w:hAnsi="Times New Roman" w:cs="Times New Roman"/>
        </w:rPr>
      </w:pPr>
    </w:p>
    <w:p w14:paraId="4E423934" w14:textId="77777777" w:rsidR="00C056B7" w:rsidRDefault="00C056B7" w:rsidP="00D80B2A">
      <w:pPr>
        <w:pStyle w:val="NoSpacing"/>
        <w:ind w:left="360"/>
        <w:jc w:val="center"/>
        <w:rPr>
          <w:rFonts w:ascii="Times New Roman" w:hAnsi="Times New Roman" w:cs="Times New Roman"/>
        </w:rPr>
      </w:pPr>
    </w:p>
    <w:p w14:paraId="5F05CD40" w14:textId="77777777" w:rsidR="00C056B7" w:rsidRDefault="00C056B7" w:rsidP="00D80B2A">
      <w:pPr>
        <w:pStyle w:val="NoSpacing"/>
        <w:ind w:left="360"/>
        <w:jc w:val="center"/>
        <w:rPr>
          <w:rFonts w:ascii="Times New Roman" w:hAnsi="Times New Roman" w:cs="Times New Roman"/>
        </w:rPr>
      </w:pPr>
    </w:p>
    <w:p w14:paraId="20E9833E" w14:textId="77777777" w:rsidR="00C056B7" w:rsidRDefault="00C056B7" w:rsidP="00D80B2A">
      <w:pPr>
        <w:pStyle w:val="NoSpacing"/>
        <w:ind w:left="360"/>
        <w:jc w:val="center"/>
        <w:rPr>
          <w:rFonts w:ascii="Times New Roman" w:hAnsi="Times New Roman" w:cs="Times New Roman"/>
        </w:rPr>
      </w:pPr>
    </w:p>
    <w:p w14:paraId="3056EC77" w14:textId="77777777" w:rsidR="00C056B7" w:rsidRDefault="00C056B7" w:rsidP="00D80B2A">
      <w:pPr>
        <w:pStyle w:val="NoSpacing"/>
        <w:ind w:left="360"/>
        <w:jc w:val="center"/>
        <w:rPr>
          <w:rFonts w:ascii="Times New Roman" w:hAnsi="Times New Roman" w:cs="Times New Roman"/>
        </w:rPr>
      </w:pPr>
    </w:p>
    <w:p w14:paraId="36B32E55" w14:textId="77777777" w:rsidR="00C056B7" w:rsidRDefault="00C056B7" w:rsidP="00D80B2A">
      <w:pPr>
        <w:pStyle w:val="NoSpacing"/>
        <w:ind w:left="360"/>
        <w:jc w:val="center"/>
        <w:rPr>
          <w:rFonts w:ascii="Times New Roman" w:hAnsi="Times New Roman" w:cs="Times New Roman"/>
        </w:rPr>
      </w:pPr>
    </w:p>
    <w:p w14:paraId="4EAA7183" w14:textId="77777777" w:rsidR="00C056B7" w:rsidRDefault="00C056B7" w:rsidP="00D80B2A">
      <w:pPr>
        <w:pStyle w:val="NoSpacing"/>
        <w:ind w:left="360"/>
        <w:jc w:val="center"/>
        <w:rPr>
          <w:rFonts w:ascii="Times New Roman" w:hAnsi="Times New Roman" w:cs="Times New Roman"/>
        </w:rPr>
      </w:pPr>
    </w:p>
    <w:p w14:paraId="3373D2B7" w14:textId="77777777" w:rsidR="00C056B7" w:rsidRPr="00C056B7" w:rsidRDefault="00C056B7" w:rsidP="00D80B2A">
      <w:pPr>
        <w:pStyle w:val="NoSpacing"/>
        <w:ind w:left="360"/>
        <w:jc w:val="center"/>
        <w:rPr>
          <w:rFonts w:ascii="Times New Roman" w:hAnsi="Times New Roman" w:cs="Times New Roman"/>
        </w:rPr>
      </w:pPr>
    </w:p>
    <w:p w14:paraId="09016C80" w14:textId="5276074C" w:rsidR="00C056B7" w:rsidRPr="00C056B7" w:rsidRDefault="00C056B7" w:rsidP="00D80B2A">
      <w:pPr>
        <w:pStyle w:val="NoSpacing"/>
        <w:ind w:left="360"/>
        <w:jc w:val="center"/>
        <w:rPr>
          <w:rFonts w:ascii="Times New Roman" w:hAnsi="Times New Roman" w:cs="Times New Roman"/>
        </w:rPr>
      </w:pPr>
      <w:r w:rsidRPr="00C056B7">
        <w:rPr>
          <w:rFonts w:ascii="Times New Roman" w:hAnsi="Times New Roman" w:cs="Times New Roman"/>
          <w:sz w:val="48"/>
          <w:szCs w:val="40"/>
        </w:rPr>
        <w:t>_____________________________________</w:t>
      </w:r>
    </w:p>
    <w:p w14:paraId="632C5B52" w14:textId="77777777" w:rsidR="00C056B7" w:rsidRDefault="00C056B7" w:rsidP="00D80B2A">
      <w:pPr>
        <w:pStyle w:val="NoSpacing"/>
        <w:ind w:left="360"/>
        <w:jc w:val="center"/>
        <w:rPr>
          <w:rFonts w:ascii="Times New Roman" w:hAnsi="Times New Roman" w:cs="Times New Roman"/>
        </w:rPr>
      </w:pPr>
    </w:p>
    <w:p w14:paraId="315B5213" w14:textId="77777777" w:rsidR="00C056B7" w:rsidRDefault="00C056B7" w:rsidP="00D80B2A">
      <w:pPr>
        <w:pStyle w:val="NoSpacing"/>
        <w:ind w:left="360"/>
        <w:jc w:val="center"/>
        <w:rPr>
          <w:rFonts w:ascii="Times New Roman" w:hAnsi="Times New Roman" w:cs="Times New Roman"/>
        </w:rPr>
      </w:pPr>
    </w:p>
    <w:p w14:paraId="1C477090" w14:textId="77777777" w:rsidR="00C056B7" w:rsidRDefault="00C056B7" w:rsidP="00D80B2A">
      <w:pPr>
        <w:pStyle w:val="NoSpacing"/>
        <w:ind w:left="360"/>
        <w:jc w:val="center"/>
        <w:rPr>
          <w:rFonts w:ascii="Times New Roman" w:hAnsi="Times New Roman" w:cs="Times New Roman"/>
        </w:rPr>
      </w:pPr>
    </w:p>
    <w:p w14:paraId="5EDE3254" w14:textId="45908B13" w:rsidR="00180C3B" w:rsidRDefault="00D80B2A" w:rsidP="00C056B7">
      <w:pPr>
        <w:pStyle w:val="Heading2"/>
      </w:pPr>
      <w:bookmarkStart w:id="31" w:name="_Toc220949680"/>
      <w:bookmarkStart w:id="32" w:name="_Toc221115303"/>
      <w:r w:rsidRPr="007245B0">
        <w:t>APPENDIX V</w:t>
      </w:r>
      <w:r w:rsidR="00C056B7">
        <w:t xml:space="preserve"> </w:t>
      </w:r>
      <w:r w:rsidR="00C056B7">
        <w:br/>
      </w:r>
      <w:r w:rsidRPr="007245B0">
        <w:t>STATISTICAL TABLES</w:t>
      </w:r>
      <w:bookmarkEnd w:id="31"/>
      <w:bookmarkEnd w:id="32"/>
    </w:p>
    <w:p w14:paraId="67F8078E" w14:textId="77777777" w:rsidR="00C056B7" w:rsidRDefault="00C056B7" w:rsidP="00C056B7">
      <w:pPr>
        <w:pStyle w:val="NoSpacing"/>
        <w:ind w:left="360"/>
        <w:jc w:val="center"/>
        <w:rPr>
          <w:rFonts w:ascii="Times New Roman" w:hAnsi="Times New Roman" w:cs="Times New Roman"/>
          <w:b/>
          <w:bCs/>
          <w:sz w:val="56"/>
          <w:szCs w:val="56"/>
        </w:rPr>
      </w:pPr>
    </w:p>
    <w:p w14:paraId="01908969" w14:textId="51C50921" w:rsidR="00C056B7" w:rsidRPr="00C056B7" w:rsidRDefault="00C056B7" w:rsidP="00C056B7">
      <w:pPr>
        <w:pStyle w:val="NoSpacing"/>
        <w:ind w:left="360"/>
        <w:jc w:val="center"/>
        <w:rPr>
          <w:rFonts w:ascii="Times New Roman" w:hAnsi="Times New Roman" w:cs="Times New Roman"/>
          <w:sz w:val="56"/>
          <w:szCs w:val="56"/>
        </w:rPr>
      </w:pPr>
      <w:r w:rsidRPr="00C056B7">
        <w:rPr>
          <w:rFonts w:ascii="Times New Roman" w:hAnsi="Times New Roman" w:cs="Times New Roman"/>
          <w:sz w:val="56"/>
          <w:szCs w:val="56"/>
        </w:rPr>
        <w:t>________________________________</w:t>
      </w:r>
    </w:p>
    <w:p w14:paraId="40CB64A3" w14:textId="77777777" w:rsidR="00180C3B" w:rsidRPr="007245B0" w:rsidRDefault="00180C3B" w:rsidP="00D80B2A">
      <w:pPr>
        <w:jc w:val="center"/>
        <w:rPr>
          <w:rFonts w:ascii="Times New Roman" w:hAnsi="Times New Roman" w:cs="Times New Roman"/>
        </w:rPr>
      </w:pPr>
    </w:p>
    <w:p w14:paraId="29EBCC87" w14:textId="5063DD6E" w:rsidR="00180C3B" w:rsidRPr="007245B0" w:rsidRDefault="00180C3B">
      <w:pPr>
        <w:rPr>
          <w:rFonts w:ascii="Times New Roman" w:hAnsi="Times New Roman" w:cs="Times New Roman"/>
        </w:rPr>
      </w:pPr>
      <w:r w:rsidRPr="007245B0">
        <w:rPr>
          <w:rFonts w:ascii="Times New Roman" w:hAnsi="Times New Roman" w:cs="Times New Roman"/>
        </w:rPr>
        <w:br w:type="page"/>
      </w:r>
    </w:p>
    <w:p w14:paraId="2232AD7D" w14:textId="0D3656CD" w:rsidR="00180C3B" w:rsidRPr="007245B0" w:rsidRDefault="00180C3B">
      <w:pPr>
        <w:rPr>
          <w:rFonts w:ascii="Times New Roman" w:hAnsi="Times New Roman" w:cs="Times New Roman"/>
        </w:rPr>
      </w:pPr>
      <w:r w:rsidRPr="007245B0">
        <w:rPr>
          <w:rFonts w:ascii="Times New Roman" w:hAnsi="Times New Roman" w:cs="Times New Roman"/>
        </w:rPr>
        <w:lastRenderedPageBreak/>
        <w:br w:type="page"/>
      </w:r>
    </w:p>
    <w:p w14:paraId="78ACA766" w14:textId="5E345660" w:rsidR="00F46B27" w:rsidRPr="007245B0" w:rsidRDefault="00B23AB5" w:rsidP="00B23AB5">
      <w:pPr>
        <w:pStyle w:val="NoSpacing"/>
        <w:ind w:left="360"/>
        <w:jc w:val="center"/>
        <w:rPr>
          <w:rFonts w:ascii="Times New Roman" w:hAnsi="Times New Roman" w:cs="Times New Roman"/>
          <w:b/>
          <w:bCs/>
        </w:rPr>
      </w:pPr>
      <w:r w:rsidRPr="007245B0">
        <w:rPr>
          <w:rFonts w:ascii="Times New Roman" w:hAnsi="Times New Roman" w:cs="Times New Roman"/>
          <w:b/>
          <w:bCs/>
        </w:rPr>
        <w:lastRenderedPageBreak/>
        <w:t>APPENDIX V</w:t>
      </w:r>
    </w:p>
    <w:p w14:paraId="2E02F7C1" w14:textId="0C973942" w:rsidR="00B23AB5" w:rsidRPr="007245B0" w:rsidRDefault="00B23AB5" w:rsidP="00B23AB5">
      <w:pPr>
        <w:pStyle w:val="NoSpacing"/>
        <w:ind w:left="360"/>
        <w:jc w:val="center"/>
        <w:rPr>
          <w:rFonts w:ascii="Times New Roman" w:hAnsi="Times New Roman" w:cs="Times New Roman"/>
          <w:b/>
          <w:bCs/>
        </w:rPr>
      </w:pPr>
      <w:r w:rsidRPr="007245B0">
        <w:rPr>
          <w:rFonts w:ascii="Times New Roman" w:hAnsi="Times New Roman" w:cs="Times New Roman"/>
          <w:b/>
          <w:bCs/>
        </w:rPr>
        <w:t>STATISTICAL TABLES</w:t>
      </w:r>
    </w:p>
    <w:p w14:paraId="69E8EE6D" w14:textId="7F1C336B" w:rsidR="00B23AB5" w:rsidRPr="008300E8" w:rsidRDefault="008300E8" w:rsidP="008300E8">
      <w:pPr>
        <w:spacing w:before="240" w:after="0"/>
        <w:jc w:val="center"/>
        <w:rPr>
          <w:rFonts w:ascii="Times New Roman" w:hAnsi="Times New Roman" w:cs="Times New Roman"/>
          <w:i/>
          <w:iCs/>
        </w:rPr>
      </w:pPr>
      <w:r w:rsidRPr="008300E8">
        <w:rPr>
          <w:rFonts w:ascii="Times New Roman" w:hAnsi="Times New Roman" w:cs="Times New Roman"/>
          <w:i/>
          <w:iCs/>
        </w:rPr>
        <w:t>A. Area, Population and State incomes</w:t>
      </w:r>
    </w:p>
    <w:p w14:paraId="34AF49F9" w14:textId="293C1AD3" w:rsidR="008300E8" w:rsidRPr="008300E8" w:rsidRDefault="00CE0928" w:rsidP="008300E8">
      <w:pPr>
        <w:pStyle w:val="TOC1"/>
        <w:tabs>
          <w:tab w:val="right" w:leader="dot" w:pos="9350"/>
        </w:tabs>
        <w:spacing w:line="240" w:lineRule="exact"/>
        <w:rPr>
          <w:rFonts w:ascii="Times New Roman" w:eastAsiaTheme="minorEastAsia" w:hAnsi="Times New Roman" w:cs="Times New Roman"/>
          <w:b w:val="0"/>
          <w:bCs w:val="0"/>
          <w:i w:val="0"/>
          <w:iCs w:val="0"/>
          <w:noProof/>
          <w:sz w:val="22"/>
          <w:szCs w:val="18"/>
          <w:lang w:eastAsia="en-IN"/>
        </w:rPr>
      </w:pPr>
      <w:r w:rsidRPr="008300E8">
        <w:rPr>
          <w:rFonts w:ascii="Times New Roman" w:hAnsi="Times New Roman" w:cs="Times New Roman"/>
          <w:b w:val="0"/>
          <w:bCs w:val="0"/>
          <w:i w:val="0"/>
          <w:iCs w:val="0"/>
          <w:sz w:val="22"/>
          <w:szCs w:val="18"/>
        </w:rPr>
        <w:fldChar w:fldCharType="begin"/>
      </w:r>
      <w:r w:rsidRPr="008300E8">
        <w:rPr>
          <w:rFonts w:ascii="Times New Roman" w:hAnsi="Times New Roman" w:cs="Times New Roman"/>
          <w:b w:val="0"/>
          <w:bCs w:val="0"/>
          <w:i w:val="0"/>
          <w:iCs w:val="0"/>
          <w:sz w:val="22"/>
          <w:szCs w:val="18"/>
        </w:rPr>
        <w:instrText xml:space="preserve"> TOC \h \z \u \t "Heading 4,1" </w:instrText>
      </w:r>
      <w:r w:rsidRPr="008300E8">
        <w:rPr>
          <w:rFonts w:ascii="Times New Roman" w:hAnsi="Times New Roman" w:cs="Times New Roman"/>
          <w:b w:val="0"/>
          <w:bCs w:val="0"/>
          <w:i w:val="0"/>
          <w:iCs w:val="0"/>
          <w:sz w:val="22"/>
          <w:szCs w:val="18"/>
        </w:rPr>
        <w:fldChar w:fldCharType="separate"/>
      </w:r>
      <w:hyperlink w:anchor="_Toc221114281" w:history="1">
        <w:r w:rsidR="008300E8" w:rsidRPr="008300E8">
          <w:rPr>
            <w:rStyle w:val="Hyperlink"/>
            <w:rFonts w:ascii="Times New Roman" w:hAnsi="Times New Roman" w:cs="Times New Roman"/>
            <w:b w:val="0"/>
            <w:bCs w:val="0"/>
            <w:i w:val="0"/>
            <w:iCs w:val="0"/>
            <w:noProof/>
            <w:sz w:val="22"/>
            <w:szCs w:val="18"/>
          </w:rPr>
          <w:t>Table 1: Population of States (1961 Census)</w:t>
        </w:r>
        <w:r w:rsidR="008300E8" w:rsidRPr="008300E8">
          <w:rPr>
            <w:rFonts w:ascii="Times New Roman" w:hAnsi="Times New Roman" w:cs="Times New Roman"/>
            <w:b w:val="0"/>
            <w:bCs w:val="0"/>
            <w:i w:val="0"/>
            <w:iCs w:val="0"/>
            <w:noProof/>
            <w:webHidden/>
            <w:sz w:val="22"/>
            <w:szCs w:val="18"/>
          </w:rPr>
          <w:tab/>
        </w:r>
        <w:r w:rsidR="008300E8" w:rsidRPr="008300E8">
          <w:rPr>
            <w:rFonts w:ascii="Times New Roman" w:hAnsi="Times New Roman" w:cs="Times New Roman"/>
            <w:b w:val="0"/>
            <w:bCs w:val="0"/>
            <w:i w:val="0"/>
            <w:iCs w:val="0"/>
            <w:noProof/>
            <w:webHidden/>
            <w:sz w:val="22"/>
            <w:szCs w:val="18"/>
          </w:rPr>
          <w:fldChar w:fldCharType="begin"/>
        </w:r>
        <w:r w:rsidR="008300E8" w:rsidRPr="008300E8">
          <w:rPr>
            <w:rFonts w:ascii="Times New Roman" w:hAnsi="Times New Roman" w:cs="Times New Roman"/>
            <w:b w:val="0"/>
            <w:bCs w:val="0"/>
            <w:i w:val="0"/>
            <w:iCs w:val="0"/>
            <w:noProof/>
            <w:webHidden/>
            <w:sz w:val="22"/>
            <w:szCs w:val="18"/>
          </w:rPr>
          <w:instrText xml:space="preserve"> PAGEREF _Toc221114281 \h </w:instrText>
        </w:r>
        <w:r w:rsidR="008300E8" w:rsidRPr="008300E8">
          <w:rPr>
            <w:rFonts w:ascii="Times New Roman" w:hAnsi="Times New Roman" w:cs="Times New Roman"/>
            <w:b w:val="0"/>
            <w:bCs w:val="0"/>
            <w:i w:val="0"/>
            <w:iCs w:val="0"/>
            <w:noProof/>
            <w:webHidden/>
            <w:sz w:val="22"/>
            <w:szCs w:val="18"/>
          </w:rPr>
        </w:r>
        <w:r w:rsidR="008300E8" w:rsidRPr="008300E8">
          <w:rPr>
            <w:rFonts w:ascii="Times New Roman" w:hAnsi="Times New Roman" w:cs="Times New Roman"/>
            <w:b w:val="0"/>
            <w:bCs w:val="0"/>
            <w:i w:val="0"/>
            <w:iCs w:val="0"/>
            <w:noProof/>
            <w:webHidden/>
            <w:sz w:val="22"/>
            <w:szCs w:val="18"/>
          </w:rPr>
          <w:fldChar w:fldCharType="separate"/>
        </w:r>
        <w:r w:rsidR="00F70A97">
          <w:rPr>
            <w:rFonts w:ascii="Times New Roman" w:hAnsi="Times New Roman" w:cs="Times New Roman"/>
            <w:b w:val="0"/>
            <w:bCs w:val="0"/>
            <w:i w:val="0"/>
            <w:iCs w:val="0"/>
            <w:noProof/>
            <w:webHidden/>
            <w:sz w:val="22"/>
            <w:szCs w:val="18"/>
          </w:rPr>
          <w:t>124</w:t>
        </w:r>
        <w:r w:rsidR="008300E8" w:rsidRPr="008300E8">
          <w:rPr>
            <w:rFonts w:ascii="Times New Roman" w:hAnsi="Times New Roman" w:cs="Times New Roman"/>
            <w:b w:val="0"/>
            <w:bCs w:val="0"/>
            <w:i w:val="0"/>
            <w:iCs w:val="0"/>
            <w:noProof/>
            <w:webHidden/>
            <w:sz w:val="22"/>
            <w:szCs w:val="18"/>
          </w:rPr>
          <w:fldChar w:fldCharType="end"/>
        </w:r>
      </w:hyperlink>
    </w:p>
    <w:p w14:paraId="43B5A09C" w14:textId="38B07E80" w:rsidR="008300E8" w:rsidRPr="008300E8" w:rsidRDefault="008300E8" w:rsidP="008300E8">
      <w:pPr>
        <w:pStyle w:val="TOC1"/>
        <w:tabs>
          <w:tab w:val="right" w:leader="dot" w:pos="9350"/>
        </w:tabs>
        <w:spacing w:line="240" w:lineRule="exact"/>
        <w:rPr>
          <w:rFonts w:ascii="Times New Roman" w:eastAsiaTheme="minorEastAsia" w:hAnsi="Times New Roman" w:cs="Times New Roman"/>
          <w:b w:val="0"/>
          <w:bCs w:val="0"/>
          <w:i w:val="0"/>
          <w:iCs w:val="0"/>
          <w:noProof/>
          <w:sz w:val="22"/>
          <w:szCs w:val="18"/>
          <w:lang w:eastAsia="en-IN"/>
        </w:rPr>
      </w:pPr>
      <w:hyperlink w:anchor="_Toc221114282" w:history="1">
        <w:r w:rsidRPr="008300E8">
          <w:rPr>
            <w:rStyle w:val="Hyperlink"/>
            <w:rFonts w:ascii="Times New Roman" w:hAnsi="Times New Roman" w:cs="Times New Roman"/>
            <w:b w:val="0"/>
            <w:bCs w:val="0"/>
            <w:i w:val="0"/>
            <w:iCs w:val="0"/>
            <w:noProof/>
            <w:sz w:val="22"/>
            <w:szCs w:val="18"/>
          </w:rPr>
          <w:t>Table 2: Measurement of Sparsity of Population in States</w:t>
        </w:r>
        <w:r w:rsidRPr="008300E8">
          <w:rPr>
            <w:rFonts w:ascii="Times New Roman" w:hAnsi="Times New Roman" w:cs="Times New Roman"/>
            <w:b w:val="0"/>
            <w:bCs w:val="0"/>
            <w:i w:val="0"/>
            <w:iCs w:val="0"/>
            <w:noProof/>
            <w:webHidden/>
            <w:sz w:val="22"/>
            <w:szCs w:val="18"/>
          </w:rPr>
          <w:tab/>
        </w:r>
        <w:r w:rsidRPr="008300E8">
          <w:rPr>
            <w:rFonts w:ascii="Times New Roman" w:hAnsi="Times New Roman" w:cs="Times New Roman"/>
            <w:b w:val="0"/>
            <w:bCs w:val="0"/>
            <w:i w:val="0"/>
            <w:iCs w:val="0"/>
            <w:noProof/>
            <w:webHidden/>
            <w:sz w:val="22"/>
            <w:szCs w:val="18"/>
          </w:rPr>
          <w:fldChar w:fldCharType="begin"/>
        </w:r>
        <w:r w:rsidRPr="008300E8">
          <w:rPr>
            <w:rFonts w:ascii="Times New Roman" w:hAnsi="Times New Roman" w:cs="Times New Roman"/>
            <w:b w:val="0"/>
            <w:bCs w:val="0"/>
            <w:i w:val="0"/>
            <w:iCs w:val="0"/>
            <w:noProof/>
            <w:webHidden/>
            <w:sz w:val="22"/>
            <w:szCs w:val="18"/>
          </w:rPr>
          <w:instrText xml:space="preserve"> PAGEREF _Toc221114282 \h </w:instrText>
        </w:r>
        <w:r w:rsidRPr="008300E8">
          <w:rPr>
            <w:rFonts w:ascii="Times New Roman" w:hAnsi="Times New Roman" w:cs="Times New Roman"/>
            <w:b w:val="0"/>
            <w:bCs w:val="0"/>
            <w:i w:val="0"/>
            <w:iCs w:val="0"/>
            <w:noProof/>
            <w:webHidden/>
            <w:sz w:val="22"/>
            <w:szCs w:val="18"/>
          </w:rPr>
        </w:r>
        <w:r w:rsidRPr="008300E8">
          <w:rPr>
            <w:rFonts w:ascii="Times New Roman" w:hAnsi="Times New Roman" w:cs="Times New Roman"/>
            <w:b w:val="0"/>
            <w:bCs w:val="0"/>
            <w:i w:val="0"/>
            <w:iCs w:val="0"/>
            <w:noProof/>
            <w:webHidden/>
            <w:sz w:val="22"/>
            <w:szCs w:val="18"/>
          </w:rPr>
          <w:fldChar w:fldCharType="separate"/>
        </w:r>
        <w:r w:rsidR="00F70A97">
          <w:rPr>
            <w:rFonts w:ascii="Times New Roman" w:hAnsi="Times New Roman" w:cs="Times New Roman"/>
            <w:b w:val="0"/>
            <w:bCs w:val="0"/>
            <w:i w:val="0"/>
            <w:iCs w:val="0"/>
            <w:noProof/>
            <w:webHidden/>
            <w:sz w:val="22"/>
            <w:szCs w:val="18"/>
          </w:rPr>
          <w:t>125</w:t>
        </w:r>
        <w:r w:rsidRPr="008300E8">
          <w:rPr>
            <w:rFonts w:ascii="Times New Roman" w:hAnsi="Times New Roman" w:cs="Times New Roman"/>
            <w:b w:val="0"/>
            <w:bCs w:val="0"/>
            <w:i w:val="0"/>
            <w:iCs w:val="0"/>
            <w:noProof/>
            <w:webHidden/>
            <w:sz w:val="22"/>
            <w:szCs w:val="18"/>
          </w:rPr>
          <w:fldChar w:fldCharType="end"/>
        </w:r>
      </w:hyperlink>
    </w:p>
    <w:p w14:paraId="29DF61A1" w14:textId="05B168E0" w:rsidR="008300E8" w:rsidRPr="008300E8" w:rsidRDefault="008300E8" w:rsidP="008300E8">
      <w:pPr>
        <w:pStyle w:val="TOC1"/>
        <w:tabs>
          <w:tab w:val="right" w:leader="dot" w:pos="9350"/>
        </w:tabs>
        <w:spacing w:line="240" w:lineRule="exact"/>
        <w:rPr>
          <w:rFonts w:ascii="Times New Roman" w:eastAsiaTheme="minorEastAsia" w:hAnsi="Times New Roman" w:cs="Times New Roman"/>
          <w:b w:val="0"/>
          <w:bCs w:val="0"/>
          <w:i w:val="0"/>
          <w:iCs w:val="0"/>
          <w:noProof/>
          <w:sz w:val="22"/>
          <w:szCs w:val="18"/>
          <w:lang w:eastAsia="en-IN"/>
        </w:rPr>
      </w:pPr>
      <w:hyperlink w:anchor="_Toc221114283" w:history="1">
        <w:r w:rsidRPr="008300E8">
          <w:rPr>
            <w:rStyle w:val="Hyperlink"/>
            <w:rFonts w:ascii="Times New Roman" w:hAnsi="Times New Roman" w:cs="Times New Roman"/>
            <w:b w:val="0"/>
            <w:bCs w:val="0"/>
            <w:i w:val="0"/>
            <w:iCs w:val="0"/>
            <w:noProof/>
            <w:sz w:val="22"/>
            <w:szCs w:val="18"/>
          </w:rPr>
          <w:t>Table 3: Population of Scheduled Castes and Scheduled Tribes in States (1961 Census)</w:t>
        </w:r>
        <w:r w:rsidRPr="008300E8">
          <w:rPr>
            <w:rFonts w:ascii="Times New Roman" w:hAnsi="Times New Roman" w:cs="Times New Roman"/>
            <w:b w:val="0"/>
            <w:bCs w:val="0"/>
            <w:i w:val="0"/>
            <w:iCs w:val="0"/>
            <w:noProof/>
            <w:webHidden/>
            <w:sz w:val="22"/>
            <w:szCs w:val="18"/>
          </w:rPr>
          <w:tab/>
        </w:r>
        <w:r w:rsidRPr="008300E8">
          <w:rPr>
            <w:rFonts w:ascii="Times New Roman" w:hAnsi="Times New Roman" w:cs="Times New Roman"/>
            <w:b w:val="0"/>
            <w:bCs w:val="0"/>
            <w:i w:val="0"/>
            <w:iCs w:val="0"/>
            <w:noProof/>
            <w:webHidden/>
            <w:sz w:val="22"/>
            <w:szCs w:val="18"/>
          </w:rPr>
          <w:fldChar w:fldCharType="begin"/>
        </w:r>
        <w:r w:rsidRPr="008300E8">
          <w:rPr>
            <w:rFonts w:ascii="Times New Roman" w:hAnsi="Times New Roman" w:cs="Times New Roman"/>
            <w:b w:val="0"/>
            <w:bCs w:val="0"/>
            <w:i w:val="0"/>
            <w:iCs w:val="0"/>
            <w:noProof/>
            <w:webHidden/>
            <w:sz w:val="22"/>
            <w:szCs w:val="18"/>
          </w:rPr>
          <w:instrText xml:space="preserve"> PAGEREF _Toc221114283 \h </w:instrText>
        </w:r>
        <w:r w:rsidRPr="008300E8">
          <w:rPr>
            <w:rFonts w:ascii="Times New Roman" w:hAnsi="Times New Roman" w:cs="Times New Roman"/>
            <w:b w:val="0"/>
            <w:bCs w:val="0"/>
            <w:i w:val="0"/>
            <w:iCs w:val="0"/>
            <w:noProof/>
            <w:webHidden/>
            <w:sz w:val="22"/>
            <w:szCs w:val="18"/>
          </w:rPr>
        </w:r>
        <w:r w:rsidRPr="008300E8">
          <w:rPr>
            <w:rFonts w:ascii="Times New Roman" w:hAnsi="Times New Roman" w:cs="Times New Roman"/>
            <w:b w:val="0"/>
            <w:bCs w:val="0"/>
            <w:i w:val="0"/>
            <w:iCs w:val="0"/>
            <w:noProof/>
            <w:webHidden/>
            <w:sz w:val="22"/>
            <w:szCs w:val="18"/>
          </w:rPr>
          <w:fldChar w:fldCharType="separate"/>
        </w:r>
        <w:r w:rsidR="00F70A97">
          <w:rPr>
            <w:rFonts w:ascii="Times New Roman" w:hAnsi="Times New Roman" w:cs="Times New Roman"/>
            <w:b w:val="0"/>
            <w:bCs w:val="0"/>
            <w:i w:val="0"/>
            <w:iCs w:val="0"/>
            <w:noProof/>
            <w:webHidden/>
            <w:sz w:val="22"/>
            <w:szCs w:val="18"/>
          </w:rPr>
          <w:t>126</w:t>
        </w:r>
        <w:r w:rsidRPr="008300E8">
          <w:rPr>
            <w:rFonts w:ascii="Times New Roman" w:hAnsi="Times New Roman" w:cs="Times New Roman"/>
            <w:b w:val="0"/>
            <w:bCs w:val="0"/>
            <w:i w:val="0"/>
            <w:iCs w:val="0"/>
            <w:noProof/>
            <w:webHidden/>
            <w:sz w:val="22"/>
            <w:szCs w:val="18"/>
          </w:rPr>
          <w:fldChar w:fldCharType="end"/>
        </w:r>
      </w:hyperlink>
    </w:p>
    <w:p w14:paraId="79B138F9" w14:textId="622144A2" w:rsidR="008300E8" w:rsidRPr="008300E8" w:rsidRDefault="008300E8" w:rsidP="008300E8">
      <w:pPr>
        <w:pStyle w:val="TOC1"/>
        <w:tabs>
          <w:tab w:val="right" w:leader="dot" w:pos="9350"/>
        </w:tabs>
        <w:spacing w:line="240" w:lineRule="exact"/>
        <w:rPr>
          <w:rFonts w:ascii="Times New Roman" w:eastAsiaTheme="minorEastAsia" w:hAnsi="Times New Roman" w:cs="Times New Roman"/>
          <w:b w:val="0"/>
          <w:bCs w:val="0"/>
          <w:i w:val="0"/>
          <w:iCs w:val="0"/>
          <w:noProof/>
          <w:sz w:val="22"/>
          <w:szCs w:val="18"/>
          <w:lang w:eastAsia="en-IN"/>
        </w:rPr>
      </w:pPr>
      <w:hyperlink w:anchor="_Toc221114284" w:history="1">
        <w:r w:rsidRPr="008300E8">
          <w:rPr>
            <w:rStyle w:val="Hyperlink"/>
            <w:rFonts w:ascii="Times New Roman" w:hAnsi="Times New Roman" w:cs="Times New Roman"/>
            <w:b w:val="0"/>
            <w:bCs w:val="0"/>
            <w:i w:val="0"/>
            <w:iCs w:val="0"/>
            <w:noProof/>
            <w:sz w:val="22"/>
            <w:szCs w:val="18"/>
          </w:rPr>
          <w:t>Table 4: Total State Incomes (Net Domestic Product) from 1960-61 to 1964-65 by states indicating figures relating to Agriculture and Animal Husbandry sectors.</w:t>
        </w:r>
        <w:r w:rsidRPr="008300E8">
          <w:rPr>
            <w:rFonts w:ascii="Times New Roman" w:hAnsi="Times New Roman" w:cs="Times New Roman"/>
            <w:b w:val="0"/>
            <w:bCs w:val="0"/>
            <w:i w:val="0"/>
            <w:iCs w:val="0"/>
            <w:noProof/>
            <w:webHidden/>
            <w:sz w:val="22"/>
            <w:szCs w:val="18"/>
          </w:rPr>
          <w:tab/>
        </w:r>
        <w:r w:rsidRPr="008300E8">
          <w:rPr>
            <w:rFonts w:ascii="Times New Roman" w:hAnsi="Times New Roman" w:cs="Times New Roman"/>
            <w:b w:val="0"/>
            <w:bCs w:val="0"/>
            <w:i w:val="0"/>
            <w:iCs w:val="0"/>
            <w:noProof/>
            <w:webHidden/>
            <w:sz w:val="22"/>
            <w:szCs w:val="18"/>
          </w:rPr>
          <w:fldChar w:fldCharType="begin"/>
        </w:r>
        <w:r w:rsidRPr="008300E8">
          <w:rPr>
            <w:rFonts w:ascii="Times New Roman" w:hAnsi="Times New Roman" w:cs="Times New Roman"/>
            <w:b w:val="0"/>
            <w:bCs w:val="0"/>
            <w:i w:val="0"/>
            <w:iCs w:val="0"/>
            <w:noProof/>
            <w:webHidden/>
            <w:sz w:val="22"/>
            <w:szCs w:val="18"/>
          </w:rPr>
          <w:instrText xml:space="preserve"> PAGEREF _Toc221114284 \h </w:instrText>
        </w:r>
        <w:r w:rsidRPr="008300E8">
          <w:rPr>
            <w:rFonts w:ascii="Times New Roman" w:hAnsi="Times New Roman" w:cs="Times New Roman"/>
            <w:b w:val="0"/>
            <w:bCs w:val="0"/>
            <w:i w:val="0"/>
            <w:iCs w:val="0"/>
            <w:noProof/>
            <w:webHidden/>
            <w:sz w:val="22"/>
            <w:szCs w:val="18"/>
          </w:rPr>
        </w:r>
        <w:r w:rsidRPr="008300E8">
          <w:rPr>
            <w:rFonts w:ascii="Times New Roman" w:hAnsi="Times New Roman" w:cs="Times New Roman"/>
            <w:b w:val="0"/>
            <w:bCs w:val="0"/>
            <w:i w:val="0"/>
            <w:iCs w:val="0"/>
            <w:noProof/>
            <w:webHidden/>
            <w:sz w:val="22"/>
            <w:szCs w:val="18"/>
          </w:rPr>
          <w:fldChar w:fldCharType="separate"/>
        </w:r>
        <w:r w:rsidR="00F70A97">
          <w:rPr>
            <w:rFonts w:ascii="Times New Roman" w:hAnsi="Times New Roman" w:cs="Times New Roman"/>
            <w:b w:val="0"/>
            <w:bCs w:val="0"/>
            <w:i w:val="0"/>
            <w:iCs w:val="0"/>
            <w:noProof/>
            <w:webHidden/>
            <w:sz w:val="22"/>
            <w:szCs w:val="18"/>
          </w:rPr>
          <w:t>127</w:t>
        </w:r>
        <w:r w:rsidRPr="008300E8">
          <w:rPr>
            <w:rFonts w:ascii="Times New Roman" w:hAnsi="Times New Roman" w:cs="Times New Roman"/>
            <w:b w:val="0"/>
            <w:bCs w:val="0"/>
            <w:i w:val="0"/>
            <w:iCs w:val="0"/>
            <w:noProof/>
            <w:webHidden/>
            <w:sz w:val="22"/>
            <w:szCs w:val="18"/>
          </w:rPr>
          <w:fldChar w:fldCharType="end"/>
        </w:r>
      </w:hyperlink>
    </w:p>
    <w:p w14:paraId="1EE3A058" w14:textId="561A6068" w:rsidR="008300E8" w:rsidRDefault="008300E8" w:rsidP="008300E8">
      <w:pPr>
        <w:pStyle w:val="TOC1"/>
        <w:tabs>
          <w:tab w:val="right" w:leader="dot" w:pos="9350"/>
        </w:tabs>
        <w:spacing w:line="240" w:lineRule="exact"/>
        <w:rPr>
          <w:rStyle w:val="Hyperlink"/>
          <w:rFonts w:ascii="Times New Roman" w:hAnsi="Times New Roman" w:cs="Times New Roman"/>
          <w:b w:val="0"/>
          <w:bCs w:val="0"/>
          <w:i w:val="0"/>
          <w:iCs w:val="0"/>
          <w:noProof/>
          <w:sz w:val="22"/>
          <w:szCs w:val="18"/>
        </w:rPr>
      </w:pPr>
      <w:hyperlink w:anchor="_Toc221114285" w:history="1">
        <w:r w:rsidRPr="008300E8">
          <w:rPr>
            <w:rStyle w:val="Hyperlink"/>
            <w:rFonts w:ascii="Times New Roman" w:hAnsi="Times New Roman" w:cs="Times New Roman"/>
            <w:b w:val="0"/>
            <w:bCs w:val="0"/>
            <w:i w:val="0"/>
            <w:iCs w:val="0"/>
            <w:noProof/>
            <w:sz w:val="22"/>
            <w:szCs w:val="18"/>
          </w:rPr>
          <w:t>Table 5: Per Capita Income in 1960-61 to 1964-65 by States</w:t>
        </w:r>
        <w:r w:rsidRPr="008300E8">
          <w:rPr>
            <w:rFonts w:ascii="Times New Roman" w:hAnsi="Times New Roman" w:cs="Times New Roman"/>
            <w:b w:val="0"/>
            <w:bCs w:val="0"/>
            <w:i w:val="0"/>
            <w:iCs w:val="0"/>
            <w:noProof/>
            <w:webHidden/>
            <w:sz w:val="22"/>
            <w:szCs w:val="18"/>
          </w:rPr>
          <w:tab/>
        </w:r>
        <w:r w:rsidRPr="008300E8">
          <w:rPr>
            <w:rFonts w:ascii="Times New Roman" w:hAnsi="Times New Roman" w:cs="Times New Roman"/>
            <w:b w:val="0"/>
            <w:bCs w:val="0"/>
            <w:i w:val="0"/>
            <w:iCs w:val="0"/>
            <w:noProof/>
            <w:webHidden/>
            <w:sz w:val="22"/>
            <w:szCs w:val="18"/>
          </w:rPr>
          <w:fldChar w:fldCharType="begin"/>
        </w:r>
        <w:r w:rsidRPr="008300E8">
          <w:rPr>
            <w:rFonts w:ascii="Times New Roman" w:hAnsi="Times New Roman" w:cs="Times New Roman"/>
            <w:b w:val="0"/>
            <w:bCs w:val="0"/>
            <w:i w:val="0"/>
            <w:iCs w:val="0"/>
            <w:noProof/>
            <w:webHidden/>
            <w:sz w:val="22"/>
            <w:szCs w:val="18"/>
          </w:rPr>
          <w:instrText xml:space="preserve"> PAGEREF _Toc221114285 \h </w:instrText>
        </w:r>
        <w:r w:rsidRPr="008300E8">
          <w:rPr>
            <w:rFonts w:ascii="Times New Roman" w:hAnsi="Times New Roman" w:cs="Times New Roman"/>
            <w:b w:val="0"/>
            <w:bCs w:val="0"/>
            <w:i w:val="0"/>
            <w:iCs w:val="0"/>
            <w:noProof/>
            <w:webHidden/>
            <w:sz w:val="22"/>
            <w:szCs w:val="18"/>
          </w:rPr>
        </w:r>
        <w:r w:rsidRPr="008300E8">
          <w:rPr>
            <w:rFonts w:ascii="Times New Roman" w:hAnsi="Times New Roman" w:cs="Times New Roman"/>
            <w:b w:val="0"/>
            <w:bCs w:val="0"/>
            <w:i w:val="0"/>
            <w:iCs w:val="0"/>
            <w:noProof/>
            <w:webHidden/>
            <w:sz w:val="22"/>
            <w:szCs w:val="18"/>
          </w:rPr>
          <w:fldChar w:fldCharType="separate"/>
        </w:r>
        <w:r w:rsidR="00F70A97">
          <w:rPr>
            <w:rFonts w:ascii="Times New Roman" w:hAnsi="Times New Roman" w:cs="Times New Roman"/>
            <w:b w:val="0"/>
            <w:bCs w:val="0"/>
            <w:i w:val="0"/>
            <w:iCs w:val="0"/>
            <w:noProof/>
            <w:webHidden/>
            <w:sz w:val="22"/>
            <w:szCs w:val="18"/>
          </w:rPr>
          <w:t>128</w:t>
        </w:r>
        <w:r w:rsidRPr="008300E8">
          <w:rPr>
            <w:rFonts w:ascii="Times New Roman" w:hAnsi="Times New Roman" w:cs="Times New Roman"/>
            <w:b w:val="0"/>
            <w:bCs w:val="0"/>
            <w:i w:val="0"/>
            <w:iCs w:val="0"/>
            <w:noProof/>
            <w:webHidden/>
            <w:sz w:val="22"/>
            <w:szCs w:val="18"/>
          </w:rPr>
          <w:fldChar w:fldCharType="end"/>
        </w:r>
      </w:hyperlink>
    </w:p>
    <w:p w14:paraId="17A4E6ED" w14:textId="17D3C935" w:rsidR="008300E8" w:rsidRPr="008300E8" w:rsidRDefault="008300E8" w:rsidP="008300E8">
      <w:pPr>
        <w:spacing w:before="240" w:after="0"/>
        <w:jc w:val="center"/>
        <w:rPr>
          <w:rFonts w:ascii="Times New Roman" w:hAnsi="Times New Roman" w:cs="Times New Roman"/>
          <w:i/>
          <w:iCs/>
        </w:rPr>
      </w:pPr>
      <w:r w:rsidRPr="008300E8">
        <w:rPr>
          <w:rFonts w:ascii="Times New Roman" w:hAnsi="Times New Roman" w:cs="Times New Roman"/>
          <w:i/>
          <w:iCs/>
        </w:rPr>
        <w:t>B. States' revenues</w:t>
      </w:r>
    </w:p>
    <w:p w14:paraId="1D8B1B6D" w14:textId="64D826C5" w:rsidR="008300E8" w:rsidRPr="008300E8" w:rsidRDefault="008300E8" w:rsidP="008300E8">
      <w:pPr>
        <w:pStyle w:val="TOC1"/>
        <w:tabs>
          <w:tab w:val="right" w:leader="dot" w:pos="9350"/>
        </w:tabs>
        <w:spacing w:line="240" w:lineRule="exact"/>
        <w:rPr>
          <w:rFonts w:ascii="Times New Roman" w:eastAsiaTheme="minorEastAsia" w:hAnsi="Times New Roman" w:cs="Times New Roman"/>
          <w:b w:val="0"/>
          <w:bCs w:val="0"/>
          <w:i w:val="0"/>
          <w:iCs w:val="0"/>
          <w:noProof/>
          <w:sz w:val="22"/>
          <w:szCs w:val="18"/>
          <w:lang w:eastAsia="en-IN"/>
        </w:rPr>
      </w:pPr>
      <w:hyperlink w:anchor="_Toc221114286" w:history="1">
        <w:r w:rsidRPr="008300E8">
          <w:rPr>
            <w:rStyle w:val="Hyperlink"/>
            <w:rFonts w:ascii="Times New Roman" w:hAnsi="Times New Roman" w:cs="Times New Roman"/>
            <w:b w:val="0"/>
            <w:bCs w:val="0"/>
            <w:i w:val="0"/>
            <w:iCs w:val="0"/>
            <w:noProof/>
            <w:sz w:val="22"/>
            <w:szCs w:val="18"/>
          </w:rPr>
          <w:t>Table 6: Growth and Pattern of State Revenues: 1961-62 and 1965-66 to 1968-69</w:t>
        </w:r>
        <w:r w:rsidRPr="008300E8">
          <w:rPr>
            <w:rFonts w:ascii="Times New Roman" w:hAnsi="Times New Roman" w:cs="Times New Roman"/>
            <w:b w:val="0"/>
            <w:bCs w:val="0"/>
            <w:i w:val="0"/>
            <w:iCs w:val="0"/>
            <w:noProof/>
            <w:webHidden/>
            <w:sz w:val="22"/>
            <w:szCs w:val="18"/>
          </w:rPr>
          <w:tab/>
        </w:r>
        <w:r w:rsidRPr="008300E8">
          <w:rPr>
            <w:rFonts w:ascii="Times New Roman" w:hAnsi="Times New Roman" w:cs="Times New Roman"/>
            <w:b w:val="0"/>
            <w:bCs w:val="0"/>
            <w:i w:val="0"/>
            <w:iCs w:val="0"/>
            <w:noProof/>
            <w:webHidden/>
            <w:sz w:val="22"/>
            <w:szCs w:val="18"/>
          </w:rPr>
          <w:fldChar w:fldCharType="begin"/>
        </w:r>
        <w:r w:rsidRPr="008300E8">
          <w:rPr>
            <w:rFonts w:ascii="Times New Roman" w:hAnsi="Times New Roman" w:cs="Times New Roman"/>
            <w:b w:val="0"/>
            <w:bCs w:val="0"/>
            <w:i w:val="0"/>
            <w:iCs w:val="0"/>
            <w:noProof/>
            <w:webHidden/>
            <w:sz w:val="22"/>
            <w:szCs w:val="18"/>
          </w:rPr>
          <w:instrText xml:space="preserve"> PAGEREF _Toc221114286 \h </w:instrText>
        </w:r>
        <w:r w:rsidRPr="008300E8">
          <w:rPr>
            <w:rFonts w:ascii="Times New Roman" w:hAnsi="Times New Roman" w:cs="Times New Roman"/>
            <w:b w:val="0"/>
            <w:bCs w:val="0"/>
            <w:i w:val="0"/>
            <w:iCs w:val="0"/>
            <w:noProof/>
            <w:webHidden/>
            <w:sz w:val="22"/>
            <w:szCs w:val="18"/>
          </w:rPr>
        </w:r>
        <w:r w:rsidRPr="008300E8">
          <w:rPr>
            <w:rFonts w:ascii="Times New Roman" w:hAnsi="Times New Roman" w:cs="Times New Roman"/>
            <w:b w:val="0"/>
            <w:bCs w:val="0"/>
            <w:i w:val="0"/>
            <w:iCs w:val="0"/>
            <w:noProof/>
            <w:webHidden/>
            <w:sz w:val="22"/>
            <w:szCs w:val="18"/>
          </w:rPr>
          <w:fldChar w:fldCharType="separate"/>
        </w:r>
        <w:r w:rsidR="00F70A97">
          <w:rPr>
            <w:rFonts w:ascii="Times New Roman" w:hAnsi="Times New Roman" w:cs="Times New Roman"/>
            <w:b w:val="0"/>
            <w:bCs w:val="0"/>
            <w:i w:val="0"/>
            <w:iCs w:val="0"/>
            <w:noProof/>
            <w:webHidden/>
            <w:sz w:val="22"/>
            <w:szCs w:val="18"/>
          </w:rPr>
          <w:t>129</w:t>
        </w:r>
        <w:r w:rsidRPr="008300E8">
          <w:rPr>
            <w:rFonts w:ascii="Times New Roman" w:hAnsi="Times New Roman" w:cs="Times New Roman"/>
            <w:b w:val="0"/>
            <w:bCs w:val="0"/>
            <w:i w:val="0"/>
            <w:iCs w:val="0"/>
            <w:noProof/>
            <w:webHidden/>
            <w:sz w:val="22"/>
            <w:szCs w:val="18"/>
          </w:rPr>
          <w:fldChar w:fldCharType="end"/>
        </w:r>
      </w:hyperlink>
    </w:p>
    <w:p w14:paraId="7CA7D4B3" w14:textId="639D4F91" w:rsidR="008300E8" w:rsidRPr="008300E8" w:rsidRDefault="008300E8" w:rsidP="008300E8">
      <w:pPr>
        <w:pStyle w:val="TOC1"/>
        <w:tabs>
          <w:tab w:val="right" w:leader="dot" w:pos="9350"/>
        </w:tabs>
        <w:spacing w:line="240" w:lineRule="exact"/>
        <w:rPr>
          <w:rFonts w:ascii="Times New Roman" w:eastAsiaTheme="minorEastAsia" w:hAnsi="Times New Roman" w:cs="Times New Roman"/>
          <w:b w:val="0"/>
          <w:bCs w:val="0"/>
          <w:i w:val="0"/>
          <w:iCs w:val="0"/>
          <w:noProof/>
          <w:sz w:val="22"/>
          <w:szCs w:val="18"/>
          <w:lang w:eastAsia="en-IN"/>
        </w:rPr>
      </w:pPr>
      <w:hyperlink w:anchor="_Toc221114287" w:history="1">
        <w:r w:rsidRPr="008300E8">
          <w:rPr>
            <w:rStyle w:val="Hyperlink"/>
            <w:rFonts w:ascii="Times New Roman" w:hAnsi="Times New Roman" w:cs="Times New Roman"/>
            <w:b w:val="0"/>
            <w:bCs w:val="0"/>
            <w:i w:val="0"/>
            <w:iCs w:val="0"/>
            <w:noProof/>
            <w:sz w:val="22"/>
            <w:szCs w:val="18"/>
          </w:rPr>
          <w:t>Table 7: Growth of revenue from important taxes for all States, 1950-51 to 1967-68</w:t>
        </w:r>
        <w:r w:rsidRPr="008300E8">
          <w:rPr>
            <w:rFonts w:ascii="Times New Roman" w:hAnsi="Times New Roman" w:cs="Times New Roman"/>
            <w:b w:val="0"/>
            <w:bCs w:val="0"/>
            <w:i w:val="0"/>
            <w:iCs w:val="0"/>
            <w:noProof/>
            <w:webHidden/>
            <w:sz w:val="22"/>
            <w:szCs w:val="18"/>
          </w:rPr>
          <w:tab/>
        </w:r>
        <w:r w:rsidRPr="008300E8">
          <w:rPr>
            <w:rFonts w:ascii="Times New Roman" w:hAnsi="Times New Roman" w:cs="Times New Roman"/>
            <w:b w:val="0"/>
            <w:bCs w:val="0"/>
            <w:i w:val="0"/>
            <w:iCs w:val="0"/>
            <w:noProof/>
            <w:webHidden/>
            <w:sz w:val="22"/>
            <w:szCs w:val="18"/>
          </w:rPr>
          <w:fldChar w:fldCharType="begin"/>
        </w:r>
        <w:r w:rsidRPr="008300E8">
          <w:rPr>
            <w:rFonts w:ascii="Times New Roman" w:hAnsi="Times New Roman" w:cs="Times New Roman"/>
            <w:b w:val="0"/>
            <w:bCs w:val="0"/>
            <w:i w:val="0"/>
            <w:iCs w:val="0"/>
            <w:noProof/>
            <w:webHidden/>
            <w:sz w:val="22"/>
            <w:szCs w:val="18"/>
          </w:rPr>
          <w:instrText xml:space="preserve"> PAGEREF _Toc221114287 \h </w:instrText>
        </w:r>
        <w:r w:rsidRPr="008300E8">
          <w:rPr>
            <w:rFonts w:ascii="Times New Roman" w:hAnsi="Times New Roman" w:cs="Times New Roman"/>
            <w:b w:val="0"/>
            <w:bCs w:val="0"/>
            <w:i w:val="0"/>
            <w:iCs w:val="0"/>
            <w:noProof/>
            <w:webHidden/>
            <w:sz w:val="22"/>
            <w:szCs w:val="18"/>
          </w:rPr>
        </w:r>
        <w:r w:rsidRPr="008300E8">
          <w:rPr>
            <w:rFonts w:ascii="Times New Roman" w:hAnsi="Times New Roman" w:cs="Times New Roman"/>
            <w:b w:val="0"/>
            <w:bCs w:val="0"/>
            <w:i w:val="0"/>
            <w:iCs w:val="0"/>
            <w:noProof/>
            <w:webHidden/>
            <w:sz w:val="22"/>
            <w:szCs w:val="18"/>
          </w:rPr>
          <w:fldChar w:fldCharType="separate"/>
        </w:r>
        <w:r w:rsidR="00F70A97">
          <w:rPr>
            <w:rFonts w:ascii="Times New Roman" w:hAnsi="Times New Roman" w:cs="Times New Roman"/>
            <w:b w:val="0"/>
            <w:bCs w:val="0"/>
            <w:i w:val="0"/>
            <w:iCs w:val="0"/>
            <w:noProof/>
            <w:webHidden/>
            <w:sz w:val="22"/>
            <w:szCs w:val="18"/>
          </w:rPr>
          <w:t>135</w:t>
        </w:r>
        <w:r w:rsidRPr="008300E8">
          <w:rPr>
            <w:rFonts w:ascii="Times New Roman" w:hAnsi="Times New Roman" w:cs="Times New Roman"/>
            <w:b w:val="0"/>
            <w:bCs w:val="0"/>
            <w:i w:val="0"/>
            <w:iCs w:val="0"/>
            <w:noProof/>
            <w:webHidden/>
            <w:sz w:val="22"/>
            <w:szCs w:val="18"/>
          </w:rPr>
          <w:fldChar w:fldCharType="end"/>
        </w:r>
      </w:hyperlink>
    </w:p>
    <w:p w14:paraId="4D97C865" w14:textId="65B1CB46" w:rsidR="008300E8" w:rsidRPr="008300E8" w:rsidRDefault="008300E8" w:rsidP="008300E8">
      <w:pPr>
        <w:pStyle w:val="TOC1"/>
        <w:tabs>
          <w:tab w:val="right" w:leader="dot" w:pos="9350"/>
        </w:tabs>
        <w:spacing w:line="240" w:lineRule="exact"/>
        <w:rPr>
          <w:rFonts w:ascii="Times New Roman" w:eastAsiaTheme="minorEastAsia" w:hAnsi="Times New Roman" w:cs="Times New Roman"/>
          <w:b w:val="0"/>
          <w:bCs w:val="0"/>
          <w:i w:val="0"/>
          <w:iCs w:val="0"/>
          <w:noProof/>
          <w:sz w:val="22"/>
          <w:szCs w:val="18"/>
          <w:lang w:eastAsia="en-IN"/>
        </w:rPr>
      </w:pPr>
      <w:hyperlink w:anchor="_Toc221114288" w:history="1">
        <w:r w:rsidRPr="008300E8">
          <w:rPr>
            <w:rStyle w:val="Hyperlink"/>
            <w:rFonts w:ascii="Times New Roman" w:hAnsi="Times New Roman" w:cs="Times New Roman"/>
            <w:b w:val="0"/>
            <w:bCs w:val="0"/>
            <w:i w:val="0"/>
            <w:iCs w:val="0"/>
            <w:noProof/>
            <w:sz w:val="22"/>
            <w:szCs w:val="18"/>
          </w:rPr>
          <w:t>Table 8: State-wise revenue from general sales tax, sales tax on motor spirit and Central sales tax during 1965-66 to 1967-68</w:t>
        </w:r>
        <w:r w:rsidRPr="008300E8">
          <w:rPr>
            <w:rFonts w:ascii="Times New Roman" w:hAnsi="Times New Roman" w:cs="Times New Roman"/>
            <w:b w:val="0"/>
            <w:bCs w:val="0"/>
            <w:i w:val="0"/>
            <w:iCs w:val="0"/>
            <w:noProof/>
            <w:webHidden/>
            <w:sz w:val="22"/>
            <w:szCs w:val="18"/>
          </w:rPr>
          <w:tab/>
        </w:r>
        <w:r w:rsidRPr="008300E8">
          <w:rPr>
            <w:rFonts w:ascii="Times New Roman" w:hAnsi="Times New Roman" w:cs="Times New Roman"/>
            <w:b w:val="0"/>
            <w:bCs w:val="0"/>
            <w:i w:val="0"/>
            <w:iCs w:val="0"/>
            <w:noProof/>
            <w:webHidden/>
            <w:sz w:val="22"/>
            <w:szCs w:val="18"/>
          </w:rPr>
          <w:fldChar w:fldCharType="begin"/>
        </w:r>
        <w:r w:rsidRPr="008300E8">
          <w:rPr>
            <w:rFonts w:ascii="Times New Roman" w:hAnsi="Times New Roman" w:cs="Times New Roman"/>
            <w:b w:val="0"/>
            <w:bCs w:val="0"/>
            <w:i w:val="0"/>
            <w:iCs w:val="0"/>
            <w:noProof/>
            <w:webHidden/>
            <w:sz w:val="22"/>
            <w:szCs w:val="18"/>
          </w:rPr>
          <w:instrText xml:space="preserve"> PAGEREF _Toc221114288 \h </w:instrText>
        </w:r>
        <w:r w:rsidRPr="008300E8">
          <w:rPr>
            <w:rFonts w:ascii="Times New Roman" w:hAnsi="Times New Roman" w:cs="Times New Roman"/>
            <w:b w:val="0"/>
            <w:bCs w:val="0"/>
            <w:i w:val="0"/>
            <w:iCs w:val="0"/>
            <w:noProof/>
            <w:webHidden/>
            <w:sz w:val="22"/>
            <w:szCs w:val="18"/>
          </w:rPr>
        </w:r>
        <w:r w:rsidRPr="008300E8">
          <w:rPr>
            <w:rFonts w:ascii="Times New Roman" w:hAnsi="Times New Roman" w:cs="Times New Roman"/>
            <w:b w:val="0"/>
            <w:bCs w:val="0"/>
            <w:i w:val="0"/>
            <w:iCs w:val="0"/>
            <w:noProof/>
            <w:webHidden/>
            <w:sz w:val="22"/>
            <w:szCs w:val="18"/>
          </w:rPr>
          <w:fldChar w:fldCharType="separate"/>
        </w:r>
        <w:r w:rsidR="00F70A97">
          <w:rPr>
            <w:rFonts w:ascii="Times New Roman" w:hAnsi="Times New Roman" w:cs="Times New Roman"/>
            <w:b w:val="0"/>
            <w:bCs w:val="0"/>
            <w:i w:val="0"/>
            <w:iCs w:val="0"/>
            <w:noProof/>
            <w:webHidden/>
            <w:sz w:val="22"/>
            <w:szCs w:val="18"/>
          </w:rPr>
          <w:t>136</w:t>
        </w:r>
        <w:r w:rsidRPr="008300E8">
          <w:rPr>
            <w:rFonts w:ascii="Times New Roman" w:hAnsi="Times New Roman" w:cs="Times New Roman"/>
            <w:b w:val="0"/>
            <w:bCs w:val="0"/>
            <w:i w:val="0"/>
            <w:iCs w:val="0"/>
            <w:noProof/>
            <w:webHidden/>
            <w:sz w:val="22"/>
            <w:szCs w:val="18"/>
          </w:rPr>
          <w:fldChar w:fldCharType="end"/>
        </w:r>
      </w:hyperlink>
    </w:p>
    <w:p w14:paraId="52EF9DC9" w14:textId="7F5128EB" w:rsidR="008300E8" w:rsidRPr="008300E8" w:rsidRDefault="008300E8" w:rsidP="008300E8">
      <w:pPr>
        <w:pStyle w:val="TOC1"/>
        <w:tabs>
          <w:tab w:val="right" w:leader="dot" w:pos="9350"/>
        </w:tabs>
        <w:spacing w:line="240" w:lineRule="exact"/>
        <w:rPr>
          <w:rFonts w:ascii="Times New Roman" w:eastAsiaTheme="minorEastAsia" w:hAnsi="Times New Roman" w:cs="Times New Roman"/>
          <w:b w:val="0"/>
          <w:bCs w:val="0"/>
          <w:i w:val="0"/>
          <w:iCs w:val="0"/>
          <w:noProof/>
          <w:sz w:val="22"/>
          <w:szCs w:val="18"/>
          <w:lang w:eastAsia="en-IN"/>
        </w:rPr>
      </w:pPr>
      <w:hyperlink w:anchor="_Toc221114289" w:history="1">
        <w:r w:rsidRPr="008300E8">
          <w:rPr>
            <w:rStyle w:val="Hyperlink"/>
            <w:rFonts w:ascii="Times New Roman" w:hAnsi="Times New Roman" w:cs="Times New Roman"/>
            <w:b w:val="0"/>
            <w:bCs w:val="0"/>
            <w:i w:val="0"/>
            <w:iCs w:val="0"/>
            <w:noProof/>
            <w:sz w:val="22"/>
            <w:szCs w:val="18"/>
          </w:rPr>
          <w:t>Table 9: Total of State tax revenues and per capita tax revenues in 1960-61 and 1965-66 to 1968-69 and targets of additional taxation and realisations thereof in the Third Plan and the three Annual Plans.</w:t>
        </w:r>
        <w:r w:rsidRPr="008300E8">
          <w:rPr>
            <w:rFonts w:ascii="Times New Roman" w:hAnsi="Times New Roman" w:cs="Times New Roman"/>
            <w:b w:val="0"/>
            <w:bCs w:val="0"/>
            <w:i w:val="0"/>
            <w:iCs w:val="0"/>
            <w:noProof/>
            <w:webHidden/>
            <w:sz w:val="22"/>
            <w:szCs w:val="18"/>
          </w:rPr>
          <w:tab/>
        </w:r>
        <w:r w:rsidRPr="008300E8">
          <w:rPr>
            <w:rFonts w:ascii="Times New Roman" w:hAnsi="Times New Roman" w:cs="Times New Roman"/>
            <w:b w:val="0"/>
            <w:bCs w:val="0"/>
            <w:i w:val="0"/>
            <w:iCs w:val="0"/>
            <w:noProof/>
            <w:webHidden/>
            <w:sz w:val="22"/>
            <w:szCs w:val="18"/>
          </w:rPr>
          <w:fldChar w:fldCharType="begin"/>
        </w:r>
        <w:r w:rsidRPr="008300E8">
          <w:rPr>
            <w:rFonts w:ascii="Times New Roman" w:hAnsi="Times New Roman" w:cs="Times New Roman"/>
            <w:b w:val="0"/>
            <w:bCs w:val="0"/>
            <w:i w:val="0"/>
            <w:iCs w:val="0"/>
            <w:noProof/>
            <w:webHidden/>
            <w:sz w:val="22"/>
            <w:szCs w:val="18"/>
          </w:rPr>
          <w:instrText xml:space="preserve"> PAGEREF _Toc221114289 \h </w:instrText>
        </w:r>
        <w:r w:rsidRPr="008300E8">
          <w:rPr>
            <w:rFonts w:ascii="Times New Roman" w:hAnsi="Times New Roman" w:cs="Times New Roman"/>
            <w:b w:val="0"/>
            <w:bCs w:val="0"/>
            <w:i w:val="0"/>
            <w:iCs w:val="0"/>
            <w:noProof/>
            <w:webHidden/>
            <w:sz w:val="22"/>
            <w:szCs w:val="18"/>
          </w:rPr>
        </w:r>
        <w:r w:rsidRPr="008300E8">
          <w:rPr>
            <w:rFonts w:ascii="Times New Roman" w:hAnsi="Times New Roman" w:cs="Times New Roman"/>
            <w:b w:val="0"/>
            <w:bCs w:val="0"/>
            <w:i w:val="0"/>
            <w:iCs w:val="0"/>
            <w:noProof/>
            <w:webHidden/>
            <w:sz w:val="22"/>
            <w:szCs w:val="18"/>
          </w:rPr>
          <w:fldChar w:fldCharType="separate"/>
        </w:r>
        <w:r w:rsidR="00F70A97">
          <w:rPr>
            <w:rFonts w:ascii="Times New Roman" w:hAnsi="Times New Roman" w:cs="Times New Roman"/>
            <w:b w:val="0"/>
            <w:bCs w:val="0"/>
            <w:i w:val="0"/>
            <w:iCs w:val="0"/>
            <w:noProof/>
            <w:webHidden/>
            <w:sz w:val="22"/>
            <w:szCs w:val="18"/>
          </w:rPr>
          <w:t>137</w:t>
        </w:r>
        <w:r w:rsidRPr="008300E8">
          <w:rPr>
            <w:rFonts w:ascii="Times New Roman" w:hAnsi="Times New Roman" w:cs="Times New Roman"/>
            <w:b w:val="0"/>
            <w:bCs w:val="0"/>
            <w:i w:val="0"/>
            <w:iCs w:val="0"/>
            <w:noProof/>
            <w:webHidden/>
            <w:sz w:val="22"/>
            <w:szCs w:val="18"/>
          </w:rPr>
          <w:fldChar w:fldCharType="end"/>
        </w:r>
      </w:hyperlink>
    </w:p>
    <w:p w14:paraId="4D8512B8" w14:textId="5B0053F2" w:rsidR="008300E8" w:rsidRPr="008300E8" w:rsidRDefault="008300E8" w:rsidP="008300E8">
      <w:pPr>
        <w:pStyle w:val="TOC1"/>
        <w:tabs>
          <w:tab w:val="right" w:leader="dot" w:pos="9350"/>
        </w:tabs>
        <w:spacing w:line="240" w:lineRule="exact"/>
        <w:rPr>
          <w:rFonts w:ascii="Times New Roman" w:eastAsiaTheme="minorEastAsia" w:hAnsi="Times New Roman" w:cs="Times New Roman"/>
          <w:b w:val="0"/>
          <w:bCs w:val="0"/>
          <w:i w:val="0"/>
          <w:iCs w:val="0"/>
          <w:noProof/>
          <w:sz w:val="22"/>
          <w:szCs w:val="18"/>
          <w:lang w:eastAsia="en-IN"/>
        </w:rPr>
      </w:pPr>
      <w:hyperlink w:anchor="_Toc221114290" w:history="1">
        <w:r w:rsidRPr="008300E8">
          <w:rPr>
            <w:rStyle w:val="Hyperlink"/>
            <w:rFonts w:ascii="Times New Roman" w:hAnsi="Times New Roman" w:cs="Times New Roman"/>
            <w:b w:val="0"/>
            <w:bCs w:val="0"/>
            <w:i w:val="0"/>
            <w:iCs w:val="0"/>
            <w:noProof/>
            <w:sz w:val="22"/>
            <w:szCs w:val="18"/>
          </w:rPr>
          <w:t>Table 10: Targets of additional resource mobilisation agreed to by States for the Fourth Plan</w:t>
        </w:r>
        <w:r w:rsidRPr="008300E8">
          <w:rPr>
            <w:rFonts w:ascii="Times New Roman" w:hAnsi="Times New Roman" w:cs="Times New Roman"/>
            <w:b w:val="0"/>
            <w:bCs w:val="0"/>
            <w:i w:val="0"/>
            <w:iCs w:val="0"/>
            <w:noProof/>
            <w:webHidden/>
            <w:sz w:val="22"/>
            <w:szCs w:val="18"/>
          </w:rPr>
          <w:tab/>
        </w:r>
        <w:r w:rsidRPr="008300E8">
          <w:rPr>
            <w:rFonts w:ascii="Times New Roman" w:hAnsi="Times New Roman" w:cs="Times New Roman"/>
            <w:b w:val="0"/>
            <w:bCs w:val="0"/>
            <w:i w:val="0"/>
            <w:iCs w:val="0"/>
            <w:noProof/>
            <w:webHidden/>
            <w:sz w:val="22"/>
            <w:szCs w:val="18"/>
          </w:rPr>
          <w:fldChar w:fldCharType="begin"/>
        </w:r>
        <w:r w:rsidRPr="008300E8">
          <w:rPr>
            <w:rFonts w:ascii="Times New Roman" w:hAnsi="Times New Roman" w:cs="Times New Roman"/>
            <w:b w:val="0"/>
            <w:bCs w:val="0"/>
            <w:i w:val="0"/>
            <w:iCs w:val="0"/>
            <w:noProof/>
            <w:webHidden/>
            <w:sz w:val="22"/>
            <w:szCs w:val="18"/>
          </w:rPr>
          <w:instrText xml:space="preserve"> PAGEREF _Toc221114290 \h </w:instrText>
        </w:r>
        <w:r w:rsidRPr="008300E8">
          <w:rPr>
            <w:rFonts w:ascii="Times New Roman" w:hAnsi="Times New Roman" w:cs="Times New Roman"/>
            <w:b w:val="0"/>
            <w:bCs w:val="0"/>
            <w:i w:val="0"/>
            <w:iCs w:val="0"/>
            <w:noProof/>
            <w:webHidden/>
            <w:sz w:val="22"/>
            <w:szCs w:val="18"/>
          </w:rPr>
        </w:r>
        <w:r w:rsidRPr="008300E8">
          <w:rPr>
            <w:rFonts w:ascii="Times New Roman" w:hAnsi="Times New Roman" w:cs="Times New Roman"/>
            <w:b w:val="0"/>
            <w:bCs w:val="0"/>
            <w:i w:val="0"/>
            <w:iCs w:val="0"/>
            <w:noProof/>
            <w:webHidden/>
            <w:sz w:val="22"/>
            <w:szCs w:val="18"/>
          </w:rPr>
          <w:fldChar w:fldCharType="separate"/>
        </w:r>
        <w:r w:rsidR="00F70A97">
          <w:rPr>
            <w:rFonts w:ascii="Times New Roman" w:hAnsi="Times New Roman" w:cs="Times New Roman"/>
            <w:b w:val="0"/>
            <w:bCs w:val="0"/>
            <w:i w:val="0"/>
            <w:iCs w:val="0"/>
            <w:noProof/>
            <w:webHidden/>
            <w:sz w:val="22"/>
            <w:szCs w:val="18"/>
          </w:rPr>
          <w:t>139</w:t>
        </w:r>
        <w:r w:rsidRPr="008300E8">
          <w:rPr>
            <w:rFonts w:ascii="Times New Roman" w:hAnsi="Times New Roman" w:cs="Times New Roman"/>
            <w:b w:val="0"/>
            <w:bCs w:val="0"/>
            <w:i w:val="0"/>
            <w:iCs w:val="0"/>
            <w:noProof/>
            <w:webHidden/>
            <w:sz w:val="22"/>
            <w:szCs w:val="18"/>
          </w:rPr>
          <w:fldChar w:fldCharType="end"/>
        </w:r>
      </w:hyperlink>
    </w:p>
    <w:p w14:paraId="052BE980" w14:textId="6378960D" w:rsidR="008300E8" w:rsidRPr="008300E8" w:rsidRDefault="008300E8" w:rsidP="008300E8">
      <w:pPr>
        <w:pStyle w:val="TOC1"/>
        <w:tabs>
          <w:tab w:val="right" w:leader="dot" w:pos="9350"/>
        </w:tabs>
        <w:spacing w:line="240" w:lineRule="exact"/>
        <w:rPr>
          <w:rFonts w:ascii="Times New Roman" w:eastAsiaTheme="minorEastAsia" w:hAnsi="Times New Roman" w:cs="Times New Roman"/>
          <w:b w:val="0"/>
          <w:bCs w:val="0"/>
          <w:i w:val="0"/>
          <w:iCs w:val="0"/>
          <w:noProof/>
          <w:sz w:val="22"/>
          <w:szCs w:val="18"/>
          <w:lang w:eastAsia="en-IN"/>
        </w:rPr>
      </w:pPr>
      <w:hyperlink w:anchor="_Toc221114291" w:history="1">
        <w:r w:rsidRPr="008300E8">
          <w:rPr>
            <w:rStyle w:val="Hyperlink"/>
            <w:rFonts w:ascii="Times New Roman" w:hAnsi="Times New Roman" w:cs="Times New Roman"/>
            <w:b w:val="0"/>
            <w:bCs w:val="0"/>
            <w:i w:val="0"/>
            <w:iCs w:val="0"/>
            <w:noProof/>
            <w:sz w:val="22"/>
            <w:szCs w:val="18"/>
          </w:rPr>
          <w:t>Table 11: Tax revenues and non-tax revenues of States in 1967-68</w:t>
        </w:r>
        <w:r w:rsidRPr="008300E8">
          <w:rPr>
            <w:rFonts w:ascii="Times New Roman" w:hAnsi="Times New Roman" w:cs="Times New Roman"/>
            <w:b w:val="0"/>
            <w:bCs w:val="0"/>
            <w:i w:val="0"/>
            <w:iCs w:val="0"/>
            <w:noProof/>
            <w:webHidden/>
            <w:sz w:val="22"/>
            <w:szCs w:val="18"/>
          </w:rPr>
          <w:tab/>
        </w:r>
        <w:r w:rsidRPr="008300E8">
          <w:rPr>
            <w:rFonts w:ascii="Times New Roman" w:hAnsi="Times New Roman" w:cs="Times New Roman"/>
            <w:b w:val="0"/>
            <w:bCs w:val="0"/>
            <w:i w:val="0"/>
            <w:iCs w:val="0"/>
            <w:noProof/>
            <w:webHidden/>
            <w:sz w:val="22"/>
            <w:szCs w:val="18"/>
          </w:rPr>
          <w:fldChar w:fldCharType="begin"/>
        </w:r>
        <w:r w:rsidRPr="008300E8">
          <w:rPr>
            <w:rFonts w:ascii="Times New Roman" w:hAnsi="Times New Roman" w:cs="Times New Roman"/>
            <w:b w:val="0"/>
            <w:bCs w:val="0"/>
            <w:i w:val="0"/>
            <w:iCs w:val="0"/>
            <w:noProof/>
            <w:webHidden/>
            <w:sz w:val="22"/>
            <w:szCs w:val="18"/>
          </w:rPr>
          <w:instrText xml:space="preserve"> PAGEREF _Toc221114291 \h </w:instrText>
        </w:r>
        <w:r w:rsidRPr="008300E8">
          <w:rPr>
            <w:rFonts w:ascii="Times New Roman" w:hAnsi="Times New Roman" w:cs="Times New Roman"/>
            <w:b w:val="0"/>
            <w:bCs w:val="0"/>
            <w:i w:val="0"/>
            <w:iCs w:val="0"/>
            <w:noProof/>
            <w:webHidden/>
            <w:sz w:val="22"/>
            <w:szCs w:val="18"/>
          </w:rPr>
        </w:r>
        <w:r w:rsidRPr="008300E8">
          <w:rPr>
            <w:rFonts w:ascii="Times New Roman" w:hAnsi="Times New Roman" w:cs="Times New Roman"/>
            <w:b w:val="0"/>
            <w:bCs w:val="0"/>
            <w:i w:val="0"/>
            <w:iCs w:val="0"/>
            <w:noProof/>
            <w:webHidden/>
            <w:sz w:val="22"/>
            <w:szCs w:val="18"/>
          </w:rPr>
          <w:fldChar w:fldCharType="separate"/>
        </w:r>
        <w:r w:rsidR="00F70A97">
          <w:rPr>
            <w:rFonts w:ascii="Times New Roman" w:hAnsi="Times New Roman" w:cs="Times New Roman"/>
            <w:b w:val="0"/>
            <w:bCs w:val="0"/>
            <w:i w:val="0"/>
            <w:iCs w:val="0"/>
            <w:noProof/>
            <w:webHidden/>
            <w:sz w:val="22"/>
            <w:szCs w:val="18"/>
          </w:rPr>
          <w:t>140</w:t>
        </w:r>
        <w:r w:rsidRPr="008300E8">
          <w:rPr>
            <w:rFonts w:ascii="Times New Roman" w:hAnsi="Times New Roman" w:cs="Times New Roman"/>
            <w:b w:val="0"/>
            <w:bCs w:val="0"/>
            <w:i w:val="0"/>
            <w:iCs w:val="0"/>
            <w:noProof/>
            <w:webHidden/>
            <w:sz w:val="22"/>
            <w:szCs w:val="18"/>
          </w:rPr>
          <w:fldChar w:fldCharType="end"/>
        </w:r>
      </w:hyperlink>
    </w:p>
    <w:p w14:paraId="00A98003" w14:textId="2F4704AE" w:rsidR="008300E8" w:rsidRPr="008300E8" w:rsidRDefault="008300E8" w:rsidP="008300E8">
      <w:pPr>
        <w:pStyle w:val="TOC1"/>
        <w:tabs>
          <w:tab w:val="right" w:leader="dot" w:pos="9350"/>
        </w:tabs>
        <w:spacing w:line="240" w:lineRule="exact"/>
        <w:rPr>
          <w:rFonts w:ascii="Times New Roman" w:eastAsiaTheme="minorEastAsia" w:hAnsi="Times New Roman" w:cs="Times New Roman"/>
          <w:b w:val="0"/>
          <w:bCs w:val="0"/>
          <w:i w:val="0"/>
          <w:iCs w:val="0"/>
          <w:noProof/>
          <w:sz w:val="22"/>
          <w:szCs w:val="18"/>
          <w:lang w:eastAsia="en-IN"/>
        </w:rPr>
      </w:pPr>
      <w:hyperlink w:anchor="_Toc221114292" w:history="1">
        <w:r w:rsidRPr="008300E8">
          <w:rPr>
            <w:rStyle w:val="Hyperlink"/>
            <w:rFonts w:ascii="Times New Roman" w:hAnsi="Times New Roman" w:cs="Times New Roman"/>
            <w:b w:val="0"/>
            <w:bCs w:val="0"/>
            <w:i w:val="0"/>
            <w:iCs w:val="0"/>
            <w:noProof/>
            <w:sz w:val="22"/>
            <w:szCs w:val="18"/>
          </w:rPr>
          <w:t>Table 12: States’ income for 1962-63 to 1964-65 (average), tax revenues in 1967-68 and tax revenues as proportion of the State incomes</w:t>
        </w:r>
        <w:r w:rsidRPr="008300E8">
          <w:rPr>
            <w:rFonts w:ascii="Times New Roman" w:hAnsi="Times New Roman" w:cs="Times New Roman"/>
            <w:b w:val="0"/>
            <w:bCs w:val="0"/>
            <w:i w:val="0"/>
            <w:iCs w:val="0"/>
            <w:noProof/>
            <w:webHidden/>
            <w:sz w:val="22"/>
            <w:szCs w:val="18"/>
          </w:rPr>
          <w:tab/>
        </w:r>
        <w:r w:rsidRPr="008300E8">
          <w:rPr>
            <w:rFonts w:ascii="Times New Roman" w:hAnsi="Times New Roman" w:cs="Times New Roman"/>
            <w:b w:val="0"/>
            <w:bCs w:val="0"/>
            <w:i w:val="0"/>
            <w:iCs w:val="0"/>
            <w:noProof/>
            <w:webHidden/>
            <w:sz w:val="22"/>
            <w:szCs w:val="18"/>
          </w:rPr>
          <w:fldChar w:fldCharType="begin"/>
        </w:r>
        <w:r w:rsidRPr="008300E8">
          <w:rPr>
            <w:rFonts w:ascii="Times New Roman" w:hAnsi="Times New Roman" w:cs="Times New Roman"/>
            <w:b w:val="0"/>
            <w:bCs w:val="0"/>
            <w:i w:val="0"/>
            <w:iCs w:val="0"/>
            <w:noProof/>
            <w:webHidden/>
            <w:sz w:val="22"/>
            <w:szCs w:val="18"/>
          </w:rPr>
          <w:instrText xml:space="preserve"> PAGEREF _Toc221114292 \h </w:instrText>
        </w:r>
        <w:r w:rsidRPr="008300E8">
          <w:rPr>
            <w:rFonts w:ascii="Times New Roman" w:hAnsi="Times New Roman" w:cs="Times New Roman"/>
            <w:b w:val="0"/>
            <w:bCs w:val="0"/>
            <w:i w:val="0"/>
            <w:iCs w:val="0"/>
            <w:noProof/>
            <w:webHidden/>
            <w:sz w:val="22"/>
            <w:szCs w:val="18"/>
          </w:rPr>
        </w:r>
        <w:r w:rsidRPr="008300E8">
          <w:rPr>
            <w:rFonts w:ascii="Times New Roman" w:hAnsi="Times New Roman" w:cs="Times New Roman"/>
            <w:b w:val="0"/>
            <w:bCs w:val="0"/>
            <w:i w:val="0"/>
            <w:iCs w:val="0"/>
            <w:noProof/>
            <w:webHidden/>
            <w:sz w:val="22"/>
            <w:szCs w:val="18"/>
          </w:rPr>
          <w:fldChar w:fldCharType="separate"/>
        </w:r>
        <w:r w:rsidR="00F70A97">
          <w:rPr>
            <w:rFonts w:ascii="Times New Roman" w:hAnsi="Times New Roman" w:cs="Times New Roman"/>
            <w:b w:val="0"/>
            <w:bCs w:val="0"/>
            <w:i w:val="0"/>
            <w:iCs w:val="0"/>
            <w:noProof/>
            <w:webHidden/>
            <w:sz w:val="22"/>
            <w:szCs w:val="18"/>
          </w:rPr>
          <w:t>141</w:t>
        </w:r>
        <w:r w:rsidRPr="008300E8">
          <w:rPr>
            <w:rFonts w:ascii="Times New Roman" w:hAnsi="Times New Roman" w:cs="Times New Roman"/>
            <w:b w:val="0"/>
            <w:bCs w:val="0"/>
            <w:i w:val="0"/>
            <w:iCs w:val="0"/>
            <w:noProof/>
            <w:webHidden/>
            <w:sz w:val="22"/>
            <w:szCs w:val="18"/>
          </w:rPr>
          <w:fldChar w:fldCharType="end"/>
        </w:r>
      </w:hyperlink>
    </w:p>
    <w:p w14:paraId="01A0A286" w14:textId="4625B7C5" w:rsidR="008300E8" w:rsidRPr="008300E8" w:rsidRDefault="008300E8" w:rsidP="008300E8">
      <w:pPr>
        <w:pStyle w:val="TOC1"/>
        <w:tabs>
          <w:tab w:val="right" w:leader="dot" w:pos="9350"/>
        </w:tabs>
        <w:spacing w:line="240" w:lineRule="exact"/>
        <w:rPr>
          <w:rFonts w:ascii="Times New Roman" w:eastAsiaTheme="minorEastAsia" w:hAnsi="Times New Roman" w:cs="Times New Roman"/>
          <w:b w:val="0"/>
          <w:bCs w:val="0"/>
          <w:i w:val="0"/>
          <w:iCs w:val="0"/>
          <w:noProof/>
          <w:sz w:val="22"/>
          <w:szCs w:val="18"/>
          <w:lang w:eastAsia="en-IN"/>
        </w:rPr>
      </w:pPr>
      <w:hyperlink w:anchor="_Toc221114293" w:history="1">
        <w:r w:rsidRPr="008300E8">
          <w:rPr>
            <w:rStyle w:val="Hyperlink"/>
            <w:rFonts w:ascii="Times New Roman" w:hAnsi="Times New Roman" w:cs="Times New Roman"/>
            <w:b w:val="0"/>
            <w:bCs w:val="0"/>
            <w:i w:val="0"/>
            <w:iCs w:val="0"/>
            <w:noProof/>
            <w:sz w:val="22"/>
            <w:szCs w:val="18"/>
          </w:rPr>
          <w:t>Table 13: All-States tax revenues as percentage of national income from 1950-51 to 1967-68</w:t>
        </w:r>
        <w:r w:rsidRPr="008300E8">
          <w:rPr>
            <w:rFonts w:ascii="Times New Roman" w:hAnsi="Times New Roman" w:cs="Times New Roman"/>
            <w:b w:val="0"/>
            <w:bCs w:val="0"/>
            <w:i w:val="0"/>
            <w:iCs w:val="0"/>
            <w:noProof/>
            <w:webHidden/>
            <w:sz w:val="22"/>
            <w:szCs w:val="18"/>
          </w:rPr>
          <w:tab/>
        </w:r>
        <w:r w:rsidRPr="008300E8">
          <w:rPr>
            <w:rFonts w:ascii="Times New Roman" w:hAnsi="Times New Roman" w:cs="Times New Roman"/>
            <w:b w:val="0"/>
            <w:bCs w:val="0"/>
            <w:i w:val="0"/>
            <w:iCs w:val="0"/>
            <w:noProof/>
            <w:webHidden/>
            <w:sz w:val="22"/>
            <w:szCs w:val="18"/>
          </w:rPr>
          <w:fldChar w:fldCharType="begin"/>
        </w:r>
        <w:r w:rsidRPr="008300E8">
          <w:rPr>
            <w:rFonts w:ascii="Times New Roman" w:hAnsi="Times New Roman" w:cs="Times New Roman"/>
            <w:b w:val="0"/>
            <w:bCs w:val="0"/>
            <w:i w:val="0"/>
            <w:iCs w:val="0"/>
            <w:noProof/>
            <w:webHidden/>
            <w:sz w:val="22"/>
            <w:szCs w:val="18"/>
          </w:rPr>
          <w:instrText xml:space="preserve"> PAGEREF _Toc221114293 \h </w:instrText>
        </w:r>
        <w:r w:rsidRPr="008300E8">
          <w:rPr>
            <w:rFonts w:ascii="Times New Roman" w:hAnsi="Times New Roman" w:cs="Times New Roman"/>
            <w:b w:val="0"/>
            <w:bCs w:val="0"/>
            <w:i w:val="0"/>
            <w:iCs w:val="0"/>
            <w:noProof/>
            <w:webHidden/>
            <w:sz w:val="22"/>
            <w:szCs w:val="18"/>
          </w:rPr>
        </w:r>
        <w:r w:rsidRPr="008300E8">
          <w:rPr>
            <w:rFonts w:ascii="Times New Roman" w:hAnsi="Times New Roman" w:cs="Times New Roman"/>
            <w:b w:val="0"/>
            <w:bCs w:val="0"/>
            <w:i w:val="0"/>
            <w:iCs w:val="0"/>
            <w:noProof/>
            <w:webHidden/>
            <w:sz w:val="22"/>
            <w:szCs w:val="18"/>
          </w:rPr>
          <w:fldChar w:fldCharType="separate"/>
        </w:r>
        <w:r w:rsidR="00F70A97">
          <w:rPr>
            <w:rFonts w:ascii="Times New Roman" w:hAnsi="Times New Roman" w:cs="Times New Roman"/>
            <w:b w:val="0"/>
            <w:bCs w:val="0"/>
            <w:i w:val="0"/>
            <w:iCs w:val="0"/>
            <w:noProof/>
            <w:webHidden/>
            <w:sz w:val="22"/>
            <w:szCs w:val="18"/>
          </w:rPr>
          <w:t>142</w:t>
        </w:r>
        <w:r w:rsidRPr="008300E8">
          <w:rPr>
            <w:rFonts w:ascii="Times New Roman" w:hAnsi="Times New Roman" w:cs="Times New Roman"/>
            <w:b w:val="0"/>
            <w:bCs w:val="0"/>
            <w:i w:val="0"/>
            <w:iCs w:val="0"/>
            <w:noProof/>
            <w:webHidden/>
            <w:sz w:val="22"/>
            <w:szCs w:val="18"/>
          </w:rPr>
          <w:fldChar w:fldCharType="end"/>
        </w:r>
      </w:hyperlink>
    </w:p>
    <w:p w14:paraId="0A87A156" w14:textId="35DD15C7" w:rsidR="008300E8" w:rsidRPr="008300E8" w:rsidRDefault="008300E8" w:rsidP="008300E8">
      <w:pPr>
        <w:pStyle w:val="TOC1"/>
        <w:tabs>
          <w:tab w:val="right" w:leader="dot" w:pos="9350"/>
        </w:tabs>
        <w:spacing w:line="240" w:lineRule="exact"/>
        <w:rPr>
          <w:rFonts w:ascii="Times New Roman" w:eastAsiaTheme="minorEastAsia" w:hAnsi="Times New Roman" w:cs="Times New Roman"/>
          <w:b w:val="0"/>
          <w:bCs w:val="0"/>
          <w:i w:val="0"/>
          <w:iCs w:val="0"/>
          <w:noProof/>
          <w:sz w:val="22"/>
          <w:szCs w:val="18"/>
          <w:lang w:eastAsia="en-IN"/>
        </w:rPr>
      </w:pPr>
      <w:hyperlink w:anchor="_Toc221114294" w:history="1">
        <w:r w:rsidRPr="008300E8">
          <w:rPr>
            <w:rStyle w:val="Hyperlink"/>
            <w:rFonts w:ascii="Times New Roman" w:hAnsi="Times New Roman" w:cs="Times New Roman"/>
            <w:b w:val="0"/>
            <w:bCs w:val="0"/>
            <w:i w:val="0"/>
            <w:iCs w:val="0"/>
            <w:noProof/>
            <w:sz w:val="22"/>
            <w:szCs w:val="18"/>
          </w:rPr>
          <w:t>Table 14: Per capita revenue from important State taxes in 1967-68</w:t>
        </w:r>
        <w:r w:rsidRPr="008300E8">
          <w:rPr>
            <w:rFonts w:ascii="Times New Roman" w:hAnsi="Times New Roman" w:cs="Times New Roman"/>
            <w:b w:val="0"/>
            <w:bCs w:val="0"/>
            <w:i w:val="0"/>
            <w:iCs w:val="0"/>
            <w:noProof/>
            <w:webHidden/>
            <w:sz w:val="22"/>
            <w:szCs w:val="18"/>
          </w:rPr>
          <w:tab/>
        </w:r>
        <w:r w:rsidRPr="008300E8">
          <w:rPr>
            <w:rFonts w:ascii="Times New Roman" w:hAnsi="Times New Roman" w:cs="Times New Roman"/>
            <w:b w:val="0"/>
            <w:bCs w:val="0"/>
            <w:i w:val="0"/>
            <w:iCs w:val="0"/>
            <w:noProof/>
            <w:webHidden/>
            <w:sz w:val="22"/>
            <w:szCs w:val="18"/>
          </w:rPr>
          <w:fldChar w:fldCharType="begin"/>
        </w:r>
        <w:r w:rsidRPr="008300E8">
          <w:rPr>
            <w:rFonts w:ascii="Times New Roman" w:hAnsi="Times New Roman" w:cs="Times New Roman"/>
            <w:b w:val="0"/>
            <w:bCs w:val="0"/>
            <w:i w:val="0"/>
            <w:iCs w:val="0"/>
            <w:noProof/>
            <w:webHidden/>
            <w:sz w:val="22"/>
            <w:szCs w:val="18"/>
          </w:rPr>
          <w:instrText xml:space="preserve"> PAGEREF _Toc221114294 \h </w:instrText>
        </w:r>
        <w:r w:rsidRPr="008300E8">
          <w:rPr>
            <w:rFonts w:ascii="Times New Roman" w:hAnsi="Times New Roman" w:cs="Times New Roman"/>
            <w:b w:val="0"/>
            <w:bCs w:val="0"/>
            <w:i w:val="0"/>
            <w:iCs w:val="0"/>
            <w:noProof/>
            <w:webHidden/>
            <w:sz w:val="22"/>
            <w:szCs w:val="18"/>
          </w:rPr>
        </w:r>
        <w:r w:rsidRPr="008300E8">
          <w:rPr>
            <w:rFonts w:ascii="Times New Roman" w:hAnsi="Times New Roman" w:cs="Times New Roman"/>
            <w:b w:val="0"/>
            <w:bCs w:val="0"/>
            <w:i w:val="0"/>
            <w:iCs w:val="0"/>
            <w:noProof/>
            <w:webHidden/>
            <w:sz w:val="22"/>
            <w:szCs w:val="18"/>
          </w:rPr>
          <w:fldChar w:fldCharType="separate"/>
        </w:r>
        <w:r w:rsidR="00F70A97">
          <w:rPr>
            <w:rFonts w:ascii="Times New Roman" w:hAnsi="Times New Roman" w:cs="Times New Roman"/>
            <w:b w:val="0"/>
            <w:bCs w:val="0"/>
            <w:i w:val="0"/>
            <w:iCs w:val="0"/>
            <w:noProof/>
            <w:webHidden/>
            <w:sz w:val="22"/>
            <w:szCs w:val="18"/>
          </w:rPr>
          <w:t>143</w:t>
        </w:r>
        <w:r w:rsidRPr="008300E8">
          <w:rPr>
            <w:rFonts w:ascii="Times New Roman" w:hAnsi="Times New Roman" w:cs="Times New Roman"/>
            <w:b w:val="0"/>
            <w:bCs w:val="0"/>
            <w:i w:val="0"/>
            <w:iCs w:val="0"/>
            <w:noProof/>
            <w:webHidden/>
            <w:sz w:val="22"/>
            <w:szCs w:val="18"/>
          </w:rPr>
          <w:fldChar w:fldCharType="end"/>
        </w:r>
      </w:hyperlink>
    </w:p>
    <w:p w14:paraId="10451721" w14:textId="7A652339" w:rsidR="008300E8" w:rsidRPr="008300E8" w:rsidRDefault="008300E8" w:rsidP="008300E8">
      <w:pPr>
        <w:pStyle w:val="TOC1"/>
        <w:tabs>
          <w:tab w:val="right" w:leader="dot" w:pos="9350"/>
        </w:tabs>
        <w:spacing w:line="240" w:lineRule="exact"/>
        <w:rPr>
          <w:rFonts w:ascii="Times New Roman" w:eastAsiaTheme="minorEastAsia" w:hAnsi="Times New Roman" w:cs="Times New Roman"/>
          <w:b w:val="0"/>
          <w:bCs w:val="0"/>
          <w:i w:val="0"/>
          <w:iCs w:val="0"/>
          <w:noProof/>
          <w:sz w:val="22"/>
          <w:szCs w:val="18"/>
          <w:lang w:eastAsia="en-IN"/>
        </w:rPr>
      </w:pPr>
      <w:hyperlink w:anchor="_Toc221114295" w:history="1">
        <w:r w:rsidRPr="008300E8">
          <w:rPr>
            <w:rStyle w:val="Hyperlink"/>
            <w:rFonts w:ascii="Times New Roman" w:hAnsi="Times New Roman" w:cs="Times New Roman"/>
            <w:b w:val="0"/>
            <w:bCs w:val="0"/>
            <w:i w:val="0"/>
            <w:iCs w:val="0"/>
            <w:noProof/>
            <w:sz w:val="22"/>
            <w:szCs w:val="18"/>
          </w:rPr>
          <w:t>Table 15: Per capita tax revenues in 1967-68 as percentage of per capita incomes for 1962-63 to 1964-65 (average)</w:t>
        </w:r>
        <w:r w:rsidRPr="008300E8">
          <w:rPr>
            <w:rFonts w:ascii="Times New Roman" w:hAnsi="Times New Roman" w:cs="Times New Roman"/>
            <w:b w:val="0"/>
            <w:bCs w:val="0"/>
            <w:i w:val="0"/>
            <w:iCs w:val="0"/>
            <w:noProof/>
            <w:webHidden/>
            <w:sz w:val="22"/>
            <w:szCs w:val="18"/>
          </w:rPr>
          <w:tab/>
        </w:r>
        <w:r w:rsidRPr="008300E8">
          <w:rPr>
            <w:rFonts w:ascii="Times New Roman" w:hAnsi="Times New Roman" w:cs="Times New Roman"/>
            <w:b w:val="0"/>
            <w:bCs w:val="0"/>
            <w:i w:val="0"/>
            <w:iCs w:val="0"/>
            <w:noProof/>
            <w:webHidden/>
            <w:sz w:val="22"/>
            <w:szCs w:val="18"/>
          </w:rPr>
          <w:fldChar w:fldCharType="begin"/>
        </w:r>
        <w:r w:rsidRPr="008300E8">
          <w:rPr>
            <w:rFonts w:ascii="Times New Roman" w:hAnsi="Times New Roman" w:cs="Times New Roman"/>
            <w:b w:val="0"/>
            <w:bCs w:val="0"/>
            <w:i w:val="0"/>
            <w:iCs w:val="0"/>
            <w:noProof/>
            <w:webHidden/>
            <w:sz w:val="22"/>
            <w:szCs w:val="18"/>
          </w:rPr>
          <w:instrText xml:space="preserve"> PAGEREF _Toc221114295 \h </w:instrText>
        </w:r>
        <w:r w:rsidRPr="008300E8">
          <w:rPr>
            <w:rFonts w:ascii="Times New Roman" w:hAnsi="Times New Roman" w:cs="Times New Roman"/>
            <w:b w:val="0"/>
            <w:bCs w:val="0"/>
            <w:i w:val="0"/>
            <w:iCs w:val="0"/>
            <w:noProof/>
            <w:webHidden/>
            <w:sz w:val="22"/>
            <w:szCs w:val="18"/>
          </w:rPr>
        </w:r>
        <w:r w:rsidRPr="008300E8">
          <w:rPr>
            <w:rFonts w:ascii="Times New Roman" w:hAnsi="Times New Roman" w:cs="Times New Roman"/>
            <w:b w:val="0"/>
            <w:bCs w:val="0"/>
            <w:i w:val="0"/>
            <w:iCs w:val="0"/>
            <w:noProof/>
            <w:webHidden/>
            <w:sz w:val="22"/>
            <w:szCs w:val="18"/>
          </w:rPr>
          <w:fldChar w:fldCharType="separate"/>
        </w:r>
        <w:r w:rsidR="00F70A97">
          <w:rPr>
            <w:rFonts w:ascii="Times New Roman" w:hAnsi="Times New Roman" w:cs="Times New Roman"/>
            <w:b w:val="0"/>
            <w:bCs w:val="0"/>
            <w:i w:val="0"/>
            <w:iCs w:val="0"/>
            <w:noProof/>
            <w:webHidden/>
            <w:sz w:val="22"/>
            <w:szCs w:val="18"/>
          </w:rPr>
          <w:t>144</w:t>
        </w:r>
        <w:r w:rsidRPr="008300E8">
          <w:rPr>
            <w:rFonts w:ascii="Times New Roman" w:hAnsi="Times New Roman" w:cs="Times New Roman"/>
            <w:b w:val="0"/>
            <w:bCs w:val="0"/>
            <w:i w:val="0"/>
            <w:iCs w:val="0"/>
            <w:noProof/>
            <w:webHidden/>
            <w:sz w:val="22"/>
            <w:szCs w:val="18"/>
          </w:rPr>
          <w:fldChar w:fldCharType="end"/>
        </w:r>
      </w:hyperlink>
    </w:p>
    <w:p w14:paraId="4594FEA3" w14:textId="043D2ABA" w:rsidR="008300E8" w:rsidRPr="008300E8" w:rsidRDefault="008300E8" w:rsidP="008300E8">
      <w:pPr>
        <w:pStyle w:val="TOC1"/>
        <w:tabs>
          <w:tab w:val="right" w:leader="dot" w:pos="9350"/>
        </w:tabs>
        <w:spacing w:line="240" w:lineRule="exact"/>
        <w:rPr>
          <w:rFonts w:ascii="Times New Roman" w:eastAsiaTheme="minorEastAsia" w:hAnsi="Times New Roman" w:cs="Times New Roman"/>
          <w:b w:val="0"/>
          <w:bCs w:val="0"/>
          <w:i w:val="0"/>
          <w:iCs w:val="0"/>
          <w:noProof/>
          <w:sz w:val="22"/>
          <w:szCs w:val="18"/>
          <w:lang w:eastAsia="en-IN"/>
        </w:rPr>
      </w:pPr>
      <w:hyperlink w:anchor="_Toc221114296" w:history="1">
        <w:r w:rsidRPr="008300E8">
          <w:rPr>
            <w:rStyle w:val="Hyperlink"/>
            <w:rFonts w:ascii="Times New Roman" w:hAnsi="Times New Roman" w:cs="Times New Roman"/>
            <w:b w:val="0"/>
            <w:bCs w:val="0"/>
            <w:i w:val="0"/>
            <w:iCs w:val="0"/>
            <w:noProof/>
            <w:sz w:val="22"/>
            <w:szCs w:val="18"/>
          </w:rPr>
          <w:t>Table 16: Incidence of land revenue per hectare of net area sown</w:t>
        </w:r>
        <w:r w:rsidRPr="008300E8">
          <w:rPr>
            <w:rFonts w:ascii="Times New Roman" w:hAnsi="Times New Roman" w:cs="Times New Roman"/>
            <w:b w:val="0"/>
            <w:bCs w:val="0"/>
            <w:i w:val="0"/>
            <w:iCs w:val="0"/>
            <w:noProof/>
            <w:webHidden/>
            <w:sz w:val="22"/>
            <w:szCs w:val="18"/>
          </w:rPr>
          <w:tab/>
        </w:r>
        <w:r w:rsidRPr="008300E8">
          <w:rPr>
            <w:rFonts w:ascii="Times New Roman" w:hAnsi="Times New Roman" w:cs="Times New Roman"/>
            <w:b w:val="0"/>
            <w:bCs w:val="0"/>
            <w:i w:val="0"/>
            <w:iCs w:val="0"/>
            <w:noProof/>
            <w:webHidden/>
            <w:sz w:val="22"/>
            <w:szCs w:val="18"/>
          </w:rPr>
          <w:fldChar w:fldCharType="begin"/>
        </w:r>
        <w:r w:rsidRPr="008300E8">
          <w:rPr>
            <w:rFonts w:ascii="Times New Roman" w:hAnsi="Times New Roman" w:cs="Times New Roman"/>
            <w:b w:val="0"/>
            <w:bCs w:val="0"/>
            <w:i w:val="0"/>
            <w:iCs w:val="0"/>
            <w:noProof/>
            <w:webHidden/>
            <w:sz w:val="22"/>
            <w:szCs w:val="18"/>
          </w:rPr>
          <w:instrText xml:space="preserve"> PAGEREF _Toc221114296 \h </w:instrText>
        </w:r>
        <w:r w:rsidRPr="008300E8">
          <w:rPr>
            <w:rFonts w:ascii="Times New Roman" w:hAnsi="Times New Roman" w:cs="Times New Roman"/>
            <w:b w:val="0"/>
            <w:bCs w:val="0"/>
            <w:i w:val="0"/>
            <w:iCs w:val="0"/>
            <w:noProof/>
            <w:webHidden/>
            <w:sz w:val="22"/>
            <w:szCs w:val="18"/>
          </w:rPr>
        </w:r>
        <w:r w:rsidRPr="008300E8">
          <w:rPr>
            <w:rFonts w:ascii="Times New Roman" w:hAnsi="Times New Roman" w:cs="Times New Roman"/>
            <w:b w:val="0"/>
            <w:bCs w:val="0"/>
            <w:i w:val="0"/>
            <w:iCs w:val="0"/>
            <w:noProof/>
            <w:webHidden/>
            <w:sz w:val="22"/>
            <w:szCs w:val="18"/>
          </w:rPr>
          <w:fldChar w:fldCharType="separate"/>
        </w:r>
        <w:r w:rsidR="00F70A97">
          <w:rPr>
            <w:rFonts w:ascii="Times New Roman" w:hAnsi="Times New Roman" w:cs="Times New Roman"/>
            <w:b w:val="0"/>
            <w:bCs w:val="0"/>
            <w:i w:val="0"/>
            <w:iCs w:val="0"/>
            <w:noProof/>
            <w:webHidden/>
            <w:sz w:val="22"/>
            <w:szCs w:val="18"/>
          </w:rPr>
          <w:t>145</w:t>
        </w:r>
        <w:r w:rsidRPr="008300E8">
          <w:rPr>
            <w:rFonts w:ascii="Times New Roman" w:hAnsi="Times New Roman" w:cs="Times New Roman"/>
            <w:b w:val="0"/>
            <w:bCs w:val="0"/>
            <w:i w:val="0"/>
            <w:iCs w:val="0"/>
            <w:noProof/>
            <w:webHidden/>
            <w:sz w:val="22"/>
            <w:szCs w:val="18"/>
          </w:rPr>
          <w:fldChar w:fldCharType="end"/>
        </w:r>
      </w:hyperlink>
    </w:p>
    <w:p w14:paraId="7FF9960B" w14:textId="4E24FBDF" w:rsidR="008300E8" w:rsidRPr="008300E8" w:rsidRDefault="008300E8" w:rsidP="008300E8">
      <w:pPr>
        <w:pStyle w:val="TOC1"/>
        <w:tabs>
          <w:tab w:val="right" w:leader="dot" w:pos="9350"/>
        </w:tabs>
        <w:spacing w:line="240" w:lineRule="exact"/>
        <w:rPr>
          <w:rFonts w:ascii="Times New Roman" w:eastAsiaTheme="minorEastAsia" w:hAnsi="Times New Roman" w:cs="Times New Roman"/>
          <w:b w:val="0"/>
          <w:bCs w:val="0"/>
          <w:i w:val="0"/>
          <w:iCs w:val="0"/>
          <w:noProof/>
          <w:sz w:val="22"/>
          <w:szCs w:val="18"/>
          <w:lang w:eastAsia="en-IN"/>
        </w:rPr>
      </w:pPr>
      <w:hyperlink w:anchor="_Toc221114297" w:history="1">
        <w:r w:rsidRPr="008300E8">
          <w:rPr>
            <w:rStyle w:val="Hyperlink"/>
            <w:rFonts w:ascii="Times New Roman" w:hAnsi="Times New Roman" w:cs="Times New Roman"/>
            <w:b w:val="0"/>
            <w:bCs w:val="0"/>
            <w:i w:val="0"/>
            <w:iCs w:val="0"/>
            <w:noProof/>
            <w:sz w:val="22"/>
            <w:szCs w:val="18"/>
          </w:rPr>
          <w:t>Table 17: Arrears of Tax Revenues</w:t>
        </w:r>
        <w:r w:rsidRPr="008300E8">
          <w:rPr>
            <w:rFonts w:ascii="Times New Roman" w:hAnsi="Times New Roman" w:cs="Times New Roman"/>
            <w:b w:val="0"/>
            <w:bCs w:val="0"/>
            <w:i w:val="0"/>
            <w:iCs w:val="0"/>
            <w:noProof/>
            <w:webHidden/>
            <w:sz w:val="22"/>
            <w:szCs w:val="18"/>
          </w:rPr>
          <w:tab/>
        </w:r>
        <w:r w:rsidRPr="008300E8">
          <w:rPr>
            <w:rFonts w:ascii="Times New Roman" w:hAnsi="Times New Roman" w:cs="Times New Roman"/>
            <w:b w:val="0"/>
            <w:bCs w:val="0"/>
            <w:i w:val="0"/>
            <w:iCs w:val="0"/>
            <w:noProof/>
            <w:webHidden/>
            <w:sz w:val="22"/>
            <w:szCs w:val="18"/>
          </w:rPr>
          <w:fldChar w:fldCharType="begin"/>
        </w:r>
        <w:r w:rsidRPr="008300E8">
          <w:rPr>
            <w:rFonts w:ascii="Times New Roman" w:hAnsi="Times New Roman" w:cs="Times New Roman"/>
            <w:b w:val="0"/>
            <w:bCs w:val="0"/>
            <w:i w:val="0"/>
            <w:iCs w:val="0"/>
            <w:noProof/>
            <w:webHidden/>
            <w:sz w:val="22"/>
            <w:szCs w:val="18"/>
          </w:rPr>
          <w:instrText xml:space="preserve"> PAGEREF _Toc221114297 \h </w:instrText>
        </w:r>
        <w:r w:rsidRPr="008300E8">
          <w:rPr>
            <w:rFonts w:ascii="Times New Roman" w:hAnsi="Times New Roman" w:cs="Times New Roman"/>
            <w:b w:val="0"/>
            <w:bCs w:val="0"/>
            <w:i w:val="0"/>
            <w:iCs w:val="0"/>
            <w:noProof/>
            <w:webHidden/>
            <w:sz w:val="22"/>
            <w:szCs w:val="18"/>
          </w:rPr>
        </w:r>
        <w:r w:rsidRPr="008300E8">
          <w:rPr>
            <w:rFonts w:ascii="Times New Roman" w:hAnsi="Times New Roman" w:cs="Times New Roman"/>
            <w:b w:val="0"/>
            <w:bCs w:val="0"/>
            <w:i w:val="0"/>
            <w:iCs w:val="0"/>
            <w:noProof/>
            <w:webHidden/>
            <w:sz w:val="22"/>
            <w:szCs w:val="18"/>
          </w:rPr>
          <w:fldChar w:fldCharType="separate"/>
        </w:r>
        <w:r w:rsidR="00F70A97">
          <w:rPr>
            <w:rFonts w:ascii="Times New Roman" w:hAnsi="Times New Roman" w:cs="Times New Roman"/>
            <w:b w:val="0"/>
            <w:bCs w:val="0"/>
            <w:i w:val="0"/>
            <w:iCs w:val="0"/>
            <w:noProof/>
            <w:webHidden/>
            <w:sz w:val="22"/>
            <w:szCs w:val="18"/>
          </w:rPr>
          <w:t>146</w:t>
        </w:r>
        <w:r w:rsidRPr="008300E8">
          <w:rPr>
            <w:rFonts w:ascii="Times New Roman" w:hAnsi="Times New Roman" w:cs="Times New Roman"/>
            <w:b w:val="0"/>
            <w:bCs w:val="0"/>
            <w:i w:val="0"/>
            <w:iCs w:val="0"/>
            <w:noProof/>
            <w:webHidden/>
            <w:sz w:val="22"/>
            <w:szCs w:val="18"/>
          </w:rPr>
          <w:fldChar w:fldCharType="end"/>
        </w:r>
      </w:hyperlink>
    </w:p>
    <w:p w14:paraId="24FE143E" w14:textId="4618E79E" w:rsidR="008300E8" w:rsidRPr="008300E8" w:rsidRDefault="008300E8" w:rsidP="008300E8">
      <w:pPr>
        <w:pStyle w:val="TOC1"/>
        <w:tabs>
          <w:tab w:val="right" w:leader="dot" w:pos="9350"/>
        </w:tabs>
        <w:spacing w:line="240" w:lineRule="exact"/>
        <w:rPr>
          <w:rFonts w:ascii="Times New Roman" w:eastAsiaTheme="minorEastAsia" w:hAnsi="Times New Roman" w:cs="Times New Roman"/>
          <w:b w:val="0"/>
          <w:bCs w:val="0"/>
          <w:i w:val="0"/>
          <w:iCs w:val="0"/>
          <w:noProof/>
          <w:sz w:val="22"/>
          <w:szCs w:val="18"/>
          <w:lang w:eastAsia="en-IN"/>
        </w:rPr>
      </w:pPr>
      <w:hyperlink w:anchor="_Toc221114298" w:history="1">
        <w:r w:rsidRPr="008300E8">
          <w:rPr>
            <w:rStyle w:val="Hyperlink"/>
            <w:rFonts w:ascii="Times New Roman" w:hAnsi="Times New Roman" w:cs="Times New Roman"/>
            <w:b w:val="0"/>
            <w:bCs w:val="0"/>
            <w:i w:val="0"/>
            <w:iCs w:val="0"/>
            <w:noProof/>
            <w:sz w:val="22"/>
            <w:szCs w:val="18"/>
          </w:rPr>
          <w:t>Table 18: Percentage of land revenue arrears to the total demand</w:t>
        </w:r>
        <w:r w:rsidRPr="008300E8">
          <w:rPr>
            <w:rFonts w:ascii="Times New Roman" w:hAnsi="Times New Roman" w:cs="Times New Roman"/>
            <w:b w:val="0"/>
            <w:bCs w:val="0"/>
            <w:i w:val="0"/>
            <w:iCs w:val="0"/>
            <w:noProof/>
            <w:webHidden/>
            <w:sz w:val="22"/>
            <w:szCs w:val="18"/>
          </w:rPr>
          <w:tab/>
        </w:r>
        <w:r w:rsidRPr="008300E8">
          <w:rPr>
            <w:rFonts w:ascii="Times New Roman" w:hAnsi="Times New Roman" w:cs="Times New Roman"/>
            <w:b w:val="0"/>
            <w:bCs w:val="0"/>
            <w:i w:val="0"/>
            <w:iCs w:val="0"/>
            <w:noProof/>
            <w:webHidden/>
            <w:sz w:val="22"/>
            <w:szCs w:val="18"/>
          </w:rPr>
          <w:fldChar w:fldCharType="begin"/>
        </w:r>
        <w:r w:rsidRPr="008300E8">
          <w:rPr>
            <w:rFonts w:ascii="Times New Roman" w:hAnsi="Times New Roman" w:cs="Times New Roman"/>
            <w:b w:val="0"/>
            <w:bCs w:val="0"/>
            <w:i w:val="0"/>
            <w:iCs w:val="0"/>
            <w:noProof/>
            <w:webHidden/>
            <w:sz w:val="22"/>
            <w:szCs w:val="18"/>
          </w:rPr>
          <w:instrText xml:space="preserve"> PAGEREF _Toc221114298 \h </w:instrText>
        </w:r>
        <w:r w:rsidRPr="008300E8">
          <w:rPr>
            <w:rFonts w:ascii="Times New Roman" w:hAnsi="Times New Roman" w:cs="Times New Roman"/>
            <w:b w:val="0"/>
            <w:bCs w:val="0"/>
            <w:i w:val="0"/>
            <w:iCs w:val="0"/>
            <w:noProof/>
            <w:webHidden/>
            <w:sz w:val="22"/>
            <w:szCs w:val="18"/>
          </w:rPr>
        </w:r>
        <w:r w:rsidRPr="008300E8">
          <w:rPr>
            <w:rFonts w:ascii="Times New Roman" w:hAnsi="Times New Roman" w:cs="Times New Roman"/>
            <w:b w:val="0"/>
            <w:bCs w:val="0"/>
            <w:i w:val="0"/>
            <w:iCs w:val="0"/>
            <w:noProof/>
            <w:webHidden/>
            <w:sz w:val="22"/>
            <w:szCs w:val="18"/>
          </w:rPr>
          <w:fldChar w:fldCharType="separate"/>
        </w:r>
        <w:r w:rsidR="00F70A97">
          <w:rPr>
            <w:rFonts w:ascii="Times New Roman" w:hAnsi="Times New Roman" w:cs="Times New Roman"/>
            <w:b w:val="0"/>
            <w:bCs w:val="0"/>
            <w:i w:val="0"/>
            <w:iCs w:val="0"/>
            <w:noProof/>
            <w:webHidden/>
            <w:sz w:val="22"/>
            <w:szCs w:val="18"/>
          </w:rPr>
          <w:t>147</w:t>
        </w:r>
        <w:r w:rsidRPr="008300E8">
          <w:rPr>
            <w:rFonts w:ascii="Times New Roman" w:hAnsi="Times New Roman" w:cs="Times New Roman"/>
            <w:b w:val="0"/>
            <w:bCs w:val="0"/>
            <w:i w:val="0"/>
            <w:iCs w:val="0"/>
            <w:noProof/>
            <w:webHidden/>
            <w:sz w:val="22"/>
            <w:szCs w:val="18"/>
          </w:rPr>
          <w:fldChar w:fldCharType="end"/>
        </w:r>
      </w:hyperlink>
    </w:p>
    <w:p w14:paraId="425B45E5" w14:textId="291898DA" w:rsidR="008300E8" w:rsidRPr="008300E8" w:rsidRDefault="008300E8" w:rsidP="008300E8">
      <w:pPr>
        <w:pStyle w:val="TOC1"/>
        <w:tabs>
          <w:tab w:val="right" w:leader="dot" w:pos="9350"/>
        </w:tabs>
        <w:spacing w:line="240" w:lineRule="exact"/>
        <w:rPr>
          <w:rFonts w:ascii="Times New Roman" w:eastAsiaTheme="minorEastAsia" w:hAnsi="Times New Roman" w:cs="Times New Roman"/>
          <w:b w:val="0"/>
          <w:bCs w:val="0"/>
          <w:i w:val="0"/>
          <w:iCs w:val="0"/>
          <w:noProof/>
          <w:sz w:val="22"/>
          <w:szCs w:val="18"/>
          <w:lang w:eastAsia="en-IN"/>
        </w:rPr>
      </w:pPr>
      <w:hyperlink w:anchor="_Toc221114299" w:history="1">
        <w:r w:rsidRPr="008300E8">
          <w:rPr>
            <w:rStyle w:val="Hyperlink"/>
            <w:rFonts w:ascii="Times New Roman" w:hAnsi="Times New Roman" w:cs="Times New Roman"/>
            <w:b w:val="0"/>
            <w:bCs w:val="0"/>
            <w:i w:val="0"/>
            <w:iCs w:val="0"/>
            <w:noProof/>
            <w:sz w:val="22"/>
            <w:szCs w:val="18"/>
          </w:rPr>
          <w:t>Table 19: Percentage of Sales Tax arrears to the total demand</w:t>
        </w:r>
        <w:r w:rsidRPr="008300E8">
          <w:rPr>
            <w:rFonts w:ascii="Times New Roman" w:hAnsi="Times New Roman" w:cs="Times New Roman"/>
            <w:b w:val="0"/>
            <w:bCs w:val="0"/>
            <w:i w:val="0"/>
            <w:iCs w:val="0"/>
            <w:noProof/>
            <w:webHidden/>
            <w:sz w:val="22"/>
            <w:szCs w:val="18"/>
          </w:rPr>
          <w:tab/>
        </w:r>
        <w:r w:rsidRPr="008300E8">
          <w:rPr>
            <w:rFonts w:ascii="Times New Roman" w:hAnsi="Times New Roman" w:cs="Times New Roman"/>
            <w:b w:val="0"/>
            <w:bCs w:val="0"/>
            <w:i w:val="0"/>
            <w:iCs w:val="0"/>
            <w:noProof/>
            <w:webHidden/>
            <w:sz w:val="22"/>
            <w:szCs w:val="18"/>
          </w:rPr>
          <w:fldChar w:fldCharType="begin"/>
        </w:r>
        <w:r w:rsidRPr="008300E8">
          <w:rPr>
            <w:rFonts w:ascii="Times New Roman" w:hAnsi="Times New Roman" w:cs="Times New Roman"/>
            <w:b w:val="0"/>
            <w:bCs w:val="0"/>
            <w:i w:val="0"/>
            <w:iCs w:val="0"/>
            <w:noProof/>
            <w:webHidden/>
            <w:sz w:val="22"/>
            <w:szCs w:val="18"/>
          </w:rPr>
          <w:instrText xml:space="preserve"> PAGEREF _Toc221114299 \h </w:instrText>
        </w:r>
        <w:r w:rsidRPr="008300E8">
          <w:rPr>
            <w:rFonts w:ascii="Times New Roman" w:hAnsi="Times New Roman" w:cs="Times New Roman"/>
            <w:b w:val="0"/>
            <w:bCs w:val="0"/>
            <w:i w:val="0"/>
            <w:iCs w:val="0"/>
            <w:noProof/>
            <w:webHidden/>
            <w:sz w:val="22"/>
            <w:szCs w:val="18"/>
          </w:rPr>
        </w:r>
        <w:r w:rsidRPr="008300E8">
          <w:rPr>
            <w:rFonts w:ascii="Times New Roman" w:hAnsi="Times New Roman" w:cs="Times New Roman"/>
            <w:b w:val="0"/>
            <w:bCs w:val="0"/>
            <w:i w:val="0"/>
            <w:iCs w:val="0"/>
            <w:noProof/>
            <w:webHidden/>
            <w:sz w:val="22"/>
            <w:szCs w:val="18"/>
          </w:rPr>
          <w:fldChar w:fldCharType="separate"/>
        </w:r>
        <w:r w:rsidR="00F70A97">
          <w:rPr>
            <w:rFonts w:ascii="Times New Roman" w:hAnsi="Times New Roman" w:cs="Times New Roman"/>
            <w:b w:val="0"/>
            <w:bCs w:val="0"/>
            <w:i w:val="0"/>
            <w:iCs w:val="0"/>
            <w:noProof/>
            <w:webHidden/>
            <w:sz w:val="22"/>
            <w:szCs w:val="18"/>
          </w:rPr>
          <w:t>148</w:t>
        </w:r>
        <w:r w:rsidRPr="008300E8">
          <w:rPr>
            <w:rFonts w:ascii="Times New Roman" w:hAnsi="Times New Roman" w:cs="Times New Roman"/>
            <w:b w:val="0"/>
            <w:bCs w:val="0"/>
            <w:i w:val="0"/>
            <w:iCs w:val="0"/>
            <w:noProof/>
            <w:webHidden/>
            <w:sz w:val="22"/>
            <w:szCs w:val="18"/>
          </w:rPr>
          <w:fldChar w:fldCharType="end"/>
        </w:r>
      </w:hyperlink>
    </w:p>
    <w:p w14:paraId="429544F2" w14:textId="0C3109BF" w:rsidR="008300E8" w:rsidRPr="008300E8" w:rsidRDefault="008300E8" w:rsidP="008300E8">
      <w:pPr>
        <w:pStyle w:val="TOC1"/>
        <w:tabs>
          <w:tab w:val="right" w:leader="dot" w:pos="9350"/>
        </w:tabs>
        <w:spacing w:line="240" w:lineRule="exact"/>
        <w:rPr>
          <w:rFonts w:ascii="Times New Roman" w:eastAsiaTheme="minorEastAsia" w:hAnsi="Times New Roman" w:cs="Times New Roman"/>
          <w:b w:val="0"/>
          <w:bCs w:val="0"/>
          <w:i w:val="0"/>
          <w:iCs w:val="0"/>
          <w:noProof/>
          <w:sz w:val="22"/>
          <w:szCs w:val="18"/>
          <w:lang w:eastAsia="en-IN"/>
        </w:rPr>
      </w:pPr>
      <w:hyperlink w:anchor="_Toc221114300" w:history="1">
        <w:r w:rsidRPr="008300E8">
          <w:rPr>
            <w:rStyle w:val="Hyperlink"/>
            <w:rFonts w:ascii="Times New Roman" w:hAnsi="Times New Roman" w:cs="Times New Roman"/>
            <w:b w:val="0"/>
            <w:bCs w:val="0"/>
            <w:i w:val="0"/>
            <w:iCs w:val="0"/>
            <w:noProof/>
            <w:sz w:val="22"/>
            <w:szCs w:val="18"/>
          </w:rPr>
          <w:t>Table 20: Rates of General Sales Tax on Important Commodities  (In terms of percentage of the value)</w:t>
        </w:r>
        <w:r w:rsidRPr="008300E8">
          <w:rPr>
            <w:rFonts w:ascii="Times New Roman" w:hAnsi="Times New Roman" w:cs="Times New Roman"/>
            <w:b w:val="0"/>
            <w:bCs w:val="0"/>
            <w:i w:val="0"/>
            <w:iCs w:val="0"/>
            <w:noProof/>
            <w:webHidden/>
            <w:sz w:val="22"/>
            <w:szCs w:val="18"/>
          </w:rPr>
          <w:tab/>
        </w:r>
        <w:r w:rsidRPr="008300E8">
          <w:rPr>
            <w:rFonts w:ascii="Times New Roman" w:hAnsi="Times New Roman" w:cs="Times New Roman"/>
            <w:b w:val="0"/>
            <w:bCs w:val="0"/>
            <w:i w:val="0"/>
            <w:iCs w:val="0"/>
            <w:noProof/>
            <w:webHidden/>
            <w:sz w:val="22"/>
            <w:szCs w:val="18"/>
          </w:rPr>
          <w:fldChar w:fldCharType="begin"/>
        </w:r>
        <w:r w:rsidRPr="008300E8">
          <w:rPr>
            <w:rFonts w:ascii="Times New Roman" w:hAnsi="Times New Roman" w:cs="Times New Roman"/>
            <w:b w:val="0"/>
            <w:bCs w:val="0"/>
            <w:i w:val="0"/>
            <w:iCs w:val="0"/>
            <w:noProof/>
            <w:webHidden/>
            <w:sz w:val="22"/>
            <w:szCs w:val="18"/>
          </w:rPr>
          <w:instrText xml:space="preserve"> PAGEREF _Toc221114300 \h </w:instrText>
        </w:r>
        <w:r w:rsidRPr="008300E8">
          <w:rPr>
            <w:rFonts w:ascii="Times New Roman" w:hAnsi="Times New Roman" w:cs="Times New Roman"/>
            <w:b w:val="0"/>
            <w:bCs w:val="0"/>
            <w:i w:val="0"/>
            <w:iCs w:val="0"/>
            <w:noProof/>
            <w:webHidden/>
            <w:sz w:val="22"/>
            <w:szCs w:val="18"/>
          </w:rPr>
        </w:r>
        <w:r w:rsidRPr="008300E8">
          <w:rPr>
            <w:rFonts w:ascii="Times New Roman" w:hAnsi="Times New Roman" w:cs="Times New Roman"/>
            <w:b w:val="0"/>
            <w:bCs w:val="0"/>
            <w:i w:val="0"/>
            <w:iCs w:val="0"/>
            <w:noProof/>
            <w:webHidden/>
            <w:sz w:val="22"/>
            <w:szCs w:val="18"/>
          </w:rPr>
          <w:fldChar w:fldCharType="separate"/>
        </w:r>
        <w:r w:rsidR="00F70A97">
          <w:rPr>
            <w:rFonts w:ascii="Times New Roman" w:hAnsi="Times New Roman" w:cs="Times New Roman"/>
            <w:b w:val="0"/>
            <w:bCs w:val="0"/>
            <w:i w:val="0"/>
            <w:iCs w:val="0"/>
            <w:noProof/>
            <w:webHidden/>
            <w:sz w:val="22"/>
            <w:szCs w:val="18"/>
          </w:rPr>
          <w:t>149</w:t>
        </w:r>
        <w:r w:rsidRPr="008300E8">
          <w:rPr>
            <w:rFonts w:ascii="Times New Roman" w:hAnsi="Times New Roman" w:cs="Times New Roman"/>
            <w:b w:val="0"/>
            <w:bCs w:val="0"/>
            <w:i w:val="0"/>
            <w:iCs w:val="0"/>
            <w:noProof/>
            <w:webHidden/>
            <w:sz w:val="22"/>
            <w:szCs w:val="18"/>
          </w:rPr>
          <w:fldChar w:fldCharType="end"/>
        </w:r>
      </w:hyperlink>
    </w:p>
    <w:p w14:paraId="7382E12F" w14:textId="16A4A06E" w:rsidR="008300E8" w:rsidRPr="008300E8" w:rsidRDefault="008300E8" w:rsidP="008300E8">
      <w:pPr>
        <w:pStyle w:val="TOC1"/>
        <w:tabs>
          <w:tab w:val="right" w:leader="dot" w:pos="9350"/>
        </w:tabs>
        <w:spacing w:line="240" w:lineRule="exact"/>
        <w:rPr>
          <w:rFonts w:ascii="Times New Roman" w:eastAsiaTheme="minorEastAsia" w:hAnsi="Times New Roman" w:cs="Times New Roman"/>
          <w:b w:val="0"/>
          <w:bCs w:val="0"/>
          <w:i w:val="0"/>
          <w:iCs w:val="0"/>
          <w:noProof/>
          <w:sz w:val="22"/>
          <w:szCs w:val="18"/>
          <w:lang w:eastAsia="en-IN"/>
        </w:rPr>
      </w:pPr>
      <w:hyperlink w:anchor="_Toc221114301" w:history="1">
        <w:r w:rsidRPr="008300E8">
          <w:rPr>
            <w:rStyle w:val="Hyperlink"/>
            <w:rFonts w:ascii="Times New Roman" w:hAnsi="Times New Roman" w:cs="Times New Roman"/>
            <w:b w:val="0"/>
            <w:bCs w:val="0"/>
            <w:i w:val="0"/>
            <w:iCs w:val="0"/>
            <w:noProof/>
            <w:sz w:val="22"/>
            <w:szCs w:val="18"/>
          </w:rPr>
          <w:t>Table 21: Rates of Sales Tax on Motor Spirit</w:t>
        </w:r>
        <w:r w:rsidRPr="008300E8">
          <w:rPr>
            <w:rFonts w:ascii="Times New Roman" w:hAnsi="Times New Roman" w:cs="Times New Roman"/>
            <w:b w:val="0"/>
            <w:bCs w:val="0"/>
            <w:i w:val="0"/>
            <w:iCs w:val="0"/>
            <w:noProof/>
            <w:webHidden/>
            <w:sz w:val="22"/>
            <w:szCs w:val="18"/>
          </w:rPr>
          <w:tab/>
        </w:r>
        <w:r w:rsidRPr="008300E8">
          <w:rPr>
            <w:rFonts w:ascii="Times New Roman" w:hAnsi="Times New Roman" w:cs="Times New Roman"/>
            <w:b w:val="0"/>
            <w:bCs w:val="0"/>
            <w:i w:val="0"/>
            <w:iCs w:val="0"/>
            <w:noProof/>
            <w:webHidden/>
            <w:sz w:val="22"/>
            <w:szCs w:val="18"/>
          </w:rPr>
          <w:fldChar w:fldCharType="begin"/>
        </w:r>
        <w:r w:rsidRPr="008300E8">
          <w:rPr>
            <w:rFonts w:ascii="Times New Roman" w:hAnsi="Times New Roman" w:cs="Times New Roman"/>
            <w:b w:val="0"/>
            <w:bCs w:val="0"/>
            <w:i w:val="0"/>
            <w:iCs w:val="0"/>
            <w:noProof/>
            <w:webHidden/>
            <w:sz w:val="22"/>
            <w:szCs w:val="18"/>
          </w:rPr>
          <w:instrText xml:space="preserve"> PAGEREF _Toc221114301 \h </w:instrText>
        </w:r>
        <w:r w:rsidRPr="008300E8">
          <w:rPr>
            <w:rFonts w:ascii="Times New Roman" w:hAnsi="Times New Roman" w:cs="Times New Roman"/>
            <w:b w:val="0"/>
            <w:bCs w:val="0"/>
            <w:i w:val="0"/>
            <w:iCs w:val="0"/>
            <w:noProof/>
            <w:webHidden/>
            <w:sz w:val="22"/>
            <w:szCs w:val="18"/>
          </w:rPr>
        </w:r>
        <w:r w:rsidRPr="008300E8">
          <w:rPr>
            <w:rFonts w:ascii="Times New Roman" w:hAnsi="Times New Roman" w:cs="Times New Roman"/>
            <w:b w:val="0"/>
            <w:bCs w:val="0"/>
            <w:i w:val="0"/>
            <w:iCs w:val="0"/>
            <w:noProof/>
            <w:webHidden/>
            <w:sz w:val="22"/>
            <w:szCs w:val="18"/>
          </w:rPr>
          <w:fldChar w:fldCharType="separate"/>
        </w:r>
        <w:r w:rsidR="00F70A97">
          <w:rPr>
            <w:rFonts w:ascii="Times New Roman" w:hAnsi="Times New Roman" w:cs="Times New Roman"/>
            <w:b w:val="0"/>
            <w:bCs w:val="0"/>
            <w:i w:val="0"/>
            <w:iCs w:val="0"/>
            <w:noProof/>
            <w:webHidden/>
            <w:sz w:val="22"/>
            <w:szCs w:val="18"/>
          </w:rPr>
          <w:t>151</w:t>
        </w:r>
        <w:r w:rsidRPr="008300E8">
          <w:rPr>
            <w:rFonts w:ascii="Times New Roman" w:hAnsi="Times New Roman" w:cs="Times New Roman"/>
            <w:b w:val="0"/>
            <w:bCs w:val="0"/>
            <w:i w:val="0"/>
            <w:iCs w:val="0"/>
            <w:noProof/>
            <w:webHidden/>
            <w:sz w:val="22"/>
            <w:szCs w:val="18"/>
          </w:rPr>
          <w:fldChar w:fldCharType="end"/>
        </w:r>
      </w:hyperlink>
    </w:p>
    <w:p w14:paraId="7F05D024" w14:textId="7A0AD941" w:rsidR="008300E8" w:rsidRPr="008300E8" w:rsidRDefault="008300E8" w:rsidP="008300E8">
      <w:pPr>
        <w:pStyle w:val="TOC1"/>
        <w:tabs>
          <w:tab w:val="right" w:leader="dot" w:pos="9350"/>
        </w:tabs>
        <w:spacing w:line="240" w:lineRule="exact"/>
        <w:rPr>
          <w:rFonts w:ascii="Times New Roman" w:eastAsiaTheme="minorEastAsia" w:hAnsi="Times New Roman" w:cs="Times New Roman"/>
          <w:b w:val="0"/>
          <w:bCs w:val="0"/>
          <w:i w:val="0"/>
          <w:iCs w:val="0"/>
          <w:noProof/>
          <w:sz w:val="22"/>
          <w:szCs w:val="18"/>
          <w:lang w:eastAsia="en-IN"/>
        </w:rPr>
      </w:pPr>
      <w:hyperlink w:anchor="_Toc221114302" w:history="1">
        <w:r w:rsidRPr="008300E8">
          <w:rPr>
            <w:rStyle w:val="Hyperlink"/>
            <w:rFonts w:ascii="Times New Roman" w:hAnsi="Times New Roman" w:cs="Times New Roman"/>
            <w:b w:val="0"/>
            <w:bCs w:val="0"/>
            <w:i w:val="0"/>
            <w:iCs w:val="0"/>
            <w:noProof/>
            <w:sz w:val="22"/>
            <w:szCs w:val="18"/>
          </w:rPr>
          <w:t>Table 22: Average Rates of Electricity Supply and Electricity Duty</w:t>
        </w:r>
        <w:r w:rsidRPr="008300E8">
          <w:rPr>
            <w:rFonts w:ascii="Times New Roman" w:hAnsi="Times New Roman" w:cs="Times New Roman"/>
            <w:b w:val="0"/>
            <w:bCs w:val="0"/>
            <w:i w:val="0"/>
            <w:iCs w:val="0"/>
            <w:noProof/>
            <w:webHidden/>
            <w:sz w:val="22"/>
            <w:szCs w:val="18"/>
          </w:rPr>
          <w:tab/>
        </w:r>
        <w:r w:rsidRPr="008300E8">
          <w:rPr>
            <w:rFonts w:ascii="Times New Roman" w:hAnsi="Times New Roman" w:cs="Times New Roman"/>
            <w:b w:val="0"/>
            <w:bCs w:val="0"/>
            <w:i w:val="0"/>
            <w:iCs w:val="0"/>
            <w:noProof/>
            <w:webHidden/>
            <w:sz w:val="22"/>
            <w:szCs w:val="18"/>
          </w:rPr>
          <w:fldChar w:fldCharType="begin"/>
        </w:r>
        <w:r w:rsidRPr="008300E8">
          <w:rPr>
            <w:rFonts w:ascii="Times New Roman" w:hAnsi="Times New Roman" w:cs="Times New Roman"/>
            <w:b w:val="0"/>
            <w:bCs w:val="0"/>
            <w:i w:val="0"/>
            <w:iCs w:val="0"/>
            <w:noProof/>
            <w:webHidden/>
            <w:sz w:val="22"/>
            <w:szCs w:val="18"/>
          </w:rPr>
          <w:instrText xml:space="preserve"> PAGEREF _Toc221114302 \h </w:instrText>
        </w:r>
        <w:r w:rsidRPr="008300E8">
          <w:rPr>
            <w:rFonts w:ascii="Times New Roman" w:hAnsi="Times New Roman" w:cs="Times New Roman"/>
            <w:b w:val="0"/>
            <w:bCs w:val="0"/>
            <w:i w:val="0"/>
            <w:iCs w:val="0"/>
            <w:noProof/>
            <w:webHidden/>
            <w:sz w:val="22"/>
            <w:szCs w:val="18"/>
          </w:rPr>
        </w:r>
        <w:r w:rsidRPr="008300E8">
          <w:rPr>
            <w:rFonts w:ascii="Times New Roman" w:hAnsi="Times New Roman" w:cs="Times New Roman"/>
            <w:b w:val="0"/>
            <w:bCs w:val="0"/>
            <w:i w:val="0"/>
            <w:iCs w:val="0"/>
            <w:noProof/>
            <w:webHidden/>
            <w:sz w:val="22"/>
            <w:szCs w:val="18"/>
          </w:rPr>
          <w:fldChar w:fldCharType="separate"/>
        </w:r>
        <w:r w:rsidR="00F70A97">
          <w:rPr>
            <w:rFonts w:ascii="Times New Roman" w:hAnsi="Times New Roman" w:cs="Times New Roman"/>
            <w:b w:val="0"/>
            <w:bCs w:val="0"/>
            <w:i w:val="0"/>
            <w:iCs w:val="0"/>
            <w:noProof/>
            <w:webHidden/>
            <w:sz w:val="22"/>
            <w:szCs w:val="18"/>
          </w:rPr>
          <w:t>153</w:t>
        </w:r>
        <w:r w:rsidRPr="008300E8">
          <w:rPr>
            <w:rFonts w:ascii="Times New Roman" w:hAnsi="Times New Roman" w:cs="Times New Roman"/>
            <w:b w:val="0"/>
            <w:bCs w:val="0"/>
            <w:i w:val="0"/>
            <w:iCs w:val="0"/>
            <w:noProof/>
            <w:webHidden/>
            <w:sz w:val="22"/>
            <w:szCs w:val="18"/>
          </w:rPr>
          <w:fldChar w:fldCharType="end"/>
        </w:r>
      </w:hyperlink>
    </w:p>
    <w:p w14:paraId="1D0EEFE3" w14:textId="0D787636" w:rsidR="008300E8" w:rsidRPr="008300E8" w:rsidRDefault="008300E8" w:rsidP="008300E8">
      <w:pPr>
        <w:pStyle w:val="TOC1"/>
        <w:tabs>
          <w:tab w:val="right" w:leader="dot" w:pos="9350"/>
        </w:tabs>
        <w:spacing w:line="240" w:lineRule="exact"/>
        <w:rPr>
          <w:rFonts w:ascii="Times New Roman" w:eastAsiaTheme="minorEastAsia" w:hAnsi="Times New Roman" w:cs="Times New Roman"/>
          <w:b w:val="0"/>
          <w:bCs w:val="0"/>
          <w:i w:val="0"/>
          <w:iCs w:val="0"/>
          <w:noProof/>
          <w:sz w:val="22"/>
          <w:szCs w:val="18"/>
          <w:lang w:eastAsia="en-IN"/>
        </w:rPr>
      </w:pPr>
      <w:hyperlink w:anchor="_Toc221114303" w:history="1">
        <w:r w:rsidRPr="008300E8">
          <w:rPr>
            <w:rStyle w:val="Hyperlink"/>
            <w:rFonts w:ascii="Times New Roman" w:hAnsi="Times New Roman" w:cs="Times New Roman"/>
            <w:b w:val="0"/>
            <w:bCs w:val="0"/>
            <w:i w:val="0"/>
            <w:iCs w:val="0"/>
            <w:noProof/>
            <w:sz w:val="22"/>
            <w:szCs w:val="18"/>
          </w:rPr>
          <w:t>Table 23: Water rates for Rice, Wheat and Sugarcane</w:t>
        </w:r>
        <w:r w:rsidRPr="008300E8">
          <w:rPr>
            <w:rFonts w:ascii="Times New Roman" w:hAnsi="Times New Roman" w:cs="Times New Roman"/>
            <w:b w:val="0"/>
            <w:bCs w:val="0"/>
            <w:i w:val="0"/>
            <w:iCs w:val="0"/>
            <w:noProof/>
            <w:webHidden/>
            <w:sz w:val="22"/>
            <w:szCs w:val="18"/>
          </w:rPr>
          <w:tab/>
        </w:r>
        <w:r w:rsidRPr="008300E8">
          <w:rPr>
            <w:rFonts w:ascii="Times New Roman" w:hAnsi="Times New Roman" w:cs="Times New Roman"/>
            <w:b w:val="0"/>
            <w:bCs w:val="0"/>
            <w:i w:val="0"/>
            <w:iCs w:val="0"/>
            <w:noProof/>
            <w:webHidden/>
            <w:sz w:val="22"/>
            <w:szCs w:val="18"/>
          </w:rPr>
          <w:fldChar w:fldCharType="begin"/>
        </w:r>
        <w:r w:rsidRPr="008300E8">
          <w:rPr>
            <w:rFonts w:ascii="Times New Roman" w:hAnsi="Times New Roman" w:cs="Times New Roman"/>
            <w:b w:val="0"/>
            <w:bCs w:val="0"/>
            <w:i w:val="0"/>
            <w:iCs w:val="0"/>
            <w:noProof/>
            <w:webHidden/>
            <w:sz w:val="22"/>
            <w:szCs w:val="18"/>
          </w:rPr>
          <w:instrText xml:space="preserve"> PAGEREF _Toc221114303 \h </w:instrText>
        </w:r>
        <w:r w:rsidRPr="008300E8">
          <w:rPr>
            <w:rFonts w:ascii="Times New Roman" w:hAnsi="Times New Roman" w:cs="Times New Roman"/>
            <w:b w:val="0"/>
            <w:bCs w:val="0"/>
            <w:i w:val="0"/>
            <w:iCs w:val="0"/>
            <w:noProof/>
            <w:webHidden/>
            <w:sz w:val="22"/>
            <w:szCs w:val="18"/>
          </w:rPr>
        </w:r>
        <w:r w:rsidRPr="008300E8">
          <w:rPr>
            <w:rFonts w:ascii="Times New Roman" w:hAnsi="Times New Roman" w:cs="Times New Roman"/>
            <w:b w:val="0"/>
            <w:bCs w:val="0"/>
            <w:i w:val="0"/>
            <w:iCs w:val="0"/>
            <w:noProof/>
            <w:webHidden/>
            <w:sz w:val="22"/>
            <w:szCs w:val="18"/>
          </w:rPr>
          <w:fldChar w:fldCharType="separate"/>
        </w:r>
        <w:r w:rsidR="00F70A97">
          <w:rPr>
            <w:rFonts w:ascii="Times New Roman" w:hAnsi="Times New Roman" w:cs="Times New Roman"/>
            <w:b w:val="0"/>
            <w:bCs w:val="0"/>
            <w:i w:val="0"/>
            <w:iCs w:val="0"/>
            <w:noProof/>
            <w:webHidden/>
            <w:sz w:val="22"/>
            <w:szCs w:val="18"/>
          </w:rPr>
          <w:t>155</w:t>
        </w:r>
        <w:r w:rsidRPr="008300E8">
          <w:rPr>
            <w:rFonts w:ascii="Times New Roman" w:hAnsi="Times New Roman" w:cs="Times New Roman"/>
            <w:b w:val="0"/>
            <w:bCs w:val="0"/>
            <w:i w:val="0"/>
            <w:iCs w:val="0"/>
            <w:noProof/>
            <w:webHidden/>
            <w:sz w:val="22"/>
            <w:szCs w:val="18"/>
          </w:rPr>
          <w:fldChar w:fldCharType="end"/>
        </w:r>
      </w:hyperlink>
    </w:p>
    <w:p w14:paraId="6115A636" w14:textId="15F11E31" w:rsidR="008300E8" w:rsidRPr="008300E8" w:rsidRDefault="008300E8" w:rsidP="008300E8">
      <w:pPr>
        <w:pStyle w:val="TOC1"/>
        <w:tabs>
          <w:tab w:val="right" w:leader="dot" w:pos="9350"/>
        </w:tabs>
        <w:spacing w:line="240" w:lineRule="exact"/>
        <w:rPr>
          <w:rFonts w:ascii="Times New Roman" w:eastAsiaTheme="minorEastAsia" w:hAnsi="Times New Roman" w:cs="Times New Roman"/>
          <w:b w:val="0"/>
          <w:bCs w:val="0"/>
          <w:i w:val="0"/>
          <w:iCs w:val="0"/>
          <w:noProof/>
          <w:sz w:val="22"/>
          <w:szCs w:val="18"/>
          <w:lang w:eastAsia="en-IN"/>
        </w:rPr>
      </w:pPr>
      <w:hyperlink w:anchor="_Toc221114304" w:history="1">
        <w:r w:rsidRPr="008300E8">
          <w:rPr>
            <w:rStyle w:val="Hyperlink"/>
            <w:rFonts w:ascii="Times New Roman" w:hAnsi="Times New Roman" w:cs="Times New Roman"/>
            <w:b w:val="0"/>
            <w:bCs w:val="0"/>
            <w:i w:val="0"/>
            <w:iCs w:val="0"/>
            <w:noProof/>
            <w:sz w:val="22"/>
            <w:szCs w:val="18"/>
          </w:rPr>
          <w:t>1968-69</w:t>
        </w:r>
        <w:r w:rsidRPr="008300E8">
          <w:rPr>
            <w:rFonts w:ascii="Times New Roman" w:hAnsi="Times New Roman" w:cs="Times New Roman"/>
            <w:b w:val="0"/>
            <w:bCs w:val="0"/>
            <w:i w:val="0"/>
            <w:iCs w:val="0"/>
            <w:noProof/>
            <w:webHidden/>
            <w:sz w:val="22"/>
            <w:szCs w:val="18"/>
          </w:rPr>
          <w:tab/>
        </w:r>
        <w:r w:rsidRPr="008300E8">
          <w:rPr>
            <w:rFonts w:ascii="Times New Roman" w:hAnsi="Times New Roman" w:cs="Times New Roman"/>
            <w:b w:val="0"/>
            <w:bCs w:val="0"/>
            <w:i w:val="0"/>
            <w:iCs w:val="0"/>
            <w:noProof/>
            <w:webHidden/>
            <w:sz w:val="22"/>
            <w:szCs w:val="18"/>
          </w:rPr>
          <w:fldChar w:fldCharType="begin"/>
        </w:r>
        <w:r w:rsidRPr="008300E8">
          <w:rPr>
            <w:rFonts w:ascii="Times New Roman" w:hAnsi="Times New Roman" w:cs="Times New Roman"/>
            <w:b w:val="0"/>
            <w:bCs w:val="0"/>
            <w:i w:val="0"/>
            <w:iCs w:val="0"/>
            <w:noProof/>
            <w:webHidden/>
            <w:sz w:val="22"/>
            <w:szCs w:val="18"/>
          </w:rPr>
          <w:instrText xml:space="preserve"> PAGEREF _Toc221114304 \h </w:instrText>
        </w:r>
        <w:r w:rsidRPr="008300E8">
          <w:rPr>
            <w:rFonts w:ascii="Times New Roman" w:hAnsi="Times New Roman" w:cs="Times New Roman"/>
            <w:b w:val="0"/>
            <w:bCs w:val="0"/>
            <w:i w:val="0"/>
            <w:iCs w:val="0"/>
            <w:noProof/>
            <w:webHidden/>
            <w:sz w:val="22"/>
            <w:szCs w:val="18"/>
          </w:rPr>
        </w:r>
        <w:r w:rsidRPr="008300E8">
          <w:rPr>
            <w:rFonts w:ascii="Times New Roman" w:hAnsi="Times New Roman" w:cs="Times New Roman"/>
            <w:b w:val="0"/>
            <w:bCs w:val="0"/>
            <w:i w:val="0"/>
            <w:iCs w:val="0"/>
            <w:noProof/>
            <w:webHidden/>
            <w:sz w:val="22"/>
            <w:szCs w:val="18"/>
          </w:rPr>
          <w:fldChar w:fldCharType="separate"/>
        </w:r>
        <w:r w:rsidR="00F70A97">
          <w:rPr>
            <w:rFonts w:ascii="Times New Roman" w:hAnsi="Times New Roman" w:cs="Times New Roman"/>
            <w:b w:val="0"/>
            <w:bCs w:val="0"/>
            <w:i w:val="0"/>
            <w:iCs w:val="0"/>
            <w:noProof/>
            <w:webHidden/>
            <w:sz w:val="22"/>
            <w:szCs w:val="18"/>
          </w:rPr>
          <w:t>155</w:t>
        </w:r>
        <w:r w:rsidRPr="008300E8">
          <w:rPr>
            <w:rFonts w:ascii="Times New Roman" w:hAnsi="Times New Roman" w:cs="Times New Roman"/>
            <w:b w:val="0"/>
            <w:bCs w:val="0"/>
            <w:i w:val="0"/>
            <w:iCs w:val="0"/>
            <w:noProof/>
            <w:webHidden/>
            <w:sz w:val="22"/>
            <w:szCs w:val="18"/>
          </w:rPr>
          <w:fldChar w:fldCharType="end"/>
        </w:r>
      </w:hyperlink>
    </w:p>
    <w:p w14:paraId="16966227" w14:textId="0E7FF40A" w:rsidR="008300E8" w:rsidRPr="008300E8" w:rsidRDefault="008300E8" w:rsidP="008300E8">
      <w:pPr>
        <w:pStyle w:val="TOC1"/>
        <w:tabs>
          <w:tab w:val="right" w:leader="dot" w:pos="9350"/>
        </w:tabs>
        <w:spacing w:line="240" w:lineRule="exact"/>
        <w:rPr>
          <w:rFonts w:ascii="Times New Roman" w:eastAsiaTheme="minorEastAsia" w:hAnsi="Times New Roman" w:cs="Times New Roman"/>
          <w:b w:val="0"/>
          <w:bCs w:val="0"/>
          <w:i w:val="0"/>
          <w:iCs w:val="0"/>
          <w:noProof/>
          <w:sz w:val="22"/>
          <w:szCs w:val="18"/>
          <w:lang w:eastAsia="en-IN"/>
        </w:rPr>
      </w:pPr>
      <w:hyperlink w:anchor="_Toc221114305" w:history="1">
        <w:r w:rsidRPr="008300E8">
          <w:rPr>
            <w:rStyle w:val="Hyperlink"/>
            <w:rFonts w:ascii="Times New Roman" w:hAnsi="Times New Roman" w:cs="Times New Roman"/>
            <w:b w:val="0"/>
            <w:bCs w:val="0"/>
            <w:i w:val="0"/>
            <w:iCs w:val="0"/>
            <w:noProof/>
            <w:sz w:val="22"/>
            <w:szCs w:val="18"/>
          </w:rPr>
          <w:t>Table 24: Rates of Entertainment Tax (In terms of percentage of the admission or entry ticket)</w:t>
        </w:r>
        <w:r w:rsidRPr="008300E8">
          <w:rPr>
            <w:rFonts w:ascii="Times New Roman" w:hAnsi="Times New Roman" w:cs="Times New Roman"/>
            <w:b w:val="0"/>
            <w:bCs w:val="0"/>
            <w:i w:val="0"/>
            <w:iCs w:val="0"/>
            <w:noProof/>
            <w:webHidden/>
            <w:sz w:val="22"/>
            <w:szCs w:val="18"/>
          </w:rPr>
          <w:tab/>
        </w:r>
        <w:r w:rsidRPr="008300E8">
          <w:rPr>
            <w:rFonts w:ascii="Times New Roman" w:hAnsi="Times New Roman" w:cs="Times New Roman"/>
            <w:b w:val="0"/>
            <w:bCs w:val="0"/>
            <w:i w:val="0"/>
            <w:iCs w:val="0"/>
            <w:noProof/>
            <w:webHidden/>
            <w:sz w:val="22"/>
            <w:szCs w:val="18"/>
          </w:rPr>
          <w:fldChar w:fldCharType="begin"/>
        </w:r>
        <w:r w:rsidRPr="008300E8">
          <w:rPr>
            <w:rFonts w:ascii="Times New Roman" w:hAnsi="Times New Roman" w:cs="Times New Roman"/>
            <w:b w:val="0"/>
            <w:bCs w:val="0"/>
            <w:i w:val="0"/>
            <w:iCs w:val="0"/>
            <w:noProof/>
            <w:webHidden/>
            <w:sz w:val="22"/>
            <w:szCs w:val="18"/>
          </w:rPr>
          <w:instrText xml:space="preserve"> PAGEREF _Toc221114305 \h </w:instrText>
        </w:r>
        <w:r w:rsidRPr="008300E8">
          <w:rPr>
            <w:rFonts w:ascii="Times New Roman" w:hAnsi="Times New Roman" w:cs="Times New Roman"/>
            <w:b w:val="0"/>
            <w:bCs w:val="0"/>
            <w:i w:val="0"/>
            <w:iCs w:val="0"/>
            <w:noProof/>
            <w:webHidden/>
            <w:sz w:val="22"/>
            <w:szCs w:val="18"/>
          </w:rPr>
        </w:r>
        <w:r w:rsidRPr="008300E8">
          <w:rPr>
            <w:rFonts w:ascii="Times New Roman" w:hAnsi="Times New Roman" w:cs="Times New Roman"/>
            <w:b w:val="0"/>
            <w:bCs w:val="0"/>
            <w:i w:val="0"/>
            <w:iCs w:val="0"/>
            <w:noProof/>
            <w:webHidden/>
            <w:sz w:val="22"/>
            <w:szCs w:val="18"/>
          </w:rPr>
          <w:fldChar w:fldCharType="separate"/>
        </w:r>
        <w:r w:rsidR="00F70A97">
          <w:rPr>
            <w:rFonts w:ascii="Times New Roman" w:hAnsi="Times New Roman" w:cs="Times New Roman"/>
            <w:b w:val="0"/>
            <w:bCs w:val="0"/>
            <w:i w:val="0"/>
            <w:iCs w:val="0"/>
            <w:noProof/>
            <w:webHidden/>
            <w:sz w:val="22"/>
            <w:szCs w:val="18"/>
          </w:rPr>
          <w:t>156</w:t>
        </w:r>
        <w:r w:rsidRPr="008300E8">
          <w:rPr>
            <w:rFonts w:ascii="Times New Roman" w:hAnsi="Times New Roman" w:cs="Times New Roman"/>
            <w:b w:val="0"/>
            <w:bCs w:val="0"/>
            <w:i w:val="0"/>
            <w:iCs w:val="0"/>
            <w:noProof/>
            <w:webHidden/>
            <w:sz w:val="22"/>
            <w:szCs w:val="18"/>
          </w:rPr>
          <w:fldChar w:fldCharType="end"/>
        </w:r>
      </w:hyperlink>
    </w:p>
    <w:p w14:paraId="2240214D" w14:textId="72D5E2C7" w:rsidR="008300E8" w:rsidRPr="008300E8" w:rsidRDefault="008300E8" w:rsidP="008300E8">
      <w:pPr>
        <w:pStyle w:val="TOC1"/>
        <w:tabs>
          <w:tab w:val="right" w:leader="dot" w:pos="9350"/>
        </w:tabs>
        <w:spacing w:line="240" w:lineRule="exact"/>
        <w:rPr>
          <w:rFonts w:ascii="Times New Roman" w:eastAsiaTheme="minorEastAsia" w:hAnsi="Times New Roman" w:cs="Times New Roman"/>
          <w:b w:val="0"/>
          <w:bCs w:val="0"/>
          <w:i w:val="0"/>
          <w:iCs w:val="0"/>
          <w:noProof/>
          <w:sz w:val="22"/>
          <w:szCs w:val="18"/>
          <w:lang w:eastAsia="en-IN"/>
        </w:rPr>
      </w:pPr>
      <w:hyperlink w:anchor="_Toc221114306" w:history="1">
        <w:r w:rsidRPr="008300E8">
          <w:rPr>
            <w:rStyle w:val="Hyperlink"/>
            <w:rFonts w:ascii="Times New Roman" w:hAnsi="Times New Roman" w:cs="Times New Roman"/>
            <w:b w:val="0"/>
            <w:bCs w:val="0"/>
            <w:i w:val="0"/>
            <w:iCs w:val="0"/>
            <w:noProof/>
            <w:sz w:val="22"/>
            <w:szCs w:val="18"/>
          </w:rPr>
          <w:t>Table 25: Rates of Stamp Duties and Registration</w:t>
        </w:r>
        <w:r w:rsidRPr="008300E8">
          <w:rPr>
            <w:rFonts w:ascii="Times New Roman" w:hAnsi="Times New Roman" w:cs="Times New Roman"/>
            <w:b w:val="0"/>
            <w:bCs w:val="0"/>
            <w:i w:val="0"/>
            <w:iCs w:val="0"/>
            <w:noProof/>
            <w:webHidden/>
            <w:sz w:val="22"/>
            <w:szCs w:val="18"/>
          </w:rPr>
          <w:tab/>
        </w:r>
        <w:r w:rsidRPr="008300E8">
          <w:rPr>
            <w:rFonts w:ascii="Times New Roman" w:hAnsi="Times New Roman" w:cs="Times New Roman"/>
            <w:b w:val="0"/>
            <w:bCs w:val="0"/>
            <w:i w:val="0"/>
            <w:iCs w:val="0"/>
            <w:noProof/>
            <w:webHidden/>
            <w:sz w:val="22"/>
            <w:szCs w:val="18"/>
          </w:rPr>
          <w:fldChar w:fldCharType="begin"/>
        </w:r>
        <w:r w:rsidRPr="008300E8">
          <w:rPr>
            <w:rFonts w:ascii="Times New Roman" w:hAnsi="Times New Roman" w:cs="Times New Roman"/>
            <w:b w:val="0"/>
            <w:bCs w:val="0"/>
            <w:i w:val="0"/>
            <w:iCs w:val="0"/>
            <w:noProof/>
            <w:webHidden/>
            <w:sz w:val="22"/>
            <w:szCs w:val="18"/>
          </w:rPr>
          <w:instrText xml:space="preserve"> PAGEREF _Toc221114306 \h </w:instrText>
        </w:r>
        <w:r w:rsidRPr="008300E8">
          <w:rPr>
            <w:rFonts w:ascii="Times New Roman" w:hAnsi="Times New Roman" w:cs="Times New Roman"/>
            <w:b w:val="0"/>
            <w:bCs w:val="0"/>
            <w:i w:val="0"/>
            <w:iCs w:val="0"/>
            <w:noProof/>
            <w:webHidden/>
            <w:sz w:val="22"/>
            <w:szCs w:val="18"/>
          </w:rPr>
        </w:r>
        <w:r w:rsidRPr="008300E8">
          <w:rPr>
            <w:rFonts w:ascii="Times New Roman" w:hAnsi="Times New Roman" w:cs="Times New Roman"/>
            <w:b w:val="0"/>
            <w:bCs w:val="0"/>
            <w:i w:val="0"/>
            <w:iCs w:val="0"/>
            <w:noProof/>
            <w:webHidden/>
            <w:sz w:val="22"/>
            <w:szCs w:val="18"/>
          </w:rPr>
          <w:fldChar w:fldCharType="separate"/>
        </w:r>
        <w:r w:rsidR="00F70A97">
          <w:rPr>
            <w:rFonts w:ascii="Times New Roman" w:hAnsi="Times New Roman" w:cs="Times New Roman"/>
            <w:b w:val="0"/>
            <w:bCs w:val="0"/>
            <w:i w:val="0"/>
            <w:iCs w:val="0"/>
            <w:noProof/>
            <w:webHidden/>
            <w:sz w:val="22"/>
            <w:szCs w:val="18"/>
          </w:rPr>
          <w:t>159</w:t>
        </w:r>
        <w:r w:rsidRPr="008300E8">
          <w:rPr>
            <w:rFonts w:ascii="Times New Roman" w:hAnsi="Times New Roman" w:cs="Times New Roman"/>
            <w:b w:val="0"/>
            <w:bCs w:val="0"/>
            <w:i w:val="0"/>
            <w:iCs w:val="0"/>
            <w:noProof/>
            <w:webHidden/>
            <w:sz w:val="22"/>
            <w:szCs w:val="18"/>
          </w:rPr>
          <w:fldChar w:fldCharType="end"/>
        </w:r>
      </w:hyperlink>
    </w:p>
    <w:p w14:paraId="114A441E" w14:textId="02C84B4D" w:rsidR="008300E8" w:rsidRPr="008300E8" w:rsidRDefault="008300E8" w:rsidP="008300E8">
      <w:pPr>
        <w:pStyle w:val="TOC1"/>
        <w:tabs>
          <w:tab w:val="right" w:leader="dot" w:pos="9350"/>
        </w:tabs>
        <w:spacing w:line="240" w:lineRule="exact"/>
        <w:rPr>
          <w:rFonts w:ascii="Times New Roman" w:eastAsiaTheme="minorEastAsia" w:hAnsi="Times New Roman" w:cs="Times New Roman"/>
          <w:b w:val="0"/>
          <w:bCs w:val="0"/>
          <w:i w:val="0"/>
          <w:iCs w:val="0"/>
          <w:noProof/>
          <w:sz w:val="22"/>
          <w:szCs w:val="18"/>
          <w:lang w:eastAsia="en-IN"/>
        </w:rPr>
      </w:pPr>
      <w:hyperlink w:anchor="_Toc221114307" w:history="1">
        <w:r w:rsidRPr="008300E8">
          <w:rPr>
            <w:rStyle w:val="Hyperlink"/>
            <w:rFonts w:ascii="Times New Roman" w:hAnsi="Times New Roman" w:cs="Times New Roman"/>
            <w:b w:val="0"/>
            <w:bCs w:val="0"/>
            <w:i w:val="0"/>
            <w:iCs w:val="0"/>
            <w:noProof/>
            <w:sz w:val="22"/>
            <w:szCs w:val="18"/>
          </w:rPr>
          <w:t>Table 26: Rates of tax on motor vehicles</w:t>
        </w:r>
        <w:r w:rsidRPr="008300E8">
          <w:rPr>
            <w:rFonts w:ascii="Times New Roman" w:hAnsi="Times New Roman" w:cs="Times New Roman"/>
            <w:b w:val="0"/>
            <w:bCs w:val="0"/>
            <w:i w:val="0"/>
            <w:iCs w:val="0"/>
            <w:noProof/>
            <w:webHidden/>
            <w:sz w:val="22"/>
            <w:szCs w:val="18"/>
          </w:rPr>
          <w:tab/>
        </w:r>
        <w:r w:rsidRPr="008300E8">
          <w:rPr>
            <w:rFonts w:ascii="Times New Roman" w:hAnsi="Times New Roman" w:cs="Times New Roman"/>
            <w:b w:val="0"/>
            <w:bCs w:val="0"/>
            <w:i w:val="0"/>
            <w:iCs w:val="0"/>
            <w:noProof/>
            <w:webHidden/>
            <w:sz w:val="22"/>
            <w:szCs w:val="18"/>
          </w:rPr>
          <w:fldChar w:fldCharType="begin"/>
        </w:r>
        <w:r w:rsidRPr="008300E8">
          <w:rPr>
            <w:rFonts w:ascii="Times New Roman" w:hAnsi="Times New Roman" w:cs="Times New Roman"/>
            <w:b w:val="0"/>
            <w:bCs w:val="0"/>
            <w:i w:val="0"/>
            <w:iCs w:val="0"/>
            <w:noProof/>
            <w:webHidden/>
            <w:sz w:val="22"/>
            <w:szCs w:val="18"/>
          </w:rPr>
          <w:instrText xml:space="preserve"> PAGEREF _Toc221114307 \h </w:instrText>
        </w:r>
        <w:r w:rsidRPr="008300E8">
          <w:rPr>
            <w:rFonts w:ascii="Times New Roman" w:hAnsi="Times New Roman" w:cs="Times New Roman"/>
            <w:b w:val="0"/>
            <w:bCs w:val="0"/>
            <w:i w:val="0"/>
            <w:iCs w:val="0"/>
            <w:noProof/>
            <w:webHidden/>
            <w:sz w:val="22"/>
            <w:szCs w:val="18"/>
          </w:rPr>
        </w:r>
        <w:r w:rsidRPr="008300E8">
          <w:rPr>
            <w:rFonts w:ascii="Times New Roman" w:hAnsi="Times New Roman" w:cs="Times New Roman"/>
            <w:b w:val="0"/>
            <w:bCs w:val="0"/>
            <w:i w:val="0"/>
            <w:iCs w:val="0"/>
            <w:noProof/>
            <w:webHidden/>
            <w:sz w:val="22"/>
            <w:szCs w:val="18"/>
          </w:rPr>
          <w:fldChar w:fldCharType="separate"/>
        </w:r>
        <w:r w:rsidR="00F70A97">
          <w:rPr>
            <w:rFonts w:ascii="Times New Roman" w:hAnsi="Times New Roman" w:cs="Times New Roman"/>
            <w:b w:val="0"/>
            <w:bCs w:val="0"/>
            <w:i w:val="0"/>
            <w:iCs w:val="0"/>
            <w:noProof/>
            <w:webHidden/>
            <w:sz w:val="22"/>
            <w:szCs w:val="18"/>
          </w:rPr>
          <w:t>160</w:t>
        </w:r>
        <w:r w:rsidRPr="008300E8">
          <w:rPr>
            <w:rFonts w:ascii="Times New Roman" w:hAnsi="Times New Roman" w:cs="Times New Roman"/>
            <w:b w:val="0"/>
            <w:bCs w:val="0"/>
            <w:i w:val="0"/>
            <w:iCs w:val="0"/>
            <w:noProof/>
            <w:webHidden/>
            <w:sz w:val="22"/>
            <w:szCs w:val="18"/>
          </w:rPr>
          <w:fldChar w:fldCharType="end"/>
        </w:r>
      </w:hyperlink>
    </w:p>
    <w:p w14:paraId="6923EEC4" w14:textId="100C3469" w:rsidR="008300E8" w:rsidRPr="008300E8" w:rsidRDefault="008300E8" w:rsidP="008300E8">
      <w:pPr>
        <w:pStyle w:val="TOC1"/>
        <w:tabs>
          <w:tab w:val="right" w:leader="dot" w:pos="9350"/>
        </w:tabs>
        <w:spacing w:line="240" w:lineRule="exact"/>
        <w:rPr>
          <w:rFonts w:ascii="Times New Roman" w:eastAsiaTheme="minorEastAsia" w:hAnsi="Times New Roman" w:cs="Times New Roman"/>
          <w:b w:val="0"/>
          <w:bCs w:val="0"/>
          <w:i w:val="0"/>
          <w:iCs w:val="0"/>
          <w:noProof/>
          <w:sz w:val="22"/>
          <w:szCs w:val="18"/>
          <w:lang w:eastAsia="en-IN"/>
        </w:rPr>
      </w:pPr>
      <w:hyperlink w:anchor="_Toc221114308" w:history="1">
        <w:r w:rsidRPr="008300E8">
          <w:rPr>
            <w:rStyle w:val="Hyperlink"/>
            <w:rFonts w:ascii="Times New Roman" w:hAnsi="Times New Roman" w:cs="Times New Roman"/>
            <w:b w:val="0"/>
            <w:bCs w:val="0"/>
            <w:i w:val="0"/>
            <w:iCs w:val="0"/>
            <w:noProof/>
            <w:sz w:val="22"/>
            <w:szCs w:val="18"/>
          </w:rPr>
          <w:t>Table 27: Estimated loss of land revenue over the 5-year period 1969-70 to 1973-74 from abolition of the tax or concession given during 1967-68 and 1968-69.</w:t>
        </w:r>
        <w:r w:rsidRPr="008300E8">
          <w:rPr>
            <w:rFonts w:ascii="Times New Roman" w:hAnsi="Times New Roman" w:cs="Times New Roman"/>
            <w:b w:val="0"/>
            <w:bCs w:val="0"/>
            <w:i w:val="0"/>
            <w:iCs w:val="0"/>
            <w:noProof/>
            <w:webHidden/>
            <w:sz w:val="22"/>
            <w:szCs w:val="18"/>
          </w:rPr>
          <w:tab/>
        </w:r>
        <w:r w:rsidRPr="008300E8">
          <w:rPr>
            <w:rFonts w:ascii="Times New Roman" w:hAnsi="Times New Roman" w:cs="Times New Roman"/>
            <w:b w:val="0"/>
            <w:bCs w:val="0"/>
            <w:i w:val="0"/>
            <w:iCs w:val="0"/>
            <w:noProof/>
            <w:webHidden/>
            <w:sz w:val="22"/>
            <w:szCs w:val="18"/>
          </w:rPr>
          <w:fldChar w:fldCharType="begin"/>
        </w:r>
        <w:r w:rsidRPr="008300E8">
          <w:rPr>
            <w:rFonts w:ascii="Times New Roman" w:hAnsi="Times New Roman" w:cs="Times New Roman"/>
            <w:b w:val="0"/>
            <w:bCs w:val="0"/>
            <w:i w:val="0"/>
            <w:iCs w:val="0"/>
            <w:noProof/>
            <w:webHidden/>
            <w:sz w:val="22"/>
            <w:szCs w:val="18"/>
          </w:rPr>
          <w:instrText xml:space="preserve"> PAGEREF _Toc221114308 \h </w:instrText>
        </w:r>
        <w:r w:rsidRPr="008300E8">
          <w:rPr>
            <w:rFonts w:ascii="Times New Roman" w:hAnsi="Times New Roman" w:cs="Times New Roman"/>
            <w:b w:val="0"/>
            <w:bCs w:val="0"/>
            <w:i w:val="0"/>
            <w:iCs w:val="0"/>
            <w:noProof/>
            <w:webHidden/>
            <w:sz w:val="22"/>
            <w:szCs w:val="18"/>
          </w:rPr>
        </w:r>
        <w:r w:rsidRPr="008300E8">
          <w:rPr>
            <w:rFonts w:ascii="Times New Roman" w:hAnsi="Times New Roman" w:cs="Times New Roman"/>
            <w:b w:val="0"/>
            <w:bCs w:val="0"/>
            <w:i w:val="0"/>
            <w:iCs w:val="0"/>
            <w:noProof/>
            <w:webHidden/>
            <w:sz w:val="22"/>
            <w:szCs w:val="18"/>
          </w:rPr>
          <w:fldChar w:fldCharType="separate"/>
        </w:r>
        <w:r w:rsidR="00F70A97">
          <w:rPr>
            <w:rFonts w:ascii="Times New Roman" w:hAnsi="Times New Roman" w:cs="Times New Roman"/>
            <w:b w:val="0"/>
            <w:bCs w:val="0"/>
            <w:i w:val="0"/>
            <w:iCs w:val="0"/>
            <w:noProof/>
            <w:webHidden/>
            <w:sz w:val="22"/>
            <w:szCs w:val="18"/>
          </w:rPr>
          <w:t>163</w:t>
        </w:r>
        <w:r w:rsidRPr="008300E8">
          <w:rPr>
            <w:rFonts w:ascii="Times New Roman" w:hAnsi="Times New Roman" w:cs="Times New Roman"/>
            <w:b w:val="0"/>
            <w:bCs w:val="0"/>
            <w:i w:val="0"/>
            <w:iCs w:val="0"/>
            <w:noProof/>
            <w:webHidden/>
            <w:sz w:val="22"/>
            <w:szCs w:val="18"/>
          </w:rPr>
          <w:fldChar w:fldCharType="end"/>
        </w:r>
      </w:hyperlink>
    </w:p>
    <w:p w14:paraId="228BB411" w14:textId="1736320E" w:rsidR="008300E8" w:rsidRDefault="008300E8" w:rsidP="008300E8">
      <w:pPr>
        <w:pStyle w:val="TOC1"/>
        <w:tabs>
          <w:tab w:val="right" w:leader="dot" w:pos="9350"/>
        </w:tabs>
        <w:spacing w:line="240" w:lineRule="exact"/>
        <w:rPr>
          <w:rStyle w:val="Hyperlink"/>
          <w:rFonts w:ascii="Times New Roman" w:hAnsi="Times New Roman" w:cs="Times New Roman"/>
          <w:b w:val="0"/>
          <w:bCs w:val="0"/>
          <w:i w:val="0"/>
          <w:iCs w:val="0"/>
          <w:noProof/>
          <w:sz w:val="22"/>
          <w:szCs w:val="18"/>
        </w:rPr>
      </w:pPr>
      <w:hyperlink w:anchor="_Toc221114309" w:history="1">
        <w:r w:rsidRPr="008300E8">
          <w:rPr>
            <w:rStyle w:val="Hyperlink"/>
            <w:rFonts w:ascii="Times New Roman" w:hAnsi="Times New Roman" w:cs="Times New Roman"/>
            <w:b w:val="0"/>
            <w:bCs w:val="0"/>
            <w:i w:val="0"/>
            <w:iCs w:val="0"/>
            <w:noProof/>
            <w:sz w:val="22"/>
            <w:szCs w:val="18"/>
          </w:rPr>
          <w:t>Table 28: Estimated loss of revenue over the 5-year period 1969-70 to 1973-74 from abolition of taxes other than land revenue or concession given during 1966-67 to 1968-69</w:t>
        </w:r>
        <w:r w:rsidRPr="008300E8">
          <w:rPr>
            <w:rFonts w:ascii="Times New Roman" w:hAnsi="Times New Roman" w:cs="Times New Roman"/>
            <w:b w:val="0"/>
            <w:bCs w:val="0"/>
            <w:i w:val="0"/>
            <w:iCs w:val="0"/>
            <w:noProof/>
            <w:webHidden/>
            <w:sz w:val="22"/>
            <w:szCs w:val="18"/>
          </w:rPr>
          <w:tab/>
        </w:r>
        <w:r w:rsidRPr="008300E8">
          <w:rPr>
            <w:rFonts w:ascii="Times New Roman" w:hAnsi="Times New Roman" w:cs="Times New Roman"/>
            <w:b w:val="0"/>
            <w:bCs w:val="0"/>
            <w:i w:val="0"/>
            <w:iCs w:val="0"/>
            <w:noProof/>
            <w:webHidden/>
            <w:sz w:val="22"/>
            <w:szCs w:val="18"/>
          </w:rPr>
          <w:fldChar w:fldCharType="begin"/>
        </w:r>
        <w:r w:rsidRPr="008300E8">
          <w:rPr>
            <w:rFonts w:ascii="Times New Roman" w:hAnsi="Times New Roman" w:cs="Times New Roman"/>
            <w:b w:val="0"/>
            <w:bCs w:val="0"/>
            <w:i w:val="0"/>
            <w:iCs w:val="0"/>
            <w:noProof/>
            <w:webHidden/>
            <w:sz w:val="22"/>
            <w:szCs w:val="18"/>
          </w:rPr>
          <w:instrText xml:space="preserve"> PAGEREF _Toc221114309 \h </w:instrText>
        </w:r>
        <w:r w:rsidRPr="008300E8">
          <w:rPr>
            <w:rFonts w:ascii="Times New Roman" w:hAnsi="Times New Roman" w:cs="Times New Roman"/>
            <w:b w:val="0"/>
            <w:bCs w:val="0"/>
            <w:i w:val="0"/>
            <w:iCs w:val="0"/>
            <w:noProof/>
            <w:webHidden/>
            <w:sz w:val="22"/>
            <w:szCs w:val="18"/>
          </w:rPr>
        </w:r>
        <w:r w:rsidRPr="008300E8">
          <w:rPr>
            <w:rFonts w:ascii="Times New Roman" w:hAnsi="Times New Roman" w:cs="Times New Roman"/>
            <w:b w:val="0"/>
            <w:bCs w:val="0"/>
            <w:i w:val="0"/>
            <w:iCs w:val="0"/>
            <w:noProof/>
            <w:webHidden/>
            <w:sz w:val="22"/>
            <w:szCs w:val="18"/>
          </w:rPr>
          <w:fldChar w:fldCharType="separate"/>
        </w:r>
        <w:r w:rsidR="00F70A97">
          <w:rPr>
            <w:rFonts w:ascii="Times New Roman" w:hAnsi="Times New Roman" w:cs="Times New Roman"/>
            <w:b w:val="0"/>
            <w:bCs w:val="0"/>
            <w:i w:val="0"/>
            <w:iCs w:val="0"/>
            <w:noProof/>
            <w:webHidden/>
            <w:sz w:val="22"/>
            <w:szCs w:val="18"/>
          </w:rPr>
          <w:t>165</w:t>
        </w:r>
        <w:r w:rsidRPr="008300E8">
          <w:rPr>
            <w:rFonts w:ascii="Times New Roman" w:hAnsi="Times New Roman" w:cs="Times New Roman"/>
            <w:b w:val="0"/>
            <w:bCs w:val="0"/>
            <w:i w:val="0"/>
            <w:iCs w:val="0"/>
            <w:noProof/>
            <w:webHidden/>
            <w:sz w:val="22"/>
            <w:szCs w:val="18"/>
          </w:rPr>
          <w:fldChar w:fldCharType="end"/>
        </w:r>
      </w:hyperlink>
    </w:p>
    <w:p w14:paraId="0D18154B" w14:textId="30395D3F" w:rsidR="008300E8" w:rsidRPr="008300E8" w:rsidRDefault="008300E8" w:rsidP="008300E8">
      <w:pPr>
        <w:spacing w:before="240" w:after="0"/>
        <w:jc w:val="center"/>
        <w:rPr>
          <w:rFonts w:ascii="Times New Roman" w:hAnsi="Times New Roman" w:cs="Times New Roman"/>
          <w:i/>
          <w:iCs/>
        </w:rPr>
      </w:pPr>
      <w:r w:rsidRPr="008300E8">
        <w:rPr>
          <w:rFonts w:ascii="Times New Roman" w:hAnsi="Times New Roman" w:cs="Times New Roman"/>
          <w:i/>
          <w:iCs/>
        </w:rPr>
        <w:t>C. States' Expenditure</w:t>
      </w:r>
    </w:p>
    <w:p w14:paraId="6487A200" w14:textId="2CAEFF12" w:rsidR="008300E8" w:rsidRPr="008300E8" w:rsidRDefault="008300E8" w:rsidP="008300E8">
      <w:pPr>
        <w:pStyle w:val="TOC1"/>
        <w:tabs>
          <w:tab w:val="right" w:leader="dot" w:pos="9350"/>
        </w:tabs>
        <w:spacing w:line="240" w:lineRule="exact"/>
        <w:rPr>
          <w:rFonts w:ascii="Times New Roman" w:eastAsiaTheme="minorEastAsia" w:hAnsi="Times New Roman" w:cs="Times New Roman"/>
          <w:b w:val="0"/>
          <w:bCs w:val="0"/>
          <w:i w:val="0"/>
          <w:iCs w:val="0"/>
          <w:noProof/>
          <w:sz w:val="22"/>
          <w:szCs w:val="18"/>
          <w:lang w:eastAsia="en-IN"/>
        </w:rPr>
      </w:pPr>
      <w:hyperlink w:anchor="_Toc221114310" w:history="1">
        <w:r w:rsidRPr="008300E8">
          <w:rPr>
            <w:rStyle w:val="Hyperlink"/>
            <w:rFonts w:ascii="Times New Roman" w:hAnsi="Times New Roman" w:cs="Times New Roman"/>
            <w:b w:val="0"/>
            <w:bCs w:val="0"/>
            <w:i w:val="0"/>
            <w:iCs w:val="0"/>
            <w:noProof/>
            <w:sz w:val="22"/>
            <w:szCs w:val="18"/>
          </w:rPr>
          <w:t>Table 29: Growth and Pattern of States' Revenue Expenditure</w:t>
        </w:r>
        <w:r w:rsidRPr="008300E8">
          <w:rPr>
            <w:rFonts w:ascii="Times New Roman" w:hAnsi="Times New Roman" w:cs="Times New Roman"/>
            <w:b w:val="0"/>
            <w:bCs w:val="0"/>
            <w:i w:val="0"/>
            <w:iCs w:val="0"/>
            <w:noProof/>
            <w:webHidden/>
            <w:sz w:val="22"/>
            <w:szCs w:val="18"/>
          </w:rPr>
          <w:tab/>
        </w:r>
        <w:r w:rsidRPr="008300E8">
          <w:rPr>
            <w:rFonts w:ascii="Times New Roman" w:hAnsi="Times New Roman" w:cs="Times New Roman"/>
            <w:b w:val="0"/>
            <w:bCs w:val="0"/>
            <w:i w:val="0"/>
            <w:iCs w:val="0"/>
            <w:noProof/>
            <w:webHidden/>
            <w:sz w:val="22"/>
            <w:szCs w:val="18"/>
          </w:rPr>
          <w:fldChar w:fldCharType="begin"/>
        </w:r>
        <w:r w:rsidRPr="008300E8">
          <w:rPr>
            <w:rFonts w:ascii="Times New Roman" w:hAnsi="Times New Roman" w:cs="Times New Roman"/>
            <w:b w:val="0"/>
            <w:bCs w:val="0"/>
            <w:i w:val="0"/>
            <w:iCs w:val="0"/>
            <w:noProof/>
            <w:webHidden/>
            <w:sz w:val="22"/>
            <w:szCs w:val="18"/>
          </w:rPr>
          <w:instrText xml:space="preserve"> PAGEREF _Toc221114310 \h </w:instrText>
        </w:r>
        <w:r w:rsidRPr="008300E8">
          <w:rPr>
            <w:rFonts w:ascii="Times New Roman" w:hAnsi="Times New Roman" w:cs="Times New Roman"/>
            <w:b w:val="0"/>
            <w:bCs w:val="0"/>
            <w:i w:val="0"/>
            <w:iCs w:val="0"/>
            <w:noProof/>
            <w:webHidden/>
            <w:sz w:val="22"/>
            <w:szCs w:val="18"/>
          </w:rPr>
        </w:r>
        <w:r w:rsidRPr="008300E8">
          <w:rPr>
            <w:rFonts w:ascii="Times New Roman" w:hAnsi="Times New Roman" w:cs="Times New Roman"/>
            <w:b w:val="0"/>
            <w:bCs w:val="0"/>
            <w:i w:val="0"/>
            <w:iCs w:val="0"/>
            <w:noProof/>
            <w:webHidden/>
            <w:sz w:val="22"/>
            <w:szCs w:val="18"/>
          </w:rPr>
          <w:fldChar w:fldCharType="separate"/>
        </w:r>
        <w:r w:rsidR="00F70A97">
          <w:rPr>
            <w:rFonts w:ascii="Times New Roman" w:hAnsi="Times New Roman" w:cs="Times New Roman"/>
            <w:b w:val="0"/>
            <w:bCs w:val="0"/>
            <w:i w:val="0"/>
            <w:iCs w:val="0"/>
            <w:noProof/>
            <w:webHidden/>
            <w:sz w:val="22"/>
            <w:szCs w:val="18"/>
          </w:rPr>
          <w:t>167</w:t>
        </w:r>
        <w:r w:rsidRPr="008300E8">
          <w:rPr>
            <w:rFonts w:ascii="Times New Roman" w:hAnsi="Times New Roman" w:cs="Times New Roman"/>
            <w:b w:val="0"/>
            <w:bCs w:val="0"/>
            <w:i w:val="0"/>
            <w:iCs w:val="0"/>
            <w:noProof/>
            <w:webHidden/>
            <w:sz w:val="22"/>
            <w:szCs w:val="18"/>
          </w:rPr>
          <w:fldChar w:fldCharType="end"/>
        </w:r>
      </w:hyperlink>
    </w:p>
    <w:p w14:paraId="425ED22F" w14:textId="46A8741E" w:rsidR="008300E8" w:rsidRPr="008300E8" w:rsidRDefault="008300E8" w:rsidP="008300E8">
      <w:pPr>
        <w:pStyle w:val="TOC1"/>
        <w:tabs>
          <w:tab w:val="right" w:leader="dot" w:pos="9350"/>
        </w:tabs>
        <w:spacing w:line="240" w:lineRule="exact"/>
        <w:rPr>
          <w:rFonts w:ascii="Times New Roman" w:eastAsiaTheme="minorEastAsia" w:hAnsi="Times New Roman" w:cs="Times New Roman"/>
          <w:b w:val="0"/>
          <w:bCs w:val="0"/>
          <w:i w:val="0"/>
          <w:iCs w:val="0"/>
          <w:noProof/>
          <w:sz w:val="22"/>
          <w:szCs w:val="18"/>
          <w:lang w:eastAsia="en-IN"/>
        </w:rPr>
      </w:pPr>
      <w:hyperlink w:anchor="_Toc221114311" w:history="1">
        <w:r w:rsidRPr="008300E8">
          <w:rPr>
            <w:rStyle w:val="Hyperlink"/>
            <w:rFonts w:ascii="Times New Roman" w:hAnsi="Times New Roman" w:cs="Times New Roman"/>
            <w:b w:val="0"/>
            <w:bCs w:val="0"/>
            <w:i w:val="0"/>
            <w:iCs w:val="0"/>
            <w:noProof/>
            <w:sz w:val="22"/>
            <w:szCs w:val="18"/>
          </w:rPr>
          <w:t>Table 30: Per capita expenditure under important heads in 1967-68</w:t>
        </w:r>
        <w:r w:rsidRPr="008300E8">
          <w:rPr>
            <w:rFonts w:ascii="Times New Roman" w:hAnsi="Times New Roman" w:cs="Times New Roman"/>
            <w:b w:val="0"/>
            <w:bCs w:val="0"/>
            <w:i w:val="0"/>
            <w:iCs w:val="0"/>
            <w:noProof/>
            <w:webHidden/>
            <w:sz w:val="22"/>
            <w:szCs w:val="18"/>
          </w:rPr>
          <w:tab/>
        </w:r>
        <w:r w:rsidRPr="008300E8">
          <w:rPr>
            <w:rFonts w:ascii="Times New Roman" w:hAnsi="Times New Roman" w:cs="Times New Roman"/>
            <w:b w:val="0"/>
            <w:bCs w:val="0"/>
            <w:i w:val="0"/>
            <w:iCs w:val="0"/>
            <w:noProof/>
            <w:webHidden/>
            <w:sz w:val="22"/>
            <w:szCs w:val="18"/>
          </w:rPr>
          <w:fldChar w:fldCharType="begin"/>
        </w:r>
        <w:r w:rsidRPr="008300E8">
          <w:rPr>
            <w:rFonts w:ascii="Times New Roman" w:hAnsi="Times New Roman" w:cs="Times New Roman"/>
            <w:b w:val="0"/>
            <w:bCs w:val="0"/>
            <w:i w:val="0"/>
            <w:iCs w:val="0"/>
            <w:noProof/>
            <w:webHidden/>
            <w:sz w:val="22"/>
            <w:szCs w:val="18"/>
          </w:rPr>
          <w:instrText xml:space="preserve"> PAGEREF _Toc221114311 \h </w:instrText>
        </w:r>
        <w:r w:rsidRPr="008300E8">
          <w:rPr>
            <w:rFonts w:ascii="Times New Roman" w:hAnsi="Times New Roman" w:cs="Times New Roman"/>
            <w:b w:val="0"/>
            <w:bCs w:val="0"/>
            <w:i w:val="0"/>
            <w:iCs w:val="0"/>
            <w:noProof/>
            <w:webHidden/>
            <w:sz w:val="22"/>
            <w:szCs w:val="18"/>
          </w:rPr>
        </w:r>
        <w:r w:rsidRPr="008300E8">
          <w:rPr>
            <w:rFonts w:ascii="Times New Roman" w:hAnsi="Times New Roman" w:cs="Times New Roman"/>
            <w:b w:val="0"/>
            <w:bCs w:val="0"/>
            <w:i w:val="0"/>
            <w:iCs w:val="0"/>
            <w:noProof/>
            <w:webHidden/>
            <w:sz w:val="22"/>
            <w:szCs w:val="18"/>
          </w:rPr>
          <w:fldChar w:fldCharType="separate"/>
        </w:r>
        <w:r w:rsidR="00F70A97">
          <w:rPr>
            <w:rFonts w:ascii="Times New Roman" w:hAnsi="Times New Roman" w:cs="Times New Roman"/>
            <w:b w:val="0"/>
            <w:bCs w:val="0"/>
            <w:i w:val="0"/>
            <w:iCs w:val="0"/>
            <w:noProof/>
            <w:webHidden/>
            <w:sz w:val="22"/>
            <w:szCs w:val="18"/>
          </w:rPr>
          <w:t>173</w:t>
        </w:r>
        <w:r w:rsidRPr="008300E8">
          <w:rPr>
            <w:rFonts w:ascii="Times New Roman" w:hAnsi="Times New Roman" w:cs="Times New Roman"/>
            <w:b w:val="0"/>
            <w:bCs w:val="0"/>
            <w:i w:val="0"/>
            <w:iCs w:val="0"/>
            <w:noProof/>
            <w:webHidden/>
            <w:sz w:val="22"/>
            <w:szCs w:val="18"/>
          </w:rPr>
          <w:fldChar w:fldCharType="end"/>
        </w:r>
      </w:hyperlink>
    </w:p>
    <w:p w14:paraId="4AB23C66" w14:textId="6841E6C2" w:rsidR="008300E8" w:rsidRPr="008300E8" w:rsidRDefault="008300E8" w:rsidP="008300E8">
      <w:pPr>
        <w:pStyle w:val="TOC1"/>
        <w:tabs>
          <w:tab w:val="right" w:leader="dot" w:pos="9350"/>
        </w:tabs>
        <w:spacing w:line="240" w:lineRule="exact"/>
        <w:rPr>
          <w:rFonts w:ascii="Times New Roman" w:eastAsiaTheme="minorEastAsia" w:hAnsi="Times New Roman" w:cs="Times New Roman"/>
          <w:b w:val="0"/>
          <w:bCs w:val="0"/>
          <w:i w:val="0"/>
          <w:iCs w:val="0"/>
          <w:noProof/>
          <w:sz w:val="22"/>
          <w:szCs w:val="18"/>
          <w:lang w:eastAsia="en-IN"/>
        </w:rPr>
      </w:pPr>
      <w:hyperlink w:anchor="_Toc221114312" w:history="1">
        <w:r w:rsidRPr="008300E8">
          <w:rPr>
            <w:rStyle w:val="Hyperlink"/>
            <w:rFonts w:ascii="Times New Roman" w:hAnsi="Times New Roman" w:cs="Times New Roman"/>
            <w:b w:val="0"/>
            <w:bCs w:val="0"/>
            <w:i w:val="0"/>
            <w:iCs w:val="0"/>
            <w:noProof/>
            <w:sz w:val="22"/>
            <w:szCs w:val="18"/>
          </w:rPr>
          <w:t>Table 31: Revenue expenditure on Natural Calamities during the years 1957-58 to 1967-68</w:t>
        </w:r>
        <w:r w:rsidRPr="008300E8">
          <w:rPr>
            <w:rFonts w:ascii="Times New Roman" w:hAnsi="Times New Roman" w:cs="Times New Roman"/>
            <w:b w:val="0"/>
            <w:bCs w:val="0"/>
            <w:i w:val="0"/>
            <w:iCs w:val="0"/>
            <w:noProof/>
            <w:webHidden/>
            <w:sz w:val="22"/>
            <w:szCs w:val="18"/>
          </w:rPr>
          <w:tab/>
        </w:r>
        <w:r w:rsidRPr="008300E8">
          <w:rPr>
            <w:rFonts w:ascii="Times New Roman" w:hAnsi="Times New Roman" w:cs="Times New Roman"/>
            <w:b w:val="0"/>
            <w:bCs w:val="0"/>
            <w:i w:val="0"/>
            <w:iCs w:val="0"/>
            <w:noProof/>
            <w:webHidden/>
            <w:sz w:val="22"/>
            <w:szCs w:val="18"/>
          </w:rPr>
          <w:fldChar w:fldCharType="begin"/>
        </w:r>
        <w:r w:rsidRPr="008300E8">
          <w:rPr>
            <w:rFonts w:ascii="Times New Roman" w:hAnsi="Times New Roman" w:cs="Times New Roman"/>
            <w:b w:val="0"/>
            <w:bCs w:val="0"/>
            <w:i w:val="0"/>
            <w:iCs w:val="0"/>
            <w:noProof/>
            <w:webHidden/>
            <w:sz w:val="22"/>
            <w:szCs w:val="18"/>
          </w:rPr>
          <w:instrText xml:space="preserve"> PAGEREF _Toc221114312 \h </w:instrText>
        </w:r>
        <w:r w:rsidRPr="008300E8">
          <w:rPr>
            <w:rFonts w:ascii="Times New Roman" w:hAnsi="Times New Roman" w:cs="Times New Roman"/>
            <w:b w:val="0"/>
            <w:bCs w:val="0"/>
            <w:i w:val="0"/>
            <w:iCs w:val="0"/>
            <w:noProof/>
            <w:webHidden/>
            <w:sz w:val="22"/>
            <w:szCs w:val="18"/>
          </w:rPr>
        </w:r>
        <w:r w:rsidRPr="008300E8">
          <w:rPr>
            <w:rFonts w:ascii="Times New Roman" w:hAnsi="Times New Roman" w:cs="Times New Roman"/>
            <w:b w:val="0"/>
            <w:bCs w:val="0"/>
            <w:i w:val="0"/>
            <w:iCs w:val="0"/>
            <w:noProof/>
            <w:webHidden/>
            <w:sz w:val="22"/>
            <w:szCs w:val="18"/>
          </w:rPr>
          <w:fldChar w:fldCharType="separate"/>
        </w:r>
        <w:r w:rsidR="00F70A97">
          <w:rPr>
            <w:rFonts w:ascii="Times New Roman" w:hAnsi="Times New Roman" w:cs="Times New Roman"/>
            <w:b w:val="0"/>
            <w:bCs w:val="0"/>
            <w:i w:val="0"/>
            <w:iCs w:val="0"/>
            <w:noProof/>
            <w:webHidden/>
            <w:sz w:val="22"/>
            <w:szCs w:val="18"/>
          </w:rPr>
          <w:t>175</w:t>
        </w:r>
        <w:r w:rsidRPr="008300E8">
          <w:rPr>
            <w:rFonts w:ascii="Times New Roman" w:hAnsi="Times New Roman" w:cs="Times New Roman"/>
            <w:b w:val="0"/>
            <w:bCs w:val="0"/>
            <w:i w:val="0"/>
            <w:iCs w:val="0"/>
            <w:noProof/>
            <w:webHidden/>
            <w:sz w:val="22"/>
            <w:szCs w:val="18"/>
          </w:rPr>
          <w:fldChar w:fldCharType="end"/>
        </w:r>
      </w:hyperlink>
    </w:p>
    <w:p w14:paraId="32C40167" w14:textId="54E0824C" w:rsidR="008300E8" w:rsidRDefault="008300E8" w:rsidP="008300E8">
      <w:pPr>
        <w:pStyle w:val="TOC1"/>
        <w:tabs>
          <w:tab w:val="right" w:leader="dot" w:pos="9350"/>
        </w:tabs>
        <w:spacing w:line="240" w:lineRule="exact"/>
        <w:rPr>
          <w:rStyle w:val="Hyperlink"/>
          <w:rFonts w:ascii="Times New Roman" w:hAnsi="Times New Roman" w:cs="Times New Roman"/>
          <w:b w:val="0"/>
          <w:bCs w:val="0"/>
          <w:i w:val="0"/>
          <w:iCs w:val="0"/>
          <w:noProof/>
          <w:sz w:val="22"/>
          <w:szCs w:val="18"/>
        </w:rPr>
      </w:pPr>
      <w:hyperlink w:anchor="_Toc221114313" w:history="1">
        <w:r w:rsidRPr="008300E8">
          <w:rPr>
            <w:rStyle w:val="Hyperlink"/>
            <w:rFonts w:ascii="Times New Roman" w:hAnsi="Times New Roman" w:cs="Times New Roman"/>
            <w:b w:val="0"/>
            <w:bCs w:val="0"/>
            <w:i w:val="0"/>
            <w:iCs w:val="0"/>
            <w:noProof/>
            <w:sz w:val="22"/>
            <w:szCs w:val="18"/>
          </w:rPr>
          <w:t>Table 32: Plan outlay in 1965-66 and 1968-69 and committed expenditure thereon in 1966-67 and 1969-70</w:t>
        </w:r>
        <w:r w:rsidRPr="008300E8">
          <w:rPr>
            <w:rFonts w:ascii="Times New Roman" w:hAnsi="Times New Roman" w:cs="Times New Roman"/>
            <w:b w:val="0"/>
            <w:bCs w:val="0"/>
            <w:i w:val="0"/>
            <w:iCs w:val="0"/>
            <w:noProof/>
            <w:webHidden/>
            <w:sz w:val="22"/>
            <w:szCs w:val="18"/>
          </w:rPr>
          <w:tab/>
        </w:r>
        <w:r w:rsidRPr="008300E8">
          <w:rPr>
            <w:rFonts w:ascii="Times New Roman" w:hAnsi="Times New Roman" w:cs="Times New Roman"/>
            <w:b w:val="0"/>
            <w:bCs w:val="0"/>
            <w:i w:val="0"/>
            <w:iCs w:val="0"/>
            <w:noProof/>
            <w:webHidden/>
            <w:sz w:val="22"/>
            <w:szCs w:val="18"/>
          </w:rPr>
          <w:fldChar w:fldCharType="begin"/>
        </w:r>
        <w:r w:rsidRPr="008300E8">
          <w:rPr>
            <w:rFonts w:ascii="Times New Roman" w:hAnsi="Times New Roman" w:cs="Times New Roman"/>
            <w:b w:val="0"/>
            <w:bCs w:val="0"/>
            <w:i w:val="0"/>
            <w:iCs w:val="0"/>
            <w:noProof/>
            <w:webHidden/>
            <w:sz w:val="22"/>
            <w:szCs w:val="18"/>
          </w:rPr>
          <w:instrText xml:space="preserve"> PAGEREF _Toc221114313 \h </w:instrText>
        </w:r>
        <w:r w:rsidRPr="008300E8">
          <w:rPr>
            <w:rFonts w:ascii="Times New Roman" w:hAnsi="Times New Roman" w:cs="Times New Roman"/>
            <w:b w:val="0"/>
            <w:bCs w:val="0"/>
            <w:i w:val="0"/>
            <w:iCs w:val="0"/>
            <w:noProof/>
            <w:webHidden/>
            <w:sz w:val="22"/>
            <w:szCs w:val="18"/>
          </w:rPr>
        </w:r>
        <w:r w:rsidRPr="008300E8">
          <w:rPr>
            <w:rFonts w:ascii="Times New Roman" w:hAnsi="Times New Roman" w:cs="Times New Roman"/>
            <w:b w:val="0"/>
            <w:bCs w:val="0"/>
            <w:i w:val="0"/>
            <w:iCs w:val="0"/>
            <w:noProof/>
            <w:webHidden/>
            <w:sz w:val="22"/>
            <w:szCs w:val="18"/>
          </w:rPr>
          <w:fldChar w:fldCharType="separate"/>
        </w:r>
        <w:r w:rsidR="00F70A97">
          <w:rPr>
            <w:rFonts w:ascii="Times New Roman" w:hAnsi="Times New Roman" w:cs="Times New Roman"/>
            <w:b w:val="0"/>
            <w:bCs w:val="0"/>
            <w:i w:val="0"/>
            <w:iCs w:val="0"/>
            <w:noProof/>
            <w:webHidden/>
            <w:sz w:val="22"/>
            <w:szCs w:val="18"/>
          </w:rPr>
          <w:t>176</w:t>
        </w:r>
        <w:r w:rsidRPr="008300E8">
          <w:rPr>
            <w:rFonts w:ascii="Times New Roman" w:hAnsi="Times New Roman" w:cs="Times New Roman"/>
            <w:b w:val="0"/>
            <w:bCs w:val="0"/>
            <w:i w:val="0"/>
            <w:iCs w:val="0"/>
            <w:noProof/>
            <w:webHidden/>
            <w:sz w:val="22"/>
            <w:szCs w:val="18"/>
          </w:rPr>
          <w:fldChar w:fldCharType="end"/>
        </w:r>
      </w:hyperlink>
    </w:p>
    <w:p w14:paraId="56338ED1" w14:textId="0DB67723" w:rsidR="008300E8" w:rsidRPr="008300E8" w:rsidRDefault="008300E8" w:rsidP="008300E8">
      <w:pPr>
        <w:spacing w:before="240" w:after="0"/>
        <w:jc w:val="center"/>
        <w:rPr>
          <w:rFonts w:ascii="Times New Roman" w:hAnsi="Times New Roman" w:cs="Times New Roman"/>
          <w:i/>
          <w:iCs/>
        </w:rPr>
      </w:pPr>
      <w:r w:rsidRPr="008300E8">
        <w:rPr>
          <w:rFonts w:ascii="Times New Roman" w:hAnsi="Times New Roman" w:cs="Times New Roman"/>
          <w:i/>
          <w:iCs/>
        </w:rPr>
        <w:t>D. Financial results of States' commercial schemes</w:t>
      </w:r>
    </w:p>
    <w:p w14:paraId="247698EC" w14:textId="6D4E930D" w:rsidR="008300E8" w:rsidRPr="008300E8" w:rsidRDefault="008300E8" w:rsidP="008300E8">
      <w:pPr>
        <w:pStyle w:val="TOC1"/>
        <w:tabs>
          <w:tab w:val="right" w:leader="dot" w:pos="9350"/>
        </w:tabs>
        <w:spacing w:line="240" w:lineRule="exact"/>
        <w:rPr>
          <w:rFonts w:ascii="Times New Roman" w:eastAsiaTheme="minorEastAsia" w:hAnsi="Times New Roman" w:cs="Times New Roman"/>
          <w:b w:val="0"/>
          <w:bCs w:val="0"/>
          <w:i w:val="0"/>
          <w:iCs w:val="0"/>
          <w:noProof/>
          <w:sz w:val="22"/>
          <w:szCs w:val="18"/>
          <w:lang w:eastAsia="en-IN"/>
        </w:rPr>
      </w:pPr>
      <w:hyperlink w:anchor="_Toc221114314" w:history="1">
        <w:r w:rsidRPr="008300E8">
          <w:rPr>
            <w:rStyle w:val="Hyperlink"/>
            <w:rFonts w:ascii="Times New Roman" w:hAnsi="Times New Roman" w:cs="Times New Roman"/>
            <w:b w:val="0"/>
            <w:bCs w:val="0"/>
            <w:i w:val="0"/>
            <w:iCs w:val="0"/>
            <w:noProof/>
            <w:sz w:val="22"/>
            <w:szCs w:val="18"/>
          </w:rPr>
          <w:t>Table 33: Financial Results of Multipurpose River Schemes</w:t>
        </w:r>
        <w:r w:rsidRPr="008300E8">
          <w:rPr>
            <w:rFonts w:ascii="Times New Roman" w:hAnsi="Times New Roman" w:cs="Times New Roman"/>
            <w:b w:val="0"/>
            <w:bCs w:val="0"/>
            <w:i w:val="0"/>
            <w:iCs w:val="0"/>
            <w:noProof/>
            <w:webHidden/>
            <w:sz w:val="22"/>
            <w:szCs w:val="18"/>
          </w:rPr>
          <w:tab/>
        </w:r>
        <w:r w:rsidRPr="008300E8">
          <w:rPr>
            <w:rFonts w:ascii="Times New Roman" w:hAnsi="Times New Roman" w:cs="Times New Roman"/>
            <w:b w:val="0"/>
            <w:bCs w:val="0"/>
            <w:i w:val="0"/>
            <w:iCs w:val="0"/>
            <w:noProof/>
            <w:webHidden/>
            <w:sz w:val="22"/>
            <w:szCs w:val="18"/>
          </w:rPr>
          <w:fldChar w:fldCharType="begin"/>
        </w:r>
        <w:r w:rsidRPr="008300E8">
          <w:rPr>
            <w:rFonts w:ascii="Times New Roman" w:hAnsi="Times New Roman" w:cs="Times New Roman"/>
            <w:b w:val="0"/>
            <w:bCs w:val="0"/>
            <w:i w:val="0"/>
            <w:iCs w:val="0"/>
            <w:noProof/>
            <w:webHidden/>
            <w:sz w:val="22"/>
            <w:szCs w:val="18"/>
          </w:rPr>
          <w:instrText xml:space="preserve"> PAGEREF _Toc221114314 \h </w:instrText>
        </w:r>
        <w:r w:rsidRPr="008300E8">
          <w:rPr>
            <w:rFonts w:ascii="Times New Roman" w:hAnsi="Times New Roman" w:cs="Times New Roman"/>
            <w:b w:val="0"/>
            <w:bCs w:val="0"/>
            <w:i w:val="0"/>
            <w:iCs w:val="0"/>
            <w:noProof/>
            <w:webHidden/>
            <w:sz w:val="22"/>
            <w:szCs w:val="18"/>
          </w:rPr>
        </w:r>
        <w:r w:rsidRPr="008300E8">
          <w:rPr>
            <w:rFonts w:ascii="Times New Roman" w:hAnsi="Times New Roman" w:cs="Times New Roman"/>
            <w:b w:val="0"/>
            <w:bCs w:val="0"/>
            <w:i w:val="0"/>
            <w:iCs w:val="0"/>
            <w:noProof/>
            <w:webHidden/>
            <w:sz w:val="22"/>
            <w:szCs w:val="18"/>
          </w:rPr>
          <w:fldChar w:fldCharType="separate"/>
        </w:r>
        <w:r w:rsidR="00F70A97">
          <w:rPr>
            <w:rFonts w:ascii="Times New Roman" w:hAnsi="Times New Roman" w:cs="Times New Roman"/>
            <w:b w:val="0"/>
            <w:bCs w:val="0"/>
            <w:i w:val="0"/>
            <w:iCs w:val="0"/>
            <w:noProof/>
            <w:webHidden/>
            <w:sz w:val="22"/>
            <w:szCs w:val="18"/>
          </w:rPr>
          <w:t>177</w:t>
        </w:r>
        <w:r w:rsidRPr="008300E8">
          <w:rPr>
            <w:rFonts w:ascii="Times New Roman" w:hAnsi="Times New Roman" w:cs="Times New Roman"/>
            <w:b w:val="0"/>
            <w:bCs w:val="0"/>
            <w:i w:val="0"/>
            <w:iCs w:val="0"/>
            <w:noProof/>
            <w:webHidden/>
            <w:sz w:val="22"/>
            <w:szCs w:val="18"/>
          </w:rPr>
          <w:fldChar w:fldCharType="end"/>
        </w:r>
      </w:hyperlink>
    </w:p>
    <w:p w14:paraId="74D55AAA" w14:textId="2897B84C" w:rsidR="008300E8" w:rsidRPr="008300E8" w:rsidRDefault="008300E8" w:rsidP="008300E8">
      <w:pPr>
        <w:pStyle w:val="TOC1"/>
        <w:tabs>
          <w:tab w:val="right" w:leader="dot" w:pos="9350"/>
        </w:tabs>
        <w:spacing w:line="240" w:lineRule="exact"/>
        <w:rPr>
          <w:rFonts w:ascii="Times New Roman" w:eastAsiaTheme="minorEastAsia" w:hAnsi="Times New Roman" w:cs="Times New Roman"/>
          <w:b w:val="0"/>
          <w:bCs w:val="0"/>
          <w:i w:val="0"/>
          <w:iCs w:val="0"/>
          <w:noProof/>
          <w:sz w:val="22"/>
          <w:szCs w:val="18"/>
          <w:lang w:eastAsia="en-IN"/>
        </w:rPr>
      </w:pPr>
      <w:hyperlink w:anchor="_Toc221114315" w:history="1">
        <w:r w:rsidRPr="008300E8">
          <w:rPr>
            <w:rStyle w:val="Hyperlink"/>
            <w:rFonts w:ascii="Times New Roman" w:hAnsi="Times New Roman" w:cs="Times New Roman"/>
            <w:b w:val="0"/>
            <w:bCs w:val="0"/>
            <w:i w:val="0"/>
            <w:iCs w:val="0"/>
            <w:noProof/>
            <w:sz w:val="22"/>
            <w:szCs w:val="18"/>
          </w:rPr>
          <w:t>Table 34: Financial Results of Irrigation Works (Commercial)</w:t>
        </w:r>
        <w:r w:rsidRPr="008300E8">
          <w:rPr>
            <w:rFonts w:ascii="Times New Roman" w:hAnsi="Times New Roman" w:cs="Times New Roman"/>
            <w:b w:val="0"/>
            <w:bCs w:val="0"/>
            <w:i w:val="0"/>
            <w:iCs w:val="0"/>
            <w:noProof/>
            <w:webHidden/>
            <w:sz w:val="22"/>
            <w:szCs w:val="18"/>
          </w:rPr>
          <w:tab/>
        </w:r>
        <w:r w:rsidRPr="008300E8">
          <w:rPr>
            <w:rFonts w:ascii="Times New Roman" w:hAnsi="Times New Roman" w:cs="Times New Roman"/>
            <w:b w:val="0"/>
            <w:bCs w:val="0"/>
            <w:i w:val="0"/>
            <w:iCs w:val="0"/>
            <w:noProof/>
            <w:webHidden/>
            <w:sz w:val="22"/>
            <w:szCs w:val="18"/>
          </w:rPr>
          <w:fldChar w:fldCharType="begin"/>
        </w:r>
        <w:r w:rsidRPr="008300E8">
          <w:rPr>
            <w:rFonts w:ascii="Times New Roman" w:hAnsi="Times New Roman" w:cs="Times New Roman"/>
            <w:b w:val="0"/>
            <w:bCs w:val="0"/>
            <w:i w:val="0"/>
            <w:iCs w:val="0"/>
            <w:noProof/>
            <w:webHidden/>
            <w:sz w:val="22"/>
            <w:szCs w:val="18"/>
          </w:rPr>
          <w:instrText xml:space="preserve"> PAGEREF _Toc221114315 \h </w:instrText>
        </w:r>
        <w:r w:rsidRPr="008300E8">
          <w:rPr>
            <w:rFonts w:ascii="Times New Roman" w:hAnsi="Times New Roman" w:cs="Times New Roman"/>
            <w:b w:val="0"/>
            <w:bCs w:val="0"/>
            <w:i w:val="0"/>
            <w:iCs w:val="0"/>
            <w:noProof/>
            <w:webHidden/>
            <w:sz w:val="22"/>
            <w:szCs w:val="18"/>
          </w:rPr>
        </w:r>
        <w:r w:rsidRPr="008300E8">
          <w:rPr>
            <w:rFonts w:ascii="Times New Roman" w:hAnsi="Times New Roman" w:cs="Times New Roman"/>
            <w:b w:val="0"/>
            <w:bCs w:val="0"/>
            <w:i w:val="0"/>
            <w:iCs w:val="0"/>
            <w:noProof/>
            <w:webHidden/>
            <w:sz w:val="22"/>
            <w:szCs w:val="18"/>
          </w:rPr>
          <w:fldChar w:fldCharType="separate"/>
        </w:r>
        <w:r w:rsidR="00F70A97">
          <w:rPr>
            <w:rFonts w:ascii="Times New Roman" w:hAnsi="Times New Roman" w:cs="Times New Roman"/>
            <w:b w:val="0"/>
            <w:bCs w:val="0"/>
            <w:i w:val="0"/>
            <w:iCs w:val="0"/>
            <w:noProof/>
            <w:webHidden/>
            <w:sz w:val="22"/>
            <w:szCs w:val="18"/>
          </w:rPr>
          <w:t>178</w:t>
        </w:r>
        <w:r w:rsidRPr="008300E8">
          <w:rPr>
            <w:rFonts w:ascii="Times New Roman" w:hAnsi="Times New Roman" w:cs="Times New Roman"/>
            <w:b w:val="0"/>
            <w:bCs w:val="0"/>
            <w:i w:val="0"/>
            <w:iCs w:val="0"/>
            <w:noProof/>
            <w:webHidden/>
            <w:sz w:val="22"/>
            <w:szCs w:val="18"/>
          </w:rPr>
          <w:fldChar w:fldCharType="end"/>
        </w:r>
      </w:hyperlink>
    </w:p>
    <w:p w14:paraId="38043028" w14:textId="322BD9E7" w:rsidR="008300E8" w:rsidRPr="008300E8" w:rsidRDefault="008300E8" w:rsidP="008300E8">
      <w:pPr>
        <w:pStyle w:val="TOC1"/>
        <w:tabs>
          <w:tab w:val="right" w:leader="dot" w:pos="9350"/>
        </w:tabs>
        <w:spacing w:line="240" w:lineRule="exact"/>
        <w:rPr>
          <w:rFonts w:ascii="Times New Roman" w:eastAsiaTheme="minorEastAsia" w:hAnsi="Times New Roman" w:cs="Times New Roman"/>
          <w:b w:val="0"/>
          <w:bCs w:val="0"/>
          <w:i w:val="0"/>
          <w:iCs w:val="0"/>
          <w:noProof/>
          <w:sz w:val="22"/>
          <w:szCs w:val="18"/>
          <w:lang w:eastAsia="en-IN"/>
        </w:rPr>
      </w:pPr>
      <w:hyperlink w:anchor="_Toc221114316" w:history="1">
        <w:r w:rsidRPr="008300E8">
          <w:rPr>
            <w:rStyle w:val="Hyperlink"/>
            <w:rFonts w:ascii="Times New Roman" w:hAnsi="Times New Roman" w:cs="Times New Roman"/>
            <w:b w:val="0"/>
            <w:bCs w:val="0"/>
            <w:i w:val="0"/>
            <w:iCs w:val="0"/>
            <w:noProof/>
            <w:sz w:val="22"/>
            <w:szCs w:val="18"/>
          </w:rPr>
          <w:t>Table 35: Financial Results of Electricity Schemes run Departmentally</w:t>
        </w:r>
        <w:r w:rsidRPr="008300E8">
          <w:rPr>
            <w:rFonts w:ascii="Times New Roman" w:hAnsi="Times New Roman" w:cs="Times New Roman"/>
            <w:b w:val="0"/>
            <w:bCs w:val="0"/>
            <w:i w:val="0"/>
            <w:iCs w:val="0"/>
            <w:noProof/>
            <w:webHidden/>
            <w:sz w:val="22"/>
            <w:szCs w:val="18"/>
          </w:rPr>
          <w:tab/>
        </w:r>
        <w:r w:rsidRPr="008300E8">
          <w:rPr>
            <w:rFonts w:ascii="Times New Roman" w:hAnsi="Times New Roman" w:cs="Times New Roman"/>
            <w:b w:val="0"/>
            <w:bCs w:val="0"/>
            <w:i w:val="0"/>
            <w:iCs w:val="0"/>
            <w:noProof/>
            <w:webHidden/>
            <w:sz w:val="22"/>
            <w:szCs w:val="18"/>
          </w:rPr>
          <w:fldChar w:fldCharType="begin"/>
        </w:r>
        <w:r w:rsidRPr="008300E8">
          <w:rPr>
            <w:rFonts w:ascii="Times New Roman" w:hAnsi="Times New Roman" w:cs="Times New Roman"/>
            <w:b w:val="0"/>
            <w:bCs w:val="0"/>
            <w:i w:val="0"/>
            <w:iCs w:val="0"/>
            <w:noProof/>
            <w:webHidden/>
            <w:sz w:val="22"/>
            <w:szCs w:val="18"/>
          </w:rPr>
          <w:instrText xml:space="preserve"> PAGEREF _Toc221114316 \h </w:instrText>
        </w:r>
        <w:r w:rsidRPr="008300E8">
          <w:rPr>
            <w:rFonts w:ascii="Times New Roman" w:hAnsi="Times New Roman" w:cs="Times New Roman"/>
            <w:b w:val="0"/>
            <w:bCs w:val="0"/>
            <w:i w:val="0"/>
            <w:iCs w:val="0"/>
            <w:noProof/>
            <w:webHidden/>
            <w:sz w:val="22"/>
            <w:szCs w:val="18"/>
          </w:rPr>
        </w:r>
        <w:r w:rsidRPr="008300E8">
          <w:rPr>
            <w:rFonts w:ascii="Times New Roman" w:hAnsi="Times New Roman" w:cs="Times New Roman"/>
            <w:b w:val="0"/>
            <w:bCs w:val="0"/>
            <w:i w:val="0"/>
            <w:iCs w:val="0"/>
            <w:noProof/>
            <w:webHidden/>
            <w:sz w:val="22"/>
            <w:szCs w:val="18"/>
          </w:rPr>
          <w:fldChar w:fldCharType="separate"/>
        </w:r>
        <w:r w:rsidR="00F70A97">
          <w:rPr>
            <w:rFonts w:ascii="Times New Roman" w:hAnsi="Times New Roman" w:cs="Times New Roman"/>
            <w:b w:val="0"/>
            <w:bCs w:val="0"/>
            <w:i w:val="0"/>
            <w:iCs w:val="0"/>
            <w:noProof/>
            <w:webHidden/>
            <w:sz w:val="22"/>
            <w:szCs w:val="18"/>
          </w:rPr>
          <w:t>179</w:t>
        </w:r>
        <w:r w:rsidRPr="008300E8">
          <w:rPr>
            <w:rFonts w:ascii="Times New Roman" w:hAnsi="Times New Roman" w:cs="Times New Roman"/>
            <w:b w:val="0"/>
            <w:bCs w:val="0"/>
            <w:i w:val="0"/>
            <w:iCs w:val="0"/>
            <w:noProof/>
            <w:webHidden/>
            <w:sz w:val="22"/>
            <w:szCs w:val="18"/>
          </w:rPr>
          <w:fldChar w:fldCharType="end"/>
        </w:r>
      </w:hyperlink>
    </w:p>
    <w:p w14:paraId="13B846E0" w14:textId="322D3AB8" w:rsidR="008300E8" w:rsidRPr="008300E8" w:rsidRDefault="008300E8" w:rsidP="008300E8">
      <w:pPr>
        <w:pStyle w:val="TOC1"/>
        <w:tabs>
          <w:tab w:val="right" w:leader="dot" w:pos="9350"/>
        </w:tabs>
        <w:spacing w:line="240" w:lineRule="exact"/>
        <w:rPr>
          <w:rFonts w:ascii="Times New Roman" w:eastAsiaTheme="minorEastAsia" w:hAnsi="Times New Roman" w:cs="Times New Roman"/>
          <w:b w:val="0"/>
          <w:bCs w:val="0"/>
          <w:i w:val="0"/>
          <w:iCs w:val="0"/>
          <w:noProof/>
          <w:sz w:val="22"/>
          <w:szCs w:val="18"/>
          <w:lang w:eastAsia="en-IN"/>
        </w:rPr>
      </w:pPr>
      <w:hyperlink w:anchor="_Toc221114317" w:history="1">
        <w:r w:rsidRPr="008300E8">
          <w:rPr>
            <w:rStyle w:val="Hyperlink"/>
            <w:rFonts w:ascii="Times New Roman" w:hAnsi="Times New Roman" w:cs="Times New Roman"/>
            <w:b w:val="0"/>
            <w:bCs w:val="0"/>
            <w:i w:val="0"/>
            <w:iCs w:val="0"/>
            <w:noProof/>
            <w:sz w:val="22"/>
            <w:szCs w:val="18"/>
          </w:rPr>
          <w:t>Table 36: Financial working of State Electricity Boards</w:t>
        </w:r>
        <w:r w:rsidRPr="008300E8">
          <w:rPr>
            <w:rFonts w:ascii="Times New Roman" w:hAnsi="Times New Roman" w:cs="Times New Roman"/>
            <w:b w:val="0"/>
            <w:bCs w:val="0"/>
            <w:i w:val="0"/>
            <w:iCs w:val="0"/>
            <w:noProof/>
            <w:webHidden/>
            <w:sz w:val="22"/>
            <w:szCs w:val="18"/>
          </w:rPr>
          <w:tab/>
        </w:r>
        <w:r w:rsidRPr="008300E8">
          <w:rPr>
            <w:rFonts w:ascii="Times New Roman" w:hAnsi="Times New Roman" w:cs="Times New Roman"/>
            <w:b w:val="0"/>
            <w:bCs w:val="0"/>
            <w:i w:val="0"/>
            <w:iCs w:val="0"/>
            <w:noProof/>
            <w:webHidden/>
            <w:sz w:val="22"/>
            <w:szCs w:val="18"/>
          </w:rPr>
          <w:fldChar w:fldCharType="begin"/>
        </w:r>
        <w:r w:rsidRPr="008300E8">
          <w:rPr>
            <w:rFonts w:ascii="Times New Roman" w:hAnsi="Times New Roman" w:cs="Times New Roman"/>
            <w:b w:val="0"/>
            <w:bCs w:val="0"/>
            <w:i w:val="0"/>
            <w:iCs w:val="0"/>
            <w:noProof/>
            <w:webHidden/>
            <w:sz w:val="22"/>
            <w:szCs w:val="18"/>
          </w:rPr>
          <w:instrText xml:space="preserve"> PAGEREF _Toc221114317 \h </w:instrText>
        </w:r>
        <w:r w:rsidRPr="008300E8">
          <w:rPr>
            <w:rFonts w:ascii="Times New Roman" w:hAnsi="Times New Roman" w:cs="Times New Roman"/>
            <w:b w:val="0"/>
            <w:bCs w:val="0"/>
            <w:i w:val="0"/>
            <w:iCs w:val="0"/>
            <w:noProof/>
            <w:webHidden/>
            <w:sz w:val="22"/>
            <w:szCs w:val="18"/>
          </w:rPr>
        </w:r>
        <w:r w:rsidRPr="008300E8">
          <w:rPr>
            <w:rFonts w:ascii="Times New Roman" w:hAnsi="Times New Roman" w:cs="Times New Roman"/>
            <w:b w:val="0"/>
            <w:bCs w:val="0"/>
            <w:i w:val="0"/>
            <w:iCs w:val="0"/>
            <w:noProof/>
            <w:webHidden/>
            <w:sz w:val="22"/>
            <w:szCs w:val="18"/>
          </w:rPr>
          <w:fldChar w:fldCharType="separate"/>
        </w:r>
        <w:r w:rsidR="00F70A97">
          <w:rPr>
            <w:rFonts w:ascii="Times New Roman" w:hAnsi="Times New Roman" w:cs="Times New Roman"/>
            <w:b w:val="0"/>
            <w:bCs w:val="0"/>
            <w:i w:val="0"/>
            <w:iCs w:val="0"/>
            <w:noProof/>
            <w:webHidden/>
            <w:sz w:val="22"/>
            <w:szCs w:val="18"/>
          </w:rPr>
          <w:t>181</w:t>
        </w:r>
        <w:r w:rsidRPr="008300E8">
          <w:rPr>
            <w:rFonts w:ascii="Times New Roman" w:hAnsi="Times New Roman" w:cs="Times New Roman"/>
            <w:b w:val="0"/>
            <w:bCs w:val="0"/>
            <w:i w:val="0"/>
            <w:iCs w:val="0"/>
            <w:noProof/>
            <w:webHidden/>
            <w:sz w:val="22"/>
            <w:szCs w:val="18"/>
          </w:rPr>
          <w:fldChar w:fldCharType="end"/>
        </w:r>
      </w:hyperlink>
    </w:p>
    <w:p w14:paraId="1F83B8C6" w14:textId="053073E9" w:rsidR="008300E8" w:rsidRPr="008300E8" w:rsidRDefault="008300E8" w:rsidP="008300E8">
      <w:pPr>
        <w:pStyle w:val="TOC1"/>
        <w:tabs>
          <w:tab w:val="right" w:leader="dot" w:pos="9350"/>
        </w:tabs>
        <w:spacing w:line="240" w:lineRule="exact"/>
        <w:rPr>
          <w:rFonts w:ascii="Times New Roman" w:eastAsiaTheme="minorEastAsia" w:hAnsi="Times New Roman" w:cs="Times New Roman"/>
          <w:b w:val="0"/>
          <w:bCs w:val="0"/>
          <w:i w:val="0"/>
          <w:iCs w:val="0"/>
          <w:noProof/>
          <w:sz w:val="22"/>
          <w:szCs w:val="18"/>
          <w:lang w:eastAsia="en-IN"/>
        </w:rPr>
      </w:pPr>
      <w:hyperlink w:anchor="_Toc221114318" w:history="1">
        <w:r w:rsidRPr="008300E8">
          <w:rPr>
            <w:rStyle w:val="Hyperlink"/>
            <w:rFonts w:ascii="Times New Roman" w:hAnsi="Times New Roman" w:cs="Times New Roman"/>
            <w:b w:val="0"/>
            <w:bCs w:val="0"/>
            <w:i w:val="0"/>
            <w:iCs w:val="0"/>
            <w:noProof/>
            <w:sz w:val="22"/>
            <w:szCs w:val="18"/>
          </w:rPr>
          <w:t>Table 37: Rate of return on total capital outlays of Electricity Boards from 1966-67 to 1968-69</w:t>
        </w:r>
        <w:r w:rsidRPr="008300E8">
          <w:rPr>
            <w:rFonts w:ascii="Times New Roman" w:hAnsi="Times New Roman" w:cs="Times New Roman"/>
            <w:b w:val="0"/>
            <w:bCs w:val="0"/>
            <w:i w:val="0"/>
            <w:iCs w:val="0"/>
            <w:noProof/>
            <w:webHidden/>
            <w:sz w:val="22"/>
            <w:szCs w:val="18"/>
          </w:rPr>
          <w:tab/>
        </w:r>
        <w:r w:rsidRPr="008300E8">
          <w:rPr>
            <w:rFonts w:ascii="Times New Roman" w:hAnsi="Times New Roman" w:cs="Times New Roman"/>
            <w:b w:val="0"/>
            <w:bCs w:val="0"/>
            <w:i w:val="0"/>
            <w:iCs w:val="0"/>
            <w:noProof/>
            <w:webHidden/>
            <w:sz w:val="22"/>
            <w:szCs w:val="18"/>
          </w:rPr>
          <w:fldChar w:fldCharType="begin"/>
        </w:r>
        <w:r w:rsidRPr="008300E8">
          <w:rPr>
            <w:rFonts w:ascii="Times New Roman" w:hAnsi="Times New Roman" w:cs="Times New Roman"/>
            <w:b w:val="0"/>
            <w:bCs w:val="0"/>
            <w:i w:val="0"/>
            <w:iCs w:val="0"/>
            <w:noProof/>
            <w:webHidden/>
            <w:sz w:val="22"/>
            <w:szCs w:val="18"/>
          </w:rPr>
          <w:instrText xml:space="preserve"> PAGEREF _Toc221114318 \h </w:instrText>
        </w:r>
        <w:r w:rsidRPr="008300E8">
          <w:rPr>
            <w:rFonts w:ascii="Times New Roman" w:hAnsi="Times New Roman" w:cs="Times New Roman"/>
            <w:b w:val="0"/>
            <w:bCs w:val="0"/>
            <w:i w:val="0"/>
            <w:iCs w:val="0"/>
            <w:noProof/>
            <w:webHidden/>
            <w:sz w:val="22"/>
            <w:szCs w:val="18"/>
          </w:rPr>
        </w:r>
        <w:r w:rsidRPr="008300E8">
          <w:rPr>
            <w:rFonts w:ascii="Times New Roman" w:hAnsi="Times New Roman" w:cs="Times New Roman"/>
            <w:b w:val="0"/>
            <w:bCs w:val="0"/>
            <w:i w:val="0"/>
            <w:iCs w:val="0"/>
            <w:noProof/>
            <w:webHidden/>
            <w:sz w:val="22"/>
            <w:szCs w:val="18"/>
          </w:rPr>
          <w:fldChar w:fldCharType="separate"/>
        </w:r>
        <w:r w:rsidR="00F70A97">
          <w:rPr>
            <w:rFonts w:ascii="Times New Roman" w:hAnsi="Times New Roman" w:cs="Times New Roman"/>
            <w:b w:val="0"/>
            <w:bCs w:val="0"/>
            <w:i w:val="0"/>
            <w:iCs w:val="0"/>
            <w:noProof/>
            <w:webHidden/>
            <w:sz w:val="22"/>
            <w:szCs w:val="18"/>
          </w:rPr>
          <w:t>184</w:t>
        </w:r>
        <w:r w:rsidRPr="008300E8">
          <w:rPr>
            <w:rFonts w:ascii="Times New Roman" w:hAnsi="Times New Roman" w:cs="Times New Roman"/>
            <w:b w:val="0"/>
            <w:bCs w:val="0"/>
            <w:i w:val="0"/>
            <w:iCs w:val="0"/>
            <w:noProof/>
            <w:webHidden/>
            <w:sz w:val="22"/>
            <w:szCs w:val="18"/>
          </w:rPr>
          <w:fldChar w:fldCharType="end"/>
        </w:r>
      </w:hyperlink>
    </w:p>
    <w:p w14:paraId="1B543CA7" w14:textId="307B76AE" w:rsidR="008300E8" w:rsidRPr="008300E8" w:rsidRDefault="008300E8" w:rsidP="008300E8">
      <w:pPr>
        <w:pStyle w:val="TOC1"/>
        <w:tabs>
          <w:tab w:val="right" w:leader="dot" w:pos="9350"/>
        </w:tabs>
        <w:spacing w:line="240" w:lineRule="exact"/>
        <w:rPr>
          <w:rFonts w:ascii="Times New Roman" w:eastAsiaTheme="minorEastAsia" w:hAnsi="Times New Roman" w:cs="Times New Roman"/>
          <w:b w:val="0"/>
          <w:bCs w:val="0"/>
          <w:i w:val="0"/>
          <w:iCs w:val="0"/>
          <w:noProof/>
          <w:sz w:val="22"/>
          <w:szCs w:val="18"/>
          <w:lang w:eastAsia="en-IN"/>
        </w:rPr>
      </w:pPr>
      <w:hyperlink w:anchor="_Toc221114319" w:history="1">
        <w:r w:rsidRPr="008300E8">
          <w:rPr>
            <w:rStyle w:val="Hyperlink"/>
            <w:rFonts w:ascii="Times New Roman" w:hAnsi="Times New Roman" w:cs="Times New Roman"/>
            <w:b w:val="0"/>
            <w:bCs w:val="0"/>
            <w:i w:val="0"/>
            <w:iCs w:val="0"/>
            <w:noProof/>
            <w:sz w:val="22"/>
            <w:szCs w:val="18"/>
          </w:rPr>
          <w:t>Table 38: Electricity Boards: Installed capacity, Average cost per unit sold and Average price charged per unit sold: 1967-68</w:t>
        </w:r>
        <w:r w:rsidRPr="008300E8">
          <w:rPr>
            <w:rFonts w:ascii="Times New Roman" w:hAnsi="Times New Roman" w:cs="Times New Roman"/>
            <w:b w:val="0"/>
            <w:bCs w:val="0"/>
            <w:i w:val="0"/>
            <w:iCs w:val="0"/>
            <w:noProof/>
            <w:webHidden/>
            <w:sz w:val="22"/>
            <w:szCs w:val="18"/>
          </w:rPr>
          <w:tab/>
        </w:r>
        <w:r w:rsidRPr="008300E8">
          <w:rPr>
            <w:rFonts w:ascii="Times New Roman" w:hAnsi="Times New Roman" w:cs="Times New Roman"/>
            <w:b w:val="0"/>
            <w:bCs w:val="0"/>
            <w:i w:val="0"/>
            <w:iCs w:val="0"/>
            <w:noProof/>
            <w:webHidden/>
            <w:sz w:val="22"/>
            <w:szCs w:val="18"/>
          </w:rPr>
          <w:fldChar w:fldCharType="begin"/>
        </w:r>
        <w:r w:rsidRPr="008300E8">
          <w:rPr>
            <w:rFonts w:ascii="Times New Roman" w:hAnsi="Times New Roman" w:cs="Times New Roman"/>
            <w:b w:val="0"/>
            <w:bCs w:val="0"/>
            <w:i w:val="0"/>
            <w:iCs w:val="0"/>
            <w:noProof/>
            <w:webHidden/>
            <w:sz w:val="22"/>
            <w:szCs w:val="18"/>
          </w:rPr>
          <w:instrText xml:space="preserve"> PAGEREF _Toc221114319 \h </w:instrText>
        </w:r>
        <w:r w:rsidRPr="008300E8">
          <w:rPr>
            <w:rFonts w:ascii="Times New Roman" w:hAnsi="Times New Roman" w:cs="Times New Roman"/>
            <w:b w:val="0"/>
            <w:bCs w:val="0"/>
            <w:i w:val="0"/>
            <w:iCs w:val="0"/>
            <w:noProof/>
            <w:webHidden/>
            <w:sz w:val="22"/>
            <w:szCs w:val="18"/>
          </w:rPr>
        </w:r>
        <w:r w:rsidRPr="008300E8">
          <w:rPr>
            <w:rFonts w:ascii="Times New Roman" w:hAnsi="Times New Roman" w:cs="Times New Roman"/>
            <w:b w:val="0"/>
            <w:bCs w:val="0"/>
            <w:i w:val="0"/>
            <w:iCs w:val="0"/>
            <w:noProof/>
            <w:webHidden/>
            <w:sz w:val="22"/>
            <w:szCs w:val="18"/>
          </w:rPr>
          <w:fldChar w:fldCharType="separate"/>
        </w:r>
        <w:r w:rsidR="00F70A97">
          <w:rPr>
            <w:rFonts w:ascii="Times New Roman" w:hAnsi="Times New Roman" w:cs="Times New Roman"/>
            <w:b w:val="0"/>
            <w:bCs w:val="0"/>
            <w:i w:val="0"/>
            <w:iCs w:val="0"/>
            <w:noProof/>
            <w:webHidden/>
            <w:sz w:val="22"/>
            <w:szCs w:val="18"/>
          </w:rPr>
          <w:t>185</w:t>
        </w:r>
        <w:r w:rsidRPr="008300E8">
          <w:rPr>
            <w:rFonts w:ascii="Times New Roman" w:hAnsi="Times New Roman" w:cs="Times New Roman"/>
            <w:b w:val="0"/>
            <w:bCs w:val="0"/>
            <w:i w:val="0"/>
            <w:iCs w:val="0"/>
            <w:noProof/>
            <w:webHidden/>
            <w:sz w:val="22"/>
            <w:szCs w:val="18"/>
          </w:rPr>
          <w:fldChar w:fldCharType="end"/>
        </w:r>
      </w:hyperlink>
    </w:p>
    <w:p w14:paraId="09A79967" w14:textId="7C07B616" w:rsidR="008300E8" w:rsidRDefault="008300E8" w:rsidP="008300E8">
      <w:pPr>
        <w:pStyle w:val="TOC1"/>
        <w:tabs>
          <w:tab w:val="right" w:leader="dot" w:pos="9350"/>
        </w:tabs>
        <w:spacing w:line="240" w:lineRule="exact"/>
        <w:rPr>
          <w:rStyle w:val="Hyperlink"/>
          <w:rFonts w:ascii="Times New Roman" w:hAnsi="Times New Roman" w:cs="Times New Roman"/>
          <w:b w:val="0"/>
          <w:bCs w:val="0"/>
          <w:i w:val="0"/>
          <w:iCs w:val="0"/>
          <w:noProof/>
          <w:sz w:val="22"/>
          <w:szCs w:val="18"/>
        </w:rPr>
      </w:pPr>
      <w:hyperlink w:anchor="_Toc221114320" w:history="1">
        <w:r w:rsidRPr="008300E8">
          <w:rPr>
            <w:rStyle w:val="Hyperlink"/>
            <w:rFonts w:ascii="Times New Roman" w:hAnsi="Times New Roman" w:cs="Times New Roman"/>
            <w:b w:val="0"/>
            <w:bCs w:val="0"/>
            <w:i w:val="0"/>
            <w:iCs w:val="0"/>
            <w:noProof/>
            <w:sz w:val="22"/>
            <w:szCs w:val="18"/>
          </w:rPr>
          <w:t>Table 39: Financial Results of Road and Water Transport Schemes run departmentally</w:t>
        </w:r>
        <w:r w:rsidRPr="008300E8">
          <w:rPr>
            <w:rFonts w:ascii="Times New Roman" w:hAnsi="Times New Roman" w:cs="Times New Roman"/>
            <w:b w:val="0"/>
            <w:bCs w:val="0"/>
            <w:i w:val="0"/>
            <w:iCs w:val="0"/>
            <w:noProof/>
            <w:webHidden/>
            <w:sz w:val="22"/>
            <w:szCs w:val="18"/>
          </w:rPr>
          <w:tab/>
        </w:r>
        <w:r w:rsidRPr="008300E8">
          <w:rPr>
            <w:rFonts w:ascii="Times New Roman" w:hAnsi="Times New Roman" w:cs="Times New Roman"/>
            <w:b w:val="0"/>
            <w:bCs w:val="0"/>
            <w:i w:val="0"/>
            <w:iCs w:val="0"/>
            <w:noProof/>
            <w:webHidden/>
            <w:sz w:val="22"/>
            <w:szCs w:val="18"/>
          </w:rPr>
          <w:fldChar w:fldCharType="begin"/>
        </w:r>
        <w:r w:rsidRPr="008300E8">
          <w:rPr>
            <w:rFonts w:ascii="Times New Roman" w:hAnsi="Times New Roman" w:cs="Times New Roman"/>
            <w:b w:val="0"/>
            <w:bCs w:val="0"/>
            <w:i w:val="0"/>
            <w:iCs w:val="0"/>
            <w:noProof/>
            <w:webHidden/>
            <w:sz w:val="22"/>
            <w:szCs w:val="18"/>
          </w:rPr>
          <w:instrText xml:space="preserve"> PAGEREF _Toc221114320 \h </w:instrText>
        </w:r>
        <w:r w:rsidRPr="008300E8">
          <w:rPr>
            <w:rFonts w:ascii="Times New Roman" w:hAnsi="Times New Roman" w:cs="Times New Roman"/>
            <w:b w:val="0"/>
            <w:bCs w:val="0"/>
            <w:i w:val="0"/>
            <w:iCs w:val="0"/>
            <w:noProof/>
            <w:webHidden/>
            <w:sz w:val="22"/>
            <w:szCs w:val="18"/>
          </w:rPr>
        </w:r>
        <w:r w:rsidRPr="008300E8">
          <w:rPr>
            <w:rFonts w:ascii="Times New Roman" w:hAnsi="Times New Roman" w:cs="Times New Roman"/>
            <w:b w:val="0"/>
            <w:bCs w:val="0"/>
            <w:i w:val="0"/>
            <w:iCs w:val="0"/>
            <w:noProof/>
            <w:webHidden/>
            <w:sz w:val="22"/>
            <w:szCs w:val="18"/>
          </w:rPr>
          <w:fldChar w:fldCharType="separate"/>
        </w:r>
        <w:r w:rsidR="00F70A97">
          <w:rPr>
            <w:rFonts w:ascii="Times New Roman" w:hAnsi="Times New Roman" w:cs="Times New Roman"/>
            <w:b w:val="0"/>
            <w:bCs w:val="0"/>
            <w:i w:val="0"/>
            <w:iCs w:val="0"/>
            <w:noProof/>
            <w:webHidden/>
            <w:sz w:val="22"/>
            <w:szCs w:val="18"/>
          </w:rPr>
          <w:t>186</w:t>
        </w:r>
        <w:r w:rsidRPr="008300E8">
          <w:rPr>
            <w:rFonts w:ascii="Times New Roman" w:hAnsi="Times New Roman" w:cs="Times New Roman"/>
            <w:b w:val="0"/>
            <w:bCs w:val="0"/>
            <w:i w:val="0"/>
            <w:iCs w:val="0"/>
            <w:noProof/>
            <w:webHidden/>
            <w:sz w:val="22"/>
            <w:szCs w:val="18"/>
          </w:rPr>
          <w:fldChar w:fldCharType="end"/>
        </w:r>
      </w:hyperlink>
    </w:p>
    <w:p w14:paraId="5FE2689B" w14:textId="32CF4A18" w:rsidR="008300E8" w:rsidRPr="008300E8" w:rsidRDefault="008300E8" w:rsidP="008300E8">
      <w:pPr>
        <w:spacing w:before="240" w:after="0"/>
        <w:jc w:val="center"/>
        <w:rPr>
          <w:rFonts w:ascii="Times New Roman" w:hAnsi="Times New Roman" w:cs="Times New Roman"/>
          <w:i/>
          <w:iCs/>
        </w:rPr>
      </w:pPr>
      <w:r w:rsidRPr="008300E8">
        <w:rPr>
          <w:rFonts w:ascii="Times New Roman" w:hAnsi="Times New Roman" w:cs="Times New Roman"/>
          <w:i/>
          <w:iCs/>
        </w:rPr>
        <w:t>E. Other Budgetary Data</w:t>
      </w:r>
    </w:p>
    <w:p w14:paraId="7DB4C9E0" w14:textId="39438B72" w:rsidR="008300E8" w:rsidRPr="008300E8" w:rsidRDefault="008300E8" w:rsidP="008300E8">
      <w:pPr>
        <w:pStyle w:val="TOC1"/>
        <w:tabs>
          <w:tab w:val="right" w:leader="dot" w:pos="9350"/>
        </w:tabs>
        <w:spacing w:line="240" w:lineRule="exact"/>
        <w:rPr>
          <w:rFonts w:ascii="Times New Roman" w:eastAsiaTheme="minorEastAsia" w:hAnsi="Times New Roman" w:cs="Times New Roman"/>
          <w:b w:val="0"/>
          <w:bCs w:val="0"/>
          <w:i w:val="0"/>
          <w:iCs w:val="0"/>
          <w:noProof/>
          <w:sz w:val="22"/>
          <w:szCs w:val="18"/>
          <w:lang w:eastAsia="en-IN"/>
        </w:rPr>
      </w:pPr>
      <w:hyperlink w:anchor="_Toc221114321" w:history="1">
        <w:r w:rsidRPr="008300E8">
          <w:rPr>
            <w:rStyle w:val="Hyperlink"/>
            <w:rFonts w:ascii="Times New Roman" w:hAnsi="Times New Roman" w:cs="Times New Roman"/>
            <w:b w:val="0"/>
            <w:bCs w:val="0"/>
            <w:i w:val="0"/>
            <w:iCs w:val="0"/>
            <w:noProof/>
            <w:sz w:val="22"/>
            <w:szCs w:val="18"/>
          </w:rPr>
          <w:t>Table 40: Outstanding public debt, loans and advances and productive capital outlays as at the end of 1968-69</w:t>
        </w:r>
        <w:r w:rsidRPr="008300E8">
          <w:rPr>
            <w:rFonts w:ascii="Times New Roman" w:hAnsi="Times New Roman" w:cs="Times New Roman"/>
            <w:b w:val="0"/>
            <w:bCs w:val="0"/>
            <w:i w:val="0"/>
            <w:iCs w:val="0"/>
            <w:noProof/>
            <w:webHidden/>
            <w:sz w:val="22"/>
            <w:szCs w:val="18"/>
          </w:rPr>
          <w:tab/>
        </w:r>
        <w:r w:rsidRPr="008300E8">
          <w:rPr>
            <w:rFonts w:ascii="Times New Roman" w:hAnsi="Times New Roman" w:cs="Times New Roman"/>
            <w:b w:val="0"/>
            <w:bCs w:val="0"/>
            <w:i w:val="0"/>
            <w:iCs w:val="0"/>
            <w:noProof/>
            <w:webHidden/>
            <w:sz w:val="22"/>
            <w:szCs w:val="18"/>
          </w:rPr>
          <w:fldChar w:fldCharType="begin"/>
        </w:r>
        <w:r w:rsidRPr="008300E8">
          <w:rPr>
            <w:rFonts w:ascii="Times New Roman" w:hAnsi="Times New Roman" w:cs="Times New Roman"/>
            <w:b w:val="0"/>
            <w:bCs w:val="0"/>
            <w:i w:val="0"/>
            <w:iCs w:val="0"/>
            <w:noProof/>
            <w:webHidden/>
            <w:sz w:val="22"/>
            <w:szCs w:val="18"/>
          </w:rPr>
          <w:instrText xml:space="preserve"> PAGEREF _Toc221114321 \h </w:instrText>
        </w:r>
        <w:r w:rsidRPr="008300E8">
          <w:rPr>
            <w:rFonts w:ascii="Times New Roman" w:hAnsi="Times New Roman" w:cs="Times New Roman"/>
            <w:b w:val="0"/>
            <w:bCs w:val="0"/>
            <w:i w:val="0"/>
            <w:iCs w:val="0"/>
            <w:noProof/>
            <w:webHidden/>
            <w:sz w:val="22"/>
            <w:szCs w:val="18"/>
          </w:rPr>
        </w:r>
        <w:r w:rsidRPr="008300E8">
          <w:rPr>
            <w:rFonts w:ascii="Times New Roman" w:hAnsi="Times New Roman" w:cs="Times New Roman"/>
            <w:b w:val="0"/>
            <w:bCs w:val="0"/>
            <w:i w:val="0"/>
            <w:iCs w:val="0"/>
            <w:noProof/>
            <w:webHidden/>
            <w:sz w:val="22"/>
            <w:szCs w:val="18"/>
          </w:rPr>
          <w:fldChar w:fldCharType="separate"/>
        </w:r>
        <w:r w:rsidR="00F70A97">
          <w:rPr>
            <w:rFonts w:ascii="Times New Roman" w:hAnsi="Times New Roman" w:cs="Times New Roman"/>
            <w:b w:val="0"/>
            <w:bCs w:val="0"/>
            <w:i w:val="0"/>
            <w:iCs w:val="0"/>
            <w:noProof/>
            <w:webHidden/>
            <w:sz w:val="22"/>
            <w:szCs w:val="18"/>
          </w:rPr>
          <w:t>188</w:t>
        </w:r>
        <w:r w:rsidRPr="008300E8">
          <w:rPr>
            <w:rFonts w:ascii="Times New Roman" w:hAnsi="Times New Roman" w:cs="Times New Roman"/>
            <w:b w:val="0"/>
            <w:bCs w:val="0"/>
            <w:i w:val="0"/>
            <w:iCs w:val="0"/>
            <w:noProof/>
            <w:webHidden/>
            <w:sz w:val="22"/>
            <w:szCs w:val="18"/>
          </w:rPr>
          <w:fldChar w:fldCharType="end"/>
        </w:r>
      </w:hyperlink>
    </w:p>
    <w:p w14:paraId="1BB17ED4" w14:textId="6DEF729A" w:rsidR="008300E8" w:rsidRPr="008300E8" w:rsidRDefault="008300E8" w:rsidP="008300E8">
      <w:pPr>
        <w:pStyle w:val="TOC1"/>
        <w:tabs>
          <w:tab w:val="right" w:leader="dot" w:pos="9350"/>
        </w:tabs>
        <w:spacing w:line="240" w:lineRule="exact"/>
        <w:rPr>
          <w:rFonts w:ascii="Times New Roman" w:eastAsiaTheme="minorEastAsia" w:hAnsi="Times New Roman" w:cs="Times New Roman"/>
          <w:b w:val="0"/>
          <w:bCs w:val="0"/>
          <w:i w:val="0"/>
          <w:iCs w:val="0"/>
          <w:noProof/>
          <w:sz w:val="22"/>
          <w:szCs w:val="18"/>
          <w:lang w:eastAsia="en-IN"/>
        </w:rPr>
      </w:pPr>
      <w:hyperlink w:anchor="_Toc221114322" w:history="1">
        <w:r w:rsidRPr="008300E8">
          <w:rPr>
            <w:rStyle w:val="Hyperlink"/>
            <w:rFonts w:ascii="Times New Roman" w:hAnsi="Times New Roman" w:cs="Times New Roman"/>
            <w:b w:val="0"/>
            <w:bCs w:val="0"/>
            <w:i w:val="0"/>
            <w:iCs w:val="0"/>
            <w:noProof/>
            <w:sz w:val="22"/>
            <w:szCs w:val="18"/>
          </w:rPr>
          <w:t>Table 41: Details of total loans and advances and physical assets of State Governments as on 31-3-1969 (Estimates)</w:t>
        </w:r>
        <w:r w:rsidRPr="008300E8">
          <w:rPr>
            <w:rFonts w:ascii="Times New Roman" w:hAnsi="Times New Roman" w:cs="Times New Roman"/>
            <w:b w:val="0"/>
            <w:bCs w:val="0"/>
            <w:i w:val="0"/>
            <w:iCs w:val="0"/>
            <w:noProof/>
            <w:webHidden/>
            <w:sz w:val="22"/>
            <w:szCs w:val="18"/>
          </w:rPr>
          <w:tab/>
        </w:r>
        <w:r w:rsidRPr="008300E8">
          <w:rPr>
            <w:rFonts w:ascii="Times New Roman" w:hAnsi="Times New Roman" w:cs="Times New Roman"/>
            <w:b w:val="0"/>
            <w:bCs w:val="0"/>
            <w:i w:val="0"/>
            <w:iCs w:val="0"/>
            <w:noProof/>
            <w:webHidden/>
            <w:sz w:val="22"/>
            <w:szCs w:val="18"/>
          </w:rPr>
          <w:fldChar w:fldCharType="begin"/>
        </w:r>
        <w:r w:rsidRPr="008300E8">
          <w:rPr>
            <w:rFonts w:ascii="Times New Roman" w:hAnsi="Times New Roman" w:cs="Times New Roman"/>
            <w:b w:val="0"/>
            <w:bCs w:val="0"/>
            <w:i w:val="0"/>
            <w:iCs w:val="0"/>
            <w:noProof/>
            <w:webHidden/>
            <w:sz w:val="22"/>
            <w:szCs w:val="18"/>
          </w:rPr>
          <w:instrText xml:space="preserve"> PAGEREF _Toc221114322 \h </w:instrText>
        </w:r>
        <w:r w:rsidRPr="008300E8">
          <w:rPr>
            <w:rFonts w:ascii="Times New Roman" w:hAnsi="Times New Roman" w:cs="Times New Roman"/>
            <w:b w:val="0"/>
            <w:bCs w:val="0"/>
            <w:i w:val="0"/>
            <w:iCs w:val="0"/>
            <w:noProof/>
            <w:webHidden/>
            <w:sz w:val="22"/>
            <w:szCs w:val="18"/>
          </w:rPr>
        </w:r>
        <w:r w:rsidRPr="008300E8">
          <w:rPr>
            <w:rFonts w:ascii="Times New Roman" w:hAnsi="Times New Roman" w:cs="Times New Roman"/>
            <w:b w:val="0"/>
            <w:bCs w:val="0"/>
            <w:i w:val="0"/>
            <w:iCs w:val="0"/>
            <w:noProof/>
            <w:webHidden/>
            <w:sz w:val="22"/>
            <w:szCs w:val="18"/>
          </w:rPr>
          <w:fldChar w:fldCharType="separate"/>
        </w:r>
        <w:r w:rsidR="00F70A97">
          <w:rPr>
            <w:rFonts w:ascii="Times New Roman" w:hAnsi="Times New Roman" w:cs="Times New Roman"/>
            <w:b w:val="0"/>
            <w:bCs w:val="0"/>
            <w:i w:val="0"/>
            <w:iCs w:val="0"/>
            <w:noProof/>
            <w:webHidden/>
            <w:sz w:val="22"/>
            <w:szCs w:val="18"/>
          </w:rPr>
          <w:t>189</w:t>
        </w:r>
        <w:r w:rsidRPr="008300E8">
          <w:rPr>
            <w:rFonts w:ascii="Times New Roman" w:hAnsi="Times New Roman" w:cs="Times New Roman"/>
            <w:b w:val="0"/>
            <w:bCs w:val="0"/>
            <w:i w:val="0"/>
            <w:iCs w:val="0"/>
            <w:noProof/>
            <w:webHidden/>
            <w:sz w:val="22"/>
            <w:szCs w:val="18"/>
          </w:rPr>
          <w:fldChar w:fldCharType="end"/>
        </w:r>
      </w:hyperlink>
    </w:p>
    <w:p w14:paraId="035B4696" w14:textId="78A0C5ED" w:rsidR="008300E8" w:rsidRDefault="008300E8" w:rsidP="008300E8">
      <w:pPr>
        <w:pStyle w:val="TOC1"/>
        <w:tabs>
          <w:tab w:val="right" w:leader="dot" w:pos="9350"/>
        </w:tabs>
        <w:spacing w:line="240" w:lineRule="exact"/>
        <w:rPr>
          <w:rStyle w:val="Hyperlink"/>
          <w:rFonts w:ascii="Times New Roman" w:hAnsi="Times New Roman" w:cs="Times New Roman"/>
          <w:b w:val="0"/>
          <w:bCs w:val="0"/>
          <w:i w:val="0"/>
          <w:iCs w:val="0"/>
          <w:noProof/>
          <w:sz w:val="22"/>
          <w:szCs w:val="18"/>
        </w:rPr>
      </w:pPr>
      <w:hyperlink w:anchor="_Toc221114323" w:history="1">
        <w:r w:rsidRPr="008300E8">
          <w:rPr>
            <w:rStyle w:val="Hyperlink"/>
            <w:rFonts w:ascii="Times New Roman" w:hAnsi="Times New Roman" w:cs="Times New Roman"/>
            <w:b w:val="0"/>
            <w:bCs w:val="0"/>
            <w:i w:val="0"/>
            <w:iCs w:val="0"/>
            <w:noProof/>
            <w:sz w:val="22"/>
            <w:szCs w:val="18"/>
          </w:rPr>
          <w:t>Table 42: Rate of Dividends on State Investments</w:t>
        </w:r>
        <w:r w:rsidRPr="008300E8">
          <w:rPr>
            <w:rFonts w:ascii="Times New Roman" w:hAnsi="Times New Roman" w:cs="Times New Roman"/>
            <w:b w:val="0"/>
            <w:bCs w:val="0"/>
            <w:i w:val="0"/>
            <w:iCs w:val="0"/>
            <w:noProof/>
            <w:webHidden/>
            <w:sz w:val="22"/>
            <w:szCs w:val="18"/>
          </w:rPr>
          <w:tab/>
        </w:r>
        <w:r w:rsidRPr="008300E8">
          <w:rPr>
            <w:rFonts w:ascii="Times New Roman" w:hAnsi="Times New Roman" w:cs="Times New Roman"/>
            <w:b w:val="0"/>
            <w:bCs w:val="0"/>
            <w:i w:val="0"/>
            <w:iCs w:val="0"/>
            <w:noProof/>
            <w:webHidden/>
            <w:sz w:val="22"/>
            <w:szCs w:val="18"/>
          </w:rPr>
          <w:fldChar w:fldCharType="begin"/>
        </w:r>
        <w:r w:rsidRPr="008300E8">
          <w:rPr>
            <w:rFonts w:ascii="Times New Roman" w:hAnsi="Times New Roman" w:cs="Times New Roman"/>
            <w:b w:val="0"/>
            <w:bCs w:val="0"/>
            <w:i w:val="0"/>
            <w:iCs w:val="0"/>
            <w:noProof/>
            <w:webHidden/>
            <w:sz w:val="22"/>
            <w:szCs w:val="18"/>
          </w:rPr>
          <w:instrText xml:space="preserve"> PAGEREF _Toc221114323 \h </w:instrText>
        </w:r>
        <w:r w:rsidRPr="008300E8">
          <w:rPr>
            <w:rFonts w:ascii="Times New Roman" w:hAnsi="Times New Roman" w:cs="Times New Roman"/>
            <w:b w:val="0"/>
            <w:bCs w:val="0"/>
            <w:i w:val="0"/>
            <w:iCs w:val="0"/>
            <w:noProof/>
            <w:webHidden/>
            <w:sz w:val="22"/>
            <w:szCs w:val="18"/>
          </w:rPr>
        </w:r>
        <w:r w:rsidRPr="008300E8">
          <w:rPr>
            <w:rFonts w:ascii="Times New Roman" w:hAnsi="Times New Roman" w:cs="Times New Roman"/>
            <w:b w:val="0"/>
            <w:bCs w:val="0"/>
            <w:i w:val="0"/>
            <w:iCs w:val="0"/>
            <w:noProof/>
            <w:webHidden/>
            <w:sz w:val="22"/>
            <w:szCs w:val="18"/>
          </w:rPr>
          <w:fldChar w:fldCharType="separate"/>
        </w:r>
        <w:r w:rsidR="00F70A97">
          <w:rPr>
            <w:rFonts w:ascii="Times New Roman" w:hAnsi="Times New Roman" w:cs="Times New Roman"/>
            <w:b w:val="0"/>
            <w:bCs w:val="0"/>
            <w:i w:val="0"/>
            <w:iCs w:val="0"/>
            <w:noProof/>
            <w:webHidden/>
            <w:sz w:val="22"/>
            <w:szCs w:val="18"/>
          </w:rPr>
          <w:t>191</w:t>
        </w:r>
        <w:r w:rsidRPr="008300E8">
          <w:rPr>
            <w:rFonts w:ascii="Times New Roman" w:hAnsi="Times New Roman" w:cs="Times New Roman"/>
            <w:b w:val="0"/>
            <w:bCs w:val="0"/>
            <w:i w:val="0"/>
            <w:iCs w:val="0"/>
            <w:noProof/>
            <w:webHidden/>
            <w:sz w:val="22"/>
            <w:szCs w:val="18"/>
          </w:rPr>
          <w:fldChar w:fldCharType="end"/>
        </w:r>
      </w:hyperlink>
    </w:p>
    <w:p w14:paraId="04D26A7B" w14:textId="73A711D0" w:rsidR="008300E8" w:rsidRPr="008300E8" w:rsidRDefault="008300E8" w:rsidP="008300E8">
      <w:pPr>
        <w:spacing w:before="240" w:after="0"/>
        <w:jc w:val="center"/>
        <w:rPr>
          <w:rFonts w:ascii="Times New Roman" w:hAnsi="Times New Roman" w:cs="Times New Roman"/>
          <w:i/>
          <w:iCs/>
        </w:rPr>
      </w:pPr>
      <w:r w:rsidRPr="008300E8">
        <w:rPr>
          <w:rFonts w:ascii="Times New Roman" w:hAnsi="Times New Roman" w:cs="Times New Roman"/>
          <w:i/>
          <w:iCs/>
        </w:rPr>
        <w:t>F. Revenue and expenditure of the Government of India</w:t>
      </w:r>
    </w:p>
    <w:p w14:paraId="5FAFAB7A" w14:textId="12EA9210" w:rsidR="008300E8" w:rsidRPr="008300E8" w:rsidRDefault="008300E8" w:rsidP="008300E8">
      <w:pPr>
        <w:pStyle w:val="TOC1"/>
        <w:tabs>
          <w:tab w:val="right" w:leader="dot" w:pos="9350"/>
        </w:tabs>
        <w:spacing w:line="240" w:lineRule="exact"/>
        <w:rPr>
          <w:rFonts w:ascii="Times New Roman" w:eastAsiaTheme="minorEastAsia" w:hAnsi="Times New Roman" w:cs="Times New Roman"/>
          <w:b w:val="0"/>
          <w:bCs w:val="0"/>
          <w:i w:val="0"/>
          <w:iCs w:val="0"/>
          <w:noProof/>
          <w:sz w:val="22"/>
          <w:szCs w:val="18"/>
          <w:lang w:eastAsia="en-IN"/>
        </w:rPr>
      </w:pPr>
      <w:hyperlink w:anchor="_Toc221114324" w:history="1">
        <w:r w:rsidRPr="008300E8">
          <w:rPr>
            <w:rStyle w:val="Hyperlink"/>
            <w:rFonts w:ascii="Times New Roman" w:hAnsi="Times New Roman" w:cs="Times New Roman"/>
            <w:b w:val="0"/>
            <w:bCs w:val="0"/>
            <w:i w:val="0"/>
            <w:iCs w:val="0"/>
            <w:noProof/>
            <w:sz w:val="22"/>
            <w:szCs w:val="18"/>
          </w:rPr>
          <w:t>Table 43: Revenue receipts of the Government of India</w:t>
        </w:r>
        <w:r w:rsidRPr="008300E8">
          <w:rPr>
            <w:rFonts w:ascii="Times New Roman" w:hAnsi="Times New Roman" w:cs="Times New Roman"/>
            <w:b w:val="0"/>
            <w:bCs w:val="0"/>
            <w:i w:val="0"/>
            <w:iCs w:val="0"/>
            <w:noProof/>
            <w:webHidden/>
            <w:sz w:val="22"/>
            <w:szCs w:val="18"/>
          </w:rPr>
          <w:tab/>
        </w:r>
        <w:r w:rsidRPr="008300E8">
          <w:rPr>
            <w:rFonts w:ascii="Times New Roman" w:hAnsi="Times New Roman" w:cs="Times New Roman"/>
            <w:b w:val="0"/>
            <w:bCs w:val="0"/>
            <w:i w:val="0"/>
            <w:iCs w:val="0"/>
            <w:noProof/>
            <w:webHidden/>
            <w:sz w:val="22"/>
            <w:szCs w:val="18"/>
          </w:rPr>
          <w:fldChar w:fldCharType="begin"/>
        </w:r>
        <w:r w:rsidRPr="008300E8">
          <w:rPr>
            <w:rFonts w:ascii="Times New Roman" w:hAnsi="Times New Roman" w:cs="Times New Roman"/>
            <w:b w:val="0"/>
            <w:bCs w:val="0"/>
            <w:i w:val="0"/>
            <w:iCs w:val="0"/>
            <w:noProof/>
            <w:webHidden/>
            <w:sz w:val="22"/>
            <w:szCs w:val="18"/>
          </w:rPr>
          <w:instrText xml:space="preserve"> PAGEREF _Toc221114324 \h </w:instrText>
        </w:r>
        <w:r w:rsidRPr="008300E8">
          <w:rPr>
            <w:rFonts w:ascii="Times New Roman" w:hAnsi="Times New Roman" w:cs="Times New Roman"/>
            <w:b w:val="0"/>
            <w:bCs w:val="0"/>
            <w:i w:val="0"/>
            <w:iCs w:val="0"/>
            <w:noProof/>
            <w:webHidden/>
            <w:sz w:val="22"/>
            <w:szCs w:val="18"/>
          </w:rPr>
        </w:r>
        <w:r w:rsidRPr="008300E8">
          <w:rPr>
            <w:rFonts w:ascii="Times New Roman" w:hAnsi="Times New Roman" w:cs="Times New Roman"/>
            <w:b w:val="0"/>
            <w:bCs w:val="0"/>
            <w:i w:val="0"/>
            <w:iCs w:val="0"/>
            <w:noProof/>
            <w:webHidden/>
            <w:sz w:val="22"/>
            <w:szCs w:val="18"/>
          </w:rPr>
          <w:fldChar w:fldCharType="separate"/>
        </w:r>
        <w:r w:rsidR="00F70A97">
          <w:rPr>
            <w:rFonts w:ascii="Times New Roman" w:hAnsi="Times New Roman" w:cs="Times New Roman"/>
            <w:b w:val="0"/>
            <w:bCs w:val="0"/>
            <w:i w:val="0"/>
            <w:iCs w:val="0"/>
            <w:noProof/>
            <w:webHidden/>
            <w:sz w:val="22"/>
            <w:szCs w:val="18"/>
          </w:rPr>
          <w:t>192</w:t>
        </w:r>
        <w:r w:rsidRPr="008300E8">
          <w:rPr>
            <w:rFonts w:ascii="Times New Roman" w:hAnsi="Times New Roman" w:cs="Times New Roman"/>
            <w:b w:val="0"/>
            <w:bCs w:val="0"/>
            <w:i w:val="0"/>
            <w:iCs w:val="0"/>
            <w:noProof/>
            <w:webHidden/>
            <w:sz w:val="22"/>
            <w:szCs w:val="18"/>
          </w:rPr>
          <w:fldChar w:fldCharType="end"/>
        </w:r>
      </w:hyperlink>
    </w:p>
    <w:p w14:paraId="71524FFE" w14:textId="25C1A2B8" w:rsidR="008300E8" w:rsidRDefault="008300E8" w:rsidP="008300E8">
      <w:pPr>
        <w:pStyle w:val="TOC1"/>
        <w:tabs>
          <w:tab w:val="right" w:leader="dot" w:pos="9350"/>
        </w:tabs>
        <w:spacing w:line="240" w:lineRule="exact"/>
        <w:rPr>
          <w:rStyle w:val="Hyperlink"/>
          <w:rFonts w:ascii="Times New Roman" w:hAnsi="Times New Roman" w:cs="Times New Roman"/>
          <w:b w:val="0"/>
          <w:bCs w:val="0"/>
          <w:i w:val="0"/>
          <w:iCs w:val="0"/>
          <w:noProof/>
          <w:sz w:val="22"/>
          <w:szCs w:val="18"/>
        </w:rPr>
      </w:pPr>
      <w:hyperlink w:anchor="_Toc221114325" w:history="1">
        <w:r w:rsidRPr="008300E8">
          <w:rPr>
            <w:rStyle w:val="Hyperlink"/>
            <w:rFonts w:ascii="Times New Roman" w:hAnsi="Times New Roman" w:cs="Times New Roman"/>
            <w:b w:val="0"/>
            <w:bCs w:val="0"/>
            <w:i w:val="0"/>
            <w:iCs w:val="0"/>
            <w:noProof/>
            <w:sz w:val="22"/>
            <w:szCs w:val="18"/>
          </w:rPr>
          <w:t>Table 44: Revenue Expenditure of the Government of India</w:t>
        </w:r>
        <w:r w:rsidRPr="008300E8">
          <w:rPr>
            <w:rFonts w:ascii="Times New Roman" w:hAnsi="Times New Roman" w:cs="Times New Roman"/>
            <w:b w:val="0"/>
            <w:bCs w:val="0"/>
            <w:i w:val="0"/>
            <w:iCs w:val="0"/>
            <w:noProof/>
            <w:webHidden/>
            <w:sz w:val="22"/>
            <w:szCs w:val="18"/>
          </w:rPr>
          <w:tab/>
        </w:r>
        <w:r w:rsidRPr="008300E8">
          <w:rPr>
            <w:rFonts w:ascii="Times New Roman" w:hAnsi="Times New Roman" w:cs="Times New Roman"/>
            <w:b w:val="0"/>
            <w:bCs w:val="0"/>
            <w:i w:val="0"/>
            <w:iCs w:val="0"/>
            <w:noProof/>
            <w:webHidden/>
            <w:sz w:val="22"/>
            <w:szCs w:val="18"/>
          </w:rPr>
          <w:fldChar w:fldCharType="begin"/>
        </w:r>
        <w:r w:rsidRPr="008300E8">
          <w:rPr>
            <w:rFonts w:ascii="Times New Roman" w:hAnsi="Times New Roman" w:cs="Times New Roman"/>
            <w:b w:val="0"/>
            <w:bCs w:val="0"/>
            <w:i w:val="0"/>
            <w:iCs w:val="0"/>
            <w:noProof/>
            <w:webHidden/>
            <w:sz w:val="22"/>
            <w:szCs w:val="18"/>
          </w:rPr>
          <w:instrText xml:space="preserve"> PAGEREF _Toc221114325 \h </w:instrText>
        </w:r>
        <w:r w:rsidRPr="008300E8">
          <w:rPr>
            <w:rFonts w:ascii="Times New Roman" w:hAnsi="Times New Roman" w:cs="Times New Roman"/>
            <w:b w:val="0"/>
            <w:bCs w:val="0"/>
            <w:i w:val="0"/>
            <w:iCs w:val="0"/>
            <w:noProof/>
            <w:webHidden/>
            <w:sz w:val="22"/>
            <w:szCs w:val="18"/>
          </w:rPr>
        </w:r>
        <w:r w:rsidRPr="008300E8">
          <w:rPr>
            <w:rFonts w:ascii="Times New Roman" w:hAnsi="Times New Roman" w:cs="Times New Roman"/>
            <w:b w:val="0"/>
            <w:bCs w:val="0"/>
            <w:i w:val="0"/>
            <w:iCs w:val="0"/>
            <w:noProof/>
            <w:webHidden/>
            <w:sz w:val="22"/>
            <w:szCs w:val="18"/>
          </w:rPr>
          <w:fldChar w:fldCharType="separate"/>
        </w:r>
        <w:r w:rsidR="00F70A97">
          <w:rPr>
            <w:rFonts w:ascii="Times New Roman" w:hAnsi="Times New Roman" w:cs="Times New Roman"/>
            <w:b w:val="0"/>
            <w:bCs w:val="0"/>
            <w:i w:val="0"/>
            <w:iCs w:val="0"/>
            <w:noProof/>
            <w:webHidden/>
            <w:sz w:val="22"/>
            <w:szCs w:val="18"/>
          </w:rPr>
          <w:t>195</w:t>
        </w:r>
        <w:r w:rsidRPr="008300E8">
          <w:rPr>
            <w:rFonts w:ascii="Times New Roman" w:hAnsi="Times New Roman" w:cs="Times New Roman"/>
            <w:b w:val="0"/>
            <w:bCs w:val="0"/>
            <w:i w:val="0"/>
            <w:iCs w:val="0"/>
            <w:noProof/>
            <w:webHidden/>
            <w:sz w:val="22"/>
            <w:szCs w:val="18"/>
          </w:rPr>
          <w:fldChar w:fldCharType="end"/>
        </w:r>
      </w:hyperlink>
    </w:p>
    <w:p w14:paraId="5A576B4B" w14:textId="75E63EAB" w:rsidR="008300E8" w:rsidRPr="008300E8" w:rsidRDefault="008300E8" w:rsidP="008300E8">
      <w:r>
        <w:t>G. Divisible Taxes</w:t>
      </w:r>
    </w:p>
    <w:p w14:paraId="7DD3B9F5" w14:textId="6AF19943" w:rsidR="008300E8" w:rsidRPr="008300E8" w:rsidRDefault="008300E8" w:rsidP="008300E8">
      <w:pPr>
        <w:pStyle w:val="TOC1"/>
        <w:tabs>
          <w:tab w:val="right" w:leader="dot" w:pos="9350"/>
        </w:tabs>
        <w:spacing w:line="240" w:lineRule="exact"/>
        <w:rPr>
          <w:rFonts w:ascii="Times New Roman" w:eastAsiaTheme="minorEastAsia" w:hAnsi="Times New Roman" w:cs="Times New Roman"/>
          <w:b w:val="0"/>
          <w:bCs w:val="0"/>
          <w:i w:val="0"/>
          <w:iCs w:val="0"/>
          <w:noProof/>
          <w:sz w:val="22"/>
          <w:szCs w:val="18"/>
          <w:lang w:eastAsia="en-IN"/>
        </w:rPr>
      </w:pPr>
      <w:hyperlink w:anchor="_Toc221114326" w:history="1">
        <w:r w:rsidRPr="008300E8">
          <w:rPr>
            <w:rStyle w:val="Hyperlink"/>
            <w:rFonts w:ascii="Times New Roman" w:hAnsi="Times New Roman" w:cs="Times New Roman"/>
            <w:b w:val="0"/>
            <w:bCs w:val="0"/>
            <w:i w:val="0"/>
            <w:iCs w:val="0"/>
            <w:noProof/>
            <w:sz w:val="22"/>
            <w:szCs w:val="18"/>
          </w:rPr>
          <w:t>Table 45: Revenue from Income Tax, Corporation Tax and Union Surcharges</w:t>
        </w:r>
        <w:r w:rsidRPr="008300E8">
          <w:rPr>
            <w:rFonts w:ascii="Times New Roman" w:hAnsi="Times New Roman" w:cs="Times New Roman"/>
            <w:b w:val="0"/>
            <w:bCs w:val="0"/>
            <w:i w:val="0"/>
            <w:iCs w:val="0"/>
            <w:noProof/>
            <w:webHidden/>
            <w:sz w:val="22"/>
            <w:szCs w:val="18"/>
          </w:rPr>
          <w:tab/>
        </w:r>
        <w:r w:rsidRPr="008300E8">
          <w:rPr>
            <w:rFonts w:ascii="Times New Roman" w:hAnsi="Times New Roman" w:cs="Times New Roman"/>
            <w:b w:val="0"/>
            <w:bCs w:val="0"/>
            <w:i w:val="0"/>
            <w:iCs w:val="0"/>
            <w:noProof/>
            <w:webHidden/>
            <w:sz w:val="22"/>
            <w:szCs w:val="18"/>
          </w:rPr>
          <w:fldChar w:fldCharType="begin"/>
        </w:r>
        <w:r w:rsidRPr="008300E8">
          <w:rPr>
            <w:rFonts w:ascii="Times New Roman" w:hAnsi="Times New Roman" w:cs="Times New Roman"/>
            <w:b w:val="0"/>
            <w:bCs w:val="0"/>
            <w:i w:val="0"/>
            <w:iCs w:val="0"/>
            <w:noProof/>
            <w:webHidden/>
            <w:sz w:val="22"/>
            <w:szCs w:val="18"/>
          </w:rPr>
          <w:instrText xml:space="preserve"> PAGEREF _Toc221114326 \h </w:instrText>
        </w:r>
        <w:r w:rsidRPr="008300E8">
          <w:rPr>
            <w:rFonts w:ascii="Times New Roman" w:hAnsi="Times New Roman" w:cs="Times New Roman"/>
            <w:b w:val="0"/>
            <w:bCs w:val="0"/>
            <w:i w:val="0"/>
            <w:iCs w:val="0"/>
            <w:noProof/>
            <w:webHidden/>
            <w:sz w:val="22"/>
            <w:szCs w:val="18"/>
          </w:rPr>
        </w:r>
        <w:r w:rsidRPr="008300E8">
          <w:rPr>
            <w:rFonts w:ascii="Times New Roman" w:hAnsi="Times New Roman" w:cs="Times New Roman"/>
            <w:b w:val="0"/>
            <w:bCs w:val="0"/>
            <w:i w:val="0"/>
            <w:iCs w:val="0"/>
            <w:noProof/>
            <w:webHidden/>
            <w:sz w:val="22"/>
            <w:szCs w:val="18"/>
          </w:rPr>
          <w:fldChar w:fldCharType="separate"/>
        </w:r>
        <w:r w:rsidR="00F70A97">
          <w:rPr>
            <w:rFonts w:ascii="Times New Roman" w:hAnsi="Times New Roman" w:cs="Times New Roman"/>
            <w:b w:val="0"/>
            <w:bCs w:val="0"/>
            <w:i w:val="0"/>
            <w:iCs w:val="0"/>
            <w:noProof/>
            <w:webHidden/>
            <w:sz w:val="22"/>
            <w:szCs w:val="18"/>
          </w:rPr>
          <w:t>197</w:t>
        </w:r>
        <w:r w:rsidRPr="008300E8">
          <w:rPr>
            <w:rFonts w:ascii="Times New Roman" w:hAnsi="Times New Roman" w:cs="Times New Roman"/>
            <w:b w:val="0"/>
            <w:bCs w:val="0"/>
            <w:i w:val="0"/>
            <w:iCs w:val="0"/>
            <w:noProof/>
            <w:webHidden/>
            <w:sz w:val="22"/>
            <w:szCs w:val="18"/>
          </w:rPr>
          <w:fldChar w:fldCharType="end"/>
        </w:r>
      </w:hyperlink>
    </w:p>
    <w:p w14:paraId="3E91E16B" w14:textId="55D140CC" w:rsidR="008300E8" w:rsidRPr="008300E8" w:rsidRDefault="008300E8" w:rsidP="008300E8">
      <w:pPr>
        <w:pStyle w:val="TOC1"/>
        <w:tabs>
          <w:tab w:val="right" w:leader="dot" w:pos="9350"/>
        </w:tabs>
        <w:spacing w:line="240" w:lineRule="exact"/>
        <w:rPr>
          <w:rFonts w:ascii="Times New Roman" w:eastAsiaTheme="minorEastAsia" w:hAnsi="Times New Roman" w:cs="Times New Roman"/>
          <w:b w:val="0"/>
          <w:bCs w:val="0"/>
          <w:i w:val="0"/>
          <w:iCs w:val="0"/>
          <w:noProof/>
          <w:sz w:val="22"/>
          <w:szCs w:val="18"/>
          <w:lang w:eastAsia="en-IN"/>
        </w:rPr>
      </w:pPr>
      <w:hyperlink w:anchor="_Toc221114327" w:history="1">
        <w:r w:rsidRPr="008300E8">
          <w:rPr>
            <w:rStyle w:val="Hyperlink"/>
            <w:rFonts w:ascii="Times New Roman" w:hAnsi="Times New Roman" w:cs="Times New Roman"/>
            <w:b w:val="0"/>
            <w:bCs w:val="0"/>
            <w:i w:val="0"/>
            <w:iCs w:val="0"/>
            <w:noProof/>
            <w:sz w:val="22"/>
            <w:szCs w:val="18"/>
          </w:rPr>
          <w:t>Table 46: State-wise assessment of income tax (excluding tax on Union Salaries) for the years 1962-63 to 1964-65.  (Net of reductions on account of appellate order, revision, rectification, etc.)</w:t>
        </w:r>
        <w:r w:rsidRPr="008300E8">
          <w:rPr>
            <w:rFonts w:ascii="Times New Roman" w:hAnsi="Times New Roman" w:cs="Times New Roman"/>
            <w:b w:val="0"/>
            <w:bCs w:val="0"/>
            <w:i w:val="0"/>
            <w:iCs w:val="0"/>
            <w:noProof/>
            <w:webHidden/>
            <w:sz w:val="22"/>
            <w:szCs w:val="18"/>
          </w:rPr>
          <w:tab/>
        </w:r>
        <w:r w:rsidRPr="008300E8">
          <w:rPr>
            <w:rFonts w:ascii="Times New Roman" w:hAnsi="Times New Roman" w:cs="Times New Roman"/>
            <w:b w:val="0"/>
            <w:bCs w:val="0"/>
            <w:i w:val="0"/>
            <w:iCs w:val="0"/>
            <w:noProof/>
            <w:webHidden/>
            <w:sz w:val="22"/>
            <w:szCs w:val="18"/>
          </w:rPr>
          <w:fldChar w:fldCharType="begin"/>
        </w:r>
        <w:r w:rsidRPr="008300E8">
          <w:rPr>
            <w:rFonts w:ascii="Times New Roman" w:hAnsi="Times New Roman" w:cs="Times New Roman"/>
            <w:b w:val="0"/>
            <w:bCs w:val="0"/>
            <w:i w:val="0"/>
            <w:iCs w:val="0"/>
            <w:noProof/>
            <w:webHidden/>
            <w:sz w:val="22"/>
            <w:szCs w:val="18"/>
          </w:rPr>
          <w:instrText xml:space="preserve"> PAGEREF _Toc221114327 \h </w:instrText>
        </w:r>
        <w:r w:rsidRPr="008300E8">
          <w:rPr>
            <w:rFonts w:ascii="Times New Roman" w:hAnsi="Times New Roman" w:cs="Times New Roman"/>
            <w:b w:val="0"/>
            <w:bCs w:val="0"/>
            <w:i w:val="0"/>
            <w:iCs w:val="0"/>
            <w:noProof/>
            <w:webHidden/>
            <w:sz w:val="22"/>
            <w:szCs w:val="18"/>
          </w:rPr>
        </w:r>
        <w:r w:rsidRPr="008300E8">
          <w:rPr>
            <w:rFonts w:ascii="Times New Roman" w:hAnsi="Times New Roman" w:cs="Times New Roman"/>
            <w:b w:val="0"/>
            <w:bCs w:val="0"/>
            <w:i w:val="0"/>
            <w:iCs w:val="0"/>
            <w:noProof/>
            <w:webHidden/>
            <w:sz w:val="22"/>
            <w:szCs w:val="18"/>
          </w:rPr>
          <w:fldChar w:fldCharType="separate"/>
        </w:r>
        <w:r w:rsidR="00F70A97">
          <w:rPr>
            <w:rFonts w:ascii="Times New Roman" w:hAnsi="Times New Roman" w:cs="Times New Roman"/>
            <w:b w:val="0"/>
            <w:bCs w:val="0"/>
            <w:i w:val="0"/>
            <w:iCs w:val="0"/>
            <w:noProof/>
            <w:webHidden/>
            <w:sz w:val="22"/>
            <w:szCs w:val="18"/>
          </w:rPr>
          <w:t>198</w:t>
        </w:r>
        <w:r w:rsidRPr="008300E8">
          <w:rPr>
            <w:rFonts w:ascii="Times New Roman" w:hAnsi="Times New Roman" w:cs="Times New Roman"/>
            <w:b w:val="0"/>
            <w:bCs w:val="0"/>
            <w:i w:val="0"/>
            <w:iCs w:val="0"/>
            <w:noProof/>
            <w:webHidden/>
            <w:sz w:val="22"/>
            <w:szCs w:val="18"/>
          </w:rPr>
          <w:fldChar w:fldCharType="end"/>
        </w:r>
      </w:hyperlink>
    </w:p>
    <w:p w14:paraId="7D81919F" w14:textId="0BE55E1D" w:rsidR="008300E8" w:rsidRPr="008300E8" w:rsidRDefault="008300E8" w:rsidP="008300E8">
      <w:pPr>
        <w:pStyle w:val="TOC1"/>
        <w:tabs>
          <w:tab w:val="right" w:leader="dot" w:pos="9350"/>
        </w:tabs>
        <w:spacing w:line="240" w:lineRule="exact"/>
        <w:rPr>
          <w:rFonts w:ascii="Times New Roman" w:eastAsiaTheme="minorEastAsia" w:hAnsi="Times New Roman" w:cs="Times New Roman"/>
          <w:b w:val="0"/>
          <w:bCs w:val="0"/>
          <w:i w:val="0"/>
          <w:iCs w:val="0"/>
          <w:noProof/>
          <w:sz w:val="22"/>
          <w:szCs w:val="18"/>
          <w:lang w:eastAsia="en-IN"/>
        </w:rPr>
      </w:pPr>
      <w:hyperlink w:anchor="_Toc221114328" w:history="1">
        <w:r w:rsidRPr="008300E8">
          <w:rPr>
            <w:rStyle w:val="Hyperlink"/>
            <w:rFonts w:ascii="Times New Roman" w:hAnsi="Times New Roman" w:cs="Times New Roman"/>
            <w:b w:val="0"/>
            <w:bCs w:val="0"/>
            <w:i w:val="0"/>
            <w:iCs w:val="0"/>
            <w:noProof/>
            <w:sz w:val="22"/>
            <w:szCs w:val="18"/>
          </w:rPr>
          <w:t>Table 47: Revenue from Union and Additional Excise Duties from 1965-66 to 1969-70 (Commodity-wise for items subject to additional excise duties and for others taken together)</w:t>
        </w:r>
        <w:r w:rsidRPr="008300E8">
          <w:rPr>
            <w:rFonts w:ascii="Times New Roman" w:hAnsi="Times New Roman" w:cs="Times New Roman"/>
            <w:b w:val="0"/>
            <w:bCs w:val="0"/>
            <w:i w:val="0"/>
            <w:iCs w:val="0"/>
            <w:noProof/>
            <w:webHidden/>
            <w:sz w:val="22"/>
            <w:szCs w:val="18"/>
          </w:rPr>
          <w:tab/>
        </w:r>
        <w:r w:rsidRPr="008300E8">
          <w:rPr>
            <w:rFonts w:ascii="Times New Roman" w:hAnsi="Times New Roman" w:cs="Times New Roman"/>
            <w:b w:val="0"/>
            <w:bCs w:val="0"/>
            <w:i w:val="0"/>
            <w:iCs w:val="0"/>
            <w:noProof/>
            <w:webHidden/>
            <w:sz w:val="22"/>
            <w:szCs w:val="18"/>
          </w:rPr>
          <w:fldChar w:fldCharType="begin"/>
        </w:r>
        <w:r w:rsidRPr="008300E8">
          <w:rPr>
            <w:rFonts w:ascii="Times New Roman" w:hAnsi="Times New Roman" w:cs="Times New Roman"/>
            <w:b w:val="0"/>
            <w:bCs w:val="0"/>
            <w:i w:val="0"/>
            <w:iCs w:val="0"/>
            <w:noProof/>
            <w:webHidden/>
            <w:sz w:val="22"/>
            <w:szCs w:val="18"/>
          </w:rPr>
          <w:instrText xml:space="preserve"> PAGEREF _Toc221114328 \h </w:instrText>
        </w:r>
        <w:r w:rsidRPr="008300E8">
          <w:rPr>
            <w:rFonts w:ascii="Times New Roman" w:hAnsi="Times New Roman" w:cs="Times New Roman"/>
            <w:b w:val="0"/>
            <w:bCs w:val="0"/>
            <w:i w:val="0"/>
            <w:iCs w:val="0"/>
            <w:noProof/>
            <w:webHidden/>
            <w:sz w:val="22"/>
            <w:szCs w:val="18"/>
          </w:rPr>
        </w:r>
        <w:r w:rsidRPr="008300E8">
          <w:rPr>
            <w:rFonts w:ascii="Times New Roman" w:hAnsi="Times New Roman" w:cs="Times New Roman"/>
            <w:b w:val="0"/>
            <w:bCs w:val="0"/>
            <w:i w:val="0"/>
            <w:iCs w:val="0"/>
            <w:noProof/>
            <w:webHidden/>
            <w:sz w:val="22"/>
            <w:szCs w:val="18"/>
          </w:rPr>
          <w:fldChar w:fldCharType="separate"/>
        </w:r>
        <w:r w:rsidR="00F70A97">
          <w:rPr>
            <w:rFonts w:ascii="Times New Roman" w:hAnsi="Times New Roman" w:cs="Times New Roman"/>
            <w:b w:val="0"/>
            <w:bCs w:val="0"/>
            <w:i w:val="0"/>
            <w:iCs w:val="0"/>
            <w:noProof/>
            <w:webHidden/>
            <w:sz w:val="22"/>
            <w:szCs w:val="18"/>
          </w:rPr>
          <w:t>199</w:t>
        </w:r>
        <w:r w:rsidRPr="008300E8">
          <w:rPr>
            <w:rFonts w:ascii="Times New Roman" w:hAnsi="Times New Roman" w:cs="Times New Roman"/>
            <w:b w:val="0"/>
            <w:bCs w:val="0"/>
            <w:i w:val="0"/>
            <w:iCs w:val="0"/>
            <w:noProof/>
            <w:webHidden/>
            <w:sz w:val="22"/>
            <w:szCs w:val="18"/>
          </w:rPr>
          <w:fldChar w:fldCharType="end"/>
        </w:r>
      </w:hyperlink>
    </w:p>
    <w:p w14:paraId="6EBC731A" w14:textId="47B44C90" w:rsidR="008300E8" w:rsidRPr="008300E8" w:rsidRDefault="008300E8" w:rsidP="008300E8">
      <w:pPr>
        <w:pStyle w:val="TOC1"/>
        <w:tabs>
          <w:tab w:val="right" w:leader="dot" w:pos="9350"/>
        </w:tabs>
        <w:spacing w:line="240" w:lineRule="exact"/>
        <w:rPr>
          <w:rFonts w:ascii="Times New Roman" w:eastAsiaTheme="minorEastAsia" w:hAnsi="Times New Roman" w:cs="Times New Roman"/>
          <w:b w:val="0"/>
          <w:bCs w:val="0"/>
          <w:i w:val="0"/>
          <w:iCs w:val="0"/>
          <w:noProof/>
          <w:sz w:val="22"/>
          <w:szCs w:val="18"/>
          <w:lang w:eastAsia="en-IN"/>
        </w:rPr>
      </w:pPr>
      <w:hyperlink w:anchor="_Toc221114329" w:history="1">
        <w:r w:rsidRPr="008300E8">
          <w:rPr>
            <w:rStyle w:val="Hyperlink"/>
            <w:rFonts w:ascii="Times New Roman" w:hAnsi="Times New Roman" w:cs="Times New Roman"/>
            <w:b w:val="0"/>
            <w:bCs w:val="0"/>
            <w:i w:val="0"/>
            <w:iCs w:val="0"/>
            <w:noProof/>
            <w:sz w:val="22"/>
            <w:szCs w:val="18"/>
          </w:rPr>
          <w:t>Table 48: Revenue from Union Excise Duties, Additional Excise Duties and Special Excise Duties from 1950-51 to 1969-70.</w:t>
        </w:r>
        <w:r w:rsidRPr="008300E8">
          <w:rPr>
            <w:rFonts w:ascii="Times New Roman" w:hAnsi="Times New Roman" w:cs="Times New Roman"/>
            <w:b w:val="0"/>
            <w:bCs w:val="0"/>
            <w:i w:val="0"/>
            <w:iCs w:val="0"/>
            <w:noProof/>
            <w:webHidden/>
            <w:sz w:val="22"/>
            <w:szCs w:val="18"/>
          </w:rPr>
          <w:tab/>
        </w:r>
        <w:r w:rsidRPr="008300E8">
          <w:rPr>
            <w:rFonts w:ascii="Times New Roman" w:hAnsi="Times New Roman" w:cs="Times New Roman"/>
            <w:b w:val="0"/>
            <w:bCs w:val="0"/>
            <w:i w:val="0"/>
            <w:iCs w:val="0"/>
            <w:noProof/>
            <w:webHidden/>
            <w:sz w:val="22"/>
            <w:szCs w:val="18"/>
          </w:rPr>
          <w:fldChar w:fldCharType="begin"/>
        </w:r>
        <w:r w:rsidRPr="008300E8">
          <w:rPr>
            <w:rFonts w:ascii="Times New Roman" w:hAnsi="Times New Roman" w:cs="Times New Roman"/>
            <w:b w:val="0"/>
            <w:bCs w:val="0"/>
            <w:i w:val="0"/>
            <w:iCs w:val="0"/>
            <w:noProof/>
            <w:webHidden/>
            <w:sz w:val="22"/>
            <w:szCs w:val="18"/>
          </w:rPr>
          <w:instrText xml:space="preserve"> PAGEREF _Toc221114329 \h </w:instrText>
        </w:r>
        <w:r w:rsidRPr="008300E8">
          <w:rPr>
            <w:rFonts w:ascii="Times New Roman" w:hAnsi="Times New Roman" w:cs="Times New Roman"/>
            <w:b w:val="0"/>
            <w:bCs w:val="0"/>
            <w:i w:val="0"/>
            <w:iCs w:val="0"/>
            <w:noProof/>
            <w:webHidden/>
            <w:sz w:val="22"/>
            <w:szCs w:val="18"/>
          </w:rPr>
        </w:r>
        <w:r w:rsidRPr="008300E8">
          <w:rPr>
            <w:rFonts w:ascii="Times New Roman" w:hAnsi="Times New Roman" w:cs="Times New Roman"/>
            <w:b w:val="0"/>
            <w:bCs w:val="0"/>
            <w:i w:val="0"/>
            <w:iCs w:val="0"/>
            <w:noProof/>
            <w:webHidden/>
            <w:sz w:val="22"/>
            <w:szCs w:val="18"/>
          </w:rPr>
          <w:fldChar w:fldCharType="separate"/>
        </w:r>
        <w:r w:rsidR="00F70A97">
          <w:rPr>
            <w:rFonts w:ascii="Times New Roman" w:hAnsi="Times New Roman" w:cs="Times New Roman"/>
            <w:b w:val="0"/>
            <w:bCs w:val="0"/>
            <w:i w:val="0"/>
            <w:iCs w:val="0"/>
            <w:noProof/>
            <w:webHidden/>
            <w:sz w:val="22"/>
            <w:szCs w:val="18"/>
          </w:rPr>
          <w:t>200</w:t>
        </w:r>
        <w:r w:rsidRPr="008300E8">
          <w:rPr>
            <w:rFonts w:ascii="Times New Roman" w:hAnsi="Times New Roman" w:cs="Times New Roman"/>
            <w:b w:val="0"/>
            <w:bCs w:val="0"/>
            <w:i w:val="0"/>
            <w:iCs w:val="0"/>
            <w:noProof/>
            <w:webHidden/>
            <w:sz w:val="22"/>
            <w:szCs w:val="18"/>
          </w:rPr>
          <w:fldChar w:fldCharType="end"/>
        </w:r>
      </w:hyperlink>
    </w:p>
    <w:p w14:paraId="4E988D7A" w14:textId="3085C0FA" w:rsidR="008300E8" w:rsidRPr="008300E8" w:rsidRDefault="008300E8" w:rsidP="008300E8">
      <w:pPr>
        <w:pStyle w:val="TOC1"/>
        <w:tabs>
          <w:tab w:val="right" w:leader="dot" w:pos="9350"/>
        </w:tabs>
        <w:spacing w:line="240" w:lineRule="exact"/>
        <w:rPr>
          <w:rFonts w:ascii="Times New Roman" w:eastAsiaTheme="minorEastAsia" w:hAnsi="Times New Roman" w:cs="Times New Roman"/>
          <w:b w:val="0"/>
          <w:bCs w:val="0"/>
          <w:i w:val="0"/>
          <w:iCs w:val="0"/>
          <w:noProof/>
          <w:sz w:val="22"/>
          <w:szCs w:val="18"/>
          <w:lang w:eastAsia="en-IN"/>
        </w:rPr>
      </w:pPr>
      <w:hyperlink w:anchor="_Toc221114330" w:history="1">
        <w:r w:rsidRPr="008300E8">
          <w:rPr>
            <w:rStyle w:val="Hyperlink"/>
            <w:rFonts w:ascii="Times New Roman" w:hAnsi="Times New Roman" w:cs="Times New Roman"/>
            <w:b w:val="0"/>
            <w:bCs w:val="0"/>
            <w:i w:val="0"/>
            <w:iCs w:val="0"/>
            <w:noProof/>
            <w:sz w:val="22"/>
            <w:szCs w:val="18"/>
          </w:rPr>
          <w:t>Table 49: Economic indicators for distribution of States' share of Union Excise Duties.</w:t>
        </w:r>
        <w:r w:rsidRPr="008300E8">
          <w:rPr>
            <w:rFonts w:ascii="Times New Roman" w:hAnsi="Times New Roman" w:cs="Times New Roman"/>
            <w:b w:val="0"/>
            <w:bCs w:val="0"/>
            <w:i w:val="0"/>
            <w:iCs w:val="0"/>
            <w:noProof/>
            <w:webHidden/>
            <w:sz w:val="22"/>
            <w:szCs w:val="18"/>
          </w:rPr>
          <w:tab/>
        </w:r>
        <w:r w:rsidRPr="008300E8">
          <w:rPr>
            <w:rFonts w:ascii="Times New Roman" w:hAnsi="Times New Roman" w:cs="Times New Roman"/>
            <w:b w:val="0"/>
            <w:bCs w:val="0"/>
            <w:i w:val="0"/>
            <w:iCs w:val="0"/>
            <w:noProof/>
            <w:webHidden/>
            <w:sz w:val="22"/>
            <w:szCs w:val="18"/>
          </w:rPr>
          <w:fldChar w:fldCharType="begin"/>
        </w:r>
        <w:r w:rsidRPr="008300E8">
          <w:rPr>
            <w:rFonts w:ascii="Times New Roman" w:hAnsi="Times New Roman" w:cs="Times New Roman"/>
            <w:b w:val="0"/>
            <w:bCs w:val="0"/>
            <w:i w:val="0"/>
            <w:iCs w:val="0"/>
            <w:noProof/>
            <w:webHidden/>
            <w:sz w:val="22"/>
            <w:szCs w:val="18"/>
          </w:rPr>
          <w:instrText xml:space="preserve"> PAGEREF _Toc221114330 \h </w:instrText>
        </w:r>
        <w:r w:rsidRPr="008300E8">
          <w:rPr>
            <w:rFonts w:ascii="Times New Roman" w:hAnsi="Times New Roman" w:cs="Times New Roman"/>
            <w:b w:val="0"/>
            <w:bCs w:val="0"/>
            <w:i w:val="0"/>
            <w:iCs w:val="0"/>
            <w:noProof/>
            <w:webHidden/>
            <w:sz w:val="22"/>
            <w:szCs w:val="18"/>
          </w:rPr>
        </w:r>
        <w:r w:rsidRPr="008300E8">
          <w:rPr>
            <w:rFonts w:ascii="Times New Roman" w:hAnsi="Times New Roman" w:cs="Times New Roman"/>
            <w:b w:val="0"/>
            <w:bCs w:val="0"/>
            <w:i w:val="0"/>
            <w:iCs w:val="0"/>
            <w:noProof/>
            <w:webHidden/>
            <w:sz w:val="22"/>
            <w:szCs w:val="18"/>
          </w:rPr>
          <w:fldChar w:fldCharType="separate"/>
        </w:r>
        <w:r w:rsidR="00F70A97">
          <w:rPr>
            <w:rFonts w:ascii="Times New Roman" w:hAnsi="Times New Roman" w:cs="Times New Roman"/>
            <w:b w:val="0"/>
            <w:bCs w:val="0"/>
            <w:i w:val="0"/>
            <w:iCs w:val="0"/>
            <w:noProof/>
            <w:webHidden/>
            <w:sz w:val="22"/>
            <w:szCs w:val="18"/>
          </w:rPr>
          <w:t>201</w:t>
        </w:r>
        <w:r w:rsidRPr="008300E8">
          <w:rPr>
            <w:rFonts w:ascii="Times New Roman" w:hAnsi="Times New Roman" w:cs="Times New Roman"/>
            <w:b w:val="0"/>
            <w:bCs w:val="0"/>
            <w:i w:val="0"/>
            <w:iCs w:val="0"/>
            <w:noProof/>
            <w:webHidden/>
            <w:sz w:val="22"/>
            <w:szCs w:val="18"/>
          </w:rPr>
          <w:fldChar w:fldCharType="end"/>
        </w:r>
      </w:hyperlink>
    </w:p>
    <w:p w14:paraId="4D7863DA" w14:textId="0BE2F724" w:rsidR="008300E8" w:rsidRPr="008300E8" w:rsidRDefault="008300E8" w:rsidP="008300E8">
      <w:pPr>
        <w:pStyle w:val="TOC1"/>
        <w:tabs>
          <w:tab w:val="right" w:leader="dot" w:pos="9350"/>
        </w:tabs>
        <w:spacing w:line="240" w:lineRule="exact"/>
        <w:rPr>
          <w:rFonts w:ascii="Times New Roman" w:eastAsiaTheme="minorEastAsia" w:hAnsi="Times New Roman" w:cs="Times New Roman"/>
          <w:b w:val="0"/>
          <w:bCs w:val="0"/>
          <w:i w:val="0"/>
          <w:iCs w:val="0"/>
          <w:noProof/>
          <w:sz w:val="22"/>
          <w:szCs w:val="18"/>
          <w:lang w:eastAsia="en-IN"/>
        </w:rPr>
      </w:pPr>
      <w:hyperlink w:anchor="_Toc221114331" w:history="1">
        <w:r w:rsidRPr="008300E8">
          <w:rPr>
            <w:rStyle w:val="Hyperlink"/>
            <w:rFonts w:ascii="Times New Roman" w:hAnsi="Times New Roman" w:cs="Times New Roman"/>
            <w:b w:val="0"/>
            <w:bCs w:val="0"/>
            <w:i w:val="0"/>
            <w:iCs w:val="0"/>
            <w:noProof/>
            <w:sz w:val="22"/>
            <w:szCs w:val="18"/>
          </w:rPr>
          <w:t>Table 50: State-wise consumption estimates of Cigarettes</w:t>
        </w:r>
        <w:r w:rsidRPr="008300E8">
          <w:rPr>
            <w:rFonts w:ascii="Times New Roman" w:hAnsi="Times New Roman" w:cs="Times New Roman"/>
            <w:b w:val="0"/>
            <w:bCs w:val="0"/>
            <w:i w:val="0"/>
            <w:iCs w:val="0"/>
            <w:noProof/>
            <w:webHidden/>
            <w:sz w:val="22"/>
            <w:szCs w:val="18"/>
          </w:rPr>
          <w:tab/>
        </w:r>
        <w:r w:rsidRPr="008300E8">
          <w:rPr>
            <w:rFonts w:ascii="Times New Roman" w:hAnsi="Times New Roman" w:cs="Times New Roman"/>
            <w:b w:val="0"/>
            <w:bCs w:val="0"/>
            <w:i w:val="0"/>
            <w:iCs w:val="0"/>
            <w:noProof/>
            <w:webHidden/>
            <w:sz w:val="22"/>
            <w:szCs w:val="18"/>
          </w:rPr>
          <w:fldChar w:fldCharType="begin"/>
        </w:r>
        <w:r w:rsidRPr="008300E8">
          <w:rPr>
            <w:rFonts w:ascii="Times New Roman" w:hAnsi="Times New Roman" w:cs="Times New Roman"/>
            <w:b w:val="0"/>
            <w:bCs w:val="0"/>
            <w:i w:val="0"/>
            <w:iCs w:val="0"/>
            <w:noProof/>
            <w:webHidden/>
            <w:sz w:val="22"/>
            <w:szCs w:val="18"/>
          </w:rPr>
          <w:instrText xml:space="preserve"> PAGEREF _Toc221114331 \h </w:instrText>
        </w:r>
        <w:r w:rsidRPr="008300E8">
          <w:rPr>
            <w:rFonts w:ascii="Times New Roman" w:hAnsi="Times New Roman" w:cs="Times New Roman"/>
            <w:b w:val="0"/>
            <w:bCs w:val="0"/>
            <w:i w:val="0"/>
            <w:iCs w:val="0"/>
            <w:noProof/>
            <w:webHidden/>
            <w:sz w:val="22"/>
            <w:szCs w:val="18"/>
          </w:rPr>
        </w:r>
        <w:r w:rsidRPr="008300E8">
          <w:rPr>
            <w:rFonts w:ascii="Times New Roman" w:hAnsi="Times New Roman" w:cs="Times New Roman"/>
            <w:b w:val="0"/>
            <w:bCs w:val="0"/>
            <w:i w:val="0"/>
            <w:iCs w:val="0"/>
            <w:noProof/>
            <w:webHidden/>
            <w:sz w:val="22"/>
            <w:szCs w:val="18"/>
          </w:rPr>
          <w:fldChar w:fldCharType="separate"/>
        </w:r>
        <w:r w:rsidR="00F70A97">
          <w:rPr>
            <w:rFonts w:ascii="Times New Roman" w:hAnsi="Times New Roman" w:cs="Times New Roman"/>
            <w:b w:val="0"/>
            <w:bCs w:val="0"/>
            <w:i w:val="0"/>
            <w:iCs w:val="0"/>
            <w:noProof/>
            <w:webHidden/>
            <w:sz w:val="22"/>
            <w:szCs w:val="18"/>
          </w:rPr>
          <w:t>203</w:t>
        </w:r>
        <w:r w:rsidRPr="008300E8">
          <w:rPr>
            <w:rFonts w:ascii="Times New Roman" w:hAnsi="Times New Roman" w:cs="Times New Roman"/>
            <w:b w:val="0"/>
            <w:bCs w:val="0"/>
            <w:i w:val="0"/>
            <w:iCs w:val="0"/>
            <w:noProof/>
            <w:webHidden/>
            <w:sz w:val="22"/>
            <w:szCs w:val="18"/>
          </w:rPr>
          <w:fldChar w:fldCharType="end"/>
        </w:r>
      </w:hyperlink>
    </w:p>
    <w:p w14:paraId="1E9B7691" w14:textId="4D2493A8" w:rsidR="008300E8" w:rsidRPr="008300E8" w:rsidRDefault="008300E8" w:rsidP="008300E8">
      <w:pPr>
        <w:pStyle w:val="TOC1"/>
        <w:tabs>
          <w:tab w:val="right" w:leader="dot" w:pos="9350"/>
        </w:tabs>
        <w:spacing w:line="240" w:lineRule="exact"/>
        <w:rPr>
          <w:rFonts w:ascii="Times New Roman" w:eastAsiaTheme="minorEastAsia" w:hAnsi="Times New Roman" w:cs="Times New Roman"/>
          <w:b w:val="0"/>
          <w:bCs w:val="0"/>
          <w:i w:val="0"/>
          <w:iCs w:val="0"/>
          <w:noProof/>
          <w:sz w:val="22"/>
          <w:szCs w:val="18"/>
          <w:lang w:eastAsia="en-IN"/>
        </w:rPr>
      </w:pPr>
      <w:hyperlink w:anchor="_Toc221114332" w:history="1">
        <w:r w:rsidRPr="008300E8">
          <w:rPr>
            <w:rStyle w:val="Hyperlink"/>
            <w:rFonts w:ascii="Times New Roman" w:hAnsi="Times New Roman" w:cs="Times New Roman"/>
            <w:b w:val="0"/>
            <w:bCs w:val="0"/>
            <w:i w:val="0"/>
            <w:iCs w:val="0"/>
            <w:noProof/>
            <w:sz w:val="22"/>
            <w:szCs w:val="18"/>
          </w:rPr>
          <w:t>Table 51: State-wise consumption estimates of Cotton Textiles.</w:t>
        </w:r>
        <w:r w:rsidRPr="008300E8">
          <w:rPr>
            <w:rFonts w:ascii="Times New Roman" w:hAnsi="Times New Roman" w:cs="Times New Roman"/>
            <w:b w:val="0"/>
            <w:bCs w:val="0"/>
            <w:i w:val="0"/>
            <w:iCs w:val="0"/>
            <w:noProof/>
            <w:webHidden/>
            <w:sz w:val="22"/>
            <w:szCs w:val="18"/>
          </w:rPr>
          <w:tab/>
        </w:r>
        <w:r w:rsidRPr="008300E8">
          <w:rPr>
            <w:rFonts w:ascii="Times New Roman" w:hAnsi="Times New Roman" w:cs="Times New Roman"/>
            <w:b w:val="0"/>
            <w:bCs w:val="0"/>
            <w:i w:val="0"/>
            <w:iCs w:val="0"/>
            <w:noProof/>
            <w:webHidden/>
            <w:sz w:val="22"/>
            <w:szCs w:val="18"/>
          </w:rPr>
          <w:fldChar w:fldCharType="begin"/>
        </w:r>
        <w:r w:rsidRPr="008300E8">
          <w:rPr>
            <w:rFonts w:ascii="Times New Roman" w:hAnsi="Times New Roman" w:cs="Times New Roman"/>
            <w:b w:val="0"/>
            <w:bCs w:val="0"/>
            <w:i w:val="0"/>
            <w:iCs w:val="0"/>
            <w:noProof/>
            <w:webHidden/>
            <w:sz w:val="22"/>
            <w:szCs w:val="18"/>
          </w:rPr>
          <w:instrText xml:space="preserve"> PAGEREF _Toc221114332 \h </w:instrText>
        </w:r>
        <w:r w:rsidRPr="008300E8">
          <w:rPr>
            <w:rFonts w:ascii="Times New Roman" w:hAnsi="Times New Roman" w:cs="Times New Roman"/>
            <w:b w:val="0"/>
            <w:bCs w:val="0"/>
            <w:i w:val="0"/>
            <w:iCs w:val="0"/>
            <w:noProof/>
            <w:webHidden/>
            <w:sz w:val="22"/>
            <w:szCs w:val="18"/>
          </w:rPr>
        </w:r>
        <w:r w:rsidRPr="008300E8">
          <w:rPr>
            <w:rFonts w:ascii="Times New Roman" w:hAnsi="Times New Roman" w:cs="Times New Roman"/>
            <w:b w:val="0"/>
            <w:bCs w:val="0"/>
            <w:i w:val="0"/>
            <w:iCs w:val="0"/>
            <w:noProof/>
            <w:webHidden/>
            <w:sz w:val="22"/>
            <w:szCs w:val="18"/>
          </w:rPr>
          <w:fldChar w:fldCharType="separate"/>
        </w:r>
        <w:r w:rsidR="00F70A97">
          <w:rPr>
            <w:rFonts w:ascii="Times New Roman" w:hAnsi="Times New Roman" w:cs="Times New Roman"/>
            <w:b w:val="0"/>
            <w:bCs w:val="0"/>
            <w:i w:val="0"/>
            <w:iCs w:val="0"/>
            <w:noProof/>
            <w:webHidden/>
            <w:sz w:val="22"/>
            <w:szCs w:val="18"/>
          </w:rPr>
          <w:t>204</w:t>
        </w:r>
        <w:r w:rsidRPr="008300E8">
          <w:rPr>
            <w:rFonts w:ascii="Times New Roman" w:hAnsi="Times New Roman" w:cs="Times New Roman"/>
            <w:b w:val="0"/>
            <w:bCs w:val="0"/>
            <w:i w:val="0"/>
            <w:iCs w:val="0"/>
            <w:noProof/>
            <w:webHidden/>
            <w:sz w:val="22"/>
            <w:szCs w:val="18"/>
          </w:rPr>
          <w:fldChar w:fldCharType="end"/>
        </w:r>
      </w:hyperlink>
    </w:p>
    <w:p w14:paraId="4D206062" w14:textId="5CB64EF5" w:rsidR="008300E8" w:rsidRDefault="008300E8" w:rsidP="008300E8">
      <w:pPr>
        <w:pStyle w:val="TOC1"/>
        <w:tabs>
          <w:tab w:val="right" w:leader="dot" w:pos="9350"/>
        </w:tabs>
        <w:spacing w:line="240" w:lineRule="exact"/>
        <w:rPr>
          <w:rStyle w:val="Hyperlink"/>
          <w:rFonts w:ascii="Times New Roman" w:hAnsi="Times New Roman" w:cs="Times New Roman"/>
          <w:b w:val="0"/>
          <w:bCs w:val="0"/>
          <w:i w:val="0"/>
          <w:iCs w:val="0"/>
          <w:noProof/>
          <w:sz w:val="22"/>
          <w:szCs w:val="18"/>
        </w:rPr>
      </w:pPr>
      <w:hyperlink w:anchor="_Toc221114333" w:history="1">
        <w:r w:rsidRPr="008300E8">
          <w:rPr>
            <w:rStyle w:val="Hyperlink"/>
            <w:rFonts w:ascii="Times New Roman" w:hAnsi="Times New Roman" w:cs="Times New Roman"/>
            <w:b w:val="0"/>
            <w:bCs w:val="0"/>
            <w:i w:val="0"/>
            <w:iCs w:val="0"/>
            <w:noProof/>
            <w:sz w:val="22"/>
            <w:szCs w:val="18"/>
          </w:rPr>
          <w:t>Table 52: State-wise consumption of Sugar</w:t>
        </w:r>
        <w:r w:rsidRPr="008300E8">
          <w:rPr>
            <w:rFonts w:ascii="Times New Roman" w:hAnsi="Times New Roman" w:cs="Times New Roman"/>
            <w:b w:val="0"/>
            <w:bCs w:val="0"/>
            <w:i w:val="0"/>
            <w:iCs w:val="0"/>
            <w:noProof/>
            <w:webHidden/>
            <w:sz w:val="22"/>
            <w:szCs w:val="18"/>
          </w:rPr>
          <w:tab/>
        </w:r>
        <w:r w:rsidRPr="008300E8">
          <w:rPr>
            <w:rFonts w:ascii="Times New Roman" w:hAnsi="Times New Roman" w:cs="Times New Roman"/>
            <w:b w:val="0"/>
            <w:bCs w:val="0"/>
            <w:i w:val="0"/>
            <w:iCs w:val="0"/>
            <w:noProof/>
            <w:webHidden/>
            <w:sz w:val="22"/>
            <w:szCs w:val="18"/>
          </w:rPr>
          <w:fldChar w:fldCharType="begin"/>
        </w:r>
        <w:r w:rsidRPr="008300E8">
          <w:rPr>
            <w:rFonts w:ascii="Times New Roman" w:hAnsi="Times New Roman" w:cs="Times New Roman"/>
            <w:b w:val="0"/>
            <w:bCs w:val="0"/>
            <w:i w:val="0"/>
            <w:iCs w:val="0"/>
            <w:noProof/>
            <w:webHidden/>
            <w:sz w:val="22"/>
            <w:szCs w:val="18"/>
          </w:rPr>
          <w:instrText xml:space="preserve"> PAGEREF _Toc221114333 \h </w:instrText>
        </w:r>
        <w:r w:rsidRPr="008300E8">
          <w:rPr>
            <w:rFonts w:ascii="Times New Roman" w:hAnsi="Times New Roman" w:cs="Times New Roman"/>
            <w:b w:val="0"/>
            <w:bCs w:val="0"/>
            <w:i w:val="0"/>
            <w:iCs w:val="0"/>
            <w:noProof/>
            <w:webHidden/>
            <w:sz w:val="22"/>
            <w:szCs w:val="18"/>
          </w:rPr>
        </w:r>
        <w:r w:rsidRPr="008300E8">
          <w:rPr>
            <w:rFonts w:ascii="Times New Roman" w:hAnsi="Times New Roman" w:cs="Times New Roman"/>
            <w:b w:val="0"/>
            <w:bCs w:val="0"/>
            <w:i w:val="0"/>
            <w:iCs w:val="0"/>
            <w:noProof/>
            <w:webHidden/>
            <w:sz w:val="22"/>
            <w:szCs w:val="18"/>
          </w:rPr>
          <w:fldChar w:fldCharType="separate"/>
        </w:r>
        <w:r w:rsidR="00F70A97">
          <w:rPr>
            <w:rFonts w:ascii="Times New Roman" w:hAnsi="Times New Roman" w:cs="Times New Roman"/>
            <w:b w:val="0"/>
            <w:bCs w:val="0"/>
            <w:i w:val="0"/>
            <w:iCs w:val="0"/>
            <w:noProof/>
            <w:webHidden/>
            <w:sz w:val="22"/>
            <w:szCs w:val="18"/>
          </w:rPr>
          <w:t>205</w:t>
        </w:r>
        <w:r w:rsidRPr="008300E8">
          <w:rPr>
            <w:rFonts w:ascii="Times New Roman" w:hAnsi="Times New Roman" w:cs="Times New Roman"/>
            <w:b w:val="0"/>
            <w:bCs w:val="0"/>
            <w:i w:val="0"/>
            <w:iCs w:val="0"/>
            <w:noProof/>
            <w:webHidden/>
            <w:sz w:val="22"/>
            <w:szCs w:val="18"/>
          </w:rPr>
          <w:fldChar w:fldCharType="end"/>
        </w:r>
      </w:hyperlink>
    </w:p>
    <w:p w14:paraId="0373CFA5" w14:textId="53C04BF7" w:rsidR="008300E8" w:rsidRPr="008300E8" w:rsidRDefault="008300E8" w:rsidP="008300E8">
      <w:pPr>
        <w:spacing w:before="240" w:after="0"/>
        <w:jc w:val="center"/>
        <w:rPr>
          <w:rFonts w:ascii="Times New Roman" w:hAnsi="Times New Roman" w:cs="Times New Roman"/>
          <w:i/>
          <w:iCs/>
        </w:rPr>
      </w:pPr>
      <w:r w:rsidRPr="008300E8">
        <w:rPr>
          <w:rFonts w:ascii="Times New Roman" w:hAnsi="Times New Roman" w:cs="Times New Roman"/>
          <w:i/>
          <w:iCs/>
        </w:rPr>
        <w:t>H. Transfers from the Centre to States</w:t>
      </w:r>
    </w:p>
    <w:p w14:paraId="6E1E62EB" w14:textId="6E97E37F" w:rsidR="008300E8" w:rsidRPr="008300E8" w:rsidRDefault="008300E8" w:rsidP="008300E8">
      <w:pPr>
        <w:pStyle w:val="TOC1"/>
        <w:tabs>
          <w:tab w:val="right" w:leader="dot" w:pos="9350"/>
        </w:tabs>
        <w:spacing w:line="240" w:lineRule="exact"/>
        <w:rPr>
          <w:rFonts w:ascii="Times New Roman" w:eastAsiaTheme="minorEastAsia" w:hAnsi="Times New Roman" w:cs="Times New Roman"/>
          <w:b w:val="0"/>
          <w:bCs w:val="0"/>
          <w:i w:val="0"/>
          <w:iCs w:val="0"/>
          <w:noProof/>
          <w:sz w:val="22"/>
          <w:szCs w:val="18"/>
          <w:lang w:eastAsia="en-IN"/>
        </w:rPr>
      </w:pPr>
      <w:hyperlink w:anchor="_Toc221114334" w:history="1">
        <w:r w:rsidRPr="008300E8">
          <w:rPr>
            <w:rStyle w:val="Hyperlink"/>
            <w:rFonts w:ascii="Times New Roman" w:hAnsi="Times New Roman" w:cs="Times New Roman"/>
            <w:b w:val="0"/>
            <w:bCs w:val="0"/>
            <w:i w:val="0"/>
            <w:iCs w:val="0"/>
            <w:noProof/>
            <w:sz w:val="22"/>
            <w:szCs w:val="18"/>
          </w:rPr>
          <w:t>Table 53: Resources transferred from the Centre to the States.</w:t>
        </w:r>
        <w:r w:rsidRPr="008300E8">
          <w:rPr>
            <w:rFonts w:ascii="Times New Roman" w:hAnsi="Times New Roman" w:cs="Times New Roman"/>
            <w:b w:val="0"/>
            <w:bCs w:val="0"/>
            <w:i w:val="0"/>
            <w:iCs w:val="0"/>
            <w:noProof/>
            <w:webHidden/>
            <w:sz w:val="22"/>
            <w:szCs w:val="18"/>
          </w:rPr>
          <w:tab/>
        </w:r>
        <w:r w:rsidRPr="008300E8">
          <w:rPr>
            <w:rFonts w:ascii="Times New Roman" w:hAnsi="Times New Roman" w:cs="Times New Roman"/>
            <w:b w:val="0"/>
            <w:bCs w:val="0"/>
            <w:i w:val="0"/>
            <w:iCs w:val="0"/>
            <w:noProof/>
            <w:webHidden/>
            <w:sz w:val="22"/>
            <w:szCs w:val="18"/>
          </w:rPr>
          <w:fldChar w:fldCharType="begin"/>
        </w:r>
        <w:r w:rsidRPr="008300E8">
          <w:rPr>
            <w:rFonts w:ascii="Times New Roman" w:hAnsi="Times New Roman" w:cs="Times New Roman"/>
            <w:b w:val="0"/>
            <w:bCs w:val="0"/>
            <w:i w:val="0"/>
            <w:iCs w:val="0"/>
            <w:noProof/>
            <w:webHidden/>
            <w:sz w:val="22"/>
            <w:szCs w:val="18"/>
          </w:rPr>
          <w:instrText xml:space="preserve"> PAGEREF _Toc221114334 \h </w:instrText>
        </w:r>
        <w:r w:rsidRPr="008300E8">
          <w:rPr>
            <w:rFonts w:ascii="Times New Roman" w:hAnsi="Times New Roman" w:cs="Times New Roman"/>
            <w:b w:val="0"/>
            <w:bCs w:val="0"/>
            <w:i w:val="0"/>
            <w:iCs w:val="0"/>
            <w:noProof/>
            <w:webHidden/>
            <w:sz w:val="22"/>
            <w:szCs w:val="18"/>
          </w:rPr>
        </w:r>
        <w:r w:rsidRPr="008300E8">
          <w:rPr>
            <w:rFonts w:ascii="Times New Roman" w:hAnsi="Times New Roman" w:cs="Times New Roman"/>
            <w:b w:val="0"/>
            <w:bCs w:val="0"/>
            <w:i w:val="0"/>
            <w:iCs w:val="0"/>
            <w:noProof/>
            <w:webHidden/>
            <w:sz w:val="22"/>
            <w:szCs w:val="18"/>
          </w:rPr>
          <w:fldChar w:fldCharType="separate"/>
        </w:r>
        <w:r w:rsidR="00F70A97">
          <w:rPr>
            <w:rFonts w:ascii="Times New Roman" w:hAnsi="Times New Roman" w:cs="Times New Roman"/>
            <w:b w:val="0"/>
            <w:bCs w:val="0"/>
            <w:i w:val="0"/>
            <w:iCs w:val="0"/>
            <w:noProof/>
            <w:webHidden/>
            <w:sz w:val="22"/>
            <w:szCs w:val="18"/>
          </w:rPr>
          <w:t>206</w:t>
        </w:r>
        <w:r w:rsidRPr="008300E8">
          <w:rPr>
            <w:rFonts w:ascii="Times New Roman" w:hAnsi="Times New Roman" w:cs="Times New Roman"/>
            <w:b w:val="0"/>
            <w:bCs w:val="0"/>
            <w:i w:val="0"/>
            <w:iCs w:val="0"/>
            <w:noProof/>
            <w:webHidden/>
            <w:sz w:val="22"/>
            <w:szCs w:val="18"/>
          </w:rPr>
          <w:fldChar w:fldCharType="end"/>
        </w:r>
      </w:hyperlink>
    </w:p>
    <w:p w14:paraId="1EC5D0FA" w14:textId="0AF607AB" w:rsidR="008300E8" w:rsidRPr="008300E8" w:rsidRDefault="008300E8" w:rsidP="008300E8">
      <w:pPr>
        <w:pStyle w:val="TOC1"/>
        <w:tabs>
          <w:tab w:val="right" w:leader="dot" w:pos="9350"/>
        </w:tabs>
        <w:spacing w:line="240" w:lineRule="exact"/>
        <w:rPr>
          <w:rFonts w:ascii="Times New Roman" w:eastAsiaTheme="minorEastAsia" w:hAnsi="Times New Roman" w:cs="Times New Roman"/>
          <w:b w:val="0"/>
          <w:bCs w:val="0"/>
          <w:i w:val="0"/>
          <w:iCs w:val="0"/>
          <w:noProof/>
          <w:sz w:val="22"/>
          <w:szCs w:val="18"/>
          <w:lang w:eastAsia="en-IN"/>
        </w:rPr>
      </w:pPr>
      <w:hyperlink w:anchor="_Toc221114335" w:history="1">
        <w:r w:rsidRPr="008300E8">
          <w:rPr>
            <w:rStyle w:val="Hyperlink"/>
            <w:rFonts w:ascii="Times New Roman" w:hAnsi="Times New Roman" w:cs="Times New Roman"/>
            <w:b w:val="0"/>
            <w:bCs w:val="0"/>
            <w:i w:val="0"/>
            <w:iCs w:val="0"/>
            <w:noProof/>
            <w:sz w:val="22"/>
            <w:szCs w:val="18"/>
          </w:rPr>
          <w:t>Table 54: Transfer from the Centre to state under the First Finance Commission’s Award (1952-53 to 1956-57)</w:t>
        </w:r>
        <w:r w:rsidRPr="008300E8">
          <w:rPr>
            <w:rFonts w:ascii="Times New Roman" w:hAnsi="Times New Roman" w:cs="Times New Roman"/>
            <w:b w:val="0"/>
            <w:bCs w:val="0"/>
            <w:i w:val="0"/>
            <w:iCs w:val="0"/>
            <w:noProof/>
            <w:webHidden/>
            <w:sz w:val="22"/>
            <w:szCs w:val="18"/>
          </w:rPr>
          <w:tab/>
        </w:r>
        <w:r w:rsidRPr="008300E8">
          <w:rPr>
            <w:rFonts w:ascii="Times New Roman" w:hAnsi="Times New Roman" w:cs="Times New Roman"/>
            <w:b w:val="0"/>
            <w:bCs w:val="0"/>
            <w:i w:val="0"/>
            <w:iCs w:val="0"/>
            <w:noProof/>
            <w:webHidden/>
            <w:sz w:val="22"/>
            <w:szCs w:val="18"/>
          </w:rPr>
          <w:fldChar w:fldCharType="begin"/>
        </w:r>
        <w:r w:rsidRPr="008300E8">
          <w:rPr>
            <w:rFonts w:ascii="Times New Roman" w:hAnsi="Times New Roman" w:cs="Times New Roman"/>
            <w:b w:val="0"/>
            <w:bCs w:val="0"/>
            <w:i w:val="0"/>
            <w:iCs w:val="0"/>
            <w:noProof/>
            <w:webHidden/>
            <w:sz w:val="22"/>
            <w:szCs w:val="18"/>
          </w:rPr>
          <w:instrText xml:space="preserve"> PAGEREF _Toc221114335 \h </w:instrText>
        </w:r>
        <w:r w:rsidRPr="008300E8">
          <w:rPr>
            <w:rFonts w:ascii="Times New Roman" w:hAnsi="Times New Roman" w:cs="Times New Roman"/>
            <w:b w:val="0"/>
            <w:bCs w:val="0"/>
            <w:i w:val="0"/>
            <w:iCs w:val="0"/>
            <w:noProof/>
            <w:webHidden/>
            <w:sz w:val="22"/>
            <w:szCs w:val="18"/>
          </w:rPr>
        </w:r>
        <w:r w:rsidRPr="008300E8">
          <w:rPr>
            <w:rFonts w:ascii="Times New Roman" w:hAnsi="Times New Roman" w:cs="Times New Roman"/>
            <w:b w:val="0"/>
            <w:bCs w:val="0"/>
            <w:i w:val="0"/>
            <w:iCs w:val="0"/>
            <w:noProof/>
            <w:webHidden/>
            <w:sz w:val="22"/>
            <w:szCs w:val="18"/>
          </w:rPr>
          <w:fldChar w:fldCharType="separate"/>
        </w:r>
        <w:r w:rsidR="00F70A97">
          <w:rPr>
            <w:rFonts w:ascii="Times New Roman" w:hAnsi="Times New Roman" w:cs="Times New Roman"/>
            <w:b w:val="0"/>
            <w:bCs w:val="0"/>
            <w:i w:val="0"/>
            <w:iCs w:val="0"/>
            <w:noProof/>
            <w:webHidden/>
            <w:sz w:val="22"/>
            <w:szCs w:val="18"/>
          </w:rPr>
          <w:t>209</w:t>
        </w:r>
        <w:r w:rsidRPr="008300E8">
          <w:rPr>
            <w:rFonts w:ascii="Times New Roman" w:hAnsi="Times New Roman" w:cs="Times New Roman"/>
            <w:b w:val="0"/>
            <w:bCs w:val="0"/>
            <w:i w:val="0"/>
            <w:iCs w:val="0"/>
            <w:noProof/>
            <w:webHidden/>
            <w:sz w:val="22"/>
            <w:szCs w:val="18"/>
          </w:rPr>
          <w:fldChar w:fldCharType="end"/>
        </w:r>
      </w:hyperlink>
    </w:p>
    <w:p w14:paraId="25EEC730" w14:textId="1F2B8B98" w:rsidR="008300E8" w:rsidRPr="008300E8" w:rsidRDefault="008300E8" w:rsidP="008300E8">
      <w:pPr>
        <w:pStyle w:val="TOC1"/>
        <w:tabs>
          <w:tab w:val="right" w:leader="dot" w:pos="9350"/>
        </w:tabs>
        <w:spacing w:line="240" w:lineRule="exact"/>
        <w:rPr>
          <w:rFonts w:ascii="Times New Roman" w:eastAsiaTheme="minorEastAsia" w:hAnsi="Times New Roman" w:cs="Times New Roman"/>
          <w:b w:val="0"/>
          <w:bCs w:val="0"/>
          <w:i w:val="0"/>
          <w:iCs w:val="0"/>
          <w:noProof/>
          <w:sz w:val="22"/>
          <w:szCs w:val="18"/>
          <w:lang w:eastAsia="en-IN"/>
        </w:rPr>
      </w:pPr>
      <w:hyperlink w:anchor="_Toc221114336" w:history="1">
        <w:r w:rsidRPr="008300E8">
          <w:rPr>
            <w:rStyle w:val="Hyperlink"/>
            <w:rFonts w:ascii="Times New Roman" w:hAnsi="Times New Roman" w:cs="Times New Roman"/>
            <w:b w:val="0"/>
            <w:bCs w:val="0"/>
            <w:i w:val="0"/>
            <w:iCs w:val="0"/>
            <w:noProof/>
            <w:sz w:val="22"/>
            <w:szCs w:val="18"/>
          </w:rPr>
          <w:t>Table 55: Transfers from the Centre to States under the Second Finance Commission's Award. (1957-58 to 1961-62)</w:t>
        </w:r>
        <w:r w:rsidRPr="008300E8">
          <w:rPr>
            <w:rFonts w:ascii="Times New Roman" w:hAnsi="Times New Roman" w:cs="Times New Roman"/>
            <w:b w:val="0"/>
            <w:bCs w:val="0"/>
            <w:i w:val="0"/>
            <w:iCs w:val="0"/>
            <w:noProof/>
            <w:webHidden/>
            <w:sz w:val="22"/>
            <w:szCs w:val="18"/>
          </w:rPr>
          <w:tab/>
        </w:r>
        <w:r w:rsidRPr="008300E8">
          <w:rPr>
            <w:rFonts w:ascii="Times New Roman" w:hAnsi="Times New Roman" w:cs="Times New Roman"/>
            <w:b w:val="0"/>
            <w:bCs w:val="0"/>
            <w:i w:val="0"/>
            <w:iCs w:val="0"/>
            <w:noProof/>
            <w:webHidden/>
            <w:sz w:val="22"/>
            <w:szCs w:val="18"/>
          </w:rPr>
          <w:fldChar w:fldCharType="begin"/>
        </w:r>
        <w:r w:rsidRPr="008300E8">
          <w:rPr>
            <w:rFonts w:ascii="Times New Roman" w:hAnsi="Times New Roman" w:cs="Times New Roman"/>
            <w:b w:val="0"/>
            <w:bCs w:val="0"/>
            <w:i w:val="0"/>
            <w:iCs w:val="0"/>
            <w:noProof/>
            <w:webHidden/>
            <w:sz w:val="22"/>
            <w:szCs w:val="18"/>
          </w:rPr>
          <w:instrText xml:space="preserve"> PAGEREF _Toc221114336 \h </w:instrText>
        </w:r>
        <w:r w:rsidRPr="008300E8">
          <w:rPr>
            <w:rFonts w:ascii="Times New Roman" w:hAnsi="Times New Roman" w:cs="Times New Roman"/>
            <w:b w:val="0"/>
            <w:bCs w:val="0"/>
            <w:i w:val="0"/>
            <w:iCs w:val="0"/>
            <w:noProof/>
            <w:webHidden/>
            <w:sz w:val="22"/>
            <w:szCs w:val="18"/>
          </w:rPr>
        </w:r>
        <w:r w:rsidRPr="008300E8">
          <w:rPr>
            <w:rFonts w:ascii="Times New Roman" w:hAnsi="Times New Roman" w:cs="Times New Roman"/>
            <w:b w:val="0"/>
            <w:bCs w:val="0"/>
            <w:i w:val="0"/>
            <w:iCs w:val="0"/>
            <w:noProof/>
            <w:webHidden/>
            <w:sz w:val="22"/>
            <w:szCs w:val="18"/>
          </w:rPr>
          <w:fldChar w:fldCharType="separate"/>
        </w:r>
        <w:r w:rsidR="00F70A97">
          <w:rPr>
            <w:rFonts w:ascii="Times New Roman" w:hAnsi="Times New Roman" w:cs="Times New Roman"/>
            <w:b w:val="0"/>
            <w:bCs w:val="0"/>
            <w:i w:val="0"/>
            <w:iCs w:val="0"/>
            <w:noProof/>
            <w:webHidden/>
            <w:sz w:val="22"/>
            <w:szCs w:val="18"/>
          </w:rPr>
          <w:t>211</w:t>
        </w:r>
        <w:r w:rsidRPr="008300E8">
          <w:rPr>
            <w:rFonts w:ascii="Times New Roman" w:hAnsi="Times New Roman" w:cs="Times New Roman"/>
            <w:b w:val="0"/>
            <w:bCs w:val="0"/>
            <w:i w:val="0"/>
            <w:iCs w:val="0"/>
            <w:noProof/>
            <w:webHidden/>
            <w:sz w:val="22"/>
            <w:szCs w:val="18"/>
          </w:rPr>
          <w:fldChar w:fldCharType="end"/>
        </w:r>
      </w:hyperlink>
    </w:p>
    <w:p w14:paraId="545C3109" w14:textId="1068C2A8" w:rsidR="008300E8" w:rsidRPr="008300E8" w:rsidRDefault="008300E8" w:rsidP="008300E8">
      <w:pPr>
        <w:pStyle w:val="TOC1"/>
        <w:tabs>
          <w:tab w:val="right" w:leader="dot" w:pos="9350"/>
        </w:tabs>
        <w:spacing w:line="240" w:lineRule="exact"/>
        <w:rPr>
          <w:rFonts w:ascii="Times New Roman" w:eastAsiaTheme="minorEastAsia" w:hAnsi="Times New Roman" w:cs="Times New Roman"/>
          <w:b w:val="0"/>
          <w:bCs w:val="0"/>
          <w:i w:val="0"/>
          <w:iCs w:val="0"/>
          <w:noProof/>
          <w:sz w:val="22"/>
          <w:szCs w:val="18"/>
          <w:lang w:eastAsia="en-IN"/>
        </w:rPr>
      </w:pPr>
      <w:hyperlink w:anchor="_Toc221114337" w:history="1">
        <w:r w:rsidRPr="008300E8">
          <w:rPr>
            <w:rStyle w:val="Hyperlink"/>
            <w:rFonts w:ascii="Times New Roman" w:hAnsi="Times New Roman" w:cs="Times New Roman"/>
            <w:b w:val="0"/>
            <w:bCs w:val="0"/>
            <w:i w:val="0"/>
            <w:iCs w:val="0"/>
            <w:noProof/>
            <w:sz w:val="22"/>
            <w:szCs w:val="18"/>
          </w:rPr>
          <w:t>Table 56: Transfers from the Centre to States under the Third Finance Commission’s Award (1962-63 to 1965-66)</w:t>
        </w:r>
        <w:r w:rsidRPr="008300E8">
          <w:rPr>
            <w:rFonts w:ascii="Times New Roman" w:hAnsi="Times New Roman" w:cs="Times New Roman"/>
            <w:b w:val="0"/>
            <w:bCs w:val="0"/>
            <w:i w:val="0"/>
            <w:iCs w:val="0"/>
            <w:noProof/>
            <w:webHidden/>
            <w:sz w:val="22"/>
            <w:szCs w:val="18"/>
          </w:rPr>
          <w:tab/>
        </w:r>
        <w:r w:rsidRPr="008300E8">
          <w:rPr>
            <w:rFonts w:ascii="Times New Roman" w:hAnsi="Times New Roman" w:cs="Times New Roman"/>
            <w:b w:val="0"/>
            <w:bCs w:val="0"/>
            <w:i w:val="0"/>
            <w:iCs w:val="0"/>
            <w:noProof/>
            <w:webHidden/>
            <w:sz w:val="22"/>
            <w:szCs w:val="18"/>
          </w:rPr>
          <w:fldChar w:fldCharType="begin"/>
        </w:r>
        <w:r w:rsidRPr="008300E8">
          <w:rPr>
            <w:rFonts w:ascii="Times New Roman" w:hAnsi="Times New Roman" w:cs="Times New Roman"/>
            <w:b w:val="0"/>
            <w:bCs w:val="0"/>
            <w:i w:val="0"/>
            <w:iCs w:val="0"/>
            <w:noProof/>
            <w:webHidden/>
            <w:sz w:val="22"/>
            <w:szCs w:val="18"/>
          </w:rPr>
          <w:instrText xml:space="preserve"> PAGEREF _Toc221114337 \h </w:instrText>
        </w:r>
        <w:r w:rsidRPr="008300E8">
          <w:rPr>
            <w:rFonts w:ascii="Times New Roman" w:hAnsi="Times New Roman" w:cs="Times New Roman"/>
            <w:b w:val="0"/>
            <w:bCs w:val="0"/>
            <w:i w:val="0"/>
            <w:iCs w:val="0"/>
            <w:noProof/>
            <w:webHidden/>
            <w:sz w:val="22"/>
            <w:szCs w:val="18"/>
          </w:rPr>
        </w:r>
        <w:r w:rsidRPr="008300E8">
          <w:rPr>
            <w:rFonts w:ascii="Times New Roman" w:hAnsi="Times New Roman" w:cs="Times New Roman"/>
            <w:b w:val="0"/>
            <w:bCs w:val="0"/>
            <w:i w:val="0"/>
            <w:iCs w:val="0"/>
            <w:noProof/>
            <w:webHidden/>
            <w:sz w:val="22"/>
            <w:szCs w:val="18"/>
          </w:rPr>
          <w:fldChar w:fldCharType="separate"/>
        </w:r>
        <w:r w:rsidR="00F70A97">
          <w:rPr>
            <w:rFonts w:ascii="Times New Roman" w:hAnsi="Times New Roman" w:cs="Times New Roman"/>
            <w:b w:val="0"/>
            <w:bCs w:val="0"/>
            <w:i w:val="0"/>
            <w:iCs w:val="0"/>
            <w:noProof/>
            <w:webHidden/>
            <w:sz w:val="22"/>
            <w:szCs w:val="18"/>
          </w:rPr>
          <w:t>212</w:t>
        </w:r>
        <w:r w:rsidRPr="008300E8">
          <w:rPr>
            <w:rFonts w:ascii="Times New Roman" w:hAnsi="Times New Roman" w:cs="Times New Roman"/>
            <w:b w:val="0"/>
            <w:bCs w:val="0"/>
            <w:i w:val="0"/>
            <w:iCs w:val="0"/>
            <w:noProof/>
            <w:webHidden/>
            <w:sz w:val="22"/>
            <w:szCs w:val="18"/>
          </w:rPr>
          <w:fldChar w:fldCharType="end"/>
        </w:r>
      </w:hyperlink>
    </w:p>
    <w:p w14:paraId="6FD213BD" w14:textId="0F5D963D" w:rsidR="008300E8" w:rsidRDefault="008300E8" w:rsidP="008300E8">
      <w:pPr>
        <w:pStyle w:val="TOC1"/>
        <w:tabs>
          <w:tab w:val="right" w:leader="dot" w:pos="9350"/>
        </w:tabs>
        <w:spacing w:line="240" w:lineRule="exact"/>
        <w:rPr>
          <w:rStyle w:val="Hyperlink"/>
          <w:rFonts w:ascii="Times New Roman" w:hAnsi="Times New Roman" w:cs="Times New Roman"/>
          <w:b w:val="0"/>
          <w:bCs w:val="0"/>
          <w:i w:val="0"/>
          <w:iCs w:val="0"/>
          <w:noProof/>
          <w:sz w:val="22"/>
          <w:szCs w:val="18"/>
        </w:rPr>
      </w:pPr>
      <w:hyperlink w:anchor="_Toc221114338" w:history="1">
        <w:r w:rsidRPr="008300E8">
          <w:rPr>
            <w:rStyle w:val="Hyperlink"/>
            <w:rFonts w:ascii="Times New Roman" w:hAnsi="Times New Roman" w:cs="Times New Roman"/>
            <w:b w:val="0"/>
            <w:bCs w:val="0"/>
            <w:i w:val="0"/>
            <w:iCs w:val="0"/>
            <w:noProof/>
            <w:sz w:val="22"/>
            <w:szCs w:val="18"/>
          </w:rPr>
          <w:t>Table 57: Transfers from the Centre to the States under the Fourth Finance Commission's Award. (1966-67 To1968-69)</w:t>
        </w:r>
        <w:r w:rsidRPr="008300E8">
          <w:rPr>
            <w:rFonts w:ascii="Times New Roman" w:hAnsi="Times New Roman" w:cs="Times New Roman"/>
            <w:b w:val="0"/>
            <w:bCs w:val="0"/>
            <w:i w:val="0"/>
            <w:iCs w:val="0"/>
            <w:noProof/>
            <w:webHidden/>
            <w:sz w:val="22"/>
            <w:szCs w:val="18"/>
          </w:rPr>
          <w:tab/>
        </w:r>
        <w:r w:rsidRPr="008300E8">
          <w:rPr>
            <w:rFonts w:ascii="Times New Roman" w:hAnsi="Times New Roman" w:cs="Times New Roman"/>
            <w:b w:val="0"/>
            <w:bCs w:val="0"/>
            <w:i w:val="0"/>
            <w:iCs w:val="0"/>
            <w:noProof/>
            <w:webHidden/>
            <w:sz w:val="22"/>
            <w:szCs w:val="18"/>
          </w:rPr>
          <w:fldChar w:fldCharType="begin"/>
        </w:r>
        <w:r w:rsidRPr="008300E8">
          <w:rPr>
            <w:rFonts w:ascii="Times New Roman" w:hAnsi="Times New Roman" w:cs="Times New Roman"/>
            <w:b w:val="0"/>
            <w:bCs w:val="0"/>
            <w:i w:val="0"/>
            <w:iCs w:val="0"/>
            <w:noProof/>
            <w:webHidden/>
            <w:sz w:val="22"/>
            <w:szCs w:val="18"/>
          </w:rPr>
          <w:instrText xml:space="preserve"> PAGEREF _Toc221114338 \h </w:instrText>
        </w:r>
        <w:r w:rsidRPr="008300E8">
          <w:rPr>
            <w:rFonts w:ascii="Times New Roman" w:hAnsi="Times New Roman" w:cs="Times New Roman"/>
            <w:b w:val="0"/>
            <w:bCs w:val="0"/>
            <w:i w:val="0"/>
            <w:iCs w:val="0"/>
            <w:noProof/>
            <w:webHidden/>
            <w:sz w:val="22"/>
            <w:szCs w:val="18"/>
          </w:rPr>
        </w:r>
        <w:r w:rsidRPr="008300E8">
          <w:rPr>
            <w:rFonts w:ascii="Times New Roman" w:hAnsi="Times New Roman" w:cs="Times New Roman"/>
            <w:b w:val="0"/>
            <w:bCs w:val="0"/>
            <w:i w:val="0"/>
            <w:iCs w:val="0"/>
            <w:noProof/>
            <w:webHidden/>
            <w:sz w:val="22"/>
            <w:szCs w:val="18"/>
          </w:rPr>
          <w:fldChar w:fldCharType="separate"/>
        </w:r>
        <w:r w:rsidR="00F70A97">
          <w:rPr>
            <w:rFonts w:ascii="Times New Roman" w:hAnsi="Times New Roman" w:cs="Times New Roman"/>
            <w:b w:val="0"/>
            <w:bCs w:val="0"/>
            <w:i w:val="0"/>
            <w:iCs w:val="0"/>
            <w:noProof/>
            <w:webHidden/>
            <w:sz w:val="22"/>
            <w:szCs w:val="18"/>
          </w:rPr>
          <w:t>213</w:t>
        </w:r>
        <w:r w:rsidRPr="008300E8">
          <w:rPr>
            <w:rFonts w:ascii="Times New Roman" w:hAnsi="Times New Roman" w:cs="Times New Roman"/>
            <w:b w:val="0"/>
            <w:bCs w:val="0"/>
            <w:i w:val="0"/>
            <w:iCs w:val="0"/>
            <w:noProof/>
            <w:webHidden/>
            <w:sz w:val="22"/>
            <w:szCs w:val="18"/>
          </w:rPr>
          <w:fldChar w:fldCharType="end"/>
        </w:r>
      </w:hyperlink>
    </w:p>
    <w:p w14:paraId="138CE603" w14:textId="2BF7A670" w:rsidR="008300E8" w:rsidRPr="008300E8" w:rsidRDefault="008300E8" w:rsidP="008300E8">
      <w:pPr>
        <w:spacing w:before="240" w:after="0"/>
        <w:jc w:val="center"/>
        <w:rPr>
          <w:rFonts w:ascii="Times New Roman" w:hAnsi="Times New Roman" w:cs="Times New Roman"/>
          <w:i/>
          <w:iCs/>
        </w:rPr>
      </w:pPr>
      <w:r w:rsidRPr="008300E8">
        <w:rPr>
          <w:rFonts w:ascii="Times New Roman" w:hAnsi="Times New Roman" w:cs="Times New Roman"/>
          <w:i/>
          <w:iCs/>
        </w:rPr>
        <w:t>I. Agriculture and Irrigation</w:t>
      </w:r>
    </w:p>
    <w:p w14:paraId="694C21F5" w14:textId="41038DBA" w:rsidR="008300E8" w:rsidRPr="008300E8" w:rsidRDefault="008300E8" w:rsidP="008300E8">
      <w:pPr>
        <w:pStyle w:val="TOC1"/>
        <w:tabs>
          <w:tab w:val="right" w:leader="dot" w:pos="9350"/>
        </w:tabs>
        <w:spacing w:line="240" w:lineRule="exact"/>
        <w:rPr>
          <w:rFonts w:ascii="Times New Roman" w:eastAsiaTheme="minorEastAsia" w:hAnsi="Times New Roman" w:cs="Times New Roman"/>
          <w:b w:val="0"/>
          <w:bCs w:val="0"/>
          <w:i w:val="0"/>
          <w:iCs w:val="0"/>
          <w:noProof/>
          <w:sz w:val="22"/>
          <w:szCs w:val="18"/>
          <w:lang w:eastAsia="en-IN"/>
        </w:rPr>
      </w:pPr>
      <w:hyperlink w:anchor="_Toc221114339" w:history="1">
        <w:r w:rsidRPr="008300E8">
          <w:rPr>
            <w:rStyle w:val="Hyperlink"/>
            <w:rFonts w:ascii="Times New Roman" w:hAnsi="Times New Roman" w:cs="Times New Roman"/>
            <w:b w:val="0"/>
            <w:bCs w:val="0"/>
            <w:i w:val="0"/>
            <w:iCs w:val="0"/>
            <w:noProof/>
            <w:sz w:val="22"/>
            <w:szCs w:val="18"/>
          </w:rPr>
          <w:t>Table 58: Area Irrigated (net by Main Sources in 1965-66 and number of cultivators as per Census 1961)</w:t>
        </w:r>
        <w:r w:rsidRPr="008300E8">
          <w:rPr>
            <w:rFonts w:ascii="Times New Roman" w:hAnsi="Times New Roman" w:cs="Times New Roman"/>
            <w:b w:val="0"/>
            <w:bCs w:val="0"/>
            <w:i w:val="0"/>
            <w:iCs w:val="0"/>
            <w:noProof/>
            <w:webHidden/>
            <w:sz w:val="22"/>
            <w:szCs w:val="18"/>
          </w:rPr>
          <w:tab/>
        </w:r>
        <w:r w:rsidRPr="008300E8">
          <w:rPr>
            <w:rFonts w:ascii="Times New Roman" w:hAnsi="Times New Roman" w:cs="Times New Roman"/>
            <w:b w:val="0"/>
            <w:bCs w:val="0"/>
            <w:i w:val="0"/>
            <w:iCs w:val="0"/>
            <w:noProof/>
            <w:webHidden/>
            <w:sz w:val="22"/>
            <w:szCs w:val="18"/>
          </w:rPr>
          <w:fldChar w:fldCharType="begin"/>
        </w:r>
        <w:r w:rsidRPr="008300E8">
          <w:rPr>
            <w:rFonts w:ascii="Times New Roman" w:hAnsi="Times New Roman" w:cs="Times New Roman"/>
            <w:b w:val="0"/>
            <w:bCs w:val="0"/>
            <w:i w:val="0"/>
            <w:iCs w:val="0"/>
            <w:noProof/>
            <w:webHidden/>
            <w:sz w:val="22"/>
            <w:szCs w:val="18"/>
          </w:rPr>
          <w:instrText xml:space="preserve"> PAGEREF _Toc221114339 \h </w:instrText>
        </w:r>
        <w:r w:rsidRPr="008300E8">
          <w:rPr>
            <w:rFonts w:ascii="Times New Roman" w:hAnsi="Times New Roman" w:cs="Times New Roman"/>
            <w:b w:val="0"/>
            <w:bCs w:val="0"/>
            <w:i w:val="0"/>
            <w:iCs w:val="0"/>
            <w:noProof/>
            <w:webHidden/>
            <w:sz w:val="22"/>
            <w:szCs w:val="18"/>
          </w:rPr>
        </w:r>
        <w:r w:rsidRPr="008300E8">
          <w:rPr>
            <w:rFonts w:ascii="Times New Roman" w:hAnsi="Times New Roman" w:cs="Times New Roman"/>
            <w:b w:val="0"/>
            <w:bCs w:val="0"/>
            <w:i w:val="0"/>
            <w:iCs w:val="0"/>
            <w:noProof/>
            <w:webHidden/>
            <w:sz w:val="22"/>
            <w:szCs w:val="18"/>
          </w:rPr>
          <w:fldChar w:fldCharType="separate"/>
        </w:r>
        <w:r w:rsidR="00F70A97">
          <w:rPr>
            <w:rFonts w:ascii="Times New Roman" w:hAnsi="Times New Roman" w:cs="Times New Roman"/>
            <w:b w:val="0"/>
            <w:bCs w:val="0"/>
            <w:i w:val="0"/>
            <w:iCs w:val="0"/>
            <w:noProof/>
            <w:webHidden/>
            <w:sz w:val="22"/>
            <w:szCs w:val="18"/>
          </w:rPr>
          <w:t>214</w:t>
        </w:r>
        <w:r w:rsidRPr="008300E8">
          <w:rPr>
            <w:rFonts w:ascii="Times New Roman" w:hAnsi="Times New Roman" w:cs="Times New Roman"/>
            <w:b w:val="0"/>
            <w:bCs w:val="0"/>
            <w:i w:val="0"/>
            <w:iCs w:val="0"/>
            <w:noProof/>
            <w:webHidden/>
            <w:sz w:val="22"/>
            <w:szCs w:val="18"/>
          </w:rPr>
          <w:fldChar w:fldCharType="end"/>
        </w:r>
      </w:hyperlink>
    </w:p>
    <w:p w14:paraId="28BFAE37" w14:textId="5F46BA16" w:rsidR="008300E8" w:rsidRPr="008300E8" w:rsidRDefault="008300E8" w:rsidP="008300E8">
      <w:pPr>
        <w:pStyle w:val="TOC1"/>
        <w:tabs>
          <w:tab w:val="right" w:leader="dot" w:pos="9350"/>
        </w:tabs>
        <w:spacing w:line="240" w:lineRule="exact"/>
        <w:rPr>
          <w:rFonts w:ascii="Times New Roman" w:eastAsiaTheme="minorEastAsia" w:hAnsi="Times New Roman" w:cs="Times New Roman"/>
          <w:b w:val="0"/>
          <w:bCs w:val="0"/>
          <w:i w:val="0"/>
          <w:iCs w:val="0"/>
          <w:noProof/>
          <w:sz w:val="22"/>
          <w:szCs w:val="18"/>
          <w:lang w:eastAsia="en-IN"/>
        </w:rPr>
      </w:pPr>
      <w:hyperlink w:anchor="_Toc221114340" w:history="1">
        <w:r w:rsidRPr="008300E8">
          <w:rPr>
            <w:rStyle w:val="Hyperlink"/>
            <w:rFonts w:ascii="Times New Roman" w:hAnsi="Times New Roman" w:cs="Times New Roman"/>
            <w:b w:val="0"/>
            <w:bCs w:val="0"/>
            <w:i w:val="0"/>
            <w:iCs w:val="0"/>
            <w:noProof/>
            <w:sz w:val="22"/>
            <w:szCs w:val="18"/>
          </w:rPr>
          <w:t>Table 59: Distribution of Area Operated and Households by Size Classes</w:t>
        </w:r>
        <w:r w:rsidRPr="008300E8">
          <w:rPr>
            <w:rFonts w:ascii="Times New Roman" w:hAnsi="Times New Roman" w:cs="Times New Roman"/>
            <w:b w:val="0"/>
            <w:bCs w:val="0"/>
            <w:i w:val="0"/>
            <w:iCs w:val="0"/>
            <w:noProof/>
            <w:webHidden/>
            <w:sz w:val="22"/>
            <w:szCs w:val="18"/>
          </w:rPr>
          <w:tab/>
        </w:r>
        <w:r w:rsidRPr="008300E8">
          <w:rPr>
            <w:rFonts w:ascii="Times New Roman" w:hAnsi="Times New Roman" w:cs="Times New Roman"/>
            <w:b w:val="0"/>
            <w:bCs w:val="0"/>
            <w:i w:val="0"/>
            <w:iCs w:val="0"/>
            <w:noProof/>
            <w:webHidden/>
            <w:sz w:val="22"/>
            <w:szCs w:val="18"/>
          </w:rPr>
          <w:fldChar w:fldCharType="begin"/>
        </w:r>
        <w:r w:rsidRPr="008300E8">
          <w:rPr>
            <w:rFonts w:ascii="Times New Roman" w:hAnsi="Times New Roman" w:cs="Times New Roman"/>
            <w:b w:val="0"/>
            <w:bCs w:val="0"/>
            <w:i w:val="0"/>
            <w:iCs w:val="0"/>
            <w:noProof/>
            <w:webHidden/>
            <w:sz w:val="22"/>
            <w:szCs w:val="18"/>
          </w:rPr>
          <w:instrText xml:space="preserve"> PAGEREF _Toc221114340 \h </w:instrText>
        </w:r>
        <w:r w:rsidRPr="008300E8">
          <w:rPr>
            <w:rFonts w:ascii="Times New Roman" w:hAnsi="Times New Roman" w:cs="Times New Roman"/>
            <w:b w:val="0"/>
            <w:bCs w:val="0"/>
            <w:i w:val="0"/>
            <w:iCs w:val="0"/>
            <w:noProof/>
            <w:webHidden/>
            <w:sz w:val="22"/>
            <w:szCs w:val="18"/>
          </w:rPr>
        </w:r>
        <w:r w:rsidRPr="008300E8">
          <w:rPr>
            <w:rFonts w:ascii="Times New Roman" w:hAnsi="Times New Roman" w:cs="Times New Roman"/>
            <w:b w:val="0"/>
            <w:bCs w:val="0"/>
            <w:i w:val="0"/>
            <w:iCs w:val="0"/>
            <w:noProof/>
            <w:webHidden/>
            <w:sz w:val="22"/>
            <w:szCs w:val="18"/>
          </w:rPr>
          <w:fldChar w:fldCharType="separate"/>
        </w:r>
        <w:r w:rsidR="00F70A97">
          <w:rPr>
            <w:rFonts w:ascii="Times New Roman" w:hAnsi="Times New Roman" w:cs="Times New Roman"/>
            <w:b w:val="0"/>
            <w:bCs w:val="0"/>
            <w:i w:val="0"/>
            <w:iCs w:val="0"/>
            <w:noProof/>
            <w:webHidden/>
            <w:sz w:val="22"/>
            <w:szCs w:val="18"/>
          </w:rPr>
          <w:t>215</w:t>
        </w:r>
        <w:r w:rsidRPr="008300E8">
          <w:rPr>
            <w:rFonts w:ascii="Times New Roman" w:hAnsi="Times New Roman" w:cs="Times New Roman"/>
            <w:b w:val="0"/>
            <w:bCs w:val="0"/>
            <w:i w:val="0"/>
            <w:iCs w:val="0"/>
            <w:noProof/>
            <w:webHidden/>
            <w:sz w:val="22"/>
            <w:szCs w:val="18"/>
          </w:rPr>
          <w:fldChar w:fldCharType="end"/>
        </w:r>
      </w:hyperlink>
    </w:p>
    <w:p w14:paraId="5C8B3145" w14:textId="23FFF9EB" w:rsidR="008300E8" w:rsidRDefault="008300E8" w:rsidP="008300E8">
      <w:pPr>
        <w:pStyle w:val="TOC1"/>
        <w:tabs>
          <w:tab w:val="right" w:leader="dot" w:pos="9350"/>
        </w:tabs>
        <w:spacing w:line="240" w:lineRule="exact"/>
        <w:rPr>
          <w:rStyle w:val="Hyperlink"/>
          <w:rFonts w:ascii="Times New Roman" w:hAnsi="Times New Roman" w:cs="Times New Roman"/>
          <w:b w:val="0"/>
          <w:bCs w:val="0"/>
          <w:i w:val="0"/>
          <w:iCs w:val="0"/>
          <w:noProof/>
          <w:sz w:val="22"/>
          <w:szCs w:val="18"/>
        </w:rPr>
      </w:pPr>
      <w:hyperlink w:anchor="_Toc221114341" w:history="1">
        <w:r w:rsidRPr="008300E8">
          <w:rPr>
            <w:rStyle w:val="Hyperlink"/>
            <w:rFonts w:ascii="Times New Roman" w:hAnsi="Times New Roman" w:cs="Times New Roman"/>
            <w:b w:val="0"/>
            <w:bCs w:val="0"/>
            <w:i w:val="0"/>
            <w:iCs w:val="0"/>
            <w:noProof/>
            <w:sz w:val="22"/>
            <w:szCs w:val="18"/>
          </w:rPr>
          <w:t>Table 60: Estimated Additional Revenue from Irrigation on the basis of water rates at 12 per cent of gross income.</w:t>
        </w:r>
        <w:r w:rsidRPr="008300E8">
          <w:rPr>
            <w:rFonts w:ascii="Times New Roman" w:hAnsi="Times New Roman" w:cs="Times New Roman"/>
            <w:b w:val="0"/>
            <w:bCs w:val="0"/>
            <w:i w:val="0"/>
            <w:iCs w:val="0"/>
            <w:noProof/>
            <w:webHidden/>
            <w:sz w:val="22"/>
            <w:szCs w:val="18"/>
          </w:rPr>
          <w:tab/>
        </w:r>
        <w:r w:rsidRPr="008300E8">
          <w:rPr>
            <w:rFonts w:ascii="Times New Roman" w:hAnsi="Times New Roman" w:cs="Times New Roman"/>
            <w:b w:val="0"/>
            <w:bCs w:val="0"/>
            <w:i w:val="0"/>
            <w:iCs w:val="0"/>
            <w:noProof/>
            <w:webHidden/>
            <w:sz w:val="22"/>
            <w:szCs w:val="18"/>
          </w:rPr>
          <w:fldChar w:fldCharType="begin"/>
        </w:r>
        <w:r w:rsidRPr="008300E8">
          <w:rPr>
            <w:rFonts w:ascii="Times New Roman" w:hAnsi="Times New Roman" w:cs="Times New Roman"/>
            <w:b w:val="0"/>
            <w:bCs w:val="0"/>
            <w:i w:val="0"/>
            <w:iCs w:val="0"/>
            <w:noProof/>
            <w:webHidden/>
            <w:sz w:val="22"/>
            <w:szCs w:val="18"/>
          </w:rPr>
          <w:instrText xml:space="preserve"> PAGEREF _Toc221114341 \h </w:instrText>
        </w:r>
        <w:r w:rsidRPr="008300E8">
          <w:rPr>
            <w:rFonts w:ascii="Times New Roman" w:hAnsi="Times New Roman" w:cs="Times New Roman"/>
            <w:b w:val="0"/>
            <w:bCs w:val="0"/>
            <w:i w:val="0"/>
            <w:iCs w:val="0"/>
            <w:noProof/>
            <w:webHidden/>
            <w:sz w:val="22"/>
            <w:szCs w:val="18"/>
          </w:rPr>
        </w:r>
        <w:r w:rsidRPr="008300E8">
          <w:rPr>
            <w:rFonts w:ascii="Times New Roman" w:hAnsi="Times New Roman" w:cs="Times New Roman"/>
            <w:b w:val="0"/>
            <w:bCs w:val="0"/>
            <w:i w:val="0"/>
            <w:iCs w:val="0"/>
            <w:noProof/>
            <w:webHidden/>
            <w:sz w:val="22"/>
            <w:szCs w:val="18"/>
          </w:rPr>
          <w:fldChar w:fldCharType="separate"/>
        </w:r>
        <w:r w:rsidR="00F70A97">
          <w:rPr>
            <w:rFonts w:ascii="Times New Roman" w:hAnsi="Times New Roman" w:cs="Times New Roman"/>
            <w:b w:val="0"/>
            <w:bCs w:val="0"/>
            <w:i w:val="0"/>
            <w:iCs w:val="0"/>
            <w:noProof/>
            <w:webHidden/>
            <w:sz w:val="22"/>
            <w:szCs w:val="18"/>
          </w:rPr>
          <w:t>216</w:t>
        </w:r>
        <w:r w:rsidRPr="008300E8">
          <w:rPr>
            <w:rFonts w:ascii="Times New Roman" w:hAnsi="Times New Roman" w:cs="Times New Roman"/>
            <w:b w:val="0"/>
            <w:bCs w:val="0"/>
            <w:i w:val="0"/>
            <w:iCs w:val="0"/>
            <w:noProof/>
            <w:webHidden/>
            <w:sz w:val="22"/>
            <w:szCs w:val="18"/>
          </w:rPr>
          <w:fldChar w:fldCharType="end"/>
        </w:r>
      </w:hyperlink>
    </w:p>
    <w:p w14:paraId="0CF95EDC" w14:textId="356E686D" w:rsidR="008300E8" w:rsidRPr="008300E8" w:rsidRDefault="008300E8" w:rsidP="008300E8">
      <w:pPr>
        <w:spacing w:before="240" w:after="0"/>
        <w:jc w:val="center"/>
        <w:rPr>
          <w:rFonts w:ascii="Times New Roman" w:hAnsi="Times New Roman" w:cs="Times New Roman"/>
          <w:i/>
          <w:iCs/>
        </w:rPr>
      </w:pPr>
      <w:r w:rsidRPr="008300E8">
        <w:rPr>
          <w:rFonts w:ascii="Times New Roman" w:hAnsi="Times New Roman" w:cs="Times New Roman"/>
          <w:i/>
          <w:iCs/>
        </w:rPr>
        <w:t>J. Industrial Statistics</w:t>
      </w:r>
    </w:p>
    <w:p w14:paraId="62EE143B" w14:textId="23A43A02" w:rsidR="008300E8" w:rsidRDefault="008300E8" w:rsidP="008300E8">
      <w:pPr>
        <w:pStyle w:val="TOC1"/>
        <w:tabs>
          <w:tab w:val="right" w:leader="dot" w:pos="9350"/>
        </w:tabs>
        <w:spacing w:line="240" w:lineRule="exact"/>
        <w:rPr>
          <w:rStyle w:val="Hyperlink"/>
          <w:rFonts w:ascii="Times New Roman" w:hAnsi="Times New Roman" w:cs="Times New Roman"/>
          <w:b w:val="0"/>
          <w:bCs w:val="0"/>
          <w:i w:val="0"/>
          <w:iCs w:val="0"/>
          <w:noProof/>
          <w:sz w:val="22"/>
          <w:szCs w:val="18"/>
        </w:rPr>
      </w:pPr>
      <w:hyperlink w:anchor="_Toc221114342" w:history="1">
        <w:r w:rsidRPr="008300E8">
          <w:rPr>
            <w:rStyle w:val="Hyperlink"/>
            <w:rFonts w:ascii="Times New Roman" w:hAnsi="Times New Roman" w:cs="Times New Roman"/>
            <w:b w:val="0"/>
            <w:bCs w:val="0"/>
            <w:i w:val="0"/>
            <w:iCs w:val="0"/>
            <w:noProof/>
            <w:sz w:val="22"/>
            <w:szCs w:val="18"/>
          </w:rPr>
          <w:t>Table 61: Number of factory worker, in different States and their percentage to Population</w:t>
        </w:r>
        <w:r w:rsidRPr="008300E8">
          <w:rPr>
            <w:rFonts w:ascii="Times New Roman" w:hAnsi="Times New Roman" w:cs="Times New Roman"/>
            <w:b w:val="0"/>
            <w:bCs w:val="0"/>
            <w:i w:val="0"/>
            <w:iCs w:val="0"/>
            <w:noProof/>
            <w:webHidden/>
            <w:sz w:val="22"/>
            <w:szCs w:val="18"/>
          </w:rPr>
          <w:tab/>
        </w:r>
        <w:r w:rsidRPr="008300E8">
          <w:rPr>
            <w:rFonts w:ascii="Times New Roman" w:hAnsi="Times New Roman" w:cs="Times New Roman"/>
            <w:b w:val="0"/>
            <w:bCs w:val="0"/>
            <w:i w:val="0"/>
            <w:iCs w:val="0"/>
            <w:noProof/>
            <w:webHidden/>
            <w:sz w:val="22"/>
            <w:szCs w:val="18"/>
          </w:rPr>
          <w:fldChar w:fldCharType="begin"/>
        </w:r>
        <w:r w:rsidRPr="008300E8">
          <w:rPr>
            <w:rFonts w:ascii="Times New Roman" w:hAnsi="Times New Roman" w:cs="Times New Roman"/>
            <w:b w:val="0"/>
            <w:bCs w:val="0"/>
            <w:i w:val="0"/>
            <w:iCs w:val="0"/>
            <w:noProof/>
            <w:webHidden/>
            <w:sz w:val="22"/>
            <w:szCs w:val="18"/>
          </w:rPr>
          <w:instrText xml:space="preserve"> PAGEREF _Toc221114342 \h </w:instrText>
        </w:r>
        <w:r w:rsidRPr="008300E8">
          <w:rPr>
            <w:rFonts w:ascii="Times New Roman" w:hAnsi="Times New Roman" w:cs="Times New Roman"/>
            <w:b w:val="0"/>
            <w:bCs w:val="0"/>
            <w:i w:val="0"/>
            <w:iCs w:val="0"/>
            <w:noProof/>
            <w:webHidden/>
            <w:sz w:val="22"/>
            <w:szCs w:val="18"/>
          </w:rPr>
        </w:r>
        <w:r w:rsidRPr="008300E8">
          <w:rPr>
            <w:rFonts w:ascii="Times New Roman" w:hAnsi="Times New Roman" w:cs="Times New Roman"/>
            <w:b w:val="0"/>
            <w:bCs w:val="0"/>
            <w:i w:val="0"/>
            <w:iCs w:val="0"/>
            <w:noProof/>
            <w:webHidden/>
            <w:sz w:val="22"/>
            <w:szCs w:val="18"/>
          </w:rPr>
          <w:fldChar w:fldCharType="separate"/>
        </w:r>
        <w:r w:rsidR="00F70A97">
          <w:rPr>
            <w:rFonts w:ascii="Times New Roman" w:hAnsi="Times New Roman" w:cs="Times New Roman"/>
            <w:b w:val="0"/>
            <w:bCs w:val="0"/>
            <w:i w:val="0"/>
            <w:iCs w:val="0"/>
            <w:noProof/>
            <w:webHidden/>
            <w:sz w:val="22"/>
            <w:szCs w:val="18"/>
          </w:rPr>
          <w:t>217</w:t>
        </w:r>
        <w:r w:rsidRPr="008300E8">
          <w:rPr>
            <w:rFonts w:ascii="Times New Roman" w:hAnsi="Times New Roman" w:cs="Times New Roman"/>
            <w:b w:val="0"/>
            <w:bCs w:val="0"/>
            <w:i w:val="0"/>
            <w:iCs w:val="0"/>
            <w:noProof/>
            <w:webHidden/>
            <w:sz w:val="22"/>
            <w:szCs w:val="18"/>
          </w:rPr>
          <w:fldChar w:fldCharType="end"/>
        </w:r>
      </w:hyperlink>
    </w:p>
    <w:p w14:paraId="56C20586" w14:textId="58F64E72" w:rsidR="008300E8" w:rsidRPr="008300E8" w:rsidRDefault="008300E8" w:rsidP="008300E8">
      <w:r>
        <w:t>K. Railway, transport and Communications</w:t>
      </w:r>
    </w:p>
    <w:p w14:paraId="628B186A" w14:textId="5EF87665" w:rsidR="008300E8" w:rsidRPr="008300E8" w:rsidRDefault="008300E8" w:rsidP="008300E8">
      <w:pPr>
        <w:pStyle w:val="TOC1"/>
        <w:tabs>
          <w:tab w:val="right" w:leader="dot" w:pos="9350"/>
        </w:tabs>
        <w:spacing w:line="240" w:lineRule="exact"/>
        <w:rPr>
          <w:rFonts w:ascii="Times New Roman" w:eastAsiaTheme="minorEastAsia" w:hAnsi="Times New Roman" w:cs="Times New Roman"/>
          <w:b w:val="0"/>
          <w:bCs w:val="0"/>
          <w:i w:val="0"/>
          <w:iCs w:val="0"/>
          <w:noProof/>
          <w:sz w:val="22"/>
          <w:szCs w:val="18"/>
          <w:lang w:eastAsia="en-IN"/>
        </w:rPr>
      </w:pPr>
      <w:hyperlink w:anchor="_Toc221114343" w:history="1">
        <w:r w:rsidRPr="008300E8">
          <w:rPr>
            <w:rStyle w:val="Hyperlink"/>
            <w:rFonts w:ascii="Times New Roman" w:hAnsi="Times New Roman" w:cs="Times New Roman"/>
            <w:b w:val="0"/>
            <w:bCs w:val="0"/>
            <w:i w:val="0"/>
            <w:iCs w:val="0"/>
            <w:noProof/>
            <w:sz w:val="22"/>
            <w:szCs w:val="18"/>
          </w:rPr>
          <w:t>Table 62: Number of passengers carried by Indian Airlines embarking and disembarking in January, 1969</w:t>
        </w:r>
        <w:r w:rsidRPr="008300E8">
          <w:rPr>
            <w:rFonts w:ascii="Times New Roman" w:hAnsi="Times New Roman" w:cs="Times New Roman"/>
            <w:b w:val="0"/>
            <w:bCs w:val="0"/>
            <w:i w:val="0"/>
            <w:iCs w:val="0"/>
            <w:noProof/>
            <w:webHidden/>
            <w:sz w:val="22"/>
            <w:szCs w:val="18"/>
          </w:rPr>
          <w:tab/>
        </w:r>
        <w:r w:rsidRPr="008300E8">
          <w:rPr>
            <w:rFonts w:ascii="Times New Roman" w:hAnsi="Times New Roman" w:cs="Times New Roman"/>
            <w:b w:val="0"/>
            <w:bCs w:val="0"/>
            <w:i w:val="0"/>
            <w:iCs w:val="0"/>
            <w:noProof/>
            <w:webHidden/>
            <w:sz w:val="22"/>
            <w:szCs w:val="18"/>
          </w:rPr>
          <w:fldChar w:fldCharType="begin"/>
        </w:r>
        <w:r w:rsidRPr="008300E8">
          <w:rPr>
            <w:rFonts w:ascii="Times New Roman" w:hAnsi="Times New Roman" w:cs="Times New Roman"/>
            <w:b w:val="0"/>
            <w:bCs w:val="0"/>
            <w:i w:val="0"/>
            <w:iCs w:val="0"/>
            <w:noProof/>
            <w:webHidden/>
            <w:sz w:val="22"/>
            <w:szCs w:val="18"/>
          </w:rPr>
          <w:instrText xml:space="preserve"> PAGEREF _Toc221114343 \h </w:instrText>
        </w:r>
        <w:r w:rsidRPr="008300E8">
          <w:rPr>
            <w:rFonts w:ascii="Times New Roman" w:hAnsi="Times New Roman" w:cs="Times New Roman"/>
            <w:b w:val="0"/>
            <w:bCs w:val="0"/>
            <w:i w:val="0"/>
            <w:iCs w:val="0"/>
            <w:noProof/>
            <w:webHidden/>
            <w:sz w:val="22"/>
            <w:szCs w:val="18"/>
          </w:rPr>
        </w:r>
        <w:r w:rsidRPr="008300E8">
          <w:rPr>
            <w:rFonts w:ascii="Times New Roman" w:hAnsi="Times New Roman" w:cs="Times New Roman"/>
            <w:b w:val="0"/>
            <w:bCs w:val="0"/>
            <w:i w:val="0"/>
            <w:iCs w:val="0"/>
            <w:noProof/>
            <w:webHidden/>
            <w:sz w:val="22"/>
            <w:szCs w:val="18"/>
          </w:rPr>
          <w:fldChar w:fldCharType="separate"/>
        </w:r>
        <w:r w:rsidR="00F70A97">
          <w:rPr>
            <w:rFonts w:ascii="Times New Roman" w:hAnsi="Times New Roman" w:cs="Times New Roman"/>
            <w:b w:val="0"/>
            <w:bCs w:val="0"/>
            <w:i w:val="0"/>
            <w:iCs w:val="0"/>
            <w:noProof/>
            <w:webHidden/>
            <w:sz w:val="22"/>
            <w:szCs w:val="18"/>
          </w:rPr>
          <w:t>218</w:t>
        </w:r>
        <w:r w:rsidRPr="008300E8">
          <w:rPr>
            <w:rFonts w:ascii="Times New Roman" w:hAnsi="Times New Roman" w:cs="Times New Roman"/>
            <w:b w:val="0"/>
            <w:bCs w:val="0"/>
            <w:i w:val="0"/>
            <w:iCs w:val="0"/>
            <w:noProof/>
            <w:webHidden/>
            <w:sz w:val="22"/>
            <w:szCs w:val="18"/>
          </w:rPr>
          <w:fldChar w:fldCharType="end"/>
        </w:r>
      </w:hyperlink>
    </w:p>
    <w:p w14:paraId="0D347373" w14:textId="29223FD5" w:rsidR="008300E8" w:rsidRPr="008300E8" w:rsidRDefault="008300E8" w:rsidP="008300E8">
      <w:pPr>
        <w:pStyle w:val="TOC1"/>
        <w:tabs>
          <w:tab w:val="right" w:leader="dot" w:pos="9350"/>
        </w:tabs>
        <w:spacing w:line="240" w:lineRule="exact"/>
        <w:rPr>
          <w:rFonts w:ascii="Times New Roman" w:eastAsiaTheme="minorEastAsia" w:hAnsi="Times New Roman" w:cs="Times New Roman"/>
          <w:b w:val="0"/>
          <w:bCs w:val="0"/>
          <w:i w:val="0"/>
          <w:iCs w:val="0"/>
          <w:noProof/>
          <w:sz w:val="22"/>
          <w:szCs w:val="18"/>
          <w:lang w:eastAsia="en-IN"/>
        </w:rPr>
      </w:pPr>
      <w:hyperlink w:anchor="_Toc221114344" w:history="1">
        <w:r w:rsidRPr="008300E8">
          <w:rPr>
            <w:rStyle w:val="Hyperlink"/>
            <w:rFonts w:ascii="Times New Roman" w:hAnsi="Times New Roman" w:cs="Times New Roman"/>
            <w:b w:val="0"/>
            <w:bCs w:val="0"/>
            <w:i w:val="0"/>
            <w:iCs w:val="0"/>
            <w:noProof/>
            <w:sz w:val="22"/>
            <w:szCs w:val="18"/>
          </w:rPr>
          <w:t>Table 63 Commodity-wise freight earnings of Railways on goods carried during</w:t>
        </w:r>
        <w:r w:rsidRPr="008300E8">
          <w:rPr>
            <w:rFonts w:ascii="Times New Roman" w:hAnsi="Times New Roman" w:cs="Times New Roman"/>
            <w:b w:val="0"/>
            <w:bCs w:val="0"/>
            <w:i w:val="0"/>
            <w:iCs w:val="0"/>
            <w:noProof/>
            <w:webHidden/>
            <w:sz w:val="22"/>
            <w:szCs w:val="18"/>
          </w:rPr>
          <w:tab/>
        </w:r>
        <w:r w:rsidRPr="008300E8">
          <w:rPr>
            <w:rFonts w:ascii="Times New Roman" w:hAnsi="Times New Roman" w:cs="Times New Roman"/>
            <w:b w:val="0"/>
            <w:bCs w:val="0"/>
            <w:i w:val="0"/>
            <w:iCs w:val="0"/>
            <w:noProof/>
            <w:webHidden/>
            <w:sz w:val="22"/>
            <w:szCs w:val="18"/>
          </w:rPr>
          <w:fldChar w:fldCharType="begin"/>
        </w:r>
        <w:r w:rsidRPr="008300E8">
          <w:rPr>
            <w:rFonts w:ascii="Times New Roman" w:hAnsi="Times New Roman" w:cs="Times New Roman"/>
            <w:b w:val="0"/>
            <w:bCs w:val="0"/>
            <w:i w:val="0"/>
            <w:iCs w:val="0"/>
            <w:noProof/>
            <w:webHidden/>
            <w:sz w:val="22"/>
            <w:szCs w:val="18"/>
          </w:rPr>
          <w:instrText xml:space="preserve"> PAGEREF _Toc221114344 \h </w:instrText>
        </w:r>
        <w:r w:rsidRPr="008300E8">
          <w:rPr>
            <w:rFonts w:ascii="Times New Roman" w:hAnsi="Times New Roman" w:cs="Times New Roman"/>
            <w:b w:val="0"/>
            <w:bCs w:val="0"/>
            <w:i w:val="0"/>
            <w:iCs w:val="0"/>
            <w:noProof/>
            <w:webHidden/>
            <w:sz w:val="22"/>
            <w:szCs w:val="18"/>
          </w:rPr>
        </w:r>
        <w:r w:rsidRPr="008300E8">
          <w:rPr>
            <w:rFonts w:ascii="Times New Roman" w:hAnsi="Times New Roman" w:cs="Times New Roman"/>
            <w:b w:val="0"/>
            <w:bCs w:val="0"/>
            <w:i w:val="0"/>
            <w:iCs w:val="0"/>
            <w:noProof/>
            <w:webHidden/>
            <w:sz w:val="22"/>
            <w:szCs w:val="18"/>
          </w:rPr>
          <w:fldChar w:fldCharType="separate"/>
        </w:r>
        <w:r w:rsidR="00F70A97">
          <w:rPr>
            <w:rFonts w:ascii="Times New Roman" w:hAnsi="Times New Roman" w:cs="Times New Roman"/>
            <w:b w:val="0"/>
            <w:bCs w:val="0"/>
            <w:i w:val="0"/>
            <w:iCs w:val="0"/>
            <w:noProof/>
            <w:webHidden/>
            <w:sz w:val="22"/>
            <w:szCs w:val="18"/>
          </w:rPr>
          <w:t>221</w:t>
        </w:r>
        <w:r w:rsidRPr="008300E8">
          <w:rPr>
            <w:rFonts w:ascii="Times New Roman" w:hAnsi="Times New Roman" w:cs="Times New Roman"/>
            <w:b w:val="0"/>
            <w:bCs w:val="0"/>
            <w:i w:val="0"/>
            <w:iCs w:val="0"/>
            <w:noProof/>
            <w:webHidden/>
            <w:sz w:val="22"/>
            <w:szCs w:val="18"/>
          </w:rPr>
          <w:fldChar w:fldCharType="end"/>
        </w:r>
      </w:hyperlink>
    </w:p>
    <w:p w14:paraId="303DCD8F" w14:textId="354DBA65" w:rsidR="008300E8" w:rsidRPr="008300E8" w:rsidRDefault="008300E8" w:rsidP="008300E8">
      <w:pPr>
        <w:pStyle w:val="TOC1"/>
        <w:tabs>
          <w:tab w:val="right" w:leader="dot" w:pos="9350"/>
        </w:tabs>
        <w:spacing w:line="240" w:lineRule="exact"/>
        <w:rPr>
          <w:rFonts w:ascii="Times New Roman" w:eastAsiaTheme="minorEastAsia" w:hAnsi="Times New Roman" w:cs="Times New Roman"/>
          <w:b w:val="0"/>
          <w:bCs w:val="0"/>
          <w:i w:val="0"/>
          <w:iCs w:val="0"/>
          <w:noProof/>
          <w:sz w:val="22"/>
          <w:szCs w:val="18"/>
          <w:lang w:eastAsia="en-IN"/>
        </w:rPr>
      </w:pPr>
      <w:hyperlink w:anchor="_Toc221114345" w:history="1">
        <w:r w:rsidRPr="008300E8">
          <w:rPr>
            <w:rStyle w:val="Hyperlink"/>
            <w:rFonts w:ascii="Times New Roman" w:hAnsi="Times New Roman" w:cs="Times New Roman"/>
            <w:b w:val="0"/>
            <w:bCs w:val="0"/>
            <w:i w:val="0"/>
            <w:iCs w:val="0"/>
            <w:noProof/>
            <w:sz w:val="22"/>
            <w:szCs w:val="18"/>
          </w:rPr>
          <w:t>1965-66 to 1967-68</w:t>
        </w:r>
        <w:r w:rsidRPr="008300E8">
          <w:rPr>
            <w:rFonts w:ascii="Times New Roman" w:hAnsi="Times New Roman" w:cs="Times New Roman"/>
            <w:b w:val="0"/>
            <w:bCs w:val="0"/>
            <w:i w:val="0"/>
            <w:iCs w:val="0"/>
            <w:noProof/>
            <w:webHidden/>
            <w:sz w:val="22"/>
            <w:szCs w:val="18"/>
          </w:rPr>
          <w:tab/>
        </w:r>
        <w:r w:rsidRPr="008300E8">
          <w:rPr>
            <w:rFonts w:ascii="Times New Roman" w:hAnsi="Times New Roman" w:cs="Times New Roman"/>
            <w:b w:val="0"/>
            <w:bCs w:val="0"/>
            <w:i w:val="0"/>
            <w:iCs w:val="0"/>
            <w:noProof/>
            <w:webHidden/>
            <w:sz w:val="22"/>
            <w:szCs w:val="18"/>
          </w:rPr>
          <w:fldChar w:fldCharType="begin"/>
        </w:r>
        <w:r w:rsidRPr="008300E8">
          <w:rPr>
            <w:rFonts w:ascii="Times New Roman" w:hAnsi="Times New Roman" w:cs="Times New Roman"/>
            <w:b w:val="0"/>
            <w:bCs w:val="0"/>
            <w:i w:val="0"/>
            <w:iCs w:val="0"/>
            <w:noProof/>
            <w:webHidden/>
            <w:sz w:val="22"/>
            <w:szCs w:val="18"/>
          </w:rPr>
          <w:instrText xml:space="preserve"> PAGEREF _Toc221114345 \h </w:instrText>
        </w:r>
        <w:r w:rsidRPr="008300E8">
          <w:rPr>
            <w:rFonts w:ascii="Times New Roman" w:hAnsi="Times New Roman" w:cs="Times New Roman"/>
            <w:b w:val="0"/>
            <w:bCs w:val="0"/>
            <w:i w:val="0"/>
            <w:iCs w:val="0"/>
            <w:noProof/>
            <w:webHidden/>
            <w:sz w:val="22"/>
            <w:szCs w:val="18"/>
          </w:rPr>
        </w:r>
        <w:r w:rsidRPr="008300E8">
          <w:rPr>
            <w:rFonts w:ascii="Times New Roman" w:hAnsi="Times New Roman" w:cs="Times New Roman"/>
            <w:b w:val="0"/>
            <w:bCs w:val="0"/>
            <w:i w:val="0"/>
            <w:iCs w:val="0"/>
            <w:noProof/>
            <w:webHidden/>
            <w:sz w:val="22"/>
            <w:szCs w:val="18"/>
          </w:rPr>
          <w:fldChar w:fldCharType="separate"/>
        </w:r>
        <w:r w:rsidR="00F70A97">
          <w:rPr>
            <w:rFonts w:ascii="Times New Roman" w:hAnsi="Times New Roman" w:cs="Times New Roman"/>
            <w:b w:val="0"/>
            <w:bCs w:val="0"/>
            <w:i w:val="0"/>
            <w:iCs w:val="0"/>
            <w:noProof/>
            <w:webHidden/>
            <w:sz w:val="22"/>
            <w:szCs w:val="18"/>
          </w:rPr>
          <w:t>221</w:t>
        </w:r>
        <w:r w:rsidRPr="008300E8">
          <w:rPr>
            <w:rFonts w:ascii="Times New Roman" w:hAnsi="Times New Roman" w:cs="Times New Roman"/>
            <w:b w:val="0"/>
            <w:bCs w:val="0"/>
            <w:i w:val="0"/>
            <w:iCs w:val="0"/>
            <w:noProof/>
            <w:webHidden/>
            <w:sz w:val="22"/>
            <w:szCs w:val="18"/>
          </w:rPr>
          <w:fldChar w:fldCharType="end"/>
        </w:r>
      </w:hyperlink>
    </w:p>
    <w:p w14:paraId="4E03A510" w14:textId="1DF00A60" w:rsidR="008300E8" w:rsidRDefault="008300E8" w:rsidP="008300E8">
      <w:pPr>
        <w:pStyle w:val="TOC1"/>
        <w:tabs>
          <w:tab w:val="right" w:leader="dot" w:pos="9350"/>
        </w:tabs>
        <w:spacing w:line="240" w:lineRule="exact"/>
        <w:rPr>
          <w:rStyle w:val="Hyperlink"/>
          <w:rFonts w:ascii="Times New Roman" w:hAnsi="Times New Roman" w:cs="Times New Roman"/>
          <w:b w:val="0"/>
          <w:bCs w:val="0"/>
          <w:i w:val="0"/>
          <w:iCs w:val="0"/>
          <w:noProof/>
          <w:sz w:val="22"/>
          <w:szCs w:val="18"/>
        </w:rPr>
      </w:pPr>
      <w:hyperlink w:anchor="_Toc221114346" w:history="1">
        <w:r w:rsidRPr="008300E8">
          <w:rPr>
            <w:rStyle w:val="Hyperlink"/>
            <w:rFonts w:ascii="Times New Roman" w:hAnsi="Times New Roman" w:cs="Times New Roman"/>
            <w:b w:val="0"/>
            <w:bCs w:val="0"/>
            <w:i w:val="0"/>
            <w:iCs w:val="0"/>
            <w:noProof/>
            <w:sz w:val="22"/>
            <w:szCs w:val="18"/>
          </w:rPr>
          <w:t>Table 64: Position of Railway Finances for the years (1964-65 to 1969-70)</w:t>
        </w:r>
        <w:r w:rsidRPr="008300E8">
          <w:rPr>
            <w:rFonts w:ascii="Times New Roman" w:hAnsi="Times New Roman" w:cs="Times New Roman"/>
            <w:b w:val="0"/>
            <w:bCs w:val="0"/>
            <w:i w:val="0"/>
            <w:iCs w:val="0"/>
            <w:noProof/>
            <w:webHidden/>
            <w:sz w:val="22"/>
            <w:szCs w:val="18"/>
          </w:rPr>
          <w:tab/>
        </w:r>
        <w:r w:rsidRPr="008300E8">
          <w:rPr>
            <w:rFonts w:ascii="Times New Roman" w:hAnsi="Times New Roman" w:cs="Times New Roman"/>
            <w:b w:val="0"/>
            <w:bCs w:val="0"/>
            <w:i w:val="0"/>
            <w:iCs w:val="0"/>
            <w:noProof/>
            <w:webHidden/>
            <w:sz w:val="22"/>
            <w:szCs w:val="18"/>
          </w:rPr>
          <w:fldChar w:fldCharType="begin"/>
        </w:r>
        <w:r w:rsidRPr="008300E8">
          <w:rPr>
            <w:rFonts w:ascii="Times New Roman" w:hAnsi="Times New Roman" w:cs="Times New Roman"/>
            <w:b w:val="0"/>
            <w:bCs w:val="0"/>
            <w:i w:val="0"/>
            <w:iCs w:val="0"/>
            <w:noProof/>
            <w:webHidden/>
            <w:sz w:val="22"/>
            <w:szCs w:val="18"/>
          </w:rPr>
          <w:instrText xml:space="preserve"> PAGEREF _Toc221114346 \h </w:instrText>
        </w:r>
        <w:r w:rsidRPr="008300E8">
          <w:rPr>
            <w:rFonts w:ascii="Times New Roman" w:hAnsi="Times New Roman" w:cs="Times New Roman"/>
            <w:b w:val="0"/>
            <w:bCs w:val="0"/>
            <w:i w:val="0"/>
            <w:iCs w:val="0"/>
            <w:noProof/>
            <w:webHidden/>
            <w:sz w:val="22"/>
            <w:szCs w:val="18"/>
          </w:rPr>
        </w:r>
        <w:r w:rsidRPr="008300E8">
          <w:rPr>
            <w:rFonts w:ascii="Times New Roman" w:hAnsi="Times New Roman" w:cs="Times New Roman"/>
            <w:b w:val="0"/>
            <w:bCs w:val="0"/>
            <w:i w:val="0"/>
            <w:iCs w:val="0"/>
            <w:noProof/>
            <w:webHidden/>
            <w:sz w:val="22"/>
            <w:szCs w:val="18"/>
          </w:rPr>
          <w:fldChar w:fldCharType="separate"/>
        </w:r>
        <w:r w:rsidR="00F70A97">
          <w:rPr>
            <w:rFonts w:ascii="Times New Roman" w:hAnsi="Times New Roman" w:cs="Times New Roman"/>
            <w:b w:val="0"/>
            <w:bCs w:val="0"/>
            <w:i w:val="0"/>
            <w:iCs w:val="0"/>
            <w:noProof/>
            <w:webHidden/>
            <w:sz w:val="22"/>
            <w:szCs w:val="18"/>
          </w:rPr>
          <w:t>222</w:t>
        </w:r>
        <w:r w:rsidRPr="008300E8">
          <w:rPr>
            <w:rFonts w:ascii="Times New Roman" w:hAnsi="Times New Roman" w:cs="Times New Roman"/>
            <w:b w:val="0"/>
            <w:bCs w:val="0"/>
            <w:i w:val="0"/>
            <w:iCs w:val="0"/>
            <w:noProof/>
            <w:webHidden/>
            <w:sz w:val="22"/>
            <w:szCs w:val="18"/>
          </w:rPr>
          <w:fldChar w:fldCharType="end"/>
        </w:r>
      </w:hyperlink>
    </w:p>
    <w:p w14:paraId="4A3E56B7" w14:textId="4837DA74" w:rsidR="008300E8" w:rsidRPr="008300E8" w:rsidRDefault="008300E8" w:rsidP="008300E8">
      <w:pPr>
        <w:spacing w:before="240" w:after="0"/>
        <w:jc w:val="center"/>
        <w:rPr>
          <w:rFonts w:ascii="Times New Roman" w:hAnsi="Times New Roman" w:cs="Times New Roman"/>
          <w:i/>
          <w:iCs/>
        </w:rPr>
      </w:pPr>
      <w:r w:rsidRPr="008300E8">
        <w:rPr>
          <w:rFonts w:ascii="Times New Roman" w:hAnsi="Times New Roman" w:cs="Times New Roman"/>
          <w:i/>
          <w:iCs/>
        </w:rPr>
        <w:t>L. Miscellaneous</w:t>
      </w:r>
    </w:p>
    <w:p w14:paraId="7CE046E7" w14:textId="286B393C" w:rsidR="008300E8" w:rsidRPr="008300E8" w:rsidRDefault="008300E8" w:rsidP="008300E8">
      <w:pPr>
        <w:pStyle w:val="TOC1"/>
        <w:tabs>
          <w:tab w:val="right" w:leader="dot" w:pos="9350"/>
        </w:tabs>
        <w:spacing w:line="240" w:lineRule="exact"/>
        <w:rPr>
          <w:rFonts w:ascii="Times New Roman" w:eastAsiaTheme="minorEastAsia" w:hAnsi="Times New Roman" w:cs="Times New Roman"/>
          <w:b w:val="0"/>
          <w:bCs w:val="0"/>
          <w:i w:val="0"/>
          <w:iCs w:val="0"/>
          <w:noProof/>
          <w:sz w:val="22"/>
          <w:szCs w:val="18"/>
          <w:lang w:eastAsia="en-IN"/>
        </w:rPr>
      </w:pPr>
      <w:hyperlink w:anchor="_Toc221114347" w:history="1">
        <w:r w:rsidRPr="008300E8">
          <w:rPr>
            <w:rStyle w:val="Hyperlink"/>
            <w:rFonts w:ascii="Times New Roman" w:hAnsi="Times New Roman" w:cs="Times New Roman"/>
            <w:b w:val="0"/>
            <w:bCs w:val="0"/>
            <w:i w:val="0"/>
            <w:iCs w:val="0"/>
            <w:noProof/>
            <w:sz w:val="22"/>
            <w:szCs w:val="18"/>
          </w:rPr>
          <w:t>Table 65: Transactions Relating to Purchase and Sale of Securities in each stock Exchange in 1966-67 and 1967-68.</w:t>
        </w:r>
        <w:r w:rsidRPr="008300E8">
          <w:rPr>
            <w:rFonts w:ascii="Times New Roman" w:hAnsi="Times New Roman" w:cs="Times New Roman"/>
            <w:b w:val="0"/>
            <w:bCs w:val="0"/>
            <w:i w:val="0"/>
            <w:iCs w:val="0"/>
            <w:noProof/>
            <w:webHidden/>
            <w:sz w:val="22"/>
            <w:szCs w:val="18"/>
          </w:rPr>
          <w:tab/>
        </w:r>
        <w:r w:rsidRPr="008300E8">
          <w:rPr>
            <w:rFonts w:ascii="Times New Roman" w:hAnsi="Times New Roman" w:cs="Times New Roman"/>
            <w:b w:val="0"/>
            <w:bCs w:val="0"/>
            <w:i w:val="0"/>
            <w:iCs w:val="0"/>
            <w:noProof/>
            <w:webHidden/>
            <w:sz w:val="22"/>
            <w:szCs w:val="18"/>
          </w:rPr>
          <w:fldChar w:fldCharType="begin"/>
        </w:r>
        <w:r w:rsidRPr="008300E8">
          <w:rPr>
            <w:rFonts w:ascii="Times New Roman" w:hAnsi="Times New Roman" w:cs="Times New Roman"/>
            <w:b w:val="0"/>
            <w:bCs w:val="0"/>
            <w:i w:val="0"/>
            <w:iCs w:val="0"/>
            <w:noProof/>
            <w:webHidden/>
            <w:sz w:val="22"/>
            <w:szCs w:val="18"/>
          </w:rPr>
          <w:instrText xml:space="preserve"> PAGEREF _Toc221114347 \h </w:instrText>
        </w:r>
        <w:r w:rsidRPr="008300E8">
          <w:rPr>
            <w:rFonts w:ascii="Times New Roman" w:hAnsi="Times New Roman" w:cs="Times New Roman"/>
            <w:b w:val="0"/>
            <w:bCs w:val="0"/>
            <w:i w:val="0"/>
            <w:iCs w:val="0"/>
            <w:noProof/>
            <w:webHidden/>
            <w:sz w:val="22"/>
            <w:szCs w:val="18"/>
          </w:rPr>
        </w:r>
        <w:r w:rsidRPr="008300E8">
          <w:rPr>
            <w:rFonts w:ascii="Times New Roman" w:hAnsi="Times New Roman" w:cs="Times New Roman"/>
            <w:b w:val="0"/>
            <w:bCs w:val="0"/>
            <w:i w:val="0"/>
            <w:iCs w:val="0"/>
            <w:noProof/>
            <w:webHidden/>
            <w:sz w:val="22"/>
            <w:szCs w:val="18"/>
          </w:rPr>
          <w:fldChar w:fldCharType="separate"/>
        </w:r>
        <w:r w:rsidR="00F70A97">
          <w:rPr>
            <w:rFonts w:ascii="Times New Roman" w:hAnsi="Times New Roman" w:cs="Times New Roman"/>
            <w:b w:val="0"/>
            <w:bCs w:val="0"/>
            <w:i w:val="0"/>
            <w:iCs w:val="0"/>
            <w:noProof/>
            <w:webHidden/>
            <w:sz w:val="22"/>
            <w:szCs w:val="18"/>
          </w:rPr>
          <w:t>223</w:t>
        </w:r>
        <w:r w:rsidRPr="008300E8">
          <w:rPr>
            <w:rFonts w:ascii="Times New Roman" w:hAnsi="Times New Roman" w:cs="Times New Roman"/>
            <w:b w:val="0"/>
            <w:bCs w:val="0"/>
            <w:i w:val="0"/>
            <w:iCs w:val="0"/>
            <w:noProof/>
            <w:webHidden/>
            <w:sz w:val="22"/>
            <w:szCs w:val="18"/>
          </w:rPr>
          <w:fldChar w:fldCharType="end"/>
        </w:r>
      </w:hyperlink>
    </w:p>
    <w:p w14:paraId="014C7445" w14:textId="430D01EE" w:rsidR="00CE0928" w:rsidRPr="008300E8" w:rsidRDefault="00CE0928" w:rsidP="008300E8">
      <w:pPr>
        <w:pStyle w:val="NoSpacing"/>
        <w:spacing w:line="240" w:lineRule="exact"/>
        <w:ind w:left="360"/>
        <w:rPr>
          <w:rFonts w:ascii="Times New Roman" w:hAnsi="Times New Roman" w:cs="Times New Roman"/>
          <w:sz w:val="22"/>
          <w:szCs w:val="18"/>
        </w:rPr>
      </w:pPr>
      <w:r w:rsidRPr="008300E8">
        <w:rPr>
          <w:rFonts w:ascii="Times New Roman" w:hAnsi="Times New Roman" w:cs="Times New Roman"/>
          <w:sz w:val="22"/>
          <w:szCs w:val="18"/>
        </w:rPr>
        <w:fldChar w:fldCharType="end"/>
      </w:r>
    </w:p>
    <w:p w14:paraId="7B8B755D" w14:textId="77777777" w:rsidR="00B23AB5" w:rsidRPr="007245B0" w:rsidRDefault="00B23AB5" w:rsidP="00B23AB5">
      <w:pPr>
        <w:pStyle w:val="NoSpacing"/>
        <w:ind w:left="360"/>
        <w:rPr>
          <w:rFonts w:ascii="Times New Roman" w:hAnsi="Times New Roman" w:cs="Times New Roman"/>
          <w:b/>
          <w:bCs/>
        </w:rPr>
      </w:pPr>
    </w:p>
    <w:p w14:paraId="1294EEF9" w14:textId="77777777" w:rsidR="00574BCE" w:rsidRDefault="00574BCE">
      <w:pPr>
        <w:rPr>
          <w:rFonts w:ascii="Times New Roman" w:eastAsiaTheme="majorEastAsia" w:hAnsi="Times New Roman" w:cs="Times New Roman"/>
          <w:b/>
          <w:bCs/>
        </w:rPr>
      </w:pPr>
      <w:bookmarkStart w:id="33" w:name="_Toc220949681"/>
      <w:r>
        <w:br w:type="page"/>
      </w:r>
    </w:p>
    <w:p w14:paraId="18AC2E78" w14:textId="3504C20B" w:rsidR="006879D0" w:rsidRDefault="006879D0" w:rsidP="008E2A3E">
      <w:pPr>
        <w:pStyle w:val="Heading4"/>
      </w:pPr>
      <w:bookmarkStart w:id="34" w:name="_Toc221114281"/>
      <w:bookmarkStart w:id="35" w:name="_Toc221115304"/>
      <w:r w:rsidRPr="008E2A3E">
        <w:lastRenderedPageBreak/>
        <w:t>Table 1: Population of States (1961 Census)</w:t>
      </w:r>
      <w:bookmarkEnd w:id="33"/>
      <w:bookmarkEnd w:id="34"/>
      <w:bookmarkEnd w:id="35"/>
    </w:p>
    <w:p w14:paraId="24074973" w14:textId="77777777" w:rsidR="008E2A3E" w:rsidRPr="008E2A3E" w:rsidRDefault="008E2A3E" w:rsidP="008E2A3E"/>
    <w:tbl>
      <w:tblPr>
        <w:tblStyle w:val="TableGrid"/>
        <w:tblW w:w="11535" w:type="dxa"/>
        <w:jc w:val="center"/>
        <w:tblLook w:val="04A0" w:firstRow="1" w:lastRow="0" w:firstColumn="1" w:lastColumn="0" w:noHBand="0" w:noVBand="1"/>
      </w:tblPr>
      <w:tblGrid>
        <w:gridCol w:w="1518"/>
        <w:gridCol w:w="1339"/>
        <w:gridCol w:w="1338"/>
        <w:gridCol w:w="1338"/>
        <w:gridCol w:w="1419"/>
        <w:gridCol w:w="1338"/>
        <w:gridCol w:w="1430"/>
        <w:gridCol w:w="1815"/>
      </w:tblGrid>
      <w:tr w:rsidR="006879D0" w:rsidRPr="007245B0" w14:paraId="2056BE8D" w14:textId="77777777" w:rsidTr="008E2A3E">
        <w:trPr>
          <w:trHeight w:val="1512"/>
          <w:jc w:val="center"/>
        </w:trPr>
        <w:tc>
          <w:tcPr>
            <w:tcW w:w="1521" w:type="dxa"/>
            <w:hideMark/>
          </w:tcPr>
          <w:p w14:paraId="4A0EF236" w14:textId="77777777" w:rsidR="006879D0" w:rsidRPr="008E2A3E" w:rsidRDefault="006879D0" w:rsidP="006879D0">
            <w:pPr>
              <w:pStyle w:val="NoSpacing"/>
              <w:rPr>
                <w:rFonts w:ascii="Times New Roman" w:hAnsi="Times New Roman" w:cs="Times New Roman"/>
                <w:b/>
                <w:bCs/>
                <w:szCs w:val="24"/>
              </w:rPr>
            </w:pPr>
            <w:r w:rsidRPr="008E2A3E">
              <w:rPr>
                <w:rFonts w:ascii="Times New Roman" w:hAnsi="Times New Roman" w:cs="Times New Roman"/>
                <w:b/>
                <w:bCs/>
                <w:szCs w:val="24"/>
              </w:rPr>
              <w:t>States</w:t>
            </w:r>
          </w:p>
        </w:tc>
        <w:tc>
          <w:tcPr>
            <w:tcW w:w="1339" w:type="dxa"/>
            <w:hideMark/>
          </w:tcPr>
          <w:p w14:paraId="3A6EF05D" w14:textId="77777777" w:rsidR="006879D0" w:rsidRPr="008E2A3E" w:rsidRDefault="006879D0" w:rsidP="006879D0">
            <w:pPr>
              <w:pStyle w:val="NoSpacing"/>
              <w:rPr>
                <w:rFonts w:ascii="Times New Roman" w:hAnsi="Times New Roman" w:cs="Times New Roman"/>
                <w:b/>
                <w:bCs/>
                <w:szCs w:val="24"/>
              </w:rPr>
            </w:pPr>
            <w:r w:rsidRPr="008E2A3E">
              <w:rPr>
                <w:rFonts w:ascii="Times New Roman" w:hAnsi="Times New Roman" w:cs="Times New Roman"/>
                <w:b/>
                <w:bCs/>
                <w:szCs w:val="24"/>
              </w:rPr>
              <w:t>Total population (lakhs)</w:t>
            </w:r>
          </w:p>
        </w:tc>
        <w:tc>
          <w:tcPr>
            <w:tcW w:w="1339" w:type="dxa"/>
            <w:hideMark/>
          </w:tcPr>
          <w:p w14:paraId="4D07E518" w14:textId="77777777" w:rsidR="006879D0" w:rsidRPr="008E2A3E" w:rsidRDefault="006879D0" w:rsidP="006879D0">
            <w:pPr>
              <w:pStyle w:val="NoSpacing"/>
              <w:rPr>
                <w:rFonts w:ascii="Times New Roman" w:hAnsi="Times New Roman" w:cs="Times New Roman"/>
                <w:b/>
                <w:bCs/>
                <w:szCs w:val="24"/>
              </w:rPr>
            </w:pPr>
            <w:r w:rsidRPr="008E2A3E">
              <w:rPr>
                <w:rFonts w:ascii="Times New Roman" w:hAnsi="Times New Roman" w:cs="Times New Roman"/>
                <w:b/>
                <w:bCs/>
                <w:szCs w:val="24"/>
              </w:rPr>
              <w:t>Urban population (lakhs)</w:t>
            </w:r>
          </w:p>
        </w:tc>
        <w:tc>
          <w:tcPr>
            <w:tcW w:w="1339" w:type="dxa"/>
            <w:hideMark/>
          </w:tcPr>
          <w:p w14:paraId="42ECA43B" w14:textId="77777777" w:rsidR="006879D0" w:rsidRPr="008E2A3E" w:rsidRDefault="006879D0" w:rsidP="006879D0">
            <w:pPr>
              <w:pStyle w:val="NoSpacing"/>
              <w:rPr>
                <w:rFonts w:ascii="Times New Roman" w:hAnsi="Times New Roman" w:cs="Times New Roman"/>
                <w:b/>
                <w:bCs/>
                <w:szCs w:val="24"/>
              </w:rPr>
            </w:pPr>
            <w:r w:rsidRPr="008E2A3E">
              <w:rPr>
                <w:rFonts w:ascii="Times New Roman" w:hAnsi="Times New Roman" w:cs="Times New Roman"/>
                <w:b/>
                <w:bCs/>
                <w:szCs w:val="24"/>
              </w:rPr>
              <w:t>Rural population (lakhs)</w:t>
            </w:r>
          </w:p>
        </w:tc>
        <w:tc>
          <w:tcPr>
            <w:tcW w:w="1423" w:type="dxa"/>
            <w:hideMark/>
          </w:tcPr>
          <w:p w14:paraId="0B655576" w14:textId="77777777" w:rsidR="006879D0" w:rsidRPr="008E2A3E" w:rsidRDefault="006879D0" w:rsidP="006879D0">
            <w:pPr>
              <w:pStyle w:val="NoSpacing"/>
              <w:rPr>
                <w:rFonts w:ascii="Times New Roman" w:hAnsi="Times New Roman" w:cs="Times New Roman"/>
                <w:b/>
                <w:bCs/>
                <w:szCs w:val="24"/>
              </w:rPr>
            </w:pPr>
            <w:r w:rsidRPr="008E2A3E">
              <w:rPr>
                <w:rFonts w:ascii="Times New Roman" w:hAnsi="Times New Roman" w:cs="Times New Roman"/>
                <w:b/>
                <w:bCs/>
                <w:szCs w:val="24"/>
              </w:rPr>
              <w:t>Urban population as % of State's population</w:t>
            </w:r>
          </w:p>
        </w:tc>
        <w:tc>
          <w:tcPr>
            <w:tcW w:w="1339" w:type="dxa"/>
            <w:hideMark/>
          </w:tcPr>
          <w:p w14:paraId="498C442B" w14:textId="77777777" w:rsidR="006879D0" w:rsidRPr="008E2A3E" w:rsidRDefault="006879D0" w:rsidP="006879D0">
            <w:pPr>
              <w:pStyle w:val="NoSpacing"/>
              <w:rPr>
                <w:rFonts w:ascii="Times New Roman" w:hAnsi="Times New Roman" w:cs="Times New Roman"/>
                <w:b/>
                <w:bCs/>
                <w:szCs w:val="24"/>
              </w:rPr>
            </w:pPr>
            <w:r w:rsidRPr="008E2A3E">
              <w:rPr>
                <w:rFonts w:ascii="Times New Roman" w:hAnsi="Times New Roman" w:cs="Times New Roman"/>
                <w:b/>
                <w:bCs/>
                <w:szCs w:val="24"/>
              </w:rPr>
              <w:t>Rural population as % of State's population</w:t>
            </w:r>
          </w:p>
        </w:tc>
        <w:tc>
          <w:tcPr>
            <w:tcW w:w="1405" w:type="dxa"/>
            <w:hideMark/>
          </w:tcPr>
          <w:p w14:paraId="251FF738" w14:textId="77777777" w:rsidR="006879D0" w:rsidRPr="008E2A3E" w:rsidRDefault="006879D0" w:rsidP="006879D0">
            <w:pPr>
              <w:pStyle w:val="NoSpacing"/>
              <w:rPr>
                <w:rFonts w:ascii="Times New Roman" w:hAnsi="Times New Roman" w:cs="Times New Roman"/>
                <w:b/>
                <w:bCs/>
                <w:szCs w:val="24"/>
              </w:rPr>
            </w:pPr>
            <w:r w:rsidRPr="008E2A3E">
              <w:rPr>
                <w:rFonts w:ascii="Times New Roman" w:hAnsi="Times New Roman" w:cs="Times New Roman"/>
                <w:b/>
                <w:bCs/>
                <w:szCs w:val="24"/>
              </w:rPr>
              <w:t>% distribution of urban population</w:t>
            </w:r>
          </w:p>
        </w:tc>
        <w:tc>
          <w:tcPr>
            <w:tcW w:w="1830" w:type="dxa"/>
            <w:hideMark/>
          </w:tcPr>
          <w:p w14:paraId="565BF1C4" w14:textId="77777777" w:rsidR="006879D0" w:rsidRPr="008E2A3E" w:rsidRDefault="006879D0" w:rsidP="006879D0">
            <w:pPr>
              <w:pStyle w:val="NoSpacing"/>
              <w:rPr>
                <w:rFonts w:ascii="Times New Roman" w:hAnsi="Times New Roman" w:cs="Times New Roman"/>
                <w:b/>
                <w:bCs/>
                <w:szCs w:val="24"/>
              </w:rPr>
            </w:pPr>
            <w:r w:rsidRPr="008E2A3E">
              <w:rPr>
                <w:rFonts w:ascii="Times New Roman" w:hAnsi="Times New Roman" w:cs="Times New Roman"/>
                <w:b/>
                <w:bCs/>
                <w:szCs w:val="24"/>
              </w:rPr>
              <w:t>% distribution of rural population</w:t>
            </w:r>
          </w:p>
        </w:tc>
      </w:tr>
      <w:tr w:rsidR="006879D0" w:rsidRPr="007245B0" w14:paraId="79F0B081" w14:textId="77777777" w:rsidTr="008E2A3E">
        <w:trPr>
          <w:trHeight w:val="292"/>
          <w:jc w:val="center"/>
        </w:trPr>
        <w:tc>
          <w:tcPr>
            <w:tcW w:w="1521" w:type="dxa"/>
            <w:hideMark/>
          </w:tcPr>
          <w:p w14:paraId="3AD8F29A" w14:textId="77777777" w:rsidR="006879D0" w:rsidRPr="007245B0" w:rsidRDefault="006879D0" w:rsidP="008E2A3E">
            <w:pPr>
              <w:pStyle w:val="NoSpacing"/>
              <w:jc w:val="center"/>
              <w:rPr>
                <w:rFonts w:ascii="Times New Roman" w:hAnsi="Times New Roman" w:cs="Times New Roman"/>
                <w:szCs w:val="24"/>
              </w:rPr>
            </w:pPr>
            <w:r w:rsidRPr="007245B0">
              <w:rPr>
                <w:rFonts w:ascii="Times New Roman" w:hAnsi="Times New Roman" w:cs="Times New Roman"/>
                <w:szCs w:val="24"/>
              </w:rPr>
              <w:t>1</w:t>
            </w:r>
          </w:p>
        </w:tc>
        <w:tc>
          <w:tcPr>
            <w:tcW w:w="1339" w:type="dxa"/>
            <w:hideMark/>
          </w:tcPr>
          <w:p w14:paraId="2FDFCD72" w14:textId="77777777" w:rsidR="006879D0" w:rsidRPr="007245B0" w:rsidRDefault="006879D0" w:rsidP="008E2A3E">
            <w:pPr>
              <w:pStyle w:val="NoSpacing"/>
              <w:jc w:val="center"/>
              <w:rPr>
                <w:rFonts w:ascii="Times New Roman" w:hAnsi="Times New Roman" w:cs="Times New Roman"/>
                <w:szCs w:val="24"/>
              </w:rPr>
            </w:pPr>
            <w:r w:rsidRPr="007245B0">
              <w:rPr>
                <w:rFonts w:ascii="Times New Roman" w:hAnsi="Times New Roman" w:cs="Times New Roman"/>
                <w:szCs w:val="24"/>
              </w:rPr>
              <w:t>2</w:t>
            </w:r>
          </w:p>
        </w:tc>
        <w:tc>
          <w:tcPr>
            <w:tcW w:w="1339" w:type="dxa"/>
            <w:hideMark/>
          </w:tcPr>
          <w:p w14:paraId="37D95D8A" w14:textId="77777777" w:rsidR="006879D0" w:rsidRPr="007245B0" w:rsidRDefault="006879D0" w:rsidP="008E2A3E">
            <w:pPr>
              <w:pStyle w:val="NoSpacing"/>
              <w:jc w:val="center"/>
              <w:rPr>
                <w:rFonts w:ascii="Times New Roman" w:hAnsi="Times New Roman" w:cs="Times New Roman"/>
                <w:szCs w:val="24"/>
              </w:rPr>
            </w:pPr>
            <w:r w:rsidRPr="007245B0">
              <w:rPr>
                <w:rFonts w:ascii="Times New Roman" w:hAnsi="Times New Roman" w:cs="Times New Roman"/>
                <w:szCs w:val="24"/>
              </w:rPr>
              <w:t>3</w:t>
            </w:r>
          </w:p>
        </w:tc>
        <w:tc>
          <w:tcPr>
            <w:tcW w:w="1339" w:type="dxa"/>
            <w:hideMark/>
          </w:tcPr>
          <w:p w14:paraId="28E649C8" w14:textId="77777777" w:rsidR="006879D0" w:rsidRPr="007245B0" w:rsidRDefault="006879D0" w:rsidP="008E2A3E">
            <w:pPr>
              <w:pStyle w:val="NoSpacing"/>
              <w:jc w:val="center"/>
              <w:rPr>
                <w:rFonts w:ascii="Times New Roman" w:hAnsi="Times New Roman" w:cs="Times New Roman"/>
                <w:szCs w:val="24"/>
              </w:rPr>
            </w:pPr>
            <w:r w:rsidRPr="007245B0">
              <w:rPr>
                <w:rFonts w:ascii="Times New Roman" w:hAnsi="Times New Roman" w:cs="Times New Roman"/>
                <w:szCs w:val="24"/>
              </w:rPr>
              <w:t>4</w:t>
            </w:r>
          </w:p>
        </w:tc>
        <w:tc>
          <w:tcPr>
            <w:tcW w:w="1423" w:type="dxa"/>
            <w:hideMark/>
          </w:tcPr>
          <w:p w14:paraId="25A93E8C" w14:textId="77777777" w:rsidR="006879D0" w:rsidRPr="007245B0" w:rsidRDefault="006879D0" w:rsidP="008E2A3E">
            <w:pPr>
              <w:pStyle w:val="NoSpacing"/>
              <w:jc w:val="center"/>
              <w:rPr>
                <w:rFonts w:ascii="Times New Roman" w:hAnsi="Times New Roman" w:cs="Times New Roman"/>
                <w:szCs w:val="24"/>
              </w:rPr>
            </w:pPr>
            <w:r w:rsidRPr="007245B0">
              <w:rPr>
                <w:rFonts w:ascii="Times New Roman" w:hAnsi="Times New Roman" w:cs="Times New Roman"/>
                <w:szCs w:val="24"/>
              </w:rPr>
              <w:t>5</w:t>
            </w:r>
          </w:p>
        </w:tc>
        <w:tc>
          <w:tcPr>
            <w:tcW w:w="1339" w:type="dxa"/>
            <w:hideMark/>
          </w:tcPr>
          <w:p w14:paraId="68D13FDF" w14:textId="77777777" w:rsidR="006879D0" w:rsidRPr="007245B0" w:rsidRDefault="006879D0" w:rsidP="008E2A3E">
            <w:pPr>
              <w:pStyle w:val="NoSpacing"/>
              <w:jc w:val="center"/>
              <w:rPr>
                <w:rFonts w:ascii="Times New Roman" w:hAnsi="Times New Roman" w:cs="Times New Roman"/>
                <w:szCs w:val="24"/>
              </w:rPr>
            </w:pPr>
            <w:r w:rsidRPr="007245B0">
              <w:rPr>
                <w:rFonts w:ascii="Times New Roman" w:hAnsi="Times New Roman" w:cs="Times New Roman"/>
                <w:szCs w:val="24"/>
              </w:rPr>
              <w:t>6</w:t>
            </w:r>
          </w:p>
        </w:tc>
        <w:tc>
          <w:tcPr>
            <w:tcW w:w="1405" w:type="dxa"/>
            <w:hideMark/>
          </w:tcPr>
          <w:p w14:paraId="3E8C4500" w14:textId="77777777" w:rsidR="006879D0" w:rsidRPr="007245B0" w:rsidRDefault="006879D0" w:rsidP="008E2A3E">
            <w:pPr>
              <w:pStyle w:val="NoSpacing"/>
              <w:jc w:val="center"/>
              <w:rPr>
                <w:rFonts w:ascii="Times New Roman" w:hAnsi="Times New Roman" w:cs="Times New Roman"/>
                <w:szCs w:val="24"/>
              </w:rPr>
            </w:pPr>
            <w:r w:rsidRPr="007245B0">
              <w:rPr>
                <w:rFonts w:ascii="Times New Roman" w:hAnsi="Times New Roman" w:cs="Times New Roman"/>
                <w:szCs w:val="24"/>
              </w:rPr>
              <w:t>7</w:t>
            </w:r>
          </w:p>
        </w:tc>
        <w:tc>
          <w:tcPr>
            <w:tcW w:w="1830" w:type="dxa"/>
            <w:hideMark/>
          </w:tcPr>
          <w:p w14:paraId="263FD590" w14:textId="77777777" w:rsidR="006879D0" w:rsidRPr="007245B0" w:rsidRDefault="006879D0" w:rsidP="008E2A3E">
            <w:pPr>
              <w:pStyle w:val="NoSpacing"/>
              <w:jc w:val="center"/>
              <w:rPr>
                <w:rFonts w:ascii="Times New Roman" w:hAnsi="Times New Roman" w:cs="Times New Roman"/>
                <w:szCs w:val="24"/>
              </w:rPr>
            </w:pPr>
            <w:r w:rsidRPr="007245B0">
              <w:rPr>
                <w:rFonts w:ascii="Times New Roman" w:hAnsi="Times New Roman" w:cs="Times New Roman"/>
                <w:szCs w:val="24"/>
              </w:rPr>
              <w:t>8</w:t>
            </w:r>
          </w:p>
        </w:tc>
      </w:tr>
      <w:tr w:rsidR="006879D0" w:rsidRPr="007245B0" w14:paraId="2785A133" w14:textId="77777777" w:rsidTr="008E2A3E">
        <w:trPr>
          <w:trHeight w:val="591"/>
          <w:jc w:val="center"/>
        </w:trPr>
        <w:tc>
          <w:tcPr>
            <w:tcW w:w="1521" w:type="dxa"/>
            <w:hideMark/>
          </w:tcPr>
          <w:p w14:paraId="21B031BC" w14:textId="77777777" w:rsidR="006879D0" w:rsidRPr="007245B0" w:rsidRDefault="006879D0" w:rsidP="006879D0">
            <w:pPr>
              <w:pStyle w:val="NoSpacing"/>
              <w:rPr>
                <w:rFonts w:ascii="Times New Roman" w:hAnsi="Times New Roman" w:cs="Times New Roman"/>
                <w:szCs w:val="24"/>
              </w:rPr>
            </w:pPr>
            <w:r w:rsidRPr="007245B0">
              <w:rPr>
                <w:rFonts w:ascii="Times New Roman" w:hAnsi="Times New Roman" w:cs="Times New Roman"/>
                <w:szCs w:val="24"/>
              </w:rPr>
              <w:t>Andhra Pradesh</w:t>
            </w:r>
          </w:p>
        </w:tc>
        <w:tc>
          <w:tcPr>
            <w:tcW w:w="1339" w:type="dxa"/>
            <w:hideMark/>
          </w:tcPr>
          <w:p w14:paraId="7F70D049" w14:textId="77777777" w:rsidR="006879D0" w:rsidRPr="007245B0" w:rsidRDefault="006879D0" w:rsidP="008E2A3E">
            <w:pPr>
              <w:pStyle w:val="NoSpacing"/>
              <w:jc w:val="center"/>
              <w:rPr>
                <w:rFonts w:ascii="Times New Roman" w:hAnsi="Times New Roman" w:cs="Times New Roman"/>
                <w:szCs w:val="24"/>
              </w:rPr>
            </w:pPr>
            <w:r w:rsidRPr="007245B0">
              <w:rPr>
                <w:rFonts w:ascii="Times New Roman" w:hAnsi="Times New Roman" w:cs="Times New Roman"/>
                <w:szCs w:val="24"/>
              </w:rPr>
              <w:t>359.83</w:t>
            </w:r>
          </w:p>
        </w:tc>
        <w:tc>
          <w:tcPr>
            <w:tcW w:w="1339" w:type="dxa"/>
            <w:hideMark/>
          </w:tcPr>
          <w:p w14:paraId="25F37C4E" w14:textId="77777777" w:rsidR="006879D0" w:rsidRPr="007245B0" w:rsidRDefault="006879D0" w:rsidP="008E2A3E">
            <w:pPr>
              <w:pStyle w:val="NoSpacing"/>
              <w:jc w:val="center"/>
              <w:rPr>
                <w:rFonts w:ascii="Times New Roman" w:hAnsi="Times New Roman" w:cs="Times New Roman"/>
                <w:szCs w:val="24"/>
              </w:rPr>
            </w:pPr>
            <w:r w:rsidRPr="007245B0">
              <w:rPr>
                <w:rFonts w:ascii="Times New Roman" w:hAnsi="Times New Roman" w:cs="Times New Roman"/>
                <w:szCs w:val="24"/>
              </w:rPr>
              <w:t>62.74</w:t>
            </w:r>
          </w:p>
        </w:tc>
        <w:tc>
          <w:tcPr>
            <w:tcW w:w="1339" w:type="dxa"/>
            <w:hideMark/>
          </w:tcPr>
          <w:p w14:paraId="08F47283" w14:textId="77777777" w:rsidR="006879D0" w:rsidRPr="007245B0" w:rsidRDefault="006879D0" w:rsidP="008E2A3E">
            <w:pPr>
              <w:pStyle w:val="NoSpacing"/>
              <w:jc w:val="center"/>
              <w:rPr>
                <w:rFonts w:ascii="Times New Roman" w:hAnsi="Times New Roman" w:cs="Times New Roman"/>
                <w:szCs w:val="24"/>
              </w:rPr>
            </w:pPr>
            <w:r w:rsidRPr="007245B0">
              <w:rPr>
                <w:rFonts w:ascii="Times New Roman" w:hAnsi="Times New Roman" w:cs="Times New Roman"/>
                <w:szCs w:val="24"/>
              </w:rPr>
              <w:t>297.09</w:t>
            </w:r>
          </w:p>
        </w:tc>
        <w:tc>
          <w:tcPr>
            <w:tcW w:w="1423" w:type="dxa"/>
            <w:hideMark/>
          </w:tcPr>
          <w:p w14:paraId="24D9CB95" w14:textId="77777777" w:rsidR="006879D0" w:rsidRPr="007245B0" w:rsidRDefault="006879D0" w:rsidP="008E2A3E">
            <w:pPr>
              <w:pStyle w:val="NoSpacing"/>
              <w:jc w:val="center"/>
              <w:rPr>
                <w:rFonts w:ascii="Times New Roman" w:hAnsi="Times New Roman" w:cs="Times New Roman"/>
                <w:szCs w:val="24"/>
              </w:rPr>
            </w:pPr>
            <w:r w:rsidRPr="007245B0">
              <w:rPr>
                <w:rFonts w:ascii="Times New Roman" w:hAnsi="Times New Roman" w:cs="Times New Roman"/>
                <w:szCs w:val="24"/>
              </w:rPr>
              <w:t>17.4</w:t>
            </w:r>
          </w:p>
        </w:tc>
        <w:tc>
          <w:tcPr>
            <w:tcW w:w="1339" w:type="dxa"/>
            <w:hideMark/>
          </w:tcPr>
          <w:p w14:paraId="5263CB40" w14:textId="77777777" w:rsidR="006879D0" w:rsidRPr="007245B0" w:rsidRDefault="006879D0" w:rsidP="008E2A3E">
            <w:pPr>
              <w:pStyle w:val="NoSpacing"/>
              <w:jc w:val="center"/>
              <w:rPr>
                <w:rFonts w:ascii="Times New Roman" w:hAnsi="Times New Roman" w:cs="Times New Roman"/>
                <w:szCs w:val="24"/>
              </w:rPr>
            </w:pPr>
            <w:r w:rsidRPr="007245B0">
              <w:rPr>
                <w:rFonts w:ascii="Times New Roman" w:hAnsi="Times New Roman" w:cs="Times New Roman"/>
                <w:szCs w:val="24"/>
              </w:rPr>
              <w:t>82.6</w:t>
            </w:r>
          </w:p>
        </w:tc>
        <w:tc>
          <w:tcPr>
            <w:tcW w:w="1405" w:type="dxa"/>
            <w:hideMark/>
          </w:tcPr>
          <w:p w14:paraId="597931F6" w14:textId="77777777" w:rsidR="006879D0" w:rsidRPr="007245B0" w:rsidRDefault="006879D0" w:rsidP="008E2A3E">
            <w:pPr>
              <w:pStyle w:val="NoSpacing"/>
              <w:jc w:val="center"/>
              <w:rPr>
                <w:rFonts w:ascii="Times New Roman" w:hAnsi="Times New Roman" w:cs="Times New Roman"/>
                <w:szCs w:val="24"/>
              </w:rPr>
            </w:pPr>
            <w:r w:rsidRPr="007245B0">
              <w:rPr>
                <w:rFonts w:ascii="Times New Roman" w:hAnsi="Times New Roman" w:cs="Times New Roman"/>
                <w:szCs w:val="24"/>
              </w:rPr>
              <w:t>8.3</w:t>
            </w:r>
          </w:p>
        </w:tc>
        <w:tc>
          <w:tcPr>
            <w:tcW w:w="1830" w:type="dxa"/>
            <w:hideMark/>
          </w:tcPr>
          <w:p w14:paraId="197E90CC" w14:textId="77777777" w:rsidR="006879D0" w:rsidRPr="007245B0" w:rsidRDefault="006879D0" w:rsidP="008E2A3E">
            <w:pPr>
              <w:pStyle w:val="NoSpacing"/>
              <w:jc w:val="center"/>
              <w:rPr>
                <w:rFonts w:ascii="Times New Roman" w:hAnsi="Times New Roman" w:cs="Times New Roman"/>
                <w:szCs w:val="24"/>
              </w:rPr>
            </w:pPr>
            <w:r w:rsidRPr="007245B0">
              <w:rPr>
                <w:rFonts w:ascii="Times New Roman" w:hAnsi="Times New Roman" w:cs="Times New Roman"/>
                <w:szCs w:val="24"/>
              </w:rPr>
              <w:t>8.4</w:t>
            </w:r>
          </w:p>
        </w:tc>
      </w:tr>
      <w:tr w:rsidR="006879D0" w:rsidRPr="007245B0" w14:paraId="05303C9C" w14:textId="77777777" w:rsidTr="008E2A3E">
        <w:trPr>
          <w:trHeight w:val="306"/>
          <w:jc w:val="center"/>
        </w:trPr>
        <w:tc>
          <w:tcPr>
            <w:tcW w:w="1521" w:type="dxa"/>
            <w:hideMark/>
          </w:tcPr>
          <w:p w14:paraId="4C85F91E" w14:textId="77777777" w:rsidR="006879D0" w:rsidRPr="007245B0" w:rsidRDefault="006879D0" w:rsidP="006879D0">
            <w:pPr>
              <w:pStyle w:val="NoSpacing"/>
              <w:rPr>
                <w:rFonts w:ascii="Times New Roman" w:hAnsi="Times New Roman" w:cs="Times New Roman"/>
                <w:szCs w:val="24"/>
              </w:rPr>
            </w:pPr>
            <w:r w:rsidRPr="007245B0">
              <w:rPr>
                <w:rFonts w:ascii="Times New Roman" w:hAnsi="Times New Roman" w:cs="Times New Roman"/>
                <w:szCs w:val="24"/>
              </w:rPr>
              <w:t>Assam</w:t>
            </w:r>
          </w:p>
        </w:tc>
        <w:tc>
          <w:tcPr>
            <w:tcW w:w="1339" w:type="dxa"/>
            <w:hideMark/>
          </w:tcPr>
          <w:p w14:paraId="4AB2DAB3" w14:textId="77777777" w:rsidR="006879D0" w:rsidRPr="007245B0" w:rsidRDefault="006879D0" w:rsidP="008E2A3E">
            <w:pPr>
              <w:pStyle w:val="NoSpacing"/>
              <w:jc w:val="center"/>
              <w:rPr>
                <w:rFonts w:ascii="Times New Roman" w:hAnsi="Times New Roman" w:cs="Times New Roman"/>
                <w:szCs w:val="24"/>
              </w:rPr>
            </w:pPr>
            <w:r w:rsidRPr="007245B0">
              <w:rPr>
                <w:rFonts w:ascii="Times New Roman" w:hAnsi="Times New Roman" w:cs="Times New Roman"/>
                <w:szCs w:val="24"/>
              </w:rPr>
              <w:t>118.73</w:t>
            </w:r>
          </w:p>
        </w:tc>
        <w:tc>
          <w:tcPr>
            <w:tcW w:w="1339" w:type="dxa"/>
            <w:hideMark/>
          </w:tcPr>
          <w:p w14:paraId="4A7CE6F5" w14:textId="77777777" w:rsidR="006879D0" w:rsidRPr="007245B0" w:rsidRDefault="006879D0" w:rsidP="008E2A3E">
            <w:pPr>
              <w:pStyle w:val="NoSpacing"/>
              <w:jc w:val="center"/>
              <w:rPr>
                <w:rFonts w:ascii="Times New Roman" w:hAnsi="Times New Roman" w:cs="Times New Roman"/>
                <w:szCs w:val="24"/>
              </w:rPr>
            </w:pPr>
            <w:r w:rsidRPr="007245B0">
              <w:rPr>
                <w:rFonts w:ascii="Times New Roman" w:hAnsi="Times New Roman" w:cs="Times New Roman"/>
                <w:szCs w:val="24"/>
              </w:rPr>
              <w:t>9.13</w:t>
            </w:r>
          </w:p>
        </w:tc>
        <w:tc>
          <w:tcPr>
            <w:tcW w:w="1339" w:type="dxa"/>
            <w:hideMark/>
          </w:tcPr>
          <w:p w14:paraId="34B52E5B" w14:textId="77777777" w:rsidR="006879D0" w:rsidRPr="007245B0" w:rsidRDefault="006879D0" w:rsidP="008E2A3E">
            <w:pPr>
              <w:pStyle w:val="NoSpacing"/>
              <w:jc w:val="center"/>
              <w:rPr>
                <w:rFonts w:ascii="Times New Roman" w:hAnsi="Times New Roman" w:cs="Times New Roman"/>
                <w:szCs w:val="24"/>
              </w:rPr>
            </w:pPr>
            <w:r w:rsidRPr="007245B0">
              <w:rPr>
                <w:rFonts w:ascii="Times New Roman" w:hAnsi="Times New Roman" w:cs="Times New Roman"/>
                <w:szCs w:val="24"/>
              </w:rPr>
              <w:t>109.60</w:t>
            </w:r>
          </w:p>
        </w:tc>
        <w:tc>
          <w:tcPr>
            <w:tcW w:w="1423" w:type="dxa"/>
            <w:hideMark/>
          </w:tcPr>
          <w:p w14:paraId="25C01B5F" w14:textId="77777777" w:rsidR="006879D0" w:rsidRPr="007245B0" w:rsidRDefault="006879D0" w:rsidP="008E2A3E">
            <w:pPr>
              <w:pStyle w:val="NoSpacing"/>
              <w:jc w:val="center"/>
              <w:rPr>
                <w:rFonts w:ascii="Times New Roman" w:hAnsi="Times New Roman" w:cs="Times New Roman"/>
                <w:szCs w:val="24"/>
              </w:rPr>
            </w:pPr>
            <w:r w:rsidRPr="007245B0">
              <w:rPr>
                <w:rFonts w:ascii="Times New Roman" w:hAnsi="Times New Roman" w:cs="Times New Roman"/>
                <w:szCs w:val="24"/>
              </w:rPr>
              <w:t>7.7</w:t>
            </w:r>
          </w:p>
        </w:tc>
        <w:tc>
          <w:tcPr>
            <w:tcW w:w="1339" w:type="dxa"/>
            <w:hideMark/>
          </w:tcPr>
          <w:p w14:paraId="55E6DBD5" w14:textId="77777777" w:rsidR="006879D0" w:rsidRPr="007245B0" w:rsidRDefault="006879D0" w:rsidP="008E2A3E">
            <w:pPr>
              <w:pStyle w:val="NoSpacing"/>
              <w:jc w:val="center"/>
              <w:rPr>
                <w:rFonts w:ascii="Times New Roman" w:hAnsi="Times New Roman" w:cs="Times New Roman"/>
                <w:szCs w:val="24"/>
              </w:rPr>
            </w:pPr>
            <w:r w:rsidRPr="007245B0">
              <w:rPr>
                <w:rFonts w:ascii="Times New Roman" w:hAnsi="Times New Roman" w:cs="Times New Roman"/>
                <w:szCs w:val="24"/>
              </w:rPr>
              <w:t>92.3</w:t>
            </w:r>
          </w:p>
        </w:tc>
        <w:tc>
          <w:tcPr>
            <w:tcW w:w="1405" w:type="dxa"/>
            <w:hideMark/>
          </w:tcPr>
          <w:p w14:paraId="148C6FCB" w14:textId="77777777" w:rsidR="006879D0" w:rsidRPr="007245B0" w:rsidRDefault="006879D0" w:rsidP="008E2A3E">
            <w:pPr>
              <w:pStyle w:val="NoSpacing"/>
              <w:jc w:val="center"/>
              <w:rPr>
                <w:rFonts w:ascii="Times New Roman" w:hAnsi="Times New Roman" w:cs="Times New Roman"/>
                <w:szCs w:val="24"/>
              </w:rPr>
            </w:pPr>
            <w:r w:rsidRPr="007245B0">
              <w:rPr>
                <w:rFonts w:ascii="Times New Roman" w:hAnsi="Times New Roman" w:cs="Times New Roman"/>
                <w:szCs w:val="24"/>
              </w:rPr>
              <w:t>1.2</w:t>
            </w:r>
          </w:p>
        </w:tc>
        <w:tc>
          <w:tcPr>
            <w:tcW w:w="1830" w:type="dxa"/>
            <w:hideMark/>
          </w:tcPr>
          <w:p w14:paraId="6AA98A6C" w14:textId="77777777" w:rsidR="006879D0" w:rsidRPr="007245B0" w:rsidRDefault="006879D0" w:rsidP="008E2A3E">
            <w:pPr>
              <w:pStyle w:val="NoSpacing"/>
              <w:jc w:val="center"/>
              <w:rPr>
                <w:rFonts w:ascii="Times New Roman" w:hAnsi="Times New Roman" w:cs="Times New Roman"/>
                <w:szCs w:val="24"/>
              </w:rPr>
            </w:pPr>
            <w:r w:rsidRPr="007245B0">
              <w:rPr>
                <w:rFonts w:ascii="Times New Roman" w:hAnsi="Times New Roman" w:cs="Times New Roman"/>
                <w:szCs w:val="24"/>
              </w:rPr>
              <w:t>3.1</w:t>
            </w:r>
          </w:p>
        </w:tc>
      </w:tr>
      <w:tr w:rsidR="006879D0" w:rsidRPr="007245B0" w14:paraId="68E6ACD6" w14:textId="77777777" w:rsidTr="008E2A3E">
        <w:trPr>
          <w:trHeight w:val="292"/>
          <w:jc w:val="center"/>
        </w:trPr>
        <w:tc>
          <w:tcPr>
            <w:tcW w:w="1521" w:type="dxa"/>
            <w:hideMark/>
          </w:tcPr>
          <w:p w14:paraId="2691EB50" w14:textId="77777777" w:rsidR="006879D0" w:rsidRPr="007245B0" w:rsidRDefault="006879D0" w:rsidP="006879D0">
            <w:pPr>
              <w:pStyle w:val="NoSpacing"/>
              <w:rPr>
                <w:rFonts w:ascii="Times New Roman" w:hAnsi="Times New Roman" w:cs="Times New Roman"/>
                <w:szCs w:val="24"/>
              </w:rPr>
            </w:pPr>
            <w:r w:rsidRPr="007245B0">
              <w:rPr>
                <w:rFonts w:ascii="Times New Roman" w:hAnsi="Times New Roman" w:cs="Times New Roman"/>
                <w:szCs w:val="24"/>
              </w:rPr>
              <w:t>Bihar</w:t>
            </w:r>
          </w:p>
        </w:tc>
        <w:tc>
          <w:tcPr>
            <w:tcW w:w="1339" w:type="dxa"/>
            <w:hideMark/>
          </w:tcPr>
          <w:p w14:paraId="46FD3035" w14:textId="77777777" w:rsidR="006879D0" w:rsidRPr="007245B0" w:rsidRDefault="006879D0" w:rsidP="008E2A3E">
            <w:pPr>
              <w:pStyle w:val="NoSpacing"/>
              <w:jc w:val="center"/>
              <w:rPr>
                <w:rFonts w:ascii="Times New Roman" w:hAnsi="Times New Roman" w:cs="Times New Roman"/>
                <w:szCs w:val="24"/>
              </w:rPr>
            </w:pPr>
            <w:r w:rsidRPr="007245B0">
              <w:rPr>
                <w:rFonts w:ascii="Times New Roman" w:hAnsi="Times New Roman" w:cs="Times New Roman"/>
                <w:szCs w:val="24"/>
              </w:rPr>
              <w:t>464.56</w:t>
            </w:r>
          </w:p>
        </w:tc>
        <w:tc>
          <w:tcPr>
            <w:tcW w:w="1339" w:type="dxa"/>
            <w:hideMark/>
          </w:tcPr>
          <w:p w14:paraId="7A2F3A6A" w14:textId="77777777" w:rsidR="006879D0" w:rsidRPr="007245B0" w:rsidRDefault="006879D0" w:rsidP="008E2A3E">
            <w:pPr>
              <w:pStyle w:val="NoSpacing"/>
              <w:jc w:val="center"/>
              <w:rPr>
                <w:rFonts w:ascii="Times New Roman" w:hAnsi="Times New Roman" w:cs="Times New Roman"/>
                <w:szCs w:val="24"/>
              </w:rPr>
            </w:pPr>
            <w:r w:rsidRPr="007245B0">
              <w:rPr>
                <w:rFonts w:ascii="Times New Roman" w:hAnsi="Times New Roman" w:cs="Times New Roman"/>
                <w:szCs w:val="24"/>
              </w:rPr>
              <w:t>39.14</w:t>
            </w:r>
          </w:p>
        </w:tc>
        <w:tc>
          <w:tcPr>
            <w:tcW w:w="1339" w:type="dxa"/>
            <w:hideMark/>
          </w:tcPr>
          <w:p w14:paraId="00E0FA8F" w14:textId="77777777" w:rsidR="006879D0" w:rsidRPr="007245B0" w:rsidRDefault="006879D0" w:rsidP="008E2A3E">
            <w:pPr>
              <w:pStyle w:val="NoSpacing"/>
              <w:jc w:val="center"/>
              <w:rPr>
                <w:rFonts w:ascii="Times New Roman" w:hAnsi="Times New Roman" w:cs="Times New Roman"/>
                <w:szCs w:val="24"/>
              </w:rPr>
            </w:pPr>
            <w:r w:rsidRPr="007245B0">
              <w:rPr>
                <w:rFonts w:ascii="Times New Roman" w:hAnsi="Times New Roman" w:cs="Times New Roman"/>
                <w:szCs w:val="24"/>
              </w:rPr>
              <w:t>425.42</w:t>
            </w:r>
          </w:p>
        </w:tc>
        <w:tc>
          <w:tcPr>
            <w:tcW w:w="1423" w:type="dxa"/>
            <w:hideMark/>
          </w:tcPr>
          <w:p w14:paraId="51F8F1C7" w14:textId="77777777" w:rsidR="006879D0" w:rsidRPr="007245B0" w:rsidRDefault="006879D0" w:rsidP="008E2A3E">
            <w:pPr>
              <w:pStyle w:val="NoSpacing"/>
              <w:jc w:val="center"/>
              <w:rPr>
                <w:rFonts w:ascii="Times New Roman" w:hAnsi="Times New Roman" w:cs="Times New Roman"/>
                <w:szCs w:val="24"/>
              </w:rPr>
            </w:pPr>
            <w:r w:rsidRPr="007245B0">
              <w:rPr>
                <w:rFonts w:ascii="Times New Roman" w:hAnsi="Times New Roman" w:cs="Times New Roman"/>
                <w:szCs w:val="24"/>
              </w:rPr>
              <w:t>8.4</w:t>
            </w:r>
          </w:p>
        </w:tc>
        <w:tc>
          <w:tcPr>
            <w:tcW w:w="1339" w:type="dxa"/>
            <w:hideMark/>
          </w:tcPr>
          <w:p w14:paraId="5660311D" w14:textId="77777777" w:rsidR="006879D0" w:rsidRPr="007245B0" w:rsidRDefault="006879D0" w:rsidP="008E2A3E">
            <w:pPr>
              <w:pStyle w:val="NoSpacing"/>
              <w:jc w:val="center"/>
              <w:rPr>
                <w:rFonts w:ascii="Times New Roman" w:hAnsi="Times New Roman" w:cs="Times New Roman"/>
                <w:szCs w:val="24"/>
              </w:rPr>
            </w:pPr>
            <w:r w:rsidRPr="007245B0">
              <w:rPr>
                <w:rFonts w:ascii="Times New Roman" w:hAnsi="Times New Roman" w:cs="Times New Roman"/>
                <w:szCs w:val="24"/>
              </w:rPr>
              <w:t>91.6</w:t>
            </w:r>
          </w:p>
        </w:tc>
        <w:tc>
          <w:tcPr>
            <w:tcW w:w="1405" w:type="dxa"/>
            <w:hideMark/>
          </w:tcPr>
          <w:p w14:paraId="43491853" w14:textId="77777777" w:rsidR="006879D0" w:rsidRPr="007245B0" w:rsidRDefault="006879D0" w:rsidP="008E2A3E">
            <w:pPr>
              <w:pStyle w:val="NoSpacing"/>
              <w:jc w:val="center"/>
              <w:rPr>
                <w:rFonts w:ascii="Times New Roman" w:hAnsi="Times New Roman" w:cs="Times New Roman"/>
                <w:szCs w:val="24"/>
              </w:rPr>
            </w:pPr>
            <w:r w:rsidRPr="007245B0">
              <w:rPr>
                <w:rFonts w:ascii="Times New Roman" w:hAnsi="Times New Roman" w:cs="Times New Roman"/>
                <w:szCs w:val="24"/>
              </w:rPr>
              <w:t>5.2</w:t>
            </w:r>
          </w:p>
        </w:tc>
        <w:tc>
          <w:tcPr>
            <w:tcW w:w="1830" w:type="dxa"/>
            <w:hideMark/>
          </w:tcPr>
          <w:p w14:paraId="66370C7B" w14:textId="77777777" w:rsidR="006879D0" w:rsidRPr="007245B0" w:rsidRDefault="006879D0" w:rsidP="008E2A3E">
            <w:pPr>
              <w:pStyle w:val="NoSpacing"/>
              <w:jc w:val="center"/>
              <w:rPr>
                <w:rFonts w:ascii="Times New Roman" w:hAnsi="Times New Roman" w:cs="Times New Roman"/>
                <w:szCs w:val="24"/>
              </w:rPr>
            </w:pPr>
            <w:r w:rsidRPr="007245B0">
              <w:rPr>
                <w:rFonts w:ascii="Times New Roman" w:hAnsi="Times New Roman" w:cs="Times New Roman"/>
                <w:szCs w:val="24"/>
              </w:rPr>
              <w:t>12.0</w:t>
            </w:r>
          </w:p>
        </w:tc>
      </w:tr>
      <w:tr w:rsidR="006879D0" w:rsidRPr="007245B0" w14:paraId="30FEC2BF" w14:textId="77777777" w:rsidTr="008E2A3E">
        <w:trPr>
          <w:trHeight w:val="292"/>
          <w:jc w:val="center"/>
        </w:trPr>
        <w:tc>
          <w:tcPr>
            <w:tcW w:w="1521" w:type="dxa"/>
            <w:hideMark/>
          </w:tcPr>
          <w:p w14:paraId="74818BFE" w14:textId="77777777" w:rsidR="006879D0" w:rsidRPr="007245B0" w:rsidRDefault="006879D0" w:rsidP="006879D0">
            <w:pPr>
              <w:pStyle w:val="NoSpacing"/>
              <w:rPr>
                <w:rFonts w:ascii="Times New Roman" w:hAnsi="Times New Roman" w:cs="Times New Roman"/>
                <w:szCs w:val="24"/>
              </w:rPr>
            </w:pPr>
            <w:r w:rsidRPr="007245B0">
              <w:rPr>
                <w:rFonts w:ascii="Times New Roman" w:hAnsi="Times New Roman" w:cs="Times New Roman"/>
                <w:szCs w:val="24"/>
              </w:rPr>
              <w:t>Gujarat</w:t>
            </w:r>
          </w:p>
        </w:tc>
        <w:tc>
          <w:tcPr>
            <w:tcW w:w="1339" w:type="dxa"/>
            <w:hideMark/>
          </w:tcPr>
          <w:p w14:paraId="28E491F3" w14:textId="77777777" w:rsidR="006879D0" w:rsidRPr="007245B0" w:rsidRDefault="006879D0" w:rsidP="008E2A3E">
            <w:pPr>
              <w:pStyle w:val="NoSpacing"/>
              <w:jc w:val="center"/>
              <w:rPr>
                <w:rFonts w:ascii="Times New Roman" w:hAnsi="Times New Roman" w:cs="Times New Roman"/>
                <w:szCs w:val="24"/>
              </w:rPr>
            </w:pPr>
            <w:r w:rsidRPr="007245B0">
              <w:rPr>
                <w:rFonts w:ascii="Times New Roman" w:hAnsi="Times New Roman" w:cs="Times New Roman"/>
                <w:szCs w:val="24"/>
              </w:rPr>
              <w:t>206.33</w:t>
            </w:r>
          </w:p>
        </w:tc>
        <w:tc>
          <w:tcPr>
            <w:tcW w:w="1339" w:type="dxa"/>
            <w:hideMark/>
          </w:tcPr>
          <w:p w14:paraId="63BFE8B9" w14:textId="77777777" w:rsidR="006879D0" w:rsidRPr="007245B0" w:rsidRDefault="006879D0" w:rsidP="008E2A3E">
            <w:pPr>
              <w:pStyle w:val="NoSpacing"/>
              <w:jc w:val="center"/>
              <w:rPr>
                <w:rFonts w:ascii="Times New Roman" w:hAnsi="Times New Roman" w:cs="Times New Roman"/>
                <w:szCs w:val="24"/>
              </w:rPr>
            </w:pPr>
            <w:r w:rsidRPr="007245B0">
              <w:rPr>
                <w:rFonts w:ascii="Times New Roman" w:hAnsi="Times New Roman" w:cs="Times New Roman"/>
                <w:szCs w:val="24"/>
              </w:rPr>
              <w:t>53.16</w:t>
            </w:r>
          </w:p>
        </w:tc>
        <w:tc>
          <w:tcPr>
            <w:tcW w:w="1339" w:type="dxa"/>
            <w:hideMark/>
          </w:tcPr>
          <w:p w14:paraId="544FEC0E" w14:textId="77777777" w:rsidR="006879D0" w:rsidRPr="007245B0" w:rsidRDefault="006879D0" w:rsidP="008E2A3E">
            <w:pPr>
              <w:pStyle w:val="NoSpacing"/>
              <w:jc w:val="center"/>
              <w:rPr>
                <w:rFonts w:ascii="Times New Roman" w:hAnsi="Times New Roman" w:cs="Times New Roman"/>
                <w:szCs w:val="24"/>
              </w:rPr>
            </w:pPr>
            <w:r w:rsidRPr="007245B0">
              <w:rPr>
                <w:rFonts w:ascii="Times New Roman" w:hAnsi="Times New Roman" w:cs="Times New Roman"/>
                <w:szCs w:val="24"/>
              </w:rPr>
              <w:t>153.17</w:t>
            </w:r>
          </w:p>
        </w:tc>
        <w:tc>
          <w:tcPr>
            <w:tcW w:w="1423" w:type="dxa"/>
            <w:hideMark/>
          </w:tcPr>
          <w:p w14:paraId="191FAFAD" w14:textId="77777777" w:rsidR="006879D0" w:rsidRPr="007245B0" w:rsidRDefault="006879D0" w:rsidP="008E2A3E">
            <w:pPr>
              <w:pStyle w:val="NoSpacing"/>
              <w:jc w:val="center"/>
              <w:rPr>
                <w:rFonts w:ascii="Times New Roman" w:hAnsi="Times New Roman" w:cs="Times New Roman"/>
                <w:szCs w:val="24"/>
              </w:rPr>
            </w:pPr>
            <w:r w:rsidRPr="007245B0">
              <w:rPr>
                <w:rFonts w:ascii="Times New Roman" w:hAnsi="Times New Roman" w:cs="Times New Roman"/>
                <w:szCs w:val="24"/>
              </w:rPr>
              <w:t>25.8</w:t>
            </w:r>
          </w:p>
        </w:tc>
        <w:tc>
          <w:tcPr>
            <w:tcW w:w="1339" w:type="dxa"/>
            <w:hideMark/>
          </w:tcPr>
          <w:p w14:paraId="6FA34A79" w14:textId="77777777" w:rsidR="006879D0" w:rsidRPr="007245B0" w:rsidRDefault="006879D0" w:rsidP="008E2A3E">
            <w:pPr>
              <w:pStyle w:val="NoSpacing"/>
              <w:jc w:val="center"/>
              <w:rPr>
                <w:rFonts w:ascii="Times New Roman" w:hAnsi="Times New Roman" w:cs="Times New Roman"/>
                <w:szCs w:val="24"/>
              </w:rPr>
            </w:pPr>
            <w:r w:rsidRPr="007245B0">
              <w:rPr>
                <w:rFonts w:ascii="Times New Roman" w:hAnsi="Times New Roman" w:cs="Times New Roman"/>
                <w:szCs w:val="24"/>
              </w:rPr>
              <w:t>74.2</w:t>
            </w:r>
          </w:p>
        </w:tc>
        <w:tc>
          <w:tcPr>
            <w:tcW w:w="1405" w:type="dxa"/>
            <w:hideMark/>
          </w:tcPr>
          <w:p w14:paraId="666D00DC" w14:textId="77777777" w:rsidR="006879D0" w:rsidRPr="007245B0" w:rsidRDefault="006879D0" w:rsidP="008E2A3E">
            <w:pPr>
              <w:pStyle w:val="NoSpacing"/>
              <w:jc w:val="center"/>
              <w:rPr>
                <w:rFonts w:ascii="Times New Roman" w:hAnsi="Times New Roman" w:cs="Times New Roman"/>
                <w:szCs w:val="24"/>
              </w:rPr>
            </w:pPr>
            <w:r w:rsidRPr="007245B0">
              <w:rPr>
                <w:rFonts w:ascii="Times New Roman" w:hAnsi="Times New Roman" w:cs="Times New Roman"/>
                <w:szCs w:val="24"/>
              </w:rPr>
              <w:t>7.0</w:t>
            </w:r>
          </w:p>
        </w:tc>
        <w:tc>
          <w:tcPr>
            <w:tcW w:w="1830" w:type="dxa"/>
            <w:hideMark/>
          </w:tcPr>
          <w:p w14:paraId="7EC6F054" w14:textId="77777777" w:rsidR="006879D0" w:rsidRPr="007245B0" w:rsidRDefault="006879D0" w:rsidP="008E2A3E">
            <w:pPr>
              <w:pStyle w:val="NoSpacing"/>
              <w:jc w:val="center"/>
              <w:rPr>
                <w:rFonts w:ascii="Times New Roman" w:hAnsi="Times New Roman" w:cs="Times New Roman"/>
                <w:szCs w:val="24"/>
              </w:rPr>
            </w:pPr>
            <w:r w:rsidRPr="007245B0">
              <w:rPr>
                <w:rFonts w:ascii="Times New Roman" w:hAnsi="Times New Roman" w:cs="Times New Roman"/>
                <w:szCs w:val="24"/>
              </w:rPr>
              <w:t>4.3</w:t>
            </w:r>
          </w:p>
        </w:tc>
      </w:tr>
      <w:tr w:rsidR="006879D0" w:rsidRPr="007245B0" w14:paraId="7FAA2D31" w14:textId="77777777" w:rsidTr="008E2A3E">
        <w:trPr>
          <w:trHeight w:val="306"/>
          <w:jc w:val="center"/>
        </w:trPr>
        <w:tc>
          <w:tcPr>
            <w:tcW w:w="1521" w:type="dxa"/>
            <w:hideMark/>
          </w:tcPr>
          <w:p w14:paraId="3881F985" w14:textId="77777777" w:rsidR="006879D0" w:rsidRPr="007245B0" w:rsidRDefault="006879D0" w:rsidP="006879D0">
            <w:pPr>
              <w:pStyle w:val="NoSpacing"/>
              <w:rPr>
                <w:rFonts w:ascii="Times New Roman" w:hAnsi="Times New Roman" w:cs="Times New Roman"/>
                <w:szCs w:val="24"/>
              </w:rPr>
            </w:pPr>
            <w:r w:rsidRPr="007245B0">
              <w:rPr>
                <w:rFonts w:ascii="Times New Roman" w:hAnsi="Times New Roman" w:cs="Times New Roman"/>
                <w:szCs w:val="24"/>
              </w:rPr>
              <w:t>Haryana</w:t>
            </w:r>
          </w:p>
        </w:tc>
        <w:tc>
          <w:tcPr>
            <w:tcW w:w="1339" w:type="dxa"/>
            <w:hideMark/>
          </w:tcPr>
          <w:p w14:paraId="6D4E3EE0" w14:textId="77777777" w:rsidR="006879D0" w:rsidRPr="007245B0" w:rsidRDefault="006879D0" w:rsidP="008E2A3E">
            <w:pPr>
              <w:pStyle w:val="NoSpacing"/>
              <w:jc w:val="center"/>
              <w:rPr>
                <w:rFonts w:ascii="Times New Roman" w:hAnsi="Times New Roman" w:cs="Times New Roman"/>
                <w:szCs w:val="24"/>
              </w:rPr>
            </w:pPr>
            <w:r w:rsidRPr="007245B0">
              <w:rPr>
                <w:rFonts w:ascii="Times New Roman" w:hAnsi="Times New Roman" w:cs="Times New Roman"/>
                <w:szCs w:val="24"/>
              </w:rPr>
              <w:t>75.90</w:t>
            </w:r>
          </w:p>
        </w:tc>
        <w:tc>
          <w:tcPr>
            <w:tcW w:w="1339" w:type="dxa"/>
            <w:hideMark/>
          </w:tcPr>
          <w:p w14:paraId="6DCF163A" w14:textId="77777777" w:rsidR="006879D0" w:rsidRPr="007245B0" w:rsidRDefault="006879D0" w:rsidP="008E2A3E">
            <w:pPr>
              <w:pStyle w:val="NoSpacing"/>
              <w:jc w:val="center"/>
              <w:rPr>
                <w:rFonts w:ascii="Times New Roman" w:hAnsi="Times New Roman" w:cs="Times New Roman"/>
                <w:szCs w:val="24"/>
              </w:rPr>
            </w:pPr>
            <w:r w:rsidRPr="007245B0">
              <w:rPr>
                <w:rFonts w:ascii="Times New Roman" w:hAnsi="Times New Roman" w:cs="Times New Roman"/>
                <w:szCs w:val="24"/>
              </w:rPr>
              <w:t>13.07</w:t>
            </w:r>
          </w:p>
        </w:tc>
        <w:tc>
          <w:tcPr>
            <w:tcW w:w="1339" w:type="dxa"/>
            <w:hideMark/>
          </w:tcPr>
          <w:p w14:paraId="3C949CD7" w14:textId="77777777" w:rsidR="006879D0" w:rsidRPr="007245B0" w:rsidRDefault="006879D0" w:rsidP="008E2A3E">
            <w:pPr>
              <w:pStyle w:val="NoSpacing"/>
              <w:jc w:val="center"/>
              <w:rPr>
                <w:rFonts w:ascii="Times New Roman" w:hAnsi="Times New Roman" w:cs="Times New Roman"/>
                <w:szCs w:val="24"/>
              </w:rPr>
            </w:pPr>
            <w:r w:rsidRPr="007245B0">
              <w:rPr>
                <w:rFonts w:ascii="Times New Roman" w:hAnsi="Times New Roman" w:cs="Times New Roman"/>
                <w:szCs w:val="24"/>
              </w:rPr>
              <w:t>62.83</w:t>
            </w:r>
          </w:p>
        </w:tc>
        <w:tc>
          <w:tcPr>
            <w:tcW w:w="1423" w:type="dxa"/>
            <w:hideMark/>
          </w:tcPr>
          <w:p w14:paraId="2C51C1FE" w14:textId="77777777" w:rsidR="006879D0" w:rsidRPr="007245B0" w:rsidRDefault="006879D0" w:rsidP="008E2A3E">
            <w:pPr>
              <w:pStyle w:val="NoSpacing"/>
              <w:jc w:val="center"/>
              <w:rPr>
                <w:rFonts w:ascii="Times New Roman" w:hAnsi="Times New Roman" w:cs="Times New Roman"/>
                <w:szCs w:val="24"/>
              </w:rPr>
            </w:pPr>
            <w:r w:rsidRPr="007245B0">
              <w:rPr>
                <w:rFonts w:ascii="Times New Roman" w:hAnsi="Times New Roman" w:cs="Times New Roman"/>
                <w:szCs w:val="24"/>
              </w:rPr>
              <w:t>17.2</w:t>
            </w:r>
          </w:p>
        </w:tc>
        <w:tc>
          <w:tcPr>
            <w:tcW w:w="1339" w:type="dxa"/>
            <w:hideMark/>
          </w:tcPr>
          <w:p w14:paraId="578BF79A" w14:textId="77777777" w:rsidR="006879D0" w:rsidRPr="007245B0" w:rsidRDefault="006879D0" w:rsidP="008E2A3E">
            <w:pPr>
              <w:pStyle w:val="NoSpacing"/>
              <w:jc w:val="center"/>
              <w:rPr>
                <w:rFonts w:ascii="Times New Roman" w:hAnsi="Times New Roman" w:cs="Times New Roman"/>
                <w:szCs w:val="24"/>
              </w:rPr>
            </w:pPr>
            <w:r w:rsidRPr="007245B0">
              <w:rPr>
                <w:rFonts w:ascii="Times New Roman" w:hAnsi="Times New Roman" w:cs="Times New Roman"/>
                <w:szCs w:val="24"/>
              </w:rPr>
              <w:t>82.8</w:t>
            </w:r>
          </w:p>
        </w:tc>
        <w:tc>
          <w:tcPr>
            <w:tcW w:w="1405" w:type="dxa"/>
            <w:hideMark/>
          </w:tcPr>
          <w:p w14:paraId="2FA6AFFB" w14:textId="77777777" w:rsidR="006879D0" w:rsidRPr="007245B0" w:rsidRDefault="006879D0" w:rsidP="008E2A3E">
            <w:pPr>
              <w:pStyle w:val="NoSpacing"/>
              <w:jc w:val="center"/>
              <w:rPr>
                <w:rFonts w:ascii="Times New Roman" w:hAnsi="Times New Roman" w:cs="Times New Roman"/>
                <w:szCs w:val="24"/>
              </w:rPr>
            </w:pPr>
            <w:r w:rsidRPr="007245B0">
              <w:rPr>
                <w:rFonts w:ascii="Times New Roman" w:hAnsi="Times New Roman" w:cs="Times New Roman"/>
                <w:szCs w:val="24"/>
              </w:rPr>
              <w:t>1.7</w:t>
            </w:r>
          </w:p>
        </w:tc>
        <w:tc>
          <w:tcPr>
            <w:tcW w:w="1830" w:type="dxa"/>
            <w:hideMark/>
          </w:tcPr>
          <w:p w14:paraId="28B9EC47" w14:textId="77777777" w:rsidR="006879D0" w:rsidRPr="007245B0" w:rsidRDefault="006879D0" w:rsidP="008E2A3E">
            <w:pPr>
              <w:pStyle w:val="NoSpacing"/>
              <w:jc w:val="center"/>
              <w:rPr>
                <w:rFonts w:ascii="Times New Roman" w:hAnsi="Times New Roman" w:cs="Times New Roman"/>
                <w:szCs w:val="24"/>
              </w:rPr>
            </w:pPr>
            <w:r w:rsidRPr="007245B0">
              <w:rPr>
                <w:rFonts w:ascii="Times New Roman" w:hAnsi="Times New Roman" w:cs="Times New Roman"/>
                <w:szCs w:val="24"/>
              </w:rPr>
              <w:t>1.8</w:t>
            </w:r>
          </w:p>
        </w:tc>
      </w:tr>
      <w:tr w:rsidR="006879D0" w:rsidRPr="007245B0" w14:paraId="09AA7BE7" w14:textId="77777777" w:rsidTr="008E2A3E">
        <w:trPr>
          <w:trHeight w:val="591"/>
          <w:jc w:val="center"/>
        </w:trPr>
        <w:tc>
          <w:tcPr>
            <w:tcW w:w="1521" w:type="dxa"/>
            <w:hideMark/>
          </w:tcPr>
          <w:p w14:paraId="3E94A2FE" w14:textId="77777777" w:rsidR="006879D0" w:rsidRPr="007245B0" w:rsidRDefault="006879D0" w:rsidP="006879D0">
            <w:pPr>
              <w:pStyle w:val="NoSpacing"/>
              <w:rPr>
                <w:rFonts w:ascii="Times New Roman" w:hAnsi="Times New Roman" w:cs="Times New Roman"/>
                <w:szCs w:val="24"/>
              </w:rPr>
            </w:pPr>
            <w:r w:rsidRPr="007245B0">
              <w:rPr>
                <w:rFonts w:ascii="Times New Roman" w:hAnsi="Times New Roman" w:cs="Times New Roman"/>
                <w:szCs w:val="24"/>
              </w:rPr>
              <w:t>Jammu and Kashmir</w:t>
            </w:r>
          </w:p>
        </w:tc>
        <w:tc>
          <w:tcPr>
            <w:tcW w:w="1339" w:type="dxa"/>
            <w:hideMark/>
          </w:tcPr>
          <w:p w14:paraId="673DBD38" w14:textId="77777777" w:rsidR="006879D0" w:rsidRPr="007245B0" w:rsidRDefault="006879D0" w:rsidP="008E2A3E">
            <w:pPr>
              <w:pStyle w:val="NoSpacing"/>
              <w:jc w:val="center"/>
              <w:rPr>
                <w:rFonts w:ascii="Times New Roman" w:hAnsi="Times New Roman" w:cs="Times New Roman"/>
                <w:szCs w:val="24"/>
              </w:rPr>
            </w:pPr>
            <w:r w:rsidRPr="007245B0">
              <w:rPr>
                <w:rFonts w:ascii="Times New Roman" w:hAnsi="Times New Roman" w:cs="Times New Roman"/>
                <w:szCs w:val="24"/>
              </w:rPr>
              <w:t>35.61</w:t>
            </w:r>
          </w:p>
        </w:tc>
        <w:tc>
          <w:tcPr>
            <w:tcW w:w="1339" w:type="dxa"/>
            <w:hideMark/>
          </w:tcPr>
          <w:p w14:paraId="4690EA1B" w14:textId="77777777" w:rsidR="006879D0" w:rsidRPr="007245B0" w:rsidRDefault="006879D0" w:rsidP="008E2A3E">
            <w:pPr>
              <w:pStyle w:val="NoSpacing"/>
              <w:jc w:val="center"/>
              <w:rPr>
                <w:rFonts w:ascii="Times New Roman" w:hAnsi="Times New Roman" w:cs="Times New Roman"/>
                <w:szCs w:val="24"/>
              </w:rPr>
            </w:pPr>
            <w:r w:rsidRPr="007245B0">
              <w:rPr>
                <w:rFonts w:ascii="Times New Roman" w:hAnsi="Times New Roman" w:cs="Times New Roman"/>
                <w:szCs w:val="24"/>
              </w:rPr>
              <w:t>5.93</w:t>
            </w:r>
          </w:p>
        </w:tc>
        <w:tc>
          <w:tcPr>
            <w:tcW w:w="1339" w:type="dxa"/>
            <w:hideMark/>
          </w:tcPr>
          <w:p w14:paraId="4071E2B4" w14:textId="77777777" w:rsidR="006879D0" w:rsidRPr="007245B0" w:rsidRDefault="006879D0" w:rsidP="008E2A3E">
            <w:pPr>
              <w:pStyle w:val="NoSpacing"/>
              <w:jc w:val="center"/>
              <w:rPr>
                <w:rFonts w:ascii="Times New Roman" w:hAnsi="Times New Roman" w:cs="Times New Roman"/>
                <w:szCs w:val="24"/>
              </w:rPr>
            </w:pPr>
            <w:r w:rsidRPr="007245B0">
              <w:rPr>
                <w:rFonts w:ascii="Times New Roman" w:hAnsi="Times New Roman" w:cs="Times New Roman"/>
                <w:szCs w:val="24"/>
              </w:rPr>
              <w:t>29.68</w:t>
            </w:r>
          </w:p>
        </w:tc>
        <w:tc>
          <w:tcPr>
            <w:tcW w:w="1423" w:type="dxa"/>
            <w:hideMark/>
          </w:tcPr>
          <w:p w14:paraId="6C12E582" w14:textId="77777777" w:rsidR="006879D0" w:rsidRPr="007245B0" w:rsidRDefault="006879D0" w:rsidP="008E2A3E">
            <w:pPr>
              <w:pStyle w:val="NoSpacing"/>
              <w:jc w:val="center"/>
              <w:rPr>
                <w:rFonts w:ascii="Times New Roman" w:hAnsi="Times New Roman" w:cs="Times New Roman"/>
                <w:szCs w:val="24"/>
              </w:rPr>
            </w:pPr>
            <w:r w:rsidRPr="007245B0">
              <w:rPr>
                <w:rFonts w:ascii="Times New Roman" w:hAnsi="Times New Roman" w:cs="Times New Roman"/>
                <w:szCs w:val="24"/>
              </w:rPr>
              <w:t>16.7</w:t>
            </w:r>
          </w:p>
        </w:tc>
        <w:tc>
          <w:tcPr>
            <w:tcW w:w="1339" w:type="dxa"/>
            <w:hideMark/>
          </w:tcPr>
          <w:p w14:paraId="2BFBAF6D" w14:textId="77777777" w:rsidR="006879D0" w:rsidRPr="007245B0" w:rsidRDefault="006879D0" w:rsidP="008E2A3E">
            <w:pPr>
              <w:pStyle w:val="NoSpacing"/>
              <w:jc w:val="center"/>
              <w:rPr>
                <w:rFonts w:ascii="Times New Roman" w:hAnsi="Times New Roman" w:cs="Times New Roman"/>
                <w:szCs w:val="24"/>
              </w:rPr>
            </w:pPr>
            <w:r w:rsidRPr="007245B0">
              <w:rPr>
                <w:rFonts w:ascii="Times New Roman" w:hAnsi="Times New Roman" w:cs="Times New Roman"/>
                <w:szCs w:val="24"/>
              </w:rPr>
              <w:t>83.3</w:t>
            </w:r>
          </w:p>
        </w:tc>
        <w:tc>
          <w:tcPr>
            <w:tcW w:w="1405" w:type="dxa"/>
            <w:hideMark/>
          </w:tcPr>
          <w:p w14:paraId="7185C488" w14:textId="77777777" w:rsidR="006879D0" w:rsidRPr="007245B0" w:rsidRDefault="006879D0" w:rsidP="008E2A3E">
            <w:pPr>
              <w:pStyle w:val="NoSpacing"/>
              <w:jc w:val="center"/>
              <w:rPr>
                <w:rFonts w:ascii="Times New Roman" w:hAnsi="Times New Roman" w:cs="Times New Roman"/>
                <w:szCs w:val="24"/>
              </w:rPr>
            </w:pPr>
            <w:r w:rsidRPr="007245B0">
              <w:rPr>
                <w:rFonts w:ascii="Times New Roman" w:hAnsi="Times New Roman" w:cs="Times New Roman"/>
                <w:szCs w:val="24"/>
              </w:rPr>
              <w:t>0.8</w:t>
            </w:r>
          </w:p>
        </w:tc>
        <w:tc>
          <w:tcPr>
            <w:tcW w:w="1830" w:type="dxa"/>
            <w:hideMark/>
          </w:tcPr>
          <w:p w14:paraId="33D190BD" w14:textId="77777777" w:rsidR="006879D0" w:rsidRPr="007245B0" w:rsidRDefault="006879D0" w:rsidP="008E2A3E">
            <w:pPr>
              <w:pStyle w:val="NoSpacing"/>
              <w:jc w:val="center"/>
              <w:rPr>
                <w:rFonts w:ascii="Times New Roman" w:hAnsi="Times New Roman" w:cs="Times New Roman"/>
                <w:szCs w:val="24"/>
              </w:rPr>
            </w:pPr>
            <w:r w:rsidRPr="007245B0">
              <w:rPr>
                <w:rFonts w:ascii="Times New Roman" w:hAnsi="Times New Roman" w:cs="Times New Roman"/>
                <w:szCs w:val="24"/>
              </w:rPr>
              <w:t>0.8</w:t>
            </w:r>
          </w:p>
        </w:tc>
      </w:tr>
      <w:tr w:rsidR="006879D0" w:rsidRPr="007245B0" w14:paraId="36025B66" w14:textId="77777777" w:rsidTr="008E2A3E">
        <w:trPr>
          <w:trHeight w:val="306"/>
          <w:jc w:val="center"/>
        </w:trPr>
        <w:tc>
          <w:tcPr>
            <w:tcW w:w="1521" w:type="dxa"/>
            <w:hideMark/>
          </w:tcPr>
          <w:p w14:paraId="6C600D34" w14:textId="77777777" w:rsidR="006879D0" w:rsidRPr="007245B0" w:rsidRDefault="006879D0" w:rsidP="006879D0">
            <w:pPr>
              <w:pStyle w:val="NoSpacing"/>
              <w:rPr>
                <w:rFonts w:ascii="Times New Roman" w:hAnsi="Times New Roman" w:cs="Times New Roman"/>
                <w:szCs w:val="24"/>
              </w:rPr>
            </w:pPr>
            <w:r w:rsidRPr="007245B0">
              <w:rPr>
                <w:rFonts w:ascii="Times New Roman" w:hAnsi="Times New Roman" w:cs="Times New Roman"/>
                <w:szCs w:val="24"/>
              </w:rPr>
              <w:t>Kerala</w:t>
            </w:r>
          </w:p>
        </w:tc>
        <w:tc>
          <w:tcPr>
            <w:tcW w:w="1339" w:type="dxa"/>
            <w:hideMark/>
          </w:tcPr>
          <w:p w14:paraId="3BE77E40" w14:textId="77777777" w:rsidR="006879D0" w:rsidRPr="007245B0" w:rsidRDefault="006879D0" w:rsidP="008E2A3E">
            <w:pPr>
              <w:pStyle w:val="NoSpacing"/>
              <w:jc w:val="center"/>
              <w:rPr>
                <w:rFonts w:ascii="Times New Roman" w:hAnsi="Times New Roman" w:cs="Times New Roman"/>
                <w:szCs w:val="24"/>
              </w:rPr>
            </w:pPr>
            <w:r w:rsidRPr="007245B0">
              <w:rPr>
                <w:rFonts w:ascii="Times New Roman" w:hAnsi="Times New Roman" w:cs="Times New Roman"/>
                <w:szCs w:val="24"/>
              </w:rPr>
              <w:t>169.04</w:t>
            </w:r>
          </w:p>
        </w:tc>
        <w:tc>
          <w:tcPr>
            <w:tcW w:w="1339" w:type="dxa"/>
            <w:hideMark/>
          </w:tcPr>
          <w:p w14:paraId="3AE3288E" w14:textId="77777777" w:rsidR="006879D0" w:rsidRPr="007245B0" w:rsidRDefault="006879D0" w:rsidP="008E2A3E">
            <w:pPr>
              <w:pStyle w:val="NoSpacing"/>
              <w:jc w:val="center"/>
              <w:rPr>
                <w:rFonts w:ascii="Times New Roman" w:hAnsi="Times New Roman" w:cs="Times New Roman"/>
                <w:szCs w:val="24"/>
              </w:rPr>
            </w:pPr>
            <w:r w:rsidRPr="007245B0">
              <w:rPr>
                <w:rFonts w:ascii="Times New Roman" w:hAnsi="Times New Roman" w:cs="Times New Roman"/>
                <w:szCs w:val="24"/>
              </w:rPr>
              <w:t>25.54</w:t>
            </w:r>
          </w:p>
        </w:tc>
        <w:tc>
          <w:tcPr>
            <w:tcW w:w="1339" w:type="dxa"/>
            <w:hideMark/>
          </w:tcPr>
          <w:p w14:paraId="3797981E" w14:textId="77777777" w:rsidR="006879D0" w:rsidRPr="007245B0" w:rsidRDefault="006879D0" w:rsidP="008E2A3E">
            <w:pPr>
              <w:pStyle w:val="NoSpacing"/>
              <w:jc w:val="center"/>
              <w:rPr>
                <w:rFonts w:ascii="Times New Roman" w:hAnsi="Times New Roman" w:cs="Times New Roman"/>
                <w:szCs w:val="24"/>
              </w:rPr>
            </w:pPr>
            <w:r w:rsidRPr="007245B0">
              <w:rPr>
                <w:rFonts w:ascii="Times New Roman" w:hAnsi="Times New Roman" w:cs="Times New Roman"/>
                <w:szCs w:val="24"/>
              </w:rPr>
              <w:t>143.50</w:t>
            </w:r>
          </w:p>
        </w:tc>
        <w:tc>
          <w:tcPr>
            <w:tcW w:w="1423" w:type="dxa"/>
            <w:hideMark/>
          </w:tcPr>
          <w:p w14:paraId="4DB38A25" w14:textId="77777777" w:rsidR="006879D0" w:rsidRPr="007245B0" w:rsidRDefault="006879D0" w:rsidP="008E2A3E">
            <w:pPr>
              <w:pStyle w:val="NoSpacing"/>
              <w:jc w:val="center"/>
              <w:rPr>
                <w:rFonts w:ascii="Times New Roman" w:hAnsi="Times New Roman" w:cs="Times New Roman"/>
                <w:szCs w:val="24"/>
              </w:rPr>
            </w:pPr>
            <w:r w:rsidRPr="007245B0">
              <w:rPr>
                <w:rFonts w:ascii="Times New Roman" w:hAnsi="Times New Roman" w:cs="Times New Roman"/>
                <w:szCs w:val="24"/>
              </w:rPr>
              <w:t>15.1</w:t>
            </w:r>
          </w:p>
        </w:tc>
        <w:tc>
          <w:tcPr>
            <w:tcW w:w="1339" w:type="dxa"/>
            <w:hideMark/>
          </w:tcPr>
          <w:p w14:paraId="7BC77FB6" w14:textId="77777777" w:rsidR="006879D0" w:rsidRPr="007245B0" w:rsidRDefault="006879D0" w:rsidP="008E2A3E">
            <w:pPr>
              <w:pStyle w:val="NoSpacing"/>
              <w:jc w:val="center"/>
              <w:rPr>
                <w:rFonts w:ascii="Times New Roman" w:hAnsi="Times New Roman" w:cs="Times New Roman"/>
                <w:szCs w:val="24"/>
              </w:rPr>
            </w:pPr>
            <w:r w:rsidRPr="007245B0">
              <w:rPr>
                <w:rFonts w:ascii="Times New Roman" w:hAnsi="Times New Roman" w:cs="Times New Roman"/>
                <w:szCs w:val="24"/>
              </w:rPr>
              <w:t>84.9</w:t>
            </w:r>
          </w:p>
        </w:tc>
        <w:tc>
          <w:tcPr>
            <w:tcW w:w="1405" w:type="dxa"/>
            <w:hideMark/>
          </w:tcPr>
          <w:p w14:paraId="2F7B53E4" w14:textId="77777777" w:rsidR="006879D0" w:rsidRPr="007245B0" w:rsidRDefault="006879D0" w:rsidP="008E2A3E">
            <w:pPr>
              <w:pStyle w:val="NoSpacing"/>
              <w:jc w:val="center"/>
              <w:rPr>
                <w:rFonts w:ascii="Times New Roman" w:hAnsi="Times New Roman" w:cs="Times New Roman"/>
                <w:szCs w:val="24"/>
              </w:rPr>
            </w:pPr>
            <w:r w:rsidRPr="007245B0">
              <w:rPr>
                <w:rFonts w:ascii="Times New Roman" w:hAnsi="Times New Roman" w:cs="Times New Roman"/>
                <w:szCs w:val="24"/>
              </w:rPr>
              <w:t>3.4</w:t>
            </w:r>
          </w:p>
        </w:tc>
        <w:tc>
          <w:tcPr>
            <w:tcW w:w="1830" w:type="dxa"/>
            <w:hideMark/>
          </w:tcPr>
          <w:p w14:paraId="294E2586" w14:textId="77777777" w:rsidR="006879D0" w:rsidRPr="007245B0" w:rsidRDefault="006879D0" w:rsidP="008E2A3E">
            <w:pPr>
              <w:pStyle w:val="NoSpacing"/>
              <w:jc w:val="center"/>
              <w:rPr>
                <w:rFonts w:ascii="Times New Roman" w:hAnsi="Times New Roman" w:cs="Times New Roman"/>
                <w:szCs w:val="24"/>
              </w:rPr>
            </w:pPr>
            <w:r w:rsidRPr="007245B0">
              <w:rPr>
                <w:rFonts w:ascii="Times New Roman" w:hAnsi="Times New Roman" w:cs="Times New Roman"/>
                <w:szCs w:val="24"/>
              </w:rPr>
              <w:t>4.1</w:t>
            </w:r>
          </w:p>
        </w:tc>
      </w:tr>
      <w:tr w:rsidR="006879D0" w:rsidRPr="007245B0" w14:paraId="78C957A6" w14:textId="77777777" w:rsidTr="008E2A3E">
        <w:trPr>
          <w:trHeight w:val="591"/>
          <w:jc w:val="center"/>
        </w:trPr>
        <w:tc>
          <w:tcPr>
            <w:tcW w:w="1521" w:type="dxa"/>
            <w:hideMark/>
          </w:tcPr>
          <w:p w14:paraId="13792A1B" w14:textId="77777777" w:rsidR="006879D0" w:rsidRPr="007245B0" w:rsidRDefault="006879D0" w:rsidP="006879D0">
            <w:pPr>
              <w:pStyle w:val="NoSpacing"/>
              <w:rPr>
                <w:rFonts w:ascii="Times New Roman" w:hAnsi="Times New Roman" w:cs="Times New Roman"/>
                <w:szCs w:val="24"/>
              </w:rPr>
            </w:pPr>
            <w:r w:rsidRPr="007245B0">
              <w:rPr>
                <w:rFonts w:ascii="Times New Roman" w:hAnsi="Times New Roman" w:cs="Times New Roman"/>
                <w:szCs w:val="24"/>
              </w:rPr>
              <w:t>Madhya Pradesh</w:t>
            </w:r>
          </w:p>
        </w:tc>
        <w:tc>
          <w:tcPr>
            <w:tcW w:w="1339" w:type="dxa"/>
            <w:hideMark/>
          </w:tcPr>
          <w:p w14:paraId="2A50FD51" w14:textId="77777777" w:rsidR="006879D0" w:rsidRPr="007245B0" w:rsidRDefault="006879D0" w:rsidP="008E2A3E">
            <w:pPr>
              <w:pStyle w:val="NoSpacing"/>
              <w:jc w:val="center"/>
              <w:rPr>
                <w:rFonts w:ascii="Times New Roman" w:hAnsi="Times New Roman" w:cs="Times New Roman"/>
                <w:szCs w:val="24"/>
              </w:rPr>
            </w:pPr>
            <w:r w:rsidRPr="007245B0">
              <w:rPr>
                <w:rFonts w:ascii="Times New Roman" w:hAnsi="Times New Roman" w:cs="Times New Roman"/>
                <w:szCs w:val="24"/>
              </w:rPr>
              <w:t>323.72</w:t>
            </w:r>
          </w:p>
        </w:tc>
        <w:tc>
          <w:tcPr>
            <w:tcW w:w="1339" w:type="dxa"/>
            <w:hideMark/>
          </w:tcPr>
          <w:p w14:paraId="0012C60D" w14:textId="77777777" w:rsidR="006879D0" w:rsidRPr="007245B0" w:rsidRDefault="006879D0" w:rsidP="008E2A3E">
            <w:pPr>
              <w:pStyle w:val="NoSpacing"/>
              <w:jc w:val="center"/>
              <w:rPr>
                <w:rFonts w:ascii="Times New Roman" w:hAnsi="Times New Roman" w:cs="Times New Roman"/>
                <w:szCs w:val="24"/>
              </w:rPr>
            </w:pPr>
            <w:r w:rsidRPr="007245B0">
              <w:rPr>
                <w:rFonts w:ascii="Times New Roman" w:hAnsi="Times New Roman" w:cs="Times New Roman"/>
                <w:szCs w:val="24"/>
              </w:rPr>
              <w:t>46.27</w:t>
            </w:r>
          </w:p>
        </w:tc>
        <w:tc>
          <w:tcPr>
            <w:tcW w:w="1339" w:type="dxa"/>
            <w:hideMark/>
          </w:tcPr>
          <w:p w14:paraId="6B4487FC" w14:textId="77777777" w:rsidR="006879D0" w:rsidRPr="007245B0" w:rsidRDefault="006879D0" w:rsidP="008E2A3E">
            <w:pPr>
              <w:pStyle w:val="NoSpacing"/>
              <w:jc w:val="center"/>
              <w:rPr>
                <w:rFonts w:ascii="Times New Roman" w:hAnsi="Times New Roman" w:cs="Times New Roman"/>
                <w:szCs w:val="24"/>
              </w:rPr>
            </w:pPr>
            <w:r w:rsidRPr="007245B0">
              <w:rPr>
                <w:rFonts w:ascii="Times New Roman" w:hAnsi="Times New Roman" w:cs="Times New Roman"/>
                <w:szCs w:val="24"/>
              </w:rPr>
              <w:t>277.45</w:t>
            </w:r>
          </w:p>
        </w:tc>
        <w:tc>
          <w:tcPr>
            <w:tcW w:w="1423" w:type="dxa"/>
            <w:hideMark/>
          </w:tcPr>
          <w:p w14:paraId="3F21AF48" w14:textId="77777777" w:rsidR="006879D0" w:rsidRPr="007245B0" w:rsidRDefault="006879D0" w:rsidP="008E2A3E">
            <w:pPr>
              <w:pStyle w:val="NoSpacing"/>
              <w:jc w:val="center"/>
              <w:rPr>
                <w:rFonts w:ascii="Times New Roman" w:hAnsi="Times New Roman" w:cs="Times New Roman"/>
                <w:szCs w:val="24"/>
              </w:rPr>
            </w:pPr>
            <w:r w:rsidRPr="007245B0">
              <w:rPr>
                <w:rFonts w:ascii="Times New Roman" w:hAnsi="Times New Roman" w:cs="Times New Roman"/>
                <w:szCs w:val="24"/>
              </w:rPr>
              <w:t>14.3</w:t>
            </w:r>
          </w:p>
        </w:tc>
        <w:tc>
          <w:tcPr>
            <w:tcW w:w="1339" w:type="dxa"/>
            <w:hideMark/>
          </w:tcPr>
          <w:p w14:paraId="0A4E3174" w14:textId="77777777" w:rsidR="006879D0" w:rsidRPr="007245B0" w:rsidRDefault="006879D0" w:rsidP="008E2A3E">
            <w:pPr>
              <w:pStyle w:val="NoSpacing"/>
              <w:jc w:val="center"/>
              <w:rPr>
                <w:rFonts w:ascii="Times New Roman" w:hAnsi="Times New Roman" w:cs="Times New Roman"/>
                <w:szCs w:val="24"/>
              </w:rPr>
            </w:pPr>
            <w:r w:rsidRPr="007245B0">
              <w:rPr>
                <w:rFonts w:ascii="Times New Roman" w:hAnsi="Times New Roman" w:cs="Times New Roman"/>
                <w:szCs w:val="24"/>
              </w:rPr>
              <w:t>85.7</w:t>
            </w:r>
          </w:p>
        </w:tc>
        <w:tc>
          <w:tcPr>
            <w:tcW w:w="1405" w:type="dxa"/>
            <w:hideMark/>
          </w:tcPr>
          <w:p w14:paraId="74CBEFE0" w14:textId="77777777" w:rsidR="006879D0" w:rsidRPr="007245B0" w:rsidRDefault="006879D0" w:rsidP="008E2A3E">
            <w:pPr>
              <w:pStyle w:val="NoSpacing"/>
              <w:jc w:val="center"/>
              <w:rPr>
                <w:rFonts w:ascii="Times New Roman" w:hAnsi="Times New Roman" w:cs="Times New Roman"/>
                <w:szCs w:val="24"/>
              </w:rPr>
            </w:pPr>
            <w:r w:rsidRPr="007245B0">
              <w:rPr>
                <w:rFonts w:ascii="Times New Roman" w:hAnsi="Times New Roman" w:cs="Times New Roman"/>
                <w:szCs w:val="24"/>
              </w:rPr>
              <w:t>6.1</w:t>
            </w:r>
          </w:p>
        </w:tc>
        <w:tc>
          <w:tcPr>
            <w:tcW w:w="1830" w:type="dxa"/>
            <w:hideMark/>
          </w:tcPr>
          <w:p w14:paraId="4EBE622E" w14:textId="77777777" w:rsidR="006879D0" w:rsidRPr="007245B0" w:rsidRDefault="006879D0" w:rsidP="008E2A3E">
            <w:pPr>
              <w:pStyle w:val="NoSpacing"/>
              <w:jc w:val="center"/>
              <w:rPr>
                <w:rFonts w:ascii="Times New Roman" w:hAnsi="Times New Roman" w:cs="Times New Roman"/>
                <w:szCs w:val="24"/>
              </w:rPr>
            </w:pPr>
            <w:r w:rsidRPr="007245B0">
              <w:rPr>
                <w:rFonts w:ascii="Times New Roman" w:hAnsi="Times New Roman" w:cs="Times New Roman"/>
                <w:szCs w:val="24"/>
              </w:rPr>
              <w:t>7.8</w:t>
            </w:r>
          </w:p>
        </w:tc>
      </w:tr>
      <w:tr w:rsidR="006879D0" w:rsidRPr="007245B0" w14:paraId="51106AD9" w14:textId="77777777" w:rsidTr="008E2A3E">
        <w:trPr>
          <w:trHeight w:val="292"/>
          <w:jc w:val="center"/>
        </w:trPr>
        <w:tc>
          <w:tcPr>
            <w:tcW w:w="1521" w:type="dxa"/>
            <w:hideMark/>
          </w:tcPr>
          <w:p w14:paraId="5F346C72" w14:textId="77777777" w:rsidR="006879D0" w:rsidRPr="007245B0" w:rsidRDefault="006879D0" w:rsidP="006879D0">
            <w:pPr>
              <w:pStyle w:val="NoSpacing"/>
              <w:rPr>
                <w:rFonts w:ascii="Times New Roman" w:hAnsi="Times New Roman" w:cs="Times New Roman"/>
                <w:szCs w:val="24"/>
              </w:rPr>
            </w:pPr>
            <w:r w:rsidRPr="007245B0">
              <w:rPr>
                <w:rFonts w:ascii="Times New Roman" w:hAnsi="Times New Roman" w:cs="Times New Roman"/>
                <w:szCs w:val="24"/>
              </w:rPr>
              <w:t>Maharashtra</w:t>
            </w:r>
          </w:p>
        </w:tc>
        <w:tc>
          <w:tcPr>
            <w:tcW w:w="1339" w:type="dxa"/>
            <w:hideMark/>
          </w:tcPr>
          <w:p w14:paraId="7931360A" w14:textId="77777777" w:rsidR="006879D0" w:rsidRPr="007245B0" w:rsidRDefault="006879D0" w:rsidP="008E2A3E">
            <w:pPr>
              <w:pStyle w:val="NoSpacing"/>
              <w:jc w:val="center"/>
              <w:rPr>
                <w:rFonts w:ascii="Times New Roman" w:hAnsi="Times New Roman" w:cs="Times New Roman"/>
                <w:szCs w:val="24"/>
              </w:rPr>
            </w:pPr>
            <w:r w:rsidRPr="007245B0">
              <w:rPr>
                <w:rFonts w:ascii="Times New Roman" w:hAnsi="Times New Roman" w:cs="Times New Roman"/>
                <w:szCs w:val="24"/>
              </w:rPr>
              <w:t>395.54</w:t>
            </w:r>
          </w:p>
        </w:tc>
        <w:tc>
          <w:tcPr>
            <w:tcW w:w="1339" w:type="dxa"/>
            <w:hideMark/>
          </w:tcPr>
          <w:p w14:paraId="6FF31BA9" w14:textId="77777777" w:rsidR="006879D0" w:rsidRPr="007245B0" w:rsidRDefault="006879D0" w:rsidP="008E2A3E">
            <w:pPr>
              <w:pStyle w:val="NoSpacing"/>
              <w:jc w:val="center"/>
              <w:rPr>
                <w:rFonts w:ascii="Times New Roman" w:hAnsi="Times New Roman" w:cs="Times New Roman"/>
                <w:szCs w:val="24"/>
              </w:rPr>
            </w:pPr>
            <w:r w:rsidRPr="007245B0">
              <w:rPr>
                <w:rFonts w:ascii="Times New Roman" w:hAnsi="Times New Roman" w:cs="Times New Roman"/>
                <w:szCs w:val="24"/>
              </w:rPr>
              <w:t>111.63</w:t>
            </w:r>
          </w:p>
        </w:tc>
        <w:tc>
          <w:tcPr>
            <w:tcW w:w="1339" w:type="dxa"/>
            <w:hideMark/>
          </w:tcPr>
          <w:p w14:paraId="5C791050" w14:textId="77777777" w:rsidR="006879D0" w:rsidRPr="007245B0" w:rsidRDefault="006879D0" w:rsidP="008E2A3E">
            <w:pPr>
              <w:pStyle w:val="NoSpacing"/>
              <w:jc w:val="center"/>
              <w:rPr>
                <w:rFonts w:ascii="Times New Roman" w:hAnsi="Times New Roman" w:cs="Times New Roman"/>
                <w:szCs w:val="24"/>
              </w:rPr>
            </w:pPr>
            <w:r w:rsidRPr="007245B0">
              <w:rPr>
                <w:rFonts w:ascii="Times New Roman" w:hAnsi="Times New Roman" w:cs="Times New Roman"/>
                <w:szCs w:val="24"/>
              </w:rPr>
              <w:t>283.91</w:t>
            </w:r>
          </w:p>
        </w:tc>
        <w:tc>
          <w:tcPr>
            <w:tcW w:w="1423" w:type="dxa"/>
            <w:hideMark/>
          </w:tcPr>
          <w:p w14:paraId="2B73B8E3" w14:textId="77777777" w:rsidR="006879D0" w:rsidRPr="007245B0" w:rsidRDefault="006879D0" w:rsidP="008E2A3E">
            <w:pPr>
              <w:pStyle w:val="NoSpacing"/>
              <w:jc w:val="center"/>
              <w:rPr>
                <w:rFonts w:ascii="Times New Roman" w:hAnsi="Times New Roman" w:cs="Times New Roman"/>
                <w:szCs w:val="24"/>
              </w:rPr>
            </w:pPr>
            <w:r w:rsidRPr="007245B0">
              <w:rPr>
                <w:rFonts w:ascii="Times New Roman" w:hAnsi="Times New Roman" w:cs="Times New Roman"/>
                <w:szCs w:val="24"/>
              </w:rPr>
              <w:t>28.2</w:t>
            </w:r>
          </w:p>
        </w:tc>
        <w:tc>
          <w:tcPr>
            <w:tcW w:w="1339" w:type="dxa"/>
            <w:hideMark/>
          </w:tcPr>
          <w:p w14:paraId="11889E8E" w14:textId="77777777" w:rsidR="006879D0" w:rsidRPr="007245B0" w:rsidRDefault="006879D0" w:rsidP="008E2A3E">
            <w:pPr>
              <w:pStyle w:val="NoSpacing"/>
              <w:jc w:val="center"/>
              <w:rPr>
                <w:rFonts w:ascii="Times New Roman" w:hAnsi="Times New Roman" w:cs="Times New Roman"/>
                <w:szCs w:val="24"/>
              </w:rPr>
            </w:pPr>
            <w:r w:rsidRPr="007245B0">
              <w:rPr>
                <w:rFonts w:ascii="Times New Roman" w:hAnsi="Times New Roman" w:cs="Times New Roman"/>
                <w:szCs w:val="24"/>
              </w:rPr>
              <w:t>71.8</w:t>
            </w:r>
          </w:p>
        </w:tc>
        <w:tc>
          <w:tcPr>
            <w:tcW w:w="1405" w:type="dxa"/>
            <w:hideMark/>
          </w:tcPr>
          <w:p w14:paraId="41376901" w14:textId="77777777" w:rsidR="006879D0" w:rsidRPr="007245B0" w:rsidRDefault="006879D0" w:rsidP="008E2A3E">
            <w:pPr>
              <w:pStyle w:val="NoSpacing"/>
              <w:jc w:val="center"/>
              <w:rPr>
                <w:rFonts w:ascii="Times New Roman" w:hAnsi="Times New Roman" w:cs="Times New Roman"/>
                <w:szCs w:val="24"/>
              </w:rPr>
            </w:pPr>
            <w:r w:rsidRPr="007245B0">
              <w:rPr>
                <w:rFonts w:ascii="Times New Roman" w:hAnsi="Times New Roman" w:cs="Times New Roman"/>
                <w:szCs w:val="24"/>
              </w:rPr>
              <w:t>14.7</w:t>
            </w:r>
          </w:p>
        </w:tc>
        <w:tc>
          <w:tcPr>
            <w:tcW w:w="1830" w:type="dxa"/>
            <w:hideMark/>
          </w:tcPr>
          <w:p w14:paraId="05C426C8" w14:textId="77777777" w:rsidR="006879D0" w:rsidRPr="007245B0" w:rsidRDefault="006879D0" w:rsidP="008E2A3E">
            <w:pPr>
              <w:pStyle w:val="NoSpacing"/>
              <w:jc w:val="center"/>
              <w:rPr>
                <w:rFonts w:ascii="Times New Roman" w:hAnsi="Times New Roman" w:cs="Times New Roman"/>
                <w:szCs w:val="24"/>
              </w:rPr>
            </w:pPr>
            <w:r w:rsidRPr="007245B0">
              <w:rPr>
                <w:rFonts w:ascii="Times New Roman" w:hAnsi="Times New Roman" w:cs="Times New Roman"/>
                <w:szCs w:val="24"/>
              </w:rPr>
              <w:t>8.0</w:t>
            </w:r>
          </w:p>
        </w:tc>
      </w:tr>
      <w:tr w:rsidR="006879D0" w:rsidRPr="007245B0" w14:paraId="5E94D651" w14:textId="77777777" w:rsidTr="008E2A3E">
        <w:trPr>
          <w:trHeight w:val="306"/>
          <w:jc w:val="center"/>
        </w:trPr>
        <w:tc>
          <w:tcPr>
            <w:tcW w:w="1521" w:type="dxa"/>
            <w:hideMark/>
          </w:tcPr>
          <w:p w14:paraId="7DDFD667" w14:textId="77777777" w:rsidR="006879D0" w:rsidRPr="007245B0" w:rsidRDefault="006879D0" w:rsidP="006879D0">
            <w:pPr>
              <w:pStyle w:val="NoSpacing"/>
              <w:rPr>
                <w:rFonts w:ascii="Times New Roman" w:hAnsi="Times New Roman" w:cs="Times New Roman"/>
                <w:szCs w:val="24"/>
              </w:rPr>
            </w:pPr>
            <w:r w:rsidRPr="007245B0">
              <w:rPr>
                <w:rFonts w:ascii="Times New Roman" w:hAnsi="Times New Roman" w:cs="Times New Roman"/>
                <w:szCs w:val="24"/>
              </w:rPr>
              <w:t>Mysore</w:t>
            </w:r>
          </w:p>
        </w:tc>
        <w:tc>
          <w:tcPr>
            <w:tcW w:w="1339" w:type="dxa"/>
            <w:hideMark/>
          </w:tcPr>
          <w:p w14:paraId="0F3129E1" w14:textId="77777777" w:rsidR="006879D0" w:rsidRPr="007245B0" w:rsidRDefault="006879D0" w:rsidP="008E2A3E">
            <w:pPr>
              <w:pStyle w:val="NoSpacing"/>
              <w:jc w:val="center"/>
              <w:rPr>
                <w:rFonts w:ascii="Times New Roman" w:hAnsi="Times New Roman" w:cs="Times New Roman"/>
                <w:szCs w:val="24"/>
              </w:rPr>
            </w:pPr>
            <w:r w:rsidRPr="007245B0">
              <w:rPr>
                <w:rFonts w:ascii="Times New Roman" w:hAnsi="Times New Roman" w:cs="Times New Roman"/>
                <w:szCs w:val="24"/>
              </w:rPr>
              <w:t>235.87</w:t>
            </w:r>
          </w:p>
        </w:tc>
        <w:tc>
          <w:tcPr>
            <w:tcW w:w="1339" w:type="dxa"/>
            <w:hideMark/>
          </w:tcPr>
          <w:p w14:paraId="6C2044F9" w14:textId="77777777" w:rsidR="006879D0" w:rsidRPr="007245B0" w:rsidRDefault="006879D0" w:rsidP="008E2A3E">
            <w:pPr>
              <w:pStyle w:val="NoSpacing"/>
              <w:jc w:val="center"/>
              <w:rPr>
                <w:rFonts w:ascii="Times New Roman" w:hAnsi="Times New Roman" w:cs="Times New Roman"/>
                <w:szCs w:val="24"/>
              </w:rPr>
            </w:pPr>
            <w:r w:rsidRPr="007245B0">
              <w:rPr>
                <w:rFonts w:ascii="Times New Roman" w:hAnsi="Times New Roman" w:cs="Times New Roman"/>
                <w:szCs w:val="24"/>
              </w:rPr>
              <w:t>52.67</w:t>
            </w:r>
          </w:p>
        </w:tc>
        <w:tc>
          <w:tcPr>
            <w:tcW w:w="1339" w:type="dxa"/>
            <w:hideMark/>
          </w:tcPr>
          <w:p w14:paraId="2D02F30D" w14:textId="77777777" w:rsidR="006879D0" w:rsidRPr="007245B0" w:rsidRDefault="006879D0" w:rsidP="008E2A3E">
            <w:pPr>
              <w:pStyle w:val="NoSpacing"/>
              <w:jc w:val="center"/>
              <w:rPr>
                <w:rFonts w:ascii="Times New Roman" w:hAnsi="Times New Roman" w:cs="Times New Roman"/>
                <w:szCs w:val="24"/>
              </w:rPr>
            </w:pPr>
            <w:r w:rsidRPr="007245B0">
              <w:rPr>
                <w:rFonts w:ascii="Times New Roman" w:hAnsi="Times New Roman" w:cs="Times New Roman"/>
                <w:szCs w:val="24"/>
              </w:rPr>
              <w:t>183.20</w:t>
            </w:r>
          </w:p>
        </w:tc>
        <w:tc>
          <w:tcPr>
            <w:tcW w:w="1423" w:type="dxa"/>
            <w:hideMark/>
          </w:tcPr>
          <w:p w14:paraId="65331775" w14:textId="77777777" w:rsidR="006879D0" w:rsidRPr="007245B0" w:rsidRDefault="006879D0" w:rsidP="008E2A3E">
            <w:pPr>
              <w:pStyle w:val="NoSpacing"/>
              <w:jc w:val="center"/>
              <w:rPr>
                <w:rFonts w:ascii="Times New Roman" w:hAnsi="Times New Roman" w:cs="Times New Roman"/>
                <w:szCs w:val="24"/>
              </w:rPr>
            </w:pPr>
            <w:r w:rsidRPr="007245B0">
              <w:rPr>
                <w:rFonts w:ascii="Times New Roman" w:hAnsi="Times New Roman" w:cs="Times New Roman"/>
                <w:szCs w:val="24"/>
              </w:rPr>
              <w:t>22.3</w:t>
            </w:r>
          </w:p>
        </w:tc>
        <w:tc>
          <w:tcPr>
            <w:tcW w:w="1339" w:type="dxa"/>
            <w:hideMark/>
          </w:tcPr>
          <w:p w14:paraId="7417C642" w14:textId="77777777" w:rsidR="006879D0" w:rsidRPr="007245B0" w:rsidRDefault="006879D0" w:rsidP="008E2A3E">
            <w:pPr>
              <w:pStyle w:val="NoSpacing"/>
              <w:jc w:val="center"/>
              <w:rPr>
                <w:rFonts w:ascii="Times New Roman" w:hAnsi="Times New Roman" w:cs="Times New Roman"/>
                <w:szCs w:val="24"/>
              </w:rPr>
            </w:pPr>
            <w:r w:rsidRPr="007245B0">
              <w:rPr>
                <w:rFonts w:ascii="Times New Roman" w:hAnsi="Times New Roman" w:cs="Times New Roman"/>
                <w:szCs w:val="24"/>
              </w:rPr>
              <w:t>77.7</w:t>
            </w:r>
          </w:p>
        </w:tc>
        <w:tc>
          <w:tcPr>
            <w:tcW w:w="1405" w:type="dxa"/>
            <w:hideMark/>
          </w:tcPr>
          <w:p w14:paraId="4F1DBB40" w14:textId="77777777" w:rsidR="006879D0" w:rsidRPr="007245B0" w:rsidRDefault="006879D0" w:rsidP="008E2A3E">
            <w:pPr>
              <w:pStyle w:val="NoSpacing"/>
              <w:jc w:val="center"/>
              <w:rPr>
                <w:rFonts w:ascii="Times New Roman" w:hAnsi="Times New Roman" w:cs="Times New Roman"/>
                <w:szCs w:val="24"/>
              </w:rPr>
            </w:pPr>
            <w:r w:rsidRPr="007245B0">
              <w:rPr>
                <w:rFonts w:ascii="Times New Roman" w:hAnsi="Times New Roman" w:cs="Times New Roman"/>
                <w:szCs w:val="24"/>
              </w:rPr>
              <w:t>6.9</w:t>
            </w:r>
          </w:p>
        </w:tc>
        <w:tc>
          <w:tcPr>
            <w:tcW w:w="1830" w:type="dxa"/>
            <w:hideMark/>
          </w:tcPr>
          <w:p w14:paraId="42A56808" w14:textId="77777777" w:rsidR="006879D0" w:rsidRPr="007245B0" w:rsidRDefault="006879D0" w:rsidP="008E2A3E">
            <w:pPr>
              <w:pStyle w:val="NoSpacing"/>
              <w:jc w:val="center"/>
              <w:rPr>
                <w:rFonts w:ascii="Times New Roman" w:hAnsi="Times New Roman" w:cs="Times New Roman"/>
                <w:szCs w:val="24"/>
              </w:rPr>
            </w:pPr>
            <w:r w:rsidRPr="007245B0">
              <w:rPr>
                <w:rFonts w:ascii="Times New Roman" w:hAnsi="Times New Roman" w:cs="Times New Roman"/>
                <w:szCs w:val="24"/>
              </w:rPr>
              <w:t>5.2</w:t>
            </w:r>
          </w:p>
        </w:tc>
      </w:tr>
      <w:tr w:rsidR="006879D0" w:rsidRPr="007245B0" w14:paraId="2EFEA6D4" w14:textId="77777777" w:rsidTr="008E2A3E">
        <w:trPr>
          <w:trHeight w:val="292"/>
          <w:jc w:val="center"/>
        </w:trPr>
        <w:tc>
          <w:tcPr>
            <w:tcW w:w="1521" w:type="dxa"/>
            <w:hideMark/>
          </w:tcPr>
          <w:p w14:paraId="0EEED259" w14:textId="77777777" w:rsidR="006879D0" w:rsidRPr="007245B0" w:rsidRDefault="006879D0" w:rsidP="006879D0">
            <w:pPr>
              <w:pStyle w:val="NoSpacing"/>
              <w:rPr>
                <w:rFonts w:ascii="Times New Roman" w:hAnsi="Times New Roman" w:cs="Times New Roman"/>
                <w:szCs w:val="24"/>
              </w:rPr>
            </w:pPr>
            <w:r w:rsidRPr="007245B0">
              <w:rPr>
                <w:rFonts w:ascii="Times New Roman" w:hAnsi="Times New Roman" w:cs="Times New Roman"/>
                <w:szCs w:val="24"/>
              </w:rPr>
              <w:t>Nagaland</w:t>
            </w:r>
          </w:p>
        </w:tc>
        <w:tc>
          <w:tcPr>
            <w:tcW w:w="1339" w:type="dxa"/>
            <w:hideMark/>
          </w:tcPr>
          <w:p w14:paraId="7B08498A" w14:textId="77777777" w:rsidR="006879D0" w:rsidRPr="007245B0" w:rsidRDefault="006879D0" w:rsidP="008E2A3E">
            <w:pPr>
              <w:pStyle w:val="NoSpacing"/>
              <w:jc w:val="center"/>
              <w:rPr>
                <w:rFonts w:ascii="Times New Roman" w:hAnsi="Times New Roman" w:cs="Times New Roman"/>
                <w:szCs w:val="24"/>
              </w:rPr>
            </w:pPr>
            <w:r w:rsidRPr="007245B0">
              <w:rPr>
                <w:rFonts w:ascii="Times New Roman" w:hAnsi="Times New Roman" w:cs="Times New Roman"/>
                <w:szCs w:val="24"/>
              </w:rPr>
              <w:t>3.69</w:t>
            </w:r>
          </w:p>
        </w:tc>
        <w:tc>
          <w:tcPr>
            <w:tcW w:w="1339" w:type="dxa"/>
            <w:hideMark/>
          </w:tcPr>
          <w:p w14:paraId="07FA2F98" w14:textId="77777777" w:rsidR="006879D0" w:rsidRPr="007245B0" w:rsidRDefault="006879D0" w:rsidP="008E2A3E">
            <w:pPr>
              <w:pStyle w:val="NoSpacing"/>
              <w:jc w:val="center"/>
              <w:rPr>
                <w:rFonts w:ascii="Times New Roman" w:hAnsi="Times New Roman" w:cs="Times New Roman"/>
                <w:szCs w:val="24"/>
              </w:rPr>
            </w:pPr>
            <w:r w:rsidRPr="007245B0">
              <w:rPr>
                <w:rFonts w:ascii="Times New Roman" w:hAnsi="Times New Roman" w:cs="Times New Roman"/>
                <w:szCs w:val="24"/>
              </w:rPr>
              <w:t>0.19</w:t>
            </w:r>
          </w:p>
        </w:tc>
        <w:tc>
          <w:tcPr>
            <w:tcW w:w="1339" w:type="dxa"/>
            <w:hideMark/>
          </w:tcPr>
          <w:p w14:paraId="24008275" w14:textId="77777777" w:rsidR="006879D0" w:rsidRPr="007245B0" w:rsidRDefault="006879D0" w:rsidP="008E2A3E">
            <w:pPr>
              <w:pStyle w:val="NoSpacing"/>
              <w:jc w:val="center"/>
              <w:rPr>
                <w:rFonts w:ascii="Times New Roman" w:hAnsi="Times New Roman" w:cs="Times New Roman"/>
                <w:szCs w:val="24"/>
              </w:rPr>
            </w:pPr>
            <w:r w:rsidRPr="007245B0">
              <w:rPr>
                <w:rFonts w:ascii="Times New Roman" w:hAnsi="Times New Roman" w:cs="Times New Roman"/>
                <w:szCs w:val="24"/>
              </w:rPr>
              <w:t>3.50</w:t>
            </w:r>
          </w:p>
        </w:tc>
        <w:tc>
          <w:tcPr>
            <w:tcW w:w="1423" w:type="dxa"/>
            <w:hideMark/>
          </w:tcPr>
          <w:p w14:paraId="42998ABC" w14:textId="77777777" w:rsidR="006879D0" w:rsidRPr="007245B0" w:rsidRDefault="006879D0" w:rsidP="008E2A3E">
            <w:pPr>
              <w:pStyle w:val="NoSpacing"/>
              <w:jc w:val="center"/>
              <w:rPr>
                <w:rFonts w:ascii="Times New Roman" w:hAnsi="Times New Roman" w:cs="Times New Roman"/>
                <w:szCs w:val="24"/>
              </w:rPr>
            </w:pPr>
            <w:r w:rsidRPr="007245B0">
              <w:rPr>
                <w:rFonts w:ascii="Times New Roman" w:hAnsi="Times New Roman" w:cs="Times New Roman"/>
                <w:szCs w:val="24"/>
              </w:rPr>
              <w:t>5.1</w:t>
            </w:r>
          </w:p>
        </w:tc>
        <w:tc>
          <w:tcPr>
            <w:tcW w:w="1339" w:type="dxa"/>
            <w:hideMark/>
          </w:tcPr>
          <w:p w14:paraId="176C2C09" w14:textId="77777777" w:rsidR="006879D0" w:rsidRPr="007245B0" w:rsidRDefault="006879D0" w:rsidP="008E2A3E">
            <w:pPr>
              <w:pStyle w:val="NoSpacing"/>
              <w:jc w:val="center"/>
              <w:rPr>
                <w:rFonts w:ascii="Times New Roman" w:hAnsi="Times New Roman" w:cs="Times New Roman"/>
                <w:szCs w:val="24"/>
              </w:rPr>
            </w:pPr>
            <w:r w:rsidRPr="007245B0">
              <w:rPr>
                <w:rFonts w:ascii="Times New Roman" w:hAnsi="Times New Roman" w:cs="Times New Roman"/>
                <w:szCs w:val="24"/>
              </w:rPr>
              <w:t>94.9</w:t>
            </w:r>
          </w:p>
        </w:tc>
        <w:tc>
          <w:tcPr>
            <w:tcW w:w="1405" w:type="dxa"/>
            <w:hideMark/>
          </w:tcPr>
          <w:p w14:paraId="2BE211AA" w14:textId="77777777" w:rsidR="006879D0" w:rsidRPr="007245B0" w:rsidRDefault="006879D0" w:rsidP="008E2A3E">
            <w:pPr>
              <w:pStyle w:val="NoSpacing"/>
              <w:jc w:val="center"/>
              <w:rPr>
                <w:rFonts w:ascii="Times New Roman" w:hAnsi="Times New Roman" w:cs="Times New Roman"/>
                <w:szCs w:val="24"/>
              </w:rPr>
            </w:pPr>
            <w:r w:rsidRPr="007245B0">
              <w:rPr>
                <w:rFonts w:ascii="Times New Roman" w:hAnsi="Times New Roman" w:cs="Times New Roman"/>
                <w:szCs w:val="24"/>
              </w:rPr>
              <w:t>Neg.</w:t>
            </w:r>
          </w:p>
        </w:tc>
        <w:tc>
          <w:tcPr>
            <w:tcW w:w="1830" w:type="dxa"/>
            <w:hideMark/>
          </w:tcPr>
          <w:p w14:paraId="1ACC69AC" w14:textId="77777777" w:rsidR="006879D0" w:rsidRPr="007245B0" w:rsidRDefault="006879D0" w:rsidP="008E2A3E">
            <w:pPr>
              <w:pStyle w:val="NoSpacing"/>
              <w:jc w:val="center"/>
              <w:rPr>
                <w:rFonts w:ascii="Times New Roman" w:hAnsi="Times New Roman" w:cs="Times New Roman"/>
                <w:szCs w:val="24"/>
              </w:rPr>
            </w:pPr>
            <w:r w:rsidRPr="007245B0">
              <w:rPr>
                <w:rFonts w:ascii="Times New Roman" w:hAnsi="Times New Roman" w:cs="Times New Roman"/>
                <w:szCs w:val="24"/>
              </w:rPr>
              <w:t>0.1</w:t>
            </w:r>
          </w:p>
        </w:tc>
      </w:tr>
      <w:tr w:rsidR="006879D0" w:rsidRPr="007245B0" w14:paraId="4D36612B" w14:textId="77777777" w:rsidTr="008E2A3E">
        <w:trPr>
          <w:trHeight w:val="292"/>
          <w:jc w:val="center"/>
        </w:trPr>
        <w:tc>
          <w:tcPr>
            <w:tcW w:w="1521" w:type="dxa"/>
            <w:hideMark/>
          </w:tcPr>
          <w:p w14:paraId="7A52E775" w14:textId="77777777" w:rsidR="006879D0" w:rsidRPr="007245B0" w:rsidRDefault="006879D0" w:rsidP="006879D0">
            <w:pPr>
              <w:pStyle w:val="NoSpacing"/>
              <w:rPr>
                <w:rFonts w:ascii="Times New Roman" w:hAnsi="Times New Roman" w:cs="Times New Roman"/>
                <w:szCs w:val="24"/>
              </w:rPr>
            </w:pPr>
            <w:r w:rsidRPr="007245B0">
              <w:rPr>
                <w:rFonts w:ascii="Times New Roman" w:hAnsi="Times New Roman" w:cs="Times New Roman"/>
                <w:szCs w:val="24"/>
              </w:rPr>
              <w:t>Orissa</w:t>
            </w:r>
          </w:p>
        </w:tc>
        <w:tc>
          <w:tcPr>
            <w:tcW w:w="1339" w:type="dxa"/>
            <w:hideMark/>
          </w:tcPr>
          <w:p w14:paraId="5986688A" w14:textId="77777777" w:rsidR="006879D0" w:rsidRPr="007245B0" w:rsidRDefault="006879D0" w:rsidP="008E2A3E">
            <w:pPr>
              <w:pStyle w:val="NoSpacing"/>
              <w:jc w:val="center"/>
              <w:rPr>
                <w:rFonts w:ascii="Times New Roman" w:hAnsi="Times New Roman" w:cs="Times New Roman"/>
                <w:szCs w:val="24"/>
              </w:rPr>
            </w:pPr>
            <w:r w:rsidRPr="007245B0">
              <w:rPr>
                <w:rFonts w:ascii="Times New Roman" w:hAnsi="Times New Roman" w:cs="Times New Roman"/>
                <w:szCs w:val="24"/>
              </w:rPr>
              <w:t>175.49</w:t>
            </w:r>
          </w:p>
        </w:tc>
        <w:tc>
          <w:tcPr>
            <w:tcW w:w="1339" w:type="dxa"/>
            <w:hideMark/>
          </w:tcPr>
          <w:p w14:paraId="14656BD9" w14:textId="77777777" w:rsidR="006879D0" w:rsidRPr="007245B0" w:rsidRDefault="006879D0" w:rsidP="008E2A3E">
            <w:pPr>
              <w:pStyle w:val="NoSpacing"/>
              <w:jc w:val="center"/>
              <w:rPr>
                <w:rFonts w:ascii="Times New Roman" w:hAnsi="Times New Roman" w:cs="Times New Roman"/>
                <w:szCs w:val="24"/>
              </w:rPr>
            </w:pPr>
            <w:r w:rsidRPr="007245B0">
              <w:rPr>
                <w:rFonts w:ascii="Times New Roman" w:hAnsi="Times New Roman" w:cs="Times New Roman"/>
                <w:szCs w:val="24"/>
              </w:rPr>
              <w:t>11.10</w:t>
            </w:r>
          </w:p>
        </w:tc>
        <w:tc>
          <w:tcPr>
            <w:tcW w:w="1339" w:type="dxa"/>
            <w:hideMark/>
          </w:tcPr>
          <w:p w14:paraId="11E72506" w14:textId="77777777" w:rsidR="006879D0" w:rsidRPr="007245B0" w:rsidRDefault="006879D0" w:rsidP="008E2A3E">
            <w:pPr>
              <w:pStyle w:val="NoSpacing"/>
              <w:jc w:val="center"/>
              <w:rPr>
                <w:rFonts w:ascii="Times New Roman" w:hAnsi="Times New Roman" w:cs="Times New Roman"/>
                <w:szCs w:val="24"/>
              </w:rPr>
            </w:pPr>
            <w:r w:rsidRPr="007245B0">
              <w:rPr>
                <w:rFonts w:ascii="Times New Roman" w:hAnsi="Times New Roman" w:cs="Times New Roman"/>
                <w:szCs w:val="24"/>
              </w:rPr>
              <w:t>164.39</w:t>
            </w:r>
          </w:p>
        </w:tc>
        <w:tc>
          <w:tcPr>
            <w:tcW w:w="1423" w:type="dxa"/>
            <w:hideMark/>
          </w:tcPr>
          <w:p w14:paraId="6B840BB4" w14:textId="77777777" w:rsidR="006879D0" w:rsidRPr="007245B0" w:rsidRDefault="006879D0" w:rsidP="008E2A3E">
            <w:pPr>
              <w:pStyle w:val="NoSpacing"/>
              <w:jc w:val="center"/>
              <w:rPr>
                <w:rFonts w:ascii="Times New Roman" w:hAnsi="Times New Roman" w:cs="Times New Roman"/>
                <w:szCs w:val="24"/>
              </w:rPr>
            </w:pPr>
            <w:r w:rsidRPr="007245B0">
              <w:rPr>
                <w:rFonts w:ascii="Times New Roman" w:hAnsi="Times New Roman" w:cs="Times New Roman"/>
                <w:szCs w:val="24"/>
              </w:rPr>
              <w:t>6.3</w:t>
            </w:r>
          </w:p>
        </w:tc>
        <w:tc>
          <w:tcPr>
            <w:tcW w:w="1339" w:type="dxa"/>
            <w:hideMark/>
          </w:tcPr>
          <w:p w14:paraId="43C1DEE5" w14:textId="77777777" w:rsidR="006879D0" w:rsidRPr="007245B0" w:rsidRDefault="006879D0" w:rsidP="008E2A3E">
            <w:pPr>
              <w:pStyle w:val="NoSpacing"/>
              <w:jc w:val="center"/>
              <w:rPr>
                <w:rFonts w:ascii="Times New Roman" w:hAnsi="Times New Roman" w:cs="Times New Roman"/>
                <w:szCs w:val="24"/>
              </w:rPr>
            </w:pPr>
            <w:r w:rsidRPr="007245B0">
              <w:rPr>
                <w:rFonts w:ascii="Times New Roman" w:hAnsi="Times New Roman" w:cs="Times New Roman"/>
                <w:szCs w:val="24"/>
              </w:rPr>
              <w:t>93.7</w:t>
            </w:r>
          </w:p>
        </w:tc>
        <w:tc>
          <w:tcPr>
            <w:tcW w:w="1405" w:type="dxa"/>
            <w:hideMark/>
          </w:tcPr>
          <w:p w14:paraId="7F90BD3F" w14:textId="77777777" w:rsidR="006879D0" w:rsidRPr="007245B0" w:rsidRDefault="006879D0" w:rsidP="008E2A3E">
            <w:pPr>
              <w:pStyle w:val="NoSpacing"/>
              <w:jc w:val="center"/>
              <w:rPr>
                <w:rFonts w:ascii="Times New Roman" w:hAnsi="Times New Roman" w:cs="Times New Roman"/>
                <w:szCs w:val="24"/>
              </w:rPr>
            </w:pPr>
            <w:r w:rsidRPr="007245B0">
              <w:rPr>
                <w:rFonts w:ascii="Times New Roman" w:hAnsi="Times New Roman" w:cs="Times New Roman"/>
                <w:szCs w:val="24"/>
              </w:rPr>
              <w:t>1.5</w:t>
            </w:r>
          </w:p>
        </w:tc>
        <w:tc>
          <w:tcPr>
            <w:tcW w:w="1830" w:type="dxa"/>
            <w:hideMark/>
          </w:tcPr>
          <w:p w14:paraId="6EB913B8" w14:textId="77777777" w:rsidR="006879D0" w:rsidRPr="007245B0" w:rsidRDefault="006879D0" w:rsidP="008E2A3E">
            <w:pPr>
              <w:pStyle w:val="NoSpacing"/>
              <w:jc w:val="center"/>
              <w:rPr>
                <w:rFonts w:ascii="Times New Roman" w:hAnsi="Times New Roman" w:cs="Times New Roman"/>
                <w:szCs w:val="24"/>
              </w:rPr>
            </w:pPr>
            <w:r w:rsidRPr="007245B0">
              <w:rPr>
                <w:rFonts w:ascii="Times New Roman" w:hAnsi="Times New Roman" w:cs="Times New Roman"/>
                <w:szCs w:val="24"/>
              </w:rPr>
              <w:t>4.6</w:t>
            </w:r>
          </w:p>
        </w:tc>
      </w:tr>
      <w:tr w:rsidR="006879D0" w:rsidRPr="007245B0" w14:paraId="7BAF714A" w14:textId="77777777" w:rsidTr="008E2A3E">
        <w:trPr>
          <w:trHeight w:val="306"/>
          <w:jc w:val="center"/>
        </w:trPr>
        <w:tc>
          <w:tcPr>
            <w:tcW w:w="1521" w:type="dxa"/>
            <w:hideMark/>
          </w:tcPr>
          <w:p w14:paraId="3A3A9B0B" w14:textId="77777777" w:rsidR="006879D0" w:rsidRPr="007245B0" w:rsidRDefault="006879D0" w:rsidP="006879D0">
            <w:pPr>
              <w:pStyle w:val="NoSpacing"/>
              <w:rPr>
                <w:rFonts w:ascii="Times New Roman" w:hAnsi="Times New Roman" w:cs="Times New Roman"/>
                <w:szCs w:val="24"/>
              </w:rPr>
            </w:pPr>
            <w:r w:rsidRPr="007245B0">
              <w:rPr>
                <w:rFonts w:ascii="Times New Roman" w:hAnsi="Times New Roman" w:cs="Times New Roman"/>
                <w:szCs w:val="24"/>
              </w:rPr>
              <w:t>Punjab</w:t>
            </w:r>
          </w:p>
        </w:tc>
        <w:tc>
          <w:tcPr>
            <w:tcW w:w="1339" w:type="dxa"/>
            <w:hideMark/>
          </w:tcPr>
          <w:p w14:paraId="755AC877" w14:textId="77777777" w:rsidR="006879D0" w:rsidRPr="007245B0" w:rsidRDefault="006879D0" w:rsidP="008E2A3E">
            <w:pPr>
              <w:pStyle w:val="NoSpacing"/>
              <w:jc w:val="center"/>
              <w:rPr>
                <w:rFonts w:ascii="Times New Roman" w:hAnsi="Times New Roman" w:cs="Times New Roman"/>
                <w:szCs w:val="24"/>
              </w:rPr>
            </w:pPr>
            <w:r w:rsidRPr="007245B0">
              <w:rPr>
                <w:rFonts w:ascii="Times New Roman" w:hAnsi="Times New Roman" w:cs="Times New Roman"/>
                <w:szCs w:val="24"/>
              </w:rPr>
              <w:t>111.35</w:t>
            </w:r>
          </w:p>
        </w:tc>
        <w:tc>
          <w:tcPr>
            <w:tcW w:w="1339" w:type="dxa"/>
            <w:hideMark/>
          </w:tcPr>
          <w:p w14:paraId="36C96468" w14:textId="77777777" w:rsidR="006879D0" w:rsidRPr="007245B0" w:rsidRDefault="006879D0" w:rsidP="008E2A3E">
            <w:pPr>
              <w:pStyle w:val="NoSpacing"/>
              <w:jc w:val="center"/>
              <w:rPr>
                <w:rFonts w:ascii="Times New Roman" w:hAnsi="Times New Roman" w:cs="Times New Roman"/>
                <w:szCs w:val="24"/>
              </w:rPr>
            </w:pPr>
            <w:r w:rsidRPr="007245B0">
              <w:rPr>
                <w:rFonts w:ascii="Times New Roman" w:hAnsi="Times New Roman" w:cs="Times New Roman"/>
                <w:szCs w:val="24"/>
              </w:rPr>
              <w:t>25.67</w:t>
            </w:r>
          </w:p>
        </w:tc>
        <w:tc>
          <w:tcPr>
            <w:tcW w:w="1339" w:type="dxa"/>
            <w:hideMark/>
          </w:tcPr>
          <w:p w14:paraId="671DC844" w14:textId="77777777" w:rsidR="006879D0" w:rsidRPr="007245B0" w:rsidRDefault="006879D0" w:rsidP="008E2A3E">
            <w:pPr>
              <w:pStyle w:val="NoSpacing"/>
              <w:jc w:val="center"/>
              <w:rPr>
                <w:rFonts w:ascii="Times New Roman" w:hAnsi="Times New Roman" w:cs="Times New Roman"/>
                <w:szCs w:val="24"/>
              </w:rPr>
            </w:pPr>
            <w:r w:rsidRPr="007245B0">
              <w:rPr>
                <w:rFonts w:ascii="Times New Roman" w:hAnsi="Times New Roman" w:cs="Times New Roman"/>
                <w:szCs w:val="24"/>
              </w:rPr>
              <w:t>85.68</w:t>
            </w:r>
          </w:p>
        </w:tc>
        <w:tc>
          <w:tcPr>
            <w:tcW w:w="1423" w:type="dxa"/>
            <w:hideMark/>
          </w:tcPr>
          <w:p w14:paraId="7C98B469" w14:textId="77777777" w:rsidR="006879D0" w:rsidRPr="007245B0" w:rsidRDefault="006879D0" w:rsidP="008E2A3E">
            <w:pPr>
              <w:pStyle w:val="NoSpacing"/>
              <w:jc w:val="center"/>
              <w:rPr>
                <w:rFonts w:ascii="Times New Roman" w:hAnsi="Times New Roman" w:cs="Times New Roman"/>
                <w:szCs w:val="24"/>
              </w:rPr>
            </w:pPr>
            <w:r w:rsidRPr="007245B0">
              <w:rPr>
                <w:rFonts w:ascii="Times New Roman" w:hAnsi="Times New Roman" w:cs="Times New Roman"/>
                <w:szCs w:val="24"/>
              </w:rPr>
              <w:t>23.1</w:t>
            </w:r>
          </w:p>
        </w:tc>
        <w:tc>
          <w:tcPr>
            <w:tcW w:w="1339" w:type="dxa"/>
            <w:hideMark/>
          </w:tcPr>
          <w:p w14:paraId="094E2CF0" w14:textId="77777777" w:rsidR="006879D0" w:rsidRPr="007245B0" w:rsidRDefault="006879D0" w:rsidP="008E2A3E">
            <w:pPr>
              <w:pStyle w:val="NoSpacing"/>
              <w:jc w:val="center"/>
              <w:rPr>
                <w:rFonts w:ascii="Times New Roman" w:hAnsi="Times New Roman" w:cs="Times New Roman"/>
                <w:szCs w:val="24"/>
              </w:rPr>
            </w:pPr>
            <w:r w:rsidRPr="007245B0">
              <w:rPr>
                <w:rFonts w:ascii="Times New Roman" w:hAnsi="Times New Roman" w:cs="Times New Roman"/>
                <w:szCs w:val="24"/>
              </w:rPr>
              <w:t>76.9</w:t>
            </w:r>
          </w:p>
        </w:tc>
        <w:tc>
          <w:tcPr>
            <w:tcW w:w="1405" w:type="dxa"/>
            <w:hideMark/>
          </w:tcPr>
          <w:p w14:paraId="171EB25B" w14:textId="77777777" w:rsidR="006879D0" w:rsidRPr="007245B0" w:rsidRDefault="006879D0" w:rsidP="008E2A3E">
            <w:pPr>
              <w:pStyle w:val="NoSpacing"/>
              <w:jc w:val="center"/>
              <w:rPr>
                <w:rFonts w:ascii="Times New Roman" w:hAnsi="Times New Roman" w:cs="Times New Roman"/>
                <w:szCs w:val="24"/>
              </w:rPr>
            </w:pPr>
            <w:r w:rsidRPr="007245B0">
              <w:rPr>
                <w:rFonts w:ascii="Times New Roman" w:hAnsi="Times New Roman" w:cs="Times New Roman"/>
                <w:szCs w:val="24"/>
              </w:rPr>
              <w:t>3.4</w:t>
            </w:r>
          </w:p>
        </w:tc>
        <w:tc>
          <w:tcPr>
            <w:tcW w:w="1830" w:type="dxa"/>
            <w:hideMark/>
          </w:tcPr>
          <w:p w14:paraId="0FAD0542" w14:textId="77777777" w:rsidR="006879D0" w:rsidRPr="007245B0" w:rsidRDefault="006879D0" w:rsidP="008E2A3E">
            <w:pPr>
              <w:pStyle w:val="NoSpacing"/>
              <w:jc w:val="center"/>
              <w:rPr>
                <w:rFonts w:ascii="Times New Roman" w:hAnsi="Times New Roman" w:cs="Times New Roman"/>
                <w:szCs w:val="24"/>
              </w:rPr>
            </w:pPr>
            <w:r w:rsidRPr="007245B0">
              <w:rPr>
                <w:rFonts w:ascii="Times New Roman" w:hAnsi="Times New Roman" w:cs="Times New Roman"/>
                <w:szCs w:val="24"/>
              </w:rPr>
              <w:t>2.4</w:t>
            </w:r>
          </w:p>
        </w:tc>
      </w:tr>
      <w:tr w:rsidR="006879D0" w:rsidRPr="007245B0" w14:paraId="7A9B375F" w14:textId="77777777" w:rsidTr="008E2A3E">
        <w:trPr>
          <w:trHeight w:val="292"/>
          <w:jc w:val="center"/>
        </w:trPr>
        <w:tc>
          <w:tcPr>
            <w:tcW w:w="1521" w:type="dxa"/>
            <w:hideMark/>
          </w:tcPr>
          <w:p w14:paraId="149A2C8E" w14:textId="77777777" w:rsidR="006879D0" w:rsidRPr="007245B0" w:rsidRDefault="006879D0" w:rsidP="006879D0">
            <w:pPr>
              <w:pStyle w:val="NoSpacing"/>
              <w:rPr>
                <w:rFonts w:ascii="Times New Roman" w:hAnsi="Times New Roman" w:cs="Times New Roman"/>
                <w:szCs w:val="24"/>
              </w:rPr>
            </w:pPr>
            <w:r w:rsidRPr="007245B0">
              <w:rPr>
                <w:rFonts w:ascii="Times New Roman" w:hAnsi="Times New Roman" w:cs="Times New Roman"/>
                <w:szCs w:val="24"/>
              </w:rPr>
              <w:t>Rajasthan</w:t>
            </w:r>
          </w:p>
        </w:tc>
        <w:tc>
          <w:tcPr>
            <w:tcW w:w="1339" w:type="dxa"/>
            <w:hideMark/>
          </w:tcPr>
          <w:p w14:paraId="79AC030C" w14:textId="77777777" w:rsidR="006879D0" w:rsidRPr="007245B0" w:rsidRDefault="006879D0" w:rsidP="008E2A3E">
            <w:pPr>
              <w:pStyle w:val="NoSpacing"/>
              <w:jc w:val="center"/>
              <w:rPr>
                <w:rFonts w:ascii="Times New Roman" w:hAnsi="Times New Roman" w:cs="Times New Roman"/>
                <w:szCs w:val="24"/>
              </w:rPr>
            </w:pPr>
            <w:r w:rsidRPr="007245B0">
              <w:rPr>
                <w:rFonts w:ascii="Times New Roman" w:hAnsi="Times New Roman" w:cs="Times New Roman"/>
                <w:szCs w:val="24"/>
              </w:rPr>
              <w:t>201.56</w:t>
            </w:r>
          </w:p>
        </w:tc>
        <w:tc>
          <w:tcPr>
            <w:tcW w:w="1339" w:type="dxa"/>
            <w:hideMark/>
          </w:tcPr>
          <w:p w14:paraId="56FDDDCB" w14:textId="77777777" w:rsidR="006879D0" w:rsidRPr="007245B0" w:rsidRDefault="006879D0" w:rsidP="008E2A3E">
            <w:pPr>
              <w:pStyle w:val="NoSpacing"/>
              <w:jc w:val="center"/>
              <w:rPr>
                <w:rFonts w:ascii="Times New Roman" w:hAnsi="Times New Roman" w:cs="Times New Roman"/>
                <w:szCs w:val="24"/>
              </w:rPr>
            </w:pPr>
            <w:r w:rsidRPr="007245B0">
              <w:rPr>
                <w:rFonts w:ascii="Times New Roman" w:hAnsi="Times New Roman" w:cs="Times New Roman"/>
                <w:szCs w:val="24"/>
              </w:rPr>
              <w:t>32.82</w:t>
            </w:r>
          </w:p>
        </w:tc>
        <w:tc>
          <w:tcPr>
            <w:tcW w:w="1339" w:type="dxa"/>
            <w:hideMark/>
          </w:tcPr>
          <w:p w14:paraId="64328717" w14:textId="77777777" w:rsidR="006879D0" w:rsidRPr="007245B0" w:rsidRDefault="006879D0" w:rsidP="008E2A3E">
            <w:pPr>
              <w:pStyle w:val="NoSpacing"/>
              <w:jc w:val="center"/>
              <w:rPr>
                <w:rFonts w:ascii="Times New Roman" w:hAnsi="Times New Roman" w:cs="Times New Roman"/>
                <w:szCs w:val="24"/>
              </w:rPr>
            </w:pPr>
            <w:r w:rsidRPr="007245B0">
              <w:rPr>
                <w:rFonts w:ascii="Times New Roman" w:hAnsi="Times New Roman" w:cs="Times New Roman"/>
                <w:szCs w:val="24"/>
              </w:rPr>
              <w:t>168.74</w:t>
            </w:r>
          </w:p>
        </w:tc>
        <w:tc>
          <w:tcPr>
            <w:tcW w:w="1423" w:type="dxa"/>
            <w:hideMark/>
          </w:tcPr>
          <w:p w14:paraId="01756F1A" w14:textId="77777777" w:rsidR="006879D0" w:rsidRPr="007245B0" w:rsidRDefault="006879D0" w:rsidP="008E2A3E">
            <w:pPr>
              <w:pStyle w:val="NoSpacing"/>
              <w:jc w:val="center"/>
              <w:rPr>
                <w:rFonts w:ascii="Times New Roman" w:hAnsi="Times New Roman" w:cs="Times New Roman"/>
                <w:szCs w:val="24"/>
              </w:rPr>
            </w:pPr>
            <w:r w:rsidRPr="007245B0">
              <w:rPr>
                <w:rFonts w:ascii="Times New Roman" w:hAnsi="Times New Roman" w:cs="Times New Roman"/>
                <w:szCs w:val="24"/>
              </w:rPr>
              <w:t>16.3</w:t>
            </w:r>
          </w:p>
        </w:tc>
        <w:tc>
          <w:tcPr>
            <w:tcW w:w="1339" w:type="dxa"/>
            <w:hideMark/>
          </w:tcPr>
          <w:p w14:paraId="1133E196" w14:textId="77777777" w:rsidR="006879D0" w:rsidRPr="007245B0" w:rsidRDefault="006879D0" w:rsidP="008E2A3E">
            <w:pPr>
              <w:pStyle w:val="NoSpacing"/>
              <w:jc w:val="center"/>
              <w:rPr>
                <w:rFonts w:ascii="Times New Roman" w:hAnsi="Times New Roman" w:cs="Times New Roman"/>
                <w:szCs w:val="24"/>
              </w:rPr>
            </w:pPr>
            <w:r w:rsidRPr="007245B0">
              <w:rPr>
                <w:rFonts w:ascii="Times New Roman" w:hAnsi="Times New Roman" w:cs="Times New Roman"/>
                <w:szCs w:val="24"/>
              </w:rPr>
              <w:t>83.7</w:t>
            </w:r>
          </w:p>
        </w:tc>
        <w:tc>
          <w:tcPr>
            <w:tcW w:w="1405" w:type="dxa"/>
            <w:hideMark/>
          </w:tcPr>
          <w:p w14:paraId="0E61E042" w14:textId="77777777" w:rsidR="006879D0" w:rsidRPr="007245B0" w:rsidRDefault="006879D0" w:rsidP="008E2A3E">
            <w:pPr>
              <w:pStyle w:val="NoSpacing"/>
              <w:jc w:val="center"/>
              <w:rPr>
                <w:rFonts w:ascii="Times New Roman" w:hAnsi="Times New Roman" w:cs="Times New Roman"/>
                <w:szCs w:val="24"/>
              </w:rPr>
            </w:pPr>
            <w:r w:rsidRPr="007245B0">
              <w:rPr>
                <w:rFonts w:ascii="Times New Roman" w:hAnsi="Times New Roman" w:cs="Times New Roman"/>
                <w:szCs w:val="24"/>
              </w:rPr>
              <w:t>4.3</w:t>
            </w:r>
          </w:p>
        </w:tc>
        <w:tc>
          <w:tcPr>
            <w:tcW w:w="1830" w:type="dxa"/>
            <w:hideMark/>
          </w:tcPr>
          <w:p w14:paraId="5BE4FBC2" w14:textId="77777777" w:rsidR="006879D0" w:rsidRPr="007245B0" w:rsidRDefault="006879D0" w:rsidP="008E2A3E">
            <w:pPr>
              <w:pStyle w:val="NoSpacing"/>
              <w:jc w:val="center"/>
              <w:rPr>
                <w:rFonts w:ascii="Times New Roman" w:hAnsi="Times New Roman" w:cs="Times New Roman"/>
                <w:szCs w:val="24"/>
              </w:rPr>
            </w:pPr>
            <w:r w:rsidRPr="007245B0">
              <w:rPr>
                <w:rFonts w:ascii="Times New Roman" w:hAnsi="Times New Roman" w:cs="Times New Roman"/>
                <w:szCs w:val="24"/>
              </w:rPr>
              <w:t>4.8</w:t>
            </w:r>
          </w:p>
        </w:tc>
      </w:tr>
      <w:tr w:rsidR="006879D0" w:rsidRPr="007245B0" w14:paraId="15494A38" w14:textId="77777777" w:rsidTr="008E2A3E">
        <w:trPr>
          <w:trHeight w:val="280"/>
          <w:jc w:val="center"/>
        </w:trPr>
        <w:tc>
          <w:tcPr>
            <w:tcW w:w="1521" w:type="dxa"/>
            <w:hideMark/>
          </w:tcPr>
          <w:p w14:paraId="2FA843A1" w14:textId="77777777" w:rsidR="006879D0" w:rsidRPr="007245B0" w:rsidRDefault="006879D0" w:rsidP="006879D0">
            <w:pPr>
              <w:pStyle w:val="NoSpacing"/>
              <w:rPr>
                <w:rFonts w:ascii="Times New Roman" w:hAnsi="Times New Roman" w:cs="Times New Roman"/>
                <w:szCs w:val="24"/>
              </w:rPr>
            </w:pPr>
            <w:r w:rsidRPr="007245B0">
              <w:rPr>
                <w:rFonts w:ascii="Times New Roman" w:hAnsi="Times New Roman" w:cs="Times New Roman"/>
                <w:szCs w:val="24"/>
              </w:rPr>
              <w:t>Tamil Nadu</w:t>
            </w:r>
          </w:p>
        </w:tc>
        <w:tc>
          <w:tcPr>
            <w:tcW w:w="1339" w:type="dxa"/>
            <w:hideMark/>
          </w:tcPr>
          <w:p w14:paraId="653744BD" w14:textId="77777777" w:rsidR="006879D0" w:rsidRPr="007245B0" w:rsidRDefault="006879D0" w:rsidP="008E2A3E">
            <w:pPr>
              <w:pStyle w:val="NoSpacing"/>
              <w:jc w:val="center"/>
              <w:rPr>
                <w:rFonts w:ascii="Times New Roman" w:hAnsi="Times New Roman" w:cs="Times New Roman"/>
                <w:szCs w:val="24"/>
              </w:rPr>
            </w:pPr>
            <w:r w:rsidRPr="007245B0">
              <w:rPr>
                <w:rFonts w:ascii="Times New Roman" w:hAnsi="Times New Roman" w:cs="Times New Roman"/>
                <w:szCs w:val="24"/>
              </w:rPr>
              <w:t>336.87</w:t>
            </w:r>
          </w:p>
        </w:tc>
        <w:tc>
          <w:tcPr>
            <w:tcW w:w="1339" w:type="dxa"/>
            <w:hideMark/>
          </w:tcPr>
          <w:p w14:paraId="1454EAEB" w14:textId="77777777" w:rsidR="006879D0" w:rsidRPr="007245B0" w:rsidRDefault="006879D0" w:rsidP="008E2A3E">
            <w:pPr>
              <w:pStyle w:val="NoSpacing"/>
              <w:jc w:val="center"/>
              <w:rPr>
                <w:rFonts w:ascii="Times New Roman" w:hAnsi="Times New Roman" w:cs="Times New Roman"/>
                <w:szCs w:val="24"/>
              </w:rPr>
            </w:pPr>
            <w:r w:rsidRPr="007245B0">
              <w:rPr>
                <w:rFonts w:ascii="Times New Roman" w:hAnsi="Times New Roman" w:cs="Times New Roman"/>
                <w:szCs w:val="24"/>
              </w:rPr>
              <w:t>89.91</w:t>
            </w:r>
          </w:p>
        </w:tc>
        <w:tc>
          <w:tcPr>
            <w:tcW w:w="1339" w:type="dxa"/>
            <w:hideMark/>
          </w:tcPr>
          <w:p w14:paraId="18C4EE33" w14:textId="77777777" w:rsidR="006879D0" w:rsidRPr="007245B0" w:rsidRDefault="006879D0" w:rsidP="008E2A3E">
            <w:pPr>
              <w:pStyle w:val="NoSpacing"/>
              <w:jc w:val="center"/>
              <w:rPr>
                <w:rFonts w:ascii="Times New Roman" w:hAnsi="Times New Roman" w:cs="Times New Roman"/>
                <w:szCs w:val="24"/>
              </w:rPr>
            </w:pPr>
            <w:r w:rsidRPr="007245B0">
              <w:rPr>
                <w:rFonts w:ascii="Times New Roman" w:hAnsi="Times New Roman" w:cs="Times New Roman"/>
                <w:szCs w:val="24"/>
              </w:rPr>
              <w:t>246.96</w:t>
            </w:r>
          </w:p>
        </w:tc>
        <w:tc>
          <w:tcPr>
            <w:tcW w:w="1423" w:type="dxa"/>
            <w:hideMark/>
          </w:tcPr>
          <w:p w14:paraId="55F2D02D" w14:textId="77777777" w:rsidR="006879D0" w:rsidRPr="007245B0" w:rsidRDefault="006879D0" w:rsidP="008E2A3E">
            <w:pPr>
              <w:pStyle w:val="NoSpacing"/>
              <w:jc w:val="center"/>
              <w:rPr>
                <w:rFonts w:ascii="Times New Roman" w:hAnsi="Times New Roman" w:cs="Times New Roman"/>
                <w:szCs w:val="24"/>
              </w:rPr>
            </w:pPr>
            <w:r w:rsidRPr="007245B0">
              <w:rPr>
                <w:rFonts w:ascii="Times New Roman" w:hAnsi="Times New Roman" w:cs="Times New Roman"/>
                <w:szCs w:val="24"/>
              </w:rPr>
              <w:t>26.7</w:t>
            </w:r>
          </w:p>
        </w:tc>
        <w:tc>
          <w:tcPr>
            <w:tcW w:w="1339" w:type="dxa"/>
            <w:hideMark/>
          </w:tcPr>
          <w:p w14:paraId="5F292A48" w14:textId="77777777" w:rsidR="006879D0" w:rsidRPr="007245B0" w:rsidRDefault="006879D0" w:rsidP="008E2A3E">
            <w:pPr>
              <w:pStyle w:val="NoSpacing"/>
              <w:jc w:val="center"/>
              <w:rPr>
                <w:rFonts w:ascii="Times New Roman" w:hAnsi="Times New Roman" w:cs="Times New Roman"/>
                <w:szCs w:val="24"/>
              </w:rPr>
            </w:pPr>
            <w:r w:rsidRPr="007245B0">
              <w:rPr>
                <w:rFonts w:ascii="Times New Roman" w:hAnsi="Times New Roman" w:cs="Times New Roman"/>
                <w:szCs w:val="24"/>
              </w:rPr>
              <w:t>73.3</w:t>
            </w:r>
          </w:p>
        </w:tc>
        <w:tc>
          <w:tcPr>
            <w:tcW w:w="1405" w:type="dxa"/>
            <w:hideMark/>
          </w:tcPr>
          <w:p w14:paraId="4948077D" w14:textId="77777777" w:rsidR="006879D0" w:rsidRPr="007245B0" w:rsidRDefault="006879D0" w:rsidP="008E2A3E">
            <w:pPr>
              <w:pStyle w:val="NoSpacing"/>
              <w:jc w:val="center"/>
              <w:rPr>
                <w:rFonts w:ascii="Times New Roman" w:hAnsi="Times New Roman" w:cs="Times New Roman"/>
                <w:szCs w:val="24"/>
              </w:rPr>
            </w:pPr>
            <w:r w:rsidRPr="007245B0">
              <w:rPr>
                <w:rFonts w:ascii="Times New Roman" w:hAnsi="Times New Roman" w:cs="Times New Roman"/>
                <w:szCs w:val="24"/>
              </w:rPr>
              <w:t>11.8</w:t>
            </w:r>
          </w:p>
        </w:tc>
        <w:tc>
          <w:tcPr>
            <w:tcW w:w="1830" w:type="dxa"/>
            <w:hideMark/>
          </w:tcPr>
          <w:p w14:paraId="6B541F7F" w14:textId="77777777" w:rsidR="006879D0" w:rsidRPr="007245B0" w:rsidRDefault="006879D0" w:rsidP="008E2A3E">
            <w:pPr>
              <w:pStyle w:val="NoSpacing"/>
              <w:jc w:val="center"/>
              <w:rPr>
                <w:rFonts w:ascii="Times New Roman" w:hAnsi="Times New Roman" w:cs="Times New Roman"/>
                <w:szCs w:val="24"/>
              </w:rPr>
            </w:pPr>
            <w:r w:rsidRPr="007245B0">
              <w:rPr>
                <w:rFonts w:ascii="Times New Roman" w:hAnsi="Times New Roman" w:cs="Times New Roman"/>
                <w:szCs w:val="24"/>
              </w:rPr>
              <w:t>7.0</w:t>
            </w:r>
          </w:p>
        </w:tc>
      </w:tr>
      <w:tr w:rsidR="006879D0" w:rsidRPr="007245B0" w14:paraId="774C9EF4" w14:textId="77777777" w:rsidTr="008E2A3E">
        <w:trPr>
          <w:trHeight w:val="603"/>
          <w:jc w:val="center"/>
        </w:trPr>
        <w:tc>
          <w:tcPr>
            <w:tcW w:w="1521" w:type="dxa"/>
            <w:hideMark/>
          </w:tcPr>
          <w:p w14:paraId="37B0FC38" w14:textId="77777777" w:rsidR="006879D0" w:rsidRPr="007245B0" w:rsidRDefault="006879D0" w:rsidP="006879D0">
            <w:pPr>
              <w:pStyle w:val="NoSpacing"/>
              <w:rPr>
                <w:rFonts w:ascii="Times New Roman" w:hAnsi="Times New Roman" w:cs="Times New Roman"/>
                <w:szCs w:val="24"/>
              </w:rPr>
            </w:pPr>
            <w:r w:rsidRPr="007245B0">
              <w:rPr>
                <w:rFonts w:ascii="Times New Roman" w:hAnsi="Times New Roman" w:cs="Times New Roman"/>
                <w:szCs w:val="24"/>
              </w:rPr>
              <w:t>Uttar Pradesh</w:t>
            </w:r>
          </w:p>
        </w:tc>
        <w:tc>
          <w:tcPr>
            <w:tcW w:w="1339" w:type="dxa"/>
            <w:hideMark/>
          </w:tcPr>
          <w:p w14:paraId="1BC8BAD3" w14:textId="77777777" w:rsidR="006879D0" w:rsidRPr="007245B0" w:rsidRDefault="006879D0" w:rsidP="008E2A3E">
            <w:pPr>
              <w:pStyle w:val="NoSpacing"/>
              <w:jc w:val="center"/>
              <w:rPr>
                <w:rFonts w:ascii="Times New Roman" w:hAnsi="Times New Roman" w:cs="Times New Roman"/>
                <w:szCs w:val="24"/>
              </w:rPr>
            </w:pPr>
            <w:r w:rsidRPr="007245B0">
              <w:rPr>
                <w:rFonts w:ascii="Times New Roman" w:hAnsi="Times New Roman" w:cs="Times New Roman"/>
                <w:szCs w:val="24"/>
              </w:rPr>
              <w:t>737.46</w:t>
            </w:r>
          </w:p>
        </w:tc>
        <w:tc>
          <w:tcPr>
            <w:tcW w:w="1339" w:type="dxa"/>
            <w:hideMark/>
          </w:tcPr>
          <w:p w14:paraId="7EB3F941" w14:textId="77777777" w:rsidR="006879D0" w:rsidRPr="007245B0" w:rsidRDefault="006879D0" w:rsidP="008E2A3E">
            <w:pPr>
              <w:pStyle w:val="NoSpacing"/>
              <w:jc w:val="center"/>
              <w:rPr>
                <w:rFonts w:ascii="Times New Roman" w:hAnsi="Times New Roman" w:cs="Times New Roman"/>
                <w:szCs w:val="24"/>
              </w:rPr>
            </w:pPr>
            <w:r w:rsidRPr="007245B0">
              <w:rPr>
                <w:rFonts w:ascii="Times New Roman" w:hAnsi="Times New Roman" w:cs="Times New Roman"/>
                <w:szCs w:val="24"/>
              </w:rPr>
              <w:t>94.79</w:t>
            </w:r>
          </w:p>
        </w:tc>
        <w:tc>
          <w:tcPr>
            <w:tcW w:w="1339" w:type="dxa"/>
            <w:hideMark/>
          </w:tcPr>
          <w:p w14:paraId="596E3330" w14:textId="77777777" w:rsidR="006879D0" w:rsidRPr="007245B0" w:rsidRDefault="006879D0" w:rsidP="008E2A3E">
            <w:pPr>
              <w:pStyle w:val="NoSpacing"/>
              <w:jc w:val="center"/>
              <w:rPr>
                <w:rFonts w:ascii="Times New Roman" w:hAnsi="Times New Roman" w:cs="Times New Roman"/>
                <w:szCs w:val="24"/>
              </w:rPr>
            </w:pPr>
            <w:r w:rsidRPr="007245B0">
              <w:rPr>
                <w:rFonts w:ascii="Times New Roman" w:hAnsi="Times New Roman" w:cs="Times New Roman"/>
                <w:szCs w:val="24"/>
              </w:rPr>
              <w:t>642.67</w:t>
            </w:r>
          </w:p>
        </w:tc>
        <w:tc>
          <w:tcPr>
            <w:tcW w:w="1423" w:type="dxa"/>
            <w:hideMark/>
          </w:tcPr>
          <w:p w14:paraId="73AEACF3" w14:textId="77777777" w:rsidR="006879D0" w:rsidRPr="007245B0" w:rsidRDefault="006879D0" w:rsidP="008E2A3E">
            <w:pPr>
              <w:pStyle w:val="NoSpacing"/>
              <w:jc w:val="center"/>
              <w:rPr>
                <w:rFonts w:ascii="Times New Roman" w:hAnsi="Times New Roman" w:cs="Times New Roman"/>
                <w:szCs w:val="24"/>
              </w:rPr>
            </w:pPr>
            <w:r w:rsidRPr="007245B0">
              <w:rPr>
                <w:rFonts w:ascii="Times New Roman" w:hAnsi="Times New Roman" w:cs="Times New Roman"/>
                <w:szCs w:val="24"/>
              </w:rPr>
              <w:t>12.9</w:t>
            </w:r>
          </w:p>
        </w:tc>
        <w:tc>
          <w:tcPr>
            <w:tcW w:w="1339" w:type="dxa"/>
            <w:hideMark/>
          </w:tcPr>
          <w:p w14:paraId="0F2DD16E" w14:textId="77777777" w:rsidR="006879D0" w:rsidRPr="007245B0" w:rsidRDefault="006879D0" w:rsidP="008E2A3E">
            <w:pPr>
              <w:pStyle w:val="NoSpacing"/>
              <w:jc w:val="center"/>
              <w:rPr>
                <w:rFonts w:ascii="Times New Roman" w:hAnsi="Times New Roman" w:cs="Times New Roman"/>
                <w:szCs w:val="24"/>
              </w:rPr>
            </w:pPr>
            <w:r w:rsidRPr="007245B0">
              <w:rPr>
                <w:rFonts w:ascii="Times New Roman" w:hAnsi="Times New Roman" w:cs="Times New Roman"/>
                <w:szCs w:val="24"/>
              </w:rPr>
              <w:t>87.1</w:t>
            </w:r>
          </w:p>
        </w:tc>
        <w:tc>
          <w:tcPr>
            <w:tcW w:w="1405" w:type="dxa"/>
            <w:hideMark/>
          </w:tcPr>
          <w:p w14:paraId="6BC812D8" w14:textId="77777777" w:rsidR="006879D0" w:rsidRPr="007245B0" w:rsidRDefault="006879D0" w:rsidP="008E2A3E">
            <w:pPr>
              <w:pStyle w:val="NoSpacing"/>
              <w:jc w:val="center"/>
              <w:rPr>
                <w:rFonts w:ascii="Times New Roman" w:hAnsi="Times New Roman" w:cs="Times New Roman"/>
                <w:szCs w:val="24"/>
              </w:rPr>
            </w:pPr>
            <w:r w:rsidRPr="007245B0">
              <w:rPr>
                <w:rFonts w:ascii="Times New Roman" w:hAnsi="Times New Roman" w:cs="Times New Roman"/>
                <w:szCs w:val="24"/>
              </w:rPr>
              <w:t>12.5</w:t>
            </w:r>
          </w:p>
        </w:tc>
        <w:tc>
          <w:tcPr>
            <w:tcW w:w="1830" w:type="dxa"/>
            <w:hideMark/>
          </w:tcPr>
          <w:p w14:paraId="7587D6E9" w14:textId="77777777" w:rsidR="006879D0" w:rsidRPr="007245B0" w:rsidRDefault="006879D0" w:rsidP="008E2A3E">
            <w:pPr>
              <w:pStyle w:val="NoSpacing"/>
              <w:jc w:val="center"/>
              <w:rPr>
                <w:rFonts w:ascii="Times New Roman" w:hAnsi="Times New Roman" w:cs="Times New Roman"/>
                <w:szCs w:val="24"/>
              </w:rPr>
            </w:pPr>
            <w:r w:rsidRPr="007245B0">
              <w:rPr>
                <w:rFonts w:ascii="Times New Roman" w:hAnsi="Times New Roman" w:cs="Times New Roman"/>
                <w:szCs w:val="24"/>
              </w:rPr>
              <w:t>18.1</w:t>
            </w:r>
          </w:p>
        </w:tc>
      </w:tr>
      <w:tr w:rsidR="006879D0" w:rsidRPr="007245B0" w14:paraId="1EC4486A" w14:textId="77777777" w:rsidTr="008E2A3E">
        <w:trPr>
          <w:trHeight w:val="292"/>
          <w:jc w:val="center"/>
        </w:trPr>
        <w:tc>
          <w:tcPr>
            <w:tcW w:w="1521" w:type="dxa"/>
            <w:hideMark/>
          </w:tcPr>
          <w:p w14:paraId="517AEFA6" w14:textId="77777777" w:rsidR="006879D0" w:rsidRPr="007245B0" w:rsidRDefault="006879D0" w:rsidP="006879D0">
            <w:pPr>
              <w:pStyle w:val="NoSpacing"/>
              <w:rPr>
                <w:rFonts w:ascii="Times New Roman" w:hAnsi="Times New Roman" w:cs="Times New Roman"/>
                <w:szCs w:val="24"/>
              </w:rPr>
            </w:pPr>
            <w:r w:rsidRPr="007245B0">
              <w:rPr>
                <w:rFonts w:ascii="Times New Roman" w:hAnsi="Times New Roman" w:cs="Times New Roman"/>
                <w:szCs w:val="24"/>
              </w:rPr>
              <w:t>West Bengal</w:t>
            </w:r>
          </w:p>
        </w:tc>
        <w:tc>
          <w:tcPr>
            <w:tcW w:w="1339" w:type="dxa"/>
            <w:hideMark/>
          </w:tcPr>
          <w:p w14:paraId="74489AA1" w14:textId="77777777" w:rsidR="006879D0" w:rsidRPr="007245B0" w:rsidRDefault="006879D0" w:rsidP="008E2A3E">
            <w:pPr>
              <w:pStyle w:val="NoSpacing"/>
              <w:jc w:val="center"/>
              <w:rPr>
                <w:rFonts w:ascii="Times New Roman" w:hAnsi="Times New Roman" w:cs="Times New Roman"/>
                <w:szCs w:val="24"/>
              </w:rPr>
            </w:pPr>
            <w:r w:rsidRPr="007245B0">
              <w:rPr>
                <w:rFonts w:ascii="Times New Roman" w:hAnsi="Times New Roman" w:cs="Times New Roman"/>
                <w:szCs w:val="24"/>
              </w:rPr>
              <w:t>349.26</w:t>
            </w:r>
          </w:p>
        </w:tc>
        <w:tc>
          <w:tcPr>
            <w:tcW w:w="1339" w:type="dxa"/>
            <w:hideMark/>
          </w:tcPr>
          <w:p w14:paraId="2060FED6" w14:textId="77777777" w:rsidR="006879D0" w:rsidRPr="007245B0" w:rsidRDefault="006879D0" w:rsidP="008E2A3E">
            <w:pPr>
              <w:pStyle w:val="NoSpacing"/>
              <w:jc w:val="center"/>
              <w:rPr>
                <w:rFonts w:ascii="Times New Roman" w:hAnsi="Times New Roman" w:cs="Times New Roman"/>
                <w:szCs w:val="24"/>
              </w:rPr>
            </w:pPr>
            <w:r w:rsidRPr="007245B0">
              <w:rPr>
                <w:rFonts w:ascii="Times New Roman" w:hAnsi="Times New Roman" w:cs="Times New Roman"/>
                <w:szCs w:val="24"/>
              </w:rPr>
              <w:t>85.41</w:t>
            </w:r>
          </w:p>
        </w:tc>
        <w:tc>
          <w:tcPr>
            <w:tcW w:w="1339" w:type="dxa"/>
            <w:hideMark/>
          </w:tcPr>
          <w:p w14:paraId="441D2465" w14:textId="77777777" w:rsidR="006879D0" w:rsidRPr="007245B0" w:rsidRDefault="006879D0" w:rsidP="008E2A3E">
            <w:pPr>
              <w:pStyle w:val="NoSpacing"/>
              <w:jc w:val="center"/>
              <w:rPr>
                <w:rFonts w:ascii="Times New Roman" w:hAnsi="Times New Roman" w:cs="Times New Roman"/>
                <w:szCs w:val="24"/>
              </w:rPr>
            </w:pPr>
            <w:r w:rsidRPr="007245B0">
              <w:rPr>
                <w:rFonts w:ascii="Times New Roman" w:hAnsi="Times New Roman" w:cs="Times New Roman"/>
                <w:szCs w:val="24"/>
              </w:rPr>
              <w:t>263.85</w:t>
            </w:r>
          </w:p>
        </w:tc>
        <w:tc>
          <w:tcPr>
            <w:tcW w:w="1423" w:type="dxa"/>
            <w:hideMark/>
          </w:tcPr>
          <w:p w14:paraId="2D0A0990" w14:textId="77777777" w:rsidR="006879D0" w:rsidRPr="007245B0" w:rsidRDefault="006879D0" w:rsidP="008E2A3E">
            <w:pPr>
              <w:pStyle w:val="NoSpacing"/>
              <w:jc w:val="center"/>
              <w:rPr>
                <w:rFonts w:ascii="Times New Roman" w:hAnsi="Times New Roman" w:cs="Times New Roman"/>
                <w:szCs w:val="24"/>
              </w:rPr>
            </w:pPr>
            <w:r w:rsidRPr="007245B0">
              <w:rPr>
                <w:rFonts w:ascii="Times New Roman" w:hAnsi="Times New Roman" w:cs="Times New Roman"/>
                <w:szCs w:val="24"/>
              </w:rPr>
              <w:t>24.5</w:t>
            </w:r>
          </w:p>
        </w:tc>
        <w:tc>
          <w:tcPr>
            <w:tcW w:w="1339" w:type="dxa"/>
            <w:hideMark/>
          </w:tcPr>
          <w:p w14:paraId="751DAF1A" w14:textId="77777777" w:rsidR="006879D0" w:rsidRPr="007245B0" w:rsidRDefault="006879D0" w:rsidP="008E2A3E">
            <w:pPr>
              <w:pStyle w:val="NoSpacing"/>
              <w:jc w:val="center"/>
              <w:rPr>
                <w:rFonts w:ascii="Times New Roman" w:hAnsi="Times New Roman" w:cs="Times New Roman"/>
                <w:szCs w:val="24"/>
              </w:rPr>
            </w:pPr>
            <w:r w:rsidRPr="007245B0">
              <w:rPr>
                <w:rFonts w:ascii="Times New Roman" w:hAnsi="Times New Roman" w:cs="Times New Roman"/>
                <w:szCs w:val="24"/>
              </w:rPr>
              <w:t>75.5</w:t>
            </w:r>
          </w:p>
        </w:tc>
        <w:tc>
          <w:tcPr>
            <w:tcW w:w="1405" w:type="dxa"/>
            <w:hideMark/>
          </w:tcPr>
          <w:p w14:paraId="0ED377D4" w14:textId="77777777" w:rsidR="006879D0" w:rsidRPr="007245B0" w:rsidRDefault="006879D0" w:rsidP="008E2A3E">
            <w:pPr>
              <w:pStyle w:val="NoSpacing"/>
              <w:jc w:val="center"/>
              <w:rPr>
                <w:rFonts w:ascii="Times New Roman" w:hAnsi="Times New Roman" w:cs="Times New Roman"/>
                <w:szCs w:val="24"/>
              </w:rPr>
            </w:pPr>
            <w:r w:rsidRPr="007245B0">
              <w:rPr>
                <w:rFonts w:ascii="Times New Roman" w:hAnsi="Times New Roman" w:cs="Times New Roman"/>
                <w:szCs w:val="24"/>
              </w:rPr>
              <w:t>11.2</w:t>
            </w:r>
          </w:p>
        </w:tc>
        <w:tc>
          <w:tcPr>
            <w:tcW w:w="1830" w:type="dxa"/>
            <w:hideMark/>
          </w:tcPr>
          <w:p w14:paraId="61A8AB66" w14:textId="77777777" w:rsidR="006879D0" w:rsidRPr="007245B0" w:rsidRDefault="006879D0" w:rsidP="008E2A3E">
            <w:pPr>
              <w:pStyle w:val="NoSpacing"/>
              <w:jc w:val="center"/>
              <w:rPr>
                <w:rFonts w:ascii="Times New Roman" w:hAnsi="Times New Roman" w:cs="Times New Roman"/>
                <w:szCs w:val="24"/>
              </w:rPr>
            </w:pPr>
            <w:r w:rsidRPr="007245B0">
              <w:rPr>
                <w:rFonts w:ascii="Times New Roman" w:hAnsi="Times New Roman" w:cs="Times New Roman"/>
                <w:szCs w:val="24"/>
              </w:rPr>
              <w:t>7.5</w:t>
            </w:r>
          </w:p>
        </w:tc>
      </w:tr>
      <w:tr w:rsidR="006879D0" w:rsidRPr="007245B0" w14:paraId="7AD5896C" w14:textId="77777777" w:rsidTr="008E2A3E">
        <w:trPr>
          <w:trHeight w:val="292"/>
          <w:jc w:val="center"/>
        </w:trPr>
        <w:tc>
          <w:tcPr>
            <w:tcW w:w="1521" w:type="dxa"/>
            <w:hideMark/>
          </w:tcPr>
          <w:p w14:paraId="6B1AD49C" w14:textId="77777777" w:rsidR="006879D0" w:rsidRPr="007245B0" w:rsidRDefault="006879D0" w:rsidP="006879D0">
            <w:pPr>
              <w:pStyle w:val="NoSpacing"/>
              <w:rPr>
                <w:rFonts w:ascii="Times New Roman" w:hAnsi="Times New Roman" w:cs="Times New Roman"/>
                <w:szCs w:val="24"/>
              </w:rPr>
            </w:pPr>
            <w:r w:rsidRPr="007245B0">
              <w:rPr>
                <w:rFonts w:ascii="Times New Roman" w:hAnsi="Times New Roman" w:cs="Times New Roman"/>
                <w:szCs w:val="24"/>
              </w:rPr>
              <w:t>All States</w:t>
            </w:r>
          </w:p>
        </w:tc>
        <w:tc>
          <w:tcPr>
            <w:tcW w:w="1339" w:type="dxa"/>
            <w:hideMark/>
          </w:tcPr>
          <w:p w14:paraId="7F5B5729" w14:textId="77777777" w:rsidR="006879D0" w:rsidRPr="007245B0" w:rsidRDefault="006879D0" w:rsidP="008E2A3E">
            <w:pPr>
              <w:pStyle w:val="NoSpacing"/>
              <w:jc w:val="center"/>
              <w:rPr>
                <w:rFonts w:ascii="Times New Roman" w:hAnsi="Times New Roman" w:cs="Times New Roman"/>
                <w:szCs w:val="24"/>
              </w:rPr>
            </w:pPr>
            <w:r w:rsidRPr="007245B0">
              <w:rPr>
                <w:rFonts w:ascii="Times New Roman" w:hAnsi="Times New Roman" w:cs="Times New Roman"/>
                <w:szCs w:val="24"/>
              </w:rPr>
              <w:t>4300.81</w:t>
            </w:r>
          </w:p>
        </w:tc>
        <w:tc>
          <w:tcPr>
            <w:tcW w:w="1339" w:type="dxa"/>
            <w:hideMark/>
          </w:tcPr>
          <w:p w14:paraId="6E2BAEB6" w14:textId="77777777" w:rsidR="006879D0" w:rsidRPr="007245B0" w:rsidRDefault="006879D0" w:rsidP="008E2A3E">
            <w:pPr>
              <w:pStyle w:val="NoSpacing"/>
              <w:jc w:val="center"/>
              <w:rPr>
                <w:rFonts w:ascii="Times New Roman" w:hAnsi="Times New Roman" w:cs="Times New Roman"/>
                <w:szCs w:val="24"/>
              </w:rPr>
            </w:pPr>
            <w:r w:rsidRPr="007245B0">
              <w:rPr>
                <w:rFonts w:ascii="Times New Roman" w:hAnsi="Times New Roman" w:cs="Times New Roman"/>
                <w:szCs w:val="24"/>
              </w:rPr>
              <w:t>759.17</w:t>
            </w:r>
          </w:p>
        </w:tc>
        <w:tc>
          <w:tcPr>
            <w:tcW w:w="1339" w:type="dxa"/>
            <w:hideMark/>
          </w:tcPr>
          <w:p w14:paraId="1CDA6ED6" w14:textId="77777777" w:rsidR="006879D0" w:rsidRPr="007245B0" w:rsidRDefault="006879D0" w:rsidP="008E2A3E">
            <w:pPr>
              <w:pStyle w:val="NoSpacing"/>
              <w:jc w:val="center"/>
              <w:rPr>
                <w:rFonts w:ascii="Times New Roman" w:hAnsi="Times New Roman" w:cs="Times New Roman"/>
                <w:szCs w:val="24"/>
              </w:rPr>
            </w:pPr>
            <w:r w:rsidRPr="007245B0">
              <w:rPr>
                <w:rFonts w:ascii="Times New Roman" w:hAnsi="Times New Roman" w:cs="Times New Roman"/>
                <w:szCs w:val="24"/>
              </w:rPr>
              <w:t>3541.64</w:t>
            </w:r>
          </w:p>
        </w:tc>
        <w:tc>
          <w:tcPr>
            <w:tcW w:w="1423" w:type="dxa"/>
            <w:hideMark/>
          </w:tcPr>
          <w:p w14:paraId="02DABED2" w14:textId="77777777" w:rsidR="006879D0" w:rsidRPr="007245B0" w:rsidRDefault="006879D0" w:rsidP="008E2A3E">
            <w:pPr>
              <w:pStyle w:val="NoSpacing"/>
              <w:jc w:val="center"/>
              <w:rPr>
                <w:rFonts w:ascii="Times New Roman" w:hAnsi="Times New Roman" w:cs="Times New Roman"/>
                <w:szCs w:val="24"/>
              </w:rPr>
            </w:pPr>
            <w:r w:rsidRPr="007245B0">
              <w:rPr>
                <w:rFonts w:ascii="Times New Roman" w:hAnsi="Times New Roman" w:cs="Times New Roman"/>
                <w:szCs w:val="24"/>
              </w:rPr>
              <w:t>17.7</w:t>
            </w:r>
          </w:p>
        </w:tc>
        <w:tc>
          <w:tcPr>
            <w:tcW w:w="1339" w:type="dxa"/>
            <w:hideMark/>
          </w:tcPr>
          <w:p w14:paraId="1CD71ECF" w14:textId="77777777" w:rsidR="006879D0" w:rsidRPr="007245B0" w:rsidRDefault="006879D0" w:rsidP="008E2A3E">
            <w:pPr>
              <w:pStyle w:val="NoSpacing"/>
              <w:jc w:val="center"/>
              <w:rPr>
                <w:rFonts w:ascii="Times New Roman" w:hAnsi="Times New Roman" w:cs="Times New Roman"/>
                <w:szCs w:val="24"/>
              </w:rPr>
            </w:pPr>
            <w:r w:rsidRPr="007245B0">
              <w:rPr>
                <w:rFonts w:ascii="Times New Roman" w:hAnsi="Times New Roman" w:cs="Times New Roman"/>
                <w:szCs w:val="24"/>
              </w:rPr>
              <w:t>82.3</w:t>
            </w:r>
          </w:p>
        </w:tc>
        <w:tc>
          <w:tcPr>
            <w:tcW w:w="1405" w:type="dxa"/>
            <w:hideMark/>
          </w:tcPr>
          <w:p w14:paraId="03C5BE9A" w14:textId="77777777" w:rsidR="006879D0" w:rsidRPr="007245B0" w:rsidRDefault="006879D0" w:rsidP="008E2A3E">
            <w:pPr>
              <w:pStyle w:val="NoSpacing"/>
              <w:jc w:val="center"/>
              <w:rPr>
                <w:rFonts w:ascii="Times New Roman" w:hAnsi="Times New Roman" w:cs="Times New Roman"/>
                <w:szCs w:val="24"/>
              </w:rPr>
            </w:pPr>
            <w:r w:rsidRPr="007245B0">
              <w:rPr>
                <w:rFonts w:ascii="Times New Roman" w:hAnsi="Times New Roman" w:cs="Times New Roman"/>
                <w:szCs w:val="24"/>
              </w:rPr>
              <w:t>(100.0)</w:t>
            </w:r>
          </w:p>
        </w:tc>
        <w:tc>
          <w:tcPr>
            <w:tcW w:w="1830" w:type="dxa"/>
            <w:hideMark/>
          </w:tcPr>
          <w:p w14:paraId="542DC46E" w14:textId="77777777" w:rsidR="006879D0" w:rsidRPr="007245B0" w:rsidRDefault="006879D0" w:rsidP="008E2A3E">
            <w:pPr>
              <w:pStyle w:val="NoSpacing"/>
              <w:jc w:val="center"/>
              <w:rPr>
                <w:rFonts w:ascii="Times New Roman" w:hAnsi="Times New Roman" w:cs="Times New Roman"/>
                <w:szCs w:val="24"/>
              </w:rPr>
            </w:pPr>
            <w:r w:rsidRPr="007245B0">
              <w:rPr>
                <w:rFonts w:ascii="Times New Roman" w:hAnsi="Times New Roman" w:cs="Times New Roman"/>
                <w:szCs w:val="24"/>
              </w:rPr>
              <w:t>(100.0)</w:t>
            </w:r>
          </w:p>
        </w:tc>
      </w:tr>
      <w:tr w:rsidR="006879D0" w:rsidRPr="007245B0" w14:paraId="72E914AD" w14:textId="77777777" w:rsidTr="008E2A3E">
        <w:trPr>
          <w:trHeight w:val="603"/>
          <w:jc w:val="center"/>
        </w:trPr>
        <w:tc>
          <w:tcPr>
            <w:tcW w:w="1521" w:type="dxa"/>
            <w:hideMark/>
          </w:tcPr>
          <w:p w14:paraId="6D05EFCA" w14:textId="77777777" w:rsidR="006879D0" w:rsidRPr="007245B0" w:rsidRDefault="006879D0" w:rsidP="006879D0">
            <w:pPr>
              <w:pStyle w:val="NoSpacing"/>
              <w:rPr>
                <w:rFonts w:ascii="Times New Roman" w:hAnsi="Times New Roman" w:cs="Times New Roman"/>
                <w:szCs w:val="24"/>
              </w:rPr>
            </w:pPr>
            <w:r w:rsidRPr="007245B0">
              <w:rPr>
                <w:rFonts w:ascii="Times New Roman" w:hAnsi="Times New Roman" w:cs="Times New Roman"/>
                <w:szCs w:val="24"/>
              </w:rPr>
              <w:t>Union Territories</w:t>
            </w:r>
          </w:p>
        </w:tc>
        <w:tc>
          <w:tcPr>
            <w:tcW w:w="1339" w:type="dxa"/>
            <w:hideMark/>
          </w:tcPr>
          <w:p w14:paraId="17CD0675" w14:textId="77777777" w:rsidR="006879D0" w:rsidRPr="007245B0" w:rsidRDefault="006879D0" w:rsidP="008E2A3E">
            <w:pPr>
              <w:pStyle w:val="NoSpacing"/>
              <w:jc w:val="center"/>
              <w:rPr>
                <w:rFonts w:ascii="Times New Roman" w:hAnsi="Times New Roman" w:cs="Times New Roman"/>
                <w:szCs w:val="24"/>
              </w:rPr>
            </w:pPr>
            <w:r w:rsidRPr="007245B0">
              <w:rPr>
                <w:rFonts w:ascii="Times New Roman" w:hAnsi="Times New Roman" w:cs="Times New Roman"/>
                <w:szCs w:val="24"/>
              </w:rPr>
              <w:t>89.92</w:t>
            </w:r>
          </w:p>
        </w:tc>
        <w:tc>
          <w:tcPr>
            <w:tcW w:w="1339" w:type="dxa"/>
            <w:hideMark/>
          </w:tcPr>
          <w:p w14:paraId="2F7D638A" w14:textId="77777777" w:rsidR="006879D0" w:rsidRPr="007245B0" w:rsidRDefault="006879D0" w:rsidP="008E2A3E">
            <w:pPr>
              <w:pStyle w:val="NoSpacing"/>
              <w:jc w:val="center"/>
              <w:rPr>
                <w:rFonts w:ascii="Times New Roman" w:hAnsi="Times New Roman" w:cs="Times New Roman"/>
                <w:szCs w:val="24"/>
              </w:rPr>
            </w:pPr>
            <w:r w:rsidRPr="007245B0">
              <w:rPr>
                <w:rFonts w:ascii="Times New Roman" w:hAnsi="Times New Roman" w:cs="Times New Roman"/>
                <w:szCs w:val="24"/>
              </w:rPr>
              <w:t>30.13</w:t>
            </w:r>
          </w:p>
        </w:tc>
        <w:tc>
          <w:tcPr>
            <w:tcW w:w="1339" w:type="dxa"/>
            <w:hideMark/>
          </w:tcPr>
          <w:p w14:paraId="78605EF9" w14:textId="77777777" w:rsidR="006879D0" w:rsidRPr="007245B0" w:rsidRDefault="006879D0" w:rsidP="008E2A3E">
            <w:pPr>
              <w:pStyle w:val="NoSpacing"/>
              <w:jc w:val="center"/>
              <w:rPr>
                <w:rFonts w:ascii="Times New Roman" w:hAnsi="Times New Roman" w:cs="Times New Roman"/>
                <w:szCs w:val="24"/>
              </w:rPr>
            </w:pPr>
            <w:r w:rsidRPr="007245B0">
              <w:rPr>
                <w:rFonts w:ascii="Times New Roman" w:hAnsi="Times New Roman" w:cs="Times New Roman"/>
                <w:szCs w:val="24"/>
              </w:rPr>
              <w:t>59.79</w:t>
            </w:r>
          </w:p>
        </w:tc>
        <w:tc>
          <w:tcPr>
            <w:tcW w:w="1423" w:type="dxa"/>
            <w:hideMark/>
          </w:tcPr>
          <w:p w14:paraId="24287F5A" w14:textId="77777777" w:rsidR="006879D0" w:rsidRPr="007245B0" w:rsidRDefault="006879D0" w:rsidP="008E2A3E">
            <w:pPr>
              <w:pStyle w:val="NoSpacing"/>
              <w:jc w:val="center"/>
              <w:rPr>
                <w:rFonts w:ascii="Times New Roman" w:hAnsi="Times New Roman" w:cs="Times New Roman"/>
                <w:szCs w:val="24"/>
              </w:rPr>
            </w:pPr>
            <w:r w:rsidRPr="007245B0">
              <w:rPr>
                <w:rFonts w:ascii="Times New Roman" w:hAnsi="Times New Roman" w:cs="Times New Roman"/>
                <w:szCs w:val="24"/>
              </w:rPr>
              <w:t>33.5</w:t>
            </w:r>
          </w:p>
        </w:tc>
        <w:tc>
          <w:tcPr>
            <w:tcW w:w="1339" w:type="dxa"/>
            <w:hideMark/>
          </w:tcPr>
          <w:p w14:paraId="40AA7424" w14:textId="77777777" w:rsidR="006879D0" w:rsidRPr="007245B0" w:rsidRDefault="006879D0" w:rsidP="008E2A3E">
            <w:pPr>
              <w:pStyle w:val="NoSpacing"/>
              <w:jc w:val="center"/>
              <w:rPr>
                <w:rFonts w:ascii="Times New Roman" w:hAnsi="Times New Roman" w:cs="Times New Roman"/>
                <w:szCs w:val="24"/>
              </w:rPr>
            </w:pPr>
            <w:r w:rsidRPr="007245B0">
              <w:rPr>
                <w:rFonts w:ascii="Times New Roman" w:hAnsi="Times New Roman" w:cs="Times New Roman"/>
                <w:szCs w:val="24"/>
              </w:rPr>
              <w:t>66.5</w:t>
            </w:r>
          </w:p>
        </w:tc>
        <w:tc>
          <w:tcPr>
            <w:tcW w:w="1405" w:type="dxa"/>
            <w:hideMark/>
          </w:tcPr>
          <w:p w14:paraId="663657C0" w14:textId="77777777" w:rsidR="006879D0" w:rsidRPr="007245B0" w:rsidRDefault="006879D0" w:rsidP="008E2A3E">
            <w:pPr>
              <w:pStyle w:val="NoSpacing"/>
              <w:jc w:val="center"/>
              <w:rPr>
                <w:rFonts w:ascii="Times New Roman" w:hAnsi="Times New Roman" w:cs="Times New Roman"/>
                <w:szCs w:val="24"/>
              </w:rPr>
            </w:pPr>
            <w:r w:rsidRPr="007245B0">
              <w:rPr>
                <w:rFonts w:ascii="Times New Roman" w:hAnsi="Times New Roman" w:cs="Times New Roman"/>
                <w:szCs w:val="24"/>
              </w:rPr>
              <w:t>..</w:t>
            </w:r>
          </w:p>
        </w:tc>
        <w:tc>
          <w:tcPr>
            <w:tcW w:w="1830" w:type="dxa"/>
            <w:hideMark/>
          </w:tcPr>
          <w:p w14:paraId="4DD15650" w14:textId="77777777" w:rsidR="006879D0" w:rsidRPr="007245B0" w:rsidRDefault="006879D0" w:rsidP="008E2A3E">
            <w:pPr>
              <w:pStyle w:val="NoSpacing"/>
              <w:jc w:val="center"/>
              <w:rPr>
                <w:rFonts w:ascii="Times New Roman" w:hAnsi="Times New Roman" w:cs="Times New Roman"/>
                <w:szCs w:val="24"/>
              </w:rPr>
            </w:pPr>
            <w:r w:rsidRPr="007245B0">
              <w:rPr>
                <w:rFonts w:ascii="Times New Roman" w:hAnsi="Times New Roman" w:cs="Times New Roman"/>
                <w:szCs w:val="24"/>
              </w:rPr>
              <w:t>..</w:t>
            </w:r>
          </w:p>
        </w:tc>
      </w:tr>
      <w:tr w:rsidR="006879D0" w:rsidRPr="007245B0" w14:paraId="537AFC07" w14:textId="77777777" w:rsidTr="008E2A3E">
        <w:trPr>
          <w:trHeight w:val="292"/>
          <w:jc w:val="center"/>
        </w:trPr>
        <w:tc>
          <w:tcPr>
            <w:tcW w:w="1521" w:type="dxa"/>
            <w:hideMark/>
          </w:tcPr>
          <w:p w14:paraId="72CB13FA" w14:textId="77777777" w:rsidR="006879D0" w:rsidRPr="007245B0" w:rsidRDefault="006879D0" w:rsidP="006879D0">
            <w:pPr>
              <w:pStyle w:val="NoSpacing"/>
              <w:rPr>
                <w:rFonts w:ascii="Times New Roman" w:hAnsi="Times New Roman" w:cs="Times New Roman"/>
                <w:szCs w:val="24"/>
              </w:rPr>
            </w:pPr>
            <w:r w:rsidRPr="007245B0">
              <w:rPr>
                <w:rFonts w:ascii="Times New Roman" w:hAnsi="Times New Roman" w:cs="Times New Roman"/>
                <w:szCs w:val="24"/>
              </w:rPr>
              <w:t>All India</w:t>
            </w:r>
          </w:p>
        </w:tc>
        <w:tc>
          <w:tcPr>
            <w:tcW w:w="1339" w:type="dxa"/>
            <w:hideMark/>
          </w:tcPr>
          <w:p w14:paraId="73CA43A5" w14:textId="77777777" w:rsidR="006879D0" w:rsidRPr="007245B0" w:rsidRDefault="006879D0" w:rsidP="008E2A3E">
            <w:pPr>
              <w:pStyle w:val="NoSpacing"/>
              <w:jc w:val="center"/>
              <w:rPr>
                <w:rFonts w:ascii="Times New Roman" w:hAnsi="Times New Roman" w:cs="Times New Roman"/>
                <w:szCs w:val="24"/>
              </w:rPr>
            </w:pPr>
            <w:r w:rsidRPr="007245B0">
              <w:rPr>
                <w:rFonts w:ascii="Times New Roman" w:hAnsi="Times New Roman" w:cs="Times New Roman"/>
                <w:szCs w:val="24"/>
              </w:rPr>
              <w:t>4390.73</w:t>
            </w:r>
          </w:p>
        </w:tc>
        <w:tc>
          <w:tcPr>
            <w:tcW w:w="1339" w:type="dxa"/>
            <w:hideMark/>
          </w:tcPr>
          <w:p w14:paraId="31920B73" w14:textId="77777777" w:rsidR="006879D0" w:rsidRPr="007245B0" w:rsidRDefault="006879D0" w:rsidP="008E2A3E">
            <w:pPr>
              <w:pStyle w:val="NoSpacing"/>
              <w:jc w:val="center"/>
              <w:rPr>
                <w:rFonts w:ascii="Times New Roman" w:hAnsi="Times New Roman" w:cs="Times New Roman"/>
                <w:szCs w:val="24"/>
              </w:rPr>
            </w:pPr>
            <w:r w:rsidRPr="007245B0">
              <w:rPr>
                <w:rFonts w:ascii="Times New Roman" w:hAnsi="Times New Roman" w:cs="Times New Roman"/>
                <w:szCs w:val="24"/>
              </w:rPr>
              <w:t>789.30</w:t>
            </w:r>
          </w:p>
        </w:tc>
        <w:tc>
          <w:tcPr>
            <w:tcW w:w="1339" w:type="dxa"/>
            <w:hideMark/>
          </w:tcPr>
          <w:p w14:paraId="4ACE1404" w14:textId="77777777" w:rsidR="006879D0" w:rsidRPr="007245B0" w:rsidRDefault="006879D0" w:rsidP="008E2A3E">
            <w:pPr>
              <w:pStyle w:val="NoSpacing"/>
              <w:jc w:val="center"/>
              <w:rPr>
                <w:rFonts w:ascii="Times New Roman" w:hAnsi="Times New Roman" w:cs="Times New Roman"/>
                <w:szCs w:val="24"/>
              </w:rPr>
            </w:pPr>
            <w:r w:rsidRPr="007245B0">
              <w:rPr>
                <w:rFonts w:ascii="Times New Roman" w:hAnsi="Times New Roman" w:cs="Times New Roman"/>
                <w:szCs w:val="24"/>
              </w:rPr>
              <w:t>3601.43</w:t>
            </w:r>
          </w:p>
        </w:tc>
        <w:tc>
          <w:tcPr>
            <w:tcW w:w="1423" w:type="dxa"/>
            <w:hideMark/>
          </w:tcPr>
          <w:p w14:paraId="5EE2C41A" w14:textId="77777777" w:rsidR="006879D0" w:rsidRPr="007245B0" w:rsidRDefault="006879D0" w:rsidP="008E2A3E">
            <w:pPr>
              <w:pStyle w:val="NoSpacing"/>
              <w:jc w:val="center"/>
              <w:rPr>
                <w:rFonts w:ascii="Times New Roman" w:hAnsi="Times New Roman" w:cs="Times New Roman"/>
                <w:szCs w:val="24"/>
              </w:rPr>
            </w:pPr>
            <w:r w:rsidRPr="007245B0">
              <w:rPr>
                <w:rFonts w:ascii="Times New Roman" w:hAnsi="Times New Roman" w:cs="Times New Roman"/>
                <w:szCs w:val="24"/>
              </w:rPr>
              <w:t>18.0</w:t>
            </w:r>
          </w:p>
        </w:tc>
        <w:tc>
          <w:tcPr>
            <w:tcW w:w="1339" w:type="dxa"/>
            <w:hideMark/>
          </w:tcPr>
          <w:p w14:paraId="3C8A13CE" w14:textId="77777777" w:rsidR="006879D0" w:rsidRPr="007245B0" w:rsidRDefault="006879D0" w:rsidP="008E2A3E">
            <w:pPr>
              <w:pStyle w:val="NoSpacing"/>
              <w:jc w:val="center"/>
              <w:rPr>
                <w:rFonts w:ascii="Times New Roman" w:hAnsi="Times New Roman" w:cs="Times New Roman"/>
                <w:szCs w:val="24"/>
              </w:rPr>
            </w:pPr>
            <w:r w:rsidRPr="007245B0">
              <w:rPr>
                <w:rFonts w:ascii="Times New Roman" w:hAnsi="Times New Roman" w:cs="Times New Roman"/>
                <w:szCs w:val="24"/>
              </w:rPr>
              <w:t>82.0</w:t>
            </w:r>
          </w:p>
        </w:tc>
        <w:tc>
          <w:tcPr>
            <w:tcW w:w="1405" w:type="dxa"/>
            <w:hideMark/>
          </w:tcPr>
          <w:p w14:paraId="18269111" w14:textId="77777777" w:rsidR="006879D0" w:rsidRPr="007245B0" w:rsidRDefault="006879D0" w:rsidP="008E2A3E">
            <w:pPr>
              <w:pStyle w:val="NoSpacing"/>
              <w:jc w:val="center"/>
              <w:rPr>
                <w:rFonts w:ascii="Times New Roman" w:hAnsi="Times New Roman" w:cs="Times New Roman"/>
                <w:szCs w:val="24"/>
              </w:rPr>
            </w:pPr>
            <w:r w:rsidRPr="007245B0">
              <w:rPr>
                <w:rFonts w:ascii="Times New Roman" w:hAnsi="Times New Roman" w:cs="Times New Roman"/>
                <w:szCs w:val="24"/>
              </w:rPr>
              <w:t>..</w:t>
            </w:r>
          </w:p>
        </w:tc>
        <w:tc>
          <w:tcPr>
            <w:tcW w:w="1830" w:type="dxa"/>
            <w:hideMark/>
          </w:tcPr>
          <w:p w14:paraId="1A97FABE" w14:textId="77777777" w:rsidR="006879D0" w:rsidRPr="007245B0" w:rsidRDefault="006879D0" w:rsidP="008E2A3E">
            <w:pPr>
              <w:pStyle w:val="NoSpacing"/>
              <w:jc w:val="center"/>
              <w:rPr>
                <w:rFonts w:ascii="Times New Roman" w:hAnsi="Times New Roman" w:cs="Times New Roman"/>
                <w:szCs w:val="24"/>
              </w:rPr>
            </w:pPr>
            <w:r w:rsidRPr="007245B0">
              <w:rPr>
                <w:rFonts w:ascii="Times New Roman" w:hAnsi="Times New Roman" w:cs="Times New Roman"/>
                <w:szCs w:val="24"/>
              </w:rPr>
              <w:t>..</w:t>
            </w:r>
          </w:p>
        </w:tc>
      </w:tr>
    </w:tbl>
    <w:p w14:paraId="69111B52" w14:textId="028E37C5" w:rsidR="002B7C1B" w:rsidRPr="008E2A3E" w:rsidRDefault="002B7C1B" w:rsidP="002B7C1B">
      <w:pPr>
        <w:pStyle w:val="NoSpacing"/>
        <w:rPr>
          <w:rFonts w:ascii="Times New Roman" w:hAnsi="Times New Roman" w:cs="Times New Roman"/>
          <w:sz w:val="20"/>
          <w:szCs w:val="18"/>
        </w:rPr>
      </w:pPr>
      <w:r w:rsidRPr="008E2A3E">
        <w:rPr>
          <w:rFonts w:ascii="Times New Roman" w:hAnsi="Times New Roman" w:cs="Times New Roman"/>
          <w:sz w:val="20"/>
          <w:szCs w:val="18"/>
        </w:rPr>
        <w:t>Source: Registrar General of India.</w:t>
      </w:r>
      <w:r w:rsidRPr="008E2A3E">
        <w:rPr>
          <w:rFonts w:ascii="Times New Roman" w:hAnsi="Times New Roman" w:cs="Times New Roman"/>
          <w:sz w:val="20"/>
          <w:szCs w:val="18"/>
        </w:rPr>
        <w:br/>
        <w:t>NOTE : Population of the constituents of the composite State of Punjab was as under :-</w:t>
      </w:r>
    </w:p>
    <w:p w14:paraId="05183B42" w14:textId="77777777" w:rsidR="002B7C1B" w:rsidRPr="007245B0" w:rsidRDefault="002B7C1B" w:rsidP="002B7C1B">
      <w:pPr>
        <w:pStyle w:val="NoSpacing"/>
        <w:rPr>
          <w:rFonts w:ascii="Times New Roman" w:hAnsi="Times New Roman" w:cs="Times New Roman"/>
        </w:rPr>
      </w:pPr>
    </w:p>
    <w:tbl>
      <w:tblPr>
        <w:tblStyle w:val="TableGrid"/>
        <w:tblW w:w="8575" w:type="dxa"/>
        <w:jc w:val="center"/>
        <w:tblLook w:val="04A0" w:firstRow="1" w:lastRow="0" w:firstColumn="1" w:lastColumn="0" w:noHBand="0" w:noVBand="1"/>
      </w:tblPr>
      <w:tblGrid>
        <w:gridCol w:w="3666"/>
        <w:gridCol w:w="1632"/>
        <w:gridCol w:w="1645"/>
        <w:gridCol w:w="1632"/>
      </w:tblGrid>
      <w:tr w:rsidR="002B7C1B" w:rsidRPr="007245B0" w14:paraId="62156673" w14:textId="77777777" w:rsidTr="008E2A3E">
        <w:trPr>
          <w:trHeight w:val="20"/>
          <w:jc w:val="center"/>
        </w:trPr>
        <w:tc>
          <w:tcPr>
            <w:tcW w:w="0" w:type="auto"/>
            <w:hideMark/>
          </w:tcPr>
          <w:p w14:paraId="1C5E8C11" w14:textId="77777777" w:rsidR="002B7C1B" w:rsidRPr="007245B0" w:rsidRDefault="002B7C1B" w:rsidP="002B7C1B">
            <w:pPr>
              <w:pStyle w:val="NoSpacing"/>
              <w:rPr>
                <w:rFonts w:ascii="Times New Roman" w:hAnsi="Times New Roman" w:cs="Times New Roman"/>
                <w:b/>
                <w:bCs/>
              </w:rPr>
            </w:pPr>
            <w:r w:rsidRPr="007245B0">
              <w:rPr>
                <w:rFonts w:ascii="Times New Roman" w:hAnsi="Times New Roman" w:cs="Times New Roman"/>
                <w:b/>
                <w:bCs/>
              </w:rPr>
              <w:t>Constituents</w:t>
            </w:r>
          </w:p>
        </w:tc>
        <w:tc>
          <w:tcPr>
            <w:tcW w:w="0" w:type="auto"/>
            <w:hideMark/>
          </w:tcPr>
          <w:p w14:paraId="72303679" w14:textId="77777777" w:rsidR="002B7C1B" w:rsidRPr="007245B0" w:rsidRDefault="002B7C1B" w:rsidP="002B7C1B">
            <w:pPr>
              <w:pStyle w:val="NoSpacing"/>
              <w:rPr>
                <w:rFonts w:ascii="Times New Roman" w:hAnsi="Times New Roman" w:cs="Times New Roman"/>
                <w:b/>
                <w:bCs/>
              </w:rPr>
            </w:pPr>
            <w:r w:rsidRPr="007245B0">
              <w:rPr>
                <w:rFonts w:ascii="Times New Roman" w:hAnsi="Times New Roman" w:cs="Times New Roman"/>
                <w:b/>
                <w:bCs/>
              </w:rPr>
              <w:t>Total</w:t>
            </w:r>
          </w:p>
        </w:tc>
        <w:tc>
          <w:tcPr>
            <w:tcW w:w="0" w:type="auto"/>
            <w:hideMark/>
          </w:tcPr>
          <w:p w14:paraId="3EA6B90B" w14:textId="77777777" w:rsidR="002B7C1B" w:rsidRPr="007245B0" w:rsidRDefault="002B7C1B" w:rsidP="002B7C1B">
            <w:pPr>
              <w:pStyle w:val="NoSpacing"/>
              <w:rPr>
                <w:rFonts w:ascii="Times New Roman" w:hAnsi="Times New Roman" w:cs="Times New Roman"/>
                <w:b/>
                <w:bCs/>
              </w:rPr>
            </w:pPr>
            <w:r w:rsidRPr="007245B0">
              <w:rPr>
                <w:rFonts w:ascii="Times New Roman" w:hAnsi="Times New Roman" w:cs="Times New Roman"/>
                <w:b/>
                <w:bCs/>
              </w:rPr>
              <w:t>Urban</w:t>
            </w:r>
          </w:p>
        </w:tc>
        <w:tc>
          <w:tcPr>
            <w:tcW w:w="0" w:type="auto"/>
            <w:hideMark/>
          </w:tcPr>
          <w:p w14:paraId="1D15A2DB" w14:textId="77777777" w:rsidR="002B7C1B" w:rsidRPr="007245B0" w:rsidRDefault="002B7C1B" w:rsidP="002B7C1B">
            <w:pPr>
              <w:pStyle w:val="NoSpacing"/>
              <w:rPr>
                <w:rFonts w:ascii="Times New Roman" w:hAnsi="Times New Roman" w:cs="Times New Roman"/>
                <w:b/>
                <w:bCs/>
              </w:rPr>
            </w:pPr>
            <w:r w:rsidRPr="007245B0">
              <w:rPr>
                <w:rFonts w:ascii="Times New Roman" w:hAnsi="Times New Roman" w:cs="Times New Roman"/>
                <w:b/>
                <w:bCs/>
              </w:rPr>
              <w:t>Rural</w:t>
            </w:r>
          </w:p>
        </w:tc>
      </w:tr>
      <w:tr w:rsidR="002B7C1B" w:rsidRPr="007245B0" w14:paraId="3D996C3A" w14:textId="77777777" w:rsidTr="008E2A3E">
        <w:trPr>
          <w:trHeight w:val="20"/>
          <w:jc w:val="center"/>
        </w:trPr>
        <w:tc>
          <w:tcPr>
            <w:tcW w:w="0" w:type="auto"/>
            <w:hideMark/>
          </w:tcPr>
          <w:p w14:paraId="6A084123" w14:textId="77777777" w:rsidR="002B7C1B" w:rsidRPr="007245B0" w:rsidRDefault="002B7C1B" w:rsidP="002B7C1B">
            <w:pPr>
              <w:pStyle w:val="NoSpacing"/>
              <w:rPr>
                <w:rFonts w:ascii="Times New Roman" w:hAnsi="Times New Roman" w:cs="Times New Roman"/>
              </w:rPr>
            </w:pPr>
            <w:r w:rsidRPr="007245B0">
              <w:rPr>
                <w:rFonts w:ascii="Times New Roman" w:hAnsi="Times New Roman" w:cs="Times New Roman"/>
              </w:rPr>
              <w:t>Haryana</w:t>
            </w:r>
          </w:p>
        </w:tc>
        <w:tc>
          <w:tcPr>
            <w:tcW w:w="0" w:type="auto"/>
            <w:hideMark/>
          </w:tcPr>
          <w:p w14:paraId="59B7C31D" w14:textId="77777777" w:rsidR="002B7C1B" w:rsidRPr="007245B0" w:rsidRDefault="002B7C1B" w:rsidP="002B7C1B">
            <w:pPr>
              <w:pStyle w:val="NoSpacing"/>
              <w:rPr>
                <w:rFonts w:ascii="Times New Roman" w:hAnsi="Times New Roman" w:cs="Times New Roman"/>
              </w:rPr>
            </w:pPr>
            <w:r w:rsidRPr="007245B0">
              <w:rPr>
                <w:rFonts w:ascii="Times New Roman" w:hAnsi="Times New Roman" w:cs="Times New Roman"/>
              </w:rPr>
              <w:t>75.90</w:t>
            </w:r>
          </w:p>
        </w:tc>
        <w:tc>
          <w:tcPr>
            <w:tcW w:w="0" w:type="auto"/>
            <w:hideMark/>
          </w:tcPr>
          <w:p w14:paraId="79C522D9" w14:textId="77777777" w:rsidR="002B7C1B" w:rsidRPr="007245B0" w:rsidRDefault="002B7C1B" w:rsidP="002B7C1B">
            <w:pPr>
              <w:pStyle w:val="NoSpacing"/>
              <w:rPr>
                <w:rFonts w:ascii="Times New Roman" w:hAnsi="Times New Roman" w:cs="Times New Roman"/>
              </w:rPr>
            </w:pPr>
            <w:r w:rsidRPr="007245B0">
              <w:rPr>
                <w:rFonts w:ascii="Times New Roman" w:hAnsi="Times New Roman" w:cs="Times New Roman"/>
              </w:rPr>
              <w:t>13.07</w:t>
            </w:r>
          </w:p>
        </w:tc>
        <w:tc>
          <w:tcPr>
            <w:tcW w:w="0" w:type="auto"/>
            <w:hideMark/>
          </w:tcPr>
          <w:p w14:paraId="1AD6CD94" w14:textId="77777777" w:rsidR="002B7C1B" w:rsidRPr="007245B0" w:rsidRDefault="002B7C1B" w:rsidP="002B7C1B">
            <w:pPr>
              <w:pStyle w:val="NoSpacing"/>
              <w:rPr>
                <w:rFonts w:ascii="Times New Roman" w:hAnsi="Times New Roman" w:cs="Times New Roman"/>
              </w:rPr>
            </w:pPr>
            <w:r w:rsidRPr="007245B0">
              <w:rPr>
                <w:rFonts w:ascii="Times New Roman" w:hAnsi="Times New Roman" w:cs="Times New Roman"/>
              </w:rPr>
              <w:t>62.83</w:t>
            </w:r>
          </w:p>
        </w:tc>
      </w:tr>
      <w:tr w:rsidR="002B7C1B" w:rsidRPr="007245B0" w14:paraId="769CC1F2" w14:textId="77777777" w:rsidTr="008E2A3E">
        <w:trPr>
          <w:trHeight w:val="20"/>
          <w:jc w:val="center"/>
        </w:trPr>
        <w:tc>
          <w:tcPr>
            <w:tcW w:w="0" w:type="auto"/>
            <w:hideMark/>
          </w:tcPr>
          <w:p w14:paraId="41D9AF28" w14:textId="77777777" w:rsidR="002B7C1B" w:rsidRPr="007245B0" w:rsidRDefault="002B7C1B" w:rsidP="002B7C1B">
            <w:pPr>
              <w:pStyle w:val="NoSpacing"/>
              <w:rPr>
                <w:rFonts w:ascii="Times New Roman" w:hAnsi="Times New Roman" w:cs="Times New Roman"/>
              </w:rPr>
            </w:pPr>
            <w:r w:rsidRPr="007245B0">
              <w:rPr>
                <w:rFonts w:ascii="Times New Roman" w:hAnsi="Times New Roman" w:cs="Times New Roman"/>
              </w:rPr>
              <w:t>Punjab</w:t>
            </w:r>
          </w:p>
        </w:tc>
        <w:tc>
          <w:tcPr>
            <w:tcW w:w="0" w:type="auto"/>
            <w:hideMark/>
          </w:tcPr>
          <w:p w14:paraId="57217350" w14:textId="77777777" w:rsidR="002B7C1B" w:rsidRPr="007245B0" w:rsidRDefault="002B7C1B" w:rsidP="002B7C1B">
            <w:pPr>
              <w:pStyle w:val="NoSpacing"/>
              <w:rPr>
                <w:rFonts w:ascii="Times New Roman" w:hAnsi="Times New Roman" w:cs="Times New Roman"/>
              </w:rPr>
            </w:pPr>
            <w:r w:rsidRPr="007245B0">
              <w:rPr>
                <w:rFonts w:ascii="Times New Roman" w:hAnsi="Times New Roman" w:cs="Times New Roman"/>
              </w:rPr>
              <w:t>111.35</w:t>
            </w:r>
          </w:p>
        </w:tc>
        <w:tc>
          <w:tcPr>
            <w:tcW w:w="0" w:type="auto"/>
            <w:hideMark/>
          </w:tcPr>
          <w:p w14:paraId="39519F7A" w14:textId="77777777" w:rsidR="002B7C1B" w:rsidRPr="007245B0" w:rsidRDefault="002B7C1B" w:rsidP="002B7C1B">
            <w:pPr>
              <w:pStyle w:val="NoSpacing"/>
              <w:rPr>
                <w:rFonts w:ascii="Times New Roman" w:hAnsi="Times New Roman" w:cs="Times New Roman"/>
              </w:rPr>
            </w:pPr>
            <w:r w:rsidRPr="007245B0">
              <w:rPr>
                <w:rFonts w:ascii="Times New Roman" w:hAnsi="Times New Roman" w:cs="Times New Roman"/>
              </w:rPr>
              <w:t>25.67</w:t>
            </w:r>
          </w:p>
        </w:tc>
        <w:tc>
          <w:tcPr>
            <w:tcW w:w="0" w:type="auto"/>
            <w:hideMark/>
          </w:tcPr>
          <w:p w14:paraId="0B5FD5E1" w14:textId="77777777" w:rsidR="002B7C1B" w:rsidRPr="007245B0" w:rsidRDefault="002B7C1B" w:rsidP="002B7C1B">
            <w:pPr>
              <w:pStyle w:val="NoSpacing"/>
              <w:rPr>
                <w:rFonts w:ascii="Times New Roman" w:hAnsi="Times New Roman" w:cs="Times New Roman"/>
              </w:rPr>
            </w:pPr>
            <w:r w:rsidRPr="007245B0">
              <w:rPr>
                <w:rFonts w:ascii="Times New Roman" w:hAnsi="Times New Roman" w:cs="Times New Roman"/>
              </w:rPr>
              <w:t>85.68</w:t>
            </w:r>
          </w:p>
        </w:tc>
      </w:tr>
      <w:tr w:rsidR="002B7C1B" w:rsidRPr="007245B0" w14:paraId="49B853D5" w14:textId="77777777" w:rsidTr="008E2A3E">
        <w:trPr>
          <w:trHeight w:val="20"/>
          <w:jc w:val="center"/>
        </w:trPr>
        <w:tc>
          <w:tcPr>
            <w:tcW w:w="0" w:type="auto"/>
            <w:hideMark/>
          </w:tcPr>
          <w:p w14:paraId="76C95D5E" w14:textId="77777777" w:rsidR="002B7C1B" w:rsidRPr="007245B0" w:rsidRDefault="002B7C1B" w:rsidP="002B7C1B">
            <w:pPr>
              <w:pStyle w:val="NoSpacing"/>
              <w:rPr>
                <w:rFonts w:ascii="Times New Roman" w:hAnsi="Times New Roman" w:cs="Times New Roman"/>
              </w:rPr>
            </w:pPr>
            <w:r w:rsidRPr="007245B0">
              <w:rPr>
                <w:rFonts w:ascii="Times New Roman" w:hAnsi="Times New Roman" w:cs="Times New Roman"/>
              </w:rPr>
              <w:t>Chandigarh</w:t>
            </w:r>
          </w:p>
        </w:tc>
        <w:tc>
          <w:tcPr>
            <w:tcW w:w="0" w:type="auto"/>
            <w:hideMark/>
          </w:tcPr>
          <w:p w14:paraId="260FD41D" w14:textId="77777777" w:rsidR="002B7C1B" w:rsidRPr="007245B0" w:rsidRDefault="002B7C1B" w:rsidP="002B7C1B">
            <w:pPr>
              <w:pStyle w:val="NoSpacing"/>
              <w:rPr>
                <w:rFonts w:ascii="Times New Roman" w:hAnsi="Times New Roman" w:cs="Times New Roman"/>
              </w:rPr>
            </w:pPr>
            <w:r w:rsidRPr="007245B0">
              <w:rPr>
                <w:rFonts w:ascii="Times New Roman" w:hAnsi="Times New Roman" w:cs="Times New Roman"/>
              </w:rPr>
              <w:t>1.20</w:t>
            </w:r>
          </w:p>
        </w:tc>
        <w:tc>
          <w:tcPr>
            <w:tcW w:w="0" w:type="auto"/>
            <w:hideMark/>
          </w:tcPr>
          <w:p w14:paraId="484924D7" w14:textId="77777777" w:rsidR="002B7C1B" w:rsidRPr="007245B0" w:rsidRDefault="002B7C1B" w:rsidP="002B7C1B">
            <w:pPr>
              <w:pStyle w:val="NoSpacing"/>
              <w:rPr>
                <w:rFonts w:ascii="Times New Roman" w:hAnsi="Times New Roman" w:cs="Times New Roman"/>
              </w:rPr>
            </w:pPr>
            <w:r w:rsidRPr="007245B0">
              <w:rPr>
                <w:rFonts w:ascii="Times New Roman" w:hAnsi="Times New Roman" w:cs="Times New Roman"/>
              </w:rPr>
              <w:t>0.99</w:t>
            </w:r>
          </w:p>
        </w:tc>
        <w:tc>
          <w:tcPr>
            <w:tcW w:w="0" w:type="auto"/>
            <w:hideMark/>
          </w:tcPr>
          <w:p w14:paraId="391730CF" w14:textId="77777777" w:rsidR="002B7C1B" w:rsidRPr="007245B0" w:rsidRDefault="002B7C1B" w:rsidP="002B7C1B">
            <w:pPr>
              <w:pStyle w:val="NoSpacing"/>
              <w:rPr>
                <w:rFonts w:ascii="Times New Roman" w:hAnsi="Times New Roman" w:cs="Times New Roman"/>
              </w:rPr>
            </w:pPr>
            <w:r w:rsidRPr="007245B0">
              <w:rPr>
                <w:rFonts w:ascii="Times New Roman" w:hAnsi="Times New Roman" w:cs="Times New Roman"/>
              </w:rPr>
              <w:t>0.21</w:t>
            </w:r>
          </w:p>
        </w:tc>
      </w:tr>
      <w:tr w:rsidR="002B7C1B" w:rsidRPr="007245B0" w14:paraId="53653346" w14:textId="77777777" w:rsidTr="008E2A3E">
        <w:trPr>
          <w:trHeight w:val="20"/>
          <w:jc w:val="center"/>
        </w:trPr>
        <w:tc>
          <w:tcPr>
            <w:tcW w:w="0" w:type="auto"/>
            <w:hideMark/>
          </w:tcPr>
          <w:p w14:paraId="3F74FC07" w14:textId="77777777" w:rsidR="002B7C1B" w:rsidRPr="007245B0" w:rsidRDefault="002B7C1B" w:rsidP="002B7C1B">
            <w:pPr>
              <w:pStyle w:val="NoSpacing"/>
              <w:rPr>
                <w:rFonts w:ascii="Times New Roman" w:hAnsi="Times New Roman" w:cs="Times New Roman"/>
              </w:rPr>
            </w:pPr>
            <w:r w:rsidRPr="007245B0">
              <w:rPr>
                <w:rFonts w:ascii="Times New Roman" w:hAnsi="Times New Roman" w:cs="Times New Roman"/>
              </w:rPr>
              <w:t>Himachal Pradesh</w:t>
            </w:r>
          </w:p>
        </w:tc>
        <w:tc>
          <w:tcPr>
            <w:tcW w:w="0" w:type="auto"/>
            <w:hideMark/>
          </w:tcPr>
          <w:p w14:paraId="05F576BB" w14:textId="77777777" w:rsidR="002B7C1B" w:rsidRPr="007245B0" w:rsidRDefault="002B7C1B" w:rsidP="002B7C1B">
            <w:pPr>
              <w:pStyle w:val="NoSpacing"/>
              <w:rPr>
                <w:rFonts w:ascii="Times New Roman" w:hAnsi="Times New Roman" w:cs="Times New Roman"/>
              </w:rPr>
            </w:pPr>
            <w:r w:rsidRPr="007245B0">
              <w:rPr>
                <w:rFonts w:ascii="Times New Roman" w:hAnsi="Times New Roman" w:cs="Times New Roman"/>
              </w:rPr>
              <w:t>14.62</w:t>
            </w:r>
          </w:p>
        </w:tc>
        <w:tc>
          <w:tcPr>
            <w:tcW w:w="0" w:type="auto"/>
            <w:hideMark/>
          </w:tcPr>
          <w:p w14:paraId="34D8A3C6" w14:textId="77777777" w:rsidR="002B7C1B" w:rsidRPr="007245B0" w:rsidRDefault="002B7C1B" w:rsidP="002B7C1B">
            <w:pPr>
              <w:pStyle w:val="NoSpacing"/>
              <w:rPr>
                <w:rFonts w:ascii="Times New Roman" w:hAnsi="Times New Roman" w:cs="Times New Roman"/>
              </w:rPr>
            </w:pPr>
            <w:r w:rsidRPr="007245B0">
              <w:rPr>
                <w:rFonts w:ascii="Times New Roman" w:hAnsi="Times New Roman" w:cs="Times New Roman"/>
              </w:rPr>
              <w:t>1.12</w:t>
            </w:r>
          </w:p>
        </w:tc>
        <w:tc>
          <w:tcPr>
            <w:tcW w:w="0" w:type="auto"/>
            <w:hideMark/>
          </w:tcPr>
          <w:p w14:paraId="760FB37A" w14:textId="77777777" w:rsidR="002B7C1B" w:rsidRPr="007245B0" w:rsidRDefault="002B7C1B" w:rsidP="002B7C1B">
            <w:pPr>
              <w:pStyle w:val="NoSpacing"/>
              <w:rPr>
                <w:rFonts w:ascii="Times New Roman" w:hAnsi="Times New Roman" w:cs="Times New Roman"/>
              </w:rPr>
            </w:pPr>
            <w:r w:rsidRPr="007245B0">
              <w:rPr>
                <w:rFonts w:ascii="Times New Roman" w:hAnsi="Times New Roman" w:cs="Times New Roman"/>
              </w:rPr>
              <w:t>13.50</w:t>
            </w:r>
          </w:p>
        </w:tc>
      </w:tr>
      <w:tr w:rsidR="002B7C1B" w:rsidRPr="007245B0" w14:paraId="56D6F700" w14:textId="77777777" w:rsidTr="008E2A3E">
        <w:trPr>
          <w:trHeight w:val="20"/>
          <w:jc w:val="center"/>
        </w:trPr>
        <w:tc>
          <w:tcPr>
            <w:tcW w:w="0" w:type="auto"/>
            <w:hideMark/>
          </w:tcPr>
          <w:p w14:paraId="6C6CEA41" w14:textId="77777777" w:rsidR="002B7C1B" w:rsidRPr="007245B0" w:rsidRDefault="002B7C1B" w:rsidP="002B7C1B">
            <w:pPr>
              <w:pStyle w:val="NoSpacing"/>
              <w:rPr>
                <w:rFonts w:ascii="Times New Roman" w:hAnsi="Times New Roman" w:cs="Times New Roman"/>
              </w:rPr>
            </w:pPr>
            <w:r w:rsidRPr="007245B0">
              <w:rPr>
                <w:rFonts w:ascii="Times New Roman" w:hAnsi="Times New Roman" w:cs="Times New Roman"/>
              </w:rPr>
              <w:t>Total</w:t>
            </w:r>
          </w:p>
        </w:tc>
        <w:tc>
          <w:tcPr>
            <w:tcW w:w="0" w:type="auto"/>
            <w:hideMark/>
          </w:tcPr>
          <w:p w14:paraId="2963BA0C" w14:textId="77777777" w:rsidR="002B7C1B" w:rsidRPr="007245B0" w:rsidRDefault="002B7C1B" w:rsidP="002B7C1B">
            <w:pPr>
              <w:pStyle w:val="NoSpacing"/>
              <w:rPr>
                <w:rFonts w:ascii="Times New Roman" w:hAnsi="Times New Roman" w:cs="Times New Roman"/>
              </w:rPr>
            </w:pPr>
            <w:r w:rsidRPr="007245B0">
              <w:rPr>
                <w:rFonts w:ascii="Times New Roman" w:hAnsi="Times New Roman" w:cs="Times New Roman"/>
              </w:rPr>
              <w:t>203.07</w:t>
            </w:r>
          </w:p>
        </w:tc>
        <w:tc>
          <w:tcPr>
            <w:tcW w:w="0" w:type="auto"/>
            <w:hideMark/>
          </w:tcPr>
          <w:p w14:paraId="71E530B4" w14:textId="77777777" w:rsidR="002B7C1B" w:rsidRPr="007245B0" w:rsidRDefault="002B7C1B" w:rsidP="002B7C1B">
            <w:pPr>
              <w:pStyle w:val="NoSpacing"/>
              <w:rPr>
                <w:rFonts w:ascii="Times New Roman" w:hAnsi="Times New Roman" w:cs="Times New Roman"/>
              </w:rPr>
            </w:pPr>
            <w:r w:rsidRPr="007245B0">
              <w:rPr>
                <w:rFonts w:ascii="Times New Roman" w:hAnsi="Times New Roman" w:cs="Times New Roman"/>
              </w:rPr>
              <w:t>40.85</w:t>
            </w:r>
          </w:p>
        </w:tc>
        <w:tc>
          <w:tcPr>
            <w:tcW w:w="0" w:type="auto"/>
            <w:hideMark/>
          </w:tcPr>
          <w:p w14:paraId="008A5B23" w14:textId="77777777" w:rsidR="002B7C1B" w:rsidRPr="007245B0" w:rsidRDefault="002B7C1B" w:rsidP="002B7C1B">
            <w:pPr>
              <w:pStyle w:val="NoSpacing"/>
              <w:rPr>
                <w:rFonts w:ascii="Times New Roman" w:hAnsi="Times New Roman" w:cs="Times New Roman"/>
              </w:rPr>
            </w:pPr>
            <w:r w:rsidRPr="007245B0">
              <w:rPr>
                <w:rFonts w:ascii="Times New Roman" w:hAnsi="Times New Roman" w:cs="Times New Roman"/>
              </w:rPr>
              <w:t>162.22</w:t>
            </w:r>
          </w:p>
        </w:tc>
      </w:tr>
    </w:tbl>
    <w:tbl>
      <w:tblPr>
        <w:tblStyle w:val="TableGrid"/>
        <w:tblpPr w:leftFromText="180" w:rightFromText="180" w:vertAnchor="text" w:horzAnchor="margin" w:tblpXSpec="center" w:tblpY="412"/>
        <w:tblW w:w="7990" w:type="dxa"/>
        <w:tblLook w:val="04A0" w:firstRow="1" w:lastRow="0" w:firstColumn="1" w:lastColumn="0" w:noHBand="0" w:noVBand="1"/>
      </w:tblPr>
      <w:tblGrid>
        <w:gridCol w:w="1636"/>
        <w:gridCol w:w="2360"/>
        <w:gridCol w:w="3994"/>
      </w:tblGrid>
      <w:tr w:rsidR="002B7C1B" w:rsidRPr="007245B0" w14:paraId="7887EA8C" w14:textId="77777777" w:rsidTr="000411F6">
        <w:trPr>
          <w:trHeight w:val="969"/>
        </w:trPr>
        <w:tc>
          <w:tcPr>
            <w:tcW w:w="0" w:type="auto"/>
            <w:hideMark/>
          </w:tcPr>
          <w:p w14:paraId="56EEA173" w14:textId="77777777" w:rsidR="002B7C1B" w:rsidRPr="007245B0" w:rsidRDefault="002B7C1B" w:rsidP="002B7C1B">
            <w:pPr>
              <w:tabs>
                <w:tab w:val="left" w:pos="3168"/>
              </w:tabs>
              <w:spacing w:after="160" w:line="278" w:lineRule="auto"/>
              <w:rPr>
                <w:rFonts w:ascii="Times New Roman" w:hAnsi="Times New Roman" w:cs="Times New Roman"/>
                <w:b/>
                <w:bCs/>
              </w:rPr>
            </w:pPr>
            <w:r w:rsidRPr="007245B0">
              <w:rPr>
                <w:rFonts w:ascii="Times New Roman" w:hAnsi="Times New Roman" w:cs="Times New Roman"/>
                <w:b/>
                <w:bCs/>
              </w:rPr>
              <w:lastRenderedPageBreak/>
              <w:t>States</w:t>
            </w:r>
          </w:p>
        </w:tc>
        <w:tc>
          <w:tcPr>
            <w:tcW w:w="0" w:type="auto"/>
            <w:vAlign w:val="center"/>
            <w:hideMark/>
          </w:tcPr>
          <w:p w14:paraId="1BB48C06" w14:textId="77777777" w:rsidR="002B7C1B" w:rsidRPr="007245B0" w:rsidRDefault="002B7C1B" w:rsidP="000411F6">
            <w:pPr>
              <w:tabs>
                <w:tab w:val="left" w:pos="3168"/>
              </w:tabs>
              <w:spacing w:after="160" w:line="278" w:lineRule="auto"/>
              <w:jc w:val="center"/>
              <w:rPr>
                <w:rFonts w:ascii="Times New Roman" w:hAnsi="Times New Roman" w:cs="Times New Roman"/>
                <w:b/>
                <w:bCs/>
              </w:rPr>
            </w:pPr>
            <w:r w:rsidRPr="007245B0">
              <w:rPr>
                <w:rFonts w:ascii="Times New Roman" w:hAnsi="Times New Roman" w:cs="Times New Roman"/>
                <w:b/>
                <w:bCs/>
              </w:rPr>
              <w:t>Absolute population upto the range 200 (lakhs)</w:t>
            </w:r>
          </w:p>
        </w:tc>
        <w:tc>
          <w:tcPr>
            <w:tcW w:w="3994" w:type="dxa"/>
            <w:vAlign w:val="center"/>
            <w:hideMark/>
          </w:tcPr>
          <w:p w14:paraId="786C9473" w14:textId="4C8C28D8" w:rsidR="002B7C1B" w:rsidRPr="007245B0" w:rsidRDefault="002B7C1B" w:rsidP="000411F6">
            <w:pPr>
              <w:tabs>
                <w:tab w:val="left" w:pos="3168"/>
              </w:tabs>
              <w:spacing w:after="160" w:line="278" w:lineRule="auto"/>
              <w:jc w:val="center"/>
              <w:rPr>
                <w:rFonts w:ascii="Times New Roman" w:hAnsi="Times New Roman" w:cs="Times New Roman"/>
                <w:b/>
                <w:bCs/>
              </w:rPr>
            </w:pPr>
            <w:r w:rsidRPr="007245B0">
              <w:rPr>
                <w:rFonts w:ascii="Times New Roman" w:hAnsi="Times New Roman" w:cs="Times New Roman"/>
                <w:b/>
                <w:bCs/>
              </w:rPr>
              <w:t>Actual area occupied upto the range 200 excluding Jammu and Kashmir and Nagaland ('000 Sq. Km.)** (</w:t>
            </w:r>
            <w:r w:rsidR="006E68B1">
              <w:rPr>
                <w:rFonts w:ascii="Times New Roman" w:hAnsi="Times New Roman" w:cs="Times New Roman"/>
                <w:b/>
                <w:bCs/>
              </w:rPr>
              <w:t>a</w:t>
            </w:r>
            <w:r w:rsidRPr="007245B0">
              <w:rPr>
                <w:rFonts w:ascii="Times New Roman" w:hAnsi="Times New Roman" w:cs="Times New Roman"/>
                <w:b/>
                <w:bCs/>
              </w:rPr>
              <w:t>)</w:t>
            </w:r>
          </w:p>
        </w:tc>
      </w:tr>
      <w:tr w:rsidR="002B7C1B" w:rsidRPr="007245B0" w14:paraId="4E1C662D" w14:textId="77777777" w:rsidTr="000411F6">
        <w:trPr>
          <w:trHeight w:val="411"/>
        </w:trPr>
        <w:tc>
          <w:tcPr>
            <w:tcW w:w="0" w:type="auto"/>
            <w:hideMark/>
          </w:tcPr>
          <w:p w14:paraId="113DF6EC" w14:textId="77777777" w:rsidR="002B7C1B" w:rsidRPr="007245B0" w:rsidRDefault="002B7C1B" w:rsidP="002B7C1B">
            <w:pPr>
              <w:tabs>
                <w:tab w:val="left" w:pos="3168"/>
              </w:tabs>
              <w:spacing w:after="160" w:line="278" w:lineRule="auto"/>
              <w:rPr>
                <w:rFonts w:ascii="Times New Roman" w:hAnsi="Times New Roman" w:cs="Times New Roman"/>
              </w:rPr>
            </w:pPr>
            <w:r w:rsidRPr="007245B0">
              <w:rPr>
                <w:rFonts w:ascii="Times New Roman" w:hAnsi="Times New Roman" w:cs="Times New Roman"/>
              </w:rPr>
              <w:t>1</w:t>
            </w:r>
          </w:p>
        </w:tc>
        <w:tc>
          <w:tcPr>
            <w:tcW w:w="0" w:type="auto"/>
            <w:vAlign w:val="center"/>
            <w:hideMark/>
          </w:tcPr>
          <w:p w14:paraId="11366B2B" w14:textId="77777777" w:rsidR="002B7C1B" w:rsidRPr="007245B0" w:rsidRDefault="002B7C1B" w:rsidP="000411F6">
            <w:pPr>
              <w:tabs>
                <w:tab w:val="left" w:pos="3168"/>
              </w:tabs>
              <w:spacing w:after="160" w:line="278" w:lineRule="auto"/>
              <w:jc w:val="center"/>
              <w:rPr>
                <w:rFonts w:ascii="Times New Roman" w:hAnsi="Times New Roman" w:cs="Times New Roman"/>
              </w:rPr>
            </w:pPr>
            <w:r w:rsidRPr="007245B0">
              <w:rPr>
                <w:rFonts w:ascii="Times New Roman" w:hAnsi="Times New Roman" w:cs="Times New Roman"/>
              </w:rPr>
              <w:t>2</w:t>
            </w:r>
          </w:p>
        </w:tc>
        <w:tc>
          <w:tcPr>
            <w:tcW w:w="3994" w:type="dxa"/>
            <w:vAlign w:val="center"/>
            <w:hideMark/>
          </w:tcPr>
          <w:p w14:paraId="6FBA0345" w14:textId="77777777" w:rsidR="002B7C1B" w:rsidRPr="007245B0" w:rsidRDefault="002B7C1B" w:rsidP="000411F6">
            <w:pPr>
              <w:tabs>
                <w:tab w:val="left" w:pos="3168"/>
              </w:tabs>
              <w:spacing w:after="160" w:line="278" w:lineRule="auto"/>
              <w:jc w:val="center"/>
              <w:rPr>
                <w:rFonts w:ascii="Times New Roman" w:hAnsi="Times New Roman" w:cs="Times New Roman"/>
              </w:rPr>
            </w:pPr>
            <w:r w:rsidRPr="007245B0">
              <w:rPr>
                <w:rFonts w:ascii="Times New Roman" w:hAnsi="Times New Roman" w:cs="Times New Roman"/>
              </w:rPr>
              <w:t>3</w:t>
            </w:r>
          </w:p>
        </w:tc>
      </w:tr>
      <w:tr w:rsidR="002B7C1B" w:rsidRPr="007245B0" w14:paraId="70798C61" w14:textId="77777777" w:rsidTr="000411F6">
        <w:trPr>
          <w:trHeight w:val="401"/>
        </w:trPr>
        <w:tc>
          <w:tcPr>
            <w:tcW w:w="0" w:type="auto"/>
            <w:hideMark/>
          </w:tcPr>
          <w:p w14:paraId="3288ACC8" w14:textId="77777777" w:rsidR="002B7C1B" w:rsidRPr="007245B0" w:rsidRDefault="002B7C1B" w:rsidP="002B7C1B">
            <w:pPr>
              <w:tabs>
                <w:tab w:val="left" w:pos="3168"/>
              </w:tabs>
              <w:spacing w:after="160" w:line="278" w:lineRule="auto"/>
              <w:rPr>
                <w:rFonts w:ascii="Times New Roman" w:hAnsi="Times New Roman" w:cs="Times New Roman"/>
              </w:rPr>
            </w:pPr>
            <w:r w:rsidRPr="007245B0">
              <w:rPr>
                <w:rFonts w:ascii="Times New Roman" w:hAnsi="Times New Roman" w:cs="Times New Roman"/>
              </w:rPr>
              <w:t>Andhra Pradesh</w:t>
            </w:r>
          </w:p>
        </w:tc>
        <w:tc>
          <w:tcPr>
            <w:tcW w:w="0" w:type="auto"/>
            <w:vAlign w:val="center"/>
            <w:hideMark/>
          </w:tcPr>
          <w:p w14:paraId="405945BB" w14:textId="77777777" w:rsidR="002B7C1B" w:rsidRPr="007245B0" w:rsidRDefault="002B7C1B" w:rsidP="000411F6">
            <w:pPr>
              <w:tabs>
                <w:tab w:val="left" w:pos="3168"/>
              </w:tabs>
              <w:spacing w:after="160" w:line="278" w:lineRule="auto"/>
              <w:jc w:val="center"/>
              <w:rPr>
                <w:rFonts w:ascii="Times New Roman" w:hAnsi="Times New Roman" w:cs="Times New Roman"/>
              </w:rPr>
            </w:pPr>
            <w:r w:rsidRPr="007245B0">
              <w:rPr>
                <w:rFonts w:ascii="Times New Roman" w:hAnsi="Times New Roman" w:cs="Times New Roman"/>
              </w:rPr>
              <w:t>20.70</w:t>
            </w:r>
          </w:p>
        </w:tc>
        <w:tc>
          <w:tcPr>
            <w:tcW w:w="3994" w:type="dxa"/>
            <w:vAlign w:val="center"/>
            <w:hideMark/>
          </w:tcPr>
          <w:p w14:paraId="3BD4DEF1" w14:textId="77777777" w:rsidR="002B7C1B" w:rsidRPr="007245B0" w:rsidRDefault="002B7C1B" w:rsidP="000411F6">
            <w:pPr>
              <w:tabs>
                <w:tab w:val="left" w:pos="3168"/>
              </w:tabs>
              <w:spacing w:after="160" w:line="278" w:lineRule="auto"/>
              <w:jc w:val="center"/>
              <w:rPr>
                <w:rFonts w:ascii="Times New Roman" w:hAnsi="Times New Roman" w:cs="Times New Roman"/>
              </w:rPr>
            </w:pPr>
            <w:r w:rsidRPr="007245B0">
              <w:rPr>
                <w:rFonts w:ascii="Times New Roman" w:hAnsi="Times New Roman" w:cs="Times New Roman"/>
              </w:rPr>
              <w:t>32.23</w:t>
            </w:r>
          </w:p>
        </w:tc>
      </w:tr>
      <w:tr w:rsidR="002B7C1B" w:rsidRPr="007245B0" w14:paraId="2E189176" w14:textId="77777777" w:rsidTr="000411F6">
        <w:trPr>
          <w:trHeight w:val="411"/>
        </w:trPr>
        <w:tc>
          <w:tcPr>
            <w:tcW w:w="0" w:type="auto"/>
            <w:hideMark/>
          </w:tcPr>
          <w:p w14:paraId="020B545C" w14:textId="77777777" w:rsidR="002B7C1B" w:rsidRPr="007245B0" w:rsidRDefault="002B7C1B" w:rsidP="002B7C1B">
            <w:pPr>
              <w:tabs>
                <w:tab w:val="left" w:pos="3168"/>
              </w:tabs>
              <w:spacing w:after="160" w:line="278" w:lineRule="auto"/>
              <w:rPr>
                <w:rFonts w:ascii="Times New Roman" w:hAnsi="Times New Roman" w:cs="Times New Roman"/>
              </w:rPr>
            </w:pPr>
            <w:r w:rsidRPr="007245B0">
              <w:rPr>
                <w:rFonts w:ascii="Times New Roman" w:hAnsi="Times New Roman" w:cs="Times New Roman"/>
              </w:rPr>
              <w:t>Assam</w:t>
            </w:r>
          </w:p>
        </w:tc>
        <w:tc>
          <w:tcPr>
            <w:tcW w:w="0" w:type="auto"/>
            <w:vAlign w:val="center"/>
            <w:hideMark/>
          </w:tcPr>
          <w:p w14:paraId="07B00F4A" w14:textId="77777777" w:rsidR="002B7C1B" w:rsidRPr="007245B0" w:rsidRDefault="002B7C1B" w:rsidP="000411F6">
            <w:pPr>
              <w:tabs>
                <w:tab w:val="left" w:pos="3168"/>
              </w:tabs>
              <w:spacing w:after="160" w:line="278" w:lineRule="auto"/>
              <w:jc w:val="center"/>
              <w:rPr>
                <w:rFonts w:ascii="Times New Roman" w:hAnsi="Times New Roman" w:cs="Times New Roman"/>
              </w:rPr>
            </w:pPr>
            <w:r w:rsidRPr="007245B0">
              <w:rPr>
                <w:rFonts w:ascii="Times New Roman" w:hAnsi="Times New Roman" w:cs="Times New Roman"/>
              </w:rPr>
              <w:t>13.52</w:t>
            </w:r>
          </w:p>
        </w:tc>
        <w:tc>
          <w:tcPr>
            <w:tcW w:w="3994" w:type="dxa"/>
            <w:vAlign w:val="center"/>
            <w:hideMark/>
          </w:tcPr>
          <w:p w14:paraId="08473067" w14:textId="77777777" w:rsidR="002B7C1B" w:rsidRPr="007245B0" w:rsidRDefault="002B7C1B" w:rsidP="000411F6">
            <w:pPr>
              <w:tabs>
                <w:tab w:val="left" w:pos="3168"/>
              </w:tabs>
              <w:spacing w:after="160" w:line="278" w:lineRule="auto"/>
              <w:jc w:val="center"/>
              <w:rPr>
                <w:rFonts w:ascii="Times New Roman" w:hAnsi="Times New Roman" w:cs="Times New Roman"/>
              </w:rPr>
            </w:pPr>
            <w:r w:rsidRPr="007245B0">
              <w:rPr>
                <w:rFonts w:ascii="Times New Roman" w:hAnsi="Times New Roman" w:cs="Times New Roman"/>
              </w:rPr>
              <w:t>31.12</w:t>
            </w:r>
          </w:p>
        </w:tc>
      </w:tr>
      <w:tr w:rsidR="002B7C1B" w:rsidRPr="007245B0" w14:paraId="1BA5F4D5" w14:textId="77777777" w:rsidTr="000411F6">
        <w:trPr>
          <w:trHeight w:val="411"/>
        </w:trPr>
        <w:tc>
          <w:tcPr>
            <w:tcW w:w="0" w:type="auto"/>
            <w:hideMark/>
          </w:tcPr>
          <w:p w14:paraId="7F913355" w14:textId="77777777" w:rsidR="002B7C1B" w:rsidRPr="007245B0" w:rsidRDefault="002B7C1B" w:rsidP="002B7C1B">
            <w:pPr>
              <w:tabs>
                <w:tab w:val="left" w:pos="3168"/>
              </w:tabs>
              <w:spacing w:after="160" w:line="278" w:lineRule="auto"/>
              <w:rPr>
                <w:rFonts w:ascii="Times New Roman" w:hAnsi="Times New Roman" w:cs="Times New Roman"/>
              </w:rPr>
            </w:pPr>
            <w:r w:rsidRPr="007245B0">
              <w:rPr>
                <w:rFonts w:ascii="Times New Roman" w:hAnsi="Times New Roman" w:cs="Times New Roman"/>
              </w:rPr>
              <w:t>Bihar</w:t>
            </w:r>
          </w:p>
        </w:tc>
        <w:tc>
          <w:tcPr>
            <w:tcW w:w="0" w:type="auto"/>
            <w:vAlign w:val="center"/>
            <w:hideMark/>
          </w:tcPr>
          <w:p w14:paraId="006B4A87" w14:textId="77777777" w:rsidR="002B7C1B" w:rsidRPr="007245B0" w:rsidRDefault="002B7C1B" w:rsidP="000411F6">
            <w:pPr>
              <w:tabs>
                <w:tab w:val="left" w:pos="3168"/>
              </w:tabs>
              <w:spacing w:after="160" w:line="278" w:lineRule="auto"/>
              <w:jc w:val="center"/>
              <w:rPr>
                <w:rFonts w:ascii="Times New Roman" w:hAnsi="Times New Roman" w:cs="Times New Roman"/>
              </w:rPr>
            </w:pPr>
            <w:r w:rsidRPr="007245B0">
              <w:rPr>
                <w:rFonts w:ascii="Times New Roman" w:hAnsi="Times New Roman" w:cs="Times New Roman"/>
              </w:rPr>
              <w:t>-</w:t>
            </w:r>
          </w:p>
        </w:tc>
        <w:tc>
          <w:tcPr>
            <w:tcW w:w="3994" w:type="dxa"/>
            <w:vAlign w:val="center"/>
            <w:hideMark/>
          </w:tcPr>
          <w:p w14:paraId="2F16E041" w14:textId="77777777" w:rsidR="002B7C1B" w:rsidRPr="007245B0" w:rsidRDefault="002B7C1B" w:rsidP="000411F6">
            <w:pPr>
              <w:tabs>
                <w:tab w:val="left" w:pos="3168"/>
              </w:tabs>
              <w:spacing w:after="160" w:line="278" w:lineRule="auto"/>
              <w:jc w:val="center"/>
              <w:rPr>
                <w:rFonts w:ascii="Times New Roman" w:hAnsi="Times New Roman" w:cs="Times New Roman"/>
              </w:rPr>
            </w:pPr>
            <w:r w:rsidRPr="007245B0">
              <w:rPr>
                <w:rFonts w:ascii="Times New Roman" w:hAnsi="Times New Roman" w:cs="Times New Roman"/>
              </w:rPr>
              <w:t>-</w:t>
            </w:r>
          </w:p>
        </w:tc>
      </w:tr>
      <w:tr w:rsidR="002B7C1B" w:rsidRPr="007245B0" w14:paraId="542635AD" w14:textId="77777777" w:rsidTr="000411F6">
        <w:trPr>
          <w:trHeight w:val="401"/>
        </w:trPr>
        <w:tc>
          <w:tcPr>
            <w:tcW w:w="0" w:type="auto"/>
            <w:hideMark/>
          </w:tcPr>
          <w:p w14:paraId="48AE5ED7" w14:textId="77777777" w:rsidR="002B7C1B" w:rsidRPr="007245B0" w:rsidRDefault="002B7C1B" w:rsidP="002B7C1B">
            <w:pPr>
              <w:tabs>
                <w:tab w:val="left" w:pos="3168"/>
              </w:tabs>
              <w:spacing w:after="160" w:line="278" w:lineRule="auto"/>
              <w:rPr>
                <w:rFonts w:ascii="Times New Roman" w:hAnsi="Times New Roman" w:cs="Times New Roman"/>
              </w:rPr>
            </w:pPr>
            <w:r w:rsidRPr="007245B0">
              <w:rPr>
                <w:rFonts w:ascii="Times New Roman" w:hAnsi="Times New Roman" w:cs="Times New Roman"/>
              </w:rPr>
              <w:t>Gujarat</w:t>
            </w:r>
          </w:p>
        </w:tc>
        <w:tc>
          <w:tcPr>
            <w:tcW w:w="0" w:type="auto"/>
            <w:vAlign w:val="center"/>
            <w:hideMark/>
          </w:tcPr>
          <w:p w14:paraId="64793CED" w14:textId="77777777" w:rsidR="002B7C1B" w:rsidRPr="007245B0" w:rsidRDefault="002B7C1B" w:rsidP="000411F6">
            <w:pPr>
              <w:tabs>
                <w:tab w:val="left" w:pos="3168"/>
              </w:tabs>
              <w:spacing w:after="160" w:line="278" w:lineRule="auto"/>
              <w:jc w:val="center"/>
              <w:rPr>
                <w:rFonts w:ascii="Times New Roman" w:hAnsi="Times New Roman" w:cs="Times New Roman"/>
              </w:rPr>
            </w:pPr>
            <w:r w:rsidRPr="007245B0">
              <w:rPr>
                <w:rFonts w:ascii="Times New Roman" w:hAnsi="Times New Roman" w:cs="Times New Roman"/>
              </w:rPr>
              <w:t>14.30</w:t>
            </w:r>
          </w:p>
        </w:tc>
        <w:tc>
          <w:tcPr>
            <w:tcW w:w="3994" w:type="dxa"/>
            <w:vAlign w:val="center"/>
            <w:hideMark/>
          </w:tcPr>
          <w:p w14:paraId="1A2337F3" w14:textId="77777777" w:rsidR="002B7C1B" w:rsidRPr="007245B0" w:rsidRDefault="002B7C1B" w:rsidP="000411F6">
            <w:pPr>
              <w:tabs>
                <w:tab w:val="left" w:pos="3168"/>
              </w:tabs>
              <w:spacing w:after="160" w:line="278" w:lineRule="auto"/>
              <w:jc w:val="center"/>
              <w:rPr>
                <w:rFonts w:ascii="Times New Roman" w:hAnsi="Times New Roman" w:cs="Times New Roman"/>
              </w:rPr>
            </w:pPr>
            <w:r w:rsidRPr="007245B0">
              <w:rPr>
                <w:rFonts w:ascii="Times New Roman" w:hAnsi="Times New Roman" w:cs="Times New Roman"/>
              </w:rPr>
              <w:t>32.91</w:t>
            </w:r>
          </w:p>
        </w:tc>
      </w:tr>
      <w:tr w:rsidR="002B7C1B" w:rsidRPr="007245B0" w14:paraId="3688E7B3" w14:textId="77777777" w:rsidTr="000411F6">
        <w:trPr>
          <w:trHeight w:val="411"/>
        </w:trPr>
        <w:tc>
          <w:tcPr>
            <w:tcW w:w="0" w:type="auto"/>
            <w:hideMark/>
          </w:tcPr>
          <w:p w14:paraId="58E603DD" w14:textId="77777777" w:rsidR="002B7C1B" w:rsidRPr="007245B0" w:rsidRDefault="002B7C1B" w:rsidP="002B7C1B">
            <w:pPr>
              <w:tabs>
                <w:tab w:val="left" w:pos="3168"/>
              </w:tabs>
              <w:spacing w:after="160" w:line="278" w:lineRule="auto"/>
              <w:rPr>
                <w:rFonts w:ascii="Times New Roman" w:hAnsi="Times New Roman" w:cs="Times New Roman"/>
              </w:rPr>
            </w:pPr>
            <w:r w:rsidRPr="007245B0">
              <w:rPr>
                <w:rFonts w:ascii="Times New Roman" w:hAnsi="Times New Roman" w:cs="Times New Roman"/>
              </w:rPr>
              <w:t>Haryana</w:t>
            </w:r>
          </w:p>
        </w:tc>
        <w:tc>
          <w:tcPr>
            <w:tcW w:w="0" w:type="auto"/>
            <w:vAlign w:val="center"/>
            <w:hideMark/>
          </w:tcPr>
          <w:p w14:paraId="0B2F2335" w14:textId="77777777" w:rsidR="002B7C1B" w:rsidRPr="007245B0" w:rsidRDefault="002B7C1B" w:rsidP="000411F6">
            <w:pPr>
              <w:tabs>
                <w:tab w:val="left" w:pos="3168"/>
              </w:tabs>
              <w:spacing w:after="160" w:line="278" w:lineRule="auto"/>
              <w:jc w:val="center"/>
              <w:rPr>
                <w:rFonts w:ascii="Times New Roman" w:hAnsi="Times New Roman" w:cs="Times New Roman"/>
              </w:rPr>
            </w:pPr>
            <w:r w:rsidRPr="007245B0">
              <w:rPr>
                <w:rFonts w:ascii="Times New Roman" w:hAnsi="Times New Roman" w:cs="Times New Roman"/>
              </w:rPr>
              <w:t>-</w:t>
            </w:r>
          </w:p>
        </w:tc>
        <w:tc>
          <w:tcPr>
            <w:tcW w:w="3994" w:type="dxa"/>
            <w:vAlign w:val="center"/>
            <w:hideMark/>
          </w:tcPr>
          <w:p w14:paraId="2A666DA4" w14:textId="77777777" w:rsidR="002B7C1B" w:rsidRPr="007245B0" w:rsidRDefault="002B7C1B" w:rsidP="000411F6">
            <w:pPr>
              <w:tabs>
                <w:tab w:val="left" w:pos="3168"/>
              </w:tabs>
              <w:spacing w:after="160" w:line="278" w:lineRule="auto"/>
              <w:jc w:val="center"/>
              <w:rPr>
                <w:rFonts w:ascii="Times New Roman" w:hAnsi="Times New Roman" w:cs="Times New Roman"/>
              </w:rPr>
            </w:pPr>
            <w:r w:rsidRPr="007245B0">
              <w:rPr>
                <w:rFonts w:ascii="Times New Roman" w:hAnsi="Times New Roman" w:cs="Times New Roman"/>
              </w:rPr>
              <w:t>-</w:t>
            </w:r>
          </w:p>
        </w:tc>
      </w:tr>
      <w:tr w:rsidR="002B7C1B" w:rsidRPr="007245B0" w14:paraId="350EABC4" w14:textId="77777777" w:rsidTr="000411F6">
        <w:trPr>
          <w:trHeight w:val="690"/>
        </w:trPr>
        <w:tc>
          <w:tcPr>
            <w:tcW w:w="0" w:type="auto"/>
            <w:hideMark/>
          </w:tcPr>
          <w:p w14:paraId="3D2D7D91" w14:textId="77777777" w:rsidR="002B7C1B" w:rsidRPr="007245B0" w:rsidRDefault="002B7C1B" w:rsidP="002B7C1B">
            <w:pPr>
              <w:tabs>
                <w:tab w:val="left" w:pos="3168"/>
              </w:tabs>
              <w:spacing w:after="160" w:line="278" w:lineRule="auto"/>
              <w:rPr>
                <w:rFonts w:ascii="Times New Roman" w:hAnsi="Times New Roman" w:cs="Times New Roman"/>
              </w:rPr>
            </w:pPr>
            <w:r w:rsidRPr="007245B0">
              <w:rPr>
                <w:rFonts w:ascii="Times New Roman" w:hAnsi="Times New Roman" w:cs="Times New Roman"/>
              </w:rPr>
              <w:t>Jammu and Kashmir</w:t>
            </w:r>
          </w:p>
        </w:tc>
        <w:tc>
          <w:tcPr>
            <w:tcW w:w="0" w:type="auto"/>
            <w:vAlign w:val="center"/>
            <w:hideMark/>
          </w:tcPr>
          <w:p w14:paraId="1536FEB7" w14:textId="77777777" w:rsidR="002B7C1B" w:rsidRPr="007245B0" w:rsidRDefault="002B7C1B" w:rsidP="000411F6">
            <w:pPr>
              <w:tabs>
                <w:tab w:val="left" w:pos="3168"/>
              </w:tabs>
              <w:spacing w:after="160" w:line="278" w:lineRule="auto"/>
              <w:jc w:val="center"/>
              <w:rPr>
                <w:rFonts w:ascii="Times New Roman" w:hAnsi="Times New Roman" w:cs="Times New Roman"/>
              </w:rPr>
            </w:pPr>
            <w:r w:rsidRPr="007245B0">
              <w:rPr>
                <w:rFonts w:ascii="Times New Roman" w:hAnsi="Times New Roman" w:cs="Times New Roman"/>
              </w:rPr>
              <w:t>N.A.</w:t>
            </w:r>
          </w:p>
        </w:tc>
        <w:tc>
          <w:tcPr>
            <w:tcW w:w="3994" w:type="dxa"/>
            <w:vAlign w:val="center"/>
            <w:hideMark/>
          </w:tcPr>
          <w:p w14:paraId="79D6808D" w14:textId="77777777" w:rsidR="002B7C1B" w:rsidRPr="007245B0" w:rsidRDefault="002B7C1B" w:rsidP="000411F6">
            <w:pPr>
              <w:tabs>
                <w:tab w:val="left" w:pos="3168"/>
              </w:tabs>
              <w:spacing w:after="160" w:line="278" w:lineRule="auto"/>
              <w:jc w:val="center"/>
              <w:rPr>
                <w:rFonts w:ascii="Times New Roman" w:hAnsi="Times New Roman" w:cs="Times New Roman"/>
              </w:rPr>
            </w:pPr>
            <w:r w:rsidRPr="007245B0">
              <w:rPr>
                <w:rFonts w:ascii="Times New Roman" w:hAnsi="Times New Roman" w:cs="Times New Roman"/>
              </w:rPr>
              <w:t>N.A.</w:t>
            </w:r>
          </w:p>
        </w:tc>
      </w:tr>
      <w:tr w:rsidR="002B7C1B" w:rsidRPr="007245B0" w14:paraId="06595CD0" w14:textId="77777777" w:rsidTr="000411F6">
        <w:trPr>
          <w:trHeight w:val="401"/>
        </w:trPr>
        <w:tc>
          <w:tcPr>
            <w:tcW w:w="0" w:type="auto"/>
            <w:hideMark/>
          </w:tcPr>
          <w:p w14:paraId="0EE05280" w14:textId="77777777" w:rsidR="002B7C1B" w:rsidRPr="007245B0" w:rsidRDefault="002B7C1B" w:rsidP="002B7C1B">
            <w:pPr>
              <w:tabs>
                <w:tab w:val="left" w:pos="3168"/>
              </w:tabs>
              <w:spacing w:after="160" w:line="278" w:lineRule="auto"/>
              <w:rPr>
                <w:rFonts w:ascii="Times New Roman" w:hAnsi="Times New Roman" w:cs="Times New Roman"/>
              </w:rPr>
            </w:pPr>
            <w:r w:rsidRPr="007245B0">
              <w:rPr>
                <w:rFonts w:ascii="Times New Roman" w:hAnsi="Times New Roman" w:cs="Times New Roman"/>
              </w:rPr>
              <w:t>Kerala</w:t>
            </w:r>
          </w:p>
        </w:tc>
        <w:tc>
          <w:tcPr>
            <w:tcW w:w="0" w:type="auto"/>
            <w:vAlign w:val="center"/>
            <w:hideMark/>
          </w:tcPr>
          <w:p w14:paraId="4EC9B93D" w14:textId="77777777" w:rsidR="002B7C1B" w:rsidRPr="007245B0" w:rsidRDefault="002B7C1B" w:rsidP="000411F6">
            <w:pPr>
              <w:tabs>
                <w:tab w:val="left" w:pos="3168"/>
              </w:tabs>
              <w:spacing w:after="160" w:line="278" w:lineRule="auto"/>
              <w:jc w:val="center"/>
              <w:rPr>
                <w:rFonts w:ascii="Times New Roman" w:hAnsi="Times New Roman" w:cs="Times New Roman"/>
              </w:rPr>
            </w:pPr>
            <w:r w:rsidRPr="007245B0">
              <w:rPr>
                <w:rFonts w:ascii="Times New Roman" w:hAnsi="Times New Roman" w:cs="Times New Roman"/>
              </w:rPr>
              <w:t>-</w:t>
            </w:r>
          </w:p>
        </w:tc>
        <w:tc>
          <w:tcPr>
            <w:tcW w:w="3994" w:type="dxa"/>
            <w:vAlign w:val="center"/>
            <w:hideMark/>
          </w:tcPr>
          <w:p w14:paraId="2BD4309A" w14:textId="77777777" w:rsidR="002B7C1B" w:rsidRPr="007245B0" w:rsidRDefault="002B7C1B" w:rsidP="000411F6">
            <w:pPr>
              <w:tabs>
                <w:tab w:val="left" w:pos="3168"/>
              </w:tabs>
              <w:spacing w:after="160" w:line="278" w:lineRule="auto"/>
              <w:jc w:val="center"/>
              <w:rPr>
                <w:rFonts w:ascii="Times New Roman" w:hAnsi="Times New Roman" w:cs="Times New Roman"/>
              </w:rPr>
            </w:pPr>
            <w:r w:rsidRPr="007245B0">
              <w:rPr>
                <w:rFonts w:ascii="Times New Roman" w:hAnsi="Times New Roman" w:cs="Times New Roman"/>
              </w:rPr>
              <w:t>-</w:t>
            </w:r>
          </w:p>
        </w:tc>
      </w:tr>
      <w:tr w:rsidR="002B7C1B" w:rsidRPr="007245B0" w14:paraId="637ACEFF" w14:textId="77777777" w:rsidTr="000411F6">
        <w:trPr>
          <w:trHeight w:val="690"/>
        </w:trPr>
        <w:tc>
          <w:tcPr>
            <w:tcW w:w="0" w:type="auto"/>
            <w:hideMark/>
          </w:tcPr>
          <w:p w14:paraId="2D4A5B60" w14:textId="77777777" w:rsidR="002B7C1B" w:rsidRPr="007245B0" w:rsidRDefault="002B7C1B" w:rsidP="002B7C1B">
            <w:pPr>
              <w:tabs>
                <w:tab w:val="left" w:pos="3168"/>
              </w:tabs>
              <w:spacing w:after="160" w:line="278" w:lineRule="auto"/>
              <w:rPr>
                <w:rFonts w:ascii="Times New Roman" w:hAnsi="Times New Roman" w:cs="Times New Roman"/>
              </w:rPr>
            </w:pPr>
            <w:r w:rsidRPr="007245B0">
              <w:rPr>
                <w:rFonts w:ascii="Times New Roman" w:hAnsi="Times New Roman" w:cs="Times New Roman"/>
              </w:rPr>
              <w:t>Madhya Pradesh</w:t>
            </w:r>
          </w:p>
        </w:tc>
        <w:tc>
          <w:tcPr>
            <w:tcW w:w="0" w:type="auto"/>
            <w:vAlign w:val="center"/>
            <w:hideMark/>
          </w:tcPr>
          <w:p w14:paraId="18A0341D" w14:textId="77777777" w:rsidR="002B7C1B" w:rsidRPr="007245B0" w:rsidRDefault="002B7C1B" w:rsidP="000411F6">
            <w:pPr>
              <w:tabs>
                <w:tab w:val="left" w:pos="3168"/>
              </w:tabs>
              <w:spacing w:after="160" w:line="278" w:lineRule="auto"/>
              <w:jc w:val="center"/>
              <w:rPr>
                <w:rFonts w:ascii="Times New Roman" w:hAnsi="Times New Roman" w:cs="Times New Roman"/>
              </w:rPr>
            </w:pPr>
            <w:r w:rsidRPr="007245B0">
              <w:rPr>
                <w:rFonts w:ascii="Times New Roman" w:hAnsi="Times New Roman" w:cs="Times New Roman"/>
              </w:rPr>
              <w:t>143.82</w:t>
            </w:r>
          </w:p>
        </w:tc>
        <w:tc>
          <w:tcPr>
            <w:tcW w:w="3994" w:type="dxa"/>
            <w:vAlign w:val="center"/>
            <w:hideMark/>
          </w:tcPr>
          <w:p w14:paraId="54FC05E4" w14:textId="77777777" w:rsidR="002B7C1B" w:rsidRPr="007245B0" w:rsidRDefault="002B7C1B" w:rsidP="000411F6">
            <w:pPr>
              <w:tabs>
                <w:tab w:val="left" w:pos="3168"/>
              </w:tabs>
              <w:spacing w:after="160" w:line="278" w:lineRule="auto"/>
              <w:jc w:val="center"/>
              <w:rPr>
                <w:rFonts w:ascii="Times New Roman" w:hAnsi="Times New Roman" w:cs="Times New Roman"/>
              </w:rPr>
            </w:pPr>
            <w:r w:rsidRPr="007245B0">
              <w:rPr>
                <w:rFonts w:ascii="Times New Roman" w:hAnsi="Times New Roman" w:cs="Times New Roman"/>
              </w:rPr>
              <w:t>259.91</w:t>
            </w:r>
          </w:p>
        </w:tc>
      </w:tr>
      <w:tr w:rsidR="002B7C1B" w:rsidRPr="007245B0" w14:paraId="0889AC77" w14:textId="77777777" w:rsidTr="000411F6">
        <w:trPr>
          <w:trHeight w:val="411"/>
        </w:trPr>
        <w:tc>
          <w:tcPr>
            <w:tcW w:w="0" w:type="auto"/>
            <w:hideMark/>
          </w:tcPr>
          <w:p w14:paraId="7963FE4D" w14:textId="77777777" w:rsidR="002B7C1B" w:rsidRPr="007245B0" w:rsidRDefault="002B7C1B" w:rsidP="002B7C1B">
            <w:pPr>
              <w:tabs>
                <w:tab w:val="left" w:pos="3168"/>
              </w:tabs>
              <w:spacing w:after="160" w:line="278" w:lineRule="auto"/>
              <w:rPr>
                <w:rFonts w:ascii="Times New Roman" w:hAnsi="Times New Roman" w:cs="Times New Roman"/>
              </w:rPr>
            </w:pPr>
            <w:r w:rsidRPr="007245B0">
              <w:rPr>
                <w:rFonts w:ascii="Times New Roman" w:hAnsi="Times New Roman" w:cs="Times New Roman"/>
              </w:rPr>
              <w:t>Maharashtra</w:t>
            </w:r>
          </w:p>
        </w:tc>
        <w:tc>
          <w:tcPr>
            <w:tcW w:w="0" w:type="auto"/>
            <w:vAlign w:val="center"/>
            <w:hideMark/>
          </w:tcPr>
          <w:p w14:paraId="0C1FBEDF" w14:textId="77777777" w:rsidR="002B7C1B" w:rsidRPr="007245B0" w:rsidRDefault="002B7C1B" w:rsidP="000411F6">
            <w:pPr>
              <w:tabs>
                <w:tab w:val="left" w:pos="3168"/>
              </w:tabs>
              <w:spacing w:after="160" w:line="278" w:lineRule="auto"/>
              <w:jc w:val="center"/>
              <w:rPr>
                <w:rFonts w:ascii="Times New Roman" w:hAnsi="Times New Roman" w:cs="Times New Roman"/>
              </w:rPr>
            </w:pPr>
            <w:r w:rsidRPr="007245B0">
              <w:rPr>
                <w:rFonts w:ascii="Times New Roman" w:hAnsi="Times New Roman" w:cs="Times New Roman"/>
              </w:rPr>
              <w:t>12.39</w:t>
            </w:r>
          </w:p>
        </w:tc>
        <w:tc>
          <w:tcPr>
            <w:tcW w:w="3994" w:type="dxa"/>
            <w:vAlign w:val="center"/>
            <w:hideMark/>
          </w:tcPr>
          <w:p w14:paraId="38EA1DE5" w14:textId="77777777" w:rsidR="002B7C1B" w:rsidRPr="007245B0" w:rsidRDefault="002B7C1B" w:rsidP="000411F6">
            <w:pPr>
              <w:tabs>
                <w:tab w:val="left" w:pos="3168"/>
              </w:tabs>
              <w:spacing w:after="160" w:line="278" w:lineRule="auto"/>
              <w:jc w:val="center"/>
              <w:rPr>
                <w:rFonts w:ascii="Times New Roman" w:hAnsi="Times New Roman" w:cs="Times New Roman"/>
              </w:rPr>
            </w:pPr>
            <w:r w:rsidRPr="007245B0">
              <w:rPr>
                <w:rFonts w:ascii="Times New Roman" w:hAnsi="Times New Roman" w:cs="Times New Roman"/>
              </w:rPr>
              <w:t>23.79</w:t>
            </w:r>
          </w:p>
        </w:tc>
      </w:tr>
      <w:tr w:rsidR="002B7C1B" w:rsidRPr="007245B0" w14:paraId="27BA88F6" w14:textId="77777777" w:rsidTr="000411F6">
        <w:trPr>
          <w:trHeight w:val="411"/>
        </w:trPr>
        <w:tc>
          <w:tcPr>
            <w:tcW w:w="0" w:type="auto"/>
            <w:hideMark/>
          </w:tcPr>
          <w:p w14:paraId="24AA15A4" w14:textId="77777777" w:rsidR="002B7C1B" w:rsidRPr="007245B0" w:rsidRDefault="002B7C1B" w:rsidP="002B7C1B">
            <w:pPr>
              <w:tabs>
                <w:tab w:val="left" w:pos="3168"/>
              </w:tabs>
              <w:spacing w:after="160" w:line="278" w:lineRule="auto"/>
              <w:rPr>
                <w:rFonts w:ascii="Times New Roman" w:hAnsi="Times New Roman" w:cs="Times New Roman"/>
              </w:rPr>
            </w:pPr>
            <w:r w:rsidRPr="007245B0">
              <w:rPr>
                <w:rFonts w:ascii="Times New Roman" w:hAnsi="Times New Roman" w:cs="Times New Roman"/>
              </w:rPr>
              <w:t>Mysore</w:t>
            </w:r>
          </w:p>
        </w:tc>
        <w:tc>
          <w:tcPr>
            <w:tcW w:w="0" w:type="auto"/>
            <w:vAlign w:val="center"/>
            <w:hideMark/>
          </w:tcPr>
          <w:p w14:paraId="2C0D0833" w14:textId="77777777" w:rsidR="002B7C1B" w:rsidRPr="007245B0" w:rsidRDefault="002B7C1B" w:rsidP="000411F6">
            <w:pPr>
              <w:tabs>
                <w:tab w:val="left" w:pos="3168"/>
              </w:tabs>
              <w:spacing w:after="160" w:line="278" w:lineRule="auto"/>
              <w:jc w:val="center"/>
              <w:rPr>
                <w:rFonts w:ascii="Times New Roman" w:hAnsi="Times New Roman" w:cs="Times New Roman"/>
              </w:rPr>
            </w:pPr>
            <w:r w:rsidRPr="007245B0">
              <w:rPr>
                <w:rFonts w:ascii="Times New Roman" w:hAnsi="Times New Roman" w:cs="Times New Roman"/>
              </w:rPr>
              <w:t>17.91</w:t>
            </w:r>
          </w:p>
        </w:tc>
        <w:tc>
          <w:tcPr>
            <w:tcW w:w="3994" w:type="dxa"/>
            <w:vAlign w:val="center"/>
            <w:hideMark/>
          </w:tcPr>
          <w:p w14:paraId="0B005B48" w14:textId="77777777" w:rsidR="002B7C1B" w:rsidRPr="007245B0" w:rsidRDefault="002B7C1B" w:rsidP="000411F6">
            <w:pPr>
              <w:tabs>
                <w:tab w:val="left" w:pos="3168"/>
              </w:tabs>
              <w:spacing w:after="160" w:line="278" w:lineRule="auto"/>
              <w:jc w:val="center"/>
              <w:rPr>
                <w:rFonts w:ascii="Times New Roman" w:hAnsi="Times New Roman" w:cs="Times New Roman"/>
              </w:rPr>
            </w:pPr>
            <w:r w:rsidRPr="007245B0">
              <w:rPr>
                <w:rFonts w:ascii="Times New Roman" w:hAnsi="Times New Roman" w:cs="Times New Roman"/>
              </w:rPr>
              <w:t>24.46</w:t>
            </w:r>
          </w:p>
        </w:tc>
      </w:tr>
      <w:tr w:rsidR="002B7C1B" w:rsidRPr="007245B0" w14:paraId="6EAD13DF" w14:textId="77777777" w:rsidTr="000411F6">
        <w:trPr>
          <w:trHeight w:val="401"/>
        </w:trPr>
        <w:tc>
          <w:tcPr>
            <w:tcW w:w="0" w:type="auto"/>
            <w:hideMark/>
          </w:tcPr>
          <w:p w14:paraId="3A251ADC" w14:textId="77777777" w:rsidR="002B7C1B" w:rsidRPr="007245B0" w:rsidRDefault="002B7C1B" w:rsidP="002B7C1B">
            <w:pPr>
              <w:tabs>
                <w:tab w:val="left" w:pos="3168"/>
              </w:tabs>
              <w:spacing w:after="160" w:line="278" w:lineRule="auto"/>
              <w:rPr>
                <w:rFonts w:ascii="Times New Roman" w:hAnsi="Times New Roman" w:cs="Times New Roman"/>
              </w:rPr>
            </w:pPr>
            <w:r w:rsidRPr="007245B0">
              <w:rPr>
                <w:rFonts w:ascii="Times New Roman" w:hAnsi="Times New Roman" w:cs="Times New Roman"/>
              </w:rPr>
              <w:t>Nagaland</w:t>
            </w:r>
          </w:p>
        </w:tc>
        <w:tc>
          <w:tcPr>
            <w:tcW w:w="0" w:type="auto"/>
            <w:vAlign w:val="center"/>
            <w:hideMark/>
          </w:tcPr>
          <w:p w14:paraId="3C844D6D" w14:textId="77777777" w:rsidR="002B7C1B" w:rsidRPr="007245B0" w:rsidRDefault="002B7C1B" w:rsidP="000411F6">
            <w:pPr>
              <w:tabs>
                <w:tab w:val="left" w:pos="3168"/>
              </w:tabs>
              <w:spacing w:after="160" w:line="278" w:lineRule="auto"/>
              <w:jc w:val="center"/>
              <w:rPr>
                <w:rFonts w:ascii="Times New Roman" w:hAnsi="Times New Roman" w:cs="Times New Roman"/>
              </w:rPr>
            </w:pPr>
            <w:r w:rsidRPr="007245B0">
              <w:rPr>
                <w:rFonts w:ascii="Times New Roman" w:hAnsi="Times New Roman" w:cs="Times New Roman"/>
              </w:rPr>
              <w:t>N.A.</w:t>
            </w:r>
          </w:p>
        </w:tc>
        <w:tc>
          <w:tcPr>
            <w:tcW w:w="3994" w:type="dxa"/>
            <w:vAlign w:val="center"/>
            <w:hideMark/>
          </w:tcPr>
          <w:p w14:paraId="3A9B30D4" w14:textId="77777777" w:rsidR="002B7C1B" w:rsidRPr="007245B0" w:rsidRDefault="002B7C1B" w:rsidP="000411F6">
            <w:pPr>
              <w:tabs>
                <w:tab w:val="left" w:pos="3168"/>
              </w:tabs>
              <w:spacing w:after="160" w:line="278" w:lineRule="auto"/>
              <w:jc w:val="center"/>
              <w:rPr>
                <w:rFonts w:ascii="Times New Roman" w:hAnsi="Times New Roman" w:cs="Times New Roman"/>
              </w:rPr>
            </w:pPr>
            <w:r w:rsidRPr="007245B0">
              <w:rPr>
                <w:rFonts w:ascii="Times New Roman" w:hAnsi="Times New Roman" w:cs="Times New Roman"/>
              </w:rPr>
              <w:t>N.A.</w:t>
            </w:r>
          </w:p>
        </w:tc>
      </w:tr>
      <w:tr w:rsidR="002B7C1B" w:rsidRPr="007245B0" w14:paraId="17D65F92" w14:textId="77777777" w:rsidTr="000411F6">
        <w:trPr>
          <w:trHeight w:val="411"/>
        </w:trPr>
        <w:tc>
          <w:tcPr>
            <w:tcW w:w="0" w:type="auto"/>
            <w:hideMark/>
          </w:tcPr>
          <w:p w14:paraId="00E05092" w14:textId="77777777" w:rsidR="002B7C1B" w:rsidRPr="007245B0" w:rsidRDefault="002B7C1B" w:rsidP="002B7C1B">
            <w:pPr>
              <w:tabs>
                <w:tab w:val="left" w:pos="3168"/>
              </w:tabs>
              <w:spacing w:after="160" w:line="278" w:lineRule="auto"/>
              <w:rPr>
                <w:rFonts w:ascii="Times New Roman" w:hAnsi="Times New Roman" w:cs="Times New Roman"/>
              </w:rPr>
            </w:pPr>
            <w:r w:rsidRPr="007245B0">
              <w:rPr>
                <w:rFonts w:ascii="Times New Roman" w:hAnsi="Times New Roman" w:cs="Times New Roman"/>
              </w:rPr>
              <w:t>Orissa</w:t>
            </w:r>
          </w:p>
        </w:tc>
        <w:tc>
          <w:tcPr>
            <w:tcW w:w="0" w:type="auto"/>
            <w:vAlign w:val="center"/>
            <w:hideMark/>
          </w:tcPr>
          <w:p w14:paraId="387F9C93" w14:textId="77777777" w:rsidR="002B7C1B" w:rsidRPr="007245B0" w:rsidRDefault="002B7C1B" w:rsidP="000411F6">
            <w:pPr>
              <w:tabs>
                <w:tab w:val="left" w:pos="3168"/>
              </w:tabs>
              <w:spacing w:after="160" w:line="278" w:lineRule="auto"/>
              <w:jc w:val="center"/>
              <w:rPr>
                <w:rFonts w:ascii="Times New Roman" w:hAnsi="Times New Roman" w:cs="Times New Roman"/>
              </w:rPr>
            </w:pPr>
            <w:r w:rsidRPr="007245B0">
              <w:rPr>
                <w:rFonts w:ascii="Times New Roman" w:hAnsi="Times New Roman" w:cs="Times New Roman"/>
              </w:rPr>
              <w:t>30.14</w:t>
            </w:r>
          </w:p>
        </w:tc>
        <w:tc>
          <w:tcPr>
            <w:tcW w:w="3994" w:type="dxa"/>
            <w:vAlign w:val="center"/>
            <w:hideMark/>
          </w:tcPr>
          <w:p w14:paraId="12A67B56" w14:textId="77777777" w:rsidR="002B7C1B" w:rsidRPr="007245B0" w:rsidRDefault="002B7C1B" w:rsidP="000411F6">
            <w:pPr>
              <w:tabs>
                <w:tab w:val="left" w:pos="3168"/>
              </w:tabs>
              <w:spacing w:after="160" w:line="278" w:lineRule="auto"/>
              <w:jc w:val="center"/>
              <w:rPr>
                <w:rFonts w:ascii="Times New Roman" w:hAnsi="Times New Roman" w:cs="Times New Roman"/>
              </w:rPr>
            </w:pPr>
            <w:r w:rsidRPr="007245B0">
              <w:rPr>
                <w:rFonts w:ascii="Times New Roman" w:hAnsi="Times New Roman" w:cs="Times New Roman"/>
              </w:rPr>
              <w:t>49.90</w:t>
            </w:r>
          </w:p>
        </w:tc>
      </w:tr>
      <w:tr w:rsidR="002B7C1B" w:rsidRPr="007245B0" w14:paraId="0E12804C" w14:textId="77777777" w:rsidTr="000411F6">
        <w:trPr>
          <w:trHeight w:val="411"/>
        </w:trPr>
        <w:tc>
          <w:tcPr>
            <w:tcW w:w="0" w:type="auto"/>
            <w:hideMark/>
          </w:tcPr>
          <w:p w14:paraId="161D28E7" w14:textId="77777777" w:rsidR="002B7C1B" w:rsidRPr="007245B0" w:rsidRDefault="002B7C1B" w:rsidP="002B7C1B">
            <w:pPr>
              <w:tabs>
                <w:tab w:val="left" w:pos="3168"/>
              </w:tabs>
              <w:spacing w:after="160" w:line="278" w:lineRule="auto"/>
              <w:rPr>
                <w:rFonts w:ascii="Times New Roman" w:hAnsi="Times New Roman" w:cs="Times New Roman"/>
              </w:rPr>
            </w:pPr>
            <w:r w:rsidRPr="007245B0">
              <w:rPr>
                <w:rFonts w:ascii="Times New Roman" w:hAnsi="Times New Roman" w:cs="Times New Roman"/>
              </w:rPr>
              <w:t>Punjab</w:t>
            </w:r>
          </w:p>
        </w:tc>
        <w:tc>
          <w:tcPr>
            <w:tcW w:w="0" w:type="auto"/>
            <w:vAlign w:val="center"/>
            <w:hideMark/>
          </w:tcPr>
          <w:p w14:paraId="77B6D69E" w14:textId="77777777" w:rsidR="002B7C1B" w:rsidRPr="007245B0" w:rsidRDefault="002B7C1B" w:rsidP="000411F6">
            <w:pPr>
              <w:tabs>
                <w:tab w:val="left" w:pos="3168"/>
              </w:tabs>
              <w:spacing w:after="160" w:line="278" w:lineRule="auto"/>
              <w:jc w:val="center"/>
              <w:rPr>
                <w:rFonts w:ascii="Times New Roman" w:hAnsi="Times New Roman" w:cs="Times New Roman"/>
              </w:rPr>
            </w:pPr>
            <w:r w:rsidRPr="007245B0">
              <w:rPr>
                <w:rFonts w:ascii="Times New Roman" w:hAnsi="Times New Roman" w:cs="Times New Roman"/>
              </w:rPr>
              <w:t>-</w:t>
            </w:r>
          </w:p>
        </w:tc>
        <w:tc>
          <w:tcPr>
            <w:tcW w:w="3994" w:type="dxa"/>
            <w:vAlign w:val="center"/>
            <w:hideMark/>
          </w:tcPr>
          <w:p w14:paraId="3C546E26" w14:textId="77777777" w:rsidR="002B7C1B" w:rsidRPr="007245B0" w:rsidRDefault="002B7C1B" w:rsidP="000411F6">
            <w:pPr>
              <w:tabs>
                <w:tab w:val="left" w:pos="3168"/>
              </w:tabs>
              <w:spacing w:after="160" w:line="278" w:lineRule="auto"/>
              <w:jc w:val="center"/>
              <w:rPr>
                <w:rFonts w:ascii="Times New Roman" w:hAnsi="Times New Roman" w:cs="Times New Roman"/>
              </w:rPr>
            </w:pPr>
            <w:r w:rsidRPr="007245B0">
              <w:rPr>
                <w:rFonts w:ascii="Times New Roman" w:hAnsi="Times New Roman" w:cs="Times New Roman"/>
              </w:rPr>
              <w:t>-</w:t>
            </w:r>
          </w:p>
        </w:tc>
      </w:tr>
      <w:tr w:rsidR="002B7C1B" w:rsidRPr="007245B0" w14:paraId="176D44A3" w14:textId="77777777" w:rsidTr="000411F6">
        <w:trPr>
          <w:trHeight w:val="401"/>
        </w:trPr>
        <w:tc>
          <w:tcPr>
            <w:tcW w:w="0" w:type="auto"/>
            <w:hideMark/>
          </w:tcPr>
          <w:p w14:paraId="76D0AAF0" w14:textId="77777777" w:rsidR="002B7C1B" w:rsidRPr="007245B0" w:rsidRDefault="002B7C1B" w:rsidP="002B7C1B">
            <w:pPr>
              <w:tabs>
                <w:tab w:val="left" w:pos="3168"/>
              </w:tabs>
              <w:spacing w:after="160" w:line="278" w:lineRule="auto"/>
              <w:rPr>
                <w:rFonts w:ascii="Times New Roman" w:hAnsi="Times New Roman" w:cs="Times New Roman"/>
              </w:rPr>
            </w:pPr>
            <w:r w:rsidRPr="007245B0">
              <w:rPr>
                <w:rFonts w:ascii="Times New Roman" w:hAnsi="Times New Roman" w:cs="Times New Roman"/>
              </w:rPr>
              <w:t>Rajasthan</w:t>
            </w:r>
          </w:p>
        </w:tc>
        <w:tc>
          <w:tcPr>
            <w:tcW w:w="0" w:type="auto"/>
            <w:vAlign w:val="center"/>
            <w:hideMark/>
          </w:tcPr>
          <w:p w14:paraId="3E3AB665" w14:textId="77777777" w:rsidR="002B7C1B" w:rsidRPr="007245B0" w:rsidRDefault="002B7C1B" w:rsidP="000411F6">
            <w:pPr>
              <w:tabs>
                <w:tab w:val="left" w:pos="3168"/>
              </w:tabs>
              <w:spacing w:after="160" w:line="278" w:lineRule="auto"/>
              <w:jc w:val="center"/>
              <w:rPr>
                <w:rFonts w:ascii="Times New Roman" w:hAnsi="Times New Roman" w:cs="Times New Roman"/>
              </w:rPr>
            </w:pPr>
            <w:r w:rsidRPr="007245B0">
              <w:rPr>
                <w:rFonts w:ascii="Times New Roman" w:hAnsi="Times New Roman" w:cs="Times New Roman"/>
              </w:rPr>
              <w:t>88.70</w:t>
            </w:r>
          </w:p>
        </w:tc>
        <w:tc>
          <w:tcPr>
            <w:tcW w:w="3994" w:type="dxa"/>
            <w:vAlign w:val="center"/>
            <w:hideMark/>
          </w:tcPr>
          <w:p w14:paraId="6D74083F" w14:textId="77777777" w:rsidR="002B7C1B" w:rsidRPr="007245B0" w:rsidRDefault="002B7C1B" w:rsidP="000411F6">
            <w:pPr>
              <w:tabs>
                <w:tab w:val="left" w:pos="3168"/>
              </w:tabs>
              <w:spacing w:after="160" w:line="278" w:lineRule="auto"/>
              <w:jc w:val="center"/>
              <w:rPr>
                <w:rFonts w:ascii="Times New Roman" w:hAnsi="Times New Roman" w:cs="Times New Roman"/>
              </w:rPr>
            </w:pPr>
            <w:r w:rsidRPr="007245B0">
              <w:rPr>
                <w:rFonts w:ascii="Times New Roman" w:hAnsi="Times New Roman" w:cs="Times New Roman"/>
              </w:rPr>
              <w:t>204.14</w:t>
            </w:r>
          </w:p>
        </w:tc>
      </w:tr>
      <w:tr w:rsidR="002B7C1B" w:rsidRPr="007245B0" w14:paraId="0AE54026" w14:textId="77777777" w:rsidTr="000411F6">
        <w:trPr>
          <w:trHeight w:val="411"/>
        </w:trPr>
        <w:tc>
          <w:tcPr>
            <w:tcW w:w="0" w:type="auto"/>
            <w:hideMark/>
          </w:tcPr>
          <w:p w14:paraId="55EEDC7B" w14:textId="77777777" w:rsidR="002B7C1B" w:rsidRPr="007245B0" w:rsidRDefault="002B7C1B" w:rsidP="002B7C1B">
            <w:pPr>
              <w:tabs>
                <w:tab w:val="left" w:pos="3168"/>
              </w:tabs>
              <w:spacing w:after="160" w:line="278" w:lineRule="auto"/>
              <w:rPr>
                <w:rFonts w:ascii="Times New Roman" w:hAnsi="Times New Roman" w:cs="Times New Roman"/>
              </w:rPr>
            </w:pPr>
            <w:r w:rsidRPr="007245B0">
              <w:rPr>
                <w:rFonts w:ascii="Times New Roman" w:hAnsi="Times New Roman" w:cs="Times New Roman"/>
              </w:rPr>
              <w:t>Tamil Nadu</w:t>
            </w:r>
          </w:p>
        </w:tc>
        <w:tc>
          <w:tcPr>
            <w:tcW w:w="0" w:type="auto"/>
            <w:vAlign w:val="center"/>
            <w:hideMark/>
          </w:tcPr>
          <w:p w14:paraId="478D4E86" w14:textId="77777777" w:rsidR="002B7C1B" w:rsidRPr="007245B0" w:rsidRDefault="002B7C1B" w:rsidP="000411F6">
            <w:pPr>
              <w:tabs>
                <w:tab w:val="left" w:pos="3168"/>
              </w:tabs>
              <w:spacing w:after="160" w:line="278" w:lineRule="auto"/>
              <w:jc w:val="center"/>
              <w:rPr>
                <w:rFonts w:ascii="Times New Roman" w:hAnsi="Times New Roman" w:cs="Times New Roman"/>
              </w:rPr>
            </w:pPr>
            <w:r w:rsidRPr="007245B0">
              <w:rPr>
                <w:rFonts w:ascii="Times New Roman" w:hAnsi="Times New Roman" w:cs="Times New Roman"/>
              </w:rPr>
              <w:t>-</w:t>
            </w:r>
          </w:p>
        </w:tc>
        <w:tc>
          <w:tcPr>
            <w:tcW w:w="3994" w:type="dxa"/>
            <w:vAlign w:val="center"/>
            <w:hideMark/>
          </w:tcPr>
          <w:p w14:paraId="130A3D7B" w14:textId="77777777" w:rsidR="002B7C1B" w:rsidRPr="007245B0" w:rsidRDefault="002B7C1B" w:rsidP="000411F6">
            <w:pPr>
              <w:tabs>
                <w:tab w:val="left" w:pos="3168"/>
              </w:tabs>
              <w:spacing w:after="160" w:line="278" w:lineRule="auto"/>
              <w:jc w:val="center"/>
              <w:rPr>
                <w:rFonts w:ascii="Times New Roman" w:hAnsi="Times New Roman" w:cs="Times New Roman"/>
              </w:rPr>
            </w:pPr>
            <w:r w:rsidRPr="007245B0">
              <w:rPr>
                <w:rFonts w:ascii="Times New Roman" w:hAnsi="Times New Roman" w:cs="Times New Roman"/>
              </w:rPr>
              <w:t>-</w:t>
            </w:r>
          </w:p>
        </w:tc>
      </w:tr>
      <w:tr w:rsidR="002B7C1B" w:rsidRPr="007245B0" w14:paraId="4A087EEE" w14:textId="77777777" w:rsidTr="000411F6">
        <w:trPr>
          <w:trHeight w:val="411"/>
        </w:trPr>
        <w:tc>
          <w:tcPr>
            <w:tcW w:w="0" w:type="auto"/>
            <w:hideMark/>
          </w:tcPr>
          <w:p w14:paraId="17DAA894" w14:textId="77777777" w:rsidR="002B7C1B" w:rsidRPr="007245B0" w:rsidRDefault="002B7C1B" w:rsidP="002B7C1B">
            <w:pPr>
              <w:tabs>
                <w:tab w:val="left" w:pos="3168"/>
              </w:tabs>
              <w:spacing w:after="160" w:line="278" w:lineRule="auto"/>
              <w:rPr>
                <w:rFonts w:ascii="Times New Roman" w:hAnsi="Times New Roman" w:cs="Times New Roman"/>
              </w:rPr>
            </w:pPr>
            <w:r w:rsidRPr="007245B0">
              <w:rPr>
                <w:rFonts w:ascii="Times New Roman" w:hAnsi="Times New Roman" w:cs="Times New Roman"/>
              </w:rPr>
              <w:t>Uttar Pradesh</w:t>
            </w:r>
          </w:p>
        </w:tc>
        <w:tc>
          <w:tcPr>
            <w:tcW w:w="0" w:type="auto"/>
            <w:vAlign w:val="center"/>
            <w:hideMark/>
          </w:tcPr>
          <w:p w14:paraId="3A820723" w14:textId="77777777" w:rsidR="002B7C1B" w:rsidRPr="007245B0" w:rsidRDefault="002B7C1B" w:rsidP="000411F6">
            <w:pPr>
              <w:tabs>
                <w:tab w:val="left" w:pos="3168"/>
              </w:tabs>
              <w:spacing w:after="160" w:line="278" w:lineRule="auto"/>
              <w:jc w:val="center"/>
              <w:rPr>
                <w:rFonts w:ascii="Times New Roman" w:hAnsi="Times New Roman" w:cs="Times New Roman"/>
              </w:rPr>
            </w:pPr>
            <w:r w:rsidRPr="007245B0">
              <w:rPr>
                <w:rFonts w:ascii="Times New Roman" w:hAnsi="Times New Roman" w:cs="Times New Roman"/>
              </w:rPr>
              <w:t>9.88</w:t>
            </w:r>
          </w:p>
        </w:tc>
        <w:tc>
          <w:tcPr>
            <w:tcW w:w="3994" w:type="dxa"/>
            <w:vAlign w:val="center"/>
            <w:hideMark/>
          </w:tcPr>
          <w:p w14:paraId="2958AD99" w14:textId="77777777" w:rsidR="002B7C1B" w:rsidRPr="007245B0" w:rsidRDefault="002B7C1B" w:rsidP="000411F6">
            <w:pPr>
              <w:tabs>
                <w:tab w:val="left" w:pos="3168"/>
              </w:tabs>
              <w:spacing w:after="160" w:line="278" w:lineRule="auto"/>
              <w:jc w:val="center"/>
              <w:rPr>
                <w:rFonts w:ascii="Times New Roman" w:hAnsi="Times New Roman" w:cs="Times New Roman"/>
              </w:rPr>
            </w:pPr>
            <w:r w:rsidRPr="007245B0">
              <w:rPr>
                <w:rFonts w:ascii="Times New Roman" w:hAnsi="Times New Roman" w:cs="Times New Roman"/>
              </w:rPr>
              <w:t>22.74</w:t>
            </w:r>
          </w:p>
        </w:tc>
      </w:tr>
      <w:tr w:rsidR="002B7C1B" w:rsidRPr="007245B0" w14:paraId="5A92ACED" w14:textId="77777777" w:rsidTr="000411F6">
        <w:trPr>
          <w:trHeight w:val="401"/>
        </w:trPr>
        <w:tc>
          <w:tcPr>
            <w:tcW w:w="0" w:type="auto"/>
            <w:hideMark/>
          </w:tcPr>
          <w:p w14:paraId="42FA3AB7" w14:textId="77777777" w:rsidR="002B7C1B" w:rsidRPr="007245B0" w:rsidRDefault="002B7C1B" w:rsidP="002B7C1B">
            <w:pPr>
              <w:tabs>
                <w:tab w:val="left" w:pos="3168"/>
              </w:tabs>
              <w:spacing w:after="160" w:line="278" w:lineRule="auto"/>
              <w:rPr>
                <w:rFonts w:ascii="Times New Roman" w:hAnsi="Times New Roman" w:cs="Times New Roman"/>
              </w:rPr>
            </w:pPr>
            <w:r w:rsidRPr="007245B0">
              <w:rPr>
                <w:rFonts w:ascii="Times New Roman" w:hAnsi="Times New Roman" w:cs="Times New Roman"/>
              </w:rPr>
              <w:t>West Bengal</w:t>
            </w:r>
          </w:p>
        </w:tc>
        <w:tc>
          <w:tcPr>
            <w:tcW w:w="0" w:type="auto"/>
            <w:vAlign w:val="center"/>
            <w:hideMark/>
          </w:tcPr>
          <w:p w14:paraId="14AB588C" w14:textId="77777777" w:rsidR="002B7C1B" w:rsidRPr="007245B0" w:rsidRDefault="002B7C1B" w:rsidP="000411F6">
            <w:pPr>
              <w:tabs>
                <w:tab w:val="left" w:pos="3168"/>
              </w:tabs>
              <w:spacing w:after="160" w:line="278" w:lineRule="auto"/>
              <w:jc w:val="center"/>
              <w:rPr>
                <w:rFonts w:ascii="Times New Roman" w:hAnsi="Times New Roman" w:cs="Times New Roman"/>
              </w:rPr>
            </w:pPr>
            <w:r w:rsidRPr="007245B0">
              <w:rPr>
                <w:rFonts w:ascii="Times New Roman" w:hAnsi="Times New Roman" w:cs="Times New Roman"/>
              </w:rPr>
              <w:t>-</w:t>
            </w:r>
          </w:p>
        </w:tc>
        <w:tc>
          <w:tcPr>
            <w:tcW w:w="3994" w:type="dxa"/>
            <w:vAlign w:val="center"/>
            <w:hideMark/>
          </w:tcPr>
          <w:p w14:paraId="0C70B314" w14:textId="77777777" w:rsidR="002B7C1B" w:rsidRPr="007245B0" w:rsidRDefault="002B7C1B" w:rsidP="000411F6">
            <w:pPr>
              <w:tabs>
                <w:tab w:val="left" w:pos="3168"/>
              </w:tabs>
              <w:spacing w:after="160" w:line="278" w:lineRule="auto"/>
              <w:jc w:val="center"/>
              <w:rPr>
                <w:rFonts w:ascii="Times New Roman" w:hAnsi="Times New Roman" w:cs="Times New Roman"/>
              </w:rPr>
            </w:pPr>
            <w:r w:rsidRPr="007245B0">
              <w:rPr>
                <w:rFonts w:ascii="Times New Roman" w:hAnsi="Times New Roman" w:cs="Times New Roman"/>
              </w:rPr>
              <w:t>-</w:t>
            </w:r>
          </w:p>
        </w:tc>
      </w:tr>
      <w:tr w:rsidR="002B7C1B" w:rsidRPr="007245B0" w14:paraId="142988B8" w14:textId="77777777" w:rsidTr="000411F6">
        <w:trPr>
          <w:trHeight w:val="401"/>
        </w:trPr>
        <w:tc>
          <w:tcPr>
            <w:tcW w:w="0" w:type="auto"/>
            <w:hideMark/>
          </w:tcPr>
          <w:p w14:paraId="4800F5CF" w14:textId="77777777" w:rsidR="002B7C1B" w:rsidRPr="007245B0" w:rsidRDefault="002B7C1B" w:rsidP="002B7C1B">
            <w:pPr>
              <w:tabs>
                <w:tab w:val="left" w:pos="3168"/>
              </w:tabs>
              <w:spacing w:after="160" w:line="278" w:lineRule="auto"/>
              <w:rPr>
                <w:rFonts w:ascii="Times New Roman" w:hAnsi="Times New Roman" w:cs="Times New Roman"/>
              </w:rPr>
            </w:pPr>
            <w:r w:rsidRPr="007245B0">
              <w:rPr>
                <w:rFonts w:ascii="Times New Roman" w:hAnsi="Times New Roman" w:cs="Times New Roman"/>
              </w:rPr>
              <w:t>TOTAL</w:t>
            </w:r>
          </w:p>
        </w:tc>
        <w:tc>
          <w:tcPr>
            <w:tcW w:w="0" w:type="auto"/>
            <w:vAlign w:val="center"/>
            <w:hideMark/>
          </w:tcPr>
          <w:p w14:paraId="67E2EDBF" w14:textId="77777777" w:rsidR="002B7C1B" w:rsidRPr="007245B0" w:rsidRDefault="002B7C1B" w:rsidP="000411F6">
            <w:pPr>
              <w:tabs>
                <w:tab w:val="left" w:pos="3168"/>
              </w:tabs>
              <w:spacing w:after="160" w:line="278" w:lineRule="auto"/>
              <w:jc w:val="center"/>
              <w:rPr>
                <w:rFonts w:ascii="Times New Roman" w:hAnsi="Times New Roman" w:cs="Times New Roman"/>
              </w:rPr>
            </w:pPr>
            <w:r w:rsidRPr="007245B0">
              <w:rPr>
                <w:rFonts w:ascii="Times New Roman" w:hAnsi="Times New Roman" w:cs="Times New Roman"/>
              </w:rPr>
              <w:t>351.36*</w:t>
            </w:r>
          </w:p>
        </w:tc>
        <w:tc>
          <w:tcPr>
            <w:tcW w:w="3994" w:type="dxa"/>
            <w:vAlign w:val="center"/>
            <w:hideMark/>
          </w:tcPr>
          <w:p w14:paraId="07C7B9A4" w14:textId="77777777" w:rsidR="002B7C1B" w:rsidRPr="007245B0" w:rsidRDefault="002B7C1B" w:rsidP="000411F6">
            <w:pPr>
              <w:tabs>
                <w:tab w:val="left" w:pos="3168"/>
              </w:tabs>
              <w:spacing w:after="160" w:line="278" w:lineRule="auto"/>
              <w:jc w:val="center"/>
              <w:rPr>
                <w:rFonts w:ascii="Times New Roman" w:hAnsi="Times New Roman" w:cs="Times New Roman"/>
              </w:rPr>
            </w:pPr>
            <w:r w:rsidRPr="007245B0">
              <w:rPr>
                <w:rFonts w:ascii="Times New Roman" w:hAnsi="Times New Roman" w:cs="Times New Roman"/>
              </w:rPr>
              <w:t>681.20*</w:t>
            </w:r>
          </w:p>
        </w:tc>
      </w:tr>
    </w:tbl>
    <w:p w14:paraId="7B02D2DC" w14:textId="77777777" w:rsidR="002B7C1B" w:rsidRPr="007245B0" w:rsidRDefault="002B7C1B" w:rsidP="008E2A3E">
      <w:pPr>
        <w:pStyle w:val="Heading4"/>
      </w:pPr>
      <w:bookmarkStart w:id="36" w:name="_Toc220949682"/>
      <w:bookmarkStart w:id="37" w:name="_Toc221114282"/>
      <w:bookmarkStart w:id="38" w:name="_Toc221115305"/>
      <w:r w:rsidRPr="007245B0">
        <w:t>Table 2: Measurement of Sparsity of Population in States</w:t>
      </w:r>
      <w:bookmarkEnd w:id="36"/>
      <w:bookmarkEnd w:id="37"/>
      <w:bookmarkEnd w:id="38"/>
    </w:p>
    <w:p w14:paraId="3963E22C" w14:textId="0FFE2E3D" w:rsidR="002B7C1B" w:rsidRPr="007245B0" w:rsidRDefault="002B7C1B" w:rsidP="002B7C1B">
      <w:pPr>
        <w:rPr>
          <w:rFonts w:ascii="Times New Roman" w:hAnsi="Times New Roman" w:cs="Times New Roman"/>
          <w:sz w:val="20"/>
          <w:szCs w:val="18"/>
        </w:rPr>
      </w:pPr>
      <w:r w:rsidRPr="007245B0">
        <w:rPr>
          <w:rFonts w:ascii="Times New Roman" w:hAnsi="Times New Roman" w:cs="Times New Roman"/>
          <w:sz w:val="20"/>
          <w:szCs w:val="18"/>
        </w:rPr>
        <w:t>*Excluding Jammu and Kashmir and Nagaland.​</w:t>
      </w:r>
      <w:r w:rsidRPr="007245B0">
        <w:rPr>
          <w:rFonts w:ascii="Times New Roman" w:hAnsi="Times New Roman" w:cs="Times New Roman"/>
          <w:sz w:val="20"/>
          <w:szCs w:val="18"/>
        </w:rPr>
        <w:br/>
        <w:t>**On the basis of the factor: F = 808.65/351.36 = 0.023015 (Sq. Km./person), and taking the minimum figure.​</w:t>
      </w:r>
      <w:r w:rsidRPr="007245B0">
        <w:rPr>
          <w:rFonts w:ascii="Times New Roman" w:hAnsi="Times New Roman" w:cs="Times New Roman"/>
          <w:sz w:val="20"/>
          <w:szCs w:val="18"/>
        </w:rPr>
        <w:br/>
        <w:t>(a) The figures in this column are either the actual area occupied or the average area, whichever is lower.</w:t>
      </w:r>
      <w:r w:rsidRPr="007245B0">
        <w:rPr>
          <w:rFonts w:ascii="Times New Roman" w:hAnsi="Times New Roman" w:cs="Times New Roman"/>
          <w:sz w:val="20"/>
          <w:szCs w:val="18"/>
        </w:rPr>
        <w:br/>
      </w:r>
    </w:p>
    <w:p w14:paraId="7B6385B6" w14:textId="77777777" w:rsidR="00AA5BC9" w:rsidRDefault="00AA5BC9" w:rsidP="008E2A3E">
      <w:pPr>
        <w:pStyle w:val="Heading4"/>
      </w:pPr>
      <w:bookmarkStart w:id="39" w:name="_Toc220949683"/>
      <w:bookmarkStart w:id="40" w:name="_Toc221114283"/>
      <w:bookmarkStart w:id="41" w:name="_Toc221115306"/>
      <w:r w:rsidRPr="007245B0">
        <w:lastRenderedPageBreak/>
        <w:t>Table 3: Population of Scheduled Castes and Scheduled Tribes in States (1961 Census)</w:t>
      </w:r>
      <w:bookmarkEnd w:id="39"/>
      <w:bookmarkEnd w:id="40"/>
      <w:bookmarkEnd w:id="41"/>
    </w:p>
    <w:p w14:paraId="03FD8C83" w14:textId="77777777" w:rsidR="000411F6" w:rsidRPr="000411F6" w:rsidRDefault="000411F6" w:rsidP="000411F6"/>
    <w:tbl>
      <w:tblPr>
        <w:tblW w:w="10883" w:type="dxa"/>
        <w:jc w:val="center"/>
        <w:tblLook w:val="04A0" w:firstRow="1" w:lastRow="0" w:firstColumn="1" w:lastColumn="0" w:noHBand="0" w:noVBand="1"/>
      </w:tblPr>
      <w:tblGrid>
        <w:gridCol w:w="1416"/>
        <w:gridCol w:w="1324"/>
        <w:gridCol w:w="1640"/>
        <w:gridCol w:w="1507"/>
        <w:gridCol w:w="1430"/>
        <w:gridCol w:w="1337"/>
        <w:gridCol w:w="1324"/>
        <w:gridCol w:w="1430"/>
      </w:tblGrid>
      <w:tr w:rsidR="00EF645B" w:rsidRPr="008E2A3E" w14:paraId="65B092BC" w14:textId="77777777" w:rsidTr="008E2A3E">
        <w:trPr>
          <w:trHeight w:val="280"/>
          <w:jc w:val="center"/>
        </w:trPr>
        <w:tc>
          <w:tcPr>
            <w:tcW w:w="1308" w:type="dxa"/>
            <w:vMerge w:val="restart"/>
            <w:tcBorders>
              <w:top w:val="single" w:sz="4" w:space="0" w:color="auto"/>
              <w:left w:val="single" w:sz="4" w:space="0" w:color="auto"/>
              <w:bottom w:val="single" w:sz="4" w:space="0" w:color="000000"/>
              <w:right w:val="single" w:sz="4" w:space="0" w:color="auto"/>
            </w:tcBorders>
            <w:vAlign w:val="center"/>
            <w:hideMark/>
          </w:tcPr>
          <w:p w14:paraId="1436C000" w14:textId="77777777" w:rsidR="00366F91" w:rsidRPr="008E2A3E" w:rsidRDefault="00366F91" w:rsidP="00366F91">
            <w:pPr>
              <w:spacing w:after="0" w:line="240" w:lineRule="auto"/>
              <w:jc w:val="center"/>
              <w:rPr>
                <w:rFonts w:ascii="Times New Roman" w:eastAsia="Times New Roman" w:hAnsi="Times New Roman" w:cs="Times New Roman"/>
                <w:b/>
                <w:bCs/>
                <w:color w:val="000000"/>
                <w:kern w:val="0"/>
                <w:szCs w:val="24"/>
                <w:lang w:eastAsia="en-IN"/>
                <w14:ligatures w14:val="none"/>
              </w:rPr>
            </w:pPr>
            <w:r w:rsidRPr="008E2A3E">
              <w:rPr>
                <w:rFonts w:ascii="Times New Roman" w:eastAsia="Times New Roman" w:hAnsi="Times New Roman" w:cs="Times New Roman"/>
                <w:b/>
                <w:bCs/>
                <w:color w:val="000000"/>
                <w:kern w:val="0"/>
                <w:szCs w:val="24"/>
                <w:lang w:eastAsia="en-IN"/>
                <w14:ligatures w14:val="none"/>
              </w:rPr>
              <w:t>States</w:t>
            </w:r>
          </w:p>
        </w:tc>
        <w:tc>
          <w:tcPr>
            <w:tcW w:w="1294" w:type="dxa"/>
            <w:vMerge w:val="restart"/>
            <w:tcBorders>
              <w:top w:val="single" w:sz="4" w:space="0" w:color="auto"/>
              <w:left w:val="single" w:sz="4" w:space="0" w:color="auto"/>
              <w:bottom w:val="single" w:sz="4" w:space="0" w:color="000000"/>
              <w:right w:val="single" w:sz="4" w:space="0" w:color="auto"/>
            </w:tcBorders>
            <w:vAlign w:val="center"/>
            <w:hideMark/>
          </w:tcPr>
          <w:p w14:paraId="13708D41" w14:textId="77777777" w:rsidR="00366F91" w:rsidRPr="008E2A3E" w:rsidRDefault="00366F91" w:rsidP="00366F91">
            <w:pPr>
              <w:spacing w:after="0" w:line="240" w:lineRule="auto"/>
              <w:jc w:val="center"/>
              <w:rPr>
                <w:rFonts w:ascii="Times New Roman" w:eastAsia="Times New Roman" w:hAnsi="Times New Roman" w:cs="Times New Roman"/>
                <w:b/>
                <w:bCs/>
                <w:color w:val="000000"/>
                <w:kern w:val="0"/>
                <w:szCs w:val="24"/>
                <w:lang w:eastAsia="en-IN"/>
                <w14:ligatures w14:val="none"/>
              </w:rPr>
            </w:pPr>
            <w:r w:rsidRPr="008E2A3E">
              <w:rPr>
                <w:rFonts w:ascii="Times New Roman" w:eastAsia="Times New Roman" w:hAnsi="Times New Roman" w:cs="Times New Roman"/>
                <w:b/>
                <w:bCs/>
                <w:color w:val="000000"/>
                <w:kern w:val="0"/>
                <w:szCs w:val="24"/>
                <w:lang w:eastAsia="en-IN"/>
                <w14:ligatures w14:val="none"/>
              </w:rPr>
              <w:t>Total population (lakhs)</w:t>
            </w:r>
          </w:p>
        </w:tc>
        <w:tc>
          <w:tcPr>
            <w:tcW w:w="4576" w:type="dxa"/>
            <w:gridSpan w:val="3"/>
            <w:tcBorders>
              <w:top w:val="single" w:sz="4" w:space="0" w:color="auto"/>
              <w:left w:val="nil"/>
              <w:bottom w:val="single" w:sz="4" w:space="0" w:color="auto"/>
              <w:right w:val="single" w:sz="4" w:space="0" w:color="auto"/>
            </w:tcBorders>
            <w:noWrap/>
            <w:vAlign w:val="center"/>
            <w:hideMark/>
          </w:tcPr>
          <w:p w14:paraId="5FE7B481" w14:textId="77777777" w:rsidR="00366F91" w:rsidRPr="008E2A3E" w:rsidRDefault="00366F91" w:rsidP="00366F91">
            <w:pPr>
              <w:spacing w:after="0" w:line="240" w:lineRule="auto"/>
              <w:jc w:val="center"/>
              <w:rPr>
                <w:rFonts w:ascii="Times New Roman" w:eastAsia="Times New Roman" w:hAnsi="Times New Roman" w:cs="Times New Roman"/>
                <w:b/>
                <w:bCs/>
                <w:color w:val="000000"/>
                <w:kern w:val="0"/>
                <w:szCs w:val="24"/>
                <w:lang w:eastAsia="en-IN"/>
                <w14:ligatures w14:val="none"/>
              </w:rPr>
            </w:pPr>
            <w:r w:rsidRPr="008E2A3E">
              <w:rPr>
                <w:rFonts w:ascii="Times New Roman" w:eastAsia="Times New Roman" w:hAnsi="Times New Roman" w:cs="Times New Roman"/>
                <w:b/>
                <w:bCs/>
                <w:color w:val="000000"/>
                <w:kern w:val="0"/>
                <w:szCs w:val="24"/>
                <w:lang w:eastAsia="en-IN"/>
                <w14:ligatures w14:val="none"/>
              </w:rPr>
              <w:t>Scheduled Castes</w:t>
            </w:r>
          </w:p>
        </w:tc>
        <w:tc>
          <w:tcPr>
            <w:tcW w:w="3705" w:type="dxa"/>
            <w:gridSpan w:val="3"/>
            <w:tcBorders>
              <w:top w:val="single" w:sz="4" w:space="0" w:color="auto"/>
              <w:left w:val="nil"/>
              <w:bottom w:val="single" w:sz="4" w:space="0" w:color="auto"/>
              <w:right w:val="single" w:sz="4" w:space="0" w:color="auto"/>
            </w:tcBorders>
            <w:noWrap/>
            <w:vAlign w:val="center"/>
            <w:hideMark/>
          </w:tcPr>
          <w:p w14:paraId="5704940D" w14:textId="0DEF9D71" w:rsidR="00366F91" w:rsidRPr="008E2A3E" w:rsidRDefault="00366F91" w:rsidP="00366F91">
            <w:pPr>
              <w:spacing w:after="0" w:line="240" w:lineRule="auto"/>
              <w:jc w:val="center"/>
              <w:rPr>
                <w:rFonts w:ascii="Times New Roman" w:eastAsia="Times New Roman" w:hAnsi="Times New Roman" w:cs="Times New Roman"/>
                <w:b/>
                <w:bCs/>
                <w:color w:val="000000"/>
                <w:kern w:val="0"/>
                <w:szCs w:val="24"/>
                <w:lang w:eastAsia="en-IN"/>
                <w14:ligatures w14:val="none"/>
              </w:rPr>
            </w:pPr>
            <w:r w:rsidRPr="008E2A3E">
              <w:rPr>
                <w:rFonts w:ascii="Times New Roman" w:eastAsia="Times New Roman" w:hAnsi="Times New Roman" w:cs="Times New Roman"/>
                <w:b/>
                <w:bCs/>
                <w:color w:val="000000"/>
                <w:kern w:val="0"/>
                <w:szCs w:val="24"/>
                <w:lang w:eastAsia="en-IN"/>
                <w14:ligatures w14:val="none"/>
              </w:rPr>
              <w:t>Scheduled</w:t>
            </w:r>
            <w:r w:rsidR="00155CF1">
              <w:rPr>
                <w:rFonts w:ascii="Times New Roman" w:eastAsia="Times New Roman" w:hAnsi="Times New Roman" w:cs="Times New Roman"/>
                <w:b/>
                <w:bCs/>
                <w:color w:val="000000"/>
                <w:kern w:val="0"/>
                <w:szCs w:val="24"/>
                <w:lang w:eastAsia="en-IN"/>
                <w14:ligatures w14:val="none"/>
              </w:rPr>
              <w:t xml:space="preserve"> Tribe </w:t>
            </w:r>
          </w:p>
        </w:tc>
      </w:tr>
      <w:tr w:rsidR="00366F91" w:rsidRPr="008E2A3E" w14:paraId="6D4094C6" w14:textId="77777777" w:rsidTr="008E2A3E">
        <w:trPr>
          <w:trHeight w:val="1868"/>
          <w:jc w:val="center"/>
        </w:trPr>
        <w:tc>
          <w:tcPr>
            <w:tcW w:w="1308" w:type="dxa"/>
            <w:vMerge/>
            <w:tcBorders>
              <w:top w:val="single" w:sz="4" w:space="0" w:color="auto"/>
              <w:left w:val="single" w:sz="4" w:space="0" w:color="auto"/>
              <w:bottom w:val="single" w:sz="4" w:space="0" w:color="000000"/>
              <w:right w:val="single" w:sz="4" w:space="0" w:color="auto"/>
            </w:tcBorders>
            <w:vAlign w:val="center"/>
            <w:hideMark/>
          </w:tcPr>
          <w:p w14:paraId="41FA123C" w14:textId="77777777" w:rsidR="00366F91" w:rsidRPr="008E2A3E" w:rsidRDefault="00366F91" w:rsidP="00366F91">
            <w:pPr>
              <w:spacing w:after="0" w:line="240" w:lineRule="auto"/>
              <w:rPr>
                <w:rFonts w:ascii="Times New Roman" w:eastAsia="Times New Roman" w:hAnsi="Times New Roman" w:cs="Times New Roman"/>
                <w:b/>
                <w:bCs/>
                <w:color w:val="000000"/>
                <w:kern w:val="0"/>
                <w:szCs w:val="24"/>
                <w:lang w:eastAsia="en-IN"/>
                <w14:ligatures w14:val="none"/>
              </w:rPr>
            </w:pPr>
          </w:p>
        </w:tc>
        <w:tc>
          <w:tcPr>
            <w:tcW w:w="1294" w:type="dxa"/>
            <w:vMerge/>
            <w:tcBorders>
              <w:top w:val="single" w:sz="4" w:space="0" w:color="auto"/>
              <w:left w:val="single" w:sz="4" w:space="0" w:color="auto"/>
              <w:bottom w:val="single" w:sz="4" w:space="0" w:color="000000"/>
              <w:right w:val="single" w:sz="4" w:space="0" w:color="auto"/>
            </w:tcBorders>
            <w:vAlign w:val="center"/>
            <w:hideMark/>
          </w:tcPr>
          <w:p w14:paraId="319A5CC4" w14:textId="77777777" w:rsidR="00366F91" w:rsidRPr="008E2A3E" w:rsidRDefault="00366F91" w:rsidP="00366F91">
            <w:pPr>
              <w:spacing w:after="0" w:line="240" w:lineRule="auto"/>
              <w:rPr>
                <w:rFonts w:ascii="Times New Roman" w:eastAsia="Times New Roman" w:hAnsi="Times New Roman" w:cs="Times New Roman"/>
                <w:b/>
                <w:bCs/>
                <w:color w:val="000000"/>
                <w:kern w:val="0"/>
                <w:szCs w:val="24"/>
                <w:lang w:eastAsia="en-IN"/>
                <w14:ligatures w14:val="none"/>
              </w:rPr>
            </w:pPr>
          </w:p>
        </w:tc>
        <w:tc>
          <w:tcPr>
            <w:tcW w:w="1699" w:type="dxa"/>
            <w:tcBorders>
              <w:top w:val="nil"/>
              <w:left w:val="nil"/>
              <w:bottom w:val="single" w:sz="4" w:space="0" w:color="auto"/>
              <w:right w:val="single" w:sz="4" w:space="0" w:color="auto"/>
            </w:tcBorders>
            <w:vAlign w:val="center"/>
            <w:hideMark/>
          </w:tcPr>
          <w:p w14:paraId="09E5A44C" w14:textId="77777777" w:rsidR="00366F91" w:rsidRPr="008E2A3E" w:rsidRDefault="00366F91" w:rsidP="00366F91">
            <w:pPr>
              <w:spacing w:after="0" w:line="240" w:lineRule="auto"/>
              <w:jc w:val="center"/>
              <w:rPr>
                <w:rFonts w:ascii="Times New Roman" w:eastAsia="Times New Roman" w:hAnsi="Times New Roman" w:cs="Times New Roman"/>
                <w:b/>
                <w:bCs/>
                <w:color w:val="000000"/>
                <w:kern w:val="0"/>
                <w:szCs w:val="24"/>
                <w:lang w:eastAsia="en-IN"/>
                <w14:ligatures w14:val="none"/>
              </w:rPr>
            </w:pPr>
            <w:r w:rsidRPr="008E2A3E">
              <w:rPr>
                <w:rFonts w:ascii="Times New Roman" w:eastAsia="Times New Roman" w:hAnsi="Times New Roman" w:cs="Times New Roman"/>
                <w:b/>
                <w:bCs/>
                <w:color w:val="000000"/>
                <w:kern w:val="0"/>
                <w:szCs w:val="24"/>
                <w:lang w:eastAsia="en-IN"/>
                <w14:ligatures w14:val="none"/>
              </w:rPr>
              <w:t xml:space="preserve"> Total  population (lakhs)</w:t>
            </w:r>
          </w:p>
        </w:tc>
        <w:tc>
          <w:tcPr>
            <w:tcW w:w="1595" w:type="dxa"/>
            <w:tcBorders>
              <w:top w:val="nil"/>
              <w:left w:val="nil"/>
              <w:bottom w:val="single" w:sz="4" w:space="0" w:color="auto"/>
              <w:right w:val="single" w:sz="4" w:space="0" w:color="auto"/>
            </w:tcBorders>
            <w:vAlign w:val="center"/>
            <w:hideMark/>
          </w:tcPr>
          <w:p w14:paraId="49DCA9F6" w14:textId="77777777" w:rsidR="00366F91" w:rsidRPr="008E2A3E" w:rsidRDefault="00366F91" w:rsidP="00366F91">
            <w:pPr>
              <w:spacing w:after="0" w:line="240" w:lineRule="auto"/>
              <w:jc w:val="center"/>
              <w:rPr>
                <w:rFonts w:ascii="Times New Roman" w:eastAsia="Times New Roman" w:hAnsi="Times New Roman" w:cs="Times New Roman"/>
                <w:b/>
                <w:bCs/>
                <w:color w:val="000000"/>
                <w:kern w:val="0"/>
                <w:szCs w:val="24"/>
                <w:lang w:eastAsia="en-IN"/>
                <w14:ligatures w14:val="none"/>
              </w:rPr>
            </w:pPr>
            <w:r w:rsidRPr="008E2A3E">
              <w:rPr>
                <w:rFonts w:ascii="Times New Roman" w:eastAsia="Times New Roman" w:hAnsi="Times New Roman" w:cs="Times New Roman"/>
                <w:b/>
                <w:bCs/>
                <w:color w:val="000000"/>
                <w:kern w:val="0"/>
                <w:szCs w:val="24"/>
                <w:lang w:eastAsia="en-IN"/>
                <w14:ligatures w14:val="none"/>
              </w:rPr>
              <w:t>Percent of age Scheduled Castes to State's population</w:t>
            </w:r>
          </w:p>
        </w:tc>
        <w:tc>
          <w:tcPr>
            <w:tcW w:w="1281" w:type="dxa"/>
            <w:tcBorders>
              <w:top w:val="nil"/>
              <w:left w:val="nil"/>
              <w:bottom w:val="single" w:sz="4" w:space="0" w:color="auto"/>
              <w:right w:val="single" w:sz="4" w:space="0" w:color="auto"/>
            </w:tcBorders>
            <w:vAlign w:val="center"/>
            <w:hideMark/>
          </w:tcPr>
          <w:p w14:paraId="31711E9B" w14:textId="0B92CB8E" w:rsidR="00366F91" w:rsidRPr="008E2A3E" w:rsidRDefault="000411F6" w:rsidP="00366F91">
            <w:pPr>
              <w:spacing w:after="0" w:line="240" w:lineRule="auto"/>
              <w:jc w:val="center"/>
              <w:rPr>
                <w:rFonts w:ascii="Times New Roman" w:eastAsia="Times New Roman" w:hAnsi="Times New Roman" w:cs="Times New Roman"/>
                <w:b/>
                <w:bCs/>
                <w:color w:val="000000"/>
                <w:kern w:val="0"/>
                <w:szCs w:val="24"/>
                <w:lang w:eastAsia="en-IN"/>
                <w14:ligatures w14:val="none"/>
              </w:rPr>
            </w:pPr>
            <w:r w:rsidRPr="008E2A3E">
              <w:rPr>
                <w:rFonts w:ascii="Times New Roman" w:eastAsia="Times New Roman" w:hAnsi="Times New Roman" w:cs="Times New Roman"/>
                <w:b/>
                <w:bCs/>
                <w:color w:val="000000"/>
                <w:kern w:val="0"/>
                <w:szCs w:val="24"/>
                <w:lang w:eastAsia="en-IN"/>
                <w14:ligatures w14:val="none"/>
              </w:rPr>
              <w:t>Percentage</w:t>
            </w:r>
            <w:r w:rsidR="00366F91" w:rsidRPr="008E2A3E">
              <w:rPr>
                <w:rFonts w:ascii="Times New Roman" w:eastAsia="Times New Roman" w:hAnsi="Times New Roman" w:cs="Times New Roman"/>
                <w:b/>
                <w:bCs/>
                <w:color w:val="000000"/>
                <w:kern w:val="0"/>
                <w:szCs w:val="24"/>
                <w:lang w:eastAsia="en-IN"/>
                <w14:ligatures w14:val="none"/>
              </w:rPr>
              <w:t xml:space="preserve"> distribution</w:t>
            </w:r>
          </w:p>
        </w:tc>
        <w:tc>
          <w:tcPr>
            <w:tcW w:w="1211" w:type="dxa"/>
            <w:tcBorders>
              <w:top w:val="nil"/>
              <w:left w:val="nil"/>
              <w:bottom w:val="single" w:sz="4" w:space="0" w:color="auto"/>
              <w:right w:val="single" w:sz="4" w:space="0" w:color="auto"/>
            </w:tcBorders>
            <w:vAlign w:val="center"/>
            <w:hideMark/>
          </w:tcPr>
          <w:p w14:paraId="5BAFEAC9" w14:textId="77777777" w:rsidR="00366F91" w:rsidRPr="008E2A3E" w:rsidRDefault="00366F91" w:rsidP="00366F91">
            <w:pPr>
              <w:spacing w:after="0" w:line="240" w:lineRule="auto"/>
              <w:jc w:val="center"/>
              <w:rPr>
                <w:rFonts w:ascii="Times New Roman" w:eastAsia="Times New Roman" w:hAnsi="Times New Roman" w:cs="Times New Roman"/>
                <w:b/>
                <w:bCs/>
                <w:color w:val="000000"/>
                <w:kern w:val="0"/>
                <w:szCs w:val="24"/>
                <w:lang w:eastAsia="en-IN"/>
                <w14:ligatures w14:val="none"/>
              </w:rPr>
            </w:pPr>
            <w:r w:rsidRPr="008E2A3E">
              <w:rPr>
                <w:rFonts w:ascii="Times New Roman" w:eastAsia="Times New Roman" w:hAnsi="Times New Roman" w:cs="Times New Roman"/>
                <w:b/>
                <w:bCs/>
                <w:color w:val="000000"/>
                <w:kern w:val="0"/>
                <w:szCs w:val="24"/>
                <w:lang w:eastAsia="en-IN"/>
                <w14:ligatures w14:val="none"/>
              </w:rPr>
              <w:t>Total Population (lakhs)</w:t>
            </w:r>
          </w:p>
        </w:tc>
        <w:tc>
          <w:tcPr>
            <w:tcW w:w="1213" w:type="dxa"/>
            <w:tcBorders>
              <w:top w:val="nil"/>
              <w:left w:val="nil"/>
              <w:bottom w:val="single" w:sz="4" w:space="0" w:color="auto"/>
              <w:right w:val="single" w:sz="4" w:space="0" w:color="auto"/>
            </w:tcBorders>
            <w:vAlign w:val="center"/>
            <w:hideMark/>
          </w:tcPr>
          <w:p w14:paraId="06CF0FFE" w14:textId="77777777" w:rsidR="00366F91" w:rsidRPr="008E2A3E" w:rsidRDefault="00366F91" w:rsidP="00366F91">
            <w:pPr>
              <w:spacing w:after="0" w:line="240" w:lineRule="auto"/>
              <w:jc w:val="center"/>
              <w:rPr>
                <w:rFonts w:ascii="Times New Roman" w:eastAsia="Times New Roman" w:hAnsi="Times New Roman" w:cs="Times New Roman"/>
                <w:b/>
                <w:bCs/>
                <w:color w:val="000000"/>
                <w:kern w:val="0"/>
                <w:szCs w:val="24"/>
                <w:lang w:eastAsia="en-IN"/>
                <w14:ligatures w14:val="none"/>
              </w:rPr>
            </w:pPr>
            <w:r w:rsidRPr="008E2A3E">
              <w:rPr>
                <w:rFonts w:ascii="Times New Roman" w:eastAsia="Times New Roman" w:hAnsi="Times New Roman" w:cs="Times New Roman"/>
                <w:b/>
                <w:bCs/>
                <w:color w:val="000000"/>
                <w:kern w:val="0"/>
                <w:szCs w:val="24"/>
                <w:lang w:eastAsia="en-IN"/>
                <w14:ligatures w14:val="none"/>
              </w:rPr>
              <w:t>Percent of age Scheduled Tribes to State's population</w:t>
            </w:r>
          </w:p>
        </w:tc>
        <w:tc>
          <w:tcPr>
            <w:tcW w:w="1281" w:type="dxa"/>
            <w:tcBorders>
              <w:top w:val="nil"/>
              <w:left w:val="nil"/>
              <w:bottom w:val="single" w:sz="4" w:space="0" w:color="auto"/>
              <w:right w:val="single" w:sz="4" w:space="0" w:color="auto"/>
            </w:tcBorders>
            <w:vAlign w:val="center"/>
            <w:hideMark/>
          </w:tcPr>
          <w:p w14:paraId="50A53720" w14:textId="6CBE4A00" w:rsidR="00366F91" w:rsidRPr="008E2A3E" w:rsidRDefault="000411F6" w:rsidP="00366F91">
            <w:pPr>
              <w:spacing w:after="0" w:line="240" w:lineRule="auto"/>
              <w:jc w:val="center"/>
              <w:rPr>
                <w:rFonts w:ascii="Times New Roman" w:eastAsia="Times New Roman" w:hAnsi="Times New Roman" w:cs="Times New Roman"/>
                <w:b/>
                <w:bCs/>
                <w:color w:val="000000"/>
                <w:kern w:val="0"/>
                <w:szCs w:val="24"/>
                <w:lang w:eastAsia="en-IN"/>
                <w14:ligatures w14:val="none"/>
              </w:rPr>
            </w:pPr>
            <w:r w:rsidRPr="008E2A3E">
              <w:rPr>
                <w:rFonts w:ascii="Times New Roman" w:eastAsia="Times New Roman" w:hAnsi="Times New Roman" w:cs="Times New Roman"/>
                <w:b/>
                <w:bCs/>
                <w:color w:val="000000"/>
                <w:kern w:val="0"/>
                <w:szCs w:val="24"/>
                <w:lang w:eastAsia="en-IN"/>
                <w14:ligatures w14:val="none"/>
              </w:rPr>
              <w:t>Percentage</w:t>
            </w:r>
            <w:r w:rsidR="00366F91" w:rsidRPr="008E2A3E">
              <w:rPr>
                <w:rFonts w:ascii="Times New Roman" w:eastAsia="Times New Roman" w:hAnsi="Times New Roman" w:cs="Times New Roman"/>
                <w:b/>
                <w:bCs/>
                <w:color w:val="000000"/>
                <w:kern w:val="0"/>
                <w:szCs w:val="24"/>
                <w:lang w:eastAsia="en-IN"/>
                <w14:ligatures w14:val="none"/>
              </w:rPr>
              <w:t xml:space="preserve"> distribution</w:t>
            </w:r>
          </w:p>
        </w:tc>
      </w:tr>
      <w:tr w:rsidR="00366F91" w:rsidRPr="008E2A3E" w14:paraId="5F7F1676" w14:textId="77777777" w:rsidTr="008E2A3E">
        <w:trPr>
          <w:trHeight w:val="280"/>
          <w:jc w:val="center"/>
        </w:trPr>
        <w:tc>
          <w:tcPr>
            <w:tcW w:w="1308" w:type="dxa"/>
            <w:tcBorders>
              <w:top w:val="nil"/>
              <w:left w:val="single" w:sz="4" w:space="0" w:color="auto"/>
              <w:bottom w:val="single" w:sz="4" w:space="0" w:color="auto"/>
              <w:right w:val="single" w:sz="4" w:space="0" w:color="auto"/>
            </w:tcBorders>
            <w:vAlign w:val="center"/>
            <w:hideMark/>
          </w:tcPr>
          <w:p w14:paraId="61985B13" w14:textId="77777777" w:rsidR="00366F91" w:rsidRPr="008E2A3E" w:rsidRDefault="00366F91" w:rsidP="00366F91">
            <w:pPr>
              <w:spacing w:after="0" w:line="240" w:lineRule="auto"/>
              <w:jc w:val="center"/>
              <w:rPr>
                <w:rFonts w:ascii="Times New Roman" w:eastAsia="Times New Roman" w:hAnsi="Times New Roman" w:cs="Times New Roman"/>
                <w:b/>
                <w:bCs/>
                <w:color w:val="000000"/>
                <w:kern w:val="0"/>
                <w:szCs w:val="24"/>
                <w:lang w:eastAsia="en-IN"/>
                <w14:ligatures w14:val="none"/>
              </w:rPr>
            </w:pPr>
            <w:r w:rsidRPr="008E2A3E">
              <w:rPr>
                <w:rFonts w:ascii="Times New Roman" w:eastAsia="Times New Roman" w:hAnsi="Times New Roman" w:cs="Times New Roman"/>
                <w:b/>
                <w:bCs/>
                <w:color w:val="000000"/>
                <w:kern w:val="0"/>
                <w:szCs w:val="24"/>
                <w:lang w:eastAsia="en-IN"/>
                <w14:ligatures w14:val="none"/>
              </w:rPr>
              <w:t>1</w:t>
            </w:r>
          </w:p>
        </w:tc>
        <w:tc>
          <w:tcPr>
            <w:tcW w:w="1294" w:type="dxa"/>
            <w:tcBorders>
              <w:top w:val="nil"/>
              <w:left w:val="nil"/>
              <w:bottom w:val="single" w:sz="4" w:space="0" w:color="auto"/>
              <w:right w:val="single" w:sz="4" w:space="0" w:color="auto"/>
            </w:tcBorders>
            <w:vAlign w:val="center"/>
            <w:hideMark/>
          </w:tcPr>
          <w:p w14:paraId="2CEADE84" w14:textId="77777777" w:rsidR="00366F91" w:rsidRPr="008E2A3E" w:rsidRDefault="00366F91" w:rsidP="00366F91">
            <w:pPr>
              <w:spacing w:after="0" w:line="240" w:lineRule="auto"/>
              <w:jc w:val="center"/>
              <w:rPr>
                <w:rFonts w:ascii="Times New Roman" w:eastAsia="Times New Roman" w:hAnsi="Times New Roman" w:cs="Times New Roman"/>
                <w:b/>
                <w:bCs/>
                <w:color w:val="000000"/>
                <w:kern w:val="0"/>
                <w:szCs w:val="24"/>
                <w:lang w:eastAsia="en-IN"/>
                <w14:ligatures w14:val="none"/>
              </w:rPr>
            </w:pPr>
            <w:r w:rsidRPr="008E2A3E">
              <w:rPr>
                <w:rFonts w:ascii="Times New Roman" w:eastAsia="Times New Roman" w:hAnsi="Times New Roman" w:cs="Times New Roman"/>
                <w:b/>
                <w:bCs/>
                <w:color w:val="000000"/>
                <w:kern w:val="0"/>
                <w:szCs w:val="24"/>
                <w:lang w:eastAsia="en-IN"/>
                <w14:ligatures w14:val="none"/>
              </w:rPr>
              <w:t>2</w:t>
            </w:r>
          </w:p>
        </w:tc>
        <w:tc>
          <w:tcPr>
            <w:tcW w:w="1699" w:type="dxa"/>
            <w:tcBorders>
              <w:top w:val="nil"/>
              <w:left w:val="nil"/>
              <w:bottom w:val="single" w:sz="4" w:space="0" w:color="auto"/>
              <w:right w:val="single" w:sz="4" w:space="0" w:color="auto"/>
            </w:tcBorders>
            <w:vAlign w:val="center"/>
            <w:hideMark/>
          </w:tcPr>
          <w:p w14:paraId="49673609" w14:textId="77777777" w:rsidR="00366F91" w:rsidRPr="008E2A3E" w:rsidRDefault="00366F91" w:rsidP="00366F91">
            <w:pPr>
              <w:spacing w:after="0" w:line="240" w:lineRule="auto"/>
              <w:jc w:val="center"/>
              <w:rPr>
                <w:rFonts w:ascii="Times New Roman" w:eastAsia="Times New Roman" w:hAnsi="Times New Roman" w:cs="Times New Roman"/>
                <w:b/>
                <w:bCs/>
                <w:color w:val="000000"/>
                <w:kern w:val="0"/>
                <w:szCs w:val="24"/>
                <w:lang w:eastAsia="en-IN"/>
                <w14:ligatures w14:val="none"/>
              </w:rPr>
            </w:pPr>
            <w:r w:rsidRPr="008E2A3E">
              <w:rPr>
                <w:rFonts w:ascii="Times New Roman" w:eastAsia="Times New Roman" w:hAnsi="Times New Roman" w:cs="Times New Roman"/>
                <w:b/>
                <w:bCs/>
                <w:color w:val="000000"/>
                <w:kern w:val="0"/>
                <w:szCs w:val="24"/>
                <w:lang w:eastAsia="en-IN"/>
                <w14:ligatures w14:val="none"/>
              </w:rPr>
              <w:t>3</w:t>
            </w:r>
          </w:p>
        </w:tc>
        <w:tc>
          <w:tcPr>
            <w:tcW w:w="1595" w:type="dxa"/>
            <w:tcBorders>
              <w:top w:val="nil"/>
              <w:left w:val="nil"/>
              <w:bottom w:val="single" w:sz="4" w:space="0" w:color="auto"/>
              <w:right w:val="single" w:sz="4" w:space="0" w:color="auto"/>
            </w:tcBorders>
            <w:vAlign w:val="center"/>
            <w:hideMark/>
          </w:tcPr>
          <w:p w14:paraId="1790C712" w14:textId="77777777" w:rsidR="00366F91" w:rsidRPr="008E2A3E" w:rsidRDefault="00366F91" w:rsidP="00366F91">
            <w:pPr>
              <w:spacing w:after="0" w:line="240" w:lineRule="auto"/>
              <w:jc w:val="center"/>
              <w:rPr>
                <w:rFonts w:ascii="Times New Roman" w:eastAsia="Times New Roman" w:hAnsi="Times New Roman" w:cs="Times New Roman"/>
                <w:b/>
                <w:bCs/>
                <w:color w:val="000000"/>
                <w:kern w:val="0"/>
                <w:szCs w:val="24"/>
                <w:lang w:eastAsia="en-IN"/>
                <w14:ligatures w14:val="none"/>
              </w:rPr>
            </w:pPr>
            <w:r w:rsidRPr="008E2A3E">
              <w:rPr>
                <w:rFonts w:ascii="Times New Roman" w:eastAsia="Times New Roman" w:hAnsi="Times New Roman" w:cs="Times New Roman"/>
                <w:b/>
                <w:bCs/>
                <w:color w:val="000000"/>
                <w:kern w:val="0"/>
                <w:szCs w:val="24"/>
                <w:lang w:eastAsia="en-IN"/>
                <w14:ligatures w14:val="none"/>
              </w:rPr>
              <w:t>4</w:t>
            </w:r>
          </w:p>
        </w:tc>
        <w:tc>
          <w:tcPr>
            <w:tcW w:w="1281" w:type="dxa"/>
            <w:tcBorders>
              <w:top w:val="nil"/>
              <w:left w:val="nil"/>
              <w:bottom w:val="single" w:sz="4" w:space="0" w:color="auto"/>
              <w:right w:val="single" w:sz="4" w:space="0" w:color="auto"/>
            </w:tcBorders>
            <w:vAlign w:val="center"/>
            <w:hideMark/>
          </w:tcPr>
          <w:p w14:paraId="2831C22D" w14:textId="77777777" w:rsidR="00366F91" w:rsidRPr="008E2A3E" w:rsidRDefault="00366F91" w:rsidP="00366F91">
            <w:pPr>
              <w:spacing w:after="0" w:line="240" w:lineRule="auto"/>
              <w:jc w:val="center"/>
              <w:rPr>
                <w:rFonts w:ascii="Times New Roman" w:eastAsia="Times New Roman" w:hAnsi="Times New Roman" w:cs="Times New Roman"/>
                <w:b/>
                <w:bCs/>
                <w:color w:val="000000"/>
                <w:kern w:val="0"/>
                <w:szCs w:val="24"/>
                <w:lang w:eastAsia="en-IN"/>
                <w14:ligatures w14:val="none"/>
              </w:rPr>
            </w:pPr>
            <w:r w:rsidRPr="008E2A3E">
              <w:rPr>
                <w:rFonts w:ascii="Times New Roman" w:eastAsia="Times New Roman" w:hAnsi="Times New Roman" w:cs="Times New Roman"/>
                <w:b/>
                <w:bCs/>
                <w:color w:val="000000"/>
                <w:kern w:val="0"/>
                <w:szCs w:val="24"/>
                <w:lang w:eastAsia="en-IN"/>
                <w14:ligatures w14:val="none"/>
              </w:rPr>
              <w:t>5</w:t>
            </w:r>
          </w:p>
        </w:tc>
        <w:tc>
          <w:tcPr>
            <w:tcW w:w="1211" w:type="dxa"/>
            <w:tcBorders>
              <w:top w:val="nil"/>
              <w:left w:val="nil"/>
              <w:bottom w:val="single" w:sz="4" w:space="0" w:color="auto"/>
              <w:right w:val="single" w:sz="4" w:space="0" w:color="auto"/>
            </w:tcBorders>
            <w:vAlign w:val="center"/>
            <w:hideMark/>
          </w:tcPr>
          <w:p w14:paraId="17F2FA83" w14:textId="77777777" w:rsidR="00366F91" w:rsidRPr="008E2A3E" w:rsidRDefault="00366F91" w:rsidP="00366F91">
            <w:pPr>
              <w:spacing w:after="0" w:line="240" w:lineRule="auto"/>
              <w:jc w:val="center"/>
              <w:rPr>
                <w:rFonts w:ascii="Times New Roman" w:eastAsia="Times New Roman" w:hAnsi="Times New Roman" w:cs="Times New Roman"/>
                <w:b/>
                <w:bCs/>
                <w:color w:val="000000"/>
                <w:kern w:val="0"/>
                <w:szCs w:val="24"/>
                <w:lang w:eastAsia="en-IN"/>
                <w14:ligatures w14:val="none"/>
              </w:rPr>
            </w:pPr>
            <w:r w:rsidRPr="008E2A3E">
              <w:rPr>
                <w:rFonts w:ascii="Times New Roman" w:eastAsia="Times New Roman" w:hAnsi="Times New Roman" w:cs="Times New Roman"/>
                <w:b/>
                <w:bCs/>
                <w:color w:val="000000"/>
                <w:kern w:val="0"/>
                <w:szCs w:val="24"/>
                <w:lang w:eastAsia="en-IN"/>
                <w14:ligatures w14:val="none"/>
              </w:rPr>
              <w:t>6</w:t>
            </w:r>
          </w:p>
        </w:tc>
        <w:tc>
          <w:tcPr>
            <w:tcW w:w="1213" w:type="dxa"/>
            <w:tcBorders>
              <w:top w:val="nil"/>
              <w:left w:val="nil"/>
              <w:bottom w:val="single" w:sz="4" w:space="0" w:color="auto"/>
              <w:right w:val="single" w:sz="4" w:space="0" w:color="auto"/>
            </w:tcBorders>
            <w:vAlign w:val="center"/>
            <w:hideMark/>
          </w:tcPr>
          <w:p w14:paraId="5F8135FA" w14:textId="77777777" w:rsidR="00366F91" w:rsidRPr="008E2A3E" w:rsidRDefault="00366F91" w:rsidP="00366F91">
            <w:pPr>
              <w:spacing w:after="0" w:line="240" w:lineRule="auto"/>
              <w:jc w:val="center"/>
              <w:rPr>
                <w:rFonts w:ascii="Times New Roman" w:eastAsia="Times New Roman" w:hAnsi="Times New Roman" w:cs="Times New Roman"/>
                <w:b/>
                <w:bCs/>
                <w:color w:val="000000"/>
                <w:kern w:val="0"/>
                <w:szCs w:val="24"/>
                <w:lang w:eastAsia="en-IN"/>
                <w14:ligatures w14:val="none"/>
              </w:rPr>
            </w:pPr>
            <w:r w:rsidRPr="008E2A3E">
              <w:rPr>
                <w:rFonts w:ascii="Times New Roman" w:eastAsia="Times New Roman" w:hAnsi="Times New Roman" w:cs="Times New Roman"/>
                <w:b/>
                <w:bCs/>
                <w:color w:val="000000"/>
                <w:kern w:val="0"/>
                <w:szCs w:val="24"/>
                <w:lang w:eastAsia="en-IN"/>
                <w14:ligatures w14:val="none"/>
              </w:rPr>
              <w:t>7</w:t>
            </w:r>
          </w:p>
        </w:tc>
        <w:tc>
          <w:tcPr>
            <w:tcW w:w="1281" w:type="dxa"/>
            <w:tcBorders>
              <w:top w:val="nil"/>
              <w:left w:val="nil"/>
              <w:bottom w:val="single" w:sz="4" w:space="0" w:color="auto"/>
              <w:right w:val="single" w:sz="4" w:space="0" w:color="auto"/>
            </w:tcBorders>
            <w:vAlign w:val="center"/>
            <w:hideMark/>
          </w:tcPr>
          <w:p w14:paraId="7B008F1C" w14:textId="77777777" w:rsidR="00366F91" w:rsidRPr="008E2A3E" w:rsidRDefault="00366F91" w:rsidP="00366F91">
            <w:pPr>
              <w:spacing w:after="0" w:line="240" w:lineRule="auto"/>
              <w:jc w:val="center"/>
              <w:rPr>
                <w:rFonts w:ascii="Times New Roman" w:eastAsia="Times New Roman" w:hAnsi="Times New Roman" w:cs="Times New Roman"/>
                <w:b/>
                <w:bCs/>
                <w:color w:val="000000"/>
                <w:kern w:val="0"/>
                <w:szCs w:val="24"/>
                <w:lang w:eastAsia="en-IN"/>
                <w14:ligatures w14:val="none"/>
              </w:rPr>
            </w:pPr>
            <w:r w:rsidRPr="008E2A3E">
              <w:rPr>
                <w:rFonts w:ascii="Times New Roman" w:eastAsia="Times New Roman" w:hAnsi="Times New Roman" w:cs="Times New Roman"/>
                <w:b/>
                <w:bCs/>
                <w:color w:val="000000"/>
                <w:kern w:val="0"/>
                <w:szCs w:val="24"/>
                <w:lang w:eastAsia="en-IN"/>
                <w14:ligatures w14:val="none"/>
              </w:rPr>
              <w:t>8</w:t>
            </w:r>
          </w:p>
        </w:tc>
      </w:tr>
      <w:tr w:rsidR="00366F91" w:rsidRPr="008E2A3E" w14:paraId="73F4F225" w14:textId="77777777" w:rsidTr="008E2A3E">
        <w:trPr>
          <w:trHeight w:val="280"/>
          <w:jc w:val="center"/>
        </w:trPr>
        <w:tc>
          <w:tcPr>
            <w:tcW w:w="1308" w:type="dxa"/>
            <w:tcBorders>
              <w:top w:val="nil"/>
              <w:left w:val="single" w:sz="4" w:space="0" w:color="auto"/>
              <w:bottom w:val="single" w:sz="4" w:space="0" w:color="auto"/>
              <w:right w:val="single" w:sz="4" w:space="0" w:color="auto"/>
            </w:tcBorders>
            <w:vAlign w:val="center"/>
            <w:hideMark/>
          </w:tcPr>
          <w:p w14:paraId="298D9F49" w14:textId="77777777" w:rsidR="00366F91" w:rsidRPr="008E2A3E" w:rsidRDefault="00366F91" w:rsidP="00366F91">
            <w:pPr>
              <w:spacing w:after="0" w:line="240" w:lineRule="auto"/>
              <w:rPr>
                <w:rFonts w:ascii="Times New Roman" w:eastAsia="Times New Roman" w:hAnsi="Times New Roman" w:cs="Times New Roman"/>
                <w:color w:val="000000"/>
                <w:kern w:val="0"/>
                <w:szCs w:val="24"/>
                <w:lang w:eastAsia="en-IN"/>
                <w14:ligatures w14:val="none"/>
              </w:rPr>
            </w:pPr>
            <w:r w:rsidRPr="008E2A3E">
              <w:rPr>
                <w:rFonts w:ascii="Times New Roman" w:eastAsia="Times New Roman" w:hAnsi="Times New Roman" w:cs="Times New Roman"/>
                <w:color w:val="000000"/>
                <w:kern w:val="0"/>
                <w:szCs w:val="24"/>
                <w:lang w:eastAsia="en-IN"/>
                <w14:ligatures w14:val="none"/>
              </w:rPr>
              <w:t>Andhra Pradesh</w:t>
            </w:r>
          </w:p>
        </w:tc>
        <w:tc>
          <w:tcPr>
            <w:tcW w:w="1294" w:type="dxa"/>
            <w:tcBorders>
              <w:top w:val="nil"/>
              <w:left w:val="nil"/>
              <w:bottom w:val="single" w:sz="4" w:space="0" w:color="auto"/>
              <w:right w:val="single" w:sz="4" w:space="0" w:color="auto"/>
            </w:tcBorders>
            <w:vAlign w:val="center"/>
            <w:hideMark/>
          </w:tcPr>
          <w:p w14:paraId="39247502" w14:textId="77777777" w:rsidR="00366F91" w:rsidRPr="008E2A3E" w:rsidRDefault="00366F91" w:rsidP="00366F91">
            <w:pPr>
              <w:spacing w:after="0" w:line="240" w:lineRule="auto"/>
              <w:jc w:val="center"/>
              <w:rPr>
                <w:rFonts w:ascii="Times New Roman" w:eastAsia="Times New Roman" w:hAnsi="Times New Roman" w:cs="Times New Roman"/>
                <w:color w:val="000000"/>
                <w:kern w:val="0"/>
                <w:szCs w:val="24"/>
                <w:lang w:eastAsia="en-IN"/>
                <w14:ligatures w14:val="none"/>
              </w:rPr>
            </w:pPr>
            <w:r w:rsidRPr="008E2A3E">
              <w:rPr>
                <w:rFonts w:ascii="Times New Roman" w:eastAsia="Times New Roman" w:hAnsi="Times New Roman" w:cs="Times New Roman"/>
                <w:color w:val="000000"/>
                <w:kern w:val="0"/>
                <w:szCs w:val="24"/>
                <w:lang w:eastAsia="en-IN"/>
                <w14:ligatures w14:val="none"/>
              </w:rPr>
              <w:t>359.83</w:t>
            </w:r>
          </w:p>
        </w:tc>
        <w:tc>
          <w:tcPr>
            <w:tcW w:w="1699" w:type="dxa"/>
            <w:tcBorders>
              <w:top w:val="nil"/>
              <w:left w:val="nil"/>
              <w:bottom w:val="single" w:sz="4" w:space="0" w:color="auto"/>
              <w:right w:val="single" w:sz="4" w:space="0" w:color="auto"/>
            </w:tcBorders>
            <w:vAlign w:val="center"/>
            <w:hideMark/>
          </w:tcPr>
          <w:p w14:paraId="46A99E20" w14:textId="77777777" w:rsidR="00366F91" w:rsidRPr="008E2A3E" w:rsidRDefault="00366F91" w:rsidP="00366F91">
            <w:pPr>
              <w:spacing w:after="0" w:line="240" w:lineRule="auto"/>
              <w:jc w:val="center"/>
              <w:rPr>
                <w:rFonts w:ascii="Times New Roman" w:eastAsia="Times New Roman" w:hAnsi="Times New Roman" w:cs="Times New Roman"/>
                <w:color w:val="000000"/>
                <w:kern w:val="0"/>
                <w:szCs w:val="24"/>
                <w:lang w:eastAsia="en-IN"/>
                <w14:ligatures w14:val="none"/>
              </w:rPr>
            </w:pPr>
            <w:r w:rsidRPr="008E2A3E">
              <w:rPr>
                <w:rFonts w:ascii="Times New Roman" w:eastAsia="Times New Roman" w:hAnsi="Times New Roman" w:cs="Times New Roman"/>
                <w:color w:val="000000"/>
                <w:kern w:val="0"/>
                <w:szCs w:val="24"/>
                <w:lang w:eastAsia="en-IN"/>
                <w14:ligatures w14:val="none"/>
              </w:rPr>
              <w:t>49.74</w:t>
            </w:r>
          </w:p>
        </w:tc>
        <w:tc>
          <w:tcPr>
            <w:tcW w:w="1595" w:type="dxa"/>
            <w:tcBorders>
              <w:top w:val="nil"/>
              <w:left w:val="nil"/>
              <w:bottom w:val="single" w:sz="4" w:space="0" w:color="auto"/>
              <w:right w:val="single" w:sz="4" w:space="0" w:color="auto"/>
            </w:tcBorders>
            <w:vAlign w:val="center"/>
            <w:hideMark/>
          </w:tcPr>
          <w:p w14:paraId="742407A4" w14:textId="77777777" w:rsidR="00366F91" w:rsidRPr="008E2A3E" w:rsidRDefault="00366F91" w:rsidP="00366F91">
            <w:pPr>
              <w:spacing w:after="0" w:line="240" w:lineRule="auto"/>
              <w:jc w:val="center"/>
              <w:rPr>
                <w:rFonts w:ascii="Times New Roman" w:eastAsia="Times New Roman" w:hAnsi="Times New Roman" w:cs="Times New Roman"/>
                <w:color w:val="000000"/>
                <w:kern w:val="0"/>
                <w:szCs w:val="24"/>
                <w:lang w:eastAsia="en-IN"/>
                <w14:ligatures w14:val="none"/>
              </w:rPr>
            </w:pPr>
            <w:r w:rsidRPr="008E2A3E">
              <w:rPr>
                <w:rFonts w:ascii="Times New Roman" w:eastAsia="Times New Roman" w:hAnsi="Times New Roman" w:cs="Times New Roman"/>
                <w:color w:val="000000"/>
                <w:kern w:val="0"/>
                <w:szCs w:val="24"/>
                <w:lang w:eastAsia="en-IN"/>
                <w14:ligatures w14:val="none"/>
              </w:rPr>
              <w:t>13.8</w:t>
            </w:r>
          </w:p>
        </w:tc>
        <w:tc>
          <w:tcPr>
            <w:tcW w:w="1281" w:type="dxa"/>
            <w:tcBorders>
              <w:top w:val="nil"/>
              <w:left w:val="nil"/>
              <w:bottom w:val="single" w:sz="4" w:space="0" w:color="auto"/>
              <w:right w:val="single" w:sz="4" w:space="0" w:color="auto"/>
            </w:tcBorders>
            <w:vAlign w:val="center"/>
            <w:hideMark/>
          </w:tcPr>
          <w:p w14:paraId="25460C80" w14:textId="77777777" w:rsidR="00366F91" w:rsidRPr="008E2A3E" w:rsidRDefault="00366F91" w:rsidP="00366F91">
            <w:pPr>
              <w:spacing w:after="0" w:line="240" w:lineRule="auto"/>
              <w:jc w:val="center"/>
              <w:rPr>
                <w:rFonts w:ascii="Times New Roman" w:eastAsia="Times New Roman" w:hAnsi="Times New Roman" w:cs="Times New Roman"/>
                <w:color w:val="000000"/>
                <w:kern w:val="0"/>
                <w:szCs w:val="24"/>
                <w:lang w:eastAsia="en-IN"/>
                <w14:ligatures w14:val="none"/>
              </w:rPr>
            </w:pPr>
            <w:r w:rsidRPr="008E2A3E">
              <w:rPr>
                <w:rFonts w:ascii="Times New Roman" w:eastAsia="Times New Roman" w:hAnsi="Times New Roman" w:cs="Times New Roman"/>
                <w:color w:val="000000"/>
                <w:kern w:val="0"/>
                <w:szCs w:val="24"/>
                <w:lang w:eastAsia="en-IN"/>
                <w14:ligatures w14:val="none"/>
              </w:rPr>
              <w:t>7.9</w:t>
            </w:r>
          </w:p>
        </w:tc>
        <w:tc>
          <w:tcPr>
            <w:tcW w:w="1211" w:type="dxa"/>
            <w:tcBorders>
              <w:top w:val="nil"/>
              <w:left w:val="nil"/>
              <w:bottom w:val="single" w:sz="4" w:space="0" w:color="auto"/>
              <w:right w:val="single" w:sz="4" w:space="0" w:color="auto"/>
            </w:tcBorders>
            <w:vAlign w:val="center"/>
            <w:hideMark/>
          </w:tcPr>
          <w:p w14:paraId="0B5A4FF6" w14:textId="77777777" w:rsidR="00366F91" w:rsidRPr="008E2A3E" w:rsidRDefault="00366F91" w:rsidP="00366F91">
            <w:pPr>
              <w:spacing w:after="0" w:line="240" w:lineRule="auto"/>
              <w:jc w:val="center"/>
              <w:rPr>
                <w:rFonts w:ascii="Times New Roman" w:eastAsia="Times New Roman" w:hAnsi="Times New Roman" w:cs="Times New Roman"/>
                <w:color w:val="000000"/>
                <w:kern w:val="0"/>
                <w:szCs w:val="24"/>
                <w:lang w:eastAsia="en-IN"/>
                <w14:ligatures w14:val="none"/>
              </w:rPr>
            </w:pPr>
            <w:r w:rsidRPr="008E2A3E">
              <w:rPr>
                <w:rFonts w:ascii="Times New Roman" w:eastAsia="Times New Roman" w:hAnsi="Times New Roman" w:cs="Times New Roman"/>
                <w:color w:val="000000"/>
                <w:kern w:val="0"/>
                <w:szCs w:val="24"/>
                <w:lang w:eastAsia="en-IN"/>
                <w14:ligatures w14:val="none"/>
              </w:rPr>
              <w:t>13.24</w:t>
            </w:r>
          </w:p>
        </w:tc>
        <w:tc>
          <w:tcPr>
            <w:tcW w:w="1213" w:type="dxa"/>
            <w:tcBorders>
              <w:top w:val="nil"/>
              <w:left w:val="nil"/>
              <w:bottom w:val="single" w:sz="4" w:space="0" w:color="auto"/>
              <w:right w:val="single" w:sz="4" w:space="0" w:color="auto"/>
            </w:tcBorders>
            <w:vAlign w:val="center"/>
            <w:hideMark/>
          </w:tcPr>
          <w:p w14:paraId="22BA5275" w14:textId="77777777" w:rsidR="00366F91" w:rsidRPr="008E2A3E" w:rsidRDefault="00366F91" w:rsidP="00366F91">
            <w:pPr>
              <w:spacing w:after="0" w:line="240" w:lineRule="auto"/>
              <w:jc w:val="center"/>
              <w:rPr>
                <w:rFonts w:ascii="Times New Roman" w:eastAsia="Times New Roman" w:hAnsi="Times New Roman" w:cs="Times New Roman"/>
                <w:color w:val="000000"/>
                <w:kern w:val="0"/>
                <w:szCs w:val="24"/>
                <w:lang w:eastAsia="en-IN"/>
                <w14:ligatures w14:val="none"/>
              </w:rPr>
            </w:pPr>
            <w:r w:rsidRPr="008E2A3E">
              <w:rPr>
                <w:rFonts w:ascii="Times New Roman" w:eastAsia="Times New Roman" w:hAnsi="Times New Roman" w:cs="Times New Roman"/>
                <w:color w:val="000000"/>
                <w:kern w:val="0"/>
                <w:szCs w:val="24"/>
                <w:lang w:eastAsia="en-IN"/>
                <w14:ligatures w14:val="none"/>
              </w:rPr>
              <w:t>3.7</w:t>
            </w:r>
          </w:p>
        </w:tc>
        <w:tc>
          <w:tcPr>
            <w:tcW w:w="1281" w:type="dxa"/>
            <w:tcBorders>
              <w:top w:val="nil"/>
              <w:left w:val="nil"/>
              <w:bottom w:val="single" w:sz="4" w:space="0" w:color="auto"/>
              <w:right w:val="single" w:sz="4" w:space="0" w:color="auto"/>
            </w:tcBorders>
            <w:vAlign w:val="center"/>
            <w:hideMark/>
          </w:tcPr>
          <w:p w14:paraId="60FA0DEC" w14:textId="77777777" w:rsidR="00366F91" w:rsidRPr="008E2A3E" w:rsidRDefault="00366F91" w:rsidP="00366F91">
            <w:pPr>
              <w:spacing w:after="0" w:line="240" w:lineRule="auto"/>
              <w:jc w:val="center"/>
              <w:rPr>
                <w:rFonts w:ascii="Times New Roman" w:eastAsia="Times New Roman" w:hAnsi="Times New Roman" w:cs="Times New Roman"/>
                <w:color w:val="000000"/>
                <w:kern w:val="0"/>
                <w:szCs w:val="24"/>
                <w:lang w:eastAsia="en-IN"/>
                <w14:ligatures w14:val="none"/>
              </w:rPr>
            </w:pPr>
            <w:r w:rsidRPr="008E2A3E">
              <w:rPr>
                <w:rFonts w:ascii="Times New Roman" w:eastAsia="Times New Roman" w:hAnsi="Times New Roman" w:cs="Times New Roman"/>
                <w:color w:val="000000"/>
                <w:kern w:val="0"/>
                <w:szCs w:val="24"/>
                <w:lang w:eastAsia="en-IN"/>
                <w14:ligatures w14:val="none"/>
              </w:rPr>
              <w:t>4.6</w:t>
            </w:r>
          </w:p>
        </w:tc>
      </w:tr>
      <w:tr w:rsidR="00366F91" w:rsidRPr="008E2A3E" w14:paraId="7737875B" w14:textId="77777777" w:rsidTr="008E2A3E">
        <w:trPr>
          <w:trHeight w:val="280"/>
          <w:jc w:val="center"/>
        </w:trPr>
        <w:tc>
          <w:tcPr>
            <w:tcW w:w="1308" w:type="dxa"/>
            <w:tcBorders>
              <w:top w:val="nil"/>
              <w:left w:val="single" w:sz="4" w:space="0" w:color="auto"/>
              <w:bottom w:val="single" w:sz="4" w:space="0" w:color="auto"/>
              <w:right w:val="single" w:sz="4" w:space="0" w:color="auto"/>
            </w:tcBorders>
            <w:vAlign w:val="center"/>
            <w:hideMark/>
          </w:tcPr>
          <w:p w14:paraId="16FA665C" w14:textId="77777777" w:rsidR="00366F91" w:rsidRPr="008E2A3E" w:rsidRDefault="00366F91" w:rsidP="00366F91">
            <w:pPr>
              <w:spacing w:after="0" w:line="240" w:lineRule="auto"/>
              <w:rPr>
                <w:rFonts w:ascii="Times New Roman" w:eastAsia="Times New Roman" w:hAnsi="Times New Roman" w:cs="Times New Roman"/>
                <w:color w:val="000000"/>
                <w:kern w:val="0"/>
                <w:szCs w:val="24"/>
                <w:lang w:eastAsia="en-IN"/>
                <w14:ligatures w14:val="none"/>
              </w:rPr>
            </w:pPr>
            <w:r w:rsidRPr="008E2A3E">
              <w:rPr>
                <w:rFonts w:ascii="Times New Roman" w:eastAsia="Times New Roman" w:hAnsi="Times New Roman" w:cs="Times New Roman"/>
                <w:color w:val="000000"/>
                <w:kern w:val="0"/>
                <w:szCs w:val="24"/>
                <w:lang w:eastAsia="en-IN"/>
                <w14:ligatures w14:val="none"/>
              </w:rPr>
              <w:t>Assam</w:t>
            </w:r>
          </w:p>
        </w:tc>
        <w:tc>
          <w:tcPr>
            <w:tcW w:w="1294" w:type="dxa"/>
            <w:tcBorders>
              <w:top w:val="nil"/>
              <w:left w:val="nil"/>
              <w:bottom w:val="single" w:sz="4" w:space="0" w:color="auto"/>
              <w:right w:val="single" w:sz="4" w:space="0" w:color="auto"/>
            </w:tcBorders>
            <w:vAlign w:val="center"/>
            <w:hideMark/>
          </w:tcPr>
          <w:p w14:paraId="1F35A713" w14:textId="77777777" w:rsidR="00366F91" w:rsidRPr="008E2A3E" w:rsidRDefault="00366F91" w:rsidP="00366F91">
            <w:pPr>
              <w:spacing w:after="0" w:line="240" w:lineRule="auto"/>
              <w:jc w:val="center"/>
              <w:rPr>
                <w:rFonts w:ascii="Times New Roman" w:eastAsia="Times New Roman" w:hAnsi="Times New Roman" w:cs="Times New Roman"/>
                <w:color w:val="000000"/>
                <w:kern w:val="0"/>
                <w:szCs w:val="24"/>
                <w:lang w:eastAsia="en-IN"/>
                <w14:ligatures w14:val="none"/>
              </w:rPr>
            </w:pPr>
            <w:r w:rsidRPr="008E2A3E">
              <w:rPr>
                <w:rFonts w:ascii="Times New Roman" w:eastAsia="Times New Roman" w:hAnsi="Times New Roman" w:cs="Times New Roman"/>
                <w:color w:val="000000"/>
                <w:kern w:val="0"/>
                <w:szCs w:val="24"/>
                <w:lang w:eastAsia="en-IN"/>
                <w14:ligatures w14:val="none"/>
              </w:rPr>
              <w:t>118.73</w:t>
            </w:r>
          </w:p>
        </w:tc>
        <w:tc>
          <w:tcPr>
            <w:tcW w:w="1699" w:type="dxa"/>
            <w:tcBorders>
              <w:top w:val="nil"/>
              <w:left w:val="nil"/>
              <w:bottom w:val="single" w:sz="4" w:space="0" w:color="auto"/>
              <w:right w:val="single" w:sz="4" w:space="0" w:color="auto"/>
            </w:tcBorders>
            <w:vAlign w:val="center"/>
            <w:hideMark/>
          </w:tcPr>
          <w:p w14:paraId="68573A99" w14:textId="77777777" w:rsidR="00366F91" w:rsidRPr="008E2A3E" w:rsidRDefault="00366F91" w:rsidP="00366F91">
            <w:pPr>
              <w:spacing w:after="0" w:line="240" w:lineRule="auto"/>
              <w:jc w:val="center"/>
              <w:rPr>
                <w:rFonts w:ascii="Times New Roman" w:eastAsia="Times New Roman" w:hAnsi="Times New Roman" w:cs="Times New Roman"/>
                <w:color w:val="000000"/>
                <w:kern w:val="0"/>
                <w:szCs w:val="24"/>
                <w:lang w:eastAsia="en-IN"/>
                <w14:ligatures w14:val="none"/>
              </w:rPr>
            </w:pPr>
            <w:r w:rsidRPr="008E2A3E">
              <w:rPr>
                <w:rFonts w:ascii="Times New Roman" w:eastAsia="Times New Roman" w:hAnsi="Times New Roman" w:cs="Times New Roman"/>
                <w:color w:val="000000"/>
                <w:kern w:val="0"/>
                <w:szCs w:val="24"/>
                <w:lang w:eastAsia="en-IN"/>
                <w14:ligatures w14:val="none"/>
              </w:rPr>
              <w:t>7.33</w:t>
            </w:r>
          </w:p>
        </w:tc>
        <w:tc>
          <w:tcPr>
            <w:tcW w:w="1595" w:type="dxa"/>
            <w:tcBorders>
              <w:top w:val="nil"/>
              <w:left w:val="nil"/>
              <w:bottom w:val="single" w:sz="4" w:space="0" w:color="auto"/>
              <w:right w:val="single" w:sz="4" w:space="0" w:color="auto"/>
            </w:tcBorders>
            <w:vAlign w:val="center"/>
            <w:hideMark/>
          </w:tcPr>
          <w:p w14:paraId="756FF059" w14:textId="77777777" w:rsidR="00366F91" w:rsidRPr="008E2A3E" w:rsidRDefault="00366F91" w:rsidP="00366F91">
            <w:pPr>
              <w:spacing w:after="0" w:line="240" w:lineRule="auto"/>
              <w:jc w:val="center"/>
              <w:rPr>
                <w:rFonts w:ascii="Times New Roman" w:eastAsia="Times New Roman" w:hAnsi="Times New Roman" w:cs="Times New Roman"/>
                <w:color w:val="000000"/>
                <w:kern w:val="0"/>
                <w:szCs w:val="24"/>
                <w:lang w:eastAsia="en-IN"/>
                <w14:ligatures w14:val="none"/>
              </w:rPr>
            </w:pPr>
            <w:r w:rsidRPr="008E2A3E">
              <w:rPr>
                <w:rFonts w:ascii="Times New Roman" w:eastAsia="Times New Roman" w:hAnsi="Times New Roman" w:cs="Times New Roman"/>
                <w:color w:val="000000"/>
                <w:kern w:val="0"/>
                <w:szCs w:val="24"/>
                <w:lang w:eastAsia="en-IN"/>
                <w14:ligatures w14:val="none"/>
              </w:rPr>
              <w:t>6.2</w:t>
            </w:r>
          </w:p>
        </w:tc>
        <w:tc>
          <w:tcPr>
            <w:tcW w:w="1281" w:type="dxa"/>
            <w:tcBorders>
              <w:top w:val="nil"/>
              <w:left w:val="nil"/>
              <w:bottom w:val="single" w:sz="4" w:space="0" w:color="auto"/>
              <w:right w:val="single" w:sz="4" w:space="0" w:color="auto"/>
            </w:tcBorders>
            <w:vAlign w:val="center"/>
            <w:hideMark/>
          </w:tcPr>
          <w:p w14:paraId="62646E55" w14:textId="77777777" w:rsidR="00366F91" w:rsidRPr="008E2A3E" w:rsidRDefault="00366F91" w:rsidP="00366F91">
            <w:pPr>
              <w:spacing w:after="0" w:line="240" w:lineRule="auto"/>
              <w:jc w:val="center"/>
              <w:rPr>
                <w:rFonts w:ascii="Times New Roman" w:eastAsia="Times New Roman" w:hAnsi="Times New Roman" w:cs="Times New Roman"/>
                <w:color w:val="000000"/>
                <w:kern w:val="0"/>
                <w:szCs w:val="24"/>
                <w:lang w:eastAsia="en-IN"/>
                <w14:ligatures w14:val="none"/>
              </w:rPr>
            </w:pPr>
            <w:r w:rsidRPr="008E2A3E">
              <w:rPr>
                <w:rFonts w:ascii="Times New Roman" w:eastAsia="Times New Roman" w:hAnsi="Times New Roman" w:cs="Times New Roman"/>
                <w:color w:val="000000"/>
                <w:kern w:val="0"/>
                <w:szCs w:val="24"/>
                <w:lang w:eastAsia="en-IN"/>
                <w14:ligatures w14:val="none"/>
              </w:rPr>
              <w:t>1.2</w:t>
            </w:r>
          </w:p>
        </w:tc>
        <w:tc>
          <w:tcPr>
            <w:tcW w:w="1211" w:type="dxa"/>
            <w:tcBorders>
              <w:top w:val="nil"/>
              <w:left w:val="nil"/>
              <w:bottom w:val="single" w:sz="4" w:space="0" w:color="auto"/>
              <w:right w:val="single" w:sz="4" w:space="0" w:color="auto"/>
            </w:tcBorders>
            <w:vAlign w:val="center"/>
            <w:hideMark/>
          </w:tcPr>
          <w:p w14:paraId="41E99137" w14:textId="77777777" w:rsidR="00366F91" w:rsidRPr="008E2A3E" w:rsidRDefault="00366F91" w:rsidP="00366F91">
            <w:pPr>
              <w:spacing w:after="0" w:line="240" w:lineRule="auto"/>
              <w:jc w:val="center"/>
              <w:rPr>
                <w:rFonts w:ascii="Times New Roman" w:eastAsia="Times New Roman" w:hAnsi="Times New Roman" w:cs="Times New Roman"/>
                <w:color w:val="000000"/>
                <w:kern w:val="0"/>
                <w:szCs w:val="24"/>
                <w:lang w:eastAsia="en-IN"/>
                <w14:ligatures w14:val="none"/>
              </w:rPr>
            </w:pPr>
            <w:r w:rsidRPr="008E2A3E">
              <w:rPr>
                <w:rFonts w:ascii="Times New Roman" w:eastAsia="Times New Roman" w:hAnsi="Times New Roman" w:cs="Times New Roman"/>
                <w:color w:val="000000"/>
                <w:kern w:val="0"/>
                <w:szCs w:val="24"/>
                <w:lang w:eastAsia="en-IN"/>
                <w14:ligatures w14:val="none"/>
              </w:rPr>
              <w:t>20.65</w:t>
            </w:r>
          </w:p>
        </w:tc>
        <w:tc>
          <w:tcPr>
            <w:tcW w:w="1213" w:type="dxa"/>
            <w:tcBorders>
              <w:top w:val="nil"/>
              <w:left w:val="nil"/>
              <w:bottom w:val="single" w:sz="4" w:space="0" w:color="auto"/>
              <w:right w:val="single" w:sz="4" w:space="0" w:color="auto"/>
            </w:tcBorders>
            <w:vAlign w:val="center"/>
            <w:hideMark/>
          </w:tcPr>
          <w:p w14:paraId="3874B8C2" w14:textId="77777777" w:rsidR="00366F91" w:rsidRPr="008E2A3E" w:rsidRDefault="00366F91" w:rsidP="00366F91">
            <w:pPr>
              <w:spacing w:after="0" w:line="240" w:lineRule="auto"/>
              <w:jc w:val="center"/>
              <w:rPr>
                <w:rFonts w:ascii="Times New Roman" w:eastAsia="Times New Roman" w:hAnsi="Times New Roman" w:cs="Times New Roman"/>
                <w:color w:val="000000"/>
                <w:kern w:val="0"/>
                <w:szCs w:val="24"/>
                <w:lang w:eastAsia="en-IN"/>
                <w14:ligatures w14:val="none"/>
              </w:rPr>
            </w:pPr>
            <w:r w:rsidRPr="008E2A3E">
              <w:rPr>
                <w:rFonts w:ascii="Times New Roman" w:eastAsia="Times New Roman" w:hAnsi="Times New Roman" w:cs="Times New Roman"/>
                <w:color w:val="000000"/>
                <w:kern w:val="0"/>
                <w:szCs w:val="24"/>
                <w:lang w:eastAsia="en-IN"/>
                <w14:ligatures w14:val="none"/>
              </w:rPr>
              <w:t>17.4</w:t>
            </w:r>
          </w:p>
        </w:tc>
        <w:tc>
          <w:tcPr>
            <w:tcW w:w="1281" w:type="dxa"/>
            <w:tcBorders>
              <w:top w:val="nil"/>
              <w:left w:val="nil"/>
              <w:bottom w:val="single" w:sz="4" w:space="0" w:color="auto"/>
              <w:right w:val="single" w:sz="4" w:space="0" w:color="auto"/>
            </w:tcBorders>
            <w:vAlign w:val="center"/>
            <w:hideMark/>
          </w:tcPr>
          <w:p w14:paraId="70E0B2C8" w14:textId="77777777" w:rsidR="00366F91" w:rsidRPr="008E2A3E" w:rsidRDefault="00366F91" w:rsidP="00366F91">
            <w:pPr>
              <w:spacing w:after="0" w:line="240" w:lineRule="auto"/>
              <w:jc w:val="center"/>
              <w:rPr>
                <w:rFonts w:ascii="Times New Roman" w:eastAsia="Times New Roman" w:hAnsi="Times New Roman" w:cs="Times New Roman"/>
                <w:color w:val="000000"/>
                <w:kern w:val="0"/>
                <w:szCs w:val="24"/>
                <w:lang w:eastAsia="en-IN"/>
                <w14:ligatures w14:val="none"/>
              </w:rPr>
            </w:pPr>
            <w:r w:rsidRPr="008E2A3E">
              <w:rPr>
                <w:rFonts w:ascii="Times New Roman" w:eastAsia="Times New Roman" w:hAnsi="Times New Roman" w:cs="Times New Roman"/>
                <w:color w:val="000000"/>
                <w:kern w:val="0"/>
                <w:szCs w:val="24"/>
                <w:lang w:eastAsia="en-IN"/>
                <w14:ligatures w14:val="none"/>
              </w:rPr>
              <w:t>7.1</w:t>
            </w:r>
          </w:p>
        </w:tc>
      </w:tr>
      <w:tr w:rsidR="00366F91" w:rsidRPr="008E2A3E" w14:paraId="7705DBE9" w14:textId="77777777" w:rsidTr="008E2A3E">
        <w:trPr>
          <w:trHeight w:val="280"/>
          <w:jc w:val="center"/>
        </w:trPr>
        <w:tc>
          <w:tcPr>
            <w:tcW w:w="1308" w:type="dxa"/>
            <w:tcBorders>
              <w:top w:val="nil"/>
              <w:left w:val="single" w:sz="4" w:space="0" w:color="auto"/>
              <w:bottom w:val="single" w:sz="4" w:space="0" w:color="auto"/>
              <w:right w:val="single" w:sz="4" w:space="0" w:color="auto"/>
            </w:tcBorders>
            <w:vAlign w:val="center"/>
            <w:hideMark/>
          </w:tcPr>
          <w:p w14:paraId="2850B30F" w14:textId="77777777" w:rsidR="00366F91" w:rsidRPr="008E2A3E" w:rsidRDefault="00366F91" w:rsidP="00366F91">
            <w:pPr>
              <w:spacing w:after="0" w:line="240" w:lineRule="auto"/>
              <w:rPr>
                <w:rFonts w:ascii="Times New Roman" w:eastAsia="Times New Roman" w:hAnsi="Times New Roman" w:cs="Times New Roman"/>
                <w:color w:val="000000"/>
                <w:kern w:val="0"/>
                <w:szCs w:val="24"/>
                <w:lang w:eastAsia="en-IN"/>
                <w14:ligatures w14:val="none"/>
              </w:rPr>
            </w:pPr>
            <w:r w:rsidRPr="008E2A3E">
              <w:rPr>
                <w:rFonts w:ascii="Times New Roman" w:eastAsia="Times New Roman" w:hAnsi="Times New Roman" w:cs="Times New Roman"/>
                <w:color w:val="000000"/>
                <w:kern w:val="0"/>
                <w:szCs w:val="24"/>
                <w:lang w:eastAsia="en-IN"/>
                <w14:ligatures w14:val="none"/>
              </w:rPr>
              <w:t>Bihar</w:t>
            </w:r>
          </w:p>
        </w:tc>
        <w:tc>
          <w:tcPr>
            <w:tcW w:w="1294" w:type="dxa"/>
            <w:tcBorders>
              <w:top w:val="nil"/>
              <w:left w:val="nil"/>
              <w:bottom w:val="single" w:sz="4" w:space="0" w:color="auto"/>
              <w:right w:val="single" w:sz="4" w:space="0" w:color="auto"/>
            </w:tcBorders>
            <w:vAlign w:val="center"/>
            <w:hideMark/>
          </w:tcPr>
          <w:p w14:paraId="3AF209CF" w14:textId="77777777" w:rsidR="00366F91" w:rsidRPr="008E2A3E" w:rsidRDefault="00366F91" w:rsidP="00366F91">
            <w:pPr>
              <w:spacing w:after="0" w:line="240" w:lineRule="auto"/>
              <w:jc w:val="center"/>
              <w:rPr>
                <w:rFonts w:ascii="Times New Roman" w:eastAsia="Times New Roman" w:hAnsi="Times New Roman" w:cs="Times New Roman"/>
                <w:color w:val="000000"/>
                <w:kern w:val="0"/>
                <w:szCs w:val="24"/>
                <w:lang w:eastAsia="en-IN"/>
                <w14:ligatures w14:val="none"/>
              </w:rPr>
            </w:pPr>
            <w:r w:rsidRPr="008E2A3E">
              <w:rPr>
                <w:rFonts w:ascii="Times New Roman" w:eastAsia="Times New Roman" w:hAnsi="Times New Roman" w:cs="Times New Roman"/>
                <w:color w:val="000000"/>
                <w:kern w:val="0"/>
                <w:szCs w:val="24"/>
                <w:lang w:eastAsia="en-IN"/>
                <w14:ligatures w14:val="none"/>
              </w:rPr>
              <w:t>464.56</w:t>
            </w:r>
          </w:p>
        </w:tc>
        <w:tc>
          <w:tcPr>
            <w:tcW w:w="1699" w:type="dxa"/>
            <w:tcBorders>
              <w:top w:val="nil"/>
              <w:left w:val="nil"/>
              <w:bottom w:val="single" w:sz="4" w:space="0" w:color="auto"/>
              <w:right w:val="single" w:sz="4" w:space="0" w:color="auto"/>
            </w:tcBorders>
            <w:vAlign w:val="center"/>
            <w:hideMark/>
          </w:tcPr>
          <w:p w14:paraId="726F2F5A" w14:textId="77777777" w:rsidR="00366F91" w:rsidRPr="008E2A3E" w:rsidRDefault="00366F91" w:rsidP="00366F91">
            <w:pPr>
              <w:spacing w:after="0" w:line="240" w:lineRule="auto"/>
              <w:jc w:val="center"/>
              <w:rPr>
                <w:rFonts w:ascii="Times New Roman" w:eastAsia="Times New Roman" w:hAnsi="Times New Roman" w:cs="Times New Roman"/>
                <w:color w:val="000000"/>
                <w:kern w:val="0"/>
                <w:szCs w:val="24"/>
                <w:lang w:eastAsia="en-IN"/>
                <w14:ligatures w14:val="none"/>
              </w:rPr>
            </w:pPr>
            <w:r w:rsidRPr="008E2A3E">
              <w:rPr>
                <w:rFonts w:ascii="Times New Roman" w:eastAsia="Times New Roman" w:hAnsi="Times New Roman" w:cs="Times New Roman"/>
                <w:color w:val="000000"/>
                <w:kern w:val="0"/>
                <w:szCs w:val="24"/>
                <w:lang w:eastAsia="en-IN"/>
                <w14:ligatures w14:val="none"/>
              </w:rPr>
              <w:t>65.05</w:t>
            </w:r>
          </w:p>
        </w:tc>
        <w:tc>
          <w:tcPr>
            <w:tcW w:w="1595" w:type="dxa"/>
            <w:tcBorders>
              <w:top w:val="nil"/>
              <w:left w:val="nil"/>
              <w:bottom w:val="single" w:sz="4" w:space="0" w:color="auto"/>
              <w:right w:val="single" w:sz="4" w:space="0" w:color="auto"/>
            </w:tcBorders>
            <w:vAlign w:val="center"/>
            <w:hideMark/>
          </w:tcPr>
          <w:p w14:paraId="2E7871C7" w14:textId="37EBED82" w:rsidR="00366F91" w:rsidRPr="008E2A3E" w:rsidRDefault="00366F91" w:rsidP="00366F91">
            <w:pPr>
              <w:spacing w:after="0" w:line="240" w:lineRule="auto"/>
              <w:jc w:val="center"/>
              <w:rPr>
                <w:rFonts w:ascii="Times New Roman" w:eastAsia="Times New Roman" w:hAnsi="Times New Roman" w:cs="Times New Roman"/>
                <w:color w:val="000000"/>
                <w:kern w:val="0"/>
                <w:szCs w:val="24"/>
                <w:lang w:eastAsia="en-IN"/>
                <w14:ligatures w14:val="none"/>
              </w:rPr>
            </w:pPr>
            <w:r w:rsidRPr="008E2A3E">
              <w:rPr>
                <w:rFonts w:ascii="Times New Roman" w:eastAsia="Times New Roman" w:hAnsi="Times New Roman" w:cs="Times New Roman"/>
                <w:color w:val="000000"/>
                <w:kern w:val="0"/>
                <w:szCs w:val="24"/>
                <w:lang w:eastAsia="en-IN"/>
                <w14:ligatures w14:val="none"/>
              </w:rPr>
              <w:t>14</w:t>
            </w:r>
            <w:r w:rsidR="00B52716">
              <w:rPr>
                <w:rFonts w:ascii="Times New Roman" w:eastAsia="Times New Roman" w:hAnsi="Times New Roman" w:cs="Times New Roman"/>
                <w:color w:val="000000"/>
                <w:kern w:val="0"/>
                <w:szCs w:val="24"/>
                <w:lang w:eastAsia="en-IN"/>
                <w14:ligatures w14:val="none"/>
              </w:rPr>
              <w:t>.0</w:t>
            </w:r>
          </w:p>
        </w:tc>
        <w:tc>
          <w:tcPr>
            <w:tcW w:w="1281" w:type="dxa"/>
            <w:tcBorders>
              <w:top w:val="nil"/>
              <w:left w:val="nil"/>
              <w:bottom w:val="single" w:sz="4" w:space="0" w:color="auto"/>
              <w:right w:val="single" w:sz="4" w:space="0" w:color="auto"/>
            </w:tcBorders>
            <w:vAlign w:val="center"/>
            <w:hideMark/>
          </w:tcPr>
          <w:p w14:paraId="5DB1B04A" w14:textId="77777777" w:rsidR="00366F91" w:rsidRPr="008E2A3E" w:rsidRDefault="00366F91" w:rsidP="00366F91">
            <w:pPr>
              <w:spacing w:after="0" w:line="240" w:lineRule="auto"/>
              <w:jc w:val="center"/>
              <w:rPr>
                <w:rFonts w:ascii="Times New Roman" w:eastAsia="Times New Roman" w:hAnsi="Times New Roman" w:cs="Times New Roman"/>
                <w:color w:val="000000"/>
                <w:kern w:val="0"/>
                <w:szCs w:val="24"/>
                <w:lang w:eastAsia="en-IN"/>
                <w14:ligatures w14:val="none"/>
              </w:rPr>
            </w:pPr>
            <w:r w:rsidRPr="008E2A3E">
              <w:rPr>
                <w:rFonts w:ascii="Times New Roman" w:eastAsia="Times New Roman" w:hAnsi="Times New Roman" w:cs="Times New Roman"/>
                <w:color w:val="000000"/>
                <w:kern w:val="0"/>
                <w:szCs w:val="24"/>
                <w:lang w:eastAsia="en-IN"/>
                <w14:ligatures w14:val="none"/>
              </w:rPr>
              <w:t>10.3</w:t>
            </w:r>
          </w:p>
        </w:tc>
        <w:tc>
          <w:tcPr>
            <w:tcW w:w="1211" w:type="dxa"/>
            <w:tcBorders>
              <w:top w:val="nil"/>
              <w:left w:val="nil"/>
              <w:bottom w:val="single" w:sz="4" w:space="0" w:color="auto"/>
              <w:right w:val="single" w:sz="4" w:space="0" w:color="auto"/>
            </w:tcBorders>
            <w:vAlign w:val="center"/>
            <w:hideMark/>
          </w:tcPr>
          <w:p w14:paraId="04C4EE4A" w14:textId="7021E188" w:rsidR="00366F91" w:rsidRPr="008E2A3E" w:rsidRDefault="00366F91" w:rsidP="00366F91">
            <w:pPr>
              <w:spacing w:after="0" w:line="240" w:lineRule="auto"/>
              <w:jc w:val="center"/>
              <w:rPr>
                <w:rFonts w:ascii="Times New Roman" w:eastAsia="Times New Roman" w:hAnsi="Times New Roman" w:cs="Times New Roman"/>
                <w:color w:val="000000"/>
                <w:kern w:val="0"/>
                <w:szCs w:val="24"/>
                <w:lang w:eastAsia="en-IN"/>
                <w14:ligatures w14:val="none"/>
              </w:rPr>
            </w:pPr>
            <w:r w:rsidRPr="008E2A3E">
              <w:rPr>
                <w:rFonts w:ascii="Times New Roman" w:eastAsia="Times New Roman" w:hAnsi="Times New Roman" w:cs="Times New Roman"/>
                <w:color w:val="000000"/>
                <w:kern w:val="0"/>
                <w:szCs w:val="24"/>
                <w:lang w:eastAsia="en-IN"/>
                <w14:ligatures w14:val="none"/>
              </w:rPr>
              <w:t>42.</w:t>
            </w:r>
            <w:r w:rsidR="000411F6">
              <w:rPr>
                <w:rFonts w:ascii="Times New Roman" w:eastAsia="Times New Roman" w:hAnsi="Times New Roman" w:cs="Times New Roman"/>
                <w:color w:val="000000"/>
                <w:kern w:val="0"/>
                <w:szCs w:val="24"/>
                <w:lang w:eastAsia="en-IN"/>
                <w14:ligatures w14:val="none"/>
              </w:rPr>
              <w:t>0</w:t>
            </w:r>
            <w:r w:rsidRPr="008E2A3E">
              <w:rPr>
                <w:rFonts w:ascii="Times New Roman" w:eastAsia="Times New Roman" w:hAnsi="Times New Roman" w:cs="Times New Roman"/>
                <w:color w:val="000000"/>
                <w:kern w:val="0"/>
                <w:szCs w:val="24"/>
                <w:lang w:eastAsia="en-IN"/>
                <w14:ligatures w14:val="none"/>
              </w:rPr>
              <w:t>5</w:t>
            </w:r>
          </w:p>
        </w:tc>
        <w:tc>
          <w:tcPr>
            <w:tcW w:w="1213" w:type="dxa"/>
            <w:tcBorders>
              <w:top w:val="nil"/>
              <w:left w:val="nil"/>
              <w:bottom w:val="single" w:sz="4" w:space="0" w:color="auto"/>
              <w:right w:val="single" w:sz="4" w:space="0" w:color="auto"/>
            </w:tcBorders>
            <w:vAlign w:val="center"/>
            <w:hideMark/>
          </w:tcPr>
          <w:p w14:paraId="11F63379" w14:textId="77777777" w:rsidR="00366F91" w:rsidRPr="008E2A3E" w:rsidRDefault="00366F91" w:rsidP="00366F91">
            <w:pPr>
              <w:spacing w:after="0" w:line="240" w:lineRule="auto"/>
              <w:jc w:val="center"/>
              <w:rPr>
                <w:rFonts w:ascii="Times New Roman" w:eastAsia="Times New Roman" w:hAnsi="Times New Roman" w:cs="Times New Roman"/>
                <w:color w:val="000000"/>
                <w:kern w:val="0"/>
                <w:szCs w:val="24"/>
                <w:lang w:eastAsia="en-IN"/>
                <w14:ligatures w14:val="none"/>
              </w:rPr>
            </w:pPr>
            <w:r w:rsidRPr="008E2A3E">
              <w:rPr>
                <w:rFonts w:ascii="Times New Roman" w:eastAsia="Times New Roman" w:hAnsi="Times New Roman" w:cs="Times New Roman"/>
                <w:color w:val="000000"/>
                <w:kern w:val="0"/>
                <w:szCs w:val="24"/>
                <w:lang w:eastAsia="en-IN"/>
                <w14:ligatures w14:val="none"/>
              </w:rPr>
              <w:t>9.1</w:t>
            </w:r>
          </w:p>
        </w:tc>
        <w:tc>
          <w:tcPr>
            <w:tcW w:w="1281" w:type="dxa"/>
            <w:tcBorders>
              <w:top w:val="nil"/>
              <w:left w:val="nil"/>
              <w:bottom w:val="single" w:sz="4" w:space="0" w:color="auto"/>
              <w:right w:val="single" w:sz="4" w:space="0" w:color="auto"/>
            </w:tcBorders>
            <w:vAlign w:val="center"/>
            <w:hideMark/>
          </w:tcPr>
          <w:p w14:paraId="2D217157" w14:textId="77777777" w:rsidR="00366F91" w:rsidRPr="008E2A3E" w:rsidRDefault="00366F91" w:rsidP="00366F91">
            <w:pPr>
              <w:spacing w:after="0" w:line="240" w:lineRule="auto"/>
              <w:jc w:val="center"/>
              <w:rPr>
                <w:rFonts w:ascii="Times New Roman" w:eastAsia="Times New Roman" w:hAnsi="Times New Roman" w:cs="Times New Roman"/>
                <w:color w:val="000000"/>
                <w:kern w:val="0"/>
                <w:szCs w:val="24"/>
                <w:lang w:eastAsia="en-IN"/>
                <w14:ligatures w14:val="none"/>
              </w:rPr>
            </w:pPr>
            <w:r w:rsidRPr="008E2A3E">
              <w:rPr>
                <w:rFonts w:ascii="Times New Roman" w:eastAsia="Times New Roman" w:hAnsi="Times New Roman" w:cs="Times New Roman"/>
                <w:color w:val="000000"/>
                <w:kern w:val="0"/>
                <w:szCs w:val="24"/>
                <w:lang w:eastAsia="en-IN"/>
                <w14:ligatures w14:val="none"/>
              </w:rPr>
              <w:t>14.5</w:t>
            </w:r>
          </w:p>
        </w:tc>
      </w:tr>
      <w:tr w:rsidR="00366F91" w:rsidRPr="008E2A3E" w14:paraId="7DED9213" w14:textId="77777777" w:rsidTr="008E2A3E">
        <w:trPr>
          <w:trHeight w:val="280"/>
          <w:jc w:val="center"/>
        </w:trPr>
        <w:tc>
          <w:tcPr>
            <w:tcW w:w="1308" w:type="dxa"/>
            <w:tcBorders>
              <w:top w:val="nil"/>
              <w:left w:val="single" w:sz="4" w:space="0" w:color="auto"/>
              <w:bottom w:val="single" w:sz="4" w:space="0" w:color="auto"/>
              <w:right w:val="single" w:sz="4" w:space="0" w:color="auto"/>
            </w:tcBorders>
            <w:vAlign w:val="center"/>
            <w:hideMark/>
          </w:tcPr>
          <w:p w14:paraId="36D27A86" w14:textId="77777777" w:rsidR="00366F91" w:rsidRPr="008E2A3E" w:rsidRDefault="00366F91" w:rsidP="00366F91">
            <w:pPr>
              <w:spacing w:after="0" w:line="240" w:lineRule="auto"/>
              <w:rPr>
                <w:rFonts w:ascii="Times New Roman" w:eastAsia="Times New Roman" w:hAnsi="Times New Roman" w:cs="Times New Roman"/>
                <w:color w:val="000000"/>
                <w:kern w:val="0"/>
                <w:szCs w:val="24"/>
                <w:lang w:eastAsia="en-IN"/>
                <w14:ligatures w14:val="none"/>
              </w:rPr>
            </w:pPr>
            <w:r w:rsidRPr="008E2A3E">
              <w:rPr>
                <w:rFonts w:ascii="Times New Roman" w:eastAsia="Times New Roman" w:hAnsi="Times New Roman" w:cs="Times New Roman"/>
                <w:color w:val="000000"/>
                <w:kern w:val="0"/>
                <w:szCs w:val="24"/>
                <w:lang w:eastAsia="en-IN"/>
                <w14:ligatures w14:val="none"/>
              </w:rPr>
              <w:t>Gujarat</w:t>
            </w:r>
          </w:p>
        </w:tc>
        <w:tc>
          <w:tcPr>
            <w:tcW w:w="1294" w:type="dxa"/>
            <w:tcBorders>
              <w:top w:val="nil"/>
              <w:left w:val="nil"/>
              <w:bottom w:val="single" w:sz="4" w:space="0" w:color="auto"/>
              <w:right w:val="single" w:sz="4" w:space="0" w:color="auto"/>
            </w:tcBorders>
            <w:vAlign w:val="center"/>
            <w:hideMark/>
          </w:tcPr>
          <w:p w14:paraId="43B32A57" w14:textId="77777777" w:rsidR="00366F91" w:rsidRPr="008E2A3E" w:rsidRDefault="00366F91" w:rsidP="00366F91">
            <w:pPr>
              <w:spacing w:after="0" w:line="240" w:lineRule="auto"/>
              <w:jc w:val="center"/>
              <w:rPr>
                <w:rFonts w:ascii="Times New Roman" w:eastAsia="Times New Roman" w:hAnsi="Times New Roman" w:cs="Times New Roman"/>
                <w:color w:val="000000"/>
                <w:kern w:val="0"/>
                <w:szCs w:val="24"/>
                <w:lang w:eastAsia="en-IN"/>
                <w14:ligatures w14:val="none"/>
              </w:rPr>
            </w:pPr>
            <w:r w:rsidRPr="008E2A3E">
              <w:rPr>
                <w:rFonts w:ascii="Times New Roman" w:eastAsia="Times New Roman" w:hAnsi="Times New Roman" w:cs="Times New Roman"/>
                <w:color w:val="000000"/>
                <w:kern w:val="0"/>
                <w:szCs w:val="24"/>
                <w:lang w:eastAsia="en-IN"/>
                <w14:ligatures w14:val="none"/>
              </w:rPr>
              <w:t>206.33</w:t>
            </w:r>
          </w:p>
        </w:tc>
        <w:tc>
          <w:tcPr>
            <w:tcW w:w="1699" w:type="dxa"/>
            <w:tcBorders>
              <w:top w:val="nil"/>
              <w:left w:val="nil"/>
              <w:bottom w:val="single" w:sz="4" w:space="0" w:color="auto"/>
              <w:right w:val="single" w:sz="4" w:space="0" w:color="auto"/>
            </w:tcBorders>
            <w:vAlign w:val="center"/>
            <w:hideMark/>
          </w:tcPr>
          <w:p w14:paraId="4B6C2645" w14:textId="77777777" w:rsidR="00366F91" w:rsidRPr="008E2A3E" w:rsidRDefault="00366F91" w:rsidP="00366F91">
            <w:pPr>
              <w:spacing w:after="0" w:line="240" w:lineRule="auto"/>
              <w:jc w:val="center"/>
              <w:rPr>
                <w:rFonts w:ascii="Times New Roman" w:eastAsia="Times New Roman" w:hAnsi="Times New Roman" w:cs="Times New Roman"/>
                <w:color w:val="000000"/>
                <w:kern w:val="0"/>
                <w:szCs w:val="24"/>
                <w:lang w:eastAsia="en-IN"/>
                <w14:ligatures w14:val="none"/>
              </w:rPr>
            </w:pPr>
            <w:r w:rsidRPr="008E2A3E">
              <w:rPr>
                <w:rFonts w:ascii="Times New Roman" w:eastAsia="Times New Roman" w:hAnsi="Times New Roman" w:cs="Times New Roman"/>
                <w:color w:val="000000"/>
                <w:kern w:val="0"/>
                <w:szCs w:val="24"/>
                <w:lang w:eastAsia="en-IN"/>
                <w14:ligatures w14:val="none"/>
              </w:rPr>
              <w:t>13.67</w:t>
            </w:r>
          </w:p>
        </w:tc>
        <w:tc>
          <w:tcPr>
            <w:tcW w:w="1595" w:type="dxa"/>
            <w:tcBorders>
              <w:top w:val="nil"/>
              <w:left w:val="nil"/>
              <w:bottom w:val="single" w:sz="4" w:space="0" w:color="auto"/>
              <w:right w:val="single" w:sz="4" w:space="0" w:color="auto"/>
            </w:tcBorders>
            <w:vAlign w:val="center"/>
            <w:hideMark/>
          </w:tcPr>
          <w:p w14:paraId="0F04F6AB" w14:textId="77777777" w:rsidR="00366F91" w:rsidRPr="008E2A3E" w:rsidRDefault="00366F91" w:rsidP="00366F91">
            <w:pPr>
              <w:spacing w:after="0" w:line="240" w:lineRule="auto"/>
              <w:jc w:val="center"/>
              <w:rPr>
                <w:rFonts w:ascii="Times New Roman" w:eastAsia="Times New Roman" w:hAnsi="Times New Roman" w:cs="Times New Roman"/>
                <w:color w:val="000000"/>
                <w:kern w:val="0"/>
                <w:szCs w:val="24"/>
                <w:lang w:eastAsia="en-IN"/>
                <w14:ligatures w14:val="none"/>
              </w:rPr>
            </w:pPr>
            <w:r w:rsidRPr="008E2A3E">
              <w:rPr>
                <w:rFonts w:ascii="Times New Roman" w:eastAsia="Times New Roman" w:hAnsi="Times New Roman" w:cs="Times New Roman"/>
                <w:color w:val="000000"/>
                <w:kern w:val="0"/>
                <w:szCs w:val="24"/>
                <w:lang w:eastAsia="en-IN"/>
                <w14:ligatures w14:val="none"/>
              </w:rPr>
              <w:t>6.6</w:t>
            </w:r>
          </w:p>
        </w:tc>
        <w:tc>
          <w:tcPr>
            <w:tcW w:w="1281" w:type="dxa"/>
            <w:tcBorders>
              <w:top w:val="nil"/>
              <w:left w:val="nil"/>
              <w:bottom w:val="single" w:sz="4" w:space="0" w:color="auto"/>
              <w:right w:val="single" w:sz="4" w:space="0" w:color="auto"/>
            </w:tcBorders>
            <w:vAlign w:val="center"/>
            <w:hideMark/>
          </w:tcPr>
          <w:p w14:paraId="4C77AA2E" w14:textId="77777777" w:rsidR="00366F91" w:rsidRPr="008E2A3E" w:rsidRDefault="00366F91" w:rsidP="00366F91">
            <w:pPr>
              <w:spacing w:after="0" w:line="240" w:lineRule="auto"/>
              <w:jc w:val="center"/>
              <w:rPr>
                <w:rFonts w:ascii="Times New Roman" w:eastAsia="Times New Roman" w:hAnsi="Times New Roman" w:cs="Times New Roman"/>
                <w:color w:val="000000"/>
                <w:kern w:val="0"/>
                <w:szCs w:val="24"/>
                <w:lang w:eastAsia="en-IN"/>
                <w14:ligatures w14:val="none"/>
              </w:rPr>
            </w:pPr>
            <w:r w:rsidRPr="008E2A3E">
              <w:rPr>
                <w:rFonts w:ascii="Times New Roman" w:eastAsia="Times New Roman" w:hAnsi="Times New Roman" w:cs="Times New Roman"/>
                <w:color w:val="000000"/>
                <w:kern w:val="0"/>
                <w:szCs w:val="24"/>
                <w:lang w:eastAsia="en-IN"/>
                <w14:ligatures w14:val="none"/>
              </w:rPr>
              <w:t>2.2</w:t>
            </w:r>
          </w:p>
        </w:tc>
        <w:tc>
          <w:tcPr>
            <w:tcW w:w="1211" w:type="dxa"/>
            <w:tcBorders>
              <w:top w:val="nil"/>
              <w:left w:val="nil"/>
              <w:bottom w:val="single" w:sz="4" w:space="0" w:color="auto"/>
              <w:right w:val="single" w:sz="4" w:space="0" w:color="auto"/>
            </w:tcBorders>
            <w:vAlign w:val="center"/>
            <w:hideMark/>
          </w:tcPr>
          <w:p w14:paraId="25C8790F" w14:textId="77777777" w:rsidR="00366F91" w:rsidRPr="008E2A3E" w:rsidRDefault="00366F91" w:rsidP="00366F91">
            <w:pPr>
              <w:spacing w:after="0" w:line="240" w:lineRule="auto"/>
              <w:jc w:val="center"/>
              <w:rPr>
                <w:rFonts w:ascii="Times New Roman" w:eastAsia="Times New Roman" w:hAnsi="Times New Roman" w:cs="Times New Roman"/>
                <w:color w:val="000000"/>
                <w:kern w:val="0"/>
                <w:szCs w:val="24"/>
                <w:lang w:eastAsia="en-IN"/>
                <w14:ligatures w14:val="none"/>
              </w:rPr>
            </w:pPr>
            <w:r w:rsidRPr="008E2A3E">
              <w:rPr>
                <w:rFonts w:ascii="Times New Roman" w:eastAsia="Times New Roman" w:hAnsi="Times New Roman" w:cs="Times New Roman"/>
                <w:color w:val="000000"/>
                <w:kern w:val="0"/>
                <w:szCs w:val="24"/>
                <w:lang w:eastAsia="en-IN"/>
                <w14:ligatures w14:val="none"/>
              </w:rPr>
              <w:t>27.54</w:t>
            </w:r>
          </w:p>
        </w:tc>
        <w:tc>
          <w:tcPr>
            <w:tcW w:w="1213" w:type="dxa"/>
            <w:tcBorders>
              <w:top w:val="nil"/>
              <w:left w:val="nil"/>
              <w:bottom w:val="single" w:sz="4" w:space="0" w:color="auto"/>
              <w:right w:val="single" w:sz="4" w:space="0" w:color="auto"/>
            </w:tcBorders>
            <w:vAlign w:val="center"/>
            <w:hideMark/>
          </w:tcPr>
          <w:p w14:paraId="16D8FFD4" w14:textId="77777777" w:rsidR="00366F91" w:rsidRPr="008E2A3E" w:rsidRDefault="00366F91" w:rsidP="00366F91">
            <w:pPr>
              <w:spacing w:after="0" w:line="240" w:lineRule="auto"/>
              <w:jc w:val="center"/>
              <w:rPr>
                <w:rFonts w:ascii="Times New Roman" w:eastAsia="Times New Roman" w:hAnsi="Times New Roman" w:cs="Times New Roman"/>
                <w:color w:val="000000"/>
                <w:kern w:val="0"/>
                <w:szCs w:val="24"/>
                <w:lang w:eastAsia="en-IN"/>
                <w14:ligatures w14:val="none"/>
              </w:rPr>
            </w:pPr>
            <w:r w:rsidRPr="008E2A3E">
              <w:rPr>
                <w:rFonts w:ascii="Times New Roman" w:eastAsia="Times New Roman" w:hAnsi="Times New Roman" w:cs="Times New Roman"/>
                <w:color w:val="000000"/>
                <w:kern w:val="0"/>
                <w:szCs w:val="24"/>
                <w:lang w:eastAsia="en-IN"/>
                <w14:ligatures w14:val="none"/>
              </w:rPr>
              <w:t>13.3</w:t>
            </w:r>
          </w:p>
        </w:tc>
        <w:tc>
          <w:tcPr>
            <w:tcW w:w="1281" w:type="dxa"/>
            <w:tcBorders>
              <w:top w:val="nil"/>
              <w:left w:val="nil"/>
              <w:bottom w:val="single" w:sz="4" w:space="0" w:color="auto"/>
              <w:right w:val="single" w:sz="4" w:space="0" w:color="auto"/>
            </w:tcBorders>
            <w:vAlign w:val="center"/>
            <w:hideMark/>
          </w:tcPr>
          <w:p w14:paraId="1DDB3784" w14:textId="77777777" w:rsidR="00366F91" w:rsidRPr="008E2A3E" w:rsidRDefault="00366F91" w:rsidP="00366F91">
            <w:pPr>
              <w:spacing w:after="0" w:line="240" w:lineRule="auto"/>
              <w:jc w:val="center"/>
              <w:rPr>
                <w:rFonts w:ascii="Times New Roman" w:eastAsia="Times New Roman" w:hAnsi="Times New Roman" w:cs="Times New Roman"/>
                <w:color w:val="000000"/>
                <w:kern w:val="0"/>
                <w:szCs w:val="24"/>
                <w:lang w:eastAsia="en-IN"/>
                <w14:ligatures w14:val="none"/>
              </w:rPr>
            </w:pPr>
            <w:r w:rsidRPr="008E2A3E">
              <w:rPr>
                <w:rFonts w:ascii="Times New Roman" w:eastAsia="Times New Roman" w:hAnsi="Times New Roman" w:cs="Times New Roman"/>
                <w:color w:val="000000"/>
                <w:kern w:val="0"/>
                <w:szCs w:val="24"/>
                <w:lang w:eastAsia="en-IN"/>
                <w14:ligatures w14:val="none"/>
              </w:rPr>
              <w:t>9.5</w:t>
            </w:r>
          </w:p>
        </w:tc>
      </w:tr>
      <w:tr w:rsidR="00366F91" w:rsidRPr="008E2A3E" w14:paraId="1C4A668D" w14:textId="77777777" w:rsidTr="008E2A3E">
        <w:trPr>
          <w:trHeight w:val="280"/>
          <w:jc w:val="center"/>
        </w:trPr>
        <w:tc>
          <w:tcPr>
            <w:tcW w:w="1308" w:type="dxa"/>
            <w:tcBorders>
              <w:top w:val="nil"/>
              <w:left w:val="single" w:sz="4" w:space="0" w:color="auto"/>
              <w:bottom w:val="single" w:sz="4" w:space="0" w:color="auto"/>
              <w:right w:val="single" w:sz="4" w:space="0" w:color="auto"/>
            </w:tcBorders>
            <w:vAlign w:val="center"/>
            <w:hideMark/>
          </w:tcPr>
          <w:p w14:paraId="1E09DBEA" w14:textId="77777777" w:rsidR="00366F91" w:rsidRPr="008E2A3E" w:rsidRDefault="00366F91" w:rsidP="00366F91">
            <w:pPr>
              <w:spacing w:after="0" w:line="240" w:lineRule="auto"/>
              <w:rPr>
                <w:rFonts w:ascii="Times New Roman" w:eastAsia="Times New Roman" w:hAnsi="Times New Roman" w:cs="Times New Roman"/>
                <w:color w:val="000000"/>
                <w:kern w:val="0"/>
                <w:szCs w:val="24"/>
                <w:lang w:eastAsia="en-IN"/>
                <w14:ligatures w14:val="none"/>
              </w:rPr>
            </w:pPr>
            <w:r w:rsidRPr="008E2A3E">
              <w:rPr>
                <w:rFonts w:ascii="Times New Roman" w:eastAsia="Times New Roman" w:hAnsi="Times New Roman" w:cs="Times New Roman"/>
                <w:color w:val="000000"/>
                <w:kern w:val="0"/>
                <w:szCs w:val="24"/>
                <w:lang w:eastAsia="en-IN"/>
                <w14:ligatures w14:val="none"/>
              </w:rPr>
              <w:t>Haryana</w:t>
            </w:r>
          </w:p>
        </w:tc>
        <w:tc>
          <w:tcPr>
            <w:tcW w:w="1294" w:type="dxa"/>
            <w:tcBorders>
              <w:top w:val="nil"/>
              <w:left w:val="nil"/>
              <w:bottom w:val="single" w:sz="4" w:space="0" w:color="auto"/>
              <w:right w:val="single" w:sz="4" w:space="0" w:color="auto"/>
            </w:tcBorders>
            <w:vAlign w:val="center"/>
            <w:hideMark/>
          </w:tcPr>
          <w:p w14:paraId="7B4660F8" w14:textId="77777777" w:rsidR="00366F91" w:rsidRPr="008E2A3E" w:rsidRDefault="00366F91" w:rsidP="00366F91">
            <w:pPr>
              <w:spacing w:after="0" w:line="240" w:lineRule="auto"/>
              <w:jc w:val="center"/>
              <w:rPr>
                <w:rFonts w:ascii="Times New Roman" w:eastAsia="Times New Roman" w:hAnsi="Times New Roman" w:cs="Times New Roman"/>
                <w:color w:val="000000"/>
                <w:kern w:val="0"/>
                <w:szCs w:val="24"/>
                <w:lang w:eastAsia="en-IN"/>
                <w14:ligatures w14:val="none"/>
              </w:rPr>
            </w:pPr>
            <w:r w:rsidRPr="008E2A3E">
              <w:rPr>
                <w:rFonts w:ascii="Times New Roman" w:eastAsia="Times New Roman" w:hAnsi="Times New Roman" w:cs="Times New Roman"/>
                <w:color w:val="000000"/>
                <w:kern w:val="0"/>
                <w:szCs w:val="24"/>
                <w:lang w:eastAsia="en-IN"/>
                <w14:ligatures w14:val="none"/>
              </w:rPr>
              <w:t>75.9</w:t>
            </w:r>
          </w:p>
        </w:tc>
        <w:tc>
          <w:tcPr>
            <w:tcW w:w="1699" w:type="dxa"/>
            <w:tcBorders>
              <w:top w:val="nil"/>
              <w:left w:val="nil"/>
              <w:bottom w:val="single" w:sz="4" w:space="0" w:color="auto"/>
              <w:right w:val="single" w:sz="4" w:space="0" w:color="auto"/>
            </w:tcBorders>
            <w:vAlign w:val="center"/>
            <w:hideMark/>
          </w:tcPr>
          <w:p w14:paraId="5602F670" w14:textId="77777777" w:rsidR="00366F91" w:rsidRPr="008E2A3E" w:rsidRDefault="00366F91" w:rsidP="00366F91">
            <w:pPr>
              <w:spacing w:after="0" w:line="240" w:lineRule="auto"/>
              <w:jc w:val="center"/>
              <w:rPr>
                <w:rFonts w:ascii="Times New Roman" w:eastAsia="Times New Roman" w:hAnsi="Times New Roman" w:cs="Times New Roman"/>
                <w:color w:val="000000"/>
                <w:kern w:val="0"/>
                <w:szCs w:val="24"/>
                <w:lang w:eastAsia="en-IN"/>
                <w14:ligatures w14:val="none"/>
              </w:rPr>
            </w:pPr>
            <w:r w:rsidRPr="008E2A3E">
              <w:rPr>
                <w:rFonts w:ascii="Times New Roman" w:eastAsia="Times New Roman" w:hAnsi="Times New Roman" w:cs="Times New Roman"/>
                <w:color w:val="000000"/>
                <w:kern w:val="0"/>
                <w:szCs w:val="24"/>
                <w:lang w:eastAsia="en-IN"/>
                <w14:ligatures w14:val="none"/>
              </w:rPr>
              <w:t>13.64</w:t>
            </w:r>
          </w:p>
        </w:tc>
        <w:tc>
          <w:tcPr>
            <w:tcW w:w="1595" w:type="dxa"/>
            <w:tcBorders>
              <w:top w:val="nil"/>
              <w:left w:val="nil"/>
              <w:bottom w:val="single" w:sz="4" w:space="0" w:color="auto"/>
              <w:right w:val="single" w:sz="4" w:space="0" w:color="auto"/>
            </w:tcBorders>
            <w:vAlign w:val="center"/>
            <w:hideMark/>
          </w:tcPr>
          <w:p w14:paraId="4AB519B4" w14:textId="27C58056" w:rsidR="00366F91" w:rsidRPr="008E2A3E" w:rsidRDefault="00366F91" w:rsidP="00366F91">
            <w:pPr>
              <w:spacing w:after="0" w:line="240" w:lineRule="auto"/>
              <w:jc w:val="center"/>
              <w:rPr>
                <w:rFonts w:ascii="Times New Roman" w:eastAsia="Times New Roman" w:hAnsi="Times New Roman" w:cs="Times New Roman"/>
                <w:color w:val="000000"/>
                <w:kern w:val="0"/>
                <w:szCs w:val="24"/>
                <w:lang w:eastAsia="en-IN"/>
                <w14:ligatures w14:val="none"/>
              </w:rPr>
            </w:pPr>
            <w:r w:rsidRPr="008E2A3E">
              <w:rPr>
                <w:rFonts w:ascii="Times New Roman" w:eastAsia="Times New Roman" w:hAnsi="Times New Roman" w:cs="Times New Roman"/>
                <w:color w:val="000000"/>
                <w:kern w:val="0"/>
                <w:szCs w:val="24"/>
                <w:lang w:eastAsia="en-IN"/>
                <w14:ligatures w14:val="none"/>
              </w:rPr>
              <w:t>18</w:t>
            </w:r>
            <w:r w:rsidR="00B52716">
              <w:rPr>
                <w:rFonts w:ascii="Times New Roman" w:eastAsia="Times New Roman" w:hAnsi="Times New Roman" w:cs="Times New Roman"/>
                <w:color w:val="000000"/>
                <w:kern w:val="0"/>
                <w:szCs w:val="24"/>
                <w:lang w:eastAsia="en-IN"/>
                <w14:ligatures w14:val="none"/>
              </w:rPr>
              <w:t>.0</w:t>
            </w:r>
          </w:p>
        </w:tc>
        <w:tc>
          <w:tcPr>
            <w:tcW w:w="1281" w:type="dxa"/>
            <w:tcBorders>
              <w:top w:val="nil"/>
              <w:left w:val="nil"/>
              <w:bottom w:val="single" w:sz="4" w:space="0" w:color="auto"/>
              <w:right w:val="single" w:sz="4" w:space="0" w:color="auto"/>
            </w:tcBorders>
            <w:vAlign w:val="center"/>
            <w:hideMark/>
          </w:tcPr>
          <w:p w14:paraId="20A7E143" w14:textId="77777777" w:rsidR="00366F91" w:rsidRPr="008E2A3E" w:rsidRDefault="00366F91" w:rsidP="00366F91">
            <w:pPr>
              <w:spacing w:after="0" w:line="240" w:lineRule="auto"/>
              <w:jc w:val="center"/>
              <w:rPr>
                <w:rFonts w:ascii="Times New Roman" w:eastAsia="Times New Roman" w:hAnsi="Times New Roman" w:cs="Times New Roman"/>
                <w:color w:val="000000"/>
                <w:kern w:val="0"/>
                <w:szCs w:val="24"/>
                <w:lang w:eastAsia="en-IN"/>
                <w14:ligatures w14:val="none"/>
              </w:rPr>
            </w:pPr>
            <w:r w:rsidRPr="008E2A3E">
              <w:rPr>
                <w:rFonts w:ascii="Times New Roman" w:eastAsia="Times New Roman" w:hAnsi="Times New Roman" w:cs="Times New Roman"/>
                <w:color w:val="000000"/>
                <w:kern w:val="0"/>
                <w:szCs w:val="24"/>
                <w:lang w:eastAsia="en-IN"/>
                <w14:ligatures w14:val="none"/>
              </w:rPr>
              <w:t>2.2</w:t>
            </w:r>
          </w:p>
        </w:tc>
        <w:tc>
          <w:tcPr>
            <w:tcW w:w="1211" w:type="dxa"/>
            <w:tcBorders>
              <w:top w:val="nil"/>
              <w:left w:val="nil"/>
              <w:bottom w:val="single" w:sz="4" w:space="0" w:color="auto"/>
              <w:right w:val="single" w:sz="4" w:space="0" w:color="auto"/>
            </w:tcBorders>
            <w:vAlign w:val="center"/>
            <w:hideMark/>
          </w:tcPr>
          <w:p w14:paraId="63799D22" w14:textId="77777777" w:rsidR="00366F91" w:rsidRPr="008E2A3E" w:rsidRDefault="00366F91" w:rsidP="00366F91">
            <w:pPr>
              <w:spacing w:after="0" w:line="240" w:lineRule="auto"/>
              <w:jc w:val="center"/>
              <w:rPr>
                <w:rFonts w:ascii="Times New Roman" w:eastAsia="Times New Roman" w:hAnsi="Times New Roman" w:cs="Times New Roman"/>
                <w:color w:val="000000"/>
                <w:kern w:val="0"/>
                <w:szCs w:val="24"/>
                <w:lang w:eastAsia="en-IN"/>
                <w14:ligatures w14:val="none"/>
              </w:rPr>
            </w:pPr>
            <w:r w:rsidRPr="008E2A3E">
              <w:rPr>
                <w:rFonts w:ascii="Times New Roman" w:eastAsia="Times New Roman" w:hAnsi="Times New Roman" w:cs="Times New Roman"/>
                <w:color w:val="000000"/>
                <w:kern w:val="0"/>
                <w:szCs w:val="24"/>
                <w:lang w:eastAsia="en-IN"/>
                <w14:ligatures w14:val="none"/>
              </w:rPr>
              <w:t>-</w:t>
            </w:r>
          </w:p>
        </w:tc>
        <w:tc>
          <w:tcPr>
            <w:tcW w:w="1213" w:type="dxa"/>
            <w:tcBorders>
              <w:top w:val="nil"/>
              <w:left w:val="nil"/>
              <w:bottom w:val="single" w:sz="4" w:space="0" w:color="auto"/>
              <w:right w:val="single" w:sz="4" w:space="0" w:color="auto"/>
            </w:tcBorders>
            <w:vAlign w:val="center"/>
            <w:hideMark/>
          </w:tcPr>
          <w:p w14:paraId="4B8DFA5E" w14:textId="77777777" w:rsidR="00366F91" w:rsidRPr="008E2A3E" w:rsidRDefault="00366F91" w:rsidP="00366F91">
            <w:pPr>
              <w:spacing w:after="0" w:line="240" w:lineRule="auto"/>
              <w:jc w:val="center"/>
              <w:rPr>
                <w:rFonts w:ascii="Times New Roman" w:eastAsia="Times New Roman" w:hAnsi="Times New Roman" w:cs="Times New Roman"/>
                <w:color w:val="000000"/>
                <w:kern w:val="0"/>
                <w:szCs w:val="24"/>
                <w:lang w:eastAsia="en-IN"/>
                <w14:ligatures w14:val="none"/>
              </w:rPr>
            </w:pPr>
            <w:r w:rsidRPr="008E2A3E">
              <w:rPr>
                <w:rFonts w:ascii="Times New Roman" w:eastAsia="Times New Roman" w:hAnsi="Times New Roman" w:cs="Times New Roman"/>
                <w:color w:val="000000"/>
                <w:kern w:val="0"/>
                <w:szCs w:val="24"/>
                <w:lang w:eastAsia="en-IN"/>
                <w14:ligatures w14:val="none"/>
              </w:rPr>
              <w:t>-</w:t>
            </w:r>
          </w:p>
        </w:tc>
        <w:tc>
          <w:tcPr>
            <w:tcW w:w="1281" w:type="dxa"/>
            <w:tcBorders>
              <w:top w:val="nil"/>
              <w:left w:val="nil"/>
              <w:bottom w:val="single" w:sz="4" w:space="0" w:color="auto"/>
              <w:right w:val="single" w:sz="4" w:space="0" w:color="auto"/>
            </w:tcBorders>
            <w:vAlign w:val="center"/>
            <w:hideMark/>
          </w:tcPr>
          <w:p w14:paraId="20CAB9E6" w14:textId="77777777" w:rsidR="00366F91" w:rsidRPr="008E2A3E" w:rsidRDefault="00366F91" w:rsidP="00366F91">
            <w:pPr>
              <w:spacing w:after="0" w:line="240" w:lineRule="auto"/>
              <w:jc w:val="center"/>
              <w:rPr>
                <w:rFonts w:ascii="Times New Roman" w:eastAsia="Times New Roman" w:hAnsi="Times New Roman" w:cs="Times New Roman"/>
                <w:color w:val="000000"/>
                <w:kern w:val="0"/>
                <w:szCs w:val="24"/>
                <w:lang w:eastAsia="en-IN"/>
                <w14:ligatures w14:val="none"/>
              </w:rPr>
            </w:pPr>
            <w:r w:rsidRPr="008E2A3E">
              <w:rPr>
                <w:rFonts w:ascii="Times New Roman" w:eastAsia="Times New Roman" w:hAnsi="Times New Roman" w:cs="Times New Roman"/>
                <w:color w:val="000000"/>
                <w:kern w:val="0"/>
                <w:szCs w:val="24"/>
                <w:lang w:eastAsia="en-IN"/>
                <w14:ligatures w14:val="none"/>
              </w:rPr>
              <w:t>-</w:t>
            </w:r>
          </w:p>
        </w:tc>
      </w:tr>
      <w:tr w:rsidR="00366F91" w:rsidRPr="008E2A3E" w14:paraId="458155E3" w14:textId="77777777" w:rsidTr="008E2A3E">
        <w:trPr>
          <w:trHeight w:val="533"/>
          <w:jc w:val="center"/>
        </w:trPr>
        <w:tc>
          <w:tcPr>
            <w:tcW w:w="1308" w:type="dxa"/>
            <w:tcBorders>
              <w:top w:val="nil"/>
              <w:left w:val="single" w:sz="4" w:space="0" w:color="auto"/>
              <w:bottom w:val="single" w:sz="4" w:space="0" w:color="auto"/>
              <w:right w:val="single" w:sz="4" w:space="0" w:color="auto"/>
            </w:tcBorders>
            <w:vAlign w:val="center"/>
            <w:hideMark/>
          </w:tcPr>
          <w:p w14:paraId="6D4CF953" w14:textId="77777777" w:rsidR="00366F91" w:rsidRPr="008E2A3E" w:rsidRDefault="00366F91" w:rsidP="00366F91">
            <w:pPr>
              <w:spacing w:after="0" w:line="240" w:lineRule="auto"/>
              <w:rPr>
                <w:rFonts w:ascii="Times New Roman" w:eastAsia="Times New Roman" w:hAnsi="Times New Roman" w:cs="Times New Roman"/>
                <w:color w:val="000000"/>
                <w:kern w:val="0"/>
                <w:szCs w:val="24"/>
                <w:lang w:eastAsia="en-IN"/>
                <w14:ligatures w14:val="none"/>
              </w:rPr>
            </w:pPr>
            <w:r w:rsidRPr="008E2A3E">
              <w:rPr>
                <w:rFonts w:ascii="Times New Roman" w:eastAsia="Times New Roman" w:hAnsi="Times New Roman" w:cs="Times New Roman"/>
                <w:color w:val="000000"/>
                <w:kern w:val="0"/>
                <w:szCs w:val="24"/>
                <w:lang w:eastAsia="en-IN"/>
                <w14:ligatures w14:val="none"/>
              </w:rPr>
              <w:t>Jammu and Kashmir</w:t>
            </w:r>
          </w:p>
        </w:tc>
        <w:tc>
          <w:tcPr>
            <w:tcW w:w="1294" w:type="dxa"/>
            <w:tcBorders>
              <w:top w:val="nil"/>
              <w:left w:val="nil"/>
              <w:bottom w:val="single" w:sz="4" w:space="0" w:color="auto"/>
              <w:right w:val="single" w:sz="4" w:space="0" w:color="auto"/>
            </w:tcBorders>
            <w:vAlign w:val="center"/>
            <w:hideMark/>
          </w:tcPr>
          <w:p w14:paraId="3D05D7A5" w14:textId="77777777" w:rsidR="00366F91" w:rsidRPr="008E2A3E" w:rsidRDefault="00366F91" w:rsidP="00366F91">
            <w:pPr>
              <w:spacing w:after="0" w:line="240" w:lineRule="auto"/>
              <w:jc w:val="center"/>
              <w:rPr>
                <w:rFonts w:ascii="Times New Roman" w:eastAsia="Times New Roman" w:hAnsi="Times New Roman" w:cs="Times New Roman"/>
                <w:color w:val="000000"/>
                <w:kern w:val="0"/>
                <w:szCs w:val="24"/>
                <w:lang w:eastAsia="en-IN"/>
                <w14:ligatures w14:val="none"/>
              </w:rPr>
            </w:pPr>
            <w:r w:rsidRPr="008E2A3E">
              <w:rPr>
                <w:rFonts w:ascii="Times New Roman" w:eastAsia="Times New Roman" w:hAnsi="Times New Roman" w:cs="Times New Roman"/>
                <w:color w:val="000000"/>
                <w:kern w:val="0"/>
                <w:szCs w:val="24"/>
                <w:lang w:eastAsia="en-IN"/>
                <w14:ligatures w14:val="none"/>
              </w:rPr>
              <w:t>35.61</w:t>
            </w:r>
          </w:p>
        </w:tc>
        <w:tc>
          <w:tcPr>
            <w:tcW w:w="1699" w:type="dxa"/>
            <w:tcBorders>
              <w:top w:val="nil"/>
              <w:left w:val="nil"/>
              <w:bottom w:val="single" w:sz="4" w:space="0" w:color="auto"/>
              <w:right w:val="single" w:sz="4" w:space="0" w:color="auto"/>
            </w:tcBorders>
            <w:vAlign w:val="center"/>
            <w:hideMark/>
          </w:tcPr>
          <w:p w14:paraId="242E9D66" w14:textId="77777777" w:rsidR="00366F91" w:rsidRPr="008E2A3E" w:rsidRDefault="00366F91" w:rsidP="00366F91">
            <w:pPr>
              <w:spacing w:after="0" w:line="240" w:lineRule="auto"/>
              <w:jc w:val="center"/>
              <w:rPr>
                <w:rFonts w:ascii="Times New Roman" w:eastAsia="Times New Roman" w:hAnsi="Times New Roman" w:cs="Times New Roman"/>
                <w:color w:val="000000"/>
                <w:kern w:val="0"/>
                <w:szCs w:val="24"/>
                <w:lang w:eastAsia="en-IN"/>
                <w14:ligatures w14:val="none"/>
              </w:rPr>
            </w:pPr>
            <w:r w:rsidRPr="008E2A3E">
              <w:rPr>
                <w:rFonts w:ascii="Times New Roman" w:eastAsia="Times New Roman" w:hAnsi="Times New Roman" w:cs="Times New Roman"/>
                <w:color w:val="000000"/>
                <w:kern w:val="0"/>
                <w:szCs w:val="24"/>
                <w:lang w:eastAsia="en-IN"/>
                <w14:ligatures w14:val="none"/>
              </w:rPr>
              <w:t>2.84</w:t>
            </w:r>
          </w:p>
        </w:tc>
        <w:tc>
          <w:tcPr>
            <w:tcW w:w="1595" w:type="dxa"/>
            <w:tcBorders>
              <w:top w:val="nil"/>
              <w:left w:val="nil"/>
              <w:bottom w:val="single" w:sz="4" w:space="0" w:color="auto"/>
              <w:right w:val="single" w:sz="4" w:space="0" w:color="auto"/>
            </w:tcBorders>
            <w:vAlign w:val="center"/>
            <w:hideMark/>
          </w:tcPr>
          <w:p w14:paraId="2B591E55" w14:textId="4EB8A3EC" w:rsidR="00366F91" w:rsidRPr="008E2A3E" w:rsidRDefault="00366F91" w:rsidP="00366F91">
            <w:pPr>
              <w:spacing w:after="0" w:line="240" w:lineRule="auto"/>
              <w:jc w:val="center"/>
              <w:rPr>
                <w:rFonts w:ascii="Times New Roman" w:eastAsia="Times New Roman" w:hAnsi="Times New Roman" w:cs="Times New Roman"/>
                <w:color w:val="000000"/>
                <w:kern w:val="0"/>
                <w:szCs w:val="24"/>
                <w:lang w:eastAsia="en-IN"/>
                <w14:ligatures w14:val="none"/>
              </w:rPr>
            </w:pPr>
            <w:r w:rsidRPr="008E2A3E">
              <w:rPr>
                <w:rFonts w:ascii="Times New Roman" w:eastAsia="Times New Roman" w:hAnsi="Times New Roman" w:cs="Times New Roman"/>
                <w:color w:val="000000"/>
                <w:kern w:val="0"/>
                <w:szCs w:val="24"/>
                <w:lang w:eastAsia="en-IN"/>
                <w14:ligatures w14:val="none"/>
              </w:rPr>
              <w:t>8</w:t>
            </w:r>
            <w:r w:rsidR="00B52716">
              <w:rPr>
                <w:rFonts w:ascii="Times New Roman" w:eastAsia="Times New Roman" w:hAnsi="Times New Roman" w:cs="Times New Roman"/>
                <w:color w:val="000000"/>
                <w:kern w:val="0"/>
                <w:szCs w:val="24"/>
                <w:lang w:eastAsia="en-IN"/>
                <w14:ligatures w14:val="none"/>
              </w:rPr>
              <w:t>.0</w:t>
            </w:r>
          </w:p>
        </w:tc>
        <w:tc>
          <w:tcPr>
            <w:tcW w:w="1281" w:type="dxa"/>
            <w:tcBorders>
              <w:top w:val="nil"/>
              <w:left w:val="nil"/>
              <w:bottom w:val="single" w:sz="4" w:space="0" w:color="auto"/>
              <w:right w:val="single" w:sz="4" w:space="0" w:color="auto"/>
            </w:tcBorders>
            <w:vAlign w:val="center"/>
            <w:hideMark/>
          </w:tcPr>
          <w:p w14:paraId="14ED7946" w14:textId="77777777" w:rsidR="00366F91" w:rsidRPr="008E2A3E" w:rsidRDefault="00366F91" w:rsidP="00366F91">
            <w:pPr>
              <w:spacing w:after="0" w:line="240" w:lineRule="auto"/>
              <w:jc w:val="center"/>
              <w:rPr>
                <w:rFonts w:ascii="Times New Roman" w:eastAsia="Times New Roman" w:hAnsi="Times New Roman" w:cs="Times New Roman"/>
                <w:color w:val="000000"/>
                <w:kern w:val="0"/>
                <w:szCs w:val="24"/>
                <w:lang w:eastAsia="en-IN"/>
                <w14:ligatures w14:val="none"/>
              </w:rPr>
            </w:pPr>
            <w:r w:rsidRPr="008E2A3E">
              <w:rPr>
                <w:rFonts w:ascii="Times New Roman" w:eastAsia="Times New Roman" w:hAnsi="Times New Roman" w:cs="Times New Roman"/>
                <w:color w:val="000000"/>
                <w:kern w:val="0"/>
                <w:szCs w:val="24"/>
                <w:lang w:eastAsia="en-IN"/>
                <w14:ligatures w14:val="none"/>
              </w:rPr>
              <w:t>0.4</w:t>
            </w:r>
          </w:p>
        </w:tc>
        <w:tc>
          <w:tcPr>
            <w:tcW w:w="1211" w:type="dxa"/>
            <w:tcBorders>
              <w:top w:val="nil"/>
              <w:left w:val="nil"/>
              <w:bottom w:val="single" w:sz="4" w:space="0" w:color="auto"/>
              <w:right w:val="single" w:sz="4" w:space="0" w:color="auto"/>
            </w:tcBorders>
            <w:vAlign w:val="center"/>
            <w:hideMark/>
          </w:tcPr>
          <w:p w14:paraId="75523676" w14:textId="77777777" w:rsidR="00366F91" w:rsidRPr="008E2A3E" w:rsidRDefault="00366F91" w:rsidP="00366F91">
            <w:pPr>
              <w:spacing w:after="0" w:line="240" w:lineRule="auto"/>
              <w:jc w:val="center"/>
              <w:rPr>
                <w:rFonts w:ascii="Times New Roman" w:eastAsia="Times New Roman" w:hAnsi="Times New Roman" w:cs="Times New Roman"/>
                <w:color w:val="000000"/>
                <w:kern w:val="0"/>
                <w:szCs w:val="24"/>
                <w:lang w:eastAsia="en-IN"/>
                <w14:ligatures w14:val="none"/>
              </w:rPr>
            </w:pPr>
            <w:r w:rsidRPr="008E2A3E">
              <w:rPr>
                <w:rFonts w:ascii="Times New Roman" w:eastAsia="Times New Roman" w:hAnsi="Times New Roman" w:cs="Times New Roman"/>
                <w:color w:val="000000"/>
                <w:kern w:val="0"/>
                <w:szCs w:val="24"/>
                <w:lang w:eastAsia="en-IN"/>
                <w14:ligatures w14:val="none"/>
              </w:rPr>
              <w:t>-</w:t>
            </w:r>
          </w:p>
        </w:tc>
        <w:tc>
          <w:tcPr>
            <w:tcW w:w="1213" w:type="dxa"/>
            <w:tcBorders>
              <w:top w:val="nil"/>
              <w:left w:val="nil"/>
              <w:bottom w:val="single" w:sz="4" w:space="0" w:color="auto"/>
              <w:right w:val="single" w:sz="4" w:space="0" w:color="auto"/>
            </w:tcBorders>
            <w:vAlign w:val="center"/>
            <w:hideMark/>
          </w:tcPr>
          <w:p w14:paraId="6E004A5F" w14:textId="77777777" w:rsidR="00366F91" w:rsidRPr="008E2A3E" w:rsidRDefault="00366F91" w:rsidP="00366F91">
            <w:pPr>
              <w:spacing w:after="0" w:line="240" w:lineRule="auto"/>
              <w:jc w:val="center"/>
              <w:rPr>
                <w:rFonts w:ascii="Times New Roman" w:eastAsia="Times New Roman" w:hAnsi="Times New Roman" w:cs="Times New Roman"/>
                <w:color w:val="000000"/>
                <w:kern w:val="0"/>
                <w:szCs w:val="24"/>
                <w:lang w:eastAsia="en-IN"/>
                <w14:ligatures w14:val="none"/>
              </w:rPr>
            </w:pPr>
            <w:r w:rsidRPr="008E2A3E">
              <w:rPr>
                <w:rFonts w:ascii="Times New Roman" w:eastAsia="Times New Roman" w:hAnsi="Times New Roman" w:cs="Times New Roman"/>
                <w:color w:val="000000"/>
                <w:kern w:val="0"/>
                <w:szCs w:val="24"/>
                <w:lang w:eastAsia="en-IN"/>
                <w14:ligatures w14:val="none"/>
              </w:rPr>
              <w:t>-</w:t>
            </w:r>
          </w:p>
        </w:tc>
        <w:tc>
          <w:tcPr>
            <w:tcW w:w="1281" w:type="dxa"/>
            <w:tcBorders>
              <w:top w:val="nil"/>
              <w:left w:val="nil"/>
              <w:bottom w:val="single" w:sz="4" w:space="0" w:color="auto"/>
              <w:right w:val="single" w:sz="4" w:space="0" w:color="auto"/>
            </w:tcBorders>
            <w:vAlign w:val="center"/>
            <w:hideMark/>
          </w:tcPr>
          <w:p w14:paraId="1C3201F2" w14:textId="77777777" w:rsidR="00366F91" w:rsidRPr="008E2A3E" w:rsidRDefault="00366F91" w:rsidP="00366F91">
            <w:pPr>
              <w:spacing w:after="0" w:line="240" w:lineRule="auto"/>
              <w:jc w:val="center"/>
              <w:rPr>
                <w:rFonts w:ascii="Times New Roman" w:eastAsia="Times New Roman" w:hAnsi="Times New Roman" w:cs="Times New Roman"/>
                <w:color w:val="000000"/>
                <w:kern w:val="0"/>
                <w:szCs w:val="24"/>
                <w:lang w:eastAsia="en-IN"/>
                <w14:ligatures w14:val="none"/>
              </w:rPr>
            </w:pPr>
            <w:r w:rsidRPr="008E2A3E">
              <w:rPr>
                <w:rFonts w:ascii="Times New Roman" w:eastAsia="Times New Roman" w:hAnsi="Times New Roman" w:cs="Times New Roman"/>
                <w:color w:val="000000"/>
                <w:kern w:val="0"/>
                <w:szCs w:val="24"/>
                <w:lang w:eastAsia="en-IN"/>
                <w14:ligatures w14:val="none"/>
              </w:rPr>
              <w:t>-</w:t>
            </w:r>
          </w:p>
        </w:tc>
      </w:tr>
      <w:tr w:rsidR="00366F91" w:rsidRPr="008E2A3E" w14:paraId="64D7E303" w14:textId="77777777" w:rsidTr="008E2A3E">
        <w:trPr>
          <w:trHeight w:val="280"/>
          <w:jc w:val="center"/>
        </w:trPr>
        <w:tc>
          <w:tcPr>
            <w:tcW w:w="1308" w:type="dxa"/>
            <w:tcBorders>
              <w:top w:val="nil"/>
              <w:left w:val="single" w:sz="4" w:space="0" w:color="auto"/>
              <w:bottom w:val="single" w:sz="4" w:space="0" w:color="auto"/>
              <w:right w:val="single" w:sz="4" w:space="0" w:color="auto"/>
            </w:tcBorders>
            <w:vAlign w:val="center"/>
            <w:hideMark/>
          </w:tcPr>
          <w:p w14:paraId="0DC8CF6B" w14:textId="77777777" w:rsidR="00366F91" w:rsidRPr="008E2A3E" w:rsidRDefault="00366F91" w:rsidP="00366F91">
            <w:pPr>
              <w:spacing w:after="0" w:line="240" w:lineRule="auto"/>
              <w:rPr>
                <w:rFonts w:ascii="Times New Roman" w:eastAsia="Times New Roman" w:hAnsi="Times New Roman" w:cs="Times New Roman"/>
                <w:color w:val="000000"/>
                <w:kern w:val="0"/>
                <w:szCs w:val="24"/>
                <w:lang w:eastAsia="en-IN"/>
                <w14:ligatures w14:val="none"/>
              </w:rPr>
            </w:pPr>
            <w:r w:rsidRPr="008E2A3E">
              <w:rPr>
                <w:rFonts w:ascii="Times New Roman" w:eastAsia="Times New Roman" w:hAnsi="Times New Roman" w:cs="Times New Roman"/>
                <w:color w:val="000000"/>
                <w:kern w:val="0"/>
                <w:szCs w:val="24"/>
                <w:lang w:eastAsia="en-IN"/>
                <w14:ligatures w14:val="none"/>
              </w:rPr>
              <w:t>Kerala</w:t>
            </w:r>
          </w:p>
        </w:tc>
        <w:tc>
          <w:tcPr>
            <w:tcW w:w="1294" w:type="dxa"/>
            <w:tcBorders>
              <w:top w:val="nil"/>
              <w:left w:val="nil"/>
              <w:bottom w:val="single" w:sz="4" w:space="0" w:color="auto"/>
              <w:right w:val="single" w:sz="4" w:space="0" w:color="auto"/>
            </w:tcBorders>
            <w:vAlign w:val="center"/>
            <w:hideMark/>
          </w:tcPr>
          <w:p w14:paraId="6BC9E933" w14:textId="77777777" w:rsidR="00366F91" w:rsidRPr="008E2A3E" w:rsidRDefault="00366F91" w:rsidP="00366F91">
            <w:pPr>
              <w:spacing w:after="0" w:line="240" w:lineRule="auto"/>
              <w:jc w:val="center"/>
              <w:rPr>
                <w:rFonts w:ascii="Times New Roman" w:eastAsia="Times New Roman" w:hAnsi="Times New Roman" w:cs="Times New Roman"/>
                <w:color w:val="000000"/>
                <w:kern w:val="0"/>
                <w:szCs w:val="24"/>
                <w:lang w:eastAsia="en-IN"/>
                <w14:ligatures w14:val="none"/>
              </w:rPr>
            </w:pPr>
            <w:r w:rsidRPr="008E2A3E">
              <w:rPr>
                <w:rFonts w:ascii="Times New Roman" w:eastAsia="Times New Roman" w:hAnsi="Times New Roman" w:cs="Times New Roman"/>
                <w:color w:val="000000"/>
                <w:kern w:val="0"/>
                <w:szCs w:val="24"/>
                <w:lang w:eastAsia="en-IN"/>
                <w14:ligatures w14:val="none"/>
              </w:rPr>
              <w:t>169.04</w:t>
            </w:r>
          </w:p>
        </w:tc>
        <w:tc>
          <w:tcPr>
            <w:tcW w:w="1699" w:type="dxa"/>
            <w:tcBorders>
              <w:top w:val="nil"/>
              <w:left w:val="nil"/>
              <w:bottom w:val="single" w:sz="4" w:space="0" w:color="auto"/>
              <w:right w:val="single" w:sz="4" w:space="0" w:color="auto"/>
            </w:tcBorders>
            <w:vAlign w:val="center"/>
            <w:hideMark/>
          </w:tcPr>
          <w:p w14:paraId="3C04459C" w14:textId="77777777" w:rsidR="00366F91" w:rsidRPr="008E2A3E" w:rsidRDefault="00366F91" w:rsidP="00366F91">
            <w:pPr>
              <w:spacing w:after="0" w:line="240" w:lineRule="auto"/>
              <w:jc w:val="center"/>
              <w:rPr>
                <w:rFonts w:ascii="Times New Roman" w:eastAsia="Times New Roman" w:hAnsi="Times New Roman" w:cs="Times New Roman"/>
                <w:color w:val="000000"/>
                <w:kern w:val="0"/>
                <w:szCs w:val="24"/>
                <w:lang w:eastAsia="en-IN"/>
                <w14:ligatures w14:val="none"/>
              </w:rPr>
            </w:pPr>
            <w:r w:rsidRPr="008E2A3E">
              <w:rPr>
                <w:rFonts w:ascii="Times New Roman" w:eastAsia="Times New Roman" w:hAnsi="Times New Roman" w:cs="Times New Roman"/>
                <w:color w:val="000000"/>
                <w:kern w:val="0"/>
                <w:szCs w:val="24"/>
                <w:lang w:eastAsia="en-IN"/>
                <w14:ligatures w14:val="none"/>
              </w:rPr>
              <w:t>14.35</w:t>
            </w:r>
          </w:p>
        </w:tc>
        <w:tc>
          <w:tcPr>
            <w:tcW w:w="1595" w:type="dxa"/>
            <w:tcBorders>
              <w:top w:val="nil"/>
              <w:left w:val="nil"/>
              <w:bottom w:val="single" w:sz="4" w:space="0" w:color="auto"/>
              <w:right w:val="single" w:sz="4" w:space="0" w:color="auto"/>
            </w:tcBorders>
            <w:vAlign w:val="center"/>
            <w:hideMark/>
          </w:tcPr>
          <w:p w14:paraId="0AEF43B9" w14:textId="77777777" w:rsidR="00366F91" w:rsidRPr="008E2A3E" w:rsidRDefault="00366F91" w:rsidP="00366F91">
            <w:pPr>
              <w:spacing w:after="0" w:line="240" w:lineRule="auto"/>
              <w:jc w:val="center"/>
              <w:rPr>
                <w:rFonts w:ascii="Times New Roman" w:eastAsia="Times New Roman" w:hAnsi="Times New Roman" w:cs="Times New Roman"/>
                <w:color w:val="000000"/>
                <w:kern w:val="0"/>
                <w:szCs w:val="24"/>
                <w:lang w:eastAsia="en-IN"/>
                <w14:ligatures w14:val="none"/>
              </w:rPr>
            </w:pPr>
            <w:r w:rsidRPr="008E2A3E">
              <w:rPr>
                <w:rFonts w:ascii="Times New Roman" w:eastAsia="Times New Roman" w:hAnsi="Times New Roman" w:cs="Times New Roman"/>
                <w:color w:val="000000"/>
                <w:kern w:val="0"/>
                <w:szCs w:val="24"/>
                <w:lang w:eastAsia="en-IN"/>
                <w14:ligatures w14:val="none"/>
              </w:rPr>
              <w:t>8.5</w:t>
            </w:r>
          </w:p>
        </w:tc>
        <w:tc>
          <w:tcPr>
            <w:tcW w:w="1281" w:type="dxa"/>
            <w:tcBorders>
              <w:top w:val="nil"/>
              <w:left w:val="nil"/>
              <w:bottom w:val="single" w:sz="4" w:space="0" w:color="auto"/>
              <w:right w:val="single" w:sz="4" w:space="0" w:color="auto"/>
            </w:tcBorders>
            <w:vAlign w:val="center"/>
            <w:hideMark/>
          </w:tcPr>
          <w:p w14:paraId="1805BFB7" w14:textId="77777777" w:rsidR="00366F91" w:rsidRPr="008E2A3E" w:rsidRDefault="00366F91" w:rsidP="00366F91">
            <w:pPr>
              <w:spacing w:after="0" w:line="240" w:lineRule="auto"/>
              <w:jc w:val="center"/>
              <w:rPr>
                <w:rFonts w:ascii="Times New Roman" w:eastAsia="Times New Roman" w:hAnsi="Times New Roman" w:cs="Times New Roman"/>
                <w:color w:val="000000"/>
                <w:kern w:val="0"/>
                <w:szCs w:val="24"/>
                <w:lang w:eastAsia="en-IN"/>
                <w14:ligatures w14:val="none"/>
              </w:rPr>
            </w:pPr>
            <w:r w:rsidRPr="008E2A3E">
              <w:rPr>
                <w:rFonts w:ascii="Times New Roman" w:eastAsia="Times New Roman" w:hAnsi="Times New Roman" w:cs="Times New Roman"/>
                <w:color w:val="000000"/>
                <w:kern w:val="0"/>
                <w:szCs w:val="24"/>
                <w:lang w:eastAsia="en-IN"/>
                <w14:ligatures w14:val="none"/>
              </w:rPr>
              <w:t>2.3</w:t>
            </w:r>
          </w:p>
        </w:tc>
        <w:tc>
          <w:tcPr>
            <w:tcW w:w="1211" w:type="dxa"/>
            <w:tcBorders>
              <w:top w:val="nil"/>
              <w:left w:val="nil"/>
              <w:bottom w:val="single" w:sz="4" w:space="0" w:color="auto"/>
              <w:right w:val="single" w:sz="4" w:space="0" w:color="auto"/>
            </w:tcBorders>
            <w:vAlign w:val="center"/>
            <w:hideMark/>
          </w:tcPr>
          <w:p w14:paraId="2F98891A" w14:textId="77777777" w:rsidR="00366F91" w:rsidRPr="008E2A3E" w:rsidRDefault="00366F91" w:rsidP="00366F91">
            <w:pPr>
              <w:spacing w:after="0" w:line="240" w:lineRule="auto"/>
              <w:jc w:val="center"/>
              <w:rPr>
                <w:rFonts w:ascii="Times New Roman" w:eastAsia="Times New Roman" w:hAnsi="Times New Roman" w:cs="Times New Roman"/>
                <w:color w:val="000000"/>
                <w:kern w:val="0"/>
                <w:szCs w:val="24"/>
                <w:lang w:eastAsia="en-IN"/>
                <w14:ligatures w14:val="none"/>
              </w:rPr>
            </w:pPr>
            <w:r w:rsidRPr="008E2A3E">
              <w:rPr>
                <w:rFonts w:ascii="Times New Roman" w:eastAsia="Times New Roman" w:hAnsi="Times New Roman" w:cs="Times New Roman"/>
                <w:color w:val="000000"/>
                <w:kern w:val="0"/>
                <w:szCs w:val="24"/>
                <w:lang w:eastAsia="en-IN"/>
                <w14:ligatures w14:val="none"/>
              </w:rPr>
              <w:t>2.13</w:t>
            </w:r>
          </w:p>
        </w:tc>
        <w:tc>
          <w:tcPr>
            <w:tcW w:w="1213" w:type="dxa"/>
            <w:tcBorders>
              <w:top w:val="nil"/>
              <w:left w:val="nil"/>
              <w:bottom w:val="single" w:sz="4" w:space="0" w:color="auto"/>
              <w:right w:val="single" w:sz="4" w:space="0" w:color="auto"/>
            </w:tcBorders>
            <w:vAlign w:val="center"/>
            <w:hideMark/>
          </w:tcPr>
          <w:p w14:paraId="09D07813" w14:textId="77777777" w:rsidR="00366F91" w:rsidRPr="008E2A3E" w:rsidRDefault="00366F91" w:rsidP="00366F91">
            <w:pPr>
              <w:spacing w:after="0" w:line="240" w:lineRule="auto"/>
              <w:jc w:val="center"/>
              <w:rPr>
                <w:rFonts w:ascii="Times New Roman" w:eastAsia="Times New Roman" w:hAnsi="Times New Roman" w:cs="Times New Roman"/>
                <w:color w:val="000000"/>
                <w:kern w:val="0"/>
                <w:szCs w:val="24"/>
                <w:lang w:eastAsia="en-IN"/>
                <w14:ligatures w14:val="none"/>
              </w:rPr>
            </w:pPr>
            <w:r w:rsidRPr="008E2A3E">
              <w:rPr>
                <w:rFonts w:ascii="Times New Roman" w:eastAsia="Times New Roman" w:hAnsi="Times New Roman" w:cs="Times New Roman"/>
                <w:color w:val="000000"/>
                <w:kern w:val="0"/>
                <w:szCs w:val="24"/>
                <w:lang w:eastAsia="en-IN"/>
                <w14:ligatures w14:val="none"/>
              </w:rPr>
              <w:t>1.3</w:t>
            </w:r>
          </w:p>
        </w:tc>
        <w:tc>
          <w:tcPr>
            <w:tcW w:w="1281" w:type="dxa"/>
            <w:tcBorders>
              <w:top w:val="nil"/>
              <w:left w:val="nil"/>
              <w:bottom w:val="single" w:sz="4" w:space="0" w:color="auto"/>
              <w:right w:val="single" w:sz="4" w:space="0" w:color="auto"/>
            </w:tcBorders>
            <w:vAlign w:val="center"/>
            <w:hideMark/>
          </w:tcPr>
          <w:p w14:paraId="1D9B2B46" w14:textId="77777777" w:rsidR="00366F91" w:rsidRPr="008E2A3E" w:rsidRDefault="00366F91" w:rsidP="00366F91">
            <w:pPr>
              <w:spacing w:after="0" w:line="240" w:lineRule="auto"/>
              <w:jc w:val="center"/>
              <w:rPr>
                <w:rFonts w:ascii="Times New Roman" w:eastAsia="Times New Roman" w:hAnsi="Times New Roman" w:cs="Times New Roman"/>
                <w:color w:val="000000"/>
                <w:kern w:val="0"/>
                <w:szCs w:val="24"/>
                <w:lang w:eastAsia="en-IN"/>
                <w14:ligatures w14:val="none"/>
              </w:rPr>
            </w:pPr>
            <w:r w:rsidRPr="008E2A3E">
              <w:rPr>
                <w:rFonts w:ascii="Times New Roman" w:eastAsia="Times New Roman" w:hAnsi="Times New Roman" w:cs="Times New Roman"/>
                <w:color w:val="000000"/>
                <w:kern w:val="0"/>
                <w:szCs w:val="24"/>
                <w:lang w:eastAsia="en-IN"/>
                <w14:ligatures w14:val="none"/>
              </w:rPr>
              <w:t>0.7</w:t>
            </w:r>
          </w:p>
        </w:tc>
      </w:tr>
      <w:tr w:rsidR="00366F91" w:rsidRPr="008E2A3E" w14:paraId="591AF4EC" w14:textId="77777777" w:rsidTr="008E2A3E">
        <w:trPr>
          <w:trHeight w:val="280"/>
          <w:jc w:val="center"/>
        </w:trPr>
        <w:tc>
          <w:tcPr>
            <w:tcW w:w="1308" w:type="dxa"/>
            <w:tcBorders>
              <w:top w:val="nil"/>
              <w:left w:val="single" w:sz="4" w:space="0" w:color="auto"/>
              <w:bottom w:val="single" w:sz="4" w:space="0" w:color="auto"/>
              <w:right w:val="single" w:sz="4" w:space="0" w:color="auto"/>
            </w:tcBorders>
            <w:vAlign w:val="center"/>
            <w:hideMark/>
          </w:tcPr>
          <w:p w14:paraId="492CC7FA" w14:textId="77777777" w:rsidR="00366F91" w:rsidRPr="008E2A3E" w:rsidRDefault="00366F91" w:rsidP="00366F91">
            <w:pPr>
              <w:spacing w:after="0" w:line="240" w:lineRule="auto"/>
              <w:rPr>
                <w:rFonts w:ascii="Times New Roman" w:eastAsia="Times New Roman" w:hAnsi="Times New Roman" w:cs="Times New Roman"/>
                <w:color w:val="000000"/>
                <w:kern w:val="0"/>
                <w:szCs w:val="24"/>
                <w:lang w:eastAsia="en-IN"/>
                <w14:ligatures w14:val="none"/>
              </w:rPr>
            </w:pPr>
            <w:r w:rsidRPr="008E2A3E">
              <w:rPr>
                <w:rFonts w:ascii="Times New Roman" w:eastAsia="Times New Roman" w:hAnsi="Times New Roman" w:cs="Times New Roman"/>
                <w:color w:val="000000"/>
                <w:kern w:val="0"/>
                <w:szCs w:val="24"/>
                <w:lang w:eastAsia="en-IN"/>
                <w14:ligatures w14:val="none"/>
              </w:rPr>
              <w:t>Madhya Pradesh</w:t>
            </w:r>
          </w:p>
        </w:tc>
        <w:tc>
          <w:tcPr>
            <w:tcW w:w="1294" w:type="dxa"/>
            <w:tcBorders>
              <w:top w:val="nil"/>
              <w:left w:val="nil"/>
              <w:bottom w:val="single" w:sz="4" w:space="0" w:color="auto"/>
              <w:right w:val="single" w:sz="4" w:space="0" w:color="auto"/>
            </w:tcBorders>
            <w:vAlign w:val="center"/>
            <w:hideMark/>
          </w:tcPr>
          <w:p w14:paraId="56008C26" w14:textId="77777777" w:rsidR="00366F91" w:rsidRPr="008E2A3E" w:rsidRDefault="00366F91" w:rsidP="00366F91">
            <w:pPr>
              <w:spacing w:after="0" w:line="240" w:lineRule="auto"/>
              <w:jc w:val="center"/>
              <w:rPr>
                <w:rFonts w:ascii="Times New Roman" w:eastAsia="Times New Roman" w:hAnsi="Times New Roman" w:cs="Times New Roman"/>
                <w:color w:val="000000"/>
                <w:kern w:val="0"/>
                <w:szCs w:val="24"/>
                <w:lang w:eastAsia="en-IN"/>
                <w14:ligatures w14:val="none"/>
              </w:rPr>
            </w:pPr>
            <w:r w:rsidRPr="008E2A3E">
              <w:rPr>
                <w:rFonts w:ascii="Times New Roman" w:eastAsia="Times New Roman" w:hAnsi="Times New Roman" w:cs="Times New Roman"/>
                <w:color w:val="000000"/>
                <w:kern w:val="0"/>
                <w:szCs w:val="24"/>
                <w:lang w:eastAsia="en-IN"/>
                <w14:ligatures w14:val="none"/>
              </w:rPr>
              <w:t>323.72</w:t>
            </w:r>
          </w:p>
        </w:tc>
        <w:tc>
          <w:tcPr>
            <w:tcW w:w="1699" w:type="dxa"/>
            <w:tcBorders>
              <w:top w:val="nil"/>
              <w:left w:val="nil"/>
              <w:bottom w:val="single" w:sz="4" w:space="0" w:color="auto"/>
              <w:right w:val="single" w:sz="4" w:space="0" w:color="auto"/>
            </w:tcBorders>
            <w:vAlign w:val="center"/>
            <w:hideMark/>
          </w:tcPr>
          <w:p w14:paraId="6E0D6ED6" w14:textId="77777777" w:rsidR="00366F91" w:rsidRPr="008E2A3E" w:rsidRDefault="00366F91" w:rsidP="00366F91">
            <w:pPr>
              <w:spacing w:after="0" w:line="240" w:lineRule="auto"/>
              <w:jc w:val="center"/>
              <w:rPr>
                <w:rFonts w:ascii="Times New Roman" w:eastAsia="Times New Roman" w:hAnsi="Times New Roman" w:cs="Times New Roman"/>
                <w:color w:val="000000"/>
                <w:kern w:val="0"/>
                <w:szCs w:val="24"/>
                <w:lang w:eastAsia="en-IN"/>
                <w14:ligatures w14:val="none"/>
              </w:rPr>
            </w:pPr>
            <w:r w:rsidRPr="008E2A3E">
              <w:rPr>
                <w:rFonts w:ascii="Times New Roman" w:eastAsia="Times New Roman" w:hAnsi="Times New Roman" w:cs="Times New Roman"/>
                <w:color w:val="000000"/>
                <w:kern w:val="0"/>
                <w:szCs w:val="24"/>
                <w:lang w:eastAsia="en-IN"/>
                <w14:ligatures w14:val="none"/>
              </w:rPr>
              <w:t>42.53</w:t>
            </w:r>
          </w:p>
        </w:tc>
        <w:tc>
          <w:tcPr>
            <w:tcW w:w="1595" w:type="dxa"/>
            <w:tcBorders>
              <w:top w:val="nil"/>
              <w:left w:val="nil"/>
              <w:bottom w:val="single" w:sz="4" w:space="0" w:color="auto"/>
              <w:right w:val="single" w:sz="4" w:space="0" w:color="auto"/>
            </w:tcBorders>
            <w:vAlign w:val="center"/>
            <w:hideMark/>
          </w:tcPr>
          <w:p w14:paraId="1461EA33" w14:textId="77777777" w:rsidR="00366F91" w:rsidRPr="008E2A3E" w:rsidRDefault="00366F91" w:rsidP="00366F91">
            <w:pPr>
              <w:spacing w:after="0" w:line="240" w:lineRule="auto"/>
              <w:jc w:val="center"/>
              <w:rPr>
                <w:rFonts w:ascii="Times New Roman" w:eastAsia="Times New Roman" w:hAnsi="Times New Roman" w:cs="Times New Roman"/>
                <w:color w:val="000000"/>
                <w:kern w:val="0"/>
                <w:szCs w:val="24"/>
                <w:lang w:eastAsia="en-IN"/>
                <w14:ligatures w14:val="none"/>
              </w:rPr>
            </w:pPr>
            <w:r w:rsidRPr="008E2A3E">
              <w:rPr>
                <w:rFonts w:ascii="Times New Roman" w:eastAsia="Times New Roman" w:hAnsi="Times New Roman" w:cs="Times New Roman"/>
                <w:color w:val="000000"/>
                <w:kern w:val="0"/>
                <w:szCs w:val="24"/>
                <w:lang w:eastAsia="en-IN"/>
                <w14:ligatures w14:val="none"/>
              </w:rPr>
              <w:t>13.1</w:t>
            </w:r>
          </w:p>
        </w:tc>
        <w:tc>
          <w:tcPr>
            <w:tcW w:w="1281" w:type="dxa"/>
            <w:tcBorders>
              <w:top w:val="nil"/>
              <w:left w:val="nil"/>
              <w:bottom w:val="single" w:sz="4" w:space="0" w:color="auto"/>
              <w:right w:val="single" w:sz="4" w:space="0" w:color="auto"/>
            </w:tcBorders>
            <w:vAlign w:val="center"/>
            <w:hideMark/>
          </w:tcPr>
          <w:p w14:paraId="0B627415" w14:textId="77777777" w:rsidR="00366F91" w:rsidRPr="008E2A3E" w:rsidRDefault="00366F91" w:rsidP="00366F91">
            <w:pPr>
              <w:spacing w:after="0" w:line="240" w:lineRule="auto"/>
              <w:jc w:val="center"/>
              <w:rPr>
                <w:rFonts w:ascii="Times New Roman" w:eastAsia="Times New Roman" w:hAnsi="Times New Roman" w:cs="Times New Roman"/>
                <w:color w:val="000000"/>
                <w:kern w:val="0"/>
                <w:szCs w:val="24"/>
                <w:lang w:eastAsia="en-IN"/>
                <w14:ligatures w14:val="none"/>
              </w:rPr>
            </w:pPr>
            <w:r w:rsidRPr="008E2A3E">
              <w:rPr>
                <w:rFonts w:ascii="Times New Roman" w:eastAsia="Times New Roman" w:hAnsi="Times New Roman" w:cs="Times New Roman"/>
                <w:color w:val="000000"/>
                <w:kern w:val="0"/>
                <w:szCs w:val="24"/>
                <w:lang w:eastAsia="en-IN"/>
                <w14:ligatures w14:val="none"/>
              </w:rPr>
              <w:t>6.7</w:t>
            </w:r>
          </w:p>
        </w:tc>
        <w:tc>
          <w:tcPr>
            <w:tcW w:w="1211" w:type="dxa"/>
            <w:tcBorders>
              <w:top w:val="nil"/>
              <w:left w:val="nil"/>
              <w:bottom w:val="single" w:sz="4" w:space="0" w:color="auto"/>
              <w:right w:val="single" w:sz="4" w:space="0" w:color="auto"/>
            </w:tcBorders>
            <w:vAlign w:val="center"/>
            <w:hideMark/>
          </w:tcPr>
          <w:p w14:paraId="5B0BFD07" w14:textId="77777777" w:rsidR="00366F91" w:rsidRPr="008E2A3E" w:rsidRDefault="00366F91" w:rsidP="00366F91">
            <w:pPr>
              <w:spacing w:after="0" w:line="240" w:lineRule="auto"/>
              <w:jc w:val="center"/>
              <w:rPr>
                <w:rFonts w:ascii="Times New Roman" w:eastAsia="Times New Roman" w:hAnsi="Times New Roman" w:cs="Times New Roman"/>
                <w:color w:val="000000"/>
                <w:kern w:val="0"/>
                <w:szCs w:val="24"/>
                <w:lang w:eastAsia="en-IN"/>
                <w14:ligatures w14:val="none"/>
              </w:rPr>
            </w:pPr>
            <w:r w:rsidRPr="008E2A3E">
              <w:rPr>
                <w:rFonts w:ascii="Times New Roman" w:eastAsia="Times New Roman" w:hAnsi="Times New Roman" w:cs="Times New Roman"/>
                <w:color w:val="000000"/>
                <w:kern w:val="0"/>
                <w:szCs w:val="24"/>
                <w:lang w:eastAsia="en-IN"/>
                <w14:ligatures w14:val="none"/>
              </w:rPr>
              <w:t>66.78</w:t>
            </w:r>
          </w:p>
        </w:tc>
        <w:tc>
          <w:tcPr>
            <w:tcW w:w="1213" w:type="dxa"/>
            <w:tcBorders>
              <w:top w:val="nil"/>
              <w:left w:val="nil"/>
              <w:bottom w:val="single" w:sz="4" w:space="0" w:color="auto"/>
              <w:right w:val="single" w:sz="4" w:space="0" w:color="auto"/>
            </w:tcBorders>
            <w:vAlign w:val="center"/>
            <w:hideMark/>
          </w:tcPr>
          <w:p w14:paraId="75F6E69B" w14:textId="77777777" w:rsidR="00366F91" w:rsidRPr="008E2A3E" w:rsidRDefault="00366F91" w:rsidP="00366F91">
            <w:pPr>
              <w:spacing w:after="0" w:line="240" w:lineRule="auto"/>
              <w:jc w:val="center"/>
              <w:rPr>
                <w:rFonts w:ascii="Times New Roman" w:eastAsia="Times New Roman" w:hAnsi="Times New Roman" w:cs="Times New Roman"/>
                <w:color w:val="000000"/>
                <w:kern w:val="0"/>
                <w:szCs w:val="24"/>
                <w:lang w:eastAsia="en-IN"/>
                <w14:ligatures w14:val="none"/>
              </w:rPr>
            </w:pPr>
            <w:r w:rsidRPr="008E2A3E">
              <w:rPr>
                <w:rFonts w:ascii="Times New Roman" w:eastAsia="Times New Roman" w:hAnsi="Times New Roman" w:cs="Times New Roman"/>
                <w:color w:val="000000"/>
                <w:kern w:val="0"/>
                <w:szCs w:val="24"/>
                <w:lang w:eastAsia="en-IN"/>
                <w14:ligatures w14:val="none"/>
              </w:rPr>
              <w:t>20.6</w:t>
            </w:r>
          </w:p>
        </w:tc>
        <w:tc>
          <w:tcPr>
            <w:tcW w:w="1281" w:type="dxa"/>
            <w:tcBorders>
              <w:top w:val="nil"/>
              <w:left w:val="nil"/>
              <w:bottom w:val="single" w:sz="4" w:space="0" w:color="auto"/>
              <w:right w:val="single" w:sz="4" w:space="0" w:color="auto"/>
            </w:tcBorders>
            <w:vAlign w:val="center"/>
            <w:hideMark/>
          </w:tcPr>
          <w:p w14:paraId="1BF9CC2F" w14:textId="77777777" w:rsidR="00366F91" w:rsidRPr="008E2A3E" w:rsidRDefault="00366F91" w:rsidP="00366F91">
            <w:pPr>
              <w:spacing w:after="0" w:line="240" w:lineRule="auto"/>
              <w:jc w:val="center"/>
              <w:rPr>
                <w:rFonts w:ascii="Times New Roman" w:eastAsia="Times New Roman" w:hAnsi="Times New Roman" w:cs="Times New Roman"/>
                <w:color w:val="000000"/>
                <w:kern w:val="0"/>
                <w:szCs w:val="24"/>
                <w:lang w:eastAsia="en-IN"/>
                <w14:ligatures w14:val="none"/>
              </w:rPr>
            </w:pPr>
            <w:r w:rsidRPr="008E2A3E">
              <w:rPr>
                <w:rFonts w:ascii="Times New Roman" w:eastAsia="Times New Roman" w:hAnsi="Times New Roman" w:cs="Times New Roman"/>
                <w:color w:val="000000"/>
                <w:kern w:val="0"/>
                <w:szCs w:val="24"/>
                <w:lang w:eastAsia="en-IN"/>
                <w14:ligatures w14:val="none"/>
              </w:rPr>
              <w:t>22.9</w:t>
            </w:r>
          </w:p>
        </w:tc>
      </w:tr>
      <w:tr w:rsidR="00366F91" w:rsidRPr="008E2A3E" w14:paraId="1E1BAB06" w14:textId="77777777" w:rsidTr="008E2A3E">
        <w:trPr>
          <w:trHeight w:val="280"/>
          <w:jc w:val="center"/>
        </w:trPr>
        <w:tc>
          <w:tcPr>
            <w:tcW w:w="1308" w:type="dxa"/>
            <w:tcBorders>
              <w:top w:val="nil"/>
              <w:left w:val="single" w:sz="4" w:space="0" w:color="auto"/>
              <w:bottom w:val="single" w:sz="4" w:space="0" w:color="auto"/>
              <w:right w:val="single" w:sz="4" w:space="0" w:color="auto"/>
            </w:tcBorders>
            <w:vAlign w:val="center"/>
            <w:hideMark/>
          </w:tcPr>
          <w:p w14:paraId="7A32F75E" w14:textId="77777777" w:rsidR="00366F91" w:rsidRPr="008E2A3E" w:rsidRDefault="00366F91" w:rsidP="00366F91">
            <w:pPr>
              <w:spacing w:after="0" w:line="240" w:lineRule="auto"/>
              <w:rPr>
                <w:rFonts w:ascii="Times New Roman" w:eastAsia="Times New Roman" w:hAnsi="Times New Roman" w:cs="Times New Roman"/>
                <w:color w:val="000000"/>
                <w:kern w:val="0"/>
                <w:szCs w:val="24"/>
                <w:lang w:eastAsia="en-IN"/>
                <w14:ligatures w14:val="none"/>
              </w:rPr>
            </w:pPr>
            <w:r w:rsidRPr="008E2A3E">
              <w:rPr>
                <w:rFonts w:ascii="Times New Roman" w:eastAsia="Times New Roman" w:hAnsi="Times New Roman" w:cs="Times New Roman"/>
                <w:color w:val="000000"/>
                <w:kern w:val="0"/>
                <w:szCs w:val="24"/>
                <w:lang w:eastAsia="en-IN"/>
                <w14:ligatures w14:val="none"/>
              </w:rPr>
              <w:t>Maharashtra</w:t>
            </w:r>
          </w:p>
        </w:tc>
        <w:tc>
          <w:tcPr>
            <w:tcW w:w="1294" w:type="dxa"/>
            <w:tcBorders>
              <w:top w:val="nil"/>
              <w:left w:val="nil"/>
              <w:bottom w:val="single" w:sz="4" w:space="0" w:color="auto"/>
              <w:right w:val="single" w:sz="4" w:space="0" w:color="auto"/>
            </w:tcBorders>
            <w:vAlign w:val="center"/>
            <w:hideMark/>
          </w:tcPr>
          <w:p w14:paraId="1048D819" w14:textId="77777777" w:rsidR="00366F91" w:rsidRPr="008E2A3E" w:rsidRDefault="00366F91" w:rsidP="00366F91">
            <w:pPr>
              <w:spacing w:after="0" w:line="240" w:lineRule="auto"/>
              <w:jc w:val="center"/>
              <w:rPr>
                <w:rFonts w:ascii="Times New Roman" w:eastAsia="Times New Roman" w:hAnsi="Times New Roman" w:cs="Times New Roman"/>
                <w:color w:val="000000"/>
                <w:kern w:val="0"/>
                <w:szCs w:val="24"/>
                <w:lang w:eastAsia="en-IN"/>
                <w14:ligatures w14:val="none"/>
              </w:rPr>
            </w:pPr>
            <w:r w:rsidRPr="008E2A3E">
              <w:rPr>
                <w:rFonts w:ascii="Times New Roman" w:eastAsia="Times New Roman" w:hAnsi="Times New Roman" w:cs="Times New Roman"/>
                <w:color w:val="000000"/>
                <w:kern w:val="0"/>
                <w:szCs w:val="24"/>
                <w:lang w:eastAsia="en-IN"/>
                <w14:ligatures w14:val="none"/>
              </w:rPr>
              <w:t>395.54</w:t>
            </w:r>
          </w:p>
        </w:tc>
        <w:tc>
          <w:tcPr>
            <w:tcW w:w="1699" w:type="dxa"/>
            <w:tcBorders>
              <w:top w:val="nil"/>
              <w:left w:val="nil"/>
              <w:bottom w:val="single" w:sz="4" w:space="0" w:color="auto"/>
              <w:right w:val="single" w:sz="4" w:space="0" w:color="auto"/>
            </w:tcBorders>
            <w:vAlign w:val="center"/>
            <w:hideMark/>
          </w:tcPr>
          <w:p w14:paraId="5596EFCD" w14:textId="77777777" w:rsidR="00366F91" w:rsidRPr="008E2A3E" w:rsidRDefault="00366F91" w:rsidP="00366F91">
            <w:pPr>
              <w:spacing w:after="0" w:line="240" w:lineRule="auto"/>
              <w:jc w:val="center"/>
              <w:rPr>
                <w:rFonts w:ascii="Times New Roman" w:eastAsia="Times New Roman" w:hAnsi="Times New Roman" w:cs="Times New Roman"/>
                <w:color w:val="000000"/>
                <w:kern w:val="0"/>
                <w:szCs w:val="24"/>
                <w:lang w:eastAsia="en-IN"/>
                <w14:ligatures w14:val="none"/>
              </w:rPr>
            </w:pPr>
            <w:r w:rsidRPr="008E2A3E">
              <w:rPr>
                <w:rFonts w:ascii="Times New Roman" w:eastAsia="Times New Roman" w:hAnsi="Times New Roman" w:cs="Times New Roman"/>
                <w:color w:val="000000"/>
                <w:kern w:val="0"/>
                <w:szCs w:val="24"/>
                <w:lang w:eastAsia="en-IN"/>
                <w14:ligatures w14:val="none"/>
              </w:rPr>
              <w:t>22.27</w:t>
            </w:r>
          </w:p>
        </w:tc>
        <w:tc>
          <w:tcPr>
            <w:tcW w:w="1595" w:type="dxa"/>
            <w:tcBorders>
              <w:top w:val="nil"/>
              <w:left w:val="nil"/>
              <w:bottom w:val="single" w:sz="4" w:space="0" w:color="auto"/>
              <w:right w:val="single" w:sz="4" w:space="0" w:color="auto"/>
            </w:tcBorders>
            <w:vAlign w:val="center"/>
            <w:hideMark/>
          </w:tcPr>
          <w:p w14:paraId="1A7A7892" w14:textId="77777777" w:rsidR="00366F91" w:rsidRPr="008E2A3E" w:rsidRDefault="00366F91" w:rsidP="00366F91">
            <w:pPr>
              <w:spacing w:after="0" w:line="240" w:lineRule="auto"/>
              <w:jc w:val="center"/>
              <w:rPr>
                <w:rFonts w:ascii="Times New Roman" w:eastAsia="Times New Roman" w:hAnsi="Times New Roman" w:cs="Times New Roman"/>
                <w:color w:val="000000"/>
                <w:kern w:val="0"/>
                <w:szCs w:val="24"/>
                <w:lang w:eastAsia="en-IN"/>
                <w14:ligatures w14:val="none"/>
              </w:rPr>
            </w:pPr>
            <w:r w:rsidRPr="008E2A3E">
              <w:rPr>
                <w:rFonts w:ascii="Times New Roman" w:eastAsia="Times New Roman" w:hAnsi="Times New Roman" w:cs="Times New Roman"/>
                <w:color w:val="000000"/>
                <w:kern w:val="0"/>
                <w:szCs w:val="24"/>
                <w:lang w:eastAsia="en-IN"/>
                <w14:ligatures w14:val="none"/>
              </w:rPr>
              <w:t>5.6</w:t>
            </w:r>
          </w:p>
        </w:tc>
        <w:tc>
          <w:tcPr>
            <w:tcW w:w="1281" w:type="dxa"/>
            <w:tcBorders>
              <w:top w:val="nil"/>
              <w:left w:val="nil"/>
              <w:bottom w:val="single" w:sz="4" w:space="0" w:color="auto"/>
              <w:right w:val="single" w:sz="4" w:space="0" w:color="auto"/>
            </w:tcBorders>
            <w:vAlign w:val="center"/>
            <w:hideMark/>
          </w:tcPr>
          <w:p w14:paraId="67703E7F" w14:textId="77777777" w:rsidR="00366F91" w:rsidRPr="008E2A3E" w:rsidRDefault="00366F91" w:rsidP="00366F91">
            <w:pPr>
              <w:spacing w:after="0" w:line="240" w:lineRule="auto"/>
              <w:jc w:val="center"/>
              <w:rPr>
                <w:rFonts w:ascii="Times New Roman" w:eastAsia="Times New Roman" w:hAnsi="Times New Roman" w:cs="Times New Roman"/>
                <w:color w:val="000000"/>
                <w:kern w:val="0"/>
                <w:szCs w:val="24"/>
                <w:lang w:eastAsia="en-IN"/>
                <w14:ligatures w14:val="none"/>
              </w:rPr>
            </w:pPr>
            <w:r w:rsidRPr="008E2A3E">
              <w:rPr>
                <w:rFonts w:ascii="Times New Roman" w:eastAsia="Times New Roman" w:hAnsi="Times New Roman" w:cs="Times New Roman"/>
                <w:color w:val="000000"/>
                <w:kern w:val="0"/>
                <w:szCs w:val="24"/>
                <w:lang w:eastAsia="en-IN"/>
                <w14:ligatures w14:val="none"/>
              </w:rPr>
              <w:t>3.5</w:t>
            </w:r>
          </w:p>
        </w:tc>
        <w:tc>
          <w:tcPr>
            <w:tcW w:w="1211" w:type="dxa"/>
            <w:tcBorders>
              <w:top w:val="nil"/>
              <w:left w:val="nil"/>
              <w:bottom w:val="single" w:sz="4" w:space="0" w:color="auto"/>
              <w:right w:val="single" w:sz="4" w:space="0" w:color="auto"/>
            </w:tcBorders>
            <w:vAlign w:val="center"/>
            <w:hideMark/>
          </w:tcPr>
          <w:p w14:paraId="581A7696" w14:textId="77777777" w:rsidR="00366F91" w:rsidRPr="008E2A3E" w:rsidRDefault="00366F91" w:rsidP="00366F91">
            <w:pPr>
              <w:spacing w:after="0" w:line="240" w:lineRule="auto"/>
              <w:jc w:val="center"/>
              <w:rPr>
                <w:rFonts w:ascii="Times New Roman" w:eastAsia="Times New Roman" w:hAnsi="Times New Roman" w:cs="Times New Roman"/>
                <w:color w:val="000000"/>
                <w:kern w:val="0"/>
                <w:szCs w:val="24"/>
                <w:lang w:eastAsia="en-IN"/>
                <w14:ligatures w14:val="none"/>
              </w:rPr>
            </w:pPr>
            <w:r w:rsidRPr="008E2A3E">
              <w:rPr>
                <w:rFonts w:ascii="Times New Roman" w:eastAsia="Times New Roman" w:hAnsi="Times New Roman" w:cs="Times New Roman"/>
                <w:color w:val="000000"/>
                <w:kern w:val="0"/>
                <w:szCs w:val="24"/>
                <w:lang w:eastAsia="en-IN"/>
                <w14:ligatures w14:val="none"/>
              </w:rPr>
              <w:t>23.97</w:t>
            </w:r>
          </w:p>
        </w:tc>
        <w:tc>
          <w:tcPr>
            <w:tcW w:w="1213" w:type="dxa"/>
            <w:tcBorders>
              <w:top w:val="nil"/>
              <w:left w:val="nil"/>
              <w:bottom w:val="single" w:sz="4" w:space="0" w:color="auto"/>
              <w:right w:val="single" w:sz="4" w:space="0" w:color="auto"/>
            </w:tcBorders>
            <w:vAlign w:val="center"/>
            <w:hideMark/>
          </w:tcPr>
          <w:p w14:paraId="0A443A47" w14:textId="77777777" w:rsidR="00366F91" w:rsidRPr="008E2A3E" w:rsidRDefault="00366F91" w:rsidP="00366F91">
            <w:pPr>
              <w:spacing w:after="0" w:line="240" w:lineRule="auto"/>
              <w:jc w:val="center"/>
              <w:rPr>
                <w:rFonts w:ascii="Times New Roman" w:eastAsia="Times New Roman" w:hAnsi="Times New Roman" w:cs="Times New Roman"/>
                <w:color w:val="000000"/>
                <w:kern w:val="0"/>
                <w:szCs w:val="24"/>
                <w:lang w:eastAsia="en-IN"/>
                <w14:ligatures w14:val="none"/>
              </w:rPr>
            </w:pPr>
            <w:r w:rsidRPr="008E2A3E">
              <w:rPr>
                <w:rFonts w:ascii="Times New Roman" w:eastAsia="Times New Roman" w:hAnsi="Times New Roman" w:cs="Times New Roman"/>
                <w:color w:val="000000"/>
                <w:kern w:val="0"/>
                <w:szCs w:val="24"/>
                <w:lang w:eastAsia="en-IN"/>
                <w14:ligatures w14:val="none"/>
              </w:rPr>
              <w:t>6.1</w:t>
            </w:r>
          </w:p>
        </w:tc>
        <w:tc>
          <w:tcPr>
            <w:tcW w:w="1281" w:type="dxa"/>
            <w:tcBorders>
              <w:top w:val="nil"/>
              <w:left w:val="nil"/>
              <w:bottom w:val="single" w:sz="4" w:space="0" w:color="auto"/>
              <w:right w:val="single" w:sz="4" w:space="0" w:color="auto"/>
            </w:tcBorders>
            <w:vAlign w:val="center"/>
            <w:hideMark/>
          </w:tcPr>
          <w:p w14:paraId="767C6AD7" w14:textId="77777777" w:rsidR="00366F91" w:rsidRPr="008E2A3E" w:rsidRDefault="00366F91" w:rsidP="00366F91">
            <w:pPr>
              <w:spacing w:after="0" w:line="240" w:lineRule="auto"/>
              <w:jc w:val="center"/>
              <w:rPr>
                <w:rFonts w:ascii="Times New Roman" w:eastAsia="Times New Roman" w:hAnsi="Times New Roman" w:cs="Times New Roman"/>
                <w:color w:val="000000"/>
                <w:kern w:val="0"/>
                <w:szCs w:val="24"/>
                <w:lang w:eastAsia="en-IN"/>
                <w14:ligatures w14:val="none"/>
              </w:rPr>
            </w:pPr>
            <w:r w:rsidRPr="008E2A3E">
              <w:rPr>
                <w:rFonts w:ascii="Times New Roman" w:eastAsia="Times New Roman" w:hAnsi="Times New Roman" w:cs="Times New Roman"/>
                <w:color w:val="000000"/>
                <w:kern w:val="0"/>
                <w:szCs w:val="24"/>
                <w:lang w:eastAsia="en-IN"/>
                <w14:ligatures w14:val="none"/>
              </w:rPr>
              <w:t>8.2</w:t>
            </w:r>
          </w:p>
        </w:tc>
      </w:tr>
      <w:tr w:rsidR="00366F91" w:rsidRPr="008E2A3E" w14:paraId="346E7A45" w14:textId="77777777" w:rsidTr="008E2A3E">
        <w:trPr>
          <w:trHeight w:val="280"/>
          <w:jc w:val="center"/>
        </w:trPr>
        <w:tc>
          <w:tcPr>
            <w:tcW w:w="1308" w:type="dxa"/>
            <w:tcBorders>
              <w:top w:val="nil"/>
              <w:left w:val="single" w:sz="4" w:space="0" w:color="auto"/>
              <w:bottom w:val="single" w:sz="4" w:space="0" w:color="auto"/>
              <w:right w:val="single" w:sz="4" w:space="0" w:color="auto"/>
            </w:tcBorders>
            <w:vAlign w:val="center"/>
            <w:hideMark/>
          </w:tcPr>
          <w:p w14:paraId="267CD4D5" w14:textId="77777777" w:rsidR="00366F91" w:rsidRPr="008E2A3E" w:rsidRDefault="00366F91" w:rsidP="00366F91">
            <w:pPr>
              <w:spacing w:after="0" w:line="240" w:lineRule="auto"/>
              <w:rPr>
                <w:rFonts w:ascii="Times New Roman" w:eastAsia="Times New Roman" w:hAnsi="Times New Roman" w:cs="Times New Roman"/>
                <w:color w:val="000000"/>
                <w:kern w:val="0"/>
                <w:szCs w:val="24"/>
                <w:lang w:eastAsia="en-IN"/>
                <w14:ligatures w14:val="none"/>
              </w:rPr>
            </w:pPr>
            <w:r w:rsidRPr="008E2A3E">
              <w:rPr>
                <w:rFonts w:ascii="Times New Roman" w:eastAsia="Times New Roman" w:hAnsi="Times New Roman" w:cs="Times New Roman"/>
                <w:color w:val="000000"/>
                <w:kern w:val="0"/>
                <w:szCs w:val="24"/>
                <w:lang w:eastAsia="en-IN"/>
                <w14:ligatures w14:val="none"/>
              </w:rPr>
              <w:t>Mysore</w:t>
            </w:r>
          </w:p>
        </w:tc>
        <w:tc>
          <w:tcPr>
            <w:tcW w:w="1294" w:type="dxa"/>
            <w:tcBorders>
              <w:top w:val="nil"/>
              <w:left w:val="nil"/>
              <w:bottom w:val="single" w:sz="4" w:space="0" w:color="auto"/>
              <w:right w:val="single" w:sz="4" w:space="0" w:color="auto"/>
            </w:tcBorders>
            <w:vAlign w:val="center"/>
            <w:hideMark/>
          </w:tcPr>
          <w:p w14:paraId="1DFDA614" w14:textId="77777777" w:rsidR="00366F91" w:rsidRPr="008E2A3E" w:rsidRDefault="00366F91" w:rsidP="00366F91">
            <w:pPr>
              <w:spacing w:after="0" w:line="240" w:lineRule="auto"/>
              <w:jc w:val="center"/>
              <w:rPr>
                <w:rFonts w:ascii="Times New Roman" w:eastAsia="Times New Roman" w:hAnsi="Times New Roman" w:cs="Times New Roman"/>
                <w:color w:val="000000"/>
                <w:kern w:val="0"/>
                <w:szCs w:val="24"/>
                <w:lang w:eastAsia="en-IN"/>
                <w14:ligatures w14:val="none"/>
              </w:rPr>
            </w:pPr>
            <w:r w:rsidRPr="008E2A3E">
              <w:rPr>
                <w:rFonts w:ascii="Times New Roman" w:eastAsia="Times New Roman" w:hAnsi="Times New Roman" w:cs="Times New Roman"/>
                <w:color w:val="000000"/>
                <w:kern w:val="0"/>
                <w:szCs w:val="24"/>
                <w:lang w:eastAsia="en-IN"/>
                <w14:ligatures w14:val="none"/>
              </w:rPr>
              <w:t>235.87</w:t>
            </w:r>
          </w:p>
        </w:tc>
        <w:tc>
          <w:tcPr>
            <w:tcW w:w="1699" w:type="dxa"/>
            <w:tcBorders>
              <w:top w:val="nil"/>
              <w:left w:val="nil"/>
              <w:bottom w:val="single" w:sz="4" w:space="0" w:color="auto"/>
              <w:right w:val="single" w:sz="4" w:space="0" w:color="auto"/>
            </w:tcBorders>
            <w:vAlign w:val="center"/>
            <w:hideMark/>
          </w:tcPr>
          <w:p w14:paraId="26D917AC" w14:textId="77777777" w:rsidR="00366F91" w:rsidRPr="008E2A3E" w:rsidRDefault="00366F91" w:rsidP="00366F91">
            <w:pPr>
              <w:spacing w:after="0" w:line="240" w:lineRule="auto"/>
              <w:jc w:val="center"/>
              <w:rPr>
                <w:rFonts w:ascii="Times New Roman" w:eastAsia="Times New Roman" w:hAnsi="Times New Roman" w:cs="Times New Roman"/>
                <w:color w:val="000000"/>
                <w:kern w:val="0"/>
                <w:szCs w:val="24"/>
                <w:lang w:eastAsia="en-IN"/>
                <w14:ligatures w14:val="none"/>
              </w:rPr>
            </w:pPr>
            <w:r w:rsidRPr="008E2A3E">
              <w:rPr>
                <w:rFonts w:ascii="Times New Roman" w:eastAsia="Times New Roman" w:hAnsi="Times New Roman" w:cs="Times New Roman"/>
                <w:color w:val="000000"/>
                <w:kern w:val="0"/>
                <w:szCs w:val="24"/>
                <w:lang w:eastAsia="en-IN"/>
                <w14:ligatures w14:val="none"/>
              </w:rPr>
              <w:t>31.17</w:t>
            </w:r>
          </w:p>
        </w:tc>
        <w:tc>
          <w:tcPr>
            <w:tcW w:w="1595" w:type="dxa"/>
            <w:tcBorders>
              <w:top w:val="nil"/>
              <w:left w:val="nil"/>
              <w:bottom w:val="single" w:sz="4" w:space="0" w:color="auto"/>
              <w:right w:val="single" w:sz="4" w:space="0" w:color="auto"/>
            </w:tcBorders>
            <w:vAlign w:val="center"/>
            <w:hideMark/>
          </w:tcPr>
          <w:p w14:paraId="716DE31E" w14:textId="77777777" w:rsidR="00366F91" w:rsidRPr="008E2A3E" w:rsidRDefault="00366F91" w:rsidP="00366F91">
            <w:pPr>
              <w:spacing w:after="0" w:line="240" w:lineRule="auto"/>
              <w:jc w:val="center"/>
              <w:rPr>
                <w:rFonts w:ascii="Times New Roman" w:eastAsia="Times New Roman" w:hAnsi="Times New Roman" w:cs="Times New Roman"/>
                <w:color w:val="000000"/>
                <w:kern w:val="0"/>
                <w:szCs w:val="24"/>
                <w:lang w:eastAsia="en-IN"/>
                <w14:ligatures w14:val="none"/>
              </w:rPr>
            </w:pPr>
            <w:r w:rsidRPr="008E2A3E">
              <w:rPr>
                <w:rFonts w:ascii="Times New Roman" w:eastAsia="Times New Roman" w:hAnsi="Times New Roman" w:cs="Times New Roman"/>
                <w:color w:val="000000"/>
                <w:kern w:val="0"/>
                <w:szCs w:val="24"/>
                <w:lang w:eastAsia="en-IN"/>
                <w14:ligatures w14:val="none"/>
              </w:rPr>
              <w:t>13.2</w:t>
            </w:r>
          </w:p>
        </w:tc>
        <w:tc>
          <w:tcPr>
            <w:tcW w:w="1281" w:type="dxa"/>
            <w:tcBorders>
              <w:top w:val="nil"/>
              <w:left w:val="nil"/>
              <w:bottom w:val="single" w:sz="4" w:space="0" w:color="auto"/>
              <w:right w:val="single" w:sz="4" w:space="0" w:color="auto"/>
            </w:tcBorders>
            <w:vAlign w:val="center"/>
            <w:hideMark/>
          </w:tcPr>
          <w:p w14:paraId="1FAEFA99" w14:textId="77777777" w:rsidR="00366F91" w:rsidRPr="008E2A3E" w:rsidRDefault="00366F91" w:rsidP="00366F91">
            <w:pPr>
              <w:spacing w:after="0" w:line="240" w:lineRule="auto"/>
              <w:jc w:val="center"/>
              <w:rPr>
                <w:rFonts w:ascii="Times New Roman" w:eastAsia="Times New Roman" w:hAnsi="Times New Roman" w:cs="Times New Roman"/>
                <w:color w:val="000000"/>
                <w:kern w:val="0"/>
                <w:szCs w:val="24"/>
                <w:lang w:eastAsia="en-IN"/>
                <w14:ligatures w14:val="none"/>
              </w:rPr>
            </w:pPr>
            <w:r w:rsidRPr="008E2A3E">
              <w:rPr>
                <w:rFonts w:ascii="Times New Roman" w:eastAsia="Times New Roman" w:hAnsi="Times New Roman" w:cs="Times New Roman"/>
                <w:color w:val="000000"/>
                <w:kern w:val="0"/>
                <w:szCs w:val="24"/>
                <w:lang w:eastAsia="en-IN"/>
                <w14:ligatures w14:val="none"/>
              </w:rPr>
              <w:t>4.9</w:t>
            </w:r>
          </w:p>
        </w:tc>
        <w:tc>
          <w:tcPr>
            <w:tcW w:w="1211" w:type="dxa"/>
            <w:tcBorders>
              <w:top w:val="nil"/>
              <w:left w:val="nil"/>
              <w:bottom w:val="single" w:sz="4" w:space="0" w:color="auto"/>
              <w:right w:val="single" w:sz="4" w:space="0" w:color="auto"/>
            </w:tcBorders>
            <w:vAlign w:val="center"/>
            <w:hideMark/>
          </w:tcPr>
          <w:p w14:paraId="16D08D6F" w14:textId="77777777" w:rsidR="00366F91" w:rsidRPr="008E2A3E" w:rsidRDefault="00366F91" w:rsidP="00366F91">
            <w:pPr>
              <w:spacing w:after="0" w:line="240" w:lineRule="auto"/>
              <w:jc w:val="center"/>
              <w:rPr>
                <w:rFonts w:ascii="Times New Roman" w:eastAsia="Times New Roman" w:hAnsi="Times New Roman" w:cs="Times New Roman"/>
                <w:color w:val="000000"/>
                <w:kern w:val="0"/>
                <w:szCs w:val="24"/>
                <w:lang w:eastAsia="en-IN"/>
                <w14:ligatures w14:val="none"/>
              </w:rPr>
            </w:pPr>
            <w:r w:rsidRPr="008E2A3E">
              <w:rPr>
                <w:rFonts w:ascii="Times New Roman" w:eastAsia="Times New Roman" w:hAnsi="Times New Roman" w:cs="Times New Roman"/>
                <w:color w:val="000000"/>
                <w:kern w:val="0"/>
                <w:szCs w:val="24"/>
                <w:lang w:eastAsia="en-IN"/>
                <w14:ligatures w14:val="none"/>
              </w:rPr>
              <w:t>1.92</w:t>
            </w:r>
          </w:p>
        </w:tc>
        <w:tc>
          <w:tcPr>
            <w:tcW w:w="1213" w:type="dxa"/>
            <w:tcBorders>
              <w:top w:val="nil"/>
              <w:left w:val="nil"/>
              <w:bottom w:val="single" w:sz="4" w:space="0" w:color="auto"/>
              <w:right w:val="single" w:sz="4" w:space="0" w:color="auto"/>
            </w:tcBorders>
            <w:vAlign w:val="center"/>
            <w:hideMark/>
          </w:tcPr>
          <w:p w14:paraId="59CEAA99" w14:textId="77777777" w:rsidR="00366F91" w:rsidRPr="008E2A3E" w:rsidRDefault="00366F91" w:rsidP="00366F91">
            <w:pPr>
              <w:spacing w:after="0" w:line="240" w:lineRule="auto"/>
              <w:jc w:val="center"/>
              <w:rPr>
                <w:rFonts w:ascii="Times New Roman" w:eastAsia="Times New Roman" w:hAnsi="Times New Roman" w:cs="Times New Roman"/>
                <w:color w:val="000000"/>
                <w:kern w:val="0"/>
                <w:szCs w:val="24"/>
                <w:lang w:eastAsia="en-IN"/>
                <w14:ligatures w14:val="none"/>
              </w:rPr>
            </w:pPr>
            <w:r w:rsidRPr="008E2A3E">
              <w:rPr>
                <w:rFonts w:ascii="Times New Roman" w:eastAsia="Times New Roman" w:hAnsi="Times New Roman" w:cs="Times New Roman"/>
                <w:color w:val="000000"/>
                <w:kern w:val="0"/>
                <w:szCs w:val="24"/>
                <w:lang w:eastAsia="en-IN"/>
                <w14:ligatures w14:val="none"/>
              </w:rPr>
              <w:t>0.8</w:t>
            </w:r>
          </w:p>
        </w:tc>
        <w:tc>
          <w:tcPr>
            <w:tcW w:w="1281" w:type="dxa"/>
            <w:tcBorders>
              <w:top w:val="nil"/>
              <w:left w:val="nil"/>
              <w:bottom w:val="single" w:sz="4" w:space="0" w:color="auto"/>
              <w:right w:val="single" w:sz="4" w:space="0" w:color="auto"/>
            </w:tcBorders>
            <w:vAlign w:val="center"/>
            <w:hideMark/>
          </w:tcPr>
          <w:p w14:paraId="6873902A" w14:textId="77777777" w:rsidR="00366F91" w:rsidRPr="008E2A3E" w:rsidRDefault="00366F91" w:rsidP="00366F91">
            <w:pPr>
              <w:spacing w:after="0" w:line="240" w:lineRule="auto"/>
              <w:jc w:val="center"/>
              <w:rPr>
                <w:rFonts w:ascii="Times New Roman" w:eastAsia="Times New Roman" w:hAnsi="Times New Roman" w:cs="Times New Roman"/>
                <w:color w:val="000000"/>
                <w:kern w:val="0"/>
                <w:szCs w:val="24"/>
                <w:lang w:eastAsia="en-IN"/>
                <w14:ligatures w14:val="none"/>
              </w:rPr>
            </w:pPr>
            <w:r w:rsidRPr="008E2A3E">
              <w:rPr>
                <w:rFonts w:ascii="Times New Roman" w:eastAsia="Times New Roman" w:hAnsi="Times New Roman" w:cs="Times New Roman"/>
                <w:color w:val="000000"/>
                <w:kern w:val="0"/>
                <w:szCs w:val="24"/>
                <w:lang w:eastAsia="en-IN"/>
                <w14:ligatures w14:val="none"/>
              </w:rPr>
              <w:t>0.7</w:t>
            </w:r>
          </w:p>
        </w:tc>
      </w:tr>
      <w:tr w:rsidR="00366F91" w:rsidRPr="008E2A3E" w14:paraId="50352A56" w14:textId="77777777" w:rsidTr="008E2A3E">
        <w:trPr>
          <w:trHeight w:val="280"/>
          <w:jc w:val="center"/>
        </w:trPr>
        <w:tc>
          <w:tcPr>
            <w:tcW w:w="1308" w:type="dxa"/>
            <w:tcBorders>
              <w:top w:val="nil"/>
              <w:left w:val="single" w:sz="4" w:space="0" w:color="auto"/>
              <w:bottom w:val="single" w:sz="4" w:space="0" w:color="auto"/>
              <w:right w:val="single" w:sz="4" w:space="0" w:color="auto"/>
            </w:tcBorders>
            <w:vAlign w:val="center"/>
            <w:hideMark/>
          </w:tcPr>
          <w:p w14:paraId="0D5568D5" w14:textId="77777777" w:rsidR="00366F91" w:rsidRPr="008E2A3E" w:rsidRDefault="00366F91" w:rsidP="00366F91">
            <w:pPr>
              <w:spacing w:after="0" w:line="240" w:lineRule="auto"/>
              <w:rPr>
                <w:rFonts w:ascii="Times New Roman" w:eastAsia="Times New Roman" w:hAnsi="Times New Roman" w:cs="Times New Roman"/>
                <w:color w:val="000000"/>
                <w:kern w:val="0"/>
                <w:szCs w:val="24"/>
                <w:lang w:eastAsia="en-IN"/>
                <w14:ligatures w14:val="none"/>
              </w:rPr>
            </w:pPr>
            <w:r w:rsidRPr="008E2A3E">
              <w:rPr>
                <w:rFonts w:ascii="Times New Roman" w:eastAsia="Times New Roman" w:hAnsi="Times New Roman" w:cs="Times New Roman"/>
                <w:color w:val="000000"/>
                <w:kern w:val="0"/>
                <w:szCs w:val="24"/>
                <w:lang w:eastAsia="en-IN"/>
                <w14:ligatures w14:val="none"/>
              </w:rPr>
              <w:t>Nagaland</w:t>
            </w:r>
          </w:p>
        </w:tc>
        <w:tc>
          <w:tcPr>
            <w:tcW w:w="1294" w:type="dxa"/>
            <w:tcBorders>
              <w:top w:val="nil"/>
              <w:left w:val="nil"/>
              <w:bottom w:val="single" w:sz="4" w:space="0" w:color="auto"/>
              <w:right w:val="single" w:sz="4" w:space="0" w:color="auto"/>
            </w:tcBorders>
            <w:vAlign w:val="center"/>
            <w:hideMark/>
          </w:tcPr>
          <w:p w14:paraId="20A37CF6" w14:textId="77777777" w:rsidR="00366F91" w:rsidRPr="008E2A3E" w:rsidRDefault="00366F91" w:rsidP="00366F91">
            <w:pPr>
              <w:spacing w:after="0" w:line="240" w:lineRule="auto"/>
              <w:jc w:val="center"/>
              <w:rPr>
                <w:rFonts w:ascii="Times New Roman" w:eastAsia="Times New Roman" w:hAnsi="Times New Roman" w:cs="Times New Roman"/>
                <w:color w:val="000000"/>
                <w:kern w:val="0"/>
                <w:szCs w:val="24"/>
                <w:lang w:eastAsia="en-IN"/>
                <w14:ligatures w14:val="none"/>
              </w:rPr>
            </w:pPr>
            <w:r w:rsidRPr="008E2A3E">
              <w:rPr>
                <w:rFonts w:ascii="Times New Roman" w:eastAsia="Times New Roman" w:hAnsi="Times New Roman" w:cs="Times New Roman"/>
                <w:color w:val="000000"/>
                <w:kern w:val="0"/>
                <w:szCs w:val="24"/>
                <w:lang w:eastAsia="en-IN"/>
                <w14:ligatures w14:val="none"/>
              </w:rPr>
              <w:t>3.69</w:t>
            </w:r>
          </w:p>
        </w:tc>
        <w:tc>
          <w:tcPr>
            <w:tcW w:w="1699" w:type="dxa"/>
            <w:tcBorders>
              <w:top w:val="nil"/>
              <w:left w:val="nil"/>
              <w:bottom w:val="single" w:sz="4" w:space="0" w:color="auto"/>
              <w:right w:val="single" w:sz="4" w:space="0" w:color="auto"/>
            </w:tcBorders>
            <w:vAlign w:val="center"/>
            <w:hideMark/>
          </w:tcPr>
          <w:p w14:paraId="3AFDAB14" w14:textId="77777777" w:rsidR="00366F91" w:rsidRPr="008E2A3E" w:rsidRDefault="00366F91" w:rsidP="00366F91">
            <w:pPr>
              <w:spacing w:after="0" w:line="240" w:lineRule="auto"/>
              <w:jc w:val="center"/>
              <w:rPr>
                <w:rFonts w:ascii="Times New Roman" w:eastAsia="Times New Roman" w:hAnsi="Times New Roman" w:cs="Times New Roman"/>
                <w:color w:val="000000"/>
                <w:kern w:val="0"/>
                <w:szCs w:val="24"/>
                <w:lang w:eastAsia="en-IN"/>
                <w14:ligatures w14:val="none"/>
              </w:rPr>
            </w:pPr>
            <w:r w:rsidRPr="008E2A3E">
              <w:rPr>
                <w:rFonts w:ascii="Times New Roman" w:eastAsia="Times New Roman" w:hAnsi="Times New Roman" w:cs="Times New Roman"/>
                <w:color w:val="000000"/>
                <w:kern w:val="0"/>
                <w:szCs w:val="24"/>
                <w:lang w:eastAsia="en-IN"/>
                <w14:ligatures w14:val="none"/>
              </w:rPr>
              <w:t>Neg.</w:t>
            </w:r>
          </w:p>
        </w:tc>
        <w:tc>
          <w:tcPr>
            <w:tcW w:w="1595" w:type="dxa"/>
            <w:tcBorders>
              <w:top w:val="nil"/>
              <w:left w:val="nil"/>
              <w:bottom w:val="single" w:sz="4" w:space="0" w:color="auto"/>
              <w:right w:val="single" w:sz="4" w:space="0" w:color="auto"/>
            </w:tcBorders>
            <w:vAlign w:val="center"/>
            <w:hideMark/>
          </w:tcPr>
          <w:p w14:paraId="30990392" w14:textId="77777777" w:rsidR="00366F91" w:rsidRPr="008E2A3E" w:rsidRDefault="00366F91" w:rsidP="00366F91">
            <w:pPr>
              <w:spacing w:after="0" w:line="240" w:lineRule="auto"/>
              <w:jc w:val="center"/>
              <w:rPr>
                <w:rFonts w:ascii="Times New Roman" w:eastAsia="Times New Roman" w:hAnsi="Times New Roman" w:cs="Times New Roman"/>
                <w:color w:val="000000"/>
                <w:kern w:val="0"/>
                <w:szCs w:val="24"/>
                <w:lang w:eastAsia="en-IN"/>
                <w14:ligatures w14:val="none"/>
              </w:rPr>
            </w:pPr>
            <w:r w:rsidRPr="008E2A3E">
              <w:rPr>
                <w:rFonts w:ascii="Times New Roman" w:eastAsia="Times New Roman" w:hAnsi="Times New Roman" w:cs="Times New Roman"/>
                <w:color w:val="000000"/>
                <w:kern w:val="0"/>
                <w:szCs w:val="24"/>
                <w:lang w:eastAsia="en-IN"/>
                <w14:ligatures w14:val="none"/>
              </w:rPr>
              <w:t>-</w:t>
            </w:r>
          </w:p>
        </w:tc>
        <w:tc>
          <w:tcPr>
            <w:tcW w:w="1281" w:type="dxa"/>
            <w:tcBorders>
              <w:top w:val="nil"/>
              <w:left w:val="nil"/>
              <w:bottom w:val="single" w:sz="4" w:space="0" w:color="auto"/>
              <w:right w:val="single" w:sz="4" w:space="0" w:color="auto"/>
            </w:tcBorders>
            <w:vAlign w:val="center"/>
            <w:hideMark/>
          </w:tcPr>
          <w:p w14:paraId="792AC1B1" w14:textId="77777777" w:rsidR="00366F91" w:rsidRPr="008E2A3E" w:rsidRDefault="00366F91" w:rsidP="00366F91">
            <w:pPr>
              <w:spacing w:after="0" w:line="240" w:lineRule="auto"/>
              <w:jc w:val="center"/>
              <w:rPr>
                <w:rFonts w:ascii="Times New Roman" w:eastAsia="Times New Roman" w:hAnsi="Times New Roman" w:cs="Times New Roman"/>
                <w:color w:val="000000"/>
                <w:kern w:val="0"/>
                <w:szCs w:val="24"/>
                <w:lang w:eastAsia="en-IN"/>
                <w14:ligatures w14:val="none"/>
              </w:rPr>
            </w:pPr>
            <w:r w:rsidRPr="008E2A3E">
              <w:rPr>
                <w:rFonts w:ascii="Times New Roman" w:eastAsia="Times New Roman" w:hAnsi="Times New Roman" w:cs="Times New Roman"/>
                <w:color w:val="000000"/>
                <w:kern w:val="0"/>
                <w:szCs w:val="24"/>
                <w:lang w:eastAsia="en-IN"/>
                <w14:ligatures w14:val="none"/>
              </w:rPr>
              <w:t>-</w:t>
            </w:r>
          </w:p>
        </w:tc>
        <w:tc>
          <w:tcPr>
            <w:tcW w:w="1211" w:type="dxa"/>
            <w:tcBorders>
              <w:top w:val="nil"/>
              <w:left w:val="nil"/>
              <w:bottom w:val="single" w:sz="4" w:space="0" w:color="auto"/>
              <w:right w:val="single" w:sz="4" w:space="0" w:color="auto"/>
            </w:tcBorders>
            <w:vAlign w:val="center"/>
            <w:hideMark/>
          </w:tcPr>
          <w:p w14:paraId="78559257" w14:textId="77777777" w:rsidR="00366F91" w:rsidRPr="008E2A3E" w:rsidRDefault="00366F91" w:rsidP="00366F91">
            <w:pPr>
              <w:spacing w:after="0" w:line="240" w:lineRule="auto"/>
              <w:jc w:val="center"/>
              <w:rPr>
                <w:rFonts w:ascii="Times New Roman" w:eastAsia="Times New Roman" w:hAnsi="Times New Roman" w:cs="Times New Roman"/>
                <w:color w:val="000000"/>
                <w:kern w:val="0"/>
                <w:szCs w:val="24"/>
                <w:lang w:eastAsia="en-IN"/>
                <w14:ligatures w14:val="none"/>
              </w:rPr>
            </w:pPr>
            <w:r w:rsidRPr="008E2A3E">
              <w:rPr>
                <w:rFonts w:ascii="Times New Roman" w:eastAsia="Times New Roman" w:hAnsi="Times New Roman" w:cs="Times New Roman"/>
                <w:color w:val="000000"/>
                <w:kern w:val="0"/>
                <w:szCs w:val="24"/>
                <w:lang w:eastAsia="en-IN"/>
                <w14:ligatures w14:val="none"/>
              </w:rPr>
              <w:t>3.44</w:t>
            </w:r>
          </w:p>
        </w:tc>
        <w:tc>
          <w:tcPr>
            <w:tcW w:w="1213" w:type="dxa"/>
            <w:tcBorders>
              <w:top w:val="nil"/>
              <w:left w:val="nil"/>
              <w:bottom w:val="single" w:sz="4" w:space="0" w:color="auto"/>
              <w:right w:val="single" w:sz="4" w:space="0" w:color="auto"/>
            </w:tcBorders>
            <w:vAlign w:val="center"/>
            <w:hideMark/>
          </w:tcPr>
          <w:p w14:paraId="05DC1B4E" w14:textId="77777777" w:rsidR="00366F91" w:rsidRPr="008E2A3E" w:rsidRDefault="00366F91" w:rsidP="00366F91">
            <w:pPr>
              <w:spacing w:after="0" w:line="240" w:lineRule="auto"/>
              <w:jc w:val="center"/>
              <w:rPr>
                <w:rFonts w:ascii="Times New Roman" w:eastAsia="Times New Roman" w:hAnsi="Times New Roman" w:cs="Times New Roman"/>
                <w:color w:val="000000"/>
                <w:kern w:val="0"/>
                <w:szCs w:val="24"/>
                <w:lang w:eastAsia="en-IN"/>
                <w14:ligatures w14:val="none"/>
              </w:rPr>
            </w:pPr>
            <w:r w:rsidRPr="008E2A3E">
              <w:rPr>
                <w:rFonts w:ascii="Times New Roman" w:eastAsia="Times New Roman" w:hAnsi="Times New Roman" w:cs="Times New Roman"/>
                <w:color w:val="000000"/>
                <w:kern w:val="0"/>
                <w:szCs w:val="24"/>
                <w:lang w:eastAsia="en-IN"/>
                <w14:ligatures w14:val="none"/>
              </w:rPr>
              <w:t>93.2</w:t>
            </w:r>
          </w:p>
        </w:tc>
        <w:tc>
          <w:tcPr>
            <w:tcW w:w="1281" w:type="dxa"/>
            <w:tcBorders>
              <w:top w:val="nil"/>
              <w:left w:val="nil"/>
              <w:bottom w:val="single" w:sz="4" w:space="0" w:color="auto"/>
              <w:right w:val="single" w:sz="4" w:space="0" w:color="auto"/>
            </w:tcBorders>
            <w:vAlign w:val="center"/>
            <w:hideMark/>
          </w:tcPr>
          <w:p w14:paraId="68103103" w14:textId="77777777" w:rsidR="00366F91" w:rsidRPr="008E2A3E" w:rsidRDefault="00366F91" w:rsidP="00366F91">
            <w:pPr>
              <w:spacing w:after="0" w:line="240" w:lineRule="auto"/>
              <w:jc w:val="center"/>
              <w:rPr>
                <w:rFonts w:ascii="Times New Roman" w:eastAsia="Times New Roman" w:hAnsi="Times New Roman" w:cs="Times New Roman"/>
                <w:color w:val="000000"/>
                <w:kern w:val="0"/>
                <w:szCs w:val="24"/>
                <w:lang w:eastAsia="en-IN"/>
                <w14:ligatures w14:val="none"/>
              </w:rPr>
            </w:pPr>
            <w:r w:rsidRPr="008E2A3E">
              <w:rPr>
                <w:rFonts w:ascii="Times New Roman" w:eastAsia="Times New Roman" w:hAnsi="Times New Roman" w:cs="Times New Roman"/>
                <w:color w:val="000000"/>
                <w:kern w:val="0"/>
                <w:szCs w:val="24"/>
                <w:lang w:eastAsia="en-IN"/>
                <w14:ligatures w14:val="none"/>
              </w:rPr>
              <w:t>1.2</w:t>
            </w:r>
          </w:p>
        </w:tc>
      </w:tr>
      <w:tr w:rsidR="00366F91" w:rsidRPr="008E2A3E" w14:paraId="1A333A01" w14:textId="77777777" w:rsidTr="008E2A3E">
        <w:trPr>
          <w:trHeight w:val="280"/>
          <w:jc w:val="center"/>
        </w:trPr>
        <w:tc>
          <w:tcPr>
            <w:tcW w:w="1308" w:type="dxa"/>
            <w:tcBorders>
              <w:top w:val="nil"/>
              <w:left w:val="single" w:sz="4" w:space="0" w:color="auto"/>
              <w:bottom w:val="single" w:sz="4" w:space="0" w:color="auto"/>
              <w:right w:val="single" w:sz="4" w:space="0" w:color="auto"/>
            </w:tcBorders>
            <w:vAlign w:val="center"/>
            <w:hideMark/>
          </w:tcPr>
          <w:p w14:paraId="22A614D0" w14:textId="77777777" w:rsidR="00366F91" w:rsidRPr="008E2A3E" w:rsidRDefault="00366F91" w:rsidP="00366F91">
            <w:pPr>
              <w:spacing w:after="0" w:line="240" w:lineRule="auto"/>
              <w:rPr>
                <w:rFonts w:ascii="Times New Roman" w:eastAsia="Times New Roman" w:hAnsi="Times New Roman" w:cs="Times New Roman"/>
                <w:color w:val="000000"/>
                <w:kern w:val="0"/>
                <w:szCs w:val="24"/>
                <w:lang w:eastAsia="en-IN"/>
                <w14:ligatures w14:val="none"/>
              </w:rPr>
            </w:pPr>
            <w:r w:rsidRPr="008E2A3E">
              <w:rPr>
                <w:rFonts w:ascii="Times New Roman" w:eastAsia="Times New Roman" w:hAnsi="Times New Roman" w:cs="Times New Roman"/>
                <w:color w:val="000000"/>
                <w:kern w:val="0"/>
                <w:szCs w:val="24"/>
                <w:lang w:eastAsia="en-IN"/>
                <w14:ligatures w14:val="none"/>
              </w:rPr>
              <w:t>Orissa</w:t>
            </w:r>
          </w:p>
        </w:tc>
        <w:tc>
          <w:tcPr>
            <w:tcW w:w="1294" w:type="dxa"/>
            <w:tcBorders>
              <w:top w:val="nil"/>
              <w:left w:val="nil"/>
              <w:bottom w:val="single" w:sz="4" w:space="0" w:color="auto"/>
              <w:right w:val="single" w:sz="4" w:space="0" w:color="auto"/>
            </w:tcBorders>
            <w:vAlign w:val="center"/>
            <w:hideMark/>
          </w:tcPr>
          <w:p w14:paraId="587934CC" w14:textId="77777777" w:rsidR="00366F91" w:rsidRPr="008E2A3E" w:rsidRDefault="00366F91" w:rsidP="00366F91">
            <w:pPr>
              <w:spacing w:after="0" w:line="240" w:lineRule="auto"/>
              <w:jc w:val="center"/>
              <w:rPr>
                <w:rFonts w:ascii="Times New Roman" w:eastAsia="Times New Roman" w:hAnsi="Times New Roman" w:cs="Times New Roman"/>
                <w:color w:val="000000"/>
                <w:kern w:val="0"/>
                <w:szCs w:val="24"/>
                <w:lang w:eastAsia="en-IN"/>
                <w14:ligatures w14:val="none"/>
              </w:rPr>
            </w:pPr>
            <w:r w:rsidRPr="008E2A3E">
              <w:rPr>
                <w:rFonts w:ascii="Times New Roman" w:eastAsia="Times New Roman" w:hAnsi="Times New Roman" w:cs="Times New Roman"/>
                <w:color w:val="000000"/>
                <w:kern w:val="0"/>
                <w:szCs w:val="24"/>
                <w:lang w:eastAsia="en-IN"/>
                <w14:ligatures w14:val="none"/>
              </w:rPr>
              <w:t>175.49</w:t>
            </w:r>
          </w:p>
        </w:tc>
        <w:tc>
          <w:tcPr>
            <w:tcW w:w="1699" w:type="dxa"/>
            <w:tcBorders>
              <w:top w:val="nil"/>
              <w:left w:val="nil"/>
              <w:bottom w:val="single" w:sz="4" w:space="0" w:color="auto"/>
              <w:right w:val="single" w:sz="4" w:space="0" w:color="auto"/>
            </w:tcBorders>
            <w:vAlign w:val="center"/>
            <w:hideMark/>
          </w:tcPr>
          <w:p w14:paraId="3CEB49A8" w14:textId="77777777" w:rsidR="00366F91" w:rsidRPr="008E2A3E" w:rsidRDefault="00366F91" w:rsidP="00366F91">
            <w:pPr>
              <w:spacing w:after="0" w:line="240" w:lineRule="auto"/>
              <w:jc w:val="center"/>
              <w:rPr>
                <w:rFonts w:ascii="Times New Roman" w:eastAsia="Times New Roman" w:hAnsi="Times New Roman" w:cs="Times New Roman"/>
                <w:color w:val="000000"/>
                <w:kern w:val="0"/>
                <w:szCs w:val="24"/>
                <w:lang w:eastAsia="en-IN"/>
                <w14:ligatures w14:val="none"/>
              </w:rPr>
            </w:pPr>
            <w:r w:rsidRPr="008E2A3E">
              <w:rPr>
                <w:rFonts w:ascii="Times New Roman" w:eastAsia="Times New Roman" w:hAnsi="Times New Roman" w:cs="Times New Roman"/>
                <w:color w:val="000000"/>
                <w:kern w:val="0"/>
                <w:szCs w:val="24"/>
                <w:lang w:eastAsia="en-IN"/>
                <w14:ligatures w14:val="none"/>
              </w:rPr>
              <w:t>27.64</w:t>
            </w:r>
          </w:p>
        </w:tc>
        <w:tc>
          <w:tcPr>
            <w:tcW w:w="1595" w:type="dxa"/>
            <w:tcBorders>
              <w:top w:val="nil"/>
              <w:left w:val="nil"/>
              <w:bottom w:val="single" w:sz="4" w:space="0" w:color="auto"/>
              <w:right w:val="single" w:sz="4" w:space="0" w:color="auto"/>
            </w:tcBorders>
            <w:vAlign w:val="center"/>
            <w:hideMark/>
          </w:tcPr>
          <w:p w14:paraId="297579D0" w14:textId="77777777" w:rsidR="00366F91" w:rsidRPr="008E2A3E" w:rsidRDefault="00366F91" w:rsidP="00366F91">
            <w:pPr>
              <w:spacing w:after="0" w:line="240" w:lineRule="auto"/>
              <w:jc w:val="center"/>
              <w:rPr>
                <w:rFonts w:ascii="Times New Roman" w:eastAsia="Times New Roman" w:hAnsi="Times New Roman" w:cs="Times New Roman"/>
                <w:color w:val="000000"/>
                <w:kern w:val="0"/>
                <w:szCs w:val="24"/>
                <w:lang w:eastAsia="en-IN"/>
                <w14:ligatures w14:val="none"/>
              </w:rPr>
            </w:pPr>
            <w:r w:rsidRPr="008E2A3E">
              <w:rPr>
                <w:rFonts w:ascii="Times New Roman" w:eastAsia="Times New Roman" w:hAnsi="Times New Roman" w:cs="Times New Roman"/>
                <w:color w:val="000000"/>
                <w:kern w:val="0"/>
                <w:szCs w:val="24"/>
                <w:lang w:eastAsia="en-IN"/>
                <w14:ligatures w14:val="none"/>
              </w:rPr>
              <w:t>15.8</w:t>
            </w:r>
          </w:p>
        </w:tc>
        <w:tc>
          <w:tcPr>
            <w:tcW w:w="1281" w:type="dxa"/>
            <w:tcBorders>
              <w:top w:val="nil"/>
              <w:left w:val="nil"/>
              <w:bottom w:val="single" w:sz="4" w:space="0" w:color="auto"/>
              <w:right w:val="single" w:sz="4" w:space="0" w:color="auto"/>
            </w:tcBorders>
            <w:vAlign w:val="center"/>
            <w:hideMark/>
          </w:tcPr>
          <w:p w14:paraId="1ACEFADB" w14:textId="77777777" w:rsidR="00366F91" w:rsidRPr="008E2A3E" w:rsidRDefault="00366F91" w:rsidP="00366F91">
            <w:pPr>
              <w:spacing w:after="0" w:line="240" w:lineRule="auto"/>
              <w:jc w:val="center"/>
              <w:rPr>
                <w:rFonts w:ascii="Times New Roman" w:eastAsia="Times New Roman" w:hAnsi="Times New Roman" w:cs="Times New Roman"/>
                <w:color w:val="000000"/>
                <w:kern w:val="0"/>
                <w:szCs w:val="24"/>
                <w:lang w:eastAsia="en-IN"/>
                <w14:ligatures w14:val="none"/>
              </w:rPr>
            </w:pPr>
            <w:r w:rsidRPr="008E2A3E">
              <w:rPr>
                <w:rFonts w:ascii="Times New Roman" w:eastAsia="Times New Roman" w:hAnsi="Times New Roman" w:cs="Times New Roman"/>
                <w:color w:val="000000"/>
                <w:kern w:val="0"/>
                <w:szCs w:val="24"/>
                <w:lang w:eastAsia="en-IN"/>
                <w14:ligatures w14:val="none"/>
              </w:rPr>
              <w:t>4.4</w:t>
            </w:r>
          </w:p>
        </w:tc>
        <w:tc>
          <w:tcPr>
            <w:tcW w:w="1211" w:type="dxa"/>
            <w:tcBorders>
              <w:top w:val="nil"/>
              <w:left w:val="nil"/>
              <w:bottom w:val="single" w:sz="4" w:space="0" w:color="auto"/>
              <w:right w:val="single" w:sz="4" w:space="0" w:color="auto"/>
            </w:tcBorders>
            <w:vAlign w:val="center"/>
            <w:hideMark/>
          </w:tcPr>
          <w:p w14:paraId="117A5251" w14:textId="77777777" w:rsidR="00366F91" w:rsidRPr="008E2A3E" w:rsidRDefault="00366F91" w:rsidP="00366F91">
            <w:pPr>
              <w:spacing w:after="0" w:line="240" w:lineRule="auto"/>
              <w:jc w:val="center"/>
              <w:rPr>
                <w:rFonts w:ascii="Times New Roman" w:eastAsia="Times New Roman" w:hAnsi="Times New Roman" w:cs="Times New Roman"/>
                <w:color w:val="000000"/>
                <w:kern w:val="0"/>
                <w:szCs w:val="24"/>
                <w:lang w:eastAsia="en-IN"/>
                <w14:ligatures w14:val="none"/>
              </w:rPr>
            </w:pPr>
            <w:r w:rsidRPr="008E2A3E">
              <w:rPr>
                <w:rFonts w:ascii="Times New Roman" w:eastAsia="Times New Roman" w:hAnsi="Times New Roman" w:cs="Times New Roman"/>
                <w:color w:val="000000"/>
                <w:kern w:val="0"/>
                <w:szCs w:val="24"/>
                <w:lang w:eastAsia="en-IN"/>
                <w14:ligatures w14:val="none"/>
              </w:rPr>
              <w:t>42.24</w:t>
            </w:r>
          </w:p>
        </w:tc>
        <w:tc>
          <w:tcPr>
            <w:tcW w:w="1213" w:type="dxa"/>
            <w:tcBorders>
              <w:top w:val="nil"/>
              <w:left w:val="nil"/>
              <w:bottom w:val="single" w:sz="4" w:space="0" w:color="auto"/>
              <w:right w:val="single" w:sz="4" w:space="0" w:color="auto"/>
            </w:tcBorders>
            <w:vAlign w:val="center"/>
            <w:hideMark/>
          </w:tcPr>
          <w:p w14:paraId="1CB4AE17" w14:textId="77777777" w:rsidR="00366F91" w:rsidRPr="008E2A3E" w:rsidRDefault="00366F91" w:rsidP="00366F91">
            <w:pPr>
              <w:spacing w:after="0" w:line="240" w:lineRule="auto"/>
              <w:jc w:val="center"/>
              <w:rPr>
                <w:rFonts w:ascii="Times New Roman" w:eastAsia="Times New Roman" w:hAnsi="Times New Roman" w:cs="Times New Roman"/>
                <w:color w:val="000000"/>
                <w:kern w:val="0"/>
                <w:szCs w:val="24"/>
                <w:lang w:eastAsia="en-IN"/>
                <w14:ligatures w14:val="none"/>
              </w:rPr>
            </w:pPr>
            <w:r w:rsidRPr="008E2A3E">
              <w:rPr>
                <w:rFonts w:ascii="Times New Roman" w:eastAsia="Times New Roman" w:hAnsi="Times New Roman" w:cs="Times New Roman"/>
                <w:color w:val="000000"/>
                <w:kern w:val="0"/>
                <w:szCs w:val="24"/>
                <w:lang w:eastAsia="en-IN"/>
                <w14:ligatures w14:val="none"/>
              </w:rPr>
              <w:t>24.1</w:t>
            </w:r>
          </w:p>
        </w:tc>
        <w:tc>
          <w:tcPr>
            <w:tcW w:w="1281" w:type="dxa"/>
            <w:tcBorders>
              <w:top w:val="nil"/>
              <w:left w:val="nil"/>
              <w:bottom w:val="single" w:sz="4" w:space="0" w:color="auto"/>
              <w:right w:val="single" w:sz="4" w:space="0" w:color="auto"/>
            </w:tcBorders>
            <w:vAlign w:val="center"/>
            <w:hideMark/>
          </w:tcPr>
          <w:p w14:paraId="5A8778D4" w14:textId="77777777" w:rsidR="00366F91" w:rsidRPr="008E2A3E" w:rsidRDefault="00366F91" w:rsidP="00366F91">
            <w:pPr>
              <w:spacing w:after="0" w:line="240" w:lineRule="auto"/>
              <w:jc w:val="center"/>
              <w:rPr>
                <w:rFonts w:ascii="Times New Roman" w:eastAsia="Times New Roman" w:hAnsi="Times New Roman" w:cs="Times New Roman"/>
                <w:color w:val="000000"/>
                <w:kern w:val="0"/>
                <w:szCs w:val="24"/>
                <w:lang w:eastAsia="en-IN"/>
                <w14:ligatures w14:val="none"/>
              </w:rPr>
            </w:pPr>
            <w:r w:rsidRPr="008E2A3E">
              <w:rPr>
                <w:rFonts w:ascii="Times New Roman" w:eastAsia="Times New Roman" w:hAnsi="Times New Roman" w:cs="Times New Roman"/>
                <w:color w:val="000000"/>
                <w:kern w:val="0"/>
                <w:szCs w:val="24"/>
                <w:lang w:eastAsia="en-IN"/>
                <w14:ligatures w14:val="none"/>
              </w:rPr>
              <w:t>14.5</w:t>
            </w:r>
          </w:p>
        </w:tc>
      </w:tr>
      <w:tr w:rsidR="00366F91" w:rsidRPr="008E2A3E" w14:paraId="74B11B77" w14:textId="77777777" w:rsidTr="008E2A3E">
        <w:trPr>
          <w:trHeight w:val="280"/>
          <w:jc w:val="center"/>
        </w:trPr>
        <w:tc>
          <w:tcPr>
            <w:tcW w:w="1308" w:type="dxa"/>
            <w:tcBorders>
              <w:top w:val="nil"/>
              <w:left w:val="single" w:sz="4" w:space="0" w:color="auto"/>
              <w:bottom w:val="single" w:sz="4" w:space="0" w:color="auto"/>
              <w:right w:val="single" w:sz="4" w:space="0" w:color="auto"/>
            </w:tcBorders>
            <w:vAlign w:val="center"/>
            <w:hideMark/>
          </w:tcPr>
          <w:p w14:paraId="3A44FBCD" w14:textId="77777777" w:rsidR="00366F91" w:rsidRPr="008E2A3E" w:rsidRDefault="00366F91" w:rsidP="00366F91">
            <w:pPr>
              <w:spacing w:after="0" w:line="240" w:lineRule="auto"/>
              <w:rPr>
                <w:rFonts w:ascii="Times New Roman" w:eastAsia="Times New Roman" w:hAnsi="Times New Roman" w:cs="Times New Roman"/>
                <w:color w:val="000000"/>
                <w:kern w:val="0"/>
                <w:szCs w:val="24"/>
                <w:lang w:eastAsia="en-IN"/>
                <w14:ligatures w14:val="none"/>
              </w:rPr>
            </w:pPr>
            <w:r w:rsidRPr="008E2A3E">
              <w:rPr>
                <w:rFonts w:ascii="Times New Roman" w:eastAsia="Times New Roman" w:hAnsi="Times New Roman" w:cs="Times New Roman"/>
                <w:color w:val="000000"/>
                <w:kern w:val="0"/>
                <w:szCs w:val="24"/>
                <w:lang w:eastAsia="en-IN"/>
                <w14:ligatures w14:val="none"/>
              </w:rPr>
              <w:t>Punjab</w:t>
            </w:r>
          </w:p>
        </w:tc>
        <w:tc>
          <w:tcPr>
            <w:tcW w:w="1294" w:type="dxa"/>
            <w:tcBorders>
              <w:top w:val="nil"/>
              <w:left w:val="nil"/>
              <w:bottom w:val="single" w:sz="4" w:space="0" w:color="auto"/>
              <w:right w:val="single" w:sz="4" w:space="0" w:color="auto"/>
            </w:tcBorders>
            <w:vAlign w:val="center"/>
            <w:hideMark/>
          </w:tcPr>
          <w:p w14:paraId="037CAD3C" w14:textId="77777777" w:rsidR="00366F91" w:rsidRPr="008E2A3E" w:rsidRDefault="00366F91" w:rsidP="00366F91">
            <w:pPr>
              <w:spacing w:after="0" w:line="240" w:lineRule="auto"/>
              <w:jc w:val="center"/>
              <w:rPr>
                <w:rFonts w:ascii="Times New Roman" w:eastAsia="Times New Roman" w:hAnsi="Times New Roman" w:cs="Times New Roman"/>
                <w:color w:val="000000"/>
                <w:kern w:val="0"/>
                <w:szCs w:val="24"/>
                <w:lang w:eastAsia="en-IN"/>
                <w14:ligatures w14:val="none"/>
              </w:rPr>
            </w:pPr>
            <w:r w:rsidRPr="008E2A3E">
              <w:rPr>
                <w:rFonts w:ascii="Times New Roman" w:eastAsia="Times New Roman" w:hAnsi="Times New Roman" w:cs="Times New Roman"/>
                <w:color w:val="000000"/>
                <w:kern w:val="0"/>
                <w:szCs w:val="24"/>
                <w:lang w:eastAsia="en-IN"/>
                <w14:ligatures w14:val="none"/>
              </w:rPr>
              <w:t>111.35</w:t>
            </w:r>
          </w:p>
        </w:tc>
        <w:tc>
          <w:tcPr>
            <w:tcW w:w="1699" w:type="dxa"/>
            <w:tcBorders>
              <w:top w:val="nil"/>
              <w:left w:val="nil"/>
              <w:bottom w:val="single" w:sz="4" w:space="0" w:color="auto"/>
              <w:right w:val="single" w:sz="4" w:space="0" w:color="auto"/>
            </w:tcBorders>
            <w:vAlign w:val="center"/>
            <w:hideMark/>
          </w:tcPr>
          <w:p w14:paraId="610E8E64" w14:textId="77777777" w:rsidR="00366F91" w:rsidRPr="008E2A3E" w:rsidRDefault="00366F91" w:rsidP="00366F91">
            <w:pPr>
              <w:spacing w:after="0" w:line="240" w:lineRule="auto"/>
              <w:jc w:val="center"/>
              <w:rPr>
                <w:rFonts w:ascii="Times New Roman" w:eastAsia="Times New Roman" w:hAnsi="Times New Roman" w:cs="Times New Roman"/>
                <w:color w:val="000000"/>
                <w:kern w:val="0"/>
                <w:szCs w:val="24"/>
                <w:lang w:eastAsia="en-IN"/>
                <w14:ligatures w14:val="none"/>
              </w:rPr>
            </w:pPr>
            <w:r w:rsidRPr="008E2A3E">
              <w:rPr>
                <w:rFonts w:ascii="Times New Roman" w:eastAsia="Times New Roman" w:hAnsi="Times New Roman" w:cs="Times New Roman"/>
                <w:color w:val="000000"/>
                <w:kern w:val="0"/>
                <w:szCs w:val="24"/>
                <w:lang w:eastAsia="en-IN"/>
                <w14:ligatures w14:val="none"/>
              </w:rPr>
              <w:t>24.87</w:t>
            </w:r>
          </w:p>
        </w:tc>
        <w:tc>
          <w:tcPr>
            <w:tcW w:w="1595" w:type="dxa"/>
            <w:tcBorders>
              <w:top w:val="nil"/>
              <w:left w:val="nil"/>
              <w:bottom w:val="single" w:sz="4" w:space="0" w:color="auto"/>
              <w:right w:val="single" w:sz="4" w:space="0" w:color="auto"/>
            </w:tcBorders>
            <w:vAlign w:val="center"/>
            <w:hideMark/>
          </w:tcPr>
          <w:p w14:paraId="067989FE" w14:textId="77777777" w:rsidR="00366F91" w:rsidRPr="008E2A3E" w:rsidRDefault="00366F91" w:rsidP="00366F91">
            <w:pPr>
              <w:spacing w:after="0" w:line="240" w:lineRule="auto"/>
              <w:jc w:val="center"/>
              <w:rPr>
                <w:rFonts w:ascii="Times New Roman" w:eastAsia="Times New Roman" w:hAnsi="Times New Roman" w:cs="Times New Roman"/>
                <w:color w:val="000000"/>
                <w:kern w:val="0"/>
                <w:szCs w:val="24"/>
                <w:lang w:eastAsia="en-IN"/>
                <w14:ligatures w14:val="none"/>
              </w:rPr>
            </w:pPr>
            <w:r w:rsidRPr="008E2A3E">
              <w:rPr>
                <w:rFonts w:ascii="Times New Roman" w:eastAsia="Times New Roman" w:hAnsi="Times New Roman" w:cs="Times New Roman"/>
                <w:color w:val="000000"/>
                <w:kern w:val="0"/>
                <w:szCs w:val="24"/>
                <w:lang w:eastAsia="en-IN"/>
                <w14:ligatures w14:val="none"/>
              </w:rPr>
              <w:t>22.3</w:t>
            </w:r>
          </w:p>
        </w:tc>
        <w:tc>
          <w:tcPr>
            <w:tcW w:w="1281" w:type="dxa"/>
            <w:tcBorders>
              <w:top w:val="nil"/>
              <w:left w:val="nil"/>
              <w:bottom w:val="single" w:sz="4" w:space="0" w:color="auto"/>
              <w:right w:val="single" w:sz="4" w:space="0" w:color="auto"/>
            </w:tcBorders>
            <w:vAlign w:val="center"/>
            <w:hideMark/>
          </w:tcPr>
          <w:p w14:paraId="7FAF8BD1" w14:textId="77777777" w:rsidR="00366F91" w:rsidRPr="008E2A3E" w:rsidRDefault="00366F91" w:rsidP="00366F91">
            <w:pPr>
              <w:spacing w:after="0" w:line="240" w:lineRule="auto"/>
              <w:jc w:val="center"/>
              <w:rPr>
                <w:rFonts w:ascii="Times New Roman" w:eastAsia="Times New Roman" w:hAnsi="Times New Roman" w:cs="Times New Roman"/>
                <w:color w:val="000000"/>
                <w:kern w:val="0"/>
                <w:szCs w:val="24"/>
                <w:lang w:eastAsia="en-IN"/>
                <w14:ligatures w14:val="none"/>
              </w:rPr>
            </w:pPr>
            <w:r w:rsidRPr="008E2A3E">
              <w:rPr>
                <w:rFonts w:ascii="Times New Roman" w:eastAsia="Times New Roman" w:hAnsi="Times New Roman" w:cs="Times New Roman"/>
                <w:color w:val="000000"/>
                <w:kern w:val="0"/>
                <w:szCs w:val="24"/>
                <w:lang w:eastAsia="en-IN"/>
                <w14:ligatures w14:val="none"/>
              </w:rPr>
              <w:t>3.9</w:t>
            </w:r>
          </w:p>
        </w:tc>
        <w:tc>
          <w:tcPr>
            <w:tcW w:w="1211" w:type="dxa"/>
            <w:tcBorders>
              <w:top w:val="nil"/>
              <w:left w:val="nil"/>
              <w:bottom w:val="single" w:sz="4" w:space="0" w:color="auto"/>
              <w:right w:val="single" w:sz="4" w:space="0" w:color="auto"/>
            </w:tcBorders>
            <w:vAlign w:val="center"/>
            <w:hideMark/>
          </w:tcPr>
          <w:p w14:paraId="0C93DA1F" w14:textId="77777777" w:rsidR="00366F91" w:rsidRPr="008E2A3E" w:rsidRDefault="00366F91" w:rsidP="00366F91">
            <w:pPr>
              <w:spacing w:after="0" w:line="240" w:lineRule="auto"/>
              <w:jc w:val="center"/>
              <w:rPr>
                <w:rFonts w:ascii="Times New Roman" w:eastAsia="Times New Roman" w:hAnsi="Times New Roman" w:cs="Times New Roman"/>
                <w:color w:val="000000"/>
                <w:kern w:val="0"/>
                <w:szCs w:val="24"/>
                <w:lang w:eastAsia="en-IN"/>
                <w14:ligatures w14:val="none"/>
              </w:rPr>
            </w:pPr>
            <w:r w:rsidRPr="008E2A3E">
              <w:rPr>
                <w:rFonts w:ascii="Times New Roman" w:eastAsia="Times New Roman" w:hAnsi="Times New Roman" w:cs="Times New Roman"/>
                <w:color w:val="000000"/>
                <w:kern w:val="0"/>
                <w:szCs w:val="24"/>
                <w:lang w:eastAsia="en-IN"/>
                <w14:ligatures w14:val="none"/>
              </w:rPr>
              <w:t>-</w:t>
            </w:r>
          </w:p>
        </w:tc>
        <w:tc>
          <w:tcPr>
            <w:tcW w:w="1213" w:type="dxa"/>
            <w:tcBorders>
              <w:top w:val="nil"/>
              <w:left w:val="nil"/>
              <w:bottom w:val="single" w:sz="4" w:space="0" w:color="auto"/>
              <w:right w:val="single" w:sz="4" w:space="0" w:color="auto"/>
            </w:tcBorders>
            <w:vAlign w:val="center"/>
            <w:hideMark/>
          </w:tcPr>
          <w:p w14:paraId="1F23A138" w14:textId="77777777" w:rsidR="00366F91" w:rsidRPr="008E2A3E" w:rsidRDefault="00366F91" w:rsidP="00366F91">
            <w:pPr>
              <w:spacing w:after="0" w:line="240" w:lineRule="auto"/>
              <w:jc w:val="center"/>
              <w:rPr>
                <w:rFonts w:ascii="Times New Roman" w:eastAsia="Times New Roman" w:hAnsi="Times New Roman" w:cs="Times New Roman"/>
                <w:color w:val="000000"/>
                <w:kern w:val="0"/>
                <w:szCs w:val="24"/>
                <w:lang w:eastAsia="en-IN"/>
                <w14:ligatures w14:val="none"/>
              </w:rPr>
            </w:pPr>
            <w:r w:rsidRPr="008E2A3E">
              <w:rPr>
                <w:rFonts w:ascii="Times New Roman" w:eastAsia="Times New Roman" w:hAnsi="Times New Roman" w:cs="Times New Roman"/>
                <w:color w:val="000000"/>
                <w:kern w:val="0"/>
                <w:szCs w:val="24"/>
                <w:lang w:eastAsia="en-IN"/>
                <w14:ligatures w14:val="none"/>
              </w:rPr>
              <w:t>-</w:t>
            </w:r>
          </w:p>
        </w:tc>
        <w:tc>
          <w:tcPr>
            <w:tcW w:w="1281" w:type="dxa"/>
            <w:tcBorders>
              <w:top w:val="nil"/>
              <w:left w:val="nil"/>
              <w:bottom w:val="single" w:sz="4" w:space="0" w:color="auto"/>
              <w:right w:val="single" w:sz="4" w:space="0" w:color="auto"/>
            </w:tcBorders>
            <w:vAlign w:val="center"/>
            <w:hideMark/>
          </w:tcPr>
          <w:p w14:paraId="34EC9F89" w14:textId="77777777" w:rsidR="00366F91" w:rsidRPr="008E2A3E" w:rsidRDefault="00366F91" w:rsidP="00366F91">
            <w:pPr>
              <w:spacing w:after="0" w:line="240" w:lineRule="auto"/>
              <w:jc w:val="center"/>
              <w:rPr>
                <w:rFonts w:ascii="Times New Roman" w:eastAsia="Times New Roman" w:hAnsi="Times New Roman" w:cs="Times New Roman"/>
                <w:color w:val="000000"/>
                <w:kern w:val="0"/>
                <w:szCs w:val="24"/>
                <w:lang w:eastAsia="en-IN"/>
                <w14:ligatures w14:val="none"/>
              </w:rPr>
            </w:pPr>
            <w:r w:rsidRPr="008E2A3E">
              <w:rPr>
                <w:rFonts w:ascii="Times New Roman" w:eastAsia="Times New Roman" w:hAnsi="Times New Roman" w:cs="Times New Roman"/>
                <w:color w:val="000000"/>
                <w:kern w:val="0"/>
                <w:szCs w:val="24"/>
                <w:lang w:eastAsia="en-IN"/>
                <w14:ligatures w14:val="none"/>
              </w:rPr>
              <w:t>-</w:t>
            </w:r>
          </w:p>
        </w:tc>
      </w:tr>
      <w:tr w:rsidR="00366F91" w:rsidRPr="008E2A3E" w14:paraId="09EF3A38" w14:textId="77777777" w:rsidTr="008E2A3E">
        <w:trPr>
          <w:trHeight w:val="280"/>
          <w:jc w:val="center"/>
        </w:trPr>
        <w:tc>
          <w:tcPr>
            <w:tcW w:w="1308" w:type="dxa"/>
            <w:tcBorders>
              <w:top w:val="nil"/>
              <w:left w:val="single" w:sz="4" w:space="0" w:color="auto"/>
              <w:bottom w:val="single" w:sz="4" w:space="0" w:color="auto"/>
              <w:right w:val="single" w:sz="4" w:space="0" w:color="auto"/>
            </w:tcBorders>
            <w:vAlign w:val="center"/>
            <w:hideMark/>
          </w:tcPr>
          <w:p w14:paraId="4977961F" w14:textId="77777777" w:rsidR="00366F91" w:rsidRPr="008E2A3E" w:rsidRDefault="00366F91" w:rsidP="00366F91">
            <w:pPr>
              <w:spacing w:after="0" w:line="240" w:lineRule="auto"/>
              <w:rPr>
                <w:rFonts w:ascii="Times New Roman" w:eastAsia="Times New Roman" w:hAnsi="Times New Roman" w:cs="Times New Roman"/>
                <w:color w:val="000000"/>
                <w:kern w:val="0"/>
                <w:szCs w:val="24"/>
                <w:lang w:eastAsia="en-IN"/>
                <w14:ligatures w14:val="none"/>
              </w:rPr>
            </w:pPr>
            <w:r w:rsidRPr="008E2A3E">
              <w:rPr>
                <w:rFonts w:ascii="Times New Roman" w:eastAsia="Times New Roman" w:hAnsi="Times New Roman" w:cs="Times New Roman"/>
                <w:color w:val="000000"/>
                <w:kern w:val="0"/>
                <w:szCs w:val="24"/>
                <w:lang w:eastAsia="en-IN"/>
                <w14:ligatures w14:val="none"/>
              </w:rPr>
              <w:t>Rajasthan</w:t>
            </w:r>
          </w:p>
        </w:tc>
        <w:tc>
          <w:tcPr>
            <w:tcW w:w="1294" w:type="dxa"/>
            <w:tcBorders>
              <w:top w:val="nil"/>
              <w:left w:val="nil"/>
              <w:bottom w:val="single" w:sz="4" w:space="0" w:color="auto"/>
              <w:right w:val="single" w:sz="4" w:space="0" w:color="auto"/>
            </w:tcBorders>
            <w:vAlign w:val="center"/>
            <w:hideMark/>
          </w:tcPr>
          <w:p w14:paraId="0BC700B3" w14:textId="77777777" w:rsidR="00366F91" w:rsidRPr="008E2A3E" w:rsidRDefault="00366F91" w:rsidP="00366F91">
            <w:pPr>
              <w:spacing w:after="0" w:line="240" w:lineRule="auto"/>
              <w:jc w:val="center"/>
              <w:rPr>
                <w:rFonts w:ascii="Times New Roman" w:eastAsia="Times New Roman" w:hAnsi="Times New Roman" w:cs="Times New Roman"/>
                <w:color w:val="000000"/>
                <w:kern w:val="0"/>
                <w:szCs w:val="24"/>
                <w:lang w:eastAsia="en-IN"/>
                <w14:ligatures w14:val="none"/>
              </w:rPr>
            </w:pPr>
            <w:r w:rsidRPr="008E2A3E">
              <w:rPr>
                <w:rFonts w:ascii="Times New Roman" w:eastAsia="Times New Roman" w:hAnsi="Times New Roman" w:cs="Times New Roman"/>
                <w:color w:val="000000"/>
                <w:kern w:val="0"/>
                <w:szCs w:val="24"/>
                <w:lang w:eastAsia="en-IN"/>
                <w14:ligatures w14:val="none"/>
              </w:rPr>
              <w:t>201.56</w:t>
            </w:r>
          </w:p>
        </w:tc>
        <w:tc>
          <w:tcPr>
            <w:tcW w:w="1699" w:type="dxa"/>
            <w:tcBorders>
              <w:top w:val="nil"/>
              <w:left w:val="nil"/>
              <w:bottom w:val="single" w:sz="4" w:space="0" w:color="auto"/>
              <w:right w:val="single" w:sz="4" w:space="0" w:color="auto"/>
            </w:tcBorders>
            <w:vAlign w:val="center"/>
            <w:hideMark/>
          </w:tcPr>
          <w:p w14:paraId="6C7299E8" w14:textId="6C3F2433" w:rsidR="00366F91" w:rsidRPr="008E2A3E" w:rsidRDefault="00366F91" w:rsidP="00366F91">
            <w:pPr>
              <w:spacing w:after="0" w:line="240" w:lineRule="auto"/>
              <w:jc w:val="center"/>
              <w:rPr>
                <w:rFonts w:ascii="Times New Roman" w:eastAsia="Times New Roman" w:hAnsi="Times New Roman" w:cs="Times New Roman"/>
                <w:color w:val="000000"/>
                <w:kern w:val="0"/>
                <w:szCs w:val="24"/>
                <w:lang w:eastAsia="en-IN"/>
                <w14:ligatures w14:val="none"/>
              </w:rPr>
            </w:pPr>
            <w:r w:rsidRPr="008E2A3E">
              <w:rPr>
                <w:rFonts w:ascii="Times New Roman" w:eastAsia="Times New Roman" w:hAnsi="Times New Roman" w:cs="Times New Roman"/>
                <w:color w:val="000000"/>
                <w:kern w:val="0"/>
                <w:szCs w:val="24"/>
                <w:lang w:eastAsia="en-IN"/>
                <w14:ligatures w14:val="none"/>
              </w:rPr>
              <w:t>33.6</w:t>
            </w:r>
            <w:r w:rsidR="00284859">
              <w:rPr>
                <w:rFonts w:ascii="Times New Roman" w:eastAsia="Times New Roman" w:hAnsi="Times New Roman" w:cs="Times New Roman"/>
                <w:color w:val="000000"/>
                <w:kern w:val="0"/>
                <w:szCs w:val="24"/>
                <w:lang w:eastAsia="en-IN"/>
                <w14:ligatures w14:val="none"/>
              </w:rPr>
              <w:t>0</w:t>
            </w:r>
          </w:p>
        </w:tc>
        <w:tc>
          <w:tcPr>
            <w:tcW w:w="1595" w:type="dxa"/>
            <w:tcBorders>
              <w:top w:val="nil"/>
              <w:left w:val="nil"/>
              <w:bottom w:val="single" w:sz="4" w:space="0" w:color="auto"/>
              <w:right w:val="single" w:sz="4" w:space="0" w:color="auto"/>
            </w:tcBorders>
            <w:vAlign w:val="center"/>
            <w:hideMark/>
          </w:tcPr>
          <w:p w14:paraId="0387530B" w14:textId="77777777" w:rsidR="00366F91" w:rsidRPr="008E2A3E" w:rsidRDefault="00366F91" w:rsidP="00366F91">
            <w:pPr>
              <w:spacing w:after="0" w:line="240" w:lineRule="auto"/>
              <w:jc w:val="center"/>
              <w:rPr>
                <w:rFonts w:ascii="Times New Roman" w:eastAsia="Times New Roman" w:hAnsi="Times New Roman" w:cs="Times New Roman"/>
                <w:color w:val="000000"/>
                <w:kern w:val="0"/>
                <w:szCs w:val="24"/>
                <w:lang w:eastAsia="en-IN"/>
                <w14:ligatures w14:val="none"/>
              </w:rPr>
            </w:pPr>
            <w:r w:rsidRPr="008E2A3E">
              <w:rPr>
                <w:rFonts w:ascii="Times New Roman" w:eastAsia="Times New Roman" w:hAnsi="Times New Roman" w:cs="Times New Roman"/>
                <w:color w:val="000000"/>
                <w:kern w:val="0"/>
                <w:szCs w:val="24"/>
                <w:lang w:eastAsia="en-IN"/>
                <w14:ligatures w14:val="none"/>
              </w:rPr>
              <w:t>16.7</w:t>
            </w:r>
          </w:p>
        </w:tc>
        <w:tc>
          <w:tcPr>
            <w:tcW w:w="1281" w:type="dxa"/>
            <w:tcBorders>
              <w:top w:val="nil"/>
              <w:left w:val="nil"/>
              <w:bottom w:val="single" w:sz="4" w:space="0" w:color="auto"/>
              <w:right w:val="single" w:sz="4" w:space="0" w:color="auto"/>
            </w:tcBorders>
            <w:vAlign w:val="center"/>
            <w:hideMark/>
          </w:tcPr>
          <w:p w14:paraId="798986EA" w14:textId="77777777" w:rsidR="00366F91" w:rsidRPr="008E2A3E" w:rsidRDefault="00366F91" w:rsidP="00366F91">
            <w:pPr>
              <w:spacing w:after="0" w:line="240" w:lineRule="auto"/>
              <w:jc w:val="center"/>
              <w:rPr>
                <w:rFonts w:ascii="Times New Roman" w:eastAsia="Times New Roman" w:hAnsi="Times New Roman" w:cs="Times New Roman"/>
                <w:color w:val="000000"/>
                <w:kern w:val="0"/>
                <w:szCs w:val="24"/>
                <w:lang w:eastAsia="en-IN"/>
                <w14:ligatures w14:val="none"/>
              </w:rPr>
            </w:pPr>
            <w:r w:rsidRPr="008E2A3E">
              <w:rPr>
                <w:rFonts w:ascii="Times New Roman" w:eastAsia="Times New Roman" w:hAnsi="Times New Roman" w:cs="Times New Roman"/>
                <w:color w:val="000000"/>
                <w:kern w:val="0"/>
                <w:szCs w:val="24"/>
                <w:lang w:eastAsia="en-IN"/>
                <w14:ligatures w14:val="none"/>
              </w:rPr>
              <w:t>5.3</w:t>
            </w:r>
          </w:p>
        </w:tc>
        <w:tc>
          <w:tcPr>
            <w:tcW w:w="1211" w:type="dxa"/>
            <w:tcBorders>
              <w:top w:val="nil"/>
              <w:left w:val="nil"/>
              <w:bottom w:val="single" w:sz="4" w:space="0" w:color="auto"/>
              <w:right w:val="single" w:sz="4" w:space="0" w:color="auto"/>
            </w:tcBorders>
            <w:vAlign w:val="center"/>
            <w:hideMark/>
          </w:tcPr>
          <w:p w14:paraId="2C09A882" w14:textId="77777777" w:rsidR="00366F91" w:rsidRPr="008E2A3E" w:rsidRDefault="00366F91" w:rsidP="00366F91">
            <w:pPr>
              <w:spacing w:after="0" w:line="240" w:lineRule="auto"/>
              <w:jc w:val="center"/>
              <w:rPr>
                <w:rFonts w:ascii="Times New Roman" w:eastAsia="Times New Roman" w:hAnsi="Times New Roman" w:cs="Times New Roman"/>
                <w:color w:val="000000"/>
                <w:kern w:val="0"/>
                <w:szCs w:val="24"/>
                <w:lang w:eastAsia="en-IN"/>
                <w14:ligatures w14:val="none"/>
              </w:rPr>
            </w:pPr>
            <w:r w:rsidRPr="008E2A3E">
              <w:rPr>
                <w:rFonts w:ascii="Times New Roman" w:eastAsia="Times New Roman" w:hAnsi="Times New Roman" w:cs="Times New Roman"/>
                <w:color w:val="000000"/>
                <w:kern w:val="0"/>
                <w:szCs w:val="24"/>
                <w:lang w:eastAsia="en-IN"/>
                <w14:ligatures w14:val="none"/>
              </w:rPr>
              <w:t>23.51</w:t>
            </w:r>
          </w:p>
        </w:tc>
        <w:tc>
          <w:tcPr>
            <w:tcW w:w="1213" w:type="dxa"/>
            <w:tcBorders>
              <w:top w:val="nil"/>
              <w:left w:val="nil"/>
              <w:bottom w:val="single" w:sz="4" w:space="0" w:color="auto"/>
              <w:right w:val="single" w:sz="4" w:space="0" w:color="auto"/>
            </w:tcBorders>
            <w:vAlign w:val="center"/>
            <w:hideMark/>
          </w:tcPr>
          <w:p w14:paraId="0992537A" w14:textId="77777777" w:rsidR="00366F91" w:rsidRPr="008E2A3E" w:rsidRDefault="00366F91" w:rsidP="00366F91">
            <w:pPr>
              <w:spacing w:after="0" w:line="240" w:lineRule="auto"/>
              <w:jc w:val="center"/>
              <w:rPr>
                <w:rFonts w:ascii="Times New Roman" w:eastAsia="Times New Roman" w:hAnsi="Times New Roman" w:cs="Times New Roman"/>
                <w:color w:val="000000"/>
                <w:kern w:val="0"/>
                <w:szCs w:val="24"/>
                <w:lang w:eastAsia="en-IN"/>
                <w14:ligatures w14:val="none"/>
              </w:rPr>
            </w:pPr>
            <w:r w:rsidRPr="008E2A3E">
              <w:rPr>
                <w:rFonts w:ascii="Times New Roman" w:eastAsia="Times New Roman" w:hAnsi="Times New Roman" w:cs="Times New Roman"/>
                <w:color w:val="000000"/>
                <w:kern w:val="0"/>
                <w:szCs w:val="24"/>
                <w:lang w:eastAsia="en-IN"/>
                <w14:ligatures w14:val="none"/>
              </w:rPr>
              <w:t>11.7</w:t>
            </w:r>
          </w:p>
        </w:tc>
        <w:tc>
          <w:tcPr>
            <w:tcW w:w="1281" w:type="dxa"/>
            <w:tcBorders>
              <w:top w:val="nil"/>
              <w:left w:val="nil"/>
              <w:bottom w:val="single" w:sz="4" w:space="0" w:color="auto"/>
              <w:right w:val="single" w:sz="4" w:space="0" w:color="auto"/>
            </w:tcBorders>
            <w:vAlign w:val="center"/>
            <w:hideMark/>
          </w:tcPr>
          <w:p w14:paraId="4D993767" w14:textId="77777777" w:rsidR="00366F91" w:rsidRPr="008E2A3E" w:rsidRDefault="00366F91" w:rsidP="00366F91">
            <w:pPr>
              <w:spacing w:after="0" w:line="240" w:lineRule="auto"/>
              <w:jc w:val="center"/>
              <w:rPr>
                <w:rFonts w:ascii="Times New Roman" w:eastAsia="Times New Roman" w:hAnsi="Times New Roman" w:cs="Times New Roman"/>
                <w:color w:val="000000"/>
                <w:kern w:val="0"/>
                <w:szCs w:val="24"/>
                <w:lang w:eastAsia="en-IN"/>
                <w14:ligatures w14:val="none"/>
              </w:rPr>
            </w:pPr>
            <w:r w:rsidRPr="008E2A3E">
              <w:rPr>
                <w:rFonts w:ascii="Times New Roman" w:eastAsia="Times New Roman" w:hAnsi="Times New Roman" w:cs="Times New Roman"/>
                <w:color w:val="000000"/>
                <w:kern w:val="0"/>
                <w:szCs w:val="24"/>
                <w:lang w:eastAsia="en-IN"/>
                <w14:ligatures w14:val="none"/>
              </w:rPr>
              <w:t>8.1</w:t>
            </w:r>
          </w:p>
        </w:tc>
      </w:tr>
      <w:tr w:rsidR="00366F91" w:rsidRPr="008E2A3E" w14:paraId="25C2D133" w14:textId="77777777" w:rsidTr="008E2A3E">
        <w:trPr>
          <w:trHeight w:val="280"/>
          <w:jc w:val="center"/>
        </w:trPr>
        <w:tc>
          <w:tcPr>
            <w:tcW w:w="1308" w:type="dxa"/>
            <w:tcBorders>
              <w:top w:val="nil"/>
              <w:left w:val="single" w:sz="4" w:space="0" w:color="auto"/>
              <w:bottom w:val="single" w:sz="4" w:space="0" w:color="auto"/>
              <w:right w:val="single" w:sz="4" w:space="0" w:color="auto"/>
            </w:tcBorders>
            <w:vAlign w:val="center"/>
            <w:hideMark/>
          </w:tcPr>
          <w:p w14:paraId="39993AFB" w14:textId="77777777" w:rsidR="00366F91" w:rsidRPr="008E2A3E" w:rsidRDefault="00366F91" w:rsidP="00366F91">
            <w:pPr>
              <w:spacing w:after="0" w:line="240" w:lineRule="auto"/>
              <w:rPr>
                <w:rFonts w:ascii="Times New Roman" w:eastAsia="Times New Roman" w:hAnsi="Times New Roman" w:cs="Times New Roman"/>
                <w:color w:val="000000"/>
                <w:kern w:val="0"/>
                <w:szCs w:val="24"/>
                <w:lang w:eastAsia="en-IN"/>
                <w14:ligatures w14:val="none"/>
              </w:rPr>
            </w:pPr>
            <w:r w:rsidRPr="008E2A3E">
              <w:rPr>
                <w:rFonts w:ascii="Times New Roman" w:eastAsia="Times New Roman" w:hAnsi="Times New Roman" w:cs="Times New Roman"/>
                <w:color w:val="000000"/>
                <w:kern w:val="0"/>
                <w:szCs w:val="24"/>
                <w:lang w:eastAsia="en-IN"/>
                <w14:ligatures w14:val="none"/>
              </w:rPr>
              <w:t>Tamil Nadu</w:t>
            </w:r>
          </w:p>
        </w:tc>
        <w:tc>
          <w:tcPr>
            <w:tcW w:w="1294" w:type="dxa"/>
            <w:tcBorders>
              <w:top w:val="nil"/>
              <w:left w:val="nil"/>
              <w:bottom w:val="single" w:sz="4" w:space="0" w:color="auto"/>
              <w:right w:val="single" w:sz="4" w:space="0" w:color="auto"/>
            </w:tcBorders>
            <w:vAlign w:val="center"/>
            <w:hideMark/>
          </w:tcPr>
          <w:p w14:paraId="46787158" w14:textId="77777777" w:rsidR="00366F91" w:rsidRPr="008E2A3E" w:rsidRDefault="00366F91" w:rsidP="00366F91">
            <w:pPr>
              <w:spacing w:after="0" w:line="240" w:lineRule="auto"/>
              <w:jc w:val="center"/>
              <w:rPr>
                <w:rFonts w:ascii="Times New Roman" w:eastAsia="Times New Roman" w:hAnsi="Times New Roman" w:cs="Times New Roman"/>
                <w:color w:val="000000"/>
                <w:kern w:val="0"/>
                <w:szCs w:val="24"/>
                <w:lang w:eastAsia="en-IN"/>
                <w14:ligatures w14:val="none"/>
              </w:rPr>
            </w:pPr>
            <w:r w:rsidRPr="008E2A3E">
              <w:rPr>
                <w:rFonts w:ascii="Times New Roman" w:eastAsia="Times New Roman" w:hAnsi="Times New Roman" w:cs="Times New Roman"/>
                <w:color w:val="000000"/>
                <w:kern w:val="0"/>
                <w:szCs w:val="24"/>
                <w:lang w:eastAsia="en-IN"/>
                <w14:ligatures w14:val="none"/>
              </w:rPr>
              <w:t>336.87</w:t>
            </w:r>
          </w:p>
        </w:tc>
        <w:tc>
          <w:tcPr>
            <w:tcW w:w="1699" w:type="dxa"/>
            <w:tcBorders>
              <w:top w:val="nil"/>
              <w:left w:val="nil"/>
              <w:bottom w:val="single" w:sz="4" w:space="0" w:color="auto"/>
              <w:right w:val="single" w:sz="4" w:space="0" w:color="auto"/>
            </w:tcBorders>
            <w:vAlign w:val="center"/>
            <w:hideMark/>
          </w:tcPr>
          <w:p w14:paraId="15A125B9" w14:textId="77777777" w:rsidR="00366F91" w:rsidRPr="008E2A3E" w:rsidRDefault="00366F91" w:rsidP="00366F91">
            <w:pPr>
              <w:spacing w:after="0" w:line="240" w:lineRule="auto"/>
              <w:jc w:val="center"/>
              <w:rPr>
                <w:rFonts w:ascii="Times New Roman" w:eastAsia="Times New Roman" w:hAnsi="Times New Roman" w:cs="Times New Roman"/>
                <w:color w:val="000000"/>
                <w:kern w:val="0"/>
                <w:szCs w:val="24"/>
                <w:lang w:eastAsia="en-IN"/>
                <w14:ligatures w14:val="none"/>
              </w:rPr>
            </w:pPr>
            <w:r w:rsidRPr="008E2A3E">
              <w:rPr>
                <w:rFonts w:ascii="Times New Roman" w:eastAsia="Times New Roman" w:hAnsi="Times New Roman" w:cs="Times New Roman"/>
                <w:color w:val="000000"/>
                <w:kern w:val="0"/>
                <w:szCs w:val="24"/>
                <w:lang w:eastAsia="en-IN"/>
                <w14:ligatures w14:val="none"/>
              </w:rPr>
              <w:t>60.67</w:t>
            </w:r>
          </w:p>
        </w:tc>
        <w:tc>
          <w:tcPr>
            <w:tcW w:w="1595" w:type="dxa"/>
            <w:tcBorders>
              <w:top w:val="nil"/>
              <w:left w:val="nil"/>
              <w:bottom w:val="single" w:sz="4" w:space="0" w:color="auto"/>
              <w:right w:val="single" w:sz="4" w:space="0" w:color="auto"/>
            </w:tcBorders>
            <w:vAlign w:val="center"/>
            <w:hideMark/>
          </w:tcPr>
          <w:p w14:paraId="6230DB22" w14:textId="236B9C11" w:rsidR="00366F91" w:rsidRPr="008E2A3E" w:rsidRDefault="00366F91" w:rsidP="00366F91">
            <w:pPr>
              <w:spacing w:after="0" w:line="240" w:lineRule="auto"/>
              <w:jc w:val="center"/>
              <w:rPr>
                <w:rFonts w:ascii="Times New Roman" w:eastAsia="Times New Roman" w:hAnsi="Times New Roman" w:cs="Times New Roman"/>
                <w:color w:val="000000"/>
                <w:kern w:val="0"/>
                <w:szCs w:val="24"/>
                <w:lang w:eastAsia="en-IN"/>
                <w14:ligatures w14:val="none"/>
              </w:rPr>
            </w:pPr>
            <w:r w:rsidRPr="008E2A3E">
              <w:rPr>
                <w:rFonts w:ascii="Times New Roman" w:eastAsia="Times New Roman" w:hAnsi="Times New Roman" w:cs="Times New Roman"/>
                <w:color w:val="000000"/>
                <w:kern w:val="0"/>
                <w:szCs w:val="24"/>
                <w:lang w:eastAsia="en-IN"/>
                <w14:ligatures w14:val="none"/>
              </w:rPr>
              <w:t>18</w:t>
            </w:r>
            <w:r w:rsidR="00B52716">
              <w:rPr>
                <w:rFonts w:ascii="Times New Roman" w:eastAsia="Times New Roman" w:hAnsi="Times New Roman" w:cs="Times New Roman"/>
                <w:color w:val="000000"/>
                <w:kern w:val="0"/>
                <w:szCs w:val="24"/>
                <w:lang w:eastAsia="en-IN"/>
                <w14:ligatures w14:val="none"/>
              </w:rPr>
              <w:t>.0</w:t>
            </w:r>
          </w:p>
        </w:tc>
        <w:tc>
          <w:tcPr>
            <w:tcW w:w="1281" w:type="dxa"/>
            <w:tcBorders>
              <w:top w:val="nil"/>
              <w:left w:val="nil"/>
              <w:bottom w:val="single" w:sz="4" w:space="0" w:color="auto"/>
              <w:right w:val="single" w:sz="4" w:space="0" w:color="auto"/>
            </w:tcBorders>
            <w:vAlign w:val="center"/>
            <w:hideMark/>
          </w:tcPr>
          <w:p w14:paraId="075398A6" w14:textId="77777777" w:rsidR="00366F91" w:rsidRPr="008E2A3E" w:rsidRDefault="00366F91" w:rsidP="00366F91">
            <w:pPr>
              <w:spacing w:after="0" w:line="240" w:lineRule="auto"/>
              <w:jc w:val="center"/>
              <w:rPr>
                <w:rFonts w:ascii="Times New Roman" w:eastAsia="Times New Roman" w:hAnsi="Times New Roman" w:cs="Times New Roman"/>
                <w:color w:val="000000"/>
                <w:kern w:val="0"/>
                <w:szCs w:val="24"/>
                <w:lang w:eastAsia="en-IN"/>
                <w14:ligatures w14:val="none"/>
              </w:rPr>
            </w:pPr>
            <w:r w:rsidRPr="008E2A3E">
              <w:rPr>
                <w:rFonts w:ascii="Times New Roman" w:eastAsia="Times New Roman" w:hAnsi="Times New Roman" w:cs="Times New Roman"/>
                <w:color w:val="000000"/>
                <w:kern w:val="0"/>
                <w:szCs w:val="24"/>
                <w:lang w:eastAsia="en-IN"/>
                <w14:ligatures w14:val="none"/>
              </w:rPr>
              <w:t>9.6</w:t>
            </w:r>
          </w:p>
        </w:tc>
        <w:tc>
          <w:tcPr>
            <w:tcW w:w="1211" w:type="dxa"/>
            <w:tcBorders>
              <w:top w:val="nil"/>
              <w:left w:val="nil"/>
              <w:bottom w:val="single" w:sz="4" w:space="0" w:color="auto"/>
              <w:right w:val="single" w:sz="4" w:space="0" w:color="auto"/>
            </w:tcBorders>
            <w:vAlign w:val="center"/>
            <w:hideMark/>
          </w:tcPr>
          <w:p w14:paraId="2D13BDFF" w14:textId="77777777" w:rsidR="00366F91" w:rsidRPr="008E2A3E" w:rsidRDefault="00366F91" w:rsidP="00366F91">
            <w:pPr>
              <w:spacing w:after="0" w:line="240" w:lineRule="auto"/>
              <w:jc w:val="center"/>
              <w:rPr>
                <w:rFonts w:ascii="Times New Roman" w:eastAsia="Times New Roman" w:hAnsi="Times New Roman" w:cs="Times New Roman"/>
                <w:color w:val="000000"/>
                <w:kern w:val="0"/>
                <w:szCs w:val="24"/>
                <w:lang w:eastAsia="en-IN"/>
                <w14:ligatures w14:val="none"/>
              </w:rPr>
            </w:pPr>
            <w:r w:rsidRPr="008E2A3E">
              <w:rPr>
                <w:rFonts w:ascii="Times New Roman" w:eastAsia="Times New Roman" w:hAnsi="Times New Roman" w:cs="Times New Roman"/>
                <w:color w:val="000000"/>
                <w:kern w:val="0"/>
                <w:szCs w:val="24"/>
                <w:lang w:eastAsia="en-IN"/>
                <w14:ligatures w14:val="none"/>
              </w:rPr>
              <w:t>2.52</w:t>
            </w:r>
          </w:p>
        </w:tc>
        <w:tc>
          <w:tcPr>
            <w:tcW w:w="1213" w:type="dxa"/>
            <w:tcBorders>
              <w:top w:val="nil"/>
              <w:left w:val="nil"/>
              <w:bottom w:val="single" w:sz="4" w:space="0" w:color="auto"/>
              <w:right w:val="single" w:sz="4" w:space="0" w:color="auto"/>
            </w:tcBorders>
            <w:vAlign w:val="center"/>
            <w:hideMark/>
          </w:tcPr>
          <w:p w14:paraId="696CA11F" w14:textId="77777777" w:rsidR="00366F91" w:rsidRPr="008E2A3E" w:rsidRDefault="00366F91" w:rsidP="00366F91">
            <w:pPr>
              <w:spacing w:after="0" w:line="240" w:lineRule="auto"/>
              <w:jc w:val="center"/>
              <w:rPr>
                <w:rFonts w:ascii="Times New Roman" w:eastAsia="Times New Roman" w:hAnsi="Times New Roman" w:cs="Times New Roman"/>
                <w:color w:val="000000"/>
                <w:kern w:val="0"/>
                <w:szCs w:val="24"/>
                <w:lang w:eastAsia="en-IN"/>
                <w14:ligatures w14:val="none"/>
              </w:rPr>
            </w:pPr>
            <w:r w:rsidRPr="008E2A3E">
              <w:rPr>
                <w:rFonts w:ascii="Times New Roman" w:eastAsia="Times New Roman" w:hAnsi="Times New Roman" w:cs="Times New Roman"/>
                <w:color w:val="000000"/>
                <w:kern w:val="0"/>
                <w:szCs w:val="24"/>
                <w:lang w:eastAsia="en-IN"/>
                <w14:ligatures w14:val="none"/>
              </w:rPr>
              <w:t>0.7</w:t>
            </w:r>
          </w:p>
        </w:tc>
        <w:tc>
          <w:tcPr>
            <w:tcW w:w="1281" w:type="dxa"/>
            <w:tcBorders>
              <w:top w:val="nil"/>
              <w:left w:val="nil"/>
              <w:bottom w:val="single" w:sz="4" w:space="0" w:color="auto"/>
              <w:right w:val="single" w:sz="4" w:space="0" w:color="auto"/>
            </w:tcBorders>
            <w:vAlign w:val="center"/>
            <w:hideMark/>
          </w:tcPr>
          <w:p w14:paraId="076E1907" w14:textId="77777777" w:rsidR="00366F91" w:rsidRPr="008E2A3E" w:rsidRDefault="00366F91" w:rsidP="00366F91">
            <w:pPr>
              <w:spacing w:after="0" w:line="240" w:lineRule="auto"/>
              <w:jc w:val="center"/>
              <w:rPr>
                <w:rFonts w:ascii="Times New Roman" w:eastAsia="Times New Roman" w:hAnsi="Times New Roman" w:cs="Times New Roman"/>
                <w:color w:val="000000"/>
                <w:kern w:val="0"/>
                <w:szCs w:val="24"/>
                <w:lang w:eastAsia="en-IN"/>
                <w14:ligatures w14:val="none"/>
              </w:rPr>
            </w:pPr>
            <w:r w:rsidRPr="008E2A3E">
              <w:rPr>
                <w:rFonts w:ascii="Times New Roman" w:eastAsia="Times New Roman" w:hAnsi="Times New Roman" w:cs="Times New Roman"/>
                <w:color w:val="000000"/>
                <w:kern w:val="0"/>
                <w:szCs w:val="24"/>
                <w:lang w:eastAsia="en-IN"/>
                <w14:ligatures w14:val="none"/>
              </w:rPr>
              <w:t>0.9</w:t>
            </w:r>
          </w:p>
        </w:tc>
      </w:tr>
      <w:tr w:rsidR="00366F91" w:rsidRPr="008E2A3E" w14:paraId="2FE893DF" w14:textId="77777777" w:rsidTr="008E2A3E">
        <w:trPr>
          <w:trHeight w:val="280"/>
          <w:jc w:val="center"/>
        </w:trPr>
        <w:tc>
          <w:tcPr>
            <w:tcW w:w="1308" w:type="dxa"/>
            <w:tcBorders>
              <w:top w:val="nil"/>
              <w:left w:val="single" w:sz="4" w:space="0" w:color="auto"/>
              <w:bottom w:val="single" w:sz="4" w:space="0" w:color="auto"/>
              <w:right w:val="single" w:sz="4" w:space="0" w:color="auto"/>
            </w:tcBorders>
            <w:vAlign w:val="center"/>
            <w:hideMark/>
          </w:tcPr>
          <w:p w14:paraId="3DE05916" w14:textId="77777777" w:rsidR="00366F91" w:rsidRPr="008E2A3E" w:rsidRDefault="00366F91" w:rsidP="00366F91">
            <w:pPr>
              <w:spacing w:after="0" w:line="240" w:lineRule="auto"/>
              <w:rPr>
                <w:rFonts w:ascii="Times New Roman" w:eastAsia="Times New Roman" w:hAnsi="Times New Roman" w:cs="Times New Roman"/>
                <w:color w:val="000000"/>
                <w:kern w:val="0"/>
                <w:szCs w:val="24"/>
                <w:lang w:eastAsia="en-IN"/>
                <w14:ligatures w14:val="none"/>
              </w:rPr>
            </w:pPr>
            <w:r w:rsidRPr="008E2A3E">
              <w:rPr>
                <w:rFonts w:ascii="Times New Roman" w:eastAsia="Times New Roman" w:hAnsi="Times New Roman" w:cs="Times New Roman"/>
                <w:color w:val="000000"/>
                <w:kern w:val="0"/>
                <w:szCs w:val="24"/>
                <w:lang w:eastAsia="en-IN"/>
                <w14:ligatures w14:val="none"/>
              </w:rPr>
              <w:t>Uttar Pradesh</w:t>
            </w:r>
          </w:p>
        </w:tc>
        <w:tc>
          <w:tcPr>
            <w:tcW w:w="1294" w:type="dxa"/>
            <w:tcBorders>
              <w:top w:val="nil"/>
              <w:left w:val="nil"/>
              <w:bottom w:val="single" w:sz="4" w:space="0" w:color="auto"/>
              <w:right w:val="single" w:sz="4" w:space="0" w:color="auto"/>
            </w:tcBorders>
            <w:vAlign w:val="center"/>
            <w:hideMark/>
          </w:tcPr>
          <w:p w14:paraId="62C66660" w14:textId="77777777" w:rsidR="00366F91" w:rsidRPr="008E2A3E" w:rsidRDefault="00366F91" w:rsidP="00366F91">
            <w:pPr>
              <w:spacing w:after="0" w:line="240" w:lineRule="auto"/>
              <w:jc w:val="center"/>
              <w:rPr>
                <w:rFonts w:ascii="Times New Roman" w:eastAsia="Times New Roman" w:hAnsi="Times New Roman" w:cs="Times New Roman"/>
                <w:color w:val="000000"/>
                <w:kern w:val="0"/>
                <w:szCs w:val="24"/>
                <w:lang w:eastAsia="en-IN"/>
                <w14:ligatures w14:val="none"/>
              </w:rPr>
            </w:pPr>
            <w:r w:rsidRPr="008E2A3E">
              <w:rPr>
                <w:rFonts w:ascii="Times New Roman" w:eastAsia="Times New Roman" w:hAnsi="Times New Roman" w:cs="Times New Roman"/>
                <w:color w:val="000000"/>
                <w:kern w:val="0"/>
                <w:szCs w:val="24"/>
                <w:lang w:eastAsia="en-IN"/>
                <w14:ligatures w14:val="none"/>
              </w:rPr>
              <w:t>737.46</w:t>
            </w:r>
          </w:p>
        </w:tc>
        <w:tc>
          <w:tcPr>
            <w:tcW w:w="1699" w:type="dxa"/>
            <w:tcBorders>
              <w:top w:val="nil"/>
              <w:left w:val="nil"/>
              <w:bottom w:val="single" w:sz="4" w:space="0" w:color="auto"/>
              <w:right w:val="single" w:sz="4" w:space="0" w:color="auto"/>
            </w:tcBorders>
            <w:vAlign w:val="center"/>
            <w:hideMark/>
          </w:tcPr>
          <w:p w14:paraId="7052525B" w14:textId="31CBA329" w:rsidR="00366F91" w:rsidRPr="008E2A3E" w:rsidRDefault="00366F91" w:rsidP="00366F91">
            <w:pPr>
              <w:spacing w:after="0" w:line="240" w:lineRule="auto"/>
              <w:jc w:val="center"/>
              <w:rPr>
                <w:rFonts w:ascii="Times New Roman" w:eastAsia="Times New Roman" w:hAnsi="Times New Roman" w:cs="Times New Roman"/>
                <w:color w:val="000000"/>
                <w:kern w:val="0"/>
                <w:szCs w:val="24"/>
                <w:lang w:eastAsia="en-IN"/>
                <w14:ligatures w14:val="none"/>
              </w:rPr>
            </w:pPr>
            <w:r w:rsidRPr="008E2A3E">
              <w:rPr>
                <w:rFonts w:ascii="Times New Roman" w:eastAsia="Times New Roman" w:hAnsi="Times New Roman" w:cs="Times New Roman"/>
                <w:color w:val="000000"/>
                <w:kern w:val="0"/>
                <w:szCs w:val="24"/>
                <w:lang w:eastAsia="en-IN"/>
                <w14:ligatures w14:val="none"/>
              </w:rPr>
              <w:t>154</w:t>
            </w:r>
            <w:r w:rsidR="00284859">
              <w:rPr>
                <w:rFonts w:ascii="Times New Roman" w:eastAsia="Times New Roman" w:hAnsi="Times New Roman" w:cs="Times New Roman"/>
                <w:color w:val="000000"/>
                <w:kern w:val="0"/>
                <w:szCs w:val="24"/>
                <w:lang w:eastAsia="en-IN"/>
                <w14:ligatures w14:val="none"/>
              </w:rPr>
              <w:t>.00</w:t>
            </w:r>
          </w:p>
        </w:tc>
        <w:tc>
          <w:tcPr>
            <w:tcW w:w="1595" w:type="dxa"/>
            <w:tcBorders>
              <w:top w:val="nil"/>
              <w:left w:val="nil"/>
              <w:bottom w:val="single" w:sz="4" w:space="0" w:color="auto"/>
              <w:right w:val="single" w:sz="4" w:space="0" w:color="auto"/>
            </w:tcBorders>
            <w:vAlign w:val="center"/>
            <w:hideMark/>
          </w:tcPr>
          <w:p w14:paraId="212E52F7" w14:textId="77777777" w:rsidR="00366F91" w:rsidRPr="008E2A3E" w:rsidRDefault="00366F91" w:rsidP="00366F91">
            <w:pPr>
              <w:spacing w:after="0" w:line="240" w:lineRule="auto"/>
              <w:jc w:val="center"/>
              <w:rPr>
                <w:rFonts w:ascii="Times New Roman" w:eastAsia="Times New Roman" w:hAnsi="Times New Roman" w:cs="Times New Roman"/>
                <w:color w:val="000000"/>
                <w:kern w:val="0"/>
                <w:szCs w:val="24"/>
                <w:lang w:eastAsia="en-IN"/>
                <w14:ligatures w14:val="none"/>
              </w:rPr>
            </w:pPr>
            <w:r w:rsidRPr="008E2A3E">
              <w:rPr>
                <w:rFonts w:ascii="Times New Roman" w:eastAsia="Times New Roman" w:hAnsi="Times New Roman" w:cs="Times New Roman"/>
                <w:color w:val="000000"/>
                <w:kern w:val="0"/>
                <w:szCs w:val="24"/>
                <w:lang w:eastAsia="en-IN"/>
                <w14:ligatures w14:val="none"/>
              </w:rPr>
              <w:t>20.9</w:t>
            </w:r>
          </w:p>
        </w:tc>
        <w:tc>
          <w:tcPr>
            <w:tcW w:w="1281" w:type="dxa"/>
            <w:tcBorders>
              <w:top w:val="nil"/>
              <w:left w:val="nil"/>
              <w:bottom w:val="single" w:sz="4" w:space="0" w:color="auto"/>
              <w:right w:val="single" w:sz="4" w:space="0" w:color="auto"/>
            </w:tcBorders>
            <w:vAlign w:val="center"/>
            <w:hideMark/>
          </w:tcPr>
          <w:p w14:paraId="09318269" w14:textId="77777777" w:rsidR="00366F91" w:rsidRPr="008E2A3E" w:rsidRDefault="00366F91" w:rsidP="00366F91">
            <w:pPr>
              <w:spacing w:after="0" w:line="240" w:lineRule="auto"/>
              <w:jc w:val="center"/>
              <w:rPr>
                <w:rFonts w:ascii="Times New Roman" w:eastAsia="Times New Roman" w:hAnsi="Times New Roman" w:cs="Times New Roman"/>
                <w:color w:val="000000"/>
                <w:kern w:val="0"/>
                <w:szCs w:val="24"/>
                <w:lang w:eastAsia="en-IN"/>
                <w14:ligatures w14:val="none"/>
              </w:rPr>
            </w:pPr>
            <w:r w:rsidRPr="008E2A3E">
              <w:rPr>
                <w:rFonts w:ascii="Times New Roman" w:eastAsia="Times New Roman" w:hAnsi="Times New Roman" w:cs="Times New Roman"/>
                <w:color w:val="000000"/>
                <w:kern w:val="0"/>
                <w:szCs w:val="24"/>
                <w:lang w:eastAsia="en-IN"/>
                <w14:ligatures w14:val="none"/>
              </w:rPr>
              <w:t>24.3</w:t>
            </w:r>
          </w:p>
        </w:tc>
        <w:tc>
          <w:tcPr>
            <w:tcW w:w="1211" w:type="dxa"/>
            <w:tcBorders>
              <w:top w:val="nil"/>
              <w:left w:val="nil"/>
              <w:bottom w:val="single" w:sz="4" w:space="0" w:color="auto"/>
              <w:right w:val="single" w:sz="4" w:space="0" w:color="auto"/>
            </w:tcBorders>
            <w:vAlign w:val="center"/>
            <w:hideMark/>
          </w:tcPr>
          <w:p w14:paraId="4B649DDB" w14:textId="77777777" w:rsidR="00366F91" w:rsidRPr="008E2A3E" w:rsidRDefault="00366F91" w:rsidP="00366F91">
            <w:pPr>
              <w:spacing w:after="0" w:line="240" w:lineRule="auto"/>
              <w:jc w:val="center"/>
              <w:rPr>
                <w:rFonts w:ascii="Times New Roman" w:eastAsia="Times New Roman" w:hAnsi="Times New Roman" w:cs="Times New Roman"/>
                <w:color w:val="000000"/>
                <w:kern w:val="0"/>
                <w:szCs w:val="24"/>
                <w:lang w:eastAsia="en-IN"/>
                <w14:ligatures w14:val="none"/>
              </w:rPr>
            </w:pPr>
            <w:r w:rsidRPr="008E2A3E">
              <w:rPr>
                <w:rFonts w:ascii="Times New Roman" w:eastAsia="Times New Roman" w:hAnsi="Times New Roman" w:cs="Times New Roman"/>
                <w:color w:val="000000"/>
                <w:kern w:val="0"/>
                <w:szCs w:val="24"/>
                <w:lang w:eastAsia="en-IN"/>
                <w14:ligatures w14:val="none"/>
              </w:rPr>
              <w:t>-</w:t>
            </w:r>
          </w:p>
        </w:tc>
        <w:tc>
          <w:tcPr>
            <w:tcW w:w="1213" w:type="dxa"/>
            <w:tcBorders>
              <w:top w:val="nil"/>
              <w:left w:val="nil"/>
              <w:bottom w:val="single" w:sz="4" w:space="0" w:color="auto"/>
              <w:right w:val="single" w:sz="4" w:space="0" w:color="auto"/>
            </w:tcBorders>
            <w:vAlign w:val="center"/>
            <w:hideMark/>
          </w:tcPr>
          <w:p w14:paraId="6E08BEBC" w14:textId="77777777" w:rsidR="00366F91" w:rsidRPr="008E2A3E" w:rsidRDefault="00366F91" w:rsidP="00366F91">
            <w:pPr>
              <w:spacing w:after="0" w:line="240" w:lineRule="auto"/>
              <w:jc w:val="center"/>
              <w:rPr>
                <w:rFonts w:ascii="Times New Roman" w:eastAsia="Times New Roman" w:hAnsi="Times New Roman" w:cs="Times New Roman"/>
                <w:color w:val="000000"/>
                <w:kern w:val="0"/>
                <w:szCs w:val="24"/>
                <w:lang w:eastAsia="en-IN"/>
                <w14:ligatures w14:val="none"/>
              </w:rPr>
            </w:pPr>
            <w:r w:rsidRPr="008E2A3E">
              <w:rPr>
                <w:rFonts w:ascii="Times New Roman" w:eastAsia="Times New Roman" w:hAnsi="Times New Roman" w:cs="Times New Roman"/>
                <w:color w:val="000000"/>
                <w:kern w:val="0"/>
                <w:szCs w:val="24"/>
                <w:lang w:eastAsia="en-IN"/>
                <w14:ligatures w14:val="none"/>
              </w:rPr>
              <w:t>-</w:t>
            </w:r>
          </w:p>
        </w:tc>
        <w:tc>
          <w:tcPr>
            <w:tcW w:w="1281" w:type="dxa"/>
            <w:tcBorders>
              <w:top w:val="nil"/>
              <w:left w:val="nil"/>
              <w:bottom w:val="single" w:sz="4" w:space="0" w:color="auto"/>
              <w:right w:val="single" w:sz="4" w:space="0" w:color="auto"/>
            </w:tcBorders>
            <w:vAlign w:val="center"/>
            <w:hideMark/>
          </w:tcPr>
          <w:p w14:paraId="608A2CE1" w14:textId="77777777" w:rsidR="00366F91" w:rsidRPr="008E2A3E" w:rsidRDefault="00366F91" w:rsidP="00366F91">
            <w:pPr>
              <w:spacing w:after="0" w:line="240" w:lineRule="auto"/>
              <w:jc w:val="center"/>
              <w:rPr>
                <w:rFonts w:ascii="Times New Roman" w:eastAsia="Times New Roman" w:hAnsi="Times New Roman" w:cs="Times New Roman"/>
                <w:color w:val="000000"/>
                <w:kern w:val="0"/>
                <w:szCs w:val="24"/>
                <w:lang w:eastAsia="en-IN"/>
                <w14:ligatures w14:val="none"/>
              </w:rPr>
            </w:pPr>
            <w:r w:rsidRPr="008E2A3E">
              <w:rPr>
                <w:rFonts w:ascii="Times New Roman" w:eastAsia="Times New Roman" w:hAnsi="Times New Roman" w:cs="Times New Roman"/>
                <w:color w:val="000000"/>
                <w:kern w:val="0"/>
                <w:szCs w:val="24"/>
                <w:lang w:eastAsia="en-IN"/>
                <w14:ligatures w14:val="none"/>
              </w:rPr>
              <w:t>-</w:t>
            </w:r>
          </w:p>
        </w:tc>
      </w:tr>
      <w:tr w:rsidR="00366F91" w:rsidRPr="008E2A3E" w14:paraId="23366DE1" w14:textId="77777777" w:rsidTr="008E2A3E">
        <w:trPr>
          <w:trHeight w:val="280"/>
          <w:jc w:val="center"/>
        </w:trPr>
        <w:tc>
          <w:tcPr>
            <w:tcW w:w="1308" w:type="dxa"/>
            <w:tcBorders>
              <w:top w:val="nil"/>
              <w:left w:val="single" w:sz="4" w:space="0" w:color="auto"/>
              <w:bottom w:val="single" w:sz="4" w:space="0" w:color="auto"/>
              <w:right w:val="single" w:sz="4" w:space="0" w:color="auto"/>
            </w:tcBorders>
            <w:vAlign w:val="center"/>
            <w:hideMark/>
          </w:tcPr>
          <w:p w14:paraId="087DAD94" w14:textId="77777777" w:rsidR="00366F91" w:rsidRPr="008E2A3E" w:rsidRDefault="00366F91" w:rsidP="00366F91">
            <w:pPr>
              <w:spacing w:after="0" w:line="240" w:lineRule="auto"/>
              <w:rPr>
                <w:rFonts w:ascii="Times New Roman" w:eastAsia="Times New Roman" w:hAnsi="Times New Roman" w:cs="Times New Roman"/>
                <w:color w:val="000000"/>
                <w:kern w:val="0"/>
                <w:szCs w:val="24"/>
                <w:lang w:eastAsia="en-IN"/>
                <w14:ligatures w14:val="none"/>
              </w:rPr>
            </w:pPr>
            <w:r w:rsidRPr="008E2A3E">
              <w:rPr>
                <w:rFonts w:ascii="Times New Roman" w:eastAsia="Times New Roman" w:hAnsi="Times New Roman" w:cs="Times New Roman"/>
                <w:color w:val="000000"/>
                <w:kern w:val="0"/>
                <w:szCs w:val="24"/>
                <w:lang w:eastAsia="en-IN"/>
                <w14:ligatures w14:val="none"/>
              </w:rPr>
              <w:t>West Bengal</w:t>
            </w:r>
          </w:p>
        </w:tc>
        <w:tc>
          <w:tcPr>
            <w:tcW w:w="1294" w:type="dxa"/>
            <w:tcBorders>
              <w:top w:val="nil"/>
              <w:left w:val="nil"/>
              <w:bottom w:val="single" w:sz="4" w:space="0" w:color="auto"/>
              <w:right w:val="single" w:sz="4" w:space="0" w:color="auto"/>
            </w:tcBorders>
            <w:vAlign w:val="center"/>
            <w:hideMark/>
          </w:tcPr>
          <w:p w14:paraId="5878B8E4" w14:textId="77777777" w:rsidR="00366F91" w:rsidRPr="008E2A3E" w:rsidRDefault="00366F91" w:rsidP="00366F91">
            <w:pPr>
              <w:spacing w:after="0" w:line="240" w:lineRule="auto"/>
              <w:jc w:val="center"/>
              <w:rPr>
                <w:rFonts w:ascii="Times New Roman" w:eastAsia="Times New Roman" w:hAnsi="Times New Roman" w:cs="Times New Roman"/>
                <w:color w:val="000000"/>
                <w:kern w:val="0"/>
                <w:szCs w:val="24"/>
                <w:lang w:eastAsia="en-IN"/>
                <w14:ligatures w14:val="none"/>
              </w:rPr>
            </w:pPr>
            <w:r w:rsidRPr="008E2A3E">
              <w:rPr>
                <w:rFonts w:ascii="Times New Roman" w:eastAsia="Times New Roman" w:hAnsi="Times New Roman" w:cs="Times New Roman"/>
                <w:color w:val="000000"/>
                <w:kern w:val="0"/>
                <w:szCs w:val="24"/>
                <w:lang w:eastAsia="en-IN"/>
                <w14:ligatures w14:val="none"/>
              </w:rPr>
              <w:t>349.26</w:t>
            </w:r>
          </w:p>
        </w:tc>
        <w:tc>
          <w:tcPr>
            <w:tcW w:w="1699" w:type="dxa"/>
            <w:tcBorders>
              <w:top w:val="nil"/>
              <w:left w:val="nil"/>
              <w:bottom w:val="single" w:sz="4" w:space="0" w:color="auto"/>
              <w:right w:val="single" w:sz="4" w:space="0" w:color="auto"/>
            </w:tcBorders>
            <w:vAlign w:val="center"/>
            <w:hideMark/>
          </w:tcPr>
          <w:p w14:paraId="2A59F086" w14:textId="33A780D5" w:rsidR="00366F91" w:rsidRPr="008E2A3E" w:rsidRDefault="00366F91" w:rsidP="00366F91">
            <w:pPr>
              <w:spacing w:after="0" w:line="240" w:lineRule="auto"/>
              <w:jc w:val="center"/>
              <w:rPr>
                <w:rFonts w:ascii="Times New Roman" w:eastAsia="Times New Roman" w:hAnsi="Times New Roman" w:cs="Times New Roman"/>
                <w:color w:val="000000"/>
                <w:kern w:val="0"/>
                <w:szCs w:val="24"/>
                <w:lang w:eastAsia="en-IN"/>
                <w14:ligatures w14:val="none"/>
              </w:rPr>
            </w:pPr>
            <w:r w:rsidRPr="008E2A3E">
              <w:rPr>
                <w:rFonts w:ascii="Times New Roman" w:eastAsia="Times New Roman" w:hAnsi="Times New Roman" w:cs="Times New Roman"/>
                <w:color w:val="000000"/>
                <w:kern w:val="0"/>
                <w:szCs w:val="24"/>
                <w:lang w:eastAsia="en-IN"/>
                <w14:ligatures w14:val="none"/>
              </w:rPr>
              <w:t>68.9</w:t>
            </w:r>
            <w:r w:rsidR="00284859">
              <w:rPr>
                <w:rFonts w:ascii="Times New Roman" w:eastAsia="Times New Roman" w:hAnsi="Times New Roman" w:cs="Times New Roman"/>
                <w:color w:val="000000"/>
                <w:kern w:val="0"/>
                <w:szCs w:val="24"/>
                <w:lang w:eastAsia="en-IN"/>
                <w14:ligatures w14:val="none"/>
              </w:rPr>
              <w:t>0</w:t>
            </w:r>
          </w:p>
        </w:tc>
        <w:tc>
          <w:tcPr>
            <w:tcW w:w="1595" w:type="dxa"/>
            <w:tcBorders>
              <w:top w:val="nil"/>
              <w:left w:val="nil"/>
              <w:bottom w:val="single" w:sz="4" w:space="0" w:color="auto"/>
              <w:right w:val="single" w:sz="4" w:space="0" w:color="auto"/>
            </w:tcBorders>
            <w:vAlign w:val="center"/>
            <w:hideMark/>
          </w:tcPr>
          <w:p w14:paraId="576D1B85" w14:textId="77777777" w:rsidR="00366F91" w:rsidRPr="008E2A3E" w:rsidRDefault="00366F91" w:rsidP="00366F91">
            <w:pPr>
              <w:spacing w:after="0" w:line="240" w:lineRule="auto"/>
              <w:jc w:val="center"/>
              <w:rPr>
                <w:rFonts w:ascii="Times New Roman" w:eastAsia="Times New Roman" w:hAnsi="Times New Roman" w:cs="Times New Roman"/>
                <w:color w:val="000000"/>
                <w:kern w:val="0"/>
                <w:szCs w:val="24"/>
                <w:lang w:eastAsia="en-IN"/>
                <w14:ligatures w14:val="none"/>
              </w:rPr>
            </w:pPr>
            <w:r w:rsidRPr="008E2A3E">
              <w:rPr>
                <w:rFonts w:ascii="Times New Roman" w:eastAsia="Times New Roman" w:hAnsi="Times New Roman" w:cs="Times New Roman"/>
                <w:color w:val="000000"/>
                <w:kern w:val="0"/>
                <w:szCs w:val="24"/>
                <w:lang w:eastAsia="en-IN"/>
                <w14:ligatures w14:val="none"/>
              </w:rPr>
              <w:t>19.7</w:t>
            </w:r>
          </w:p>
        </w:tc>
        <w:tc>
          <w:tcPr>
            <w:tcW w:w="1281" w:type="dxa"/>
            <w:tcBorders>
              <w:top w:val="nil"/>
              <w:left w:val="nil"/>
              <w:bottom w:val="single" w:sz="4" w:space="0" w:color="auto"/>
              <w:right w:val="single" w:sz="4" w:space="0" w:color="auto"/>
            </w:tcBorders>
            <w:vAlign w:val="center"/>
            <w:hideMark/>
          </w:tcPr>
          <w:p w14:paraId="0FC5AB2A" w14:textId="77777777" w:rsidR="00366F91" w:rsidRPr="008E2A3E" w:rsidRDefault="00366F91" w:rsidP="00366F91">
            <w:pPr>
              <w:spacing w:after="0" w:line="240" w:lineRule="auto"/>
              <w:jc w:val="center"/>
              <w:rPr>
                <w:rFonts w:ascii="Times New Roman" w:eastAsia="Times New Roman" w:hAnsi="Times New Roman" w:cs="Times New Roman"/>
                <w:color w:val="000000"/>
                <w:kern w:val="0"/>
                <w:szCs w:val="24"/>
                <w:lang w:eastAsia="en-IN"/>
                <w14:ligatures w14:val="none"/>
              </w:rPr>
            </w:pPr>
            <w:r w:rsidRPr="008E2A3E">
              <w:rPr>
                <w:rFonts w:ascii="Times New Roman" w:eastAsia="Times New Roman" w:hAnsi="Times New Roman" w:cs="Times New Roman"/>
                <w:color w:val="000000"/>
                <w:kern w:val="0"/>
                <w:szCs w:val="24"/>
                <w:lang w:eastAsia="en-IN"/>
                <w14:ligatures w14:val="none"/>
              </w:rPr>
              <w:t>10.9</w:t>
            </w:r>
          </w:p>
        </w:tc>
        <w:tc>
          <w:tcPr>
            <w:tcW w:w="1211" w:type="dxa"/>
            <w:tcBorders>
              <w:top w:val="nil"/>
              <w:left w:val="nil"/>
              <w:bottom w:val="single" w:sz="4" w:space="0" w:color="auto"/>
              <w:right w:val="single" w:sz="4" w:space="0" w:color="auto"/>
            </w:tcBorders>
            <w:vAlign w:val="center"/>
            <w:hideMark/>
          </w:tcPr>
          <w:p w14:paraId="2D4428AD" w14:textId="77777777" w:rsidR="00366F91" w:rsidRPr="008E2A3E" w:rsidRDefault="00366F91" w:rsidP="00366F91">
            <w:pPr>
              <w:spacing w:after="0" w:line="240" w:lineRule="auto"/>
              <w:jc w:val="center"/>
              <w:rPr>
                <w:rFonts w:ascii="Times New Roman" w:eastAsia="Times New Roman" w:hAnsi="Times New Roman" w:cs="Times New Roman"/>
                <w:color w:val="000000"/>
                <w:kern w:val="0"/>
                <w:szCs w:val="24"/>
                <w:lang w:eastAsia="en-IN"/>
                <w14:ligatures w14:val="none"/>
              </w:rPr>
            </w:pPr>
            <w:r w:rsidRPr="008E2A3E">
              <w:rPr>
                <w:rFonts w:ascii="Times New Roman" w:eastAsia="Times New Roman" w:hAnsi="Times New Roman" w:cs="Times New Roman"/>
                <w:color w:val="000000"/>
                <w:kern w:val="0"/>
                <w:szCs w:val="24"/>
                <w:lang w:eastAsia="en-IN"/>
                <w14:ligatures w14:val="none"/>
              </w:rPr>
              <w:t>20.54</w:t>
            </w:r>
          </w:p>
        </w:tc>
        <w:tc>
          <w:tcPr>
            <w:tcW w:w="1213" w:type="dxa"/>
            <w:tcBorders>
              <w:top w:val="nil"/>
              <w:left w:val="nil"/>
              <w:bottom w:val="single" w:sz="4" w:space="0" w:color="auto"/>
              <w:right w:val="single" w:sz="4" w:space="0" w:color="auto"/>
            </w:tcBorders>
            <w:vAlign w:val="center"/>
            <w:hideMark/>
          </w:tcPr>
          <w:p w14:paraId="2AD93417" w14:textId="77777777" w:rsidR="00366F91" w:rsidRPr="008E2A3E" w:rsidRDefault="00366F91" w:rsidP="00366F91">
            <w:pPr>
              <w:spacing w:after="0" w:line="240" w:lineRule="auto"/>
              <w:jc w:val="center"/>
              <w:rPr>
                <w:rFonts w:ascii="Times New Roman" w:eastAsia="Times New Roman" w:hAnsi="Times New Roman" w:cs="Times New Roman"/>
                <w:color w:val="000000"/>
                <w:kern w:val="0"/>
                <w:szCs w:val="24"/>
                <w:lang w:eastAsia="en-IN"/>
                <w14:ligatures w14:val="none"/>
              </w:rPr>
            </w:pPr>
            <w:r w:rsidRPr="008E2A3E">
              <w:rPr>
                <w:rFonts w:ascii="Times New Roman" w:eastAsia="Times New Roman" w:hAnsi="Times New Roman" w:cs="Times New Roman"/>
                <w:color w:val="000000"/>
                <w:kern w:val="0"/>
                <w:szCs w:val="24"/>
                <w:lang w:eastAsia="en-IN"/>
                <w14:ligatures w14:val="none"/>
              </w:rPr>
              <w:t>5.9</w:t>
            </w:r>
          </w:p>
        </w:tc>
        <w:tc>
          <w:tcPr>
            <w:tcW w:w="1281" w:type="dxa"/>
            <w:tcBorders>
              <w:top w:val="nil"/>
              <w:left w:val="nil"/>
              <w:bottom w:val="single" w:sz="4" w:space="0" w:color="auto"/>
              <w:right w:val="single" w:sz="4" w:space="0" w:color="auto"/>
            </w:tcBorders>
            <w:vAlign w:val="center"/>
            <w:hideMark/>
          </w:tcPr>
          <w:p w14:paraId="69B01585" w14:textId="77777777" w:rsidR="00366F91" w:rsidRPr="008E2A3E" w:rsidRDefault="00366F91" w:rsidP="00366F91">
            <w:pPr>
              <w:spacing w:after="0" w:line="240" w:lineRule="auto"/>
              <w:jc w:val="center"/>
              <w:rPr>
                <w:rFonts w:ascii="Times New Roman" w:eastAsia="Times New Roman" w:hAnsi="Times New Roman" w:cs="Times New Roman"/>
                <w:color w:val="000000"/>
                <w:kern w:val="0"/>
                <w:szCs w:val="24"/>
                <w:lang w:eastAsia="en-IN"/>
                <w14:ligatures w14:val="none"/>
              </w:rPr>
            </w:pPr>
            <w:r w:rsidRPr="008E2A3E">
              <w:rPr>
                <w:rFonts w:ascii="Times New Roman" w:eastAsia="Times New Roman" w:hAnsi="Times New Roman" w:cs="Times New Roman"/>
                <w:color w:val="000000"/>
                <w:kern w:val="0"/>
                <w:szCs w:val="24"/>
                <w:lang w:eastAsia="en-IN"/>
                <w14:ligatures w14:val="none"/>
              </w:rPr>
              <w:t>7.1</w:t>
            </w:r>
          </w:p>
        </w:tc>
      </w:tr>
      <w:tr w:rsidR="00366F91" w:rsidRPr="008E2A3E" w14:paraId="4BEEBF4F" w14:textId="77777777" w:rsidTr="008E2A3E">
        <w:trPr>
          <w:trHeight w:val="280"/>
          <w:jc w:val="center"/>
        </w:trPr>
        <w:tc>
          <w:tcPr>
            <w:tcW w:w="1308" w:type="dxa"/>
            <w:tcBorders>
              <w:top w:val="nil"/>
              <w:left w:val="single" w:sz="4" w:space="0" w:color="auto"/>
              <w:bottom w:val="single" w:sz="4" w:space="0" w:color="auto"/>
              <w:right w:val="single" w:sz="4" w:space="0" w:color="auto"/>
            </w:tcBorders>
            <w:vAlign w:val="center"/>
            <w:hideMark/>
          </w:tcPr>
          <w:p w14:paraId="7A220D0D" w14:textId="77777777" w:rsidR="00366F91" w:rsidRPr="008E2A3E" w:rsidRDefault="00366F91" w:rsidP="00366F91">
            <w:pPr>
              <w:spacing w:after="0" w:line="240" w:lineRule="auto"/>
              <w:rPr>
                <w:rFonts w:ascii="Times New Roman" w:eastAsia="Times New Roman" w:hAnsi="Times New Roman" w:cs="Times New Roman"/>
                <w:color w:val="000000"/>
                <w:kern w:val="0"/>
                <w:szCs w:val="24"/>
                <w:lang w:eastAsia="en-IN"/>
                <w14:ligatures w14:val="none"/>
              </w:rPr>
            </w:pPr>
            <w:r w:rsidRPr="008E2A3E">
              <w:rPr>
                <w:rFonts w:ascii="Times New Roman" w:eastAsia="Times New Roman" w:hAnsi="Times New Roman" w:cs="Times New Roman"/>
                <w:color w:val="000000"/>
                <w:kern w:val="0"/>
                <w:szCs w:val="24"/>
                <w:lang w:eastAsia="en-IN"/>
                <w14:ligatures w14:val="none"/>
              </w:rPr>
              <w:t>TOTAL</w:t>
            </w:r>
          </w:p>
        </w:tc>
        <w:tc>
          <w:tcPr>
            <w:tcW w:w="1294" w:type="dxa"/>
            <w:tcBorders>
              <w:top w:val="nil"/>
              <w:left w:val="nil"/>
              <w:bottom w:val="single" w:sz="4" w:space="0" w:color="auto"/>
              <w:right w:val="single" w:sz="4" w:space="0" w:color="auto"/>
            </w:tcBorders>
            <w:vAlign w:val="center"/>
            <w:hideMark/>
          </w:tcPr>
          <w:p w14:paraId="075BB465" w14:textId="77777777" w:rsidR="00366F91" w:rsidRPr="008E2A3E" w:rsidRDefault="00366F91" w:rsidP="00366F91">
            <w:pPr>
              <w:spacing w:after="0" w:line="240" w:lineRule="auto"/>
              <w:jc w:val="center"/>
              <w:rPr>
                <w:rFonts w:ascii="Times New Roman" w:eastAsia="Times New Roman" w:hAnsi="Times New Roman" w:cs="Times New Roman"/>
                <w:color w:val="000000"/>
                <w:kern w:val="0"/>
                <w:szCs w:val="24"/>
                <w:lang w:eastAsia="en-IN"/>
                <w14:ligatures w14:val="none"/>
              </w:rPr>
            </w:pPr>
            <w:r w:rsidRPr="008E2A3E">
              <w:rPr>
                <w:rFonts w:ascii="Times New Roman" w:eastAsia="Times New Roman" w:hAnsi="Times New Roman" w:cs="Times New Roman"/>
                <w:color w:val="000000"/>
                <w:kern w:val="0"/>
                <w:szCs w:val="24"/>
                <w:lang w:eastAsia="en-IN"/>
                <w14:ligatures w14:val="none"/>
              </w:rPr>
              <w:t>4300.81</w:t>
            </w:r>
          </w:p>
        </w:tc>
        <w:tc>
          <w:tcPr>
            <w:tcW w:w="1699" w:type="dxa"/>
            <w:tcBorders>
              <w:top w:val="nil"/>
              <w:left w:val="nil"/>
              <w:bottom w:val="single" w:sz="4" w:space="0" w:color="auto"/>
              <w:right w:val="single" w:sz="4" w:space="0" w:color="auto"/>
            </w:tcBorders>
            <w:vAlign w:val="center"/>
            <w:hideMark/>
          </w:tcPr>
          <w:p w14:paraId="64244627" w14:textId="77777777" w:rsidR="00366F91" w:rsidRPr="008E2A3E" w:rsidRDefault="00366F91" w:rsidP="00366F91">
            <w:pPr>
              <w:spacing w:after="0" w:line="240" w:lineRule="auto"/>
              <w:jc w:val="center"/>
              <w:rPr>
                <w:rFonts w:ascii="Times New Roman" w:eastAsia="Times New Roman" w:hAnsi="Times New Roman" w:cs="Times New Roman"/>
                <w:color w:val="000000"/>
                <w:kern w:val="0"/>
                <w:szCs w:val="24"/>
                <w:lang w:eastAsia="en-IN"/>
                <w14:ligatures w14:val="none"/>
              </w:rPr>
            </w:pPr>
            <w:r w:rsidRPr="008E2A3E">
              <w:rPr>
                <w:rFonts w:ascii="Times New Roman" w:eastAsia="Times New Roman" w:hAnsi="Times New Roman" w:cs="Times New Roman"/>
                <w:color w:val="000000"/>
                <w:kern w:val="0"/>
                <w:szCs w:val="24"/>
                <w:lang w:eastAsia="en-IN"/>
                <w14:ligatures w14:val="none"/>
              </w:rPr>
              <w:t>632.27</w:t>
            </w:r>
          </w:p>
        </w:tc>
        <w:tc>
          <w:tcPr>
            <w:tcW w:w="1595" w:type="dxa"/>
            <w:tcBorders>
              <w:top w:val="nil"/>
              <w:left w:val="nil"/>
              <w:bottom w:val="single" w:sz="4" w:space="0" w:color="auto"/>
              <w:right w:val="single" w:sz="4" w:space="0" w:color="auto"/>
            </w:tcBorders>
            <w:vAlign w:val="center"/>
            <w:hideMark/>
          </w:tcPr>
          <w:p w14:paraId="5EA44099" w14:textId="77777777" w:rsidR="00366F91" w:rsidRPr="008E2A3E" w:rsidRDefault="00366F91" w:rsidP="00366F91">
            <w:pPr>
              <w:spacing w:after="0" w:line="240" w:lineRule="auto"/>
              <w:jc w:val="center"/>
              <w:rPr>
                <w:rFonts w:ascii="Times New Roman" w:eastAsia="Times New Roman" w:hAnsi="Times New Roman" w:cs="Times New Roman"/>
                <w:color w:val="000000"/>
                <w:kern w:val="0"/>
                <w:szCs w:val="24"/>
                <w:lang w:eastAsia="en-IN"/>
                <w14:ligatures w14:val="none"/>
              </w:rPr>
            </w:pPr>
            <w:r w:rsidRPr="008E2A3E">
              <w:rPr>
                <w:rFonts w:ascii="Times New Roman" w:eastAsia="Times New Roman" w:hAnsi="Times New Roman" w:cs="Times New Roman"/>
                <w:color w:val="000000"/>
                <w:kern w:val="0"/>
                <w:szCs w:val="24"/>
                <w:lang w:eastAsia="en-IN"/>
                <w14:ligatures w14:val="none"/>
              </w:rPr>
              <w:t>14.7</w:t>
            </w:r>
          </w:p>
        </w:tc>
        <w:tc>
          <w:tcPr>
            <w:tcW w:w="1281" w:type="dxa"/>
            <w:tcBorders>
              <w:top w:val="nil"/>
              <w:left w:val="nil"/>
              <w:bottom w:val="single" w:sz="4" w:space="0" w:color="auto"/>
              <w:right w:val="single" w:sz="4" w:space="0" w:color="auto"/>
            </w:tcBorders>
            <w:vAlign w:val="center"/>
            <w:hideMark/>
          </w:tcPr>
          <w:p w14:paraId="5E4F2624" w14:textId="5A1B6D2E" w:rsidR="00366F91" w:rsidRPr="008E2A3E" w:rsidRDefault="00366F91" w:rsidP="00366F91">
            <w:pPr>
              <w:spacing w:after="0" w:line="240" w:lineRule="auto"/>
              <w:jc w:val="center"/>
              <w:rPr>
                <w:rFonts w:ascii="Times New Roman" w:eastAsia="Times New Roman" w:hAnsi="Times New Roman" w:cs="Times New Roman"/>
                <w:color w:val="000000"/>
                <w:kern w:val="0"/>
                <w:szCs w:val="24"/>
                <w:lang w:eastAsia="en-IN"/>
                <w14:ligatures w14:val="none"/>
              </w:rPr>
            </w:pPr>
            <w:r w:rsidRPr="008E2A3E">
              <w:rPr>
                <w:rFonts w:ascii="Times New Roman" w:eastAsia="Times New Roman" w:hAnsi="Times New Roman" w:cs="Times New Roman"/>
                <w:color w:val="000000"/>
                <w:kern w:val="0"/>
                <w:szCs w:val="24"/>
                <w:lang w:eastAsia="en-IN"/>
                <w14:ligatures w14:val="none"/>
              </w:rPr>
              <w:t>(100.0)</w:t>
            </w:r>
          </w:p>
        </w:tc>
        <w:tc>
          <w:tcPr>
            <w:tcW w:w="1211" w:type="dxa"/>
            <w:tcBorders>
              <w:top w:val="nil"/>
              <w:left w:val="nil"/>
              <w:bottom w:val="single" w:sz="4" w:space="0" w:color="auto"/>
              <w:right w:val="single" w:sz="4" w:space="0" w:color="auto"/>
            </w:tcBorders>
            <w:vAlign w:val="center"/>
            <w:hideMark/>
          </w:tcPr>
          <w:p w14:paraId="1D7716E3" w14:textId="77777777" w:rsidR="00366F91" w:rsidRPr="008E2A3E" w:rsidRDefault="00366F91" w:rsidP="00366F91">
            <w:pPr>
              <w:spacing w:after="0" w:line="240" w:lineRule="auto"/>
              <w:jc w:val="center"/>
              <w:rPr>
                <w:rFonts w:ascii="Times New Roman" w:eastAsia="Times New Roman" w:hAnsi="Times New Roman" w:cs="Times New Roman"/>
                <w:color w:val="000000"/>
                <w:kern w:val="0"/>
                <w:szCs w:val="24"/>
                <w:lang w:eastAsia="en-IN"/>
                <w14:ligatures w14:val="none"/>
              </w:rPr>
            </w:pPr>
            <w:r w:rsidRPr="008E2A3E">
              <w:rPr>
                <w:rFonts w:ascii="Times New Roman" w:eastAsia="Times New Roman" w:hAnsi="Times New Roman" w:cs="Times New Roman"/>
                <w:color w:val="000000"/>
                <w:kern w:val="0"/>
                <w:szCs w:val="24"/>
                <w:lang w:eastAsia="en-IN"/>
                <w14:ligatures w14:val="none"/>
              </w:rPr>
              <w:t>290.53</w:t>
            </w:r>
          </w:p>
        </w:tc>
        <w:tc>
          <w:tcPr>
            <w:tcW w:w="1213" w:type="dxa"/>
            <w:tcBorders>
              <w:top w:val="nil"/>
              <w:left w:val="nil"/>
              <w:bottom w:val="single" w:sz="4" w:space="0" w:color="auto"/>
              <w:right w:val="single" w:sz="4" w:space="0" w:color="auto"/>
            </w:tcBorders>
            <w:vAlign w:val="center"/>
            <w:hideMark/>
          </w:tcPr>
          <w:p w14:paraId="7CB5B3D7" w14:textId="77777777" w:rsidR="00366F91" w:rsidRPr="008E2A3E" w:rsidRDefault="00366F91" w:rsidP="00366F91">
            <w:pPr>
              <w:spacing w:after="0" w:line="240" w:lineRule="auto"/>
              <w:jc w:val="center"/>
              <w:rPr>
                <w:rFonts w:ascii="Times New Roman" w:eastAsia="Times New Roman" w:hAnsi="Times New Roman" w:cs="Times New Roman"/>
                <w:color w:val="000000"/>
                <w:kern w:val="0"/>
                <w:szCs w:val="24"/>
                <w:lang w:eastAsia="en-IN"/>
                <w14:ligatures w14:val="none"/>
              </w:rPr>
            </w:pPr>
            <w:r w:rsidRPr="008E2A3E">
              <w:rPr>
                <w:rFonts w:ascii="Times New Roman" w:eastAsia="Times New Roman" w:hAnsi="Times New Roman" w:cs="Times New Roman"/>
                <w:color w:val="000000"/>
                <w:kern w:val="0"/>
                <w:szCs w:val="24"/>
                <w:lang w:eastAsia="en-IN"/>
                <w14:ligatures w14:val="none"/>
              </w:rPr>
              <w:t>6.8</w:t>
            </w:r>
          </w:p>
        </w:tc>
        <w:tc>
          <w:tcPr>
            <w:tcW w:w="1281" w:type="dxa"/>
            <w:tcBorders>
              <w:top w:val="nil"/>
              <w:left w:val="nil"/>
              <w:bottom w:val="single" w:sz="4" w:space="0" w:color="auto"/>
              <w:right w:val="single" w:sz="4" w:space="0" w:color="auto"/>
            </w:tcBorders>
            <w:vAlign w:val="center"/>
            <w:hideMark/>
          </w:tcPr>
          <w:p w14:paraId="61C133D8" w14:textId="1D5456D0" w:rsidR="00366F91" w:rsidRPr="008E2A3E" w:rsidRDefault="00366F91" w:rsidP="00366F91">
            <w:pPr>
              <w:spacing w:after="0" w:line="240" w:lineRule="auto"/>
              <w:jc w:val="center"/>
              <w:rPr>
                <w:rFonts w:ascii="Times New Roman" w:eastAsia="Times New Roman" w:hAnsi="Times New Roman" w:cs="Times New Roman"/>
                <w:color w:val="000000"/>
                <w:kern w:val="0"/>
                <w:szCs w:val="24"/>
                <w:lang w:eastAsia="en-IN"/>
                <w14:ligatures w14:val="none"/>
              </w:rPr>
            </w:pPr>
            <w:r w:rsidRPr="008E2A3E">
              <w:rPr>
                <w:rFonts w:ascii="Times New Roman" w:eastAsia="Times New Roman" w:hAnsi="Times New Roman" w:cs="Times New Roman"/>
                <w:color w:val="000000"/>
                <w:kern w:val="0"/>
                <w:szCs w:val="24"/>
                <w:lang w:eastAsia="en-IN"/>
                <w14:ligatures w14:val="none"/>
              </w:rPr>
              <w:t>(100.0)</w:t>
            </w:r>
          </w:p>
        </w:tc>
      </w:tr>
    </w:tbl>
    <w:p w14:paraId="7AB89566" w14:textId="77777777" w:rsidR="00366F91" w:rsidRPr="008E2A3E" w:rsidRDefault="00366F91" w:rsidP="00366F91">
      <w:pPr>
        <w:tabs>
          <w:tab w:val="left" w:pos="3168"/>
        </w:tabs>
        <w:rPr>
          <w:rFonts w:ascii="Times New Roman" w:hAnsi="Times New Roman" w:cs="Times New Roman"/>
          <w:sz w:val="20"/>
          <w:szCs w:val="18"/>
        </w:rPr>
      </w:pPr>
      <w:r w:rsidRPr="008E2A3E">
        <w:rPr>
          <w:rFonts w:ascii="Times New Roman" w:hAnsi="Times New Roman" w:cs="Times New Roman"/>
          <w:sz w:val="20"/>
          <w:szCs w:val="18"/>
        </w:rPr>
        <w:t>Source: Census of India 1961-Part V-A(i) and (ii). For Punjab and Haryana, figures from Statistical Abstracts of Punjab and Haryana (1967).</w:t>
      </w:r>
      <w:r w:rsidRPr="008E2A3E">
        <w:rPr>
          <w:rFonts w:ascii="Times New Roman" w:hAnsi="Times New Roman" w:cs="Times New Roman"/>
          <w:sz w:val="20"/>
          <w:szCs w:val="18"/>
        </w:rPr>
        <w:br/>
        <w:t>Notes:</w:t>
      </w:r>
    </w:p>
    <w:p w14:paraId="5FC5AE9E" w14:textId="06DB3D94" w:rsidR="00366F91" w:rsidRPr="008E2A3E" w:rsidRDefault="00366F91" w:rsidP="00BE3CC5">
      <w:pPr>
        <w:pStyle w:val="ListParagraph"/>
        <w:numPr>
          <w:ilvl w:val="1"/>
          <w:numId w:val="25"/>
        </w:numPr>
        <w:tabs>
          <w:tab w:val="left" w:pos="3168"/>
        </w:tabs>
        <w:rPr>
          <w:rFonts w:ascii="Times New Roman" w:hAnsi="Times New Roman" w:cs="Times New Roman"/>
          <w:sz w:val="20"/>
          <w:szCs w:val="18"/>
        </w:rPr>
      </w:pPr>
      <w:r w:rsidRPr="008E2A3E">
        <w:rPr>
          <w:rFonts w:ascii="Times New Roman" w:hAnsi="Times New Roman" w:cs="Times New Roman"/>
          <w:sz w:val="20"/>
          <w:szCs w:val="18"/>
        </w:rPr>
        <w:t>Scheduled Castes: Such castes, races or tribes or parts of groups within each Castes, races or tribes as are deemed under Article 341 of the Constitution to be Scheduled Castes.</w:t>
      </w:r>
    </w:p>
    <w:p w14:paraId="5C46B9D8" w14:textId="07751B91" w:rsidR="00366F91" w:rsidRPr="008E2A3E" w:rsidRDefault="00366F91" w:rsidP="00BE3CC5">
      <w:pPr>
        <w:pStyle w:val="ListParagraph"/>
        <w:numPr>
          <w:ilvl w:val="0"/>
          <w:numId w:val="25"/>
        </w:numPr>
        <w:tabs>
          <w:tab w:val="left" w:pos="3168"/>
        </w:tabs>
        <w:rPr>
          <w:rFonts w:ascii="Times New Roman" w:hAnsi="Times New Roman" w:cs="Times New Roman"/>
          <w:sz w:val="20"/>
          <w:szCs w:val="18"/>
        </w:rPr>
      </w:pPr>
      <w:r w:rsidRPr="008E2A3E">
        <w:rPr>
          <w:rFonts w:ascii="Times New Roman" w:hAnsi="Times New Roman" w:cs="Times New Roman"/>
          <w:sz w:val="20"/>
          <w:szCs w:val="18"/>
        </w:rPr>
        <w:t>Scheduled Tribes: Such tribes or tribal communities or parts of groups within such tribes or tribal communities as are deemed under Article 342 of the Constitution to be Scheduled Tribes.</w:t>
      </w:r>
    </w:p>
    <w:p w14:paraId="151D39BA" w14:textId="16C9ED48" w:rsidR="00366F91" w:rsidRPr="007245B0" w:rsidRDefault="00366F91" w:rsidP="00BE3CC5">
      <w:pPr>
        <w:pStyle w:val="ListParagraph"/>
        <w:numPr>
          <w:ilvl w:val="0"/>
          <w:numId w:val="25"/>
        </w:numPr>
        <w:tabs>
          <w:tab w:val="left" w:pos="3168"/>
        </w:tabs>
        <w:rPr>
          <w:rFonts w:ascii="Times New Roman" w:hAnsi="Times New Roman" w:cs="Times New Roman"/>
        </w:rPr>
      </w:pPr>
      <w:r w:rsidRPr="008E2A3E">
        <w:rPr>
          <w:rFonts w:ascii="Times New Roman" w:hAnsi="Times New Roman" w:cs="Times New Roman"/>
          <w:sz w:val="20"/>
          <w:szCs w:val="18"/>
        </w:rPr>
        <w:t xml:space="preserve">There are no </w:t>
      </w:r>
      <w:r w:rsidR="00A55F3A" w:rsidRPr="008E2A3E">
        <w:rPr>
          <w:rFonts w:ascii="Times New Roman" w:hAnsi="Times New Roman" w:cs="Times New Roman"/>
          <w:sz w:val="20"/>
          <w:szCs w:val="18"/>
        </w:rPr>
        <w:t>Scheduled</w:t>
      </w:r>
      <w:r w:rsidRPr="008E2A3E">
        <w:rPr>
          <w:rFonts w:ascii="Times New Roman" w:hAnsi="Times New Roman" w:cs="Times New Roman"/>
          <w:sz w:val="20"/>
          <w:szCs w:val="18"/>
        </w:rPr>
        <w:t xml:space="preserve"> Tribes in Haryana, Jammu and Kashmir, Punjab and U. P.</w:t>
      </w:r>
      <w:r w:rsidRPr="007245B0">
        <w:rPr>
          <w:rFonts w:ascii="Times New Roman" w:hAnsi="Times New Roman" w:cs="Times New Roman"/>
        </w:rPr>
        <w:tab/>
      </w:r>
    </w:p>
    <w:p w14:paraId="20547780" w14:textId="77777777" w:rsidR="00366F91" w:rsidRPr="007245B0" w:rsidRDefault="00366F91" w:rsidP="00366F91">
      <w:pPr>
        <w:tabs>
          <w:tab w:val="left" w:pos="3168"/>
        </w:tabs>
        <w:rPr>
          <w:rFonts w:ascii="Times New Roman" w:hAnsi="Times New Roman" w:cs="Times New Roman"/>
        </w:rPr>
      </w:pPr>
    </w:p>
    <w:p w14:paraId="086C9847" w14:textId="372243F6" w:rsidR="00EF645B" w:rsidRPr="007245B0" w:rsidRDefault="00EF645B" w:rsidP="00EF645B">
      <w:pPr>
        <w:tabs>
          <w:tab w:val="left" w:pos="3168"/>
        </w:tabs>
        <w:jc w:val="center"/>
        <w:rPr>
          <w:rFonts w:ascii="Times New Roman" w:hAnsi="Times New Roman" w:cs="Times New Roman"/>
          <w:b/>
          <w:bCs/>
        </w:rPr>
        <w:sectPr w:rsidR="00EF645B" w:rsidRPr="007245B0" w:rsidSect="00FD0DAE">
          <w:pgSz w:w="12240" w:h="15840"/>
          <w:pgMar w:top="993" w:right="1440" w:bottom="1276" w:left="1440" w:header="720" w:footer="720" w:gutter="0"/>
          <w:cols w:space="720"/>
        </w:sectPr>
      </w:pPr>
    </w:p>
    <w:p w14:paraId="61FA7A79" w14:textId="150AB24A" w:rsidR="00EF645B" w:rsidRPr="007245B0" w:rsidRDefault="00EF645B" w:rsidP="008E2A3E">
      <w:pPr>
        <w:pStyle w:val="Heading4"/>
      </w:pPr>
      <w:bookmarkStart w:id="42" w:name="_Toc220949684"/>
      <w:bookmarkStart w:id="43" w:name="_Toc221114284"/>
      <w:bookmarkStart w:id="44" w:name="_Toc221115307"/>
      <w:r w:rsidRPr="0010798E">
        <w:lastRenderedPageBreak/>
        <w:t>Table 4: Total State Incomes (Net Domestic Product)</w:t>
      </w:r>
      <w:r w:rsidR="0010798E" w:rsidRPr="0010798E">
        <w:t xml:space="preserve"> from </w:t>
      </w:r>
      <w:r w:rsidRPr="0010798E">
        <w:t>1960-61 to 1964-65</w:t>
      </w:r>
      <w:r w:rsidR="0010798E">
        <w:t xml:space="preserve"> by states indicating figures relating to </w:t>
      </w:r>
      <w:r w:rsidR="006C4D04">
        <w:t>A</w:t>
      </w:r>
      <w:r w:rsidR="0010798E">
        <w:t xml:space="preserve">griculture and </w:t>
      </w:r>
      <w:r w:rsidR="006C4D04">
        <w:t>A</w:t>
      </w:r>
      <w:r w:rsidR="0010798E">
        <w:t xml:space="preserve">nimal </w:t>
      </w:r>
      <w:r w:rsidR="006C4D04">
        <w:t>H</w:t>
      </w:r>
      <w:r w:rsidR="0010798E">
        <w:t>usbandry sectors.</w:t>
      </w:r>
      <w:bookmarkEnd w:id="42"/>
      <w:bookmarkEnd w:id="43"/>
      <w:bookmarkEnd w:id="44"/>
    </w:p>
    <w:p w14:paraId="20B6AAC1" w14:textId="0F58603F" w:rsidR="00EF645B" w:rsidRPr="006C4D04" w:rsidRDefault="00BD12CB" w:rsidP="00BD12CB">
      <w:pPr>
        <w:tabs>
          <w:tab w:val="left" w:pos="3168"/>
        </w:tabs>
        <w:jc w:val="right"/>
        <w:rPr>
          <w:rFonts w:ascii="Times New Roman" w:hAnsi="Times New Roman" w:cs="Times New Roman"/>
          <w:i/>
          <w:iCs/>
        </w:rPr>
      </w:pPr>
      <w:r w:rsidRPr="006C4D04">
        <w:rPr>
          <w:rFonts w:ascii="Times New Roman" w:eastAsia="Times New Roman" w:hAnsi="Times New Roman" w:cs="Times New Roman"/>
          <w:i/>
          <w:iCs/>
          <w:color w:val="000000"/>
          <w:kern w:val="0"/>
          <w:szCs w:val="24"/>
          <w:lang w:eastAsia="en-IN"/>
          <w14:ligatures w14:val="none"/>
        </w:rPr>
        <w:t>(Rs. crores)</w:t>
      </w:r>
    </w:p>
    <w:tbl>
      <w:tblPr>
        <w:tblW w:w="13925" w:type="dxa"/>
        <w:jc w:val="center"/>
        <w:tblLook w:val="04A0" w:firstRow="1" w:lastRow="0" w:firstColumn="1" w:lastColumn="0" w:noHBand="0" w:noVBand="1"/>
      </w:tblPr>
      <w:tblGrid>
        <w:gridCol w:w="3173"/>
        <w:gridCol w:w="1075"/>
        <w:gridCol w:w="1075"/>
        <w:gridCol w:w="1075"/>
        <w:gridCol w:w="1075"/>
        <w:gridCol w:w="1076"/>
        <w:gridCol w:w="1075"/>
        <w:gridCol w:w="1075"/>
        <w:gridCol w:w="1075"/>
        <w:gridCol w:w="1075"/>
        <w:gridCol w:w="1076"/>
      </w:tblGrid>
      <w:tr w:rsidR="00EF645B" w:rsidRPr="008E2A3E" w14:paraId="52E259C6" w14:textId="77777777" w:rsidTr="008E2A3E">
        <w:trPr>
          <w:trHeight w:val="300"/>
          <w:jc w:val="center"/>
        </w:trPr>
        <w:tc>
          <w:tcPr>
            <w:tcW w:w="3173" w:type="dxa"/>
            <w:tcBorders>
              <w:top w:val="single" w:sz="4" w:space="0" w:color="auto"/>
              <w:left w:val="single" w:sz="4" w:space="0" w:color="auto"/>
              <w:bottom w:val="single" w:sz="4" w:space="0" w:color="auto"/>
              <w:right w:val="single" w:sz="4" w:space="0" w:color="auto"/>
            </w:tcBorders>
            <w:noWrap/>
            <w:vAlign w:val="center"/>
            <w:hideMark/>
          </w:tcPr>
          <w:p w14:paraId="0D120198" w14:textId="77777777" w:rsidR="00EF645B" w:rsidRPr="008E2A3E" w:rsidRDefault="00EF645B" w:rsidP="00EF645B">
            <w:pPr>
              <w:spacing w:after="0" w:line="240" w:lineRule="auto"/>
              <w:jc w:val="center"/>
              <w:rPr>
                <w:rFonts w:ascii="Times New Roman" w:eastAsia="Times New Roman" w:hAnsi="Times New Roman" w:cs="Times New Roman"/>
                <w:b/>
                <w:bCs/>
                <w:color w:val="000000"/>
                <w:kern w:val="0"/>
                <w:szCs w:val="24"/>
                <w:lang w:eastAsia="en-IN"/>
                <w14:ligatures w14:val="none"/>
              </w:rPr>
            </w:pPr>
            <w:r w:rsidRPr="008E2A3E">
              <w:rPr>
                <w:rFonts w:ascii="Times New Roman" w:eastAsia="Times New Roman" w:hAnsi="Times New Roman" w:cs="Times New Roman"/>
                <w:b/>
                <w:bCs/>
                <w:color w:val="000000"/>
                <w:kern w:val="0"/>
                <w:szCs w:val="24"/>
                <w:lang w:eastAsia="en-IN"/>
                <w14:ligatures w14:val="none"/>
              </w:rPr>
              <w:t>States</w:t>
            </w:r>
          </w:p>
        </w:tc>
        <w:tc>
          <w:tcPr>
            <w:tcW w:w="5376" w:type="dxa"/>
            <w:gridSpan w:val="5"/>
            <w:tcBorders>
              <w:top w:val="single" w:sz="4" w:space="0" w:color="auto"/>
              <w:left w:val="nil"/>
              <w:bottom w:val="single" w:sz="4" w:space="0" w:color="auto"/>
              <w:right w:val="single" w:sz="4" w:space="0" w:color="000000"/>
            </w:tcBorders>
            <w:noWrap/>
            <w:vAlign w:val="center"/>
            <w:hideMark/>
          </w:tcPr>
          <w:p w14:paraId="06D3D8F9" w14:textId="2E63C02D" w:rsidR="00EF645B" w:rsidRPr="008E2A3E" w:rsidRDefault="00EF645B" w:rsidP="00EF645B">
            <w:pPr>
              <w:spacing w:after="0" w:line="240" w:lineRule="auto"/>
              <w:jc w:val="center"/>
              <w:rPr>
                <w:rFonts w:ascii="Times New Roman" w:eastAsia="Times New Roman" w:hAnsi="Times New Roman" w:cs="Times New Roman"/>
                <w:b/>
                <w:bCs/>
                <w:color w:val="000000"/>
                <w:kern w:val="0"/>
                <w:szCs w:val="24"/>
                <w:lang w:eastAsia="en-IN"/>
                <w14:ligatures w14:val="none"/>
              </w:rPr>
            </w:pPr>
            <w:r w:rsidRPr="008E2A3E">
              <w:rPr>
                <w:rFonts w:ascii="Times New Roman" w:eastAsia="Times New Roman" w:hAnsi="Times New Roman" w:cs="Times New Roman"/>
                <w:b/>
                <w:bCs/>
                <w:color w:val="000000"/>
                <w:kern w:val="0"/>
                <w:szCs w:val="24"/>
                <w:lang w:eastAsia="en-IN"/>
                <w14:ligatures w14:val="none"/>
              </w:rPr>
              <w:t>Total Net Domestic Product</w:t>
            </w:r>
            <w:r w:rsidR="008E2A3E">
              <w:rPr>
                <w:rFonts w:ascii="Times New Roman" w:eastAsia="Times New Roman" w:hAnsi="Times New Roman" w:cs="Times New Roman"/>
                <w:b/>
                <w:bCs/>
                <w:color w:val="000000"/>
                <w:kern w:val="0"/>
                <w:szCs w:val="24"/>
                <w:lang w:eastAsia="en-IN"/>
                <w14:ligatures w14:val="none"/>
              </w:rPr>
              <w:t xml:space="preserve"> – All Industries*</w:t>
            </w:r>
            <w:r w:rsidRPr="008E2A3E">
              <w:rPr>
                <w:rFonts w:ascii="Times New Roman" w:eastAsia="Times New Roman" w:hAnsi="Times New Roman" w:cs="Times New Roman"/>
                <w:b/>
                <w:bCs/>
                <w:color w:val="000000"/>
                <w:kern w:val="0"/>
                <w:szCs w:val="24"/>
                <w:lang w:eastAsia="en-IN"/>
                <w14:ligatures w14:val="none"/>
              </w:rPr>
              <w:t xml:space="preserve"> </w:t>
            </w:r>
          </w:p>
        </w:tc>
        <w:tc>
          <w:tcPr>
            <w:tcW w:w="5376" w:type="dxa"/>
            <w:gridSpan w:val="5"/>
            <w:tcBorders>
              <w:top w:val="single" w:sz="4" w:space="0" w:color="auto"/>
              <w:left w:val="nil"/>
              <w:bottom w:val="single" w:sz="4" w:space="0" w:color="auto"/>
              <w:right w:val="single" w:sz="4" w:space="0" w:color="000000"/>
            </w:tcBorders>
            <w:noWrap/>
            <w:vAlign w:val="center"/>
            <w:hideMark/>
          </w:tcPr>
          <w:p w14:paraId="08377724" w14:textId="4D71E6D4" w:rsidR="00EF645B" w:rsidRPr="008E2A3E" w:rsidRDefault="00EF645B" w:rsidP="00EF645B">
            <w:pPr>
              <w:spacing w:after="0" w:line="240" w:lineRule="auto"/>
              <w:jc w:val="center"/>
              <w:rPr>
                <w:rFonts w:ascii="Times New Roman" w:eastAsia="Times New Roman" w:hAnsi="Times New Roman" w:cs="Times New Roman"/>
                <w:b/>
                <w:bCs/>
                <w:color w:val="000000"/>
                <w:kern w:val="0"/>
                <w:szCs w:val="24"/>
                <w:lang w:eastAsia="en-IN"/>
                <w14:ligatures w14:val="none"/>
              </w:rPr>
            </w:pPr>
            <w:r w:rsidRPr="008E2A3E">
              <w:rPr>
                <w:rFonts w:ascii="Times New Roman" w:eastAsia="Times New Roman" w:hAnsi="Times New Roman" w:cs="Times New Roman"/>
                <w:b/>
                <w:bCs/>
                <w:color w:val="000000"/>
                <w:kern w:val="0"/>
                <w:szCs w:val="24"/>
                <w:lang w:eastAsia="en-IN"/>
                <w14:ligatures w14:val="none"/>
              </w:rPr>
              <w:t>Agriculture &amp; Animal Husbandry</w:t>
            </w:r>
            <w:r w:rsidR="003C6391">
              <w:rPr>
                <w:rFonts w:ascii="Times New Roman" w:eastAsia="Times New Roman" w:hAnsi="Times New Roman" w:cs="Times New Roman"/>
                <w:b/>
                <w:bCs/>
                <w:color w:val="000000"/>
                <w:kern w:val="0"/>
                <w:szCs w:val="24"/>
                <w:lang w:eastAsia="en-IN"/>
                <w14:ligatures w14:val="none"/>
              </w:rPr>
              <w:t xml:space="preserve"> sectors</w:t>
            </w:r>
            <w:r w:rsidRPr="008E2A3E">
              <w:rPr>
                <w:rFonts w:ascii="Times New Roman" w:eastAsia="Times New Roman" w:hAnsi="Times New Roman" w:cs="Times New Roman"/>
                <w:b/>
                <w:bCs/>
                <w:color w:val="000000"/>
                <w:kern w:val="0"/>
                <w:szCs w:val="24"/>
                <w:lang w:eastAsia="en-IN"/>
                <w14:ligatures w14:val="none"/>
              </w:rPr>
              <w:t xml:space="preserve"> </w:t>
            </w:r>
          </w:p>
        </w:tc>
      </w:tr>
      <w:tr w:rsidR="00EF645B" w:rsidRPr="008E2A3E" w14:paraId="2CD1049E" w14:textId="77777777" w:rsidTr="008E2A3E">
        <w:trPr>
          <w:trHeight w:val="300"/>
          <w:jc w:val="center"/>
        </w:trPr>
        <w:tc>
          <w:tcPr>
            <w:tcW w:w="3173" w:type="dxa"/>
            <w:tcBorders>
              <w:top w:val="nil"/>
              <w:left w:val="single" w:sz="4" w:space="0" w:color="auto"/>
              <w:bottom w:val="single" w:sz="4" w:space="0" w:color="auto"/>
              <w:right w:val="single" w:sz="4" w:space="0" w:color="auto"/>
            </w:tcBorders>
            <w:noWrap/>
            <w:vAlign w:val="center"/>
            <w:hideMark/>
          </w:tcPr>
          <w:p w14:paraId="509AD586" w14:textId="77777777" w:rsidR="00EF645B" w:rsidRPr="008E2A3E" w:rsidRDefault="00EF645B" w:rsidP="00EF645B">
            <w:pPr>
              <w:spacing w:after="0" w:line="240" w:lineRule="auto"/>
              <w:jc w:val="center"/>
              <w:rPr>
                <w:rFonts w:ascii="Times New Roman" w:eastAsia="Times New Roman" w:hAnsi="Times New Roman" w:cs="Times New Roman"/>
                <w:b/>
                <w:bCs/>
                <w:color w:val="000000"/>
                <w:kern w:val="0"/>
                <w:szCs w:val="24"/>
                <w:lang w:eastAsia="en-IN"/>
                <w14:ligatures w14:val="none"/>
              </w:rPr>
            </w:pPr>
            <w:r w:rsidRPr="008E2A3E">
              <w:rPr>
                <w:rFonts w:ascii="Times New Roman" w:eastAsia="Times New Roman" w:hAnsi="Times New Roman" w:cs="Times New Roman"/>
                <w:b/>
                <w:bCs/>
                <w:color w:val="000000"/>
                <w:kern w:val="0"/>
                <w:szCs w:val="24"/>
                <w:lang w:eastAsia="en-IN"/>
                <w14:ligatures w14:val="none"/>
              </w:rPr>
              <w:t> </w:t>
            </w:r>
          </w:p>
        </w:tc>
        <w:tc>
          <w:tcPr>
            <w:tcW w:w="1075" w:type="dxa"/>
            <w:tcBorders>
              <w:top w:val="nil"/>
              <w:left w:val="nil"/>
              <w:bottom w:val="single" w:sz="4" w:space="0" w:color="auto"/>
              <w:right w:val="single" w:sz="4" w:space="0" w:color="auto"/>
            </w:tcBorders>
            <w:noWrap/>
            <w:vAlign w:val="center"/>
            <w:hideMark/>
          </w:tcPr>
          <w:p w14:paraId="5EFE524A" w14:textId="77777777" w:rsidR="00EF645B" w:rsidRPr="008E2A3E" w:rsidRDefault="00EF645B" w:rsidP="00EF645B">
            <w:pPr>
              <w:spacing w:after="0" w:line="240" w:lineRule="auto"/>
              <w:jc w:val="center"/>
              <w:rPr>
                <w:rFonts w:ascii="Times New Roman" w:eastAsia="Times New Roman" w:hAnsi="Times New Roman" w:cs="Times New Roman"/>
                <w:b/>
                <w:bCs/>
                <w:color w:val="000000"/>
                <w:kern w:val="0"/>
                <w:szCs w:val="24"/>
                <w:lang w:eastAsia="en-IN"/>
                <w14:ligatures w14:val="none"/>
              </w:rPr>
            </w:pPr>
            <w:r w:rsidRPr="008E2A3E">
              <w:rPr>
                <w:rFonts w:ascii="Times New Roman" w:eastAsia="Times New Roman" w:hAnsi="Times New Roman" w:cs="Times New Roman"/>
                <w:b/>
                <w:bCs/>
                <w:color w:val="000000"/>
                <w:kern w:val="0"/>
                <w:szCs w:val="24"/>
                <w:lang w:eastAsia="en-IN"/>
                <w14:ligatures w14:val="none"/>
              </w:rPr>
              <w:t>1960-61</w:t>
            </w:r>
          </w:p>
        </w:tc>
        <w:tc>
          <w:tcPr>
            <w:tcW w:w="1075" w:type="dxa"/>
            <w:tcBorders>
              <w:top w:val="nil"/>
              <w:left w:val="nil"/>
              <w:bottom w:val="single" w:sz="4" w:space="0" w:color="auto"/>
              <w:right w:val="single" w:sz="4" w:space="0" w:color="auto"/>
            </w:tcBorders>
            <w:noWrap/>
            <w:vAlign w:val="center"/>
            <w:hideMark/>
          </w:tcPr>
          <w:p w14:paraId="5DA7CE34" w14:textId="77777777" w:rsidR="00EF645B" w:rsidRPr="008E2A3E" w:rsidRDefault="00EF645B" w:rsidP="00EF645B">
            <w:pPr>
              <w:spacing w:after="0" w:line="240" w:lineRule="auto"/>
              <w:jc w:val="center"/>
              <w:rPr>
                <w:rFonts w:ascii="Times New Roman" w:eastAsia="Times New Roman" w:hAnsi="Times New Roman" w:cs="Times New Roman"/>
                <w:b/>
                <w:bCs/>
                <w:color w:val="000000"/>
                <w:kern w:val="0"/>
                <w:szCs w:val="24"/>
                <w:lang w:eastAsia="en-IN"/>
                <w14:ligatures w14:val="none"/>
              </w:rPr>
            </w:pPr>
            <w:r w:rsidRPr="008E2A3E">
              <w:rPr>
                <w:rFonts w:ascii="Times New Roman" w:eastAsia="Times New Roman" w:hAnsi="Times New Roman" w:cs="Times New Roman"/>
                <w:b/>
                <w:bCs/>
                <w:color w:val="000000"/>
                <w:kern w:val="0"/>
                <w:szCs w:val="24"/>
                <w:lang w:eastAsia="en-IN"/>
                <w14:ligatures w14:val="none"/>
              </w:rPr>
              <w:t>1961-62</w:t>
            </w:r>
          </w:p>
        </w:tc>
        <w:tc>
          <w:tcPr>
            <w:tcW w:w="1075" w:type="dxa"/>
            <w:tcBorders>
              <w:top w:val="nil"/>
              <w:left w:val="nil"/>
              <w:bottom w:val="single" w:sz="4" w:space="0" w:color="auto"/>
              <w:right w:val="single" w:sz="4" w:space="0" w:color="auto"/>
            </w:tcBorders>
            <w:noWrap/>
            <w:vAlign w:val="center"/>
            <w:hideMark/>
          </w:tcPr>
          <w:p w14:paraId="099E7B42" w14:textId="77777777" w:rsidR="00EF645B" w:rsidRPr="008E2A3E" w:rsidRDefault="00EF645B" w:rsidP="00EF645B">
            <w:pPr>
              <w:spacing w:after="0" w:line="240" w:lineRule="auto"/>
              <w:jc w:val="center"/>
              <w:rPr>
                <w:rFonts w:ascii="Times New Roman" w:eastAsia="Times New Roman" w:hAnsi="Times New Roman" w:cs="Times New Roman"/>
                <w:b/>
                <w:bCs/>
                <w:color w:val="000000"/>
                <w:kern w:val="0"/>
                <w:szCs w:val="24"/>
                <w:lang w:eastAsia="en-IN"/>
                <w14:ligatures w14:val="none"/>
              </w:rPr>
            </w:pPr>
            <w:r w:rsidRPr="008E2A3E">
              <w:rPr>
                <w:rFonts w:ascii="Times New Roman" w:eastAsia="Times New Roman" w:hAnsi="Times New Roman" w:cs="Times New Roman"/>
                <w:b/>
                <w:bCs/>
                <w:color w:val="000000"/>
                <w:kern w:val="0"/>
                <w:szCs w:val="24"/>
                <w:lang w:eastAsia="en-IN"/>
                <w14:ligatures w14:val="none"/>
              </w:rPr>
              <w:t>1962-63</w:t>
            </w:r>
          </w:p>
        </w:tc>
        <w:tc>
          <w:tcPr>
            <w:tcW w:w="1075" w:type="dxa"/>
            <w:tcBorders>
              <w:top w:val="nil"/>
              <w:left w:val="nil"/>
              <w:bottom w:val="single" w:sz="4" w:space="0" w:color="auto"/>
              <w:right w:val="single" w:sz="4" w:space="0" w:color="auto"/>
            </w:tcBorders>
            <w:noWrap/>
            <w:vAlign w:val="center"/>
            <w:hideMark/>
          </w:tcPr>
          <w:p w14:paraId="1FEB48B4" w14:textId="77777777" w:rsidR="00EF645B" w:rsidRPr="008E2A3E" w:rsidRDefault="00EF645B" w:rsidP="00EF645B">
            <w:pPr>
              <w:spacing w:after="0" w:line="240" w:lineRule="auto"/>
              <w:jc w:val="center"/>
              <w:rPr>
                <w:rFonts w:ascii="Times New Roman" w:eastAsia="Times New Roman" w:hAnsi="Times New Roman" w:cs="Times New Roman"/>
                <w:b/>
                <w:bCs/>
                <w:color w:val="000000"/>
                <w:kern w:val="0"/>
                <w:szCs w:val="24"/>
                <w:lang w:eastAsia="en-IN"/>
                <w14:ligatures w14:val="none"/>
              </w:rPr>
            </w:pPr>
            <w:r w:rsidRPr="008E2A3E">
              <w:rPr>
                <w:rFonts w:ascii="Times New Roman" w:eastAsia="Times New Roman" w:hAnsi="Times New Roman" w:cs="Times New Roman"/>
                <w:b/>
                <w:bCs/>
                <w:color w:val="000000"/>
                <w:kern w:val="0"/>
                <w:szCs w:val="24"/>
                <w:lang w:eastAsia="en-IN"/>
                <w14:ligatures w14:val="none"/>
              </w:rPr>
              <w:t>1963-64</w:t>
            </w:r>
          </w:p>
        </w:tc>
        <w:tc>
          <w:tcPr>
            <w:tcW w:w="1076" w:type="dxa"/>
            <w:tcBorders>
              <w:top w:val="nil"/>
              <w:left w:val="nil"/>
              <w:bottom w:val="single" w:sz="4" w:space="0" w:color="auto"/>
              <w:right w:val="single" w:sz="4" w:space="0" w:color="auto"/>
            </w:tcBorders>
            <w:noWrap/>
            <w:vAlign w:val="center"/>
            <w:hideMark/>
          </w:tcPr>
          <w:p w14:paraId="2050DDEF" w14:textId="77777777" w:rsidR="00EF645B" w:rsidRPr="008E2A3E" w:rsidRDefault="00EF645B" w:rsidP="00EF645B">
            <w:pPr>
              <w:spacing w:after="0" w:line="240" w:lineRule="auto"/>
              <w:jc w:val="center"/>
              <w:rPr>
                <w:rFonts w:ascii="Times New Roman" w:eastAsia="Times New Roman" w:hAnsi="Times New Roman" w:cs="Times New Roman"/>
                <w:b/>
                <w:bCs/>
                <w:color w:val="000000"/>
                <w:kern w:val="0"/>
                <w:szCs w:val="24"/>
                <w:lang w:eastAsia="en-IN"/>
                <w14:ligatures w14:val="none"/>
              </w:rPr>
            </w:pPr>
            <w:r w:rsidRPr="008E2A3E">
              <w:rPr>
                <w:rFonts w:ascii="Times New Roman" w:eastAsia="Times New Roman" w:hAnsi="Times New Roman" w:cs="Times New Roman"/>
                <w:b/>
                <w:bCs/>
                <w:color w:val="000000"/>
                <w:kern w:val="0"/>
                <w:szCs w:val="24"/>
                <w:lang w:eastAsia="en-IN"/>
                <w14:ligatures w14:val="none"/>
              </w:rPr>
              <w:t>1964-65</w:t>
            </w:r>
          </w:p>
        </w:tc>
        <w:tc>
          <w:tcPr>
            <w:tcW w:w="1075" w:type="dxa"/>
            <w:tcBorders>
              <w:top w:val="nil"/>
              <w:left w:val="nil"/>
              <w:bottom w:val="single" w:sz="4" w:space="0" w:color="auto"/>
              <w:right w:val="single" w:sz="4" w:space="0" w:color="auto"/>
            </w:tcBorders>
            <w:noWrap/>
            <w:vAlign w:val="center"/>
            <w:hideMark/>
          </w:tcPr>
          <w:p w14:paraId="595EEAAC" w14:textId="77777777" w:rsidR="00EF645B" w:rsidRPr="008E2A3E" w:rsidRDefault="00EF645B" w:rsidP="00EF645B">
            <w:pPr>
              <w:spacing w:after="0" w:line="240" w:lineRule="auto"/>
              <w:jc w:val="center"/>
              <w:rPr>
                <w:rFonts w:ascii="Times New Roman" w:eastAsia="Times New Roman" w:hAnsi="Times New Roman" w:cs="Times New Roman"/>
                <w:b/>
                <w:bCs/>
                <w:color w:val="000000"/>
                <w:kern w:val="0"/>
                <w:szCs w:val="24"/>
                <w:lang w:eastAsia="en-IN"/>
                <w14:ligatures w14:val="none"/>
              </w:rPr>
            </w:pPr>
            <w:r w:rsidRPr="008E2A3E">
              <w:rPr>
                <w:rFonts w:ascii="Times New Roman" w:eastAsia="Times New Roman" w:hAnsi="Times New Roman" w:cs="Times New Roman"/>
                <w:b/>
                <w:bCs/>
                <w:color w:val="000000"/>
                <w:kern w:val="0"/>
                <w:szCs w:val="24"/>
                <w:lang w:eastAsia="en-IN"/>
                <w14:ligatures w14:val="none"/>
              </w:rPr>
              <w:t>1960-61</w:t>
            </w:r>
          </w:p>
        </w:tc>
        <w:tc>
          <w:tcPr>
            <w:tcW w:w="1075" w:type="dxa"/>
            <w:tcBorders>
              <w:top w:val="nil"/>
              <w:left w:val="nil"/>
              <w:bottom w:val="single" w:sz="4" w:space="0" w:color="auto"/>
              <w:right w:val="single" w:sz="4" w:space="0" w:color="auto"/>
            </w:tcBorders>
            <w:noWrap/>
            <w:vAlign w:val="center"/>
            <w:hideMark/>
          </w:tcPr>
          <w:p w14:paraId="295DA1F3" w14:textId="77777777" w:rsidR="00EF645B" w:rsidRPr="008E2A3E" w:rsidRDefault="00EF645B" w:rsidP="00EF645B">
            <w:pPr>
              <w:spacing w:after="0" w:line="240" w:lineRule="auto"/>
              <w:jc w:val="center"/>
              <w:rPr>
                <w:rFonts w:ascii="Times New Roman" w:eastAsia="Times New Roman" w:hAnsi="Times New Roman" w:cs="Times New Roman"/>
                <w:b/>
                <w:bCs/>
                <w:color w:val="000000"/>
                <w:kern w:val="0"/>
                <w:szCs w:val="24"/>
                <w:lang w:eastAsia="en-IN"/>
                <w14:ligatures w14:val="none"/>
              </w:rPr>
            </w:pPr>
            <w:r w:rsidRPr="008E2A3E">
              <w:rPr>
                <w:rFonts w:ascii="Times New Roman" w:eastAsia="Times New Roman" w:hAnsi="Times New Roman" w:cs="Times New Roman"/>
                <w:b/>
                <w:bCs/>
                <w:color w:val="000000"/>
                <w:kern w:val="0"/>
                <w:szCs w:val="24"/>
                <w:lang w:eastAsia="en-IN"/>
                <w14:ligatures w14:val="none"/>
              </w:rPr>
              <w:t>1961-62</w:t>
            </w:r>
          </w:p>
        </w:tc>
        <w:tc>
          <w:tcPr>
            <w:tcW w:w="1075" w:type="dxa"/>
            <w:tcBorders>
              <w:top w:val="nil"/>
              <w:left w:val="nil"/>
              <w:bottom w:val="single" w:sz="4" w:space="0" w:color="auto"/>
              <w:right w:val="single" w:sz="4" w:space="0" w:color="auto"/>
            </w:tcBorders>
            <w:noWrap/>
            <w:vAlign w:val="center"/>
            <w:hideMark/>
          </w:tcPr>
          <w:p w14:paraId="081ABC79" w14:textId="77777777" w:rsidR="00EF645B" w:rsidRPr="008E2A3E" w:rsidRDefault="00EF645B" w:rsidP="00EF645B">
            <w:pPr>
              <w:spacing w:after="0" w:line="240" w:lineRule="auto"/>
              <w:jc w:val="center"/>
              <w:rPr>
                <w:rFonts w:ascii="Times New Roman" w:eastAsia="Times New Roman" w:hAnsi="Times New Roman" w:cs="Times New Roman"/>
                <w:b/>
                <w:bCs/>
                <w:color w:val="000000"/>
                <w:kern w:val="0"/>
                <w:szCs w:val="24"/>
                <w:lang w:eastAsia="en-IN"/>
                <w14:ligatures w14:val="none"/>
              </w:rPr>
            </w:pPr>
            <w:r w:rsidRPr="008E2A3E">
              <w:rPr>
                <w:rFonts w:ascii="Times New Roman" w:eastAsia="Times New Roman" w:hAnsi="Times New Roman" w:cs="Times New Roman"/>
                <w:b/>
                <w:bCs/>
                <w:color w:val="000000"/>
                <w:kern w:val="0"/>
                <w:szCs w:val="24"/>
                <w:lang w:eastAsia="en-IN"/>
                <w14:ligatures w14:val="none"/>
              </w:rPr>
              <w:t>1962-63</w:t>
            </w:r>
          </w:p>
        </w:tc>
        <w:tc>
          <w:tcPr>
            <w:tcW w:w="1075" w:type="dxa"/>
            <w:tcBorders>
              <w:top w:val="nil"/>
              <w:left w:val="nil"/>
              <w:bottom w:val="single" w:sz="4" w:space="0" w:color="auto"/>
              <w:right w:val="single" w:sz="4" w:space="0" w:color="auto"/>
            </w:tcBorders>
            <w:noWrap/>
            <w:vAlign w:val="center"/>
            <w:hideMark/>
          </w:tcPr>
          <w:p w14:paraId="04BD3598" w14:textId="77777777" w:rsidR="00EF645B" w:rsidRPr="008E2A3E" w:rsidRDefault="00EF645B" w:rsidP="00EF645B">
            <w:pPr>
              <w:spacing w:after="0" w:line="240" w:lineRule="auto"/>
              <w:jc w:val="center"/>
              <w:rPr>
                <w:rFonts w:ascii="Times New Roman" w:eastAsia="Times New Roman" w:hAnsi="Times New Roman" w:cs="Times New Roman"/>
                <w:b/>
                <w:bCs/>
                <w:color w:val="000000"/>
                <w:kern w:val="0"/>
                <w:szCs w:val="24"/>
                <w:lang w:eastAsia="en-IN"/>
                <w14:ligatures w14:val="none"/>
              </w:rPr>
            </w:pPr>
            <w:r w:rsidRPr="008E2A3E">
              <w:rPr>
                <w:rFonts w:ascii="Times New Roman" w:eastAsia="Times New Roman" w:hAnsi="Times New Roman" w:cs="Times New Roman"/>
                <w:b/>
                <w:bCs/>
                <w:color w:val="000000"/>
                <w:kern w:val="0"/>
                <w:szCs w:val="24"/>
                <w:lang w:eastAsia="en-IN"/>
                <w14:ligatures w14:val="none"/>
              </w:rPr>
              <w:t>1963-64</w:t>
            </w:r>
          </w:p>
        </w:tc>
        <w:tc>
          <w:tcPr>
            <w:tcW w:w="1076" w:type="dxa"/>
            <w:tcBorders>
              <w:top w:val="nil"/>
              <w:left w:val="nil"/>
              <w:bottom w:val="single" w:sz="4" w:space="0" w:color="auto"/>
              <w:right w:val="single" w:sz="4" w:space="0" w:color="auto"/>
            </w:tcBorders>
            <w:noWrap/>
            <w:vAlign w:val="center"/>
            <w:hideMark/>
          </w:tcPr>
          <w:p w14:paraId="69BDAE35" w14:textId="77777777" w:rsidR="00EF645B" w:rsidRPr="008E2A3E" w:rsidRDefault="00EF645B" w:rsidP="00EF645B">
            <w:pPr>
              <w:spacing w:after="0" w:line="240" w:lineRule="auto"/>
              <w:jc w:val="center"/>
              <w:rPr>
                <w:rFonts w:ascii="Times New Roman" w:eastAsia="Times New Roman" w:hAnsi="Times New Roman" w:cs="Times New Roman"/>
                <w:b/>
                <w:bCs/>
                <w:color w:val="000000"/>
                <w:kern w:val="0"/>
                <w:szCs w:val="24"/>
                <w:lang w:eastAsia="en-IN"/>
                <w14:ligatures w14:val="none"/>
              </w:rPr>
            </w:pPr>
            <w:r w:rsidRPr="008E2A3E">
              <w:rPr>
                <w:rFonts w:ascii="Times New Roman" w:eastAsia="Times New Roman" w:hAnsi="Times New Roman" w:cs="Times New Roman"/>
                <w:b/>
                <w:bCs/>
                <w:color w:val="000000"/>
                <w:kern w:val="0"/>
                <w:szCs w:val="24"/>
                <w:lang w:eastAsia="en-IN"/>
                <w14:ligatures w14:val="none"/>
              </w:rPr>
              <w:t>1964-65</w:t>
            </w:r>
          </w:p>
        </w:tc>
      </w:tr>
      <w:tr w:rsidR="00EF645B" w:rsidRPr="008E2A3E" w14:paraId="04917575" w14:textId="77777777" w:rsidTr="008E2A3E">
        <w:trPr>
          <w:trHeight w:val="300"/>
          <w:jc w:val="center"/>
        </w:trPr>
        <w:tc>
          <w:tcPr>
            <w:tcW w:w="3173" w:type="dxa"/>
            <w:tcBorders>
              <w:top w:val="nil"/>
              <w:left w:val="single" w:sz="4" w:space="0" w:color="auto"/>
              <w:bottom w:val="single" w:sz="4" w:space="0" w:color="auto"/>
              <w:right w:val="single" w:sz="4" w:space="0" w:color="auto"/>
            </w:tcBorders>
            <w:noWrap/>
            <w:vAlign w:val="center"/>
            <w:hideMark/>
          </w:tcPr>
          <w:p w14:paraId="69AAE14F" w14:textId="77777777" w:rsidR="00EF645B" w:rsidRPr="008E2A3E" w:rsidRDefault="00EF645B" w:rsidP="00EF645B">
            <w:pPr>
              <w:spacing w:after="0" w:line="240" w:lineRule="auto"/>
              <w:jc w:val="center"/>
              <w:rPr>
                <w:rFonts w:ascii="Times New Roman" w:eastAsia="Times New Roman" w:hAnsi="Times New Roman" w:cs="Times New Roman"/>
                <w:color w:val="000000"/>
                <w:kern w:val="0"/>
                <w:szCs w:val="24"/>
                <w:lang w:eastAsia="en-IN"/>
                <w14:ligatures w14:val="none"/>
              </w:rPr>
            </w:pPr>
            <w:r w:rsidRPr="008E2A3E">
              <w:rPr>
                <w:rFonts w:ascii="Times New Roman" w:eastAsia="Times New Roman" w:hAnsi="Times New Roman" w:cs="Times New Roman"/>
                <w:color w:val="000000"/>
                <w:kern w:val="0"/>
                <w:szCs w:val="24"/>
                <w:lang w:eastAsia="en-IN"/>
                <w14:ligatures w14:val="none"/>
              </w:rPr>
              <w:t>1</w:t>
            </w:r>
          </w:p>
        </w:tc>
        <w:tc>
          <w:tcPr>
            <w:tcW w:w="1075" w:type="dxa"/>
            <w:tcBorders>
              <w:top w:val="nil"/>
              <w:left w:val="nil"/>
              <w:bottom w:val="single" w:sz="4" w:space="0" w:color="auto"/>
              <w:right w:val="single" w:sz="4" w:space="0" w:color="auto"/>
            </w:tcBorders>
            <w:noWrap/>
            <w:vAlign w:val="center"/>
            <w:hideMark/>
          </w:tcPr>
          <w:p w14:paraId="5B929194" w14:textId="77777777" w:rsidR="00EF645B" w:rsidRPr="008E2A3E" w:rsidRDefault="00EF645B" w:rsidP="00EF645B">
            <w:pPr>
              <w:spacing w:after="0" w:line="240" w:lineRule="auto"/>
              <w:jc w:val="center"/>
              <w:rPr>
                <w:rFonts w:ascii="Times New Roman" w:eastAsia="Times New Roman" w:hAnsi="Times New Roman" w:cs="Times New Roman"/>
                <w:color w:val="000000"/>
                <w:kern w:val="0"/>
                <w:szCs w:val="24"/>
                <w:lang w:eastAsia="en-IN"/>
                <w14:ligatures w14:val="none"/>
              </w:rPr>
            </w:pPr>
            <w:r w:rsidRPr="008E2A3E">
              <w:rPr>
                <w:rFonts w:ascii="Times New Roman" w:eastAsia="Times New Roman" w:hAnsi="Times New Roman" w:cs="Times New Roman"/>
                <w:color w:val="000000"/>
                <w:kern w:val="0"/>
                <w:szCs w:val="24"/>
                <w:lang w:eastAsia="en-IN"/>
                <w14:ligatures w14:val="none"/>
              </w:rPr>
              <w:t>2</w:t>
            </w:r>
          </w:p>
        </w:tc>
        <w:tc>
          <w:tcPr>
            <w:tcW w:w="1075" w:type="dxa"/>
            <w:tcBorders>
              <w:top w:val="nil"/>
              <w:left w:val="nil"/>
              <w:bottom w:val="single" w:sz="4" w:space="0" w:color="auto"/>
              <w:right w:val="single" w:sz="4" w:space="0" w:color="auto"/>
            </w:tcBorders>
            <w:noWrap/>
            <w:vAlign w:val="center"/>
            <w:hideMark/>
          </w:tcPr>
          <w:p w14:paraId="20E7BA9A" w14:textId="77777777" w:rsidR="00EF645B" w:rsidRPr="008E2A3E" w:rsidRDefault="00EF645B" w:rsidP="00EF645B">
            <w:pPr>
              <w:spacing w:after="0" w:line="240" w:lineRule="auto"/>
              <w:jc w:val="center"/>
              <w:rPr>
                <w:rFonts w:ascii="Times New Roman" w:eastAsia="Times New Roman" w:hAnsi="Times New Roman" w:cs="Times New Roman"/>
                <w:color w:val="000000"/>
                <w:kern w:val="0"/>
                <w:szCs w:val="24"/>
                <w:lang w:eastAsia="en-IN"/>
                <w14:ligatures w14:val="none"/>
              </w:rPr>
            </w:pPr>
            <w:r w:rsidRPr="008E2A3E">
              <w:rPr>
                <w:rFonts w:ascii="Times New Roman" w:eastAsia="Times New Roman" w:hAnsi="Times New Roman" w:cs="Times New Roman"/>
                <w:color w:val="000000"/>
                <w:kern w:val="0"/>
                <w:szCs w:val="24"/>
                <w:lang w:eastAsia="en-IN"/>
                <w14:ligatures w14:val="none"/>
              </w:rPr>
              <w:t>3</w:t>
            </w:r>
          </w:p>
        </w:tc>
        <w:tc>
          <w:tcPr>
            <w:tcW w:w="1075" w:type="dxa"/>
            <w:tcBorders>
              <w:top w:val="nil"/>
              <w:left w:val="nil"/>
              <w:bottom w:val="single" w:sz="4" w:space="0" w:color="auto"/>
              <w:right w:val="single" w:sz="4" w:space="0" w:color="auto"/>
            </w:tcBorders>
            <w:noWrap/>
            <w:vAlign w:val="center"/>
            <w:hideMark/>
          </w:tcPr>
          <w:p w14:paraId="74EE65A2" w14:textId="77777777" w:rsidR="00EF645B" w:rsidRPr="008E2A3E" w:rsidRDefault="00EF645B" w:rsidP="00EF645B">
            <w:pPr>
              <w:spacing w:after="0" w:line="240" w:lineRule="auto"/>
              <w:jc w:val="center"/>
              <w:rPr>
                <w:rFonts w:ascii="Times New Roman" w:eastAsia="Times New Roman" w:hAnsi="Times New Roman" w:cs="Times New Roman"/>
                <w:color w:val="000000"/>
                <w:kern w:val="0"/>
                <w:szCs w:val="24"/>
                <w:lang w:eastAsia="en-IN"/>
                <w14:ligatures w14:val="none"/>
              </w:rPr>
            </w:pPr>
            <w:r w:rsidRPr="008E2A3E">
              <w:rPr>
                <w:rFonts w:ascii="Times New Roman" w:eastAsia="Times New Roman" w:hAnsi="Times New Roman" w:cs="Times New Roman"/>
                <w:color w:val="000000"/>
                <w:kern w:val="0"/>
                <w:szCs w:val="24"/>
                <w:lang w:eastAsia="en-IN"/>
                <w14:ligatures w14:val="none"/>
              </w:rPr>
              <w:t>4</w:t>
            </w:r>
          </w:p>
        </w:tc>
        <w:tc>
          <w:tcPr>
            <w:tcW w:w="1075" w:type="dxa"/>
            <w:tcBorders>
              <w:top w:val="nil"/>
              <w:left w:val="nil"/>
              <w:bottom w:val="single" w:sz="4" w:space="0" w:color="auto"/>
              <w:right w:val="single" w:sz="4" w:space="0" w:color="auto"/>
            </w:tcBorders>
            <w:noWrap/>
            <w:vAlign w:val="center"/>
            <w:hideMark/>
          </w:tcPr>
          <w:p w14:paraId="78BDE0D3" w14:textId="77777777" w:rsidR="00EF645B" w:rsidRPr="008E2A3E" w:rsidRDefault="00EF645B" w:rsidP="00EF645B">
            <w:pPr>
              <w:spacing w:after="0" w:line="240" w:lineRule="auto"/>
              <w:jc w:val="center"/>
              <w:rPr>
                <w:rFonts w:ascii="Times New Roman" w:eastAsia="Times New Roman" w:hAnsi="Times New Roman" w:cs="Times New Roman"/>
                <w:color w:val="000000"/>
                <w:kern w:val="0"/>
                <w:szCs w:val="24"/>
                <w:lang w:eastAsia="en-IN"/>
                <w14:ligatures w14:val="none"/>
              </w:rPr>
            </w:pPr>
            <w:r w:rsidRPr="008E2A3E">
              <w:rPr>
                <w:rFonts w:ascii="Times New Roman" w:eastAsia="Times New Roman" w:hAnsi="Times New Roman" w:cs="Times New Roman"/>
                <w:color w:val="000000"/>
                <w:kern w:val="0"/>
                <w:szCs w:val="24"/>
                <w:lang w:eastAsia="en-IN"/>
                <w14:ligatures w14:val="none"/>
              </w:rPr>
              <w:t>5</w:t>
            </w:r>
          </w:p>
        </w:tc>
        <w:tc>
          <w:tcPr>
            <w:tcW w:w="1076" w:type="dxa"/>
            <w:tcBorders>
              <w:top w:val="nil"/>
              <w:left w:val="nil"/>
              <w:bottom w:val="single" w:sz="4" w:space="0" w:color="auto"/>
              <w:right w:val="single" w:sz="4" w:space="0" w:color="auto"/>
            </w:tcBorders>
            <w:noWrap/>
            <w:vAlign w:val="center"/>
            <w:hideMark/>
          </w:tcPr>
          <w:p w14:paraId="2766EAED" w14:textId="77777777" w:rsidR="00EF645B" w:rsidRPr="008E2A3E" w:rsidRDefault="00EF645B" w:rsidP="00EF645B">
            <w:pPr>
              <w:spacing w:after="0" w:line="240" w:lineRule="auto"/>
              <w:jc w:val="center"/>
              <w:rPr>
                <w:rFonts w:ascii="Times New Roman" w:eastAsia="Times New Roman" w:hAnsi="Times New Roman" w:cs="Times New Roman"/>
                <w:color w:val="000000"/>
                <w:kern w:val="0"/>
                <w:szCs w:val="24"/>
                <w:lang w:eastAsia="en-IN"/>
                <w14:ligatures w14:val="none"/>
              </w:rPr>
            </w:pPr>
            <w:r w:rsidRPr="008E2A3E">
              <w:rPr>
                <w:rFonts w:ascii="Times New Roman" w:eastAsia="Times New Roman" w:hAnsi="Times New Roman" w:cs="Times New Roman"/>
                <w:color w:val="000000"/>
                <w:kern w:val="0"/>
                <w:szCs w:val="24"/>
                <w:lang w:eastAsia="en-IN"/>
                <w14:ligatures w14:val="none"/>
              </w:rPr>
              <w:t>6</w:t>
            </w:r>
          </w:p>
        </w:tc>
        <w:tc>
          <w:tcPr>
            <w:tcW w:w="1075" w:type="dxa"/>
            <w:tcBorders>
              <w:top w:val="nil"/>
              <w:left w:val="nil"/>
              <w:bottom w:val="single" w:sz="4" w:space="0" w:color="auto"/>
              <w:right w:val="single" w:sz="4" w:space="0" w:color="auto"/>
            </w:tcBorders>
            <w:noWrap/>
            <w:vAlign w:val="center"/>
            <w:hideMark/>
          </w:tcPr>
          <w:p w14:paraId="324F4BB5" w14:textId="77777777" w:rsidR="00EF645B" w:rsidRPr="008E2A3E" w:rsidRDefault="00EF645B" w:rsidP="00EF645B">
            <w:pPr>
              <w:spacing w:after="0" w:line="240" w:lineRule="auto"/>
              <w:jc w:val="center"/>
              <w:rPr>
                <w:rFonts w:ascii="Times New Roman" w:eastAsia="Times New Roman" w:hAnsi="Times New Roman" w:cs="Times New Roman"/>
                <w:color w:val="000000"/>
                <w:kern w:val="0"/>
                <w:szCs w:val="24"/>
                <w:lang w:eastAsia="en-IN"/>
                <w14:ligatures w14:val="none"/>
              </w:rPr>
            </w:pPr>
            <w:r w:rsidRPr="008E2A3E">
              <w:rPr>
                <w:rFonts w:ascii="Times New Roman" w:eastAsia="Times New Roman" w:hAnsi="Times New Roman" w:cs="Times New Roman"/>
                <w:color w:val="000000"/>
                <w:kern w:val="0"/>
                <w:szCs w:val="24"/>
                <w:lang w:eastAsia="en-IN"/>
                <w14:ligatures w14:val="none"/>
              </w:rPr>
              <w:t>7</w:t>
            </w:r>
          </w:p>
        </w:tc>
        <w:tc>
          <w:tcPr>
            <w:tcW w:w="1075" w:type="dxa"/>
            <w:tcBorders>
              <w:top w:val="nil"/>
              <w:left w:val="nil"/>
              <w:bottom w:val="single" w:sz="4" w:space="0" w:color="auto"/>
              <w:right w:val="single" w:sz="4" w:space="0" w:color="auto"/>
            </w:tcBorders>
            <w:noWrap/>
            <w:vAlign w:val="center"/>
            <w:hideMark/>
          </w:tcPr>
          <w:p w14:paraId="27182EC7" w14:textId="77777777" w:rsidR="00EF645B" w:rsidRPr="008E2A3E" w:rsidRDefault="00EF645B" w:rsidP="00EF645B">
            <w:pPr>
              <w:spacing w:after="0" w:line="240" w:lineRule="auto"/>
              <w:jc w:val="center"/>
              <w:rPr>
                <w:rFonts w:ascii="Times New Roman" w:eastAsia="Times New Roman" w:hAnsi="Times New Roman" w:cs="Times New Roman"/>
                <w:color w:val="000000"/>
                <w:kern w:val="0"/>
                <w:szCs w:val="24"/>
                <w:lang w:eastAsia="en-IN"/>
                <w14:ligatures w14:val="none"/>
              </w:rPr>
            </w:pPr>
            <w:r w:rsidRPr="008E2A3E">
              <w:rPr>
                <w:rFonts w:ascii="Times New Roman" w:eastAsia="Times New Roman" w:hAnsi="Times New Roman" w:cs="Times New Roman"/>
                <w:color w:val="000000"/>
                <w:kern w:val="0"/>
                <w:szCs w:val="24"/>
                <w:lang w:eastAsia="en-IN"/>
                <w14:ligatures w14:val="none"/>
              </w:rPr>
              <w:t>8</w:t>
            </w:r>
          </w:p>
        </w:tc>
        <w:tc>
          <w:tcPr>
            <w:tcW w:w="1075" w:type="dxa"/>
            <w:tcBorders>
              <w:top w:val="nil"/>
              <w:left w:val="nil"/>
              <w:bottom w:val="single" w:sz="4" w:space="0" w:color="auto"/>
              <w:right w:val="single" w:sz="4" w:space="0" w:color="auto"/>
            </w:tcBorders>
            <w:noWrap/>
            <w:vAlign w:val="center"/>
            <w:hideMark/>
          </w:tcPr>
          <w:p w14:paraId="65C761D5" w14:textId="77777777" w:rsidR="00EF645B" w:rsidRPr="008E2A3E" w:rsidRDefault="00EF645B" w:rsidP="00EF645B">
            <w:pPr>
              <w:spacing w:after="0" w:line="240" w:lineRule="auto"/>
              <w:jc w:val="center"/>
              <w:rPr>
                <w:rFonts w:ascii="Times New Roman" w:eastAsia="Times New Roman" w:hAnsi="Times New Roman" w:cs="Times New Roman"/>
                <w:color w:val="000000"/>
                <w:kern w:val="0"/>
                <w:szCs w:val="24"/>
                <w:lang w:eastAsia="en-IN"/>
                <w14:ligatures w14:val="none"/>
              </w:rPr>
            </w:pPr>
            <w:r w:rsidRPr="008E2A3E">
              <w:rPr>
                <w:rFonts w:ascii="Times New Roman" w:eastAsia="Times New Roman" w:hAnsi="Times New Roman" w:cs="Times New Roman"/>
                <w:color w:val="000000"/>
                <w:kern w:val="0"/>
                <w:szCs w:val="24"/>
                <w:lang w:eastAsia="en-IN"/>
                <w14:ligatures w14:val="none"/>
              </w:rPr>
              <w:t>9</w:t>
            </w:r>
          </w:p>
        </w:tc>
        <w:tc>
          <w:tcPr>
            <w:tcW w:w="1075" w:type="dxa"/>
            <w:tcBorders>
              <w:top w:val="nil"/>
              <w:left w:val="nil"/>
              <w:bottom w:val="single" w:sz="4" w:space="0" w:color="auto"/>
              <w:right w:val="single" w:sz="4" w:space="0" w:color="auto"/>
            </w:tcBorders>
            <w:noWrap/>
            <w:vAlign w:val="center"/>
            <w:hideMark/>
          </w:tcPr>
          <w:p w14:paraId="2D01048B" w14:textId="77777777" w:rsidR="00EF645B" w:rsidRPr="008E2A3E" w:rsidRDefault="00EF645B" w:rsidP="00EF645B">
            <w:pPr>
              <w:spacing w:after="0" w:line="240" w:lineRule="auto"/>
              <w:jc w:val="center"/>
              <w:rPr>
                <w:rFonts w:ascii="Times New Roman" w:eastAsia="Times New Roman" w:hAnsi="Times New Roman" w:cs="Times New Roman"/>
                <w:color w:val="000000"/>
                <w:kern w:val="0"/>
                <w:szCs w:val="24"/>
                <w:lang w:eastAsia="en-IN"/>
                <w14:ligatures w14:val="none"/>
              </w:rPr>
            </w:pPr>
            <w:r w:rsidRPr="008E2A3E">
              <w:rPr>
                <w:rFonts w:ascii="Times New Roman" w:eastAsia="Times New Roman" w:hAnsi="Times New Roman" w:cs="Times New Roman"/>
                <w:color w:val="000000"/>
                <w:kern w:val="0"/>
                <w:szCs w:val="24"/>
                <w:lang w:eastAsia="en-IN"/>
                <w14:ligatures w14:val="none"/>
              </w:rPr>
              <w:t>10</w:t>
            </w:r>
          </w:p>
        </w:tc>
        <w:tc>
          <w:tcPr>
            <w:tcW w:w="1076" w:type="dxa"/>
            <w:tcBorders>
              <w:top w:val="nil"/>
              <w:left w:val="nil"/>
              <w:bottom w:val="single" w:sz="4" w:space="0" w:color="auto"/>
              <w:right w:val="single" w:sz="4" w:space="0" w:color="auto"/>
            </w:tcBorders>
            <w:noWrap/>
            <w:vAlign w:val="center"/>
            <w:hideMark/>
          </w:tcPr>
          <w:p w14:paraId="1B180C02" w14:textId="77777777" w:rsidR="00EF645B" w:rsidRPr="008E2A3E" w:rsidRDefault="00EF645B" w:rsidP="00EF645B">
            <w:pPr>
              <w:spacing w:after="0" w:line="240" w:lineRule="auto"/>
              <w:jc w:val="center"/>
              <w:rPr>
                <w:rFonts w:ascii="Times New Roman" w:eastAsia="Times New Roman" w:hAnsi="Times New Roman" w:cs="Times New Roman"/>
                <w:color w:val="000000"/>
                <w:kern w:val="0"/>
                <w:szCs w:val="24"/>
                <w:lang w:eastAsia="en-IN"/>
                <w14:ligatures w14:val="none"/>
              </w:rPr>
            </w:pPr>
            <w:r w:rsidRPr="008E2A3E">
              <w:rPr>
                <w:rFonts w:ascii="Times New Roman" w:eastAsia="Times New Roman" w:hAnsi="Times New Roman" w:cs="Times New Roman"/>
                <w:color w:val="000000"/>
                <w:kern w:val="0"/>
                <w:szCs w:val="24"/>
                <w:lang w:eastAsia="en-IN"/>
                <w14:ligatures w14:val="none"/>
              </w:rPr>
              <w:t>11</w:t>
            </w:r>
          </w:p>
        </w:tc>
      </w:tr>
      <w:tr w:rsidR="00EF645B" w:rsidRPr="008E2A3E" w14:paraId="165214A2" w14:textId="77777777" w:rsidTr="008E2A3E">
        <w:trPr>
          <w:trHeight w:val="300"/>
          <w:jc w:val="center"/>
        </w:trPr>
        <w:tc>
          <w:tcPr>
            <w:tcW w:w="3173" w:type="dxa"/>
            <w:tcBorders>
              <w:top w:val="nil"/>
              <w:left w:val="single" w:sz="4" w:space="0" w:color="auto"/>
              <w:bottom w:val="single" w:sz="4" w:space="0" w:color="auto"/>
              <w:right w:val="single" w:sz="4" w:space="0" w:color="auto"/>
            </w:tcBorders>
            <w:noWrap/>
            <w:vAlign w:val="center"/>
            <w:hideMark/>
          </w:tcPr>
          <w:p w14:paraId="5B53BCFA" w14:textId="77777777" w:rsidR="00EF645B" w:rsidRPr="008E2A3E" w:rsidRDefault="00EF645B" w:rsidP="00EF645B">
            <w:pPr>
              <w:spacing w:after="0" w:line="240" w:lineRule="auto"/>
              <w:rPr>
                <w:rFonts w:ascii="Times New Roman" w:eastAsia="Times New Roman" w:hAnsi="Times New Roman" w:cs="Times New Roman"/>
                <w:color w:val="000000"/>
                <w:kern w:val="0"/>
                <w:szCs w:val="24"/>
                <w:lang w:eastAsia="en-IN"/>
                <w14:ligatures w14:val="none"/>
              </w:rPr>
            </w:pPr>
            <w:r w:rsidRPr="008E2A3E">
              <w:rPr>
                <w:rFonts w:ascii="Times New Roman" w:eastAsia="Times New Roman" w:hAnsi="Times New Roman" w:cs="Times New Roman"/>
                <w:color w:val="000000"/>
                <w:kern w:val="0"/>
                <w:szCs w:val="24"/>
                <w:lang w:eastAsia="en-IN"/>
                <w14:ligatures w14:val="none"/>
              </w:rPr>
              <w:t>Andhra Pradesh</w:t>
            </w:r>
          </w:p>
        </w:tc>
        <w:tc>
          <w:tcPr>
            <w:tcW w:w="1075" w:type="dxa"/>
            <w:tcBorders>
              <w:top w:val="nil"/>
              <w:left w:val="nil"/>
              <w:bottom w:val="single" w:sz="4" w:space="0" w:color="auto"/>
              <w:right w:val="single" w:sz="4" w:space="0" w:color="auto"/>
            </w:tcBorders>
            <w:noWrap/>
            <w:vAlign w:val="center"/>
            <w:hideMark/>
          </w:tcPr>
          <w:p w14:paraId="3685BADB" w14:textId="77777777" w:rsidR="00EF645B" w:rsidRPr="008E2A3E" w:rsidRDefault="00EF645B" w:rsidP="00EF645B">
            <w:pPr>
              <w:spacing w:after="0" w:line="240" w:lineRule="auto"/>
              <w:jc w:val="center"/>
              <w:rPr>
                <w:rFonts w:ascii="Times New Roman" w:eastAsia="Times New Roman" w:hAnsi="Times New Roman" w:cs="Times New Roman"/>
                <w:color w:val="000000"/>
                <w:kern w:val="0"/>
                <w:szCs w:val="24"/>
                <w:lang w:eastAsia="en-IN"/>
                <w14:ligatures w14:val="none"/>
              </w:rPr>
            </w:pPr>
            <w:r w:rsidRPr="008E2A3E">
              <w:rPr>
                <w:rFonts w:ascii="Times New Roman" w:eastAsia="Times New Roman" w:hAnsi="Times New Roman" w:cs="Times New Roman"/>
                <w:color w:val="000000"/>
                <w:kern w:val="0"/>
                <w:szCs w:val="24"/>
                <w:lang w:eastAsia="en-IN"/>
                <w14:ligatures w14:val="none"/>
              </w:rPr>
              <w:t>1124</w:t>
            </w:r>
          </w:p>
        </w:tc>
        <w:tc>
          <w:tcPr>
            <w:tcW w:w="1075" w:type="dxa"/>
            <w:tcBorders>
              <w:top w:val="nil"/>
              <w:left w:val="nil"/>
              <w:bottom w:val="single" w:sz="4" w:space="0" w:color="auto"/>
              <w:right w:val="single" w:sz="4" w:space="0" w:color="auto"/>
            </w:tcBorders>
            <w:noWrap/>
            <w:vAlign w:val="center"/>
            <w:hideMark/>
          </w:tcPr>
          <w:p w14:paraId="435E3CF3" w14:textId="77777777" w:rsidR="00EF645B" w:rsidRPr="008E2A3E" w:rsidRDefault="00EF645B" w:rsidP="00EF645B">
            <w:pPr>
              <w:spacing w:after="0" w:line="240" w:lineRule="auto"/>
              <w:jc w:val="center"/>
              <w:rPr>
                <w:rFonts w:ascii="Times New Roman" w:eastAsia="Times New Roman" w:hAnsi="Times New Roman" w:cs="Times New Roman"/>
                <w:color w:val="000000"/>
                <w:kern w:val="0"/>
                <w:szCs w:val="24"/>
                <w:lang w:eastAsia="en-IN"/>
                <w14:ligatures w14:val="none"/>
              </w:rPr>
            </w:pPr>
            <w:r w:rsidRPr="008E2A3E">
              <w:rPr>
                <w:rFonts w:ascii="Times New Roman" w:eastAsia="Times New Roman" w:hAnsi="Times New Roman" w:cs="Times New Roman"/>
                <w:color w:val="000000"/>
                <w:kern w:val="0"/>
                <w:szCs w:val="24"/>
                <w:lang w:eastAsia="en-IN"/>
                <w14:ligatures w14:val="none"/>
              </w:rPr>
              <w:t>1239</w:t>
            </w:r>
          </w:p>
        </w:tc>
        <w:tc>
          <w:tcPr>
            <w:tcW w:w="1075" w:type="dxa"/>
            <w:tcBorders>
              <w:top w:val="nil"/>
              <w:left w:val="nil"/>
              <w:bottom w:val="single" w:sz="4" w:space="0" w:color="auto"/>
              <w:right w:val="single" w:sz="4" w:space="0" w:color="auto"/>
            </w:tcBorders>
            <w:noWrap/>
            <w:vAlign w:val="center"/>
            <w:hideMark/>
          </w:tcPr>
          <w:p w14:paraId="11550481" w14:textId="77777777" w:rsidR="00EF645B" w:rsidRPr="008E2A3E" w:rsidRDefault="00EF645B" w:rsidP="00EF645B">
            <w:pPr>
              <w:spacing w:after="0" w:line="240" w:lineRule="auto"/>
              <w:jc w:val="center"/>
              <w:rPr>
                <w:rFonts w:ascii="Times New Roman" w:eastAsia="Times New Roman" w:hAnsi="Times New Roman" w:cs="Times New Roman"/>
                <w:color w:val="000000"/>
                <w:kern w:val="0"/>
                <w:szCs w:val="24"/>
                <w:lang w:eastAsia="en-IN"/>
                <w14:ligatures w14:val="none"/>
              </w:rPr>
            </w:pPr>
            <w:r w:rsidRPr="008E2A3E">
              <w:rPr>
                <w:rFonts w:ascii="Times New Roman" w:eastAsia="Times New Roman" w:hAnsi="Times New Roman" w:cs="Times New Roman"/>
                <w:color w:val="000000"/>
                <w:kern w:val="0"/>
                <w:szCs w:val="24"/>
                <w:lang w:eastAsia="en-IN"/>
                <w14:ligatures w14:val="none"/>
              </w:rPr>
              <w:t>1252</w:t>
            </w:r>
          </w:p>
        </w:tc>
        <w:tc>
          <w:tcPr>
            <w:tcW w:w="1075" w:type="dxa"/>
            <w:tcBorders>
              <w:top w:val="nil"/>
              <w:left w:val="nil"/>
              <w:bottom w:val="single" w:sz="4" w:space="0" w:color="auto"/>
              <w:right w:val="single" w:sz="4" w:space="0" w:color="auto"/>
            </w:tcBorders>
            <w:noWrap/>
            <w:vAlign w:val="center"/>
            <w:hideMark/>
          </w:tcPr>
          <w:p w14:paraId="059A949F" w14:textId="77777777" w:rsidR="00EF645B" w:rsidRPr="008E2A3E" w:rsidRDefault="00EF645B" w:rsidP="00EF645B">
            <w:pPr>
              <w:spacing w:after="0" w:line="240" w:lineRule="auto"/>
              <w:jc w:val="center"/>
              <w:rPr>
                <w:rFonts w:ascii="Times New Roman" w:eastAsia="Times New Roman" w:hAnsi="Times New Roman" w:cs="Times New Roman"/>
                <w:color w:val="000000"/>
                <w:kern w:val="0"/>
                <w:szCs w:val="24"/>
                <w:lang w:eastAsia="en-IN"/>
                <w14:ligatures w14:val="none"/>
              </w:rPr>
            </w:pPr>
            <w:r w:rsidRPr="008E2A3E">
              <w:rPr>
                <w:rFonts w:ascii="Times New Roman" w:eastAsia="Times New Roman" w:hAnsi="Times New Roman" w:cs="Times New Roman"/>
                <w:color w:val="000000"/>
                <w:kern w:val="0"/>
                <w:szCs w:val="24"/>
                <w:lang w:eastAsia="en-IN"/>
                <w14:ligatures w14:val="none"/>
              </w:rPr>
              <w:t>1439</w:t>
            </w:r>
          </w:p>
        </w:tc>
        <w:tc>
          <w:tcPr>
            <w:tcW w:w="1076" w:type="dxa"/>
            <w:tcBorders>
              <w:top w:val="nil"/>
              <w:left w:val="nil"/>
              <w:bottom w:val="single" w:sz="4" w:space="0" w:color="auto"/>
              <w:right w:val="single" w:sz="4" w:space="0" w:color="auto"/>
            </w:tcBorders>
            <w:noWrap/>
            <w:vAlign w:val="center"/>
            <w:hideMark/>
          </w:tcPr>
          <w:p w14:paraId="16443D61" w14:textId="77777777" w:rsidR="00EF645B" w:rsidRPr="008E2A3E" w:rsidRDefault="00EF645B" w:rsidP="00EF645B">
            <w:pPr>
              <w:spacing w:after="0" w:line="240" w:lineRule="auto"/>
              <w:jc w:val="center"/>
              <w:rPr>
                <w:rFonts w:ascii="Times New Roman" w:eastAsia="Times New Roman" w:hAnsi="Times New Roman" w:cs="Times New Roman"/>
                <w:color w:val="000000"/>
                <w:kern w:val="0"/>
                <w:szCs w:val="24"/>
                <w:lang w:eastAsia="en-IN"/>
                <w14:ligatures w14:val="none"/>
              </w:rPr>
            </w:pPr>
            <w:r w:rsidRPr="008E2A3E">
              <w:rPr>
                <w:rFonts w:ascii="Times New Roman" w:eastAsia="Times New Roman" w:hAnsi="Times New Roman" w:cs="Times New Roman"/>
                <w:color w:val="000000"/>
                <w:kern w:val="0"/>
                <w:szCs w:val="24"/>
                <w:lang w:eastAsia="en-IN"/>
                <w14:ligatures w14:val="none"/>
              </w:rPr>
              <w:t>1690</w:t>
            </w:r>
          </w:p>
        </w:tc>
        <w:tc>
          <w:tcPr>
            <w:tcW w:w="1075" w:type="dxa"/>
            <w:tcBorders>
              <w:top w:val="nil"/>
              <w:left w:val="nil"/>
              <w:bottom w:val="single" w:sz="4" w:space="0" w:color="auto"/>
              <w:right w:val="single" w:sz="4" w:space="0" w:color="auto"/>
            </w:tcBorders>
            <w:noWrap/>
            <w:vAlign w:val="center"/>
            <w:hideMark/>
          </w:tcPr>
          <w:p w14:paraId="52F36CC2" w14:textId="77777777" w:rsidR="00EF645B" w:rsidRPr="008E2A3E" w:rsidRDefault="00EF645B" w:rsidP="00EF645B">
            <w:pPr>
              <w:spacing w:after="0" w:line="240" w:lineRule="auto"/>
              <w:jc w:val="center"/>
              <w:rPr>
                <w:rFonts w:ascii="Times New Roman" w:eastAsia="Times New Roman" w:hAnsi="Times New Roman" w:cs="Times New Roman"/>
                <w:color w:val="000000"/>
                <w:kern w:val="0"/>
                <w:szCs w:val="24"/>
                <w:lang w:eastAsia="en-IN"/>
                <w14:ligatures w14:val="none"/>
              </w:rPr>
            </w:pPr>
            <w:r w:rsidRPr="008E2A3E">
              <w:rPr>
                <w:rFonts w:ascii="Times New Roman" w:eastAsia="Times New Roman" w:hAnsi="Times New Roman" w:cs="Times New Roman"/>
                <w:color w:val="000000"/>
                <w:kern w:val="0"/>
                <w:szCs w:val="24"/>
                <w:lang w:eastAsia="en-IN"/>
                <w14:ligatures w14:val="none"/>
              </w:rPr>
              <w:t>651</w:t>
            </w:r>
          </w:p>
        </w:tc>
        <w:tc>
          <w:tcPr>
            <w:tcW w:w="1075" w:type="dxa"/>
            <w:tcBorders>
              <w:top w:val="nil"/>
              <w:left w:val="nil"/>
              <w:bottom w:val="single" w:sz="4" w:space="0" w:color="auto"/>
              <w:right w:val="single" w:sz="4" w:space="0" w:color="auto"/>
            </w:tcBorders>
            <w:noWrap/>
            <w:vAlign w:val="center"/>
            <w:hideMark/>
          </w:tcPr>
          <w:p w14:paraId="5FA022FE" w14:textId="77777777" w:rsidR="00EF645B" w:rsidRPr="008E2A3E" w:rsidRDefault="00EF645B" w:rsidP="00EF645B">
            <w:pPr>
              <w:spacing w:after="0" w:line="240" w:lineRule="auto"/>
              <w:jc w:val="center"/>
              <w:rPr>
                <w:rFonts w:ascii="Times New Roman" w:eastAsia="Times New Roman" w:hAnsi="Times New Roman" w:cs="Times New Roman"/>
                <w:color w:val="000000"/>
                <w:kern w:val="0"/>
                <w:szCs w:val="24"/>
                <w:lang w:eastAsia="en-IN"/>
                <w14:ligatures w14:val="none"/>
              </w:rPr>
            </w:pPr>
            <w:r w:rsidRPr="008E2A3E">
              <w:rPr>
                <w:rFonts w:ascii="Times New Roman" w:eastAsia="Times New Roman" w:hAnsi="Times New Roman" w:cs="Times New Roman"/>
                <w:color w:val="000000"/>
                <w:kern w:val="0"/>
                <w:szCs w:val="24"/>
                <w:lang w:eastAsia="en-IN"/>
                <w14:ligatures w14:val="none"/>
              </w:rPr>
              <w:t>728</w:t>
            </w:r>
          </w:p>
        </w:tc>
        <w:tc>
          <w:tcPr>
            <w:tcW w:w="1075" w:type="dxa"/>
            <w:tcBorders>
              <w:top w:val="nil"/>
              <w:left w:val="nil"/>
              <w:bottom w:val="single" w:sz="4" w:space="0" w:color="auto"/>
              <w:right w:val="single" w:sz="4" w:space="0" w:color="auto"/>
            </w:tcBorders>
            <w:noWrap/>
            <w:vAlign w:val="center"/>
            <w:hideMark/>
          </w:tcPr>
          <w:p w14:paraId="1D6B6648" w14:textId="77777777" w:rsidR="00EF645B" w:rsidRPr="008E2A3E" w:rsidRDefault="00EF645B" w:rsidP="00EF645B">
            <w:pPr>
              <w:spacing w:after="0" w:line="240" w:lineRule="auto"/>
              <w:jc w:val="center"/>
              <w:rPr>
                <w:rFonts w:ascii="Times New Roman" w:eastAsia="Times New Roman" w:hAnsi="Times New Roman" w:cs="Times New Roman"/>
                <w:color w:val="000000"/>
                <w:kern w:val="0"/>
                <w:szCs w:val="24"/>
                <w:lang w:eastAsia="en-IN"/>
                <w14:ligatures w14:val="none"/>
              </w:rPr>
            </w:pPr>
            <w:r w:rsidRPr="008E2A3E">
              <w:rPr>
                <w:rFonts w:ascii="Times New Roman" w:eastAsia="Times New Roman" w:hAnsi="Times New Roman" w:cs="Times New Roman"/>
                <w:color w:val="000000"/>
                <w:kern w:val="0"/>
                <w:szCs w:val="24"/>
                <w:lang w:eastAsia="en-IN"/>
                <w14:ligatures w14:val="none"/>
              </w:rPr>
              <w:t>702</w:t>
            </w:r>
          </w:p>
        </w:tc>
        <w:tc>
          <w:tcPr>
            <w:tcW w:w="1075" w:type="dxa"/>
            <w:tcBorders>
              <w:top w:val="nil"/>
              <w:left w:val="nil"/>
              <w:bottom w:val="single" w:sz="4" w:space="0" w:color="auto"/>
              <w:right w:val="single" w:sz="4" w:space="0" w:color="auto"/>
            </w:tcBorders>
            <w:noWrap/>
            <w:vAlign w:val="center"/>
            <w:hideMark/>
          </w:tcPr>
          <w:p w14:paraId="3C3FA33C" w14:textId="77777777" w:rsidR="00EF645B" w:rsidRPr="008E2A3E" w:rsidRDefault="00EF645B" w:rsidP="00EF645B">
            <w:pPr>
              <w:spacing w:after="0" w:line="240" w:lineRule="auto"/>
              <w:jc w:val="center"/>
              <w:rPr>
                <w:rFonts w:ascii="Times New Roman" w:eastAsia="Times New Roman" w:hAnsi="Times New Roman" w:cs="Times New Roman"/>
                <w:color w:val="000000"/>
                <w:kern w:val="0"/>
                <w:szCs w:val="24"/>
                <w:lang w:eastAsia="en-IN"/>
                <w14:ligatures w14:val="none"/>
              </w:rPr>
            </w:pPr>
            <w:r w:rsidRPr="008E2A3E">
              <w:rPr>
                <w:rFonts w:ascii="Times New Roman" w:eastAsia="Times New Roman" w:hAnsi="Times New Roman" w:cs="Times New Roman"/>
                <w:color w:val="000000"/>
                <w:kern w:val="0"/>
                <w:szCs w:val="24"/>
                <w:lang w:eastAsia="en-IN"/>
                <w14:ligatures w14:val="none"/>
              </w:rPr>
              <w:t>826</w:t>
            </w:r>
          </w:p>
        </w:tc>
        <w:tc>
          <w:tcPr>
            <w:tcW w:w="1076" w:type="dxa"/>
            <w:tcBorders>
              <w:top w:val="nil"/>
              <w:left w:val="nil"/>
              <w:bottom w:val="single" w:sz="4" w:space="0" w:color="auto"/>
              <w:right w:val="single" w:sz="4" w:space="0" w:color="auto"/>
            </w:tcBorders>
            <w:noWrap/>
            <w:vAlign w:val="center"/>
            <w:hideMark/>
          </w:tcPr>
          <w:p w14:paraId="70660EC8" w14:textId="77777777" w:rsidR="00EF645B" w:rsidRPr="008E2A3E" w:rsidRDefault="00EF645B" w:rsidP="00EF645B">
            <w:pPr>
              <w:spacing w:after="0" w:line="240" w:lineRule="auto"/>
              <w:jc w:val="center"/>
              <w:rPr>
                <w:rFonts w:ascii="Times New Roman" w:eastAsia="Times New Roman" w:hAnsi="Times New Roman" w:cs="Times New Roman"/>
                <w:color w:val="000000"/>
                <w:kern w:val="0"/>
                <w:szCs w:val="24"/>
                <w:lang w:eastAsia="en-IN"/>
                <w14:ligatures w14:val="none"/>
              </w:rPr>
            </w:pPr>
            <w:r w:rsidRPr="008E2A3E">
              <w:rPr>
                <w:rFonts w:ascii="Times New Roman" w:eastAsia="Times New Roman" w:hAnsi="Times New Roman" w:cs="Times New Roman"/>
                <w:color w:val="000000"/>
                <w:kern w:val="0"/>
                <w:szCs w:val="24"/>
                <w:lang w:eastAsia="en-IN"/>
                <w14:ligatures w14:val="none"/>
              </w:rPr>
              <w:t>975</w:t>
            </w:r>
          </w:p>
        </w:tc>
      </w:tr>
      <w:tr w:rsidR="00EF645B" w:rsidRPr="008E2A3E" w14:paraId="1797B9A9" w14:textId="77777777" w:rsidTr="008E2A3E">
        <w:trPr>
          <w:trHeight w:val="300"/>
          <w:jc w:val="center"/>
        </w:trPr>
        <w:tc>
          <w:tcPr>
            <w:tcW w:w="3173" w:type="dxa"/>
            <w:tcBorders>
              <w:top w:val="nil"/>
              <w:left w:val="single" w:sz="4" w:space="0" w:color="auto"/>
              <w:bottom w:val="single" w:sz="4" w:space="0" w:color="auto"/>
              <w:right w:val="single" w:sz="4" w:space="0" w:color="auto"/>
            </w:tcBorders>
            <w:noWrap/>
            <w:vAlign w:val="center"/>
            <w:hideMark/>
          </w:tcPr>
          <w:p w14:paraId="65EE35A2" w14:textId="77777777" w:rsidR="00EF645B" w:rsidRPr="008E2A3E" w:rsidRDefault="00EF645B" w:rsidP="00EF645B">
            <w:pPr>
              <w:spacing w:after="0" w:line="240" w:lineRule="auto"/>
              <w:rPr>
                <w:rFonts w:ascii="Times New Roman" w:eastAsia="Times New Roman" w:hAnsi="Times New Roman" w:cs="Times New Roman"/>
                <w:color w:val="000000"/>
                <w:kern w:val="0"/>
                <w:szCs w:val="24"/>
                <w:lang w:eastAsia="en-IN"/>
                <w14:ligatures w14:val="none"/>
              </w:rPr>
            </w:pPr>
            <w:r w:rsidRPr="008E2A3E">
              <w:rPr>
                <w:rFonts w:ascii="Times New Roman" w:eastAsia="Times New Roman" w:hAnsi="Times New Roman" w:cs="Times New Roman"/>
                <w:color w:val="000000"/>
                <w:kern w:val="0"/>
                <w:szCs w:val="24"/>
                <w:lang w:eastAsia="en-IN"/>
                <w14:ligatures w14:val="none"/>
              </w:rPr>
              <w:t>Assam</w:t>
            </w:r>
          </w:p>
        </w:tc>
        <w:tc>
          <w:tcPr>
            <w:tcW w:w="1075" w:type="dxa"/>
            <w:tcBorders>
              <w:top w:val="nil"/>
              <w:left w:val="nil"/>
              <w:bottom w:val="single" w:sz="4" w:space="0" w:color="auto"/>
              <w:right w:val="single" w:sz="4" w:space="0" w:color="auto"/>
            </w:tcBorders>
            <w:noWrap/>
            <w:vAlign w:val="center"/>
            <w:hideMark/>
          </w:tcPr>
          <w:p w14:paraId="7E8C7D30" w14:textId="77777777" w:rsidR="00EF645B" w:rsidRPr="008E2A3E" w:rsidRDefault="00EF645B" w:rsidP="00EF645B">
            <w:pPr>
              <w:spacing w:after="0" w:line="240" w:lineRule="auto"/>
              <w:jc w:val="center"/>
              <w:rPr>
                <w:rFonts w:ascii="Times New Roman" w:eastAsia="Times New Roman" w:hAnsi="Times New Roman" w:cs="Times New Roman"/>
                <w:color w:val="000000"/>
                <w:kern w:val="0"/>
                <w:szCs w:val="24"/>
                <w:lang w:eastAsia="en-IN"/>
                <w14:ligatures w14:val="none"/>
              </w:rPr>
            </w:pPr>
            <w:r w:rsidRPr="008E2A3E">
              <w:rPr>
                <w:rFonts w:ascii="Times New Roman" w:eastAsia="Times New Roman" w:hAnsi="Times New Roman" w:cs="Times New Roman"/>
                <w:color w:val="000000"/>
                <w:kern w:val="0"/>
                <w:szCs w:val="24"/>
                <w:lang w:eastAsia="en-IN"/>
                <w14:ligatures w14:val="none"/>
              </w:rPr>
              <w:t>409</w:t>
            </w:r>
          </w:p>
        </w:tc>
        <w:tc>
          <w:tcPr>
            <w:tcW w:w="1075" w:type="dxa"/>
            <w:tcBorders>
              <w:top w:val="nil"/>
              <w:left w:val="nil"/>
              <w:bottom w:val="single" w:sz="4" w:space="0" w:color="auto"/>
              <w:right w:val="single" w:sz="4" w:space="0" w:color="auto"/>
            </w:tcBorders>
            <w:noWrap/>
            <w:vAlign w:val="center"/>
            <w:hideMark/>
          </w:tcPr>
          <w:p w14:paraId="6EAB8582" w14:textId="77777777" w:rsidR="00EF645B" w:rsidRPr="008E2A3E" w:rsidRDefault="00EF645B" w:rsidP="00EF645B">
            <w:pPr>
              <w:spacing w:after="0" w:line="240" w:lineRule="auto"/>
              <w:jc w:val="center"/>
              <w:rPr>
                <w:rFonts w:ascii="Times New Roman" w:eastAsia="Times New Roman" w:hAnsi="Times New Roman" w:cs="Times New Roman"/>
                <w:color w:val="000000"/>
                <w:kern w:val="0"/>
                <w:szCs w:val="24"/>
                <w:lang w:eastAsia="en-IN"/>
                <w14:ligatures w14:val="none"/>
              </w:rPr>
            </w:pPr>
            <w:r w:rsidRPr="008E2A3E">
              <w:rPr>
                <w:rFonts w:ascii="Times New Roman" w:eastAsia="Times New Roman" w:hAnsi="Times New Roman" w:cs="Times New Roman"/>
                <w:color w:val="000000"/>
                <w:kern w:val="0"/>
                <w:szCs w:val="24"/>
                <w:lang w:eastAsia="en-IN"/>
                <w14:ligatures w14:val="none"/>
              </w:rPr>
              <w:t>426</w:t>
            </w:r>
          </w:p>
        </w:tc>
        <w:tc>
          <w:tcPr>
            <w:tcW w:w="1075" w:type="dxa"/>
            <w:tcBorders>
              <w:top w:val="nil"/>
              <w:left w:val="nil"/>
              <w:bottom w:val="single" w:sz="4" w:space="0" w:color="auto"/>
              <w:right w:val="single" w:sz="4" w:space="0" w:color="auto"/>
            </w:tcBorders>
            <w:noWrap/>
            <w:vAlign w:val="center"/>
            <w:hideMark/>
          </w:tcPr>
          <w:p w14:paraId="452DBBCB" w14:textId="77777777" w:rsidR="00EF645B" w:rsidRPr="008E2A3E" w:rsidRDefault="00EF645B" w:rsidP="00EF645B">
            <w:pPr>
              <w:spacing w:after="0" w:line="240" w:lineRule="auto"/>
              <w:jc w:val="center"/>
              <w:rPr>
                <w:rFonts w:ascii="Times New Roman" w:eastAsia="Times New Roman" w:hAnsi="Times New Roman" w:cs="Times New Roman"/>
                <w:color w:val="000000"/>
                <w:kern w:val="0"/>
                <w:szCs w:val="24"/>
                <w:lang w:eastAsia="en-IN"/>
                <w14:ligatures w14:val="none"/>
              </w:rPr>
            </w:pPr>
            <w:r w:rsidRPr="008E2A3E">
              <w:rPr>
                <w:rFonts w:ascii="Times New Roman" w:eastAsia="Times New Roman" w:hAnsi="Times New Roman" w:cs="Times New Roman"/>
                <w:color w:val="000000"/>
                <w:kern w:val="0"/>
                <w:szCs w:val="24"/>
                <w:lang w:eastAsia="en-IN"/>
                <w14:ligatures w14:val="none"/>
              </w:rPr>
              <w:t>433</w:t>
            </w:r>
          </w:p>
        </w:tc>
        <w:tc>
          <w:tcPr>
            <w:tcW w:w="1075" w:type="dxa"/>
            <w:tcBorders>
              <w:top w:val="nil"/>
              <w:left w:val="nil"/>
              <w:bottom w:val="single" w:sz="4" w:space="0" w:color="auto"/>
              <w:right w:val="single" w:sz="4" w:space="0" w:color="auto"/>
            </w:tcBorders>
            <w:noWrap/>
            <w:vAlign w:val="center"/>
            <w:hideMark/>
          </w:tcPr>
          <w:p w14:paraId="068A466C" w14:textId="77777777" w:rsidR="00EF645B" w:rsidRPr="008E2A3E" w:rsidRDefault="00EF645B" w:rsidP="00EF645B">
            <w:pPr>
              <w:spacing w:after="0" w:line="240" w:lineRule="auto"/>
              <w:jc w:val="center"/>
              <w:rPr>
                <w:rFonts w:ascii="Times New Roman" w:eastAsia="Times New Roman" w:hAnsi="Times New Roman" w:cs="Times New Roman"/>
                <w:color w:val="000000"/>
                <w:kern w:val="0"/>
                <w:szCs w:val="24"/>
                <w:lang w:eastAsia="en-IN"/>
                <w14:ligatures w14:val="none"/>
              </w:rPr>
            </w:pPr>
            <w:r w:rsidRPr="008E2A3E">
              <w:rPr>
                <w:rFonts w:ascii="Times New Roman" w:eastAsia="Times New Roman" w:hAnsi="Times New Roman" w:cs="Times New Roman"/>
                <w:color w:val="000000"/>
                <w:kern w:val="0"/>
                <w:szCs w:val="24"/>
                <w:lang w:eastAsia="en-IN"/>
                <w14:ligatures w14:val="none"/>
              </w:rPr>
              <w:t>496</w:t>
            </w:r>
          </w:p>
        </w:tc>
        <w:tc>
          <w:tcPr>
            <w:tcW w:w="1076" w:type="dxa"/>
            <w:tcBorders>
              <w:top w:val="nil"/>
              <w:left w:val="nil"/>
              <w:bottom w:val="single" w:sz="4" w:space="0" w:color="auto"/>
              <w:right w:val="single" w:sz="4" w:space="0" w:color="auto"/>
            </w:tcBorders>
            <w:noWrap/>
            <w:vAlign w:val="center"/>
            <w:hideMark/>
          </w:tcPr>
          <w:p w14:paraId="01BC5163" w14:textId="77777777" w:rsidR="00EF645B" w:rsidRPr="008E2A3E" w:rsidRDefault="00EF645B" w:rsidP="00EF645B">
            <w:pPr>
              <w:spacing w:after="0" w:line="240" w:lineRule="auto"/>
              <w:jc w:val="center"/>
              <w:rPr>
                <w:rFonts w:ascii="Times New Roman" w:eastAsia="Times New Roman" w:hAnsi="Times New Roman" w:cs="Times New Roman"/>
                <w:color w:val="000000"/>
                <w:kern w:val="0"/>
                <w:szCs w:val="24"/>
                <w:lang w:eastAsia="en-IN"/>
                <w14:ligatures w14:val="none"/>
              </w:rPr>
            </w:pPr>
            <w:r w:rsidRPr="008E2A3E">
              <w:rPr>
                <w:rFonts w:ascii="Times New Roman" w:eastAsia="Times New Roman" w:hAnsi="Times New Roman" w:cs="Times New Roman"/>
                <w:color w:val="000000"/>
                <w:kern w:val="0"/>
                <w:szCs w:val="24"/>
                <w:lang w:eastAsia="en-IN"/>
                <w14:ligatures w14:val="none"/>
              </w:rPr>
              <w:t>580</w:t>
            </w:r>
          </w:p>
        </w:tc>
        <w:tc>
          <w:tcPr>
            <w:tcW w:w="1075" w:type="dxa"/>
            <w:tcBorders>
              <w:top w:val="nil"/>
              <w:left w:val="nil"/>
              <w:bottom w:val="single" w:sz="4" w:space="0" w:color="auto"/>
              <w:right w:val="single" w:sz="4" w:space="0" w:color="auto"/>
            </w:tcBorders>
            <w:noWrap/>
            <w:vAlign w:val="center"/>
            <w:hideMark/>
          </w:tcPr>
          <w:p w14:paraId="308B06A0" w14:textId="77777777" w:rsidR="00EF645B" w:rsidRPr="008E2A3E" w:rsidRDefault="00EF645B" w:rsidP="00EF645B">
            <w:pPr>
              <w:spacing w:after="0" w:line="240" w:lineRule="auto"/>
              <w:jc w:val="center"/>
              <w:rPr>
                <w:rFonts w:ascii="Times New Roman" w:eastAsia="Times New Roman" w:hAnsi="Times New Roman" w:cs="Times New Roman"/>
                <w:color w:val="000000"/>
                <w:kern w:val="0"/>
                <w:szCs w:val="24"/>
                <w:lang w:eastAsia="en-IN"/>
                <w14:ligatures w14:val="none"/>
              </w:rPr>
            </w:pPr>
            <w:r w:rsidRPr="008E2A3E">
              <w:rPr>
                <w:rFonts w:ascii="Times New Roman" w:eastAsia="Times New Roman" w:hAnsi="Times New Roman" w:cs="Times New Roman"/>
                <w:color w:val="000000"/>
                <w:kern w:val="0"/>
                <w:szCs w:val="24"/>
                <w:lang w:eastAsia="en-IN"/>
                <w14:ligatures w14:val="none"/>
              </w:rPr>
              <w:t>244</w:t>
            </w:r>
          </w:p>
        </w:tc>
        <w:tc>
          <w:tcPr>
            <w:tcW w:w="1075" w:type="dxa"/>
            <w:tcBorders>
              <w:top w:val="nil"/>
              <w:left w:val="nil"/>
              <w:bottom w:val="single" w:sz="4" w:space="0" w:color="auto"/>
              <w:right w:val="single" w:sz="4" w:space="0" w:color="auto"/>
            </w:tcBorders>
            <w:noWrap/>
            <w:vAlign w:val="center"/>
            <w:hideMark/>
          </w:tcPr>
          <w:p w14:paraId="608A02CA" w14:textId="77777777" w:rsidR="00EF645B" w:rsidRPr="008E2A3E" w:rsidRDefault="00EF645B" w:rsidP="00EF645B">
            <w:pPr>
              <w:spacing w:after="0" w:line="240" w:lineRule="auto"/>
              <w:jc w:val="center"/>
              <w:rPr>
                <w:rFonts w:ascii="Times New Roman" w:eastAsia="Times New Roman" w:hAnsi="Times New Roman" w:cs="Times New Roman"/>
                <w:color w:val="000000"/>
                <w:kern w:val="0"/>
                <w:szCs w:val="24"/>
                <w:lang w:eastAsia="en-IN"/>
                <w14:ligatures w14:val="none"/>
              </w:rPr>
            </w:pPr>
            <w:r w:rsidRPr="008E2A3E">
              <w:rPr>
                <w:rFonts w:ascii="Times New Roman" w:eastAsia="Times New Roman" w:hAnsi="Times New Roman" w:cs="Times New Roman"/>
                <w:color w:val="000000"/>
                <w:kern w:val="0"/>
                <w:szCs w:val="24"/>
                <w:lang w:eastAsia="en-IN"/>
                <w14:ligatures w14:val="none"/>
              </w:rPr>
              <w:t>249</w:t>
            </w:r>
          </w:p>
        </w:tc>
        <w:tc>
          <w:tcPr>
            <w:tcW w:w="1075" w:type="dxa"/>
            <w:tcBorders>
              <w:top w:val="nil"/>
              <w:left w:val="nil"/>
              <w:bottom w:val="single" w:sz="4" w:space="0" w:color="auto"/>
              <w:right w:val="single" w:sz="4" w:space="0" w:color="auto"/>
            </w:tcBorders>
            <w:noWrap/>
            <w:vAlign w:val="center"/>
            <w:hideMark/>
          </w:tcPr>
          <w:p w14:paraId="2999E7FC" w14:textId="77777777" w:rsidR="00EF645B" w:rsidRPr="008E2A3E" w:rsidRDefault="00EF645B" w:rsidP="00EF645B">
            <w:pPr>
              <w:spacing w:after="0" w:line="240" w:lineRule="auto"/>
              <w:jc w:val="center"/>
              <w:rPr>
                <w:rFonts w:ascii="Times New Roman" w:eastAsia="Times New Roman" w:hAnsi="Times New Roman" w:cs="Times New Roman"/>
                <w:color w:val="000000"/>
                <w:kern w:val="0"/>
                <w:szCs w:val="24"/>
                <w:lang w:eastAsia="en-IN"/>
                <w14:ligatures w14:val="none"/>
              </w:rPr>
            </w:pPr>
            <w:r w:rsidRPr="008E2A3E">
              <w:rPr>
                <w:rFonts w:ascii="Times New Roman" w:eastAsia="Times New Roman" w:hAnsi="Times New Roman" w:cs="Times New Roman"/>
                <w:color w:val="000000"/>
                <w:kern w:val="0"/>
                <w:szCs w:val="24"/>
                <w:lang w:eastAsia="en-IN"/>
                <w14:ligatures w14:val="none"/>
              </w:rPr>
              <w:t>242</w:t>
            </w:r>
          </w:p>
        </w:tc>
        <w:tc>
          <w:tcPr>
            <w:tcW w:w="1075" w:type="dxa"/>
            <w:tcBorders>
              <w:top w:val="nil"/>
              <w:left w:val="nil"/>
              <w:bottom w:val="single" w:sz="4" w:space="0" w:color="auto"/>
              <w:right w:val="single" w:sz="4" w:space="0" w:color="auto"/>
            </w:tcBorders>
            <w:noWrap/>
            <w:vAlign w:val="center"/>
            <w:hideMark/>
          </w:tcPr>
          <w:p w14:paraId="106577E8" w14:textId="77777777" w:rsidR="00EF645B" w:rsidRPr="008E2A3E" w:rsidRDefault="00EF645B" w:rsidP="00EF645B">
            <w:pPr>
              <w:spacing w:after="0" w:line="240" w:lineRule="auto"/>
              <w:jc w:val="center"/>
              <w:rPr>
                <w:rFonts w:ascii="Times New Roman" w:eastAsia="Times New Roman" w:hAnsi="Times New Roman" w:cs="Times New Roman"/>
                <w:color w:val="000000"/>
                <w:kern w:val="0"/>
                <w:szCs w:val="24"/>
                <w:lang w:eastAsia="en-IN"/>
                <w14:ligatures w14:val="none"/>
              </w:rPr>
            </w:pPr>
            <w:r w:rsidRPr="008E2A3E">
              <w:rPr>
                <w:rFonts w:ascii="Times New Roman" w:eastAsia="Times New Roman" w:hAnsi="Times New Roman" w:cs="Times New Roman"/>
                <w:color w:val="000000"/>
                <w:kern w:val="0"/>
                <w:szCs w:val="24"/>
                <w:lang w:eastAsia="en-IN"/>
                <w14:ligatures w14:val="none"/>
              </w:rPr>
              <w:t>289</w:t>
            </w:r>
          </w:p>
        </w:tc>
        <w:tc>
          <w:tcPr>
            <w:tcW w:w="1076" w:type="dxa"/>
            <w:tcBorders>
              <w:top w:val="nil"/>
              <w:left w:val="nil"/>
              <w:bottom w:val="single" w:sz="4" w:space="0" w:color="auto"/>
              <w:right w:val="single" w:sz="4" w:space="0" w:color="auto"/>
            </w:tcBorders>
            <w:noWrap/>
            <w:vAlign w:val="center"/>
            <w:hideMark/>
          </w:tcPr>
          <w:p w14:paraId="1FB5AC17" w14:textId="194B906E" w:rsidR="00EF645B" w:rsidRPr="008E2A3E" w:rsidRDefault="00EF645B" w:rsidP="00EF645B">
            <w:pPr>
              <w:spacing w:after="0" w:line="240" w:lineRule="auto"/>
              <w:jc w:val="center"/>
              <w:rPr>
                <w:rFonts w:ascii="Times New Roman" w:eastAsia="Times New Roman" w:hAnsi="Times New Roman" w:cs="Times New Roman"/>
                <w:color w:val="000000"/>
                <w:kern w:val="0"/>
                <w:szCs w:val="24"/>
                <w:lang w:eastAsia="en-IN"/>
                <w14:ligatures w14:val="none"/>
              </w:rPr>
            </w:pPr>
            <w:r w:rsidRPr="008E2A3E">
              <w:rPr>
                <w:rFonts w:ascii="Times New Roman" w:eastAsia="Times New Roman" w:hAnsi="Times New Roman" w:cs="Times New Roman"/>
                <w:color w:val="000000"/>
                <w:kern w:val="0"/>
                <w:szCs w:val="24"/>
                <w:lang w:eastAsia="en-IN"/>
                <w14:ligatures w14:val="none"/>
              </w:rPr>
              <w:t>3</w:t>
            </w:r>
            <w:r w:rsidR="002001C5">
              <w:rPr>
                <w:rFonts w:ascii="Times New Roman" w:eastAsia="Times New Roman" w:hAnsi="Times New Roman" w:cs="Times New Roman"/>
                <w:color w:val="000000"/>
                <w:kern w:val="0"/>
                <w:szCs w:val="24"/>
                <w:lang w:eastAsia="en-IN"/>
                <w14:ligatures w14:val="none"/>
              </w:rPr>
              <w:t>41</w:t>
            </w:r>
          </w:p>
        </w:tc>
      </w:tr>
      <w:tr w:rsidR="00EF645B" w:rsidRPr="008E2A3E" w14:paraId="6D5B99BB" w14:textId="77777777" w:rsidTr="008E2A3E">
        <w:trPr>
          <w:trHeight w:val="300"/>
          <w:jc w:val="center"/>
        </w:trPr>
        <w:tc>
          <w:tcPr>
            <w:tcW w:w="3173" w:type="dxa"/>
            <w:tcBorders>
              <w:top w:val="nil"/>
              <w:left w:val="single" w:sz="4" w:space="0" w:color="auto"/>
              <w:bottom w:val="single" w:sz="4" w:space="0" w:color="auto"/>
              <w:right w:val="single" w:sz="4" w:space="0" w:color="auto"/>
            </w:tcBorders>
            <w:noWrap/>
            <w:vAlign w:val="center"/>
            <w:hideMark/>
          </w:tcPr>
          <w:p w14:paraId="32BA50ED" w14:textId="77777777" w:rsidR="00EF645B" w:rsidRPr="008E2A3E" w:rsidRDefault="00EF645B" w:rsidP="00EF645B">
            <w:pPr>
              <w:spacing w:after="0" w:line="240" w:lineRule="auto"/>
              <w:rPr>
                <w:rFonts w:ascii="Times New Roman" w:eastAsia="Times New Roman" w:hAnsi="Times New Roman" w:cs="Times New Roman"/>
                <w:color w:val="000000"/>
                <w:kern w:val="0"/>
                <w:szCs w:val="24"/>
                <w:lang w:eastAsia="en-IN"/>
                <w14:ligatures w14:val="none"/>
              </w:rPr>
            </w:pPr>
            <w:r w:rsidRPr="008E2A3E">
              <w:rPr>
                <w:rFonts w:ascii="Times New Roman" w:eastAsia="Times New Roman" w:hAnsi="Times New Roman" w:cs="Times New Roman"/>
                <w:color w:val="000000"/>
                <w:kern w:val="0"/>
                <w:szCs w:val="24"/>
                <w:lang w:eastAsia="en-IN"/>
                <w14:ligatures w14:val="none"/>
              </w:rPr>
              <w:t>Bihar</w:t>
            </w:r>
          </w:p>
        </w:tc>
        <w:tc>
          <w:tcPr>
            <w:tcW w:w="1075" w:type="dxa"/>
            <w:tcBorders>
              <w:top w:val="nil"/>
              <w:left w:val="nil"/>
              <w:bottom w:val="single" w:sz="4" w:space="0" w:color="auto"/>
              <w:right w:val="single" w:sz="4" w:space="0" w:color="auto"/>
            </w:tcBorders>
            <w:noWrap/>
            <w:vAlign w:val="center"/>
            <w:hideMark/>
          </w:tcPr>
          <w:p w14:paraId="30BF6758" w14:textId="77777777" w:rsidR="00EF645B" w:rsidRPr="008E2A3E" w:rsidRDefault="00EF645B" w:rsidP="00EF645B">
            <w:pPr>
              <w:spacing w:after="0" w:line="240" w:lineRule="auto"/>
              <w:jc w:val="center"/>
              <w:rPr>
                <w:rFonts w:ascii="Times New Roman" w:eastAsia="Times New Roman" w:hAnsi="Times New Roman" w:cs="Times New Roman"/>
                <w:color w:val="000000"/>
                <w:kern w:val="0"/>
                <w:szCs w:val="24"/>
                <w:lang w:eastAsia="en-IN"/>
                <w14:ligatures w14:val="none"/>
              </w:rPr>
            </w:pPr>
            <w:r w:rsidRPr="008E2A3E">
              <w:rPr>
                <w:rFonts w:ascii="Times New Roman" w:eastAsia="Times New Roman" w:hAnsi="Times New Roman" w:cs="Times New Roman"/>
                <w:color w:val="000000"/>
                <w:kern w:val="0"/>
                <w:szCs w:val="24"/>
                <w:lang w:eastAsia="en-IN"/>
                <w14:ligatures w14:val="none"/>
              </w:rPr>
              <w:t>992</w:t>
            </w:r>
          </w:p>
        </w:tc>
        <w:tc>
          <w:tcPr>
            <w:tcW w:w="1075" w:type="dxa"/>
            <w:tcBorders>
              <w:top w:val="nil"/>
              <w:left w:val="nil"/>
              <w:bottom w:val="single" w:sz="4" w:space="0" w:color="auto"/>
              <w:right w:val="single" w:sz="4" w:space="0" w:color="auto"/>
            </w:tcBorders>
            <w:noWrap/>
            <w:vAlign w:val="center"/>
            <w:hideMark/>
          </w:tcPr>
          <w:p w14:paraId="39EC6D3E" w14:textId="77777777" w:rsidR="00EF645B" w:rsidRPr="008E2A3E" w:rsidRDefault="00EF645B" w:rsidP="00EF645B">
            <w:pPr>
              <w:spacing w:after="0" w:line="240" w:lineRule="auto"/>
              <w:jc w:val="center"/>
              <w:rPr>
                <w:rFonts w:ascii="Times New Roman" w:eastAsia="Times New Roman" w:hAnsi="Times New Roman" w:cs="Times New Roman"/>
                <w:color w:val="000000"/>
                <w:kern w:val="0"/>
                <w:szCs w:val="24"/>
                <w:lang w:eastAsia="en-IN"/>
                <w14:ligatures w14:val="none"/>
              </w:rPr>
            </w:pPr>
            <w:r w:rsidRPr="008E2A3E">
              <w:rPr>
                <w:rFonts w:ascii="Times New Roman" w:eastAsia="Times New Roman" w:hAnsi="Times New Roman" w:cs="Times New Roman"/>
                <w:color w:val="000000"/>
                <w:kern w:val="0"/>
                <w:szCs w:val="24"/>
                <w:lang w:eastAsia="en-IN"/>
                <w14:ligatures w14:val="none"/>
              </w:rPr>
              <w:t>1033</w:t>
            </w:r>
          </w:p>
        </w:tc>
        <w:tc>
          <w:tcPr>
            <w:tcW w:w="1075" w:type="dxa"/>
            <w:tcBorders>
              <w:top w:val="nil"/>
              <w:left w:val="nil"/>
              <w:bottom w:val="single" w:sz="4" w:space="0" w:color="auto"/>
              <w:right w:val="single" w:sz="4" w:space="0" w:color="auto"/>
            </w:tcBorders>
            <w:noWrap/>
            <w:vAlign w:val="center"/>
            <w:hideMark/>
          </w:tcPr>
          <w:p w14:paraId="3E27A7EF" w14:textId="77777777" w:rsidR="00EF645B" w:rsidRPr="008E2A3E" w:rsidRDefault="00EF645B" w:rsidP="00EF645B">
            <w:pPr>
              <w:spacing w:after="0" w:line="240" w:lineRule="auto"/>
              <w:jc w:val="center"/>
              <w:rPr>
                <w:rFonts w:ascii="Times New Roman" w:eastAsia="Times New Roman" w:hAnsi="Times New Roman" w:cs="Times New Roman"/>
                <w:color w:val="000000"/>
                <w:kern w:val="0"/>
                <w:szCs w:val="24"/>
                <w:lang w:eastAsia="en-IN"/>
                <w14:ligatures w14:val="none"/>
              </w:rPr>
            </w:pPr>
            <w:r w:rsidRPr="008E2A3E">
              <w:rPr>
                <w:rFonts w:ascii="Times New Roman" w:eastAsia="Times New Roman" w:hAnsi="Times New Roman" w:cs="Times New Roman"/>
                <w:color w:val="000000"/>
                <w:kern w:val="0"/>
                <w:szCs w:val="24"/>
                <w:lang w:eastAsia="en-IN"/>
                <w14:ligatures w14:val="none"/>
              </w:rPr>
              <w:t>1116</w:t>
            </w:r>
          </w:p>
        </w:tc>
        <w:tc>
          <w:tcPr>
            <w:tcW w:w="1075" w:type="dxa"/>
            <w:tcBorders>
              <w:top w:val="nil"/>
              <w:left w:val="nil"/>
              <w:bottom w:val="single" w:sz="4" w:space="0" w:color="auto"/>
              <w:right w:val="single" w:sz="4" w:space="0" w:color="auto"/>
            </w:tcBorders>
            <w:noWrap/>
            <w:vAlign w:val="center"/>
            <w:hideMark/>
          </w:tcPr>
          <w:p w14:paraId="12624F73" w14:textId="77777777" w:rsidR="00EF645B" w:rsidRPr="008E2A3E" w:rsidRDefault="00EF645B" w:rsidP="00EF645B">
            <w:pPr>
              <w:spacing w:after="0" w:line="240" w:lineRule="auto"/>
              <w:jc w:val="center"/>
              <w:rPr>
                <w:rFonts w:ascii="Times New Roman" w:eastAsia="Times New Roman" w:hAnsi="Times New Roman" w:cs="Times New Roman"/>
                <w:color w:val="000000"/>
                <w:kern w:val="0"/>
                <w:szCs w:val="24"/>
                <w:lang w:eastAsia="en-IN"/>
                <w14:ligatures w14:val="none"/>
              </w:rPr>
            </w:pPr>
            <w:r w:rsidRPr="008E2A3E">
              <w:rPr>
                <w:rFonts w:ascii="Times New Roman" w:eastAsia="Times New Roman" w:hAnsi="Times New Roman" w:cs="Times New Roman"/>
                <w:color w:val="000000"/>
                <w:kern w:val="0"/>
                <w:szCs w:val="24"/>
                <w:lang w:eastAsia="en-IN"/>
                <w14:ligatures w14:val="none"/>
              </w:rPr>
              <w:t>1302</w:t>
            </w:r>
          </w:p>
        </w:tc>
        <w:tc>
          <w:tcPr>
            <w:tcW w:w="1076" w:type="dxa"/>
            <w:tcBorders>
              <w:top w:val="nil"/>
              <w:left w:val="nil"/>
              <w:bottom w:val="single" w:sz="4" w:space="0" w:color="auto"/>
              <w:right w:val="single" w:sz="4" w:space="0" w:color="auto"/>
            </w:tcBorders>
            <w:noWrap/>
            <w:vAlign w:val="center"/>
            <w:hideMark/>
          </w:tcPr>
          <w:p w14:paraId="608E9729" w14:textId="77777777" w:rsidR="00EF645B" w:rsidRPr="008E2A3E" w:rsidRDefault="00EF645B" w:rsidP="00EF645B">
            <w:pPr>
              <w:spacing w:after="0" w:line="240" w:lineRule="auto"/>
              <w:jc w:val="center"/>
              <w:rPr>
                <w:rFonts w:ascii="Times New Roman" w:eastAsia="Times New Roman" w:hAnsi="Times New Roman" w:cs="Times New Roman"/>
                <w:color w:val="000000"/>
                <w:kern w:val="0"/>
                <w:szCs w:val="24"/>
                <w:lang w:eastAsia="en-IN"/>
                <w14:ligatures w14:val="none"/>
              </w:rPr>
            </w:pPr>
            <w:r w:rsidRPr="008E2A3E">
              <w:rPr>
                <w:rFonts w:ascii="Times New Roman" w:eastAsia="Times New Roman" w:hAnsi="Times New Roman" w:cs="Times New Roman"/>
                <w:color w:val="000000"/>
                <w:kern w:val="0"/>
                <w:szCs w:val="24"/>
                <w:lang w:eastAsia="en-IN"/>
                <w14:ligatures w14:val="none"/>
              </w:rPr>
              <w:t>1505</w:t>
            </w:r>
          </w:p>
        </w:tc>
        <w:tc>
          <w:tcPr>
            <w:tcW w:w="1075" w:type="dxa"/>
            <w:tcBorders>
              <w:top w:val="nil"/>
              <w:left w:val="nil"/>
              <w:bottom w:val="single" w:sz="4" w:space="0" w:color="auto"/>
              <w:right w:val="single" w:sz="4" w:space="0" w:color="auto"/>
            </w:tcBorders>
            <w:noWrap/>
            <w:vAlign w:val="center"/>
            <w:hideMark/>
          </w:tcPr>
          <w:p w14:paraId="5949FC6D" w14:textId="77777777" w:rsidR="00EF645B" w:rsidRPr="008E2A3E" w:rsidRDefault="00EF645B" w:rsidP="00EF645B">
            <w:pPr>
              <w:spacing w:after="0" w:line="240" w:lineRule="auto"/>
              <w:jc w:val="center"/>
              <w:rPr>
                <w:rFonts w:ascii="Times New Roman" w:eastAsia="Times New Roman" w:hAnsi="Times New Roman" w:cs="Times New Roman"/>
                <w:color w:val="000000"/>
                <w:kern w:val="0"/>
                <w:szCs w:val="24"/>
                <w:lang w:eastAsia="en-IN"/>
                <w14:ligatures w14:val="none"/>
              </w:rPr>
            </w:pPr>
            <w:r w:rsidRPr="008E2A3E">
              <w:rPr>
                <w:rFonts w:ascii="Times New Roman" w:eastAsia="Times New Roman" w:hAnsi="Times New Roman" w:cs="Times New Roman"/>
                <w:color w:val="000000"/>
                <w:kern w:val="0"/>
                <w:szCs w:val="24"/>
                <w:lang w:eastAsia="en-IN"/>
                <w14:ligatures w14:val="none"/>
              </w:rPr>
              <w:t>507</w:t>
            </w:r>
          </w:p>
        </w:tc>
        <w:tc>
          <w:tcPr>
            <w:tcW w:w="1075" w:type="dxa"/>
            <w:tcBorders>
              <w:top w:val="nil"/>
              <w:left w:val="nil"/>
              <w:bottom w:val="single" w:sz="4" w:space="0" w:color="auto"/>
              <w:right w:val="single" w:sz="4" w:space="0" w:color="auto"/>
            </w:tcBorders>
            <w:noWrap/>
            <w:vAlign w:val="center"/>
            <w:hideMark/>
          </w:tcPr>
          <w:p w14:paraId="0665B718" w14:textId="77777777" w:rsidR="00EF645B" w:rsidRPr="008E2A3E" w:rsidRDefault="00EF645B" w:rsidP="00EF645B">
            <w:pPr>
              <w:spacing w:after="0" w:line="240" w:lineRule="auto"/>
              <w:jc w:val="center"/>
              <w:rPr>
                <w:rFonts w:ascii="Times New Roman" w:eastAsia="Times New Roman" w:hAnsi="Times New Roman" w:cs="Times New Roman"/>
                <w:color w:val="000000"/>
                <w:kern w:val="0"/>
                <w:szCs w:val="24"/>
                <w:lang w:eastAsia="en-IN"/>
                <w14:ligatures w14:val="none"/>
              </w:rPr>
            </w:pPr>
            <w:r w:rsidRPr="008E2A3E">
              <w:rPr>
                <w:rFonts w:ascii="Times New Roman" w:eastAsia="Times New Roman" w:hAnsi="Times New Roman" w:cs="Times New Roman"/>
                <w:color w:val="000000"/>
                <w:kern w:val="0"/>
                <w:szCs w:val="24"/>
                <w:lang w:eastAsia="en-IN"/>
                <w14:ligatures w14:val="none"/>
              </w:rPr>
              <w:t>512</w:t>
            </w:r>
          </w:p>
        </w:tc>
        <w:tc>
          <w:tcPr>
            <w:tcW w:w="1075" w:type="dxa"/>
            <w:tcBorders>
              <w:top w:val="nil"/>
              <w:left w:val="nil"/>
              <w:bottom w:val="single" w:sz="4" w:space="0" w:color="auto"/>
              <w:right w:val="single" w:sz="4" w:space="0" w:color="auto"/>
            </w:tcBorders>
            <w:noWrap/>
            <w:vAlign w:val="center"/>
            <w:hideMark/>
          </w:tcPr>
          <w:p w14:paraId="072DD0DD" w14:textId="77777777" w:rsidR="00EF645B" w:rsidRPr="008E2A3E" w:rsidRDefault="00EF645B" w:rsidP="00EF645B">
            <w:pPr>
              <w:spacing w:after="0" w:line="240" w:lineRule="auto"/>
              <w:jc w:val="center"/>
              <w:rPr>
                <w:rFonts w:ascii="Times New Roman" w:eastAsia="Times New Roman" w:hAnsi="Times New Roman" w:cs="Times New Roman"/>
                <w:color w:val="000000"/>
                <w:kern w:val="0"/>
                <w:szCs w:val="24"/>
                <w:lang w:eastAsia="en-IN"/>
                <w14:ligatures w14:val="none"/>
              </w:rPr>
            </w:pPr>
            <w:r w:rsidRPr="008E2A3E">
              <w:rPr>
                <w:rFonts w:ascii="Times New Roman" w:eastAsia="Times New Roman" w:hAnsi="Times New Roman" w:cs="Times New Roman"/>
                <w:color w:val="000000"/>
                <w:kern w:val="0"/>
                <w:szCs w:val="24"/>
                <w:lang w:eastAsia="en-IN"/>
                <w14:ligatures w14:val="none"/>
              </w:rPr>
              <w:t>527</w:t>
            </w:r>
          </w:p>
        </w:tc>
        <w:tc>
          <w:tcPr>
            <w:tcW w:w="1075" w:type="dxa"/>
            <w:tcBorders>
              <w:top w:val="nil"/>
              <w:left w:val="nil"/>
              <w:bottom w:val="single" w:sz="4" w:space="0" w:color="auto"/>
              <w:right w:val="single" w:sz="4" w:space="0" w:color="auto"/>
            </w:tcBorders>
            <w:noWrap/>
            <w:vAlign w:val="center"/>
            <w:hideMark/>
          </w:tcPr>
          <w:p w14:paraId="03B26A28" w14:textId="77777777" w:rsidR="00EF645B" w:rsidRPr="008E2A3E" w:rsidRDefault="00EF645B" w:rsidP="00EF645B">
            <w:pPr>
              <w:spacing w:after="0" w:line="240" w:lineRule="auto"/>
              <w:jc w:val="center"/>
              <w:rPr>
                <w:rFonts w:ascii="Times New Roman" w:eastAsia="Times New Roman" w:hAnsi="Times New Roman" w:cs="Times New Roman"/>
                <w:color w:val="000000"/>
                <w:kern w:val="0"/>
                <w:szCs w:val="24"/>
                <w:lang w:eastAsia="en-IN"/>
                <w14:ligatures w14:val="none"/>
              </w:rPr>
            </w:pPr>
            <w:r w:rsidRPr="008E2A3E">
              <w:rPr>
                <w:rFonts w:ascii="Times New Roman" w:eastAsia="Times New Roman" w:hAnsi="Times New Roman" w:cs="Times New Roman"/>
                <w:color w:val="000000"/>
                <w:kern w:val="0"/>
                <w:szCs w:val="24"/>
                <w:lang w:eastAsia="en-IN"/>
                <w14:ligatures w14:val="none"/>
              </w:rPr>
              <w:t>656</w:t>
            </w:r>
          </w:p>
        </w:tc>
        <w:tc>
          <w:tcPr>
            <w:tcW w:w="1076" w:type="dxa"/>
            <w:tcBorders>
              <w:top w:val="nil"/>
              <w:left w:val="nil"/>
              <w:bottom w:val="single" w:sz="4" w:space="0" w:color="auto"/>
              <w:right w:val="single" w:sz="4" w:space="0" w:color="auto"/>
            </w:tcBorders>
            <w:noWrap/>
            <w:vAlign w:val="center"/>
            <w:hideMark/>
          </w:tcPr>
          <w:p w14:paraId="6E9F3906" w14:textId="77777777" w:rsidR="00EF645B" w:rsidRPr="008E2A3E" w:rsidRDefault="00EF645B" w:rsidP="00EF645B">
            <w:pPr>
              <w:spacing w:after="0" w:line="240" w:lineRule="auto"/>
              <w:jc w:val="center"/>
              <w:rPr>
                <w:rFonts w:ascii="Times New Roman" w:eastAsia="Times New Roman" w:hAnsi="Times New Roman" w:cs="Times New Roman"/>
                <w:color w:val="000000"/>
                <w:kern w:val="0"/>
                <w:szCs w:val="24"/>
                <w:lang w:eastAsia="en-IN"/>
                <w14:ligatures w14:val="none"/>
              </w:rPr>
            </w:pPr>
            <w:r w:rsidRPr="008E2A3E">
              <w:rPr>
                <w:rFonts w:ascii="Times New Roman" w:eastAsia="Times New Roman" w:hAnsi="Times New Roman" w:cs="Times New Roman"/>
                <w:color w:val="000000"/>
                <w:kern w:val="0"/>
                <w:szCs w:val="24"/>
                <w:lang w:eastAsia="en-IN"/>
                <w14:ligatures w14:val="none"/>
              </w:rPr>
              <w:t>781</w:t>
            </w:r>
          </w:p>
        </w:tc>
      </w:tr>
      <w:tr w:rsidR="00EF645B" w:rsidRPr="008E2A3E" w14:paraId="7E776269" w14:textId="77777777" w:rsidTr="008E2A3E">
        <w:trPr>
          <w:trHeight w:val="300"/>
          <w:jc w:val="center"/>
        </w:trPr>
        <w:tc>
          <w:tcPr>
            <w:tcW w:w="3173" w:type="dxa"/>
            <w:tcBorders>
              <w:top w:val="nil"/>
              <w:left w:val="single" w:sz="4" w:space="0" w:color="auto"/>
              <w:bottom w:val="single" w:sz="4" w:space="0" w:color="auto"/>
              <w:right w:val="single" w:sz="4" w:space="0" w:color="auto"/>
            </w:tcBorders>
            <w:noWrap/>
            <w:vAlign w:val="center"/>
            <w:hideMark/>
          </w:tcPr>
          <w:p w14:paraId="6E259331" w14:textId="77777777" w:rsidR="00EF645B" w:rsidRPr="008E2A3E" w:rsidRDefault="00EF645B" w:rsidP="00EF645B">
            <w:pPr>
              <w:spacing w:after="0" w:line="240" w:lineRule="auto"/>
              <w:rPr>
                <w:rFonts w:ascii="Times New Roman" w:eastAsia="Times New Roman" w:hAnsi="Times New Roman" w:cs="Times New Roman"/>
                <w:color w:val="000000"/>
                <w:kern w:val="0"/>
                <w:szCs w:val="24"/>
                <w:lang w:eastAsia="en-IN"/>
                <w14:ligatures w14:val="none"/>
              </w:rPr>
            </w:pPr>
            <w:r w:rsidRPr="008E2A3E">
              <w:rPr>
                <w:rFonts w:ascii="Times New Roman" w:eastAsia="Times New Roman" w:hAnsi="Times New Roman" w:cs="Times New Roman"/>
                <w:color w:val="000000"/>
                <w:kern w:val="0"/>
                <w:szCs w:val="24"/>
                <w:lang w:eastAsia="en-IN"/>
                <w14:ligatures w14:val="none"/>
              </w:rPr>
              <w:t>Gujarat</w:t>
            </w:r>
          </w:p>
        </w:tc>
        <w:tc>
          <w:tcPr>
            <w:tcW w:w="1075" w:type="dxa"/>
            <w:tcBorders>
              <w:top w:val="nil"/>
              <w:left w:val="nil"/>
              <w:bottom w:val="single" w:sz="4" w:space="0" w:color="auto"/>
              <w:right w:val="single" w:sz="4" w:space="0" w:color="auto"/>
            </w:tcBorders>
            <w:noWrap/>
            <w:vAlign w:val="center"/>
            <w:hideMark/>
          </w:tcPr>
          <w:p w14:paraId="328CAD2C" w14:textId="77777777" w:rsidR="00EF645B" w:rsidRPr="008E2A3E" w:rsidRDefault="00EF645B" w:rsidP="00EF645B">
            <w:pPr>
              <w:spacing w:after="0" w:line="240" w:lineRule="auto"/>
              <w:jc w:val="center"/>
              <w:rPr>
                <w:rFonts w:ascii="Times New Roman" w:eastAsia="Times New Roman" w:hAnsi="Times New Roman" w:cs="Times New Roman"/>
                <w:color w:val="000000"/>
                <w:kern w:val="0"/>
                <w:szCs w:val="24"/>
                <w:lang w:eastAsia="en-IN"/>
                <w14:ligatures w14:val="none"/>
              </w:rPr>
            </w:pPr>
            <w:r w:rsidRPr="008E2A3E">
              <w:rPr>
                <w:rFonts w:ascii="Times New Roman" w:eastAsia="Times New Roman" w:hAnsi="Times New Roman" w:cs="Times New Roman"/>
                <w:color w:val="000000"/>
                <w:kern w:val="0"/>
                <w:szCs w:val="24"/>
                <w:lang w:eastAsia="en-IN"/>
                <w14:ligatures w14:val="none"/>
              </w:rPr>
              <w:t>775</w:t>
            </w:r>
          </w:p>
        </w:tc>
        <w:tc>
          <w:tcPr>
            <w:tcW w:w="1075" w:type="dxa"/>
            <w:tcBorders>
              <w:top w:val="nil"/>
              <w:left w:val="nil"/>
              <w:bottom w:val="single" w:sz="4" w:space="0" w:color="auto"/>
              <w:right w:val="single" w:sz="4" w:space="0" w:color="auto"/>
            </w:tcBorders>
            <w:noWrap/>
            <w:vAlign w:val="center"/>
            <w:hideMark/>
          </w:tcPr>
          <w:p w14:paraId="59DC39E3" w14:textId="77777777" w:rsidR="00EF645B" w:rsidRPr="008E2A3E" w:rsidRDefault="00EF645B" w:rsidP="00EF645B">
            <w:pPr>
              <w:spacing w:after="0" w:line="240" w:lineRule="auto"/>
              <w:jc w:val="center"/>
              <w:rPr>
                <w:rFonts w:ascii="Times New Roman" w:eastAsia="Times New Roman" w:hAnsi="Times New Roman" w:cs="Times New Roman"/>
                <w:color w:val="000000"/>
                <w:kern w:val="0"/>
                <w:szCs w:val="24"/>
                <w:lang w:eastAsia="en-IN"/>
                <w14:ligatures w14:val="none"/>
              </w:rPr>
            </w:pPr>
            <w:r w:rsidRPr="008E2A3E">
              <w:rPr>
                <w:rFonts w:ascii="Times New Roman" w:eastAsia="Times New Roman" w:hAnsi="Times New Roman" w:cs="Times New Roman"/>
                <w:color w:val="000000"/>
                <w:kern w:val="0"/>
                <w:szCs w:val="24"/>
                <w:lang w:eastAsia="en-IN"/>
                <w14:ligatures w14:val="none"/>
              </w:rPr>
              <w:t>862</w:t>
            </w:r>
          </w:p>
        </w:tc>
        <w:tc>
          <w:tcPr>
            <w:tcW w:w="1075" w:type="dxa"/>
            <w:tcBorders>
              <w:top w:val="nil"/>
              <w:left w:val="nil"/>
              <w:bottom w:val="single" w:sz="4" w:space="0" w:color="auto"/>
              <w:right w:val="single" w:sz="4" w:space="0" w:color="auto"/>
            </w:tcBorders>
            <w:noWrap/>
            <w:vAlign w:val="center"/>
            <w:hideMark/>
          </w:tcPr>
          <w:p w14:paraId="70A5AF8D" w14:textId="77777777" w:rsidR="00EF645B" w:rsidRPr="008E2A3E" w:rsidRDefault="00EF645B" w:rsidP="00EF645B">
            <w:pPr>
              <w:spacing w:after="0" w:line="240" w:lineRule="auto"/>
              <w:jc w:val="center"/>
              <w:rPr>
                <w:rFonts w:ascii="Times New Roman" w:eastAsia="Times New Roman" w:hAnsi="Times New Roman" w:cs="Times New Roman"/>
                <w:color w:val="000000"/>
                <w:kern w:val="0"/>
                <w:szCs w:val="24"/>
                <w:lang w:eastAsia="en-IN"/>
                <w14:ligatures w14:val="none"/>
              </w:rPr>
            </w:pPr>
            <w:r w:rsidRPr="008E2A3E">
              <w:rPr>
                <w:rFonts w:ascii="Times New Roman" w:eastAsia="Times New Roman" w:hAnsi="Times New Roman" w:cs="Times New Roman"/>
                <w:color w:val="000000"/>
                <w:kern w:val="0"/>
                <w:szCs w:val="24"/>
                <w:lang w:eastAsia="en-IN"/>
                <w14:ligatures w14:val="none"/>
              </w:rPr>
              <w:t>889</w:t>
            </w:r>
          </w:p>
        </w:tc>
        <w:tc>
          <w:tcPr>
            <w:tcW w:w="1075" w:type="dxa"/>
            <w:tcBorders>
              <w:top w:val="nil"/>
              <w:left w:val="nil"/>
              <w:bottom w:val="single" w:sz="4" w:space="0" w:color="auto"/>
              <w:right w:val="single" w:sz="4" w:space="0" w:color="auto"/>
            </w:tcBorders>
            <w:noWrap/>
            <w:vAlign w:val="center"/>
            <w:hideMark/>
          </w:tcPr>
          <w:p w14:paraId="1F4C9841" w14:textId="77777777" w:rsidR="00EF645B" w:rsidRPr="008E2A3E" w:rsidRDefault="00EF645B" w:rsidP="00EF645B">
            <w:pPr>
              <w:spacing w:after="0" w:line="240" w:lineRule="auto"/>
              <w:jc w:val="center"/>
              <w:rPr>
                <w:rFonts w:ascii="Times New Roman" w:eastAsia="Times New Roman" w:hAnsi="Times New Roman" w:cs="Times New Roman"/>
                <w:color w:val="000000"/>
                <w:kern w:val="0"/>
                <w:szCs w:val="24"/>
                <w:lang w:eastAsia="en-IN"/>
                <w14:ligatures w14:val="none"/>
              </w:rPr>
            </w:pPr>
            <w:r w:rsidRPr="008E2A3E">
              <w:rPr>
                <w:rFonts w:ascii="Times New Roman" w:eastAsia="Times New Roman" w:hAnsi="Times New Roman" w:cs="Times New Roman"/>
                <w:color w:val="000000"/>
                <w:kern w:val="0"/>
                <w:szCs w:val="24"/>
                <w:lang w:eastAsia="en-IN"/>
                <w14:ligatures w14:val="none"/>
              </w:rPr>
              <w:t>997</w:t>
            </w:r>
          </w:p>
        </w:tc>
        <w:tc>
          <w:tcPr>
            <w:tcW w:w="1076" w:type="dxa"/>
            <w:tcBorders>
              <w:top w:val="nil"/>
              <w:left w:val="nil"/>
              <w:bottom w:val="single" w:sz="4" w:space="0" w:color="auto"/>
              <w:right w:val="single" w:sz="4" w:space="0" w:color="auto"/>
            </w:tcBorders>
            <w:noWrap/>
            <w:vAlign w:val="center"/>
            <w:hideMark/>
          </w:tcPr>
          <w:p w14:paraId="5879BBF8" w14:textId="77777777" w:rsidR="00EF645B" w:rsidRPr="008E2A3E" w:rsidRDefault="00EF645B" w:rsidP="00EF645B">
            <w:pPr>
              <w:spacing w:after="0" w:line="240" w:lineRule="auto"/>
              <w:jc w:val="center"/>
              <w:rPr>
                <w:rFonts w:ascii="Times New Roman" w:eastAsia="Times New Roman" w:hAnsi="Times New Roman" w:cs="Times New Roman"/>
                <w:color w:val="000000"/>
                <w:kern w:val="0"/>
                <w:szCs w:val="24"/>
                <w:lang w:eastAsia="en-IN"/>
                <w14:ligatures w14:val="none"/>
              </w:rPr>
            </w:pPr>
            <w:r w:rsidRPr="008E2A3E">
              <w:rPr>
                <w:rFonts w:ascii="Times New Roman" w:eastAsia="Times New Roman" w:hAnsi="Times New Roman" w:cs="Times New Roman"/>
                <w:color w:val="000000"/>
                <w:kern w:val="0"/>
                <w:szCs w:val="24"/>
                <w:lang w:eastAsia="en-IN"/>
                <w14:ligatures w14:val="none"/>
              </w:rPr>
              <w:t>1189</w:t>
            </w:r>
          </w:p>
        </w:tc>
        <w:tc>
          <w:tcPr>
            <w:tcW w:w="1075" w:type="dxa"/>
            <w:tcBorders>
              <w:top w:val="nil"/>
              <w:left w:val="nil"/>
              <w:bottom w:val="single" w:sz="4" w:space="0" w:color="auto"/>
              <w:right w:val="single" w:sz="4" w:space="0" w:color="auto"/>
            </w:tcBorders>
            <w:noWrap/>
            <w:vAlign w:val="center"/>
            <w:hideMark/>
          </w:tcPr>
          <w:p w14:paraId="512D0870" w14:textId="77777777" w:rsidR="00EF645B" w:rsidRPr="008E2A3E" w:rsidRDefault="00EF645B" w:rsidP="00EF645B">
            <w:pPr>
              <w:spacing w:after="0" w:line="240" w:lineRule="auto"/>
              <w:jc w:val="center"/>
              <w:rPr>
                <w:rFonts w:ascii="Times New Roman" w:eastAsia="Times New Roman" w:hAnsi="Times New Roman" w:cs="Times New Roman"/>
                <w:color w:val="000000"/>
                <w:kern w:val="0"/>
                <w:szCs w:val="24"/>
                <w:lang w:eastAsia="en-IN"/>
                <w14:ligatures w14:val="none"/>
              </w:rPr>
            </w:pPr>
            <w:r w:rsidRPr="008E2A3E">
              <w:rPr>
                <w:rFonts w:ascii="Times New Roman" w:eastAsia="Times New Roman" w:hAnsi="Times New Roman" w:cs="Times New Roman"/>
                <w:color w:val="000000"/>
                <w:kern w:val="0"/>
                <w:szCs w:val="24"/>
                <w:lang w:eastAsia="en-IN"/>
                <w14:ligatures w14:val="none"/>
              </w:rPr>
              <w:t>353</w:t>
            </w:r>
          </w:p>
        </w:tc>
        <w:tc>
          <w:tcPr>
            <w:tcW w:w="1075" w:type="dxa"/>
            <w:tcBorders>
              <w:top w:val="nil"/>
              <w:left w:val="nil"/>
              <w:bottom w:val="single" w:sz="4" w:space="0" w:color="auto"/>
              <w:right w:val="single" w:sz="4" w:space="0" w:color="auto"/>
            </w:tcBorders>
            <w:noWrap/>
            <w:vAlign w:val="center"/>
            <w:hideMark/>
          </w:tcPr>
          <w:p w14:paraId="47A98761" w14:textId="77777777" w:rsidR="00EF645B" w:rsidRPr="008E2A3E" w:rsidRDefault="00EF645B" w:rsidP="00EF645B">
            <w:pPr>
              <w:spacing w:after="0" w:line="240" w:lineRule="auto"/>
              <w:jc w:val="center"/>
              <w:rPr>
                <w:rFonts w:ascii="Times New Roman" w:eastAsia="Times New Roman" w:hAnsi="Times New Roman" w:cs="Times New Roman"/>
                <w:color w:val="000000"/>
                <w:kern w:val="0"/>
                <w:szCs w:val="24"/>
                <w:lang w:eastAsia="en-IN"/>
                <w14:ligatures w14:val="none"/>
              </w:rPr>
            </w:pPr>
            <w:r w:rsidRPr="008E2A3E">
              <w:rPr>
                <w:rFonts w:ascii="Times New Roman" w:eastAsia="Times New Roman" w:hAnsi="Times New Roman" w:cs="Times New Roman"/>
                <w:color w:val="000000"/>
                <w:kern w:val="0"/>
                <w:szCs w:val="24"/>
                <w:lang w:eastAsia="en-IN"/>
                <w14:ligatures w14:val="none"/>
              </w:rPr>
              <w:t>405</w:t>
            </w:r>
          </w:p>
        </w:tc>
        <w:tc>
          <w:tcPr>
            <w:tcW w:w="1075" w:type="dxa"/>
            <w:tcBorders>
              <w:top w:val="nil"/>
              <w:left w:val="nil"/>
              <w:bottom w:val="single" w:sz="4" w:space="0" w:color="auto"/>
              <w:right w:val="single" w:sz="4" w:space="0" w:color="auto"/>
            </w:tcBorders>
            <w:noWrap/>
            <w:vAlign w:val="center"/>
            <w:hideMark/>
          </w:tcPr>
          <w:p w14:paraId="4DBB7425" w14:textId="77777777" w:rsidR="00EF645B" w:rsidRPr="008E2A3E" w:rsidRDefault="00EF645B" w:rsidP="00EF645B">
            <w:pPr>
              <w:spacing w:after="0" w:line="240" w:lineRule="auto"/>
              <w:jc w:val="center"/>
              <w:rPr>
                <w:rFonts w:ascii="Times New Roman" w:eastAsia="Times New Roman" w:hAnsi="Times New Roman" w:cs="Times New Roman"/>
                <w:color w:val="000000"/>
                <w:kern w:val="0"/>
                <w:szCs w:val="24"/>
                <w:lang w:eastAsia="en-IN"/>
                <w14:ligatures w14:val="none"/>
              </w:rPr>
            </w:pPr>
            <w:r w:rsidRPr="008E2A3E">
              <w:rPr>
                <w:rFonts w:ascii="Times New Roman" w:eastAsia="Times New Roman" w:hAnsi="Times New Roman" w:cs="Times New Roman"/>
                <w:color w:val="000000"/>
                <w:kern w:val="0"/>
                <w:szCs w:val="24"/>
                <w:lang w:eastAsia="en-IN"/>
                <w14:ligatures w14:val="none"/>
              </w:rPr>
              <w:t>394</w:t>
            </w:r>
          </w:p>
        </w:tc>
        <w:tc>
          <w:tcPr>
            <w:tcW w:w="1075" w:type="dxa"/>
            <w:tcBorders>
              <w:top w:val="nil"/>
              <w:left w:val="nil"/>
              <w:bottom w:val="single" w:sz="4" w:space="0" w:color="auto"/>
              <w:right w:val="single" w:sz="4" w:space="0" w:color="auto"/>
            </w:tcBorders>
            <w:noWrap/>
            <w:vAlign w:val="center"/>
            <w:hideMark/>
          </w:tcPr>
          <w:p w14:paraId="2B639C77" w14:textId="77777777" w:rsidR="00EF645B" w:rsidRPr="008E2A3E" w:rsidRDefault="00EF645B" w:rsidP="00EF645B">
            <w:pPr>
              <w:spacing w:after="0" w:line="240" w:lineRule="auto"/>
              <w:jc w:val="center"/>
              <w:rPr>
                <w:rFonts w:ascii="Times New Roman" w:eastAsia="Times New Roman" w:hAnsi="Times New Roman" w:cs="Times New Roman"/>
                <w:color w:val="000000"/>
                <w:kern w:val="0"/>
                <w:szCs w:val="24"/>
                <w:lang w:eastAsia="en-IN"/>
                <w14:ligatures w14:val="none"/>
              </w:rPr>
            </w:pPr>
            <w:r w:rsidRPr="008E2A3E">
              <w:rPr>
                <w:rFonts w:ascii="Times New Roman" w:eastAsia="Times New Roman" w:hAnsi="Times New Roman" w:cs="Times New Roman"/>
                <w:color w:val="000000"/>
                <w:kern w:val="0"/>
                <w:szCs w:val="24"/>
                <w:lang w:eastAsia="en-IN"/>
                <w14:ligatures w14:val="none"/>
              </w:rPr>
              <w:t>442</w:t>
            </w:r>
          </w:p>
        </w:tc>
        <w:tc>
          <w:tcPr>
            <w:tcW w:w="1076" w:type="dxa"/>
            <w:tcBorders>
              <w:top w:val="nil"/>
              <w:left w:val="nil"/>
              <w:bottom w:val="single" w:sz="4" w:space="0" w:color="auto"/>
              <w:right w:val="single" w:sz="4" w:space="0" w:color="auto"/>
            </w:tcBorders>
            <w:noWrap/>
            <w:vAlign w:val="center"/>
            <w:hideMark/>
          </w:tcPr>
          <w:p w14:paraId="27763FB9" w14:textId="77777777" w:rsidR="00EF645B" w:rsidRPr="008E2A3E" w:rsidRDefault="00EF645B" w:rsidP="00EF645B">
            <w:pPr>
              <w:spacing w:after="0" w:line="240" w:lineRule="auto"/>
              <w:jc w:val="center"/>
              <w:rPr>
                <w:rFonts w:ascii="Times New Roman" w:eastAsia="Times New Roman" w:hAnsi="Times New Roman" w:cs="Times New Roman"/>
                <w:color w:val="000000"/>
                <w:kern w:val="0"/>
                <w:szCs w:val="24"/>
                <w:lang w:eastAsia="en-IN"/>
                <w14:ligatures w14:val="none"/>
              </w:rPr>
            </w:pPr>
            <w:r w:rsidRPr="008E2A3E">
              <w:rPr>
                <w:rFonts w:ascii="Times New Roman" w:eastAsia="Times New Roman" w:hAnsi="Times New Roman" w:cs="Times New Roman"/>
                <w:color w:val="000000"/>
                <w:kern w:val="0"/>
                <w:szCs w:val="24"/>
                <w:lang w:eastAsia="en-IN"/>
                <w14:ligatures w14:val="none"/>
              </w:rPr>
              <w:t>568</w:t>
            </w:r>
          </w:p>
        </w:tc>
      </w:tr>
      <w:tr w:rsidR="00EF645B" w:rsidRPr="008E2A3E" w14:paraId="27639C40" w14:textId="77777777" w:rsidTr="008E2A3E">
        <w:trPr>
          <w:trHeight w:val="300"/>
          <w:jc w:val="center"/>
        </w:trPr>
        <w:tc>
          <w:tcPr>
            <w:tcW w:w="3173" w:type="dxa"/>
            <w:tcBorders>
              <w:top w:val="nil"/>
              <w:left w:val="single" w:sz="4" w:space="0" w:color="auto"/>
              <w:bottom w:val="single" w:sz="4" w:space="0" w:color="auto"/>
              <w:right w:val="single" w:sz="4" w:space="0" w:color="auto"/>
            </w:tcBorders>
            <w:noWrap/>
            <w:vAlign w:val="center"/>
            <w:hideMark/>
          </w:tcPr>
          <w:p w14:paraId="45075DEA" w14:textId="77777777" w:rsidR="00EF645B" w:rsidRPr="008E2A3E" w:rsidRDefault="00EF645B" w:rsidP="00EF645B">
            <w:pPr>
              <w:spacing w:after="0" w:line="240" w:lineRule="auto"/>
              <w:rPr>
                <w:rFonts w:ascii="Times New Roman" w:eastAsia="Times New Roman" w:hAnsi="Times New Roman" w:cs="Times New Roman"/>
                <w:color w:val="000000"/>
                <w:kern w:val="0"/>
                <w:szCs w:val="24"/>
                <w:lang w:eastAsia="en-IN"/>
                <w14:ligatures w14:val="none"/>
              </w:rPr>
            </w:pPr>
            <w:r w:rsidRPr="008E2A3E">
              <w:rPr>
                <w:rFonts w:ascii="Times New Roman" w:eastAsia="Times New Roman" w:hAnsi="Times New Roman" w:cs="Times New Roman"/>
                <w:color w:val="000000"/>
                <w:kern w:val="0"/>
                <w:szCs w:val="24"/>
                <w:lang w:eastAsia="en-IN"/>
                <w14:ligatures w14:val="none"/>
              </w:rPr>
              <w:t>Haryana</w:t>
            </w:r>
          </w:p>
        </w:tc>
        <w:tc>
          <w:tcPr>
            <w:tcW w:w="1075" w:type="dxa"/>
            <w:tcBorders>
              <w:top w:val="nil"/>
              <w:left w:val="nil"/>
              <w:bottom w:val="single" w:sz="4" w:space="0" w:color="auto"/>
              <w:right w:val="single" w:sz="4" w:space="0" w:color="auto"/>
            </w:tcBorders>
            <w:noWrap/>
            <w:vAlign w:val="center"/>
            <w:hideMark/>
          </w:tcPr>
          <w:p w14:paraId="46AAB8F1" w14:textId="77777777" w:rsidR="00EF645B" w:rsidRPr="008E2A3E" w:rsidRDefault="00EF645B" w:rsidP="00EF645B">
            <w:pPr>
              <w:spacing w:after="0" w:line="240" w:lineRule="auto"/>
              <w:jc w:val="center"/>
              <w:rPr>
                <w:rFonts w:ascii="Times New Roman" w:eastAsia="Times New Roman" w:hAnsi="Times New Roman" w:cs="Times New Roman"/>
                <w:color w:val="000000"/>
                <w:kern w:val="0"/>
                <w:szCs w:val="24"/>
                <w:lang w:eastAsia="en-IN"/>
                <w14:ligatures w14:val="none"/>
              </w:rPr>
            </w:pPr>
            <w:r w:rsidRPr="008E2A3E">
              <w:rPr>
                <w:rFonts w:ascii="Times New Roman" w:eastAsia="Times New Roman" w:hAnsi="Times New Roman" w:cs="Times New Roman"/>
                <w:color w:val="000000"/>
                <w:kern w:val="0"/>
                <w:szCs w:val="24"/>
                <w:lang w:eastAsia="en-IN"/>
                <w14:ligatures w14:val="none"/>
              </w:rPr>
              <w:t>269</w:t>
            </w:r>
          </w:p>
        </w:tc>
        <w:tc>
          <w:tcPr>
            <w:tcW w:w="1075" w:type="dxa"/>
            <w:tcBorders>
              <w:top w:val="nil"/>
              <w:left w:val="nil"/>
              <w:bottom w:val="single" w:sz="4" w:space="0" w:color="auto"/>
              <w:right w:val="single" w:sz="4" w:space="0" w:color="auto"/>
            </w:tcBorders>
            <w:noWrap/>
            <w:vAlign w:val="center"/>
            <w:hideMark/>
          </w:tcPr>
          <w:p w14:paraId="1E85D4B6" w14:textId="77777777" w:rsidR="00EF645B" w:rsidRPr="008E2A3E" w:rsidRDefault="00EF645B" w:rsidP="00EF645B">
            <w:pPr>
              <w:spacing w:after="0" w:line="240" w:lineRule="auto"/>
              <w:jc w:val="center"/>
              <w:rPr>
                <w:rFonts w:ascii="Times New Roman" w:eastAsia="Times New Roman" w:hAnsi="Times New Roman" w:cs="Times New Roman"/>
                <w:color w:val="000000"/>
                <w:kern w:val="0"/>
                <w:szCs w:val="24"/>
                <w:lang w:eastAsia="en-IN"/>
                <w14:ligatures w14:val="none"/>
              </w:rPr>
            </w:pPr>
            <w:r w:rsidRPr="008E2A3E">
              <w:rPr>
                <w:rFonts w:ascii="Times New Roman" w:eastAsia="Times New Roman" w:hAnsi="Times New Roman" w:cs="Times New Roman"/>
                <w:color w:val="000000"/>
                <w:kern w:val="0"/>
                <w:szCs w:val="24"/>
                <w:lang w:eastAsia="en-IN"/>
                <w14:ligatures w14:val="none"/>
              </w:rPr>
              <w:t>287</w:t>
            </w:r>
          </w:p>
        </w:tc>
        <w:tc>
          <w:tcPr>
            <w:tcW w:w="1075" w:type="dxa"/>
            <w:tcBorders>
              <w:top w:val="nil"/>
              <w:left w:val="nil"/>
              <w:bottom w:val="single" w:sz="4" w:space="0" w:color="auto"/>
              <w:right w:val="single" w:sz="4" w:space="0" w:color="auto"/>
            </w:tcBorders>
            <w:noWrap/>
            <w:vAlign w:val="center"/>
            <w:hideMark/>
          </w:tcPr>
          <w:p w14:paraId="0F3E17D2" w14:textId="77777777" w:rsidR="00EF645B" w:rsidRPr="008E2A3E" w:rsidRDefault="00EF645B" w:rsidP="00EF645B">
            <w:pPr>
              <w:spacing w:after="0" w:line="240" w:lineRule="auto"/>
              <w:jc w:val="center"/>
              <w:rPr>
                <w:rFonts w:ascii="Times New Roman" w:eastAsia="Times New Roman" w:hAnsi="Times New Roman" w:cs="Times New Roman"/>
                <w:color w:val="000000"/>
                <w:kern w:val="0"/>
                <w:szCs w:val="24"/>
                <w:lang w:eastAsia="en-IN"/>
                <w14:ligatures w14:val="none"/>
              </w:rPr>
            </w:pPr>
            <w:r w:rsidRPr="008E2A3E">
              <w:rPr>
                <w:rFonts w:ascii="Times New Roman" w:eastAsia="Times New Roman" w:hAnsi="Times New Roman" w:cs="Times New Roman"/>
                <w:color w:val="000000"/>
                <w:kern w:val="0"/>
                <w:szCs w:val="24"/>
                <w:lang w:eastAsia="en-IN"/>
                <w14:ligatures w14:val="none"/>
              </w:rPr>
              <w:t>303</w:t>
            </w:r>
          </w:p>
        </w:tc>
        <w:tc>
          <w:tcPr>
            <w:tcW w:w="1075" w:type="dxa"/>
            <w:tcBorders>
              <w:top w:val="nil"/>
              <w:left w:val="nil"/>
              <w:bottom w:val="single" w:sz="4" w:space="0" w:color="auto"/>
              <w:right w:val="single" w:sz="4" w:space="0" w:color="auto"/>
            </w:tcBorders>
            <w:noWrap/>
            <w:vAlign w:val="center"/>
            <w:hideMark/>
          </w:tcPr>
          <w:p w14:paraId="5C2494A0" w14:textId="77777777" w:rsidR="00EF645B" w:rsidRPr="008E2A3E" w:rsidRDefault="00EF645B" w:rsidP="00EF645B">
            <w:pPr>
              <w:spacing w:after="0" w:line="240" w:lineRule="auto"/>
              <w:jc w:val="center"/>
              <w:rPr>
                <w:rFonts w:ascii="Times New Roman" w:eastAsia="Times New Roman" w:hAnsi="Times New Roman" w:cs="Times New Roman"/>
                <w:color w:val="000000"/>
                <w:kern w:val="0"/>
                <w:szCs w:val="24"/>
                <w:lang w:eastAsia="en-IN"/>
                <w14:ligatures w14:val="none"/>
              </w:rPr>
            </w:pPr>
            <w:r w:rsidRPr="008E2A3E">
              <w:rPr>
                <w:rFonts w:ascii="Times New Roman" w:eastAsia="Times New Roman" w:hAnsi="Times New Roman" w:cs="Times New Roman"/>
                <w:color w:val="000000"/>
                <w:kern w:val="0"/>
                <w:szCs w:val="24"/>
                <w:lang w:eastAsia="en-IN"/>
                <w14:ligatures w14:val="none"/>
              </w:rPr>
              <w:t>370</w:t>
            </w:r>
          </w:p>
        </w:tc>
        <w:tc>
          <w:tcPr>
            <w:tcW w:w="1076" w:type="dxa"/>
            <w:tcBorders>
              <w:top w:val="nil"/>
              <w:left w:val="nil"/>
              <w:bottom w:val="single" w:sz="4" w:space="0" w:color="auto"/>
              <w:right w:val="single" w:sz="4" w:space="0" w:color="auto"/>
            </w:tcBorders>
            <w:noWrap/>
            <w:vAlign w:val="center"/>
            <w:hideMark/>
          </w:tcPr>
          <w:p w14:paraId="0266A6F4" w14:textId="77777777" w:rsidR="00EF645B" w:rsidRPr="008E2A3E" w:rsidRDefault="00EF645B" w:rsidP="00EF645B">
            <w:pPr>
              <w:spacing w:after="0" w:line="240" w:lineRule="auto"/>
              <w:jc w:val="center"/>
              <w:rPr>
                <w:rFonts w:ascii="Times New Roman" w:eastAsia="Times New Roman" w:hAnsi="Times New Roman" w:cs="Times New Roman"/>
                <w:color w:val="000000"/>
                <w:kern w:val="0"/>
                <w:szCs w:val="24"/>
                <w:lang w:eastAsia="en-IN"/>
                <w14:ligatures w14:val="none"/>
              </w:rPr>
            </w:pPr>
            <w:r w:rsidRPr="008E2A3E">
              <w:rPr>
                <w:rFonts w:ascii="Times New Roman" w:eastAsia="Times New Roman" w:hAnsi="Times New Roman" w:cs="Times New Roman"/>
                <w:color w:val="000000"/>
                <w:kern w:val="0"/>
                <w:szCs w:val="24"/>
                <w:lang w:eastAsia="en-IN"/>
                <w14:ligatures w14:val="none"/>
              </w:rPr>
              <w:t>427</w:t>
            </w:r>
          </w:p>
        </w:tc>
        <w:tc>
          <w:tcPr>
            <w:tcW w:w="1075" w:type="dxa"/>
            <w:tcBorders>
              <w:top w:val="nil"/>
              <w:left w:val="nil"/>
              <w:bottom w:val="single" w:sz="4" w:space="0" w:color="auto"/>
              <w:right w:val="single" w:sz="4" w:space="0" w:color="auto"/>
            </w:tcBorders>
            <w:noWrap/>
            <w:vAlign w:val="center"/>
            <w:hideMark/>
          </w:tcPr>
          <w:p w14:paraId="371F968A" w14:textId="77777777" w:rsidR="00EF645B" w:rsidRPr="008E2A3E" w:rsidRDefault="00EF645B" w:rsidP="00EF645B">
            <w:pPr>
              <w:spacing w:after="0" w:line="240" w:lineRule="auto"/>
              <w:jc w:val="center"/>
              <w:rPr>
                <w:rFonts w:ascii="Times New Roman" w:eastAsia="Times New Roman" w:hAnsi="Times New Roman" w:cs="Times New Roman"/>
                <w:color w:val="000000"/>
                <w:kern w:val="0"/>
                <w:szCs w:val="24"/>
                <w:lang w:eastAsia="en-IN"/>
                <w14:ligatures w14:val="none"/>
              </w:rPr>
            </w:pPr>
            <w:r w:rsidRPr="008E2A3E">
              <w:rPr>
                <w:rFonts w:ascii="Times New Roman" w:eastAsia="Times New Roman" w:hAnsi="Times New Roman" w:cs="Times New Roman"/>
                <w:color w:val="000000"/>
                <w:kern w:val="0"/>
                <w:szCs w:val="24"/>
                <w:lang w:eastAsia="en-IN"/>
                <w14:ligatures w14:val="none"/>
              </w:rPr>
              <w:t>168</w:t>
            </w:r>
          </w:p>
        </w:tc>
        <w:tc>
          <w:tcPr>
            <w:tcW w:w="1075" w:type="dxa"/>
            <w:tcBorders>
              <w:top w:val="nil"/>
              <w:left w:val="nil"/>
              <w:bottom w:val="single" w:sz="4" w:space="0" w:color="auto"/>
              <w:right w:val="single" w:sz="4" w:space="0" w:color="auto"/>
            </w:tcBorders>
            <w:noWrap/>
            <w:vAlign w:val="center"/>
            <w:hideMark/>
          </w:tcPr>
          <w:p w14:paraId="51DEF2F1" w14:textId="77777777" w:rsidR="00EF645B" w:rsidRPr="008E2A3E" w:rsidRDefault="00EF645B" w:rsidP="00EF645B">
            <w:pPr>
              <w:spacing w:after="0" w:line="240" w:lineRule="auto"/>
              <w:jc w:val="center"/>
              <w:rPr>
                <w:rFonts w:ascii="Times New Roman" w:eastAsia="Times New Roman" w:hAnsi="Times New Roman" w:cs="Times New Roman"/>
                <w:color w:val="000000"/>
                <w:kern w:val="0"/>
                <w:szCs w:val="24"/>
                <w:lang w:eastAsia="en-IN"/>
                <w14:ligatures w14:val="none"/>
              </w:rPr>
            </w:pPr>
            <w:r w:rsidRPr="008E2A3E">
              <w:rPr>
                <w:rFonts w:ascii="Times New Roman" w:eastAsia="Times New Roman" w:hAnsi="Times New Roman" w:cs="Times New Roman"/>
                <w:color w:val="000000"/>
                <w:kern w:val="0"/>
                <w:szCs w:val="24"/>
                <w:lang w:eastAsia="en-IN"/>
                <w14:ligatures w14:val="none"/>
              </w:rPr>
              <w:t>174</w:t>
            </w:r>
          </w:p>
        </w:tc>
        <w:tc>
          <w:tcPr>
            <w:tcW w:w="1075" w:type="dxa"/>
            <w:tcBorders>
              <w:top w:val="nil"/>
              <w:left w:val="nil"/>
              <w:bottom w:val="single" w:sz="4" w:space="0" w:color="auto"/>
              <w:right w:val="single" w:sz="4" w:space="0" w:color="auto"/>
            </w:tcBorders>
            <w:noWrap/>
            <w:vAlign w:val="center"/>
            <w:hideMark/>
          </w:tcPr>
          <w:p w14:paraId="711AEAFA" w14:textId="77777777" w:rsidR="00EF645B" w:rsidRPr="008E2A3E" w:rsidRDefault="00EF645B" w:rsidP="00EF645B">
            <w:pPr>
              <w:spacing w:after="0" w:line="240" w:lineRule="auto"/>
              <w:jc w:val="center"/>
              <w:rPr>
                <w:rFonts w:ascii="Times New Roman" w:eastAsia="Times New Roman" w:hAnsi="Times New Roman" w:cs="Times New Roman"/>
                <w:color w:val="000000"/>
                <w:kern w:val="0"/>
                <w:szCs w:val="24"/>
                <w:lang w:eastAsia="en-IN"/>
                <w14:ligatures w14:val="none"/>
              </w:rPr>
            </w:pPr>
            <w:r w:rsidRPr="008E2A3E">
              <w:rPr>
                <w:rFonts w:ascii="Times New Roman" w:eastAsia="Times New Roman" w:hAnsi="Times New Roman" w:cs="Times New Roman"/>
                <w:color w:val="000000"/>
                <w:kern w:val="0"/>
                <w:szCs w:val="24"/>
                <w:lang w:eastAsia="en-IN"/>
                <w14:ligatures w14:val="none"/>
              </w:rPr>
              <w:t>180</w:t>
            </w:r>
          </w:p>
        </w:tc>
        <w:tc>
          <w:tcPr>
            <w:tcW w:w="1075" w:type="dxa"/>
            <w:tcBorders>
              <w:top w:val="nil"/>
              <w:left w:val="nil"/>
              <w:bottom w:val="single" w:sz="4" w:space="0" w:color="auto"/>
              <w:right w:val="single" w:sz="4" w:space="0" w:color="auto"/>
            </w:tcBorders>
            <w:noWrap/>
            <w:vAlign w:val="center"/>
            <w:hideMark/>
          </w:tcPr>
          <w:p w14:paraId="30B57A73" w14:textId="77777777" w:rsidR="00EF645B" w:rsidRPr="008E2A3E" w:rsidRDefault="00EF645B" w:rsidP="00EF645B">
            <w:pPr>
              <w:spacing w:after="0" w:line="240" w:lineRule="auto"/>
              <w:jc w:val="center"/>
              <w:rPr>
                <w:rFonts w:ascii="Times New Roman" w:eastAsia="Times New Roman" w:hAnsi="Times New Roman" w:cs="Times New Roman"/>
                <w:color w:val="000000"/>
                <w:kern w:val="0"/>
                <w:szCs w:val="24"/>
                <w:lang w:eastAsia="en-IN"/>
                <w14:ligatures w14:val="none"/>
              </w:rPr>
            </w:pPr>
            <w:r w:rsidRPr="008E2A3E">
              <w:rPr>
                <w:rFonts w:ascii="Times New Roman" w:eastAsia="Times New Roman" w:hAnsi="Times New Roman" w:cs="Times New Roman"/>
                <w:color w:val="000000"/>
                <w:kern w:val="0"/>
                <w:szCs w:val="24"/>
                <w:lang w:eastAsia="en-IN"/>
                <w14:ligatures w14:val="none"/>
              </w:rPr>
              <w:t>230</w:t>
            </w:r>
          </w:p>
        </w:tc>
        <w:tc>
          <w:tcPr>
            <w:tcW w:w="1076" w:type="dxa"/>
            <w:tcBorders>
              <w:top w:val="nil"/>
              <w:left w:val="nil"/>
              <w:bottom w:val="single" w:sz="4" w:space="0" w:color="auto"/>
              <w:right w:val="single" w:sz="4" w:space="0" w:color="auto"/>
            </w:tcBorders>
            <w:noWrap/>
            <w:vAlign w:val="center"/>
            <w:hideMark/>
          </w:tcPr>
          <w:p w14:paraId="3D274A8B" w14:textId="77777777" w:rsidR="00EF645B" w:rsidRPr="008E2A3E" w:rsidRDefault="00EF645B" w:rsidP="00EF645B">
            <w:pPr>
              <w:spacing w:after="0" w:line="240" w:lineRule="auto"/>
              <w:jc w:val="center"/>
              <w:rPr>
                <w:rFonts w:ascii="Times New Roman" w:eastAsia="Times New Roman" w:hAnsi="Times New Roman" w:cs="Times New Roman"/>
                <w:color w:val="000000"/>
                <w:kern w:val="0"/>
                <w:szCs w:val="24"/>
                <w:lang w:eastAsia="en-IN"/>
                <w14:ligatures w14:val="none"/>
              </w:rPr>
            </w:pPr>
            <w:r w:rsidRPr="008E2A3E">
              <w:rPr>
                <w:rFonts w:ascii="Times New Roman" w:eastAsia="Times New Roman" w:hAnsi="Times New Roman" w:cs="Times New Roman"/>
                <w:color w:val="000000"/>
                <w:kern w:val="0"/>
                <w:szCs w:val="24"/>
                <w:lang w:eastAsia="en-IN"/>
                <w14:ligatures w14:val="none"/>
              </w:rPr>
              <w:t>271</w:t>
            </w:r>
          </w:p>
        </w:tc>
      </w:tr>
      <w:tr w:rsidR="00EF645B" w:rsidRPr="008E2A3E" w14:paraId="76007058" w14:textId="77777777" w:rsidTr="008E2A3E">
        <w:trPr>
          <w:trHeight w:val="300"/>
          <w:jc w:val="center"/>
        </w:trPr>
        <w:tc>
          <w:tcPr>
            <w:tcW w:w="3173" w:type="dxa"/>
            <w:tcBorders>
              <w:top w:val="nil"/>
              <w:left w:val="single" w:sz="4" w:space="0" w:color="auto"/>
              <w:bottom w:val="single" w:sz="4" w:space="0" w:color="auto"/>
              <w:right w:val="single" w:sz="4" w:space="0" w:color="auto"/>
            </w:tcBorders>
            <w:noWrap/>
            <w:vAlign w:val="center"/>
            <w:hideMark/>
          </w:tcPr>
          <w:p w14:paraId="336E105A" w14:textId="77777777" w:rsidR="00EF645B" w:rsidRPr="008E2A3E" w:rsidRDefault="00EF645B" w:rsidP="00EF645B">
            <w:pPr>
              <w:spacing w:after="0" w:line="240" w:lineRule="auto"/>
              <w:rPr>
                <w:rFonts w:ascii="Times New Roman" w:eastAsia="Times New Roman" w:hAnsi="Times New Roman" w:cs="Times New Roman"/>
                <w:color w:val="000000"/>
                <w:kern w:val="0"/>
                <w:szCs w:val="24"/>
                <w:lang w:eastAsia="en-IN"/>
                <w14:ligatures w14:val="none"/>
              </w:rPr>
            </w:pPr>
            <w:r w:rsidRPr="008E2A3E">
              <w:rPr>
                <w:rFonts w:ascii="Times New Roman" w:eastAsia="Times New Roman" w:hAnsi="Times New Roman" w:cs="Times New Roman"/>
                <w:color w:val="000000"/>
                <w:kern w:val="0"/>
                <w:szCs w:val="24"/>
                <w:lang w:eastAsia="en-IN"/>
                <w14:ligatures w14:val="none"/>
              </w:rPr>
              <w:t>Jammu &amp; Kashmir</w:t>
            </w:r>
          </w:p>
        </w:tc>
        <w:tc>
          <w:tcPr>
            <w:tcW w:w="1075" w:type="dxa"/>
            <w:tcBorders>
              <w:top w:val="nil"/>
              <w:left w:val="nil"/>
              <w:bottom w:val="single" w:sz="4" w:space="0" w:color="auto"/>
              <w:right w:val="single" w:sz="4" w:space="0" w:color="auto"/>
            </w:tcBorders>
            <w:noWrap/>
            <w:vAlign w:val="center"/>
            <w:hideMark/>
          </w:tcPr>
          <w:p w14:paraId="20762304" w14:textId="77777777" w:rsidR="00EF645B" w:rsidRPr="008E2A3E" w:rsidRDefault="00EF645B" w:rsidP="00EF645B">
            <w:pPr>
              <w:spacing w:after="0" w:line="240" w:lineRule="auto"/>
              <w:jc w:val="center"/>
              <w:rPr>
                <w:rFonts w:ascii="Times New Roman" w:eastAsia="Times New Roman" w:hAnsi="Times New Roman" w:cs="Times New Roman"/>
                <w:color w:val="000000"/>
                <w:kern w:val="0"/>
                <w:szCs w:val="24"/>
                <w:lang w:eastAsia="en-IN"/>
                <w14:ligatures w14:val="none"/>
              </w:rPr>
            </w:pPr>
            <w:r w:rsidRPr="008E2A3E">
              <w:rPr>
                <w:rFonts w:ascii="Times New Roman" w:eastAsia="Times New Roman" w:hAnsi="Times New Roman" w:cs="Times New Roman"/>
                <w:color w:val="000000"/>
                <w:kern w:val="0"/>
                <w:szCs w:val="24"/>
                <w:lang w:eastAsia="en-IN"/>
                <w14:ligatures w14:val="none"/>
              </w:rPr>
              <w:t>95</w:t>
            </w:r>
          </w:p>
        </w:tc>
        <w:tc>
          <w:tcPr>
            <w:tcW w:w="1075" w:type="dxa"/>
            <w:tcBorders>
              <w:top w:val="nil"/>
              <w:left w:val="nil"/>
              <w:bottom w:val="single" w:sz="4" w:space="0" w:color="auto"/>
              <w:right w:val="single" w:sz="4" w:space="0" w:color="auto"/>
            </w:tcBorders>
            <w:noWrap/>
            <w:vAlign w:val="center"/>
            <w:hideMark/>
          </w:tcPr>
          <w:p w14:paraId="6F2A0D84" w14:textId="77777777" w:rsidR="00EF645B" w:rsidRPr="008E2A3E" w:rsidRDefault="00EF645B" w:rsidP="00EF645B">
            <w:pPr>
              <w:spacing w:after="0" w:line="240" w:lineRule="auto"/>
              <w:jc w:val="center"/>
              <w:rPr>
                <w:rFonts w:ascii="Times New Roman" w:eastAsia="Times New Roman" w:hAnsi="Times New Roman" w:cs="Times New Roman"/>
                <w:color w:val="000000"/>
                <w:kern w:val="0"/>
                <w:szCs w:val="24"/>
                <w:lang w:eastAsia="en-IN"/>
                <w14:ligatures w14:val="none"/>
              </w:rPr>
            </w:pPr>
            <w:r w:rsidRPr="008E2A3E">
              <w:rPr>
                <w:rFonts w:ascii="Times New Roman" w:eastAsia="Times New Roman" w:hAnsi="Times New Roman" w:cs="Times New Roman"/>
                <w:color w:val="000000"/>
                <w:kern w:val="0"/>
                <w:szCs w:val="24"/>
                <w:lang w:eastAsia="en-IN"/>
                <w14:ligatures w14:val="none"/>
              </w:rPr>
              <w:t>94</w:t>
            </w:r>
          </w:p>
        </w:tc>
        <w:tc>
          <w:tcPr>
            <w:tcW w:w="1075" w:type="dxa"/>
            <w:tcBorders>
              <w:top w:val="nil"/>
              <w:left w:val="nil"/>
              <w:bottom w:val="single" w:sz="4" w:space="0" w:color="auto"/>
              <w:right w:val="single" w:sz="4" w:space="0" w:color="auto"/>
            </w:tcBorders>
            <w:noWrap/>
            <w:vAlign w:val="center"/>
            <w:hideMark/>
          </w:tcPr>
          <w:p w14:paraId="3B558294" w14:textId="77777777" w:rsidR="00EF645B" w:rsidRPr="008E2A3E" w:rsidRDefault="00EF645B" w:rsidP="00EF645B">
            <w:pPr>
              <w:spacing w:after="0" w:line="240" w:lineRule="auto"/>
              <w:jc w:val="center"/>
              <w:rPr>
                <w:rFonts w:ascii="Times New Roman" w:eastAsia="Times New Roman" w:hAnsi="Times New Roman" w:cs="Times New Roman"/>
                <w:color w:val="000000"/>
                <w:kern w:val="0"/>
                <w:szCs w:val="24"/>
                <w:lang w:eastAsia="en-IN"/>
                <w14:ligatures w14:val="none"/>
              </w:rPr>
            </w:pPr>
            <w:r w:rsidRPr="008E2A3E">
              <w:rPr>
                <w:rFonts w:ascii="Times New Roman" w:eastAsia="Times New Roman" w:hAnsi="Times New Roman" w:cs="Times New Roman"/>
                <w:color w:val="000000"/>
                <w:kern w:val="0"/>
                <w:szCs w:val="24"/>
                <w:lang w:eastAsia="en-IN"/>
                <w14:ligatures w14:val="none"/>
              </w:rPr>
              <w:t>97</w:t>
            </w:r>
          </w:p>
        </w:tc>
        <w:tc>
          <w:tcPr>
            <w:tcW w:w="1075" w:type="dxa"/>
            <w:tcBorders>
              <w:top w:val="nil"/>
              <w:left w:val="nil"/>
              <w:bottom w:val="single" w:sz="4" w:space="0" w:color="auto"/>
              <w:right w:val="single" w:sz="4" w:space="0" w:color="auto"/>
            </w:tcBorders>
            <w:noWrap/>
            <w:vAlign w:val="center"/>
            <w:hideMark/>
          </w:tcPr>
          <w:p w14:paraId="5A7F4AE5" w14:textId="77777777" w:rsidR="00EF645B" w:rsidRPr="008E2A3E" w:rsidRDefault="00EF645B" w:rsidP="00EF645B">
            <w:pPr>
              <w:spacing w:after="0" w:line="240" w:lineRule="auto"/>
              <w:jc w:val="center"/>
              <w:rPr>
                <w:rFonts w:ascii="Times New Roman" w:eastAsia="Times New Roman" w:hAnsi="Times New Roman" w:cs="Times New Roman"/>
                <w:color w:val="000000"/>
                <w:kern w:val="0"/>
                <w:szCs w:val="24"/>
                <w:lang w:eastAsia="en-IN"/>
                <w14:ligatures w14:val="none"/>
              </w:rPr>
            </w:pPr>
            <w:r w:rsidRPr="008E2A3E">
              <w:rPr>
                <w:rFonts w:ascii="Times New Roman" w:eastAsia="Times New Roman" w:hAnsi="Times New Roman" w:cs="Times New Roman"/>
                <w:color w:val="000000"/>
                <w:kern w:val="0"/>
                <w:szCs w:val="24"/>
                <w:lang w:eastAsia="en-IN"/>
                <w14:ligatures w14:val="none"/>
              </w:rPr>
              <w:t>110</w:t>
            </w:r>
          </w:p>
        </w:tc>
        <w:tc>
          <w:tcPr>
            <w:tcW w:w="1076" w:type="dxa"/>
            <w:tcBorders>
              <w:top w:val="nil"/>
              <w:left w:val="nil"/>
              <w:bottom w:val="single" w:sz="4" w:space="0" w:color="auto"/>
              <w:right w:val="single" w:sz="4" w:space="0" w:color="auto"/>
            </w:tcBorders>
            <w:noWrap/>
            <w:vAlign w:val="center"/>
            <w:hideMark/>
          </w:tcPr>
          <w:p w14:paraId="606918F1" w14:textId="77777777" w:rsidR="00EF645B" w:rsidRPr="008E2A3E" w:rsidRDefault="00EF645B" w:rsidP="00EF645B">
            <w:pPr>
              <w:spacing w:after="0" w:line="240" w:lineRule="auto"/>
              <w:jc w:val="center"/>
              <w:rPr>
                <w:rFonts w:ascii="Times New Roman" w:eastAsia="Times New Roman" w:hAnsi="Times New Roman" w:cs="Times New Roman"/>
                <w:color w:val="000000"/>
                <w:kern w:val="0"/>
                <w:szCs w:val="24"/>
                <w:lang w:eastAsia="en-IN"/>
                <w14:ligatures w14:val="none"/>
              </w:rPr>
            </w:pPr>
            <w:r w:rsidRPr="008E2A3E">
              <w:rPr>
                <w:rFonts w:ascii="Times New Roman" w:eastAsia="Times New Roman" w:hAnsi="Times New Roman" w:cs="Times New Roman"/>
                <w:color w:val="000000"/>
                <w:kern w:val="0"/>
                <w:szCs w:val="24"/>
                <w:lang w:eastAsia="en-IN"/>
                <w14:ligatures w14:val="none"/>
              </w:rPr>
              <w:t>127</w:t>
            </w:r>
          </w:p>
        </w:tc>
        <w:tc>
          <w:tcPr>
            <w:tcW w:w="1075" w:type="dxa"/>
            <w:tcBorders>
              <w:top w:val="nil"/>
              <w:left w:val="nil"/>
              <w:bottom w:val="single" w:sz="4" w:space="0" w:color="auto"/>
              <w:right w:val="single" w:sz="4" w:space="0" w:color="auto"/>
            </w:tcBorders>
            <w:noWrap/>
            <w:vAlign w:val="center"/>
            <w:hideMark/>
          </w:tcPr>
          <w:p w14:paraId="3AEEC904" w14:textId="77777777" w:rsidR="00EF645B" w:rsidRPr="008E2A3E" w:rsidRDefault="00EF645B" w:rsidP="00EF645B">
            <w:pPr>
              <w:spacing w:after="0" w:line="240" w:lineRule="auto"/>
              <w:jc w:val="center"/>
              <w:rPr>
                <w:rFonts w:ascii="Times New Roman" w:eastAsia="Times New Roman" w:hAnsi="Times New Roman" w:cs="Times New Roman"/>
                <w:color w:val="000000"/>
                <w:kern w:val="0"/>
                <w:szCs w:val="24"/>
                <w:lang w:eastAsia="en-IN"/>
                <w14:ligatures w14:val="none"/>
              </w:rPr>
            </w:pPr>
            <w:r w:rsidRPr="008E2A3E">
              <w:rPr>
                <w:rFonts w:ascii="Times New Roman" w:eastAsia="Times New Roman" w:hAnsi="Times New Roman" w:cs="Times New Roman"/>
                <w:color w:val="000000"/>
                <w:kern w:val="0"/>
                <w:szCs w:val="24"/>
                <w:lang w:eastAsia="en-IN"/>
                <w14:ligatures w14:val="none"/>
              </w:rPr>
              <w:t>53</w:t>
            </w:r>
          </w:p>
        </w:tc>
        <w:tc>
          <w:tcPr>
            <w:tcW w:w="1075" w:type="dxa"/>
            <w:tcBorders>
              <w:top w:val="nil"/>
              <w:left w:val="nil"/>
              <w:bottom w:val="single" w:sz="4" w:space="0" w:color="auto"/>
              <w:right w:val="single" w:sz="4" w:space="0" w:color="auto"/>
            </w:tcBorders>
            <w:noWrap/>
            <w:vAlign w:val="center"/>
            <w:hideMark/>
          </w:tcPr>
          <w:p w14:paraId="75A274C4" w14:textId="77777777" w:rsidR="00EF645B" w:rsidRPr="008E2A3E" w:rsidRDefault="00EF645B" w:rsidP="00EF645B">
            <w:pPr>
              <w:spacing w:after="0" w:line="240" w:lineRule="auto"/>
              <w:jc w:val="center"/>
              <w:rPr>
                <w:rFonts w:ascii="Times New Roman" w:eastAsia="Times New Roman" w:hAnsi="Times New Roman" w:cs="Times New Roman"/>
                <w:color w:val="000000"/>
                <w:kern w:val="0"/>
                <w:szCs w:val="24"/>
                <w:lang w:eastAsia="en-IN"/>
                <w14:ligatures w14:val="none"/>
              </w:rPr>
            </w:pPr>
            <w:r w:rsidRPr="008E2A3E">
              <w:rPr>
                <w:rFonts w:ascii="Times New Roman" w:eastAsia="Times New Roman" w:hAnsi="Times New Roman" w:cs="Times New Roman"/>
                <w:color w:val="000000"/>
                <w:kern w:val="0"/>
                <w:szCs w:val="24"/>
                <w:lang w:eastAsia="en-IN"/>
                <w14:ligatures w14:val="none"/>
              </w:rPr>
              <w:t>49</w:t>
            </w:r>
          </w:p>
        </w:tc>
        <w:tc>
          <w:tcPr>
            <w:tcW w:w="1075" w:type="dxa"/>
            <w:tcBorders>
              <w:top w:val="nil"/>
              <w:left w:val="nil"/>
              <w:bottom w:val="single" w:sz="4" w:space="0" w:color="auto"/>
              <w:right w:val="single" w:sz="4" w:space="0" w:color="auto"/>
            </w:tcBorders>
            <w:noWrap/>
            <w:vAlign w:val="center"/>
            <w:hideMark/>
          </w:tcPr>
          <w:p w14:paraId="74668CFE" w14:textId="77777777" w:rsidR="00EF645B" w:rsidRPr="008E2A3E" w:rsidRDefault="00EF645B" w:rsidP="00EF645B">
            <w:pPr>
              <w:spacing w:after="0" w:line="240" w:lineRule="auto"/>
              <w:jc w:val="center"/>
              <w:rPr>
                <w:rFonts w:ascii="Times New Roman" w:eastAsia="Times New Roman" w:hAnsi="Times New Roman" w:cs="Times New Roman"/>
                <w:color w:val="000000"/>
                <w:kern w:val="0"/>
                <w:szCs w:val="24"/>
                <w:lang w:eastAsia="en-IN"/>
                <w14:ligatures w14:val="none"/>
              </w:rPr>
            </w:pPr>
            <w:r w:rsidRPr="008E2A3E">
              <w:rPr>
                <w:rFonts w:ascii="Times New Roman" w:eastAsia="Times New Roman" w:hAnsi="Times New Roman" w:cs="Times New Roman"/>
                <w:color w:val="000000"/>
                <w:kern w:val="0"/>
                <w:szCs w:val="24"/>
                <w:lang w:eastAsia="en-IN"/>
                <w14:ligatures w14:val="none"/>
              </w:rPr>
              <w:t>50</w:t>
            </w:r>
          </w:p>
        </w:tc>
        <w:tc>
          <w:tcPr>
            <w:tcW w:w="1075" w:type="dxa"/>
            <w:tcBorders>
              <w:top w:val="nil"/>
              <w:left w:val="nil"/>
              <w:bottom w:val="single" w:sz="4" w:space="0" w:color="auto"/>
              <w:right w:val="single" w:sz="4" w:space="0" w:color="auto"/>
            </w:tcBorders>
            <w:noWrap/>
            <w:vAlign w:val="center"/>
            <w:hideMark/>
          </w:tcPr>
          <w:p w14:paraId="1D3BEDFA" w14:textId="77777777" w:rsidR="00EF645B" w:rsidRPr="008E2A3E" w:rsidRDefault="00EF645B" w:rsidP="00EF645B">
            <w:pPr>
              <w:spacing w:after="0" w:line="240" w:lineRule="auto"/>
              <w:jc w:val="center"/>
              <w:rPr>
                <w:rFonts w:ascii="Times New Roman" w:eastAsia="Times New Roman" w:hAnsi="Times New Roman" w:cs="Times New Roman"/>
                <w:color w:val="000000"/>
                <w:kern w:val="0"/>
                <w:szCs w:val="24"/>
                <w:lang w:eastAsia="en-IN"/>
                <w14:ligatures w14:val="none"/>
              </w:rPr>
            </w:pPr>
            <w:r w:rsidRPr="008E2A3E">
              <w:rPr>
                <w:rFonts w:ascii="Times New Roman" w:eastAsia="Times New Roman" w:hAnsi="Times New Roman" w:cs="Times New Roman"/>
                <w:color w:val="000000"/>
                <w:kern w:val="0"/>
                <w:szCs w:val="24"/>
                <w:lang w:eastAsia="en-IN"/>
                <w14:ligatures w14:val="none"/>
              </w:rPr>
              <w:t>58</w:t>
            </w:r>
          </w:p>
        </w:tc>
        <w:tc>
          <w:tcPr>
            <w:tcW w:w="1076" w:type="dxa"/>
            <w:tcBorders>
              <w:top w:val="nil"/>
              <w:left w:val="nil"/>
              <w:bottom w:val="single" w:sz="4" w:space="0" w:color="auto"/>
              <w:right w:val="single" w:sz="4" w:space="0" w:color="auto"/>
            </w:tcBorders>
            <w:noWrap/>
            <w:vAlign w:val="center"/>
            <w:hideMark/>
          </w:tcPr>
          <w:p w14:paraId="1F25537C" w14:textId="77777777" w:rsidR="00EF645B" w:rsidRPr="008E2A3E" w:rsidRDefault="00EF645B" w:rsidP="00EF645B">
            <w:pPr>
              <w:spacing w:after="0" w:line="240" w:lineRule="auto"/>
              <w:jc w:val="center"/>
              <w:rPr>
                <w:rFonts w:ascii="Times New Roman" w:eastAsia="Times New Roman" w:hAnsi="Times New Roman" w:cs="Times New Roman"/>
                <w:color w:val="000000"/>
                <w:kern w:val="0"/>
                <w:szCs w:val="24"/>
                <w:lang w:eastAsia="en-IN"/>
                <w14:ligatures w14:val="none"/>
              </w:rPr>
            </w:pPr>
            <w:r w:rsidRPr="008E2A3E">
              <w:rPr>
                <w:rFonts w:ascii="Times New Roman" w:eastAsia="Times New Roman" w:hAnsi="Times New Roman" w:cs="Times New Roman"/>
                <w:color w:val="000000"/>
                <w:kern w:val="0"/>
                <w:szCs w:val="24"/>
                <w:lang w:eastAsia="en-IN"/>
                <w14:ligatures w14:val="none"/>
              </w:rPr>
              <w:t>66</w:t>
            </w:r>
          </w:p>
        </w:tc>
      </w:tr>
      <w:tr w:rsidR="00EF645B" w:rsidRPr="008E2A3E" w14:paraId="3C7CA5D1" w14:textId="77777777" w:rsidTr="008E2A3E">
        <w:trPr>
          <w:trHeight w:val="300"/>
          <w:jc w:val="center"/>
        </w:trPr>
        <w:tc>
          <w:tcPr>
            <w:tcW w:w="3173" w:type="dxa"/>
            <w:tcBorders>
              <w:top w:val="nil"/>
              <w:left w:val="single" w:sz="4" w:space="0" w:color="auto"/>
              <w:bottom w:val="single" w:sz="4" w:space="0" w:color="auto"/>
              <w:right w:val="single" w:sz="4" w:space="0" w:color="auto"/>
            </w:tcBorders>
            <w:noWrap/>
            <w:vAlign w:val="center"/>
            <w:hideMark/>
          </w:tcPr>
          <w:p w14:paraId="09E2D7EF" w14:textId="77777777" w:rsidR="00EF645B" w:rsidRPr="008E2A3E" w:rsidRDefault="00EF645B" w:rsidP="00EF645B">
            <w:pPr>
              <w:spacing w:after="0" w:line="240" w:lineRule="auto"/>
              <w:rPr>
                <w:rFonts w:ascii="Times New Roman" w:eastAsia="Times New Roman" w:hAnsi="Times New Roman" w:cs="Times New Roman"/>
                <w:color w:val="000000"/>
                <w:kern w:val="0"/>
                <w:szCs w:val="24"/>
                <w:lang w:eastAsia="en-IN"/>
                <w14:ligatures w14:val="none"/>
              </w:rPr>
            </w:pPr>
            <w:r w:rsidRPr="008E2A3E">
              <w:rPr>
                <w:rFonts w:ascii="Times New Roman" w:eastAsia="Times New Roman" w:hAnsi="Times New Roman" w:cs="Times New Roman"/>
                <w:color w:val="000000"/>
                <w:kern w:val="0"/>
                <w:szCs w:val="24"/>
                <w:lang w:eastAsia="en-IN"/>
                <w14:ligatures w14:val="none"/>
              </w:rPr>
              <w:t>Kerala</w:t>
            </w:r>
          </w:p>
        </w:tc>
        <w:tc>
          <w:tcPr>
            <w:tcW w:w="1075" w:type="dxa"/>
            <w:tcBorders>
              <w:top w:val="nil"/>
              <w:left w:val="nil"/>
              <w:bottom w:val="single" w:sz="4" w:space="0" w:color="auto"/>
              <w:right w:val="single" w:sz="4" w:space="0" w:color="auto"/>
            </w:tcBorders>
            <w:noWrap/>
            <w:vAlign w:val="center"/>
            <w:hideMark/>
          </w:tcPr>
          <w:p w14:paraId="5E8297F5" w14:textId="77777777" w:rsidR="00EF645B" w:rsidRPr="008E2A3E" w:rsidRDefault="00EF645B" w:rsidP="00EF645B">
            <w:pPr>
              <w:spacing w:after="0" w:line="240" w:lineRule="auto"/>
              <w:jc w:val="center"/>
              <w:rPr>
                <w:rFonts w:ascii="Times New Roman" w:eastAsia="Times New Roman" w:hAnsi="Times New Roman" w:cs="Times New Roman"/>
                <w:color w:val="000000"/>
                <w:kern w:val="0"/>
                <w:szCs w:val="24"/>
                <w:lang w:eastAsia="en-IN"/>
                <w14:ligatures w14:val="none"/>
              </w:rPr>
            </w:pPr>
            <w:r w:rsidRPr="008E2A3E">
              <w:rPr>
                <w:rFonts w:ascii="Times New Roman" w:eastAsia="Times New Roman" w:hAnsi="Times New Roman" w:cs="Times New Roman"/>
                <w:color w:val="000000"/>
                <w:kern w:val="0"/>
                <w:szCs w:val="24"/>
                <w:lang w:eastAsia="en-IN"/>
                <w14:ligatures w14:val="none"/>
              </w:rPr>
              <w:t>465</w:t>
            </w:r>
          </w:p>
        </w:tc>
        <w:tc>
          <w:tcPr>
            <w:tcW w:w="1075" w:type="dxa"/>
            <w:tcBorders>
              <w:top w:val="nil"/>
              <w:left w:val="nil"/>
              <w:bottom w:val="single" w:sz="4" w:space="0" w:color="auto"/>
              <w:right w:val="single" w:sz="4" w:space="0" w:color="auto"/>
            </w:tcBorders>
            <w:noWrap/>
            <w:vAlign w:val="center"/>
            <w:hideMark/>
          </w:tcPr>
          <w:p w14:paraId="530C6B51" w14:textId="77777777" w:rsidR="00EF645B" w:rsidRPr="008E2A3E" w:rsidRDefault="00EF645B" w:rsidP="00EF645B">
            <w:pPr>
              <w:spacing w:after="0" w:line="240" w:lineRule="auto"/>
              <w:jc w:val="center"/>
              <w:rPr>
                <w:rFonts w:ascii="Times New Roman" w:eastAsia="Times New Roman" w:hAnsi="Times New Roman" w:cs="Times New Roman"/>
                <w:color w:val="000000"/>
                <w:kern w:val="0"/>
                <w:szCs w:val="24"/>
                <w:lang w:eastAsia="en-IN"/>
                <w14:ligatures w14:val="none"/>
              </w:rPr>
            </w:pPr>
            <w:r w:rsidRPr="008E2A3E">
              <w:rPr>
                <w:rFonts w:ascii="Times New Roman" w:eastAsia="Times New Roman" w:hAnsi="Times New Roman" w:cs="Times New Roman"/>
                <w:color w:val="000000"/>
                <w:kern w:val="0"/>
                <w:szCs w:val="24"/>
                <w:lang w:eastAsia="en-IN"/>
                <w14:ligatures w14:val="none"/>
              </w:rPr>
              <w:t>505</w:t>
            </w:r>
          </w:p>
        </w:tc>
        <w:tc>
          <w:tcPr>
            <w:tcW w:w="1075" w:type="dxa"/>
            <w:tcBorders>
              <w:top w:val="nil"/>
              <w:left w:val="nil"/>
              <w:bottom w:val="single" w:sz="4" w:space="0" w:color="auto"/>
              <w:right w:val="single" w:sz="4" w:space="0" w:color="auto"/>
            </w:tcBorders>
            <w:noWrap/>
            <w:vAlign w:val="center"/>
            <w:hideMark/>
          </w:tcPr>
          <w:p w14:paraId="1E7DF00C" w14:textId="77777777" w:rsidR="00EF645B" w:rsidRPr="008E2A3E" w:rsidRDefault="00EF645B" w:rsidP="00EF645B">
            <w:pPr>
              <w:spacing w:after="0" w:line="240" w:lineRule="auto"/>
              <w:jc w:val="center"/>
              <w:rPr>
                <w:rFonts w:ascii="Times New Roman" w:eastAsia="Times New Roman" w:hAnsi="Times New Roman" w:cs="Times New Roman"/>
                <w:color w:val="000000"/>
                <w:kern w:val="0"/>
                <w:szCs w:val="24"/>
                <w:lang w:eastAsia="en-IN"/>
                <w14:ligatures w14:val="none"/>
              </w:rPr>
            </w:pPr>
            <w:r w:rsidRPr="008E2A3E">
              <w:rPr>
                <w:rFonts w:ascii="Times New Roman" w:eastAsia="Times New Roman" w:hAnsi="Times New Roman" w:cs="Times New Roman"/>
                <w:color w:val="000000"/>
                <w:kern w:val="0"/>
                <w:szCs w:val="24"/>
                <w:lang w:eastAsia="en-IN"/>
                <w14:ligatures w14:val="none"/>
              </w:rPr>
              <w:t>533</w:t>
            </w:r>
          </w:p>
        </w:tc>
        <w:tc>
          <w:tcPr>
            <w:tcW w:w="1075" w:type="dxa"/>
            <w:tcBorders>
              <w:top w:val="nil"/>
              <w:left w:val="nil"/>
              <w:bottom w:val="single" w:sz="4" w:space="0" w:color="auto"/>
              <w:right w:val="single" w:sz="4" w:space="0" w:color="auto"/>
            </w:tcBorders>
            <w:noWrap/>
            <w:vAlign w:val="center"/>
            <w:hideMark/>
          </w:tcPr>
          <w:p w14:paraId="606ECC3B" w14:textId="77777777" w:rsidR="00EF645B" w:rsidRPr="008E2A3E" w:rsidRDefault="00EF645B" w:rsidP="00EF645B">
            <w:pPr>
              <w:spacing w:after="0" w:line="240" w:lineRule="auto"/>
              <w:jc w:val="center"/>
              <w:rPr>
                <w:rFonts w:ascii="Times New Roman" w:eastAsia="Times New Roman" w:hAnsi="Times New Roman" w:cs="Times New Roman"/>
                <w:color w:val="000000"/>
                <w:kern w:val="0"/>
                <w:szCs w:val="24"/>
                <w:lang w:eastAsia="en-IN"/>
                <w14:ligatures w14:val="none"/>
              </w:rPr>
            </w:pPr>
            <w:r w:rsidRPr="008E2A3E">
              <w:rPr>
                <w:rFonts w:ascii="Times New Roman" w:eastAsia="Times New Roman" w:hAnsi="Times New Roman" w:cs="Times New Roman"/>
                <w:color w:val="000000"/>
                <w:kern w:val="0"/>
                <w:szCs w:val="24"/>
                <w:lang w:eastAsia="en-IN"/>
                <w14:ligatures w14:val="none"/>
              </w:rPr>
              <w:t>590</w:t>
            </w:r>
          </w:p>
        </w:tc>
        <w:tc>
          <w:tcPr>
            <w:tcW w:w="1076" w:type="dxa"/>
            <w:tcBorders>
              <w:top w:val="nil"/>
              <w:left w:val="nil"/>
              <w:bottom w:val="single" w:sz="4" w:space="0" w:color="auto"/>
              <w:right w:val="single" w:sz="4" w:space="0" w:color="auto"/>
            </w:tcBorders>
            <w:noWrap/>
            <w:vAlign w:val="center"/>
            <w:hideMark/>
          </w:tcPr>
          <w:p w14:paraId="159DE567" w14:textId="77777777" w:rsidR="00EF645B" w:rsidRPr="008E2A3E" w:rsidRDefault="00EF645B" w:rsidP="00EF645B">
            <w:pPr>
              <w:spacing w:after="0" w:line="240" w:lineRule="auto"/>
              <w:jc w:val="center"/>
              <w:rPr>
                <w:rFonts w:ascii="Times New Roman" w:eastAsia="Times New Roman" w:hAnsi="Times New Roman" w:cs="Times New Roman"/>
                <w:color w:val="000000"/>
                <w:kern w:val="0"/>
                <w:szCs w:val="24"/>
                <w:lang w:eastAsia="en-IN"/>
                <w14:ligatures w14:val="none"/>
              </w:rPr>
            </w:pPr>
            <w:r w:rsidRPr="008E2A3E">
              <w:rPr>
                <w:rFonts w:ascii="Times New Roman" w:eastAsia="Times New Roman" w:hAnsi="Times New Roman" w:cs="Times New Roman"/>
                <w:color w:val="000000"/>
                <w:kern w:val="0"/>
                <w:szCs w:val="24"/>
                <w:lang w:eastAsia="en-IN"/>
                <w14:ligatures w14:val="none"/>
              </w:rPr>
              <w:t>725</w:t>
            </w:r>
          </w:p>
        </w:tc>
        <w:tc>
          <w:tcPr>
            <w:tcW w:w="1075" w:type="dxa"/>
            <w:tcBorders>
              <w:top w:val="nil"/>
              <w:left w:val="nil"/>
              <w:bottom w:val="single" w:sz="4" w:space="0" w:color="auto"/>
              <w:right w:val="single" w:sz="4" w:space="0" w:color="auto"/>
            </w:tcBorders>
            <w:noWrap/>
            <w:vAlign w:val="center"/>
            <w:hideMark/>
          </w:tcPr>
          <w:p w14:paraId="65765E75" w14:textId="77777777" w:rsidR="00EF645B" w:rsidRPr="008E2A3E" w:rsidRDefault="00EF645B" w:rsidP="00EF645B">
            <w:pPr>
              <w:spacing w:after="0" w:line="240" w:lineRule="auto"/>
              <w:jc w:val="center"/>
              <w:rPr>
                <w:rFonts w:ascii="Times New Roman" w:eastAsia="Times New Roman" w:hAnsi="Times New Roman" w:cs="Times New Roman"/>
                <w:color w:val="000000"/>
                <w:kern w:val="0"/>
                <w:szCs w:val="24"/>
                <w:lang w:eastAsia="en-IN"/>
                <w14:ligatures w14:val="none"/>
              </w:rPr>
            </w:pPr>
            <w:r w:rsidRPr="008E2A3E">
              <w:rPr>
                <w:rFonts w:ascii="Times New Roman" w:eastAsia="Times New Roman" w:hAnsi="Times New Roman" w:cs="Times New Roman"/>
                <w:color w:val="000000"/>
                <w:kern w:val="0"/>
                <w:szCs w:val="24"/>
                <w:lang w:eastAsia="en-IN"/>
                <w14:ligatures w14:val="none"/>
              </w:rPr>
              <w:t>230</w:t>
            </w:r>
          </w:p>
        </w:tc>
        <w:tc>
          <w:tcPr>
            <w:tcW w:w="1075" w:type="dxa"/>
            <w:tcBorders>
              <w:top w:val="nil"/>
              <w:left w:val="nil"/>
              <w:bottom w:val="single" w:sz="4" w:space="0" w:color="auto"/>
              <w:right w:val="single" w:sz="4" w:space="0" w:color="auto"/>
            </w:tcBorders>
            <w:noWrap/>
            <w:vAlign w:val="center"/>
            <w:hideMark/>
          </w:tcPr>
          <w:p w14:paraId="091297A2" w14:textId="77777777" w:rsidR="00EF645B" w:rsidRPr="008E2A3E" w:rsidRDefault="00EF645B" w:rsidP="00EF645B">
            <w:pPr>
              <w:spacing w:after="0" w:line="240" w:lineRule="auto"/>
              <w:jc w:val="center"/>
              <w:rPr>
                <w:rFonts w:ascii="Times New Roman" w:eastAsia="Times New Roman" w:hAnsi="Times New Roman" w:cs="Times New Roman"/>
                <w:color w:val="000000"/>
                <w:kern w:val="0"/>
                <w:szCs w:val="24"/>
                <w:lang w:eastAsia="en-IN"/>
                <w14:ligatures w14:val="none"/>
              </w:rPr>
            </w:pPr>
            <w:r w:rsidRPr="008E2A3E">
              <w:rPr>
                <w:rFonts w:ascii="Times New Roman" w:eastAsia="Times New Roman" w:hAnsi="Times New Roman" w:cs="Times New Roman"/>
                <w:color w:val="000000"/>
                <w:kern w:val="0"/>
                <w:szCs w:val="24"/>
                <w:lang w:eastAsia="en-IN"/>
                <w14:ligatures w14:val="none"/>
              </w:rPr>
              <w:t>244</w:t>
            </w:r>
          </w:p>
        </w:tc>
        <w:tc>
          <w:tcPr>
            <w:tcW w:w="1075" w:type="dxa"/>
            <w:tcBorders>
              <w:top w:val="nil"/>
              <w:left w:val="nil"/>
              <w:bottom w:val="single" w:sz="4" w:space="0" w:color="auto"/>
              <w:right w:val="single" w:sz="4" w:space="0" w:color="auto"/>
            </w:tcBorders>
            <w:noWrap/>
            <w:vAlign w:val="center"/>
            <w:hideMark/>
          </w:tcPr>
          <w:p w14:paraId="294FCF43" w14:textId="77777777" w:rsidR="00EF645B" w:rsidRPr="008E2A3E" w:rsidRDefault="00EF645B" w:rsidP="00EF645B">
            <w:pPr>
              <w:spacing w:after="0" w:line="240" w:lineRule="auto"/>
              <w:jc w:val="center"/>
              <w:rPr>
                <w:rFonts w:ascii="Times New Roman" w:eastAsia="Times New Roman" w:hAnsi="Times New Roman" w:cs="Times New Roman"/>
                <w:color w:val="000000"/>
                <w:kern w:val="0"/>
                <w:szCs w:val="24"/>
                <w:lang w:eastAsia="en-IN"/>
                <w14:ligatures w14:val="none"/>
              </w:rPr>
            </w:pPr>
            <w:r w:rsidRPr="008E2A3E">
              <w:rPr>
                <w:rFonts w:ascii="Times New Roman" w:eastAsia="Times New Roman" w:hAnsi="Times New Roman" w:cs="Times New Roman"/>
                <w:color w:val="000000"/>
                <w:kern w:val="0"/>
                <w:szCs w:val="24"/>
                <w:lang w:eastAsia="en-IN"/>
                <w14:ligatures w14:val="none"/>
              </w:rPr>
              <w:t>250</w:t>
            </w:r>
          </w:p>
        </w:tc>
        <w:tc>
          <w:tcPr>
            <w:tcW w:w="1075" w:type="dxa"/>
            <w:tcBorders>
              <w:top w:val="nil"/>
              <w:left w:val="nil"/>
              <w:bottom w:val="single" w:sz="4" w:space="0" w:color="auto"/>
              <w:right w:val="single" w:sz="4" w:space="0" w:color="auto"/>
            </w:tcBorders>
            <w:noWrap/>
            <w:vAlign w:val="center"/>
            <w:hideMark/>
          </w:tcPr>
          <w:p w14:paraId="75CEF3A9" w14:textId="77777777" w:rsidR="00EF645B" w:rsidRPr="008E2A3E" w:rsidRDefault="00EF645B" w:rsidP="00EF645B">
            <w:pPr>
              <w:spacing w:after="0" w:line="240" w:lineRule="auto"/>
              <w:jc w:val="center"/>
              <w:rPr>
                <w:rFonts w:ascii="Times New Roman" w:eastAsia="Times New Roman" w:hAnsi="Times New Roman" w:cs="Times New Roman"/>
                <w:color w:val="000000"/>
                <w:kern w:val="0"/>
                <w:szCs w:val="24"/>
                <w:lang w:eastAsia="en-IN"/>
                <w14:ligatures w14:val="none"/>
              </w:rPr>
            </w:pPr>
            <w:r w:rsidRPr="008E2A3E">
              <w:rPr>
                <w:rFonts w:ascii="Times New Roman" w:eastAsia="Times New Roman" w:hAnsi="Times New Roman" w:cs="Times New Roman"/>
                <w:color w:val="000000"/>
                <w:kern w:val="0"/>
                <w:szCs w:val="24"/>
                <w:lang w:eastAsia="en-IN"/>
                <w14:ligatures w14:val="none"/>
              </w:rPr>
              <w:t>274</w:t>
            </w:r>
          </w:p>
        </w:tc>
        <w:tc>
          <w:tcPr>
            <w:tcW w:w="1076" w:type="dxa"/>
            <w:tcBorders>
              <w:top w:val="nil"/>
              <w:left w:val="nil"/>
              <w:bottom w:val="single" w:sz="4" w:space="0" w:color="auto"/>
              <w:right w:val="single" w:sz="4" w:space="0" w:color="auto"/>
            </w:tcBorders>
            <w:noWrap/>
            <w:vAlign w:val="center"/>
            <w:hideMark/>
          </w:tcPr>
          <w:p w14:paraId="1F668EB0" w14:textId="77777777" w:rsidR="00EF645B" w:rsidRPr="008E2A3E" w:rsidRDefault="00EF645B" w:rsidP="00EF645B">
            <w:pPr>
              <w:spacing w:after="0" w:line="240" w:lineRule="auto"/>
              <w:jc w:val="center"/>
              <w:rPr>
                <w:rFonts w:ascii="Times New Roman" w:eastAsia="Times New Roman" w:hAnsi="Times New Roman" w:cs="Times New Roman"/>
                <w:color w:val="000000"/>
                <w:kern w:val="0"/>
                <w:szCs w:val="24"/>
                <w:lang w:eastAsia="en-IN"/>
                <w14:ligatures w14:val="none"/>
              </w:rPr>
            </w:pPr>
            <w:r w:rsidRPr="008E2A3E">
              <w:rPr>
                <w:rFonts w:ascii="Times New Roman" w:eastAsia="Times New Roman" w:hAnsi="Times New Roman" w:cs="Times New Roman"/>
                <w:color w:val="000000"/>
                <w:kern w:val="0"/>
                <w:szCs w:val="24"/>
                <w:lang w:eastAsia="en-IN"/>
                <w14:ligatures w14:val="none"/>
              </w:rPr>
              <w:t>358</w:t>
            </w:r>
          </w:p>
        </w:tc>
      </w:tr>
      <w:tr w:rsidR="00EF645B" w:rsidRPr="008E2A3E" w14:paraId="276505A8" w14:textId="77777777" w:rsidTr="008E2A3E">
        <w:trPr>
          <w:trHeight w:val="300"/>
          <w:jc w:val="center"/>
        </w:trPr>
        <w:tc>
          <w:tcPr>
            <w:tcW w:w="3173" w:type="dxa"/>
            <w:tcBorders>
              <w:top w:val="nil"/>
              <w:left w:val="single" w:sz="4" w:space="0" w:color="auto"/>
              <w:bottom w:val="single" w:sz="4" w:space="0" w:color="auto"/>
              <w:right w:val="single" w:sz="4" w:space="0" w:color="auto"/>
            </w:tcBorders>
            <w:noWrap/>
            <w:vAlign w:val="center"/>
            <w:hideMark/>
          </w:tcPr>
          <w:p w14:paraId="14F21F64" w14:textId="77777777" w:rsidR="00EF645B" w:rsidRPr="008E2A3E" w:rsidRDefault="00EF645B" w:rsidP="00EF645B">
            <w:pPr>
              <w:spacing w:after="0" w:line="240" w:lineRule="auto"/>
              <w:rPr>
                <w:rFonts w:ascii="Times New Roman" w:eastAsia="Times New Roman" w:hAnsi="Times New Roman" w:cs="Times New Roman"/>
                <w:color w:val="000000"/>
                <w:kern w:val="0"/>
                <w:szCs w:val="24"/>
                <w:lang w:eastAsia="en-IN"/>
                <w14:ligatures w14:val="none"/>
              </w:rPr>
            </w:pPr>
            <w:r w:rsidRPr="008E2A3E">
              <w:rPr>
                <w:rFonts w:ascii="Times New Roman" w:eastAsia="Times New Roman" w:hAnsi="Times New Roman" w:cs="Times New Roman"/>
                <w:color w:val="000000"/>
                <w:kern w:val="0"/>
                <w:szCs w:val="24"/>
                <w:lang w:eastAsia="en-IN"/>
                <w14:ligatures w14:val="none"/>
              </w:rPr>
              <w:t>Madhya Pradesh</w:t>
            </w:r>
          </w:p>
        </w:tc>
        <w:tc>
          <w:tcPr>
            <w:tcW w:w="1075" w:type="dxa"/>
            <w:tcBorders>
              <w:top w:val="nil"/>
              <w:left w:val="nil"/>
              <w:bottom w:val="single" w:sz="4" w:space="0" w:color="auto"/>
              <w:right w:val="single" w:sz="4" w:space="0" w:color="auto"/>
            </w:tcBorders>
            <w:noWrap/>
            <w:vAlign w:val="center"/>
            <w:hideMark/>
          </w:tcPr>
          <w:p w14:paraId="27AAF85A" w14:textId="77777777" w:rsidR="00EF645B" w:rsidRPr="008E2A3E" w:rsidRDefault="00EF645B" w:rsidP="00EF645B">
            <w:pPr>
              <w:spacing w:after="0" w:line="240" w:lineRule="auto"/>
              <w:jc w:val="center"/>
              <w:rPr>
                <w:rFonts w:ascii="Times New Roman" w:eastAsia="Times New Roman" w:hAnsi="Times New Roman" w:cs="Times New Roman"/>
                <w:color w:val="000000"/>
                <w:kern w:val="0"/>
                <w:szCs w:val="24"/>
                <w:lang w:eastAsia="en-IN"/>
                <w14:ligatures w14:val="none"/>
              </w:rPr>
            </w:pPr>
            <w:r w:rsidRPr="008E2A3E">
              <w:rPr>
                <w:rFonts w:ascii="Times New Roman" w:eastAsia="Times New Roman" w:hAnsi="Times New Roman" w:cs="Times New Roman"/>
                <w:color w:val="000000"/>
                <w:kern w:val="0"/>
                <w:szCs w:val="24"/>
                <w:lang w:eastAsia="en-IN"/>
                <w14:ligatures w14:val="none"/>
              </w:rPr>
              <w:t>878</w:t>
            </w:r>
          </w:p>
        </w:tc>
        <w:tc>
          <w:tcPr>
            <w:tcW w:w="1075" w:type="dxa"/>
            <w:tcBorders>
              <w:top w:val="nil"/>
              <w:left w:val="nil"/>
              <w:bottom w:val="single" w:sz="4" w:space="0" w:color="auto"/>
              <w:right w:val="single" w:sz="4" w:space="0" w:color="auto"/>
            </w:tcBorders>
            <w:noWrap/>
            <w:vAlign w:val="center"/>
            <w:hideMark/>
          </w:tcPr>
          <w:p w14:paraId="650650F0" w14:textId="77777777" w:rsidR="00EF645B" w:rsidRPr="008E2A3E" w:rsidRDefault="00EF645B" w:rsidP="00EF645B">
            <w:pPr>
              <w:spacing w:after="0" w:line="240" w:lineRule="auto"/>
              <w:jc w:val="center"/>
              <w:rPr>
                <w:rFonts w:ascii="Times New Roman" w:eastAsia="Times New Roman" w:hAnsi="Times New Roman" w:cs="Times New Roman"/>
                <w:color w:val="000000"/>
                <w:kern w:val="0"/>
                <w:szCs w:val="24"/>
                <w:lang w:eastAsia="en-IN"/>
                <w14:ligatures w14:val="none"/>
              </w:rPr>
            </w:pPr>
            <w:r w:rsidRPr="008E2A3E">
              <w:rPr>
                <w:rFonts w:ascii="Times New Roman" w:eastAsia="Times New Roman" w:hAnsi="Times New Roman" w:cs="Times New Roman"/>
                <w:color w:val="000000"/>
                <w:kern w:val="0"/>
                <w:szCs w:val="24"/>
                <w:lang w:eastAsia="en-IN"/>
                <w14:ligatures w14:val="none"/>
              </w:rPr>
              <w:t>925</w:t>
            </w:r>
          </w:p>
        </w:tc>
        <w:tc>
          <w:tcPr>
            <w:tcW w:w="1075" w:type="dxa"/>
            <w:tcBorders>
              <w:top w:val="nil"/>
              <w:left w:val="nil"/>
              <w:bottom w:val="single" w:sz="4" w:space="0" w:color="auto"/>
              <w:right w:val="single" w:sz="4" w:space="0" w:color="auto"/>
            </w:tcBorders>
            <w:noWrap/>
            <w:vAlign w:val="center"/>
            <w:hideMark/>
          </w:tcPr>
          <w:p w14:paraId="3E5BE287" w14:textId="77777777" w:rsidR="00EF645B" w:rsidRPr="008E2A3E" w:rsidRDefault="00EF645B" w:rsidP="00EF645B">
            <w:pPr>
              <w:spacing w:after="0" w:line="240" w:lineRule="auto"/>
              <w:jc w:val="center"/>
              <w:rPr>
                <w:rFonts w:ascii="Times New Roman" w:eastAsia="Times New Roman" w:hAnsi="Times New Roman" w:cs="Times New Roman"/>
                <w:color w:val="000000"/>
                <w:kern w:val="0"/>
                <w:szCs w:val="24"/>
                <w:lang w:eastAsia="en-IN"/>
                <w14:ligatures w14:val="none"/>
              </w:rPr>
            </w:pPr>
            <w:r w:rsidRPr="008E2A3E">
              <w:rPr>
                <w:rFonts w:ascii="Times New Roman" w:eastAsia="Times New Roman" w:hAnsi="Times New Roman" w:cs="Times New Roman"/>
                <w:color w:val="000000"/>
                <w:kern w:val="0"/>
                <w:szCs w:val="24"/>
                <w:lang w:eastAsia="en-IN"/>
                <w14:ligatures w14:val="none"/>
              </w:rPr>
              <w:t>943</w:t>
            </w:r>
          </w:p>
        </w:tc>
        <w:tc>
          <w:tcPr>
            <w:tcW w:w="1075" w:type="dxa"/>
            <w:tcBorders>
              <w:top w:val="nil"/>
              <w:left w:val="nil"/>
              <w:bottom w:val="single" w:sz="4" w:space="0" w:color="auto"/>
              <w:right w:val="single" w:sz="4" w:space="0" w:color="auto"/>
            </w:tcBorders>
            <w:noWrap/>
            <w:vAlign w:val="center"/>
            <w:hideMark/>
          </w:tcPr>
          <w:p w14:paraId="660E18A0" w14:textId="77777777" w:rsidR="00EF645B" w:rsidRPr="008E2A3E" w:rsidRDefault="00EF645B" w:rsidP="00EF645B">
            <w:pPr>
              <w:spacing w:after="0" w:line="240" w:lineRule="auto"/>
              <w:jc w:val="center"/>
              <w:rPr>
                <w:rFonts w:ascii="Times New Roman" w:eastAsia="Times New Roman" w:hAnsi="Times New Roman" w:cs="Times New Roman"/>
                <w:color w:val="000000"/>
                <w:kern w:val="0"/>
                <w:szCs w:val="24"/>
                <w:lang w:eastAsia="en-IN"/>
                <w14:ligatures w14:val="none"/>
              </w:rPr>
            </w:pPr>
            <w:r w:rsidRPr="008E2A3E">
              <w:rPr>
                <w:rFonts w:ascii="Times New Roman" w:eastAsia="Times New Roman" w:hAnsi="Times New Roman" w:cs="Times New Roman"/>
                <w:color w:val="000000"/>
                <w:kern w:val="0"/>
                <w:szCs w:val="24"/>
                <w:lang w:eastAsia="en-IN"/>
                <w14:ligatures w14:val="none"/>
              </w:rPr>
              <w:t>1114</w:t>
            </w:r>
          </w:p>
        </w:tc>
        <w:tc>
          <w:tcPr>
            <w:tcW w:w="1076" w:type="dxa"/>
            <w:tcBorders>
              <w:top w:val="nil"/>
              <w:left w:val="nil"/>
              <w:bottom w:val="single" w:sz="4" w:space="0" w:color="auto"/>
              <w:right w:val="single" w:sz="4" w:space="0" w:color="auto"/>
            </w:tcBorders>
            <w:noWrap/>
            <w:vAlign w:val="center"/>
            <w:hideMark/>
          </w:tcPr>
          <w:p w14:paraId="45D3AC2F" w14:textId="77777777" w:rsidR="00EF645B" w:rsidRPr="008E2A3E" w:rsidRDefault="00EF645B" w:rsidP="00EF645B">
            <w:pPr>
              <w:spacing w:after="0" w:line="240" w:lineRule="auto"/>
              <w:jc w:val="center"/>
              <w:rPr>
                <w:rFonts w:ascii="Times New Roman" w:eastAsia="Times New Roman" w:hAnsi="Times New Roman" w:cs="Times New Roman"/>
                <w:color w:val="000000"/>
                <w:kern w:val="0"/>
                <w:szCs w:val="24"/>
                <w:lang w:eastAsia="en-IN"/>
                <w14:ligatures w14:val="none"/>
              </w:rPr>
            </w:pPr>
            <w:r w:rsidRPr="008E2A3E">
              <w:rPr>
                <w:rFonts w:ascii="Times New Roman" w:eastAsia="Times New Roman" w:hAnsi="Times New Roman" w:cs="Times New Roman"/>
                <w:color w:val="000000"/>
                <w:kern w:val="0"/>
                <w:szCs w:val="24"/>
                <w:lang w:eastAsia="en-IN"/>
                <w14:ligatures w14:val="none"/>
              </w:rPr>
              <w:t>1320</w:t>
            </w:r>
          </w:p>
        </w:tc>
        <w:tc>
          <w:tcPr>
            <w:tcW w:w="1075" w:type="dxa"/>
            <w:tcBorders>
              <w:top w:val="nil"/>
              <w:left w:val="nil"/>
              <w:bottom w:val="single" w:sz="4" w:space="0" w:color="auto"/>
              <w:right w:val="single" w:sz="4" w:space="0" w:color="auto"/>
            </w:tcBorders>
            <w:noWrap/>
            <w:vAlign w:val="center"/>
            <w:hideMark/>
          </w:tcPr>
          <w:p w14:paraId="64815CCA" w14:textId="77777777" w:rsidR="00EF645B" w:rsidRPr="008E2A3E" w:rsidRDefault="00EF645B" w:rsidP="00EF645B">
            <w:pPr>
              <w:spacing w:after="0" w:line="240" w:lineRule="auto"/>
              <w:jc w:val="center"/>
              <w:rPr>
                <w:rFonts w:ascii="Times New Roman" w:eastAsia="Times New Roman" w:hAnsi="Times New Roman" w:cs="Times New Roman"/>
                <w:color w:val="000000"/>
                <w:kern w:val="0"/>
                <w:szCs w:val="24"/>
                <w:lang w:eastAsia="en-IN"/>
                <w14:ligatures w14:val="none"/>
              </w:rPr>
            </w:pPr>
            <w:r w:rsidRPr="008E2A3E">
              <w:rPr>
                <w:rFonts w:ascii="Times New Roman" w:eastAsia="Times New Roman" w:hAnsi="Times New Roman" w:cs="Times New Roman"/>
                <w:color w:val="000000"/>
                <w:kern w:val="0"/>
                <w:szCs w:val="24"/>
                <w:lang w:eastAsia="en-IN"/>
                <w14:ligatures w14:val="none"/>
              </w:rPr>
              <w:t>505</w:t>
            </w:r>
          </w:p>
        </w:tc>
        <w:tc>
          <w:tcPr>
            <w:tcW w:w="1075" w:type="dxa"/>
            <w:tcBorders>
              <w:top w:val="nil"/>
              <w:left w:val="nil"/>
              <w:bottom w:val="single" w:sz="4" w:space="0" w:color="auto"/>
              <w:right w:val="single" w:sz="4" w:space="0" w:color="auto"/>
            </w:tcBorders>
            <w:noWrap/>
            <w:vAlign w:val="center"/>
            <w:hideMark/>
          </w:tcPr>
          <w:p w14:paraId="51D1A9CB" w14:textId="77777777" w:rsidR="00EF645B" w:rsidRPr="008E2A3E" w:rsidRDefault="00EF645B" w:rsidP="00EF645B">
            <w:pPr>
              <w:spacing w:after="0" w:line="240" w:lineRule="auto"/>
              <w:jc w:val="center"/>
              <w:rPr>
                <w:rFonts w:ascii="Times New Roman" w:eastAsia="Times New Roman" w:hAnsi="Times New Roman" w:cs="Times New Roman"/>
                <w:color w:val="000000"/>
                <w:kern w:val="0"/>
                <w:szCs w:val="24"/>
                <w:lang w:eastAsia="en-IN"/>
                <w14:ligatures w14:val="none"/>
              </w:rPr>
            </w:pPr>
            <w:r w:rsidRPr="008E2A3E">
              <w:rPr>
                <w:rFonts w:ascii="Times New Roman" w:eastAsia="Times New Roman" w:hAnsi="Times New Roman" w:cs="Times New Roman"/>
                <w:color w:val="000000"/>
                <w:kern w:val="0"/>
                <w:szCs w:val="24"/>
                <w:lang w:eastAsia="en-IN"/>
                <w14:ligatures w14:val="none"/>
              </w:rPr>
              <w:t>521</w:t>
            </w:r>
          </w:p>
        </w:tc>
        <w:tc>
          <w:tcPr>
            <w:tcW w:w="1075" w:type="dxa"/>
            <w:tcBorders>
              <w:top w:val="nil"/>
              <w:left w:val="nil"/>
              <w:bottom w:val="single" w:sz="4" w:space="0" w:color="auto"/>
              <w:right w:val="single" w:sz="4" w:space="0" w:color="auto"/>
            </w:tcBorders>
            <w:noWrap/>
            <w:vAlign w:val="center"/>
            <w:hideMark/>
          </w:tcPr>
          <w:p w14:paraId="736BA69C" w14:textId="77777777" w:rsidR="00EF645B" w:rsidRPr="008E2A3E" w:rsidRDefault="00EF645B" w:rsidP="00EF645B">
            <w:pPr>
              <w:spacing w:after="0" w:line="240" w:lineRule="auto"/>
              <w:jc w:val="center"/>
              <w:rPr>
                <w:rFonts w:ascii="Times New Roman" w:eastAsia="Times New Roman" w:hAnsi="Times New Roman" w:cs="Times New Roman"/>
                <w:color w:val="000000"/>
                <w:kern w:val="0"/>
                <w:szCs w:val="24"/>
                <w:lang w:eastAsia="en-IN"/>
                <w14:ligatures w14:val="none"/>
              </w:rPr>
            </w:pPr>
            <w:r w:rsidRPr="008E2A3E">
              <w:rPr>
                <w:rFonts w:ascii="Times New Roman" w:eastAsia="Times New Roman" w:hAnsi="Times New Roman" w:cs="Times New Roman"/>
                <w:color w:val="000000"/>
                <w:kern w:val="0"/>
                <w:szCs w:val="24"/>
                <w:lang w:eastAsia="en-IN"/>
                <w14:ligatures w14:val="none"/>
              </w:rPr>
              <w:t>506</w:t>
            </w:r>
          </w:p>
        </w:tc>
        <w:tc>
          <w:tcPr>
            <w:tcW w:w="1075" w:type="dxa"/>
            <w:tcBorders>
              <w:top w:val="nil"/>
              <w:left w:val="nil"/>
              <w:bottom w:val="single" w:sz="4" w:space="0" w:color="auto"/>
              <w:right w:val="single" w:sz="4" w:space="0" w:color="auto"/>
            </w:tcBorders>
            <w:noWrap/>
            <w:vAlign w:val="center"/>
            <w:hideMark/>
          </w:tcPr>
          <w:p w14:paraId="03E3B506" w14:textId="77777777" w:rsidR="00EF645B" w:rsidRPr="008E2A3E" w:rsidRDefault="00EF645B" w:rsidP="00EF645B">
            <w:pPr>
              <w:spacing w:after="0" w:line="240" w:lineRule="auto"/>
              <w:jc w:val="center"/>
              <w:rPr>
                <w:rFonts w:ascii="Times New Roman" w:eastAsia="Times New Roman" w:hAnsi="Times New Roman" w:cs="Times New Roman"/>
                <w:color w:val="000000"/>
                <w:kern w:val="0"/>
                <w:szCs w:val="24"/>
                <w:lang w:eastAsia="en-IN"/>
                <w14:ligatures w14:val="none"/>
              </w:rPr>
            </w:pPr>
            <w:r w:rsidRPr="008E2A3E">
              <w:rPr>
                <w:rFonts w:ascii="Times New Roman" w:eastAsia="Times New Roman" w:hAnsi="Times New Roman" w:cs="Times New Roman"/>
                <w:color w:val="000000"/>
                <w:kern w:val="0"/>
                <w:szCs w:val="24"/>
                <w:lang w:eastAsia="en-IN"/>
                <w14:ligatures w14:val="none"/>
              </w:rPr>
              <w:t>620</w:t>
            </w:r>
          </w:p>
        </w:tc>
        <w:tc>
          <w:tcPr>
            <w:tcW w:w="1076" w:type="dxa"/>
            <w:tcBorders>
              <w:top w:val="nil"/>
              <w:left w:val="nil"/>
              <w:bottom w:val="single" w:sz="4" w:space="0" w:color="auto"/>
              <w:right w:val="single" w:sz="4" w:space="0" w:color="auto"/>
            </w:tcBorders>
            <w:noWrap/>
            <w:vAlign w:val="center"/>
            <w:hideMark/>
          </w:tcPr>
          <w:p w14:paraId="51A44E84" w14:textId="77777777" w:rsidR="00EF645B" w:rsidRPr="008E2A3E" w:rsidRDefault="00EF645B" w:rsidP="00EF645B">
            <w:pPr>
              <w:spacing w:after="0" w:line="240" w:lineRule="auto"/>
              <w:jc w:val="center"/>
              <w:rPr>
                <w:rFonts w:ascii="Times New Roman" w:eastAsia="Times New Roman" w:hAnsi="Times New Roman" w:cs="Times New Roman"/>
                <w:color w:val="000000"/>
                <w:kern w:val="0"/>
                <w:szCs w:val="24"/>
                <w:lang w:eastAsia="en-IN"/>
                <w14:ligatures w14:val="none"/>
              </w:rPr>
            </w:pPr>
            <w:r w:rsidRPr="008E2A3E">
              <w:rPr>
                <w:rFonts w:ascii="Times New Roman" w:eastAsia="Times New Roman" w:hAnsi="Times New Roman" w:cs="Times New Roman"/>
                <w:color w:val="000000"/>
                <w:kern w:val="0"/>
                <w:szCs w:val="24"/>
                <w:lang w:eastAsia="en-IN"/>
                <w14:ligatures w14:val="none"/>
              </w:rPr>
              <w:t>752</w:t>
            </w:r>
          </w:p>
        </w:tc>
      </w:tr>
      <w:tr w:rsidR="00EF645B" w:rsidRPr="008E2A3E" w14:paraId="44735790" w14:textId="77777777" w:rsidTr="008E2A3E">
        <w:trPr>
          <w:trHeight w:val="300"/>
          <w:jc w:val="center"/>
        </w:trPr>
        <w:tc>
          <w:tcPr>
            <w:tcW w:w="3173" w:type="dxa"/>
            <w:tcBorders>
              <w:top w:val="nil"/>
              <w:left w:val="single" w:sz="4" w:space="0" w:color="auto"/>
              <w:bottom w:val="single" w:sz="4" w:space="0" w:color="auto"/>
              <w:right w:val="single" w:sz="4" w:space="0" w:color="auto"/>
            </w:tcBorders>
            <w:noWrap/>
            <w:vAlign w:val="center"/>
            <w:hideMark/>
          </w:tcPr>
          <w:p w14:paraId="6996C07E" w14:textId="77777777" w:rsidR="00EF645B" w:rsidRPr="008E2A3E" w:rsidRDefault="00EF645B" w:rsidP="00EF645B">
            <w:pPr>
              <w:spacing w:after="0" w:line="240" w:lineRule="auto"/>
              <w:rPr>
                <w:rFonts w:ascii="Times New Roman" w:eastAsia="Times New Roman" w:hAnsi="Times New Roman" w:cs="Times New Roman"/>
                <w:color w:val="000000"/>
                <w:kern w:val="0"/>
                <w:szCs w:val="24"/>
                <w:lang w:eastAsia="en-IN"/>
                <w14:ligatures w14:val="none"/>
              </w:rPr>
            </w:pPr>
            <w:r w:rsidRPr="008E2A3E">
              <w:rPr>
                <w:rFonts w:ascii="Times New Roman" w:eastAsia="Times New Roman" w:hAnsi="Times New Roman" w:cs="Times New Roman"/>
                <w:color w:val="000000"/>
                <w:kern w:val="0"/>
                <w:szCs w:val="24"/>
                <w:lang w:eastAsia="en-IN"/>
                <w14:ligatures w14:val="none"/>
              </w:rPr>
              <w:t>Maharashtra</w:t>
            </w:r>
          </w:p>
        </w:tc>
        <w:tc>
          <w:tcPr>
            <w:tcW w:w="1075" w:type="dxa"/>
            <w:tcBorders>
              <w:top w:val="nil"/>
              <w:left w:val="nil"/>
              <w:bottom w:val="single" w:sz="4" w:space="0" w:color="auto"/>
              <w:right w:val="single" w:sz="4" w:space="0" w:color="auto"/>
            </w:tcBorders>
            <w:noWrap/>
            <w:vAlign w:val="center"/>
            <w:hideMark/>
          </w:tcPr>
          <w:p w14:paraId="57638008" w14:textId="77777777" w:rsidR="00EF645B" w:rsidRPr="008E2A3E" w:rsidRDefault="00EF645B" w:rsidP="00EF645B">
            <w:pPr>
              <w:spacing w:after="0" w:line="240" w:lineRule="auto"/>
              <w:jc w:val="center"/>
              <w:rPr>
                <w:rFonts w:ascii="Times New Roman" w:eastAsia="Times New Roman" w:hAnsi="Times New Roman" w:cs="Times New Roman"/>
                <w:color w:val="000000"/>
                <w:kern w:val="0"/>
                <w:szCs w:val="24"/>
                <w:lang w:eastAsia="en-IN"/>
                <w14:ligatures w14:val="none"/>
              </w:rPr>
            </w:pPr>
            <w:r w:rsidRPr="008E2A3E">
              <w:rPr>
                <w:rFonts w:ascii="Times New Roman" w:eastAsia="Times New Roman" w:hAnsi="Times New Roman" w:cs="Times New Roman"/>
                <w:color w:val="000000"/>
                <w:kern w:val="0"/>
                <w:szCs w:val="24"/>
                <w:lang w:eastAsia="en-IN"/>
                <w14:ligatures w14:val="none"/>
              </w:rPr>
              <w:t>1640</w:t>
            </w:r>
          </w:p>
        </w:tc>
        <w:tc>
          <w:tcPr>
            <w:tcW w:w="1075" w:type="dxa"/>
            <w:tcBorders>
              <w:top w:val="nil"/>
              <w:left w:val="nil"/>
              <w:bottom w:val="single" w:sz="4" w:space="0" w:color="auto"/>
              <w:right w:val="single" w:sz="4" w:space="0" w:color="auto"/>
            </w:tcBorders>
            <w:noWrap/>
            <w:vAlign w:val="center"/>
            <w:hideMark/>
          </w:tcPr>
          <w:p w14:paraId="1F33A014" w14:textId="77777777" w:rsidR="00EF645B" w:rsidRPr="008E2A3E" w:rsidRDefault="00EF645B" w:rsidP="00EF645B">
            <w:pPr>
              <w:spacing w:after="0" w:line="240" w:lineRule="auto"/>
              <w:jc w:val="center"/>
              <w:rPr>
                <w:rFonts w:ascii="Times New Roman" w:eastAsia="Times New Roman" w:hAnsi="Times New Roman" w:cs="Times New Roman"/>
                <w:color w:val="000000"/>
                <w:kern w:val="0"/>
                <w:szCs w:val="24"/>
                <w:lang w:eastAsia="en-IN"/>
                <w14:ligatures w14:val="none"/>
              </w:rPr>
            </w:pPr>
            <w:r w:rsidRPr="008E2A3E">
              <w:rPr>
                <w:rFonts w:ascii="Times New Roman" w:eastAsia="Times New Roman" w:hAnsi="Times New Roman" w:cs="Times New Roman"/>
                <w:color w:val="000000"/>
                <w:kern w:val="0"/>
                <w:szCs w:val="24"/>
                <w:lang w:eastAsia="en-IN"/>
                <w14:ligatures w14:val="none"/>
              </w:rPr>
              <w:t>1626</w:t>
            </w:r>
          </w:p>
        </w:tc>
        <w:tc>
          <w:tcPr>
            <w:tcW w:w="1075" w:type="dxa"/>
            <w:tcBorders>
              <w:top w:val="nil"/>
              <w:left w:val="nil"/>
              <w:bottom w:val="single" w:sz="4" w:space="0" w:color="auto"/>
              <w:right w:val="single" w:sz="4" w:space="0" w:color="auto"/>
            </w:tcBorders>
            <w:noWrap/>
            <w:vAlign w:val="center"/>
            <w:hideMark/>
          </w:tcPr>
          <w:p w14:paraId="1A90EBB2" w14:textId="77777777" w:rsidR="00EF645B" w:rsidRPr="008E2A3E" w:rsidRDefault="00EF645B" w:rsidP="00EF645B">
            <w:pPr>
              <w:spacing w:after="0" w:line="240" w:lineRule="auto"/>
              <w:jc w:val="center"/>
              <w:rPr>
                <w:rFonts w:ascii="Times New Roman" w:eastAsia="Times New Roman" w:hAnsi="Times New Roman" w:cs="Times New Roman"/>
                <w:color w:val="000000"/>
                <w:kern w:val="0"/>
                <w:szCs w:val="24"/>
                <w:lang w:eastAsia="en-IN"/>
                <w14:ligatures w14:val="none"/>
              </w:rPr>
            </w:pPr>
            <w:r w:rsidRPr="008E2A3E">
              <w:rPr>
                <w:rFonts w:ascii="Times New Roman" w:eastAsia="Times New Roman" w:hAnsi="Times New Roman" w:cs="Times New Roman"/>
                <w:color w:val="000000"/>
                <w:kern w:val="0"/>
                <w:szCs w:val="24"/>
                <w:lang w:eastAsia="en-IN"/>
                <w14:ligatures w14:val="none"/>
              </w:rPr>
              <w:t>1764</w:t>
            </w:r>
          </w:p>
        </w:tc>
        <w:tc>
          <w:tcPr>
            <w:tcW w:w="1075" w:type="dxa"/>
            <w:tcBorders>
              <w:top w:val="nil"/>
              <w:left w:val="nil"/>
              <w:bottom w:val="single" w:sz="4" w:space="0" w:color="auto"/>
              <w:right w:val="single" w:sz="4" w:space="0" w:color="auto"/>
            </w:tcBorders>
            <w:noWrap/>
            <w:vAlign w:val="center"/>
            <w:hideMark/>
          </w:tcPr>
          <w:p w14:paraId="44AEC9A1" w14:textId="77777777" w:rsidR="00EF645B" w:rsidRPr="008E2A3E" w:rsidRDefault="00EF645B" w:rsidP="00EF645B">
            <w:pPr>
              <w:spacing w:after="0" w:line="240" w:lineRule="auto"/>
              <w:jc w:val="center"/>
              <w:rPr>
                <w:rFonts w:ascii="Times New Roman" w:eastAsia="Times New Roman" w:hAnsi="Times New Roman" w:cs="Times New Roman"/>
                <w:color w:val="000000"/>
                <w:kern w:val="0"/>
                <w:szCs w:val="24"/>
                <w:lang w:eastAsia="en-IN"/>
                <w14:ligatures w14:val="none"/>
              </w:rPr>
            </w:pPr>
            <w:r w:rsidRPr="008E2A3E">
              <w:rPr>
                <w:rFonts w:ascii="Times New Roman" w:eastAsia="Times New Roman" w:hAnsi="Times New Roman" w:cs="Times New Roman"/>
                <w:color w:val="000000"/>
                <w:kern w:val="0"/>
                <w:szCs w:val="24"/>
                <w:lang w:eastAsia="en-IN"/>
                <w14:ligatures w14:val="none"/>
              </w:rPr>
              <w:t>2017</w:t>
            </w:r>
          </w:p>
        </w:tc>
        <w:tc>
          <w:tcPr>
            <w:tcW w:w="1076" w:type="dxa"/>
            <w:tcBorders>
              <w:top w:val="nil"/>
              <w:left w:val="nil"/>
              <w:bottom w:val="single" w:sz="4" w:space="0" w:color="auto"/>
              <w:right w:val="single" w:sz="4" w:space="0" w:color="auto"/>
            </w:tcBorders>
            <w:noWrap/>
            <w:vAlign w:val="center"/>
            <w:hideMark/>
          </w:tcPr>
          <w:p w14:paraId="007A07A6" w14:textId="77777777" w:rsidR="00EF645B" w:rsidRPr="008E2A3E" w:rsidRDefault="00EF645B" w:rsidP="00EF645B">
            <w:pPr>
              <w:spacing w:after="0" w:line="240" w:lineRule="auto"/>
              <w:jc w:val="center"/>
              <w:rPr>
                <w:rFonts w:ascii="Times New Roman" w:eastAsia="Times New Roman" w:hAnsi="Times New Roman" w:cs="Times New Roman"/>
                <w:color w:val="000000"/>
                <w:kern w:val="0"/>
                <w:szCs w:val="24"/>
                <w:lang w:eastAsia="en-IN"/>
                <w14:ligatures w14:val="none"/>
              </w:rPr>
            </w:pPr>
            <w:r w:rsidRPr="008E2A3E">
              <w:rPr>
                <w:rFonts w:ascii="Times New Roman" w:eastAsia="Times New Roman" w:hAnsi="Times New Roman" w:cs="Times New Roman"/>
                <w:color w:val="000000"/>
                <w:kern w:val="0"/>
                <w:szCs w:val="24"/>
                <w:lang w:eastAsia="en-IN"/>
                <w14:ligatures w14:val="none"/>
              </w:rPr>
              <w:t>2277</w:t>
            </w:r>
          </w:p>
        </w:tc>
        <w:tc>
          <w:tcPr>
            <w:tcW w:w="1075" w:type="dxa"/>
            <w:tcBorders>
              <w:top w:val="nil"/>
              <w:left w:val="nil"/>
              <w:bottom w:val="single" w:sz="4" w:space="0" w:color="auto"/>
              <w:right w:val="single" w:sz="4" w:space="0" w:color="auto"/>
            </w:tcBorders>
            <w:noWrap/>
            <w:vAlign w:val="center"/>
            <w:hideMark/>
          </w:tcPr>
          <w:p w14:paraId="64841CD5" w14:textId="77777777" w:rsidR="00EF645B" w:rsidRPr="008E2A3E" w:rsidRDefault="00EF645B" w:rsidP="00EF645B">
            <w:pPr>
              <w:spacing w:after="0" w:line="240" w:lineRule="auto"/>
              <w:jc w:val="center"/>
              <w:rPr>
                <w:rFonts w:ascii="Times New Roman" w:eastAsia="Times New Roman" w:hAnsi="Times New Roman" w:cs="Times New Roman"/>
                <w:color w:val="000000"/>
                <w:kern w:val="0"/>
                <w:szCs w:val="24"/>
                <w:lang w:eastAsia="en-IN"/>
                <w14:ligatures w14:val="none"/>
              </w:rPr>
            </w:pPr>
            <w:r w:rsidRPr="008E2A3E">
              <w:rPr>
                <w:rFonts w:ascii="Times New Roman" w:eastAsia="Times New Roman" w:hAnsi="Times New Roman" w:cs="Times New Roman"/>
                <w:color w:val="000000"/>
                <w:kern w:val="0"/>
                <w:szCs w:val="24"/>
                <w:lang w:eastAsia="en-IN"/>
                <w14:ligatures w14:val="none"/>
              </w:rPr>
              <w:t>676</w:t>
            </w:r>
          </w:p>
        </w:tc>
        <w:tc>
          <w:tcPr>
            <w:tcW w:w="1075" w:type="dxa"/>
            <w:tcBorders>
              <w:top w:val="nil"/>
              <w:left w:val="nil"/>
              <w:bottom w:val="single" w:sz="4" w:space="0" w:color="auto"/>
              <w:right w:val="single" w:sz="4" w:space="0" w:color="auto"/>
            </w:tcBorders>
            <w:noWrap/>
            <w:vAlign w:val="center"/>
            <w:hideMark/>
          </w:tcPr>
          <w:p w14:paraId="3B52F3B1" w14:textId="77777777" w:rsidR="00EF645B" w:rsidRPr="008E2A3E" w:rsidRDefault="00EF645B" w:rsidP="00EF645B">
            <w:pPr>
              <w:spacing w:after="0" w:line="240" w:lineRule="auto"/>
              <w:jc w:val="center"/>
              <w:rPr>
                <w:rFonts w:ascii="Times New Roman" w:eastAsia="Times New Roman" w:hAnsi="Times New Roman" w:cs="Times New Roman"/>
                <w:color w:val="000000"/>
                <w:kern w:val="0"/>
                <w:szCs w:val="24"/>
                <w:lang w:eastAsia="en-IN"/>
                <w14:ligatures w14:val="none"/>
              </w:rPr>
            </w:pPr>
            <w:r w:rsidRPr="008E2A3E">
              <w:rPr>
                <w:rFonts w:ascii="Times New Roman" w:eastAsia="Times New Roman" w:hAnsi="Times New Roman" w:cs="Times New Roman"/>
                <w:color w:val="000000"/>
                <w:kern w:val="0"/>
                <w:szCs w:val="24"/>
                <w:lang w:eastAsia="en-IN"/>
                <w14:ligatures w14:val="none"/>
              </w:rPr>
              <w:t>577</w:t>
            </w:r>
          </w:p>
        </w:tc>
        <w:tc>
          <w:tcPr>
            <w:tcW w:w="1075" w:type="dxa"/>
            <w:tcBorders>
              <w:top w:val="nil"/>
              <w:left w:val="nil"/>
              <w:bottom w:val="single" w:sz="4" w:space="0" w:color="auto"/>
              <w:right w:val="single" w:sz="4" w:space="0" w:color="auto"/>
            </w:tcBorders>
            <w:noWrap/>
            <w:vAlign w:val="center"/>
            <w:hideMark/>
          </w:tcPr>
          <w:p w14:paraId="785BAA35" w14:textId="77777777" w:rsidR="00EF645B" w:rsidRPr="008E2A3E" w:rsidRDefault="00EF645B" w:rsidP="00EF645B">
            <w:pPr>
              <w:spacing w:after="0" w:line="240" w:lineRule="auto"/>
              <w:jc w:val="center"/>
              <w:rPr>
                <w:rFonts w:ascii="Times New Roman" w:eastAsia="Times New Roman" w:hAnsi="Times New Roman" w:cs="Times New Roman"/>
                <w:color w:val="000000"/>
                <w:kern w:val="0"/>
                <w:szCs w:val="24"/>
                <w:lang w:eastAsia="en-IN"/>
                <w14:ligatures w14:val="none"/>
              </w:rPr>
            </w:pPr>
            <w:r w:rsidRPr="008E2A3E">
              <w:rPr>
                <w:rFonts w:ascii="Times New Roman" w:eastAsia="Times New Roman" w:hAnsi="Times New Roman" w:cs="Times New Roman"/>
                <w:color w:val="000000"/>
                <w:kern w:val="0"/>
                <w:szCs w:val="24"/>
                <w:lang w:eastAsia="en-IN"/>
                <w14:ligatures w14:val="none"/>
              </w:rPr>
              <w:t>624</w:t>
            </w:r>
          </w:p>
        </w:tc>
        <w:tc>
          <w:tcPr>
            <w:tcW w:w="1075" w:type="dxa"/>
            <w:tcBorders>
              <w:top w:val="nil"/>
              <w:left w:val="nil"/>
              <w:bottom w:val="single" w:sz="4" w:space="0" w:color="auto"/>
              <w:right w:val="single" w:sz="4" w:space="0" w:color="auto"/>
            </w:tcBorders>
            <w:noWrap/>
            <w:vAlign w:val="center"/>
            <w:hideMark/>
          </w:tcPr>
          <w:p w14:paraId="6F9DBC72" w14:textId="77777777" w:rsidR="00EF645B" w:rsidRPr="008E2A3E" w:rsidRDefault="00EF645B" w:rsidP="00EF645B">
            <w:pPr>
              <w:spacing w:after="0" w:line="240" w:lineRule="auto"/>
              <w:jc w:val="center"/>
              <w:rPr>
                <w:rFonts w:ascii="Times New Roman" w:eastAsia="Times New Roman" w:hAnsi="Times New Roman" w:cs="Times New Roman"/>
                <w:color w:val="000000"/>
                <w:kern w:val="0"/>
                <w:szCs w:val="24"/>
                <w:lang w:eastAsia="en-IN"/>
                <w14:ligatures w14:val="none"/>
              </w:rPr>
            </w:pPr>
            <w:r w:rsidRPr="008E2A3E">
              <w:rPr>
                <w:rFonts w:ascii="Times New Roman" w:eastAsia="Times New Roman" w:hAnsi="Times New Roman" w:cs="Times New Roman"/>
                <w:color w:val="000000"/>
                <w:kern w:val="0"/>
                <w:szCs w:val="24"/>
                <w:lang w:eastAsia="en-IN"/>
                <w14:ligatures w14:val="none"/>
              </w:rPr>
              <w:t>738</w:t>
            </w:r>
          </w:p>
        </w:tc>
        <w:tc>
          <w:tcPr>
            <w:tcW w:w="1076" w:type="dxa"/>
            <w:tcBorders>
              <w:top w:val="nil"/>
              <w:left w:val="nil"/>
              <w:bottom w:val="single" w:sz="4" w:space="0" w:color="auto"/>
              <w:right w:val="single" w:sz="4" w:space="0" w:color="auto"/>
            </w:tcBorders>
            <w:noWrap/>
            <w:vAlign w:val="center"/>
            <w:hideMark/>
          </w:tcPr>
          <w:p w14:paraId="115351BC" w14:textId="77777777" w:rsidR="00EF645B" w:rsidRPr="008E2A3E" w:rsidRDefault="00EF645B" w:rsidP="00EF645B">
            <w:pPr>
              <w:spacing w:after="0" w:line="240" w:lineRule="auto"/>
              <w:jc w:val="center"/>
              <w:rPr>
                <w:rFonts w:ascii="Times New Roman" w:eastAsia="Times New Roman" w:hAnsi="Times New Roman" w:cs="Times New Roman"/>
                <w:color w:val="000000"/>
                <w:kern w:val="0"/>
                <w:szCs w:val="24"/>
                <w:lang w:eastAsia="en-IN"/>
                <w14:ligatures w14:val="none"/>
              </w:rPr>
            </w:pPr>
            <w:r w:rsidRPr="008E2A3E">
              <w:rPr>
                <w:rFonts w:ascii="Times New Roman" w:eastAsia="Times New Roman" w:hAnsi="Times New Roman" w:cs="Times New Roman"/>
                <w:color w:val="000000"/>
                <w:kern w:val="0"/>
                <w:szCs w:val="24"/>
                <w:lang w:eastAsia="en-IN"/>
                <w14:ligatures w14:val="none"/>
              </w:rPr>
              <w:t>829</w:t>
            </w:r>
          </w:p>
        </w:tc>
      </w:tr>
      <w:tr w:rsidR="00EF645B" w:rsidRPr="008E2A3E" w14:paraId="30BB24CA" w14:textId="77777777" w:rsidTr="008E2A3E">
        <w:trPr>
          <w:trHeight w:val="300"/>
          <w:jc w:val="center"/>
        </w:trPr>
        <w:tc>
          <w:tcPr>
            <w:tcW w:w="3173" w:type="dxa"/>
            <w:tcBorders>
              <w:top w:val="nil"/>
              <w:left w:val="single" w:sz="4" w:space="0" w:color="auto"/>
              <w:bottom w:val="single" w:sz="4" w:space="0" w:color="auto"/>
              <w:right w:val="single" w:sz="4" w:space="0" w:color="auto"/>
            </w:tcBorders>
            <w:noWrap/>
            <w:vAlign w:val="center"/>
            <w:hideMark/>
          </w:tcPr>
          <w:p w14:paraId="17F306FB" w14:textId="77777777" w:rsidR="00EF645B" w:rsidRPr="008E2A3E" w:rsidRDefault="00EF645B" w:rsidP="00EF645B">
            <w:pPr>
              <w:spacing w:after="0" w:line="240" w:lineRule="auto"/>
              <w:rPr>
                <w:rFonts w:ascii="Times New Roman" w:eastAsia="Times New Roman" w:hAnsi="Times New Roman" w:cs="Times New Roman"/>
                <w:color w:val="000000"/>
                <w:kern w:val="0"/>
                <w:szCs w:val="24"/>
                <w:lang w:eastAsia="en-IN"/>
                <w14:ligatures w14:val="none"/>
              </w:rPr>
            </w:pPr>
            <w:r w:rsidRPr="008E2A3E">
              <w:rPr>
                <w:rFonts w:ascii="Times New Roman" w:eastAsia="Times New Roman" w:hAnsi="Times New Roman" w:cs="Times New Roman"/>
                <w:color w:val="000000"/>
                <w:kern w:val="0"/>
                <w:szCs w:val="24"/>
                <w:lang w:eastAsia="en-IN"/>
                <w14:ligatures w14:val="none"/>
              </w:rPr>
              <w:t>Mysore</w:t>
            </w:r>
          </w:p>
        </w:tc>
        <w:tc>
          <w:tcPr>
            <w:tcW w:w="1075" w:type="dxa"/>
            <w:tcBorders>
              <w:top w:val="nil"/>
              <w:left w:val="nil"/>
              <w:bottom w:val="single" w:sz="4" w:space="0" w:color="auto"/>
              <w:right w:val="single" w:sz="4" w:space="0" w:color="auto"/>
            </w:tcBorders>
            <w:noWrap/>
            <w:vAlign w:val="center"/>
            <w:hideMark/>
          </w:tcPr>
          <w:p w14:paraId="615F9297" w14:textId="77777777" w:rsidR="00EF645B" w:rsidRPr="008E2A3E" w:rsidRDefault="00EF645B" w:rsidP="00EF645B">
            <w:pPr>
              <w:spacing w:after="0" w:line="240" w:lineRule="auto"/>
              <w:jc w:val="center"/>
              <w:rPr>
                <w:rFonts w:ascii="Times New Roman" w:eastAsia="Times New Roman" w:hAnsi="Times New Roman" w:cs="Times New Roman"/>
                <w:color w:val="000000"/>
                <w:kern w:val="0"/>
                <w:szCs w:val="24"/>
                <w:lang w:eastAsia="en-IN"/>
                <w14:ligatures w14:val="none"/>
              </w:rPr>
            </w:pPr>
            <w:r w:rsidRPr="008E2A3E">
              <w:rPr>
                <w:rFonts w:ascii="Times New Roman" w:eastAsia="Times New Roman" w:hAnsi="Times New Roman" w:cs="Times New Roman"/>
                <w:color w:val="000000"/>
                <w:kern w:val="0"/>
                <w:szCs w:val="24"/>
                <w:lang w:eastAsia="en-IN"/>
                <w14:ligatures w14:val="none"/>
              </w:rPr>
              <w:t>683</w:t>
            </w:r>
          </w:p>
        </w:tc>
        <w:tc>
          <w:tcPr>
            <w:tcW w:w="1075" w:type="dxa"/>
            <w:tcBorders>
              <w:top w:val="nil"/>
              <w:left w:val="nil"/>
              <w:bottom w:val="single" w:sz="4" w:space="0" w:color="auto"/>
              <w:right w:val="single" w:sz="4" w:space="0" w:color="auto"/>
            </w:tcBorders>
            <w:noWrap/>
            <w:vAlign w:val="center"/>
            <w:hideMark/>
          </w:tcPr>
          <w:p w14:paraId="2A8788AB" w14:textId="77777777" w:rsidR="00EF645B" w:rsidRPr="008E2A3E" w:rsidRDefault="00EF645B" w:rsidP="00EF645B">
            <w:pPr>
              <w:spacing w:after="0" w:line="240" w:lineRule="auto"/>
              <w:jc w:val="center"/>
              <w:rPr>
                <w:rFonts w:ascii="Times New Roman" w:eastAsia="Times New Roman" w:hAnsi="Times New Roman" w:cs="Times New Roman"/>
                <w:color w:val="000000"/>
                <w:kern w:val="0"/>
                <w:szCs w:val="24"/>
                <w:lang w:eastAsia="en-IN"/>
                <w14:ligatures w14:val="none"/>
              </w:rPr>
            </w:pPr>
            <w:r w:rsidRPr="008E2A3E">
              <w:rPr>
                <w:rFonts w:ascii="Times New Roman" w:eastAsia="Times New Roman" w:hAnsi="Times New Roman" w:cs="Times New Roman"/>
                <w:color w:val="000000"/>
                <w:kern w:val="0"/>
                <w:szCs w:val="24"/>
                <w:lang w:eastAsia="en-IN"/>
                <w14:ligatures w14:val="none"/>
              </w:rPr>
              <w:t>755</w:t>
            </w:r>
          </w:p>
        </w:tc>
        <w:tc>
          <w:tcPr>
            <w:tcW w:w="1075" w:type="dxa"/>
            <w:tcBorders>
              <w:top w:val="nil"/>
              <w:left w:val="nil"/>
              <w:bottom w:val="single" w:sz="4" w:space="0" w:color="auto"/>
              <w:right w:val="single" w:sz="4" w:space="0" w:color="auto"/>
            </w:tcBorders>
            <w:noWrap/>
            <w:vAlign w:val="center"/>
            <w:hideMark/>
          </w:tcPr>
          <w:p w14:paraId="2C92CB7C" w14:textId="77777777" w:rsidR="00EF645B" w:rsidRPr="008E2A3E" w:rsidRDefault="00EF645B" w:rsidP="00EF645B">
            <w:pPr>
              <w:spacing w:after="0" w:line="240" w:lineRule="auto"/>
              <w:jc w:val="center"/>
              <w:rPr>
                <w:rFonts w:ascii="Times New Roman" w:eastAsia="Times New Roman" w:hAnsi="Times New Roman" w:cs="Times New Roman"/>
                <w:color w:val="000000"/>
                <w:kern w:val="0"/>
                <w:szCs w:val="24"/>
                <w:lang w:eastAsia="en-IN"/>
                <w14:ligatures w14:val="none"/>
              </w:rPr>
            </w:pPr>
            <w:r w:rsidRPr="008E2A3E">
              <w:rPr>
                <w:rFonts w:ascii="Times New Roman" w:eastAsia="Times New Roman" w:hAnsi="Times New Roman" w:cs="Times New Roman"/>
                <w:color w:val="000000"/>
                <w:kern w:val="0"/>
                <w:szCs w:val="24"/>
                <w:lang w:eastAsia="en-IN"/>
                <w14:ligatures w14:val="none"/>
              </w:rPr>
              <w:t>800</w:t>
            </w:r>
          </w:p>
        </w:tc>
        <w:tc>
          <w:tcPr>
            <w:tcW w:w="1075" w:type="dxa"/>
            <w:tcBorders>
              <w:top w:val="nil"/>
              <w:left w:val="nil"/>
              <w:bottom w:val="single" w:sz="4" w:space="0" w:color="auto"/>
              <w:right w:val="single" w:sz="4" w:space="0" w:color="auto"/>
            </w:tcBorders>
            <w:noWrap/>
            <w:vAlign w:val="center"/>
            <w:hideMark/>
          </w:tcPr>
          <w:p w14:paraId="169512D7" w14:textId="77777777" w:rsidR="00EF645B" w:rsidRPr="008E2A3E" w:rsidRDefault="00EF645B" w:rsidP="00EF645B">
            <w:pPr>
              <w:spacing w:after="0" w:line="240" w:lineRule="auto"/>
              <w:jc w:val="center"/>
              <w:rPr>
                <w:rFonts w:ascii="Times New Roman" w:eastAsia="Times New Roman" w:hAnsi="Times New Roman" w:cs="Times New Roman"/>
                <w:color w:val="000000"/>
                <w:kern w:val="0"/>
                <w:szCs w:val="24"/>
                <w:lang w:eastAsia="en-IN"/>
                <w14:ligatures w14:val="none"/>
              </w:rPr>
            </w:pPr>
            <w:r w:rsidRPr="008E2A3E">
              <w:rPr>
                <w:rFonts w:ascii="Times New Roman" w:eastAsia="Times New Roman" w:hAnsi="Times New Roman" w:cs="Times New Roman"/>
                <w:color w:val="000000"/>
                <w:kern w:val="0"/>
                <w:szCs w:val="24"/>
                <w:lang w:eastAsia="en-IN"/>
                <w14:ligatures w14:val="none"/>
              </w:rPr>
              <w:t>932</w:t>
            </w:r>
          </w:p>
        </w:tc>
        <w:tc>
          <w:tcPr>
            <w:tcW w:w="1076" w:type="dxa"/>
            <w:tcBorders>
              <w:top w:val="nil"/>
              <w:left w:val="nil"/>
              <w:bottom w:val="single" w:sz="4" w:space="0" w:color="auto"/>
              <w:right w:val="single" w:sz="4" w:space="0" w:color="auto"/>
            </w:tcBorders>
            <w:noWrap/>
            <w:vAlign w:val="center"/>
            <w:hideMark/>
          </w:tcPr>
          <w:p w14:paraId="70007DD2" w14:textId="77777777" w:rsidR="00EF645B" w:rsidRPr="008E2A3E" w:rsidRDefault="00EF645B" w:rsidP="00EF645B">
            <w:pPr>
              <w:spacing w:after="0" w:line="240" w:lineRule="auto"/>
              <w:jc w:val="center"/>
              <w:rPr>
                <w:rFonts w:ascii="Times New Roman" w:eastAsia="Times New Roman" w:hAnsi="Times New Roman" w:cs="Times New Roman"/>
                <w:color w:val="000000"/>
                <w:kern w:val="0"/>
                <w:szCs w:val="24"/>
                <w:lang w:eastAsia="en-IN"/>
                <w14:ligatures w14:val="none"/>
              </w:rPr>
            </w:pPr>
            <w:r w:rsidRPr="008E2A3E">
              <w:rPr>
                <w:rFonts w:ascii="Times New Roman" w:eastAsia="Times New Roman" w:hAnsi="Times New Roman" w:cs="Times New Roman"/>
                <w:color w:val="000000"/>
                <w:kern w:val="0"/>
                <w:szCs w:val="24"/>
                <w:lang w:eastAsia="en-IN"/>
                <w14:ligatures w14:val="none"/>
              </w:rPr>
              <w:t>1075</w:t>
            </w:r>
          </w:p>
        </w:tc>
        <w:tc>
          <w:tcPr>
            <w:tcW w:w="1075" w:type="dxa"/>
            <w:tcBorders>
              <w:top w:val="nil"/>
              <w:left w:val="nil"/>
              <w:bottom w:val="single" w:sz="4" w:space="0" w:color="auto"/>
              <w:right w:val="single" w:sz="4" w:space="0" w:color="auto"/>
            </w:tcBorders>
            <w:noWrap/>
            <w:vAlign w:val="center"/>
            <w:hideMark/>
          </w:tcPr>
          <w:p w14:paraId="5DE7D893" w14:textId="77777777" w:rsidR="00EF645B" w:rsidRPr="008E2A3E" w:rsidRDefault="00EF645B" w:rsidP="00EF645B">
            <w:pPr>
              <w:spacing w:after="0" w:line="240" w:lineRule="auto"/>
              <w:jc w:val="center"/>
              <w:rPr>
                <w:rFonts w:ascii="Times New Roman" w:eastAsia="Times New Roman" w:hAnsi="Times New Roman" w:cs="Times New Roman"/>
                <w:color w:val="000000"/>
                <w:kern w:val="0"/>
                <w:szCs w:val="24"/>
                <w:lang w:eastAsia="en-IN"/>
                <w14:ligatures w14:val="none"/>
              </w:rPr>
            </w:pPr>
            <w:r w:rsidRPr="008E2A3E">
              <w:rPr>
                <w:rFonts w:ascii="Times New Roman" w:eastAsia="Times New Roman" w:hAnsi="Times New Roman" w:cs="Times New Roman"/>
                <w:color w:val="000000"/>
                <w:kern w:val="0"/>
                <w:szCs w:val="24"/>
                <w:lang w:eastAsia="en-IN"/>
                <w14:ligatures w14:val="none"/>
              </w:rPr>
              <w:t>355</w:t>
            </w:r>
          </w:p>
        </w:tc>
        <w:tc>
          <w:tcPr>
            <w:tcW w:w="1075" w:type="dxa"/>
            <w:tcBorders>
              <w:top w:val="nil"/>
              <w:left w:val="nil"/>
              <w:bottom w:val="single" w:sz="4" w:space="0" w:color="auto"/>
              <w:right w:val="single" w:sz="4" w:space="0" w:color="auto"/>
            </w:tcBorders>
            <w:noWrap/>
            <w:vAlign w:val="center"/>
            <w:hideMark/>
          </w:tcPr>
          <w:p w14:paraId="226C5FD6" w14:textId="77777777" w:rsidR="00EF645B" w:rsidRPr="008E2A3E" w:rsidRDefault="00EF645B" w:rsidP="00EF645B">
            <w:pPr>
              <w:spacing w:after="0" w:line="240" w:lineRule="auto"/>
              <w:jc w:val="center"/>
              <w:rPr>
                <w:rFonts w:ascii="Times New Roman" w:eastAsia="Times New Roman" w:hAnsi="Times New Roman" w:cs="Times New Roman"/>
                <w:color w:val="000000"/>
                <w:kern w:val="0"/>
                <w:szCs w:val="24"/>
                <w:lang w:eastAsia="en-IN"/>
                <w14:ligatures w14:val="none"/>
              </w:rPr>
            </w:pPr>
            <w:r w:rsidRPr="008E2A3E">
              <w:rPr>
                <w:rFonts w:ascii="Times New Roman" w:eastAsia="Times New Roman" w:hAnsi="Times New Roman" w:cs="Times New Roman"/>
                <w:color w:val="000000"/>
                <w:kern w:val="0"/>
                <w:szCs w:val="24"/>
                <w:lang w:eastAsia="en-IN"/>
                <w14:ligatures w14:val="none"/>
              </w:rPr>
              <w:t>388</w:t>
            </w:r>
          </w:p>
        </w:tc>
        <w:tc>
          <w:tcPr>
            <w:tcW w:w="1075" w:type="dxa"/>
            <w:tcBorders>
              <w:top w:val="nil"/>
              <w:left w:val="nil"/>
              <w:bottom w:val="single" w:sz="4" w:space="0" w:color="auto"/>
              <w:right w:val="single" w:sz="4" w:space="0" w:color="auto"/>
            </w:tcBorders>
            <w:noWrap/>
            <w:vAlign w:val="center"/>
            <w:hideMark/>
          </w:tcPr>
          <w:p w14:paraId="32A565D1" w14:textId="77777777" w:rsidR="00EF645B" w:rsidRPr="008E2A3E" w:rsidRDefault="00EF645B" w:rsidP="00EF645B">
            <w:pPr>
              <w:spacing w:after="0" w:line="240" w:lineRule="auto"/>
              <w:jc w:val="center"/>
              <w:rPr>
                <w:rFonts w:ascii="Times New Roman" w:eastAsia="Times New Roman" w:hAnsi="Times New Roman" w:cs="Times New Roman"/>
                <w:color w:val="000000"/>
                <w:kern w:val="0"/>
                <w:szCs w:val="24"/>
                <w:lang w:eastAsia="en-IN"/>
                <w14:ligatures w14:val="none"/>
              </w:rPr>
            </w:pPr>
            <w:r w:rsidRPr="008E2A3E">
              <w:rPr>
                <w:rFonts w:ascii="Times New Roman" w:eastAsia="Times New Roman" w:hAnsi="Times New Roman" w:cs="Times New Roman"/>
                <w:color w:val="000000"/>
                <w:kern w:val="0"/>
                <w:szCs w:val="24"/>
                <w:lang w:eastAsia="en-IN"/>
                <w14:ligatures w14:val="none"/>
              </w:rPr>
              <w:t>407</w:t>
            </w:r>
          </w:p>
        </w:tc>
        <w:tc>
          <w:tcPr>
            <w:tcW w:w="1075" w:type="dxa"/>
            <w:tcBorders>
              <w:top w:val="nil"/>
              <w:left w:val="nil"/>
              <w:bottom w:val="single" w:sz="4" w:space="0" w:color="auto"/>
              <w:right w:val="single" w:sz="4" w:space="0" w:color="auto"/>
            </w:tcBorders>
            <w:noWrap/>
            <w:vAlign w:val="center"/>
            <w:hideMark/>
          </w:tcPr>
          <w:p w14:paraId="0E3FCAEF" w14:textId="77777777" w:rsidR="00EF645B" w:rsidRPr="008E2A3E" w:rsidRDefault="00EF645B" w:rsidP="00EF645B">
            <w:pPr>
              <w:spacing w:after="0" w:line="240" w:lineRule="auto"/>
              <w:jc w:val="center"/>
              <w:rPr>
                <w:rFonts w:ascii="Times New Roman" w:eastAsia="Times New Roman" w:hAnsi="Times New Roman" w:cs="Times New Roman"/>
                <w:color w:val="000000"/>
                <w:kern w:val="0"/>
                <w:szCs w:val="24"/>
                <w:lang w:eastAsia="en-IN"/>
                <w14:ligatures w14:val="none"/>
              </w:rPr>
            </w:pPr>
            <w:r w:rsidRPr="008E2A3E">
              <w:rPr>
                <w:rFonts w:ascii="Times New Roman" w:eastAsia="Times New Roman" w:hAnsi="Times New Roman" w:cs="Times New Roman"/>
                <w:color w:val="000000"/>
                <w:kern w:val="0"/>
                <w:szCs w:val="24"/>
                <w:lang w:eastAsia="en-IN"/>
                <w14:ligatures w14:val="none"/>
              </w:rPr>
              <w:t>488</w:t>
            </w:r>
          </w:p>
        </w:tc>
        <w:tc>
          <w:tcPr>
            <w:tcW w:w="1076" w:type="dxa"/>
            <w:tcBorders>
              <w:top w:val="nil"/>
              <w:left w:val="nil"/>
              <w:bottom w:val="single" w:sz="4" w:space="0" w:color="auto"/>
              <w:right w:val="single" w:sz="4" w:space="0" w:color="auto"/>
            </w:tcBorders>
            <w:noWrap/>
            <w:vAlign w:val="center"/>
            <w:hideMark/>
          </w:tcPr>
          <w:p w14:paraId="4058FBA8" w14:textId="77777777" w:rsidR="00EF645B" w:rsidRPr="008E2A3E" w:rsidRDefault="00EF645B" w:rsidP="00EF645B">
            <w:pPr>
              <w:spacing w:after="0" w:line="240" w:lineRule="auto"/>
              <w:jc w:val="center"/>
              <w:rPr>
                <w:rFonts w:ascii="Times New Roman" w:eastAsia="Times New Roman" w:hAnsi="Times New Roman" w:cs="Times New Roman"/>
                <w:color w:val="000000"/>
                <w:kern w:val="0"/>
                <w:szCs w:val="24"/>
                <w:lang w:eastAsia="en-IN"/>
                <w14:ligatures w14:val="none"/>
              </w:rPr>
            </w:pPr>
            <w:r w:rsidRPr="008E2A3E">
              <w:rPr>
                <w:rFonts w:ascii="Times New Roman" w:eastAsia="Times New Roman" w:hAnsi="Times New Roman" w:cs="Times New Roman"/>
                <w:color w:val="000000"/>
                <w:kern w:val="0"/>
                <w:szCs w:val="24"/>
                <w:lang w:eastAsia="en-IN"/>
                <w14:ligatures w14:val="none"/>
              </w:rPr>
              <w:t>569</w:t>
            </w:r>
          </w:p>
        </w:tc>
      </w:tr>
      <w:tr w:rsidR="00EF645B" w:rsidRPr="008E2A3E" w14:paraId="6A555BAB" w14:textId="77777777" w:rsidTr="008E2A3E">
        <w:trPr>
          <w:trHeight w:val="300"/>
          <w:jc w:val="center"/>
        </w:trPr>
        <w:tc>
          <w:tcPr>
            <w:tcW w:w="3173" w:type="dxa"/>
            <w:tcBorders>
              <w:top w:val="nil"/>
              <w:left w:val="single" w:sz="4" w:space="0" w:color="auto"/>
              <w:bottom w:val="single" w:sz="4" w:space="0" w:color="auto"/>
              <w:right w:val="single" w:sz="4" w:space="0" w:color="auto"/>
            </w:tcBorders>
            <w:noWrap/>
            <w:vAlign w:val="center"/>
            <w:hideMark/>
          </w:tcPr>
          <w:p w14:paraId="167F1B2C" w14:textId="77777777" w:rsidR="00EF645B" w:rsidRPr="008E2A3E" w:rsidRDefault="00EF645B" w:rsidP="00EF645B">
            <w:pPr>
              <w:spacing w:after="0" w:line="240" w:lineRule="auto"/>
              <w:rPr>
                <w:rFonts w:ascii="Times New Roman" w:eastAsia="Times New Roman" w:hAnsi="Times New Roman" w:cs="Times New Roman"/>
                <w:color w:val="000000"/>
                <w:kern w:val="0"/>
                <w:szCs w:val="24"/>
                <w:lang w:eastAsia="en-IN"/>
                <w14:ligatures w14:val="none"/>
              </w:rPr>
            </w:pPr>
            <w:r w:rsidRPr="008E2A3E">
              <w:rPr>
                <w:rFonts w:ascii="Times New Roman" w:eastAsia="Times New Roman" w:hAnsi="Times New Roman" w:cs="Times New Roman"/>
                <w:color w:val="000000"/>
                <w:kern w:val="0"/>
                <w:szCs w:val="24"/>
                <w:lang w:eastAsia="en-IN"/>
                <w14:ligatures w14:val="none"/>
              </w:rPr>
              <w:t>Orissa</w:t>
            </w:r>
          </w:p>
        </w:tc>
        <w:tc>
          <w:tcPr>
            <w:tcW w:w="1075" w:type="dxa"/>
            <w:tcBorders>
              <w:top w:val="nil"/>
              <w:left w:val="nil"/>
              <w:bottom w:val="single" w:sz="4" w:space="0" w:color="auto"/>
              <w:right w:val="single" w:sz="4" w:space="0" w:color="auto"/>
            </w:tcBorders>
            <w:noWrap/>
            <w:vAlign w:val="center"/>
            <w:hideMark/>
          </w:tcPr>
          <w:p w14:paraId="25422CE5" w14:textId="77777777" w:rsidR="00EF645B" w:rsidRPr="008E2A3E" w:rsidRDefault="00EF645B" w:rsidP="00EF645B">
            <w:pPr>
              <w:spacing w:after="0" w:line="240" w:lineRule="auto"/>
              <w:jc w:val="center"/>
              <w:rPr>
                <w:rFonts w:ascii="Times New Roman" w:eastAsia="Times New Roman" w:hAnsi="Times New Roman" w:cs="Times New Roman"/>
                <w:color w:val="000000"/>
                <w:kern w:val="0"/>
                <w:szCs w:val="24"/>
                <w:lang w:eastAsia="en-IN"/>
                <w14:ligatures w14:val="none"/>
              </w:rPr>
            </w:pPr>
            <w:r w:rsidRPr="008E2A3E">
              <w:rPr>
                <w:rFonts w:ascii="Times New Roman" w:eastAsia="Times New Roman" w:hAnsi="Times New Roman" w:cs="Times New Roman"/>
                <w:color w:val="000000"/>
                <w:kern w:val="0"/>
                <w:szCs w:val="24"/>
                <w:lang w:eastAsia="en-IN"/>
                <w14:ligatures w14:val="none"/>
              </w:rPr>
              <w:t>393</w:t>
            </w:r>
          </w:p>
        </w:tc>
        <w:tc>
          <w:tcPr>
            <w:tcW w:w="1075" w:type="dxa"/>
            <w:tcBorders>
              <w:top w:val="nil"/>
              <w:left w:val="nil"/>
              <w:bottom w:val="single" w:sz="4" w:space="0" w:color="auto"/>
              <w:right w:val="single" w:sz="4" w:space="0" w:color="auto"/>
            </w:tcBorders>
            <w:noWrap/>
            <w:vAlign w:val="center"/>
            <w:hideMark/>
          </w:tcPr>
          <w:p w14:paraId="76C112B9" w14:textId="77777777" w:rsidR="00EF645B" w:rsidRPr="008E2A3E" w:rsidRDefault="00EF645B" w:rsidP="00EF645B">
            <w:pPr>
              <w:spacing w:after="0" w:line="240" w:lineRule="auto"/>
              <w:jc w:val="center"/>
              <w:rPr>
                <w:rFonts w:ascii="Times New Roman" w:eastAsia="Times New Roman" w:hAnsi="Times New Roman" w:cs="Times New Roman"/>
                <w:color w:val="000000"/>
                <w:kern w:val="0"/>
                <w:szCs w:val="24"/>
                <w:lang w:eastAsia="en-IN"/>
                <w14:ligatures w14:val="none"/>
              </w:rPr>
            </w:pPr>
            <w:r w:rsidRPr="008E2A3E">
              <w:rPr>
                <w:rFonts w:ascii="Times New Roman" w:eastAsia="Times New Roman" w:hAnsi="Times New Roman" w:cs="Times New Roman"/>
                <w:color w:val="000000"/>
                <w:kern w:val="0"/>
                <w:szCs w:val="24"/>
                <w:lang w:eastAsia="en-IN"/>
                <w14:ligatures w14:val="none"/>
              </w:rPr>
              <w:t>414</w:t>
            </w:r>
          </w:p>
        </w:tc>
        <w:tc>
          <w:tcPr>
            <w:tcW w:w="1075" w:type="dxa"/>
            <w:tcBorders>
              <w:top w:val="nil"/>
              <w:left w:val="nil"/>
              <w:bottom w:val="single" w:sz="4" w:space="0" w:color="auto"/>
              <w:right w:val="single" w:sz="4" w:space="0" w:color="auto"/>
            </w:tcBorders>
            <w:noWrap/>
            <w:vAlign w:val="center"/>
            <w:hideMark/>
          </w:tcPr>
          <w:p w14:paraId="67F832A0" w14:textId="77777777" w:rsidR="00EF645B" w:rsidRPr="008E2A3E" w:rsidRDefault="00EF645B" w:rsidP="00EF645B">
            <w:pPr>
              <w:spacing w:after="0" w:line="240" w:lineRule="auto"/>
              <w:jc w:val="center"/>
              <w:rPr>
                <w:rFonts w:ascii="Times New Roman" w:eastAsia="Times New Roman" w:hAnsi="Times New Roman" w:cs="Times New Roman"/>
                <w:color w:val="000000"/>
                <w:kern w:val="0"/>
                <w:szCs w:val="24"/>
                <w:lang w:eastAsia="en-IN"/>
                <w14:ligatures w14:val="none"/>
              </w:rPr>
            </w:pPr>
            <w:r w:rsidRPr="008E2A3E">
              <w:rPr>
                <w:rFonts w:ascii="Times New Roman" w:eastAsia="Times New Roman" w:hAnsi="Times New Roman" w:cs="Times New Roman"/>
                <w:color w:val="000000"/>
                <w:kern w:val="0"/>
                <w:szCs w:val="24"/>
                <w:lang w:eastAsia="en-IN"/>
                <w14:ligatures w14:val="none"/>
              </w:rPr>
              <w:t>473</w:t>
            </w:r>
          </w:p>
        </w:tc>
        <w:tc>
          <w:tcPr>
            <w:tcW w:w="1075" w:type="dxa"/>
            <w:tcBorders>
              <w:top w:val="nil"/>
              <w:left w:val="nil"/>
              <w:bottom w:val="single" w:sz="4" w:space="0" w:color="auto"/>
              <w:right w:val="single" w:sz="4" w:space="0" w:color="auto"/>
            </w:tcBorders>
            <w:noWrap/>
            <w:vAlign w:val="center"/>
            <w:hideMark/>
          </w:tcPr>
          <w:p w14:paraId="37BB01DC" w14:textId="77777777" w:rsidR="00EF645B" w:rsidRPr="008E2A3E" w:rsidRDefault="00EF645B" w:rsidP="00EF645B">
            <w:pPr>
              <w:spacing w:after="0" w:line="240" w:lineRule="auto"/>
              <w:jc w:val="center"/>
              <w:rPr>
                <w:rFonts w:ascii="Times New Roman" w:eastAsia="Times New Roman" w:hAnsi="Times New Roman" w:cs="Times New Roman"/>
                <w:color w:val="000000"/>
                <w:kern w:val="0"/>
                <w:szCs w:val="24"/>
                <w:lang w:eastAsia="en-IN"/>
                <w14:ligatures w14:val="none"/>
              </w:rPr>
            </w:pPr>
            <w:r w:rsidRPr="008E2A3E">
              <w:rPr>
                <w:rFonts w:ascii="Times New Roman" w:eastAsia="Times New Roman" w:hAnsi="Times New Roman" w:cs="Times New Roman"/>
                <w:color w:val="000000"/>
                <w:kern w:val="0"/>
                <w:szCs w:val="24"/>
                <w:lang w:eastAsia="en-IN"/>
                <w14:ligatures w14:val="none"/>
              </w:rPr>
              <w:t>574</w:t>
            </w:r>
          </w:p>
        </w:tc>
        <w:tc>
          <w:tcPr>
            <w:tcW w:w="1076" w:type="dxa"/>
            <w:tcBorders>
              <w:top w:val="nil"/>
              <w:left w:val="nil"/>
              <w:bottom w:val="single" w:sz="4" w:space="0" w:color="auto"/>
              <w:right w:val="single" w:sz="4" w:space="0" w:color="auto"/>
            </w:tcBorders>
            <w:noWrap/>
            <w:vAlign w:val="center"/>
            <w:hideMark/>
          </w:tcPr>
          <w:p w14:paraId="1C4337AE" w14:textId="77777777" w:rsidR="00EF645B" w:rsidRPr="008E2A3E" w:rsidRDefault="00EF645B" w:rsidP="00EF645B">
            <w:pPr>
              <w:spacing w:after="0" w:line="240" w:lineRule="auto"/>
              <w:jc w:val="center"/>
              <w:rPr>
                <w:rFonts w:ascii="Times New Roman" w:eastAsia="Times New Roman" w:hAnsi="Times New Roman" w:cs="Times New Roman"/>
                <w:color w:val="000000"/>
                <w:kern w:val="0"/>
                <w:szCs w:val="24"/>
                <w:lang w:eastAsia="en-IN"/>
                <w14:ligatures w14:val="none"/>
              </w:rPr>
            </w:pPr>
            <w:r w:rsidRPr="008E2A3E">
              <w:rPr>
                <w:rFonts w:ascii="Times New Roman" w:eastAsia="Times New Roman" w:hAnsi="Times New Roman" w:cs="Times New Roman"/>
                <w:color w:val="000000"/>
                <w:kern w:val="0"/>
                <w:szCs w:val="24"/>
                <w:lang w:eastAsia="en-IN"/>
                <w14:ligatures w14:val="none"/>
              </w:rPr>
              <w:t>658</w:t>
            </w:r>
          </w:p>
        </w:tc>
        <w:tc>
          <w:tcPr>
            <w:tcW w:w="1075" w:type="dxa"/>
            <w:tcBorders>
              <w:top w:val="nil"/>
              <w:left w:val="nil"/>
              <w:bottom w:val="single" w:sz="4" w:space="0" w:color="auto"/>
              <w:right w:val="single" w:sz="4" w:space="0" w:color="auto"/>
            </w:tcBorders>
            <w:noWrap/>
            <w:vAlign w:val="center"/>
            <w:hideMark/>
          </w:tcPr>
          <w:p w14:paraId="59BBD11F" w14:textId="77777777" w:rsidR="00EF645B" w:rsidRPr="008E2A3E" w:rsidRDefault="00EF645B" w:rsidP="00EF645B">
            <w:pPr>
              <w:spacing w:after="0" w:line="240" w:lineRule="auto"/>
              <w:jc w:val="center"/>
              <w:rPr>
                <w:rFonts w:ascii="Times New Roman" w:eastAsia="Times New Roman" w:hAnsi="Times New Roman" w:cs="Times New Roman"/>
                <w:color w:val="000000"/>
                <w:kern w:val="0"/>
                <w:szCs w:val="24"/>
                <w:lang w:eastAsia="en-IN"/>
                <w14:ligatures w14:val="none"/>
              </w:rPr>
            </w:pPr>
            <w:r w:rsidRPr="008E2A3E">
              <w:rPr>
                <w:rFonts w:ascii="Times New Roman" w:eastAsia="Times New Roman" w:hAnsi="Times New Roman" w:cs="Times New Roman"/>
                <w:color w:val="000000"/>
                <w:kern w:val="0"/>
                <w:szCs w:val="24"/>
                <w:lang w:eastAsia="en-IN"/>
                <w14:ligatures w14:val="none"/>
              </w:rPr>
              <w:t>214</w:t>
            </w:r>
          </w:p>
        </w:tc>
        <w:tc>
          <w:tcPr>
            <w:tcW w:w="1075" w:type="dxa"/>
            <w:tcBorders>
              <w:top w:val="nil"/>
              <w:left w:val="nil"/>
              <w:bottom w:val="single" w:sz="4" w:space="0" w:color="auto"/>
              <w:right w:val="single" w:sz="4" w:space="0" w:color="auto"/>
            </w:tcBorders>
            <w:noWrap/>
            <w:vAlign w:val="center"/>
            <w:hideMark/>
          </w:tcPr>
          <w:p w14:paraId="155273F9" w14:textId="77777777" w:rsidR="00EF645B" w:rsidRPr="008E2A3E" w:rsidRDefault="00EF645B" w:rsidP="00EF645B">
            <w:pPr>
              <w:spacing w:after="0" w:line="240" w:lineRule="auto"/>
              <w:jc w:val="center"/>
              <w:rPr>
                <w:rFonts w:ascii="Times New Roman" w:eastAsia="Times New Roman" w:hAnsi="Times New Roman" w:cs="Times New Roman"/>
                <w:color w:val="000000"/>
                <w:kern w:val="0"/>
                <w:szCs w:val="24"/>
                <w:lang w:eastAsia="en-IN"/>
                <w14:ligatures w14:val="none"/>
              </w:rPr>
            </w:pPr>
            <w:r w:rsidRPr="008E2A3E">
              <w:rPr>
                <w:rFonts w:ascii="Times New Roman" w:eastAsia="Times New Roman" w:hAnsi="Times New Roman" w:cs="Times New Roman"/>
                <w:color w:val="000000"/>
                <w:kern w:val="0"/>
                <w:szCs w:val="24"/>
                <w:lang w:eastAsia="en-IN"/>
                <w14:ligatures w14:val="none"/>
              </w:rPr>
              <w:t>214</w:t>
            </w:r>
          </w:p>
        </w:tc>
        <w:tc>
          <w:tcPr>
            <w:tcW w:w="1075" w:type="dxa"/>
            <w:tcBorders>
              <w:top w:val="nil"/>
              <w:left w:val="nil"/>
              <w:bottom w:val="single" w:sz="4" w:space="0" w:color="auto"/>
              <w:right w:val="single" w:sz="4" w:space="0" w:color="auto"/>
            </w:tcBorders>
            <w:noWrap/>
            <w:vAlign w:val="center"/>
            <w:hideMark/>
          </w:tcPr>
          <w:p w14:paraId="1737C58A" w14:textId="77777777" w:rsidR="00EF645B" w:rsidRPr="008E2A3E" w:rsidRDefault="00EF645B" w:rsidP="00EF645B">
            <w:pPr>
              <w:spacing w:after="0" w:line="240" w:lineRule="auto"/>
              <w:jc w:val="center"/>
              <w:rPr>
                <w:rFonts w:ascii="Times New Roman" w:eastAsia="Times New Roman" w:hAnsi="Times New Roman" w:cs="Times New Roman"/>
                <w:color w:val="000000"/>
                <w:kern w:val="0"/>
                <w:szCs w:val="24"/>
                <w:lang w:eastAsia="en-IN"/>
                <w14:ligatures w14:val="none"/>
              </w:rPr>
            </w:pPr>
            <w:r w:rsidRPr="008E2A3E">
              <w:rPr>
                <w:rFonts w:ascii="Times New Roman" w:eastAsia="Times New Roman" w:hAnsi="Times New Roman" w:cs="Times New Roman"/>
                <w:color w:val="000000"/>
                <w:kern w:val="0"/>
                <w:szCs w:val="24"/>
                <w:lang w:eastAsia="en-IN"/>
                <w14:ligatures w14:val="none"/>
              </w:rPr>
              <w:t>251</w:t>
            </w:r>
          </w:p>
        </w:tc>
        <w:tc>
          <w:tcPr>
            <w:tcW w:w="1075" w:type="dxa"/>
            <w:tcBorders>
              <w:top w:val="nil"/>
              <w:left w:val="nil"/>
              <w:bottom w:val="single" w:sz="4" w:space="0" w:color="auto"/>
              <w:right w:val="single" w:sz="4" w:space="0" w:color="auto"/>
            </w:tcBorders>
            <w:noWrap/>
            <w:vAlign w:val="center"/>
            <w:hideMark/>
          </w:tcPr>
          <w:p w14:paraId="51A20DCF" w14:textId="77777777" w:rsidR="00EF645B" w:rsidRPr="008E2A3E" w:rsidRDefault="00EF645B" w:rsidP="00EF645B">
            <w:pPr>
              <w:spacing w:after="0" w:line="240" w:lineRule="auto"/>
              <w:jc w:val="center"/>
              <w:rPr>
                <w:rFonts w:ascii="Times New Roman" w:eastAsia="Times New Roman" w:hAnsi="Times New Roman" w:cs="Times New Roman"/>
                <w:color w:val="000000"/>
                <w:kern w:val="0"/>
                <w:szCs w:val="24"/>
                <w:lang w:eastAsia="en-IN"/>
                <w14:ligatures w14:val="none"/>
              </w:rPr>
            </w:pPr>
            <w:r w:rsidRPr="008E2A3E">
              <w:rPr>
                <w:rFonts w:ascii="Times New Roman" w:eastAsia="Times New Roman" w:hAnsi="Times New Roman" w:cs="Times New Roman"/>
                <w:color w:val="000000"/>
                <w:kern w:val="0"/>
                <w:szCs w:val="24"/>
                <w:lang w:eastAsia="en-IN"/>
                <w14:ligatures w14:val="none"/>
              </w:rPr>
              <w:t>335</w:t>
            </w:r>
          </w:p>
        </w:tc>
        <w:tc>
          <w:tcPr>
            <w:tcW w:w="1076" w:type="dxa"/>
            <w:tcBorders>
              <w:top w:val="nil"/>
              <w:left w:val="nil"/>
              <w:bottom w:val="single" w:sz="4" w:space="0" w:color="auto"/>
              <w:right w:val="single" w:sz="4" w:space="0" w:color="auto"/>
            </w:tcBorders>
            <w:noWrap/>
            <w:vAlign w:val="center"/>
            <w:hideMark/>
          </w:tcPr>
          <w:p w14:paraId="50F88D66" w14:textId="77777777" w:rsidR="00EF645B" w:rsidRPr="008E2A3E" w:rsidRDefault="00EF645B" w:rsidP="00EF645B">
            <w:pPr>
              <w:spacing w:after="0" w:line="240" w:lineRule="auto"/>
              <w:jc w:val="center"/>
              <w:rPr>
                <w:rFonts w:ascii="Times New Roman" w:eastAsia="Times New Roman" w:hAnsi="Times New Roman" w:cs="Times New Roman"/>
                <w:color w:val="000000"/>
                <w:kern w:val="0"/>
                <w:szCs w:val="24"/>
                <w:lang w:eastAsia="en-IN"/>
                <w14:ligatures w14:val="none"/>
              </w:rPr>
            </w:pPr>
            <w:r w:rsidRPr="008E2A3E">
              <w:rPr>
                <w:rFonts w:ascii="Times New Roman" w:eastAsia="Times New Roman" w:hAnsi="Times New Roman" w:cs="Times New Roman"/>
                <w:color w:val="000000"/>
                <w:kern w:val="0"/>
                <w:szCs w:val="24"/>
                <w:lang w:eastAsia="en-IN"/>
                <w14:ligatures w14:val="none"/>
              </w:rPr>
              <w:t>367</w:t>
            </w:r>
          </w:p>
        </w:tc>
      </w:tr>
      <w:tr w:rsidR="00EF645B" w:rsidRPr="008E2A3E" w14:paraId="3519E43F" w14:textId="77777777" w:rsidTr="008E2A3E">
        <w:trPr>
          <w:trHeight w:val="300"/>
          <w:jc w:val="center"/>
        </w:trPr>
        <w:tc>
          <w:tcPr>
            <w:tcW w:w="3173" w:type="dxa"/>
            <w:tcBorders>
              <w:top w:val="nil"/>
              <w:left w:val="single" w:sz="4" w:space="0" w:color="auto"/>
              <w:bottom w:val="single" w:sz="4" w:space="0" w:color="auto"/>
              <w:right w:val="single" w:sz="4" w:space="0" w:color="auto"/>
            </w:tcBorders>
            <w:noWrap/>
            <w:vAlign w:val="center"/>
            <w:hideMark/>
          </w:tcPr>
          <w:p w14:paraId="67AA9240" w14:textId="77777777" w:rsidR="00EF645B" w:rsidRPr="008E2A3E" w:rsidRDefault="00EF645B" w:rsidP="00EF645B">
            <w:pPr>
              <w:spacing w:after="0" w:line="240" w:lineRule="auto"/>
              <w:rPr>
                <w:rFonts w:ascii="Times New Roman" w:eastAsia="Times New Roman" w:hAnsi="Times New Roman" w:cs="Times New Roman"/>
                <w:color w:val="000000"/>
                <w:kern w:val="0"/>
                <w:szCs w:val="24"/>
                <w:lang w:eastAsia="en-IN"/>
                <w14:ligatures w14:val="none"/>
              </w:rPr>
            </w:pPr>
            <w:r w:rsidRPr="008E2A3E">
              <w:rPr>
                <w:rFonts w:ascii="Times New Roman" w:eastAsia="Times New Roman" w:hAnsi="Times New Roman" w:cs="Times New Roman"/>
                <w:color w:val="000000"/>
                <w:kern w:val="0"/>
                <w:szCs w:val="24"/>
                <w:lang w:eastAsia="en-IN"/>
                <w14:ligatures w14:val="none"/>
              </w:rPr>
              <w:t>Punjab</w:t>
            </w:r>
          </w:p>
        </w:tc>
        <w:tc>
          <w:tcPr>
            <w:tcW w:w="1075" w:type="dxa"/>
            <w:tcBorders>
              <w:top w:val="nil"/>
              <w:left w:val="nil"/>
              <w:bottom w:val="single" w:sz="4" w:space="0" w:color="auto"/>
              <w:right w:val="single" w:sz="4" w:space="0" w:color="auto"/>
            </w:tcBorders>
            <w:noWrap/>
            <w:vAlign w:val="center"/>
            <w:hideMark/>
          </w:tcPr>
          <w:p w14:paraId="15B98701" w14:textId="77777777" w:rsidR="00EF645B" w:rsidRPr="008E2A3E" w:rsidRDefault="00EF645B" w:rsidP="00EF645B">
            <w:pPr>
              <w:spacing w:after="0" w:line="240" w:lineRule="auto"/>
              <w:jc w:val="center"/>
              <w:rPr>
                <w:rFonts w:ascii="Times New Roman" w:eastAsia="Times New Roman" w:hAnsi="Times New Roman" w:cs="Times New Roman"/>
                <w:color w:val="000000"/>
                <w:kern w:val="0"/>
                <w:szCs w:val="24"/>
                <w:lang w:eastAsia="en-IN"/>
                <w14:ligatures w14:val="none"/>
              </w:rPr>
            </w:pPr>
            <w:r w:rsidRPr="008E2A3E">
              <w:rPr>
                <w:rFonts w:ascii="Times New Roman" w:eastAsia="Times New Roman" w:hAnsi="Times New Roman" w:cs="Times New Roman"/>
                <w:color w:val="000000"/>
                <w:kern w:val="0"/>
                <w:szCs w:val="24"/>
                <w:lang w:eastAsia="en-IN"/>
                <w14:ligatures w14:val="none"/>
              </w:rPr>
              <w:t>422</w:t>
            </w:r>
          </w:p>
        </w:tc>
        <w:tc>
          <w:tcPr>
            <w:tcW w:w="1075" w:type="dxa"/>
            <w:tcBorders>
              <w:top w:val="nil"/>
              <w:left w:val="nil"/>
              <w:bottom w:val="single" w:sz="4" w:space="0" w:color="auto"/>
              <w:right w:val="single" w:sz="4" w:space="0" w:color="auto"/>
            </w:tcBorders>
            <w:noWrap/>
            <w:vAlign w:val="center"/>
            <w:hideMark/>
          </w:tcPr>
          <w:p w14:paraId="097CFE78" w14:textId="77777777" w:rsidR="00EF645B" w:rsidRPr="008E2A3E" w:rsidRDefault="00EF645B" w:rsidP="00EF645B">
            <w:pPr>
              <w:spacing w:after="0" w:line="240" w:lineRule="auto"/>
              <w:jc w:val="center"/>
              <w:rPr>
                <w:rFonts w:ascii="Times New Roman" w:eastAsia="Times New Roman" w:hAnsi="Times New Roman" w:cs="Times New Roman"/>
                <w:color w:val="000000"/>
                <w:kern w:val="0"/>
                <w:szCs w:val="24"/>
                <w:lang w:eastAsia="en-IN"/>
                <w14:ligatures w14:val="none"/>
              </w:rPr>
            </w:pPr>
            <w:r w:rsidRPr="008E2A3E">
              <w:rPr>
                <w:rFonts w:ascii="Times New Roman" w:eastAsia="Times New Roman" w:hAnsi="Times New Roman" w:cs="Times New Roman"/>
                <w:color w:val="000000"/>
                <w:kern w:val="0"/>
                <w:szCs w:val="24"/>
                <w:lang w:eastAsia="en-IN"/>
                <w14:ligatures w14:val="none"/>
              </w:rPr>
              <w:t>454</w:t>
            </w:r>
          </w:p>
        </w:tc>
        <w:tc>
          <w:tcPr>
            <w:tcW w:w="1075" w:type="dxa"/>
            <w:tcBorders>
              <w:top w:val="nil"/>
              <w:left w:val="nil"/>
              <w:bottom w:val="single" w:sz="4" w:space="0" w:color="auto"/>
              <w:right w:val="single" w:sz="4" w:space="0" w:color="auto"/>
            </w:tcBorders>
            <w:noWrap/>
            <w:vAlign w:val="center"/>
            <w:hideMark/>
          </w:tcPr>
          <w:p w14:paraId="1B3AF18D" w14:textId="77777777" w:rsidR="00EF645B" w:rsidRPr="008E2A3E" w:rsidRDefault="00EF645B" w:rsidP="00EF645B">
            <w:pPr>
              <w:spacing w:after="0" w:line="240" w:lineRule="auto"/>
              <w:jc w:val="center"/>
              <w:rPr>
                <w:rFonts w:ascii="Times New Roman" w:eastAsia="Times New Roman" w:hAnsi="Times New Roman" w:cs="Times New Roman"/>
                <w:color w:val="000000"/>
                <w:kern w:val="0"/>
                <w:szCs w:val="24"/>
                <w:lang w:eastAsia="en-IN"/>
                <w14:ligatures w14:val="none"/>
              </w:rPr>
            </w:pPr>
            <w:r w:rsidRPr="008E2A3E">
              <w:rPr>
                <w:rFonts w:ascii="Times New Roman" w:eastAsia="Times New Roman" w:hAnsi="Times New Roman" w:cs="Times New Roman"/>
                <w:color w:val="000000"/>
                <w:kern w:val="0"/>
                <w:szCs w:val="24"/>
                <w:lang w:eastAsia="en-IN"/>
                <w14:ligatures w14:val="none"/>
              </w:rPr>
              <w:t>492</w:t>
            </w:r>
          </w:p>
        </w:tc>
        <w:tc>
          <w:tcPr>
            <w:tcW w:w="1075" w:type="dxa"/>
            <w:tcBorders>
              <w:top w:val="nil"/>
              <w:left w:val="nil"/>
              <w:bottom w:val="single" w:sz="4" w:space="0" w:color="auto"/>
              <w:right w:val="single" w:sz="4" w:space="0" w:color="auto"/>
            </w:tcBorders>
            <w:noWrap/>
            <w:vAlign w:val="center"/>
            <w:hideMark/>
          </w:tcPr>
          <w:p w14:paraId="3F516B4A" w14:textId="77777777" w:rsidR="00EF645B" w:rsidRPr="008E2A3E" w:rsidRDefault="00EF645B" w:rsidP="00EF645B">
            <w:pPr>
              <w:spacing w:after="0" w:line="240" w:lineRule="auto"/>
              <w:jc w:val="center"/>
              <w:rPr>
                <w:rFonts w:ascii="Times New Roman" w:eastAsia="Times New Roman" w:hAnsi="Times New Roman" w:cs="Times New Roman"/>
                <w:color w:val="000000"/>
                <w:kern w:val="0"/>
                <w:szCs w:val="24"/>
                <w:lang w:eastAsia="en-IN"/>
                <w14:ligatures w14:val="none"/>
              </w:rPr>
            </w:pPr>
            <w:r w:rsidRPr="008E2A3E">
              <w:rPr>
                <w:rFonts w:ascii="Times New Roman" w:eastAsia="Times New Roman" w:hAnsi="Times New Roman" w:cs="Times New Roman"/>
                <w:color w:val="000000"/>
                <w:kern w:val="0"/>
                <w:szCs w:val="24"/>
                <w:lang w:eastAsia="en-IN"/>
                <w14:ligatures w14:val="none"/>
              </w:rPr>
              <w:t>578</w:t>
            </w:r>
          </w:p>
        </w:tc>
        <w:tc>
          <w:tcPr>
            <w:tcW w:w="1076" w:type="dxa"/>
            <w:tcBorders>
              <w:top w:val="nil"/>
              <w:left w:val="nil"/>
              <w:bottom w:val="single" w:sz="4" w:space="0" w:color="auto"/>
              <w:right w:val="single" w:sz="4" w:space="0" w:color="auto"/>
            </w:tcBorders>
            <w:noWrap/>
            <w:vAlign w:val="center"/>
            <w:hideMark/>
          </w:tcPr>
          <w:p w14:paraId="318DD126" w14:textId="77777777" w:rsidR="00EF645B" w:rsidRPr="008E2A3E" w:rsidRDefault="00EF645B" w:rsidP="00EF645B">
            <w:pPr>
              <w:spacing w:after="0" w:line="240" w:lineRule="auto"/>
              <w:jc w:val="center"/>
              <w:rPr>
                <w:rFonts w:ascii="Times New Roman" w:eastAsia="Times New Roman" w:hAnsi="Times New Roman" w:cs="Times New Roman"/>
                <w:color w:val="000000"/>
                <w:kern w:val="0"/>
                <w:szCs w:val="24"/>
                <w:lang w:eastAsia="en-IN"/>
                <w14:ligatures w14:val="none"/>
              </w:rPr>
            </w:pPr>
            <w:r w:rsidRPr="008E2A3E">
              <w:rPr>
                <w:rFonts w:ascii="Times New Roman" w:eastAsia="Times New Roman" w:hAnsi="Times New Roman" w:cs="Times New Roman"/>
                <w:color w:val="000000"/>
                <w:kern w:val="0"/>
                <w:szCs w:val="24"/>
                <w:lang w:eastAsia="en-IN"/>
                <w14:ligatures w14:val="none"/>
              </w:rPr>
              <w:t>714</w:t>
            </w:r>
          </w:p>
        </w:tc>
        <w:tc>
          <w:tcPr>
            <w:tcW w:w="1075" w:type="dxa"/>
            <w:tcBorders>
              <w:top w:val="nil"/>
              <w:left w:val="nil"/>
              <w:bottom w:val="single" w:sz="4" w:space="0" w:color="auto"/>
              <w:right w:val="single" w:sz="4" w:space="0" w:color="auto"/>
            </w:tcBorders>
            <w:noWrap/>
            <w:vAlign w:val="center"/>
            <w:hideMark/>
          </w:tcPr>
          <w:p w14:paraId="289D5B6C" w14:textId="77777777" w:rsidR="00EF645B" w:rsidRPr="008E2A3E" w:rsidRDefault="00EF645B" w:rsidP="00EF645B">
            <w:pPr>
              <w:spacing w:after="0" w:line="240" w:lineRule="auto"/>
              <w:jc w:val="center"/>
              <w:rPr>
                <w:rFonts w:ascii="Times New Roman" w:eastAsia="Times New Roman" w:hAnsi="Times New Roman" w:cs="Times New Roman"/>
                <w:color w:val="000000"/>
                <w:kern w:val="0"/>
                <w:szCs w:val="24"/>
                <w:lang w:eastAsia="en-IN"/>
                <w14:ligatures w14:val="none"/>
              </w:rPr>
            </w:pPr>
            <w:r w:rsidRPr="008E2A3E">
              <w:rPr>
                <w:rFonts w:ascii="Times New Roman" w:eastAsia="Times New Roman" w:hAnsi="Times New Roman" w:cs="Times New Roman"/>
                <w:color w:val="000000"/>
                <w:kern w:val="0"/>
                <w:szCs w:val="24"/>
                <w:lang w:eastAsia="en-IN"/>
                <w14:ligatures w14:val="none"/>
              </w:rPr>
              <w:t>245</w:t>
            </w:r>
          </w:p>
        </w:tc>
        <w:tc>
          <w:tcPr>
            <w:tcW w:w="1075" w:type="dxa"/>
            <w:tcBorders>
              <w:top w:val="nil"/>
              <w:left w:val="nil"/>
              <w:bottom w:val="single" w:sz="4" w:space="0" w:color="auto"/>
              <w:right w:val="single" w:sz="4" w:space="0" w:color="auto"/>
            </w:tcBorders>
            <w:noWrap/>
            <w:vAlign w:val="center"/>
            <w:hideMark/>
          </w:tcPr>
          <w:p w14:paraId="37C9160D" w14:textId="77777777" w:rsidR="00EF645B" w:rsidRPr="008E2A3E" w:rsidRDefault="00EF645B" w:rsidP="00EF645B">
            <w:pPr>
              <w:spacing w:after="0" w:line="240" w:lineRule="auto"/>
              <w:jc w:val="center"/>
              <w:rPr>
                <w:rFonts w:ascii="Times New Roman" w:eastAsia="Times New Roman" w:hAnsi="Times New Roman" w:cs="Times New Roman"/>
                <w:color w:val="000000"/>
                <w:kern w:val="0"/>
                <w:szCs w:val="24"/>
                <w:lang w:eastAsia="en-IN"/>
                <w14:ligatures w14:val="none"/>
              </w:rPr>
            </w:pPr>
            <w:r w:rsidRPr="008E2A3E">
              <w:rPr>
                <w:rFonts w:ascii="Times New Roman" w:eastAsia="Times New Roman" w:hAnsi="Times New Roman" w:cs="Times New Roman"/>
                <w:color w:val="000000"/>
                <w:kern w:val="0"/>
                <w:szCs w:val="24"/>
                <w:lang w:eastAsia="en-IN"/>
                <w14:ligatures w14:val="none"/>
              </w:rPr>
              <w:t>256</w:t>
            </w:r>
          </w:p>
        </w:tc>
        <w:tc>
          <w:tcPr>
            <w:tcW w:w="1075" w:type="dxa"/>
            <w:tcBorders>
              <w:top w:val="nil"/>
              <w:left w:val="nil"/>
              <w:bottom w:val="single" w:sz="4" w:space="0" w:color="auto"/>
              <w:right w:val="single" w:sz="4" w:space="0" w:color="auto"/>
            </w:tcBorders>
            <w:noWrap/>
            <w:vAlign w:val="center"/>
            <w:hideMark/>
          </w:tcPr>
          <w:p w14:paraId="385FC611" w14:textId="77777777" w:rsidR="00EF645B" w:rsidRPr="008E2A3E" w:rsidRDefault="00EF645B" w:rsidP="00EF645B">
            <w:pPr>
              <w:spacing w:after="0" w:line="240" w:lineRule="auto"/>
              <w:jc w:val="center"/>
              <w:rPr>
                <w:rFonts w:ascii="Times New Roman" w:eastAsia="Times New Roman" w:hAnsi="Times New Roman" w:cs="Times New Roman"/>
                <w:color w:val="000000"/>
                <w:kern w:val="0"/>
                <w:szCs w:val="24"/>
                <w:lang w:eastAsia="en-IN"/>
                <w14:ligatures w14:val="none"/>
              </w:rPr>
            </w:pPr>
            <w:r w:rsidRPr="008E2A3E">
              <w:rPr>
                <w:rFonts w:ascii="Times New Roman" w:eastAsia="Times New Roman" w:hAnsi="Times New Roman" w:cs="Times New Roman"/>
                <w:color w:val="000000"/>
                <w:kern w:val="0"/>
                <w:szCs w:val="24"/>
                <w:lang w:eastAsia="en-IN"/>
                <w14:ligatures w14:val="none"/>
              </w:rPr>
              <w:t>277</w:t>
            </w:r>
          </w:p>
        </w:tc>
        <w:tc>
          <w:tcPr>
            <w:tcW w:w="1075" w:type="dxa"/>
            <w:tcBorders>
              <w:top w:val="nil"/>
              <w:left w:val="nil"/>
              <w:bottom w:val="single" w:sz="4" w:space="0" w:color="auto"/>
              <w:right w:val="single" w:sz="4" w:space="0" w:color="auto"/>
            </w:tcBorders>
            <w:noWrap/>
            <w:vAlign w:val="center"/>
            <w:hideMark/>
          </w:tcPr>
          <w:p w14:paraId="4D3E4FBE" w14:textId="77777777" w:rsidR="00EF645B" w:rsidRPr="008E2A3E" w:rsidRDefault="00EF645B" w:rsidP="00EF645B">
            <w:pPr>
              <w:spacing w:after="0" w:line="240" w:lineRule="auto"/>
              <w:jc w:val="center"/>
              <w:rPr>
                <w:rFonts w:ascii="Times New Roman" w:eastAsia="Times New Roman" w:hAnsi="Times New Roman" w:cs="Times New Roman"/>
                <w:color w:val="000000"/>
                <w:kern w:val="0"/>
                <w:szCs w:val="24"/>
                <w:lang w:eastAsia="en-IN"/>
                <w14:ligatures w14:val="none"/>
              </w:rPr>
            </w:pPr>
            <w:r w:rsidRPr="008E2A3E">
              <w:rPr>
                <w:rFonts w:ascii="Times New Roman" w:eastAsia="Times New Roman" w:hAnsi="Times New Roman" w:cs="Times New Roman"/>
                <w:color w:val="000000"/>
                <w:kern w:val="0"/>
                <w:szCs w:val="24"/>
                <w:lang w:eastAsia="en-IN"/>
                <w14:ligatures w14:val="none"/>
              </w:rPr>
              <w:t>337</w:t>
            </w:r>
          </w:p>
        </w:tc>
        <w:tc>
          <w:tcPr>
            <w:tcW w:w="1076" w:type="dxa"/>
            <w:tcBorders>
              <w:top w:val="nil"/>
              <w:left w:val="nil"/>
              <w:bottom w:val="single" w:sz="4" w:space="0" w:color="auto"/>
              <w:right w:val="single" w:sz="4" w:space="0" w:color="auto"/>
            </w:tcBorders>
            <w:noWrap/>
            <w:vAlign w:val="center"/>
            <w:hideMark/>
          </w:tcPr>
          <w:p w14:paraId="6A86167F" w14:textId="77777777" w:rsidR="00EF645B" w:rsidRPr="008E2A3E" w:rsidRDefault="00EF645B" w:rsidP="00EF645B">
            <w:pPr>
              <w:spacing w:after="0" w:line="240" w:lineRule="auto"/>
              <w:jc w:val="center"/>
              <w:rPr>
                <w:rFonts w:ascii="Times New Roman" w:eastAsia="Times New Roman" w:hAnsi="Times New Roman" w:cs="Times New Roman"/>
                <w:color w:val="000000"/>
                <w:kern w:val="0"/>
                <w:szCs w:val="24"/>
                <w:lang w:eastAsia="en-IN"/>
                <w14:ligatures w14:val="none"/>
              </w:rPr>
            </w:pPr>
            <w:r w:rsidRPr="008E2A3E">
              <w:rPr>
                <w:rFonts w:ascii="Times New Roman" w:eastAsia="Times New Roman" w:hAnsi="Times New Roman" w:cs="Times New Roman"/>
                <w:color w:val="000000"/>
                <w:kern w:val="0"/>
                <w:szCs w:val="24"/>
                <w:lang w:eastAsia="en-IN"/>
                <w14:ligatures w14:val="none"/>
              </w:rPr>
              <w:t>444</w:t>
            </w:r>
          </w:p>
        </w:tc>
      </w:tr>
      <w:tr w:rsidR="00EF645B" w:rsidRPr="008E2A3E" w14:paraId="76EE5113" w14:textId="77777777" w:rsidTr="008E2A3E">
        <w:trPr>
          <w:trHeight w:val="300"/>
          <w:jc w:val="center"/>
        </w:trPr>
        <w:tc>
          <w:tcPr>
            <w:tcW w:w="3173" w:type="dxa"/>
            <w:tcBorders>
              <w:top w:val="nil"/>
              <w:left w:val="single" w:sz="4" w:space="0" w:color="auto"/>
              <w:bottom w:val="single" w:sz="4" w:space="0" w:color="auto"/>
              <w:right w:val="single" w:sz="4" w:space="0" w:color="auto"/>
            </w:tcBorders>
            <w:noWrap/>
            <w:vAlign w:val="center"/>
            <w:hideMark/>
          </w:tcPr>
          <w:p w14:paraId="3D56241F" w14:textId="77777777" w:rsidR="00EF645B" w:rsidRPr="008E2A3E" w:rsidRDefault="00EF645B" w:rsidP="00EF645B">
            <w:pPr>
              <w:spacing w:after="0" w:line="240" w:lineRule="auto"/>
              <w:rPr>
                <w:rFonts w:ascii="Times New Roman" w:eastAsia="Times New Roman" w:hAnsi="Times New Roman" w:cs="Times New Roman"/>
                <w:color w:val="000000"/>
                <w:kern w:val="0"/>
                <w:szCs w:val="24"/>
                <w:lang w:eastAsia="en-IN"/>
                <w14:ligatures w14:val="none"/>
              </w:rPr>
            </w:pPr>
            <w:r w:rsidRPr="008E2A3E">
              <w:rPr>
                <w:rFonts w:ascii="Times New Roman" w:eastAsia="Times New Roman" w:hAnsi="Times New Roman" w:cs="Times New Roman"/>
                <w:color w:val="000000"/>
                <w:kern w:val="0"/>
                <w:szCs w:val="24"/>
                <w:lang w:eastAsia="en-IN"/>
                <w14:ligatures w14:val="none"/>
              </w:rPr>
              <w:t>Rajasthan</w:t>
            </w:r>
          </w:p>
        </w:tc>
        <w:tc>
          <w:tcPr>
            <w:tcW w:w="1075" w:type="dxa"/>
            <w:tcBorders>
              <w:top w:val="nil"/>
              <w:left w:val="nil"/>
              <w:bottom w:val="single" w:sz="4" w:space="0" w:color="auto"/>
              <w:right w:val="single" w:sz="4" w:space="0" w:color="auto"/>
            </w:tcBorders>
            <w:noWrap/>
            <w:vAlign w:val="center"/>
            <w:hideMark/>
          </w:tcPr>
          <w:p w14:paraId="2CB48DEF" w14:textId="77777777" w:rsidR="00EF645B" w:rsidRPr="008E2A3E" w:rsidRDefault="00EF645B" w:rsidP="00EF645B">
            <w:pPr>
              <w:spacing w:after="0" w:line="240" w:lineRule="auto"/>
              <w:jc w:val="center"/>
              <w:rPr>
                <w:rFonts w:ascii="Times New Roman" w:eastAsia="Times New Roman" w:hAnsi="Times New Roman" w:cs="Times New Roman"/>
                <w:color w:val="000000"/>
                <w:kern w:val="0"/>
                <w:szCs w:val="24"/>
                <w:lang w:eastAsia="en-IN"/>
                <w14:ligatures w14:val="none"/>
              </w:rPr>
            </w:pPr>
            <w:r w:rsidRPr="008E2A3E">
              <w:rPr>
                <w:rFonts w:ascii="Times New Roman" w:eastAsia="Times New Roman" w:hAnsi="Times New Roman" w:cs="Times New Roman"/>
                <w:color w:val="000000"/>
                <w:kern w:val="0"/>
                <w:szCs w:val="24"/>
                <w:lang w:eastAsia="en-IN"/>
                <w14:ligatures w14:val="none"/>
              </w:rPr>
              <w:t>540</w:t>
            </w:r>
          </w:p>
        </w:tc>
        <w:tc>
          <w:tcPr>
            <w:tcW w:w="1075" w:type="dxa"/>
            <w:tcBorders>
              <w:top w:val="nil"/>
              <w:left w:val="nil"/>
              <w:bottom w:val="single" w:sz="4" w:space="0" w:color="auto"/>
              <w:right w:val="single" w:sz="4" w:space="0" w:color="auto"/>
            </w:tcBorders>
            <w:noWrap/>
            <w:vAlign w:val="center"/>
            <w:hideMark/>
          </w:tcPr>
          <w:p w14:paraId="25B5C70B" w14:textId="77777777" w:rsidR="00EF645B" w:rsidRPr="008E2A3E" w:rsidRDefault="00EF645B" w:rsidP="00EF645B">
            <w:pPr>
              <w:spacing w:after="0" w:line="240" w:lineRule="auto"/>
              <w:jc w:val="center"/>
              <w:rPr>
                <w:rFonts w:ascii="Times New Roman" w:eastAsia="Times New Roman" w:hAnsi="Times New Roman" w:cs="Times New Roman"/>
                <w:color w:val="000000"/>
                <w:kern w:val="0"/>
                <w:szCs w:val="24"/>
                <w:lang w:eastAsia="en-IN"/>
                <w14:ligatures w14:val="none"/>
              </w:rPr>
            </w:pPr>
            <w:r w:rsidRPr="008E2A3E">
              <w:rPr>
                <w:rFonts w:ascii="Times New Roman" w:eastAsia="Times New Roman" w:hAnsi="Times New Roman" w:cs="Times New Roman"/>
                <w:color w:val="000000"/>
                <w:kern w:val="0"/>
                <w:szCs w:val="24"/>
                <w:lang w:eastAsia="en-IN"/>
                <w14:ligatures w14:val="none"/>
              </w:rPr>
              <w:t>602</w:t>
            </w:r>
          </w:p>
        </w:tc>
        <w:tc>
          <w:tcPr>
            <w:tcW w:w="1075" w:type="dxa"/>
            <w:tcBorders>
              <w:top w:val="nil"/>
              <w:left w:val="nil"/>
              <w:bottom w:val="single" w:sz="4" w:space="0" w:color="auto"/>
              <w:right w:val="single" w:sz="4" w:space="0" w:color="auto"/>
            </w:tcBorders>
            <w:noWrap/>
            <w:vAlign w:val="center"/>
            <w:hideMark/>
          </w:tcPr>
          <w:p w14:paraId="49A1B3D5" w14:textId="77777777" w:rsidR="00EF645B" w:rsidRPr="008E2A3E" w:rsidRDefault="00EF645B" w:rsidP="00EF645B">
            <w:pPr>
              <w:spacing w:after="0" w:line="240" w:lineRule="auto"/>
              <w:jc w:val="center"/>
              <w:rPr>
                <w:rFonts w:ascii="Times New Roman" w:eastAsia="Times New Roman" w:hAnsi="Times New Roman" w:cs="Times New Roman"/>
                <w:color w:val="000000"/>
                <w:kern w:val="0"/>
                <w:szCs w:val="24"/>
                <w:lang w:eastAsia="en-IN"/>
                <w14:ligatures w14:val="none"/>
              </w:rPr>
            </w:pPr>
            <w:r w:rsidRPr="008E2A3E">
              <w:rPr>
                <w:rFonts w:ascii="Times New Roman" w:eastAsia="Times New Roman" w:hAnsi="Times New Roman" w:cs="Times New Roman"/>
                <w:color w:val="000000"/>
                <w:kern w:val="0"/>
                <w:szCs w:val="24"/>
                <w:lang w:eastAsia="en-IN"/>
                <w14:ligatures w14:val="none"/>
              </w:rPr>
              <w:t>610</w:t>
            </w:r>
          </w:p>
        </w:tc>
        <w:tc>
          <w:tcPr>
            <w:tcW w:w="1075" w:type="dxa"/>
            <w:tcBorders>
              <w:top w:val="nil"/>
              <w:left w:val="nil"/>
              <w:bottom w:val="single" w:sz="4" w:space="0" w:color="auto"/>
              <w:right w:val="single" w:sz="4" w:space="0" w:color="auto"/>
            </w:tcBorders>
            <w:noWrap/>
            <w:vAlign w:val="center"/>
            <w:hideMark/>
          </w:tcPr>
          <w:p w14:paraId="5B7CCD1E" w14:textId="77777777" w:rsidR="00EF645B" w:rsidRPr="008E2A3E" w:rsidRDefault="00EF645B" w:rsidP="00EF645B">
            <w:pPr>
              <w:spacing w:after="0" w:line="240" w:lineRule="auto"/>
              <w:jc w:val="center"/>
              <w:rPr>
                <w:rFonts w:ascii="Times New Roman" w:eastAsia="Times New Roman" w:hAnsi="Times New Roman" w:cs="Times New Roman"/>
                <w:color w:val="000000"/>
                <w:kern w:val="0"/>
                <w:szCs w:val="24"/>
                <w:lang w:eastAsia="en-IN"/>
                <w14:ligatures w14:val="none"/>
              </w:rPr>
            </w:pPr>
            <w:r w:rsidRPr="008E2A3E">
              <w:rPr>
                <w:rFonts w:ascii="Times New Roman" w:eastAsia="Times New Roman" w:hAnsi="Times New Roman" w:cs="Times New Roman"/>
                <w:color w:val="000000"/>
                <w:kern w:val="0"/>
                <w:szCs w:val="24"/>
                <w:lang w:eastAsia="en-IN"/>
                <w14:ligatures w14:val="none"/>
              </w:rPr>
              <w:t>645</w:t>
            </w:r>
          </w:p>
        </w:tc>
        <w:tc>
          <w:tcPr>
            <w:tcW w:w="1076" w:type="dxa"/>
            <w:tcBorders>
              <w:top w:val="nil"/>
              <w:left w:val="nil"/>
              <w:bottom w:val="single" w:sz="4" w:space="0" w:color="auto"/>
              <w:right w:val="single" w:sz="4" w:space="0" w:color="auto"/>
            </w:tcBorders>
            <w:noWrap/>
            <w:vAlign w:val="center"/>
            <w:hideMark/>
          </w:tcPr>
          <w:p w14:paraId="5DD5D076" w14:textId="77777777" w:rsidR="00EF645B" w:rsidRPr="008E2A3E" w:rsidRDefault="00EF645B" w:rsidP="00EF645B">
            <w:pPr>
              <w:spacing w:after="0" w:line="240" w:lineRule="auto"/>
              <w:jc w:val="center"/>
              <w:rPr>
                <w:rFonts w:ascii="Times New Roman" w:eastAsia="Times New Roman" w:hAnsi="Times New Roman" w:cs="Times New Roman"/>
                <w:color w:val="000000"/>
                <w:kern w:val="0"/>
                <w:szCs w:val="24"/>
                <w:lang w:eastAsia="en-IN"/>
                <w14:ligatures w14:val="none"/>
              </w:rPr>
            </w:pPr>
            <w:r w:rsidRPr="008E2A3E">
              <w:rPr>
                <w:rFonts w:ascii="Times New Roman" w:eastAsia="Times New Roman" w:hAnsi="Times New Roman" w:cs="Times New Roman"/>
                <w:color w:val="000000"/>
                <w:kern w:val="0"/>
                <w:szCs w:val="24"/>
                <w:lang w:eastAsia="en-IN"/>
                <w14:ligatures w14:val="none"/>
              </w:rPr>
              <w:t>795</w:t>
            </w:r>
          </w:p>
        </w:tc>
        <w:tc>
          <w:tcPr>
            <w:tcW w:w="1075" w:type="dxa"/>
            <w:tcBorders>
              <w:top w:val="nil"/>
              <w:left w:val="nil"/>
              <w:bottom w:val="single" w:sz="4" w:space="0" w:color="auto"/>
              <w:right w:val="single" w:sz="4" w:space="0" w:color="auto"/>
            </w:tcBorders>
            <w:noWrap/>
            <w:vAlign w:val="center"/>
            <w:hideMark/>
          </w:tcPr>
          <w:p w14:paraId="6EAB3387" w14:textId="77777777" w:rsidR="00EF645B" w:rsidRPr="008E2A3E" w:rsidRDefault="00EF645B" w:rsidP="00EF645B">
            <w:pPr>
              <w:spacing w:after="0" w:line="240" w:lineRule="auto"/>
              <w:jc w:val="center"/>
              <w:rPr>
                <w:rFonts w:ascii="Times New Roman" w:eastAsia="Times New Roman" w:hAnsi="Times New Roman" w:cs="Times New Roman"/>
                <w:color w:val="000000"/>
                <w:kern w:val="0"/>
                <w:szCs w:val="24"/>
                <w:lang w:eastAsia="en-IN"/>
                <w14:ligatures w14:val="none"/>
              </w:rPr>
            </w:pPr>
            <w:r w:rsidRPr="008E2A3E">
              <w:rPr>
                <w:rFonts w:ascii="Times New Roman" w:eastAsia="Times New Roman" w:hAnsi="Times New Roman" w:cs="Times New Roman"/>
                <w:color w:val="000000"/>
                <w:kern w:val="0"/>
                <w:szCs w:val="24"/>
                <w:lang w:eastAsia="en-IN"/>
                <w14:ligatures w14:val="none"/>
              </w:rPr>
              <w:t>327</w:t>
            </w:r>
          </w:p>
        </w:tc>
        <w:tc>
          <w:tcPr>
            <w:tcW w:w="1075" w:type="dxa"/>
            <w:tcBorders>
              <w:top w:val="nil"/>
              <w:left w:val="nil"/>
              <w:bottom w:val="single" w:sz="4" w:space="0" w:color="auto"/>
              <w:right w:val="single" w:sz="4" w:space="0" w:color="auto"/>
            </w:tcBorders>
            <w:noWrap/>
            <w:vAlign w:val="center"/>
            <w:hideMark/>
          </w:tcPr>
          <w:p w14:paraId="38E4BB21" w14:textId="77777777" w:rsidR="00EF645B" w:rsidRPr="008E2A3E" w:rsidRDefault="00EF645B" w:rsidP="00EF645B">
            <w:pPr>
              <w:spacing w:after="0" w:line="240" w:lineRule="auto"/>
              <w:jc w:val="center"/>
              <w:rPr>
                <w:rFonts w:ascii="Times New Roman" w:eastAsia="Times New Roman" w:hAnsi="Times New Roman" w:cs="Times New Roman"/>
                <w:color w:val="000000"/>
                <w:kern w:val="0"/>
                <w:szCs w:val="24"/>
                <w:lang w:eastAsia="en-IN"/>
                <w14:ligatures w14:val="none"/>
              </w:rPr>
            </w:pPr>
            <w:r w:rsidRPr="008E2A3E">
              <w:rPr>
                <w:rFonts w:ascii="Times New Roman" w:eastAsia="Times New Roman" w:hAnsi="Times New Roman" w:cs="Times New Roman"/>
                <w:color w:val="000000"/>
                <w:kern w:val="0"/>
                <w:szCs w:val="24"/>
                <w:lang w:eastAsia="en-IN"/>
                <w14:ligatures w14:val="none"/>
              </w:rPr>
              <w:t>378</w:t>
            </w:r>
          </w:p>
        </w:tc>
        <w:tc>
          <w:tcPr>
            <w:tcW w:w="1075" w:type="dxa"/>
            <w:tcBorders>
              <w:top w:val="nil"/>
              <w:left w:val="nil"/>
              <w:bottom w:val="single" w:sz="4" w:space="0" w:color="auto"/>
              <w:right w:val="single" w:sz="4" w:space="0" w:color="auto"/>
            </w:tcBorders>
            <w:noWrap/>
            <w:vAlign w:val="center"/>
            <w:hideMark/>
          </w:tcPr>
          <w:p w14:paraId="39EBA8D8" w14:textId="77777777" w:rsidR="00EF645B" w:rsidRPr="008E2A3E" w:rsidRDefault="00EF645B" w:rsidP="00EF645B">
            <w:pPr>
              <w:spacing w:after="0" w:line="240" w:lineRule="auto"/>
              <w:jc w:val="center"/>
              <w:rPr>
                <w:rFonts w:ascii="Times New Roman" w:eastAsia="Times New Roman" w:hAnsi="Times New Roman" w:cs="Times New Roman"/>
                <w:color w:val="000000"/>
                <w:kern w:val="0"/>
                <w:szCs w:val="24"/>
                <w:lang w:eastAsia="en-IN"/>
                <w14:ligatures w14:val="none"/>
              </w:rPr>
            </w:pPr>
            <w:r w:rsidRPr="008E2A3E">
              <w:rPr>
                <w:rFonts w:ascii="Times New Roman" w:eastAsia="Times New Roman" w:hAnsi="Times New Roman" w:cs="Times New Roman"/>
                <w:color w:val="000000"/>
                <w:kern w:val="0"/>
                <w:szCs w:val="24"/>
                <w:lang w:eastAsia="en-IN"/>
                <w14:ligatures w14:val="none"/>
              </w:rPr>
              <w:t>368</w:t>
            </w:r>
          </w:p>
        </w:tc>
        <w:tc>
          <w:tcPr>
            <w:tcW w:w="1075" w:type="dxa"/>
            <w:tcBorders>
              <w:top w:val="nil"/>
              <w:left w:val="nil"/>
              <w:bottom w:val="single" w:sz="4" w:space="0" w:color="auto"/>
              <w:right w:val="single" w:sz="4" w:space="0" w:color="auto"/>
            </w:tcBorders>
            <w:noWrap/>
            <w:vAlign w:val="center"/>
            <w:hideMark/>
          </w:tcPr>
          <w:p w14:paraId="20B947BA" w14:textId="77777777" w:rsidR="00EF645B" w:rsidRPr="008E2A3E" w:rsidRDefault="00EF645B" w:rsidP="00EF645B">
            <w:pPr>
              <w:spacing w:after="0" w:line="240" w:lineRule="auto"/>
              <w:jc w:val="center"/>
              <w:rPr>
                <w:rFonts w:ascii="Times New Roman" w:eastAsia="Times New Roman" w:hAnsi="Times New Roman" w:cs="Times New Roman"/>
                <w:color w:val="000000"/>
                <w:kern w:val="0"/>
                <w:szCs w:val="24"/>
                <w:lang w:eastAsia="en-IN"/>
                <w14:ligatures w14:val="none"/>
              </w:rPr>
            </w:pPr>
            <w:r w:rsidRPr="008E2A3E">
              <w:rPr>
                <w:rFonts w:ascii="Times New Roman" w:eastAsia="Times New Roman" w:hAnsi="Times New Roman" w:cs="Times New Roman"/>
                <w:color w:val="000000"/>
                <w:kern w:val="0"/>
                <w:szCs w:val="24"/>
                <w:lang w:eastAsia="en-IN"/>
                <w14:ligatures w14:val="none"/>
              </w:rPr>
              <w:t>370</w:t>
            </w:r>
          </w:p>
        </w:tc>
        <w:tc>
          <w:tcPr>
            <w:tcW w:w="1076" w:type="dxa"/>
            <w:tcBorders>
              <w:top w:val="nil"/>
              <w:left w:val="nil"/>
              <w:bottom w:val="single" w:sz="4" w:space="0" w:color="auto"/>
              <w:right w:val="single" w:sz="4" w:space="0" w:color="auto"/>
            </w:tcBorders>
            <w:noWrap/>
            <w:vAlign w:val="center"/>
            <w:hideMark/>
          </w:tcPr>
          <w:p w14:paraId="7F017B90" w14:textId="77777777" w:rsidR="00EF645B" w:rsidRPr="008E2A3E" w:rsidRDefault="00EF645B" w:rsidP="00EF645B">
            <w:pPr>
              <w:spacing w:after="0" w:line="240" w:lineRule="auto"/>
              <w:jc w:val="center"/>
              <w:rPr>
                <w:rFonts w:ascii="Times New Roman" w:eastAsia="Times New Roman" w:hAnsi="Times New Roman" w:cs="Times New Roman"/>
                <w:color w:val="000000"/>
                <w:kern w:val="0"/>
                <w:szCs w:val="24"/>
                <w:lang w:eastAsia="en-IN"/>
                <w14:ligatures w14:val="none"/>
              </w:rPr>
            </w:pPr>
            <w:r w:rsidRPr="008E2A3E">
              <w:rPr>
                <w:rFonts w:ascii="Times New Roman" w:eastAsia="Times New Roman" w:hAnsi="Times New Roman" w:cs="Times New Roman"/>
                <w:color w:val="000000"/>
                <w:kern w:val="0"/>
                <w:szCs w:val="24"/>
                <w:lang w:eastAsia="en-IN"/>
                <w14:ligatures w14:val="none"/>
              </w:rPr>
              <w:t>486</w:t>
            </w:r>
          </w:p>
        </w:tc>
      </w:tr>
      <w:tr w:rsidR="00EF645B" w:rsidRPr="008E2A3E" w14:paraId="5B361380" w14:textId="77777777" w:rsidTr="008E2A3E">
        <w:trPr>
          <w:trHeight w:val="300"/>
          <w:jc w:val="center"/>
        </w:trPr>
        <w:tc>
          <w:tcPr>
            <w:tcW w:w="3173" w:type="dxa"/>
            <w:tcBorders>
              <w:top w:val="nil"/>
              <w:left w:val="single" w:sz="4" w:space="0" w:color="auto"/>
              <w:bottom w:val="single" w:sz="4" w:space="0" w:color="auto"/>
              <w:right w:val="single" w:sz="4" w:space="0" w:color="auto"/>
            </w:tcBorders>
            <w:noWrap/>
            <w:vAlign w:val="center"/>
            <w:hideMark/>
          </w:tcPr>
          <w:p w14:paraId="2FA93938" w14:textId="77777777" w:rsidR="00EF645B" w:rsidRPr="008E2A3E" w:rsidRDefault="00EF645B" w:rsidP="00EF645B">
            <w:pPr>
              <w:spacing w:after="0" w:line="240" w:lineRule="auto"/>
              <w:rPr>
                <w:rFonts w:ascii="Times New Roman" w:eastAsia="Times New Roman" w:hAnsi="Times New Roman" w:cs="Times New Roman"/>
                <w:color w:val="000000"/>
                <w:kern w:val="0"/>
                <w:szCs w:val="24"/>
                <w:lang w:eastAsia="en-IN"/>
                <w14:ligatures w14:val="none"/>
              </w:rPr>
            </w:pPr>
            <w:r w:rsidRPr="008E2A3E">
              <w:rPr>
                <w:rFonts w:ascii="Times New Roman" w:eastAsia="Times New Roman" w:hAnsi="Times New Roman" w:cs="Times New Roman"/>
                <w:color w:val="000000"/>
                <w:kern w:val="0"/>
                <w:szCs w:val="24"/>
                <w:lang w:eastAsia="en-IN"/>
                <w14:ligatures w14:val="none"/>
              </w:rPr>
              <w:t>Tamil Nadu</w:t>
            </w:r>
          </w:p>
        </w:tc>
        <w:tc>
          <w:tcPr>
            <w:tcW w:w="1075" w:type="dxa"/>
            <w:tcBorders>
              <w:top w:val="nil"/>
              <w:left w:val="nil"/>
              <w:bottom w:val="single" w:sz="4" w:space="0" w:color="auto"/>
              <w:right w:val="single" w:sz="4" w:space="0" w:color="auto"/>
            </w:tcBorders>
            <w:noWrap/>
            <w:vAlign w:val="center"/>
            <w:hideMark/>
          </w:tcPr>
          <w:p w14:paraId="0A04E1CE" w14:textId="77777777" w:rsidR="00EF645B" w:rsidRPr="008E2A3E" w:rsidRDefault="00EF645B" w:rsidP="00EF645B">
            <w:pPr>
              <w:spacing w:after="0" w:line="240" w:lineRule="auto"/>
              <w:jc w:val="center"/>
              <w:rPr>
                <w:rFonts w:ascii="Times New Roman" w:eastAsia="Times New Roman" w:hAnsi="Times New Roman" w:cs="Times New Roman"/>
                <w:color w:val="000000"/>
                <w:kern w:val="0"/>
                <w:szCs w:val="24"/>
                <w:lang w:eastAsia="en-IN"/>
                <w14:ligatures w14:val="none"/>
              </w:rPr>
            </w:pPr>
            <w:r w:rsidRPr="008E2A3E">
              <w:rPr>
                <w:rFonts w:ascii="Times New Roman" w:eastAsia="Times New Roman" w:hAnsi="Times New Roman" w:cs="Times New Roman"/>
                <w:color w:val="000000"/>
                <w:kern w:val="0"/>
                <w:szCs w:val="24"/>
                <w:lang w:eastAsia="en-IN"/>
                <w14:ligatures w14:val="none"/>
              </w:rPr>
              <w:t>1155</w:t>
            </w:r>
          </w:p>
        </w:tc>
        <w:tc>
          <w:tcPr>
            <w:tcW w:w="1075" w:type="dxa"/>
            <w:tcBorders>
              <w:top w:val="nil"/>
              <w:left w:val="nil"/>
              <w:bottom w:val="single" w:sz="4" w:space="0" w:color="auto"/>
              <w:right w:val="single" w:sz="4" w:space="0" w:color="auto"/>
            </w:tcBorders>
            <w:noWrap/>
            <w:vAlign w:val="center"/>
            <w:hideMark/>
          </w:tcPr>
          <w:p w14:paraId="785741BF" w14:textId="77777777" w:rsidR="00EF645B" w:rsidRPr="008E2A3E" w:rsidRDefault="00EF645B" w:rsidP="00EF645B">
            <w:pPr>
              <w:spacing w:after="0" w:line="240" w:lineRule="auto"/>
              <w:jc w:val="center"/>
              <w:rPr>
                <w:rFonts w:ascii="Times New Roman" w:eastAsia="Times New Roman" w:hAnsi="Times New Roman" w:cs="Times New Roman"/>
                <w:color w:val="000000"/>
                <w:kern w:val="0"/>
                <w:szCs w:val="24"/>
                <w:lang w:eastAsia="en-IN"/>
                <w14:ligatures w14:val="none"/>
              </w:rPr>
            </w:pPr>
            <w:r w:rsidRPr="008E2A3E">
              <w:rPr>
                <w:rFonts w:ascii="Times New Roman" w:eastAsia="Times New Roman" w:hAnsi="Times New Roman" w:cs="Times New Roman"/>
                <w:color w:val="000000"/>
                <w:kern w:val="0"/>
                <w:szCs w:val="24"/>
                <w:lang w:eastAsia="en-IN"/>
                <w14:ligatures w14:val="none"/>
              </w:rPr>
              <w:t>1229</w:t>
            </w:r>
          </w:p>
        </w:tc>
        <w:tc>
          <w:tcPr>
            <w:tcW w:w="1075" w:type="dxa"/>
            <w:tcBorders>
              <w:top w:val="nil"/>
              <w:left w:val="nil"/>
              <w:bottom w:val="single" w:sz="4" w:space="0" w:color="auto"/>
              <w:right w:val="single" w:sz="4" w:space="0" w:color="auto"/>
            </w:tcBorders>
            <w:noWrap/>
            <w:vAlign w:val="center"/>
            <w:hideMark/>
          </w:tcPr>
          <w:p w14:paraId="46823924" w14:textId="77777777" w:rsidR="00EF645B" w:rsidRPr="008E2A3E" w:rsidRDefault="00EF645B" w:rsidP="00EF645B">
            <w:pPr>
              <w:spacing w:after="0" w:line="240" w:lineRule="auto"/>
              <w:jc w:val="center"/>
              <w:rPr>
                <w:rFonts w:ascii="Times New Roman" w:eastAsia="Times New Roman" w:hAnsi="Times New Roman" w:cs="Times New Roman"/>
                <w:color w:val="000000"/>
                <w:kern w:val="0"/>
                <w:szCs w:val="24"/>
                <w:lang w:eastAsia="en-IN"/>
                <w14:ligatures w14:val="none"/>
              </w:rPr>
            </w:pPr>
            <w:r w:rsidRPr="008E2A3E">
              <w:rPr>
                <w:rFonts w:ascii="Times New Roman" w:eastAsia="Times New Roman" w:hAnsi="Times New Roman" w:cs="Times New Roman"/>
                <w:color w:val="000000"/>
                <w:kern w:val="0"/>
                <w:szCs w:val="24"/>
                <w:lang w:eastAsia="en-IN"/>
                <w14:ligatures w14:val="none"/>
              </w:rPr>
              <w:t>1262</w:t>
            </w:r>
          </w:p>
        </w:tc>
        <w:tc>
          <w:tcPr>
            <w:tcW w:w="1075" w:type="dxa"/>
            <w:tcBorders>
              <w:top w:val="nil"/>
              <w:left w:val="nil"/>
              <w:bottom w:val="single" w:sz="4" w:space="0" w:color="auto"/>
              <w:right w:val="single" w:sz="4" w:space="0" w:color="auto"/>
            </w:tcBorders>
            <w:noWrap/>
            <w:vAlign w:val="center"/>
            <w:hideMark/>
          </w:tcPr>
          <w:p w14:paraId="0CD7048E" w14:textId="77777777" w:rsidR="00EF645B" w:rsidRPr="008E2A3E" w:rsidRDefault="00EF645B" w:rsidP="00EF645B">
            <w:pPr>
              <w:spacing w:after="0" w:line="240" w:lineRule="auto"/>
              <w:jc w:val="center"/>
              <w:rPr>
                <w:rFonts w:ascii="Times New Roman" w:eastAsia="Times New Roman" w:hAnsi="Times New Roman" w:cs="Times New Roman"/>
                <w:color w:val="000000"/>
                <w:kern w:val="0"/>
                <w:szCs w:val="24"/>
                <w:lang w:eastAsia="en-IN"/>
                <w14:ligatures w14:val="none"/>
              </w:rPr>
            </w:pPr>
            <w:r w:rsidRPr="008E2A3E">
              <w:rPr>
                <w:rFonts w:ascii="Times New Roman" w:eastAsia="Times New Roman" w:hAnsi="Times New Roman" w:cs="Times New Roman"/>
                <w:color w:val="000000"/>
                <w:kern w:val="0"/>
                <w:szCs w:val="24"/>
                <w:lang w:eastAsia="en-IN"/>
                <w14:ligatures w14:val="none"/>
              </w:rPr>
              <w:t>1409</w:t>
            </w:r>
          </w:p>
        </w:tc>
        <w:tc>
          <w:tcPr>
            <w:tcW w:w="1076" w:type="dxa"/>
            <w:tcBorders>
              <w:top w:val="nil"/>
              <w:left w:val="nil"/>
              <w:bottom w:val="single" w:sz="4" w:space="0" w:color="auto"/>
              <w:right w:val="single" w:sz="4" w:space="0" w:color="auto"/>
            </w:tcBorders>
            <w:noWrap/>
            <w:vAlign w:val="center"/>
            <w:hideMark/>
          </w:tcPr>
          <w:p w14:paraId="2FD67355" w14:textId="77777777" w:rsidR="00EF645B" w:rsidRPr="008E2A3E" w:rsidRDefault="00EF645B" w:rsidP="00EF645B">
            <w:pPr>
              <w:spacing w:after="0" w:line="240" w:lineRule="auto"/>
              <w:jc w:val="center"/>
              <w:rPr>
                <w:rFonts w:ascii="Times New Roman" w:eastAsia="Times New Roman" w:hAnsi="Times New Roman" w:cs="Times New Roman"/>
                <w:color w:val="000000"/>
                <w:kern w:val="0"/>
                <w:szCs w:val="24"/>
                <w:lang w:eastAsia="en-IN"/>
                <w14:ligatures w14:val="none"/>
              </w:rPr>
            </w:pPr>
            <w:r w:rsidRPr="008E2A3E">
              <w:rPr>
                <w:rFonts w:ascii="Times New Roman" w:eastAsia="Times New Roman" w:hAnsi="Times New Roman" w:cs="Times New Roman"/>
                <w:color w:val="000000"/>
                <w:kern w:val="0"/>
                <w:szCs w:val="24"/>
                <w:lang w:eastAsia="en-IN"/>
                <w14:ligatures w14:val="none"/>
              </w:rPr>
              <w:t>1552</w:t>
            </w:r>
          </w:p>
        </w:tc>
        <w:tc>
          <w:tcPr>
            <w:tcW w:w="1075" w:type="dxa"/>
            <w:tcBorders>
              <w:top w:val="nil"/>
              <w:left w:val="nil"/>
              <w:bottom w:val="single" w:sz="4" w:space="0" w:color="auto"/>
              <w:right w:val="single" w:sz="4" w:space="0" w:color="auto"/>
            </w:tcBorders>
            <w:noWrap/>
            <w:vAlign w:val="center"/>
            <w:hideMark/>
          </w:tcPr>
          <w:p w14:paraId="5113631D" w14:textId="77777777" w:rsidR="00EF645B" w:rsidRPr="008E2A3E" w:rsidRDefault="00EF645B" w:rsidP="00EF645B">
            <w:pPr>
              <w:spacing w:after="0" w:line="240" w:lineRule="auto"/>
              <w:jc w:val="center"/>
              <w:rPr>
                <w:rFonts w:ascii="Times New Roman" w:eastAsia="Times New Roman" w:hAnsi="Times New Roman" w:cs="Times New Roman"/>
                <w:color w:val="000000"/>
                <w:kern w:val="0"/>
                <w:szCs w:val="24"/>
                <w:lang w:eastAsia="en-IN"/>
                <w14:ligatures w14:val="none"/>
              </w:rPr>
            </w:pPr>
            <w:r w:rsidRPr="008E2A3E">
              <w:rPr>
                <w:rFonts w:ascii="Times New Roman" w:eastAsia="Times New Roman" w:hAnsi="Times New Roman" w:cs="Times New Roman"/>
                <w:color w:val="000000"/>
                <w:kern w:val="0"/>
                <w:szCs w:val="24"/>
                <w:lang w:eastAsia="en-IN"/>
                <w14:ligatures w14:val="none"/>
              </w:rPr>
              <w:t>541</w:t>
            </w:r>
          </w:p>
        </w:tc>
        <w:tc>
          <w:tcPr>
            <w:tcW w:w="1075" w:type="dxa"/>
            <w:tcBorders>
              <w:top w:val="nil"/>
              <w:left w:val="nil"/>
              <w:bottom w:val="single" w:sz="4" w:space="0" w:color="auto"/>
              <w:right w:val="single" w:sz="4" w:space="0" w:color="auto"/>
            </w:tcBorders>
            <w:noWrap/>
            <w:vAlign w:val="center"/>
            <w:hideMark/>
          </w:tcPr>
          <w:p w14:paraId="6FCE2434" w14:textId="77777777" w:rsidR="00EF645B" w:rsidRPr="008E2A3E" w:rsidRDefault="00EF645B" w:rsidP="00EF645B">
            <w:pPr>
              <w:spacing w:after="0" w:line="240" w:lineRule="auto"/>
              <w:jc w:val="center"/>
              <w:rPr>
                <w:rFonts w:ascii="Times New Roman" w:eastAsia="Times New Roman" w:hAnsi="Times New Roman" w:cs="Times New Roman"/>
                <w:color w:val="000000"/>
                <w:kern w:val="0"/>
                <w:szCs w:val="24"/>
                <w:lang w:eastAsia="en-IN"/>
                <w14:ligatures w14:val="none"/>
              </w:rPr>
            </w:pPr>
            <w:r w:rsidRPr="008E2A3E">
              <w:rPr>
                <w:rFonts w:ascii="Times New Roman" w:eastAsia="Times New Roman" w:hAnsi="Times New Roman" w:cs="Times New Roman"/>
                <w:color w:val="000000"/>
                <w:kern w:val="0"/>
                <w:szCs w:val="24"/>
                <w:lang w:eastAsia="en-IN"/>
                <w14:ligatures w14:val="none"/>
              </w:rPr>
              <w:t>556</w:t>
            </w:r>
          </w:p>
        </w:tc>
        <w:tc>
          <w:tcPr>
            <w:tcW w:w="1075" w:type="dxa"/>
            <w:tcBorders>
              <w:top w:val="nil"/>
              <w:left w:val="nil"/>
              <w:bottom w:val="single" w:sz="4" w:space="0" w:color="auto"/>
              <w:right w:val="single" w:sz="4" w:space="0" w:color="auto"/>
            </w:tcBorders>
            <w:noWrap/>
            <w:vAlign w:val="center"/>
            <w:hideMark/>
          </w:tcPr>
          <w:p w14:paraId="524FC278" w14:textId="77777777" w:rsidR="00EF645B" w:rsidRPr="008E2A3E" w:rsidRDefault="00EF645B" w:rsidP="00EF645B">
            <w:pPr>
              <w:spacing w:after="0" w:line="240" w:lineRule="auto"/>
              <w:jc w:val="center"/>
              <w:rPr>
                <w:rFonts w:ascii="Times New Roman" w:eastAsia="Times New Roman" w:hAnsi="Times New Roman" w:cs="Times New Roman"/>
                <w:color w:val="000000"/>
                <w:kern w:val="0"/>
                <w:szCs w:val="24"/>
                <w:lang w:eastAsia="en-IN"/>
                <w14:ligatures w14:val="none"/>
              </w:rPr>
            </w:pPr>
            <w:r w:rsidRPr="008E2A3E">
              <w:rPr>
                <w:rFonts w:ascii="Times New Roman" w:eastAsia="Times New Roman" w:hAnsi="Times New Roman" w:cs="Times New Roman"/>
                <w:color w:val="000000"/>
                <w:kern w:val="0"/>
                <w:szCs w:val="24"/>
                <w:lang w:eastAsia="en-IN"/>
                <w14:ligatures w14:val="none"/>
              </w:rPr>
              <w:t>536</w:t>
            </w:r>
          </w:p>
        </w:tc>
        <w:tc>
          <w:tcPr>
            <w:tcW w:w="1075" w:type="dxa"/>
            <w:tcBorders>
              <w:top w:val="nil"/>
              <w:left w:val="nil"/>
              <w:bottom w:val="single" w:sz="4" w:space="0" w:color="auto"/>
              <w:right w:val="single" w:sz="4" w:space="0" w:color="auto"/>
            </w:tcBorders>
            <w:noWrap/>
            <w:vAlign w:val="center"/>
            <w:hideMark/>
          </w:tcPr>
          <w:p w14:paraId="58E45EDE" w14:textId="77777777" w:rsidR="00EF645B" w:rsidRPr="008E2A3E" w:rsidRDefault="00EF645B" w:rsidP="00EF645B">
            <w:pPr>
              <w:spacing w:after="0" w:line="240" w:lineRule="auto"/>
              <w:jc w:val="center"/>
              <w:rPr>
                <w:rFonts w:ascii="Times New Roman" w:eastAsia="Times New Roman" w:hAnsi="Times New Roman" w:cs="Times New Roman"/>
                <w:color w:val="000000"/>
                <w:kern w:val="0"/>
                <w:szCs w:val="24"/>
                <w:lang w:eastAsia="en-IN"/>
                <w14:ligatures w14:val="none"/>
              </w:rPr>
            </w:pPr>
            <w:r w:rsidRPr="008E2A3E">
              <w:rPr>
                <w:rFonts w:ascii="Times New Roman" w:eastAsia="Times New Roman" w:hAnsi="Times New Roman" w:cs="Times New Roman"/>
                <w:color w:val="000000"/>
                <w:kern w:val="0"/>
                <w:szCs w:val="24"/>
                <w:lang w:eastAsia="en-IN"/>
                <w14:ligatures w14:val="none"/>
              </w:rPr>
              <w:t>581</w:t>
            </w:r>
          </w:p>
        </w:tc>
        <w:tc>
          <w:tcPr>
            <w:tcW w:w="1076" w:type="dxa"/>
            <w:tcBorders>
              <w:top w:val="nil"/>
              <w:left w:val="nil"/>
              <w:bottom w:val="single" w:sz="4" w:space="0" w:color="auto"/>
              <w:right w:val="single" w:sz="4" w:space="0" w:color="auto"/>
            </w:tcBorders>
            <w:noWrap/>
            <w:vAlign w:val="center"/>
            <w:hideMark/>
          </w:tcPr>
          <w:p w14:paraId="4C184C5B" w14:textId="77777777" w:rsidR="00EF645B" w:rsidRPr="008E2A3E" w:rsidRDefault="00EF645B" w:rsidP="00EF645B">
            <w:pPr>
              <w:spacing w:after="0" w:line="240" w:lineRule="auto"/>
              <w:jc w:val="center"/>
              <w:rPr>
                <w:rFonts w:ascii="Times New Roman" w:eastAsia="Times New Roman" w:hAnsi="Times New Roman" w:cs="Times New Roman"/>
                <w:color w:val="000000"/>
                <w:kern w:val="0"/>
                <w:szCs w:val="24"/>
                <w:lang w:eastAsia="en-IN"/>
                <w14:ligatures w14:val="none"/>
              </w:rPr>
            </w:pPr>
            <w:r w:rsidRPr="008E2A3E">
              <w:rPr>
                <w:rFonts w:ascii="Times New Roman" w:eastAsia="Times New Roman" w:hAnsi="Times New Roman" w:cs="Times New Roman"/>
                <w:color w:val="000000"/>
                <w:kern w:val="0"/>
                <w:szCs w:val="24"/>
                <w:lang w:eastAsia="en-IN"/>
                <w14:ligatures w14:val="none"/>
              </w:rPr>
              <w:t>638</w:t>
            </w:r>
          </w:p>
        </w:tc>
      </w:tr>
      <w:tr w:rsidR="00EF645B" w:rsidRPr="008E2A3E" w14:paraId="392AC100" w14:textId="77777777" w:rsidTr="008E2A3E">
        <w:trPr>
          <w:trHeight w:val="300"/>
          <w:jc w:val="center"/>
        </w:trPr>
        <w:tc>
          <w:tcPr>
            <w:tcW w:w="3173" w:type="dxa"/>
            <w:tcBorders>
              <w:top w:val="nil"/>
              <w:left w:val="single" w:sz="4" w:space="0" w:color="auto"/>
              <w:bottom w:val="single" w:sz="4" w:space="0" w:color="auto"/>
              <w:right w:val="single" w:sz="4" w:space="0" w:color="auto"/>
            </w:tcBorders>
            <w:noWrap/>
            <w:vAlign w:val="center"/>
            <w:hideMark/>
          </w:tcPr>
          <w:p w14:paraId="44970A8A" w14:textId="77777777" w:rsidR="00EF645B" w:rsidRPr="008E2A3E" w:rsidRDefault="00EF645B" w:rsidP="00EF645B">
            <w:pPr>
              <w:spacing w:after="0" w:line="240" w:lineRule="auto"/>
              <w:rPr>
                <w:rFonts w:ascii="Times New Roman" w:eastAsia="Times New Roman" w:hAnsi="Times New Roman" w:cs="Times New Roman"/>
                <w:color w:val="000000"/>
                <w:kern w:val="0"/>
                <w:szCs w:val="24"/>
                <w:lang w:eastAsia="en-IN"/>
                <w14:ligatures w14:val="none"/>
              </w:rPr>
            </w:pPr>
            <w:r w:rsidRPr="008E2A3E">
              <w:rPr>
                <w:rFonts w:ascii="Times New Roman" w:eastAsia="Times New Roman" w:hAnsi="Times New Roman" w:cs="Times New Roman"/>
                <w:color w:val="000000"/>
                <w:kern w:val="0"/>
                <w:szCs w:val="24"/>
                <w:lang w:eastAsia="en-IN"/>
                <w14:ligatures w14:val="none"/>
              </w:rPr>
              <w:t>Uttar Pradesh</w:t>
            </w:r>
          </w:p>
        </w:tc>
        <w:tc>
          <w:tcPr>
            <w:tcW w:w="1075" w:type="dxa"/>
            <w:tcBorders>
              <w:top w:val="nil"/>
              <w:left w:val="nil"/>
              <w:bottom w:val="single" w:sz="4" w:space="0" w:color="auto"/>
              <w:right w:val="single" w:sz="4" w:space="0" w:color="auto"/>
            </w:tcBorders>
            <w:noWrap/>
            <w:vAlign w:val="center"/>
            <w:hideMark/>
          </w:tcPr>
          <w:p w14:paraId="717C1F54" w14:textId="77777777" w:rsidR="00EF645B" w:rsidRPr="008E2A3E" w:rsidRDefault="00EF645B" w:rsidP="00EF645B">
            <w:pPr>
              <w:spacing w:after="0" w:line="240" w:lineRule="auto"/>
              <w:jc w:val="center"/>
              <w:rPr>
                <w:rFonts w:ascii="Times New Roman" w:eastAsia="Times New Roman" w:hAnsi="Times New Roman" w:cs="Times New Roman"/>
                <w:color w:val="000000"/>
                <w:kern w:val="0"/>
                <w:szCs w:val="24"/>
                <w:lang w:eastAsia="en-IN"/>
                <w14:ligatures w14:val="none"/>
              </w:rPr>
            </w:pPr>
            <w:r w:rsidRPr="008E2A3E">
              <w:rPr>
                <w:rFonts w:ascii="Times New Roman" w:eastAsia="Times New Roman" w:hAnsi="Times New Roman" w:cs="Times New Roman"/>
                <w:color w:val="000000"/>
                <w:kern w:val="0"/>
                <w:szCs w:val="24"/>
                <w:lang w:eastAsia="en-IN"/>
                <w14:ligatures w14:val="none"/>
              </w:rPr>
              <w:t>1788</w:t>
            </w:r>
          </w:p>
        </w:tc>
        <w:tc>
          <w:tcPr>
            <w:tcW w:w="1075" w:type="dxa"/>
            <w:tcBorders>
              <w:top w:val="nil"/>
              <w:left w:val="nil"/>
              <w:bottom w:val="single" w:sz="4" w:space="0" w:color="auto"/>
              <w:right w:val="single" w:sz="4" w:space="0" w:color="auto"/>
            </w:tcBorders>
            <w:noWrap/>
            <w:vAlign w:val="center"/>
            <w:hideMark/>
          </w:tcPr>
          <w:p w14:paraId="41CAD97E" w14:textId="77777777" w:rsidR="00EF645B" w:rsidRPr="008E2A3E" w:rsidRDefault="00EF645B" w:rsidP="00EF645B">
            <w:pPr>
              <w:spacing w:after="0" w:line="240" w:lineRule="auto"/>
              <w:jc w:val="center"/>
              <w:rPr>
                <w:rFonts w:ascii="Times New Roman" w:eastAsia="Times New Roman" w:hAnsi="Times New Roman" w:cs="Times New Roman"/>
                <w:color w:val="000000"/>
                <w:kern w:val="0"/>
                <w:szCs w:val="24"/>
                <w:lang w:eastAsia="en-IN"/>
                <w14:ligatures w14:val="none"/>
              </w:rPr>
            </w:pPr>
            <w:r w:rsidRPr="008E2A3E">
              <w:rPr>
                <w:rFonts w:ascii="Times New Roman" w:eastAsia="Times New Roman" w:hAnsi="Times New Roman" w:cs="Times New Roman"/>
                <w:color w:val="000000"/>
                <w:kern w:val="0"/>
                <w:szCs w:val="24"/>
                <w:lang w:eastAsia="en-IN"/>
                <w14:ligatures w14:val="none"/>
              </w:rPr>
              <w:t>1897</w:t>
            </w:r>
          </w:p>
        </w:tc>
        <w:tc>
          <w:tcPr>
            <w:tcW w:w="1075" w:type="dxa"/>
            <w:tcBorders>
              <w:top w:val="nil"/>
              <w:left w:val="nil"/>
              <w:bottom w:val="single" w:sz="4" w:space="0" w:color="auto"/>
              <w:right w:val="single" w:sz="4" w:space="0" w:color="auto"/>
            </w:tcBorders>
            <w:noWrap/>
            <w:vAlign w:val="center"/>
            <w:hideMark/>
          </w:tcPr>
          <w:p w14:paraId="1E0699E8" w14:textId="77777777" w:rsidR="00EF645B" w:rsidRPr="008E2A3E" w:rsidRDefault="00EF645B" w:rsidP="00EF645B">
            <w:pPr>
              <w:spacing w:after="0" w:line="240" w:lineRule="auto"/>
              <w:jc w:val="center"/>
              <w:rPr>
                <w:rFonts w:ascii="Times New Roman" w:eastAsia="Times New Roman" w:hAnsi="Times New Roman" w:cs="Times New Roman"/>
                <w:color w:val="000000"/>
                <w:kern w:val="0"/>
                <w:szCs w:val="24"/>
                <w:lang w:eastAsia="en-IN"/>
                <w14:ligatures w14:val="none"/>
              </w:rPr>
            </w:pPr>
            <w:r w:rsidRPr="008E2A3E">
              <w:rPr>
                <w:rFonts w:ascii="Times New Roman" w:eastAsia="Times New Roman" w:hAnsi="Times New Roman" w:cs="Times New Roman"/>
                <w:color w:val="000000"/>
                <w:kern w:val="0"/>
                <w:szCs w:val="24"/>
                <w:lang w:eastAsia="en-IN"/>
                <w14:ligatures w14:val="none"/>
              </w:rPr>
              <w:t>1968</w:t>
            </w:r>
          </w:p>
        </w:tc>
        <w:tc>
          <w:tcPr>
            <w:tcW w:w="1075" w:type="dxa"/>
            <w:tcBorders>
              <w:top w:val="nil"/>
              <w:left w:val="nil"/>
              <w:bottom w:val="single" w:sz="4" w:space="0" w:color="auto"/>
              <w:right w:val="single" w:sz="4" w:space="0" w:color="auto"/>
            </w:tcBorders>
            <w:noWrap/>
            <w:vAlign w:val="center"/>
            <w:hideMark/>
          </w:tcPr>
          <w:p w14:paraId="7E4B18AB" w14:textId="77777777" w:rsidR="00EF645B" w:rsidRPr="008E2A3E" w:rsidRDefault="00EF645B" w:rsidP="00EF645B">
            <w:pPr>
              <w:spacing w:after="0" w:line="240" w:lineRule="auto"/>
              <w:jc w:val="center"/>
              <w:rPr>
                <w:rFonts w:ascii="Times New Roman" w:eastAsia="Times New Roman" w:hAnsi="Times New Roman" w:cs="Times New Roman"/>
                <w:color w:val="000000"/>
                <w:kern w:val="0"/>
                <w:szCs w:val="24"/>
                <w:lang w:eastAsia="en-IN"/>
                <w14:ligatures w14:val="none"/>
              </w:rPr>
            </w:pPr>
            <w:r w:rsidRPr="008E2A3E">
              <w:rPr>
                <w:rFonts w:ascii="Times New Roman" w:eastAsia="Times New Roman" w:hAnsi="Times New Roman" w:cs="Times New Roman"/>
                <w:color w:val="000000"/>
                <w:kern w:val="0"/>
                <w:szCs w:val="24"/>
                <w:lang w:eastAsia="en-IN"/>
                <w14:ligatures w14:val="none"/>
              </w:rPr>
              <w:t>2240</w:t>
            </w:r>
          </w:p>
        </w:tc>
        <w:tc>
          <w:tcPr>
            <w:tcW w:w="1076" w:type="dxa"/>
            <w:tcBorders>
              <w:top w:val="nil"/>
              <w:left w:val="nil"/>
              <w:bottom w:val="single" w:sz="4" w:space="0" w:color="auto"/>
              <w:right w:val="single" w:sz="4" w:space="0" w:color="auto"/>
            </w:tcBorders>
            <w:noWrap/>
            <w:vAlign w:val="center"/>
            <w:hideMark/>
          </w:tcPr>
          <w:p w14:paraId="21FE4B96" w14:textId="77777777" w:rsidR="00EF645B" w:rsidRPr="008E2A3E" w:rsidRDefault="00EF645B" w:rsidP="00EF645B">
            <w:pPr>
              <w:spacing w:after="0" w:line="240" w:lineRule="auto"/>
              <w:jc w:val="center"/>
              <w:rPr>
                <w:rFonts w:ascii="Times New Roman" w:eastAsia="Times New Roman" w:hAnsi="Times New Roman" w:cs="Times New Roman"/>
                <w:color w:val="000000"/>
                <w:kern w:val="0"/>
                <w:szCs w:val="24"/>
                <w:lang w:eastAsia="en-IN"/>
                <w14:ligatures w14:val="none"/>
              </w:rPr>
            </w:pPr>
            <w:r w:rsidRPr="008E2A3E">
              <w:rPr>
                <w:rFonts w:ascii="Times New Roman" w:eastAsia="Times New Roman" w:hAnsi="Times New Roman" w:cs="Times New Roman"/>
                <w:color w:val="000000"/>
                <w:kern w:val="0"/>
                <w:szCs w:val="24"/>
                <w:lang w:eastAsia="en-IN"/>
                <w14:ligatures w14:val="none"/>
              </w:rPr>
              <w:t>2985</w:t>
            </w:r>
          </w:p>
        </w:tc>
        <w:tc>
          <w:tcPr>
            <w:tcW w:w="1075" w:type="dxa"/>
            <w:tcBorders>
              <w:top w:val="nil"/>
              <w:left w:val="nil"/>
              <w:bottom w:val="single" w:sz="4" w:space="0" w:color="auto"/>
              <w:right w:val="single" w:sz="4" w:space="0" w:color="auto"/>
            </w:tcBorders>
            <w:noWrap/>
            <w:vAlign w:val="center"/>
            <w:hideMark/>
          </w:tcPr>
          <w:p w14:paraId="33A68FE3" w14:textId="77777777" w:rsidR="00EF645B" w:rsidRPr="008E2A3E" w:rsidRDefault="00EF645B" w:rsidP="00EF645B">
            <w:pPr>
              <w:spacing w:after="0" w:line="240" w:lineRule="auto"/>
              <w:jc w:val="center"/>
              <w:rPr>
                <w:rFonts w:ascii="Times New Roman" w:eastAsia="Times New Roman" w:hAnsi="Times New Roman" w:cs="Times New Roman"/>
                <w:color w:val="000000"/>
                <w:kern w:val="0"/>
                <w:szCs w:val="24"/>
                <w:lang w:eastAsia="en-IN"/>
                <w14:ligatures w14:val="none"/>
              </w:rPr>
            </w:pPr>
            <w:r w:rsidRPr="008E2A3E">
              <w:rPr>
                <w:rFonts w:ascii="Times New Roman" w:eastAsia="Times New Roman" w:hAnsi="Times New Roman" w:cs="Times New Roman"/>
                <w:color w:val="000000"/>
                <w:kern w:val="0"/>
                <w:szCs w:val="24"/>
                <w:lang w:eastAsia="en-IN"/>
                <w14:ligatures w14:val="none"/>
              </w:rPr>
              <w:t>1072</w:t>
            </w:r>
          </w:p>
        </w:tc>
        <w:tc>
          <w:tcPr>
            <w:tcW w:w="1075" w:type="dxa"/>
            <w:tcBorders>
              <w:top w:val="nil"/>
              <w:left w:val="nil"/>
              <w:bottom w:val="single" w:sz="4" w:space="0" w:color="auto"/>
              <w:right w:val="single" w:sz="4" w:space="0" w:color="auto"/>
            </w:tcBorders>
            <w:noWrap/>
            <w:vAlign w:val="center"/>
            <w:hideMark/>
          </w:tcPr>
          <w:p w14:paraId="17EABB81" w14:textId="77777777" w:rsidR="00EF645B" w:rsidRPr="008E2A3E" w:rsidRDefault="00EF645B" w:rsidP="00EF645B">
            <w:pPr>
              <w:spacing w:after="0" w:line="240" w:lineRule="auto"/>
              <w:jc w:val="center"/>
              <w:rPr>
                <w:rFonts w:ascii="Times New Roman" w:eastAsia="Times New Roman" w:hAnsi="Times New Roman" w:cs="Times New Roman"/>
                <w:color w:val="000000"/>
                <w:kern w:val="0"/>
                <w:szCs w:val="24"/>
                <w:lang w:eastAsia="en-IN"/>
                <w14:ligatures w14:val="none"/>
              </w:rPr>
            </w:pPr>
            <w:r w:rsidRPr="008E2A3E">
              <w:rPr>
                <w:rFonts w:ascii="Times New Roman" w:eastAsia="Times New Roman" w:hAnsi="Times New Roman" w:cs="Times New Roman"/>
                <w:color w:val="000000"/>
                <w:kern w:val="0"/>
                <w:szCs w:val="24"/>
                <w:lang w:eastAsia="en-IN"/>
                <w14:ligatures w14:val="none"/>
              </w:rPr>
              <w:t>1119</w:t>
            </w:r>
          </w:p>
        </w:tc>
        <w:tc>
          <w:tcPr>
            <w:tcW w:w="1075" w:type="dxa"/>
            <w:tcBorders>
              <w:top w:val="nil"/>
              <w:left w:val="nil"/>
              <w:bottom w:val="single" w:sz="4" w:space="0" w:color="auto"/>
              <w:right w:val="single" w:sz="4" w:space="0" w:color="auto"/>
            </w:tcBorders>
            <w:noWrap/>
            <w:vAlign w:val="center"/>
            <w:hideMark/>
          </w:tcPr>
          <w:p w14:paraId="2327F4A5" w14:textId="77777777" w:rsidR="00EF645B" w:rsidRPr="008E2A3E" w:rsidRDefault="00EF645B" w:rsidP="00EF645B">
            <w:pPr>
              <w:spacing w:after="0" w:line="240" w:lineRule="auto"/>
              <w:jc w:val="center"/>
              <w:rPr>
                <w:rFonts w:ascii="Times New Roman" w:eastAsia="Times New Roman" w:hAnsi="Times New Roman" w:cs="Times New Roman"/>
                <w:color w:val="000000"/>
                <w:kern w:val="0"/>
                <w:szCs w:val="24"/>
                <w:lang w:eastAsia="en-IN"/>
                <w14:ligatures w14:val="none"/>
              </w:rPr>
            </w:pPr>
            <w:r w:rsidRPr="008E2A3E">
              <w:rPr>
                <w:rFonts w:ascii="Times New Roman" w:eastAsia="Times New Roman" w:hAnsi="Times New Roman" w:cs="Times New Roman"/>
                <w:color w:val="000000"/>
                <w:kern w:val="0"/>
                <w:szCs w:val="24"/>
                <w:lang w:eastAsia="en-IN"/>
                <w14:ligatures w14:val="none"/>
              </w:rPr>
              <w:t>1121</w:t>
            </w:r>
          </w:p>
        </w:tc>
        <w:tc>
          <w:tcPr>
            <w:tcW w:w="1075" w:type="dxa"/>
            <w:tcBorders>
              <w:top w:val="nil"/>
              <w:left w:val="nil"/>
              <w:bottom w:val="single" w:sz="4" w:space="0" w:color="auto"/>
              <w:right w:val="single" w:sz="4" w:space="0" w:color="auto"/>
            </w:tcBorders>
            <w:noWrap/>
            <w:vAlign w:val="center"/>
            <w:hideMark/>
          </w:tcPr>
          <w:p w14:paraId="4EE11AEF" w14:textId="77777777" w:rsidR="00EF645B" w:rsidRPr="008E2A3E" w:rsidRDefault="00EF645B" w:rsidP="00EF645B">
            <w:pPr>
              <w:spacing w:after="0" w:line="240" w:lineRule="auto"/>
              <w:jc w:val="center"/>
              <w:rPr>
                <w:rFonts w:ascii="Times New Roman" w:eastAsia="Times New Roman" w:hAnsi="Times New Roman" w:cs="Times New Roman"/>
                <w:color w:val="000000"/>
                <w:kern w:val="0"/>
                <w:szCs w:val="24"/>
                <w:lang w:eastAsia="en-IN"/>
                <w14:ligatures w14:val="none"/>
              </w:rPr>
            </w:pPr>
            <w:r w:rsidRPr="008E2A3E">
              <w:rPr>
                <w:rFonts w:ascii="Times New Roman" w:eastAsia="Times New Roman" w:hAnsi="Times New Roman" w:cs="Times New Roman"/>
                <w:color w:val="000000"/>
                <w:kern w:val="0"/>
                <w:szCs w:val="24"/>
                <w:lang w:eastAsia="en-IN"/>
                <w14:ligatures w14:val="none"/>
              </w:rPr>
              <w:t>1279</w:t>
            </w:r>
          </w:p>
        </w:tc>
        <w:tc>
          <w:tcPr>
            <w:tcW w:w="1076" w:type="dxa"/>
            <w:tcBorders>
              <w:top w:val="nil"/>
              <w:left w:val="nil"/>
              <w:bottom w:val="single" w:sz="4" w:space="0" w:color="auto"/>
              <w:right w:val="single" w:sz="4" w:space="0" w:color="auto"/>
            </w:tcBorders>
            <w:noWrap/>
            <w:vAlign w:val="center"/>
            <w:hideMark/>
          </w:tcPr>
          <w:p w14:paraId="2CD3171F" w14:textId="77777777" w:rsidR="00EF645B" w:rsidRPr="008E2A3E" w:rsidRDefault="00EF645B" w:rsidP="00EF645B">
            <w:pPr>
              <w:spacing w:after="0" w:line="240" w:lineRule="auto"/>
              <w:jc w:val="center"/>
              <w:rPr>
                <w:rFonts w:ascii="Times New Roman" w:eastAsia="Times New Roman" w:hAnsi="Times New Roman" w:cs="Times New Roman"/>
                <w:color w:val="000000"/>
                <w:kern w:val="0"/>
                <w:szCs w:val="24"/>
                <w:lang w:eastAsia="en-IN"/>
                <w14:ligatures w14:val="none"/>
              </w:rPr>
            </w:pPr>
            <w:r w:rsidRPr="008E2A3E">
              <w:rPr>
                <w:rFonts w:ascii="Times New Roman" w:eastAsia="Times New Roman" w:hAnsi="Times New Roman" w:cs="Times New Roman"/>
                <w:color w:val="000000"/>
                <w:kern w:val="0"/>
                <w:szCs w:val="24"/>
                <w:lang w:eastAsia="en-IN"/>
                <w14:ligatures w14:val="none"/>
              </w:rPr>
              <w:t>1899</w:t>
            </w:r>
          </w:p>
        </w:tc>
      </w:tr>
      <w:tr w:rsidR="00EF645B" w:rsidRPr="008E2A3E" w14:paraId="00B0DB47" w14:textId="77777777" w:rsidTr="008E2A3E">
        <w:trPr>
          <w:trHeight w:val="300"/>
          <w:jc w:val="center"/>
        </w:trPr>
        <w:tc>
          <w:tcPr>
            <w:tcW w:w="3173" w:type="dxa"/>
            <w:tcBorders>
              <w:top w:val="nil"/>
              <w:left w:val="single" w:sz="4" w:space="0" w:color="auto"/>
              <w:bottom w:val="single" w:sz="4" w:space="0" w:color="auto"/>
              <w:right w:val="single" w:sz="4" w:space="0" w:color="auto"/>
            </w:tcBorders>
            <w:noWrap/>
            <w:vAlign w:val="center"/>
            <w:hideMark/>
          </w:tcPr>
          <w:p w14:paraId="383AF471" w14:textId="77777777" w:rsidR="00EF645B" w:rsidRPr="008E2A3E" w:rsidRDefault="00EF645B" w:rsidP="00EF645B">
            <w:pPr>
              <w:spacing w:after="0" w:line="240" w:lineRule="auto"/>
              <w:rPr>
                <w:rFonts w:ascii="Times New Roman" w:eastAsia="Times New Roman" w:hAnsi="Times New Roman" w:cs="Times New Roman"/>
                <w:color w:val="000000"/>
                <w:kern w:val="0"/>
                <w:szCs w:val="24"/>
                <w:lang w:eastAsia="en-IN"/>
                <w14:ligatures w14:val="none"/>
              </w:rPr>
            </w:pPr>
            <w:r w:rsidRPr="008E2A3E">
              <w:rPr>
                <w:rFonts w:ascii="Times New Roman" w:eastAsia="Times New Roman" w:hAnsi="Times New Roman" w:cs="Times New Roman"/>
                <w:color w:val="000000"/>
                <w:kern w:val="0"/>
                <w:szCs w:val="24"/>
                <w:lang w:eastAsia="en-IN"/>
                <w14:ligatures w14:val="none"/>
              </w:rPr>
              <w:t>West Bengal</w:t>
            </w:r>
          </w:p>
        </w:tc>
        <w:tc>
          <w:tcPr>
            <w:tcW w:w="1075" w:type="dxa"/>
            <w:tcBorders>
              <w:top w:val="nil"/>
              <w:left w:val="nil"/>
              <w:bottom w:val="single" w:sz="4" w:space="0" w:color="auto"/>
              <w:right w:val="single" w:sz="4" w:space="0" w:color="auto"/>
            </w:tcBorders>
            <w:noWrap/>
            <w:vAlign w:val="center"/>
            <w:hideMark/>
          </w:tcPr>
          <w:p w14:paraId="48C06BEA" w14:textId="77777777" w:rsidR="00EF645B" w:rsidRPr="008E2A3E" w:rsidRDefault="00EF645B" w:rsidP="00EF645B">
            <w:pPr>
              <w:spacing w:after="0" w:line="240" w:lineRule="auto"/>
              <w:jc w:val="center"/>
              <w:rPr>
                <w:rFonts w:ascii="Times New Roman" w:eastAsia="Times New Roman" w:hAnsi="Times New Roman" w:cs="Times New Roman"/>
                <w:color w:val="000000"/>
                <w:kern w:val="0"/>
                <w:szCs w:val="24"/>
                <w:lang w:eastAsia="en-IN"/>
                <w14:ligatures w14:val="none"/>
              </w:rPr>
            </w:pPr>
            <w:r w:rsidRPr="008E2A3E">
              <w:rPr>
                <w:rFonts w:ascii="Times New Roman" w:eastAsia="Times New Roman" w:hAnsi="Times New Roman" w:cs="Times New Roman"/>
                <w:color w:val="000000"/>
                <w:kern w:val="0"/>
                <w:szCs w:val="24"/>
                <w:lang w:eastAsia="en-IN"/>
                <w14:ligatures w14:val="none"/>
              </w:rPr>
              <w:t>1331</w:t>
            </w:r>
          </w:p>
        </w:tc>
        <w:tc>
          <w:tcPr>
            <w:tcW w:w="1075" w:type="dxa"/>
            <w:tcBorders>
              <w:top w:val="nil"/>
              <w:left w:val="nil"/>
              <w:bottom w:val="single" w:sz="4" w:space="0" w:color="auto"/>
              <w:right w:val="single" w:sz="4" w:space="0" w:color="auto"/>
            </w:tcBorders>
            <w:noWrap/>
            <w:vAlign w:val="center"/>
            <w:hideMark/>
          </w:tcPr>
          <w:p w14:paraId="18F8DA2F" w14:textId="77777777" w:rsidR="00EF645B" w:rsidRPr="008E2A3E" w:rsidRDefault="00EF645B" w:rsidP="00EF645B">
            <w:pPr>
              <w:spacing w:after="0" w:line="240" w:lineRule="auto"/>
              <w:jc w:val="center"/>
              <w:rPr>
                <w:rFonts w:ascii="Times New Roman" w:eastAsia="Times New Roman" w:hAnsi="Times New Roman" w:cs="Times New Roman"/>
                <w:color w:val="000000"/>
                <w:kern w:val="0"/>
                <w:szCs w:val="24"/>
                <w:lang w:eastAsia="en-IN"/>
                <w14:ligatures w14:val="none"/>
              </w:rPr>
            </w:pPr>
            <w:r w:rsidRPr="008E2A3E">
              <w:rPr>
                <w:rFonts w:ascii="Times New Roman" w:eastAsia="Times New Roman" w:hAnsi="Times New Roman" w:cs="Times New Roman"/>
                <w:color w:val="000000"/>
                <w:kern w:val="0"/>
                <w:szCs w:val="24"/>
                <w:lang w:eastAsia="en-IN"/>
                <w14:ligatures w14:val="none"/>
              </w:rPr>
              <w:t>1391</w:t>
            </w:r>
          </w:p>
        </w:tc>
        <w:tc>
          <w:tcPr>
            <w:tcW w:w="1075" w:type="dxa"/>
            <w:tcBorders>
              <w:top w:val="nil"/>
              <w:left w:val="nil"/>
              <w:bottom w:val="single" w:sz="4" w:space="0" w:color="auto"/>
              <w:right w:val="single" w:sz="4" w:space="0" w:color="auto"/>
            </w:tcBorders>
            <w:noWrap/>
            <w:vAlign w:val="center"/>
            <w:hideMark/>
          </w:tcPr>
          <w:p w14:paraId="1DD6FF50" w14:textId="77777777" w:rsidR="00EF645B" w:rsidRPr="008E2A3E" w:rsidRDefault="00EF645B" w:rsidP="00EF645B">
            <w:pPr>
              <w:spacing w:after="0" w:line="240" w:lineRule="auto"/>
              <w:jc w:val="center"/>
              <w:rPr>
                <w:rFonts w:ascii="Times New Roman" w:eastAsia="Times New Roman" w:hAnsi="Times New Roman" w:cs="Times New Roman"/>
                <w:color w:val="000000"/>
                <w:kern w:val="0"/>
                <w:szCs w:val="24"/>
                <w:lang w:eastAsia="en-IN"/>
                <w14:ligatures w14:val="none"/>
              </w:rPr>
            </w:pPr>
            <w:r w:rsidRPr="008E2A3E">
              <w:rPr>
                <w:rFonts w:ascii="Times New Roman" w:eastAsia="Times New Roman" w:hAnsi="Times New Roman" w:cs="Times New Roman"/>
                <w:color w:val="000000"/>
                <w:kern w:val="0"/>
                <w:szCs w:val="24"/>
                <w:lang w:eastAsia="en-IN"/>
                <w14:ligatures w14:val="none"/>
              </w:rPr>
              <w:t>1531</w:t>
            </w:r>
          </w:p>
        </w:tc>
        <w:tc>
          <w:tcPr>
            <w:tcW w:w="1075" w:type="dxa"/>
            <w:tcBorders>
              <w:top w:val="nil"/>
              <w:left w:val="nil"/>
              <w:bottom w:val="single" w:sz="4" w:space="0" w:color="auto"/>
              <w:right w:val="single" w:sz="4" w:space="0" w:color="auto"/>
            </w:tcBorders>
            <w:noWrap/>
            <w:vAlign w:val="center"/>
            <w:hideMark/>
          </w:tcPr>
          <w:p w14:paraId="5C0D696A" w14:textId="77777777" w:rsidR="00EF645B" w:rsidRPr="008E2A3E" w:rsidRDefault="00EF645B" w:rsidP="00EF645B">
            <w:pPr>
              <w:spacing w:after="0" w:line="240" w:lineRule="auto"/>
              <w:jc w:val="center"/>
              <w:rPr>
                <w:rFonts w:ascii="Times New Roman" w:eastAsia="Times New Roman" w:hAnsi="Times New Roman" w:cs="Times New Roman"/>
                <w:color w:val="000000"/>
                <w:kern w:val="0"/>
                <w:szCs w:val="24"/>
                <w:lang w:eastAsia="en-IN"/>
                <w14:ligatures w14:val="none"/>
              </w:rPr>
            </w:pPr>
            <w:r w:rsidRPr="008E2A3E">
              <w:rPr>
                <w:rFonts w:ascii="Times New Roman" w:eastAsia="Times New Roman" w:hAnsi="Times New Roman" w:cs="Times New Roman"/>
                <w:color w:val="000000"/>
                <w:kern w:val="0"/>
                <w:szCs w:val="24"/>
                <w:lang w:eastAsia="en-IN"/>
                <w14:ligatures w14:val="none"/>
              </w:rPr>
              <w:t>1780</w:t>
            </w:r>
          </w:p>
        </w:tc>
        <w:tc>
          <w:tcPr>
            <w:tcW w:w="1076" w:type="dxa"/>
            <w:tcBorders>
              <w:top w:val="nil"/>
              <w:left w:val="nil"/>
              <w:bottom w:val="single" w:sz="4" w:space="0" w:color="auto"/>
              <w:right w:val="single" w:sz="4" w:space="0" w:color="auto"/>
            </w:tcBorders>
            <w:noWrap/>
            <w:vAlign w:val="center"/>
            <w:hideMark/>
          </w:tcPr>
          <w:p w14:paraId="0992010C" w14:textId="77777777" w:rsidR="00EF645B" w:rsidRPr="008E2A3E" w:rsidRDefault="00EF645B" w:rsidP="00EF645B">
            <w:pPr>
              <w:spacing w:after="0" w:line="240" w:lineRule="auto"/>
              <w:jc w:val="center"/>
              <w:rPr>
                <w:rFonts w:ascii="Times New Roman" w:eastAsia="Times New Roman" w:hAnsi="Times New Roman" w:cs="Times New Roman"/>
                <w:color w:val="000000"/>
                <w:kern w:val="0"/>
                <w:szCs w:val="24"/>
                <w:lang w:eastAsia="en-IN"/>
                <w14:ligatures w14:val="none"/>
              </w:rPr>
            </w:pPr>
            <w:r w:rsidRPr="008E2A3E">
              <w:rPr>
                <w:rFonts w:ascii="Times New Roman" w:eastAsia="Times New Roman" w:hAnsi="Times New Roman" w:cs="Times New Roman"/>
                <w:color w:val="000000"/>
                <w:kern w:val="0"/>
                <w:szCs w:val="24"/>
                <w:lang w:eastAsia="en-IN"/>
                <w14:ligatures w14:val="none"/>
              </w:rPr>
              <w:t>1916</w:t>
            </w:r>
          </w:p>
        </w:tc>
        <w:tc>
          <w:tcPr>
            <w:tcW w:w="1075" w:type="dxa"/>
            <w:tcBorders>
              <w:top w:val="nil"/>
              <w:left w:val="nil"/>
              <w:bottom w:val="single" w:sz="4" w:space="0" w:color="auto"/>
              <w:right w:val="single" w:sz="4" w:space="0" w:color="auto"/>
            </w:tcBorders>
            <w:noWrap/>
            <w:vAlign w:val="center"/>
            <w:hideMark/>
          </w:tcPr>
          <w:p w14:paraId="413ECE4D" w14:textId="77777777" w:rsidR="00EF645B" w:rsidRPr="008E2A3E" w:rsidRDefault="00EF645B" w:rsidP="00EF645B">
            <w:pPr>
              <w:spacing w:after="0" w:line="240" w:lineRule="auto"/>
              <w:jc w:val="center"/>
              <w:rPr>
                <w:rFonts w:ascii="Times New Roman" w:eastAsia="Times New Roman" w:hAnsi="Times New Roman" w:cs="Times New Roman"/>
                <w:color w:val="000000"/>
                <w:kern w:val="0"/>
                <w:szCs w:val="24"/>
                <w:lang w:eastAsia="en-IN"/>
                <w14:ligatures w14:val="none"/>
              </w:rPr>
            </w:pPr>
            <w:r w:rsidRPr="008E2A3E">
              <w:rPr>
                <w:rFonts w:ascii="Times New Roman" w:eastAsia="Times New Roman" w:hAnsi="Times New Roman" w:cs="Times New Roman"/>
                <w:color w:val="000000"/>
                <w:kern w:val="0"/>
                <w:szCs w:val="24"/>
                <w:lang w:eastAsia="en-IN"/>
                <w14:ligatures w14:val="none"/>
              </w:rPr>
              <w:t>529</w:t>
            </w:r>
          </w:p>
        </w:tc>
        <w:tc>
          <w:tcPr>
            <w:tcW w:w="1075" w:type="dxa"/>
            <w:tcBorders>
              <w:top w:val="nil"/>
              <w:left w:val="nil"/>
              <w:bottom w:val="single" w:sz="4" w:space="0" w:color="auto"/>
              <w:right w:val="single" w:sz="4" w:space="0" w:color="auto"/>
            </w:tcBorders>
            <w:noWrap/>
            <w:vAlign w:val="center"/>
            <w:hideMark/>
          </w:tcPr>
          <w:p w14:paraId="217D2881" w14:textId="77777777" w:rsidR="00EF645B" w:rsidRPr="008E2A3E" w:rsidRDefault="00EF645B" w:rsidP="00EF645B">
            <w:pPr>
              <w:spacing w:after="0" w:line="240" w:lineRule="auto"/>
              <w:jc w:val="center"/>
              <w:rPr>
                <w:rFonts w:ascii="Times New Roman" w:eastAsia="Times New Roman" w:hAnsi="Times New Roman" w:cs="Times New Roman"/>
                <w:color w:val="000000"/>
                <w:kern w:val="0"/>
                <w:szCs w:val="24"/>
                <w:lang w:eastAsia="en-IN"/>
                <w14:ligatures w14:val="none"/>
              </w:rPr>
            </w:pPr>
            <w:r w:rsidRPr="008E2A3E">
              <w:rPr>
                <w:rFonts w:ascii="Times New Roman" w:eastAsia="Times New Roman" w:hAnsi="Times New Roman" w:cs="Times New Roman"/>
                <w:color w:val="000000"/>
                <w:kern w:val="0"/>
                <w:szCs w:val="24"/>
                <w:lang w:eastAsia="en-IN"/>
                <w14:ligatures w14:val="none"/>
              </w:rPr>
              <w:t>532</w:t>
            </w:r>
          </w:p>
        </w:tc>
        <w:tc>
          <w:tcPr>
            <w:tcW w:w="1075" w:type="dxa"/>
            <w:tcBorders>
              <w:top w:val="nil"/>
              <w:left w:val="nil"/>
              <w:bottom w:val="single" w:sz="4" w:space="0" w:color="auto"/>
              <w:right w:val="single" w:sz="4" w:space="0" w:color="auto"/>
            </w:tcBorders>
            <w:noWrap/>
            <w:vAlign w:val="center"/>
            <w:hideMark/>
          </w:tcPr>
          <w:p w14:paraId="5987B01B" w14:textId="77777777" w:rsidR="00EF645B" w:rsidRPr="008E2A3E" w:rsidRDefault="00EF645B" w:rsidP="00EF645B">
            <w:pPr>
              <w:spacing w:after="0" w:line="240" w:lineRule="auto"/>
              <w:jc w:val="center"/>
              <w:rPr>
                <w:rFonts w:ascii="Times New Roman" w:eastAsia="Times New Roman" w:hAnsi="Times New Roman" w:cs="Times New Roman"/>
                <w:color w:val="000000"/>
                <w:kern w:val="0"/>
                <w:szCs w:val="24"/>
                <w:lang w:eastAsia="en-IN"/>
                <w14:ligatures w14:val="none"/>
              </w:rPr>
            </w:pPr>
            <w:r w:rsidRPr="008E2A3E">
              <w:rPr>
                <w:rFonts w:ascii="Times New Roman" w:eastAsia="Times New Roman" w:hAnsi="Times New Roman" w:cs="Times New Roman"/>
                <w:color w:val="000000"/>
                <w:kern w:val="0"/>
                <w:szCs w:val="24"/>
                <w:lang w:eastAsia="en-IN"/>
                <w14:ligatures w14:val="none"/>
              </w:rPr>
              <w:t>570</w:t>
            </w:r>
          </w:p>
        </w:tc>
        <w:tc>
          <w:tcPr>
            <w:tcW w:w="1075" w:type="dxa"/>
            <w:tcBorders>
              <w:top w:val="nil"/>
              <w:left w:val="nil"/>
              <w:bottom w:val="single" w:sz="4" w:space="0" w:color="auto"/>
              <w:right w:val="single" w:sz="4" w:space="0" w:color="auto"/>
            </w:tcBorders>
            <w:noWrap/>
            <w:vAlign w:val="center"/>
            <w:hideMark/>
          </w:tcPr>
          <w:p w14:paraId="457BF471" w14:textId="77777777" w:rsidR="00EF645B" w:rsidRPr="008E2A3E" w:rsidRDefault="00EF645B" w:rsidP="00EF645B">
            <w:pPr>
              <w:spacing w:after="0" w:line="240" w:lineRule="auto"/>
              <w:jc w:val="center"/>
              <w:rPr>
                <w:rFonts w:ascii="Times New Roman" w:eastAsia="Times New Roman" w:hAnsi="Times New Roman" w:cs="Times New Roman"/>
                <w:color w:val="000000"/>
                <w:kern w:val="0"/>
                <w:szCs w:val="24"/>
                <w:lang w:eastAsia="en-IN"/>
                <w14:ligatures w14:val="none"/>
              </w:rPr>
            </w:pPr>
            <w:r w:rsidRPr="008E2A3E">
              <w:rPr>
                <w:rFonts w:ascii="Times New Roman" w:eastAsia="Times New Roman" w:hAnsi="Times New Roman" w:cs="Times New Roman"/>
                <w:color w:val="000000"/>
                <w:kern w:val="0"/>
                <w:szCs w:val="24"/>
                <w:lang w:eastAsia="en-IN"/>
                <w14:ligatures w14:val="none"/>
              </w:rPr>
              <w:t>693</w:t>
            </w:r>
          </w:p>
        </w:tc>
        <w:tc>
          <w:tcPr>
            <w:tcW w:w="1076" w:type="dxa"/>
            <w:tcBorders>
              <w:top w:val="nil"/>
              <w:left w:val="nil"/>
              <w:bottom w:val="single" w:sz="4" w:space="0" w:color="auto"/>
              <w:right w:val="single" w:sz="4" w:space="0" w:color="auto"/>
            </w:tcBorders>
            <w:noWrap/>
            <w:vAlign w:val="center"/>
            <w:hideMark/>
          </w:tcPr>
          <w:p w14:paraId="3F5D7DD3" w14:textId="77777777" w:rsidR="00EF645B" w:rsidRPr="008E2A3E" w:rsidRDefault="00EF645B" w:rsidP="00EF645B">
            <w:pPr>
              <w:spacing w:after="0" w:line="240" w:lineRule="auto"/>
              <w:jc w:val="center"/>
              <w:rPr>
                <w:rFonts w:ascii="Times New Roman" w:eastAsia="Times New Roman" w:hAnsi="Times New Roman" w:cs="Times New Roman"/>
                <w:color w:val="000000"/>
                <w:kern w:val="0"/>
                <w:szCs w:val="24"/>
                <w:lang w:eastAsia="en-IN"/>
                <w14:ligatures w14:val="none"/>
              </w:rPr>
            </w:pPr>
            <w:r w:rsidRPr="008E2A3E">
              <w:rPr>
                <w:rFonts w:ascii="Times New Roman" w:eastAsia="Times New Roman" w:hAnsi="Times New Roman" w:cs="Times New Roman"/>
                <w:color w:val="000000"/>
                <w:kern w:val="0"/>
                <w:szCs w:val="24"/>
                <w:lang w:eastAsia="en-IN"/>
                <w14:ligatures w14:val="none"/>
              </w:rPr>
              <w:t>700</w:t>
            </w:r>
          </w:p>
        </w:tc>
      </w:tr>
      <w:tr w:rsidR="00EF645B" w:rsidRPr="008E2A3E" w14:paraId="41F73566" w14:textId="77777777" w:rsidTr="008E2A3E">
        <w:trPr>
          <w:trHeight w:val="300"/>
          <w:jc w:val="center"/>
        </w:trPr>
        <w:tc>
          <w:tcPr>
            <w:tcW w:w="3173" w:type="dxa"/>
            <w:tcBorders>
              <w:top w:val="nil"/>
              <w:left w:val="single" w:sz="4" w:space="0" w:color="auto"/>
              <w:bottom w:val="single" w:sz="4" w:space="0" w:color="auto"/>
              <w:right w:val="single" w:sz="4" w:space="0" w:color="auto"/>
            </w:tcBorders>
            <w:noWrap/>
            <w:vAlign w:val="center"/>
            <w:hideMark/>
          </w:tcPr>
          <w:p w14:paraId="1BD8DB2F" w14:textId="77777777" w:rsidR="00EF645B" w:rsidRPr="008E2A3E" w:rsidRDefault="00EF645B" w:rsidP="00EF645B">
            <w:pPr>
              <w:spacing w:after="0" w:line="240" w:lineRule="auto"/>
              <w:rPr>
                <w:rFonts w:ascii="Times New Roman" w:eastAsia="Times New Roman" w:hAnsi="Times New Roman" w:cs="Times New Roman"/>
                <w:color w:val="000000"/>
                <w:kern w:val="0"/>
                <w:szCs w:val="24"/>
                <w:lang w:eastAsia="en-IN"/>
                <w14:ligatures w14:val="none"/>
              </w:rPr>
            </w:pPr>
            <w:r w:rsidRPr="008E2A3E">
              <w:rPr>
                <w:rFonts w:ascii="Times New Roman" w:eastAsia="Times New Roman" w:hAnsi="Times New Roman" w:cs="Times New Roman"/>
                <w:color w:val="000000"/>
                <w:kern w:val="0"/>
                <w:szCs w:val="24"/>
                <w:lang w:eastAsia="en-IN"/>
                <w14:ligatures w14:val="none"/>
              </w:rPr>
              <w:t>All States (excl. Nagaland)</w:t>
            </w:r>
          </w:p>
        </w:tc>
        <w:tc>
          <w:tcPr>
            <w:tcW w:w="1075" w:type="dxa"/>
            <w:tcBorders>
              <w:top w:val="nil"/>
              <w:left w:val="nil"/>
              <w:bottom w:val="single" w:sz="4" w:space="0" w:color="auto"/>
              <w:right w:val="single" w:sz="4" w:space="0" w:color="auto"/>
            </w:tcBorders>
            <w:noWrap/>
            <w:vAlign w:val="center"/>
            <w:hideMark/>
          </w:tcPr>
          <w:p w14:paraId="695D49E1" w14:textId="77777777" w:rsidR="00EF645B" w:rsidRPr="008E2A3E" w:rsidRDefault="00EF645B" w:rsidP="00EF645B">
            <w:pPr>
              <w:spacing w:after="0" w:line="240" w:lineRule="auto"/>
              <w:jc w:val="center"/>
              <w:rPr>
                <w:rFonts w:ascii="Times New Roman" w:eastAsia="Times New Roman" w:hAnsi="Times New Roman" w:cs="Times New Roman"/>
                <w:color w:val="000000"/>
                <w:kern w:val="0"/>
                <w:szCs w:val="24"/>
                <w:lang w:eastAsia="en-IN"/>
                <w14:ligatures w14:val="none"/>
              </w:rPr>
            </w:pPr>
            <w:r w:rsidRPr="008E2A3E">
              <w:rPr>
                <w:rFonts w:ascii="Times New Roman" w:eastAsia="Times New Roman" w:hAnsi="Times New Roman" w:cs="Times New Roman"/>
                <w:color w:val="000000"/>
                <w:kern w:val="0"/>
                <w:szCs w:val="24"/>
                <w:lang w:eastAsia="en-IN"/>
                <w14:ligatures w14:val="none"/>
              </w:rPr>
              <w:t>12959</w:t>
            </w:r>
          </w:p>
        </w:tc>
        <w:tc>
          <w:tcPr>
            <w:tcW w:w="1075" w:type="dxa"/>
            <w:tcBorders>
              <w:top w:val="nil"/>
              <w:left w:val="nil"/>
              <w:bottom w:val="single" w:sz="4" w:space="0" w:color="auto"/>
              <w:right w:val="single" w:sz="4" w:space="0" w:color="auto"/>
            </w:tcBorders>
            <w:noWrap/>
            <w:vAlign w:val="center"/>
            <w:hideMark/>
          </w:tcPr>
          <w:p w14:paraId="3AE81DBC" w14:textId="77777777" w:rsidR="00EF645B" w:rsidRPr="008E2A3E" w:rsidRDefault="00EF645B" w:rsidP="00EF645B">
            <w:pPr>
              <w:spacing w:after="0" w:line="240" w:lineRule="auto"/>
              <w:jc w:val="center"/>
              <w:rPr>
                <w:rFonts w:ascii="Times New Roman" w:eastAsia="Times New Roman" w:hAnsi="Times New Roman" w:cs="Times New Roman"/>
                <w:color w:val="000000"/>
                <w:kern w:val="0"/>
                <w:szCs w:val="24"/>
                <w:lang w:eastAsia="en-IN"/>
                <w14:ligatures w14:val="none"/>
              </w:rPr>
            </w:pPr>
            <w:r w:rsidRPr="008E2A3E">
              <w:rPr>
                <w:rFonts w:ascii="Times New Roman" w:eastAsia="Times New Roman" w:hAnsi="Times New Roman" w:cs="Times New Roman"/>
                <w:color w:val="000000"/>
                <w:kern w:val="0"/>
                <w:szCs w:val="24"/>
                <w:lang w:eastAsia="en-IN"/>
                <w14:ligatures w14:val="none"/>
              </w:rPr>
              <w:t>13739</w:t>
            </w:r>
          </w:p>
        </w:tc>
        <w:tc>
          <w:tcPr>
            <w:tcW w:w="1075" w:type="dxa"/>
            <w:tcBorders>
              <w:top w:val="nil"/>
              <w:left w:val="nil"/>
              <w:bottom w:val="single" w:sz="4" w:space="0" w:color="auto"/>
              <w:right w:val="single" w:sz="4" w:space="0" w:color="auto"/>
            </w:tcBorders>
            <w:noWrap/>
            <w:vAlign w:val="center"/>
            <w:hideMark/>
          </w:tcPr>
          <w:p w14:paraId="75C9811F" w14:textId="77777777" w:rsidR="00EF645B" w:rsidRPr="008E2A3E" w:rsidRDefault="00EF645B" w:rsidP="00EF645B">
            <w:pPr>
              <w:spacing w:after="0" w:line="240" w:lineRule="auto"/>
              <w:jc w:val="center"/>
              <w:rPr>
                <w:rFonts w:ascii="Times New Roman" w:eastAsia="Times New Roman" w:hAnsi="Times New Roman" w:cs="Times New Roman"/>
                <w:color w:val="000000"/>
                <w:kern w:val="0"/>
                <w:szCs w:val="24"/>
                <w:lang w:eastAsia="en-IN"/>
                <w14:ligatures w14:val="none"/>
              </w:rPr>
            </w:pPr>
            <w:r w:rsidRPr="008E2A3E">
              <w:rPr>
                <w:rFonts w:ascii="Times New Roman" w:eastAsia="Times New Roman" w:hAnsi="Times New Roman" w:cs="Times New Roman"/>
                <w:color w:val="000000"/>
                <w:kern w:val="0"/>
                <w:szCs w:val="24"/>
                <w:lang w:eastAsia="en-IN"/>
                <w14:ligatures w14:val="none"/>
              </w:rPr>
              <w:t>14466</w:t>
            </w:r>
          </w:p>
        </w:tc>
        <w:tc>
          <w:tcPr>
            <w:tcW w:w="1075" w:type="dxa"/>
            <w:tcBorders>
              <w:top w:val="nil"/>
              <w:left w:val="nil"/>
              <w:bottom w:val="single" w:sz="4" w:space="0" w:color="auto"/>
              <w:right w:val="single" w:sz="4" w:space="0" w:color="auto"/>
            </w:tcBorders>
            <w:noWrap/>
            <w:vAlign w:val="center"/>
            <w:hideMark/>
          </w:tcPr>
          <w:p w14:paraId="4E6B7B92" w14:textId="77777777" w:rsidR="00EF645B" w:rsidRPr="008E2A3E" w:rsidRDefault="00EF645B" w:rsidP="00EF645B">
            <w:pPr>
              <w:spacing w:after="0" w:line="240" w:lineRule="auto"/>
              <w:jc w:val="center"/>
              <w:rPr>
                <w:rFonts w:ascii="Times New Roman" w:eastAsia="Times New Roman" w:hAnsi="Times New Roman" w:cs="Times New Roman"/>
                <w:color w:val="000000"/>
                <w:kern w:val="0"/>
                <w:szCs w:val="24"/>
                <w:lang w:eastAsia="en-IN"/>
                <w14:ligatures w14:val="none"/>
              </w:rPr>
            </w:pPr>
            <w:r w:rsidRPr="008E2A3E">
              <w:rPr>
                <w:rFonts w:ascii="Times New Roman" w:eastAsia="Times New Roman" w:hAnsi="Times New Roman" w:cs="Times New Roman"/>
                <w:color w:val="000000"/>
                <w:kern w:val="0"/>
                <w:szCs w:val="24"/>
                <w:lang w:eastAsia="en-IN"/>
                <w14:ligatures w14:val="none"/>
              </w:rPr>
              <w:t>16593</w:t>
            </w:r>
          </w:p>
        </w:tc>
        <w:tc>
          <w:tcPr>
            <w:tcW w:w="1076" w:type="dxa"/>
            <w:tcBorders>
              <w:top w:val="nil"/>
              <w:left w:val="nil"/>
              <w:bottom w:val="single" w:sz="4" w:space="0" w:color="auto"/>
              <w:right w:val="single" w:sz="4" w:space="0" w:color="auto"/>
            </w:tcBorders>
            <w:noWrap/>
            <w:vAlign w:val="center"/>
            <w:hideMark/>
          </w:tcPr>
          <w:p w14:paraId="0C706CE1" w14:textId="77777777" w:rsidR="00EF645B" w:rsidRPr="008E2A3E" w:rsidRDefault="00EF645B" w:rsidP="00EF645B">
            <w:pPr>
              <w:spacing w:after="0" w:line="240" w:lineRule="auto"/>
              <w:jc w:val="center"/>
              <w:rPr>
                <w:rFonts w:ascii="Times New Roman" w:eastAsia="Times New Roman" w:hAnsi="Times New Roman" w:cs="Times New Roman"/>
                <w:color w:val="000000"/>
                <w:kern w:val="0"/>
                <w:szCs w:val="24"/>
                <w:lang w:eastAsia="en-IN"/>
                <w14:ligatures w14:val="none"/>
              </w:rPr>
            </w:pPr>
            <w:r w:rsidRPr="008E2A3E">
              <w:rPr>
                <w:rFonts w:ascii="Times New Roman" w:eastAsia="Times New Roman" w:hAnsi="Times New Roman" w:cs="Times New Roman"/>
                <w:color w:val="000000"/>
                <w:kern w:val="0"/>
                <w:szCs w:val="24"/>
                <w:lang w:eastAsia="en-IN"/>
                <w14:ligatures w14:val="none"/>
              </w:rPr>
              <w:t>19535</w:t>
            </w:r>
          </w:p>
        </w:tc>
        <w:tc>
          <w:tcPr>
            <w:tcW w:w="1075" w:type="dxa"/>
            <w:tcBorders>
              <w:top w:val="nil"/>
              <w:left w:val="nil"/>
              <w:bottom w:val="single" w:sz="4" w:space="0" w:color="auto"/>
              <w:right w:val="single" w:sz="4" w:space="0" w:color="auto"/>
            </w:tcBorders>
            <w:noWrap/>
            <w:vAlign w:val="center"/>
            <w:hideMark/>
          </w:tcPr>
          <w:p w14:paraId="500DA93D" w14:textId="77777777" w:rsidR="00EF645B" w:rsidRPr="008E2A3E" w:rsidRDefault="00EF645B" w:rsidP="00EF645B">
            <w:pPr>
              <w:spacing w:after="0" w:line="240" w:lineRule="auto"/>
              <w:jc w:val="center"/>
              <w:rPr>
                <w:rFonts w:ascii="Times New Roman" w:eastAsia="Times New Roman" w:hAnsi="Times New Roman" w:cs="Times New Roman"/>
                <w:color w:val="000000"/>
                <w:kern w:val="0"/>
                <w:szCs w:val="24"/>
                <w:lang w:eastAsia="en-IN"/>
                <w14:ligatures w14:val="none"/>
              </w:rPr>
            </w:pPr>
            <w:r w:rsidRPr="008E2A3E">
              <w:rPr>
                <w:rFonts w:ascii="Times New Roman" w:eastAsia="Times New Roman" w:hAnsi="Times New Roman" w:cs="Times New Roman"/>
                <w:color w:val="000000"/>
                <w:kern w:val="0"/>
                <w:szCs w:val="24"/>
                <w:lang w:eastAsia="en-IN"/>
                <w14:ligatures w14:val="none"/>
              </w:rPr>
              <w:t>6670</w:t>
            </w:r>
          </w:p>
        </w:tc>
        <w:tc>
          <w:tcPr>
            <w:tcW w:w="1075" w:type="dxa"/>
            <w:tcBorders>
              <w:top w:val="nil"/>
              <w:left w:val="nil"/>
              <w:bottom w:val="single" w:sz="4" w:space="0" w:color="auto"/>
              <w:right w:val="single" w:sz="4" w:space="0" w:color="auto"/>
            </w:tcBorders>
            <w:noWrap/>
            <w:vAlign w:val="center"/>
            <w:hideMark/>
          </w:tcPr>
          <w:p w14:paraId="37225729" w14:textId="77777777" w:rsidR="00EF645B" w:rsidRPr="008E2A3E" w:rsidRDefault="00EF645B" w:rsidP="00EF645B">
            <w:pPr>
              <w:spacing w:after="0" w:line="240" w:lineRule="auto"/>
              <w:jc w:val="center"/>
              <w:rPr>
                <w:rFonts w:ascii="Times New Roman" w:eastAsia="Times New Roman" w:hAnsi="Times New Roman" w:cs="Times New Roman"/>
                <w:color w:val="000000"/>
                <w:kern w:val="0"/>
                <w:szCs w:val="24"/>
                <w:lang w:eastAsia="en-IN"/>
                <w14:ligatures w14:val="none"/>
              </w:rPr>
            </w:pPr>
            <w:r w:rsidRPr="008E2A3E">
              <w:rPr>
                <w:rFonts w:ascii="Times New Roman" w:eastAsia="Times New Roman" w:hAnsi="Times New Roman" w:cs="Times New Roman"/>
                <w:color w:val="000000"/>
                <w:kern w:val="0"/>
                <w:szCs w:val="24"/>
                <w:lang w:eastAsia="en-IN"/>
                <w14:ligatures w14:val="none"/>
              </w:rPr>
              <w:t>6902</w:t>
            </w:r>
          </w:p>
        </w:tc>
        <w:tc>
          <w:tcPr>
            <w:tcW w:w="1075" w:type="dxa"/>
            <w:tcBorders>
              <w:top w:val="nil"/>
              <w:left w:val="nil"/>
              <w:bottom w:val="single" w:sz="4" w:space="0" w:color="auto"/>
              <w:right w:val="single" w:sz="4" w:space="0" w:color="auto"/>
            </w:tcBorders>
            <w:noWrap/>
            <w:vAlign w:val="center"/>
            <w:hideMark/>
          </w:tcPr>
          <w:p w14:paraId="3B769D1B" w14:textId="77777777" w:rsidR="00EF645B" w:rsidRPr="008E2A3E" w:rsidRDefault="00EF645B" w:rsidP="00EF645B">
            <w:pPr>
              <w:spacing w:after="0" w:line="240" w:lineRule="auto"/>
              <w:jc w:val="center"/>
              <w:rPr>
                <w:rFonts w:ascii="Times New Roman" w:eastAsia="Times New Roman" w:hAnsi="Times New Roman" w:cs="Times New Roman"/>
                <w:color w:val="000000"/>
                <w:kern w:val="0"/>
                <w:szCs w:val="24"/>
                <w:lang w:eastAsia="en-IN"/>
                <w14:ligatures w14:val="none"/>
              </w:rPr>
            </w:pPr>
            <w:r w:rsidRPr="008E2A3E">
              <w:rPr>
                <w:rFonts w:ascii="Times New Roman" w:eastAsia="Times New Roman" w:hAnsi="Times New Roman" w:cs="Times New Roman"/>
                <w:color w:val="000000"/>
                <w:kern w:val="0"/>
                <w:szCs w:val="24"/>
                <w:lang w:eastAsia="en-IN"/>
                <w14:ligatures w14:val="none"/>
              </w:rPr>
              <w:t>7005</w:t>
            </w:r>
          </w:p>
        </w:tc>
        <w:tc>
          <w:tcPr>
            <w:tcW w:w="1075" w:type="dxa"/>
            <w:tcBorders>
              <w:top w:val="nil"/>
              <w:left w:val="nil"/>
              <w:bottom w:val="single" w:sz="4" w:space="0" w:color="auto"/>
              <w:right w:val="single" w:sz="4" w:space="0" w:color="auto"/>
            </w:tcBorders>
            <w:noWrap/>
            <w:vAlign w:val="center"/>
            <w:hideMark/>
          </w:tcPr>
          <w:p w14:paraId="5075ED26" w14:textId="77777777" w:rsidR="00EF645B" w:rsidRPr="008E2A3E" w:rsidRDefault="00EF645B" w:rsidP="00EF645B">
            <w:pPr>
              <w:spacing w:after="0" w:line="240" w:lineRule="auto"/>
              <w:jc w:val="center"/>
              <w:rPr>
                <w:rFonts w:ascii="Times New Roman" w:eastAsia="Times New Roman" w:hAnsi="Times New Roman" w:cs="Times New Roman"/>
                <w:color w:val="000000"/>
                <w:kern w:val="0"/>
                <w:szCs w:val="24"/>
                <w:lang w:eastAsia="en-IN"/>
                <w14:ligatures w14:val="none"/>
              </w:rPr>
            </w:pPr>
            <w:r w:rsidRPr="008E2A3E">
              <w:rPr>
                <w:rFonts w:ascii="Times New Roman" w:eastAsia="Times New Roman" w:hAnsi="Times New Roman" w:cs="Times New Roman"/>
                <w:color w:val="000000"/>
                <w:kern w:val="0"/>
                <w:szCs w:val="24"/>
                <w:lang w:eastAsia="en-IN"/>
                <w14:ligatures w14:val="none"/>
              </w:rPr>
              <w:t>8216</w:t>
            </w:r>
          </w:p>
        </w:tc>
        <w:tc>
          <w:tcPr>
            <w:tcW w:w="1076" w:type="dxa"/>
            <w:tcBorders>
              <w:top w:val="nil"/>
              <w:left w:val="nil"/>
              <w:bottom w:val="single" w:sz="4" w:space="0" w:color="auto"/>
              <w:right w:val="single" w:sz="4" w:space="0" w:color="auto"/>
            </w:tcBorders>
            <w:noWrap/>
            <w:vAlign w:val="center"/>
            <w:hideMark/>
          </w:tcPr>
          <w:p w14:paraId="5717AA90" w14:textId="77777777" w:rsidR="00EF645B" w:rsidRPr="008E2A3E" w:rsidRDefault="00EF645B" w:rsidP="00EF645B">
            <w:pPr>
              <w:spacing w:after="0" w:line="240" w:lineRule="auto"/>
              <w:jc w:val="center"/>
              <w:rPr>
                <w:rFonts w:ascii="Times New Roman" w:eastAsia="Times New Roman" w:hAnsi="Times New Roman" w:cs="Times New Roman"/>
                <w:color w:val="000000"/>
                <w:kern w:val="0"/>
                <w:szCs w:val="24"/>
                <w:lang w:eastAsia="en-IN"/>
                <w14:ligatures w14:val="none"/>
              </w:rPr>
            </w:pPr>
            <w:r w:rsidRPr="008E2A3E">
              <w:rPr>
                <w:rFonts w:ascii="Times New Roman" w:eastAsia="Times New Roman" w:hAnsi="Times New Roman" w:cs="Times New Roman"/>
                <w:color w:val="000000"/>
                <w:kern w:val="0"/>
                <w:szCs w:val="24"/>
                <w:lang w:eastAsia="en-IN"/>
                <w14:ligatures w14:val="none"/>
              </w:rPr>
              <w:t>10044</w:t>
            </w:r>
          </w:p>
        </w:tc>
      </w:tr>
    </w:tbl>
    <w:p w14:paraId="7A5EA5CC" w14:textId="5BA0AEC2" w:rsidR="00EF645B" w:rsidRPr="008E2A3E" w:rsidRDefault="00EF645B" w:rsidP="00EF645B">
      <w:pPr>
        <w:tabs>
          <w:tab w:val="left" w:pos="1415"/>
        </w:tabs>
        <w:rPr>
          <w:rFonts w:ascii="Times New Roman" w:hAnsi="Times New Roman" w:cs="Times New Roman"/>
          <w:sz w:val="20"/>
          <w:szCs w:val="18"/>
        </w:rPr>
      </w:pPr>
      <w:r w:rsidRPr="008E2A3E">
        <w:rPr>
          <w:rFonts w:ascii="Times New Roman" w:hAnsi="Times New Roman" w:cs="Times New Roman"/>
          <w:sz w:val="20"/>
          <w:szCs w:val="18"/>
        </w:rPr>
        <w:t xml:space="preserve">Source: Central Statistical Organisation, Cabinet Secretariat. The estimates have been worked out by adopting the concept of 'Income originating within the geographical boundaries of India. </w:t>
      </w:r>
    </w:p>
    <w:p w14:paraId="491A90D8" w14:textId="6BE3E9BE" w:rsidR="00EF645B" w:rsidRPr="007245B0" w:rsidRDefault="008E2A3E" w:rsidP="00EF645B">
      <w:pPr>
        <w:tabs>
          <w:tab w:val="left" w:pos="1415"/>
        </w:tabs>
        <w:rPr>
          <w:rFonts w:ascii="Times New Roman" w:hAnsi="Times New Roman" w:cs="Times New Roman"/>
        </w:rPr>
        <w:sectPr w:rsidR="00EF645B" w:rsidRPr="007245B0" w:rsidSect="00EF645B">
          <w:pgSz w:w="15840" w:h="12240" w:orient="landscape"/>
          <w:pgMar w:top="1440" w:right="992" w:bottom="1440" w:left="1440" w:header="720" w:footer="720" w:gutter="0"/>
          <w:cols w:space="720"/>
        </w:sectPr>
      </w:pPr>
      <w:r>
        <w:rPr>
          <w:rFonts w:ascii="Times New Roman" w:hAnsi="Times New Roman" w:cs="Times New Roman"/>
          <w:sz w:val="20"/>
          <w:szCs w:val="18"/>
        </w:rPr>
        <w:t>*</w:t>
      </w:r>
      <w:r w:rsidR="00EF645B" w:rsidRPr="008E2A3E">
        <w:rPr>
          <w:rFonts w:ascii="Times New Roman" w:hAnsi="Times New Roman" w:cs="Times New Roman"/>
          <w:sz w:val="20"/>
          <w:szCs w:val="18"/>
        </w:rPr>
        <w:t>Excluding Defence, Government of India Embassies and other establishments abroad and business outside of Indian Insurers.</w:t>
      </w:r>
      <w:r w:rsidR="00EF645B" w:rsidRPr="007245B0">
        <w:rPr>
          <w:rFonts w:ascii="Times New Roman" w:hAnsi="Times New Roman" w:cs="Times New Roman"/>
        </w:rPr>
        <w:tab/>
      </w:r>
    </w:p>
    <w:p w14:paraId="2730229F" w14:textId="7CACE3B5" w:rsidR="00490A74" w:rsidRPr="007245B0" w:rsidRDefault="00490A74" w:rsidP="008E2A3E">
      <w:pPr>
        <w:pStyle w:val="Heading4"/>
      </w:pPr>
      <w:bookmarkStart w:id="45" w:name="_Toc220949685"/>
      <w:bookmarkStart w:id="46" w:name="_Toc221114285"/>
      <w:bookmarkStart w:id="47" w:name="_Toc221115308"/>
      <w:r w:rsidRPr="007245B0">
        <w:lastRenderedPageBreak/>
        <w:t>Table 5: Per Capita Income in 1960-61 to 1964-65 by States</w:t>
      </w:r>
      <w:bookmarkEnd w:id="45"/>
      <w:bookmarkEnd w:id="46"/>
      <w:bookmarkEnd w:id="47"/>
    </w:p>
    <w:p w14:paraId="22F499C9" w14:textId="10C31603" w:rsidR="00490A74" w:rsidRPr="007245B0" w:rsidRDefault="00490A74" w:rsidP="00490A74">
      <w:pPr>
        <w:tabs>
          <w:tab w:val="left" w:pos="3168"/>
        </w:tabs>
        <w:jc w:val="center"/>
        <w:rPr>
          <w:rFonts w:ascii="Times New Roman" w:hAnsi="Times New Roman" w:cs="Times New Roman"/>
        </w:rPr>
      </w:pPr>
      <w:r w:rsidRPr="007245B0">
        <w:rPr>
          <w:rFonts w:ascii="Times New Roman" w:hAnsi="Times New Roman" w:cs="Times New Roman"/>
        </w:rPr>
        <w:t>(At current prices).</w:t>
      </w:r>
    </w:p>
    <w:p w14:paraId="3E5D39EE" w14:textId="11F0A01E" w:rsidR="002B7C1B" w:rsidRPr="00F42E63" w:rsidRDefault="00490A74" w:rsidP="008E2A3E">
      <w:pPr>
        <w:tabs>
          <w:tab w:val="left" w:pos="3168"/>
        </w:tabs>
        <w:jc w:val="right"/>
        <w:rPr>
          <w:rFonts w:ascii="Times New Roman" w:hAnsi="Times New Roman" w:cs="Times New Roman"/>
          <w:i/>
          <w:iCs/>
        </w:rPr>
      </w:pPr>
      <w:r w:rsidRPr="00F42E63">
        <w:rPr>
          <w:rFonts w:ascii="Times New Roman" w:hAnsi="Times New Roman" w:cs="Times New Roman"/>
          <w:i/>
          <w:iCs/>
        </w:rPr>
        <w:t xml:space="preserve">(Rupees) </w:t>
      </w:r>
    </w:p>
    <w:tbl>
      <w:tblPr>
        <w:tblW w:w="9981" w:type="dxa"/>
        <w:tblInd w:w="-318" w:type="dxa"/>
        <w:tblLook w:val="04A0" w:firstRow="1" w:lastRow="0" w:firstColumn="1" w:lastColumn="0" w:noHBand="0" w:noVBand="1"/>
      </w:tblPr>
      <w:tblGrid>
        <w:gridCol w:w="4201"/>
        <w:gridCol w:w="1156"/>
        <w:gridCol w:w="1156"/>
        <w:gridCol w:w="1156"/>
        <w:gridCol w:w="1156"/>
        <w:gridCol w:w="1156"/>
      </w:tblGrid>
      <w:tr w:rsidR="00490A74" w:rsidRPr="008E2A3E" w14:paraId="5B3B5FFB" w14:textId="77777777" w:rsidTr="00490A74">
        <w:trPr>
          <w:trHeight w:val="307"/>
        </w:trPr>
        <w:tc>
          <w:tcPr>
            <w:tcW w:w="4201" w:type="dxa"/>
            <w:vMerge w:val="restart"/>
            <w:tcBorders>
              <w:top w:val="single" w:sz="4" w:space="0" w:color="auto"/>
              <w:left w:val="single" w:sz="4" w:space="0" w:color="auto"/>
              <w:bottom w:val="single" w:sz="4" w:space="0" w:color="auto"/>
              <w:right w:val="single" w:sz="4" w:space="0" w:color="auto"/>
            </w:tcBorders>
            <w:vAlign w:val="center"/>
            <w:hideMark/>
          </w:tcPr>
          <w:p w14:paraId="4A72FCA3" w14:textId="77777777" w:rsidR="00490A74" w:rsidRPr="008E2A3E" w:rsidRDefault="00490A74" w:rsidP="00490A74">
            <w:pPr>
              <w:spacing w:after="0" w:line="240" w:lineRule="auto"/>
              <w:jc w:val="center"/>
              <w:rPr>
                <w:rFonts w:ascii="Times New Roman" w:eastAsia="Times New Roman" w:hAnsi="Times New Roman" w:cs="Times New Roman"/>
                <w:b/>
                <w:bCs/>
                <w:color w:val="000000"/>
                <w:kern w:val="0"/>
                <w:szCs w:val="24"/>
                <w:lang w:eastAsia="en-IN"/>
                <w14:ligatures w14:val="none"/>
              </w:rPr>
            </w:pPr>
            <w:r w:rsidRPr="008E2A3E">
              <w:rPr>
                <w:rFonts w:ascii="Times New Roman" w:eastAsia="Times New Roman" w:hAnsi="Times New Roman" w:cs="Times New Roman"/>
                <w:b/>
                <w:bCs/>
                <w:color w:val="000000"/>
                <w:kern w:val="0"/>
                <w:szCs w:val="24"/>
                <w:lang w:eastAsia="en-IN"/>
                <w14:ligatures w14:val="none"/>
              </w:rPr>
              <w:t>States</w:t>
            </w:r>
          </w:p>
        </w:tc>
        <w:tc>
          <w:tcPr>
            <w:tcW w:w="5780" w:type="dxa"/>
            <w:gridSpan w:val="5"/>
            <w:tcBorders>
              <w:top w:val="single" w:sz="4" w:space="0" w:color="auto"/>
              <w:left w:val="nil"/>
              <w:bottom w:val="single" w:sz="4" w:space="0" w:color="auto"/>
              <w:right w:val="single" w:sz="4" w:space="0" w:color="auto"/>
            </w:tcBorders>
            <w:noWrap/>
            <w:vAlign w:val="center"/>
            <w:hideMark/>
          </w:tcPr>
          <w:p w14:paraId="3852CAD0" w14:textId="77777777" w:rsidR="00490A74" w:rsidRPr="008E2A3E" w:rsidRDefault="00490A74" w:rsidP="00490A74">
            <w:pPr>
              <w:spacing w:after="0" w:line="240" w:lineRule="auto"/>
              <w:jc w:val="center"/>
              <w:rPr>
                <w:rFonts w:ascii="Times New Roman" w:eastAsia="Times New Roman" w:hAnsi="Times New Roman" w:cs="Times New Roman"/>
                <w:b/>
                <w:bCs/>
                <w:color w:val="000000"/>
                <w:kern w:val="0"/>
                <w:szCs w:val="24"/>
                <w:lang w:eastAsia="en-IN"/>
                <w14:ligatures w14:val="none"/>
              </w:rPr>
            </w:pPr>
            <w:r w:rsidRPr="008E2A3E">
              <w:rPr>
                <w:rFonts w:ascii="Times New Roman" w:eastAsia="Times New Roman" w:hAnsi="Times New Roman" w:cs="Times New Roman"/>
                <w:b/>
                <w:bCs/>
                <w:color w:val="000000"/>
                <w:kern w:val="0"/>
                <w:szCs w:val="24"/>
                <w:lang w:eastAsia="en-IN"/>
                <w14:ligatures w14:val="none"/>
              </w:rPr>
              <w:t>Per capita**</w:t>
            </w:r>
          </w:p>
        </w:tc>
      </w:tr>
      <w:tr w:rsidR="00490A74" w:rsidRPr="008E2A3E" w14:paraId="56289277" w14:textId="77777777" w:rsidTr="00490A74">
        <w:trPr>
          <w:trHeight w:val="307"/>
        </w:trPr>
        <w:tc>
          <w:tcPr>
            <w:tcW w:w="4201" w:type="dxa"/>
            <w:vMerge/>
            <w:tcBorders>
              <w:top w:val="single" w:sz="4" w:space="0" w:color="auto"/>
              <w:left w:val="single" w:sz="4" w:space="0" w:color="auto"/>
              <w:bottom w:val="single" w:sz="4" w:space="0" w:color="auto"/>
              <w:right w:val="single" w:sz="4" w:space="0" w:color="auto"/>
            </w:tcBorders>
            <w:vAlign w:val="center"/>
            <w:hideMark/>
          </w:tcPr>
          <w:p w14:paraId="0FDE18E5" w14:textId="77777777" w:rsidR="00490A74" w:rsidRPr="008E2A3E" w:rsidRDefault="00490A74" w:rsidP="00490A74">
            <w:pPr>
              <w:spacing w:after="0" w:line="240" w:lineRule="auto"/>
              <w:rPr>
                <w:rFonts w:ascii="Times New Roman" w:eastAsia="Times New Roman" w:hAnsi="Times New Roman" w:cs="Times New Roman"/>
                <w:b/>
                <w:bCs/>
                <w:color w:val="000000"/>
                <w:kern w:val="0"/>
                <w:szCs w:val="24"/>
                <w:lang w:eastAsia="en-IN"/>
                <w14:ligatures w14:val="none"/>
              </w:rPr>
            </w:pPr>
          </w:p>
        </w:tc>
        <w:tc>
          <w:tcPr>
            <w:tcW w:w="1156" w:type="dxa"/>
            <w:tcBorders>
              <w:top w:val="nil"/>
              <w:left w:val="nil"/>
              <w:bottom w:val="single" w:sz="4" w:space="0" w:color="auto"/>
              <w:right w:val="single" w:sz="4" w:space="0" w:color="auto"/>
            </w:tcBorders>
            <w:hideMark/>
          </w:tcPr>
          <w:p w14:paraId="566DD491" w14:textId="77777777" w:rsidR="00490A74" w:rsidRPr="008E2A3E" w:rsidRDefault="00490A74" w:rsidP="00490A74">
            <w:pPr>
              <w:spacing w:after="0" w:line="240" w:lineRule="auto"/>
              <w:rPr>
                <w:rFonts w:ascii="Times New Roman" w:eastAsia="Times New Roman" w:hAnsi="Times New Roman" w:cs="Times New Roman"/>
                <w:b/>
                <w:bCs/>
                <w:color w:val="000000"/>
                <w:kern w:val="0"/>
                <w:szCs w:val="24"/>
                <w:lang w:eastAsia="en-IN"/>
                <w14:ligatures w14:val="none"/>
              </w:rPr>
            </w:pPr>
            <w:r w:rsidRPr="008E2A3E">
              <w:rPr>
                <w:rFonts w:ascii="Times New Roman" w:eastAsia="Times New Roman" w:hAnsi="Times New Roman" w:cs="Times New Roman"/>
                <w:b/>
                <w:bCs/>
                <w:color w:val="000000"/>
                <w:kern w:val="0"/>
                <w:szCs w:val="24"/>
                <w:lang w:eastAsia="en-IN"/>
                <w14:ligatures w14:val="none"/>
              </w:rPr>
              <w:t>1960-61</w:t>
            </w:r>
          </w:p>
        </w:tc>
        <w:tc>
          <w:tcPr>
            <w:tcW w:w="1156" w:type="dxa"/>
            <w:tcBorders>
              <w:top w:val="nil"/>
              <w:left w:val="nil"/>
              <w:bottom w:val="single" w:sz="4" w:space="0" w:color="auto"/>
              <w:right w:val="single" w:sz="4" w:space="0" w:color="auto"/>
            </w:tcBorders>
            <w:hideMark/>
          </w:tcPr>
          <w:p w14:paraId="4E80B48A" w14:textId="77777777" w:rsidR="00490A74" w:rsidRPr="008E2A3E" w:rsidRDefault="00490A74" w:rsidP="00490A74">
            <w:pPr>
              <w:spacing w:after="0" w:line="240" w:lineRule="auto"/>
              <w:rPr>
                <w:rFonts w:ascii="Times New Roman" w:eastAsia="Times New Roman" w:hAnsi="Times New Roman" w:cs="Times New Roman"/>
                <w:b/>
                <w:bCs/>
                <w:color w:val="000000"/>
                <w:kern w:val="0"/>
                <w:szCs w:val="24"/>
                <w:lang w:eastAsia="en-IN"/>
                <w14:ligatures w14:val="none"/>
              </w:rPr>
            </w:pPr>
            <w:r w:rsidRPr="008E2A3E">
              <w:rPr>
                <w:rFonts w:ascii="Times New Roman" w:eastAsia="Times New Roman" w:hAnsi="Times New Roman" w:cs="Times New Roman"/>
                <w:b/>
                <w:bCs/>
                <w:color w:val="000000"/>
                <w:kern w:val="0"/>
                <w:szCs w:val="24"/>
                <w:lang w:eastAsia="en-IN"/>
                <w14:ligatures w14:val="none"/>
              </w:rPr>
              <w:t>1961-62</w:t>
            </w:r>
          </w:p>
        </w:tc>
        <w:tc>
          <w:tcPr>
            <w:tcW w:w="1156" w:type="dxa"/>
            <w:tcBorders>
              <w:top w:val="nil"/>
              <w:left w:val="nil"/>
              <w:bottom w:val="single" w:sz="4" w:space="0" w:color="auto"/>
              <w:right w:val="single" w:sz="4" w:space="0" w:color="auto"/>
            </w:tcBorders>
            <w:hideMark/>
          </w:tcPr>
          <w:p w14:paraId="3A9AE142" w14:textId="77777777" w:rsidR="00490A74" w:rsidRPr="008E2A3E" w:rsidRDefault="00490A74" w:rsidP="00490A74">
            <w:pPr>
              <w:spacing w:after="0" w:line="240" w:lineRule="auto"/>
              <w:rPr>
                <w:rFonts w:ascii="Times New Roman" w:eastAsia="Times New Roman" w:hAnsi="Times New Roman" w:cs="Times New Roman"/>
                <w:b/>
                <w:bCs/>
                <w:color w:val="000000"/>
                <w:kern w:val="0"/>
                <w:szCs w:val="24"/>
                <w:lang w:eastAsia="en-IN"/>
                <w14:ligatures w14:val="none"/>
              </w:rPr>
            </w:pPr>
            <w:r w:rsidRPr="008E2A3E">
              <w:rPr>
                <w:rFonts w:ascii="Times New Roman" w:eastAsia="Times New Roman" w:hAnsi="Times New Roman" w:cs="Times New Roman"/>
                <w:b/>
                <w:bCs/>
                <w:color w:val="000000"/>
                <w:kern w:val="0"/>
                <w:szCs w:val="24"/>
                <w:lang w:eastAsia="en-IN"/>
                <w14:ligatures w14:val="none"/>
              </w:rPr>
              <w:t>1962-63</w:t>
            </w:r>
          </w:p>
        </w:tc>
        <w:tc>
          <w:tcPr>
            <w:tcW w:w="1156" w:type="dxa"/>
            <w:tcBorders>
              <w:top w:val="nil"/>
              <w:left w:val="nil"/>
              <w:bottom w:val="single" w:sz="4" w:space="0" w:color="auto"/>
              <w:right w:val="single" w:sz="4" w:space="0" w:color="auto"/>
            </w:tcBorders>
            <w:hideMark/>
          </w:tcPr>
          <w:p w14:paraId="62C0739F" w14:textId="77777777" w:rsidR="00490A74" w:rsidRPr="008E2A3E" w:rsidRDefault="00490A74" w:rsidP="00490A74">
            <w:pPr>
              <w:spacing w:after="0" w:line="240" w:lineRule="auto"/>
              <w:rPr>
                <w:rFonts w:ascii="Times New Roman" w:eastAsia="Times New Roman" w:hAnsi="Times New Roman" w:cs="Times New Roman"/>
                <w:b/>
                <w:bCs/>
                <w:color w:val="000000"/>
                <w:kern w:val="0"/>
                <w:szCs w:val="24"/>
                <w:lang w:eastAsia="en-IN"/>
                <w14:ligatures w14:val="none"/>
              </w:rPr>
            </w:pPr>
            <w:r w:rsidRPr="008E2A3E">
              <w:rPr>
                <w:rFonts w:ascii="Times New Roman" w:eastAsia="Times New Roman" w:hAnsi="Times New Roman" w:cs="Times New Roman"/>
                <w:b/>
                <w:bCs/>
                <w:color w:val="000000"/>
                <w:kern w:val="0"/>
                <w:szCs w:val="24"/>
                <w:lang w:eastAsia="en-IN"/>
                <w14:ligatures w14:val="none"/>
              </w:rPr>
              <w:t>1963-64</w:t>
            </w:r>
          </w:p>
        </w:tc>
        <w:tc>
          <w:tcPr>
            <w:tcW w:w="1156" w:type="dxa"/>
            <w:tcBorders>
              <w:top w:val="nil"/>
              <w:left w:val="nil"/>
              <w:bottom w:val="single" w:sz="4" w:space="0" w:color="auto"/>
              <w:right w:val="single" w:sz="4" w:space="0" w:color="auto"/>
            </w:tcBorders>
            <w:hideMark/>
          </w:tcPr>
          <w:p w14:paraId="0C208204" w14:textId="77777777" w:rsidR="00490A74" w:rsidRPr="008E2A3E" w:rsidRDefault="00490A74" w:rsidP="00490A74">
            <w:pPr>
              <w:spacing w:after="0" w:line="240" w:lineRule="auto"/>
              <w:rPr>
                <w:rFonts w:ascii="Times New Roman" w:eastAsia="Times New Roman" w:hAnsi="Times New Roman" w:cs="Times New Roman"/>
                <w:b/>
                <w:bCs/>
                <w:color w:val="000000"/>
                <w:kern w:val="0"/>
                <w:szCs w:val="24"/>
                <w:lang w:eastAsia="en-IN"/>
                <w14:ligatures w14:val="none"/>
              </w:rPr>
            </w:pPr>
            <w:r w:rsidRPr="008E2A3E">
              <w:rPr>
                <w:rFonts w:ascii="Times New Roman" w:eastAsia="Times New Roman" w:hAnsi="Times New Roman" w:cs="Times New Roman"/>
                <w:b/>
                <w:bCs/>
                <w:color w:val="000000"/>
                <w:kern w:val="0"/>
                <w:szCs w:val="24"/>
                <w:lang w:eastAsia="en-IN"/>
                <w14:ligatures w14:val="none"/>
              </w:rPr>
              <w:t>1964-65</w:t>
            </w:r>
          </w:p>
        </w:tc>
      </w:tr>
      <w:tr w:rsidR="00490A74" w:rsidRPr="008E2A3E" w14:paraId="2FF58E75" w14:textId="77777777" w:rsidTr="00490A74">
        <w:trPr>
          <w:trHeight w:val="307"/>
        </w:trPr>
        <w:tc>
          <w:tcPr>
            <w:tcW w:w="4201" w:type="dxa"/>
            <w:tcBorders>
              <w:top w:val="nil"/>
              <w:left w:val="single" w:sz="4" w:space="0" w:color="auto"/>
              <w:bottom w:val="single" w:sz="4" w:space="0" w:color="auto"/>
              <w:right w:val="single" w:sz="4" w:space="0" w:color="auto"/>
            </w:tcBorders>
            <w:vAlign w:val="center"/>
            <w:hideMark/>
          </w:tcPr>
          <w:p w14:paraId="6D87D637" w14:textId="77777777" w:rsidR="00490A74" w:rsidRPr="008E2A3E" w:rsidRDefault="00490A74" w:rsidP="00490A74">
            <w:pPr>
              <w:spacing w:after="0" w:line="240" w:lineRule="auto"/>
              <w:rPr>
                <w:rFonts w:ascii="Times New Roman" w:eastAsia="Times New Roman" w:hAnsi="Times New Roman" w:cs="Times New Roman"/>
                <w:color w:val="000000"/>
                <w:kern w:val="0"/>
                <w:szCs w:val="24"/>
                <w:lang w:eastAsia="en-IN"/>
                <w14:ligatures w14:val="none"/>
              </w:rPr>
            </w:pPr>
            <w:r w:rsidRPr="008E2A3E">
              <w:rPr>
                <w:rFonts w:ascii="Times New Roman" w:eastAsia="Times New Roman" w:hAnsi="Times New Roman" w:cs="Times New Roman"/>
                <w:color w:val="000000"/>
                <w:kern w:val="0"/>
                <w:szCs w:val="24"/>
                <w:lang w:eastAsia="en-IN"/>
                <w14:ligatures w14:val="none"/>
              </w:rPr>
              <w:t>Andhra Pradesh</w:t>
            </w:r>
          </w:p>
        </w:tc>
        <w:tc>
          <w:tcPr>
            <w:tcW w:w="1156" w:type="dxa"/>
            <w:tcBorders>
              <w:top w:val="nil"/>
              <w:left w:val="nil"/>
              <w:bottom w:val="single" w:sz="4" w:space="0" w:color="auto"/>
              <w:right w:val="single" w:sz="4" w:space="0" w:color="auto"/>
            </w:tcBorders>
            <w:vAlign w:val="center"/>
            <w:hideMark/>
          </w:tcPr>
          <w:p w14:paraId="0F31E6E8" w14:textId="77777777" w:rsidR="00490A74" w:rsidRPr="008E2A3E" w:rsidRDefault="00490A74" w:rsidP="00490A74">
            <w:pPr>
              <w:spacing w:after="0" w:line="240" w:lineRule="auto"/>
              <w:jc w:val="center"/>
              <w:rPr>
                <w:rFonts w:ascii="Times New Roman" w:eastAsia="Times New Roman" w:hAnsi="Times New Roman" w:cs="Times New Roman"/>
                <w:color w:val="000000"/>
                <w:kern w:val="0"/>
                <w:szCs w:val="24"/>
                <w:lang w:eastAsia="en-IN"/>
                <w14:ligatures w14:val="none"/>
              </w:rPr>
            </w:pPr>
            <w:r w:rsidRPr="008E2A3E">
              <w:rPr>
                <w:rFonts w:ascii="Times New Roman" w:eastAsia="Times New Roman" w:hAnsi="Times New Roman" w:cs="Times New Roman"/>
                <w:color w:val="000000"/>
                <w:kern w:val="0"/>
                <w:szCs w:val="24"/>
                <w:lang w:eastAsia="en-IN"/>
                <w14:ligatures w14:val="none"/>
              </w:rPr>
              <w:t>314</w:t>
            </w:r>
          </w:p>
        </w:tc>
        <w:tc>
          <w:tcPr>
            <w:tcW w:w="1156" w:type="dxa"/>
            <w:tcBorders>
              <w:top w:val="nil"/>
              <w:left w:val="nil"/>
              <w:bottom w:val="single" w:sz="4" w:space="0" w:color="auto"/>
              <w:right w:val="single" w:sz="4" w:space="0" w:color="auto"/>
            </w:tcBorders>
            <w:vAlign w:val="center"/>
            <w:hideMark/>
          </w:tcPr>
          <w:p w14:paraId="08740D8E" w14:textId="77777777" w:rsidR="00490A74" w:rsidRPr="008E2A3E" w:rsidRDefault="00490A74" w:rsidP="00490A74">
            <w:pPr>
              <w:spacing w:after="0" w:line="240" w:lineRule="auto"/>
              <w:jc w:val="center"/>
              <w:rPr>
                <w:rFonts w:ascii="Times New Roman" w:eastAsia="Times New Roman" w:hAnsi="Times New Roman" w:cs="Times New Roman"/>
                <w:color w:val="000000"/>
                <w:kern w:val="0"/>
                <w:szCs w:val="24"/>
                <w:lang w:eastAsia="en-IN"/>
                <w14:ligatures w14:val="none"/>
              </w:rPr>
            </w:pPr>
            <w:r w:rsidRPr="008E2A3E">
              <w:rPr>
                <w:rFonts w:ascii="Times New Roman" w:eastAsia="Times New Roman" w:hAnsi="Times New Roman" w:cs="Times New Roman"/>
                <w:color w:val="000000"/>
                <w:kern w:val="0"/>
                <w:szCs w:val="24"/>
                <w:lang w:eastAsia="en-IN"/>
                <w14:ligatures w14:val="none"/>
              </w:rPr>
              <w:t>341</w:t>
            </w:r>
          </w:p>
        </w:tc>
        <w:tc>
          <w:tcPr>
            <w:tcW w:w="1156" w:type="dxa"/>
            <w:tcBorders>
              <w:top w:val="nil"/>
              <w:left w:val="nil"/>
              <w:bottom w:val="single" w:sz="4" w:space="0" w:color="auto"/>
              <w:right w:val="single" w:sz="4" w:space="0" w:color="auto"/>
            </w:tcBorders>
            <w:vAlign w:val="center"/>
            <w:hideMark/>
          </w:tcPr>
          <w:p w14:paraId="6738A7B2" w14:textId="77777777" w:rsidR="00490A74" w:rsidRPr="008E2A3E" w:rsidRDefault="00490A74" w:rsidP="00490A74">
            <w:pPr>
              <w:spacing w:after="0" w:line="240" w:lineRule="auto"/>
              <w:jc w:val="center"/>
              <w:rPr>
                <w:rFonts w:ascii="Times New Roman" w:eastAsia="Times New Roman" w:hAnsi="Times New Roman" w:cs="Times New Roman"/>
                <w:color w:val="000000"/>
                <w:kern w:val="0"/>
                <w:szCs w:val="24"/>
                <w:lang w:eastAsia="en-IN"/>
                <w14:ligatures w14:val="none"/>
              </w:rPr>
            </w:pPr>
            <w:r w:rsidRPr="008E2A3E">
              <w:rPr>
                <w:rFonts w:ascii="Times New Roman" w:eastAsia="Times New Roman" w:hAnsi="Times New Roman" w:cs="Times New Roman"/>
                <w:color w:val="000000"/>
                <w:kern w:val="0"/>
                <w:szCs w:val="24"/>
                <w:lang w:eastAsia="en-IN"/>
                <w14:ligatures w14:val="none"/>
              </w:rPr>
              <w:t>338</w:t>
            </w:r>
          </w:p>
        </w:tc>
        <w:tc>
          <w:tcPr>
            <w:tcW w:w="1156" w:type="dxa"/>
            <w:tcBorders>
              <w:top w:val="nil"/>
              <w:left w:val="nil"/>
              <w:bottom w:val="single" w:sz="4" w:space="0" w:color="auto"/>
              <w:right w:val="single" w:sz="4" w:space="0" w:color="auto"/>
            </w:tcBorders>
            <w:vAlign w:val="center"/>
            <w:hideMark/>
          </w:tcPr>
          <w:p w14:paraId="038650D4" w14:textId="77777777" w:rsidR="00490A74" w:rsidRPr="008E2A3E" w:rsidRDefault="00490A74" w:rsidP="00490A74">
            <w:pPr>
              <w:spacing w:after="0" w:line="240" w:lineRule="auto"/>
              <w:jc w:val="center"/>
              <w:rPr>
                <w:rFonts w:ascii="Times New Roman" w:eastAsia="Times New Roman" w:hAnsi="Times New Roman" w:cs="Times New Roman"/>
                <w:color w:val="000000"/>
                <w:kern w:val="0"/>
                <w:szCs w:val="24"/>
                <w:lang w:eastAsia="en-IN"/>
                <w14:ligatures w14:val="none"/>
              </w:rPr>
            </w:pPr>
            <w:r w:rsidRPr="008E2A3E">
              <w:rPr>
                <w:rFonts w:ascii="Times New Roman" w:eastAsia="Times New Roman" w:hAnsi="Times New Roman" w:cs="Times New Roman"/>
                <w:color w:val="000000"/>
                <w:kern w:val="0"/>
                <w:szCs w:val="24"/>
                <w:lang w:eastAsia="en-IN"/>
                <w14:ligatures w14:val="none"/>
              </w:rPr>
              <w:t>381</w:t>
            </w:r>
          </w:p>
        </w:tc>
        <w:tc>
          <w:tcPr>
            <w:tcW w:w="1156" w:type="dxa"/>
            <w:tcBorders>
              <w:top w:val="nil"/>
              <w:left w:val="nil"/>
              <w:bottom w:val="single" w:sz="4" w:space="0" w:color="auto"/>
              <w:right w:val="single" w:sz="4" w:space="0" w:color="auto"/>
            </w:tcBorders>
            <w:vAlign w:val="center"/>
            <w:hideMark/>
          </w:tcPr>
          <w:p w14:paraId="52D77D7A" w14:textId="77777777" w:rsidR="00490A74" w:rsidRPr="008E2A3E" w:rsidRDefault="00490A74" w:rsidP="00490A74">
            <w:pPr>
              <w:spacing w:after="0" w:line="240" w:lineRule="auto"/>
              <w:jc w:val="center"/>
              <w:rPr>
                <w:rFonts w:ascii="Times New Roman" w:eastAsia="Times New Roman" w:hAnsi="Times New Roman" w:cs="Times New Roman"/>
                <w:color w:val="000000"/>
                <w:kern w:val="0"/>
                <w:szCs w:val="24"/>
                <w:lang w:eastAsia="en-IN"/>
                <w14:ligatures w14:val="none"/>
              </w:rPr>
            </w:pPr>
            <w:r w:rsidRPr="008E2A3E">
              <w:rPr>
                <w:rFonts w:ascii="Times New Roman" w:eastAsia="Times New Roman" w:hAnsi="Times New Roman" w:cs="Times New Roman"/>
                <w:color w:val="000000"/>
                <w:kern w:val="0"/>
                <w:szCs w:val="24"/>
                <w:lang w:eastAsia="en-IN"/>
                <w14:ligatures w14:val="none"/>
              </w:rPr>
              <w:t>438</w:t>
            </w:r>
          </w:p>
        </w:tc>
      </w:tr>
      <w:tr w:rsidR="00490A74" w:rsidRPr="008E2A3E" w14:paraId="21D8CEE8" w14:textId="77777777" w:rsidTr="00490A74">
        <w:trPr>
          <w:trHeight w:val="307"/>
        </w:trPr>
        <w:tc>
          <w:tcPr>
            <w:tcW w:w="4201" w:type="dxa"/>
            <w:tcBorders>
              <w:top w:val="nil"/>
              <w:left w:val="single" w:sz="4" w:space="0" w:color="auto"/>
              <w:bottom w:val="single" w:sz="4" w:space="0" w:color="auto"/>
              <w:right w:val="single" w:sz="4" w:space="0" w:color="auto"/>
            </w:tcBorders>
            <w:vAlign w:val="center"/>
            <w:hideMark/>
          </w:tcPr>
          <w:p w14:paraId="7A66EFDF" w14:textId="77777777" w:rsidR="00490A74" w:rsidRPr="008E2A3E" w:rsidRDefault="00490A74" w:rsidP="00490A74">
            <w:pPr>
              <w:spacing w:after="0" w:line="240" w:lineRule="auto"/>
              <w:rPr>
                <w:rFonts w:ascii="Times New Roman" w:eastAsia="Times New Roman" w:hAnsi="Times New Roman" w:cs="Times New Roman"/>
                <w:color w:val="000000"/>
                <w:kern w:val="0"/>
                <w:szCs w:val="24"/>
                <w:lang w:eastAsia="en-IN"/>
                <w14:ligatures w14:val="none"/>
              </w:rPr>
            </w:pPr>
            <w:r w:rsidRPr="008E2A3E">
              <w:rPr>
                <w:rFonts w:ascii="Times New Roman" w:eastAsia="Times New Roman" w:hAnsi="Times New Roman" w:cs="Times New Roman"/>
                <w:color w:val="000000"/>
                <w:kern w:val="0"/>
                <w:szCs w:val="24"/>
                <w:lang w:eastAsia="en-IN"/>
                <w14:ligatures w14:val="none"/>
              </w:rPr>
              <w:t>Assam</w:t>
            </w:r>
          </w:p>
        </w:tc>
        <w:tc>
          <w:tcPr>
            <w:tcW w:w="1156" w:type="dxa"/>
            <w:tcBorders>
              <w:top w:val="nil"/>
              <w:left w:val="nil"/>
              <w:bottom w:val="single" w:sz="4" w:space="0" w:color="auto"/>
              <w:right w:val="single" w:sz="4" w:space="0" w:color="auto"/>
            </w:tcBorders>
            <w:vAlign w:val="center"/>
            <w:hideMark/>
          </w:tcPr>
          <w:p w14:paraId="5A0D4841" w14:textId="77777777" w:rsidR="00490A74" w:rsidRPr="008E2A3E" w:rsidRDefault="00490A74" w:rsidP="00490A74">
            <w:pPr>
              <w:spacing w:after="0" w:line="240" w:lineRule="auto"/>
              <w:jc w:val="center"/>
              <w:rPr>
                <w:rFonts w:ascii="Times New Roman" w:eastAsia="Times New Roman" w:hAnsi="Times New Roman" w:cs="Times New Roman"/>
                <w:color w:val="000000"/>
                <w:kern w:val="0"/>
                <w:szCs w:val="24"/>
                <w:lang w:eastAsia="en-IN"/>
                <w14:ligatures w14:val="none"/>
              </w:rPr>
            </w:pPr>
            <w:r w:rsidRPr="008E2A3E">
              <w:rPr>
                <w:rFonts w:ascii="Times New Roman" w:eastAsia="Times New Roman" w:hAnsi="Times New Roman" w:cs="Times New Roman"/>
                <w:color w:val="000000"/>
                <w:kern w:val="0"/>
                <w:szCs w:val="24"/>
                <w:lang w:eastAsia="en-IN"/>
                <w14:ligatures w14:val="none"/>
              </w:rPr>
              <w:t>349</w:t>
            </w:r>
          </w:p>
        </w:tc>
        <w:tc>
          <w:tcPr>
            <w:tcW w:w="1156" w:type="dxa"/>
            <w:tcBorders>
              <w:top w:val="nil"/>
              <w:left w:val="nil"/>
              <w:bottom w:val="single" w:sz="4" w:space="0" w:color="auto"/>
              <w:right w:val="single" w:sz="4" w:space="0" w:color="auto"/>
            </w:tcBorders>
            <w:vAlign w:val="center"/>
            <w:hideMark/>
          </w:tcPr>
          <w:p w14:paraId="4A99C466" w14:textId="77777777" w:rsidR="00490A74" w:rsidRPr="008E2A3E" w:rsidRDefault="00490A74" w:rsidP="00490A74">
            <w:pPr>
              <w:spacing w:after="0" w:line="240" w:lineRule="auto"/>
              <w:jc w:val="center"/>
              <w:rPr>
                <w:rFonts w:ascii="Times New Roman" w:eastAsia="Times New Roman" w:hAnsi="Times New Roman" w:cs="Times New Roman"/>
                <w:color w:val="000000"/>
                <w:kern w:val="0"/>
                <w:szCs w:val="24"/>
                <w:lang w:eastAsia="en-IN"/>
                <w14:ligatures w14:val="none"/>
              </w:rPr>
            </w:pPr>
            <w:r w:rsidRPr="008E2A3E">
              <w:rPr>
                <w:rFonts w:ascii="Times New Roman" w:eastAsia="Times New Roman" w:hAnsi="Times New Roman" w:cs="Times New Roman"/>
                <w:color w:val="000000"/>
                <w:kern w:val="0"/>
                <w:szCs w:val="24"/>
                <w:lang w:eastAsia="en-IN"/>
                <w14:ligatures w14:val="none"/>
              </w:rPr>
              <w:t>353</w:t>
            </w:r>
          </w:p>
        </w:tc>
        <w:tc>
          <w:tcPr>
            <w:tcW w:w="1156" w:type="dxa"/>
            <w:tcBorders>
              <w:top w:val="nil"/>
              <w:left w:val="nil"/>
              <w:bottom w:val="single" w:sz="4" w:space="0" w:color="auto"/>
              <w:right w:val="single" w:sz="4" w:space="0" w:color="auto"/>
            </w:tcBorders>
            <w:vAlign w:val="center"/>
            <w:hideMark/>
          </w:tcPr>
          <w:p w14:paraId="08104E48" w14:textId="77777777" w:rsidR="00490A74" w:rsidRPr="008E2A3E" w:rsidRDefault="00490A74" w:rsidP="00490A74">
            <w:pPr>
              <w:spacing w:after="0" w:line="240" w:lineRule="auto"/>
              <w:jc w:val="center"/>
              <w:rPr>
                <w:rFonts w:ascii="Times New Roman" w:eastAsia="Times New Roman" w:hAnsi="Times New Roman" w:cs="Times New Roman"/>
                <w:color w:val="000000"/>
                <w:kern w:val="0"/>
                <w:szCs w:val="24"/>
                <w:lang w:eastAsia="en-IN"/>
                <w14:ligatures w14:val="none"/>
              </w:rPr>
            </w:pPr>
            <w:r w:rsidRPr="008E2A3E">
              <w:rPr>
                <w:rFonts w:ascii="Times New Roman" w:eastAsia="Times New Roman" w:hAnsi="Times New Roman" w:cs="Times New Roman"/>
                <w:color w:val="000000"/>
                <w:kern w:val="0"/>
                <w:szCs w:val="24"/>
                <w:lang w:eastAsia="en-IN"/>
                <w14:ligatures w14:val="none"/>
              </w:rPr>
              <w:t>349</w:t>
            </w:r>
          </w:p>
        </w:tc>
        <w:tc>
          <w:tcPr>
            <w:tcW w:w="1156" w:type="dxa"/>
            <w:tcBorders>
              <w:top w:val="nil"/>
              <w:left w:val="nil"/>
              <w:bottom w:val="single" w:sz="4" w:space="0" w:color="auto"/>
              <w:right w:val="single" w:sz="4" w:space="0" w:color="auto"/>
            </w:tcBorders>
            <w:vAlign w:val="center"/>
            <w:hideMark/>
          </w:tcPr>
          <w:p w14:paraId="7497CFBC" w14:textId="77777777" w:rsidR="00490A74" w:rsidRPr="008E2A3E" w:rsidRDefault="00490A74" w:rsidP="00490A74">
            <w:pPr>
              <w:spacing w:after="0" w:line="240" w:lineRule="auto"/>
              <w:jc w:val="center"/>
              <w:rPr>
                <w:rFonts w:ascii="Times New Roman" w:eastAsia="Times New Roman" w:hAnsi="Times New Roman" w:cs="Times New Roman"/>
                <w:color w:val="000000"/>
                <w:kern w:val="0"/>
                <w:szCs w:val="24"/>
                <w:lang w:eastAsia="en-IN"/>
                <w14:ligatures w14:val="none"/>
              </w:rPr>
            </w:pPr>
            <w:r w:rsidRPr="008E2A3E">
              <w:rPr>
                <w:rFonts w:ascii="Times New Roman" w:eastAsia="Times New Roman" w:hAnsi="Times New Roman" w:cs="Times New Roman"/>
                <w:color w:val="000000"/>
                <w:kern w:val="0"/>
                <w:szCs w:val="24"/>
                <w:lang w:eastAsia="en-IN"/>
                <w14:ligatures w14:val="none"/>
              </w:rPr>
              <w:t>388</w:t>
            </w:r>
          </w:p>
        </w:tc>
        <w:tc>
          <w:tcPr>
            <w:tcW w:w="1156" w:type="dxa"/>
            <w:tcBorders>
              <w:top w:val="nil"/>
              <w:left w:val="nil"/>
              <w:bottom w:val="single" w:sz="4" w:space="0" w:color="auto"/>
              <w:right w:val="single" w:sz="4" w:space="0" w:color="auto"/>
            </w:tcBorders>
            <w:vAlign w:val="center"/>
            <w:hideMark/>
          </w:tcPr>
          <w:p w14:paraId="7F09463F" w14:textId="77777777" w:rsidR="00490A74" w:rsidRPr="008E2A3E" w:rsidRDefault="00490A74" w:rsidP="00490A74">
            <w:pPr>
              <w:spacing w:after="0" w:line="240" w:lineRule="auto"/>
              <w:jc w:val="center"/>
              <w:rPr>
                <w:rFonts w:ascii="Times New Roman" w:eastAsia="Times New Roman" w:hAnsi="Times New Roman" w:cs="Times New Roman"/>
                <w:color w:val="000000"/>
                <w:kern w:val="0"/>
                <w:szCs w:val="24"/>
                <w:lang w:eastAsia="en-IN"/>
                <w14:ligatures w14:val="none"/>
              </w:rPr>
            </w:pPr>
            <w:r w:rsidRPr="008E2A3E">
              <w:rPr>
                <w:rFonts w:ascii="Times New Roman" w:eastAsia="Times New Roman" w:hAnsi="Times New Roman" w:cs="Times New Roman"/>
                <w:color w:val="000000"/>
                <w:kern w:val="0"/>
                <w:szCs w:val="24"/>
                <w:lang w:eastAsia="en-IN"/>
                <w14:ligatures w14:val="none"/>
              </w:rPr>
              <w:t>441</w:t>
            </w:r>
          </w:p>
        </w:tc>
      </w:tr>
      <w:tr w:rsidR="00490A74" w:rsidRPr="008E2A3E" w14:paraId="6DED6C0E" w14:textId="77777777" w:rsidTr="00490A74">
        <w:trPr>
          <w:trHeight w:val="307"/>
        </w:trPr>
        <w:tc>
          <w:tcPr>
            <w:tcW w:w="4201" w:type="dxa"/>
            <w:tcBorders>
              <w:top w:val="nil"/>
              <w:left w:val="single" w:sz="4" w:space="0" w:color="auto"/>
              <w:bottom w:val="single" w:sz="4" w:space="0" w:color="auto"/>
              <w:right w:val="single" w:sz="4" w:space="0" w:color="auto"/>
            </w:tcBorders>
            <w:vAlign w:val="center"/>
            <w:hideMark/>
          </w:tcPr>
          <w:p w14:paraId="1586630A" w14:textId="77777777" w:rsidR="00490A74" w:rsidRPr="008E2A3E" w:rsidRDefault="00490A74" w:rsidP="00490A74">
            <w:pPr>
              <w:spacing w:after="0" w:line="240" w:lineRule="auto"/>
              <w:rPr>
                <w:rFonts w:ascii="Times New Roman" w:eastAsia="Times New Roman" w:hAnsi="Times New Roman" w:cs="Times New Roman"/>
                <w:color w:val="000000"/>
                <w:kern w:val="0"/>
                <w:szCs w:val="24"/>
                <w:lang w:eastAsia="en-IN"/>
                <w14:ligatures w14:val="none"/>
              </w:rPr>
            </w:pPr>
            <w:r w:rsidRPr="008E2A3E">
              <w:rPr>
                <w:rFonts w:ascii="Times New Roman" w:eastAsia="Times New Roman" w:hAnsi="Times New Roman" w:cs="Times New Roman"/>
                <w:color w:val="000000"/>
                <w:kern w:val="0"/>
                <w:szCs w:val="24"/>
                <w:lang w:eastAsia="en-IN"/>
                <w14:ligatures w14:val="none"/>
              </w:rPr>
              <w:t>Bihar</w:t>
            </w:r>
          </w:p>
        </w:tc>
        <w:tc>
          <w:tcPr>
            <w:tcW w:w="1156" w:type="dxa"/>
            <w:tcBorders>
              <w:top w:val="nil"/>
              <w:left w:val="nil"/>
              <w:bottom w:val="single" w:sz="4" w:space="0" w:color="auto"/>
              <w:right w:val="single" w:sz="4" w:space="0" w:color="auto"/>
            </w:tcBorders>
            <w:vAlign w:val="center"/>
            <w:hideMark/>
          </w:tcPr>
          <w:p w14:paraId="5F92386B" w14:textId="77777777" w:rsidR="00490A74" w:rsidRPr="008E2A3E" w:rsidRDefault="00490A74" w:rsidP="00490A74">
            <w:pPr>
              <w:spacing w:after="0" w:line="240" w:lineRule="auto"/>
              <w:jc w:val="center"/>
              <w:rPr>
                <w:rFonts w:ascii="Times New Roman" w:eastAsia="Times New Roman" w:hAnsi="Times New Roman" w:cs="Times New Roman"/>
                <w:color w:val="000000"/>
                <w:kern w:val="0"/>
                <w:szCs w:val="24"/>
                <w:lang w:eastAsia="en-IN"/>
                <w14:ligatures w14:val="none"/>
              </w:rPr>
            </w:pPr>
            <w:r w:rsidRPr="008E2A3E">
              <w:rPr>
                <w:rFonts w:ascii="Times New Roman" w:eastAsia="Times New Roman" w:hAnsi="Times New Roman" w:cs="Times New Roman"/>
                <w:color w:val="000000"/>
                <w:kern w:val="0"/>
                <w:szCs w:val="24"/>
                <w:lang w:eastAsia="en-IN"/>
                <w14:ligatures w14:val="none"/>
              </w:rPr>
              <w:t>216</w:t>
            </w:r>
          </w:p>
        </w:tc>
        <w:tc>
          <w:tcPr>
            <w:tcW w:w="1156" w:type="dxa"/>
            <w:tcBorders>
              <w:top w:val="nil"/>
              <w:left w:val="nil"/>
              <w:bottom w:val="single" w:sz="4" w:space="0" w:color="auto"/>
              <w:right w:val="single" w:sz="4" w:space="0" w:color="auto"/>
            </w:tcBorders>
            <w:vAlign w:val="center"/>
            <w:hideMark/>
          </w:tcPr>
          <w:p w14:paraId="078B4D25" w14:textId="77777777" w:rsidR="00490A74" w:rsidRPr="008E2A3E" w:rsidRDefault="00490A74" w:rsidP="00490A74">
            <w:pPr>
              <w:spacing w:after="0" w:line="240" w:lineRule="auto"/>
              <w:jc w:val="center"/>
              <w:rPr>
                <w:rFonts w:ascii="Times New Roman" w:eastAsia="Times New Roman" w:hAnsi="Times New Roman" w:cs="Times New Roman"/>
                <w:color w:val="000000"/>
                <w:kern w:val="0"/>
                <w:szCs w:val="24"/>
                <w:lang w:eastAsia="en-IN"/>
                <w14:ligatures w14:val="none"/>
              </w:rPr>
            </w:pPr>
            <w:r w:rsidRPr="008E2A3E">
              <w:rPr>
                <w:rFonts w:ascii="Times New Roman" w:eastAsia="Times New Roman" w:hAnsi="Times New Roman" w:cs="Times New Roman"/>
                <w:color w:val="000000"/>
                <w:kern w:val="0"/>
                <w:szCs w:val="24"/>
                <w:lang w:eastAsia="en-IN"/>
                <w14:ligatures w14:val="none"/>
              </w:rPr>
              <w:t>220</w:t>
            </w:r>
          </w:p>
        </w:tc>
        <w:tc>
          <w:tcPr>
            <w:tcW w:w="1156" w:type="dxa"/>
            <w:tcBorders>
              <w:top w:val="nil"/>
              <w:left w:val="nil"/>
              <w:bottom w:val="single" w:sz="4" w:space="0" w:color="auto"/>
              <w:right w:val="single" w:sz="4" w:space="0" w:color="auto"/>
            </w:tcBorders>
            <w:vAlign w:val="center"/>
            <w:hideMark/>
          </w:tcPr>
          <w:p w14:paraId="061B49FB" w14:textId="77777777" w:rsidR="00490A74" w:rsidRPr="008E2A3E" w:rsidRDefault="00490A74" w:rsidP="00490A74">
            <w:pPr>
              <w:spacing w:after="0" w:line="240" w:lineRule="auto"/>
              <w:jc w:val="center"/>
              <w:rPr>
                <w:rFonts w:ascii="Times New Roman" w:eastAsia="Times New Roman" w:hAnsi="Times New Roman" w:cs="Times New Roman"/>
                <w:color w:val="000000"/>
                <w:kern w:val="0"/>
                <w:szCs w:val="24"/>
                <w:lang w:eastAsia="en-IN"/>
                <w14:ligatures w14:val="none"/>
              </w:rPr>
            </w:pPr>
            <w:r w:rsidRPr="008E2A3E">
              <w:rPr>
                <w:rFonts w:ascii="Times New Roman" w:eastAsia="Times New Roman" w:hAnsi="Times New Roman" w:cs="Times New Roman"/>
                <w:color w:val="000000"/>
                <w:kern w:val="0"/>
                <w:szCs w:val="24"/>
                <w:lang w:eastAsia="en-IN"/>
                <w14:ligatures w14:val="none"/>
              </w:rPr>
              <w:t>232</w:t>
            </w:r>
          </w:p>
        </w:tc>
        <w:tc>
          <w:tcPr>
            <w:tcW w:w="1156" w:type="dxa"/>
            <w:tcBorders>
              <w:top w:val="nil"/>
              <w:left w:val="nil"/>
              <w:bottom w:val="single" w:sz="4" w:space="0" w:color="auto"/>
              <w:right w:val="single" w:sz="4" w:space="0" w:color="auto"/>
            </w:tcBorders>
            <w:vAlign w:val="center"/>
            <w:hideMark/>
          </w:tcPr>
          <w:p w14:paraId="5FF1C4E0" w14:textId="77777777" w:rsidR="00490A74" w:rsidRPr="008E2A3E" w:rsidRDefault="00490A74" w:rsidP="00490A74">
            <w:pPr>
              <w:spacing w:after="0" w:line="240" w:lineRule="auto"/>
              <w:jc w:val="center"/>
              <w:rPr>
                <w:rFonts w:ascii="Times New Roman" w:eastAsia="Times New Roman" w:hAnsi="Times New Roman" w:cs="Times New Roman"/>
                <w:color w:val="000000"/>
                <w:kern w:val="0"/>
                <w:szCs w:val="24"/>
                <w:lang w:eastAsia="en-IN"/>
                <w14:ligatures w14:val="none"/>
              </w:rPr>
            </w:pPr>
            <w:r w:rsidRPr="008E2A3E">
              <w:rPr>
                <w:rFonts w:ascii="Times New Roman" w:eastAsia="Times New Roman" w:hAnsi="Times New Roman" w:cs="Times New Roman"/>
                <w:color w:val="000000"/>
                <w:kern w:val="0"/>
                <w:szCs w:val="24"/>
                <w:lang w:eastAsia="en-IN"/>
                <w14:ligatures w14:val="none"/>
              </w:rPr>
              <w:t>265</w:t>
            </w:r>
          </w:p>
        </w:tc>
        <w:tc>
          <w:tcPr>
            <w:tcW w:w="1156" w:type="dxa"/>
            <w:tcBorders>
              <w:top w:val="nil"/>
              <w:left w:val="nil"/>
              <w:bottom w:val="single" w:sz="4" w:space="0" w:color="auto"/>
              <w:right w:val="single" w:sz="4" w:space="0" w:color="auto"/>
            </w:tcBorders>
            <w:vAlign w:val="center"/>
            <w:hideMark/>
          </w:tcPr>
          <w:p w14:paraId="591AA309" w14:textId="77777777" w:rsidR="00490A74" w:rsidRPr="008E2A3E" w:rsidRDefault="00490A74" w:rsidP="00490A74">
            <w:pPr>
              <w:spacing w:after="0" w:line="240" w:lineRule="auto"/>
              <w:jc w:val="center"/>
              <w:rPr>
                <w:rFonts w:ascii="Times New Roman" w:eastAsia="Times New Roman" w:hAnsi="Times New Roman" w:cs="Times New Roman"/>
                <w:color w:val="000000"/>
                <w:kern w:val="0"/>
                <w:szCs w:val="24"/>
                <w:lang w:eastAsia="en-IN"/>
                <w14:ligatures w14:val="none"/>
              </w:rPr>
            </w:pPr>
            <w:r w:rsidRPr="008E2A3E">
              <w:rPr>
                <w:rFonts w:ascii="Times New Roman" w:eastAsia="Times New Roman" w:hAnsi="Times New Roman" w:cs="Times New Roman"/>
                <w:color w:val="000000"/>
                <w:kern w:val="0"/>
                <w:szCs w:val="24"/>
                <w:lang w:eastAsia="en-IN"/>
                <w14:ligatures w14:val="none"/>
              </w:rPr>
              <w:t>299</w:t>
            </w:r>
          </w:p>
        </w:tc>
      </w:tr>
      <w:tr w:rsidR="00490A74" w:rsidRPr="008E2A3E" w14:paraId="4BC02CB5" w14:textId="77777777" w:rsidTr="00490A74">
        <w:trPr>
          <w:trHeight w:val="307"/>
        </w:trPr>
        <w:tc>
          <w:tcPr>
            <w:tcW w:w="4201" w:type="dxa"/>
            <w:tcBorders>
              <w:top w:val="nil"/>
              <w:left w:val="single" w:sz="4" w:space="0" w:color="auto"/>
              <w:bottom w:val="single" w:sz="4" w:space="0" w:color="auto"/>
              <w:right w:val="single" w:sz="4" w:space="0" w:color="auto"/>
            </w:tcBorders>
            <w:vAlign w:val="center"/>
            <w:hideMark/>
          </w:tcPr>
          <w:p w14:paraId="4857427B" w14:textId="77777777" w:rsidR="00490A74" w:rsidRPr="008E2A3E" w:rsidRDefault="00490A74" w:rsidP="00490A74">
            <w:pPr>
              <w:spacing w:after="0" w:line="240" w:lineRule="auto"/>
              <w:rPr>
                <w:rFonts w:ascii="Times New Roman" w:eastAsia="Times New Roman" w:hAnsi="Times New Roman" w:cs="Times New Roman"/>
                <w:color w:val="000000"/>
                <w:kern w:val="0"/>
                <w:szCs w:val="24"/>
                <w:lang w:eastAsia="en-IN"/>
                <w14:ligatures w14:val="none"/>
              </w:rPr>
            </w:pPr>
            <w:r w:rsidRPr="008E2A3E">
              <w:rPr>
                <w:rFonts w:ascii="Times New Roman" w:eastAsia="Times New Roman" w:hAnsi="Times New Roman" w:cs="Times New Roman"/>
                <w:color w:val="000000"/>
                <w:kern w:val="0"/>
                <w:szCs w:val="24"/>
                <w:lang w:eastAsia="en-IN"/>
                <w14:ligatures w14:val="none"/>
              </w:rPr>
              <w:t>Gujarat</w:t>
            </w:r>
          </w:p>
        </w:tc>
        <w:tc>
          <w:tcPr>
            <w:tcW w:w="1156" w:type="dxa"/>
            <w:tcBorders>
              <w:top w:val="nil"/>
              <w:left w:val="nil"/>
              <w:bottom w:val="single" w:sz="4" w:space="0" w:color="auto"/>
              <w:right w:val="single" w:sz="4" w:space="0" w:color="auto"/>
            </w:tcBorders>
            <w:vAlign w:val="center"/>
            <w:hideMark/>
          </w:tcPr>
          <w:p w14:paraId="569E4A04" w14:textId="77777777" w:rsidR="00490A74" w:rsidRPr="008E2A3E" w:rsidRDefault="00490A74" w:rsidP="00490A74">
            <w:pPr>
              <w:spacing w:after="0" w:line="240" w:lineRule="auto"/>
              <w:jc w:val="center"/>
              <w:rPr>
                <w:rFonts w:ascii="Times New Roman" w:eastAsia="Times New Roman" w:hAnsi="Times New Roman" w:cs="Times New Roman"/>
                <w:color w:val="000000"/>
                <w:kern w:val="0"/>
                <w:szCs w:val="24"/>
                <w:lang w:eastAsia="en-IN"/>
                <w14:ligatures w14:val="none"/>
              </w:rPr>
            </w:pPr>
            <w:r w:rsidRPr="008E2A3E">
              <w:rPr>
                <w:rFonts w:ascii="Times New Roman" w:eastAsia="Times New Roman" w:hAnsi="Times New Roman" w:cs="Times New Roman"/>
                <w:color w:val="000000"/>
                <w:kern w:val="0"/>
                <w:szCs w:val="24"/>
                <w:lang w:eastAsia="en-IN"/>
                <w14:ligatures w14:val="none"/>
              </w:rPr>
              <w:t>380</w:t>
            </w:r>
          </w:p>
        </w:tc>
        <w:tc>
          <w:tcPr>
            <w:tcW w:w="1156" w:type="dxa"/>
            <w:tcBorders>
              <w:top w:val="nil"/>
              <w:left w:val="nil"/>
              <w:bottom w:val="single" w:sz="4" w:space="0" w:color="auto"/>
              <w:right w:val="single" w:sz="4" w:space="0" w:color="auto"/>
            </w:tcBorders>
            <w:vAlign w:val="center"/>
            <w:hideMark/>
          </w:tcPr>
          <w:p w14:paraId="118A536C" w14:textId="77777777" w:rsidR="00490A74" w:rsidRPr="008E2A3E" w:rsidRDefault="00490A74" w:rsidP="00490A74">
            <w:pPr>
              <w:spacing w:after="0" w:line="240" w:lineRule="auto"/>
              <w:jc w:val="center"/>
              <w:rPr>
                <w:rFonts w:ascii="Times New Roman" w:eastAsia="Times New Roman" w:hAnsi="Times New Roman" w:cs="Times New Roman"/>
                <w:color w:val="000000"/>
                <w:kern w:val="0"/>
                <w:szCs w:val="24"/>
                <w:lang w:eastAsia="en-IN"/>
                <w14:ligatures w14:val="none"/>
              </w:rPr>
            </w:pPr>
            <w:r w:rsidRPr="008E2A3E">
              <w:rPr>
                <w:rFonts w:ascii="Times New Roman" w:eastAsia="Times New Roman" w:hAnsi="Times New Roman" w:cs="Times New Roman"/>
                <w:color w:val="000000"/>
                <w:kern w:val="0"/>
                <w:szCs w:val="24"/>
                <w:lang w:eastAsia="en-IN"/>
                <w14:ligatures w14:val="none"/>
              </w:rPr>
              <w:t>412</w:t>
            </w:r>
          </w:p>
        </w:tc>
        <w:tc>
          <w:tcPr>
            <w:tcW w:w="1156" w:type="dxa"/>
            <w:tcBorders>
              <w:top w:val="nil"/>
              <w:left w:val="nil"/>
              <w:bottom w:val="single" w:sz="4" w:space="0" w:color="auto"/>
              <w:right w:val="single" w:sz="4" w:space="0" w:color="auto"/>
            </w:tcBorders>
            <w:vAlign w:val="center"/>
            <w:hideMark/>
          </w:tcPr>
          <w:p w14:paraId="02AF1328" w14:textId="77777777" w:rsidR="00490A74" w:rsidRPr="008E2A3E" w:rsidRDefault="00490A74" w:rsidP="00490A74">
            <w:pPr>
              <w:spacing w:after="0" w:line="240" w:lineRule="auto"/>
              <w:jc w:val="center"/>
              <w:rPr>
                <w:rFonts w:ascii="Times New Roman" w:eastAsia="Times New Roman" w:hAnsi="Times New Roman" w:cs="Times New Roman"/>
                <w:color w:val="000000"/>
                <w:kern w:val="0"/>
                <w:szCs w:val="24"/>
                <w:lang w:eastAsia="en-IN"/>
                <w14:ligatures w14:val="none"/>
              </w:rPr>
            </w:pPr>
            <w:r w:rsidRPr="008E2A3E">
              <w:rPr>
                <w:rFonts w:ascii="Times New Roman" w:eastAsia="Times New Roman" w:hAnsi="Times New Roman" w:cs="Times New Roman"/>
                <w:color w:val="000000"/>
                <w:kern w:val="0"/>
                <w:szCs w:val="24"/>
                <w:lang w:eastAsia="en-IN"/>
                <w14:ligatures w14:val="none"/>
              </w:rPr>
              <w:t>413</w:t>
            </w:r>
          </w:p>
        </w:tc>
        <w:tc>
          <w:tcPr>
            <w:tcW w:w="1156" w:type="dxa"/>
            <w:tcBorders>
              <w:top w:val="nil"/>
              <w:left w:val="nil"/>
              <w:bottom w:val="single" w:sz="4" w:space="0" w:color="auto"/>
              <w:right w:val="single" w:sz="4" w:space="0" w:color="auto"/>
            </w:tcBorders>
            <w:vAlign w:val="center"/>
            <w:hideMark/>
          </w:tcPr>
          <w:p w14:paraId="117E8C7F" w14:textId="77777777" w:rsidR="00490A74" w:rsidRPr="008E2A3E" w:rsidRDefault="00490A74" w:rsidP="00490A74">
            <w:pPr>
              <w:spacing w:after="0" w:line="240" w:lineRule="auto"/>
              <w:jc w:val="center"/>
              <w:rPr>
                <w:rFonts w:ascii="Times New Roman" w:eastAsia="Times New Roman" w:hAnsi="Times New Roman" w:cs="Times New Roman"/>
                <w:color w:val="000000"/>
                <w:kern w:val="0"/>
                <w:szCs w:val="24"/>
                <w:lang w:eastAsia="en-IN"/>
                <w14:ligatures w14:val="none"/>
              </w:rPr>
            </w:pPr>
            <w:r w:rsidRPr="008E2A3E">
              <w:rPr>
                <w:rFonts w:ascii="Times New Roman" w:eastAsia="Times New Roman" w:hAnsi="Times New Roman" w:cs="Times New Roman"/>
                <w:color w:val="000000"/>
                <w:kern w:val="0"/>
                <w:szCs w:val="24"/>
                <w:lang w:eastAsia="en-IN"/>
                <w14:ligatures w14:val="none"/>
              </w:rPr>
              <w:t>451</w:t>
            </w:r>
          </w:p>
        </w:tc>
        <w:tc>
          <w:tcPr>
            <w:tcW w:w="1156" w:type="dxa"/>
            <w:tcBorders>
              <w:top w:val="nil"/>
              <w:left w:val="nil"/>
              <w:bottom w:val="single" w:sz="4" w:space="0" w:color="auto"/>
              <w:right w:val="single" w:sz="4" w:space="0" w:color="auto"/>
            </w:tcBorders>
            <w:vAlign w:val="center"/>
            <w:hideMark/>
          </w:tcPr>
          <w:p w14:paraId="3EE0A900" w14:textId="77777777" w:rsidR="00490A74" w:rsidRPr="008E2A3E" w:rsidRDefault="00490A74" w:rsidP="00490A74">
            <w:pPr>
              <w:spacing w:after="0" w:line="240" w:lineRule="auto"/>
              <w:jc w:val="center"/>
              <w:rPr>
                <w:rFonts w:ascii="Times New Roman" w:eastAsia="Times New Roman" w:hAnsi="Times New Roman" w:cs="Times New Roman"/>
                <w:color w:val="000000"/>
                <w:kern w:val="0"/>
                <w:szCs w:val="24"/>
                <w:lang w:eastAsia="en-IN"/>
                <w14:ligatures w14:val="none"/>
              </w:rPr>
            </w:pPr>
            <w:r w:rsidRPr="008E2A3E">
              <w:rPr>
                <w:rFonts w:ascii="Times New Roman" w:eastAsia="Times New Roman" w:hAnsi="Times New Roman" w:cs="Times New Roman"/>
                <w:color w:val="000000"/>
                <w:kern w:val="0"/>
                <w:szCs w:val="24"/>
                <w:lang w:eastAsia="en-IN"/>
                <w14:ligatures w14:val="none"/>
              </w:rPr>
              <w:t>523</w:t>
            </w:r>
          </w:p>
        </w:tc>
      </w:tr>
      <w:tr w:rsidR="00490A74" w:rsidRPr="008E2A3E" w14:paraId="49C836A7" w14:textId="77777777" w:rsidTr="00490A74">
        <w:trPr>
          <w:trHeight w:val="307"/>
        </w:trPr>
        <w:tc>
          <w:tcPr>
            <w:tcW w:w="4201" w:type="dxa"/>
            <w:tcBorders>
              <w:top w:val="nil"/>
              <w:left w:val="single" w:sz="4" w:space="0" w:color="auto"/>
              <w:bottom w:val="single" w:sz="4" w:space="0" w:color="auto"/>
              <w:right w:val="single" w:sz="4" w:space="0" w:color="auto"/>
            </w:tcBorders>
            <w:vAlign w:val="center"/>
            <w:hideMark/>
          </w:tcPr>
          <w:p w14:paraId="267FEF13" w14:textId="77777777" w:rsidR="00490A74" w:rsidRPr="008E2A3E" w:rsidRDefault="00490A74" w:rsidP="00490A74">
            <w:pPr>
              <w:spacing w:after="0" w:line="240" w:lineRule="auto"/>
              <w:rPr>
                <w:rFonts w:ascii="Times New Roman" w:eastAsia="Times New Roman" w:hAnsi="Times New Roman" w:cs="Times New Roman"/>
                <w:color w:val="000000"/>
                <w:kern w:val="0"/>
                <w:szCs w:val="24"/>
                <w:lang w:eastAsia="en-IN"/>
                <w14:ligatures w14:val="none"/>
              </w:rPr>
            </w:pPr>
            <w:r w:rsidRPr="008E2A3E">
              <w:rPr>
                <w:rFonts w:ascii="Times New Roman" w:eastAsia="Times New Roman" w:hAnsi="Times New Roman" w:cs="Times New Roman"/>
                <w:color w:val="000000"/>
                <w:kern w:val="0"/>
                <w:szCs w:val="24"/>
                <w:lang w:eastAsia="en-IN"/>
                <w14:ligatures w14:val="none"/>
              </w:rPr>
              <w:t>Haryana</w:t>
            </w:r>
          </w:p>
        </w:tc>
        <w:tc>
          <w:tcPr>
            <w:tcW w:w="1156" w:type="dxa"/>
            <w:tcBorders>
              <w:top w:val="nil"/>
              <w:left w:val="nil"/>
              <w:bottom w:val="single" w:sz="4" w:space="0" w:color="auto"/>
              <w:right w:val="single" w:sz="4" w:space="0" w:color="auto"/>
            </w:tcBorders>
            <w:vAlign w:val="center"/>
            <w:hideMark/>
          </w:tcPr>
          <w:p w14:paraId="15038525" w14:textId="77777777" w:rsidR="00490A74" w:rsidRPr="008E2A3E" w:rsidRDefault="00490A74" w:rsidP="00490A74">
            <w:pPr>
              <w:spacing w:after="0" w:line="240" w:lineRule="auto"/>
              <w:jc w:val="center"/>
              <w:rPr>
                <w:rFonts w:ascii="Times New Roman" w:eastAsia="Times New Roman" w:hAnsi="Times New Roman" w:cs="Times New Roman"/>
                <w:color w:val="000000"/>
                <w:kern w:val="0"/>
                <w:szCs w:val="24"/>
                <w:lang w:eastAsia="en-IN"/>
                <w14:ligatures w14:val="none"/>
              </w:rPr>
            </w:pPr>
            <w:r w:rsidRPr="008E2A3E">
              <w:rPr>
                <w:rFonts w:ascii="Times New Roman" w:eastAsia="Times New Roman" w:hAnsi="Times New Roman" w:cs="Times New Roman"/>
                <w:color w:val="000000"/>
                <w:kern w:val="0"/>
                <w:szCs w:val="24"/>
                <w:lang w:eastAsia="en-IN"/>
                <w14:ligatures w14:val="none"/>
              </w:rPr>
              <w:t>359</w:t>
            </w:r>
          </w:p>
        </w:tc>
        <w:tc>
          <w:tcPr>
            <w:tcW w:w="1156" w:type="dxa"/>
            <w:tcBorders>
              <w:top w:val="nil"/>
              <w:left w:val="nil"/>
              <w:bottom w:val="single" w:sz="4" w:space="0" w:color="auto"/>
              <w:right w:val="single" w:sz="4" w:space="0" w:color="auto"/>
            </w:tcBorders>
            <w:vAlign w:val="center"/>
            <w:hideMark/>
          </w:tcPr>
          <w:p w14:paraId="43179CBB" w14:textId="77777777" w:rsidR="00490A74" w:rsidRPr="008E2A3E" w:rsidRDefault="00490A74" w:rsidP="00490A74">
            <w:pPr>
              <w:spacing w:after="0" w:line="240" w:lineRule="auto"/>
              <w:jc w:val="center"/>
              <w:rPr>
                <w:rFonts w:ascii="Times New Roman" w:eastAsia="Times New Roman" w:hAnsi="Times New Roman" w:cs="Times New Roman"/>
                <w:color w:val="000000"/>
                <w:kern w:val="0"/>
                <w:szCs w:val="24"/>
                <w:lang w:eastAsia="en-IN"/>
                <w14:ligatures w14:val="none"/>
              </w:rPr>
            </w:pPr>
            <w:r w:rsidRPr="008E2A3E">
              <w:rPr>
                <w:rFonts w:ascii="Times New Roman" w:eastAsia="Times New Roman" w:hAnsi="Times New Roman" w:cs="Times New Roman"/>
                <w:color w:val="000000"/>
                <w:kern w:val="0"/>
                <w:szCs w:val="24"/>
                <w:lang w:eastAsia="en-IN"/>
                <w14:ligatures w14:val="none"/>
              </w:rPr>
              <w:t>372</w:t>
            </w:r>
          </w:p>
        </w:tc>
        <w:tc>
          <w:tcPr>
            <w:tcW w:w="1156" w:type="dxa"/>
            <w:tcBorders>
              <w:top w:val="nil"/>
              <w:left w:val="nil"/>
              <w:bottom w:val="single" w:sz="4" w:space="0" w:color="auto"/>
              <w:right w:val="single" w:sz="4" w:space="0" w:color="auto"/>
            </w:tcBorders>
            <w:vAlign w:val="center"/>
            <w:hideMark/>
          </w:tcPr>
          <w:p w14:paraId="7BE485ED" w14:textId="77777777" w:rsidR="00490A74" w:rsidRPr="008E2A3E" w:rsidRDefault="00490A74" w:rsidP="00490A74">
            <w:pPr>
              <w:spacing w:after="0" w:line="240" w:lineRule="auto"/>
              <w:jc w:val="center"/>
              <w:rPr>
                <w:rFonts w:ascii="Times New Roman" w:eastAsia="Times New Roman" w:hAnsi="Times New Roman" w:cs="Times New Roman"/>
                <w:color w:val="000000"/>
                <w:kern w:val="0"/>
                <w:szCs w:val="24"/>
                <w:lang w:eastAsia="en-IN"/>
                <w14:ligatures w14:val="none"/>
              </w:rPr>
            </w:pPr>
            <w:r w:rsidRPr="008E2A3E">
              <w:rPr>
                <w:rFonts w:ascii="Times New Roman" w:eastAsia="Times New Roman" w:hAnsi="Times New Roman" w:cs="Times New Roman"/>
                <w:color w:val="000000"/>
                <w:kern w:val="0"/>
                <w:szCs w:val="24"/>
                <w:lang w:eastAsia="en-IN"/>
                <w14:ligatures w14:val="none"/>
              </w:rPr>
              <w:t>381</w:t>
            </w:r>
          </w:p>
        </w:tc>
        <w:tc>
          <w:tcPr>
            <w:tcW w:w="1156" w:type="dxa"/>
            <w:tcBorders>
              <w:top w:val="nil"/>
              <w:left w:val="nil"/>
              <w:bottom w:val="single" w:sz="4" w:space="0" w:color="auto"/>
              <w:right w:val="single" w:sz="4" w:space="0" w:color="auto"/>
            </w:tcBorders>
            <w:vAlign w:val="center"/>
            <w:hideMark/>
          </w:tcPr>
          <w:p w14:paraId="08F2C6B1" w14:textId="77777777" w:rsidR="00490A74" w:rsidRPr="008E2A3E" w:rsidRDefault="00490A74" w:rsidP="00490A74">
            <w:pPr>
              <w:spacing w:after="0" w:line="240" w:lineRule="auto"/>
              <w:jc w:val="center"/>
              <w:rPr>
                <w:rFonts w:ascii="Times New Roman" w:eastAsia="Times New Roman" w:hAnsi="Times New Roman" w:cs="Times New Roman"/>
                <w:color w:val="000000"/>
                <w:kern w:val="0"/>
                <w:szCs w:val="24"/>
                <w:lang w:eastAsia="en-IN"/>
                <w14:ligatures w14:val="none"/>
              </w:rPr>
            </w:pPr>
            <w:r w:rsidRPr="008E2A3E">
              <w:rPr>
                <w:rFonts w:ascii="Times New Roman" w:eastAsia="Times New Roman" w:hAnsi="Times New Roman" w:cs="Times New Roman"/>
                <w:color w:val="000000"/>
                <w:kern w:val="0"/>
                <w:szCs w:val="24"/>
                <w:lang w:eastAsia="en-IN"/>
                <w14:ligatures w14:val="none"/>
              </w:rPr>
              <w:t>481</w:t>
            </w:r>
          </w:p>
        </w:tc>
        <w:tc>
          <w:tcPr>
            <w:tcW w:w="1156" w:type="dxa"/>
            <w:tcBorders>
              <w:top w:val="nil"/>
              <w:left w:val="nil"/>
              <w:bottom w:val="single" w:sz="4" w:space="0" w:color="auto"/>
              <w:right w:val="single" w:sz="4" w:space="0" w:color="auto"/>
            </w:tcBorders>
            <w:vAlign w:val="center"/>
            <w:hideMark/>
          </w:tcPr>
          <w:p w14:paraId="64BD35DC" w14:textId="77777777" w:rsidR="00490A74" w:rsidRPr="008E2A3E" w:rsidRDefault="00490A74" w:rsidP="00490A74">
            <w:pPr>
              <w:spacing w:after="0" w:line="240" w:lineRule="auto"/>
              <w:jc w:val="center"/>
              <w:rPr>
                <w:rFonts w:ascii="Times New Roman" w:eastAsia="Times New Roman" w:hAnsi="Times New Roman" w:cs="Times New Roman"/>
                <w:color w:val="000000"/>
                <w:kern w:val="0"/>
                <w:szCs w:val="24"/>
                <w:lang w:eastAsia="en-IN"/>
                <w14:ligatures w14:val="none"/>
              </w:rPr>
            </w:pPr>
            <w:r w:rsidRPr="008E2A3E">
              <w:rPr>
                <w:rFonts w:ascii="Times New Roman" w:eastAsia="Times New Roman" w:hAnsi="Times New Roman" w:cs="Times New Roman"/>
                <w:color w:val="000000"/>
                <w:kern w:val="0"/>
                <w:szCs w:val="24"/>
                <w:lang w:eastAsia="en-IN"/>
                <w14:ligatures w14:val="none"/>
              </w:rPr>
              <w:t>504</w:t>
            </w:r>
          </w:p>
        </w:tc>
      </w:tr>
      <w:tr w:rsidR="00490A74" w:rsidRPr="008E2A3E" w14:paraId="33F87292" w14:textId="77777777" w:rsidTr="00490A74">
        <w:trPr>
          <w:trHeight w:val="307"/>
        </w:trPr>
        <w:tc>
          <w:tcPr>
            <w:tcW w:w="4201" w:type="dxa"/>
            <w:tcBorders>
              <w:top w:val="nil"/>
              <w:left w:val="single" w:sz="4" w:space="0" w:color="auto"/>
              <w:bottom w:val="single" w:sz="4" w:space="0" w:color="auto"/>
              <w:right w:val="single" w:sz="4" w:space="0" w:color="auto"/>
            </w:tcBorders>
            <w:vAlign w:val="center"/>
            <w:hideMark/>
          </w:tcPr>
          <w:p w14:paraId="20E57691" w14:textId="77777777" w:rsidR="00490A74" w:rsidRPr="008E2A3E" w:rsidRDefault="00490A74" w:rsidP="00490A74">
            <w:pPr>
              <w:spacing w:after="0" w:line="240" w:lineRule="auto"/>
              <w:rPr>
                <w:rFonts w:ascii="Times New Roman" w:eastAsia="Times New Roman" w:hAnsi="Times New Roman" w:cs="Times New Roman"/>
                <w:color w:val="000000"/>
                <w:kern w:val="0"/>
                <w:szCs w:val="24"/>
                <w:lang w:eastAsia="en-IN"/>
                <w14:ligatures w14:val="none"/>
              </w:rPr>
            </w:pPr>
            <w:r w:rsidRPr="008E2A3E">
              <w:rPr>
                <w:rFonts w:ascii="Times New Roman" w:eastAsia="Times New Roman" w:hAnsi="Times New Roman" w:cs="Times New Roman"/>
                <w:color w:val="000000"/>
                <w:kern w:val="0"/>
                <w:szCs w:val="24"/>
                <w:lang w:eastAsia="en-IN"/>
                <w14:ligatures w14:val="none"/>
              </w:rPr>
              <w:t>Jammu and Kashmir</w:t>
            </w:r>
          </w:p>
        </w:tc>
        <w:tc>
          <w:tcPr>
            <w:tcW w:w="1156" w:type="dxa"/>
            <w:tcBorders>
              <w:top w:val="nil"/>
              <w:left w:val="nil"/>
              <w:bottom w:val="single" w:sz="4" w:space="0" w:color="auto"/>
              <w:right w:val="single" w:sz="4" w:space="0" w:color="auto"/>
            </w:tcBorders>
            <w:vAlign w:val="center"/>
            <w:hideMark/>
          </w:tcPr>
          <w:p w14:paraId="1E02609C" w14:textId="77777777" w:rsidR="00490A74" w:rsidRPr="008E2A3E" w:rsidRDefault="00490A74" w:rsidP="00490A74">
            <w:pPr>
              <w:spacing w:after="0" w:line="240" w:lineRule="auto"/>
              <w:jc w:val="center"/>
              <w:rPr>
                <w:rFonts w:ascii="Times New Roman" w:eastAsia="Times New Roman" w:hAnsi="Times New Roman" w:cs="Times New Roman"/>
                <w:color w:val="000000"/>
                <w:kern w:val="0"/>
                <w:szCs w:val="24"/>
                <w:lang w:eastAsia="en-IN"/>
                <w14:ligatures w14:val="none"/>
              </w:rPr>
            </w:pPr>
            <w:r w:rsidRPr="008E2A3E">
              <w:rPr>
                <w:rFonts w:ascii="Times New Roman" w:eastAsia="Times New Roman" w:hAnsi="Times New Roman" w:cs="Times New Roman"/>
                <w:color w:val="000000"/>
                <w:kern w:val="0"/>
                <w:szCs w:val="24"/>
                <w:lang w:eastAsia="en-IN"/>
                <w14:ligatures w14:val="none"/>
              </w:rPr>
              <w:t>267</w:t>
            </w:r>
          </w:p>
        </w:tc>
        <w:tc>
          <w:tcPr>
            <w:tcW w:w="1156" w:type="dxa"/>
            <w:tcBorders>
              <w:top w:val="nil"/>
              <w:left w:val="nil"/>
              <w:bottom w:val="single" w:sz="4" w:space="0" w:color="auto"/>
              <w:right w:val="single" w:sz="4" w:space="0" w:color="auto"/>
            </w:tcBorders>
            <w:vAlign w:val="center"/>
            <w:hideMark/>
          </w:tcPr>
          <w:p w14:paraId="5C410288" w14:textId="77777777" w:rsidR="00490A74" w:rsidRPr="008E2A3E" w:rsidRDefault="00490A74" w:rsidP="00490A74">
            <w:pPr>
              <w:spacing w:after="0" w:line="240" w:lineRule="auto"/>
              <w:jc w:val="center"/>
              <w:rPr>
                <w:rFonts w:ascii="Times New Roman" w:eastAsia="Times New Roman" w:hAnsi="Times New Roman" w:cs="Times New Roman"/>
                <w:color w:val="000000"/>
                <w:kern w:val="0"/>
                <w:szCs w:val="24"/>
                <w:lang w:eastAsia="en-IN"/>
                <w14:ligatures w14:val="none"/>
              </w:rPr>
            </w:pPr>
            <w:r w:rsidRPr="008E2A3E">
              <w:rPr>
                <w:rFonts w:ascii="Times New Roman" w:eastAsia="Times New Roman" w:hAnsi="Times New Roman" w:cs="Times New Roman"/>
                <w:color w:val="000000"/>
                <w:kern w:val="0"/>
                <w:szCs w:val="24"/>
                <w:lang w:eastAsia="en-IN"/>
                <w14:ligatures w14:val="none"/>
              </w:rPr>
              <w:t>263</w:t>
            </w:r>
          </w:p>
        </w:tc>
        <w:tc>
          <w:tcPr>
            <w:tcW w:w="1156" w:type="dxa"/>
            <w:tcBorders>
              <w:top w:val="nil"/>
              <w:left w:val="nil"/>
              <w:bottom w:val="single" w:sz="4" w:space="0" w:color="auto"/>
              <w:right w:val="single" w:sz="4" w:space="0" w:color="auto"/>
            </w:tcBorders>
            <w:vAlign w:val="center"/>
            <w:hideMark/>
          </w:tcPr>
          <w:p w14:paraId="450B0EA5" w14:textId="77777777" w:rsidR="00490A74" w:rsidRPr="008E2A3E" w:rsidRDefault="00490A74" w:rsidP="00490A74">
            <w:pPr>
              <w:spacing w:after="0" w:line="240" w:lineRule="auto"/>
              <w:jc w:val="center"/>
              <w:rPr>
                <w:rFonts w:ascii="Times New Roman" w:eastAsia="Times New Roman" w:hAnsi="Times New Roman" w:cs="Times New Roman"/>
                <w:color w:val="000000"/>
                <w:kern w:val="0"/>
                <w:szCs w:val="24"/>
                <w:lang w:eastAsia="en-IN"/>
                <w14:ligatures w14:val="none"/>
              </w:rPr>
            </w:pPr>
            <w:r w:rsidRPr="008E2A3E">
              <w:rPr>
                <w:rFonts w:ascii="Times New Roman" w:eastAsia="Times New Roman" w:hAnsi="Times New Roman" w:cs="Times New Roman"/>
                <w:color w:val="000000"/>
                <w:kern w:val="0"/>
                <w:szCs w:val="24"/>
                <w:lang w:eastAsia="en-IN"/>
                <w14:ligatures w14:val="none"/>
              </w:rPr>
              <w:t>267</w:t>
            </w:r>
          </w:p>
        </w:tc>
        <w:tc>
          <w:tcPr>
            <w:tcW w:w="1156" w:type="dxa"/>
            <w:tcBorders>
              <w:top w:val="nil"/>
              <w:left w:val="nil"/>
              <w:bottom w:val="single" w:sz="4" w:space="0" w:color="auto"/>
              <w:right w:val="single" w:sz="4" w:space="0" w:color="auto"/>
            </w:tcBorders>
            <w:vAlign w:val="center"/>
            <w:hideMark/>
          </w:tcPr>
          <w:p w14:paraId="543DB7B7" w14:textId="77777777" w:rsidR="00490A74" w:rsidRPr="008E2A3E" w:rsidRDefault="00490A74" w:rsidP="00490A74">
            <w:pPr>
              <w:spacing w:after="0" w:line="240" w:lineRule="auto"/>
              <w:jc w:val="center"/>
              <w:rPr>
                <w:rFonts w:ascii="Times New Roman" w:eastAsia="Times New Roman" w:hAnsi="Times New Roman" w:cs="Times New Roman"/>
                <w:color w:val="000000"/>
                <w:kern w:val="0"/>
                <w:szCs w:val="24"/>
                <w:lang w:eastAsia="en-IN"/>
                <w14:ligatures w14:val="none"/>
              </w:rPr>
            </w:pPr>
            <w:r w:rsidRPr="008E2A3E">
              <w:rPr>
                <w:rFonts w:ascii="Times New Roman" w:eastAsia="Times New Roman" w:hAnsi="Times New Roman" w:cs="Times New Roman"/>
                <w:color w:val="000000"/>
                <w:kern w:val="0"/>
                <w:szCs w:val="24"/>
                <w:lang w:eastAsia="en-IN"/>
                <w14:ligatures w14:val="none"/>
              </w:rPr>
              <w:t>298</w:t>
            </w:r>
          </w:p>
        </w:tc>
        <w:tc>
          <w:tcPr>
            <w:tcW w:w="1156" w:type="dxa"/>
            <w:tcBorders>
              <w:top w:val="nil"/>
              <w:left w:val="nil"/>
              <w:bottom w:val="single" w:sz="4" w:space="0" w:color="auto"/>
              <w:right w:val="single" w:sz="4" w:space="0" w:color="auto"/>
            </w:tcBorders>
            <w:vAlign w:val="center"/>
            <w:hideMark/>
          </w:tcPr>
          <w:p w14:paraId="5EBDD746" w14:textId="77777777" w:rsidR="00490A74" w:rsidRPr="008E2A3E" w:rsidRDefault="00490A74" w:rsidP="00490A74">
            <w:pPr>
              <w:spacing w:after="0" w:line="240" w:lineRule="auto"/>
              <w:jc w:val="center"/>
              <w:rPr>
                <w:rFonts w:ascii="Times New Roman" w:eastAsia="Times New Roman" w:hAnsi="Times New Roman" w:cs="Times New Roman"/>
                <w:color w:val="000000"/>
                <w:kern w:val="0"/>
                <w:szCs w:val="24"/>
                <w:lang w:eastAsia="en-IN"/>
                <w14:ligatures w14:val="none"/>
              </w:rPr>
            </w:pPr>
            <w:r w:rsidRPr="008E2A3E">
              <w:rPr>
                <w:rFonts w:ascii="Times New Roman" w:eastAsia="Times New Roman" w:hAnsi="Times New Roman" w:cs="Times New Roman"/>
                <w:color w:val="000000"/>
                <w:kern w:val="0"/>
                <w:szCs w:val="24"/>
                <w:lang w:eastAsia="en-IN"/>
                <w14:ligatures w14:val="none"/>
              </w:rPr>
              <w:t>341</w:t>
            </w:r>
          </w:p>
        </w:tc>
      </w:tr>
      <w:tr w:rsidR="00490A74" w:rsidRPr="008E2A3E" w14:paraId="129A0CA8" w14:textId="77777777" w:rsidTr="00490A74">
        <w:trPr>
          <w:trHeight w:val="307"/>
        </w:trPr>
        <w:tc>
          <w:tcPr>
            <w:tcW w:w="4201" w:type="dxa"/>
            <w:tcBorders>
              <w:top w:val="nil"/>
              <w:left w:val="single" w:sz="4" w:space="0" w:color="auto"/>
              <w:bottom w:val="single" w:sz="4" w:space="0" w:color="auto"/>
              <w:right w:val="single" w:sz="4" w:space="0" w:color="auto"/>
            </w:tcBorders>
            <w:vAlign w:val="center"/>
            <w:hideMark/>
          </w:tcPr>
          <w:p w14:paraId="5D501238" w14:textId="77777777" w:rsidR="00490A74" w:rsidRPr="008E2A3E" w:rsidRDefault="00490A74" w:rsidP="00490A74">
            <w:pPr>
              <w:spacing w:after="0" w:line="240" w:lineRule="auto"/>
              <w:rPr>
                <w:rFonts w:ascii="Times New Roman" w:eastAsia="Times New Roman" w:hAnsi="Times New Roman" w:cs="Times New Roman"/>
                <w:color w:val="000000"/>
                <w:kern w:val="0"/>
                <w:szCs w:val="24"/>
                <w:lang w:eastAsia="en-IN"/>
                <w14:ligatures w14:val="none"/>
              </w:rPr>
            </w:pPr>
            <w:r w:rsidRPr="008E2A3E">
              <w:rPr>
                <w:rFonts w:ascii="Times New Roman" w:eastAsia="Times New Roman" w:hAnsi="Times New Roman" w:cs="Times New Roman"/>
                <w:color w:val="000000"/>
                <w:kern w:val="0"/>
                <w:szCs w:val="24"/>
                <w:lang w:eastAsia="en-IN"/>
                <w14:ligatures w14:val="none"/>
              </w:rPr>
              <w:t>Kerala</w:t>
            </w:r>
          </w:p>
        </w:tc>
        <w:tc>
          <w:tcPr>
            <w:tcW w:w="1156" w:type="dxa"/>
            <w:tcBorders>
              <w:top w:val="nil"/>
              <w:left w:val="nil"/>
              <w:bottom w:val="single" w:sz="4" w:space="0" w:color="auto"/>
              <w:right w:val="single" w:sz="4" w:space="0" w:color="auto"/>
            </w:tcBorders>
            <w:vAlign w:val="center"/>
            <w:hideMark/>
          </w:tcPr>
          <w:p w14:paraId="63D7DD9C" w14:textId="77777777" w:rsidR="00490A74" w:rsidRPr="008E2A3E" w:rsidRDefault="00490A74" w:rsidP="00490A74">
            <w:pPr>
              <w:spacing w:after="0" w:line="240" w:lineRule="auto"/>
              <w:jc w:val="center"/>
              <w:rPr>
                <w:rFonts w:ascii="Times New Roman" w:eastAsia="Times New Roman" w:hAnsi="Times New Roman" w:cs="Times New Roman"/>
                <w:color w:val="000000"/>
                <w:kern w:val="0"/>
                <w:szCs w:val="24"/>
                <w:lang w:eastAsia="en-IN"/>
                <w14:ligatures w14:val="none"/>
              </w:rPr>
            </w:pPr>
            <w:r w:rsidRPr="008E2A3E">
              <w:rPr>
                <w:rFonts w:ascii="Times New Roman" w:eastAsia="Times New Roman" w:hAnsi="Times New Roman" w:cs="Times New Roman"/>
                <w:color w:val="000000"/>
                <w:kern w:val="0"/>
                <w:szCs w:val="24"/>
                <w:lang w:eastAsia="en-IN"/>
                <w14:ligatures w14:val="none"/>
              </w:rPr>
              <w:t>278</w:t>
            </w:r>
          </w:p>
        </w:tc>
        <w:tc>
          <w:tcPr>
            <w:tcW w:w="1156" w:type="dxa"/>
            <w:tcBorders>
              <w:top w:val="nil"/>
              <w:left w:val="nil"/>
              <w:bottom w:val="single" w:sz="4" w:space="0" w:color="auto"/>
              <w:right w:val="single" w:sz="4" w:space="0" w:color="auto"/>
            </w:tcBorders>
            <w:vAlign w:val="center"/>
            <w:hideMark/>
          </w:tcPr>
          <w:p w14:paraId="6B5D9FC2" w14:textId="77777777" w:rsidR="00490A74" w:rsidRPr="008E2A3E" w:rsidRDefault="00490A74" w:rsidP="00490A74">
            <w:pPr>
              <w:spacing w:after="0" w:line="240" w:lineRule="auto"/>
              <w:jc w:val="center"/>
              <w:rPr>
                <w:rFonts w:ascii="Times New Roman" w:eastAsia="Times New Roman" w:hAnsi="Times New Roman" w:cs="Times New Roman"/>
                <w:color w:val="000000"/>
                <w:kern w:val="0"/>
                <w:szCs w:val="24"/>
                <w:lang w:eastAsia="en-IN"/>
                <w14:ligatures w14:val="none"/>
              </w:rPr>
            </w:pPr>
            <w:r w:rsidRPr="008E2A3E">
              <w:rPr>
                <w:rFonts w:ascii="Times New Roman" w:eastAsia="Times New Roman" w:hAnsi="Times New Roman" w:cs="Times New Roman"/>
                <w:color w:val="000000"/>
                <w:kern w:val="0"/>
                <w:szCs w:val="24"/>
                <w:lang w:eastAsia="en-IN"/>
                <w14:ligatures w14:val="none"/>
              </w:rPr>
              <w:t>295</w:t>
            </w:r>
          </w:p>
        </w:tc>
        <w:tc>
          <w:tcPr>
            <w:tcW w:w="1156" w:type="dxa"/>
            <w:tcBorders>
              <w:top w:val="nil"/>
              <w:left w:val="nil"/>
              <w:bottom w:val="single" w:sz="4" w:space="0" w:color="auto"/>
              <w:right w:val="single" w:sz="4" w:space="0" w:color="auto"/>
            </w:tcBorders>
            <w:vAlign w:val="center"/>
            <w:hideMark/>
          </w:tcPr>
          <w:p w14:paraId="01C6B983" w14:textId="77777777" w:rsidR="00490A74" w:rsidRPr="008E2A3E" w:rsidRDefault="00490A74" w:rsidP="00490A74">
            <w:pPr>
              <w:spacing w:after="0" w:line="240" w:lineRule="auto"/>
              <w:jc w:val="center"/>
              <w:rPr>
                <w:rFonts w:ascii="Times New Roman" w:eastAsia="Times New Roman" w:hAnsi="Times New Roman" w:cs="Times New Roman"/>
                <w:color w:val="000000"/>
                <w:kern w:val="0"/>
                <w:szCs w:val="24"/>
                <w:lang w:eastAsia="en-IN"/>
                <w14:ligatures w14:val="none"/>
              </w:rPr>
            </w:pPr>
            <w:r w:rsidRPr="008E2A3E">
              <w:rPr>
                <w:rFonts w:ascii="Times New Roman" w:eastAsia="Times New Roman" w:hAnsi="Times New Roman" w:cs="Times New Roman"/>
                <w:color w:val="000000"/>
                <w:kern w:val="0"/>
                <w:szCs w:val="24"/>
                <w:lang w:eastAsia="en-IN"/>
                <w14:ligatures w14:val="none"/>
              </w:rPr>
              <w:t>303</w:t>
            </w:r>
          </w:p>
        </w:tc>
        <w:tc>
          <w:tcPr>
            <w:tcW w:w="1156" w:type="dxa"/>
            <w:tcBorders>
              <w:top w:val="nil"/>
              <w:left w:val="nil"/>
              <w:bottom w:val="single" w:sz="4" w:space="0" w:color="auto"/>
              <w:right w:val="single" w:sz="4" w:space="0" w:color="auto"/>
            </w:tcBorders>
            <w:vAlign w:val="center"/>
            <w:hideMark/>
          </w:tcPr>
          <w:p w14:paraId="3FC77696" w14:textId="77777777" w:rsidR="00490A74" w:rsidRPr="008E2A3E" w:rsidRDefault="00490A74" w:rsidP="00490A74">
            <w:pPr>
              <w:spacing w:after="0" w:line="240" w:lineRule="auto"/>
              <w:jc w:val="center"/>
              <w:rPr>
                <w:rFonts w:ascii="Times New Roman" w:eastAsia="Times New Roman" w:hAnsi="Times New Roman" w:cs="Times New Roman"/>
                <w:color w:val="000000"/>
                <w:kern w:val="0"/>
                <w:szCs w:val="24"/>
                <w:lang w:eastAsia="en-IN"/>
                <w14:ligatures w14:val="none"/>
              </w:rPr>
            </w:pPr>
            <w:r w:rsidRPr="008E2A3E">
              <w:rPr>
                <w:rFonts w:ascii="Times New Roman" w:eastAsia="Times New Roman" w:hAnsi="Times New Roman" w:cs="Times New Roman"/>
                <w:color w:val="000000"/>
                <w:kern w:val="0"/>
                <w:szCs w:val="24"/>
                <w:lang w:eastAsia="en-IN"/>
                <w14:ligatures w14:val="none"/>
              </w:rPr>
              <w:t>328</w:t>
            </w:r>
          </w:p>
        </w:tc>
        <w:tc>
          <w:tcPr>
            <w:tcW w:w="1156" w:type="dxa"/>
            <w:tcBorders>
              <w:top w:val="nil"/>
              <w:left w:val="nil"/>
              <w:bottom w:val="single" w:sz="4" w:space="0" w:color="auto"/>
              <w:right w:val="single" w:sz="4" w:space="0" w:color="auto"/>
            </w:tcBorders>
            <w:vAlign w:val="center"/>
            <w:hideMark/>
          </w:tcPr>
          <w:p w14:paraId="621D2179" w14:textId="77777777" w:rsidR="00490A74" w:rsidRPr="008E2A3E" w:rsidRDefault="00490A74" w:rsidP="00490A74">
            <w:pPr>
              <w:spacing w:after="0" w:line="240" w:lineRule="auto"/>
              <w:jc w:val="center"/>
              <w:rPr>
                <w:rFonts w:ascii="Times New Roman" w:eastAsia="Times New Roman" w:hAnsi="Times New Roman" w:cs="Times New Roman"/>
                <w:color w:val="000000"/>
                <w:kern w:val="0"/>
                <w:szCs w:val="24"/>
                <w:lang w:eastAsia="en-IN"/>
                <w14:ligatures w14:val="none"/>
              </w:rPr>
            </w:pPr>
            <w:r w:rsidRPr="008E2A3E">
              <w:rPr>
                <w:rFonts w:ascii="Times New Roman" w:eastAsia="Times New Roman" w:hAnsi="Times New Roman" w:cs="Times New Roman"/>
                <w:color w:val="000000"/>
                <w:kern w:val="0"/>
                <w:szCs w:val="24"/>
                <w:lang w:eastAsia="en-IN"/>
                <w14:ligatures w14:val="none"/>
              </w:rPr>
              <w:t>393</w:t>
            </w:r>
          </w:p>
        </w:tc>
      </w:tr>
      <w:tr w:rsidR="00490A74" w:rsidRPr="008E2A3E" w14:paraId="29928AC4" w14:textId="77777777" w:rsidTr="00490A74">
        <w:trPr>
          <w:trHeight w:val="307"/>
        </w:trPr>
        <w:tc>
          <w:tcPr>
            <w:tcW w:w="4201" w:type="dxa"/>
            <w:tcBorders>
              <w:top w:val="nil"/>
              <w:left w:val="single" w:sz="4" w:space="0" w:color="auto"/>
              <w:bottom w:val="single" w:sz="4" w:space="0" w:color="auto"/>
              <w:right w:val="single" w:sz="4" w:space="0" w:color="auto"/>
            </w:tcBorders>
            <w:vAlign w:val="center"/>
            <w:hideMark/>
          </w:tcPr>
          <w:p w14:paraId="3AE43983" w14:textId="77777777" w:rsidR="00490A74" w:rsidRPr="008E2A3E" w:rsidRDefault="00490A74" w:rsidP="00490A74">
            <w:pPr>
              <w:spacing w:after="0" w:line="240" w:lineRule="auto"/>
              <w:rPr>
                <w:rFonts w:ascii="Times New Roman" w:eastAsia="Times New Roman" w:hAnsi="Times New Roman" w:cs="Times New Roman"/>
                <w:color w:val="000000"/>
                <w:kern w:val="0"/>
                <w:szCs w:val="24"/>
                <w:lang w:eastAsia="en-IN"/>
                <w14:ligatures w14:val="none"/>
              </w:rPr>
            </w:pPr>
            <w:r w:rsidRPr="008E2A3E">
              <w:rPr>
                <w:rFonts w:ascii="Times New Roman" w:eastAsia="Times New Roman" w:hAnsi="Times New Roman" w:cs="Times New Roman"/>
                <w:color w:val="000000"/>
                <w:kern w:val="0"/>
                <w:szCs w:val="24"/>
                <w:lang w:eastAsia="en-IN"/>
                <w14:ligatures w14:val="none"/>
              </w:rPr>
              <w:t>Madhya Pradesh</w:t>
            </w:r>
          </w:p>
        </w:tc>
        <w:tc>
          <w:tcPr>
            <w:tcW w:w="1156" w:type="dxa"/>
            <w:tcBorders>
              <w:top w:val="nil"/>
              <w:left w:val="nil"/>
              <w:bottom w:val="single" w:sz="4" w:space="0" w:color="auto"/>
              <w:right w:val="single" w:sz="4" w:space="0" w:color="auto"/>
            </w:tcBorders>
            <w:vAlign w:val="center"/>
            <w:hideMark/>
          </w:tcPr>
          <w:p w14:paraId="607F1E12" w14:textId="77777777" w:rsidR="00490A74" w:rsidRPr="008E2A3E" w:rsidRDefault="00490A74" w:rsidP="00490A74">
            <w:pPr>
              <w:spacing w:after="0" w:line="240" w:lineRule="auto"/>
              <w:jc w:val="center"/>
              <w:rPr>
                <w:rFonts w:ascii="Times New Roman" w:eastAsia="Times New Roman" w:hAnsi="Times New Roman" w:cs="Times New Roman"/>
                <w:color w:val="000000"/>
                <w:kern w:val="0"/>
                <w:szCs w:val="24"/>
                <w:lang w:eastAsia="en-IN"/>
                <w14:ligatures w14:val="none"/>
              </w:rPr>
            </w:pPr>
            <w:r w:rsidRPr="008E2A3E">
              <w:rPr>
                <w:rFonts w:ascii="Times New Roman" w:eastAsia="Times New Roman" w:hAnsi="Times New Roman" w:cs="Times New Roman"/>
                <w:color w:val="000000"/>
                <w:kern w:val="0"/>
                <w:szCs w:val="24"/>
                <w:lang w:eastAsia="en-IN"/>
                <w14:ligatures w14:val="none"/>
              </w:rPr>
              <w:t>274</w:t>
            </w:r>
          </w:p>
        </w:tc>
        <w:tc>
          <w:tcPr>
            <w:tcW w:w="1156" w:type="dxa"/>
            <w:tcBorders>
              <w:top w:val="nil"/>
              <w:left w:val="nil"/>
              <w:bottom w:val="single" w:sz="4" w:space="0" w:color="auto"/>
              <w:right w:val="single" w:sz="4" w:space="0" w:color="auto"/>
            </w:tcBorders>
            <w:vAlign w:val="center"/>
            <w:hideMark/>
          </w:tcPr>
          <w:p w14:paraId="07B17D52" w14:textId="77777777" w:rsidR="00490A74" w:rsidRPr="008E2A3E" w:rsidRDefault="00490A74" w:rsidP="00490A74">
            <w:pPr>
              <w:spacing w:after="0" w:line="240" w:lineRule="auto"/>
              <w:jc w:val="center"/>
              <w:rPr>
                <w:rFonts w:ascii="Times New Roman" w:eastAsia="Times New Roman" w:hAnsi="Times New Roman" w:cs="Times New Roman"/>
                <w:color w:val="000000"/>
                <w:kern w:val="0"/>
                <w:szCs w:val="24"/>
                <w:lang w:eastAsia="en-IN"/>
                <w14:ligatures w14:val="none"/>
              </w:rPr>
            </w:pPr>
            <w:r w:rsidRPr="008E2A3E">
              <w:rPr>
                <w:rFonts w:ascii="Times New Roman" w:eastAsia="Times New Roman" w:hAnsi="Times New Roman" w:cs="Times New Roman"/>
                <w:color w:val="000000"/>
                <w:kern w:val="0"/>
                <w:szCs w:val="24"/>
                <w:lang w:eastAsia="en-IN"/>
                <w14:ligatures w14:val="none"/>
              </w:rPr>
              <w:t>282</w:t>
            </w:r>
          </w:p>
        </w:tc>
        <w:tc>
          <w:tcPr>
            <w:tcW w:w="1156" w:type="dxa"/>
            <w:tcBorders>
              <w:top w:val="nil"/>
              <w:left w:val="nil"/>
              <w:bottom w:val="single" w:sz="4" w:space="0" w:color="auto"/>
              <w:right w:val="single" w:sz="4" w:space="0" w:color="auto"/>
            </w:tcBorders>
            <w:vAlign w:val="center"/>
            <w:hideMark/>
          </w:tcPr>
          <w:p w14:paraId="3F217207" w14:textId="77777777" w:rsidR="00490A74" w:rsidRPr="008E2A3E" w:rsidRDefault="00490A74" w:rsidP="00490A74">
            <w:pPr>
              <w:spacing w:after="0" w:line="240" w:lineRule="auto"/>
              <w:jc w:val="center"/>
              <w:rPr>
                <w:rFonts w:ascii="Times New Roman" w:eastAsia="Times New Roman" w:hAnsi="Times New Roman" w:cs="Times New Roman"/>
                <w:color w:val="000000"/>
                <w:kern w:val="0"/>
                <w:szCs w:val="24"/>
                <w:lang w:eastAsia="en-IN"/>
                <w14:ligatures w14:val="none"/>
              </w:rPr>
            </w:pPr>
            <w:r w:rsidRPr="008E2A3E">
              <w:rPr>
                <w:rFonts w:ascii="Times New Roman" w:eastAsia="Times New Roman" w:hAnsi="Times New Roman" w:cs="Times New Roman"/>
                <w:color w:val="000000"/>
                <w:kern w:val="0"/>
                <w:szCs w:val="24"/>
                <w:lang w:eastAsia="en-IN"/>
                <w14:ligatures w14:val="none"/>
              </w:rPr>
              <w:t>280</w:t>
            </w:r>
          </w:p>
        </w:tc>
        <w:tc>
          <w:tcPr>
            <w:tcW w:w="1156" w:type="dxa"/>
            <w:tcBorders>
              <w:top w:val="nil"/>
              <w:left w:val="nil"/>
              <w:bottom w:val="single" w:sz="4" w:space="0" w:color="auto"/>
              <w:right w:val="single" w:sz="4" w:space="0" w:color="auto"/>
            </w:tcBorders>
            <w:vAlign w:val="center"/>
            <w:hideMark/>
          </w:tcPr>
          <w:p w14:paraId="01205C13" w14:textId="77777777" w:rsidR="00490A74" w:rsidRPr="008E2A3E" w:rsidRDefault="00490A74" w:rsidP="00490A74">
            <w:pPr>
              <w:spacing w:after="0" w:line="240" w:lineRule="auto"/>
              <w:jc w:val="center"/>
              <w:rPr>
                <w:rFonts w:ascii="Times New Roman" w:eastAsia="Times New Roman" w:hAnsi="Times New Roman" w:cs="Times New Roman"/>
                <w:color w:val="000000"/>
                <w:kern w:val="0"/>
                <w:szCs w:val="24"/>
                <w:lang w:eastAsia="en-IN"/>
                <w14:ligatures w14:val="none"/>
              </w:rPr>
            </w:pPr>
            <w:r w:rsidRPr="008E2A3E">
              <w:rPr>
                <w:rFonts w:ascii="Times New Roman" w:eastAsia="Times New Roman" w:hAnsi="Times New Roman" w:cs="Times New Roman"/>
                <w:color w:val="000000"/>
                <w:kern w:val="0"/>
                <w:szCs w:val="24"/>
                <w:lang w:eastAsia="en-IN"/>
                <w14:ligatures w14:val="none"/>
              </w:rPr>
              <w:t>323</w:t>
            </w:r>
          </w:p>
        </w:tc>
        <w:tc>
          <w:tcPr>
            <w:tcW w:w="1156" w:type="dxa"/>
            <w:tcBorders>
              <w:top w:val="nil"/>
              <w:left w:val="nil"/>
              <w:bottom w:val="single" w:sz="4" w:space="0" w:color="auto"/>
              <w:right w:val="single" w:sz="4" w:space="0" w:color="auto"/>
            </w:tcBorders>
            <w:vAlign w:val="center"/>
            <w:hideMark/>
          </w:tcPr>
          <w:p w14:paraId="5178FD19" w14:textId="77777777" w:rsidR="00490A74" w:rsidRPr="008E2A3E" w:rsidRDefault="00490A74" w:rsidP="00490A74">
            <w:pPr>
              <w:spacing w:after="0" w:line="240" w:lineRule="auto"/>
              <w:jc w:val="center"/>
              <w:rPr>
                <w:rFonts w:ascii="Times New Roman" w:eastAsia="Times New Roman" w:hAnsi="Times New Roman" w:cs="Times New Roman"/>
                <w:color w:val="000000"/>
                <w:kern w:val="0"/>
                <w:szCs w:val="24"/>
                <w:lang w:eastAsia="en-IN"/>
                <w14:ligatures w14:val="none"/>
              </w:rPr>
            </w:pPr>
            <w:r w:rsidRPr="008E2A3E">
              <w:rPr>
                <w:rFonts w:ascii="Times New Roman" w:eastAsia="Times New Roman" w:hAnsi="Times New Roman" w:cs="Times New Roman"/>
                <w:color w:val="000000"/>
                <w:kern w:val="0"/>
                <w:szCs w:val="24"/>
                <w:lang w:eastAsia="en-IN"/>
                <w14:ligatures w14:val="none"/>
              </w:rPr>
              <w:t>373</w:t>
            </w:r>
          </w:p>
        </w:tc>
      </w:tr>
      <w:tr w:rsidR="00490A74" w:rsidRPr="008E2A3E" w14:paraId="63AD3653" w14:textId="77777777" w:rsidTr="00490A74">
        <w:trPr>
          <w:trHeight w:val="307"/>
        </w:trPr>
        <w:tc>
          <w:tcPr>
            <w:tcW w:w="4201" w:type="dxa"/>
            <w:tcBorders>
              <w:top w:val="nil"/>
              <w:left w:val="single" w:sz="4" w:space="0" w:color="auto"/>
              <w:bottom w:val="single" w:sz="4" w:space="0" w:color="auto"/>
              <w:right w:val="single" w:sz="4" w:space="0" w:color="auto"/>
            </w:tcBorders>
            <w:vAlign w:val="center"/>
            <w:hideMark/>
          </w:tcPr>
          <w:p w14:paraId="75E2489B" w14:textId="77777777" w:rsidR="00490A74" w:rsidRPr="008E2A3E" w:rsidRDefault="00490A74" w:rsidP="00490A74">
            <w:pPr>
              <w:spacing w:after="0" w:line="240" w:lineRule="auto"/>
              <w:rPr>
                <w:rFonts w:ascii="Times New Roman" w:eastAsia="Times New Roman" w:hAnsi="Times New Roman" w:cs="Times New Roman"/>
                <w:color w:val="000000"/>
                <w:kern w:val="0"/>
                <w:szCs w:val="24"/>
                <w:lang w:eastAsia="en-IN"/>
                <w14:ligatures w14:val="none"/>
              </w:rPr>
            </w:pPr>
            <w:r w:rsidRPr="008E2A3E">
              <w:rPr>
                <w:rFonts w:ascii="Times New Roman" w:eastAsia="Times New Roman" w:hAnsi="Times New Roman" w:cs="Times New Roman"/>
                <w:color w:val="000000"/>
                <w:kern w:val="0"/>
                <w:szCs w:val="24"/>
                <w:lang w:eastAsia="en-IN"/>
                <w14:ligatures w14:val="none"/>
              </w:rPr>
              <w:t>Maharashtra</w:t>
            </w:r>
          </w:p>
        </w:tc>
        <w:tc>
          <w:tcPr>
            <w:tcW w:w="1156" w:type="dxa"/>
            <w:tcBorders>
              <w:top w:val="nil"/>
              <w:left w:val="nil"/>
              <w:bottom w:val="single" w:sz="4" w:space="0" w:color="auto"/>
              <w:right w:val="single" w:sz="4" w:space="0" w:color="auto"/>
            </w:tcBorders>
            <w:vAlign w:val="center"/>
            <w:hideMark/>
          </w:tcPr>
          <w:p w14:paraId="0508667C" w14:textId="77777777" w:rsidR="00490A74" w:rsidRPr="008E2A3E" w:rsidRDefault="00490A74" w:rsidP="00490A74">
            <w:pPr>
              <w:spacing w:after="0" w:line="240" w:lineRule="auto"/>
              <w:jc w:val="center"/>
              <w:rPr>
                <w:rFonts w:ascii="Times New Roman" w:eastAsia="Times New Roman" w:hAnsi="Times New Roman" w:cs="Times New Roman"/>
                <w:color w:val="000000"/>
                <w:kern w:val="0"/>
                <w:szCs w:val="24"/>
                <w:lang w:eastAsia="en-IN"/>
                <w14:ligatures w14:val="none"/>
              </w:rPr>
            </w:pPr>
            <w:r w:rsidRPr="008E2A3E">
              <w:rPr>
                <w:rFonts w:ascii="Times New Roman" w:eastAsia="Times New Roman" w:hAnsi="Times New Roman" w:cs="Times New Roman"/>
                <w:color w:val="000000"/>
                <w:kern w:val="0"/>
                <w:szCs w:val="24"/>
                <w:lang w:eastAsia="en-IN"/>
                <w14:ligatures w14:val="none"/>
              </w:rPr>
              <w:t>419</w:t>
            </w:r>
          </w:p>
        </w:tc>
        <w:tc>
          <w:tcPr>
            <w:tcW w:w="1156" w:type="dxa"/>
            <w:tcBorders>
              <w:top w:val="nil"/>
              <w:left w:val="nil"/>
              <w:bottom w:val="single" w:sz="4" w:space="0" w:color="auto"/>
              <w:right w:val="single" w:sz="4" w:space="0" w:color="auto"/>
            </w:tcBorders>
            <w:vAlign w:val="center"/>
            <w:hideMark/>
          </w:tcPr>
          <w:p w14:paraId="2E506669" w14:textId="77777777" w:rsidR="00490A74" w:rsidRPr="008E2A3E" w:rsidRDefault="00490A74" w:rsidP="00490A74">
            <w:pPr>
              <w:spacing w:after="0" w:line="240" w:lineRule="auto"/>
              <w:jc w:val="center"/>
              <w:rPr>
                <w:rFonts w:ascii="Times New Roman" w:eastAsia="Times New Roman" w:hAnsi="Times New Roman" w:cs="Times New Roman"/>
                <w:color w:val="000000"/>
                <w:kern w:val="0"/>
                <w:szCs w:val="24"/>
                <w:lang w:eastAsia="en-IN"/>
                <w14:ligatures w14:val="none"/>
              </w:rPr>
            </w:pPr>
            <w:r w:rsidRPr="008E2A3E">
              <w:rPr>
                <w:rFonts w:ascii="Times New Roman" w:eastAsia="Times New Roman" w:hAnsi="Times New Roman" w:cs="Times New Roman"/>
                <w:color w:val="000000"/>
                <w:kern w:val="0"/>
                <w:szCs w:val="24"/>
                <w:lang w:eastAsia="en-IN"/>
                <w14:ligatures w14:val="none"/>
              </w:rPr>
              <w:t>405</w:t>
            </w:r>
          </w:p>
        </w:tc>
        <w:tc>
          <w:tcPr>
            <w:tcW w:w="1156" w:type="dxa"/>
            <w:tcBorders>
              <w:top w:val="nil"/>
              <w:left w:val="nil"/>
              <w:bottom w:val="single" w:sz="4" w:space="0" w:color="auto"/>
              <w:right w:val="single" w:sz="4" w:space="0" w:color="auto"/>
            </w:tcBorders>
            <w:vAlign w:val="center"/>
            <w:hideMark/>
          </w:tcPr>
          <w:p w14:paraId="5D7588EF" w14:textId="77777777" w:rsidR="00490A74" w:rsidRPr="008E2A3E" w:rsidRDefault="00490A74" w:rsidP="00490A74">
            <w:pPr>
              <w:spacing w:after="0" w:line="240" w:lineRule="auto"/>
              <w:jc w:val="center"/>
              <w:rPr>
                <w:rFonts w:ascii="Times New Roman" w:eastAsia="Times New Roman" w:hAnsi="Times New Roman" w:cs="Times New Roman"/>
                <w:color w:val="000000"/>
                <w:kern w:val="0"/>
                <w:szCs w:val="24"/>
                <w:lang w:eastAsia="en-IN"/>
                <w14:ligatures w14:val="none"/>
              </w:rPr>
            </w:pPr>
            <w:r w:rsidRPr="008E2A3E">
              <w:rPr>
                <w:rFonts w:ascii="Times New Roman" w:eastAsia="Times New Roman" w:hAnsi="Times New Roman" w:cs="Times New Roman"/>
                <w:color w:val="000000"/>
                <w:kern w:val="0"/>
                <w:szCs w:val="24"/>
                <w:lang w:eastAsia="en-IN"/>
                <w14:ligatures w14:val="none"/>
              </w:rPr>
              <w:t>429</w:t>
            </w:r>
          </w:p>
        </w:tc>
        <w:tc>
          <w:tcPr>
            <w:tcW w:w="1156" w:type="dxa"/>
            <w:tcBorders>
              <w:top w:val="nil"/>
              <w:left w:val="nil"/>
              <w:bottom w:val="single" w:sz="4" w:space="0" w:color="auto"/>
              <w:right w:val="single" w:sz="4" w:space="0" w:color="auto"/>
            </w:tcBorders>
            <w:vAlign w:val="center"/>
            <w:hideMark/>
          </w:tcPr>
          <w:p w14:paraId="01131AE9" w14:textId="77777777" w:rsidR="00490A74" w:rsidRPr="008E2A3E" w:rsidRDefault="00490A74" w:rsidP="00490A74">
            <w:pPr>
              <w:spacing w:after="0" w:line="240" w:lineRule="auto"/>
              <w:jc w:val="center"/>
              <w:rPr>
                <w:rFonts w:ascii="Times New Roman" w:eastAsia="Times New Roman" w:hAnsi="Times New Roman" w:cs="Times New Roman"/>
                <w:color w:val="000000"/>
                <w:kern w:val="0"/>
                <w:szCs w:val="24"/>
                <w:lang w:eastAsia="en-IN"/>
                <w14:ligatures w14:val="none"/>
              </w:rPr>
            </w:pPr>
            <w:r w:rsidRPr="008E2A3E">
              <w:rPr>
                <w:rFonts w:ascii="Times New Roman" w:eastAsia="Times New Roman" w:hAnsi="Times New Roman" w:cs="Times New Roman"/>
                <w:color w:val="000000"/>
                <w:kern w:val="0"/>
                <w:szCs w:val="24"/>
                <w:lang w:eastAsia="en-IN"/>
                <w14:ligatures w14:val="none"/>
              </w:rPr>
              <w:t>478</w:t>
            </w:r>
          </w:p>
        </w:tc>
        <w:tc>
          <w:tcPr>
            <w:tcW w:w="1156" w:type="dxa"/>
            <w:tcBorders>
              <w:top w:val="nil"/>
              <w:left w:val="nil"/>
              <w:bottom w:val="single" w:sz="4" w:space="0" w:color="auto"/>
              <w:right w:val="single" w:sz="4" w:space="0" w:color="auto"/>
            </w:tcBorders>
            <w:vAlign w:val="center"/>
            <w:hideMark/>
          </w:tcPr>
          <w:p w14:paraId="54FC0734" w14:textId="77777777" w:rsidR="00490A74" w:rsidRPr="008E2A3E" w:rsidRDefault="00490A74" w:rsidP="00490A74">
            <w:pPr>
              <w:spacing w:after="0" w:line="240" w:lineRule="auto"/>
              <w:jc w:val="center"/>
              <w:rPr>
                <w:rFonts w:ascii="Times New Roman" w:eastAsia="Times New Roman" w:hAnsi="Times New Roman" w:cs="Times New Roman"/>
                <w:color w:val="000000"/>
                <w:kern w:val="0"/>
                <w:szCs w:val="24"/>
                <w:lang w:eastAsia="en-IN"/>
                <w14:ligatures w14:val="none"/>
              </w:rPr>
            </w:pPr>
            <w:r w:rsidRPr="008E2A3E">
              <w:rPr>
                <w:rFonts w:ascii="Times New Roman" w:eastAsia="Times New Roman" w:hAnsi="Times New Roman" w:cs="Times New Roman"/>
                <w:color w:val="000000"/>
                <w:kern w:val="0"/>
                <w:szCs w:val="24"/>
                <w:lang w:eastAsia="en-IN"/>
                <w14:ligatures w14:val="none"/>
              </w:rPr>
              <w:t>526</w:t>
            </w:r>
          </w:p>
        </w:tc>
      </w:tr>
      <w:tr w:rsidR="00490A74" w:rsidRPr="008E2A3E" w14:paraId="262A159D" w14:textId="77777777" w:rsidTr="00490A74">
        <w:trPr>
          <w:trHeight w:val="307"/>
        </w:trPr>
        <w:tc>
          <w:tcPr>
            <w:tcW w:w="4201" w:type="dxa"/>
            <w:tcBorders>
              <w:top w:val="nil"/>
              <w:left w:val="single" w:sz="4" w:space="0" w:color="auto"/>
              <w:bottom w:val="single" w:sz="4" w:space="0" w:color="auto"/>
              <w:right w:val="single" w:sz="4" w:space="0" w:color="auto"/>
            </w:tcBorders>
            <w:vAlign w:val="center"/>
            <w:hideMark/>
          </w:tcPr>
          <w:p w14:paraId="0709EAB1" w14:textId="77777777" w:rsidR="00490A74" w:rsidRPr="008E2A3E" w:rsidRDefault="00490A74" w:rsidP="00490A74">
            <w:pPr>
              <w:spacing w:after="0" w:line="240" w:lineRule="auto"/>
              <w:rPr>
                <w:rFonts w:ascii="Times New Roman" w:eastAsia="Times New Roman" w:hAnsi="Times New Roman" w:cs="Times New Roman"/>
                <w:color w:val="000000"/>
                <w:kern w:val="0"/>
                <w:szCs w:val="24"/>
                <w:lang w:eastAsia="en-IN"/>
                <w14:ligatures w14:val="none"/>
              </w:rPr>
            </w:pPr>
            <w:r w:rsidRPr="008E2A3E">
              <w:rPr>
                <w:rFonts w:ascii="Times New Roman" w:eastAsia="Times New Roman" w:hAnsi="Times New Roman" w:cs="Times New Roman"/>
                <w:color w:val="000000"/>
                <w:kern w:val="0"/>
                <w:szCs w:val="24"/>
                <w:lang w:eastAsia="en-IN"/>
                <w14:ligatures w14:val="none"/>
              </w:rPr>
              <w:t>Mysore</w:t>
            </w:r>
          </w:p>
        </w:tc>
        <w:tc>
          <w:tcPr>
            <w:tcW w:w="1156" w:type="dxa"/>
            <w:tcBorders>
              <w:top w:val="nil"/>
              <w:left w:val="nil"/>
              <w:bottom w:val="single" w:sz="4" w:space="0" w:color="auto"/>
              <w:right w:val="single" w:sz="4" w:space="0" w:color="auto"/>
            </w:tcBorders>
            <w:vAlign w:val="center"/>
            <w:hideMark/>
          </w:tcPr>
          <w:p w14:paraId="227D484B" w14:textId="77777777" w:rsidR="00490A74" w:rsidRPr="008E2A3E" w:rsidRDefault="00490A74" w:rsidP="00490A74">
            <w:pPr>
              <w:spacing w:after="0" w:line="240" w:lineRule="auto"/>
              <w:jc w:val="center"/>
              <w:rPr>
                <w:rFonts w:ascii="Times New Roman" w:eastAsia="Times New Roman" w:hAnsi="Times New Roman" w:cs="Times New Roman"/>
                <w:color w:val="000000"/>
                <w:kern w:val="0"/>
                <w:szCs w:val="24"/>
                <w:lang w:eastAsia="en-IN"/>
                <w14:ligatures w14:val="none"/>
              </w:rPr>
            </w:pPr>
            <w:r w:rsidRPr="008E2A3E">
              <w:rPr>
                <w:rFonts w:ascii="Times New Roman" w:eastAsia="Times New Roman" w:hAnsi="Times New Roman" w:cs="Times New Roman"/>
                <w:color w:val="000000"/>
                <w:kern w:val="0"/>
                <w:szCs w:val="24"/>
                <w:lang w:eastAsia="en-IN"/>
                <w14:ligatures w14:val="none"/>
              </w:rPr>
              <w:t>292</w:t>
            </w:r>
          </w:p>
        </w:tc>
        <w:tc>
          <w:tcPr>
            <w:tcW w:w="1156" w:type="dxa"/>
            <w:tcBorders>
              <w:top w:val="nil"/>
              <w:left w:val="nil"/>
              <w:bottom w:val="single" w:sz="4" w:space="0" w:color="auto"/>
              <w:right w:val="single" w:sz="4" w:space="0" w:color="auto"/>
            </w:tcBorders>
            <w:vAlign w:val="center"/>
            <w:hideMark/>
          </w:tcPr>
          <w:p w14:paraId="3B4B1D5E" w14:textId="77777777" w:rsidR="00490A74" w:rsidRPr="008E2A3E" w:rsidRDefault="00490A74" w:rsidP="00490A74">
            <w:pPr>
              <w:spacing w:after="0" w:line="240" w:lineRule="auto"/>
              <w:jc w:val="center"/>
              <w:rPr>
                <w:rFonts w:ascii="Times New Roman" w:eastAsia="Times New Roman" w:hAnsi="Times New Roman" w:cs="Times New Roman"/>
                <w:color w:val="000000"/>
                <w:kern w:val="0"/>
                <w:szCs w:val="24"/>
                <w:lang w:eastAsia="en-IN"/>
                <w14:ligatures w14:val="none"/>
              </w:rPr>
            </w:pPr>
            <w:r w:rsidRPr="008E2A3E">
              <w:rPr>
                <w:rFonts w:ascii="Times New Roman" w:eastAsia="Times New Roman" w:hAnsi="Times New Roman" w:cs="Times New Roman"/>
                <w:color w:val="000000"/>
                <w:kern w:val="0"/>
                <w:szCs w:val="24"/>
                <w:lang w:eastAsia="en-IN"/>
                <w14:ligatures w14:val="none"/>
              </w:rPr>
              <w:t>316</w:t>
            </w:r>
          </w:p>
        </w:tc>
        <w:tc>
          <w:tcPr>
            <w:tcW w:w="1156" w:type="dxa"/>
            <w:tcBorders>
              <w:top w:val="nil"/>
              <w:left w:val="nil"/>
              <w:bottom w:val="single" w:sz="4" w:space="0" w:color="auto"/>
              <w:right w:val="single" w:sz="4" w:space="0" w:color="auto"/>
            </w:tcBorders>
            <w:vAlign w:val="center"/>
            <w:hideMark/>
          </w:tcPr>
          <w:p w14:paraId="4BB27ADC" w14:textId="77777777" w:rsidR="00490A74" w:rsidRPr="008E2A3E" w:rsidRDefault="00490A74" w:rsidP="00490A74">
            <w:pPr>
              <w:spacing w:after="0" w:line="240" w:lineRule="auto"/>
              <w:jc w:val="center"/>
              <w:rPr>
                <w:rFonts w:ascii="Times New Roman" w:eastAsia="Times New Roman" w:hAnsi="Times New Roman" w:cs="Times New Roman"/>
                <w:color w:val="000000"/>
                <w:kern w:val="0"/>
                <w:szCs w:val="24"/>
                <w:lang w:eastAsia="en-IN"/>
                <w14:ligatures w14:val="none"/>
              </w:rPr>
            </w:pPr>
            <w:r w:rsidRPr="008E2A3E">
              <w:rPr>
                <w:rFonts w:ascii="Times New Roman" w:eastAsia="Times New Roman" w:hAnsi="Times New Roman" w:cs="Times New Roman"/>
                <w:color w:val="000000"/>
                <w:kern w:val="0"/>
                <w:szCs w:val="24"/>
                <w:lang w:eastAsia="en-IN"/>
                <w14:ligatures w14:val="none"/>
              </w:rPr>
              <w:t>327</w:t>
            </w:r>
          </w:p>
        </w:tc>
        <w:tc>
          <w:tcPr>
            <w:tcW w:w="1156" w:type="dxa"/>
            <w:tcBorders>
              <w:top w:val="nil"/>
              <w:left w:val="nil"/>
              <w:bottom w:val="single" w:sz="4" w:space="0" w:color="auto"/>
              <w:right w:val="single" w:sz="4" w:space="0" w:color="auto"/>
            </w:tcBorders>
            <w:vAlign w:val="center"/>
            <w:hideMark/>
          </w:tcPr>
          <w:p w14:paraId="1920305A" w14:textId="77777777" w:rsidR="00490A74" w:rsidRPr="008E2A3E" w:rsidRDefault="00490A74" w:rsidP="00490A74">
            <w:pPr>
              <w:spacing w:after="0" w:line="240" w:lineRule="auto"/>
              <w:jc w:val="center"/>
              <w:rPr>
                <w:rFonts w:ascii="Times New Roman" w:eastAsia="Times New Roman" w:hAnsi="Times New Roman" w:cs="Times New Roman"/>
                <w:color w:val="000000"/>
                <w:kern w:val="0"/>
                <w:szCs w:val="24"/>
                <w:lang w:eastAsia="en-IN"/>
                <w14:ligatures w14:val="none"/>
              </w:rPr>
            </w:pPr>
            <w:r w:rsidRPr="008E2A3E">
              <w:rPr>
                <w:rFonts w:ascii="Times New Roman" w:eastAsia="Times New Roman" w:hAnsi="Times New Roman" w:cs="Times New Roman"/>
                <w:color w:val="000000"/>
                <w:kern w:val="0"/>
                <w:szCs w:val="24"/>
                <w:lang w:eastAsia="en-IN"/>
                <w14:ligatures w14:val="none"/>
              </w:rPr>
              <w:t>372</w:t>
            </w:r>
          </w:p>
        </w:tc>
        <w:tc>
          <w:tcPr>
            <w:tcW w:w="1156" w:type="dxa"/>
            <w:tcBorders>
              <w:top w:val="nil"/>
              <w:left w:val="nil"/>
              <w:bottom w:val="single" w:sz="4" w:space="0" w:color="auto"/>
              <w:right w:val="single" w:sz="4" w:space="0" w:color="auto"/>
            </w:tcBorders>
            <w:vAlign w:val="center"/>
            <w:hideMark/>
          </w:tcPr>
          <w:p w14:paraId="02EBABCA" w14:textId="77777777" w:rsidR="00490A74" w:rsidRPr="008E2A3E" w:rsidRDefault="00490A74" w:rsidP="00490A74">
            <w:pPr>
              <w:spacing w:after="0" w:line="240" w:lineRule="auto"/>
              <w:jc w:val="center"/>
              <w:rPr>
                <w:rFonts w:ascii="Times New Roman" w:eastAsia="Times New Roman" w:hAnsi="Times New Roman" w:cs="Times New Roman"/>
                <w:color w:val="000000"/>
                <w:kern w:val="0"/>
                <w:szCs w:val="24"/>
                <w:lang w:eastAsia="en-IN"/>
                <w14:ligatures w14:val="none"/>
              </w:rPr>
            </w:pPr>
            <w:r w:rsidRPr="008E2A3E">
              <w:rPr>
                <w:rFonts w:ascii="Times New Roman" w:eastAsia="Times New Roman" w:hAnsi="Times New Roman" w:cs="Times New Roman"/>
                <w:color w:val="000000"/>
                <w:kern w:val="0"/>
                <w:szCs w:val="24"/>
                <w:lang w:eastAsia="en-IN"/>
                <w14:ligatures w14:val="none"/>
              </w:rPr>
              <w:t>420</w:t>
            </w:r>
          </w:p>
        </w:tc>
      </w:tr>
      <w:tr w:rsidR="00490A74" w:rsidRPr="008E2A3E" w14:paraId="298CFF0A" w14:textId="77777777" w:rsidTr="00490A74">
        <w:trPr>
          <w:trHeight w:val="307"/>
        </w:trPr>
        <w:tc>
          <w:tcPr>
            <w:tcW w:w="4201" w:type="dxa"/>
            <w:tcBorders>
              <w:top w:val="nil"/>
              <w:left w:val="single" w:sz="4" w:space="0" w:color="auto"/>
              <w:bottom w:val="single" w:sz="4" w:space="0" w:color="auto"/>
              <w:right w:val="single" w:sz="4" w:space="0" w:color="auto"/>
            </w:tcBorders>
            <w:vAlign w:val="center"/>
            <w:hideMark/>
          </w:tcPr>
          <w:p w14:paraId="378BE87A" w14:textId="77777777" w:rsidR="00490A74" w:rsidRPr="008E2A3E" w:rsidRDefault="00490A74" w:rsidP="00490A74">
            <w:pPr>
              <w:spacing w:after="0" w:line="240" w:lineRule="auto"/>
              <w:rPr>
                <w:rFonts w:ascii="Times New Roman" w:eastAsia="Times New Roman" w:hAnsi="Times New Roman" w:cs="Times New Roman"/>
                <w:color w:val="000000"/>
                <w:kern w:val="0"/>
                <w:szCs w:val="24"/>
                <w:lang w:eastAsia="en-IN"/>
                <w14:ligatures w14:val="none"/>
              </w:rPr>
            </w:pPr>
            <w:r w:rsidRPr="008E2A3E">
              <w:rPr>
                <w:rFonts w:ascii="Times New Roman" w:eastAsia="Times New Roman" w:hAnsi="Times New Roman" w:cs="Times New Roman"/>
                <w:color w:val="000000"/>
                <w:kern w:val="0"/>
                <w:szCs w:val="24"/>
                <w:lang w:eastAsia="en-IN"/>
                <w14:ligatures w14:val="none"/>
              </w:rPr>
              <w:t>Orissa</w:t>
            </w:r>
          </w:p>
        </w:tc>
        <w:tc>
          <w:tcPr>
            <w:tcW w:w="1156" w:type="dxa"/>
            <w:tcBorders>
              <w:top w:val="nil"/>
              <w:left w:val="nil"/>
              <w:bottom w:val="single" w:sz="4" w:space="0" w:color="auto"/>
              <w:right w:val="single" w:sz="4" w:space="0" w:color="auto"/>
            </w:tcBorders>
            <w:vAlign w:val="center"/>
            <w:hideMark/>
          </w:tcPr>
          <w:p w14:paraId="0D6262E5" w14:textId="77777777" w:rsidR="00490A74" w:rsidRPr="008E2A3E" w:rsidRDefault="00490A74" w:rsidP="00490A74">
            <w:pPr>
              <w:spacing w:after="0" w:line="240" w:lineRule="auto"/>
              <w:jc w:val="center"/>
              <w:rPr>
                <w:rFonts w:ascii="Times New Roman" w:eastAsia="Times New Roman" w:hAnsi="Times New Roman" w:cs="Times New Roman"/>
                <w:color w:val="000000"/>
                <w:kern w:val="0"/>
                <w:szCs w:val="24"/>
                <w:lang w:eastAsia="en-IN"/>
                <w14:ligatures w14:val="none"/>
              </w:rPr>
            </w:pPr>
            <w:r w:rsidRPr="008E2A3E">
              <w:rPr>
                <w:rFonts w:ascii="Times New Roman" w:eastAsia="Times New Roman" w:hAnsi="Times New Roman" w:cs="Times New Roman"/>
                <w:color w:val="000000"/>
                <w:kern w:val="0"/>
                <w:szCs w:val="24"/>
                <w:lang w:eastAsia="en-IN"/>
                <w14:ligatures w14:val="none"/>
              </w:rPr>
              <w:t>226</w:t>
            </w:r>
          </w:p>
        </w:tc>
        <w:tc>
          <w:tcPr>
            <w:tcW w:w="1156" w:type="dxa"/>
            <w:tcBorders>
              <w:top w:val="nil"/>
              <w:left w:val="nil"/>
              <w:bottom w:val="single" w:sz="4" w:space="0" w:color="auto"/>
              <w:right w:val="single" w:sz="4" w:space="0" w:color="auto"/>
            </w:tcBorders>
            <w:vAlign w:val="center"/>
            <w:hideMark/>
          </w:tcPr>
          <w:p w14:paraId="1278A51D" w14:textId="77777777" w:rsidR="00490A74" w:rsidRPr="008E2A3E" w:rsidRDefault="00490A74" w:rsidP="00490A74">
            <w:pPr>
              <w:spacing w:after="0" w:line="240" w:lineRule="auto"/>
              <w:jc w:val="center"/>
              <w:rPr>
                <w:rFonts w:ascii="Times New Roman" w:eastAsia="Times New Roman" w:hAnsi="Times New Roman" w:cs="Times New Roman"/>
                <w:color w:val="000000"/>
                <w:kern w:val="0"/>
                <w:szCs w:val="24"/>
                <w:lang w:eastAsia="en-IN"/>
                <w14:ligatures w14:val="none"/>
              </w:rPr>
            </w:pPr>
            <w:r w:rsidRPr="008E2A3E">
              <w:rPr>
                <w:rFonts w:ascii="Times New Roman" w:eastAsia="Times New Roman" w:hAnsi="Times New Roman" w:cs="Times New Roman"/>
                <w:color w:val="000000"/>
                <w:kern w:val="0"/>
                <w:szCs w:val="24"/>
                <w:lang w:eastAsia="en-IN"/>
                <w14:ligatures w14:val="none"/>
              </w:rPr>
              <w:t>233</w:t>
            </w:r>
          </w:p>
        </w:tc>
        <w:tc>
          <w:tcPr>
            <w:tcW w:w="1156" w:type="dxa"/>
            <w:tcBorders>
              <w:top w:val="nil"/>
              <w:left w:val="nil"/>
              <w:bottom w:val="single" w:sz="4" w:space="0" w:color="auto"/>
              <w:right w:val="single" w:sz="4" w:space="0" w:color="auto"/>
            </w:tcBorders>
            <w:vAlign w:val="center"/>
            <w:hideMark/>
          </w:tcPr>
          <w:p w14:paraId="39630CAC" w14:textId="77777777" w:rsidR="00490A74" w:rsidRPr="008E2A3E" w:rsidRDefault="00490A74" w:rsidP="00490A74">
            <w:pPr>
              <w:spacing w:after="0" w:line="240" w:lineRule="auto"/>
              <w:jc w:val="center"/>
              <w:rPr>
                <w:rFonts w:ascii="Times New Roman" w:eastAsia="Times New Roman" w:hAnsi="Times New Roman" w:cs="Times New Roman"/>
                <w:color w:val="000000"/>
                <w:kern w:val="0"/>
                <w:szCs w:val="24"/>
                <w:lang w:eastAsia="en-IN"/>
                <w14:ligatures w14:val="none"/>
              </w:rPr>
            </w:pPr>
            <w:r w:rsidRPr="008E2A3E">
              <w:rPr>
                <w:rFonts w:ascii="Times New Roman" w:eastAsia="Times New Roman" w:hAnsi="Times New Roman" w:cs="Times New Roman"/>
                <w:color w:val="000000"/>
                <w:kern w:val="0"/>
                <w:szCs w:val="24"/>
                <w:lang w:eastAsia="en-IN"/>
                <w14:ligatures w14:val="none"/>
              </w:rPr>
              <w:t>261</w:t>
            </w:r>
          </w:p>
        </w:tc>
        <w:tc>
          <w:tcPr>
            <w:tcW w:w="1156" w:type="dxa"/>
            <w:tcBorders>
              <w:top w:val="nil"/>
              <w:left w:val="nil"/>
              <w:bottom w:val="single" w:sz="4" w:space="0" w:color="auto"/>
              <w:right w:val="single" w:sz="4" w:space="0" w:color="auto"/>
            </w:tcBorders>
            <w:vAlign w:val="center"/>
            <w:hideMark/>
          </w:tcPr>
          <w:p w14:paraId="27E9F2BC" w14:textId="77777777" w:rsidR="00490A74" w:rsidRPr="008E2A3E" w:rsidRDefault="00490A74" w:rsidP="00490A74">
            <w:pPr>
              <w:spacing w:after="0" w:line="240" w:lineRule="auto"/>
              <w:jc w:val="center"/>
              <w:rPr>
                <w:rFonts w:ascii="Times New Roman" w:eastAsia="Times New Roman" w:hAnsi="Times New Roman" w:cs="Times New Roman"/>
                <w:color w:val="000000"/>
                <w:kern w:val="0"/>
                <w:szCs w:val="24"/>
                <w:lang w:eastAsia="en-IN"/>
                <w14:ligatures w14:val="none"/>
              </w:rPr>
            </w:pPr>
            <w:r w:rsidRPr="008E2A3E">
              <w:rPr>
                <w:rFonts w:ascii="Times New Roman" w:eastAsia="Times New Roman" w:hAnsi="Times New Roman" w:cs="Times New Roman"/>
                <w:color w:val="000000"/>
                <w:kern w:val="0"/>
                <w:szCs w:val="24"/>
                <w:lang w:eastAsia="en-IN"/>
                <w14:ligatures w14:val="none"/>
              </w:rPr>
              <w:t>309</w:t>
            </w:r>
          </w:p>
        </w:tc>
        <w:tc>
          <w:tcPr>
            <w:tcW w:w="1156" w:type="dxa"/>
            <w:tcBorders>
              <w:top w:val="nil"/>
              <w:left w:val="nil"/>
              <w:bottom w:val="single" w:sz="4" w:space="0" w:color="auto"/>
              <w:right w:val="single" w:sz="4" w:space="0" w:color="auto"/>
            </w:tcBorders>
            <w:vAlign w:val="center"/>
            <w:hideMark/>
          </w:tcPr>
          <w:p w14:paraId="5511DE60" w14:textId="77777777" w:rsidR="00490A74" w:rsidRPr="008E2A3E" w:rsidRDefault="00490A74" w:rsidP="00490A74">
            <w:pPr>
              <w:spacing w:after="0" w:line="240" w:lineRule="auto"/>
              <w:jc w:val="center"/>
              <w:rPr>
                <w:rFonts w:ascii="Times New Roman" w:eastAsia="Times New Roman" w:hAnsi="Times New Roman" w:cs="Times New Roman"/>
                <w:color w:val="000000"/>
                <w:kern w:val="0"/>
                <w:szCs w:val="24"/>
                <w:lang w:eastAsia="en-IN"/>
                <w14:ligatures w14:val="none"/>
              </w:rPr>
            </w:pPr>
            <w:r w:rsidRPr="008E2A3E">
              <w:rPr>
                <w:rFonts w:ascii="Times New Roman" w:eastAsia="Times New Roman" w:hAnsi="Times New Roman" w:cs="Times New Roman"/>
                <w:color w:val="000000"/>
                <w:kern w:val="0"/>
                <w:szCs w:val="24"/>
                <w:lang w:eastAsia="en-IN"/>
                <w14:ligatures w14:val="none"/>
              </w:rPr>
              <w:t>347</w:t>
            </w:r>
          </w:p>
        </w:tc>
      </w:tr>
      <w:tr w:rsidR="00490A74" w:rsidRPr="008E2A3E" w14:paraId="3C1A945A" w14:textId="77777777" w:rsidTr="00490A74">
        <w:trPr>
          <w:trHeight w:val="307"/>
        </w:trPr>
        <w:tc>
          <w:tcPr>
            <w:tcW w:w="4201" w:type="dxa"/>
            <w:tcBorders>
              <w:top w:val="nil"/>
              <w:left w:val="single" w:sz="4" w:space="0" w:color="auto"/>
              <w:bottom w:val="single" w:sz="4" w:space="0" w:color="auto"/>
              <w:right w:val="single" w:sz="4" w:space="0" w:color="auto"/>
            </w:tcBorders>
            <w:vAlign w:val="center"/>
            <w:hideMark/>
          </w:tcPr>
          <w:p w14:paraId="2120E745" w14:textId="77777777" w:rsidR="00490A74" w:rsidRPr="008E2A3E" w:rsidRDefault="00490A74" w:rsidP="00490A74">
            <w:pPr>
              <w:spacing w:after="0" w:line="240" w:lineRule="auto"/>
              <w:rPr>
                <w:rFonts w:ascii="Times New Roman" w:eastAsia="Times New Roman" w:hAnsi="Times New Roman" w:cs="Times New Roman"/>
                <w:color w:val="000000"/>
                <w:kern w:val="0"/>
                <w:szCs w:val="24"/>
                <w:lang w:eastAsia="en-IN"/>
                <w14:ligatures w14:val="none"/>
              </w:rPr>
            </w:pPr>
            <w:r w:rsidRPr="008E2A3E">
              <w:rPr>
                <w:rFonts w:ascii="Times New Roman" w:eastAsia="Times New Roman" w:hAnsi="Times New Roman" w:cs="Times New Roman"/>
                <w:color w:val="000000"/>
                <w:kern w:val="0"/>
                <w:szCs w:val="24"/>
                <w:lang w:eastAsia="en-IN"/>
                <w14:ligatures w14:val="none"/>
              </w:rPr>
              <w:t>Punjab</w:t>
            </w:r>
          </w:p>
        </w:tc>
        <w:tc>
          <w:tcPr>
            <w:tcW w:w="1156" w:type="dxa"/>
            <w:tcBorders>
              <w:top w:val="nil"/>
              <w:left w:val="nil"/>
              <w:bottom w:val="single" w:sz="4" w:space="0" w:color="auto"/>
              <w:right w:val="single" w:sz="4" w:space="0" w:color="auto"/>
            </w:tcBorders>
            <w:vAlign w:val="center"/>
            <w:hideMark/>
          </w:tcPr>
          <w:p w14:paraId="0655043B" w14:textId="77777777" w:rsidR="00490A74" w:rsidRPr="008E2A3E" w:rsidRDefault="00490A74" w:rsidP="00490A74">
            <w:pPr>
              <w:spacing w:after="0" w:line="240" w:lineRule="auto"/>
              <w:jc w:val="center"/>
              <w:rPr>
                <w:rFonts w:ascii="Times New Roman" w:eastAsia="Times New Roman" w:hAnsi="Times New Roman" w:cs="Times New Roman"/>
                <w:color w:val="000000"/>
                <w:kern w:val="0"/>
                <w:szCs w:val="24"/>
                <w:lang w:eastAsia="en-IN"/>
                <w14:ligatures w14:val="none"/>
              </w:rPr>
            </w:pPr>
            <w:r w:rsidRPr="008E2A3E">
              <w:rPr>
                <w:rFonts w:ascii="Times New Roman" w:eastAsia="Times New Roman" w:hAnsi="Times New Roman" w:cs="Times New Roman"/>
                <w:color w:val="000000"/>
                <w:kern w:val="0"/>
                <w:szCs w:val="24"/>
                <w:lang w:eastAsia="en-IN"/>
                <w14:ligatures w14:val="none"/>
              </w:rPr>
              <w:t>383</w:t>
            </w:r>
          </w:p>
        </w:tc>
        <w:tc>
          <w:tcPr>
            <w:tcW w:w="1156" w:type="dxa"/>
            <w:tcBorders>
              <w:top w:val="nil"/>
              <w:left w:val="nil"/>
              <w:bottom w:val="single" w:sz="4" w:space="0" w:color="auto"/>
              <w:right w:val="single" w:sz="4" w:space="0" w:color="auto"/>
            </w:tcBorders>
            <w:vAlign w:val="center"/>
            <w:hideMark/>
          </w:tcPr>
          <w:p w14:paraId="06900DD3" w14:textId="77777777" w:rsidR="00490A74" w:rsidRPr="008E2A3E" w:rsidRDefault="00490A74" w:rsidP="00490A74">
            <w:pPr>
              <w:spacing w:after="0" w:line="240" w:lineRule="auto"/>
              <w:jc w:val="center"/>
              <w:rPr>
                <w:rFonts w:ascii="Times New Roman" w:eastAsia="Times New Roman" w:hAnsi="Times New Roman" w:cs="Times New Roman"/>
                <w:color w:val="000000"/>
                <w:kern w:val="0"/>
                <w:szCs w:val="24"/>
                <w:lang w:eastAsia="en-IN"/>
                <w14:ligatures w14:val="none"/>
              </w:rPr>
            </w:pPr>
            <w:r w:rsidRPr="008E2A3E">
              <w:rPr>
                <w:rFonts w:ascii="Times New Roman" w:eastAsia="Times New Roman" w:hAnsi="Times New Roman" w:cs="Times New Roman"/>
                <w:color w:val="000000"/>
                <w:kern w:val="0"/>
                <w:szCs w:val="24"/>
                <w:lang w:eastAsia="en-IN"/>
                <w14:ligatures w14:val="none"/>
              </w:rPr>
              <w:t>400</w:t>
            </w:r>
          </w:p>
        </w:tc>
        <w:tc>
          <w:tcPr>
            <w:tcW w:w="1156" w:type="dxa"/>
            <w:tcBorders>
              <w:top w:val="nil"/>
              <w:left w:val="nil"/>
              <w:bottom w:val="single" w:sz="4" w:space="0" w:color="auto"/>
              <w:right w:val="single" w:sz="4" w:space="0" w:color="auto"/>
            </w:tcBorders>
            <w:vAlign w:val="center"/>
            <w:hideMark/>
          </w:tcPr>
          <w:p w14:paraId="5F6F0894" w14:textId="77777777" w:rsidR="00490A74" w:rsidRPr="008E2A3E" w:rsidRDefault="00490A74" w:rsidP="00490A74">
            <w:pPr>
              <w:spacing w:after="0" w:line="240" w:lineRule="auto"/>
              <w:jc w:val="center"/>
              <w:rPr>
                <w:rFonts w:ascii="Times New Roman" w:eastAsia="Times New Roman" w:hAnsi="Times New Roman" w:cs="Times New Roman"/>
                <w:color w:val="000000"/>
                <w:kern w:val="0"/>
                <w:szCs w:val="24"/>
                <w:lang w:eastAsia="en-IN"/>
                <w14:ligatures w14:val="none"/>
              </w:rPr>
            </w:pPr>
            <w:r w:rsidRPr="008E2A3E">
              <w:rPr>
                <w:rFonts w:ascii="Times New Roman" w:eastAsia="Times New Roman" w:hAnsi="Times New Roman" w:cs="Times New Roman"/>
                <w:color w:val="000000"/>
                <w:kern w:val="0"/>
                <w:szCs w:val="24"/>
                <w:lang w:eastAsia="en-IN"/>
                <w14:ligatures w14:val="none"/>
              </w:rPr>
              <w:t>421</w:t>
            </w:r>
          </w:p>
        </w:tc>
        <w:tc>
          <w:tcPr>
            <w:tcW w:w="1156" w:type="dxa"/>
            <w:tcBorders>
              <w:top w:val="nil"/>
              <w:left w:val="nil"/>
              <w:bottom w:val="single" w:sz="4" w:space="0" w:color="auto"/>
              <w:right w:val="single" w:sz="4" w:space="0" w:color="auto"/>
            </w:tcBorders>
            <w:vAlign w:val="center"/>
            <w:hideMark/>
          </w:tcPr>
          <w:p w14:paraId="41A9070F" w14:textId="77777777" w:rsidR="00490A74" w:rsidRPr="008E2A3E" w:rsidRDefault="00490A74" w:rsidP="00490A74">
            <w:pPr>
              <w:spacing w:after="0" w:line="240" w:lineRule="auto"/>
              <w:jc w:val="center"/>
              <w:rPr>
                <w:rFonts w:ascii="Times New Roman" w:eastAsia="Times New Roman" w:hAnsi="Times New Roman" w:cs="Times New Roman"/>
                <w:color w:val="000000"/>
                <w:kern w:val="0"/>
                <w:szCs w:val="24"/>
                <w:lang w:eastAsia="en-IN"/>
                <w14:ligatures w14:val="none"/>
              </w:rPr>
            </w:pPr>
            <w:r w:rsidRPr="008E2A3E">
              <w:rPr>
                <w:rFonts w:ascii="Times New Roman" w:eastAsia="Times New Roman" w:hAnsi="Times New Roman" w:cs="Times New Roman"/>
                <w:color w:val="000000"/>
                <w:kern w:val="0"/>
                <w:szCs w:val="24"/>
                <w:lang w:eastAsia="en-IN"/>
                <w14:ligatures w14:val="none"/>
              </w:rPr>
              <w:t>480</w:t>
            </w:r>
          </w:p>
        </w:tc>
        <w:tc>
          <w:tcPr>
            <w:tcW w:w="1156" w:type="dxa"/>
            <w:tcBorders>
              <w:top w:val="nil"/>
              <w:left w:val="nil"/>
              <w:bottom w:val="single" w:sz="4" w:space="0" w:color="auto"/>
              <w:right w:val="single" w:sz="4" w:space="0" w:color="auto"/>
            </w:tcBorders>
            <w:vAlign w:val="center"/>
            <w:hideMark/>
          </w:tcPr>
          <w:p w14:paraId="0C809681" w14:textId="77777777" w:rsidR="00490A74" w:rsidRPr="008E2A3E" w:rsidRDefault="00490A74" w:rsidP="00490A74">
            <w:pPr>
              <w:spacing w:after="0" w:line="240" w:lineRule="auto"/>
              <w:jc w:val="center"/>
              <w:rPr>
                <w:rFonts w:ascii="Times New Roman" w:eastAsia="Times New Roman" w:hAnsi="Times New Roman" w:cs="Times New Roman"/>
                <w:color w:val="000000"/>
                <w:kern w:val="0"/>
                <w:szCs w:val="24"/>
                <w:lang w:eastAsia="en-IN"/>
                <w14:ligatures w14:val="none"/>
              </w:rPr>
            </w:pPr>
            <w:r w:rsidRPr="008E2A3E">
              <w:rPr>
                <w:rFonts w:ascii="Times New Roman" w:eastAsia="Times New Roman" w:hAnsi="Times New Roman" w:cs="Times New Roman"/>
                <w:color w:val="000000"/>
                <w:kern w:val="0"/>
                <w:szCs w:val="24"/>
                <w:lang w:eastAsia="en-IN"/>
                <w14:ligatures w14:val="none"/>
              </w:rPr>
              <w:t>575</w:t>
            </w:r>
          </w:p>
        </w:tc>
      </w:tr>
      <w:tr w:rsidR="00490A74" w:rsidRPr="008E2A3E" w14:paraId="43122FF2" w14:textId="77777777" w:rsidTr="00490A74">
        <w:trPr>
          <w:trHeight w:val="307"/>
        </w:trPr>
        <w:tc>
          <w:tcPr>
            <w:tcW w:w="4201" w:type="dxa"/>
            <w:tcBorders>
              <w:top w:val="nil"/>
              <w:left w:val="single" w:sz="4" w:space="0" w:color="auto"/>
              <w:bottom w:val="single" w:sz="4" w:space="0" w:color="auto"/>
              <w:right w:val="single" w:sz="4" w:space="0" w:color="auto"/>
            </w:tcBorders>
            <w:vAlign w:val="center"/>
            <w:hideMark/>
          </w:tcPr>
          <w:p w14:paraId="62BA1117" w14:textId="77777777" w:rsidR="00490A74" w:rsidRPr="008E2A3E" w:rsidRDefault="00490A74" w:rsidP="00490A74">
            <w:pPr>
              <w:spacing w:after="0" w:line="240" w:lineRule="auto"/>
              <w:rPr>
                <w:rFonts w:ascii="Times New Roman" w:eastAsia="Times New Roman" w:hAnsi="Times New Roman" w:cs="Times New Roman"/>
                <w:color w:val="000000"/>
                <w:kern w:val="0"/>
                <w:szCs w:val="24"/>
                <w:lang w:eastAsia="en-IN"/>
                <w14:ligatures w14:val="none"/>
              </w:rPr>
            </w:pPr>
            <w:r w:rsidRPr="008E2A3E">
              <w:rPr>
                <w:rFonts w:ascii="Times New Roman" w:eastAsia="Times New Roman" w:hAnsi="Times New Roman" w:cs="Times New Roman"/>
                <w:color w:val="000000"/>
                <w:kern w:val="0"/>
                <w:szCs w:val="24"/>
                <w:lang w:eastAsia="en-IN"/>
                <w14:ligatures w14:val="none"/>
              </w:rPr>
              <w:t>Rajasthan</w:t>
            </w:r>
          </w:p>
        </w:tc>
        <w:tc>
          <w:tcPr>
            <w:tcW w:w="1156" w:type="dxa"/>
            <w:tcBorders>
              <w:top w:val="nil"/>
              <w:left w:val="nil"/>
              <w:bottom w:val="single" w:sz="4" w:space="0" w:color="auto"/>
              <w:right w:val="single" w:sz="4" w:space="0" w:color="auto"/>
            </w:tcBorders>
            <w:vAlign w:val="center"/>
            <w:hideMark/>
          </w:tcPr>
          <w:p w14:paraId="172E9BBD" w14:textId="77777777" w:rsidR="00490A74" w:rsidRPr="008E2A3E" w:rsidRDefault="00490A74" w:rsidP="00490A74">
            <w:pPr>
              <w:spacing w:after="0" w:line="240" w:lineRule="auto"/>
              <w:jc w:val="center"/>
              <w:rPr>
                <w:rFonts w:ascii="Times New Roman" w:eastAsia="Times New Roman" w:hAnsi="Times New Roman" w:cs="Times New Roman"/>
                <w:color w:val="000000"/>
                <w:kern w:val="0"/>
                <w:szCs w:val="24"/>
                <w:lang w:eastAsia="en-IN"/>
                <w14:ligatures w14:val="none"/>
              </w:rPr>
            </w:pPr>
            <w:r w:rsidRPr="008E2A3E">
              <w:rPr>
                <w:rFonts w:ascii="Times New Roman" w:eastAsia="Times New Roman" w:hAnsi="Times New Roman" w:cs="Times New Roman"/>
                <w:color w:val="000000"/>
                <w:kern w:val="0"/>
                <w:szCs w:val="24"/>
                <w:lang w:eastAsia="en-IN"/>
                <w14:ligatures w14:val="none"/>
              </w:rPr>
              <w:t>271</w:t>
            </w:r>
          </w:p>
        </w:tc>
        <w:tc>
          <w:tcPr>
            <w:tcW w:w="1156" w:type="dxa"/>
            <w:tcBorders>
              <w:top w:val="nil"/>
              <w:left w:val="nil"/>
              <w:bottom w:val="single" w:sz="4" w:space="0" w:color="auto"/>
              <w:right w:val="single" w:sz="4" w:space="0" w:color="auto"/>
            </w:tcBorders>
            <w:vAlign w:val="center"/>
            <w:hideMark/>
          </w:tcPr>
          <w:p w14:paraId="72196937" w14:textId="77777777" w:rsidR="00490A74" w:rsidRPr="008E2A3E" w:rsidRDefault="00490A74" w:rsidP="00490A74">
            <w:pPr>
              <w:spacing w:after="0" w:line="240" w:lineRule="auto"/>
              <w:jc w:val="center"/>
              <w:rPr>
                <w:rFonts w:ascii="Times New Roman" w:eastAsia="Times New Roman" w:hAnsi="Times New Roman" w:cs="Times New Roman"/>
                <w:color w:val="000000"/>
                <w:kern w:val="0"/>
                <w:szCs w:val="24"/>
                <w:lang w:eastAsia="en-IN"/>
                <w14:ligatures w14:val="none"/>
              </w:rPr>
            </w:pPr>
            <w:r w:rsidRPr="008E2A3E">
              <w:rPr>
                <w:rFonts w:ascii="Times New Roman" w:eastAsia="Times New Roman" w:hAnsi="Times New Roman" w:cs="Times New Roman"/>
                <w:color w:val="000000"/>
                <w:kern w:val="0"/>
                <w:szCs w:val="24"/>
                <w:lang w:eastAsia="en-IN"/>
                <w14:ligatures w14:val="none"/>
              </w:rPr>
              <w:t>294</w:t>
            </w:r>
          </w:p>
        </w:tc>
        <w:tc>
          <w:tcPr>
            <w:tcW w:w="1156" w:type="dxa"/>
            <w:tcBorders>
              <w:top w:val="nil"/>
              <w:left w:val="nil"/>
              <w:bottom w:val="single" w:sz="4" w:space="0" w:color="auto"/>
              <w:right w:val="single" w:sz="4" w:space="0" w:color="auto"/>
            </w:tcBorders>
            <w:vAlign w:val="center"/>
            <w:hideMark/>
          </w:tcPr>
          <w:p w14:paraId="53E64EBA" w14:textId="77777777" w:rsidR="00490A74" w:rsidRPr="008E2A3E" w:rsidRDefault="00490A74" w:rsidP="00490A74">
            <w:pPr>
              <w:spacing w:after="0" w:line="240" w:lineRule="auto"/>
              <w:jc w:val="center"/>
              <w:rPr>
                <w:rFonts w:ascii="Times New Roman" w:eastAsia="Times New Roman" w:hAnsi="Times New Roman" w:cs="Times New Roman"/>
                <w:color w:val="000000"/>
                <w:kern w:val="0"/>
                <w:szCs w:val="24"/>
                <w:lang w:eastAsia="en-IN"/>
                <w14:ligatures w14:val="none"/>
              </w:rPr>
            </w:pPr>
            <w:r w:rsidRPr="008E2A3E">
              <w:rPr>
                <w:rFonts w:ascii="Times New Roman" w:eastAsia="Times New Roman" w:hAnsi="Times New Roman" w:cs="Times New Roman"/>
                <w:color w:val="000000"/>
                <w:kern w:val="0"/>
                <w:szCs w:val="24"/>
                <w:lang w:eastAsia="en-IN"/>
                <w14:ligatures w14:val="none"/>
              </w:rPr>
              <w:t>289</w:t>
            </w:r>
          </w:p>
        </w:tc>
        <w:tc>
          <w:tcPr>
            <w:tcW w:w="1156" w:type="dxa"/>
            <w:tcBorders>
              <w:top w:val="nil"/>
              <w:left w:val="nil"/>
              <w:bottom w:val="single" w:sz="4" w:space="0" w:color="auto"/>
              <w:right w:val="single" w:sz="4" w:space="0" w:color="auto"/>
            </w:tcBorders>
            <w:vAlign w:val="center"/>
            <w:hideMark/>
          </w:tcPr>
          <w:p w14:paraId="45671734" w14:textId="77777777" w:rsidR="00490A74" w:rsidRPr="008E2A3E" w:rsidRDefault="00490A74" w:rsidP="00490A74">
            <w:pPr>
              <w:spacing w:after="0" w:line="240" w:lineRule="auto"/>
              <w:jc w:val="center"/>
              <w:rPr>
                <w:rFonts w:ascii="Times New Roman" w:eastAsia="Times New Roman" w:hAnsi="Times New Roman" w:cs="Times New Roman"/>
                <w:color w:val="000000"/>
                <w:kern w:val="0"/>
                <w:szCs w:val="24"/>
                <w:lang w:eastAsia="en-IN"/>
                <w14:ligatures w14:val="none"/>
              </w:rPr>
            </w:pPr>
            <w:r w:rsidRPr="008E2A3E">
              <w:rPr>
                <w:rFonts w:ascii="Times New Roman" w:eastAsia="Times New Roman" w:hAnsi="Times New Roman" w:cs="Times New Roman"/>
                <w:color w:val="000000"/>
                <w:kern w:val="0"/>
                <w:szCs w:val="24"/>
                <w:lang w:eastAsia="en-IN"/>
                <w14:ligatures w14:val="none"/>
              </w:rPr>
              <w:t>297</w:t>
            </w:r>
          </w:p>
        </w:tc>
        <w:tc>
          <w:tcPr>
            <w:tcW w:w="1156" w:type="dxa"/>
            <w:tcBorders>
              <w:top w:val="nil"/>
              <w:left w:val="nil"/>
              <w:bottom w:val="single" w:sz="4" w:space="0" w:color="auto"/>
              <w:right w:val="single" w:sz="4" w:space="0" w:color="auto"/>
            </w:tcBorders>
            <w:vAlign w:val="center"/>
            <w:hideMark/>
          </w:tcPr>
          <w:p w14:paraId="1EF1F35E" w14:textId="77777777" w:rsidR="00490A74" w:rsidRPr="008E2A3E" w:rsidRDefault="00490A74" w:rsidP="00490A74">
            <w:pPr>
              <w:spacing w:after="0" w:line="240" w:lineRule="auto"/>
              <w:jc w:val="center"/>
              <w:rPr>
                <w:rFonts w:ascii="Times New Roman" w:eastAsia="Times New Roman" w:hAnsi="Times New Roman" w:cs="Times New Roman"/>
                <w:color w:val="000000"/>
                <w:kern w:val="0"/>
                <w:szCs w:val="24"/>
                <w:lang w:eastAsia="en-IN"/>
                <w14:ligatures w14:val="none"/>
              </w:rPr>
            </w:pPr>
            <w:r w:rsidRPr="008E2A3E">
              <w:rPr>
                <w:rFonts w:ascii="Times New Roman" w:eastAsia="Times New Roman" w:hAnsi="Times New Roman" w:cs="Times New Roman"/>
                <w:color w:val="000000"/>
                <w:kern w:val="0"/>
                <w:szCs w:val="24"/>
                <w:lang w:eastAsia="en-IN"/>
                <w14:ligatures w14:val="none"/>
              </w:rPr>
              <w:t>356</w:t>
            </w:r>
          </w:p>
        </w:tc>
      </w:tr>
      <w:tr w:rsidR="00490A74" w:rsidRPr="008E2A3E" w14:paraId="73BDE4CA" w14:textId="77777777" w:rsidTr="00490A74">
        <w:trPr>
          <w:trHeight w:val="307"/>
        </w:trPr>
        <w:tc>
          <w:tcPr>
            <w:tcW w:w="4201" w:type="dxa"/>
            <w:tcBorders>
              <w:top w:val="nil"/>
              <w:left w:val="single" w:sz="4" w:space="0" w:color="auto"/>
              <w:bottom w:val="single" w:sz="4" w:space="0" w:color="auto"/>
              <w:right w:val="single" w:sz="4" w:space="0" w:color="auto"/>
            </w:tcBorders>
            <w:vAlign w:val="center"/>
            <w:hideMark/>
          </w:tcPr>
          <w:p w14:paraId="2BC625BD" w14:textId="77777777" w:rsidR="00490A74" w:rsidRPr="008E2A3E" w:rsidRDefault="00490A74" w:rsidP="00490A74">
            <w:pPr>
              <w:spacing w:after="0" w:line="240" w:lineRule="auto"/>
              <w:rPr>
                <w:rFonts w:ascii="Times New Roman" w:eastAsia="Times New Roman" w:hAnsi="Times New Roman" w:cs="Times New Roman"/>
                <w:color w:val="000000"/>
                <w:kern w:val="0"/>
                <w:szCs w:val="24"/>
                <w:lang w:eastAsia="en-IN"/>
                <w14:ligatures w14:val="none"/>
              </w:rPr>
            </w:pPr>
            <w:r w:rsidRPr="008E2A3E">
              <w:rPr>
                <w:rFonts w:ascii="Times New Roman" w:eastAsia="Times New Roman" w:hAnsi="Times New Roman" w:cs="Times New Roman"/>
                <w:color w:val="000000"/>
                <w:kern w:val="0"/>
                <w:szCs w:val="24"/>
                <w:lang w:eastAsia="en-IN"/>
                <w14:ligatures w14:val="none"/>
              </w:rPr>
              <w:t>Tamil Nadu</w:t>
            </w:r>
          </w:p>
        </w:tc>
        <w:tc>
          <w:tcPr>
            <w:tcW w:w="1156" w:type="dxa"/>
            <w:tcBorders>
              <w:top w:val="nil"/>
              <w:left w:val="nil"/>
              <w:bottom w:val="single" w:sz="4" w:space="0" w:color="auto"/>
              <w:right w:val="single" w:sz="4" w:space="0" w:color="auto"/>
            </w:tcBorders>
            <w:vAlign w:val="center"/>
            <w:hideMark/>
          </w:tcPr>
          <w:p w14:paraId="6BA2A0CB" w14:textId="77777777" w:rsidR="00490A74" w:rsidRPr="008E2A3E" w:rsidRDefault="00490A74" w:rsidP="00490A74">
            <w:pPr>
              <w:spacing w:after="0" w:line="240" w:lineRule="auto"/>
              <w:jc w:val="center"/>
              <w:rPr>
                <w:rFonts w:ascii="Times New Roman" w:eastAsia="Times New Roman" w:hAnsi="Times New Roman" w:cs="Times New Roman"/>
                <w:color w:val="000000"/>
                <w:kern w:val="0"/>
                <w:szCs w:val="24"/>
                <w:lang w:eastAsia="en-IN"/>
                <w14:ligatures w14:val="none"/>
              </w:rPr>
            </w:pPr>
            <w:r w:rsidRPr="008E2A3E">
              <w:rPr>
                <w:rFonts w:ascii="Times New Roman" w:eastAsia="Times New Roman" w:hAnsi="Times New Roman" w:cs="Times New Roman"/>
                <w:color w:val="000000"/>
                <w:kern w:val="0"/>
                <w:szCs w:val="24"/>
                <w:lang w:eastAsia="en-IN"/>
                <w14:ligatures w14:val="none"/>
              </w:rPr>
              <w:t>344</w:t>
            </w:r>
          </w:p>
        </w:tc>
        <w:tc>
          <w:tcPr>
            <w:tcW w:w="1156" w:type="dxa"/>
            <w:tcBorders>
              <w:top w:val="nil"/>
              <w:left w:val="nil"/>
              <w:bottom w:val="single" w:sz="4" w:space="0" w:color="auto"/>
              <w:right w:val="single" w:sz="4" w:space="0" w:color="auto"/>
            </w:tcBorders>
            <w:vAlign w:val="center"/>
            <w:hideMark/>
          </w:tcPr>
          <w:p w14:paraId="58FF837B" w14:textId="77777777" w:rsidR="00490A74" w:rsidRPr="008E2A3E" w:rsidRDefault="00490A74" w:rsidP="00490A74">
            <w:pPr>
              <w:spacing w:after="0" w:line="240" w:lineRule="auto"/>
              <w:jc w:val="center"/>
              <w:rPr>
                <w:rFonts w:ascii="Times New Roman" w:eastAsia="Times New Roman" w:hAnsi="Times New Roman" w:cs="Times New Roman"/>
                <w:color w:val="000000"/>
                <w:kern w:val="0"/>
                <w:szCs w:val="24"/>
                <w:lang w:eastAsia="en-IN"/>
                <w14:ligatures w14:val="none"/>
              </w:rPr>
            </w:pPr>
            <w:r w:rsidRPr="008E2A3E">
              <w:rPr>
                <w:rFonts w:ascii="Times New Roman" w:eastAsia="Times New Roman" w:hAnsi="Times New Roman" w:cs="Times New Roman"/>
                <w:color w:val="000000"/>
                <w:kern w:val="0"/>
                <w:szCs w:val="24"/>
                <w:lang w:eastAsia="en-IN"/>
                <w14:ligatures w14:val="none"/>
              </w:rPr>
              <w:t>361</w:t>
            </w:r>
          </w:p>
        </w:tc>
        <w:tc>
          <w:tcPr>
            <w:tcW w:w="1156" w:type="dxa"/>
            <w:tcBorders>
              <w:top w:val="nil"/>
              <w:left w:val="nil"/>
              <w:bottom w:val="single" w:sz="4" w:space="0" w:color="auto"/>
              <w:right w:val="single" w:sz="4" w:space="0" w:color="auto"/>
            </w:tcBorders>
            <w:vAlign w:val="center"/>
            <w:hideMark/>
          </w:tcPr>
          <w:p w14:paraId="5D63E9B6" w14:textId="77777777" w:rsidR="00490A74" w:rsidRPr="008E2A3E" w:rsidRDefault="00490A74" w:rsidP="00490A74">
            <w:pPr>
              <w:spacing w:after="0" w:line="240" w:lineRule="auto"/>
              <w:jc w:val="center"/>
              <w:rPr>
                <w:rFonts w:ascii="Times New Roman" w:eastAsia="Times New Roman" w:hAnsi="Times New Roman" w:cs="Times New Roman"/>
                <w:color w:val="000000"/>
                <w:kern w:val="0"/>
                <w:szCs w:val="24"/>
                <w:lang w:eastAsia="en-IN"/>
                <w14:ligatures w14:val="none"/>
              </w:rPr>
            </w:pPr>
            <w:r w:rsidRPr="008E2A3E">
              <w:rPr>
                <w:rFonts w:ascii="Times New Roman" w:eastAsia="Times New Roman" w:hAnsi="Times New Roman" w:cs="Times New Roman"/>
                <w:color w:val="000000"/>
                <w:kern w:val="0"/>
                <w:szCs w:val="24"/>
                <w:lang w:eastAsia="en-IN"/>
                <w14:ligatures w14:val="none"/>
              </w:rPr>
              <w:t>365</w:t>
            </w:r>
          </w:p>
        </w:tc>
        <w:tc>
          <w:tcPr>
            <w:tcW w:w="1156" w:type="dxa"/>
            <w:tcBorders>
              <w:top w:val="nil"/>
              <w:left w:val="nil"/>
              <w:bottom w:val="single" w:sz="4" w:space="0" w:color="auto"/>
              <w:right w:val="single" w:sz="4" w:space="0" w:color="auto"/>
            </w:tcBorders>
            <w:vAlign w:val="center"/>
            <w:hideMark/>
          </w:tcPr>
          <w:p w14:paraId="5D09D7C3" w14:textId="77777777" w:rsidR="00490A74" w:rsidRPr="008E2A3E" w:rsidRDefault="00490A74" w:rsidP="00490A74">
            <w:pPr>
              <w:spacing w:after="0" w:line="240" w:lineRule="auto"/>
              <w:jc w:val="center"/>
              <w:rPr>
                <w:rFonts w:ascii="Times New Roman" w:eastAsia="Times New Roman" w:hAnsi="Times New Roman" w:cs="Times New Roman"/>
                <w:color w:val="000000"/>
                <w:kern w:val="0"/>
                <w:szCs w:val="24"/>
                <w:lang w:eastAsia="en-IN"/>
                <w14:ligatures w14:val="none"/>
              </w:rPr>
            </w:pPr>
            <w:r w:rsidRPr="008E2A3E">
              <w:rPr>
                <w:rFonts w:ascii="Times New Roman" w:eastAsia="Times New Roman" w:hAnsi="Times New Roman" w:cs="Times New Roman"/>
                <w:color w:val="000000"/>
                <w:kern w:val="0"/>
                <w:szCs w:val="24"/>
                <w:lang w:eastAsia="en-IN"/>
                <w14:ligatures w14:val="none"/>
              </w:rPr>
              <w:t>401</w:t>
            </w:r>
          </w:p>
        </w:tc>
        <w:tc>
          <w:tcPr>
            <w:tcW w:w="1156" w:type="dxa"/>
            <w:tcBorders>
              <w:top w:val="nil"/>
              <w:left w:val="nil"/>
              <w:bottom w:val="single" w:sz="4" w:space="0" w:color="auto"/>
              <w:right w:val="single" w:sz="4" w:space="0" w:color="auto"/>
            </w:tcBorders>
            <w:vAlign w:val="center"/>
            <w:hideMark/>
          </w:tcPr>
          <w:p w14:paraId="5DA73C37" w14:textId="77777777" w:rsidR="00490A74" w:rsidRPr="008E2A3E" w:rsidRDefault="00490A74" w:rsidP="00490A74">
            <w:pPr>
              <w:spacing w:after="0" w:line="240" w:lineRule="auto"/>
              <w:jc w:val="center"/>
              <w:rPr>
                <w:rFonts w:ascii="Times New Roman" w:eastAsia="Times New Roman" w:hAnsi="Times New Roman" w:cs="Times New Roman"/>
                <w:color w:val="000000"/>
                <w:kern w:val="0"/>
                <w:szCs w:val="24"/>
                <w:lang w:eastAsia="en-IN"/>
                <w14:ligatures w14:val="none"/>
              </w:rPr>
            </w:pPr>
            <w:r w:rsidRPr="008E2A3E">
              <w:rPr>
                <w:rFonts w:ascii="Times New Roman" w:eastAsia="Times New Roman" w:hAnsi="Times New Roman" w:cs="Times New Roman"/>
                <w:color w:val="000000"/>
                <w:kern w:val="0"/>
                <w:szCs w:val="24"/>
                <w:lang w:eastAsia="en-IN"/>
                <w14:ligatures w14:val="none"/>
              </w:rPr>
              <w:t>434</w:t>
            </w:r>
          </w:p>
        </w:tc>
      </w:tr>
      <w:tr w:rsidR="00490A74" w:rsidRPr="008E2A3E" w14:paraId="1503B68B" w14:textId="77777777" w:rsidTr="00490A74">
        <w:trPr>
          <w:trHeight w:val="307"/>
        </w:trPr>
        <w:tc>
          <w:tcPr>
            <w:tcW w:w="4201" w:type="dxa"/>
            <w:tcBorders>
              <w:top w:val="nil"/>
              <w:left w:val="single" w:sz="4" w:space="0" w:color="auto"/>
              <w:bottom w:val="single" w:sz="4" w:space="0" w:color="auto"/>
              <w:right w:val="single" w:sz="4" w:space="0" w:color="auto"/>
            </w:tcBorders>
            <w:vAlign w:val="center"/>
            <w:hideMark/>
          </w:tcPr>
          <w:p w14:paraId="56FF1F47" w14:textId="77777777" w:rsidR="00490A74" w:rsidRPr="008E2A3E" w:rsidRDefault="00490A74" w:rsidP="00490A74">
            <w:pPr>
              <w:spacing w:after="0" w:line="240" w:lineRule="auto"/>
              <w:rPr>
                <w:rFonts w:ascii="Times New Roman" w:eastAsia="Times New Roman" w:hAnsi="Times New Roman" w:cs="Times New Roman"/>
                <w:color w:val="000000"/>
                <w:kern w:val="0"/>
                <w:szCs w:val="24"/>
                <w:lang w:eastAsia="en-IN"/>
                <w14:ligatures w14:val="none"/>
              </w:rPr>
            </w:pPr>
            <w:r w:rsidRPr="008E2A3E">
              <w:rPr>
                <w:rFonts w:ascii="Times New Roman" w:eastAsia="Times New Roman" w:hAnsi="Times New Roman" w:cs="Times New Roman"/>
                <w:color w:val="000000"/>
                <w:kern w:val="0"/>
                <w:szCs w:val="24"/>
                <w:lang w:eastAsia="en-IN"/>
                <w14:ligatures w14:val="none"/>
              </w:rPr>
              <w:t>Uttar Pradesh</w:t>
            </w:r>
          </w:p>
        </w:tc>
        <w:tc>
          <w:tcPr>
            <w:tcW w:w="1156" w:type="dxa"/>
            <w:tcBorders>
              <w:top w:val="nil"/>
              <w:left w:val="nil"/>
              <w:bottom w:val="single" w:sz="4" w:space="0" w:color="auto"/>
              <w:right w:val="single" w:sz="4" w:space="0" w:color="auto"/>
            </w:tcBorders>
            <w:vAlign w:val="center"/>
            <w:hideMark/>
          </w:tcPr>
          <w:p w14:paraId="145FD76A" w14:textId="77777777" w:rsidR="00490A74" w:rsidRPr="008E2A3E" w:rsidRDefault="00490A74" w:rsidP="00490A74">
            <w:pPr>
              <w:spacing w:after="0" w:line="240" w:lineRule="auto"/>
              <w:jc w:val="center"/>
              <w:rPr>
                <w:rFonts w:ascii="Times New Roman" w:eastAsia="Times New Roman" w:hAnsi="Times New Roman" w:cs="Times New Roman"/>
                <w:color w:val="000000"/>
                <w:kern w:val="0"/>
                <w:szCs w:val="24"/>
                <w:lang w:eastAsia="en-IN"/>
                <w14:ligatures w14:val="none"/>
              </w:rPr>
            </w:pPr>
            <w:r w:rsidRPr="008E2A3E">
              <w:rPr>
                <w:rFonts w:ascii="Times New Roman" w:eastAsia="Times New Roman" w:hAnsi="Times New Roman" w:cs="Times New Roman"/>
                <w:color w:val="000000"/>
                <w:kern w:val="0"/>
                <w:szCs w:val="24"/>
                <w:lang w:eastAsia="en-IN"/>
                <w14:ligatures w14:val="none"/>
              </w:rPr>
              <w:t>244</w:t>
            </w:r>
          </w:p>
        </w:tc>
        <w:tc>
          <w:tcPr>
            <w:tcW w:w="1156" w:type="dxa"/>
            <w:tcBorders>
              <w:top w:val="nil"/>
              <w:left w:val="nil"/>
              <w:bottom w:val="single" w:sz="4" w:space="0" w:color="auto"/>
              <w:right w:val="single" w:sz="4" w:space="0" w:color="auto"/>
            </w:tcBorders>
            <w:vAlign w:val="center"/>
            <w:hideMark/>
          </w:tcPr>
          <w:p w14:paraId="3BD7B135" w14:textId="77777777" w:rsidR="00490A74" w:rsidRPr="008E2A3E" w:rsidRDefault="00490A74" w:rsidP="00490A74">
            <w:pPr>
              <w:spacing w:after="0" w:line="240" w:lineRule="auto"/>
              <w:jc w:val="center"/>
              <w:rPr>
                <w:rFonts w:ascii="Times New Roman" w:eastAsia="Times New Roman" w:hAnsi="Times New Roman" w:cs="Times New Roman"/>
                <w:color w:val="000000"/>
                <w:kern w:val="0"/>
                <w:szCs w:val="24"/>
                <w:lang w:eastAsia="en-IN"/>
                <w14:ligatures w14:val="none"/>
              </w:rPr>
            </w:pPr>
            <w:r w:rsidRPr="008E2A3E">
              <w:rPr>
                <w:rFonts w:ascii="Times New Roman" w:eastAsia="Times New Roman" w:hAnsi="Times New Roman" w:cs="Times New Roman"/>
                <w:color w:val="000000"/>
                <w:kern w:val="0"/>
                <w:szCs w:val="24"/>
                <w:lang w:eastAsia="en-IN"/>
                <w14:ligatures w14:val="none"/>
              </w:rPr>
              <w:t>254</w:t>
            </w:r>
          </w:p>
        </w:tc>
        <w:tc>
          <w:tcPr>
            <w:tcW w:w="1156" w:type="dxa"/>
            <w:tcBorders>
              <w:top w:val="nil"/>
              <w:left w:val="nil"/>
              <w:bottom w:val="single" w:sz="4" w:space="0" w:color="auto"/>
              <w:right w:val="single" w:sz="4" w:space="0" w:color="auto"/>
            </w:tcBorders>
            <w:vAlign w:val="center"/>
            <w:hideMark/>
          </w:tcPr>
          <w:p w14:paraId="5CB624D4" w14:textId="77777777" w:rsidR="00490A74" w:rsidRPr="008E2A3E" w:rsidRDefault="00490A74" w:rsidP="00490A74">
            <w:pPr>
              <w:spacing w:after="0" w:line="240" w:lineRule="auto"/>
              <w:jc w:val="center"/>
              <w:rPr>
                <w:rFonts w:ascii="Times New Roman" w:eastAsia="Times New Roman" w:hAnsi="Times New Roman" w:cs="Times New Roman"/>
                <w:color w:val="000000"/>
                <w:kern w:val="0"/>
                <w:szCs w:val="24"/>
                <w:lang w:eastAsia="en-IN"/>
                <w14:ligatures w14:val="none"/>
              </w:rPr>
            </w:pPr>
            <w:r w:rsidRPr="008E2A3E">
              <w:rPr>
                <w:rFonts w:ascii="Times New Roman" w:eastAsia="Times New Roman" w:hAnsi="Times New Roman" w:cs="Times New Roman"/>
                <w:color w:val="000000"/>
                <w:kern w:val="0"/>
                <w:szCs w:val="24"/>
                <w:lang w:eastAsia="en-IN"/>
                <w14:ligatures w14:val="none"/>
              </w:rPr>
              <w:t>258</w:t>
            </w:r>
          </w:p>
        </w:tc>
        <w:tc>
          <w:tcPr>
            <w:tcW w:w="1156" w:type="dxa"/>
            <w:tcBorders>
              <w:top w:val="nil"/>
              <w:left w:val="nil"/>
              <w:bottom w:val="single" w:sz="4" w:space="0" w:color="auto"/>
              <w:right w:val="single" w:sz="4" w:space="0" w:color="auto"/>
            </w:tcBorders>
            <w:vAlign w:val="center"/>
            <w:hideMark/>
          </w:tcPr>
          <w:p w14:paraId="52AFCC68" w14:textId="77777777" w:rsidR="00490A74" w:rsidRPr="008E2A3E" w:rsidRDefault="00490A74" w:rsidP="00490A74">
            <w:pPr>
              <w:spacing w:after="0" w:line="240" w:lineRule="auto"/>
              <w:jc w:val="center"/>
              <w:rPr>
                <w:rFonts w:ascii="Times New Roman" w:eastAsia="Times New Roman" w:hAnsi="Times New Roman" w:cs="Times New Roman"/>
                <w:color w:val="000000"/>
                <w:kern w:val="0"/>
                <w:szCs w:val="24"/>
                <w:lang w:eastAsia="en-IN"/>
                <w14:ligatures w14:val="none"/>
              </w:rPr>
            </w:pPr>
            <w:r w:rsidRPr="008E2A3E">
              <w:rPr>
                <w:rFonts w:ascii="Times New Roman" w:eastAsia="Times New Roman" w:hAnsi="Times New Roman" w:cs="Times New Roman"/>
                <w:color w:val="000000"/>
                <w:kern w:val="0"/>
                <w:szCs w:val="24"/>
                <w:lang w:eastAsia="en-IN"/>
                <w14:ligatures w14:val="none"/>
              </w:rPr>
              <w:t>287</w:t>
            </w:r>
          </w:p>
        </w:tc>
        <w:tc>
          <w:tcPr>
            <w:tcW w:w="1156" w:type="dxa"/>
            <w:tcBorders>
              <w:top w:val="nil"/>
              <w:left w:val="nil"/>
              <w:bottom w:val="single" w:sz="4" w:space="0" w:color="auto"/>
              <w:right w:val="single" w:sz="4" w:space="0" w:color="auto"/>
            </w:tcBorders>
            <w:vAlign w:val="center"/>
            <w:hideMark/>
          </w:tcPr>
          <w:p w14:paraId="3D418121" w14:textId="77777777" w:rsidR="00490A74" w:rsidRPr="008E2A3E" w:rsidRDefault="00490A74" w:rsidP="00490A74">
            <w:pPr>
              <w:spacing w:after="0" w:line="240" w:lineRule="auto"/>
              <w:jc w:val="center"/>
              <w:rPr>
                <w:rFonts w:ascii="Times New Roman" w:eastAsia="Times New Roman" w:hAnsi="Times New Roman" w:cs="Times New Roman"/>
                <w:color w:val="000000"/>
                <w:kern w:val="0"/>
                <w:szCs w:val="24"/>
                <w:lang w:eastAsia="en-IN"/>
                <w14:ligatures w14:val="none"/>
              </w:rPr>
            </w:pPr>
            <w:r w:rsidRPr="008E2A3E">
              <w:rPr>
                <w:rFonts w:ascii="Times New Roman" w:eastAsia="Times New Roman" w:hAnsi="Times New Roman" w:cs="Times New Roman"/>
                <w:color w:val="000000"/>
                <w:kern w:val="0"/>
                <w:szCs w:val="24"/>
                <w:lang w:eastAsia="en-IN"/>
                <w14:ligatures w14:val="none"/>
              </w:rPr>
              <w:t>374</w:t>
            </w:r>
          </w:p>
        </w:tc>
      </w:tr>
      <w:tr w:rsidR="00490A74" w:rsidRPr="008E2A3E" w14:paraId="3DD75FED" w14:textId="77777777" w:rsidTr="00490A74">
        <w:trPr>
          <w:trHeight w:val="307"/>
        </w:trPr>
        <w:tc>
          <w:tcPr>
            <w:tcW w:w="4201" w:type="dxa"/>
            <w:tcBorders>
              <w:top w:val="nil"/>
              <w:left w:val="single" w:sz="4" w:space="0" w:color="auto"/>
              <w:bottom w:val="single" w:sz="4" w:space="0" w:color="auto"/>
              <w:right w:val="single" w:sz="4" w:space="0" w:color="auto"/>
            </w:tcBorders>
            <w:vAlign w:val="center"/>
            <w:hideMark/>
          </w:tcPr>
          <w:p w14:paraId="4A7EA705" w14:textId="77777777" w:rsidR="00490A74" w:rsidRPr="008E2A3E" w:rsidRDefault="00490A74" w:rsidP="00490A74">
            <w:pPr>
              <w:spacing w:after="0" w:line="240" w:lineRule="auto"/>
              <w:rPr>
                <w:rFonts w:ascii="Times New Roman" w:eastAsia="Times New Roman" w:hAnsi="Times New Roman" w:cs="Times New Roman"/>
                <w:color w:val="000000"/>
                <w:kern w:val="0"/>
                <w:szCs w:val="24"/>
                <w:lang w:eastAsia="en-IN"/>
                <w14:ligatures w14:val="none"/>
              </w:rPr>
            </w:pPr>
            <w:r w:rsidRPr="008E2A3E">
              <w:rPr>
                <w:rFonts w:ascii="Times New Roman" w:eastAsia="Times New Roman" w:hAnsi="Times New Roman" w:cs="Times New Roman"/>
                <w:color w:val="000000"/>
                <w:kern w:val="0"/>
                <w:szCs w:val="24"/>
                <w:lang w:eastAsia="en-IN"/>
                <w14:ligatures w14:val="none"/>
              </w:rPr>
              <w:t>West Bengal</w:t>
            </w:r>
          </w:p>
        </w:tc>
        <w:tc>
          <w:tcPr>
            <w:tcW w:w="1156" w:type="dxa"/>
            <w:tcBorders>
              <w:top w:val="nil"/>
              <w:left w:val="nil"/>
              <w:bottom w:val="single" w:sz="4" w:space="0" w:color="auto"/>
              <w:right w:val="single" w:sz="4" w:space="0" w:color="auto"/>
            </w:tcBorders>
            <w:vAlign w:val="center"/>
            <w:hideMark/>
          </w:tcPr>
          <w:p w14:paraId="77DA5151" w14:textId="77777777" w:rsidR="00490A74" w:rsidRPr="008E2A3E" w:rsidRDefault="00490A74" w:rsidP="00490A74">
            <w:pPr>
              <w:spacing w:after="0" w:line="240" w:lineRule="auto"/>
              <w:jc w:val="center"/>
              <w:rPr>
                <w:rFonts w:ascii="Times New Roman" w:eastAsia="Times New Roman" w:hAnsi="Times New Roman" w:cs="Times New Roman"/>
                <w:color w:val="000000"/>
                <w:kern w:val="0"/>
                <w:szCs w:val="24"/>
                <w:lang w:eastAsia="en-IN"/>
                <w14:ligatures w14:val="none"/>
              </w:rPr>
            </w:pPr>
            <w:r w:rsidRPr="008E2A3E">
              <w:rPr>
                <w:rFonts w:ascii="Times New Roman" w:eastAsia="Times New Roman" w:hAnsi="Times New Roman" w:cs="Times New Roman"/>
                <w:color w:val="000000"/>
                <w:kern w:val="0"/>
                <w:szCs w:val="24"/>
                <w:lang w:eastAsia="en-IN"/>
                <w14:ligatures w14:val="none"/>
              </w:rPr>
              <w:t>386</w:t>
            </w:r>
          </w:p>
        </w:tc>
        <w:tc>
          <w:tcPr>
            <w:tcW w:w="1156" w:type="dxa"/>
            <w:tcBorders>
              <w:top w:val="nil"/>
              <w:left w:val="nil"/>
              <w:bottom w:val="single" w:sz="4" w:space="0" w:color="auto"/>
              <w:right w:val="single" w:sz="4" w:space="0" w:color="auto"/>
            </w:tcBorders>
            <w:vAlign w:val="center"/>
            <w:hideMark/>
          </w:tcPr>
          <w:p w14:paraId="0D6E7CDA" w14:textId="77777777" w:rsidR="00490A74" w:rsidRPr="008E2A3E" w:rsidRDefault="00490A74" w:rsidP="00490A74">
            <w:pPr>
              <w:spacing w:after="0" w:line="240" w:lineRule="auto"/>
              <w:jc w:val="center"/>
              <w:rPr>
                <w:rFonts w:ascii="Times New Roman" w:eastAsia="Times New Roman" w:hAnsi="Times New Roman" w:cs="Times New Roman"/>
                <w:color w:val="000000"/>
                <w:kern w:val="0"/>
                <w:szCs w:val="24"/>
                <w:lang w:eastAsia="en-IN"/>
                <w14:ligatures w14:val="none"/>
              </w:rPr>
            </w:pPr>
            <w:r w:rsidRPr="008E2A3E">
              <w:rPr>
                <w:rFonts w:ascii="Times New Roman" w:eastAsia="Times New Roman" w:hAnsi="Times New Roman" w:cs="Times New Roman"/>
                <w:color w:val="000000"/>
                <w:kern w:val="0"/>
                <w:szCs w:val="24"/>
                <w:lang w:eastAsia="en-IN"/>
                <w14:ligatures w14:val="none"/>
              </w:rPr>
              <w:t>392</w:t>
            </w:r>
          </w:p>
        </w:tc>
        <w:tc>
          <w:tcPr>
            <w:tcW w:w="1156" w:type="dxa"/>
            <w:tcBorders>
              <w:top w:val="nil"/>
              <w:left w:val="nil"/>
              <w:bottom w:val="single" w:sz="4" w:space="0" w:color="auto"/>
              <w:right w:val="single" w:sz="4" w:space="0" w:color="auto"/>
            </w:tcBorders>
            <w:vAlign w:val="center"/>
            <w:hideMark/>
          </w:tcPr>
          <w:p w14:paraId="62B86460" w14:textId="77777777" w:rsidR="00490A74" w:rsidRPr="008E2A3E" w:rsidRDefault="00490A74" w:rsidP="00490A74">
            <w:pPr>
              <w:spacing w:after="0" w:line="240" w:lineRule="auto"/>
              <w:jc w:val="center"/>
              <w:rPr>
                <w:rFonts w:ascii="Times New Roman" w:eastAsia="Times New Roman" w:hAnsi="Times New Roman" w:cs="Times New Roman"/>
                <w:color w:val="000000"/>
                <w:kern w:val="0"/>
                <w:szCs w:val="24"/>
                <w:lang w:eastAsia="en-IN"/>
                <w14:ligatures w14:val="none"/>
              </w:rPr>
            </w:pPr>
            <w:r w:rsidRPr="008E2A3E">
              <w:rPr>
                <w:rFonts w:ascii="Times New Roman" w:eastAsia="Times New Roman" w:hAnsi="Times New Roman" w:cs="Times New Roman"/>
                <w:color w:val="000000"/>
                <w:kern w:val="0"/>
                <w:szCs w:val="24"/>
                <w:lang w:eastAsia="en-IN"/>
                <w14:ligatures w14:val="none"/>
              </w:rPr>
              <w:t>420</w:t>
            </w:r>
          </w:p>
        </w:tc>
        <w:tc>
          <w:tcPr>
            <w:tcW w:w="1156" w:type="dxa"/>
            <w:tcBorders>
              <w:top w:val="nil"/>
              <w:left w:val="nil"/>
              <w:bottom w:val="single" w:sz="4" w:space="0" w:color="auto"/>
              <w:right w:val="single" w:sz="4" w:space="0" w:color="auto"/>
            </w:tcBorders>
            <w:vAlign w:val="center"/>
            <w:hideMark/>
          </w:tcPr>
          <w:p w14:paraId="56EFA505" w14:textId="77777777" w:rsidR="00490A74" w:rsidRPr="008E2A3E" w:rsidRDefault="00490A74" w:rsidP="00490A74">
            <w:pPr>
              <w:spacing w:after="0" w:line="240" w:lineRule="auto"/>
              <w:jc w:val="center"/>
              <w:rPr>
                <w:rFonts w:ascii="Times New Roman" w:eastAsia="Times New Roman" w:hAnsi="Times New Roman" w:cs="Times New Roman"/>
                <w:color w:val="000000"/>
                <w:kern w:val="0"/>
                <w:szCs w:val="24"/>
                <w:lang w:eastAsia="en-IN"/>
                <w14:ligatures w14:val="none"/>
              </w:rPr>
            </w:pPr>
            <w:r w:rsidRPr="008E2A3E">
              <w:rPr>
                <w:rFonts w:ascii="Times New Roman" w:eastAsia="Times New Roman" w:hAnsi="Times New Roman" w:cs="Times New Roman"/>
                <w:color w:val="000000"/>
                <w:kern w:val="0"/>
                <w:szCs w:val="24"/>
                <w:lang w:eastAsia="en-IN"/>
                <w14:ligatures w14:val="none"/>
              </w:rPr>
              <w:t>476</w:t>
            </w:r>
          </w:p>
        </w:tc>
        <w:tc>
          <w:tcPr>
            <w:tcW w:w="1156" w:type="dxa"/>
            <w:tcBorders>
              <w:top w:val="nil"/>
              <w:left w:val="nil"/>
              <w:bottom w:val="single" w:sz="4" w:space="0" w:color="auto"/>
              <w:right w:val="single" w:sz="4" w:space="0" w:color="auto"/>
            </w:tcBorders>
            <w:vAlign w:val="center"/>
            <w:hideMark/>
          </w:tcPr>
          <w:p w14:paraId="429A8B1B" w14:textId="77777777" w:rsidR="00490A74" w:rsidRPr="008E2A3E" w:rsidRDefault="00490A74" w:rsidP="00490A74">
            <w:pPr>
              <w:spacing w:after="0" w:line="240" w:lineRule="auto"/>
              <w:jc w:val="center"/>
              <w:rPr>
                <w:rFonts w:ascii="Times New Roman" w:eastAsia="Times New Roman" w:hAnsi="Times New Roman" w:cs="Times New Roman"/>
                <w:color w:val="000000"/>
                <w:kern w:val="0"/>
                <w:szCs w:val="24"/>
                <w:lang w:eastAsia="en-IN"/>
                <w14:ligatures w14:val="none"/>
              </w:rPr>
            </w:pPr>
            <w:r w:rsidRPr="008E2A3E">
              <w:rPr>
                <w:rFonts w:ascii="Times New Roman" w:eastAsia="Times New Roman" w:hAnsi="Times New Roman" w:cs="Times New Roman"/>
                <w:color w:val="000000"/>
                <w:kern w:val="0"/>
                <w:szCs w:val="24"/>
                <w:lang w:eastAsia="en-IN"/>
                <w14:ligatures w14:val="none"/>
              </w:rPr>
              <w:t>498</w:t>
            </w:r>
          </w:p>
        </w:tc>
      </w:tr>
      <w:tr w:rsidR="00490A74" w:rsidRPr="008E2A3E" w14:paraId="54CF1ADE" w14:textId="77777777" w:rsidTr="00490A74">
        <w:trPr>
          <w:trHeight w:val="584"/>
        </w:trPr>
        <w:tc>
          <w:tcPr>
            <w:tcW w:w="4201" w:type="dxa"/>
            <w:tcBorders>
              <w:top w:val="nil"/>
              <w:left w:val="single" w:sz="4" w:space="0" w:color="auto"/>
              <w:bottom w:val="single" w:sz="4" w:space="0" w:color="auto"/>
              <w:right w:val="single" w:sz="4" w:space="0" w:color="auto"/>
            </w:tcBorders>
            <w:vAlign w:val="center"/>
            <w:hideMark/>
          </w:tcPr>
          <w:p w14:paraId="0A87EE21" w14:textId="68591B3A" w:rsidR="00490A74" w:rsidRPr="008E2A3E" w:rsidRDefault="00490A74" w:rsidP="00490A74">
            <w:pPr>
              <w:spacing w:after="0" w:line="240" w:lineRule="auto"/>
              <w:rPr>
                <w:rFonts w:ascii="Times New Roman" w:eastAsia="Times New Roman" w:hAnsi="Times New Roman" w:cs="Times New Roman"/>
                <w:color w:val="000000"/>
                <w:kern w:val="0"/>
                <w:szCs w:val="24"/>
                <w:lang w:eastAsia="en-IN"/>
                <w14:ligatures w14:val="none"/>
              </w:rPr>
            </w:pPr>
            <w:r w:rsidRPr="008E2A3E">
              <w:rPr>
                <w:rFonts w:ascii="Times New Roman" w:eastAsia="Times New Roman" w:hAnsi="Times New Roman" w:cs="Times New Roman"/>
                <w:color w:val="000000"/>
                <w:kern w:val="0"/>
                <w:szCs w:val="24"/>
                <w:lang w:eastAsia="en-IN"/>
                <w14:ligatures w14:val="none"/>
              </w:rPr>
              <w:t>All States (excluding Nagaland).</w:t>
            </w:r>
          </w:p>
        </w:tc>
        <w:tc>
          <w:tcPr>
            <w:tcW w:w="1156" w:type="dxa"/>
            <w:tcBorders>
              <w:top w:val="nil"/>
              <w:left w:val="nil"/>
              <w:bottom w:val="single" w:sz="4" w:space="0" w:color="auto"/>
              <w:right w:val="single" w:sz="4" w:space="0" w:color="auto"/>
            </w:tcBorders>
            <w:vAlign w:val="center"/>
            <w:hideMark/>
          </w:tcPr>
          <w:p w14:paraId="1BC7121A" w14:textId="77777777" w:rsidR="00490A74" w:rsidRPr="008E2A3E" w:rsidRDefault="00490A74" w:rsidP="00490A74">
            <w:pPr>
              <w:spacing w:after="0" w:line="240" w:lineRule="auto"/>
              <w:jc w:val="center"/>
              <w:rPr>
                <w:rFonts w:ascii="Times New Roman" w:eastAsia="Times New Roman" w:hAnsi="Times New Roman" w:cs="Times New Roman"/>
                <w:color w:val="000000"/>
                <w:kern w:val="0"/>
                <w:szCs w:val="24"/>
                <w:lang w:eastAsia="en-IN"/>
                <w14:ligatures w14:val="none"/>
              </w:rPr>
            </w:pPr>
            <w:r w:rsidRPr="008E2A3E">
              <w:rPr>
                <w:rFonts w:ascii="Times New Roman" w:eastAsia="Times New Roman" w:hAnsi="Times New Roman" w:cs="Times New Roman"/>
                <w:color w:val="000000"/>
                <w:kern w:val="0"/>
                <w:szCs w:val="24"/>
                <w:lang w:eastAsia="en-IN"/>
                <w14:ligatures w14:val="none"/>
              </w:rPr>
              <w:t>304</w:t>
            </w:r>
          </w:p>
        </w:tc>
        <w:tc>
          <w:tcPr>
            <w:tcW w:w="1156" w:type="dxa"/>
            <w:tcBorders>
              <w:top w:val="nil"/>
              <w:left w:val="nil"/>
              <w:bottom w:val="single" w:sz="4" w:space="0" w:color="auto"/>
              <w:right w:val="single" w:sz="4" w:space="0" w:color="auto"/>
            </w:tcBorders>
            <w:vAlign w:val="center"/>
            <w:hideMark/>
          </w:tcPr>
          <w:p w14:paraId="3F0E2612" w14:textId="77777777" w:rsidR="00490A74" w:rsidRPr="008E2A3E" w:rsidRDefault="00490A74" w:rsidP="00490A74">
            <w:pPr>
              <w:spacing w:after="0" w:line="240" w:lineRule="auto"/>
              <w:jc w:val="center"/>
              <w:rPr>
                <w:rFonts w:ascii="Times New Roman" w:eastAsia="Times New Roman" w:hAnsi="Times New Roman" w:cs="Times New Roman"/>
                <w:color w:val="000000"/>
                <w:kern w:val="0"/>
                <w:szCs w:val="24"/>
                <w:lang w:eastAsia="en-IN"/>
                <w14:ligatures w14:val="none"/>
              </w:rPr>
            </w:pPr>
            <w:r w:rsidRPr="008E2A3E">
              <w:rPr>
                <w:rFonts w:ascii="Times New Roman" w:eastAsia="Times New Roman" w:hAnsi="Times New Roman" w:cs="Times New Roman"/>
                <w:color w:val="000000"/>
                <w:kern w:val="0"/>
                <w:szCs w:val="24"/>
                <w:lang w:eastAsia="en-IN"/>
                <w14:ligatures w14:val="none"/>
              </w:rPr>
              <w:t>315</w:t>
            </w:r>
          </w:p>
        </w:tc>
        <w:tc>
          <w:tcPr>
            <w:tcW w:w="1156" w:type="dxa"/>
            <w:tcBorders>
              <w:top w:val="nil"/>
              <w:left w:val="nil"/>
              <w:bottom w:val="single" w:sz="4" w:space="0" w:color="auto"/>
              <w:right w:val="single" w:sz="4" w:space="0" w:color="auto"/>
            </w:tcBorders>
            <w:vAlign w:val="center"/>
            <w:hideMark/>
          </w:tcPr>
          <w:p w14:paraId="1CD743FA" w14:textId="77777777" w:rsidR="00490A74" w:rsidRPr="008E2A3E" w:rsidRDefault="00490A74" w:rsidP="00490A74">
            <w:pPr>
              <w:spacing w:after="0" w:line="240" w:lineRule="auto"/>
              <w:jc w:val="center"/>
              <w:rPr>
                <w:rFonts w:ascii="Times New Roman" w:eastAsia="Times New Roman" w:hAnsi="Times New Roman" w:cs="Times New Roman"/>
                <w:color w:val="000000"/>
                <w:kern w:val="0"/>
                <w:szCs w:val="24"/>
                <w:lang w:eastAsia="en-IN"/>
                <w14:ligatures w14:val="none"/>
              </w:rPr>
            </w:pPr>
            <w:r w:rsidRPr="008E2A3E">
              <w:rPr>
                <w:rFonts w:ascii="Times New Roman" w:eastAsia="Times New Roman" w:hAnsi="Times New Roman" w:cs="Times New Roman"/>
                <w:color w:val="000000"/>
                <w:kern w:val="0"/>
                <w:szCs w:val="24"/>
                <w:lang w:eastAsia="en-IN"/>
                <w14:ligatures w14:val="none"/>
              </w:rPr>
              <w:t>325</w:t>
            </w:r>
          </w:p>
        </w:tc>
        <w:tc>
          <w:tcPr>
            <w:tcW w:w="1156" w:type="dxa"/>
            <w:tcBorders>
              <w:top w:val="nil"/>
              <w:left w:val="nil"/>
              <w:bottom w:val="single" w:sz="4" w:space="0" w:color="auto"/>
              <w:right w:val="single" w:sz="4" w:space="0" w:color="auto"/>
            </w:tcBorders>
            <w:vAlign w:val="center"/>
            <w:hideMark/>
          </w:tcPr>
          <w:p w14:paraId="09579395" w14:textId="77777777" w:rsidR="00490A74" w:rsidRPr="008E2A3E" w:rsidRDefault="00490A74" w:rsidP="00490A74">
            <w:pPr>
              <w:spacing w:after="0" w:line="240" w:lineRule="auto"/>
              <w:jc w:val="center"/>
              <w:rPr>
                <w:rFonts w:ascii="Times New Roman" w:eastAsia="Times New Roman" w:hAnsi="Times New Roman" w:cs="Times New Roman"/>
                <w:color w:val="000000"/>
                <w:kern w:val="0"/>
                <w:szCs w:val="24"/>
                <w:lang w:eastAsia="en-IN"/>
                <w14:ligatures w14:val="none"/>
              </w:rPr>
            </w:pPr>
            <w:r w:rsidRPr="008E2A3E">
              <w:rPr>
                <w:rFonts w:ascii="Times New Roman" w:eastAsia="Times New Roman" w:hAnsi="Times New Roman" w:cs="Times New Roman"/>
                <w:color w:val="000000"/>
                <w:kern w:val="0"/>
                <w:szCs w:val="24"/>
                <w:lang w:eastAsia="en-IN"/>
                <w14:ligatures w14:val="none"/>
              </w:rPr>
              <w:t>364</w:t>
            </w:r>
          </w:p>
        </w:tc>
        <w:tc>
          <w:tcPr>
            <w:tcW w:w="1156" w:type="dxa"/>
            <w:tcBorders>
              <w:top w:val="nil"/>
              <w:left w:val="nil"/>
              <w:bottom w:val="single" w:sz="4" w:space="0" w:color="auto"/>
              <w:right w:val="single" w:sz="4" w:space="0" w:color="auto"/>
            </w:tcBorders>
            <w:vAlign w:val="center"/>
            <w:hideMark/>
          </w:tcPr>
          <w:p w14:paraId="7FC572B9" w14:textId="77777777" w:rsidR="00490A74" w:rsidRPr="008E2A3E" w:rsidRDefault="00490A74" w:rsidP="00490A74">
            <w:pPr>
              <w:spacing w:after="0" w:line="240" w:lineRule="auto"/>
              <w:jc w:val="center"/>
              <w:rPr>
                <w:rFonts w:ascii="Times New Roman" w:eastAsia="Times New Roman" w:hAnsi="Times New Roman" w:cs="Times New Roman"/>
                <w:color w:val="000000"/>
                <w:kern w:val="0"/>
                <w:szCs w:val="24"/>
                <w:lang w:eastAsia="en-IN"/>
                <w14:ligatures w14:val="none"/>
              </w:rPr>
            </w:pPr>
            <w:r w:rsidRPr="008E2A3E">
              <w:rPr>
                <w:rFonts w:ascii="Times New Roman" w:eastAsia="Times New Roman" w:hAnsi="Times New Roman" w:cs="Times New Roman"/>
                <w:color w:val="000000"/>
                <w:kern w:val="0"/>
                <w:szCs w:val="24"/>
                <w:lang w:eastAsia="en-IN"/>
                <w14:ligatures w14:val="none"/>
              </w:rPr>
              <w:t>418</w:t>
            </w:r>
          </w:p>
        </w:tc>
      </w:tr>
    </w:tbl>
    <w:p w14:paraId="0D390AF7" w14:textId="39202DFA" w:rsidR="00490A74" w:rsidRPr="008E2A3E" w:rsidRDefault="00490A74" w:rsidP="00BA1C8E">
      <w:pPr>
        <w:pStyle w:val="Sources"/>
      </w:pPr>
      <w:r w:rsidRPr="008E2A3E">
        <w:t>Source: Central Statistical Organisation, Cabinet Secretariat. The estimates have been worked out by adopting the concept of 'Income originating within the geographical boundaries of India.</w:t>
      </w:r>
    </w:p>
    <w:p w14:paraId="18754E54" w14:textId="532B2466" w:rsidR="00490A74" w:rsidRPr="007245B0" w:rsidRDefault="00490A74" w:rsidP="00BA1C8E">
      <w:pPr>
        <w:pStyle w:val="Sources"/>
      </w:pPr>
      <w:r w:rsidRPr="008E2A3E">
        <w:t>**Based on Population Projections as on 1st October of the years</w:t>
      </w:r>
      <w:r w:rsidRPr="007245B0">
        <w:t>.</w:t>
      </w:r>
    </w:p>
    <w:p w14:paraId="3EA211AF" w14:textId="6A8D340C" w:rsidR="00490A74" w:rsidRPr="007245B0" w:rsidRDefault="00490A74">
      <w:pPr>
        <w:rPr>
          <w:rFonts w:ascii="Times New Roman" w:hAnsi="Times New Roman" w:cs="Times New Roman"/>
        </w:rPr>
      </w:pPr>
      <w:r w:rsidRPr="007245B0">
        <w:rPr>
          <w:rFonts w:ascii="Times New Roman" w:hAnsi="Times New Roman" w:cs="Times New Roman"/>
        </w:rPr>
        <w:br w:type="page"/>
      </w:r>
    </w:p>
    <w:p w14:paraId="47C62636" w14:textId="77777777" w:rsidR="00490A74" w:rsidRPr="007245B0" w:rsidRDefault="00490A74" w:rsidP="00490A74">
      <w:pPr>
        <w:tabs>
          <w:tab w:val="left" w:pos="3168"/>
        </w:tabs>
        <w:jc w:val="both"/>
        <w:rPr>
          <w:rFonts w:ascii="Times New Roman" w:hAnsi="Times New Roman" w:cs="Times New Roman"/>
          <w:b/>
          <w:bCs/>
        </w:rPr>
        <w:sectPr w:rsidR="00490A74" w:rsidRPr="007245B0" w:rsidSect="00CE2D3A">
          <w:pgSz w:w="12240" w:h="15840"/>
          <w:pgMar w:top="993" w:right="1440" w:bottom="1440" w:left="1440" w:header="720" w:footer="720" w:gutter="0"/>
          <w:cols w:space="720"/>
        </w:sectPr>
      </w:pPr>
    </w:p>
    <w:p w14:paraId="06AE045E" w14:textId="0BF9F62B" w:rsidR="00490A74" w:rsidRPr="007245B0" w:rsidRDefault="00490A74" w:rsidP="008E2A3E">
      <w:pPr>
        <w:pStyle w:val="Heading4"/>
      </w:pPr>
      <w:bookmarkStart w:id="48" w:name="_Toc220949686"/>
      <w:bookmarkStart w:id="49" w:name="_Toc221114286"/>
      <w:bookmarkStart w:id="50" w:name="_Toc221115309"/>
      <w:r w:rsidRPr="007245B0">
        <w:lastRenderedPageBreak/>
        <w:t xml:space="preserve">Table 6: Growth and Pattern of State </w:t>
      </w:r>
      <w:r w:rsidR="00E60971" w:rsidRPr="007245B0">
        <w:t>Revenues:</w:t>
      </w:r>
      <w:r w:rsidRPr="007245B0">
        <w:t xml:space="preserve"> 1961-62 and 1965-66 to 1968-69</w:t>
      </w:r>
      <w:bookmarkEnd w:id="48"/>
      <w:bookmarkEnd w:id="49"/>
      <w:bookmarkEnd w:id="50"/>
    </w:p>
    <w:tbl>
      <w:tblPr>
        <w:tblpPr w:leftFromText="180" w:rightFromText="180" w:vertAnchor="text" w:horzAnchor="margin" w:tblpXSpec="center" w:tblpY="87"/>
        <w:tblW w:w="15009" w:type="dxa"/>
        <w:tblLook w:val="04A0" w:firstRow="1" w:lastRow="0" w:firstColumn="1" w:lastColumn="0" w:noHBand="0" w:noVBand="1"/>
      </w:tblPr>
      <w:tblGrid>
        <w:gridCol w:w="1636"/>
        <w:gridCol w:w="1025"/>
        <w:gridCol w:w="916"/>
        <w:gridCol w:w="1041"/>
        <w:gridCol w:w="1412"/>
        <w:gridCol w:w="958"/>
        <w:gridCol w:w="1293"/>
        <w:gridCol w:w="1628"/>
        <w:gridCol w:w="1763"/>
        <w:gridCol w:w="1720"/>
        <w:gridCol w:w="1698"/>
      </w:tblGrid>
      <w:tr w:rsidR="00E60971" w:rsidRPr="008E2A3E" w14:paraId="0C18ED55" w14:textId="77777777" w:rsidTr="00F42E63">
        <w:trPr>
          <w:trHeight w:val="325"/>
        </w:trPr>
        <w:tc>
          <w:tcPr>
            <w:tcW w:w="1636" w:type="dxa"/>
            <w:tcBorders>
              <w:top w:val="single" w:sz="4" w:space="0" w:color="auto"/>
              <w:left w:val="single" w:sz="4" w:space="0" w:color="auto"/>
              <w:bottom w:val="single" w:sz="4" w:space="0" w:color="auto"/>
              <w:right w:val="single" w:sz="4" w:space="0" w:color="auto"/>
            </w:tcBorders>
            <w:noWrap/>
            <w:hideMark/>
          </w:tcPr>
          <w:p w14:paraId="3D9EB321" w14:textId="77777777" w:rsidR="00E60971" w:rsidRPr="008E2A3E" w:rsidRDefault="00E60971" w:rsidP="00E60971">
            <w:pPr>
              <w:pStyle w:val="NoSpacing"/>
              <w:rPr>
                <w:rFonts w:ascii="Times New Roman" w:hAnsi="Times New Roman" w:cs="Times New Roman"/>
                <w:b/>
                <w:bCs/>
                <w:szCs w:val="24"/>
                <w:lang w:eastAsia="en-IN"/>
              </w:rPr>
            </w:pPr>
            <w:r w:rsidRPr="008E2A3E">
              <w:rPr>
                <w:rFonts w:ascii="Times New Roman" w:hAnsi="Times New Roman" w:cs="Times New Roman"/>
                <w:b/>
                <w:bCs/>
                <w:szCs w:val="24"/>
                <w:lang w:eastAsia="en-IN"/>
              </w:rPr>
              <w:t>State/Year</w:t>
            </w:r>
          </w:p>
        </w:tc>
        <w:tc>
          <w:tcPr>
            <w:tcW w:w="1019" w:type="dxa"/>
            <w:tcBorders>
              <w:top w:val="single" w:sz="4" w:space="0" w:color="auto"/>
              <w:left w:val="nil"/>
              <w:bottom w:val="single" w:sz="4" w:space="0" w:color="auto"/>
              <w:right w:val="single" w:sz="4" w:space="0" w:color="auto"/>
            </w:tcBorders>
            <w:noWrap/>
            <w:hideMark/>
          </w:tcPr>
          <w:p w14:paraId="0C4ACDE3" w14:textId="77777777" w:rsidR="00E60971" w:rsidRPr="008E2A3E" w:rsidRDefault="00E60971" w:rsidP="00E60971">
            <w:pPr>
              <w:pStyle w:val="NoSpacing"/>
              <w:rPr>
                <w:rFonts w:ascii="Times New Roman" w:hAnsi="Times New Roman" w:cs="Times New Roman"/>
                <w:b/>
                <w:bCs/>
                <w:szCs w:val="24"/>
                <w:lang w:eastAsia="en-IN"/>
              </w:rPr>
            </w:pPr>
            <w:r w:rsidRPr="008E2A3E">
              <w:rPr>
                <w:rFonts w:ascii="Times New Roman" w:hAnsi="Times New Roman" w:cs="Times New Roman"/>
                <w:b/>
                <w:bCs/>
                <w:szCs w:val="24"/>
                <w:lang w:eastAsia="en-IN"/>
              </w:rPr>
              <w:t>Land revenue</w:t>
            </w:r>
          </w:p>
        </w:tc>
        <w:tc>
          <w:tcPr>
            <w:tcW w:w="915" w:type="dxa"/>
            <w:tcBorders>
              <w:top w:val="single" w:sz="4" w:space="0" w:color="auto"/>
              <w:left w:val="nil"/>
              <w:bottom w:val="single" w:sz="4" w:space="0" w:color="auto"/>
              <w:right w:val="single" w:sz="4" w:space="0" w:color="auto"/>
            </w:tcBorders>
            <w:noWrap/>
            <w:hideMark/>
          </w:tcPr>
          <w:p w14:paraId="2CC92939" w14:textId="77777777" w:rsidR="00E60971" w:rsidRPr="008E2A3E" w:rsidRDefault="00E60971" w:rsidP="00E60971">
            <w:pPr>
              <w:pStyle w:val="NoSpacing"/>
              <w:rPr>
                <w:rFonts w:ascii="Times New Roman" w:hAnsi="Times New Roman" w:cs="Times New Roman"/>
                <w:b/>
                <w:bCs/>
                <w:szCs w:val="24"/>
                <w:lang w:eastAsia="en-IN"/>
              </w:rPr>
            </w:pPr>
            <w:r w:rsidRPr="008E2A3E">
              <w:rPr>
                <w:rFonts w:ascii="Times New Roman" w:hAnsi="Times New Roman" w:cs="Times New Roman"/>
                <w:b/>
                <w:bCs/>
                <w:szCs w:val="24"/>
                <w:lang w:eastAsia="en-IN"/>
              </w:rPr>
              <w:t>Sales taxes</w:t>
            </w:r>
          </w:p>
        </w:tc>
        <w:tc>
          <w:tcPr>
            <w:tcW w:w="1041" w:type="dxa"/>
            <w:tcBorders>
              <w:top w:val="single" w:sz="4" w:space="0" w:color="auto"/>
              <w:left w:val="nil"/>
              <w:bottom w:val="single" w:sz="4" w:space="0" w:color="auto"/>
              <w:right w:val="single" w:sz="4" w:space="0" w:color="auto"/>
            </w:tcBorders>
            <w:noWrap/>
            <w:hideMark/>
          </w:tcPr>
          <w:p w14:paraId="3C3F4C8B" w14:textId="77777777" w:rsidR="00E60971" w:rsidRPr="008E2A3E" w:rsidRDefault="00E60971" w:rsidP="00E60971">
            <w:pPr>
              <w:pStyle w:val="NoSpacing"/>
              <w:rPr>
                <w:rFonts w:ascii="Times New Roman" w:hAnsi="Times New Roman" w:cs="Times New Roman"/>
                <w:b/>
                <w:bCs/>
                <w:szCs w:val="24"/>
                <w:lang w:eastAsia="en-IN"/>
              </w:rPr>
            </w:pPr>
            <w:r w:rsidRPr="008E2A3E">
              <w:rPr>
                <w:rFonts w:ascii="Times New Roman" w:hAnsi="Times New Roman" w:cs="Times New Roman"/>
                <w:b/>
                <w:bCs/>
                <w:szCs w:val="24"/>
                <w:lang w:eastAsia="en-IN"/>
              </w:rPr>
              <w:t>Motor vehicles</w:t>
            </w:r>
          </w:p>
        </w:tc>
        <w:tc>
          <w:tcPr>
            <w:tcW w:w="1377" w:type="dxa"/>
            <w:tcBorders>
              <w:top w:val="single" w:sz="4" w:space="0" w:color="auto"/>
              <w:left w:val="nil"/>
              <w:bottom w:val="single" w:sz="4" w:space="0" w:color="auto"/>
              <w:right w:val="single" w:sz="4" w:space="0" w:color="auto"/>
            </w:tcBorders>
            <w:noWrap/>
            <w:hideMark/>
          </w:tcPr>
          <w:p w14:paraId="63684C5B" w14:textId="77777777" w:rsidR="00E60971" w:rsidRPr="008E2A3E" w:rsidRDefault="00E60971" w:rsidP="00E60971">
            <w:pPr>
              <w:pStyle w:val="NoSpacing"/>
              <w:rPr>
                <w:rFonts w:ascii="Times New Roman" w:hAnsi="Times New Roman" w:cs="Times New Roman"/>
                <w:b/>
                <w:bCs/>
                <w:szCs w:val="24"/>
                <w:lang w:eastAsia="en-IN"/>
              </w:rPr>
            </w:pPr>
            <w:r w:rsidRPr="008E2A3E">
              <w:rPr>
                <w:rFonts w:ascii="Times New Roman" w:hAnsi="Times New Roman" w:cs="Times New Roman"/>
                <w:b/>
                <w:bCs/>
                <w:szCs w:val="24"/>
                <w:lang w:eastAsia="en-IN"/>
              </w:rPr>
              <w:t>Stamps &amp; registration</w:t>
            </w:r>
          </w:p>
        </w:tc>
        <w:tc>
          <w:tcPr>
            <w:tcW w:w="958" w:type="dxa"/>
            <w:tcBorders>
              <w:top w:val="single" w:sz="4" w:space="0" w:color="auto"/>
              <w:left w:val="nil"/>
              <w:bottom w:val="single" w:sz="4" w:space="0" w:color="auto"/>
              <w:right w:val="single" w:sz="4" w:space="0" w:color="auto"/>
            </w:tcBorders>
            <w:noWrap/>
            <w:hideMark/>
          </w:tcPr>
          <w:p w14:paraId="3346336C" w14:textId="26087E4A" w:rsidR="00E60971" w:rsidRPr="008E2A3E" w:rsidRDefault="00E60971" w:rsidP="00E60971">
            <w:pPr>
              <w:pStyle w:val="NoSpacing"/>
              <w:rPr>
                <w:rFonts w:ascii="Times New Roman" w:hAnsi="Times New Roman" w:cs="Times New Roman"/>
                <w:b/>
                <w:bCs/>
                <w:szCs w:val="24"/>
                <w:lang w:eastAsia="en-IN"/>
              </w:rPr>
            </w:pPr>
            <w:r w:rsidRPr="008E2A3E">
              <w:rPr>
                <w:rFonts w:ascii="Times New Roman" w:hAnsi="Times New Roman" w:cs="Times New Roman"/>
                <w:b/>
                <w:bCs/>
                <w:szCs w:val="24"/>
                <w:lang w:eastAsia="en-IN"/>
              </w:rPr>
              <w:t>Other taxes &amp; duties</w:t>
            </w:r>
          </w:p>
        </w:tc>
        <w:tc>
          <w:tcPr>
            <w:tcW w:w="1293" w:type="dxa"/>
            <w:tcBorders>
              <w:top w:val="single" w:sz="4" w:space="0" w:color="auto"/>
              <w:left w:val="nil"/>
              <w:bottom w:val="single" w:sz="4" w:space="0" w:color="auto"/>
              <w:right w:val="single" w:sz="4" w:space="0" w:color="auto"/>
            </w:tcBorders>
            <w:noWrap/>
          </w:tcPr>
          <w:p w14:paraId="272F9372" w14:textId="2EE1929C" w:rsidR="00E60971" w:rsidRPr="008E2A3E" w:rsidRDefault="00E60971" w:rsidP="00E60971">
            <w:pPr>
              <w:pStyle w:val="NoSpacing"/>
              <w:rPr>
                <w:rFonts w:ascii="Times New Roman" w:hAnsi="Times New Roman" w:cs="Times New Roman"/>
                <w:b/>
                <w:bCs/>
                <w:szCs w:val="24"/>
                <w:lang w:eastAsia="en-IN"/>
              </w:rPr>
            </w:pPr>
            <w:r w:rsidRPr="008E2A3E">
              <w:rPr>
                <w:rFonts w:ascii="Times New Roman" w:hAnsi="Times New Roman" w:cs="Times New Roman"/>
                <w:b/>
                <w:bCs/>
                <w:szCs w:val="24"/>
                <w:lang w:eastAsia="en-IN"/>
              </w:rPr>
              <w:t>Education &amp; public health</w:t>
            </w:r>
          </w:p>
        </w:tc>
        <w:tc>
          <w:tcPr>
            <w:tcW w:w="1628" w:type="dxa"/>
            <w:tcBorders>
              <w:top w:val="single" w:sz="4" w:space="0" w:color="auto"/>
              <w:left w:val="nil"/>
              <w:bottom w:val="single" w:sz="4" w:space="0" w:color="auto"/>
              <w:right w:val="single" w:sz="4" w:space="0" w:color="auto"/>
            </w:tcBorders>
            <w:noWrap/>
          </w:tcPr>
          <w:p w14:paraId="673854C1" w14:textId="1EC22737" w:rsidR="00E60971" w:rsidRPr="008E2A3E" w:rsidRDefault="00E60971" w:rsidP="00E60971">
            <w:pPr>
              <w:pStyle w:val="NoSpacing"/>
              <w:rPr>
                <w:rFonts w:ascii="Times New Roman" w:hAnsi="Times New Roman" w:cs="Times New Roman"/>
                <w:b/>
                <w:bCs/>
                <w:szCs w:val="24"/>
                <w:lang w:eastAsia="en-IN"/>
              </w:rPr>
            </w:pPr>
            <w:r w:rsidRPr="008E2A3E">
              <w:rPr>
                <w:rFonts w:ascii="Times New Roman" w:hAnsi="Times New Roman" w:cs="Times New Roman"/>
                <w:b/>
                <w:bCs/>
                <w:szCs w:val="24"/>
                <w:lang w:eastAsia="en-IN"/>
              </w:rPr>
              <w:t>Medical</w:t>
            </w:r>
          </w:p>
        </w:tc>
        <w:tc>
          <w:tcPr>
            <w:tcW w:w="1720" w:type="dxa"/>
            <w:tcBorders>
              <w:top w:val="single" w:sz="4" w:space="0" w:color="auto"/>
              <w:left w:val="nil"/>
              <w:bottom w:val="single" w:sz="4" w:space="0" w:color="auto"/>
              <w:right w:val="single" w:sz="4" w:space="0" w:color="auto"/>
            </w:tcBorders>
            <w:noWrap/>
          </w:tcPr>
          <w:p w14:paraId="77184FDE" w14:textId="196739D5" w:rsidR="00E60971" w:rsidRPr="008E2A3E" w:rsidRDefault="00E60971" w:rsidP="00E60971">
            <w:pPr>
              <w:pStyle w:val="NoSpacing"/>
              <w:rPr>
                <w:rFonts w:ascii="Times New Roman" w:hAnsi="Times New Roman" w:cs="Times New Roman"/>
                <w:b/>
                <w:bCs/>
                <w:szCs w:val="24"/>
                <w:lang w:eastAsia="en-IN"/>
              </w:rPr>
            </w:pPr>
            <w:r w:rsidRPr="008E2A3E">
              <w:rPr>
                <w:rFonts w:ascii="Times New Roman" w:hAnsi="Times New Roman" w:cs="Times New Roman"/>
                <w:b/>
                <w:bCs/>
                <w:szCs w:val="24"/>
                <w:lang w:eastAsia="en-IN"/>
              </w:rPr>
              <w:t>Administrative services</w:t>
            </w:r>
          </w:p>
        </w:tc>
        <w:tc>
          <w:tcPr>
            <w:tcW w:w="1720" w:type="dxa"/>
            <w:tcBorders>
              <w:top w:val="single" w:sz="4" w:space="0" w:color="auto"/>
              <w:left w:val="nil"/>
              <w:bottom w:val="single" w:sz="4" w:space="0" w:color="auto"/>
              <w:right w:val="single" w:sz="4" w:space="0" w:color="auto"/>
            </w:tcBorders>
            <w:noWrap/>
          </w:tcPr>
          <w:p w14:paraId="7ABCFD18" w14:textId="3709503C" w:rsidR="00E60971" w:rsidRPr="00E60971" w:rsidRDefault="00E60971" w:rsidP="00E60971">
            <w:pPr>
              <w:pStyle w:val="NoSpacing"/>
              <w:rPr>
                <w:lang w:eastAsia="en-IN"/>
              </w:rPr>
            </w:pPr>
            <w:r w:rsidRPr="00E60971">
              <w:rPr>
                <w:rFonts w:ascii="Times New Roman" w:hAnsi="Times New Roman" w:cs="Times New Roman"/>
                <w:b/>
                <w:bCs/>
                <w:szCs w:val="24"/>
                <w:lang w:eastAsia="en-IN"/>
              </w:rPr>
              <w:t>Forest</w:t>
            </w:r>
          </w:p>
        </w:tc>
        <w:tc>
          <w:tcPr>
            <w:tcW w:w="1698" w:type="dxa"/>
            <w:tcBorders>
              <w:top w:val="single" w:sz="4" w:space="0" w:color="auto"/>
              <w:left w:val="nil"/>
              <w:bottom w:val="single" w:sz="4" w:space="0" w:color="auto"/>
              <w:right w:val="single" w:sz="4" w:space="0" w:color="auto"/>
            </w:tcBorders>
            <w:noWrap/>
            <w:hideMark/>
          </w:tcPr>
          <w:p w14:paraId="3F466EE4" w14:textId="77777777" w:rsidR="00E60971" w:rsidRPr="008E2A3E" w:rsidRDefault="00E60971" w:rsidP="00E60971">
            <w:pPr>
              <w:pStyle w:val="NoSpacing"/>
              <w:rPr>
                <w:rFonts w:ascii="Times New Roman" w:hAnsi="Times New Roman" w:cs="Times New Roman"/>
                <w:b/>
                <w:bCs/>
                <w:szCs w:val="24"/>
                <w:lang w:eastAsia="en-IN"/>
              </w:rPr>
            </w:pPr>
            <w:r w:rsidRPr="008E2A3E">
              <w:rPr>
                <w:rFonts w:ascii="Times New Roman" w:hAnsi="Times New Roman" w:cs="Times New Roman"/>
                <w:b/>
                <w:bCs/>
                <w:szCs w:val="24"/>
                <w:lang w:eastAsia="en-IN"/>
              </w:rPr>
              <w:t>Total revenue receipts</w:t>
            </w:r>
          </w:p>
        </w:tc>
      </w:tr>
      <w:tr w:rsidR="001B5AC2" w:rsidRPr="008E2A3E" w14:paraId="651CCD05" w14:textId="77777777" w:rsidTr="00F42E63">
        <w:trPr>
          <w:trHeight w:val="325"/>
        </w:trPr>
        <w:tc>
          <w:tcPr>
            <w:tcW w:w="1636" w:type="dxa"/>
            <w:tcBorders>
              <w:top w:val="nil"/>
              <w:left w:val="single" w:sz="4" w:space="0" w:color="auto"/>
              <w:bottom w:val="single" w:sz="4" w:space="0" w:color="auto"/>
              <w:right w:val="single" w:sz="4" w:space="0" w:color="auto"/>
            </w:tcBorders>
            <w:noWrap/>
            <w:hideMark/>
          </w:tcPr>
          <w:p w14:paraId="33559AD0" w14:textId="77777777" w:rsidR="001B5AC2" w:rsidRPr="008E2A3E" w:rsidRDefault="001B5AC2" w:rsidP="001B5AC2">
            <w:pPr>
              <w:pStyle w:val="NoSpacing"/>
              <w:rPr>
                <w:rFonts w:ascii="Times New Roman" w:hAnsi="Times New Roman" w:cs="Times New Roman"/>
                <w:szCs w:val="24"/>
                <w:lang w:eastAsia="en-IN"/>
              </w:rPr>
            </w:pPr>
            <w:r w:rsidRPr="008E2A3E">
              <w:rPr>
                <w:rFonts w:ascii="Times New Roman" w:hAnsi="Times New Roman" w:cs="Times New Roman"/>
                <w:szCs w:val="24"/>
                <w:lang w:eastAsia="en-IN"/>
              </w:rPr>
              <w:t>1</w:t>
            </w:r>
          </w:p>
        </w:tc>
        <w:tc>
          <w:tcPr>
            <w:tcW w:w="1019" w:type="dxa"/>
            <w:tcBorders>
              <w:top w:val="nil"/>
              <w:left w:val="nil"/>
              <w:bottom w:val="single" w:sz="4" w:space="0" w:color="auto"/>
              <w:right w:val="single" w:sz="4" w:space="0" w:color="auto"/>
            </w:tcBorders>
            <w:noWrap/>
            <w:hideMark/>
          </w:tcPr>
          <w:p w14:paraId="7620FB98" w14:textId="77777777" w:rsidR="001B5AC2" w:rsidRPr="008E2A3E" w:rsidRDefault="001B5AC2" w:rsidP="008E2A3E">
            <w:pPr>
              <w:pStyle w:val="NoSpacing"/>
              <w:jc w:val="center"/>
              <w:rPr>
                <w:rFonts w:ascii="Times New Roman" w:hAnsi="Times New Roman" w:cs="Times New Roman"/>
                <w:szCs w:val="24"/>
                <w:lang w:eastAsia="en-IN"/>
              </w:rPr>
            </w:pPr>
            <w:r w:rsidRPr="008E2A3E">
              <w:rPr>
                <w:rFonts w:ascii="Times New Roman" w:hAnsi="Times New Roman" w:cs="Times New Roman"/>
                <w:szCs w:val="24"/>
                <w:lang w:eastAsia="en-IN"/>
              </w:rPr>
              <w:t>2</w:t>
            </w:r>
          </w:p>
        </w:tc>
        <w:tc>
          <w:tcPr>
            <w:tcW w:w="915" w:type="dxa"/>
            <w:tcBorders>
              <w:top w:val="nil"/>
              <w:left w:val="nil"/>
              <w:bottom w:val="single" w:sz="4" w:space="0" w:color="auto"/>
              <w:right w:val="single" w:sz="4" w:space="0" w:color="auto"/>
            </w:tcBorders>
            <w:noWrap/>
            <w:hideMark/>
          </w:tcPr>
          <w:p w14:paraId="6A60F4D8" w14:textId="77777777" w:rsidR="001B5AC2" w:rsidRPr="008E2A3E" w:rsidRDefault="001B5AC2" w:rsidP="008E2A3E">
            <w:pPr>
              <w:pStyle w:val="NoSpacing"/>
              <w:jc w:val="center"/>
              <w:rPr>
                <w:rFonts w:ascii="Times New Roman" w:hAnsi="Times New Roman" w:cs="Times New Roman"/>
                <w:szCs w:val="24"/>
                <w:lang w:eastAsia="en-IN"/>
              </w:rPr>
            </w:pPr>
            <w:r w:rsidRPr="008E2A3E">
              <w:rPr>
                <w:rFonts w:ascii="Times New Roman" w:hAnsi="Times New Roman" w:cs="Times New Roman"/>
                <w:szCs w:val="24"/>
                <w:lang w:eastAsia="en-IN"/>
              </w:rPr>
              <w:t>3</w:t>
            </w:r>
          </w:p>
        </w:tc>
        <w:tc>
          <w:tcPr>
            <w:tcW w:w="1041" w:type="dxa"/>
            <w:tcBorders>
              <w:top w:val="nil"/>
              <w:left w:val="nil"/>
              <w:bottom w:val="single" w:sz="4" w:space="0" w:color="auto"/>
              <w:right w:val="single" w:sz="4" w:space="0" w:color="auto"/>
            </w:tcBorders>
            <w:noWrap/>
            <w:hideMark/>
          </w:tcPr>
          <w:p w14:paraId="249E01C6" w14:textId="77777777" w:rsidR="001B5AC2" w:rsidRPr="008E2A3E" w:rsidRDefault="001B5AC2" w:rsidP="008E2A3E">
            <w:pPr>
              <w:pStyle w:val="NoSpacing"/>
              <w:jc w:val="center"/>
              <w:rPr>
                <w:rFonts w:ascii="Times New Roman" w:hAnsi="Times New Roman" w:cs="Times New Roman"/>
                <w:szCs w:val="24"/>
                <w:lang w:eastAsia="en-IN"/>
              </w:rPr>
            </w:pPr>
            <w:r w:rsidRPr="008E2A3E">
              <w:rPr>
                <w:rFonts w:ascii="Times New Roman" w:hAnsi="Times New Roman" w:cs="Times New Roman"/>
                <w:szCs w:val="24"/>
                <w:lang w:eastAsia="en-IN"/>
              </w:rPr>
              <w:t>4</w:t>
            </w:r>
          </w:p>
        </w:tc>
        <w:tc>
          <w:tcPr>
            <w:tcW w:w="1377" w:type="dxa"/>
            <w:tcBorders>
              <w:top w:val="nil"/>
              <w:left w:val="nil"/>
              <w:bottom w:val="single" w:sz="4" w:space="0" w:color="auto"/>
              <w:right w:val="single" w:sz="4" w:space="0" w:color="auto"/>
            </w:tcBorders>
            <w:noWrap/>
            <w:hideMark/>
          </w:tcPr>
          <w:p w14:paraId="5CB6D3B5" w14:textId="77777777" w:rsidR="001B5AC2" w:rsidRPr="008E2A3E" w:rsidRDefault="001B5AC2" w:rsidP="008E2A3E">
            <w:pPr>
              <w:pStyle w:val="NoSpacing"/>
              <w:jc w:val="center"/>
              <w:rPr>
                <w:rFonts w:ascii="Times New Roman" w:hAnsi="Times New Roman" w:cs="Times New Roman"/>
                <w:szCs w:val="24"/>
                <w:lang w:eastAsia="en-IN"/>
              </w:rPr>
            </w:pPr>
            <w:r w:rsidRPr="008E2A3E">
              <w:rPr>
                <w:rFonts w:ascii="Times New Roman" w:hAnsi="Times New Roman" w:cs="Times New Roman"/>
                <w:szCs w:val="24"/>
                <w:lang w:eastAsia="en-IN"/>
              </w:rPr>
              <w:t>5</w:t>
            </w:r>
          </w:p>
        </w:tc>
        <w:tc>
          <w:tcPr>
            <w:tcW w:w="958" w:type="dxa"/>
            <w:tcBorders>
              <w:top w:val="nil"/>
              <w:left w:val="nil"/>
              <w:bottom w:val="single" w:sz="4" w:space="0" w:color="auto"/>
              <w:right w:val="single" w:sz="4" w:space="0" w:color="auto"/>
            </w:tcBorders>
            <w:noWrap/>
            <w:hideMark/>
          </w:tcPr>
          <w:p w14:paraId="6CE4AB3B" w14:textId="77777777" w:rsidR="001B5AC2" w:rsidRPr="008E2A3E" w:rsidRDefault="001B5AC2" w:rsidP="008E2A3E">
            <w:pPr>
              <w:pStyle w:val="NoSpacing"/>
              <w:jc w:val="center"/>
              <w:rPr>
                <w:rFonts w:ascii="Times New Roman" w:hAnsi="Times New Roman" w:cs="Times New Roman"/>
                <w:szCs w:val="24"/>
                <w:lang w:eastAsia="en-IN"/>
              </w:rPr>
            </w:pPr>
            <w:r w:rsidRPr="008E2A3E">
              <w:rPr>
                <w:rFonts w:ascii="Times New Roman" w:hAnsi="Times New Roman" w:cs="Times New Roman"/>
                <w:szCs w:val="24"/>
                <w:lang w:eastAsia="en-IN"/>
              </w:rPr>
              <w:t>6</w:t>
            </w:r>
          </w:p>
        </w:tc>
        <w:tc>
          <w:tcPr>
            <w:tcW w:w="1293" w:type="dxa"/>
            <w:tcBorders>
              <w:top w:val="nil"/>
              <w:left w:val="nil"/>
              <w:bottom w:val="single" w:sz="4" w:space="0" w:color="auto"/>
              <w:right w:val="single" w:sz="4" w:space="0" w:color="auto"/>
            </w:tcBorders>
            <w:noWrap/>
            <w:hideMark/>
          </w:tcPr>
          <w:p w14:paraId="1B89E687" w14:textId="77777777" w:rsidR="001B5AC2" w:rsidRPr="008E2A3E" w:rsidRDefault="001B5AC2" w:rsidP="008E2A3E">
            <w:pPr>
              <w:pStyle w:val="NoSpacing"/>
              <w:jc w:val="center"/>
              <w:rPr>
                <w:rFonts w:ascii="Times New Roman" w:hAnsi="Times New Roman" w:cs="Times New Roman"/>
                <w:szCs w:val="24"/>
                <w:lang w:eastAsia="en-IN"/>
              </w:rPr>
            </w:pPr>
            <w:r w:rsidRPr="008E2A3E">
              <w:rPr>
                <w:rFonts w:ascii="Times New Roman" w:hAnsi="Times New Roman" w:cs="Times New Roman"/>
                <w:szCs w:val="24"/>
                <w:lang w:eastAsia="en-IN"/>
              </w:rPr>
              <w:t>7</w:t>
            </w:r>
          </w:p>
        </w:tc>
        <w:tc>
          <w:tcPr>
            <w:tcW w:w="1628" w:type="dxa"/>
            <w:tcBorders>
              <w:top w:val="nil"/>
              <w:left w:val="nil"/>
              <w:bottom w:val="single" w:sz="4" w:space="0" w:color="auto"/>
              <w:right w:val="single" w:sz="4" w:space="0" w:color="auto"/>
            </w:tcBorders>
            <w:noWrap/>
            <w:hideMark/>
          </w:tcPr>
          <w:p w14:paraId="145D98B2" w14:textId="77777777" w:rsidR="001B5AC2" w:rsidRPr="008E2A3E" w:rsidRDefault="001B5AC2" w:rsidP="008E2A3E">
            <w:pPr>
              <w:pStyle w:val="NoSpacing"/>
              <w:jc w:val="center"/>
              <w:rPr>
                <w:rFonts w:ascii="Times New Roman" w:hAnsi="Times New Roman" w:cs="Times New Roman"/>
                <w:szCs w:val="24"/>
                <w:lang w:eastAsia="en-IN"/>
              </w:rPr>
            </w:pPr>
            <w:r w:rsidRPr="008E2A3E">
              <w:rPr>
                <w:rFonts w:ascii="Times New Roman" w:hAnsi="Times New Roman" w:cs="Times New Roman"/>
                <w:szCs w:val="24"/>
                <w:lang w:eastAsia="en-IN"/>
              </w:rPr>
              <w:t>8</w:t>
            </w:r>
          </w:p>
        </w:tc>
        <w:tc>
          <w:tcPr>
            <w:tcW w:w="1720" w:type="dxa"/>
            <w:tcBorders>
              <w:top w:val="nil"/>
              <w:left w:val="nil"/>
              <w:bottom w:val="single" w:sz="4" w:space="0" w:color="auto"/>
              <w:right w:val="single" w:sz="4" w:space="0" w:color="auto"/>
            </w:tcBorders>
            <w:noWrap/>
            <w:hideMark/>
          </w:tcPr>
          <w:p w14:paraId="65B79B5C" w14:textId="77777777" w:rsidR="001B5AC2" w:rsidRPr="008E2A3E" w:rsidRDefault="001B5AC2" w:rsidP="008E2A3E">
            <w:pPr>
              <w:pStyle w:val="NoSpacing"/>
              <w:jc w:val="center"/>
              <w:rPr>
                <w:rFonts w:ascii="Times New Roman" w:hAnsi="Times New Roman" w:cs="Times New Roman"/>
                <w:szCs w:val="24"/>
                <w:lang w:eastAsia="en-IN"/>
              </w:rPr>
            </w:pPr>
            <w:r w:rsidRPr="008E2A3E">
              <w:rPr>
                <w:rFonts w:ascii="Times New Roman" w:hAnsi="Times New Roman" w:cs="Times New Roman"/>
                <w:szCs w:val="24"/>
                <w:lang w:eastAsia="en-IN"/>
              </w:rPr>
              <w:t>9</w:t>
            </w:r>
          </w:p>
        </w:tc>
        <w:tc>
          <w:tcPr>
            <w:tcW w:w="1720" w:type="dxa"/>
            <w:tcBorders>
              <w:top w:val="nil"/>
              <w:left w:val="nil"/>
              <w:bottom w:val="single" w:sz="4" w:space="0" w:color="auto"/>
              <w:right w:val="single" w:sz="4" w:space="0" w:color="auto"/>
            </w:tcBorders>
            <w:noWrap/>
            <w:hideMark/>
          </w:tcPr>
          <w:p w14:paraId="4FD00930" w14:textId="77777777" w:rsidR="001B5AC2" w:rsidRPr="008E2A3E" w:rsidRDefault="001B5AC2" w:rsidP="008E2A3E">
            <w:pPr>
              <w:pStyle w:val="NoSpacing"/>
              <w:jc w:val="center"/>
              <w:rPr>
                <w:rFonts w:ascii="Times New Roman" w:hAnsi="Times New Roman" w:cs="Times New Roman"/>
                <w:szCs w:val="24"/>
                <w:lang w:eastAsia="en-IN"/>
              </w:rPr>
            </w:pPr>
            <w:r w:rsidRPr="008E2A3E">
              <w:rPr>
                <w:rFonts w:ascii="Times New Roman" w:hAnsi="Times New Roman" w:cs="Times New Roman"/>
                <w:szCs w:val="24"/>
                <w:lang w:eastAsia="en-IN"/>
              </w:rPr>
              <w:t>10</w:t>
            </w:r>
          </w:p>
        </w:tc>
        <w:tc>
          <w:tcPr>
            <w:tcW w:w="1698" w:type="dxa"/>
            <w:tcBorders>
              <w:top w:val="nil"/>
              <w:left w:val="nil"/>
              <w:bottom w:val="single" w:sz="4" w:space="0" w:color="auto"/>
              <w:right w:val="single" w:sz="4" w:space="0" w:color="auto"/>
            </w:tcBorders>
            <w:noWrap/>
            <w:hideMark/>
          </w:tcPr>
          <w:p w14:paraId="7AFD5E6F" w14:textId="77777777" w:rsidR="001B5AC2" w:rsidRPr="008E2A3E" w:rsidRDefault="001B5AC2" w:rsidP="008E2A3E">
            <w:pPr>
              <w:pStyle w:val="NoSpacing"/>
              <w:jc w:val="center"/>
              <w:rPr>
                <w:rFonts w:ascii="Times New Roman" w:hAnsi="Times New Roman" w:cs="Times New Roman"/>
                <w:szCs w:val="24"/>
                <w:lang w:eastAsia="en-IN"/>
              </w:rPr>
            </w:pPr>
            <w:r w:rsidRPr="008E2A3E">
              <w:rPr>
                <w:rFonts w:ascii="Times New Roman" w:hAnsi="Times New Roman" w:cs="Times New Roman"/>
                <w:szCs w:val="24"/>
                <w:lang w:eastAsia="en-IN"/>
              </w:rPr>
              <w:t>11</w:t>
            </w:r>
          </w:p>
        </w:tc>
      </w:tr>
      <w:tr w:rsidR="008E2A3E" w:rsidRPr="008E2A3E" w14:paraId="1E274D50" w14:textId="77777777" w:rsidTr="00F42E63">
        <w:trPr>
          <w:trHeight w:val="325"/>
        </w:trPr>
        <w:tc>
          <w:tcPr>
            <w:tcW w:w="15009" w:type="dxa"/>
            <w:gridSpan w:val="11"/>
            <w:tcBorders>
              <w:top w:val="nil"/>
              <w:left w:val="single" w:sz="4" w:space="0" w:color="auto"/>
              <w:bottom w:val="single" w:sz="4" w:space="0" w:color="auto"/>
              <w:right w:val="single" w:sz="4" w:space="0" w:color="auto"/>
            </w:tcBorders>
            <w:noWrap/>
            <w:hideMark/>
          </w:tcPr>
          <w:p w14:paraId="15FCCBE8" w14:textId="1E048A0A" w:rsidR="008E2A3E" w:rsidRPr="00F42E63" w:rsidRDefault="008E2A3E" w:rsidP="008E2A3E">
            <w:pPr>
              <w:pStyle w:val="NoSpacing"/>
              <w:jc w:val="center"/>
              <w:rPr>
                <w:rFonts w:ascii="Times New Roman" w:hAnsi="Times New Roman" w:cs="Times New Roman"/>
                <w:b/>
                <w:bCs/>
                <w:szCs w:val="24"/>
                <w:lang w:eastAsia="en-IN"/>
              </w:rPr>
            </w:pPr>
            <w:r w:rsidRPr="00F42E63">
              <w:rPr>
                <w:rFonts w:ascii="Times New Roman" w:hAnsi="Times New Roman" w:cs="Times New Roman"/>
                <w:b/>
                <w:bCs/>
                <w:szCs w:val="24"/>
                <w:lang w:eastAsia="en-IN"/>
              </w:rPr>
              <w:t>Andhra Pradesh</w:t>
            </w:r>
          </w:p>
        </w:tc>
      </w:tr>
      <w:tr w:rsidR="001B5AC2" w:rsidRPr="008E2A3E" w14:paraId="746CA8E9" w14:textId="77777777" w:rsidTr="00F42E63">
        <w:trPr>
          <w:trHeight w:val="325"/>
        </w:trPr>
        <w:tc>
          <w:tcPr>
            <w:tcW w:w="1636" w:type="dxa"/>
            <w:tcBorders>
              <w:top w:val="nil"/>
              <w:left w:val="single" w:sz="4" w:space="0" w:color="auto"/>
              <w:bottom w:val="single" w:sz="4" w:space="0" w:color="auto"/>
              <w:right w:val="single" w:sz="4" w:space="0" w:color="auto"/>
            </w:tcBorders>
            <w:noWrap/>
            <w:vAlign w:val="center"/>
            <w:hideMark/>
          </w:tcPr>
          <w:p w14:paraId="64CDBB38" w14:textId="77777777" w:rsidR="001B5AC2" w:rsidRPr="008E2A3E" w:rsidRDefault="001B5AC2" w:rsidP="001B5AC2">
            <w:pPr>
              <w:pStyle w:val="NoSpacing"/>
              <w:rPr>
                <w:rFonts w:ascii="Times New Roman" w:hAnsi="Times New Roman" w:cs="Times New Roman"/>
                <w:szCs w:val="24"/>
                <w:lang w:eastAsia="en-IN"/>
              </w:rPr>
            </w:pPr>
            <w:r w:rsidRPr="008E2A3E">
              <w:rPr>
                <w:rFonts w:ascii="Times New Roman" w:hAnsi="Times New Roman" w:cs="Times New Roman"/>
                <w:szCs w:val="24"/>
                <w:lang w:eastAsia="en-IN"/>
              </w:rPr>
              <w:t>1961-62</w:t>
            </w:r>
          </w:p>
        </w:tc>
        <w:tc>
          <w:tcPr>
            <w:tcW w:w="1019" w:type="dxa"/>
            <w:tcBorders>
              <w:top w:val="nil"/>
              <w:left w:val="nil"/>
              <w:bottom w:val="single" w:sz="4" w:space="0" w:color="auto"/>
              <w:right w:val="single" w:sz="4" w:space="0" w:color="auto"/>
            </w:tcBorders>
            <w:noWrap/>
            <w:vAlign w:val="center"/>
            <w:hideMark/>
          </w:tcPr>
          <w:p w14:paraId="43944649" w14:textId="77777777" w:rsidR="001B5AC2" w:rsidRPr="008E2A3E" w:rsidRDefault="001B5AC2" w:rsidP="008E2A3E">
            <w:pPr>
              <w:pStyle w:val="NoSpacing"/>
              <w:jc w:val="center"/>
              <w:rPr>
                <w:rFonts w:ascii="Times New Roman" w:hAnsi="Times New Roman" w:cs="Times New Roman"/>
                <w:szCs w:val="24"/>
                <w:lang w:eastAsia="en-IN"/>
              </w:rPr>
            </w:pPr>
            <w:r w:rsidRPr="008E2A3E">
              <w:rPr>
                <w:rFonts w:ascii="Times New Roman" w:hAnsi="Times New Roman" w:cs="Times New Roman"/>
                <w:szCs w:val="24"/>
                <w:lang w:eastAsia="en-IN"/>
              </w:rPr>
              <w:t>10.12 (11.80)</w:t>
            </w:r>
          </w:p>
        </w:tc>
        <w:tc>
          <w:tcPr>
            <w:tcW w:w="915" w:type="dxa"/>
            <w:tcBorders>
              <w:top w:val="nil"/>
              <w:left w:val="nil"/>
              <w:bottom w:val="single" w:sz="4" w:space="0" w:color="auto"/>
              <w:right w:val="single" w:sz="4" w:space="0" w:color="auto"/>
            </w:tcBorders>
            <w:noWrap/>
            <w:vAlign w:val="center"/>
            <w:hideMark/>
          </w:tcPr>
          <w:p w14:paraId="2A592A6C" w14:textId="77777777" w:rsidR="001B5AC2" w:rsidRPr="008E2A3E" w:rsidRDefault="001B5AC2" w:rsidP="008E2A3E">
            <w:pPr>
              <w:pStyle w:val="NoSpacing"/>
              <w:jc w:val="center"/>
              <w:rPr>
                <w:rFonts w:ascii="Times New Roman" w:hAnsi="Times New Roman" w:cs="Times New Roman"/>
                <w:szCs w:val="24"/>
                <w:lang w:eastAsia="en-IN"/>
              </w:rPr>
            </w:pPr>
            <w:r w:rsidRPr="008E2A3E">
              <w:rPr>
                <w:rFonts w:ascii="Times New Roman" w:hAnsi="Times New Roman" w:cs="Times New Roman"/>
                <w:szCs w:val="24"/>
                <w:lang w:eastAsia="en-IN"/>
              </w:rPr>
              <w:t>14.81 (17.27)</w:t>
            </w:r>
          </w:p>
        </w:tc>
        <w:tc>
          <w:tcPr>
            <w:tcW w:w="1041" w:type="dxa"/>
            <w:tcBorders>
              <w:top w:val="nil"/>
              <w:left w:val="nil"/>
              <w:bottom w:val="single" w:sz="4" w:space="0" w:color="auto"/>
              <w:right w:val="single" w:sz="4" w:space="0" w:color="auto"/>
            </w:tcBorders>
            <w:noWrap/>
            <w:vAlign w:val="center"/>
            <w:hideMark/>
          </w:tcPr>
          <w:p w14:paraId="39BD4B26" w14:textId="77777777" w:rsidR="001B5AC2" w:rsidRPr="008E2A3E" w:rsidRDefault="001B5AC2" w:rsidP="008E2A3E">
            <w:pPr>
              <w:pStyle w:val="NoSpacing"/>
              <w:jc w:val="center"/>
              <w:rPr>
                <w:rFonts w:ascii="Times New Roman" w:hAnsi="Times New Roman" w:cs="Times New Roman"/>
                <w:szCs w:val="24"/>
                <w:lang w:eastAsia="en-IN"/>
              </w:rPr>
            </w:pPr>
            <w:r w:rsidRPr="008E2A3E">
              <w:rPr>
                <w:rFonts w:ascii="Times New Roman" w:hAnsi="Times New Roman" w:cs="Times New Roman"/>
                <w:szCs w:val="24"/>
                <w:lang w:eastAsia="en-IN"/>
              </w:rPr>
              <w:t>2.76 (3.22)</w:t>
            </w:r>
          </w:p>
        </w:tc>
        <w:tc>
          <w:tcPr>
            <w:tcW w:w="1377" w:type="dxa"/>
            <w:tcBorders>
              <w:top w:val="nil"/>
              <w:left w:val="nil"/>
              <w:bottom w:val="single" w:sz="4" w:space="0" w:color="auto"/>
              <w:right w:val="single" w:sz="4" w:space="0" w:color="auto"/>
            </w:tcBorders>
            <w:noWrap/>
            <w:vAlign w:val="center"/>
            <w:hideMark/>
          </w:tcPr>
          <w:p w14:paraId="2DF8C972" w14:textId="77777777" w:rsidR="001B5AC2" w:rsidRPr="008E2A3E" w:rsidRDefault="001B5AC2" w:rsidP="008E2A3E">
            <w:pPr>
              <w:pStyle w:val="NoSpacing"/>
              <w:jc w:val="center"/>
              <w:rPr>
                <w:rFonts w:ascii="Times New Roman" w:hAnsi="Times New Roman" w:cs="Times New Roman"/>
                <w:szCs w:val="24"/>
                <w:lang w:eastAsia="en-IN"/>
              </w:rPr>
            </w:pPr>
            <w:r w:rsidRPr="008E2A3E">
              <w:rPr>
                <w:rFonts w:ascii="Times New Roman" w:hAnsi="Times New Roman" w:cs="Times New Roman"/>
                <w:szCs w:val="24"/>
                <w:lang w:eastAsia="en-IN"/>
              </w:rPr>
              <w:t>3.42 (3.98)</w:t>
            </w:r>
          </w:p>
        </w:tc>
        <w:tc>
          <w:tcPr>
            <w:tcW w:w="958" w:type="dxa"/>
            <w:tcBorders>
              <w:top w:val="nil"/>
              <w:left w:val="nil"/>
              <w:bottom w:val="single" w:sz="4" w:space="0" w:color="auto"/>
              <w:right w:val="single" w:sz="4" w:space="0" w:color="auto"/>
            </w:tcBorders>
            <w:noWrap/>
            <w:vAlign w:val="center"/>
            <w:hideMark/>
          </w:tcPr>
          <w:p w14:paraId="3C54EFAF" w14:textId="77777777" w:rsidR="001B5AC2" w:rsidRPr="008E2A3E" w:rsidRDefault="001B5AC2" w:rsidP="008E2A3E">
            <w:pPr>
              <w:pStyle w:val="NoSpacing"/>
              <w:jc w:val="center"/>
              <w:rPr>
                <w:rFonts w:ascii="Times New Roman" w:hAnsi="Times New Roman" w:cs="Times New Roman"/>
                <w:szCs w:val="24"/>
                <w:lang w:eastAsia="en-IN"/>
              </w:rPr>
            </w:pPr>
            <w:r w:rsidRPr="008E2A3E">
              <w:rPr>
                <w:rFonts w:ascii="Times New Roman" w:hAnsi="Times New Roman" w:cs="Times New Roman"/>
                <w:szCs w:val="24"/>
                <w:lang w:eastAsia="en-IN"/>
              </w:rPr>
              <w:t>2.03 (2.37)</w:t>
            </w:r>
          </w:p>
        </w:tc>
        <w:tc>
          <w:tcPr>
            <w:tcW w:w="1293" w:type="dxa"/>
            <w:tcBorders>
              <w:top w:val="nil"/>
              <w:left w:val="nil"/>
              <w:bottom w:val="single" w:sz="4" w:space="0" w:color="auto"/>
              <w:right w:val="single" w:sz="4" w:space="0" w:color="auto"/>
            </w:tcBorders>
            <w:noWrap/>
            <w:vAlign w:val="center"/>
            <w:hideMark/>
          </w:tcPr>
          <w:p w14:paraId="217BDB2D" w14:textId="77777777" w:rsidR="001B5AC2" w:rsidRPr="008E2A3E" w:rsidRDefault="001B5AC2" w:rsidP="008E2A3E">
            <w:pPr>
              <w:pStyle w:val="NoSpacing"/>
              <w:jc w:val="center"/>
              <w:rPr>
                <w:rFonts w:ascii="Times New Roman" w:hAnsi="Times New Roman" w:cs="Times New Roman"/>
                <w:szCs w:val="24"/>
                <w:lang w:eastAsia="en-IN"/>
              </w:rPr>
            </w:pPr>
            <w:r w:rsidRPr="008E2A3E">
              <w:rPr>
                <w:rFonts w:ascii="Times New Roman" w:hAnsi="Times New Roman" w:cs="Times New Roman"/>
                <w:szCs w:val="24"/>
                <w:lang w:eastAsia="en-IN"/>
              </w:rPr>
              <w:t>0.51 (0.59)</w:t>
            </w:r>
          </w:p>
        </w:tc>
        <w:tc>
          <w:tcPr>
            <w:tcW w:w="1628" w:type="dxa"/>
            <w:tcBorders>
              <w:top w:val="nil"/>
              <w:left w:val="nil"/>
              <w:bottom w:val="single" w:sz="4" w:space="0" w:color="auto"/>
              <w:right w:val="single" w:sz="4" w:space="0" w:color="auto"/>
            </w:tcBorders>
            <w:noWrap/>
            <w:vAlign w:val="center"/>
            <w:hideMark/>
          </w:tcPr>
          <w:p w14:paraId="27941595" w14:textId="77777777" w:rsidR="001B5AC2" w:rsidRPr="008E2A3E" w:rsidRDefault="001B5AC2" w:rsidP="008E2A3E">
            <w:pPr>
              <w:pStyle w:val="NoSpacing"/>
              <w:jc w:val="center"/>
              <w:rPr>
                <w:rFonts w:ascii="Times New Roman" w:hAnsi="Times New Roman" w:cs="Times New Roman"/>
                <w:szCs w:val="24"/>
                <w:lang w:eastAsia="en-IN"/>
              </w:rPr>
            </w:pPr>
            <w:r w:rsidRPr="008E2A3E">
              <w:rPr>
                <w:rFonts w:ascii="Times New Roman" w:hAnsi="Times New Roman" w:cs="Times New Roman"/>
                <w:szCs w:val="24"/>
                <w:lang w:eastAsia="en-IN"/>
              </w:rPr>
              <w:t>1.06 (1.24)</w:t>
            </w:r>
          </w:p>
        </w:tc>
        <w:tc>
          <w:tcPr>
            <w:tcW w:w="1720" w:type="dxa"/>
            <w:tcBorders>
              <w:top w:val="nil"/>
              <w:left w:val="nil"/>
              <w:bottom w:val="single" w:sz="4" w:space="0" w:color="auto"/>
              <w:right w:val="single" w:sz="4" w:space="0" w:color="auto"/>
            </w:tcBorders>
            <w:noWrap/>
            <w:vAlign w:val="center"/>
            <w:hideMark/>
          </w:tcPr>
          <w:p w14:paraId="770CAC7F" w14:textId="77777777" w:rsidR="001B5AC2" w:rsidRPr="008E2A3E" w:rsidRDefault="001B5AC2" w:rsidP="008E2A3E">
            <w:pPr>
              <w:pStyle w:val="NoSpacing"/>
              <w:jc w:val="center"/>
              <w:rPr>
                <w:rFonts w:ascii="Times New Roman" w:hAnsi="Times New Roman" w:cs="Times New Roman"/>
                <w:szCs w:val="24"/>
                <w:lang w:eastAsia="en-IN"/>
              </w:rPr>
            </w:pPr>
            <w:r w:rsidRPr="008E2A3E">
              <w:rPr>
                <w:rFonts w:ascii="Times New Roman" w:hAnsi="Times New Roman" w:cs="Times New Roman"/>
                <w:szCs w:val="24"/>
                <w:lang w:eastAsia="en-IN"/>
              </w:rPr>
              <w:t>0.88 (1.03)</w:t>
            </w:r>
          </w:p>
        </w:tc>
        <w:tc>
          <w:tcPr>
            <w:tcW w:w="1720" w:type="dxa"/>
            <w:tcBorders>
              <w:top w:val="nil"/>
              <w:left w:val="nil"/>
              <w:bottom w:val="single" w:sz="4" w:space="0" w:color="auto"/>
              <w:right w:val="single" w:sz="4" w:space="0" w:color="auto"/>
            </w:tcBorders>
            <w:noWrap/>
            <w:vAlign w:val="center"/>
            <w:hideMark/>
          </w:tcPr>
          <w:p w14:paraId="3C428D42" w14:textId="77777777" w:rsidR="001B5AC2" w:rsidRPr="008E2A3E" w:rsidRDefault="001B5AC2" w:rsidP="008E2A3E">
            <w:pPr>
              <w:pStyle w:val="NoSpacing"/>
              <w:jc w:val="center"/>
              <w:rPr>
                <w:rFonts w:ascii="Times New Roman" w:hAnsi="Times New Roman" w:cs="Times New Roman"/>
                <w:szCs w:val="24"/>
                <w:lang w:eastAsia="en-IN"/>
              </w:rPr>
            </w:pPr>
            <w:r w:rsidRPr="008E2A3E">
              <w:rPr>
                <w:rFonts w:ascii="Times New Roman" w:hAnsi="Times New Roman" w:cs="Times New Roman"/>
                <w:szCs w:val="24"/>
                <w:lang w:eastAsia="en-IN"/>
              </w:rPr>
              <w:t>4.11 (4.79)</w:t>
            </w:r>
          </w:p>
        </w:tc>
        <w:tc>
          <w:tcPr>
            <w:tcW w:w="1698" w:type="dxa"/>
            <w:tcBorders>
              <w:top w:val="nil"/>
              <w:left w:val="nil"/>
              <w:bottom w:val="single" w:sz="4" w:space="0" w:color="auto"/>
              <w:right w:val="single" w:sz="4" w:space="0" w:color="auto"/>
            </w:tcBorders>
            <w:noWrap/>
            <w:vAlign w:val="center"/>
            <w:hideMark/>
          </w:tcPr>
          <w:p w14:paraId="56707E34" w14:textId="77777777" w:rsidR="001B5AC2" w:rsidRPr="008E2A3E" w:rsidRDefault="001B5AC2" w:rsidP="008E2A3E">
            <w:pPr>
              <w:pStyle w:val="NoSpacing"/>
              <w:jc w:val="center"/>
              <w:rPr>
                <w:rFonts w:ascii="Times New Roman" w:hAnsi="Times New Roman" w:cs="Times New Roman"/>
                <w:szCs w:val="24"/>
                <w:lang w:eastAsia="en-IN"/>
              </w:rPr>
            </w:pPr>
            <w:r w:rsidRPr="008E2A3E">
              <w:rPr>
                <w:rFonts w:ascii="Times New Roman" w:hAnsi="Times New Roman" w:cs="Times New Roman"/>
                <w:szCs w:val="24"/>
                <w:lang w:eastAsia="en-IN"/>
              </w:rPr>
              <w:t>85.71</w:t>
            </w:r>
          </w:p>
          <w:p w14:paraId="6031E009" w14:textId="260E1E0D" w:rsidR="001B5AC2" w:rsidRPr="008E2A3E" w:rsidRDefault="001B5AC2" w:rsidP="008E2A3E">
            <w:pPr>
              <w:pStyle w:val="NoSpacing"/>
              <w:jc w:val="center"/>
              <w:rPr>
                <w:rFonts w:ascii="Times New Roman" w:hAnsi="Times New Roman" w:cs="Times New Roman"/>
                <w:szCs w:val="24"/>
                <w:lang w:eastAsia="en-IN"/>
              </w:rPr>
            </w:pPr>
            <w:r w:rsidRPr="008E2A3E">
              <w:rPr>
                <w:rFonts w:ascii="Times New Roman" w:hAnsi="Times New Roman" w:cs="Times New Roman"/>
                <w:szCs w:val="24"/>
                <w:lang w:eastAsia="en-IN"/>
              </w:rPr>
              <w:t>(100.00)</w:t>
            </w:r>
          </w:p>
        </w:tc>
      </w:tr>
      <w:tr w:rsidR="001B5AC2" w:rsidRPr="008E2A3E" w14:paraId="328E34A1" w14:textId="77777777" w:rsidTr="00F42E63">
        <w:trPr>
          <w:trHeight w:val="325"/>
        </w:trPr>
        <w:tc>
          <w:tcPr>
            <w:tcW w:w="1636" w:type="dxa"/>
            <w:tcBorders>
              <w:top w:val="nil"/>
              <w:left w:val="single" w:sz="4" w:space="0" w:color="auto"/>
              <w:bottom w:val="single" w:sz="4" w:space="0" w:color="auto"/>
              <w:right w:val="single" w:sz="4" w:space="0" w:color="auto"/>
            </w:tcBorders>
            <w:noWrap/>
            <w:vAlign w:val="center"/>
            <w:hideMark/>
          </w:tcPr>
          <w:p w14:paraId="0798E537" w14:textId="77777777" w:rsidR="001B5AC2" w:rsidRPr="008E2A3E" w:rsidRDefault="001B5AC2" w:rsidP="001B5AC2">
            <w:pPr>
              <w:pStyle w:val="NoSpacing"/>
              <w:rPr>
                <w:rFonts w:ascii="Times New Roman" w:hAnsi="Times New Roman" w:cs="Times New Roman"/>
                <w:szCs w:val="24"/>
                <w:lang w:eastAsia="en-IN"/>
              </w:rPr>
            </w:pPr>
            <w:r w:rsidRPr="008E2A3E">
              <w:rPr>
                <w:rFonts w:ascii="Times New Roman" w:hAnsi="Times New Roman" w:cs="Times New Roman"/>
                <w:szCs w:val="24"/>
                <w:lang w:eastAsia="en-IN"/>
              </w:rPr>
              <w:t>1965-66</w:t>
            </w:r>
          </w:p>
        </w:tc>
        <w:tc>
          <w:tcPr>
            <w:tcW w:w="1019" w:type="dxa"/>
            <w:tcBorders>
              <w:top w:val="nil"/>
              <w:left w:val="nil"/>
              <w:bottom w:val="single" w:sz="4" w:space="0" w:color="auto"/>
              <w:right w:val="single" w:sz="4" w:space="0" w:color="auto"/>
            </w:tcBorders>
            <w:noWrap/>
            <w:vAlign w:val="center"/>
            <w:hideMark/>
          </w:tcPr>
          <w:p w14:paraId="0F9E181F" w14:textId="77777777" w:rsidR="001B5AC2" w:rsidRPr="008E2A3E" w:rsidRDefault="001B5AC2" w:rsidP="008E2A3E">
            <w:pPr>
              <w:pStyle w:val="NoSpacing"/>
              <w:jc w:val="center"/>
              <w:rPr>
                <w:rFonts w:ascii="Times New Roman" w:hAnsi="Times New Roman" w:cs="Times New Roman"/>
                <w:szCs w:val="24"/>
                <w:lang w:eastAsia="en-IN"/>
              </w:rPr>
            </w:pPr>
            <w:r w:rsidRPr="008E2A3E">
              <w:rPr>
                <w:rFonts w:ascii="Times New Roman" w:hAnsi="Times New Roman" w:cs="Times New Roman"/>
                <w:szCs w:val="24"/>
                <w:lang w:eastAsia="en-IN"/>
              </w:rPr>
              <w:t>14.12</w:t>
            </w:r>
          </w:p>
        </w:tc>
        <w:tc>
          <w:tcPr>
            <w:tcW w:w="915" w:type="dxa"/>
            <w:tcBorders>
              <w:top w:val="nil"/>
              <w:left w:val="nil"/>
              <w:bottom w:val="single" w:sz="4" w:space="0" w:color="auto"/>
              <w:right w:val="single" w:sz="4" w:space="0" w:color="auto"/>
            </w:tcBorders>
            <w:noWrap/>
            <w:vAlign w:val="center"/>
            <w:hideMark/>
          </w:tcPr>
          <w:p w14:paraId="3F100606" w14:textId="77777777" w:rsidR="001B5AC2" w:rsidRPr="008E2A3E" w:rsidRDefault="001B5AC2" w:rsidP="008E2A3E">
            <w:pPr>
              <w:pStyle w:val="NoSpacing"/>
              <w:jc w:val="center"/>
              <w:rPr>
                <w:rFonts w:ascii="Times New Roman" w:hAnsi="Times New Roman" w:cs="Times New Roman"/>
                <w:szCs w:val="24"/>
                <w:lang w:eastAsia="en-IN"/>
              </w:rPr>
            </w:pPr>
            <w:r w:rsidRPr="008E2A3E">
              <w:rPr>
                <w:rFonts w:ascii="Times New Roman" w:hAnsi="Times New Roman" w:cs="Times New Roman"/>
                <w:szCs w:val="24"/>
                <w:lang w:eastAsia="en-IN"/>
              </w:rPr>
              <w:t>24.59</w:t>
            </w:r>
          </w:p>
        </w:tc>
        <w:tc>
          <w:tcPr>
            <w:tcW w:w="1041" w:type="dxa"/>
            <w:tcBorders>
              <w:top w:val="nil"/>
              <w:left w:val="nil"/>
              <w:bottom w:val="single" w:sz="4" w:space="0" w:color="auto"/>
              <w:right w:val="single" w:sz="4" w:space="0" w:color="auto"/>
            </w:tcBorders>
            <w:noWrap/>
            <w:vAlign w:val="center"/>
            <w:hideMark/>
          </w:tcPr>
          <w:p w14:paraId="64C3E6D3" w14:textId="77777777" w:rsidR="001B5AC2" w:rsidRPr="008E2A3E" w:rsidRDefault="001B5AC2" w:rsidP="008E2A3E">
            <w:pPr>
              <w:pStyle w:val="NoSpacing"/>
              <w:jc w:val="center"/>
              <w:rPr>
                <w:rFonts w:ascii="Times New Roman" w:hAnsi="Times New Roman" w:cs="Times New Roman"/>
                <w:szCs w:val="24"/>
                <w:lang w:eastAsia="en-IN"/>
              </w:rPr>
            </w:pPr>
            <w:r w:rsidRPr="008E2A3E">
              <w:rPr>
                <w:rFonts w:ascii="Times New Roman" w:hAnsi="Times New Roman" w:cs="Times New Roman"/>
                <w:szCs w:val="24"/>
                <w:lang w:eastAsia="en-IN"/>
              </w:rPr>
              <w:t>8.33</w:t>
            </w:r>
          </w:p>
        </w:tc>
        <w:tc>
          <w:tcPr>
            <w:tcW w:w="1377" w:type="dxa"/>
            <w:tcBorders>
              <w:top w:val="nil"/>
              <w:left w:val="nil"/>
              <w:bottom w:val="single" w:sz="4" w:space="0" w:color="auto"/>
              <w:right w:val="single" w:sz="4" w:space="0" w:color="auto"/>
            </w:tcBorders>
            <w:noWrap/>
            <w:vAlign w:val="center"/>
            <w:hideMark/>
          </w:tcPr>
          <w:p w14:paraId="4A7B13E7" w14:textId="77777777" w:rsidR="001B5AC2" w:rsidRPr="008E2A3E" w:rsidRDefault="001B5AC2" w:rsidP="008E2A3E">
            <w:pPr>
              <w:pStyle w:val="NoSpacing"/>
              <w:jc w:val="center"/>
              <w:rPr>
                <w:rFonts w:ascii="Times New Roman" w:hAnsi="Times New Roman" w:cs="Times New Roman"/>
                <w:szCs w:val="24"/>
                <w:lang w:eastAsia="en-IN"/>
              </w:rPr>
            </w:pPr>
            <w:r w:rsidRPr="008E2A3E">
              <w:rPr>
                <w:rFonts w:ascii="Times New Roman" w:hAnsi="Times New Roman" w:cs="Times New Roman"/>
                <w:szCs w:val="24"/>
                <w:lang w:eastAsia="en-IN"/>
              </w:rPr>
              <w:t>6.21</w:t>
            </w:r>
          </w:p>
        </w:tc>
        <w:tc>
          <w:tcPr>
            <w:tcW w:w="958" w:type="dxa"/>
            <w:tcBorders>
              <w:top w:val="nil"/>
              <w:left w:val="nil"/>
              <w:bottom w:val="single" w:sz="4" w:space="0" w:color="auto"/>
              <w:right w:val="single" w:sz="4" w:space="0" w:color="auto"/>
            </w:tcBorders>
            <w:noWrap/>
            <w:vAlign w:val="center"/>
            <w:hideMark/>
          </w:tcPr>
          <w:p w14:paraId="6EB76A4B" w14:textId="77777777" w:rsidR="001B5AC2" w:rsidRPr="008E2A3E" w:rsidRDefault="001B5AC2" w:rsidP="008E2A3E">
            <w:pPr>
              <w:pStyle w:val="NoSpacing"/>
              <w:jc w:val="center"/>
              <w:rPr>
                <w:rFonts w:ascii="Times New Roman" w:hAnsi="Times New Roman" w:cs="Times New Roman"/>
                <w:szCs w:val="24"/>
                <w:lang w:eastAsia="en-IN"/>
              </w:rPr>
            </w:pPr>
            <w:r w:rsidRPr="008E2A3E">
              <w:rPr>
                <w:rFonts w:ascii="Times New Roman" w:hAnsi="Times New Roman" w:cs="Times New Roman"/>
                <w:szCs w:val="24"/>
                <w:lang w:eastAsia="en-IN"/>
              </w:rPr>
              <w:t>2.14</w:t>
            </w:r>
          </w:p>
        </w:tc>
        <w:tc>
          <w:tcPr>
            <w:tcW w:w="1293" w:type="dxa"/>
            <w:tcBorders>
              <w:top w:val="nil"/>
              <w:left w:val="nil"/>
              <w:bottom w:val="single" w:sz="4" w:space="0" w:color="auto"/>
              <w:right w:val="single" w:sz="4" w:space="0" w:color="auto"/>
            </w:tcBorders>
            <w:noWrap/>
            <w:vAlign w:val="center"/>
            <w:hideMark/>
          </w:tcPr>
          <w:p w14:paraId="0D75B63C" w14:textId="77777777" w:rsidR="001B5AC2" w:rsidRPr="008E2A3E" w:rsidRDefault="001B5AC2" w:rsidP="008E2A3E">
            <w:pPr>
              <w:pStyle w:val="NoSpacing"/>
              <w:jc w:val="center"/>
              <w:rPr>
                <w:rFonts w:ascii="Times New Roman" w:hAnsi="Times New Roman" w:cs="Times New Roman"/>
                <w:szCs w:val="24"/>
                <w:lang w:eastAsia="en-IN"/>
              </w:rPr>
            </w:pPr>
            <w:r w:rsidRPr="008E2A3E">
              <w:rPr>
                <w:rFonts w:ascii="Times New Roman" w:hAnsi="Times New Roman" w:cs="Times New Roman"/>
                <w:szCs w:val="24"/>
                <w:lang w:eastAsia="en-IN"/>
              </w:rPr>
              <w:t>0.7</w:t>
            </w:r>
          </w:p>
        </w:tc>
        <w:tc>
          <w:tcPr>
            <w:tcW w:w="1628" w:type="dxa"/>
            <w:tcBorders>
              <w:top w:val="nil"/>
              <w:left w:val="nil"/>
              <w:bottom w:val="single" w:sz="4" w:space="0" w:color="auto"/>
              <w:right w:val="single" w:sz="4" w:space="0" w:color="auto"/>
            </w:tcBorders>
            <w:noWrap/>
            <w:vAlign w:val="center"/>
            <w:hideMark/>
          </w:tcPr>
          <w:p w14:paraId="77DCE05A" w14:textId="77777777" w:rsidR="001B5AC2" w:rsidRPr="008E2A3E" w:rsidRDefault="001B5AC2" w:rsidP="008E2A3E">
            <w:pPr>
              <w:pStyle w:val="NoSpacing"/>
              <w:jc w:val="center"/>
              <w:rPr>
                <w:rFonts w:ascii="Times New Roman" w:hAnsi="Times New Roman" w:cs="Times New Roman"/>
                <w:szCs w:val="24"/>
                <w:lang w:eastAsia="en-IN"/>
              </w:rPr>
            </w:pPr>
            <w:r w:rsidRPr="008E2A3E">
              <w:rPr>
                <w:rFonts w:ascii="Times New Roman" w:hAnsi="Times New Roman" w:cs="Times New Roman"/>
                <w:szCs w:val="24"/>
                <w:lang w:eastAsia="en-IN"/>
              </w:rPr>
              <w:t>1.05</w:t>
            </w:r>
          </w:p>
        </w:tc>
        <w:tc>
          <w:tcPr>
            <w:tcW w:w="1720" w:type="dxa"/>
            <w:tcBorders>
              <w:top w:val="nil"/>
              <w:left w:val="nil"/>
              <w:bottom w:val="single" w:sz="4" w:space="0" w:color="auto"/>
              <w:right w:val="single" w:sz="4" w:space="0" w:color="auto"/>
            </w:tcBorders>
            <w:noWrap/>
            <w:vAlign w:val="center"/>
            <w:hideMark/>
          </w:tcPr>
          <w:p w14:paraId="6F97E49D" w14:textId="77777777" w:rsidR="001B5AC2" w:rsidRPr="008E2A3E" w:rsidRDefault="001B5AC2" w:rsidP="008E2A3E">
            <w:pPr>
              <w:pStyle w:val="NoSpacing"/>
              <w:jc w:val="center"/>
              <w:rPr>
                <w:rFonts w:ascii="Times New Roman" w:hAnsi="Times New Roman" w:cs="Times New Roman"/>
                <w:szCs w:val="24"/>
                <w:lang w:eastAsia="en-IN"/>
              </w:rPr>
            </w:pPr>
            <w:r w:rsidRPr="008E2A3E">
              <w:rPr>
                <w:rFonts w:ascii="Times New Roman" w:hAnsi="Times New Roman" w:cs="Times New Roman"/>
                <w:szCs w:val="24"/>
                <w:lang w:eastAsia="en-IN"/>
              </w:rPr>
              <w:t>2.01</w:t>
            </w:r>
          </w:p>
        </w:tc>
        <w:tc>
          <w:tcPr>
            <w:tcW w:w="1720" w:type="dxa"/>
            <w:tcBorders>
              <w:top w:val="nil"/>
              <w:left w:val="nil"/>
              <w:bottom w:val="single" w:sz="4" w:space="0" w:color="auto"/>
              <w:right w:val="single" w:sz="4" w:space="0" w:color="auto"/>
            </w:tcBorders>
            <w:noWrap/>
            <w:vAlign w:val="center"/>
            <w:hideMark/>
          </w:tcPr>
          <w:p w14:paraId="312A480F" w14:textId="77777777" w:rsidR="001B5AC2" w:rsidRPr="008E2A3E" w:rsidRDefault="001B5AC2" w:rsidP="008E2A3E">
            <w:pPr>
              <w:pStyle w:val="NoSpacing"/>
              <w:jc w:val="center"/>
              <w:rPr>
                <w:rFonts w:ascii="Times New Roman" w:hAnsi="Times New Roman" w:cs="Times New Roman"/>
                <w:szCs w:val="24"/>
                <w:lang w:eastAsia="en-IN"/>
              </w:rPr>
            </w:pPr>
            <w:r w:rsidRPr="008E2A3E">
              <w:rPr>
                <w:rFonts w:ascii="Times New Roman" w:hAnsi="Times New Roman" w:cs="Times New Roman"/>
                <w:szCs w:val="24"/>
                <w:lang w:eastAsia="en-IN"/>
              </w:rPr>
              <w:t>5.55</w:t>
            </w:r>
          </w:p>
        </w:tc>
        <w:tc>
          <w:tcPr>
            <w:tcW w:w="1698" w:type="dxa"/>
            <w:tcBorders>
              <w:top w:val="nil"/>
              <w:left w:val="nil"/>
              <w:bottom w:val="single" w:sz="4" w:space="0" w:color="auto"/>
              <w:right w:val="single" w:sz="4" w:space="0" w:color="auto"/>
            </w:tcBorders>
            <w:noWrap/>
            <w:vAlign w:val="center"/>
            <w:hideMark/>
          </w:tcPr>
          <w:p w14:paraId="3E1B2604" w14:textId="77777777" w:rsidR="001B5AC2" w:rsidRPr="008E2A3E" w:rsidRDefault="001B5AC2" w:rsidP="008E2A3E">
            <w:pPr>
              <w:pStyle w:val="NoSpacing"/>
              <w:jc w:val="center"/>
              <w:rPr>
                <w:rFonts w:ascii="Times New Roman" w:hAnsi="Times New Roman" w:cs="Times New Roman"/>
                <w:szCs w:val="24"/>
                <w:lang w:eastAsia="en-IN"/>
              </w:rPr>
            </w:pPr>
            <w:r w:rsidRPr="008E2A3E">
              <w:rPr>
                <w:rFonts w:ascii="Times New Roman" w:hAnsi="Times New Roman" w:cs="Times New Roman"/>
                <w:szCs w:val="24"/>
                <w:lang w:eastAsia="en-IN"/>
              </w:rPr>
              <w:t>151.79</w:t>
            </w:r>
          </w:p>
        </w:tc>
      </w:tr>
      <w:tr w:rsidR="001B5AC2" w:rsidRPr="008E2A3E" w14:paraId="3B90C7AA" w14:textId="77777777" w:rsidTr="00F42E63">
        <w:trPr>
          <w:trHeight w:val="325"/>
        </w:trPr>
        <w:tc>
          <w:tcPr>
            <w:tcW w:w="1636" w:type="dxa"/>
            <w:tcBorders>
              <w:top w:val="nil"/>
              <w:left w:val="single" w:sz="4" w:space="0" w:color="auto"/>
              <w:bottom w:val="single" w:sz="4" w:space="0" w:color="auto"/>
              <w:right w:val="single" w:sz="4" w:space="0" w:color="auto"/>
            </w:tcBorders>
            <w:noWrap/>
            <w:vAlign w:val="center"/>
            <w:hideMark/>
          </w:tcPr>
          <w:p w14:paraId="1485E1C7" w14:textId="77777777" w:rsidR="001B5AC2" w:rsidRPr="008E2A3E" w:rsidRDefault="001B5AC2" w:rsidP="001B5AC2">
            <w:pPr>
              <w:pStyle w:val="NoSpacing"/>
              <w:rPr>
                <w:rFonts w:ascii="Times New Roman" w:hAnsi="Times New Roman" w:cs="Times New Roman"/>
                <w:szCs w:val="24"/>
                <w:lang w:eastAsia="en-IN"/>
              </w:rPr>
            </w:pPr>
            <w:r w:rsidRPr="008E2A3E">
              <w:rPr>
                <w:rFonts w:ascii="Times New Roman" w:hAnsi="Times New Roman" w:cs="Times New Roman"/>
                <w:szCs w:val="24"/>
                <w:lang w:eastAsia="en-IN"/>
              </w:rPr>
              <w:t>1966-67</w:t>
            </w:r>
          </w:p>
        </w:tc>
        <w:tc>
          <w:tcPr>
            <w:tcW w:w="1019" w:type="dxa"/>
            <w:tcBorders>
              <w:top w:val="nil"/>
              <w:left w:val="nil"/>
              <w:bottom w:val="single" w:sz="4" w:space="0" w:color="auto"/>
              <w:right w:val="single" w:sz="4" w:space="0" w:color="auto"/>
            </w:tcBorders>
            <w:noWrap/>
            <w:vAlign w:val="center"/>
            <w:hideMark/>
          </w:tcPr>
          <w:p w14:paraId="6F33483C" w14:textId="77777777" w:rsidR="001B5AC2" w:rsidRPr="008E2A3E" w:rsidRDefault="001B5AC2" w:rsidP="008E2A3E">
            <w:pPr>
              <w:pStyle w:val="NoSpacing"/>
              <w:jc w:val="center"/>
              <w:rPr>
                <w:rFonts w:ascii="Times New Roman" w:hAnsi="Times New Roman" w:cs="Times New Roman"/>
                <w:szCs w:val="24"/>
                <w:lang w:eastAsia="en-IN"/>
              </w:rPr>
            </w:pPr>
            <w:r w:rsidRPr="008E2A3E">
              <w:rPr>
                <w:rFonts w:ascii="Times New Roman" w:hAnsi="Times New Roman" w:cs="Times New Roman"/>
                <w:szCs w:val="24"/>
                <w:lang w:eastAsia="en-IN"/>
              </w:rPr>
              <w:t>11.07</w:t>
            </w:r>
          </w:p>
        </w:tc>
        <w:tc>
          <w:tcPr>
            <w:tcW w:w="915" w:type="dxa"/>
            <w:tcBorders>
              <w:top w:val="nil"/>
              <w:left w:val="nil"/>
              <w:bottom w:val="single" w:sz="4" w:space="0" w:color="auto"/>
              <w:right w:val="single" w:sz="4" w:space="0" w:color="auto"/>
            </w:tcBorders>
            <w:noWrap/>
            <w:vAlign w:val="center"/>
            <w:hideMark/>
          </w:tcPr>
          <w:p w14:paraId="1D6727CD" w14:textId="77777777" w:rsidR="001B5AC2" w:rsidRPr="008E2A3E" w:rsidRDefault="001B5AC2" w:rsidP="008E2A3E">
            <w:pPr>
              <w:pStyle w:val="NoSpacing"/>
              <w:jc w:val="center"/>
              <w:rPr>
                <w:rFonts w:ascii="Times New Roman" w:hAnsi="Times New Roman" w:cs="Times New Roman"/>
                <w:szCs w:val="24"/>
                <w:lang w:eastAsia="en-IN"/>
              </w:rPr>
            </w:pPr>
            <w:r w:rsidRPr="008E2A3E">
              <w:rPr>
                <w:rFonts w:ascii="Times New Roman" w:hAnsi="Times New Roman" w:cs="Times New Roman"/>
                <w:szCs w:val="24"/>
                <w:lang w:eastAsia="en-IN"/>
              </w:rPr>
              <w:t>30.09</w:t>
            </w:r>
          </w:p>
        </w:tc>
        <w:tc>
          <w:tcPr>
            <w:tcW w:w="1041" w:type="dxa"/>
            <w:tcBorders>
              <w:top w:val="nil"/>
              <w:left w:val="nil"/>
              <w:bottom w:val="single" w:sz="4" w:space="0" w:color="auto"/>
              <w:right w:val="single" w:sz="4" w:space="0" w:color="auto"/>
            </w:tcBorders>
            <w:noWrap/>
            <w:vAlign w:val="center"/>
            <w:hideMark/>
          </w:tcPr>
          <w:p w14:paraId="196E9CA5" w14:textId="77777777" w:rsidR="001B5AC2" w:rsidRPr="008E2A3E" w:rsidRDefault="001B5AC2" w:rsidP="008E2A3E">
            <w:pPr>
              <w:pStyle w:val="NoSpacing"/>
              <w:jc w:val="center"/>
              <w:rPr>
                <w:rFonts w:ascii="Times New Roman" w:hAnsi="Times New Roman" w:cs="Times New Roman"/>
                <w:szCs w:val="24"/>
                <w:lang w:eastAsia="en-IN"/>
              </w:rPr>
            </w:pPr>
            <w:r w:rsidRPr="008E2A3E">
              <w:rPr>
                <w:rFonts w:ascii="Times New Roman" w:hAnsi="Times New Roman" w:cs="Times New Roman"/>
                <w:szCs w:val="24"/>
                <w:lang w:eastAsia="en-IN"/>
              </w:rPr>
              <w:t>8.31</w:t>
            </w:r>
          </w:p>
        </w:tc>
        <w:tc>
          <w:tcPr>
            <w:tcW w:w="1377" w:type="dxa"/>
            <w:tcBorders>
              <w:top w:val="nil"/>
              <w:left w:val="nil"/>
              <w:bottom w:val="single" w:sz="4" w:space="0" w:color="auto"/>
              <w:right w:val="single" w:sz="4" w:space="0" w:color="auto"/>
            </w:tcBorders>
            <w:noWrap/>
            <w:vAlign w:val="center"/>
            <w:hideMark/>
          </w:tcPr>
          <w:p w14:paraId="437C301F" w14:textId="77777777" w:rsidR="001B5AC2" w:rsidRPr="008E2A3E" w:rsidRDefault="001B5AC2" w:rsidP="008E2A3E">
            <w:pPr>
              <w:pStyle w:val="NoSpacing"/>
              <w:jc w:val="center"/>
              <w:rPr>
                <w:rFonts w:ascii="Times New Roman" w:hAnsi="Times New Roman" w:cs="Times New Roman"/>
                <w:szCs w:val="24"/>
                <w:lang w:eastAsia="en-IN"/>
              </w:rPr>
            </w:pPr>
            <w:r w:rsidRPr="008E2A3E">
              <w:rPr>
                <w:rFonts w:ascii="Times New Roman" w:hAnsi="Times New Roman" w:cs="Times New Roman"/>
                <w:szCs w:val="24"/>
                <w:lang w:eastAsia="en-IN"/>
              </w:rPr>
              <w:t>6.48</w:t>
            </w:r>
          </w:p>
        </w:tc>
        <w:tc>
          <w:tcPr>
            <w:tcW w:w="958" w:type="dxa"/>
            <w:tcBorders>
              <w:top w:val="nil"/>
              <w:left w:val="nil"/>
              <w:bottom w:val="single" w:sz="4" w:space="0" w:color="auto"/>
              <w:right w:val="single" w:sz="4" w:space="0" w:color="auto"/>
            </w:tcBorders>
            <w:noWrap/>
            <w:vAlign w:val="center"/>
            <w:hideMark/>
          </w:tcPr>
          <w:p w14:paraId="0E4EE85C" w14:textId="77777777" w:rsidR="001B5AC2" w:rsidRPr="008E2A3E" w:rsidRDefault="001B5AC2" w:rsidP="008E2A3E">
            <w:pPr>
              <w:pStyle w:val="NoSpacing"/>
              <w:jc w:val="center"/>
              <w:rPr>
                <w:rFonts w:ascii="Times New Roman" w:hAnsi="Times New Roman" w:cs="Times New Roman"/>
                <w:szCs w:val="24"/>
                <w:lang w:eastAsia="en-IN"/>
              </w:rPr>
            </w:pPr>
            <w:r w:rsidRPr="008E2A3E">
              <w:rPr>
                <w:rFonts w:ascii="Times New Roman" w:hAnsi="Times New Roman" w:cs="Times New Roman"/>
                <w:szCs w:val="24"/>
                <w:lang w:eastAsia="en-IN"/>
              </w:rPr>
              <w:t>2.79</w:t>
            </w:r>
          </w:p>
        </w:tc>
        <w:tc>
          <w:tcPr>
            <w:tcW w:w="1293" w:type="dxa"/>
            <w:tcBorders>
              <w:top w:val="nil"/>
              <w:left w:val="nil"/>
              <w:bottom w:val="single" w:sz="4" w:space="0" w:color="auto"/>
              <w:right w:val="single" w:sz="4" w:space="0" w:color="auto"/>
            </w:tcBorders>
            <w:noWrap/>
            <w:vAlign w:val="center"/>
            <w:hideMark/>
          </w:tcPr>
          <w:p w14:paraId="0434D5C3" w14:textId="77777777" w:rsidR="001B5AC2" w:rsidRPr="008E2A3E" w:rsidRDefault="001B5AC2" w:rsidP="008E2A3E">
            <w:pPr>
              <w:pStyle w:val="NoSpacing"/>
              <w:jc w:val="center"/>
              <w:rPr>
                <w:rFonts w:ascii="Times New Roman" w:hAnsi="Times New Roman" w:cs="Times New Roman"/>
                <w:szCs w:val="24"/>
                <w:lang w:eastAsia="en-IN"/>
              </w:rPr>
            </w:pPr>
            <w:r w:rsidRPr="008E2A3E">
              <w:rPr>
                <w:rFonts w:ascii="Times New Roman" w:hAnsi="Times New Roman" w:cs="Times New Roman"/>
                <w:szCs w:val="24"/>
                <w:lang w:eastAsia="en-IN"/>
              </w:rPr>
              <w:t>0.81</w:t>
            </w:r>
          </w:p>
        </w:tc>
        <w:tc>
          <w:tcPr>
            <w:tcW w:w="1628" w:type="dxa"/>
            <w:tcBorders>
              <w:top w:val="nil"/>
              <w:left w:val="nil"/>
              <w:bottom w:val="single" w:sz="4" w:space="0" w:color="auto"/>
              <w:right w:val="single" w:sz="4" w:space="0" w:color="auto"/>
            </w:tcBorders>
            <w:noWrap/>
            <w:vAlign w:val="center"/>
            <w:hideMark/>
          </w:tcPr>
          <w:p w14:paraId="79F94020" w14:textId="77777777" w:rsidR="001B5AC2" w:rsidRPr="008E2A3E" w:rsidRDefault="001B5AC2" w:rsidP="008E2A3E">
            <w:pPr>
              <w:pStyle w:val="NoSpacing"/>
              <w:jc w:val="center"/>
              <w:rPr>
                <w:rFonts w:ascii="Times New Roman" w:hAnsi="Times New Roman" w:cs="Times New Roman"/>
                <w:szCs w:val="24"/>
                <w:lang w:eastAsia="en-IN"/>
              </w:rPr>
            </w:pPr>
            <w:r w:rsidRPr="008E2A3E">
              <w:rPr>
                <w:rFonts w:ascii="Times New Roman" w:hAnsi="Times New Roman" w:cs="Times New Roman"/>
                <w:szCs w:val="24"/>
                <w:lang w:eastAsia="en-IN"/>
              </w:rPr>
              <w:t>1.26</w:t>
            </w:r>
          </w:p>
        </w:tc>
        <w:tc>
          <w:tcPr>
            <w:tcW w:w="1720" w:type="dxa"/>
            <w:tcBorders>
              <w:top w:val="nil"/>
              <w:left w:val="nil"/>
              <w:bottom w:val="single" w:sz="4" w:space="0" w:color="auto"/>
              <w:right w:val="single" w:sz="4" w:space="0" w:color="auto"/>
            </w:tcBorders>
            <w:noWrap/>
            <w:vAlign w:val="center"/>
            <w:hideMark/>
          </w:tcPr>
          <w:p w14:paraId="6A1E04DB" w14:textId="77777777" w:rsidR="001B5AC2" w:rsidRPr="008E2A3E" w:rsidRDefault="001B5AC2" w:rsidP="008E2A3E">
            <w:pPr>
              <w:pStyle w:val="NoSpacing"/>
              <w:jc w:val="center"/>
              <w:rPr>
                <w:rFonts w:ascii="Times New Roman" w:hAnsi="Times New Roman" w:cs="Times New Roman"/>
                <w:szCs w:val="24"/>
                <w:lang w:eastAsia="en-IN"/>
              </w:rPr>
            </w:pPr>
            <w:r w:rsidRPr="008E2A3E">
              <w:rPr>
                <w:rFonts w:ascii="Times New Roman" w:hAnsi="Times New Roman" w:cs="Times New Roman"/>
                <w:szCs w:val="24"/>
                <w:lang w:eastAsia="en-IN"/>
              </w:rPr>
              <w:t>1.82</w:t>
            </w:r>
          </w:p>
        </w:tc>
        <w:tc>
          <w:tcPr>
            <w:tcW w:w="1720" w:type="dxa"/>
            <w:tcBorders>
              <w:top w:val="nil"/>
              <w:left w:val="nil"/>
              <w:bottom w:val="single" w:sz="4" w:space="0" w:color="auto"/>
              <w:right w:val="single" w:sz="4" w:space="0" w:color="auto"/>
            </w:tcBorders>
            <w:noWrap/>
            <w:vAlign w:val="center"/>
            <w:hideMark/>
          </w:tcPr>
          <w:p w14:paraId="1CAD41DE" w14:textId="77777777" w:rsidR="001B5AC2" w:rsidRPr="008E2A3E" w:rsidRDefault="001B5AC2" w:rsidP="008E2A3E">
            <w:pPr>
              <w:pStyle w:val="NoSpacing"/>
              <w:jc w:val="center"/>
              <w:rPr>
                <w:rFonts w:ascii="Times New Roman" w:hAnsi="Times New Roman" w:cs="Times New Roman"/>
                <w:szCs w:val="24"/>
                <w:lang w:eastAsia="en-IN"/>
              </w:rPr>
            </w:pPr>
            <w:r w:rsidRPr="008E2A3E">
              <w:rPr>
                <w:rFonts w:ascii="Times New Roman" w:hAnsi="Times New Roman" w:cs="Times New Roman"/>
                <w:szCs w:val="24"/>
                <w:lang w:eastAsia="en-IN"/>
              </w:rPr>
              <w:t>5.33</w:t>
            </w:r>
          </w:p>
        </w:tc>
        <w:tc>
          <w:tcPr>
            <w:tcW w:w="1698" w:type="dxa"/>
            <w:tcBorders>
              <w:top w:val="nil"/>
              <w:left w:val="nil"/>
              <w:bottom w:val="single" w:sz="4" w:space="0" w:color="auto"/>
              <w:right w:val="single" w:sz="4" w:space="0" w:color="auto"/>
            </w:tcBorders>
            <w:noWrap/>
            <w:vAlign w:val="center"/>
            <w:hideMark/>
          </w:tcPr>
          <w:p w14:paraId="3DC4A23D" w14:textId="77777777" w:rsidR="001B5AC2" w:rsidRPr="008E2A3E" w:rsidRDefault="001B5AC2" w:rsidP="008E2A3E">
            <w:pPr>
              <w:pStyle w:val="NoSpacing"/>
              <w:jc w:val="center"/>
              <w:rPr>
                <w:rFonts w:ascii="Times New Roman" w:hAnsi="Times New Roman" w:cs="Times New Roman"/>
                <w:szCs w:val="24"/>
                <w:lang w:eastAsia="en-IN"/>
              </w:rPr>
            </w:pPr>
            <w:r w:rsidRPr="008E2A3E">
              <w:rPr>
                <w:rFonts w:ascii="Times New Roman" w:hAnsi="Times New Roman" w:cs="Times New Roman"/>
                <w:szCs w:val="24"/>
                <w:lang w:eastAsia="en-IN"/>
              </w:rPr>
              <w:t>172.26</w:t>
            </w:r>
          </w:p>
        </w:tc>
      </w:tr>
      <w:tr w:rsidR="001B5AC2" w:rsidRPr="008E2A3E" w14:paraId="7C2BB13D" w14:textId="77777777" w:rsidTr="00F42E63">
        <w:trPr>
          <w:trHeight w:val="325"/>
        </w:trPr>
        <w:tc>
          <w:tcPr>
            <w:tcW w:w="1636" w:type="dxa"/>
            <w:tcBorders>
              <w:top w:val="nil"/>
              <w:left w:val="single" w:sz="4" w:space="0" w:color="auto"/>
              <w:bottom w:val="single" w:sz="4" w:space="0" w:color="auto"/>
              <w:right w:val="single" w:sz="4" w:space="0" w:color="auto"/>
            </w:tcBorders>
            <w:noWrap/>
            <w:vAlign w:val="center"/>
            <w:hideMark/>
          </w:tcPr>
          <w:p w14:paraId="3C48A5DE" w14:textId="77777777" w:rsidR="001B5AC2" w:rsidRPr="008E2A3E" w:rsidRDefault="001B5AC2" w:rsidP="001B5AC2">
            <w:pPr>
              <w:pStyle w:val="NoSpacing"/>
              <w:rPr>
                <w:rFonts w:ascii="Times New Roman" w:hAnsi="Times New Roman" w:cs="Times New Roman"/>
                <w:szCs w:val="24"/>
                <w:lang w:eastAsia="en-IN"/>
              </w:rPr>
            </w:pPr>
            <w:r w:rsidRPr="008E2A3E">
              <w:rPr>
                <w:rFonts w:ascii="Times New Roman" w:hAnsi="Times New Roman" w:cs="Times New Roman"/>
                <w:szCs w:val="24"/>
                <w:lang w:eastAsia="en-IN"/>
              </w:rPr>
              <w:t>1967-68</w:t>
            </w:r>
          </w:p>
        </w:tc>
        <w:tc>
          <w:tcPr>
            <w:tcW w:w="1019" w:type="dxa"/>
            <w:tcBorders>
              <w:top w:val="nil"/>
              <w:left w:val="nil"/>
              <w:bottom w:val="single" w:sz="4" w:space="0" w:color="auto"/>
              <w:right w:val="single" w:sz="4" w:space="0" w:color="auto"/>
            </w:tcBorders>
            <w:noWrap/>
            <w:vAlign w:val="center"/>
            <w:hideMark/>
          </w:tcPr>
          <w:p w14:paraId="4A0FF8B5" w14:textId="77777777" w:rsidR="001B5AC2" w:rsidRPr="008E2A3E" w:rsidRDefault="001B5AC2" w:rsidP="008E2A3E">
            <w:pPr>
              <w:pStyle w:val="NoSpacing"/>
              <w:jc w:val="center"/>
              <w:rPr>
                <w:rFonts w:ascii="Times New Roman" w:hAnsi="Times New Roman" w:cs="Times New Roman"/>
                <w:szCs w:val="24"/>
                <w:lang w:eastAsia="en-IN"/>
              </w:rPr>
            </w:pPr>
            <w:r w:rsidRPr="008E2A3E">
              <w:rPr>
                <w:rFonts w:ascii="Times New Roman" w:hAnsi="Times New Roman" w:cs="Times New Roman"/>
                <w:szCs w:val="24"/>
                <w:lang w:eastAsia="en-IN"/>
              </w:rPr>
              <w:t>7.9</w:t>
            </w:r>
          </w:p>
        </w:tc>
        <w:tc>
          <w:tcPr>
            <w:tcW w:w="915" w:type="dxa"/>
            <w:tcBorders>
              <w:top w:val="nil"/>
              <w:left w:val="nil"/>
              <w:bottom w:val="single" w:sz="4" w:space="0" w:color="auto"/>
              <w:right w:val="single" w:sz="4" w:space="0" w:color="auto"/>
            </w:tcBorders>
            <w:noWrap/>
            <w:vAlign w:val="center"/>
            <w:hideMark/>
          </w:tcPr>
          <w:p w14:paraId="61C52765" w14:textId="77777777" w:rsidR="001B5AC2" w:rsidRPr="008E2A3E" w:rsidRDefault="001B5AC2" w:rsidP="008E2A3E">
            <w:pPr>
              <w:pStyle w:val="NoSpacing"/>
              <w:jc w:val="center"/>
              <w:rPr>
                <w:rFonts w:ascii="Times New Roman" w:hAnsi="Times New Roman" w:cs="Times New Roman"/>
                <w:szCs w:val="24"/>
                <w:lang w:eastAsia="en-IN"/>
              </w:rPr>
            </w:pPr>
            <w:r w:rsidRPr="008E2A3E">
              <w:rPr>
                <w:rFonts w:ascii="Times New Roman" w:hAnsi="Times New Roman" w:cs="Times New Roman"/>
                <w:szCs w:val="24"/>
                <w:lang w:eastAsia="en-IN"/>
              </w:rPr>
              <w:t>34.77</w:t>
            </w:r>
          </w:p>
        </w:tc>
        <w:tc>
          <w:tcPr>
            <w:tcW w:w="1041" w:type="dxa"/>
            <w:tcBorders>
              <w:top w:val="nil"/>
              <w:left w:val="nil"/>
              <w:bottom w:val="single" w:sz="4" w:space="0" w:color="auto"/>
              <w:right w:val="single" w:sz="4" w:space="0" w:color="auto"/>
            </w:tcBorders>
            <w:noWrap/>
            <w:vAlign w:val="center"/>
            <w:hideMark/>
          </w:tcPr>
          <w:p w14:paraId="63854041" w14:textId="77777777" w:rsidR="001B5AC2" w:rsidRPr="008E2A3E" w:rsidRDefault="001B5AC2" w:rsidP="008E2A3E">
            <w:pPr>
              <w:pStyle w:val="NoSpacing"/>
              <w:jc w:val="center"/>
              <w:rPr>
                <w:rFonts w:ascii="Times New Roman" w:hAnsi="Times New Roman" w:cs="Times New Roman"/>
                <w:szCs w:val="24"/>
                <w:lang w:eastAsia="en-IN"/>
              </w:rPr>
            </w:pPr>
            <w:r w:rsidRPr="008E2A3E">
              <w:rPr>
                <w:rFonts w:ascii="Times New Roman" w:hAnsi="Times New Roman" w:cs="Times New Roman"/>
                <w:szCs w:val="24"/>
                <w:lang w:eastAsia="en-IN"/>
              </w:rPr>
              <w:t>9.45</w:t>
            </w:r>
          </w:p>
        </w:tc>
        <w:tc>
          <w:tcPr>
            <w:tcW w:w="1377" w:type="dxa"/>
            <w:tcBorders>
              <w:top w:val="nil"/>
              <w:left w:val="nil"/>
              <w:bottom w:val="single" w:sz="4" w:space="0" w:color="auto"/>
              <w:right w:val="single" w:sz="4" w:space="0" w:color="auto"/>
            </w:tcBorders>
            <w:noWrap/>
            <w:vAlign w:val="center"/>
            <w:hideMark/>
          </w:tcPr>
          <w:p w14:paraId="09FEF367" w14:textId="77777777" w:rsidR="001B5AC2" w:rsidRPr="008E2A3E" w:rsidRDefault="001B5AC2" w:rsidP="008E2A3E">
            <w:pPr>
              <w:pStyle w:val="NoSpacing"/>
              <w:jc w:val="center"/>
              <w:rPr>
                <w:rFonts w:ascii="Times New Roman" w:hAnsi="Times New Roman" w:cs="Times New Roman"/>
                <w:szCs w:val="24"/>
                <w:lang w:eastAsia="en-IN"/>
              </w:rPr>
            </w:pPr>
            <w:r w:rsidRPr="008E2A3E">
              <w:rPr>
                <w:rFonts w:ascii="Times New Roman" w:hAnsi="Times New Roman" w:cs="Times New Roman"/>
                <w:szCs w:val="24"/>
                <w:lang w:eastAsia="en-IN"/>
              </w:rPr>
              <w:t>8.15</w:t>
            </w:r>
          </w:p>
        </w:tc>
        <w:tc>
          <w:tcPr>
            <w:tcW w:w="958" w:type="dxa"/>
            <w:tcBorders>
              <w:top w:val="nil"/>
              <w:left w:val="nil"/>
              <w:bottom w:val="single" w:sz="4" w:space="0" w:color="auto"/>
              <w:right w:val="single" w:sz="4" w:space="0" w:color="auto"/>
            </w:tcBorders>
            <w:noWrap/>
            <w:vAlign w:val="center"/>
            <w:hideMark/>
          </w:tcPr>
          <w:p w14:paraId="14CC7E94" w14:textId="77777777" w:rsidR="001B5AC2" w:rsidRPr="008E2A3E" w:rsidRDefault="001B5AC2" w:rsidP="008E2A3E">
            <w:pPr>
              <w:pStyle w:val="NoSpacing"/>
              <w:jc w:val="center"/>
              <w:rPr>
                <w:rFonts w:ascii="Times New Roman" w:hAnsi="Times New Roman" w:cs="Times New Roman"/>
                <w:szCs w:val="24"/>
                <w:lang w:eastAsia="en-IN"/>
              </w:rPr>
            </w:pPr>
            <w:r w:rsidRPr="008E2A3E">
              <w:rPr>
                <w:rFonts w:ascii="Times New Roman" w:hAnsi="Times New Roman" w:cs="Times New Roman"/>
                <w:szCs w:val="24"/>
                <w:lang w:eastAsia="en-IN"/>
              </w:rPr>
              <w:t>3.21</w:t>
            </w:r>
          </w:p>
        </w:tc>
        <w:tc>
          <w:tcPr>
            <w:tcW w:w="1293" w:type="dxa"/>
            <w:tcBorders>
              <w:top w:val="nil"/>
              <w:left w:val="nil"/>
              <w:bottom w:val="single" w:sz="4" w:space="0" w:color="auto"/>
              <w:right w:val="single" w:sz="4" w:space="0" w:color="auto"/>
            </w:tcBorders>
            <w:noWrap/>
            <w:vAlign w:val="center"/>
            <w:hideMark/>
          </w:tcPr>
          <w:p w14:paraId="0420A42C" w14:textId="77777777" w:rsidR="001B5AC2" w:rsidRPr="008E2A3E" w:rsidRDefault="001B5AC2" w:rsidP="008E2A3E">
            <w:pPr>
              <w:pStyle w:val="NoSpacing"/>
              <w:jc w:val="center"/>
              <w:rPr>
                <w:rFonts w:ascii="Times New Roman" w:hAnsi="Times New Roman" w:cs="Times New Roman"/>
                <w:szCs w:val="24"/>
                <w:lang w:eastAsia="en-IN"/>
              </w:rPr>
            </w:pPr>
            <w:r w:rsidRPr="008E2A3E">
              <w:rPr>
                <w:rFonts w:ascii="Times New Roman" w:hAnsi="Times New Roman" w:cs="Times New Roman"/>
                <w:szCs w:val="24"/>
                <w:lang w:eastAsia="en-IN"/>
              </w:rPr>
              <w:t>0.76</w:t>
            </w:r>
          </w:p>
        </w:tc>
        <w:tc>
          <w:tcPr>
            <w:tcW w:w="1628" w:type="dxa"/>
            <w:tcBorders>
              <w:top w:val="nil"/>
              <w:left w:val="nil"/>
              <w:bottom w:val="single" w:sz="4" w:space="0" w:color="auto"/>
              <w:right w:val="single" w:sz="4" w:space="0" w:color="auto"/>
            </w:tcBorders>
            <w:noWrap/>
            <w:vAlign w:val="center"/>
            <w:hideMark/>
          </w:tcPr>
          <w:p w14:paraId="7346EC7F" w14:textId="77777777" w:rsidR="001B5AC2" w:rsidRPr="008E2A3E" w:rsidRDefault="001B5AC2" w:rsidP="008E2A3E">
            <w:pPr>
              <w:pStyle w:val="NoSpacing"/>
              <w:jc w:val="center"/>
              <w:rPr>
                <w:rFonts w:ascii="Times New Roman" w:hAnsi="Times New Roman" w:cs="Times New Roman"/>
                <w:szCs w:val="24"/>
                <w:lang w:eastAsia="en-IN"/>
              </w:rPr>
            </w:pPr>
            <w:r w:rsidRPr="008E2A3E">
              <w:rPr>
                <w:rFonts w:ascii="Times New Roman" w:hAnsi="Times New Roman" w:cs="Times New Roman"/>
                <w:szCs w:val="24"/>
                <w:lang w:eastAsia="en-IN"/>
              </w:rPr>
              <w:t>1.47</w:t>
            </w:r>
          </w:p>
        </w:tc>
        <w:tc>
          <w:tcPr>
            <w:tcW w:w="1720" w:type="dxa"/>
            <w:tcBorders>
              <w:top w:val="nil"/>
              <w:left w:val="nil"/>
              <w:bottom w:val="single" w:sz="4" w:space="0" w:color="auto"/>
              <w:right w:val="single" w:sz="4" w:space="0" w:color="auto"/>
            </w:tcBorders>
            <w:noWrap/>
            <w:vAlign w:val="center"/>
            <w:hideMark/>
          </w:tcPr>
          <w:p w14:paraId="02EBAD0A" w14:textId="77777777" w:rsidR="001B5AC2" w:rsidRPr="008E2A3E" w:rsidRDefault="001B5AC2" w:rsidP="008E2A3E">
            <w:pPr>
              <w:pStyle w:val="NoSpacing"/>
              <w:jc w:val="center"/>
              <w:rPr>
                <w:rFonts w:ascii="Times New Roman" w:hAnsi="Times New Roman" w:cs="Times New Roman"/>
                <w:szCs w:val="24"/>
                <w:lang w:eastAsia="en-IN"/>
              </w:rPr>
            </w:pPr>
            <w:r w:rsidRPr="008E2A3E">
              <w:rPr>
                <w:rFonts w:ascii="Times New Roman" w:hAnsi="Times New Roman" w:cs="Times New Roman"/>
                <w:szCs w:val="24"/>
                <w:lang w:eastAsia="en-IN"/>
              </w:rPr>
              <w:t>2.31</w:t>
            </w:r>
          </w:p>
        </w:tc>
        <w:tc>
          <w:tcPr>
            <w:tcW w:w="1720" w:type="dxa"/>
            <w:tcBorders>
              <w:top w:val="nil"/>
              <w:left w:val="nil"/>
              <w:bottom w:val="single" w:sz="4" w:space="0" w:color="auto"/>
              <w:right w:val="single" w:sz="4" w:space="0" w:color="auto"/>
            </w:tcBorders>
            <w:noWrap/>
            <w:vAlign w:val="center"/>
            <w:hideMark/>
          </w:tcPr>
          <w:p w14:paraId="265A1780" w14:textId="11832DC6" w:rsidR="001B5AC2" w:rsidRPr="008E2A3E" w:rsidRDefault="001B5AC2" w:rsidP="008E2A3E">
            <w:pPr>
              <w:pStyle w:val="NoSpacing"/>
              <w:jc w:val="center"/>
              <w:rPr>
                <w:rFonts w:ascii="Times New Roman" w:hAnsi="Times New Roman" w:cs="Times New Roman"/>
                <w:szCs w:val="24"/>
                <w:lang w:eastAsia="en-IN"/>
              </w:rPr>
            </w:pPr>
            <w:r w:rsidRPr="008E2A3E">
              <w:rPr>
                <w:rFonts w:ascii="Times New Roman" w:hAnsi="Times New Roman" w:cs="Times New Roman"/>
                <w:szCs w:val="24"/>
                <w:lang w:eastAsia="en-IN"/>
              </w:rPr>
              <w:t>6.2</w:t>
            </w:r>
            <w:r w:rsidR="00BA3FB7">
              <w:rPr>
                <w:rFonts w:ascii="Times New Roman" w:hAnsi="Times New Roman" w:cs="Times New Roman"/>
                <w:szCs w:val="24"/>
                <w:lang w:eastAsia="en-IN"/>
              </w:rPr>
              <w:t>0</w:t>
            </w:r>
          </w:p>
        </w:tc>
        <w:tc>
          <w:tcPr>
            <w:tcW w:w="1698" w:type="dxa"/>
            <w:tcBorders>
              <w:top w:val="nil"/>
              <w:left w:val="nil"/>
              <w:bottom w:val="single" w:sz="4" w:space="0" w:color="auto"/>
              <w:right w:val="single" w:sz="4" w:space="0" w:color="auto"/>
            </w:tcBorders>
            <w:noWrap/>
            <w:vAlign w:val="center"/>
            <w:hideMark/>
          </w:tcPr>
          <w:p w14:paraId="69444C30" w14:textId="77777777" w:rsidR="001B5AC2" w:rsidRPr="008E2A3E" w:rsidRDefault="001B5AC2" w:rsidP="008E2A3E">
            <w:pPr>
              <w:pStyle w:val="NoSpacing"/>
              <w:jc w:val="center"/>
              <w:rPr>
                <w:rFonts w:ascii="Times New Roman" w:hAnsi="Times New Roman" w:cs="Times New Roman"/>
                <w:szCs w:val="24"/>
                <w:lang w:eastAsia="en-IN"/>
              </w:rPr>
            </w:pPr>
            <w:r w:rsidRPr="008E2A3E">
              <w:rPr>
                <w:rFonts w:ascii="Times New Roman" w:hAnsi="Times New Roman" w:cs="Times New Roman"/>
                <w:szCs w:val="24"/>
                <w:lang w:eastAsia="en-IN"/>
              </w:rPr>
              <w:t>184.27</w:t>
            </w:r>
          </w:p>
        </w:tc>
      </w:tr>
      <w:tr w:rsidR="001B5AC2" w:rsidRPr="008E2A3E" w14:paraId="7907C0E9" w14:textId="77777777" w:rsidTr="00F42E63">
        <w:trPr>
          <w:trHeight w:val="325"/>
        </w:trPr>
        <w:tc>
          <w:tcPr>
            <w:tcW w:w="1636" w:type="dxa"/>
            <w:tcBorders>
              <w:top w:val="nil"/>
              <w:left w:val="single" w:sz="4" w:space="0" w:color="auto"/>
              <w:bottom w:val="single" w:sz="4" w:space="0" w:color="auto"/>
              <w:right w:val="single" w:sz="4" w:space="0" w:color="auto"/>
            </w:tcBorders>
            <w:noWrap/>
            <w:vAlign w:val="center"/>
            <w:hideMark/>
          </w:tcPr>
          <w:p w14:paraId="333B6F44" w14:textId="77777777" w:rsidR="001B5AC2" w:rsidRPr="008E2A3E" w:rsidRDefault="001B5AC2" w:rsidP="001B5AC2">
            <w:pPr>
              <w:pStyle w:val="NoSpacing"/>
              <w:rPr>
                <w:rFonts w:ascii="Times New Roman" w:hAnsi="Times New Roman" w:cs="Times New Roman"/>
                <w:szCs w:val="24"/>
                <w:lang w:eastAsia="en-IN"/>
              </w:rPr>
            </w:pPr>
            <w:r w:rsidRPr="008E2A3E">
              <w:rPr>
                <w:rFonts w:ascii="Times New Roman" w:hAnsi="Times New Roman" w:cs="Times New Roman"/>
                <w:szCs w:val="24"/>
                <w:lang w:eastAsia="en-IN"/>
              </w:rPr>
              <w:t>1968-69 (RE)</w:t>
            </w:r>
          </w:p>
        </w:tc>
        <w:tc>
          <w:tcPr>
            <w:tcW w:w="1019" w:type="dxa"/>
            <w:tcBorders>
              <w:top w:val="nil"/>
              <w:left w:val="nil"/>
              <w:bottom w:val="single" w:sz="4" w:space="0" w:color="auto"/>
              <w:right w:val="single" w:sz="4" w:space="0" w:color="auto"/>
            </w:tcBorders>
            <w:noWrap/>
            <w:vAlign w:val="center"/>
            <w:hideMark/>
          </w:tcPr>
          <w:p w14:paraId="0A285228" w14:textId="77777777" w:rsidR="001B5AC2" w:rsidRPr="008E2A3E" w:rsidRDefault="001B5AC2" w:rsidP="008E2A3E">
            <w:pPr>
              <w:pStyle w:val="NoSpacing"/>
              <w:jc w:val="center"/>
              <w:rPr>
                <w:rFonts w:ascii="Times New Roman" w:hAnsi="Times New Roman" w:cs="Times New Roman"/>
                <w:szCs w:val="24"/>
                <w:lang w:eastAsia="en-IN"/>
              </w:rPr>
            </w:pPr>
            <w:r w:rsidRPr="008E2A3E">
              <w:rPr>
                <w:rFonts w:ascii="Times New Roman" w:hAnsi="Times New Roman" w:cs="Times New Roman"/>
                <w:szCs w:val="24"/>
                <w:lang w:eastAsia="en-IN"/>
              </w:rPr>
              <w:t>17.00 (8.35)</w:t>
            </w:r>
          </w:p>
        </w:tc>
        <w:tc>
          <w:tcPr>
            <w:tcW w:w="915" w:type="dxa"/>
            <w:tcBorders>
              <w:top w:val="nil"/>
              <w:left w:val="nil"/>
              <w:bottom w:val="single" w:sz="4" w:space="0" w:color="auto"/>
              <w:right w:val="single" w:sz="4" w:space="0" w:color="auto"/>
            </w:tcBorders>
            <w:noWrap/>
            <w:vAlign w:val="center"/>
            <w:hideMark/>
          </w:tcPr>
          <w:p w14:paraId="47E482D3" w14:textId="77777777" w:rsidR="001B5AC2" w:rsidRPr="008E2A3E" w:rsidRDefault="001B5AC2" w:rsidP="008E2A3E">
            <w:pPr>
              <w:pStyle w:val="NoSpacing"/>
              <w:jc w:val="center"/>
              <w:rPr>
                <w:rFonts w:ascii="Times New Roman" w:hAnsi="Times New Roman" w:cs="Times New Roman"/>
                <w:szCs w:val="24"/>
                <w:lang w:eastAsia="en-IN"/>
              </w:rPr>
            </w:pPr>
            <w:r w:rsidRPr="008E2A3E">
              <w:rPr>
                <w:rFonts w:ascii="Times New Roman" w:hAnsi="Times New Roman" w:cs="Times New Roman"/>
                <w:szCs w:val="24"/>
                <w:lang w:eastAsia="en-IN"/>
              </w:rPr>
              <w:t>36.33 (17.85)</w:t>
            </w:r>
          </w:p>
        </w:tc>
        <w:tc>
          <w:tcPr>
            <w:tcW w:w="1041" w:type="dxa"/>
            <w:tcBorders>
              <w:top w:val="nil"/>
              <w:left w:val="nil"/>
              <w:bottom w:val="single" w:sz="4" w:space="0" w:color="auto"/>
              <w:right w:val="single" w:sz="4" w:space="0" w:color="auto"/>
            </w:tcBorders>
            <w:noWrap/>
            <w:vAlign w:val="center"/>
            <w:hideMark/>
          </w:tcPr>
          <w:p w14:paraId="247BBEA2" w14:textId="77777777" w:rsidR="001B5AC2" w:rsidRPr="008E2A3E" w:rsidRDefault="001B5AC2" w:rsidP="008E2A3E">
            <w:pPr>
              <w:pStyle w:val="NoSpacing"/>
              <w:jc w:val="center"/>
              <w:rPr>
                <w:rFonts w:ascii="Times New Roman" w:hAnsi="Times New Roman" w:cs="Times New Roman"/>
                <w:szCs w:val="24"/>
                <w:lang w:eastAsia="en-IN"/>
              </w:rPr>
            </w:pPr>
            <w:r w:rsidRPr="008E2A3E">
              <w:rPr>
                <w:rFonts w:ascii="Times New Roman" w:hAnsi="Times New Roman" w:cs="Times New Roman"/>
                <w:szCs w:val="24"/>
                <w:lang w:eastAsia="en-IN"/>
              </w:rPr>
              <w:t>11.30 (5.55)</w:t>
            </w:r>
          </w:p>
        </w:tc>
        <w:tc>
          <w:tcPr>
            <w:tcW w:w="1377" w:type="dxa"/>
            <w:tcBorders>
              <w:top w:val="nil"/>
              <w:left w:val="nil"/>
              <w:bottom w:val="single" w:sz="4" w:space="0" w:color="auto"/>
              <w:right w:val="single" w:sz="4" w:space="0" w:color="auto"/>
            </w:tcBorders>
            <w:noWrap/>
            <w:vAlign w:val="center"/>
            <w:hideMark/>
          </w:tcPr>
          <w:p w14:paraId="3A4D087F" w14:textId="77777777" w:rsidR="001B5AC2" w:rsidRPr="008E2A3E" w:rsidRDefault="001B5AC2" w:rsidP="008E2A3E">
            <w:pPr>
              <w:pStyle w:val="NoSpacing"/>
              <w:jc w:val="center"/>
              <w:rPr>
                <w:rFonts w:ascii="Times New Roman" w:hAnsi="Times New Roman" w:cs="Times New Roman"/>
                <w:szCs w:val="24"/>
                <w:lang w:eastAsia="en-IN"/>
              </w:rPr>
            </w:pPr>
            <w:r w:rsidRPr="008E2A3E">
              <w:rPr>
                <w:rFonts w:ascii="Times New Roman" w:hAnsi="Times New Roman" w:cs="Times New Roman"/>
                <w:szCs w:val="24"/>
                <w:lang w:eastAsia="en-IN"/>
              </w:rPr>
              <w:t>8.35 (4.10)</w:t>
            </w:r>
          </w:p>
        </w:tc>
        <w:tc>
          <w:tcPr>
            <w:tcW w:w="958" w:type="dxa"/>
            <w:tcBorders>
              <w:top w:val="nil"/>
              <w:left w:val="nil"/>
              <w:bottom w:val="single" w:sz="4" w:space="0" w:color="auto"/>
              <w:right w:val="single" w:sz="4" w:space="0" w:color="auto"/>
            </w:tcBorders>
            <w:noWrap/>
            <w:vAlign w:val="center"/>
            <w:hideMark/>
          </w:tcPr>
          <w:p w14:paraId="384BBA17" w14:textId="77777777" w:rsidR="001B5AC2" w:rsidRPr="008E2A3E" w:rsidRDefault="001B5AC2" w:rsidP="008E2A3E">
            <w:pPr>
              <w:pStyle w:val="NoSpacing"/>
              <w:jc w:val="center"/>
              <w:rPr>
                <w:rFonts w:ascii="Times New Roman" w:hAnsi="Times New Roman" w:cs="Times New Roman"/>
                <w:szCs w:val="24"/>
                <w:lang w:eastAsia="en-IN"/>
              </w:rPr>
            </w:pPr>
            <w:r w:rsidRPr="008E2A3E">
              <w:rPr>
                <w:rFonts w:ascii="Times New Roman" w:hAnsi="Times New Roman" w:cs="Times New Roman"/>
                <w:szCs w:val="24"/>
                <w:lang w:eastAsia="en-IN"/>
              </w:rPr>
              <w:t>3.61 (1.77)</w:t>
            </w:r>
          </w:p>
        </w:tc>
        <w:tc>
          <w:tcPr>
            <w:tcW w:w="1293" w:type="dxa"/>
            <w:tcBorders>
              <w:top w:val="nil"/>
              <w:left w:val="nil"/>
              <w:bottom w:val="single" w:sz="4" w:space="0" w:color="auto"/>
              <w:right w:val="single" w:sz="4" w:space="0" w:color="auto"/>
            </w:tcBorders>
            <w:noWrap/>
            <w:vAlign w:val="center"/>
            <w:hideMark/>
          </w:tcPr>
          <w:p w14:paraId="4C2EE8E9" w14:textId="77777777" w:rsidR="001B5AC2" w:rsidRPr="008E2A3E" w:rsidRDefault="001B5AC2" w:rsidP="008E2A3E">
            <w:pPr>
              <w:pStyle w:val="NoSpacing"/>
              <w:jc w:val="center"/>
              <w:rPr>
                <w:rFonts w:ascii="Times New Roman" w:hAnsi="Times New Roman" w:cs="Times New Roman"/>
                <w:szCs w:val="24"/>
                <w:lang w:eastAsia="en-IN"/>
              </w:rPr>
            </w:pPr>
            <w:r w:rsidRPr="008E2A3E">
              <w:rPr>
                <w:rFonts w:ascii="Times New Roman" w:hAnsi="Times New Roman" w:cs="Times New Roman"/>
                <w:szCs w:val="24"/>
                <w:lang w:eastAsia="en-IN"/>
              </w:rPr>
              <w:t>0.60 (0.29)</w:t>
            </w:r>
          </w:p>
        </w:tc>
        <w:tc>
          <w:tcPr>
            <w:tcW w:w="1628" w:type="dxa"/>
            <w:tcBorders>
              <w:top w:val="nil"/>
              <w:left w:val="nil"/>
              <w:bottom w:val="single" w:sz="4" w:space="0" w:color="auto"/>
              <w:right w:val="single" w:sz="4" w:space="0" w:color="auto"/>
            </w:tcBorders>
            <w:noWrap/>
            <w:vAlign w:val="center"/>
            <w:hideMark/>
          </w:tcPr>
          <w:p w14:paraId="3EAA0358" w14:textId="77777777" w:rsidR="001B5AC2" w:rsidRPr="008E2A3E" w:rsidRDefault="001B5AC2" w:rsidP="008E2A3E">
            <w:pPr>
              <w:pStyle w:val="NoSpacing"/>
              <w:jc w:val="center"/>
              <w:rPr>
                <w:rFonts w:ascii="Times New Roman" w:hAnsi="Times New Roman" w:cs="Times New Roman"/>
                <w:szCs w:val="24"/>
                <w:lang w:eastAsia="en-IN"/>
              </w:rPr>
            </w:pPr>
            <w:r w:rsidRPr="008E2A3E">
              <w:rPr>
                <w:rFonts w:ascii="Times New Roman" w:hAnsi="Times New Roman" w:cs="Times New Roman"/>
                <w:szCs w:val="24"/>
                <w:lang w:eastAsia="en-IN"/>
              </w:rPr>
              <w:t>1.46 (0.72)</w:t>
            </w:r>
          </w:p>
        </w:tc>
        <w:tc>
          <w:tcPr>
            <w:tcW w:w="1720" w:type="dxa"/>
            <w:tcBorders>
              <w:top w:val="nil"/>
              <w:left w:val="nil"/>
              <w:bottom w:val="single" w:sz="4" w:space="0" w:color="auto"/>
              <w:right w:val="single" w:sz="4" w:space="0" w:color="auto"/>
            </w:tcBorders>
            <w:noWrap/>
            <w:vAlign w:val="center"/>
            <w:hideMark/>
          </w:tcPr>
          <w:p w14:paraId="1B4F1280" w14:textId="77777777" w:rsidR="001B5AC2" w:rsidRPr="008E2A3E" w:rsidRDefault="001B5AC2" w:rsidP="008E2A3E">
            <w:pPr>
              <w:pStyle w:val="NoSpacing"/>
              <w:jc w:val="center"/>
              <w:rPr>
                <w:rFonts w:ascii="Times New Roman" w:hAnsi="Times New Roman" w:cs="Times New Roman"/>
                <w:szCs w:val="24"/>
                <w:lang w:eastAsia="en-IN"/>
              </w:rPr>
            </w:pPr>
            <w:r w:rsidRPr="008E2A3E">
              <w:rPr>
                <w:rFonts w:ascii="Times New Roman" w:hAnsi="Times New Roman" w:cs="Times New Roman"/>
                <w:szCs w:val="24"/>
                <w:lang w:eastAsia="en-IN"/>
              </w:rPr>
              <w:t>3.35 (1.65)</w:t>
            </w:r>
          </w:p>
        </w:tc>
        <w:tc>
          <w:tcPr>
            <w:tcW w:w="1720" w:type="dxa"/>
            <w:tcBorders>
              <w:top w:val="nil"/>
              <w:left w:val="nil"/>
              <w:bottom w:val="single" w:sz="4" w:space="0" w:color="auto"/>
              <w:right w:val="single" w:sz="4" w:space="0" w:color="auto"/>
            </w:tcBorders>
            <w:noWrap/>
            <w:vAlign w:val="center"/>
            <w:hideMark/>
          </w:tcPr>
          <w:p w14:paraId="43856F93" w14:textId="77777777" w:rsidR="001B5AC2" w:rsidRPr="008E2A3E" w:rsidRDefault="001B5AC2" w:rsidP="008E2A3E">
            <w:pPr>
              <w:pStyle w:val="NoSpacing"/>
              <w:jc w:val="center"/>
              <w:rPr>
                <w:rFonts w:ascii="Times New Roman" w:hAnsi="Times New Roman" w:cs="Times New Roman"/>
                <w:szCs w:val="24"/>
                <w:lang w:eastAsia="en-IN"/>
              </w:rPr>
            </w:pPr>
            <w:r w:rsidRPr="008E2A3E">
              <w:rPr>
                <w:rFonts w:ascii="Times New Roman" w:hAnsi="Times New Roman" w:cs="Times New Roman"/>
                <w:szCs w:val="24"/>
                <w:lang w:eastAsia="en-IN"/>
              </w:rPr>
              <w:t>6.00 (2.95)</w:t>
            </w:r>
          </w:p>
        </w:tc>
        <w:tc>
          <w:tcPr>
            <w:tcW w:w="1698" w:type="dxa"/>
            <w:tcBorders>
              <w:top w:val="nil"/>
              <w:left w:val="nil"/>
              <w:bottom w:val="single" w:sz="4" w:space="0" w:color="auto"/>
              <w:right w:val="single" w:sz="4" w:space="0" w:color="auto"/>
            </w:tcBorders>
            <w:noWrap/>
            <w:vAlign w:val="center"/>
            <w:hideMark/>
          </w:tcPr>
          <w:p w14:paraId="71162148" w14:textId="77777777" w:rsidR="001B5AC2" w:rsidRPr="008E2A3E" w:rsidRDefault="001B5AC2" w:rsidP="008E2A3E">
            <w:pPr>
              <w:pStyle w:val="NoSpacing"/>
              <w:jc w:val="center"/>
              <w:rPr>
                <w:rFonts w:ascii="Times New Roman" w:hAnsi="Times New Roman" w:cs="Times New Roman"/>
                <w:szCs w:val="24"/>
                <w:lang w:eastAsia="en-IN"/>
              </w:rPr>
            </w:pPr>
            <w:r w:rsidRPr="008E2A3E">
              <w:rPr>
                <w:rFonts w:ascii="Times New Roman" w:hAnsi="Times New Roman" w:cs="Times New Roman"/>
                <w:szCs w:val="24"/>
                <w:lang w:eastAsia="en-IN"/>
              </w:rPr>
              <w:t>203.55 (100.00)</w:t>
            </w:r>
          </w:p>
        </w:tc>
      </w:tr>
      <w:tr w:rsidR="008E2A3E" w:rsidRPr="008E2A3E" w14:paraId="3E3A7648" w14:textId="77777777" w:rsidTr="00F42E63">
        <w:trPr>
          <w:trHeight w:val="325"/>
        </w:trPr>
        <w:tc>
          <w:tcPr>
            <w:tcW w:w="15009" w:type="dxa"/>
            <w:gridSpan w:val="11"/>
            <w:tcBorders>
              <w:top w:val="nil"/>
              <w:left w:val="single" w:sz="4" w:space="0" w:color="auto"/>
              <w:bottom w:val="single" w:sz="4" w:space="0" w:color="auto"/>
              <w:right w:val="single" w:sz="4" w:space="0" w:color="auto"/>
            </w:tcBorders>
            <w:noWrap/>
            <w:hideMark/>
          </w:tcPr>
          <w:p w14:paraId="666B5220" w14:textId="1CB674CB" w:rsidR="008E2A3E" w:rsidRPr="00F42E63" w:rsidRDefault="008E2A3E" w:rsidP="008E2A3E">
            <w:pPr>
              <w:pStyle w:val="NoSpacing"/>
              <w:jc w:val="center"/>
              <w:rPr>
                <w:rFonts w:ascii="Times New Roman" w:hAnsi="Times New Roman" w:cs="Times New Roman"/>
                <w:b/>
                <w:bCs/>
                <w:szCs w:val="24"/>
                <w:lang w:eastAsia="en-IN"/>
              </w:rPr>
            </w:pPr>
            <w:r w:rsidRPr="00F42E63">
              <w:rPr>
                <w:rFonts w:ascii="Times New Roman" w:hAnsi="Times New Roman" w:cs="Times New Roman"/>
                <w:b/>
                <w:bCs/>
                <w:szCs w:val="24"/>
                <w:lang w:eastAsia="en-IN"/>
              </w:rPr>
              <w:t>Assam</w:t>
            </w:r>
          </w:p>
        </w:tc>
      </w:tr>
      <w:tr w:rsidR="001B5AC2" w:rsidRPr="008E2A3E" w14:paraId="3F683002" w14:textId="77777777" w:rsidTr="00F42E63">
        <w:trPr>
          <w:trHeight w:val="325"/>
        </w:trPr>
        <w:tc>
          <w:tcPr>
            <w:tcW w:w="1636" w:type="dxa"/>
            <w:tcBorders>
              <w:top w:val="nil"/>
              <w:left w:val="single" w:sz="4" w:space="0" w:color="auto"/>
              <w:bottom w:val="single" w:sz="4" w:space="0" w:color="auto"/>
              <w:right w:val="single" w:sz="4" w:space="0" w:color="auto"/>
            </w:tcBorders>
            <w:noWrap/>
            <w:vAlign w:val="center"/>
            <w:hideMark/>
          </w:tcPr>
          <w:p w14:paraId="63D88E22" w14:textId="77777777" w:rsidR="001B5AC2" w:rsidRPr="008E2A3E" w:rsidRDefault="001B5AC2" w:rsidP="001B5AC2">
            <w:pPr>
              <w:pStyle w:val="NoSpacing"/>
              <w:rPr>
                <w:rFonts w:ascii="Times New Roman" w:hAnsi="Times New Roman" w:cs="Times New Roman"/>
                <w:szCs w:val="24"/>
                <w:lang w:eastAsia="en-IN"/>
              </w:rPr>
            </w:pPr>
            <w:r w:rsidRPr="008E2A3E">
              <w:rPr>
                <w:rFonts w:ascii="Times New Roman" w:hAnsi="Times New Roman" w:cs="Times New Roman"/>
                <w:szCs w:val="24"/>
                <w:lang w:eastAsia="en-IN"/>
              </w:rPr>
              <w:t>1961-62</w:t>
            </w:r>
          </w:p>
        </w:tc>
        <w:tc>
          <w:tcPr>
            <w:tcW w:w="1019" w:type="dxa"/>
            <w:tcBorders>
              <w:top w:val="nil"/>
              <w:left w:val="nil"/>
              <w:bottom w:val="single" w:sz="4" w:space="0" w:color="auto"/>
              <w:right w:val="single" w:sz="4" w:space="0" w:color="auto"/>
            </w:tcBorders>
            <w:noWrap/>
            <w:vAlign w:val="center"/>
            <w:hideMark/>
          </w:tcPr>
          <w:p w14:paraId="05D1905D" w14:textId="77777777" w:rsidR="001B5AC2" w:rsidRPr="008E2A3E" w:rsidRDefault="001B5AC2" w:rsidP="008E2A3E">
            <w:pPr>
              <w:pStyle w:val="NoSpacing"/>
              <w:jc w:val="center"/>
              <w:rPr>
                <w:rFonts w:ascii="Times New Roman" w:hAnsi="Times New Roman" w:cs="Times New Roman"/>
                <w:szCs w:val="24"/>
                <w:lang w:eastAsia="en-IN"/>
              </w:rPr>
            </w:pPr>
            <w:r w:rsidRPr="008E2A3E">
              <w:rPr>
                <w:rFonts w:ascii="Times New Roman" w:hAnsi="Times New Roman" w:cs="Times New Roman"/>
                <w:szCs w:val="24"/>
                <w:lang w:eastAsia="en-IN"/>
              </w:rPr>
              <w:t>2.86 (7.09)</w:t>
            </w:r>
          </w:p>
        </w:tc>
        <w:tc>
          <w:tcPr>
            <w:tcW w:w="915" w:type="dxa"/>
            <w:tcBorders>
              <w:top w:val="nil"/>
              <w:left w:val="nil"/>
              <w:bottom w:val="single" w:sz="4" w:space="0" w:color="auto"/>
              <w:right w:val="single" w:sz="4" w:space="0" w:color="auto"/>
            </w:tcBorders>
            <w:noWrap/>
            <w:vAlign w:val="center"/>
            <w:hideMark/>
          </w:tcPr>
          <w:p w14:paraId="539BE360" w14:textId="77777777" w:rsidR="001B5AC2" w:rsidRPr="008E2A3E" w:rsidRDefault="001B5AC2" w:rsidP="008E2A3E">
            <w:pPr>
              <w:pStyle w:val="NoSpacing"/>
              <w:jc w:val="center"/>
              <w:rPr>
                <w:rFonts w:ascii="Times New Roman" w:hAnsi="Times New Roman" w:cs="Times New Roman"/>
                <w:szCs w:val="24"/>
                <w:lang w:eastAsia="en-IN"/>
              </w:rPr>
            </w:pPr>
            <w:r w:rsidRPr="008E2A3E">
              <w:rPr>
                <w:rFonts w:ascii="Times New Roman" w:hAnsi="Times New Roman" w:cs="Times New Roman"/>
                <w:szCs w:val="24"/>
                <w:lang w:eastAsia="en-IN"/>
              </w:rPr>
              <w:t>3.45 (8.55)</w:t>
            </w:r>
          </w:p>
        </w:tc>
        <w:tc>
          <w:tcPr>
            <w:tcW w:w="1041" w:type="dxa"/>
            <w:tcBorders>
              <w:top w:val="nil"/>
              <w:left w:val="nil"/>
              <w:bottom w:val="single" w:sz="4" w:space="0" w:color="auto"/>
              <w:right w:val="single" w:sz="4" w:space="0" w:color="auto"/>
            </w:tcBorders>
            <w:noWrap/>
            <w:vAlign w:val="center"/>
            <w:hideMark/>
          </w:tcPr>
          <w:p w14:paraId="1E6EBE6E" w14:textId="77777777" w:rsidR="001B5AC2" w:rsidRPr="008E2A3E" w:rsidRDefault="001B5AC2" w:rsidP="008E2A3E">
            <w:pPr>
              <w:pStyle w:val="NoSpacing"/>
              <w:jc w:val="center"/>
              <w:rPr>
                <w:rFonts w:ascii="Times New Roman" w:hAnsi="Times New Roman" w:cs="Times New Roman"/>
                <w:szCs w:val="24"/>
                <w:lang w:eastAsia="en-IN"/>
              </w:rPr>
            </w:pPr>
            <w:r w:rsidRPr="008E2A3E">
              <w:rPr>
                <w:rFonts w:ascii="Times New Roman" w:hAnsi="Times New Roman" w:cs="Times New Roman"/>
                <w:szCs w:val="24"/>
                <w:lang w:eastAsia="en-IN"/>
              </w:rPr>
              <w:t>0.77 (1.91)</w:t>
            </w:r>
          </w:p>
        </w:tc>
        <w:tc>
          <w:tcPr>
            <w:tcW w:w="1377" w:type="dxa"/>
            <w:tcBorders>
              <w:top w:val="nil"/>
              <w:left w:val="nil"/>
              <w:bottom w:val="single" w:sz="4" w:space="0" w:color="auto"/>
              <w:right w:val="single" w:sz="4" w:space="0" w:color="auto"/>
            </w:tcBorders>
            <w:noWrap/>
            <w:vAlign w:val="center"/>
            <w:hideMark/>
          </w:tcPr>
          <w:p w14:paraId="198C52A9" w14:textId="77777777" w:rsidR="001B5AC2" w:rsidRPr="008E2A3E" w:rsidRDefault="001B5AC2" w:rsidP="008E2A3E">
            <w:pPr>
              <w:pStyle w:val="NoSpacing"/>
              <w:jc w:val="center"/>
              <w:rPr>
                <w:rFonts w:ascii="Times New Roman" w:hAnsi="Times New Roman" w:cs="Times New Roman"/>
                <w:szCs w:val="24"/>
                <w:lang w:eastAsia="en-IN"/>
              </w:rPr>
            </w:pPr>
            <w:r w:rsidRPr="008E2A3E">
              <w:rPr>
                <w:rFonts w:ascii="Times New Roman" w:hAnsi="Times New Roman" w:cs="Times New Roman"/>
                <w:szCs w:val="24"/>
                <w:lang w:eastAsia="en-IN"/>
              </w:rPr>
              <w:t>0.56 (1.39)</w:t>
            </w:r>
          </w:p>
        </w:tc>
        <w:tc>
          <w:tcPr>
            <w:tcW w:w="958" w:type="dxa"/>
            <w:tcBorders>
              <w:top w:val="nil"/>
              <w:left w:val="nil"/>
              <w:bottom w:val="single" w:sz="4" w:space="0" w:color="auto"/>
              <w:right w:val="single" w:sz="4" w:space="0" w:color="auto"/>
            </w:tcBorders>
            <w:noWrap/>
            <w:vAlign w:val="center"/>
            <w:hideMark/>
          </w:tcPr>
          <w:p w14:paraId="374BE8EC" w14:textId="77777777" w:rsidR="001B5AC2" w:rsidRPr="008E2A3E" w:rsidRDefault="001B5AC2" w:rsidP="008E2A3E">
            <w:pPr>
              <w:pStyle w:val="NoSpacing"/>
              <w:jc w:val="center"/>
              <w:rPr>
                <w:rFonts w:ascii="Times New Roman" w:hAnsi="Times New Roman" w:cs="Times New Roman"/>
                <w:szCs w:val="24"/>
                <w:lang w:eastAsia="en-IN"/>
              </w:rPr>
            </w:pPr>
            <w:r w:rsidRPr="008E2A3E">
              <w:rPr>
                <w:rFonts w:ascii="Times New Roman" w:hAnsi="Times New Roman" w:cs="Times New Roman"/>
                <w:szCs w:val="24"/>
                <w:lang w:eastAsia="en-IN"/>
              </w:rPr>
              <w:t>2.48 (6.14)</w:t>
            </w:r>
          </w:p>
        </w:tc>
        <w:tc>
          <w:tcPr>
            <w:tcW w:w="1293" w:type="dxa"/>
            <w:tcBorders>
              <w:top w:val="nil"/>
              <w:left w:val="nil"/>
              <w:bottom w:val="single" w:sz="4" w:space="0" w:color="auto"/>
              <w:right w:val="single" w:sz="4" w:space="0" w:color="auto"/>
            </w:tcBorders>
            <w:noWrap/>
            <w:vAlign w:val="center"/>
            <w:hideMark/>
          </w:tcPr>
          <w:p w14:paraId="7633832B" w14:textId="77777777" w:rsidR="001B5AC2" w:rsidRPr="008E2A3E" w:rsidRDefault="001B5AC2" w:rsidP="008E2A3E">
            <w:pPr>
              <w:pStyle w:val="NoSpacing"/>
              <w:jc w:val="center"/>
              <w:rPr>
                <w:rFonts w:ascii="Times New Roman" w:hAnsi="Times New Roman" w:cs="Times New Roman"/>
                <w:szCs w:val="24"/>
                <w:lang w:eastAsia="en-IN"/>
              </w:rPr>
            </w:pPr>
            <w:r w:rsidRPr="008E2A3E">
              <w:rPr>
                <w:rFonts w:ascii="Times New Roman" w:hAnsi="Times New Roman" w:cs="Times New Roman"/>
                <w:szCs w:val="24"/>
                <w:lang w:eastAsia="en-IN"/>
              </w:rPr>
              <w:t>0.18 (0.45)</w:t>
            </w:r>
          </w:p>
        </w:tc>
        <w:tc>
          <w:tcPr>
            <w:tcW w:w="1628" w:type="dxa"/>
            <w:tcBorders>
              <w:top w:val="nil"/>
              <w:left w:val="nil"/>
              <w:bottom w:val="single" w:sz="4" w:space="0" w:color="auto"/>
              <w:right w:val="single" w:sz="4" w:space="0" w:color="auto"/>
            </w:tcBorders>
            <w:noWrap/>
            <w:vAlign w:val="center"/>
            <w:hideMark/>
          </w:tcPr>
          <w:p w14:paraId="313BF5DE" w14:textId="77777777" w:rsidR="001B5AC2" w:rsidRPr="008E2A3E" w:rsidRDefault="001B5AC2" w:rsidP="008E2A3E">
            <w:pPr>
              <w:pStyle w:val="NoSpacing"/>
              <w:jc w:val="center"/>
              <w:rPr>
                <w:rFonts w:ascii="Times New Roman" w:hAnsi="Times New Roman" w:cs="Times New Roman"/>
                <w:szCs w:val="24"/>
                <w:lang w:eastAsia="en-IN"/>
              </w:rPr>
            </w:pPr>
            <w:r w:rsidRPr="008E2A3E">
              <w:rPr>
                <w:rFonts w:ascii="Times New Roman" w:hAnsi="Times New Roman" w:cs="Times New Roman"/>
                <w:szCs w:val="24"/>
                <w:lang w:eastAsia="en-IN"/>
              </w:rPr>
              <w:t>0.19 (0.47)</w:t>
            </w:r>
          </w:p>
        </w:tc>
        <w:tc>
          <w:tcPr>
            <w:tcW w:w="1720" w:type="dxa"/>
            <w:tcBorders>
              <w:top w:val="nil"/>
              <w:left w:val="nil"/>
              <w:bottom w:val="single" w:sz="4" w:space="0" w:color="auto"/>
              <w:right w:val="single" w:sz="4" w:space="0" w:color="auto"/>
            </w:tcBorders>
            <w:noWrap/>
            <w:vAlign w:val="center"/>
            <w:hideMark/>
          </w:tcPr>
          <w:p w14:paraId="64541931" w14:textId="77777777" w:rsidR="001B5AC2" w:rsidRPr="008E2A3E" w:rsidRDefault="001B5AC2" w:rsidP="008E2A3E">
            <w:pPr>
              <w:pStyle w:val="NoSpacing"/>
              <w:jc w:val="center"/>
              <w:rPr>
                <w:rFonts w:ascii="Times New Roman" w:hAnsi="Times New Roman" w:cs="Times New Roman"/>
                <w:szCs w:val="24"/>
                <w:lang w:eastAsia="en-IN"/>
              </w:rPr>
            </w:pPr>
            <w:r w:rsidRPr="008E2A3E">
              <w:rPr>
                <w:rFonts w:ascii="Times New Roman" w:hAnsi="Times New Roman" w:cs="Times New Roman"/>
                <w:szCs w:val="24"/>
                <w:lang w:eastAsia="en-IN"/>
              </w:rPr>
              <w:t>0.12 (0.30)</w:t>
            </w:r>
          </w:p>
        </w:tc>
        <w:tc>
          <w:tcPr>
            <w:tcW w:w="1720" w:type="dxa"/>
            <w:tcBorders>
              <w:top w:val="nil"/>
              <w:left w:val="nil"/>
              <w:bottom w:val="single" w:sz="4" w:space="0" w:color="auto"/>
              <w:right w:val="single" w:sz="4" w:space="0" w:color="auto"/>
            </w:tcBorders>
            <w:noWrap/>
            <w:vAlign w:val="center"/>
            <w:hideMark/>
          </w:tcPr>
          <w:p w14:paraId="09575AF3" w14:textId="77777777" w:rsidR="001B5AC2" w:rsidRPr="008E2A3E" w:rsidRDefault="001B5AC2" w:rsidP="008E2A3E">
            <w:pPr>
              <w:pStyle w:val="NoSpacing"/>
              <w:jc w:val="center"/>
              <w:rPr>
                <w:rFonts w:ascii="Times New Roman" w:hAnsi="Times New Roman" w:cs="Times New Roman"/>
                <w:szCs w:val="24"/>
                <w:lang w:eastAsia="en-IN"/>
              </w:rPr>
            </w:pPr>
            <w:r w:rsidRPr="008E2A3E">
              <w:rPr>
                <w:rFonts w:ascii="Times New Roman" w:hAnsi="Times New Roman" w:cs="Times New Roman"/>
                <w:szCs w:val="24"/>
                <w:lang w:eastAsia="en-IN"/>
              </w:rPr>
              <w:t>1.66 (4.11)</w:t>
            </w:r>
          </w:p>
        </w:tc>
        <w:tc>
          <w:tcPr>
            <w:tcW w:w="1698" w:type="dxa"/>
            <w:tcBorders>
              <w:top w:val="nil"/>
              <w:left w:val="nil"/>
              <w:bottom w:val="single" w:sz="4" w:space="0" w:color="auto"/>
              <w:right w:val="single" w:sz="4" w:space="0" w:color="auto"/>
            </w:tcBorders>
            <w:noWrap/>
            <w:vAlign w:val="center"/>
            <w:hideMark/>
          </w:tcPr>
          <w:p w14:paraId="0060C271" w14:textId="47E57F29" w:rsidR="001B5AC2" w:rsidRPr="008E2A3E" w:rsidRDefault="001B5AC2" w:rsidP="008E2A3E">
            <w:pPr>
              <w:pStyle w:val="NoSpacing"/>
              <w:jc w:val="center"/>
              <w:rPr>
                <w:rFonts w:ascii="Times New Roman" w:hAnsi="Times New Roman" w:cs="Times New Roman"/>
                <w:szCs w:val="24"/>
                <w:lang w:eastAsia="en-IN"/>
              </w:rPr>
            </w:pPr>
            <w:r w:rsidRPr="008E2A3E">
              <w:rPr>
                <w:rFonts w:ascii="Times New Roman" w:hAnsi="Times New Roman" w:cs="Times New Roman"/>
                <w:szCs w:val="24"/>
                <w:lang w:eastAsia="en-IN"/>
              </w:rPr>
              <w:t>40.36</w:t>
            </w:r>
          </w:p>
          <w:p w14:paraId="7748D033" w14:textId="1404348D" w:rsidR="001B5AC2" w:rsidRPr="008E2A3E" w:rsidRDefault="001B5AC2" w:rsidP="008E2A3E">
            <w:pPr>
              <w:pStyle w:val="NoSpacing"/>
              <w:jc w:val="center"/>
              <w:rPr>
                <w:rFonts w:ascii="Times New Roman" w:hAnsi="Times New Roman" w:cs="Times New Roman"/>
                <w:szCs w:val="24"/>
                <w:lang w:eastAsia="en-IN"/>
              </w:rPr>
            </w:pPr>
            <w:r w:rsidRPr="008E2A3E">
              <w:rPr>
                <w:rFonts w:ascii="Times New Roman" w:hAnsi="Times New Roman" w:cs="Times New Roman"/>
                <w:szCs w:val="24"/>
                <w:lang w:eastAsia="en-IN"/>
              </w:rPr>
              <w:t>(100.00)</w:t>
            </w:r>
          </w:p>
        </w:tc>
      </w:tr>
      <w:tr w:rsidR="001B5AC2" w:rsidRPr="008E2A3E" w14:paraId="4A583126" w14:textId="77777777" w:rsidTr="00F42E63">
        <w:trPr>
          <w:trHeight w:val="325"/>
        </w:trPr>
        <w:tc>
          <w:tcPr>
            <w:tcW w:w="1636" w:type="dxa"/>
            <w:tcBorders>
              <w:top w:val="nil"/>
              <w:left w:val="single" w:sz="4" w:space="0" w:color="auto"/>
              <w:bottom w:val="single" w:sz="4" w:space="0" w:color="auto"/>
              <w:right w:val="single" w:sz="4" w:space="0" w:color="auto"/>
            </w:tcBorders>
            <w:noWrap/>
            <w:vAlign w:val="center"/>
            <w:hideMark/>
          </w:tcPr>
          <w:p w14:paraId="1B06A3C1" w14:textId="77777777" w:rsidR="001B5AC2" w:rsidRPr="008E2A3E" w:rsidRDefault="001B5AC2" w:rsidP="001B5AC2">
            <w:pPr>
              <w:pStyle w:val="NoSpacing"/>
              <w:rPr>
                <w:rFonts w:ascii="Times New Roman" w:hAnsi="Times New Roman" w:cs="Times New Roman"/>
                <w:szCs w:val="24"/>
                <w:lang w:eastAsia="en-IN"/>
              </w:rPr>
            </w:pPr>
            <w:r w:rsidRPr="008E2A3E">
              <w:rPr>
                <w:rFonts w:ascii="Times New Roman" w:hAnsi="Times New Roman" w:cs="Times New Roman"/>
                <w:szCs w:val="24"/>
                <w:lang w:eastAsia="en-IN"/>
              </w:rPr>
              <w:t>1965-66</w:t>
            </w:r>
          </w:p>
        </w:tc>
        <w:tc>
          <w:tcPr>
            <w:tcW w:w="1019" w:type="dxa"/>
            <w:tcBorders>
              <w:top w:val="nil"/>
              <w:left w:val="nil"/>
              <w:bottom w:val="single" w:sz="4" w:space="0" w:color="auto"/>
              <w:right w:val="single" w:sz="4" w:space="0" w:color="auto"/>
            </w:tcBorders>
            <w:noWrap/>
            <w:vAlign w:val="center"/>
            <w:hideMark/>
          </w:tcPr>
          <w:p w14:paraId="68C4F396" w14:textId="77777777" w:rsidR="001B5AC2" w:rsidRPr="008E2A3E" w:rsidRDefault="001B5AC2" w:rsidP="008E2A3E">
            <w:pPr>
              <w:pStyle w:val="NoSpacing"/>
              <w:jc w:val="center"/>
              <w:rPr>
                <w:rFonts w:ascii="Times New Roman" w:hAnsi="Times New Roman" w:cs="Times New Roman"/>
                <w:szCs w:val="24"/>
                <w:lang w:eastAsia="en-IN"/>
              </w:rPr>
            </w:pPr>
            <w:r w:rsidRPr="008E2A3E">
              <w:rPr>
                <w:rFonts w:ascii="Times New Roman" w:hAnsi="Times New Roman" w:cs="Times New Roman"/>
                <w:szCs w:val="24"/>
                <w:lang w:eastAsia="en-IN"/>
              </w:rPr>
              <w:t>5.49</w:t>
            </w:r>
          </w:p>
        </w:tc>
        <w:tc>
          <w:tcPr>
            <w:tcW w:w="915" w:type="dxa"/>
            <w:tcBorders>
              <w:top w:val="nil"/>
              <w:left w:val="nil"/>
              <w:bottom w:val="single" w:sz="4" w:space="0" w:color="auto"/>
              <w:right w:val="single" w:sz="4" w:space="0" w:color="auto"/>
            </w:tcBorders>
            <w:noWrap/>
            <w:vAlign w:val="center"/>
            <w:hideMark/>
          </w:tcPr>
          <w:p w14:paraId="66C19E7A" w14:textId="77777777" w:rsidR="001B5AC2" w:rsidRPr="008E2A3E" w:rsidRDefault="001B5AC2" w:rsidP="008E2A3E">
            <w:pPr>
              <w:pStyle w:val="NoSpacing"/>
              <w:jc w:val="center"/>
              <w:rPr>
                <w:rFonts w:ascii="Times New Roman" w:hAnsi="Times New Roman" w:cs="Times New Roman"/>
                <w:szCs w:val="24"/>
                <w:lang w:eastAsia="en-IN"/>
              </w:rPr>
            </w:pPr>
            <w:r w:rsidRPr="008E2A3E">
              <w:rPr>
                <w:rFonts w:ascii="Times New Roman" w:hAnsi="Times New Roman" w:cs="Times New Roman"/>
                <w:szCs w:val="24"/>
                <w:lang w:eastAsia="en-IN"/>
              </w:rPr>
              <w:t>7.99</w:t>
            </w:r>
          </w:p>
        </w:tc>
        <w:tc>
          <w:tcPr>
            <w:tcW w:w="1041" w:type="dxa"/>
            <w:tcBorders>
              <w:top w:val="nil"/>
              <w:left w:val="nil"/>
              <w:bottom w:val="single" w:sz="4" w:space="0" w:color="auto"/>
              <w:right w:val="single" w:sz="4" w:space="0" w:color="auto"/>
            </w:tcBorders>
            <w:noWrap/>
            <w:vAlign w:val="center"/>
            <w:hideMark/>
          </w:tcPr>
          <w:p w14:paraId="2CE9981F" w14:textId="77777777" w:rsidR="001B5AC2" w:rsidRPr="008E2A3E" w:rsidRDefault="001B5AC2" w:rsidP="008E2A3E">
            <w:pPr>
              <w:pStyle w:val="NoSpacing"/>
              <w:jc w:val="center"/>
              <w:rPr>
                <w:rFonts w:ascii="Times New Roman" w:hAnsi="Times New Roman" w:cs="Times New Roman"/>
                <w:szCs w:val="24"/>
                <w:lang w:eastAsia="en-IN"/>
              </w:rPr>
            </w:pPr>
            <w:r w:rsidRPr="008E2A3E">
              <w:rPr>
                <w:rFonts w:ascii="Times New Roman" w:hAnsi="Times New Roman" w:cs="Times New Roman"/>
                <w:szCs w:val="24"/>
                <w:lang w:eastAsia="en-IN"/>
              </w:rPr>
              <w:t>1.18</w:t>
            </w:r>
          </w:p>
        </w:tc>
        <w:tc>
          <w:tcPr>
            <w:tcW w:w="1377" w:type="dxa"/>
            <w:tcBorders>
              <w:top w:val="nil"/>
              <w:left w:val="nil"/>
              <w:bottom w:val="single" w:sz="4" w:space="0" w:color="auto"/>
              <w:right w:val="single" w:sz="4" w:space="0" w:color="auto"/>
            </w:tcBorders>
            <w:noWrap/>
            <w:vAlign w:val="center"/>
            <w:hideMark/>
          </w:tcPr>
          <w:p w14:paraId="187DA306" w14:textId="77777777" w:rsidR="001B5AC2" w:rsidRPr="008E2A3E" w:rsidRDefault="001B5AC2" w:rsidP="008E2A3E">
            <w:pPr>
              <w:pStyle w:val="NoSpacing"/>
              <w:jc w:val="center"/>
              <w:rPr>
                <w:rFonts w:ascii="Times New Roman" w:hAnsi="Times New Roman" w:cs="Times New Roman"/>
                <w:szCs w:val="24"/>
                <w:lang w:eastAsia="en-IN"/>
              </w:rPr>
            </w:pPr>
            <w:r w:rsidRPr="008E2A3E">
              <w:rPr>
                <w:rFonts w:ascii="Times New Roman" w:hAnsi="Times New Roman" w:cs="Times New Roman"/>
                <w:szCs w:val="24"/>
                <w:lang w:eastAsia="en-IN"/>
              </w:rPr>
              <w:t>0.84</w:t>
            </w:r>
          </w:p>
        </w:tc>
        <w:tc>
          <w:tcPr>
            <w:tcW w:w="958" w:type="dxa"/>
            <w:tcBorders>
              <w:top w:val="nil"/>
              <w:left w:val="nil"/>
              <w:bottom w:val="single" w:sz="4" w:space="0" w:color="auto"/>
              <w:right w:val="single" w:sz="4" w:space="0" w:color="auto"/>
            </w:tcBorders>
            <w:noWrap/>
            <w:vAlign w:val="center"/>
            <w:hideMark/>
          </w:tcPr>
          <w:p w14:paraId="26E3D4C7" w14:textId="77777777" w:rsidR="001B5AC2" w:rsidRPr="008E2A3E" w:rsidRDefault="001B5AC2" w:rsidP="008E2A3E">
            <w:pPr>
              <w:pStyle w:val="NoSpacing"/>
              <w:jc w:val="center"/>
              <w:rPr>
                <w:rFonts w:ascii="Times New Roman" w:hAnsi="Times New Roman" w:cs="Times New Roman"/>
                <w:szCs w:val="24"/>
                <w:lang w:eastAsia="en-IN"/>
              </w:rPr>
            </w:pPr>
            <w:r w:rsidRPr="008E2A3E">
              <w:rPr>
                <w:rFonts w:ascii="Times New Roman" w:hAnsi="Times New Roman" w:cs="Times New Roman"/>
                <w:szCs w:val="24"/>
                <w:lang w:eastAsia="en-IN"/>
              </w:rPr>
              <w:t>1.11</w:t>
            </w:r>
          </w:p>
        </w:tc>
        <w:tc>
          <w:tcPr>
            <w:tcW w:w="1293" w:type="dxa"/>
            <w:tcBorders>
              <w:top w:val="nil"/>
              <w:left w:val="nil"/>
              <w:bottom w:val="single" w:sz="4" w:space="0" w:color="auto"/>
              <w:right w:val="single" w:sz="4" w:space="0" w:color="auto"/>
            </w:tcBorders>
            <w:noWrap/>
            <w:vAlign w:val="center"/>
            <w:hideMark/>
          </w:tcPr>
          <w:p w14:paraId="0D66A798" w14:textId="77777777" w:rsidR="001B5AC2" w:rsidRPr="008E2A3E" w:rsidRDefault="001B5AC2" w:rsidP="008E2A3E">
            <w:pPr>
              <w:pStyle w:val="NoSpacing"/>
              <w:jc w:val="center"/>
              <w:rPr>
                <w:rFonts w:ascii="Times New Roman" w:hAnsi="Times New Roman" w:cs="Times New Roman"/>
                <w:szCs w:val="24"/>
                <w:lang w:eastAsia="en-IN"/>
              </w:rPr>
            </w:pPr>
            <w:r w:rsidRPr="008E2A3E">
              <w:rPr>
                <w:rFonts w:ascii="Times New Roman" w:hAnsi="Times New Roman" w:cs="Times New Roman"/>
                <w:szCs w:val="24"/>
                <w:lang w:eastAsia="en-IN"/>
              </w:rPr>
              <w:t>0.24</w:t>
            </w:r>
          </w:p>
        </w:tc>
        <w:tc>
          <w:tcPr>
            <w:tcW w:w="1628" w:type="dxa"/>
            <w:tcBorders>
              <w:top w:val="nil"/>
              <w:left w:val="nil"/>
              <w:bottom w:val="single" w:sz="4" w:space="0" w:color="auto"/>
              <w:right w:val="single" w:sz="4" w:space="0" w:color="auto"/>
            </w:tcBorders>
            <w:noWrap/>
            <w:vAlign w:val="center"/>
            <w:hideMark/>
          </w:tcPr>
          <w:p w14:paraId="363828C4" w14:textId="77777777" w:rsidR="001B5AC2" w:rsidRPr="008E2A3E" w:rsidRDefault="001B5AC2" w:rsidP="008E2A3E">
            <w:pPr>
              <w:pStyle w:val="NoSpacing"/>
              <w:jc w:val="center"/>
              <w:rPr>
                <w:rFonts w:ascii="Times New Roman" w:hAnsi="Times New Roman" w:cs="Times New Roman"/>
                <w:szCs w:val="24"/>
                <w:lang w:eastAsia="en-IN"/>
              </w:rPr>
            </w:pPr>
            <w:r w:rsidRPr="008E2A3E">
              <w:rPr>
                <w:rFonts w:ascii="Times New Roman" w:hAnsi="Times New Roman" w:cs="Times New Roman"/>
                <w:szCs w:val="24"/>
                <w:lang w:eastAsia="en-IN"/>
              </w:rPr>
              <w:t>0.32</w:t>
            </w:r>
          </w:p>
        </w:tc>
        <w:tc>
          <w:tcPr>
            <w:tcW w:w="1720" w:type="dxa"/>
            <w:tcBorders>
              <w:top w:val="nil"/>
              <w:left w:val="nil"/>
              <w:bottom w:val="single" w:sz="4" w:space="0" w:color="auto"/>
              <w:right w:val="single" w:sz="4" w:space="0" w:color="auto"/>
            </w:tcBorders>
            <w:noWrap/>
            <w:vAlign w:val="center"/>
            <w:hideMark/>
          </w:tcPr>
          <w:p w14:paraId="2380CA09" w14:textId="77777777" w:rsidR="001B5AC2" w:rsidRPr="008E2A3E" w:rsidRDefault="001B5AC2" w:rsidP="008E2A3E">
            <w:pPr>
              <w:pStyle w:val="NoSpacing"/>
              <w:jc w:val="center"/>
              <w:rPr>
                <w:rFonts w:ascii="Times New Roman" w:hAnsi="Times New Roman" w:cs="Times New Roman"/>
                <w:szCs w:val="24"/>
                <w:lang w:eastAsia="en-IN"/>
              </w:rPr>
            </w:pPr>
            <w:r w:rsidRPr="008E2A3E">
              <w:rPr>
                <w:rFonts w:ascii="Times New Roman" w:hAnsi="Times New Roman" w:cs="Times New Roman"/>
                <w:szCs w:val="24"/>
                <w:lang w:eastAsia="en-IN"/>
              </w:rPr>
              <w:t>0.18</w:t>
            </w:r>
          </w:p>
        </w:tc>
        <w:tc>
          <w:tcPr>
            <w:tcW w:w="1720" w:type="dxa"/>
            <w:tcBorders>
              <w:top w:val="nil"/>
              <w:left w:val="nil"/>
              <w:bottom w:val="single" w:sz="4" w:space="0" w:color="auto"/>
              <w:right w:val="single" w:sz="4" w:space="0" w:color="auto"/>
            </w:tcBorders>
            <w:noWrap/>
            <w:vAlign w:val="center"/>
            <w:hideMark/>
          </w:tcPr>
          <w:p w14:paraId="1ED38527" w14:textId="77777777" w:rsidR="001B5AC2" w:rsidRPr="008E2A3E" w:rsidRDefault="001B5AC2" w:rsidP="008E2A3E">
            <w:pPr>
              <w:pStyle w:val="NoSpacing"/>
              <w:jc w:val="center"/>
              <w:rPr>
                <w:rFonts w:ascii="Times New Roman" w:hAnsi="Times New Roman" w:cs="Times New Roman"/>
                <w:szCs w:val="24"/>
                <w:lang w:eastAsia="en-IN"/>
              </w:rPr>
            </w:pPr>
            <w:r w:rsidRPr="008E2A3E">
              <w:rPr>
                <w:rFonts w:ascii="Times New Roman" w:hAnsi="Times New Roman" w:cs="Times New Roman"/>
                <w:szCs w:val="24"/>
                <w:lang w:eastAsia="en-IN"/>
              </w:rPr>
              <w:t>2.58</w:t>
            </w:r>
          </w:p>
        </w:tc>
        <w:tc>
          <w:tcPr>
            <w:tcW w:w="1698" w:type="dxa"/>
            <w:tcBorders>
              <w:top w:val="nil"/>
              <w:left w:val="nil"/>
              <w:bottom w:val="single" w:sz="4" w:space="0" w:color="auto"/>
              <w:right w:val="single" w:sz="4" w:space="0" w:color="auto"/>
            </w:tcBorders>
            <w:noWrap/>
            <w:vAlign w:val="center"/>
            <w:hideMark/>
          </w:tcPr>
          <w:p w14:paraId="33A7E064" w14:textId="77777777" w:rsidR="001B5AC2" w:rsidRPr="008E2A3E" w:rsidRDefault="001B5AC2" w:rsidP="008E2A3E">
            <w:pPr>
              <w:pStyle w:val="NoSpacing"/>
              <w:jc w:val="center"/>
              <w:rPr>
                <w:rFonts w:ascii="Times New Roman" w:hAnsi="Times New Roman" w:cs="Times New Roman"/>
                <w:szCs w:val="24"/>
                <w:lang w:eastAsia="en-IN"/>
              </w:rPr>
            </w:pPr>
            <w:r w:rsidRPr="008E2A3E">
              <w:rPr>
                <w:rFonts w:ascii="Times New Roman" w:hAnsi="Times New Roman" w:cs="Times New Roman"/>
                <w:szCs w:val="24"/>
                <w:lang w:eastAsia="en-IN"/>
              </w:rPr>
              <w:t>64.64</w:t>
            </w:r>
          </w:p>
        </w:tc>
      </w:tr>
      <w:tr w:rsidR="001B5AC2" w:rsidRPr="008E2A3E" w14:paraId="249F75FB" w14:textId="77777777" w:rsidTr="00F42E63">
        <w:trPr>
          <w:trHeight w:val="325"/>
        </w:trPr>
        <w:tc>
          <w:tcPr>
            <w:tcW w:w="1636" w:type="dxa"/>
            <w:tcBorders>
              <w:top w:val="nil"/>
              <w:left w:val="single" w:sz="4" w:space="0" w:color="auto"/>
              <w:bottom w:val="single" w:sz="4" w:space="0" w:color="auto"/>
              <w:right w:val="single" w:sz="4" w:space="0" w:color="auto"/>
            </w:tcBorders>
            <w:noWrap/>
            <w:vAlign w:val="center"/>
            <w:hideMark/>
          </w:tcPr>
          <w:p w14:paraId="346249F5" w14:textId="77777777" w:rsidR="001B5AC2" w:rsidRPr="008E2A3E" w:rsidRDefault="001B5AC2" w:rsidP="001B5AC2">
            <w:pPr>
              <w:pStyle w:val="NoSpacing"/>
              <w:rPr>
                <w:rFonts w:ascii="Times New Roman" w:hAnsi="Times New Roman" w:cs="Times New Roman"/>
                <w:szCs w:val="24"/>
                <w:lang w:eastAsia="en-IN"/>
              </w:rPr>
            </w:pPr>
            <w:r w:rsidRPr="008E2A3E">
              <w:rPr>
                <w:rFonts w:ascii="Times New Roman" w:hAnsi="Times New Roman" w:cs="Times New Roman"/>
                <w:szCs w:val="24"/>
                <w:lang w:eastAsia="en-IN"/>
              </w:rPr>
              <w:t>1966-67</w:t>
            </w:r>
          </w:p>
        </w:tc>
        <w:tc>
          <w:tcPr>
            <w:tcW w:w="1019" w:type="dxa"/>
            <w:tcBorders>
              <w:top w:val="nil"/>
              <w:left w:val="nil"/>
              <w:bottom w:val="single" w:sz="4" w:space="0" w:color="auto"/>
              <w:right w:val="single" w:sz="4" w:space="0" w:color="auto"/>
            </w:tcBorders>
            <w:noWrap/>
            <w:vAlign w:val="center"/>
            <w:hideMark/>
          </w:tcPr>
          <w:p w14:paraId="39BC1CF6" w14:textId="77777777" w:rsidR="001B5AC2" w:rsidRPr="008E2A3E" w:rsidRDefault="001B5AC2" w:rsidP="008E2A3E">
            <w:pPr>
              <w:pStyle w:val="NoSpacing"/>
              <w:jc w:val="center"/>
              <w:rPr>
                <w:rFonts w:ascii="Times New Roman" w:hAnsi="Times New Roman" w:cs="Times New Roman"/>
                <w:szCs w:val="24"/>
                <w:lang w:eastAsia="en-IN"/>
              </w:rPr>
            </w:pPr>
            <w:r w:rsidRPr="008E2A3E">
              <w:rPr>
                <w:rFonts w:ascii="Times New Roman" w:hAnsi="Times New Roman" w:cs="Times New Roman"/>
                <w:szCs w:val="24"/>
                <w:lang w:eastAsia="en-IN"/>
              </w:rPr>
              <w:t>4.85</w:t>
            </w:r>
          </w:p>
        </w:tc>
        <w:tc>
          <w:tcPr>
            <w:tcW w:w="915" w:type="dxa"/>
            <w:tcBorders>
              <w:top w:val="nil"/>
              <w:left w:val="nil"/>
              <w:bottom w:val="single" w:sz="4" w:space="0" w:color="auto"/>
              <w:right w:val="single" w:sz="4" w:space="0" w:color="auto"/>
            </w:tcBorders>
            <w:noWrap/>
            <w:vAlign w:val="center"/>
            <w:hideMark/>
          </w:tcPr>
          <w:p w14:paraId="00AFE4DC" w14:textId="77777777" w:rsidR="001B5AC2" w:rsidRPr="008E2A3E" w:rsidRDefault="001B5AC2" w:rsidP="008E2A3E">
            <w:pPr>
              <w:pStyle w:val="NoSpacing"/>
              <w:jc w:val="center"/>
              <w:rPr>
                <w:rFonts w:ascii="Times New Roman" w:hAnsi="Times New Roman" w:cs="Times New Roman"/>
                <w:szCs w:val="24"/>
                <w:lang w:eastAsia="en-IN"/>
              </w:rPr>
            </w:pPr>
            <w:r w:rsidRPr="008E2A3E">
              <w:rPr>
                <w:rFonts w:ascii="Times New Roman" w:hAnsi="Times New Roman" w:cs="Times New Roman"/>
                <w:szCs w:val="24"/>
                <w:lang w:eastAsia="en-IN"/>
              </w:rPr>
              <w:t>8.39</w:t>
            </w:r>
          </w:p>
        </w:tc>
        <w:tc>
          <w:tcPr>
            <w:tcW w:w="1041" w:type="dxa"/>
            <w:tcBorders>
              <w:top w:val="nil"/>
              <w:left w:val="nil"/>
              <w:bottom w:val="single" w:sz="4" w:space="0" w:color="auto"/>
              <w:right w:val="single" w:sz="4" w:space="0" w:color="auto"/>
            </w:tcBorders>
            <w:noWrap/>
            <w:vAlign w:val="center"/>
            <w:hideMark/>
          </w:tcPr>
          <w:p w14:paraId="76EB7714" w14:textId="77777777" w:rsidR="001B5AC2" w:rsidRPr="008E2A3E" w:rsidRDefault="001B5AC2" w:rsidP="008E2A3E">
            <w:pPr>
              <w:pStyle w:val="NoSpacing"/>
              <w:jc w:val="center"/>
              <w:rPr>
                <w:rFonts w:ascii="Times New Roman" w:hAnsi="Times New Roman" w:cs="Times New Roman"/>
                <w:szCs w:val="24"/>
                <w:lang w:eastAsia="en-IN"/>
              </w:rPr>
            </w:pPr>
            <w:r w:rsidRPr="008E2A3E">
              <w:rPr>
                <w:rFonts w:ascii="Times New Roman" w:hAnsi="Times New Roman" w:cs="Times New Roman"/>
                <w:szCs w:val="24"/>
                <w:lang w:eastAsia="en-IN"/>
              </w:rPr>
              <w:t>1.31</w:t>
            </w:r>
          </w:p>
        </w:tc>
        <w:tc>
          <w:tcPr>
            <w:tcW w:w="1377" w:type="dxa"/>
            <w:tcBorders>
              <w:top w:val="nil"/>
              <w:left w:val="nil"/>
              <w:bottom w:val="single" w:sz="4" w:space="0" w:color="auto"/>
              <w:right w:val="single" w:sz="4" w:space="0" w:color="auto"/>
            </w:tcBorders>
            <w:noWrap/>
            <w:vAlign w:val="center"/>
            <w:hideMark/>
          </w:tcPr>
          <w:p w14:paraId="42442C15" w14:textId="77777777" w:rsidR="001B5AC2" w:rsidRPr="008E2A3E" w:rsidRDefault="001B5AC2" w:rsidP="008E2A3E">
            <w:pPr>
              <w:pStyle w:val="NoSpacing"/>
              <w:jc w:val="center"/>
              <w:rPr>
                <w:rFonts w:ascii="Times New Roman" w:hAnsi="Times New Roman" w:cs="Times New Roman"/>
                <w:szCs w:val="24"/>
                <w:lang w:eastAsia="en-IN"/>
              </w:rPr>
            </w:pPr>
            <w:r w:rsidRPr="008E2A3E">
              <w:rPr>
                <w:rFonts w:ascii="Times New Roman" w:hAnsi="Times New Roman" w:cs="Times New Roman"/>
                <w:szCs w:val="24"/>
                <w:lang w:eastAsia="en-IN"/>
              </w:rPr>
              <w:t>0.98</w:t>
            </w:r>
          </w:p>
        </w:tc>
        <w:tc>
          <w:tcPr>
            <w:tcW w:w="958" w:type="dxa"/>
            <w:tcBorders>
              <w:top w:val="nil"/>
              <w:left w:val="nil"/>
              <w:bottom w:val="single" w:sz="4" w:space="0" w:color="auto"/>
              <w:right w:val="single" w:sz="4" w:space="0" w:color="auto"/>
            </w:tcBorders>
            <w:noWrap/>
            <w:vAlign w:val="center"/>
            <w:hideMark/>
          </w:tcPr>
          <w:p w14:paraId="4C5C03B6" w14:textId="77777777" w:rsidR="001B5AC2" w:rsidRPr="008E2A3E" w:rsidRDefault="001B5AC2" w:rsidP="008E2A3E">
            <w:pPr>
              <w:pStyle w:val="NoSpacing"/>
              <w:jc w:val="center"/>
              <w:rPr>
                <w:rFonts w:ascii="Times New Roman" w:hAnsi="Times New Roman" w:cs="Times New Roman"/>
                <w:szCs w:val="24"/>
                <w:lang w:eastAsia="en-IN"/>
              </w:rPr>
            </w:pPr>
            <w:r w:rsidRPr="008E2A3E">
              <w:rPr>
                <w:rFonts w:ascii="Times New Roman" w:hAnsi="Times New Roman" w:cs="Times New Roman"/>
                <w:szCs w:val="24"/>
                <w:lang w:eastAsia="en-IN"/>
              </w:rPr>
              <w:t>1.28</w:t>
            </w:r>
          </w:p>
        </w:tc>
        <w:tc>
          <w:tcPr>
            <w:tcW w:w="1293" w:type="dxa"/>
            <w:tcBorders>
              <w:top w:val="nil"/>
              <w:left w:val="nil"/>
              <w:bottom w:val="single" w:sz="4" w:space="0" w:color="auto"/>
              <w:right w:val="single" w:sz="4" w:space="0" w:color="auto"/>
            </w:tcBorders>
            <w:noWrap/>
            <w:vAlign w:val="center"/>
            <w:hideMark/>
          </w:tcPr>
          <w:p w14:paraId="01072E0B" w14:textId="77777777" w:rsidR="001B5AC2" w:rsidRPr="008E2A3E" w:rsidRDefault="001B5AC2" w:rsidP="008E2A3E">
            <w:pPr>
              <w:pStyle w:val="NoSpacing"/>
              <w:jc w:val="center"/>
              <w:rPr>
                <w:rFonts w:ascii="Times New Roman" w:hAnsi="Times New Roman" w:cs="Times New Roman"/>
                <w:szCs w:val="24"/>
                <w:lang w:eastAsia="en-IN"/>
              </w:rPr>
            </w:pPr>
            <w:r w:rsidRPr="008E2A3E">
              <w:rPr>
                <w:rFonts w:ascii="Times New Roman" w:hAnsi="Times New Roman" w:cs="Times New Roman"/>
                <w:szCs w:val="24"/>
                <w:lang w:eastAsia="en-IN"/>
              </w:rPr>
              <w:t>0.26</w:t>
            </w:r>
          </w:p>
        </w:tc>
        <w:tc>
          <w:tcPr>
            <w:tcW w:w="1628" w:type="dxa"/>
            <w:tcBorders>
              <w:top w:val="nil"/>
              <w:left w:val="nil"/>
              <w:bottom w:val="single" w:sz="4" w:space="0" w:color="auto"/>
              <w:right w:val="single" w:sz="4" w:space="0" w:color="auto"/>
            </w:tcBorders>
            <w:noWrap/>
            <w:vAlign w:val="center"/>
            <w:hideMark/>
          </w:tcPr>
          <w:p w14:paraId="0B7E1612" w14:textId="77777777" w:rsidR="001B5AC2" w:rsidRPr="008E2A3E" w:rsidRDefault="001B5AC2" w:rsidP="008E2A3E">
            <w:pPr>
              <w:pStyle w:val="NoSpacing"/>
              <w:jc w:val="center"/>
              <w:rPr>
                <w:rFonts w:ascii="Times New Roman" w:hAnsi="Times New Roman" w:cs="Times New Roman"/>
                <w:szCs w:val="24"/>
                <w:lang w:eastAsia="en-IN"/>
              </w:rPr>
            </w:pPr>
            <w:r w:rsidRPr="008E2A3E">
              <w:rPr>
                <w:rFonts w:ascii="Times New Roman" w:hAnsi="Times New Roman" w:cs="Times New Roman"/>
                <w:szCs w:val="24"/>
                <w:lang w:eastAsia="en-IN"/>
              </w:rPr>
              <w:t>0.31</w:t>
            </w:r>
          </w:p>
        </w:tc>
        <w:tc>
          <w:tcPr>
            <w:tcW w:w="1720" w:type="dxa"/>
            <w:tcBorders>
              <w:top w:val="nil"/>
              <w:left w:val="nil"/>
              <w:bottom w:val="single" w:sz="4" w:space="0" w:color="auto"/>
              <w:right w:val="single" w:sz="4" w:space="0" w:color="auto"/>
            </w:tcBorders>
            <w:noWrap/>
            <w:vAlign w:val="center"/>
            <w:hideMark/>
          </w:tcPr>
          <w:p w14:paraId="7F215B3F" w14:textId="77777777" w:rsidR="001B5AC2" w:rsidRPr="008E2A3E" w:rsidRDefault="001B5AC2" w:rsidP="008E2A3E">
            <w:pPr>
              <w:pStyle w:val="NoSpacing"/>
              <w:jc w:val="center"/>
              <w:rPr>
                <w:rFonts w:ascii="Times New Roman" w:hAnsi="Times New Roman" w:cs="Times New Roman"/>
                <w:szCs w:val="24"/>
                <w:lang w:eastAsia="en-IN"/>
              </w:rPr>
            </w:pPr>
            <w:r w:rsidRPr="008E2A3E">
              <w:rPr>
                <w:rFonts w:ascii="Times New Roman" w:hAnsi="Times New Roman" w:cs="Times New Roman"/>
                <w:szCs w:val="24"/>
                <w:lang w:eastAsia="en-IN"/>
              </w:rPr>
              <w:t>0.45</w:t>
            </w:r>
          </w:p>
        </w:tc>
        <w:tc>
          <w:tcPr>
            <w:tcW w:w="1720" w:type="dxa"/>
            <w:tcBorders>
              <w:top w:val="nil"/>
              <w:left w:val="nil"/>
              <w:bottom w:val="single" w:sz="4" w:space="0" w:color="auto"/>
              <w:right w:val="single" w:sz="4" w:space="0" w:color="auto"/>
            </w:tcBorders>
            <w:noWrap/>
            <w:vAlign w:val="center"/>
            <w:hideMark/>
          </w:tcPr>
          <w:p w14:paraId="3DB679C2" w14:textId="04939FB1" w:rsidR="001B5AC2" w:rsidRPr="008E2A3E" w:rsidRDefault="001B5AC2" w:rsidP="008E2A3E">
            <w:pPr>
              <w:pStyle w:val="NoSpacing"/>
              <w:jc w:val="center"/>
              <w:rPr>
                <w:rFonts w:ascii="Times New Roman" w:hAnsi="Times New Roman" w:cs="Times New Roman"/>
                <w:szCs w:val="24"/>
                <w:lang w:eastAsia="en-IN"/>
              </w:rPr>
            </w:pPr>
            <w:r w:rsidRPr="008E2A3E">
              <w:rPr>
                <w:rFonts w:ascii="Times New Roman" w:hAnsi="Times New Roman" w:cs="Times New Roman"/>
                <w:szCs w:val="24"/>
                <w:lang w:eastAsia="en-IN"/>
              </w:rPr>
              <w:t>2.8</w:t>
            </w:r>
            <w:r w:rsidR="00BA3FB7">
              <w:rPr>
                <w:rFonts w:ascii="Times New Roman" w:hAnsi="Times New Roman" w:cs="Times New Roman"/>
                <w:szCs w:val="24"/>
                <w:lang w:eastAsia="en-IN"/>
              </w:rPr>
              <w:t>0</w:t>
            </w:r>
          </w:p>
        </w:tc>
        <w:tc>
          <w:tcPr>
            <w:tcW w:w="1698" w:type="dxa"/>
            <w:tcBorders>
              <w:top w:val="nil"/>
              <w:left w:val="nil"/>
              <w:bottom w:val="single" w:sz="4" w:space="0" w:color="auto"/>
              <w:right w:val="single" w:sz="4" w:space="0" w:color="auto"/>
            </w:tcBorders>
            <w:noWrap/>
            <w:vAlign w:val="center"/>
            <w:hideMark/>
          </w:tcPr>
          <w:p w14:paraId="1C69DF12" w14:textId="77777777" w:rsidR="001B5AC2" w:rsidRPr="008E2A3E" w:rsidRDefault="001B5AC2" w:rsidP="008E2A3E">
            <w:pPr>
              <w:pStyle w:val="NoSpacing"/>
              <w:jc w:val="center"/>
              <w:rPr>
                <w:rFonts w:ascii="Times New Roman" w:hAnsi="Times New Roman" w:cs="Times New Roman"/>
                <w:szCs w:val="24"/>
                <w:lang w:eastAsia="en-IN"/>
              </w:rPr>
            </w:pPr>
            <w:r w:rsidRPr="008E2A3E">
              <w:rPr>
                <w:rFonts w:ascii="Times New Roman" w:hAnsi="Times New Roman" w:cs="Times New Roman"/>
                <w:szCs w:val="24"/>
                <w:lang w:eastAsia="en-IN"/>
              </w:rPr>
              <w:t>77.69</w:t>
            </w:r>
          </w:p>
        </w:tc>
      </w:tr>
      <w:tr w:rsidR="001B5AC2" w:rsidRPr="008E2A3E" w14:paraId="2860D3EF" w14:textId="77777777" w:rsidTr="00F42E63">
        <w:trPr>
          <w:trHeight w:val="325"/>
        </w:trPr>
        <w:tc>
          <w:tcPr>
            <w:tcW w:w="1636" w:type="dxa"/>
            <w:tcBorders>
              <w:top w:val="nil"/>
              <w:left w:val="single" w:sz="4" w:space="0" w:color="auto"/>
              <w:bottom w:val="single" w:sz="4" w:space="0" w:color="auto"/>
              <w:right w:val="single" w:sz="4" w:space="0" w:color="auto"/>
            </w:tcBorders>
            <w:noWrap/>
            <w:vAlign w:val="center"/>
            <w:hideMark/>
          </w:tcPr>
          <w:p w14:paraId="147DD9C1" w14:textId="77777777" w:rsidR="001B5AC2" w:rsidRPr="008E2A3E" w:rsidRDefault="001B5AC2" w:rsidP="001B5AC2">
            <w:pPr>
              <w:pStyle w:val="NoSpacing"/>
              <w:rPr>
                <w:rFonts w:ascii="Times New Roman" w:hAnsi="Times New Roman" w:cs="Times New Roman"/>
                <w:szCs w:val="24"/>
                <w:lang w:eastAsia="en-IN"/>
              </w:rPr>
            </w:pPr>
            <w:r w:rsidRPr="008E2A3E">
              <w:rPr>
                <w:rFonts w:ascii="Times New Roman" w:hAnsi="Times New Roman" w:cs="Times New Roman"/>
                <w:szCs w:val="24"/>
                <w:lang w:eastAsia="en-IN"/>
              </w:rPr>
              <w:t>1967-68</w:t>
            </w:r>
          </w:p>
        </w:tc>
        <w:tc>
          <w:tcPr>
            <w:tcW w:w="1019" w:type="dxa"/>
            <w:tcBorders>
              <w:top w:val="nil"/>
              <w:left w:val="nil"/>
              <w:bottom w:val="single" w:sz="4" w:space="0" w:color="auto"/>
              <w:right w:val="single" w:sz="4" w:space="0" w:color="auto"/>
            </w:tcBorders>
            <w:noWrap/>
            <w:vAlign w:val="center"/>
            <w:hideMark/>
          </w:tcPr>
          <w:p w14:paraId="3B17841A" w14:textId="77777777" w:rsidR="001B5AC2" w:rsidRPr="008E2A3E" w:rsidRDefault="001B5AC2" w:rsidP="008E2A3E">
            <w:pPr>
              <w:pStyle w:val="NoSpacing"/>
              <w:jc w:val="center"/>
              <w:rPr>
                <w:rFonts w:ascii="Times New Roman" w:hAnsi="Times New Roman" w:cs="Times New Roman"/>
                <w:szCs w:val="24"/>
                <w:lang w:eastAsia="en-IN"/>
              </w:rPr>
            </w:pPr>
            <w:r w:rsidRPr="008E2A3E">
              <w:rPr>
                <w:rFonts w:ascii="Times New Roman" w:hAnsi="Times New Roman" w:cs="Times New Roman"/>
                <w:szCs w:val="24"/>
                <w:lang w:eastAsia="en-IN"/>
              </w:rPr>
              <w:t>5.21</w:t>
            </w:r>
          </w:p>
        </w:tc>
        <w:tc>
          <w:tcPr>
            <w:tcW w:w="915" w:type="dxa"/>
            <w:tcBorders>
              <w:top w:val="nil"/>
              <w:left w:val="nil"/>
              <w:bottom w:val="single" w:sz="4" w:space="0" w:color="auto"/>
              <w:right w:val="single" w:sz="4" w:space="0" w:color="auto"/>
            </w:tcBorders>
            <w:noWrap/>
            <w:vAlign w:val="center"/>
            <w:hideMark/>
          </w:tcPr>
          <w:p w14:paraId="10339BC3" w14:textId="77777777" w:rsidR="001B5AC2" w:rsidRPr="008E2A3E" w:rsidRDefault="001B5AC2" w:rsidP="008E2A3E">
            <w:pPr>
              <w:pStyle w:val="NoSpacing"/>
              <w:jc w:val="center"/>
              <w:rPr>
                <w:rFonts w:ascii="Times New Roman" w:hAnsi="Times New Roman" w:cs="Times New Roman"/>
                <w:szCs w:val="24"/>
                <w:lang w:eastAsia="en-IN"/>
              </w:rPr>
            </w:pPr>
            <w:r w:rsidRPr="008E2A3E">
              <w:rPr>
                <w:rFonts w:ascii="Times New Roman" w:hAnsi="Times New Roman" w:cs="Times New Roman"/>
                <w:szCs w:val="24"/>
                <w:lang w:eastAsia="en-IN"/>
              </w:rPr>
              <w:t>10.21</w:t>
            </w:r>
          </w:p>
        </w:tc>
        <w:tc>
          <w:tcPr>
            <w:tcW w:w="1041" w:type="dxa"/>
            <w:tcBorders>
              <w:top w:val="nil"/>
              <w:left w:val="nil"/>
              <w:bottom w:val="single" w:sz="4" w:space="0" w:color="auto"/>
              <w:right w:val="single" w:sz="4" w:space="0" w:color="auto"/>
            </w:tcBorders>
            <w:noWrap/>
            <w:vAlign w:val="center"/>
            <w:hideMark/>
          </w:tcPr>
          <w:p w14:paraId="26EB31CD" w14:textId="77777777" w:rsidR="001B5AC2" w:rsidRPr="008E2A3E" w:rsidRDefault="001B5AC2" w:rsidP="008E2A3E">
            <w:pPr>
              <w:pStyle w:val="NoSpacing"/>
              <w:jc w:val="center"/>
              <w:rPr>
                <w:rFonts w:ascii="Times New Roman" w:hAnsi="Times New Roman" w:cs="Times New Roman"/>
                <w:szCs w:val="24"/>
                <w:lang w:eastAsia="en-IN"/>
              </w:rPr>
            </w:pPr>
            <w:r w:rsidRPr="008E2A3E">
              <w:rPr>
                <w:rFonts w:ascii="Times New Roman" w:hAnsi="Times New Roman" w:cs="Times New Roman"/>
                <w:szCs w:val="24"/>
                <w:lang w:eastAsia="en-IN"/>
              </w:rPr>
              <w:t>1.62</w:t>
            </w:r>
          </w:p>
        </w:tc>
        <w:tc>
          <w:tcPr>
            <w:tcW w:w="1377" w:type="dxa"/>
            <w:tcBorders>
              <w:top w:val="nil"/>
              <w:left w:val="nil"/>
              <w:bottom w:val="single" w:sz="4" w:space="0" w:color="auto"/>
              <w:right w:val="single" w:sz="4" w:space="0" w:color="auto"/>
            </w:tcBorders>
            <w:noWrap/>
            <w:vAlign w:val="center"/>
            <w:hideMark/>
          </w:tcPr>
          <w:p w14:paraId="27E25486" w14:textId="77777777" w:rsidR="001B5AC2" w:rsidRPr="008E2A3E" w:rsidRDefault="001B5AC2" w:rsidP="008E2A3E">
            <w:pPr>
              <w:pStyle w:val="NoSpacing"/>
              <w:jc w:val="center"/>
              <w:rPr>
                <w:rFonts w:ascii="Times New Roman" w:hAnsi="Times New Roman" w:cs="Times New Roman"/>
                <w:szCs w:val="24"/>
                <w:lang w:eastAsia="en-IN"/>
              </w:rPr>
            </w:pPr>
            <w:r w:rsidRPr="008E2A3E">
              <w:rPr>
                <w:rFonts w:ascii="Times New Roman" w:hAnsi="Times New Roman" w:cs="Times New Roman"/>
                <w:szCs w:val="24"/>
                <w:lang w:eastAsia="en-IN"/>
              </w:rPr>
              <w:t>1.42</w:t>
            </w:r>
          </w:p>
        </w:tc>
        <w:tc>
          <w:tcPr>
            <w:tcW w:w="958" w:type="dxa"/>
            <w:tcBorders>
              <w:top w:val="nil"/>
              <w:left w:val="nil"/>
              <w:bottom w:val="single" w:sz="4" w:space="0" w:color="auto"/>
              <w:right w:val="single" w:sz="4" w:space="0" w:color="auto"/>
            </w:tcBorders>
            <w:noWrap/>
            <w:vAlign w:val="center"/>
            <w:hideMark/>
          </w:tcPr>
          <w:p w14:paraId="30D1645C" w14:textId="77777777" w:rsidR="001B5AC2" w:rsidRPr="008E2A3E" w:rsidRDefault="001B5AC2" w:rsidP="008E2A3E">
            <w:pPr>
              <w:pStyle w:val="NoSpacing"/>
              <w:jc w:val="center"/>
              <w:rPr>
                <w:rFonts w:ascii="Times New Roman" w:hAnsi="Times New Roman" w:cs="Times New Roman"/>
                <w:szCs w:val="24"/>
                <w:lang w:eastAsia="en-IN"/>
              </w:rPr>
            </w:pPr>
            <w:r w:rsidRPr="008E2A3E">
              <w:rPr>
                <w:rFonts w:ascii="Times New Roman" w:hAnsi="Times New Roman" w:cs="Times New Roman"/>
                <w:szCs w:val="24"/>
                <w:lang w:eastAsia="en-IN"/>
              </w:rPr>
              <w:t>1.53</w:t>
            </w:r>
          </w:p>
        </w:tc>
        <w:tc>
          <w:tcPr>
            <w:tcW w:w="1293" w:type="dxa"/>
            <w:tcBorders>
              <w:top w:val="nil"/>
              <w:left w:val="nil"/>
              <w:bottom w:val="single" w:sz="4" w:space="0" w:color="auto"/>
              <w:right w:val="single" w:sz="4" w:space="0" w:color="auto"/>
            </w:tcBorders>
            <w:noWrap/>
            <w:vAlign w:val="center"/>
            <w:hideMark/>
          </w:tcPr>
          <w:p w14:paraId="6C03E26E" w14:textId="707FB8DA" w:rsidR="001B5AC2" w:rsidRPr="008E2A3E" w:rsidRDefault="001B5AC2" w:rsidP="008E2A3E">
            <w:pPr>
              <w:pStyle w:val="NoSpacing"/>
              <w:jc w:val="center"/>
              <w:rPr>
                <w:rFonts w:ascii="Times New Roman" w:hAnsi="Times New Roman" w:cs="Times New Roman"/>
                <w:szCs w:val="24"/>
                <w:lang w:eastAsia="en-IN"/>
              </w:rPr>
            </w:pPr>
            <w:r w:rsidRPr="008E2A3E">
              <w:rPr>
                <w:rFonts w:ascii="Times New Roman" w:hAnsi="Times New Roman" w:cs="Times New Roman"/>
                <w:szCs w:val="24"/>
                <w:lang w:eastAsia="en-IN"/>
              </w:rPr>
              <w:t>0.3</w:t>
            </w:r>
            <w:r w:rsidR="00BA3FB7">
              <w:rPr>
                <w:rFonts w:ascii="Times New Roman" w:hAnsi="Times New Roman" w:cs="Times New Roman"/>
                <w:szCs w:val="24"/>
                <w:lang w:eastAsia="en-IN"/>
              </w:rPr>
              <w:t>0</w:t>
            </w:r>
          </w:p>
        </w:tc>
        <w:tc>
          <w:tcPr>
            <w:tcW w:w="1628" w:type="dxa"/>
            <w:tcBorders>
              <w:top w:val="nil"/>
              <w:left w:val="nil"/>
              <w:bottom w:val="single" w:sz="4" w:space="0" w:color="auto"/>
              <w:right w:val="single" w:sz="4" w:space="0" w:color="auto"/>
            </w:tcBorders>
            <w:noWrap/>
            <w:vAlign w:val="center"/>
            <w:hideMark/>
          </w:tcPr>
          <w:p w14:paraId="6C127AF6" w14:textId="77777777" w:rsidR="001B5AC2" w:rsidRPr="008E2A3E" w:rsidRDefault="001B5AC2" w:rsidP="008E2A3E">
            <w:pPr>
              <w:pStyle w:val="NoSpacing"/>
              <w:jc w:val="center"/>
              <w:rPr>
                <w:rFonts w:ascii="Times New Roman" w:hAnsi="Times New Roman" w:cs="Times New Roman"/>
                <w:szCs w:val="24"/>
                <w:lang w:eastAsia="en-IN"/>
              </w:rPr>
            </w:pPr>
            <w:r w:rsidRPr="008E2A3E">
              <w:rPr>
                <w:rFonts w:ascii="Times New Roman" w:hAnsi="Times New Roman" w:cs="Times New Roman"/>
                <w:szCs w:val="24"/>
                <w:lang w:eastAsia="en-IN"/>
              </w:rPr>
              <w:t>0.26</w:t>
            </w:r>
          </w:p>
        </w:tc>
        <w:tc>
          <w:tcPr>
            <w:tcW w:w="1720" w:type="dxa"/>
            <w:tcBorders>
              <w:top w:val="nil"/>
              <w:left w:val="nil"/>
              <w:bottom w:val="single" w:sz="4" w:space="0" w:color="auto"/>
              <w:right w:val="single" w:sz="4" w:space="0" w:color="auto"/>
            </w:tcBorders>
            <w:noWrap/>
            <w:vAlign w:val="center"/>
            <w:hideMark/>
          </w:tcPr>
          <w:p w14:paraId="1C0429E1" w14:textId="77777777" w:rsidR="001B5AC2" w:rsidRPr="008E2A3E" w:rsidRDefault="001B5AC2" w:rsidP="008E2A3E">
            <w:pPr>
              <w:pStyle w:val="NoSpacing"/>
              <w:jc w:val="center"/>
              <w:rPr>
                <w:rFonts w:ascii="Times New Roman" w:hAnsi="Times New Roman" w:cs="Times New Roman"/>
                <w:szCs w:val="24"/>
                <w:lang w:eastAsia="en-IN"/>
              </w:rPr>
            </w:pPr>
            <w:r w:rsidRPr="008E2A3E">
              <w:rPr>
                <w:rFonts w:ascii="Times New Roman" w:hAnsi="Times New Roman" w:cs="Times New Roman"/>
                <w:szCs w:val="24"/>
                <w:lang w:eastAsia="en-IN"/>
              </w:rPr>
              <w:t>0.39</w:t>
            </w:r>
          </w:p>
        </w:tc>
        <w:tc>
          <w:tcPr>
            <w:tcW w:w="1720" w:type="dxa"/>
            <w:tcBorders>
              <w:top w:val="nil"/>
              <w:left w:val="nil"/>
              <w:bottom w:val="single" w:sz="4" w:space="0" w:color="auto"/>
              <w:right w:val="single" w:sz="4" w:space="0" w:color="auto"/>
            </w:tcBorders>
            <w:noWrap/>
            <w:vAlign w:val="center"/>
            <w:hideMark/>
          </w:tcPr>
          <w:p w14:paraId="66C74F9D" w14:textId="77777777" w:rsidR="001B5AC2" w:rsidRPr="008E2A3E" w:rsidRDefault="001B5AC2" w:rsidP="008E2A3E">
            <w:pPr>
              <w:pStyle w:val="NoSpacing"/>
              <w:jc w:val="center"/>
              <w:rPr>
                <w:rFonts w:ascii="Times New Roman" w:hAnsi="Times New Roman" w:cs="Times New Roman"/>
                <w:szCs w:val="24"/>
                <w:lang w:eastAsia="en-IN"/>
              </w:rPr>
            </w:pPr>
            <w:r w:rsidRPr="008E2A3E">
              <w:rPr>
                <w:rFonts w:ascii="Times New Roman" w:hAnsi="Times New Roman" w:cs="Times New Roman"/>
                <w:szCs w:val="24"/>
                <w:lang w:eastAsia="en-IN"/>
              </w:rPr>
              <w:t>3.25</w:t>
            </w:r>
          </w:p>
        </w:tc>
        <w:tc>
          <w:tcPr>
            <w:tcW w:w="1698" w:type="dxa"/>
            <w:tcBorders>
              <w:top w:val="nil"/>
              <w:left w:val="nil"/>
              <w:bottom w:val="single" w:sz="4" w:space="0" w:color="auto"/>
              <w:right w:val="single" w:sz="4" w:space="0" w:color="auto"/>
            </w:tcBorders>
            <w:noWrap/>
            <w:vAlign w:val="center"/>
            <w:hideMark/>
          </w:tcPr>
          <w:p w14:paraId="074620B1" w14:textId="77777777" w:rsidR="001B5AC2" w:rsidRPr="008E2A3E" w:rsidRDefault="001B5AC2" w:rsidP="008E2A3E">
            <w:pPr>
              <w:pStyle w:val="NoSpacing"/>
              <w:jc w:val="center"/>
              <w:rPr>
                <w:rFonts w:ascii="Times New Roman" w:hAnsi="Times New Roman" w:cs="Times New Roman"/>
                <w:szCs w:val="24"/>
                <w:lang w:eastAsia="en-IN"/>
              </w:rPr>
            </w:pPr>
            <w:r w:rsidRPr="008E2A3E">
              <w:rPr>
                <w:rFonts w:ascii="Times New Roman" w:hAnsi="Times New Roman" w:cs="Times New Roman"/>
                <w:szCs w:val="24"/>
                <w:lang w:eastAsia="en-IN"/>
              </w:rPr>
              <w:t>81.21</w:t>
            </w:r>
          </w:p>
        </w:tc>
      </w:tr>
      <w:tr w:rsidR="001B5AC2" w:rsidRPr="008E2A3E" w14:paraId="38CA8818" w14:textId="77777777" w:rsidTr="00F42E63">
        <w:trPr>
          <w:trHeight w:val="325"/>
        </w:trPr>
        <w:tc>
          <w:tcPr>
            <w:tcW w:w="1636" w:type="dxa"/>
            <w:tcBorders>
              <w:top w:val="nil"/>
              <w:left w:val="single" w:sz="4" w:space="0" w:color="auto"/>
              <w:bottom w:val="single" w:sz="4" w:space="0" w:color="auto"/>
              <w:right w:val="single" w:sz="4" w:space="0" w:color="auto"/>
            </w:tcBorders>
            <w:noWrap/>
            <w:vAlign w:val="center"/>
            <w:hideMark/>
          </w:tcPr>
          <w:p w14:paraId="25AF430E" w14:textId="77777777" w:rsidR="001B5AC2" w:rsidRPr="008E2A3E" w:rsidRDefault="001B5AC2" w:rsidP="001B5AC2">
            <w:pPr>
              <w:pStyle w:val="NoSpacing"/>
              <w:rPr>
                <w:rFonts w:ascii="Times New Roman" w:hAnsi="Times New Roman" w:cs="Times New Roman"/>
                <w:szCs w:val="24"/>
                <w:lang w:eastAsia="en-IN"/>
              </w:rPr>
            </w:pPr>
            <w:r w:rsidRPr="008E2A3E">
              <w:rPr>
                <w:rFonts w:ascii="Times New Roman" w:hAnsi="Times New Roman" w:cs="Times New Roman"/>
                <w:szCs w:val="24"/>
                <w:lang w:eastAsia="en-IN"/>
              </w:rPr>
              <w:t>1968-69 (RE)</w:t>
            </w:r>
          </w:p>
        </w:tc>
        <w:tc>
          <w:tcPr>
            <w:tcW w:w="1019" w:type="dxa"/>
            <w:tcBorders>
              <w:top w:val="nil"/>
              <w:left w:val="nil"/>
              <w:bottom w:val="single" w:sz="4" w:space="0" w:color="auto"/>
              <w:right w:val="single" w:sz="4" w:space="0" w:color="auto"/>
            </w:tcBorders>
            <w:noWrap/>
            <w:vAlign w:val="center"/>
            <w:hideMark/>
          </w:tcPr>
          <w:p w14:paraId="4FAC31A6" w14:textId="77777777" w:rsidR="001B5AC2" w:rsidRPr="008E2A3E" w:rsidRDefault="001B5AC2" w:rsidP="008E2A3E">
            <w:pPr>
              <w:pStyle w:val="NoSpacing"/>
              <w:jc w:val="center"/>
              <w:rPr>
                <w:rFonts w:ascii="Times New Roman" w:hAnsi="Times New Roman" w:cs="Times New Roman"/>
                <w:szCs w:val="24"/>
                <w:lang w:eastAsia="en-IN"/>
              </w:rPr>
            </w:pPr>
            <w:r w:rsidRPr="008E2A3E">
              <w:rPr>
                <w:rFonts w:ascii="Times New Roman" w:hAnsi="Times New Roman" w:cs="Times New Roman"/>
                <w:szCs w:val="24"/>
                <w:lang w:eastAsia="en-IN"/>
              </w:rPr>
              <w:t>6.07 (6.51)</w:t>
            </w:r>
          </w:p>
        </w:tc>
        <w:tc>
          <w:tcPr>
            <w:tcW w:w="915" w:type="dxa"/>
            <w:tcBorders>
              <w:top w:val="nil"/>
              <w:left w:val="nil"/>
              <w:bottom w:val="single" w:sz="4" w:space="0" w:color="auto"/>
              <w:right w:val="single" w:sz="4" w:space="0" w:color="auto"/>
            </w:tcBorders>
            <w:noWrap/>
            <w:vAlign w:val="center"/>
            <w:hideMark/>
          </w:tcPr>
          <w:p w14:paraId="1BF984AC" w14:textId="77777777" w:rsidR="001B5AC2" w:rsidRPr="008E2A3E" w:rsidRDefault="001B5AC2" w:rsidP="008E2A3E">
            <w:pPr>
              <w:pStyle w:val="NoSpacing"/>
              <w:jc w:val="center"/>
              <w:rPr>
                <w:rFonts w:ascii="Times New Roman" w:hAnsi="Times New Roman" w:cs="Times New Roman"/>
                <w:szCs w:val="24"/>
                <w:lang w:eastAsia="en-IN"/>
              </w:rPr>
            </w:pPr>
            <w:r w:rsidRPr="008E2A3E">
              <w:rPr>
                <w:rFonts w:ascii="Times New Roman" w:hAnsi="Times New Roman" w:cs="Times New Roman"/>
                <w:szCs w:val="24"/>
                <w:lang w:eastAsia="en-IN"/>
              </w:rPr>
              <w:t>11.30 (12.13)</w:t>
            </w:r>
          </w:p>
        </w:tc>
        <w:tc>
          <w:tcPr>
            <w:tcW w:w="1041" w:type="dxa"/>
            <w:tcBorders>
              <w:top w:val="nil"/>
              <w:left w:val="nil"/>
              <w:bottom w:val="single" w:sz="4" w:space="0" w:color="auto"/>
              <w:right w:val="single" w:sz="4" w:space="0" w:color="auto"/>
            </w:tcBorders>
            <w:noWrap/>
            <w:vAlign w:val="center"/>
            <w:hideMark/>
          </w:tcPr>
          <w:p w14:paraId="4E638C61" w14:textId="77777777" w:rsidR="001B5AC2" w:rsidRPr="008E2A3E" w:rsidRDefault="001B5AC2" w:rsidP="008E2A3E">
            <w:pPr>
              <w:pStyle w:val="NoSpacing"/>
              <w:jc w:val="center"/>
              <w:rPr>
                <w:rFonts w:ascii="Times New Roman" w:hAnsi="Times New Roman" w:cs="Times New Roman"/>
                <w:szCs w:val="24"/>
                <w:lang w:eastAsia="en-IN"/>
              </w:rPr>
            </w:pPr>
            <w:r w:rsidRPr="008E2A3E">
              <w:rPr>
                <w:rFonts w:ascii="Times New Roman" w:hAnsi="Times New Roman" w:cs="Times New Roman"/>
                <w:szCs w:val="24"/>
                <w:lang w:eastAsia="en-IN"/>
              </w:rPr>
              <w:t>1.64 (1.76)</w:t>
            </w:r>
          </w:p>
        </w:tc>
        <w:tc>
          <w:tcPr>
            <w:tcW w:w="1377" w:type="dxa"/>
            <w:tcBorders>
              <w:top w:val="nil"/>
              <w:left w:val="nil"/>
              <w:bottom w:val="single" w:sz="4" w:space="0" w:color="auto"/>
              <w:right w:val="single" w:sz="4" w:space="0" w:color="auto"/>
            </w:tcBorders>
            <w:noWrap/>
            <w:vAlign w:val="center"/>
            <w:hideMark/>
          </w:tcPr>
          <w:p w14:paraId="38CF7DEF" w14:textId="77777777" w:rsidR="001B5AC2" w:rsidRPr="008E2A3E" w:rsidRDefault="001B5AC2" w:rsidP="008E2A3E">
            <w:pPr>
              <w:pStyle w:val="NoSpacing"/>
              <w:jc w:val="center"/>
              <w:rPr>
                <w:rFonts w:ascii="Times New Roman" w:hAnsi="Times New Roman" w:cs="Times New Roman"/>
                <w:szCs w:val="24"/>
                <w:lang w:eastAsia="en-IN"/>
              </w:rPr>
            </w:pPr>
            <w:r w:rsidRPr="008E2A3E">
              <w:rPr>
                <w:rFonts w:ascii="Times New Roman" w:hAnsi="Times New Roman" w:cs="Times New Roman"/>
                <w:szCs w:val="24"/>
                <w:lang w:eastAsia="en-IN"/>
              </w:rPr>
              <w:t>1.15</w:t>
            </w:r>
          </w:p>
          <w:p w14:paraId="5C0D5388" w14:textId="4A4C354A" w:rsidR="001B5AC2" w:rsidRPr="008E2A3E" w:rsidRDefault="001B5AC2" w:rsidP="008E2A3E">
            <w:pPr>
              <w:pStyle w:val="NoSpacing"/>
              <w:jc w:val="center"/>
              <w:rPr>
                <w:rFonts w:ascii="Times New Roman" w:hAnsi="Times New Roman" w:cs="Times New Roman"/>
                <w:szCs w:val="24"/>
                <w:lang w:eastAsia="en-IN"/>
              </w:rPr>
            </w:pPr>
            <w:r w:rsidRPr="008E2A3E">
              <w:rPr>
                <w:rFonts w:ascii="Times New Roman" w:hAnsi="Times New Roman" w:cs="Times New Roman"/>
                <w:szCs w:val="24"/>
                <w:lang w:eastAsia="en-IN"/>
              </w:rPr>
              <w:t>(1.24)</w:t>
            </w:r>
          </w:p>
        </w:tc>
        <w:tc>
          <w:tcPr>
            <w:tcW w:w="958" w:type="dxa"/>
            <w:tcBorders>
              <w:top w:val="nil"/>
              <w:left w:val="nil"/>
              <w:bottom w:val="single" w:sz="4" w:space="0" w:color="auto"/>
              <w:right w:val="single" w:sz="4" w:space="0" w:color="auto"/>
            </w:tcBorders>
            <w:noWrap/>
            <w:vAlign w:val="center"/>
            <w:hideMark/>
          </w:tcPr>
          <w:p w14:paraId="064A70A3" w14:textId="77777777" w:rsidR="001B5AC2" w:rsidRPr="008E2A3E" w:rsidRDefault="001B5AC2" w:rsidP="008E2A3E">
            <w:pPr>
              <w:pStyle w:val="NoSpacing"/>
              <w:jc w:val="center"/>
              <w:rPr>
                <w:rFonts w:ascii="Times New Roman" w:hAnsi="Times New Roman" w:cs="Times New Roman"/>
                <w:szCs w:val="24"/>
                <w:lang w:eastAsia="en-IN"/>
              </w:rPr>
            </w:pPr>
            <w:r w:rsidRPr="008E2A3E">
              <w:rPr>
                <w:rFonts w:ascii="Times New Roman" w:hAnsi="Times New Roman" w:cs="Times New Roman"/>
                <w:szCs w:val="24"/>
                <w:lang w:eastAsia="en-IN"/>
              </w:rPr>
              <w:t>1.59 (1.71)</w:t>
            </w:r>
          </w:p>
        </w:tc>
        <w:tc>
          <w:tcPr>
            <w:tcW w:w="1293" w:type="dxa"/>
            <w:tcBorders>
              <w:top w:val="nil"/>
              <w:left w:val="nil"/>
              <w:bottom w:val="single" w:sz="4" w:space="0" w:color="auto"/>
              <w:right w:val="single" w:sz="4" w:space="0" w:color="auto"/>
            </w:tcBorders>
            <w:noWrap/>
            <w:vAlign w:val="center"/>
            <w:hideMark/>
          </w:tcPr>
          <w:p w14:paraId="42593165" w14:textId="77777777" w:rsidR="001B5AC2" w:rsidRPr="008E2A3E" w:rsidRDefault="001B5AC2" w:rsidP="008E2A3E">
            <w:pPr>
              <w:pStyle w:val="NoSpacing"/>
              <w:jc w:val="center"/>
              <w:rPr>
                <w:rFonts w:ascii="Times New Roman" w:hAnsi="Times New Roman" w:cs="Times New Roman"/>
                <w:szCs w:val="24"/>
                <w:lang w:eastAsia="en-IN"/>
              </w:rPr>
            </w:pPr>
            <w:r w:rsidRPr="008E2A3E">
              <w:rPr>
                <w:rFonts w:ascii="Times New Roman" w:hAnsi="Times New Roman" w:cs="Times New Roman"/>
                <w:szCs w:val="24"/>
                <w:lang w:eastAsia="en-IN"/>
              </w:rPr>
              <w:t>0.31</w:t>
            </w:r>
          </w:p>
          <w:p w14:paraId="70CFC3BA" w14:textId="68A53936" w:rsidR="001B5AC2" w:rsidRPr="008E2A3E" w:rsidRDefault="001B5AC2" w:rsidP="008E2A3E">
            <w:pPr>
              <w:pStyle w:val="NoSpacing"/>
              <w:jc w:val="center"/>
              <w:rPr>
                <w:rFonts w:ascii="Times New Roman" w:hAnsi="Times New Roman" w:cs="Times New Roman"/>
                <w:szCs w:val="24"/>
                <w:lang w:eastAsia="en-IN"/>
              </w:rPr>
            </w:pPr>
            <w:r w:rsidRPr="008E2A3E">
              <w:rPr>
                <w:rFonts w:ascii="Times New Roman" w:hAnsi="Times New Roman" w:cs="Times New Roman"/>
                <w:szCs w:val="24"/>
                <w:lang w:eastAsia="en-IN"/>
              </w:rPr>
              <w:t>(0.33)</w:t>
            </w:r>
          </w:p>
        </w:tc>
        <w:tc>
          <w:tcPr>
            <w:tcW w:w="1628" w:type="dxa"/>
            <w:tcBorders>
              <w:top w:val="nil"/>
              <w:left w:val="nil"/>
              <w:bottom w:val="single" w:sz="4" w:space="0" w:color="auto"/>
              <w:right w:val="single" w:sz="4" w:space="0" w:color="auto"/>
            </w:tcBorders>
            <w:noWrap/>
            <w:vAlign w:val="center"/>
            <w:hideMark/>
          </w:tcPr>
          <w:p w14:paraId="1CA5EF8C" w14:textId="77777777" w:rsidR="001B5AC2" w:rsidRPr="008E2A3E" w:rsidRDefault="001B5AC2" w:rsidP="008E2A3E">
            <w:pPr>
              <w:pStyle w:val="NoSpacing"/>
              <w:jc w:val="center"/>
              <w:rPr>
                <w:rFonts w:ascii="Times New Roman" w:hAnsi="Times New Roman" w:cs="Times New Roman"/>
                <w:szCs w:val="24"/>
                <w:lang w:eastAsia="en-IN"/>
              </w:rPr>
            </w:pPr>
            <w:r w:rsidRPr="008E2A3E">
              <w:rPr>
                <w:rFonts w:ascii="Times New Roman" w:hAnsi="Times New Roman" w:cs="Times New Roman"/>
                <w:szCs w:val="24"/>
                <w:lang w:eastAsia="en-IN"/>
              </w:rPr>
              <w:t>0.33</w:t>
            </w:r>
          </w:p>
          <w:p w14:paraId="6D949E58" w14:textId="2590CAF3" w:rsidR="001B5AC2" w:rsidRPr="008E2A3E" w:rsidRDefault="001B5AC2" w:rsidP="008E2A3E">
            <w:pPr>
              <w:pStyle w:val="NoSpacing"/>
              <w:jc w:val="center"/>
              <w:rPr>
                <w:rFonts w:ascii="Times New Roman" w:hAnsi="Times New Roman" w:cs="Times New Roman"/>
                <w:szCs w:val="24"/>
                <w:lang w:eastAsia="en-IN"/>
              </w:rPr>
            </w:pPr>
            <w:r w:rsidRPr="008E2A3E">
              <w:rPr>
                <w:rFonts w:ascii="Times New Roman" w:hAnsi="Times New Roman" w:cs="Times New Roman"/>
                <w:szCs w:val="24"/>
                <w:lang w:eastAsia="en-IN"/>
              </w:rPr>
              <w:t>(0.35)</w:t>
            </w:r>
          </w:p>
        </w:tc>
        <w:tc>
          <w:tcPr>
            <w:tcW w:w="1720" w:type="dxa"/>
            <w:tcBorders>
              <w:top w:val="nil"/>
              <w:left w:val="nil"/>
              <w:bottom w:val="single" w:sz="4" w:space="0" w:color="auto"/>
              <w:right w:val="single" w:sz="4" w:space="0" w:color="auto"/>
            </w:tcBorders>
            <w:noWrap/>
            <w:vAlign w:val="center"/>
            <w:hideMark/>
          </w:tcPr>
          <w:p w14:paraId="798B85D5" w14:textId="77777777" w:rsidR="001B5AC2" w:rsidRPr="008E2A3E" w:rsidRDefault="001B5AC2" w:rsidP="008E2A3E">
            <w:pPr>
              <w:pStyle w:val="NoSpacing"/>
              <w:jc w:val="center"/>
              <w:rPr>
                <w:rFonts w:ascii="Times New Roman" w:hAnsi="Times New Roman" w:cs="Times New Roman"/>
                <w:szCs w:val="24"/>
                <w:lang w:eastAsia="en-IN"/>
              </w:rPr>
            </w:pPr>
            <w:r w:rsidRPr="008E2A3E">
              <w:rPr>
                <w:rFonts w:ascii="Times New Roman" w:hAnsi="Times New Roman" w:cs="Times New Roman"/>
                <w:szCs w:val="24"/>
                <w:lang w:eastAsia="en-IN"/>
              </w:rPr>
              <w:t>0.26 (0.28)</w:t>
            </w:r>
          </w:p>
        </w:tc>
        <w:tc>
          <w:tcPr>
            <w:tcW w:w="1720" w:type="dxa"/>
            <w:tcBorders>
              <w:top w:val="nil"/>
              <w:left w:val="nil"/>
              <w:bottom w:val="single" w:sz="4" w:space="0" w:color="auto"/>
              <w:right w:val="single" w:sz="4" w:space="0" w:color="auto"/>
            </w:tcBorders>
            <w:noWrap/>
            <w:vAlign w:val="center"/>
            <w:hideMark/>
          </w:tcPr>
          <w:p w14:paraId="789A43EC" w14:textId="09CE1516" w:rsidR="001B5AC2" w:rsidRPr="008E2A3E" w:rsidRDefault="001B5AC2" w:rsidP="008E2A3E">
            <w:pPr>
              <w:pStyle w:val="NoSpacing"/>
              <w:jc w:val="center"/>
              <w:rPr>
                <w:rFonts w:ascii="Times New Roman" w:hAnsi="Times New Roman" w:cs="Times New Roman"/>
                <w:szCs w:val="24"/>
                <w:lang w:eastAsia="en-IN"/>
              </w:rPr>
            </w:pPr>
            <w:r w:rsidRPr="008E2A3E">
              <w:rPr>
                <w:rFonts w:ascii="Times New Roman" w:hAnsi="Times New Roman" w:cs="Times New Roman"/>
                <w:szCs w:val="24"/>
                <w:lang w:eastAsia="en-IN"/>
              </w:rPr>
              <w:t>3.10 (3.33)</w:t>
            </w:r>
          </w:p>
        </w:tc>
        <w:tc>
          <w:tcPr>
            <w:tcW w:w="1698" w:type="dxa"/>
            <w:tcBorders>
              <w:top w:val="nil"/>
              <w:left w:val="nil"/>
              <w:bottom w:val="single" w:sz="4" w:space="0" w:color="auto"/>
              <w:right w:val="single" w:sz="4" w:space="0" w:color="auto"/>
            </w:tcBorders>
            <w:noWrap/>
            <w:vAlign w:val="center"/>
            <w:hideMark/>
          </w:tcPr>
          <w:p w14:paraId="0A44FF56" w14:textId="3EC68932" w:rsidR="001B5AC2" w:rsidRPr="008E2A3E" w:rsidRDefault="001B5AC2" w:rsidP="008E2A3E">
            <w:pPr>
              <w:pStyle w:val="NoSpacing"/>
              <w:jc w:val="center"/>
              <w:rPr>
                <w:rFonts w:ascii="Times New Roman" w:hAnsi="Times New Roman" w:cs="Times New Roman"/>
                <w:szCs w:val="24"/>
                <w:lang w:eastAsia="en-IN"/>
              </w:rPr>
            </w:pPr>
            <w:r w:rsidRPr="008E2A3E">
              <w:rPr>
                <w:rFonts w:ascii="Times New Roman" w:hAnsi="Times New Roman" w:cs="Times New Roman"/>
                <w:szCs w:val="24"/>
                <w:lang w:eastAsia="en-IN"/>
              </w:rPr>
              <w:t>93.20</w:t>
            </w:r>
          </w:p>
          <w:p w14:paraId="512CA533" w14:textId="35654CED" w:rsidR="001B5AC2" w:rsidRPr="008E2A3E" w:rsidRDefault="001B5AC2" w:rsidP="008E2A3E">
            <w:pPr>
              <w:pStyle w:val="NoSpacing"/>
              <w:jc w:val="center"/>
              <w:rPr>
                <w:rFonts w:ascii="Times New Roman" w:hAnsi="Times New Roman" w:cs="Times New Roman"/>
                <w:szCs w:val="24"/>
                <w:lang w:eastAsia="en-IN"/>
              </w:rPr>
            </w:pPr>
            <w:r w:rsidRPr="008E2A3E">
              <w:rPr>
                <w:rFonts w:ascii="Times New Roman" w:hAnsi="Times New Roman" w:cs="Times New Roman"/>
                <w:szCs w:val="24"/>
                <w:lang w:eastAsia="en-IN"/>
              </w:rPr>
              <w:t>(100.00)</w:t>
            </w:r>
          </w:p>
        </w:tc>
      </w:tr>
      <w:tr w:rsidR="008E2A3E" w:rsidRPr="008E2A3E" w14:paraId="36501BB6" w14:textId="77777777" w:rsidTr="00F42E63">
        <w:trPr>
          <w:trHeight w:val="325"/>
        </w:trPr>
        <w:tc>
          <w:tcPr>
            <w:tcW w:w="15009" w:type="dxa"/>
            <w:gridSpan w:val="11"/>
            <w:tcBorders>
              <w:top w:val="nil"/>
              <w:left w:val="single" w:sz="4" w:space="0" w:color="auto"/>
              <w:bottom w:val="single" w:sz="4" w:space="0" w:color="auto"/>
              <w:right w:val="single" w:sz="4" w:space="0" w:color="auto"/>
            </w:tcBorders>
            <w:noWrap/>
            <w:vAlign w:val="center"/>
            <w:hideMark/>
          </w:tcPr>
          <w:p w14:paraId="4EC9FF33" w14:textId="28214D7B" w:rsidR="008E2A3E" w:rsidRPr="00F42E63" w:rsidRDefault="008E2A3E" w:rsidP="008E2A3E">
            <w:pPr>
              <w:pStyle w:val="NoSpacing"/>
              <w:jc w:val="center"/>
              <w:rPr>
                <w:rFonts w:ascii="Times New Roman" w:hAnsi="Times New Roman" w:cs="Times New Roman"/>
                <w:b/>
                <w:bCs/>
                <w:szCs w:val="24"/>
                <w:lang w:eastAsia="en-IN"/>
              </w:rPr>
            </w:pPr>
            <w:r w:rsidRPr="00F42E63">
              <w:rPr>
                <w:rFonts w:ascii="Times New Roman" w:hAnsi="Times New Roman" w:cs="Times New Roman"/>
                <w:b/>
                <w:bCs/>
                <w:szCs w:val="24"/>
                <w:lang w:eastAsia="en-IN"/>
              </w:rPr>
              <w:t xml:space="preserve">Bihar </w:t>
            </w:r>
          </w:p>
        </w:tc>
      </w:tr>
      <w:tr w:rsidR="001B5AC2" w:rsidRPr="008E2A3E" w14:paraId="54F79834" w14:textId="77777777" w:rsidTr="00F42E63">
        <w:trPr>
          <w:trHeight w:val="325"/>
        </w:trPr>
        <w:tc>
          <w:tcPr>
            <w:tcW w:w="1636" w:type="dxa"/>
            <w:tcBorders>
              <w:top w:val="nil"/>
              <w:left w:val="single" w:sz="4" w:space="0" w:color="auto"/>
              <w:bottom w:val="single" w:sz="4" w:space="0" w:color="auto"/>
              <w:right w:val="single" w:sz="4" w:space="0" w:color="auto"/>
            </w:tcBorders>
            <w:noWrap/>
            <w:vAlign w:val="center"/>
            <w:hideMark/>
          </w:tcPr>
          <w:p w14:paraId="3A43DE8C" w14:textId="77777777" w:rsidR="001B5AC2" w:rsidRPr="008E2A3E" w:rsidRDefault="001B5AC2" w:rsidP="001B5AC2">
            <w:pPr>
              <w:pStyle w:val="NoSpacing"/>
              <w:rPr>
                <w:rFonts w:ascii="Times New Roman" w:hAnsi="Times New Roman" w:cs="Times New Roman"/>
                <w:szCs w:val="24"/>
                <w:lang w:eastAsia="en-IN"/>
              </w:rPr>
            </w:pPr>
            <w:r w:rsidRPr="008E2A3E">
              <w:rPr>
                <w:rFonts w:ascii="Times New Roman" w:hAnsi="Times New Roman" w:cs="Times New Roman"/>
                <w:szCs w:val="24"/>
                <w:lang w:eastAsia="en-IN"/>
              </w:rPr>
              <w:t>1961-62</w:t>
            </w:r>
          </w:p>
        </w:tc>
        <w:tc>
          <w:tcPr>
            <w:tcW w:w="1019" w:type="dxa"/>
            <w:tcBorders>
              <w:top w:val="nil"/>
              <w:left w:val="nil"/>
              <w:bottom w:val="single" w:sz="4" w:space="0" w:color="auto"/>
              <w:right w:val="single" w:sz="4" w:space="0" w:color="auto"/>
            </w:tcBorders>
            <w:noWrap/>
            <w:vAlign w:val="center"/>
            <w:hideMark/>
          </w:tcPr>
          <w:p w14:paraId="58BD7AFF" w14:textId="77777777" w:rsidR="001B5AC2" w:rsidRPr="008E2A3E" w:rsidRDefault="001B5AC2" w:rsidP="008E2A3E">
            <w:pPr>
              <w:pStyle w:val="NoSpacing"/>
              <w:jc w:val="center"/>
              <w:rPr>
                <w:rFonts w:ascii="Times New Roman" w:hAnsi="Times New Roman" w:cs="Times New Roman"/>
                <w:szCs w:val="24"/>
                <w:lang w:eastAsia="en-IN"/>
              </w:rPr>
            </w:pPr>
            <w:r w:rsidRPr="008E2A3E">
              <w:rPr>
                <w:rFonts w:ascii="Times New Roman" w:hAnsi="Times New Roman" w:cs="Times New Roman"/>
                <w:szCs w:val="24"/>
                <w:lang w:eastAsia="en-IN"/>
              </w:rPr>
              <w:t>9.11 (11.42)</w:t>
            </w:r>
          </w:p>
        </w:tc>
        <w:tc>
          <w:tcPr>
            <w:tcW w:w="915" w:type="dxa"/>
            <w:tcBorders>
              <w:top w:val="nil"/>
              <w:left w:val="nil"/>
              <w:bottom w:val="single" w:sz="4" w:space="0" w:color="auto"/>
              <w:right w:val="single" w:sz="4" w:space="0" w:color="auto"/>
            </w:tcBorders>
            <w:noWrap/>
            <w:vAlign w:val="center"/>
            <w:hideMark/>
          </w:tcPr>
          <w:p w14:paraId="7824762E" w14:textId="77777777" w:rsidR="001B5AC2" w:rsidRPr="008E2A3E" w:rsidRDefault="001B5AC2" w:rsidP="008E2A3E">
            <w:pPr>
              <w:pStyle w:val="NoSpacing"/>
              <w:jc w:val="center"/>
              <w:rPr>
                <w:rFonts w:ascii="Times New Roman" w:hAnsi="Times New Roman" w:cs="Times New Roman"/>
                <w:szCs w:val="24"/>
                <w:lang w:eastAsia="en-IN"/>
              </w:rPr>
            </w:pPr>
            <w:r w:rsidRPr="008E2A3E">
              <w:rPr>
                <w:rFonts w:ascii="Times New Roman" w:hAnsi="Times New Roman" w:cs="Times New Roman"/>
                <w:szCs w:val="24"/>
                <w:lang w:eastAsia="en-IN"/>
              </w:rPr>
              <w:t>11.34 (14.21)</w:t>
            </w:r>
          </w:p>
        </w:tc>
        <w:tc>
          <w:tcPr>
            <w:tcW w:w="1041" w:type="dxa"/>
            <w:tcBorders>
              <w:top w:val="nil"/>
              <w:left w:val="nil"/>
              <w:bottom w:val="single" w:sz="4" w:space="0" w:color="auto"/>
              <w:right w:val="single" w:sz="4" w:space="0" w:color="auto"/>
            </w:tcBorders>
            <w:noWrap/>
            <w:vAlign w:val="center"/>
            <w:hideMark/>
          </w:tcPr>
          <w:p w14:paraId="29D6B1FB" w14:textId="77777777" w:rsidR="001B5AC2" w:rsidRPr="008E2A3E" w:rsidRDefault="001B5AC2" w:rsidP="008E2A3E">
            <w:pPr>
              <w:pStyle w:val="NoSpacing"/>
              <w:jc w:val="center"/>
              <w:rPr>
                <w:rFonts w:ascii="Times New Roman" w:hAnsi="Times New Roman" w:cs="Times New Roman"/>
                <w:szCs w:val="24"/>
                <w:lang w:eastAsia="en-IN"/>
              </w:rPr>
            </w:pPr>
            <w:r w:rsidRPr="008E2A3E">
              <w:rPr>
                <w:rFonts w:ascii="Times New Roman" w:hAnsi="Times New Roman" w:cs="Times New Roman"/>
                <w:szCs w:val="24"/>
                <w:lang w:eastAsia="en-IN"/>
              </w:rPr>
              <w:t>0.14 (0.18)</w:t>
            </w:r>
          </w:p>
        </w:tc>
        <w:tc>
          <w:tcPr>
            <w:tcW w:w="1377" w:type="dxa"/>
            <w:tcBorders>
              <w:top w:val="nil"/>
              <w:left w:val="nil"/>
              <w:bottom w:val="single" w:sz="4" w:space="0" w:color="auto"/>
              <w:right w:val="single" w:sz="4" w:space="0" w:color="auto"/>
            </w:tcBorders>
            <w:noWrap/>
            <w:vAlign w:val="center"/>
            <w:hideMark/>
          </w:tcPr>
          <w:p w14:paraId="6C07670B" w14:textId="43307D1D" w:rsidR="001B5AC2" w:rsidRPr="008E2A3E" w:rsidRDefault="001B5AC2" w:rsidP="008E2A3E">
            <w:pPr>
              <w:pStyle w:val="NoSpacing"/>
              <w:jc w:val="center"/>
              <w:rPr>
                <w:rFonts w:ascii="Times New Roman" w:hAnsi="Times New Roman" w:cs="Times New Roman"/>
                <w:szCs w:val="24"/>
                <w:lang w:eastAsia="en-IN"/>
              </w:rPr>
            </w:pPr>
            <w:r w:rsidRPr="008E2A3E">
              <w:rPr>
                <w:rFonts w:ascii="Times New Roman" w:hAnsi="Times New Roman" w:cs="Times New Roman"/>
                <w:szCs w:val="24"/>
                <w:lang w:eastAsia="en-IN"/>
              </w:rPr>
              <w:t>4.66</w:t>
            </w:r>
          </w:p>
          <w:p w14:paraId="2C76B9FC" w14:textId="55E92398" w:rsidR="001B5AC2" w:rsidRPr="008E2A3E" w:rsidRDefault="001B5AC2" w:rsidP="008E2A3E">
            <w:pPr>
              <w:pStyle w:val="NoSpacing"/>
              <w:jc w:val="center"/>
              <w:rPr>
                <w:rFonts w:ascii="Times New Roman" w:hAnsi="Times New Roman" w:cs="Times New Roman"/>
                <w:szCs w:val="24"/>
                <w:lang w:eastAsia="en-IN"/>
              </w:rPr>
            </w:pPr>
            <w:r w:rsidRPr="008E2A3E">
              <w:rPr>
                <w:rFonts w:ascii="Times New Roman" w:hAnsi="Times New Roman" w:cs="Times New Roman"/>
                <w:szCs w:val="24"/>
                <w:lang w:eastAsia="en-IN"/>
              </w:rPr>
              <w:t>(5.84)</w:t>
            </w:r>
          </w:p>
        </w:tc>
        <w:tc>
          <w:tcPr>
            <w:tcW w:w="958" w:type="dxa"/>
            <w:tcBorders>
              <w:top w:val="nil"/>
              <w:left w:val="nil"/>
              <w:bottom w:val="single" w:sz="4" w:space="0" w:color="auto"/>
              <w:right w:val="single" w:sz="4" w:space="0" w:color="auto"/>
            </w:tcBorders>
            <w:noWrap/>
            <w:vAlign w:val="center"/>
            <w:hideMark/>
          </w:tcPr>
          <w:p w14:paraId="61C9BD2E" w14:textId="77777777" w:rsidR="001B5AC2" w:rsidRPr="008E2A3E" w:rsidRDefault="001B5AC2" w:rsidP="008E2A3E">
            <w:pPr>
              <w:pStyle w:val="NoSpacing"/>
              <w:jc w:val="center"/>
              <w:rPr>
                <w:rFonts w:ascii="Times New Roman" w:hAnsi="Times New Roman" w:cs="Times New Roman"/>
                <w:szCs w:val="24"/>
                <w:lang w:eastAsia="en-IN"/>
              </w:rPr>
            </w:pPr>
            <w:r w:rsidRPr="008E2A3E">
              <w:rPr>
                <w:rFonts w:ascii="Times New Roman" w:hAnsi="Times New Roman" w:cs="Times New Roman"/>
                <w:szCs w:val="24"/>
                <w:lang w:eastAsia="en-IN"/>
              </w:rPr>
              <w:t>1.69 (2.12)</w:t>
            </w:r>
          </w:p>
        </w:tc>
        <w:tc>
          <w:tcPr>
            <w:tcW w:w="1293" w:type="dxa"/>
            <w:tcBorders>
              <w:top w:val="nil"/>
              <w:left w:val="nil"/>
              <w:bottom w:val="single" w:sz="4" w:space="0" w:color="auto"/>
              <w:right w:val="single" w:sz="4" w:space="0" w:color="auto"/>
            </w:tcBorders>
            <w:noWrap/>
            <w:vAlign w:val="center"/>
            <w:hideMark/>
          </w:tcPr>
          <w:p w14:paraId="57BF0329" w14:textId="363C8BB7" w:rsidR="001B5AC2" w:rsidRPr="008E2A3E" w:rsidRDefault="001B5AC2" w:rsidP="008E2A3E">
            <w:pPr>
              <w:pStyle w:val="NoSpacing"/>
              <w:jc w:val="center"/>
              <w:rPr>
                <w:rFonts w:ascii="Times New Roman" w:hAnsi="Times New Roman" w:cs="Times New Roman"/>
                <w:szCs w:val="24"/>
                <w:lang w:eastAsia="en-IN"/>
              </w:rPr>
            </w:pPr>
            <w:r w:rsidRPr="008E2A3E">
              <w:rPr>
                <w:rFonts w:ascii="Times New Roman" w:hAnsi="Times New Roman" w:cs="Times New Roman"/>
                <w:szCs w:val="24"/>
                <w:lang w:eastAsia="en-IN"/>
              </w:rPr>
              <w:t>0.29</w:t>
            </w:r>
          </w:p>
          <w:p w14:paraId="136B763D" w14:textId="2D6A07EE" w:rsidR="001B5AC2" w:rsidRPr="008E2A3E" w:rsidRDefault="001B5AC2" w:rsidP="008E2A3E">
            <w:pPr>
              <w:pStyle w:val="NoSpacing"/>
              <w:jc w:val="center"/>
              <w:rPr>
                <w:rFonts w:ascii="Times New Roman" w:hAnsi="Times New Roman" w:cs="Times New Roman"/>
                <w:szCs w:val="24"/>
                <w:lang w:eastAsia="en-IN"/>
              </w:rPr>
            </w:pPr>
            <w:r w:rsidRPr="008E2A3E">
              <w:rPr>
                <w:rFonts w:ascii="Times New Roman" w:hAnsi="Times New Roman" w:cs="Times New Roman"/>
                <w:szCs w:val="24"/>
                <w:lang w:eastAsia="en-IN"/>
              </w:rPr>
              <w:t>(0.36)</w:t>
            </w:r>
          </w:p>
        </w:tc>
        <w:tc>
          <w:tcPr>
            <w:tcW w:w="1628" w:type="dxa"/>
            <w:tcBorders>
              <w:top w:val="nil"/>
              <w:left w:val="nil"/>
              <w:bottom w:val="single" w:sz="4" w:space="0" w:color="auto"/>
              <w:right w:val="single" w:sz="4" w:space="0" w:color="auto"/>
            </w:tcBorders>
            <w:noWrap/>
            <w:vAlign w:val="center"/>
            <w:hideMark/>
          </w:tcPr>
          <w:p w14:paraId="337F1589" w14:textId="4BC8BE93" w:rsidR="001B5AC2" w:rsidRPr="008E2A3E" w:rsidRDefault="001B5AC2" w:rsidP="008E2A3E">
            <w:pPr>
              <w:pStyle w:val="NoSpacing"/>
              <w:jc w:val="center"/>
              <w:rPr>
                <w:rFonts w:ascii="Times New Roman" w:hAnsi="Times New Roman" w:cs="Times New Roman"/>
                <w:szCs w:val="24"/>
                <w:lang w:eastAsia="en-IN"/>
              </w:rPr>
            </w:pPr>
            <w:r w:rsidRPr="008E2A3E">
              <w:rPr>
                <w:rFonts w:ascii="Times New Roman" w:hAnsi="Times New Roman" w:cs="Times New Roman"/>
                <w:szCs w:val="24"/>
                <w:lang w:eastAsia="en-IN"/>
              </w:rPr>
              <w:t>1.81</w:t>
            </w:r>
          </w:p>
          <w:p w14:paraId="1CA3C48D" w14:textId="69CB3362" w:rsidR="001B5AC2" w:rsidRPr="008E2A3E" w:rsidRDefault="001B5AC2" w:rsidP="008E2A3E">
            <w:pPr>
              <w:pStyle w:val="NoSpacing"/>
              <w:jc w:val="center"/>
              <w:rPr>
                <w:rFonts w:ascii="Times New Roman" w:hAnsi="Times New Roman" w:cs="Times New Roman"/>
                <w:szCs w:val="24"/>
                <w:lang w:eastAsia="en-IN"/>
              </w:rPr>
            </w:pPr>
            <w:r w:rsidRPr="008E2A3E">
              <w:rPr>
                <w:rFonts w:ascii="Times New Roman" w:hAnsi="Times New Roman" w:cs="Times New Roman"/>
                <w:szCs w:val="24"/>
                <w:lang w:eastAsia="en-IN"/>
              </w:rPr>
              <w:t>(2.27)</w:t>
            </w:r>
          </w:p>
        </w:tc>
        <w:tc>
          <w:tcPr>
            <w:tcW w:w="1720" w:type="dxa"/>
            <w:tcBorders>
              <w:top w:val="nil"/>
              <w:left w:val="nil"/>
              <w:bottom w:val="single" w:sz="4" w:space="0" w:color="auto"/>
              <w:right w:val="single" w:sz="4" w:space="0" w:color="auto"/>
            </w:tcBorders>
            <w:noWrap/>
            <w:vAlign w:val="center"/>
            <w:hideMark/>
          </w:tcPr>
          <w:p w14:paraId="51B80626" w14:textId="77777777" w:rsidR="001B5AC2" w:rsidRPr="008E2A3E" w:rsidRDefault="001B5AC2" w:rsidP="008E2A3E">
            <w:pPr>
              <w:pStyle w:val="NoSpacing"/>
              <w:jc w:val="center"/>
              <w:rPr>
                <w:rFonts w:ascii="Times New Roman" w:hAnsi="Times New Roman" w:cs="Times New Roman"/>
                <w:szCs w:val="24"/>
                <w:lang w:eastAsia="en-IN"/>
              </w:rPr>
            </w:pPr>
            <w:r w:rsidRPr="008E2A3E">
              <w:rPr>
                <w:rFonts w:ascii="Times New Roman" w:hAnsi="Times New Roman" w:cs="Times New Roman"/>
                <w:szCs w:val="24"/>
                <w:lang w:eastAsia="en-IN"/>
              </w:rPr>
              <w:t>0.63 (0.79)</w:t>
            </w:r>
          </w:p>
        </w:tc>
        <w:tc>
          <w:tcPr>
            <w:tcW w:w="1720" w:type="dxa"/>
            <w:tcBorders>
              <w:top w:val="nil"/>
              <w:left w:val="nil"/>
              <w:bottom w:val="single" w:sz="4" w:space="0" w:color="auto"/>
              <w:right w:val="single" w:sz="4" w:space="0" w:color="auto"/>
            </w:tcBorders>
            <w:noWrap/>
            <w:vAlign w:val="center"/>
            <w:hideMark/>
          </w:tcPr>
          <w:p w14:paraId="43A34642" w14:textId="6F43F819" w:rsidR="001B5AC2" w:rsidRPr="008E2A3E" w:rsidRDefault="001B5AC2" w:rsidP="008E2A3E">
            <w:pPr>
              <w:pStyle w:val="NoSpacing"/>
              <w:jc w:val="center"/>
              <w:rPr>
                <w:rFonts w:ascii="Times New Roman" w:hAnsi="Times New Roman" w:cs="Times New Roman"/>
                <w:szCs w:val="24"/>
                <w:lang w:eastAsia="en-IN"/>
              </w:rPr>
            </w:pPr>
            <w:r w:rsidRPr="008E2A3E">
              <w:rPr>
                <w:rFonts w:ascii="Times New Roman" w:hAnsi="Times New Roman" w:cs="Times New Roman"/>
                <w:szCs w:val="24"/>
                <w:lang w:eastAsia="en-IN"/>
              </w:rPr>
              <w:t>2.60</w:t>
            </w:r>
          </w:p>
          <w:p w14:paraId="1BD0D119" w14:textId="0700C571" w:rsidR="001B5AC2" w:rsidRPr="008E2A3E" w:rsidRDefault="001B5AC2" w:rsidP="008E2A3E">
            <w:pPr>
              <w:pStyle w:val="NoSpacing"/>
              <w:jc w:val="center"/>
              <w:rPr>
                <w:rFonts w:ascii="Times New Roman" w:hAnsi="Times New Roman" w:cs="Times New Roman"/>
                <w:szCs w:val="24"/>
                <w:lang w:eastAsia="en-IN"/>
              </w:rPr>
            </w:pPr>
            <w:r w:rsidRPr="008E2A3E">
              <w:rPr>
                <w:rFonts w:ascii="Times New Roman" w:hAnsi="Times New Roman" w:cs="Times New Roman"/>
                <w:szCs w:val="24"/>
                <w:lang w:eastAsia="en-IN"/>
              </w:rPr>
              <w:t>(3.26)</w:t>
            </w:r>
          </w:p>
        </w:tc>
        <w:tc>
          <w:tcPr>
            <w:tcW w:w="1698" w:type="dxa"/>
            <w:tcBorders>
              <w:top w:val="nil"/>
              <w:left w:val="nil"/>
              <w:bottom w:val="single" w:sz="4" w:space="0" w:color="auto"/>
              <w:right w:val="single" w:sz="4" w:space="0" w:color="auto"/>
            </w:tcBorders>
            <w:noWrap/>
            <w:vAlign w:val="center"/>
            <w:hideMark/>
          </w:tcPr>
          <w:p w14:paraId="36FD7B05" w14:textId="77777777" w:rsidR="001B5AC2" w:rsidRPr="008E2A3E" w:rsidRDefault="001B5AC2" w:rsidP="008E2A3E">
            <w:pPr>
              <w:pStyle w:val="NoSpacing"/>
              <w:jc w:val="center"/>
              <w:rPr>
                <w:rFonts w:ascii="Times New Roman" w:hAnsi="Times New Roman" w:cs="Times New Roman"/>
                <w:szCs w:val="24"/>
                <w:lang w:eastAsia="en-IN"/>
              </w:rPr>
            </w:pPr>
            <w:r w:rsidRPr="008E2A3E">
              <w:rPr>
                <w:rFonts w:ascii="Times New Roman" w:hAnsi="Times New Roman" w:cs="Times New Roman"/>
                <w:szCs w:val="24"/>
                <w:lang w:eastAsia="en-IN"/>
              </w:rPr>
              <w:t>79.81</w:t>
            </w:r>
          </w:p>
          <w:p w14:paraId="34F27823" w14:textId="1D91CA19" w:rsidR="001B5AC2" w:rsidRPr="008E2A3E" w:rsidRDefault="001B5AC2" w:rsidP="008E2A3E">
            <w:pPr>
              <w:pStyle w:val="NoSpacing"/>
              <w:jc w:val="center"/>
              <w:rPr>
                <w:rFonts w:ascii="Times New Roman" w:hAnsi="Times New Roman" w:cs="Times New Roman"/>
                <w:szCs w:val="24"/>
                <w:lang w:eastAsia="en-IN"/>
              </w:rPr>
            </w:pPr>
            <w:r w:rsidRPr="008E2A3E">
              <w:rPr>
                <w:rFonts w:ascii="Times New Roman" w:hAnsi="Times New Roman" w:cs="Times New Roman"/>
                <w:szCs w:val="24"/>
                <w:lang w:eastAsia="en-IN"/>
              </w:rPr>
              <w:t>(100.00)</w:t>
            </w:r>
          </w:p>
        </w:tc>
      </w:tr>
      <w:tr w:rsidR="001B5AC2" w:rsidRPr="008E2A3E" w14:paraId="73F6BF52" w14:textId="77777777" w:rsidTr="00F42E63">
        <w:trPr>
          <w:trHeight w:val="325"/>
        </w:trPr>
        <w:tc>
          <w:tcPr>
            <w:tcW w:w="1636" w:type="dxa"/>
            <w:tcBorders>
              <w:top w:val="nil"/>
              <w:left w:val="single" w:sz="4" w:space="0" w:color="auto"/>
              <w:bottom w:val="single" w:sz="4" w:space="0" w:color="auto"/>
              <w:right w:val="single" w:sz="4" w:space="0" w:color="auto"/>
            </w:tcBorders>
            <w:noWrap/>
            <w:vAlign w:val="center"/>
            <w:hideMark/>
          </w:tcPr>
          <w:p w14:paraId="3996D34A" w14:textId="77777777" w:rsidR="001B5AC2" w:rsidRPr="008E2A3E" w:rsidRDefault="001B5AC2" w:rsidP="001B5AC2">
            <w:pPr>
              <w:pStyle w:val="NoSpacing"/>
              <w:rPr>
                <w:rFonts w:ascii="Times New Roman" w:hAnsi="Times New Roman" w:cs="Times New Roman"/>
                <w:szCs w:val="24"/>
                <w:lang w:eastAsia="en-IN"/>
              </w:rPr>
            </w:pPr>
            <w:r w:rsidRPr="008E2A3E">
              <w:rPr>
                <w:rFonts w:ascii="Times New Roman" w:hAnsi="Times New Roman" w:cs="Times New Roman"/>
                <w:szCs w:val="24"/>
                <w:lang w:eastAsia="en-IN"/>
              </w:rPr>
              <w:t>1965-66</w:t>
            </w:r>
          </w:p>
        </w:tc>
        <w:tc>
          <w:tcPr>
            <w:tcW w:w="1019" w:type="dxa"/>
            <w:tcBorders>
              <w:top w:val="nil"/>
              <w:left w:val="nil"/>
              <w:bottom w:val="single" w:sz="4" w:space="0" w:color="auto"/>
              <w:right w:val="single" w:sz="4" w:space="0" w:color="auto"/>
            </w:tcBorders>
            <w:noWrap/>
            <w:vAlign w:val="center"/>
            <w:hideMark/>
          </w:tcPr>
          <w:p w14:paraId="6A3493E6" w14:textId="77777777" w:rsidR="001B5AC2" w:rsidRPr="008E2A3E" w:rsidRDefault="001B5AC2" w:rsidP="008E2A3E">
            <w:pPr>
              <w:pStyle w:val="NoSpacing"/>
              <w:jc w:val="center"/>
              <w:rPr>
                <w:rFonts w:ascii="Times New Roman" w:hAnsi="Times New Roman" w:cs="Times New Roman"/>
                <w:szCs w:val="24"/>
                <w:lang w:eastAsia="en-IN"/>
              </w:rPr>
            </w:pPr>
            <w:r w:rsidRPr="008E2A3E">
              <w:rPr>
                <w:rFonts w:ascii="Times New Roman" w:hAnsi="Times New Roman" w:cs="Times New Roman"/>
                <w:szCs w:val="24"/>
                <w:lang w:eastAsia="en-IN"/>
              </w:rPr>
              <w:t>12.05</w:t>
            </w:r>
          </w:p>
        </w:tc>
        <w:tc>
          <w:tcPr>
            <w:tcW w:w="915" w:type="dxa"/>
            <w:tcBorders>
              <w:top w:val="nil"/>
              <w:left w:val="nil"/>
              <w:bottom w:val="single" w:sz="4" w:space="0" w:color="auto"/>
              <w:right w:val="single" w:sz="4" w:space="0" w:color="auto"/>
            </w:tcBorders>
            <w:noWrap/>
            <w:vAlign w:val="center"/>
            <w:hideMark/>
          </w:tcPr>
          <w:p w14:paraId="7E1ACC79" w14:textId="77777777" w:rsidR="001B5AC2" w:rsidRPr="008E2A3E" w:rsidRDefault="001B5AC2" w:rsidP="008E2A3E">
            <w:pPr>
              <w:pStyle w:val="NoSpacing"/>
              <w:jc w:val="center"/>
              <w:rPr>
                <w:rFonts w:ascii="Times New Roman" w:hAnsi="Times New Roman" w:cs="Times New Roman"/>
                <w:szCs w:val="24"/>
                <w:lang w:eastAsia="en-IN"/>
              </w:rPr>
            </w:pPr>
            <w:r w:rsidRPr="008E2A3E">
              <w:rPr>
                <w:rFonts w:ascii="Times New Roman" w:hAnsi="Times New Roman" w:cs="Times New Roman"/>
                <w:szCs w:val="24"/>
                <w:lang w:eastAsia="en-IN"/>
              </w:rPr>
              <w:t>21.43</w:t>
            </w:r>
          </w:p>
        </w:tc>
        <w:tc>
          <w:tcPr>
            <w:tcW w:w="1041" w:type="dxa"/>
            <w:tcBorders>
              <w:top w:val="nil"/>
              <w:left w:val="nil"/>
              <w:bottom w:val="single" w:sz="4" w:space="0" w:color="auto"/>
              <w:right w:val="single" w:sz="4" w:space="0" w:color="auto"/>
            </w:tcBorders>
            <w:noWrap/>
            <w:vAlign w:val="center"/>
            <w:hideMark/>
          </w:tcPr>
          <w:p w14:paraId="652329B4" w14:textId="2E62089E" w:rsidR="001B5AC2" w:rsidRPr="008E2A3E" w:rsidRDefault="001B5AC2" w:rsidP="008E2A3E">
            <w:pPr>
              <w:pStyle w:val="NoSpacing"/>
              <w:jc w:val="center"/>
              <w:rPr>
                <w:rFonts w:ascii="Times New Roman" w:hAnsi="Times New Roman" w:cs="Times New Roman"/>
                <w:szCs w:val="24"/>
                <w:lang w:eastAsia="en-IN"/>
              </w:rPr>
            </w:pPr>
            <w:r w:rsidRPr="008E2A3E">
              <w:rPr>
                <w:rFonts w:ascii="Times New Roman" w:hAnsi="Times New Roman" w:cs="Times New Roman"/>
                <w:szCs w:val="24"/>
                <w:lang w:eastAsia="en-IN"/>
              </w:rPr>
              <w:t>0.2</w:t>
            </w:r>
            <w:r w:rsidR="00BA3FB7">
              <w:rPr>
                <w:rFonts w:ascii="Times New Roman" w:hAnsi="Times New Roman" w:cs="Times New Roman"/>
                <w:szCs w:val="24"/>
                <w:lang w:eastAsia="en-IN"/>
              </w:rPr>
              <w:t>0</w:t>
            </w:r>
          </w:p>
        </w:tc>
        <w:tc>
          <w:tcPr>
            <w:tcW w:w="1377" w:type="dxa"/>
            <w:tcBorders>
              <w:top w:val="nil"/>
              <w:left w:val="nil"/>
              <w:bottom w:val="single" w:sz="4" w:space="0" w:color="auto"/>
              <w:right w:val="single" w:sz="4" w:space="0" w:color="auto"/>
            </w:tcBorders>
            <w:noWrap/>
            <w:vAlign w:val="center"/>
            <w:hideMark/>
          </w:tcPr>
          <w:p w14:paraId="1103C006" w14:textId="77777777" w:rsidR="001B5AC2" w:rsidRPr="008E2A3E" w:rsidRDefault="001B5AC2" w:rsidP="008E2A3E">
            <w:pPr>
              <w:pStyle w:val="NoSpacing"/>
              <w:jc w:val="center"/>
              <w:rPr>
                <w:rFonts w:ascii="Times New Roman" w:hAnsi="Times New Roman" w:cs="Times New Roman"/>
                <w:szCs w:val="24"/>
                <w:lang w:eastAsia="en-IN"/>
              </w:rPr>
            </w:pPr>
            <w:r w:rsidRPr="008E2A3E">
              <w:rPr>
                <w:rFonts w:ascii="Times New Roman" w:hAnsi="Times New Roman" w:cs="Times New Roman"/>
                <w:szCs w:val="24"/>
                <w:lang w:eastAsia="en-IN"/>
              </w:rPr>
              <w:t>7.37</w:t>
            </w:r>
          </w:p>
        </w:tc>
        <w:tc>
          <w:tcPr>
            <w:tcW w:w="958" w:type="dxa"/>
            <w:tcBorders>
              <w:top w:val="nil"/>
              <w:left w:val="nil"/>
              <w:bottom w:val="single" w:sz="4" w:space="0" w:color="auto"/>
              <w:right w:val="single" w:sz="4" w:space="0" w:color="auto"/>
            </w:tcBorders>
            <w:noWrap/>
            <w:vAlign w:val="center"/>
            <w:hideMark/>
          </w:tcPr>
          <w:p w14:paraId="57EA73A8" w14:textId="77777777" w:rsidR="001B5AC2" w:rsidRPr="008E2A3E" w:rsidRDefault="001B5AC2" w:rsidP="008E2A3E">
            <w:pPr>
              <w:pStyle w:val="NoSpacing"/>
              <w:jc w:val="center"/>
              <w:rPr>
                <w:rFonts w:ascii="Times New Roman" w:hAnsi="Times New Roman" w:cs="Times New Roman"/>
                <w:szCs w:val="24"/>
                <w:lang w:eastAsia="en-IN"/>
              </w:rPr>
            </w:pPr>
            <w:r w:rsidRPr="008E2A3E">
              <w:rPr>
                <w:rFonts w:ascii="Times New Roman" w:hAnsi="Times New Roman" w:cs="Times New Roman"/>
                <w:szCs w:val="24"/>
                <w:lang w:eastAsia="en-IN"/>
              </w:rPr>
              <w:t>5.47</w:t>
            </w:r>
          </w:p>
        </w:tc>
        <w:tc>
          <w:tcPr>
            <w:tcW w:w="1293" w:type="dxa"/>
            <w:tcBorders>
              <w:top w:val="nil"/>
              <w:left w:val="nil"/>
              <w:bottom w:val="single" w:sz="4" w:space="0" w:color="auto"/>
              <w:right w:val="single" w:sz="4" w:space="0" w:color="auto"/>
            </w:tcBorders>
            <w:noWrap/>
            <w:vAlign w:val="center"/>
            <w:hideMark/>
          </w:tcPr>
          <w:p w14:paraId="5863C6D3" w14:textId="77777777" w:rsidR="001B5AC2" w:rsidRPr="008E2A3E" w:rsidRDefault="001B5AC2" w:rsidP="008E2A3E">
            <w:pPr>
              <w:pStyle w:val="NoSpacing"/>
              <w:jc w:val="center"/>
              <w:rPr>
                <w:rFonts w:ascii="Times New Roman" w:hAnsi="Times New Roman" w:cs="Times New Roman"/>
                <w:szCs w:val="24"/>
                <w:lang w:eastAsia="en-IN"/>
              </w:rPr>
            </w:pPr>
            <w:r w:rsidRPr="008E2A3E">
              <w:rPr>
                <w:rFonts w:ascii="Times New Roman" w:hAnsi="Times New Roman" w:cs="Times New Roman"/>
                <w:szCs w:val="24"/>
                <w:lang w:eastAsia="en-IN"/>
              </w:rPr>
              <w:t>0.39</w:t>
            </w:r>
          </w:p>
        </w:tc>
        <w:tc>
          <w:tcPr>
            <w:tcW w:w="1628" w:type="dxa"/>
            <w:tcBorders>
              <w:top w:val="nil"/>
              <w:left w:val="nil"/>
              <w:bottom w:val="single" w:sz="4" w:space="0" w:color="auto"/>
              <w:right w:val="single" w:sz="4" w:space="0" w:color="auto"/>
            </w:tcBorders>
            <w:noWrap/>
            <w:vAlign w:val="center"/>
            <w:hideMark/>
          </w:tcPr>
          <w:p w14:paraId="06CF81D8" w14:textId="77777777" w:rsidR="001B5AC2" w:rsidRPr="008E2A3E" w:rsidRDefault="001B5AC2" w:rsidP="008E2A3E">
            <w:pPr>
              <w:pStyle w:val="NoSpacing"/>
              <w:jc w:val="center"/>
              <w:rPr>
                <w:rFonts w:ascii="Times New Roman" w:hAnsi="Times New Roman" w:cs="Times New Roman"/>
                <w:szCs w:val="24"/>
                <w:lang w:eastAsia="en-IN"/>
              </w:rPr>
            </w:pPr>
            <w:r w:rsidRPr="008E2A3E">
              <w:rPr>
                <w:rFonts w:ascii="Times New Roman" w:hAnsi="Times New Roman" w:cs="Times New Roman"/>
                <w:szCs w:val="24"/>
                <w:lang w:eastAsia="en-IN"/>
              </w:rPr>
              <w:t>0.73</w:t>
            </w:r>
          </w:p>
        </w:tc>
        <w:tc>
          <w:tcPr>
            <w:tcW w:w="1720" w:type="dxa"/>
            <w:tcBorders>
              <w:top w:val="nil"/>
              <w:left w:val="nil"/>
              <w:bottom w:val="single" w:sz="4" w:space="0" w:color="auto"/>
              <w:right w:val="single" w:sz="4" w:space="0" w:color="auto"/>
            </w:tcBorders>
            <w:noWrap/>
            <w:vAlign w:val="center"/>
            <w:hideMark/>
          </w:tcPr>
          <w:p w14:paraId="61B4F23D" w14:textId="77777777" w:rsidR="001B5AC2" w:rsidRPr="008E2A3E" w:rsidRDefault="001B5AC2" w:rsidP="008E2A3E">
            <w:pPr>
              <w:pStyle w:val="NoSpacing"/>
              <w:jc w:val="center"/>
              <w:rPr>
                <w:rFonts w:ascii="Times New Roman" w:hAnsi="Times New Roman" w:cs="Times New Roman"/>
                <w:szCs w:val="24"/>
                <w:lang w:eastAsia="en-IN"/>
              </w:rPr>
            </w:pPr>
            <w:r w:rsidRPr="008E2A3E">
              <w:rPr>
                <w:rFonts w:ascii="Times New Roman" w:hAnsi="Times New Roman" w:cs="Times New Roman"/>
                <w:szCs w:val="24"/>
                <w:lang w:eastAsia="en-IN"/>
              </w:rPr>
              <w:t>1.42</w:t>
            </w:r>
          </w:p>
        </w:tc>
        <w:tc>
          <w:tcPr>
            <w:tcW w:w="1720" w:type="dxa"/>
            <w:tcBorders>
              <w:top w:val="nil"/>
              <w:left w:val="nil"/>
              <w:bottom w:val="single" w:sz="4" w:space="0" w:color="auto"/>
              <w:right w:val="single" w:sz="4" w:space="0" w:color="auto"/>
            </w:tcBorders>
            <w:noWrap/>
            <w:vAlign w:val="center"/>
            <w:hideMark/>
          </w:tcPr>
          <w:p w14:paraId="75BE05E5" w14:textId="77777777" w:rsidR="001B5AC2" w:rsidRPr="008E2A3E" w:rsidRDefault="001B5AC2" w:rsidP="008E2A3E">
            <w:pPr>
              <w:pStyle w:val="NoSpacing"/>
              <w:jc w:val="center"/>
              <w:rPr>
                <w:rFonts w:ascii="Times New Roman" w:hAnsi="Times New Roman" w:cs="Times New Roman"/>
                <w:szCs w:val="24"/>
                <w:lang w:eastAsia="en-IN"/>
              </w:rPr>
            </w:pPr>
            <w:r w:rsidRPr="008E2A3E">
              <w:rPr>
                <w:rFonts w:ascii="Times New Roman" w:hAnsi="Times New Roman" w:cs="Times New Roman"/>
                <w:szCs w:val="24"/>
                <w:lang w:eastAsia="en-IN"/>
              </w:rPr>
              <w:t>3.05</w:t>
            </w:r>
          </w:p>
        </w:tc>
        <w:tc>
          <w:tcPr>
            <w:tcW w:w="1698" w:type="dxa"/>
            <w:tcBorders>
              <w:top w:val="nil"/>
              <w:left w:val="nil"/>
              <w:bottom w:val="single" w:sz="4" w:space="0" w:color="auto"/>
              <w:right w:val="single" w:sz="4" w:space="0" w:color="auto"/>
            </w:tcBorders>
            <w:noWrap/>
            <w:vAlign w:val="center"/>
            <w:hideMark/>
          </w:tcPr>
          <w:p w14:paraId="15F50613" w14:textId="77777777" w:rsidR="001B5AC2" w:rsidRPr="008E2A3E" w:rsidRDefault="001B5AC2" w:rsidP="008E2A3E">
            <w:pPr>
              <w:pStyle w:val="NoSpacing"/>
              <w:jc w:val="center"/>
              <w:rPr>
                <w:rFonts w:ascii="Times New Roman" w:hAnsi="Times New Roman" w:cs="Times New Roman"/>
                <w:szCs w:val="24"/>
                <w:lang w:eastAsia="en-IN"/>
              </w:rPr>
            </w:pPr>
            <w:r w:rsidRPr="008E2A3E">
              <w:rPr>
                <w:rFonts w:ascii="Times New Roman" w:hAnsi="Times New Roman" w:cs="Times New Roman"/>
                <w:szCs w:val="24"/>
                <w:lang w:eastAsia="en-IN"/>
              </w:rPr>
              <w:t>118.68</w:t>
            </w:r>
          </w:p>
        </w:tc>
      </w:tr>
      <w:tr w:rsidR="001B5AC2" w:rsidRPr="008E2A3E" w14:paraId="0899320C" w14:textId="77777777" w:rsidTr="00F42E63">
        <w:trPr>
          <w:trHeight w:val="325"/>
        </w:trPr>
        <w:tc>
          <w:tcPr>
            <w:tcW w:w="1636" w:type="dxa"/>
            <w:tcBorders>
              <w:top w:val="nil"/>
              <w:left w:val="single" w:sz="4" w:space="0" w:color="auto"/>
              <w:bottom w:val="single" w:sz="4" w:space="0" w:color="auto"/>
              <w:right w:val="single" w:sz="4" w:space="0" w:color="auto"/>
            </w:tcBorders>
            <w:noWrap/>
            <w:vAlign w:val="center"/>
            <w:hideMark/>
          </w:tcPr>
          <w:p w14:paraId="5C16A460" w14:textId="77777777" w:rsidR="001B5AC2" w:rsidRPr="008E2A3E" w:rsidRDefault="001B5AC2" w:rsidP="001B5AC2">
            <w:pPr>
              <w:pStyle w:val="NoSpacing"/>
              <w:rPr>
                <w:rFonts w:ascii="Times New Roman" w:hAnsi="Times New Roman" w:cs="Times New Roman"/>
                <w:szCs w:val="24"/>
                <w:lang w:eastAsia="en-IN"/>
              </w:rPr>
            </w:pPr>
            <w:r w:rsidRPr="008E2A3E">
              <w:rPr>
                <w:rFonts w:ascii="Times New Roman" w:hAnsi="Times New Roman" w:cs="Times New Roman"/>
                <w:szCs w:val="24"/>
                <w:lang w:eastAsia="en-IN"/>
              </w:rPr>
              <w:t>1966-67</w:t>
            </w:r>
          </w:p>
        </w:tc>
        <w:tc>
          <w:tcPr>
            <w:tcW w:w="1019" w:type="dxa"/>
            <w:tcBorders>
              <w:top w:val="nil"/>
              <w:left w:val="nil"/>
              <w:bottom w:val="single" w:sz="4" w:space="0" w:color="auto"/>
              <w:right w:val="single" w:sz="4" w:space="0" w:color="auto"/>
            </w:tcBorders>
            <w:noWrap/>
            <w:vAlign w:val="center"/>
            <w:hideMark/>
          </w:tcPr>
          <w:p w14:paraId="6BACCCD1" w14:textId="77777777" w:rsidR="001B5AC2" w:rsidRPr="008E2A3E" w:rsidRDefault="001B5AC2" w:rsidP="008E2A3E">
            <w:pPr>
              <w:pStyle w:val="NoSpacing"/>
              <w:jc w:val="center"/>
              <w:rPr>
                <w:rFonts w:ascii="Times New Roman" w:hAnsi="Times New Roman" w:cs="Times New Roman"/>
                <w:szCs w:val="24"/>
                <w:lang w:eastAsia="en-IN"/>
              </w:rPr>
            </w:pPr>
            <w:r w:rsidRPr="008E2A3E">
              <w:rPr>
                <w:rFonts w:ascii="Times New Roman" w:hAnsi="Times New Roman" w:cs="Times New Roman"/>
                <w:szCs w:val="24"/>
                <w:lang w:eastAsia="en-IN"/>
              </w:rPr>
              <w:t>5.46</w:t>
            </w:r>
          </w:p>
        </w:tc>
        <w:tc>
          <w:tcPr>
            <w:tcW w:w="915" w:type="dxa"/>
            <w:tcBorders>
              <w:top w:val="nil"/>
              <w:left w:val="nil"/>
              <w:bottom w:val="single" w:sz="4" w:space="0" w:color="auto"/>
              <w:right w:val="single" w:sz="4" w:space="0" w:color="auto"/>
            </w:tcBorders>
            <w:noWrap/>
            <w:vAlign w:val="center"/>
            <w:hideMark/>
          </w:tcPr>
          <w:p w14:paraId="5F3A54E0" w14:textId="77777777" w:rsidR="001B5AC2" w:rsidRPr="008E2A3E" w:rsidRDefault="001B5AC2" w:rsidP="008E2A3E">
            <w:pPr>
              <w:pStyle w:val="NoSpacing"/>
              <w:jc w:val="center"/>
              <w:rPr>
                <w:rFonts w:ascii="Times New Roman" w:hAnsi="Times New Roman" w:cs="Times New Roman"/>
                <w:szCs w:val="24"/>
                <w:lang w:eastAsia="en-IN"/>
              </w:rPr>
            </w:pPr>
            <w:r w:rsidRPr="008E2A3E">
              <w:rPr>
                <w:rFonts w:ascii="Times New Roman" w:hAnsi="Times New Roman" w:cs="Times New Roman"/>
                <w:szCs w:val="24"/>
                <w:lang w:eastAsia="en-IN"/>
              </w:rPr>
              <w:t>26.65</w:t>
            </w:r>
          </w:p>
        </w:tc>
        <w:tc>
          <w:tcPr>
            <w:tcW w:w="1041" w:type="dxa"/>
            <w:tcBorders>
              <w:top w:val="nil"/>
              <w:left w:val="nil"/>
              <w:bottom w:val="single" w:sz="4" w:space="0" w:color="auto"/>
              <w:right w:val="single" w:sz="4" w:space="0" w:color="auto"/>
            </w:tcBorders>
            <w:noWrap/>
            <w:vAlign w:val="center"/>
            <w:hideMark/>
          </w:tcPr>
          <w:p w14:paraId="5BD70564" w14:textId="77777777" w:rsidR="001B5AC2" w:rsidRPr="008E2A3E" w:rsidRDefault="001B5AC2" w:rsidP="008E2A3E">
            <w:pPr>
              <w:pStyle w:val="NoSpacing"/>
              <w:jc w:val="center"/>
              <w:rPr>
                <w:rFonts w:ascii="Times New Roman" w:hAnsi="Times New Roman" w:cs="Times New Roman"/>
                <w:szCs w:val="24"/>
                <w:lang w:eastAsia="en-IN"/>
              </w:rPr>
            </w:pPr>
            <w:r w:rsidRPr="008E2A3E">
              <w:rPr>
                <w:rFonts w:ascii="Times New Roman" w:hAnsi="Times New Roman" w:cs="Times New Roman"/>
                <w:szCs w:val="24"/>
                <w:lang w:eastAsia="en-IN"/>
              </w:rPr>
              <w:t>0.25</w:t>
            </w:r>
          </w:p>
        </w:tc>
        <w:tc>
          <w:tcPr>
            <w:tcW w:w="1377" w:type="dxa"/>
            <w:tcBorders>
              <w:top w:val="nil"/>
              <w:left w:val="nil"/>
              <w:bottom w:val="single" w:sz="4" w:space="0" w:color="auto"/>
              <w:right w:val="single" w:sz="4" w:space="0" w:color="auto"/>
            </w:tcBorders>
            <w:noWrap/>
            <w:vAlign w:val="center"/>
            <w:hideMark/>
          </w:tcPr>
          <w:p w14:paraId="62F6BC5F" w14:textId="423EF6EC" w:rsidR="001B5AC2" w:rsidRPr="008E2A3E" w:rsidRDefault="001B5AC2" w:rsidP="008E2A3E">
            <w:pPr>
              <w:pStyle w:val="NoSpacing"/>
              <w:jc w:val="center"/>
              <w:rPr>
                <w:rFonts w:ascii="Times New Roman" w:hAnsi="Times New Roman" w:cs="Times New Roman"/>
                <w:szCs w:val="24"/>
                <w:lang w:eastAsia="en-IN"/>
              </w:rPr>
            </w:pPr>
            <w:r w:rsidRPr="008E2A3E">
              <w:rPr>
                <w:rFonts w:ascii="Times New Roman" w:hAnsi="Times New Roman" w:cs="Times New Roman"/>
                <w:szCs w:val="24"/>
                <w:lang w:eastAsia="en-IN"/>
              </w:rPr>
              <w:t>8</w:t>
            </w:r>
            <w:r w:rsidR="00BA3FB7">
              <w:rPr>
                <w:rFonts w:ascii="Times New Roman" w:hAnsi="Times New Roman" w:cs="Times New Roman"/>
                <w:szCs w:val="24"/>
                <w:lang w:eastAsia="en-IN"/>
              </w:rPr>
              <w:t>.00</w:t>
            </w:r>
          </w:p>
        </w:tc>
        <w:tc>
          <w:tcPr>
            <w:tcW w:w="958" w:type="dxa"/>
            <w:tcBorders>
              <w:top w:val="nil"/>
              <w:left w:val="nil"/>
              <w:bottom w:val="single" w:sz="4" w:space="0" w:color="auto"/>
              <w:right w:val="single" w:sz="4" w:space="0" w:color="auto"/>
            </w:tcBorders>
            <w:noWrap/>
            <w:vAlign w:val="center"/>
            <w:hideMark/>
          </w:tcPr>
          <w:p w14:paraId="2EA569B2" w14:textId="77777777" w:rsidR="001B5AC2" w:rsidRPr="008E2A3E" w:rsidRDefault="001B5AC2" w:rsidP="008E2A3E">
            <w:pPr>
              <w:pStyle w:val="NoSpacing"/>
              <w:jc w:val="center"/>
              <w:rPr>
                <w:rFonts w:ascii="Times New Roman" w:hAnsi="Times New Roman" w:cs="Times New Roman"/>
                <w:szCs w:val="24"/>
                <w:lang w:eastAsia="en-IN"/>
              </w:rPr>
            </w:pPr>
            <w:r w:rsidRPr="008E2A3E">
              <w:rPr>
                <w:rFonts w:ascii="Times New Roman" w:hAnsi="Times New Roman" w:cs="Times New Roman"/>
                <w:szCs w:val="24"/>
                <w:lang w:eastAsia="en-IN"/>
              </w:rPr>
              <w:t>6.11</w:t>
            </w:r>
          </w:p>
        </w:tc>
        <w:tc>
          <w:tcPr>
            <w:tcW w:w="1293" w:type="dxa"/>
            <w:tcBorders>
              <w:top w:val="nil"/>
              <w:left w:val="nil"/>
              <w:bottom w:val="single" w:sz="4" w:space="0" w:color="auto"/>
              <w:right w:val="single" w:sz="4" w:space="0" w:color="auto"/>
            </w:tcBorders>
            <w:noWrap/>
            <w:vAlign w:val="center"/>
            <w:hideMark/>
          </w:tcPr>
          <w:p w14:paraId="1AD49BB2" w14:textId="77777777" w:rsidR="001B5AC2" w:rsidRPr="008E2A3E" w:rsidRDefault="001B5AC2" w:rsidP="008E2A3E">
            <w:pPr>
              <w:pStyle w:val="NoSpacing"/>
              <w:jc w:val="center"/>
              <w:rPr>
                <w:rFonts w:ascii="Times New Roman" w:hAnsi="Times New Roman" w:cs="Times New Roman"/>
                <w:szCs w:val="24"/>
                <w:lang w:eastAsia="en-IN"/>
              </w:rPr>
            </w:pPr>
            <w:r w:rsidRPr="008E2A3E">
              <w:rPr>
                <w:rFonts w:ascii="Times New Roman" w:hAnsi="Times New Roman" w:cs="Times New Roman"/>
                <w:szCs w:val="24"/>
                <w:lang w:eastAsia="en-IN"/>
              </w:rPr>
              <w:t>0.53</w:t>
            </w:r>
          </w:p>
        </w:tc>
        <w:tc>
          <w:tcPr>
            <w:tcW w:w="1628" w:type="dxa"/>
            <w:tcBorders>
              <w:top w:val="nil"/>
              <w:left w:val="nil"/>
              <w:bottom w:val="single" w:sz="4" w:space="0" w:color="auto"/>
              <w:right w:val="single" w:sz="4" w:space="0" w:color="auto"/>
            </w:tcBorders>
            <w:noWrap/>
            <w:vAlign w:val="center"/>
            <w:hideMark/>
          </w:tcPr>
          <w:p w14:paraId="6965C0D2" w14:textId="77777777" w:rsidR="001B5AC2" w:rsidRPr="008E2A3E" w:rsidRDefault="001B5AC2" w:rsidP="008E2A3E">
            <w:pPr>
              <w:pStyle w:val="NoSpacing"/>
              <w:jc w:val="center"/>
              <w:rPr>
                <w:rFonts w:ascii="Times New Roman" w:hAnsi="Times New Roman" w:cs="Times New Roman"/>
                <w:szCs w:val="24"/>
                <w:lang w:eastAsia="en-IN"/>
              </w:rPr>
            </w:pPr>
            <w:r w:rsidRPr="008E2A3E">
              <w:rPr>
                <w:rFonts w:ascii="Times New Roman" w:hAnsi="Times New Roman" w:cs="Times New Roman"/>
                <w:szCs w:val="24"/>
                <w:lang w:eastAsia="en-IN"/>
              </w:rPr>
              <w:t>1.06</w:t>
            </w:r>
          </w:p>
        </w:tc>
        <w:tc>
          <w:tcPr>
            <w:tcW w:w="1720" w:type="dxa"/>
            <w:tcBorders>
              <w:top w:val="nil"/>
              <w:left w:val="nil"/>
              <w:bottom w:val="single" w:sz="4" w:space="0" w:color="auto"/>
              <w:right w:val="single" w:sz="4" w:space="0" w:color="auto"/>
            </w:tcBorders>
            <w:noWrap/>
            <w:vAlign w:val="center"/>
            <w:hideMark/>
          </w:tcPr>
          <w:p w14:paraId="7FA32B3A" w14:textId="77777777" w:rsidR="001B5AC2" w:rsidRPr="008E2A3E" w:rsidRDefault="001B5AC2" w:rsidP="008E2A3E">
            <w:pPr>
              <w:pStyle w:val="NoSpacing"/>
              <w:jc w:val="center"/>
              <w:rPr>
                <w:rFonts w:ascii="Times New Roman" w:hAnsi="Times New Roman" w:cs="Times New Roman"/>
                <w:szCs w:val="24"/>
                <w:lang w:eastAsia="en-IN"/>
              </w:rPr>
            </w:pPr>
            <w:r w:rsidRPr="008E2A3E">
              <w:rPr>
                <w:rFonts w:ascii="Times New Roman" w:hAnsi="Times New Roman" w:cs="Times New Roman"/>
                <w:szCs w:val="24"/>
                <w:lang w:eastAsia="en-IN"/>
              </w:rPr>
              <w:t>1.28</w:t>
            </w:r>
          </w:p>
        </w:tc>
        <w:tc>
          <w:tcPr>
            <w:tcW w:w="1720" w:type="dxa"/>
            <w:tcBorders>
              <w:top w:val="nil"/>
              <w:left w:val="nil"/>
              <w:bottom w:val="single" w:sz="4" w:space="0" w:color="auto"/>
              <w:right w:val="single" w:sz="4" w:space="0" w:color="auto"/>
            </w:tcBorders>
            <w:noWrap/>
            <w:vAlign w:val="center"/>
            <w:hideMark/>
          </w:tcPr>
          <w:p w14:paraId="31BE4256" w14:textId="77777777" w:rsidR="001B5AC2" w:rsidRPr="008E2A3E" w:rsidRDefault="001B5AC2" w:rsidP="008E2A3E">
            <w:pPr>
              <w:pStyle w:val="NoSpacing"/>
              <w:jc w:val="center"/>
              <w:rPr>
                <w:rFonts w:ascii="Times New Roman" w:hAnsi="Times New Roman" w:cs="Times New Roman"/>
                <w:szCs w:val="24"/>
                <w:lang w:eastAsia="en-IN"/>
              </w:rPr>
            </w:pPr>
            <w:r w:rsidRPr="008E2A3E">
              <w:rPr>
                <w:rFonts w:ascii="Times New Roman" w:hAnsi="Times New Roman" w:cs="Times New Roman"/>
                <w:szCs w:val="24"/>
                <w:lang w:eastAsia="en-IN"/>
              </w:rPr>
              <w:t>2.94</w:t>
            </w:r>
          </w:p>
        </w:tc>
        <w:tc>
          <w:tcPr>
            <w:tcW w:w="1698" w:type="dxa"/>
            <w:tcBorders>
              <w:top w:val="nil"/>
              <w:left w:val="nil"/>
              <w:bottom w:val="single" w:sz="4" w:space="0" w:color="auto"/>
              <w:right w:val="single" w:sz="4" w:space="0" w:color="auto"/>
            </w:tcBorders>
            <w:noWrap/>
            <w:vAlign w:val="center"/>
            <w:hideMark/>
          </w:tcPr>
          <w:p w14:paraId="6B03B73B" w14:textId="77777777" w:rsidR="001B5AC2" w:rsidRPr="008E2A3E" w:rsidRDefault="001B5AC2" w:rsidP="008E2A3E">
            <w:pPr>
              <w:pStyle w:val="NoSpacing"/>
              <w:jc w:val="center"/>
              <w:rPr>
                <w:rFonts w:ascii="Times New Roman" w:hAnsi="Times New Roman" w:cs="Times New Roman"/>
                <w:szCs w:val="24"/>
                <w:lang w:eastAsia="en-IN"/>
              </w:rPr>
            </w:pPr>
            <w:r w:rsidRPr="008E2A3E">
              <w:rPr>
                <w:rFonts w:ascii="Times New Roman" w:hAnsi="Times New Roman" w:cs="Times New Roman"/>
                <w:szCs w:val="24"/>
                <w:lang w:eastAsia="en-IN"/>
              </w:rPr>
              <w:t>133.96</w:t>
            </w:r>
          </w:p>
        </w:tc>
      </w:tr>
      <w:tr w:rsidR="001B5AC2" w:rsidRPr="008E2A3E" w14:paraId="32452950" w14:textId="77777777" w:rsidTr="00F42E63">
        <w:trPr>
          <w:trHeight w:val="325"/>
        </w:trPr>
        <w:tc>
          <w:tcPr>
            <w:tcW w:w="1636" w:type="dxa"/>
            <w:tcBorders>
              <w:top w:val="nil"/>
              <w:left w:val="single" w:sz="4" w:space="0" w:color="auto"/>
              <w:bottom w:val="single" w:sz="4" w:space="0" w:color="auto"/>
              <w:right w:val="single" w:sz="4" w:space="0" w:color="auto"/>
            </w:tcBorders>
            <w:noWrap/>
            <w:vAlign w:val="center"/>
            <w:hideMark/>
          </w:tcPr>
          <w:p w14:paraId="7821A124" w14:textId="77777777" w:rsidR="001B5AC2" w:rsidRPr="008E2A3E" w:rsidRDefault="001B5AC2" w:rsidP="001B5AC2">
            <w:pPr>
              <w:pStyle w:val="NoSpacing"/>
              <w:rPr>
                <w:rFonts w:ascii="Times New Roman" w:hAnsi="Times New Roman" w:cs="Times New Roman"/>
                <w:szCs w:val="24"/>
                <w:lang w:eastAsia="en-IN"/>
              </w:rPr>
            </w:pPr>
            <w:r w:rsidRPr="008E2A3E">
              <w:rPr>
                <w:rFonts w:ascii="Times New Roman" w:hAnsi="Times New Roman" w:cs="Times New Roman"/>
                <w:szCs w:val="24"/>
                <w:lang w:eastAsia="en-IN"/>
              </w:rPr>
              <w:t>1967-68</w:t>
            </w:r>
          </w:p>
        </w:tc>
        <w:tc>
          <w:tcPr>
            <w:tcW w:w="1019" w:type="dxa"/>
            <w:tcBorders>
              <w:top w:val="nil"/>
              <w:left w:val="nil"/>
              <w:bottom w:val="single" w:sz="4" w:space="0" w:color="auto"/>
              <w:right w:val="single" w:sz="4" w:space="0" w:color="auto"/>
            </w:tcBorders>
            <w:noWrap/>
            <w:vAlign w:val="center"/>
            <w:hideMark/>
          </w:tcPr>
          <w:p w14:paraId="3D2FD76B" w14:textId="77777777" w:rsidR="001B5AC2" w:rsidRPr="008E2A3E" w:rsidRDefault="001B5AC2" w:rsidP="008E2A3E">
            <w:pPr>
              <w:pStyle w:val="NoSpacing"/>
              <w:jc w:val="center"/>
              <w:rPr>
                <w:rFonts w:ascii="Times New Roman" w:hAnsi="Times New Roman" w:cs="Times New Roman"/>
                <w:szCs w:val="24"/>
                <w:lang w:eastAsia="en-IN"/>
              </w:rPr>
            </w:pPr>
            <w:r w:rsidRPr="008E2A3E">
              <w:rPr>
                <w:rFonts w:ascii="Times New Roman" w:hAnsi="Times New Roman" w:cs="Times New Roman"/>
                <w:szCs w:val="24"/>
                <w:lang w:eastAsia="en-IN"/>
              </w:rPr>
              <w:t>3.24</w:t>
            </w:r>
          </w:p>
        </w:tc>
        <w:tc>
          <w:tcPr>
            <w:tcW w:w="915" w:type="dxa"/>
            <w:tcBorders>
              <w:top w:val="nil"/>
              <w:left w:val="nil"/>
              <w:bottom w:val="single" w:sz="4" w:space="0" w:color="auto"/>
              <w:right w:val="single" w:sz="4" w:space="0" w:color="auto"/>
            </w:tcBorders>
            <w:noWrap/>
            <w:vAlign w:val="center"/>
            <w:hideMark/>
          </w:tcPr>
          <w:p w14:paraId="6F67E8BA" w14:textId="77777777" w:rsidR="001B5AC2" w:rsidRPr="008E2A3E" w:rsidRDefault="001B5AC2" w:rsidP="008E2A3E">
            <w:pPr>
              <w:pStyle w:val="NoSpacing"/>
              <w:jc w:val="center"/>
              <w:rPr>
                <w:rFonts w:ascii="Times New Roman" w:hAnsi="Times New Roman" w:cs="Times New Roman"/>
                <w:szCs w:val="24"/>
                <w:lang w:eastAsia="en-IN"/>
              </w:rPr>
            </w:pPr>
            <w:r w:rsidRPr="008E2A3E">
              <w:rPr>
                <w:rFonts w:ascii="Times New Roman" w:hAnsi="Times New Roman" w:cs="Times New Roman"/>
                <w:szCs w:val="24"/>
                <w:lang w:eastAsia="en-IN"/>
              </w:rPr>
              <w:t>34.54</w:t>
            </w:r>
          </w:p>
        </w:tc>
        <w:tc>
          <w:tcPr>
            <w:tcW w:w="1041" w:type="dxa"/>
            <w:tcBorders>
              <w:top w:val="nil"/>
              <w:left w:val="nil"/>
              <w:bottom w:val="single" w:sz="4" w:space="0" w:color="auto"/>
              <w:right w:val="single" w:sz="4" w:space="0" w:color="auto"/>
            </w:tcBorders>
            <w:noWrap/>
            <w:vAlign w:val="center"/>
            <w:hideMark/>
          </w:tcPr>
          <w:p w14:paraId="00582501" w14:textId="77777777" w:rsidR="001B5AC2" w:rsidRPr="008E2A3E" w:rsidRDefault="001B5AC2" w:rsidP="008E2A3E">
            <w:pPr>
              <w:pStyle w:val="NoSpacing"/>
              <w:jc w:val="center"/>
              <w:rPr>
                <w:rFonts w:ascii="Times New Roman" w:hAnsi="Times New Roman" w:cs="Times New Roman"/>
                <w:szCs w:val="24"/>
                <w:lang w:eastAsia="en-IN"/>
              </w:rPr>
            </w:pPr>
            <w:r w:rsidRPr="008E2A3E">
              <w:rPr>
                <w:rFonts w:ascii="Times New Roman" w:hAnsi="Times New Roman" w:cs="Times New Roman"/>
                <w:szCs w:val="24"/>
                <w:lang w:eastAsia="en-IN"/>
              </w:rPr>
              <w:t>0.33</w:t>
            </w:r>
          </w:p>
        </w:tc>
        <w:tc>
          <w:tcPr>
            <w:tcW w:w="1377" w:type="dxa"/>
            <w:tcBorders>
              <w:top w:val="nil"/>
              <w:left w:val="nil"/>
              <w:bottom w:val="single" w:sz="4" w:space="0" w:color="auto"/>
              <w:right w:val="single" w:sz="4" w:space="0" w:color="auto"/>
            </w:tcBorders>
            <w:noWrap/>
            <w:vAlign w:val="center"/>
            <w:hideMark/>
          </w:tcPr>
          <w:p w14:paraId="50904D89" w14:textId="77777777" w:rsidR="001B5AC2" w:rsidRPr="008E2A3E" w:rsidRDefault="001B5AC2" w:rsidP="008E2A3E">
            <w:pPr>
              <w:pStyle w:val="NoSpacing"/>
              <w:jc w:val="center"/>
              <w:rPr>
                <w:rFonts w:ascii="Times New Roman" w:hAnsi="Times New Roman" w:cs="Times New Roman"/>
                <w:szCs w:val="24"/>
                <w:lang w:eastAsia="en-IN"/>
              </w:rPr>
            </w:pPr>
            <w:r w:rsidRPr="008E2A3E">
              <w:rPr>
                <w:rFonts w:ascii="Times New Roman" w:hAnsi="Times New Roman" w:cs="Times New Roman"/>
                <w:szCs w:val="24"/>
                <w:lang w:eastAsia="en-IN"/>
              </w:rPr>
              <w:t>8.53</w:t>
            </w:r>
          </w:p>
        </w:tc>
        <w:tc>
          <w:tcPr>
            <w:tcW w:w="958" w:type="dxa"/>
            <w:tcBorders>
              <w:top w:val="nil"/>
              <w:left w:val="nil"/>
              <w:bottom w:val="single" w:sz="4" w:space="0" w:color="auto"/>
              <w:right w:val="single" w:sz="4" w:space="0" w:color="auto"/>
            </w:tcBorders>
            <w:noWrap/>
            <w:vAlign w:val="center"/>
            <w:hideMark/>
          </w:tcPr>
          <w:p w14:paraId="4AFB671F" w14:textId="77777777" w:rsidR="001B5AC2" w:rsidRPr="008E2A3E" w:rsidRDefault="001B5AC2" w:rsidP="008E2A3E">
            <w:pPr>
              <w:pStyle w:val="NoSpacing"/>
              <w:jc w:val="center"/>
              <w:rPr>
                <w:rFonts w:ascii="Times New Roman" w:hAnsi="Times New Roman" w:cs="Times New Roman"/>
                <w:szCs w:val="24"/>
                <w:lang w:eastAsia="en-IN"/>
              </w:rPr>
            </w:pPr>
            <w:r w:rsidRPr="008E2A3E">
              <w:rPr>
                <w:rFonts w:ascii="Times New Roman" w:hAnsi="Times New Roman" w:cs="Times New Roman"/>
                <w:szCs w:val="24"/>
                <w:lang w:eastAsia="en-IN"/>
              </w:rPr>
              <w:t>6.73</w:t>
            </w:r>
          </w:p>
        </w:tc>
        <w:tc>
          <w:tcPr>
            <w:tcW w:w="1293" w:type="dxa"/>
            <w:tcBorders>
              <w:top w:val="nil"/>
              <w:left w:val="nil"/>
              <w:bottom w:val="single" w:sz="4" w:space="0" w:color="auto"/>
              <w:right w:val="single" w:sz="4" w:space="0" w:color="auto"/>
            </w:tcBorders>
            <w:noWrap/>
            <w:vAlign w:val="center"/>
            <w:hideMark/>
          </w:tcPr>
          <w:p w14:paraId="29AFFD22" w14:textId="77777777" w:rsidR="001B5AC2" w:rsidRPr="008E2A3E" w:rsidRDefault="001B5AC2" w:rsidP="008E2A3E">
            <w:pPr>
              <w:pStyle w:val="NoSpacing"/>
              <w:jc w:val="center"/>
              <w:rPr>
                <w:rFonts w:ascii="Times New Roman" w:hAnsi="Times New Roman" w:cs="Times New Roman"/>
                <w:szCs w:val="24"/>
                <w:lang w:eastAsia="en-IN"/>
              </w:rPr>
            </w:pPr>
            <w:r w:rsidRPr="008E2A3E">
              <w:rPr>
                <w:rFonts w:ascii="Times New Roman" w:hAnsi="Times New Roman" w:cs="Times New Roman"/>
                <w:szCs w:val="24"/>
                <w:lang w:eastAsia="en-IN"/>
              </w:rPr>
              <w:t>0.41</w:t>
            </w:r>
          </w:p>
        </w:tc>
        <w:tc>
          <w:tcPr>
            <w:tcW w:w="1628" w:type="dxa"/>
            <w:tcBorders>
              <w:top w:val="nil"/>
              <w:left w:val="nil"/>
              <w:bottom w:val="single" w:sz="4" w:space="0" w:color="auto"/>
              <w:right w:val="single" w:sz="4" w:space="0" w:color="auto"/>
            </w:tcBorders>
            <w:noWrap/>
            <w:vAlign w:val="center"/>
            <w:hideMark/>
          </w:tcPr>
          <w:p w14:paraId="5F8ED844" w14:textId="77777777" w:rsidR="001B5AC2" w:rsidRPr="008E2A3E" w:rsidRDefault="001B5AC2" w:rsidP="008E2A3E">
            <w:pPr>
              <w:pStyle w:val="NoSpacing"/>
              <w:jc w:val="center"/>
              <w:rPr>
                <w:rFonts w:ascii="Times New Roman" w:hAnsi="Times New Roman" w:cs="Times New Roman"/>
                <w:szCs w:val="24"/>
                <w:lang w:eastAsia="en-IN"/>
              </w:rPr>
            </w:pPr>
            <w:r w:rsidRPr="008E2A3E">
              <w:rPr>
                <w:rFonts w:ascii="Times New Roman" w:hAnsi="Times New Roman" w:cs="Times New Roman"/>
                <w:szCs w:val="24"/>
                <w:lang w:eastAsia="en-IN"/>
              </w:rPr>
              <w:t>1.21</w:t>
            </w:r>
          </w:p>
        </w:tc>
        <w:tc>
          <w:tcPr>
            <w:tcW w:w="1720" w:type="dxa"/>
            <w:tcBorders>
              <w:top w:val="nil"/>
              <w:left w:val="nil"/>
              <w:bottom w:val="single" w:sz="4" w:space="0" w:color="auto"/>
              <w:right w:val="single" w:sz="4" w:space="0" w:color="auto"/>
            </w:tcBorders>
            <w:noWrap/>
            <w:vAlign w:val="center"/>
            <w:hideMark/>
          </w:tcPr>
          <w:p w14:paraId="060B9D85" w14:textId="77777777" w:rsidR="001B5AC2" w:rsidRPr="008E2A3E" w:rsidRDefault="001B5AC2" w:rsidP="008E2A3E">
            <w:pPr>
              <w:pStyle w:val="NoSpacing"/>
              <w:jc w:val="center"/>
              <w:rPr>
                <w:rFonts w:ascii="Times New Roman" w:hAnsi="Times New Roman" w:cs="Times New Roman"/>
                <w:szCs w:val="24"/>
                <w:lang w:eastAsia="en-IN"/>
              </w:rPr>
            </w:pPr>
            <w:r w:rsidRPr="008E2A3E">
              <w:rPr>
                <w:rFonts w:ascii="Times New Roman" w:hAnsi="Times New Roman" w:cs="Times New Roman"/>
                <w:szCs w:val="24"/>
                <w:lang w:eastAsia="en-IN"/>
              </w:rPr>
              <w:t>0.97</w:t>
            </w:r>
          </w:p>
        </w:tc>
        <w:tc>
          <w:tcPr>
            <w:tcW w:w="1720" w:type="dxa"/>
            <w:tcBorders>
              <w:top w:val="nil"/>
              <w:left w:val="nil"/>
              <w:bottom w:val="single" w:sz="4" w:space="0" w:color="auto"/>
              <w:right w:val="single" w:sz="4" w:space="0" w:color="auto"/>
            </w:tcBorders>
            <w:noWrap/>
            <w:vAlign w:val="center"/>
            <w:hideMark/>
          </w:tcPr>
          <w:p w14:paraId="06A6B19D" w14:textId="77777777" w:rsidR="001B5AC2" w:rsidRPr="008E2A3E" w:rsidRDefault="001B5AC2" w:rsidP="008E2A3E">
            <w:pPr>
              <w:pStyle w:val="NoSpacing"/>
              <w:jc w:val="center"/>
              <w:rPr>
                <w:rFonts w:ascii="Times New Roman" w:hAnsi="Times New Roman" w:cs="Times New Roman"/>
                <w:szCs w:val="24"/>
                <w:lang w:eastAsia="en-IN"/>
              </w:rPr>
            </w:pPr>
            <w:r w:rsidRPr="008E2A3E">
              <w:rPr>
                <w:rFonts w:ascii="Times New Roman" w:hAnsi="Times New Roman" w:cs="Times New Roman"/>
                <w:szCs w:val="24"/>
                <w:lang w:eastAsia="en-IN"/>
              </w:rPr>
              <w:t>3.38</w:t>
            </w:r>
          </w:p>
        </w:tc>
        <w:tc>
          <w:tcPr>
            <w:tcW w:w="1698" w:type="dxa"/>
            <w:tcBorders>
              <w:top w:val="nil"/>
              <w:left w:val="nil"/>
              <w:bottom w:val="single" w:sz="4" w:space="0" w:color="auto"/>
              <w:right w:val="single" w:sz="4" w:space="0" w:color="auto"/>
            </w:tcBorders>
            <w:noWrap/>
            <w:vAlign w:val="center"/>
            <w:hideMark/>
          </w:tcPr>
          <w:p w14:paraId="43F893A6" w14:textId="77777777" w:rsidR="001B5AC2" w:rsidRPr="008E2A3E" w:rsidRDefault="001B5AC2" w:rsidP="008E2A3E">
            <w:pPr>
              <w:pStyle w:val="NoSpacing"/>
              <w:jc w:val="center"/>
              <w:rPr>
                <w:rFonts w:ascii="Times New Roman" w:hAnsi="Times New Roman" w:cs="Times New Roman"/>
                <w:szCs w:val="24"/>
                <w:lang w:eastAsia="en-IN"/>
              </w:rPr>
            </w:pPr>
            <w:r w:rsidRPr="008E2A3E">
              <w:rPr>
                <w:rFonts w:ascii="Times New Roman" w:hAnsi="Times New Roman" w:cs="Times New Roman"/>
                <w:szCs w:val="24"/>
                <w:lang w:eastAsia="en-IN"/>
              </w:rPr>
              <w:t>155.44</w:t>
            </w:r>
          </w:p>
        </w:tc>
      </w:tr>
      <w:tr w:rsidR="001B5AC2" w:rsidRPr="008E2A3E" w14:paraId="6DAC6826" w14:textId="77777777" w:rsidTr="00F42E63">
        <w:trPr>
          <w:trHeight w:val="325"/>
        </w:trPr>
        <w:tc>
          <w:tcPr>
            <w:tcW w:w="1636" w:type="dxa"/>
            <w:tcBorders>
              <w:top w:val="nil"/>
              <w:left w:val="single" w:sz="4" w:space="0" w:color="auto"/>
              <w:bottom w:val="single" w:sz="4" w:space="0" w:color="auto"/>
              <w:right w:val="single" w:sz="4" w:space="0" w:color="auto"/>
            </w:tcBorders>
            <w:noWrap/>
            <w:vAlign w:val="center"/>
            <w:hideMark/>
          </w:tcPr>
          <w:p w14:paraId="224EAC05" w14:textId="77777777" w:rsidR="001B5AC2" w:rsidRPr="008E2A3E" w:rsidRDefault="001B5AC2" w:rsidP="001B5AC2">
            <w:pPr>
              <w:pStyle w:val="NoSpacing"/>
              <w:rPr>
                <w:rFonts w:ascii="Times New Roman" w:hAnsi="Times New Roman" w:cs="Times New Roman"/>
                <w:szCs w:val="24"/>
                <w:lang w:eastAsia="en-IN"/>
              </w:rPr>
            </w:pPr>
            <w:r w:rsidRPr="008E2A3E">
              <w:rPr>
                <w:rFonts w:ascii="Times New Roman" w:hAnsi="Times New Roman" w:cs="Times New Roman"/>
                <w:szCs w:val="24"/>
                <w:lang w:eastAsia="en-IN"/>
              </w:rPr>
              <w:t>1968-69 (RE)</w:t>
            </w:r>
          </w:p>
        </w:tc>
        <w:tc>
          <w:tcPr>
            <w:tcW w:w="1019" w:type="dxa"/>
            <w:tcBorders>
              <w:top w:val="nil"/>
              <w:left w:val="nil"/>
              <w:bottom w:val="single" w:sz="4" w:space="0" w:color="auto"/>
              <w:right w:val="single" w:sz="4" w:space="0" w:color="auto"/>
            </w:tcBorders>
            <w:noWrap/>
            <w:vAlign w:val="center"/>
            <w:hideMark/>
          </w:tcPr>
          <w:p w14:paraId="3F29FA02" w14:textId="77777777" w:rsidR="001B5AC2" w:rsidRPr="008E2A3E" w:rsidRDefault="001B5AC2" w:rsidP="008E2A3E">
            <w:pPr>
              <w:pStyle w:val="NoSpacing"/>
              <w:jc w:val="center"/>
              <w:rPr>
                <w:rFonts w:ascii="Times New Roman" w:hAnsi="Times New Roman" w:cs="Times New Roman"/>
                <w:szCs w:val="24"/>
                <w:lang w:eastAsia="en-IN"/>
              </w:rPr>
            </w:pPr>
            <w:r w:rsidRPr="008E2A3E">
              <w:rPr>
                <w:rFonts w:ascii="Times New Roman" w:hAnsi="Times New Roman" w:cs="Times New Roman"/>
                <w:szCs w:val="24"/>
                <w:lang w:eastAsia="en-IN"/>
              </w:rPr>
              <w:t>10.38 (6.24)</w:t>
            </w:r>
          </w:p>
        </w:tc>
        <w:tc>
          <w:tcPr>
            <w:tcW w:w="915" w:type="dxa"/>
            <w:tcBorders>
              <w:top w:val="nil"/>
              <w:left w:val="nil"/>
              <w:bottom w:val="single" w:sz="4" w:space="0" w:color="auto"/>
              <w:right w:val="single" w:sz="4" w:space="0" w:color="auto"/>
            </w:tcBorders>
            <w:noWrap/>
            <w:vAlign w:val="center"/>
            <w:hideMark/>
          </w:tcPr>
          <w:p w14:paraId="4868EF6D" w14:textId="77777777" w:rsidR="001B5AC2" w:rsidRPr="008E2A3E" w:rsidRDefault="001B5AC2" w:rsidP="008E2A3E">
            <w:pPr>
              <w:pStyle w:val="NoSpacing"/>
              <w:jc w:val="center"/>
              <w:rPr>
                <w:rFonts w:ascii="Times New Roman" w:hAnsi="Times New Roman" w:cs="Times New Roman"/>
                <w:szCs w:val="24"/>
                <w:lang w:eastAsia="en-IN"/>
              </w:rPr>
            </w:pPr>
            <w:r w:rsidRPr="008E2A3E">
              <w:rPr>
                <w:rFonts w:ascii="Times New Roman" w:hAnsi="Times New Roman" w:cs="Times New Roman"/>
                <w:szCs w:val="24"/>
                <w:lang w:eastAsia="en-IN"/>
              </w:rPr>
              <w:t>34.55 (20.79)</w:t>
            </w:r>
          </w:p>
        </w:tc>
        <w:tc>
          <w:tcPr>
            <w:tcW w:w="1041" w:type="dxa"/>
            <w:tcBorders>
              <w:top w:val="nil"/>
              <w:left w:val="nil"/>
              <w:bottom w:val="single" w:sz="4" w:space="0" w:color="auto"/>
              <w:right w:val="single" w:sz="4" w:space="0" w:color="auto"/>
            </w:tcBorders>
            <w:noWrap/>
            <w:vAlign w:val="center"/>
            <w:hideMark/>
          </w:tcPr>
          <w:p w14:paraId="7CB5F41F" w14:textId="77777777" w:rsidR="001B5AC2" w:rsidRPr="008E2A3E" w:rsidRDefault="001B5AC2" w:rsidP="008E2A3E">
            <w:pPr>
              <w:pStyle w:val="NoSpacing"/>
              <w:jc w:val="center"/>
              <w:rPr>
                <w:rFonts w:ascii="Times New Roman" w:hAnsi="Times New Roman" w:cs="Times New Roman"/>
                <w:szCs w:val="24"/>
                <w:lang w:eastAsia="en-IN"/>
              </w:rPr>
            </w:pPr>
            <w:r w:rsidRPr="008E2A3E">
              <w:rPr>
                <w:rFonts w:ascii="Times New Roman" w:hAnsi="Times New Roman" w:cs="Times New Roman"/>
                <w:szCs w:val="24"/>
                <w:lang w:eastAsia="en-IN"/>
              </w:rPr>
              <w:t>2.05 (1.23)</w:t>
            </w:r>
          </w:p>
        </w:tc>
        <w:tc>
          <w:tcPr>
            <w:tcW w:w="1377" w:type="dxa"/>
            <w:tcBorders>
              <w:top w:val="nil"/>
              <w:left w:val="nil"/>
              <w:bottom w:val="single" w:sz="4" w:space="0" w:color="auto"/>
              <w:right w:val="single" w:sz="4" w:space="0" w:color="auto"/>
            </w:tcBorders>
            <w:noWrap/>
            <w:vAlign w:val="center"/>
            <w:hideMark/>
          </w:tcPr>
          <w:p w14:paraId="6D214C65" w14:textId="77777777" w:rsidR="001B5AC2" w:rsidRPr="008E2A3E" w:rsidRDefault="001B5AC2" w:rsidP="008E2A3E">
            <w:pPr>
              <w:pStyle w:val="NoSpacing"/>
              <w:jc w:val="center"/>
              <w:rPr>
                <w:rFonts w:ascii="Times New Roman" w:hAnsi="Times New Roman" w:cs="Times New Roman"/>
                <w:szCs w:val="24"/>
                <w:lang w:eastAsia="en-IN"/>
              </w:rPr>
            </w:pPr>
            <w:r w:rsidRPr="008E2A3E">
              <w:rPr>
                <w:rFonts w:ascii="Times New Roman" w:hAnsi="Times New Roman" w:cs="Times New Roman"/>
                <w:szCs w:val="24"/>
                <w:lang w:eastAsia="en-IN"/>
              </w:rPr>
              <w:t>6.72</w:t>
            </w:r>
          </w:p>
          <w:p w14:paraId="6B634D0F" w14:textId="7D02F406" w:rsidR="001B5AC2" w:rsidRPr="008E2A3E" w:rsidRDefault="001B5AC2" w:rsidP="008E2A3E">
            <w:pPr>
              <w:pStyle w:val="NoSpacing"/>
              <w:jc w:val="center"/>
              <w:rPr>
                <w:rFonts w:ascii="Times New Roman" w:hAnsi="Times New Roman" w:cs="Times New Roman"/>
                <w:szCs w:val="24"/>
                <w:lang w:eastAsia="en-IN"/>
              </w:rPr>
            </w:pPr>
            <w:r w:rsidRPr="008E2A3E">
              <w:rPr>
                <w:rFonts w:ascii="Times New Roman" w:hAnsi="Times New Roman" w:cs="Times New Roman"/>
                <w:szCs w:val="24"/>
                <w:lang w:eastAsia="en-IN"/>
              </w:rPr>
              <w:t>(4.04)</w:t>
            </w:r>
          </w:p>
        </w:tc>
        <w:tc>
          <w:tcPr>
            <w:tcW w:w="958" w:type="dxa"/>
            <w:tcBorders>
              <w:top w:val="nil"/>
              <w:left w:val="nil"/>
              <w:bottom w:val="single" w:sz="4" w:space="0" w:color="auto"/>
              <w:right w:val="single" w:sz="4" w:space="0" w:color="auto"/>
            </w:tcBorders>
            <w:noWrap/>
            <w:vAlign w:val="center"/>
            <w:hideMark/>
          </w:tcPr>
          <w:p w14:paraId="5B9025C5" w14:textId="77777777" w:rsidR="001B5AC2" w:rsidRPr="008E2A3E" w:rsidRDefault="001B5AC2" w:rsidP="008E2A3E">
            <w:pPr>
              <w:pStyle w:val="NoSpacing"/>
              <w:jc w:val="center"/>
              <w:rPr>
                <w:rFonts w:ascii="Times New Roman" w:hAnsi="Times New Roman" w:cs="Times New Roman"/>
                <w:szCs w:val="24"/>
                <w:lang w:eastAsia="en-IN"/>
              </w:rPr>
            </w:pPr>
            <w:r w:rsidRPr="008E2A3E">
              <w:rPr>
                <w:rFonts w:ascii="Times New Roman" w:hAnsi="Times New Roman" w:cs="Times New Roman"/>
                <w:szCs w:val="24"/>
                <w:lang w:eastAsia="en-IN"/>
              </w:rPr>
              <w:t>7.04 (4.23)</w:t>
            </w:r>
          </w:p>
        </w:tc>
        <w:tc>
          <w:tcPr>
            <w:tcW w:w="1293" w:type="dxa"/>
            <w:tcBorders>
              <w:top w:val="nil"/>
              <w:left w:val="nil"/>
              <w:bottom w:val="single" w:sz="4" w:space="0" w:color="auto"/>
              <w:right w:val="single" w:sz="4" w:space="0" w:color="auto"/>
            </w:tcBorders>
            <w:noWrap/>
            <w:vAlign w:val="center"/>
            <w:hideMark/>
          </w:tcPr>
          <w:p w14:paraId="157B5991" w14:textId="75588D4D" w:rsidR="001B5AC2" w:rsidRPr="008E2A3E" w:rsidRDefault="001B5AC2" w:rsidP="008E2A3E">
            <w:pPr>
              <w:pStyle w:val="NoSpacing"/>
              <w:jc w:val="center"/>
              <w:rPr>
                <w:rFonts w:ascii="Times New Roman" w:hAnsi="Times New Roman" w:cs="Times New Roman"/>
                <w:szCs w:val="24"/>
                <w:lang w:eastAsia="en-IN"/>
              </w:rPr>
            </w:pPr>
            <w:r w:rsidRPr="008E2A3E">
              <w:rPr>
                <w:rFonts w:ascii="Times New Roman" w:hAnsi="Times New Roman" w:cs="Times New Roman"/>
                <w:szCs w:val="24"/>
                <w:lang w:eastAsia="en-IN"/>
              </w:rPr>
              <w:t>0.52</w:t>
            </w:r>
          </w:p>
          <w:p w14:paraId="4405D101" w14:textId="317CA2B9" w:rsidR="001B5AC2" w:rsidRPr="008E2A3E" w:rsidRDefault="001B5AC2" w:rsidP="008E2A3E">
            <w:pPr>
              <w:pStyle w:val="NoSpacing"/>
              <w:jc w:val="center"/>
              <w:rPr>
                <w:rFonts w:ascii="Times New Roman" w:hAnsi="Times New Roman" w:cs="Times New Roman"/>
                <w:szCs w:val="24"/>
                <w:lang w:eastAsia="en-IN"/>
              </w:rPr>
            </w:pPr>
            <w:r w:rsidRPr="008E2A3E">
              <w:rPr>
                <w:rFonts w:ascii="Times New Roman" w:hAnsi="Times New Roman" w:cs="Times New Roman"/>
                <w:szCs w:val="24"/>
                <w:lang w:eastAsia="en-IN"/>
              </w:rPr>
              <w:t>(0.31)</w:t>
            </w:r>
          </w:p>
        </w:tc>
        <w:tc>
          <w:tcPr>
            <w:tcW w:w="1628" w:type="dxa"/>
            <w:tcBorders>
              <w:top w:val="nil"/>
              <w:left w:val="nil"/>
              <w:bottom w:val="single" w:sz="4" w:space="0" w:color="auto"/>
              <w:right w:val="single" w:sz="4" w:space="0" w:color="auto"/>
            </w:tcBorders>
            <w:noWrap/>
            <w:vAlign w:val="center"/>
            <w:hideMark/>
          </w:tcPr>
          <w:p w14:paraId="6BAF7BB9" w14:textId="6131BE61" w:rsidR="001B5AC2" w:rsidRPr="008E2A3E" w:rsidRDefault="001B5AC2" w:rsidP="008E2A3E">
            <w:pPr>
              <w:pStyle w:val="NoSpacing"/>
              <w:jc w:val="center"/>
              <w:rPr>
                <w:rFonts w:ascii="Times New Roman" w:hAnsi="Times New Roman" w:cs="Times New Roman"/>
                <w:szCs w:val="24"/>
                <w:lang w:eastAsia="en-IN"/>
              </w:rPr>
            </w:pPr>
            <w:r w:rsidRPr="008E2A3E">
              <w:rPr>
                <w:rFonts w:ascii="Times New Roman" w:hAnsi="Times New Roman" w:cs="Times New Roman"/>
                <w:szCs w:val="24"/>
                <w:lang w:eastAsia="en-IN"/>
              </w:rPr>
              <w:t>1.40</w:t>
            </w:r>
          </w:p>
          <w:p w14:paraId="2E2FF66B" w14:textId="3827D8A8" w:rsidR="001B5AC2" w:rsidRPr="008E2A3E" w:rsidRDefault="001B5AC2" w:rsidP="008E2A3E">
            <w:pPr>
              <w:pStyle w:val="NoSpacing"/>
              <w:jc w:val="center"/>
              <w:rPr>
                <w:rFonts w:ascii="Times New Roman" w:hAnsi="Times New Roman" w:cs="Times New Roman"/>
                <w:szCs w:val="24"/>
                <w:lang w:eastAsia="en-IN"/>
              </w:rPr>
            </w:pPr>
            <w:r w:rsidRPr="008E2A3E">
              <w:rPr>
                <w:rFonts w:ascii="Times New Roman" w:hAnsi="Times New Roman" w:cs="Times New Roman"/>
                <w:szCs w:val="24"/>
                <w:lang w:eastAsia="en-IN"/>
              </w:rPr>
              <w:t>(0.84)</w:t>
            </w:r>
          </w:p>
        </w:tc>
        <w:tc>
          <w:tcPr>
            <w:tcW w:w="1720" w:type="dxa"/>
            <w:tcBorders>
              <w:top w:val="nil"/>
              <w:left w:val="nil"/>
              <w:bottom w:val="single" w:sz="4" w:space="0" w:color="auto"/>
              <w:right w:val="single" w:sz="4" w:space="0" w:color="auto"/>
            </w:tcBorders>
            <w:noWrap/>
            <w:vAlign w:val="center"/>
            <w:hideMark/>
          </w:tcPr>
          <w:p w14:paraId="010D45A9" w14:textId="77777777" w:rsidR="001B5AC2" w:rsidRPr="008E2A3E" w:rsidRDefault="001B5AC2" w:rsidP="008E2A3E">
            <w:pPr>
              <w:pStyle w:val="NoSpacing"/>
              <w:jc w:val="center"/>
              <w:rPr>
                <w:rFonts w:ascii="Times New Roman" w:hAnsi="Times New Roman" w:cs="Times New Roman"/>
                <w:szCs w:val="24"/>
                <w:lang w:eastAsia="en-IN"/>
              </w:rPr>
            </w:pPr>
            <w:r w:rsidRPr="008E2A3E">
              <w:rPr>
                <w:rFonts w:ascii="Times New Roman" w:hAnsi="Times New Roman" w:cs="Times New Roman"/>
                <w:szCs w:val="24"/>
                <w:lang w:eastAsia="en-IN"/>
              </w:rPr>
              <w:t>2.22 (1.34)</w:t>
            </w:r>
          </w:p>
        </w:tc>
        <w:tc>
          <w:tcPr>
            <w:tcW w:w="1720" w:type="dxa"/>
            <w:tcBorders>
              <w:top w:val="nil"/>
              <w:left w:val="nil"/>
              <w:bottom w:val="single" w:sz="4" w:space="0" w:color="auto"/>
              <w:right w:val="single" w:sz="4" w:space="0" w:color="auto"/>
            </w:tcBorders>
            <w:noWrap/>
            <w:vAlign w:val="center"/>
            <w:hideMark/>
          </w:tcPr>
          <w:p w14:paraId="5F1D6D8E" w14:textId="4C616F5F" w:rsidR="001B5AC2" w:rsidRPr="008E2A3E" w:rsidRDefault="001B5AC2" w:rsidP="008E2A3E">
            <w:pPr>
              <w:pStyle w:val="NoSpacing"/>
              <w:jc w:val="center"/>
              <w:rPr>
                <w:rFonts w:ascii="Times New Roman" w:hAnsi="Times New Roman" w:cs="Times New Roman"/>
                <w:szCs w:val="24"/>
                <w:lang w:eastAsia="en-IN"/>
              </w:rPr>
            </w:pPr>
            <w:r w:rsidRPr="008E2A3E">
              <w:rPr>
                <w:rFonts w:ascii="Times New Roman" w:hAnsi="Times New Roman" w:cs="Times New Roman"/>
                <w:szCs w:val="24"/>
                <w:lang w:eastAsia="en-IN"/>
              </w:rPr>
              <w:t>3.09</w:t>
            </w:r>
          </w:p>
          <w:p w14:paraId="75360F40" w14:textId="462A481D" w:rsidR="001B5AC2" w:rsidRPr="008E2A3E" w:rsidRDefault="001B5AC2" w:rsidP="008E2A3E">
            <w:pPr>
              <w:pStyle w:val="NoSpacing"/>
              <w:jc w:val="center"/>
              <w:rPr>
                <w:rFonts w:ascii="Times New Roman" w:hAnsi="Times New Roman" w:cs="Times New Roman"/>
                <w:szCs w:val="24"/>
                <w:lang w:eastAsia="en-IN"/>
              </w:rPr>
            </w:pPr>
            <w:r w:rsidRPr="008E2A3E">
              <w:rPr>
                <w:rFonts w:ascii="Times New Roman" w:hAnsi="Times New Roman" w:cs="Times New Roman"/>
                <w:szCs w:val="24"/>
                <w:lang w:eastAsia="en-IN"/>
              </w:rPr>
              <w:t>(1.86)</w:t>
            </w:r>
          </w:p>
        </w:tc>
        <w:tc>
          <w:tcPr>
            <w:tcW w:w="1698" w:type="dxa"/>
            <w:tcBorders>
              <w:top w:val="nil"/>
              <w:left w:val="nil"/>
              <w:bottom w:val="single" w:sz="4" w:space="0" w:color="auto"/>
              <w:right w:val="single" w:sz="4" w:space="0" w:color="auto"/>
            </w:tcBorders>
            <w:noWrap/>
            <w:vAlign w:val="center"/>
            <w:hideMark/>
          </w:tcPr>
          <w:p w14:paraId="35F4068F" w14:textId="77777777" w:rsidR="001B5AC2" w:rsidRPr="008E2A3E" w:rsidRDefault="001B5AC2" w:rsidP="008E2A3E">
            <w:pPr>
              <w:pStyle w:val="NoSpacing"/>
              <w:jc w:val="center"/>
              <w:rPr>
                <w:rFonts w:ascii="Times New Roman" w:hAnsi="Times New Roman" w:cs="Times New Roman"/>
                <w:szCs w:val="24"/>
                <w:lang w:eastAsia="en-IN"/>
              </w:rPr>
            </w:pPr>
            <w:r w:rsidRPr="008E2A3E">
              <w:rPr>
                <w:rFonts w:ascii="Times New Roman" w:hAnsi="Times New Roman" w:cs="Times New Roman"/>
                <w:szCs w:val="24"/>
                <w:lang w:eastAsia="en-IN"/>
              </w:rPr>
              <w:t>166.26 (100.00)</w:t>
            </w:r>
          </w:p>
        </w:tc>
      </w:tr>
    </w:tbl>
    <w:p w14:paraId="56679F07" w14:textId="77777777" w:rsidR="00490A74" w:rsidRPr="007245B0" w:rsidRDefault="00490A74" w:rsidP="00490A74">
      <w:pPr>
        <w:tabs>
          <w:tab w:val="left" w:pos="3168"/>
        </w:tabs>
        <w:jc w:val="both"/>
        <w:rPr>
          <w:rFonts w:ascii="Times New Roman" w:hAnsi="Times New Roman" w:cs="Times New Roman"/>
          <w:b/>
          <w:bCs/>
        </w:rPr>
      </w:pPr>
    </w:p>
    <w:tbl>
      <w:tblPr>
        <w:tblW w:w="15009" w:type="dxa"/>
        <w:tblInd w:w="-856" w:type="dxa"/>
        <w:tblLook w:val="04A0" w:firstRow="1" w:lastRow="0" w:firstColumn="1" w:lastColumn="0" w:noHBand="0" w:noVBand="1"/>
      </w:tblPr>
      <w:tblGrid>
        <w:gridCol w:w="1782"/>
        <w:gridCol w:w="1062"/>
        <w:gridCol w:w="953"/>
        <w:gridCol w:w="1165"/>
        <w:gridCol w:w="1488"/>
        <w:gridCol w:w="1376"/>
        <w:gridCol w:w="1289"/>
        <w:gridCol w:w="1627"/>
        <w:gridCol w:w="1763"/>
        <w:gridCol w:w="997"/>
        <w:gridCol w:w="1507"/>
      </w:tblGrid>
      <w:tr w:rsidR="00EB5FE9" w:rsidRPr="008E2A3E" w14:paraId="05CD68BD" w14:textId="77777777" w:rsidTr="00BA3FB7">
        <w:trPr>
          <w:trHeight w:val="264"/>
        </w:trPr>
        <w:tc>
          <w:tcPr>
            <w:tcW w:w="1782" w:type="dxa"/>
            <w:tcBorders>
              <w:top w:val="single" w:sz="4" w:space="0" w:color="auto"/>
              <w:left w:val="single" w:sz="4" w:space="0" w:color="auto"/>
              <w:bottom w:val="single" w:sz="4" w:space="0" w:color="auto"/>
              <w:right w:val="single" w:sz="4" w:space="0" w:color="auto"/>
            </w:tcBorders>
            <w:noWrap/>
            <w:vAlign w:val="center"/>
            <w:hideMark/>
          </w:tcPr>
          <w:p w14:paraId="2C343817" w14:textId="77777777" w:rsidR="00EB5FE9" w:rsidRPr="008E2A3E" w:rsidRDefault="00EB5FE9" w:rsidP="00EB5FE9">
            <w:pPr>
              <w:pStyle w:val="NoSpacing"/>
              <w:rPr>
                <w:rFonts w:ascii="Times New Roman" w:hAnsi="Times New Roman" w:cs="Times New Roman"/>
                <w:b/>
                <w:bCs/>
                <w:szCs w:val="24"/>
                <w:lang w:eastAsia="en-IN"/>
              </w:rPr>
            </w:pPr>
            <w:r w:rsidRPr="008E2A3E">
              <w:rPr>
                <w:rFonts w:ascii="Times New Roman" w:hAnsi="Times New Roman" w:cs="Times New Roman"/>
                <w:b/>
                <w:bCs/>
                <w:szCs w:val="24"/>
                <w:lang w:eastAsia="en-IN"/>
              </w:rPr>
              <w:t>Year</w:t>
            </w:r>
          </w:p>
        </w:tc>
        <w:tc>
          <w:tcPr>
            <w:tcW w:w="1062" w:type="dxa"/>
            <w:tcBorders>
              <w:top w:val="single" w:sz="4" w:space="0" w:color="auto"/>
              <w:left w:val="nil"/>
              <w:bottom w:val="single" w:sz="4" w:space="0" w:color="auto"/>
              <w:right w:val="single" w:sz="4" w:space="0" w:color="auto"/>
            </w:tcBorders>
            <w:noWrap/>
            <w:vAlign w:val="center"/>
            <w:hideMark/>
          </w:tcPr>
          <w:p w14:paraId="6A588FF6" w14:textId="77777777" w:rsidR="00EB5FE9" w:rsidRPr="008E2A3E" w:rsidRDefault="00EB5FE9" w:rsidP="00EB5FE9">
            <w:pPr>
              <w:pStyle w:val="NoSpacing"/>
              <w:rPr>
                <w:rFonts w:ascii="Times New Roman" w:hAnsi="Times New Roman" w:cs="Times New Roman"/>
                <w:b/>
                <w:bCs/>
                <w:szCs w:val="24"/>
                <w:lang w:eastAsia="en-IN"/>
              </w:rPr>
            </w:pPr>
            <w:r w:rsidRPr="008E2A3E">
              <w:rPr>
                <w:rFonts w:ascii="Times New Roman" w:hAnsi="Times New Roman" w:cs="Times New Roman"/>
                <w:b/>
                <w:bCs/>
                <w:szCs w:val="24"/>
                <w:lang w:eastAsia="en-IN"/>
              </w:rPr>
              <w:t>Land revenue</w:t>
            </w:r>
          </w:p>
        </w:tc>
        <w:tc>
          <w:tcPr>
            <w:tcW w:w="953" w:type="dxa"/>
            <w:tcBorders>
              <w:top w:val="single" w:sz="4" w:space="0" w:color="auto"/>
              <w:left w:val="nil"/>
              <w:bottom w:val="single" w:sz="4" w:space="0" w:color="auto"/>
              <w:right w:val="single" w:sz="4" w:space="0" w:color="auto"/>
            </w:tcBorders>
            <w:noWrap/>
            <w:vAlign w:val="center"/>
            <w:hideMark/>
          </w:tcPr>
          <w:p w14:paraId="6297C6C1" w14:textId="77777777" w:rsidR="00EB5FE9" w:rsidRPr="008E2A3E" w:rsidRDefault="00EB5FE9" w:rsidP="00EB5FE9">
            <w:pPr>
              <w:pStyle w:val="NoSpacing"/>
              <w:rPr>
                <w:rFonts w:ascii="Times New Roman" w:hAnsi="Times New Roman" w:cs="Times New Roman"/>
                <w:b/>
                <w:bCs/>
                <w:szCs w:val="24"/>
                <w:lang w:eastAsia="en-IN"/>
              </w:rPr>
            </w:pPr>
            <w:r w:rsidRPr="008E2A3E">
              <w:rPr>
                <w:rFonts w:ascii="Times New Roman" w:hAnsi="Times New Roman" w:cs="Times New Roman"/>
                <w:b/>
                <w:bCs/>
                <w:szCs w:val="24"/>
                <w:lang w:eastAsia="en-IN"/>
              </w:rPr>
              <w:t>Sales taxes</w:t>
            </w:r>
          </w:p>
        </w:tc>
        <w:tc>
          <w:tcPr>
            <w:tcW w:w="1165" w:type="dxa"/>
            <w:tcBorders>
              <w:top w:val="single" w:sz="4" w:space="0" w:color="auto"/>
              <w:left w:val="nil"/>
              <w:bottom w:val="single" w:sz="4" w:space="0" w:color="auto"/>
              <w:right w:val="single" w:sz="4" w:space="0" w:color="auto"/>
            </w:tcBorders>
            <w:noWrap/>
            <w:vAlign w:val="center"/>
            <w:hideMark/>
          </w:tcPr>
          <w:p w14:paraId="73B0B3A6" w14:textId="77777777" w:rsidR="00EB5FE9" w:rsidRPr="008E2A3E" w:rsidRDefault="00EB5FE9" w:rsidP="00EB5FE9">
            <w:pPr>
              <w:pStyle w:val="NoSpacing"/>
              <w:rPr>
                <w:rFonts w:ascii="Times New Roman" w:hAnsi="Times New Roman" w:cs="Times New Roman"/>
                <w:b/>
                <w:bCs/>
                <w:szCs w:val="24"/>
                <w:lang w:eastAsia="en-IN"/>
              </w:rPr>
            </w:pPr>
            <w:r w:rsidRPr="008E2A3E">
              <w:rPr>
                <w:rFonts w:ascii="Times New Roman" w:hAnsi="Times New Roman" w:cs="Times New Roman"/>
                <w:b/>
                <w:bCs/>
                <w:szCs w:val="24"/>
                <w:lang w:eastAsia="en-IN"/>
              </w:rPr>
              <w:t>Motor vehicle tax</w:t>
            </w:r>
          </w:p>
        </w:tc>
        <w:tc>
          <w:tcPr>
            <w:tcW w:w="1488" w:type="dxa"/>
            <w:tcBorders>
              <w:top w:val="single" w:sz="4" w:space="0" w:color="auto"/>
              <w:left w:val="nil"/>
              <w:bottom w:val="single" w:sz="4" w:space="0" w:color="auto"/>
              <w:right w:val="single" w:sz="4" w:space="0" w:color="auto"/>
            </w:tcBorders>
            <w:noWrap/>
            <w:vAlign w:val="center"/>
            <w:hideMark/>
          </w:tcPr>
          <w:p w14:paraId="5CE8E9D4" w14:textId="77777777" w:rsidR="00EB5FE9" w:rsidRPr="008E2A3E" w:rsidRDefault="00EB5FE9" w:rsidP="00EB5FE9">
            <w:pPr>
              <w:pStyle w:val="NoSpacing"/>
              <w:rPr>
                <w:rFonts w:ascii="Times New Roman" w:hAnsi="Times New Roman" w:cs="Times New Roman"/>
                <w:b/>
                <w:bCs/>
                <w:szCs w:val="24"/>
                <w:lang w:eastAsia="en-IN"/>
              </w:rPr>
            </w:pPr>
            <w:r w:rsidRPr="008E2A3E">
              <w:rPr>
                <w:rFonts w:ascii="Times New Roman" w:hAnsi="Times New Roman" w:cs="Times New Roman"/>
                <w:b/>
                <w:bCs/>
                <w:szCs w:val="24"/>
                <w:lang w:eastAsia="en-IN"/>
              </w:rPr>
              <w:t>Stamps &amp; registration</w:t>
            </w:r>
          </w:p>
        </w:tc>
        <w:tc>
          <w:tcPr>
            <w:tcW w:w="1376" w:type="dxa"/>
            <w:tcBorders>
              <w:top w:val="single" w:sz="4" w:space="0" w:color="auto"/>
              <w:left w:val="nil"/>
              <w:bottom w:val="single" w:sz="4" w:space="0" w:color="auto"/>
              <w:right w:val="single" w:sz="4" w:space="0" w:color="auto"/>
            </w:tcBorders>
            <w:noWrap/>
            <w:vAlign w:val="center"/>
            <w:hideMark/>
          </w:tcPr>
          <w:p w14:paraId="6E5F5409" w14:textId="77777777" w:rsidR="00EB5FE9" w:rsidRPr="008E2A3E" w:rsidRDefault="00EB5FE9" w:rsidP="00EB5FE9">
            <w:pPr>
              <w:pStyle w:val="NoSpacing"/>
              <w:rPr>
                <w:rFonts w:ascii="Times New Roman" w:hAnsi="Times New Roman" w:cs="Times New Roman"/>
                <w:b/>
                <w:bCs/>
                <w:szCs w:val="24"/>
                <w:lang w:eastAsia="en-IN"/>
              </w:rPr>
            </w:pPr>
            <w:r w:rsidRPr="008E2A3E">
              <w:rPr>
                <w:rFonts w:ascii="Times New Roman" w:hAnsi="Times New Roman" w:cs="Times New Roman"/>
                <w:b/>
                <w:bCs/>
                <w:szCs w:val="24"/>
                <w:lang w:eastAsia="en-IN"/>
              </w:rPr>
              <w:t>Other taxes &amp; duties</w:t>
            </w:r>
          </w:p>
        </w:tc>
        <w:tc>
          <w:tcPr>
            <w:tcW w:w="1289" w:type="dxa"/>
            <w:tcBorders>
              <w:top w:val="single" w:sz="4" w:space="0" w:color="auto"/>
              <w:left w:val="nil"/>
              <w:bottom w:val="single" w:sz="4" w:space="0" w:color="auto"/>
              <w:right w:val="single" w:sz="4" w:space="0" w:color="auto"/>
            </w:tcBorders>
            <w:noWrap/>
            <w:vAlign w:val="center"/>
            <w:hideMark/>
          </w:tcPr>
          <w:p w14:paraId="5A27DE4B" w14:textId="77777777" w:rsidR="00EB5FE9" w:rsidRPr="008E2A3E" w:rsidRDefault="00EB5FE9" w:rsidP="00EB5FE9">
            <w:pPr>
              <w:pStyle w:val="NoSpacing"/>
              <w:rPr>
                <w:rFonts w:ascii="Times New Roman" w:hAnsi="Times New Roman" w:cs="Times New Roman"/>
                <w:b/>
                <w:bCs/>
                <w:szCs w:val="24"/>
                <w:lang w:eastAsia="en-IN"/>
              </w:rPr>
            </w:pPr>
            <w:r w:rsidRPr="008E2A3E">
              <w:rPr>
                <w:rFonts w:ascii="Times New Roman" w:hAnsi="Times New Roman" w:cs="Times New Roman"/>
                <w:b/>
                <w:bCs/>
                <w:szCs w:val="24"/>
                <w:lang w:eastAsia="en-IN"/>
              </w:rPr>
              <w:t>Education</w:t>
            </w:r>
          </w:p>
        </w:tc>
        <w:tc>
          <w:tcPr>
            <w:tcW w:w="1627" w:type="dxa"/>
            <w:tcBorders>
              <w:top w:val="single" w:sz="4" w:space="0" w:color="auto"/>
              <w:left w:val="nil"/>
              <w:bottom w:val="single" w:sz="4" w:space="0" w:color="auto"/>
              <w:right w:val="single" w:sz="4" w:space="0" w:color="auto"/>
            </w:tcBorders>
            <w:noWrap/>
            <w:vAlign w:val="center"/>
            <w:hideMark/>
          </w:tcPr>
          <w:p w14:paraId="4687DB5B" w14:textId="77777777" w:rsidR="00EB5FE9" w:rsidRPr="008E2A3E" w:rsidRDefault="00EB5FE9" w:rsidP="00EB5FE9">
            <w:pPr>
              <w:pStyle w:val="NoSpacing"/>
              <w:rPr>
                <w:rFonts w:ascii="Times New Roman" w:hAnsi="Times New Roman" w:cs="Times New Roman"/>
                <w:b/>
                <w:bCs/>
                <w:szCs w:val="24"/>
                <w:lang w:eastAsia="en-IN"/>
              </w:rPr>
            </w:pPr>
            <w:r w:rsidRPr="008E2A3E">
              <w:rPr>
                <w:rFonts w:ascii="Times New Roman" w:hAnsi="Times New Roman" w:cs="Times New Roman"/>
                <w:b/>
                <w:bCs/>
                <w:szCs w:val="24"/>
                <w:lang w:eastAsia="en-IN"/>
              </w:rPr>
              <w:t>Medical &amp; public health</w:t>
            </w:r>
          </w:p>
        </w:tc>
        <w:tc>
          <w:tcPr>
            <w:tcW w:w="1763" w:type="dxa"/>
            <w:tcBorders>
              <w:top w:val="single" w:sz="4" w:space="0" w:color="auto"/>
              <w:left w:val="nil"/>
              <w:bottom w:val="single" w:sz="4" w:space="0" w:color="auto"/>
              <w:right w:val="single" w:sz="4" w:space="0" w:color="auto"/>
            </w:tcBorders>
            <w:noWrap/>
            <w:vAlign w:val="center"/>
            <w:hideMark/>
          </w:tcPr>
          <w:p w14:paraId="64F7126A" w14:textId="77777777" w:rsidR="00EB5FE9" w:rsidRPr="008E2A3E" w:rsidRDefault="00EB5FE9" w:rsidP="00EB5FE9">
            <w:pPr>
              <w:pStyle w:val="NoSpacing"/>
              <w:rPr>
                <w:rFonts w:ascii="Times New Roman" w:hAnsi="Times New Roman" w:cs="Times New Roman"/>
                <w:b/>
                <w:bCs/>
                <w:szCs w:val="24"/>
                <w:lang w:eastAsia="en-IN"/>
              </w:rPr>
            </w:pPr>
            <w:r w:rsidRPr="008E2A3E">
              <w:rPr>
                <w:rFonts w:ascii="Times New Roman" w:hAnsi="Times New Roman" w:cs="Times New Roman"/>
                <w:b/>
                <w:bCs/>
                <w:szCs w:val="24"/>
                <w:lang w:eastAsia="en-IN"/>
              </w:rPr>
              <w:t>Administrative services</w:t>
            </w:r>
          </w:p>
        </w:tc>
        <w:tc>
          <w:tcPr>
            <w:tcW w:w="997" w:type="dxa"/>
            <w:tcBorders>
              <w:top w:val="single" w:sz="4" w:space="0" w:color="auto"/>
              <w:left w:val="nil"/>
              <w:bottom w:val="single" w:sz="4" w:space="0" w:color="auto"/>
              <w:right w:val="single" w:sz="4" w:space="0" w:color="auto"/>
            </w:tcBorders>
            <w:noWrap/>
            <w:vAlign w:val="center"/>
            <w:hideMark/>
          </w:tcPr>
          <w:p w14:paraId="758A5CF9" w14:textId="77777777" w:rsidR="00EB5FE9" w:rsidRPr="008E2A3E" w:rsidRDefault="00EB5FE9" w:rsidP="00EB5FE9">
            <w:pPr>
              <w:pStyle w:val="NoSpacing"/>
              <w:rPr>
                <w:rFonts w:ascii="Times New Roman" w:hAnsi="Times New Roman" w:cs="Times New Roman"/>
                <w:b/>
                <w:bCs/>
                <w:szCs w:val="24"/>
                <w:lang w:eastAsia="en-IN"/>
              </w:rPr>
            </w:pPr>
            <w:r w:rsidRPr="008E2A3E">
              <w:rPr>
                <w:rFonts w:ascii="Times New Roman" w:hAnsi="Times New Roman" w:cs="Times New Roman"/>
                <w:b/>
                <w:bCs/>
                <w:szCs w:val="24"/>
                <w:lang w:eastAsia="en-IN"/>
              </w:rPr>
              <w:t>Forests</w:t>
            </w:r>
          </w:p>
        </w:tc>
        <w:tc>
          <w:tcPr>
            <w:tcW w:w="1507" w:type="dxa"/>
            <w:tcBorders>
              <w:top w:val="single" w:sz="4" w:space="0" w:color="auto"/>
              <w:left w:val="nil"/>
              <w:bottom w:val="single" w:sz="4" w:space="0" w:color="auto"/>
              <w:right w:val="single" w:sz="4" w:space="0" w:color="auto"/>
            </w:tcBorders>
            <w:noWrap/>
            <w:vAlign w:val="center"/>
            <w:hideMark/>
          </w:tcPr>
          <w:p w14:paraId="581DAEF2" w14:textId="77777777" w:rsidR="00EB5FE9" w:rsidRPr="008E2A3E" w:rsidRDefault="00EB5FE9" w:rsidP="00EB5FE9">
            <w:pPr>
              <w:pStyle w:val="NoSpacing"/>
              <w:rPr>
                <w:rFonts w:ascii="Times New Roman" w:hAnsi="Times New Roman" w:cs="Times New Roman"/>
                <w:b/>
                <w:bCs/>
                <w:szCs w:val="24"/>
                <w:lang w:eastAsia="en-IN"/>
              </w:rPr>
            </w:pPr>
            <w:r w:rsidRPr="008E2A3E">
              <w:rPr>
                <w:rFonts w:ascii="Times New Roman" w:hAnsi="Times New Roman" w:cs="Times New Roman"/>
                <w:b/>
                <w:bCs/>
                <w:szCs w:val="24"/>
                <w:lang w:eastAsia="en-IN"/>
              </w:rPr>
              <w:t>Total revenue receipts</w:t>
            </w:r>
          </w:p>
        </w:tc>
      </w:tr>
      <w:tr w:rsidR="00EB5FE9" w:rsidRPr="008E2A3E" w14:paraId="2D311CC4" w14:textId="77777777" w:rsidTr="00BA3FB7">
        <w:trPr>
          <w:trHeight w:val="264"/>
        </w:trPr>
        <w:tc>
          <w:tcPr>
            <w:tcW w:w="1782" w:type="dxa"/>
            <w:tcBorders>
              <w:top w:val="nil"/>
              <w:left w:val="single" w:sz="4" w:space="0" w:color="auto"/>
              <w:bottom w:val="single" w:sz="4" w:space="0" w:color="auto"/>
              <w:right w:val="single" w:sz="4" w:space="0" w:color="auto"/>
            </w:tcBorders>
            <w:noWrap/>
            <w:vAlign w:val="center"/>
            <w:hideMark/>
          </w:tcPr>
          <w:p w14:paraId="3437C093" w14:textId="77777777" w:rsidR="00EB5FE9" w:rsidRPr="008E2A3E" w:rsidRDefault="00EB5FE9" w:rsidP="00EB5FE9">
            <w:pPr>
              <w:pStyle w:val="NoSpacing"/>
              <w:rPr>
                <w:rFonts w:ascii="Times New Roman" w:hAnsi="Times New Roman" w:cs="Times New Roman"/>
                <w:szCs w:val="24"/>
                <w:lang w:eastAsia="en-IN"/>
              </w:rPr>
            </w:pPr>
            <w:r w:rsidRPr="008E2A3E">
              <w:rPr>
                <w:rFonts w:ascii="Times New Roman" w:hAnsi="Times New Roman" w:cs="Times New Roman"/>
                <w:szCs w:val="24"/>
                <w:lang w:eastAsia="en-IN"/>
              </w:rPr>
              <w:t>1</w:t>
            </w:r>
          </w:p>
        </w:tc>
        <w:tc>
          <w:tcPr>
            <w:tcW w:w="1062" w:type="dxa"/>
            <w:tcBorders>
              <w:top w:val="nil"/>
              <w:left w:val="nil"/>
              <w:bottom w:val="single" w:sz="4" w:space="0" w:color="auto"/>
              <w:right w:val="single" w:sz="4" w:space="0" w:color="auto"/>
            </w:tcBorders>
            <w:noWrap/>
            <w:vAlign w:val="center"/>
            <w:hideMark/>
          </w:tcPr>
          <w:p w14:paraId="59E39DCB" w14:textId="77777777" w:rsidR="00EB5FE9" w:rsidRPr="008E2A3E" w:rsidRDefault="00EB5FE9" w:rsidP="008E2A3E">
            <w:pPr>
              <w:pStyle w:val="NoSpacing"/>
              <w:jc w:val="center"/>
              <w:rPr>
                <w:rFonts w:ascii="Times New Roman" w:hAnsi="Times New Roman" w:cs="Times New Roman"/>
                <w:szCs w:val="24"/>
                <w:lang w:eastAsia="en-IN"/>
              </w:rPr>
            </w:pPr>
            <w:r w:rsidRPr="008E2A3E">
              <w:rPr>
                <w:rFonts w:ascii="Times New Roman" w:hAnsi="Times New Roman" w:cs="Times New Roman"/>
                <w:szCs w:val="24"/>
                <w:lang w:eastAsia="en-IN"/>
              </w:rPr>
              <w:t>2</w:t>
            </w:r>
          </w:p>
        </w:tc>
        <w:tc>
          <w:tcPr>
            <w:tcW w:w="953" w:type="dxa"/>
            <w:tcBorders>
              <w:top w:val="nil"/>
              <w:left w:val="nil"/>
              <w:bottom w:val="single" w:sz="4" w:space="0" w:color="auto"/>
              <w:right w:val="single" w:sz="4" w:space="0" w:color="auto"/>
            </w:tcBorders>
            <w:noWrap/>
            <w:vAlign w:val="center"/>
            <w:hideMark/>
          </w:tcPr>
          <w:p w14:paraId="0C295F26" w14:textId="77777777" w:rsidR="00EB5FE9" w:rsidRPr="008E2A3E" w:rsidRDefault="00EB5FE9" w:rsidP="008E2A3E">
            <w:pPr>
              <w:pStyle w:val="NoSpacing"/>
              <w:jc w:val="center"/>
              <w:rPr>
                <w:rFonts w:ascii="Times New Roman" w:hAnsi="Times New Roman" w:cs="Times New Roman"/>
                <w:szCs w:val="24"/>
                <w:lang w:eastAsia="en-IN"/>
              </w:rPr>
            </w:pPr>
            <w:r w:rsidRPr="008E2A3E">
              <w:rPr>
                <w:rFonts w:ascii="Times New Roman" w:hAnsi="Times New Roman" w:cs="Times New Roman"/>
                <w:szCs w:val="24"/>
                <w:lang w:eastAsia="en-IN"/>
              </w:rPr>
              <w:t>3</w:t>
            </w:r>
          </w:p>
        </w:tc>
        <w:tc>
          <w:tcPr>
            <w:tcW w:w="1165" w:type="dxa"/>
            <w:tcBorders>
              <w:top w:val="nil"/>
              <w:left w:val="nil"/>
              <w:bottom w:val="single" w:sz="4" w:space="0" w:color="auto"/>
              <w:right w:val="single" w:sz="4" w:space="0" w:color="auto"/>
            </w:tcBorders>
            <w:noWrap/>
            <w:vAlign w:val="center"/>
            <w:hideMark/>
          </w:tcPr>
          <w:p w14:paraId="2A33E596" w14:textId="77777777" w:rsidR="00EB5FE9" w:rsidRPr="008E2A3E" w:rsidRDefault="00EB5FE9" w:rsidP="008E2A3E">
            <w:pPr>
              <w:pStyle w:val="NoSpacing"/>
              <w:jc w:val="center"/>
              <w:rPr>
                <w:rFonts w:ascii="Times New Roman" w:hAnsi="Times New Roman" w:cs="Times New Roman"/>
                <w:szCs w:val="24"/>
                <w:lang w:eastAsia="en-IN"/>
              </w:rPr>
            </w:pPr>
            <w:r w:rsidRPr="008E2A3E">
              <w:rPr>
                <w:rFonts w:ascii="Times New Roman" w:hAnsi="Times New Roman" w:cs="Times New Roman"/>
                <w:szCs w:val="24"/>
                <w:lang w:eastAsia="en-IN"/>
              </w:rPr>
              <w:t>4</w:t>
            </w:r>
          </w:p>
        </w:tc>
        <w:tc>
          <w:tcPr>
            <w:tcW w:w="1488" w:type="dxa"/>
            <w:tcBorders>
              <w:top w:val="nil"/>
              <w:left w:val="nil"/>
              <w:bottom w:val="single" w:sz="4" w:space="0" w:color="auto"/>
              <w:right w:val="single" w:sz="4" w:space="0" w:color="auto"/>
            </w:tcBorders>
            <w:noWrap/>
            <w:vAlign w:val="center"/>
            <w:hideMark/>
          </w:tcPr>
          <w:p w14:paraId="23FB687C" w14:textId="77777777" w:rsidR="00EB5FE9" w:rsidRPr="008E2A3E" w:rsidRDefault="00EB5FE9" w:rsidP="008E2A3E">
            <w:pPr>
              <w:pStyle w:val="NoSpacing"/>
              <w:jc w:val="center"/>
              <w:rPr>
                <w:rFonts w:ascii="Times New Roman" w:hAnsi="Times New Roman" w:cs="Times New Roman"/>
                <w:szCs w:val="24"/>
                <w:lang w:eastAsia="en-IN"/>
              </w:rPr>
            </w:pPr>
            <w:r w:rsidRPr="008E2A3E">
              <w:rPr>
                <w:rFonts w:ascii="Times New Roman" w:hAnsi="Times New Roman" w:cs="Times New Roman"/>
                <w:szCs w:val="24"/>
                <w:lang w:eastAsia="en-IN"/>
              </w:rPr>
              <w:t>5</w:t>
            </w:r>
          </w:p>
        </w:tc>
        <w:tc>
          <w:tcPr>
            <w:tcW w:w="1376" w:type="dxa"/>
            <w:tcBorders>
              <w:top w:val="nil"/>
              <w:left w:val="nil"/>
              <w:bottom w:val="single" w:sz="4" w:space="0" w:color="auto"/>
              <w:right w:val="single" w:sz="4" w:space="0" w:color="auto"/>
            </w:tcBorders>
            <w:noWrap/>
            <w:vAlign w:val="center"/>
            <w:hideMark/>
          </w:tcPr>
          <w:p w14:paraId="7EE43156" w14:textId="77777777" w:rsidR="00EB5FE9" w:rsidRPr="008E2A3E" w:rsidRDefault="00EB5FE9" w:rsidP="008E2A3E">
            <w:pPr>
              <w:pStyle w:val="NoSpacing"/>
              <w:jc w:val="center"/>
              <w:rPr>
                <w:rFonts w:ascii="Times New Roman" w:hAnsi="Times New Roman" w:cs="Times New Roman"/>
                <w:szCs w:val="24"/>
                <w:lang w:eastAsia="en-IN"/>
              </w:rPr>
            </w:pPr>
            <w:r w:rsidRPr="008E2A3E">
              <w:rPr>
                <w:rFonts w:ascii="Times New Roman" w:hAnsi="Times New Roman" w:cs="Times New Roman"/>
                <w:szCs w:val="24"/>
                <w:lang w:eastAsia="en-IN"/>
              </w:rPr>
              <w:t>6</w:t>
            </w:r>
          </w:p>
        </w:tc>
        <w:tc>
          <w:tcPr>
            <w:tcW w:w="1289" w:type="dxa"/>
            <w:tcBorders>
              <w:top w:val="nil"/>
              <w:left w:val="nil"/>
              <w:bottom w:val="single" w:sz="4" w:space="0" w:color="auto"/>
              <w:right w:val="single" w:sz="4" w:space="0" w:color="auto"/>
            </w:tcBorders>
            <w:noWrap/>
            <w:vAlign w:val="center"/>
            <w:hideMark/>
          </w:tcPr>
          <w:p w14:paraId="1345BDB6" w14:textId="77777777" w:rsidR="00EB5FE9" w:rsidRPr="008E2A3E" w:rsidRDefault="00EB5FE9" w:rsidP="008E2A3E">
            <w:pPr>
              <w:pStyle w:val="NoSpacing"/>
              <w:jc w:val="center"/>
              <w:rPr>
                <w:rFonts w:ascii="Times New Roman" w:hAnsi="Times New Roman" w:cs="Times New Roman"/>
                <w:szCs w:val="24"/>
                <w:lang w:eastAsia="en-IN"/>
              </w:rPr>
            </w:pPr>
            <w:r w:rsidRPr="008E2A3E">
              <w:rPr>
                <w:rFonts w:ascii="Times New Roman" w:hAnsi="Times New Roman" w:cs="Times New Roman"/>
                <w:szCs w:val="24"/>
                <w:lang w:eastAsia="en-IN"/>
              </w:rPr>
              <w:t>7</w:t>
            </w:r>
          </w:p>
        </w:tc>
        <w:tc>
          <w:tcPr>
            <w:tcW w:w="1627" w:type="dxa"/>
            <w:tcBorders>
              <w:top w:val="nil"/>
              <w:left w:val="nil"/>
              <w:bottom w:val="single" w:sz="4" w:space="0" w:color="auto"/>
              <w:right w:val="single" w:sz="4" w:space="0" w:color="auto"/>
            </w:tcBorders>
            <w:noWrap/>
            <w:vAlign w:val="center"/>
            <w:hideMark/>
          </w:tcPr>
          <w:p w14:paraId="758BA031" w14:textId="77777777" w:rsidR="00EB5FE9" w:rsidRPr="008E2A3E" w:rsidRDefault="00EB5FE9" w:rsidP="008E2A3E">
            <w:pPr>
              <w:pStyle w:val="NoSpacing"/>
              <w:jc w:val="center"/>
              <w:rPr>
                <w:rFonts w:ascii="Times New Roman" w:hAnsi="Times New Roman" w:cs="Times New Roman"/>
                <w:szCs w:val="24"/>
                <w:lang w:eastAsia="en-IN"/>
              </w:rPr>
            </w:pPr>
            <w:r w:rsidRPr="008E2A3E">
              <w:rPr>
                <w:rFonts w:ascii="Times New Roman" w:hAnsi="Times New Roman" w:cs="Times New Roman"/>
                <w:szCs w:val="24"/>
                <w:lang w:eastAsia="en-IN"/>
              </w:rPr>
              <w:t>8</w:t>
            </w:r>
          </w:p>
        </w:tc>
        <w:tc>
          <w:tcPr>
            <w:tcW w:w="1763" w:type="dxa"/>
            <w:tcBorders>
              <w:top w:val="nil"/>
              <w:left w:val="nil"/>
              <w:bottom w:val="single" w:sz="4" w:space="0" w:color="auto"/>
              <w:right w:val="single" w:sz="4" w:space="0" w:color="auto"/>
            </w:tcBorders>
            <w:noWrap/>
            <w:vAlign w:val="center"/>
            <w:hideMark/>
          </w:tcPr>
          <w:p w14:paraId="088D7708" w14:textId="77777777" w:rsidR="00EB5FE9" w:rsidRPr="008E2A3E" w:rsidRDefault="00EB5FE9" w:rsidP="008E2A3E">
            <w:pPr>
              <w:pStyle w:val="NoSpacing"/>
              <w:jc w:val="center"/>
              <w:rPr>
                <w:rFonts w:ascii="Times New Roman" w:hAnsi="Times New Roman" w:cs="Times New Roman"/>
                <w:szCs w:val="24"/>
                <w:lang w:eastAsia="en-IN"/>
              </w:rPr>
            </w:pPr>
            <w:r w:rsidRPr="008E2A3E">
              <w:rPr>
                <w:rFonts w:ascii="Times New Roman" w:hAnsi="Times New Roman" w:cs="Times New Roman"/>
                <w:szCs w:val="24"/>
                <w:lang w:eastAsia="en-IN"/>
              </w:rPr>
              <w:t>9</w:t>
            </w:r>
          </w:p>
        </w:tc>
        <w:tc>
          <w:tcPr>
            <w:tcW w:w="997" w:type="dxa"/>
            <w:tcBorders>
              <w:top w:val="nil"/>
              <w:left w:val="nil"/>
              <w:bottom w:val="single" w:sz="4" w:space="0" w:color="auto"/>
              <w:right w:val="single" w:sz="4" w:space="0" w:color="auto"/>
            </w:tcBorders>
            <w:noWrap/>
            <w:vAlign w:val="center"/>
            <w:hideMark/>
          </w:tcPr>
          <w:p w14:paraId="361C31DE" w14:textId="77777777" w:rsidR="00EB5FE9" w:rsidRPr="008E2A3E" w:rsidRDefault="00EB5FE9" w:rsidP="008E2A3E">
            <w:pPr>
              <w:pStyle w:val="NoSpacing"/>
              <w:jc w:val="center"/>
              <w:rPr>
                <w:rFonts w:ascii="Times New Roman" w:hAnsi="Times New Roman" w:cs="Times New Roman"/>
                <w:szCs w:val="24"/>
                <w:lang w:eastAsia="en-IN"/>
              </w:rPr>
            </w:pPr>
            <w:r w:rsidRPr="008E2A3E">
              <w:rPr>
                <w:rFonts w:ascii="Times New Roman" w:hAnsi="Times New Roman" w:cs="Times New Roman"/>
                <w:szCs w:val="24"/>
                <w:lang w:eastAsia="en-IN"/>
              </w:rPr>
              <w:t>10</w:t>
            </w:r>
          </w:p>
        </w:tc>
        <w:tc>
          <w:tcPr>
            <w:tcW w:w="1507" w:type="dxa"/>
            <w:tcBorders>
              <w:top w:val="nil"/>
              <w:left w:val="nil"/>
              <w:bottom w:val="single" w:sz="4" w:space="0" w:color="auto"/>
              <w:right w:val="single" w:sz="4" w:space="0" w:color="auto"/>
            </w:tcBorders>
            <w:noWrap/>
            <w:vAlign w:val="center"/>
            <w:hideMark/>
          </w:tcPr>
          <w:p w14:paraId="72B1E1D2" w14:textId="77777777" w:rsidR="00EB5FE9" w:rsidRPr="008E2A3E" w:rsidRDefault="00EB5FE9" w:rsidP="008E2A3E">
            <w:pPr>
              <w:pStyle w:val="NoSpacing"/>
              <w:jc w:val="center"/>
              <w:rPr>
                <w:rFonts w:ascii="Times New Roman" w:hAnsi="Times New Roman" w:cs="Times New Roman"/>
                <w:szCs w:val="24"/>
                <w:lang w:eastAsia="en-IN"/>
              </w:rPr>
            </w:pPr>
            <w:r w:rsidRPr="008E2A3E">
              <w:rPr>
                <w:rFonts w:ascii="Times New Roman" w:hAnsi="Times New Roman" w:cs="Times New Roman"/>
                <w:szCs w:val="24"/>
                <w:lang w:eastAsia="en-IN"/>
              </w:rPr>
              <w:t>11</w:t>
            </w:r>
          </w:p>
        </w:tc>
      </w:tr>
      <w:tr w:rsidR="00EB5FE9" w:rsidRPr="008E2A3E" w14:paraId="5E35F2C1" w14:textId="77777777" w:rsidTr="00BA3FB7">
        <w:trPr>
          <w:trHeight w:val="264"/>
        </w:trPr>
        <w:tc>
          <w:tcPr>
            <w:tcW w:w="15009" w:type="dxa"/>
            <w:gridSpan w:val="11"/>
            <w:tcBorders>
              <w:top w:val="single" w:sz="4" w:space="0" w:color="auto"/>
              <w:left w:val="single" w:sz="4" w:space="0" w:color="auto"/>
              <w:bottom w:val="single" w:sz="4" w:space="0" w:color="auto"/>
              <w:right w:val="single" w:sz="4" w:space="0" w:color="auto"/>
            </w:tcBorders>
            <w:noWrap/>
            <w:vAlign w:val="center"/>
            <w:hideMark/>
          </w:tcPr>
          <w:p w14:paraId="50295F32" w14:textId="77777777" w:rsidR="00EB5FE9" w:rsidRPr="00F42E63" w:rsidRDefault="00EB5FE9" w:rsidP="008E2A3E">
            <w:pPr>
              <w:pStyle w:val="NoSpacing"/>
              <w:jc w:val="center"/>
              <w:rPr>
                <w:rFonts w:ascii="Times New Roman" w:hAnsi="Times New Roman" w:cs="Times New Roman"/>
                <w:b/>
                <w:bCs/>
                <w:szCs w:val="24"/>
                <w:lang w:eastAsia="en-IN"/>
              </w:rPr>
            </w:pPr>
            <w:r w:rsidRPr="00F42E63">
              <w:rPr>
                <w:rFonts w:ascii="Times New Roman" w:hAnsi="Times New Roman" w:cs="Times New Roman"/>
                <w:b/>
                <w:bCs/>
                <w:szCs w:val="24"/>
                <w:lang w:eastAsia="en-IN"/>
              </w:rPr>
              <w:t>Gujarat</w:t>
            </w:r>
          </w:p>
        </w:tc>
      </w:tr>
      <w:tr w:rsidR="00EB5FE9" w:rsidRPr="008E2A3E" w14:paraId="552E9501" w14:textId="77777777" w:rsidTr="00BA3FB7">
        <w:trPr>
          <w:trHeight w:val="264"/>
        </w:trPr>
        <w:tc>
          <w:tcPr>
            <w:tcW w:w="1782" w:type="dxa"/>
            <w:tcBorders>
              <w:top w:val="nil"/>
              <w:left w:val="single" w:sz="4" w:space="0" w:color="auto"/>
              <w:bottom w:val="single" w:sz="4" w:space="0" w:color="auto"/>
              <w:right w:val="single" w:sz="4" w:space="0" w:color="auto"/>
            </w:tcBorders>
            <w:noWrap/>
            <w:vAlign w:val="bottom"/>
            <w:hideMark/>
          </w:tcPr>
          <w:p w14:paraId="56AEBE0A" w14:textId="77777777" w:rsidR="00EB5FE9" w:rsidRPr="008E2A3E" w:rsidRDefault="00EB5FE9" w:rsidP="00EB5FE9">
            <w:pPr>
              <w:pStyle w:val="NoSpacing"/>
              <w:rPr>
                <w:rFonts w:ascii="Times New Roman" w:hAnsi="Times New Roman" w:cs="Times New Roman"/>
                <w:szCs w:val="24"/>
                <w:lang w:eastAsia="en-IN"/>
              </w:rPr>
            </w:pPr>
            <w:r w:rsidRPr="008E2A3E">
              <w:rPr>
                <w:rFonts w:ascii="Times New Roman" w:hAnsi="Times New Roman" w:cs="Times New Roman"/>
                <w:szCs w:val="24"/>
                <w:lang w:eastAsia="en-IN"/>
              </w:rPr>
              <w:t>1961-62</w:t>
            </w:r>
          </w:p>
        </w:tc>
        <w:tc>
          <w:tcPr>
            <w:tcW w:w="1062" w:type="dxa"/>
            <w:tcBorders>
              <w:top w:val="nil"/>
              <w:left w:val="nil"/>
              <w:bottom w:val="single" w:sz="4" w:space="0" w:color="auto"/>
              <w:right w:val="single" w:sz="4" w:space="0" w:color="auto"/>
            </w:tcBorders>
            <w:noWrap/>
            <w:vAlign w:val="center"/>
            <w:hideMark/>
          </w:tcPr>
          <w:p w14:paraId="08BD5D01" w14:textId="77777777" w:rsidR="00EB5FE9" w:rsidRPr="008E2A3E" w:rsidRDefault="00EB5FE9" w:rsidP="008E2A3E">
            <w:pPr>
              <w:pStyle w:val="NoSpacing"/>
              <w:jc w:val="center"/>
              <w:rPr>
                <w:rFonts w:ascii="Times New Roman" w:hAnsi="Times New Roman" w:cs="Times New Roman"/>
                <w:szCs w:val="24"/>
                <w:lang w:eastAsia="en-IN"/>
              </w:rPr>
            </w:pPr>
            <w:r w:rsidRPr="008E2A3E">
              <w:rPr>
                <w:rFonts w:ascii="Times New Roman" w:hAnsi="Times New Roman" w:cs="Times New Roman"/>
                <w:szCs w:val="24"/>
                <w:lang w:eastAsia="en-IN"/>
              </w:rPr>
              <w:t>4.64 (7.40)</w:t>
            </w:r>
          </w:p>
        </w:tc>
        <w:tc>
          <w:tcPr>
            <w:tcW w:w="953" w:type="dxa"/>
            <w:tcBorders>
              <w:top w:val="nil"/>
              <w:left w:val="nil"/>
              <w:bottom w:val="single" w:sz="4" w:space="0" w:color="auto"/>
              <w:right w:val="single" w:sz="4" w:space="0" w:color="auto"/>
            </w:tcBorders>
            <w:noWrap/>
            <w:vAlign w:val="center"/>
            <w:hideMark/>
          </w:tcPr>
          <w:p w14:paraId="63A59AE5" w14:textId="77777777" w:rsidR="00EB5FE9" w:rsidRPr="008E2A3E" w:rsidRDefault="00EB5FE9" w:rsidP="008E2A3E">
            <w:pPr>
              <w:pStyle w:val="NoSpacing"/>
              <w:jc w:val="center"/>
              <w:rPr>
                <w:rFonts w:ascii="Times New Roman" w:hAnsi="Times New Roman" w:cs="Times New Roman"/>
                <w:szCs w:val="24"/>
                <w:lang w:eastAsia="en-IN"/>
              </w:rPr>
            </w:pPr>
            <w:r w:rsidRPr="008E2A3E">
              <w:rPr>
                <w:rFonts w:ascii="Times New Roman" w:hAnsi="Times New Roman" w:cs="Times New Roman"/>
                <w:szCs w:val="24"/>
                <w:lang w:eastAsia="en-IN"/>
              </w:rPr>
              <w:t>13.82 (22.04)</w:t>
            </w:r>
          </w:p>
        </w:tc>
        <w:tc>
          <w:tcPr>
            <w:tcW w:w="1165" w:type="dxa"/>
            <w:tcBorders>
              <w:top w:val="nil"/>
              <w:left w:val="nil"/>
              <w:bottom w:val="single" w:sz="4" w:space="0" w:color="auto"/>
              <w:right w:val="single" w:sz="4" w:space="0" w:color="auto"/>
            </w:tcBorders>
            <w:noWrap/>
            <w:vAlign w:val="center"/>
            <w:hideMark/>
          </w:tcPr>
          <w:p w14:paraId="6334317C" w14:textId="77777777" w:rsidR="00EB5FE9" w:rsidRPr="008E2A3E" w:rsidRDefault="00EB5FE9" w:rsidP="008E2A3E">
            <w:pPr>
              <w:pStyle w:val="NoSpacing"/>
              <w:jc w:val="center"/>
              <w:rPr>
                <w:rFonts w:ascii="Times New Roman" w:hAnsi="Times New Roman" w:cs="Times New Roman"/>
                <w:szCs w:val="24"/>
                <w:lang w:eastAsia="en-IN"/>
              </w:rPr>
            </w:pPr>
            <w:r w:rsidRPr="008E2A3E">
              <w:rPr>
                <w:rFonts w:ascii="Times New Roman" w:hAnsi="Times New Roman" w:cs="Times New Roman"/>
                <w:szCs w:val="24"/>
                <w:lang w:eastAsia="en-IN"/>
              </w:rPr>
              <w:t>3.39 (5.41)</w:t>
            </w:r>
          </w:p>
        </w:tc>
        <w:tc>
          <w:tcPr>
            <w:tcW w:w="1488" w:type="dxa"/>
            <w:tcBorders>
              <w:top w:val="nil"/>
              <w:left w:val="nil"/>
              <w:bottom w:val="single" w:sz="4" w:space="0" w:color="auto"/>
              <w:right w:val="single" w:sz="4" w:space="0" w:color="auto"/>
            </w:tcBorders>
            <w:noWrap/>
            <w:vAlign w:val="center"/>
            <w:hideMark/>
          </w:tcPr>
          <w:p w14:paraId="645B4A45" w14:textId="77777777" w:rsidR="00EB5FE9" w:rsidRPr="008E2A3E" w:rsidRDefault="00EB5FE9" w:rsidP="008E2A3E">
            <w:pPr>
              <w:pStyle w:val="NoSpacing"/>
              <w:jc w:val="center"/>
              <w:rPr>
                <w:rFonts w:ascii="Times New Roman" w:hAnsi="Times New Roman" w:cs="Times New Roman"/>
                <w:szCs w:val="24"/>
                <w:lang w:eastAsia="en-IN"/>
              </w:rPr>
            </w:pPr>
            <w:r w:rsidRPr="008E2A3E">
              <w:rPr>
                <w:rFonts w:ascii="Times New Roman" w:hAnsi="Times New Roman" w:cs="Times New Roman"/>
                <w:szCs w:val="24"/>
                <w:lang w:eastAsia="en-IN"/>
              </w:rPr>
              <w:t>2.30 (3.67)</w:t>
            </w:r>
          </w:p>
        </w:tc>
        <w:tc>
          <w:tcPr>
            <w:tcW w:w="1376" w:type="dxa"/>
            <w:tcBorders>
              <w:top w:val="nil"/>
              <w:left w:val="nil"/>
              <w:bottom w:val="single" w:sz="4" w:space="0" w:color="auto"/>
              <w:right w:val="single" w:sz="4" w:space="0" w:color="auto"/>
            </w:tcBorders>
            <w:noWrap/>
            <w:vAlign w:val="center"/>
            <w:hideMark/>
          </w:tcPr>
          <w:p w14:paraId="1D3D2C4F" w14:textId="77777777" w:rsidR="00EB5FE9" w:rsidRPr="008E2A3E" w:rsidRDefault="00EB5FE9" w:rsidP="008E2A3E">
            <w:pPr>
              <w:pStyle w:val="NoSpacing"/>
              <w:jc w:val="center"/>
              <w:rPr>
                <w:rFonts w:ascii="Times New Roman" w:hAnsi="Times New Roman" w:cs="Times New Roman"/>
                <w:szCs w:val="24"/>
                <w:lang w:eastAsia="en-IN"/>
              </w:rPr>
            </w:pPr>
            <w:r w:rsidRPr="008E2A3E">
              <w:rPr>
                <w:rFonts w:ascii="Times New Roman" w:hAnsi="Times New Roman" w:cs="Times New Roman"/>
                <w:szCs w:val="24"/>
                <w:lang w:eastAsia="en-IN"/>
              </w:rPr>
              <w:t>2.63 (4.19)</w:t>
            </w:r>
          </w:p>
        </w:tc>
        <w:tc>
          <w:tcPr>
            <w:tcW w:w="1289" w:type="dxa"/>
            <w:tcBorders>
              <w:top w:val="nil"/>
              <w:left w:val="nil"/>
              <w:bottom w:val="single" w:sz="4" w:space="0" w:color="auto"/>
              <w:right w:val="single" w:sz="4" w:space="0" w:color="auto"/>
            </w:tcBorders>
            <w:noWrap/>
            <w:vAlign w:val="center"/>
            <w:hideMark/>
          </w:tcPr>
          <w:p w14:paraId="4ED9941C" w14:textId="77777777" w:rsidR="00EB5FE9" w:rsidRPr="008E2A3E" w:rsidRDefault="00EB5FE9" w:rsidP="008E2A3E">
            <w:pPr>
              <w:pStyle w:val="NoSpacing"/>
              <w:jc w:val="center"/>
              <w:rPr>
                <w:rFonts w:ascii="Times New Roman" w:hAnsi="Times New Roman" w:cs="Times New Roman"/>
                <w:szCs w:val="24"/>
                <w:lang w:eastAsia="en-IN"/>
              </w:rPr>
            </w:pPr>
            <w:r w:rsidRPr="008E2A3E">
              <w:rPr>
                <w:rFonts w:ascii="Times New Roman" w:hAnsi="Times New Roman" w:cs="Times New Roman"/>
                <w:szCs w:val="24"/>
                <w:lang w:eastAsia="en-IN"/>
              </w:rPr>
              <w:t>0.48 (0.77)</w:t>
            </w:r>
          </w:p>
        </w:tc>
        <w:tc>
          <w:tcPr>
            <w:tcW w:w="1627" w:type="dxa"/>
            <w:tcBorders>
              <w:top w:val="nil"/>
              <w:left w:val="nil"/>
              <w:bottom w:val="single" w:sz="4" w:space="0" w:color="auto"/>
              <w:right w:val="single" w:sz="4" w:space="0" w:color="auto"/>
            </w:tcBorders>
            <w:noWrap/>
            <w:vAlign w:val="center"/>
            <w:hideMark/>
          </w:tcPr>
          <w:p w14:paraId="0C13E5F8" w14:textId="77777777" w:rsidR="00EB5FE9" w:rsidRPr="008E2A3E" w:rsidRDefault="00EB5FE9" w:rsidP="008E2A3E">
            <w:pPr>
              <w:pStyle w:val="NoSpacing"/>
              <w:jc w:val="center"/>
              <w:rPr>
                <w:rFonts w:ascii="Times New Roman" w:hAnsi="Times New Roman" w:cs="Times New Roman"/>
                <w:szCs w:val="24"/>
                <w:lang w:eastAsia="en-IN"/>
              </w:rPr>
            </w:pPr>
            <w:r w:rsidRPr="008E2A3E">
              <w:rPr>
                <w:rFonts w:ascii="Times New Roman" w:hAnsi="Times New Roman" w:cs="Times New Roman"/>
                <w:szCs w:val="24"/>
                <w:lang w:eastAsia="en-IN"/>
              </w:rPr>
              <w:t>0.35 (0.56)</w:t>
            </w:r>
          </w:p>
        </w:tc>
        <w:tc>
          <w:tcPr>
            <w:tcW w:w="1763" w:type="dxa"/>
            <w:tcBorders>
              <w:top w:val="nil"/>
              <w:left w:val="nil"/>
              <w:bottom w:val="single" w:sz="4" w:space="0" w:color="auto"/>
              <w:right w:val="single" w:sz="4" w:space="0" w:color="auto"/>
            </w:tcBorders>
            <w:noWrap/>
            <w:vAlign w:val="center"/>
            <w:hideMark/>
          </w:tcPr>
          <w:p w14:paraId="726A0EDE" w14:textId="77777777" w:rsidR="00EB5FE9" w:rsidRPr="008E2A3E" w:rsidRDefault="00EB5FE9" w:rsidP="008E2A3E">
            <w:pPr>
              <w:pStyle w:val="NoSpacing"/>
              <w:jc w:val="center"/>
              <w:rPr>
                <w:rFonts w:ascii="Times New Roman" w:hAnsi="Times New Roman" w:cs="Times New Roman"/>
                <w:szCs w:val="24"/>
                <w:lang w:eastAsia="en-IN"/>
              </w:rPr>
            </w:pPr>
            <w:r w:rsidRPr="008E2A3E">
              <w:rPr>
                <w:rFonts w:ascii="Times New Roman" w:hAnsi="Times New Roman" w:cs="Times New Roman"/>
                <w:szCs w:val="24"/>
                <w:lang w:eastAsia="en-IN"/>
              </w:rPr>
              <w:t>0.50 (0.80)</w:t>
            </w:r>
          </w:p>
        </w:tc>
        <w:tc>
          <w:tcPr>
            <w:tcW w:w="997" w:type="dxa"/>
            <w:tcBorders>
              <w:top w:val="nil"/>
              <w:left w:val="nil"/>
              <w:bottom w:val="single" w:sz="4" w:space="0" w:color="auto"/>
              <w:right w:val="single" w:sz="4" w:space="0" w:color="auto"/>
            </w:tcBorders>
            <w:noWrap/>
            <w:vAlign w:val="center"/>
            <w:hideMark/>
          </w:tcPr>
          <w:p w14:paraId="69C94831" w14:textId="77777777" w:rsidR="00EB5FE9" w:rsidRPr="008E2A3E" w:rsidRDefault="00EB5FE9" w:rsidP="008E2A3E">
            <w:pPr>
              <w:pStyle w:val="NoSpacing"/>
              <w:jc w:val="center"/>
              <w:rPr>
                <w:rFonts w:ascii="Times New Roman" w:hAnsi="Times New Roman" w:cs="Times New Roman"/>
                <w:szCs w:val="24"/>
                <w:lang w:eastAsia="en-IN"/>
              </w:rPr>
            </w:pPr>
            <w:r w:rsidRPr="008E2A3E">
              <w:rPr>
                <w:rFonts w:ascii="Times New Roman" w:hAnsi="Times New Roman" w:cs="Times New Roman"/>
                <w:szCs w:val="24"/>
                <w:lang w:eastAsia="en-IN"/>
              </w:rPr>
              <w:t>1.77 (2.82)</w:t>
            </w:r>
          </w:p>
        </w:tc>
        <w:tc>
          <w:tcPr>
            <w:tcW w:w="1507" w:type="dxa"/>
            <w:tcBorders>
              <w:top w:val="nil"/>
              <w:left w:val="nil"/>
              <w:bottom w:val="single" w:sz="4" w:space="0" w:color="auto"/>
              <w:right w:val="single" w:sz="4" w:space="0" w:color="auto"/>
            </w:tcBorders>
            <w:noWrap/>
            <w:vAlign w:val="center"/>
            <w:hideMark/>
          </w:tcPr>
          <w:p w14:paraId="69E36F38" w14:textId="77777777" w:rsidR="00EB5FE9" w:rsidRPr="008E2A3E" w:rsidRDefault="00EB5FE9" w:rsidP="008E2A3E">
            <w:pPr>
              <w:pStyle w:val="NoSpacing"/>
              <w:jc w:val="center"/>
              <w:rPr>
                <w:rFonts w:ascii="Times New Roman" w:hAnsi="Times New Roman" w:cs="Times New Roman"/>
                <w:szCs w:val="24"/>
                <w:lang w:eastAsia="en-IN"/>
              </w:rPr>
            </w:pPr>
            <w:r w:rsidRPr="008E2A3E">
              <w:rPr>
                <w:rFonts w:ascii="Times New Roman" w:hAnsi="Times New Roman" w:cs="Times New Roman"/>
                <w:szCs w:val="24"/>
                <w:lang w:eastAsia="en-IN"/>
              </w:rPr>
              <w:t>62.70 (100.00)</w:t>
            </w:r>
          </w:p>
        </w:tc>
      </w:tr>
      <w:tr w:rsidR="00EB5FE9" w:rsidRPr="008E2A3E" w14:paraId="37DEFE1E" w14:textId="77777777" w:rsidTr="00BA3FB7">
        <w:trPr>
          <w:trHeight w:val="264"/>
        </w:trPr>
        <w:tc>
          <w:tcPr>
            <w:tcW w:w="1782" w:type="dxa"/>
            <w:tcBorders>
              <w:top w:val="nil"/>
              <w:left w:val="single" w:sz="4" w:space="0" w:color="auto"/>
              <w:bottom w:val="single" w:sz="4" w:space="0" w:color="auto"/>
              <w:right w:val="single" w:sz="4" w:space="0" w:color="auto"/>
            </w:tcBorders>
            <w:noWrap/>
            <w:vAlign w:val="bottom"/>
            <w:hideMark/>
          </w:tcPr>
          <w:p w14:paraId="77172326" w14:textId="77777777" w:rsidR="00EB5FE9" w:rsidRPr="008E2A3E" w:rsidRDefault="00EB5FE9" w:rsidP="00EB5FE9">
            <w:pPr>
              <w:pStyle w:val="NoSpacing"/>
              <w:rPr>
                <w:rFonts w:ascii="Times New Roman" w:hAnsi="Times New Roman" w:cs="Times New Roman"/>
                <w:szCs w:val="24"/>
                <w:lang w:eastAsia="en-IN"/>
              </w:rPr>
            </w:pPr>
            <w:r w:rsidRPr="008E2A3E">
              <w:rPr>
                <w:rFonts w:ascii="Times New Roman" w:hAnsi="Times New Roman" w:cs="Times New Roman"/>
                <w:szCs w:val="24"/>
                <w:lang w:eastAsia="en-IN"/>
              </w:rPr>
              <w:t>1965-66</w:t>
            </w:r>
          </w:p>
        </w:tc>
        <w:tc>
          <w:tcPr>
            <w:tcW w:w="1062" w:type="dxa"/>
            <w:tcBorders>
              <w:top w:val="nil"/>
              <w:left w:val="nil"/>
              <w:bottom w:val="single" w:sz="4" w:space="0" w:color="auto"/>
              <w:right w:val="single" w:sz="4" w:space="0" w:color="auto"/>
            </w:tcBorders>
            <w:noWrap/>
            <w:vAlign w:val="center"/>
            <w:hideMark/>
          </w:tcPr>
          <w:p w14:paraId="4DAC5633" w14:textId="77777777" w:rsidR="00EB5FE9" w:rsidRPr="008E2A3E" w:rsidRDefault="00EB5FE9" w:rsidP="008E2A3E">
            <w:pPr>
              <w:pStyle w:val="NoSpacing"/>
              <w:jc w:val="center"/>
              <w:rPr>
                <w:rFonts w:ascii="Times New Roman" w:hAnsi="Times New Roman" w:cs="Times New Roman"/>
                <w:szCs w:val="24"/>
                <w:lang w:eastAsia="en-IN"/>
              </w:rPr>
            </w:pPr>
            <w:r w:rsidRPr="008E2A3E">
              <w:rPr>
                <w:rFonts w:ascii="Times New Roman" w:hAnsi="Times New Roman" w:cs="Times New Roman"/>
                <w:szCs w:val="24"/>
                <w:lang w:eastAsia="en-IN"/>
              </w:rPr>
              <w:t>7.32</w:t>
            </w:r>
          </w:p>
        </w:tc>
        <w:tc>
          <w:tcPr>
            <w:tcW w:w="953" w:type="dxa"/>
            <w:tcBorders>
              <w:top w:val="nil"/>
              <w:left w:val="nil"/>
              <w:bottom w:val="single" w:sz="4" w:space="0" w:color="auto"/>
              <w:right w:val="single" w:sz="4" w:space="0" w:color="auto"/>
            </w:tcBorders>
            <w:noWrap/>
            <w:vAlign w:val="center"/>
            <w:hideMark/>
          </w:tcPr>
          <w:p w14:paraId="6773C3DB" w14:textId="77777777" w:rsidR="00EB5FE9" w:rsidRPr="008E2A3E" w:rsidRDefault="00EB5FE9" w:rsidP="008E2A3E">
            <w:pPr>
              <w:pStyle w:val="NoSpacing"/>
              <w:jc w:val="center"/>
              <w:rPr>
                <w:rFonts w:ascii="Times New Roman" w:hAnsi="Times New Roman" w:cs="Times New Roman"/>
                <w:szCs w:val="24"/>
                <w:lang w:eastAsia="en-IN"/>
              </w:rPr>
            </w:pPr>
            <w:r w:rsidRPr="008E2A3E">
              <w:rPr>
                <w:rFonts w:ascii="Times New Roman" w:hAnsi="Times New Roman" w:cs="Times New Roman"/>
                <w:szCs w:val="24"/>
                <w:lang w:eastAsia="en-IN"/>
              </w:rPr>
              <w:t>26.98</w:t>
            </w:r>
          </w:p>
        </w:tc>
        <w:tc>
          <w:tcPr>
            <w:tcW w:w="1165" w:type="dxa"/>
            <w:tcBorders>
              <w:top w:val="nil"/>
              <w:left w:val="nil"/>
              <w:bottom w:val="single" w:sz="4" w:space="0" w:color="auto"/>
              <w:right w:val="single" w:sz="4" w:space="0" w:color="auto"/>
            </w:tcBorders>
            <w:noWrap/>
            <w:vAlign w:val="center"/>
            <w:hideMark/>
          </w:tcPr>
          <w:p w14:paraId="5F2DA6E3" w14:textId="77777777" w:rsidR="00EB5FE9" w:rsidRPr="008E2A3E" w:rsidRDefault="00EB5FE9" w:rsidP="008E2A3E">
            <w:pPr>
              <w:pStyle w:val="NoSpacing"/>
              <w:jc w:val="center"/>
              <w:rPr>
                <w:rFonts w:ascii="Times New Roman" w:hAnsi="Times New Roman" w:cs="Times New Roman"/>
                <w:szCs w:val="24"/>
                <w:lang w:eastAsia="en-IN"/>
              </w:rPr>
            </w:pPr>
            <w:r w:rsidRPr="008E2A3E">
              <w:rPr>
                <w:rFonts w:ascii="Times New Roman" w:hAnsi="Times New Roman" w:cs="Times New Roman"/>
                <w:szCs w:val="24"/>
                <w:lang w:eastAsia="en-IN"/>
              </w:rPr>
              <w:t>3.84</w:t>
            </w:r>
          </w:p>
        </w:tc>
        <w:tc>
          <w:tcPr>
            <w:tcW w:w="1488" w:type="dxa"/>
            <w:tcBorders>
              <w:top w:val="nil"/>
              <w:left w:val="nil"/>
              <w:bottom w:val="single" w:sz="4" w:space="0" w:color="auto"/>
              <w:right w:val="single" w:sz="4" w:space="0" w:color="auto"/>
            </w:tcBorders>
            <w:noWrap/>
            <w:vAlign w:val="center"/>
            <w:hideMark/>
          </w:tcPr>
          <w:p w14:paraId="756835BE" w14:textId="77777777" w:rsidR="00EB5FE9" w:rsidRPr="008E2A3E" w:rsidRDefault="00EB5FE9" w:rsidP="008E2A3E">
            <w:pPr>
              <w:pStyle w:val="NoSpacing"/>
              <w:jc w:val="center"/>
              <w:rPr>
                <w:rFonts w:ascii="Times New Roman" w:hAnsi="Times New Roman" w:cs="Times New Roman"/>
                <w:szCs w:val="24"/>
                <w:lang w:eastAsia="en-IN"/>
              </w:rPr>
            </w:pPr>
            <w:r w:rsidRPr="008E2A3E">
              <w:rPr>
                <w:rFonts w:ascii="Times New Roman" w:hAnsi="Times New Roman" w:cs="Times New Roman"/>
                <w:szCs w:val="24"/>
                <w:lang w:eastAsia="en-IN"/>
              </w:rPr>
              <w:t>3.53</w:t>
            </w:r>
          </w:p>
        </w:tc>
        <w:tc>
          <w:tcPr>
            <w:tcW w:w="1376" w:type="dxa"/>
            <w:tcBorders>
              <w:top w:val="nil"/>
              <w:left w:val="nil"/>
              <w:bottom w:val="single" w:sz="4" w:space="0" w:color="auto"/>
              <w:right w:val="single" w:sz="4" w:space="0" w:color="auto"/>
            </w:tcBorders>
            <w:noWrap/>
            <w:vAlign w:val="center"/>
            <w:hideMark/>
          </w:tcPr>
          <w:p w14:paraId="39E2ADB7" w14:textId="77777777" w:rsidR="00EB5FE9" w:rsidRPr="008E2A3E" w:rsidRDefault="00EB5FE9" w:rsidP="008E2A3E">
            <w:pPr>
              <w:pStyle w:val="NoSpacing"/>
              <w:jc w:val="center"/>
              <w:rPr>
                <w:rFonts w:ascii="Times New Roman" w:hAnsi="Times New Roman" w:cs="Times New Roman"/>
                <w:szCs w:val="24"/>
                <w:lang w:eastAsia="en-IN"/>
              </w:rPr>
            </w:pPr>
            <w:r w:rsidRPr="008E2A3E">
              <w:rPr>
                <w:rFonts w:ascii="Times New Roman" w:hAnsi="Times New Roman" w:cs="Times New Roman"/>
                <w:szCs w:val="24"/>
                <w:lang w:eastAsia="en-IN"/>
              </w:rPr>
              <w:t>8.74</w:t>
            </w:r>
          </w:p>
        </w:tc>
        <w:tc>
          <w:tcPr>
            <w:tcW w:w="1289" w:type="dxa"/>
            <w:tcBorders>
              <w:top w:val="nil"/>
              <w:left w:val="nil"/>
              <w:bottom w:val="single" w:sz="4" w:space="0" w:color="auto"/>
              <w:right w:val="single" w:sz="4" w:space="0" w:color="auto"/>
            </w:tcBorders>
            <w:noWrap/>
            <w:vAlign w:val="center"/>
            <w:hideMark/>
          </w:tcPr>
          <w:p w14:paraId="482F0A57" w14:textId="77777777" w:rsidR="00EB5FE9" w:rsidRPr="008E2A3E" w:rsidRDefault="00EB5FE9" w:rsidP="008E2A3E">
            <w:pPr>
              <w:pStyle w:val="NoSpacing"/>
              <w:jc w:val="center"/>
              <w:rPr>
                <w:rFonts w:ascii="Times New Roman" w:hAnsi="Times New Roman" w:cs="Times New Roman"/>
                <w:szCs w:val="24"/>
                <w:lang w:eastAsia="en-IN"/>
              </w:rPr>
            </w:pPr>
            <w:r w:rsidRPr="008E2A3E">
              <w:rPr>
                <w:rFonts w:ascii="Times New Roman" w:hAnsi="Times New Roman" w:cs="Times New Roman"/>
                <w:szCs w:val="24"/>
                <w:lang w:eastAsia="en-IN"/>
              </w:rPr>
              <w:t>0.75</w:t>
            </w:r>
          </w:p>
        </w:tc>
        <w:tc>
          <w:tcPr>
            <w:tcW w:w="1627" w:type="dxa"/>
            <w:tcBorders>
              <w:top w:val="nil"/>
              <w:left w:val="nil"/>
              <w:bottom w:val="single" w:sz="4" w:space="0" w:color="auto"/>
              <w:right w:val="single" w:sz="4" w:space="0" w:color="auto"/>
            </w:tcBorders>
            <w:noWrap/>
            <w:vAlign w:val="center"/>
            <w:hideMark/>
          </w:tcPr>
          <w:p w14:paraId="4FAC82AC" w14:textId="77777777" w:rsidR="00EB5FE9" w:rsidRPr="008E2A3E" w:rsidRDefault="00EB5FE9" w:rsidP="008E2A3E">
            <w:pPr>
              <w:pStyle w:val="NoSpacing"/>
              <w:jc w:val="center"/>
              <w:rPr>
                <w:rFonts w:ascii="Times New Roman" w:hAnsi="Times New Roman" w:cs="Times New Roman"/>
                <w:szCs w:val="24"/>
                <w:lang w:eastAsia="en-IN"/>
              </w:rPr>
            </w:pPr>
            <w:r w:rsidRPr="008E2A3E">
              <w:rPr>
                <w:rFonts w:ascii="Times New Roman" w:hAnsi="Times New Roman" w:cs="Times New Roman"/>
                <w:szCs w:val="24"/>
                <w:lang w:eastAsia="en-IN"/>
              </w:rPr>
              <w:t>1.50</w:t>
            </w:r>
          </w:p>
        </w:tc>
        <w:tc>
          <w:tcPr>
            <w:tcW w:w="1763" w:type="dxa"/>
            <w:tcBorders>
              <w:top w:val="nil"/>
              <w:left w:val="nil"/>
              <w:bottom w:val="single" w:sz="4" w:space="0" w:color="auto"/>
              <w:right w:val="single" w:sz="4" w:space="0" w:color="auto"/>
            </w:tcBorders>
            <w:noWrap/>
            <w:vAlign w:val="center"/>
            <w:hideMark/>
          </w:tcPr>
          <w:p w14:paraId="281DDCDF" w14:textId="77777777" w:rsidR="00EB5FE9" w:rsidRPr="008E2A3E" w:rsidRDefault="00EB5FE9" w:rsidP="008E2A3E">
            <w:pPr>
              <w:pStyle w:val="NoSpacing"/>
              <w:jc w:val="center"/>
              <w:rPr>
                <w:rFonts w:ascii="Times New Roman" w:hAnsi="Times New Roman" w:cs="Times New Roman"/>
                <w:szCs w:val="24"/>
                <w:lang w:eastAsia="en-IN"/>
              </w:rPr>
            </w:pPr>
            <w:r w:rsidRPr="008E2A3E">
              <w:rPr>
                <w:rFonts w:ascii="Times New Roman" w:hAnsi="Times New Roman" w:cs="Times New Roman"/>
                <w:szCs w:val="24"/>
                <w:lang w:eastAsia="en-IN"/>
              </w:rPr>
              <w:t>1.26</w:t>
            </w:r>
          </w:p>
        </w:tc>
        <w:tc>
          <w:tcPr>
            <w:tcW w:w="997" w:type="dxa"/>
            <w:tcBorders>
              <w:top w:val="nil"/>
              <w:left w:val="nil"/>
              <w:bottom w:val="single" w:sz="4" w:space="0" w:color="auto"/>
              <w:right w:val="single" w:sz="4" w:space="0" w:color="auto"/>
            </w:tcBorders>
            <w:noWrap/>
            <w:vAlign w:val="center"/>
            <w:hideMark/>
          </w:tcPr>
          <w:p w14:paraId="1CAF2F6E" w14:textId="77777777" w:rsidR="00EB5FE9" w:rsidRPr="008E2A3E" w:rsidRDefault="00EB5FE9" w:rsidP="008E2A3E">
            <w:pPr>
              <w:pStyle w:val="NoSpacing"/>
              <w:jc w:val="center"/>
              <w:rPr>
                <w:rFonts w:ascii="Times New Roman" w:hAnsi="Times New Roman" w:cs="Times New Roman"/>
                <w:szCs w:val="24"/>
                <w:lang w:eastAsia="en-IN"/>
              </w:rPr>
            </w:pPr>
            <w:r w:rsidRPr="008E2A3E">
              <w:rPr>
                <w:rFonts w:ascii="Times New Roman" w:hAnsi="Times New Roman" w:cs="Times New Roman"/>
                <w:szCs w:val="24"/>
                <w:lang w:eastAsia="en-IN"/>
              </w:rPr>
              <w:t>2.03</w:t>
            </w:r>
          </w:p>
        </w:tc>
        <w:tc>
          <w:tcPr>
            <w:tcW w:w="1507" w:type="dxa"/>
            <w:tcBorders>
              <w:top w:val="nil"/>
              <w:left w:val="nil"/>
              <w:bottom w:val="single" w:sz="4" w:space="0" w:color="auto"/>
              <w:right w:val="single" w:sz="4" w:space="0" w:color="auto"/>
            </w:tcBorders>
            <w:noWrap/>
            <w:vAlign w:val="center"/>
            <w:hideMark/>
          </w:tcPr>
          <w:p w14:paraId="07BB4F54" w14:textId="77777777" w:rsidR="00EB5FE9" w:rsidRPr="008E2A3E" w:rsidRDefault="00EB5FE9" w:rsidP="008E2A3E">
            <w:pPr>
              <w:pStyle w:val="NoSpacing"/>
              <w:jc w:val="center"/>
              <w:rPr>
                <w:rFonts w:ascii="Times New Roman" w:hAnsi="Times New Roman" w:cs="Times New Roman"/>
                <w:szCs w:val="24"/>
                <w:lang w:eastAsia="en-IN"/>
              </w:rPr>
            </w:pPr>
            <w:r w:rsidRPr="008E2A3E">
              <w:rPr>
                <w:rFonts w:ascii="Times New Roman" w:hAnsi="Times New Roman" w:cs="Times New Roman"/>
                <w:szCs w:val="24"/>
                <w:lang w:eastAsia="en-IN"/>
              </w:rPr>
              <w:t>120.7</w:t>
            </w:r>
          </w:p>
        </w:tc>
      </w:tr>
      <w:tr w:rsidR="00EB5FE9" w:rsidRPr="008E2A3E" w14:paraId="6DAA5362" w14:textId="77777777" w:rsidTr="00BA3FB7">
        <w:trPr>
          <w:trHeight w:val="264"/>
        </w:trPr>
        <w:tc>
          <w:tcPr>
            <w:tcW w:w="1782" w:type="dxa"/>
            <w:tcBorders>
              <w:top w:val="nil"/>
              <w:left w:val="single" w:sz="4" w:space="0" w:color="auto"/>
              <w:bottom w:val="single" w:sz="4" w:space="0" w:color="auto"/>
              <w:right w:val="single" w:sz="4" w:space="0" w:color="auto"/>
            </w:tcBorders>
            <w:noWrap/>
            <w:vAlign w:val="bottom"/>
            <w:hideMark/>
          </w:tcPr>
          <w:p w14:paraId="00C78C02" w14:textId="77777777" w:rsidR="00EB5FE9" w:rsidRPr="008E2A3E" w:rsidRDefault="00EB5FE9" w:rsidP="00EB5FE9">
            <w:pPr>
              <w:pStyle w:val="NoSpacing"/>
              <w:rPr>
                <w:rFonts w:ascii="Times New Roman" w:hAnsi="Times New Roman" w:cs="Times New Roman"/>
                <w:szCs w:val="24"/>
                <w:lang w:eastAsia="en-IN"/>
              </w:rPr>
            </w:pPr>
            <w:r w:rsidRPr="008E2A3E">
              <w:rPr>
                <w:rFonts w:ascii="Times New Roman" w:hAnsi="Times New Roman" w:cs="Times New Roman"/>
                <w:szCs w:val="24"/>
                <w:lang w:eastAsia="en-IN"/>
              </w:rPr>
              <w:t>1966-67</w:t>
            </w:r>
          </w:p>
        </w:tc>
        <w:tc>
          <w:tcPr>
            <w:tcW w:w="1062" w:type="dxa"/>
            <w:tcBorders>
              <w:top w:val="nil"/>
              <w:left w:val="nil"/>
              <w:bottom w:val="single" w:sz="4" w:space="0" w:color="auto"/>
              <w:right w:val="single" w:sz="4" w:space="0" w:color="auto"/>
            </w:tcBorders>
            <w:noWrap/>
            <w:vAlign w:val="center"/>
            <w:hideMark/>
          </w:tcPr>
          <w:p w14:paraId="0252EAAB" w14:textId="77777777" w:rsidR="00EB5FE9" w:rsidRPr="008E2A3E" w:rsidRDefault="00EB5FE9" w:rsidP="008E2A3E">
            <w:pPr>
              <w:pStyle w:val="NoSpacing"/>
              <w:jc w:val="center"/>
              <w:rPr>
                <w:rFonts w:ascii="Times New Roman" w:hAnsi="Times New Roman" w:cs="Times New Roman"/>
                <w:szCs w:val="24"/>
                <w:lang w:eastAsia="en-IN"/>
              </w:rPr>
            </w:pPr>
            <w:r w:rsidRPr="008E2A3E">
              <w:rPr>
                <w:rFonts w:ascii="Times New Roman" w:hAnsi="Times New Roman" w:cs="Times New Roman"/>
                <w:szCs w:val="24"/>
                <w:lang w:eastAsia="en-IN"/>
              </w:rPr>
              <w:t>6.32</w:t>
            </w:r>
          </w:p>
        </w:tc>
        <w:tc>
          <w:tcPr>
            <w:tcW w:w="953" w:type="dxa"/>
            <w:tcBorders>
              <w:top w:val="nil"/>
              <w:left w:val="nil"/>
              <w:bottom w:val="single" w:sz="4" w:space="0" w:color="auto"/>
              <w:right w:val="single" w:sz="4" w:space="0" w:color="auto"/>
            </w:tcBorders>
            <w:noWrap/>
            <w:vAlign w:val="center"/>
            <w:hideMark/>
          </w:tcPr>
          <w:p w14:paraId="42014F9B" w14:textId="77777777" w:rsidR="00EB5FE9" w:rsidRPr="008E2A3E" w:rsidRDefault="00EB5FE9" w:rsidP="008E2A3E">
            <w:pPr>
              <w:pStyle w:val="NoSpacing"/>
              <w:jc w:val="center"/>
              <w:rPr>
                <w:rFonts w:ascii="Times New Roman" w:hAnsi="Times New Roman" w:cs="Times New Roman"/>
                <w:szCs w:val="24"/>
                <w:lang w:eastAsia="en-IN"/>
              </w:rPr>
            </w:pPr>
            <w:r w:rsidRPr="008E2A3E">
              <w:rPr>
                <w:rFonts w:ascii="Times New Roman" w:hAnsi="Times New Roman" w:cs="Times New Roman"/>
                <w:szCs w:val="24"/>
                <w:lang w:eastAsia="en-IN"/>
              </w:rPr>
              <w:t>35.14</w:t>
            </w:r>
          </w:p>
        </w:tc>
        <w:tc>
          <w:tcPr>
            <w:tcW w:w="1165" w:type="dxa"/>
            <w:tcBorders>
              <w:top w:val="nil"/>
              <w:left w:val="nil"/>
              <w:bottom w:val="single" w:sz="4" w:space="0" w:color="auto"/>
              <w:right w:val="single" w:sz="4" w:space="0" w:color="auto"/>
            </w:tcBorders>
            <w:noWrap/>
            <w:vAlign w:val="center"/>
            <w:hideMark/>
          </w:tcPr>
          <w:p w14:paraId="4757B619" w14:textId="77777777" w:rsidR="00EB5FE9" w:rsidRPr="008E2A3E" w:rsidRDefault="00EB5FE9" w:rsidP="008E2A3E">
            <w:pPr>
              <w:pStyle w:val="NoSpacing"/>
              <w:jc w:val="center"/>
              <w:rPr>
                <w:rFonts w:ascii="Times New Roman" w:hAnsi="Times New Roman" w:cs="Times New Roman"/>
                <w:szCs w:val="24"/>
                <w:lang w:eastAsia="en-IN"/>
              </w:rPr>
            </w:pPr>
            <w:r w:rsidRPr="008E2A3E">
              <w:rPr>
                <w:rFonts w:ascii="Times New Roman" w:hAnsi="Times New Roman" w:cs="Times New Roman"/>
                <w:szCs w:val="24"/>
                <w:lang w:eastAsia="en-IN"/>
              </w:rPr>
              <w:t>4.20</w:t>
            </w:r>
          </w:p>
        </w:tc>
        <w:tc>
          <w:tcPr>
            <w:tcW w:w="1488" w:type="dxa"/>
            <w:tcBorders>
              <w:top w:val="nil"/>
              <w:left w:val="nil"/>
              <w:bottom w:val="single" w:sz="4" w:space="0" w:color="auto"/>
              <w:right w:val="single" w:sz="4" w:space="0" w:color="auto"/>
            </w:tcBorders>
            <w:noWrap/>
            <w:vAlign w:val="center"/>
            <w:hideMark/>
          </w:tcPr>
          <w:p w14:paraId="0AF1C4F0" w14:textId="77777777" w:rsidR="00EB5FE9" w:rsidRPr="008E2A3E" w:rsidRDefault="00EB5FE9" w:rsidP="008E2A3E">
            <w:pPr>
              <w:pStyle w:val="NoSpacing"/>
              <w:jc w:val="center"/>
              <w:rPr>
                <w:rFonts w:ascii="Times New Roman" w:hAnsi="Times New Roman" w:cs="Times New Roman"/>
                <w:szCs w:val="24"/>
                <w:lang w:eastAsia="en-IN"/>
              </w:rPr>
            </w:pPr>
            <w:r w:rsidRPr="008E2A3E">
              <w:rPr>
                <w:rFonts w:ascii="Times New Roman" w:hAnsi="Times New Roman" w:cs="Times New Roman"/>
                <w:szCs w:val="24"/>
                <w:lang w:eastAsia="en-IN"/>
              </w:rPr>
              <w:t>4.00</w:t>
            </w:r>
          </w:p>
        </w:tc>
        <w:tc>
          <w:tcPr>
            <w:tcW w:w="1376" w:type="dxa"/>
            <w:tcBorders>
              <w:top w:val="nil"/>
              <w:left w:val="nil"/>
              <w:bottom w:val="single" w:sz="4" w:space="0" w:color="auto"/>
              <w:right w:val="single" w:sz="4" w:space="0" w:color="auto"/>
            </w:tcBorders>
            <w:noWrap/>
            <w:vAlign w:val="center"/>
            <w:hideMark/>
          </w:tcPr>
          <w:p w14:paraId="781CD538" w14:textId="77777777" w:rsidR="00EB5FE9" w:rsidRPr="008E2A3E" w:rsidRDefault="00EB5FE9" w:rsidP="008E2A3E">
            <w:pPr>
              <w:pStyle w:val="NoSpacing"/>
              <w:jc w:val="center"/>
              <w:rPr>
                <w:rFonts w:ascii="Times New Roman" w:hAnsi="Times New Roman" w:cs="Times New Roman"/>
                <w:szCs w:val="24"/>
                <w:lang w:eastAsia="en-IN"/>
              </w:rPr>
            </w:pPr>
            <w:r w:rsidRPr="008E2A3E">
              <w:rPr>
                <w:rFonts w:ascii="Times New Roman" w:hAnsi="Times New Roman" w:cs="Times New Roman"/>
                <w:szCs w:val="24"/>
                <w:lang w:eastAsia="en-IN"/>
              </w:rPr>
              <w:t>10.54</w:t>
            </w:r>
          </w:p>
        </w:tc>
        <w:tc>
          <w:tcPr>
            <w:tcW w:w="1289" w:type="dxa"/>
            <w:tcBorders>
              <w:top w:val="nil"/>
              <w:left w:val="nil"/>
              <w:bottom w:val="single" w:sz="4" w:space="0" w:color="auto"/>
              <w:right w:val="single" w:sz="4" w:space="0" w:color="auto"/>
            </w:tcBorders>
            <w:noWrap/>
            <w:vAlign w:val="center"/>
            <w:hideMark/>
          </w:tcPr>
          <w:p w14:paraId="052CC1BB" w14:textId="77777777" w:rsidR="00EB5FE9" w:rsidRPr="008E2A3E" w:rsidRDefault="00EB5FE9" w:rsidP="008E2A3E">
            <w:pPr>
              <w:pStyle w:val="NoSpacing"/>
              <w:jc w:val="center"/>
              <w:rPr>
                <w:rFonts w:ascii="Times New Roman" w:hAnsi="Times New Roman" w:cs="Times New Roman"/>
                <w:szCs w:val="24"/>
                <w:lang w:eastAsia="en-IN"/>
              </w:rPr>
            </w:pPr>
            <w:r w:rsidRPr="008E2A3E">
              <w:rPr>
                <w:rFonts w:ascii="Times New Roman" w:hAnsi="Times New Roman" w:cs="Times New Roman"/>
                <w:szCs w:val="24"/>
                <w:lang w:eastAsia="en-IN"/>
              </w:rPr>
              <w:t>0.64</w:t>
            </w:r>
          </w:p>
        </w:tc>
        <w:tc>
          <w:tcPr>
            <w:tcW w:w="1627" w:type="dxa"/>
            <w:tcBorders>
              <w:top w:val="nil"/>
              <w:left w:val="nil"/>
              <w:bottom w:val="single" w:sz="4" w:space="0" w:color="auto"/>
              <w:right w:val="single" w:sz="4" w:space="0" w:color="auto"/>
            </w:tcBorders>
            <w:noWrap/>
            <w:vAlign w:val="center"/>
            <w:hideMark/>
          </w:tcPr>
          <w:p w14:paraId="2110C421" w14:textId="77777777" w:rsidR="00EB5FE9" w:rsidRPr="008E2A3E" w:rsidRDefault="00EB5FE9" w:rsidP="008E2A3E">
            <w:pPr>
              <w:pStyle w:val="NoSpacing"/>
              <w:jc w:val="center"/>
              <w:rPr>
                <w:rFonts w:ascii="Times New Roman" w:hAnsi="Times New Roman" w:cs="Times New Roman"/>
                <w:szCs w:val="24"/>
                <w:lang w:eastAsia="en-IN"/>
              </w:rPr>
            </w:pPr>
            <w:r w:rsidRPr="008E2A3E">
              <w:rPr>
                <w:rFonts w:ascii="Times New Roman" w:hAnsi="Times New Roman" w:cs="Times New Roman"/>
                <w:szCs w:val="24"/>
                <w:lang w:eastAsia="en-IN"/>
              </w:rPr>
              <w:t>1.62</w:t>
            </w:r>
          </w:p>
        </w:tc>
        <w:tc>
          <w:tcPr>
            <w:tcW w:w="1763" w:type="dxa"/>
            <w:tcBorders>
              <w:top w:val="nil"/>
              <w:left w:val="nil"/>
              <w:bottom w:val="single" w:sz="4" w:space="0" w:color="auto"/>
              <w:right w:val="single" w:sz="4" w:space="0" w:color="auto"/>
            </w:tcBorders>
            <w:noWrap/>
            <w:vAlign w:val="center"/>
            <w:hideMark/>
          </w:tcPr>
          <w:p w14:paraId="1B40EB60" w14:textId="77777777" w:rsidR="00EB5FE9" w:rsidRPr="008E2A3E" w:rsidRDefault="00EB5FE9" w:rsidP="008E2A3E">
            <w:pPr>
              <w:pStyle w:val="NoSpacing"/>
              <w:jc w:val="center"/>
              <w:rPr>
                <w:rFonts w:ascii="Times New Roman" w:hAnsi="Times New Roman" w:cs="Times New Roman"/>
                <w:szCs w:val="24"/>
                <w:lang w:eastAsia="en-IN"/>
              </w:rPr>
            </w:pPr>
            <w:r w:rsidRPr="008E2A3E">
              <w:rPr>
                <w:rFonts w:ascii="Times New Roman" w:hAnsi="Times New Roman" w:cs="Times New Roman"/>
                <w:szCs w:val="24"/>
                <w:lang w:eastAsia="en-IN"/>
              </w:rPr>
              <w:t>2.00</w:t>
            </w:r>
          </w:p>
        </w:tc>
        <w:tc>
          <w:tcPr>
            <w:tcW w:w="997" w:type="dxa"/>
            <w:tcBorders>
              <w:top w:val="nil"/>
              <w:left w:val="nil"/>
              <w:bottom w:val="single" w:sz="4" w:space="0" w:color="auto"/>
              <w:right w:val="single" w:sz="4" w:space="0" w:color="auto"/>
            </w:tcBorders>
            <w:noWrap/>
            <w:vAlign w:val="center"/>
            <w:hideMark/>
          </w:tcPr>
          <w:p w14:paraId="24927CFF" w14:textId="77777777" w:rsidR="00EB5FE9" w:rsidRPr="008E2A3E" w:rsidRDefault="00EB5FE9" w:rsidP="008E2A3E">
            <w:pPr>
              <w:pStyle w:val="NoSpacing"/>
              <w:jc w:val="center"/>
              <w:rPr>
                <w:rFonts w:ascii="Times New Roman" w:hAnsi="Times New Roman" w:cs="Times New Roman"/>
                <w:szCs w:val="24"/>
                <w:lang w:eastAsia="en-IN"/>
              </w:rPr>
            </w:pPr>
            <w:r w:rsidRPr="008E2A3E">
              <w:rPr>
                <w:rFonts w:ascii="Times New Roman" w:hAnsi="Times New Roman" w:cs="Times New Roman"/>
                <w:szCs w:val="24"/>
                <w:lang w:eastAsia="en-IN"/>
              </w:rPr>
              <w:t>2.45</w:t>
            </w:r>
          </w:p>
        </w:tc>
        <w:tc>
          <w:tcPr>
            <w:tcW w:w="1507" w:type="dxa"/>
            <w:tcBorders>
              <w:top w:val="nil"/>
              <w:left w:val="nil"/>
              <w:bottom w:val="single" w:sz="4" w:space="0" w:color="auto"/>
              <w:right w:val="single" w:sz="4" w:space="0" w:color="auto"/>
            </w:tcBorders>
            <w:noWrap/>
            <w:vAlign w:val="center"/>
            <w:hideMark/>
          </w:tcPr>
          <w:p w14:paraId="22D2022E" w14:textId="77777777" w:rsidR="00EB5FE9" w:rsidRPr="008E2A3E" w:rsidRDefault="00EB5FE9" w:rsidP="008E2A3E">
            <w:pPr>
              <w:pStyle w:val="NoSpacing"/>
              <w:jc w:val="center"/>
              <w:rPr>
                <w:rFonts w:ascii="Times New Roman" w:hAnsi="Times New Roman" w:cs="Times New Roman"/>
                <w:szCs w:val="24"/>
                <w:lang w:eastAsia="en-IN"/>
              </w:rPr>
            </w:pPr>
            <w:r w:rsidRPr="008E2A3E">
              <w:rPr>
                <w:rFonts w:ascii="Times New Roman" w:hAnsi="Times New Roman" w:cs="Times New Roman"/>
                <w:szCs w:val="24"/>
                <w:lang w:eastAsia="en-IN"/>
              </w:rPr>
              <w:t>135.59</w:t>
            </w:r>
          </w:p>
        </w:tc>
      </w:tr>
      <w:tr w:rsidR="00EB5FE9" w:rsidRPr="008E2A3E" w14:paraId="1ED44529" w14:textId="77777777" w:rsidTr="00BA3FB7">
        <w:trPr>
          <w:trHeight w:val="264"/>
        </w:trPr>
        <w:tc>
          <w:tcPr>
            <w:tcW w:w="1782" w:type="dxa"/>
            <w:tcBorders>
              <w:top w:val="nil"/>
              <w:left w:val="single" w:sz="4" w:space="0" w:color="auto"/>
              <w:bottom w:val="single" w:sz="4" w:space="0" w:color="auto"/>
              <w:right w:val="single" w:sz="4" w:space="0" w:color="auto"/>
            </w:tcBorders>
            <w:noWrap/>
            <w:vAlign w:val="bottom"/>
            <w:hideMark/>
          </w:tcPr>
          <w:p w14:paraId="3A4DCB0A" w14:textId="77777777" w:rsidR="00EB5FE9" w:rsidRPr="008E2A3E" w:rsidRDefault="00EB5FE9" w:rsidP="00EB5FE9">
            <w:pPr>
              <w:pStyle w:val="NoSpacing"/>
              <w:rPr>
                <w:rFonts w:ascii="Times New Roman" w:hAnsi="Times New Roman" w:cs="Times New Roman"/>
                <w:szCs w:val="24"/>
                <w:lang w:eastAsia="en-IN"/>
              </w:rPr>
            </w:pPr>
            <w:r w:rsidRPr="008E2A3E">
              <w:rPr>
                <w:rFonts w:ascii="Times New Roman" w:hAnsi="Times New Roman" w:cs="Times New Roman"/>
                <w:szCs w:val="24"/>
                <w:lang w:eastAsia="en-IN"/>
              </w:rPr>
              <w:t>1967-68</w:t>
            </w:r>
          </w:p>
        </w:tc>
        <w:tc>
          <w:tcPr>
            <w:tcW w:w="1062" w:type="dxa"/>
            <w:tcBorders>
              <w:top w:val="nil"/>
              <w:left w:val="nil"/>
              <w:bottom w:val="single" w:sz="4" w:space="0" w:color="auto"/>
              <w:right w:val="single" w:sz="4" w:space="0" w:color="auto"/>
            </w:tcBorders>
            <w:noWrap/>
            <w:vAlign w:val="center"/>
            <w:hideMark/>
          </w:tcPr>
          <w:p w14:paraId="557322F6" w14:textId="77777777" w:rsidR="00EB5FE9" w:rsidRPr="008E2A3E" w:rsidRDefault="00EB5FE9" w:rsidP="008E2A3E">
            <w:pPr>
              <w:pStyle w:val="NoSpacing"/>
              <w:jc w:val="center"/>
              <w:rPr>
                <w:rFonts w:ascii="Times New Roman" w:hAnsi="Times New Roman" w:cs="Times New Roman"/>
                <w:szCs w:val="24"/>
                <w:lang w:eastAsia="en-IN"/>
              </w:rPr>
            </w:pPr>
            <w:r w:rsidRPr="008E2A3E">
              <w:rPr>
                <w:rFonts w:ascii="Times New Roman" w:hAnsi="Times New Roman" w:cs="Times New Roman"/>
                <w:szCs w:val="24"/>
                <w:lang w:eastAsia="en-IN"/>
              </w:rPr>
              <w:t>7.81</w:t>
            </w:r>
          </w:p>
        </w:tc>
        <w:tc>
          <w:tcPr>
            <w:tcW w:w="953" w:type="dxa"/>
            <w:tcBorders>
              <w:top w:val="nil"/>
              <w:left w:val="nil"/>
              <w:bottom w:val="single" w:sz="4" w:space="0" w:color="auto"/>
              <w:right w:val="single" w:sz="4" w:space="0" w:color="auto"/>
            </w:tcBorders>
            <w:noWrap/>
            <w:vAlign w:val="center"/>
            <w:hideMark/>
          </w:tcPr>
          <w:p w14:paraId="3D111986" w14:textId="77777777" w:rsidR="00EB5FE9" w:rsidRPr="008E2A3E" w:rsidRDefault="00EB5FE9" w:rsidP="008E2A3E">
            <w:pPr>
              <w:pStyle w:val="NoSpacing"/>
              <w:jc w:val="center"/>
              <w:rPr>
                <w:rFonts w:ascii="Times New Roman" w:hAnsi="Times New Roman" w:cs="Times New Roman"/>
                <w:szCs w:val="24"/>
                <w:lang w:eastAsia="en-IN"/>
              </w:rPr>
            </w:pPr>
            <w:r w:rsidRPr="008E2A3E">
              <w:rPr>
                <w:rFonts w:ascii="Times New Roman" w:hAnsi="Times New Roman" w:cs="Times New Roman"/>
                <w:szCs w:val="24"/>
                <w:lang w:eastAsia="en-IN"/>
              </w:rPr>
              <w:t>39.22</w:t>
            </w:r>
          </w:p>
        </w:tc>
        <w:tc>
          <w:tcPr>
            <w:tcW w:w="1165" w:type="dxa"/>
            <w:tcBorders>
              <w:top w:val="nil"/>
              <w:left w:val="nil"/>
              <w:bottom w:val="single" w:sz="4" w:space="0" w:color="auto"/>
              <w:right w:val="single" w:sz="4" w:space="0" w:color="auto"/>
            </w:tcBorders>
            <w:noWrap/>
            <w:vAlign w:val="center"/>
            <w:hideMark/>
          </w:tcPr>
          <w:p w14:paraId="540D0192" w14:textId="77777777" w:rsidR="00EB5FE9" w:rsidRPr="008E2A3E" w:rsidRDefault="00EB5FE9" w:rsidP="008E2A3E">
            <w:pPr>
              <w:pStyle w:val="NoSpacing"/>
              <w:jc w:val="center"/>
              <w:rPr>
                <w:rFonts w:ascii="Times New Roman" w:hAnsi="Times New Roman" w:cs="Times New Roman"/>
                <w:szCs w:val="24"/>
                <w:lang w:eastAsia="en-IN"/>
              </w:rPr>
            </w:pPr>
            <w:r w:rsidRPr="008E2A3E">
              <w:rPr>
                <w:rFonts w:ascii="Times New Roman" w:hAnsi="Times New Roman" w:cs="Times New Roman"/>
                <w:szCs w:val="24"/>
                <w:lang w:eastAsia="en-IN"/>
              </w:rPr>
              <w:t>4.76</w:t>
            </w:r>
          </w:p>
        </w:tc>
        <w:tc>
          <w:tcPr>
            <w:tcW w:w="1488" w:type="dxa"/>
            <w:tcBorders>
              <w:top w:val="nil"/>
              <w:left w:val="nil"/>
              <w:bottom w:val="single" w:sz="4" w:space="0" w:color="auto"/>
              <w:right w:val="single" w:sz="4" w:space="0" w:color="auto"/>
            </w:tcBorders>
            <w:noWrap/>
            <w:vAlign w:val="center"/>
            <w:hideMark/>
          </w:tcPr>
          <w:p w14:paraId="12021A5B" w14:textId="77777777" w:rsidR="00EB5FE9" w:rsidRPr="008E2A3E" w:rsidRDefault="00EB5FE9" w:rsidP="008E2A3E">
            <w:pPr>
              <w:pStyle w:val="NoSpacing"/>
              <w:jc w:val="center"/>
              <w:rPr>
                <w:rFonts w:ascii="Times New Roman" w:hAnsi="Times New Roman" w:cs="Times New Roman"/>
                <w:szCs w:val="24"/>
                <w:lang w:eastAsia="en-IN"/>
              </w:rPr>
            </w:pPr>
            <w:r w:rsidRPr="008E2A3E">
              <w:rPr>
                <w:rFonts w:ascii="Times New Roman" w:hAnsi="Times New Roman" w:cs="Times New Roman"/>
                <w:szCs w:val="24"/>
                <w:lang w:eastAsia="en-IN"/>
              </w:rPr>
              <w:t>4.65</w:t>
            </w:r>
          </w:p>
        </w:tc>
        <w:tc>
          <w:tcPr>
            <w:tcW w:w="1376" w:type="dxa"/>
            <w:tcBorders>
              <w:top w:val="nil"/>
              <w:left w:val="nil"/>
              <w:bottom w:val="single" w:sz="4" w:space="0" w:color="auto"/>
              <w:right w:val="single" w:sz="4" w:space="0" w:color="auto"/>
            </w:tcBorders>
            <w:noWrap/>
            <w:vAlign w:val="center"/>
            <w:hideMark/>
          </w:tcPr>
          <w:p w14:paraId="75B9C024" w14:textId="77777777" w:rsidR="00EB5FE9" w:rsidRPr="008E2A3E" w:rsidRDefault="00EB5FE9" w:rsidP="008E2A3E">
            <w:pPr>
              <w:pStyle w:val="NoSpacing"/>
              <w:jc w:val="center"/>
              <w:rPr>
                <w:rFonts w:ascii="Times New Roman" w:hAnsi="Times New Roman" w:cs="Times New Roman"/>
                <w:szCs w:val="24"/>
                <w:lang w:eastAsia="en-IN"/>
              </w:rPr>
            </w:pPr>
            <w:r w:rsidRPr="008E2A3E">
              <w:rPr>
                <w:rFonts w:ascii="Times New Roman" w:hAnsi="Times New Roman" w:cs="Times New Roman"/>
                <w:szCs w:val="24"/>
                <w:lang w:eastAsia="en-IN"/>
              </w:rPr>
              <w:t>12.90</w:t>
            </w:r>
          </w:p>
        </w:tc>
        <w:tc>
          <w:tcPr>
            <w:tcW w:w="1289" w:type="dxa"/>
            <w:tcBorders>
              <w:top w:val="nil"/>
              <w:left w:val="nil"/>
              <w:bottom w:val="single" w:sz="4" w:space="0" w:color="auto"/>
              <w:right w:val="single" w:sz="4" w:space="0" w:color="auto"/>
            </w:tcBorders>
            <w:noWrap/>
            <w:vAlign w:val="center"/>
            <w:hideMark/>
          </w:tcPr>
          <w:p w14:paraId="720D0FEC" w14:textId="77777777" w:rsidR="00EB5FE9" w:rsidRPr="008E2A3E" w:rsidRDefault="00EB5FE9" w:rsidP="008E2A3E">
            <w:pPr>
              <w:pStyle w:val="NoSpacing"/>
              <w:jc w:val="center"/>
              <w:rPr>
                <w:rFonts w:ascii="Times New Roman" w:hAnsi="Times New Roman" w:cs="Times New Roman"/>
                <w:szCs w:val="24"/>
                <w:lang w:eastAsia="en-IN"/>
              </w:rPr>
            </w:pPr>
            <w:r w:rsidRPr="008E2A3E">
              <w:rPr>
                <w:rFonts w:ascii="Times New Roman" w:hAnsi="Times New Roman" w:cs="Times New Roman"/>
                <w:szCs w:val="24"/>
                <w:lang w:eastAsia="en-IN"/>
              </w:rPr>
              <w:t>0.85</w:t>
            </w:r>
          </w:p>
        </w:tc>
        <w:tc>
          <w:tcPr>
            <w:tcW w:w="1627" w:type="dxa"/>
            <w:tcBorders>
              <w:top w:val="nil"/>
              <w:left w:val="nil"/>
              <w:bottom w:val="single" w:sz="4" w:space="0" w:color="auto"/>
              <w:right w:val="single" w:sz="4" w:space="0" w:color="auto"/>
            </w:tcBorders>
            <w:noWrap/>
            <w:vAlign w:val="center"/>
            <w:hideMark/>
          </w:tcPr>
          <w:p w14:paraId="7A28D1D5" w14:textId="77777777" w:rsidR="00EB5FE9" w:rsidRPr="008E2A3E" w:rsidRDefault="00EB5FE9" w:rsidP="008E2A3E">
            <w:pPr>
              <w:pStyle w:val="NoSpacing"/>
              <w:jc w:val="center"/>
              <w:rPr>
                <w:rFonts w:ascii="Times New Roman" w:hAnsi="Times New Roman" w:cs="Times New Roman"/>
                <w:szCs w:val="24"/>
                <w:lang w:eastAsia="en-IN"/>
              </w:rPr>
            </w:pPr>
            <w:r w:rsidRPr="008E2A3E">
              <w:rPr>
                <w:rFonts w:ascii="Times New Roman" w:hAnsi="Times New Roman" w:cs="Times New Roman"/>
                <w:szCs w:val="24"/>
                <w:lang w:eastAsia="en-IN"/>
              </w:rPr>
              <w:t>1.66</w:t>
            </w:r>
          </w:p>
        </w:tc>
        <w:tc>
          <w:tcPr>
            <w:tcW w:w="1763" w:type="dxa"/>
            <w:tcBorders>
              <w:top w:val="nil"/>
              <w:left w:val="nil"/>
              <w:bottom w:val="single" w:sz="4" w:space="0" w:color="auto"/>
              <w:right w:val="single" w:sz="4" w:space="0" w:color="auto"/>
            </w:tcBorders>
            <w:noWrap/>
            <w:vAlign w:val="center"/>
            <w:hideMark/>
          </w:tcPr>
          <w:p w14:paraId="0B06D763" w14:textId="77777777" w:rsidR="00EB5FE9" w:rsidRPr="008E2A3E" w:rsidRDefault="00EB5FE9" w:rsidP="008E2A3E">
            <w:pPr>
              <w:pStyle w:val="NoSpacing"/>
              <w:jc w:val="center"/>
              <w:rPr>
                <w:rFonts w:ascii="Times New Roman" w:hAnsi="Times New Roman" w:cs="Times New Roman"/>
                <w:szCs w:val="24"/>
                <w:lang w:eastAsia="en-IN"/>
              </w:rPr>
            </w:pPr>
            <w:r w:rsidRPr="008E2A3E">
              <w:rPr>
                <w:rFonts w:ascii="Times New Roman" w:hAnsi="Times New Roman" w:cs="Times New Roman"/>
                <w:szCs w:val="24"/>
                <w:lang w:eastAsia="en-IN"/>
              </w:rPr>
              <w:t>2.54</w:t>
            </w:r>
          </w:p>
        </w:tc>
        <w:tc>
          <w:tcPr>
            <w:tcW w:w="997" w:type="dxa"/>
            <w:tcBorders>
              <w:top w:val="nil"/>
              <w:left w:val="nil"/>
              <w:bottom w:val="single" w:sz="4" w:space="0" w:color="auto"/>
              <w:right w:val="single" w:sz="4" w:space="0" w:color="auto"/>
            </w:tcBorders>
            <w:noWrap/>
            <w:vAlign w:val="center"/>
            <w:hideMark/>
          </w:tcPr>
          <w:p w14:paraId="20819FF2" w14:textId="77777777" w:rsidR="00EB5FE9" w:rsidRPr="008E2A3E" w:rsidRDefault="00EB5FE9" w:rsidP="008E2A3E">
            <w:pPr>
              <w:pStyle w:val="NoSpacing"/>
              <w:jc w:val="center"/>
              <w:rPr>
                <w:rFonts w:ascii="Times New Roman" w:hAnsi="Times New Roman" w:cs="Times New Roman"/>
                <w:szCs w:val="24"/>
                <w:lang w:eastAsia="en-IN"/>
              </w:rPr>
            </w:pPr>
            <w:r w:rsidRPr="008E2A3E">
              <w:rPr>
                <w:rFonts w:ascii="Times New Roman" w:hAnsi="Times New Roman" w:cs="Times New Roman"/>
                <w:szCs w:val="24"/>
                <w:lang w:eastAsia="en-IN"/>
              </w:rPr>
              <w:t>-</w:t>
            </w:r>
          </w:p>
        </w:tc>
        <w:tc>
          <w:tcPr>
            <w:tcW w:w="1507" w:type="dxa"/>
            <w:tcBorders>
              <w:top w:val="nil"/>
              <w:left w:val="nil"/>
              <w:bottom w:val="single" w:sz="4" w:space="0" w:color="auto"/>
              <w:right w:val="single" w:sz="4" w:space="0" w:color="auto"/>
            </w:tcBorders>
            <w:noWrap/>
            <w:vAlign w:val="center"/>
            <w:hideMark/>
          </w:tcPr>
          <w:p w14:paraId="27E1DC7C" w14:textId="77777777" w:rsidR="00EB5FE9" w:rsidRPr="008E2A3E" w:rsidRDefault="00EB5FE9" w:rsidP="008E2A3E">
            <w:pPr>
              <w:pStyle w:val="NoSpacing"/>
              <w:jc w:val="center"/>
              <w:rPr>
                <w:rFonts w:ascii="Times New Roman" w:hAnsi="Times New Roman" w:cs="Times New Roman"/>
                <w:szCs w:val="24"/>
                <w:lang w:eastAsia="en-IN"/>
              </w:rPr>
            </w:pPr>
            <w:r w:rsidRPr="008E2A3E">
              <w:rPr>
                <w:rFonts w:ascii="Times New Roman" w:hAnsi="Times New Roman" w:cs="Times New Roman"/>
                <w:szCs w:val="24"/>
                <w:lang w:eastAsia="en-IN"/>
              </w:rPr>
              <w:t>152.21</w:t>
            </w:r>
          </w:p>
        </w:tc>
      </w:tr>
      <w:tr w:rsidR="00EB5FE9" w:rsidRPr="008E2A3E" w14:paraId="347D062B" w14:textId="77777777" w:rsidTr="00BA3FB7">
        <w:trPr>
          <w:trHeight w:val="264"/>
        </w:trPr>
        <w:tc>
          <w:tcPr>
            <w:tcW w:w="1782" w:type="dxa"/>
            <w:tcBorders>
              <w:top w:val="nil"/>
              <w:left w:val="single" w:sz="4" w:space="0" w:color="auto"/>
              <w:bottom w:val="single" w:sz="4" w:space="0" w:color="auto"/>
              <w:right w:val="single" w:sz="4" w:space="0" w:color="auto"/>
            </w:tcBorders>
            <w:noWrap/>
            <w:vAlign w:val="center"/>
            <w:hideMark/>
          </w:tcPr>
          <w:p w14:paraId="506DEDA4" w14:textId="77777777" w:rsidR="00EB5FE9" w:rsidRPr="008E2A3E" w:rsidRDefault="00EB5FE9" w:rsidP="00EB5FE9">
            <w:pPr>
              <w:pStyle w:val="NoSpacing"/>
              <w:rPr>
                <w:rFonts w:ascii="Times New Roman" w:hAnsi="Times New Roman" w:cs="Times New Roman"/>
                <w:szCs w:val="24"/>
                <w:lang w:eastAsia="en-IN"/>
              </w:rPr>
            </w:pPr>
            <w:r w:rsidRPr="008E2A3E">
              <w:rPr>
                <w:rFonts w:ascii="Times New Roman" w:hAnsi="Times New Roman" w:cs="Times New Roman"/>
                <w:szCs w:val="24"/>
                <w:lang w:eastAsia="en-IN"/>
              </w:rPr>
              <w:t>1968-69 (RE)</w:t>
            </w:r>
          </w:p>
        </w:tc>
        <w:tc>
          <w:tcPr>
            <w:tcW w:w="1062" w:type="dxa"/>
            <w:tcBorders>
              <w:top w:val="nil"/>
              <w:left w:val="nil"/>
              <w:bottom w:val="single" w:sz="4" w:space="0" w:color="auto"/>
              <w:right w:val="single" w:sz="4" w:space="0" w:color="auto"/>
            </w:tcBorders>
            <w:noWrap/>
            <w:vAlign w:val="center"/>
            <w:hideMark/>
          </w:tcPr>
          <w:p w14:paraId="24428BD0" w14:textId="77777777" w:rsidR="00EB5FE9" w:rsidRPr="008E2A3E" w:rsidRDefault="00EB5FE9" w:rsidP="008E2A3E">
            <w:pPr>
              <w:pStyle w:val="NoSpacing"/>
              <w:jc w:val="center"/>
              <w:rPr>
                <w:rFonts w:ascii="Times New Roman" w:hAnsi="Times New Roman" w:cs="Times New Roman"/>
                <w:szCs w:val="24"/>
                <w:lang w:eastAsia="en-IN"/>
              </w:rPr>
            </w:pPr>
            <w:r w:rsidRPr="008E2A3E">
              <w:rPr>
                <w:rFonts w:ascii="Times New Roman" w:hAnsi="Times New Roman" w:cs="Times New Roman"/>
                <w:szCs w:val="24"/>
                <w:lang w:eastAsia="en-IN"/>
              </w:rPr>
              <w:t>6.52 (4.13)</w:t>
            </w:r>
          </w:p>
        </w:tc>
        <w:tc>
          <w:tcPr>
            <w:tcW w:w="953" w:type="dxa"/>
            <w:tcBorders>
              <w:top w:val="nil"/>
              <w:left w:val="nil"/>
              <w:bottom w:val="single" w:sz="4" w:space="0" w:color="auto"/>
              <w:right w:val="single" w:sz="4" w:space="0" w:color="auto"/>
            </w:tcBorders>
            <w:noWrap/>
            <w:vAlign w:val="center"/>
            <w:hideMark/>
          </w:tcPr>
          <w:p w14:paraId="27FA7F3C" w14:textId="77777777" w:rsidR="00EB5FE9" w:rsidRPr="008E2A3E" w:rsidRDefault="00EB5FE9" w:rsidP="008E2A3E">
            <w:pPr>
              <w:pStyle w:val="NoSpacing"/>
              <w:jc w:val="center"/>
              <w:rPr>
                <w:rFonts w:ascii="Times New Roman" w:hAnsi="Times New Roman" w:cs="Times New Roman"/>
                <w:szCs w:val="24"/>
                <w:lang w:eastAsia="en-IN"/>
              </w:rPr>
            </w:pPr>
            <w:r w:rsidRPr="008E2A3E">
              <w:rPr>
                <w:rFonts w:ascii="Times New Roman" w:hAnsi="Times New Roman" w:cs="Times New Roman"/>
                <w:szCs w:val="24"/>
                <w:lang w:eastAsia="en-IN"/>
              </w:rPr>
              <w:t>43.90 (27.82)</w:t>
            </w:r>
          </w:p>
        </w:tc>
        <w:tc>
          <w:tcPr>
            <w:tcW w:w="1165" w:type="dxa"/>
            <w:tcBorders>
              <w:top w:val="nil"/>
              <w:left w:val="nil"/>
              <w:bottom w:val="single" w:sz="4" w:space="0" w:color="auto"/>
              <w:right w:val="single" w:sz="4" w:space="0" w:color="auto"/>
            </w:tcBorders>
            <w:noWrap/>
            <w:vAlign w:val="center"/>
            <w:hideMark/>
          </w:tcPr>
          <w:p w14:paraId="4FEFDE03" w14:textId="77777777" w:rsidR="00EB5FE9" w:rsidRPr="008E2A3E" w:rsidRDefault="00EB5FE9" w:rsidP="008E2A3E">
            <w:pPr>
              <w:pStyle w:val="NoSpacing"/>
              <w:jc w:val="center"/>
              <w:rPr>
                <w:rFonts w:ascii="Times New Roman" w:hAnsi="Times New Roman" w:cs="Times New Roman"/>
                <w:szCs w:val="24"/>
                <w:lang w:eastAsia="en-IN"/>
              </w:rPr>
            </w:pPr>
            <w:r w:rsidRPr="008E2A3E">
              <w:rPr>
                <w:rFonts w:ascii="Times New Roman" w:hAnsi="Times New Roman" w:cs="Times New Roman"/>
                <w:szCs w:val="24"/>
                <w:lang w:eastAsia="en-IN"/>
              </w:rPr>
              <w:t>5.19 (3.29)</w:t>
            </w:r>
          </w:p>
        </w:tc>
        <w:tc>
          <w:tcPr>
            <w:tcW w:w="1488" w:type="dxa"/>
            <w:tcBorders>
              <w:top w:val="nil"/>
              <w:left w:val="nil"/>
              <w:bottom w:val="single" w:sz="4" w:space="0" w:color="auto"/>
              <w:right w:val="single" w:sz="4" w:space="0" w:color="auto"/>
            </w:tcBorders>
            <w:noWrap/>
            <w:vAlign w:val="center"/>
            <w:hideMark/>
          </w:tcPr>
          <w:p w14:paraId="4025024A" w14:textId="77777777" w:rsidR="00EB5FE9" w:rsidRPr="008E2A3E" w:rsidRDefault="00EB5FE9" w:rsidP="008E2A3E">
            <w:pPr>
              <w:pStyle w:val="NoSpacing"/>
              <w:jc w:val="center"/>
              <w:rPr>
                <w:rFonts w:ascii="Times New Roman" w:hAnsi="Times New Roman" w:cs="Times New Roman"/>
                <w:szCs w:val="24"/>
                <w:lang w:eastAsia="en-IN"/>
              </w:rPr>
            </w:pPr>
            <w:r w:rsidRPr="008E2A3E">
              <w:rPr>
                <w:rFonts w:ascii="Times New Roman" w:hAnsi="Times New Roman" w:cs="Times New Roman"/>
                <w:szCs w:val="24"/>
                <w:lang w:eastAsia="en-IN"/>
              </w:rPr>
              <w:t>4.98 (3.16)</w:t>
            </w:r>
          </w:p>
        </w:tc>
        <w:tc>
          <w:tcPr>
            <w:tcW w:w="1376" w:type="dxa"/>
            <w:tcBorders>
              <w:top w:val="nil"/>
              <w:left w:val="nil"/>
              <w:bottom w:val="single" w:sz="4" w:space="0" w:color="auto"/>
              <w:right w:val="single" w:sz="4" w:space="0" w:color="auto"/>
            </w:tcBorders>
            <w:noWrap/>
            <w:vAlign w:val="center"/>
            <w:hideMark/>
          </w:tcPr>
          <w:p w14:paraId="66D5AB9E" w14:textId="77777777" w:rsidR="00EB5FE9" w:rsidRPr="008E2A3E" w:rsidRDefault="00EB5FE9" w:rsidP="008E2A3E">
            <w:pPr>
              <w:pStyle w:val="NoSpacing"/>
              <w:jc w:val="center"/>
              <w:rPr>
                <w:rFonts w:ascii="Times New Roman" w:hAnsi="Times New Roman" w:cs="Times New Roman"/>
                <w:szCs w:val="24"/>
                <w:lang w:eastAsia="en-IN"/>
              </w:rPr>
            </w:pPr>
            <w:r w:rsidRPr="008E2A3E">
              <w:rPr>
                <w:rFonts w:ascii="Times New Roman" w:hAnsi="Times New Roman" w:cs="Times New Roman"/>
                <w:szCs w:val="24"/>
                <w:lang w:eastAsia="en-IN"/>
              </w:rPr>
              <w:t>13.55 (8.59)</w:t>
            </w:r>
          </w:p>
        </w:tc>
        <w:tc>
          <w:tcPr>
            <w:tcW w:w="1289" w:type="dxa"/>
            <w:tcBorders>
              <w:top w:val="nil"/>
              <w:left w:val="nil"/>
              <w:bottom w:val="single" w:sz="4" w:space="0" w:color="auto"/>
              <w:right w:val="single" w:sz="4" w:space="0" w:color="auto"/>
            </w:tcBorders>
            <w:noWrap/>
            <w:vAlign w:val="center"/>
            <w:hideMark/>
          </w:tcPr>
          <w:p w14:paraId="2E25CB54" w14:textId="77777777" w:rsidR="00EB5FE9" w:rsidRPr="008E2A3E" w:rsidRDefault="00EB5FE9" w:rsidP="008E2A3E">
            <w:pPr>
              <w:pStyle w:val="NoSpacing"/>
              <w:jc w:val="center"/>
              <w:rPr>
                <w:rFonts w:ascii="Times New Roman" w:hAnsi="Times New Roman" w:cs="Times New Roman"/>
                <w:szCs w:val="24"/>
                <w:lang w:eastAsia="en-IN"/>
              </w:rPr>
            </w:pPr>
            <w:r w:rsidRPr="008E2A3E">
              <w:rPr>
                <w:rFonts w:ascii="Times New Roman" w:hAnsi="Times New Roman" w:cs="Times New Roman"/>
                <w:szCs w:val="24"/>
                <w:lang w:eastAsia="en-IN"/>
              </w:rPr>
              <w:t>0.74 (0.47)</w:t>
            </w:r>
          </w:p>
        </w:tc>
        <w:tc>
          <w:tcPr>
            <w:tcW w:w="1627" w:type="dxa"/>
            <w:tcBorders>
              <w:top w:val="nil"/>
              <w:left w:val="nil"/>
              <w:bottom w:val="single" w:sz="4" w:space="0" w:color="auto"/>
              <w:right w:val="single" w:sz="4" w:space="0" w:color="auto"/>
            </w:tcBorders>
            <w:noWrap/>
            <w:vAlign w:val="center"/>
            <w:hideMark/>
          </w:tcPr>
          <w:p w14:paraId="7AF623D0" w14:textId="77777777" w:rsidR="00EB5FE9" w:rsidRPr="008E2A3E" w:rsidRDefault="00EB5FE9" w:rsidP="008E2A3E">
            <w:pPr>
              <w:pStyle w:val="NoSpacing"/>
              <w:jc w:val="center"/>
              <w:rPr>
                <w:rFonts w:ascii="Times New Roman" w:hAnsi="Times New Roman" w:cs="Times New Roman"/>
                <w:szCs w:val="24"/>
                <w:lang w:eastAsia="en-IN"/>
              </w:rPr>
            </w:pPr>
            <w:r w:rsidRPr="008E2A3E">
              <w:rPr>
                <w:rFonts w:ascii="Times New Roman" w:hAnsi="Times New Roman" w:cs="Times New Roman"/>
                <w:szCs w:val="24"/>
                <w:lang w:eastAsia="en-IN"/>
              </w:rPr>
              <w:t>1.27 (0.80)</w:t>
            </w:r>
          </w:p>
        </w:tc>
        <w:tc>
          <w:tcPr>
            <w:tcW w:w="1763" w:type="dxa"/>
            <w:tcBorders>
              <w:top w:val="nil"/>
              <w:left w:val="nil"/>
              <w:bottom w:val="single" w:sz="4" w:space="0" w:color="auto"/>
              <w:right w:val="single" w:sz="4" w:space="0" w:color="auto"/>
            </w:tcBorders>
            <w:noWrap/>
            <w:vAlign w:val="center"/>
            <w:hideMark/>
          </w:tcPr>
          <w:p w14:paraId="4FC8DBA5" w14:textId="77777777" w:rsidR="00EB5FE9" w:rsidRPr="008E2A3E" w:rsidRDefault="00EB5FE9" w:rsidP="008E2A3E">
            <w:pPr>
              <w:pStyle w:val="NoSpacing"/>
              <w:jc w:val="center"/>
              <w:rPr>
                <w:rFonts w:ascii="Times New Roman" w:hAnsi="Times New Roman" w:cs="Times New Roman"/>
                <w:szCs w:val="24"/>
                <w:lang w:eastAsia="en-IN"/>
              </w:rPr>
            </w:pPr>
            <w:r w:rsidRPr="008E2A3E">
              <w:rPr>
                <w:rFonts w:ascii="Times New Roman" w:hAnsi="Times New Roman" w:cs="Times New Roman"/>
                <w:szCs w:val="24"/>
                <w:lang w:eastAsia="en-IN"/>
              </w:rPr>
              <w:t>2.33 (1.48)</w:t>
            </w:r>
          </w:p>
        </w:tc>
        <w:tc>
          <w:tcPr>
            <w:tcW w:w="997" w:type="dxa"/>
            <w:tcBorders>
              <w:top w:val="nil"/>
              <w:left w:val="nil"/>
              <w:bottom w:val="single" w:sz="4" w:space="0" w:color="auto"/>
              <w:right w:val="single" w:sz="4" w:space="0" w:color="auto"/>
            </w:tcBorders>
            <w:noWrap/>
            <w:vAlign w:val="center"/>
            <w:hideMark/>
          </w:tcPr>
          <w:p w14:paraId="679F3729" w14:textId="77777777" w:rsidR="00EB5FE9" w:rsidRPr="008E2A3E" w:rsidRDefault="00EB5FE9" w:rsidP="008E2A3E">
            <w:pPr>
              <w:pStyle w:val="NoSpacing"/>
              <w:jc w:val="center"/>
              <w:rPr>
                <w:rFonts w:ascii="Times New Roman" w:hAnsi="Times New Roman" w:cs="Times New Roman"/>
                <w:szCs w:val="24"/>
                <w:lang w:eastAsia="en-IN"/>
              </w:rPr>
            </w:pPr>
            <w:r w:rsidRPr="008E2A3E">
              <w:rPr>
                <w:rFonts w:ascii="Times New Roman" w:hAnsi="Times New Roman" w:cs="Times New Roman"/>
                <w:szCs w:val="24"/>
                <w:lang w:eastAsia="en-IN"/>
              </w:rPr>
              <w:t>-</w:t>
            </w:r>
          </w:p>
        </w:tc>
        <w:tc>
          <w:tcPr>
            <w:tcW w:w="1507" w:type="dxa"/>
            <w:tcBorders>
              <w:top w:val="nil"/>
              <w:left w:val="nil"/>
              <w:bottom w:val="single" w:sz="4" w:space="0" w:color="auto"/>
              <w:right w:val="single" w:sz="4" w:space="0" w:color="auto"/>
            </w:tcBorders>
            <w:noWrap/>
            <w:vAlign w:val="center"/>
            <w:hideMark/>
          </w:tcPr>
          <w:p w14:paraId="62140126" w14:textId="77777777" w:rsidR="00EB5FE9" w:rsidRPr="008E2A3E" w:rsidRDefault="00EB5FE9" w:rsidP="008E2A3E">
            <w:pPr>
              <w:pStyle w:val="NoSpacing"/>
              <w:jc w:val="center"/>
              <w:rPr>
                <w:rFonts w:ascii="Times New Roman" w:hAnsi="Times New Roman" w:cs="Times New Roman"/>
                <w:szCs w:val="24"/>
                <w:lang w:eastAsia="en-IN"/>
              </w:rPr>
            </w:pPr>
            <w:r w:rsidRPr="008E2A3E">
              <w:rPr>
                <w:rFonts w:ascii="Times New Roman" w:hAnsi="Times New Roman" w:cs="Times New Roman"/>
                <w:szCs w:val="24"/>
                <w:lang w:eastAsia="en-IN"/>
              </w:rPr>
              <w:t>157.81 (100.00)</w:t>
            </w:r>
          </w:p>
        </w:tc>
      </w:tr>
      <w:tr w:rsidR="00EB5FE9" w:rsidRPr="008E2A3E" w14:paraId="48230059" w14:textId="77777777" w:rsidTr="00BA3FB7">
        <w:trPr>
          <w:trHeight w:val="264"/>
        </w:trPr>
        <w:tc>
          <w:tcPr>
            <w:tcW w:w="15009" w:type="dxa"/>
            <w:gridSpan w:val="11"/>
            <w:tcBorders>
              <w:top w:val="single" w:sz="4" w:space="0" w:color="auto"/>
              <w:left w:val="single" w:sz="4" w:space="0" w:color="auto"/>
              <w:bottom w:val="single" w:sz="4" w:space="0" w:color="auto"/>
              <w:right w:val="single" w:sz="4" w:space="0" w:color="auto"/>
            </w:tcBorders>
            <w:noWrap/>
            <w:vAlign w:val="center"/>
            <w:hideMark/>
          </w:tcPr>
          <w:p w14:paraId="3B6260A9" w14:textId="77777777" w:rsidR="00EB5FE9" w:rsidRPr="00F42E63" w:rsidRDefault="00EB5FE9" w:rsidP="008E2A3E">
            <w:pPr>
              <w:pStyle w:val="NoSpacing"/>
              <w:jc w:val="center"/>
              <w:rPr>
                <w:rFonts w:ascii="Times New Roman" w:hAnsi="Times New Roman" w:cs="Times New Roman"/>
                <w:b/>
                <w:bCs/>
                <w:szCs w:val="24"/>
                <w:lang w:eastAsia="en-IN"/>
              </w:rPr>
            </w:pPr>
            <w:r w:rsidRPr="00F42E63">
              <w:rPr>
                <w:rFonts w:ascii="Times New Roman" w:hAnsi="Times New Roman" w:cs="Times New Roman"/>
                <w:b/>
                <w:bCs/>
                <w:szCs w:val="24"/>
                <w:lang w:eastAsia="en-IN"/>
              </w:rPr>
              <w:t>Haryana</w:t>
            </w:r>
          </w:p>
        </w:tc>
      </w:tr>
      <w:tr w:rsidR="00BA3FB7" w:rsidRPr="008E2A3E" w14:paraId="22617AE7" w14:textId="77777777" w:rsidTr="00F42E63">
        <w:trPr>
          <w:trHeight w:val="264"/>
        </w:trPr>
        <w:tc>
          <w:tcPr>
            <w:tcW w:w="1782" w:type="dxa"/>
            <w:tcBorders>
              <w:top w:val="nil"/>
              <w:left w:val="single" w:sz="4" w:space="0" w:color="auto"/>
              <w:bottom w:val="single" w:sz="4" w:space="0" w:color="auto"/>
              <w:right w:val="single" w:sz="4" w:space="0" w:color="auto"/>
            </w:tcBorders>
            <w:noWrap/>
            <w:vAlign w:val="bottom"/>
            <w:hideMark/>
          </w:tcPr>
          <w:p w14:paraId="01D11EB8" w14:textId="77777777" w:rsidR="00BA3FB7" w:rsidRPr="008E2A3E" w:rsidRDefault="00BA3FB7" w:rsidP="00EB5FE9">
            <w:pPr>
              <w:pStyle w:val="NoSpacing"/>
              <w:rPr>
                <w:rFonts w:ascii="Times New Roman" w:hAnsi="Times New Roman" w:cs="Times New Roman"/>
                <w:szCs w:val="24"/>
                <w:lang w:eastAsia="en-IN"/>
              </w:rPr>
            </w:pPr>
            <w:r w:rsidRPr="008E2A3E">
              <w:rPr>
                <w:rFonts w:ascii="Times New Roman" w:hAnsi="Times New Roman" w:cs="Times New Roman"/>
                <w:szCs w:val="24"/>
                <w:lang w:eastAsia="en-IN"/>
              </w:rPr>
              <w:t>1961-62</w:t>
            </w:r>
          </w:p>
        </w:tc>
        <w:tc>
          <w:tcPr>
            <w:tcW w:w="13227" w:type="dxa"/>
            <w:gridSpan w:val="10"/>
            <w:vMerge w:val="restart"/>
            <w:tcBorders>
              <w:top w:val="single" w:sz="4" w:space="0" w:color="auto"/>
              <w:left w:val="nil"/>
              <w:right w:val="single" w:sz="4" w:space="0" w:color="auto"/>
            </w:tcBorders>
            <w:noWrap/>
            <w:vAlign w:val="center"/>
            <w:hideMark/>
          </w:tcPr>
          <w:p w14:paraId="4E9417CA" w14:textId="53D07235" w:rsidR="00BA3FB7" w:rsidRPr="008E2A3E" w:rsidRDefault="00BA3FB7" w:rsidP="00F42E63">
            <w:pPr>
              <w:pStyle w:val="NoSpacing"/>
              <w:jc w:val="center"/>
              <w:rPr>
                <w:rFonts w:ascii="Times New Roman" w:hAnsi="Times New Roman" w:cs="Times New Roman"/>
                <w:szCs w:val="24"/>
                <w:lang w:eastAsia="en-IN"/>
              </w:rPr>
            </w:pPr>
            <w:r w:rsidRPr="008E2A3E">
              <w:rPr>
                <w:rFonts w:ascii="Times New Roman" w:hAnsi="Times New Roman" w:cs="Times New Roman"/>
                <w:szCs w:val="24"/>
                <w:lang w:eastAsia="en-IN"/>
              </w:rPr>
              <w:t>- Included under</w:t>
            </w:r>
            <w:r>
              <w:rPr>
                <w:rFonts w:ascii="Times New Roman" w:hAnsi="Times New Roman" w:cs="Times New Roman"/>
                <w:szCs w:val="24"/>
                <w:lang w:eastAsia="en-IN"/>
              </w:rPr>
              <w:t xml:space="preserve"> the</w:t>
            </w:r>
            <w:r w:rsidRPr="008E2A3E">
              <w:rPr>
                <w:rFonts w:ascii="Times New Roman" w:hAnsi="Times New Roman" w:cs="Times New Roman"/>
                <w:szCs w:val="24"/>
                <w:lang w:eastAsia="en-IN"/>
              </w:rPr>
              <w:t xml:space="preserve"> Composite </w:t>
            </w:r>
            <w:r>
              <w:rPr>
                <w:rFonts w:ascii="Times New Roman" w:hAnsi="Times New Roman" w:cs="Times New Roman"/>
                <w:szCs w:val="24"/>
                <w:lang w:eastAsia="en-IN"/>
              </w:rPr>
              <w:t xml:space="preserve">State of </w:t>
            </w:r>
            <w:r w:rsidRPr="008E2A3E">
              <w:rPr>
                <w:rFonts w:ascii="Times New Roman" w:hAnsi="Times New Roman" w:cs="Times New Roman"/>
                <w:szCs w:val="24"/>
                <w:lang w:eastAsia="en-IN"/>
              </w:rPr>
              <w:t>Punjab -</w:t>
            </w:r>
          </w:p>
        </w:tc>
      </w:tr>
      <w:tr w:rsidR="00BA3FB7" w:rsidRPr="008E2A3E" w14:paraId="479FD4A4" w14:textId="77777777" w:rsidTr="00B77C0B">
        <w:trPr>
          <w:trHeight w:val="264"/>
        </w:trPr>
        <w:tc>
          <w:tcPr>
            <w:tcW w:w="1782" w:type="dxa"/>
            <w:tcBorders>
              <w:top w:val="nil"/>
              <w:left w:val="single" w:sz="4" w:space="0" w:color="auto"/>
              <w:bottom w:val="single" w:sz="4" w:space="0" w:color="auto"/>
              <w:right w:val="single" w:sz="4" w:space="0" w:color="auto"/>
            </w:tcBorders>
            <w:noWrap/>
            <w:vAlign w:val="bottom"/>
          </w:tcPr>
          <w:p w14:paraId="3DE94E1E" w14:textId="3F195E72" w:rsidR="00BA3FB7" w:rsidRPr="008E2A3E" w:rsidRDefault="00BA3FB7" w:rsidP="00EB5FE9">
            <w:pPr>
              <w:pStyle w:val="NoSpacing"/>
              <w:rPr>
                <w:rFonts w:ascii="Times New Roman" w:hAnsi="Times New Roman" w:cs="Times New Roman"/>
                <w:szCs w:val="24"/>
                <w:lang w:eastAsia="en-IN"/>
              </w:rPr>
            </w:pPr>
            <w:r w:rsidRPr="008E2A3E">
              <w:rPr>
                <w:rFonts w:ascii="Times New Roman" w:hAnsi="Times New Roman" w:cs="Times New Roman"/>
                <w:szCs w:val="24"/>
                <w:lang w:eastAsia="en-IN"/>
              </w:rPr>
              <w:t>196</w:t>
            </w:r>
            <w:r>
              <w:rPr>
                <w:rFonts w:ascii="Times New Roman" w:hAnsi="Times New Roman" w:cs="Times New Roman"/>
                <w:szCs w:val="24"/>
                <w:lang w:eastAsia="en-IN"/>
              </w:rPr>
              <w:t>5</w:t>
            </w:r>
            <w:r w:rsidRPr="008E2A3E">
              <w:rPr>
                <w:rFonts w:ascii="Times New Roman" w:hAnsi="Times New Roman" w:cs="Times New Roman"/>
                <w:szCs w:val="24"/>
                <w:lang w:eastAsia="en-IN"/>
              </w:rPr>
              <w:t>-6</w:t>
            </w:r>
            <w:r>
              <w:rPr>
                <w:rFonts w:ascii="Times New Roman" w:hAnsi="Times New Roman" w:cs="Times New Roman"/>
                <w:szCs w:val="24"/>
                <w:lang w:eastAsia="en-IN"/>
              </w:rPr>
              <w:t>6</w:t>
            </w:r>
          </w:p>
        </w:tc>
        <w:tc>
          <w:tcPr>
            <w:tcW w:w="13227" w:type="dxa"/>
            <w:gridSpan w:val="10"/>
            <w:vMerge/>
            <w:tcBorders>
              <w:left w:val="nil"/>
              <w:bottom w:val="single" w:sz="4" w:space="0" w:color="auto"/>
              <w:right w:val="single" w:sz="4" w:space="0" w:color="auto"/>
            </w:tcBorders>
            <w:noWrap/>
            <w:vAlign w:val="center"/>
          </w:tcPr>
          <w:p w14:paraId="1BD4A3E2" w14:textId="77777777" w:rsidR="00BA3FB7" w:rsidRPr="008E2A3E" w:rsidRDefault="00BA3FB7" w:rsidP="008E2A3E">
            <w:pPr>
              <w:pStyle w:val="NoSpacing"/>
              <w:jc w:val="center"/>
              <w:rPr>
                <w:rFonts w:ascii="Times New Roman" w:hAnsi="Times New Roman" w:cs="Times New Roman"/>
                <w:szCs w:val="24"/>
                <w:lang w:eastAsia="en-IN"/>
              </w:rPr>
            </w:pPr>
          </w:p>
        </w:tc>
      </w:tr>
      <w:tr w:rsidR="00EB5FE9" w:rsidRPr="008E2A3E" w14:paraId="2A554B2E" w14:textId="77777777" w:rsidTr="00BA3FB7">
        <w:trPr>
          <w:trHeight w:val="264"/>
        </w:trPr>
        <w:tc>
          <w:tcPr>
            <w:tcW w:w="1782" w:type="dxa"/>
            <w:tcBorders>
              <w:top w:val="nil"/>
              <w:left w:val="single" w:sz="4" w:space="0" w:color="auto"/>
              <w:bottom w:val="single" w:sz="4" w:space="0" w:color="auto"/>
              <w:right w:val="single" w:sz="4" w:space="0" w:color="auto"/>
            </w:tcBorders>
            <w:noWrap/>
            <w:vAlign w:val="bottom"/>
            <w:hideMark/>
          </w:tcPr>
          <w:p w14:paraId="10B4A439" w14:textId="77777777" w:rsidR="00EB5FE9" w:rsidRPr="008E2A3E" w:rsidRDefault="00EB5FE9" w:rsidP="00EB5FE9">
            <w:pPr>
              <w:pStyle w:val="NoSpacing"/>
              <w:rPr>
                <w:rFonts w:ascii="Times New Roman" w:hAnsi="Times New Roman" w:cs="Times New Roman"/>
                <w:szCs w:val="24"/>
                <w:lang w:eastAsia="en-IN"/>
              </w:rPr>
            </w:pPr>
            <w:r w:rsidRPr="008E2A3E">
              <w:rPr>
                <w:rFonts w:ascii="Times New Roman" w:hAnsi="Times New Roman" w:cs="Times New Roman"/>
                <w:szCs w:val="24"/>
                <w:lang w:eastAsia="en-IN"/>
              </w:rPr>
              <w:t>1966-67*</w:t>
            </w:r>
          </w:p>
        </w:tc>
        <w:tc>
          <w:tcPr>
            <w:tcW w:w="1062" w:type="dxa"/>
            <w:tcBorders>
              <w:top w:val="nil"/>
              <w:left w:val="nil"/>
              <w:bottom w:val="single" w:sz="4" w:space="0" w:color="auto"/>
              <w:right w:val="single" w:sz="4" w:space="0" w:color="auto"/>
            </w:tcBorders>
            <w:noWrap/>
            <w:vAlign w:val="center"/>
            <w:hideMark/>
          </w:tcPr>
          <w:p w14:paraId="7D0CC9F0" w14:textId="77777777" w:rsidR="00EB5FE9" w:rsidRPr="008E2A3E" w:rsidRDefault="00EB5FE9" w:rsidP="008E2A3E">
            <w:pPr>
              <w:pStyle w:val="NoSpacing"/>
              <w:jc w:val="center"/>
              <w:rPr>
                <w:rFonts w:ascii="Times New Roman" w:hAnsi="Times New Roman" w:cs="Times New Roman"/>
                <w:szCs w:val="24"/>
                <w:lang w:eastAsia="en-IN"/>
              </w:rPr>
            </w:pPr>
            <w:r w:rsidRPr="008E2A3E">
              <w:rPr>
                <w:rFonts w:ascii="Times New Roman" w:hAnsi="Times New Roman" w:cs="Times New Roman"/>
                <w:szCs w:val="24"/>
                <w:lang w:eastAsia="en-IN"/>
              </w:rPr>
              <w:t>0.64</w:t>
            </w:r>
          </w:p>
        </w:tc>
        <w:tc>
          <w:tcPr>
            <w:tcW w:w="953" w:type="dxa"/>
            <w:tcBorders>
              <w:top w:val="nil"/>
              <w:left w:val="nil"/>
              <w:bottom w:val="single" w:sz="4" w:space="0" w:color="auto"/>
              <w:right w:val="single" w:sz="4" w:space="0" w:color="auto"/>
            </w:tcBorders>
            <w:noWrap/>
            <w:vAlign w:val="center"/>
            <w:hideMark/>
          </w:tcPr>
          <w:p w14:paraId="6EABF4F8" w14:textId="77777777" w:rsidR="00EB5FE9" w:rsidRPr="008E2A3E" w:rsidRDefault="00EB5FE9" w:rsidP="008E2A3E">
            <w:pPr>
              <w:pStyle w:val="NoSpacing"/>
              <w:jc w:val="center"/>
              <w:rPr>
                <w:rFonts w:ascii="Times New Roman" w:hAnsi="Times New Roman" w:cs="Times New Roman"/>
                <w:szCs w:val="24"/>
                <w:lang w:eastAsia="en-IN"/>
              </w:rPr>
            </w:pPr>
            <w:r w:rsidRPr="008E2A3E">
              <w:rPr>
                <w:rFonts w:ascii="Times New Roman" w:hAnsi="Times New Roman" w:cs="Times New Roman"/>
                <w:szCs w:val="24"/>
                <w:lang w:eastAsia="en-IN"/>
              </w:rPr>
              <w:t>3.46</w:t>
            </w:r>
          </w:p>
        </w:tc>
        <w:tc>
          <w:tcPr>
            <w:tcW w:w="1165" w:type="dxa"/>
            <w:tcBorders>
              <w:top w:val="nil"/>
              <w:left w:val="nil"/>
              <w:bottom w:val="single" w:sz="4" w:space="0" w:color="auto"/>
              <w:right w:val="single" w:sz="4" w:space="0" w:color="auto"/>
            </w:tcBorders>
            <w:noWrap/>
            <w:vAlign w:val="center"/>
            <w:hideMark/>
          </w:tcPr>
          <w:p w14:paraId="55E1C6CD" w14:textId="77777777" w:rsidR="00EB5FE9" w:rsidRPr="008E2A3E" w:rsidRDefault="00EB5FE9" w:rsidP="008E2A3E">
            <w:pPr>
              <w:pStyle w:val="NoSpacing"/>
              <w:jc w:val="center"/>
              <w:rPr>
                <w:rFonts w:ascii="Times New Roman" w:hAnsi="Times New Roman" w:cs="Times New Roman"/>
                <w:szCs w:val="24"/>
                <w:lang w:eastAsia="en-IN"/>
              </w:rPr>
            </w:pPr>
            <w:r w:rsidRPr="008E2A3E">
              <w:rPr>
                <w:rFonts w:ascii="Times New Roman" w:hAnsi="Times New Roman" w:cs="Times New Roman"/>
                <w:szCs w:val="24"/>
                <w:lang w:eastAsia="en-IN"/>
              </w:rPr>
              <w:t>0.18</w:t>
            </w:r>
          </w:p>
        </w:tc>
        <w:tc>
          <w:tcPr>
            <w:tcW w:w="1488" w:type="dxa"/>
            <w:tcBorders>
              <w:top w:val="nil"/>
              <w:left w:val="nil"/>
              <w:bottom w:val="single" w:sz="4" w:space="0" w:color="auto"/>
              <w:right w:val="single" w:sz="4" w:space="0" w:color="auto"/>
            </w:tcBorders>
            <w:noWrap/>
            <w:vAlign w:val="center"/>
            <w:hideMark/>
          </w:tcPr>
          <w:p w14:paraId="5194984A" w14:textId="77777777" w:rsidR="00EB5FE9" w:rsidRPr="008E2A3E" w:rsidRDefault="00EB5FE9" w:rsidP="008E2A3E">
            <w:pPr>
              <w:pStyle w:val="NoSpacing"/>
              <w:jc w:val="center"/>
              <w:rPr>
                <w:rFonts w:ascii="Times New Roman" w:hAnsi="Times New Roman" w:cs="Times New Roman"/>
                <w:szCs w:val="24"/>
                <w:lang w:eastAsia="en-IN"/>
              </w:rPr>
            </w:pPr>
            <w:r w:rsidRPr="008E2A3E">
              <w:rPr>
                <w:rFonts w:ascii="Times New Roman" w:hAnsi="Times New Roman" w:cs="Times New Roman"/>
                <w:szCs w:val="24"/>
                <w:lang w:eastAsia="en-IN"/>
              </w:rPr>
              <w:t>0.99</w:t>
            </w:r>
          </w:p>
        </w:tc>
        <w:tc>
          <w:tcPr>
            <w:tcW w:w="1376" w:type="dxa"/>
            <w:tcBorders>
              <w:top w:val="nil"/>
              <w:left w:val="nil"/>
              <w:bottom w:val="single" w:sz="4" w:space="0" w:color="auto"/>
              <w:right w:val="single" w:sz="4" w:space="0" w:color="auto"/>
            </w:tcBorders>
            <w:noWrap/>
            <w:vAlign w:val="center"/>
            <w:hideMark/>
          </w:tcPr>
          <w:p w14:paraId="4CA3255A" w14:textId="16790784" w:rsidR="00EB5FE9" w:rsidRPr="008E2A3E" w:rsidRDefault="00EB5FE9" w:rsidP="008E2A3E">
            <w:pPr>
              <w:pStyle w:val="NoSpacing"/>
              <w:jc w:val="center"/>
              <w:rPr>
                <w:rFonts w:ascii="Times New Roman" w:hAnsi="Times New Roman" w:cs="Times New Roman"/>
                <w:szCs w:val="24"/>
                <w:lang w:eastAsia="en-IN"/>
              </w:rPr>
            </w:pPr>
            <w:r w:rsidRPr="008E2A3E">
              <w:rPr>
                <w:rFonts w:ascii="Times New Roman" w:hAnsi="Times New Roman" w:cs="Times New Roman"/>
                <w:szCs w:val="24"/>
                <w:lang w:eastAsia="en-IN"/>
              </w:rPr>
              <w:t>1.6</w:t>
            </w:r>
            <w:r w:rsidR="00113313">
              <w:rPr>
                <w:rFonts w:ascii="Times New Roman" w:hAnsi="Times New Roman" w:cs="Times New Roman"/>
                <w:szCs w:val="24"/>
                <w:lang w:eastAsia="en-IN"/>
              </w:rPr>
              <w:t>0</w:t>
            </w:r>
          </w:p>
        </w:tc>
        <w:tc>
          <w:tcPr>
            <w:tcW w:w="1289" w:type="dxa"/>
            <w:tcBorders>
              <w:top w:val="nil"/>
              <w:left w:val="nil"/>
              <w:bottom w:val="single" w:sz="4" w:space="0" w:color="auto"/>
              <w:right w:val="single" w:sz="4" w:space="0" w:color="auto"/>
            </w:tcBorders>
            <w:noWrap/>
            <w:vAlign w:val="center"/>
            <w:hideMark/>
          </w:tcPr>
          <w:p w14:paraId="29DCB8B3" w14:textId="77777777" w:rsidR="00EB5FE9" w:rsidRPr="008E2A3E" w:rsidRDefault="00EB5FE9" w:rsidP="008E2A3E">
            <w:pPr>
              <w:pStyle w:val="NoSpacing"/>
              <w:jc w:val="center"/>
              <w:rPr>
                <w:rFonts w:ascii="Times New Roman" w:hAnsi="Times New Roman" w:cs="Times New Roman"/>
                <w:szCs w:val="24"/>
                <w:lang w:eastAsia="en-IN"/>
              </w:rPr>
            </w:pPr>
            <w:r w:rsidRPr="008E2A3E">
              <w:rPr>
                <w:rFonts w:ascii="Times New Roman" w:hAnsi="Times New Roman" w:cs="Times New Roman"/>
                <w:szCs w:val="24"/>
                <w:lang w:eastAsia="en-IN"/>
              </w:rPr>
              <w:t>0.15</w:t>
            </w:r>
          </w:p>
        </w:tc>
        <w:tc>
          <w:tcPr>
            <w:tcW w:w="1627" w:type="dxa"/>
            <w:tcBorders>
              <w:top w:val="nil"/>
              <w:left w:val="nil"/>
              <w:bottom w:val="single" w:sz="4" w:space="0" w:color="auto"/>
              <w:right w:val="single" w:sz="4" w:space="0" w:color="auto"/>
            </w:tcBorders>
            <w:noWrap/>
            <w:vAlign w:val="center"/>
            <w:hideMark/>
          </w:tcPr>
          <w:p w14:paraId="13A67E0D" w14:textId="77777777" w:rsidR="00EB5FE9" w:rsidRPr="008E2A3E" w:rsidRDefault="00EB5FE9" w:rsidP="008E2A3E">
            <w:pPr>
              <w:pStyle w:val="NoSpacing"/>
              <w:jc w:val="center"/>
              <w:rPr>
                <w:rFonts w:ascii="Times New Roman" w:hAnsi="Times New Roman" w:cs="Times New Roman"/>
                <w:szCs w:val="24"/>
                <w:lang w:eastAsia="en-IN"/>
              </w:rPr>
            </w:pPr>
            <w:r w:rsidRPr="008E2A3E">
              <w:rPr>
                <w:rFonts w:ascii="Times New Roman" w:hAnsi="Times New Roman" w:cs="Times New Roman"/>
                <w:szCs w:val="24"/>
                <w:lang w:eastAsia="en-IN"/>
              </w:rPr>
              <w:t>0.05</w:t>
            </w:r>
          </w:p>
        </w:tc>
        <w:tc>
          <w:tcPr>
            <w:tcW w:w="1763" w:type="dxa"/>
            <w:tcBorders>
              <w:top w:val="nil"/>
              <w:left w:val="nil"/>
              <w:bottom w:val="single" w:sz="4" w:space="0" w:color="auto"/>
              <w:right w:val="single" w:sz="4" w:space="0" w:color="auto"/>
            </w:tcBorders>
            <w:noWrap/>
            <w:vAlign w:val="center"/>
            <w:hideMark/>
          </w:tcPr>
          <w:p w14:paraId="753E7616" w14:textId="77777777" w:rsidR="00EB5FE9" w:rsidRPr="008E2A3E" w:rsidRDefault="00EB5FE9" w:rsidP="008E2A3E">
            <w:pPr>
              <w:pStyle w:val="NoSpacing"/>
              <w:jc w:val="center"/>
              <w:rPr>
                <w:rFonts w:ascii="Times New Roman" w:hAnsi="Times New Roman" w:cs="Times New Roman"/>
                <w:szCs w:val="24"/>
                <w:lang w:eastAsia="en-IN"/>
              </w:rPr>
            </w:pPr>
            <w:r w:rsidRPr="008E2A3E">
              <w:rPr>
                <w:rFonts w:ascii="Times New Roman" w:hAnsi="Times New Roman" w:cs="Times New Roman"/>
                <w:szCs w:val="24"/>
                <w:lang w:eastAsia="en-IN"/>
              </w:rPr>
              <w:t>0.18</w:t>
            </w:r>
          </w:p>
        </w:tc>
        <w:tc>
          <w:tcPr>
            <w:tcW w:w="997" w:type="dxa"/>
            <w:tcBorders>
              <w:top w:val="nil"/>
              <w:left w:val="nil"/>
              <w:bottom w:val="single" w:sz="4" w:space="0" w:color="auto"/>
              <w:right w:val="single" w:sz="4" w:space="0" w:color="auto"/>
            </w:tcBorders>
            <w:noWrap/>
            <w:vAlign w:val="center"/>
            <w:hideMark/>
          </w:tcPr>
          <w:p w14:paraId="78452120" w14:textId="77777777" w:rsidR="00EB5FE9" w:rsidRPr="008E2A3E" w:rsidRDefault="00EB5FE9" w:rsidP="008E2A3E">
            <w:pPr>
              <w:pStyle w:val="NoSpacing"/>
              <w:jc w:val="center"/>
              <w:rPr>
                <w:rFonts w:ascii="Times New Roman" w:hAnsi="Times New Roman" w:cs="Times New Roman"/>
                <w:szCs w:val="24"/>
                <w:lang w:eastAsia="en-IN"/>
              </w:rPr>
            </w:pPr>
            <w:r w:rsidRPr="008E2A3E">
              <w:rPr>
                <w:rFonts w:ascii="Times New Roman" w:hAnsi="Times New Roman" w:cs="Times New Roman"/>
                <w:szCs w:val="24"/>
                <w:lang w:eastAsia="en-IN"/>
              </w:rPr>
              <w:t>0.18</w:t>
            </w:r>
          </w:p>
        </w:tc>
        <w:tc>
          <w:tcPr>
            <w:tcW w:w="1507" w:type="dxa"/>
            <w:tcBorders>
              <w:top w:val="nil"/>
              <w:left w:val="nil"/>
              <w:bottom w:val="single" w:sz="4" w:space="0" w:color="auto"/>
              <w:right w:val="single" w:sz="4" w:space="0" w:color="auto"/>
            </w:tcBorders>
            <w:noWrap/>
            <w:vAlign w:val="center"/>
            <w:hideMark/>
          </w:tcPr>
          <w:p w14:paraId="0F14C1A3" w14:textId="77777777" w:rsidR="00EB5FE9" w:rsidRPr="008E2A3E" w:rsidRDefault="00EB5FE9" w:rsidP="008E2A3E">
            <w:pPr>
              <w:pStyle w:val="NoSpacing"/>
              <w:jc w:val="center"/>
              <w:rPr>
                <w:rFonts w:ascii="Times New Roman" w:hAnsi="Times New Roman" w:cs="Times New Roman"/>
                <w:szCs w:val="24"/>
                <w:lang w:eastAsia="en-IN"/>
              </w:rPr>
            </w:pPr>
            <w:r w:rsidRPr="008E2A3E">
              <w:rPr>
                <w:rFonts w:ascii="Times New Roman" w:hAnsi="Times New Roman" w:cs="Times New Roman"/>
                <w:szCs w:val="24"/>
                <w:lang w:eastAsia="en-IN"/>
              </w:rPr>
              <w:t>24.27</w:t>
            </w:r>
          </w:p>
        </w:tc>
      </w:tr>
      <w:tr w:rsidR="00EB5FE9" w:rsidRPr="008E2A3E" w14:paraId="050B3F53" w14:textId="77777777" w:rsidTr="00BA3FB7">
        <w:trPr>
          <w:trHeight w:val="264"/>
        </w:trPr>
        <w:tc>
          <w:tcPr>
            <w:tcW w:w="1782" w:type="dxa"/>
            <w:tcBorders>
              <w:top w:val="nil"/>
              <w:left w:val="single" w:sz="4" w:space="0" w:color="auto"/>
              <w:bottom w:val="single" w:sz="4" w:space="0" w:color="auto"/>
              <w:right w:val="single" w:sz="4" w:space="0" w:color="auto"/>
            </w:tcBorders>
            <w:noWrap/>
            <w:vAlign w:val="bottom"/>
            <w:hideMark/>
          </w:tcPr>
          <w:p w14:paraId="2531E9B2" w14:textId="77777777" w:rsidR="00EB5FE9" w:rsidRPr="008E2A3E" w:rsidRDefault="00EB5FE9" w:rsidP="00EB5FE9">
            <w:pPr>
              <w:pStyle w:val="NoSpacing"/>
              <w:rPr>
                <w:rFonts w:ascii="Times New Roman" w:hAnsi="Times New Roman" w:cs="Times New Roman"/>
                <w:szCs w:val="24"/>
                <w:lang w:eastAsia="en-IN"/>
              </w:rPr>
            </w:pPr>
            <w:r w:rsidRPr="008E2A3E">
              <w:rPr>
                <w:rFonts w:ascii="Times New Roman" w:hAnsi="Times New Roman" w:cs="Times New Roman"/>
                <w:szCs w:val="24"/>
                <w:lang w:eastAsia="en-IN"/>
              </w:rPr>
              <w:t>1967-68</w:t>
            </w:r>
          </w:p>
        </w:tc>
        <w:tc>
          <w:tcPr>
            <w:tcW w:w="1062" w:type="dxa"/>
            <w:tcBorders>
              <w:top w:val="nil"/>
              <w:left w:val="nil"/>
              <w:bottom w:val="single" w:sz="4" w:space="0" w:color="auto"/>
              <w:right w:val="single" w:sz="4" w:space="0" w:color="auto"/>
            </w:tcBorders>
            <w:noWrap/>
            <w:vAlign w:val="center"/>
            <w:hideMark/>
          </w:tcPr>
          <w:p w14:paraId="06DF1E2B" w14:textId="77777777" w:rsidR="00EB5FE9" w:rsidRPr="008E2A3E" w:rsidRDefault="00EB5FE9" w:rsidP="008E2A3E">
            <w:pPr>
              <w:pStyle w:val="NoSpacing"/>
              <w:jc w:val="center"/>
              <w:rPr>
                <w:rFonts w:ascii="Times New Roman" w:hAnsi="Times New Roman" w:cs="Times New Roman"/>
                <w:szCs w:val="24"/>
                <w:lang w:eastAsia="en-IN"/>
              </w:rPr>
            </w:pPr>
            <w:r w:rsidRPr="008E2A3E">
              <w:rPr>
                <w:rFonts w:ascii="Times New Roman" w:hAnsi="Times New Roman" w:cs="Times New Roman"/>
                <w:szCs w:val="24"/>
                <w:lang w:eastAsia="en-IN"/>
              </w:rPr>
              <w:t>1.43</w:t>
            </w:r>
          </w:p>
        </w:tc>
        <w:tc>
          <w:tcPr>
            <w:tcW w:w="953" w:type="dxa"/>
            <w:tcBorders>
              <w:top w:val="nil"/>
              <w:left w:val="nil"/>
              <w:bottom w:val="single" w:sz="4" w:space="0" w:color="auto"/>
              <w:right w:val="single" w:sz="4" w:space="0" w:color="auto"/>
            </w:tcBorders>
            <w:noWrap/>
            <w:vAlign w:val="center"/>
            <w:hideMark/>
          </w:tcPr>
          <w:p w14:paraId="38951C8E" w14:textId="77777777" w:rsidR="00EB5FE9" w:rsidRPr="008E2A3E" w:rsidRDefault="00EB5FE9" w:rsidP="008E2A3E">
            <w:pPr>
              <w:pStyle w:val="NoSpacing"/>
              <w:jc w:val="center"/>
              <w:rPr>
                <w:rFonts w:ascii="Times New Roman" w:hAnsi="Times New Roman" w:cs="Times New Roman"/>
                <w:szCs w:val="24"/>
                <w:lang w:eastAsia="en-IN"/>
              </w:rPr>
            </w:pPr>
            <w:r w:rsidRPr="008E2A3E">
              <w:rPr>
                <w:rFonts w:ascii="Times New Roman" w:hAnsi="Times New Roman" w:cs="Times New Roman"/>
                <w:szCs w:val="24"/>
                <w:lang w:eastAsia="en-IN"/>
              </w:rPr>
              <w:t>9.54</w:t>
            </w:r>
          </w:p>
        </w:tc>
        <w:tc>
          <w:tcPr>
            <w:tcW w:w="1165" w:type="dxa"/>
            <w:tcBorders>
              <w:top w:val="nil"/>
              <w:left w:val="nil"/>
              <w:bottom w:val="single" w:sz="4" w:space="0" w:color="auto"/>
              <w:right w:val="single" w:sz="4" w:space="0" w:color="auto"/>
            </w:tcBorders>
            <w:noWrap/>
            <w:vAlign w:val="center"/>
            <w:hideMark/>
          </w:tcPr>
          <w:p w14:paraId="4B75519F" w14:textId="77777777" w:rsidR="00EB5FE9" w:rsidRPr="008E2A3E" w:rsidRDefault="00EB5FE9" w:rsidP="008E2A3E">
            <w:pPr>
              <w:pStyle w:val="NoSpacing"/>
              <w:jc w:val="center"/>
              <w:rPr>
                <w:rFonts w:ascii="Times New Roman" w:hAnsi="Times New Roman" w:cs="Times New Roman"/>
                <w:szCs w:val="24"/>
                <w:lang w:eastAsia="en-IN"/>
              </w:rPr>
            </w:pPr>
            <w:r w:rsidRPr="008E2A3E">
              <w:rPr>
                <w:rFonts w:ascii="Times New Roman" w:hAnsi="Times New Roman" w:cs="Times New Roman"/>
                <w:szCs w:val="24"/>
                <w:lang w:eastAsia="en-IN"/>
              </w:rPr>
              <w:t>0.58</w:t>
            </w:r>
          </w:p>
        </w:tc>
        <w:tc>
          <w:tcPr>
            <w:tcW w:w="1488" w:type="dxa"/>
            <w:tcBorders>
              <w:top w:val="nil"/>
              <w:left w:val="nil"/>
              <w:bottom w:val="single" w:sz="4" w:space="0" w:color="auto"/>
              <w:right w:val="single" w:sz="4" w:space="0" w:color="auto"/>
            </w:tcBorders>
            <w:noWrap/>
            <w:vAlign w:val="center"/>
            <w:hideMark/>
          </w:tcPr>
          <w:p w14:paraId="6EC91906" w14:textId="77777777" w:rsidR="00EB5FE9" w:rsidRPr="008E2A3E" w:rsidRDefault="00EB5FE9" w:rsidP="008E2A3E">
            <w:pPr>
              <w:pStyle w:val="NoSpacing"/>
              <w:jc w:val="center"/>
              <w:rPr>
                <w:rFonts w:ascii="Times New Roman" w:hAnsi="Times New Roman" w:cs="Times New Roman"/>
                <w:szCs w:val="24"/>
                <w:lang w:eastAsia="en-IN"/>
              </w:rPr>
            </w:pPr>
            <w:r w:rsidRPr="008E2A3E">
              <w:rPr>
                <w:rFonts w:ascii="Times New Roman" w:hAnsi="Times New Roman" w:cs="Times New Roman"/>
                <w:szCs w:val="24"/>
                <w:lang w:eastAsia="en-IN"/>
              </w:rPr>
              <w:t>3.58</w:t>
            </w:r>
          </w:p>
        </w:tc>
        <w:tc>
          <w:tcPr>
            <w:tcW w:w="1376" w:type="dxa"/>
            <w:tcBorders>
              <w:top w:val="nil"/>
              <w:left w:val="nil"/>
              <w:bottom w:val="single" w:sz="4" w:space="0" w:color="auto"/>
              <w:right w:val="single" w:sz="4" w:space="0" w:color="auto"/>
            </w:tcBorders>
            <w:noWrap/>
            <w:vAlign w:val="center"/>
            <w:hideMark/>
          </w:tcPr>
          <w:p w14:paraId="33D1FA56" w14:textId="77777777" w:rsidR="00EB5FE9" w:rsidRPr="008E2A3E" w:rsidRDefault="00EB5FE9" w:rsidP="008E2A3E">
            <w:pPr>
              <w:pStyle w:val="NoSpacing"/>
              <w:jc w:val="center"/>
              <w:rPr>
                <w:rFonts w:ascii="Times New Roman" w:hAnsi="Times New Roman" w:cs="Times New Roman"/>
                <w:szCs w:val="24"/>
                <w:lang w:eastAsia="en-IN"/>
              </w:rPr>
            </w:pPr>
            <w:r w:rsidRPr="008E2A3E">
              <w:rPr>
                <w:rFonts w:ascii="Times New Roman" w:hAnsi="Times New Roman" w:cs="Times New Roman"/>
                <w:szCs w:val="24"/>
                <w:lang w:eastAsia="en-IN"/>
              </w:rPr>
              <w:t>4.94</w:t>
            </w:r>
          </w:p>
        </w:tc>
        <w:tc>
          <w:tcPr>
            <w:tcW w:w="1289" w:type="dxa"/>
            <w:tcBorders>
              <w:top w:val="nil"/>
              <w:left w:val="nil"/>
              <w:bottom w:val="single" w:sz="4" w:space="0" w:color="auto"/>
              <w:right w:val="single" w:sz="4" w:space="0" w:color="auto"/>
            </w:tcBorders>
            <w:noWrap/>
            <w:vAlign w:val="center"/>
            <w:hideMark/>
          </w:tcPr>
          <w:p w14:paraId="197D7229" w14:textId="77777777" w:rsidR="00EB5FE9" w:rsidRPr="008E2A3E" w:rsidRDefault="00EB5FE9" w:rsidP="008E2A3E">
            <w:pPr>
              <w:pStyle w:val="NoSpacing"/>
              <w:jc w:val="center"/>
              <w:rPr>
                <w:rFonts w:ascii="Times New Roman" w:hAnsi="Times New Roman" w:cs="Times New Roman"/>
                <w:szCs w:val="24"/>
                <w:lang w:eastAsia="en-IN"/>
              </w:rPr>
            </w:pPr>
            <w:r w:rsidRPr="008E2A3E">
              <w:rPr>
                <w:rFonts w:ascii="Times New Roman" w:hAnsi="Times New Roman" w:cs="Times New Roman"/>
                <w:szCs w:val="24"/>
                <w:lang w:eastAsia="en-IN"/>
              </w:rPr>
              <w:t>1.09</w:t>
            </w:r>
          </w:p>
        </w:tc>
        <w:tc>
          <w:tcPr>
            <w:tcW w:w="1627" w:type="dxa"/>
            <w:tcBorders>
              <w:top w:val="nil"/>
              <w:left w:val="nil"/>
              <w:bottom w:val="single" w:sz="4" w:space="0" w:color="auto"/>
              <w:right w:val="single" w:sz="4" w:space="0" w:color="auto"/>
            </w:tcBorders>
            <w:noWrap/>
            <w:vAlign w:val="center"/>
            <w:hideMark/>
          </w:tcPr>
          <w:p w14:paraId="7C915C38" w14:textId="77777777" w:rsidR="00EB5FE9" w:rsidRPr="008E2A3E" w:rsidRDefault="00EB5FE9" w:rsidP="008E2A3E">
            <w:pPr>
              <w:pStyle w:val="NoSpacing"/>
              <w:jc w:val="center"/>
              <w:rPr>
                <w:rFonts w:ascii="Times New Roman" w:hAnsi="Times New Roman" w:cs="Times New Roman"/>
                <w:szCs w:val="24"/>
                <w:lang w:eastAsia="en-IN"/>
              </w:rPr>
            </w:pPr>
            <w:r w:rsidRPr="008E2A3E">
              <w:rPr>
                <w:rFonts w:ascii="Times New Roman" w:hAnsi="Times New Roman" w:cs="Times New Roman"/>
                <w:szCs w:val="24"/>
                <w:lang w:eastAsia="en-IN"/>
              </w:rPr>
              <w:t>0.34</w:t>
            </w:r>
          </w:p>
        </w:tc>
        <w:tc>
          <w:tcPr>
            <w:tcW w:w="1763" w:type="dxa"/>
            <w:tcBorders>
              <w:top w:val="nil"/>
              <w:left w:val="nil"/>
              <w:bottom w:val="single" w:sz="4" w:space="0" w:color="auto"/>
              <w:right w:val="single" w:sz="4" w:space="0" w:color="auto"/>
            </w:tcBorders>
            <w:noWrap/>
            <w:vAlign w:val="center"/>
            <w:hideMark/>
          </w:tcPr>
          <w:p w14:paraId="6F8BBB90" w14:textId="77777777" w:rsidR="00EB5FE9" w:rsidRPr="008E2A3E" w:rsidRDefault="00EB5FE9" w:rsidP="008E2A3E">
            <w:pPr>
              <w:pStyle w:val="NoSpacing"/>
              <w:jc w:val="center"/>
              <w:rPr>
                <w:rFonts w:ascii="Times New Roman" w:hAnsi="Times New Roman" w:cs="Times New Roman"/>
                <w:szCs w:val="24"/>
                <w:lang w:eastAsia="en-IN"/>
              </w:rPr>
            </w:pPr>
            <w:r w:rsidRPr="008E2A3E">
              <w:rPr>
                <w:rFonts w:ascii="Times New Roman" w:hAnsi="Times New Roman" w:cs="Times New Roman"/>
                <w:szCs w:val="24"/>
                <w:lang w:eastAsia="en-IN"/>
              </w:rPr>
              <w:t>0.51</w:t>
            </w:r>
          </w:p>
        </w:tc>
        <w:tc>
          <w:tcPr>
            <w:tcW w:w="997" w:type="dxa"/>
            <w:tcBorders>
              <w:top w:val="nil"/>
              <w:left w:val="nil"/>
              <w:bottom w:val="single" w:sz="4" w:space="0" w:color="auto"/>
              <w:right w:val="single" w:sz="4" w:space="0" w:color="auto"/>
            </w:tcBorders>
            <w:noWrap/>
            <w:vAlign w:val="center"/>
            <w:hideMark/>
          </w:tcPr>
          <w:p w14:paraId="5EA780D1" w14:textId="77777777" w:rsidR="00EB5FE9" w:rsidRPr="008E2A3E" w:rsidRDefault="00EB5FE9" w:rsidP="008E2A3E">
            <w:pPr>
              <w:pStyle w:val="NoSpacing"/>
              <w:jc w:val="center"/>
              <w:rPr>
                <w:rFonts w:ascii="Times New Roman" w:hAnsi="Times New Roman" w:cs="Times New Roman"/>
                <w:szCs w:val="24"/>
                <w:lang w:eastAsia="en-IN"/>
              </w:rPr>
            </w:pPr>
            <w:r w:rsidRPr="008E2A3E">
              <w:rPr>
                <w:rFonts w:ascii="Times New Roman" w:hAnsi="Times New Roman" w:cs="Times New Roman"/>
                <w:szCs w:val="24"/>
                <w:lang w:eastAsia="en-IN"/>
              </w:rPr>
              <w:t>0.26</w:t>
            </w:r>
          </w:p>
        </w:tc>
        <w:tc>
          <w:tcPr>
            <w:tcW w:w="1507" w:type="dxa"/>
            <w:tcBorders>
              <w:top w:val="nil"/>
              <w:left w:val="nil"/>
              <w:bottom w:val="single" w:sz="4" w:space="0" w:color="auto"/>
              <w:right w:val="single" w:sz="4" w:space="0" w:color="auto"/>
            </w:tcBorders>
            <w:noWrap/>
            <w:vAlign w:val="center"/>
            <w:hideMark/>
          </w:tcPr>
          <w:p w14:paraId="5B05B55B" w14:textId="77777777" w:rsidR="00EB5FE9" w:rsidRPr="008E2A3E" w:rsidRDefault="00EB5FE9" w:rsidP="008E2A3E">
            <w:pPr>
              <w:pStyle w:val="NoSpacing"/>
              <w:jc w:val="center"/>
              <w:rPr>
                <w:rFonts w:ascii="Times New Roman" w:hAnsi="Times New Roman" w:cs="Times New Roman"/>
                <w:szCs w:val="24"/>
                <w:lang w:eastAsia="en-IN"/>
              </w:rPr>
            </w:pPr>
            <w:r w:rsidRPr="008E2A3E">
              <w:rPr>
                <w:rFonts w:ascii="Times New Roman" w:hAnsi="Times New Roman" w:cs="Times New Roman"/>
                <w:szCs w:val="24"/>
                <w:lang w:eastAsia="en-IN"/>
              </w:rPr>
              <w:t>61.81</w:t>
            </w:r>
          </w:p>
        </w:tc>
      </w:tr>
      <w:tr w:rsidR="00EB5FE9" w:rsidRPr="008E2A3E" w14:paraId="03E50E68" w14:textId="77777777" w:rsidTr="00BA3FB7">
        <w:trPr>
          <w:trHeight w:val="264"/>
        </w:trPr>
        <w:tc>
          <w:tcPr>
            <w:tcW w:w="1782" w:type="dxa"/>
            <w:tcBorders>
              <w:top w:val="nil"/>
              <w:left w:val="single" w:sz="4" w:space="0" w:color="auto"/>
              <w:bottom w:val="single" w:sz="4" w:space="0" w:color="auto"/>
              <w:right w:val="single" w:sz="4" w:space="0" w:color="auto"/>
            </w:tcBorders>
            <w:noWrap/>
            <w:vAlign w:val="bottom"/>
            <w:hideMark/>
          </w:tcPr>
          <w:p w14:paraId="1B890FC6" w14:textId="77777777" w:rsidR="00EB5FE9" w:rsidRPr="008E2A3E" w:rsidRDefault="00EB5FE9" w:rsidP="00EB5FE9">
            <w:pPr>
              <w:pStyle w:val="NoSpacing"/>
              <w:rPr>
                <w:rFonts w:ascii="Times New Roman" w:hAnsi="Times New Roman" w:cs="Times New Roman"/>
                <w:szCs w:val="24"/>
                <w:lang w:eastAsia="en-IN"/>
              </w:rPr>
            </w:pPr>
            <w:r w:rsidRPr="008E2A3E">
              <w:rPr>
                <w:rFonts w:ascii="Times New Roman" w:hAnsi="Times New Roman" w:cs="Times New Roman"/>
                <w:szCs w:val="24"/>
                <w:lang w:eastAsia="en-IN"/>
              </w:rPr>
              <w:t>1968-69 (RE)</w:t>
            </w:r>
          </w:p>
        </w:tc>
        <w:tc>
          <w:tcPr>
            <w:tcW w:w="1062" w:type="dxa"/>
            <w:tcBorders>
              <w:top w:val="nil"/>
              <w:left w:val="nil"/>
              <w:bottom w:val="single" w:sz="4" w:space="0" w:color="auto"/>
              <w:right w:val="single" w:sz="4" w:space="0" w:color="auto"/>
            </w:tcBorders>
            <w:noWrap/>
            <w:vAlign w:val="center"/>
            <w:hideMark/>
          </w:tcPr>
          <w:p w14:paraId="742ED061" w14:textId="77777777" w:rsidR="00EB5FE9" w:rsidRPr="008E2A3E" w:rsidRDefault="00EB5FE9" w:rsidP="008E2A3E">
            <w:pPr>
              <w:pStyle w:val="NoSpacing"/>
              <w:jc w:val="center"/>
              <w:rPr>
                <w:rFonts w:ascii="Times New Roman" w:hAnsi="Times New Roman" w:cs="Times New Roman"/>
                <w:szCs w:val="24"/>
                <w:lang w:eastAsia="en-IN"/>
              </w:rPr>
            </w:pPr>
            <w:r w:rsidRPr="008E2A3E">
              <w:rPr>
                <w:rFonts w:ascii="Times New Roman" w:hAnsi="Times New Roman" w:cs="Times New Roman"/>
                <w:szCs w:val="24"/>
                <w:lang w:eastAsia="en-IN"/>
              </w:rPr>
              <w:t>1.43 (1.92)</w:t>
            </w:r>
          </w:p>
        </w:tc>
        <w:tc>
          <w:tcPr>
            <w:tcW w:w="953" w:type="dxa"/>
            <w:tcBorders>
              <w:top w:val="nil"/>
              <w:left w:val="nil"/>
              <w:bottom w:val="single" w:sz="4" w:space="0" w:color="auto"/>
              <w:right w:val="single" w:sz="4" w:space="0" w:color="auto"/>
            </w:tcBorders>
            <w:noWrap/>
            <w:vAlign w:val="center"/>
            <w:hideMark/>
          </w:tcPr>
          <w:p w14:paraId="42FD14F2" w14:textId="77777777" w:rsidR="00EB5FE9" w:rsidRPr="008E2A3E" w:rsidRDefault="00EB5FE9" w:rsidP="008E2A3E">
            <w:pPr>
              <w:pStyle w:val="NoSpacing"/>
              <w:jc w:val="center"/>
              <w:rPr>
                <w:rFonts w:ascii="Times New Roman" w:hAnsi="Times New Roman" w:cs="Times New Roman"/>
                <w:szCs w:val="24"/>
                <w:lang w:eastAsia="en-IN"/>
              </w:rPr>
            </w:pPr>
            <w:r w:rsidRPr="008E2A3E">
              <w:rPr>
                <w:rFonts w:ascii="Times New Roman" w:hAnsi="Times New Roman" w:cs="Times New Roman"/>
                <w:szCs w:val="24"/>
                <w:lang w:eastAsia="en-IN"/>
              </w:rPr>
              <w:t>12.55 (16.83)</w:t>
            </w:r>
          </w:p>
        </w:tc>
        <w:tc>
          <w:tcPr>
            <w:tcW w:w="1165" w:type="dxa"/>
            <w:tcBorders>
              <w:top w:val="nil"/>
              <w:left w:val="nil"/>
              <w:bottom w:val="single" w:sz="4" w:space="0" w:color="auto"/>
              <w:right w:val="single" w:sz="4" w:space="0" w:color="auto"/>
            </w:tcBorders>
            <w:noWrap/>
            <w:vAlign w:val="center"/>
            <w:hideMark/>
          </w:tcPr>
          <w:p w14:paraId="02195D90" w14:textId="77777777" w:rsidR="00EB5FE9" w:rsidRPr="008E2A3E" w:rsidRDefault="00EB5FE9" w:rsidP="008E2A3E">
            <w:pPr>
              <w:pStyle w:val="NoSpacing"/>
              <w:jc w:val="center"/>
              <w:rPr>
                <w:rFonts w:ascii="Times New Roman" w:hAnsi="Times New Roman" w:cs="Times New Roman"/>
                <w:szCs w:val="24"/>
                <w:lang w:eastAsia="en-IN"/>
              </w:rPr>
            </w:pPr>
            <w:r w:rsidRPr="008E2A3E">
              <w:rPr>
                <w:rFonts w:ascii="Times New Roman" w:hAnsi="Times New Roman" w:cs="Times New Roman"/>
                <w:szCs w:val="24"/>
                <w:lang w:eastAsia="en-IN"/>
              </w:rPr>
              <w:t>0.61 (0.82)</w:t>
            </w:r>
          </w:p>
        </w:tc>
        <w:tc>
          <w:tcPr>
            <w:tcW w:w="1488" w:type="dxa"/>
            <w:tcBorders>
              <w:top w:val="nil"/>
              <w:left w:val="nil"/>
              <w:bottom w:val="single" w:sz="4" w:space="0" w:color="auto"/>
              <w:right w:val="single" w:sz="4" w:space="0" w:color="auto"/>
            </w:tcBorders>
            <w:noWrap/>
            <w:vAlign w:val="center"/>
            <w:hideMark/>
          </w:tcPr>
          <w:p w14:paraId="22270208" w14:textId="77777777" w:rsidR="00EB5FE9" w:rsidRPr="008E2A3E" w:rsidRDefault="00EB5FE9" w:rsidP="008E2A3E">
            <w:pPr>
              <w:pStyle w:val="NoSpacing"/>
              <w:jc w:val="center"/>
              <w:rPr>
                <w:rFonts w:ascii="Times New Roman" w:hAnsi="Times New Roman" w:cs="Times New Roman"/>
                <w:szCs w:val="24"/>
                <w:lang w:eastAsia="en-IN"/>
              </w:rPr>
            </w:pPr>
            <w:r w:rsidRPr="008E2A3E">
              <w:rPr>
                <w:rFonts w:ascii="Times New Roman" w:hAnsi="Times New Roman" w:cs="Times New Roman"/>
                <w:szCs w:val="24"/>
                <w:lang w:eastAsia="en-IN"/>
              </w:rPr>
              <w:t>3.69 (4.95)</w:t>
            </w:r>
          </w:p>
        </w:tc>
        <w:tc>
          <w:tcPr>
            <w:tcW w:w="1376" w:type="dxa"/>
            <w:tcBorders>
              <w:top w:val="nil"/>
              <w:left w:val="nil"/>
              <w:bottom w:val="single" w:sz="4" w:space="0" w:color="auto"/>
              <w:right w:val="single" w:sz="4" w:space="0" w:color="auto"/>
            </w:tcBorders>
            <w:noWrap/>
            <w:vAlign w:val="center"/>
            <w:hideMark/>
          </w:tcPr>
          <w:p w14:paraId="4D85A089" w14:textId="77777777" w:rsidR="00EB5FE9" w:rsidRPr="008E2A3E" w:rsidRDefault="00EB5FE9" w:rsidP="008E2A3E">
            <w:pPr>
              <w:pStyle w:val="NoSpacing"/>
              <w:jc w:val="center"/>
              <w:rPr>
                <w:rFonts w:ascii="Times New Roman" w:hAnsi="Times New Roman" w:cs="Times New Roman"/>
                <w:szCs w:val="24"/>
                <w:lang w:eastAsia="en-IN"/>
              </w:rPr>
            </w:pPr>
            <w:r w:rsidRPr="008E2A3E">
              <w:rPr>
                <w:rFonts w:ascii="Times New Roman" w:hAnsi="Times New Roman" w:cs="Times New Roman"/>
                <w:szCs w:val="24"/>
                <w:lang w:eastAsia="en-IN"/>
              </w:rPr>
              <w:t>5.95 (7.98)</w:t>
            </w:r>
          </w:p>
        </w:tc>
        <w:tc>
          <w:tcPr>
            <w:tcW w:w="1289" w:type="dxa"/>
            <w:tcBorders>
              <w:top w:val="nil"/>
              <w:left w:val="nil"/>
              <w:bottom w:val="single" w:sz="4" w:space="0" w:color="auto"/>
              <w:right w:val="single" w:sz="4" w:space="0" w:color="auto"/>
            </w:tcBorders>
            <w:noWrap/>
            <w:vAlign w:val="center"/>
            <w:hideMark/>
          </w:tcPr>
          <w:p w14:paraId="1A6C7805" w14:textId="77777777" w:rsidR="00EB5FE9" w:rsidRPr="008E2A3E" w:rsidRDefault="00EB5FE9" w:rsidP="008E2A3E">
            <w:pPr>
              <w:pStyle w:val="NoSpacing"/>
              <w:jc w:val="center"/>
              <w:rPr>
                <w:rFonts w:ascii="Times New Roman" w:hAnsi="Times New Roman" w:cs="Times New Roman"/>
                <w:szCs w:val="24"/>
                <w:lang w:eastAsia="en-IN"/>
              </w:rPr>
            </w:pPr>
            <w:r w:rsidRPr="008E2A3E">
              <w:rPr>
                <w:rFonts w:ascii="Times New Roman" w:hAnsi="Times New Roman" w:cs="Times New Roman"/>
                <w:szCs w:val="24"/>
                <w:lang w:eastAsia="en-IN"/>
              </w:rPr>
              <w:t>1.22 (1.64)</w:t>
            </w:r>
          </w:p>
        </w:tc>
        <w:tc>
          <w:tcPr>
            <w:tcW w:w="1627" w:type="dxa"/>
            <w:tcBorders>
              <w:top w:val="nil"/>
              <w:left w:val="nil"/>
              <w:bottom w:val="single" w:sz="4" w:space="0" w:color="auto"/>
              <w:right w:val="single" w:sz="4" w:space="0" w:color="auto"/>
            </w:tcBorders>
            <w:noWrap/>
            <w:vAlign w:val="center"/>
            <w:hideMark/>
          </w:tcPr>
          <w:p w14:paraId="4E451FE6" w14:textId="77777777" w:rsidR="00EB5FE9" w:rsidRPr="008E2A3E" w:rsidRDefault="00EB5FE9" w:rsidP="008E2A3E">
            <w:pPr>
              <w:pStyle w:val="NoSpacing"/>
              <w:jc w:val="center"/>
              <w:rPr>
                <w:rFonts w:ascii="Times New Roman" w:hAnsi="Times New Roman" w:cs="Times New Roman"/>
                <w:szCs w:val="24"/>
                <w:lang w:eastAsia="en-IN"/>
              </w:rPr>
            </w:pPr>
            <w:r w:rsidRPr="008E2A3E">
              <w:rPr>
                <w:rFonts w:ascii="Times New Roman" w:hAnsi="Times New Roman" w:cs="Times New Roman"/>
                <w:szCs w:val="24"/>
                <w:lang w:eastAsia="en-IN"/>
              </w:rPr>
              <w:t>0.41 (0.55)</w:t>
            </w:r>
          </w:p>
        </w:tc>
        <w:tc>
          <w:tcPr>
            <w:tcW w:w="1763" w:type="dxa"/>
            <w:tcBorders>
              <w:top w:val="nil"/>
              <w:left w:val="nil"/>
              <w:bottom w:val="single" w:sz="4" w:space="0" w:color="auto"/>
              <w:right w:val="single" w:sz="4" w:space="0" w:color="auto"/>
            </w:tcBorders>
            <w:noWrap/>
            <w:vAlign w:val="center"/>
            <w:hideMark/>
          </w:tcPr>
          <w:p w14:paraId="4CE58A5A" w14:textId="77777777" w:rsidR="00EB5FE9" w:rsidRPr="008E2A3E" w:rsidRDefault="00EB5FE9" w:rsidP="008E2A3E">
            <w:pPr>
              <w:pStyle w:val="NoSpacing"/>
              <w:jc w:val="center"/>
              <w:rPr>
                <w:rFonts w:ascii="Times New Roman" w:hAnsi="Times New Roman" w:cs="Times New Roman"/>
                <w:szCs w:val="24"/>
                <w:lang w:eastAsia="en-IN"/>
              </w:rPr>
            </w:pPr>
            <w:r w:rsidRPr="008E2A3E">
              <w:rPr>
                <w:rFonts w:ascii="Times New Roman" w:hAnsi="Times New Roman" w:cs="Times New Roman"/>
                <w:szCs w:val="24"/>
                <w:lang w:eastAsia="en-IN"/>
              </w:rPr>
              <w:t>0.87 (1.17)</w:t>
            </w:r>
          </w:p>
        </w:tc>
        <w:tc>
          <w:tcPr>
            <w:tcW w:w="997" w:type="dxa"/>
            <w:tcBorders>
              <w:top w:val="nil"/>
              <w:left w:val="nil"/>
              <w:bottom w:val="single" w:sz="4" w:space="0" w:color="auto"/>
              <w:right w:val="single" w:sz="4" w:space="0" w:color="auto"/>
            </w:tcBorders>
            <w:noWrap/>
            <w:vAlign w:val="center"/>
            <w:hideMark/>
          </w:tcPr>
          <w:p w14:paraId="1CF989B2" w14:textId="77777777" w:rsidR="00EB5FE9" w:rsidRPr="008E2A3E" w:rsidRDefault="00EB5FE9" w:rsidP="008E2A3E">
            <w:pPr>
              <w:pStyle w:val="NoSpacing"/>
              <w:jc w:val="center"/>
              <w:rPr>
                <w:rFonts w:ascii="Times New Roman" w:hAnsi="Times New Roman" w:cs="Times New Roman"/>
                <w:szCs w:val="24"/>
                <w:lang w:eastAsia="en-IN"/>
              </w:rPr>
            </w:pPr>
            <w:r w:rsidRPr="008E2A3E">
              <w:rPr>
                <w:rFonts w:ascii="Times New Roman" w:hAnsi="Times New Roman" w:cs="Times New Roman"/>
                <w:szCs w:val="24"/>
                <w:lang w:eastAsia="en-IN"/>
              </w:rPr>
              <w:t>0.24 (0.32)</w:t>
            </w:r>
          </w:p>
        </w:tc>
        <w:tc>
          <w:tcPr>
            <w:tcW w:w="1507" w:type="dxa"/>
            <w:tcBorders>
              <w:top w:val="nil"/>
              <w:left w:val="nil"/>
              <w:bottom w:val="single" w:sz="4" w:space="0" w:color="auto"/>
              <w:right w:val="single" w:sz="4" w:space="0" w:color="auto"/>
            </w:tcBorders>
            <w:noWrap/>
            <w:vAlign w:val="center"/>
            <w:hideMark/>
          </w:tcPr>
          <w:p w14:paraId="2C2433D4" w14:textId="77777777" w:rsidR="00EB5FE9" w:rsidRPr="008E2A3E" w:rsidRDefault="00EB5FE9" w:rsidP="008E2A3E">
            <w:pPr>
              <w:pStyle w:val="NoSpacing"/>
              <w:jc w:val="center"/>
              <w:rPr>
                <w:rFonts w:ascii="Times New Roman" w:hAnsi="Times New Roman" w:cs="Times New Roman"/>
                <w:szCs w:val="24"/>
                <w:lang w:eastAsia="en-IN"/>
              </w:rPr>
            </w:pPr>
            <w:r w:rsidRPr="008E2A3E">
              <w:rPr>
                <w:rFonts w:ascii="Times New Roman" w:hAnsi="Times New Roman" w:cs="Times New Roman"/>
                <w:szCs w:val="24"/>
                <w:lang w:eastAsia="en-IN"/>
              </w:rPr>
              <w:t>74.56 (100.00)</w:t>
            </w:r>
          </w:p>
        </w:tc>
      </w:tr>
      <w:tr w:rsidR="00EB5FE9" w:rsidRPr="008E2A3E" w14:paraId="42FF7D0C" w14:textId="77777777" w:rsidTr="00BA3FB7">
        <w:trPr>
          <w:trHeight w:val="264"/>
        </w:trPr>
        <w:tc>
          <w:tcPr>
            <w:tcW w:w="15009" w:type="dxa"/>
            <w:gridSpan w:val="11"/>
            <w:tcBorders>
              <w:top w:val="single" w:sz="4" w:space="0" w:color="auto"/>
              <w:left w:val="single" w:sz="4" w:space="0" w:color="auto"/>
              <w:bottom w:val="single" w:sz="4" w:space="0" w:color="auto"/>
              <w:right w:val="single" w:sz="4" w:space="0" w:color="auto"/>
            </w:tcBorders>
            <w:noWrap/>
            <w:vAlign w:val="center"/>
            <w:hideMark/>
          </w:tcPr>
          <w:p w14:paraId="05665CB7" w14:textId="77777777" w:rsidR="00EB5FE9" w:rsidRPr="00F42E63" w:rsidRDefault="00EB5FE9" w:rsidP="008E2A3E">
            <w:pPr>
              <w:pStyle w:val="NoSpacing"/>
              <w:jc w:val="center"/>
              <w:rPr>
                <w:rFonts w:ascii="Times New Roman" w:hAnsi="Times New Roman" w:cs="Times New Roman"/>
                <w:b/>
                <w:bCs/>
                <w:szCs w:val="24"/>
                <w:lang w:eastAsia="en-IN"/>
              </w:rPr>
            </w:pPr>
            <w:r w:rsidRPr="00F42E63">
              <w:rPr>
                <w:rFonts w:ascii="Times New Roman" w:hAnsi="Times New Roman" w:cs="Times New Roman"/>
                <w:b/>
                <w:bCs/>
                <w:szCs w:val="24"/>
                <w:lang w:eastAsia="en-IN"/>
              </w:rPr>
              <w:t>Jammu &amp; Kashmir</w:t>
            </w:r>
          </w:p>
        </w:tc>
      </w:tr>
      <w:tr w:rsidR="00EB5FE9" w:rsidRPr="008E2A3E" w14:paraId="0DC114F7" w14:textId="77777777" w:rsidTr="00BA3FB7">
        <w:trPr>
          <w:trHeight w:val="264"/>
        </w:trPr>
        <w:tc>
          <w:tcPr>
            <w:tcW w:w="1782" w:type="dxa"/>
            <w:tcBorders>
              <w:top w:val="nil"/>
              <w:left w:val="single" w:sz="4" w:space="0" w:color="auto"/>
              <w:bottom w:val="single" w:sz="4" w:space="0" w:color="auto"/>
              <w:right w:val="single" w:sz="4" w:space="0" w:color="auto"/>
            </w:tcBorders>
            <w:noWrap/>
            <w:vAlign w:val="bottom"/>
            <w:hideMark/>
          </w:tcPr>
          <w:p w14:paraId="5E6D0169" w14:textId="77777777" w:rsidR="00EB5FE9" w:rsidRPr="008E2A3E" w:rsidRDefault="00EB5FE9" w:rsidP="00EB5FE9">
            <w:pPr>
              <w:pStyle w:val="NoSpacing"/>
              <w:rPr>
                <w:rFonts w:ascii="Times New Roman" w:hAnsi="Times New Roman" w:cs="Times New Roman"/>
                <w:szCs w:val="24"/>
                <w:lang w:eastAsia="en-IN"/>
              </w:rPr>
            </w:pPr>
            <w:r w:rsidRPr="008E2A3E">
              <w:rPr>
                <w:rFonts w:ascii="Times New Roman" w:hAnsi="Times New Roman" w:cs="Times New Roman"/>
                <w:szCs w:val="24"/>
                <w:lang w:eastAsia="en-IN"/>
              </w:rPr>
              <w:t>1961-62</w:t>
            </w:r>
          </w:p>
        </w:tc>
        <w:tc>
          <w:tcPr>
            <w:tcW w:w="1062" w:type="dxa"/>
            <w:tcBorders>
              <w:top w:val="nil"/>
              <w:left w:val="nil"/>
              <w:bottom w:val="single" w:sz="4" w:space="0" w:color="auto"/>
              <w:right w:val="single" w:sz="4" w:space="0" w:color="auto"/>
            </w:tcBorders>
            <w:noWrap/>
            <w:vAlign w:val="center"/>
            <w:hideMark/>
          </w:tcPr>
          <w:p w14:paraId="16DC00FF" w14:textId="77777777" w:rsidR="00EB5FE9" w:rsidRPr="008E2A3E" w:rsidRDefault="00EB5FE9" w:rsidP="008E2A3E">
            <w:pPr>
              <w:pStyle w:val="NoSpacing"/>
              <w:jc w:val="center"/>
              <w:rPr>
                <w:rFonts w:ascii="Times New Roman" w:hAnsi="Times New Roman" w:cs="Times New Roman"/>
                <w:szCs w:val="24"/>
                <w:lang w:eastAsia="en-IN"/>
              </w:rPr>
            </w:pPr>
            <w:r w:rsidRPr="008E2A3E">
              <w:rPr>
                <w:rFonts w:ascii="Times New Roman" w:hAnsi="Times New Roman" w:cs="Times New Roman"/>
                <w:szCs w:val="24"/>
                <w:lang w:eastAsia="en-IN"/>
              </w:rPr>
              <w:t>0.64 (2.90)</w:t>
            </w:r>
          </w:p>
        </w:tc>
        <w:tc>
          <w:tcPr>
            <w:tcW w:w="953" w:type="dxa"/>
            <w:tcBorders>
              <w:top w:val="nil"/>
              <w:left w:val="nil"/>
              <w:bottom w:val="single" w:sz="4" w:space="0" w:color="auto"/>
              <w:right w:val="single" w:sz="4" w:space="0" w:color="auto"/>
            </w:tcBorders>
            <w:noWrap/>
            <w:vAlign w:val="center"/>
            <w:hideMark/>
          </w:tcPr>
          <w:p w14:paraId="111F070A" w14:textId="77777777" w:rsidR="00EB5FE9" w:rsidRPr="008E2A3E" w:rsidRDefault="00EB5FE9" w:rsidP="008E2A3E">
            <w:pPr>
              <w:pStyle w:val="NoSpacing"/>
              <w:jc w:val="center"/>
              <w:rPr>
                <w:rFonts w:ascii="Times New Roman" w:hAnsi="Times New Roman" w:cs="Times New Roman"/>
                <w:szCs w:val="24"/>
                <w:lang w:eastAsia="en-IN"/>
              </w:rPr>
            </w:pPr>
            <w:r w:rsidRPr="008E2A3E">
              <w:rPr>
                <w:rFonts w:ascii="Times New Roman" w:hAnsi="Times New Roman" w:cs="Times New Roman"/>
                <w:szCs w:val="24"/>
                <w:lang w:eastAsia="en-IN"/>
              </w:rPr>
              <w:t>0.27 (1.22)</w:t>
            </w:r>
          </w:p>
        </w:tc>
        <w:tc>
          <w:tcPr>
            <w:tcW w:w="1165" w:type="dxa"/>
            <w:tcBorders>
              <w:top w:val="nil"/>
              <w:left w:val="nil"/>
              <w:bottom w:val="single" w:sz="4" w:space="0" w:color="auto"/>
              <w:right w:val="single" w:sz="4" w:space="0" w:color="auto"/>
            </w:tcBorders>
            <w:noWrap/>
            <w:vAlign w:val="center"/>
            <w:hideMark/>
          </w:tcPr>
          <w:p w14:paraId="6E5DBA49" w14:textId="77777777" w:rsidR="00EB5FE9" w:rsidRPr="008E2A3E" w:rsidRDefault="00EB5FE9" w:rsidP="008E2A3E">
            <w:pPr>
              <w:pStyle w:val="NoSpacing"/>
              <w:jc w:val="center"/>
              <w:rPr>
                <w:rFonts w:ascii="Times New Roman" w:hAnsi="Times New Roman" w:cs="Times New Roman"/>
                <w:szCs w:val="24"/>
                <w:lang w:eastAsia="en-IN"/>
              </w:rPr>
            </w:pPr>
            <w:r w:rsidRPr="008E2A3E">
              <w:rPr>
                <w:rFonts w:ascii="Times New Roman" w:hAnsi="Times New Roman" w:cs="Times New Roman"/>
                <w:szCs w:val="24"/>
                <w:lang w:eastAsia="en-IN"/>
              </w:rPr>
              <w:t>0.12 (0.54)</w:t>
            </w:r>
          </w:p>
        </w:tc>
        <w:tc>
          <w:tcPr>
            <w:tcW w:w="1488" w:type="dxa"/>
            <w:tcBorders>
              <w:top w:val="nil"/>
              <w:left w:val="nil"/>
              <w:bottom w:val="single" w:sz="4" w:space="0" w:color="auto"/>
              <w:right w:val="single" w:sz="4" w:space="0" w:color="auto"/>
            </w:tcBorders>
            <w:noWrap/>
            <w:vAlign w:val="center"/>
            <w:hideMark/>
          </w:tcPr>
          <w:p w14:paraId="1CC07071" w14:textId="77777777" w:rsidR="00EB5FE9" w:rsidRPr="008E2A3E" w:rsidRDefault="00EB5FE9" w:rsidP="008E2A3E">
            <w:pPr>
              <w:pStyle w:val="NoSpacing"/>
              <w:jc w:val="center"/>
              <w:rPr>
                <w:rFonts w:ascii="Times New Roman" w:hAnsi="Times New Roman" w:cs="Times New Roman"/>
                <w:szCs w:val="24"/>
                <w:lang w:eastAsia="en-IN"/>
              </w:rPr>
            </w:pPr>
            <w:r w:rsidRPr="008E2A3E">
              <w:rPr>
                <w:rFonts w:ascii="Times New Roman" w:hAnsi="Times New Roman" w:cs="Times New Roman"/>
                <w:szCs w:val="24"/>
                <w:lang w:eastAsia="en-IN"/>
              </w:rPr>
              <w:t>0.22 (1.00)</w:t>
            </w:r>
          </w:p>
        </w:tc>
        <w:tc>
          <w:tcPr>
            <w:tcW w:w="1376" w:type="dxa"/>
            <w:tcBorders>
              <w:top w:val="nil"/>
              <w:left w:val="nil"/>
              <w:bottom w:val="single" w:sz="4" w:space="0" w:color="auto"/>
              <w:right w:val="single" w:sz="4" w:space="0" w:color="auto"/>
            </w:tcBorders>
            <w:noWrap/>
            <w:vAlign w:val="center"/>
            <w:hideMark/>
          </w:tcPr>
          <w:p w14:paraId="1DA66483" w14:textId="77777777" w:rsidR="00EB5FE9" w:rsidRPr="008E2A3E" w:rsidRDefault="00EB5FE9" w:rsidP="008E2A3E">
            <w:pPr>
              <w:pStyle w:val="NoSpacing"/>
              <w:jc w:val="center"/>
              <w:rPr>
                <w:rFonts w:ascii="Times New Roman" w:hAnsi="Times New Roman" w:cs="Times New Roman"/>
                <w:szCs w:val="24"/>
                <w:lang w:eastAsia="en-IN"/>
              </w:rPr>
            </w:pPr>
            <w:r w:rsidRPr="008E2A3E">
              <w:rPr>
                <w:rFonts w:ascii="Times New Roman" w:hAnsi="Times New Roman" w:cs="Times New Roman"/>
                <w:szCs w:val="24"/>
                <w:lang w:eastAsia="en-IN"/>
              </w:rPr>
              <w:t>0.08 (0.36)</w:t>
            </w:r>
          </w:p>
        </w:tc>
        <w:tc>
          <w:tcPr>
            <w:tcW w:w="1289" w:type="dxa"/>
            <w:tcBorders>
              <w:top w:val="nil"/>
              <w:left w:val="nil"/>
              <w:bottom w:val="single" w:sz="4" w:space="0" w:color="auto"/>
              <w:right w:val="single" w:sz="4" w:space="0" w:color="auto"/>
            </w:tcBorders>
            <w:noWrap/>
            <w:vAlign w:val="center"/>
            <w:hideMark/>
          </w:tcPr>
          <w:p w14:paraId="136AB7AE" w14:textId="77777777" w:rsidR="00EB5FE9" w:rsidRPr="008E2A3E" w:rsidRDefault="00EB5FE9" w:rsidP="008E2A3E">
            <w:pPr>
              <w:pStyle w:val="NoSpacing"/>
              <w:jc w:val="center"/>
              <w:rPr>
                <w:rFonts w:ascii="Times New Roman" w:hAnsi="Times New Roman" w:cs="Times New Roman"/>
                <w:szCs w:val="24"/>
                <w:lang w:eastAsia="en-IN"/>
              </w:rPr>
            </w:pPr>
            <w:r w:rsidRPr="008E2A3E">
              <w:rPr>
                <w:rFonts w:ascii="Times New Roman" w:hAnsi="Times New Roman" w:cs="Times New Roman"/>
                <w:szCs w:val="24"/>
                <w:lang w:eastAsia="en-IN"/>
              </w:rPr>
              <w:t>0.03 (0.14)</w:t>
            </w:r>
          </w:p>
        </w:tc>
        <w:tc>
          <w:tcPr>
            <w:tcW w:w="1627" w:type="dxa"/>
            <w:tcBorders>
              <w:top w:val="nil"/>
              <w:left w:val="nil"/>
              <w:bottom w:val="single" w:sz="4" w:space="0" w:color="auto"/>
              <w:right w:val="single" w:sz="4" w:space="0" w:color="auto"/>
            </w:tcBorders>
            <w:noWrap/>
            <w:vAlign w:val="center"/>
            <w:hideMark/>
          </w:tcPr>
          <w:p w14:paraId="001549A2" w14:textId="77777777" w:rsidR="00EB5FE9" w:rsidRPr="008E2A3E" w:rsidRDefault="00EB5FE9" w:rsidP="008E2A3E">
            <w:pPr>
              <w:pStyle w:val="NoSpacing"/>
              <w:jc w:val="center"/>
              <w:rPr>
                <w:rFonts w:ascii="Times New Roman" w:hAnsi="Times New Roman" w:cs="Times New Roman"/>
                <w:szCs w:val="24"/>
                <w:lang w:eastAsia="en-IN"/>
              </w:rPr>
            </w:pPr>
            <w:r w:rsidRPr="008E2A3E">
              <w:rPr>
                <w:rFonts w:ascii="Times New Roman" w:hAnsi="Times New Roman" w:cs="Times New Roman"/>
                <w:szCs w:val="24"/>
                <w:lang w:eastAsia="en-IN"/>
              </w:rPr>
              <w:t>0.04 (0.18)</w:t>
            </w:r>
          </w:p>
        </w:tc>
        <w:tc>
          <w:tcPr>
            <w:tcW w:w="1763" w:type="dxa"/>
            <w:tcBorders>
              <w:top w:val="nil"/>
              <w:left w:val="nil"/>
              <w:bottom w:val="single" w:sz="4" w:space="0" w:color="auto"/>
              <w:right w:val="single" w:sz="4" w:space="0" w:color="auto"/>
            </w:tcBorders>
            <w:noWrap/>
            <w:vAlign w:val="center"/>
            <w:hideMark/>
          </w:tcPr>
          <w:p w14:paraId="4BB680E7" w14:textId="77777777" w:rsidR="00EB5FE9" w:rsidRPr="008E2A3E" w:rsidRDefault="00EB5FE9" w:rsidP="008E2A3E">
            <w:pPr>
              <w:pStyle w:val="NoSpacing"/>
              <w:jc w:val="center"/>
              <w:rPr>
                <w:rFonts w:ascii="Times New Roman" w:hAnsi="Times New Roman" w:cs="Times New Roman"/>
                <w:szCs w:val="24"/>
                <w:lang w:eastAsia="en-IN"/>
              </w:rPr>
            </w:pPr>
            <w:r w:rsidRPr="008E2A3E">
              <w:rPr>
                <w:rFonts w:ascii="Times New Roman" w:hAnsi="Times New Roman" w:cs="Times New Roman"/>
                <w:szCs w:val="24"/>
                <w:lang w:eastAsia="en-IN"/>
              </w:rPr>
              <w:t>0.05 (0.23)</w:t>
            </w:r>
          </w:p>
        </w:tc>
        <w:tc>
          <w:tcPr>
            <w:tcW w:w="997" w:type="dxa"/>
            <w:tcBorders>
              <w:top w:val="nil"/>
              <w:left w:val="nil"/>
              <w:bottom w:val="single" w:sz="4" w:space="0" w:color="auto"/>
              <w:right w:val="single" w:sz="4" w:space="0" w:color="auto"/>
            </w:tcBorders>
            <w:noWrap/>
            <w:vAlign w:val="center"/>
            <w:hideMark/>
          </w:tcPr>
          <w:p w14:paraId="337BE879" w14:textId="77777777" w:rsidR="00EB5FE9" w:rsidRPr="008E2A3E" w:rsidRDefault="00EB5FE9" w:rsidP="008E2A3E">
            <w:pPr>
              <w:pStyle w:val="NoSpacing"/>
              <w:jc w:val="center"/>
              <w:rPr>
                <w:rFonts w:ascii="Times New Roman" w:hAnsi="Times New Roman" w:cs="Times New Roman"/>
                <w:szCs w:val="24"/>
                <w:lang w:eastAsia="en-IN"/>
              </w:rPr>
            </w:pPr>
            <w:r w:rsidRPr="008E2A3E">
              <w:rPr>
                <w:rFonts w:ascii="Times New Roman" w:hAnsi="Times New Roman" w:cs="Times New Roman"/>
                <w:szCs w:val="24"/>
                <w:lang w:eastAsia="en-IN"/>
              </w:rPr>
              <w:t>3.73 (16.90)</w:t>
            </w:r>
          </w:p>
        </w:tc>
        <w:tc>
          <w:tcPr>
            <w:tcW w:w="1507" w:type="dxa"/>
            <w:tcBorders>
              <w:top w:val="nil"/>
              <w:left w:val="nil"/>
              <w:bottom w:val="single" w:sz="4" w:space="0" w:color="auto"/>
              <w:right w:val="single" w:sz="4" w:space="0" w:color="auto"/>
            </w:tcBorders>
            <w:noWrap/>
            <w:vAlign w:val="center"/>
            <w:hideMark/>
          </w:tcPr>
          <w:p w14:paraId="3392472B" w14:textId="3E5D2CE2" w:rsidR="00EB5FE9" w:rsidRPr="008E2A3E" w:rsidRDefault="00A55F3A" w:rsidP="008E2A3E">
            <w:pPr>
              <w:pStyle w:val="NoSpacing"/>
              <w:jc w:val="center"/>
              <w:rPr>
                <w:rFonts w:ascii="Times New Roman" w:hAnsi="Times New Roman" w:cs="Times New Roman"/>
                <w:szCs w:val="24"/>
                <w:lang w:eastAsia="en-IN"/>
              </w:rPr>
            </w:pPr>
            <w:r>
              <w:rPr>
                <w:rFonts w:ascii="Times New Roman" w:hAnsi="Times New Roman" w:cs="Times New Roman"/>
                <w:szCs w:val="24"/>
                <w:lang w:eastAsia="en-IN"/>
              </w:rPr>
              <w:t>2</w:t>
            </w:r>
            <w:r w:rsidR="00EB5FE9" w:rsidRPr="008E2A3E">
              <w:rPr>
                <w:rFonts w:ascii="Times New Roman" w:hAnsi="Times New Roman" w:cs="Times New Roman"/>
                <w:szCs w:val="24"/>
                <w:lang w:eastAsia="en-IN"/>
              </w:rPr>
              <w:t>2.07 (100.00)</w:t>
            </w:r>
          </w:p>
        </w:tc>
      </w:tr>
      <w:tr w:rsidR="00EB5FE9" w:rsidRPr="008E2A3E" w14:paraId="63F2B359" w14:textId="77777777" w:rsidTr="00BA3FB7">
        <w:trPr>
          <w:trHeight w:val="264"/>
        </w:trPr>
        <w:tc>
          <w:tcPr>
            <w:tcW w:w="1782" w:type="dxa"/>
            <w:tcBorders>
              <w:top w:val="nil"/>
              <w:left w:val="single" w:sz="4" w:space="0" w:color="auto"/>
              <w:bottom w:val="single" w:sz="4" w:space="0" w:color="auto"/>
              <w:right w:val="single" w:sz="4" w:space="0" w:color="auto"/>
            </w:tcBorders>
            <w:noWrap/>
            <w:vAlign w:val="bottom"/>
            <w:hideMark/>
          </w:tcPr>
          <w:p w14:paraId="434E0120" w14:textId="77777777" w:rsidR="00EB5FE9" w:rsidRPr="008E2A3E" w:rsidRDefault="00EB5FE9" w:rsidP="00EB5FE9">
            <w:pPr>
              <w:pStyle w:val="NoSpacing"/>
              <w:rPr>
                <w:rFonts w:ascii="Times New Roman" w:hAnsi="Times New Roman" w:cs="Times New Roman"/>
                <w:szCs w:val="24"/>
                <w:lang w:eastAsia="en-IN"/>
              </w:rPr>
            </w:pPr>
            <w:r w:rsidRPr="008E2A3E">
              <w:rPr>
                <w:rFonts w:ascii="Times New Roman" w:hAnsi="Times New Roman" w:cs="Times New Roman"/>
                <w:szCs w:val="24"/>
                <w:lang w:eastAsia="en-IN"/>
              </w:rPr>
              <w:t>1965-66</w:t>
            </w:r>
          </w:p>
        </w:tc>
        <w:tc>
          <w:tcPr>
            <w:tcW w:w="1062" w:type="dxa"/>
            <w:tcBorders>
              <w:top w:val="nil"/>
              <w:left w:val="nil"/>
              <w:bottom w:val="single" w:sz="4" w:space="0" w:color="auto"/>
              <w:right w:val="single" w:sz="4" w:space="0" w:color="auto"/>
            </w:tcBorders>
            <w:noWrap/>
            <w:vAlign w:val="center"/>
            <w:hideMark/>
          </w:tcPr>
          <w:p w14:paraId="228E07B6" w14:textId="77777777" w:rsidR="00EB5FE9" w:rsidRPr="008E2A3E" w:rsidRDefault="00EB5FE9" w:rsidP="008E2A3E">
            <w:pPr>
              <w:pStyle w:val="NoSpacing"/>
              <w:jc w:val="center"/>
              <w:rPr>
                <w:rFonts w:ascii="Times New Roman" w:hAnsi="Times New Roman" w:cs="Times New Roman"/>
                <w:szCs w:val="24"/>
                <w:lang w:eastAsia="en-IN"/>
              </w:rPr>
            </w:pPr>
            <w:r w:rsidRPr="008E2A3E">
              <w:rPr>
                <w:rFonts w:ascii="Times New Roman" w:hAnsi="Times New Roman" w:cs="Times New Roman"/>
                <w:szCs w:val="24"/>
                <w:lang w:eastAsia="en-IN"/>
              </w:rPr>
              <w:t>0.44</w:t>
            </w:r>
          </w:p>
        </w:tc>
        <w:tc>
          <w:tcPr>
            <w:tcW w:w="953" w:type="dxa"/>
            <w:tcBorders>
              <w:top w:val="nil"/>
              <w:left w:val="nil"/>
              <w:bottom w:val="single" w:sz="4" w:space="0" w:color="auto"/>
              <w:right w:val="single" w:sz="4" w:space="0" w:color="auto"/>
            </w:tcBorders>
            <w:noWrap/>
            <w:vAlign w:val="center"/>
            <w:hideMark/>
          </w:tcPr>
          <w:p w14:paraId="3DCA97DA" w14:textId="77777777" w:rsidR="00EB5FE9" w:rsidRPr="008E2A3E" w:rsidRDefault="00EB5FE9" w:rsidP="008E2A3E">
            <w:pPr>
              <w:pStyle w:val="NoSpacing"/>
              <w:jc w:val="center"/>
              <w:rPr>
                <w:rFonts w:ascii="Times New Roman" w:hAnsi="Times New Roman" w:cs="Times New Roman"/>
                <w:szCs w:val="24"/>
                <w:lang w:eastAsia="en-IN"/>
              </w:rPr>
            </w:pPr>
            <w:r w:rsidRPr="008E2A3E">
              <w:rPr>
                <w:rFonts w:ascii="Times New Roman" w:hAnsi="Times New Roman" w:cs="Times New Roman"/>
                <w:szCs w:val="24"/>
                <w:lang w:eastAsia="en-IN"/>
              </w:rPr>
              <w:t>0.76</w:t>
            </w:r>
          </w:p>
        </w:tc>
        <w:tc>
          <w:tcPr>
            <w:tcW w:w="1165" w:type="dxa"/>
            <w:tcBorders>
              <w:top w:val="nil"/>
              <w:left w:val="nil"/>
              <w:bottom w:val="single" w:sz="4" w:space="0" w:color="auto"/>
              <w:right w:val="single" w:sz="4" w:space="0" w:color="auto"/>
            </w:tcBorders>
            <w:noWrap/>
            <w:vAlign w:val="center"/>
            <w:hideMark/>
          </w:tcPr>
          <w:p w14:paraId="20304BA8" w14:textId="77777777" w:rsidR="00EB5FE9" w:rsidRPr="008E2A3E" w:rsidRDefault="00EB5FE9" w:rsidP="008E2A3E">
            <w:pPr>
              <w:pStyle w:val="NoSpacing"/>
              <w:jc w:val="center"/>
              <w:rPr>
                <w:rFonts w:ascii="Times New Roman" w:hAnsi="Times New Roman" w:cs="Times New Roman"/>
                <w:szCs w:val="24"/>
                <w:lang w:eastAsia="en-IN"/>
              </w:rPr>
            </w:pPr>
            <w:r w:rsidRPr="008E2A3E">
              <w:rPr>
                <w:rFonts w:ascii="Times New Roman" w:hAnsi="Times New Roman" w:cs="Times New Roman"/>
                <w:szCs w:val="24"/>
                <w:lang w:eastAsia="en-IN"/>
              </w:rPr>
              <w:t>0.51</w:t>
            </w:r>
          </w:p>
        </w:tc>
        <w:tc>
          <w:tcPr>
            <w:tcW w:w="1488" w:type="dxa"/>
            <w:tcBorders>
              <w:top w:val="nil"/>
              <w:left w:val="nil"/>
              <w:bottom w:val="single" w:sz="4" w:space="0" w:color="auto"/>
              <w:right w:val="single" w:sz="4" w:space="0" w:color="auto"/>
            </w:tcBorders>
            <w:noWrap/>
            <w:vAlign w:val="center"/>
            <w:hideMark/>
          </w:tcPr>
          <w:p w14:paraId="77D32E1D" w14:textId="77777777" w:rsidR="00EB5FE9" w:rsidRPr="008E2A3E" w:rsidRDefault="00EB5FE9" w:rsidP="008E2A3E">
            <w:pPr>
              <w:pStyle w:val="NoSpacing"/>
              <w:jc w:val="center"/>
              <w:rPr>
                <w:rFonts w:ascii="Times New Roman" w:hAnsi="Times New Roman" w:cs="Times New Roman"/>
                <w:szCs w:val="24"/>
                <w:lang w:eastAsia="en-IN"/>
              </w:rPr>
            </w:pPr>
            <w:r w:rsidRPr="008E2A3E">
              <w:rPr>
                <w:rFonts w:ascii="Times New Roman" w:hAnsi="Times New Roman" w:cs="Times New Roman"/>
                <w:szCs w:val="24"/>
                <w:lang w:eastAsia="en-IN"/>
              </w:rPr>
              <w:t>0.28</w:t>
            </w:r>
          </w:p>
        </w:tc>
        <w:tc>
          <w:tcPr>
            <w:tcW w:w="1376" w:type="dxa"/>
            <w:tcBorders>
              <w:top w:val="nil"/>
              <w:left w:val="nil"/>
              <w:bottom w:val="single" w:sz="4" w:space="0" w:color="auto"/>
              <w:right w:val="single" w:sz="4" w:space="0" w:color="auto"/>
            </w:tcBorders>
            <w:noWrap/>
            <w:vAlign w:val="center"/>
            <w:hideMark/>
          </w:tcPr>
          <w:p w14:paraId="7B9D16AD" w14:textId="77777777" w:rsidR="00EB5FE9" w:rsidRPr="008E2A3E" w:rsidRDefault="00EB5FE9" w:rsidP="008E2A3E">
            <w:pPr>
              <w:pStyle w:val="NoSpacing"/>
              <w:jc w:val="center"/>
              <w:rPr>
                <w:rFonts w:ascii="Times New Roman" w:hAnsi="Times New Roman" w:cs="Times New Roman"/>
                <w:szCs w:val="24"/>
                <w:lang w:eastAsia="en-IN"/>
              </w:rPr>
            </w:pPr>
            <w:r w:rsidRPr="008E2A3E">
              <w:rPr>
                <w:rFonts w:ascii="Times New Roman" w:hAnsi="Times New Roman" w:cs="Times New Roman"/>
                <w:szCs w:val="24"/>
                <w:lang w:eastAsia="en-IN"/>
              </w:rPr>
              <w:t>0.29</w:t>
            </w:r>
          </w:p>
        </w:tc>
        <w:tc>
          <w:tcPr>
            <w:tcW w:w="1289" w:type="dxa"/>
            <w:tcBorders>
              <w:top w:val="nil"/>
              <w:left w:val="nil"/>
              <w:bottom w:val="single" w:sz="4" w:space="0" w:color="auto"/>
              <w:right w:val="single" w:sz="4" w:space="0" w:color="auto"/>
            </w:tcBorders>
            <w:noWrap/>
            <w:vAlign w:val="center"/>
            <w:hideMark/>
          </w:tcPr>
          <w:p w14:paraId="547BECB3" w14:textId="77777777" w:rsidR="00EB5FE9" w:rsidRPr="008E2A3E" w:rsidRDefault="00EB5FE9" w:rsidP="008E2A3E">
            <w:pPr>
              <w:pStyle w:val="NoSpacing"/>
              <w:jc w:val="center"/>
              <w:rPr>
                <w:rFonts w:ascii="Times New Roman" w:hAnsi="Times New Roman" w:cs="Times New Roman"/>
                <w:szCs w:val="24"/>
                <w:lang w:eastAsia="en-IN"/>
              </w:rPr>
            </w:pPr>
            <w:r w:rsidRPr="008E2A3E">
              <w:rPr>
                <w:rFonts w:ascii="Times New Roman" w:hAnsi="Times New Roman" w:cs="Times New Roman"/>
                <w:szCs w:val="24"/>
                <w:lang w:eastAsia="en-IN"/>
              </w:rPr>
              <w:t>0.11</w:t>
            </w:r>
          </w:p>
        </w:tc>
        <w:tc>
          <w:tcPr>
            <w:tcW w:w="1627" w:type="dxa"/>
            <w:tcBorders>
              <w:top w:val="nil"/>
              <w:left w:val="nil"/>
              <w:bottom w:val="single" w:sz="4" w:space="0" w:color="auto"/>
              <w:right w:val="single" w:sz="4" w:space="0" w:color="auto"/>
            </w:tcBorders>
            <w:noWrap/>
            <w:vAlign w:val="center"/>
            <w:hideMark/>
          </w:tcPr>
          <w:p w14:paraId="313460A0" w14:textId="77777777" w:rsidR="00EB5FE9" w:rsidRPr="008E2A3E" w:rsidRDefault="00EB5FE9" w:rsidP="008E2A3E">
            <w:pPr>
              <w:pStyle w:val="NoSpacing"/>
              <w:jc w:val="center"/>
              <w:rPr>
                <w:rFonts w:ascii="Times New Roman" w:hAnsi="Times New Roman" w:cs="Times New Roman"/>
                <w:szCs w:val="24"/>
                <w:lang w:eastAsia="en-IN"/>
              </w:rPr>
            </w:pPr>
            <w:r w:rsidRPr="008E2A3E">
              <w:rPr>
                <w:rFonts w:ascii="Times New Roman" w:hAnsi="Times New Roman" w:cs="Times New Roman"/>
                <w:szCs w:val="24"/>
                <w:lang w:eastAsia="en-IN"/>
              </w:rPr>
              <w:t>0.07</w:t>
            </w:r>
          </w:p>
        </w:tc>
        <w:tc>
          <w:tcPr>
            <w:tcW w:w="1763" w:type="dxa"/>
            <w:tcBorders>
              <w:top w:val="nil"/>
              <w:left w:val="nil"/>
              <w:bottom w:val="single" w:sz="4" w:space="0" w:color="auto"/>
              <w:right w:val="single" w:sz="4" w:space="0" w:color="auto"/>
            </w:tcBorders>
            <w:noWrap/>
            <w:vAlign w:val="center"/>
            <w:hideMark/>
          </w:tcPr>
          <w:p w14:paraId="416BAC8C" w14:textId="77777777" w:rsidR="00EB5FE9" w:rsidRPr="008E2A3E" w:rsidRDefault="00EB5FE9" w:rsidP="008E2A3E">
            <w:pPr>
              <w:pStyle w:val="NoSpacing"/>
              <w:jc w:val="center"/>
              <w:rPr>
                <w:rFonts w:ascii="Times New Roman" w:hAnsi="Times New Roman" w:cs="Times New Roman"/>
                <w:szCs w:val="24"/>
                <w:lang w:eastAsia="en-IN"/>
              </w:rPr>
            </w:pPr>
            <w:r w:rsidRPr="008E2A3E">
              <w:rPr>
                <w:rFonts w:ascii="Times New Roman" w:hAnsi="Times New Roman" w:cs="Times New Roman"/>
                <w:szCs w:val="24"/>
                <w:lang w:eastAsia="en-IN"/>
              </w:rPr>
              <w:t>0.68</w:t>
            </w:r>
          </w:p>
        </w:tc>
        <w:tc>
          <w:tcPr>
            <w:tcW w:w="997" w:type="dxa"/>
            <w:tcBorders>
              <w:top w:val="nil"/>
              <w:left w:val="nil"/>
              <w:bottom w:val="single" w:sz="4" w:space="0" w:color="auto"/>
              <w:right w:val="single" w:sz="4" w:space="0" w:color="auto"/>
            </w:tcBorders>
            <w:noWrap/>
            <w:vAlign w:val="center"/>
            <w:hideMark/>
          </w:tcPr>
          <w:p w14:paraId="5AC74934" w14:textId="77777777" w:rsidR="00EB5FE9" w:rsidRPr="008E2A3E" w:rsidRDefault="00EB5FE9" w:rsidP="008E2A3E">
            <w:pPr>
              <w:pStyle w:val="NoSpacing"/>
              <w:jc w:val="center"/>
              <w:rPr>
                <w:rFonts w:ascii="Times New Roman" w:hAnsi="Times New Roman" w:cs="Times New Roman"/>
                <w:szCs w:val="24"/>
                <w:lang w:eastAsia="en-IN"/>
              </w:rPr>
            </w:pPr>
            <w:r w:rsidRPr="008E2A3E">
              <w:rPr>
                <w:rFonts w:ascii="Times New Roman" w:hAnsi="Times New Roman" w:cs="Times New Roman"/>
                <w:szCs w:val="24"/>
                <w:lang w:eastAsia="en-IN"/>
              </w:rPr>
              <w:t>3.15</w:t>
            </w:r>
          </w:p>
        </w:tc>
        <w:tc>
          <w:tcPr>
            <w:tcW w:w="1507" w:type="dxa"/>
            <w:tcBorders>
              <w:top w:val="nil"/>
              <w:left w:val="nil"/>
              <w:bottom w:val="single" w:sz="4" w:space="0" w:color="auto"/>
              <w:right w:val="single" w:sz="4" w:space="0" w:color="auto"/>
            </w:tcBorders>
            <w:noWrap/>
            <w:vAlign w:val="center"/>
            <w:hideMark/>
          </w:tcPr>
          <w:p w14:paraId="2A5041A2" w14:textId="77777777" w:rsidR="00EB5FE9" w:rsidRPr="008E2A3E" w:rsidRDefault="00EB5FE9" w:rsidP="008E2A3E">
            <w:pPr>
              <w:pStyle w:val="NoSpacing"/>
              <w:jc w:val="center"/>
              <w:rPr>
                <w:rFonts w:ascii="Times New Roman" w:hAnsi="Times New Roman" w:cs="Times New Roman"/>
                <w:szCs w:val="24"/>
                <w:lang w:eastAsia="en-IN"/>
              </w:rPr>
            </w:pPr>
            <w:r w:rsidRPr="008E2A3E">
              <w:rPr>
                <w:rFonts w:ascii="Times New Roman" w:hAnsi="Times New Roman" w:cs="Times New Roman"/>
                <w:szCs w:val="24"/>
                <w:lang w:eastAsia="en-IN"/>
              </w:rPr>
              <w:t>31.67</w:t>
            </w:r>
          </w:p>
        </w:tc>
      </w:tr>
      <w:tr w:rsidR="00EB5FE9" w:rsidRPr="008E2A3E" w14:paraId="02296DB1" w14:textId="77777777" w:rsidTr="00BA3FB7">
        <w:trPr>
          <w:trHeight w:val="264"/>
        </w:trPr>
        <w:tc>
          <w:tcPr>
            <w:tcW w:w="1782" w:type="dxa"/>
            <w:tcBorders>
              <w:top w:val="nil"/>
              <w:left w:val="single" w:sz="4" w:space="0" w:color="auto"/>
              <w:bottom w:val="single" w:sz="4" w:space="0" w:color="auto"/>
              <w:right w:val="single" w:sz="4" w:space="0" w:color="auto"/>
            </w:tcBorders>
            <w:noWrap/>
            <w:vAlign w:val="bottom"/>
            <w:hideMark/>
          </w:tcPr>
          <w:p w14:paraId="70D752D1" w14:textId="77777777" w:rsidR="00EB5FE9" w:rsidRPr="008E2A3E" w:rsidRDefault="00EB5FE9" w:rsidP="00EB5FE9">
            <w:pPr>
              <w:pStyle w:val="NoSpacing"/>
              <w:rPr>
                <w:rFonts w:ascii="Times New Roman" w:hAnsi="Times New Roman" w:cs="Times New Roman"/>
                <w:szCs w:val="24"/>
                <w:lang w:eastAsia="en-IN"/>
              </w:rPr>
            </w:pPr>
            <w:r w:rsidRPr="008E2A3E">
              <w:rPr>
                <w:rFonts w:ascii="Times New Roman" w:hAnsi="Times New Roman" w:cs="Times New Roman"/>
                <w:szCs w:val="24"/>
                <w:lang w:eastAsia="en-IN"/>
              </w:rPr>
              <w:t>1966-67</w:t>
            </w:r>
          </w:p>
        </w:tc>
        <w:tc>
          <w:tcPr>
            <w:tcW w:w="1062" w:type="dxa"/>
            <w:tcBorders>
              <w:top w:val="nil"/>
              <w:left w:val="nil"/>
              <w:bottom w:val="single" w:sz="4" w:space="0" w:color="auto"/>
              <w:right w:val="single" w:sz="4" w:space="0" w:color="auto"/>
            </w:tcBorders>
            <w:noWrap/>
            <w:vAlign w:val="center"/>
            <w:hideMark/>
          </w:tcPr>
          <w:p w14:paraId="0F9114F0" w14:textId="77777777" w:rsidR="00EB5FE9" w:rsidRPr="008E2A3E" w:rsidRDefault="00EB5FE9" w:rsidP="008E2A3E">
            <w:pPr>
              <w:pStyle w:val="NoSpacing"/>
              <w:jc w:val="center"/>
              <w:rPr>
                <w:rFonts w:ascii="Times New Roman" w:hAnsi="Times New Roman" w:cs="Times New Roman"/>
                <w:szCs w:val="24"/>
                <w:lang w:eastAsia="en-IN"/>
              </w:rPr>
            </w:pPr>
            <w:r w:rsidRPr="008E2A3E">
              <w:rPr>
                <w:rFonts w:ascii="Times New Roman" w:hAnsi="Times New Roman" w:cs="Times New Roman"/>
                <w:szCs w:val="24"/>
                <w:lang w:eastAsia="en-IN"/>
              </w:rPr>
              <w:t>0.38</w:t>
            </w:r>
          </w:p>
        </w:tc>
        <w:tc>
          <w:tcPr>
            <w:tcW w:w="953" w:type="dxa"/>
            <w:tcBorders>
              <w:top w:val="nil"/>
              <w:left w:val="nil"/>
              <w:bottom w:val="single" w:sz="4" w:space="0" w:color="auto"/>
              <w:right w:val="single" w:sz="4" w:space="0" w:color="auto"/>
            </w:tcBorders>
            <w:noWrap/>
            <w:vAlign w:val="center"/>
            <w:hideMark/>
          </w:tcPr>
          <w:p w14:paraId="4BDCFC26" w14:textId="77777777" w:rsidR="00EB5FE9" w:rsidRPr="008E2A3E" w:rsidRDefault="00EB5FE9" w:rsidP="008E2A3E">
            <w:pPr>
              <w:pStyle w:val="NoSpacing"/>
              <w:jc w:val="center"/>
              <w:rPr>
                <w:rFonts w:ascii="Times New Roman" w:hAnsi="Times New Roman" w:cs="Times New Roman"/>
                <w:szCs w:val="24"/>
                <w:lang w:eastAsia="en-IN"/>
              </w:rPr>
            </w:pPr>
            <w:r w:rsidRPr="008E2A3E">
              <w:rPr>
                <w:rFonts w:ascii="Times New Roman" w:hAnsi="Times New Roman" w:cs="Times New Roman"/>
                <w:szCs w:val="24"/>
                <w:lang w:eastAsia="en-IN"/>
              </w:rPr>
              <w:t>1.09</w:t>
            </w:r>
          </w:p>
        </w:tc>
        <w:tc>
          <w:tcPr>
            <w:tcW w:w="1165" w:type="dxa"/>
            <w:tcBorders>
              <w:top w:val="nil"/>
              <w:left w:val="nil"/>
              <w:bottom w:val="single" w:sz="4" w:space="0" w:color="auto"/>
              <w:right w:val="single" w:sz="4" w:space="0" w:color="auto"/>
            </w:tcBorders>
            <w:noWrap/>
            <w:vAlign w:val="center"/>
            <w:hideMark/>
          </w:tcPr>
          <w:p w14:paraId="77C22A26" w14:textId="77777777" w:rsidR="00EB5FE9" w:rsidRPr="008E2A3E" w:rsidRDefault="00EB5FE9" w:rsidP="008E2A3E">
            <w:pPr>
              <w:pStyle w:val="NoSpacing"/>
              <w:jc w:val="center"/>
              <w:rPr>
                <w:rFonts w:ascii="Times New Roman" w:hAnsi="Times New Roman" w:cs="Times New Roman"/>
                <w:szCs w:val="24"/>
                <w:lang w:eastAsia="en-IN"/>
              </w:rPr>
            </w:pPr>
            <w:r w:rsidRPr="008E2A3E">
              <w:rPr>
                <w:rFonts w:ascii="Times New Roman" w:hAnsi="Times New Roman" w:cs="Times New Roman"/>
                <w:szCs w:val="24"/>
                <w:lang w:eastAsia="en-IN"/>
              </w:rPr>
              <w:t>0.34</w:t>
            </w:r>
          </w:p>
        </w:tc>
        <w:tc>
          <w:tcPr>
            <w:tcW w:w="1488" w:type="dxa"/>
            <w:tcBorders>
              <w:top w:val="nil"/>
              <w:left w:val="nil"/>
              <w:bottom w:val="single" w:sz="4" w:space="0" w:color="auto"/>
              <w:right w:val="single" w:sz="4" w:space="0" w:color="auto"/>
            </w:tcBorders>
            <w:noWrap/>
            <w:vAlign w:val="center"/>
            <w:hideMark/>
          </w:tcPr>
          <w:p w14:paraId="6ED7E6AB" w14:textId="77777777" w:rsidR="00EB5FE9" w:rsidRPr="008E2A3E" w:rsidRDefault="00EB5FE9" w:rsidP="008E2A3E">
            <w:pPr>
              <w:pStyle w:val="NoSpacing"/>
              <w:jc w:val="center"/>
              <w:rPr>
                <w:rFonts w:ascii="Times New Roman" w:hAnsi="Times New Roman" w:cs="Times New Roman"/>
                <w:szCs w:val="24"/>
                <w:lang w:eastAsia="en-IN"/>
              </w:rPr>
            </w:pPr>
            <w:r w:rsidRPr="008E2A3E">
              <w:rPr>
                <w:rFonts w:ascii="Times New Roman" w:hAnsi="Times New Roman" w:cs="Times New Roman"/>
                <w:szCs w:val="24"/>
                <w:lang w:eastAsia="en-IN"/>
              </w:rPr>
              <w:t>0.32</w:t>
            </w:r>
          </w:p>
        </w:tc>
        <w:tc>
          <w:tcPr>
            <w:tcW w:w="1376" w:type="dxa"/>
            <w:tcBorders>
              <w:top w:val="nil"/>
              <w:left w:val="nil"/>
              <w:bottom w:val="single" w:sz="4" w:space="0" w:color="auto"/>
              <w:right w:val="single" w:sz="4" w:space="0" w:color="auto"/>
            </w:tcBorders>
            <w:noWrap/>
            <w:vAlign w:val="center"/>
            <w:hideMark/>
          </w:tcPr>
          <w:p w14:paraId="6BB9197E" w14:textId="77777777" w:rsidR="00EB5FE9" w:rsidRPr="008E2A3E" w:rsidRDefault="00EB5FE9" w:rsidP="008E2A3E">
            <w:pPr>
              <w:pStyle w:val="NoSpacing"/>
              <w:jc w:val="center"/>
              <w:rPr>
                <w:rFonts w:ascii="Times New Roman" w:hAnsi="Times New Roman" w:cs="Times New Roman"/>
                <w:szCs w:val="24"/>
                <w:lang w:eastAsia="en-IN"/>
              </w:rPr>
            </w:pPr>
            <w:r w:rsidRPr="008E2A3E">
              <w:rPr>
                <w:rFonts w:ascii="Times New Roman" w:hAnsi="Times New Roman" w:cs="Times New Roman"/>
                <w:szCs w:val="24"/>
                <w:lang w:eastAsia="en-IN"/>
              </w:rPr>
              <w:t>0.35</w:t>
            </w:r>
          </w:p>
        </w:tc>
        <w:tc>
          <w:tcPr>
            <w:tcW w:w="1289" w:type="dxa"/>
            <w:tcBorders>
              <w:top w:val="nil"/>
              <w:left w:val="nil"/>
              <w:bottom w:val="single" w:sz="4" w:space="0" w:color="auto"/>
              <w:right w:val="single" w:sz="4" w:space="0" w:color="auto"/>
            </w:tcBorders>
            <w:noWrap/>
            <w:vAlign w:val="center"/>
            <w:hideMark/>
          </w:tcPr>
          <w:p w14:paraId="3713DBDA" w14:textId="77777777" w:rsidR="00EB5FE9" w:rsidRPr="008E2A3E" w:rsidRDefault="00EB5FE9" w:rsidP="008E2A3E">
            <w:pPr>
              <w:pStyle w:val="NoSpacing"/>
              <w:jc w:val="center"/>
              <w:rPr>
                <w:rFonts w:ascii="Times New Roman" w:hAnsi="Times New Roman" w:cs="Times New Roman"/>
                <w:szCs w:val="24"/>
                <w:lang w:eastAsia="en-IN"/>
              </w:rPr>
            </w:pPr>
            <w:r w:rsidRPr="008E2A3E">
              <w:rPr>
                <w:rFonts w:ascii="Times New Roman" w:hAnsi="Times New Roman" w:cs="Times New Roman"/>
                <w:szCs w:val="24"/>
                <w:lang w:eastAsia="en-IN"/>
              </w:rPr>
              <w:t>0.03</w:t>
            </w:r>
          </w:p>
        </w:tc>
        <w:tc>
          <w:tcPr>
            <w:tcW w:w="1627" w:type="dxa"/>
            <w:tcBorders>
              <w:top w:val="nil"/>
              <w:left w:val="nil"/>
              <w:bottom w:val="single" w:sz="4" w:space="0" w:color="auto"/>
              <w:right w:val="single" w:sz="4" w:space="0" w:color="auto"/>
            </w:tcBorders>
            <w:noWrap/>
            <w:vAlign w:val="center"/>
            <w:hideMark/>
          </w:tcPr>
          <w:p w14:paraId="0FE61563" w14:textId="77777777" w:rsidR="00EB5FE9" w:rsidRPr="008E2A3E" w:rsidRDefault="00EB5FE9" w:rsidP="008E2A3E">
            <w:pPr>
              <w:pStyle w:val="NoSpacing"/>
              <w:jc w:val="center"/>
              <w:rPr>
                <w:rFonts w:ascii="Times New Roman" w:hAnsi="Times New Roman" w:cs="Times New Roman"/>
                <w:szCs w:val="24"/>
                <w:lang w:eastAsia="en-IN"/>
              </w:rPr>
            </w:pPr>
            <w:r w:rsidRPr="008E2A3E">
              <w:rPr>
                <w:rFonts w:ascii="Times New Roman" w:hAnsi="Times New Roman" w:cs="Times New Roman"/>
                <w:szCs w:val="24"/>
                <w:lang w:eastAsia="en-IN"/>
              </w:rPr>
              <w:t>0.09</w:t>
            </w:r>
          </w:p>
        </w:tc>
        <w:tc>
          <w:tcPr>
            <w:tcW w:w="1763" w:type="dxa"/>
            <w:tcBorders>
              <w:top w:val="nil"/>
              <w:left w:val="nil"/>
              <w:bottom w:val="single" w:sz="4" w:space="0" w:color="auto"/>
              <w:right w:val="single" w:sz="4" w:space="0" w:color="auto"/>
            </w:tcBorders>
            <w:noWrap/>
            <w:vAlign w:val="center"/>
            <w:hideMark/>
          </w:tcPr>
          <w:p w14:paraId="08CF2C9E" w14:textId="77777777" w:rsidR="00EB5FE9" w:rsidRPr="008E2A3E" w:rsidRDefault="00EB5FE9" w:rsidP="008E2A3E">
            <w:pPr>
              <w:pStyle w:val="NoSpacing"/>
              <w:jc w:val="center"/>
              <w:rPr>
                <w:rFonts w:ascii="Times New Roman" w:hAnsi="Times New Roman" w:cs="Times New Roman"/>
                <w:szCs w:val="24"/>
                <w:lang w:eastAsia="en-IN"/>
              </w:rPr>
            </w:pPr>
            <w:r w:rsidRPr="008E2A3E">
              <w:rPr>
                <w:rFonts w:ascii="Times New Roman" w:hAnsi="Times New Roman" w:cs="Times New Roman"/>
                <w:szCs w:val="24"/>
                <w:lang w:eastAsia="en-IN"/>
              </w:rPr>
              <w:t>0.15</w:t>
            </w:r>
          </w:p>
        </w:tc>
        <w:tc>
          <w:tcPr>
            <w:tcW w:w="997" w:type="dxa"/>
            <w:tcBorders>
              <w:top w:val="nil"/>
              <w:left w:val="nil"/>
              <w:bottom w:val="single" w:sz="4" w:space="0" w:color="auto"/>
              <w:right w:val="single" w:sz="4" w:space="0" w:color="auto"/>
            </w:tcBorders>
            <w:noWrap/>
            <w:vAlign w:val="center"/>
            <w:hideMark/>
          </w:tcPr>
          <w:p w14:paraId="0EEF5EFA" w14:textId="77777777" w:rsidR="00EB5FE9" w:rsidRPr="008E2A3E" w:rsidRDefault="00EB5FE9" w:rsidP="008E2A3E">
            <w:pPr>
              <w:pStyle w:val="NoSpacing"/>
              <w:jc w:val="center"/>
              <w:rPr>
                <w:rFonts w:ascii="Times New Roman" w:hAnsi="Times New Roman" w:cs="Times New Roman"/>
                <w:szCs w:val="24"/>
                <w:lang w:eastAsia="en-IN"/>
              </w:rPr>
            </w:pPr>
            <w:r w:rsidRPr="008E2A3E">
              <w:rPr>
                <w:rFonts w:ascii="Times New Roman" w:hAnsi="Times New Roman" w:cs="Times New Roman"/>
                <w:szCs w:val="24"/>
                <w:lang w:eastAsia="en-IN"/>
              </w:rPr>
              <w:t>4.07</w:t>
            </w:r>
          </w:p>
        </w:tc>
        <w:tc>
          <w:tcPr>
            <w:tcW w:w="1507" w:type="dxa"/>
            <w:tcBorders>
              <w:top w:val="nil"/>
              <w:left w:val="nil"/>
              <w:bottom w:val="single" w:sz="4" w:space="0" w:color="auto"/>
              <w:right w:val="single" w:sz="4" w:space="0" w:color="auto"/>
            </w:tcBorders>
            <w:noWrap/>
            <w:vAlign w:val="center"/>
            <w:hideMark/>
          </w:tcPr>
          <w:p w14:paraId="101B4B6E" w14:textId="77777777" w:rsidR="00EB5FE9" w:rsidRPr="008E2A3E" w:rsidRDefault="00EB5FE9" w:rsidP="008E2A3E">
            <w:pPr>
              <w:pStyle w:val="NoSpacing"/>
              <w:jc w:val="center"/>
              <w:rPr>
                <w:rFonts w:ascii="Times New Roman" w:hAnsi="Times New Roman" w:cs="Times New Roman"/>
                <w:szCs w:val="24"/>
                <w:lang w:eastAsia="en-IN"/>
              </w:rPr>
            </w:pPr>
            <w:r w:rsidRPr="008E2A3E">
              <w:rPr>
                <w:rFonts w:ascii="Times New Roman" w:hAnsi="Times New Roman" w:cs="Times New Roman"/>
                <w:szCs w:val="24"/>
                <w:lang w:eastAsia="en-IN"/>
              </w:rPr>
              <w:t>48.56</w:t>
            </w:r>
          </w:p>
        </w:tc>
      </w:tr>
      <w:tr w:rsidR="00EB5FE9" w:rsidRPr="008E2A3E" w14:paraId="2F710192" w14:textId="77777777" w:rsidTr="00BA3FB7">
        <w:trPr>
          <w:trHeight w:val="264"/>
        </w:trPr>
        <w:tc>
          <w:tcPr>
            <w:tcW w:w="1782" w:type="dxa"/>
            <w:tcBorders>
              <w:top w:val="nil"/>
              <w:left w:val="single" w:sz="4" w:space="0" w:color="auto"/>
              <w:bottom w:val="single" w:sz="4" w:space="0" w:color="auto"/>
              <w:right w:val="single" w:sz="4" w:space="0" w:color="auto"/>
            </w:tcBorders>
            <w:noWrap/>
            <w:vAlign w:val="bottom"/>
            <w:hideMark/>
          </w:tcPr>
          <w:p w14:paraId="0A61D1A8" w14:textId="77777777" w:rsidR="00EB5FE9" w:rsidRPr="008E2A3E" w:rsidRDefault="00EB5FE9" w:rsidP="00EB5FE9">
            <w:pPr>
              <w:pStyle w:val="NoSpacing"/>
              <w:rPr>
                <w:rFonts w:ascii="Times New Roman" w:hAnsi="Times New Roman" w:cs="Times New Roman"/>
                <w:szCs w:val="24"/>
                <w:lang w:eastAsia="en-IN"/>
              </w:rPr>
            </w:pPr>
            <w:r w:rsidRPr="008E2A3E">
              <w:rPr>
                <w:rFonts w:ascii="Times New Roman" w:hAnsi="Times New Roman" w:cs="Times New Roman"/>
                <w:szCs w:val="24"/>
                <w:lang w:eastAsia="en-IN"/>
              </w:rPr>
              <w:t>1967-68</w:t>
            </w:r>
          </w:p>
        </w:tc>
        <w:tc>
          <w:tcPr>
            <w:tcW w:w="1062" w:type="dxa"/>
            <w:tcBorders>
              <w:top w:val="nil"/>
              <w:left w:val="nil"/>
              <w:bottom w:val="single" w:sz="4" w:space="0" w:color="auto"/>
              <w:right w:val="single" w:sz="4" w:space="0" w:color="auto"/>
            </w:tcBorders>
            <w:noWrap/>
            <w:vAlign w:val="center"/>
            <w:hideMark/>
          </w:tcPr>
          <w:p w14:paraId="65B4CFE8" w14:textId="77777777" w:rsidR="00EB5FE9" w:rsidRPr="008E2A3E" w:rsidRDefault="00EB5FE9" w:rsidP="008E2A3E">
            <w:pPr>
              <w:pStyle w:val="NoSpacing"/>
              <w:jc w:val="center"/>
              <w:rPr>
                <w:rFonts w:ascii="Times New Roman" w:hAnsi="Times New Roman" w:cs="Times New Roman"/>
                <w:szCs w:val="24"/>
                <w:lang w:eastAsia="en-IN"/>
              </w:rPr>
            </w:pPr>
            <w:r w:rsidRPr="008E2A3E">
              <w:rPr>
                <w:rFonts w:ascii="Times New Roman" w:hAnsi="Times New Roman" w:cs="Times New Roman"/>
                <w:szCs w:val="24"/>
                <w:lang w:eastAsia="en-IN"/>
              </w:rPr>
              <w:t>0.58</w:t>
            </w:r>
          </w:p>
        </w:tc>
        <w:tc>
          <w:tcPr>
            <w:tcW w:w="953" w:type="dxa"/>
            <w:tcBorders>
              <w:top w:val="nil"/>
              <w:left w:val="nil"/>
              <w:bottom w:val="single" w:sz="4" w:space="0" w:color="auto"/>
              <w:right w:val="single" w:sz="4" w:space="0" w:color="auto"/>
            </w:tcBorders>
            <w:noWrap/>
            <w:vAlign w:val="center"/>
            <w:hideMark/>
          </w:tcPr>
          <w:p w14:paraId="6498D8C0" w14:textId="77777777" w:rsidR="00EB5FE9" w:rsidRPr="008E2A3E" w:rsidRDefault="00EB5FE9" w:rsidP="008E2A3E">
            <w:pPr>
              <w:pStyle w:val="NoSpacing"/>
              <w:jc w:val="center"/>
              <w:rPr>
                <w:rFonts w:ascii="Times New Roman" w:hAnsi="Times New Roman" w:cs="Times New Roman"/>
                <w:szCs w:val="24"/>
                <w:lang w:eastAsia="en-IN"/>
              </w:rPr>
            </w:pPr>
            <w:r w:rsidRPr="008E2A3E">
              <w:rPr>
                <w:rFonts w:ascii="Times New Roman" w:hAnsi="Times New Roman" w:cs="Times New Roman"/>
                <w:szCs w:val="24"/>
                <w:lang w:eastAsia="en-IN"/>
              </w:rPr>
              <w:t>1.31</w:t>
            </w:r>
          </w:p>
        </w:tc>
        <w:tc>
          <w:tcPr>
            <w:tcW w:w="1165" w:type="dxa"/>
            <w:tcBorders>
              <w:top w:val="nil"/>
              <w:left w:val="nil"/>
              <w:bottom w:val="single" w:sz="4" w:space="0" w:color="auto"/>
              <w:right w:val="single" w:sz="4" w:space="0" w:color="auto"/>
            </w:tcBorders>
            <w:noWrap/>
            <w:vAlign w:val="center"/>
            <w:hideMark/>
          </w:tcPr>
          <w:p w14:paraId="56C03ABB" w14:textId="77777777" w:rsidR="00EB5FE9" w:rsidRPr="008E2A3E" w:rsidRDefault="00EB5FE9" w:rsidP="008E2A3E">
            <w:pPr>
              <w:pStyle w:val="NoSpacing"/>
              <w:jc w:val="center"/>
              <w:rPr>
                <w:rFonts w:ascii="Times New Roman" w:hAnsi="Times New Roman" w:cs="Times New Roman"/>
                <w:szCs w:val="24"/>
                <w:lang w:eastAsia="en-IN"/>
              </w:rPr>
            </w:pPr>
            <w:r w:rsidRPr="008E2A3E">
              <w:rPr>
                <w:rFonts w:ascii="Times New Roman" w:hAnsi="Times New Roman" w:cs="Times New Roman"/>
                <w:szCs w:val="24"/>
                <w:lang w:eastAsia="en-IN"/>
              </w:rPr>
              <w:t>0.36</w:t>
            </w:r>
          </w:p>
        </w:tc>
        <w:tc>
          <w:tcPr>
            <w:tcW w:w="1488" w:type="dxa"/>
            <w:tcBorders>
              <w:top w:val="nil"/>
              <w:left w:val="nil"/>
              <w:bottom w:val="single" w:sz="4" w:space="0" w:color="auto"/>
              <w:right w:val="single" w:sz="4" w:space="0" w:color="auto"/>
            </w:tcBorders>
            <w:noWrap/>
            <w:vAlign w:val="center"/>
            <w:hideMark/>
          </w:tcPr>
          <w:p w14:paraId="2799F0E0" w14:textId="77777777" w:rsidR="00EB5FE9" w:rsidRPr="008E2A3E" w:rsidRDefault="00EB5FE9" w:rsidP="008E2A3E">
            <w:pPr>
              <w:pStyle w:val="NoSpacing"/>
              <w:jc w:val="center"/>
              <w:rPr>
                <w:rFonts w:ascii="Times New Roman" w:hAnsi="Times New Roman" w:cs="Times New Roman"/>
                <w:szCs w:val="24"/>
                <w:lang w:eastAsia="en-IN"/>
              </w:rPr>
            </w:pPr>
            <w:r w:rsidRPr="008E2A3E">
              <w:rPr>
                <w:rFonts w:ascii="Times New Roman" w:hAnsi="Times New Roman" w:cs="Times New Roman"/>
                <w:szCs w:val="24"/>
                <w:lang w:eastAsia="en-IN"/>
              </w:rPr>
              <w:t>0.43</w:t>
            </w:r>
          </w:p>
        </w:tc>
        <w:tc>
          <w:tcPr>
            <w:tcW w:w="1376" w:type="dxa"/>
            <w:tcBorders>
              <w:top w:val="nil"/>
              <w:left w:val="nil"/>
              <w:bottom w:val="single" w:sz="4" w:space="0" w:color="auto"/>
              <w:right w:val="single" w:sz="4" w:space="0" w:color="auto"/>
            </w:tcBorders>
            <w:noWrap/>
            <w:vAlign w:val="center"/>
            <w:hideMark/>
          </w:tcPr>
          <w:p w14:paraId="57BA8C27" w14:textId="77777777" w:rsidR="00EB5FE9" w:rsidRPr="008E2A3E" w:rsidRDefault="00EB5FE9" w:rsidP="008E2A3E">
            <w:pPr>
              <w:pStyle w:val="NoSpacing"/>
              <w:jc w:val="center"/>
              <w:rPr>
                <w:rFonts w:ascii="Times New Roman" w:hAnsi="Times New Roman" w:cs="Times New Roman"/>
                <w:szCs w:val="24"/>
                <w:lang w:eastAsia="en-IN"/>
              </w:rPr>
            </w:pPr>
            <w:r w:rsidRPr="008E2A3E">
              <w:rPr>
                <w:rFonts w:ascii="Times New Roman" w:hAnsi="Times New Roman" w:cs="Times New Roman"/>
                <w:szCs w:val="24"/>
                <w:lang w:eastAsia="en-IN"/>
              </w:rPr>
              <w:t>0.54</w:t>
            </w:r>
          </w:p>
        </w:tc>
        <w:tc>
          <w:tcPr>
            <w:tcW w:w="1289" w:type="dxa"/>
            <w:tcBorders>
              <w:top w:val="nil"/>
              <w:left w:val="nil"/>
              <w:bottom w:val="single" w:sz="4" w:space="0" w:color="auto"/>
              <w:right w:val="single" w:sz="4" w:space="0" w:color="auto"/>
            </w:tcBorders>
            <w:noWrap/>
            <w:vAlign w:val="center"/>
            <w:hideMark/>
          </w:tcPr>
          <w:p w14:paraId="2A9F98A6" w14:textId="77777777" w:rsidR="00EB5FE9" w:rsidRPr="008E2A3E" w:rsidRDefault="00EB5FE9" w:rsidP="008E2A3E">
            <w:pPr>
              <w:pStyle w:val="NoSpacing"/>
              <w:jc w:val="center"/>
              <w:rPr>
                <w:rFonts w:ascii="Times New Roman" w:hAnsi="Times New Roman" w:cs="Times New Roman"/>
                <w:szCs w:val="24"/>
                <w:lang w:eastAsia="en-IN"/>
              </w:rPr>
            </w:pPr>
            <w:r w:rsidRPr="008E2A3E">
              <w:rPr>
                <w:rFonts w:ascii="Times New Roman" w:hAnsi="Times New Roman" w:cs="Times New Roman"/>
                <w:szCs w:val="24"/>
                <w:lang w:eastAsia="en-IN"/>
              </w:rPr>
              <w:t>0.04</w:t>
            </w:r>
          </w:p>
        </w:tc>
        <w:tc>
          <w:tcPr>
            <w:tcW w:w="1627" w:type="dxa"/>
            <w:tcBorders>
              <w:top w:val="nil"/>
              <w:left w:val="nil"/>
              <w:bottom w:val="single" w:sz="4" w:space="0" w:color="auto"/>
              <w:right w:val="single" w:sz="4" w:space="0" w:color="auto"/>
            </w:tcBorders>
            <w:noWrap/>
            <w:vAlign w:val="center"/>
            <w:hideMark/>
          </w:tcPr>
          <w:p w14:paraId="47AFE209" w14:textId="77777777" w:rsidR="00EB5FE9" w:rsidRPr="008E2A3E" w:rsidRDefault="00EB5FE9" w:rsidP="008E2A3E">
            <w:pPr>
              <w:pStyle w:val="NoSpacing"/>
              <w:jc w:val="center"/>
              <w:rPr>
                <w:rFonts w:ascii="Times New Roman" w:hAnsi="Times New Roman" w:cs="Times New Roman"/>
                <w:szCs w:val="24"/>
                <w:lang w:eastAsia="en-IN"/>
              </w:rPr>
            </w:pPr>
            <w:r w:rsidRPr="008E2A3E">
              <w:rPr>
                <w:rFonts w:ascii="Times New Roman" w:hAnsi="Times New Roman" w:cs="Times New Roman"/>
                <w:szCs w:val="24"/>
                <w:lang w:eastAsia="en-IN"/>
              </w:rPr>
              <w:t>0.09</w:t>
            </w:r>
          </w:p>
        </w:tc>
        <w:tc>
          <w:tcPr>
            <w:tcW w:w="1763" w:type="dxa"/>
            <w:tcBorders>
              <w:top w:val="nil"/>
              <w:left w:val="nil"/>
              <w:bottom w:val="single" w:sz="4" w:space="0" w:color="auto"/>
              <w:right w:val="single" w:sz="4" w:space="0" w:color="auto"/>
            </w:tcBorders>
            <w:noWrap/>
            <w:vAlign w:val="center"/>
            <w:hideMark/>
          </w:tcPr>
          <w:p w14:paraId="417F42EB" w14:textId="77777777" w:rsidR="00EB5FE9" w:rsidRPr="008E2A3E" w:rsidRDefault="00EB5FE9" w:rsidP="008E2A3E">
            <w:pPr>
              <w:pStyle w:val="NoSpacing"/>
              <w:jc w:val="center"/>
              <w:rPr>
                <w:rFonts w:ascii="Times New Roman" w:hAnsi="Times New Roman" w:cs="Times New Roman"/>
                <w:szCs w:val="24"/>
                <w:lang w:eastAsia="en-IN"/>
              </w:rPr>
            </w:pPr>
            <w:r w:rsidRPr="008E2A3E">
              <w:rPr>
                <w:rFonts w:ascii="Times New Roman" w:hAnsi="Times New Roman" w:cs="Times New Roman"/>
                <w:szCs w:val="24"/>
                <w:lang w:eastAsia="en-IN"/>
              </w:rPr>
              <w:t>0.21</w:t>
            </w:r>
          </w:p>
        </w:tc>
        <w:tc>
          <w:tcPr>
            <w:tcW w:w="997" w:type="dxa"/>
            <w:tcBorders>
              <w:top w:val="nil"/>
              <w:left w:val="nil"/>
              <w:bottom w:val="single" w:sz="4" w:space="0" w:color="auto"/>
              <w:right w:val="single" w:sz="4" w:space="0" w:color="auto"/>
            </w:tcBorders>
            <w:noWrap/>
            <w:vAlign w:val="center"/>
            <w:hideMark/>
          </w:tcPr>
          <w:p w14:paraId="4A370E6F" w14:textId="77777777" w:rsidR="00EB5FE9" w:rsidRPr="008E2A3E" w:rsidRDefault="00EB5FE9" w:rsidP="008E2A3E">
            <w:pPr>
              <w:pStyle w:val="NoSpacing"/>
              <w:jc w:val="center"/>
              <w:rPr>
                <w:rFonts w:ascii="Times New Roman" w:hAnsi="Times New Roman" w:cs="Times New Roman"/>
                <w:szCs w:val="24"/>
                <w:lang w:eastAsia="en-IN"/>
              </w:rPr>
            </w:pPr>
            <w:r w:rsidRPr="008E2A3E">
              <w:rPr>
                <w:rFonts w:ascii="Times New Roman" w:hAnsi="Times New Roman" w:cs="Times New Roman"/>
                <w:szCs w:val="24"/>
                <w:lang w:eastAsia="en-IN"/>
              </w:rPr>
              <w:t>3.93</w:t>
            </w:r>
          </w:p>
        </w:tc>
        <w:tc>
          <w:tcPr>
            <w:tcW w:w="1507" w:type="dxa"/>
            <w:tcBorders>
              <w:top w:val="nil"/>
              <w:left w:val="nil"/>
              <w:bottom w:val="single" w:sz="4" w:space="0" w:color="auto"/>
              <w:right w:val="single" w:sz="4" w:space="0" w:color="auto"/>
            </w:tcBorders>
            <w:noWrap/>
            <w:vAlign w:val="center"/>
            <w:hideMark/>
          </w:tcPr>
          <w:p w14:paraId="3D3182BA" w14:textId="77777777" w:rsidR="00EB5FE9" w:rsidRPr="008E2A3E" w:rsidRDefault="00EB5FE9" w:rsidP="008E2A3E">
            <w:pPr>
              <w:pStyle w:val="NoSpacing"/>
              <w:jc w:val="center"/>
              <w:rPr>
                <w:rFonts w:ascii="Times New Roman" w:hAnsi="Times New Roman" w:cs="Times New Roman"/>
                <w:szCs w:val="24"/>
                <w:lang w:eastAsia="en-IN"/>
              </w:rPr>
            </w:pPr>
            <w:r w:rsidRPr="008E2A3E">
              <w:rPr>
                <w:rFonts w:ascii="Times New Roman" w:hAnsi="Times New Roman" w:cs="Times New Roman"/>
                <w:szCs w:val="24"/>
                <w:lang w:eastAsia="en-IN"/>
              </w:rPr>
              <w:t>45.75</w:t>
            </w:r>
          </w:p>
        </w:tc>
      </w:tr>
      <w:tr w:rsidR="00EB5FE9" w:rsidRPr="008E2A3E" w14:paraId="4393F8E8" w14:textId="77777777" w:rsidTr="00BA3FB7">
        <w:trPr>
          <w:trHeight w:val="264"/>
        </w:trPr>
        <w:tc>
          <w:tcPr>
            <w:tcW w:w="1782" w:type="dxa"/>
            <w:tcBorders>
              <w:top w:val="nil"/>
              <w:left w:val="single" w:sz="4" w:space="0" w:color="auto"/>
              <w:bottom w:val="single" w:sz="4" w:space="0" w:color="auto"/>
              <w:right w:val="single" w:sz="4" w:space="0" w:color="auto"/>
            </w:tcBorders>
            <w:noWrap/>
            <w:vAlign w:val="bottom"/>
            <w:hideMark/>
          </w:tcPr>
          <w:p w14:paraId="1D561C60" w14:textId="77777777" w:rsidR="00EB5FE9" w:rsidRPr="008E2A3E" w:rsidRDefault="00EB5FE9" w:rsidP="00EB5FE9">
            <w:pPr>
              <w:pStyle w:val="NoSpacing"/>
              <w:rPr>
                <w:rFonts w:ascii="Times New Roman" w:hAnsi="Times New Roman" w:cs="Times New Roman"/>
                <w:szCs w:val="24"/>
                <w:lang w:eastAsia="en-IN"/>
              </w:rPr>
            </w:pPr>
            <w:r w:rsidRPr="008E2A3E">
              <w:rPr>
                <w:rFonts w:ascii="Times New Roman" w:hAnsi="Times New Roman" w:cs="Times New Roman"/>
                <w:szCs w:val="24"/>
                <w:lang w:eastAsia="en-IN"/>
              </w:rPr>
              <w:t>1968-69 (RE)</w:t>
            </w:r>
          </w:p>
        </w:tc>
        <w:tc>
          <w:tcPr>
            <w:tcW w:w="1062" w:type="dxa"/>
            <w:tcBorders>
              <w:top w:val="nil"/>
              <w:left w:val="nil"/>
              <w:bottom w:val="single" w:sz="4" w:space="0" w:color="auto"/>
              <w:right w:val="single" w:sz="4" w:space="0" w:color="auto"/>
            </w:tcBorders>
            <w:noWrap/>
            <w:vAlign w:val="center"/>
            <w:hideMark/>
          </w:tcPr>
          <w:p w14:paraId="0B8B5CA7" w14:textId="77777777" w:rsidR="00EB5FE9" w:rsidRPr="008E2A3E" w:rsidRDefault="00EB5FE9" w:rsidP="008E2A3E">
            <w:pPr>
              <w:pStyle w:val="NoSpacing"/>
              <w:jc w:val="center"/>
              <w:rPr>
                <w:rFonts w:ascii="Times New Roman" w:hAnsi="Times New Roman" w:cs="Times New Roman"/>
                <w:szCs w:val="24"/>
                <w:lang w:eastAsia="en-IN"/>
              </w:rPr>
            </w:pPr>
            <w:r w:rsidRPr="008E2A3E">
              <w:rPr>
                <w:rFonts w:ascii="Times New Roman" w:hAnsi="Times New Roman" w:cs="Times New Roman"/>
                <w:szCs w:val="24"/>
                <w:lang w:eastAsia="en-IN"/>
              </w:rPr>
              <w:t>0.72 (1.29)</w:t>
            </w:r>
          </w:p>
        </w:tc>
        <w:tc>
          <w:tcPr>
            <w:tcW w:w="953" w:type="dxa"/>
            <w:tcBorders>
              <w:top w:val="nil"/>
              <w:left w:val="nil"/>
              <w:bottom w:val="single" w:sz="4" w:space="0" w:color="auto"/>
              <w:right w:val="single" w:sz="4" w:space="0" w:color="auto"/>
            </w:tcBorders>
            <w:noWrap/>
            <w:vAlign w:val="center"/>
            <w:hideMark/>
          </w:tcPr>
          <w:p w14:paraId="7C6E3AF8" w14:textId="77777777" w:rsidR="00EB5FE9" w:rsidRPr="008E2A3E" w:rsidRDefault="00EB5FE9" w:rsidP="008E2A3E">
            <w:pPr>
              <w:pStyle w:val="NoSpacing"/>
              <w:jc w:val="center"/>
              <w:rPr>
                <w:rFonts w:ascii="Times New Roman" w:hAnsi="Times New Roman" w:cs="Times New Roman"/>
                <w:szCs w:val="24"/>
                <w:lang w:eastAsia="en-IN"/>
              </w:rPr>
            </w:pPr>
            <w:r w:rsidRPr="008E2A3E">
              <w:rPr>
                <w:rFonts w:ascii="Times New Roman" w:hAnsi="Times New Roman" w:cs="Times New Roman"/>
                <w:szCs w:val="24"/>
                <w:lang w:eastAsia="en-IN"/>
              </w:rPr>
              <w:t>1.75 (3.15)</w:t>
            </w:r>
          </w:p>
        </w:tc>
        <w:tc>
          <w:tcPr>
            <w:tcW w:w="1165" w:type="dxa"/>
            <w:tcBorders>
              <w:top w:val="nil"/>
              <w:left w:val="nil"/>
              <w:bottom w:val="single" w:sz="4" w:space="0" w:color="auto"/>
              <w:right w:val="single" w:sz="4" w:space="0" w:color="auto"/>
            </w:tcBorders>
            <w:noWrap/>
            <w:vAlign w:val="center"/>
            <w:hideMark/>
          </w:tcPr>
          <w:p w14:paraId="2BD9472A" w14:textId="77777777" w:rsidR="00EB5FE9" w:rsidRPr="008E2A3E" w:rsidRDefault="00EB5FE9" w:rsidP="008E2A3E">
            <w:pPr>
              <w:pStyle w:val="NoSpacing"/>
              <w:jc w:val="center"/>
              <w:rPr>
                <w:rFonts w:ascii="Times New Roman" w:hAnsi="Times New Roman" w:cs="Times New Roman"/>
                <w:szCs w:val="24"/>
                <w:lang w:eastAsia="en-IN"/>
              </w:rPr>
            </w:pPr>
            <w:r w:rsidRPr="008E2A3E">
              <w:rPr>
                <w:rFonts w:ascii="Times New Roman" w:hAnsi="Times New Roman" w:cs="Times New Roman"/>
                <w:szCs w:val="24"/>
                <w:lang w:eastAsia="en-IN"/>
              </w:rPr>
              <w:t>0.51 (0.92)</w:t>
            </w:r>
          </w:p>
        </w:tc>
        <w:tc>
          <w:tcPr>
            <w:tcW w:w="1488" w:type="dxa"/>
            <w:tcBorders>
              <w:top w:val="nil"/>
              <w:left w:val="nil"/>
              <w:bottom w:val="single" w:sz="4" w:space="0" w:color="auto"/>
              <w:right w:val="single" w:sz="4" w:space="0" w:color="auto"/>
            </w:tcBorders>
            <w:noWrap/>
            <w:vAlign w:val="center"/>
            <w:hideMark/>
          </w:tcPr>
          <w:p w14:paraId="498BCE87" w14:textId="77777777" w:rsidR="00EB5FE9" w:rsidRPr="008E2A3E" w:rsidRDefault="00EB5FE9" w:rsidP="008E2A3E">
            <w:pPr>
              <w:pStyle w:val="NoSpacing"/>
              <w:jc w:val="center"/>
              <w:rPr>
                <w:rFonts w:ascii="Times New Roman" w:hAnsi="Times New Roman" w:cs="Times New Roman"/>
                <w:szCs w:val="24"/>
                <w:lang w:eastAsia="en-IN"/>
              </w:rPr>
            </w:pPr>
            <w:r w:rsidRPr="008E2A3E">
              <w:rPr>
                <w:rFonts w:ascii="Times New Roman" w:hAnsi="Times New Roman" w:cs="Times New Roman"/>
                <w:szCs w:val="24"/>
                <w:lang w:eastAsia="en-IN"/>
              </w:rPr>
              <w:t>0.36 (0.65)</w:t>
            </w:r>
          </w:p>
        </w:tc>
        <w:tc>
          <w:tcPr>
            <w:tcW w:w="1376" w:type="dxa"/>
            <w:tcBorders>
              <w:top w:val="nil"/>
              <w:left w:val="nil"/>
              <w:bottom w:val="single" w:sz="4" w:space="0" w:color="auto"/>
              <w:right w:val="single" w:sz="4" w:space="0" w:color="auto"/>
            </w:tcBorders>
            <w:noWrap/>
            <w:vAlign w:val="center"/>
            <w:hideMark/>
          </w:tcPr>
          <w:p w14:paraId="137EFAB2" w14:textId="77777777" w:rsidR="00EB5FE9" w:rsidRPr="008E2A3E" w:rsidRDefault="00EB5FE9" w:rsidP="008E2A3E">
            <w:pPr>
              <w:pStyle w:val="NoSpacing"/>
              <w:jc w:val="center"/>
              <w:rPr>
                <w:rFonts w:ascii="Times New Roman" w:hAnsi="Times New Roman" w:cs="Times New Roman"/>
                <w:szCs w:val="24"/>
                <w:lang w:eastAsia="en-IN"/>
              </w:rPr>
            </w:pPr>
            <w:r w:rsidRPr="008E2A3E">
              <w:rPr>
                <w:rFonts w:ascii="Times New Roman" w:hAnsi="Times New Roman" w:cs="Times New Roman"/>
                <w:szCs w:val="24"/>
                <w:lang w:eastAsia="en-IN"/>
              </w:rPr>
              <w:t>0.54 (0.97)</w:t>
            </w:r>
          </w:p>
        </w:tc>
        <w:tc>
          <w:tcPr>
            <w:tcW w:w="1289" w:type="dxa"/>
            <w:tcBorders>
              <w:top w:val="nil"/>
              <w:left w:val="nil"/>
              <w:bottom w:val="single" w:sz="4" w:space="0" w:color="auto"/>
              <w:right w:val="single" w:sz="4" w:space="0" w:color="auto"/>
            </w:tcBorders>
            <w:noWrap/>
            <w:vAlign w:val="center"/>
            <w:hideMark/>
          </w:tcPr>
          <w:p w14:paraId="0964367D" w14:textId="77777777" w:rsidR="00EB5FE9" w:rsidRPr="008E2A3E" w:rsidRDefault="00EB5FE9" w:rsidP="008E2A3E">
            <w:pPr>
              <w:pStyle w:val="NoSpacing"/>
              <w:jc w:val="center"/>
              <w:rPr>
                <w:rFonts w:ascii="Times New Roman" w:hAnsi="Times New Roman" w:cs="Times New Roman"/>
                <w:szCs w:val="24"/>
                <w:lang w:eastAsia="en-IN"/>
              </w:rPr>
            </w:pPr>
            <w:r w:rsidRPr="008E2A3E">
              <w:rPr>
                <w:rFonts w:ascii="Times New Roman" w:hAnsi="Times New Roman" w:cs="Times New Roman"/>
                <w:szCs w:val="24"/>
                <w:lang w:eastAsia="en-IN"/>
              </w:rPr>
              <w:t>0.03 (0.05)</w:t>
            </w:r>
          </w:p>
        </w:tc>
        <w:tc>
          <w:tcPr>
            <w:tcW w:w="1627" w:type="dxa"/>
            <w:tcBorders>
              <w:top w:val="nil"/>
              <w:left w:val="nil"/>
              <w:bottom w:val="single" w:sz="4" w:space="0" w:color="auto"/>
              <w:right w:val="single" w:sz="4" w:space="0" w:color="auto"/>
            </w:tcBorders>
            <w:noWrap/>
            <w:vAlign w:val="center"/>
            <w:hideMark/>
          </w:tcPr>
          <w:p w14:paraId="648B193F" w14:textId="77777777" w:rsidR="00EB5FE9" w:rsidRPr="008E2A3E" w:rsidRDefault="00EB5FE9" w:rsidP="008E2A3E">
            <w:pPr>
              <w:pStyle w:val="NoSpacing"/>
              <w:jc w:val="center"/>
              <w:rPr>
                <w:rFonts w:ascii="Times New Roman" w:hAnsi="Times New Roman" w:cs="Times New Roman"/>
                <w:szCs w:val="24"/>
                <w:lang w:eastAsia="en-IN"/>
              </w:rPr>
            </w:pPr>
            <w:r w:rsidRPr="008E2A3E">
              <w:rPr>
                <w:rFonts w:ascii="Times New Roman" w:hAnsi="Times New Roman" w:cs="Times New Roman"/>
                <w:szCs w:val="24"/>
                <w:lang w:eastAsia="en-IN"/>
              </w:rPr>
              <w:t>0.10 (0.18)</w:t>
            </w:r>
          </w:p>
        </w:tc>
        <w:tc>
          <w:tcPr>
            <w:tcW w:w="1763" w:type="dxa"/>
            <w:tcBorders>
              <w:top w:val="nil"/>
              <w:left w:val="nil"/>
              <w:bottom w:val="single" w:sz="4" w:space="0" w:color="auto"/>
              <w:right w:val="single" w:sz="4" w:space="0" w:color="auto"/>
            </w:tcBorders>
            <w:noWrap/>
            <w:vAlign w:val="center"/>
            <w:hideMark/>
          </w:tcPr>
          <w:p w14:paraId="47547CCC" w14:textId="77777777" w:rsidR="00EB5FE9" w:rsidRPr="008E2A3E" w:rsidRDefault="00EB5FE9" w:rsidP="008E2A3E">
            <w:pPr>
              <w:pStyle w:val="NoSpacing"/>
              <w:jc w:val="center"/>
              <w:rPr>
                <w:rFonts w:ascii="Times New Roman" w:hAnsi="Times New Roman" w:cs="Times New Roman"/>
                <w:szCs w:val="24"/>
                <w:lang w:eastAsia="en-IN"/>
              </w:rPr>
            </w:pPr>
            <w:r w:rsidRPr="008E2A3E">
              <w:rPr>
                <w:rFonts w:ascii="Times New Roman" w:hAnsi="Times New Roman" w:cs="Times New Roman"/>
                <w:szCs w:val="24"/>
                <w:lang w:eastAsia="en-IN"/>
              </w:rPr>
              <w:t>0.22 (0.40)</w:t>
            </w:r>
          </w:p>
        </w:tc>
        <w:tc>
          <w:tcPr>
            <w:tcW w:w="997" w:type="dxa"/>
            <w:tcBorders>
              <w:top w:val="nil"/>
              <w:left w:val="nil"/>
              <w:bottom w:val="single" w:sz="4" w:space="0" w:color="auto"/>
              <w:right w:val="single" w:sz="4" w:space="0" w:color="auto"/>
            </w:tcBorders>
            <w:noWrap/>
            <w:vAlign w:val="center"/>
            <w:hideMark/>
          </w:tcPr>
          <w:p w14:paraId="0F448211" w14:textId="77777777" w:rsidR="00EB5FE9" w:rsidRPr="008E2A3E" w:rsidRDefault="00EB5FE9" w:rsidP="008E2A3E">
            <w:pPr>
              <w:pStyle w:val="NoSpacing"/>
              <w:jc w:val="center"/>
              <w:rPr>
                <w:rFonts w:ascii="Times New Roman" w:hAnsi="Times New Roman" w:cs="Times New Roman"/>
                <w:szCs w:val="24"/>
                <w:lang w:eastAsia="en-IN"/>
              </w:rPr>
            </w:pPr>
            <w:r w:rsidRPr="008E2A3E">
              <w:rPr>
                <w:rFonts w:ascii="Times New Roman" w:hAnsi="Times New Roman" w:cs="Times New Roman"/>
                <w:szCs w:val="24"/>
                <w:lang w:eastAsia="en-IN"/>
              </w:rPr>
              <w:t>4.20 (7.55)</w:t>
            </w:r>
          </w:p>
        </w:tc>
        <w:tc>
          <w:tcPr>
            <w:tcW w:w="1507" w:type="dxa"/>
            <w:tcBorders>
              <w:top w:val="nil"/>
              <w:left w:val="nil"/>
              <w:bottom w:val="single" w:sz="4" w:space="0" w:color="auto"/>
              <w:right w:val="single" w:sz="4" w:space="0" w:color="auto"/>
            </w:tcBorders>
            <w:noWrap/>
            <w:vAlign w:val="center"/>
            <w:hideMark/>
          </w:tcPr>
          <w:p w14:paraId="523E857D" w14:textId="77777777" w:rsidR="00EB5FE9" w:rsidRPr="008E2A3E" w:rsidRDefault="00EB5FE9" w:rsidP="008E2A3E">
            <w:pPr>
              <w:pStyle w:val="NoSpacing"/>
              <w:jc w:val="center"/>
              <w:rPr>
                <w:rFonts w:ascii="Times New Roman" w:hAnsi="Times New Roman" w:cs="Times New Roman"/>
                <w:szCs w:val="24"/>
                <w:lang w:eastAsia="en-IN"/>
              </w:rPr>
            </w:pPr>
            <w:r w:rsidRPr="008E2A3E">
              <w:rPr>
                <w:rFonts w:ascii="Times New Roman" w:hAnsi="Times New Roman" w:cs="Times New Roman"/>
                <w:szCs w:val="24"/>
                <w:lang w:eastAsia="en-IN"/>
              </w:rPr>
              <w:t>55.60 (100.00)</w:t>
            </w:r>
          </w:p>
        </w:tc>
      </w:tr>
      <w:tr w:rsidR="00EB5FE9" w:rsidRPr="008E2A3E" w14:paraId="622E93E6" w14:textId="77777777" w:rsidTr="00BA3FB7">
        <w:trPr>
          <w:trHeight w:val="264"/>
        </w:trPr>
        <w:tc>
          <w:tcPr>
            <w:tcW w:w="15009" w:type="dxa"/>
            <w:gridSpan w:val="11"/>
            <w:tcBorders>
              <w:top w:val="single" w:sz="4" w:space="0" w:color="auto"/>
              <w:left w:val="single" w:sz="4" w:space="0" w:color="auto"/>
              <w:bottom w:val="single" w:sz="4" w:space="0" w:color="auto"/>
              <w:right w:val="single" w:sz="4" w:space="0" w:color="auto"/>
            </w:tcBorders>
            <w:noWrap/>
            <w:vAlign w:val="center"/>
            <w:hideMark/>
          </w:tcPr>
          <w:p w14:paraId="1EC0B6B9" w14:textId="77777777" w:rsidR="00EB5FE9" w:rsidRPr="00F42E63" w:rsidRDefault="00EB5FE9" w:rsidP="008E2A3E">
            <w:pPr>
              <w:pStyle w:val="NoSpacing"/>
              <w:jc w:val="center"/>
              <w:rPr>
                <w:rFonts w:ascii="Times New Roman" w:hAnsi="Times New Roman" w:cs="Times New Roman"/>
                <w:b/>
                <w:bCs/>
                <w:szCs w:val="24"/>
                <w:lang w:eastAsia="en-IN"/>
              </w:rPr>
            </w:pPr>
            <w:r w:rsidRPr="00F42E63">
              <w:rPr>
                <w:rFonts w:ascii="Times New Roman" w:hAnsi="Times New Roman" w:cs="Times New Roman"/>
                <w:b/>
                <w:bCs/>
                <w:szCs w:val="24"/>
                <w:lang w:eastAsia="en-IN"/>
              </w:rPr>
              <w:t>Kerala</w:t>
            </w:r>
          </w:p>
        </w:tc>
      </w:tr>
      <w:tr w:rsidR="00EB5FE9" w:rsidRPr="008E2A3E" w14:paraId="18341FE4" w14:textId="77777777" w:rsidTr="00BA3FB7">
        <w:trPr>
          <w:trHeight w:val="264"/>
        </w:trPr>
        <w:tc>
          <w:tcPr>
            <w:tcW w:w="1782" w:type="dxa"/>
            <w:tcBorders>
              <w:top w:val="nil"/>
              <w:left w:val="single" w:sz="4" w:space="0" w:color="auto"/>
              <w:bottom w:val="single" w:sz="4" w:space="0" w:color="auto"/>
              <w:right w:val="single" w:sz="4" w:space="0" w:color="auto"/>
            </w:tcBorders>
            <w:noWrap/>
            <w:vAlign w:val="bottom"/>
            <w:hideMark/>
          </w:tcPr>
          <w:p w14:paraId="2FECBD57" w14:textId="77777777" w:rsidR="00EB5FE9" w:rsidRPr="008E2A3E" w:rsidRDefault="00EB5FE9" w:rsidP="00EB5FE9">
            <w:pPr>
              <w:pStyle w:val="NoSpacing"/>
              <w:rPr>
                <w:rFonts w:ascii="Times New Roman" w:hAnsi="Times New Roman" w:cs="Times New Roman"/>
                <w:szCs w:val="24"/>
                <w:lang w:eastAsia="en-IN"/>
              </w:rPr>
            </w:pPr>
            <w:r w:rsidRPr="008E2A3E">
              <w:rPr>
                <w:rFonts w:ascii="Times New Roman" w:hAnsi="Times New Roman" w:cs="Times New Roman"/>
                <w:szCs w:val="24"/>
                <w:lang w:eastAsia="en-IN"/>
              </w:rPr>
              <w:t>1961-62</w:t>
            </w:r>
          </w:p>
        </w:tc>
        <w:tc>
          <w:tcPr>
            <w:tcW w:w="1062" w:type="dxa"/>
            <w:tcBorders>
              <w:top w:val="nil"/>
              <w:left w:val="nil"/>
              <w:bottom w:val="single" w:sz="4" w:space="0" w:color="auto"/>
              <w:right w:val="single" w:sz="4" w:space="0" w:color="auto"/>
            </w:tcBorders>
            <w:noWrap/>
            <w:vAlign w:val="center"/>
            <w:hideMark/>
          </w:tcPr>
          <w:p w14:paraId="282883D4" w14:textId="77777777" w:rsidR="00EB5FE9" w:rsidRPr="008E2A3E" w:rsidRDefault="00EB5FE9" w:rsidP="008E2A3E">
            <w:pPr>
              <w:pStyle w:val="NoSpacing"/>
              <w:jc w:val="center"/>
              <w:rPr>
                <w:rFonts w:ascii="Times New Roman" w:hAnsi="Times New Roman" w:cs="Times New Roman"/>
                <w:szCs w:val="24"/>
                <w:lang w:eastAsia="en-IN"/>
              </w:rPr>
            </w:pPr>
            <w:r w:rsidRPr="008E2A3E">
              <w:rPr>
                <w:rFonts w:ascii="Times New Roman" w:hAnsi="Times New Roman" w:cs="Times New Roman"/>
                <w:szCs w:val="24"/>
                <w:lang w:eastAsia="en-IN"/>
              </w:rPr>
              <w:t>1.58 (2.99)</w:t>
            </w:r>
          </w:p>
        </w:tc>
        <w:tc>
          <w:tcPr>
            <w:tcW w:w="953" w:type="dxa"/>
            <w:tcBorders>
              <w:top w:val="nil"/>
              <w:left w:val="nil"/>
              <w:bottom w:val="single" w:sz="4" w:space="0" w:color="auto"/>
              <w:right w:val="single" w:sz="4" w:space="0" w:color="auto"/>
            </w:tcBorders>
            <w:noWrap/>
            <w:vAlign w:val="center"/>
            <w:hideMark/>
          </w:tcPr>
          <w:p w14:paraId="355631F6" w14:textId="77777777" w:rsidR="00EB5FE9" w:rsidRPr="008E2A3E" w:rsidRDefault="00EB5FE9" w:rsidP="008E2A3E">
            <w:pPr>
              <w:pStyle w:val="NoSpacing"/>
              <w:jc w:val="center"/>
              <w:rPr>
                <w:rFonts w:ascii="Times New Roman" w:hAnsi="Times New Roman" w:cs="Times New Roman"/>
                <w:szCs w:val="24"/>
                <w:lang w:eastAsia="en-IN"/>
              </w:rPr>
            </w:pPr>
            <w:r w:rsidRPr="008E2A3E">
              <w:rPr>
                <w:rFonts w:ascii="Times New Roman" w:hAnsi="Times New Roman" w:cs="Times New Roman"/>
                <w:szCs w:val="24"/>
                <w:lang w:eastAsia="en-IN"/>
              </w:rPr>
              <w:t>10.56 (19.95)</w:t>
            </w:r>
          </w:p>
        </w:tc>
        <w:tc>
          <w:tcPr>
            <w:tcW w:w="1165" w:type="dxa"/>
            <w:tcBorders>
              <w:top w:val="nil"/>
              <w:left w:val="nil"/>
              <w:bottom w:val="single" w:sz="4" w:space="0" w:color="auto"/>
              <w:right w:val="single" w:sz="4" w:space="0" w:color="auto"/>
            </w:tcBorders>
            <w:noWrap/>
            <w:vAlign w:val="center"/>
            <w:hideMark/>
          </w:tcPr>
          <w:p w14:paraId="46C76AF5" w14:textId="77777777" w:rsidR="00EB5FE9" w:rsidRPr="008E2A3E" w:rsidRDefault="00EB5FE9" w:rsidP="008E2A3E">
            <w:pPr>
              <w:pStyle w:val="NoSpacing"/>
              <w:jc w:val="center"/>
              <w:rPr>
                <w:rFonts w:ascii="Times New Roman" w:hAnsi="Times New Roman" w:cs="Times New Roman"/>
                <w:szCs w:val="24"/>
                <w:lang w:eastAsia="en-IN"/>
              </w:rPr>
            </w:pPr>
            <w:r w:rsidRPr="008E2A3E">
              <w:rPr>
                <w:rFonts w:ascii="Times New Roman" w:hAnsi="Times New Roman" w:cs="Times New Roman"/>
                <w:szCs w:val="24"/>
                <w:lang w:eastAsia="en-IN"/>
              </w:rPr>
              <w:t>2.68 (5.06)</w:t>
            </w:r>
          </w:p>
        </w:tc>
        <w:tc>
          <w:tcPr>
            <w:tcW w:w="1488" w:type="dxa"/>
            <w:tcBorders>
              <w:top w:val="nil"/>
              <w:left w:val="nil"/>
              <w:bottom w:val="single" w:sz="4" w:space="0" w:color="auto"/>
              <w:right w:val="single" w:sz="4" w:space="0" w:color="auto"/>
            </w:tcBorders>
            <w:noWrap/>
            <w:vAlign w:val="center"/>
            <w:hideMark/>
          </w:tcPr>
          <w:p w14:paraId="6B5F0282" w14:textId="0154B084" w:rsidR="00EB5FE9" w:rsidRPr="008E2A3E" w:rsidRDefault="00EB5FE9" w:rsidP="008E2A3E">
            <w:pPr>
              <w:pStyle w:val="NoSpacing"/>
              <w:jc w:val="center"/>
              <w:rPr>
                <w:rFonts w:ascii="Times New Roman" w:hAnsi="Times New Roman" w:cs="Times New Roman"/>
                <w:szCs w:val="24"/>
                <w:lang w:eastAsia="en-IN"/>
              </w:rPr>
            </w:pPr>
            <w:r w:rsidRPr="008E2A3E">
              <w:rPr>
                <w:rFonts w:ascii="Times New Roman" w:hAnsi="Times New Roman" w:cs="Times New Roman"/>
                <w:szCs w:val="24"/>
                <w:lang w:eastAsia="en-IN"/>
              </w:rPr>
              <w:t>2.2</w:t>
            </w:r>
            <w:r w:rsidR="00113313">
              <w:rPr>
                <w:rFonts w:ascii="Times New Roman" w:hAnsi="Times New Roman" w:cs="Times New Roman"/>
                <w:szCs w:val="24"/>
                <w:lang w:eastAsia="en-IN"/>
              </w:rPr>
              <w:t>0</w:t>
            </w:r>
            <w:r w:rsidRPr="008E2A3E">
              <w:rPr>
                <w:rFonts w:ascii="Times New Roman" w:hAnsi="Times New Roman" w:cs="Times New Roman"/>
                <w:szCs w:val="24"/>
                <w:lang w:eastAsia="en-IN"/>
              </w:rPr>
              <w:t xml:space="preserve"> (4.16)</w:t>
            </w:r>
          </w:p>
        </w:tc>
        <w:tc>
          <w:tcPr>
            <w:tcW w:w="1376" w:type="dxa"/>
            <w:tcBorders>
              <w:top w:val="nil"/>
              <w:left w:val="nil"/>
              <w:bottom w:val="single" w:sz="4" w:space="0" w:color="auto"/>
              <w:right w:val="single" w:sz="4" w:space="0" w:color="auto"/>
            </w:tcBorders>
            <w:noWrap/>
            <w:vAlign w:val="center"/>
            <w:hideMark/>
          </w:tcPr>
          <w:p w14:paraId="36F01656" w14:textId="390ECD3A" w:rsidR="00EB5FE9" w:rsidRPr="008E2A3E" w:rsidRDefault="00EB5FE9" w:rsidP="008E2A3E">
            <w:pPr>
              <w:pStyle w:val="NoSpacing"/>
              <w:jc w:val="center"/>
              <w:rPr>
                <w:rFonts w:ascii="Times New Roman" w:hAnsi="Times New Roman" w:cs="Times New Roman"/>
                <w:szCs w:val="24"/>
                <w:lang w:eastAsia="en-IN"/>
              </w:rPr>
            </w:pPr>
            <w:r w:rsidRPr="008E2A3E">
              <w:rPr>
                <w:rFonts w:ascii="Times New Roman" w:hAnsi="Times New Roman" w:cs="Times New Roman"/>
                <w:szCs w:val="24"/>
                <w:lang w:eastAsia="en-IN"/>
              </w:rPr>
              <w:t>0.</w:t>
            </w:r>
            <w:r w:rsidR="00AC4220">
              <w:rPr>
                <w:rFonts w:ascii="Times New Roman" w:hAnsi="Times New Roman" w:cs="Times New Roman"/>
                <w:szCs w:val="24"/>
                <w:lang w:eastAsia="en-IN"/>
              </w:rPr>
              <w:t>2</w:t>
            </w:r>
            <w:r w:rsidRPr="008E2A3E">
              <w:rPr>
                <w:rFonts w:ascii="Times New Roman" w:hAnsi="Times New Roman" w:cs="Times New Roman"/>
                <w:szCs w:val="24"/>
                <w:lang w:eastAsia="en-IN"/>
              </w:rPr>
              <w:t>8 (0.5</w:t>
            </w:r>
            <w:r w:rsidR="00AC4220">
              <w:rPr>
                <w:rFonts w:ascii="Times New Roman" w:hAnsi="Times New Roman" w:cs="Times New Roman"/>
                <w:szCs w:val="24"/>
                <w:lang w:eastAsia="en-IN"/>
              </w:rPr>
              <w:t>3</w:t>
            </w:r>
            <w:r w:rsidRPr="008E2A3E">
              <w:rPr>
                <w:rFonts w:ascii="Times New Roman" w:hAnsi="Times New Roman" w:cs="Times New Roman"/>
                <w:szCs w:val="24"/>
                <w:lang w:eastAsia="en-IN"/>
              </w:rPr>
              <w:t>)</w:t>
            </w:r>
          </w:p>
        </w:tc>
        <w:tc>
          <w:tcPr>
            <w:tcW w:w="1289" w:type="dxa"/>
            <w:tcBorders>
              <w:top w:val="nil"/>
              <w:left w:val="nil"/>
              <w:bottom w:val="single" w:sz="4" w:space="0" w:color="auto"/>
              <w:right w:val="single" w:sz="4" w:space="0" w:color="auto"/>
            </w:tcBorders>
            <w:noWrap/>
            <w:vAlign w:val="center"/>
            <w:hideMark/>
          </w:tcPr>
          <w:p w14:paraId="3395A44E" w14:textId="77777777" w:rsidR="00EB5FE9" w:rsidRPr="008E2A3E" w:rsidRDefault="00EB5FE9" w:rsidP="008E2A3E">
            <w:pPr>
              <w:pStyle w:val="NoSpacing"/>
              <w:jc w:val="center"/>
              <w:rPr>
                <w:rFonts w:ascii="Times New Roman" w:hAnsi="Times New Roman" w:cs="Times New Roman"/>
                <w:szCs w:val="24"/>
                <w:lang w:eastAsia="en-IN"/>
              </w:rPr>
            </w:pPr>
            <w:r w:rsidRPr="008E2A3E">
              <w:rPr>
                <w:rFonts w:ascii="Times New Roman" w:hAnsi="Times New Roman" w:cs="Times New Roman"/>
                <w:szCs w:val="24"/>
                <w:lang w:eastAsia="en-IN"/>
              </w:rPr>
              <w:t>1.46 (2.76)</w:t>
            </w:r>
          </w:p>
        </w:tc>
        <w:tc>
          <w:tcPr>
            <w:tcW w:w="1627" w:type="dxa"/>
            <w:tcBorders>
              <w:top w:val="nil"/>
              <w:left w:val="nil"/>
              <w:bottom w:val="single" w:sz="4" w:space="0" w:color="auto"/>
              <w:right w:val="single" w:sz="4" w:space="0" w:color="auto"/>
            </w:tcBorders>
            <w:noWrap/>
            <w:vAlign w:val="center"/>
            <w:hideMark/>
          </w:tcPr>
          <w:p w14:paraId="0ECD0D9E" w14:textId="77777777" w:rsidR="00EB5FE9" w:rsidRPr="008E2A3E" w:rsidRDefault="00EB5FE9" w:rsidP="008E2A3E">
            <w:pPr>
              <w:pStyle w:val="NoSpacing"/>
              <w:jc w:val="center"/>
              <w:rPr>
                <w:rFonts w:ascii="Times New Roman" w:hAnsi="Times New Roman" w:cs="Times New Roman"/>
                <w:szCs w:val="24"/>
                <w:lang w:eastAsia="en-IN"/>
              </w:rPr>
            </w:pPr>
            <w:r w:rsidRPr="008E2A3E">
              <w:rPr>
                <w:rFonts w:ascii="Times New Roman" w:hAnsi="Times New Roman" w:cs="Times New Roman"/>
                <w:szCs w:val="24"/>
                <w:lang w:eastAsia="en-IN"/>
              </w:rPr>
              <w:t>0.30 (0.57)</w:t>
            </w:r>
          </w:p>
        </w:tc>
        <w:tc>
          <w:tcPr>
            <w:tcW w:w="1763" w:type="dxa"/>
            <w:tcBorders>
              <w:top w:val="nil"/>
              <w:left w:val="nil"/>
              <w:bottom w:val="single" w:sz="4" w:space="0" w:color="auto"/>
              <w:right w:val="single" w:sz="4" w:space="0" w:color="auto"/>
            </w:tcBorders>
            <w:noWrap/>
            <w:vAlign w:val="center"/>
            <w:hideMark/>
          </w:tcPr>
          <w:p w14:paraId="6B903299" w14:textId="77777777" w:rsidR="00EB5FE9" w:rsidRPr="008E2A3E" w:rsidRDefault="00EB5FE9" w:rsidP="008E2A3E">
            <w:pPr>
              <w:pStyle w:val="NoSpacing"/>
              <w:jc w:val="center"/>
              <w:rPr>
                <w:rFonts w:ascii="Times New Roman" w:hAnsi="Times New Roman" w:cs="Times New Roman"/>
                <w:szCs w:val="24"/>
                <w:lang w:eastAsia="en-IN"/>
              </w:rPr>
            </w:pPr>
            <w:r w:rsidRPr="008E2A3E">
              <w:rPr>
                <w:rFonts w:ascii="Times New Roman" w:hAnsi="Times New Roman" w:cs="Times New Roman"/>
                <w:szCs w:val="24"/>
                <w:lang w:eastAsia="en-IN"/>
              </w:rPr>
              <w:t>0.37 (0.70)</w:t>
            </w:r>
          </w:p>
        </w:tc>
        <w:tc>
          <w:tcPr>
            <w:tcW w:w="997" w:type="dxa"/>
            <w:tcBorders>
              <w:top w:val="nil"/>
              <w:left w:val="nil"/>
              <w:bottom w:val="single" w:sz="4" w:space="0" w:color="auto"/>
              <w:right w:val="single" w:sz="4" w:space="0" w:color="auto"/>
            </w:tcBorders>
            <w:noWrap/>
            <w:vAlign w:val="center"/>
            <w:hideMark/>
          </w:tcPr>
          <w:p w14:paraId="15F20D5F" w14:textId="77777777" w:rsidR="00EB5FE9" w:rsidRPr="008E2A3E" w:rsidRDefault="00EB5FE9" w:rsidP="008E2A3E">
            <w:pPr>
              <w:pStyle w:val="NoSpacing"/>
              <w:jc w:val="center"/>
              <w:rPr>
                <w:rFonts w:ascii="Times New Roman" w:hAnsi="Times New Roman" w:cs="Times New Roman"/>
                <w:szCs w:val="24"/>
                <w:lang w:eastAsia="en-IN"/>
              </w:rPr>
            </w:pPr>
            <w:r w:rsidRPr="008E2A3E">
              <w:rPr>
                <w:rFonts w:ascii="Times New Roman" w:hAnsi="Times New Roman" w:cs="Times New Roman"/>
                <w:szCs w:val="24"/>
                <w:lang w:eastAsia="en-IN"/>
              </w:rPr>
              <w:t>3.93 (7.42)</w:t>
            </w:r>
          </w:p>
        </w:tc>
        <w:tc>
          <w:tcPr>
            <w:tcW w:w="1507" w:type="dxa"/>
            <w:tcBorders>
              <w:top w:val="nil"/>
              <w:left w:val="nil"/>
              <w:bottom w:val="single" w:sz="4" w:space="0" w:color="auto"/>
              <w:right w:val="single" w:sz="4" w:space="0" w:color="auto"/>
            </w:tcBorders>
            <w:noWrap/>
            <w:vAlign w:val="center"/>
            <w:hideMark/>
          </w:tcPr>
          <w:p w14:paraId="01F7BDAC" w14:textId="77777777" w:rsidR="00EB5FE9" w:rsidRPr="008E2A3E" w:rsidRDefault="00EB5FE9" w:rsidP="008E2A3E">
            <w:pPr>
              <w:pStyle w:val="NoSpacing"/>
              <w:jc w:val="center"/>
              <w:rPr>
                <w:rFonts w:ascii="Times New Roman" w:hAnsi="Times New Roman" w:cs="Times New Roman"/>
                <w:szCs w:val="24"/>
                <w:lang w:eastAsia="en-IN"/>
              </w:rPr>
            </w:pPr>
            <w:r w:rsidRPr="008E2A3E">
              <w:rPr>
                <w:rFonts w:ascii="Times New Roman" w:hAnsi="Times New Roman" w:cs="Times New Roman"/>
                <w:szCs w:val="24"/>
                <w:lang w:eastAsia="en-IN"/>
              </w:rPr>
              <w:t>52.93 (100.00)</w:t>
            </w:r>
          </w:p>
        </w:tc>
      </w:tr>
      <w:tr w:rsidR="00EB5FE9" w:rsidRPr="008E2A3E" w14:paraId="09E40FB8" w14:textId="77777777" w:rsidTr="00BA3FB7">
        <w:trPr>
          <w:trHeight w:val="264"/>
        </w:trPr>
        <w:tc>
          <w:tcPr>
            <w:tcW w:w="1782" w:type="dxa"/>
            <w:tcBorders>
              <w:top w:val="nil"/>
              <w:left w:val="single" w:sz="4" w:space="0" w:color="auto"/>
              <w:bottom w:val="single" w:sz="4" w:space="0" w:color="auto"/>
              <w:right w:val="single" w:sz="4" w:space="0" w:color="auto"/>
            </w:tcBorders>
            <w:noWrap/>
            <w:vAlign w:val="bottom"/>
            <w:hideMark/>
          </w:tcPr>
          <w:p w14:paraId="22B82E59" w14:textId="77777777" w:rsidR="00EB5FE9" w:rsidRPr="008E2A3E" w:rsidRDefault="00EB5FE9" w:rsidP="00EB5FE9">
            <w:pPr>
              <w:pStyle w:val="NoSpacing"/>
              <w:rPr>
                <w:rFonts w:ascii="Times New Roman" w:hAnsi="Times New Roman" w:cs="Times New Roman"/>
                <w:szCs w:val="24"/>
                <w:lang w:eastAsia="en-IN"/>
              </w:rPr>
            </w:pPr>
            <w:r w:rsidRPr="008E2A3E">
              <w:rPr>
                <w:rFonts w:ascii="Times New Roman" w:hAnsi="Times New Roman" w:cs="Times New Roman"/>
                <w:szCs w:val="24"/>
                <w:lang w:eastAsia="en-IN"/>
              </w:rPr>
              <w:t>1965-66</w:t>
            </w:r>
          </w:p>
        </w:tc>
        <w:tc>
          <w:tcPr>
            <w:tcW w:w="1062" w:type="dxa"/>
            <w:tcBorders>
              <w:top w:val="nil"/>
              <w:left w:val="nil"/>
              <w:bottom w:val="single" w:sz="4" w:space="0" w:color="auto"/>
              <w:right w:val="single" w:sz="4" w:space="0" w:color="auto"/>
            </w:tcBorders>
            <w:noWrap/>
            <w:vAlign w:val="center"/>
            <w:hideMark/>
          </w:tcPr>
          <w:p w14:paraId="0ED6BF83" w14:textId="77777777" w:rsidR="00EB5FE9" w:rsidRPr="008E2A3E" w:rsidRDefault="00EB5FE9" w:rsidP="008E2A3E">
            <w:pPr>
              <w:pStyle w:val="NoSpacing"/>
              <w:jc w:val="center"/>
              <w:rPr>
                <w:rFonts w:ascii="Times New Roman" w:hAnsi="Times New Roman" w:cs="Times New Roman"/>
                <w:szCs w:val="24"/>
                <w:lang w:eastAsia="en-IN"/>
              </w:rPr>
            </w:pPr>
            <w:r w:rsidRPr="008E2A3E">
              <w:rPr>
                <w:rFonts w:ascii="Times New Roman" w:hAnsi="Times New Roman" w:cs="Times New Roman"/>
                <w:szCs w:val="24"/>
                <w:lang w:eastAsia="en-IN"/>
              </w:rPr>
              <w:t>2.65</w:t>
            </w:r>
          </w:p>
        </w:tc>
        <w:tc>
          <w:tcPr>
            <w:tcW w:w="953" w:type="dxa"/>
            <w:tcBorders>
              <w:top w:val="nil"/>
              <w:left w:val="nil"/>
              <w:bottom w:val="single" w:sz="4" w:space="0" w:color="auto"/>
              <w:right w:val="single" w:sz="4" w:space="0" w:color="auto"/>
            </w:tcBorders>
            <w:noWrap/>
            <w:vAlign w:val="center"/>
            <w:hideMark/>
          </w:tcPr>
          <w:p w14:paraId="5F7DBA63" w14:textId="06562BA2" w:rsidR="00EB5FE9" w:rsidRPr="008E2A3E" w:rsidRDefault="00EB5FE9" w:rsidP="008E2A3E">
            <w:pPr>
              <w:pStyle w:val="NoSpacing"/>
              <w:jc w:val="center"/>
              <w:rPr>
                <w:rFonts w:ascii="Times New Roman" w:hAnsi="Times New Roman" w:cs="Times New Roman"/>
                <w:szCs w:val="24"/>
                <w:lang w:eastAsia="en-IN"/>
              </w:rPr>
            </w:pPr>
            <w:r w:rsidRPr="008E2A3E">
              <w:rPr>
                <w:rFonts w:ascii="Times New Roman" w:hAnsi="Times New Roman" w:cs="Times New Roman"/>
                <w:szCs w:val="24"/>
                <w:lang w:eastAsia="en-IN"/>
              </w:rPr>
              <w:t>18.3</w:t>
            </w:r>
            <w:r w:rsidR="00F34353">
              <w:rPr>
                <w:rFonts w:ascii="Times New Roman" w:hAnsi="Times New Roman" w:cs="Times New Roman"/>
                <w:szCs w:val="24"/>
                <w:lang w:eastAsia="en-IN"/>
              </w:rPr>
              <w:t>0</w:t>
            </w:r>
          </w:p>
        </w:tc>
        <w:tc>
          <w:tcPr>
            <w:tcW w:w="1165" w:type="dxa"/>
            <w:tcBorders>
              <w:top w:val="nil"/>
              <w:left w:val="nil"/>
              <w:bottom w:val="single" w:sz="4" w:space="0" w:color="auto"/>
              <w:right w:val="single" w:sz="4" w:space="0" w:color="auto"/>
            </w:tcBorders>
            <w:noWrap/>
            <w:vAlign w:val="center"/>
            <w:hideMark/>
          </w:tcPr>
          <w:p w14:paraId="756451D6" w14:textId="77777777" w:rsidR="00EB5FE9" w:rsidRPr="008E2A3E" w:rsidRDefault="00EB5FE9" w:rsidP="008E2A3E">
            <w:pPr>
              <w:pStyle w:val="NoSpacing"/>
              <w:jc w:val="center"/>
              <w:rPr>
                <w:rFonts w:ascii="Times New Roman" w:hAnsi="Times New Roman" w:cs="Times New Roman"/>
                <w:szCs w:val="24"/>
                <w:lang w:eastAsia="en-IN"/>
              </w:rPr>
            </w:pPr>
            <w:r w:rsidRPr="008E2A3E">
              <w:rPr>
                <w:rFonts w:ascii="Times New Roman" w:hAnsi="Times New Roman" w:cs="Times New Roman"/>
                <w:szCs w:val="24"/>
                <w:lang w:eastAsia="en-IN"/>
              </w:rPr>
              <w:t>4.15</w:t>
            </w:r>
          </w:p>
        </w:tc>
        <w:tc>
          <w:tcPr>
            <w:tcW w:w="1488" w:type="dxa"/>
            <w:tcBorders>
              <w:top w:val="nil"/>
              <w:left w:val="nil"/>
              <w:bottom w:val="single" w:sz="4" w:space="0" w:color="auto"/>
              <w:right w:val="single" w:sz="4" w:space="0" w:color="auto"/>
            </w:tcBorders>
            <w:noWrap/>
            <w:vAlign w:val="center"/>
            <w:hideMark/>
          </w:tcPr>
          <w:p w14:paraId="24A471D6" w14:textId="77777777" w:rsidR="00EB5FE9" w:rsidRPr="008E2A3E" w:rsidRDefault="00EB5FE9" w:rsidP="008E2A3E">
            <w:pPr>
              <w:pStyle w:val="NoSpacing"/>
              <w:jc w:val="center"/>
              <w:rPr>
                <w:rFonts w:ascii="Times New Roman" w:hAnsi="Times New Roman" w:cs="Times New Roman"/>
                <w:szCs w:val="24"/>
                <w:lang w:eastAsia="en-IN"/>
              </w:rPr>
            </w:pPr>
            <w:r w:rsidRPr="008E2A3E">
              <w:rPr>
                <w:rFonts w:ascii="Times New Roman" w:hAnsi="Times New Roman" w:cs="Times New Roman"/>
                <w:szCs w:val="24"/>
                <w:lang w:eastAsia="en-IN"/>
              </w:rPr>
              <w:t>4.37</w:t>
            </w:r>
          </w:p>
        </w:tc>
        <w:tc>
          <w:tcPr>
            <w:tcW w:w="1376" w:type="dxa"/>
            <w:tcBorders>
              <w:top w:val="nil"/>
              <w:left w:val="nil"/>
              <w:bottom w:val="single" w:sz="4" w:space="0" w:color="auto"/>
              <w:right w:val="single" w:sz="4" w:space="0" w:color="auto"/>
            </w:tcBorders>
            <w:noWrap/>
            <w:vAlign w:val="center"/>
            <w:hideMark/>
          </w:tcPr>
          <w:p w14:paraId="53AFD238" w14:textId="12FCC675" w:rsidR="00EB5FE9" w:rsidRPr="008E2A3E" w:rsidRDefault="00EB5FE9" w:rsidP="008E2A3E">
            <w:pPr>
              <w:pStyle w:val="NoSpacing"/>
              <w:jc w:val="center"/>
              <w:rPr>
                <w:rFonts w:ascii="Times New Roman" w:hAnsi="Times New Roman" w:cs="Times New Roman"/>
                <w:szCs w:val="24"/>
                <w:lang w:eastAsia="en-IN"/>
              </w:rPr>
            </w:pPr>
            <w:r w:rsidRPr="008E2A3E">
              <w:rPr>
                <w:rFonts w:ascii="Times New Roman" w:hAnsi="Times New Roman" w:cs="Times New Roman"/>
                <w:szCs w:val="24"/>
                <w:lang w:eastAsia="en-IN"/>
              </w:rPr>
              <w:t>1.8</w:t>
            </w:r>
            <w:r w:rsidR="00F34353">
              <w:rPr>
                <w:rFonts w:ascii="Times New Roman" w:hAnsi="Times New Roman" w:cs="Times New Roman"/>
                <w:szCs w:val="24"/>
                <w:lang w:eastAsia="en-IN"/>
              </w:rPr>
              <w:t>0</w:t>
            </w:r>
          </w:p>
        </w:tc>
        <w:tc>
          <w:tcPr>
            <w:tcW w:w="1289" w:type="dxa"/>
            <w:tcBorders>
              <w:top w:val="nil"/>
              <w:left w:val="nil"/>
              <w:bottom w:val="single" w:sz="4" w:space="0" w:color="auto"/>
              <w:right w:val="single" w:sz="4" w:space="0" w:color="auto"/>
            </w:tcBorders>
            <w:noWrap/>
            <w:vAlign w:val="center"/>
            <w:hideMark/>
          </w:tcPr>
          <w:p w14:paraId="1B208005" w14:textId="77777777" w:rsidR="00EB5FE9" w:rsidRPr="008E2A3E" w:rsidRDefault="00EB5FE9" w:rsidP="008E2A3E">
            <w:pPr>
              <w:pStyle w:val="NoSpacing"/>
              <w:jc w:val="center"/>
              <w:rPr>
                <w:rFonts w:ascii="Times New Roman" w:hAnsi="Times New Roman" w:cs="Times New Roman"/>
                <w:szCs w:val="24"/>
                <w:lang w:eastAsia="en-IN"/>
              </w:rPr>
            </w:pPr>
            <w:r w:rsidRPr="008E2A3E">
              <w:rPr>
                <w:rFonts w:ascii="Times New Roman" w:hAnsi="Times New Roman" w:cs="Times New Roman"/>
                <w:szCs w:val="24"/>
                <w:lang w:eastAsia="en-IN"/>
              </w:rPr>
              <w:t>2.78</w:t>
            </w:r>
          </w:p>
        </w:tc>
        <w:tc>
          <w:tcPr>
            <w:tcW w:w="1627" w:type="dxa"/>
            <w:tcBorders>
              <w:top w:val="nil"/>
              <w:left w:val="nil"/>
              <w:bottom w:val="single" w:sz="4" w:space="0" w:color="auto"/>
              <w:right w:val="single" w:sz="4" w:space="0" w:color="auto"/>
            </w:tcBorders>
            <w:noWrap/>
            <w:vAlign w:val="center"/>
            <w:hideMark/>
          </w:tcPr>
          <w:p w14:paraId="48DBF2D8" w14:textId="77777777" w:rsidR="00EB5FE9" w:rsidRPr="008E2A3E" w:rsidRDefault="00EB5FE9" w:rsidP="008E2A3E">
            <w:pPr>
              <w:pStyle w:val="NoSpacing"/>
              <w:jc w:val="center"/>
              <w:rPr>
                <w:rFonts w:ascii="Times New Roman" w:hAnsi="Times New Roman" w:cs="Times New Roman"/>
                <w:szCs w:val="24"/>
                <w:lang w:eastAsia="en-IN"/>
              </w:rPr>
            </w:pPr>
            <w:r w:rsidRPr="008E2A3E">
              <w:rPr>
                <w:rFonts w:ascii="Times New Roman" w:hAnsi="Times New Roman" w:cs="Times New Roman"/>
                <w:szCs w:val="24"/>
                <w:lang w:eastAsia="en-IN"/>
              </w:rPr>
              <w:t>0.76</w:t>
            </w:r>
          </w:p>
        </w:tc>
        <w:tc>
          <w:tcPr>
            <w:tcW w:w="1763" w:type="dxa"/>
            <w:tcBorders>
              <w:top w:val="nil"/>
              <w:left w:val="nil"/>
              <w:bottom w:val="single" w:sz="4" w:space="0" w:color="auto"/>
              <w:right w:val="single" w:sz="4" w:space="0" w:color="auto"/>
            </w:tcBorders>
            <w:noWrap/>
            <w:vAlign w:val="center"/>
            <w:hideMark/>
          </w:tcPr>
          <w:p w14:paraId="390016B2" w14:textId="77777777" w:rsidR="00EB5FE9" w:rsidRPr="008E2A3E" w:rsidRDefault="00EB5FE9" w:rsidP="008E2A3E">
            <w:pPr>
              <w:pStyle w:val="NoSpacing"/>
              <w:jc w:val="center"/>
              <w:rPr>
                <w:rFonts w:ascii="Times New Roman" w:hAnsi="Times New Roman" w:cs="Times New Roman"/>
                <w:szCs w:val="24"/>
                <w:lang w:eastAsia="en-IN"/>
              </w:rPr>
            </w:pPr>
            <w:r w:rsidRPr="008E2A3E">
              <w:rPr>
                <w:rFonts w:ascii="Times New Roman" w:hAnsi="Times New Roman" w:cs="Times New Roman"/>
                <w:szCs w:val="24"/>
                <w:lang w:eastAsia="en-IN"/>
              </w:rPr>
              <w:t>0.91</w:t>
            </w:r>
          </w:p>
        </w:tc>
        <w:tc>
          <w:tcPr>
            <w:tcW w:w="997" w:type="dxa"/>
            <w:tcBorders>
              <w:top w:val="nil"/>
              <w:left w:val="nil"/>
              <w:bottom w:val="single" w:sz="4" w:space="0" w:color="auto"/>
              <w:right w:val="single" w:sz="4" w:space="0" w:color="auto"/>
            </w:tcBorders>
            <w:noWrap/>
            <w:vAlign w:val="center"/>
            <w:hideMark/>
          </w:tcPr>
          <w:p w14:paraId="5373766A" w14:textId="77777777" w:rsidR="00EB5FE9" w:rsidRPr="008E2A3E" w:rsidRDefault="00EB5FE9" w:rsidP="008E2A3E">
            <w:pPr>
              <w:pStyle w:val="NoSpacing"/>
              <w:jc w:val="center"/>
              <w:rPr>
                <w:rFonts w:ascii="Times New Roman" w:hAnsi="Times New Roman" w:cs="Times New Roman"/>
                <w:szCs w:val="24"/>
                <w:lang w:eastAsia="en-IN"/>
              </w:rPr>
            </w:pPr>
            <w:r w:rsidRPr="008E2A3E">
              <w:rPr>
                <w:rFonts w:ascii="Times New Roman" w:hAnsi="Times New Roman" w:cs="Times New Roman"/>
                <w:szCs w:val="24"/>
                <w:lang w:eastAsia="en-IN"/>
              </w:rPr>
              <w:t>5.71</w:t>
            </w:r>
          </w:p>
        </w:tc>
        <w:tc>
          <w:tcPr>
            <w:tcW w:w="1507" w:type="dxa"/>
            <w:tcBorders>
              <w:top w:val="nil"/>
              <w:left w:val="nil"/>
              <w:bottom w:val="single" w:sz="4" w:space="0" w:color="auto"/>
              <w:right w:val="single" w:sz="4" w:space="0" w:color="auto"/>
            </w:tcBorders>
            <w:noWrap/>
            <w:vAlign w:val="center"/>
            <w:hideMark/>
          </w:tcPr>
          <w:p w14:paraId="0F92B2DA" w14:textId="72DA3075" w:rsidR="00EB5FE9" w:rsidRPr="008E2A3E" w:rsidRDefault="00EB5FE9" w:rsidP="008E2A3E">
            <w:pPr>
              <w:pStyle w:val="NoSpacing"/>
              <w:jc w:val="center"/>
              <w:rPr>
                <w:rFonts w:ascii="Times New Roman" w:hAnsi="Times New Roman" w:cs="Times New Roman"/>
                <w:szCs w:val="24"/>
                <w:lang w:eastAsia="en-IN"/>
              </w:rPr>
            </w:pPr>
            <w:r w:rsidRPr="008E2A3E">
              <w:rPr>
                <w:rFonts w:ascii="Times New Roman" w:hAnsi="Times New Roman" w:cs="Times New Roman"/>
                <w:szCs w:val="24"/>
                <w:lang w:eastAsia="en-IN"/>
              </w:rPr>
              <w:t>82.10</w:t>
            </w:r>
          </w:p>
        </w:tc>
      </w:tr>
      <w:tr w:rsidR="00EB5FE9" w:rsidRPr="008E2A3E" w14:paraId="652594E1" w14:textId="77777777" w:rsidTr="00BA3FB7">
        <w:trPr>
          <w:trHeight w:val="264"/>
        </w:trPr>
        <w:tc>
          <w:tcPr>
            <w:tcW w:w="1782" w:type="dxa"/>
            <w:tcBorders>
              <w:top w:val="nil"/>
              <w:left w:val="single" w:sz="4" w:space="0" w:color="auto"/>
              <w:bottom w:val="single" w:sz="4" w:space="0" w:color="auto"/>
              <w:right w:val="single" w:sz="4" w:space="0" w:color="auto"/>
            </w:tcBorders>
            <w:noWrap/>
            <w:vAlign w:val="bottom"/>
            <w:hideMark/>
          </w:tcPr>
          <w:p w14:paraId="0D3BB401" w14:textId="77777777" w:rsidR="00EB5FE9" w:rsidRPr="008E2A3E" w:rsidRDefault="00EB5FE9" w:rsidP="00EB5FE9">
            <w:pPr>
              <w:pStyle w:val="NoSpacing"/>
              <w:rPr>
                <w:rFonts w:ascii="Times New Roman" w:hAnsi="Times New Roman" w:cs="Times New Roman"/>
                <w:szCs w:val="24"/>
                <w:lang w:eastAsia="en-IN"/>
              </w:rPr>
            </w:pPr>
            <w:r w:rsidRPr="008E2A3E">
              <w:rPr>
                <w:rFonts w:ascii="Times New Roman" w:hAnsi="Times New Roman" w:cs="Times New Roman"/>
                <w:szCs w:val="24"/>
                <w:lang w:eastAsia="en-IN"/>
              </w:rPr>
              <w:lastRenderedPageBreak/>
              <w:t>1966-67</w:t>
            </w:r>
          </w:p>
        </w:tc>
        <w:tc>
          <w:tcPr>
            <w:tcW w:w="1062" w:type="dxa"/>
            <w:tcBorders>
              <w:top w:val="nil"/>
              <w:left w:val="nil"/>
              <w:bottom w:val="single" w:sz="4" w:space="0" w:color="auto"/>
              <w:right w:val="single" w:sz="4" w:space="0" w:color="auto"/>
            </w:tcBorders>
            <w:noWrap/>
            <w:vAlign w:val="center"/>
            <w:hideMark/>
          </w:tcPr>
          <w:p w14:paraId="467539A5" w14:textId="77777777" w:rsidR="00EB5FE9" w:rsidRPr="008E2A3E" w:rsidRDefault="00EB5FE9" w:rsidP="008E2A3E">
            <w:pPr>
              <w:pStyle w:val="NoSpacing"/>
              <w:jc w:val="center"/>
              <w:rPr>
                <w:rFonts w:ascii="Times New Roman" w:hAnsi="Times New Roman" w:cs="Times New Roman"/>
                <w:szCs w:val="24"/>
                <w:lang w:eastAsia="en-IN"/>
              </w:rPr>
            </w:pPr>
            <w:r w:rsidRPr="008E2A3E">
              <w:rPr>
                <w:rFonts w:ascii="Times New Roman" w:hAnsi="Times New Roman" w:cs="Times New Roman"/>
                <w:szCs w:val="24"/>
                <w:lang w:eastAsia="en-IN"/>
              </w:rPr>
              <w:t>2</w:t>
            </w:r>
          </w:p>
        </w:tc>
        <w:tc>
          <w:tcPr>
            <w:tcW w:w="953" w:type="dxa"/>
            <w:tcBorders>
              <w:top w:val="nil"/>
              <w:left w:val="nil"/>
              <w:bottom w:val="single" w:sz="4" w:space="0" w:color="auto"/>
              <w:right w:val="single" w:sz="4" w:space="0" w:color="auto"/>
            </w:tcBorders>
            <w:noWrap/>
            <w:vAlign w:val="center"/>
            <w:hideMark/>
          </w:tcPr>
          <w:p w14:paraId="1A313A06" w14:textId="77777777" w:rsidR="00EB5FE9" w:rsidRPr="008E2A3E" w:rsidRDefault="00EB5FE9" w:rsidP="008E2A3E">
            <w:pPr>
              <w:pStyle w:val="NoSpacing"/>
              <w:jc w:val="center"/>
              <w:rPr>
                <w:rFonts w:ascii="Times New Roman" w:hAnsi="Times New Roman" w:cs="Times New Roman"/>
                <w:szCs w:val="24"/>
                <w:lang w:eastAsia="en-IN"/>
              </w:rPr>
            </w:pPr>
            <w:r w:rsidRPr="008E2A3E">
              <w:rPr>
                <w:rFonts w:ascii="Times New Roman" w:hAnsi="Times New Roman" w:cs="Times New Roman"/>
                <w:szCs w:val="24"/>
                <w:lang w:eastAsia="en-IN"/>
              </w:rPr>
              <w:t>22.78</w:t>
            </w:r>
          </w:p>
        </w:tc>
        <w:tc>
          <w:tcPr>
            <w:tcW w:w="1165" w:type="dxa"/>
            <w:tcBorders>
              <w:top w:val="nil"/>
              <w:left w:val="nil"/>
              <w:bottom w:val="single" w:sz="4" w:space="0" w:color="auto"/>
              <w:right w:val="single" w:sz="4" w:space="0" w:color="auto"/>
            </w:tcBorders>
            <w:noWrap/>
            <w:vAlign w:val="center"/>
            <w:hideMark/>
          </w:tcPr>
          <w:p w14:paraId="6D8BABCE" w14:textId="1FCBEB8C" w:rsidR="00EB5FE9" w:rsidRPr="008E2A3E" w:rsidRDefault="00EB5FE9" w:rsidP="008E2A3E">
            <w:pPr>
              <w:pStyle w:val="NoSpacing"/>
              <w:jc w:val="center"/>
              <w:rPr>
                <w:rFonts w:ascii="Times New Roman" w:hAnsi="Times New Roman" w:cs="Times New Roman"/>
                <w:szCs w:val="24"/>
                <w:lang w:eastAsia="en-IN"/>
              </w:rPr>
            </w:pPr>
            <w:r w:rsidRPr="008E2A3E">
              <w:rPr>
                <w:rFonts w:ascii="Times New Roman" w:hAnsi="Times New Roman" w:cs="Times New Roman"/>
                <w:szCs w:val="24"/>
                <w:lang w:eastAsia="en-IN"/>
              </w:rPr>
              <w:t>4.4</w:t>
            </w:r>
            <w:r w:rsidR="00F34353">
              <w:rPr>
                <w:rFonts w:ascii="Times New Roman" w:hAnsi="Times New Roman" w:cs="Times New Roman"/>
                <w:szCs w:val="24"/>
                <w:lang w:eastAsia="en-IN"/>
              </w:rPr>
              <w:t>0</w:t>
            </w:r>
          </w:p>
        </w:tc>
        <w:tc>
          <w:tcPr>
            <w:tcW w:w="1488" w:type="dxa"/>
            <w:tcBorders>
              <w:top w:val="nil"/>
              <w:left w:val="nil"/>
              <w:bottom w:val="single" w:sz="4" w:space="0" w:color="auto"/>
              <w:right w:val="single" w:sz="4" w:space="0" w:color="auto"/>
            </w:tcBorders>
            <w:noWrap/>
            <w:vAlign w:val="center"/>
            <w:hideMark/>
          </w:tcPr>
          <w:p w14:paraId="224ADD72" w14:textId="32D49103" w:rsidR="00EB5FE9" w:rsidRPr="008E2A3E" w:rsidRDefault="00EB5FE9" w:rsidP="008E2A3E">
            <w:pPr>
              <w:pStyle w:val="NoSpacing"/>
              <w:jc w:val="center"/>
              <w:rPr>
                <w:rFonts w:ascii="Times New Roman" w:hAnsi="Times New Roman" w:cs="Times New Roman"/>
                <w:szCs w:val="24"/>
                <w:lang w:eastAsia="en-IN"/>
              </w:rPr>
            </w:pPr>
            <w:r w:rsidRPr="008E2A3E">
              <w:rPr>
                <w:rFonts w:ascii="Times New Roman" w:hAnsi="Times New Roman" w:cs="Times New Roman"/>
                <w:szCs w:val="24"/>
                <w:lang w:eastAsia="en-IN"/>
              </w:rPr>
              <w:t>4.6</w:t>
            </w:r>
            <w:r w:rsidR="00F34353">
              <w:rPr>
                <w:rFonts w:ascii="Times New Roman" w:hAnsi="Times New Roman" w:cs="Times New Roman"/>
                <w:szCs w:val="24"/>
                <w:lang w:eastAsia="en-IN"/>
              </w:rPr>
              <w:t>0</w:t>
            </w:r>
          </w:p>
        </w:tc>
        <w:tc>
          <w:tcPr>
            <w:tcW w:w="1376" w:type="dxa"/>
            <w:tcBorders>
              <w:top w:val="nil"/>
              <w:left w:val="nil"/>
              <w:bottom w:val="single" w:sz="4" w:space="0" w:color="auto"/>
              <w:right w:val="single" w:sz="4" w:space="0" w:color="auto"/>
            </w:tcBorders>
            <w:noWrap/>
            <w:vAlign w:val="center"/>
            <w:hideMark/>
          </w:tcPr>
          <w:p w14:paraId="2D1E2F90" w14:textId="77777777" w:rsidR="00EB5FE9" w:rsidRPr="008E2A3E" w:rsidRDefault="00EB5FE9" w:rsidP="008E2A3E">
            <w:pPr>
              <w:pStyle w:val="NoSpacing"/>
              <w:jc w:val="center"/>
              <w:rPr>
                <w:rFonts w:ascii="Times New Roman" w:hAnsi="Times New Roman" w:cs="Times New Roman"/>
                <w:szCs w:val="24"/>
                <w:lang w:eastAsia="en-IN"/>
              </w:rPr>
            </w:pPr>
            <w:r w:rsidRPr="008E2A3E">
              <w:rPr>
                <w:rFonts w:ascii="Times New Roman" w:hAnsi="Times New Roman" w:cs="Times New Roman"/>
                <w:szCs w:val="24"/>
                <w:lang w:eastAsia="en-IN"/>
              </w:rPr>
              <w:t>2.75</w:t>
            </w:r>
          </w:p>
        </w:tc>
        <w:tc>
          <w:tcPr>
            <w:tcW w:w="1289" w:type="dxa"/>
            <w:tcBorders>
              <w:top w:val="nil"/>
              <w:left w:val="nil"/>
              <w:bottom w:val="single" w:sz="4" w:space="0" w:color="auto"/>
              <w:right w:val="single" w:sz="4" w:space="0" w:color="auto"/>
            </w:tcBorders>
            <w:noWrap/>
            <w:vAlign w:val="center"/>
            <w:hideMark/>
          </w:tcPr>
          <w:p w14:paraId="7A137649" w14:textId="77777777" w:rsidR="00EB5FE9" w:rsidRPr="008E2A3E" w:rsidRDefault="00EB5FE9" w:rsidP="008E2A3E">
            <w:pPr>
              <w:pStyle w:val="NoSpacing"/>
              <w:jc w:val="center"/>
              <w:rPr>
                <w:rFonts w:ascii="Times New Roman" w:hAnsi="Times New Roman" w:cs="Times New Roman"/>
                <w:szCs w:val="24"/>
                <w:lang w:eastAsia="en-IN"/>
              </w:rPr>
            </w:pPr>
            <w:r w:rsidRPr="008E2A3E">
              <w:rPr>
                <w:rFonts w:ascii="Times New Roman" w:hAnsi="Times New Roman" w:cs="Times New Roman"/>
                <w:szCs w:val="24"/>
                <w:lang w:eastAsia="en-IN"/>
              </w:rPr>
              <w:t>2.98</w:t>
            </w:r>
          </w:p>
        </w:tc>
        <w:tc>
          <w:tcPr>
            <w:tcW w:w="1627" w:type="dxa"/>
            <w:tcBorders>
              <w:top w:val="nil"/>
              <w:left w:val="nil"/>
              <w:bottom w:val="single" w:sz="4" w:space="0" w:color="auto"/>
              <w:right w:val="single" w:sz="4" w:space="0" w:color="auto"/>
            </w:tcBorders>
            <w:noWrap/>
            <w:vAlign w:val="center"/>
            <w:hideMark/>
          </w:tcPr>
          <w:p w14:paraId="57ADB997" w14:textId="77777777" w:rsidR="00EB5FE9" w:rsidRPr="008E2A3E" w:rsidRDefault="00EB5FE9" w:rsidP="008E2A3E">
            <w:pPr>
              <w:pStyle w:val="NoSpacing"/>
              <w:jc w:val="center"/>
              <w:rPr>
                <w:rFonts w:ascii="Times New Roman" w:hAnsi="Times New Roman" w:cs="Times New Roman"/>
                <w:szCs w:val="24"/>
                <w:lang w:eastAsia="en-IN"/>
              </w:rPr>
            </w:pPr>
            <w:r w:rsidRPr="008E2A3E">
              <w:rPr>
                <w:rFonts w:ascii="Times New Roman" w:hAnsi="Times New Roman" w:cs="Times New Roman"/>
                <w:szCs w:val="24"/>
                <w:lang w:eastAsia="en-IN"/>
              </w:rPr>
              <w:t>1.03</w:t>
            </w:r>
          </w:p>
        </w:tc>
        <w:tc>
          <w:tcPr>
            <w:tcW w:w="1763" w:type="dxa"/>
            <w:tcBorders>
              <w:top w:val="nil"/>
              <w:left w:val="nil"/>
              <w:bottom w:val="single" w:sz="4" w:space="0" w:color="auto"/>
              <w:right w:val="single" w:sz="4" w:space="0" w:color="auto"/>
            </w:tcBorders>
            <w:noWrap/>
            <w:vAlign w:val="center"/>
            <w:hideMark/>
          </w:tcPr>
          <w:p w14:paraId="3EB5C56D" w14:textId="77777777" w:rsidR="00EB5FE9" w:rsidRPr="008E2A3E" w:rsidRDefault="00EB5FE9" w:rsidP="008E2A3E">
            <w:pPr>
              <w:pStyle w:val="NoSpacing"/>
              <w:jc w:val="center"/>
              <w:rPr>
                <w:rFonts w:ascii="Times New Roman" w:hAnsi="Times New Roman" w:cs="Times New Roman"/>
                <w:szCs w:val="24"/>
                <w:lang w:eastAsia="en-IN"/>
              </w:rPr>
            </w:pPr>
            <w:r w:rsidRPr="008E2A3E">
              <w:rPr>
                <w:rFonts w:ascii="Times New Roman" w:hAnsi="Times New Roman" w:cs="Times New Roman"/>
                <w:szCs w:val="24"/>
                <w:lang w:eastAsia="en-IN"/>
              </w:rPr>
              <w:t>0.98</w:t>
            </w:r>
          </w:p>
        </w:tc>
        <w:tc>
          <w:tcPr>
            <w:tcW w:w="997" w:type="dxa"/>
            <w:tcBorders>
              <w:top w:val="nil"/>
              <w:left w:val="nil"/>
              <w:bottom w:val="single" w:sz="4" w:space="0" w:color="auto"/>
              <w:right w:val="single" w:sz="4" w:space="0" w:color="auto"/>
            </w:tcBorders>
            <w:noWrap/>
            <w:vAlign w:val="center"/>
            <w:hideMark/>
          </w:tcPr>
          <w:p w14:paraId="5E63ABD4" w14:textId="77777777" w:rsidR="00EB5FE9" w:rsidRPr="008E2A3E" w:rsidRDefault="00EB5FE9" w:rsidP="008E2A3E">
            <w:pPr>
              <w:pStyle w:val="NoSpacing"/>
              <w:jc w:val="center"/>
              <w:rPr>
                <w:rFonts w:ascii="Times New Roman" w:hAnsi="Times New Roman" w:cs="Times New Roman"/>
                <w:szCs w:val="24"/>
                <w:lang w:eastAsia="en-IN"/>
              </w:rPr>
            </w:pPr>
            <w:r w:rsidRPr="008E2A3E">
              <w:rPr>
                <w:rFonts w:ascii="Times New Roman" w:hAnsi="Times New Roman" w:cs="Times New Roman"/>
                <w:szCs w:val="24"/>
                <w:lang w:eastAsia="en-IN"/>
              </w:rPr>
              <w:t>6.65</w:t>
            </w:r>
          </w:p>
        </w:tc>
        <w:tc>
          <w:tcPr>
            <w:tcW w:w="1507" w:type="dxa"/>
            <w:tcBorders>
              <w:top w:val="nil"/>
              <w:left w:val="nil"/>
              <w:bottom w:val="single" w:sz="4" w:space="0" w:color="auto"/>
              <w:right w:val="single" w:sz="4" w:space="0" w:color="auto"/>
            </w:tcBorders>
            <w:noWrap/>
            <w:vAlign w:val="center"/>
            <w:hideMark/>
          </w:tcPr>
          <w:p w14:paraId="30C3DDED" w14:textId="77777777" w:rsidR="00EB5FE9" w:rsidRPr="008E2A3E" w:rsidRDefault="00EB5FE9" w:rsidP="008E2A3E">
            <w:pPr>
              <w:pStyle w:val="NoSpacing"/>
              <w:jc w:val="center"/>
              <w:rPr>
                <w:rFonts w:ascii="Times New Roman" w:hAnsi="Times New Roman" w:cs="Times New Roman"/>
                <w:szCs w:val="24"/>
                <w:lang w:eastAsia="en-IN"/>
              </w:rPr>
            </w:pPr>
            <w:r w:rsidRPr="008E2A3E">
              <w:rPr>
                <w:rFonts w:ascii="Times New Roman" w:hAnsi="Times New Roman" w:cs="Times New Roman"/>
                <w:szCs w:val="24"/>
                <w:lang w:eastAsia="en-IN"/>
              </w:rPr>
              <w:t>108.69</w:t>
            </w:r>
          </w:p>
        </w:tc>
      </w:tr>
      <w:tr w:rsidR="00EB5FE9" w:rsidRPr="008E2A3E" w14:paraId="3C56629D" w14:textId="77777777" w:rsidTr="00BA3FB7">
        <w:trPr>
          <w:trHeight w:val="264"/>
        </w:trPr>
        <w:tc>
          <w:tcPr>
            <w:tcW w:w="1782" w:type="dxa"/>
            <w:tcBorders>
              <w:top w:val="nil"/>
              <w:left w:val="single" w:sz="4" w:space="0" w:color="auto"/>
              <w:bottom w:val="single" w:sz="4" w:space="0" w:color="auto"/>
              <w:right w:val="single" w:sz="4" w:space="0" w:color="auto"/>
            </w:tcBorders>
            <w:noWrap/>
            <w:vAlign w:val="bottom"/>
            <w:hideMark/>
          </w:tcPr>
          <w:p w14:paraId="6DCD5606" w14:textId="77777777" w:rsidR="00EB5FE9" w:rsidRPr="008E2A3E" w:rsidRDefault="00EB5FE9" w:rsidP="00EB5FE9">
            <w:pPr>
              <w:pStyle w:val="NoSpacing"/>
              <w:rPr>
                <w:rFonts w:ascii="Times New Roman" w:hAnsi="Times New Roman" w:cs="Times New Roman"/>
                <w:szCs w:val="24"/>
                <w:lang w:eastAsia="en-IN"/>
              </w:rPr>
            </w:pPr>
            <w:r w:rsidRPr="008E2A3E">
              <w:rPr>
                <w:rFonts w:ascii="Times New Roman" w:hAnsi="Times New Roman" w:cs="Times New Roman"/>
                <w:szCs w:val="24"/>
                <w:lang w:eastAsia="en-IN"/>
              </w:rPr>
              <w:t>1967-68</w:t>
            </w:r>
          </w:p>
        </w:tc>
        <w:tc>
          <w:tcPr>
            <w:tcW w:w="1062" w:type="dxa"/>
            <w:tcBorders>
              <w:top w:val="nil"/>
              <w:left w:val="nil"/>
              <w:bottom w:val="single" w:sz="4" w:space="0" w:color="auto"/>
              <w:right w:val="single" w:sz="4" w:space="0" w:color="auto"/>
            </w:tcBorders>
            <w:noWrap/>
            <w:vAlign w:val="center"/>
            <w:hideMark/>
          </w:tcPr>
          <w:p w14:paraId="796A1FA9" w14:textId="77777777" w:rsidR="00EB5FE9" w:rsidRPr="008E2A3E" w:rsidRDefault="00EB5FE9" w:rsidP="008E2A3E">
            <w:pPr>
              <w:pStyle w:val="NoSpacing"/>
              <w:jc w:val="center"/>
              <w:rPr>
                <w:rFonts w:ascii="Times New Roman" w:hAnsi="Times New Roman" w:cs="Times New Roman"/>
                <w:szCs w:val="24"/>
                <w:lang w:eastAsia="en-IN"/>
              </w:rPr>
            </w:pPr>
            <w:r w:rsidRPr="008E2A3E">
              <w:rPr>
                <w:rFonts w:ascii="Times New Roman" w:hAnsi="Times New Roman" w:cs="Times New Roman"/>
                <w:szCs w:val="24"/>
                <w:lang w:eastAsia="en-IN"/>
              </w:rPr>
              <w:t>1.85</w:t>
            </w:r>
          </w:p>
        </w:tc>
        <w:tc>
          <w:tcPr>
            <w:tcW w:w="953" w:type="dxa"/>
            <w:tcBorders>
              <w:top w:val="nil"/>
              <w:left w:val="nil"/>
              <w:bottom w:val="single" w:sz="4" w:space="0" w:color="auto"/>
              <w:right w:val="single" w:sz="4" w:space="0" w:color="auto"/>
            </w:tcBorders>
            <w:noWrap/>
            <w:vAlign w:val="center"/>
            <w:hideMark/>
          </w:tcPr>
          <w:p w14:paraId="774D7D6B" w14:textId="77777777" w:rsidR="00EB5FE9" w:rsidRPr="008E2A3E" w:rsidRDefault="00EB5FE9" w:rsidP="008E2A3E">
            <w:pPr>
              <w:pStyle w:val="NoSpacing"/>
              <w:jc w:val="center"/>
              <w:rPr>
                <w:rFonts w:ascii="Times New Roman" w:hAnsi="Times New Roman" w:cs="Times New Roman"/>
                <w:szCs w:val="24"/>
                <w:lang w:eastAsia="en-IN"/>
              </w:rPr>
            </w:pPr>
            <w:r w:rsidRPr="008E2A3E">
              <w:rPr>
                <w:rFonts w:ascii="Times New Roman" w:hAnsi="Times New Roman" w:cs="Times New Roman"/>
                <w:szCs w:val="24"/>
                <w:lang w:eastAsia="en-IN"/>
              </w:rPr>
              <w:t>26.29</w:t>
            </w:r>
          </w:p>
        </w:tc>
        <w:tc>
          <w:tcPr>
            <w:tcW w:w="1165" w:type="dxa"/>
            <w:tcBorders>
              <w:top w:val="nil"/>
              <w:left w:val="nil"/>
              <w:bottom w:val="single" w:sz="4" w:space="0" w:color="auto"/>
              <w:right w:val="single" w:sz="4" w:space="0" w:color="auto"/>
            </w:tcBorders>
            <w:noWrap/>
            <w:vAlign w:val="center"/>
            <w:hideMark/>
          </w:tcPr>
          <w:p w14:paraId="72D168C8" w14:textId="77777777" w:rsidR="00EB5FE9" w:rsidRPr="008E2A3E" w:rsidRDefault="00EB5FE9" w:rsidP="008E2A3E">
            <w:pPr>
              <w:pStyle w:val="NoSpacing"/>
              <w:jc w:val="center"/>
              <w:rPr>
                <w:rFonts w:ascii="Times New Roman" w:hAnsi="Times New Roman" w:cs="Times New Roman"/>
                <w:szCs w:val="24"/>
                <w:lang w:eastAsia="en-IN"/>
              </w:rPr>
            </w:pPr>
            <w:r w:rsidRPr="008E2A3E">
              <w:rPr>
                <w:rFonts w:ascii="Times New Roman" w:hAnsi="Times New Roman" w:cs="Times New Roman"/>
                <w:szCs w:val="24"/>
                <w:lang w:eastAsia="en-IN"/>
              </w:rPr>
              <w:t>5.15</w:t>
            </w:r>
          </w:p>
        </w:tc>
        <w:tc>
          <w:tcPr>
            <w:tcW w:w="1488" w:type="dxa"/>
            <w:tcBorders>
              <w:top w:val="nil"/>
              <w:left w:val="nil"/>
              <w:bottom w:val="single" w:sz="4" w:space="0" w:color="auto"/>
              <w:right w:val="single" w:sz="4" w:space="0" w:color="auto"/>
            </w:tcBorders>
            <w:noWrap/>
            <w:vAlign w:val="center"/>
            <w:hideMark/>
          </w:tcPr>
          <w:p w14:paraId="66ADA4AF" w14:textId="77777777" w:rsidR="00EB5FE9" w:rsidRPr="008E2A3E" w:rsidRDefault="00EB5FE9" w:rsidP="008E2A3E">
            <w:pPr>
              <w:pStyle w:val="NoSpacing"/>
              <w:jc w:val="center"/>
              <w:rPr>
                <w:rFonts w:ascii="Times New Roman" w:hAnsi="Times New Roman" w:cs="Times New Roman"/>
                <w:szCs w:val="24"/>
                <w:lang w:eastAsia="en-IN"/>
              </w:rPr>
            </w:pPr>
            <w:r w:rsidRPr="008E2A3E">
              <w:rPr>
                <w:rFonts w:ascii="Times New Roman" w:hAnsi="Times New Roman" w:cs="Times New Roman"/>
                <w:szCs w:val="24"/>
                <w:lang w:eastAsia="en-IN"/>
              </w:rPr>
              <w:t>5.14</w:t>
            </w:r>
          </w:p>
        </w:tc>
        <w:tc>
          <w:tcPr>
            <w:tcW w:w="1376" w:type="dxa"/>
            <w:tcBorders>
              <w:top w:val="nil"/>
              <w:left w:val="nil"/>
              <w:bottom w:val="single" w:sz="4" w:space="0" w:color="auto"/>
              <w:right w:val="single" w:sz="4" w:space="0" w:color="auto"/>
            </w:tcBorders>
            <w:noWrap/>
            <w:vAlign w:val="center"/>
            <w:hideMark/>
          </w:tcPr>
          <w:p w14:paraId="2E93BA4C" w14:textId="77777777" w:rsidR="00EB5FE9" w:rsidRPr="008E2A3E" w:rsidRDefault="00EB5FE9" w:rsidP="008E2A3E">
            <w:pPr>
              <w:pStyle w:val="NoSpacing"/>
              <w:jc w:val="center"/>
              <w:rPr>
                <w:rFonts w:ascii="Times New Roman" w:hAnsi="Times New Roman" w:cs="Times New Roman"/>
                <w:szCs w:val="24"/>
                <w:lang w:eastAsia="en-IN"/>
              </w:rPr>
            </w:pPr>
            <w:r w:rsidRPr="008E2A3E">
              <w:rPr>
                <w:rFonts w:ascii="Times New Roman" w:hAnsi="Times New Roman" w:cs="Times New Roman"/>
                <w:szCs w:val="24"/>
                <w:lang w:eastAsia="en-IN"/>
              </w:rPr>
              <w:t>2.76</w:t>
            </w:r>
          </w:p>
        </w:tc>
        <w:tc>
          <w:tcPr>
            <w:tcW w:w="1289" w:type="dxa"/>
            <w:tcBorders>
              <w:top w:val="nil"/>
              <w:left w:val="nil"/>
              <w:bottom w:val="single" w:sz="4" w:space="0" w:color="auto"/>
              <w:right w:val="single" w:sz="4" w:space="0" w:color="auto"/>
            </w:tcBorders>
            <w:noWrap/>
            <w:vAlign w:val="center"/>
            <w:hideMark/>
          </w:tcPr>
          <w:p w14:paraId="745EBE96" w14:textId="77777777" w:rsidR="00EB5FE9" w:rsidRPr="008E2A3E" w:rsidRDefault="00EB5FE9" w:rsidP="008E2A3E">
            <w:pPr>
              <w:pStyle w:val="NoSpacing"/>
              <w:jc w:val="center"/>
              <w:rPr>
                <w:rFonts w:ascii="Times New Roman" w:hAnsi="Times New Roman" w:cs="Times New Roman"/>
                <w:szCs w:val="24"/>
                <w:lang w:eastAsia="en-IN"/>
              </w:rPr>
            </w:pPr>
            <w:r w:rsidRPr="008E2A3E">
              <w:rPr>
                <w:rFonts w:ascii="Times New Roman" w:hAnsi="Times New Roman" w:cs="Times New Roman"/>
                <w:szCs w:val="24"/>
                <w:lang w:eastAsia="en-IN"/>
              </w:rPr>
              <w:t>2.62</w:t>
            </w:r>
          </w:p>
        </w:tc>
        <w:tc>
          <w:tcPr>
            <w:tcW w:w="1627" w:type="dxa"/>
            <w:tcBorders>
              <w:top w:val="nil"/>
              <w:left w:val="nil"/>
              <w:bottom w:val="single" w:sz="4" w:space="0" w:color="auto"/>
              <w:right w:val="single" w:sz="4" w:space="0" w:color="auto"/>
            </w:tcBorders>
            <w:noWrap/>
            <w:vAlign w:val="center"/>
            <w:hideMark/>
          </w:tcPr>
          <w:p w14:paraId="71C27D8B" w14:textId="77777777" w:rsidR="00EB5FE9" w:rsidRPr="008E2A3E" w:rsidRDefault="00EB5FE9" w:rsidP="008E2A3E">
            <w:pPr>
              <w:pStyle w:val="NoSpacing"/>
              <w:jc w:val="center"/>
              <w:rPr>
                <w:rFonts w:ascii="Times New Roman" w:hAnsi="Times New Roman" w:cs="Times New Roman"/>
                <w:szCs w:val="24"/>
                <w:lang w:eastAsia="en-IN"/>
              </w:rPr>
            </w:pPr>
            <w:r w:rsidRPr="008E2A3E">
              <w:rPr>
                <w:rFonts w:ascii="Times New Roman" w:hAnsi="Times New Roman" w:cs="Times New Roman"/>
                <w:szCs w:val="24"/>
                <w:lang w:eastAsia="en-IN"/>
              </w:rPr>
              <w:t>1.54</w:t>
            </w:r>
          </w:p>
        </w:tc>
        <w:tc>
          <w:tcPr>
            <w:tcW w:w="1763" w:type="dxa"/>
            <w:tcBorders>
              <w:top w:val="nil"/>
              <w:left w:val="nil"/>
              <w:bottom w:val="single" w:sz="4" w:space="0" w:color="auto"/>
              <w:right w:val="single" w:sz="4" w:space="0" w:color="auto"/>
            </w:tcBorders>
            <w:noWrap/>
            <w:vAlign w:val="center"/>
            <w:hideMark/>
          </w:tcPr>
          <w:p w14:paraId="4D5743D8" w14:textId="77777777" w:rsidR="00EB5FE9" w:rsidRPr="008E2A3E" w:rsidRDefault="00EB5FE9" w:rsidP="008E2A3E">
            <w:pPr>
              <w:pStyle w:val="NoSpacing"/>
              <w:jc w:val="center"/>
              <w:rPr>
                <w:rFonts w:ascii="Times New Roman" w:hAnsi="Times New Roman" w:cs="Times New Roman"/>
                <w:szCs w:val="24"/>
                <w:lang w:eastAsia="en-IN"/>
              </w:rPr>
            </w:pPr>
            <w:r w:rsidRPr="008E2A3E">
              <w:rPr>
                <w:rFonts w:ascii="Times New Roman" w:hAnsi="Times New Roman" w:cs="Times New Roman"/>
                <w:szCs w:val="24"/>
                <w:lang w:eastAsia="en-IN"/>
              </w:rPr>
              <w:t>1.43</w:t>
            </w:r>
          </w:p>
        </w:tc>
        <w:tc>
          <w:tcPr>
            <w:tcW w:w="997" w:type="dxa"/>
            <w:tcBorders>
              <w:top w:val="nil"/>
              <w:left w:val="nil"/>
              <w:bottom w:val="single" w:sz="4" w:space="0" w:color="auto"/>
              <w:right w:val="single" w:sz="4" w:space="0" w:color="auto"/>
            </w:tcBorders>
            <w:noWrap/>
            <w:vAlign w:val="center"/>
            <w:hideMark/>
          </w:tcPr>
          <w:p w14:paraId="27D2832C" w14:textId="77777777" w:rsidR="00EB5FE9" w:rsidRPr="008E2A3E" w:rsidRDefault="00EB5FE9" w:rsidP="008E2A3E">
            <w:pPr>
              <w:pStyle w:val="NoSpacing"/>
              <w:jc w:val="center"/>
              <w:rPr>
                <w:rFonts w:ascii="Times New Roman" w:hAnsi="Times New Roman" w:cs="Times New Roman"/>
                <w:szCs w:val="24"/>
                <w:lang w:eastAsia="en-IN"/>
              </w:rPr>
            </w:pPr>
            <w:r w:rsidRPr="008E2A3E">
              <w:rPr>
                <w:rFonts w:ascii="Times New Roman" w:hAnsi="Times New Roman" w:cs="Times New Roman"/>
                <w:szCs w:val="24"/>
                <w:lang w:eastAsia="en-IN"/>
              </w:rPr>
              <w:t>7.44</w:t>
            </w:r>
          </w:p>
        </w:tc>
        <w:tc>
          <w:tcPr>
            <w:tcW w:w="1507" w:type="dxa"/>
            <w:tcBorders>
              <w:top w:val="nil"/>
              <w:left w:val="nil"/>
              <w:bottom w:val="single" w:sz="4" w:space="0" w:color="auto"/>
              <w:right w:val="single" w:sz="4" w:space="0" w:color="auto"/>
            </w:tcBorders>
            <w:noWrap/>
            <w:vAlign w:val="center"/>
            <w:hideMark/>
          </w:tcPr>
          <w:p w14:paraId="51FEF052" w14:textId="77777777" w:rsidR="00EB5FE9" w:rsidRPr="008E2A3E" w:rsidRDefault="00EB5FE9" w:rsidP="008E2A3E">
            <w:pPr>
              <w:pStyle w:val="NoSpacing"/>
              <w:jc w:val="center"/>
              <w:rPr>
                <w:rFonts w:ascii="Times New Roman" w:hAnsi="Times New Roman" w:cs="Times New Roman"/>
                <w:szCs w:val="24"/>
                <w:lang w:eastAsia="en-IN"/>
              </w:rPr>
            </w:pPr>
            <w:r w:rsidRPr="008E2A3E">
              <w:rPr>
                <w:rFonts w:ascii="Times New Roman" w:hAnsi="Times New Roman" w:cs="Times New Roman"/>
                <w:szCs w:val="24"/>
                <w:lang w:eastAsia="en-IN"/>
              </w:rPr>
              <w:t>125.41</w:t>
            </w:r>
          </w:p>
        </w:tc>
      </w:tr>
      <w:tr w:rsidR="00EB5FE9" w:rsidRPr="008E2A3E" w14:paraId="45B7A2DD" w14:textId="77777777" w:rsidTr="00BA3FB7">
        <w:trPr>
          <w:trHeight w:val="264"/>
        </w:trPr>
        <w:tc>
          <w:tcPr>
            <w:tcW w:w="1782" w:type="dxa"/>
            <w:tcBorders>
              <w:top w:val="nil"/>
              <w:left w:val="single" w:sz="4" w:space="0" w:color="auto"/>
              <w:bottom w:val="single" w:sz="4" w:space="0" w:color="auto"/>
              <w:right w:val="single" w:sz="4" w:space="0" w:color="auto"/>
            </w:tcBorders>
            <w:noWrap/>
            <w:vAlign w:val="bottom"/>
            <w:hideMark/>
          </w:tcPr>
          <w:p w14:paraId="5911FF4B" w14:textId="77777777" w:rsidR="00EB5FE9" w:rsidRPr="008E2A3E" w:rsidRDefault="00EB5FE9" w:rsidP="00EB5FE9">
            <w:pPr>
              <w:pStyle w:val="NoSpacing"/>
              <w:rPr>
                <w:rFonts w:ascii="Times New Roman" w:hAnsi="Times New Roman" w:cs="Times New Roman"/>
                <w:szCs w:val="24"/>
                <w:lang w:eastAsia="en-IN"/>
              </w:rPr>
            </w:pPr>
            <w:r w:rsidRPr="008E2A3E">
              <w:rPr>
                <w:rFonts w:ascii="Times New Roman" w:hAnsi="Times New Roman" w:cs="Times New Roman"/>
                <w:szCs w:val="24"/>
                <w:lang w:eastAsia="en-IN"/>
              </w:rPr>
              <w:t>1968-69 (RE)</w:t>
            </w:r>
          </w:p>
        </w:tc>
        <w:tc>
          <w:tcPr>
            <w:tcW w:w="1062" w:type="dxa"/>
            <w:tcBorders>
              <w:top w:val="nil"/>
              <w:left w:val="nil"/>
              <w:bottom w:val="single" w:sz="4" w:space="0" w:color="auto"/>
              <w:right w:val="single" w:sz="4" w:space="0" w:color="auto"/>
            </w:tcBorders>
            <w:noWrap/>
            <w:vAlign w:val="center"/>
            <w:hideMark/>
          </w:tcPr>
          <w:p w14:paraId="227BCD6B" w14:textId="77777777" w:rsidR="00EB5FE9" w:rsidRPr="008E2A3E" w:rsidRDefault="00EB5FE9" w:rsidP="008E2A3E">
            <w:pPr>
              <w:pStyle w:val="NoSpacing"/>
              <w:jc w:val="center"/>
              <w:rPr>
                <w:rFonts w:ascii="Times New Roman" w:hAnsi="Times New Roman" w:cs="Times New Roman"/>
                <w:szCs w:val="24"/>
                <w:lang w:eastAsia="en-IN"/>
              </w:rPr>
            </w:pPr>
            <w:r w:rsidRPr="008E2A3E">
              <w:rPr>
                <w:rFonts w:ascii="Times New Roman" w:hAnsi="Times New Roman" w:cs="Times New Roman"/>
                <w:szCs w:val="24"/>
                <w:lang w:eastAsia="en-IN"/>
              </w:rPr>
              <w:t>1.76 (1.33)</w:t>
            </w:r>
          </w:p>
        </w:tc>
        <w:tc>
          <w:tcPr>
            <w:tcW w:w="953" w:type="dxa"/>
            <w:tcBorders>
              <w:top w:val="nil"/>
              <w:left w:val="nil"/>
              <w:bottom w:val="single" w:sz="4" w:space="0" w:color="auto"/>
              <w:right w:val="single" w:sz="4" w:space="0" w:color="auto"/>
            </w:tcBorders>
            <w:noWrap/>
            <w:vAlign w:val="center"/>
            <w:hideMark/>
          </w:tcPr>
          <w:p w14:paraId="02844E4D" w14:textId="77777777" w:rsidR="00EB5FE9" w:rsidRPr="008E2A3E" w:rsidRDefault="00EB5FE9" w:rsidP="008E2A3E">
            <w:pPr>
              <w:pStyle w:val="NoSpacing"/>
              <w:jc w:val="center"/>
              <w:rPr>
                <w:rFonts w:ascii="Times New Roman" w:hAnsi="Times New Roman" w:cs="Times New Roman"/>
                <w:szCs w:val="24"/>
                <w:lang w:eastAsia="en-IN"/>
              </w:rPr>
            </w:pPr>
            <w:r w:rsidRPr="008E2A3E">
              <w:rPr>
                <w:rFonts w:ascii="Times New Roman" w:hAnsi="Times New Roman" w:cs="Times New Roman"/>
                <w:szCs w:val="24"/>
                <w:lang w:eastAsia="en-IN"/>
              </w:rPr>
              <w:t>28.04 (21.24)</w:t>
            </w:r>
          </w:p>
        </w:tc>
        <w:tc>
          <w:tcPr>
            <w:tcW w:w="1165" w:type="dxa"/>
            <w:tcBorders>
              <w:top w:val="nil"/>
              <w:left w:val="nil"/>
              <w:bottom w:val="single" w:sz="4" w:space="0" w:color="auto"/>
              <w:right w:val="single" w:sz="4" w:space="0" w:color="auto"/>
            </w:tcBorders>
            <w:noWrap/>
            <w:vAlign w:val="center"/>
            <w:hideMark/>
          </w:tcPr>
          <w:p w14:paraId="28BC9DF1" w14:textId="77777777" w:rsidR="00EB5FE9" w:rsidRPr="008E2A3E" w:rsidRDefault="00EB5FE9" w:rsidP="008E2A3E">
            <w:pPr>
              <w:pStyle w:val="NoSpacing"/>
              <w:jc w:val="center"/>
              <w:rPr>
                <w:rFonts w:ascii="Times New Roman" w:hAnsi="Times New Roman" w:cs="Times New Roman"/>
                <w:szCs w:val="24"/>
                <w:lang w:eastAsia="en-IN"/>
              </w:rPr>
            </w:pPr>
            <w:r w:rsidRPr="008E2A3E">
              <w:rPr>
                <w:rFonts w:ascii="Times New Roman" w:hAnsi="Times New Roman" w:cs="Times New Roman"/>
                <w:szCs w:val="24"/>
                <w:lang w:eastAsia="en-IN"/>
              </w:rPr>
              <w:t>5.65 (4.28)</w:t>
            </w:r>
          </w:p>
        </w:tc>
        <w:tc>
          <w:tcPr>
            <w:tcW w:w="1488" w:type="dxa"/>
            <w:tcBorders>
              <w:top w:val="nil"/>
              <w:left w:val="nil"/>
              <w:bottom w:val="single" w:sz="4" w:space="0" w:color="auto"/>
              <w:right w:val="single" w:sz="4" w:space="0" w:color="auto"/>
            </w:tcBorders>
            <w:noWrap/>
            <w:vAlign w:val="center"/>
            <w:hideMark/>
          </w:tcPr>
          <w:p w14:paraId="6703E258" w14:textId="77777777" w:rsidR="00EB5FE9" w:rsidRPr="008E2A3E" w:rsidRDefault="00EB5FE9" w:rsidP="008E2A3E">
            <w:pPr>
              <w:pStyle w:val="NoSpacing"/>
              <w:jc w:val="center"/>
              <w:rPr>
                <w:rFonts w:ascii="Times New Roman" w:hAnsi="Times New Roman" w:cs="Times New Roman"/>
                <w:szCs w:val="24"/>
                <w:lang w:eastAsia="en-IN"/>
              </w:rPr>
            </w:pPr>
            <w:r w:rsidRPr="008E2A3E">
              <w:rPr>
                <w:rFonts w:ascii="Times New Roman" w:hAnsi="Times New Roman" w:cs="Times New Roman"/>
                <w:szCs w:val="24"/>
                <w:lang w:eastAsia="en-IN"/>
              </w:rPr>
              <w:t>5.35 (4.05)</w:t>
            </w:r>
          </w:p>
        </w:tc>
        <w:tc>
          <w:tcPr>
            <w:tcW w:w="1376" w:type="dxa"/>
            <w:tcBorders>
              <w:top w:val="nil"/>
              <w:left w:val="nil"/>
              <w:bottom w:val="single" w:sz="4" w:space="0" w:color="auto"/>
              <w:right w:val="single" w:sz="4" w:space="0" w:color="auto"/>
            </w:tcBorders>
            <w:noWrap/>
            <w:vAlign w:val="center"/>
            <w:hideMark/>
          </w:tcPr>
          <w:p w14:paraId="1B0F38DD" w14:textId="77777777" w:rsidR="00EB5FE9" w:rsidRPr="008E2A3E" w:rsidRDefault="00EB5FE9" w:rsidP="008E2A3E">
            <w:pPr>
              <w:pStyle w:val="NoSpacing"/>
              <w:jc w:val="center"/>
              <w:rPr>
                <w:rFonts w:ascii="Times New Roman" w:hAnsi="Times New Roman" w:cs="Times New Roman"/>
                <w:szCs w:val="24"/>
                <w:lang w:eastAsia="en-IN"/>
              </w:rPr>
            </w:pPr>
            <w:r w:rsidRPr="008E2A3E">
              <w:rPr>
                <w:rFonts w:ascii="Times New Roman" w:hAnsi="Times New Roman" w:cs="Times New Roman"/>
                <w:szCs w:val="24"/>
                <w:lang w:eastAsia="en-IN"/>
              </w:rPr>
              <w:t>2.52 (1.91)</w:t>
            </w:r>
          </w:p>
        </w:tc>
        <w:tc>
          <w:tcPr>
            <w:tcW w:w="1289" w:type="dxa"/>
            <w:tcBorders>
              <w:top w:val="nil"/>
              <w:left w:val="nil"/>
              <w:bottom w:val="single" w:sz="4" w:space="0" w:color="auto"/>
              <w:right w:val="single" w:sz="4" w:space="0" w:color="auto"/>
            </w:tcBorders>
            <w:noWrap/>
            <w:vAlign w:val="center"/>
            <w:hideMark/>
          </w:tcPr>
          <w:p w14:paraId="32054988" w14:textId="77777777" w:rsidR="00EB5FE9" w:rsidRPr="008E2A3E" w:rsidRDefault="00EB5FE9" w:rsidP="008E2A3E">
            <w:pPr>
              <w:pStyle w:val="NoSpacing"/>
              <w:jc w:val="center"/>
              <w:rPr>
                <w:rFonts w:ascii="Times New Roman" w:hAnsi="Times New Roman" w:cs="Times New Roman"/>
                <w:szCs w:val="24"/>
                <w:lang w:eastAsia="en-IN"/>
              </w:rPr>
            </w:pPr>
            <w:r w:rsidRPr="008E2A3E">
              <w:rPr>
                <w:rFonts w:ascii="Times New Roman" w:hAnsi="Times New Roman" w:cs="Times New Roman"/>
                <w:szCs w:val="24"/>
                <w:lang w:eastAsia="en-IN"/>
              </w:rPr>
              <w:t>2.87 (2.17)</w:t>
            </w:r>
          </w:p>
        </w:tc>
        <w:tc>
          <w:tcPr>
            <w:tcW w:w="1627" w:type="dxa"/>
            <w:tcBorders>
              <w:top w:val="nil"/>
              <w:left w:val="nil"/>
              <w:bottom w:val="single" w:sz="4" w:space="0" w:color="auto"/>
              <w:right w:val="single" w:sz="4" w:space="0" w:color="auto"/>
            </w:tcBorders>
            <w:noWrap/>
            <w:vAlign w:val="center"/>
            <w:hideMark/>
          </w:tcPr>
          <w:p w14:paraId="0FE2B8AE" w14:textId="77777777" w:rsidR="00EB5FE9" w:rsidRPr="008E2A3E" w:rsidRDefault="00EB5FE9" w:rsidP="008E2A3E">
            <w:pPr>
              <w:pStyle w:val="NoSpacing"/>
              <w:jc w:val="center"/>
              <w:rPr>
                <w:rFonts w:ascii="Times New Roman" w:hAnsi="Times New Roman" w:cs="Times New Roman"/>
                <w:szCs w:val="24"/>
                <w:lang w:eastAsia="en-IN"/>
              </w:rPr>
            </w:pPr>
            <w:r w:rsidRPr="008E2A3E">
              <w:rPr>
                <w:rFonts w:ascii="Times New Roman" w:hAnsi="Times New Roman" w:cs="Times New Roman"/>
                <w:szCs w:val="24"/>
                <w:lang w:eastAsia="en-IN"/>
              </w:rPr>
              <w:t>1.47 (1.11)</w:t>
            </w:r>
          </w:p>
        </w:tc>
        <w:tc>
          <w:tcPr>
            <w:tcW w:w="1763" w:type="dxa"/>
            <w:tcBorders>
              <w:top w:val="nil"/>
              <w:left w:val="nil"/>
              <w:bottom w:val="single" w:sz="4" w:space="0" w:color="auto"/>
              <w:right w:val="single" w:sz="4" w:space="0" w:color="auto"/>
            </w:tcBorders>
            <w:noWrap/>
            <w:vAlign w:val="center"/>
            <w:hideMark/>
          </w:tcPr>
          <w:p w14:paraId="07D3AFA0" w14:textId="77777777" w:rsidR="00EB5FE9" w:rsidRPr="008E2A3E" w:rsidRDefault="00EB5FE9" w:rsidP="008E2A3E">
            <w:pPr>
              <w:pStyle w:val="NoSpacing"/>
              <w:jc w:val="center"/>
              <w:rPr>
                <w:rFonts w:ascii="Times New Roman" w:hAnsi="Times New Roman" w:cs="Times New Roman"/>
                <w:szCs w:val="24"/>
                <w:lang w:eastAsia="en-IN"/>
              </w:rPr>
            </w:pPr>
            <w:r w:rsidRPr="008E2A3E">
              <w:rPr>
                <w:rFonts w:ascii="Times New Roman" w:hAnsi="Times New Roman" w:cs="Times New Roman"/>
                <w:szCs w:val="24"/>
                <w:lang w:eastAsia="en-IN"/>
              </w:rPr>
              <w:t>1.17 (0.89)</w:t>
            </w:r>
          </w:p>
        </w:tc>
        <w:tc>
          <w:tcPr>
            <w:tcW w:w="997" w:type="dxa"/>
            <w:tcBorders>
              <w:top w:val="nil"/>
              <w:left w:val="nil"/>
              <w:bottom w:val="single" w:sz="4" w:space="0" w:color="auto"/>
              <w:right w:val="single" w:sz="4" w:space="0" w:color="auto"/>
            </w:tcBorders>
            <w:noWrap/>
            <w:vAlign w:val="center"/>
            <w:hideMark/>
          </w:tcPr>
          <w:p w14:paraId="5F053A61" w14:textId="77777777" w:rsidR="00EB5FE9" w:rsidRPr="008E2A3E" w:rsidRDefault="00EB5FE9" w:rsidP="008E2A3E">
            <w:pPr>
              <w:pStyle w:val="NoSpacing"/>
              <w:jc w:val="center"/>
              <w:rPr>
                <w:rFonts w:ascii="Times New Roman" w:hAnsi="Times New Roman" w:cs="Times New Roman"/>
                <w:szCs w:val="24"/>
                <w:lang w:eastAsia="en-IN"/>
              </w:rPr>
            </w:pPr>
            <w:r w:rsidRPr="008E2A3E">
              <w:rPr>
                <w:rFonts w:ascii="Times New Roman" w:hAnsi="Times New Roman" w:cs="Times New Roman"/>
                <w:szCs w:val="24"/>
                <w:lang w:eastAsia="en-IN"/>
              </w:rPr>
              <w:t>7.54 (5.71)</w:t>
            </w:r>
          </w:p>
        </w:tc>
        <w:tc>
          <w:tcPr>
            <w:tcW w:w="1507" w:type="dxa"/>
            <w:tcBorders>
              <w:top w:val="nil"/>
              <w:left w:val="nil"/>
              <w:bottom w:val="single" w:sz="4" w:space="0" w:color="auto"/>
              <w:right w:val="single" w:sz="4" w:space="0" w:color="auto"/>
            </w:tcBorders>
            <w:noWrap/>
            <w:vAlign w:val="center"/>
            <w:hideMark/>
          </w:tcPr>
          <w:p w14:paraId="669D9059" w14:textId="77777777" w:rsidR="00EB5FE9" w:rsidRPr="008E2A3E" w:rsidRDefault="00EB5FE9" w:rsidP="008E2A3E">
            <w:pPr>
              <w:pStyle w:val="NoSpacing"/>
              <w:jc w:val="center"/>
              <w:rPr>
                <w:rFonts w:ascii="Times New Roman" w:hAnsi="Times New Roman" w:cs="Times New Roman"/>
                <w:szCs w:val="24"/>
                <w:lang w:eastAsia="en-IN"/>
              </w:rPr>
            </w:pPr>
            <w:r w:rsidRPr="008E2A3E">
              <w:rPr>
                <w:rFonts w:ascii="Times New Roman" w:hAnsi="Times New Roman" w:cs="Times New Roman"/>
                <w:szCs w:val="24"/>
                <w:lang w:eastAsia="en-IN"/>
              </w:rPr>
              <w:t>132.02 (100.00)</w:t>
            </w:r>
          </w:p>
        </w:tc>
      </w:tr>
      <w:tr w:rsidR="00EB5FE9" w:rsidRPr="008E2A3E" w14:paraId="7AB62ECB" w14:textId="77777777" w:rsidTr="00BA3FB7">
        <w:trPr>
          <w:trHeight w:val="264"/>
        </w:trPr>
        <w:tc>
          <w:tcPr>
            <w:tcW w:w="15009" w:type="dxa"/>
            <w:gridSpan w:val="11"/>
            <w:tcBorders>
              <w:top w:val="single" w:sz="4" w:space="0" w:color="auto"/>
              <w:left w:val="single" w:sz="4" w:space="0" w:color="auto"/>
              <w:bottom w:val="single" w:sz="4" w:space="0" w:color="auto"/>
              <w:right w:val="single" w:sz="4" w:space="0" w:color="auto"/>
            </w:tcBorders>
            <w:noWrap/>
            <w:vAlign w:val="center"/>
            <w:hideMark/>
          </w:tcPr>
          <w:p w14:paraId="30EFCDC8" w14:textId="77777777" w:rsidR="00EB5FE9" w:rsidRPr="00F42E63" w:rsidRDefault="00EB5FE9" w:rsidP="008E2A3E">
            <w:pPr>
              <w:pStyle w:val="NoSpacing"/>
              <w:jc w:val="center"/>
              <w:rPr>
                <w:rFonts w:ascii="Times New Roman" w:hAnsi="Times New Roman" w:cs="Times New Roman"/>
                <w:b/>
                <w:bCs/>
                <w:szCs w:val="24"/>
                <w:lang w:eastAsia="en-IN"/>
              </w:rPr>
            </w:pPr>
            <w:r w:rsidRPr="00F42E63">
              <w:rPr>
                <w:rFonts w:ascii="Times New Roman" w:hAnsi="Times New Roman" w:cs="Times New Roman"/>
                <w:b/>
                <w:bCs/>
                <w:szCs w:val="24"/>
                <w:lang w:eastAsia="en-IN"/>
              </w:rPr>
              <w:t>Madhya Pradesh</w:t>
            </w:r>
          </w:p>
        </w:tc>
      </w:tr>
      <w:tr w:rsidR="00EB5FE9" w:rsidRPr="008E2A3E" w14:paraId="27A48104" w14:textId="77777777" w:rsidTr="00BA3FB7">
        <w:trPr>
          <w:trHeight w:val="264"/>
        </w:trPr>
        <w:tc>
          <w:tcPr>
            <w:tcW w:w="1782" w:type="dxa"/>
            <w:tcBorders>
              <w:top w:val="nil"/>
              <w:left w:val="single" w:sz="4" w:space="0" w:color="auto"/>
              <w:bottom w:val="single" w:sz="4" w:space="0" w:color="auto"/>
              <w:right w:val="single" w:sz="4" w:space="0" w:color="auto"/>
            </w:tcBorders>
            <w:noWrap/>
            <w:vAlign w:val="bottom"/>
            <w:hideMark/>
          </w:tcPr>
          <w:p w14:paraId="3A2E2A57" w14:textId="77777777" w:rsidR="00EB5FE9" w:rsidRPr="008E2A3E" w:rsidRDefault="00EB5FE9" w:rsidP="00EB5FE9">
            <w:pPr>
              <w:pStyle w:val="NoSpacing"/>
              <w:rPr>
                <w:rFonts w:ascii="Times New Roman" w:hAnsi="Times New Roman" w:cs="Times New Roman"/>
                <w:szCs w:val="24"/>
                <w:lang w:eastAsia="en-IN"/>
              </w:rPr>
            </w:pPr>
            <w:r w:rsidRPr="008E2A3E">
              <w:rPr>
                <w:rFonts w:ascii="Times New Roman" w:hAnsi="Times New Roman" w:cs="Times New Roman"/>
                <w:szCs w:val="24"/>
                <w:lang w:eastAsia="en-IN"/>
              </w:rPr>
              <w:t>1961-62</w:t>
            </w:r>
          </w:p>
        </w:tc>
        <w:tc>
          <w:tcPr>
            <w:tcW w:w="1062" w:type="dxa"/>
            <w:tcBorders>
              <w:top w:val="nil"/>
              <w:left w:val="nil"/>
              <w:bottom w:val="single" w:sz="4" w:space="0" w:color="auto"/>
              <w:right w:val="single" w:sz="4" w:space="0" w:color="auto"/>
            </w:tcBorders>
            <w:noWrap/>
            <w:vAlign w:val="center"/>
            <w:hideMark/>
          </w:tcPr>
          <w:p w14:paraId="181B2A8B" w14:textId="77777777" w:rsidR="00EB5FE9" w:rsidRPr="008E2A3E" w:rsidRDefault="00EB5FE9" w:rsidP="008E2A3E">
            <w:pPr>
              <w:pStyle w:val="NoSpacing"/>
              <w:jc w:val="center"/>
              <w:rPr>
                <w:rFonts w:ascii="Times New Roman" w:hAnsi="Times New Roman" w:cs="Times New Roman"/>
                <w:szCs w:val="24"/>
                <w:lang w:eastAsia="en-IN"/>
              </w:rPr>
            </w:pPr>
            <w:r w:rsidRPr="008E2A3E">
              <w:rPr>
                <w:rFonts w:ascii="Times New Roman" w:hAnsi="Times New Roman" w:cs="Times New Roman"/>
                <w:szCs w:val="24"/>
                <w:lang w:eastAsia="en-IN"/>
              </w:rPr>
              <w:t>8.78 (11.21)</w:t>
            </w:r>
          </w:p>
        </w:tc>
        <w:tc>
          <w:tcPr>
            <w:tcW w:w="953" w:type="dxa"/>
            <w:tcBorders>
              <w:top w:val="nil"/>
              <w:left w:val="nil"/>
              <w:bottom w:val="single" w:sz="4" w:space="0" w:color="auto"/>
              <w:right w:val="single" w:sz="4" w:space="0" w:color="auto"/>
            </w:tcBorders>
            <w:noWrap/>
            <w:vAlign w:val="center"/>
            <w:hideMark/>
          </w:tcPr>
          <w:p w14:paraId="653BCF4A" w14:textId="77777777" w:rsidR="00EB5FE9" w:rsidRPr="008E2A3E" w:rsidRDefault="00EB5FE9" w:rsidP="008E2A3E">
            <w:pPr>
              <w:pStyle w:val="NoSpacing"/>
              <w:jc w:val="center"/>
              <w:rPr>
                <w:rFonts w:ascii="Times New Roman" w:hAnsi="Times New Roman" w:cs="Times New Roman"/>
                <w:szCs w:val="24"/>
                <w:lang w:eastAsia="en-IN"/>
              </w:rPr>
            </w:pPr>
            <w:r w:rsidRPr="008E2A3E">
              <w:rPr>
                <w:rFonts w:ascii="Times New Roman" w:hAnsi="Times New Roman" w:cs="Times New Roman"/>
                <w:szCs w:val="24"/>
                <w:lang w:eastAsia="en-IN"/>
              </w:rPr>
              <w:t>8.06 (10.29)</w:t>
            </w:r>
          </w:p>
        </w:tc>
        <w:tc>
          <w:tcPr>
            <w:tcW w:w="1165" w:type="dxa"/>
            <w:tcBorders>
              <w:top w:val="nil"/>
              <w:left w:val="nil"/>
              <w:bottom w:val="single" w:sz="4" w:space="0" w:color="auto"/>
              <w:right w:val="single" w:sz="4" w:space="0" w:color="auto"/>
            </w:tcBorders>
            <w:noWrap/>
            <w:vAlign w:val="center"/>
            <w:hideMark/>
          </w:tcPr>
          <w:p w14:paraId="428C3DF2" w14:textId="77777777" w:rsidR="00EB5FE9" w:rsidRPr="008E2A3E" w:rsidRDefault="00EB5FE9" w:rsidP="008E2A3E">
            <w:pPr>
              <w:pStyle w:val="NoSpacing"/>
              <w:jc w:val="center"/>
              <w:rPr>
                <w:rFonts w:ascii="Times New Roman" w:hAnsi="Times New Roman" w:cs="Times New Roman"/>
                <w:szCs w:val="24"/>
                <w:lang w:eastAsia="en-IN"/>
              </w:rPr>
            </w:pPr>
            <w:r w:rsidRPr="008E2A3E">
              <w:rPr>
                <w:rFonts w:ascii="Times New Roman" w:hAnsi="Times New Roman" w:cs="Times New Roman"/>
                <w:szCs w:val="24"/>
                <w:lang w:eastAsia="en-IN"/>
              </w:rPr>
              <w:t>2.11 (2.69)</w:t>
            </w:r>
          </w:p>
        </w:tc>
        <w:tc>
          <w:tcPr>
            <w:tcW w:w="1488" w:type="dxa"/>
            <w:tcBorders>
              <w:top w:val="nil"/>
              <w:left w:val="nil"/>
              <w:bottom w:val="single" w:sz="4" w:space="0" w:color="auto"/>
              <w:right w:val="single" w:sz="4" w:space="0" w:color="auto"/>
            </w:tcBorders>
            <w:noWrap/>
            <w:vAlign w:val="center"/>
            <w:hideMark/>
          </w:tcPr>
          <w:p w14:paraId="1931549E" w14:textId="77777777" w:rsidR="00EB5FE9" w:rsidRPr="008E2A3E" w:rsidRDefault="00EB5FE9" w:rsidP="008E2A3E">
            <w:pPr>
              <w:pStyle w:val="NoSpacing"/>
              <w:jc w:val="center"/>
              <w:rPr>
                <w:rFonts w:ascii="Times New Roman" w:hAnsi="Times New Roman" w:cs="Times New Roman"/>
                <w:szCs w:val="24"/>
                <w:lang w:eastAsia="en-IN"/>
              </w:rPr>
            </w:pPr>
            <w:r w:rsidRPr="008E2A3E">
              <w:rPr>
                <w:rFonts w:ascii="Times New Roman" w:hAnsi="Times New Roman" w:cs="Times New Roman"/>
                <w:szCs w:val="24"/>
                <w:lang w:eastAsia="en-IN"/>
              </w:rPr>
              <w:t>2.01 (2.57)</w:t>
            </w:r>
          </w:p>
        </w:tc>
        <w:tc>
          <w:tcPr>
            <w:tcW w:w="1376" w:type="dxa"/>
            <w:tcBorders>
              <w:top w:val="nil"/>
              <w:left w:val="nil"/>
              <w:bottom w:val="single" w:sz="4" w:space="0" w:color="auto"/>
              <w:right w:val="single" w:sz="4" w:space="0" w:color="auto"/>
            </w:tcBorders>
            <w:noWrap/>
            <w:vAlign w:val="center"/>
            <w:hideMark/>
          </w:tcPr>
          <w:p w14:paraId="1487F3DD" w14:textId="77777777" w:rsidR="00EB5FE9" w:rsidRPr="008E2A3E" w:rsidRDefault="00EB5FE9" w:rsidP="008E2A3E">
            <w:pPr>
              <w:pStyle w:val="NoSpacing"/>
              <w:jc w:val="center"/>
              <w:rPr>
                <w:rFonts w:ascii="Times New Roman" w:hAnsi="Times New Roman" w:cs="Times New Roman"/>
                <w:szCs w:val="24"/>
                <w:lang w:eastAsia="en-IN"/>
              </w:rPr>
            </w:pPr>
            <w:r w:rsidRPr="008E2A3E">
              <w:rPr>
                <w:rFonts w:ascii="Times New Roman" w:hAnsi="Times New Roman" w:cs="Times New Roman"/>
                <w:szCs w:val="24"/>
                <w:lang w:eastAsia="en-IN"/>
              </w:rPr>
              <w:t>2.56 (3.27)</w:t>
            </w:r>
          </w:p>
        </w:tc>
        <w:tc>
          <w:tcPr>
            <w:tcW w:w="1289" w:type="dxa"/>
            <w:tcBorders>
              <w:top w:val="nil"/>
              <w:left w:val="nil"/>
              <w:bottom w:val="single" w:sz="4" w:space="0" w:color="auto"/>
              <w:right w:val="single" w:sz="4" w:space="0" w:color="auto"/>
            </w:tcBorders>
            <w:noWrap/>
            <w:vAlign w:val="center"/>
            <w:hideMark/>
          </w:tcPr>
          <w:p w14:paraId="3EA31D2F" w14:textId="77777777" w:rsidR="00EB5FE9" w:rsidRPr="008E2A3E" w:rsidRDefault="00EB5FE9" w:rsidP="008E2A3E">
            <w:pPr>
              <w:pStyle w:val="NoSpacing"/>
              <w:jc w:val="center"/>
              <w:rPr>
                <w:rFonts w:ascii="Times New Roman" w:hAnsi="Times New Roman" w:cs="Times New Roman"/>
                <w:szCs w:val="24"/>
                <w:lang w:eastAsia="en-IN"/>
              </w:rPr>
            </w:pPr>
            <w:r w:rsidRPr="008E2A3E">
              <w:rPr>
                <w:rFonts w:ascii="Times New Roman" w:hAnsi="Times New Roman" w:cs="Times New Roman"/>
                <w:szCs w:val="24"/>
                <w:lang w:eastAsia="en-IN"/>
              </w:rPr>
              <w:t>0.68 (0.87)</w:t>
            </w:r>
          </w:p>
        </w:tc>
        <w:tc>
          <w:tcPr>
            <w:tcW w:w="1627" w:type="dxa"/>
            <w:tcBorders>
              <w:top w:val="nil"/>
              <w:left w:val="nil"/>
              <w:bottom w:val="single" w:sz="4" w:space="0" w:color="auto"/>
              <w:right w:val="single" w:sz="4" w:space="0" w:color="auto"/>
            </w:tcBorders>
            <w:noWrap/>
            <w:vAlign w:val="center"/>
            <w:hideMark/>
          </w:tcPr>
          <w:p w14:paraId="12A35AE2" w14:textId="77777777" w:rsidR="00EB5FE9" w:rsidRPr="008E2A3E" w:rsidRDefault="00EB5FE9" w:rsidP="008E2A3E">
            <w:pPr>
              <w:pStyle w:val="NoSpacing"/>
              <w:jc w:val="center"/>
              <w:rPr>
                <w:rFonts w:ascii="Times New Roman" w:hAnsi="Times New Roman" w:cs="Times New Roman"/>
                <w:szCs w:val="24"/>
                <w:lang w:eastAsia="en-IN"/>
              </w:rPr>
            </w:pPr>
            <w:r w:rsidRPr="008E2A3E">
              <w:rPr>
                <w:rFonts w:ascii="Times New Roman" w:hAnsi="Times New Roman" w:cs="Times New Roman"/>
                <w:szCs w:val="24"/>
                <w:lang w:eastAsia="en-IN"/>
              </w:rPr>
              <w:t>0.66 (0.84)</w:t>
            </w:r>
          </w:p>
        </w:tc>
        <w:tc>
          <w:tcPr>
            <w:tcW w:w="1763" w:type="dxa"/>
            <w:tcBorders>
              <w:top w:val="nil"/>
              <w:left w:val="nil"/>
              <w:bottom w:val="single" w:sz="4" w:space="0" w:color="auto"/>
              <w:right w:val="single" w:sz="4" w:space="0" w:color="auto"/>
            </w:tcBorders>
            <w:noWrap/>
            <w:vAlign w:val="center"/>
            <w:hideMark/>
          </w:tcPr>
          <w:p w14:paraId="1FE25C88" w14:textId="77777777" w:rsidR="00EB5FE9" w:rsidRPr="008E2A3E" w:rsidRDefault="00EB5FE9" w:rsidP="008E2A3E">
            <w:pPr>
              <w:pStyle w:val="NoSpacing"/>
              <w:jc w:val="center"/>
              <w:rPr>
                <w:rFonts w:ascii="Times New Roman" w:hAnsi="Times New Roman" w:cs="Times New Roman"/>
                <w:szCs w:val="24"/>
                <w:lang w:eastAsia="en-IN"/>
              </w:rPr>
            </w:pPr>
            <w:r w:rsidRPr="008E2A3E">
              <w:rPr>
                <w:rFonts w:ascii="Times New Roman" w:hAnsi="Times New Roman" w:cs="Times New Roman"/>
                <w:szCs w:val="24"/>
                <w:lang w:eastAsia="en-IN"/>
              </w:rPr>
              <w:t>0.58 (0.74)</w:t>
            </w:r>
          </w:p>
        </w:tc>
        <w:tc>
          <w:tcPr>
            <w:tcW w:w="997" w:type="dxa"/>
            <w:tcBorders>
              <w:top w:val="nil"/>
              <w:left w:val="nil"/>
              <w:bottom w:val="single" w:sz="4" w:space="0" w:color="auto"/>
              <w:right w:val="single" w:sz="4" w:space="0" w:color="auto"/>
            </w:tcBorders>
            <w:noWrap/>
            <w:vAlign w:val="center"/>
            <w:hideMark/>
          </w:tcPr>
          <w:p w14:paraId="4A048B5F" w14:textId="77777777" w:rsidR="00EB5FE9" w:rsidRPr="008E2A3E" w:rsidRDefault="00EB5FE9" w:rsidP="008E2A3E">
            <w:pPr>
              <w:pStyle w:val="NoSpacing"/>
              <w:jc w:val="center"/>
              <w:rPr>
                <w:rFonts w:ascii="Times New Roman" w:hAnsi="Times New Roman" w:cs="Times New Roman"/>
                <w:szCs w:val="24"/>
                <w:lang w:eastAsia="en-IN"/>
              </w:rPr>
            </w:pPr>
            <w:r w:rsidRPr="008E2A3E">
              <w:rPr>
                <w:rFonts w:ascii="Times New Roman" w:hAnsi="Times New Roman" w:cs="Times New Roman"/>
                <w:szCs w:val="24"/>
                <w:lang w:eastAsia="en-IN"/>
              </w:rPr>
              <w:t>10.38 (13.26)</w:t>
            </w:r>
          </w:p>
        </w:tc>
        <w:tc>
          <w:tcPr>
            <w:tcW w:w="1507" w:type="dxa"/>
            <w:tcBorders>
              <w:top w:val="nil"/>
              <w:left w:val="nil"/>
              <w:bottom w:val="single" w:sz="4" w:space="0" w:color="auto"/>
              <w:right w:val="single" w:sz="4" w:space="0" w:color="auto"/>
            </w:tcBorders>
            <w:noWrap/>
            <w:vAlign w:val="center"/>
            <w:hideMark/>
          </w:tcPr>
          <w:p w14:paraId="2B639DAB" w14:textId="77777777" w:rsidR="00EB5FE9" w:rsidRPr="008E2A3E" w:rsidRDefault="00EB5FE9" w:rsidP="008E2A3E">
            <w:pPr>
              <w:pStyle w:val="NoSpacing"/>
              <w:jc w:val="center"/>
              <w:rPr>
                <w:rFonts w:ascii="Times New Roman" w:hAnsi="Times New Roman" w:cs="Times New Roman"/>
                <w:szCs w:val="24"/>
                <w:lang w:eastAsia="en-IN"/>
              </w:rPr>
            </w:pPr>
            <w:r w:rsidRPr="008E2A3E">
              <w:rPr>
                <w:rFonts w:ascii="Times New Roman" w:hAnsi="Times New Roman" w:cs="Times New Roman"/>
                <w:szCs w:val="24"/>
                <w:lang w:eastAsia="en-IN"/>
              </w:rPr>
              <w:t>78.31 (100.00)</w:t>
            </w:r>
          </w:p>
        </w:tc>
      </w:tr>
      <w:tr w:rsidR="00EB5FE9" w:rsidRPr="008E2A3E" w14:paraId="7CEF37C0" w14:textId="77777777" w:rsidTr="00BA3FB7">
        <w:trPr>
          <w:trHeight w:val="264"/>
        </w:trPr>
        <w:tc>
          <w:tcPr>
            <w:tcW w:w="1782" w:type="dxa"/>
            <w:tcBorders>
              <w:top w:val="nil"/>
              <w:left w:val="single" w:sz="4" w:space="0" w:color="auto"/>
              <w:bottom w:val="single" w:sz="4" w:space="0" w:color="auto"/>
              <w:right w:val="single" w:sz="4" w:space="0" w:color="auto"/>
            </w:tcBorders>
            <w:noWrap/>
            <w:vAlign w:val="bottom"/>
            <w:hideMark/>
          </w:tcPr>
          <w:p w14:paraId="6CF62C66" w14:textId="77777777" w:rsidR="00EB5FE9" w:rsidRPr="008E2A3E" w:rsidRDefault="00EB5FE9" w:rsidP="00EB5FE9">
            <w:pPr>
              <w:pStyle w:val="NoSpacing"/>
              <w:rPr>
                <w:rFonts w:ascii="Times New Roman" w:hAnsi="Times New Roman" w:cs="Times New Roman"/>
                <w:szCs w:val="24"/>
                <w:lang w:eastAsia="en-IN"/>
              </w:rPr>
            </w:pPr>
            <w:r w:rsidRPr="008E2A3E">
              <w:rPr>
                <w:rFonts w:ascii="Times New Roman" w:hAnsi="Times New Roman" w:cs="Times New Roman"/>
                <w:szCs w:val="24"/>
                <w:lang w:eastAsia="en-IN"/>
              </w:rPr>
              <w:t>1965-66</w:t>
            </w:r>
          </w:p>
        </w:tc>
        <w:tc>
          <w:tcPr>
            <w:tcW w:w="1062" w:type="dxa"/>
            <w:tcBorders>
              <w:top w:val="nil"/>
              <w:left w:val="nil"/>
              <w:bottom w:val="single" w:sz="4" w:space="0" w:color="auto"/>
              <w:right w:val="single" w:sz="4" w:space="0" w:color="auto"/>
            </w:tcBorders>
            <w:noWrap/>
            <w:vAlign w:val="center"/>
            <w:hideMark/>
          </w:tcPr>
          <w:p w14:paraId="3B123CDE" w14:textId="7E58E664" w:rsidR="00EB5FE9" w:rsidRPr="008E2A3E" w:rsidRDefault="00EB5FE9" w:rsidP="008E2A3E">
            <w:pPr>
              <w:pStyle w:val="NoSpacing"/>
              <w:jc w:val="center"/>
              <w:rPr>
                <w:rFonts w:ascii="Times New Roman" w:hAnsi="Times New Roman" w:cs="Times New Roman"/>
                <w:szCs w:val="24"/>
                <w:lang w:eastAsia="en-IN"/>
              </w:rPr>
            </w:pPr>
            <w:r w:rsidRPr="008E2A3E">
              <w:rPr>
                <w:rFonts w:ascii="Times New Roman" w:hAnsi="Times New Roman" w:cs="Times New Roman"/>
                <w:szCs w:val="24"/>
                <w:lang w:eastAsia="en-IN"/>
              </w:rPr>
              <w:t>7</w:t>
            </w:r>
            <w:r w:rsidR="00F34353">
              <w:rPr>
                <w:rFonts w:ascii="Times New Roman" w:hAnsi="Times New Roman" w:cs="Times New Roman"/>
                <w:szCs w:val="24"/>
                <w:lang w:eastAsia="en-IN"/>
              </w:rPr>
              <w:t>.00</w:t>
            </w:r>
          </w:p>
        </w:tc>
        <w:tc>
          <w:tcPr>
            <w:tcW w:w="953" w:type="dxa"/>
            <w:tcBorders>
              <w:top w:val="nil"/>
              <w:left w:val="nil"/>
              <w:bottom w:val="single" w:sz="4" w:space="0" w:color="auto"/>
              <w:right w:val="single" w:sz="4" w:space="0" w:color="auto"/>
            </w:tcBorders>
            <w:noWrap/>
            <w:vAlign w:val="center"/>
            <w:hideMark/>
          </w:tcPr>
          <w:p w14:paraId="45B5D535" w14:textId="36320309" w:rsidR="00EB5FE9" w:rsidRPr="008E2A3E" w:rsidRDefault="00EB5FE9" w:rsidP="008E2A3E">
            <w:pPr>
              <w:pStyle w:val="NoSpacing"/>
              <w:jc w:val="center"/>
              <w:rPr>
                <w:rFonts w:ascii="Times New Roman" w:hAnsi="Times New Roman" w:cs="Times New Roman"/>
                <w:szCs w:val="24"/>
                <w:lang w:eastAsia="en-IN"/>
              </w:rPr>
            </w:pPr>
            <w:r w:rsidRPr="008E2A3E">
              <w:rPr>
                <w:rFonts w:ascii="Times New Roman" w:hAnsi="Times New Roman" w:cs="Times New Roman"/>
                <w:szCs w:val="24"/>
                <w:lang w:eastAsia="en-IN"/>
              </w:rPr>
              <w:t>20</w:t>
            </w:r>
            <w:r w:rsidR="00F34353">
              <w:rPr>
                <w:rFonts w:ascii="Times New Roman" w:hAnsi="Times New Roman" w:cs="Times New Roman"/>
                <w:szCs w:val="24"/>
                <w:lang w:eastAsia="en-IN"/>
              </w:rPr>
              <w:t>.00</w:t>
            </w:r>
          </w:p>
        </w:tc>
        <w:tc>
          <w:tcPr>
            <w:tcW w:w="1165" w:type="dxa"/>
            <w:tcBorders>
              <w:top w:val="nil"/>
              <w:left w:val="nil"/>
              <w:bottom w:val="single" w:sz="4" w:space="0" w:color="auto"/>
              <w:right w:val="single" w:sz="4" w:space="0" w:color="auto"/>
            </w:tcBorders>
            <w:noWrap/>
            <w:vAlign w:val="center"/>
            <w:hideMark/>
          </w:tcPr>
          <w:p w14:paraId="6BC133CF" w14:textId="77777777" w:rsidR="00EB5FE9" w:rsidRPr="008E2A3E" w:rsidRDefault="00EB5FE9" w:rsidP="008E2A3E">
            <w:pPr>
              <w:pStyle w:val="NoSpacing"/>
              <w:jc w:val="center"/>
              <w:rPr>
                <w:rFonts w:ascii="Times New Roman" w:hAnsi="Times New Roman" w:cs="Times New Roman"/>
                <w:szCs w:val="24"/>
                <w:lang w:eastAsia="en-IN"/>
              </w:rPr>
            </w:pPr>
            <w:r w:rsidRPr="008E2A3E">
              <w:rPr>
                <w:rFonts w:ascii="Times New Roman" w:hAnsi="Times New Roman" w:cs="Times New Roman"/>
                <w:szCs w:val="24"/>
                <w:lang w:eastAsia="en-IN"/>
              </w:rPr>
              <w:t>2.85</w:t>
            </w:r>
          </w:p>
        </w:tc>
        <w:tc>
          <w:tcPr>
            <w:tcW w:w="1488" w:type="dxa"/>
            <w:tcBorders>
              <w:top w:val="nil"/>
              <w:left w:val="nil"/>
              <w:bottom w:val="single" w:sz="4" w:space="0" w:color="auto"/>
              <w:right w:val="single" w:sz="4" w:space="0" w:color="auto"/>
            </w:tcBorders>
            <w:noWrap/>
            <w:vAlign w:val="center"/>
            <w:hideMark/>
          </w:tcPr>
          <w:p w14:paraId="6DED7911" w14:textId="77777777" w:rsidR="00EB5FE9" w:rsidRPr="008E2A3E" w:rsidRDefault="00EB5FE9" w:rsidP="008E2A3E">
            <w:pPr>
              <w:pStyle w:val="NoSpacing"/>
              <w:jc w:val="center"/>
              <w:rPr>
                <w:rFonts w:ascii="Times New Roman" w:hAnsi="Times New Roman" w:cs="Times New Roman"/>
                <w:szCs w:val="24"/>
                <w:lang w:eastAsia="en-IN"/>
              </w:rPr>
            </w:pPr>
            <w:r w:rsidRPr="008E2A3E">
              <w:rPr>
                <w:rFonts w:ascii="Times New Roman" w:hAnsi="Times New Roman" w:cs="Times New Roman"/>
                <w:szCs w:val="24"/>
                <w:lang w:eastAsia="en-IN"/>
              </w:rPr>
              <w:t>3.19</w:t>
            </w:r>
          </w:p>
        </w:tc>
        <w:tc>
          <w:tcPr>
            <w:tcW w:w="1376" w:type="dxa"/>
            <w:tcBorders>
              <w:top w:val="nil"/>
              <w:left w:val="nil"/>
              <w:bottom w:val="single" w:sz="4" w:space="0" w:color="auto"/>
              <w:right w:val="single" w:sz="4" w:space="0" w:color="auto"/>
            </w:tcBorders>
            <w:noWrap/>
            <w:vAlign w:val="center"/>
            <w:hideMark/>
          </w:tcPr>
          <w:p w14:paraId="4A4A7E88" w14:textId="77777777" w:rsidR="00EB5FE9" w:rsidRPr="008E2A3E" w:rsidRDefault="00EB5FE9" w:rsidP="008E2A3E">
            <w:pPr>
              <w:pStyle w:val="NoSpacing"/>
              <w:jc w:val="center"/>
              <w:rPr>
                <w:rFonts w:ascii="Times New Roman" w:hAnsi="Times New Roman" w:cs="Times New Roman"/>
                <w:szCs w:val="24"/>
                <w:lang w:eastAsia="en-IN"/>
              </w:rPr>
            </w:pPr>
            <w:r w:rsidRPr="008E2A3E">
              <w:rPr>
                <w:rFonts w:ascii="Times New Roman" w:hAnsi="Times New Roman" w:cs="Times New Roman"/>
                <w:szCs w:val="24"/>
                <w:lang w:eastAsia="en-IN"/>
              </w:rPr>
              <w:t>6.98</w:t>
            </w:r>
          </w:p>
        </w:tc>
        <w:tc>
          <w:tcPr>
            <w:tcW w:w="1289" w:type="dxa"/>
            <w:tcBorders>
              <w:top w:val="nil"/>
              <w:left w:val="nil"/>
              <w:bottom w:val="single" w:sz="4" w:space="0" w:color="auto"/>
              <w:right w:val="single" w:sz="4" w:space="0" w:color="auto"/>
            </w:tcBorders>
            <w:noWrap/>
            <w:vAlign w:val="center"/>
            <w:hideMark/>
          </w:tcPr>
          <w:p w14:paraId="26E4FCE7" w14:textId="77777777" w:rsidR="00EB5FE9" w:rsidRPr="008E2A3E" w:rsidRDefault="00EB5FE9" w:rsidP="008E2A3E">
            <w:pPr>
              <w:pStyle w:val="NoSpacing"/>
              <w:jc w:val="center"/>
              <w:rPr>
                <w:rFonts w:ascii="Times New Roman" w:hAnsi="Times New Roman" w:cs="Times New Roman"/>
                <w:szCs w:val="24"/>
                <w:lang w:eastAsia="en-IN"/>
              </w:rPr>
            </w:pPr>
            <w:r w:rsidRPr="008E2A3E">
              <w:rPr>
                <w:rFonts w:ascii="Times New Roman" w:hAnsi="Times New Roman" w:cs="Times New Roman"/>
                <w:szCs w:val="24"/>
                <w:lang w:eastAsia="en-IN"/>
              </w:rPr>
              <w:t>1.14</w:t>
            </w:r>
          </w:p>
        </w:tc>
        <w:tc>
          <w:tcPr>
            <w:tcW w:w="1627" w:type="dxa"/>
            <w:tcBorders>
              <w:top w:val="nil"/>
              <w:left w:val="nil"/>
              <w:bottom w:val="single" w:sz="4" w:space="0" w:color="auto"/>
              <w:right w:val="single" w:sz="4" w:space="0" w:color="auto"/>
            </w:tcBorders>
            <w:noWrap/>
            <w:vAlign w:val="center"/>
            <w:hideMark/>
          </w:tcPr>
          <w:p w14:paraId="39C6E70F" w14:textId="77777777" w:rsidR="00EB5FE9" w:rsidRPr="008E2A3E" w:rsidRDefault="00EB5FE9" w:rsidP="008E2A3E">
            <w:pPr>
              <w:pStyle w:val="NoSpacing"/>
              <w:jc w:val="center"/>
              <w:rPr>
                <w:rFonts w:ascii="Times New Roman" w:hAnsi="Times New Roman" w:cs="Times New Roman"/>
                <w:szCs w:val="24"/>
                <w:lang w:eastAsia="en-IN"/>
              </w:rPr>
            </w:pPr>
            <w:r w:rsidRPr="008E2A3E">
              <w:rPr>
                <w:rFonts w:ascii="Times New Roman" w:hAnsi="Times New Roman" w:cs="Times New Roman"/>
                <w:szCs w:val="24"/>
                <w:lang w:eastAsia="en-IN"/>
              </w:rPr>
              <w:t>1.52</w:t>
            </w:r>
          </w:p>
        </w:tc>
        <w:tc>
          <w:tcPr>
            <w:tcW w:w="1763" w:type="dxa"/>
            <w:tcBorders>
              <w:top w:val="nil"/>
              <w:left w:val="nil"/>
              <w:bottom w:val="single" w:sz="4" w:space="0" w:color="auto"/>
              <w:right w:val="single" w:sz="4" w:space="0" w:color="auto"/>
            </w:tcBorders>
            <w:noWrap/>
            <w:vAlign w:val="center"/>
            <w:hideMark/>
          </w:tcPr>
          <w:p w14:paraId="1E9B0CAF" w14:textId="77777777" w:rsidR="00EB5FE9" w:rsidRPr="008E2A3E" w:rsidRDefault="00EB5FE9" w:rsidP="008E2A3E">
            <w:pPr>
              <w:pStyle w:val="NoSpacing"/>
              <w:jc w:val="center"/>
              <w:rPr>
                <w:rFonts w:ascii="Times New Roman" w:hAnsi="Times New Roman" w:cs="Times New Roman"/>
                <w:szCs w:val="24"/>
                <w:lang w:eastAsia="en-IN"/>
              </w:rPr>
            </w:pPr>
            <w:r w:rsidRPr="008E2A3E">
              <w:rPr>
                <w:rFonts w:ascii="Times New Roman" w:hAnsi="Times New Roman" w:cs="Times New Roman"/>
                <w:szCs w:val="24"/>
                <w:lang w:eastAsia="en-IN"/>
              </w:rPr>
              <w:t>0.91</w:t>
            </w:r>
          </w:p>
        </w:tc>
        <w:tc>
          <w:tcPr>
            <w:tcW w:w="997" w:type="dxa"/>
            <w:tcBorders>
              <w:top w:val="nil"/>
              <w:left w:val="nil"/>
              <w:bottom w:val="single" w:sz="4" w:space="0" w:color="auto"/>
              <w:right w:val="single" w:sz="4" w:space="0" w:color="auto"/>
            </w:tcBorders>
            <w:noWrap/>
            <w:vAlign w:val="center"/>
            <w:hideMark/>
          </w:tcPr>
          <w:p w14:paraId="3D424E12" w14:textId="77777777" w:rsidR="00EB5FE9" w:rsidRPr="008E2A3E" w:rsidRDefault="00EB5FE9" w:rsidP="008E2A3E">
            <w:pPr>
              <w:pStyle w:val="NoSpacing"/>
              <w:jc w:val="center"/>
              <w:rPr>
                <w:rFonts w:ascii="Times New Roman" w:hAnsi="Times New Roman" w:cs="Times New Roman"/>
                <w:szCs w:val="24"/>
                <w:lang w:eastAsia="en-IN"/>
              </w:rPr>
            </w:pPr>
            <w:r w:rsidRPr="008E2A3E">
              <w:rPr>
                <w:rFonts w:ascii="Times New Roman" w:hAnsi="Times New Roman" w:cs="Times New Roman"/>
                <w:szCs w:val="24"/>
                <w:lang w:eastAsia="en-IN"/>
              </w:rPr>
              <w:t>17.2</w:t>
            </w:r>
          </w:p>
        </w:tc>
        <w:tc>
          <w:tcPr>
            <w:tcW w:w="1507" w:type="dxa"/>
            <w:tcBorders>
              <w:top w:val="nil"/>
              <w:left w:val="nil"/>
              <w:bottom w:val="single" w:sz="4" w:space="0" w:color="auto"/>
              <w:right w:val="single" w:sz="4" w:space="0" w:color="auto"/>
            </w:tcBorders>
            <w:noWrap/>
            <w:vAlign w:val="center"/>
            <w:hideMark/>
          </w:tcPr>
          <w:p w14:paraId="33B9E0BB" w14:textId="77777777" w:rsidR="00EB5FE9" w:rsidRPr="008E2A3E" w:rsidRDefault="00EB5FE9" w:rsidP="008E2A3E">
            <w:pPr>
              <w:pStyle w:val="NoSpacing"/>
              <w:jc w:val="center"/>
              <w:rPr>
                <w:rFonts w:ascii="Times New Roman" w:hAnsi="Times New Roman" w:cs="Times New Roman"/>
                <w:szCs w:val="24"/>
                <w:lang w:eastAsia="en-IN"/>
              </w:rPr>
            </w:pPr>
            <w:r w:rsidRPr="008E2A3E">
              <w:rPr>
                <w:rFonts w:ascii="Times New Roman" w:hAnsi="Times New Roman" w:cs="Times New Roman"/>
                <w:szCs w:val="24"/>
                <w:lang w:eastAsia="en-IN"/>
              </w:rPr>
              <w:t>123.07</w:t>
            </w:r>
          </w:p>
        </w:tc>
      </w:tr>
      <w:tr w:rsidR="00EB5FE9" w:rsidRPr="008E2A3E" w14:paraId="5FD20099" w14:textId="77777777" w:rsidTr="00BA3FB7">
        <w:trPr>
          <w:trHeight w:val="264"/>
        </w:trPr>
        <w:tc>
          <w:tcPr>
            <w:tcW w:w="1782" w:type="dxa"/>
            <w:tcBorders>
              <w:top w:val="nil"/>
              <w:left w:val="single" w:sz="4" w:space="0" w:color="auto"/>
              <w:bottom w:val="single" w:sz="4" w:space="0" w:color="auto"/>
              <w:right w:val="single" w:sz="4" w:space="0" w:color="auto"/>
            </w:tcBorders>
            <w:noWrap/>
            <w:vAlign w:val="bottom"/>
            <w:hideMark/>
          </w:tcPr>
          <w:p w14:paraId="003ACE72" w14:textId="77777777" w:rsidR="00EB5FE9" w:rsidRPr="008E2A3E" w:rsidRDefault="00EB5FE9" w:rsidP="00EB5FE9">
            <w:pPr>
              <w:pStyle w:val="NoSpacing"/>
              <w:rPr>
                <w:rFonts w:ascii="Times New Roman" w:hAnsi="Times New Roman" w:cs="Times New Roman"/>
                <w:szCs w:val="24"/>
                <w:lang w:eastAsia="en-IN"/>
              </w:rPr>
            </w:pPr>
            <w:r w:rsidRPr="008E2A3E">
              <w:rPr>
                <w:rFonts w:ascii="Times New Roman" w:hAnsi="Times New Roman" w:cs="Times New Roman"/>
                <w:szCs w:val="24"/>
                <w:lang w:eastAsia="en-IN"/>
              </w:rPr>
              <w:t>1966-67</w:t>
            </w:r>
          </w:p>
        </w:tc>
        <w:tc>
          <w:tcPr>
            <w:tcW w:w="1062" w:type="dxa"/>
            <w:tcBorders>
              <w:top w:val="nil"/>
              <w:left w:val="nil"/>
              <w:bottom w:val="single" w:sz="4" w:space="0" w:color="auto"/>
              <w:right w:val="single" w:sz="4" w:space="0" w:color="auto"/>
            </w:tcBorders>
            <w:noWrap/>
            <w:vAlign w:val="center"/>
            <w:hideMark/>
          </w:tcPr>
          <w:p w14:paraId="6B0E8B1B" w14:textId="77777777" w:rsidR="00EB5FE9" w:rsidRPr="008E2A3E" w:rsidRDefault="00EB5FE9" w:rsidP="008E2A3E">
            <w:pPr>
              <w:pStyle w:val="NoSpacing"/>
              <w:jc w:val="center"/>
              <w:rPr>
                <w:rFonts w:ascii="Times New Roman" w:hAnsi="Times New Roman" w:cs="Times New Roman"/>
                <w:szCs w:val="24"/>
                <w:lang w:eastAsia="en-IN"/>
              </w:rPr>
            </w:pPr>
            <w:r w:rsidRPr="008E2A3E">
              <w:rPr>
                <w:rFonts w:ascii="Times New Roman" w:hAnsi="Times New Roman" w:cs="Times New Roman"/>
                <w:szCs w:val="24"/>
                <w:lang w:eastAsia="en-IN"/>
              </w:rPr>
              <w:t>5.49</w:t>
            </w:r>
          </w:p>
        </w:tc>
        <w:tc>
          <w:tcPr>
            <w:tcW w:w="953" w:type="dxa"/>
            <w:tcBorders>
              <w:top w:val="nil"/>
              <w:left w:val="nil"/>
              <w:bottom w:val="single" w:sz="4" w:space="0" w:color="auto"/>
              <w:right w:val="single" w:sz="4" w:space="0" w:color="auto"/>
            </w:tcBorders>
            <w:noWrap/>
            <w:vAlign w:val="center"/>
            <w:hideMark/>
          </w:tcPr>
          <w:p w14:paraId="27FB84A5" w14:textId="77777777" w:rsidR="00EB5FE9" w:rsidRPr="008E2A3E" w:rsidRDefault="00EB5FE9" w:rsidP="008E2A3E">
            <w:pPr>
              <w:pStyle w:val="NoSpacing"/>
              <w:jc w:val="center"/>
              <w:rPr>
                <w:rFonts w:ascii="Times New Roman" w:hAnsi="Times New Roman" w:cs="Times New Roman"/>
                <w:szCs w:val="24"/>
                <w:lang w:eastAsia="en-IN"/>
              </w:rPr>
            </w:pPr>
            <w:r w:rsidRPr="008E2A3E">
              <w:rPr>
                <w:rFonts w:ascii="Times New Roman" w:hAnsi="Times New Roman" w:cs="Times New Roman"/>
                <w:szCs w:val="24"/>
                <w:lang w:eastAsia="en-IN"/>
              </w:rPr>
              <w:t>23.56</w:t>
            </w:r>
          </w:p>
        </w:tc>
        <w:tc>
          <w:tcPr>
            <w:tcW w:w="1165" w:type="dxa"/>
            <w:tcBorders>
              <w:top w:val="nil"/>
              <w:left w:val="nil"/>
              <w:bottom w:val="single" w:sz="4" w:space="0" w:color="auto"/>
              <w:right w:val="single" w:sz="4" w:space="0" w:color="auto"/>
            </w:tcBorders>
            <w:noWrap/>
            <w:vAlign w:val="center"/>
            <w:hideMark/>
          </w:tcPr>
          <w:p w14:paraId="771C7D23" w14:textId="77777777" w:rsidR="00EB5FE9" w:rsidRPr="008E2A3E" w:rsidRDefault="00EB5FE9" w:rsidP="008E2A3E">
            <w:pPr>
              <w:pStyle w:val="NoSpacing"/>
              <w:jc w:val="center"/>
              <w:rPr>
                <w:rFonts w:ascii="Times New Roman" w:hAnsi="Times New Roman" w:cs="Times New Roman"/>
                <w:szCs w:val="24"/>
                <w:lang w:eastAsia="en-IN"/>
              </w:rPr>
            </w:pPr>
            <w:r w:rsidRPr="008E2A3E">
              <w:rPr>
                <w:rFonts w:ascii="Times New Roman" w:hAnsi="Times New Roman" w:cs="Times New Roman"/>
                <w:szCs w:val="24"/>
                <w:lang w:eastAsia="en-IN"/>
              </w:rPr>
              <w:t>2.93</w:t>
            </w:r>
          </w:p>
        </w:tc>
        <w:tc>
          <w:tcPr>
            <w:tcW w:w="1488" w:type="dxa"/>
            <w:tcBorders>
              <w:top w:val="nil"/>
              <w:left w:val="nil"/>
              <w:bottom w:val="single" w:sz="4" w:space="0" w:color="auto"/>
              <w:right w:val="single" w:sz="4" w:space="0" w:color="auto"/>
            </w:tcBorders>
            <w:noWrap/>
            <w:vAlign w:val="center"/>
            <w:hideMark/>
          </w:tcPr>
          <w:p w14:paraId="1AF9A7B2" w14:textId="77777777" w:rsidR="00EB5FE9" w:rsidRPr="008E2A3E" w:rsidRDefault="00EB5FE9" w:rsidP="008E2A3E">
            <w:pPr>
              <w:pStyle w:val="NoSpacing"/>
              <w:jc w:val="center"/>
              <w:rPr>
                <w:rFonts w:ascii="Times New Roman" w:hAnsi="Times New Roman" w:cs="Times New Roman"/>
                <w:szCs w:val="24"/>
                <w:lang w:eastAsia="en-IN"/>
              </w:rPr>
            </w:pPr>
            <w:r w:rsidRPr="008E2A3E">
              <w:rPr>
                <w:rFonts w:ascii="Times New Roman" w:hAnsi="Times New Roman" w:cs="Times New Roman"/>
                <w:szCs w:val="24"/>
                <w:lang w:eastAsia="en-IN"/>
              </w:rPr>
              <w:t>3.52</w:t>
            </w:r>
          </w:p>
        </w:tc>
        <w:tc>
          <w:tcPr>
            <w:tcW w:w="1376" w:type="dxa"/>
            <w:tcBorders>
              <w:top w:val="nil"/>
              <w:left w:val="nil"/>
              <w:bottom w:val="single" w:sz="4" w:space="0" w:color="auto"/>
              <w:right w:val="single" w:sz="4" w:space="0" w:color="auto"/>
            </w:tcBorders>
            <w:noWrap/>
            <w:vAlign w:val="center"/>
            <w:hideMark/>
          </w:tcPr>
          <w:p w14:paraId="76A3146E" w14:textId="77777777" w:rsidR="00EB5FE9" w:rsidRPr="008E2A3E" w:rsidRDefault="00EB5FE9" w:rsidP="008E2A3E">
            <w:pPr>
              <w:pStyle w:val="NoSpacing"/>
              <w:jc w:val="center"/>
              <w:rPr>
                <w:rFonts w:ascii="Times New Roman" w:hAnsi="Times New Roman" w:cs="Times New Roman"/>
                <w:szCs w:val="24"/>
                <w:lang w:eastAsia="en-IN"/>
              </w:rPr>
            </w:pPr>
            <w:r w:rsidRPr="008E2A3E">
              <w:rPr>
                <w:rFonts w:ascii="Times New Roman" w:hAnsi="Times New Roman" w:cs="Times New Roman"/>
                <w:szCs w:val="24"/>
                <w:lang w:eastAsia="en-IN"/>
              </w:rPr>
              <w:t>7.85</w:t>
            </w:r>
          </w:p>
        </w:tc>
        <w:tc>
          <w:tcPr>
            <w:tcW w:w="1289" w:type="dxa"/>
            <w:tcBorders>
              <w:top w:val="nil"/>
              <w:left w:val="nil"/>
              <w:bottom w:val="single" w:sz="4" w:space="0" w:color="auto"/>
              <w:right w:val="single" w:sz="4" w:space="0" w:color="auto"/>
            </w:tcBorders>
            <w:noWrap/>
            <w:vAlign w:val="center"/>
            <w:hideMark/>
          </w:tcPr>
          <w:p w14:paraId="6953A5B6" w14:textId="77777777" w:rsidR="00EB5FE9" w:rsidRPr="008E2A3E" w:rsidRDefault="00EB5FE9" w:rsidP="008E2A3E">
            <w:pPr>
              <w:pStyle w:val="NoSpacing"/>
              <w:jc w:val="center"/>
              <w:rPr>
                <w:rFonts w:ascii="Times New Roman" w:hAnsi="Times New Roman" w:cs="Times New Roman"/>
                <w:szCs w:val="24"/>
                <w:lang w:eastAsia="en-IN"/>
              </w:rPr>
            </w:pPr>
            <w:r w:rsidRPr="008E2A3E">
              <w:rPr>
                <w:rFonts w:ascii="Times New Roman" w:hAnsi="Times New Roman" w:cs="Times New Roman"/>
                <w:szCs w:val="24"/>
                <w:lang w:eastAsia="en-IN"/>
              </w:rPr>
              <w:t>1.34</w:t>
            </w:r>
          </w:p>
        </w:tc>
        <w:tc>
          <w:tcPr>
            <w:tcW w:w="1627" w:type="dxa"/>
            <w:tcBorders>
              <w:top w:val="nil"/>
              <w:left w:val="nil"/>
              <w:bottom w:val="single" w:sz="4" w:space="0" w:color="auto"/>
              <w:right w:val="single" w:sz="4" w:space="0" w:color="auto"/>
            </w:tcBorders>
            <w:noWrap/>
            <w:vAlign w:val="center"/>
            <w:hideMark/>
          </w:tcPr>
          <w:p w14:paraId="49092ABB" w14:textId="77777777" w:rsidR="00EB5FE9" w:rsidRPr="008E2A3E" w:rsidRDefault="00EB5FE9" w:rsidP="008E2A3E">
            <w:pPr>
              <w:pStyle w:val="NoSpacing"/>
              <w:jc w:val="center"/>
              <w:rPr>
                <w:rFonts w:ascii="Times New Roman" w:hAnsi="Times New Roman" w:cs="Times New Roman"/>
                <w:szCs w:val="24"/>
                <w:lang w:eastAsia="en-IN"/>
              </w:rPr>
            </w:pPr>
            <w:r w:rsidRPr="008E2A3E">
              <w:rPr>
                <w:rFonts w:ascii="Times New Roman" w:hAnsi="Times New Roman" w:cs="Times New Roman"/>
                <w:szCs w:val="24"/>
                <w:lang w:eastAsia="en-IN"/>
              </w:rPr>
              <w:t>1.29</w:t>
            </w:r>
          </w:p>
        </w:tc>
        <w:tc>
          <w:tcPr>
            <w:tcW w:w="1763" w:type="dxa"/>
            <w:tcBorders>
              <w:top w:val="nil"/>
              <w:left w:val="nil"/>
              <w:bottom w:val="single" w:sz="4" w:space="0" w:color="auto"/>
              <w:right w:val="single" w:sz="4" w:space="0" w:color="auto"/>
            </w:tcBorders>
            <w:noWrap/>
            <w:vAlign w:val="center"/>
            <w:hideMark/>
          </w:tcPr>
          <w:p w14:paraId="7FB92C2F" w14:textId="77777777" w:rsidR="00EB5FE9" w:rsidRPr="008E2A3E" w:rsidRDefault="00EB5FE9" w:rsidP="008E2A3E">
            <w:pPr>
              <w:pStyle w:val="NoSpacing"/>
              <w:jc w:val="center"/>
              <w:rPr>
                <w:rFonts w:ascii="Times New Roman" w:hAnsi="Times New Roman" w:cs="Times New Roman"/>
                <w:szCs w:val="24"/>
                <w:lang w:eastAsia="en-IN"/>
              </w:rPr>
            </w:pPr>
            <w:r w:rsidRPr="008E2A3E">
              <w:rPr>
                <w:rFonts w:ascii="Times New Roman" w:hAnsi="Times New Roman" w:cs="Times New Roman"/>
                <w:szCs w:val="24"/>
                <w:lang w:eastAsia="en-IN"/>
              </w:rPr>
              <w:t>0.87</w:t>
            </w:r>
          </w:p>
        </w:tc>
        <w:tc>
          <w:tcPr>
            <w:tcW w:w="997" w:type="dxa"/>
            <w:tcBorders>
              <w:top w:val="nil"/>
              <w:left w:val="nil"/>
              <w:bottom w:val="single" w:sz="4" w:space="0" w:color="auto"/>
              <w:right w:val="single" w:sz="4" w:space="0" w:color="auto"/>
            </w:tcBorders>
            <w:noWrap/>
            <w:vAlign w:val="center"/>
            <w:hideMark/>
          </w:tcPr>
          <w:p w14:paraId="7DE1089F" w14:textId="77777777" w:rsidR="00EB5FE9" w:rsidRPr="008E2A3E" w:rsidRDefault="00EB5FE9" w:rsidP="008E2A3E">
            <w:pPr>
              <w:pStyle w:val="NoSpacing"/>
              <w:jc w:val="center"/>
              <w:rPr>
                <w:rFonts w:ascii="Times New Roman" w:hAnsi="Times New Roman" w:cs="Times New Roman"/>
                <w:szCs w:val="24"/>
                <w:lang w:eastAsia="en-IN"/>
              </w:rPr>
            </w:pPr>
            <w:r w:rsidRPr="008E2A3E">
              <w:rPr>
                <w:rFonts w:ascii="Times New Roman" w:hAnsi="Times New Roman" w:cs="Times New Roman"/>
                <w:szCs w:val="24"/>
                <w:lang w:eastAsia="en-IN"/>
              </w:rPr>
              <w:t>19.41</w:t>
            </w:r>
          </w:p>
        </w:tc>
        <w:tc>
          <w:tcPr>
            <w:tcW w:w="1507" w:type="dxa"/>
            <w:tcBorders>
              <w:top w:val="nil"/>
              <w:left w:val="nil"/>
              <w:bottom w:val="single" w:sz="4" w:space="0" w:color="auto"/>
              <w:right w:val="single" w:sz="4" w:space="0" w:color="auto"/>
            </w:tcBorders>
            <w:noWrap/>
            <w:vAlign w:val="center"/>
            <w:hideMark/>
          </w:tcPr>
          <w:p w14:paraId="3D14BE36" w14:textId="77777777" w:rsidR="00EB5FE9" w:rsidRPr="008E2A3E" w:rsidRDefault="00EB5FE9" w:rsidP="008E2A3E">
            <w:pPr>
              <w:pStyle w:val="NoSpacing"/>
              <w:jc w:val="center"/>
              <w:rPr>
                <w:rFonts w:ascii="Times New Roman" w:hAnsi="Times New Roman" w:cs="Times New Roman"/>
                <w:szCs w:val="24"/>
                <w:lang w:eastAsia="en-IN"/>
              </w:rPr>
            </w:pPr>
            <w:r w:rsidRPr="008E2A3E">
              <w:rPr>
                <w:rFonts w:ascii="Times New Roman" w:hAnsi="Times New Roman" w:cs="Times New Roman"/>
                <w:szCs w:val="24"/>
                <w:lang w:eastAsia="en-IN"/>
              </w:rPr>
              <w:t>137.15</w:t>
            </w:r>
          </w:p>
        </w:tc>
      </w:tr>
      <w:tr w:rsidR="00EB5FE9" w:rsidRPr="008E2A3E" w14:paraId="6C68A407" w14:textId="77777777" w:rsidTr="00BA3FB7">
        <w:trPr>
          <w:trHeight w:val="264"/>
        </w:trPr>
        <w:tc>
          <w:tcPr>
            <w:tcW w:w="1782" w:type="dxa"/>
            <w:tcBorders>
              <w:top w:val="nil"/>
              <w:left w:val="single" w:sz="4" w:space="0" w:color="auto"/>
              <w:bottom w:val="single" w:sz="4" w:space="0" w:color="auto"/>
              <w:right w:val="single" w:sz="4" w:space="0" w:color="auto"/>
            </w:tcBorders>
            <w:noWrap/>
            <w:vAlign w:val="bottom"/>
            <w:hideMark/>
          </w:tcPr>
          <w:p w14:paraId="166DC567" w14:textId="77777777" w:rsidR="00EB5FE9" w:rsidRPr="008E2A3E" w:rsidRDefault="00EB5FE9" w:rsidP="00EB5FE9">
            <w:pPr>
              <w:pStyle w:val="NoSpacing"/>
              <w:rPr>
                <w:rFonts w:ascii="Times New Roman" w:hAnsi="Times New Roman" w:cs="Times New Roman"/>
                <w:szCs w:val="24"/>
                <w:lang w:eastAsia="en-IN"/>
              </w:rPr>
            </w:pPr>
            <w:r w:rsidRPr="008E2A3E">
              <w:rPr>
                <w:rFonts w:ascii="Times New Roman" w:hAnsi="Times New Roman" w:cs="Times New Roman"/>
                <w:szCs w:val="24"/>
                <w:lang w:eastAsia="en-IN"/>
              </w:rPr>
              <w:t>1967-68</w:t>
            </w:r>
          </w:p>
        </w:tc>
        <w:tc>
          <w:tcPr>
            <w:tcW w:w="1062" w:type="dxa"/>
            <w:tcBorders>
              <w:top w:val="nil"/>
              <w:left w:val="nil"/>
              <w:bottom w:val="single" w:sz="4" w:space="0" w:color="auto"/>
              <w:right w:val="single" w:sz="4" w:space="0" w:color="auto"/>
            </w:tcBorders>
            <w:noWrap/>
            <w:vAlign w:val="center"/>
            <w:hideMark/>
          </w:tcPr>
          <w:p w14:paraId="0C3AAF67" w14:textId="77777777" w:rsidR="00EB5FE9" w:rsidRPr="008E2A3E" w:rsidRDefault="00EB5FE9" w:rsidP="008E2A3E">
            <w:pPr>
              <w:pStyle w:val="NoSpacing"/>
              <w:jc w:val="center"/>
              <w:rPr>
                <w:rFonts w:ascii="Times New Roman" w:hAnsi="Times New Roman" w:cs="Times New Roman"/>
                <w:szCs w:val="24"/>
                <w:lang w:eastAsia="en-IN"/>
              </w:rPr>
            </w:pPr>
            <w:r w:rsidRPr="008E2A3E">
              <w:rPr>
                <w:rFonts w:ascii="Times New Roman" w:hAnsi="Times New Roman" w:cs="Times New Roman"/>
                <w:szCs w:val="24"/>
                <w:lang w:eastAsia="en-IN"/>
              </w:rPr>
              <w:t>7.26</w:t>
            </w:r>
          </w:p>
        </w:tc>
        <w:tc>
          <w:tcPr>
            <w:tcW w:w="953" w:type="dxa"/>
            <w:tcBorders>
              <w:top w:val="nil"/>
              <w:left w:val="nil"/>
              <w:bottom w:val="single" w:sz="4" w:space="0" w:color="auto"/>
              <w:right w:val="single" w:sz="4" w:space="0" w:color="auto"/>
            </w:tcBorders>
            <w:noWrap/>
            <w:vAlign w:val="center"/>
            <w:hideMark/>
          </w:tcPr>
          <w:p w14:paraId="4267B19F" w14:textId="77777777" w:rsidR="00EB5FE9" w:rsidRPr="008E2A3E" w:rsidRDefault="00EB5FE9" w:rsidP="008E2A3E">
            <w:pPr>
              <w:pStyle w:val="NoSpacing"/>
              <w:jc w:val="center"/>
              <w:rPr>
                <w:rFonts w:ascii="Times New Roman" w:hAnsi="Times New Roman" w:cs="Times New Roman"/>
                <w:szCs w:val="24"/>
                <w:lang w:eastAsia="en-IN"/>
              </w:rPr>
            </w:pPr>
            <w:r w:rsidRPr="008E2A3E">
              <w:rPr>
                <w:rFonts w:ascii="Times New Roman" w:hAnsi="Times New Roman" w:cs="Times New Roman"/>
                <w:szCs w:val="24"/>
                <w:lang w:eastAsia="en-IN"/>
              </w:rPr>
              <w:t>28.28</w:t>
            </w:r>
          </w:p>
        </w:tc>
        <w:tc>
          <w:tcPr>
            <w:tcW w:w="1165" w:type="dxa"/>
            <w:tcBorders>
              <w:top w:val="nil"/>
              <w:left w:val="nil"/>
              <w:bottom w:val="single" w:sz="4" w:space="0" w:color="auto"/>
              <w:right w:val="single" w:sz="4" w:space="0" w:color="auto"/>
            </w:tcBorders>
            <w:noWrap/>
            <w:vAlign w:val="center"/>
            <w:hideMark/>
          </w:tcPr>
          <w:p w14:paraId="1F160B3D" w14:textId="77777777" w:rsidR="00EB5FE9" w:rsidRPr="008E2A3E" w:rsidRDefault="00EB5FE9" w:rsidP="008E2A3E">
            <w:pPr>
              <w:pStyle w:val="NoSpacing"/>
              <w:jc w:val="center"/>
              <w:rPr>
                <w:rFonts w:ascii="Times New Roman" w:hAnsi="Times New Roman" w:cs="Times New Roman"/>
                <w:szCs w:val="24"/>
                <w:lang w:eastAsia="en-IN"/>
              </w:rPr>
            </w:pPr>
            <w:r w:rsidRPr="008E2A3E">
              <w:rPr>
                <w:rFonts w:ascii="Times New Roman" w:hAnsi="Times New Roman" w:cs="Times New Roman"/>
                <w:szCs w:val="24"/>
                <w:lang w:eastAsia="en-IN"/>
              </w:rPr>
              <w:t>3.14</w:t>
            </w:r>
          </w:p>
        </w:tc>
        <w:tc>
          <w:tcPr>
            <w:tcW w:w="1488" w:type="dxa"/>
            <w:tcBorders>
              <w:top w:val="nil"/>
              <w:left w:val="nil"/>
              <w:bottom w:val="single" w:sz="4" w:space="0" w:color="auto"/>
              <w:right w:val="single" w:sz="4" w:space="0" w:color="auto"/>
            </w:tcBorders>
            <w:noWrap/>
            <w:vAlign w:val="center"/>
            <w:hideMark/>
          </w:tcPr>
          <w:p w14:paraId="2BB9DAE9" w14:textId="77777777" w:rsidR="00EB5FE9" w:rsidRPr="008E2A3E" w:rsidRDefault="00EB5FE9" w:rsidP="008E2A3E">
            <w:pPr>
              <w:pStyle w:val="NoSpacing"/>
              <w:jc w:val="center"/>
              <w:rPr>
                <w:rFonts w:ascii="Times New Roman" w:hAnsi="Times New Roman" w:cs="Times New Roman"/>
                <w:szCs w:val="24"/>
                <w:lang w:eastAsia="en-IN"/>
              </w:rPr>
            </w:pPr>
            <w:r w:rsidRPr="008E2A3E">
              <w:rPr>
                <w:rFonts w:ascii="Times New Roman" w:hAnsi="Times New Roman" w:cs="Times New Roman"/>
                <w:szCs w:val="24"/>
                <w:lang w:eastAsia="en-IN"/>
              </w:rPr>
              <w:t>4.36</w:t>
            </w:r>
          </w:p>
        </w:tc>
        <w:tc>
          <w:tcPr>
            <w:tcW w:w="1376" w:type="dxa"/>
            <w:tcBorders>
              <w:top w:val="nil"/>
              <w:left w:val="nil"/>
              <w:bottom w:val="single" w:sz="4" w:space="0" w:color="auto"/>
              <w:right w:val="single" w:sz="4" w:space="0" w:color="auto"/>
            </w:tcBorders>
            <w:noWrap/>
            <w:vAlign w:val="center"/>
            <w:hideMark/>
          </w:tcPr>
          <w:p w14:paraId="140FD585" w14:textId="40ABACD4" w:rsidR="00EB5FE9" w:rsidRPr="008E2A3E" w:rsidRDefault="00EB5FE9" w:rsidP="008E2A3E">
            <w:pPr>
              <w:pStyle w:val="NoSpacing"/>
              <w:jc w:val="center"/>
              <w:rPr>
                <w:rFonts w:ascii="Times New Roman" w:hAnsi="Times New Roman" w:cs="Times New Roman"/>
                <w:szCs w:val="24"/>
                <w:lang w:eastAsia="en-IN"/>
              </w:rPr>
            </w:pPr>
            <w:r w:rsidRPr="008E2A3E">
              <w:rPr>
                <w:rFonts w:ascii="Times New Roman" w:hAnsi="Times New Roman" w:cs="Times New Roman"/>
                <w:szCs w:val="24"/>
                <w:lang w:eastAsia="en-IN"/>
              </w:rPr>
              <w:t>8.7</w:t>
            </w:r>
            <w:r w:rsidR="00F34353">
              <w:rPr>
                <w:rFonts w:ascii="Times New Roman" w:hAnsi="Times New Roman" w:cs="Times New Roman"/>
                <w:szCs w:val="24"/>
                <w:lang w:eastAsia="en-IN"/>
              </w:rPr>
              <w:t>0</w:t>
            </w:r>
          </w:p>
        </w:tc>
        <w:tc>
          <w:tcPr>
            <w:tcW w:w="1289" w:type="dxa"/>
            <w:tcBorders>
              <w:top w:val="nil"/>
              <w:left w:val="nil"/>
              <w:bottom w:val="single" w:sz="4" w:space="0" w:color="auto"/>
              <w:right w:val="single" w:sz="4" w:space="0" w:color="auto"/>
            </w:tcBorders>
            <w:noWrap/>
            <w:vAlign w:val="center"/>
            <w:hideMark/>
          </w:tcPr>
          <w:p w14:paraId="3E7EFD9F" w14:textId="37AB4610" w:rsidR="00EB5FE9" w:rsidRPr="008E2A3E" w:rsidRDefault="00EB5FE9" w:rsidP="008E2A3E">
            <w:pPr>
              <w:pStyle w:val="NoSpacing"/>
              <w:jc w:val="center"/>
              <w:rPr>
                <w:rFonts w:ascii="Times New Roman" w:hAnsi="Times New Roman" w:cs="Times New Roman"/>
                <w:szCs w:val="24"/>
                <w:lang w:eastAsia="en-IN"/>
              </w:rPr>
            </w:pPr>
            <w:r w:rsidRPr="008E2A3E">
              <w:rPr>
                <w:rFonts w:ascii="Times New Roman" w:hAnsi="Times New Roman" w:cs="Times New Roman"/>
                <w:szCs w:val="24"/>
                <w:lang w:eastAsia="en-IN"/>
              </w:rPr>
              <w:t>1.1</w:t>
            </w:r>
            <w:r w:rsidR="00F34353">
              <w:rPr>
                <w:rFonts w:ascii="Times New Roman" w:hAnsi="Times New Roman" w:cs="Times New Roman"/>
                <w:szCs w:val="24"/>
                <w:lang w:eastAsia="en-IN"/>
              </w:rPr>
              <w:t>0</w:t>
            </w:r>
          </w:p>
        </w:tc>
        <w:tc>
          <w:tcPr>
            <w:tcW w:w="1627" w:type="dxa"/>
            <w:tcBorders>
              <w:top w:val="nil"/>
              <w:left w:val="nil"/>
              <w:bottom w:val="single" w:sz="4" w:space="0" w:color="auto"/>
              <w:right w:val="single" w:sz="4" w:space="0" w:color="auto"/>
            </w:tcBorders>
            <w:noWrap/>
            <w:vAlign w:val="center"/>
            <w:hideMark/>
          </w:tcPr>
          <w:p w14:paraId="28D4A058" w14:textId="77777777" w:rsidR="00EB5FE9" w:rsidRPr="008E2A3E" w:rsidRDefault="00EB5FE9" w:rsidP="008E2A3E">
            <w:pPr>
              <w:pStyle w:val="NoSpacing"/>
              <w:jc w:val="center"/>
              <w:rPr>
                <w:rFonts w:ascii="Times New Roman" w:hAnsi="Times New Roman" w:cs="Times New Roman"/>
                <w:szCs w:val="24"/>
                <w:lang w:eastAsia="en-IN"/>
              </w:rPr>
            </w:pPr>
            <w:r w:rsidRPr="008E2A3E">
              <w:rPr>
                <w:rFonts w:ascii="Times New Roman" w:hAnsi="Times New Roman" w:cs="Times New Roman"/>
                <w:szCs w:val="24"/>
                <w:lang w:eastAsia="en-IN"/>
              </w:rPr>
              <w:t>1.26</w:t>
            </w:r>
          </w:p>
        </w:tc>
        <w:tc>
          <w:tcPr>
            <w:tcW w:w="1763" w:type="dxa"/>
            <w:tcBorders>
              <w:top w:val="nil"/>
              <w:left w:val="nil"/>
              <w:bottom w:val="single" w:sz="4" w:space="0" w:color="auto"/>
              <w:right w:val="single" w:sz="4" w:space="0" w:color="auto"/>
            </w:tcBorders>
            <w:noWrap/>
            <w:vAlign w:val="center"/>
            <w:hideMark/>
          </w:tcPr>
          <w:p w14:paraId="001812CF" w14:textId="77777777" w:rsidR="00EB5FE9" w:rsidRPr="008E2A3E" w:rsidRDefault="00EB5FE9" w:rsidP="008E2A3E">
            <w:pPr>
              <w:pStyle w:val="NoSpacing"/>
              <w:jc w:val="center"/>
              <w:rPr>
                <w:rFonts w:ascii="Times New Roman" w:hAnsi="Times New Roman" w:cs="Times New Roman"/>
                <w:szCs w:val="24"/>
                <w:lang w:eastAsia="en-IN"/>
              </w:rPr>
            </w:pPr>
            <w:r w:rsidRPr="008E2A3E">
              <w:rPr>
                <w:rFonts w:ascii="Times New Roman" w:hAnsi="Times New Roman" w:cs="Times New Roman"/>
                <w:szCs w:val="24"/>
                <w:lang w:eastAsia="en-IN"/>
              </w:rPr>
              <w:t>1.34</w:t>
            </w:r>
          </w:p>
        </w:tc>
        <w:tc>
          <w:tcPr>
            <w:tcW w:w="997" w:type="dxa"/>
            <w:tcBorders>
              <w:top w:val="nil"/>
              <w:left w:val="nil"/>
              <w:bottom w:val="single" w:sz="4" w:space="0" w:color="auto"/>
              <w:right w:val="single" w:sz="4" w:space="0" w:color="auto"/>
            </w:tcBorders>
            <w:noWrap/>
            <w:vAlign w:val="center"/>
            <w:hideMark/>
          </w:tcPr>
          <w:p w14:paraId="36964393" w14:textId="77777777" w:rsidR="00EB5FE9" w:rsidRPr="008E2A3E" w:rsidRDefault="00EB5FE9" w:rsidP="008E2A3E">
            <w:pPr>
              <w:pStyle w:val="NoSpacing"/>
              <w:jc w:val="center"/>
              <w:rPr>
                <w:rFonts w:ascii="Times New Roman" w:hAnsi="Times New Roman" w:cs="Times New Roman"/>
                <w:szCs w:val="24"/>
                <w:lang w:eastAsia="en-IN"/>
              </w:rPr>
            </w:pPr>
            <w:r w:rsidRPr="008E2A3E">
              <w:rPr>
                <w:rFonts w:ascii="Times New Roman" w:hAnsi="Times New Roman" w:cs="Times New Roman"/>
                <w:szCs w:val="24"/>
                <w:lang w:eastAsia="en-IN"/>
              </w:rPr>
              <w:t>20.65</w:t>
            </w:r>
          </w:p>
        </w:tc>
        <w:tc>
          <w:tcPr>
            <w:tcW w:w="1507" w:type="dxa"/>
            <w:tcBorders>
              <w:top w:val="nil"/>
              <w:left w:val="nil"/>
              <w:bottom w:val="single" w:sz="4" w:space="0" w:color="auto"/>
              <w:right w:val="single" w:sz="4" w:space="0" w:color="auto"/>
            </w:tcBorders>
            <w:noWrap/>
            <w:vAlign w:val="center"/>
            <w:hideMark/>
          </w:tcPr>
          <w:p w14:paraId="3DAB36F8" w14:textId="77777777" w:rsidR="00EB5FE9" w:rsidRPr="008E2A3E" w:rsidRDefault="00EB5FE9" w:rsidP="008E2A3E">
            <w:pPr>
              <w:pStyle w:val="NoSpacing"/>
              <w:jc w:val="center"/>
              <w:rPr>
                <w:rFonts w:ascii="Times New Roman" w:hAnsi="Times New Roman" w:cs="Times New Roman"/>
                <w:szCs w:val="24"/>
                <w:lang w:eastAsia="en-IN"/>
              </w:rPr>
            </w:pPr>
            <w:r w:rsidRPr="008E2A3E">
              <w:rPr>
                <w:rFonts w:ascii="Times New Roman" w:hAnsi="Times New Roman" w:cs="Times New Roman"/>
                <w:szCs w:val="24"/>
                <w:lang w:eastAsia="en-IN"/>
              </w:rPr>
              <w:t>167.46</w:t>
            </w:r>
          </w:p>
        </w:tc>
      </w:tr>
      <w:tr w:rsidR="00EB5FE9" w:rsidRPr="008E2A3E" w14:paraId="1D941859" w14:textId="77777777" w:rsidTr="00BA3FB7">
        <w:trPr>
          <w:trHeight w:val="264"/>
        </w:trPr>
        <w:tc>
          <w:tcPr>
            <w:tcW w:w="1782" w:type="dxa"/>
            <w:tcBorders>
              <w:top w:val="nil"/>
              <w:left w:val="single" w:sz="4" w:space="0" w:color="auto"/>
              <w:bottom w:val="single" w:sz="4" w:space="0" w:color="auto"/>
              <w:right w:val="single" w:sz="4" w:space="0" w:color="auto"/>
            </w:tcBorders>
            <w:noWrap/>
            <w:vAlign w:val="bottom"/>
            <w:hideMark/>
          </w:tcPr>
          <w:p w14:paraId="05699BE1" w14:textId="77777777" w:rsidR="00EB5FE9" w:rsidRPr="008E2A3E" w:rsidRDefault="00EB5FE9" w:rsidP="00EB5FE9">
            <w:pPr>
              <w:pStyle w:val="NoSpacing"/>
              <w:rPr>
                <w:rFonts w:ascii="Times New Roman" w:hAnsi="Times New Roman" w:cs="Times New Roman"/>
                <w:szCs w:val="24"/>
                <w:lang w:eastAsia="en-IN"/>
              </w:rPr>
            </w:pPr>
            <w:r w:rsidRPr="008E2A3E">
              <w:rPr>
                <w:rFonts w:ascii="Times New Roman" w:hAnsi="Times New Roman" w:cs="Times New Roman"/>
                <w:szCs w:val="24"/>
                <w:lang w:eastAsia="en-IN"/>
              </w:rPr>
              <w:t>1968-69 (RE)</w:t>
            </w:r>
          </w:p>
        </w:tc>
        <w:tc>
          <w:tcPr>
            <w:tcW w:w="1062" w:type="dxa"/>
            <w:tcBorders>
              <w:top w:val="nil"/>
              <w:left w:val="nil"/>
              <w:bottom w:val="single" w:sz="4" w:space="0" w:color="auto"/>
              <w:right w:val="single" w:sz="4" w:space="0" w:color="auto"/>
            </w:tcBorders>
            <w:noWrap/>
            <w:vAlign w:val="center"/>
            <w:hideMark/>
          </w:tcPr>
          <w:p w14:paraId="3F8DB99D" w14:textId="77777777" w:rsidR="00EB5FE9" w:rsidRPr="008E2A3E" w:rsidRDefault="00EB5FE9" w:rsidP="008E2A3E">
            <w:pPr>
              <w:pStyle w:val="NoSpacing"/>
              <w:jc w:val="center"/>
              <w:rPr>
                <w:rFonts w:ascii="Times New Roman" w:hAnsi="Times New Roman" w:cs="Times New Roman"/>
                <w:szCs w:val="24"/>
                <w:lang w:eastAsia="en-IN"/>
              </w:rPr>
            </w:pPr>
            <w:r w:rsidRPr="008E2A3E">
              <w:rPr>
                <w:rFonts w:ascii="Times New Roman" w:hAnsi="Times New Roman" w:cs="Times New Roman"/>
                <w:szCs w:val="24"/>
                <w:lang w:eastAsia="en-IN"/>
              </w:rPr>
              <w:t>8.49 (4.94)</w:t>
            </w:r>
          </w:p>
        </w:tc>
        <w:tc>
          <w:tcPr>
            <w:tcW w:w="953" w:type="dxa"/>
            <w:tcBorders>
              <w:top w:val="nil"/>
              <w:left w:val="nil"/>
              <w:bottom w:val="single" w:sz="4" w:space="0" w:color="auto"/>
              <w:right w:val="single" w:sz="4" w:space="0" w:color="auto"/>
            </w:tcBorders>
            <w:noWrap/>
            <w:vAlign w:val="center"/>
            <w:hideMark/>
          </w:tcPr>
          <w:p w14:paraId="3B16A2B0" w14:textId="77777777" w:rsidR="00EB5FE9" w:rsidRPr="008E2A3E" w:rsidRDefault="00EB5FE9" w:rsidP="008E2A3E">
            <w:pPr>
              <w:pStyle w:val="NoSpacing"/>
              <w:jc w:val="center"/>
              <w:rPr>
                <w:rFonts w:ascii="Times New Roman" w:hAnsi="Times New Roman" w:cs="Times New Roman"/>
                <w:szCs w:val="24"/>
                <w:lang w:eastAsia="en-IN"/>
              </w:rPr>
            </w:pPr>
            <w:r w:rsidRPr="008E2A3E">
              <w:rPr>
                <w:rFonts w:ascii="Times New Roman" w:hAnsi="Times New Roman" w:cs="Times New Roman"/>
                <w:szCs w:val="24"/>
                <w:lang w:eastAsia="en-IN"/>
              </w:rPr>
              <w:t>30.78 (17.92)</w:t>
            </w:r>
          </w:p>
        </w:tc>
        <w:tc>
          <w:tcPr>
            <w:tcW w:w="1165" w:type="dxa"/>
            <w:tcBorders>
              <w:top w:val="nil"/>
              <w:left w:val="nil"/>
              <w:bottom w:val="single" w:sz="4" w:space="0" w:color="auto"/>
              <w:right w:val="single" w:sz="4" w:space="0" w:color="auto"/>
            </w:tcBorders>
            <w:noWrap/>
            <w:vAlign w:val="center"/>
            <w:hideMark/>
          </w:tcPr>
          <w:p w14:paraId="6E6C0DEE" w14:textId="77777777" w:rsidR="00EB5FE9" w:rsidRPr="008E2A3E" w:rsidRDefault="00EB5FE9" w:rsidP="008E2A3E">
            <w:pPr>
              <w:pStyle w:val="NoSpacing"/>
              <w:jc w:val="center"/>
              <w:rPr>
                <w:rFonts w:ascii="Times New Roman" w:hAnsi="Times New Roman" w:cs="Times New Roman"/>
                <w:szCs w:val="24"/>
                <w:lang w:eastAsia="en-IN"/>
              </w:rPr>
            </w:pPr>
            <w:r w:rsidRPr="008E2A3E">
              <w:rPr>
                <w:rFonts w:ascii="Times New Roman" w:hAnsi="Times New Roman" w:cs="Times New Roman"/>
                <w:szCs w:val="24"/>
                <w:lang w:eastAsia="en-IN"/>
              </w:rPr>
              <w:t>3.31 (1.93)</w:t>
            </w:r>
          </w:p>
        </w:tc>
        <w:tc>
          <w:tcPr>
            <w:tcW w:w="1488" w:type="dxa"/>
            <w:tcBorders>
              <w:top w:val="nil"/>
              <w:left w:val="nil"/>
              <w:bottom w:val="single" w:sz="4" w:space="0" w:color="auto"/>
              <w:right w:val="single" w:sz="4" w:space="0" w:color="auto"/>
            </w:tcBorders>
            <w:noWrap/>
            <w:vAlign w:val="center"/>
            <w:hideMark/>
          </w:tcPr>
          <w:p w14:paraId="425F550D" w14:textId="77777777" w:rsidR="00EB5FE9" w:rsidRPr="008E2A3E" w:rsidRDefault="00EB5FE9" w:rsidP="008E2A3E">
            <w:pPr>
              <w:pStyle w:val="NoSpacing"/>
              <w:jc w:val="center"/>
              <w:rPr>
                <w:rFonts w:ascii="Times New Roman" w:hAnsi="Times New Roman" w:cs="Times New Roman"/>
                <w:szCs w:val="24"/>
                <w:lang w:eastAsia="en-IN"/>
              </w:rPr>
            </w:pPr>
            <w:r w:rsidRPr="008E2A3E">
              <w:rPr>
                <w:rFonts w:ascii="Times New Roman" w:hAnsi="Times New Roman" w:cs="Times New Roman"/>
                <w:szCs w:val="24"/>
                <w:lang w:eastAsia="en-IN"/>
              </w:rPr>
              <w:t>4.61 (2.68)</w:t>
            </w:r>
          </w:p>
        </w:tc>
        <w:tc>
          <w:tcPr>
            <w:tcW w:w="1376" w:type="dxa"/>
            <w:tcBorders>
              <w:top w:val="nil"/>
              <w:left w:val="nil"/>
              <w:bottom w:val="single" w:sz="4" w:space="0" w:color="auto"/>
              <w:right w:val="single" w:sz="4" w:space="0" w:color="auto"/>
            </w:tcBorders>
            <w:noWrap/>
            <w:vAlign w:val="center"/>
            <w:hideMark/>
          </w:tcPr>
          <w:p w14:paraId="5E4EBBA6" w14:textId="77777777" w:rsidR="00EB5FE9" w:rsidRPr="008E2A3E" w:rsidRDefault="00EB5FE9" w:rsidP="008E2A3E">
            <w:pPr>
              <w:pStyle w:val="NoSpacing"/>
              <w:jc w:val="center"/>
              <w:rPr>
                <w:rFonts w:ascii="Times New Roman" w:hAnsi="Times New Roman" w:cs="Times New Roman"/>
                <w:szCs w:val="24"/>
                <w:lang w:eastAsia="en-IN"/>
              </w:rPr>
            </w:pPr>
            <w:r w:rsidRPr="008E2A3E">
              <w:rPr>
                <w:rFonts w:ascii="Times New Roman" w:hAnsi="Times New Roman" w:cs="Times New Roman"/>
                <w:szCs w:val="24"/>
                <w:lang w:eastAsia="en-IN"/>
              </w:rPr>
              <w:t>9.27 (5.40)</w:t>
            </w:r>
          </w:p>
        </w:tc>
        <w:tc>
          <w:tcPr>
            <w:tcW w:w="1289" w:type="dxa"/>
            <w:tcBorders>
              <w:top w:val="nil"/>
              <w:left w:val="nil"/>
              <w:bottom w:val="single" w:sz="4" w:space="0" w:color="auto"/>
              <w:right w:val="single" w:sz="4" w:space="0" w:color="auto"/>
            </w:tcBorders>
            <w:noWrap/>
            <w:vAlign w:val="center"/>
            <w:hideMark/>
          </w:tcPr>
          <w:p w14:paraId="0D81A6AD" w14:textId="77777777" w:rsidR="00EB5FE9" w:rsidRPr="008E2A3E" w:rsidRDefault="00EB5FE9" w:rsidP="008E2A3E">
            <w:pPr>
              <w:pStyle w:val="NoSpacing"/>
              <w:jc w:val="center"/>
              <w:rPr>
                <w:rFonts w:ascii="Times New Roman" w:hAnsi="Times New Roman" w:cs="Times New Roman"/>
                <w:szCs w:val="24"/>
                <w:lang w:eastAsia="en-IN"/>
              </w:rPr>
            </w:pPr>
            <w:r w:rsidRPr="008E2A3E">
              <w:rPr>
                <w:rFonts w:ascii="Times New Roman" w:hAnsi="Times New Roman" w:cs="Times New Roman"/>
                <w:szCs w:val="24"/>
                <w:lang w:eastAsia="en-IN"/>
              </w:rPr>
              <w:t>1.24 (0.72)</w:t>
            </w:r>
          </w:p>
        </w:tc>
        <w:tc>
          <w:tcPr>
            <w:tcW w:w="1627" w:type="dxa"/>
            <w:tcBorders>
              <w:top w:val="nil"/>
              <w:left w:val="nil"/>
              <w:bottom w:val="single" w:sz="4" w:space="0" w:color="auto"/>
              <w:right w:val="single" w:sz="4" w:space="0" w:color="auto"/>
            </w:tcBorders>
            <w:noWrap/>
            <w:vAlign w:val="center"/>
            <w:hideMark/>
          </w:tcPr>
          <w:p w14:paraId="41E3E662" w14:textId="77777777" w:rsidR="00EB5FE9" w:rsidRPr="008E2A3E" w:rsidRDefault="00EB5FE9" w:rsidP="008E2A3E">
            <w:pPr>
              <w:pStyle w:val="NoSpacing"/>
              <w:jc w:val="center"/>
              <w:rPr>
                <w:rFonts w:ascii="Times New Roman" w:hAnsi="Times New Roman" w:cs="Times New Roman"/>
                <w:szCs w:val="24"/>
                <w:lang w:eastAsia="en-IN"/>
              </w:rPr>
            </w:pPr>
            <w:r w:rsidRPr="008E2A3E">
              <w:rPr>
                <w:rFonts w:ascii="Times New Roman" w:hAnsi="Times New Roman" w:cs="Times New Roman"/>
                <w:szCs w:val="24"/>
                <w:lang w:eastAsia="en-IN"/>
              </w:rPr>
              <w:t>1.45 (0.84)</w:t>
            </w:r>
          </w:p>
        </w:tc>
        <w:tc>
          <w:tcPr>
            <w:tcW w:w="1763" w:type="dxa"/>
            <w:tcBorders>
              <w:top w:val="nil"/>
              <w:left w:val="nil"/>
              <w:bottom w:val="single" w:sz="4" w:space="0" w:color="auto"/>
              <w:right w:val="single" w:sz="4" w:space="0" w:color="auto"/>
            </w:tcBorders>
            <w:noWrap/>
            <w:vAlign w:val="center"/>
            <w:hideMark/>
          </w:tcPr>
          <w:p w14:paraId="5F0A0588" w14:textId="77777777" w:rsidR="00EB5FE9" w:rsidRPr="008E2A3E" w:rsidRDefault="00EB5FE9" w:rsidP="008E2A3E">
            <w:pPr>
              <w:pStyle w:val="NoSpacing"/>
              <w:jc w:val="center"/>
              <w:rPr>
                <w:rFonts w:ascii="Times New Roman" w:hAnsi="Times New Roman" w:cs="Times New Roman"/>
                <w:szCs w:val="24"/>
                <w:lang w:eastAsia="en-IN"/>
              </w:rPr>
            </w:pPr>
            <w:r w:rsidRPr="008E2A3E">
              <w:rPr>
                <w:rFonts w:ascii="Times New Roman" w:hAnsi="Times New Roman" w:cs="Times New Roman"/>
                <w:szCs w:val="24"/>
                <w:lang w:eastAsia="en-IN"/>
              </w:rPr>
              <w:t>1.03 (0.60)</w:t>
            </w:r>
          </w:p>
        </w:tc>
        <w:tc>
          <w:tcPr>
            <w:tcW w:w="997" w:type="dxa"/>
            <w:tcBorders>
              <w:top w:val="nil"/>
              <w:left w:val="nil"/>
              <w:bottom w:val="single" w:sz="4" w:space="0" w:color="auto"/>
              <w:right w:val="single" w:sz="4" w:space="0" w:color="auto"/>
            </w:tcBorders>
            <w:noWrap/>
            <w:vAlign w:val="center"/>
            <w:hideMark/>
          </w:tcPr>
          <w:p w14:paraId="1E831AA2" w14:textId="77777777" w:rsidR="00EB5FE9" w:rsidRPr="008E2A3E" w:rsidRDefault="00EB5FE9" w:rsidP="008E2A3E">
            <w:pPr>
              <w:pStyle w:val="NoSpacing"/>
              <w:jc w:val="center"/>
              <w:rPr>
                <w:rFonts w:ascii="Times New Roman" w:hAnsi="Times New Roman" w:cs="Times New Roman"/>
                <w:szCs w:val="24"/>
                <w:lang w:eastAsia="en-IN"/>
              </w:rPr>
            </w:pPr>
            <w:r w:rsidRPr="008E2A3E">
              <w:rPr>
                <w:rFonts w:ascii="Times New Roman" w:hAnsi="Times New Roman" w:cs="Times New Roman"/>
                <w:szCs w:val="24"/>
                <w:lang w:eastAsia="en-IN"/>
              </w:rPr>
              <w:t>22.30 (12.98)</w:t>
            </w:r>
          </w:p>
        </w:tc>
        <w:tc>
          <w:tcPr>
            <w:tcW w:w="1507" w:type="dxa"/>
            <w:tcBorders>
              <w:top w:val="nil"/>
              <w:left w:val="nil"/>
              <w:bottom w:val="single" w:sz="4" w:space="0" w:color="auto"/>
              <w:right w:val="single" w:sz="4" w:space="0" w:color="auto"/>
            </w:tcBorders>
            <w:noWrap/>
            <w:vAlign w:val="center"/>
            <w:hideMark/>
          </w:tcPr>
          <w:p w14:paraId="26A185BB" w14:textId="77777777" w:rsidR="00EB5FE9" w:rsidRPr="008E2A3E" w:rsidRDefault="00EB5FE9" w:rsidP="008E2A3E">
            <w:pPr>
              <w:pStyle w:val="NoSpacing"/>
              <w:jc w:val="center"/>
              <w:rPr>
                <w:rFonts w:ascii="Times New Roman" w:hAnsi="Times New Roman" w:cs="Times New Roman"/>
                <w:szCs w:val="24"/>
                <w:lang w:eastAsia="en-IN"/>
              </w:rPr>
            </w:pPr>
            <w:r w:rsidRPr="008E2A3E">
              <w:rPr>
                <w:rFonts w:ascii="Times New Roman" w:hAnsi="Times New Roman" w:cs="Times New Roman"/>
                <w:szCs w:val="24"/>
                <w:lang w:eastAsia="en-IN"/>
              </w:rPr>
              <w:t>171.80 (100.00)</w:t>
            </w:r>
          </w:p>
        </w:tc>
      </w:tr>
      <w:tr w:rsidR="00EB5FE9" w:rsidRPr="008E2A3E" w14:paraId="4B402DFA" w14:textId="77777777" w:rsidTr="00BA3FB7">
        <w:trPr>
          <w:trHeight w:val="264"/>
        </w:trPr>
        <w:tc>
          <w:tcPr>
            <w:tcW w:w="15009" w:type="dxa"/>
            <w:gridSpan w:val="11"/>
            <w:tcBorders>
              <w:top w:val="single" w:sz="4" w:space="0" w:color="auto"/>
              <w:left w:val="single" w:sz="4" w:space="0" w:color="auto"/>
              <w:bottom w:val="single" w:sz="4" w:space="0" w:color="auto"/>
              <w:right w:val="single" w:sz="4" w:space="0" w:color="auto"/>
            </w:tcBorders>
            <w:noWrap/>
            <w:vAlign w:val="center"/>
            <w:hideMark/>
          </w:tcPr>
          <w:p w14:paraId="5576D7C3" w14:textId="77777777" w:rsidR="00EB5FE9" w:rsidRPr="00F42E63" w:rsidRDefault="00EB5FE9" w:rsidP="008E2A3E">
            <w:pPr>
              <w:pStyle w:val="NoSpacing"/>
              <w:jc w:val="center"/>
              <w:rPr>
                <w:rFonts w:ascii="Times New Roman" w:hAnsi="Times New Roman" w:cs="Times New Roman"/>
                <w:b/>
                <w:bCs/>
                <w:szCs w:val="24"/>
                <w:lang w:eastAsia="en-IN"/>
              </w:rPr>
            </w:pPr>
            <w:r w:rsidRPr="00F42E63">
              <w:rPr>
                <w:rFonts w:ascii="Times New Roman" w:hAnsi="Times New Roman" w:cs="Times New Roman"/>
                <w:b/>
                <w:bCs/>
                <w:szCs w:val="24"/>
                <w:lang w:eastAsia="en-IN"/>
              </w:rPr>
              <w:t>Maharashtra</w:t>
            </w:r>
          </w:p>
        </w:tc>
      </w:tr>
      <w:tr w:rsidR="00EB5FE9" w:rsidRPr="008E2A3E" w14:paraId="517391DB" w14:textId="77777777" w:rsidTr="00BA3FB7">
        <w:trPr>
          <w:trHeight w:val="264"/>
        </w:trPr>
        <w:tc>
          <w:tcPr>
            <w:tcW w:w="1782" w:type="dxa"/>
            <w:tcBorders>
              <w:top w:val="nil"/>
              <w:left w:val="single" w:sz="4" w:space="0" w:color="auto"/>
              <w:bottom w:val="single" w:sz="4" w:space="0" w:color="auto"/>
              <w:right w:val="single" w:sz="4" w:space="0" w:color="auto"/>
            </w:tcBorders>
            <w:noWrap/>
            <w:vAlign w:val="bottom"/>
            <w:hideMark/>
          </w:tcPr>
          <w:p w14:paraId="7830BD5D" w14:textId="77777777" w:rsidR="00EB5FE9" w:rsidRPr="008E2A3E" w:rsidRDefault="00EB5FE9" w:rsidP="00EB5FE9">
            <w:pPr>
              <w:pStyle w:val="NoSpacing"/>
              <w:rPr>
                <w:rFonts w:ascii="Times New Roman" w:hAnsi="Times New Roman" w:cs="Times New Roman"/>
                <w:szCs w:val="24"/>
                <w:lang w:eastAsia="en-IN"/>
              </w:rPr>
            </w:pPr>
            <w:r w:rsidRPr="008E2A3E">
              <w:rPr>
                <w:rFonts w:ascii="Times New Roman" w:hAnsi="Times New Roman" w:cs="Times New Roman"/>
                <w:szCs w:val="24"/>
                <w:lang w:eastAsia="en-IN"/>
              </w:rPr>
              <w:t>1961-62</w:t>
            </w:r>
          </w:p>
        </w:tc>
        <w:tc>
          <w:tcPr>
            <w:tcW w:w="1062" w:type="dxa"/>
            <w:tcBorders>
              <w:top w:val="nil"/>
              <w:left w:val="nil"/>
              <w:bottom w:val="single" w:sz="4" w:space="0" w:color="auto"/>
              <w:right w:val="single" w:sz="4" w:space="0" w:color="auto"/>
            </w:tcBorders>
            <w:vAlign w:val="center"/>
            <w:hideMark/>
          </w:tcPr>
          <w:p w14:paraId="00DD880F" w14:textId="77777777" w:rsidR="00EB5FE9" w:rsidRPr="008E2A3E" w:rsidRDefault="00EB5FE9" w:rsidP="008E2A3E">
            <w:pPr>
              <w:pStyle w:val="NoSpacing"/>
              <w:jc w:val="center"/>
              <w:rPr>
                <w:rFonts w:ascii="Times New Roman" w:hAnsi="Times New Roman" w:cs="Times New Roman"/>
                <w:szCs w:val="24"/>
                <w:lang w:eastAsia="en-IN"/>
              </w:rPr>
            </w:pPr>
            <w:r w:rsidRPr="008E2A3E">
              <w:rPr>
                <w:rFonts w:ascii="Times New Roman" w:hAnsi="Times New Roman" w:cs="Times New Roman"/>
                <w:szCs w:val="24"/>
                <w:lang w:eastAsia="en-IN"/>
              </w:rPr>
              <w:t>6.19 (5.21)</w:t>
            </w:r>
          </w:p>
        </w:tc>
        <w:tc>
          <w:tcPr>
            <w:tcW w:w="953" w:type="dxa"/>
            <w:tcBorders>
              <w:top w:val="nil"/>
              <w:left w:val="nil"/>
              <w:bottom w:val="single" w:sz="4" w:space="0" w:color="auto"/>
              <w:right w:val="single" w:sz="4" w:space="0" w:color="auto"/>
            </w:tcBorders>
            <w:vAlign w:val="center"/>
            <w:hideMark/>
          </w:tcPr>
          <w:p w14:paraId="4DB950E2" w14:textId="77777777" w:rsidR="00EB5FE9" w:rsidRPr="008E2A3E" w:rsidRDefault="00EB5FE9" w:rsidP="008E2A3E">
            <w:pPr>
              <w:pStyle w:val="NoSpacing"/>
              <w:jc w:val="center"/>
              <w:rPr>
                <w:rFonts w:ascii="Times New Roman" w:hAnsi="Times New Roman" w:cs="Times New Roman"/>
                <w:szCs w:val="24"/>
                <w:lang w:eastAsia="en-IN"/>
              </w:rPr>
            </w:pPr>
            <w:r w:rsidRPr="008E2A3E">
              <w:rPr>
                <w:rFonts w:ascii="Times New Roman" w:hAnsi="Times New Roman" w:cs="Times New Roman"/>
                <w:szCs w:val="24"/>
                <w:lang w:eastAsia="en-IN"/>
              </w:rPr>
              <w:t>35.03 (29.50)</w:t>
            </w:r>
          </w:p>
        </w:tc>
        <w:tc>
          <w:tcPr>
            <w:tcW w:w="1165" w:type="dxa"/>
            <w:tcBorders>
              <w:top w:val="nil"/>
              <w:left w:val="nil"/>
              <w:bottom w:val="single" w:sz="4" w:space="0" w:color="auto"/>
              <w:right w:val="single" w:sz="4" w:space="0" w:color="auto"/>
            </w:tcBorders>
            <w:vAlign w:val="center"/>
            <w:hideMark/>
          </w:tcPr>
          <w:p w14:paraId="5960D919" w14:textId="77777777" w:rsidR="00EB5FE9" w:rsidRPr="008E2A3E" w:rsidRDefault="00EB5FE9" w:rsidP="008E2A3E">
            <w:pPr>
              <w:pStyle w:val="NoSpacing"/>
              <w:jc w:val="center"/>
              <w:rPr>
                <w:rFonts w:ascii="Times New Roman" w:hAnsi="Times New Roman" w:cs="Times New Roman"/>
                <w:szCs w:val="24"/>
                <w:lang w:eastAsia="en-IN"/>
              </w:rPr>
            </w:pPr>
            <w:r w:rsidRPr="008E2A3E">
              <w:rPr>
                <w:rFonts w:ascii="Times New Roman" w:hAnsi="Times New Roman" w:cs="Times New Roman"/>
                <w:szCs w:val="24"/>
                <w:lang w:eastAsia="en-IN"/>
              </w:rPr>
              <w:t>5.86 (4.93)</w:t>
            </w:r>
          </w:p>
        </w:tc>
        <w:tc>
          <w:tcPr>
            <w:tcW w:w="1488" w:type="dxa"/>
            <w:tcBorders>
              <w:top w:val="nil"/>
              <w:left w:val="nil"/>
              <w:bottom w:val="single" w:sz="4" w:space="0" w:color="auto"/>
              <w:right w:val="single" w:sz="4" w:space="0" w:color="auto"/>
            </w:tcBorders>
            <w:vAlign w:val="center"/>
            <w:hideMark/>
          </w:tcPr>
          <w:p w14:paraId="73758811" w14:textId="77777777" w:rsidR="00EB5FE9" w:rsidRPr="008E2A3E" w:rsidRDefault="00EB5FE9" w:rsidP="008E2A3E">
            <w:pPr>
              <w:pStyle w:val="NoSpacing"/>
              <w:jc w:val="center"/>
              <w:rPr>
                <w:rFonts w:ascii="Times New Roman" w:hAnsi="Times New Roman" w:cs="Times New Roman"/>
                <w:szCs w:val="24"/>
                <w:lang w:eastAsia="en-IN"/>
              </w:rPr>
            </w:pPr>
            <w:r w:rsidRPr="008E2A3E">
              <w:rPr>
                <w:rFonts w:ascii="Times New Roman" w:hAnsi="Times New Roman" w:cs="Times New Roman"/>
                <w:szCs w:val="24"/>
                <w:lang w:eastAsia="en-IN"/>
              </w:rPr>
              <w:t>6.05 (5.09)</w:t>
            </w:r>
          </w:p>
        </w:tc>
        <w:tc>
          <w:tcPr>
            <w:tcW w:w="1376" w:type="dxa"/>
            <w:tcBorders>
              <w:top w:val="nil"/>
              <w:left w:val="nil"/>
              <w:bottom w:val="single" w:sz="4" w:space="0" w:color="auto"/>
              <w:right w:val="single" w:sz="4" w:space="0" w:color="auto"/>
            </w:tcBorders>
            <w:vAlign w:val="center"/>
            <w:hideMark/>
          </w:tcPr>
          <w:p w14:paraId="7EF1FB45" w14:textId="77777777" w:rsidR="00EB5FE9" w:rsidRPr="008E2A3E" w:rsidRDefault="00EB5FE9" w:rsidP="008E2A3E">
            <w:pPr>
              <w:pStyle w:val="NoSpacing"/>
              <w:jc w:val="center"/>
              <w:rPr>
                <w:rFonts w:ascii="Times New Roman" w:hAnsi="Times New Roman" w:cs="Times New Roman"/>
                <w:szCs w:val="24"/>
                <w:lang w:eastAsia="en-IN"/>
              </w:rPr>
            </w:pPr>
            <w:r w:rsidRPr="008E2A3E">
              <w:rPr>
                <w:rFonts w:ascii="Times New Roman" w:hAnsi="Times New Roman" w:cs="Times New Roman"/>
                <w:szCs w:val="24"/>
                <w:lang w:eastAsia="en-IN"/>
              </w:rPr>
              <w:t>12.37 (10.42)</w:t>
            </w:r>
          </w:p>
        </w:tc>
        <w:tc>
          <w:tcPr>
            <w:tcW w:w="1289" w:type="dxa"/>
            <w:tcBorders>
              <w:top w:val="nil"/>
              <w:left w:val="nil"/>
              <w:bottom w:val="single" w:sz="4" w:space="0" w:color="auto"/>
              <w:right w:val="single" w:sz="4" w:space="0" w:color="auto"/>
            </w:tcBorders>
            <w:vAlign w:val="center"/>
            <w:hideMark/>
          </w:tcPr>
          <w:p w14:paraId="24417317" w14:textId="77777777" w:rsidR="00EB5FE9" w:rsidRPr="008E2A3E" w:rsidRDefault="00EB5FE9" w:rsidP="008E2A3E">
            <w:pPr>
              <w:pStyle w:val="NoSpacing"/>
              <w:jc w:val="center"/>
              <w:rPr>
                <w:rFonts w:ascii="Times New Roman" w:hAnsi="Times New Roman" w:cs="Times New Roman"/>
                <w:szCs w:val="24"/>
                <w:lang w:eastAsia="en-IN"/>
              </w:rPr>
            </w:pPr>
            <w:r w:rsidRPr="008E2A3E">
              <w:rPr>
                <w:rFonts w:ascii="Times New Roman" w:hAnsi="Times New Roman" w:cs="Times New Roman"/>
                <w:szCs w:val="24"/>
                <w:lang w:eastAsia="en-IN"/>
              </w:rPr>
              <w:t>0.72 (0.61)</w:t>
            </w:r>
          </w:p>
        </w:tc>
        <w:tc>
          <w:tcPr>
            <w:tcW w:w="1627" w:type="dxa"/>
            <w:tcBorders>
              <w:top w:val="nil"/>
              <w:left w:val="nil"/>
              <w:bottom w:val="single" w:sz="4" w:space="0" w:color="auto"/>
              <w:right w:val="single" w:sz="4" w:space="0" w:color="auto"/>
            </w:tcBorders>
            <w:vAlign w:val="center"/>
            <w:hideMark/>
          </w:tcPr>
          <w:p w14:paraId="7DE8F7EB" w14:textId="77777777" w:rsidR="00EB5FE9" w:rsidRPr="008E2A3E" w:rsidRDefault="00EB5FE9" w:rsidP="008E2A3E">
            <w:pPr>
              <w:pStyle w:val="NoSpacing"/>
              <w:jc w:val="center"/>
              <w:rPr>
                <w:rFonts w:ascii="Times New Roman" w:hAnsi="Times New Roman" w:cs="Times New Roman"/>
                <w:szCs w:val="24"/>
                <w:lang w:eastAsia="en-IN"/>
              </w:rPr>
            </w:pPr>
            <w:r w:rsidRPr="008E2A3E">
              <w:rPr>
                <w:rFonts w:ascii="Times New Roman" w:hAnsi="Times New Roman" w:cs="Times New Roman"/>
                <w:szCs w:val="24"/>
                <w:lang w:eastAsia="en-IN"/>
              </w:rPr>
              <w:t>2.56 (2.16)</w:t>
            </w:r>
          </w:p>
        </w:tc>
        <w:tc>
          <w:tcPr>
            <w:tcW w:w="1763" w:type="dxa"/>
            <w:tcBorders>
              <w:top w:val="nil"/>
              <w:left w:val="nil"/>
              <w:bottom w:val="single" w:sz="4" w:space="0" w:color="auto"/>
              <w:right w:val="single" w:sz="4" w:space="0" w:color="auto"/>
            </w:tcBorders>
            <w:vAlign w:val="center"/>
            <w:hideMark/>
          </w:tcPr>
          <w:p w14:paraId="6D7BE5E8" w14:textId="77777777" w:rsidR="00EB5FE9" w:rsidRPr="008E2A3E" w:rsidRDefault="00EB5FE9" w:rsidP="008E2A3E">
            <w:pPr>
              <w:pStyle w:val="NoSpacing"/>
              <w:jc w:val="center"/>
              <w:rPr>
                <w:rFonts w:ascii="Times New Roman" w:hAnsi="Times New Roman" w:cs="Times New Roman"/>
                <w:szCs w:val="24"/>
                <w:lang w:eastAsia="en-IN"/>
              </w:rPr>
            </w:pPr>
            <w:r w:rsidRPr="008E2A3E">
              <w:rPr>
                <w:rFonts w:ascii="Times New Roman" w:hAnsi="Times New Roman" w:cs="Times New Roman"/>
                <w:szCs w:val="24"/>
                <w:lang w:eastAsia="en-IN"/>
              </w:rPr>
              <w:t>1.62 (1.36)</w:t>
            </w:r>
          </w:p>
        </w:tc>
        <w:tc>
          <w:tcPr>
            <w:tcW w:w="997" w:type="dxa"/>
            <w:tcBorders>
              <w:top w:val="nil"/>
              <w:left w:val="nil"/>
              <w:bottom w:val="single" w:sz="4" w:space="0" w:color="auto"/>
              <w:right w:val="single" w:sz="4" w:space="0" w:color="auto"/>
            </w:tcBorders>
            <w:vAlign w:val="center"/>
            <w:hideMark/>
          </w:tcPr>
          <w:p w14:paraId="452FF915" w14:textId="77777777" w:rsidR="00EB5FE9" w:rsidRPr="008E2A3E" w:rsidRDefault="00EB5FE9" w:rsidP="008E2A3E">
            <w:pPr>
              <w:pStyle w:val="NoSpacing"/>
              <w:jc w:val="center"/>
              <w:rPr>
                <w:rFonts w:ascii="Times New Roman" w:hAnsi="Times New Roman" w:cs="Times New Roman"/>
                <w:szCs w:val="24"/>
                <w:lang w:eastAsia="en-IN"/>
              </w:rPr>
            </w:pPr>
            <w:r w:rsidRPr="008E2A3E">
              <w:rPr>
                <w:rFonts w:ascii="Times New Roman" w:hAnsi="Times New Roman" w:cs="Times New Roman"/>
                <w:szCs w:val="24"/>
                <w:lang w:eastAsia="en-IN"/>
              </w:rPr>
              <w:t>5.42 (4.56)</w:t>
            </w:r>
          </w:p>
        </w:tc>
        <w:tc>
          <w:tcPr>
            <w:tcW w:w="1507" w:type="dxa"/>
            <w:tcBorders>
              <w:top w:val="nil"/>
              <w:left w:val="nil"/>
              <w:bottom w:val="single" w:sz="4" w:space="0" w:color="auto"/>
              <w:right w:val="single" w:sz="4" w:space="0" w:color="auto"/>
            </w:tcBorders>
            <w:vAlign w:val="center"/>
            <w:hideMark/>
          </w:tcPr>
          <w:p w14:paraId="5C736196" w14:textId="77777777" w:rsidR="00EB5FE9" w:rsidRPr="008E2A3E" w:rsidRDefault="00EB5FE9" w:rsidP="008E2A3E">
            <w:pPr>
              <w:pStyle w:val="NoSpacing"/>
              <w:jc w:val="center"/>
              <w:rPr>
                <w:rFonts w:ascii="Times New Roman" w:hAnsi="Times New Roman" w:cs="Times New Roman"/>
                <w:szCs w:val="24"/>
                <w:lang w:eastAsia="en-IN"/>
              </w:rPr>
            </w:pPr>
            <w:r w:rsidRPr="008E2A3E">
              <w:rPr>
                <w:rFonts w:ascii="Times New Roman" w:hAnsi="Times New Roman" w:cs="Times New Roman"/>
                <w:szCs w:val="24"/>
                <w:lang w:eastAsia="en-IN"/>
              </w:rPr>
              <w:t>118.75 (100.00)</w:t>
            </w:r>
          </w:p>
        </w:tc>
      </w:tr>
      <w:tr w:rsidR="00EB5FE9" w:rsidRPr="008E2A3E" w14:paraId="00BED39D" w14:textId="77777777" w:rsidTr="00BA3FB7">
        <w:trPr>
          <w:trHeight w:val="264"/>
        </w:trPr>
        <w:tc>
          <w:tcPr>
            <w:tcW w:w="1782" w:type="dxa"/>
            <w:tcBorders>
              <w:top w:val="nil"/>
              <w:left w:val="single" w:sz="4" w:space="0" w:color="auto"/>
              <w:bottom w:val="single" w:sz="4" w:space="0" w:color="auto"/>
              <w:right w:val="single" w:sz="4" w:space="0" w:color="auto"/>
            </w:tcBorders>
            <w:noWrap/>
            <w:vAlign w:val="bottom"/>
            <w:hideMark/>
          </w:tcPr>
          <w:p w14:paraId="59AF5AA5" w14:textId="77777777" w:rsidR="00EB5FE9" w:rsidRPr="008E2A3E" w:rsidRDefault="00EB5FE9" w:rsidP="00EB5FE9">
            <w:pPr>
              <w:pStyle w:val="NoSpacing"/>
              <w:rPr>
                <w:rFonts w:ascii="Times New Roman" w:hAnsi="Times New Roman" w:cs="Times New Roman"/>
                <w:szCs w:val="24"/>
                <w:lang w:eastAsia="en-IN"/>
              </w:rPr>
            </w:pPr>
            <w:r w:rsidRPr="008E2A3E">
              <w:rPr>
                <w:rFonts w:ascii="Times New Roman" w:hAnsi="Times New Roman" w:cs="Times New Roman"/>
                <w:szCs w:val="24"/>
                <w:lang w:eastAsia="en-IN"/>
              </w:rPr>
              <w:t>1965-66</w:t>
            </w:r>
          </w:p>
        </w:tc>
        <w:tc>
          <w:tcPr>
            <w:tcW w:w="1062" w:type="dxa"/>
            <w:tcBorders>
              <w:top w:val="nil"/>
              <w:left w:val="nil"/>
              <w:bottom w:val="single" w:sz="4" w:space="0" w:color="auto"/>
              <w:right w:val="single" w:sz="4" w:space="0" w:color="auto"/>
            </w:tcBorders>
            <w:vAlign w:val="center"/>
            <w:hideMark/>
          </w:tcPr>
          <w:p w14:paraId="37354ED9" w14:textId="77777777" w:rsidR="00EB5FE9" w:rsidRPr="008E2A3E" w:rsidRDefault="00EB5FE9" w:rsidP="008E2A3E">
            <w:pPr>
              <w:pStyle w:val="NoSpacing"/>
              <w:jc w:val="center"/>
              <w:rPr>
                <w:rFonts w:ascii="Times New Roman" w:hAnsi="Times New Roman" w:cs="Times New Roman"/>
                <w:szCs w:val="24"/>
                <w:lang w:eastAsia="en-IN"/>
              </w:rPr>
            </w:pPr>
            <w:r w:rsidRPr="008E2A3E">
              <w:rPr>
                <w:rFonts w:ascii="Times New Roman" w:hAnsi="Times New Roman" w:cs="Times New Roman"/>
                <w:szCs w:val="24"/>
                <w:lang w:eastAsia="en-IN"/>
              </w:rPr>
              <w:t>5.58</w:t>
            </w:r>
          </w:p>
        </w:tc>
        <w:tc>
          <w:tcPr>
            <w:tcW w:w="953" w:type="dxa"/>
            <w:tcBorders>
              <w:top w:val="nil"/>
              <w:left w:val="nil"/>
              <w:bottom w:val="single" w:sz="4" w:space="0" w:color="auto"/>
              <w:right w:val="single" w:sz="4" w:space="0" w:color="auto"/>
            </w:tcBorders>
            <w:vAlign w:val="center"/>
            <w:hideMark/>
          </w:tcPr>
          <w:p w14:paraId="131EABAF" w14:textId="77777777" w:rsidR="00EB5FE9" w:rsidRPr="008E2A3E" w:rsidRDefault="00EB5FE9" w:rsidP="008E2A3E">
            <w:pPr>
              <w:pStyle w:val="NoSpacing"/>
              <w:jc w:val="center"/>
              <w:rPr>
                <w:rFonts w:ascii="Times New Roman" w:hAnsi="Times New Roman" w:cs="Times New Roman"/>
                <w:szCs w:val="24"/>
                <w:lang w:eastAsia="en-IN"/>
              </w:rPr>
            </w:pPr>
            <w:r w:rsidRPr="008E2A3E">
              <w:rPr>
                <w:rFonts w:ascii="Times New Roman" w:hAnsi="Times New Roman" w:cs="Times New Roman"/>
                <w:szCs w:val="24"/>
                <w:lang w:eastAsia="en-IN"/>
              </w:rPr>
              <w:t>70.59</w:t>
            </w:r>
          </w:p>
        </w:tc>
        <w:tc>
          <w:tcPr>
            <w:tcW w:w="1165" w:type="dxa"/>
            <w:tcBorders>
              <w:top w:val="nil"/>
              <w:left w:val="nil"/>
              <w:bottom w:val="single" w:sz="4" w:space="0" w:color="auto"/>
              <w:right w:val="single" w:sz="4" w:space="0" w:color="auto"/>
            </w:tcBorders>
            <w:vAlign w:val="center"/>
            <w:hideMark/>
          </w:tcPr>
          <w:p w14:paraId="1AAD0BAE" w14:textId="77777777" w:rsidR="00EB5FE9" w:rsidRPr="008E2A3E" w:rsidRDefault="00EB5FE9" w:rsidP="008E2A3E">
            <w:pPr>
              <w:pStyle w:val="NoSpacing"/>
              <w:jc w:val="center"/>
              <w:rPr>
                <w:rFonts w:ascii="Times New Roman" w:hAnsi="Times New Roman" w:cs="Times New Roman"/>
                <w:szCs w:val="24"/>
                <w:lang w:eastAsia="en-IN"/>
              </w:rPr>
            </w:pPr>
            <w:r w:rsidRPr="008E2A3E">
              <w:rPr>
                <w:rFonts w:ascii="Times New Roman" w:hAnsi="Times New Roman" w:cs="Times New Roman"/>
                <w:szCs w:val="24"/>
                <w:lang w:eastAsia="en-IN"/>
              </w:rPr>
              <w:t>6.76</w:t>
            </w:r>
          </w:p>
        </w:tc>
        <w:tc>
          <w:tcPr>
            <w:tcW w:w="1488" w:type="dxa"/>
            <w:tcBorders>
              <w:top w:val="nil"/>
              <w:left w:val="nil"/>
              <w:bottom w:val="single" w:sz="4" w:space="0" w:color="auto"/>
              <w:right w:val="single" w:sz="4" w:space="0" w:color="auto"/>
            </w:tcBorders>
            <w:vAlign w:val="center"/>
            <w:hideMark/>
          </w:tcPr>
          <w:p w14:paraId="7BA5C10A" w14:textId="77777777" w:rsidR="00EB5FE9" w:rsidRPr="008E2A3E" w:rsidRDefault="00EB5FE9" w:rsidP="008E2A3E">
            <w:pPr>
              <w:pStyle w:val="NoSpacing"/>
              <w:jc w:val="center"/>
              <w:rPr>
                <w:rFonts w:ascii="Times New Roman" w:hAnsi="Times New Roman" w:cs="Times New Roman"/>
                <w:szCs w:val="24"/>
                <w:lang w:eastAsia="en-IN"/>
              </w:rPr>
            </w:pPr>
            <w:r w:rsidRPr="008E2A3E">
              <w:rPr>
                <w:rFonts w:ascii="Times New Roman" w:hAnsi="Times New Roman" w:cs="Times New Roman"/>
                <w:szCs w:val="24"/>
                <w:lang w:eastAsia="en-IN"/>
              </w:rPr>
              <w:t>9.08</w:t>
            </w:r>
          </w:p>
        </w:tc>
        <w:tc>
          <w:tcPr>
            <w:tcW w:w="1376" w:type="dxa"/>
            <w:tcBorders>
              <w:top w:val="nil"/>
              <w:left w:val="nil"/>
              <w:bottom w:val="single" w:sz="4" w:space="0" w:color="auto"/>
              <w:right w:val="single" w:sz="4" w:space="0" w:color="auto"/>
            </w:tcBorders>
            <w:vAlign w:val="center"/>
            <w:hideMark/>
          </w:tcPr>
          <w:p w14:paraId="20EB8AA1" w14:textId="77777777" w:rsidR="00EB5FE9" w:rsidRPr="008E2A3E" w:rsidRDefault="00EB5FE9" w:rsidP="008E2A3E">
            <w:pPr>
              <w:pStyle w:val="NoSpacing"/>
              <w:jc w:val="center"/>
              <w:rPr>
                <w:rFonts w:ascii="Times New Roman" w:hAnsi="Times New Roman" w:cs="Times New Roman"/>
                <w:szCs w:val="24"/>
                <w:lang w:eastAsia="en-IN"/>
              </w:rPr>
            </w:pPr>
            <w:r w:rsidRPr="008E2A3E">
              <w:rPr>
                <w:rFonts w:ascii="Times New Roman" w:hAnsi="Times New Roman" w:cs="Times New Roman"/>
                <w:szCs w:val="24"/>
                <w:lang w:eastAsia="en-IN"/>
              </w:rPr>
              <w:t>25.9</w:t>
            </w:r>
          </w:p>
        </w:tc>
        <w:tc>
          <w:tcPr>
            <w:tcW w:w="1289" w:type="dxa"/>
            <w:tcBorders>
              <w:top w:val="nil"/>
              <w:left w:val="nil"/>
              <w:bottom w:val="single" w:sz="4" w:space="0" w:color="auto"/>
              <w:right w:val="single" w:sz="4" w:space="0" w:color="auto"/>
            </w:tcBorders>
            <w:vAlign w:val="center"/>
            <w:hideMark/>
          </w:tcPr>
          <w:p w14:paraId="07320ED8" w14:textId="77777777" w:rsidR="00EB5FE9" w:rsidRPr="008E2A3E" w:rsidRDefault="00EB5FE9" w:rsidP="008E2A3E">
            <w:pPr>
              <w:pStyle w:val="NoSpacing"/>
              <w:jc w:val="center"/>
              <w:rPr>
                <w:rFonts w:ascii="Times New Roman" w:hAnsi="Times New Roman" w:cs="Times New Roman"/>
                <w:szCs w:val="24"/>
                <w:lang w:eastAsia="en-IN"/>
              </w:rPr>
            </w:pPr>
            <w:r w:rsidRPr="008E2A3E">
              <w:rPr>
                <w:rFonts w:ascii="Times New Roman" w:hAnsi="Times New Roman" w:cs="Times New Roman"/>
                <w:szCs w:val="24"/>
                <w:lang w:eastAsia="en-IN"/>
              </w:rPr>
              <w:t>1.34</w:t>
            </w:r>
          </w:p>
        </w:tc>
        <w:tc>
          <w:tcPr>
            <w:tcW w:w="1627" w:type="dxa"/>
            <w:tcBorders>
              <w:top w:val="nil"/>
              <w:left w:val="nil"/>
              <w:bottom w:val="single" w:sz="4" w:space="0" w:color="auto"/>
              <w:right w:val="single" w:sz="4" w:space="0" w:color="auto"/>
            </w:tcBorders>
            <w:vAlign w:val="center"/>
            <w:hideMark/>
          </w:tcPr>
          <w:p w14:paraId="26702B78" w14:textId="77777777" w:rsidR="00EB5FE9" w:rsidRPr="008E2A3E" w:rsidRDefault="00EB5FE9" w:rsidP="008E2A3E">
            <w:pPr>
              <w:pStyle w:val="NoSpacing"/>
              <w:jc w:val="center"/>
              <w:rPr>
                <w:rFonts w:ascii="Times New Roman" w:hAnsi="Times New Roman" w:cs="Times New Roman"/>
                <w:szCs w:val="24"/>
                <w:lang w:eastAsia="en-IN"/>
              </w:rPr>
            </w:pPr>
            <w:r w:rsidRPr="008E2A3E">
              <w:rPr>
                <w:rFonts w:ascii="Times New Roman" w:hAnsi="Times New Roman" w:cs="Times New Roman"/>
                <w:szCs w:val="24"/>
                <w:lang w:eastAsia="en-IN"/>
              </w:rPr>
              <w:t>5.23</w:t>
            </w:r>
          </w:p>
        </w:tc>
        <w:tc>
          <w:tcPr>
            <w:tcW w:w="1763" w:type="dxa"/>
            <w:tcBorders>
              <w:top w:val="nil"/>
              <w:left w:val="nil"/>
              <w:bottom w:val="single" w:sz="4" w:space="0" w:color="auto"/>
              <w:right w:val="single" w:sz="4" w:space="0" w:color="auto"/>
            </w:tcBorders>
            <w:vAlign w:val="center"/>
            <w:hideMark/>
          </w:tcPr>
          <w:p w14:paraId="38405A82" w14:textId="77777777" w:rsidR="00EB5FE9" w:rsidRPr="008E2A3E" w:rsidRDefault="00EB5FE9" w:rsidP="008E2A3E">
            <w:pPr>
              <w:pStyle w:val="NoSpacing"/>
              <w:jc w:val="center"/>
              <w:rPr>
                <w:rFonts w:ascii="Times New Roman" w:hAnsi="Times New Roman" w:cs="Times New Roman"/>
                <w:szCs w:val="24"/>
                <w:lang w:eastAsia="en-IN"/>
              </w:rPr>
            </w:pPr>
            <w:r w:rsidRPr="008E2A3E">
              <w:rPr>
                <w:rFonts w:ascii="Times New Roman" w:hAnsi="Times New Roman" w:cs="Times New Roman"/>
                <w:szCs w:val="24"/>
                <w:lang w:eastAsia="en-IN"/>
              </w:rPr>
              <w:t>3.28</w:t>
            </w:r>
          </w:p>
        </w:tc>
        <w:tc>
          <w:tcPr>
            <w:tcW w:w="997" w:type="dxa"/>
            <w:tcBorders>
              <w:top w:val="nil"/>
              <w:left w:val="nil"/>
              <w:bottom w:val="single" w:sz="4" w:space="0" w:color="auto"/>
              <w:right w:val="single" w:sz="4" w:space="0" w:color="auto"/>
            </w:tcBorders>
            <w:vAlign w:val="center"/>
            <w:hideMark/>
          </w:tcPr>
          <w:p w14:paraId="17DD04BF" w14:textId="77777777" w:rsidR="00EB5FE9" w:rsidRPr="008E2A3E" w:rsidRDefault="00EB5FE9" w:rsidP="008E2A3E">
            <w:pPr>
              <w:pStyle w:val="NoSpacing"/>
              <w:jc w:val="center"/>
              <w:rPr>
                <w:rFonts w:ascii="Times New Roman" w:hAnsi="Times New Roman" w:cs="Times New Roman"/>
                <w:szCs w:val="24"/>
                <w:lang w:eastAsia="en-IN"/>
              </w:rPr>
            </w:pPr>
            <w:r w:rsidRPr="008E2A3E">
              <w:rPr>
                <w:rFonts w:ascii="Times New Roman" w:hAnsi="Times New Roman" w:cs="Times New Roman"/>
                <w:szCs w:val="24"/>
                <w:lang w:eastAsia="en-IN"/>
              </w:rPr>
              <w:t>7.65</w:t>
            </w:r>
          </w:p>
        </w:tc>
        <w:tc>
          <w:tcPr>
            <w:tcW w:w="1507" w:type="dxa"/>
            <w:tcBorders>
              <w:top w:val="nil"/>
              <w:left w:val="nil"/>
              <w:bottom w:val="single" w:sz="4" w:space="0" w:color="auto"/>
              <w:right w:val="single" w:sz="4" w:space="0" w:color="auto"/>
            </w:tcBorders>
            <w:vAlign w:val="center"/>
            <w:hideMark/>
          </w:tcPr>
          <w:p w14:paraId="150BCCDC" w14:textId="77777777" w:rsidR="00EB5FE9" w:rsidRPr="008E2A3E" w:rsidRDefault="00EB5FE9" w:rsidP="008E2A3E">
            <w:pPr>
              <w:pStyle w:val="NoSpacing"/>
              <w:jc w:val="center"/>
              <w:rPr>
                <w:rFonts w:ascii="Times New Roman" w:hAnsi="Times New Roman" w:cs="Times New Roman"/>
                <w:szCs w:val="24"/>
                <w:lang w:eastAsia="en-IN"/>
              </w:rPr>
            </w:pPr>
            <w:r w:rsidRPr="008E2A3E">
              <w:rPr>
                <w:rFonts w:ascii="Times New Roman" w:hAnsi="Times New Roman" w:cs="Times New Roman"/>
                <w:szCs w:val="24"/>
                <w:lang w:eastAsia="en-IN"/>
              </w:rPr>
              <w:t>227.39</w:t>
            </w:r>
          </w:p>
        </w:tc>
      </w:tr>
      <w:tr w:rsidR="00EB5FE9" w:rsidRPr="008E2A3E" w14:paraId="4BBCB758" w14:textId="77777777" w:rsidTr="00BA3FB7">
        <w:trPr>
          <w:trHeight w:val="264"/>
        </w:trPr>
        <w:tc>
          <w:tcPr>
            <w:tcW w:w="1782" w:type="dxa"/>
            <w:tcBorders>
              <w:top w:val="nil"/>
              <w:left w:val="single" w:sz="4" w:space="0" w:color="auto"/>
              <w:bottom w:val="single" w:sz="4" w:space="0" w:color="auto"/>
              <w:right w:val="single" w:sz="4" w:space="0" w:color="auto"/>
            </w:tcBorders>
            <w:noWrap/>
            <w:vAlign w:val="bottom"/>
            <w:hideMark/>
          </w:tcPr>
          <w:p w14:paraId="33C8F0A6" w14:textId="77777777" w:rsidR="00EB5FE9" w:rsidRPr="008E2A3E" w:rsidRDefault="00EB5FE9" w:rsidP="00EB5FE9">
            <w:pPr>
              <w:pStyle w:val="NoSpacing"/>
              <w:rPr>
                <w:rFonts w:ascii="Times New Roman" w:hAnsi="Times New Roman" w:cs="Times New Roman"/>
                <w:szCs w:val="24"/>
                <w:lang w:eastAsia="en-IN"/>
              </w:rPr>
            </w:pPr>
            <w:r w:rsidRPr="008E2A3E">
              <w:rPr>
                <w:rFonts w:ascii="Times New Roman" w:hAnsi="Times New Roman" w:cs="Times New Roman"/>
                <w:szCs w:val="24"/>
                <w:lang w:eastAsia="en-IN"/>
              </w:rPr>
              <w:t>1966-67</w:t>
            </w:r>
          </w:p>
        </w:tc>
        <w:tc>
          <w:tcPr>
            <w:tcW w:w="1062" w:type="dxa"/>
            <w:tcBorders>
              <w:top w:val="nil"/>
              <w:left w:val="nil"/>
              <w:bottom w:val="single" w:sz="4" w:space="0" w:color="auto"/>
              <w:right w:val="single" w:sz="4" w:space="0" w:color="auto"/>
            </w:tcBorders>
            <w:vAlign w:val="center"/>
            <w:hideMark/>
          </w:tcPr>
          <w:p w14:paraId="3EC4D624" w14:textId="77777777" w:rsidR="00EB5FE9" w:rsidRPr="008E2A3E" w:rsidRDefault="00EB5FE9" w:rsidP="008E2A3E">
            <w:pPr>
              <w:pStyle w:val="NoSpacing"/>
              <w:jc w:val="center"/>
              <w:rPr>
                <w:rFonts w:ascii="Times New Roman" w:hAnsi="Times New Roman" w:cs="Times New Roman"/>
                <w:szCs w:val="24"/>
                <w:lang w:eastAsia="en-IN"/>
              </w:rPr>
            </w:pPr>
            <w:r w:rsidRPr="008E2A3E">
              <w:rPr>
                <w:rFonts w:ascii="Times New Roman" w:hAnsi="Times New Roman" w:cs="Times New Roman"/>
                <w:szCs w:val="24"/>
                <w:lang w:eastAsia="en-IN"/>
              </w:rPr>
              <w:t>7.26</w:t>
            </w:r>
          </w:p>
        </w:tc>
        <w:tc>
          <w:tcPr>
            <w:tcW w:w="953" w:type="dxa"/>
            <w:tcBorders>
              <w:top w:val="nil"/>
              <w:left w:val="nil"/>
              <w:bottom w:val="single" w:sz="4" w:space="0" w:color="auto"/>
              <w:right w:val="single" w:sz="4" w:space="0" w:color="auto"/>
            </w:tcBorders>
            <w:vAlign w:val="center"/>
            <w:hideMark/>
          </w:tcPr>
          <w:p w14:paraId="2057ED26" w14:textId="77777777" w:rsidR="00EB5FE9" w:rsidRPr="008E2A3E" w:rsidRDefault="00EB5FE9" w:rsidP="008E2A3E">
            <w:pPr>
              <w:pStyle w:val="NoSpacing"/>
              <w:jc w:val="center"/>
              <w:rPr>
                <w:rFonts w:ascii="Times New Roman" w:hAnsi="Times New Roman" w:cs="Times New Roman"/>
                <w:szCs w:val="24"/>
                <w:lang w:eastAsia="en-IN"/>
              </w:rPr>
            </w:pPr>
            <w:r w:rsidRPr="008E2A3E">
              <w:rPr>
                <w:rFonts w:ascii="Times New Roman" w:hAnsi="Times New Roman" w:cs="Times New Roman"/>
                <w:szCs w:val="24"/>
                <w:lang w:eastAsia="en-IN"/>
              </w:rPr>
              <w:t>87.47</w:t>
            </w:r>
          </w:p>
        </w:tc>
        <w:tc>
          <w:tcPr>
            <w:tcW w:w="1165" w:type="dxa"/>
            <w:tcBorders>
              <w:top w:val="nil"/>
              <w:left w:val="nil"/>
              <w:bottom w:val="single" w:sz="4" w:space="0" w:color="auto"/>
              <w:right w:val="single" w:sz="4" w:space="0" w:color="auto"/>
            </w:tcBorders>
            <w:vAlign w:val="center"/>
            <w:hideMark/>
          </w:tcPr>
          <w:p w14:paraId="6831804D" w14:textId="77777777" w:rsidR="00EB5FE9" w:rsidRPr="008E2A3E" w:rsidRDefault="00EB5FE9" w:rsidP="008E2A3E">
            <w:pPr>
              <w:pStyle w:val="NoSpacing"/>
              <w:jc w:val="center"/>
              <w:rPr>
                <w:rFonts w:ascii="Times New Roman" w:hAnsi="Times New Roman" w:cs="Times New Roman"/>
                <w:szCs w:val="24"/>
                <w:lang w:eastAsia="en-IN"/>
              </w:rPr>
            </w:pPr>
            <w:r w:rsidRPr="008E2A3E">
              <w:rPr>
                <w:rFonts w:ascii="Times New Roman" w:hAnsi="Times New Roman" w:cs="Times New Roman"/>
                <w:szCs w:val="24"/>
                <w:lang w:eastAsia="en-IN"/>
              </w:rPr>
              <w:t>9.58</w:t>
            </w:r>
          </w:p>
        </w:tc>
        <w:tc>
          <w:tcPr>
            <w:tcW w:w="1488" w:type="dxa"/>
            <w:tcBorders>
              <w:top w:val="nil"/>
              <w:left w:val="nil"/>
              <w:bottom w:val="single" w:sz="4" w:space="0" w:color="auto"/>
              <w:right w:val="single" w:sz="4" w:space="0" w:color="auto"/>
            </w:tcBorders>
            <w:vAlign w:val="center"/>
            <w:hideMark/>
          </w:tcPr>
          <w:p w14:paraId="4E13FE56" w14:textId="77777777" w:rsidR="00EB5FE9" w:rsidRPr="008E2A3E" w:rsidRDefault="00EB5FE9" w:rsidP="008E2A3E">
            <w:pPr>
              <w:pStyle w:val="NoSpacing"/>
              <w:jc w:val="center"/>
              <w:rPr>
                <w:rFonts w:ascii="Times New Roman" w:hAnsi="Times New Roman" w:cs="Times New Roman"/>
                <w:szCs w:val="24"/>
                <w:lang w:eastAsia="en-IN"/>
              </w:rPr>
            </w:pPr>
            <w:r w:rsidRPr="008E2A3E">
              <w:rPr>
                <w:rFonts w:ascii="Times New Roman" w:hAnsi="Times New Roman" w:cs="Times New Roman"/>
                <w:szCs w:val="24"/>
                <w:lang w:eastAsia="en-IN"/>
              </w:rPr>
              <w:t>9.89</w:t>
            </w:r>
          </w:p>
        </w:tc>
        <w:tc>
          <w:tcPr>
            <w:tcW w:w="1376" w:type="dxa"/>
            <w:tcBorders>
              <w:top w:val="nil"/>
              <w:left w:val="nil"/>
              <w:bottom w:val="single" w:sz="4" w:space="0" w:color="auto"/>
              <w:right w:val="single" w:sz="4" w:space="0" w:color="auto"/>
            </w:tcBorders>
            <w:vAlign w:val="center"/>
            <w:hideMark/>
          </w:tcPr>
          <w:p w14:paraId="70110673" w14:textId="77777777" w:rsidR="00EB5FE9" w:rsidRPr="008E2A3E" w:rsidRDefault="00EB5FE9" w:rsidP="008E2A3E">
            <w:pPr>
              <w:pStyle w:val="NoSpacing"/>
              <w:jc w:val="center"/>
              <w:rPr>
                <w:rFonts w:ascii="Times New Roman" w:hAnsi="Times New Roman" w:cs="Times New Roman"/>
                <w:szCs w:val="24"/>
                <w:lang w:eastAsia="en-IN"/>
              </w:rPr>
            </w:pPr>
            <w:r w:rsidRPr="008E2A3E">
              <w:rPr>
                <w:rFonts w:ascii="Times New Roman" w:hAnsi="Times New Roman" w:cs="Times New Roman"/>
                <w:szCs w:val="24"/>
                <w:lang w:eastAsia="en-IN"/>
              </w:rPr>
              <w:t>34.02</w:t>
            </w:r>
          </w:p>
        </w:tc>
        <w:tc>
          <w:tcPr>
            <w:tcW w:w="1289" w:type="dxa"/>
            <w:tcBorders>
              <w:top w:val="nil"/>
              <w:left w:val="nil"/>
              <w:bottom w:val="single" w:sz="4" w:space="0" w:color="auto"/>
              <w:right w:val="single" w:sz="4" w:space="0" w:color="auto"/>
            </w:tcBorders>
            <w:vAlign w:val="center"/>
            <w:hideMark/>
          </w:tcPr>
          <w:p w14:paraId="5831687B" w14:textId="77777777" w:rsidR="00EB5FE9" w:rsidRPr="008E2A3E" w:rsidRDefault="00EB5FE9" w:rsidP="008E2A3E">
            <w:pPr>
              <w:pStyle w:val="NoSpacing"/>
              <w:jc w:val="center"/>
              <w:rPr>
                <w:rFonts w:ascii="Times New Roman" w:hAnsi="Times New Roman" w:cs="Times New Roman"/>
                <w:szCs w:val="24"/>
                <w:lang w:eastAsia="en-IN"/>
              </w:rPr>
            </w:pPr>
            <w:r w:rsidRPr="008E2A3E">
              <w:rPr>
                <w:rFonts w:ascii="Times New Roman" w:hAnsi="Times New Roman" w:cs="Times New Roman"/>
                <w:szCs w:val="24"/>
                <w:lang w:eastAsia="en-IN"/>
              </w:rPr>
              <w:t>1.86</w:t>
            </w:r>
          </w:p>
        </w:tc>
        <w:tc>
          <w:tcPr>
            <w:tcW w:w="1627" w:type="dxa"/>
            <w:tcBorders>
              <w:top w:val="nil"/>
              <w:left w:val="nil"/>
              <w:bottom w:val="single" w:sz="4" w:space="0" w:color="auto"/>
              <w:right w:val="single" w:sz="4" w:space="0" w:color="auto"/>
            </w:tcBorders>
            <w:vAlign w:val="center"/>
            <w:hideMark/>
          </w:tcPr>
          <w:p w14:paraId="7A821683" w14:textId="77777777" w:rsidR="00EB5FE9" w:rsidRPr="008E2A3E" w:rsidRDefault="00EB5FE9" w:rsidP="008E2A3E">
            <w:pPr>
              <w:pStyle w:val="NoSpacing"/>
              <w:jc w:val="center"/>
              <w:rPr>
                <w:rFonts w:ascii="Times New Roman" w:hAnsi="Times New Roman" w:cs="Times New Roman"/>
                <w:szCs w:val="24"/>
                <w:lang w:eastAsia="en-IN"/>
              </w:rPr>
            </w:pPr>
            <w:r w:rsidRPr="008E2A3E">
              <w:rPr>
                <w:rFonts w:ascii="Times New Roman" w:hAnsi="Times New Roman" w:cs="Times New Roman"/>
                <w:szCs w:val="24"/>
                <w:lang w:eastAsia="en-IN"/>
              </w:rPr>
              <w:t>4.75</w:t>
            </w:r>
          </w:p>
        </w:tc>
        <w:tc>
          <w:tcPr>
            <w:tcW w:w="1763" w:type="dxa"/>
            <w:tcBorders>
              <w:top w:val="nil"/>
              <w:left w:val="nil"/>
              <w:bottom w:val="single" w:sz="4" w:space="0" w:color="auto"/>
              <w:right w:val="single" w:sz="4" w:space="0" w:color="auto"/>
            </w:tcBorders>
            <w:vAlign w:val="center"/>
            <w:hideMark/>
          </w:tcPr>
          <w:p w14:paraId="6BA6AC01" w14:textId="151212C4" w:rsidR="00EB5FE9" w:rsidRPr="008E2A3E" w:rsidRDefault="00EB5FE9" w:rsidP="008E2A3E">
            <w:pPr>
              <w:pStyle w:val="NoSpacing"/>
              <w:jc w:val="center"/>
              <w:rPr>
                <w:rFonts w:ascii="Times New Roman" w:hAnsi="Times New Roman" w:cs="Times New Roman"/>
                <w:szCs w:val="24"/>
                <w:lang w:eastAsia="en-IN"/>
              </w:rPr>
            </w:pPr>
            <w:r w:rsidRPr="008E2A3E">
              <w:rPr>
                <w:rFonts w:ascii="Times New Roman" w:hAnsi="Times New Roman" w:cs="Times New Roman"/>
                <w:szCs w:val="24"/>
                <w:lang w:eastAsia="en-IN"/>
              </w:rPr>
              <w:t>5.4</w:t>
            </w:r>
            <w:r w:rsidR="00F34353">
              <w:rPr>
                <w:rFonts w:ascii="Times New Roman" w:hAnsi="Times New Roman" w:cs="Times New Roman"/>
                <w:szCs w:val="24"/>
                <w:lang w:eastAsia="en-IN"/>
              </w:rPr>
              <w:t>0</w:t>
            </w:r>
          </w:p>
        </w:tc>
        <w:tc>
          <w:tcPr>
            <w:tcW w:w="997" w:type="dxa"/>
            <w:tcBorders>
              <w:top w:val="nil"/>
              <w:left w:val="nil"/>
              <w:bottom w:val="single" w:sz="4" w:space="0" w:color="auto"/>
              <w:right w:val="single" w:sz="4" w:space="0" w:color="auto"/>
            </w:tcBorders>
            <w:vAlign w:val="center"/>
            <w:hideMark/>
          </w:tcPr>
          <w:p w14:paraId="74218B7C" w14:textId="77777777" w:rsidR="00EB5FE9" w:rsidRPr="008E2A3E" w:rsidRDefault="00EB5FE9" w:rsidP="008E2A3E">
            <w:pPr>
              <w:pStyle w:val="NoSpacing"/>
              <w:jc w:val="center"/>
              <w:rPr>
                <w:rFonts w:ascii="Times New Roman" w:hAnsi="Times New Roman" w:cs="Times New Roman"/>
                <w:szCs w:val="24"/>
                <w:lang w:eastAsia="en-IN"/>
              </w:rPr>
            </w:pPr>
            <w:r w:rsidRPr="008E2A3E">
              <w:rPr>
                <w:rFonts w:ascii="Times New Roman" w:hAnsi="Times New Roman" w:cs="Times New Roman"/>
                <w:szCs w:val="24"/>
                <w:lang w:eastAsia="en-IN"/>
              </w:rPr>
              <w:t>7.79</w:t>
            </w:r>
          </w:p>
        </w:tc>
        <w:tc>
          <w:tcPr>
            <w:tcW w:w="1507" w:type="dxa"/>
            <w:tcBorders>
              <w:top w:val="nil"/>
              <w:left w:val="nil"/>
              <w:bottom w:val="single" w:sz="4" w:space="0" w:color="auto"/>
              <w:right w:val="single" w:sz="4" w:space="0" w:color="auto"/>
            </w:tcBorders>
            <w:vAlign w:val="center"/>
            <w:hideMark/>
          </w:tcPr>
          <w:p w14:paraId="45F10E41" w14:textId="77777777" w:rsidR="00EB5FE9" w:rsidRPr="008E2A3E" w:rsidRDefault="00EB5FE9" w:rsidP="008E2A3E">
            <w:pPr>
              <w:pStyle w:val="NoSpacing"/>
              <w:jc w:val="center"/>
              <w:rPr>
                <w:rFonts w:ascii="Times New Roman" w:hAnsi="Times New Roman" w:cs="Times New Roman"/>
                <w:szCs w:val="24"/>
                <w:lang w:eastAsia="en-IN"/>
              </w:rPr>
            </w:pPr>
            <w:r w:rsidRPr="008E2A3E">
              <w:rPr>
                <w:rFonts w:ascii="Times New Roman" w:hAnsi="Times New Roman" w:cs="Times New Roman"/>
                <w:szCs w:val="24"/>
                <w:lang w:eastAsia="en-IN"/>
              </w:rPr>
              <w:t>272.03</w:t>
            </w:r>
          </w:p>
        </w:tc>
      </w:tr>
      <w:tr w:rsidR="00EB5FE9" w:rsidRPr="008E2A3E" w14:paraId="47AAC2E1" w14:textId="77777777" w:rsidTr="00BA3FB7">
        <w:trPr>
          <w:trHeight w:val="264"/>
        </w:trPr>
        <w:tc>
          <w:tcPr>
            <w:tcW w:w="1782" w:type="dxa"/>
            <w:tcBorders>
              <w:top w:val="nil"/>
              <w:left w:val="single" w:sz="4" w:space="0" w:color="auto"/>
              <w:bottom w:val="single" w:sz="4" w:space="0" w:color="auto"/>
              <w:right w:val="single" w:sz="4" w:space="0" w:color="auto"/>
            </w:tcBorders>
            <w:noWrap/>
            <w:vAlign w:val="bottom"/>
            <w:hideMark/>
          </w:tcPr>
          <w:p w14:paraId="21D27BBE" w14:textId="77777777" w:rsidR="00EB5FE9" w:rsidRPr="008E2A3E" w:rsidRDefault="00EB5FE9" w:rsidP="00EB5FE9">
            <w:pPr>
              <w:pStyle w:val="NoSpacing"/>
              <w:rPr>
                <w:rFonts w:ascii="Times New Roman" w:hAnsi="Times New Roman" w:cs="Times New Roman"/>
                <w:szCs w:val="24"/>
                <w:lang w:eastAsia="en-IN"/>
              </w:rPr>
            </w:pPr>
            <w:r w:rsidRPr="008E2A3E">
              <w:rPr>
                <w:rFonts w:ascii="Times New Roman" w:hAnsi="Times New Roman" w:cs="Times New Roman"/>
                <w:szCs w:val="24"/>
                <w:lang w:eastAsia="en-IN"/>
              </w:rPr>
              <w:t>1967-68</w:t>
            </w:r>
          </w:p>
        </w:tc>
        <w:tc>
          <w:tcPr>
            <w:tcW w:w="1062" w:type="dxa"/>
            <w:tcBorders>
              <w:top w:val="nil"/>
              <w:left w:val="nil"/>
              <w:bottom w:val="single" w:sz="4" w:space="0" w:color="auto"/>
              <w:right w:val="single" w:sz="4" w:space="0" w:color="auto"/>
            </w:tcBorders>
            <w:vAlign w:val="center"/>
            <w:hideMark/>
          </w:tcPr>
          <w:p w14:paraId="22E1FA86" w14:textId="77777777" w:rsidR="00EB5FE9" w:rsidRPr="008E2A3E" w:rsidRDefault="00EB5FE9" w:rsidP="008E2A3E">
            <w:pPr>
              <w:pStyle w:val="NoSpacing"/>
              <w:jc w:val="center"/>
              <w:rPr>
                <w:rFonts w:ascii="Times New Roman" w:hAnsi="Times New Roman" w:cs="Times New Roman"/>
                <w:szCs w:val="24"/>
                <w:lang w:eastAsia="en-IN"/>
              </w:rPr>
            </w:pPr>
            <w:r w:rsidRPr="008E2A3E">
              <w:rPr>
                <w:rFonts w:ascii="Times New Roman" w:hAnsi="Times New Roman" w:cs="Times New Roman"/>
                <w:szCs w:val="24"/>
                <w:lang w:eastAsia="en-IN"/>
              </w:rPr>
              <w:t>8.75</w:t>
            </w:r>
          </w:p>
        </w:tc>
        <w:tc>
          <w:tcPr>
            <w:tcW w:w="953" w:type="dxa"/>
            <w:tcBorders>
              <w:top w:val="nil"/>
              <w:left w:val="nil"/>
              <w:bottom w:val="single" w:sz="4" w:space="0" w:color="auto"/>
              <w:right w:val="single" w:sz="4" w:space="0" w:color="auto"/>
            </w:tcBorders>
            <w:vAlign w:val="center"/>
            <w:hideMark/>
          </w:tcPr>
          <w:p w14:paraId="525499A1" w14:textId="77777777" w:rsidR="00EB5FE9" w:rsidRPr="008E2A3E" w:rsidRDefault="00EB5FE9" w:rsidP="008E2A3E">
            <w:pPr>
              <w:pStyle w:val="NoSpacing"/>
              <w:jc w:val="center"/>
              <w:rPr>
                <w:rFonts w:ascii="Times New Roman" w:hAnsi="Times New Roman" w:cs="Times New Roman"/>
                <w:szCs w:val="24"/>
                <w:lang w:eastAsia="en-IN"/>
              </w:rPr>
            </w:pPr>
            <w:r w:rsidRPr="008E2A3E">
              <w:rPr>
                <w:rFonts w:ascii="Times New Roman" w:hAnsi="Times New Roman" w:cs="Times New Roman"/>
                <w:szCs w:val="24"/>
                <w:lang w:eastAsia="en-IN"/>
              </w:rPr>
              <w:t>96.09</w:t>
            </w:r>
          </w:p>
        </w:tc>
        <w:tc>
          <w:tcPr>
            <w:tcW w:w="1165" w:type="dxa"/>
            <w:tcBorders>
              <w:top w:val="nil"/>
              <w:left w:val="nil"/>
              <w:bottom w:val="single" w:sz="4" w:space="0" w:color="auto"/>
              <w:right w:val="single" w:sz="4" w:space="0" w:color="auto"/>
            </w:tcBorders>
            <w:vAlign w:val="center"/>
            <w:hideMark/>
          </w:tcPr>
          <w:p w14:paraId="1296A31D" w14:textId="77777777" w:rsidR="00EB5FE9" w:rsidRPr="008E2A3E" w:rsidRDefault="00EB5FE9" w:rsidP="008E2A3E">
            <w:pPr>
              <w:pStyle w:val="NoSpacing"/>
              <w:jc w:val="center"/>
              <w:rPr>
                <w:rFonts w:ascii="Times New Roman" w:hAnsi="Times New Roman" w:cs="Times New Roman"/>
                <w:szCs w:val="24"/>
                <w:lang w:eastAsia="en-IN"/>
              </w:rPr>
            </w:pPr>
            <w:r w:rsidRPr="008E2A3E">
              <w:rPr>
                <w:rFonts w:ascii="Times New Roman" w:hAnsi="Times New Roman" w:cs="Times New Roman"/>
                <w:szCs w:val="24"/>
                <w:lang w:eastAsia="en-IN"/>
              </w:rPr>
              <w:t>10.41</w:t>
            </w:r>
          </w:p>
        </w:tc>
        <w:tc>
          <w:tcPr>
            <w:tcW w:w="1488" w:type="dxa"/>
            <w:tcBorders>
              <w:top w:val="nil"/>
              <w:left w:val="nil"/>
              <w:bottom w:val="single" w:sz="4" w:space="0" w:color="auto"/>
              <w:right w:val="single" w:sz="4" w:space="0" w:color="auto"/>
            </w:tcBorders>
            <w:vAlign w:val="center"/>
            <w:hideMark/>
          </w:tcPr>
          <w:p w14:paraId="37FC390C" w14:textId="77777777" w:rsidR="00EB5FE9" w:rsidRPr="008E2A3E" w:rsidRDefault="00EB5FE9" w:rsidP="008E2A3E">
            <w:pPr>
              <w:pStyle w:val="NoSpacing"/>
              <w:jc w:val="center"/>
              <w:rPr>
                <w:rFonts w:ascii="Times New Roman" w:hAnsi="Times New Roman" w:cs="Times New Roman"/>
                <w:szCs w:val="24"/>
                <w:lang w:eastAsia="en-IN"/>
              </w:rPr>
            </w:pPr>
            <w:r w:rsidRPr="008E2A3E">
              <w:rPr>
                <w:rFonts w:ascii="Times New Roman" w:hAnsi="Times New Roman" w:cs="Times New Roman"/>
                <w:szCs w:val="24"/>
                <w:lang w:eastAsia="en-IN"/>
              </w:rPr>
              <w:t>11.26</w:t>
            </w:r>
          </w:p>
        </w:tc>
        <w:tc>
          <w:tcPr>
            <w:tcW w:w="1376" w:type="dxa"/>
            <w:tcBorders>
              <w:top w:val="nil"/>
              <w:left w:val="nil"/>
              <w:bottom w:val="single" w:sz="4" w:space="0" w:color="auto"/>
              <w:right w:val="single" w:sz="4" w:space="0" w:color="auto"/>
            </w:tcBorders>
            <w:vAlign w:val="center"/>
            <w:hideMark/>
          </w:tcPr>
          <w:p w14:paraId="62254CF6" w14:textId="77777777" w:rsidR="00EB5FE9" w:rsidRPr="008E2A3E" w:rsidRDefault="00EB5FE9" w:rsidP="008E2A3E">
            <w:pPr>
              <w:pStyle w:val="NoSpacing"/>
              <w:jc w:val="center"/>
              <w:rPr>
                <w:rFonts w:ascii="Times New Roman" w:hAnsi="Times New Roman" w:cs="Times New Roman"/>
                <w:szCs w:val="24"/>
                <w:lang w:eastAsia="en-IN"/>
              </w:rPr>
            </w:pPr>
            <w:r w:rsidRPr="008E2A3E">
              <w:rPr>
                <w:rFonts w:ascii="Times New Roman" w:hAnsi="Times New Roman" w:cs="Times New Roman"/>
                <w:szCs w:val="24"/>
                <w:lang w:eastAsia="en-IN"/>
              </w:rPr>
              <w:t>37.58</w:t>
            </w:r>
          </w:p>
        </w:tc>
        <w:tc>
          <w:tcPr>
            <w:tcW w:w="1289" w:type="dxa"/>
            <w:tcBorders>
              <w:top w:val="nil"/>
              <w:left w:val="nil"/>
              <w:bottom w:val="single" w:sz="4" w:space="0" w:color="auto"/>
              <w:right w:val="single" w:sz="4" w:space="0" w:color="auto"/>
            </w:tcBorders>
            <w:vAlign w:val="center"/>
            <w:hideMark/>
          </w:tcPr>
          <w:p w14:paraId="4C065DC5" w14:textId="77777777" w:rsidR="00EB5FE9" w:rsidRPr="008E2A3E" w:rsidRDefault="00EB5FE9" w:rsidP="008E2A3E">
            <w:pPr>
              <w:pStyle w:val="NoSpacing"/>
              <w:jc w:val="center"/>
              <w:rPr>
                <w:rFonts w:ascii="Times New Roman" w:hAnsi="Times New Roman" w:cs="Times New Roman"/>
                <w:szCs w:val="24"/>
                <w:lang w:eastAsia="en-IN"/>
              </w:rPr>
            </w:pPr>
            <w:r w:rsidRPr="008E2A3E">
              <w:rPr>
                <w:rFonts w:ascii="Times New Roman" w:hAnsi="Times New Roman" w:cs="Times New Roman"/>
                <w:szCs w:val="24"/>
                <w:lang w:eastAsia="en-IN"/>
              </w:rPr>
              <w:t>2.11</w:t>
            </w:r>
          </w:p>
        </w:tc>
        <w:tc>
          <w:tcPr>
            <w:tcW w:w="1627" w:type="dxa"/>
            <w:tcBorders>
              <w:top w:val="nil"/>
              <w:left w:val="nil"/>
              <w:bottom w:val="single" w:sz="4" w:space="0" w:color="auto"/>
              <w:right w:val="single" w:sz="4" w:space="0" w:color="auto"/>
            </w:tcBorders>
            <w:vAlign w:val="center"/>
            <w:hideMark/>
          </w:tcPr>
          <w:p w14:paraId="2B4837B1" w14:textId="77777777" w:rsidR="00EB5FE9" w:rsidRPr="008E2A3E" w:rsidRDefault="00EB5FE9" w:rsidP="008E2A3E">
            <w:pPr>
              <w:pStyle w:val="NoSpacing"/>
              <w:jc w:val="center"/>
              <w:rPr>
                <w:rFonts w:ascii="Times New Roman" w:hAnsi="Times New Roman" w:cs="Times New Roman"/>
                <w:szCs w:val="24"/>
                <w:lang w:eastAsia="en-IN"/>
              </w:rPr>
            </w:pPr>
            <w:r w:rsidRPr="008E2A3E">
              <w:rPr>
                <w:rFonts w:ascii="Times New Roman" w:hAnsi="Times New Roman" w:cs="Times New Roman"/>
                <w:szCs w:val="24"/>
                <w:lang w:eastAsia="en-IN"/>
              </w:rPr>
              <w:t>6.97</w:t>
            </w:r>
          </w:p>
        </w:tc>
        <w:tc>
          <w:tcPr>
            <w:tcW w:w="1763" w:type="dxa"/>
            <w:tcBorders>
              <w:top w:val="nil"/>
              <w:left w:val="nil"/>
              <w:bottom w:val="single" w:sz="4" w:space="0" w:color="auto"/>
              <w:right w:val="single" w:sz="4" w:space="0" w:color="auto"/>
            </w:tcBorders>
            <w:vAlign w:val="center"/>
            <w:hideMark/>
          </w:tcPr>
          <w:p w14:paraId="0C8D5513" w14:textId="77777777" w:rsidR="00EB5FE9" w:rsidRPr="008E2A3E" w:rsidRDefault="00EB5FE9" w:rsidP="008E2A3E">
            <w:pPr>
              <w:pStyle w:val="NoSpacing"/>
              <w:jc w:val="center"/>
              <w:rPr>
                <w:rFonts w:ascii="Times New Roman" w:hAnsi="Times New Roman" w:cs="Times New Roman"/>
                <w:szCs w:val="24"/>
                <w:lang w:eastAsia="en-IN"/>
              </w:rPr>
            </w:pPr>
            <w:r w:rsidRPr="008E2A3E">
              <w:rPr>
                <w:rFonts w:ascii="Times New Roman" w:hAnsi="Times New Roman" w:cs="Times New Roman"/>
                <w:szCs w:val="24"/>
                <w:lang w:eastAsia="en-IN"/>
              </w:rPr>
              <w:t>5.27</w:t>
            </w:r>
          </w:p>
        </w:tc>
        <w:tc>
          <w:tcPr>
            <w:tcW w:w="997" w:type="dxa"/>
            <w:tcBorders>
              <w:top w:val="nil"/>
              <w:left w:val="nil"/>
              <w:bottom w:val="single" w:sz="4" w:space="0" w:color="auto"/>
              <w:right w:val="single" w:sz="4" w:space="0" w:color="auto"/>
            </w:tcBorders>
            <w:vAlign w:val="center"/>
            <w:hideMark/>
          </w:tcPr>
          <w:p w14:paraId="2505703A" w14:textId="77777777" w:rsidR="00EB5FE9" w:rsidRPr="008E2A3E" w:rsidRDefault="00EB5FE9" w:rsidP="008E2A3E">
            <w:pPr>
              <w:pStyle w:val="NoSpacing"/>
              <w:jc w:val="center"/>
              <w:rPr>
                <w:rFonts w:ascii="Times New Roman" w:hAnsi="Times New Roman" w:cs="Times New Roman"/>
                <w:szCs w:val="24"/>
                <w:lang w:eastAsia="en-IN"/>
              </w:rPr>
            </w:pPr>
            <w:r w:rsidRPr="008E2A3E">
              <w:rPr>
                <w:rFonts w:ascii="Times New Roman" w:hAnsi="Times New Roman" w:cs="Times New Roman"/>
                <w:szCs w:val="24"/>
                <w:lang w:eastAsia="en-IN"/>
              </w:rPr>
              <w:t>8.87</w:t>
            </w:r>
          </w:p>
        </w:tc>
        <w:tc>
          <w:tcPr>
            <w:tcW w:w="1507" w:type="dxa"/>
            <w:tcBorders>
              <w:top w:val="nil"/>
              <w:left w:val="nil"/>
              <w:bottom w:val="single" w:sz="4" w:space="0" w:color="auto"/>
              <w:right w:val="single" w:sz="4" w:space="0" w:color="auto"/>
            </w:tcBorders>
            <w:vAlign w:val="center"/>
            <w:hideMark/>
          </w:tcPr>
          <w:p w14:paraId="5CAF2EFF" w14:textId="77777777" w:rsidR="00EB5FE9" w:rsidRPr="008E2A3E" w:rsidRDefault="00EB5FE9" w:rsidP="008E2A3E">
            <w:pPr>
              <w:pStyle w:val="NoSpacing"/>
              <w:jc w:val="center"/>
              <w:rPr>
                <w:rFonts w:ascii="Times New Roman" w:hAnsi="Times New Roman" w:cs="Times New Roman"/>
                <w:szCs w:val="24"/>
                <w:lang w:eastAsia="en-IN"/>
              </w:rPr>
            </w:pPr>
            <w:r w:rsidRPr="008E2A3E">
              <w:rPr>
                <w:rFonts w:ascii="Times New Roman" w:hAnsi="Times New Roman" w:cs="Times New Roman"/>
                <w:szCs w:val="24"/>
                <w:lang w:eastAsia="en-IN"/>
              </w:rPr>
              <w:t>309.69</w:t>
            </w:r>
          </w:p>
        </w:tc>
      </w:tr>
      <w:tr w:rsidR="00EB5FE9" w:rsidRPr="008E2A3E" w14:paraId="0D79CC1F" w14:textId="77777777" w:rsidTr="00BA3FB7">
        <w:trPr>
          <w:trHeight w:val="264"/>
        </w:trPr>
        <w:tc>
          <w:tcPr>
            <w:tcW w:w="1782" w:type="dxa"/>
            <w:tcBorders>
              <w:top w:val="nil"/>
              <w:left w:val="single" w:sz="4" w:space="0" w:color="auto"/>
              <w:bottom w:val="single" w:sz="4" w:space="0" w:color="auto"/>
              <w:right w:val="single" w:sz="4" w:space="0" w:color="auto"/>
            </w:tcBorders>
            <w:noWrap/>
            <w:vAlign w:val="bottom"/>
            <w:hideMark/>
          </w:tcPr>
          <w:p w14:paraId="7D030E32" w14:textId="77777777" w:rsidR="00EB5FE9" w:rsidRPr="008E2A3E" w:rsidRDefault="00EB5FE9" w:rsidP="00EB5FE9">
            <w:pPr>
              <w:pStyle w:val="NoSpacing"/>
              <w:rPr>
                <w:rFonts w:ascii="Times New Roman" w:hAnsi="Times New Roman" w:cs="Times New Roman"/>
                <w:szCs w:val="24"/>
                <w:lang w:eastAsia="en-IN"/>
              </w:rPr>
            </w:pPr>
            <w:r w:rsidRPr="008E2A3E">
              <w:rPr>
                <w:rFonts w:ascii="Times New Roman" w:hAnsi="Times New Roman" w:cs="Times New Roman"/>
                <w:szCs w:val="24"/>
                <w:lang w:eastAsia="en-IN"/>
              </w:rPr>
              <w:t>1968-69 (RE)</w:t>
            </w:r>
          </w:p>
        </w:tc>
        <w:tc>
          <w:tcPr>
            <w:tcW w:w="1062" w:type="dxa"/>
            <w:tcBorders>
              <w:top w:val="nil"/>
              <w:left w:val="nil"/>
              <w:bottom w:val="single" w:sz="4" w:space="0" w:color="auto"/>
              <w:right w:val="single" w:sz="4" w:space="0" w:color="auto"/>
            </w:tcBorders>
            <w:vAlign w:val="center"/>
            <w:hideMark/>
          </w:tcPr>
          <w:p w14:paraId="794499E8" w14:textId="77777777" w:rsidR="00EB5FE9" w:rsidRPr="008E2A3E" w:rsidRDefault="00EB5FE9" w:rsidP="008E2A3E">
            <w:pPr>
              <w:pStyle w:val="NoSpacing"/>
              <w:jc w:val="center"/>
              <w:rPr>
                <w:rFonts w:ascii="Times New Roman" w:hAnsi="Times New Roman" w:cs="Times New Roman"/>
                <w:szCs w:val="24"/>
                <w:lang w:eastAsia="en-IN"/>
              </w:rPr>
            </w:pPr>
            <w:r w:rsidRPr="008E2A3E">
              <w:rPr>
                <w:rFonts w:ascii="Times New Roman" w:hAnsi="Times New Roman" w:cs="Times New Roman"/>
                <w:szCs w:val="24"/>
                <w:lang w:eastAsia="en-IN"/>
              </w:rPr>
              <w:t>7.59 (2.13)</w:t>
            </w:r>
          </w:p>
        </w:tc>
        <w:tc>
          <w:tcPr>
            <w:tcW w:w="953" w:type="dxa"/>
            <w:tcBorders>
              <w:top w:val="nil"/>
              <w:left w:val="nil"/>
              <w:bottom w:val="single" w:sz="4" w:space="0" w:color="auto"/>
              <w:right w:val="single" w:sz="4" w:space="0" w:color="auto"/>
            </w:tcBorders>
            <w:vAlign w:val="center"/>
            <w:hideMark/>
          </w:tcPr>
          <w:p w14:paraId="57D16253" w14:textId="77777777" w:rsidR="00EB5FE9" w:rsidRPr="008E2A3E" w:rsidRDefault="00EB5FE9" w:rsidP="008E2A3E">
            <w:pPr>
              <w:pStyle w:val="NoSpacing"/>
              <w:jc w:val="center"/>
              <w:rPr>
                <w:rFonts w:ascii="Times New Roman" w:hAnsi="Times New Roman" w:cs="Times New Roman"/>
                <w:szCs w:val="24"/>
                <w:lang w:eastAsia="en-IN"/>
              </w:rPr>
            </w:pPr>
            <w:r w:rsidRPr="008E2A3E">
              <w:rPr>
                <w:rFonts w:ascii="Times New Roman" w:hAnsi="Times New Roman" w:cs="Times New Roman"/>
                <w:szCs w:val="24"/>
                <w:lang w:eastAsia="en-IN"/>
              </w:rPr>
              <w:t>104.56 (29.31)</w:t>
            </w:r>
          </w:p>
        </w:tc>
        <w:tc>
          <w:tcPr>
            <w:tcW w:w="1165" w:type="dxa"/>
            <w:tcBorders>
              <w:top w:val="nil"/>
              <w:left w:val="nil"/>
              <w:bottom w:val="single" w:sz="4" w:space="0" w:color="auto"/>
              <w:right w:val="single" w:sz="4" w:space="0" w:color="auto"/>
            </w:tcBorders>
            <w:vAlign w:val="center"/>
            <w:hideMark/>
          </w:tcPr>
          <w:p w14:paraId="16B5EC89" w14:textId="77777777" w:rsidR="00EB5FE9" w:rsidRPr="008E2A3E" w:rsidRDefault="00EB5FE9" w:rsidP="008E2A3E">
            <w:pPr>
              <w:pStyle w:val="NoSpacing"/>
              <w:jc w:val="center"/>
              <w:rPr>
                <w:rFonts w:ascii="Times New Roman" w:hAnsi="Times New Roman" w:cs="Times New Roman"/>
                <w:szCs w:val="24"/>
                <w:lang w:eastAsia="en-IN"/>
              </w:rPr>
            </w:pPr>
            <w:r w:rsidRPr="008E2A3E">
              <w:rPr>
                <w:rFonts w:ascii="Times New Roman" w:hAnsi="Times New Roman" w:cs="Times New Roman"/>
                <w:szCs w:val="24"/>
                <w:lang w:eastAsia="en-IN"/>
              </w:rPr>
              <w:t>11.51 (3.23)</w:t>
            </w:r>
          </w:p>
        </w:tc>
        <w:tc>
          <w:tcPr>
            <w:tcW w:w="1488" w:type="dxa"/>
            <w:tcBorders>
              <w:top w:val="nil"/>
              <w:left w:val="nil"/>
              <w:bottom w:val="single" w:sz="4" w:space="0" w:color="auto"/>
              <w:right w:val="single" w:sz="4" w:space="0" w:color="auto"/>
            </w:tcBorders>
            <w:vAlign w:val="center"/>
            <w:hideMark/>
          </w:tcPr>
          <w:p w14:paraId="5C400A33" w14:textId="77777777" w:rsidR="00EB5FE9" w:rsidRPr="008E2A3E" w:rsidRDefault="00EB5FE9" w:rsidP="008E2A3E">
            <w:pPr>
              <w:pStyle w:val="NoSpacing"/>
              <w:jc w:val="center"/>
              <w:rPr>
                <w:rFonts w:ascii="Times New Roman" w:hAnsi="Times New Roman" w:cs="Times New Roman"/>
                <w:szCs w:val="24"/>
                <w:lang w:eastAsia="en-IN"/>
              </w:rPr>
            </w:pPr>
            <w:r w:rsidRPr="008E2A3E">
              <w:rPr>
                <w:rFonts w:ascii="Times New Roman" w:hAnsi="Times New Roman" w:cs="Times New Roman"/>
                <w:szCs w:val="24"/>
                <w:lang w:eastAsia="en-IN"/>
              </w:rPr>
              <w:t>12.17 (3.41)</w:t>
            </w:r>
          </w:p>
        </w:tc>
        <w:tc>
          <w:tcPr>
            <w:tcW w:w="1376" w:type="dxa"/>
            <w:tcBorders>
              <w:top w:val="nil"/>
              <w:left w:val="nil"/>
              <w:bottom w:val="single" w:sz="4" w:space="0" w:color="auto"/>
              <w:right w:val="single" w:sz="4" w:space="0" w:color="auto"/>
            </w:tcBorders>
            <w:vAlign w:val="center"/>
            <w:hideMark/>
          </w:tcPr>
          <w:p w14:paraId="1FD43CD7" w14:textId="77777777" w:rsidR="00EB5FE9" w:rsidRPr="008E2A3E" w:rsidRDefault="00EB5FE9" w:rsidP="008E2A3E">
            <w:pPr>
              <w:pStyle w:val="NoSpacing"/>
              <w:jc w:val="center"/>
              <w:rPr>
                <w:rFonts w:ascii="Times New Roman" w:hAnsi="Times New Roman" w:cs="Times New Roman"/>
                <w:szCs w:val="24"/>
                <w:lang w:eastAsia="en-IN"/>
              </w:rPr>
            </w:pPr>
            <w:r w:rsidRPr="008E2A3E">
              <w:rPr>
                <w:rFonts w:ascii="Times New Roman" w:hAnsi="Times New Roman" w:cs="Times New Roman"/>
                <w:szCs w:val="24"/>
                <w:lang w:eastAsia="en-IN"/>
              </w:rPr>
              <w:t>42.16 (11.82)</w:t>
            </w:r>
          </w:p>
        </w:tc>
        <w:tc>
          <w:tcPr>
            <w:tcW w:w="1289" w:type="dxa"/>
            <w:tcBorders>
              <w:top w:val="nil"/>
              <w:left w:val="nil"/>
              <w:bottom w:val="single" w:sz="4" w:space="0" w:color="auto"/>
              <w:right w:val="single" w:sz="4" w:space="0" w:color="auto"/>
            </w:tcBorders>
            <w:vAlign w:val="center"/>
            <w:hideMark/>
          </w:tcPr>
          <w:p w14:paraId="2C2ED6AE" w14:textId="77777777" w:rsidR="00EB5FE9" w:rsidRPr="008E2A3E" w:rsidRDefault="00EB5FE9" w:rsidP="008E2A3E">
            <w:pPr>
              <w:pStyle w:val="NoSpacing"/>
              <w:jc w:val="center"/>
              <w:rPr>
                <w:rFonts w:ascii="Times New Roman" w:hAnsi="Times New Roman" w:cs="Times New Roman"/>
                <w:szCs w:val="24"/>
                <w:lang w:eastAsia="en-IN"/>
              </w:rPr>
            </w:pPr>
            <w:r w:rsidRPr="008E2A3E">
              <w:rPr>
                <w:rFonts w:ascii="Times New Roman" w:hAnsi="Times New Roman" w:cs="Times New Roman"/>
                <w:szCs w:val="24"/>
                <w:lang w:eastAsia="en-IN"/>
              </w:rPr>
              <w:t>1.37 (0.38)</w:t>
            </w:r>
          </w:p>
        </w:tc>
        <w:tc>
          <w:tcPr>
            <w:tcW w:w="1627" w:type="dxa"/>
            <w:tcBorders>
              <w:top w:val="nil"/>
              <w:left w:val="nil"/>
              <w:bottom w:val="single" w:sz="4" w:space="0" w:color="auto"/>
              <w:right w:val="single" w:sz="4" w:space="0" w:color="auto"/>
            </w:tcBorders>
            <w:vAlign w:val="center"/>
            <w:hideMark/>
          </w:tcPr>
          <w:p w14:paraId="1BEE8B22" w14:textId="77777777" w:rsidR="00EB5FE9" w:rsidRPr="008E2A3E" w:rsidRDefault="00EB5FE9" w:rsidP="008E2A3E">
            <w:pPr>
              <w:pStyle w:val="NoSpacing"/>
              <w:jc w:val="center"/>
              <w:rPr>
                <w:rFonts w:ascii="Times New Roman" w:hAnsi="Times New Roman" w:cs="Times New Roman"/>
                <w:szCs w:val="24"/>
                <w:lang w:eastAsia="en-IN"/>
              </w:rPr>
            </w:pPr>
            <w:r w:rsidRPr="008E2A3E">
              <w:rPr>
                <w:rFonts w:ascii="Times New Roman" w:hAnsi="Times New Roman" w:cs="Times New Roman"/>
                <w:szCs w:val="24"/>
                <w:lang w:eastAsia="en-IN"/>
              </w:rPr>
              <w:t>6.55 (1.84)</w:t>
            </w:r>
          </w:p>
        </w:tc>
        <w:tc>
          <w:tcPr>
            <w:tcW w:w="1763" w:type="dxa"/>
            <w:tcBorders>
              <w:top w:val="nil"/>
              <w:left w:val="nil"/>
              <w:bottom w:val="single" w:sz="4" w:space="0" w:color="auto"/>
              <w:right w:val="single" w:sz="4" w:space="0" w:color="auto"/>
            </w:tcBorders>
            <w:vAlign w:val="center"/>
            <w:hideMark/>
          </w:tcPr>
          <w:p w14:paraId="295C5A7D" w14:textId="77777777" w:rsidR="00EB5FE9" w:rsidRPr="008E2A3E" w:rsidRDefault="00EB5FE9" w:rsidP="008E2A3E">
            <w:pPr>
              <w:pStyle w:val="NoSpacing"/>
              <w:jc w:val="center"/>
              <w:rPr>
                <w:rFonts w:ascii="Times New Roman" w:hAnsi="Times New Roman" w:cs="Times New Roman"/>
                <w:szCs w:val="24"/>
                <w:lang w:eastAsia="en-IN"/>
              </w:rPr>
            </w:pPr>
            <w:r w:rsidRPr="008E2A3E">
              <w:rPr>
                <w:rFonts w:ascii="Times New Roman" w:hAnsi="Times New Roman" w:cs="Times New Roman"/>
                <w:szCs w:val="24"/>
                <w:lang w:eastAsia="en-IN"/>
              </w:rPr>
              <w:t>4.98 (1.40)</w:t>
            </w:r>
          </w:p>
        </w:tc>
        <w:tc>
          <w:tcPr>
            <w:tcW w:w="997" w:type="dxa"/>
            <w:tcBorders>
              <w:top w:val="nil"/>
              <w:left w:val="nil"/>
              <w:bottom w:val="single" w:sz="4" w:space="0" w:color="auto"/>
              <w:right w:val="single" w:sz="4" w:space="0" w:color="auto"/>
            </w:tcBorders>
            <w:vAlign w:val="center"/>
            <w:hideMark/>
          </w:tcPr>
          <w:p w14:paraId="57083DA8" w14:textId="77777777" w:rsidR="00EB5FE9" w:rsidRPr="008E2A3E" w:rsidRDefault="00EB5FE9" w:rsidP="008E2A3E">
            <w:pPr>
              <w:pStyle w:val="NoSpacing"/>
              <w:jc w:val="center"/>
              <w:rPr>
                <w:rFonts w:ascii="Times New Roman" w:hAnsi="Times New Roman" w:cs="Times New Roman"/>
                <w:szCs w:val="24"/>
                <w:lang w:eastAsia="en-IN"/>
              </w:rPr>
            </w:pPr>
            <w:r w:rsidRPr="008E2A3E">
              <w:rPr>
                <w:rFonts w:ascii="Times New Roman" w:hAnsi="Times New Roman" w:cs="Times New Roman"/>
                <w:szCs w:val="24"/>
                <w:lang w:eastAsia="en-IN"/>
              </w:rPr>
              <w:t>9.56 (2.68)</w:t>
            </w:r>
          </w:p>
        </w:tc>
        <w:tc>
          <w:tcPr>
            <w:tcW w:w="1507" w:type="dxa"/>
            <w:tcBorders>
              <w:top w:val="nil"/>
              <w:left w:val="nil"/>
              <w:bottom w:val="single" w:sz="4" w:space="0" w:color="auto"/>
              <w:right w:val="single" w:sz="4" w:space="0" w:color="auto"/>
            </w:tcBorders>
            <w:vAlign w:val="center"/>
            <w:hideMark/>
          </w:tcPr>
          <w:p w14:paraId="72324479" w14:textId="77777777" w:rsidR="00EB5FE9" w:rsidRPr="008E2A3E" w:rsidRDefault="00EB5FE9" w:rsidP="008E2A3E">
            <w:pPr>
              <w:pStyle w:val="NoSpacing"/>
              <w:jc w:val="center"/>
              <w:rPr>
                <w:rFonts w:ascii="Times New Roman" w:hAnsi="Times New Roman" w:cs="Times New Roman"/>
                <w:szCs w:val="24"/>
                <w:lang w:eastAsia="en-IN"/>
              </w:rPr>
            </w:pPr>
            <w:r w:rsidRPr="008E2A3E">
              <w:rPr>
                <w:rFonts w:ascii="Times New Roman" w:hAnsi="Times New Roman" w:cs="Times New Roman"/>
                <w:szCs w:val="24"/>
                <w:lang w:eastAsia="en-IN"/>
              </w:rPr>
              <w:t>356.76 (100.00)</w:t>
            </w:r>
          </w:p>
        </w:tc>
      </w:tr>
      <w:tr w:rsidR="00EB5FE9" w:rsidRPr="008E2A3E" w14:paraId="3A586A96" w14:textId="77777777" w:rsidTr="00BA3FB7">
        <w:trPr>
          <w:trHeight w:val="264"/>
        </w:trPr>
        <w:tc>
          <w:tcPr>
            <w:tcW w:w="15009" w:type="dxa"/>
            <w:gridSpan w:val="11"/>
            <w:tcBorders>
              <w:top w:val="single" w:sz="4" w:space="0" w:color="auto"/>
              <w:left w:val="single" w:sz="4" w:space="0" w:color="auto"/>
              <w:bottom w:val="single" w:sz="4" w:space="0" w:color="auto"/>
              <w:right w:val="single" w:sz="4" w:space="0" w:color="auto"/>
            </w:tcBorders>
            <w:noWrap/>
            <w:vAlign w:val="center"/>
            <w:hideMark/>
          </w:tcPr>
          <w:p w14:paraId="149885F9" w14:textId="77777777" w:rsidR="00EB5FE9" w:rsidRPr="00F42E63" w:rsidRDefault="00EB5FE9" w:rsidP="008E2A3E">
            <w:pPr>
              <w:pStyle w:val="NoSpacing"/>
              <w:jc w:val="center"/>
              <w:rPr>
                <w:rFonts w:ascii="Times New Roman" w:hAnsi="Times New Roman" w:cs="Times New Roman"/>
                <w:b/>
                <w:bCs/>
                <w:szCs w:val="24"/>
                <w:lang w:eastAsia="en-IN"/>
              </w:rPr>
            </w:pPr>
            <w:r w:rsidRPr="00F42E63">
              <w:rPr>
                <w:rFonts w:ascii="Times New Roman" w:hAnsi="Times New Roman" w:cs="Times New Roman"/>
                <w:b/>
                <w:bCs/>
                <w:szCs w:val="24"/>
                <w:lang w:eastAsia="en-IN"/>
              </w:rPr>
              <w:t>Mysore</w:t>
            </w:r>
          </w:p>
        </w:tc>
      </w:tr>
      <w:tr w:rsidR="00EB5FE9" w:rsidRPr="008E2A3E" w14:paraId="29B9C3AE" w14:textId="77777777" w:rsidTr="00BA3FB7">
        <w:trPr>
          <w:trHeight w:val="264"/>
        </w:trPr>
        <w:tc>
          <w:tcPr>
            <w:tcW w:w="1782" w:type="dxa"/>
            <w:tcBorders>
              <w:top w:val="nil"/>
              <w:left w:val="single" w:sz="4" w:space="0" w:color="auto"/>
              <w:bottom w:val="single" w:sz="4" w:space="0" w:color="auto"/>
              <w:right w:val="single" w:sz="4" w:space="0" w:color="auto"/>
            </w:tcBorders>
            <w:noWrap/>
            <w:vAlign w:val="bottom"/>
            <w:hideMark/>
          </w:tcPr>
          <w:p w14:paraId="6CFDE11E" w14:textId="77777777" w:rsidR="00EB5FE9" w:rsidRPr="008E2A3E" w:rsidRDefault="00EB5FE9" w:rsidP="00EB5FE9">
            <w:pPr>
              <w:pStyle w:val="NoSpacing"/>
              <w:rPr>
                <w:rFonts w:ascii="Times New Roman" w:hAnsi="Times New Roman" w:cs="Times New Roman"/>
                <w:szCs w:val="24"/>
                <w:lang w:eastAsia="en-IN"/>
              </w:rPr>
            </w:pPr>
            <w:r w:rsidRPr="008E2A3E">
              <w:rPr>
                <w:rFonts w:ascii="Times New Roman" w:hAnsi="Times New Roman" w:cs="Times New Roman"/>
                <w:szCs w:val="24"/>
                <w:lang w:eastAsia="en-IN"/>
              </w:rPr>
              <w:t>1961-62</w:t>
            </w:r>
          </w:p>
        </w:tc>
        <w:tc>
          <w:tcPr>
            <w:tcW w:w="1062" w:type="dxa"/>
            <w:tcBorders>
              <w:top w:val="nil"/>
              <w:left w:val="nil"/>
              <w:bottom w:val="single" w:sz="4" w:space="0" w:color="auto"/>
              <w:right w:val="single" w:sz="4" w:space="0" w:color="auto"/>
            </w:tcBorders>
            <w:vAlign w:val="center"/>
            <w:hideMark/>
          </w:tcPr>
          <w:p w14:paraId="62B239ED" w14:textId="77777777" w:rsidR="00EB5FE9" w:rsidRPr="008E2A3E" w:rsidRDefault="00EB5FE9" w:rsidP="008E2A3E">
            <w:pPr>
              <w:pStyle w:val="NoSpacing"/>
              <w:jc w:val="center"/>
              <w:rPr>
                <w:rFonts w:ascii="Times New Roman" w:hAnsi="Times New Roman" w:cs="Times New Roman"/>
                <w:szCs w:val="24"/>
                <w:lang w:eastAsia="en-IN"/>
              </w:rPr>
            </w:pPr>
            <w:r w:rsidRPr="008E2A3E">
              <w:rPr>
                <w:rFonts w:ascii="Times New Roman" w:hAnsi="Times New Roman" w:cs="Times New Roman"/>
                <w:szCs w:val="24"/>
                <w:lang w:eastAsia="en-IN"/>
              </w:rPr>
              <w:t>4.51 (4.95)</w:t>
            </w:r>
          </w:p>
        </w:tc>
        <w:tc>
          <w:tcPr>
            <w:tcW w:w="953" w:type="dxa"/>
            <w:tcBorders>
              <w:top w:val="nil"/>
              <w:left w:val="nil"/>
              <w:bottom w:val="single" w:sz="4" w:space="0" w:color="auto"/>
              <w:right w:val="single" w:sz="4" w:space="0" w:color="auto"/>
            </w:tcBorders>
            <w:vAlign w:val="center"/>
            <w:hideMark/>
          </w:tcPr>
          <w:p w14:paraId="6A652704" w14:textId="77777777" w:rsidR="00EB5FE9" w:rsidRPr="008E2A3E" w:rsidRDefault="00EB5FE9" w:rsidP="008E2A3E">
            <w:pPr>
              <w:pStyle w:val="NoSpacing"/>
              <w:jc w:val="center"/>
              <w:rPr>
                <w:rFonts w:ascii="Times New Roman" w:hAnsi="Times New Roman" w:cs="Times New Roman"/>
                <w:szCs w:val="24"/>
                <w:lang w:eastAsia="en-IN"/>
              </w:rPr>
            </w:pPr>
            <w:r w:rsidRPr="008E2A3E">
              <w:rPr>
                <w:rFonts w:ascii="Times New Roman" w:hAnsi="Times New Roman" w:cs="Times New Roman"/>
                <w:szCs w:val="24"/>
                <w:lang w:eastAsia="en-IN"/>
              </w:rPr>
              <w:t>9.45 (10.38)</w:t>
            </w:r>
          </w:p>
        </w:tc>
        <w:tc>
          <w:tcPr>
            <w:tcW w:w="1165" w:type="dxa"/>
            <w:tcBorders>
              <w:top w:val="nil"/>
              <w:left w:val="nil"/>
              <w:bottom w:val="single" w:sz="4" w:space="0" w:color="auto"/>
              <w:right w:val="single" w:sz="4" w:space="0" w:color="auto"/>
            </w:tcBorders>
            <w:vAlign w:val="center"/>
            <w:hideMark/>
          </w:tcPr>
          <w:p w14:paraId="4596B033" w14:textId="77777777" w:rsidR="00EB5FE9" w:rsidRPr="008E2A3E" w:rsidRDefault="00EB5FE9" w:rsidP="008E2A3E">
            <w:pPr>
              <w:pStyle w:val="NoSpacing"/>
              <w:jc w:val="center"/>
              <w:rPr>
                <w:rFonts w:ascii="Times New Roman" w:hAnsi="Times New Roman" w:cs="Times New Roman"/>
                <w:szCs w:val="24"/>
                <w:lang w:eastAsia="en-IN"/>
              </w:rPr>
            </w:pPr>
            <w:r w:rsidRPr="008E2A3E">
              <w:rPr>
                <w:rFonts w:ascii="Times New Roman" w:hAnsi="Times New Roman" w:cs="Times New Roman"/>
                <w:szCs w:val="24"/>
                <w:lang w:eastAsia="en-IN"/>
              </w:rPr>
              <w:t>4.59 (5.04)</w:t>
            </w:r>
          </w:p>
        </w:tc>
        <w:tc>
          <w:tcPr>
            <w:tcW w:w="1488" w:type="dxa"/>
            <w:tcBorders>
              <w:top w:val="nil"/>
              <w:left w:val="nil"/>
              <w:bottom w:val="single" w:sz="4" w:space="0" w:color="auto"/>
              <w:right w:val="single" w:sz="4" w:space="0" w:color="auto"/>
            </w:tcBorders>
            <w:vAlign w:val="center"/>
            <w:hideMark/>
          </w:tcPr>
          <w:p w14:paraId="40F27602" w14:textId="77777777" w:rsidR="00EB5FE9" w:rsidRPr="008E2A3E" w:rsidRDefault="00EB5FE9" w:rsidP="008E2A3E">
            <w:pPr>
              <w:pStyle w:val="NoSpacing"/>
              <w:jc w:val="center"/>
              <w:rPr>
                <w:rFonts w:ascii="Times New Roman" w:hAnsi="Times New Roman" w:cs="Times New Roman"/>
                <w:szCs w:val="24"/>
                <w:lang w:eastAsia="en-IN"/>
              </w:rPr>
            </w:pPr>
            <w:r w:rsidRPr="008E2A3E">
              <w:rPr>
                <w:rFonts w:ascii="Times New Roman" w:hAnsi="Times New Roman" w:cs="Times New Roman"/>
                <w:szCs w:val="24"/>
                <w:lang w:eastAsia="en-IN"/>
              </w:rPr>
              <w:t>2.43 (2.67)</w:t>
            </w:r>
          </w:p>
        </w:tc>
        <w:tc>
          <w:tcPr>
            <w:tcW w:w="1376" w:type="dxa"/>
            <w:tcBorders>
              <w:top w:val="nil"/>
              <w:left w:val="nil"/>
              <w:bottom w:val="single" w:sz="4" w:space="0" w:color="auto"/>
              <w:right w:val="single" w:sz="4" w:space="0" w:color="auto"/>
            </w:tcBorders>
            <w:vAlign w:val="center"/>
            <w:hideMark/>
          </w:tcPr>
          <w:p w14:paraId="30A610A1" w14:textId="77777777" w:rsidR="00EB5FE9" w:rsidRPr="008E2A3E" w:rsidRDefault="00EB5FE9" w:rsidP="008E2A3E">
            <w:pPr>
              <w:pStyle w:val="NoSpacing"/>
              <w:jc w:val="center"/>
              <w:rPr>
                <w:rFonts w:ascii="Times New Roman" w:hAnsi="Times New Roman" w:cs="Times New Roman"/>
                <w:szCs w:val="24"/>
                <w:lang w:eastAsia="en-IN"/>
              </w:rPr>
            </w:pPr>
            <w:r w:rsidRPr="008E2A3E">
              <w:rPr>
                <w:rFonts w:ascii="Times New Roman" w:hAnsi="Times New Roman" w:cs="Times New Roman"/>
                <w:szCs w:val="24"/>
                <w:lang w:eastAsia="en-IN"/>
              </w:rPr>
              <w:t>2.59 (2.85)</w:t>
            </w:r>
          </w:p>
        </w:tc>
        <w:tc>
          <w:tcPr>
            <w:tcW w:w="1289" w:type="dxa"/>
            <w:tcBorders>
              <w:top w:val="nil"/>
              <w:left w:val="nil"/>
              <w:bottom w:val="single" w:sz="4" w:space="0" w:color="auto"/>
              <w:right w:val="single" w:sz="4" w:space="0" w:color="auto"/>
            </w:tcBorders>
            <w:vAlign w:val="center"/>
            <w:hideMark/>
          </w:tcPr>
          <w:p w14:paraId="6DD8CB86" w14:textId="77777777" w:rsidR="00EB5FE9" w:rsidRPr="008E2A3E" w:rsidRDefault="00EB5FE9" w:rsidP="008E2A3E">
            <w:pPr>
              <w:pStyle w:val="NoSpacing"/>
              <w:jc w:val="center"/>
              <w:rPr>
                <w:rFonts w:ascii="Times New Roman" w:hAnsi="Times New Roman" w:cs="Times New Roman"/>
                <w:szCs w:val="24"/>
                <w:lang w:eastAsia="en-IN"/>
              </w:rPr>
            </w:pPr>
            <w:r w:rsidRPr="008E2A3E">
              <w:rPr>
                <w:rFonts w:ascii="Times New Roman" w:hAnsi="Times New Roman" w:cs="Times New Roman"/>
                <w:szCs w:val="24"/>
                <w:lang w:eastAsia="en-IN"/>
              </w:rPr>
              <w:t>0.89 (0.98)</w:t>
            </w:r>
          </w:p>
        </w:tc>
        <w:tc>
          <w:tcPr>
            <w:tcW w:w="1627" w:type="dxa"/>
            <w:tcBorders>
              <w:top w:val="nil"/>
              <w:left w:val="nil"/>
              <w:bottom w:val="single" w:sz="4" w:space="0" w:color="auto"/>
              <w:right w:val="single" w:sz="4" w:space="0" w:color="auto"/>
            </w:tcBorders>
            <w:vAlign w:val="center"/>
            <w:hideMark/>
          </w:tcPr>
          <w:p w14:paraId="3104C81F" w14:textId="77777777" w:rsidR="00EB5FE9" w:rsidRPr="008E2A3E" w:rsidRDefault="00EB5FE9" w:rsidP="008E2A3E">
            <w:pPr>
              <w:pStyle w:val="NoSpacing"/>
              <w:jc w:val="center"/>
              <w:rPr>
                <w:rFonts w:ascii="Times New Roman" w:hAnsi="Times New Roman" w:cs="Times New Roman"/>
                <w:szCs w:val="24"/>
                <w:lang w:eastAsia="en-IN"/>
              </w:rPr>
            </w:pPr>
            <w:r w:rsidRPr="008E2A3E">
              <w:rPr>
                <w:rFonts w:ascii="Times New Roman" w:hAnsi="Times New Roman" w:cs="Times New Roman"/>
                <w:szCs w:val="24"/>
                <w:lang w:eastAsia="en-IN"/>
              </w:rPr>
              <w:t>0.75 (0.82)</w:t>
            </w:r>
          </w:p>
        </w:tc>
        <w:tc>
          <w:tcPr>
            <w:tcW w:w="1763" w:type="dxa"/>
            <w:tcBorders>
              <w:top w:val="nil"/>
              <w:left w:val="nil"/>
              <w:bottom w:val="single" w:sz="4" w:space="0" w:color="auto"/>
              <w:right w:val="single" w:sz="4" w:space="0" w:color="auto"/>
            </w:tcBorders>
            <w:vAlign w:val="center"/>
            <w:hideMark/>
          </w:tcPr>
          <w:p w14:paraId="1F7E0B3B" w14:textId="77777777" w:rsidR="00EB5FE9" w:rsidRPr="008E2A3E" w:rsidRDefault="00EB5FE9" w:rsidP="008E2A3E">
            <w:pPr>
              <w:pStyle w:val="NoSpacing"/>
              <w:jc w:val="center"/>
              <w:rPr>
                <w:rFonts w:ascii="Times New Roman" w:hAnsi="Times New Roman" w:cs="Times New Roman"/>
                <w:szCs w:val="24"/>
                <w:lang w:eastAsia="en-IN"/>
              </w:rPr>
            </w:pPr>
            <w:r w:rsidRPr="008E2A3E">
              <w:rPr>
                <w:rFonts w:ascii="Times New Roman" w:hAnsi="Times New Roman" w:cs="Times New Roman"/>
                <w:szCs w:val="24"/>
                <w:lang w:eastAsia="en-IN"/>
              </w:rPr>
              <w:t>0.53 (0.58)</w:t>
            </w:r>
          </w:p>
        </w:tc>
        <w:tc>
          <w:tcPr>
            <w:tcW w:w="997" w:type="dxa"/>
            <w:tcBorders>
              <w:top w:val="nil"/>
              <w:left w:val="nil"/>
              <w:bottom w:val="single" w:sz="4" w:space="0" w:color="auto"/>
              <w:right w:val="single" w:sz="4" w:space="0" w:color="auto"/>
            </w:tcBorders>
            <w:vAlign w:val="center"/>
            <w:hideMark/>
          </w:tcPr>
          <w:p w14:paraId="4181923A" w14:textId="77777777" w:rsidR="00EB5FE9" w:rsidRPr="008E2A3E" w:rsidRDefault="00EB5FE9" w:rsidP="008E2A3E">
            <w:pPr>
              <w:pStyle w:val="NoSpacing"/>
              <w:jc w:val="center"/>
              <w:rPr>
                <w:rFonts w:ascii="Times New Roman" w:hAnsi="Times New Roman" w:cs="Times New Roman"/>
                <w:szCs w:val="24"/>
                <w:lang w:eastAsia="en-IN"/>
              </w:rPr>
            </w:pPr>
            <w:r w:rsidRPr="008E2A3E">
              <w:rPr>
                <w:rFonts w:ascii="Times New Roman" w:hAnsi="Times New Roman" w:cs="Times New Roman"/>
                <w:szCs w:val="24"/>
                <w:lang w:eastAsia="en-IN"/>
              </w:rPr>
              <w:t>8.05 (8.84)</w:t>
            </w:r>
          </w:p>
        </w:tc>
        <w:tc>
          <w:tcPr>
            <w:tcW w:w="1507" w:type="dxa"/>
            <w:tcBorders>
              <w:top w:val="nil"/>
              <w:left w:val="nil"/>
              <w:bottom w:val="single" w:sz="4" w:space="0" w:color="auto"/>
              <w:right w:val="single" w:sz="4" w:space="0" w:color="auto"/>
            </w:tcBorders>
            <w:vAlign w:val="center"/>
            <w:hideMark/>
          </w:tcPr>
          <w:p w14:paraId="22D392F7" w14:textId="77777777" w:rsidR="00EB5FE9" w:rsidRPr="008E2A3E" w:rsidRDefault="00EB5FE9" w:rsidP="008E2A3E">
            <w:pPr>
              <w:pStyle w:val="NoSpacing"/>
              <w:jc w:val="center"/>
              <w:rPr>
                <w:rFonts w:ascii="Times New Roman" w:hAnsi="Times New Roman" w:cs="Times New Roman"/>
                <w:szCs w:val="24"/>
                <w:lang w:eastAsia="en-IN"/>
              </w:rPr>
            </w:pPr>
            <w:r w:rsidRPr="008E2A3E">
              <w:rPr>
                <w:rFonts w:ascii="Times New Roman" w:hAnsi="Times New Roman" w:cs="Times New Roman"/>
                <w:szCs w:val="24"/>
                <w:lang w:eastAsia="en-IN"/>
              </w:rPr>
              <w:t>91.02 (100.00)</w:t>
            </w:r>
          </w:p>
        </w:tc>
      </w:tr>
      <w:tr w:rsidR="00EB5FE9" w:rsidRPr="008E2A3E" w14:paraId="6148262B" w14:textId="77777777" w:rsidTr="00BA3FB7">
        <w:trPr>
          <w:trHeight w:val="264"/>
        </w:trPr>
        <w:tc>
          <w:tcPr>
            <w:tcW w:w="1782" w:type="dxa"/>
            <w:tcBorders>
              <w:top w:val="nil"/>
              <w:left w:val="single" w:sz="4" w:space="0" w:color="auto"/>
              <w:bottom w:val="single" w:sz="4" w:space="0" w:color="auto"/>
              <w:right w:val="single" w:sz="4" w:space="0" w:color="auto"/>
            </w:tcBorders>
            <w:noWrap/>
            <w:vAlign w:val="bottom"/>
            <w:hideMark/>
          </w:tcPr>
          <w:p w14:paraId="5694BBA8" w14:textId="77777777" w:rsidR="00EB5FE9" w:rsidRPr="008E2A3E" w:rsidRDefault="00EB5FE9" w:rsidP="00EB5FE9">
            <w:pPr>
              <w:pStyle w:val="NoSpacing"/>
              <w:rPr>
                <w:rFonts w:ascii="Times New Roman" w:hAnsi="Times New Roman" w:cs="Times New Roman"/>
                <w:szCs w:val="24"/>
                <w:lang w:eastAsia="en-IN"/>
              </w:rPr>
            </w:pPr>
            <w:r w:rsidRPr="008E2A3E">
              <w:rPr>
                <w:rFonts w:ascii="Times New Roman" w:hAnsi="Times New Roman" w:cs="Times New Roman"/>
                <w:szCs w:val="24"/>
                <w:lang w:eastAsia="en-IN"/>
              </w:rPr>
              <w:t>1965-66</w:t>
            </w:r>
          </w:p>
        </w:tc>
        <w:tc>
          <w:tcPr>
            <w:tcW w:w="1062" w:type="dxa"/>
            <w:tcBorders>
              <w:top w:val="nil"/>
              <w:left w:val="nil"/>
              <w:bottom w:val="single" w:sz="4" w:space="0" w:color="auto"/>
              <w:right w:val="single" w:sz="4" w:space="0" w:color="auto"/>
            </w:tcBorders>
            <w:vAlign w:val="center"/>
            <w:hideMark/>
          </w:tcPr>
          <w:p w14:paraId="22F006E2" w14:textId="77777777" w:rsidR="00EB5FE9" w:rsidRPr="008E2A3E" w:rsidRDefault="00EB5FE9" w:rsidP="008E2A3E">
            <w:pPr>
              <w:pStyle w:val="NoSpacing"/>
              <w:jc w:val="center"/>
              <w:rPr>
                <w:rFonts w:ascii="Times New Roman" w:hAnsi="Times New Roman" w:cs="Times New Roman"/>
                <w:szCs w:val="24"/>
                <w:lang w:eastAsia="en-IN"/>
              </w:rPr>
            </w:pPr>
            <w:r w:rsidRPr="008E2A3E">
              <w:rPr>
                <w:rFonts w:ascii="Times New Roman" w:hAnsi="Times New Roman" w:cs="Times New Roman"/>
                <w:szCs w:val="24"/>
                <w:lang w:eastAsia="en-IN"/>
              </w:rPr>
              <w:t>5.57</w:t>
            </w:r>
          </w:p>
        </w:tc>
        <w:tc>
          <w:tcPr>
            <w:tcW w:w="953" w:type="dxa"/>
            <w:tcBorders>
              <w:top w:val="nil"/>
              <w:left w:val="nil"/>
              <w:bottom w:val="single" w:sz="4" w:space="0" w:color="auto"/>
              <w:right w:val="single" w:sz="4" w:space="0" w:color="auto"/>
            </w:tcBorders>
            <w:vAlign w:val="center"/>
            <w:hideMark/>
          </w:tcPr>
          <w:p w14:paraId="6D44C053" w14:textId="77777777" w:rsidR="00EB5FE9" w:rsidRPr="008E2A3E" w:rsidRDefault="00EB5FE9" w:rsidP="008E2A3E">
            <w:pPr>
              <w:pStyle w:val="NoSpacing"/>
              <w:jc w:val="center"/>
              <w:rPr>
                <w:rFonts w:ascii="Times New Roman" w:hAnsi="Times New Roman" w:cs="Times New Roman"/>
                <w:szCs w:val="24"/>
                <w:lang w:eastAsia="en-IN"/>
              </w:rPr>
            </w:pPr>
            <w:r w:rsidRPr="008E2A3E">
              <w:rPr>
                <w:rFonts w:ascii="Times New Roman" w:hAnsi="Times New Roman" w:cs="Times New Roman"/>
                <w:szCs w:val="24"/>
                <w:lang w:eastAsia="en-IN"/>
              </w:rPr>
              <w:t>19.54</w:t>
            </w:r>
          </w:p>
        </w:tc>
        <w:tc>
          <w:tcPr>
            <w:tcW w:w="1165" w:type="dxa"/>
            <w:tcBorders>
              <w:top w:val="nil"/>
              <w:left w:val="nil"/>
              <w:bottom w:val="single" w:sz="4" w:space="0" w:color="auto"/>
              <w:right w:val="single" w:sz="4" w:space="0" w:color="auto"/>
            </w:tcBorders>
            <w:vAlign w:val="center"/>
            <w:hideMark/>
          </w:tcPr>
          <w:p w14:paraId="01932126" w14:textId="77777777" w:rsidR="00EB5FE9" w:rsidRPr="008E2A3E" w:rsidRDefault="00EB5FE9" w:rsidP="008E2A3E">
            <w:pPr>
              <w:pStyle w:val="NoSpacing"/>
              <w:jc w:val="center"/>
              <w:rPr>
                <w:rFonts w:ascii="Times New Roman" w:hAnsi="Times New Roman" w:cs="Times New Roman"/>
                <w:szCs w:val="24"/>
                <w:lang w:eastAsia="en-IN"/>
              </w:rPr>
            </w:pPr>
            <w:r w:rsidRPr="008E2A3E">
              <w:rPr>
                <w:rFonts w:ascii="Times New Roman" w:hAnsi="Times New Roman" w:cs="Times New Roman"/>
                <w:szCs w:val="24"/>
                <w:lang w:eastAsia="en-IN"/>
              </w:rPr>
              <w:t>5.69</w:t>
            </w:r>
          </w:p>
        </w:tc>
        <w:tc>
          <w:tcPr>
            <w:tcW w:w="1488" w:type="dxa"/>
            <w:tcBorders>
              <w:top w:val="nil"/>
              <w:left w:val="nil"/>
              <w:bottom w:val="single" w:sz="4" w:space="0" w:color="auto"/>
              <w:right w:val="single" w:sz="4" w:space="0" w:color="auto"/>
            </w:tcBorders>
            <w:vAlign w:val="center"/>
            <w:hideMark/>
          </w:tcPr>
          <w:p w14:paraId="046B5EFD" w14:textId="77777777" w:rsidR="00EB5FE9" w:rsidRPr="008E2A3E" w:rsidRDefault="00EB5FE9" w:rsidP="008E2A3E">
            <w:pPr>
              <w:pStyle w:val="NoSpacing"/>
              <w:jc w:val="center"/>
              <w:rPr>
                <w:rFonts w:ascii="Times New Roman" w:hAnsi="Times New Roman" w:cs="Times New Roman"/>
                <w:szCs w:val="24"/>
                <w:lang w:eastAsia="en-IN"/>
              </w:rPr>
            </w:pPr>
            <w:r w:rsidRPr="008E2A3E">
              <w:rPr>
                <w:rFonts w:ascii="Times New Roman" w:hAnsi="Times New Roman" w:cs="Times New Roman"/>
                <w:szCs w:val="24"/>
                <w:lang w:eastAsia="en-IN"/>
              </w:rPr>
              <w:t>4.39</w:t>
            </w:r>
          </w:p>
        </w:tc>
        <w:tc>
          <w:tcPr>
            <w:tcW w:w="1376" w:type="dxa"/>
            <w:tcBorders>
              <w:top w:val="nil"/>
              <w:left w:val="nil"/>
              <w:bottom w:val="single" w:sz="4" w:space="0" w:color="auto"/>
              <w:right w:val="single" w:sz="4" w:space="0" w:color="auto"/>
            </w:tcBorders>
            <w:vAlign w:val="center"/>
            <w:hideMark/>
          </w:tcPr>
          <w:p w14:paraId="2627BB86" w14:textId="77777777" w:rsidR="00EB5FE9" w:rsidRPr="008E2A3E" w:rsidRDefault="00EB5FE9" w:rsidP="008E2A3E">
            <w:pPr>
              <w:pStyle w:val="NoSpacing"/>
              <w:jc w:val="center"/>
              <w:rPr>
                <w:rFonts w:ascii="Times New Roman" w:hAnsi="Times New Roman" w:cs="Times New Roman"/>
                <w:szCs w:val="24"/>
                <w:lang w:eastAsia="en-IN"/>
              </w:rPr>
            </w:pPr>
            <w:r w:rsidRPr="008E2A3E">
              <w:rPr>
                <w:rFonts w:ascii="Times New Roman" w:hAnsi="Times New Roman" w:cs="Times New Roman"/>
                <w:szCs w:val="24"/>
                <w:lang w:eastAsia="en-IN"/>
              </w:rPr>
              <w:t>5.63</w:t>
            </w:r>
          </w:p>
        </w:tc>
        <w:tc>
          <w:tcPr>
            <w:tcW w:w="1289" w:type="dxa"/>
            <w:tcBorders>
              <w:top w:val="nil"/>
              <w:left w:val="nil"/>
              <w:bottom w:val="single" w:sz="4" w:space="0" w:color="auto"/>
              <w:right w:val="single" w:sz="4" w:space="0" w:color="auto"/>
            </w:tcBorders>
            <w:vAlign w:val="center"/>
            <w:hideMark/>
          </w:tcPr>
          <w:p w14:paraId="5D51B7B6" w14:textId="77777777" w:rsidR="00EB5FE9" w:rsidRPr="008E2A3E" w:rsidRDefault="00EB5FE9" w:rsidP="008E2A3E">
            <w:pPr>
              <w:pStyle w:val="NoSpacing"/>
              <w:jc w:val="center"/>
              <w:rPr>
                <w:rFonts w:ascii="Times New Roman" w:hAnsi="Times New Roman" w:cs="Times New Roman"/>
                <w:szCs w:val="24"/>
                <w:lang w:eastAsia="en-IN"/>
              </w:rPr>
            </w:pPr>
            <w:r w:rsidRPr="008E2A3E">
              <w:rPr>
                <w:rFonts w:ascii="Times New Roman" w:hAnsi="Times New Roman" w:cs="Times New Roman"/>
                <w:szCs w:val="24"/>
                <w:lang w:eastAsia="en-IN"/>
              </w:rPr>
              <w:t>1.55</w:t>
            </w:r>
          </w:p>
        </w:tc>
        <w:tc>
          <w:tcPr>
            <w:tcW w:w="1627" w:type="dxa"/>
            <w:tcBorders>
              <w:top w:val="nil"/>
              <w:left w:val="nil"/>
              <w:bottom w:val="single" w:sz="4" w:space="0" w:color="auto"/>
              <w:right w:val="single" w:sz="4" w:space="0" w:color="auto"/>
            </w:tcBorders>
            <w:vAlign w:val="center"/>
            <w:hideMark/>
          </w:tcPr>
          <w:p w14:paraId="2301AC3B" w14:textId="7166A332" w:rsidR="00EB5FE9" w:rsidRPr="008E2A3E" w:rsidRDefault="00EB5FE9" w:rsidP="008E2A3E">
            <w:pPr>
              <w:pStyle w:val="NoSpacing"/>
              <w:jc w:val="center"/>
              <w:rPr>
                <w:rFonts w:ascii="Times New Roman" w:hAnsi="Times New Roman" w:cs="Times New Roman"/>
                <w:szCs w:val="24"/>
                <w:lang w:eastAsia="en-IN"/>
              </w:rPr>
            </w:pPr>
            <w:r w:rsidRPr="008E2A3E">
              <w:rPr>
                <w:rFonts w:ascii="Times New Roman" w:hAnsi="Times New Roman" w:cs="Times New Roman"/>
                <w:szCs w:val="24"/>
                <w:lang w:eastAsia="en-IN"/>
              </w:rPr>
              <w:t>1.6</w:t>
            </w:r>
            <w:r w:rsidR="00F34353">
              <w:rPr>
                <w:rFonts w:ascii="Times New Roman" w:hAnsi="Times New Roman" w:cs="Times New Roman"/>
                <w:szCs w:val="24"/>
                <w:lang w:eastAsia="en-IN"/>
              </w:rPr>
              <w:t>0</w:t>
            </w:r>
          </w:p>
        </w:tc>
        <w:tc>
          <w:tcPr>
            <w:tcW w:w="1763" w:type="dxa"/>
            <w:tcBorders>
              <w:top w:val="nil"/>
              <w:left w:val="nil"/>
              <w:bottom w:val="single" w:sz="4" w:space="0" w:color="auto"/>
              <w:right w:val="single" w:sz="4" w:space="0" w:color="auto"/>
            </w:tcBorders>
            <w:vAlign w:val="center"/>
            <w:hideMark/>
          </w:tcPr>
          <w:p w14:paraId="12390CD5" w14:textId="098FA5A3" w:rsidR="00EB5FE9" w:rsidRPr="008E2A3E" w:rsidRDefault="00EB5FE9" w:rsidP="008E2A3E">
            <w:pPr>
              <w:pStyle w:val="NoSpacing"/>
              <w:jc w:val="center"/>
              <w:rPr>
                <w:rFonts w:ascii="Times New Roman" w:hAnsi="Times New Roman" w:cs="Times New Roman"/>
                <w:szCs w:val="24"/>
                <w:lang w:eastAsia="en-IN"/>
              </w:rPr>
            </w:pPr>
            <w:r w:rsidRPr="008E2A3E">
              <w:rPr>
                <w:rFonts w:ascii="Times New Roman" w:hAnsi="Times New Roman" w:cs="Times New Roman"/>
                <w:szCs w:val="24"/>
                <w:lang w:eastAsia="en-IN"/>
              </w:rPr>
              <w:t>1.5</w:t>
            </w:r>
            <w:r w:rsidR="00F34353">
              <w:rPr>
                <w:rFonts w:ascii="Times New Roman" w:hAnsi="Times New Roman" w:cs="Times New Roman"/>
                <w:szCs w:val="24"/>
                <w:lang w:eastAsia="en-IN"/>
              </w:rPr>
              <w:t>0</w:t>
            </w:r>
          </w:p>
        </w:tc>
        <w:tc>
          <w:tcPr>
            <w:tcW w:w="997" w:type="dxa"/>
            <w:tcBorders>
              <w:top w:val="nil"/>
              <w:left w:val="nil"/>
              <w:bottom w:val="single" w:sz="4" w:space="0" w:color="auto"/>
              <w:right w:val="single" w:sz="4" w:space="0" w:color="auto"/>
            </w:tcBorders>
            <w:vAlign w:val="center"/>
            <w:hideMark/>
          </w:tcPr>
          <w:p w14:paraId="31AE001A" w14:textId="77777777" w:rsidR="00EB5FE9" w:rsidRPr="008E2A3E" w:rsidRDefault="00EB5FE9" w:rsidP="008E2A3E">
            <w:pPr>
              <w:pStyle w:val="NoSpacing"/>
              <w:jc w:val="center"/>
              <w:rPr>
                <w:rFonts w:ascii="Times New Roman" w:hAnsi="Times New Roman" w:cs="Times New Roman"/>
                <w:szCs w:val="24"/>
                <w:lang w:eastAsia="en-IN"/>
              </w:rPr>
            </w:pPr>
            <w:r w:rsidRPr="008E2A3E">
              <w:rPr>
                <w:rFonts w:ascii="Times New Roman" w:hAnsi="Times New Roman" w:cs="Times New Roman"/>
                <w:szCs w:val="24"/>
                <w:lang w:eastAsia="en-IN"/>
              </w:rPr>
              <w:t>10.08</w:t>
            </w:r>
          </w:p>
        </w:tc>
        <w:tc>
          <w:tcPr>
            <w:tcW w:w="1507" w:type="dxa"/>
            <w:tcBorders>
              <w:top w:val="nil"/>
              <w:left w:val="nil"/>
              <w:bottom w:val="single" w:sz="4" w:space="0" w:color="auto"/>
              <w:right w:val="single" w:sz="4" w:space="0" w:color="auto"/>
            </w:tcBorders>
            <w:vAlign w:val="center"/>
            <w:hideMark/>
          </w:tcPr>
          <w:p w14:paraId="7B46AC2D" w14:textId="77777777" w:rsidR="00EB5FE9" w:rsidRPr="008E2A3E" w:rsidRDefault="00EB5FE9" w:rsidP="008E2A3E">
            <w:pPr>
              <w:pStyle w:val="NoSpacing"/>
              <w:jc w:val="center"/>
              <w:rPr>
                <w:rFonts w:ascii="Times New Roman" w:hAnsi="Times New Roman" w:cs="Times New Roman"/>
                <w:szCs w:val="24"/>
                <w:lang w:eastAsia="en-IN"/>
              </w:rPr>
            </w:pPr>
            <w:r w:rsidRPr="008E2A3E">
              <w:rPr>
                <w:rFonts w:ascii="Times New Roman" w:hAnsi="Times New Roman" w:cs="Times New Roman"/>
                <w:szCs w:val="24"/>
                <w:lang w:eastAsia="en-IN"/>
              </w:rPr>
              <w:t>120.49</w:t>
            </w:r>
          </w:p>
        </w:tc>
      </w:tr>
      <w:tr w:rsidR="00EB5FE9" w:rsidRPr="008E2A3E" w14:paraId="5DBB2597" w14:textId="77777777" w:rsidTr="00BA3FB7">
        <w:trPr>
          <w:trHeight w:val="264"/>
        </w:trPr>
        <w:tc>
          <w:tcPr>
            <w:tcW w:w="1782" w:type="dxa"/>
            <w:tcBorders>
              <w:top w:val="nil"/>
              <w:left w:val="single" w:sz="4" w:space="0" w:color="auto"/>
              <w:bottom w:val="single" w:sz="4" w:space="0" w:color="auto"/>
              <w:right w:val="single" w:sz="4" w:space="0" w:color="auto"/>
            </w:tcBorders>
            <w:noWrap/>
            <w:vAlign w:val="bottom"/>
            <w:hideMark/>
          </w:tcPr>
          <w:p w14:paraId="27ED2826" w14:textId="77777777" w:rsidR="00EB5FE9" w:rsidRPr="008E2A3E" w:rsidRDefault="00EB5FE9" w:rsidP="00EB5FE9">
            <w:pPr>
              <w:pStyle w:val="NoSpacing"/>
              <w:rPr>
                <w:rFonts w:ascii="Times New Roman" w:hAnsi="Times New Roman" w:cs="Times New Roman"/>
                <w:szCs w:val="24"/>
                <w:lang w:eastAsia="en-IN"/>
              </w:rPr>
            </w:pPr>
            <w:r w:rsidRPr="008E2A3E">
              <w:rPr>
                <w:rFonts w:ascii="Times New Roman" w:hAnsi="Times New Roman" w:cs="Times New Roman"/>
                <w:szCs w:val="24"/>
                <w:lang w:eastAsia="en-IN"/>
              </w:rPr>
              <w:t>1966-67</w:t>
            </w:r>
          </w:p>
        </w:tc>
        <w:tc>
          <w:tcPr>
            <w:tcW w:w="1062" w:type="dxa"/>
            <w:tcBorders>
              <w:top w:val="nil"/>
              <w:left w:val="nil"/>
              <w:bottom w:val="single" w:sz="4" w:space="0" w:color="auto"/>
              <w:right w:val="single" w:sz="4" w:space="0" w:color="auto"/>
            </w:tcBorders>
            <w:vAlign w:val="center"/>
            <w:hideMark/>
          </w:tcPr>
          <w:p w14:paraId="5029FC31" w14:textId="77777777" w:rsidR="00EB5FE9" w:rsidRPr="008E2A3E" w:rsidRDefault="00EB5FE9" w:rsidP="008E2A3E">
            <w:pPr>
              <w:pStyle w:val="NoSpacing"/>
              <w:jc w:val="center"/>
              <w:rPr>
                <w:rFonts w:ascii="Times New Roman" w:hAnsi="Times New Roman" w:cs="Times New Roman"/>
                <w:szCs w:val="24"/>
                <w:lang w:eastAsia="en-IN"/>
              </w:rPr>
            </w:pPr>
            <w:r w:rsidRPr="008E2A3E">
              <w:rPr>
                <w:rFonts w:ascii="Times New Roman" w:hAnsi="Times New Roman" w:cs="Times New Roman"/>
                <w:szCs w:val="24"/>
                <w:lang w:eastAsia="en-IN"/>
              </w:rPr>
              <w:t>3.87</w:t>
            </w:r>
          </w:p>
        </w:tc>
        <w:tc>
          <w:tcPr>
            <w:tcW w:w="953" w:type="dxa"/>
            <w:tcBorders>
              <w:top w:val="nil"/>
              <w:left w:val="nil"/>
              <w:bottom w:val="single" w:sz="4" w:space="0" w:color="auto"/>
              <w:right w:val="single" w:sz="4" w:space="0" w:color="auto"/>
            </w:tcBorders>
            <w:vAlign w:val="center"/>
            <w:hideMark/>
          </w:tcPr>
          <w:p w14:paraId="75BCBB17" w14:textId="77777777" w:rsidR="00EB5FE9" w:rsidRPr="008E2A3E" w:rsidRDefault="00EB5FE9" w:rsidP="008E2A3E">
            <w:pPr>
              <w:pStyle w:val="NoSpacing"/>
              <w:jc w:val="center"/>
              <w:rPr>
                <w:rFonts w:ascii="Times New Roman" w:hAnsi="Times New Roman" w:cs="Times New Roman"/>
                <w:szCs w:val="24"/>
                <w:lang w:eastAsia="en-IN"/>
              </w:rPr>
            </w:pPr>
            <w:r w:rsidRPr="008E2A3E">
              <w:rPr>
                <w:rFonts w:ascii="Times New Roman" w:hAnsi="Times New Roman" w:cs="Times New Roman"/>
                <w:szCs w:val="24"/>
                <w:lang w:eastAsia="en-IN"/>
              </w:rPr>
              <w:t>26.43</w:t>
            </w:r>
          </w:p>
        </w:tc>
        <w:tc>
          <w:tcPr>
            <w:tcW w:w="1165" w:type="dxa"/>
            <w:tcBorders>
              <w:top w:val="nil"/>
              <w:left w:val="nil"/>
              <w:bottom w:val="single" w:sz="4" w:space="0" w:color="auto"/>
              <w:right w:val="single" w:sz="4" w:space="0" w:color="auto"/>
            </w:tcBorders>
            <w:vAlign w:val="center"/>
            <w:hideMark/>
          </w:tcPr>
          <w:p w14:paraId="646252A5" w14:textId="66D2040D" w:rsidR="00EB5FE9" w:rsidRPr="008E2A3E" w:rsidRDefault="00EB5FE9" w:rsidP="008E2A3E">
            <w:pPr>
              <w:pStyle w:val="NoSpacing"/>
              <w:jc w:val="center"/>
              <w:rPr>
                <w:rFonts w:ascii="Times New Roman" w:hAnsi="Times New Roman" w:cs="Times New Roman"/>
                <w:szCs w:val="24"/>
                <w:lang w:eastAsia="en-IN"/>
              </w:rPr>
            </w:pPr>
            <w:r w:rsidRPr="008E2A3E">
              <w:rPr>
                <w:rFonts w:ascii="Times New Roman" w:hAnsi="Times New Roman" w:cs="Times New Roman"/>
                <w:szCs w:val="24"/>
                <w:lang w:eastAsia="en-IN"/>
              </w:rPr>
              <w:t>6.1</w:t>
            </w:r>
            <w:r w:rsidR="00F34353">
              <w:rPr>
                <w:rFonts w:ascii="Times New Roman" w:hAnsi="Times New Roman" w:cs="Times New Roman"/>
                <w:szCs w:val="24"/>
                <w:lang w:eastAsia="en-IN"/>
              </w:rPr>
              <w:t>0</w:t>
            </w:r>
          </w:p>
        </w:tc>
        <w:tc>
          <w:tcPr>
            <w:tcW w:w="1488" w:type="dxa"/>
            <w:tcBorders>
              <w:top w:val="nil"/>
              <w:left w:val="nil"/>
              <w:bottom w:val="single" w:sz="4" w:space="0" w:color="auto"/>
              <w:right w:val="single" w:sz="4" w:space="0" w:color="auto"/>
            </w:tcBorders>
            <w:vAlign w:val="center"/>
            <w:hideMark/>
          </w:tcPr>
          <w:p w14:paraId="2B09765C" w14:textId="77777777" w:rsidR="00EB5FE9" w:rsidRPr="008E2A3E" w:rsidRDefault="00EB5FE9" w:rsidP="008E2A3E">
            <w:pPr>
              <w:pStyle w:val="NoSpacing"/>
              <w:jc w:val="center"/>
              <w:rPr>
                <w:rFonts w:ascii="Times New Roman" w:hAnsi="Times New Roman" w:cs="Times New Roman"/>
                <w:szCs w:val="24"/>
                <w:lang w:eastAsia="en-IN"/>
              </w:rPr>
            </w:pPr>
            <w:r w:rsidRPr="008E2A3E">
              <w:rPr>
                <w:rFonts w:ascii="Times New Roman" w:hAnsi="Times New Roman" w:cs="Times New Roman"/>
                <w:szCs w:val="24"/>
                <w:lang w:eastAsia="en-IN"/>
              </w:rPr>
              <w:t>4.89</w:t>
            </w:r>
          </w:p>
        </w:tc>
        <w:tc>
          <w:tcPr>
            <w:tcW w:w="1376" w:type="dxa"/>
            <w:tcBorders>
              <w:top w:val="nil"/>
              <w:left w:val="nil"/>
              <w:bottom w:val="single" w:sz="4" w:space="0" w:color="auto"/>
              <w:right w:val="single" w:sz="4" w:space="0" w:color="auto"/>
            </w:tcBorders>
            <w:vAlign w:val="center"/>
            <w:hideMark/>
          </w:tcPr>
          <w:p w14:paraId="250E68E9" w14:textId="77777777" w:rsidR="00EB5FE9" w:rsidRPr="008E2A3E" w:rsidRDefault="00EB5FE9" w:rsidP="008E2A3E">
            <w:pPr>
              <w:pStyle w:val="NoSpacing"/>
              <w:jc w:val="center"/>
              <w:rPr>
                <w:rFonts w:ascii="Times New Roman" w:hAnsi="Times New Roman" w:cs="Times New Roman"/>
                <w:szCs w:val="24"/>
                <w:lang w:eastAsia="en-IN"/>
              </w:rPr>
            </w:pPr>
            <w:r w:rsidRPr="008E2A3E">
              <w:rPr>
                <w:rFonts w:ascii="Times New Roman" w:hAnsi="Times New Roman" w:cs="Times New Roman"/>
                <w:szCs w:val="24"/>
                <w:lang w:eastAsia="en-IN"/>
              </w:rPr>
              <w:t>5.8</w:t>
            </w:r>
          </w:p>
        </w:tc>
        <w:tc>
          <w:tcPr>
            <w:tcW w:w="1289" w:type="dxa"/>
            <w:tcBorders>
              <w:top w:val="nil"/>
              <w:left w:val="nil"/>
              <w:bottom w:val="single" w:sz="4" w:space="0" w:color="auto"/>
              <w:right w:val="single" w:sz="4" w:space="0" w:color="auto"/>
            </w:tcBorders>
            <w:vAlign w:val="center"/>
            <w:hideMark/>
          </w:tcPr>
          <w:p w14:paraId="34DB830B" w14:textId="77777777" w:rsidR="00EB5FE9" w:rsidRPr="008E2A3E" w:rsidRDefault="00EB5FE9" w:rsidP="008E2A3E">
            <w:pPr>
              <w:pStyle w:val="NoSpacing"/>
              <w:jc w:val="center"/>
              <w:rPr>
                <w:rFonts w:ascii="Times New Roman" w:hAnsi="Times New Roman" w:cs="Times New Roman"/>
                <w:szCs w:val="24"/>
                <w:lang w:eastAsia="en-IN"/>
              </w:rPr>
            </w:pPr>
            <w:r w:rsidRPr="008E2A3E">
              <w:rPr>
                <w:rFonts w:ascii="Times New Roman" w:hAnsi="Times New Roman" w:cs="Times New Roman"/>
                <w:szCs w:val="24"/>
                <w:lang w:eastAsia="en-IN"/>
              </w:rPr>
              <w:t>1.36</w:t>
            </w:r>
          </w:p>
        </w:tc>
        <w:tc>
          <w:tcPr>
            <w:tcW w:w="1627" w:type="dxa"/>
            <w:tcBorders>
              <w:top w:val="nil"/>
              <w:left w:val="nil"/>
              <w:bottom w:val="single" w:sz="4" w:space="0" w:color="auto"/>
              <w:right w:val="single" w:sz="4" w:space="0" w:color="auto"/>
            </w:tcBorders>
            <w:vAlign w:val="center"/>
            <w:hideMark/>
          </w:tcPr>
          <w:p w14:paraId="643F1303" w14:textId="77777777" w:rsidR="00EB5FE9" w:rsidRPr="008E2A3E" w:rsidRDefault="00EB5FE9" w:rsidP="008E2A3E">
            <w:pPr>
              <w:pStyle w:val="NoSpacing"/>
              <w:jc w:val="center"/>
              <w:rPr>
                <w:rFonts w:ascii="Times New Roman" w:hAnsi="Times New Roman" w:cs="Times New Roman"/>
                <w:szCs w:val="24"/>
                <w:lang w:eastAsia="en-IN"/>
              </w:rPr>
            </w:pPr>
            <w:r w:rsidRPr="008E2A3E">
              <w:rPr>
                <w:rFonts w:ascii="Times New Roman" w:hAnsi="Times New Roman" w:cs="Times New Roman"/>
                <w:szCs w:val="24"/>
                <w:lang w:eastAsia="en-IN"/>
              </w:rPr>
              <w:t>1.71</w:t>
            </w:r>
          </w:p>
        </w:tc>
        <w:tc>
          <w:tcPr>
            <w:tcW w:w="1763" w:type="dxa"/>
            <w:tcBorders>
              <w:top w:val="nil"/>
              <w:left w:val="nil"/>
              <w:bottom w:val="single" w:sz="4" w:space="0" w:color="auto"/>
              <w:right w:val="single" w:sz="4" w:space="0" w:color="auto"/>
            </w:tcBorders>
            <w:vAlign w:val="center"/>
            <w:hideMark/>
          </w:tcPr>
          <w:p w14:paraId="62C94802" w14:textId="77777777" w:rsidR="00EB5FE9" w:rsidRPr="008E2A3E" w:rsidRDefault="00EB5FE9" w:rsidP="008E2A3E">
            <w:pPr>
              <w:pStyle w:val="NoSpacing"/>
              <w:jc w:val="center"/>
              <w:rPr>
                <w:rFonts w:ascii="Times New Roman" w:hAnsi="Times New Roman" w:cs="Times New Roman"/>
                <w:szCs w:val="24"/>
                <w:lang w:eastAsia="en-IN"/>
              </w:rPr>
            </w:pPr>
            <w:r w:rsidRPr="008E2A3E">
              <w:rPr>
                <w:rFonts w:ascii="Times New Roman" w:hAnsi="Times New Roman" w:cs="Times New Roman"/>
                <w:szCs w:val="24"/>
                <w:lang w:eastAsia="en-IN"/>
              </w:rPr>
              <w:t>1.16</w:t>
            </w:r>
          </w:p>
        </w:tc>
        <w:tc>
          <w:tcPr>
            <w:tcW w:w="997" w:type="dxa"/>
            <w:tcBorders>
              <w:top w:val="nil"/>
              <w:left w:val="nil"/>
              <w:bottom w:val="single" w:sz="4" w:space="0" w:color="auto"/>
              <w:right w:val="single" w:sz="4" w:space="0" w:color="auto"/>
            </w:tcBorders>
            <w:vAlign w:val="center"/>
            <w:hideMark/>
          </w:tcPr>
          <w:p w14:paraId="5EDC6079" w14:textId="77777777" w:rsidR="00EB5FE9" w:rsidRPr="008E2A3E" w:rsidRDefault="00EB5FE9" w:rsidP="008E2A3E">
            <w:pPr>
              <w:pStyle w:val="NoSpacing"/>
              <w:jc w:val="center"/>
              <w:rPr>
                <w:rFonts w:ascii="Times New Roman" w:hAnsi="Times New Roman" w:cs="Times New Roman"/>
                <w:szCs w:val="24"/>
                <w:lang w:eastAsia="en-IN"/>
              </w:rPr>
            </w:pPr>
            <w:r w:rsidRPr="008E2A3E">
              <w:rPr>
                <w:rFonts w:ascii="Times New Roman" w:hAnsi="Times New Roman" w:cs="Times New Roman"/>
                <w:szCs w:val="24"/>
                <w:lang w:eastAsia="en-IN"/>
              </w:rPr>
              <w:t>10.97</w:t>
            </w:r>
          </w:p>
        </w:tc>
        <w:tc>
          <w:tcPr>
            <w:tcW w:w="1507" w:type="dxa"/>
            <w:tcBorders>
              <w:top w:val="nil"/>
              <w:left w:val="nil"/>
              <w:bottom w:val="single" w:sz="4" w:space="0" w:color="auto"/>
              <w:right w:val="single" w:sz="4" w:space="0" w:color="auto"/>
            </w:tcBorders>
            <w:vAlign w:val="center"/>
            <w:hideMark/>
          </w:tcPr>
          <w:p w14:paraId="476DE370" w14:textId="77777777" w:rsidR="00EB5FE9" w:rsidRPr="008E2A3E" w:rsidRDefault="00EB5FE9" w:rsidP="008E2A3E">
            <w:pPr>
              <w:pStyle w:val="NoSpacing"/>
              <w:jc w:val="center"/>
              <w:rPr>
                <w:rFonts w:ascii="Times New Roman" w:hAnsi="Times New Roman" w:cs="Times New Roman"/>
                <w:szCs w:val="24"/>
                <w:lang w:eastAsia="en-IN"/>
              </w:rPr>
            </w:pPr>
            <w:r w:rsidRPr="008E2A3E">
              <w:rPr>
                <w:rFonts w:ascii="Times New Roman" w:hAnsi="Times New Roman" w:cs="Times New Roman"/>
                <w:szCs w:val="24"/>
                <w:lang w:eastAsia="en-IN"/>
              </w:rPr>
              <w:t>156.4</w:t>
            </w:r>
          </w:p>
        </w:tc>
      </w:tr>
      <w:tr w:rsidR="00EB5FE9" w:rsidRPr="008E2A3E" w14:paraId="64FE4882" w14:textId="77777777" w:rsidTr="00BA3FB7">
        <w:trPr>
          <w:trHeight w:val="264"/>
        </w:trPr>
        <w:tc>
          <w:tcPr>
            <w:tcW w:w="1782" w:type="dxa"/>
            <w:tcBorders>
              <w:top w:val="nil"/>
              <w:left w:val="single" w:sz="4" w:space="0" w:color="auto"/>
              <w:bottom w:val="single" w:sz="4" w:space="0" w:color="auto"/>
              <w:right w:val="single" w:sz="4" w:space="0" w:color="auto"/>
            </w:tcBorders>
            <w:noWrap/>
            <w:vAlign w:val="bottom"/>
            <w:hideMark/>
          </w:tcPr>
          <w:p w14:paraId="6F9DECE4" w14:textId="77777777" w:rsidR="00EB5FE9" w:rsidRPr="008E2A3E" w:rsidRDefault="00EB5FE9" w:rsidP="00EB5FE9">
            <w:pPr>
              <w:pStyle w:val="NoSpacing"/>
              <w:rPr>
                <w:rFonts w:ascii="Times New Roman" w:hAnsi="Times New Roman" w:cs="Times New Roman"/>
                <w:szCs w:val="24"/>
                <w:lang w:eastAsia="en-IN"/>
              </w:rPr>
            </w:pPr>
            <w:r w:rsidRPr="008E2A3E">
              <w:rPr>
                <w:rFonts w:ascii="Times New Roman" w:hAnsi="Times New Roman" w:cs="Times New Roman"/>
                <w:szCs w:val="24"/>
                <w:lang w:eastAsia="en-IN"/>
              </w:rPr>
              <w:t>1967-68</w:t>
            </w:r>
          </w:p>
        </w:tc>
        <w:tc>
          <w:tcPr>
            <w:tcW w:w="1062" w:type="dxa"/>
            <w:tcBorders>
              <w:top w:val="nil"/>
              <w:left w:val="nil"/>
              <w:bottom w:val="single" w:sz="4" w:space="0" w:color="auto"/>
              <w:right w:val="single" w:sz="4" w:space="0" w:color="auto"/>
            </w:tcBorders>
            <w:vAlign w:val="center"/>
            <w:hideMark/>
          </w:tcPr>
          <w:p w14:paraId="1895DB45" w14:textId="77777777" w:rsidR="00EB5FE9" w:rsidRPr="008E2A3E" w:rsidRDefault="00EB5FE9" w:rsidP="008E2A3E">
            <w:pPr>
              <w:pStyle w:val="NoSpacing"/>
              <w:jc w:val="center"/>
              <w:rPr>
                <w:rFonts w:ascii="Times New Roman" w:hAnsi="Times New Roman" w:cs="Times New Roman"/>
                <w:szCs w:val="24"/>
                <w:lang w:eastAsia="en-IN"/>
              </w:rPr>
            </w:pPr>
            <w:r w:rsidRPr="008E2A3E">
              <w:rPr>
                <w:rFonts w:ascii="Times New Roman" w:hAnsi="Times New Roman" w:cs="Times New Roman"/>
                <w:szCs w:val="24"/>
                <w:lang w:eastAsia="en-IN"/>
              </w:rPr>
              <w:t>7.41</w:t>
            </w:r>
          </w:p>
        </w:tc>
        <w:tc>
          <w:tcPr>
            <w:tcW w:w="953" w:type="dxa"/>
            <w:tcBorders>
              <w:top w:val="nil"/>
              <w:left w:val="nil"/>
              <w:bottom w:val="single" w:sz="4" w:space="0" w:color="auto"/>
              <w:right w:val="single" w:sz="4" w:space="0" w:color="auto"/>
            </w:tcBorders>
            <w:vAlign w:val="center"/>
            <w:hideMark/>
          </w:tcPr>
          <w:p w14:paraId="4809A408" w14:textId="77777777" w:rsidR="00EB5FE9" w:rsidRPr="008E2A3E" w:rsidRDefault="00EB5FE9" w:rsidP="008E2A3E">
            <w:pPr>
              <w:pStyle w:val="NoSpacing"/>
              <w:jc w:val="center"/>
              <w:rPr>
                <w:rFonts w:ascii="Times New Roman" w:hAnsi="Times New Roman" w:cs="Times New Roman"/>
                <w:szCs w:val="24"/>
                <w:lang w:eastAsia="en-IN"/>
              </w:rPr>
            </w:pPr>
            <w:r w:rsidRPr="008E2A3E">
              <w:rPr>
                <w:rFonts w:ascii="Times New Roman" w:hAnsi="Times New Roman" w:cs="Times New Roman"/>
                <w:szCs w:val="24"/>
                <w:lang w:eastAsia="en-IN"/>
              </w:rPr>
              <w:t>28.25</w:t>
            </w:r>
          </w:p>
        </w:tc>
        <w:tc>
          <w:tcPr>
            <w:tcW w:w="1165" w:type="dxa"/>
            <w:tcBorders>
              <w:top w:val="nil"/>
              <w:left w:val="nil"/>
              <w:bottom w:val="single" w:sz="4" w:space="0" w:color="auto"/>
              <w:right w:val="single" w:sz="4" w:space="0" w:color="auto"/>
            </w:tcBorders>
            <w:vAlign w:val="center"/>
            <w:hideMark/>
          </w:tcPr>
          <w:p w14:paraId="34E6A910" w14:textId="77777777" w:rsidR="00EB5FE9" w:rsidRPr="008E2A3E" w:rsidRDefault="00EB5FE9" w:rsidP="008E2A3E">
            <w:pPr>
              <w:pStyle w:val="NoSpacing"/>
              <w:jc w:val="center"/>
              <w:rPr>
                <w:rFonts w:ascii="Times New Roman" w:hAnsi="Times New Roman" w:cs="Times New Roman"/>
                <w:szCs w:val="24"/>
                <w:lang w:eastAsia="en-IN"/>
              </w:rPr>
            </w:pPr>
            <w:r w:rsidRPr="008E2A3E">
              <w:rPr>
                <w:rFonts w:ascii="Times New Roman" w:hAnsi="Times New Roman" w:cs="Times New Roman"/>
                <w:szCs w:val="24"/>
                <w:lang w:eastAsia="en-IN"/>
              </w:rPr>
              <w:t>6.89</w:t>
            </w:r>
          </w:p>
        </w:tc>
        <w:tc>
          <w:tcPr>
            <w:tcW w:w="1488" w:type="dxa"/>
            <w:tcBorders>
              <w:top w:val="nil"/>
              <w:left w:val="nil"/>
              <w:bottom w:val="single" w:sz="4" w:space="0" w:color="auto"/>
              <w:right w:val="single" w:sz="4" w:space="0" w:color="auto"/>
            </w:tcBorders>
            <w:vAlign w:val="center"/>
            <w:hideMark/>
          </w:tcPr>
          <w:p w14:paraId="0FF0A2B5" w14:textId="77777777" w:rsidR="00EB5FE9" w:rsidRPr="008E2A3E" w:rsidRDefault="00EB5FE9" w:rsidP="008E2A3E">
            <w:pPr>
              <w:pStyle w:val="NoSpacing"/>
              <w:jc w:val="center"/>
              <w:rPr>
                <w:rFonts w:ascii="Times New Roman" w:hAnsi="Times New Roman" w:cs="Times New Roman"/>
                <w:szCs w:val="24"/>
                <w:lang w:eastAsia="en-IN"/>
              </w:rPr>
            </w:pPr>
            <w:r w:rsidRPr="008E2A3E">
              <w:rPr>
                <w:rFonts w:ascii="Times New Roman" w:hAnsi="Times New Roman" w:cs="Times New Roman"/>
                <w:szCs w:val="24"/>
                <w:lang w:eastAsia="en-IN"/>
              </w:rPr>
              <w:t>5.53</w:t>
            </w:r>
          </w:p>
        </w:tc>
        <w:tc>
          <w:tcPr>
            <w:tcW w:w="1376" w:type="dxa"/>
            <w:tcBorders>
              <w:top w:val="nil"/>
              <w:left w:val="nil"/>
              <w:bottom w:val="single" w:sz="4" w:space="0" w:color="auto"/>
              <w:right w:val="single" w:sz="4" w:space="0" w:color="auto"/>
            </w:tcBorders>
            <w:vAlign w:val="center"/>
            <w:hideMark/>
          </w:tcPr>
          <w:p w14:paraId="1D9EAFB4" w14:textId="77777777" w:rsidR="00EB5FE9" w:rsidRPr="008E2A3E" w:rsidRDefault="00EB5FE9" w:rsidP="008E2A3E">
            <w:pPr>
              <w:pStyle w:val="NoSpacing"/>
              <w:jc w:val="center"/>
              <w:rPr>
                <w:rFonts w:ascii="Times New Roman" w:hAnsi="Times New Roman" w:cs="Times New Roman"/>
                <w:szCs w:val="24"/>
                <w:lang w:eastAsia="en-IN"/>
              </w:rPr>
            </w:pPr>
            <w:r w:rsidRPr="008E2A3E">
              <w:rPr>
                <w:rFonts w:ascii="Times New Roman" w:hAnsi="Times New Roman" w:cs="Times New Roman"/>
                <w:szCs w:val="24"/>
                <w:lang w:eastAsia="en-IN"/>
              </w:rPr>
              <w:t>6.05</w:t>
            </w:r>
          </w:p>
        </w:tc>
        <w:tc>
          <w:tcPr>
            <w:tcW w:w="1289" w:type="dxa"/>
            <w:tcBorders>
              <w:top w:val="nil"/>
              <w:left w:val="nil"/>
              <w:bottom w:val="single" w:sz="4" w:space="0" w:color="auto"/>
              <w:right w:val="single" w:sz="4" w:space="0" w:color="auto"/>
            </w:tcBorders>
            <w:vAlign w:val="center"/>
            <w:hideMark/>
          </w:tcPr>
          <w:p w14:paraId="6BC75DD6" w14:textId="77777777" w:rsidR="00EB5FE9" w:rsidRPr="008E2A3E" w:rsidRDefault="00EB5FE9" w:rsidP="008E2A3E">
            <w:pPr>
              <w:pStyle w:val="NoSpacing"/>
              <w:jc w:val="center"/>
              <w:rPr>
                <w:rFonts w:ascii="Times New Roman" w:hAnsi="Times New Roman" w:cs="Times New Roman"/>
                <w:szCs w:val="24"/>
                <w:lang w:eastAsia="en-IN"/>
              </w:rPr>
            </w:pPr>
            <w:r w:rsidRPr="008E2A3E">
              <w:rPr>
                <w:rFonts w:ascii="Times New Roman" w:hAnsi="Times New Roman" w:cs="Times New Roman"/>
                <w:szCs w:val="24"/>
                <w:lang w:eastAsia="en-IN"/>
              </w:rPr>
              <w:t>1.63</w:t>
            </w:r>
          </w:p>
        </w:tc>
        <w:tc>
          <w:tcPr>
            <w:tcW w:w="1627" w:type="dxa"/>
            <w:tcBorders>
              <w:top w:val="nil"/>
              <w:left w:val="nil"/>
              <w:bottom w:val="single" w:sz="4" w:space="0" w:color="auto"/>
              <w:right w:val="single" w:sz="4" w:space="0" w:color="auto"/>
            </w:tcBorders>
            <w:vAlign w:val="center"/>
            <w:hideMark/>
          </w:tcPr>
          <w:p w14:paraId="5A67C597" w14:textId="77777777" w:rsidR="00EB5FE9" w:rsidRPr="008E2A3E" w:rsidRDefault="00EB5FE9" w:rsidP="008E2A3E">
            <w:pPr>
              <w:pStyle w:val="NoSpacing"/>
              <w:jc w:val="center"/>
              <w:rPr>
                <w:rFonts w:ascii="Times New Roman" w:hAnsi="Times New Roman" w:cs="Times New Roman"/>
                <w:szCs w:val="24"/>
                <w:lang w:eastAsia="en-IN"/>
              </w:rPr>
            </w:pPr>
            <w:r w:rsidRPr="008E2A3E">
              <w:rPr>
                <w:rFonts w:ascii="Times New Roman" w:hAnsi="Times New Roman" w:cs="Times New Roman"/>
                <w:szCs w:val="24"/>
                <w:lang w:eastAsia="en-IN"/>
              </w:rPr>
              <w:t>2.55</w:t>
            </w:r>
          </w:p>
        </w:tc>
        <w:tc>
          <w:tcPr>
            <w:tcW w:w="1763" w:type="dxa"/>
            <w:tcBorders>
              <w:top w:val="nil"/>
              <w:left w:val="nil"/>
              <w:bottom w:val="single" w:sz="4" w:space="0" w:color="auto"/>
              <w:right w:val="single" w:sz="4" w:space="0" w:color="auto"/>
            </w:tcBorders>
            <w:vAlign w:val="center"/>
            <w:hideMark/>
          </w:tcPr>
          <w:p w14:paraId="5A140C98" w14:textId="77777777" w:rsidR="00EB5FE9" w:rsidRPr="008E2A3E" w:rsidRDefault="00EB5FE9" w:rsidP="008E2A3E">
            <w:pPr>
              <w:pStyle w:val="NoSpacing"/>
              <w:jc w:val="center"/>
              <w:rPr>
                <w:rFonts w:ascii="Times New Roman" w:hAnsi="Times New Roman" w:cs="Times New Roman"/>
                <w:szCs w:val="24"/>
                <w:lang w:eastAsia="en-IN"/>
              </w:rPr>
            </w:pPr>
            <w:r w:rsidRPr="008E2A3E">
              <w:rPr>
                <w:rFonts w:ascii="Times New Roman" w:hAnsi="Times New Roman" w:cs="Times New Roman"/>
                <w:szCs w:val="24"/>
                <w:lang w:eastAsia="en-IN"/>
              </w:rPr>
              <w:t>1.23</w:t>
            </w:r>
          </w:p>
        </w:tc>
        <w:tc>
          <w:tcPr>
            <w:tcW w:w="997" w:type="dxa"/>
            <w:tcBorders>
              <w:top w:val="nil"/>
              <w:left w:val="nil"/>
              <w:bottom w:val="single" w:sz="4" w:space="0" w:color="auto"/>
              <w:right w:val="single" w:sz="4" w:space="0" w:color="auto"/>
            </w:tcBorders>
            <w:vAlign w:val="center"/>
            <w:hideMark/>
          </w:tcPr>
          <w:p w14:paraId="4E33FBC9" w14:textId="77777777" w:rsidR="00EB5FE9" w:rsidRPr="008E2A3E" w:rsidRDefault="00EB5FE9" w:rsidP="008E2A3E">
            <w:pPr>
              <w:pStyle w:val="NoSpacing"/>
              <w:jc w:val="center"/>
              <w:rPr>
                <w:rFonts w:ascii="Times New Roman" w:hAnsi="Times New Roman" w:cs="Times New Roman"/>
                <w:szCs w:val="24"/>
                <w:lang w:eastAsia="en-IN"/>
              </w:rPr>
            </w:pPr>
            <w:r w:rsidRPr="008E2A3E">
              <w:rPr>
                <w:rFonts w:ascii="Times New Roman" w:hAnsi="Times New Roman" w:cs="Times New Roman"/>
                <w:szCs w:val="24"/>
                <w:lang w:eastAsia="en-IN"/>
              </w:rPr>
              <w:t>11.07</w:t>
            </w:r>
          </w:p>
        </w:tc>
        <w:tc>
          <w:tcPr>
            <w:tcW w:w="1507" w:type="dxa"/>
            <w:tcBorders>
              <w:top w:val="nil"/>
              <w:left w:val="nil"/>
              <w:bottom w:val="single" w:sz="4" w:space="0" w:color="auto"/>
              <w:right w:val="single" w:sz="4" w:space="0" w:color="auto"/>
            </w:tcBorders>
            <w:vAlign w:val="center"/>
            <w:hideMark/>
          </w:tcPr>
          <w:p w14:paraId="3B4F1C52" w14:textId="77777777" w:rsidR="00EB5FE9" w:rsidRPr="008E2A3E" w:rsidRDefault="00EB5FE9" w:rsidP="008E2A3E">
            <w:pPr>
              <w:pStyle w:val="NoSpacing"/>
              <w:jc w:val="center"/>
              <w:rPr>
                <w:rFonts w:ascii="Times New Roman" w:hAnsi="Times New Roman" w:cs="Times New Roman"/>
                <w:szCs w:val="24"/>
                <w:lang w:eastAsia="en-IN"/>
              </w:rPr>
            </w:pPr>
            <w:r w:rsidRPr="008E2A3E">
              <w:rPr>
                <w:rFonts w:ascii="Times New Roman" w:hAnsi="Times New Roman" w:cs="Times New Roman"/>
                <w:szCs w:val="24"/>
                <w:lang w:eastAsia="en-IN"/>
              </w:rPr>
              <w:t>170.99</w:t>
            </w:r>
          </w:p>
        </w:tc>
      </w:tr>
      <w:tr w:rsidR="00EB5FE9" w:rsidRPr="008E2A3E" w14:paraId="7130801A" w14:textId="77777777" w:rsidTr="00BA3FB7">
        <w:trPr>
          <w:trHeight w:val="264"/>
        </w:trPr>
        <w:tc>
          <w:tcPr>
            <w:tcW w:w="1782" w:type="dxa"/>
            <w:tcBorders>
              <w:top w:val="nil"/>
              <w:left w:val="single" w:sz="4" w:space="0" w:color="auto"/>
              <w:bottom w:val="single" w:sz="4" w:space="0" w:color="auto"/>
              <w:right w:val="single" w:sz="4" w:space="0" w:color="auto"/>
            </w:tcBorders>
            <w:noWrap/>
            <w:vAlign w:val="bottom"/>
            <w:hideMark/>
          </w:tcPr>
          <w:p w14:paraId="0A309173" w14:textId="77777777" w:rsidR="00EB5FE9" w:rsidRPr="008E2A3E" w:rsidRDefault="00EB5FE9" w:rsidP="00EB5FE9">
            <w:pPr>
              <w:pStyle w:val="NoSpacing"/>
              <w:rPr>
                <w:rFonts w:ascii="Times New Roman" w:hAnsi="Times New Roman" w:cs="Times New Roman"/>
                <w:szCs w:val="24"/>
                <w:lang w:eastAsia="en-IN"/>
              </w:rPr>
            </w:pPr>
            <w:r w:rsidRPr="008E2A3E">
              <w:rPr>
                <w:rFonts w:ascii="Times New Roman" w:hAnsi="Times New Roman" w:cs="Times New Roman"/>
                <w:szCs w:val="24"/>
                <w:lang w:eastAsia="en-IN"/>
              </w:rPr>
              <w:t>1968-69 (RE)</w:t>
            </w:r>
          </w:p>
        </w:tc>
        <w:tc>
          <w:tcPr>
            <w:tcW w:w="1062" w:type="dxa"/>
            <w:tcBorders>
              <w:top w:val="nil"/>
              <w:left w:val="nil"/>
              <w:bottom w:val="single" w:sz="4" w:space="0" w:color="auto"/>
              <w:right w:val="single" w:sz="4" w:space="0" w:color="auto"/>
            </w:tcBorders>
            <w:vAlign w:val="center"/>
            <w:hideMark/>
          </w:tcPr>
          <w:p w14:paraId="0448A3AD" w14:textId="77777777" w:rsidR="00EB5FE9" w:rsidRPr="008E2A3E" w:rsidRDefault="00EB5FE9" w:rsidP="008E2A3E">
            <w:pPr>
              <w:pStyle w:val="NoSpacing"/>
              <w:jc w:val="center"/>
              <w:rPr>
                <w:rFonts w:ascii="Times New Roman" w:hAnsi="Times New Roman" w:cs="Times New Roman"/>
                <w:szCs w:val="24"/>
                <w:lang w:eastAsia="en-IN"/>
              </w:rPr>
            </w:pPr>
            <w:r w:rsidRPr="008E2A3E">
              <w:rPr>
                <w:rFonts w:ascii="Times New Roman" w:hAnsi="Times New Roman" w:cs="Times New Roman"/>
                <w:szCs w:val="24"/>
                <w:lang w:eastAsia="en-IN"/>
              </w:rPr>
              <w:t>5.05 (2.34)</w:t>
            </w:r>
          </w:p>
        </w:tc>
        <w:tc>
          <w:tcPr>
            <w:tcW w:w="953" w:type="dxa"/>
            <w:tcBorders>
              <w:top w:val="nil"/>
              <w:left w:val="nil"/>
              <w:bottom w:val="single" w:sz="4" w:space="0" w:color="auto"/>
              <w:right w:val="single" w:sz="4" w:space="0" w:color="auto"/>
            </w:tcBorders>
            <w:vAlign w:val="center"/>
            <w:hideMark/>
          </w:tcPr>
          <w:p w14:paraId="71BBCE7B" w14:textId="77777777" w:rsidR="00EB5FE9" w:rsidRPr="008E2A3E" w:rsidRDefault="00EB5FE9" w:rsidP="008E2A3E">
            <w:pPr>
              <w:pStyle w:val="NoSpacing"/>
              <w:jc w:val="center"/>
              <w:rPr>
                <w:rFonts w:ascii="Times New Roman" w:hAnsi="Times New Roman" w:cs="Times New Roman"/>
                <w:szCs w:val="24"/>
                <w:lang w:eastAsia="en-IN"/>
              </w:rPr>
            </w:pPr>
            <w:r w:rsidRPr="008E2A3E">
              <w:rPr>
                <w:rFonts w:ascii="Times New Roman" w:hAnsi="Times New Roman" w:cs="Times New Roman"/>
                <w:szCs w:val="24"/>
                <w:lang w:eastAsia="en-IN"/>
              </w:rPr>
              <w:t>33.00 (15.32)</w:t>
            </w:r>
          </w:p>
        </w:tc>
        <w:tc>
          <w:tcPr>
            <w:tcW w:w="1165" w:type="dxa"/>
            <w:tcBorders>
              <w:top w:val="nil"/>
              <w:left w:val="nil"/>
              <w:bottom w:val="single" w:sz="4" w:space="0" w:color="auto"/>
              <w:right w:val="single" w:sz="4" w:space="0" w:color="auto"/>
            </w:tcBorders>
            <w:vAlign w:val="center"/>
            <w:hideMark/>
          </w:tcPr>
          <w:p w14:paraId="4CED2C16" w14:textId="77777777" w:rsidR="00EB5FE9" w:rsidRPr="008E2A3E" w:rsidRDefault="00EB5FE9" w:rsidP="008E2A3E">
            <w:pPr>
              <w:pStyle w:val="NoSpacing"/>
              <w:jc w:val="center"/>
              <w:rPr>
                <w:rFonts w:ascii="Times New Roman" w:hAnsi="Times New Roman" w:cs="Times New Roman"/>
                <w:szCs w:val="24"/>
                <w:lang w:eastAsia="en-IN"/>
              </w:rPr>
            </w:pPr>
            <w:r w:rsidRPr="008E2A3E">
              <w:rPr>
                <w:rFonts w:ascii="Times New Roman" w:hAnsi="Times New Roman" w:cs="Times New Roman"/>
                <w:szCs w:val="24"/>
                <w:lang w:eastAsia="en-IN"/>
              </w:rPr>
              <w:t>7.50 (3.48)</w:t>
            </w:r>
          </w:p>
        </w:tc>
        <w:tc>
          <w:tcPr>
            <w:tcW w:w="1488" w:type="dxa"/>
            <w:tcBorders>
              <w:top w:val="nil"/>
              <w:left w:val="nil"/>
              <w:bottom w:val="single" w:sz="4" w:space="0" w:color="auto"/>
              <w:right w:val="single" w:sz="4" w:space="0" w:color="auto"/>
            </w:tcBorders>
            <w:vAlign w:val="center"/>
            <w:hideMark/>
          </w:tcPr>
          <w:p w14:paraId="41C114F2" w14:textId="77777777" w:rsidR="00EB5FE9" w:rsidRPr="008E2A3E" w:rsidRDefault="00EB5FE9" w:rsidP="008E2A3E">
            <w:pPr>
              <w:pStyle w:val="NoSpacing"/>
              <w:jc w:val="center"/>
              <w:rPr>
                <w:rFonts w:ascii="Times New Roman" w:hAnsi="Times New Roman" w:cs="Times New Roman"/>
                <w:szCs w:val="24"/>
                <w:lang w:eastAsia="en-IN"/>
              </w:rPr>
            </w:pPr>
            <w:r w:rsidRPr="008E2A3E">
              <w:rPr>
                <w:rFonts w:ascii="Times New Roman" w:hAnsi="Times New Roman" w:cs="Times New Roman"/>
                <w:szCs w:val="24"/>
                <w:lang w:eastAsia="en-IN"/>
              </w:rPr>
              <w:t>6.16 (2.86)</w:t>
            </w:r>
          </w:p>
        </w:tc>
        <w:tc>
          <w:tcPr>
            <w:tcW w:w="1376" w:type="dxa"/>
            <w:tcBorders>
              <w:top w:val="nil"/>
              <w:left w:val="nil"/>
              <w:bottom w:val="single" w:sz="4" w:space="0" w:color="auto"/>
              <w:right w:val="single" w:sz="4" w:space="0" w:color="auto"/>
            </w:tcBorders>
            <w:vAlign w:val="center"/>
            <w:hideMark/>
          </w:tcPr>
          <w:p w14:paraId="274D504C" w14:textId="77777777" w:rsidR="00EB5FE9" w:rsidRPr="008E2A3E" w:rsidRDefault="00EB5FE9" w:rsidP="008E2A3E">
            <w:pPr>
              <w:pStyle w:val="NoSpacing"/>
              <w:jc w:val="center"/>
              <w:rPr>
                <w:rFonts w:ascii="Times New Roman" w:hAnsi="Times New Roman" w:cs="Times New Roman"/>
                <w:szCs w:val="24"/>
                <w:lang w:eastAsia="en-IN"/>
              </w:rPr>
            </w:pPr>
            <w:r w:rsidRPr="008E2A3E">
              <w:rPr>
                <w:rFonts w:ascii="Times New Roman" w:hAnsi="Times New Roman" w:cs="Times New Roman"/>
                <w:szCs w:val="24"/>
                <w:lang w:eastAsia="en-IN"/>
              </w:rPr>
              <w:t>8.30 (3.85)</w:t>
            </w:r>
          </w:p>
        </w:tc>
        <w:tc>
          <w:tcPr>
            <w:tcW w:w="1289" w:type="dxa"/>
            <w:tcBorders>
              <w:top w:val="nil"/>
              <w:left w:val="nil"/>
              <w:bottom w:val="single" w:sz="4" w:space="0" w:color="auto"/>
              <w:right w:val="single" w:sz="4" w:space="0" w:color="auto"/>
            </w:tcBorders>
            <w:vAlign w:val="center"/>
            <w:hideMark/>
          </w:tcPr>
          <w:p w14:paraId="5C0E38EB" w14:textId="77777777" w:rsidR="00EB5FE9" w:rsidRPr="008E2A3E" w:rsidRDefault="00EB5FE9" w:rsidP="008E2A3E">
            <w:pPr>
              <w:pStyle w:val="NoSpacing"/>
              <w:jc w:val="center"/>
              <w:rPr>
                <w:rFonts w:ascii="Times New Roman" w:hAnsi="Times New Roman" w:cs="Times New Roman"/>
                <w:szCs w:val="24"/>
                <w:lang w:eastAsia="en-IN"/>
              </w:rPr>
            </w:pPr>
            <w:r w:rsidRPr="008E2A3E">
              <w:rPr>
                <w:rFonts w:ascii="Times New Roman" w:hAnsi="Times New Roman" w:cs="Times New Roman"/>
                <w:szCs w:val="24"/>
                <w:lang w:eastAsia="en-IN"/>
              </w:rPr>
              <w:t>2.47 (1.15)</w:t>
            </w:r>
          </w:p>
        </w:tc>
        <w:tc>
          <w:tcPr>
            <w:tcW w:w="1627" w:type="dxa"/>
            <w:tcBorders>
              <w:top w:val="nil"/>
              <w:left w:val="nil"/>
              <w:bottom w:val="single" w:sz="4" w:space="0" w:color="auto"/>
              <w:right w:val="single" w:sz="4" w:space="0" w:color="auto"/>
            </w:tcBorders>
            <w:vAlign w:val="center"/>
            <w:hideMark/>
          </w:tcPr>
          <w:p w14:paraId="28AA69E3" w14:textId="77777777" w:rsidR="00EB5FE9" w:rsidRPr="008E2A3E" w:rsidRDefault="00EB5FE9" w:rsidP="008E2A3E">
            <w:pPr>
              <w:pStyle w:val="NoSpacing"/>
              <w:jc w:val="center"/>
              <w:rPr>
                <w:rFonts w:ascii="Times New Roman" w:hAnsi="Times New Roman" w:cs="Times New Roman"/>
                <w:szCs w:val="24"/>
                <w:lang w:eastAsia="en-IN"/>
              </w:rPr>
            </w:pPr>
            <w:r w:rsidRPr="008E2A3E">
              <w:rPr>
                <w:rFonts w:ascii="Times New Roman" w:hAnsi="Times New Roman" w:cs="Times New Roman"/>
                <w:szCs w:val="24"/>
                <w:lang w:eastAsia="en-IN"/>
              </w:rPr>
              <w:t>2.67 (1.24)</w:t>
            </w:r>
          </w:p>
        </w:tc>
        <w:tc>
          <w:tcPr>
            <w:tcW w:w="1763" w:type="dxa"/>
            <w:tcBorders>
              <w:top w:val="nil"/>
              <w:left w:val="nil"/>
              <w:bottom w:val="single" w:sz="4" w:space="0" w:color="auto"/>
              <w:right w:val="single" w:sz="4" w:space="0" w:color="auto"/>
            </w:tcBorders>
            <w:vAlign w:val="center"/>
            <w:hideMark/>
          </w:tcPr>
          <w:p w14:paraId="2CACED20" w14:textId="77777777" w:rsidR="00EB5FE9" w:rsidRPr="008E2A3E" w:rsidRDefault="00EB5FE9" w:rsidP="008E2A3E">
            <w:pPr>
              <w:pStyle w:val="NoSpacing"/>
              <w:jc w:val="center"/>
              <w:rPr>
                <w:rFonts w:ascii="Times New Roman" w:hAnsi="Times New Roman" w:cs="Times New Roman"/>
                <w:szCs w:val="24"/>
                <w:lang w:eastAsia="en-IN"/>
              </w:rPr>
            </w:pPr>
            <w:r w:rsidRPr="008E2A3E">
              <w:rPr>
                <w:rFonts w:ascii="Times New Roman" w:hAnsi="Times New Roman" w:cs="Times New Roman"/>
                <w:szCs w:val="24"/>
                <w:lang w:eastAsia="en-IN"/>
              </w:rPr>
              <w:t>1.25 (0.58)</w:t>
            </w:r>
          </w:p>
        </w:tc>
        <w:tc>
          <w:tcPr>
            <w:tcW w:w="997" w:type="dxa"/>
            <w:tcBorders>
              <w:top w:val="nil"/>
              <w:left w:val="nil"/>
              <w:bottom w:val="single" w:sz="4" w:space="0" w:color="auto"/>
              <w:right w:val="single" w:sz="4" w:space="0" w:color="auto"/>
            </w:tcBorders>
            <w:vAlign w:val="center"/>
            <w:hideMark/>
          </w:tcPr>
          <w:p w14:paraId="0111BF4B" w14:textId="77777777" w:rsidR="00EB5FE9" w:rsidRPr="008E2A3E" w:rsidRDefault="00EB5FE9" w:rsidP="008E2A3E">
            <w:pPr>
              <w:pStyle w:val="NoSpacing"/>
              <w:jc w:val="center"/>
              <w:rPr>
                <w:rFonts w:ascii="Times New Roman" w:hAnsi="Times New Roman" w:cs="Times New Roman"/>
                <w:szCs w:val="24"/>
                <w:lang w:eastAsia="en-IN"/>
              </w:rPr>
            </w:pPr>
            <w:r w:rsidRPr="008E2A3E">
              <w:rPr>
                <w:rFonts w:ascii="Times New Roman" w:hAnsi="Times New Roman" w:cs="Times New Roman"/>
                <w:szCs w:val="24"/>
                <w:lang w:eastAsia="en-IN"/>
              </w:rPr>
              <w:t>12.24 (5.68)</w:t>
            </w:r>
          </w:p>
        </w:tc>
        <w:tc>
          <w:tcPr>
            <w:tcW w:w="1507" w:type="dxa"/>
            <w:tcBorders>
              <w:top w:val="nil"/>
              <w:left w:val="nil"/>
              <w:bottom w:val="single" w:sz="4" w:space="0" w:color="auto"/>
              <w:right w:val="single" w:sz="4" w:space="0" w:color="auto"/>
            </w:tcBorders>
            <w:vAlign w:val="center"/>
            <w:hideMark/>
          </w:tcPr>
          <w:p w14:paraId="20E44B7B" w14:textId="77777777" w:rsidR="00EB5FE9" w:rsidRPr="008E2A3E" w:rsidRDefault="00EB5FE9" w:rsidP="008E2A3E">
            <w:pPr>
              <w:pStyle w:val="NoSpacing"/>
              <w:jc w:val="center"/>
              <w:rPr>
                <w:rFonts w:ascii="Times New Roman" w:hAnsi="Times New Roman" w:cs="Times New Roman"/>
                <w:szCs w:val="24"/>
                <w:lang w:eastAsia="en-IN"/>
              </w:rPr>
            </w:pPr>
            <w:r w:rsidRPr="008E2A3E">
              <w:rPr>
                <w:rFonts w:ascii="Times New Roman" w:hAnsi="Times New Roman" w:cs="Times New Roman"/>
                <w:szCs w:val="24"/>
                <w:lang w:eastAsia="en-IN"/>
              </w:rPr>
              <w:t>215.36 (100.00)</w:t>
            </w:r>
          </w:p>
        </w:tc>
      </w:tr>
    </w:tbl>
    <w:p w14:paraId="5D7D4857" w14:textId="1DFE6C45" w:rsidR="00490A74" w:rsidRPr="00F42E63" w:rsidRDefault="00EB5FE9" w:rsidP="00EB5FE9">
      <w:pPr>
        <w:tabs>
          <w:tab w:val="left" w:pos="2325"/>
        </w:tabs>
        <w:rPr>
          <w:rFonts w:ascii="Times New Roman" w:hAnsi="Times New Roman" w:cs="Times New Roman"/>
          <w:sz w:val="20"/>
          <w:szCs w:val="18"/>
        </w:rPr>
      </w:pPr>
      <w:r w:rsidRPr="00F42E63">
        <w:rPr>
          <w:rFonts w:ascii="Times New Roman" w:hAnsi="Times New Roman" w:cs="Times New Roman"/>
          <w:sz w:val="20"/>
          <w:szCs w:val="18"/>
        </w:rPr>
        <w:t>*Haryana Was formed on November 1, 1966.</w:t>
      </w:r>
    </w:p>
    <w:p w14:paraId="21ABABB4" w14:textId="77777777" w:rsidR="008E2A3E" w:rsidRDefault="008E2A3E">
      <w:pPr>
        <w:rPr>
          <w:rFonts w:ascii="Times New Roman" w:hAnsi="Times New Roman" w:cs="Times New Roman"/>
          <w:b/>
          <w:bCs/>
        </w:rPr>
      </w:pPr>
      <w:r>
        <w:rPr>
          <w:rFonts w:ascii="Times New Roman" w:hAnsi="Times New Roman" w:cs="Times New Roman"/>
          <w:b/>
          <w:bCs/>
        </w:rPr>
        <w:br w:type="page"/>
      </w:r>
    </w:p>
    <w:p w14:paraId="0E30D77B" w14:textId="20A62A26" w:rsidR="0064049F" w:rsidRPr="007245B0" w:rsidRDefault="0064049F" w:rsidP="00CE0928">
      <w:pPr>
        <w:tabs>
          <w:tab w:val="left" w:pos="2325"/>
        </w:tabs>
        <w:jc w:val="center"/>
        <w:rPr>
          <w:rFonts w:ascii="Times New Roman" w:hAnsi="Times New Roman" w:cs="Times New Roman"/>
          <w:b/>
          <w:bCs/>
        </w:rPr>
      </w:pPr>
      <w:r w:rsidRPr="007245B0">
        <w:rPr>
          <w:rFonts w:ascii="Times New Roman" w:hAnsi="Times New Roman" w:cs="Times New Roman"/>
          <w:b/>
          <w:bCs/>
        </w:rPr>
        <w:lastRenderedPageBreak/>
        <w:t>Table 6 (contd.): Growth and Pattern of States’ Revenues: 1961</w:t>
      </w:r>
      <w:r w:rsidRPr="007245B0">
        <w:rPr>
          <w:rFonts w:ascii="Times New Roman" w:hAnsi="Times New Roman" w:cs="Times New Roman"/>
          <w:b/>
          <w:bCs/>
        </w:rPr>
        <w:noBreakHyphen/>
        <w:t>62 and 1965</w:t>
      </w:r>
      <w:r w:rsidRPr="007245B0">
        <w:rPr>
          <w:rFonts w:ascii="Times New Roman" w:hAnsi="Times New Roman" w:cs="Times New Roman"/>
          <w:b/>
          <w:bCs/>
        </w:rPr>
        <w:noBreakHyphen/>
        <w:t>66 to 1968</w:t>
      </w:r>
      <w:r w:rsidRPr="007245B0">
        <w:rPr>
          <w:rFonts w:ascii="Times New Roman" w:hAnsi="Times New Roman" w:cs="Times New Roman"/>
          <w:b/>
          <w:bCs/>
        </w:rPr>
        <w:noBreakHyphen/>
        <w:t>69 contd.</w:t>
      </w:r>
    </w:p>
    <w:tbl>
      <w:tblPr>
        <w:tblpPr w:leftFromText="180" w:rightFromText="180" w:vertAnchor="text" w:horzAnchor="margin" w:tblpXSpec="center" w:tblpY="366"/>
        <w:tblW w:w="14727" w:type="dxa"/>
        <w:tblLook w:val="04A0" w:firstRow="1" w:lastRow="0" w:firstColumn="1" w:lastColumn="0" w:noHBand="0" w:noVBand="1"/>
      </w:tblPr>
      <w:tblGrid>
        <w:gridCol w:w="1977"/>
        <w:gridCol w:w="1035"/>
        <w:gridCol w:w="996"/>
        <w:gridCol w:w="1110"/>
        <w:gridCol w:w="1416"/>
        <w:gridCol w:w="1071"/>
        <w:gridCol w:w="1511"/>
        <w:gridCol w:w="1284"/>
        <w:gridCol w:w="2004"/>
        <w:gridCol w:w="1207"/>
        <w:gridCol w:w="1116"/>
      </w:tblGrid>
      <w:tr w:rsidR="0064049F" w:rsidRPr="008E2A3E" w14:paraId="4997921A" w14:textId="77777777" w:rsidTr="008E2A3E">
        <w:trPr>
          <w:trHeight w:val="548"/>
        </w:trPr>
        <w:tc>
          <w:tcPr>
            <w:tcW w:w="197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1E2340D" w14:textId="77777777" w:rsidR="0064049F" w:rsidRPr="008E2A3E" w:rsidRDefault="0064049F" w:rsidP="0064049F">
            <w:pPr>
              <w:spacing w:after="0" w:line="240" w:lineRule="auto"/>
              <w:ind w:firstLineChars="100" w:firstLine="241"/>
              <w:rPr>
                <w:rFonts w:ascii="Times New Roman" w:eastAsia="Times New Roman" w:hAnsi="Times New Roman" w:cs="Times New Roman"/>
                <w:b/>
                <w:bCs/>
                <w:color w:val="1A1C1E"/>
                <w:kern w:val="0"/>
                <w:szCs w:val="24"/>
                <w:lang w:eastAsia="en-IN"/>
                <w14:ligatures w14:val="none"/>
              </w:rPr>
            </w:pPr>
            <w:r w:rsidRPr="008E2A3E">
              <w:rPr>
                <w:rFonts w:ascii="Times New Roman" w:eastAsia="Times New Roman" w:hAnsi="Times New Roman" w:cs="Times New Roman"/>
                <w:b/>
                <w:bCs/>
                <w:color w:val="1A1C1E"/>
                <w:kern w:val="0"/>
                <w:szCs w:val="24"/>
                <w:lang w:eastAsia="en-IN"/>
                <w14:ligatures w14:val="none"/>
              </w:rPr>
              <w:t>State/Years</w:t>
            </w:r>
          </w:p>
        </w:tc>
        <w:tc>
          <w:tcPr>
            <w:tcW w:w="1035" w:type="dxa"/>
            <w:tcBorders>
              <w:top w:val="single" w:sz="4" w:space="0" w:color="auto"/>
              <w:left w:val="nil"/>
              <w:bottom w:val="single" w:sz="4" w:space="0" w:color="auto"/>
              <w:right w:val="single" w:sz="4" w:space="0" w:color="auto"/>
            </w:tcBorders>
            <w:shd w:val="clear" w:color="000000" w:fill="FFFFFF"/>
            <w:vAlign w:val="center"/>
            <w:hideMark/>
          </w:tcPr>
          <w:p w14:paraId="6DF3A94B" w14:textId="77777777" w:rsidR="0064049F" w:rsidRPr="008E2A3E" w:rsidRDefault="0064049F" w:rsidP="0064049F">
            <w:pPr>
              <w:spacing w:after="0" w:line="240" w:lineRule="auto"/>
              <w:ind w:firstLineChars="100" w:firstLine="241"/>
              <w:rPr>
                <w:rFonts w:ascii="Times New Roman" w:eastAsia="Times New Roman" w:hAnsi="Times New Roman" w:cs="Times New Roman"/>
                <w:b/>
                <w:bCs/>
                <w:color w:val="1A1C1E"/>
                <w:kern w:val="0"/>
                <w:szCs w:val="24"/>
                <w:lang w:eastAsia="en-IN"/>
                <w14:ligatures w14:val="none"/>
              </w:rPr>
            </w:pPr>
            <w:r w:rsidRPr="008E2A3E">
              <w:rPr>
                <w:rFonts w:ascii="Times New Roman" w:eastAsia="Times New Roman" w:hAnsi="Times New Roman" w:cs="Times New Roman"/>
                <w:b/>
                <w:bCs/>
                <w:color w:val="1A1C1E"/>
                <w:kern w:val="0"/>
                <w:szCs w:val="24"/>
                <w:lang w:eastAsia="en-IN"/>
                <w14:ligatures w14:val="none"/>
              </w:rPr>
              <w:t>Land revenue</w:t>
            </w:r>
          </w:p>
        </w:tc>
        <w:tc>
          <w:tcPr>
            <w:tcW w:w="996" w:type="dxa"/>
            <w:tcBorders>
              <w:top w:val="single" w:sz="4" w:space="0" w:color="auto"/>
              <w:left w:val="nil"/>
              <w:bottom w:val="single" w:sz="4" w:space="0" w:color="auto"/>
              <w:right w:val="single" w:sz="4" w:space="0" w:color="auto"/>
            </w:tcBorders>
            <w:shd w:val="clear" w:color="000000" w:fill="FFFFFF"/>
            <w:vAlign w:val="center"/>
            <w:hideMark/>
          </w:tcPr>
          <w:p w14:paraId="37B28288" w14:textId="77777777" w:rsidR="0064049F" w:rsidRPr="008E2A3E" w:rsidRDefault="0064049F" w:rsidP="0064049F">
            <w:pPr>
              <w:spacing w:after="0" w:line="240" w:lineRule="auto"/>
              <w:ind w:firstLineChars="100" w:firstLine="241"/>
              <w:rPr>
                <w:rFonts w:ascii="Times New Roman" w:eastAsia="Times New Roman" w:hAnsi="Times New Roman" w:cs="Times New Roman"/>
                <w:b/>
                <w:bCs/>
                <w:color w:val="1A1C1E"/>
                <w:kern w:val="0"/>
                <w:szCs w:val="24"/>
                <w:lang w:eastAsia="en-IN"/>
                <w14:ligatures w14:val="none"/>
              </w:rPr>
            </w:pPr>
            <w:r w:rsidRPr="008E2A3E">
              <w:rPr>
                <w:rFonts w:ascii="Times New Roman" w:eastAsia="Times New Roman" w:hAnsi="Times New Roman" w:cs="Times New Roman"/>
                <w:b/>
                <w:bCs/>
                <w:color w:val="1A1C1E"/>
                <w:kern w:val="0"/>
                <w:szCs w:val="24"/>
                <w:lang w:eastAsia="en-IN"/>
                <w14:ligatures w14:val="none"/>
              </w:rPr>
              <w:t>Sales taxes</w:t>
            </w:r>
          </w:p>
        </w:tc>
        <w:tc>
          <w:tcPr>
            <w:tcW w:w="1110" w:type="dxa"/>
            <w:tcBorders>
              <w:top w:val="single" w:sz="4" w:space="0" w:color="auto"/>
              <w:left w:val="nil"/>
              <w:bottom w:val="single" w:sz="4" w:space="0" w:color="auto"/>
              <w:right w:val="single" w:sz="4" w:space="0" w:color="auto"/>
            </w:tcBorders>
            <w:shd w:val="clear" w:color="000000" w:fill="FFFFFF"/>
            <w:vAlign w:val="center"/>
            <w:hideMark/>
          </w:tcPr>
          <w:p w14:paraId="56465E9E" w14:textId="77777777" w:rsidR="0064049F" w:rsidRPr="008E2A3E" w:rsidRDefault="0064049F" w:rsidP="0064049F">
            <w:pPr>
              <w:spacing w:after="0" w:line="240" w:lineRule="auto"/>
              <w:ind w:firstLineChars="100" w:firstLine="241"/>
              <w:rPr>
                <w:rFonts w:ascii="Times New Roman" w:eastAsia="Times New Roman" w:hAnsi="Times New Roman" w:cs="Times New Roman"/>
                <w:b/>
                <w:bCs/>
                <w:color w:val="1A1C1E"/>
                <w:kern w:val="0"/>
                <w:szCs w:val="24"/>
                <w:lang w:eastAsia="en-IN"/>
                <w14:ligatures w14:val="none"/>
              </w:rPr>
            </w:pPr>
            <w:r w:rsidRPr="008E2A3E">
              <w:rPr>
                <w:rFonts w:ascii="Times New Roman" w:eastAsia="Times New Roman" w:hAnsi="Times New Roman" w:cs="Times New Roman"/>
                <w:b/>
                <w:bCs/>
                <w:color w:val="1A1C1E"/>
                <w:kern w:val="0"/>
                <w:szCs w:val="24"/>
                <w:lang w:eastAsia="en-IN"/>
                <w14:ligatures w14:val="none"/>
              </w:rPr>
              <w:t>Motor vehicle tax</w:t>
            </w:r>
          </w:p>
        </w:tc>
        <w:tc>
          <w:tcPr>
            <w:tcW w:w="1416" w:type="dxa"/>
            <w:tcBorders>
              <w:top w:val="single" w:sz="4" w:space="0" w:color="auto"/>
              <w:left w:val="nil"/>
              <w:bottom w:val="single" w:sz="4" w:space="0" w:color="auto"/>
              <w:right w:val="single" w:sz="4" w:space="0" w:color="auto"/>
            </w:tcBorders>
            <w:shd w:val="clear" w:color="000000" w:fill="FFFFFF"/>
            <w:vAlign w:val="center"/>
            <w:hideMark/>
          </w:tcPr>
          <w:p w14:paraId="64A8AA9D" w14:textId="77777777" w:rsidR="0064049F" w:rsidRPr="008E2A3E" w:rsidRDefault="0064049F" w:rsidP="0064049F">
            <w:pPr>
              <w:spacing w:after="0" w:line="240" w:lineRule="auto"/>
              <w:ind w:firstLineChars="100" w:firstLine="241"/>
              <w:rPr>
                <w:rFonts w:ascii="Times New Roman" w:eastAsia="Times New Roman" w:hAnsi="Times New Roman" w:cs="Times New Roman"/>
                <w:b/>
                <w:bCs/>
                <w:color w:val="1A1C1E"/>
                <w:kern w:val="0"/>
                <w:szCs w:val="24"/>
                <w:lang w:eastAsia="en-IN"/>
                <w14:ligatures w14:val="none"/>
              </w:rPr>
            </w:pPr>
            <w:r w:rsidRPr="008E2A3E">
              <w:rPr>
                <w:rFonts w:ascii="Times New Roman" w:eastAsia="Times New Roman" w:hAnsi="Times New Roman" w:cs="Times New Roman"/>
                <w:b/>
                <w:bCs/>
                <w:color w:val="1A1C1E"/>
                <w:kern w:val="0"/>
                <w:szCs w:val="24"/>
                <w:lang w:eastAsia="en-IN"/>
                <w14:ligatures w14:val="none"/>
              </w:rPr>
              <w:t>Stamps and registration</w:t>
            </w:r>
          </w:p>
        </w:tc>
        <w:tc>
          <w:tcPr>
            <w:tcW w:w="1071" w:type="dxa"/>
            <w:tcBorders>
              <w:top w:val="single" w:sz="4" w:space="0" w:color="auto"/>
              <w:left w:val="nil"/>
              <w:bottom w:val="single" w:sz="4" w:space="0" w:color="auto"/>
              <w:right w:val="single" w:sz="4" w:space="0" w:color="auto"/>
            </w:tcBorders>
            <w:shd w:val="clear" w:color="000000" w:fill="FFFFFF"/>
            <w:vAlign w:val="center"/>
            <w:hideMark/>
          </w:tcPr>
          <w:p w14:paraId="35A6335C" w14:textId="77777777" w:rsidR="0064049F" w:rsidRPr="008E2A3E" w:rsidRDefault="0064049F" w:rsidP="0064049F">
            <w:pPr>
              <w:spacing w:after="0" w:line="240" w:lineRule="auto"/>
              <w:ind w:firstLineChars="100" w:firstLine="241"/>
              <w:rPr>
                <w:rFonts w:ascii="Times New Roman" w:eastAsia="Times New Roman" w:hAnsi="Times New Roman" w:cs="Times New Roman"/>
                <w:b/>
                <w:bCs/>
                <w:color w:val="1A1C1E"/>
                <w:kern w:val="0"/>
                <w:szCs w:val="24"/>
                <w:lang w:eastAsia="en-IN"/>
                <w14:ligatures w14:val="none"/>
              </w:rPr>
            </w:pPr>
            <w:r w:rsidRPr="008E2A3E">
              <w:rPr>
                <w:rFonts w:ascii="Times New Roman" w:eastAsia="Times New Roman" w:hAnsi="Times New Roman" w:cs="Times New Roman"/>
                <w:b/>
                <w:bCs/>
                <w:color w:val="1A1C1E"/>
                <w:kern w:val="0"/>
                <w:szCs w:val="24"/>
                <w:lang w:eastAsia="en-IN"/>
                <w14:ligatures w14:val="none"/>
              </w:rPr>
              <w:t>Other taxes and duties</w:t>
            </w:r>
          </w:p>
        </w:tc>
        <w:tc>
          <w:tcPr>
            <w:tcW w:w="1511" w:type="dxa"/>
            <w:tcBorders>
              <w:top w:val="single" w:sz="4" w:space="0" w:color="auto"/>
              <w:left w:val="nil"/>
              <w:bottom w:val="single" w:sz="4" w:space="0" w:color="auto"/>
              <w:right w:val="single" w:sz="4" w:space="0" w:color="auto"/>
            </w:tcBorders>
            <w:shd w:val="clear" w:color="000000" w:fill="FFFFFF"/>
            <w:vAlign w:val="center"/>
            <w:hideMark/>
          </w:tcPr>
          <w:p w14:paraId="440D2098" w14:textId="77777777" w:rsidR="0064049F" w:rsidRPr="008E2A3E" w:rsidRDefault="0064049F" w:rsidP="0064049F">
            <w:pPr>
              <w:spacing w:after="0" w:line="240" w:lineRule="auto"/>
              <w:ind w:firstLineChars="100" w:firstLine="241"/>
              <w:rPr>
                <w:rFonts w:ascii="Times New Roman" w:eastAsia="Times New Roman" w:hAnsi="Times New Roman" w:cs="Times New Roman"/>
                <w:b/>
                <w:bCs/>
                <w:color w:val="1A1C1E"/>
                <w:kern w:val="0"/>
                <w:szCs w:val="24"/>
                <w:lang w:eastAsia="en-IN"/>
                <w14:ligatures w14:val="none"/>
              </w:rPr>
            </w:pPr>
            <w:r w:rsidRPr="008E2A3E">
              <w:rPr>
                <w:rFonts w:ascii="Times New Roman" w:eastAsia="Times New Roman" w:hAnsi="Times New Roman" w:cs="Times New Roman"/>
                <w:b/>
                <w:bCs/>
                <w:color w:val="1A1C1E"/>
                <w:kern w:val="0"/>
                <w:szCs w:val="24"/>
                <w:lang w:eastAsia="en-IN"/>
                <w14:ligatures w14:val="none"/>
              </w:rPr>
              <w:t>Education</w:t>
            </w:r>
          </w:p>
        </w:tc>
        <w:tc>
          <w:tcPr>
            <w:tcW w:w="1284" w:type="dxa"/>
            <w:tcBorders>
              <w:top w:val="single" w:sz="4" w:space="0" w:color="auto"/>
              <w:left w:val="nil"/>
              <w:bottom w:val="single" w:sz="4" w:space="0" w:color="auto"/>
              <w:right w:val="single" w:sz="4" w:space="0" w:color="auto"/>
            </w:tcBorders>
            <w:shd w:val="clear" w:color="000000" w:fill="FFFFFF"/>
            <w:vAlign w:val="center"/>
            <w:hideMark/>
          </w:tcPr>
          <w:p w14:paraId="46A84EB2" w14:textId="77777777" w:rsidR="0064049F" w:rsidRPr="008E2A3E" w:rsidRDefault="0064049F" w:rsidP="0064049F">
            <w:pPr>
              <w:spacing w:after="0" w:line="240" w:lineRule="auto"/>
              <w:ind w:firstLineChars="100" w:firstLine="241"/>
              <w:rPr>
                <w:rFonts w:ascii="Times New Roman" w:eastAsia="Times New Roman" w:hAnsi="Times New Roman" w:cs="Times New Roman"/>
                <w:b/>
                <w:bCs/>
                <w:color w:val="1A1C1E"/>
                <w:kern w:val="0"/>
                <w:szCs w:val="24"/>
                <w:lang w:eastAsia="en-IN"/>
                <w14:ligatures w14:val="none"/>
              </w:rPr>
            </w:pPr>
            <w:r w:rsidRPr="008E2A3E">
              <w:rPr>
                <w:rFonts w:ascii="Times New Roman" w:eastAsia="Times New Roman" w:hAnsi="Times New Roman" w:cs="Times New Roman"/>
                <w:b/>
                <w:bCs/>
                <w:color w:val="1A1C1E"/>
                <w:kern w:val="0"/>
                <w:szCs w:val="24"/>
                <w:lang w:eastAsia="en-IN"/>
                <w14:ligatures w14:val="none"/>
              </w:rPr>
              <w:t>Medical &amp; public health</w:t>
            </w:r>
          </w:p>
        </w:tc>
        <w:tc>
          <w:tcPr>
            <w:tcW w:w="2004" w:type="dxa"/>
            <w:tcBorders>
              <w:top w:val="single" w:sz="4" w:space="0" w:color="auto"/>
              <w:left w:val="nil"/>
              <w:bottom w:val="single" w:sz="4" w:space="0" w:color="auto"/>
              <w:right w:val="single" w:sz="4" w:space="0" w:color="auto"/>
            </w:tcBorders>
            <w:shd w:val="clear" w:color="000000" w:fill="FFFFFF"/>
            <w:vAlign w:val="center"/>
            <w:hideMark/>
          </w:tcPr>
          <w:p w14:paraId="41DFD695" w14:textId="77777777" w:rsidR="0064049F" w:rsidRPr="008E2A3E" w:rsidRDefault="0064049F" w:rsidP="0064049F">
            <w:pPr>
              <w:spacing w:after="0" w:line="240" w:lineRule="auto"/>
              <w:ind w:firstLineChars="100" w:firstLine="241"/>
              <w:rPr>
                <w:rFonts w:ascii="Times New Roman" w:eastAsia="Times New Roman" w:hAnsi="Times New Roman" w:cs="Times New Roman"/>
                <w:b/>
                <w:bCs/>
                <w:color w:val="1A1C1E"/>
                <w:kern w:val="0"/>
                <w:szCs w:val="24"/>
                <w:lang w:eastAsia="en-IN"/>
                <w14:ligatures w14:val="none"/>
              </w:rPr>
            </w:pPr>
            <w:r w:rsidRPr="008E2A3E">
              <w:rPr>
                <w:rFonts w:ascii="Times New Roman" w:eastAsia="Times New Roman" w:hAnsi="Times New Roman" w:cs="Times New Roman"/>
                <w:b/>
                <w:bCs/>
                <w:color w:val="1A1C1E"/>
                <w:kern w:val="0"/>
                <w:szCs w:val="24"/>
                <w:lang w:eastAsia="en-IN"/>
                <w14:ligatures w14:val="none"/>
              </w:rPr>
              <w:t>Administrative services</w:t>
            </w:r>
          </w:p>
        </w:tc>
        <w:tc>
          <w:tcPr>
            <w:tcW w:w="1207" w:type="dxa"/>
            <w:tcBorders>
              <w:top w:val="single" w:sz="4" w:space="0" w:color="auto"/>
              <w:left w:val="nil"/>
              <w:bottom w:val="single" w:sz="4" w:space="0" w:color="auto"/>
              <w:right w:val="single" w:sz="4" w:space="0" w:color="auto"/>
            </w:tcBorders>
            <w:shd w:val="clear" w:color="000000" w:fill="FFFFFF"/>
            <w:vAlign w:val="center"/>
            <w:hideMark/>
          </w:tcPr>
          <w:p w14:paraId="4337FCC1" w14:textId="77777777" w:rsidR="0064049F" w:rsidRPr="008E2A3E" w:rsidRDefault="0064049F" w:rsidP="0064049F">
            <w:pPr>
              <w:spacing w:after="0" w:line="240" w:lineRule="auto"/>
              <w:ind w:firstLineChars="100" w:firstLine="241"/>
              <w:rPr>
                <w:rFonts w:ascii="Times New Roman" w:eastAsia="Times New Roman" w:hAnsi="Times New Roman" w:cs="Times New Roman"/>
                <w:b/>
                <w:bCs/>
                <w:color w:val="1A1C1E"/>
                <w:kern w:val="0"/>
                <w:szCs w:val="24"/>
                <w:lang w:eastAsia="en-IN"/>
                <w14:ligatures w14:val="none"/>
              </w:rPr>
            </w:pPr>
            <w:r w:rsidRPr="008E2A3E">
              <w:rPr>
                <w:rFonts w:ascii="Times New Roman" w:eastAsia="Times New Roman" w:hAnsi="Times New Roman" w:cs="Times New Roman"/>
                <w:b/>
                <w:bCs/>
                <w:color w:val="1A1C1E"/>
                <w:kern w:val="0"/>
                <w:szCs w:val="24"/>
                <w:lang w:eastAsia="en-IN"/>
                <w14:ligatures w14:val="none"/>
              </w:rPr>
              <w:t>Forests</w:t>
            </w:r>
          </w:p>
        </w:tc>
        <w:tc>
          <w:tcPr>
            <w:tcW w:w="1116" w:type="dxa"/>
            <w:tcBorders>
              <w:top w:val="single" w:sz="4" w:space="0" w:color="auto"/>
              <w:left w:val="nil"/>
              <w:bottom w:val="single" w:sz="4" w:space="0" w:color="auto"/>
              <w:right w:val="single" w:sz="4" w:space="0" w:color="auto"/>
            </w:tcBorders>
            <w:shd w:val="clear" w:color="000000" w:fill="FFFFFF"/>
            <w:vAlign w:val="center"/>
            <w:hideMark/>
          </w:tcPr>
          <w:p w14:paraId="55E83DCC" w14:textId="77777777" w:rsidR="0064049F" w:rsidRPr="008E2A3E" w:rsidRDefault="0064049F" w:rsidP="0064049F">
            <w:pPr>
              <w:spacing w:after="0" w:line="240" w:lineRule="auto"/>
              <w:ind w:firstLineChars="100" w:firstLine="241"/>
              <w:rPr>
                <w:rFonts w:ascii="Times New Roman" w:eastAsia="Times New Roman" w:hAnsi="Times New Roman" w:cs="Times New Roman"/>
                <w:b/>
                <w:bCs/>
                <w:color w:val="1A1C1E"/>
                <w:kern w:val="0"/>
                <w:szCs w:val="24"/>
                <w:lang w:eastAsia="en-IN"/>
                <w14:ligatures w14:val="none"/>
              </w:rPr>
            </w:pPr>
            <w:r w:rsidRPr="008E2A3E">
              <w:rPr>
                <w:rFonts w:ascii="Times New Roman" w:eastAsia="Times New Roman" w:hAnsi="Times New Roman" w:cs="Times New Roman"/>
                <w:b/>
                <w:bCs/>
                <w:color w:val="1A1C1E"/>
                <w:kern w:val="0"/>
                <w:szCs w:val="24"/>
                <w:lang w:eastAsia="en-IN"/>
                <w14:ligatures w14:val="none"/>
              </w:rPr>
              <w:t>Total revenue receipts</w:t>
            </w:r>
          </w:p>
        </w:tc>
      </w:tr>
      <w:tr w:rsidR="0064049F" w:rsidRPr="008E2A3E" w14:paraId="08A92ED3" w14:textId="77777777" w:rsidTr="009D510E">
        <w:trPr>
          <w:trHeight w:val="273"/>
        </w:trPr>
        <w:tc>
          <w:tcPr>
            <w:tcW w:w="14727" w:type="dxa"/>
            <w:gridSpan w:val="11"/>
            <w:tcBorders>
              <w:top w:val="single" w:sz="4" w:space="0" w:color="auto"/>
              <w:left w:val="single" w:sz="4" w:space="0" w:color="auto"/>
              <w:bottom w:val="single" w:sz="4" w:space="0" w:color="auto"/>
              <w:right w:val="single" w:sz="4" w:space="0" w:color="000000"/>
            </w:tcBorders>
            <w:shd w:val="clear" w:color="000000" w:fill="FFFFFF"/>
            <w:hideMark/>
          </w:tcPr>
          <w:p w14:paraId="56CCC4DD" w14:textId="77777777" w:rsidR="0064049F" w:rsidRPr="008E2A3E" w:rsidRDefault="0064049F" w:rsidP="008E2A3E">
            <w:pPr>
              <w:spacing w:after="0" w:line="240" w:lineRule="auto"/>
              <w:jc w:val="center"/>
              <w:rPr>
                <w:rFonts w:ascii="Times New Roman" w:eastAsia="Times New Roman" w:hAnsi="Times New Roman" w:cs="Times New Roman"/>
                <w:b/>
                <w:bCs/>
                <w:color w:val="1A1C1E"/>
                <w:kern w:val="0"/>
                <w:szCs w:val="24"/>
                <w:lang w:eastAsia="en-IN"/>
                <w14:ligatures w14:val="none"/>
              </w:rPr>
            </w:pPr>
            <w:r w:rsidRPr="008E2A3E">
              <w:rPr>
                <w:rFonts w:ascii="Times New Roman" w:eastAsia="Times New Roman" w:hAnsi="Times New Roman" w:cs="Times New Roman"/>
                <w:b/>
                <w:bCs/>
                <w:color w:val="1A1C1E"/>
                <w:kern w:val="0"/>
                <w:szCs w:val="24"/>
                <w:lang w:eastAsia="en-IN"/>
                <w14:ligatures w14:val="none"/>
              </w:rPr>
              <w:t>Nagaland</w:t>
            </w:r>
          </w:p>
        </w:tc>
      </w:tr>
      <w:tr w:rsidR="0064049F" w:rsidRPr="008E2A3E" w14:paraId="548AC67A" w14:textId="77777777" w:rsidTr="008E2A3E">
        <w:trPr>
          <w:trHeight w:val="273"/>
        </w:trPr>
        <w:tc>
          <w:tcPr>
            <w:tcW w:w="1977" w:type="dxa"/>
            <w:tcBorders>
              <w:top w:val="nil"/>
              <w:left w:val="single" w:sz="4" w:space="0" w:color="auto"/>
              <w:bottom w:val="single" w:sz="4" w:space="0" w:color="auto"/>
              <w:right w:val="single" w:sz="4" w:space="0" w:color="auto"/>
            </w:tcBorders>
            <w:shd w:val="clear" w:color="000000" w:fill="FFFFFF"/>
            <w:vAlign w:val="center"/>
            <w:hideMark/>
          </w:tcPr>
          <w:p w14:paraId="5D7614A4" w14:textId="77777777" w:rsidR="0064049F" w:rsidRPr="008E2A3E" w:rsidRDefault="0064049F" w:rsidP="0064049F">
            <w:pPr>
              <w:spacing w:after="0" w:line="240" w:lineRule="auto"/>
              <w:ind w:firstLineChars="100" w:firstLine="240"/>
              <w:rPr>
                <w:rFonts w:ascii="Times New Roman" w:eastAsia="Times New Roman" w:hAnsi="Times New Roman" w:cs="Times New Roman"/>
                <w:color w:val="1A1C1E"/>
                <w:kern w:val="0"/>
                <w:szCs w:val="24"/>
                <w:lang w:eastAsia="en-IN"/>
                <w14:ligatures w14:val="none"/>
              </w:rPr>
            </w:pPr>
            <w:r w:rsidRPr="008E2A3E">
              <w:rPr>
                <w:rFonts w:ascii="Times New Roman" w:eastAsia="Times New Roman" w:hAnsi="Times New Roman" w:cs="Times New Roman"/>
                <w:color w:val="1A1C1E"/>
                <w:kern w:val="0"/>
                <w:szCs w:val="24"/>
                <w:lang w:eastAsia="en-IN"/>
                <w14:ligatures w14:val="none"/>
              </w:rPr>
              <w:t>1961-62</w:t>
            </w:r>
          </w:p>
        </w:tc>
        <w:tc>
          <w:tcPr>
            <w:tcW w:w="1035" w:type="dxa"/>
            <w:tcBorders>
              <w:top w:val="nil"/>
              <w:left w:val="nil"/>
              <w:bottom w:val="single" w:sz="4" w:space="0" w:color="auto"/>
              <w:right w:val="single" w:sz="4" w:space="0" w:color="auto"/>
            </w:tcBorders>
            <w:shd w:val="clear" w:color="000000" w:fill="FFFFFF"/>
            <w:vAlign w:val="center"/>
            <w:hideMark/>
          </w:tcPr>
          <w:p w14:paraId="1602B611" w14:textId="77777777" w:rsidR="0064049F" w:rsidRPr="008E2A3E" w:rsidRDefault="0064049F" w:rsidP="0064049F">
            <w:pPr>
              <w:spacing w:after="0" w:line="240" w:lineRule="auto"/>
              <w:ind w:firstLineChars="100" w:firstLine="240"/>
              <w:rPr>
                <w:rFonts w:ascii="Times New Roman" w:eastAsia="Times New Roman" w:hAnsi="Times New Roman" w:cs="Times New Roman"/>
                <w:color w:val="1A1C1E"/>
                <w:kern w:val="0"/>
                <w:szCs w:val="24"/>
                <w:lang w:eastAsia="en-IN"/>
                <w14:ligatures w14:val="none"/>
              </w:rPr>
            </w:pPr>
            <w:r w:rsidRPr="008E2A3E">
              <w:rPr>
                <w:rFonts w:ascii="Times New Roman" w:eastAsia="Times New Roman" w:hAnsi="Times New Roman" w:cs="Times New Roman"/>
                <w:color w:val="1A1C1E"/>
                <w:kern w:val="0"/>
                <w:szCs w:val="24"/>
                <w:lang w:eastAsia="en-IN"/>
                <w14:ligatures w14:val="none"/>
              </w:rPr>
              <w:t>..</w:t>
            </w:r>
          </w:p>
        </w:tc>
        <w:tc>
          <w:tcPr>
            <w:tcW w:w="996" w:type="dxa"/>
            <w:tcBorders>
              <w:top w:val="nil"/>
              <w:left w:val="nil"/>
              <w:bottom w:val="single" w:sz="4" w:space="0" w:color="auto"/>
              <w:right w:val="single" w:sz="4" w:space="0" w:color="auto"/>
            </w:tcBorders>
            <w:shd w:val="clear" w:color="000000" w:fill="FFFFFF"/>
            <w:vAlign w:val="center"/>
            <w:hideMark/>
          </w:tcPr>
          <w:p w14:paraId="010F5F87" w14:textId="77777777" w:rsidR="0064049F" w:rsidRPr="008E2A3E" w:rsidRDefault="0064049F" w:rsidP="008E2A3E">
            <w:pPr>
              <w:spacing w:after="0" w:line="240" w:lineRule="auto"/>
              <w:ind w:firstLineChars="100" w:firstLine="240"/>
              <w:jc w:val="center"/>
              <w:rPr>
                <w:rFonts w:ascii="Times New Roman" w:eastAsia="Times New Roman" w:hAnsi="Times New Roman" w:cs="Times New Roman"/>
                <w:color w:val="1A1C1E"/>
                <w:kern w:val="0"/>
                <w:szCs w:val="24"/>
                <w:lang w:eastAsia="en-IN"/>
                <w14:ligatures w14:val="none"/>
              </w:rPr>
            </w:pPr>
            <w:r w:rsidRPr="008E2A3E">
              <w:rPr>
                <w:rFonts w:ascii="Times New Roman" w:eastAsia="Times New Roman" w:hAnsi="Times New Roman" w:cs="Times New Roman"/>
                <w:color w:val="1A1C1E"/>
                <w:kern w:val="0"/>
                <w:szCs w:val="24"/>
                <w:lang w:eastAsia="en-IN"/>
                <w14:ligatures w14:val="none"/>
              </w:rPr>
              <w:t>..</w:t>
            </w:r>
          </w:p>
        </w:tc>
        <w:tc>
          <w:tcPr>
            <w:tcW w:w="1110" w:type="dxa"/>
            <w:tcBorders>
              <w:top w:val="nil"/>
              <w:left w:val="nil"/>
              <w:bottom w:val="single" w:sz="4" w:space="0" w:color="auto"/>
              <w:right w:val="single" w:sz="4" w:space="0" w:color="auto"/>
            </w:tcBorders>
            <w:shd w:val="clear" w:color="000000" w:fill="FFFFFF"/>
            <w:vAlign w:val="center"/>
            <w:hideMark/>
          </w:tcPr>
          <w:p w14:paraId="45D07E1B" w14:textId="77777777" w:rsidR="0064049F" w:rsidRPr="008E2A3E" w:rsidRDefault="0064049F" w:rsidP="008E2A3E">
            <w:pPr>
              <w:spacing w:after="0" w:line="240" w:lineRule="auto"/>
              <w:ind w:firstLineChars="100" w:firstLine="240"/>
              <w:jc w:val="center"/>
              <w:rPr>
                <w:rFonts w:ascii="Times New Roman" w:eastAsia="Times New Roman" w:hAnsi="Times New Roman" w:cs="Times New Roman"/>
                <w:color w:val="1A1C1E"/>
                <w:kern w:val="0"/>
                <w:szCs w:val="24"/>
                <w:lang w:eastAsia="en-IN"/>
                <w14:ligatures w14:val="none"/>
              </w:rPr>
            </w:pPr>
            <w:r w:rsidRPr="008E2A3E">
              <w:rPr>
                <w:rFonts w:ascii="Times New Roman" w:eastAsia="Times New Roman" w:hAnsi="Times New Roman" w:cs="Times New Roman"/>
                <w:color w:val="1A1C1E"/>
                <w:kern w:val="0"/>
                <w:szCs w:val="24"/>
                <w:lang w:eastAsia="en-IN"/>
                <w14:ligatures w14:val="none"/>
              </w:rPr>
              <w:t>..</w:t>
            </w:r>
          </w:p>
        </w:tc>
        <w:tc>
          <w:tcPr>
            <w:tcW w:w="1416" w:type="dxa"/>
            <w:tcBorders>
              <w:top w:val="nil"/>
              <w:left w:val="nil"/>
              <w:bottom w:val="single" w:sz="4" w:space="0" w:color="auto"/>
              <w:right w:val="single" w:sz="4" w:space="0" w:color="auto"/>
            </w:tcBorders>
            <w:shd w:val="clear" w:color="000000" w:fill="FFFFFF"/>
            <w:vAlign w:val="center"/>
            <w:hideMark/>
          </w:tcPr>
          <w:p w14:paraId="6A82B743" w14:textId="77777777" w:rsidR="0064049F" w:rsidRPr="008E2A3E" w:rsidRDefault="0064049F" w:rsidP="008E2A3E">
            <w:pPr>
              <w:spacing w:after="0" w:line="240" w:lineRule="auto"/>
              <w:ind w:firstLineChars="100" w:firstLine="240"/>
              <w:jc w:val="center"/>
              <w:rPr>
                <w:rFonts w:ascii="Times New Roman" w:eastAsia="Times New Roman" w:hAnsi="Times New Roman" w:cs="Times New Roman"/>
                <w:color w:val="1A1C1E"/>
                <w:kern w:val="0"/>
                <w:szCs w:val="24"/>
                <w:lang w:eastAsia="en-IN"/>
                <w14:ligatures w14:val="none"/>
              </w:rPr>
            </w:pPr>
            <w:r w:rsidRPr="008E2A3E">
              <w:rPr>
                <w:rFonts w:ascii="Times New Roman" w:eastAsia="Times New Roman" w:hAnsi="Times New Roman" w:cs="Times New Roman"/>
                <w:color w:val="1A1C1E"/>
                <w:kern w:val="0"/>
                <w:szCs w:val="24"/>
                <w:lang w:eastAsia="en-IN"/>
                <w14:ligatures w14:val="none"/>
              </w:rPr>
              <w:t>..</w:t>
            </w:r>
          </w:p>
        </w:tc>
        <w:tc>
          <w:tcPr>
            <w:tcW w:w="1071" w:type="dxa"/>
            <w:tcBorders>
              <w:top w:val="nil"/>
              <w:left w:val="nil"/>
              <w:bottom w:val="single" w:sz="4" w:space="0" w:color="auto"/>
              <w:right w:val="single" w:sz="4" w:space="0" w:color="auto"/>
            </w:tcBorders>
            <w:shd w:val="clear" w:color="000000" w:fill="FFFFFF"/>
            <w:vAlign w:val="center"/>
            <w:hideMark/>
          </w:tcPr>
          <w:p w14:paraId="33BD6865" w14:textId="77777777" w:rsidR="0064049F" w:rsidRPr="008E2A3E" w:rsidRDefault="0064049F" w:rsidP="008E2A3E">
            <w:pPr>
              <w:spacing w:after="0" w:line="240" w:lineRule="auto"/>
              <w:ind w:firstLineChars="100" w:firstLine="240"/>
              <w:jc w:val="center"/>
              <w:rPr>
                <w:rFonts w:ascii="Times New Roman" w:eastAsia="Times New Roman" w:hAnsi="Times New Roman" w:cs="Times New Roman"/>
                <w:color w:val="1A1C1E"/>
                <w:kern w:val="0"/>
                <w:szCs w:val="24"/>
                <w:lang w:eastAsia="en-IN"/>
                <w14:ligatures w14:val="none"/>
              </w:rPr>
            </w:pPr>
            <w:r w:rsidRPr="008E2A3E">
              <w:rPr>
                <w:rFonts w:ascii="Times New Roman" w:eastAsia="Times New Roman" w:hAnsi="Times New Roman" w:cs="Times New Roman"/>
                <w:color w:val="1A1C1E"/>
                <w:kern w:val="0"/>
                <w:szCs w:val="24"/>
                <w:lang w:eastAsia="en-IN"/>
                <w14:ligatures w14:val="none"/>
              </w:rPr>
              <w:t>..</w:t>
            </w:r>
          </w:p>
        </w:tc>
        <w:tc>
          <w:tcPr>
            <w:tcW w:w="1511" w:type="dxa"/>
            <w:tcBorders>
              <w:top w:val="nil"/>
              <w:left w:val="nil"/>
              <w:bottom w:val="single" w:sz="4" w:space="0" w:color="auto"/>
              <w:right w:val="single" w:sz="4" w:space="0" w:color="auto"/>
            </w:tcBorders>
            <w:shd w:val="clear" w:color="000000" w:fill="FFFFFF"/>
            <w:vAlign w:val="center"/>
            <w:hideMark/>
          </w:tcPr>
          <w:p w14:paraId="045AC97B" w14:textId="77777777" w:rsidR="0064049F" w:rsidRPr="008E2A3E" w:rsidRDefault="0064049F" w:rsidP="008E2A3E">
            <w:pPr>
              <w:spacing w:after="0" w:line="240" w:lineRule="auto"/>
              <w:ind w:firstLineChars="100" w:firstLine="240"/>
              <w:jc w:val="center"/>
              <w:rPr>
                <w:rFonts w:ascii="Times New Roman" w:eastAsia="Times New Roman" w:hAnsi="Times New Roman" w:cs="Times New Roman"/>
                <w:color w:val="1A1C1E"/>
                <w:kern w:val="0"/>
                <w:szCs w:val="24"/>
                <w:lang w:eastAsia="en-IN"/>
                <w14:ligatures w14:val="none"/>
              </w:rPr>
            </w:pPr>
            <w:r w:rsidRPr="008E2A3E">
              <w:rPr>
                <w:rFonts w:ascii="Times New Roman" w:eastAsia="Times New Roman" w:hAnsi="Times New Roman" w:cs="Times New Roman"/>
                <w:color w:val="1A1C1E"/>
                <w:kern w:val="0"/>
                <w:szCs w:val="24"/>
                <w:lang w:eastAsia="en-IN"/>
                <w14:ligatures w14:val="none"/>
              </w:rPr>
              <w:t>..</w:t>
            </w:r>
          </w:p>
        </w:tc>
        <w:tc>
          <w:tcPr>
            <w:tcW w:w="1284" w:type="dxa"/>
            <w:tcBorders>
              <w:top w:val="nil"/>
              <w:left w:val="nil"/>
              <w:bottom w:val="single" w:sz="4" w:space="0" w:color="auto"/>
              <w:right w:val="single" w:sz="4" w:space="0" w:color="auto"/>
            </w:tcBorders>
            <w:shd w:val="clear" w:color="000000" w:fill="FFFFFF"/>
            <w:vAlign w:val="center"/>
            <w:hideMark/>
          </w:tcPr>
          <w:p w14:paraId="29F01E8B" w14:textId="77777777" w:rsidR="0064049F" w:rsidRPr="008E2A3E" w:rsidRDefault="0064049F" w:rsidP="008E2A3E">
            <w:pPr>
              <w:spacing w:after="0" w:line="240" w:lineRule="auto"/>
              <w:ind w:firstLineChars="100" w:firstLine="240"/>
              <w:jc w:val="center"/>
              <w:rPr>
                <w:rFonts w:ascii="Times New Roman" w:eastAsia="Times New Roman" w:hAnsi="Times New Roman" w:cs="Times New Roman"/>
                <w:color w:val="1A1C1E"/>
                <w:kern w:val="0"/>
                <w:szCs w:val="24"/>
                <w:lang w:eastAsia="en-IN"/>
                <w14:ligatures w14:val="none"/>
              </w:rPr>
            </w:pPr>
            <w:r w:rsidRPr="008E2A3E">
              <w:rPr>
                <w:rFonts w:ascii="Times New Roman" w:eastAsia="Times New Roman" w:hAnsi="Times New Roman" w:cs="Times New Roman"/>
                <w:color w:val="1A1C1E"/>
                <w:kern w:val="0"/>
                <w:szCs w:val="24"/>
                <w:lang w:eastAsia="en-IN"/>
                <w14:ligatures w14:val="none"/>
              </w:rPr>
              <w:t>..</w:t>
            </w:r>
          </w:p>
        </w:tc>
        <w:tc>
          <w:tcPr>
            <w:tcW w:w="2004" w:type="dxa"/>
            <w:tcBorders>
              <w:top w:val="nil"/>
              <w:left w:val="nil"/>
              <w:bottom w:val="single" w:sz="4" w:space="0" w:color="auto"/>
              <w:right w:val="single" w:sz="4" w:space="0" w:color="auto"/>
            </w:tcBorders>
            <w:shd w:val="clear" w:color="000000" w:fill="FFFFFF"/>
            <w:vAlign w:val="center"/>
            <w:hideMark/>
          </w:tcPr>
          <w:p w14:paraId="7BD0906F" w14:textId="77777777" w:rsidR="0064049F" w:rsidRPr="008E2A3E" w:rsidRDefault="0064049F" w:rsidP="008E2A3E">
            <w:pPr>
              <w:spacing w:after="0" w:line="240" w:lineRule="auto"/>
              <w:ind w:firstLineChars="100" w:firstLine="240"/>
              <w:jc w:val="center"/>
              <w:rPr>
                <w:rFonts w:ascii="Times New Roman" w:eastAsia="Times New Roman" w:hAnsi="Times New Roman" w:cs="Times New Roman"/>
                <w:color w:val="1A1C1E"/>
                <w:kern w:val="0"/>
                <w:szCs w:val="24"/>
                <w:lang w:eastAsia="en-IN"/>
                <w14:ligatures w14:val="none"/>
              </w:rPr>
            </w:pPr>
            <w:r w:rsidRPr="008E2A3E">
              <w:rPr>
                <w:rFonts w:ascii="Times New Roman" w:eastAsia="Times New Roman" w:hAnsi="Times New Roman" w:cs="Times New Roman"/>
                <w:color w:val="1A1C1E"/>
                <w:kern w:val="0"/>
                <w:szCs w:val="24"/>
                <w:lang w:eastAsia="en-IN"/>
                <w14:ligatures w14:val="none"/>
              </w:rPr>
              <w:t>..</w:t>
            </w:r>
          </w:p>
        </w:tc>
        <w:tc>
          <w:tcPr>
            <w:tcW w:w="1207" w:type="dxa"/>
            <w:tcBorders>
              <w:top w:val="nil"/>
              <w:left w:val="nil"/>
              <w:bottom w:val="single" w:sz="4" w:space="0" w:color="auto"/>
              <w:right w:val="single" w:sz="4" w:space="0" w:color="auto"/>
            </w:tcBorders>
            <w:shd w:val="clear" w:color="000000" w:fill="FFFFFF"/>
            <w:vAlign w:val="center"/>
            <w:hideMark/>
          </w:tcPr>
          <w:p w14:paraId="0B41FFA4" w14:textId="77777777" w:rsidR="0064049F" w:rsidRPr="008E2A3E" w:rsidRDefault="0064049F" w:rsidP="008E2A3E">
            <w:pPr>
              <w:spacing w:after="0" w:line="240" w:lineRule="auto"/>
              <w:ind w:firstLineChars="100" w:firstLine="240"/>
              <w:jc w:val="center"/>
              <w:rPr>
                <w:rFonts w:ascii="Times New Roman" w:eastAsia="Times New Roman" w:hAnsi="Times New Roman" w:cs="Times New Roman"/>
                <w:color w:val="1A1C1E"/>
                <w:kern w:val="0"/>
                <w:szCs w:val="24"/>
                <w:lang w:eastAsia="en-IN"/>
                <w14:ligatures w14:val="none"/>
              </w:rPr>
            </w:pPr>
            <w:r w:rsidRPr="008E2A3E">
              <w:rPr>
                <w:rFonts w:ascii="Times New Roman" w:eastAsia="Times New Roman" w:hAnsi="Times New Roman" w:cs="Times New Roman"/>
                <w:color w:val="1A1C1E"/>
                <w:kern w:val="0"/>
                <w:szCs w:val="24"/>
                <w:lang w:eastAsia="en-IN"/>
                <w14:ligatures w14:val="none"/>
              </w:rPr>
              <w:t>..</w:t>
            </w:r>
          </w:p>
        </w:tc>
        <w:tc>
          <w:tcPr>
            <w:tcW w:w="1116" w:type="dxa"/>
            <w:tcBorders>
              <w:top w:val="nil"/>
              <w:left w:val="nil"/>
              <w:bottom w:val="single" w:sz="4" w:space="0" w:color="auto"/>
              <w:right w:val="single" w:sz="4" w:space="0" w:color="auto"/>
            </w:tcBorders>
            <w:shd w:val="clear" w:color="000000" w:fill="FFFFFF"/>
            <w:vAlign w:val="center"/>
            <w:hideMark/>
          </w:tcPr>
          <w:p w14:paraId="7DF9003B" w14:textId="77777777" w:rsidR="0064049F" w:rsidRPr="008E2A3E" w:rsidRDefault="0064049F" w:rsidP="008E2A3E">
            <w:pPr>
              <w:spacing w:after="0" w:line="240" w:lineRule="auto"/>
              <w:ind w:firstLineChars="100" w:firstLine="240"/>
              <w:jc w:val="center"/>
              <w:rPr>
                <w:rFonts w:ascii="Times New Roman" w:eastAsia="Times New Roman" w:hAnsi="Times New Roman" w:cs="Times New Roman"/>
                <w:color w:val="1A1C1E"/>
                <w:kern w:val="0"/>
                <w:szCs w:val="24"/>
                <w:lang w:eastAsia="en-IN"/>
                <w14:ligatures w14:val="none"/>
              </w:rPr>
            </w:pPr>
            <w:r w:rsidRPr="008E2A3E">
              <w:rPr>
                <w:rFonts w:ascii="Times New Roman" w:eastAsia="Times New Roman" w:hAnsi="Times New Roman" w:cs="Times New Roman"/>
                <w:color w:val="1A1C1E"/>
                <w:kern w:val="0"/>
                <w:szCs w:val="24"/>
                <w:lang w:eastAsia="en-IN"/>
                <w14:ligatures w14:val="none"/>
              </w:rPr>
              <w:t>..</w:t>
            </w:r>
          </w:p>
        </w:tc>
      </w:tr>
      <w:tr w:rsidR="0064049F" w:rsidRPr="008E2A3E" w14:paraId="624DA15C" w14:textId="77777777" w:rsidTr="008E2A3E">
        <w:trPr>
          <w:trHeight w:val="520"/>
        </w:trPr>
        <w:tc>
          <w:tcPr>
            <w:tcW w:w="1977" w:type="dxa"/>
            <w:tcBorders>
              <w:top w:val="nil"/>
              <w:left w:val="single" w:sz="4" w:space="0" w:color="auto"/>
              <w:bottom w:val="single" w:sz="4" w:space="0" w:color="auto"/>
              <w:right w:val="single" w:sz="4" w:space="0" w:color="auto"/>
            </w:tcBorders>
            <w:shd w:val="clear" w:color="000000" w:fill="FFFFFF"/>
            <w:vAlign w:val="center"/>
            <w:hideMark/>
          </w:tcPr>
          <w:p w14:paraId="6AED17A6" w14:textId="77777777" w:rsidR="0064049F" w:rsidRPr="008E2A3E" w:rsidRDefault="0064049F" w:rsidP="0064049F">
            <w:pPr>
              <w:spacing w:after="0" w:line="240" w:lineRule="auto"/>
              <w:ind w:firstLineChars="100" w:firstLine="240"/>
              <w:rPr>
                <w:rFonts w:ascii="Times New Roman" w:eastAsia="Times New Roman" w:hAnsi="Times New Roman" w:cs="Times New Roman"/>
                <w:color w:val="1A1C1E"/>
                <w:kern w:val="0"/>
                <w:szCs w:val="24"/>
                <w:lang w:eastAsia="en-IN"/>
                <w14:ligatures w14:val="none"/>
              </w:rPr>
            </w:pPr>
            <w:r w:rsidRPr="008E2A3E">
              <w:rPr>
                <w:rFonts w:ascii="Times New Roman" w:eastAsia="Times New Roman" w:hAnsi="Times New Roman" w:cs="Times New Roman"/>
                <w:color w:val="1A1C1E"/>
                <w:kern w:val="0"/>
                <w:szCs w:val="24"/>
                <w:lang w:eastAsia="en-IN"/>
                <w14:ligatures w14:val="none"/>
              </w:rPr>
              <w:t>1965-66</w:t>
            </w:r>
          </w:p>
        </w:tc>
        <w:tc>
          <w:tcPr>
            <w:tcW w:w="1035" w:type="dxa"/>
            <w:tcBorders>
              <w:top w:val="nil"/>
              <w:left w:val="nil"/>
              <w:bottom w:val="single" w:sz="4" w:space="0" w:color="auto"/>
              <w:right w:val="single" w:sz="4" w:space="0" w:color="auto"/>
            </w:tcBorders>
            <w:shd w:val="clear" w:color="000000" w:fill="FFFFFF"/>
            <w:vAlign w:val="center"/>
            <w:hideMark/>
          </w:tcPr>
          <w:p w14:paraId="24B139A3" w14:textId="77777777" w:rsidR="0064049F" w:rsidRPr="008E2A3E" w:rsidRDefault="0064049F" w:rsidP="008E2A3E">
            <w:pPr>
              <w:spacing w:after="0" w:line="240" w:lineRule="auto"/>
              <w:ind w:firstLineChars="100" w:firstLine="240"/>
              <w:jc w:val="center"/>
              <w:rPr>
                <w:rFonts w:ascii="Times New Roman" w:eastAsia="Times New Roman" w:hAnsi="Times New Roman" w:cs="Times New Roman"/>
                <w:color w:val="1A1C1E"/>
                <w:kern w:val="0"/>
                <w:szCs w:val="24"/>
                <w:lang w:eastAsia="en-IN"/>
                <w14:ligatures w14:val="none"/>
              </w:rPr>
            </w:pPr>
            <w:r w:rsidRPr="008E2A3E">
              <w:rPr>
                <w:rFonts w:ascii="Times New Roman" w:eastAsia="Times New Roman" w:hAnsi="Times New Roman" w:cs="Times New Roman"/>
                <w:color w:val="1A1C1E"/>
                <w:kern w:val="0"/>
                <w:szCs w:val="24"/>
                <w:lang w:eastAsia="en-IN"/>
                <w14:ligatures w14:val="none"/>
              </w:rPr>
              <w:t>0.01 (0.09)</w:t>
            </w:r>
          </w:p>
        </w:tc>
        <w:tc>
          <w:tcPr>
            <w:tcW w:w="996" w:type="dxa"/>
            <w:tcBorders>
              <w:top w:val="nil"/>
              <w:left w:val="nil"/>
              <w:bottom w:val="single" w:sz="4" w:space="0" w:color="auto"/>
              <w:right w:val="single" w:sz="4" w:space="0" w:color="auto"/>
            </w:tcBorders>
            <w:shd w:val="clear" w:color="000000" w:fill="FFFFFF"/>
            <w:vAlign w:val="center"/>
            <w:hideMark/>
          </w:tcPr>
          <w:p w14:paraId="3DFCDF48" w14:textId="77777777" w:rsidR="0064049F" w:rsidRPr="008E2A3E" w:rsidRDefault="0064049F" w:rsidP="008E2A3E">
            <w:pPr>
              <w:spacing w:after="0" w:line="240" w:lineRule="auto"/>
              <w:ind w:firstLineChars="100" w:firstLine="240"/>
              <w:jc w:val="center"/>
              <w:rPr>
                <w:rFonts w:ascii="Times New Roman" w:eastAsia="Times New Roman" w:hAnsi="Times New Roman" w:cs="Times New Roman"/>
                <w:color w:val="1A1C1E"/>
                <w:kern w:val="0"/>
                <w:szCs w:val="24"/>
                <w:lang w:eastAsia="en-IN"/>
                <w14:ligatures w14:val="none"/>
              </w:rPr>
            </w:pPr>
            <w:r w:rsidRPr="008E2A3E">
              <w:rPr>
                <w:rFonts w:ascii="Times New Roman" w:eastAsia="Times New Roman" w:hAnsi="Times New Roman" w:cs="Times New Roman"/>
                <w:color w:val="1A1C1E"/>
                <w:kern w:val="0"/>
                <w:szCs w:val="24"/>
                <w:lang w:eastAsia="en-IN"/>
                <w14:ligatures w14:val="none"/>
              </w:rPr>
              <w:t>0.06 (0.53)</w:t>
            </w:r>
          </w:p>
        </w:tc>
        <w:tc>
          <w:tcPr>
            <w:tcW w:w="1110" w:type="dxa"/>
            <w:tcBorders>
              <w:top w:val="nil"/>
              <w:left w:val="nil"/>
              <w:bottom w:val="single" w:sz="4" w:space="0" w:color="auto"/>
              <w:right w:val="single" w:sz="4" w:space="0" w:color="auto"/>
            </w:tcBorders>
            <w:shd w:val="clear" w:color="000000" w:fill="FFFFFF"/>
            <w:vAlign w:val="center"/>
            <w:hideMark/>
          </w:tcPr>
          <w:p w14:paraId="290EA86C" w14:textId="77777777" w:rsidR="0064049F" w:rsidRPr="008E2A3E" w:rsidRDefault="0064049F" w:rsidP="008E2A3E">
            <w:pPr>
              <w:spacing w:after="0" w:line="240" w:lineRule="auto"/>
              <w:ind w:firstLineChars="100" w:firstLine="240"/>
              <w:jc w:val="center"/>
              <w:rPr>
                <w:rFonts w:ascii="Times New Roman" w:eastAsia="Times New Roman" w:hAnsi="Times New Roman" w:cs="Times New Roman"/>
                <w:color w:val="1A1C1E"/>
                <w:kern w:val="0"/>
                <w:szCs w:val="24"/>
                <w:lang w:eastAsia="en-IN"/>
                <w14:ligatures w14:val="none"/>
              </w:rPr>
            </w:pPr>
            <w:r w:rsidRPr="008E2A3E">
              <w:rPr>
                <w:rFonts w:ascii="Times New Roman" w:eastAsia="Times New Roman" w:hAnsi="Times New Roman" w:cs="Times New Roman"/>
                <w:color w:val="1A1C1E"/>
                <w:kern w:val="0"/>
                <w:szCs w:val="24"/>
                <w:lang w:eastAsia="en-IN"/>
                <w14:ligatures w14:val="none"/>
              </w:rPr>
              <w:t>0.03 (0.27)</w:t>
            </w:r>
          </w:p>
        </w:tc>
        <w:tc>
          <w:tcPr>
            <w:tcW w:w="1416" w:type="dxa"/>
            <w:tcBorders>
              <w:top w:val="nil"/>
              <w:left w:val="nil"/>
              <w:bottom w:val="single" w:sz="4" w:space="0" w:color="auto"/>
              <w:right w:val="single" w:sz="4" w:space="0" w:color="auto"/>
            </w:tcBorders>
            <w:shd w:val="clear" w:color="000000" w:fill="FFFFFF"/>
            <w:vAlign w:val="center"/>
            <w:hideMark/>
          </w:tcPr>
          <w:p w14:paraId="325FF3DA" w14:textId="77777777" w:rsidR="0064049F" w:rsidRPr="008E2A3E" w:rsidRDefault="0064049F" w:rsidP="008E2A3E">
            <w:pPr>
              <w:spacing w:after="0" w:line="240" w:lineRule="auto"/>
              <w:ind w:firstLineChars="100" w:firstLine="240"/>
              <w:jc w:val="center"/>
              <w:rPr>
                <w:rFonts w:ascii="Times New Roman" w:eastAsia="Times New Roman" w:hAnsi="Times New Roman" w:cs="Times New Roman"/>
                <w:color w:val="1A1C1E"/>
                <w:kern w:val="0"/>
                <w:szCs w:val="24"/>
                <w:lang w:eastAsia="en-IN"/>
                <w14:ligatures w14:val="none"/>
              </w:rPr>
            </w:pPr>
            <w:r w:rsidRPr="008E2A3E">
              <w:rPr>
                <w:rFonts w:ascii="Times New Roman" w:eastAsia="Times New Roman" w:hAnsi="Times New Roman" w:cs="Times New Roman"/>
                <w:color w:val="1A1C1E"/>
                <w:kern w:val="0"/>
                <w:szCs w:val="24"/>
                <w:lang w:eastAsia="en-IN"/>
                <w14:ligatures w14:val="none"/>
              </w:rPr>
              <w:t>0.01 (0.09)</w:t>
            </w:r>
          </w:p>
        </w:tc>
        <w:tc>
          <w:tcPr>
            <w:tcW w:w="1071" w:type="dxa"/>
            <w:tcBorders>
              <w:top w:val="nil"/>
              <w:left w:val="nil"/>
              <w:bottom w:val="single" w:sz="4" w:space="0" w:color="auto"/>
              <w:right w:val="single" w:sz="4" w:space="0" w:color="auto"/>
            </w:tcBorders>
            <w:shd w:val="clear" w:color="000000" w:fill="FFFFFF"/>
            <w:vAlign w:val="center"/>
            <w:hideMark/>
          </w:tcPr>
          <w:p w14:paraId="261ACA03" w14:textId="77777777" w:rsidR="0064049F" w:rsidRPr="008E2A3E" w:rsidRDefault="0064049F" w:rsidP="008E2A3E">
            <w:pPr>
              <w:spacing w:after="0" w:line="240" w:lineRule="auto"/>
              <w:ind w:firstLineChars="100" w:firstLine="240"/>
              <w:jc w:val="center"/>
              <w:rPr>
                <w:rFonts w:ascii="Times New Roman" w:eastAsia="Times New Roman" w:hAnsi="Times New Roman" w:cs="Times New Roman"/>
                <w:color w:val="1A1C1E"/>
                <w:kern w:val="0"/>
                <w:szCs w:val="24"/>
                <w:lang w:eastAsia="en-IN"/>
                <w14:ligatures w14:val="none"/>
              </w:rPr>
            </w:pPr>
            <w:r w:rsidRPr="008E2A3E">
              <w:rPr>
                <w:rFonts w:ascii="Times New Roman" w:eastAsia="Times New Roman" w:hAnsi="Times New Roman" w:cs="Times New Roman"/>
                <w:color w:val="1A1C1E"/>
                <w:kern w:val="0"/>
                <w:szCs w:val="24"/>
                <w:lang w:eastAsia="en-IN"/>
                <w14:ligatures w14:val="none"/>
              </w:rPr>
              <w:t>0.02 (0.18)</w:t>
            </w:r>
          </w:p>
        </w:tc>
        <w:tc>
          <w:tcPr>
            <w:tcW w:w="1511" w:type="dxa"/>
            <w:tcBorders>
              <w:top w:val="nil"/>
              <w:left w:val="nil"/>
              <w:bottom w:val="single" w:sz="4" w:space="0" w:color="auto"/>
              <w:right w:val="single" w:sz="4" w:space="0" w:color="auto"/>
            </w:tcBorders>
            <w:shd w:val="clear" w:color="000000" w:fill="FFFFFF"/>
            <w:vAlign w:val="center"/>
            <w:hideMark/>
          </w:tcPr>
          <w:p w14:paraId="6CC4AA6E" w14:textId="77777777" w:rsidR="0064049F" w:rsidRPr="008E2A3E" w:rsidRDefault="0064049F" w:rsidP="008E2A3E">
            <w:pPr>
              <w:spacing w:after="0" w:line="240" w:lineRule="auto"/>
              <w:ind w:firstLineChars="100" w:firstLine="240"/>
              <w:jc w:val="center"/>
              <w:rPr>
                <w:rFonts w:ascii="Times New Roman" w:eastAsia="Times New Roman" w:hAnsi="Times New Roman" w:cs="Times New Roman"/>
                <w:color w:val="1A1C1E"/>
                <w:kern w:val="0"/>
                <w:szCs w:val="24"/>
                <w:lang w:eastAsia="en-IN"/>
                <w14:ligatures w14:val="none"/>
              </w:rPr>
            </w:pPr>
            <w:r w:rsidRPr="008E2A3E">
              <w:rPr>
                <w:rFonts w:ascii="Times New Roman" w:eastAsia="Times New Roman" w:hAnsi="Times New Roman" w:cs="Times New Roman"/>
                <w:color w:val="1A1C1E"/>
                <w:kern w:val="0"/>
                <w:szCs w:val="24"/>
                <w:lang w:eastAsia="en-IN"/>
                <w14:ligatures w14:val="none"/>
              </w:rPr>
              <w:t>0.02 (0.18)</w:t>
            </w:r>
          </w:p>
        </w:tc>
        <w:tc>
          <w:tcPr>
            <w:tcW w:w="1284" w:type="dxa"/>
            <w:tcBorders>
              <w:top w:val="nil"/>
              <w:left w:val="nil"/>
              <w:bottom w:val="single" w:sz="4" w:space="0" w:color="auto"/>
              <w:right w:val="single" w:sz="4" w:space="0" w:color="auto"/>
            </w:tcBorders>
            <w:shd w:val="clear" w:color="000000" w:fill="FFFFFF"/>
            <w:vAlign w:val="center"/>
            <w:hideMark/>
          </w:tcPr>
          <w:p w14:paraId="4FCB39E4" w14:textId="77777777" w:rsidR="0064049F" w:rsidRPr="008E2A3E" w:rsidRDefault="0064049F" w:rsidP="008E2A3E">
            <w:pPr>
              <w:spacing w:after="0" w:line="240" w:lineRule="auto"/>
              <w:ind w:firstLineChars="100" w:firstLine="240"/>
              <w:jc w:val="center"/>
              <w:rPr>
                <w:rFonts w:ascii="Times New Roman" w:eastAsia="Times New Roman" w:hAnsi="Times New Roman" w:cs="Times New Roman"/>
                <w:color w:val="1A1C1E"/>
                <w:kern w:val="0"/>
                <w:szCs w:val="24"/>
                <w:lang w:eastAsia="en-IN"/>
                <w14:ligatures w14:val="none"/>
              </w:rPr>
            </w:pPr>
            <w:r w:rsidRPr="008E2A3E">
              <w:rPr>
                <w:rFonts w:ascii="Times New Roman" w:eastAsia="Times New Roman" w:hAnsi="Times New Roman" w:cs="Times New Roman"/>
                <w:color w:val="1A1C1E"/>
                <w:kern w:val="0"/>
                <w:szCs w:val="24"/>
                <w:lang w:eastAsia="en-IN"/>
                <w14:ligatures w14:val="none"/>
              </w:rPr>
              <w:t>..</w:t>
            </w:r>
          </w:p>
        </w:tc>
        <w:tc>
          <w:tcPr>
            <w:tcW w:w="2004" w:type="dxa"/>
            <w:tcBorders>
              <w:top w:val="nil"/>
              <w:left w:val="nil"/>
              <w:bottom w:val="single" w:sz="4" w:space="0" w:color="auto"/>
              <w:right w:val="single" w:sz="4" w:space="0" w:color="auto"/>
            </w:tcBorders>
            <w:shd w:val="clear" w:color="000000" w:fill="FFFFFF"/>
            <w:vAlign w:val="center"/>
            <w:hideMark/>
          </w:tcPr>
          <w:p w14:paraId="4278CA74" w14:textId="77777777" w:rsidR="0064049F" w:rsidRPr="008E2A3E" w:rsidRDefault="0064049F" w:rsidP="008E2A3E">
            <w:pPr>
              <w:spacing w:after="0" w:line="240" w:lineRule="auto"/>
              <w:ind w:firstLineChars="100" w:firstLine="240"/>
              <w:jc w:val="center"/>
              <w:rPr>
                <w:rFonts w:ascii="Times New Roman" w:eastAsia="Times New Roman" w:hAnsi="Times New Roman" w:cs="Times New Roman"/>
                <w:color w:val="1A1C1E"/>
                <w:kern w:val="0"/>
                <w:szCs w:val="24"/>
                <w:lang w:eastAsia="en-IN"/>
                <w14:ligatures w14:val="none"/>
              </w:rPr>
            </w:pPr>
            <w:r w:rsidRPr="008E2A3E">
              <w:rPr>
                <w:rFonts w:ascii="Times New Roman" w:eastAsia="Times New Roman" w:hAnsi="Times New Roman" w:cs="Times New Roman"/>
                <w:color w:val="1A1C1E"/>
                <w:kern w:val="0"/>
                <w:szCs w:val="24"/>
                <w:lang w:eastAsia="en-IN"/>
                <w14:ligatures w14:val="none"/>
              </w:rPr>
              <w:t>0.01 (0.09)</w:t>
            </w:r>
          </w:p>
        </w:tc>
        <w:tc>
          <w:tcPr>
            <w:tcW w:w="1207" w:type="dxa"/>
            <w:tcBorders>
              <w:top w:val="nil"/>
              <w:left w:val="nil"/>
              <w:bottom w:val="single" w:sz="4" w:space="0" w:color="auto"/>
              <w:right w:val="single" w:sz="4" w:space="0" w:color="auto"/>
            </w:tcBorders>
            <w:shd w:val="clear" w:color="000000" w:fill="FFFFFF"/>
            <w:vAlign w:val="center"/>
            <w:hideMark/>
          </w:tcPr>
          <w:p w14:paraId="2EFB89D3" w14:textId="77777777" w:rsidR="0064049F" w:rsidRPr="008E2A3E" w:rsidRDefault="0064049F" w:rsidP="008E2A3E">
            <w:pPr>
              <w:spacing w:after="0" w:line="240" w:lineRule="auto"/>
              <w:ind w:firstLineChars="100" w:firstLine="240"/>
              <w:jc w:val="center"/>
              <w:rPr>
                <w:rFonts w:ascii="Times New Roman" w:eastAsia="Times New Roman" w:hAnsi="Times New Roman" w:cs="Times New Roman"/>
                <w:color w:val="1A1C1E"/>
                <w:kern w:val="0"/>
                <w:szCs w:val="24"/>
                <w:lang w:eastAsia="en-IN"/>
                <w14:ligatures w14:val="none"/>
              </w:rPr>
            </w:pPr>
            <w:r w:rsidRPr="008E2A3E">
              <w:rPr>
                <w:rFonts w:ascii="Times New Roman" w:eastAsia="Times New Roman" w:hAnsi="Times New Roman" w:cs="Times New Roman"/>
                <w:color w:val="1A1C1E"/>
                <w:kern w:val="0"/>
                <w:szCs w:val="24"/>
                <w:lang w:eastAsia="en-IN"/>
                <w14:ligatures w14:val="none"/>
              </w:rPr>
              <w:t>0.09 (0.80)</w:t>
            </w:r>
          </w:p>
        </w:tc>
        <w:tc>
          <w:tcPr>
            <w:tcW w:w="1116" w:type="dxa"/>
            <w:tcBorders>
              <w:top w:val="nil"/>
              <w:left w:val="nil"/>
              <w:bottom w:val="single" w:sz="4" w:space="0" w:color="auto"/>
              <w:right w:val="single" w:sz="4" w:space="0" w:color="auto"/>
            </w:tcBorders>
            <w:shd w:val="clear" w:color="000000" w:fill="FFFFFF"/>
            <w:vAlign w:val="center"/>
            <w:hideMark/>
          </w:tcPr>
          <w:p w14:paraId="02E33AA6" w14:textId="77777777" w:rsidR="0064049F" w:rsidRPr="008E2A3E" w:rsidRDefault="0064049F" w:rsidP="008E2A3E">
            <w:pPr>
              <w:spacing w:after="0" w:line="240" w:lineRule="auto"/>
              <w:ind w:firstLineChars="100" w:firstLine="240"/>
              <w:jc w:val="center"/>
              <w:rPr>
                <w:rFonts w:ascii="Times New Roman" w:eastAsia="Times New Roman" w:hAnsi="Times New Roman" w:cs="Times New Roman"/>
                <w:color w:val="1A1C1E"/>
                <w:kern w:val="0"/>
                <w:szCs w:val="24"/>
                <w:lang w:eastAsia="en-IN"/>
                <w14:ligatures w14:val="none"/>
              </w:rPr>
            </w:pPr>
            <w:r w:rsidRPr="008E2A3E">
              <w:rPr>
                <w:rFonts w:ascii="Times New Roman" w:eastAsia="Times New Roman" w:hAnsi="Times New Roman" w:cs="Times New Roman"/>
                <w:color w:val="1A1C1E"/>
                <w:kern w:val="0"/>
                <w:szCs w:val="24"/>
                <w:lang w:eastAsia="en-IN"/>
                <w14:ligatures w14:val="none"/>
              </w:rPr>
              <w:t>11.32 (100.00)</w:t>
            </w:r>
          </w:p>
        </w:tc>
      </w:tr>
      <w:tr w:rsidR="0064049F" w:rsidRPr="008E2A3E" w14:paraId="68B67257" w14:textId="77777777" w:rsidTr="008E2A3E">
        <w:trPr>
          <w:trHeight w:val="273"/>
        </w:trPr>
        <w:tc>
          <w:tcPr>
            <w:tcW w:w="1977" w:type="dxa"/>
            <w:tcBorders>
              <w:top w:val="nil"/>
              <w:left w:val="single" w:sz="4" w:space="0" w:color="auto"/>
              <w:bottom w:val="single" w:sz="4" w:space="0" w:color="auto"/>
              <w:right w:val="single" w:sz="4" w:space="0" w:color="auto"/>
            </w:tcBorders>
            <w:shd w:val="clear" w:color="000000" w:fill="FFFFFF"/>
            <w:vAlign w:val="center"/>
            <w:hideMark/>
          </w:tcPr>
          <w:p w14:paraId="573422F6" w14:textId="77777777" w:rsidR="0064049F" w:rsidRPr="008E2A3E" w:rsidRDefault="0064049F" w:rsidP="0064049F">
            <w:pPr>
              <w:spacing w:after="0" w:line="240" w:lineRule="auto"/>
              <w:ind w:firstLineChars="100" w:firstLine="240"/>
              <w:rPr>
                <w:rFonts w:ascii="Times New Roman" w:eastAsia="Times New Roman" w:hAnsi="Times New Roman" w:cs="Times New Roman"/>
                <w:color w:val="1A1C1E"/>
                <w:kern w:val="0"/>
                <w:szCs w:val="24"/>
                <w:lang w:eastAsia="en-IN"/>
                <w14:ligatures w14:val="none"/>
              </w:rPr>
            </w:pPr>
            <w:r w:rsidRPr="008E2A3E">
              <w:rPr>
                <w:rFonts w:ascii="Times New Roman" w:eastAsia="Times New Roman" w:hAnsi="Times New Roman" w:cs="Times New Roman"/>
                <w:color w:val="1A1C1E"/>
                <w:kern w:val="0"/>
                <w:szCs w:val="24"/>
                <w:lang w:eastAsia="en-IN"/>
                <w14:ligatures w14:val="none"/>
              </w:rPr>
              <w:t>1966-67</w:t>
            </w:r>
          </w:p>
        </w:tc>
        <w:tc>
          <w:tcPr>
            <w:tcW w:w="1035" w:type="dxa"/>
            <w:tcBorders>
              <w:top w:val="nil"/>
              <w:left w:val="nil"/>
              <w:bottom w:val="single" w:sz="4" w:space="0" w:color="auto"/>
              <w:right w:val="single" w:sz="4" w:space="0" w:color="auto"/>
            </w:tcBorders>
            <w:shd w:val="clear" w:color="000000" w:fill="FFFFFF"/>
            <w:vAlign w:val="center"/>
            <w:hideMark/>
          </w:tcPr>
          <w:p w14:paraId="062E0E5D" w14:textId="77777777" w:rsidR="0064049F" w:rsidRPr="008E2A3E" w:rsidRDefault="0064049F" w:rsidP="008E2A3E">
            <w:pPr>
              <w:spacing w:after="0" w:line="240" w:lineRule="auto"/>
              <w:ind w:firstLineChars="100" w:firstLine="240"/>
              <w:jc w:val="center"/>
              <w:rPr>
                <w:rFonts w:ascii="Times New Roman" w:eastAsia="Times New Roman" w:hAnsi="Times New Roman" w:cs="Times New Roman"/>
                <w:color w:val="1A1C1E"/>
                <w:kern w:val="0"/>
                <w:szCs w:val="24"/>
                <w:lang w:eastAsia="en-IN"/>
                <w14:ligatures w14:val="none"/>
              </w:rPr>
            </w:pPr>
            <w:r w:rsidRPr="008E2A3E">
              <w:rPr>
                <w:rFonts w:ascii="Times New Roman" w:eastAsia="Times New Roman" w:hAnsi="Times New Roman" w:cs="Times New Roman"/>
                <w:color w:val="1A1C1E"/>
                <w:kern w:val="0"/>
                <w:szCs w:val="24"/>
                <w:lang w:eastAsia="en-IN"/>
                <w14:ligatures w14:val="none"/>
              </w:rPr>
              <w:t>0.01</w:t>
            </w:r>
          </w:p>
        </w:tc>
        <w:tc>
          <w:tcPr>
            <w:tcW w:w="996" w:type="dxa"/>
            <w:tcBorders>
              <w:top w:val="nil"/>
              <w:left w:val="nil"/>
              <w:bottom w:val="single" w:sz="4" w:space="0" w:color="auto"/>
              <w:right w:val="single" w:sz="4" w:space="0" w:color="auto"/>
            </w:tcBorders>
            <w:shd w:val="clear" w:color="000000" w:fill="FFFFFF"/>
            <w:vAlign w:val="center"/>
            <w:hideMark/>
          </w:tcPr>
          <w:p w14:paraId="2FE9B4D7" w14:textId="77777777" w:rsidR="0064049F" w:rsidRPr="008E2A3E" w:rsidRDefault="0064049F" w:rsidP="008E2A3E">
            <w:pPr>
              <w:spacing w:after="0" w:line="240" w:lineRule="auto"/>
              <w:ind w:firstLineChars="100" w:firstLine="240"/>
              <w:jc w:val="center"/>
              <w:rPr>
                <w:rFonts w:ascii="Times New Roman" w:eastAsia="Times New Roman" w:hAnsi="Times New Roman" w:cs="Times New Roman"/>
                <w:color w:val="1A1C1E"/>
                <w:kern w:val="0"/>
                <w:szCs w:val="24"/>
                <w:lang w:eastAsia="en-IN"/>
                <w14:ligatures w14:val="none"/>
              </w:rPr>
            </w:pPr>
            <w:r w:rsidRPr="008E2A3E">
              <w:rPr>
                <w:rFonts w:ascii="Times New Roman" w:eastAsia="Times New Roman" w:hAnsi="Times New Roman" w:cs="Times New Roman"/>
                <w:color w:val="1A1C1E"/>
                <w:kern w:val="0"/>
                <w:szCs w:val="24"/>
                <w:lang w:eastAsia="en-IN"/>
                <w14:ligatures w14:val="none"/>
              </w:rPr>
              <w:t>0.05</w:t>
            </w:r>
          </w:p>
        </w:tc>
        <w:tc>
          <w:tcPr>
            <w:tcW w:w="1110" w:type="dxa"/>
            <w:tcBorders>
              <w:top w:val="nil"/>
              <w:left w:val="nil"/>
              <w:bottom w:val="single" w:sz="4" w:space="0" w:color="auto"/>
              <w:right w:val="single" w:sz="4" w:space="0" w:color="auto"/>
            </w:tcBorders>
            <w:shd w:val="clear" w:color="000000" w:fill="FFFFFF"/>
            <w:vAlign w:val="center"/>
            <w:hideMark/>
          </w:tcPr>
          <w:p w14:paraId="33CB78A5" w14:textId="77777777" w:rsidR="0064049F" w:rsidRPr="008E2A3E" w:rsidRDefault="0064049F" w:rsidP="008E2A3E">
            <w:pPr>
              <w:spacing w:after="0" w:line="240" w:lineRule="auto"/>
              <w:ind w:firstLineChars="100" w:firstLine="240"/>
              <w:jc w:val="center"/>
              <w:rPr>
                <w:rFonts w:ascii="Times New Roman" w:eastAsia="Times New Roman" w:hAnsi="Times New Roman" w:cs="Times New Roman"/>
                <w:color w:val="1A1C1E"/>
                <w:kern w:val="0"/>
                <w:szCs w:val="24"/>
                <w:lang w:eastAsia="en-IN"/>
                <w14:ligatures w14:val="none"/>
              </w:rPr>
            </w:pPr>
            <w:r w:rsidRPr="008E2A3E">
              <w:rPr>
                <w:rFonts w:ascii="Times New Roman" w:eastAsia="Times New Roman" w:hAnsi="Times New Roman" w:cs="Times New Roman"/>
                <w:color w:val="1A1C1E"/>
                <w:kern w:val="0"/>
                <w:szCs w:val="24"/>
                <w:lang w:eastAsia="en-IN"/>
                <w14:ligatures w14:val="none"/>
              </w:rPr>
              <w:t>0.04</w:t>
            </w:r>
          </w:p>
        </w:tc>
        <w:tc>
          <w:tcPr>
            <w:tcW w:w="1416" w:type="dxa"/>
            <w:tcBorders>
              <w:top w:val="nil"/>
              <w:left w:val="nil"/>
              <w:bottom w:val="single" w:sz="4" w:space="0" w:color="auto"/>
              <w:right w:val="single" w:sz="4" w:space="0" w:color="auto"/>
            </w:tcBorders>
            <w:shd w:val="clear" w:color="000000" w:fill="FFFFFF"/>
            <w:vAlign w:val="center"/>
            <w:hideMark/>
          </w:tcPr>
          <w:p w14:paraId="1FE011EF" w14:textId="77777777" w:rsidR="0064049F" w:rsidRPr="008E2A3E" w:rsidRDefault="0064049F" w:rsidP="008E2A3E">
            <w:pPr>
              <w:spacing w:after="0" w:line="240" w:lineRule="auto"/>
              <w:ind w:firstLineChars="100" w:firstLine="240"/>
              <w:jc w:val="center"/>
              <w:rPr>
                <w:rFonts w:ascii="Times New Roman" w:eastAsia="Times New Roman" w:hAnsi="Times New Roman" w:cs="Times New Roman"/>
                <w:color w:val="1A1C1E"/>
                <w:kern w:val="0"/>
                <w:szCs w:val="24"/>
                <w:lang w:eastAsia="en-IN"/>
                <w14:ligatures w14:val="none"/>
              </w:rPr>
            </w:pPr>
            <w:r w:rsidRPr="008E2A3E">
              <w:rPr>
                <w:rFonts w:ascii="Times New Roman" w:eastAsia="Times New Roman" w:hAnsi="Times New Roman" w:cs="Times New Roman"/>
                <w:color w:val="1A1C1E"/>
                <w:kern w:val="0"/>
                <w:szCs w:val="24"/>
                <w:lang w:eastAsia="en-IN"/>
                <w14:ligatures w14:val="none"/>
              </w:rPr>
              <w:t>..</w:t>
            </w:r>
          </w:p>
        </w:tc>
        <w:tc>
          <w:tcPr>
            <w:tcW w:w="1071" w:type="dxa"/>
            <w:tcBorders>
              <w:top w:val="nil"/>
              <w:left w:val="nil"/>
              <w:bottom w:val="single" w:sz="4" w:space="0" w:color="auto"/>
              <w:right w:val="single" w:sz="4" w:space="0" w:color="auto"/>
            </w:tcBorders>
            <w:shd w:val="clear" w:color="000000" w:fill="FFFFFF"/>
            <w:vAlign w:val="center"/>
            <w:hideMark/>
          </w:tcPr>
          <w:p w14:paraId="721CB5F1" w14:textId="77777777" w:rsidR="0064049F" w:rsidRPr="008E2A3E" w:rsidRDefault="0064049F" w:rsidP="008E2A3E">
            <w:pPr>
              <w:spacing w:after="0" w:line="240" w:lineRule="auto"/>
              <w:ind w:firstLineChars="100" w:firstLine="240"/>
              <w:jc w:val="center"/>
              <w:rPr>
                <w:rFonts w:ascii="Times New Roman" w:eastAsia="Times New Roman" w:hAnsi="Times New Roman" w:cs="Times New Roman"/>
                <w:color w:val="1A1C1E"/>
                <w:kern w:val="0"/>
                <w:szCs w:val="24"/>
                <w:lang w:eastAsia="en-IN"/>
                <w14:ligatures w14:val="none"/>
              </w:rPr>
            </w:pPr>
            <w:r w:rsidRPr="008E2A3E">
              <w:rPr>
                <w:rFonts w:ascii="Times New Roman" w:eastAsia="Times New Roman" w:hAnsi="Times New Roman" w:cs="Times New Roman"/>
                <w:color w:val="1A1C1E"/>
                <w:kern w:val="0"/>
                <w:szCs w:val="24"/>
                <w:lang w:eastAsia="en-IN"/>
                <w14:ligatures w14:val="none"/>
              </w:rPr>
              <w:t>0.02</w:t>
            </w:r>
          </w:p>
        </w:tc>
        <w:tc>
          <w:tcPr>
            <w:tcW w:w="1511" w:type="dxa"/>
            <w:tcBorders>
              <w:top w:val="nil"/>
              <w:left w:val="nil"/>
              <w:bottom w:val="single" w:sz="4" w:space="0" w:color="auto"/>
              <w:right w:val="single" w:sz="4" w:space="0" w:color="auto"/>
            </w:tcBorders>
            <w:shd w:val="clear" w:color="000000" w:fill="FFFFFF"/>
            <w:vAlign w:val="center"/>
            <w:hideMark/>
          </w:tcPr>
          <w:p w14:paraId="527CE0A0" w14:textId="77777777" w:rsidR="0064049F" w:rsidRPr="008E2A3E" w:rsidRDefault="0064049F" w:rsidP="008E2A3E">
            <w:pPr>
              <w:spacing w:after="0" w:line="240" w:lineRule="auto"/>
              <w:ind w:firstLineChars="100" w:firstLine="240"/>
              <w:jc w:val="center"/>
              <w:rPr>
                <w:rFonts w:ascii="Times New Roman" w:eastAsia="Times New Roman" w:hAnsi="Times New Roman" w:cs="Times New Roman"/>
                <w:color w:val="1A1C1E"/>
                <w:kern w:val="0"/>
                <w:szCs w:val="24"/>
                <w:lang w:eastAsia="en-IN"/>
                <w14:ligatures w14:val="none"/>
              </w:rPr>
            </w:pPr>
            <w:r w:rsidRPr="008E2A3E">
              <w:rPr>
                <w:rFonts w:ascii="Times New Roman" w:eastAsia="Times New Roman" w:hAnsi="Times New Roman" w:cs="Times New Roman"/>
                <w:color w:val="1A1C1E"/>
                <w:kern w:val="0"/>
                <w:szCs w:val="24"/>
                <w:lang w:eastAsia="en-IN"/>
                <w14:ligatures w14:val="none"/>
              </w:rPr>
              <w:t>0.02</w:t>
            </w:r>
          </w:p>
        </w:tc>
        <w:tc>
          <w:tcPr>
            <w:tcW w:w="1284" w:type="dxa"/>
            <w:tcBorders>
              <w:top w:val="nil"/>
              <w:left w:val="nil"/>
              <w:bottom w:val="single" w:sz="4" w:space="0" w:color="auto"/>
              <w:right w:val="single" w:sz="4" w:space="0" w:color="auto"/>
            </w:tcBorders>
            <w:shd w:val="clear" w:color="000000" w:fill="FFFFFF"/>
            <w:vAlign w:val="center"/>
            <w:hideMark/>
          </w:tcPr>
          <w:p w14:paraId="1BC2408E" w14:textId="77777777" w:rsidR="0064049F" w:rsidRPr="008E2A3E" w:rsidRDefault="0064049F" w:rsidP="008E2A3E">
            <w:pPr>
              <w:spacing w:after="0" w:line="240" w:lineRule="auto"/>
              <w:ind w:firstLineChars="100" w:firstLine="240"/>
              <w:jc w:val="center"/>
              <w:rPr>
                <w:rFonts w:ascii="Times New Roman" w:eastAsia="Times New Roman" w:hAnsi="Times New Roman" w:cs="Times New Roman"/>
                <w:color w:val="1A1C1E"/>
                <w:kern w:val="0"/>
                <w:szCs w:val="24"/>
                <w:lang w:eastAsia="en-IN"/>
                <w14:ligatures w14:val="none"/>
              </w:rPr>
            </w:pPr>
            <w:r w:rsidRPr="008E2A3E">
              <w:rPr>
                <w:rFonts w:ascii="Times New Roman" w:eastAsia="Times New Roman" w:hAnsi="Times New Roman" w:cs="Times New Roman"/>
                <w:color w:val="1A1C1E"/>
                <w:kern w:val="0"/>
                <w:szCs w:val="24"/>
                <w:lang w:eastAsia="en-IN"/>
                <w14:ligatures w14:val="none"/>
              </w:rPr>
              <w:t>..</w:t>
            </w:r>
          </w:p>
        </w:tc>
        <w:tc>
          <w:tcPr>
            <w:tcW w:w="2004" w:type="dxa"/>
            <w:tcBorders>
              <w:top w:val="nil"/>
              <w:left w:val="nil"/>
              <w:bottom w:val="single" w:sz="4" w:space="0" w:color="auto"/>
              <w:right w:val="single" w:sz="4" w:space="0" w:color="auto"/>
            </w:tcBorders>
            <w:shd w:val="clear" w:color="000000" w:fill="FFFFFF"/>
            <w:vAlign w:val="center"/>
            <w:hideMark/>
          </w:tcPr>
          <w:p w14:paraId="063346AE" w14:textId="4A18F855" w:rsidR="0064049F" w:rsidRPr="008E2A3E" w:rsidRDefault="0064049F" w:rsidP="008E2A3E">
            <w:pPr>
              <w:spacing w:after="0" w:line="240" w:lineRule="auto"/>
              <w:ind w:firstLineChars="100" w:firstLine="240"/>
              <w:jc w:val="center"/>
              <w:rPr>
                <w:rFonts w:ascii="Times New Roman" w:eastAsia="Times New Roman" w:hAnsi="Times New Roman" w:cs="Times New Roman"/>
                <w:color w:val="1A1C1E"/>
                <w:kern w:val="0"/>
                <w:szCs w:val="24"/>
                <w:lang w:eastAsia="en-IN"/>
                <w14:ligatures w14:val="none"/>
              </w:rPr>
            </w:pPr>
            <w:r w:rsidRPr="008E2A3E">
              <w:rPr>
                <w:rFonts w:ascii="Times New Roman" w:eastAsia="Times New Roman" w:hAnsi="Times New Roman" w:cs="Times New Roman"/>
                <w:color w:val="1A1C1E"/>
                <w:kern w:val="0"/>
                <w:szCs w:val="24"/>
                <w:lang w:eastAsia="en-IN"/>
                <w14:ligatures w14:val="none"/>
              </w:rPr>
              <w:t>0.01</w:t>
            </w:r>
          </w:p>
        </w:tc>
        <w:tc>
          <w:tcPr>
            <w:tcW w:w="1207" w:type="dxa"/>
            <w:tcBorders>
              <w:top w:val="nil"/>
              <w:left w:val="nil"/>
              <w:bottom w:val="single" w:sz="4" w:space="0" w:color="auto"/>
              <w:right w:val="single" w:sz="4" w:space="0" w:color="auto"/>
            </w:tcBorders>
            <w:shd w:val="clear" w:color="000000" w:fill="FFFFFF"/>
            <w:vAlign w:val="center"/>
            <w:hideMark/>
          </w:tcPr>
          <w:p w14:paraId="782B3270" w14:textId="77777777" w:rsidR="0064049F" w:rsidRPr="008E2A3E" w:rsidRDefault="0064049F" w:rsidP="008E2A3E">
            <w:pPr>
              <w:spacing w:after="0" w:line="240" w:lineRule="auto"/>
              <w:ind w:firstLineChars="100" w:firstLine="240"/>
              <w:jc w:val="center"/>
              <w:rPr>
                <w:rFonts w:ascii="Times New Roman" w:eastAsia="Times New Roman" w:hAnsi="Times New Roman" w:cs="Times New Roman"/>
                <w:color w:val="1A1C1E"/>
                <w:kern w:val="0"/>
                <w:szCs w:val="24"/>
                <w:lang w:eastAsia="en-IN"/>
                <w14:ligatures w14:val="none"/>
              </w:rPr>
            </w:pPr>
            <w:r w:rsidRPr="008E2A3E">
              <w:rPr>
                <w:rFonts w:ascii="Times New Roman" w:eastAsia="Times New Roman" w:hAnsi="Times New Roman" w:cs="Times New Roman"/>
                <w:color w:val="1A1C1E"/>
                <w:kern w:val="0"/>
                <w:szCs w:val="24"/>
                <w:lang w:eastAsia="en-IN"/>
                <w14:ligatures w14:val="none"/>
              </w:rPr>
              <w:t>0.06</w:t>
            </w:r>
          </w:p>
        </w:tc>
        <w:tc>
          <w:tcPr>
            <w:tcW w:w="1116" w:type="dxa"/>
            <w:tcBorders>
              <w:top w:val="nil"/>
              <w:left w:val="nil"/>
              <w:bottom w:val="single" w:sz="4" w:space="0" w:color="auto"/>
              <w:right w:val="single" w:sz="4" w:space="0" w:color="auto"/>
            </w:tcBorders>
            <w:shd w:val="clear" w:color="000000" w:fill="FFFFFF"/>
            <w:vAlign w:val="center"/>
            <w:hideMark/>
          </w:tcPr>
          <w:p w14:paraId="2C3AD97E" w14:textId="77777777" w:rsidR="0064049F" w:rsidRPr="008E2A3E" w:rsidRDefault="0064049F" w:rsidP="008E2A3E">
            <w:pPr>
              <w:spacing w:after="0" w:line="240" w:lineRule="auto"/>
              <w:ind w:firstLineChars="100" w:firstLine="240"/>
              <w:jc w:val="center"/>
              <w:rPr>
                <w:rFonts w:ascii="Times New Roman" w:eastAsia="Times New Roman" w:hAnsi="Times New Roman" w:cs="Times New Roman"/>
                <w:color w:val="1A1C1E"/>
                <w:kern w:val="0"/>
                <w:szCs w:val="24"/>
                <w:lang w:eastAsia="en-IN"/>
                <w14:ligatures w14:val="none"/>
              </w:rPr>
            </w:pPr>
            <w:r w:rsidRPr="008E2A3E">
              <w:rPr>
                <w:rFonts w:ascii="Times New Roman" w:eastAsia="Times New Roman" w:hAnsi="Times New Roman" w:cs="Times New Roman"/>
                <w:color w:val="1A1C1E"/>
                <w:kern w:val="0"/>
                <w:szCs w:val="24"/>
                <w:lang w:eastAsia="en-IN"/>
                <w14:ligatures w14:val="none"/>
              </w:rPr>
              <w:t>14.98</w:t>
            </w:r>
          </w:p>
        </w:tc>
      </w:tr>
      <w:tr w:rsidR="0064049F" w:rsidRPr="008E2A3E" w14:paraId="30FBDB81" w14:textId="77777777" w:rsidTr="008E2A3E">
        <w:trPr>
          <w:trHeight w:val="273"/>
        </w:trPr>
        <w:tc>
          <w:tcPr>
            <w:tcW w:w="1977" w:type="dxa"/>
            <w:tcBorders>
              <w:top w:val="nil"/>
              <w:left w:val="single" w:sz="4" w:space="0" w:color="auto"/>
              <w:bottom w:val="single" w:sz="4" w:space="0" w:color="auto"/>
              <w:right w:val="single" w:sz="4" w:space="0" w:color="auto"/>
            </w:tcBorders>
            <w:shd w:val="clear" w:color="000000" w:fill="FFFFFF"/>
            <w:vAlign w:val="center"/>
            <w:hideMark/>
          </w:tcPr>
          <w:p w14:paraId="3A4D5CF5" w14:textId="77777777" w:rsidR="0064049F" w:rsidRPr="008E2A3E" w:rsidRDefault="0064049F" w:rsidP="0064049F">
            <w:pPr>
              <w:spacing w:after="0" w:line="240" w:lineRule="auto"/>
              <w:ind w:firstLineChars="100" w:firstLine="240"/>
              <w:rPr>
                <w:rFonts w:ascii="Times New Roman" w:eastAsia="Times New Roman" w:hAnsi="Times New Roman" w:cs="Times New Roman"/>
                <w:color w:val="1A1C1E"/>
                <w:kern w:val="0"/>
                <w:szCs w:val="24"/>
                <w:lang w:eastAsia="en-IN"/>
                <w14:ligatures w14:val="none"/>
              </w:rPr>
            </w:pPr>
            <w:r w:rsidRPr="008E2A3E">
              <w:rPr>
                <w:rFonts w:ascii="Times New Roman" w:eastAsia="Times New Roman" w:hAnsi="Times New Roman" w:cs="Times New Roman"/>
                <w:color w:val="1A1C1E"/>
                <w:kern w:val="0"/>
                <w:szCs w:val="24"/>
                <w:lang w:eastAsia="en-IN"/>
                <w14:ligatures w14:val="none"/>
              </w:rPr>
              <w:t>1967-68</w:t>
            </w:r>
          </w:p>
        </w:tc>
        <w:tc>
          <w:tcPr>
            <w:tcW w:w="1035" w:type="dxa"/>
            <w:tcBorders>
              <w:top w:val="nil"/>
              <w:left w:val="nil"/>
              <w:bottom w:val="single" w:sz="4" w:space="0" w:color="auto"/>
              <w:right w:val="single" w:sz="4" w:space="0" w:color="auto"/>
            </w:tcBorders>
            <w:shd w:val="clear" w:color="000000" w:fill="FFFFFF"/>
            <w:vAlign w:val="center"/>
            <w:hideMark/>
          </w:tcPr>
          <w:p w14:paraId="44F3E551" w14:textId="77777777" w:rsidR="0064049F" w:rsidRPr="008E2A3E" w:rsidRDefault="0064049F" w:rsidP="008E2A3E">
            <w:pPr>
              <w:spacing w:after="0" w:line="240" w:lineRule="auto"/>
              <w:ind w:firstLineChars="100" w:firstLine="240"/>
              <w:jc w:val="center"/>
              <w:rPr>
                <w:rFonts w:ascii="Times New Roman" w:eastAsia="Times New Roman" w:hAnsi="Times New Roman" w:cs="Times New Roman"/>
                <w:color w:val="1A1C1E"/>
                <w:kern w:val="0"/>
                <w:szCs w:val="24"/>
                <w:lang w:eastAsia="en-IN"/>
                <w14:ligatures w14:val="none"/>
              </w:rPr>
            </w:pPr>
            <w:r w:rsidRPr="008E2A3E">
              <w:rPr>
                <w:rFonts w:ascii="Times New Roman" w:eastAsia="Times New Roman" w:hAnsi="Times New Roman" w:cs="Times New Roman"/>
                <w:color w:val="1A1C1E"/>
                <w:kern w:val="0"/>
                <w:szCs w:val="24"/>
                <w:lang w:eastAsia="en-IN"/>
                <w14:ligatures w14:val="none"/>
              </w:rPr>
              <w:t>0.01</w:t>
            </w:r>
          </w:p>
        </w:tc>
        <w:tc>
          <w:tcPr>
            <w:tcW w:w="996" w:type="dxa"/>
            <w:tcBorders>
              <w:top w:val="nil"/>
              <w:left w:val="nil"/>
              <w:bottom w:val="single" w:sz="4" w:space="0" w:color="auto"/>
              <w:right w:val="single" w:sz="4" w:space="0" w:color="auto"/>
            </w:tcBorders>
            <w:shd w:val="clear" w:color="000000" w:fill="FFFFFF"/>
            <w:vAlign w:val="center"/>
            <w:hideMark/>
          </w:tcPr>
          <w:p w14:paraId="5BB124BF" w14:textId="77777777" w:rsidR="0064049F" w:rsidRPr="008E2A3E" w:rsidRDefault="0064049F" w:rsidP="008E2A3E">
            <w:pPr>
              <w:spacing w:after="0" w:line="240" w:lineRule="auto"/>
              <w:ind w:firstLineChars="100" w:firstLine="240"/>
              <w:jc w:val="center"/>
              <w:rPr>
                <w:rFonts w:ascii="Times New Roman" w:eastAsia="Times New Roman" w:hAnsi="Times New Roman" w:cs="Times New Roman"/>
                <w:color w:val="1A1C1E"/>
                <w:kern w:val="0"/>
                <w:szCs w:val="24"/>
                <w:lang w:eastAsia="en-IN"/>
                <w14:ligatures w14:val="none"/>
              </w:rPr>
            </w:pPr>
            <w:r w:rsidRPr="008E2A3E">
              <w:rPr>
                <w:rFonts w:ascii="Times New Roman" w:eastAsia="Times New Roman" w:hAnsi="Times New Roman" w:cs="Times New Roman"/>
                <w:color w:val="1A1C1E"/>
                <w:kern w:val="0"/>
                <w:szCs w:val="24"/>
                <w:lang w:eastAsia="en-IN"/>
                <w14:ligatures w14:val="none"/>
              </w:rPr>
              <w:t>0.09</w:t>
            </w:r>
          </w:p>
        </w:tc>
        <w:tc>
          <w:tcPr>
            <w:tcW w:w="1110" w:type="dxa"/>
            <w:tcBorders>
              <w:top w:val="nil"/>
              <w:left w:val="nil"/>
              <w:bottom w:val="single" w:sz="4" w:space="0" w:color="auto"/>
              <w:right w:val="single" w:sz="4" w:space="0" w:color="auto"/>
            </w:tcBorders>
            <w:shd w:val="clear" w:color="000000" w:fill="FFFFFF"/>
            <w:vAlign w:val="center"/>
            <w:hideMark/>
          </w:tcPr>
          <w:p w14:paraId="35DBA8CD" w14:textId="77777777" w:rsidR="0064049F" w:rsidRPr="008E2A3E" w:rsidRDefault="0064049F" w:rsidP="008E2A3E">
            <w:pPr>
              <w:spacing w:after="0" w:line="240" w:lineRule="auto"/>
              <w:ind w:firstLineChars="100" w:firstLine="240"/>
              <w:jc w:val="center"/>
              <w:rPr>
                <w:rFonts w:ascii="Times New Roman" w:eastAsia="Times New Roman" w:hAnsi="Times New Roman" w:cs="Times New Roman"/>
                <w:color w:val="1A1C1E"/>
                <w:kern w:val="0"/>
                <w:szCs w:val="24"/>
                <w:lang w:eastAsia="en-IN"/>
                <w14:ligatures w14:val="none"/>
              </w:rPr>
            </w:pPr>
            <w:r w:rsidRPr="008E2A3E">
              <w:rPr>
                <w:rFonts w:ascii="Times New Roman" w:eastAsia="Times New Roman" w:hAnsi="Times New Roman" w:cs="Times New Roman"/>
                <w:color w:val="1A1C1E"/>
                <w:kern w:val="0"/>
                <w:szCs w:val="24"/>
                <w:lang w:eastAsia="en-IN"/>
                <w14:ligatures w14:val="none"/>
              </w:rPr>
              <w:t>0.04</w:t>
            </w:r>
          </w:p>
        </w:tc>
        <w:tc>
          <w:tcPr>
            <w:tcW w:w="1416" w:type="dxa"/>
            <w:tcBorders>
              <w:top w:val="nil"/>
              <w:left w:val="nil"/>
              <w:bottom w:val="single" w:sz="4" w:space="0" w:color="auto"/>
              <w:right w:val="single" w:sz="4" w:space="0" w:color="auto"/>
            </w:tcBorders>
            <w:shd w:val="clear" w:color="000000" w:fill="FFFFFF"/>
            <w:vAlign w:val="center"/>
            <w:hideMark/>
          </w:tcPr>
          <w:p w14:paraId="46E78C26" w14:textId="77777777" w:rsidR="0064049F" w:rsidRPr="008E2A3E" w:rsidRDefault="0064049F" w:rsidP="008E2A3E">
            <w:pPr>
              <w:spacing w:after="0" w:line="240" w:lineRule="auto"/>
              <w:ind w:firstLineChars="100" w:firstLine="240"/>
              <w:jc w:val="center"/>
              <w:rPr>
                <w:rFonts w:ascii="Times New Roman" w:eastAsia="Times New Roman" w:hAnsi="Times New Roman" w:cs="Times New Roman"/>
                <w:color w:val="1A1C1E"/>
                <w:kern w:val="0"/>
                <w:szCs w:val="24"/>
                <w:lang w:eastAsia="en-IN"/>
                <w14:ligatures w14:val="none"/>
              </w:rPr>
            </w:pPr>
            <w:r w:rsidRPr="008E2A3E">
              <w:rPr>
                <w:rFonts w:ascii="Times New Roman" w:eastAsia="Times New Roman" w:hAnsi="Times New Roman" w:cs="Times New Roman"/>
                <w:color w:val="1A1C1E"/>
                <w:kern w:val="0"/>
                <w:szCs w:val="24"/>
                <w:lang w:eastAsia="en-IN"/>
                <w14:ligatures w14:val="none"/>
              </w:rPr>
              <w:t>Neg.</w:t>
            </w:r>
          </w:p>
        </w:tc>
        <w:tc>
          <w:tcPr>
            <w:tcW w:w="1071" w:type="dxa"/>
            <w:tcBorders>
              <w:top w:val="nil"/>
              <w:left w:val="nil"/>
              <w:bottom w:val="single" w:sz="4" w:space="0" w:color="auto"/>
              <w:right w:val="single" w:sz="4" w:space="0" w:color="auto"/>
            </w:tcBorders>
            <w:shd w:val="clear" w:color="000000" w:fill="FFFFFF"/>
            <w:vAlign w:val="center"/>
            <w:hideMark/>
          </w:tcPr>
          <w:p w14:paraId="3BF8792D" w14:textId="77777777" w:rsidR="0064049F" w:rsidRPr="008E2A3E" w:rsidRDefault="0064049F" w:rsidP="008E2A3E">
            <w:pPr>
              <w:spacing w:after="0" w:line="240" w:lineRule="auto"/>
              <w:ind w:firstLineChars="100" w:firstLine="240"/>
              <w:jc w:val="center"/>
              <w:rPr>
                <w:rFonts w:ascii="Times New Roman" w:eastAsia="Times New Roman" w:hAnsi="Times New Roman" w:cs="Times New Roman"/>
                <w:color w:val="1A1C1E"/>
                <w:kern w:val="0"/>
                <w:szCs w:val="24"/>
                <w:lang w:eastAsia="en-IN"/>
                <w14:ligatures w14:val="none"/>
              </w:rPr>
            </w:pPr>
            <w:r w:rsidRPr="008E2A3E">
              <w:rPr>
                <w:rFonts w:ascii="Times New Roman" w:eastAsia="Times New Roman" w:hAnsi="Times New Roman" w:cs="Times New Roman"/>
                <w:color w:val="1A1C1E"/>
                <w:kern w:val="0"/>
                <w:szCs w:val="24"/>
                <w:lang w:eastAsia="en-IN"/>
                <w14:ligatures w14:val="none"/>
              </w:rPr>
              <w:t>0.02</w:t>
            </w:r>
          </w:p>
        </w:tc>
        <w:tc>
          <w:tcPr>
            <w:tcW w:w="1511" w:type="dxa"/>
            <w:tcBorders>
              <w:top w:val="nil"/>
              <w:left w:val="nil"/>
              <w:bottom w:val="single" w:sz="4" w:space="0" w:color="auto"/>
              <w:right w:val="single" w:sz="4" w:space="0" w:color="auto"/>
            </w:tcBorders>
            <w:shd w:val="clear" w:color="000000" w:fill="FFFFFF"/>
            <w:vAlign w:val="center"/>
            <w:hideMark/>
          </w:tcPr>
          <w:p w14:paraId="464D985A" w14:textId="77777777" w:rsidR="0064049F" w:rsidRPr="008E2A3E" w:rsidRDefault="0064049F" w:rsidP="008E2A3E">
            <w:pPr>
              <w:spacing w:after="0" w:line="240" w:lineRule="auto"/>
              <w:ind w:firstLineChars="100" w:firstLine="240"/>
              <w:jc w:val="center"/>
              <w:rPr>
                <w:rFonts w:ascii="Times New Roman" w:eastAsia="Times New Roman" w:hAnsi="Times New Roman" w:cs="Times New Roman"/>
                <w:color w:val="1A1C1E"/>
                <w:kern w:val="0"/>
                <w:szCs w:val="24"/>
                <w:lang w:eastAsia="en-IN"/>
                <w14:ligatures w14:val="none"/>
              </w:rPr>
            </w:pPr>
            <w:r w:rsidRPr="008E2A3E">
              <w:rPr>
                <w:rFonts w:ascii="Times New Roman" w:eastAsia="Times New Roman" w:hAnsi="Times New Roman" w:cs="Times New Roman"/>
                <w:color w:val="1A1C1E"/>
                <w:kern w:val="0"/>
                <w:szCs w:val="24"/>
                <w:lang w:eastAsia="en-IN"/>
                <w14:ligatures w14:val="none"/>
              </w:rPr>
              <w:t>0.02</w:t>
            </w:r>
          </w:p>
        </w:tc>
        <w:tc>
          <w:tcPr>
            <w:tcW w:w="1284" w:type="dxa"/>
            <w:tcBorders>
              <w:top w:val="nil"/>
              <w:left w:val="nil"/>
              <w:bottom w:val="single" w:sz="4" w:space="0" w:color="auto"/>
              <w:right w:val="single" w:sz="4" w:space="0" w:color="auto"/>
            </w:tcBorders>
            <w:shd w:val="clear" w:color="000000" w:fill="FFFFFF"/>
            <w:vAlign w:val="center"/>
            <w:hideMark/>
          </w:tcPr>
          <w:p w14:paraId="29DA88D7" w14:textId="77777777" w:rsidR="0064049F" w:rsidRPr="008E2A3E" w:rsidRDefault="0064049F" w:rsidP="008E2A3E">
            <w:pPr>
              <w:spacing w:after="0" w:line="240" w:lineRule="auto"/>
              <w:ind w:firstLineChars="100" w:firstLine="240"/>
              <w:jc w:val="center"/>
              <w:rPr>
                <w:rFonts w:ascii="Times New Roman" w:eastAsia="Times New Roman" w:hAnsi="Times New Roman" w:cs="Times New Roman"/>
                <w:color w:val="1A1C1E"/>
                <w:kern w:val="0"/>
                <w:szCs w:val="24"/>
                <w:lang w:eastAsia="en-IN"/>
                <w14:ligatures w14:val="none"/>
              </w:rPr>
            </w:pPr>
            <w:r w:rsidRPr="008E2A3E">
              <w:rPr>
                <w:rFonts w:ascii="Times New Roman" w:eastAsia="Times New Roman" w:hAnsi="Times New Roman" w:cs="Times New Roman"/>
                <w:color w:val="1A1C1E"/>
                <w:kern w:val="0"/>
                <w:szCs w:val="24"/>
                <w:lang w:eastAsia="en-IN"/>
                <w14:ligatures w14:val="none"/>
              </w:rPr>
              <w:t>Neg.</w:t>
            </w:r>
          </w:p>
        </w:tc>
        <w:tc>
          <w:tcPr>
            <w:tcW w:w="2004" w:type="dxa"/>
            <w:tcBorders>
              <w:top w:val="nil"/>
              <w:left w:val="nil"/>
              <w:bottom w:val="single" w:sz="4" w:space="0" w:color="auto"/>
              <w:right w:val="single" w:sz="4" w:space="0" w:color="auto"/>
            </w:tcBorders>
            <w:shd w:val="clear" w:color="000000" w:fill="FFFFFF"/>
            <w:vAlign w:val="center"/>
            <w:hideMark/>
          </w:tcPr>
          <w:p w14:paraId="3FC07945" w14:textId="78215A99" w:rsidR="0064049F" w:rsidRPr="008E2A3E" w:rsidRDefault="0064049F" w:rsidP="008E2A3E">
            <w:pPr>
              <w:spacing w:after="0" w:line="240" w:lineRule="auto"/>
              <w:ind w:firstLineChars="100" w:firstLine="240"/>
              <w:jc w:val="center"/>
              <w:rPr>
                <w:rFonts w:ascii="Times New Roman" w:eastAsia="Times New Roman" w:hAnsi="Times New Roman" w:cs="Times New Roman"/>
                <w:color w:val="1A1C1E"/>
                <w:kern w:val="0"/>
                <w:szCs w:val="24"/>
                <w:lang w:eastAsia="en-IN"/>
                <w14:ligatures w14:val="none"/>
              </w:rPr>
            </w:pPr>
            <w:r w:rsidRPr="008E2A3E">
              <w:rPr>
                <w:rFonts w:ascii="Times New Roman" w:eastAsia="Times New Roman" w:hAnsi="Times New Roman" w:cs="Times New Roman"/>
                <w:color w:val="1A1C1E"/>
                <w:kern w:val="0"/>
                <w:szCs w:val="24"/>
                <w:lang w:eastAsia="en-IN"/>
                <w14:ligatures w14:val="none"/>
              </w:rPr>
              <w:t>0.02</w:t>
            </w:r>
          </w:p>
        </w:tc>
        <w:tc>
          <w:tcPr>
            <w:tcW w:w="1207" w:type="dxa"/>
            <w:tcBorders>
              <w:top w:val="nil"/>
              <w:left w:val="nil"/>
              <w:bottom w:val="single" w:sz="4" w:space="0" w:color="auto"/>
              <w:right w:val="single" w:sz="4" w:space="0" w:color="auto"/>
            </w:tcBorders>
            <w:shd w:val="clear" w:color="000000" w:fill="FFFFFF"/>
            <w:vAlign w:val="center"/>
            <w:hideMark/>
          </w:tcPr>
          <w:p w14:paraId="55F92BC0" w14:textId="77777777" w:rsidR="0064049F" w:rsidRPr="008E2A3E" w:rsidRDefault="0064049F" w:rsidP="008E2A3E">
            <w:pPr>
              <w:spacing w:after="0" w:line="240" w:lineRule="auto"/>
              <w:ind w:firstLineChars="100" w:firstLine="240"/>
              <w:jc w:val="center"/>
              <w:rPr>
                <w:rFonts w:ascii="Times New Roman" w:eastAsia="Times New Roman" w:hAnsi="Times New Roman" w:cs="Times New Roman"/>
                <w:color w:val="1A1C1E"/>
                <w:kern w:val="0"/>
                <w:szCs w:val="24"/>
                <w:lang w:eastAsia="en-IN"/>
                <w14:ligatures w14:val="none"/>
              </w:rPr>
            </w:pPr>
            <w:r w:rsidRPr="008E2A3E">
              <w:rPr>
                <w:rFonts w:ascii="Times New Roman" w:eastAsia="Times New Roman" w:hAnsi="Times New Roman" w:cs="Times New Roman"/>
                <w:color w:val="1A1C1E"/>
                <w:kern w:val="0"/>
                <w:szCs w:val="24"/>
                <w:lang w:eastAsia="en-IN"/>
                <w14:ligatures w14:val="none"/>
              </w:rPr>
              <w:t>0.08</w:t>
            </w:r>
          </w:p>
        </w:tc>
        <w:tc>
          <w:tcPr>
            <w:tcW w:w="1116" w:type="dxa"/>
            <w:tcBorders>
              <w:top w:val="nil"/>
              <w:left w:val="nil"/>
              <w:bottom w:val="single" w:sz="4" w:space="0" w:color="auto"/>
              <w:right w:val="single" w:sz="4" w:space="0" w:color="auto"/>
            </w:tcBorders>
            <w:shd w:val="clear" w:color="000000" w:fill="FFFFFF"/>
            <w:vAlign w:val="center"/>
            <w:hideMark/>
          </w:tcPr>
          <w:p w14:paraId="53103CDD" w14:textId="77777777" w:rsidR="0064049F" w:rsidRPr="008E2A3E" w:rsidRDefault="0064049F" w:rsidP="008E2A3E">
            <w:pPr>
              <w:spacing w:after="0" w:line="240" w:lineRule="auto"/>
              <w:ind w:firstLineChars="100" w:firstLine="240"/>
              <w:jc w:val="center"/>
              <w:rPr>
                <w:rFonts w:ascii="Times New Roman" w:eastAsia="Times New Roman" w:hAnsi="Times New Roman" w:cs="Times New Roman"/>
                <w:color w:val="1A1C1E"/>
                <w:kern w:val="0"/>
                <w:szCs w:val="24"/>
                <w:lang w:eastAsia="en-IN"/>
                <w14:ligatures w14:val="none"/>
              </w:rPr>
            </w:pPr>
            <w:r w:rsidRPr="008E2A3E">
              <w:rPr>
                <w:rFonts w:ascii="Times New Roman" w:eastAsia="Times New Roman" w:hAnsi="Times New Roman" w:cs="Times New Roman"/>
                <w:color w:val="1A1C1E"/>
                <w:kern w:val="0"/>
                <w:szCs w:val="24"/>
                <w:lang w:eastAsia="en-IN"/>
                <w14:ligatures w14:val="none"/>
              </w:rPr>
              <w:t>17.07</w:t>
            </w:r>
          </w:p>
        </w:tc>
      </w:tr>
      <w:tr w:rsidR="0064049F" w:rsidRPr="008E2A3E" w14:paraId="16DBFD5B" w14:textId="77777777" w:rsidTr="008E2A3E">
        <w:trPr>
          <w:trHeight w:val="520"/>
        </w:trPr>
        <w:tc>
          <w:tcPr>
            <w:tcW w:w="1977" w:type="dxa"/>
            <w:tcBorders>
              <w:top w:val="nil"/>
              <w:left w:val="single" w:sz="4" w:space="0" w:color="auto"/>
              <w:bottom w:val="single" w:sz="4" w:space="0" w:color="auto"/>
              <w:right w:val="single" w:sz="4" w:space="0" w:color="auto"/>
            </w:tcBorders>
            <w:shd w:val="clear" w:color="000000" w:fill="FFFFFF"/>
            <w:vAlign w:val="center"/>
            <w:hideMark/>
          </w:tcPr>
          <w:p w14:paraId="4920A8F2" w14:textId="77777777" w:rsidR="0064049F" w:rsidRPr="008E2A3E" w:rsidRDefault="0064049F" w:rsidP="0064049F">
            <w:pPr>
              <w:spacing w:after="0" w:line="240" w:lineRule="auto"/>
              <w:ind w:firstLineChars="100" w:firstLine="240"/>
              <w:rPr>
                <w:rFonts w:ascii="Times New Roman" w:eastAsia="Times New Roman" w:hAnsi="Times New Roman" w:cs="Times New Roman"/>
                <w:color w:val="1A1C1E"/>
                <w:kern w:val="0"/>
                <w:szCs w:val="24"/>
                <w:lang w:eastAsia="en-IN"/>
                <w14:ligatures w14:val="none"/>
              </w:rPr>
            </w:pPr>
            <w:r w:rsidRPr="008E2A3E">
              <w:rPr>
                <w:rFonts w:ascii="Times New Roman" w:eastAsia="Times New Roman" w:hAnsi="Times New Roman" w:cs="Times New Roman"/>
                <w:color w:val="1A1C1E"/>
                <w:kern w:val="0"/>
                <w:szCs w:val="24"/>
                <w:lang w:eastAsia="en-IN"/>
                <w14:ligatures w14:val="none"/>
              </w:rPr>
              <w:t>1968-69 (RE)</w:t>
            </w:r>
          </w:p>
        </w:tc>
        <w:tc>
          <w:tcPr>
            <w:tcW w:w="1035" w:type="dxa"/>
            <w:tcBorders>
              <w:top w:val="nil"/>
              <w:left w:val="nil"/>
              <w:bottom w:val="single" w:sz="4" w:space="0" w:color="auto"/>
              <w:right w:val="single" w:sz="4" w:space="0" w:color="auto"/>
            </w:tcBorders>
            <w:shd w:val="clear" w:color="000000" w:fill="FFFFFF"/>
            <w:vAlign w:val="center"/>
            <w:hideMark/>
          </w:tcPr>
          <w:p w14:paraId="04FE37E4" w14:textId="77777777" w:rsidR="0064049F" w:rsidRPr="008E2A3E" w:rsidRDefault="0064049F" w:rsidP="008E2A3E">
            <w:pPr>
              <w:spacing w:after="0" w:line="240" w:lineRule="auto"/>
              <w:ind w:firstLineChars="100" w:firstLine="240"/>
              <w:jc w:val="center"/>
              <w:rPr>
                <w:rFonts w:ascii="Times New Roman" w:eastAsia="Times New Roman" w:hAnsi="Times New Roman" w:cs="Times New Roman"/>
                <w:color w:val="1A1C1E"/>
                <w:kern w:val="0"/>
                <w:szCs w:val="24"/>
                <w:lang w:eastAsia="en-IN"/>
                <w14:ligatures w14:val="none"/>
              </w:rPr>
            </w:pPr>
            <w:r w:rsidRPr="008E2A3E">
              <w:rPr>
                <w:rFonts w:ascii="Times New Roman" w:eastAsia="Times New Roman" w:hAnsi="Times New Roman" w:cs="Times New Roman"/>
                <w:color w:val="1A1C1E"/>
                <w:kern w:val="0"/>
                <w:szCs w:val="24"/>
                <w:lang w:eastAsia="en-IN"/>
                <w14:ligatures w14:val="none"/>
              </w:rPr>
              <w:t>0.01 (0.05)</w:t>
            </w:r>
          </w:p>
        </w:tc>
        <w:tc>
          <w:tcPr>
            <w:tcW w:w="996" w:type="dxa"/>
            <w:tcBorders>
              <w:top w:val="nil"/>
              <w:left w:val="nil"/>
              <w:bottom w:val="single" w:sz="4" w:space="0" w:color="auto"/>
              <w:right w:val="single" w:sz="4" w:space="0" w:color="auto"/>
            </w:tcBorders>
            <w:shd w:val="clear" w:color="000000" w:fill="FFFFFF"/>
            <w:vAlign w:val="center"/>
            <w:hideMark/>
          </w:tcPr>
          <w:p w14:paraId="27B2CF7D" w14:textId="77777777" w:rsidR="0064049F" w:rsidRPr="008E2A3E" w:rsidRDefault="0064049F" w:rsidP="008E2A3E">
            <w:pPr>
              <w:spacing w:after="0" w:line="240" w:lineRule="auto"/>
              <w:ind w:firstLineChars="100" w:firstLine="240"/>
              <w:jc w:val="center"/>
              <w:rPr>
                <w:rFonts w:ascii="Times New Roman" w:eastAsia="Times New Roman" w:hAnsi="Times New Roman" w:cs="Times New Roman"/>
                <w:color w:val="1A1C1E"/>
                <w:kern w:val="0"/>
                <w:szCs w:val="24"/>
                <w:lang w:eastAsia="en-IN"/>
                <w14:ligatures w14:val="none"/>
              </w:rPr>
            </w:pPr>
            <w:r w:rsidRPr="008E2A3E">
              <w:rPr>
                <w:rFonts w:ascii="Times New Roman" w:eastAsia="Times New Roman" w:hAnsi="Times New Roman" w:cs="Times New Roman"/>
                <w:color w:val="1A1C1E"/>
                <w:kern w:val="0"/>
                <w:szCs w:val="24"/>
                <w:lang w:eastAsia="en-IN"/>
                <w14:ligatures w14:val="none"/>
              </w:rPr>
              <w:t>0.03 (0.15)</w:t>
            </w:r>
          </w:p>
        </w:tc>
        <w:tc>
          <w:tcPr>
            <w:tcW w:w="1110" w:type="dxa"/>
            <w:tcBorders>
              <w:top w:val="nil"/>
              <w:left w:val="nil"/>
              <w:bottom w:val="single" w:sz="4" w:space="0" w:color="auto"/>
              <w:right w:val="single" w:sz="4" w:space="0" w:color="auto"/>
            </w:tcBorders>
            <w:shd w:val="clear" w:color="000000" w:fill="FFFFFF"/>
            <w:vAlign w:val="center"/>
            <w:hideMark/>
          </w:tcPr>
          <w:p w14:paraId="11CEC7F4" w14:textId="77777777" w:rsidR="0064049F" w:rsidRPr="008E2A3E" w:rsidRDefault="0064049F" w:rsidP="008E2A3E">
            <w:pPr>
              <w:spacing w:after="0" w:line="240" w:lineRule="auto"/>
              <w:ind w:firstLineChars="100" w:firstLine="240"/>
              <w:jc w:val="center"/>
              <w:rPr>
                <w:rFonts w:ascii="Times New Roman" w:eastAsia="Times New Roman" w:hAnsi="Times New Roman" w:cs="Times New Roman"/>
                <w:color w:val="1A1C1E"/>
                <w:kern w:val="0"/>
                <w:szCs w:val="24"/>
                <w:lang w:eastAsia="en-IN"/>
                <w14:ligatures w14:val="none"/>
              </w:rPr>
            </w:pPr>
            <w:r w:rsidRPr="008E2A3E">
              <w:rPr>
                <w:rFonts w:ascii="Times New Roman" w:eastAsia="Times New Roman" w:hAnsi="Times New Roman" w:cs="Times New Roman"/>
                <w:color w:val="1A1C1E"/>
                <w:kern w:val="0"/>
                <w:szCs w:val="24"/>
                <w:lang w:eastAsia="en-IN"/>
                <w14:ligatures w14:val="none"/>
              </w:rPr>
              <w:t>0.06 (0.31)</w:t>
            </w:r>
          </w:p>
        </w:tc>
        <w:tc>
          <w:tcPr>
            <w:tcW w:w="1416" w:type="dxa"/>
            <w:tcBorders>
              <w:top w:val="nil"/>
              <w:left w:val="nil"/>
              <w:bottom w:val="single" w:sz="4" w:space="0" w:color="auto"/>
              <w:right w:val="single" w:sz="4" w:space="0" w:color="auto"/>
            </w:tcBorders>
            <w:shd w:val="clear" w:color="000000" w:fill="FFFFFF"/>
            <w:vAlign w:val="center"/>
            <w:hideMark/>
          </w:tcPr>
          <w:p w14:paraId="44D99170" w14:textId="77777777" w:rsidR="0064049F" w:rsidRPr="008E2A3E" w:rsidRDefault="0064049F" w:rsidP="008E2A3E">
            <w:pPr>
              <w:spacing w:after="0" w:line="240" w:lineRule="auto"/>
              <w:ind w:firstLineChars="100" w:firstLine="240"/>
              <w:jc w:val="center"/>
              <w:rPr>
                <w:rFonts w:ascii="Times New Roman" w:eastAsia="Times New Roman" w:hAnsi="Times New Roman" w:cs="Times New Roman"/>
                <w:color w:val="1A1C1E"/>
                <w:kern w:val="0"/>
                <w:szCs w:val="24"/>
                <w:lang w:eastAsia="en-IN"/>
                <w14:ligatures w14:val="none"/>
              </w:rPr>
            </w:pPr>
            <w:r w:rsidRPr="008E2A3E">
              <w:rPr>
                <w:rFonts w:ascii="Times New Roman" w:eastAsia="Times New Roman" w:hAnsi="Times New Roman" w:cs="Times New Roman"/>
                <w:color w:val="1A1C1E"/>
                <w:kern w:val="0"/>
                <w:szCs w:val="24"/>
                <w:lang w:eastAsia="en-IN"/>
                <w14:ligatures w14:val="none"/>
              </w:rPr>
              <w:t>0.01 (0.05)</w:t>
            </w:r>
          </w:p>
        </w:tc>
        <w:tc>
          <w:tcPr>
            <w:tcW w:w="1071" w:type="dxa"/>
            <w:tcBorders>
              <w:top w:val="nil"/>
              <w:left w:val="nil"/>
              <w:bottom w:val="single" w:sz="4" w:space="0" w:color="auto"/>
              <w:right w:val="single" w:sz="4" w:space="0" w:color="auto"/>
            </w:tcBorders>
            <w:shd w:val="clear" w:color="000000" w:fill="FFFFFF"/>
            <w:vAlign w:val="center"/>
            <w:hideMark/>
          </w:tcPr>
          <w:p w14:paraId="69AD5F8F" w14:textId="77777777" w:rsidR="0064049F" w:rsidRPr="008E2A3E" w:rsidRDefault="0064049F" w:rsidP="008E2A3E">
            <w:pPr>
              <w:spacing w:after="0" w:line="240" w:lineRule="auto"/>
              <w:ind w:firstLineChars="100" w:firstLine="240"/>
              <w:jc w:val="center"/>
              <w:rPr>
                <w:rFonts w:ascii="Times New Roman" w:eastAsia="Times New Roman" w:hAnsi="Times New Roman" w:cs="Times New Roman"/>
                <w:color w:val="1A1C1E"/>
                <w:kern w:val="0"/>
                <w:szCs w:val="24"/>
                <w:lang w:eastAsia="en-IN"/>
                <w14:ligatures w14:val="none"/>
              </w:rPr>
            </w:pPr>
            <w:r w:rsidRPr="008E2A3E">
              <w:rPr>
                <w:rFonts w:ascii="Times New Roman" w:eastAsia="Times New Roman" w:hAnsi="Times New Roman" w:cs="Times New Roman"/>
                <w:color w:val="1A1C1E"/>
                <w:kern w:val="0"/>
                <w:szCs w:val="24"/>
                <w:lang w:eastAsia="en-IN"/>
                <w14:ligatures w14:val="none"/>
              </w:rPr>
              <w:t>0.02 (0.10)</w:t>
            </w:r>
          </w:p>
        </w:tc>
        <w:tc>
          <w:tcPr>
            <w:tcW w:w="1511" w:type="dxa"/>
            <w:tcBorders>
              <w:top w:val="nil"/>
              <w:left w:val="nil"/>
              <w:bottom w:val="single" w:sz="4" w:space="0" w:color="auto"/>
              <w:right w:val="single" w:sz="4" w:space="0" w:color="auto"/>
            </w:tcBorders>
            <w:shd w:val="clear" w:color="000000" w:fill="FFFFFF"/>
            <w:vAlign w:val="center"/>
            <w:hideMark/>
          </w:tcPr>
          <w:p w14:paraId="3B37E40A" w14:textId="77777777" w:rsidR="0064049F" w:rsidRPr="008E2A3E" w:rsidRDefault="0064049F" w:rsidP="008E2A3E">
            <w:pPr>
              <w:spacing w:after="0" w:line="240" w:lineRule="auto"/>
              <w:ind w:firstLineChars="100" w:firstLine="240"/>
              <w:jc w:val="center"/>
              <w:rPr>
                <w:rFonts w:ascii="Times New Roman" w:eastAsia="Times New Roman" w:hAnsi="Times New Roman" w:cs="Times New Roman"/>
                <w:color w:val="1A1C1E"/>
                <w:kern w:val="0"/>
                <w:szCs w:val="24"/>
                <w:lang w:eastAsia="en-IN"/>
                <w14:ligatures w14:val="none"/>
              </w:rPr>
            </w:pPr>
            <w:r w:rsidRPr="008E2A3E">
              <w:rPr>
                <w:rFonts w:ascii="Times New Roman" w:eastAsia="Times New Roman" w:hAnsi="Times New Roman" w:cs="Times New Roman"/>
                <w:color w:val="1A1C1E"/>
                <w:kern w:val="0"/>
                <w:szCs w:val="24"/>
                <w:lang w:eastAsia="en-IN"/>
                <w14:ligatures w14:val="none"/>
              </w:rPr>
              <w:t>0.02 (0.10)</w:t>
            </w:r>
          </w:p>
        </w:tc>
        <w:tc>
          <w:tcPr>
            <w:tcW w:w="1284" w:type="dxa"/>
            <w:tcBorders>
              <w:top w:val="nil"/>
              <w:left w:val="nil"/>
              <w:bottom w:val="single" w:sz="4" w:space="0" w:color="auto"/>
              <w:right w:val="single" w:sz="4" w:space="0" w:color="auto"/>
            </w:tcBorders>
            <w:shd w:val="clear" w:color="000000" w:fill="FFFFFF"/>
            <w:vAlign w:val="center"/>
            <w:hideMark/>
          </w:tcPr>
          <w:p w14:paraId="6A342D78" w14:textId="77777777" w:rsidR="0064049F" w:rsidRPr="008E2A3E" w:rsidRDefault="0064049F" w:rsidP="008E2A3E">
            <w:pPr>
              <w:spacing w:after="0" w:line="240" w:lineRule="auto"/>
              <w:ind w:firstLineChars="100" w:firstLine="240"/>
              <w:jc w:val="center"/>
              <w:rPr>
                <w:rFonts w:ascii="Times New Roman" w:eastAsia="Times New Roman" w:hAnsi="Times New Roman" w:cs="Times New Roman"/>
                <w:color w:val="1A1C1E"/>
                <w:kern w:val="0"/>
                <w:szCs w:val="24"/>
                <w:lang w:eastAsia="en-IN"/>
                <w14:ligatures w14:val="none"/>
              </w:rPr>
            </w:pPr>
            <w:r w:rsidRPr="008E2A3E">
              <w:rPr>
                <w:rFonts w:ascii="Times New Roman" w:eastAsia="Times New Roman" w:hAnsi="Times New Roman" w:cs="Times New Roman"/>
                <w:color w:val="1A1C1E"/>
                <w:kern w:val="0"/>
                <w:szCs w:val="24"/>
                <w:lang w:eastAsia="en-IN"/>
                <w14:ligatures w14:val="none"/>
              </w:rPr>
              <w:t>Neg. (-)</w:t>
            </w:r>
          </w:p>
        </w:tc>
        <w:tc>
          <w:tcPr>
            <w:tcW w:w="2004" w:type="dxa"/>
            <w:tcBorders>
              <w:top w:val="nil"/>
              <w:left w:val="nil"/>
              <w:bottom w:val="single" w:sz="4" w:space="0" w:color="auto"/>
              <w:right w:val="single" w:sz="4" w:space="0" w:color="auto"/>
            </w:tcBorders>
            <w:shd w:val="clear" w:color="000000" w:fill="FFFFFF"/>
            <w:vAlign w:val="center"/>
            <w:hideMark/>
          </w:tcPr>
          <w:p w14:paraId="6EC14CA0" w14:textId="77777777" w:rsidR="0064049F" w:rsidRPr="008E2A3E" w:rsidRDefault="0064049F" w:rsidP="008E2A3E">
            <w:pPr>
              <w:spacing w:after="0" w:line="240" w:lineRule="auto"/>
              <w:ind w:firstLineChars="100" w:firstLine="240"/>
              <w:jc w:val="center"/>
              <w:rPr>
                <w:rFonts w:ascii="Times New Roman" w:eastAsia="Times New Roman" w:hAnsi="Times New Roman" w:cs="Times New Roman"/>
                <w:color w:val="1A1C1E"/>
                <w:kern w:val="0"/>
                <w:szCs w:val="24"/>
                <w:lang w:eastAsia="en-IN"/>
                <w14:ligatures w14:val="none"/>
              </w:rPr>
            </w:pPr>
            <w:r w:rsidRPr="008E2A3E">
              <w:rPr>
                <w:rFonts w:ascii="Times New Roman" w:eastAsia="Times New Roman" w:hAnsi="Times New Roman" w:cs="Times New Roman"/>
                <w:color w:val="1A1C1E"/>
                <w:kern w:val="0"/>
                <w:szCs w:val="24"/>
                <w:lang w:eastAsia="en-IN"/>
                <w14:ligatures w14:val="none"/>
              </w:rPr>
              <w:t>0.05 (0.26)</w:t>
            </w:r>
          </w:p>
        </w:tc>
        <w:tc>
          <w:tcPr>
            <w:tcW w:w="1207" w:type="dxa"/>
            <w:tcBorders>
              <w:top w:val="nil"/>
              <w:left w:val="nil"/>
              <w:bottom w:val="single" w:sz="4" w:space="0" w:color="auto"/>
              <w:right w:val="single" w:sz="4" w:space="0" w:color="auto"/>
            </w:tcBorders>
            <w:shd w:val="clear" w:color="000000" w:fill="FFFFFF"/>
            <w:vAlign w:val="center"/>
            <w:hideMark/>
          </w:tcPr>
          <w:p w14:paraId="08A595E2" w14:textId="77777777" w:rsidR="0064049F" w:rsidRPr="008E2A3E" w:rsidRDefault="0064049F" w:rsidP="008E2A3E">
            <w:pPr>
              <w:spacing w:after="0" w:line="240" w:lineRule="auto"/>
              <w:ind w:firstLineChars="100" w:firstLine="240"/>
              <w:jc w:val="center"/>
              <w:rPr>
                <w:rFonts w:ascii="Times New Roman" w:eastAsia="Times New Roman" w:hAnsi="Times New Roman" w:cs="Times New Roman"/>
                <w:color w:val="1A1C1E"/>
                <w:kern w:val="0"/>
                <w:szCs w:val="24"/>
                <w:lang w:eastAsia="en-IN"/>
                <w14:ligatures w14:val="none"/>
              </w:rPr>
            </w:pPr>
            <w:r w:rsidRPr="008E2A3E">
              <w:rPr>
                <w:rFonts w:ascii="Times New Roman" w:eastAsia="Times New Roman" w:hAnsi="Times New Roman" w:cs="Times New Roman"/>
                <w:color w:val="1A1C1E"/>
                <w:kern w:val="0"/>
                <w:szCs w:val="24"/>
                <w:lang w:eastAsia="en-IN"/>
                <w14:ligatures w14:val="none"/>
              </w:rPr>
              <w:t>0.10 (0.51)</w:t>
            </w:r>
          </w:p>
        </w:tc>
        <w:tc>
          <w:tcPr>
            <w:tcW w:w="1116" w:type="dxa"/>
            <w:tcBorders>
              <w:top w:val="nil"/>
              <w:left w:val="nil"/>
              <w:bottom w:val="single" w:sz="4" w:space="0" w:color="auto"/>
              <w:right w:val="single" w:sz="4" w:space="0" w:color="auto"/>
            </w:tcBorders>
            <w:shd w:val="clear" w:color="000000" w:fill="FFFFFF"/>
            <w:vAlign w:val="center"/>
            <w:hideMark/>
          </w:tcPr>
          <w:p w14:paraId="5373A70A" w14:textId="77777777" w:rsidR="0064049F" w:rsidRPr="008E2A3E" w:rsidRDefault="0064049F" w:rsidP="008E2A3E">
            <w:pPr>
              <w:spacing w:after="0" w:line="240" w:lineRule="auto"/>
              <w:ind w:firstLineChars="100" w:firstLine="240"/>
              <w:jc w:val="center"/>
              <w:rPr>
                <w:rFonts w:ascii="Times New Roman" w:eastAsia="Times New Roman" w:hAnsi="Times New Roman" w:cs="Times New Roman"/>
                <w:color w:val="1A1C1E"/>
                <w:kern w:val="0"/>
                <w:szCs w:val="24"/>
                <w:lang w:eastAsia="en-IN"/>
                <w14:ligatures w14:val="none"/>
              </w:rPr>
            </w:pPr>
            <w:r w:rsidRPr="008E2A3E">
              <w:rPr>
                <w:rFonts w:ascii="Times New Roman" w:eastAsia="Times New Roman" w:hAnsi="Times New Roman" w:cs="Times New Roman"/>
                <w:color w:val="1A1C1E"/>
                <w:kern w:val="0"/>
                <w:szCs w:val="24"/>
                <w:lang w:eastAsia="en-IN"/>
                <w14:ligatures w14:val="none"/>
              </w:rPr>
              <w:t>19.61 (100.00)</w:t>
            </w:r>
          </w:p>
        </w:tc>
      </w:tr>
      <w:tr w:rsidR="008E2A3E" w:rsidRPr="008E2A3E" w14:paraId="6DF12C26" w14:textId="77777777" w:rsidTr="00B77C0B">
        <w:trPr>
          <w:trHeight w:val="273"/>
        </w:trPr>
        <w:tc>
          <w:tcPr>
            <w:tcW w:w="14727" w:type="dxa"/>
            <w:gridSpan w:val="11"/>
            <w:tcBorders>
              <w:top w:val="nil"/>
              <w:left w:val="single" w:sz="4" w:space="0" w:color="auto"/>
              <w:bottom w:val="single" w:sz="4" w:space="0" w:color="auto"/>
              <w:right w:val="single" w:sz="4" w:space="0" w:color="auto"/>
            </w:tcBorders>
            <w:shd w:val="clear" w:color="000000" w:fill="FFFFFF"/>
            <w:vAlign w:val="center"/>
            <w:hideMark/>
          </w:tcPr>
          <w:p w14:paraId="0EEE7AFE" w14:textId="5EF5C10F" w:rsidR="008E2A3E" w:rsidRPr="008E2A3E" w:rsidRDefault="008E2A3E" w:rsidP="008E2A3E">
            <w:pPr>
              <w:spacing w:after="0" w:line="240" w:lineRule="auto"/>
              <w:ind w:firstLineChars="100" w:firstLine="241"/>
              <w:jc w:val="center"/>
              <w:rPr>
                <w:rFonts w:ascii="Times New Roman" w:eastAsia="Times New Roman" w:hAnsi="Times New Roman" w:cs="Times New Roman"/>
                <w:color w:val="1A1C1E"/>
                <w:kern w:val="0"/>
                <w:szCs w:val="24"/>
                <w:lang w:eastAsia="en-IN"/>
                <w14:ligatures w14:val="none"/>
              </w:rPr>
            </w:pPr>
            <w:r w:rsidRPr="008E2A3E">
              <w:rPr>
                <w:rFonts w:ascii="Times New Roman" w:eastAsia="Times New Roman" w:hAnsi="Times New Roman" w:cs="Times New Roman"/>
                <w:b/>
                <w:bCs/>
                <w:color w:val="1A1C1E"/>
                <w:kern w:val="0"/>
                <w:szCs w:val="24"/>
                <w:lang w:eastAsia="en-IN"/>
                <w14:ligatures w14:val="none"/>
              </w:rPr>
              <w:t>Orissa</w:t>
            </w:r>
          </w:p>
        </w:tc>
      </w:tr>
      <w:tr w:rsidR="0064049F" w:rsidRPr="008E2A3E" w14:paraId="7A6EBA82" w14:textId="77777777" w:rsidTr="008E2A3E">
        <w:trPr>
          <w:trHeight w:val="520"/>
        </w:trPr>
        <w:tc>
          <w:tcPr>
            <w:tcW w:w="1977" w:type="dxa"/>
            <w:tcBorders>
              <w:top w:val="nil"/>
              <w:left w:val="single" w:sz="4" w:space="0" w:color="auto"/>
              <w:bottom w:val="single" w:sz="4" w:space="0" w:color="auto"/>
              <w:right w:val="single" w:sz="4" w:space="0" w:color="auto"/>
            </w:tcBorders>
            <w:shd w:val="clear" w:color="000000" w:fill="FFFFFF"/>
            <w:vAlign w:val="center"/>
            <w:hideMark/>
          </w:tcPr>
          <w:p w14:paraId="5837B1C1" w14:textId="77777777" w:rsidR="0064049F" w:rsidRPr="008E2A3E" w:rsidRDefault="0064049F" w:rsidP="0064049F">
            <w:pPr>
              <w:spacing w:after="0" w:line="240" w:lineRule="auto"/>
              <w:ind w:firstLineChars="100" w:firstLine="240"/>
              <w:rPr>
                <w:rFonts w:ascii="Times New Roman" w:eastAsia="Times New Roman" w:hAnsi="Times New Roman" w:cs="Times New Roman"/>
                <w:color w:val="1A1C1E"/>
                <w:kern w:val="0"/>
                <w:szCs w:val="24"/>
                <w:lang w:eastAsia="en-IN"/>
                <w14:ligatures w14:val="none"/>
              </w:rPr>
            </w:pPr>
            <w:r w:rsidRPr="008E2A3E">
              <w:rPr>
                <w:rFonts w:ascii="Times New Roman" w:eastAsia="Times New Roman" w:hAnsi="Times New Roman" w:cs="Times New Roman"/>
                <w:color w:val="1A1C1E"/>
                <w:kern w:val="0"/>
                <w:szCs w:val="24"/>
                <w:lang w:eastAsia="en-IN"/>
                <w14:ligatures w14:val="none"/>
              </w:rPr>
              <w:t>1961-62</w:t>
            </w:r>
          </w:p>
        </w:tc>
        <w:tc>
          <w:tcPr>
            <w:tcW w:w="1035" w:type="dxa"/>
            <w:tcBorders>
              <w:top w:val="nil"/>
              <w:left w:val="nil"/>
              <w:bottom w:val="single" w:sz="4" w:space="0" w:color="auto"/>
              <w:right w:val="single" w:sz="4" w:space="0" w:color="auto"/>
            </w:tcBorders>
            <w:shd w:val="clear" w:color="000000" w:fill="FFFFFF"/>
            <w:vAlign w:val="center"/>
            <w:hideMark/>
          </w:tcPr>
          <w:p w14:paraId="6BAB0E01" w14:textId="77777777" w:rsidR="0064049F" w:rsidRPr="008E2A3E" w:rsidRDefault="0064049F" w:rsidP="008E2A3E">
            <w:pPr>
              <w:spacing w:after="0" w:line="240" w:lineRule="auto"/>
              <w:ind w:firstLineChars="100" w:firstLine="240"/>
              <w:jc w:val="center"/>
              <w:rPr>
                <w:rFonts w:ascii="Times New Roman" w:eastAsia="Times New Roman" w:hAnsi="Times New Roman" w:cs="Times New Roman"/>
                <w:color w:val="1A1C1E"/>
                <w:kern w:val="0"/>
                <w:szCs w:val="24"/>
                <w:lang w:eastAsia="en-IN"/>
                <w14:ligatures w14:val="none"/>
              </w:rPr>
            </w:pPr>
            <w:r w:rsidRPr="008E2A3E">
              <w:rPr>
                <w:rFonts w:ascii="Times New Roman" w:eastAsia="Times New Roman" w:hAnsi="Times New Roman" w:cs="Times New Roman"/>
                <w:color w:val="1A1C1E"/>
                <w:kern w:val="0"/>
                <w:szCs w:val="24"/>
                <w:lang w:eastAsia="en-IN"/>
                <w14:ligatures w14:val="none"/>
              </w:rPr>
              <w:t>2.42 (5.25)</w:t>
            </w:r>
          </w:p>
        </w:tc>
        <w:tc>
          <w:tcPr>
            <w:tcW w:w="996" w:type="dxa"/>
            <w:tcBorders>
              <w:top w:val="nil"/>
              <w:left w:val="nil"/>
              <w:bottom w:val="single" w:sz="4" w:space="0" w:color="auto"/>
              <w:right w:val="single" w:sz="4" w:space="0" w:color="auto"/>
            </w:tcBorders>
            <w:shd w:val="clear" w:color="000000" w:fill="FFFFFF"/>
            <w:vAlign w:val="center"/>
            <w:hideMark/>
          </w:tcPr>
          <w:p w14:paraId="1C4534DA" w14:textId="77777777" w:rsidR="0064049F" w:rsidRPr="008E2A3E" w:rsidRDefault="0064049F" w:rsidP="008E2A3E">
            <w:pPr>
              <w:spacing w:after="0" w:line="240" w:lineRule="auto"/>
              <w:ind w:firstLineChars="100" w:firstLine="240"/>
              <w:jc w:val="center"/>
              <w:rPr>
                <w:rFonts w:ascii="Times New Roman" w:eastAsia="Times New Roman" w:hAnsi="Times New Roman" w:cs="Times New Roman"/>
                <w:color w:val="1A1C1E"/>
                <w:kern w:val="0"/>
                <w:szCs w:val="24"/>
                <w:lang w:eastAsia="en-IN"/>
                <w14:ligatures w14:val="none"/>
              </w:rPr>
            </w:pPr>
            <w:r w:rsidRPr="008E2A3E">
              <w:rPr>
                <w:rFonts w:ascii="Times New Roman" w:eastAsia="Times New Roman" w:hAnsi="Times New Roman" w:cs="Times New Roman"/>
                <w:color w:val="1A1C1E"/>
                <w:kern w:val="0"/>
                <w:szCs w:val="24"/>
                <w:lang w:eastAsia="en-IN"/>
                <w14:ligatures w14:val="none"/>
              </w:rPr>
              <w:t>4.02 (8.71)</w:t>
            </w:r>
          </w:p>
        </w:tc>
        <w:tc>
          <w:tcPr>
            <w:tcW w:w="1110" w:type="dxa"/>
            <w:tcBorders>
              <w:top w:val="nil"/>
              <w:left w:val="nil"/>
              <w:bottom w:val="single" w:sz="4" w:space="0" w:color="auto"/>
              <w:right w:val="single" w:sz="4" w:space="0" w:color="auto"/>
            </w:tcBorders>
            <w:shd w:val="clear" w:color="000000" w:fill="FFFFFF"/>
            <w:vAlign w:val="center"/>
            <w:hideMark/>
          </w:tcPr>
          <w:p w14:paraId="260945AC" w14:textId="77777777" w:rsidR="0064049F" w:rsidRPr="008E2A3E" w:rsidRDefault="0064049F" w:rsidP="008E2A3E">
            <w:pPr>
              <w:spacing w:after="0" w:line="240" w:lineRule="auto"/>
              <w:ind w:firstLineChars="100" w:firstLine="240"/>
              <w:jc w:val="center"/>
              <w:rPr>
                <w:rFonts w:ascii="Times New Roman" w:eastAsia="Times New Roman" w:hAnsi="Times New Roman" w:cs="Times New Roman"/>
                <w:color w:val="1A1C1E"/>
                <w:kern w:val="0"/>
                <w:szCs w:val="24"/>
                <w:lang w:eastAsia="en-IN"/>
                <w14:ligatures w14:val="none"/>
              </w:rPr>
            </w:pPr>
            <w:r w:rsidRPr="008E2A3E">
              <w:rPr>
                <w:rFonts w:ascii="Times New Roman" w:eastAsia="Times New Roman" w:hAnsi="Times New Roman" w:cs="Times New Roman"/>
                <w:color w:val="1A1C1E"/>
                <w:kern w:val="0"/>
                <w:szCs w:val="24"/>
                <w:lang w:eastAsia="en-IN"/>
                <w14:ligatures w14:val="none"/>
              </w:rPr>
              <w:t>1.03 (2.23)</w:t>
            </w:r>
          </w:p>
        </w:tc>
        <w:tc>
          <w:tcPr>
            <w:tcW w:w="1416" w:type="dxa"/>
            <w:tcBorders>
              <w:top w:val="nil"/>
              <w:left w:val="nil"/>
              <w:bottom w:val="single" w:sz="4" w:space="0" w:color="auto"/>
              <w:right w:val="single" w:sz="4" w:space="0" w:color="auto"/>
            </w:tcBorders>
            <w:shd w:val="clear" w:color="000000" w:fill="FFFFFF"/>
            <w:vAlign w:val="center"/>
            <w:hideMark/>
          </w:tcPr>
          <w:p w14:paraId="4CC28CFC" w14:textId="77777777" w:rsidR="0064049F" w:rsidRPr="008E2A3E" w:rsidRDefault="0064049F" w:rsidP="008E2A3E">
            <w:pPr>
              <w:spacing w:after="0" w:line="240" w:lineRule="auto"/>
              <w:ind w:firstLineChars="100" w:firstLine="240"/>
              <w:jc w:val="center"/>
              <w:rPr>
                <w:rFonts w:ascii="Times New Roman" w:eastAsia="Times New Roman" w:hAnsi="Times New Roman" w:cs="Times New Roman"/>
                <w:color w:val="1A1C1E"/>
                <w:kern w:val="0"/>
                <w:szCs w:val="24"/>
                <w:lang w:eastAsia="en-IN"/>
                <w14:ligatures w14:val="none"/>
              </w:rPr>
            </w:pPr>
            <w:r w:rsidRPr="008E2A3E">
              <w:rPr>
                <w:rFonts w:ascii="Times New Roman" w:eastAsia="Times New Roman" w:hAnsi="Times New Roman" w:cs="Times New Roman"/>
                <w:color w:val="1A1C1E"/>
                <w:kern w:val="0"/>
                <w:szCs w:val="24"/>
                <w:lang w:eastAsia="en-IN"/>
                <w14:ligatures w14:val="none"/>
              </w:rPr>
              <w:t>0.96 (2.08)</w:t>
            </w:r>
          </w:p>
        </w:tc>
        <w:tc>
          <w:tcPr>
            <w:tcW w:w="1071" w:type="dxa"/>
            <w:tcBorders>
              <w:top w:val="nil"/>
              <w:left w:val="nil"/>
              <w:bottom w:val="single" w:sz="4" w:space="0" w:color="auto"/>
              <w:right w:val="single" w:sz="4" w:space="0" w:color="auto"/>
            </w:tcBorders>
            <w:shd w:val="clear" w:color="000000" w:fill="FFFFFF"/>
            <w:vAlign w:val="center"/>
            <w:hideMark/>
          </w:tcPr>
          <w:p w14:paraId="5EA76D8C" w14:textId="77777777" w:rsidR="0064049F" w:rsidRPr="008E2A3E" w:rsidRDefault="0064049F" w:rsidP="008E2A3E">
            <w:pPr>
              <w:spacing w:after="0" w:line="240" w:lineRule="auto"/>
              <w:ind w:firstLineChars="100" w:firstLine="240"/>
              <w:jc w:val="center"/>
              <w:rPr>
                <w:rFonts w:ascii="Times New Roman" w:eastAsia="Times New Roman" w:hAnsi="Times New Roman" w:cs="Times New Roman"/>
                <w:color w:val="1A1C1E"/>
                <w:kern w:val="0"/>
                <w:szCs w:val="24"/>
                <w:lang w:eastAsia="en-IN"/>
                <w14:ligatures w14:val="none"/>
              </w:rPr>
            </w:pPr>
            <w:r w:rsidRPr="008E2A3E">
              <w:rPr>
                <w:rFonts w:ascii="Times New Roman" w:eastAsia="Times New Roman" w:hAnsi="Times New Roman" w:cs="Times New Roman"/>
                <w:color w:val="1A1C1E"/>
                <w:kern w:val="0"/>
                <w:szCs w:val="24"/>
                <w:lang w:eastAsia="en-IN"/>
                <w14:ligatures w14:val="none"/>
              </w:rPr>
              <w:t>0.19 (0.41)</w:t>
            </w:r>
          </w:p>
        </w:tc>
        <w:tc>
          <w:tcPr>
            <w:tcW w:w="1511" w:type="dxa"/>
            <w:tcBorders>
              <w:top w:val="nil"/>
              <w:left w:val="nil"/>
              <w:bottom w:val="single" w:sz="4" w:space="0" w:color="auto"/>
              <w:right w:val="single" w:sz="4" w:space="0" w:color="auto"/>
            </w:tcBorders>
            <w:shd w:val="clear" w:color="000000" w:fill="FFFFFF"/>
            <w:vAlign w:val="center"/>
            <w:hideMark/>
          </w:tcPr>
          <w:p w14:paraId="58227112" w14:textId="77777777" w:rsidR="0064049F" w:rsidRPr="008E2A3E" w:rsidRDefault="0064049F" w:rsidP="008E2A3E">
            <w:pPr>
              <w:spacing w:after="0" w:line="240" w:lineRule="auto"/>
              <w:ind w:firstLineChars="100" w:firstLine="240"/>
              <w:jc w:val="center"/>
              <w:rPr>
                <w:rFonts w:ascii="Times New Roman" w:eastAsia="Times New Roman" w:hAnsi="Times New Roman" w:cs="Times New Roman"/>
                <w:color w:val="1A1C1E"/>
                <w:kern w:val="0"/>
                <w:szCs w:val="24"/>
                <w:lang w:eastAsia="en-IN"/>
                <w14:ligatures w14:val="none"/>
              </w:rPr>
            </w:pPr>
            <w:r w:rsidRPr="008E2A3E">
              <w:rPr>
                <w:rFonts w:ascii="Times New Roman" w:eastAsia="Times New Roman" w:hAnsi="Times New Roman" w:cs="Times New Roman"/>
                <w:color w:val="1A1C1E"/>
                <w:kern w:val="0"/>
                <w:szCs w:val="24"/>
                <w:lang w:eastAsia="en-IN"/>
                <w14:ligatures w14:val="none"/>
              </w:rPr>
              <w:t>0.38 (0.82)</w:t>
            </w:r>
          </w:p>
        </w:tc>
        <w:tc>
          <w:tcPr>
            <w:tcW w:w="1284" w:type="dxa"/>
            <w:tcBorders>
              <w:top w:val="nil"/>
              <w:left w:val="nil"/>
              <w:bottom w:val="single" w:sz="4" w:space="0" w:color="auto"/>
              <w:right w:val="single" w:sz="4" w:space="0" w:color="auto"/>
            </w:tcBorders>
            <w:shd w:val="clear" w:color="000000" w:fill="FFFFFF"/>
            <w:vAlign w:val="center"/>
            <w:hideMark/>
          </w:tcPr>
          <w:p w14:paraId="3C5897E1" w14:textId="77777777" w:rsidR="0064049F" w:rsidRPr="008E2A3E" w:rsidRDefault="0064049F" w:rsidP="008E2A3E">
            <w:pPr>
              <w:spacing w:after="0" w:line="240" w:lineRule="auto"/>
              <w:ind w:firstLineChars="100" w:firstLine="240"/>
              <w:jc w:val="center"/>
              <w:rPr>
                <w:rFonts w:ascii="Times New Roman" w:eastAsia="Times New Roman" w:hAnsi="Times New Roman" w:cs="Times New Roman"/>
                <w:color w:val="1A1C1E"/>
                <w:kern w:val="0"/>
                <w:szCs w:val="24"/>
                <w:lang w:eastAsia="en-IN"/>
                <w14:ligatures w14:val="none"/>
              </w:rPr>
            </w:pPr>
            <w:r w:rsidRPr="008E2A3E">
              <w:rPr>
                <w:rFonts w:ascii="Times New Roman" w:eastAsia="Times New Roman" w:hAnsi="Times New Roman" w:cs="Times New Roman"/>
                <w:color w:val="1A1C1E"/>
                <w:kern w:val="0"/>
                <w:szCs w:val="24"/>
                <w:lang w:eastAsia="en-IN"/>
                <w14:ligatures w14:val="none"/>
              </w:rPr>
              <w:t>0.23 (0.50)</w:t>
            </w:r>
          </w:p>
        </w:tc>
        <w:tc>
          <w:tcPr>
            <w:tcW w:w="2004" w:type="dxa"/>
            <w:tcBorders>
              <w:top w:val="nil"/>
              <w:left w:val="nil"/>
              <w:bottom w:val="single" w:sz="4" w:space="0" w:color="auto"/>
              <w:right w:val="single" w:sz="4" w:space="0" w:color="auto"/>
            </w:tcBorders>
            <w:shd w:val="clear" w:color="000000" w:fill="FFFFFF"/>
            <w:vAlign w:val="center"/>
            <w:hideMark/>
          </w:tcPr>
          <w:p w14:paraId="2DC77280" w14:textId="77777777" w:rsidR="0064049F" w:rsidRPr="008E2A3E" w:rsidRDefault="0064049F" w:rsidP="008E2A3E">
            <w:pPr>
              <w:spacing w:after="0" w:line="240" w:lineRule="auto"/>
              <w:ind w:firstLineChars="100" w:firstLine="240"/>
              <w:jc w:val="center"/>
              <w:rPr>
                <w:rFonts w:ascii="Times New Roman" w:eastAsia="Times New Roman" w:hAnsi="Times New Roman" w:cs="Times New Roman"/>
                <w:color w:val="1A1C1E"/>
                <w:kern w:val="0"/>
                <w:szCs w:val="24"/>
                <w:lang w:eastAsia="en-IN"/>
                <w14:ligatures w14:val="none"/>
              </w:rPr>
            </w:pPr>
            <w:r w:rsidRPr="008E2A3E">
              <w:rPr>
                <w:rFonts w:ascii="Times New Roman" w:eastAsia="Times New Roman" w:hAnsi="Times New Roman" w:cs="Times New Roman"/>
                <w:color w:val="1A1C1E"/>
                <w:kern w:val="0"/>
                <w:szCs w:val="24"/>
                <w:lang w:eastAsia="en-IN"/>
                <w14:ligatures w14:val="none"/>
              </w:rPr>
              <w:t>0.13 (0.28)</w:t>
            </w:r>
          </w:p>
        </w:tc>
        <w:tc>
          <w:tcPr>
            <w:tcW w:w="1207" w:type="dxa"/>
            <w:tcBorders>
              <w:top w:val="nil"/>
              <w:left w:val="nil"/>
              <w:bottom w:val="single" w:sz="4" w:space="0" w:color="auto"/>
              <w:right w:val="single" w:sz="4" w:space="0" w:color="auto"/>
            </w:tcBorders>
            <w:shd w:val="clear" w:color="000000" w:fill="FFFFFF"/>
            <w:vAlign w:val="center"/>
            <w:hideMark/>
          </w:tcPr>
          <w:p w14:paraId="57805138" w14:textId="77777777" w:rsidR="0064049F" w:rsidRPr="008E2A3E" w:rsidRDefault="0064049F" w:rsidP="008E2A3E">
            <w:pPr>
              <w:spacing w:after="0" w:line="240" w:lineRule="auto"/>
              <w:ind w:firstLineChars="100" w:firstLine="240"/>
              <w:jc w:val="center"/>
              <w:rPr>
                <w:rFonts w:ascii="Times New Roman" w:eastAsia="Times New Roman" w:hAnsi="Times New Roman" w:cs="Times New Roman"/>
                <w:color w:val="1A1C1E"/>
                <w:kern w:val="0"/>
                <w:szCs w:val="24"/>
                <w:lang w:eastAsia="en-IN"/>
                <w14:ligatures w14:val="none"/>
              </w:rPr>
            </w:pPr>
            <w:r w:rsidRPr="008E2A3E">
              <w:rPr>
                <w:rFonts w:ascii="Times New Roman" w:eastAsia="Times New Roman" w:hAnsi="Times New Roman" w:cs="Times New Roman"/>
                <w:color w:val="1A1C1E"/>
                <w:kern w:val="0"/>
                <w:szCs w:val="24"/>
                <w:lang w:eastAsia="en-IN"/>
                <w14:ligatures w14:val="none"/>
              </w:rPr>
              <w:t>3.10 (6.72)</w:t>
            </w:r>
          </w:p>
        </w:tc>
        <w:tc>
          <w:tcPr>
            <w:tcW w:w="1116" w:type="dxa"/>
            <w:tcBorders>
              <w:top w:val="nil"/>
              <w:left w:val="nil"/>
              <w:bottom w:val="single" w:sz="4" w:space="0" w:color="auto"/>
              <w:right w:val="single" w:sz="4" w:space="0" w:color="auto"/>
            </w:tcBorders>
            <w:shd w:val="clear" w:color="000000" w:fill="FFFFFF"/>
            <w:vAlign w:val="center"/>
            <w:hideMark/>
          </w:tcPr>
          <w:p w14:paraId="70B8BE70" w14:textId="77777777" w:rsidR="0064049F" w:rsidRPr="008E2A3E" w:rsidRDefault="0064049F" w:rsidP="008E2A3E">
            <w:pPr>
              <w:spacing w:after="0" w:line="240" w:lineRule="auto"/>
              <w:ind w:firstLineChars="100" w:firstLine="240"/>
              <w:jc w:val="center"/>
              <w:rPr>
                <w:rFonts w:ascii="Times New Roman" w:eastAsia="Times New Roman" w:hAnsi="Times New Roman" w:cs="Times New Roman"/>
                <w:color w:val="1A1C1E"/>
                <w:kern w:val="0"/>
                <w:szCs w:val="24"/>
                <w:lang w:eastAsia="en-IN"/>
                <w14:ligatures w14:val="none"/>
              </w:rPr>
            </w:pPr>
            <w:r w:rsidRPr="008E2A3E">
              <w:rPr>
                <w:rFonts w:ascii="Times New Roman" w:eastAsia="Times New Roman" w:hAnsi="Times New Roman" w:cs="Times New Roman"/>
                <w:color w:val="1A1C1E"/>
                <w:kern w:val="0"/>
                <w:szCs w:val="24"/>
                <w:lang w:eastAsia="en-IN"/>
                <w14:ligatures w14:val="none"/>
              </w:rPr>
              <w:t>46.13 (100.00)</w:t>
            </w:r>
          </w:p>
        </w:tc>
      </w:tr>
      <w:tr w:rsidR="0064049F" w:rsidRPr="008E2A3E" w14:paraId="45323F42" w14:textId="77777777" w:rsidTr="008E2A3E">
        <w:trPr>
          <w:trHeight w:val="273"/>
        </w:trPr>
        <w:tc>
          <w:tcPr>
            <w:tcW w:w="1977" w:type="dxa"/>
            <w:tcBorders>
              <w:top w:val="nil"/>
              <w:left w:val="single" w:sz="4" w:space="0" w:color="auto"/>
              <w:bottom w:val="single" w:sz="4" w:space="0" w:color="auto"/>
              <w:right w:val="single" w:sz="4" w:space="0" w:color="auto"/>
            </w:tcBorders>
            <w:shd w:val="clear" w:color="000000" w:fill="FFFFFF"/>
            <w:vAlign w:val="center"/>
            <w:hideMark/>
          </w:tcPr>
          <w:p w14:paraId="04F5F5C1" w14:textId="77777777" w:rsidR="0064049F" w:rsidRPr="008E2A3E" w:rsidRDefault="0064049F" w:rsidP="0064049F">
            <w:pPr>
              <w:spacing w:after="0" w:line="240" w:lineRule="auto"/>
              <w:ind w:firstLineChars="100" w:firstLine="240"/>
              <w:rPr>
                <w:rFonts w:ascii="Times New Roman" w:eastAsia="Times New Roman" w:hAnsi="Times New Roman" w:cs="Times New Roman"/>
                <w:color w:val="1A1C1E"/>
                <w:kern w:val="0"/>
                <w:szCs w:val="24"/>
                <w:lang w:eastAsia="en-IN"/>
                <w14:ligatures w14:val="none"/>
              </w:rPr>
            </w:pPr>
            <w:r w:rsidRPr="008E2A3E">
              <w:rPr>
                <w:rFonts w:ascii="Times New Roman" w:eastAsia="Times New Roman" w:hAnsi="Times New Roman" w:cs="Times New Roman"/>
                <w:color w:val="1A1C1E"/>
                <w:kern w:val="0"/>
                <w:szCs w:val="24"/>
                <w:lang w:eastAsia="en-IN"/>
                <w14:ligatures w14:val="none"/>
              </w:rPr>
              <w:t>1965-66</w:t>
            </w:r>
          </w:p>
        </w:tc>
        <w:tc>
          <w:tcPr>
            <w:tcW w:w="1035" w:type="dxa"/>
            <w:tcBorders>
              <w:top w:val="nil"/>
              <w:left w:val="nil"/>
              <w:bottom w:val="single" w:sz="4" w:space="0" w:color="auto"/>
              <w:right w:val="single" w:sz="4" w:space="0" w:color="auto"/>
            </w:tcBorders>
            <w:shd w:val="clear" w:color="000000" w:fill="FFFFFF"/>
            <w:vAlign w:val="center"/>
            <w:hideMark/>
          </w:tcPr>
          <w:p w14:paraId="6AE1AF93" w14:textId="77777777" w:rsidR="0064049F" w:rsidRPr="008E2A3E" w:rsidRDefault="0064049F" w:rsidP="008E2A3E">
            <w:pPr>
              <w:spacing w:after="0" w:line="240" w:lineRule="auto"/>
              <w:ind w:firstLineChars="100" w:firstLine="240"/>
              <w:jc w:val="center"/>
              <w:rPr>
                <w:rFonts w:ascii="Times New Roman" w:eastAsia="Times New Roman" w:hAnsi="Times New Roman" w:cs="Times New Roman"/>
                <w:color w:val="1A1C1E"/>
                <w:kern w:val="0"/>
                <w:szCs w:val="24"/>
                <w:lang w:eastAsia="en-IN"/>
                <w14:ligatures w14:val="none"/>
              </w:rPr>
            </w:pPr>
            <w:r w:rsidRPr="008E2A3E">
              <w:rPr>
                <w:rFonts w:ascii="Times New Roman" w:eastAsia="Times New Roman" w:hAnsi="Times New Roman" w:cs="Times New Roman"/>
                <w:color w:val="1A1C1E"/>
                <w:kern w:val="0"/>
                <w:szCs w:val="24"/>
                <w:lang w:eastAsia="en-IN"/>
                <w14:ligatures w14:val="none"/>
              </w:rPr>
              <w:t>2.86</w:t>
            </w:r>
          </w:p>
        </w:tc>
        <w:tc>
          <w:tcPr>
            <w:tcW w:w="996" w:type="dxa"/>
            <w:tcBorders>
              <w:top w:val="nil"/>
              <w:left w:val="nil"/>
              <w:bottom w:val="single" w:sz="4" w:space="0" w:color="auto"/>
              <w:right w:val="single" w:sz="4" w:space="0" w:color="auto"/>
            </w:tcBorders>
            <w:shd w:val="clear" w:color="000000" w:fill="FFFFFF"/>
            <w:vAlign w:val="center"/>
            <w:hideMark/>
          </w:tcPr>
          <w:p w14:paraId="6F1978A9" w14:textId="77777777" w:rsidR="0064049F" w:rsidRPr="008E2A3E" w:rsidRDefault="0064049F" w:rsidP="008E2A3E">
            <w:pPr>
              <w:spacing w:after="0" w:line="240" w:lineRule="auto"/>
              <w:ind w:firstLineChars="100" w:firstLine="240"/>
              <w:jc w:val="center"/>
              <w:rPr>
                <w:rFonts w:ascii="Times New Roman" w:eastAsia="Times New Roman" w:hAnsi="Times New Roman" w:cs="Times New Roman"/>
                <w:color w:val="1A1C1E"/>
                <w:kern w:val="0"/>
                <w:szCs w:val="24"/>
                <w:lang w:eastAsia="en-IN"/>
                <w14:ligatures w14:val="none"/>
              </w:rPr>
            </w:pPr>
            <w:r w:rsidRPr="008E2A3E">
              <w:rPr>
                <w:rFonts w:ascii="Times New Roman" w:eastAsia="Times New Roman" w:hAnsi="Times New Roman" w:cs="Times New Roman"/>
                <w:color w:val="1A1C1E"/>
                <w:kern w:val="0"/>
                <w:szCs w:val="24"/>
                <w:lang w:eastAsia="en-IN"/>
                <w14:ligatures w14:val="none"/>
              </w:rPr>
              <w:t>9.93</w:t>
            </w:r>
          </w:p>
        </w:tc>
        <w:tc>
          <w:tcPr>
            <w:tcW w:w="1110" w:type="dxa"/>
            <w:tcBorders>
              <w:top w:val="nil"/>
              <w:left w:val="nil"/>
              <w:bottom w:val="single" w:sz="4" w:space="0" w:color="auto"/>
              <w:right w:val="single" w:sz="4" w:space="0" w:color="auto"/>
            </w:tcBorders>
            <w:shd w:val="clear" w:color="000000" w:fill="FFFFFF"/>
            <w:vAlign w:val="center"/>
            <w:hideMark/>
          </w:tcPr>
          <w:p w14:paraId="3F36D8B7" w14:textId="77777777" w:rsidR="0064049F" w:rsidRPr="008E2A3E" w:rsidRDefault="0064049F" w:rsidP="008E2A3E">
            <w:pPr>
              <w:spacing w:after="0" w:line="240" w:lineRule="auto"/>
              <w:ind w:firstLineChars="100" w:firstLine="240"/>
              <w:jc w:val="center"/>
              <w:rPr>
                <w:rFonts w:ascii="Times New Roman" w:eastAsia="Times New Roman" w:hAnsi="Times New Roman" w:cs="Times New Roman"/>
                <w:color w:val="1A1C1E"/>
                <w:kern w:val="0"/>
                <w:szCs w:val="24"/>
                <w:lang w:eastAsia="en-IN"/>
                <w14:ligatures w14:val="none"/>
              </w:rPr>
            </w:pPr>
            <w:r w:rsidRPr="008E2A3E">
              <w:rPr>
                <w:rFonts w:ascii="Times New Roman" w:eastAsia="Times New Roman" w:hAnsi="Times New Roman" w:cs="Times New Roman"/>
                <w:color w:val="1A1C1E"/>
                <w:kern w:val="0"/>
                <w:szCs w:val="24"/>
                <w:lang w:eastAsia="en-IN"/>
                <w14:ligatures w14:val="none"/>
              </w:rPr>
              <w:t>1.71</w:t>
            </w:r>
          </w:p>
        </w:tc>
        <w:tc>
          <w:tcPr>
            <w:tcW w:w="1416" w:type="dxa"/>
            <w:tcBorders>
              <w:top w:val="nil"/>
              <w:left w:val="nil"/>
              <w:bottom w:val="single" w:sz="4" w:space="0" w:color="auto"/>
              <w:right w:val="single" w:sz="4" w:space="0" w:color="auto"/>
            </w:tcBorders>
            <w:shd w:val="clear" w:color="000000" w:fill="FFFFFF"/>
            <w:vAlign w:val="center"/>
            <w:hideMark/>
          </w:tcPr>
          <w:p w14:paraId="3624BEEB" w14:textId="77777777" w:rsidR="0064049F" w:rsidRPr="008E2A3E" w:rsidRDefault="0064049F" w:rsidP="008E2A3E">
            <w:pPr>
              <w:spacing w:after="0" w:line="240" w:lineRule="auto"/>
              <w:ind w:firstLineChars="100" w:firstLine="240"/>
              <w:jc w:val="center"/>
              <w:rPr>
                <w:rFonts w:ascii="Times New Roman" w:eastAsia="Times New Roman" w:hAnsi="Times New Roman" w:cs="Times New Roman"/>
                <w:color w:val="1A1C1E"/>
                <w:kern w:val="0"/>
                <w:szCs w:val="24"/>
                <w:lang w:eastAsia="en-IN"/>
                <w14:ligatures w14:val="none"/>
              </w:rPr>
            </w:pPr>
            <w:r w:rsidRPr="008E2A3E">
              <w:rPr>
                <w:rFonts w:ascii="Times New Roman" w:eastAsia="Times New Roman" w:hAnsi="Times New Roman" w:cs="Times New Roman"/>
                <w:color w:val="1A1C1E"/>
                <w:kern w:val="0"/>
                <w:szCs w:val="24"/>
                <w:lang w:eastAsia="en-IN"/>
                <w14:ligatures w14:val="none"/>
              </w:rPr>
              <w:t>1.64</w:t>
            </w:r>
          </w:p>
        </w:tc>
        <w:tc>
          <w:tcPr>
            <w:tcW w:w="1071" w:type="dxa"/>
            <w:tcBorders>
              <w:top w:val="nil"/>
              <w:left w:val="nil"/>
              <w:bottom w:val="single" w:sz="4" w:space="0" w:color="auto"/>
              <w:right w:val="single" w:sz="4" w:space="0" w:color="auto"/>
            </w:tcBorders>
            <w:shd w:val="clear" w:color="000000" w:fill="FFFFFF"/>
            <w:vAlign w:val="center"/>
            <w:hideMark/>
          </w:tcPr>
          <w:p w14:paraId="3ABD206D" w14:textId="77777777" w:rsidR="0064049F" w:rsidRPr="008E2A3E" w:rsidRDefault="0064049F" w:rsidP="008E2A3E">
            <w:pPr>
              <w:spacing w:after="0" w:line="240" w:lineRule="auto"/>
              <w:ind w:firstLineChars="100" w:firstLine="240"/>
              <w:jc w:val="center"/>
              <w:rPr>
                <w:rFonts w:ascii="Times New Roman" w:eastAsia="Times New Roman" w:hAnsi="Times New Roman" w:cs="Times New Roman"/>
                <w:color w:val="1A1C1E"/>
                <w:kern w:val="0"/>
                <w:szCs w:val="24"/>
                <w:lang w:eastAsia="en-IN"/>
                <w14:ligatures w14:val="none"/>
              </w:rPr>
            </w:pPr>
            <w:r w:rsidRPr="008E2A3E">
              <w:rPr>
                <w:rFonts w:ascii="Times New Roman" w:eastAsia="Times New Roman" w:hAnsi="Times New Roman" w:cs="Times New Roman"/>
                <w:color w:val="1A1C1E"/>
                <w:kern w:val="0"/>
                <w:szCs w:val="24"/>
                <w:lang w:eastAsia="en-IN"/>
                <w14:ligatures w14:val="none"/>
              </w:rPr>
              <w:t>1.3</w:t>
            </w:r>
          </w:p>
        </w:tc>
        <w:tc>
          <w:tcPr>
            <w:tcW w:w="1511" w:type="dxa"/>
            <w:tcBorders>
              <w:top w:val="nil"/>
              <w:left w:val="nil"/>
              <w:bottom w:val="single" w:sz="4" w:space="0" w:color="auto"/>
              <w:right w:val="single" w:sz="4" w:space="0" w:color="auto"/>
            </w:tcBorders>
            <w:shd w:val="clear" w:color="000000" w:fill="FFFFFF"/>
            <w:vAlign w:val="center"/>
            <w:hideMark/>
          </w:tcPr>
          <w:p w14:paraId="0491D463" w14:textId="77777777" w:rsidR="0064049F" w:rsidRPr="008E2A3E" w:rsidRDefault="0064049F" w:rsidP="008E2A3E">
            <w:pPr>
              <w:spacing w:after="0" w:line="240" w:lineRule="auto"/>
              <w:ind w:firstLineChars="100" w:firstLine="240"/>
              <w:jc w:val="center"/>
              <w:rPr>
                <w:rFonts w:ascii="Times New Roman" w:eastAsia="Times New Roman" w:hAnsi="Times New Roman" w:cs="Times New Roman"/>
                <w:color w:val="1A1C1E"/>
                <w:kern w:val="0"/>
                <w:szCs w:val="24"/>
                <w:lang w:eastAsia="en-IN"/>
                <w14:ligatures w14:val="none"/>
              </w:rPr>
            </w:pPr>
            <w:r w:rsidRPr="008E2A3E">
              <w:rPr>
                <w:rFonts w:ascii="Times New Roman" w:eastAsia="Times New Roman" w:hAnsi="Times New Roman" w:cs="Times New Roman"/>
                <w:color w:val="1A1C1E"/>
                <w:kern w:val="0"/>
                <w:szCs w:val="24"/>
                <w:lang w:eastAsia="en-IN"/>
                <w14:ligatures w14:val="none"/>
              </w:rPr>
              <w:t>0.64</w:t>
            </w:r>
          </w:p>
        </w:tc>
        <w:tc>
          <w:tcPr>
            <w:tcW w:w="1284" w:type="dxa"/>
            <w:tcBorders>
              <w:top w:val="nil"/>
              <w:left w:val="nil"/>
              <w:bottom w:val="single" w:sz="4" w:space="0" w:color="auto"/>
              <w:right w:val="single" w:sz="4" w:space="0" w:color="auto"/>
            </w:tcBorders>
            <w:shd w:val="clear" w:color="000000" w:fill="FFFFFF"/>
            <w:vAlign w:val="center"/>
            <w:hideMark/>
          </w:tcPr>
          <w:p w14:paraId="698D84D2" w14:textId="77777777" w:rsidR="0064049F" w:rsidRPr="008E2A3E" w:rsidRDefault="0064049F" w:rsidP="008E2A3E">
            <w:pPr>
              <w:spacing w:after="0" w:line="240" w:lineRule="auto"/>
              <w:ind w:firstLineChars="100" w:firstLine="240"/>
              <w:jc w:val="center"/>
              <w:rPr>
                <w:rFonts w:ascii="Times New Roman" w:eastAsia="Times New Roman" w:hAnsi="Times New Roman" w:cs="Times New Roman"/>
                <w:color w:val="1A1C1E"/>
                <w:kern w:val="0"/>
                <w:szCs w:val="24"/>
                <w:lang w:eastAsia="en-IN"/>
                <w14:ligatures w14:val="none"/>
              </w:rPr>
            </w:pPr>
            <w:r w:rsidRPr="008E2A3E">
              <w:rPr>
                <w:rFonts w:ascii="Times New Roman" w:eastAsia="Times New Roman" w:hAnsi="Times New Roman" w:cs="Times New Roman"/>
                <w:color w:val="1A1C1E"/>
                <w:kern w:val="0"/>
                <w:szCs w:val="24"/>
                <w:lang w:eastAsia="en-IN"/>
                <w14:ligatures w14:val="none"/>
              </w:rPr>
              <w:t>0.23</w:t>
            </w:r>
          </w:p>
        </w:tc>
        <w:tc>
          <w:tcPr>
            <w:tcW w:w="2004" w:type="dxa"/>
            <w:tcBorders>
              <w:top w:val="nil"/>
              <w:left w:val="nil"/>
              <w:bottom w:val="single" w:sz="4" w:space="0" w:color="auto"/>
              <w:right w:val="single" w:sz="4" w:space="0" w:color="auto"/>
            </w:tcBorders>
            <w:shd w:val="clear" w:color="000000" w:fill="FFFFFF"/>
            <w:vAlign w:val="center"/>
            <w:hideMark/>
          </w:tcPr>
          <w:p w14:paraId="752D6898" w14:textId="3AEB0C5D" w:rsidR="0064049F" w:rsidRPr="008E2A3E" w:rsidRDefault="0064049F" w:rsidP="008E2A3E">
            <w:pPr>
              <w:spacing w:after="0" w:line="240" w:lineRule="auto"/>
              <w:ind w:firstLineChars="100" w:firstLine="240"/>
              <w:jc w:val="center"/>
              <w:rPr>
                <w:rFonts w:ascii="Times New Roman" w:eastAsia="Times New Roman" w:hAnsi="Times New Roman" w:cs="Times New Roman"/>
                <w:color w:val="1A1C1E"/>
                <w:kern w:val="0"/>
                <w:szCs w:val="24"/>
                <w:lang w:eastAsia="en-IN"/>
                <w14:ligatures w14:val="none"/>
              </w:rPr>
            </w:pPr>
            <w:r w:rsidRPr="008E2A3E">
              <w:rPr>
                <w:rFonts w:ascii="Times New Roman" w:eastAsia="Times New Roman" w:hAnsi="Times New Roman" w:cs="Times New Roman"/>
                <w:color w:val="1A1C1E"/>
                <w:kern w:val="0"/>
                <w:szCs w:val="24"/>
                <w:lang w:eastAsia="en-IN"/>
                <w14:ligatures w14:val="none"/>
              </w:rPr>
              <w:t>0.3</w:t>
            </w:r>
            <w:r w:rsidR="00090475">
              <w:rPr>
                <w:rFonts w:ascii="Times New Roman" w:eastAsia="Times New Roman" w:hAnsi="Times New Roman" w:cs="Times New Roman"/>
                <w:color w:val="1A1C1E"/>
                <w:kern w:val="0"/>
                <w:szCs w:val="24"/>
                <w:lang w:eastAsia="en-IN"/>
                <w14:ligatures w14:val="none"/>
              </w:rPr>
              <w:t>0</w:t>
            </w:r>
          </w:p>
        </w:tc>
        <w:tc>
          <w:tcPr>
            <w:tcW w:w="1207" w:type="dxa"/>
            <w:tcBorders>
              <w:top w:val="nil"/>
              <w:left w:val="nil"/>
              <w:bottom w:val="single" w:sz="4" w:space="0" w:color="auto"/>
              <w:right w:val="single" w:sz="4" w:space="0" w:color="auto"/>
            </w:tcBorders>
            <w:shd w:val="clear" w:color="000000" w:fill="FFFFFF"/>
            <w:vAlign w:val="center"/>
            <w:hideMark/>
          </w:tcPr>
          <w:p w14:paraId="6A12762B" w14:textId="66462E9D" w:rsidR="0064049F" w:rsidRPr="008E2A3E" w:rsidRDefault="0064049F" w:rsidP="008E2A3E">
            <w:pPr>
              <w:spacing w:after="0" w:line="240" w:lineRule="auto"/>
              <w:ind w:firstLineChars="100" w:firstLine="240"/>
              <w:jc w:val="center"/>
              <w:rPr>
                <w:rFonts w:ascii="Times New Roman" w:eastAsia="Times New Roman" w:hAnsi="Times New Roman" w:cs="Times New Roman"/>
                <w:color w:val="1A1C1E"/>
                <w:kern w:val="0"/>
                <w:szCs w:val="24"/>
                <w:lang w:eastAsia="en-IN"/>
                <w14:ligatures w14:val="none"/>
              </w:rPr>
            </w:pPr>
            <w:r w:rsidRPr="008E2A3E">
              <w:rPr>
                <w:rFonts w:ascii="Times New Roman" w:eastAsia="Times New Roman" w:hAnsi="Times New Roman" w:cs="Times New Roman"/>
                <w:color w:val="1A1C1E"/>
                <w:kern w:val="0"/>
                <w:szCs w:val="24"/>
                <w:lang w:eastAsia="en-IN"/>
                <w14:ligatures w14:val="none"/>
              </w:rPr>
              <w:t>4.7</w:t>
            </w:r>
            <w:r w:rsidR="00090475">
              <w:rPr>
                <w:rFonts w:ascii="Times New Roman" w:eastAsia="Times New Roman" w:hAnsi="Times New Roman" w:cs="Times New Roman"/>
                <w:color w:val="1A1C1E"/>
                <w:kern w:val="0"/>
                <w:szCs w:val="24"/>
                <w:lang w:eastAsia="en-IN"/>
                <w14:ligatures w14:val="none"/>
              </w:rPr>
              <w:t>0</w:t>
            </w:r>
          </w:p>
        </w:tc>
        <w:tc>
          <w:tcPr>
            <w:tcW w:w="1116" w:type="dxa"/>
            <w:tcBorders>
              <w:top w:val="nil"/>
              <w:left w:val="nil"/>
              <w:bottom w:val="single" w:sz="4" w:space="0" w:color="auto"/>
              <w:right w:val="single" w:sz="4" w:space="0" w:color="auto"/>
            </w:tcBorders>
            <w:shd w:val="clear" w:color="000000" w:fill="FFFFFF"/>
            <w:vAlign w:val="center"/>
            <w:hideMark/>
          </w:tcPr>
          <w:p w14:paraId="614C3FA3" w14:textId="77777777" w:rsidR="0064049F" w:rsidRPr="008E2A3E" w:rsidRDefault="0064049F" w:rsidP="008E2A3E">
            <w:pPr>
              <w:spacing w:after="0" w:line="240" w:lineRule="auto"/>
              <w:ind w:firstLineChars="100" w:firstLine="240"/>
              <w:jc w:val="center"/>
              <w:rPr>
                <w:rFonts w:ascii="Times New Roman" w:eastAsia="Times New Roman" w:hAnsi="Times New Roman" w:cs="Times New Roman"/>
                <w:color w:val="1A1C1E"/>
                <w:kern w:val="0"/>
                <w:szCs w:val="24"/>
                <w:lang w:eastAsia="en-IN"/>
                <w14:ligatures w14:val="none"/>
              </w:rPr>
            </w:pPr>
            <w:r w:rsidRPr="008E2A3E">
              <w:rPr>
                <w:rFonts w:ascii="Times New Roman" w:eastAsia="Times New Roman" w:hAnsi="Times New Roman" w:cs="Times New Roman"/>
                <w:color w:val="1A1C1E"/>
                <w:kern w:val="0"/>
                <w:szCs w:val="24"/>
                <w:lang w:eastAsia="en-IN"/>
                <w14:ligatures w14:val="none"/>
              </w:rPr>
              <w:t>80.39</w:t>
            </w:r>
          </w:p>
        </w:tc>
      </w:tr>
      <w:tr w:rsidR="0064049F" w:rsidRPr="008E2A3E" w14:paraId="312D25A7" w14:textId="77777777" w:rsidTr="008E2A3E">
        <w:trPr>
          <w:trHeight w:val="273"/>
        </w:trPr>
        <w:tc>
          <w:tcPr>
            <w:tcW w:w="1977" w:type="dxa"/>
            <w:tcBorders>
              <w:top w:val="nil"/>
              <w:left w:val="single" w:sz="4" w:space="0" w:color="auto"/>
              <w:bottom w:val="single" w:sz="4" w:space="0" w:color="auto"/>
              <w:right w:val="single" w:sz="4" w:space="0" w:color="auto"/>
            </w:tcBorders>
            <w:shd w:val="clear" w:color="000000" w:fill="FFFFFF"/>
            <w:vAlign w:val="center"/>
            <w:hideMark/>
          </w:tcPr>
          <w:p w14:paraId="33B1A829" w14:textId="77777777" w:rsidR="0064049F" w:rsidRPr="008E2A3E" w:rsidRDefault="0064049F" w:rsidP="0064049F">
            <w:pPr>
              <w:spacing w:after="0" w:line="240" w:lineRule="auto"/>
              <w:ind w:firstLineChars="100" w:firstLine="240"/>
              <w:rPr>
                <w:rFonts w:ascii="Times New Roman" w:eastAsia="Times New Roman" w:hAnsi="Times New Roman" w:cs="Times New Roman"/>
                <w:color w:val="1A1C1E"/>
                <w:kern w:val="0"/>
                <w:szCs w:val="24"/>
                <w:lang w:eastAsia="en-IN"/>
                <w14:ligatures w14:val="none"/>
              </w:rPr>
            </w:pPr>
            <w:r w:rsidRPr="008E2A3E">
              <w:rPr>
                <w:rFonts w:ascii="Times New Roman" w:eastAsia="Times New Roman" w:hAnsi="Times New Roman" w:cs="Times New Roman"/>
                <w:color w:val="1A1C1E"/>
                <w:kern w:val="0"/>
                <w:szCs w:val="24"/>
                <w:lang w:eastAsia="en-IN"/>
                <w14:ligatures w14:val="none"/>
              </w:rPr>
              <w:t>1966-67</w:t>
            </w:r>
          </w:p>
        </w:tc>
        <w:tc>
          <w:tcPr>
            <w:tcW w:w="1035" w:type="dxa"/>
            <w:tcBorders>
              <w:top w:val="nil"/>
              <w:left w:val="nil"/>
              <w:bottom w:val="single" w:sz="4" w:space="0" w:color="auto"/>
              <w:right w:val="single" w:sz="4" w:space="0" w:color="auto"/>
            </w:tcBorders>
            <w:shd w:val="clear" w:color="000000" w:fill="FFFFFF"/>
            <w:vAlign w:val="center"/>
            <w:hideMark/>
          </w:tcPr>
          <w:p w14:paraId="418CF6ED" w14:textId="77777777" w:rsidR="0064049F" w:rsidRPr="008E2A3E" w:rsidRDefault="0064049F" w:rsidP="008E2A3E">
            <w:pPr>
              <w:spacing w:after="0" w:line="240" w:lineRule="auto"/>
              <w:ind w:firstLineChars="100" w:firstLine="240"/>
              <w:jc w:val="center"/>
              <w:rPr>
                <w:rFonts w:ascii="Times New Roman" w:eastAsia="Times New Roman" w:hAnsi="Times New Roman" w:cs="Times New Roman"/>
                <w:color w:val="1A1C1E"/>
                <w:kern w:val="0"/>
                <w:szCs w:val="24"/>
                <w:lang w:eastAsia="en-IN"/>
                <w14:ligatures w14:val="none"/>
              </w:rPr>
            </w:pPr>
            <w:r w:rsidRPr="008E2A3E">
              <w:rPr>
                <w:rFonts w:ascii="Times New Roman" w:eastAsia="Times New Roman" w:hAnsi="Times New Roman" w:cs="Times New Roman"/>
                <w:color w:val="1A1C1E"/>
                <w:kern w:val="0"/>
                <w:szCs w:val="24"/>
                <w:lang w:eastAsia="en-IN"/>
                <w14:ligatures w14:val="none"/>
              </w:rPr>
              <w:t>2.51</w:t>
            </w:r>
          </w:p>
        </w:tc>
        <w:tc>
          <w:tcPr>
            <w:tcW w:w="996" w:type="dxa"/>
            <w:tcBorders>
              <w:top w:val="nil"/>
              <w:left w:val="nil"/>
              <w:bottom w:val="single" w:sz="4" w:space="0" w:color="auto"/>
              <w:right w:val="single" w:sz="4" w:space="0" w:color="auto"/>
            </w:tcBorders>
            <w:shd w:val="clear" w:color="000000" w:fill="FFFFFF"/>
            <w:vAlign w:val="center"/>
            <w:hideMark/>
          </w:tcPr>
          <w:p w14:paraId="57E9A741" w14:textId="77777777" w:rsidR="0064049F" w:rsidRPr="008E2A3E" w:rsidRDefault="0064049F" w:rsidP="008E2A3E">
            <w:pPr>
              <w:spacing w:after="0" w:line="240" w:lineRule="auto"/>
              <w:ind w:firstLineChars="100" w:firstLine="240"/>
              <w:jc w:val="center"/>
              <w:rPr>
                <w:rFonts w:ascii="Times New Roman" w:eastAsia="Times New Roman" w:hAnsi="Times New Roman" w:cs="Times New Roman"/>
                <w:color w:val="1A1C1E"/>
                <w:kern w:val="0"/>
                <w:szCs w:val="24"/>
                <w:lang w:eastAsia="en-IN"/>
                <w14:ligatures w14:val="none"/>
              </w:rPr>
            </w:pPr>
            <w:r w:rsidRPr="008E2A3E">
              <w:rPr>
                <w:rFonts w:ascii="Times New Roman" w:eastAsia="Times New Roman" w:hAnsi="Times New Roman" w:cs="Times New Roman"/>
                <w:color w:val="1A1C1E"/>
                <w:kern w:val="0"/>
                <w:szCs w:val="24"/>
                <w:lang w:eastAsia="en-IN"/>
                <w14:ligatures w14:val="none"/>
              </w:rPr>
              <w:t>10.97</w:t>
            </w:r>
          </w:p>
        </w:tc>
        <w:tc>
          <w:tcPr>
            <w:tcW w:w="1110" w:type="dxa"/>
            <w:tcBorders>
              <w:top w:val="nil"/>
              <w:left w:val="nil"/>
              <w:bottom w:val="single" w:sz="4" w:space="0" w:color="auto"/>
              <w:right w:val="single" w:sz="4" w:space="0" w:color="auto"/>
            </w:tcBorders>
            <w:shd w:val="clear" w:color="000000" w:fill="FFFFFF"/>
            <w:vAlign w:val="center"/>
            <w:hideMark/>
          </w:tcPr>
          <w:p w14:paraId="39C25B8E" w14:textId="77777777" w:rsidR="0064049F" w:rsidRPr="008E2A3E" w:rsidRDefault="0064049F" w:rsidP="008E2A3E">
            <w:pPr>
              <w:spacing w:after="0" w:line="240" w:lineRule="auto"/>
              <w:ind w:firstLineChars="100" w:firstLine="240"/>
              <w:jc w:val="center"/>
              <w:rPr>
                <w:rFonts w:ascii="Times New Roman" w:eastAsia="Times New Roman" w:hAnsi="Times New Roman" w:cs="Times New Roman"/>
                <w:color w:val="1A1C1E"/>
                <w:kern w:val="0"/>
                <w:szCs w:val="24"/>
                <w:lang w:eastAsia="en-IN"/>
                <w14:ligatures w14:val="none"/>
              </w:rPr>
            </w:pPr>
            <w:r w:rsidRPr="008E2A3E">
              <w:rPr>
                <w:rFonts w:ascii="Times New Roman" w:eastAsia="Times New Roman" w:hAnsi="Times New Roman" w:cs="Times New Roman"/>
                <w:color w:val="1A1C1E"/>
                <w:kern w:val="0"/>
                <w:szCs w:val="24"/>
                <w:lang w:eastAsia="en-IN"/>
                <w14:ligatures w14:val="none"/>
              </w:rPr>
              <w:t>1.87</w:t>
            </w:r>
          </w:p>
        </w:tc>
        <w:tc>
          <w:tcPr>
            <w:tcW w:w="1416" w:type="dxa"/>
            <w:tcBorders>
              <w:top w:val="nil"/>
              <w:left w:val="nil"/>
              <w:bottom w:val="single" w:sz="4" w:space="0" w:color="auto"/>
              <w:right w:val="single" w:sz="4" w:space="0" w:color="auto"/>
            </w:tcBorders>
            <w:shd w:val="clear" w:color="000000" w:fill="FFFFFF"/>
            <w:vAlign w:val="center"/>
            <w:hideMark/>
          </w:tcPr>
          <w:p w14:paraId="703F227C" w14:textId="2D772D47" w:rsidR="0064049F" w:rsidRPr="008E2A3E" w:rsidRDefault="0064049F" w:rsidP="008E2A3E">
            <w:pPr>
              <w:spacing w:after="0" w:line="240" w:lineRule="auto"/>
              <w:ind w:firstLineChars="100" w:firstLine="240"/>
              <w:jc w:val="center"/>
              <w:rPr>
                <w:rFonts w:ascii="Times New Roman" w:eastAsia="Times New Roman" w:hAnsi="Times New Roman" w:cs="Times New Roman"/>
                <w:color w:val="1A1C1E"/>
                <w:kern w:val="0"/>
                <w:szCs w:val="24"/>
                <w:lang w:eastAsia="en-IN"/>
                <w14:ligatures w14:val="none"/>
              </w:rPr>
            </w:pPr>
            <w:r w:rsidRPr="008E2A3E">
              <w:rPr>
                <w:rFonts w:ascii="Times New Roman" w:eastAsia="Times New Roman" w:hAnsi="Times New Roman" w:cs="Times New Roman"/>
                <w:color w:val="1A1C1E"/>
                <w:kern w:val="0"/>
                <w:szCs w:val="24"/>
                <w:lang w:eastAsia="en-IN"/>
                <w14:ligatures w14:val="none"/>
              </w:rPr>
              <w:t>1.7</w:t>
            </w:r>
            <w:r w:rsidR="00090475">
              <w:rPr>
                <w:rFonts w:ascii="Times New Roman" w:eastAsia="Times New Roman" w:hAnsi="Times New Roman" w:cs="Times New Roman"/>
                <w:color w:val="1A1C1E"/>
                <w:kern w:val="0"/>
                <w:szCs w:val="24"/>
                <w:lang w:eastAsia="en-IN"/>
                <w14:ligatures w14:val="none"/>
              </w:rPr>
              <w:t>0</w:t>
            </w:r>
          </w:p>
        </w:tc>
        <w:tc>
          <w:tcPr>
            <w:tcW w:w="1071" w:type="dxa"/>
            <w:tcBorders>
              <w:top w:val="nil"/>
              <w:left w:val="nil"/>
              <w:bottom w:val="single" w:sz="4" w:space="0" w:color="auto"/>
              <w:right w:val="single" w:sz="4" w:space="0" w:color="auto"/>
            </w:tcBorders>
            <w:shd w:val="clear" w:color="000000" w:fill="FFFFFF"/>
            <w:vAlign w:val="center"/>
            <w:hideMark/>
          </w:tcPr>
          <w:p w14:paraId="411AEF53" w14:textId="77777777" w:rsidR="0064049F" w:rsidRPr="008E2A3E" w:rsidRDefault="0064049F" w:rsidP="008E2A3E">
            <w:pPr>
              <w:spacing w:after="0" w:line="240" w:lineRule="auto"/>
              <w:ind w:firstLineChars="100" w:firstLine="240"/>
              <w:jc w:val="center"/>
              <w:rPr>
                <w:rFonts w:ascii="Times New Roman" w:eastAsia="Times New Roman" w:hAnsi="Times New Roman" w:cs="Times New Roman"/>
                <w:color w:val="1A1C1E"/>
                <w:kern w:val="0"/>
                <w:szCs w:val="24"/>
                <w:lang w:eastAsia="en-IN"/>
                <w14:ligatures w14:val="none"/>
              </w:rPr>
            </w:pPr>
            <w:r w:rsidRPr="008E2A3E">
              <w:rPr>
                <w:rFonts w:ascii="Times New Roman" w:eastAsia="Times New Roman" w:hAnsi="Times New Roman" w:cs="Times New Roman"/>
                <w:color w:val="1A1C1E"/>
                <w:kern w:val="0"/>
                <w:szCs w:val="24"/>
                <w:lang w:eastAsia="en-IN"/>
                <w14:ligatures w14:val="none"/>
              </w:rPr>
              <w:t>1.61</w:t>
            </w:r>
          </w:p>
        </w:tc>
        <w:tc>
          <w:tcPr>
            <w:tcW w:w="1511" w:type="dxa"/>
            <w:tcBorders>
              <w:top w:val="nil"/>
              <w:left w:val="nil"/>
              <w:bottom w:val="single" w:sz="4" w:space="0" w:color="auto"/>
              <w:right w:val="single" w:sz="4" w:space="0" w:color="auto"/>
            </w:tcBorders>
            <w:shd w:val="clear" w:color="000000" w:fill="FFFFFF"/>
            <w:vAlign w:val="center"/>
            <w:hideMark/>
          </w:tcPr>
          <w:p w14:paraId="415C1BCB" w14:textId="77777777" w:rsidR="0064049F" w:rsidRPr="008E2A3E" w:rsidRDefault="0064049F" w:rsidP="008E2A3E">
            <w:pPr>
              <w:spacing w:after="0" w:line="240" w:lineRule="auto"/>
              <w:ind w:firstLineChars="100" w:firstLine="240"/>
              <w:jc w:val="center"/>
              <w:rPr>
                <w:rFonts w:ascii="Times New Roman" w:eastAsia="Times New Roman" w:hAnsi="Times New Roman" w:cs="Times New Roman"/>
                <w:color w:val="1A1C1E"/>
                <w:kern w:val="0"/>
                <w:szCs w:val="24"/>
                <w:lang w:eastAsia="en-IN"/>
                <w14:ligatures w14:val="none"/>
              </w:rPr>
            </w:pPr>
            <w:r w:rsidRPr="008E2A3E">
              <w:rPr>
                <w:rFonts w:ascii="Times New Roman" w:eastAsia="Times New Roman" w:hAnsi="Times New Roman" w:cs="Times New Roman"/>
                <w:color w:val="1A1C1E"/>
                <w:kern w:val="0"/>
                <w:szCs w:val="24"/>
                <w:lang w:eastAsia="en-IN"/>
                <w14:ligatures w14:val="none"/>
              </w:rPr>
              <w:t>0.63</w:t>
            </w:r>
          </w:p>
        </w:tc>
        <w:tc>
          <w:tcPr>
            <w:tcW w:w="1284" w:type="dxa"/>
            <w:tcBorders>
              <w:top w:val="nil"/>
              <w:left w:val="nil"/>
              <w:bottom w:val="single" w:sz="4" w:space="0" w:color="auto"/>
              <w:right w:val="single" w:sz="4" w:space="0" w:color="auto"/>
            </w:tcBorders>
            <w:shd w:val="clear" w:color="000000" w:fill="FFFFFF"/>
            <w:vAlign w:val="center"/>
            <w:hideMark/>
          </w:tcPr>
          <w:p w14:paraId="05A31005" w14:textId="77777777" w:rsidR="0064049F" w:rsidRPr="008E2A3E" w:rsidRDefault="0064049F" w:rsidP="008E2A3E">
            <w:pPr>
              <w:spacing w:after="0" w:line="240" w:lineRule="auto"/>
              <w:ind w:firstLineChars="100" w:firstLine="240"/>
              <w:jc w:val="center"/>
              <w:rPr>
                <w:rFonts w:ascii="Times New Roman" w:eastAsia="Times New Roman" w:hAnsi="Times New Roman" w:cs="Times New Roman"/>
                <w:color w:val="1A1C1E"/>
                <w:kern w:val="0"/>
                <w:szCs w:val="24"/>
                <w:lang w:eastAsia="en-IN"/>
                <w14:ligatures w14:val="none"/>
              </w:rPr>
            </w:pPr>
            <w:r w:rsidRPr="008E2A3E">
              <w:rPr>
                <w:rFonts w:ascii="Times New Roman" w:eastAsia="Times New Roman" w:hAnsi="Times New Roman" w:cs="Times New Roman"/>
                <w:color w:val="1A1C1E"/>
                <w:kern w:val="0"/>
                <w:szCs w:val="24"/>
                <w:lang w:eastAsia="en-IN"/>
                <w14:ligatures w14:val="none"/>
              </w:rPr>
              <w:t>0.28</w:t>
            </w:r>
          </w:p>
        </w:tc>
        <w:tc>
          <w:tcPr>
            <w:tcW w:w="2004" w:type="dxa"/>
            <w:tcBorders>
              <w:top w:val="nil"/>
              <w:left w:val="nil"/>
              <w:bottom w:val="single" w:sz="4" w:space="0" w:color="auto"/>
              <w:right w:val="single" w:sz="4" w:space="0" w:color="auto"/>
            </w:tcBorders>
            <w:shd w:val="clear" w:color="000000" w:fill="FFFFFF"/>
            <w:vAlign w:val="center"/>
            <w:hideMark/>
          </w:tcPr>
          <w:p w14:paraId="5BAA380D" w14:textId="77777777" w:rsidR="0064049F" w:rsidRPr="008E2A3E" w:rsidRDefault="0064049F" w:rsidP="008E2A3E">
            <w:pPr>
              <w:spacing w:after="0" w:line="240" w:lineRule="auto"/>
              <w:ind w:firstLineChars="100" w:firstLine="240"/>
              <w:jc w:val="center"/>
              <w:rPr>
                <w:rFonts w:ascii="Times New Roman" w:eastAsia="Times New Roman" w:hAnsi="Times New Roman" w:cs="Times New Roman"/>
                <w:color w:val="1A1C1E"/>
                <w:kern w:val="0"/>
                <w:szCs w:val="24"/>
                <w:lang w:eastAsia="en-IN"/>
                <w14:ligatures w14:val="none"/>
              </w:rPr>
            </w:pPr>
            <w:r w:rsidRPr="008E2A3E">
              <w:rPr>
                <w:rFonts w:ascii="Times New Roman" w:eastAsia="Times New Roman" w:hAnsi="Times New Roman" w:cs="Times New Roman"/>
                <w:color w:val="1A1C1E"/>
                <w:kern w:val="0"/>
                <w:szCs w:val="24"/>
                <w:lang w:eastAsia="en-IN"/>
                <w14:ligatures w14:val="none"/>
              </w:rPr>
              <w:t>0.84</w:t>
            </w:r>
          </w:p>
        </w:tc>
        <w:tc>
          <w:tcPr>
            <w:tcW w:w="1207" w:type="dxa"/>
            <w:tcBorders>
              <w:top w:val="nil"/>
              <w:left w:val="nil"/>
              <w:bottom w:val="single" w:sz="4" w:space="0" w:color="auto"/>
              <w:right w:val="single" w:sz="4" w:space="0" w:color="auto"/>
            </w:tcBorders>
            <w:shd w:val="clear" w:color="000000" w:fill="FFFFFF"/>
            <w:vAlign w:val="center"/>
            <w:hideMark/>
          </w:tcPr>
          <w:p w14:paraId="2C353951" w14:textId="77777777" w:rsidR="0064049F" w:rsidRPr="008E2A3E" w:rsidRDefault="0064049F" w:rsidP="008E2A3E">
            <w:pPr>
              <w:spacing w:after="0" w:line="240" w:lineRule="auto"/>
              <w:ind w:firstLineChars="100" w:firstLine="240"/>
              <w:jc w:val="center"/>
              <w:rPr>
                <w:rFonts w:ascii="Times New Roman" w:eastAsia="Times New Roman" w:hAnsi="Times New Roman" w:cs="Times New Roman"/>
                <w:color w:val="1A1C1E"/>
                <w:kern w:val="0"/>
                <w:szCs w:val="24"/>
                <w:lang w:eastAsia="en-IN"/>
                <w14:ligatures w14:val="none"/>
              </w:rPr>
            </w:pPr>
            <w:r w:rsidRPr="008E2A3E">
              <w:rPr>
                <w:rFonts w:ascii="Times New Roman" w:eastAsia="Times New Roman" w:hAnsi="Times New Roman" w:cs="Times New Roman"/>
                <w:color w:val="1A1C1E"/>
                <w:kern w:val="0"/>
                <w:szCs w:val="24"/>
                <w:lang w:eastAsia="en-IN"/>
                <w14:ligatures w14:val="none"/>
              </w:rPr>
              <w:t>4.59</w:t>
            </w:r>
          </w:p>
        </w:tc>
        <w:tc>
          <w:tcPr>
            <w:tcW w:w="1116" w:type="dxa"/>
            <w:tcBorders>
              <w:top w:val="nil"/>
              <w:left w:val="nil"/>
              <w:bottom w:val="single" w:sz="4" w:space="0" w:color="auto"/>
              <w:right w:val="single" w:sz="4" w:space="0" w:color="auto"/>
            </w:tcBorders>
            <w:shd w:val="clear" w:color="000000" w:fill="FFFFFF"/>
            <w:vAlign w:val="center"/>
            <w:hideMark/>
          </w:tcPr>
          <w:p w14:paraId="10E4B62A" w14:textId="77777777" w:rsidR="0064049F" w:rsidRPr="008E2A3E" w:rsidRDefault="0064049F" w:rsidP="008E2A3E">
            <w:pPr>
              <w:spacing w:after="0" w:line="240" w:lineRule="auto"/>
              <w:ind w:firstLineChars="100" w:firstLine="240"/>
              <w:jc w:val="center"/>
              <w:rPr>
                <w:rFonts w:ascii="Times New Roman" w:eastAsia="Times New Roman" w:hAnsi="Times New Roman" w:cs="Times New Roman"/>
                <w:color w:val="1A1C1E"/>
                <w:kern w:val="0"/>
                <w:szCs w:val="24"/>
                <w:lang w:eastAsia="en-IN"/>
                <w14:ligatures w14:val="none"/>
              </w:rPr>
            </w:pPr>
            <w:r w:rsidRPr="008E2A3E">
              <w:rPr>
                <w:rFonts w:ascii="Times New Roman" w:eastAsia="Times New Roman" w:hAnsi="Times New Roman" w:cs="Times New Roman"/>
                <w:color w:val="1A1C1E"/>
                <w:kern w:val="0"/>
                <w:szCs w:val="24"/>
                <w:lang w:eastAsia="en-IN"/>
                <w14:ligatures w14:val="none"/>
              </w:rPr>
              <w:t>106.8</w:t>
            </w:r>
          </w:p>
        </w:tc>
      </w:tr>
      <w:tr w:rsidR="0064049F" w:rsidRPr="008E2A3E" w14:paraId="75A15539" w14:textId="77777777" w:rsidTr="008E2A3E">
        <w:trPr>
          <w:trHeight w:val="273"/>
        </w:trPr>
        <w:tc>
          <w:tcPr>
            <w:tcW w:w="1977" w:type="dxa"/>
            <w:tcBorders>
              <w:top w:val="nil"/>
              <w:left w:val="single" w:sz="4" w:space="0" w:color="auto"/>
              <w:bottom w:val="single" w:sz="4" w:space="0" w:color="auto"/>
              <w:right w:val="single" w:sz="4" w:space="0" w:color="auto"/>
            </w:tcBorders>
            <w:shd w:val="clear" w:color="000000" w:fill="FFFFFF"/>
            <w:vAlign w:val="center"/>
            <w:hideMark/>
          </w:tcPr>
          <w:p w14:paraId="2C0A3A95" w14:textId="77777777" w:rsidR="0064049F" w:rsidRPr="008E2A3E" w:rsidRDefault="0064049F" w:rsidP="0064049F">
            <w:pPr>
              <w:spacing w:after="0" w:line="240" w:lineRule="auto"/>
              <w:ind w:firstLineChars="100" w:firstLine="240"/>
              <w:rPr>
                <w:rFonts w:ascii="Times New Roman" w:eastAsia="Times New Roman" w:hAnsi="Times New Roman" w:cs="Times New Roman"/>
                <w:color w:val="1A1C1E"/>
                <w:kern w:val="0"/>
                <w:szCs w:val="24"/>
                <w:lang w:eastAsia="en-IN"/>
                <w14:ligatures w14:val="none"/>
              </w:rPr>
            </w:pPr>
            <w:r w:rsidRPr="008E2A3E">
              <w:rPr>
                <w:rFonts w:ascii="Times New Roman" w:eastAsia="Times New Roman" w:hAnsi="Times New Roman" w:cs="Times New Roman"/>
                <w:color w:val="1A1C1E"/>
                <w:kern w:val="0"/>
                <w:szCs w:val="24"/>
                <w:lang w:eastAsia="en-IN"/>
                <w14:ligatures w14:val="none"/>
              </w:rPr>
              <w:t>1967-68</w:t>
            </w:r>
          </w:p>
        </w:tc>
        <w:tc>
          <w:tcPr>
            <w:tcW w:w="1035" w:type="dxa"/>
            <w:tcBorders>
              <w:top w:val="nil"/>
              <w:left w:val="nil"/>
              <w:bottom w:val="single" w:sz="4" w:space="0" w:color="auto"/>
              <w:right w:val="single" w:sz="4" w:space="0" w:color="auto"/>
            </w:tcBorders>
            <w:shd w:val="clear" w:color="000000" w:fill="FFFFFF"/>
            <w:vAlign w:val="center"/>
            <w:hideMark/>
          </w:tcPr>
          <w:p w14:paraId="1F762179" w14:textId="77777777" w:rsidR="0064049F" w:rsidRPr="008E2A3E" w:rsidRDefault="0064049F" w:rsidP="008E2A3E">
            <w:pPr>
              <w:spacing w:after="0" w:line="240" w:lineRule="auto"/>
              <w:ind w:firstLineChars="100" w:firstLine="240"/>
              <w:jc w:val="center"/>
              <w:rPr>
                <w:rFonts w:ascii="Times New Roman" w:eastAsia="Times New Roman" w:hAnsi="Times New Roman" w:cs="Times New Roman"/>
                <w:color w:val="1A1C1E"/>
                <w:kern w:val="0"/>
                <w:szCs w:val="24"/>
                <w:lang w:eastAsia="en-IN"/>
                <w14:ligatures w14:val="none"/>
              </w:rPr>
            </w:pPr>
            <w:r w:rsidRPr="008E2A3E">
              <w:rPr>
                <w:rFonts w:ascii="Times New Roman" w:eastAsia="Times New Roman" w:hAnsi="Times New Roman" w:cs="Times New Roman"/>
                <w:color w:val="1A1C1E"/>
                <w:kern w:val="0"/>
                <w:szCs w:val="24"/>
                <w:lang w:eastAsia="en-IN"/>
                <w14:ligatures w14:val="none"/>
              </w:rPr>
              <w:t>1.61</w:t>
            </w:r>
          </w:p>
        </w:tc>
        <w:tc>
          <w:tcPr>
            <w:tcW w:w="996" w:type="dxa"/>
            <w:tcBorders>
              <w:top w:val="nil"/>
              <w:left w:val="nil"/>
              <w:bottom w:val="single" w:sz="4" w:space="0" w:color="auto"/>
              <w:right w:val="single" w:sz="4" w:space="0" w:color="auto"/>
            </w:tcBorders>
            <w:shd w:val="clear" w:color="000000" w:fill="FFFFFF"/>
            <w:vAlign w:val="center"/>
            <w:hideMark/>
          </w:tcPr>
          <w:p w14:paraId="11EEF368" w14:textId="77777777" w:rsidR="0064049F" w:rsidRPr="008E2A3E" w:rsidRDefault="0064049F" w:rsidP="008E2A3E">
            <w:pPr>
              <w:spacing w:after="0" w:line="240" w:lineRule="auto"/>
              <w:ind w:firstLineChars="100" w:firstLine="240"/>
              <w:jc w:val="center"/>
              <w:rPr>
                <w:rFonts w:ascii="Times New Roman" w:eastAsia="Times New Roman" w:hAnsi="Times New Roman" w:cs="Times New Roman"/>
                <w:color w:val="1A1C1E"/>
                <w:kern w:val="0"/>
                <w:szCs w:val="24"/>
                <w:lang w:eastAsia="en-IN"/>
                <w14:ligatures w14:val="none"/>
              </w:rPr>
            </w:pPr>
            <w:r w:rsidRPr="008E2A3E">
              <w:rPr>
                <w:rFonts w:ascii="Times New Roman" w:eastAsia="Times New Roman" w:hAnsi="Times New Roman" w:cs="Times New Roman"/>
                <w:color w:val="1A1C1E"/>
                <w:kern w:val="0"/>
                <w:szCs w:val="24"/>
                <w:lang w:eastAsia="en-IN"/>
                <w14:ligatures w14:val="none"/>
              </w:rPr>
              <w:t>12.56</w:t>
            </w:r>
          </w:p>
        </w:tc>
        <w:tc>
          <w:tcPr>
            <w:tcW w:w="1110" w:type="dxa"/>
            <w:tcBorders>
              <w:top w:val="nil"/>
              <w:left w:val="nil"/>
              <w:bottom w:val="single" w:sz="4" w:space="0" w:color="auto"/>
              <w:right w:val="single" w:sz="4" w:space="0" w:color="auto"/>
            </w:tcBorders>
            <w:shd w:val="clear" w:color="000000" w:fill="FFFFFF"/>
            <w:vAlign w:val="center"/>
            <w:hideMark/>
          </w:tcPr>
          <w:p w14:paraId="16FC8518" w14:textId="77777777" w:rsidR="0064049F" w:rsidRPr="008E2A3E" w:rsidRDefault="0064049F" w:rsidP="008E2A3E">
            <w:pPr>
              <w:spacing w:after="0" w:line="240" w:lineRule="auto"/>
              <w:ind w:firstLineChars="100" w:firstLine="240"/>
              <w:jc w:val="center"/>
              <w:rPr>
                <w:rFonts w:ascii="Times New Roman" w:eastAsia="Times New Roman" w:hAnsi="Times New Roman" w:cs="Times New Roman"/>
                <w:color w:val="1A1C1E"/>
                <w:kern w:val="0"/>
                <w:szCs w:val="24"/>
                <w:lang w:eastAsia="en-IN"/>
                <w14:ligatures w14:val="none"/>
              </w:rPr>
            </w:pPr>
            <w:r w:rsidRPr="008E2A3E">
              <w:rPr>
                <w:rFonts w:ascii="Times New Roman" w:eastAsia="Times New Roman" w:hAnsi="Times New Roman" w:cs="Times New Roman"/>
                <w:color w:val="1A1C1E"/>
                <w:kern w:val="0"/>
                <w:szCs w:val="24"/>
                <w:lang w:eastAsia="en-IN"/>
                <w14:ligatures w14:val="none"/>
              </w:rPr>
              <w:t>2.17</w:t>
            </w:r>
          </w:p>
        </w:tc>
        <w:tc>
          <w:tcPr>
            <w:tcW w:w="1416" w:type="dxa"/>
            <w:tcBorders>
              <w:top w:val="nil"/>
              <w:left w:val="nil"/>
              <w:bottom w:val="single" w:sz="4" w:space="0" w:color="auto"/>
              <w:right w:val="single" w:sz="4" w:space="0" w:color="auto"/>
            </w:tcBorders>
            <w:shd w:val="clear" w:color="000000" w:fill="FFFFFF"/>
            <w:vAlign w:val="center"/>
            <w:hideMark/>
          </w:tcPr>
          <w:p w14:paraId="708AB8EA" w14:textId="77777777" w:rsidR="0064049F" w:rsidRPr="008E2A3E" w:rsidRDefault="0064049F" w:rsidP="008E2A3E">
            <w:pPr>
              <w:spacing w:after="0" w:line="240" w:lineRule="auto"/>
              <w:ind w:firstLineChars="100" w:firstLine="240"/>
              <w:jc w:val="center"/>
              <w:rPr>
                <w:rFonts w:ascii="Times New Roman" w:eastAsia="Times New Roman" w:hAnsi="Times New Roman" w:cs="Times New Roman"/>
                <w:color w:val="1A1C1E"/>
                <w:kern w:val="0"/>
                <w:szCs w:val="24"/>
                <w:lang w:eastAsia="en-IN"/>
                <w14:ligatures w14:val="none"/>
              </w:rPr>
            </w:pPr>
            <w:r w:rsidRPr="008E2A3E">
              <w:rPr>
                <w:rFonts w:ascii="Times New Roman" w:eastAsia="Times New Roman" w:hAnsi="Times New Roman" w:cs="Times New Roman"/>
                <w:color w:val="1A1C1E"/>
                <w:kern w:val="0"/>
                <w:szCs w:val="24"/>
                <w:lang w:eastAsia="en-IN"/>
                <w14:ligatures w14:val="none"/>
              </w:rPr>
              <w:t>2.05</w:t>
            </w:r>
          </w:p>
        </w:tc>
        <w:tc>
          <w:tcPr>
            <w:tcW w:w="1071" w:type="dxa"/>
            <w:tcBorders>
              <w:top w:val="nil"/>
              <w:left w:val="nil"/>
              <w:bottom w:val="single" w:sz="4" w:space="0" w:color="auto"/>
              <w:right w:val="single" w:sz="4" w:space="0" w:color="auto"/>
            </w:tcBorders>
            <w:shd w:val="clear" w:color="000000" w:fill="FFFFFF"/>
            <w:vAlign w:val="center"/>
            <w:hideMark/>
          </w:tcPr>
          <w:p w14:paraId="14E4E8FD" w14:textId="77777777" w:rsidR="0064049F" w:rsidRPr="008E2A3E" w:rsidRDefault="0064049F" w:rsidP="008E2A3E">
            <w:pPr>
              <w:spacing w:after="0" w:line="240" w:lineRule="auto"/>
              <w:ind w:firstLineChars="100" w:firstLine="240"/>
              <w:jc w:val="center"/>
              <w:rPr>
                <w:rFonts w:ascii="Times New Roman" w:eastAsia="Times New Roman" w:hAnsi="Times New Roman" w:cs="Times New Roman"/>
                <w:color w:val="1A1C1E"/>
                <w:kern w:val="0"/>
                <w:szCs w:val="24"/>
                <w:lang w:eastAsia="en-IN"/>
                <w14:ligatures w14:val="none"/>
              </w:rPr>
            </w:pPr>
            <w:r w:rsidRPr="008E2A3E">
              <w:rPr>
                <w:rFonts w:ascii="Times New Roman" w:eastAsia="Times New Roman" w:hAnsi="Times New Roman" w:cs="Times New Roman"/>
                <w:color w:val="1A1C1E"/>
                <w:kern w:val="0"/>
                <w:szCs w:val="24"/>
                <w:lang w:eastAsia="en-IN"/>
                <w14:ligatures w14:val="none"/>
              </w:rPr>
              <w:t>2.91</w:t>
            </w:r>
          </w:p>
        </w:tc>
        <w:tc>
          <w:tcPr>
            <w:tcW w:w="1511" w:type="dxa"/>
            <w:tcBorders>
              <w:top w:val="nil"/>
              <w:left w:val="nil"/>
              <w:bottom w:val="single" w:sz="4" w:space="0" w:color="auto"/>
              <w:right w:val="single" w:sz="4" w:space="0" w:color="auto"/>
            </w:tcBorders>
            <w:shd w:val="clear" w:color="000000" w:fill="FFFFFF"/>
            <w:vAlign w:val="center"/>
            <w:hideMark/>
          </w:tcPr>
          <w:p w14:paraId="2CCAEEAE" w14:textId="77777777" w:rsidR="0064049F" w:rsidRPr="008E2A3E" w:rsidRDefault="0064049F" w:rsidP="008E2A3E">
            <w:pPr>
              <w:spacing w:after="0" w:line="240" w:lineRule="auto"/>
              <w:ind w:firstLineChars="100" w:firstLine="240"/>
              <w:jc w:val="center"/>
              <w:rPr>
                <w:rFonts w:ascii="Times New Roman" w:eastAsia="Times New Roman" w:hAnsi="Times New Roman" w:cs="Times New Roman"/>
                <w:color w:val="1A1C1E"/>
                <w:kern w:val="0"/>
                <w:szCs w:val="24"/>
                <w:lang w:eastAsia="en-IN"/>
                <w14:ligatures w14:val="none"/>
              </w:rPr>
            </w:pPr>
            <w:r w:rsidRPr="008E2A3E">
              <w:rPr>
                <w:rFonts w:ascii="Times New Roman" w:eastAsia="Times New Roman" w:hAnsi="Times New Roman" w:cs="Times New Roman"/>
                <w:color w:val="1A1C1E"/>
                <w:kern w:val="0"/>
                <w:szCs w:val="24"/>
                <w:lang w:eastAsia="en-IN"/>
                <w14:ligatures w14:val="none"/>
              </w:rPr>
              <w:t>0.57</w:t>
            </w:r>
          </w:p>
        </w:tc>
        <w:tc>
          <w:tcPr>
            <w:tcW w:w="1284" w:type="dxa"/>
            <w:tcBorders>
              <w:top w:val="nil"/>
              <w:left w:val="nil"/>
              <w:bottom w:val="single" w:sz="4" w:space="0" w:color="auto"/>
              <w:right w:val="single" w:sz="4" w:space="0" w:color="auto"/>
            </w:tcBorders>
            <w:shd w:val="clear" w:color="000000" w:fill="FFFFFF"/>
            <w:vAlign w:val="center"/>
            <w:hideMark/>
          </w:tcPr>
          <w:p w14:paraId="0033489B" w14:textId="77777777" w:rsidR="0064049F" w:rsidRPr="008E2A3E" w:rsidRDefault="0064049F" w:rsidP="008E2A3E">
            <w:pPr>
              <w:spacing w:after="0" w:line="240" w:lineRule="auto"/>
              <w:ind w:firstLineChars="100" w:firstLine="240"/>
              <w:jc w:val="center"/>
              <w:rPr>
                <w:rFonts w:ascii="Times New Roman" w:eastAsia="Times New Roman" w:hAnsi="Times New Roman" w:cs="Times New Roman"/>
                <w:color w:val="1A1C1E"/>
                <w:kern w:val="0"/>
                <w:szCs w:val="24"/>
                <w:lang w:eastAsia="en-IN"/>
                <w14:ligatures w14:val="none"/>
              </w:rPr>
            </w:pPr>
            <w:r w:rsidRPr="008E2A3E">
              <w:rPr>
                <w:rFonts w:ascii="Times New Roman" w:eastAsia="Times New Roman" w:hAnsi="Times New Roman" w:cs="Times New Roman"/>
                <w:color w:val="1A1C1E"/>
                <w:kern w:val="0"/>
                <w:szCs w:val="24"/>
                <w:lang w:eastAsia="en-IN"/>
                <w14:ligatures w14:val="none"/>
              </w:rPr>
              <w:t>0.36</w:t>
            </w:r>
          </w:p>
        </w:tc>
        <w:tc>
          <w:tcPr>
            <w:tcW w:w="2004" w:type="dxa"/>
            <w:tcBorders>
              <w:top w:val="nil"/>
              <w:left w:val="nil"/>
              <w:bottom w:val="single" w:sz="4" w:space="0" w:color="auto"/>
              <w:right w:val="single" w:sz="4" w:space="0" w:color="auto"/>
            </w:tcBorders>
            <w:shd w:val="clear" w:color="000000" w:fill="FFFFFF"/>
            <w:vAlign w:val="center"/>
            <w:hideMark/>
          </w:tcPr>
          <w:p w14:paraId="4A75090C" w14:textId="77777777" w:rsidR="0064049F" w:rsidRPr="008E2A3E" w:rsidRDefault="0064049F" w:rsidP="008E2A3E">
            <w:pPr>
              <w:spacing w:after="0" w:line="240" w:lineRule="auto"/>
              <w:ind w:firstLineChars="100" w:firstLine="240"/>
              <w:jc w:val="center"/>
              <w:rPr>
                <w:rFonts w:ascii="Times New Roman" w:eastAsia="Times New Roman" w:hAnsi="Times New Roman" w:cs="Times New Roman"/>
                <w:color w:val="1A1C1E"/>
                <w:kern w:val="0"/>
                <w:szCs w:val="24"/>
                <w:lang w:eastAsia="en-IN"/>
                <w14:ligatures w14:val="none"/>
              </w:rPr>
            </w:pPr>
            <w:r w:rsidRPr="008E2A3E">
              <w:rPr>
                <w:rFonts w:ascii="Times New Roman" w:eastAsia="Times New Roman" w:hAnsi="Times New Roman" w:cs="Times New Roman"/>
                <w:color w:val="1A1C1E"/>
                <w:kern w:val="0"/>
                <w:szCs w:val="24"/>
                <w:lang w:eastAsia="en-IN"/>
                <w14:ligatures w14:val="none"/>
              </w:rPr>
              <w:t>0.88</w:t>
            </w:r>
          </w:p>
        </w:tc>
        <w:tc>
          <w:tcPr>
            <w:tcW w:w="1207" w:type="dxa"/>
            <w:tcBorders>
              <w:top w:val="nil"/>
              <w:left w:val="nil"/>
              <w:bottom w:val="single" w:sz="4" w:space="0" w:color="auto"/>
              <w:right w:val="single" w:sz="4" w:space="0" w:color="auto"/>
            </w:tcBorders>
            <w:shd w:val="clear" w:color="000000" w:fill="FFFFFF"/>
            <w:vAlign w:val="center"/>
            <w:hideMark/>
          </w:tcPr>
          <w:p w14:paraId="06E8E7AF" w14:textId="77777777" w:rsidR="0064049F" w:rsidRPr="008E2A3E" w:rsidRDefault="0064049F" w:rsidP="008E2A3E">
            <w:pPr>
              <w:spacing w:after="0" w:line="240" w:lineRule="auto"/>
              <w:ind w:firstLineChars="100" w:firstLine="240"/>
              <w:jc w:val="center"/>
              <w:rPr>
                <w:rFonts w:ascii="Times New Roman" w:eastAsia="Times New Roman" w:hAnsi="Times New Roman" w:cs="Times New Roman"/>
                <w:color w:val="1A1C1E"/>
                <w:kern w:val="0"/>
                <w:szCs w:val="24"/>
                <w:lang w:eastAsia="en-IN"/>
                <w14:ligatures w14:val="none"/>
              </w:rPr>
            </w:pPr>
            <w:r w:rsidRPr="008E2A3E">
              <w:rPr>
                <w:rFonts w:ascii="Times New Roman" w:eastAsia="Times New Roman" w:hAnsi="Times New Roman" w:cs="Times New Roman"/>
                <w:color w:val="1A1C1E"/>
                <w:kern w:val="0"/>
                <w:szCs w:val="24"/>
                <w:lang w:eastAsia="en-IN"/>
                <w14:ligatures w14:val="none"/>
              </w:rPr>
              <w:t>4.79</w:t>
            </w:r>
          </w:p>
        </w:tc>
        <w:tc>
          <w:tcPr>
            <w:tcW w:w="1116" w:type="dxa"/>
            <w:tcBorders>
              <w:top w:val="nil"/>
              <w:left w:val="nil"/>
              <w:bottom w:val="single" w:sz="4" w:space="0" w:color="auto"/>
              <w:right w:val="single" w:sz="4" w:space="0" w:color="auto"/>
            </w:tcBorders>
            <w:shd w:val="clear" w:color="000000" w:fill="FFFFFF"/>
            <w:vAlign w:val="center"/>
            <w:hideMark/>
          </w:tcPr>
          <w:p w14:paraId="300CC9AA" w14:textId="77777777" w:rsidR="0064049F" w:rsidRPr="008E2A3E" w:rsidRDefault="0064049F" w:rsidP="008E2A3E">
            <w:pPr>
              <w:spacing w:after="0" w:line="240" w:lineRule="auto"/>
              <w:ind w:firstLineChars="100" w:firstLine="240"/>
              <w:jc w:val="center"/>
              <w:rPr>
                <w:rFonts w:ascii="Times New Roman" w:eastAsia="Times New Roman" w:hAnsi="Times New Roman" w:cs="Times New Roman"/>
                <w:color w:val="1A1C1E"/>
                <w:kern w:val="0"/>
                <w:szCs w:val="24"/>
                <w:lang w:eastAsia="en-IN"/>
                <w14:ligatures w14:val="none"/>
              </w:rPr>
            </w:pPr>
            <w:r w:rsidRPr="008E2A3E">
              <w:rPr>
                <w:rFonts w:ascii="Times New Roman" w:eastAsia="Times New Roman" w:hAnsi="Times New Roman" w:cs="Times New Roman"/>
                <w:color w:val="1A1C1E"/>
                <w:kern w:val="0"/>
                <w:szCs w:val="24"/>
                <w:lang w:eastAsia="en-IN"/>
                <w14:ligatures w14:val="none"/>
              </w:rPr>
              <w:t>109.03</w:t>
            </w:r>
          </w:p>
        </w:tc>
      </w:tr>
      <w:tr w:rsidR="0064049F" w:rsidRPr="008E2A3E" w14:paraId="38101B37" w14:textId="77777777" w:rsidTr="008E2A3E">
        <w:trPr>
          <w:trHeight w:val="520"/>
        </w:trPr>
        <w:tc>
          <w:tcPr>
            <w:tcW w:w="1977" w:type="dxa"/>
            <w:tcBorders>
              <w:top w:val="nil"/>
              <w:left w:val="single" w:sz="4" w:space="0" w:color="auto"/>
              <w:bottom w:val="single" w:sz="4" w:space="0" w:color="auto"/>
              <w:right w:val="single" w:sz="4" w:space="0" w:color="auto"/>
            </w:tcBorders>
            <w:shd w:val="clear" w:color="000000" w:fill="FFFFFF"/>
            <w:vAlign w:val="center"/>
            <w:hideMark/>
          </w:tcPr>
          <w:p w14:paraId="494F5D13" w14:textId="77777777" w:rsidR="0064049F" w:rsidRPr="008E2A3E" w:rsidRDefault="0064049F" w:rsidP="0064049F">
            <w:pPr>
              <w:spacing w:after="0" w:line="240" w:lineRule="auto"/>
              <w:ind w:firstLineChars="100" w:firstLine="240"/>
              <w:rPr>
                <w:rFonts w:ascii="Times New Roman" w:eastAsia="Times New Roman" w:hAnsi="Times New Roman" w:cs="Times New Roman"/>
                <w:color w:val="1A1C1E"/>
                <w:kern w:val="0"/>
                <w:szCs w:val="24"/>
                <w:lang w:eastAsia="en-IN"/>
                <w14:ligatures w14:val="none"/>
              </w:rPr>
            </w:pPr>
            <w:r w:rsidRPr="008E2A3E">
              <w:rPr>
                <w:rFonts w:ascii="Times New Roman" w:eastAsia="Times New Roman" w:hAnsi="Times New Roman" w:cs="Times New Roman"/>
                <w:color w:val="1A1C1E"/>
                <w:kern w:val="0"/>
                <w:szCs w:val="24"/>
                <w:lang w:eastAsia="en-IN"/>
                <w14:ligatures w14:val="none"/>
              </w:rPr>
              <w:t>1968-69 (RE)</w:t>
            </w:r>
          </w:p>
        </w:tc>
        <w:tc>
          <w:tcPr>
            <w:tcW w:w="1035" w:type="dxa"/>
            <w:tcBorders>
              <w:top w:val="nil"/>
              <w:left w:val="nil"/>
              <w:bottom w:val="single" w:sz="4" w:space="0" w:color="auto"/>
              <w:right w:val="single" w:sz="4" w:space="0" w:color="auto"/>
            </w:tcBorders>
            <w:shd w:val="clear" w:color="000000" w:fill="FFFFFF"/>
            <w:vAlign w:val="center"/>
            <w:hideMark/>
          </w:tcPr>
          <w:p w14:paraId="04B27500" w14:textId="77777777" w:rsidR="0064049F" w:rsidRPr="008E2A3E" w:rsidRDefault="0064049F" w:rsidP="008E2A3E">
            <w:pPr>
              <w:spacing w:after="0" w:line="240" w:lineRule="auto"/>
              <w:ind w:firstLineChars="100" w:firstLine="240"/>
              <w:jc w:val="center"/>
              <w:rPr>
                <w:rFonts w:ascii="Times New Roman" w:eastAsia="Times New Roman" w:hAnsi="Times New Roman" w:cs="Times New Roman"/>
                <w:color w:val="1A1C1E"/>
                <w:kern w:val="0"/>
                <w:szCs w:val="24"/>
                <w:lang w:eastAsia="en-IN"/>
                <w14:ligatures w14:val="none"/>
              </w:rPr>
            </w:pPr>
            <w:r w:rsidRPr="008E2A3E">
              <w:rPr>
                <w:rFonts w:ascii="Times New Roman" w:eastAsia="Times New Roman" w:hAnsi="Times New Roman" w:cs="Times New Roman"/>
                <w:color w:val="1A1C1E"/>
                <w:kern w:val="0"/>
                <w:szCs w:val="24"/>
                <w:lang w:eastAsia="en-IN"/>
                <w14:ligatures w14:val="none"/>
              </w:rPr>
              <w:t>1.75 (1.45)</w:t>
            </w:r>
          </w:p>
        </w:tc>
        <w:tc>
          <w:tcPr>
            <w:tcW w:w="996" w:type="dxa"/>
            <w:tcBorders>
              <w:top w:val="nil"/>
              <w:left w:val="nil"/>
              <w:bottom w:val="single" w:sz="4" w:space="0" w:color="auto"/>
              <w:right w:val="single" w:sz="4" w:space="0" w:color="auto"/>
            </w:tcBorders>
            <w:shd w:val="clear" w:color="000000" w:fill="FFFFFF"/>
            <w:vAlign w:val="center"/>
            <w:hideMark/>
          </w:tcPr>
          <w:p w14:paraId="4D3F4556" w14:textId="77777777" w:rsidR="0064049F" w:rsidRPr="008E2A3E" w:rsidRDefault="0064049F" w:rsidP="008E2A3E">
            <w:pPr>
              <w:spacing w:after="0" w:line="240" w:lineRule="auto"/>
              <w:ind w:firstLineChars="100" w:firstLine="240"/>
              <w:jc w:val="center"/>
              <w:rPr>
                <w:rFonts w:ascii="Times New Roman" w:eastAsia="Times New Roman" w:hAnsi="Times New Roman" w:cs="Times New Roman"/>
                <w:color w:val="1A1C1E"/>
                <w:kern w:val="0"/>
                <w:szCs w:val="24"/>
                <w:lang w:eastAsia="en-IN"/>
                <w14:ligatures w14:val="none"/>
              </w:rPr>
            </w:pPr>
            <w:r w:rsidRPr="008E2A3E">
              <w:rPr>
                <w:rFonts w:ascii="Times New Roman" w:eastAsia="Times New Roman" w:hAnsi="Times New Roman" w:cs="Times New Roman"/>
                <w:color w:val="1A1C1E"/>
                <w:kern w:val="0"/>
                <w:szCs w:val="24"/>
                <w:lang w:eastAsia="en-IN"/>
                <w14:ligatures w14:val="none"/>
              </w:rPr>
              <w:t>12.82 (10.59)</w:t>
            </w:r>
          </w:p>
        </w:tc>
        <w:tc>
          <w:tcPr>
            <w:tcW w:w="1110" w:type="dxa"/>
            <w:tcBorders>
              <w:top w:val="nil"/>
              <w:left w:val="nil"/>
              <w:bottom w:val="single" w:sz="4" w:space="0" w:color="auto"/>
              <w:right w:val="single" w:sz="4" w:space="0" w:color="auto"/>
            </w:tcBorders>
            <w:shd w:val="clear" w:color="000000" w:fill="FFFFFF"/>
            <w:vAlign w:val="center"/>
            <w:hideMark/>
          </w:tcPr>
          <w:p w14:paraId="0F53C0E6" w14:textId="77777777" w:rsidR="0064049F" w:rsidRPr="008E2A3E" w:rsidRDefault="0064049F" w:rsidP="008E2A3E">
            <w:pPr>
              <w:spacing w:after="0" w:line="240" w:lineRule="auto"/>
              <w:ind w:firstLineChars="100" w:firstLine="240"/>
              <w:jc w:val="center"/>
              <w:rPr>
                <w:rFonts w:ascii="Times New Roman" w:eastAsia="Times New Roman" w:hAnsi="Times New Roman" w:cs="Times New Roman"/>
                <w:color w:val="1A1C1E"/>
                <w:kern w:val="0"/>
                <w:szCs w:val="24"/>
                <w:lang w:eastAsia="en-IN"/>
                <w14:ligatures w14:val="none"/>
              </w:rPr>
            </w:pPr>
            <w:r w:rsidRPr="008E2A3E">
              <w:rPr>
                <w:rFonts w:ascii="Times New Roman" w:eastAsia="Times New Roman" w:hAnsi="Times New Roman" w:cs="Times New Roman"/>
                <w:color w:val="1A1C1E"/>
                <w:kern w:val="0"/>
                <w:szCs w:val="24"/>
                <w:lang w:eastAsia="en-IN"/>
                <w14:ligatures w14:val="none"/>
              </w:rPr>
              <w:t>2.28 (1.88)</w:t>
            </w:r>
          </w:p>
        </w:tc>
        <w:tc>
          <w:tcPr>
            <w:tcW w:w="1416" w:type="dxa"/>
            <w:tcBorders>
              <w:top w:val="nil"/>
              <w:left w:val="nil"/>
              <w:bottom w:val="single" w:sz="4" w:space="0" w:color="auto"/>
              <w:right w:val="single" w:sz="4" w:space="0" w:color="auto"/>
            </w:tcBorders>
            <w:shd w:val="clear" w:color="000000" w:fill="FFFFFF"/>
            <w:vAlign w:val="center"/>
            <w:hideMark/>
          </w:tcPr>
          <w:p w14:paraId="1B1BE411" w14:textId="77777777" w:rsidR="0064049F" w:rsidRPr="008E2A3E" w:rsidRDefault="0064049F" w:rsidP="008E2A3E">
            <w:pPr>
              <w:spacing w:after="0" w:line="240" w:lineRule="auto"/>
              <w:ind w:firstLineChars="100" w:firstLine="240"/>
              <w:jc w:val="center"/>
              <w:rPr>
                <w:rFonts w:ascii="Times New Roman" w:eastAsia="Times New Roman" w:hAnsi="Times New Roman" w:cs="Times New Roman"/>
                <w:color w:val="1A1C1E"/>
                <w:kern w:val="0"/>
                <w:szCs w:val="24"/>
                <w:lang w:eastAsia="en-IN"/>
                <w14:ligatures w14:val="none"/>
              </w:rPr>
            </w:pPr>
            <w:r w:rsidRPr="008E2A3E">
              <w:rPr>
                <w:rFonts w:ascii="Times New Roman" w:eastAsia="Times New Roman" w:hAnsi="Times New Roman" w:cs="Times New Roman"/>
                <w:color w:val="1A1C1E"/>
                <w:kern w:val="0"/>
                <w:szCs w:val="24"/>
                <w:lang w:eastAsia="en-IN"/>
                <w14:ligatures w14:val="none"/>
              </w:rPr>
              <w:t>1.98 (1.64)</w:t>
            </w:r>
          </w:p>
        </w:tc>
        <w:tc>
          <w:tcPr>
            <w:tcW w:w="1071" w:type="dxa"/>
            <w:tcBorders>
              <w:top w:val="nil"/>
              <w:left w:val="nil"/>
              <w:bottom w:val="single" w:sz="4" w:space="0" w:color="auto"/>
              <w:right w:val="single" w:sz="4" w:space="0" w:color="auto"/>
            </w:tcBorders>
            <w:shd w:val="clear" w:color="000000" w:fill="FFFFFF"/>
            <w:vAlign w:val="center"/>
            <w:hideMark/>
          </w:tcPr>
          <w:p w14:paraId="18090F9C" w14:textId="77777777" w:rsidR="0064049F" w:rsidRPr="008E2A3E" w:rsidRDefault="0064049F" w:rsidP="008E2A3E">
            <w:pPr>
              <w:spacing w:after="0" w:line="240" w:lineRule="auto"/>
              <w:ind w:firstLineChars="100" w:firstLine="240"/>
              <w:jc w:val="center"/>
              <w:rPr>
                <w:rFonts w:ascii="Times New Roman" w:eastAsia="Times New Roman" w:hAnsi="Times New Roman" w:cs="Times New Roman"/>
                <w:color w:val="1A1C1E"/>
                <w:kern w:val="0"/>
                <w:szCs w:val="24"/>
                <w:lang w:eastAsia="en-IN"/>
                <w14:ligatures w14:val="none"/>
              </w:rPr>
            </w:pPr>
            <w:r w:rsidRPr="008E2A3E">
              <w:rPr>
                <w:rFonts w:ascii="Times New Roman" w:eastAsia="Times New Roman" w:hAnsi="Times New Roman" w:cs="Times New Roman"/>
                <w:color w:val="1A1C1E"/>
                <w:kern w:val="0"/>
                <w:szCs w:val="24"/>
                <w:lang w:eastAsia="en-IN"/>
                <w14:ligatures w14:val="none"/>
              </w:rPr>
              <w:t>2.57 (2.12)</w:t>
            </w:r>
          </w:p>
        </w:tc>
        <w:tc>
          <w:tcPr>
            <w:tcW w:w="1511" w:type="dxa"/>
            <w:tcBorders>
              <w:top w:val="nil"/>
              <w:left w:val="nil"/>
              <w:bottom w:val="single" w:sz="4" w:space="0" w:color="auto"/>
              <w:right w:val="single" w:sz="4" w:space="0" w:color="auto"/>
            </w:tcBorders>
            <w:shd w:val="clear" w:color="000000" w:fill="FFFFFF"/>
            <w:vAlign w:val="center"/>
            <w:hideMark/>
          </w:tcPr>
          <w:p w14:paraId="2EA88653" w14:textId="77777777" w:rsidR="0064049F" w:rsidRPr="008E2A3E" w:rsidRDefault="0064049F" w:rsidP="008E2A3E">
            <w:pPr>
              <w:spacing w:after="0" w:line="240" w:lineRule="auto"/>
              <w:ind w:firstLineChars="100" w:firstLine="240"/>
              <w:jc w:val="center"/>
              <w:rPr>
                <w:rFonts w:ascii="Times New Roman" w:eastAsia="Times New Roman" w:hAnsi="Times New Roman" w:cs="Times New Roman"/>
                <w:color w:val="1A1C1E"/>
                <w:kern w:val="0"/>
                <w:szCs w:val="24"/>
                <w:lang w:eastAsia="en-IN"/>
                <w14:ligatures w14:val="none"/>
              </w:rPr>
            </w:pPr>
            <w:r w:rsidRPr="008E2A3E">
              <w:rPr>
                <w:rFonts w:ascii="Times New Roman" w:eastAsia="Times New Roman" w:hAnsi="Times New Roman" w:cs="Times New Roman"/>
                <w:color w:val="1A1C1E"/>
                <w:kern w:val="0"/>
                <w:szCs w:val="24"/>
                <w:lang w:eastAsia="en-IN"/>
                <w14:ligatures w14:val="none"/>
              </w:rPr>
              <w:t>0.51 (0.42)</w:t>
            </w:r>
          </w:p>
        </w:tc>
        <w:tc>
          <w:tcPr>
            <w:tcW w:w="1284" w:type="dxa"/>
            <w:tcBorders>
              <w:top w:val="nil"/>
              <w:left w:val="nil"/>
              <w:bottom w:val="single" w:sz="4" w:space="0" w:color="auto"/>
              <w:right w:val="single" w:sz="4" w:space="0" w:color="auto"/>
            </w:tcBorders>
            <w:shd w:val="clear" w:color="000000" w:fill="FFFFFF"/>
            <w:vAlign w:val="center"/>
            <w:hideMark/>
          </w:tcPr>
          <w:p w14:paraId="1235EFE7" w14:textId="77777777" w:rsidR="0064049F" w:rsidRPr="008E2A3E" w:rsidRDefault="0064049F" w:rsidP="008E2A3E">
            <w:pPr>
              <w:spacing w:after="0" w:line="240" w:lineRule="auto"/>
              <w:ind w:firstLineChars="100" w:firstLine="240"/>
              <w:jc w:val="center"/>
              <w:rPr>
                <w:rFonts w:ascii="Times New Roman" w:eastAsia="Times New Roman" w:hAnsi="Times New Roman" w:cs="Times New Roman"/>
                <w:color w:val="1A1C1E"/>
                <w:kern w:val="0"/>
                <w:szCs w:val="24"/>
                <w:lang w:eastAsia="en-IN"/>
                <w14:ligatures w14:val="none"/>
              </w:rPr>
            </w:pPr>
            <w:r w:rsidRPr="008E2A3E">
              <w:rPr>
                <w:rFonts w:ascii="Times New Roman" w:eastAsia="Times New Roman" w:hAnsi="Times New Roman" w:cs="Times New Roman"/>
                <w:color w:val="1A1C1E"/>
                <w:kern w:val="0"/>
                <w:szCs w:val="24"/>
                <w:lang w:eastAsia="en-IN"/>
                <w14:ligatures w14:val="none"/>
              </w:rPr>
              <w:t>0.40 (0.33)</w:t>
            </w:r>
          </w:p>
        </w:tc>
        <w:tc>
          <w:tcPr>
            <w:tcW w:w="2004" w:type="dxa"/>
            <w:tcBorders>
              <w:top w:val="nil"/>
              <w:left w:val="nil"/>
              <w:bottom w:val="single" w:sz="4" w:space="0" w:color="auto"/>
              <w:right w:val="single" w:sz="4" w:space="0" w:color="auto"/>
            </w:tcBorders>
            <w:shd w:val="clear" w:color="000000" w:fill="FFFFFF"/>
            <w:vAlign w:val="center"/>
            <w:hideMark/>
          </w:tcPr>
          <w:p w14:paraId="3A412AEA" w14:textId="77777777" w:rsidR="0064049F" w:rsidRPr="008E2A3E" w:rsidRDefault="0064049F" w:rsidP="008E2A3E">
            <w:pPr>
              <w:spacing w:after="0" w:line="240" w:lineRule="auto"/>
              <w:ind w:firstLineChars="100" w:firstLine="240"/>
              <w:jc w:val="center"/>
              <w:rPr>
                <w:rFonts w:ascii="Times New Roman" w:eastAsia="Times New Roman" w:hAnsi="Times New Roman" w:cs="Times New Roman"/>
                <w:color w:val="1A1C1E"/>
                <w:kern w:val="0"/>
                <w:szCs w:val="24"/>
                <w:lang w:eastAsia="en-IN"/>
                <w14:ligatures w14:val="none"/>
              </w:rPr>
            </w:pPr>
            <w:r w:rsidRPr="008E2A3E">
              <w:rPr>
                <w:rFonts w:ascii="Times New Roman" w:eastAsia="Times New Roman" w:hAnsi="Times New Roman" w:cs="Times New Roman"/>
                <w:color w:val="1A1C1E"/>
                <w:kern w:val="0"/>
                <w:szCs w:val="24"/>
                <w:lang w:eastAsia="en-IN"/>
                <w14:ligatures w14:val="none"/>
              </w:rPr>
              <w:t>0.63 (0.52)</w:t>
            </w:r>
          </w:p>
        </w:tc>
        <w:tc>
          <w:tcPr>
            <w:tcW w:w="1207" w:type="dxa"/>
            <w:tcBorders>
              <w:top w:val="nil"/>
              <w:left w:val="nil"/>
              <w:bottom w:val="single" w:sz="4" w:space="0" w:color="auto"/>
              <w:right w:val="single" w:sz="4" w:space="0" w:color="auto"/>
            </w:tcBorders>
            <w:shd w:val="clear" w:color="000000" w:fill="FFFFFF"/>
            <w:vAlign w:val="center"/>
            <w:hideMark/>
          </w:tcPr>
          <w:p w14:paraId="71181D1C" w14:textId="77777777" w:rsidR="0064049F" w:rsidRPr="008E2A3E" w:rsidRDefault="0064049F" w:rsidP="008E2A3E">
            <w:pPr>
              <w:spacing w:after="0" w:line="240" w:lineRule="auto"/>
              <w:ind w:firstLineChars="100" w:firstLine="240"/>
              <w:jc w:val="center"/>
              <w:rPr>
                <w:rFonts w:ascii="Times New Roman" w:eastAsia="Times New Roman" w:hAnsi="Times New Roman" w:cs="Times New Roman"/>
                <w:color w:val="1A1C1E"/>
                <w:kern w:val="0"/>
                <w:szCs w:val="24"/>
                <w:lang w:eastAsia="en-IN"/>
                <w14:ligatures w14:val="none"/>
              </w:rPr>
            </w:pPr>
            <w:r w:rsidRPr="008E2A3E">
              <w:rPr>
                <w:rFonts w:ascii="Times New Roman" w:eastAsia="Times New Roman" w:hAnsi="Times New Roman" w:cs="Times New Roman"/>
                <w:color w:val="1A1C1E"/>
                <w:kern w:val="0"/>
                <w:szCs w:val="24"/>
                <w:lang w:eastAsia="en-IN"/>
                <w14:ligatures w14:val="none"/>
              </w:rPr>
              <w:t>5.66 (4.68)</w:t>
            </w:r>
          </w:p>
        </w:tc>
        <w:tc>
          <w:tcPr>
            <w:tcW w:w="1116" w:type="dxa"/>
            <w:tcBorders>
              <w:top w:val="nil"/>
              <w:left w:val="nil"/>
              <w:bottom w:val="single" w:sz="4" w:space="0" w:color="auto"/>
              <w:right w:val="single" w:sz="4" w:space="0" w:color="auto"/>
            </w:tcBorders>
            <w:shd w:val="clear" w:color="000000" w:fill="FFFFFF"/>
            <w:vAlign w:val="center"/>
            <w:hideMark/>
          </w:tcPr>
          <w:p w14:paraId="4521ADAA" w14:textId="77777777" w:rsidR="0064049F" w:rsidRPr="008E2A3E" w:rsidRDefault="0064049F" w:rsidP="008E2A3E">
            <w:pPr>
              <w:spacing w:after="0" w:line="240" w:lineRule="auto"/>
              <w:ind w:firstLineChars="100" w:firstLine="240"/>
              <w:jc w:val="center"/>
              <w:rPr>
                <w:rFonts w:ascii="Times New Roman" w:eastAsia="Times New Roman" w:hAnsi="Times New Roman" w:cs="Times New Roman"/>
                <w:color w:val="1A1C1E"/>
                <w:kern w:val="0"/>
                <w:szCs w:val="24"/>
                <w:lang w:eastAsia="en-IN"/>
                <w14:ligatures w14:val="none"/>
              </w:rPr>
            </w:pPr>
            <w:r w:rsidRPr="008E2A3E">
              <w:rPr>
                <w:rFonts w:ascii="Times New Roman" w:eastAsia="Times New Roman" w:hAnsi="Times New Roman" w:cs="Times New Roman"/>
                <w:color w:val="1A1C1E"/>
                <w:kern w:val="0"/>
                <w:szCs w:val="24"/>
                <w:lang w:eastAsia="en-IN"/>
                <w14:ligatures w14:val="none"/>
              </w:rPr>
              <w:t>121.03 (100.00)</w:t>
            </w:r>
          </w:p>
        </w:tc>
      </w:tr>
      <w:tr w:rsidR="008E2A3E" w:rsidRPr="008E2A3E" w14:paraId="5C3F56C5" w14:textId="77777777" w:rsidTr="00B77C0B">
        <w:trPr>
          <w:trHeight w:val="273"/>
        </w:trPr>
        <w:tc>
          <w:tcPr>
            <w:tcW w:w="14727" w:type="dxa"/>
            <w:gridSpan w:val="11"/>
            <w:tcBorders>
              <w:top w:val="nil"/>
              <w:left w:val="single" w:sz="4" w:space="0" w:color="auto"/>
              <w:bottom w:val="single" w:sz="4" w:space="0" w:color="auto"/>
              <w:right w:val="single" w:sz="4" w:space="0" w:color="auto"/>
            </w:tcBorders>
            <w:shd w:val="clear" w:color="000000" w:fill="FFFFFF"/>
            <w:vAlign w:val="center"/>
            <w:hideMark/>
          </w:tcPr>
          <w:p w14:paraId="6C8F9B22" w14:textId="2BBE3AEB" w:rsidR="008E2A3E" w:rsidRPr="008E2A3E" w:rsidRDefault="008E2A3E" w:rsidP="008E2A3E">
            <w:pPr>
              <w:spacing w:after="0" w:line="240" w:lineRule="auto"/>
              <w:ind w:firstLineChars="100" w:firstLine="241"/>
              <w:jc w:val="center"/>
              <w:rPr>
                <w:rFonts w:ascii="Times New Roman" w:eastAsia="Times New Roman" w:hAnsi="Times New Roman" w:cs="Times New Roman"/>
                <w:color w:val="1A1C1E"/>
                <w:kern w:val="0"/>
                <w:szCs w:val="24"/>
                <w:lang w:eastAsia="en-IN"/>
                <w14:ligatures w14:val="none"/>
              </w:rPr>
            </w:pPr>
            <w:r w:rsidRPr="008E2A3E">
              <w:rPr>
                <w:rFonts w:ascii="Times New Roman" w:eastAsia="Times New Roman" w:hAnsi="Times New Roman" w:cs="Times New Roman"/>
                <w:b/>
                <w:bCs/>
                <w:color w:val="1A1C1E"/>
                <w:kern w:val="0"/>
                <w:szCs w:val="24"/>
                <w:lang w:eastAsia="en-IN"/>
                <w14:ligatures w14:val="none"/>
              </w:rPr>
              <w:t>Punjab</w:t>
            </w:r>
          </w:p>
        </w:tc>
      </w:tr>
      <w:tr w:rsidR="0064049F" w:rsidRPr="008E2A3E" w14:paraId="5837D5B1" w14:textId="77777777" w:rsidTr="008E2A3E">
        <w:trPr>
          <w:trHeight w:val="520"/>
        </w:trPr>
        <w:tc>
          <w:tcPr>
            <w:tcW w:w="1977" w:type="dxa"/>
            <w:tcBorders>
              <w:top w:val="nil"/>
              <w:left w:val="single" w:sz="4" w:space="0" w:color="auto"/>
              <w:bottom w:val="single" w:sz="4" w:space="0" w:color="auto"/>
              <w:right w:val="single" w:sz="4" w:space="0" w:color="auto"/>
            </w:tcBorders>
            <w:shd w:val="clear" w:color="000000" w:fill="FFFFFF"/>
            <w:vAlign w:val="center"/>
            <w:hideMark/>
          </w:tcPr>
          <w:p w14:paraId="04F0A14E" w14:textId="77777777" w:rsidR="0064049F" w:rsidRPr="008E2A3E" w:rsidRDefault="0064049F" w:rsidP="0064049F">
            <w:pPr>
              <w:spacing w:after="0" w:line="240" w:lineRule="auto"/>
              <w:ind w:firstLineChars="100" w:firstLine="240"/>
              <w:rPr>
                <w:rFonts w:ascii="Times New Roman" w:eastAsia="Times New Roman" w:hAnsi="Times New Roman" w:cs="Times New Roman"/>
                <w:color w:val="1A1C1E"/>
                <w:kern w:val="0"/>
                <w:szCs w:val="24"/>
                <w:lang w:eastAsia="en-IN"/>
                <w14:ligatures w14:val="none"/>
              </w:rPr>
            </w:pPr>
            <w:r w:rsidRPr="008E2A3E">
              <w:rPr>
                <w:rFonts w:ascii="Times New Roman" w:eastAsia="Times New Roman" w:hAnsi="Times New Roman" w:cs="Times New Roman"/>
                <w:color w:val="1A1C1E"/>
                <w:kern w:val="0"/>
                <w:szCs w:val="24"/>
                <w:lang w:eastAsia="en-IN"/>
                <w14:ligatures w14:val="none"/>
              </w:rPr>
              <w:t>1961-62*</w:t>
            </w:r>
          </w:p>
        </w:tc>
        <w:tc>
          <w:tcPr>
            <w:tcW w:w="1035" w:type="dxa"/>
            <w:tcBorders>
              <w:top w:val="nil"/>
              <w:left w:val="nil"/>
              <w:bottom w:val="single" w:sz="4" w:space="0" w:color="auto"/>
              <w:right w:val="single" w:sz="4" w:space="0" w:color="auto"/>
            </w:tcBorders>
            <w:shd w:val="clear" w:color="000000" w:fill="FFFFFF"/>
            <w:vAlign w:val="center"/>
            <w:hideMark/>
          </w:tcPr>
          <w:p w14:paraId="1E68E9BB" w14:textId="77777777" w:rsidR="0064049F" w:rsidRPr="008E2A3E" w:rsidRDefault="0064049F" w:rsidP="008E2A3E">
            <w:pPr>
              <w:spacing w:after="0" w:line="240" w:lineRule="auto"/>
              <w:ind w:firstLineChars="100" w:firstLine="240"/>
              <w:jc w:val="center"/>
              <w:rPr>
                <w:rFonts w:ascii="Times New Roman" w:eastAsia="Times New Roman" w:hAnsi="Times New Roman" w:cs="Times New Roman"/>
                <w:color w:val="1A1C1E"/>
                <w:kern w:val="0"/>
                <w:szCs w:val="24"/>
                <w:lang w:eastAsia="en-IN"/>
                <w14:ligatures w14:val="none"/>
              </w:rPr>
            </w:pPr>
            <w:r w:rsidRPr="008E2A3E">
              <w:rPr>
                <w:rFonts w:ascii="Times New Roman" w:eastAsia="Times New Roman" w:hAnsi="Times New Roman" w:cs="Times New Roman"/>
                <w:color w:val="1A1C1E"/>
                <w:kern w:val="0"/>
                <w:szCs w:val="24"/>
                <w:lang w:eastAsia="en-IN"/>
                <w14:ligatures w14:val="none"/>
              </w:rPr>
              <w:t>3.98 (5.11)</w:t>
            </w:r>
          </w:p>
        </w:tc>
        <w:tc>
          <w:tcPr>
            <w:tcW w:w="996" w:type="dxa"/>
            <w:tcBorders>
              <w:top w:val="nil"/>
              <w:left w:val="nil"/>
              <w:bottom w:val="single" w:sz="4" w:space="0" w:color="auto"/>
              <w:right w:val="single" w:sz="4" w:space="0" w:color="auto"/>
            </w:tcBorders>
            <w:shd w:val="clear" w:color="000000" w:fill="FFFFFF"/>
            <w:vAlign w:val="center"/>
            <w:hideMark/>
          </w:tcPr>
          <w:p w14:paraId="39DB6DD8" w14:textId="77777777" w:rsidR="0064049F" w:rsidRPr="008E2A3E" w:rsidRDefault="0064049F" w:rsidP="008E2A3E">
            <w:pPr>
              <w:spacing w:after="0" w:line="240" w:lineRule="auto"/>
              <w:ind w:firstLineChars="100" w:firstLine="240"/>
              <w:jc w:val="center"/>
              <w:rPr>
                <w:rFonts w:ascii="Times New Roman" w:eastAsia="Times New Roman" w:hAnsi="Times New Roman" w:cs="Times New Roman"/>
                <w:color w:val="1A1C1E"/>
                <w:kern w:val="0"/>
                <w:szCs w:val="24"/>
                <w:lang w:eastAsia="en-IN"/>
                <w14:ligatures w14:val="none"/>
              </w:rPr>
            </w:pPr>
            <w:r w:rsidRPr="008E2A3E">
              <w:rPr>
                <w:rFonts w:ascii="Times New Roman" w:eastAsia="Times New Roman" w:hAnsi="Times New Roman" w:cs="Times New Roman"/>
                <w:color w:val="1A1C1E"/>
                <w:kern w:val="0"/>
                <w:szCs w:val="24"/>
                <w:lang w:eastAsia="en-IN"/>
                <w14:ligatures w14:val="none"/>
              </w:rPr>
              <w:t>8.91 (11.43)</w:t>
            </w:r>
          </w:p>
        </w:tc>
        <w:tc>
          <w:tcPr>
            <w:tcW w:w="1110" w:type="dxa"/>
            <w:tcBorders>
              <w:top w:val="nil"/>
              <w:left w:val="nil"/>
              <w:bottom w:val="single" w:sz="4" w:space="0" w:color="auto"/>
              <w:right w:val="single" w:sz="4" w:space="0" w:color="auto"/>
            </w:tcBorders>
            <w:shd w:val="clear" w:color="000000" w:fill="FFFFFF"/>
            <w:vAlign w:val="center"/>
            <w:hideMark/>
          </w:tcPr>
          <w:p w14:paraId="3211D92D" w14:textId="77777777" w:rsidR="0064049F" w:rsidRPr="008E2A3E" w:rsidRDefault="0064049F" w:rsidP="008E2A3E">
            <w:pPr>
              <w:spacing w:after="0" w:line="240" w:lineRule="auto"/>
              <w:ind w:firstLineChars="100" w:firstLine="240"/>
              <w:jc w:val="center"/>
              <w:rPr>
                <w:rFonts w:ascii="Times New Roman" w:eastAsia="Times New Roman" w:hAnsi="Times New Roman" w:cs="Times New Roman"/>
                <w:color w:val="1A1C1E"/>
                <w:kern w:val="0"/>
                <w:szCs w:val="24"/>
                <w:lang w:eastAsia="en-IN"/>
                <w14:ligatures w14:val="none"/>
              </w:rPr>
            </w:pPr>
            <w:r w:rsidRPr="008E2A3E">
              <w:rPr>
                <w:rFonts w:ascii="Times New Roman" w:eastAsia="Times New Roman" w:hAnsi="Times New Roman" w:cs="Times New Roman"/>
                <w:color w:val="1A1C1E"/>
                <w:kern w:val="0"/>
                <w:szCs w:val="24"/>
                <w:lang w:eastAsia="en-IN"/>
                <w14:ligatures w14:val="none"/>
              </w:rPr>
              <w:t>1.10 (1.41)</w:t>
            </w:r>
          </w:p>
        </w:tc>
        <w:tc>
          <w:tcPr>
            <w:tcW w:w="1416" w:type="dxa"/>
            <w:tcBorders>
              <w:top w:val="nil"/>
              <w:left w:val="nil"/>
              <w:bottom w:val="single" w:sz="4" w:space="0" w:color="auto"/>
              <w:right w:val="single" w:sz="4" w:space="0" w:color="auto"/>
            </w:tcBorders>
            <w:shd w:val="clear" w:color="000000" w:fill="FFFFFF"/>
            <w:vAlign w:val="center"/>
            <w:hideMark/>
          </w:tcPr>
          <w:p w14:paraId="71C567CA" w14:textId="77777777" w:rsidR="0064049F" w:rsidRPr="008E2A3E" w:rsidRDefault="0064049F" w:rsidP="008E2A3E">
            <w:pPr>
              <w:spacing w:after="0" w:line="240" w:lineRule="auto"/>
              <w:ind w:firstLineChars="100" w:firstLine="240"/>
              <w:jc w:val="center"/>
              <w:rPr>
                <w:rFonts w:ascii="Times New Roman" w:eastAsia="Times New Roman" w:hAnsi="Times New Roman" w:cs="Times New Roman"/>
                <w:color w:val="1A1C1E"/>
                <w:kern w:val="0"/>
                <w:szCs w:val="24"/>
                <w:lang w:eastAsia="en-IN"/>
                <w14:ligatures w14:val="none"/>
              </w:rPr>
            </w:pPr>
            <w:r w:rsidRPr="008E2A3E">
              <w:rPr>
                <w:rFonts w:ascii="Times New Roman" w:eastAsia="Times New Roman" w:hAnsi="Times New Roman" w:cs="Times New Roman"/>
                <w:color w:val="1A1C1E"/>
                <w:kern w:val="0"/>
                <w:szCs w:val="24"/>
                <w:lang w:eastAsia="en-IN"/>
                <w14:ligatures w14:val="none"/>
              </w:rPr>
              <w:t>4.80 (6.16)</w:t>
            </w:r>
          </w:p>
        </w:tc>
        <w:tc>
          <w:tcPr>
            <w:tcW w:w="1071" w:type="dxa"/>
            <w:tcBorders>
              <w:top w:val="nil"/>
              <w:left w:val="nil"/>
              <w:bottom w:val="single" w:sz="4" w:space="0" w:color="auto"/>
              <w:right w:val="single" w:sz="4" w:space="0" w:color="auto"/>
            </w:tcBorders>
            <w:shd w:val="clear" w:color="000000" w:fill="FFFFFF"/>
            <w:vAlign w:val="center"/>
            <w:hideMark/>
          </w:tcPr>
          <w:p w14:paraId="3D2BA56C" w14:textId="77777777" w:rsidR="0064049F" w:rsidRPr="008E2A3E" w:rsidRDefault="0064049F" w:rsidP="008E2A3E">
            <w:pPr>
              <w:spacing w:after="0" w:line="240" w:lineRule="auto"/>
              <w:ind w:firstLineChars="100" w:firstLine="240"/>
              <w:jc w:val="center"/>
              <w:rPr>
                <w:rFonts w:ascii="Times New Roman" w:eastAsia="Times New Roman" w:hAnsi="Times New Roman" w:cs="Times New Roman"/>
                <w:color w:val="1A1C1E"/>
                <w:kern w:val="0"/>
                <w:szCs w:val="24"/>
                <w:lang w:eastAsia="en-IN"/>
                <w14:ligatures w14:val="none"/>
              </w:rPr>
            </w:pPr>
            <w:r w:rsidRPr="008E2A3E">
              <w:rPr>
                <w:rFonts w:ascii="Times New Roman" w:eastAsia="Times New Roman" w:hAnsi="Times New Roman" w:cs="Times New Roman"/>
                <w:color w:val="1A1C1E"/>
                <w:kern w:val="0"/>
                <w:szCs w:val="24"/>
                <w:lang w:eastAsia="en-IN"/>
                <w14:ligatures w14:val="none"/>
              </w:rPr>
              <w:t>5.47 (7.02)</w:t>
            </w:r>
          </w:p>
        </w:tc>
        <w:tc>
          <w:tcPr>
            <w:tcW w:w="1511" w:type="dxa"/>
            <w:tcBorders>
              <w:top w:val="nil"/>
              <w:left w:val="nil"/>
              <w:bottom w:val="single" w:sz="4" w:space="0" w:color="auto"/>
              <w:right w:val="single" w:sz="4" w:space="0" w:color="auto"/>
            </w:tcBorders>
            <w:shd w:val="clear" w:color="000000" w:fill="FFFFFF"/>
            <w:vAlign w:val="center"/>
            <w:hideMark/>
          </w:tcPr>
          <w:p w14:paraId="4E75EF95" w14:textId="77777777" w:rsidR="0064049F" w:rsidRPr="008E2A3E" w:rsidRDefault="0064049F" w:rsidP="008E2A3E">
            <w:pPr>
              <w:spacing w:after="0" w:line="240" w:lineRule="auto"/>
              <w:ind w:firstLineChars="100" w:firstLine="240"/>
              <w:jc w:val="center"/>
              <w:rPr>
                <w:rFonts w:ascii="Times New Roman" w:eastAsia="Times New Roman" w:hAnsi="Times New Roman" w:cs="Times New Roman"/>
                <w:color w:val="1A1C1E"/>
                <w:kern w:val="0"/>
                <w:szCs w:val="24"/>
                <w:lang w:eastAsia="en-IN"/>
                <w14:ligatures w14:val="none"/>
              </w:rPr>
            </w:pPr>
            <w:r w:rsidRPr="008E2A3E">
              <w:rPr>
                <w:rFonts w:ascii="Times New Roman" w:eastAsia="Times New Roman" w:hAnsi="Times New Roman" w:cs="Times New Roman"/>
                <w:color w:val="1A1C1E"/>
                <w:kern w:val="0"/>
                <w:szCs w:val="24"/>
                <w:lang w:eastAsia="en-IN"/>
                <w14:ligatures w14:val="none"/>
              </w:rPr>
              <w:t>1.87 (2.40)</w:t>
            </w:r>
          </w:p>
        </w:tc>
        <w:tc>
          <w:tcPr>
            <w:tcW w:w="1284" w:type="dxa"/>
            <w:tcBorders>
              <w:top w:val="nil"/>
              <w:left w:val="nil"/>
              <w:bottom w:val="single" w:sz="4" w:space="0" w:color="auto"/>
              <w:right w:val="single" w:sz="4" w:space="0" w:color="auto"/>
            </w:tcBorders>
            <w:shd w:val="clear" w:color="000000" w:fill="FFFFFF"/>
            <w:vAlign w:val="center"/>
            <w:hideMark/>
          </w:tcPr>
          <w:p w14:paraId="1D750EAF" w14:textId="77777777" w:rsidR="0064049F" w:rsidRPr="008E2A3E" w:rsidRDefault="0064049F" w:rsidP="008E2A3E">
            <w:pPr>
              <w:spacing w:after="0" w:line="240" w:lineRule="auto"/>
              <w:ind w:firstLineChars="100" w:firstLine="240"/>
              <w:jc w:val="center"/>
              <w:rPr>
                <w:rFonts w:ascii="Times New Roman" w:eastAsia="Times New Roman" w:hAnsi="Times New Roman" w:cs="Times New Roman"/>
                <w:color w:val="1A1C1E"/>
                <w:kern w:val="0"/>
                <w:szCs w:val="24"/>
                <w:lang w:eastAsia="en-IN"/>
                <w14:ligatures w14:val="none"/>
              </w:rPr>
            </w:pPr>
            <w:r w:rsidRPr="008E2A3E">
              <w:rPr>
                <w:rFonts w:ascii="Times New Roman" w:eastAsia="Times New Roman" w:hAnsi="Times New Roman" w:cs="Times New Roman"/>
                <w:color w:val="1A1C1E"/>
                <w:kern w:val="0"/>
                <w:szCs w:val="24"/>
                <w:lang w:eastAsia="en-IN"/>
                <w14:ligatures w14:val="none"/>
              </w:rPr>
              <w:t>0.50 (0.64)</w:t>
            </w:r>
          </w:p>
        </w:tc>
        <w:tc>
          <w:tcPr>
            <w:tcW w:w="2004" w:type="dxa"/>
            <w:tcBorders>
              <w:top w:val="nil"/>
              <w:left w:val="nil"/>
              <w:bottom w:val="single" w:sz="4" w:space="0" w:color="auto"/>
              <w:right w:val="single" w:sz="4" w:space="0" w:color="auto"/>
            </w:tcBorders>
            <w:shd w:val="clear" w:color="000000" w:fill="FFFFFF"/>
            <w:vAlign w:val="center"/>
            <w:hideMark/>
          </w:tcPr>
          <w:p w14:paraId="2EC1041A" w14:textId="77777777" w:rsidR="0064049F" w:rsidRPr="008E2A3E" w:rsidRDefault="0064049F" w:rsidP="008E2A3E">
            <w:pPr>
              <w:spacing w:after="0" w:line="240" w:lineRule="auto"/>
              <w:ind w:firstLineChars="100" w:firstLine="240"/>
              <w:jc w:val="center"/>
              <w:rPr>
                <w:rFonts w:ascii="Times New Roman" w:eastAsia="Times New Roman" w:hAnsi="Times New Roman" w:cs="Times New Roman"/>
                <w:color w:val="1A1C1E"/>
                <w:kern w:val="0"/>
                <w:szCs w:val="24"/>
                <w:lang w:eastAsia="en-IN"/>
                <w14:ligatures w14:val="none"/>
              </w:rPr>
            </w:pPr>
            <w:r w:rsidRPr="008E2A3E">
              <w:rPr>
                <w:rFonts w:ascii="Times New Roman" w:eastAsia="Times New Roman" w:hAnsi="Times New Roman" w:cs="Times New Roman"/>
                <w:color w:val="1A1C1E"/>
                <w:kern w:val="0"/>
                <w:szCs w:val="24"/>
                <w:lang w:eastAsia="en-IN"/>
                <w14:ligatures w14:val="none"/>
              </w:rPr>
              <w:t>0.69 (0.89)</w:t>
            </w:r>
          </w:p>
        </w:tc>
        <w:tc>
          <w:tcPr>
            <w:tcW w:w="1207" w:type="dxa"/>
            <w:tcBorders>
              <w:top w:val="nil"/>
              <w:left w:val="nil"/>
              <w:bottom w:val="single" w:sz="4" w:space="0" w:color="auto"/>
              <w:right w:val="single" w:sz="4" w:space="0" w:color="auto"/>
            </w:tcBorders>
            <w:shd w:val="clear" w:color="000000" w:fill="FFFFFF"/>
            <w:vAlign w:val="center"/>
            <w:hideMark/>
          </w:tcPr>
          <w:p w14:paraId="3DC71996" w14:textId="77777777" w:rsidR="0064049F" w:rsidRPr="008E2A3E" w:rsidRDefault="0064049F" w:rsidP="008E2A3E">
            <w:pPr>
              <w:spacing w:after="0" w:line="240" w:lineRule="auto"/>
              <w:ind w:firstLineChars="100" w:firstLine="240"/>
              <w:jc w:val="center"/>
              <w:rPr>
                <w:rFonts w:ascii="Times New Roman" w:eastAsia="Times New Roman" w:hAnsi="Times New Roman" w:cs="Times New Roman"/>
                <w:color w:val="1A1C1E"/>
                <w:kern w:val="0"/>
                <w:szCs w:val="24"/>
                <w:lang w:eastAsia="en-IN"/>
                <w14:ligatures w14:val="none"/>
              </w:rPr>
            </w:pPr>
            <w:r w:rsidRPr="008E2A3E">
              <w:rPr>
                <w:rFonts w:ascii="Times New Roman" w:eastAsia="Times New Roman" w:hAnsi="Times New Roman" w:cs="Times New Roman"/>
                <w:color w:val="1A1C1E"/>
                <w:kern w:val="0"/>
                <w:szCs w:val="24"/>
                <w:lang w:eastAsia="en-IN"/>
                <w14:ligatures w14:val="none"/>
              </w:rPr>
              <w:t>1.42 (1.82)</w:t>
            </w:r>
          </w:p>
        </w:tc>
        <w:tc>
          <w:tcPr>
            <w:tcW w:w="1116" w:type="dxa"/>
            <w:tcBorders>
              <w:top w:val="nil"/>
              <w:left w:val="nil"/>
              <w:bottom w:val="single" w:sz="4" w:space="0" w:color="auto"/>
              <w:right w:val="single" w:sz="4" w:space="0" w:color="auto"/>
            </w:tcBorders>
            <w:shd w:val="clear" w:color="000000" w:fill="FFFFFF"/>
            <w:vAlign w:val="center"/>
            <w:hideMark/>
          </w:tcPr>
          <w:p w14:paraId="1A2D558E" w14:textId="77777777" w:rsidR="0064049F" w:rsidRPr="008E2A3E" w:rsidRDefault="0064049F" w:rsidP="008E2A3E">
            <w:pPr>
              <w:spacing w:after="0" w:line="240" w:lineRule="auto"/>
              <w:ind w:firstLineChars="100" w:firstLine="240"/>
              <w:jc w:val="center"/>
              <w:rPr>
                <w:rFonts w:ascii="Times New Roman" w:eastAsia="Times New Roman" w:hAnsi="Times New Roman" w:cs="Times New Roman"/>
                <w:color w:val="1A1C1E"/>
                <w:kern w:val="0"/>
                <w:szCs w:val="24"/>
                <w:lang w:eastAsia="en-IN"/>
                <w14:ligatures w14:val="none"/>
              </w:rPr>
            </w:pPr>
            <w:r w:rsidRPr="008E2A3E">
              <w:rPr>
                <w:rFonts w:ascii="Times New Roman" w:eastAsia="Times New Roman" w:hAnsi="Times New Roman" w:cs="Times New Roman"/>
                <w:color w:val="1A1C1E"/>
                <w:kern w:val="0"/>
                <w:szCs w:val="24"/>
                <w:lang w:eastAsia="en-IN"/>
                <w14:ligatures w14:val="none"/>
              </w:rPr>
              <w:t>77.96 (100.00)</w:t>
            </w:r>
          </w:p>
        </w:tc>
      </w:tr>
      <w:tr w:rsidR="0064049F" w:rsidRPr="008E2A3E" w14:paraId="33334463" w14:textId="77777777" w:rsidTr="008E2A3E">
        <w:trPr>
          <w:trHeight w:val="273"/>
        </w:trPr>
        <w:tc>
          <w:tcPr>
            <w:tcW w:w="1977" w:type="dxa"/>
            <w:tcBorders>
              <w:top w:val="nil"/>
              <w:left w:val="single" w:sz="4" w:space="0" w:color="auto"/>
              <w:bottom w:val="single" w:sz="4" w:space="0" w:color="auto"/>
              <w:right w:val="single" w:sz="4" w:space="0" w:color="auto"/>
            </w:tcBorders>
            <w:shd w:val="clear" w:color="000000" w:fill="FFFFFF"/>
            <w:vAlign w:val="center"/>
            <w:hideMark/>
          </w:tcPr>
          <w:p w14:paraId="710DCE79" w14:textId="77777777" w:rsidR="0064049F" w:rsidRPr="008E2A3E" w:rsidRDefault="0064049F" w:rsidP="0064049F">
            <w:pPr>
              <w:spacing w:after="0" w:line="240" w:lineRule="auto"/>
              <w:ind w:firstLineChars="100" w:firstLine="240"/>
              <w:rPr>
                <w:rFonts w:ascii="Times New Roman" w:eastAsia="Times New Roman" w:hAnsi="Times New Roman" w:cs="Times New Roman"/>
                <w:color w:val="1A1C1E"/>
                <w:kern w:val="0"/>
                <w:szCs w:val="24"/>
                <w:lang w:eastAsia="en-IN"/>
                <w14:ligatures w14:val="none"/>
              </w:rPr>
            </w:pPr>
            <w:r w:rsidRPr="008E2A3E">
              <w:rPr>
                <w:rFonts w:ascii="Times New Roman" w:eastAsia="Times New Roman" w:hAnsi="Times New Roman" w:cs="Times New Roman"/>
                <w:color w:val="1A1C1E"/>
                <w:kern w:val="0"/>
                <w:szCs w:val="24"/>
                <w:lang w:eastAsia="en-IN"/>
                <w14:ligatures w14:val="none"/>
              </w:rPr>
              <w:t>1965-66*</w:t>
            </w:r>
          </w:p>
        </w:tc>
        <w:tc>
          <w:tcPr>
            <w:tcW w:w="1035" w:type="dxa"/>
            <w:tcBorders>
              <w:top w:val="nil"/>
              <w:left w:val="nil"/>
              <w:bottom w:val="single" w:sz="4" w:space="0" w:color="auto"/>
              <w:right w:val="single" w:sz="4" w:space="0" w:color="auto"/>
            </w:tcBorders>
            <w:shd w:val="clear" w:color="000000" w:fill="FFFFFF"/>
            <w:vAlign w:val="center"/>
            <w:hideMark/>
          </w:tcPr>
          <w:p w14:paraId="39B6FCBB" w14:textId="77777777" w:rsidR="0064049F" w:rsidRPr="008E2A3E" w:rsidRDefault="0064049F" w:rsidP="008E2A3E">
            <w:pPr>
              <w:spacing w:after="0" w:line="240" w:lineRule="auto"/>
              <w:ind w:firstLineChars="100" w:firstLine="240"/>
              <w:jc w:val="center"/>
              <w:rPr>
                <w:rFonts w:ascii="Times New Roman" w:eastAsia="Times New Roman" w:hAnsi="Times New Roman" w:cs="Times New Roman"/>
                <w:color w:val="1A1C1E"/>
                <w:kern w:val="0"/>
                <w:szCs w:val="24"/>
                <w:lang w:eastAsia="en-IN"/>
                <w14:ligatures w14:val="none"/>
              </w:rPr>
            </w:pPr>
            <w:r w:rsidRPr="008E2A3E">
              <w:rPr>
                <w:rFonts w:ascii="Times New Roman" w:eastAsia="Times New Roman" w:hAnsi="Times New Roman" w:cs="Times New Roman"/>
                <w:color w:val="1A1C1E"/>
                <w:kern w:val="0"/>
                <w:szCs w:val="24"/>
                <w:lang w:eastAsia="en-IN"/>
                <w14:ligatures w14:val="none"/>
              </w:rPr>
              <w:t>3.98</w:t>
            </w:r>
          </w:p>
        </w:tc>
        <w:tc>
          <w:tcPr>
            <w:tcW w:w="996" w:type="dxa"/>
            <w:tcBorders>
              <w:top w:val="nil"/>
              <w:left w:val="nil"/>
              <w:bottom w:val="single" w:sz="4" w:space="0" w:color="auto"/>
              <w:right w:val="single" w:sz="4" w:space="0" w:color="auto"/>
            </w:tcBorders>
            <w:shd w:val="clear" w:color="000000" w:fill="FFFFFF"/>
            <w:vAlign w:val="center"/>
            <w:hideMark/>
          </w:tcPr>
          <w:p w14:paraId="3C0A66AE" w14:textId="77777777" w:rsidR="0064049F" w:rsidRPr="008E2A3E" w:rsidRDefault="0064049F" w:rsidP="008E2A3E">
            <w:pPr>
              <w:spacing w:after="0" w:line="240" w:lineRule="auto"/>
              <w:ind w:firstLineChars="100" w:firstLine="240"/>
              <w:jc w:val="center"/>
              <w:rPr>
                <w:rFonts w:ascii="Times New Roman" w:eastAsia="Times New Roman" w:hAnsi="Times New Roman" w:cs="Times New Roman"/>
                <w:color w:val="1A1C1E"/>
                <w:kern w:val="0"/>
                <w:szCs w:val="24"/>
                <w:lang w:eastAsia="en-IN"/>
                <w14:ligatures w14:val="none"/>
              </w:rPr>
            </w:pPr>
            <w:r w:rsidRPr="008E2A3E">
              <w:rPr>
                <w:rFonts w:ascii="Times New Roman" w:eastAsia="Times New Roman" w:hAnsi="Times New Roman" w:cs="Times New Roman"/>
                <w:color w:val="1A1C1E"/>
                <w:kern w:val="0"/>
                <w:szCs w:val="24"/>
                <w:lang w:eastAsia="en-IN"/>
                <w14:ligatures w14:val="none"/>
              </w:rPr>
              <w:t>19.89</w:t>
            </w:r>
          </w:p>
        </w:tc>
        <w:tc>
          <w:tcPr>
            <w:tcW w:w="1110" w:type="dxa"/>
            <w:tcBorders>
              <w:top w:val="nil"/>
              <w:left w:val="nil"/>
              <w:bottom w:val="single" w:sz="4" w:space="0" w:color="auto"/>
              <w:right w:val="single" w:sz="4" w:space="0" w:color="auto"/>
            </w:tcBorders>
            <w:shd w:val="clear" w:color="000000" w:fill="FFFFFF"/>
            <w:vAlign w:val="center"/>
            <w:hideMark/>
          </w:tcPr>
          <w:p w14:paraId="7611E565" w14:textId="77777777" w:rsidR="0064049F" w:rsidRPr="008E2A3E" w:rsidRDefault="0064049F" w:rsidP="008E2A3E">
            <w:pPr>
              <w:spacing w:after="0" w:line="240" w:lineRule="auto"/>
              <w:ind w:firstLineChars="100" w:firstLine="240"/>
              <w:jc w:val="center"/>
              <w:rPr>
                <w:rFonts w:ascii="Times New Roman" w:eastAsia="Times New Roman" w:hAnsi="Times New Roman" w:cs="Times New Roman"/>
                <w:color w:val="1A1C1E"/>
                <w:kern w:val="0"/>
                <w:szCs w:val="24"/>
                <w:lang w:eastAsia="en-IN"/>
                <w14:ligatures w14:val="none"/>
              </w:rPr>
            </w:pPr>
            <w:r w:rsidRPr="008E2A3E">
              <w:rPr>
                <w:rFonts w:ascii="Times New Roman" w:eastAsia="Times New Roman" w:hAnsi="Times New Roman" w:cs="Times New Roman"/>
                <w:color w:val="1A1C1E"/>
                <w:kern w:val="0"/>
                <w:szCs w:val="24"/>
                <w:lang w:eastAsia="en-IN"/>
                <w14:ligatures w14:val="none"/>
              </w:rPr>
              <w:t>1.32</w:t>
            </w:r>
          </w:p>
        </w:tc>
        <w:tc>
          <w:tcPr>
            <w:tcW w:w="1416" w:type="dxa"/>
            <w:tcBorders>
              <w:top w:val="nil"/>
              <w:left w:val="nil"/>
              <w:bottom w:val="single" w:sz="4" w:space="0" w:color="auto"/>
              <w:right w:val="single" w:sz="4" w:space="0" w:color="auto"/>
            </w:tcBorders>
            <w:shd w:val="clear" w:color="000000" w:fill="FFFFFF"/>
            <w:vAlign w:val="center"/>
            <w:hideMark/>
          </w:tcPr>
          <w:p w14:paraId="279A38C6" w14:textId="77777777" w:rsidR="0064049F" w:rsidRPr="008E2A3E" w:rsidRDefault="0064049F" w:rsidP="008E2A3E">
            <w:pPr>
              <w:spacing w:after="0" w:line="240" w:lineRule="auto"/>
              <w:ind w:firstLineChars="100" w:firstLine="240"/>
              <w:jc w:val="center"/>
              <w:rPr>
                <w:rFonts w:ascii="Times New Roman" w:eastAsia="Times New Roman" w:hAnsi="Times New Roman" w:cs="Times New Roman"/>
                <w:color w:val="1A1C1E"/>
                <w:kern w:val="0"/>
                <w:szCs w:val="24"/>
                <w:lang w:eastAsia="en-IN"/>
                <w14:ligatures w14:val="none"/>
              </w:rPr>
            </w:pPr>
            <w:r w:rsidRPr="008E2A3E">
              <w:rPr>
                <w:rFonts w:ascii="Times New Roman" w:eastAsia="Times New Roman" w:hAnsi="Times New Roman" w:cs="Times New Roman"/>
                <w:color w:val="1A1C1E"/>
                <w:kern w:val="0"/>
                <w:szCs w:val="24"/>
                <w:lang w:eastAsia="en-IN"/>
                <w14:ligatures w14:val="none"/>
              </w:rPr>
              <w:t>6.51</w:t>
            </w:r>
          </w:p>
        </w:tc>
        <w:tc>
          <w:tcPr>
            <w:tcW w:w="1071" w:type="dxa"/>
            <w:tcBorders>
              <w:top w:val="nil"/>
              <w:left w:val="nil"/>
              <w:bottom w:val="single" w:sz="4" w:space="0" w:color="auto"/>
              <w:right w:val="single" w:sz="4" w:space="0" w:color="auto"/>
            </w:tcBorders>
            <w:shd w:val="clear" w:color="000000" w:fill="FFFFFF"/>
            <w:vAlign w:val="center"/>
            <w:hideMark/>
          </w:tcPr>
          <w:p w14:paraId="6280B8C1" w14:textId="77777777" w:rsidR="0064049F" w:rsidRPr="008E2A3E" w:rsidRDefault="0064049F" w:rsidP="008E2A3E">
            <w:pPr>
              <w:spacing w:after="0" w:line="240" w:lineRule="auto"/>
              <w:ind w:firstLineChars="100" w:firstLine="240"/>
              <w:jc w:val="center"/>
              <w:rPr>
                <w:rFonts w:ascii="Times New Roman" w:eastAsia="Times New Roman" w:hAnsi="Times New Roman" w:cs="Times New Roman"/>
                <w:color w:val="1A1C1E"/>
                <w:kern w:val="0"/>
                <w:szCs w:val="24"/>
                <w:lang w:eastAsia="en-IN"/>
                <w14:ligatures w14:val="none"/>
              </w:rPr>
            </w:pPr>
            <w:r w:rsidRPr="008E2A3E">
              <w:rPr>
                <w:rFonts w:ascii="Times New Roman" w:eastAsia="Times New Roman" w:hAnsi="Times New Roman" w:cs="Times New Roman"/>
                <w:color w:val="1A1C1E"/>
                <w:kern w:val="0"/>
                <w:szCs w:val="24"/>
                <w:lang w:eastAsia="en-IN"/>
                <w14:ligatures w14:val="none"/>
              </w:rPr>
              <w:t>10.95</w:t>
            </w:r>
          </w:p>
        </w:tc>
        <w:tc>
          <w:tcPr>
            <w:tcW w:w="1511" w:type="dxa"/>
            <w:tcBorders>
              <w:top w:val="nil"/>
              <w:left w:val="nil"/>
              <w:bottom w:val="single" w:sz="4" w:space="0" w:color="auto"/>
              <w:right w:val="single" w:sz="4" w:space="0" w:color="auto"/>
            </w:tcBorders>
            <w:shd w:val="clear" w:color="000000" w:fill="FFFFFF"/>
            <w:vAlign w:val="center"/>
            <w:hideMark/>
          </w:tcPr>
          <w:p w14:paraId="7F3CA01F" w14:textId="77777777" w:rsidR="0064049F" w:rsidRPr="008E2A3E" w:rsidRDefault="0064049F" w:rsidP="008E2A3E">
            <w:pPr>
              <w:spacing w:after="0" w:line="240" w:lineRule="auto"/>
              <w:ind w:firstLineChars="100" w:firstLine="240"/>
              <w:jc w:val="center"/>
              <w:rPr>
                <w:rFonts w:ascii="Times New Roman" w:eastAsia="Times New Roman" w:hAnsi="Times New Roman" w:cs="Times New Roman"/>
                <w:color w:val="1A1C1E"/>
                <w:kern w:val="0"/>
                <w:szCs w:val="24"/>
                <w:lang w:eastAsia="en-IN"/>
                <w14:ligatures w14:val="none"/>
              </w:rPr>
            </w:pPr>
            <w:r w:rsidRPr="008E2A3E">
              <w:rPr>
                <w:rFonts w:ascii="Times New Roman" w:eastAsia="Times New Roman" w:hAnsi="Times New Roman" w:cs="Times New Roman"/>
                <w:color w:val="1A1C1E"/>
                <w:kern w:val="0"/>
                <w:szCs w:val="24"/>
                <w:lang w:eastAsia="en-IN"/>
                <w14:ligatures w14:val="none"/>
              </w:rPr>
              <w:t>1.71</w:t>
            </w:r>
          </w:p>
        </w:tc>
        <w:tc>
          <w:tcPr>
            <w:tcW w:w="1284" w:type="dxa"/>
            <w:tcBorders>
              <w:top w:val="nil"/>
              <w:left w:val="nil"/>
              <w:bottom w:val="single" w:sz="4" w:space="0" w:color="auto"/>
              <w:right w:val="single" w:sz="4" w:space="0" w:color="auto"/>
            </w:tcBorders>
            <w:shd w:val="clear" w:color="000000" w:fill="FFFFFF"/>
            <w:vAlign w:val="center"/>
            <w:hideMark/>
          </w:tcPr>
          <w:p w14:paraId="53D7C790" w14:textId="77777777" w:rsidR="0064049F" w:rsidRPr="008E2A3E" w:rsidRDefault="0064049F" w:rsidP="008E2A3E">
            <w:pPr>
              <w:spacing w:after="0" w:line="240" w:lineRule="auto"/>
              <w:ind w:firstLineChars="100" w:firstLine="240"/>
              <w:jc w:val="center"/>
              <w:rPr>
                <w:rFonts w:ascii="Times New Roman" w:eastAsia="Times New Roman" w:hAnsi="Times New Roman" w:cs="Times New Roman"/>
                <w:color w:val="1A1C1E"/>
                <w:kern w:val="0"/>
                <w:szCs w:val="24"/>
                <w:lang w:eastAsia="en-IN"/>
                <w14:ligatures w14:val="none"/>
              </w:rPr>
            </w:pPr>
            <w:r w:rsidRPr="008E2A3E">
              <w:rPr>
                <w:rFonts w:ascii="Times New Roman" w:eastAsia="Times New Roman" w:hAnsi="Times New Roman" w:cs="Times New Roman"/>
                <w:color w:val="1A1C1E"/>
                <w:kern w:val="0"/>
                <w:szCs w:val="24"/>
                <w:lang w:eastAsia="en-IN"/>
                <w14:ligatures w14:val="none"/>
              </w:rPr>
              <w:t>0.85</w:t>
            </w:r>
          </w:p>
        </w:tc>
        <w:tc>
          <w:tcPr>
            <w:tcW w:w="2004" w:type="dxa"/>
            <w:tcBorders>
              <w:top w:val="nil"/>
              <w:left w:val="nil"/>
              <w:bottom w:val="single" w:sz="4" w:space="0" w:color="auto"/>
              <w:right w:val="single" w:sz="4" w:space="0" w:color="auto"/>
            </w:tcBorders>
            <w:shd w:val="clear" w:color="000000" w:fill="FFFFFF"/>
            <w:vAlign w:val="center"/>
            <w:hideMark/>
          </w:tcPr>
          <w:p w14:paraId="180FB45C" w14:textId="77777777" w:rsidR="0064049F" w:rsidRPr="008E2A3E" w:rsidRDefault="0064049F" w:rsidP="008E2A3E">
            <w:pPr>
              <w:spacing w:after="0" w:line="240" w:lineRule="auto"/>
              <w:ind w:firstLineChars="100" w:firstLine="240"/>
              <w:jc w:val="center"/>
              <w:rPr>
                <w:rFonts w:ascii="Times New Roman" w:eastAsia="Times New Roman" w:hAnsi="Times New Roman" w:cs="Times New Roman"/>
                <w:color w:val="1A1C1E"/>
                <w:kern w:val="0"/>
                <w:szCs w:val="24"/>
                <w:lang w:eastAsia="en-IN"/>
                <w14:ligatures w14:val="none"/>
              </w:rPr>
            </w:pPr>
            <w:r w:rsidRPr="008E2A3E">
              <w:rPr>
                <w:rFonts w:ascii="Times New Roman" w:eastAsia="Times New Roman" w:hAnsi="Times New Roman" w:cs="Times New Roman"/>
                <w:color w:val="1A1C1E"/>
                <w:kern w:val="0"/>
                <w:szCs w:val="24"/>
                <w:lang w:eastAsia="en-IN"/>
                <w14:ligatures w14:val="none"/>
              </w:rPr>
              <w:t>1.71</w:t>
            </w:r>
          </w:p>
        </w:tc>
        <w:tc>
          <w:tcPr>
            <w:tcW w:w="1207" w:type="dxa"/>
            <w:tcBorders>
              <w:top w:val="nil"/>
              <w:left w:val="nil"/>
              <w:bottom w:val="single" w:sz="4" w:space="0" w:color="auto"/>
              <w:right w:val="single" w:sz="4" w:space="0" w:color="auto"/>
            </w:tcBorders>
            <w:shd w:val="clear" w:color="000000" w:fill="FFFFFF"/>
            <w:vAlign w:val="center"/>
            <w:hideMark/>
          </w:tcPr>
          <w:p w14:paraId="2D86E71E" w14:textId="7C649D14" w:rsidR="0064049F" w:rsidRPr="008E2A3E" w:rsidRDefault="0064049F" w:rsidP="008E2A3E">
            <w:pPr>
              <w:spacing w:after="0" w:line="240" w:lineRule="auto"/>
              <w:ind w:firstLineChars="100" w:firstLine="240"/>
              <w:jc w:val="center"/>
              <w:rPr>
                <w:rFonts w:ascii="Times New Roman" w:eastAsia="Times New Roman" w:hAnsi="Times New Roman" w:cs="Times New Roman"/>
                <w:color w:val="1A1C1E"/>
                <w:kern w:val="0"/>
                <w:szCs w:val="24"/>
                <w:lang w:eastAsia="en-IN"/>
                <w14:ligatures w14:val="none"/>
              </w:rPr>
            </w:pPr>
            <w:r w:rsidRPr="008E2A3E">
              <w:rPr>
                <w:rFonts w:ascii="Times New Roman" w:eastAsia="Times New Roman" w:hAnsi="Times New Roman" w:cs="Times New Roman"/>
                <w:color w:val="1A1C1E"/>
                <w:kern w:val="0"/>
                <w:szCs w:val="24"/>
                <w:lang w:eastAsia="en-IN"/>
                <w14:ligatures w14:val="none"/>
              </w:rPr>
              <w:t>1.4</w:t>
            </w:r>
            <w:r w:rsidR="00090475">
              <w:rPr>
                <w:rFonts w:ascii="Times New Roman" w:eastAsia="Times New Roman" w:hAnsi="Times New Roman" w:cs="Times New Roman"/>
                <w:color w:val="1A1C1E"/>
                <w:kern w:val="0"/>
                <w:szCs w:val="24"/>
                <w:lang w:eastAsia="en-IN"/>
                <w14:ligatures w14:val="none"/>
              </w:rPr>
              <w:t>0</w:t>
            </w:r>
          </w:p>
        </w:tc>
        <w:tc>
          <w:tcPr>
            <w:tcW w:w="1116" w:type="dxa"/>
            <w:tcBorders>
              <w:top w:val="nil"/>
              <w:left w:val="nil"/>
              <w:bottom w:val="single" w:sz="4" w:space="0" w:color="auto"/>
              <w:right w:val="single" w:sz="4" w:space="0" w:color="auto"/>
            </w:tcBorders>
            <w:shd w:val="clear" w:color="000000" w:fill="FFFFFF"/>
            <w:vAlign w:val="center"/>
            <w:hideMark/>
          </w:tcPr>
          <w:p w14:paraId="2B5D3E7E" w14:textId="77777777" w:rsidR="0064049F" w:rsidRPr="008E2A3E" w:rsidRDefault="0064049F" w:rsidP="008E2A3E">
            <w:pPr>
              <w:spacing w:after="0" w:line="240" w:lineRule="auto"/>
              <w:ind w:firstLineChars="100" w:firstLine="240"/>
              <w:jc w:val="center"/>
              <w:rPr>
                <w:rFonts w:ascii="Times New Roman" w:eastAsia="Times New Roman" w:hAnsi="Times New Roman" w:cs="Times New Roman"/>
                <w:color w:val="1A1C1E"/>
                <w:kern w:val="0"/>
                <w:szCs w:val="24"/>
                <w:lang w:eastAsia="en-IN"/>
                <w14:ligatures w14:val="none"/>
              </w:rPr>
            </w:pPr>
            <w:r w:rsidRPr="008E2A3E">
              <w:rPr>
                <w:rFonts w:ascii="Times New Roman" w:eastAsia="Times New Roman" w:hAnsi="Times New Roman" w:cs="Times New Roman"/>
                <w:color w:val="1A1C1E"/>
                <w:kern w:val="0"/>
                <w:szCs w:val="24"/>
                <w:lang w:eastAsia="en-IN"/>
                <w14:ligatures w14:val="none"/>
              </w:rPr>
              <w:t>139.43</w:t>
            </w:r>
          </w:p>
        </w:tc>
      </w:tr>
      <w:tr w:rsidR="0064049F" w:rsidRPr="008E2A3E" w14:paraId="37549E2C" w14:textId="77777777" w:rsidTr="008E2A3E">
        <w:trPr>
          <w:trHeight w:val="273"/>
        </w:trPr>
        <w:tc>
          <w:tcPr>
            <w:tcW w:w="1977" w:type="dxa"/>
            <w:tcBorders>
              <w:top w:val="nil"/>
              <w:left w:val="single" w:sz="4" w:space="0" w:color="auto"/>
              <w:bottom w:val="single" w:sz="4" w:space="0" w:color="auto"/>
              <w:right w:val="single" w:sz="4" w:space="0" w:color="auto"/>
            </w:tcBorders>
            <w:shd w:val="clear" w:color="000000" w:fill="FFFFFF"/>
            <w:vAlign w:val="center"/>
            <w:hideMark/>
          </w:tcPr>
          <w:p w14:paraId="50D350EC" w14:textId="77777777" w:rsidR="0064049F" w:rsidRPr="008E2A3E" w:rsidRDefault="0064049F" w:rsidP="0064049F">
            <w:pPr>
              <w:spacing w:after="0" w:line="240" w:lineRule="auto"/>
              <w:ind w:firstLineChars="100" w:firstLine="240"/>
              <w:rPr>
                <w:rFonts w:ascii="Times New Roman" w:eastAsia="Times New Roman" w:hAnsi="Times New Roman" w:cs="Times New Roman"/>
                <w:color w:val="1A1C1E"/>
                <w:kern w:val="0"/>
                <w:szCs w:val="24"/>
                <w:lang w:eastAsia="en-IN"/>
                <w14:ligatures w14:val="none"/>
              </w:rPr>
            </w:pPr>
            <w:r w:rsidRPr="008E2A3E">
              <w:rPr>
                <w:rFonts w:ascii="Times New Roman" w:eastAsia="Times New Roman" w:hAnsi="Times New Roman" w:cs="Times New Roman"/>
                <w:color w:val="1A1C1E"/>
                <w:kern w:val="0"/>
                <w:szCs w:val="24"/>
                <w:lang w:eastAsia="en-IN"/>
                <w14:ligatures w14:val="none"/>
              </w:rPr>
              <w:t>1966-67†</w:t>
            </w:r>
          </w:p>
        </w:tc>
        <w:tc>
          <w:tcPr>
            <w:tcW w:w="1035" w:type="dxa"/>
            <w:tcBorders>
              <w:top w:val="nil"/>
              <w:left w:val="nil"/>
              <w:bottom w:val="single" w:sz="4" w:space="0" w:color="auto"/>
              <w:right w:val="single" w:sz="4" w:space="0" w:color="auto"/>
            </w:tcBorders>
            <w:shd w:val="clear" w:color="000000" w:fill="FFFFFF"/>
            <w:vAlign w:val="center"/>
            <w:hideMark/>
          </w:tcPr>
          <w:p w14:paraId="55D44819" w14:textId="77777777" w:rsidR="0064049F" w:rsidRPr="008E2A3E" w:rsidRDefault="0064049F" w:rsidP="008E2A3E">
            <w:pPr>
              <w:spacing w:after="0" w:line="240" w:lineRule="auto"/>
              <w:ind w:firstLineChars="100" w:firstLine="240"/>
              <w:jc w:val="center"/>
              <w:rPr>
                <w:rFonts w:ascii="Times New Roman" w:eastAsia="Times New Roman" w:hAnsi="Times New Roman" w:cs="Times New Roman"/>
                <w:color w:val="1A1C1E"/>
                <w:kern w:val="0"/>
                <w:szCs w:val="24"/>
                <w:lang w:eastAsia="en-IN"/>
                <w14:ligatures w14:val="none"/>
              </w:rPr>
            </w:pPr>
            <w:r w:rsidRPr="008E2A3E">
              <w:rPr>
                <w:rFonts w:ascii="Times New Roman" w:eastAsia="Times New Roman" w:hAnsi="Times New Roman" w:cs="Times New Roman"/>
                <w:color w:val="1A1C1E"/>
                <w:kern w:val="0"/>
                <w:szCs w:val="24"/>
                <w:lang w:eastAsia="en-IN"/>
                <w14:ligatures w14:val="none"/>
              </w:rPr>
              <w:t>2.34</w:t>
            </w:r>
          </w:p>
        </w:tc>
        <w:tc>
          <w:tcPr>
            <w:tcW w:w="996" w:type="dxa"/>
            <w:tcBorders>
              <w:top w:val="nil"/>
              <w:left w:val="nil"/>
              <w:bottom w:val="single" w:sz="4" w:space="0" w:color="auto"/>
              <w:right w:val="single" w:sz="4" w:space="0" w:color="auto"/>
            </w:tcBorders>
            <w:shd w:val="clear" w:color="000000" w:fill="FFFFFF"/>
            <w:vAlign w:val="center"/>
            <w:hideMark/>
          </w:tcPr>
          <w:p w14:paraId="4BDEC32B" w14:textId="77777777" w:rsidR="0064049F" w:rsidRPr="008E2A3E" w:rsidRDefault="0064049F" w:rsidP="008E2A3E">
            <w:pPr>
              <w:spacing w:after="0" w:line="240" w:lineRule="auto"/>
              <w:ind w:firstLineChars="100" w:firstLine="240"/>
              <w:jc w:val="center"/>
              <w:rPr>
                <w:rFonts w:ascii="Times New Roman" w:eastAsia="Times New Roman" w:hAnsi="Times New Roman" w:cs="Times New Roman"/>
                <w:color w:val="1A1C1E"/>
                <w:kern w:val="0"/>
                <w:szCs w:val="24"/>
                <w:lang w:eastAsia="en-IN"/>
                <w14:ligatures w14:val="none"/>
              </w:rPr>
            </w:pPr>
            <w:r w:rsidRPr="008E2A3E">
              <w:rPr>
                <w:rFonts w:ascii="Times New Roman" w:eastAsia="Times New Roman" w:hAnsi="Times New Roman" w:cs="Times New Roman"/>
                <w:color w:val="1A1C1E"/>
                <w:kern w:val="0"/>
                <w:szCs w:val="24"/>
                <w:lang w:eastAsia="en-IN"/>
                <w14:ligatures w14:val="none"/>
              </w:rPr>
              <w:t>19.91</w:t>
            </w:r>
          </w:p>
        </w:tc>
        <w:tc>
          <w:tcPr>
            <w:tcW w:w="1110" w:type="dxa"/>
            <w:tcBorders>
              <w:top w:val="nil"/>
              <w:left w:val="nil"/>
              <w:bottom w:val="single" w:sz="4" w:space="0" w:color="auto"/>
              <w:right w:val="single" w:sz="4" w:space="0" w:color="auto"/>
            </w:tcBorders>
            <w:shd w:val="clear" w:color="000000" w:fill="FFFFFF"/>
            <w:vAlign w:val="center"/>
            <w:hideMark/>
          </w:tcPr>
          <w:p w14:paraId="3BF22B87" w14:textId="77777777" w:rsidR="0064049F" w:rsidRPr="008E2A3E" w:rsidRDefault="0064049F" w:rsidP="008E2A3E">
            <w:pPr>
              <w:spacing w:after="0" w:line="240" w:lineRule="auto"/>
              <w:ind w:firstLineChars="100" w:firstLine="240"/>
              <w:jc w:val="center"/>
              <w:rPr>
                <w:rFonts w:ascii="Times New Roman" w:eastAsia="Times New Roman" w:hAnsi="Times New Roman" w:cs="Times New Roman"/>
                <w:color w:val="1A1C1E"/>
                <w:kern w:val="0"/>
                <w:szCs w:val="24"/>
                <w:lang w:eastAsia="en-IN"/>
                <w14:ligatures w14:val="none"/>
              </w:rPr>
            </w:pPr>
            <w:r w:rsidRPr="008E2A3E">
              <w:rPr>
                <w:rFonts w:ascii="Times New Roman" w:eastAsia="Times New Roman" w:hAnsi="Times New Roman" w:cs="Times New Roman"/>
                <w:color w:val="1A1C1E"/>
                <w:kern w:val="0"/>
                <w:szCs w:val="24"/>
                <w:lang w:eastAsia="en-IN"/>
                <w14:ligatures w14:val="none"/>
              </w:rPr>
              <w:t>1.28</w:t>
            </w:r>
          </w:p>
        </w:tc>
        <w:tc>
          <w:tcPr>
            <w:tcW w:w="1416" w:type="dxa"/>
            <w:tcBorders>
              <w:top w:val="nil"/>
              <w:left w:val="nil"/>
              <w:bottom w:val="single" w:sz="4" w:space="0" w:color="auto"/>
              <w:right w:val="single" w:sz="4" w:space="0" w:color="auto"/>
            </w:tcBorders>
            <w:shd w:val="clear" w:color="000000" w:fill="FFFFFF"/>
            <w:vAlign w:val="center"/>
            <w:hideMark/>
          </w:tcPr>
          <w:p w14:paraId="547CAAE4" w14:textId="77777777" w:rsidR="0064049F" w:rsidRPr="008E2A3E" w:rsidRDefault="0064049F" w:rsidP="008E2A3E">
            <w:pPr>
              <w:spacing w:after="0" w:line="240" w:lineRule="auto"/>
              <w:ind w:firstLineChars="100" w:firstLine="240"/>
              <w:jc w:val="center"/>
              <w:rPr>
                <w:rFonts w:ascii="Times New Roman" w:eastAsia="Times New Roman" w:hAnsi="Times New Roman" w:cs="Times New Roman"/>
                <w:color w:val="1A1C1E"/>
                <w:kern w:val="0"/>
                <w:szCs w:val="24"/>
                <w:lang w:eastAsia="en-IN"/>
                <w14:ligatures w14:val="none"/>
              </w:rPr>
            </w:pPr>
            <w:r w:rsidRPr="008E2A3E">
              <w:rPr>
                <w:rFonts w:ascii="Times New Roman" w:eastAsia="Times New Roman" w:hAnsi="Times New Roman" w:cs="Times New Roman"/>
                <w:color w:val="1A1C1E"/>
                <w:kern w:val="0"/>
                <w:szCs w:val="24"/>
                <w:lang w:eastAsia="en-IN"/>
                <w14:ligatures w14:val="none"/>
              </w:rPr>
              <w:t>6.65</w:t>
            </w:r>
          </w:p>
        </w:tc>
        <w:tc>
          <w:tcPr>
            <w:tcW w:w="1071" w:type="dxa"/>
            <w:tcBorders>
              <w:top w:val="nil"/>
              <w:left w:val="nil"/>
              <w:bottom w:val="single" w:sz="4" w:space="0" w:color="auto"/>
              <w:right w:val="single" w:sz="4" w:space="0" w:color="auto"/>
            </w:tcBorders>
            <w:shd w:val="clear" w:color="000000" w:fill="FFFFFF"/>
            <w:vAlign w:val="center"/>
            <w:hideMark/>
          </w:tcPr>
          <w:p w14:paraId="4DB4C64B" w14:textId="77777777" w:rsidR="0064049F" w:rsidRPr="008E2A3E" w:rsidRDefault="0064049F" w:rsidP="008E2A3E">
            <w:pPr>
              <w:spacing w:after="0" w:line="240" w:lineRule="auto"/>
              <w:ind w:firstLineChars="100" w:firstLine="240"/>
              <w:jc w:val="center"/>
              <w:rPr>
                <w:rFonts w:ascii="Times New Roman" w:eastAsia="Times New Roman" w:hAnsi="Times New Roman" w:cs="Times New Roman"/>
                <w:color w:val="1A1C1E"/>
                <w:kern w:val="0"/>
                <w:szCs w:val="24"/>
                <w:lang w:eastAsia="en-IN"/>
                <w14:ligatures w14:val="none"/>
              </w:rPr>
            </w:pPr>
            <w:r w:rsidRPr="008E2A3E">
              <w:rPr>
                <w:rFonts w:ascii="Times New Roman" w:eastAsia="Times New Roman" w:hAnsi="Times New Roman" w:cs="Times New Roman"/>
                <w:color w:val="1A1C1E"/>
                <w:kern w:val="0"/>
                <w:szCs w:val="24"/>
                <w:lang w:eastAsia="en-IN"/>
                <w14:ligatures w14:val="none"/>
              </w:rPr>
              <w:t>10.32</w:t>
            </w:r>
          </w:p>
        </w:tc>
        <w:tc>
          <w:tcPr>
            <w:tcW w:w="1511" w:type="dxa"/>
            <w:tcBorders>
              <w:top w:val="nil"/>
              <w:left w:val="nil"/>
              <w:bottom w:val="single" w:sz="4" w:space="0" w:color="auto"/>
              <w:right w:val="single" w:sz="4" w:space="0" w:color="auto"/>
            </w:tcBorders>
            <w:shd w:val="clear" w:color="000000" w:fill="FFFFFF"/>
            <w:vAlign w:val="center"/>
            <w:hideMark/>
          </w:tcPr>
          <w:p w14:paraId="2B280071" w14:textId="77777777" w:rsidR="0064049F" w:rsidRPr="008E2A3E" w:rsidRDefault="0064049F" w:rsidP="008E2A3E">
            <w:pPr>
              <w:spacing w:after="0" w:line="240" w:lineRule="auto"/>
              <w:ind w:firstLineChars="100" w:firstLine="240"/>
              <w:jc w:val="center"/>
              <w:rPr>
                <w:rFonts w:ascii="Times New Roman" w:eastAsia="Times New Roman" w:hAnsi="Times New Roman" w:cs="Times New Roman"/>
                <w:color w:val="1A1C1E"/>
                <w:kern w:val="0"/>
                <w:szCs w:val="24"/>
                <w:lang w:eastAsia="en-IN"/>
                <w14:ligatures w14:val="none"/>
              </w:rPr>
            </w:pPr>
            <w:r w:rsidRPr="008E2A3E">
              <w:rPr>
                <w:rFonts w:ascii="Times New Roman" w:eastAsia="Times New Roman" w:hAnsi="Times New Roman" w:cs="Times New Roman"/>
                <w:color w:val="1A1C1E"/>
                <w:kern w:val="0"/>
                <w:szCs w:val="24"/>
                <w:lang w:eastAsia="en-IN"/>
                <w14:ligatures w14:val="none"/>
              </w:rPr>
              <w:t>1.41</w:t>
            </w:r>
          </w:p>
        </w:tc>
        <w:tc>
          <w:tcPr>
            <w:tcW w:w="1284" w:type="dxa"/>
            <w:tcBorders>
              <w:top w:val="nil"/>
              <w:left w:val="nil"/>
              <w:bottom w:val="single" w:sz="4" w:space="0" w:color="auto"/>
              <w:right w:val="single" w:sz="4" w:space="0" w:color="auto"/>
            </w:tcBorders>
            <w:shd w:val="clear" w:color="000000" w:fill="FFFFFF"/>
            <w:vAlign w:val="center"/>
            <w:hideMark/>
          </w:tcPr>
          <w:p w14:paraId="38A5B6AF" w14:textId="77777777" w:rsidR="0064049F" w:rsidRPr="008E2A3E" w:rsidRDefault="0064049F" w:rsidP="008E2A3E">
            <w:pPr>
              <w:spacing w:after="0" w:line="240" w:lineRule="auto"/>
              <w:ind w:firstLineChars="100" w:firstLine="240"/>
              <w:jc w:val="center"/>
              <w:rPr>
                <w:rFonts w:ascii="Times New Roman" w:eastAsia="Times New Roman" w:hAnsi="Times New Roman" w:cs="Times New Roman"/>
                <w:color w:val="1A1C1E"/>
                <w:kern w:val="0"/>
                <w:szCs w:val="24"/>
                <w:lang w:eastAsia="en-IN"/>
                <w14:ligatures w14:val="none"/>
              </w:rPr>
            </w:pPr>
            <w:r w:rsidRPr="008E2A3E">
              <w:rPr>
                <w:rFonts w:ascii="Times New Roman" w:eastAsia="Times New Roman" w:hAnsi="Times New Roman" w:cs="Times New Roman"/>
                <w:color w:val="1A1C1E"/>
                <w:kern w:val="0"/>
                <w:szCs w:val="24"/>
                <w:lang w:eastAsia="en-IN"/>
                <w14:ligatures w14:val="none"/>
              </w:rPr>
              <w:t>0.89</w:t>
            </w:r>
          </w:p>
        </w:tc>
        <w:tc>
          <w:tcPr>
            <w:tcW w:w="2004" w:type="dxa"/>
            <w:tcBorders>
              <w:top w:val="nil"/>
              <w:left w:val="nil"/>
              <w:bottom w:val="single" w:sz="4" w:space="0" w:color="auto"/>
              <w:right w:val="single" w:sz="4" w:space="0" w:color="auto"/>
            </w:tcBorders>
            <w:shd w:val="clear" w:color="000000" w:fill="FFFFFF"/>
            <w:vAlign w:val="center"/>
            <w:hideMark/>
          </w:tcPr>
          <w:p w14:paraId="485E23ED" w14:textId="77777777" w:rsidR="0064049F" w:rsidRPr="008E2A3E" w:rsidRDefault="0064049F" w:rsidP="008E2A3E">
            <w:pPr>
              <w:spacing w:after="0" w:line="240" w:lineRule="auto"/>
              <w:ind w:firstLineChars="100" w:firstLine="240"/>
              <w:jc w:val="center"/>
              <w:rPr>
                <w:rFonts w:ascii="Times New Roman" w:eastAsia="Times New Roman" w:hAnsi="Times New Roman" w:cs="Times New Roman"/>
                <w:color w:val="1A1C1E"/>
                <w:kern w:val="0"/>
                <w:szCs w:val="24"/>
                <w:lang w:eastAsia="en-IN"/>
                <w14:ligatures w14:val="none"/>
              </w:rPr>
            </w:pPr>
            <w:r w:rsidRPr="008E2A3E">
              <w:rPr>
                <w:rFonts w:ascii="Times New Roman" w:eastAsia="Times New Roman" w:hAnsi="Times New Roman" w:cs="Times New Roman"/>
                <w:color w:val="1A1C1E"/>
                <w:kern w:val="0"/>
                <w:szCs w:val="24"/>
                <w:lang w:eastAsia="en-IN"/>
                <w14:ligatures w14:val="none"/>
              </w:rPr>
              <w:t>2.32</w:t>
            </w:r>
          </w:p>
        </w:tc>
        <w:tc>
          <w:tcPr>
            <w:tcW w:w="1207" w:type="dxa"/>
            <w:tcBorders>
              <w:top w:val="nil"/>
              <w:left w:val="nil"/>
              <w:bottom w:val="single" w:sz="4" w:space="0" w:color="auto"/>
              <w:right w:val="single" w:sz="4" w:space="0" w:color="auto"/>
            </w:tcBorders>
            <w:shd w:val="clear" w:color="000000" w:fill="FFFFFF"/>
            <w:vAlign w:val="center"/>
            <w:hideMark/>
          </w:tcPr>
          <w:p w14:paraId="5E951875" w14:textId="77777777" w:rsidR="0064049F" w:rsidRPr="008E2A3E" w:rsidRDefault="0064049F" w:rsidP="008E2A3E">
            <w:pPr>
              <w:spacing w:after="0" w:line="240" w:lineRule="auto"/>
              <w:ind w:firstLineChars="100" w:firstLine="240"/>
              <w:jc w:val="center"/>
              <w:rPr>
                <w:rFonts w:ascii="Times New Roman" w:eastAsia="Times New Roman" w:hAnsi="Times New Roman" w:cs="Times New Roman"/>
                <w:color w:val="1A1C1E"/>
                <w:kern w:val="0"/>
                <w:szCs w:val="24"/>
                <w:lang w:eastAsia="en-IN"/>
                <w14:ligatures w14:val="none"/>
              </w:rPr>
            </w:pPr>
            <w:r w:rsidRPr="008E2A3E">
              <w:rPr>
                <w:rFonts w:ascii="Times New Roman" w:eastAsia="Times New Roman" w:hAnsi="Times New Roman" w:cs="Times New Roman"/>
                <w:color w:val="1A1C1E"/>
                <w:kern w:val="0"/>
                <w:szCs w:val="24"/>
                <w:lang w:eastAsia="en-IN"/>
                <w14:ligatures w14:val="none"/>
              </w:rPr>
              <w:t>1.16</w:t>
            </w:r>
          </w:p>
        </w:tc>
        <w:tc>
          <w:tcPr>
            <w:tcW w:w="1116" w:type="dxa"/>
            <w:tcBorders>
              <w:top w:val="nil"/>
              <w:left w:val="nil"/>
              <w:bottom w:val="single" w:sz="4" w:space="0" w:color="auto"/>
              <w:right w:val="single" w:sz="4" w:space="0" w:color="auto"/>
            </w:tcBorders>
            <w:shd w:val="clear" w:color="000000" w:fill="FFFFFF"/>
            <w:vAlign w:val="center"/>
            <w:hideMark/>
          </w:tcPr>
          <w:p w14:paraId="18D826C9" w14:textId="77777777" w:rsidR="0064049F" w:rsidRPr="008E2A3E" w:rsidRDefault="0064049F" w:rsidP="008E2A3E">
            <w:pPr>
              <w:spacing w:after="0" w:line="240" w:lineRule="auto"/>
              <w:ind w:firstLineChars="100" w:firstLine="240"/>
              <w:jc w:val="center"/>
              <w:rPr>
                <w:rFonts w:ascii="Times New Roman" w:eastAsia="Times New Roman" w:hAnsi="Times New Roman" w:cs="Times New Roman"/>
                <w:color w:val="1A1C1E"/>
                <w:kern w:val="0"/>
                <w:szCs w:val="24"/>
                <w:lang w:eastAsia="en-IN"/>
                <w14:ligatures w14:val="none"/>
              </w:rPr>
            </w:pPr>
            <w:r w:rsidRPr="008E2A3E">
              <w:rPr>
                <w:rFonts w:ascii="Times New Roman" w:eastAsia="Times New Roman" w:hAnsi="Times New Roman" w:cs="Times New Roman"/>
                <w:color w:val="1A1C1E"/>
                <w:kern w:val="0"/>
                <w:szCs w:val="24"/>
                <w:lang w:eastAsia="en-IN"/>
                <w14:ligatures w14:val="none"/>
              </w:rPr>
              <w:t>117</w:t>
            </w:r>
          </w:p>
        </w:tc>
      </w:tr>
      <w:tr w:rsidR="0064049F" w:rsidRPr="008E2A3E" w14:paraId="3BFE3080" w14:textId="77777777" w:rsidTr="008E2A3E">
        <w:trPr>
          <w:trHeight w:val="273"/>
        </w:trPr>
        <w:tc>
          <w:tcPr>
            <w:tcW w:w="1977" w:type="dxa"/>
            <w:tcBorders>
              <w:top w:val="nil"/>
              <w:left w:val="single" w:sz="4" w:space="0" w:color="auto"/>
              <w:bottom w:val="single" w:sz="4" w:space="0" w:color="auto"/>
              <w:right w:val="single" w:sz="4" w:space="0" w:color="auto"/>
            </w:tcBorders>
            <w:shd w:val="clear" w:color="000000" w:fill="FFFFFF"/>
            <w:vAlign w:val="center"/>
            <w:hideMark/>
          </w:tcPr>
          <w:p w14:paraId="4444DDD1" w14:textId="77777777" w:rsidR="0064049F" w:rsidRPr="008E2A3E" w:rsidRDefault="0064049F" w:rsidP="0064049F">
            <w:pPr>
              <w:spacing w:after="0" w:line="240" w:lineRule="auto"/>
              <w:ind w:firstLineChars="100" w:firstLine="240"/>
              <w:rPr>
                <w:rFonts w:ascii="Times New Roman" w:eastAsia="Times New Roman" w:hAnsi="Times New Roman" w:cs="Times New Roman"/>
                <w:color w:val="1A1C1E"/>
                <w:kern w:val="0"/>
                <w:szCs w:val="24"/>
                <w:lang w:eastAsia="en-IN"/>
                <w14:ligatures w14:val="none"/>
              </w:rPr>
            </w:pPr>
            <w:r w:rsidRPr="008E2A3E">
              <w:rPr>
                <w:rFonts w:ascii="Times New Roman" w:eastAsia="Times New Roman" w:hAnsi="Times New Roman" w:cs="Times New Roman"/>
                <w:color w:val="1A1C1E"/>
                <w:kern w:val="0"/>
                <w:szCs w:val="24"/>
                <w:lang w:eastAsia="en-IN"/>
                <w14:ligatures w14:val="none"/>
              </w:rPr>
              <w:t>1967-68</w:t>
            </w:r>
          </w:p>
        </w:tc>
        <w:tc>
          <w:tcPr>
            <w:tcW w:w="1035" w:type="dxa"/>
            <w:tcBorders>
              <w:top w:val="nil"/>
              <w:left w:val="nil"/>
              <w:bottom w:val="single" w:sz="4" w:space="0" w:color="auto"/>
              <w:right w:val="single" w:sz="4" w:space="0" w:color="auto"/>
            </w:tcBorders>
            <w:shd w:val="clear" w:color="000000" w:fill="FFFFFF"/>
            <w:vAlign w:val="center"/>
            <w:hideMark/>
          </w:tcPr>
          <w:p w14:paraId="20FE80FB" w14:textId="77777777" w:rsidR="0064049F" w:rsidRPr="008E2A3E" w:rsidRDefault="0064049F" w:rsidP="008E2A3E">
            <w:pPr>
              <w:spacing w:after="0" w:line="240" w:lineRule="auto"/>
              <w:ind w:firstLineChars="100" w:firstLine="240"/>
              <w:jc w:val="center"/>
              <w:rPr>
                <w:rFonts w:ascii="Times New Roman" w:eastAsia="Times New Roman" w:hAnsi="Times New Roman" w:cs="Times New Roman"/>
                <w:color w:val="1A1C1E"/>
                <w:kern w:val="0"/>
                <w:szCs w:val="24"/>
                <w:lang w:eastAsia="en-IN"/>
                <w14:ligatures w14:val="none"/>
              </w:rPr>
            </w:pPr>
            <w:r w:rsidRPr="008E2A3E">
              <w:rPr>
                <w:rFonts w:ascii="Times New Roman" w:eastAsia="Times New Roman" w:hAnsi="Times New Roman" w:cs="Times New Roman"/>
                <w:color w:val="1A1C1E"/>
                <w:kern w:val="0"/>
                <w:szCs w:val="24"/>
                <w:lang w:eastAsia="en-IN"/>
                <w14:ligatures w14:val="none"/>
              </w:rPr>
              <w:t>1.85</w:t>
            </w:r>
          </w:p>
        </w:tc>
        <w:tc>
          <w:tcPr>
            <w:tcW w:w="996" w:type="dxa"/>
            <w:tcBorders>
              <w:top w:val="nil"/>
              <w:left w:val="nil"/>
              <w:bottom w:val="single" w:sz="4" w:space="0" w:color="auto"/>
              <w:right w:val="single" w:sz="4" w:space="0" w:color="auto"/>
            </w:tcBorders>
            <w:shd w:val="clear" w:color="000000" w:fill="FFFFFF"/>
            <w:vAlign w:val="center"/>
            <w:hideMark/>
          </w:tcPr>
          <w:p w14:paraId="5EA6DFCB" w14:textId="77777777" w:rsidR="0064049F" w:rsidRPr="008E2A3E" w:rsidRDefault="0064049F" w:rsidP="008E2A3E">
            <w:pPr>
              <w:spacing w:after="0" w:line="240" w:lineRule="auto"/>
              <w:ind w:firstLineChars="100" w:firstLine="240"/>
              <w:jc w:val="center"/>
              <w:rPr>
                <w:rFonts w:ascii="Times New Roman" w:eastAsia="Times New Roman" w:hAnsi="Times New Roman" w:cs="Times New Roman"/>
                <w:color w:val="1A1C1E"/>
                <w:kern w:val="0"/>
                <w:szCs w:val="24"/>
                <w:lang w:eastAsia="en-IN"/>
                <w14:ligatures w14:val="none"/>
              </w:rPr>
            </w:pPr>
            <w:r w:rsidRPr="008E2A3E">
              <w:rPr>
                <w:rFonts w:ascii="Times New Roman" w:eastAsia="Times New Roman" w:hAnsi="Times New Roman" w:cs="Times New Roman"/>
                <w:color w:val="1A1C1E"/>
                <w:kern w:val="0"/>
                <w:szCs w:val="24"/>
                <w:lang w:eastAsia="en-IN"/>
                <w14:ligatures w14:val="none"/>
              </w:rPr>
              <w:t>18.06</w:t>
            </w:r>
          </w:p>
        </w:tc>
        <w:tc>
          <w:tcPr>
            <w:tcW w:w="1110" w:type="dxa"/>
            <w:tcBorders>
              <w:top w:val="nil"/>
              <w:left w:val="nil"/>
              <w:bottom w:val="single" w:sz="4" w:space="0" w:color="auto"/>
              <w:right w:val="single" w:sz="4" w:space="0" w:color="auto"/>
            </w:tcBorders>
            <w:shd w:val="clear" w:color="000000" w:fill="FFFFFF"/>
            <w:vAlign w:val="center"/>
            <w:hideMark/>
          </w:tcPr>
          <w:p w14:paraId="42E45AF1" w14:textId="77777777" w:rsidR="0064049F" w:rsidRPr="008E2A3E" w:rsidRDefault="0064049F" w:rsidP="008E2A3E">
            <w:pPr>
              <w:spacing w:after="0" w:line="240" w:lineRule="auto"/>
              <w:ind w:firstLineChars="100" w:firstLine="240"/>
              <w:jc w:val="center"/>
              <w:rPr>
                <w:rFonts w:ascii="Times New Roman" w:eastAsia="Times New Roman" w:hAnsi="Times New Roman" w:cs="Times New Roman"/>
                <w:color w:val="1A1C1E"/>
                <w:kern w:val="0"/>
                <w:szCs w:val="24"/>
                <w:lang w:eastAsia="en-IN"/>
                <w14:ligatures w14:val="none"/>
              </w:rPr>
            </w:pPr>
            <w:r w:rsidRPr="008E2A3E">
              <w:rPr>
                <w:rFonts w:ascii="Times New Roman" w:eastAsia="Times New Roman" w:hAnsi="Times New Roman" w:cs="Times New Roman"/>
                <w:color w:val="1A1C1E"/>
                <w:kern w:val="0"/>
                <w:szCs w:val="24"/>
                <w:lang w:eastAsia="en-IN"/>
                <w14:ligatures w14:val="none"/>
              </w:rPr>
              <w:t>0.96</w:t>
            </w:r>
          </w:p>
        </w:tc>
        <w:tc>
          <w:tcPr>
            <w:tcW w:w="1416" w:type="dxa"/>
            <w:tcBorders>
              <w:top w:val="nil"/>
              <w:left w:val="nil"/>
              <w:bottom w:val="single" w:sz="4" w:space="0" w:color="auto"/>
              <w:right w:val="single" w:sz="4" w:space="0" w:color="auto"/>
            </w:tcBorders>
            <w:shd w:val="clear" w:color="000000" w:fill="FFFFFF"/>
            <w:vAlign w:val="center"/>
            <w:hideMark/>
          </w:tcPr>
          <w:p w14:paraId="4D81B47B" w14:textId="77777777" w:rsidR="0064049F" w:rsidRPr="008E2A3E" w:rsidRDefault="0064049F" w:rsidP="008E2A3E">
            <w:pPr>
              <w:spacing w:after="0" w:line="240" w:lineRule="auto"/>
              <w:ind w:firstLineChars="100" w:firstLine="240"/>
              <w:jc w:val="center"/>
              <w:rPr>
                <w:rFonts w:ascii="Times New Roman" w:eastAsia="Times New Roman" w:hAnsi="Times New Roman" w:cs="Times New Roman"/>
                <w:color w:val="1A1C1E"/>
                <w:kern w:val="0"/>
                <w:szCs w:val="24"/>
                <w:lang w:eastAsia="en-IN"/>
                <w14:ligatures w14:val="none"/>
              </w:rPr>
            </w:pPr>
            <w:r w:rsidRPr="008E2A3E">
              <w:rPr>
                <w:rFonts w:ascii="Times New Roman" w:eastAsia="Times New Roman" w:hAnsi="Times New Roman" w:cs="Times New Roman"/>
                <w:color w:val="1A1C1E"/>
                <w:kern w:val="0"/>
                <w:szCs w:val="24"/>
                <w:lang w:eastAsia="en-IN"/>
                <w14:ligatures w14:val="none"/>
              </w:rPr>
              <w:t>6.21</w:t>
            </w:r>
          </w:p>
        </w:tc>
        <w:tc>
          <w:tcPr>
            <w:tcW w:w="1071" w:type="dxa"/>
            <w:tcBorders>
              <w:top w:val="nil"/>
              <w:left w:val="nil"/>
              <w:bottom w:val="single" w:sz="4" w:space="0" w:color="auto"/>
              <w:right w:val="single" w:sz="4" w:space="0" w:color="auto"/>
            </w:tcBorders>
            <w:shd w:val="clear" w:color="000000" w:fill="FFFFFF"/>
            <w:vAlign w:val="center"/>
            <w:hideMark/>
          </w:tcPr>
          <w:p w14:paraId="03F59FDD" w14:textId="77777777" w:rsidR="0064049F" w:rsidRPr="008E2A3E" w:rsidRDefault="0064049F" w:rsidP="008E2A3E">
            <w:pPr>
              <w:spacing w:after="0" w:line="240" w:lineRule="auto"/>
              <w:ind w:firstLineChars="100" w:firstLine="240"/>
              <w:jc w:val="center"/>
              <w:rPr>
                <w:rFonts w:ascii="Times New Roman" w:eastAsia="Times New Roman" w:hAnsi="Times New Roman" w:cs="Times New Roman"/>
                <w:color w:val="1A1C1E"/>
                <w:kern w:val="0"/>
                <w:szCs w:val="24"/>
                <w:lang w:eastAsia="en-IN"/>
                <w14:ligatures w14:val="none"/>
              </w:rPr>
            </w:pPr>
            <w:r w:rsidRPr="008E2A3E">
              <w:rPr>
                <w:rFonts w:ascii="Times New Roman" w:eastAsia="Times New Roman" w:hAnsi="Times New Roman" w:cs="Times New Roman"/>
                <w:color w:val="1A1C1E"/>
                <w:kern w:val="0"/>
                <w:szCs w:val="24"/>
                <w:lang w:eastAsia="en-IN"/>
                <w14:ligatures w14:val="none"/>
              </w:rPr>
              <w:t>7.96</w:t>
            </w:r>
          </w:p>
        </w:tc>
        <w:tc>
          <w:tcPr>
            <w:tcW w:w="1511" w:type="dxa"/>
            <w:tcBorders>
              <w:top w:val="nil"/>
              <w:left w:val="nil"/>
              <w:bottom w:val="single" w:sz="4" w:space="0" w:color="auto"/>
              <w:right w:val="single" w:sz="4" w:space="0" w:color="auto"/>
            </w:tcBorders>
            <w:shd w:val="clear" w:color="000000" w:fill="FFFFFF"/>
            <w:vAlign w:val="center"/>
            <w:hideMark/>
          </w:tcPr>
          <w:p w14:paraId="01029836" w14:textId="19E9E7A8" w:rsidR="0064049F" w:rsidRPr="008E2A3E" w:rsidRDefault="0064049F" w:rsidP="008E2A3E">
            <w:pPr>
              <w:spacing w:after="0" w:line="240" w:lineRule="auto"/>
              <w:ind w:firstLineChars="100" w:firstLine="240"/>
              <w:jc w:val="center"/>
              <w:rPr>
                <w:rFonts w:ascii="Times New Roman" w:eastAsia="Times New Roman" w:hAnsi="Times New Roman" w:cs="Times New Roman"/>
                <w:color w:val="1A1C1E"/>
                <w:kern w:val="0"/>
                <w:szCs w:val="24"/>
                <w:lang w:eastAsia="en-IN"/>
                <w14:ligatures w14:val="none"/>
              </w:rPr>
            </w:pPr>
            <w:r w:rsidRPr="008E2A3E">
              <w:rPr>
                <w:rFonts w:ascii="Times New Roman" w:eastAsia="Times New Roman" w:hAnsi="Times New Roman" w:cs="Times New Roman"/>
                <w:color w:val="1A1C1E"/>
                <w:kern w:val="0"/>
                <w:szCs w:val="24"/>
                <w:lang w:eastAsia="en-IN"/>
                <w14:ligatures w14:val="none"/>
              </w:rPr>
              <w:t>0.9</w:t>
            </w:r>
            <w:r w:rsidR="00090475">
              <w:rPr>
                <w:rFonts w:ascii="Times New Roman" w:eastAsia="Times New Roman" w:hAnsi="Times New Roman" w:cs="Times New Roman"/>
                <w:color w:val="1A1C1E"/>
                <w:kern w:val="0"/>
                <w:szCs w:val="24"/>
                <w:lang w:eastAsia="en-IN"/>
                <w14:ligatures w14:val="none"/>
              </w:rPr>
              <w:t>0</w:t>
            </w:r>
          </w:p>
        </w:tc>
        <w:tc>
          <w:tcPr>
            <w:tcW w:w="1284" w:type="dxa"/>
            <w:tcBorders>
              <w:top w:val="nil"/>
              <w:left w:val="nil"/>
              <w:bottom w:val="single" w:sz="4" w:space="0" w:color="auto"/>
              <w:right w:val="single" w:sz="4" w:space="0" w:color="auto"/>
            </w:tcBorders>
            <w:shd w:val="clear" w:color="000000" w:fill="FFFFFF"/>
            <w:vAlign w:val="center"/>
            <w:hideMark/>
          </w:tcPr>
          <w:p w14:paraId="5B960890" w14:textId="3D68E6A2" w:rsidR="0064049F" w:rsidRPr="008E2A3E" w:rsidRDefault="0064049F" w:rsidP="008E2A3E">
            <w:pPr>
              <w:spacing w:after="0" w:line="240" w:lineRule="auto"/>
              <w:ind w:firstLineChars="100" w:firstLine="240"/>
              <w:jc w:val="center"/>
              <w:rPr>
                <w:rFonts w:ascii="Times New Roman" w:eastAsia="Times New Roman" w:hAnsi="Times New Roman" w:cs="Times New Roman"/>
                <w:color w:val="1A1C1E"/>
                <w:kern w:val="0"/>
                <w:szCs w:val="24"/>
                <w:lang w:eastAsia="en-IN"/>
                <w14:ligatures w14:val="none"/>
              </w:rPr>
            </w:pPr>
            <w:r w:rsidRPr="008E2A3E">
              <w:rPr>
                <w:rFonts w:ascii="Times New Roman" w:eastAsia="Times New Roman" w:hAnsi="Times New Roman" w:cs="Times New Roman"/>
                <w:color w:val="1A1C1E"/>
                <w:kern w:val="0"/>
                <w:szCs w:val="24"/>
                <w:lang w:eastAsia="en-IN"/>
                <w14:ligatures w14:val="none"/>
              </w:rPr>
              <w:t>0.6</w:t>
            </w:r>
            <w:r w:rsidR="00090475">
              <w:rPr>
                <w:rFonts w:ascii="Times New Roman" w:eastAsia="Times New Roman" w:hAnsi="Times New Roman" w:cs="Times New Roman"/>
                <w:color w:val="1A1C1E"/>
                <w:kern w:val="0"/>
                <w:szCs w:val="24"/>
                <w:lang w:eastAsia="en-IN"/>
                <w14:ligatures w14:val="none"/>
              </w:rPr>
              <w:t>0</w:t>
            </w:r>
          </w:p>
        </w:tc>
        <w:tc>
          <w:tcPr>
            <w:tcW w:w="2004" w:type="dxa"/>
            <w:tcBorders>
              <w:top w:val="nil"/>
              <w:left w:val="nil"/>
              <w:bottom w:val="single" w:sz="4" w:space="0" w:color="auto"/>
              <w:right w:val="single" w:sz="4" w:space="0" w:color="auto"/>
            </w:tcBorders>
            <w:shd w:val="clear" w:color="000000" w:fill="FFFFFF"/>
            <w:vAlign w:val="center"/>
            <w:hideMark/>
          </w:tcPr>
          <w:p w14:paraId="25D357F4" w14:textId="77777777" w:rsidR="0064049F" w:rsidRPr="008E2A3E" w:rsidRDefault="0064049F" w:rsidP="008E2A3E">
            <w:pPr>
              <w:spacing w:after="0" w:line="240" w:lineRule="auto"/>
              <w:ind w:firstLineChars="100" w:firstLine="240"/>
              <w:jc w:val="center"/>
              <w:rPr>
                <w:rFonts w:ascii="Times New Roman" w:eastAsia="Times New Roman" w:hAnsi="Times New Roman" w:cs="Times New Roman"/>
                <w:color w:val="1A1C1E"/>
                <w:kern w:val="0"/>
                <w:szCs w:val="24"/>
                <w:lang w:eastAsia="en-IN"/>
                <w14:ligatures w14:val="none"/>
              </w:rPr>
            </w:pPr>
            <w:r w:rsidRPr="008E2A3E">
              <w:rPr>
                <w:rFonts w:ascii="Times New Roman" w:eastAsia="Times New Roman" w:hAnsi="Times New Roman" w:cs="Times New Roman"/>
                <w:color w:val="1A1C1E"/>
                <w:kern w:val="0"/>
                <w:szCs w:val="24"/>
                <w:lang w:eastAsia="en-IN"/>
                <w14:ligatures w14:val="none"/>
              </w:rPr>
              <w:t>1.85</w:t>
            </w:r>
          </w:p>
        </w:tc>
        <w:tc>
          <w:tcPr>
            <w:tcW w:w="1207" w:type="dxa"/>
            <w:tcBorders>
              <w:top w:val="nil"/>
              <w:left w:val="nil"/>
              <w:bottom w:val="single" w:sz="4" w:space="0" w:color="auto"/>
              <w:right w:val="single" w:sz="4" w:space="0" w:color="auto"/>
            </w:tcBorders>
            <w:shd w:val="clear" w:color="000000" w:fill="FFFFFF"/>
            <w:vAlign w:val="center"/>
            <w:hideMark/>
          </w:tcPr>
          <w:p w14:paraId="37E1F033" w14:textId="77777777" w:rsidR="0064049F" w:rsidRPr="008E2A3E" w:rsidRDefault="0064049F" w:rsidP="008E2A3E">
            <w:pPr>
              <w:spacing w:after="0" w:line="240" w:lineRule="auto"/>
              <w:ind w:firstLineChars="100" w:firstLine="240"/>
              <w:jc w:val="center"/>
              <w:rPr>
                <w:rFonts w:ascii="Times New Roman" w:eastAsia="Times New Roman" w:hAnsi="Times New Roman" w:cs="Times New Roman"/>
                <w:color w:val="1A1C1E"/>
                <w:kern w:val="0"/>
                <w:szCs w:val="24"/>
                <w:lang w:eastAsia="en-IN"/>
                <w14:ligatures w14:val="none"/>
              </w:rPr>
            </w:pPr>
            <w:r w:rsidRPr="008E2A3E">
              <w:rPr>
                <w:rFonts w:ascii="Times New Roman" w:eastAsia="Times New Roman" w:hAnsi="Times New Roman" w:cs="Times New Roman"/>
                <w:color w:val="1A1C1E"/>
                <w:kern w:val="0"/>
                <w:szCs w:val="24"/>
                <w:lang w:eastAsia="en-IN"/>
                <w14:ligatures w14:val="none"/>
              </w:rPr>
              <w:t>0.52</w:t>
            </w:r>
          </w:p>
        </w:tc>
        <w:tc>
          <w:tcPr>
            <w:tcW w:w="1116" w:type="dxa"/>
            <w:tcBorders>
              <w:top w:val="nil"/>
              <w:left w:val="nil"/>
              <w:bottom w:val="single" w:sz="4" w:space="0" w:color="auto"/>
              <w:right w:val="single" w:sz="4" w:space="0" w:color="auto"/>
            </w:tcBorders>
            <w:shd w:val="clear" w:color="000000" w:fill="FFFFFF"/>
            <w:vAlign w:val="center"/>
            <w:hideMark/>
          </w:tcPr>
          <w:p w14:paraId="71C8B615" w14:textId="77777777" w:rsidR="0064049F" w:rsidRPr="008E2A3E" w:rsidRDefault="0064049F" w:rsidP="008E2A3E">
            <w:pPr>
              <w:spacing w:after="0" w:line="240" w:lineRule="auto"/>
              <w:ind w:firstLineChars="100" w:firstLine="240"/>
              <w:jc w:val="center"/>
              <w:rPr>
                <w:rFonts w:ascii="Times New Roman" w:eastAsia="Times New Roman" w:hAnsi="Times New Roman" w:cs="Times New Roman"/>
                <w:color w:val="1A1C1E"/>
                <w:kern w:val="0"/>
                <w:szCs w:val="24"/>
                <w:lang w:eastAsia="en-IN"/>
                <w14:ligatures w14:val="none"/>
              </w:rPr>
            </w:pPr>
            <w:r w:rsidRPr="008E2A3E">
              <w:rPr>
                <w:rFonts w:ascii="Times New Roman" w:eastAsia="Times New Roman" w:hAnsi="Times New Roman" w:cs="Times New Roman"/>
                <w:color w:val="1A1C1E"/>
                <w:kern w:val="0"/>
                <w:szCs w:val="24"/>
                <w:lang w:eastAsia="en-IN"/>
                <w14:ligatures w14:val="none"/>
              </w:rPr>
              <w:t>105.46</w:t>
            </w:r>
          </w:p>
        </w:tc>
      </w:tr>
      <w:tr w:rsidR="0064049F" w:rsidRPr="008E2A3E" w14:paraId="2E62AAF2" w14:textId="77777777" w:rsidTr="008E2A3E">
        <w:trPr>
          <w:trHeight w:val="520"/>
        </w:trPr>
        <w:tc>
          <w:tcPr>
            <w:tcW w:w="1977" w:type="dxa"/>
            <w:tcBorders>
              <w:top w:val="nil"/>
              <w:left w:val="single" w:sz="4" w:space="0" w:color="auto"/>
              <w:bottom w:val="single" w:sz="4" w:space="0" w:color="auto"/>
              <w:right w:val="single" w:sz="4" w:space="0" w:color="auto"/>
            </w:tcBorders>
            <w:shd w:val="clear" w:color="000000" w:fill="FFFFFF"/>
            <w:vAlign w:val="center"/>
            <w:hideMark/>
          </w:tcPr>
          <w:p w14:paraId="2197757E" w14:textId="77777777" w:rsidR="0064049F" w:rsidRPr="008E2A3E" w:rsidRDefault="0064049F" w:rsidP="0064049F">
            <w:pPr>
              <w:spacing w:after="0" w:line="240" w:lineRule="auto"/>
              <w:ind w:firstLineChars="100" w:firstLine="240"/>
              <w:rPr>
                <w:rFonts w:ascii="Times New Roman" w:eastAsia="Times New Roman" w:hAnsi="Times New Roman" w:cs="Times New Roman"/>
                <w:color w:val="1A1C1E"/>
                <w:kern w:val="0"/>
                <w:szCs w:val="24"/>
                <w:lang w:eastAsia="en-IN"/>
                <w14:ligatures w14:val="none"/>
              </w:rPr>
            </w:pPr>
            <w:r w:rsidRPr="008E2A3E">
              <w:rPr>
                <w:rFonts w:ascii="Times New Roman" w:eastAsia="Times New Roman" w:hAnsi="Times New Roman" w:cs="Times New Roman"/>
                <w:color w:val="1A1C1E"/>
                <w:kern w:val="0"/>
                <w:szCs w:val="24"/>
                <w:lang w:eastAsia="en-IN"/>
                <w14:ligatures w14:val="none"/>
              </w:rPr>
              <w:t>1968-69 (RE)</w:t>
            </w:r>
          </w:p>
        </w:tc>
        <w:tc>
          <w:tcPr>
            <w:tcW w:w="1035" w:type="dxa"/>
            <w:tcBorders>
              <w:top w:val="nil"/>
              <w:left w:val="nil"/>
              <w:bottom w:val="single" w:sz="4" w:space="0" w:color="auto"/>
              <w:right w:val="single" w:sz="4" w:space="0" w:color="auto"/>
            </w:tcBorders>
            <w:shd w:val="clear" w:color="000000" w:fill="FFFFFF"/>
            <w:vAlign w:val="center"/>
            <w:hideMark/>
          </w:tcPr>
          <w:p w14:paraId="4A833831" w14:textId="77777777" w:rsidR="0064049F" w:rsidRPr="008E2A3E" w:rsidRDefault="0064049F" w:rsidP="008E2A3E">
            <w:pPr>
              <w:spacing w:after="0" w:line="240" w:lineRule="auto"/>
              <w:ind w:firstLineChars="100" w:firstLine="240"/>
              <w:jc w:val="center"/>
              <w:rPr>
                <w:rFonts w:ascii="Times New Roman" w:eastAsia="Times New Roman" w:hAnsi="Times New Roman" w:cs="Times New Roman"/>
                <w:color w:val="1A1C1E"/>
                <w:kern w:val="0"/>
                <w:szCs w:val="24"/>
                <w:lang w:eastAsia="en-IN"/>
                <w14:ligatures w14:val="none"/>
              </w:rPr>
            </w:pPr>
            <w:r w:rsidRPr="008E2A3E">
              <w:rPr>
                <w:rFonts w:ascii="Times New Roman" w:eastAsia="Times New Roman" w:hAnsi="Times New Roman" w:cs="Times New Roman"/>
                <w:color w:val="1A1C1E"/>
                <w:kern w:val="0"/>
                <w:szCs w:val="24"/>
                <w:lang w:eastAsia="en-IN"/>
                <w14:ligatures w14:val="none"/>
              </w:rPr>
              <w:t>1.96 (1.56)</w:t>
            </w:r>
          </w:p>
        </w:tc>
        <w:tc>
          <w:tcPr>
            <w:tcW w:w="996" w:type="dxa"/>
            <w:tcBorders>
              <w:top w:val="nil"/>
              <w:left w:val="nil"/>
              <w:bottom w:val="single" w:sz="4" w:space="0" w:color="auto"/>
              <w:right w:val="single" w:sz="4" w:space="0" w:color="auto"/>
            </w:tcBorders>
            <w:shd w:val="clear" w:color="000000" w:fill="FFFFFF"/>
            <w:vAlign w:val="center"/>
            <w:hideMark/>
          </w:tcPr>
          <w:p w14:paraId="270F8C57" w14:textId="77777777" w:rsidR="0064049F" w:rsidRPr="008E2A3E" w:rsidRDefault="0064049F" w:rsidP="008E2A3E">
            <w:pPr>
              <w:spacing w:after="0" w:line="240" w:lineRule="auto"/>
              <w:ind w:firstLineChars="100" w:firstLine="240"/>
              <w:jc w:val="center"/>
              <w:rPr>
                <w:rFonts w:ascii="Times New Roman" w:eastAsia="Times New Roman" w:hAnsi="Times New Roman" w:cs="Times New Roman"/>
                <w:color w:val="1A1C1E"/>
                <w:kern w:val="0"/>
                <w:szCs w:val="24"/>
                <w:lang w:eastAsia="en-IN"/>
                <w14:ligatures w14:val="none"/>
              </w:rPr>
            </w:pPr>
            <w:r w:rsidRPr="008E2A3E">
              <w:rPr>
                <w:rFonts w:ascii="Times New Roman" w:eastAsia="Times New Roman" w:hAnsi="Times New Roman" w:cs="Times New Roman"/>
                <w:color w:val="1A1C1E"/>
                <w:kern w:val="0"/>
                <w:szCs w:val="24"/>
                <w:lang w:eastAsia="en-IN"/>
                <w14:ligatures w14:val="none"/>
              </w:rPr>
              <w:t>21.62 (17.16)</w:t>
            </w:r>
          </w:p>
        </w:tc>
        <w:tc>
          <w:tcPr>
            <w:tcW w:w="1110" w:type="dxa"/>
            <w:tcBorders>
              <w:top w:val="nil"/>
              <w:left w:val="nil"/>
              <w:bottom w:val="single" w:sz="4" w:space="0" w:color="auto"/>
              <w:right w:val="single" w:sz="4" w:space="0" w:color="auto"/>
            </w:tcBorders>
            <w:shd w:val="clear" w:color="000000" w:fill="FFFFFF"/>
            <w:vAlign w:val="center"/>
            <w:hideMark/>
          </w:tcPr>
          <w:p w14:paraId="1A87A599" w14:textId="77777777" w:rsidR="0064049F" w:rsidRPr="008E2A3E" w:rsidRDefault="0064049F" w:rsidP="008E2A3E">
            <w:pPr>
              <w:spacing w:after="0" w:line="240" w:lineRule="auto"/>
              <w:ind w:firstLineChars="100" w:firstLine="240"/>
              <w:jc w:val="center"/>
              <w:rPr>
                <w:rFonts w:ascii="Times New Roman" w:eastAsia="Times New Roman" w:hAnsi="Times New Roman" w:cs="Times New Roman"/>
                <w:color w:val="1A1C1E"/>
                <w:kern w:val="0"/>
                <w:szCs w:val="24"/>
                <w:lang w:eastAsia="en-IN"/>
                <w14:ligatures w14:val="none"/>
              </w:rPr>
            </w:pPr>
            <w:r w:rsidRPr="008E2A3E">
              <w:rPr>
                <w:rFonts w:ascii="Times New Roman" w:eastAsia="Times New Roman" w:hAnsi="Times New Roman" w:cs="Times New Roman"/>
                <w:color w:val="1A1C1E"/>
                <w:kern w:val="0"/>
                <w:szCs w:val="24"/>
                <w:lang w:eastAsia="en-IN"/>
                <w14:ligatures w14:val="none"/>
              </w:rPr>
              <w:t>1.01 (0.80)</w:t>
            </w:r>
          </w:p>
        </w:tc>
        <w:tc>
          <w:tcPr>
            <w:tcW w:w="1416" w:type="dxa"/>
            <w:tcBorders>
              <w:top w:val="nil"/>
              <w:left w:val="nil"/>
              <w:bottom w:val="single" w:sz="4" w:space="0" w:color="auto"/>
              <w:right w:val="single" w:sz="4" w:space="0" w:color="auto"/>
            </w:tcBorders>
            <w:shd w:val="clear" w:color="000000" w:fill="FFFFFF"/>
            <w:vAlign w:val="center"/>
            <w:hideMark/>
          </w:tcPr>
          <w:p w14:paraId="60E896B4" w14:textId="77777777" w:rsidR="0064049F" w:rsidRPr="008E2A3E" w:rsidRDefault="0064049F" w:rsidP="008E2A3E">
            <w:pPr>
              <w:spacing w:after="0" w:line="240" w:lineRule="auto"/>
              <w:ind w:firstLineChars="100" w:firstLine="240"/>
              <w:jc w:val="center"/>
              <w:rPr>
                <w:rFonts w:ascii="Times New Roman" w:eastAsia="Times New Roman" w:hAnsi="Times New Roman" w:cs="Times New Roman"/>
                <w:color w:val="1A1C1E"/>
                <w:kern w:val="0"/>
                <w:szCs w:val="24"/>
                <w:lang w:eastAsia="en-IN"/>
                <w14:ligatures w14:val="none"/>
              </w:rPr>
            </w:pPr>
            <w:r w:rsidRPr="008E2A3E">
              <w:rPr>
                <w:rFonts w:ascii="Times New Roman" w:eastAsia="Times New Roman" w:hAnsi="Times New Roman" w:cs="Times New Roman"/>
                <w:color w:val="1A1C1E"/>
                <w:kern w:val="0"/>
                <w:szCs w:val="24"/>
                <w:lang w:eastAsia="en-IN"/>
                <w14:ligatures w14:val="none"/>
              </w:rPr>
              <w:t>7.05 (5.60)</w:t>
            </w:r>
          </w:p>
        </w:tc>
        <w:tc>
          <w:tcPr>
            <w:tcW w:w="1071" w:type="dxa"/>
            <w:tcBorders>
              <w:top w:val="nil"/>
              <w:left w:val="nil"/>
              <w:bottom w:val="single" w:sz="4" w:space="0" w:color="auto"/>
              <w:right w:val="single" w:sz="4" w:space="0" w:color="auto"/>
            </w:tcBorders>
            <w:shd w:val="clear" w:color="000000" w:fill="FFFFFF"/>
            <w:vAlign w:val="center"/>
            <w:hideMark/>
          </w:tcPr>
          <w:p w14:paraId="55EA531A" w14:textId="77777777" w:rsidR="0064049F" w:rsidRPr="008E2A3E" w:rsidRDefault="0064049F" w:rsidP="008E2A3E">
            <w:pPr>
              <w:spacing w:after="0" w:line="240" w:lineRule="auto"/>
              <w:ind w:firstLineChars="100" w:firstLine="240"/>
              <w:jc w:val="center"/>
              <w:rPr>
                <w:rFonts w:ascii="Times New Roman" w:eastAsia="Times New Roman" w:hAnsi="Times New Roman" w:cs="Times New Roman"/>
                <w:color w:val="1A1C1E"/>
                <w:kern w:val="0"/>
                <w:szCs w:val="24"/>
                <w:lang w:eastAsia="en-IN"/>
                <w14:ligatures w14:val="none"/>
              </w:rPr>
            </w:pPr>
            <w:r w:rsidRPr="008E2A3E">
              <w:rPr>
                <w:rFonts w:ascii="Times New Roman" w:eastAsia="Times New Roman" w:hAnsi="Times New Roman" w:cs="Times New Roman"/>
                <w:color w:val="1A1C1E"/>
                <w:kern w:val="0"/>
                <w:szCs w:val="24"/>
                <w:lang w:eastAsia="en-IN"/>
                <w14:ligatures w14:val="none"/>
              </w:rPr>
              <w:t>8.66 (6.87)</w:t>
            </w:r>
          </w:p>
        </w:tc>
        <w:tc>
          <w:tcPr>
            <w:tcW w:w="1511" w:type="dxa"/>
            <w:tcBorders>
              <w:top w:val="nil"/>
              <w:left w:val="nil"/>
              <w:bottom w:val="single" w:sz="4" w:space="0" w:color="auto"/>
              <w:right w:val="single" w:sz="4" w:space="0" w:color="auto"/>
            </w:tcBorders>
            <w:shd w:val="clear" w:color="000000" w:fill="FFFFFF"/>
            <w:vAlign w:val="center"/>
            <w:hideMark/>
          </w:tcPr>
          <w:p w14:paraId="1982F2E0" w14:textId="77777777" w:rsidR="0064049F" w:rsidRPr="008E2A3E" w:rsidRDefault="0064049F" w:rsidP="008E2A3E">
            <w:pPr>
              <w:spacing w:after="0" w:line="240" w:lineRule="auto"/>
              <w:ind w:firstLineChars="100" w:firstLine="240"/>
              <w:jc w:val="center"/>
              <w:rPr>
                <w:rFonts w:ascii="Times New Roman" w:eastAsia="Times New Roman" w:hAnsi="Times New Roman" w:cs="Times New Roman"/>
                <w:color w:val="1A1C1E"/>
                <w:kern w:val="0"/>
                <w:szCs w:val="24"/>
                <w:lang w:eastAsia="en-IN"/>
                <w14:ligatures w14:val="none"/>
              </w:rPr>
            </w:pPr>
            <w:r w:rsidRPr="008E2A3E">
              <w:rPr>
                <w:rFonts w:ascii="Times New Roman" w:eastAsia="Times New Roman" w:hAnsi="Times New Roman" w:cs="Times New Roman"/>
                <w:color w:val="1A1C1E"/>
                <w:kern w:val="0"/>
                <w:szCs w:val="24"/>
                <w:lang w:eastAsia="en-IN"/>
                <w14:ligatures w14:val="none"/>
              </w:rPr>
              <w:t>0.97 (0.77)</w:t>
            </w:r>
          </w:p>
        </w:tc>
        <w:tc>
          <w:tcPr>
            <w:tcW w:w="1284" w:type="dxa"/>
            <w:tcBorders>
              <w:top w:val="nil"/>
              <w:left w:val="nil"/>
              <w:bottom w:val="single" w:sz="4" w:space="0" w:color="auto"/>
              <w:right w:val="single" w:sz="4" w:space="0" w:color="auto"/>
            </w:tcBorders>
            <w:shd w:val="clear" w:color="000000" w:fill="FFFFFF"/>
            <w:vAlign w:val="center"/>
            <w:hideMark/>
          </w:tcPr>
          <w:p w14:paraId="4FAC3A77" w14:textId="77777777" w:rsidR="0064049F" w:rsidRPr="008E2A3E" w:rsidRDefault="0064049F" w:rsidP="008E2A3E">
            <w:pPr>
              <w:spacing w:after="0" w:line="240" w:lineRule="auto"/>
              <w:ind w:firstLineChars="100" w:firstLine="240"/>
              <w:jc w:val="center"/>
              <w:rPr>
                <w:rFonts w:ascii="Times New Roman" w:eastAsia="Times New Roman" w:hAnsi="Times New Roman" w:cs="Times New Roman"/>
                <w:color w:val="1A1C1E"/>
                <w:kern w:val="0"/>
                <w:szCs w:val="24"/>
                <w:lang w:eastAsia="en-IN"/>
                <w14:ligatures w14:val="none"/>
              </w:rPr>
            </w:pPr>
            <w:r w:rsidRPr="008E2A3E">
              <w:rPr>
                <w:rFonts w:ascii="Times New Roman" w:eastAsia="Times New Roman" w:hAnsi="Times New Roman" w:cs="Times New Roman"/>
                <w:color w:val="1A1C1E"/>
                <w:kern w:val="0"/>
                <w:szCs w:val="24"/>
                <w:lang w:eastAsia="en-IN"/>
                <w14:ligatures w14:val="none"/>
              </w:rPr>
              <w:t>0.74 (0.59)</w:t>
            </w:r>
          </w:p>
        </w:tc>
        <w:tc>
          <w:tcPr>
            <w:tcW w:w="2004" w:type="dxa"/>
            <w:tcBorders>
              <w:top w:val="nil"/>
              <w:left w:val="nil"/>
              <w:bottom w:val="single" w:sz="4" w:space="0" w:color="auto"/>
              <w:right w:val="single" w:sz="4" w:space="0" w:color="auto"/>
            </w:tcBorders>
            <w:shd w:val="clear" w:color="000000" w:fill="FFFFFF"/>
            <w:vAlign w:val="center"/>
            <w:hideMark/>
          </w:tcPr>
          <w:p w14:paraId="1D4BBED3" w14:textId="77777777" w:rsidR="0064049F" w:rsidRPr="008E2A3E" w:rsidRDefault="0064049F" w:rsidP="008E2A3E">
            <w:pPr>
              <w:spacing w:after="0" w:line="240" w:lineRule="auto"/>
              <w:ind w:firstLineChars="100" w:firstLine="240"/>
              <w:jc w:val="center"/>
              <w:rPr>
                <w:rFonts w:ascii="Times New Roman" w:eastAsia="Times New Roman" w:hAnsi="Times New Roman" w:cs="Times New Roman"/>
                <w:color w:val="1A1C1E"/>
                <w:kern w:val="0"/>
                <w:szCs w:val="24"/>
                <w:lang w:eastAsia="en-IN"/>
                <w14:ligatures w14:val="none"/>
              </w:rPr>
            </w:pPr>
            <w:r w:rsidRPr="008E2A3E">
              <w:rPr>
                <w:rFonts w:ascii="Times New Roman" w:eastAsia="Times New Roman" w:hAnsi="Times New Roman" w:cs="Times New Roman"/>
                <w:color w:val="1A1C1E"/>
                <w:kern w:val="0"/>
                <w:szCs w:val="24"/>
                <w:lang w:eastAsia="en-IN"/>
                <w14:ligatures w14:val="none"/>
              </w:rPr>
              <w:t>2.52 (2.00)</w:t>
            </w:r>
          </w:p>
        </w:tc>
        <w:tc>
          <w:tcPr>
            <w:tcW w:w="1207" w:type="dxa"/>
            <w:tcBorders>
              <w:top w:val="nil"/>
              <w:left w:val="nil"/>
              <w:bottom w:val="single" w:sz="4" w:space="0" w:color="auto"/>
              <w:right w:val="single" w:sz="4" w:space="0" w:color="auto"/>
            </w:tcBorders>
            <w:shd w:val="clear" w:color="000000" w:fill="FFFFFF"/>
            <w:vAlign w:val="center"/>
            <w:hideMark/>
          </w:tcPr>
          <w:p w14:paraId="7DE46516" w14:textId="77777777" w:rsidR="0064049F" w:rsidRPr="008E2A3E" w:rsidRDefault="0064049F" w:rsidP="008E2A3E">
            <w:pPr>
              <w:spacing w:after="0" w:line="240" w:lineRule="auto"/>
              <w:ind w:firstLineChars="100" w:firstLine="240"/>
              <w:jc w:val="center"/>
              <w:rPr>
                <w:rFonts w:ascii="Times New Roman" w:eastAsia="Times New Roman" w:hAnsi="Times New Roman" w:cs="Times New Roman"/>
                <w:color w:val="1A1C1E"/>
                <w:kern w:val="0"/>
                <w:szCs w:val="24"/>
                <w:lang w:eastAsia="en-IN"/>
                <w14:ligatures w14:val="none"/>
              </w:rPr>
            </w:pPr>
            <w:r w:rsidRPr="008E2A3E">
              <w:rPr>
                <w:rFonts w:ascii="Times New Roman" w:eastAsia="Times New Roman" w:hAnsi="Times New Roman" w:cs="Times New Roman"/>
                <w:color w:val="1A1C1E"/>
                <w:kern w:val="0"/>
                <w:szCs w:val="24"/>
                <w:lang w:eastAsia="en-IN"/>
                <w14:ligatures w14:val="none"/>
              </w:rPr>
              <w:t>0.55 (0.44)</w:t>
            </w:r>
          </w:p>
        </w:tc>
        <w:tc>
          <w:tcPr>
            <w:tcW w:w="1116" w:type="dxa"/>
            <w:tcBorders>
              <w:top w:val="nil"/>
              <w:left w:val="nil"/>
              <w:bottom w:val="single" w:sz="4" w:space="0" w:color="auto"/>
              <w:right w:val="single" w:sz="4" w:space="0" w:color="auto"/>
            </w:tcBorders>
            <w:shd w:val="clear" w:color="000000" w:fill="FFFFFF"/>
            <w:vAlign w:val="center"/>
            <w:hideMark/>
          </w:tcPr>
          <w:p w14:paraId="3E07054A" w14:textId="77777777" w:rsidR="0064049F" w:rsidRPr="008E2A3E" w:rsidRDefault="0064049F" w:rsidP="008E2A3E">
            <w:pPr>
              <w:spacing w:after="0" w:line="240" w:lineRule="auto"/>
              <w:ind w:firstLineChars="100" w:firstLine="240"/>
              <w:jc w:val="center"/>
              <w:rPr>
                <w:rFonts w:ascii="Times New Roman" w:eastAsia="Times New Roman" w:hAnsi="Times New Roman" w:cs="Times New Roman"/>
                <w:color w:val="1A1C1E"/>
                <w:kern w:val="0"/>
                <w:szCs w:val="24"/>
                <w:lang w:eastAsia="en-IN"/>
                <w14:ligatures w14:val="none"/>
              </w:rPr>
            </w:pPr>
            <w:r w:rsidRPr="008E2A3E">
              <w:rPr>
                <w:rFonts w:ascii="Times New Roman" w:eastAsia="Times New Roman" w:hAnsi="Times New Roman" w:cs="Times New Roman"/>
                <w:color w:val="1A1C1E"/>
                <w:kern w:val="0"/>
                <w:szCs w:val="24"/>
                <w:lang w:eastAsia="en-IN"/>
                <w14:ligatures w14:val="none"/>
              </w:rPr>
              <w:t>126.00 (100.00)</w:t>
            </w:r>
          </w:p>
        </w:tc>
      </w:tr>
    </w:tbl>
    <w:p w14:paraId="541EACD3" w14:textId="77777777" w:rsidR="0064049F" w:rsidRPr="007245B0" w:rsidRDefault="00EB5FE9" w:rsidP="00EB5FE9">
      <w:pPr>
        <w:tabs>
          <w:tab w:val="left" w:pos="2325"/>
        </w:tabs>
        <w:rPr>
          <w:rFonts w:ascii="Times New Roman" w:hAnsi="Times New Roman" w:cs="Times New Roman"/>
        </w:rPr>
      </w:pPr>
      <w:r w:rsidRPr="007245B0">
        <w:rPr>
          <w:rFonts w:ascii="Times New Roman" w:hAnsi="Times New Roman" w:cs="Times New Roman"/>
        </w:rPr>
        <w:tab/>
      </w:r>
    </w:p>
    <w:p w14:paraId="22A5D014" w14:textId="2322F58A" w:rsidR="00EB5FE9" w:rsidRDefault="009D510E" w:rsidP="009D510E">
      <w:pPr>
        <w:tabs>
          <w:tab w:val="left" w:pos="4658"/>
        </w:tabs>
        <w:rPr>
          <w:rFonts w:ascii="Times New Roman" w:hAnsi="Times New Roman" w:cs="Times New Roman"/>
        </w:rPr>
      </w:pPr>
      <w:r w:rsidRPr="007245B0">
        <w:rPr>
          <w:rFonts w:ascii="Times New Roman" w:hAnsi="Times New Roman" w:cs="Times New Roman"/>
        </w:rPr>
        <w:tab/>
      </w:r>
    </w:p>
    <w:tbl>
      <w:tblPr>
        <w:tblW w:w="14294" w:type="dxa"/>
        <w:jc w:val="center"/>
        <w:tblLook w:val="04A0" w:firstRow="1" w:lastRow="0" w:firstColumn="1" w:lastColumn="0" w:noHBand="0" w:noVBand="1"/>
      </w:tblPr>
      <w:tblGrid>
        <w:gridCol w:w="1403"/>
        <w:gridCol w:w="1261"/>
        <w:gridCol w:w="1261"/>
        <w:gridCol w:w="1160"/>
        <w:gridCol w:w="1416"/>
        <w:gridCol w:w="1160"/>
        <w:gridCol w:w="1270"/>
        <w:gridCol w:w="1058"/>
        <w:gridCol w:w="1763"/>
        <w:gridCol w:w="1160"/>
        <w:gridCol w:w="1463"/>
      </w:tblGrid>
      <w:tr w:rsidR="00F42E63" w:rsidRPr="0013739E" w14:paraId="67898E40" w14:textId="77777777" w:rsidTr="0013739E">
        <w:trPr>
          <w:trHeight w:val="21"/>
          <w:jc w:val="center"/>
        </w:trPr>
        <w:tc>
          <w:tcPr>
            <w:tcW w:w="1382" w:type="dxa"/>
            <w:tcBorders>
              <w:top w:val="single" w:sz="4" w:space="0" w:color="auto"/>
              <w:left w:val="single" w:sz="4" w:space="0" w:color="auto"/>
              <w:bottom w:val="single" w:sz="4" w:space="0" w:color="auto"/>
              <w:right w:val="single" w:sz="4" w:space="0" w:color="auto"/>
            </w:tcBorders>
            <w:noWrap/>
            <w:vAlign w:val="bottom"/>
            <w:hideMark/>
          </w:tcPr>
          <w:p w14:paraId="43B8C082" w14:textId="77777777" w:rsidR="00F42E63" w:rsidRPr="0013739E" w:rsidRDefault="00F42E63" w:rsidP="00F42E63">
            <w:pPr>
              <w:spacing w:after="0" w:line="240" w:lineRule="auto"/>
              <w:rPr>
                <w:rFonts w:ascii="Times New Roman" w:eastAsia="Times New Roman" w:hAnsi="Times New Roman" w:cs="Times New Roman"/>
                <w:b/>
                <w:bCs/>
                <w:color w:val="000000"/>
                <w:kern w:val="0"/>
                <w:szCs w:val="24"/>
                <w:lang w:eastAsia="en-IN"/>
                <w14:ligatures w14:val="none"/>
              </w:rPr>
            </w:pPr>
            <w:r w:rsidRPr="0013739E">
              <w:rPr>
                <w:rFonts w:ascii="Times New Roman" w:eastAsia="Times New Roman" w:hAnsi="Times New Roman" w:cs="Times New Roman"/>
                <w:b/>
                <w:bCs/>
                <w:color w:val="000000"/>
                <w:kern w:val="0"/>
                <w:szCs w:val="24"/>
                <w:lang w:eastAsia="en-IN"/>
                <w14:ligatures w14:val="none"/>
              </w:rPr>
              <w:lastRenderedPageBreak/>
              <w:t>State/Years</w:t>
            </w:r>
          </w:p>
        </w:tc>
        <w:tc>
          <w:tcPr>
            <w:tcW w:w="1261" w:type="dxa"/>
            <w:tcBorders>
              <w:top w:val="single" w:sz="4" w:space="0" w:color="auto"/>
              <w:left w:val="nil"/>
              <w:bottom w:val="single" w:sz="4" w:space="0" w:color="auto"/>
              <w:right w:val="single" w:sz="4" w:space="0" w:color="auto"/>
            </w:tcBorders>
            <w:noWrap/>
            <w:vAlign w:val="bottom"/>
            <w:hideMark/>
          </w:tcPr>
          <w:p w14:paraId="21BE1C7C" w14:textId="77777777" w:rsidR="00F42E63" w:rsidRPr="0013739E" w:rsidRDefault="00F42E63" w:rsidP="00F42E63">
            <w:pPr>
              <w:spacing w:after="0" w:line="240" w:lineRule="auto"/>
              <w:rPr>
                <w:rFonts w:ascii="Times New Roman" w:eastAsia="Times New Roman" w:hAnsi="Times New Roman" w:cs="Times New Roman"/>
                <w:b/>
                <w:bCs/>
                <w:color w:val="000000"/>
                <w:kern w:val="0"/>
                <w:szCs w:val="24"/>
                <w:lang w:eastAsia="en-IN"/>
                <w14:ligatures w14:val="none"/>
              </w:rPr>
            </w:pPr>
            <w:r w:rsidRPr="0013739E">
              <w:rPr>
                <w:rFonts w:ascii="Times New Roman" w:eastAsia="Times New Roman" w:hAnsi="Times New Roman" w:cs="Times New Roman"/>
                <w:b/>
                <w:bCs/>
                <w:color w:val="000000"/>
                <w:kern w:val="0"/>
                <w:szCs w:val="24"/>
                <w:lang w:eastAsia="en-IN"/>
                <w14:ligatures w14:val="none"/>
              </w:rPr>
              <w:t>Land revenue</w:t>
            </w:r>
          </w:p>
        </w:tc>
        <w:tc>
          <w:tcPr>
            <w:tcW w:w="1261" w:type="dxa"/>
            <w:tcBorders>
              <w:top w:val="single" w:sz="4" w:space="0" w:color="auto"/>
              <w:left w:val="nil"/>
              <w:bottom w:val="single" w:sz="4" w:space="0" w:color="auto"/>
              <w:right w:val="single" w:sz="4" w:space="0" w:color="auto"/>
            </w:tcBorders>
            <w:noWrap/>
            <w:vAlign w:val="bottom"/>
            <w:hideMark/>
          </w:tcPr>
          <w:p w14:paraId="1557920C" w14:textId="77777777" w:rsidR="00F42E63" w:rsidRPr="0013739E" w:rsidRDefault="00F42E63" w:rsidP="00F42E63">
            <w:pPr>
              <w:spacing w:after="0" w:line="240" w:lineRule="auto"/>
              <w:rPr>
                <w:rFonts w:ascii="Times New Roman" w:eastAsia="Times New Roman" w:hAnsi="Times New Roman" w:cs="Times New Roman"/>
                <w:b/>
                <w:bCs/>
                <w:color w:val="000000"/>
                <w:kern w:val="0"/>
                <w:szCs w:val="24"/>
                <w:lang w:eastAsia="en-IN"/>
                <w14:ligatures w14:val="none"/>
              </w:rPr>
            </w:pPr>
            <w:r w:rsidRPr="0013739E">
              <w:rPr>
                <w:rFonts w:ascii="Times New Roman" w:eastAsia="Times New Roman" w:hAnsi="Times New Roman" w:cs="Times New Roman"/>
                <w:b/>
                <w:bCs/>
                <w:color w:val="000000"/>
                <w:kern w:val="0"/>
                <w:szCs w:val="24"/>
                <w:lang w:eastAsia="en-IN"/>
                <w14:ligatures w14:val="none"/>
              </w:rPr>
              <w:t>Sales taxes</w:t>
            </w:r>
          </w:p>
        </w:tc>
        <w:tc>
          <w:tcPr>
            <w:tcW w:w="1160" w:type="dxa"/>
            <w:tcBorders>
              <w:top w:val="single" w:sz="4" w:space="0" w:color="auto"/>
              <w:left w:val="nil"/>
              <w:bottom w:val="single" w:sz="4" w:space="0" w:color="auto"/>
              <w:right w:val="single" w:sz="4" w:space="0" w:color="auto"/>
            </w:tcBorders>
            <w:noWrap/>
            <w:vAlign w:val="bottom"/>
            <w:hideMark/>
          </w:tcPr>
          <w:p w14:paraId="5B8A9765" w14:textId="77777777" w:rsidR="00F42E63" w:rsidRPr="0013739E" w:rsidRDefault="00F42E63" w:rsidP="00F42E63">
            <w:pPr>
              <w:spacing w:after="0" w:line="240" w:lineRule="auto"/>
              <w:rPr>
                <w:rFonts w:ascii="Times New Roman" w:eastAsia="Times New Roman" w:hAnsi="Times New Roman" w:cs="Times New Roman"/>
                <w:b/>
                <w:bCs/>
                <w:color w:val="000000"/>
                <w:kern w:val="0"/>
                <w:szCs w:val="24"/>
                <w:lang w:eastAsia="en-IN"/>
                <w14:ligatures w14:val="none"/>
              </w:rPr>
            </w:pPr>
            <w:r w:rsidRPr="0013739E">
              <w:rPr>
                <w:rFonts w:ascii="Times New Roman" w:eastAsia="Times New Roman" w:hAnsi="Times New Roman" w:cs="Times New Roman"/>
                <w:b/>
                <w:bCs/>
                <w:color w:val="000000"/>
                <w:kern w:val="0"/>
                <w:szCs w:val="24"/>
                <w:lang w:eastAsia="en-IN"/>
                <w14:ligatures w14:val="none"/>
              </w:rPr>
              <w:t>Motor vehicle tax</w:t>
            </w:r>
          </w:p>
        </w:tc>
        <w:tc>
          <w:tcPr>
            <w:tcW w:w="1393" w:type="dxa"/>
            <w:tcBorders>
              <w:top w:val="single" w:sz="4" w:space="0" w:color="auto"/>
              <w:left w:val="nil"/>
              <w:bottom w:val="single" w:sz="4" w:space="0" w:color="auto"/>
              <w:right w:val="single" w:sz="4" w:space="0" w:color="auto"/>
            </w:tcBorders>
            <w:noWrap/>
            <w:vAlign w:val="bottom"/>
            <w:hideMark/>
          </w:tcPr>
          <w:p w14:paraId="6EDEF101" w14:textId="77777777" w:rsidR="00F42E63" w:rsidRPr="0013739E" w:rsidRDefault="00F42E63" w:rsidP="00F42E63">
            <w:pPr>
              <w:spacing w:after="0" w:line="240" w:lineRule="auto"/>
              <w:rPr>
                <w:rFonts w:ascii="Times New Roman" w:eastAsia="Times New Roman" w:hAnsi="Times New Roman" w:cs="Times New Roman"/>
                <w:b/>
                <w:bCs/>
                <w:color w:val="000000"/>
                <w:kern w:val="0"/>
                <w:szCs w:val="24"/>
                <w:lang w:eastAsia="en-IN"/>
                <w14:ligatures w14:val="none"/>
              </w:rPr>
            </w:pPr>
            <w:r w:rsidRPr="0013739E">
              <w:rPr>
                <w:rFonts w:ascii="Times New Roman" w:eastAsia="Times New Roman" w:hAnsi="Times New Roman" w:cs="Times New Roman"/>
                <w:b/>
                <w:bCs/>
                <w:color w:val="000000"/>
                <w:kern w:val="0"/>
                <w:szCs w:val="24"/>
                <w:lang w:eastAsia="en-IN"/>
                <w14:ligatures w14:val="none"/>
              </w:rPr>
              <w:t>Stamps and registration</w:t>
            </w:r>
          </w:p>
        </w:tc>
        <w:tc>
          <w:tcPr>
            <w:tcW w:w="1160" w:type="dxa"/>
            <w:tcBorders>
              <w:top w:val="single" w:sz="4" w:space="0" w:color="auto"/>
              <w:left w:val="nil"/>
              <w:bottom w:val="single" w:sz="4" w:space="0" w:color="auto"/>
              <w:right w:val="single" w:sz="4" w:space="0" w:color="auto"/>
            </w:tcBorders>
            <w:noWrap/>
            <w:vAlign w:val="bottom"/>
            <w:hideMark/>
          </w:tcPr>
          <w:p w14:paraId="79D0A21B" w14:textId="77777777" w:rsidR="00F42E63" w:rsidRPr="0013739E" w:rsidRDefault="00F42E63" w:rsidP="00F42E63">
            <w:pPr>
              <w:spacing w:after="0" w:line="240" w:lineRule="auto"/>
              <w:rPr>
                <w:rFonts w:ascii="Times New Roman" w:eastAsia="Times New Roman" w:hAnsi="Times New Roman" w:cs="Times New Roman"/>
                <w:b/>
                <w:bCs/>
                <w:color w:val="000000"/>
                <w:kern w:val="0"/>
                <w:szCs w:val="24"/>
                <w:lang w:eastAsia="en-IN"/>
                <w14:ligatures w14:val="none"/>
              </w:rPr>
            </w:pPr>
            <w:r w:rsidRPr="0013739E">
              <w:rPr>
                <w:rFonts w:ascii="Times New Roman" w:eastAsia="Times New Roman" w:hAnsi="Times New Roman" w:cs="Times New Roman"/>
                <w:b/>
                <w:bCs/>
                <w:color w:val="000000"/>
                <w:kern w:val="0"/>
                <w:szCs w:val="24"/>
                <w:lang w:eastAsia="en-IN"/>
                <w14:ligatures w14:val="none"/>
              </w:rPr>
              <w:t>Other taxes and duties</w:t>
            </w:r>
          </w:p>
        </w:tc>
        <w:tc>
          <w:tcPr>
            <w:tcW w:w="1251" w:type="dxa"/>
            <w:tcBorders>
              <w:top w:val="single" w:sz="4" w:space="0" w:color="auto"/>
              <w:left w:val="nil"/>
              <w:bottom w:val="single" w:sz="4" w:space="0" w:color="auto"/>
              <w:right w:val="single" w:sz="4" w:space="0" w:color="auto"/>
            </w:tcBorders>
            <w:noWrap/>
            <w:vAlign w:val="bottom"/>
            <w:hideMark/>
          </w:tcPr>
          <w:p w14:paraId="53E7D1A1" w14:textId="77777777" w:rsidR="00F42E63" w:rsidRPr="0013739E" w:rsidRDefault="00F42E63" w:rsidP="00F42E63">
            <w:pPr>
              <w:spacing w:after="0" w:line="240" w:lineRule="auto"/>
              <w:rPr>
                <w:rFonts w:ascii="Times New Roman" w:eastAsia="Times New Roman" w:hAnsi="Times New Roman" w:cs="Times New Roman"/>
                <w:b/>
                <w:bCs/>
                <w:color w:val="000000"/>
                <w:kern w:val="0"/>
                <w:szCs w:val="24"/>
                <w:lang w:eastAsia="en-IN"/>
                <w14:ligatures w14:val="none"/>
              </w:rPr>
            </w:pPr>
            <w:r w:rsidRPr="0013739E">
              <w:rPr>
                <w:rFonts w:ascii="Times New Roman" w:eastAsia="Times New Roman" w:hAnsi="Times New Roman" w:cs="Times New Roman"/>
                <w:b/>
                <w:bCs/>
                <w:color w:val="000000"/>
                <w:kern w:val="0"/>
                <w:szCs w:val="24"/>
                <w:lang w:eastAsia="en-IN"/>
                <w14:ligatures w14:val="none"/>
              </w:rPr>
              <w:t>Education</w:t>
            </w:r>
          </w:p>
        </w:tc>
        <w:tc>
          <w:tcPr>
            <w:tcW w:w="1058" w:type="dxa"/>
            <w:tcBorders>
              <w:top w:val="single" w:sz="4" w:space="0" w:color="auto"/>
              <w:left w:val="nil"/>
              <w:bottom w:val="single" w:sz="4" w:space="0" w:color="auto"/>
              <w:right w:val="single" w:sz="4" w:space="0" w:color="auto"/>
            </w:tcBorders>
            <w:noWrap/>
            <w:vAlign w:val="bottom"/>
            <w:hideMark/>
          </w:tcPr>
          <w:p w14:paraId="7F61F602" w14:textId="77777777" w:rsidR="00F42E63" w:rsidRPr="0013739E" w:rsidRDefault="00F42E63" w:rsidP="00F42E63">
            <w:pPr>
              <w:spacing w:after="0" w:line="240" w:lineRule="auto"/>
              <w:rPr>
                <w:rFonts w:ascii="Times New Roman" w:eastAsia="Times New Roman" w:hAnsi="Times New Roman" w:cs="Times New Roman"/>
                <w:b/>
                <w:bCs/>
                <w:color w:val="000000"/>
                <w:kern w:val="0"/>
                <w:szCs w:val="24"/>
                <w:lang w:eastAsia="en-IN"/>
                <w14:ligatures w14:val="none"/>
              </w:rPr>
            </w:pPr>
            <w:r w:rsidRPr="0013739E">
              <w:rPr>
                <w:rFonts w:ascii="Times New Roman" w:eastAsia="Times New Roman" w:hAnsi="Times New Roman" w:cs="Times New Roman"/>
                <w:b/>
                <w:bCs/>
                <w:color w:val="000000"/>
                <w:kern w:val="0"/>
                <w:szCs w:val="24"/>
                <w:lang w:eastAsia="en-IN"/>
                <w14:ligatures w14:val="none"/>
              </w:rPr>
              <w:t>Medical &amp; public health</w:t>
            </w:r>
          </w:p>
        </w:tc>
        <w:tc>
          <w:tcPr>
            <w:tcW w:w="1731" w:type="dxa"/>
            <w:tcBorders>
              <w:top w:val="single" w:sz="4" w:space="0" w:color="auto"/>
              <w:left w:val="nil"/>
              <w:bottom w:val="single" w:sz="4" w:space="0" w:color="auto"/>
              <w:right w:val="single" w:sz="4" w:space="0" w:color="auto"/>
            </w:tcBorders>
            <w:noWrap/>
            <w:vAlign w:val="bottom"/>
            <w:hideMark/>
          </w:tcPr>
          <w:p w14:paraId="6C27B9D6" w14:textId="77777777" w:rsidR="00F42E63" w:rsidRPr="0013739E" w:rsidRDefault="00F42E63" w:rsidP="00F42E63">
            <w:pPr>
              <w:spacing w:after="0" w:line="240" w:lineRule="auto"/>
              <w:rPr>
                <w:rFonts w:ascii="Times New Roman" w:eastAsia="Times New Roman" w:hAnsi="Times New Roman" w:cs="Times New Roman"/>
                <w:b/>
                <w:bCs/>
                <w:color w:val="000000"/>
                <w:kern w:val="0"/>
                <w:szCs w:val="24"/>
                <w:lang w:eastAsia="en-IN"/>
                <w14:ligatures w14:val="none"/>
              </w:rPr>
            </w:pPr>
            <w:r w:rsidRPr="0013739E">
              <w:rPr>
                <w:rFonts w:ascii="Times New Roman" w:eastAsia="Times New Roman" w:hAnsi="Times New Roman" w:cs="Times New Roman"/>
                <w:b/>
                <w:bCs/>
                <w:color w:val="000000"/>
                <w:kern w:val="0"/>
                <w:szCs w:val="24"/>
                <w:lang w:eastAsia="en-IN"/>
                <w14:ligatures w14:val="none"/>
              </w:rPr>
              <w:t>Administrative services</w:t>
            </w:r>
          </w:p>
        </w:tc>
        <w:tc>
          <w:tcPr>
            <w:tcW w:w="1160" w:type="dxa"/>
            <w:tcBorders>
              <w:top w:val="single" w:sz="4" w:space="0" w:color="auto"/>
              <w:left w:val="nil"/>
              <w:bottom w:val="single" w:sz="4" w:space="0" w:color="auto"/>
              <w:right w:val="single" w:sz="4" w:space="0" w:color="auto"/>
            </w:tcBorders>
            <w:noWrap/>
            <w:vAlign w:val="bottom"/>
            <w:hideMark/>
          </w:tcPr>
          <w:p w14:paraId="4B11448C" w14:textId="77777777" w:rsidR="00F42E63" w:rsidRPr="0013739E" w:rsidRDefault="00F42E63" w:rsidP="00F42E63">
            <w:pPr>
              <w:spacing w:after="0" w:line="240" w:lineRule="auto"/>
              <w:rPr>
                <w:rFonts w:ascii="Times New Roman" w:eastAsia="Times New Roman" w:hAnsi="Times New Roman" w:cs="Times New Roman"/>
                <w:b/>
                <w:bCs/>
                <w:color w:val="000000"/>
                <w:kern w:val="0"/>
                <w:szCs w:val="24"/>
                <w:lang w:eastAsia="en-IN"/>
                <w14:ligatures w14:val="none"/>
              </w:rPr>
            </w:pPr>
            <w:r w:rsidRPr="0013739E">
              <w:rPr>
                <w:rFonts w:ascii="Times New Roman" w:eastAsia="Times New Roman" w:hAnsi="Times New Roman" w:cs="Times New Roman"/>
                <w:b/>
                <w:bCs/>
                <w:color w:val="000000"/>
                <w:kern w:val="0"/>
                <w:szCs w:val="24"/>
                <w:lang w:eastAsia="en-IN"/>
                <w14:ligatures w14:val="none"/>
              </w:rPr>
              <w:t>Forests</w:t>
            </w:r>
          </w:p>
        </w:tc>
        <w:tc>
          <w:tcPr>
            <w:tcW w:w="1463" w:type="dxa"/>
            <w:tcBorders>
              <w:top w:val="single" w:sz="4" w:space="0" w:color="auto"/>
              <w:left w:val="nil"/>
              <w:bottom w:val="single" w:sz="4" w:space="0" w:color="auto"/>
              <w:right w:val="single" w:sz="4" w:space="0" w:color="auto"/>
            </w:tcBorders>
            <w:noWrap/>
            <w:vAlign w:val="bottom"/>
            <w:hideMark/>
          </w:tcPr>
          <w:p w14:paraId="707F87CC" w14:textId="77777777" w:rsidR="00F42E63" w:rsidRPr="0013739E" w:rsidRDefault="00F42E63" w:rsidP="00F42E63">
            <w:pPr>
              <w:spacing w:after="0" w:line="240" w:lineRule="auto"/>
              <w:rPr>
                <w:rFonts w:ascii="Times New Roman" w:eastAsia="Times New Roman" w:hAnsi="Times New Roman" w:cs="Times New Roman"/>
                <w:b/>
                <w:bCs/>
                <w:color w:val="000000"/>
                <w:kern w:val="0"/>
                <w:szCs w:val="24"/>
                <w:lang w:eastAsia="en-IN"/>
                <w14:ligatures w14:val="none"/>
              </w:rPr>
            </w:pPr>
            <w:r w:rsidRPr="0013739E">
              <w:rPr>
                <w:rFonts w:ascii="Times New Roman" w:eastAsia="Times New Roman" w:hAnsi="Times New Roman" w:cs="Times New Roman"/>
                <w:b/>
                <w:bCs/>
                <w:color w:val="000000"/>
                <w:kern w:val="0"/>
                <w:szCs w:val="24"/>
                <w:lang w:eastAsia="en-IN"/>
                <w14:ligatures w14:val="none"/>
              </w:rPr>
              <w:t>Total revenue receipts</w:t>
            </w:r>
          </w:p>
        </w:tc>
      </w:tr>
      <w:tr w:rsidR="00F42E63" w:rsidRPr="0013739E" w14:paraId="1371BC68" w14:textId="77777777" w:rsidTr="0013739E">
        <w:trPr>
          <w:trHeight w:val="21"/>
          <w:jc w:val="center"/>
        </w:trPr>
        <w:tc>
          <w:tcPr>
            <w:tcW w:w="14294" w:type="dxa"/>
            <w:gridSpan w:val="11"/>
            <w:tcBorders>
              <w:top w:val="single" w:sz="4" w:space="0" w:color="auto"/>
              <w:left w:val="single" w:sz="4" w:space="0" w:color="auto"/>
              <w:bottom w:val="single" w:sz="4" w:space="0" w:color="auto"/>
              <w:right w:val="single" w:sz="4" w:space="0" w:color="000000"/>
            </w:tcBorders>
            <w:noWrap/>
            <w:vAlign w:val="bottom"/>
            <w:hideMark/>
          </w:tcPr>
          <w:p w14:paraId="232311E1" w14:textId="77777777" w:rsidR="00F42E63" w:rsidRPr="0013739E" w:rsidRDefault="00F42E63" w:rsidP="00F42E63">
            <w:pPr>
              <w:spacing w:after="0" w:line="240" w:lineRule="auto"/>
              <w:jc w:val="center"/>
              <w:rPr>
                <w:rFonts w:ascii="Times New Roman" w:eastAsia="Times New Roman" w:hAnsi="Times New Roman" w:cs="Times New Roman"/>
                <w:b/>
                <w:bCs/>
                <w:color w:val="000000"/>
                <w:kern w:val="0"/>
                <w:szCs w:val="24"/>
                <w:lang w:eastAsia="en-IN"/>
                <w14:ligatures w14:val="none"/>
              </w:rPr>
            </w:pPr>
            <w:r w:rsidRPr="0013739E">
              <w:rPr>
                <w:rFonts w:ascii="Times New Roman" w:eastAsia="Times New Roman" w:hAnsi="Times New Roman" w:cs="Times New Roman"/>
                <w:b/>
                <w:bCs/>
                <w:color w:val="000000"/>
                <w:kern w:val="0"/>
                <w:szCs w:val="24"/>
                <w:lang w:eastAsia="en-IN"/>
                <w14:ligatures w14:val="none"/>
              </w:rPr>
              <w:t>Rajasthan</w:t>
            </w:r>
          </w:p>
        </w:tc>
      </w:tr>
      <w:tr w:rsidR="00F42E63" w:rsidRPr="0013739E" w14:paraId="530C0F8F" w14:textId="77777777" w:rsidTr="0013739E">
        <w:trPr>
          <w:trHeight w:val="21"/>
          <w:jc w:val="center"/>
        </w:trPr>
        <w:tc>
          <w:tcPr>
            <w:tcW w:w="1382" w:type="dxa"/>
            <w:tcBorders>
              <w:top w:val="nil"/>
              <w:left w:val="single" w:sz="4" w:space="0" w:color="auto"/>
              <w:bottom w:val="single" w:sz="4" w:space="0" w:color="auto"/>
              <w:right w:val="single" w:sz="4" w:space="0" w:color="auto"/>
            </w:tcBorders>
            <w:noWrap/>
            <w:vAlign w:val="bottom"/>
            <w:hideMark/>
          </w:tcPr>
          <w:p w14:paraId="0D55A931" w14:textId="77777777" w:rsidR="00F42E63" w:rsidRPr="0013739E" w:rsidRDefault="00F42E63" w:rsidP="00F42E63">
            <w:pPr>
              <w:spacing w:after="0" w:line="240" w:lineRule="auto"/>
              <w:rPr>
                <w:rFonts w:ascii="Times New Roman" w:eastAsia="Times New Roman" w:hAnsi="Times New Roman" w:cs="Times New Roman"/>
                <w:color w:val="000000"/>
                <w:kern w:val="0"/>
                <w:szCs w:val="24"/>
                <w:lang w:eastAsia="en-IN"/>
                <w14:ligatures w14:val="none"/>
              </w:rPr>
            </w:pPr>
            <w:r w:rsidRPr="0013739E">
              <w:rPr>
                <w:rFonts w:ascii="Times New Roman" w:eastAsia="Times New Roman" w:hAnsi="Times New Roman" w:cs="Times New Roman"/>
                <w:color w:val="000000"/>
                <w:kern w:val="0"/>
                <w:szCs w:val="24"/>
                <w:lang w:eastAsia="en-IN"/>
                <w14:ligatures w14:val="none"/>
              </w:rPr>
              <w:t>1961-62</w:t>
            </w:r>
          </w:p>
        </w:tc>
        <w:tc>
          <w:tcPr>
            <w:tcW w:w="1261" w:type="dxa"/>
            <w:tcBorders>
              <w:top w:val="nil"/>
              <w:left w:val="nil"/>
              <w:bottom w:val="single" w:sz="4" w:space="0" w:color="auto"/>
              <w:right w:val="single" w:sz="4" w:space="0" w:color="auto"/>
            </w:tcBorders>
            <w:noWrap/>
            <w:vAlign w:val="bottom"/>
            <w:hideMark/>
          </w:tcPr>
          <w:p w14:paraId="2A487440" w14:textId="7F701C04" w:rsidR="00F42E63" w:rsidRPr="0013739E" w:rsidRDefault="00F42E63" w:rsidP="00F42E63">
            <w:pPr>
              <w:spacing w:after="0" w:line="240" w:lineRule="auto"/>
              <w:rPr>
                <w:rFonts w:ascii="Times New Roman" w:eastAsia="Times New Roman" w:hAnsi="Times New Roman" w:cs="Times New Roman"/>
                <w:color w:val="000000"/>
                <w:kern w:val="0"/>
                <w:szCs w:val="24"/>
                <w:lang w:eastAsia="en-IN"/>
                <w14:ligatures w14:val="none"/>
              </w:rPr>
            </w:pPr>
            <w:r w:rsidRPr="0013739E">
              <w:rPr>
                <w:rFonts w:ascii="Times New Roman" w:eastAsia="Times New Roman" w:hAnsi="Times New Roman" w:cs="Times New Roman"/>
                <w:color w:val="000000"/>
                <w:kern w:val="0"/>
                <w:szCs w:val="24"/>
                <w:lang w:eastAsia="en-IN"/>
                <w14:ligatures w14:val="none"/>
              </w:rPr>
              <w:t>8.68 (18.78)</w:t>
            </w:r>
          </w:p>
        </w:tc>
        <w:tc>
          <w:tcPr>
            <w:tcW w:w="1261" w:type="dxa"/>
            <w:tcBorders>
              <w:top w:val="nil"/>
              <w:left w:val="nil"/>
              <w:bottom w:val="single" w:sz="4" w:space="0" w:color="auto"/>
              <w:right w:val="single" w:sz="4" w:space="0" w:color="auto"/>
            </w:tcBorders>
            <w:noWrap/>
            <w:vAlign w:val="bottom"/>
            <w:hideMark/>
          </w:tcPr>
          <w:p w14:paraId="38A07E9C" w14:textId="09326C39" w:rsidR="00F42E63" w:rsidRPr="0013739E" w:rsidRDefault="00F42E63" w:rsidP="00F42E63">
            <w:pPr>
              <w:spacing w:after="0" w:line="240" w:lineRule="auto"/>
              <w:rPr>
                <w:rFonts w:ascii="Times New Roman" w:eastAsia="Times New Roman" w:hAnsi="Times New Roman" w:cs="Times New Roman"/>
                <w:color w:val="000000"/>
                <w:kern w:val="0"/>
                <w:szCs w:val="24"/>
                <w:lang w:eastAsia="en-IN"/>
                <w14:ligatures w14:val="none"/>
              </w:rPr>
            </w:pPr>
            <w:r w:rsidRPr="0013739E">
              <w:rPr>
                <w:rFonts w:ascii="Times New Roman" w:eastAsia="Times New Roman" w:hAnsi="Times New Roman" w:cs="Times New Roman"/>
                <w:color w:val="000000"/>
                <w:kern w:val="0"/>
                <w:szCs w:val="24"/>
                <w:lang w:eastAsia="en-IN"/>
                <w14:ligatures w14:val="none"/>
              </w:rPr>
              <w:t>4.62 (10.00)</w:t>
            </w:r>
          </w:p>
        </w:tc>
        <w:tc>
          <w:tcPr>
            <w:tcW w:w="1160" w:type="dxa"/>
            <w:tcBorders>
              <w:top w:val="nil"/>
              <w:left w:val="nil"/>
              <w:bottom w:val="single" w:sz="4" w:space="0" w:color="auto"/>
              <w:right w:val="single" w:sz="4" w:space="0" w:color="auto"/>
            </w:tcBorders>
            <w:noWrap/>
            <w:vAlign w:val="bottom"/>
            <w:hideMark/>
          </w:tcPr>
          <w:p w14:paraId="00260BD4" w14:textId="22B2F4BB" w:rsidR="00F42E63" w:rsidRPr="0013739E" w:rsidRDefault="00F42E63" w:rsidP="00F42E63">
            <w:pPr>
              <w:spacing w:after="0" w:line="240" w:lineRule="auto"/>
              <w:rPr>
                <w:rFonts w:ascii="Times New Roman" w:eastAsia="Times New Roman" w:hAnsi="Times New Roman" w:cs="Times New Roman"/>
                <w:color w:val="000000"/>
                <w:kern w:val="0"/>
                <w:szCs w:val="24"/>
                <w:lang w:eastAsia="en-IN"/>
                <w14:ligatures w14:val="none"/>
              </w:rPr>
            </w:pPr>
            <w:r w:rsidRPr="0013739E">
              <w:rPr>
                <w:rFonts w:ascii="Times New Roman" w:eastAsia="Times New Roman" w:hAnsi="Times New Roman" w:cs="Times New Roman"/>
                <w:color w:val="000000"/>
                <w:kern w:val="0"/>
                <w:szCs w:val="24"/>
                <w:lang w:eastAsia="en-IN"/>
                <w14:ligatures w14:val="none"/>
              </w:rPr>
              <w:t>1.10 (2.38)</w:t>
            </w:r>
          </w:p>
        </w:tc>
        <w:tc>
          <w:tcPr>
            <w:tcW w:w="1393" w:type="dxa"/>
            <w:tcBorders>
              <w:top w:val="nil"/>
              <w:left w:val="nil"/>
              <w:bottom w:val="single" w:sz="4" w:space="0" w:color="auto"/>
              <w:right w:val="single" w:sz="4" w:space="0" w:color="auto"/>
            </w:tcBorders>
            <w:noWrap/>
            <w:vAlign w:val="bottom"/>
            <w:hideMark/>
          </w:tcPr>
          <w:p w14:paraId="4EA07FBC" w14:textId="25637AEB" w:rsidR="00F42E63" w:rsidRPr="0013739E" w:rsidRDefault="00F42E63" w:rsidP="00F42E63">
            <w:pPr>
              <w:spacing w:after="0" w:line="240" w:lineRule="auto"/>
              <w:rPr>
                <w:rFonts w:ascii="Times New Roman" w:eastAsia="Times New Roman" w:hAnsi="Times New Roman" w:cs="Times New Roman"/>
                <w:color w:val="000000"/>
                <w:kern w:val="0"/>
                <w:szCs w:val="24"/>
                <w:lang w:eastAsia="en-IN"/>
                <w14:ligatures w14:val="none"/>
              </w:rPr>
            </w:pPr>
            <w:r w:rsidRPr="0013739E">
              <w:rPr>
                <w:rFonts w:ascii="Times New Roman" w:eastAsia="Times New Roman" w:hAnsi="Times New Roman" w:cs="Times New Roman"/>
                <w:color w:val="000000"/>
                <w:kern w:val="0"/>
                <w:szCs w:val="24"/>
                <w:lang w:eastAsia="en-IN"/>
                <w14:ligatures w14:val="none"/>
              </w:rPr>
              <w:t>1.12 (2.42)</w:t>
            </w:r>
          </w:p>
        </w:tc>
        <w:tc>
          <w:tcPr>
            <w:tcW w:w="1160" w:type="dxa"/>
            <w:tcBorders>
              <w:top w:val="nil"/>
              <w:left w:val="nil"/>
              <w:bottom w:val="single" w:sz="4" w:space="0" w:color="auto"/>
              <w:right w:val="single" w:sz="4" w:space="0" w:color="auto"/>
            </w:tcBorders>
            <w:noWrap/>
            <w:vAlign w:val="bottom"/>
            <w:hideMark/>
          </w:tcPr>
          <w:p w14:paraId="7E512038" w14:textId="677DE206" w:rsidR="00F42E63" w:rsidRPr="0013739E" w:rsidRDefault="00F42E63" w:rsidP="00F42E63">
            <w:pPr>
              <w:spacing w:after="0" w:line="240" w:lineRule="auto"/>
              <w:rPr>
                <w:rFonts w:ascii="Times New Roman" w:eastAsia="Times New Roman" w:hAnsi="Times New Roman" w:cs="Times New Roman"/>
                <w:color w:val="000000"/>
                <w:kern w:val="0"/>
                <w:szCs w:val="24"/>
                <w:lang w:eastAsia="en-IN"/>
                <w14:ligatures w14:val="none"/>
              </w:rPr>
            </w:pPr>
            <w:r w:rsidRPr="0013739E">
              <w:rPr>
                <w:rFonts w:ascii="Times New Roman" w:eastAsia="Times New Roman" w:hAnsi="Times New Roman" w:cs="Times New Roman"/>
                <w:color w:val="000000"/>
                <w:kern w:val="0"/>
                <w:szCs w:val="24"/>
                <w:lang w:eastAsia="en-IN"/>
                <w14:ligatures w14:val="none"/>
              </w:rPr>
              <w:t>1.20 (2.60)</w:t>
            </w:r>
          </w:p>
        </w:tc>
        <w:tc>
          <w:tcPr>
            <w:tcW w:w="1251" w:type="dxa"/>
            <w:tcBorders>
              <w:top w:val="nil"/>
              <w:left w:val="nil"/>
              <w:bottom w:val="single" w:sz="4" w:space="0" w:color="auto"/>
              <w:right w:val="single" w:sz="4" w:space="0" w:color="auto"/>
            </w:tcBorders>
            <w:noWrap/>
            <w:vAlign w:val="bottom"/>
            <w:hideMark/>
          </w:tcPr>
          <w:p w14:paraId="094DF32B" w14:textId="2F53F804" w:rsidR="00F42E63" w:rsidRPr="0013739E" w:rsidRDefault="00F42E63" w:rsidP="00F42E63">
            <w:pPr>
              <w:spacing w:after="0" w:line="240" w:lineRule="auto"/>
              <w:rPr>
                <w:rFonts w:ascii="Times New Roman" w:eastAsia="Times New Roman" w:hAnsi="Times New Roman" w:cs="Times New Roman"/>
                <w:color w:val="000000"/>
                <w:kern w:val="0"/>
                <w:szCs w:val="24"/>
                <w:lang w:eastAsia="en-IN"/>
                <w14:ligatures w14:val="none"/>
              </w:rPr>
            </w:pPr>
            <w:r w:rsidRPr="0013739E">
              <w:rPr>
                <w:rFonts w:ascii="Times New Roman" w:eastAsia="Times New Roman" w:hAnsi="Times New Roman" w:cs="Times New Roman"/>
                <w:color w:val="000000"/>
                <w:kern w:val="0"/>
                <w:szCs w:val="24"/>
                <w:lang w:eastAsia="en-IN"/>
                <w14:ligatures w14:val="none"/>
              </w:rPr>
              <w:t>0.61 (1.32)</w:t>
            </w:r>
          </w:p>
        </w:tc>
        <w:tc>
          <w:tcPr>
            <w:tcW w:w="1058" w:type="dxa"/>
            <w:tcBorders>
              <w:top w:val="nil"/>
              <w:left w:val="nil"/>
              <w:bottom w:val="single" w:sz="4" w:space="0" w:color="auto"/>
              <w:right w:val="single" w:sz="4" w:space="0" w:color="auto"/>
            </w:tcBorders>
            <w:noWrap/>
            <w:vAlign w:val="bottom"/>
            <w:hideMark/>
          </w:tcPr>
          <w:p w14:paraId="0E765E9D" w14:textId="435E8A65" w:rsidR="00F42E63" w:rsidRPr="0013739E" w:rsidRDefault="00F42E63" w:rsidP="00F42E63">
            <w:pPr>
              <w:spacing w:after="0" w:line="240" w:lineRule="auto"/>
              <w:rPr>
                <w:rFonts w:ascii="Times New Roman" w:eastAsia="Times New Roman" w:hAnsi="Times New Roman" w:cs="Times New Roman"/>
                <w:color w:val="000000"/>
                <w:kern w:val="0"/>
                <w:szCs w:val="24"/>
                <w:lang w:eastAsia="en-IN"/>
                <w14:ligatures w14:val="none"/>
              </w:rPr>
            </w:pPr>
            <w:r w:rsidRPr="0013739E">
              <w:rPr>
                <w:rFonts w:ascii="Times New Roman" w:eastAsia="Times New Roman" w:hAnsi="Times New Roman" w:cs="Times New Roman"/>
                <w:color w:val="000000"/>
                <w:kern w:val="0"/>
                <w:szCs w:val="24"/>
                <w:lang w:eastAsia="en-IN"/>
                <w14:ligatures w14:val="none"/>
              </w:rPr>
              <w:t>0.62 (1.34)</w:t>
            </w:r>
          </w:p>
        </w:tc>
        <w:tc>
          <w:tcPr>
            <w:tcW w:w="1731" w:type="dxa"/>
            <w:tcBorders>
              <w:top w:val="nil"/>
              <w:left w:val="nil"/>
              <w:bottom w:val="single" w:sz="4" w:space="0" w:color="auto"/>
              <w:right w:val="single" w:sz="4" w:space="0" w:color="auto"/>
            </w:tcBorders>
            <w:noWrap/>
            <w:vAlign w:val="bottom"/>
            <w:hideMark/>
          </w:tcPr>
          <w:p w14:paraId="6E186408" w14:textId="0C61AF7B" w:rsidR="00F42E63" w:rsidRPr="0013739E" w:rsidRDefault="00F42E63" w:rsidP="00F42E63">
            <w:pPr>
              <w:spacing w:after="0" w:line="240" w:lineRule="auto"/>
              <w:rPr>
                <w:rFonts w:ascii="Times New Roman" w:eastAsia="Times New Roman" w:hAnsi="Times New Roman" w:cs="Times New Roman"/>
                <w:color w:val="000000"/>
                <w:kern w:val="0"/>
                <w:szCs w:val="24"/>
                <w:lang w:eastAsia="en-IN"/>
                <w14:ligatures w14:val="none"/>
              </w:rPr>
            </w:pPr>
            <w:r w:rsidRPr="0013739E">
              <w:rPr>
                <w:rFonts w:ascii="Times New Roman" w:eastAsia="Times New Roman" w:hAnsi="Times New Roman" w:cs="Times New Roman"/>
                <w:color w:val="000000"/>
                <w:kern w:val="0"/>
                <w:szCs w:val="24"/>
                <w:lang w:eastAsia="en-IN"/>
                <w14:ligatures w14:val="none"/>
              </w:rPr>
              <w:t>0.38 (0.82)</w:t>
            </w:r>
          </w:p>
        </w:tc>
        <w:tc>
          <w:tcPr>
            <w:tcW w:w="1160" w:type="dxa"/>
            <w:tcBorders>
              <w:top w:val="nil"/>
              <w:left w:val="nil"/>
              <w:bottom w:val="single" w:sz="4" w:space="0" w:color="auto"/>
              <w:right w:val="single" w:sz="4" w:space="0" w:color="auto"/>
            </w:tcBorders>
            <w:noWrap/>
            <w:vAlign w:val="bottom"/>
            <w:hideMark/>
          </w:tcPr>
          <w:p w14:paraId="38C26D2F" w14:textId="63F8A89F" w:rsidR="00F42E63" w:rsidRPr="0013739E" w:rsidRDefault="00F42E63" w:rsidP="00F42E63">
            <w:pPr>
              <w:spacing w:after="0" w:line="240" w:lineRule="auto"/>
              <w:rPr>
                <w:rFonts w:ascii="Times New Roman" w:eastAsia="Times New Roman" w:hAnsi="Times New Roman" w:cs="Times New Roman"/>
                <w:color w:val="000000"/>
                <w:kern w:val="0"/>
                <w:szCs w:val="24"/>
                <w:lang w:eastAsia="en-IN"/>
                <w14:ligatures w14:val="none"/>
              </w:rPr>
            </w:pPr>
            <w:r w:rsidRPr="0013739E">
              <w:rPr>
                <w:rFonts w:ascii="Times New Roman" w:eastAsia="Times New Roman" w:hAnsi="Times New Roman" w:cs="Times New Roman"/>
                <w:color w:val="000000"/>
                <w:kern w:val="0"/>
                <w:szCs w:val="24"/>
                <w:lang w:eastAsia="en-IN"/>
                <w14:ligatures w14:val="none"/>
              </w:rPr>
              <w:t>0.82</w:t>
            </w:r>
            <w:r w:rsidR="0015358A" w:rsidRPr="0013739E">
              <w:rPr>
                <w:rFonts w:ascii="Times New Roman" w:eastAsia="Times New Roman" w:hAnsi="Times New Roman" w:cs="Times New Roman"/>
                <w:color w:val="000000"/>
                <w:kern w:val="0"/>
                <w:szCs w:val="24"/>
                <w:lang w:eastAsia="en-IN"/>
                <w14:ligatures w14:val="none"/>
              </w:rPr>
              <w:t xml:space="preserve"> </w:t>
            </w:r>
            <w:r w:rsidRPr="0013739E">
              <w:rPr>
                <w:rFonts w:ascii="Times New Roman" w:eastAsia="Times New Roman" w:hAnsi="Times New Roman" w:cs="Times New Roman"/>
                <w:color w:val="000000"/>
                <w:kern w:val="0"/>
                <w:szCs w:val="24"/>
                <w:lang w:eastAsia="en-IN"/>
                <w14:ligatures w14:val="none"/>
              </w:rPr>
              <w:t>(1.77)</w:t>
            </w:r>
          </w:p>
        </w:tc>
        <w:tc>
          <w:tcPr>
            <w:tcW w:w="1463" w:type="dxa"/>
            <w:tcBorders>
              <w:top w:val="nil"/>
              <w:left w:val="nil"/>
              <w:bottom w:val="single" w:sz="4" w:space="0" w:color="auto"/>
              <w:right w:val="single" w:sz="4" w:space="0" w:color="auto"/>
            </w:tcBorders>
            <w:noWrap/>
            <w:vAlign w:val="bottom"/>
            <w:hideMark/>
          </w:tcPr>
          <w:p w14:paraId="15E37BAB" w14:textId="77777777" w:rsidR="00F42E63" w:rsidRPr="0013739E" w:rsidRDefault="00F42E63" w:rsidP="00F42E63">
            <w:pPr>
              <w:spacing w:after="0" w:line="240" w:lineRule="auto"/>
              <w:rPr>
                <w:rFonts w:ascii="Times New Roman" w:eastAsia="Times New Roman" w:hAnsi="Times New Roman" w:cs="Times New Roman"/>
                <w:color w:val="000000"/>
                <w:kern w:val="0"/>
                <w:szCs w:val="24"/>
                <w:lang w:eastAsia="en-IN"/>
                <w14:ligatures w14:val="none"/>
              </w:rPr>
            </w:pPr>
            <w:r w:rsidRPr="0013739E">
              <w:rPr>
                <w:rFonts w:ascii="Times New Roman" w:eastAsia="Times New Roman" w:hAnsi="Times New Roman" w:cs="Times New Roman"/>
                <w:color w:val="000000"/>
                <w:kern w:val="0"/>
                <w:szCs w:val="24"/>
                <w:lang w:eastAsia="en-IN"/>
                <w14:ligatures w14:val="none"/>
              </w:rPr>
              <w:t>46.21 (100.00)</w:t>
            </w:r>
          </w:p>
        </w:tc>
      </w:tr>
      <w:tr w:rsidR="00F42E63" w:rsidRPr="0013739E" w14:paraId="34A5562E" w14:textId="77777777" w:rsidTr="0013739E">
        <w:trPr>
          <w:trHeight w:val="21"/>
          <w:jc w:val="center"/>
        </w:trPr>
        <w:tc>
          <w:tcPr>
            <w:tcW w:w="1382" w:type="dxa"/>
            <w:tcBorders>
              <w:top w:val="nil"/>
              <w:left w:val="single" w:sz="4" w:space="0" w:color="auto"/>
              <w:bottom w:val="single" w:sz="4" w:space="0" w:color="auto"/>
              <w:right w:val="single" w:sz="4" w:space="0" w:color="auto"/>
            </w:tcBorders>
            <w:noWrap/>
            <w:vAlign w:val="bottom"/>
            <w:hideMark/>
          </w:tcPr>
          <w:p w14:paraId="10BDC2E2" w14:textId="77777777" w:rsidR="00F42E63" w:rsidRPr="0013739E" w:rsidRDefault="00F42E63" w:rsidP="00F42E63">
            <w:pPr>
              <w:spacing w:after="0" w:line="240" w:lineRule="auto"/>
              <w:rPr>
                <w:rFonts w:ascii="Times New Roman" w:eastAsia="Times New Roman" w:hAnsi="Times New Roman" w:cs="Times New Roman"/>
                <w:color w:val="000000"/>
                <w:kern w:val="0"/>
                <w:szCs w:val="24"/>
                <w:lang w:eastAsia="en-IN"/>
                <w14:ligatures w14:val="none"/>
              </w:rPr>
            </w:pPr>
            <w:r w:rsidRPr="0013739E">
              <w:rPr>
                <w:rFonts w:ascii="Times New Roman" w:eastAsia="Times New Roman" w:hAnsi="Times New Roman" w:cs="Times New Roman"/>
                <w:color w:val="000000"/>
                <w:kern w:val="0"/>
                <w:szCs w:val="24"/>
                <w:lang w:eastAsia="en-IN"/>
                <w14:ligatures w14:val="none"/>
              </w:rPr>
              <w:t>1965-66</w:t>
            </w:r>
          </w:p>
        </w:tc>
        <w:tc>
          <w:tcPr>
            <w:tcW w:w="1261" w:type="dxa"/>
            <w:tcBorders>
              <w:top w:val="nil"/>
              <w:left w:val="nil"/>
              <w:bottom w:val="single" w:sz="4" w:space="0" w:color="auto"/>
              <w:right w:val="single" w:sz="4" w:space="0" w:color="auto"/>
            </w:tcBorders>
            <w:noWrap/>
            <w:vAlign w:val="bottom"/>
            <w:hideMark/>
          </w:tcPr>
          <w:p w14:paraId="5AEA1B16" w14:textId="77777777" w:rsidR="00F42E63" w:rsidRPr="0013739E" w:rsidRDefault="00F42E63" w:rsidP="00F42E63">
            <w:pPr>
              <w:spacing w:after="0" w:line="240" w:lineRule="auto"/>
              <w:jc w:val="right"/>
              <w:rPr>
                <w:rFonts w:ascii="Times New Roman" w:eastAsia="Times New Roman" w:hAnsi="Times New Roman" w:cs="Times New Roman"/>
                <w:color w:val="000000"/>
                <w:kern w:val="0"/>
                <w:szCs w:val="24"/>
                <w:lang w:eastAsia="en-IN"/>
                <w14:ligatures w14:val="none"/>
              </w:rPr>
            </w:pPr>
            <w:r w:rsidRPr="0013739E">
              <w:rPr>
                <w:rFonts w:ascii="Times New Roman" w:eastAsia="Times New Roman" w:hAnsi="Times New Roman" w:cs="Times New Roman"/>
                <w:color w:val="000000"/>
                <w:kern w:val="0"/>
                <w:szCs w:val="24"/>
                <w:lang w:eastAsia="en-IN"/>
                <w14:ligatures w14:val="none"/>
              </w:rPr>
              <w:t>6.98</w:t>
            </w:r>
          </w:p>
        </w:tc>
        <w:tc>
          <w:tcPr>
            <w:tcW w:w="1261" w:type="dxa"/>
            <w:tcBorders>
              <w:top w:val="nil"/>
              <w:left w:val="nil"/>
              <w:bottom w:val="single" w:sz="4" w:space="0" w:color="auto"/>
              <w:right w:val="single" w:sz="4" w:space="0" w:color="auto"/>
            </w:tcBorders>
            <w:noWrap/>
            <w:vAlign w:val="bottom"/>
            <w:hideMark/>
          </w:tcPr>
          <w:p w14:paraId="621E03AA" w14:textId="77777777" w:rsidR="00F42E63" w:rsidRPr="0013739E" w:rsidRDefault="00F42E63" w:rsidP="00F42E63">
            <w:pPr>
              <w:spacing w:after="0" w:line="240" w:lineRule="auto"/>
              <w:jc w:val="right"/>
              <w:rPr>
                <w:rFonts w:ascii="Times New Roman" w:eastAsia="Times New Roman" w:hAnsi="Times New Roman" w:cs="Times New Roman"/>
                <w:color w:val="000000"/>
                <w:kern w:val="0"/>
                <w:szCs w:val="24"/>
                <w:lang w:eastAsia="en-IN"/>
                <w14:ligatures w14:val="none"/>
              </w:rPr>
            </w:pPr>
            <w:r w:rsidRPr="0013739E">
              <w:rPr>
                <w:rFonts w:ascii="Times New Roman" w:eastAsia="Times New Roman" w:hAnsi="Times New Roman" w:cs="Times New Roman"/>
                <w:color w:val="000000"/>
                <w:kern w:val="0"/>
                <w:szCs w:val="24"/>
                <w:lang w:eastAsia="en-IN"/>
                <w14:ligatures w14:val="none"/>
              </w:rPr>
              <w:t>14.17</w:t>
            </w:r>
          </w:p>
        </w:tc>
        <w:tc>
          <w:tcPr>
            <w:tcW w:w="1160" w:type="dxa"/>
            <w:tcBorders>
              <w:top w:val="nil"/>
              <w:left w:val="nil"/>
              <w:bottom w:val="single" w:sz="4" w:space="0" w:color="auto"/>
              <w:right w:val="single" w:sz="4" w:space="0" w:color="auto"/>
            </w:tcBorders>
            <w:noWrap/>
            <w:vAlign w:val="bottom"/>
            <w:hideMark/>
          </w:tcPr>
          <w:p w14:paraId="347F8772" w14:textId="77777777" w:rsidR="00F42E63" w:rsidRPr="0013739E" w:rsidRDefault="00F42E63" w:rsidP="00F42E63">
            <w:pPr>
              <w:spacing w:after="0" w:line="240" w:lineRule="auto"/>
              <w:jc w:val="right"/>
              <w:rPr>
                <w:rFonts w:ascii="Times New Roman" w:eastAsia="Times New Roman" w:hAnsi="Times New Roman" w:cs="Times New Roman"/>
                <w:color w:val="000000"/>
                <w:kern w:val="0"/>
                <w:szCs w:val="24"/>
                <w:lang w:eastAsia="en-IN"/>
                <w14:ligatures w14:val="none"/>
              </w:rPr>
            </w:pPr>
            <w:r w:rsidRPr="0013739E">
              <w:rPr>
                <w:rFonts w:ascii="Times New Roman" w:eastAsia="Times New Roman" w:hAnsi="Times New Roman" w:cs="Times New Roman"/>
                <w:color w:val="000000"/>
                <w:kern w:val="0"/>
                <w:szCs w:val="24"/>
                <w:lang w:eastAsia="en-IN"/>
                <w14:ligatures w14:val="none"/>
              </w:rPr>
              <w:t>1.7</w:t>
            </w:r>
          </w:p>
        </w:tc>
        <w:tc>
          <w:tcPr>
            <w:tcW w:w="1393" w:type="dxa"/>
            <w:tcBorders>
              <w:top w:val="nil"/>
              <w:left w:val="nil"/>
              <w:bottom w:val="single" w:sz="4" w:space="0" w:color="auto"/>
              <w:right w:val="single" w:sz="4" w:space="0" w:color="auto"/>
            </w:tcBorders>
            <w:noWrap/>
            <w:vAlign w:val="bottom"/>
            <w:hideMark/>
          </w:tcPr>
          <w:p w14:paraId="1B7BEF77" w14:textId="77777777" w:rsidR="00F42E63" w:rsidRPr="0013739E" w:rsidRDefault="00F42E63" w:rsidP="00F42E63">
            <w:pPr>
              <w:spacing w:after="0" w:line="240" w:lineRule="auto"/>
              <w:jc w:val="right"/>
              <w:rPr>
                <w:rFonts w:ascii="Times New Roman" w:eastAsia="Times New Roman" w:hAnsi="Times New Roman" w:cs="Times New Roman"/>
                <w:color w:val="000000"/>
                <w:kern w:val="0"/>
                <w:szCs w:val="24"/>
                <w:lang w:eastAsia="en-IN"/>
                <w14:ligatures w14:val="none"/>
              </w:rPr>
            </w:pPr>
            <w:r w:rsidRPr="0013739E">
              <w:rPr>
                <w:rFonts w:ascii="Times New Roman" w:eastAsia="Times New Roman" w:hAnsi="Times New Roman" w:cs="Times New Roman"/>
                <w:color w:val="000000"/>
                <w:kern w:val="0"/>
                <w:szCs w:val="24"/>
                <w:lang w:eastAsia="en-IN"/>
                <w14:ligatures w14:val="none"/>
              </w:rPr>
              <w:t>1.75</w:t>
            </w:r>
          </w:p>
        </w:tc>
        <w:tc>
          <w:tcPr>
            <w:tcW w:w="1160" w:type="dxa"/>
            <w:tcBorders>
              <w:top w:val="nil"/>
              <w:left w:val="nil"/>
              <w:bottom w:val="single" w:sz="4" w:space="0" w:color="auto"/>
              <w:right w:val="single" w:sz="4" w:space="0" w:color="auto"/>
            </w:tcBorders>
            <w:noWrap/>
            <w:vAlign w:val="bottom"/>
            <w:hideMark/>
          </w:tcPr>
          <w:p w14:paraId="7C9E73E8" w14:textId="77777777" w:rsidR="00F42E63" w:rsidRPr="0013739E" w:rsidRDefault="00F42E63" w:rsidP="00F42E63">
            <w:pPr>
              <w:spacing w:after="0" w:line="240" w:lineRule="auto"/>
              <w:jc w:val="right"/>
              <w:rPr>
                <w:rFonts w:ascii="Times New Roman" w:eastAsia="Times New Roman" w:hAnsi="Times New Roman" w:cs="Times New Roman"/>
                <w:color w:val="000000"/>
                <w:kern w:val="0"/>
                <w:szCs w:val="24"/>
                <w:lang w:eastAsia="en-IN"/>
                <w14:ligatures w14:val="none"/>
              </w:rPr>
            </w:pPr>
            <w:r w:rsidRPr="0013739E">
              <w:rPr>
                <w:rFonts w:ascii="Times New Roman" w:eastAsia="Times New Roman" w:hAnsi="Times New Roman" w:cs="Times New Roman"/>
                <w:color w:val="000000"/>
                <w:kern w:val="0"/>
                <w:szCs w:val="24"/>
                <w:lang w:eastAsia="en-IN"/>
                <w14:ligatures w14:val="none"/>
              </w:rPr>
              <w:t>3</w:t>
            </w:r>
          </w:p>
        </w:tc>
        <w:tc>
          <w:tcPr>
            <w:tcW w:w="1251" w:type="dxa"/>
            <w:tcBorders>
              <w:top w:val="nil"/>
              <w:left w:val="nil"/>
              <w:bottom w:val="single" w:sz="4" w:space="0" w:color="auto"/>
              <w:right w:val="single" w:sz="4" w:space="0" w:color="auto"/>
            </w:tcBorders>
            <w:noWrap/>
            <w:vAlign w:val="bottom"/>
            <w:hideMark/>
          </w:tcPr>
          <w:p w14:paraId="65D176A7" w14:textId="77777777" w:rsidR="00F42E63" w:rsidRPr="0013739E" w:rsidRDefault="00F42E63" w:rsidP="00F42E63">
            <w:pPr>
              <w:spacing w:after="0" w:line="240" w:lineRule="auto"/>
              <w:jc w:val="right"/>
              <w:rPr>
                <w:rFonts w:ascii="Times New Roman" w:eastAsia="Times New Roman" w:hAnsi="Times New Roman" w:cs="Times New Roman"/>
                <w:color w:val="000000"/>
                <w:kern w:val="0"/>
                <w:szCs w:val="24"/>
                <w:lang w:eastAsia="en-IN"/>
                <w14:ligatures w14:val="none"/>
              </w:rPr>
            </w:pPr>
            <w:r w:rsidRPr="0013739E">
              <w:rPr>
                <w:rFonts w:ascii="Times New Roman" w:eastAsia="Times New Roman" w:hAnsi="Times New Roman" w:cs="Times New Roman"/>
                <w:color w:val="000000"/>
                <w:kern w:val="0"/>
                <w:szCs w:val="24"/>
                <w:lang w:eastAsia="en-IN"/>
                <w14:ligatures w14:val="none"/>
              </w:rPr>
              <w:t>0.77</w:t>
            </w:r>
          </w:p>
        </w:tc>
        <w:tc>
          <w:tcPr>
            <w:tcW w:w="1058" w:type="dxa"/>
            <w:tcBorders>
              <w:top w:val="nil"/>
              <w:left w:val="nil"/>
              <w:bottom w:val="single" w:sz="4" w:space="0" w:color="auto"/>
              <w:right w:val="single" w:sz="4" w:space="0" w:color="auto"/>
            </w:tcBorders>
            <w:noWrap/>
            <w:vAlign w:val="bottom"/>
            <w:hideMark/>
          </w:tcPr>
          <w:p w14:paraId="2FC1C9BF" w14:textId="77777777" w:rsidR="00F42E63" w:rsidRPr="0013739E" w:rsidRDefault="00F42E63" w:rsidP="00F42E63">
            <w:pPr>
              <w:spacing w:after="0" w:line="240" w:lineRule="auto"/>
              <w:jc w:val="right"/>
              <w:rPr>
                <w:rFonts w:ascii="Times New Roman" w:eastAsia="Times New Roman" w:hAnsi="Times New Roman" w:cs="Times New Roman"/>
                <w:color w:val="000000"/>
                <w:kern w:val="0"/>
                <w:szCs w:val="24"/>
                <w:lang w:eastAsia="en-IN"/>
                <w14:ligatures w14:val="none"/>
              </w:rPr>
            </w:pPr>
            <w:r w:rsidRPr="0013739E">
              <w:rPr>
                <w:rFonts w:ascii="Times New Roman" w:eastAsia="Times New Roman" w:hAnsi="Times New Roman" w:cs="Times New Roman"/>
                <w:color w:val="000000"/>
                <w:kern w:val="0"/>
                <w:szCs w:val="24"/>
                <w:lang w:eastAsia="en-IN"/>
                <w14:ligatures w14:val="none"/>
              </w:rPr>
              <w:t>1.16</w:t>
            </w:r>
          </w:p>
        </w:tc>
        <w:tc>
          <w:tcPr>
            <w:tcW w:w="1731" w:type="dxa"/>
            <w:tcBorders>
              <w:top w:val="nil"/>
              <w:left w:val="nil"/>
              <w:bottom w:val="single" w:sz="4" w:space="0" w:color="auto"/>
              <w:right w:val="single" w:sz="4" w:space="0" w:color="auto"/>
            </w:tcBorders>
            <w:noWrap/>
            <w:vAlign w:val="bottom"/>
            <w:hideMark/>
          </w:tcPr>
          <w:p w14:paraId="38657F80" w14:textId="77777777" w:rsidR="00F42E63" w:rsidRPr="0013739E" w:rsidRDefault="00F42E63" w:rsidP="00F42E63">
            <w:pPr>
              <w:spacing w:after="0" w:line="240" w:lineRule="auto"/>
              <w:jc w:val="right"/>
              <w:rPr>
                <w:rFonts w:ascii="Times New Roman" w:eastAsia="Times New Roman" w:hAnsi="Times New Roman" w:cs="Times New Roman"/>
                <w:color w:val="000000"/>
                <w:kern w:val="0"/>
                <w:szCs w:val="24"/>
                <w:lang w:eastAsia="en-IN"/>
                <w14:ligatures w14:val="none"/>
              </w:rPr>
            </w:pPr>
            <w:r w:rsidRPr="0013739E">
              <w:rPr>
                <w:rFonts w:ascii="Times New Roman" w:eastAsia="Times New Roman" w:hAnsi="Times New Roman" w:cs="Times New Roman"/>
                <w:color w:val="000000"/>
                <w:kern w:val="0"/>
                <w:szCs w:val="24"/>
                <w:lang w:eastAsia="en-IN"/>
                <w14:ligatures w14:val="none"/>
              </w:rPr>
              <w:t>0.85</w:t>
            </w:r>
          </w:p>
        </w:tc>
        <w:tc>
          <w:tcPr>
            <w:tcW w:w="1160" w:type="dxa"/>
            <w:tcBorders>
              <w:top w:val="nil"/>
              <w:left w:val="nil"/>
              <w:bottom w:val="single" w:sz="4" w:space="0" w:color="auto"/>
              <w:right w:val="single" w:sz="4" w:space="0" w:color="auto"/>
            </w:tcBorders>
            <w:noWrap/>
            <w:vAlign w:val="bottom"/>
            <w:hideMark/>
          </w:tcPr>
          <w:p w14:paraId="28D9268C" w14:textId="77777777" w:rsidR="00F42E63" w:rsidRPr="0013739E" w:rsidRDefault="00F42E63" w:rsidP="00F42E63">
            <w:pPr>
              <w:spacing w:after="0" w:line="240" w:lineRule="auto"/>
              <w:jc w:val="right"/>
              <w:rPr>
                <w:rFonts w:ascii="Times New Roman" w:eastAsia="Times New Roman" w:hAnsi="Times New Roman" w:cs="Times New Roman"/>
                <w:color w:val="000000"/>
                <w:kern w:val="0"/>
                <w:szCs w:val="24"/>
                <w:lang w:eastAsia="en-IN"/>
                <w14:ligatures w14:val="none"/>
              </w:rPr>
            </w:pPr>
            <w:r w:rsidRPr="0013739E">
              <w:rPr>
                <w:rFonts w:ascii="Times New Roman" w:eastAsia="Times New Roman" w:hAnsi="Times New Roman" w:cs="Times New Roman"/>
                <w:color w:val="000000"/>
                <w:kern w:val="0"/>
                <w:szCs w:val="24"/>
                <w:lang w:eastAsia="en-IN"/>
                <w14:ligatures w14:val="none"/>
              </w:rPr>
              <w:t>1.09</w:t>
            </w:r>
          </w:p>
        </w:tc>
        <w:tc>
          <w:tcPr>
            <w:tcW w:w="1463" w:type="dxa"/>
            <w:tcBorders>
              <w:top w:val="nil"/>
              <w:left w:val="nil"/>
              <w:bottom w:val="single" w:sz="4" w:space="0" w:color="auto"/>
              <w:right w:val="single" w:sz="4" w:space="0" w:color="auto"/>
            </w:tcBorders>
            <w:noWrap/>
            <w:vAlign w:val="bottom"/>
            <w:hideMark/>
          </w:tcPr>
          <w:p w14:paraId="2DA8828E" w14:textId="77777777" w:rsidR="00F42E63" w:rsidRPr="0013739E" w:rsidRDefault="00F42E63" w:rsidP="00F42E63">
            <w:pPr>
              <w:spacing w:after="0" w:line="240" w:lineRule="auto"/>
              <w:jc w:val="right"/>
              <w:rPr>
                <w:rFonts w:ascii="Times New Roman" w:eastAsia="Times New Roman" w:hAnsi="Times New Roman" w:cs="Times New Roman"/>
                <w:color w:val="000000"/>
                <w:kern w:val="0"/>
                <w:szCs w:val="24"/>
                <w:lang w:eastAsia="en-IN"/>
                <w14:ligatures w14:val="none"/>
              </w:rPr>
            </w:pPr>
            <w:r w:rsidRPr="0013739E">
              <w:rPr>
                <w:rFonts w:ascii="Times New Roman" w:eastAsia="Times New Roman" w:hAnsi="Times New Roman" w:cs="Times New Roman"/>
                <w:color w:val="000000"/>
                <w:kern w:val="0"/>
                <w:szCs w:val="24"/>
                <w:lang w:eastAsia="en-IN"/>
                <w14:ligatures w14:val="none"/>
              </w:rPr>
              <w:t>96.88</w:t>
            </w:r>
          </w:p>
        </w:tc>
      </w:tr>
      <w:tr w:rsidR="00F42E63" w:rsidRPr="0013739E" w14:paraId="134E9AD9" w14:textId="77777777" w:rsidTr="0013739E">
        <w:trPr>
          <w:trHeight w:val="21"/>
          <w:jc w:val="center"/>
        </w:trPr>
        <w:tc>
          <w:tcPr>
            <w:tcW w:w="1382" w:type="dxa"/>
            <w:tcBorders>
              <w:top w:val="nil"/>
              <w:left w:val="single" w:sz="4" w:space="0" w:color="auto"/>
              <w:bottom w:val="single" w:sz="4" w:space="0" w:color="auto"/>
              <w:right w:val="single" w:sz="4" w:space="0" w:color="auto"/>
            </w:tcBorders>
            <w:noWrap/>
            <w:vAlign w:val="bottom"/>
            <w:hideMark/>
          </w:tcPr>
          <w:p w14:paraId="45E7FF53" w14:textId="77777777" w:rsidR="00F42E63" w:rsidRPr="0013739E" w:rsidRDefault="00F42E63" w:rsidP="00F42E63">
            <w:pPr>
              <w:spacing w:after="0" w:line="240" w:lineRule="auto"/>
              <w:rPr>
                <w:rFonts w:ascii="Times New Roman" w:eastAsia="Times New Roman" w:hAnsi="Times New Roman" w:cs="Times New Roman"/>
                <w:color w:val="000000"/>
                <w:kern w:val="0"/>
                <w:szCs w:val="24"/>
                <w:lang w:eastAsia="en-IN"/>
                <w14:ligatures w14:val="none"/>
              </w:rPr>
            </w:pPr>
            <w:r w:rsidRPr="0013739E">
              <w:rPr>
                <w:rFonts w:ascii="Times New Roman" w:eastAsia="Times New Roman" w:hAnsi="Times New Roman" w:cs="Times New Roman"/>
                <w:color w:val="000000"/>
                <w:kern w:val="0"/>
                <w:szCs w:val="24"/>
                <w:lang w:eastAsia="en-IN"/>
                <w14:ligatures w14:val="none"/>
              </w:rPr>
              <w:t>1966-67</w:t>
            </w:r>
          </w:p>
        </w:tc>
        <w:tc>
          <w:tcPr>
            <w:tcW w:w="1261" w:type="dxa"/>
            <w:tcBorders>
              <w:top w:val="nil"/>
              <w:left w:val="nil"/>
              <w:bottom w:val="single" w:sz="4" w:space="0" w:color="auto"/>
              <w:right w:val="single" w:sz="4" w:space="0" w:color="auto"/>
            </w:tcBorders>
            <w:noWrap/>
            <w:vAlign w:val="bottom"/>
            <w:hideMark/>
          </w:tcPr>
          <w:p w14:paraId="703ADA1B" w14:textId="77777777" w:rsidR="00F42E63" w:rsidRPr="0013739E" w:rsidRDefault="00F42E63" w:rsidP="00F42E63">
            <w:pPr>
              <w:spacing w:after="0" w:line="240" w:lineRule="auto"/>
              <w:jc w:val="right"/>
              <w:rPr>
                <w:rFonts w:ascii="Times New Roman" w:eastAsia="Times New Roman" w:hAnsi="Times New Roman" w:cs="Times New Roman"/>
                <w:color w:val="000000"/>
                <w:kern w:val="0"/>
                <w:szCs w:val="24"/>
                <w:lang w:eastAsia="en-IN"/>
                <w14:ligatures w14:val="none"/>
              </w:rPr>
            </w:pPr>
            <w:r w:rsidRPr="0013739E">
              <w:rPr>
                <w:rFonts w:ascii="Times New Roman" w:eastAsia="Times New Roman" w:hAnsi="Times New Roman" w:cs="Times New Roman"/>
                <w:color w:val="000000"/>
                <w:kern w:val="0"/>
                <w:szCs w:val="24"/>
                <w:lang w:eastAsia="en-IN"/>
                <w14:ligatures w14:val="none"/>
              </w:rPr>
              <w:t>6.98</w:t>
            </w:r>
          </w:p>
        </w:tc>
        <w:tc>
          <w:tcPr>
            <w:tcW w:w="1261" w:type="dxa"/>
            <w:tcBorders>
              <w:top w:val="nil"/>
              <w:left w:val="nil"/>
              <w:bottom w:val="single" w:sz="4" w:space="0" w:color="auto"/>
              <w:right w:val="single" w:sz="4" w:space="0" w:color="auto"/>
            </w:tcBorders>
            <w:noWrap/>
            <w:vAlign w:val="bottom"/>
            <w:hideMark/>
          </w:tcPr>
          <w:p w14:paraId="1CCE3E8A" w14:textId="77777777" w:rsidR="00F42E63" w:rsidRPr="0013739E" w:rsidRDefault="00F42E63" w:rsidP="00F42E63">
            <w:pPr>
              <w:spacing w:after="0" w:line="240" w:lineRule="auto"/>
              <w:jc w:val="right"/>
              <w:rPr>
                <w:rFonts w:ascii="Times New Roman" w:eastAsia="Times New Roman" w:hAnsi="Times New Roman" w:cs="Times New Roman"/>
                <w:color w:val="000000"/>
                <w:kern w:val="0"/>
                <w:szCs w:val="24"/>
                <w:lang w:eastAsia="en-IN"/>
                <w14:ligatures w14:val="none"/>
              </w:rPr>
            </w:pPr>
            <w:r w:rsidRPr="0013739E">
              <w:rPr>
                <w:rFonts w:ascii="Times New Roman" w:eastAsia="Times New Roman" w:hAnsi="Times New Roman" w:cs="Times New Roman"/>
                <w:color w:val="000000"/>
                <w:kern w:val="0"/>
                <w:szCs w:val="24"/>
                <w:lang w:eastAsia="en-IN"/>
                <w14:ligatures w14:val="none"/>
              </w:rPr>
              <w:t>15.91</w:t>
            </w:r>
          </w:p>
        </w:tc>
        <w:tc>
          <w:tcPr>
            <w:tcW w:w="1160" w:type="dxa"/>
            <w:tcBorders>
              <w:top w:val="nil"/>
              <w:left w:val="nil"/>
              <w:bottom w:val="single" w:sz="4" w:space="0" w:color="auto"/>
              <w:right w:val="single" w:sz="4" w:space="0" w:color="auto"/>
            </w:tcBorders>
            <w:noWrap/>
            <w:vAlign w:val="bottom"/>
            <w:hideMark/>
          </w:tcPr>
          <w:p w14:paraId="2F41EA02" w14:textId="77777777" w:rsidR="00F42E63" w:rsidRPr="0013739E" w:rsidRDefault="00F42E63" w:rsidP="00F42E63">
            <w:pPr>
              <w:spacing w:after="0" w:line="240" w:lineRule="auto"/>
              <w:jc w:val="right"/>
              <w:rPr>
                <w:rFonts w:ascii="Times New Roman" w:eastAsia="Times New Roman" w:hAnsi="Times New Roman" w:cs="Times New Roman"/>
                <w:color w:val="000000"/>
                <w:kern w:val="0"/>
                <w:szCs w:val="24"/>
                <w:lang w:eastAsia="en-IN"/>
                <w14:ligatures w14:val="none"/>
              </w:rPr>
            </w:pPr>
            <w:r w:rsidRPr="0013739E">
              <w:rPr>
                <w:rFonts w:ascii="Times New Roman" w:eastAsia="Times New Roman" w:hAnsi="Times New Roman" w:cs="Times New Roman"/>
                <w:color w:val="000000"/>
                <w:kern w:val="0"/>
                <w:szCs w:val="24"/>
                <w:lang w:eastAsia="en-IN"/>
                <w14:ligatures w14:val="none"/>
              </w:rPr>
              <w:t>2.11</w:t>
            </w:r>
          </w:p>
        </w:tc>
        <w:tc>
          <w:tcPr>
            <w:tcW w:w="1393" w:type="dxa"/>
            <w:tcBorders>
              <w:top w:val="nil"/>
              <w:left w:val="nil"/>
              <w:bottom w:val="single" w:sz="4" w:space="0" w:color="auto"/>
              <w:right w:val="single" w:sz="4" w:space="0" w:color="auto"/>
            </w:tcBorders>
            <w:noWrap/>
            <w:vAlign w:val="bottom"/>
            <w:hideMark/>
          </w:tcPr>
          <w:p w14:paraId="0EBB1935" w14:textId="77777777" w:rsidR="00F42E63" w:rsidRPr="0013739E" w:rsidRDefault="00F42E63" w:rsidP="00F42E63">
            <w:pPr>
              <w:spacing w:after="0" w:line="240" w:lineRule="auto"/>
              <w:jc w:val="right"/>
              <w:rPr>
                <w:rFonts w:ascii="Times New Roman" w:eastAsia="Times New Roman" w:hAnsi="Times New Roman" w:cs="Times New Roman"/>
                <w:color w:val="000000"/>
                <w:kern w:val="0"/>
                <w:szCs w:val="24"/>
                <w:lang w:eastAsia="en-IN"/>
                <w14:ligatures w14:val="none"/>
              </w:rPr>
            </w:pPr>
            <w:r w:rsidRPr="0013739E">
              <w:rPr>
                <w:rFonts w:ascii="Times New Roman" w:eastAsia="Times New Roman" w:hAnsi="Times New Roman" w:cs="Times New Roman"/>
                <w:color w:val="000000"/>
                <w:kern w:val="0"/>
                <w:szCs w:val="24"/>
                <w:lang w:eastAsia="en-IN"/>
                <w14:ligatures w14:val="none"/>
              </w:rPr>
              <w:t>1.85</w:t>
            </w:r>
          </w:p>
        </w:tc>
        <w:tc>
          <w:tcPr>
            <w:tcW w:w="1160" w:type="dxa"/>
            <w:tcBorders>
              <w:top w:val="nil"/>
              <w:left w:val="nil"/>
              <w:bottom w:val="single" w:sz="4" w:space="0" w:color="auto"/>
              <w:right w:val="single" w:sz="4" w:space="0" w:color="auto"/>
            </w:tcBorders>
            <w:noWrap/>
            <w:vAlign w:val="bottom"/>
            <w:hideMark/>
          </w:tcPr>
          <w:p w14:paraId="3AC2CEDC" w14:textId="77777777" w:rsidR="00F42E63" w:rsidRPr="0013739E" w:rsidRDefault="00F42E63" w:rsidP="00F42E63">
            <w:pPr>
              <w:spacing w:after="0" w:line="240" w:lineRule="auto"/>
              <w:jc w:val="right"/>
              <w:rPr>
                <w:rFonts w:ascii="Times New Roman" w:eastAsia="Times New Roman" w:hAnsi="Times New Roman" w:cs="Times New Roman"/>
                <w:color w:val="000000"/>
                <w:kern w:val="0"/>
                <w:szCs w:val="24"/>
                <w:lang w:eastAsia="en-IN"/>
                <w14:ligatures w14:val="none"/>
              </w:rPr>
            </w:pPr>
            <w:r w:rsidRPr="0013739E">
              <w:rPr>
                <w:rFonts w:ascii="Times New Roman" w:eastAsia="Times New Roman" w:hAnsi="Times New Roman" w:cs="Times New Roman"/>
                <w:color w:val="000000"/>
                <w:kern w:val="0"/>
                <w:szCs w:val="24"/>
                <w:lang w:eastAsia="en-IN"/>
                <w14:ligatures w14:val="none"/>
              </w:rPr>
              <w:t>3.7</w:t>
            </w:r>
          </w:p>
        </w:tc>
        <w:tc>
          <w:tcPr>
            <w:tcW w:w="1251" w:type="dxa"/>
            <w:tcBorders>
              <w:top w:val="nil"/>
              <w:left w:val="nil"/>
              <w:bottom w:val="single" w:sz="4" w:space="0" w:color="auto"/>
              <w:right w:val="single" w:sz="4" w:space="0" w:color="auto"/>
            </w:tcBorders>
            <w:noWrap/>
            <w:vAlign w:val="bottom"/>
            <w:hideMark/>
          </w:tcPr>
          <w:p w14:paraId="5E86A822" w14:textId="77777777" w:rsidR="00F42E63" w:rsidRPr="0013739E" w:rsidRDefault="00F42E63" w:rsidP="00F42E63">
            <w:pPr>
              <w:spacing w:after="0" w:line="240" w:lineRule="auto"/>
              <w:jc w:val="right"/>
              <w:rPr>
                <w:rFonts w:ascii="Times New Roman" w:eastAsia="Times New Roman" w:hAnsi="Times New Roman" w:cs="Times New Roman"/>
                <w:color w:val="000000"/>
                <w:kern w:val="0"/>
                <w:szCs w:val="24"/>
                <w:lang w:eastAsia="en-IN"/>
                <w14:ligatures w14:val="none"/>
              </w:rPr>
            </w:pPr>
            <w:r w:rsidRPr="0013739E">
              <w:rPr>
                <w:rFonts w:ascii="Times New Roman" w:eastAsia="Times New Roman" w:hAnsi="Times New Roman" w:cs="Times New Roman"/>
                <w:color w:val="000000"/>
                <w:kern w:val="0"/>
                <w:szCs w:val="24"/>
                <w:lang w:eastAsia="en-IN"/>
                <w14:ligatures w14:val="none"/>
              </w:rPr>
              <w:t>0.9</w:t>
            </w:r>
          </w:p>
        </w:tc>
        <w:tc>
          <w:tcPr>
            <w:tcW w:w="1058" w:type="dxa"/>
            <w:tcBorders>
              <w:top w:val="nil"/>
              <w:left w:val="nil"/>
              <w:bottom w:val="single" w:sz="4" w:space="0" w:color="auto"/>
              <w:right w:val="single" w:sz="4" w:space="0" w:color="auto"/>
            </w:tcBorders>
            <w:noWrap/>
            <w:vAlign w:val="bottom"/>
            <w:hideMark/>
          </w:tcPr>
          <w:p w14:paraId="6EED14DD" w14:textId="77777777" w:rsidR="00F42E63" w:rsidRPr="0013739E" w:rsidRDefault="00F42E63" w:rsidP="00F42E63">
            <w:pPr>
              <w:spacing w:after="0" w:line="240" w:lineRule="auto"/>
              <w:jc w:val="right"/>
              <w:rPr>
                <w:rFonts w:ascii="Times New Roman" w:eastAsia="Times New Roman" w:hAnsi="Times New Roman" w:cs="Times New Roman"/>
                <w:color w:val="000000"/>
                <w:kern w:val="0"/>
                <w:szCs w:val="24"/>
                <w:lang w:eastAsia="en-IN"/>
                <w14:ligatures w14:val="none"/>
              </w:rPr>
            </w:pPr>
            <w:r w:rsidRPr="0013739E">
              <w:rPr>
                <w:rFonts w:ascii="Times New Roman" w:eastAsia="Times New Roman" w:hAnsi="Times New Roman" w:cs="Times New Roman"/>
                <w:color w:val="000000"/>
                <w:kern w:val="0"/>
                <w:szCs w:val="24"/>
                <w:lang w:eastAsia="en-IN"/>
                <w14:ligatures w14:val="none"/>
              </w:rPr>
              <w:t>1.73</w:t>
            </w:r>
          </w:p>
        </w:tc>
        <w:tc>
          <w:tcPr>
            <w:tcW w:w="1731" w:type="dxa"/>
            <w:tcBorders>
              <w:top w:val="nil"/>
              <w:left w:val="nil"/>
              <w:bottom w:val="single" w:sz="4" w:space="0" w:color="auto"/>
              <w:right w:val="single" w:sz="4" w:space="0" w:color="auto"/>
            </w:tcBorders>
            <w:noWrap/>
            <w:vAlign w:val="bottom"/>
            <w:hideMark/>
          </w:tcPr>
          <w:p w14:paraId="18464D6F" w14:textId="77777777" w:rsidR="00F42E63" w:rsidRPr="0013739E" w:rsidRDefault="00F42E63" w:rsidP="00F42E63">
            <w:pPr>
              <w:spacing w:after="0" w:line="240" w:lineRule="auto"/>
              <w:jc w:val="right"/>
              <w:rPr>
                <w:rFonts w:ascii="Times New Roman" w:eastAsia="Times New Roman" w:hAnsi="Times New Roman" w:cs="Times New Roman"/>
                <w:color w:val="000000"/>
                <w:kern w:val="0"/>
                <w:szCs w:val="24"/>
                <w:lang w:eastAsia="en-IN"/>
                <w14:ligatures w14:val="none"/>
              </w:rPr>
            </w:pPr>
            <w:r w:rsidRPr="0013739E">
              <w:rPr>
                <w:rFonts w:ascii="Times New Roman" w:eastAsia="Times New Roman" w:hAnsi="Times New Roman" w:cs="Times New Roman"/>
                <w:color w:val="000000"/>
                <w:kern w:val="0"/>
                <w:szCs w:val="24"/>
                <w:lang w:eastAsia="en-IN"/>
                <w14:ligatures w14:val="none"/>
              </w:rPr>
              <w:t>1.13</w:t>
            </w:r>
          </w:p>
        </w:tc>
        <w:tc>
          <w:tcPr>
            <w:tcW w:w="1160" w:type="dxa"/>
            <w:tcBorders>
              <w:top w:val="nil"/>
              <w:left w:val="nil"/>
              <w:bottom w:val="single" w:sz="4" w:space="0" w:color="auto"/>
              <w:right w:val="single" w:sz="4" w:space="0" w:color="auto"/>
            </w:tcBorders>
            <w:noWrap/>
            <w:vAlign w:val="bottom"/>
            <w:hideMark/>
          </w:tcPr>
          <w:p w14:paraId="5C156B92" w14:textId="77777777" w:rsidR="00F42E63" w:rsidRPr="0013739E" w:rsidRDefault="00F42E63" w:rsidP="00F42E63">
            <w:pPr>
              <w:spacing w:after="0" w:line="240" w:lineRule="auto"/>
              <w:jc w:val="right"/>
              <w:rPr>
                <w:rFonts w:ascii="Times New Roman" w:eastAsia="Times New Roman" w:hAnsi="Times New Roman" w:cs="Times New Roman"/>
                <w:color w:val="000000"/>
                <w:kern w:val="0"/>
                <w:szCs w:val="24"/>
                <w:lang w:eastAsia="en-IN"/>
                <w14:ligatures w14:val="none"/>
              </w:rPr>
            </w:pPr>
            <w:r w:rsidRPr="0013739E">
              <w:rPr>
                <w:rFonts w:ascii="Times New Roman" w:eastAsia="Times New Roman" w:hAnsi="Times New Roman" w:cs="Times New Roman"/>
                <w:color w:val="000000"/>
                <w:kern w:val="0"/>
                <w:szCs w:val="24"/>
                <w:lang w:eastAsia="en-IN"/>
                <w14:ligatures w14:val="none"/>
              </w:rPr>
              <w:t>1.14</w:t>
            </w:r>
          </w:p>
        </w:tc>
        <w:tc>
          <w:tcPr>
            <w:tcW w:w="1463" w:type="dxa"/>
            <w:tcBorders>
              <w:top w:val="nil"/>
              <w:left w:val="nil"/>
              <w:bottom w:val="single" w:sz="4" w:space="0" w:color="auto"/>
              <w:right w:val="single" w:sz="4" w:space="0" w:color="auto"/>
            </w:tcBorders>
            <w:noWrap/>
            <w:vAlign w:val="bottom"/>
            <w:hideMark/>
          </w:tcPr>
          <w:p w14:paraId="3CCCAE7C" w14:textId="77777777" w:rsidR="00F42E63" w:rsidRPr="0013739E" w:rsidRDefault="00F42E63" w:rsidP="00F42E63">
            <w:pPr>
              <w:spacing w:after="0" w:line="240" w:lineRule="auto"/>
              <w:jc w:val="right"/>
              <w:rPr>
                <w:rFonts w:ascii="Times New Roman" w:eastAsia="Times New Roman" w:hAnsi="Times New Roman" w:cs="Times New Roman"/>
                <w:color w:val="000000"/>
                <w:kern w:val="0"/>
                <w:szCs w:val="24"/>
                <w:lang w:eastAsia="en-IN"/>
                <w14:ligatures w14:val="none"/>
              </w:rPr>
            </w:pPr>
            <w:r w:rsidRPr="0013739E">
              <w:rPr>
                <w:rFonts w:ascii="Times New Roman" w:eastAsia="Times New Roman" w:hAnsi="Times New Roman" w:cs="Times New Roman"/>
                <w:color w:val="000000"/>
                <w:kern w:val="0"/>
                <w:szCs w:val="24"/>
                <w:lang w:eastAsia="en-IN"/>
                <w14:ligatures w14:val="none"/>
              </w:rPr>
              <w:t>96.75</w:t>
            </w:r>
          </w:p>
        </w:tc>
      </w:tr>
      <w:tr w:rsidR="00F42E63" w:rsidRPr="0013739E" w14:paraId="2C2B6F84" w14:textId="77777777" w:rsidTr="0013739E">
        <w:trPr>
          <w:trHeight w:val="21"/>
          <w:jc w:val="center"/>
        </w:trPr>
        <w:tc>
          <w:tcPr>
            <w:tcW w:w="1382" w:type="dxa"/>
            <w:tcBorders>
              <w:top w:val="nil"/>
              <w:left w:val="single" w:sz="4" w:space="0" w:color="auto"/>
              <w:bottom w:val="single" w:sz="4" w:space="0" w:color="auto"/>
              <w:right w:val="single" w:sz="4" w:space="0" w:color="auto"/>
            </w:tcBorders>
            <w:noWrap/>
            <w:vAlign w:val="bottom"/>
            <w:hideMark/>
          </w:tcPr>
          <w:p w14:paraId="49973B77" w14:textId="77777777" w:rsidR="00F42E63" w:rsidRPr="0013739E" w:rsidRDefault="00F42E63" w:rsidP="00F42E63">
            <w:pPr>
              <w:spacing w:after="0" w:line="240" w:lineRule="auto"/>
              <w:rPr>
                <w:rFonts w:ascii="Times New Roman" w:eastAsia="Times New Roman" w:hAnsi="Times New Roman" w:cs="Times New Roman"/>
                <w:color w:val="000000"/>
                <w:kern w:val="0"/>
                <w:szCs w:val="24"/>
                <w:lang w:eastAsia="en-IN"/>
                <w14:ligatures w14:val="none"/>
              </w:rPr>
            </w:pPr>
            <w:r w:rsidRPr="0013739E">
              <w:rPr>
                <w:rFonts w:ascii="Times New Roman" w:eastAsia="Times New Roman" w:hAnsi="Times New Roman" w:cs="Times New Roman"/>
                <w:color w:val="000000"/>
                <w:kern w:val="0"/>
                <w:szCs w:val="24"/>
                <w:lang w:eastAsia="en-IN"/>
                <w14:ligatures w14:val="none"/>
              </w:rPr>
              <w:t>1967-68</w:t>
            </w:r>
          </w:p>
        </w:tc>
        <w:tc>
          <w:tcPr>
            <w:tcW w:w="1261" w:type="dxa"/>
            <w:tcBorders>
              <w:top w:val="nil"/>
              <w:left w:val="nil"/>
              <w:bottom w:val="single" w:sz="4" w:space="0" w:color="auto"/>
              <w:right w:val="single" w:sz="4" w:space="0" w:color="auto"/>
            </w:tcBorders>
            <w:noWrap/>
            <w:vAlign w:val="bottom"/>
            <w:hideMark/>
          </w:tcPr>
          <w:p w14:paraId="49D12CC1" w14:textId="77777777" w:rsidR="00F42E63" w:rsidRPr="0013739E" w:rsidRDefault="00F42E63" w:rsidP="00F42E63">
            <w:pPr>
              <w:spacing w:after="0" w:line="240" w:lineRule="auto"/>
              <w:jc w:val="right"/>
              <w:rPr>
                <w:rFonts w:ascii="Times New Roman" w:eastAsia="Times New Roman" w:hAnsi="Times New Roman" w:cs="Times New Roman"/>
                <w:color w:val="000000"/>
                <w:kern w:val="0"/>
                <w:szCs w:val="24"/>
                <w:lang w:eastAsia="en-IN"/>
                <w14:ligatures w14:val="none"/>
              </w:rPr>
            </w:pPr>
            <w:r w:rsidRPr="0013739E">
              <w:rPr>
                <w:rFonts w:ascii="Times New Roman" w:eastAsia="Times New Roman" w:hAnsi="Times New Roman" w:cs="Times New Roman"/>
                <w:color w:val="000000"/>
                <w:kern w:val="0"/>
                <w:szCs w:val="24"/>
                <w:lang w:eastAsia="en-IN"/>
                <w14:ligatures w14:val="none"/>
              </w:rPr>
              <w:t>10.14</w:t>
            </w:r>
          </w:p>
        </w:tc>
        <w:tc>
          <w:tcPr>
            <w:tcW w:w="1261" w:type="dxa"/>
            <w:tcBorders>
              <w:top w:val="nil"/>
              <w:left w:val="nil"/>
              <w:bottom w:val="single" w:sz="4" w:space="0" w:color="auto"/>
              <w:right w:val="single" w:sz="4" w:space="0" w:color="auto"/>
            </w:tcBorders>
            <w:noWrap/>
            <w:vAlign w:val="bottom"/>
            <w:hideMark/>
          </w:tcPr>
          <w:p w14:paraId="78AED0DC" w14:textId="77777777" w:rsidR="00F42E63" w:rsidRPr="0013739E" w:rsidRDefault="00F42E63" w:rsidP="00F42E63">
            <w:pPr>
              <w:spacing w:after="0" w:line="240" w:lineRule="auto"/>
              <w:jc w:val="right"/>
              <w:rPr>
                <w:rFonts w:ascii="Times New Roman" w:eastAsia="Times New Roman" w:hAnsi="Times New Roman" w:cs="Times New Roman"/>
                <w:color w:val="000000"/>
                <w:kern w:val="0"/>
                <w:szCs w:val="24"/>
                <w:lang w:eastAsia="en-IN"/>
                <w14:ligatures w14:val="none"/>
              </w:rPr>
            </w:pPr>
            <w:r w:rsidRPr="0013739E">
              <w:rPr>
                <w:rFonts w:ascii="Times New Roman" w:eastAsia="Times New Roman" w:hAnsi="Times New Roman" w:cs="Times New Roman"/>
                <w:color w:val="000000"/>
                <w:kern w:val="0"/>
                <w:szCs w:val="24"/>
                <w:lang w:eastAsia="en-IN"/>
                <w14:ligatures w14:val="none"/>
              </w:rPr>
              <w:t>19.76</w:t>
            </w:r>
          </w:p>
        </w:tc>
        <w:tc>
          <w:tcPr>
            <w:tcW w:w="1160" w:type="dxa"/>
            <w:tcBorders>
              <w:top w:val="nil"/>
              <w:left w:val="nil"/>
              <w:bottom w:val="single" w:sz="4" w:space="0" w:color="auto"/>
              <w:right w:val="single" w:sz="4" w:space="0" w:color="auto"/>
            </w:tcBorders>
            <w:noWrap/>
            <w:vAlign w:val="bottom"/>
            <w:hideMark/>
          </w:tcPr>
          <w:p w14:paraId="658F8593" w14:textId="77777777" w:rsidR="00F42E63" w:rsidRPr="0013739E" w:rsidRDefault="00F42E63" w:rsidP="00F42E63">
            <w:pPr>
              <w:spacing w:after="0" w:line="240" w:lineRule="auto"/>
              <w:jc w:val="right"/>
              <w:rPr>
                <w:rFonts w:ascii="Times New Roman" w:eastAsia="Times New Roman" w:hAnsi="Times New Roman" w:cs="Times New Roman"/>
                <w:color w:val="000000"/>
                <w:kern w:val="0"/>
                <w:szCs w:val="24"/>
                <w:lang w:eastAsia="en-IN"/>
                <w14:ligatures w14:val="none"/>
              </w:rPr>
            </w:pPr>
            <w:r w:rsidRPr="0013739E">
              <w:rPr>
                <w:rFonts w:ascii="Times New Roman" w:eastAsia="Times New Roman" w:hAnsi="Times New Roman" w:cs="Times New Roman"/>
                <w:color w:val="000000"/>
                <w:kern w:val="0"/>
                <w:szCs w:val="24"/>
                <w:lang w:eastAsia="en-IN"/>
                <w14:ligatures w14:val="none"/>
              </w:rPr>
              <w:t>2.41</w:t>
            </w:r>
          </w:p>
        </w:tc>
        <w:tc>
          <w:tcPr>
            <w:tcW w:w="1393" w:type="dxa"/>
            <w:tcBorders>
              <w:top w:val="nil"/>
              <w:left w:val="nil"/>
              <w:bottom w:val="single" w:sz="4" w:space="0" w:color="auto"/>
              <w:right w:val="single" w:sz="4" w:space="0" w:color="auto"/>
            </w:tcBorders>
            <w:noWrap/>
            <w:vAlign w:val="bottom"/>
            <w:hideMark/>
          </w:tcPr>
          <w:p w14:paraId="4E0449C5" w14:textId="77777777" w:rsidR="00F42E63" w:rsidRPr="0013739E" w:rsidRDefault="00F42E63" w:rsidP="00F42E63">
            <w:pPr>
              <w:spacing w:after="0" w:line="240" w:lineRule="auto"/>
              <w:jc w:val="right"/>
              <w:rPr>
                <w:rFonts w:ascii="Times New Roman" w:eastAsia="Times New Roman" w:hAnsi="Times New Roman" w:cs="Times New Roman"/>
                <w:color w:val="000000"/>
                <w:kern w:val="0"/>
                <w:szCs w:val="24"/>
                <w:lang w:eastAsia="en-IN"/>
                <w14:ligatures w14:val="none"/>
              </w:rPr>
            </w:pPr>
            <w:r w:rsidRPr="0013739E">
              <w:rPr>
                <w:rFonts w:ascii="Times New Roman" w:eastAsia="Times New Roman" w:hAnsi="Times New Roman" w:cs="Times New Roman"/>
                <w:color w:val="000000"/>
                <w:kern w:val="0"/>
                <w:szCs w:val="24"/>
                <w:lang w:eastAsia="en-IN"/>
                <w14:ligatures w14:val="none"/>
              </w:rPr>
              <w:t>2.35</w:t>
            </w:r>
          </w:p>
        </w:tc>
        <w:tc>
          <w:tcPr>
            <w:tcW w:w="1160" w:type="dxa"/>
            <w:tcBorders>
              <w:top w:val="nil"/>
              <w:left w:val="nil"/>
              <w:bottom w:val="single" w:sz="4" w:space="0" w:color="auto"/>
              <w:right w:val="single" w:sz="4" w:space="0" w:color="auto"/>
            </w:tcBorders>
            <w:noWrap/>
            <w:vAlign w:val="bottom"/>
            <w:hideMark/>
          </w:tcPr>
          <w:p w14:paraId="158EDD97" w14:textId="77777777" w:rsidR="00F42E63" w:rsidRPr="0013739E" w:rsidRDefault="00F42E63" w:rsidP="00F42E63">
            <w:pPr>
              <w:spacing w:after="0" w:line="240" w:lineRule="auto"/>
              <w:jc w:val="right"/>
              <w:rPr>
                <w:rFonts w:ascii="Times New Roman" w:eastAsia="Times New Roman" w:hAnsi="Times New Roman" w:cs="Times New Roman"/>
                <w:color w:val="000000"/>
                <w:kern w:val="0"/>
                <w:szCs w:val="24"/>
                <w:lang w:eastAsia="en-IN"/>
                <w14:ligatures w14:val="none"/>
              </w:rPr>
            </w:pPr>
            <w:r w:rsidRPr="0013739E">
              <w:rPr>
                <w:rFonts w:ascii="Times New Roman" w:eastAsia="Times New Roman" w:hAnsi="Times New Roman" w:cs="Times New Roman"/>
                <w:color w:val="000000"/>
                <w:kern w:val="0"/>
                <w:szCs w:val="24"/>
                <w:lang w:eastAsia="en-IN"/>
                <w14:ligatures w14:val="none"/>
              </w:rPr>
              <w:t>4.15</w:t>
            </w:r>
          </w:p>
        </w:tc>
        <w:tc>
          <w:tcPr>
            <w:tcW w:w="1251" w:type="dxa"/>
            <w:tcBorders>
              <w:top w:val="nil"/>
              <w:left w:val="nil"/>
              <w:bottom w:val="single" w:sz="4" w:space="0" w:color="auto"/>
              <w:right w:val="single" w:sz="4" w:space="0" w:color="auto"/>
            </w:tcBorders>
            <w:noWrap/>
            <w:vAlign w:val="bottom"/>
            <w:hideMark/>
          </w:tcPr>
          <w:p w14:paraId="24D7A739" w14:textId="77777777" w:rsidR="00F42E63" w:rsidRPr="0013739E" w:rsidRDefault="00F42E63" w:rsidP="00F42E63">
            <w:pPr>
              <w:spacing w:after="0" w:line="240" w:lineRule="auto"/>
              <w:jc w:val="right"/>
              <w:rPr>
                <w:rFonts w:ascii="Times New Roman" w:eastAsia="Times New Roman" w:hAnsi="Times New Roman" w:cs="Times New Roman"/>
                <w:color w:val="000000"/>
                <w:kern w:val="0"/>
                <w:szCs w:val="24"/>
                <w:lang w:eastAsia="en-IN"/>
                <w14:ligatures w14:val="none"/>
              </w:rPr>
            </w:pPr>
            <w:r w:rsidRPr="0013739E">
              <w:rPr>
                <w:rFonts w:ascii="Times New Roman" w:eastAsia="Times New Roman" w:hAnsi="Times New Roman" w:cs="Times New Roman"/>
                <w:color w:val="000000"/>
                <w:kern w:val="0"/>
                <w:szCs w:val="24"/>
                <w:lang w:eastAsia="en-IN"/>
                <w14:ligatures w14:val="none"/>
              </w:rPr>
              <w:t>1.08</w:t>
            </w:r>
          </w:p>
        </w:tc>
        <w:tc>
          <w:tcPr>
            <w:tcW w:w="1058" w:type="dxa"/>
            <w:tcBorders>
              <w:top w:val="nil"/>
              <w:left w:val="nil"/>
              <w:bottom w:val="single" w:sz="4" w:space="0" w:color="auto"/>
              <w:right w:val="single" w:sz="4" w:space="0" w:color="auto"/>
            </w:tcBorders>
            <w:noWrap/>
            <w:vAlign w:val="bottom"/>
            <w:hideMark/>
          </w:tcPr>
          <w:p w14:paraId="0037067C" w14:textId="77777777" w:rsidR="00F42E63" w:rsidRPr="0013739E" w:rsidRDefault="00F42E63" w:rsidP="00F42E63">
            <w:pPr>
              <w:spacing w:after="0" w:line="240" w:lineRule="auto"/>
              <w:jc w:val="right"/>
              <w:rPr>
                <w:rFonts w:ascii="Times New Roman" w:eastAsia="Times New Roman" w:hAnsi="Times New Roman" w:cs="Times New Roman"/>
                <w:color w:val="000000"/>
                <w:kern w:val="0"/>
                <w:szCs w:val="24"/>
                <w:lang w:eastAsia="en-IN"/>
                <w14:ligatures w14:val="none"/>
              </w:rPr>
            </w:pPr>
            <w:r w:rsidRPr="0013739E">
              <w:rPr>
                <w:rFonts w:ascii="Times New Roman" w:eastAsia="Times New Roman" w:hAnsi="Times New Roman" w:cs="Times New Roman"/>
                <w:color w:val="000000"/>
                <w:kern w:val="0"/>
                <w:szCs w:val="24"/>
                <w:lang w:eastAsia="en-IN"/>
                <w14:ligatures w14:val="none"/>
              </w:rPr>
              <w:t>6.08</w:t>
            </w:r>
          </w:p>
        </w:tc>
        <w:tc>
          <w:tcPr>
            <w:tcW w:w="1731" w:type="dxa"/>
            <w:tcBorders>
              <w:top w:val="nil"/>
              <w:left w:val="nil"/>
              <w:bottom w:val="single" w:sz="4" w:space="0" w:color="auto"/>
              <w:right w:val="single" w:sz="4" w:space="0" w:color="auto"/>
            </w:tcBorders>
            <w:noWrap/>
            <w:vAlign w:val="bottom"/>
            <w:hideMark/>
          </w:tcPr>
          <w:p w14:paraId="5A006F2E" w14:textId="77777777" w:rsidR="00F42E63" w:rsidRPr="0013739E" w:rsidRDefault="00F42E63" w:rsidP="00F42E63">
            <w:pPr>
              <w:spacing w:after="0" w:line="240" w:lineRule="auto"/>
              <w:jc w:val="right"/>
              <w:rPr>
                <w:rFonts w:ascii="Times New Roman" w:eastAsia="Times New Roman" w:hAnsi="Times New Roman" w:cs="Times New Roman"/>
                <w:color w:val="000000"/>
                <w:kern w:val="0"/>
                <w:szCs w:val="24"/>
                <w:lang w:eastAsia="en-IN"/>
                <w14:ligatures w14:val="none"/>
              </w:rPr>
            </w:pPr>
            <w:r w:rsidRPr="0013739E">
              <w:rPr>
                <w:rFonts w:ascii="Times New Roman" w:eastAsia="Times New Roman" w:hAnsi="Times New Roman" w:cs="Times New Roman"/>
                <w:color w:val="000000"/>
                <w:kern w:val="0"/>
                <w:szCs w:val="24"/>
                <w:lang w:eastAsia="en-IN"/>
                <w14:ligatures w14:val="none"/>
              </w:rPr>
              <w:t>1</w:t>
            </w:r>
          </w:p>
        </w:tc>
        <w:tc>
          <w:tcPr>
            <w:tcW w:w="1160" w:type="dxa"/>
            <w:tcBorders>
              <w:top w:val="nil"/>
              <w:left w:val="nil"/>
              <w:bottom w:val="single" w:sz="4" w:space="0" w:color="auto"/>
              <w:right w:val="single" w:sz="4" w:space="0" w:color="auto"/>
            </w:tcBorders>
            <w:noWrap/>
            <w:vAlign w:val="bottom"/>
            <w:hideMark/>
          </w:tcPr>
          <w:p w14:paraId="5DB61107" w14:textId="77777777" w:rsidR="00F42E63" w:rsidRPr="0013739E" w:rsidRDefault="00F42E63" w:rsidP="00F42E63">
            <w:pPr>
              <w:spacing w:after="0" w:line="240" w:lineRule="auto"/>
              <w:jc w:val="right"/>
              <w:rPr>
                <w:rFonts w:ascii="Times New Roman" w:eastAsia="Times New Roman" w:hAnsi="Times New Roman" w:cs="Times New Roman"/>
                <w:color w:val="000000"/>
                <w:kern w:val="0"/>
                <w:szCs w:val="24"/>
                <w:lang w:eastAsia="en-IN"/>
                <w14:ligatures w14:val="none"/>
              </w:rPr>
            </w:pPr>
            <w:r w:rsidRPr="0013739E">
              <w:rPr>
                <w:rFonts w:ascii="Times New Roman" w:eastAsia="Times New Roman" w:hAnsi="Times New Roman" w:cs="Times New Roman"/>
                <w:color w:val="000000"/>
                <w:kern w:val="0"/>
                <w:szCs w:val="24"/>
                <w:lang w:eastAsia="en-IN"/>
                <w14:ligatures w14:val="none"/>
              </w:rPr>
              <w:t>1.18</w:t>
            </w:r>
          </w:p>
        </w:tc>
        <w:tc>
          <w:tcPr>
            <w:tcW w:w="1463" w:type="dxa"/>
            <w:tcBorders>
              <w:top w:val="nil"/>
              <w:left w:val="nil"/>
              <w:bottom w:val="single" w:sz="4" w:space="0" w:color="auto"/>
              <w:right w:val="single" w:sz="4" w:space="0" w:color="auto"/>
            </w:tcBorders>
            <w:noWrap/>
            <w:vAlign w:val="bottom"/>
            <w:hideMark/>
          </w:tcPr>
          <w:p w14:paraId="2CB80F30" w14:textId="77777777" w:rsidR="00F42E63" w:rsidRPr="0013739E" w:rsidRDefault="00F42E63" w:rsidP="00F42E63">
            <w:pPr>
              <w:spacing w:after="0" w:line="240" w:lineRule="auto"/>
              <w:jc w:val="right"/>
              <w:rPr>
                <w:rFonts w:ascii="Times New Roman" w:eastAsia="Times New Roman" w:hAnsi="Times New Roman" w:cs="Times New Roman"/>
                <w:color w:val="000000"/>
                <w:kern w:val="0"/>
                <w:szCs w:val="24"/>
                <w:lang w:eastAsia="en-IN"/>
                <w14:ligatures w14:val="none"/>
              </w:rPr>
            </w:pPr>
            <w:r w:rsidRPr="0013739E">
              <w:rPr>
                <w:rFonts w:ascii="Times New Roman" w:eastAsia="Times New Roman" w:hAnsi="Times New Roman" w:cs="Times New Roman"/>
                <w:color w:val="000000"/>
                <w:kern w:val="0"/>
                <w:szCs w:val="24"/>
                <w:lang w:eastAsia="en-IN"/>
                <w14:ligatures w14:val="none"/>
              </w:rPr>
              <w:t>121.38</w:t>
            </w:r>
          </w:p>
        </w:tc>
      </w:tr>
      <w:tr w:rsidR="00F42E63" w:rsidRPr="0013739E" w14:paraId="2162B854" w14:textId="77777777" w:rsidTr="0013739E">
        <w:trPr>
          <w:trHeight w:val="21"/>
          <w:jc w:val="center"/>
        </w:trPr>
        <w:tc>
          <w:tcPr>
            <w:tcW w:w="1382" w:type="dxa"/>
            <w:tcBorders>
              <w:top w:val="nil"/>
              <w:left w:val="single" w:sz="4" w:space="0" w:color="auto"/>
              <w:bottom w:val="single" w:sz="4" w:space="0" w:color="auto"/>
              <w:right w:val="single" w:sz="4" w:space="0" w:color="auto"/>
            </w:tcBorders>
            <w:noWrap/>
            <w:vAlign w:val="bottom"/>
            <w:hideMark/>
          </w:tcPr>
          <w:p w14:paraId="1961F4F2" w14:textId="77777777" w:rsidR="00F42E63" w:rsidRPr="0013739E" w:rsidRDefault="00F42E63" w:rsidP="00F42E63">
            <w:pPr>
              <w:spacing w:after="0" w:line="240" w:lineRule="auto"/>
              <w:rPr>
                <w:rFonts w:ascii="Times New Roman" w:eastAsia="Times New Roman" w:hAnsi="Times New Roman" w:cs="Times New Roman"/>
                <w:color w:val="000000"/>
                <w:kern w:val="0"/>
                <w:szCs w:val="24"/>
                <w:lang w:eastAsia="en-IN"/>
                <w14:ligatures w14:val="none"/>
              </w:rPr>
            </w:pPr>
            <w:r w:rsidRPr="0013739E">
              <w:rPr>
                <w:rFonts w:ascii="Times New Roman" w:eastAsia="Times New Roman" w:hAnsi="Times New Roman" w:cs="Times New Roman"/>
                <w:color w:val="000000"/>
                <w:kern w:val="0"/>
                <w:szCs w:val="24"/>
                <w:lang w:eastAsia="en-IN"/>
                <w14:ligatures w14:val="none"/>
              </w:rPr>
              <w:t>1968-69 (RE)</w:t>
            </w:r>
          </w:p>
        </w:tc>
        <w:tc>
          <w:tcPr>
            <w:tcW w:w="1261" w:type="dxa"/>
            <w:tcBorders>
              <w:top w:val="nil"/>
              <w:left w:val="nil"/>
              <w:bottom w:val="single" w:sz="4" w:space="0" w:color="auto"/>
              <w:right w:val="single" w:sz="4" w:space="0" w:color="auto"/>
            </w:tcBorders>
            <w:noWrap/>
            <w:vAlign w:val="bottom"/>
            <w:hideMark/>
          </w:tcPr>
          <w:p w14:paraId="5DFEA128" w14:textId="0AEFBCE4" w:rsidR="00F42E63" w:rsidRPr="0013739E" w:rsidRDefault="00F42E63" w:rsidP="00F42E63">
            <w:pPr>
              <w:spacing w:after="0" w:line="240" w:lineRule="auto"/>
              <w:rPr>
                <w:rFonts w:ascii="Times New Roman" w:eastAsia="Times New Roman" w:hAnsi="Times New Roman" w:cs="Times New Roman"/>
                <w:color w:val="000000"/>
                <w:kern w:val="0"/>
                <w:szCs w:val="24"/>
                <w:lang w:eastAsia="en-IN"/>
                <w14:ligatures w14:val="none"/>
              </w:rPr>
            </w:pPr>
            <w:r w:rsidRPr="0013739E">
              <w:rPr>
                <w:rFonts w:ascii="Times New Roman" w:eastAsia="Times New Roman" w:hAnsi="Times New Roman" w:cs="Times New Roman"/>
                <w:color w:val="000000"/>
                <w:kern w:val="0"/>
                <w:szCs w:val="24"/>
                <w:lang w:eastAsia="en-IN"/>
                <w14:ligatures w14:val="none"/>
              </w:rPr>
              <w:t>6.37 (4.92)</w:t>
            </w:r>
          </w:p>
        </w:tc>
        <w:tc>
          <w:tcPr>
            <w:tcW w:w="1261" w:type="dxa"/>
            <w:tcBorders>
              <w:top w:val="nil"/>
              <w:left w:val="nil"/>
              <w:bottom w:val="single" w:sz="4" w:space="0" w:color="auto"/>
              <w:right w:val="single" w:sz="4" w:space="0" w:color="auto"/>
            </w:tcBorders>
            <w:noWrap/>
            <w:vAlign w:val="bottom"/>
            <w:hideMark/>
          </w:tcPr>
          <w:p w14:paraId="0C79730C" w14:textId="6E6E8964" w:rsidR="00F42E63" w:rsidRPr="0013739E" w:rsidRDefault="00F42E63" w:rsidP="00F42E63">
            <w:pPr>
              <w:spacing w:after="0" w:line="240" w:lineRule="auto"/>
              <w:rPr>
                <w:rFonts w:ascii="Times New Roman" w:eastAsia="Times New Roman" w:hAnsi="Times New Roman" w:cs="Times New Roman"/>
                <w:color w:val="000000"/>
                <w:kern w:val="0"/>
                <w:szCs w:val="24"/>
                <w:lang w:eastAsia="en-IN"/>
                <w14:ligatures w14:val="none"/>
              </w:rPr>
            </w:pPr>
            <w:r w:rsidRPr="0013739E">
              <w:rPr>
                <w:rFonts w:ascii="Times New Roman" w:eastAsia="Times New Roman" w:hAnsi="Times New Roman" w:cs="Times New Roman"/>
                <w:color w:val="000000"/>
                <w:kern w:val="0"/>
                <w:szCs w:val="24"/>
                <w:lang w:eastAsia="en-IN"/>
                <w14:ligatures w14:val="none"/>
              </w:rPr>
              <w:t>21.75 (16.78)</w:t>
            </w:r>
          </w:p>
        </w:tc>
        <w:tc>
          <w:tcPr>
            <w:tcW w:w="1160" w:type="dxa"/>
            <w:tcBorders>
              <w:top w:val="nil"/>
              <w:left w:val="nil"/>
              <w:bottom w:val="single" w:sz="4" w:space="0" w:color="auto"/>
              <w:right w:val="single" w:sz="4" w:space="0" w:color="auto"/>
            </w:tcBorders>
            <w:noWrap/>
            <w:vAlign w:val="bottom"/>
            <w:hideMark/>
          </w:tcPr>
          <w:p w14:paraId="2A3F3BF9" w14:textId="46635D8F" w:rsidR="00F42E63" w:rsidRPr="0013739E" w:rsidRDefault="00F42E63" w:rsidP="00F42E63">
            <w:pPr>
              <w:spacing w:after="0" w:line="240" w:lineRule="auto"/>
              <w:rPr>
                <w:rFonts w:ascii="Times New Roman" w:eastAsia="Times New Roman" w:hAnsi="Times New Roman" w:cs="Times New Roman"/>
                <w:color w:val="000000"/>
                <w:kern w:val="0"/>
                <w:szCs w:val="24"/>
                <w:lang w:eastAsia="en-IN"/>
                <w14:ligatures w14:val="none"/>
              </w:rPr>
            </w:pPr>
            <w:r w:rsidRPr="0013739E">
              <w:rPr>
                <w:rFonts w:ascii="Times New Roman" w:eastAsia="Times New Roman" w:hAnsi="Times New Roman" w:cs="Times New Roman"/>
                <w:color w:val="000000"/>
                <w:kern w:val="0"/>
                <w:szCs w:val="24"/>
                <w:lang w:eastAsia="en-IN"/>
                <w14:ligatures w14:val="none"/>
              </w:rPr>
              <w:t>2.64 (2.04)</w:t>
            </w:r>
          </w:p>
        </w:tc>
        <w:tc>
          <w:tcPr>
            <w:tcW w:w="1393" w:type="dxa"/>
            <w:tcBorders>
              <w:top w:val="nil"/>
              <w:left w:val="nil"/>
              <w:bottom w:val="single" w:sz="4" w:space="0" w:color="auto"/>
              <w:right w:val="single" w:sz="4" w:space="0" w:color="auto"/>
            </w:tcBorders>
            <w:noWrap/>
            <w:vAlign w:val="bottom"/>
            <w:hideMark/>
          </w:tcPr>
          <w:p w14:paraId="56EC842A" w14:textId="746F4802" w:rsidR="00F42E63" w:rsidRPr="0013739E" w:rsidRDefault="00F42E63" w:rsidP="00F42E63">
            <w:pPr>
              <w:spacing w:after="0" w:line="240" w:lineRule="auto"/>
              <w:rPr>
                <w:rFonts w:ascii="Times New Roman" w:eastAsia="Times New Roman" w:hAnsi="Times New Roman" w:cs="Times New Roman"/>
                <w:color w:val="000000"/>
                <w:kern w:val="0"/>
                <w:szCs w:val="24"/>
                <w:lang w:eastAsia="en-IN"/>
                <w14:ligatures w14:val="none"/>
              </w:rPr>
            </w:pPr>
            <w:r w:rsidRPr="0013739E">
              <w:rPr>
                <w:rFonts w:ascii="Times New Roman" w:eastAsia="Times New Roman" w:hAnsi="Times New Roman" w:cs="Times New Roman"/>
                <w:color w:val="000000"/>
                <w:kern w:val="0"/>
                <w:szCs w:val="24"/>
                <w:lang w:eastAsia="en-IN"/>
                <w14:ligatures w14:val="none"/>
              </w:rPr>
              <w:t>2.65 (2.04)</w:t>
            </w:r>
          </w:p>
        </w:tc>
        <w:tc>
          <w:tcPr>
            <w:tcW w:w="1160" w:type="dxa"/>
            <w:tcBorders>
              <w:top w:val="nil"/>
              <w:left w:val="nil"/>
              <w:bottom w:val="single" w:sz="4" w:space="0" w:color="auto"/>
              <w:right w:val="single" w:sz="4" w:space="0" w:color="auto"/>
            </w:tcBorders>
            <w:noWrap/>
            <w:vAlign w:val="bottom"/>
            <w:hideMark/>
          </w:tcPr>
          <w:p w14:paraId="4A972EC0" w14:textId="6354E3D5" w:rsidR="00F42E63" w:rsidRPr="0013739E" w:rsidRDefault="00F42E63" w:rsidP="00F42E63">
            <w:pPr>
              <w:spacing w:after="0" w:line="240" w:lineRule="auto"/>
              <w:rPr>
                <w:rFonts w:ascii="Times New Roman" w:eastAsia="Times New Roman" w:hAnsi="Times New Roman" w:cs="Times New Roman"/>
                <w:color w:val="000000"/>
                <w:kern w:val="0"/>
                <w:szCs w:val="24"/>
                <w:lang w:eastAsia="en-IN"/>
                <w14:ligatures w14:val="none"/>
              </w:rPr>
            </w:pPr>
            <w:r w:rsidRPr="0013739E">
              <w:rPr>
                <w:rFonts w:ascii="Times New Roman" w:eastAsia="Times New Roman" w:hAnsi="Times New Roman" w:cs="Times New Roman"/>
                <w:color w:val="000000"/>
                <w:kern w:val="0"/>
                <w:szCs w:val="24"/>
                <w:lang w:eastAsia="en-IN"/>
                <w14:ligatures w14:val="none"/>
              </w:rPr>
              <w:t>4.57 (3.53)</w:t>
            </w:r>
          </w:p>
        </w:tc>
        <w:tc>
          <w:tcPr>
            <w:tcW w:w="1251" w:type="dxa"/>
            <w:tcBorders>
              <w:top w:val="nil"/>
              <w:left w:val="nil"/>
              <w:bottom w:val="single" w:sz="4" w:space="0" w:color="auto"/>
              <w:right w:val="single" w:sz="4" w:space="0" w:color="auto"/>
            </w:tcBorders>
            <w:noWrap/>
            <w:vAlign w:val="bottom"/>
            <w:hideMark/>
          </w:tcPr>
          <w:p w14:paraId="24E96061" w14:textId="3C8E049E" w:rsidR="00F42E63" w:rsidRPr="0013739E" w:rsidRDefault="00F42E63" w:rsidP="00F42E63">
            <w:pPr>
              <w:spacing w:after="0" w:line="240" w:lineRule="auto"/>
              <w:rPr>
                <w:rFonts w:ascii="Times New Roman" w:eastAsia="Times New Roman" w:hAnsi="Times New Roman" w:cs="Times New Roman"/>
                <w:color w:val="000000"/>
                <w:kern w:val="0"/>
                <w:szCs w:val="24"/>
                <w:lang w:eastAsia="en-IN"/>
                <w14:ligatures w14:val="none"/>
              </w:rPr>
            </w:pPr>
            <w:r w:rsidRPr="0013739E">
              <w:rPr>
                <w:rFonts w:ascii="Times New Roman" w:eastAsia="Times New Roman" w:hAnsi="Times New Roman" w:cs="Times New Roman"/>
                <w:color w:val="000000"/>
                <w:kern w:val="0"/>
                <w:szCs w:val="24"/>
                <w:lang w:eastAsia="en-IN"/>
                <w14:ligatures w14:val="none"/>
              </w:rPr>
              <w:t>1.10 (0.85)</w:t>
            </w:r>
          </w:p>
        </w:tc>
        <w:tc>
          <w:tcPr>
            <w:tcW w:w="1058" w:type="dxa"/>
            <w:tcBorders>
              <w:top w:val="nil"/>
              <w:left w:val="nil"/>
              <w:bottom w:val="single" w:sz="4" w:space="0" w:color="auto"/>
              <w:right w:val="single" w:sz="4" w:space="0" w:color="auto"/>
            </w:tcBorders>
            <w:noWrap/>
            <w:vAlign w:val="bottom"/>
            <w:hideMark/>
          </w:tcPr>
          <w:p w14:paraId="282340E8" w14:textId="1CF00F79" w:rsidR="00F42E63" w:rsidRPr="0013739E" w:rsidRDefault="00F42E63" w:rsidP="00F42E63">
            <w:pPr>
              <w:spacing w:after="0" w:line="240" w:lineRule="auto"/>
              <w:rPr>
                <w:rFonts w:ascii="Times New Roman" w:eastAsia="Times New Roman" w:hAnsi="Times New Roman" w:cs="Times New Roman"/>
                <w:color w:val="000000"/>
                <w:kern w:val="0"/>
                <w:szCs w:val="24"/>
                <w:lang w:eastAsia="en-IN"/>
                <w14:ligatures w14:val="none"/>
              </w:rPr>
            </w:pPr>
            <w:r w:rsidRPr="0013739E">
              <w:rPr>
                <w:rFonts w:ascii="Times New Roman" w:eastAsia="Times New Roman" w:hAnsi="Times New Roman" w:cs="Times New Roman"/>
                <w:color w:val="000000"/>
                <w:kern w:val="0"/>
                <w:szCs w:val="24"/>
                <w:lang w:eastAsia="en-IN"/>
                <w14:ligatures w14:val="none"/>
              </w:rPr>
              <w:t>2.25 (1.74)</w:t>
            </w:r>
          </w:p>
        </w:tc>
        <w:tc>
          <w:tcPr>
            <w:tcW w:w="1731" w:type="dxa"/>
            <w:tcBorders>
              <w:top w:val="nil"/>
              <w:left w:val="nil"/>
              <w:bottom w:val="single" w:sz="4" w:space="0" w:color="auto"/>
              <w:right w:val="single" w:sz="4" w:space="0" w:color="auto"/>
            </w:tcBorders>
            <w:noWrap/>
            <w:vAlign w:val="bottom"/>
            <w:hideMark/>
          </w:tcPr>
          <w:p w14:paraId="6B7DCBB0" w14:textId="0679DEB6" w:rsidR="00F42E63" w:rsidRPr="0013739E" w:rsidRDefault="00F42E63" w:rsidP="00F42E63">
            <w:pPr>
              <w:spacing w:after="0" w:line="240" w:lineRule="auto"/>
              <w:rPr>
                <w:rFonts w:ascii="Times New Roman" w:eastAsia="Times New Roman" w:hAnsi="Times New Roman" w:cs="Times New Roman"/>
                <w:color w:val="000000"/>
                <w:kern w:val="0"/>
                <w:szCs w:val="24"/>
                <w:lang w:eastAsia="en-IN"/>
                <w14:ligatures w14:val="none"/>
              </w:rPr>
            </w:pPr>
            <w:r w:rsidRPr="0013739E">
              <w:rPr>
                <w:rFonts w:ascii="Times New Roman" w:eastAsia="Times New Roman" w:hAnsi="Times New Roman" w:cs="Times New Roman"/>
                <w:color w:val="000000"/>
                <w:kern w:val="0"/>
                <w:szCs w:val="24"/>
                <w:lang w:eastAsia="en-IN"/>
                <w14:ligatures w14:val="none"/>
              </w:rPr>
              <w:t>1.49 (1.15)</w:t>
            </w:r>
          </w:p>
        </w:tc>
        <w:tc>
          <w:tcPr>
            <w:tcW w:w="1160" w:type="dxa"/>
            <w:tcBorders>
              <w:top w:val="nil"/>
              <w:left w:val="nil"/>
              <w:bottom w:val="single" w:sz="4" w:space="0" w:color="auto"/>
              <w:right w:val="single" w:sz="4" w:space="0" w:color="auto"/>
            </w:tcBorders>
            <w:noWrap/>
            <w:vAlign w:val="bottom"/>
            <w:hideMark/>
          </w:tcPr>
          <w:p w14:paraId="53FBFCBF" w14:textId="1AFFD770" w:rsidR="00F42E63" w:rsidRPr="0013739E" w:rsidRDefault="00F42E63" w:rsidP="00F42E63">
            <w:pPr>
              <w:spacing w:after="0" w:line="240" w:lineRule="auto"/>
              <w:rPr>
                <w:rFonts w:ascii="Times New Roman" w:eastAsia="Times New Roman" w:hAnsi="Times New Roman" w:cs="Times New Roman"/>
                <w:color w:val="000000"/>
                <w:kern w:val="0"/>
                <w:szCs w:val="24"/>
                <w:lang w:eastAsia="en-IN"/>
                <w14:ligatures w14:val="none"/>
              </w:rPr>
            </w:pPr>
            <w:r w:rsidRPr="0013739E">
              <w:rPr>
                <w:rFonts w:ascii="Times New Roman" w:eastAsia="Times New Roman" w:hAnsi="Times New Roman" w:cs="Times New Roman"/>
                <w:color w:val="000000"/>
                <w:kern w:val="0"/>
                <w:szCs w:val="24"/>
                <w:lang w:eastAsia="en-IN"/>
                <w14:ligatures w14:val="none"/>
              </w:rPr>
              <w:t>0.96</w:t>
            </w:r>
            <w:r w:rsidR="0015358A" w:rsidRPr="0013739E">
              <w:rPr>
                <w:rFonts w:ascii="Times New Roman" w:eastAsia="Times New Roman" w:hAnsi="Times New Roman" w:cs="Times New Roman"/>
                <w:color w:val="000000"/>
                <w:kern w:val="0"/>
                <w:szCs w:val="24"/>
                <w:lang w:eastAsia="en-IN"/>
                <w14:ligatures w14:val="none"/>
              </w:rPr>
              <w:t xml:space="preserve"> </w:t>
            </w:r>
            <w:r w:rsidRPr="0013739E">
              <w:rPr>
                <w:rFonts w:ascii="Times New Roman" w:eastAsia="Times New Roman" w:hAnsi="Times New Roman" w:cs="Times New Roman"/>
                <w:color w:val="000000"/>
                <w:kern w:val="0"/>
                <w:szCs w:val="24"/>
                <w:lang w:eastAsia="en-IN"/>
                <w14:ligatures w14:val="none"/>
              </w:rPr>
              <w:t>(0.74)</w:t>
            </w:r>
          </w:p>
        </w:tc>
        <w:tc>
          <w:tcPr>
            <w:tcW w:w="1463" w:type="dxa"/>
            <w:tcBorders>
              <w:top w:val="nil"/>
              <w:left w:val="nil"/>
              <w:bottom w:val="single" w:sz="4" w:space="0" w:color="auto"/>
              <w:right w:val="single" w:sz="4" w:space="0" w:color="auto"/>
            </w:tcBorders>
            <w:noWrap/>
            <w:vAlign w:val="bottom"/>
            <w:hideMark/>
          </w:tcPr>
          <w:p w14:paraId="051C151D" w14:textId="77777777" w:rsidR="00F42E63" w:rsidRPr="0013739E" w:rsidRDefault="00F42E63" w:rsidP="00F42E63">
            <w:pPr>
              <w:spacing w:after="0" w:line="240" w:lineRule="auto"/>
              <w:rPr>
                <w:rFonts w:ascii="Times New Roman" w:eastAsia="Times New Roman" w:hAnsi="Times New Roman" w:cs="Times New Roman"/>
                <w:color w:val="000000"/>
                <w:kern w:val="0"/>
                <w:szCs w:val="24"/>
                <w:lang w:eastAsia="en-IN"/>
                <w14:ligatures w14:val="none"/>
              </w:rPr>
            </w:pPr>
            <w:r w:rsidRPr="0013739E">
              <w:rPr>
                <w:rFonts w:ascii="Times New Roman" w:eastAsia="Times New Roman" w:hAnsi="Times New Roman" w:cs="Times New Roman"/>
                <w:color w:val="000000"/>
                <w:kern w:val="0"/>
                <w:szCs w:val="24"/>
                <w:lang w:eastAsia="en-IN"/>
                <w14:ligatures w14:val="none"/>
              </w:rPr>
              <w:t>129.59 (100.00)</w:t>
            </w:r>
          </w:p>
        </w:tc>
      </w:tr>
      <w:tr w:rsidR="00F42E63" w:rsidRPr="0013739E" w14:paraId="15CF10B9" w14:textId="77777777" w:rsidTr="0013739E">
        <w:trPr>
          <w:trHeight w:val="21"/>
          <w:jc w:val="center"/>
        </w:trPr>
        <w:tc>
          <w:tcPr>
            <w:tcW w:w="14294" w:type="dxa"/>
            <w:gridSpan w:val="11"/>
            <w:tcBorders>
              <w:top w:val="single" w:sz="4" w:space="0" w:color="auto"/>
              <w:left w:val="single" w:sz="4" w:space="0" w:color="auto"/>
              <w:bottom w:val="single" w:sz="4" w:space="0" w:color="auto"/>
              <w:right w:val="single" w:sz="4" w:space="0" w:color="000000"/>
            </w:tcBorders>
            <w:noWrap/>
            <w:vAlign w:val="bottom"/>
            <w:hideMark/>
          </w:tcPr>
          <w:p w14:paraId="63462A3B" w14:textId="77777777" w:rsidR="00F42E63" w:rsidRPr="0013739E" w:rsidRDefault="00F42E63" w:rsidP="00F42E63">
            <w:pPr>
              <w:spacing w:after="0" w:line="240" w:lineRule="auto"/>
              <w:jc w:val="center"/>
              <w:rPr>
                <w:rFonts w:ascii="Times New Roman" w:eastAsia="Times New Roman" w:hAnsi="Times New Roman" w:cs="Times New Roman"/>
                <w:b/>
                <w:bCs/>
                <w:color w:val="000000"/>
                <w:kern w:val="0"/>
                <w:szCs w:val="24"/>
                <w:lang w:eastAsia="en-IN"/>
                <w14:ligatures w14:val="none"/>
              </w:rPr>
            </w:pPr>
            <w:r w:rsidRPr="0013739E">
              <w:rPr>
                <w:rFonts w:ascii="Times New Roman" w:eastAsia="Times New Roman" w:hAnsi="Times New Roman" w:cs="Times New Roman"/>
                <w:b/>
                <w:bCs/>
                <w:color w:val="000000"/>
                <w:kern w:val="0"/>
                <w:szCs w:val="24"/>
                <w:lang w:eastAsia="en-IN"/>
                <w14:ligatures w14:val="none"/>
              </w:rPr>
              <w:t>Tamil Nadu</w:t>
            </w:r>
          </w:p>
        </w:tc>
      </w:tr>
      <w:tr w:rsidR="00F42E63" w:rsidRPr="0013739E" w14:paraId="610B59DE" w14:textId="77777777" w:rsidTr="0013739E">
        <w:trPr>
          <w:trHeight w:val="21"/>
          <w:jc w:val="center"/>
        </w:trPr>
        <w:tc>
          <w:tcPr>
            <w:tcW w:w="1382" w:type="dxa"/>
            <w:tcBorders>
              <w:top w:val="nil"/>
              <w:left w:val="single" w:sz="4" w:space="0" w:color="auto"/>
              <w:bottom w:val="single" w:sz="4" w:space="0" w:color="auto"/>
              <w:right w:val="single" w:sz="4" w:space="0" w:color="auto"/>
            </w:tcBorders>
            <w:noWrap/>
            <w:vAlign w:val="bottom"/>
            <w:hideMark/>
          </w:tcPr>
          <w:p w14:paraId="43C14347" w14:textId="77777777" w:rsidR="00F42E63" w:rsidRPr="0013739E" w:rsidRDefault="00F42E63" w:rsidP="00F42E63">
            <w:pPr>
              <w:spacing w:after="0" w:line="240" w:lineRule="auto"/>
              <w:rPr>
                <w:rFonts w:ascii="Times New Roman" w:eastAsia="Times New Roman" w:hAnsi="Times New Roman" w:cs="Times New Roman"/>
                <w:color w:val="000000"/>
                <w:kern w:val="0"/>
                <w:szCs w:val="24"/>
                <w:lang w:eastAsia="en-IN"/>
                <w14:ligatures w14:val="none"/>
              </w:rPr>
            </w:pPr>
            <w:r w:rsidRPr="0013739E">
              <w:rPr>
                <w:rFonts w:ascii="Times New Roman" w:eastAsia="Times New Roman" w:hAnsi="Times New Roman" w:cs="Times New Roman"/>
                <w:color w:val="000000"/>
                <w:kern w:val="0"/>
                <w:szCs w:val="24"/>
                <w:lang w:eastAsia="en-IN"/>
                <w14:ligatures w14:val="none"/>
              </w:rPr>
              <w:t>1961-62</w:t>
            </w:r>
          </w:p>
        </w:tc>
        <w:tc>
          <w:tcPr>
            <w:tcW w:w="1261" w:type="dxa"/>
            <w:tcBorders>
              <w:top w:val="nil"/>
              <w:left w:val="nil"/>
              <w:bottom w:val="single" w:sz="4" w:space="0" w:color="auto"/>
              <w:right w:val="single" w:sz="4" w:space="0" w:color="auto"/>
            </w:tcBorders>
            <w:noWrap/>
            <w:vAlign w:val="bottom"/>
            <w:hideMark/>
          </w:tcPr>
          <w:p w14:paraId="683ECBDD" w14:textId="2A2E3EFC" w:rsidR="00F42E63" w:rsidRPr="0013739E" w:rsidRDefault="00F42E63" w:rsidP="00F42E63">
            <w:pPr>
              <w:spacing w:after="0" w:line="240" w:lineRule="auto"/>
              <w:rPr>
                <w:rFonts w:ascii="Times New Roman" w:eastAsia="Times New Roman" w:hAnsi="Times New Roman" w:cs="Times New Roman"/>
                <w:color w:val="000000"/>
                <w:kern w:val="0"/>
                <w:szCs w:val="24"/>
                <w:lang w:eastAsia="en-IN"/>
                <w14:ligatures w14:val="none"/>
              </w:rPr>
            </w:pPr>
            <w:r w:rsidRPr="0013739E">
              <w:rPr>
                <w:rFonts w:ascii="Times New Roman" w:eastAsia="Times New Roman" w:hAnsi="Times New Roman" w:cs="Times New Roman"/>
                <w:color w:val="000000"/>
                <w:kern w:val="0"/>
                <w:szCs w:val="24"/>
                <w:lang w:eastAsia="en-IN"/>
                <w14:ligatures w14:val="none"/>
              </w:rPr>
              <w:t>4.43 (4.81)</w:t>
            </w:r>
          </w:p>
        </w:tc>
        <w:tc>
          <w:tcPr>
            <w:tcW w:w="1261" w:type="dxa"/>
            <w:tcBorders>
              <w:top w:val="nil"/>
              <w:left w:val="nil"/>
              <w:bottom w:val="single" w:sz="4" w:space="0" w:color="auto"/>
              <w:right w:val="single" w:sz="4" w:space="0" w:color="auto"/>
            </w:tcBorders>
            <w:noWrap/>
            <w:vAlign w:val="bottom"/>
            <w:hideMark/>
          </w:tcPr>
          <w:p w14:paraId="4C1FCBA7" w14:textId="2199B47F" w:rsidR="00F42E63" w:rsidRPr="0013739E" w:rsidRDefault="00F42E63" w:rsidP="00F42E63">
            <w:pPr>
              <w:spacing w:after="0" w:line="240" w:lineRule="auto"/>
              <w:rPr>
                <w:rFonts w:ascii="Times New Roman" w:eastAsia="Times New Roman" w:hAnsi="Times New Roman" w:cs="Times New Roman"/>
                <w:color w:val="000000"/>
                <w:kern w:val="0"/>
                <w:szCs w:val="24"/>
                <w:lang w:eastAsia="en-IN"/>
                <w14:ligatures w14:val="none"/>
              </w:rPr>
            </w:pPr>
            <w:r w:rsidRPr="0013739E">
              <w:rPr>
                <w:rFonts w:ascii="Times New Roman" w:eastAsia="Times New Roman" w:hAnsi="Times New Roman" w:cs="Times New Roman"/>
                <w:color w:val="000000"/>
                <w:kern w:val="0"/>
                <w:szCs w:val="24"/>
                <w:lang w:eastAsia="en-IN"/>
                <w14:ligatures w14:val="none"/>
              </w:rPr>
              <w:t>21.26 (23.06)</w:t>
            </w:r>
          </w:p>
        </w:tc>
        <w:tc>
          <w:tcPr>
            <w:tcW w:w="1160" w:type="dxa"/>
            <w:tcBorders>
              <w:top w:val="nil"/>
              <w:left w:val="nil"/>
              <w:bottom w:val="single" w:sz="4" w:space="0" w:color="auto"/>
              <w:right w:val="single" w:sz="4" w:space="0" w:color="auto"/>
            </w:tcBorders>
            <w:noWrap/>
            <w:vAlign w:val="bottom"/>
            <w:hideMark/>
          </w:tcPr>
          <w:p w14:paraId="7AD4B4DC" w14:textId="6D09168E" w:rsidR="00F42E63" w:rsidRPr="0013739E" w:rsidRDefault="00F42E63" w:rsidP="00F42E63">
            <w:pPr>
              <w:spacing w:after="0" w:line="240" w:lineRule="auto"/>
              <w:rPr>
                <w:rFonts w:ascii="Times New Roman" w:eastAsia="Times New Roman" w:hAnsi="Times New Roman" w:cs="Times New Roman"/>
                <w:color w:val="000000"/>
                <w:kern w:val="0"/>
                <w:szCs w:val="24"/>
                <w:lang w:eastAsia="en-IN"/>
                <w14:ligatures w14:val="none"/>
              </w:rPr>
            </w:pPr>
            <w:r w:rsidRPr="0013739E">
              <w:rPr>
                <w:rFonts w:ascii="Times New Roman" w:eastAsia="Times New Roman" w:hAnsi="Times New Roman" w:cs="Times New Roman"/>
                <w:color w:val="000000"/>
                <w:kern w:val="0"/>
                <w:szCs w:val="24"/>
                <w:lang w:eastAsia="en-IN"/>
                <w14:ligatures w14:val="none"/>
              </w:rPr>
              <w:t>7.03 (6.73)</w:t>
            </w:r>
          </w:p>
        </w:tc>
        <w:tc>
          <w:tcPr>
            <w:tcW w:w="1393" w:type="dxa"/>
            <w:tcBorders>
              <w:top w:val="nil"/>
              <w:left w:val="nil"/>
              <w:bottom w:val="single" w:sz="4" w:space="0" w:color="auto"/>
              <w:right w:val="single" w:sz="4" w:space="0" w:color="auto"/>
            </w:tcBorders>
            <w:noWrap/>
            <w:vAlign w:val="bottom"/>
            <w:hideMark/>
          </w:tcPr>
          <w:p w14:paraId="4D2B4B0A" w14:textId="6C2A6F3B" w:rsidR="00F42E63" w:rsidRPr="0013739E" w:rsidRDefault="00F42E63" w:rsidP="00F42E63">
            <w:pPr>
              <w:spacing w:after="0" w:line="240" w:lineRule="auto"/>
              <w:rPr>
                <w:rFonts w:ascii="Times New Roman" w:eastAsia="Times New Roman" w:hAnsi="Times New Roman" w:cs="Times New Roman"/>
                <w:color w:val="000000"/>
                <w:kern w:val="0"/>
                <w:szCs w:val="24"/>
                <w:lang w:eastAsia="en-IN"/>
                <w14:ligatures w14:val="none"/>
              </w:rPr>
            </w:pPr>
            <w:r w:rsidRPr="0013739E">
              <w:rPr>
                <w:rFonts w:ascii="Times New Roman" w:eastAsia="Times New Roman" w:hAnsi="Times New Roman" w:cs="Times New Roman"/>
                <w:color w:val="000000"/>
                <w:kern w:val="0"/>
                <w:szCs w:val="24"/>
                <w:lang w:eastAsia="en-IN"/>
                <w14:ligatures w14:val="none"/>
              </w:rPr>
              <w:t>6.35 (6.89)</w:t>
            </w:r>
          </w:p>
        </w:tc>
        <w:tc>
          <w:tcPr>
            <w:tcW w:w="1160" w:type="dxa"/>
            <w:tcBorders>
              <w:top w:val="nil"/>
              <w:left w:val="nil"/>
              <w:bottom w:val="single" w:sz="4" w:space="0" w:color="auto"/>
              <w:right w:val="single" w:sz="4" w:space="0" w:color="auto"/>
            </w:tcBorders>
            <w:noWrap/>
            <w:vAlign w:val="bottom"/>
            <w:hideMark/>
          </w:tcPr>
          <w:p w14:paraId="10EAA6DC" w14:textId="4AB5528C" w:rsidR="00F42E63" w:rsidRPr="0013739E" w:rsidRDefault="00F42E63" w:rsidP="00F42E63">
            <w:pPr>
              <w:spacing w:after="0" w:line="240" w:lineRule="auto"/>
              <w:rPr>
                <w:rFonts w:ascii="Times New Roman" w:eastAsia="Times New Roman" w:hAnsi="Times New Roman" w:cs="Times New Roman"/>
                <w:color w:val="000000"/>
                <w:kern w:val="0"/>
                <w:szCs w:val="24"/>
                <w:lang w:eastAsia="en-IN"/>
                <w14:ligatures w14:val="none"/>
              </w:rPr>
            </w:pPr>
            <w:r w:rsidRPr="0013739E">
              <w:rPr>
                <w:rFonts w:ascii="Times New Roman" w:eastAsia="Times New Roman" w:hAnsi="Times New Roman" w:cs="Times New Roman"/>
                <w:color w:val="000000"/>
                <w:kern w:val="0"/>
                <w:szCs w:val="24"/>
                <w:lang w:eastAsia="en-IN"/>
                <w14:ligatures w14:val="none"/>
              </w:rPr>
              <w:t>2.79 (3.03)</w:t>
            </w:r>
          </w:p>
        </w:tc>
        <w:tc>
          <w:tcPr>
            <w:tcW w:w="1251" w:type="dxa"/>
            <w:tcBorders>
              <w:top w:val="nil"/>
              <w:left w:val="nil"/>
              <w:bottom w:val="single" w:sz="4" w:space="0" w:color="auto"/>
              <w:right w:val="single" w:sz="4" w:space="0" w:color="auto"/>
            </w:tcBorders>
            <w:noWrap/>
            <w:vAlign w:val="bottom"/>
            <w:hideMark/>
          </w:tcPr>
          <w:p w14:paraId="151012CD" w14:textId="4142D910" w:rsidR="00F42E63" w:rsidRPr="0013739E" w:rsidRDefault="00F42E63" w:rsidP="00F42E63">
            <w:pPr>
              <w:spacing w:after="0" w:line="240" w:lineRule="auto"/>
              <w:rPr>
                <w:rFonts w:ascii="Times New Roman" w:eastAsia="Times New Roman" w:hAnsi="Times New Roman" w:cs="Times New Roman"/>
                <w:color w:val="000000"/>
                <w:kern w:val="0"/>
                <w:szCs w:val="24"/>
                <w:lang w:eastAsia="en-IN"/>
                <w14:ligatures w14:val="none"/>
              </w:rPr>
            </w:pPr>
            <w:r w:rsidRPr="0013739E">
              <w:rPr>
                <w:rFonts w:ascii="Times New Roman" w:eastAsia="Times New Roman" w:hAnsi="Times New Roman" w:cs="Times New Roman"/>
                <w:color w:val="000000"/>
                <w:kern w:val="0"/>
                <w:szCs w:val="24"/>
                <w:lang w:eastAsia="en-IN"/>
                <w14:ligatures w14:val="none"/>
              </w:rPr>
              <w:t>0.48 (0.52)</w:t>
            </w:r>
          </w:p>
        </w:tc>
        <w:tc>
          <w:tcPr>
            <w:tcW w:w="1058" w:type="dxa"/>
            <w:tcBorders>
              <w:top w:val="nil"/>
              <w:left w:val="nil"/>
              <w:bottom w:val="single" w:sz="4" w:space="0" w:color="auto"/>
              <w:right w:val="single" w:sz="4" w:space="0" w:color="auto"/>
            </w:tcBorders>
            <w:noWrap/>
            <w:vAlign w:val="bottom"/>
            <w:hideMark/>
          </w:tcPr>
          <w:p w14:paraId="24AE03E3" w14:textId="408E5313" w:rsidR="00F42E63" w:rsidRPr="0013739E" w:rsidRDefault="00F42E63" w:rsidP="00F42E63">
            <w:pPr>
              <w:spacing w:after="0" w:line="240" w:lineRule="auto"/>
              <w:rPr>
                <w:rFonts w:ascii="Times New Roman" w:eastAsia="Times New Roman" w:hAnsi="Times New Roman" w:cs="Times New Roman"/>
                <w:color w:val="000000"/>
                <w:kern w:val="0"/>
                <w:szCs w:val="24"/>
                <w:lang w:eastAsia="en-IN"/>
                <w14:ligatures w14:val="none"/>
              </w:rPr>
            </w:pPr>
            <w:r w:rsidRPr="0013739E">
              <w:rPr>
                <w:rFonts w:ascii="Times New Roman" w:eastAsia="Times New Roman" w:hAnsi="Times New Roman" w:cs="Times New Roman"/>
                <w:color w:val="000000"/>
                <w:kern w:val="0"/>
                <w:szCs w:val="24"/>
                <w:lang w:eastAsia="en-IN"/>
                <w14:ligatures w14:val="none"/>
              </w:rPr>
              <w:t>0.97 (1.06)</w:t>
            </w:r>
          </w:p>
        </w:tc>
        <w:tc>
          <w:tcPr>
            <w:tcW w:w="1731" w:type="dxa"/>
            <w:tcBorders>
              <w:top w:val="nil"/>
              <w:left w:val="nil"/>
              <w:bottom w:val="single" w:sz="4" w:space="0" w:color="auto"/>
              <w:right w:val="single" w:sz="4" w:space="0" w:color="auto"/>
            </w:tcBorders>
            <w:noWrap/>
            <w:vAlign w:val="bottom"/>
            <w:hideMark/>
          </w:tcPr>
          <w:p w14:paraId="42D7E4E5" w14:textId="7EEA883F" w:rsidR="00F42E63" w:rsidRPr="0013739E" w:rsidRDefault="00F42E63" w:rsidP="00F42E63">
            <w:pPr>
              <w:spacing w:after="0" w:line="240" w:lineRule="auto"/>
              <w:rPr>
                <w:rFonts w:ascii="Times New Roman" w:eastAsia="Times New Roman" w:hAnsi="Times New Roman" w:cs="Times New Roman"/>
                <w:color w:val="000000"/>
                <w:kern w:val="0"/>
                <w:szCs w:val="24"/>
                <w:lang w:eastAsia="en-IN"/>
                <w14:ligatures w14:val="none"/>
              </w:rPr>
            </w:pPr>
            <w:r w:rsidRPr="0013739E">
              <w:rPr>
                <w:rFonts w:ascii="Times New Roman" w:eastAsia="Times New Roman" w:hAnsi="Times New Roman" w:cs="Times New Roman"/>
                <w:color w:val="000000"/>
                <w:kern w:val="0"/>
                <w:szCs w:val="24"/>
                <w:lang w:eastAsia="en-IN"/>
                <w14:ligatures w14:val="none"/>
              </w:rPr>
              <w:t>1.42 (1.54)</w:t>
            </w:r>
          </w:p>
        </w:tc>
        <w:tc>
          <w:tcPr>
            <w:tcW w:w="1160" w:type="dxa"/>
            <w:tcBorders>
              <w:top w:val="nil"/>
              <w:left w:val="nil"/>
              <w:bottom w:val="single" w:sz="4" w:space="0" w:color="auto"/>
              <w:right w:val="single" w:sz="4" w:space="0" w:color="auto"/>
            </w:tcBorders>
            <w:noWrap/>
            <w:vAlign w:val="bottom"/>
            <w:hideMark/>
          </w:tcPr>
          <w:p w14:paraId="6F74FF54" w14:textId="4C9A78CA" w:rsidR="00F42E63" w:rsidRPr="0013739E" w:rsidRDefault="00F42E63" w:rsidP="00F42E63">
            <w:pPr>
              <w:spacing w:after="0" w:line="240" w:lineRule="auto"/>
              <w:rPr>
                <w:rFonts w:ascii="Times New Roman" w:eastAsia="Times New Roman" w:hAnsi="Times New Roman" w:cs="Times New Roman"/>
                <w:color w:val="000000"/>
                <w:kern w:val="0"/>
                <w:szCs w:val="24"/>
                <w:lang w:eastAsia="en-IN"/>
                <w14:ligatures w14:val="none"/>
              </w:rPr>
            </w:pPr>
            <w:r w:rsidRPr="0013739E">
              <w:rPr>
                <w:rFonts w:ascii="Times New Roman" w:eastAsia="Times New Roman" w:hAnsi="Times New Roman" w:cs="Times New Roman"/>
                <w:color w:val="000000"/>
                <w:kern w:val="0"/>
                <w:szCs w:val="24"/>
                <w:lang w:eastAsia="en-IN"/>
                <w14:ligatures w14:val="none"/>
              </w:rPr>
              <w:t>2.52</w:t>
            </w:r>
            <w:r w:rsidR="0015358A" w:rsidRPr="0013739E">
              <w:rPr>
                <w:rFonts w:ascii="Times New Roman" w:eastAsia="Times New Roman" w:hAnsi="Times New Roman" w:cs="Times New Roman"/>
                <w:color w:val="000000"/>
                <w:kern w:val="0"/>
                <w:szCs w:val="24"/>
                <w:lang w:eastAsia="en-IN"/>
                <w14:ligatures w14:val="none"/>
              </w:rPr>
              <w:t xml:space="preserve"> </w:t>
            </w:r>
            <w:r w:rsidRPr="0013739E">
              <w:rPr>
                <w:rFonts w:ascii="Times New Roman" w:eastAsia="Times New Roman" w:hAnsi="Times New Roman" w:cs="Times New Roman"/>
                <w:color w:val="000000"/>
                <w:kern w:val="0"/>
                <w:szCs w:val="24"/>
                <w:lang w:eastAsia="en-IN"/>
                <w14:ligatures w14:val="none"/>
              </w:rPr>
              <w:t>(2.73)</w:t>
            </w:r>
          </w:p>
        </w:tc>
        <w:tc>
          <w:tcPr>
            <w:tcW w:w="1463" w:type="dxa"/>
            <w:tcBorders>
              <w:top w:val="nil"/>
              <w:left w:val="nil"/>
              <w:bottom w:val="single" w:sz="4" w:space="0" w:color="auto"/>
              <w:right w:val="single" w:sz="4" w:space="0" w:color="auto"/>
            </w:tcBorders>
            <w:noWrap/>
            <w:vAlign w:val="bottom"/>
            <w:hideMark/>
          </w:tcPr>
          <w:p w14:paraId="7674270F" w14:textId="77777777" w:rsidR="00F42E63" w:rsidRPr="0013739E" w:rsidRDefault="00F42E63" w:rsidP="00F42E63">
            <w:pPr>
              <w:spacing w:after="0" w:line="240" w:lineRule="auto"/>
              <w:rPr>
                <w:rFonts w:ascii="Times New Roman" w:eastAsia="Times New Roman" w:hAnsi="Times New Roman" w:cs="Times New Roman"/>
                <w:color w:val="000000"/>
                <w:kern w:val="0"/>
                <w:szCs w:val="24"/>
                <w:lang w:eastAsia="en-IN"/>
                <w14:ligatures w14:val="none"/>
              </w:rPr>
            </w:pPr>
            <w:r w:rsidRPr="0013739E">
              <w:rPr>
                <w:rFonts w:ascii="Times New Roman" w:eastAsia="Times New Roman" w:hAnsi="Times New Roman" w:cs="Times New Roman"/>
                <w:color w:val="000000"/>
                <w:kern w:val="0"/>
                <w:szCs w:val="24"/>
                <w:lang w:eastAsia="en-IN"/>
                <w14:ligatures w14:val="none"/>
              </w:rPr>
              <w:t>92.18 (100.00)</w:t>
            </w:r>
          </w:p>
        </w:tc>
      </w:tr>
      <w:tr w:rsidR="00F42E63" w:rsidRPr="0013739E" w14:paraId="3416EECF" w14:textId="77777777" w:rsidTr="0013739E">
        <w:trPr>
          <w:trHeight w:val="21"/>
          <w:jc w:val="center"/>
        </w:trPr>
        <w:tc>
          <w:tcPr>
            <w:tcW w:w="1382" w:type="dxa"/>
            <w:tcBorders>
              <w:top w:val="nil"/>
              <w:left w:val="single" w:sz="4" w:space="0" w:color="auto"/>
              <w:bottom w:val="single" w:sz="4" w:space="0" w:color="auto"/>
              <w:right w:val="single" w:sz="4" w:space="0" w:color="auto"/>
            </w:tcBorders>
            <w:noWrap/>
            <w:vAlign w:val="bottom"/>
            <w:hideMark/>
          </w:tcPr>
          <w:p w14:paraId="0B837763" w14:textId="77777777" w:rsidR="00F42E63" w:rsidRPr="0013739E" w:rsidRDefault="00F42E63" w:rsidP="00F42E63">
            <w:pPr>
              <w:spacing w:after="0" w:line="240" w:lineRule="auto"/>
              <w:rPr>
                <w:rFonts w:ascii="Times New Roman" w:eastAsia="Times New Roman" w:hAnsi="Times New Roman" w:cs="Times New Roman"/>
                <w:color w:val="000000"/>
                <w:kern w:val="0"/>
                <w:szCs w:val="24"/>
                <w:lang w:eastAsia="en-IN"/>
                <w14:ligatures w14:val="none"/>
              </w:rPr>
            </w:pPr>
            <w:r w:rsidRPr="0013739E">
              <w:rPr>
                <w:rFonts w:ascii="Times New Roman" w:eastAsia="Times New Roman" w:hAnsi="Times New Roman" w:cs="Times New Roman"/>
                <w:color w:val="000000"/>
                <w:kern w:val="0"/>
                <w:szCs w:val="24"/>
                <w:lang w:eastAsia="en-IN"/>
                <w14:ligatures w14:val="none"/>
              </w:rPr>
              <w:t>1965-66</w:t>
            </w:r>
          </w:p>
        </w:tc>
        <w:tc>
          <w:tcPr>
            <w:tcW w:w="1261" w:type="dxa"/>
            <w:tcBorders>
              <w:top w:val="nil"/>
              <w:left w:val="nil"/>
              <w:bottom w:val="single" w:sz="4" w:space="0" w:color="auto"/>
              <w:right w:val="single" w:sz="4" w:space="0" w:color="auto"/>
            </w:tcBorders>
            <w:noWrap/>
            <w:vAlign w:val="bottom"/>
            <w:hideMark/>
          </w:tcPr>
          <w:p w14:paraId="4D87CD5B" w14:textId="77777777" w:rsidR="00F42E63" w:rsidRPr="0013739E" w:rsidRDefault="00F42E63" w:rsidP="00F42E63">
            <w:pPr>
              <w:spacing w:after="0" w:line="240" w:lineRule="auto"/>
              <w:jc w:val="right"/>
              <w:rPr>
                <w:rFonts w:ascii="Times New Roman" w:eastAsia="Times New Roman" w:hAnsi="Times New Roman" w:cs="Times New Roman"/>
                <w:color w:val="000000"/>
                <w:kern w:val="0"/>
                <w:szCs w:val="24"/>
                <w:lang w:eastAsia="en-IN"/>
                <w14:ligatures w14:val="none"/>
              </w:rPr>
            </w:pPr>
            <w:r w:rsidRPr="0013739E">
              <w:rPr>
                <w:rFonts w:ascii="Times New Roman" w:eastAsia="Times New Roman" w:hAnsi="Times New Roman" w:cs="Times New Roman"/>
                <w:color w:val="000000"/>
                <w:kern w:val="0"/>
                <w:szCs w:val="24"/>
                <w:lang w:eastAsia="en-IN"/>
                <w14:ligatures w14:val="none"/>
              </w:rPr>
              <w:t>6.76</w:t>
            </w:r>
          </w:p>
        </w:tc>
        <w:tc>
          <w:tcPr>
            <w:tcW w:w="1261" w:type="dxa"/>
            <w:tcBorders>
              <w:top w:val="nil"/>
              <w:left w:val="nil"/>
              <w:bottom w:val="single" w:sz="4" w:space="0" w:color="auto"/>
              <w:right w:val="single" w:sz="4" w:space="0" w:color="auto"/>
            </w:tcBorders>
            <w:noWrap/>
            <w:vAlign w:val="bottom"/>
            <w:hideMark/>
          </w:tcPr>
          <w:p w14:paraId="6DDE0555" w14:textId="77777777" w:rsidR="00F42E63" w:rsidRPr="0013739E" w:rsidRDefault="00F42E63" w:rsidP="00F42E63">
            <w:pPr>
              <w:spacing w:after="0" w:line="240" w:lineRule="auto"/>
              <w:jc w:val="right"/>
              <w:rPr>
                <w:rFonts w:ascii="Times New Roman" w:eastAsia="Times New Roman" w:hAnsi="Times New Roman" w:cs="Times New Roman"/>
                <w:color w:val="000000"/>
                <w:kern w:val="0"/>
                <w:szCs w:val="24"/>
                <w:lang w:eastAsia="en-IN"/>
                <w14:ligatures w14:val="none"/>
              </w:rPr>
            </w:pPr>
            <w:r w:rsidRPr="0013739E">
              <w:rPr>
                <w:rFonts w:ascii="Times New Roman" w:eastAsia="Times New Roman" w:hAnsi="Times New Roman" w:cs="Times New Roman"/>
                <w:color w:val="000000"/>
                <w:kern w:val="0"/>
                <w:szCs w:val="24"/>
                <w:lang w:eastAsia="en-IN"/>
                <w14:ligatures w14:val="none"/>
              </w:rPr>
              <w:t>40.95</w:t>
            </w:r>
          </w:p>
        </w:tc>
        <w:tc>
          <w:tcPr>
            <w:tcW w:w="1160" w:type="dxa"/>
            <w:tcBorders>
              <w:top w:val="nil"/>
              <w:left w:val="nil"/>
              <w:bottom w:val="single" w:sz="4" w:space="0" w:color="auto"/>
              <w:right w:val="single" w:sz="4" w:space="0" w:color="auto"/>
            </w:tcBorders>
            <w:noWrap/>
            <w:vAlign w:val="bottom"/>
            <w:hideMark/>
          </w:tcPr>
          <w:p w14:paraId="797F6F95" w14:textId="77777777" w:rsidR="00F42E63" w:rsidRPr="0013739E" w:rsidRDefault="00F42E63" w:rsidP="00F42E63">
            <w:pPr>
              <w:spacing w:after="0" w:line="240" w:lineRule="auto"/>
              <w:jc w:val="right"/>
              <w:rPr>
                <w:rFonts w:ascii="Times New Roman" w:eastAsia="Times New Roman" w:hAnsi="Times New Roman" w:cs="Times New Roman"/>
                <w:color w:val="000000"/>
                <w:kern w:val="0"/>
                <w:szCs w:val="24"/>
                <w:lang w:eastAsia="en-IN"/>
                <w14:ligatures w14:val="none"/>
              </w:rPr>
            </w:pPr>
            <w:r w:rsidRPr="0013739E">
              <w:rPr>
                <w:rFonts w:ascii="Times New Roman" w:eastAsia="Times New Roman" w:hAnsi="Times New Roman" w:cs="Times New Roman"/>
                <w:color w:val="000000"/>
                <w:kern w:val="0"/>
                <w:szCs w:val="24"/>
                <w:lang w:eastAsia="en-IN"/>
                <w14:ligatures w14:val="none"/>
              </w:rPr>
              <w:t>13.31</w:t>
            </w:r>
          </w:p>
        </w:tc>
        <w:tc>
          <w:tcPr>
            <w:tcW w:w="1393" w:type="dxa"/>
            <w:tcBorders>
              <w:top w:val="nil"/>
              <w:left w:val="nil"/>
              <w:bottom w:val="single" w:sz="4" w:space="0" w:color="auto"/>
              <w:right w:val="single" w:sz="4" w:space="0" w:color="auto"/>
            </w:tcBorders>
            <w:noWrap/>
            <w:vAlign w:val="bottom"/>
            <w:hideMark/>
          </w:tcPr>
          <w:p w14:paraId="28E8A1F0" w14:textId="77777777" w:rsidR="00F42E63" w:rsidRPr="0013739E" w:rsidRDefault="00F42E63" w:rsidP="00F42E63">
            <w:pPr>
              <w:spacing w:after="0" w:line="240" w:lineRule="auto"/>
              <w:jc w:val="right"/>
              <w:rPr>
                <w:rFonts w:ascii="Times New Roman" w:eastAsia="Times New Roman" w:hAnsi="Times New Roman" w:cs="Times New Roman"/>
                <w:color w:val="000000"/>
                <w:kern w:val="0"/>
                <w:szCs w:val="24"/>
                <w:lang w:eastAsia="en-IN"/>
                <w14:ligatures w14:val="none"/>
              </w:rPr>
            </w:pPr>
            <w:r w:rsidRPr="0013739E">
              <w:rPr>
                <w:rFonts w:ascii="Times New Roman" w:eastAsia="Times New Roman" w:hAnsi="Times New Roman" w:cs="Times New Roman"/>
                <w:color w:val="000000"/>
                <w:kern w:val="0"/>
                <w:szCs w:val="24"/>
                <w:lang w:eastAsia="en-IN"/>
                <w14:ligatures w14:val="none"/>
              </w:rPr>
              <w:t>9.96</w:t>
            </w:r>
          </w:p>
        </w:tc>
        <w:tc>
          <w:tcPr>
            <w:tcW w:w="1160" w:type="dxa"/>
            <w:tcBorders>
              <w:top w:val="nil"/>
              <w:left w:val="nil"/>
              <w:bottom w:val="single" w:sz="4" w:space="0" w:color="auto"/>
              <w:right w:val="single" w:sz="4" w:space="0" w:color="auto"/>
            </w:tcBorders>
            <w:noWrap/>
            <w:vAlign w:val="bottom"/>
            <w:hideMark/>
          </w:tcPr>
          <w:p w14:paraId="7F9942EF" w14:textId="77777777" w:rsidR="00F42E63" w:rsidRPr="0013739E" w:rsidRDefault="00F42E63" w:rsidP="00F42E63">
            <w:pPr>
              <w:spacing w:after="0" w:line="240" w:lineRule="auto"/>
              <w:jc w:val="right"/>
              <w:rPr>
                <w:rFonts w:ascii="Times New Roman" w:eastAsia="Times New Roman" w:hAnsi="Times New Roman" w:cs="Times New Roman"/>
                <w:color w:val="000000"/>
                <w:kern w:val="0"/>
                <w:szCs w:val="24"/>
                <w:lang w:eastAsia="en-IN"/>
                <w14:ligatures w14:val="none"/>
              </w:rPr>
            </w:pPr>
            <w:r w:rsidRPr="0013739E">
              <w:rPr>
                <w:rFonts w:ascii="Times New Roman" w:eastAsia="Times New Roman" w:hAnsi="Times New Roman" w:cs="Times New Roman"/>
                <w:color w:val="000000"/>
                <w:kern w:val="0"/>
                <w:szCs w:val="24"/>
                <w:lang w:eastAsia="en-IN"/>
                <w14:ligatures w14:val="none"/>
              </w:rPr>
              <w:t>10.51</w:t>
            </w:r>
          </w:p>
        </w:tc>
        <w:tc>
          <w:tcPr>
            <w:tcW w:w="1251" w:type="dxa"/>
            <w:tcBorders>
              <w:top w:val="nil"/>
              <w:left w:val="nil"/>
              <w:bottom w:val="single" w:sz="4" w:space="0" w:color="auto"/>
              <w:right w:val="single" w:sz="4" w:space="0" w:color="auto"/>
            </w:tcBorders>
            <w:noWrap/>
            <w:vAlign w:val="bottom"/>
            <w:hideMark/>
          </w:tcPr>
          <w:p w14:paraId="35A9C75B" w14:textId="77777777" w:rsidR="00F42E63" w:rsidRPr="0013739E" w:rsidRDefault="00F42E63" w:rsidP="00F42E63">
            <w:pPr>
              <w:spacing w:after="0" w:line="240" w:lineRule="auto"/>
              <w:jc w:val="right"/>
              <w:rPr>
                <w:rFonts w:ascii="Times New Roman" w:eastAsia="Times New Roman" w:hAnsi="Times New Roman" w:cs="Times New Roman"/>
                <w:color w:val="000000"/>
                <w:kern w:val="0"/>
                <w:szCs w:val="24"/>
                <w:lang w:eastAsia="en-IN"/>
                <w14:ligatures w14:val="none"/>
              </w:rPr>
            </w:pPr>
            <w:r w:rsidRPr="0013739E">
              <w:rPr>
                <w:rFonts w:ascii="Times New Roman" w:eastAsia="Times New Roman" w:hAnsi="Times New Roman" w:cs="Times New Roman"/>
                <w:color w:val="000000"/>
                <w:kern w:val="0"/>
                <w:szCs w:val="24"/>
                <w:lang w:eastAsia="en-IN"/>
                <w14:ligatures w14:val="none"/>
              </w:rPr>
              <w:t>0.91</w:t>
            </w:r>
          </w:p>
        </w:tc>
        <w:tc>
          <w:tcPr>
            <w:tcW w:w="1058" w:type="dxa"/>
            <w:tcBorders>
              <w:top w:val="nil"/>
              <w:left w:val="nil"/>
              <w:bottom w:val="single" w:sz="4" w:space="0" w:color="auto"/>
              <w:right w:val="single" w:sz="4" w:space="0" w:color="auto"/>
            </w:tcBorders>
            <w:noWrap/>
            <w:vAlign w:val="bottom"/>
            <w:hideMark/>
          </w:tcPr>
          <w:p w14:paraId="4D51C3B3" w14:textId="77777777" w:rsidR="00F42E63" w:rsidRPr="0013739E" w:rsidRDefault="00F42E63" w:rsidP="00F42E63">
            <w:pPr>
              <w:spacing w:after="0" w:line="240" w:lineRule="auto"/>
              <w:jc w:val="right"/>
              <w:rPr>
                <w:rFonts w:ascii="Times New Roman" w:eastAsia="Times New Roman" w:hAnsi="Times New Roman" w:cs="Times New Roman"/>
                <w:color w:val="000000"/>
                <w:kern w:val="0"/>
                <w:szCs w:val="24"/>
                <w:lang w:eastAsia="en-IN"/>
                <w14:ligatures w14:val="none"/>
              </w:rPr>
            </w:pPr>
            <w:r w:rsidRPr="0013739E">
              <w:rPr>
                <w:rFonts w:ascii="Times New Roman" w:eastAsia="Times New Roman" w:hAnsi="Times New Roman" w:cs="Times New Roman"/>
                <w:color w:val="000000"/>
                <w:kern w:val="0"/>
                <w:szCs w:val="24"/>
                <w:lang w:eastAsia="en-IN"/>
                <w14:ligatures w14:val="none"/>
              </w:rPr>
              <w:t>1.3</w:t>
            </w:r>
          </w:p>
        </w:tc>
        <w:tc>
          <w:tcPr>
            <w:tcW w:w="1731" w:type="dxa"/>
            <w:tcBorders>
              <w:top w:val="nil"/>
              <w:left w:val="nil"/>
              <w:bottom w:val="single" w:sz="4" w:space="0" w:color="auto"/>
              <w:right w:val="single" w:sz="4" w:space="0" w:color="auto"/>
            </w:tcBorders>
            <w:noWrap/>
            <w:vAlign w:val="bottom"/>
            <w:hideMark/>
          </w:tcPr>
          <w:p w14:paraId="54CD9B78" w14:textId="77777777" w:rsidR="00F42E63" w:rsidRPr="0013739E" w:rsidRDefault="00F42E63" w:rsidP="00F42E63">
            <w:pPr>
              <w:spacing w:after="0" w:line="240" w:lineRule="auto"/>
              <w:jc w:val="right"/>
              <w:rPr>
                <w:rFonts w:ascii="Times New Roman" w:eastAsia="Times New Roman" w:hAnsi="Times New Roman" w:cs="Times New Roman"/>
                <w:color w:val="000000"/>
                <w:kern w:val="0"/>
                <w:szCs w:val="24"/>
                <w:lang w:eastAsia="en-IN"/>
                <w14:ligatures w14:val="none"/>
              </w:rPr>
            </w:pPr>
            <w:r w:rsidRPr="0013739E">
              <w:rPr>
                <w:rFonts w:ascii="Times New Roman" w:eastAsia="Times New Roman" w:hAnsi="Times New Roman" w:cs="Times New Roman"/>
                <w:color w:val="000000"/>
                <w:kern w:val="0"/>
                <w:szCs w:val="24"/>
                <w:lang w:eastAsia="en-IN"/>
                <w14:ligatures w14:val="none"/>
              </w:rPr>
              <w:t>2.61</w:t>
            </w:r>
          </w:p>
        </w:tc>
        <w:tc>
          <w:tcPr>
            <w:tcW w:w="1160" w:type="dxa"/>
            <w:tcBorders>
              <w:top w:val="nil"/>
              <w:left w:val="nil"/>
              <w:bottom w:val="single" w:sz="4" w:space="0" w:color="auto"/>
              <w:right w:val="single" w:sz="4" w:space="0" w:color="auto"/>
            </w:tcBorders>
            <w:noWrap/>
            <w:vAlign w:val="bottom"/>
            <w:hideMark/>
          </w:tcPr>
          <w:p w14:paraId="6ED22495" w14:textId="77777777" w:rsidR="00F42E63" w:rsidRPr="0013739E" w:rsidRDefault="00F42E63" w:rsidP="00F42E63">
            <w:pPr>
              <w:spacing w:after="0" w:line="240" w:lineRule="auto"/>
              <w:jc w:val="right"/>
              <w:rPr>
                <w:rFonts w:ascii="Times New Roman" w:eastAsia="Times New Roman" w:hAnsi="Times New Roman" w:cs="Times New Roman"/>
                <w:color w:val="000000"/>
                <w:kern w:val="0"/>
                <w:szCs w:val="24"/>
                <w:lang w:eastAsia="en-IN"/>
                <w14:ligatures w14:val="none"/>
              </w:rPr>
            </w:pPr>
            <w:r w:rsidRPr="0013739E">
              <w:rPr>
                <w:rFonts w:ascii="Times New Roman" w:eastAsia="Times New Roman" w:hAnsi="Times New Roman" w:cs="Times New Roman"/>
                <w:color w:val="000000"/>
                <w:kern w:val="0"/>
                <w:szCs w:val="24"/>
                <w:lang w:eastAsia="en-IN"/>
                <w14:ligatures w14:val="none"/>
              </w:rPr>
              <w:t>2.81</w:t>
            </w:r>
          </w:p>
        </w:tc>
        <w:tc>
          <w:tcPr>
            <w:tcW w:w="1463" w:type="dxa"/>
            <w:tcBorders>
              <w:top w:val="nil"/>
              <w:left w:val="nil"/>
              <w:bottom w:val="single" w:sz="4" w:space="0" w:color="auto"/>
              <w:right w:val="single" w:sz="4" w:space="0" w:color="auto"/>
            </w:tcBorders>
            <w:noWrap/>
            <w:vAlign w:val="bottom"/>
            <w:hideMark/>
          </w:tcPr>
          <w:p w14:paraId="0ED247BE" w14:textId="77777777" w:rsidR="00F42E63" w:rsidRPr="0013739E" w:rsidRDefault="00F42E63" w:rsidP="00F42E63">
            <w:pPr>
              <w:spacing w:after="0" w:line="240" w:lineRule="auto"/>
              <w:jc w:val="right"/>
              <w:rPr>
                <w:rFonts w:ascii="Times New Roman" w:eastAsia="Times New Roman" w:hAnsi="Times New Roman" w:cs="Times New Roman"/>
                <w:color w:val="000000"/>
                <w:kern w:val="0"/>
                <w:szCs w:val="24"/>
                <w:lang w:eastAsia="en-IN"/>
                <w14:ligatures w14:val="none"/>
              </w:rPr>
            </w:pPr>
            <w:r w:rsidRPr="0013739E">
              <w:rPr>
                <w:rFonts w:ascii="Times New Roman" w:eastAsia="Times New Roman" w:hAnsi="Times New Roman" w:cs="Times New Roman"/>
                <w:color w:val="000000"/>
                <w:kern w:val="0"/>
                <w:szCs w:val="24"/>
                <w:lang w:eastAsia="en-IN"/>
                <w14:ligatures w14:val="none"/>
              </w:rPr>
              <w:t>172.8</w:t>
            </w:r>
          </w:p>
        </w:tc>
      </w:tr>
      <w:tr w:rsidR="00F42E63" w:rsidRPr="0013739E" w14:paraId="287AB946" w14:textId="77777777" w:rsidTr="0013739E">
        <w:trPr>
          <w:trHeight w:val="21"/>
          <w:jc w:val="center"/>
        </w:trPr>
        <w:tc>
          <w:tcPr>
            <w:tcW w:w="1382" w:type="dxa"/>
            <w:tcBorders>
              <w:top w:val="nil"/>
              <w:left w:val="single" w:sz="4" w:space="0" w:color="auto"/>
              <w:bottom w:val="single" w:sz="4" w:space="0" w:color="auto"/>
              <w:right w:val="single" w:sz="4" w:space="0" w:color="auto"/>
            </w:tcBorders>
            <w:noWrap/>
            <w:vAlign w:val="bottom"/>
            <w:hideMark/>
          </w:tcPr>
          <w:p w14:paraId="6ED44A2C" w14:textId="77777777" w:rsidR="00F42E63" w:rsidRPr="0013739E" w:rsidRDefault="00F42E63" w:rsidP="00F42E63">
            <w:pPr>
              <w:spacing w:after="0" w:line="240" w:lineRule="auto"/>
              <w:rPr>
                <w:rFonts w:ascii="Times New Roman" w:eastAsia="Times New Roman" w:hAnsi="Times New Roman" w:cs="Times New Roman"/>
                <w:color w:val="000000"/>
                <w:kern w:val="0"/>
                <w:szCs w:val="24"/>
                <w:lang w:eastAsia="en-IN"/>
                <w14:ligatures w14:val="none"/>
              </w:rPr>
            </w:pPr>
            <w:r w:rsidRPr="0013739E">
              <w:rPr>
                <w:rFonts w:ascii="Times New Roman" w:eastAsia="Times New Roman" w:hAnsi="Times New Roman" w:cs="Times New Roman"/>
                <w:color w:val="000000"/>
                <w:kern w:val="0"/>
                <w:szCs w:val="24"/>
                <w:lang w:eastAsia="en-IN"/>
                <w14:ligatures w14:val="none"/>
              </w:rPr>
              <w:t>1966-67</w:t>
            </w:r>
          </w:p>
        </w:tc>
        <w:tc>
          <w:tcPr>
            <w:tcW w:w="1261" w:type="dxa"/>
            <w:tcBorders>
              <w:top w:val="nil"/>
              <w:left w:val="nil"/>
              <w:bottom w:val="single" w:sz="4" w:space="0" w:color="auto"/>
              <w:right w:val="single" w:sz="4" w:space="0" w:color="auto"/>
            </w:tcBorders>
            <w:noWrap/>
            <w:vAlign w:val="bottom"/>
            <w:hideMark/>
          </w:tcPr>
          <w:p w14:paraId="612E650E" w14:textId="77777777" w:rsidR="00F42E63" w:rsidRPr="0013739E" w:rsidRDefault="00F42E63" w:rsidP="00F42E63">
            <w:pPr>
              <w:spacing w:after="0" w:line="240" w:lineRule="auto"/>
              <w:jc w:val="right"/>
              <w:rPr>
                <w:rFonts w:ascii="Times New Roman" w:eastAsia="Times New Roman" w:hAnsi="Times New Roman" w:cs="Times New Roman"/>
                <w:color w:val="000000"/>
                <w:kern w:val="0"/>
                <w:szCs w:val="24"/>
                <w:lang w:eastAsia="en-IN"/>
                <w14:ligatures w14:val="none"/>
              </w:rPr>
            </w:pPr>
            <w:r w:rsidRPr="0013739E">
              <w:rPr>
                <w:rFonts w:ascii="Times New Roman" w:eastAsia="Times New Roman" w:hAnsi="Times New Roman" w:cs="Times New Roman"/>
                <w:color w:val="000000"/>
                <w:kern w:val="0"/>
                <w:szCs w:val="24"/>
                <w:lang w:eastAsia="en-IN"/>
                <w14:ligatures w14:val="none"/>
              </w:rPr>
              <w:t>3.88</w:t>
            </w:r>
          </w:p>
        </w:tc>
        <w:tc>
          <w:tcPr>
            <w:tcW w:w="1261" w:type="dxa"/>
            <w:tcBorders>
              <w:top w:val="nil"/>
              <w:left w:val="nil"/>
              <w:bottom w:val="single" w:sz="4" w:space="0" w:color="auto"/>
              <w:right w:val="single" w:sz="4" w:space="0" w:color="auto"/>
            </w:tcBorders>
            <w:noWrap/>
            <w:vAlign w:val="bottom"/>
            <w:hideMark/>
          </w:tcPr>
          <w:p w14:paraId="4BE7B9A7" w14:textId="77777777" w:rsidR="00F42E63" w:rsidRPr="0013739E" w:rsidRDefault="00F42E63" w:rsidP="00F42E63">
            <w:pPr>
              <w:spacing w:after="0" w:line="240" w:lineRule="auto"/>
              <w:jc w:val="right"/>
              <w:rPr>
                <w:rFonts w:ascii="Times New Roman" w:eastAsia="Times New Roman" w:hAnsi="Times New Roman" w:cs="Times New Roman"/>
                <w:color w:val="000000"/>
                <w:kern w:val="0"/>
                <w:szCs w:val="24"/>
                <w:lang w:eastAsia="en-IN"/>
                <w14:ligatures w14:val="none"/>
              </w:rPr>
            </w:pPr>
            <w:r w:rsidRPr="0013739E">
              <w:rPr>
                <w:rFonts w:ascii="Times New Roman" w:eastAsia="Times New Roman" w:hAnsi="Times New Roman" w:cs="Times New Roman"/>
                <w:color w:val="000000"/>
                <w:kern w:val="0"/>
                <w:szCs w:val="24"/>
                <w:lang w:eastAsia="en-IN"/>
                <w14:ligatures w14:val="none"/>
              </w:rPr>
              <w:t>48.77</w:t>
            </w:r>
          </w:p>
        </w:tc>
        <w:tc>
          <w:tcPr>
            <w:tcW w:w="1160" w:type="dxa"/>
            <w:tcBorders>
              <w:top w:val="nil"/>
              <w:left w:val="nil"/>
              <w:bottom w:val="single" w:sz="4" w:space="0" w:color="auto"/>
              <w:right w:val="single" w:sz="4" w:space="0" w:color="auto"/>
            </w:tcBorders>
            <w:noWrap/>
            <w:vAlign w:val="bottom"/>
            <w:hideMark/>
          </w:tcPr>
          <w:p w14:paraId="13CA2745" w14:textId="77777777" w:rsidR="00F42E63" w:rsidRPr="0013739E" w:rsidRDefault="00F42E63" w:rsidP="00F42E63">
            <w:pPr>
              <w:spacing w:after="0" w:line="240" w:lineRule="auto"/>
              <w:jc w:val="right"/>
              <w:rPr>
                <w:rFonts w:ascii="Times New Roman" w:eastAsia="Times New Roman" w:hAnsi="Times New Roman" w:cs="Times New Roman"/>
                <w:color w:val="000000"/>
                <w:kern w:val="0"/>
                <w:szCs w:val="24"/>
                <w:lang w:eastAsia="en-IN"/>
                <w14:ligatures w14:val="none"/>
              </w:rPr>
            </w:pPr>
            <w:r w:rsidRPr="0013739E">
              <w:rPr>
                <w:rFonts w:ascii="Times New Roman" w:eastAsia="Times New Roman" w:hAnsi="Times New Roman" w:cs="Times New Roman"/>
                <w:color w:val="000000"/>
                <w:kern w:val="0"/>
                <w:szCs w:val="24"/>
                <w:lang w:eastAsia="en-IN"/>
                <w14:ligatures w14:val="none"/>
              </w:rPr>
              <w:t>14.96</w:t>
            </w:r>
          </w:p>
        </w:tc>
        <w:tc>
          <w:tcPr>
            <w:tcW w:w="1393" w:type="dxa"/>
            <w:tcBorders>
              <w:top w:val="nil"/>
              <w:left w:val="nil"/>
              <w:bottom w:val="single" w:sz="4" w:space="0" w:color="auto"/>
              <w:right w:val="single" w:sz="4" w:space="0" w:color="auto"/>
            </w:tcBorders>
            <w:noWrap/>
            <w:vAlign w:val="bottom"/>
            <w:hideMark/>
          </w:tcPr>
          <w:p w14:paraId="4D512F3F" w14:textId="77777777" w:rsidR="00F42E63" w:rsidRPr="0013739E" w:rsidRDefault="00F42E63" w:rsidP="00F42E63">
            <w:pPr>
              <w:spacing w:after="0" w:line="240" w:lineRule="auto"/>
              <w:jc w:val="right"/>
              <w:rPr>
                <w:rFonts w:ascii="Times New Roman" w:eastAsia="Times New Roman" w:hAnsi="Times New Roman" w:cs="Times New Roman"/>
                <w:color w:val="000000"/>
                <w:kern w:val="0"/>
                <w:szCs w:val="24"/>
                <w:lang w:eastAsia="en-IN"/>
                <w14:ligatures w14:val="none"/>
              </w:rPr>
            </w:pPr>
            <w:r w:rsidRPr="0013739E">
              <w:rPr>
                <w:rFonts w:ascii="Times New Roman" w:eastAsia="Times New Roman" w:hAnsi="Times New Roman" w:cs="Times New Roman"/>
                <w:color w:val="000000"/>
                <w:kern w:val="0"/>
                <w:szCs w:val="24"/>
                <w:lang w:eastAsia="en-IN"/>
                <w14:ligatures w14:val="none"/>
              </w:rPr>
              <w:t>11.02</w:t>
            </w:r>
          </w:p>
        </w:tc>
        <w:tc>
          <w:tcPr>
            <w:tcW w:w="1160" w:type="dxa"/>
            <w:tcBorders>
              <w:top w:val="nil"/>
              <w:left w:val="nil"/>
              <w:bottom w:val="single" w:sz="4" w:space="0" w:color="auto"/>
              <w:right w:val="single" w:sz="4" w:space="0" w:color="auto"/>
            </w:tcBorders>
            <w:noWrap/>
            <w:vAlign w:val="bottom"/>
            <w:hideMark/>
          </w:tcPr>
          <w:p w14:paraId="3E8E7208" w14:textId="77777777" w:rsidR="00F42E63" w:rsidRPr="0013739E" w:rsidRDefault="00F42E63" w:rsidP="00F42E63">
            <w:pPr>
              <w:spacing w:after="0" w:line="240" w:lineRule="auto"/>
              <w:jc w:val="right"/>
              <w:rPr>
                <w:rFonts w:ascii="Times New Roman" w:eastAsia="Times New Roman" w:hAnsi="Times New Roman" w:cs="Times New Roman"/>
                <w:color w:val="000000"/>
                <w:kern w:val="0"/>
                <w:szCs w:val="24"/>
                <w:lang w:eastAsia="en-IN"/>
                <w14:ligatures w14:val="none"/>
              </w:rPr>
            </w:pPr>
            <w:r w:rsidRPr="0013739E">
              <w:rPr>
                <w:rFonts w:ascii="Times New Roman" w:eastAsia="Times New Roman" w:hAnsi="Times New Roman" w:cs="Times New Roman"/>
                <w:color w:val="000000"/>
                <w:kern w:val="0"/>
                <w:szCs w:val="24"/>
                <w:lang w:eastAsia="en-IN"/>
                <w14:ligatures w14:val="none"/>
              </w:rPr>
              <w:t>12.46</w:t>
            </w:r>
          </w:p>
        </w:tc>
        <w:tc>
          <w:tcPr>
            <w:tcW w:w="1251" w:type="dxa"/>
            <w:tcBorders>
              <w:top w:val="nil"/>
              <w:left w:val="nil"/>
              <w:bottom w:val="single" w:sz="4" w:space="0" w:color="auto"/>
              <w:right w:val="single" w:sz="4" w:space="0" w:color="auto"/>
            </w:tcBorders>
            <w:noWrap/>
            <w:vAlign w:val="bottom"/>
            <w:hideMark/>
          </w:tcPr>
          <w:p w14:paraId="79B97731" w14:textId="77777777" w:rsidR="00F42E63" w:rsidRPr="0013739E" w:rsidRDefault="00F42E63" w:rsidP="00F42E63">
            <w:pPr>
              <w:spacing w:after="0" w:line="240" w:lineRule="auto"/>
              <w:jc w:val="right"/>
              <w:rPr>
                <w:rFonts w:ascii="Times New Roman" w:eastAsia="Times New Roman" w:hAnsi="Times New Roman" w:cs="Times New Roman"/>
                <w:color w:val="000000"/>
                <w:kern w:val="0"/>
                <w:szCs w:val="24"/>
                <w:lang w:eastAsia="en-IN"/>
                <w14:ligatures w14:val="none"/>
              </w:rPr>
            </w:pPr>
            <w:r w:rsidRPr="0013739E">
              <w:rPr>
                <w:rFonts w:ascii="Times New Roman" w:eastAsia="Times New Roman" w:hAnsi="Times New Roman" w:cs="Times New Roman"/>
                <w:color w:val="000000"/>
                <w:kern w:val="0"/>
                <w:szCs w:val="24"/>
                <w:lang w:eastAsia="en-IN"/>
                <w14:ligatures w14:val="none"/>
              </w:rPr>
              <w:t>1.1</w:t>
            </w:r>
          </w:p>
        </w:tc>
        <w:tc>
          <w:tcPr>
            <w:tcW w:w="1058" w:type="dxa"/>
            <w:tcBorders>
              <w:top w:val="nil"/>
              <w:left w:val="nil"/>
              <w:bottom w:val="single" w:sz="4" w:space="0" w:color="auto"/>
              <w:right w:val="single" w:sz="4" w:space="0" w:color="auto"/>
            </w:tcBorders>
            <w:noWrap/>
            <w:vAlign w:val="bottom"/>
            <w:hideMark/>
          </w:tcPr>
          <w:p w14:paraId="5B1E8E48" w14:textId="77777777" w:rsidR="00F42E63" w:rsidRPr="0013739E" w:rsidRDefault="00F42E63" w:rsidP="00F42E63">
            <w:pPr>
              <w:spacing w:after="0" w:line="240" w:lineRule="auto"/>
              <w:jc w:val="right"/>
              <w:rPr>
                <w:rFonts w:ascii="Times New Roman" w:eastAsia="Times New Roman" w:hAnsi="Times New Roman" w:cs="Times New Roman"/>
                <w:color w:val="000000"/>
                <w:kern w:val="0"/>
                <w:szCs w:val="24"/>
                <w:lang w:eastAsia="en-IN"/>
                <w14:ligatures w14:val="none"/>
              </w:rPr>
            </w:pPr>
            <w:r w:rsidRPr="0013739E">
              <w:rPr>
                <w:rFonts w:ascii="Times New Roman" w:eastAsia="Times New Roman" w:hAnsi="Times New Roman" w:cs="Times New Roman"/>
                <w:color w:val="000000"/>
                <w:kern w:val="0"/>
                <w:szCs w:val="24"/>
                <w:lang w:eastAsia="en-IN"/>
                <w14:ligatures w14:val="none"/>
              </w:rPr>
              <w:t>1.31</w:t>
            </w:r>
          </w:p>
        </w:tc>
        <w:tc>
          <w:tcPr>
            <w:tcW w:w="1731" w:type="dxa"/>
            <w:tcBorders>
              <w:top w:val="nil"/>
              <w:left w:val="nil"/>
              <w:bottom w:val="single" w:sz="4" w:space="0" w:color="auto"/>
              <w:right w:val="single" w:sz="4" w:space="0" w:color="auto"/>
            </w:tcBorders>
            <w:noWrap/>
            <w:vAlign w:val="bottom"/>
            <w:hideMark/>
          </w:tcPr>
          <w:p w14:paraId="3E45472F" w14:textId="77777777" w:rsidR="00F42E63" w:rsidRPr="0013739E" w:rsidRDefault="00F42E63" w:rsidP="00F42E63">
            <w:pPr>
              <w:spacing w:after="0" w:line="240" w:lineRule="auto"/>
              <w:jc w:val="right"/>
              <w:rPr>
                <w:rFonts w:ascii="Times New Roman" w:eastAsia="Times New Roman" w:hAnsi="Times New Roman" w:cs="Times New Roman"/>
                <w:color w:val="000000"/>
                <w:kern w:val="0"/>
                <w:szCs w:val="24"/>
                <w:lang w:eastAsia="en-IN"/>
                <w14:ligatures w14:val="none"/>
              </w:rPr>
            </w:pPr>
            <w:r w:rsidRPr="0013739E">
              <w:rPr>
                <w:rFonts w:ascii="Times New Roman" w:eastAsia="Times New Roman" w:hAnsi="Times New Roman" w:cs="Times New Roman"/>
                <w:color w:val="000000"/>
                <w:kern w:val="0"/>
                <w:szCs w:val="24"/>
                <w:lang w:eastAsia="en-IN"/>
                <w14:ligatures w14:val="none"/>
              </w:rPr>
              <w:t>2.78</w:t>
            </w:r>
          </w:p>
        </w:tc>
        <w:tc>
          <w:tcPr>
            <w:tcW w:w="1160" w:type="dxa"/>
            <w:tcBorders>
              <w:top w:val="nil"/>
              <w:left w:val="nil"/>
              <w:bottom w:val="single" w:sz="4" w:space="0" w:color="auto"/>
              <w:right w:val="single" w:sz="4" w:space="0" w:color="auto"/>
            </w:tcBorders>
            <w:noWrap/>
            <w:vAlign w:val="bottom"/>
            <w:hideMark/>
          </w:tcPr>
          <w:p w14:paraId="02C8A68D" w14:textId="77777777" w:rsidR="00F42E63" w:rsidRPr="0013739E" w:rsidRDefault="00F42E63" w:rsidP="00F42E63">
            <w:pPr>
              <w:spacing w:after="0" w:line="240" w:lineRule="auto"/>
              <w:jc w:val="right"/>
              <w:rPr>
                <w:rFonts w:ascii="Times New Roman" w:eastAsia="Times New Roman" w:hAnsi="Times New Roman" w:cs="Times New Roman"/>
                <w:color w:val="000000"/>
                <w:kern w:val="0"/>
                <w:szCs w:val="24"/>
                <w:lang w:eastAsia="en-IN"/>
                <w14:ligatures w14:val="none"/>
              </w:rPr>
            </w:pPr>
            <w:r w:rsidRPr="0013739E">
              <w:rPr>
                <w:rFonts w:ascii="Times New Roman" w:eastAsia="Times New Roman" w:hAnsi="Times New Roman" w:cs="Times New Roman"/>
                <w:color w:val="000000"/>
                <w:kern w:val="0"/>
                <w:szCs w:val="24"/>
                <w:lang w:eastAsia="en-IN"/>
                <w14:ligatures w14:val="none"/>
              </w:rPr>
              <w:t>3.19</w:t>
            </w:r>
          </w:p>
        </w:tc>
        <w:tc>
          <w:tcPr>
            <w:tcW w:w="1463" w:type="dxa"/>
            <w:tcBorders>
              <w:top w:val="nil"/>
              <w:left w:val="nil"/>
              <w:bottom w:val="single" w:sz="4" w:space="0" w:color="auto"/>
              <w:right w:val="single" w:sz="4" w:space="0" w:color="auto"/>
            </w:tcBorders>
            <w:noWrap/>
            <w:vAlign w:val="bottom"/>
            <w:hideMark/>
          </w:tcPr>
          <w:p w14:paraId="66AA25D8" w14:textId="77777777" w:rsidR="00F42E63" w:rsidRPr="0013739E" w:rsidRDefault="00F42E63" w:rsidP="00F42E63">
            <w:pPr>
              <w:spacing w:after="0" w:line="240" w:lineRule="auto"/>
              <w:jc w:val="right"/>
              <w:rPr>
                <w:rFonts w:ascii="Times New Roman" w:eastAsia="Times New Roman" w:hAnsi="Times New Roman" w:cs="Times New Roman"/>
                <w:color w:val="000000"/>
                <w:kern w:val="0"/>
                <w:szCs w:val="24"/>
                <w:lang w:eastAsia="en-IN"/>
                <w14:ligatures w14:val="none"/>
              </w:rPr>
            </w:pPr>
            <w:r w:rsidRPr="0013739E">
              <w:rPr>
                <w:rFonts w:ascii="Times New Roman" w:eastAsia="Times New Roman" w:hAnsi="Times New Roman" w:cs="Times New Roman"/>
                <w:color w:val="000000"/>
                <w:kern w:val="0"/>
                <w:szCs w:val="24"/>
                <w:lang w:eastAsia="en-IN"/>
                <w14:ligatures w14:val="none"/>
              </w:rPr>
              <w:t>194.55</w:t>
            </w:r>
          </w:p>
        </w:tc>
      </w:tr>
      <w:tr w:rsidR="00F42E63" w:rsidRPr="0013739E" w14:paraId="5FB66941" w14:textId="77777777" w:rsidTr="0013739E">
        <w:trPr>
          <w:trHeight w:val="21"/>
          <w:jc w:val="center"/>
        </w:trPr>
        <w:tc>
          <w:tcPr>
            <w:tcW w:w="1382" w:type="dxa"/>
            <w:tcBorders>
              <w:top w:val="nil"/>
              <w:left w:val="single" w:sz="4" w:space="0" w:color="auto"/>
              <w:bottom w:val="single" w:sz="4" w:space="0" w:color="auto"/>
              <w:right w:val="single" w:sz="4" w:space="0" w:color="auto"/>
            </w:tcBorders>
            <w:noWrap/>
            <w:vAlign w:val="bottom"/>
            <w:hideMark/>
          </w:tcPr>
          <w:p w14:paraId="072268D5" w14:textId="77777777" w:rsidR="00F42E63" w:rsidRPr="0013739E" w:rsidRDefault="00F42E63" w:rsidP="00F42E63">
            <w:pPr>
              <w:spacing w:after="0" w:line="240" w:lineRule="auto"/>
              <w:rPr>
                <w:rFonts w:ascii="Times New Roman" w:eastAsia="Times New Roman" w:hAnsi="Times New Roman" w:cs="Times New Roman"/>
                <w:color w:val="000000"/>
                <w:kern w:val="0"/>
                <w:szCs w:val="24"/>
                <w:lang w:eastAsia="en-IN"/>
                <w14:ligatures w14:val="none"/>
              </w:rPr>
            </w:pPr>
            <w:r w:rsidRPr="0013739E">
              <w:rPr>
                <w:rFonts w:ascii="Times New Roman" w:eastAsia="Times New Roman" w:hAnsi="Times New Roman" w:cs="Times New Roman"/>
                <w:color w:val="000000"/>
                <w:kern w:val="0"/>
                <w:szCs w:val="24"/>
                <w:lang w:eastAsia="en-IN"/>
                <w14:ligatures w14:val="none"/>
              </w:rPr>
              <w:t>1967-68</w:t>
            </w:r>
          </w:p>
        </w:tc>
        <w:tc>
          <w:tcPr>
            <w:tcW w:w="1261" w:type="dxa"/>
            <w:tcBorders>
              <w:top w:val="nil"/>
              <w:left w:val="nil"/>
              <w:bottom w:val="single" w:sz="4" w:space="0" w:color="auto"/>
              <w:right w:val="single" w:sz="4" w:space="0" w:color="auto"/>
            </w:tcBorders>
            <w:noWrap/>
            <w:vAlign w:val="bottom"/>
            <w:hideMark/>
          </w:tcPr>
          <w:p w14:paraId="4E1C61E9" w14:textId="77777777" w:rsidR="00F42E63" w:rsidRPr="0013739E" w:rsidRDefault="00F42E63" w:rsidP="00F42E63">
            <w:pPr>
              <w:spacing w:after="0" w:line="240" w:lineRule="auto"/>
              <w:jc w:val="right"/>
              <w:rPr>
                <w:rFonts w:ascii="Times New Roman" w:eastAsia="Times New Roman" w:hAnsi="Times New Roman" w:cs="Times New Roman"/>
                <w:color w:val="000000"/>
                <w:kern w:val="0"/>
                <w:szCs w:val="24"/>
                <w:lang w:eastAsia="en-IN"/>
                <w14:ligatures w14:val="none"/>
              </w:rPr>
            </w:pPr>
            <w:r w:rsidRPr="0013739E">
              <w:rPr>
                <w:rFonts w:ascii="Times New Roman" w:eastAsia="Times New Roman" w:hAnsi="Times New Roman" w:cs="Times New Roman"/>
                <w:color w:val="000000"/>
                <w:kern w:val="0"/>
                <w:szCs w:val="24"/>
                <w:lang w:eastAsia="en-IN"/>
                <w14:ligatures w14:val="none"/>
              </w:rPr>
              <w:t>5.28</w:t>
            </w:r>
          </w:p>
        </w:tc>
        <w:tc>
          <w:tcPr>
            <w:tcW w:w="1261" w:type="dxa"/>
            <w:tcBorders>
              <w:top w:val="nil"/>
              <w:left w:val="nil"/>
              <w:bottom w:val="single" w:sz="4" w:space="0" w:color="auto"/>
              <w:right w:val="single" w:sz="4" w:space="0" w:color="auto"/>
            </w:tcBorders>
            <w:noWrap/>
            <w:vAlign w:val="bottom"/>
            <w:hideMark/>
          </w:tcPr>
          <w:p w14:paraId="31E4F9C4" w14:textId="77777777" w:rsidR="00F42E63" w:rsidRPr="0013739E" w:rsidRDefault="00F42E63" w:rsidP="00F42E63">
            <w:pPr>
              <w:spacing w:after="0" w:line="240" w:lineRule="auto"/>
              <w:jc w:val="right"/>
              <w:rPr>
                <w:rFonts w:ascii="Times New Roman" w:eastAsia="Times New Roman" w:hAnsi="Times New Roman" w:cs="Times New Roman"/>
                <w:color w:val="000000"/>
                <w:kern w:val="0"/>
                <w:szCs w:val="24"/>
                <w:lang w:eastAsia="en-IN"/>
                <w14:ligatures w14:val="none"/>
              </w:rPr>
            </w:pPr>
            <w:r w:rsidRPr="0013739E">
              <w:rPr>
                <w:rFonts w:ascii="Times New Roman" w:eastAsia="Times New Roman" w:hAnsi="Times New Roman" w:cs="Times New Roman"/>
                <w:color w:val="000000"/>
                <w:kern w:val="0"/>
                <w:szCs w:val="24"/>
                <w:lang w:eastAsia="en-IN"/>
                <w14:ligatures w14:val="none"/>
              </w:rPr>
              <w:t>57.48</w:t>
            </w:r>
          </w:p>
        </w:tc>
        <w:tc>
          <w:tcPr>
            <w:tcW w:w="1160" w:type="dxa"/>
            <w:tcBorders>
              <w:top w:val="nil"/>
              <w:left w:val="nil"/>
              <w:bottom w:val="single" w:sz="4" w:space="0" w:color="auto"/>
              <w:right w:val="single" w:sz="4" w:space="0" w:color="auto"/>
            </w:tcBorders>
            <w:noWrap/>
            <w:vAlign w:val="bottom"/>
            <w:hideMark/>
          </w:tcPr>
          <w:p w14:paraId="384EB10A" w14:textId="77777777" w:rsidR="00F42E63" w:rsidRPr="0013739E" w:rsidRDefault="00F42E63" w:rsidP="00F42E63">
            <w:pPr>
              <w:spacing w:after="0" w:line="240" w:lineRule="auto"/>
              <w:jc w:val="right"/>
              <w:rPr>
                <w:rFonts w:ascii="Times New Roman" w:eastAsia="Times New Roman" w:hAnsi="Times New Roman" w:cs="Times New Roman"/>
                <w:color w:val="000000"/>
                <w:kern w:val="0"/>
                <w:szCs w:val="24"/>
                <w:lang w:eastAsia="en-IN"/>
                <w14:ligatures w14:val="none"/>
              </w:rPr>
            </w:pPr>
            <w:r w:rsidRPr="0013739E">
              <w:rPr>
                <w:rFonts w:ascii="Times New Roman" w:eastAsia="Times New Roman" w:hAnsi="Times New Roman" w:cs="Times New Roman"/>
                <w:color w:val="000000"/>
                <w:kern w:val="0"/>
                <w:szCs w:val="24"/>
                <w:lang w:eastAsia="en-IN"/>
                <w14:ligatures w14:val="none"/>
              </w:rPr>
              <w:t>16.83</w:t>
            </w:r>
          </w:p>
        </w:tc>
        <w:tc>
          <w:tcPr>
            <w:tcW w:w="1393" w:type="dxa"/>
            <w:tcBorders>
              <w:top w:val="nil"/>
              <w:left w:val="nil"/>
              <w:bottom w:val="single" w:sz="4" w:space="0" w:color="auto"/>
              <w:right w:val="single" w:sz="4" w:space="0" w:color="auto"/>
            </w:tcBorders>
            <w:noWrap/>
            <w:vAlign w:val="bottom"/>
            <w:hideMark/>
          </w:tcPr>
          <w:p w14:paraId="3DEAA87F" w14:textId="77777777" w:rsidR="00F42E63" w:rsidRPr="0013739E" w:rsidRDefault="00F42E63" w:rsidP="00F42E63">
            <w:pPr>
              <w:spacing w:after="0" w:line="240" w:lineRule="auto"/>
              <w:jc w:val="right"/>
              <w:rPr>
                <w:rFonts w:ascii="Times New Roman" w:eastAsia="Times New Roman" w:hAnsi="Times New Roman" w:cs="Times New Roman"/>
                <w:color w:val="000000"/>
                <w:kern w:val="0"/>
                <w:szCs w:val="24"/>
                <w:lang w:eastAsia="en-IN"/>
                <w14:ligatures w14:val="none"/>
              </w:rPr>
            </w:pPr>
            <w:r w:rsidRPr="0013739E">
              <w:rPr>
                <w:rFonts w:ascii="Times New Roman" w:eastAsia="Times New Roman" w:hAnsi="Times New Roman" w:cs="Times New Roman"/>
                <w:color w:val="000000"/>
                <w:kern w:val="0"/>
                <w:szCs w:val="24"/>
                <w:lang w:eastAsia="en-IN"/>
                <w14:ligatures w14:val="none"/>
              </w:rPr>
              <w:t>13.35</w:t>
            </w:r>
          </w:p>
        </w:tc>
        <w:tc>
          <w:tcPr>
            <w:tcW w:w="1160" w:type="dxa"/>
            <w:tcBorders>
              <w:top w:val="nil"/>
              <w:left w:val="nil"/>
              <w:bottom w:val="single" w:sz="4" w:space="0" w:color="auto"/>
              <w:right w:val="single" w:sz="4" w:space="0" w:color="auto"/>
            </w:tcBorders>
            <w:noWrap/>
            <w:vAlign w:val="bottom"/>
            <w:hideMark/>
          </w:tcPr>
          <w:p w14:paraId="6E4EDE22" w14:textId="77777777" w:rsidR="00F42E63" w:rsidRPr="0013739E" w:rsidRDefault="00F42E63" w:rsidP="00F42E63">
            <w:pPr>
              <w:spacing w:after="0" w:line="240" w:lineRule="auto"/>
              <w:jc w:val="right"/>
              <w:rPr>
                <w:rFonts w:ascii="Times New Roman" w:eastAsia="Times New Roman" w:hAnsi="Times New Roman" w:cs="Times New Roman"/>
                <w:color w:val="000000"/>
                <w:kern w:val="0"/>
                <w:szCs w:val="24"/>
                <w:lang w:eastAsia="en-IN"/>
                <w14:ligatures w14:val="none"/>
              </w:rPr>
            </w:pPr>
            <w:r w:rsidRPr="0013739E">
              <w:rPr>
                <w:rFonts w:ascii="Times New Roman" w:eastAsia="Times New Roman" w:hAnsi="Times New Roman" w:cs="Times New Roman"/>
                <w:color w:val="000000"/>
                <w:kern w:val="0"/>
                <w:szCs w:val="24"/>
                <w:lang w:eastAsia="en-IN"/>
                <w14:ligatures w14:val="none"/>
              </w:rPr>
              <w:t>15.22</w:t>
            </w:r>
          </w:p>
        </w:tc>
        <w:tc>
          <w:tcPr>
            <w:tcW w:w="1251" w:type="dxa"/>
            <w:tcBorders>
              <w:top w:val="nil"/>
              <w:left w:val="nil"/>
              <w:bottom w:val="single" w:sz="4" w:space="0" w:color="auto"/>
              <w:right w:val="single" w:sz="4" w:space="0" w:color="auto"/>
            </w:tcBorders>
            <w:noWrap/>
            <w:vAlign w:val="bottom"/>
            <w:hideMark/>
          </w:tcPr>
          <w:p w14:paraId="62ACC1ED" w14:textId="77777777" w:rsidR="00F42E63" w:rsidRPr="0013739E" w:rsidRDefault="00F42E63" w:rsidP="00F42E63">
            <w:pPr>
              <w:spacing w:after="0" w:line="240" w:lineRule="auto"/>
              <w:jc w:val="right"/>
              <w:rPr>
                <w:rFonts w:ascii="Times New Roman" w:eastAsia="Times New Roman" w:hAnsi="Times New Roman" w:cs="Times New Roman"/>
                <w:color w:val="000000"/>
                <w:kern w:val="0"/>
                <w:szCs w:val="24"/>
                <w:lang w:eastAsia="en-IN"/>
                <w14:ligatures w14:val="none"/>
              </w:rPr>
            </w:pPr>
            <w:r w:rsidRPr="0013739E">
              <w:rPr>
                <w:rFonts w:ascii="Times New Roman" w:eastAsia="Times New Roman" w:hAnsi="Times New Roman" w:cs="Times New Roman"/>
                <w:color w:val="000000"/>
                <w:kern w:val="0"/>
                <w:szCs w:val="24"/>
                <w:lang w:eastAsia="en-IN"/>
                <w14:ligatures w14:val="none"/>
              </w:rPr>
              <w:t>1.8</w:t>
            </w:r>
          </w:p>
        </w:tc>
        <w:tc>
          <w:tcPr>
            <w:tcW w:w="1058" w:type="dxa"/>
            <w:tcBorders>
              <w:top w:val="nil"/>
              <w:left w:val="nil"/>
              <w:bottom w:val="single" w:sz="4" w:space="0" w:color="auto"/>
              <w:right w:val="single" w:sz="4" w:space="0" w:color="auto"/>
            </w:tcBorders>
            <w:noWrap/>
            <w:vAlign w:val="bottom"/>
            <w:hideMark/>
          </w:tcPr>
          <w:p w14:paraId="18987971" w14:textId="77777777" w:rsidR="00F42E63" w:rsidRPr="0013739E" w:rsidRDefault="00F42E63" w:rsidP="00F42E63">
            <w:pPr>
              <w:spacing w:after="0" w:line="240" w:lineRule="auto"/>
              <w:jc w:val="right"/>
              <w:rPr>
                <w:rFonts w:ascii="Times New Roman" w:eastAsia="Times New Roman" w:hAnsi="Times New Roman" w:cs="Times New Roman"/>
                <w:color w:val="000000"/>
                <w:kern w:val="0"/>
                <w:szCs w:val="24"/>
                <w:lang w:eastAsia="en-IN"/>
                <w14:ligatures w14:val="none"/>
              </w:rPr>
            </w:pPr>
            <w:r w:rsidRPr="0013739E">
              <w:rPr>
                <w:rFonts w:ascii="Times New Roman" w:eastAsia="Times New Roman" w:hAnsi="Times New Roman" w:cs="Times New Roman"/>
                <w:color w:val="000000"/>
                <w:kern w:val="0"/>
                <w:szCs w:val="24"/>
                <w:lang w:eastAsia="en-IN"/>
                <w14:ligatures w14:val="none"/>
              </w:rPr>
              <w:t>2.01</w:t>
            </w:r>
          </w:p>
        </w:tc>
        <w:tc>
          <w:tcPr>
            <w:tcW w:w="1731" w:type="dxa"/>
            <w:tcBorders>
              <w:top w:val="nil"/>
              <w:left w:val="nil"/>
              <w:bottom w:val="single" w:sz="4" w:space="0" w:color="auto"/>
              <w:right w:val="single" w:sz="4" w:space="0" w:color="auto"/>
            </w:tcBorders>
            <w:noWrap/>
            <w:vAlign w:val="bottom"/>
            <w:hideMark/>
          </w:tcPr>
          <w:p w14:paraId="2C779D73" w14:textId="77777777" w:rsidR="00F42E63" w:rsidRPr="0013739E" w:rsidRDefault="00F42E63" w:rsidP="00F42E63">
            <w:pPr>
              <w:spacing w:after="0" w:line="240" w:lineRule="auto"/>
              <w:jc w:val="right"/>
              <w:rPr>
                <w:rFonts w:ascii="Times New Roman" w:eastAsia="Times New Roman" w:hAnsi="Times New Roman" w:cs="Times New Roman"/>
                <w:color w:val="000000"/>
                <w:kern w:val="0"/>
                <w:szCs w:val="24"/>
                <w:lang w:eastAsia="en-IN"/>
                <w14:ligatures w14:val="none"/>
              </w:rPr>
            </w:pPr>
            <w:r w:rsidRPr="0013739E">
              <w:rPr>
                <w:rFonts w:ascii="Times New Roman" w:eastAsia="Times New Roman" w:hAnsi="Times New Roman" w:cs="Times New Roman"/>
                <w:color w:val="000000"/>
                <w:kern w:val="0"/>
                <w:szCs w:val="24"/>
                <w:lang w:eastAsia="en-IN"/>
                <w14:ligatures w14:val="none"/>
              </w:rPr>
              <w:t>2.96</w:t>
            </w:r>
          </w:p>
        </w:tc>
        <w:tc>
          <w:tcPr>
            <w:tcW w:w="1160" w:type="dxa"/>
            <w:tcBorders>
              <w:top w:val="nil"/>
              <w:left w:val="nil"/>
              <w:bottom w:val="single" w:sz="4" w:space="0" w:color="auto"/>
              <w:right w:val="single" w:sz="4" w:space="0" w:color="auto"/>
            </w:tcBorders>
            <w:noWrap/>
            <w:vAlign w:val="bottom"/>
            <w:hideMark/>
          </w:tcPr>
          <w:p w14:paraId="03DFFD81" w14:textId="77777777" w:rsidR="00F42E63" w:rsidRPr="0013739E" w:rsidRDefault="00F42E63" w:rsidP="00F42E63">
            <w:pPr>
              <w:spacing w:after="0" w:line="240" w:lineRule="auto"/>
              <w:jc w:val="right"/>
              <w:rPr>
                <w:rFonts w:ascii="Times New Roman" w:eastAsia="Times New Roman" w:hAnsi="Times New Roman" w:cs="Times New Roman"/>
                <w:color w:val="000000"/>
                <w:kern w:val="0"/>
                <w:szCs w:val="24"/>
                <w:lang w:eastAsia="en-IN"/>
                <w14:ligatures w14:val="none"/>
              </w:rPr>
            </w:pPr>
            <w:r w:rsidRPr="0013739E">
              <w:rPr>
                <w:rFonts w:ascii="Times New Roman" w:eastAsia="Times New Roman" w:hAnsi="Times New Roman" w:cs="Times New Roman"/>
                <w:color w:val="000000"/>
                <w:kern w:val="0"/>
                <w:szCs w:val="24"/>
                <w:lang w:eastAsia="en-IN"/>
                <w14:ligatures w14:val="none"/>
              </w:rPr>
              <w:t>3.39</w:t>
            </w:r>
          </w:p>
        </w:tc>
        <w:tc>
          <w:tcPr>
            <w:tcW w:w="1463" w:type="dxa"/>
            <w:tcBorders>
              <w:top w:val="nil"/>
              <w:left w:val="nil"/>
              <w:bottom w:val="single" w:sz="4" w:space="0" w:color="auto"/>
              <w:right w:val="single" w:sz="4" w:space="0" w:color="auto"/>
            </w:tcBorders>
            <w:noWrap/>
            <w:vAlign w:val="bottom"/>
            <w:hideMark/>
          </w:tcPr>
          <w:p w14:paraId="430CDE3C" w14:textId="77777777" w:rsidR="00F42E63" w:rsidRPr="0013739E" w:rsidRDefault="00F42E63" w:rsidP="00F42E63">
            <w:pPr>
              <w:spacing w:after="0" w:line="240" w:lineRule="auto"/>
              <w:jc w:val="right"/>
              <w:rPr>
                <w:rFonts w:ascii="Times New Roman" w:eastAsia="Times New Roman" w:hAnsi="Times New Roman" w:cs="Times New Roman"/>
                <w:color w:val="000000"/>
                <w:kern w:val="0"/>
                <w:szCs w:val="24"/>
                <w:lang w:eastAsia="en-IN"/>
                <w14:ligatures w14:val="none"/>
              </w:rPr>
            </w:pPr>
            <w:r w:rsidRPr="0013739E">
              <w:rPr>
                <w:rFonts w:ascii="Times New Roman" w:eastAsia="Times New Roman" w:hAnsi="Times New Roman" w:cs="Times New Roman"/>
                <w:color w:val="000000"/>
                <w:kern w:val="0"/>
                <w:szCs w:val="24"/>
                <w:lang w:eastAsia="en-IN"/>
                <w14:ligatures w14:val="none"/>
              </w:rPr>
              <w:t>233.39</w:t>
            </w:r>
          </w:p>
        </w:tc>
      </w:tr>
      <w:tr w:rsidR="00F42E63" w:rsidRPr="0013739E" w14:paraId="13463C56" w14:textId="77777777" w:rsidTr="0013739E">
        <w:trPr>
          <w:trHeight w:val="21"/>
          <w:jc w:val="center"/>
        </w:trPr>
        <w:tc>
          <w:tcPr>
            <w:tcW w:w="1382" w:type="dxa"/>
            <w:tcBorders>
              <w:top w:val="nil"/>
              <w:left w:val="single" w:sz="4" w:space="0" w:color="auto"/>
              <w:bottom w:val="single" w:sz="4" w:space="0" w:color="auto"/>
              <w:right w:val="single" w:sz="4" w:space="0" w:color="auto"/>
            </w:tcBorders>
            <w:noWrap/>
            <w:vAlign w:val="bottom"/>
            <w:hideMark/>
          </w:tcPr>
          <w:p w14:paraId="73F0CB0F" w14:textId="77777777" w:rsidR="00F42E63" w:rsidRPr="0013739E" w:rsidRDefault="00F42E63" w:rsidP="00F42E63">
            <w:pPr>
              <w:spacing w:after="0" w:line="240" w:lineRule="auto"/>
              <w:rPr>
                <w:rFonts w:ascii="Times New Roman" w:eastAsia="Times New Roman" w:hAnsi="Times New Roman" w:cs="Times New Roman"/>
                <w:color w:val="000000"/>
                <w:kern w:val="0"/>
                <w:szCs w:val="24"/>
                <w:lang w:eastAsia="en-IN"/>
                <w14:ligatures w14:val="none"/>
              </w:rPr>
            </w:pPr>
            <w:r w:rsidRPr="0013739E">
              <w:rPr>
                <w:rFonts w:ascii="Times New Roman" w:eastAsia="Times New Roman" w:hAnsi="Times New Roman" w:cs="Times New Roman"/>
                <w:color w:val="000000"/>
                <w:kern w:val="0"/>
                <w:szCs w:val="24"/>
                <w:lang w:eastAsia="en-IN"/>
                <w14:ligatures w14:val="none"/>
              </w:rPr>
              <w:t>1968-69 (RE)</w:t>
            </w:r>
          </w:p>
        </w:tc>
        <w:tc>
          <w:tcPr>
            <w:tcW w:w="1261" w:type="dxa"/>
            <w:tcBorders>
              <w:top w:val="nil"/>
              <w:left w:val="nil"/>
              <w:bottom w:val="single" w:sz="4" w:space="0" w:color="auto"/>
              <w:right w:val="single" w:sz="4" w:space="0" w:color="auto"/>
            </w:tcBorders>
            <w:noWrap/>
            <w:vAlign w:val="bottom"/>
            <w:hideMark/>
          </w:tcPr>
          <w:p w14:paraId="77AB0697" w14:textId="4B332050" w:rsidR="00F42E63" w:rsidRPr="0013739E" w:rsidRDefault="00F42E63" w:rsidP="00F42E63">
            <w:pPr>
              <w:spacing w:after="0" w:line="240" w:lineRule="auto"/>
              <w:rPr>
                <w:rFonts w:ascii="Times New Roman" w:eastAsia="Times New Roman" w:hAnsi="Times New Roman" w:cs="Times New Roman"/>
                <w:color w:val="000000"/>
                <w:kern w:val="0"/>
                <w:szCs w:val="24"/>
                <w:lang w:eastAsia="en-IN"/>
                <w14:ligatures w14:val="none"/>
              </w:rPr>
            </w:pPr>
            <w:r w:rsidRPr="0013739E">
              <w:rPr>
                <w:rFonts w:ascii="Times New Roman" w:eastAsia="Times New Roman" w:hAnsi="Times New Roman" w:cs="Times New Roman"/>
                <w:color w:val="000000"/>
                <w:kern w:val="0"/>
                <w:szCs w:val="24"/>
                <w:lang w:eastAsia="en-IN"/>
                <w14:ligatures w14:val="none"/>
              </w:rPr>
              <w:t>4.21 (1.52)</w:t>
            </w:r>
          </w:p>
        </w:tc>
        <w:tc>
          <w:tcPr>
            <w:tcW w:w="1261" w:type="dxa"/>
            <w:tcBorders>
              <w:top w:val="nil"/>
              <w:left w:val="nil"/>
              <w:bottom w:val="single" w:sz="4" w:space="0" w:color="auto"/>
              <w:right w:val="single" w:sz="4" w:space="0" w:color="auto"/>
            </w:tcBorders>
            <w:noWrap/>
            <w:vAlign w:val="bottom"/>
            <w:hideMark/>
          </w:tcPr>
          <w:p w14:paraId="7728D0B4" w14:textId="20AE26A8" w:rsidR="00F42E63" w:rsidRPr="0013739E" w:rsidRDefault="00F42E63" w:rsidP="00F42E63">
            <w:pPr>
              <w:spacing w:after="0" w:line="240" w:lineRule="auto"/>
              <w:rPr>
                <w:rFonts w:ascii="Times New Roman" w:eastAsia="Times New Roman" w:hAnsi="Times New Roman" w:cs="Times New Roman"/>
                <w:color w:val="000000"/>
                <w:kern w:val="0"/>
                <w:szCs w:val="24"/>
                <w:lang w:eastAsia="en-IN"/>
                <w14:ligatures w14:val="none"/>
              </w:rPr>
            </w:pPr>
            <w:r w:rsidRPr="0013739E">
              <w:rPr>
                <w:rFonts w:ascii="Times New Roman" w:eastAsia="Times New Roman" w:hAnsi="Times New Roman" w:cs="Times New Roman"/>
                <w:color w:val="000000"/>
                <w:kern w:val="0"/>
                <w:szCs w:val="24"/>
                <w:lang w:eastAsia="en-IN"/>
                <w14:ligatures w14:val="none"/>
              </w:rPr>
              <w:t>61.04 (22.01)</w:t>
            </w:r>
          </w:p>
        </w:tc>
        <w:tc>
          <w:tcPr>
            <w:tcW w:w="1160" w:type="dxa"/>
            <w:tcBorders>
              <w:top w:val="nil"/>
              <w:left w:val="nil"/>
              <w:bottom w:val="single" w:sz="4" w:space="0" w:color="auto"/>
              <w:right w:val="single" w:sz="4" w:space="0" w:color="auto"/>
            </w:tcBorders>
            <w:noWrap/>
            <w:vAlign w:val="bottom"/>
            <w:hideMark/>
          </w:tcPr>
          <w:p w14:paraId="73DB8159" w14:textId="10B33D1A" w:rsidR="00F42E63" w:rsidRPr="0013739E" w:rsidRDefault="00F42E63" w:rsidP="00F42E63">
            <w:pPr>
              <w:spacing w:after="0" w:line="240" w:lineRule="auto"/>
              <w:rPr>
                <w:rFonts w:ascii="Times New Roman" w:eastAsia="Times New Roman" w:hAnsi="Times New Roman" w:cs="Times New Roman"/>
                <w:color w:val="000000"/>
                <w:kern w:val="0"/>
                <w:szCs w:val="24"/>
                <w:lang w:eastAsia="en-IN"/>
                <w14:ligatures w14:val="none"/>
              </w:rPr>
            </w:pPr>
            <w:r w:rsidRPr="0013739E">
              <w:rPr>
                <w:rFonts w:ascii="Times New Roman" w:eastAsia="Times New Roman" w:hAnsi="Times New Roman" w:cs="Times New Roman"/>
                <w:color w:val="000000"/>
                <w:kern w:val="0"/>
                <w:szCs w:val="24"/>
                <w:lang w:eastAsia="en-IN"/>
                <w14:ligatures w14:val="none"/>
              </w:rPr>
              <w:t>18.13 (6.54)</w:t>
            </w:r>
          </w:p>
        </w:tc>
        <w:tc>
          <w:tcPr>
            <w:tcW w:w="1393" w:type="dxa"/>
            <w:tcBorders>
              <w:top w:val="nil"/>
              <w:left w:val="nil"/>
              <w:bottom w:val="single" w:sz="4" w:space="0" w:color="auto"/>
              <w:right w:val="single" w:sz="4" w:space="0" w:color="auto"/>
            </w:tcBorders>
            <w:noWrap/>
            <w:vAlign w:val="bottom"/>
            <w:hideMark/>
          </w:tcPr>
          <w:p w14:paraId="46FE2C31" w14:textId="1A26EE9A" w:rsidR="00F42E63" w:rsidRPr="0013739E" w:rsidRDefault="00F42E63" w:rsidP="00F42E63">
            <w:pPr>
              <w:spacing w:after="0" w:line="240" w:lineRule="auto"/>
              <w:rPr>
                <w:rFonts w:ascii="Times New Roman" w:eastAsia="Times New Roman" w:hAnsi="Times New Roman" w:cs="Times New Roman"/>
                <w:color w:val="000000"/>
                <w:kern w:val="0"/>
                <w:szCs w:val="24"/>
                <w:lang w:eastAsia="en-IN"/>
                <w14:ligatures w14:val="none"/>
              </w:rPr>
            </w:pPr>
            <w:r w:rsidRPr="0013739E">
              <w:rPr>
                <w:rFonts w:ascii="Times New Roman" w:eastAsia="Times New Roman" w:hAnsi="Times New Roman" w:cs="Times New Roman"/>
                <w:color w:val="000000"/>
                <w:kern w:val="0"/>
                <w:szCs w:val="24"/>
                <w:lang w:eastAsia="en-IN"/>
                <w14:ligatures w14:val="none"/>
              </w:rPr>
              <w:t>12.69 (4.58)</w:t>
            </w:r>
          </w:p>
        </w:tc>
        <w:tc>
          <w:tcPr>
            <w:tcW w:w="1160" w:type="dxa"/>
            <w:tcBorders>
              <w:top w:val="nil"/>
              <w:left w:val="nil"/>
              <w:bottom w:val="single" w:sz="4" w:space="0" w:color="auto"/>
              <w:right w:val="single" w:sz="4" w:space="0" w:color="auto"/>
            </w:tcBorders>
            <w:noWrap/>
            <w:vAlign w:val="bottom"/>
            <w:hideMark/>
          </w:tcPr>
          <w:p w14:paraId="1FF22D31" w14:textId="292C9B7A" w:rsidR="00F42E63" w:rsidRPr="0013739E" w:rsidRDefault="00F42E63" w:rsidP="00F42E63">
            <w:pPr>
              <w:spacing w:after="0" w:line="240" w:lineRule="auto"/>
              <w:rPr>
                <w:rFonts w:ascii="Times New Roman" w:eastAsia="Times New Roman" w:hAnsi="Times New Roman" w:cs="Times New Roman"/>
                <w:color w:val="000000"/>
                <w:kern w:val="0"/>
                <w:szCs w:val="24"/>
                <w:lang w:eastAsia="en-IN"/>
                <w14:ligatures w14:val="none"/>
              </w:rPr>
            </w:pPr>
            <w:r w:rsidRPr="0013739E">
              <w:rPr>
                <w:rFonts w:ascii="Times New Roman" w:eastAsia="Times New Roman" w:hAnsi="Times New Roman" w:cs="Times New Roman"/>
                <w:color w:val="000000"/>
                <w:kern w:val="0"/>
                <w:szCs w:val="24"/>
                <w:lang w:eastAsia="en-IN"/>
                <w14:ligatures w14:val="none"/>
              </w:rPr>
              <w:t>16.11 (5.81)</w:t>
            </w:r>
          </w:p>
        </w:tc>
        <w:tc>
          <w:tcPr>
            <w:tcW w:w="1251" w:type="dxa"/>
            <w:tcBorders>
              <w:top w:val="nil"/>
              <w:left w:val="nil"/>
              <w:bottom w:val="single" w:sz="4" w:space="0" w:color="auto"/>
              <w:right w:val="single" w:sz="4" w:space="0" w:color="auto"/>
            </w:tcBorders>
            <w:noWrap/>
            <w:vAlign w:val="bottom"/>
            <w:hideMark/>
          </w:tcPr>
          <w:p w14:paraId="28BC7F07" w14:textId="6BBCB399" w:rsidR="00F42E63" w:rsidRPr="0013739E" w:rsidRDefault="00F42E63" w:rsidP="00F42E63">
            <w:pPr>
              <w:spacing w:after="0" w:line="240" w:lineRule="auto"/>
              <w:rPr>
                <w:rFonts w:ascii="Times New Roman" w:eastAsia="Times New Roman" w:hAnsi="Times New Roman" w:cs="Times New Roman"/>
                <w:color w:val="000000"/>
                <w:kern w:val="0"/>
                <w:szCs w:val="24"/>
                <w:lang w:eastAsia="en-IN"/>
                <w14:ligatures w14:val="none"/>
              </w:rPr>
            </w:pPr>
            <w:r w:rsidRPr="0013739E">
              <w:rPr>
                <w:rFonts w:ascii="Times New Roman" w:eastAsia="Times New Roman" w:hAnsi="Times New Roman" w:cs="Times New Roman"/>
                <w:color w:val="000000"/>
                <w:kern w:val="0"/>
                <w:szCs w:val="24"/>
                <w:lang w:eastAsia="en-IN"/>
                <w14:ligatures w14:val="none"/>
              </w:rPr>
              <w:t>1.13 (0.41)</w:t>
            </w:r>
          </w:p>
        </w:tc>
        <w:tc>
          <w:tcPr>
            <w:tcW w:w="1058" w:type="dxa"/>
            <w:tcBorders>
              <w:top w:val="nil"/>
              <w:left w:val="nil"/>
              <w:bottom w:val="single" w:sz="4" w:space="0" w:color="auto"/>
              <w:right w:val="single" w:sz="4" w:space="0" w:color="auto"/>
            </w:tcBorders>
            <w:noWrap/>
            <w:vAlign w:val="bottom"/>
            <w:hideMark/>
          </w:tcPr>
          <w:p w14:paraId="6261FB4B" w14:textId="2F15C9A2" w:rsidR="00F42E63" w:rsidRPr="0013739E" w:rsidRDefault="00F42E63" w:rsidP="00F42E63">
            <w:pPr>
              <w:spacing w:after="0" w:line="240" w:lineRule="auto"/>
              <w:rPr>
                <w:rFonts w:ascii="Times New Roman" w:eastAsia="Times New Roman" w:hAnsi="Times New Roman" w:cs="Times New Roman"/>
                <w:color w:val="000000"/>
                <w:kern w:val="0"/>
                <w:szCs w:val="24"/>
                <w:lang w:eastAsia="en-IN"/>
                <w14:ligatures w14:val="none"/>
              </w:rPr>
            </w:pPr>
            <w:r w:rsidRPr="0013739E">
              <w:rPr>
                <w:rFonts w:ascii="Times New Roman" w:eastAsia="Times New Roman" w:hAnsi="Times New Roman" w:cs="Times New Roman"/>
                <w:color w:val="000000"/>
                <w:kern w:val="0"/>
                <w:szCs w:val="24"/>
                <w:lang w:eastAsia="en-IN"/>
                <w14:ligatures w14:val="none"/>
              </w:rPr>
              <w:t>2.22 (0.80)</w:t>
            </w:r>
          </w:p>
        </w:tc>
        <w:tc>
          <w:tcPr>
            <w:tcW w:w="1731" w:type="dxa"/>
            <w:tcBorders>
              <w:top w:val="nil"/>
              <w:left w:val="nil"/>
              <w:bottom w:val="single" w:sz="4" w:space="0" w:color="auto"/>
              <w:right w:val="single" w:sz="4" w:space="0" w:color="auto"/>
            </w:tcBorders>
            <w:noWrap/>
            <w:vAlign w:val="bottom"/>
            <w:hideMark/>
          </w:tcPr>
          <w:p w14:paraId="63F25E96" w14:textId="1A95C07A" w:rsidR="00F42E63" w:rsidRPr="0013739E" w:rsidRDefault="00F42E63" w:rsidP="00F42E63">
            <w:pPr>
              <w:spacing w:after="0" w:line="240" w:lineRule="auto"/>
              <w:rPr>
                <w:rFonts w:ascii="Times New Roman" w:eastAsia="Times New Roman" w:hAnsi="Times New Roman" w:cs="Times New Roman"/>
                <w:color w:val="000000"/>
                <w:kern w:val="0"/>
                <w:szCs w:val="24"/>
                <w:lang w:eastAsia="en-IN"/>
                <w14:ligatures w14:val="none"/>
              </w:rPr>
            </w:pPr>
            <w:r w:rsidRPr="0013739E">
              <w:rPr>
                <w:rFonts w:ascii="Times New Roman" w:eastAsia="Times New Roman" w:hAnsi="Times New Roman" w:cs="Times New Roman"/>
                <w:color w:val="000000"/>
                <w:kern w:val="0"/>
                <w:szCs w:val="24"/>
                <w:lang w:eastAsia="en-IN"/>
                <w14:ligatures w14:val="none"/>
              </w:rPr>
              <w:t>4.43 (1.60)</w:t>
            </w:r>
          </w:p>
        </w:tc>
        <w:tc>
          <w:tcPr>
            <w:tcW w:w="1160" w:type="dxa"/>
            <w:tcBorders>
              <w:top w:val="nil"/>
              <w:left w:val="nil"/>
              <w:bottom w:val="single" w:sz="4" w:space="0" w:color="auto"/>
              <w:right w:val="single" w:sz="4" w:space="0" w:color="auto"/>
            </w:tcBorders>
            <w:noWrap/>
            <w:vAlign w:val="bottom"/>
            <w:hideMark/>
          </w:tcPr>
          <w:p w14:paraId="6423815F" w14:textId="5D18C9BA" w:rsidR="00F42E63" w:rsidRPr="0013739E" w:rsidRDefault="00F42E63" w:rsidP="00F42E63">
            <w:pPr>
              <w:spacing w:after="0" w:line="240" w:lineRule="auto"/>
              <w:rPr>
                <w:rFonts w:ascii="Times New Roman" w:eastAsia="Times New Roman" w:hAnsi="Times New Roman" w:cs="Times New Roman"/>
                <w:color w:val="000000"/>
                <w:kern w:val="0"/>
                <w:szCs w:val="24"/>
                <w:lang w:eastAsia="en-IN"/>
                <w14:ligatures w14:val="none"/>
              </w:rPr>
            </w:pPr>
            <w:r w:rsidRPr="0013739E">
              <w:rPr>
                <w:rFonts w:ascii="Times New Roman" w:eastAsia="Times New Roman" w:hAnsi="Times New Roman" w:cs="Times New Roman"/>
                <w:color w:val="000000"/>
                <w:kern w:val="0"/>
                <w:szCs w:val="24"/>
                <w:lang w:eastAsia="en-IN"/>
                <w14:ligatures w14:val="none"/>
              </w:rPr>
              <w:t>3.22</w:t>
            </w:r>
            <w:r w:rsidR="0015358A" w:rsidRPr="0013739E">
              <w:rPr>
                <w:rFonts w:ascii="Times New Roman" w:eastAsia="Times New Roman" w:hAnsi="Times New Roman" w:cs="Times New Roman"/>
                <w:color w:val="000000"/>
                <w:kern w:val="0"/>
                <w:szCs w:val="24"/>
                <w:lang w:eastAsia="en-IN"/>
                <w14:ligatures w14:val="none"/>
              </w:rPr>
              <w:t xml:space="preserve"> </w:t>
            </w:r>
            <w:r w:rsidRPr="0013739E">
              <w:rPr>
                <w:rFonts w:ascii="Times New Roman" w:eastAsia="Times New Roman" w:hAnsi="Times New Roman" w:cs="Times New Roman"/>
                <w:color w:val="000000"/>
                <w:kern w:val="0"/>
                <w:szCs w:val="24"/>
                <w:lang w:eastAsia="en-IN"/>
                <w14:ligatures w14:val="none"/>
              </w:rPr>
              <w:t>(1.16)</w:t>
            </w:r>
          </w:p>
        </w:tc>
        <w:tc>
          <w:tcPr>
            <w:tcW w:w="1463" w:type="dxa"/>
            <w:tcBorders>
              <w:top w:val="nil"/>
              <w:left w:val="nil"/>
              <w:bottom w:val="single" w:sz="4" w:space="0" w:color="auto"/>
              <w:right w:val="single" w:sz="4" w:space="0" w:color="auto"/>
            </w:tcBorders>
            <w:noWrap/>
            <w:vAlign w:val="bottom"/>
            <w:hideMark/>
          </w:tcPr>
          <w:p w14:paraId="41271465" w14:textId="5569B9CC" w:rsidR="00F42E63" w:rsidRPr="0013739E" w:rsidRDefault="00F42E63" w:rsidP="00F42E63">
            <w:pPr>
              <w:spacing w:after="0" w:line="240" w:lineRule="auto"/>
              <w:rPr>
                <w:rFonts w:ascii="Times New Roman" w:eastAsia="Times New Roman" w:hAnsi="Times New Roman" w:cs="Times New Roman"/>
                <w:color w:val="000000"/>
                <w:kern w:val="0"/>
                <w:szCs w:val="24"/>
                <w:lang w:eastAsia="en-IN"/>
                <w14:ligatures w14:val="none"/>
              </w:rPr>
            </w:pPr>
            <w:r w:rsidRPr="0013739E">
              <w:rPr>
                <w:rFonts w:ascii="Times New Roman" w:eastAsia="Times New Roman" w:hAnsi="Times New Roman" w:cs="Times New Roman"/>
                <w:color w:val="000000"/>
                <w:kern w:val="0"/>
                <w:szCs w:val="24"/>
                <w:lang w:eastAsia="en-IN"/>
                <w14:ligatures w14:val="none"/>
              </w:rPr>
              <w:t>277.28</w:t>
            </w:r>
            <w:r w:rsidR="0015358A" w:rsidRPr="0013739E">
              <w:rPr>
                <w:rFonts w:ascii="Times New Roman" w:eastAsia="Times New Roman" w:hAnsi="Times New Roman" w:cs="Times New Roman"/>
                <w:color w:val="000000"/>
                <w:kern w:val="0"/>
                <w:szCs w:val="24"/>
                <w:lang w:eastAsia="en-IN"/>
                <w14:ligatures w14:val="none"/>
              </w:rPr>
              <w:t xml:space="preserve"> </w:t>
            </w:r>
            <w:r w:rsidRPr="0013739E">
              <w:rPr>
                <w:rFonts w:ascii="Times New Roman" w:eastAsia="Times New Roman" w:hAnsi="Times New Roman" w:cs="Times New Roman"/>
                <w:color w:val="000000"/>
                <w:kern w:val="0"/>
                <w:szCs w:val="24"/>
                <w:lang w:eastAsia="en-IN"/>
                <w14:ligatures w14:val="none"/>
              </w:rPr>
              <w:t>(100.00)</w:t>
            </w:r>
          </w:p>
        </w:tc>
      </w:tr>
      <w:tr w:rsidR="00F42E63" w:rsidRPr="0013739E" w14:paraId="03B275C8" w14:textId="77777777" w:rsidTr="0013739E">
        <w:trPr>
          <w:trHeight w:val="21"/>
          <w:jc w:val="center"/>
        </w:trPr>
        <w:tc>
          <w:tcPr>
            <w:tcW w:w="14294" w:type="dxa"/>
            <w:gridSpan w:val="11"/>
            <w:tcBorders>
              <w:top w:val="single" w:sz="4" w:space="0" w:color="auto"/>
              <w:left w:val="single" w:sz="4" w:space="0" w:color="auto"/>
              <w:bottom w:val="single" w:sz="4" w:space="0" w:color="auto"/>
              <w:right w:val="single" w:sz="4" w:space="0" w:color="000000"/>
            </w:tcBorders>
            <w:noWrap/>
            <w:vAlign w:val="bottom"/>
            <w:hideMark/>
          </w:tcPr>
          <w:p w14:paraId="08857A53" w14:textId="77777777" w:rsidR="00F42E63" w:rsidRPr="0013739E" w:rsidRDefault="00F42E63" w:rsidP="00F42E63">
            <w:pPr>
              <w:spacing w:after="0" w:line="240" w:lineRule="auto"/>
              <w:jc w:val="center"/>
              <w:rPr>
                <w:rFonts w:ascii="Times New Roman" w:eastAsia="Times New Roman" w:hAnsi="Times New Roman" w:cs="Times New Roman"/>
                <w:b/>
                <w:bCs/>
                <w:color w:val="000000"/>
                <w:kern w:val="0"/>
                <w:szCs w:val="24"/>
                <w:lang w:eastAsia="en-IN"/>
                <w14:ligatures w14:val="none"/>
              </w:rPr>
            </w:pPr>
            <w:r w:rsidRPr="0013739E">
              <w:rPr>
                <w:rFonts w:ascii="Times New Roman" w:eastAsia="Times New Roman" w:hAnsi="Times New Roman" w:cs="Times New Roman"/>
                <w:b/>
                <w:bCs/>
                <w:color w:val="000000"/>
                <w:kern w:val="0"/>
                <w:szCs w:val="24"/>
                <w:lang w:eastAsia="en-IN"/>
                <w14:ligatures w14:val="none"/>
              </w:rPr>
              <w:t>Uttar Pradesh</w:t>
            </w:r>
          </w:p>
        </w:tc>
      </w:tr>
      <w:tr w:rsidR="00F42E63" w:rsidRPr="0013739E" w14:paraId="5B36E193" w14:textId="77777777" w:rsidTr="0013739E">
        <w:trPr>
          <w:trHeight w:val="21"/>
          <w:jc w:val="center"/>
        </w:trPr>
        <w:tc>
          <w:tcPr>
            <w:tcW w:w="1382" w:type="dxa"/>
            <w:tcBorders>
              <w:top w:val="nil"/>
              <w:left w:val="single" w:sz="4" w:space="0" w:color="auto"/>
              <w:bottom w:val="single" w:sz="4" w:space="0" w:color="auto"/>
              <w:right w:val="single" w:sz="4" w:space="0" w:color="auto"/>
            </w:tcBorders>
            <w:noWrap/>
            <w:vAlign w:val="bottom"/>
            <w:hideMark/>
          </w:tcPr>
          <w:p w14:paraId="705D32E6" w14:textId="77777777" w:rsidR="00F42E63" w:rsidRPr="0013739E" w:rsidRDefault="00F42E63" w:rsidP="00F42E63">
            <w:pPr>
              <w:spacing w:after="0" w:line="240" w:lineRule="auto"/>
              <w:rPr>
                <w:rFonts w:ascii="Times New Roman" w:eastAsia="Times New Roman" w:hAnsi="Times New Roman" w:cs="Times New Roman"/>
                <w:color w:val="000000"/>
                <w:kern w:val="0"/>
                <w:szCs w:val="24"/>
                <w:lang w:eastAsia="en-IN"/>
                <w14:ligatures w14:val="none"/>
              </w:rPr>
            </w:pPr>
            <w:r w:rsidRPr="0013739E">
              <w:rPr>
                <w:rFonts w:ascii="Times New Roman" w:eastAsia="Times New Roman" w:hAnsi="Times New Roman" w:cs="Times New Roman"/>
                <w:color w:val="000000"/>
                <w:kern w:val="0"/>
                <w:szCs w:val="24"/>
                <w:lang w:eastAsia="en-IN"/>
                <w14:ligatures w14:val="none"/>
              </w:rPr>
              <w:t>1961-62</w:t>
            </w:r>
          </w:p>
        </w:tc>
        <w:tc>
          <w:tcPr>
            <w:tcW w:w="1261" w:type="dxa"/>
            <w:tcBorders>
              <w:top w:val="nil"/>
              <w:left w:val="nil"/>
              <w:bottom w:val="single" w:sz="4" w:space="0" w:color="auto"/>
              <w:right w:val="single" w:sz="4" w:space="0" w:color="auto"/>
            </w:tcBorders>
            <w:noWrap/>
            <w:vAlign w:val="bottom"/>
            <w:hideMark/>
          </w:tcPr>
          <w:p w14:paraId="42769911" w14:textId="036B83F1" w:rsidR="00F42E63" w:rsidRPr="0013739E" w:rsidRDefault="00F42E63" w:rsidP="00F42E63">
            <w:pPr>
              <w:spacing w:after="0" w:line="240" w:lineRule="auto"/>
              <w:rPr>
                <w:rFonts w:ascii="Times New Roman" w:eastAsia="Times New Roman" w:hAnsi="Times New Roman" w:cs="Times New Roman"/>
                <w:color w:val="000000"/>
                <w:kern w:val="0"/>
                <w:szCs w:val="24"/>
                <w:lang w:eastAsia="en-IN"/>
                <w14:ligatures w14:val="none"/>
              </w:rPr>
            </w:pPr>
            <w:r w:rsidRPr="0013739E">
              <w:rPr>
                <w:rFonts w:ascii="Times New Roman" w:eastAsia="Times New Roman" w:hAnsi="Times New Roman" w:cs="Times New Roman"/>
                <w:color w:val="000000"/>
                <w:kern w:val="0"/>
                <w:szCs w:val="24"/>
                <w:lang w:eastAsia="en-IN"/>
                <w14:ligatures w14:val="none"/>
              </w:rPr>
              <w:t>21.12 (13.72)</w:t>
            </w:r>
          </w:p>
        </w:tc>
        <w:tc>
          <w:tcPr>
            <w:tcW w:w="1261" w:type="dxa"/>
            <w:tcBorders>
              <w:top w:val="nil"/>
              <w:left w:val="nil"/>
              <w:bottom w:val="single" w:sz="4" w:space="0" w:color="auto"/>
              <w:right w:val="single" w:sz="4" w:space="0" w:color="auto"/>
            </w:tcBorders>
            <w:noWrap/>
            <w:vAlign w:val="bottom"/>
            <w:hideMark/>
          </w:tcPr>
          <w:p w14:paraId="5ADAF039" w14:textId="540DCF8D" w:rsidR="00F42E63" w:rsidRPr="0013739E" w:rsidRDefault="00F42E63" w:rsidP="00F42E63">
            <w:pPr>
              <w:spacing w:after="0" w:line="240" w:lineRule="auto"/>
              <w:rPr>
                <w:rFonts w:ascii="Times New Roman" w:eastAsia="Times New Roman" w:hAnsi="Times New Roman" w:cs="Times New Roman"/>
                <w:color w:val="000000"/>
                <w:kern w:val="0"/>
                <w:szCs w:val="24"/>
                <w:lang w:eastAsia="en-IN"/>
                <w14:ligatures w14:val="none"/>
              </w:rPr>
            </w:pPr>
            <w:r w:rsidRPr="0013739E">
              <w:rPr>
                <w:rFonts w:ascii="Times New Roman" w:eastAsia="Times New Roman" w:hAnsi="Times New Roman" w:cs="Times New Roman"/>
                <w:color w:val="000000"/>
                <w:kern w:val="0"/>
                <w:szCs w:val="24"/>
                <w:lang w:eastAsia="en-IN"/>
                <w14:ligatures w14:val="none"/>
              </w:rPr>
              <w:t>13.02 (8.46)</w:t>
            </w:r>
          </w:p>
        </w:tc>
        <w:tc>
          <w:tcPr>
            <w:tcW w:w="1160" w:type="dxa"/>
            <w:tcBorders>
              <w:top w:val="nil"/>
              <w:left w:val="nil"/>
              <w:bottom w:val="single" w:sz="4" w:space="0" w:color="auto"/>
              <w:right w:val="single" w:sz="4" w:space="0" w:color="auto"/>
            </w:tcBorders>
            <w:noWrap/>
            <w:vAlign w:val="bottom"/>
            <w:hideMark/>
          </w:tcPr>
          <w:p w14:paraId="1C3EACC0" w14:textId="473BB722" w:rsidR="00F42E63" w:rsidRPr="0013739E" w:rsidRDefault="00F42E63" w:rsidP="00F42E63">
            <w:pPr>
              <w:spacing w:after="0" w:line="240" w:lineRule="auto"/>
              <w:rPr>
                <w:rFonts w:ascii="Times New Roman" w:eastAsia="Times New Roman" w:hAnsi="Times New Roman" w:cs="Times New Roman"/>
                <w:color w:val="000000"/>
                <w:kern w:val="0"/>
                <w:szCs w:val="24"/>
                <w:lang w:eastAsia="en-IN"/>
                <w14:ligatures w14:val="none"/>
              </w:rPr>
            </w:pPr>
            <w:r w:rsidRPr="0013739E">
              <w:rPr>
                <w:rFonts w:ascii="Times New Roman" w:eastAsia="Times New Roman" w:hAnsi="Times New Roman" w:cs="Times New Roman"/>
                <w:color w:val="000000"/>
                <w:kern w:val="0"/>
                <w:szCs w:val="24"/>
                <w:lang w:eastAsia="en-IN"/>
                <w14:ligatures w14:val="none"/>
              </w:rPr>
              <w:t>3.43 (2.23)</w:t>
            </w:r>
          </w:p>
        </w:tc>
        <w:tc>
          <w:tcPr>
            <w:tcW w:w="1393" w:type="dxa"/>
            <w:tcBorders>
              <w:top w:val="nil"/>
              <w:left w:val="nil"/>
              <w:bottom w:val="single" w:sz="4" w:space="0" w:color="auto"/>
              <w:right w:val="single" w:sz="4" w:space="0" w:color="auto"/>
            </w:tcBorders>
            <w:noWrap/>
            <w:vAlign w:val="bottom"/>
            <w:hideMark/>
          </w:tcPr>
          <w:p w14:paraId="2B7606C3" w14:textId="629C510D" w:rsidR="00F42E63" w:rsidRPr="0013739E" w:rsidRDefault="00F42E63" w:rsidP="00F42E63">
            <w:pPr>
              <w:spacing w:after="0" w:line="240" w:lineRule="auto"/>
              <w:rPr>
                <w:rFonts w:ascii="Times New Roman" w:eastAsia="Times New Roman" w:hAnsi="Times New Roman" w:cs="Times New Roman"/>
                <w:color w:val="000000"/>
                <w:kern w:val="0"/>
                <w:szCs w:val="24"/>
                <w:lang w:eastAsia="en-IN"/>
                <w14:ligatures w14:val="none"/>
              </w:rPr>
            </w:pPr>
            <w:r w:rsidRPr="0013739E">
              <w:rPr>
                <w:rFonts w:ascii="Times New Roman" w:eastAsia="Times New Roman" w:hAnsi="Times New Roman" w:cs="Times New Roman"/>
                <w:color w:val="000000"/>
                <w:kern w:val="0"/>
                <w:szCs w:val="24"/>
                <w:lang w:eastAsia="en-IN"/>
                <w14:ligatures w14:val="none"/>
              </w:rPr>
              <w:t>5.00 (3.25)</w:t>
            </w:r>
          </w:p>
        </w:tc>
        <w:tc>
          <w:tcPr>
            <w:tcW w:w="1160" w:type="dxa"/>
            <w:tcBorders>
              <w:top w:val="nil"/>
              <w:left w:val="nil"/>
              <w:bottom w:val="single" w:sz="4" w:space="0" w:color="auto"/>
              <w:right w:val="single" w:sz="4" w:space="0" w:color="auto"/>
            </w:tcBorders>
            <w:noWrap/>
            <w:vAlign w:val="bottom"/>
            <w:hideMark/>
          </w:tcPr>
          <w:p w14:paraId="69EE257A" w14:textId="2F557043" w:rsidR="00F42E63" w:rsidRPr="0013739E" w:rsidRDefault="00F42E63" w:rsidP="00F42E63">
            <w:pPr>
              <w:spacing w:after="0" w:line="240" w:lineRule="auto"/>
              <w:rPr>
                <w:rFonts w:ascii="Times New Roman" w:eastAsia="Times New Roman" w:hAnsi="Times New Roman" w:cs="Times New Roman"/>
                <w:color w:val="000000"/>
                <w:kern w:val="0"/>
                <w:szCs w:val="24"/>
                <w:lang w:eastAsia="en-IN"/>
                <w14:ligatures w14:val="none"/>
              </w:rPr>
            </w:pPr>
            <w:r w:rsidRPr="0013739E">
              <w:rPr>
                <w:rFonts w:ascii="Times New Roman" w:eastAsia="Times New Roman" w:hAnsi="Times New Roman" w:cs="Times New Roman"/>
                <w:color w:val="000000"/>
                <w:kern w:val="0"/>
                <w:szCs w:val="24"/>
                <w:lang w:eastAsia="en-IN"/>
                <w14:ligatures w14:val="none"/>
              </w:rPr>
              <w:t>7.26 (4.71)</w:t>
            </w:r>
          </w:p>
        </w:tc>
        <w:tc>
          <w:tcPr>
            <w:tcW w:w="1251" w:type="dxa"/>
            <w:tcBorders>
              <w:top w:val="nil"/>
              <w:left w:val="nil"/>
              <w:bottom w:val="single" w:sz="4" w:space="0" w:color="auto"/>
              <w:right w:val="single" w:sz="4" w:space="0" w:color="auto"/>
            </w:tcBorders>
            <w:noWrap/>
            <w:vAlign w:val="bottom"/>
            <w:hideMark/>
          </w:tcPr>
          <w:p w14:paraId="7020B3D3" w14:textId="4AE91AFA" w:rsidR="00F42E63" w:rsidRPr="0013739E" w:rsidRDefault="00F42E63" w:rsidP="00F42E63">
            <w:pPr>
              <w:spacing w:after="0" w:line="240" w:lineRule="auto"/>
              <w:rPr>
                <w:rFonts w:ascii="Times New Roman" w:eastAsia="Times New Roman" w:hAnsi="Times New Roman" w:cs="Times New Roman"/>
                <w:color w:val="000000"/>
                <w:kern w:val="0"/>
                <w:szCs w:val="24"/>
                <w:lang w:eastAsia="en-IN"/>
                <w14:ligatures w14:val="none"/>
              </w:rPr>
            </w:pPr>
            <w:r w:rsidRPr="0013739E">
              <w:rPr>
                <w:rFonts w:ascii="Times New Roman" w:eastAsia="Times New Roman" w:hAnsi="Times New Roman" w:cs="Times New Roman"/>
                <w:color w:val="000000"/>
                <w:kern w:val="0"/>
                <w:szCs w:val="24"/>
                <w:lang w:eastAsia="en-IN"/>
                <w14:ligatures w14:val="none"/>
              </w:rPr>
              <w:t>1.50 (0.98)</w:t>
            </w:r>
          </w:p>
        </w:tc>
        <w:tc>
          <w:tcPr>
            <w:tcW w:w="1058" w:type="dxa"/>
            <w:tcBorders>
              <w:top w:val="nil"/>
              <w:left w:val="nil"/>
              <w:bottom w:val="single" w:sz="4" w:space="0" w:color="auto"/>
              <w:right w:val="single" w:sz="4" w:space="0" w:color="auto"/>
            </w:tcBorders>
            <w:noWrap/>
            <w:vAlign w:val="bottom"/>
            <w:hideMark/>
          </w:tcPr>
          <w:p w14:paraId="319FA52E" w14:textId="71E51B7F" w:rsidR="00F42E63" w:rsidRPr="0013739E" w:rsidRDefault="00F42E63" w:rsidP="00F42E63">
            <w:pPr>
              <w:spacing w:after="0" w:line="240" w:lineRule="auto"/>
              <w:rPr>
                <w:rFonts w:ascii="Times New Roman" w:eastAsia="Times New Roman" w:hAnsi="Times New Roman" w:cs="Times New Roman"/>
                <w:color w:val="000000"/>
                <w:kern w:val="0"/>
                <w:szCs w:val="24"/>
                <w:lang w:eastAsia="en-IN"/>
                <w14:ligatures w14:val="none"/>
              </w:rPr>
            </w:pPr>
            <w:r w:rsidRPr="0013739E">
              <w:rPr>
                <w:rFonts w:ascii="Times New Roman" w:eastAsia="Times New Roman" w:hAnsi="Times New Roman" w:cs="Times New Roman"/>
                <w:color w:val="000000"/>
                <w:kern w:val="0"/>
                <w:szCs w:val="24"/>
                <w:lang w:eastAsia="en-IN"/>
                <w14:ligatures w14:val="none"/>
              </w:rPr>
              <w:t>0.64 (0.42)</w:t>
            </w:r>
          </w:p>
        </w:tc>
        <w:tc>
          <w:tcPr>
            <w:tcW w:w="1731" w:type="dxa"/>
            <w:tcBorders>
              <w:top w:val="nil"/>
              <w:left w:val="nil"/>
              <w:bottom w:val="single" w:sz="4" w:space="0" w:color="auto"/>
              <w:right w:val="single" w:sz="4" w:space="0" w:color="auto"/>
            </w:tcBorders>
            <w:noWrap/>
            <w:vAlign w:val="bottom"/>
            <w:hideMark/>
          </w:tcPr>
          <w:p w14:paraId="5490B58B" w14:textId="7E05C409" w:rsidR="00F42E63" w:rsidRPr="0013739E" w:rsidRDefault="00F42E63" w:rsidP="00F42E63">
            <w:pPr>
              <w:spacing w:after="0" w:line="240" w:lineRule="auto"/>
              <w:rPr>
                <w:rFonts w:ascii="Times New Roman" w:eastAsia="Times New Roman" w:hAnsi="Times New Roman" w:cs="Times New Roman"/>
                <w:color w:val="000000"/>
                <w:kern w:val="0"/>
                <w:szCs w:val="24"/>
                <w:lang w:eastAsia="en-IN"/>
                <w14:ligatures w14:val="none"/>
              </w:rPr>
            </w:pPr>
            <w:r w:rsidRPr="0013739E">
              <w:rPr>
                <w:rFonts w:ascii="Times New Roman" w:eastAsia="Times New Roman" w:hAnsi="Times New Roman" w:cs="Times New Roman"/>
                <w:color w:val="000000"/>
                <w:kern w:val="0"/>
                <w:szCs w:val="24"/>
                <w:lang w:eastAsia="en-IN"/>
                <w14:ligatures w14:val="none"/>
              </w:rPr>
              <w:t>2.33 (1.51)</w:t>
            </w:r>
          </w:p>
        </w:tc>
        <w:tc>
          <w:tcPr>
            <w:tcW w:w="1160" w:type="dxa"/>
            <w:tcBorders>
              <w:top w:val="nil"/>
              <w:left w:val="nil"/>
              <w:bottom w:val="single" w:sz="4" w:space="0" w:color="auto"/>
              <w:right w:val="single" w:sz="4" w:space="0" w:color="auto"/>
            </w:tcBorders>
            <w:noWrap/>
            <w:vAlign w:val="bottom"/>
            <w:hideMark/>
          </w:tcPr>
          <w:p w14:paraId="4E917B8C" w14:textId="389330A3" w:rsidR="00F42E63" w:rsidRPr="0013739E" w:rsidRDefault="00F42E63" w:rsidP="00F42E63">
            <w:pPr>
              <w:spacing w:after="0" w:line="240" w:lineRule="auto"/>
              <w:rPr>
                <w:rFonts w:ascii="Times New Roman" w:eastAsia="Times New Roman" w:hAnsi="Times New Roman" w:cs="Times New Roman"/>
                <w:color w:val="000000"/>
                <w:kern w:val="0"/>
                <w:szCs w:val="24"/>
                <w:lang w:eastAsia="en-IN"/>
                <w14:ligatures w14:val="none"/>
              </w:rPr>
            </w:pPr>
            <w:r w:rsidRPr="0013739E">
              <w:rPr>
                <w:rFonts w:ascii="Times New Roman" w:eastAsia="Times New Roman" w:hAnsi="Times New Roman" w:cs="Times New Roman"/>
                <w:color w:val="000000"/>
                <w:kern w:val="0"/>
                <w:szCs w:val="24"/>
                <w:lang w:eastAsia="en-IN"/>
                <w14:ligatures w14:val="none"/>
              </w:rPr>
              <w:t>7.44</w:t>
            </w:r>
            <w:r w:rsidR="0015358A" w:rsidRPr="0013739E">
              <w:rPr>
                <w:rFonts w:ascii="Times New Roman" w:eastAsia="Times New Roman" w:hAnsi="Times New Roman" w:cs="Times New Roman"/>
                <w:color w:val="000000"/>
                <w:kern w:val="0"/>
                <w:szCs w:val="24"/>
                <w:lang w:eastAsia="en-IN"/>
                <w14:ligatures w14:val="none"/>
              </w:rPr>
              <w:t xml:space="preserve"> </w:t>
            </w:r>
            <w:r w:rsidRPr="0013739E">
              <w:rPr>
                <w:rFonts w:ascii="Times New Roman" w:eastAsia="Times New Roman" w:hAnsi="Times New Roman" w:cs="Times New Roman"/>
                <w:color w:val="000000"/>
                <w:kern w:val="0"/>
                <w:szCs w:val="24"/>
                <w:lang w:eastAsia="en-IN"/>
                <w14:ligatures w14:val="none"/>
              </w:rPr>
              <w:t>(4.83)</w:t>
            </w:r>
          </w:p>
        </w:tc>
        <w:tc>
          <w:tcPr>
            <w:tcW w:w="1463" w:type="dxa"/>
            <w:tcBorders>
              <w:top w:val="nil"/>
              <w:left w:val="nil"/>
              <w:bottom w:val="single" w:sz="4" w:space="0" w:color="auto"/>
              <w:right w:val="single" w:sz="4" w:space="0" w:color="auto"/>
            </w:tcBorders>
            <w:noWrap/>
            <w:vAlign w:val="bottom"/>
            <w:hideMark/>
          </w:tcPr>
          <w:p w14:paraId="3E3D92D6" w14:textId="77777777" w:rsidR="00F42E63" w:rsidRPr="0013739E" w:rsidRDefault="00F42E63" w:rsidP="00F42E63">
            <w:pPr>
              <w:spacing w:after="0" w:line="240" w:lineRule="auto"/>
              <w:rPr>
                <w:rFonts w:ascii="Times New Roman" w:eastAsia="Times New Roman" w:hAnsi="Times New Roman" w:cs="Times New Roman"/>
                <w:color w:val="000000"/>
                <w:kern w:val="0"/>
                <w:szCs w:val="24"/>
                <w:lang w:eastAsia="en-IN"/>
                <w14:ligatures w14:val="none"/>
              </w:rPr>
            </w:pPr>
            <w:r w:rsidRPr="0013739E">
              <w:rPr>
                <w:rFonts w:ascii="Times New Roman" w:eastAsia="Times New Roman" w:hAnsi="Times New Roman" w:cs="Times New Roman"/>
                <w:color w:val="000000"/>
                <w:kern w:val="0"/>
                <w:szCs w:val="24"/>
                <w:lang w:eastAsia="en-IN"/>
                <w14:ligatures w14:val="none"/>
              </w:rPr>
              <w:t>153.99 (100.00)</w:t>
            </w:r>
          </w:p>
        </w:tc>
      </w:tr>
      <w:tr w:rsidR="00F42E63" w:rsidRPr="0013739E" w14:paraId="2B67B278" w14:textId="77777777" w:rsidTr="0013739E">
        <w:trPr>
          <w:trHeight w:val="21"/>
          <w:jc w:val="center"/>
        </w:trPr>
        <w:tc>
          <w:tcPr>
            <w:tcW w:w="1382" w:type="dxa"/>
            <w:tcBorders>
              <w:top w:val="nil"/>
              <w:left w:val="single" w:sz="4" w:space="0" w:color="auto"/>
              <w:bottom w:val="single" w:sz="4" w:space="0" w:color="auto"/>
              <w:right w:val="single" w:sz="4" w:space="0" w:color="auto"/>
            </w:tcBorders>
            <w:noWrap/>
            <w:vAlign w:val="bottom"/>
            <w:hideMark/>
          </w:tcPr>
          <w:p w14:paraId="6378A954" w14:textId="77777777" w:rsidR="00F42E63" w:rsidRPr="0013739E" w:rsidRDefault="00F42E63" w:rsidP="00F42E63">
            <w:pPr>
              <w:spacing w:after="0" w:line="240" w:lineRule="auto"/>
              <w:rPr>
                <w:rFonts w:ascii="Times New Roman" w:eastAsia="Times New Roman" w:hAnsi="Times New Roman" w:cs="Times New Roman"/>
                <w:color w:val="000000"/>
                <w:kern w:val="0"/>
                <w:szCs w:val="24"/>
                <w:lang w:eastAsia="en-IN"/>
                <w14:ligatures w14:val="none"/>
              </w:rPr>
            </w:pPr>
            <w:r w:rsidRPr="0013739E">
              <w:rPr>
                <w:rFonts w:ascii="Times New Roman" w:eastAsia="Times New Roman" w:hAnsi="Times New Roman" w:cs="Times New Roman"/>
                <w:color w:val="000000"/>
                <w:kern w:val="0"/>
                <w:szCs w:val="24"/>
                <w:lang w:eastAsia="en-IN"/>
                <w14:ligatures w14:val="none"/>
              </w:rPr>
              <w:t>1965-66</w:t>
            </w:r>
          </w:p>
        </w:tc>
        <w:tc>
          <w:tcPr>
            <w:tcW w:w="1261" w:type="dxa"/>
            <w:tcBorders>
              <w:top w:val="nil"/>
              <w:left w:val="nil"/>
              <w:bottom w:val="single" w:sz="4" w:space="0" w:color="auto"/>
              <w:right w:val="single" w:sz="4" w:space="0" w:color="auto"/>
            </w:tcBorders>
            <w:noWrap/>
            <w:vAlign w:val="bottom"/>
            <w:hideMark/>
          </w:tcPr>
          <w:p w14:paraId="2704EF0F" w14:textId="77777777" w:rsidR="00F42E63" w:rsidRPr="0013739E" w:rsidRDefault="00F42E63" w:rsidP="00F42E63">
            <w:pPr>
              <w:spacing w:after="0" w:line="240" w:lineRule="auto"/>
              <w:jc w:val="right"/>
              <w:rPr>
                <w:rFonts w:ascii="Times New Roman" w:eastAsia="Times New Roman" w:hAnsi="Times New Roman" w:cs="Times New Roman"/>
                <w:color w:val="000000"/>
                <w:kern w:val="0"/>
                <w:szCs w:val="24"/>
                <w:lang w:eastAsia="en-IN"/>
                <w14:ligatures w14:val="none"/>
              </w:rPr>
            </w:pPr>
            <w:r w:rsidRPr="0013739E">
              <w:rPr>
                <w:rFonts w:ascii="Times New Roman" w:eastAsia="Times New Roman" w:hAnsi="Times New Roman" w:cs="Times New Roman"/>
                <w:color w:val="000000"/>
                <w:kern w:val="0"/>
                <w:szCs w:val="24"/>
                <w:lang w:eastAsia="en-IN"/>
                <w14:ligatures w14:val="none"/>
              </w:rPr>
              <w:t>24.1</w:t>
            </w:r>
          </w:p>
        </w:tc>
        <w:tc>
          <w:tcPr>
            <w:tcW w:w="1261" w:type="dxa"/>
            <w:tcBorders>
              <w:top w:val="nil"/>
              <w:left w:val="nil"/>
              <w:bottom w:val="single" w:sz="4" w:space="0" w:color="auto"/>
              <w:right w:val="single" w:sz="4" w:space="0" w:color="auto"/>
            </w:tcBorders>
            <w:noWrap/>
            <w:vAlign w:val="bottom"/>
            <w:hideMark/>
          </w:tcPr>
          <w:p w14:paraId="0353C960" w14:textId="77777777" w:rsidR="00F42E63" w:rsidRPr="0013739E" w:rsidRDefault="00F42E63" w:rsidP="00F42E63">
            <w:pPr>
              <w:spacing w:after="0" w:line="240" w:lineRule="auto"/>
              <w:jc w:val="right"/>
              <w:rPr>
                <w:rFonts w:ascii="Times New Roman" w:eastAsia="Times New Roman" w:hAnsi="Times New Roman" w:cs="Times New Roman"/>
                <w:color w:val="000000"/>
                <w:kern w:val="0"/>
                <w:szCs w:val="24"/>
                <w:lang w:eastAsia="en-IN"/>
                <w14:ligatures w14:val="none"/>
              </w:rPr>
            </w:pPr>
            <w:r w:rsidRPr="0013739E">
              <w:rPr>
                <w:rFonts w:ascii="Times New Roman" w:eastAsia="Times New Roman" w:hAnsi="Times New Roman" w:cs="Times New Roman"/>
                <w:color w:val="000000"/>
                <w:kern w:val="0"/>
                <w:szCs w:val="24"/>
                <w:lang w:eastAsia="en-IN"/>
                <w14:ligatures w14:val="none"/>
              </w:rPr>
              <w:t>24.85</w:t>
            </w:r>
          </w:p>
        </w:tc>
        <w:tc>
          <w:tcPr>
            <w:tcW w:w="1160" w:type="dxa"/>
            <w:tcBorders>
              <w:top w:val="nil"/>
              <w:left w:val="nil"/>
              <w:bottom w:val="single" w:sz="4" w:space="0" w:color="auto"/>
              <w:right w:val="single" w:sz="4" w:space="0" w:color="auto"/>
            </w:tcBorders>
            <w:noWrap/>
            <w:vAlign w:val="bottom"/>
            <w:hideMark/>
          </w:tcPr>
          <w:p w14:paraId="406120D2" w14:textId="77777777" w:rsidR="00F42E63" w:rsidRPr="0013739E" w:rsidRDefault="00F42E63" w:rsidP="00F42E63">
            <w:pPr>
              <w:spacing w:after="0" w:line="240" w:lineRule="auto"/>
              <w:jc w:val="right"/>
              <w:rPr>
                <w:rFonts w:ascii="Times New Roman" w:eastAsia="Times New Roman" w:hAnsi="Times New Roman" w:cs="Times New Roman"/>
                <w:color w:val="000000"/>
                <w:kern w:val="0"/>
                <w:szCs w:val="24"/>
                <w:lang w:eastAsia="en-IN"/>
                <w14:ligatures w14:val="none"/>
              </w:rPr>
            </w:pPr>
            <w:r w:rsidRPr="0013739E">
              <w:rPr>
                <w:rFonts w:ascii="Times New Roman" w:eastAsia="Times New Roman" w:hAnsi="Times New Roman" w:cs="Times New Roman"/>
                <w:color w:val="000000"/>
                <w:kern w:val="0"/>
                <w:szCs w:val="24"/>
                <w:lang w:eastAsia="en-IN"/>
                <w14:ligatures w14:val="none"/>
              </w:rPr>
              <w:t>4.42</w:t>
            </w:r>
          </w:p>
        </w:tc>
        <w:tc>
          <w:tcPr>
            <w:tcW w:w="1393" w:type="dxa"/>
            <w:tcBorders>
              <w:top w:val="nil"/>
              <w:left w:val="nil"/>
              <w:bottom w:val="single" w:sz="4" w:space="0" w:color="auto"/>
              <w:right w:val="single" w:sz="4" w:space="0" w:color="auto"/>
            </w:tcBorders>
            <w:noWrap/>
            <w:vAlign w:val="bottom"/>
            <w:hideMark/>
          </w:tcPr>
          <w:p w14:paraId="6934F3ED" w14:textId="77777777" w:rsidR="00F42E63" w:rsidRPr="0013739E" w:rsidRDefault="00F42E63" w:rsidP="00F42E63">
            <w:pPr>
              <w:spacing w:after="0" w:line="240" w:lineRule="auto"/>
              <w:jc w:val="right"/>
              <w:rPr>
                <w:rFonts w:ascii="Times New Roman" w:eastAsia="Times New Roman" w:hAnsi="Times New Roman" w:cs="Times New Roman"/>
                <w:color w:val="000000"/>
                <w:kern w:val="0"/>
                <w:szCs w:val="24"/>
                <w:lang w:eastAsia="en-IN"/>
                <w14:ligatures w14:val="none"/>
              </w:rPr>
            </w:pPr>
            <w:r w:rsidRPr="0013739E">
              <w:rPr>
                <w:rFonts w:ascii="Times New Roman" w:eastAsia="Times New Roman" w:hAnsi="Times New Roman" w:cs="Times New Roman"/>
                <w:color w:val="000000"/>
                <w:kern w:val="0"/>
                <w:szCs w:val="24"/>
                <w:lang w:eastAsia="en-IN"/>
                <w14:ligatures w14:val="none"/>
              </w:rPr>
              <w:t>8.01</w:t>
            </w:r>
          </w:p>
        </w:tc>
        <w:tc>
          <w:tcPr>
            <w:tcW w:w="1160" w:type="dxa"/>
            <w:tcBorders>
              <w:top w:val="nil"/>
              <w:left w:val="nil"/>
              <w:bottom w:val="single" w:sz="4" w:space="0" w:color="auto"/>
              <w:right w:val="single" w:sz="4" w:space="0" w:color="auto"/>
            </w:tcBorders>
            <w:noWrap/>
            <w:vAlign w:val="bottom"/>
            <w:hideMark/>
          </w:tcPr>
          <w:p w14:paraId="2F7EC190" w14:textId="77777777" w:rsidR="00F42E63" w:rsidRPr="0013739E" w:rsidRDefault="00F42E63" w:rsidP="00F42E63">
            <w:pPr>
              <w:spacing w:after="0" w:line="240" w:lineRule="auto"/>
              <w:jc w:val="right"/>
              <w:rPr>
                <w:rFonts w:ascii="Times New Roman" w:eastAsia="Times New Roman" w:hAnsi="Times New Roman" w:cs="Times New Roman"/>
                <w:color w:val="000000"/>
                <w:kern w:val="0"/>
                <w:szCs w:val="24"/>
                <w:lang w:eastAsia="en-IN"/>
                <w14:ligatures w14:val="none"/>
              </w:rPr>
            </w:pPr>
            <w:r w:rsidRPr="0013739E">
              <w:rPr>
                <w:rFonts w:ascii="Times New Roman" w:eastAsia="Times New Roman" w:hAnsi="Times New Roman" w:cs="Times New Roman"/>
                <w:color w:val="000000"/>
                <w:kern w:val="0"/>
                <w:szCs w:val="24"/>
                <w:lang w:eastAsia="en-IN"/>
                <w14:ligatures w14:val="none"/>
              </w:rPr>
              <w:t>19.36</w:t>
            </w:r>
          </w:p>
        </w:tc>
        <w:tc>
          <w:tcPr>
            <w:tcW w:w="1251" w:type="dxa"/>
            <w:tcBorders>
              <w:top w:val="nil"/>
              <w:left w:val="nil"/>
              <w:bottom w:val="single" w:sz="4" w:space="0" w:color="auto"/>
              <w:right w:val="single" w:sz="4" w:space="0" w:color="auto"/>
            </w:tcBorders>
            <w:noWrap/>
            <w:vAlign w:val="bottom"/>
            <w:hideMark/>
          </w:tcPr>
          <w:p w14:paraId="2CD46B75" w14:textId="77777777" w:rsidR="00F42E63" w:rsidRPr="0013739E" w:rsidRDefault="00F42E63" w:rsidP="00F42E63">
            <w:pPr>
              <w:spacing w:after="0" w:line="240" w:lineRule="auto"/>
              <w:jc w:val="right"/>
              <w:rPr>
                <w:rFonts w:ascii="Times New Roman" w:eastAsia="Times New Roman" w:hAnsi="Times New Roman" w:cs="Times New Roman"/>
                <w:color w:val="000000"/>
                <w:kern w:val="0"/>
                <w:szCs w:val="24"/>
                <w:lang w:eastAsia="en-IN"/>
                <w14:ligatures w14:val="none"/>
              </w:rPr>
            </w:pPr>
            <w:r w:rsidRPr="0013739E">
              <w:rPr>
                <w:rFonts w:ascii="Times New Roman" w:eastAsia="Times New Roman" w:hAnsi="Times New Roman" w:cs="Times New Roman"/>
                <w:color w:val="000000"/>
                <w:kern w:val="0"/>
                <w:szCs w:val="24"/>
                <w:lang w:eastAsia="en-IN"/>
                <w14:ligatures w14:val="none"/>
              </w:rPr>
              <w:t>2.43</w:t>
            </w:r>
          </w:p>
        </w:tc>
        <w:tc>
          <w:tcPr>
            <w:tcW w:w="1058" w:type="dxa"/>
            <w:tcBorders>
              <w:top w:val="nil"/>
              <w:left w:val="nil"/>
              <w:bottom w:val="single" w:sz="4" w:space="0" w:color="auto"/>
              <w:right w:val="single" w:sz="4" w:space="0" w:color="auto"/>
            </w:tcBorders>
            <w:noWrap/>
            <w:vAlign w:val="bottom"/>
            <w:hideMark/>
          </w:tcPr>
          <w:p w14:paraId="6C2B3F8B" w14:textId="77777777" w:rsidR="00F42E63" w:rsidRPr="0013739E" w:rsidRDefault="00F42E63" w:rsidP="00F42E63">
            <w:pPr>
              <w:spacing w:after="0" w:line="240" w:lineRule="auto"/>
              <w:jc w:val="right"/>
              <w:rPr>
                <w:rFonts w:ascii="Times New Roman" w:eastAsia="Times New Roman" w:hAnsi="Times New Roman" w:cs="Times New Roman"/>
                <w:color w:val="000000"/>
                <w:kern w:val="0"/>
                <w:szCs w:val="24"/>
                <w:lang w:eastAsia="en-IN"/>
                <w14:ligatures w14:val="none"/>
              </w:rPr>
            </w:pPr>
            <w:r w:rsidRPr="0013739E">
              <w:rPr>
                <w:rFonts w:ascii="Times New Roman" w:eastAsia="Times New Roman" w:hAnsi="Times New Roman" w:cs="Times New Roman"/>
                <w:color w:val="000000"/>
                <w:kern w:val="0"/>
                <w:szCs w:val="24"/>
                <w:lang w:eastAsia="en-IN"/>
                <w14:ligatures w14:val="none"/>
              </w:rPr>
              <w:t>1.23</w:t>
            </w:r>
          </w:p>
        </w:tc>
        <w:tc>
          <w:tcPr>
            <w:tcW w:w="1731" w:type="dxa"/>
            <w:tcBorders>
              <w:top w:val="nil"/>
              <w:left w:val="nil"/>
              <w:bottom w:val="single" w:sz="4" w:space="0" w:color="auto"/>
              <w:right w:val="single" w:sz="4" w:space="0" w:color="auto"/>
            </w:tcBorders>
            <w:noWrap/>
            <w:vAlign w:val="bottom"/>
            <w:hideMark/>
          </w:tcPr>
          <w:p w14:paraId="5231A1BE" w14:textId="77777777" w:rsidR="00F42E63" w:rsidRPr="0013739E" w:rsidRDefault="00F42E63" w:rsidP="00F42E63">
            <w:pPr>
              <w:spacing w:after="0" w:line="240" w:lineRule="auto"/>
              <w:jc w:val="right"/>
              <w:rPr>
                <w:rFonts w:ascii="Times New Roman" w:eastAsia="Times New Roman" w:hAnsi="Times New Roman" w:cs="Times New Roman"/>
                <w:color w:val="000000"/>
                <w:kern w:val="0"/>
                <w:szCs w:val="24"/>
                <w:lang w:eastAsia="en-IN"/>
                <w14:ligatures w14:val="none"/>
              </w:rPr>
            </w:pPr>
            <w:r w:rsidRPr="0013739E">
              <w:rPr>
                <w:rFonts w:ascii="Times New Roman" w:eastAsia="Times New Roman" w:hAnsi="Times New Roman" w:cs="Times New Roman"/>
                <w:color w:val="000000"/>
                <w:kern w:val="0"/>
                <w:szCs w:val="24"/>
                <w:lang w:eastAsia="en-IN"/>
                <w14:ligatures w14:val="none"/>
              </w:rPr>
              <w:t>2.37</w:t>
            </w:r>
          </w:p>
        </w:tc>
        <w:tc>
          <w:tcPr>
            <w:tcW w:w="1160" w:type="dxa"/>
            <w:tcBorders>
              <w:top w:val="nil"/>
              <w:left w:val="nil"/>
              <w:bottom w:val="single" w:sz="4" w:space="0" w:color="auto"/>
              <w:right w:val="single" w:sz="4" w:space="0" w:color="auto"/>
            </w:tcBorders>
            <w:noWrap/>
            <w:vAlign w:val="bottom"/>
            <w:hideMark/>
          </w:tcPr>
          <w:p w14:paraId="5516E5BE" w14:textId="77777777" w:rsidR="00F42E63" w:rsidRPr="0013739E" w:rsidRDefault="00F42E63" w:rsidP="00F42E63">
            <w:pPr>
              <w:spacing w:after="0" w:line="240" w:lineRule="auto"/>
              <w:jc w:val="right"/>
              <w:rPr>
                <w:rFonts w:ascii="Times New Roman" w:eastAsia="Times New Roman" w:hAnsi="Times New Roman" w:cs="Times New Roman"/>
                <w:color w:val="000000"/>
                <w:kern w:val="0"/>
                <w:szCs w:val="24"/>
                <w:lang w:eastAsia="en-IN"/>
                <w14:ligatures w14:val="none"/>
              </w:rPr>
            </w:pPr>
            <w:r w:rsidRPr="0013739E">
              <w:rPr>
                <w:rFonts w:ascii="Times New Roman" w:eastAsia="Times New Roman" w:hAnsi="Times New Roman" w:cs="Times New Roman"/>
                <w:color w:val="000000"/>
                <w:kern w:val="0"/>
                <w:szCs w:val="24"/>
                <w:lang w:eastAsia="en-IN"/>
                <w14:ligatures w14:val="none"/>
              </w:rPr>
              <w:t>14.26</w:t>
            </w:r>
          </w:p>
        </w:tc>
        <w:tc>
          <w:tcPr>
            <w:tcW w:w="1463" w:type="dxa"/>
            <w:tcBorders>
              <w:top w:val="nil"/>
              <w:left w:val="nil"/>
              <w:bottom w:val="single" w:sz="4" w:space="0" w:color="auto"/>
              <w:right w:val="single" w:sz="4" w:space="0" w:color="auto"/>
            </w:tcBorders>
            <w:noWrap/>
            <w:vAlign w:val="bottom"/>
            <w:hideMark/>
          </w:tcPr>
          <w:p w14:paraId="6A787D31" w14:textId="77777777" w:rsidR="00F42E63" w:rsidRPr="0013739E" w:rsidRDefault="00F42E63" w:rsidP="00F42E63">
            <w:pPr>
              <w:spacing w:after="0" w:line="240" w:lineRule="auto"/>
              <w:jc w:val="right"/>
              <w:rPr>
                <w:rFonts w:ascii="Times New Roman" w:eastAsia="Times New Roman" w:hAnsi="Times New Roman" w:cs="Times New Roman"/>
                <w:color w:val="000000"/>
                <w:kern w:val="0"/>
                <w:szCs w:val="24"/>
                <w:lang w:eastAsia="en-IN"/>
                <w14:ligatures w14:val="none"/>
              </w:rPr>
            </w:pPr>
            <w:r w:rsidRPr="0013739E">
              <w:rPr>
                <w:rFonts w:ascii="Times New Roman" w:eastAsia="Times New Roman" w:hAnsi="Times New Roman" w:cs="Times New Roman"/>
                <w:color w:val="000000"/>
                <w:kern w:val="0"/>
                <w:szCs w:val="24"/>
                <w:lang w:eastAsia="en-IN"/>
                <w14:ligatures w14:val="none"/>
              </w:rPr>
              <w:t>263.97</w:t>
            </w:r>
          </w:p>
        </w:tc>
      </w:tr>
      <w:tr w:rsidR="00F42E63" w:rsidRPr="0013739E" w14:paraId="7DF13362" w14:textId="77777777" w:rsidTr="0013739E">
        <w:trPr>
          <w:trHeight w:val="21"/>
          <w:jc w:val="center"/>
        </w:trPr>
        <w:tc>
          <w:tcPr>
            <w:tcW w:w="1382" w:type="dxa"/>
            <w:tcBorders>
              <w:top w:val="nil"/>
              <w:left w:val="single" w:sz="4" w:space="0" w:color="auto"/>
              <w:bottom w:val="single" w:sz="4" w:space="0" w:color="auto"/>
              <w:right w:val="single" w:sz="4" w:space="0" w:color="auto"/>
            </w:tcBorders>
            <w:noWrap/>
            <w:vAlign w:val="bottom"/>
            <w:hideMark/>
          </w:tcPr>
          <w:p w14:paraId="44366E20" w14:textId="77777777" w:rsidR="00F42E63" w:rsidRPr="0013739E" w:rsidRDefault="00F42E63" w:rsidP="00F42E63">
            <w:pPr>
              <w:spacing w:after="0" w:line="240" w:lineRule="auto"/>
              <w:rPr>
                <w:rFonts w:ascii="Times New Roman" w:eastAsia="Times New Roman" w:hAnsi="Times New Roman" w:cs="Times New Roman"/>
                <w:color w:val="000000"/>
                <w:kern w:val="0"/>
                <w:szCs w:val="24"/>
                <w:lang w:eastAsia="en-IN"/>
                <w14:ligatures w14:val="none"/>
              </w:rPr>
            </w:pPr>
            <w:r w:rsidRPr="0013739E">
              <w:rPr>
                <w:rFonts w:ascii="Times New Roman" w:eastAsia="Times New Roman" w:hAnsi="Times New Roman" w:cs="Times New Roman"/>
                <w:color w:val="000000"/>
                <w:kern w:val="0"/>
                <w:szCs w:val="24"/>
                <w:lang w:eastAsia="en-IN"/>
                <w14:ligatures w14:val="none"/>
              </w:rPr>
              <w:t>1966-67</w:t>
            </w:r>
          </w:p>
        </w:tc>
        <w:tc>
          <w:tcPr>
            <w:tcW w:w="1261" w:type="dxa"/>
            <w:tcBorders>
              <w:top w:val="nil"/>
              <w:left w:val="nil"/>
              <w:bottom w:val="single" w:sz="4" w:space="0" w:color="auto"/>
              <w:right w:val="single" w:sz="4" w:space="0" w:color="auto"/>
            </w:tcBorders>
            <w:noWrap/>
            <w:vAlign w:val="bottom"/>
            <w:hideMark/>
          </w:tcPr>
          <w:p w14:paraId="772B94DE" w14:textId="77777777" w:rsidR="00F42E63" w:rsidRPr="0013739E" w:rsidRDefault="00F42E63" w:rsidP="00F42E63">
            <w:pPr>
              <w:spacing w:after="0" w:line="240" w:lineRule="auto"/>
              <w:jc w:val="right"/>
              <w:rPr>
                <w:rFonts w:ascii="Times New Roman" w:eastAsia="Times New Roman" w:hAnsi="Times New Roman" w:cs="Times New Roman"/>
                <w:color w:val="000000"/>
                <w:kern w:val="0"/>
                <w:szCs w:val="24"/>
                <w:lang w:eastAsia="en-IN"/>
                <w14:ligatures w14:val="none"/>
              </w:rPr>
            </w:pPr>
            <w:r w:rsidRPr="0013739E">
              <w:rPr>
                <w:rFonts w:ascii="Times New Roman" w:eastAsia="Times New Roman" w:hAnsi="Times New Roman" w:cs="Times New Roman"/>
                <w:color w:val="000000"/>
                <w:kern w:val="0"/>
                <w:szCs w:val="24"/>
                <w:lang w:eastAsia="en-IN"/>
                <w14:ligatures w14:val="none"/>
              </w:rPr>
              <w:t>20.49</w:t>
            </w:r>
          </w:p>
        </w:tc>
        <w:tc>
          <w:tcPr>
            <w:tcW w:w="1261" w:type="dxa"/>
            <w:tcBorders>
              <w:top w:val="nil"/>
              <w:left w:val="nil"/>
              <w:bottom w:val="single" w:sz="4" w:space="0" w:color="auto"/>
              <w:right w:val="single" w:sz="4" w:space="0" w:color="auto"/>
            </w:tcBorders>
            <w:noWrap/>
            <w:vAlign w:val="bottom"/>
            <w:hideMark/>
          </w:tcPr>
          <w:p w14:paraId="5DFB0148" w14:textId="77777777" w:rsidR="00F42E63" w:rsidRPr="0013739E" w:rsidRDefault="00F42E63" w:rsidP="00F42E63">
            <w:pPr>
              <w:spacing w:after="0" w:line="240" w:lineRule="auto"/>
              <w:jc w:val="right"/>
              <w:rPr>
                <w:rFonts w:ascii="Times New Roman" w:eastAsia="Times New Roman" w:hAnsi="Times New Roman" w:cs="Times New Roman"/>
                <w:color w:val="000000"/>
                <w:kern w:val="0"/>
                <w:szCs w:val="24"/>
                <w:lang w:eastAsia="en-IN"/>
                <w14:ligatures w14:val="none"/>
              </w:rPr>
            </w:pPr>
            <w:r w:rsidRPr="0013739E">
              <w:rPr>
                <w:rFonts w:ascii="Times New Roman" w:eastAsia="Times New Roman" w:hAnsi="Times New Roman" w:cs="Times New Roman"/>
                <w:color w:val="000000"/>
                <w:kern w:val="0"/>
                <w:szCs w:val="24"/>
                <w:lang w:eastAsia="en-IN"/>
                <w14:ligatures w14:val="none"/>
              </w:rPr>
              <w:t>30.13</w:t>
            </w:r>
          </w:p>
        </w:tc>
        <w:tc>
          <w:tcPr>
            <w:tcW w:w="1160" w:type="dxa"/>
            <w:tcBorders>
              <w:top w:val="nil"/>
              <w:left w:val="nil"/>
              <w:bottom w:val="single" w:sz="4" w:space="0" w:color="auto"/>
              <w:right w:val="single" w:sz="4" w:space="0" w:color="auto"/>
            </w:tcBorders>
            <w:noWrap/>
            <w:vAlign w:val="bottom"/>
            <w:hideMark/>
          </w:tcPr>
          <w:p w14:paraId="016D1215" w14:textId="77777777" w:rsidR="00F42E63" w:rsidRPr="0013739E" w:rsidRDefault="00F42E63" w:rsidP="00F42E63">
            <w:pPr>
              <w:spacing w:after="0" w:line="240" w:lineRule="auto"/>
              <w:jc w:val="right"/>
              <w:rPr>
                <w:rFonts w:ascii="Times New Roman" w:eastAsia="Times New Roman" w:hAnsi="Times New Roman" w:cs="Times New Roman"/>
                <w:color w:val="000000"/>
                <w:kern w:val="0"/>
                <w:szCs w:val="24"/>
                <w:lang w:eastAsia="en-IN"/>
                <w14:ligatures w14:val="none"/>
              </w:rPr>
            </w:pPr>
            <w:r w:rsidRPr="0013739E">
              <w:rPr>
                <w:rFonts w:ascii="Times New Roman" w:eastAsia="Times New Roman" w:hAnsi="Times New Roman" w:cs="Times New Roman"/>
                <w:color w:val="000000"/>
                <w:kern w:val="0"/>
                <w:szCs w:val="24"/>
                <w:lang w:eastAsia="en-IN"/>
                <w14:ligatures w14:val="none"/>
              </w:rPr>
              <w:t>4.45</w:t>
            </w:r>
          </w:p>
        </w:tc>
        <w:tc>
          <w:tcPr>
            <w:tcW w:w="1393" w:type="dxa"/>
            <w:tcBorders>
              <w:top w:val="nil"/>
              <w:left w:val="nil"/>
              <w:bottom w:val="single" w:sz="4" w:space="0" w:color="auto"/>
              <w:right w:val="single" w:sz="4" w:space="0" w:color="auto"/>
            </w:tcBorders>
            <w:noWrap/>
            <w:vAlign w:val="bottom"/>
            <w:hideMark/>
          </w:tcPr>
          <w:p w14:paraId="505B6AD2" w14:textId="77777777" w:rsidR="00F42E63" w:rsidRPr="0013739E" w:rsidRDefault="00F42E63" w:rsidP="00F42E63">
            <w:pPr>
              <w:spacing w:after="0" w:line="240" w:lineRule="auto"/>
              <w:jc w:val="right"/>
              <w:rPr>
                <w:rFonts w:ascii="Times New Roman" w:eastAsia="Times New Roman" w:hAnsi="Times New Roman" w:cs="Times New Roman"/>
                <w:color w:val="000000"/>
                <w:kern w:val="0"/>
                <w:szCs w:val="24"/>
                <w:lang w:eastAsia="en-IN"/>
                <w14:ligatures w14:val="none"/>
              </w:rPr>
            </w:pPr>
            <w:r w:rsidRPr="0013739E">
              <w:rPr>
                <w:rFonts w:ascii="Times New Roman" w:eastAsia="Times New Roman" w:hAnsi="Times New Roman" w:cs="Times New Roman"/>
                <w:color w:val="000000"/>
                <w:kern w:val="0"/>
                <w:szCs w:val="24"/>
                <w:lang w:eastAsia="en-IN"/>
                <w14:ligatures w14:val="none"/>
              </w:rPr>
              <w:t>8.95</w:t>
            </w:r>
          </w:p>
        </w:tc>
        <w:tc>
          <w:tcPr>
            <w:tcW w:w="1160" w:type="dxa"/>
            <w:tcBorders>
              <w:top w:val="nil"/>
              <w:left w:val="nil"/>
              <w:bottom w:val="single" w:sz="4" w:space="0" w:color="auto"/>
              <w:right w:val="single" w:sz="4" w:space="0" w:color="auto"/>
            </w:tcBorders>
            <w:noWrap/>
            <w:vAlign w:val="bottom"/>
            <w:hideMark/>
          </w:tcPr>
          <w:p w14:paraId="5E1DE729" w14:textId="77777777" w:rsidR="00F42E63" w:rsidRPr="0013739E" w:rsidRDefault="00F42E63" w:rsidP="00F42E63">
            <w:pPr>
              <w:spacing w:after="0" w:line="240" w:lineRule="auto"/>
              <w:jc w:val="right"/>
              <w:rPr>
                <w:rFonts w:ascii="Times New Roman" w:eastAsia="Times New Roman" w:hAnsi="Times New Roman" w:cs="Times New Roman"/>
                <w:color w:val="000000"/>
                <w:kern w:val="0"/>
                <w:szCs w:val="24"/>
                <w:lang w:eastAsia="en-IN"/>
                <w14:ligatures w14:val="none"/>
              </w:rPr>
            </w:pPr>
            <w:r w:rsidRPr="0013739E">
              <w:rPr>
                <w:rFonts w:ascii="Times New Roman" w:eastAsia="Times New Roman" w:hAnsi="Times New Roman" w:cs="Times New Roman"/>
                <w:color w:val="000000"/>
                <w:kern w:val="0"/>
                <w:szCs w:val="24"/>
                <w:lang w:eastAsia="en-IN"/>
                <w14:ligatures w14:val="none"/>
              </w:rPr>
              <w:t>21.06</w:t>
            </w:r>
          </w:p>
        </w:tc>
        <w:tc>
          <w:tcPr>
            <w:tcW w:w="1251" w:type="dxa"/>
            <w:tcBorders>
              <w:top w:val="nil"/>
              <w:left w:val="nil"/>
              <w:bottom w:val="single" w:sz="4" w:space="0" w:color="auto"/>
              <w:right w:val="single" w:sz="4" w:space="0" w:color="auto"/>
            </w:tcBorders>
            <w:noWrap/>
            <w:vAlign w:val="bottom"/>
            <w:hideMark/>
          </w:tcPr>
          <w:p w14:paraId="3C39F247" w14:textId="77777777" w:rsidR="00F42E63" w:rsidRPr="0013739E" w:rsidRDefault="00F42E63" w:rsidP="00F42E63">
            <w:pPr>
              <w:spacing w:after="0" w:line="240" w:lineRule="auto"/>
              <w:jc w:val="right"/>
              <w:rPr>
                <w:rFonts w:ascii="Times New Roman" w:eastAsia="Times New Roman" w:hAnsi="Times New Roman" w:cs="Times New Roman"/>
                <w:color w:val="000000"/>
                <w:kern w:val="0"/>
                <w:szCs w:val="24"/>
                <w:lang w:eastAsia="en-IN"/>
                <w14:ligatures w14:val="none"/>
              </w:rPr>
            </w:pPr>
            <w:r w:rsidRPr="0013739E">
              <w:rPr>
                <w:rFonts w:ascii="Times New Roman" w:eastAsia="Times New Roman" w:hAnsi="Times New Roman" w:cs="Times New Roman"/>
                <w:color w:val="000000"/>
                <w:kern w:val="0"/>
                <w:szCs w:val="24"/>
                <w:lang w:eastAsia="en-IN"/>
                <w14:ligatures w14:val="none"/>
              </w:rPr>
              <w:t>2.7</w:t>
            </w:r>
          </w:p>
        </w:tc>
        <w:tc>
          <w:tcPr>
            <w:tcW w:w="1058" w:type="dxa"/>
            <w:tcBorders>
              <w:top w:val="nil"/>
              <w:left w:val="nil"/>
              <w:bottom w:val="single" w:sz="4" w:space="0" w:color="auto"/>
              <w:right w:val="single" w:sz="4" w:space="0" w:color="auto"/>
            </w:tcBorders>
            <w:noWrap/>
            <w:vAlign w:val="bottom"/>
            <w:hideMark/>
          </w:tcPr>
          <w:p w14:paraId="1610543A" w14:textId="77777777" w:rsidR="00F42E63" w:rsidRPr="0013739E" w:rsidRDefault="00F42E63" w:rsidP="00F42E63">
            <w:pPr>
              <w:spacing w:after="0" w:line="240" w:lineRule="auto"/>
              <w:jc w:val="right"/>
              <w:rPr>
                <w:rFonts w:ascii="Times New Roman" w:eastAsia="Times New Roman" w:hAnsi="Times New Roman" w:cs="Times New Roman"/>
                <w:color w:val="000000"/>
                <w:kern w:val="0"/>
                <w:szCs w:val="24"/>
                <w:lang w:eastAsia="en-IN"/>
                <w14:ligatures w14:val="none"/>
              </w:rPr>
            </w:pPr>
            <w:r w:rsidRPr="0013739E">
              <w:rPr>
                <w:rFonts w:ascii="Times New Roman" w:eastAsia="Times New Roman" w:hAnsi="Times New Roman" w:cs="Times New Roman"/>
                <w:color w:val="000000"/>
                <w:kern w:val="0"/>
                <w:szCs w:val="24"/>
                <w:lang w:eastAsia="en-IN"/>
                <w14:ligatures w14:val="none"/>
              </w:rPr>
              <w:t>1.12</w:t>
            </w:r>
          </w:p>
        </w:tc>
        <w:tc>
          <w:tcPr>
            <w:tcW w:w="1731" w:type="dxa"/>
            <w:tcBorders>
              <w:top w:val="nil"/>
              <w:left w:val="nil"/>
              <w:bottom w:val="single" w:sz="4" w:space="0" w:color="auto"/>
              <w:right w:val="single" w:sz="4" w:space="0" w:color="auto"/>
            </w:tcBorders>
            <w:noWrap/>
            <w:vAlign w:val="bottom"/>
            <w:hideMark/>
          </w:tcPr>
          <w:p w14:paraId="0B7C0506" w14:textId="77777777" w:rsidR="00F42E63" w:rsidRPr="0013739E" w:rsidRDefault="00F42E63" w:rsidP="00F42E63">
            <w:pPr>
              <w:spacing w:after="0" w:line="240" w:lineRule="auto"/>
              <w:jc w:val="right"/>
              <w:rPr>
                <w:rFonts w:ascii="Times New Roman" w:eastAsia="Times New Roman" w:hAnsi="Times New Roman" w:cs="Times New Roman"/>
                <w:color w:val="000000"/>
                <w:kern w:val="0"/>
                <w:szCs w:val="24"/>
                <w:lang w:eastAsia="en-IN"/>
                <w14:ligatures w14:val="none"/>
              </w:rPr>
            </w:pPr>
            <w:r w:rsidRPr="0013739E">
              <w:rPr>
                <w:rFonts w:ascii="Times New Roman" w:eastAsia="Times New Roman" w:hAnsi="Times New Roman" w:cs="Times New Roman"/>
                <w:color w:val="000000"/>
                <w:kern w:val="0"/>
                <w:szCs w:val="24"/>
                <w:lang w:eastAsia="en-IN"/>
                <w14:ligatures w14:val="none"/>
              </w:rPr>
              <w:t>2.72</w:t>
            </w:r>
          </w:p>
        </w:tc>
        <w:tc>
          <w:tcPr>
            <w:tcW w:w="1160" w:type="dxa"/>
            <w:tcBorders>
              <w:top w:val="nil"/>
              <w:left w:val="nil"/>
              <w:bottom w:val="single" w:sz="4" w:space="0" w:color="auto"/>
              <w:right w:val="single" w:sz="4" w:space="0" w:color="auto"/>
            </w:tcBorders>
            <w:noWrap/>
            <w:vAlign w:val="bottom"/>
            <w:hideMark/>
          </w:tcPr>
          <w:p w14:paraId="2FD96364" w14:textId="77777777" w:rsidR="00F42E63" w:rsidRPr="0013739E" w:rsidRDefault="00F42E63" w:rsidP="00F42E63">
            <w:pPr>
              <w:spacing w:after="0" w:line="240" w:lineRule="auto"/>
              <w:jc w:val="right"/>
              <w:rPr>
                <w:rFonts w:ascii="Times New Roman" w:eastAsia="Times New Roman" w:hAnsi="Times New Roman" w:cs="Times New Roman"/>
                <w:color w:val="000000"/>
                <w:kern w:val="0"/>
                <w:szCs w:val="24"/>
                <w:lang w:eastAsia="en-IN"/>
                <w14:ligatures w14:val="none"/>
              </w:rPr>
            </w:pPr>
            <w:r w:rsidRPr="0013739E">
              <w:rPr>
                <w:rFonts w:ascii="Times New Roman" w:eastAsia="Times New Roman" w:hAnsi="Times New Roman" w:cs="Times New Roman"/>
                <w:color w:val="000000"/>
                <w:kern w:val="0"/>
                <w:szCs w:val="24"/>
                <w:lang w:eastAsia="en-IN"/>
                <w14:ligatures w14:val="none"/>
              </w:rPr>
              <w:t>15.42</w:t>
            </w:r>
          </w:p>
        </w:tc>
        <w:tc>
          <w:tcPr>
            <w:tcW w:w="1463" w:type="dxa"/>
            <w:tcBorders>
              <w:top w:val="nil"/>
              <w:left w:val="nil"/>
              <w:bottom w:val="single" w:sz="4" w:space="0" w:color="auto"/>
              <w:right w:val="single" w:sz="4" w:space="0" w:color="auto"/>
            </w:tcBorders>
            <w:noWrap/>
            <w:vAlign w:val="bottom"/>
            <w:hideMark/>
          </w:tcPr>
          <w:p w14:paraId="41C6AD3F" w14:textId="77777777" w:rsidR="00F42E63" w:rsidRPr="0013739E" w:rsidRDefault="00F42E63" w:rsidP="00F42E63">
            <w:pPr>
              <w:spacing w:after="0" w:line="240" w:lineRule="auto"/>
              <w:jc w:val="right"/>
              <w:rPr>
                <w:rFonts w:ascii="Times New Roman" w:eastAsia="Times New Roman" w:hAnsi="Times New Roman" w:cs="Times New Roman"/>
                <w:color w:val="000000"/>
                <w:kern w:val="0"/>
                <w:szCs w:val="24"/>
                <w:lang w:eastAsia="en-IN"/>
                <w14:ligatures w14:val="none"/>
              </w:rPr>
            </w:pPr>
            <w:r w:rsidRPr="0013739E">
              <w:rPr>
                <w:rFonts w:ascii="Times New Roman" w:eastAsia="Times New Roman" w:hAnsi="Times New Roman" w:cs="Times New Roman"/>
                <w:color w:val="000000"/>
                <w:kern w:val="0"/>
                <w:szCs w:val="24"/>
                <w:lang w:eastAsia="en-IN"/>
                <w14:ligatures w14:val="none"/>
              </w:rPr>
              <w:t>300.87</w:t>
            </w:r>
          </w:p>
        </w:tc>
      </w:tr>
      <w:tr w:rsidR="00F42E63" w:rsidRPr="0013739E" w14:paraId="46EED985" w14:textId="77777777" w:rsidTr="0013739E">
        <w:trPr>
          <w:trHeight w:val="21"/>
          <w:jc w:val="center"/>
        </w:trPr>
        <w:tc>
          <w:tcPr>
            <w:tcW w:w="1382" w:type="dxa"/>
            <w:tcBorders>
              <w:top w:val="nil"/>
              <w:left w:val="single" w:sz="4" w:space="0" w:color="auto"/>
              <w:bottom w:val="single" w:sz="4" w:space="0" w:color="auto"/>
              <w:right w:val="single" w:sz="4" w:space="0" w:color="auto"/>
            </w:tcBorders>
            <w:noWrap/>
            <w:vAlign w:val="bottom"/>
            <w:hideMark/>
          </w:tcPr>
          <w:p w14:paraId="294D2D37" w14:textId="77777777" w:rsidR="00F42E63" w:rsidRPr="0013739E" w:rsidRDefault="00F42E63" w:rsidP="00F42E63">
            <w:pPr>
              <w:spacing w:after="0" w:line="240" w:lineRule="auto"/>
              <w:rPr>
                <w:rFonts w:ascii="Times New Roman" w:eastAsia="Times New Roman" w:hAnsi="Times New Roman" w:cs="Times New Roman"/>
                <w:color w:val="000000"/>
                <w:kern w:val="0"/>
                <w:szCs w:val="24"/>
                <w:lang w:eastAsia="en-IN"/>
                <w14:ligatures w14:val="none"/>
              </w:rPr>
            </w:pPr>
            <w:r w:rsidRPr="0013739E">
              <w:rPr>
                <w:rFonts w:ascii="Times New Roman" w:eastAsia="Times New Roman" w:hAnsi="Times New Roman" w:cs="Times New Roman"/>
                <w:color w:val="000000"/>
                <w:kern w:val="0"/>
                <w:szCs w:val="24"/>
                <w:lang w:eastAsia="en-IN"/>
                <w14:ligatures w14:val="none"/>
              </w:rPr>
              <w:t>1967-68</w:t>
            </w:r>
          </w:p>
        </w:tc>
        <w:tc>
          <w:tcPr>
            <w:tcW w:w="1261" w:type="dxa"/>
            <w:tcBorders>
              <w:top w:val="nil"/>
              <w:left w:val="nil"/>
              <w:bottom w:val="single" w:sz="4" w:space="0" w:color="auto"/>
              <w:right w:val="single" w:sz="4" w:space="0" w:color="auto"/>
            </w:tcBorders>
            <w:noWrap/>
            <w:vAlign w:val="bottom"/>
            <w:hideMark/>
          </w:tcPr>
          <w:p w14:paraId="10CC5F24" w14:textId="77777777" w:rsidR="00F42E63" w:rsidRPr="0013739E" w:rsidRDefault="00F42E63" w:rsidP="00F42E63">
            <w:pPr>
              <w:spacing w:after="0" w:line="240" w:lineRule="auto"/>
              <w:jc w:val="right"/>
              <w:rPr>
                <w:rFonts w:ascii="Times New Roman" w:eastAsia="Times New Roman" w:hAnsi="Times New Roman" w:cs="Times New Roman"/>
                <w:color w:val="000000"/>
                <w:kern w:val="0"/>
                <w:szCs w:val="24"/>
                <w:lang w:eastAsia="en-IN"/>
                <w14:ligatures w14:val="none"/>
              </w:rPr>
            </w:pPr>
            <w:r w:rsidRPr="0013739E">
              <w:rPr>
                <w:rFonts w:ascii="Times New Roman" w:eastAsia="Times New Roman" w:hAnsi="Times New Roman" w:cs="Times New Roman"/>
                <w:color w:val="000000"/>
                <w:kern w:val="0"/>
                <w:szCs w:val="24"/>
                <w:lang w:eastAsia="en-IN"/>
                <w14:ligatures w14:val="none"/>
              </w:rPr>
              <w:t>25.33</w:t>
            </w:r>
          </w:p>
        </w:tc>
        <w:tc>
          <w:tcPr>
            <w:tcW w:w="1261" w:type="dxa"/>
            <w:tcBorders>
              <w:top w:val="nil"/>
              <w:left w:val="nil"/>
              <w:bottom w:val="single" w:sz="4" w:space="0" w:color="auto"/>
              <w:right w:val="single" w:sz="4" w:space="0" w:color="auto"/>
            </w:tcBorders>
            <w:noWrap/>
            <w:vAlign w:val="bottom"/>
            <w:hideMark/>
          </w:tcPr>
          <w:p w14:paraId="0B6A987C" w14:textId="77777777" w:rsidR="00F42E63" w:rsidRPr="0013739E" w:rsidRDefault="00F42E63" w:rsidP="00F42E63">
            <w:pPr>
              <w:spacing w:after="0" w:line="240" w:lineRule="auto"/>
              <w:jc w:val="right"/>
              <w:rPr>
                <w:rFonts w:ascii="Times New Roman" w:eastAsia="Times New Roman" w:hAnsi="Times New Roman" w:cs="Times New Roman"/>
                <w:color w:val="000000"/>
                <w:kern w:val="0"/>
                <w:szCs w:val="24"/>
                <w:lang w:eastAsia="en-IN"/>
                <w14:ligatures w14:val="none"/>
              </w:rPr>
            </w:pPr>
            <w:r w:rsidRPr="0013739E">
              <w:rPr>
                <w:rFonts w:ascii="Times New Roman" w:eastAsia="Times New Roman" w:hAnsi="Times New Roman" w:cs="Times New Roman"/>
                <w:color w:val="000000"/>
                <w:kern w:val="0"/>
                <w:szCs w:val="24"/>
                <w:lang w:eastAsia="en-IN"/>
                <w14:ligatures w14:val="none"/>
              </w:rPr>
              <w:t>38.03</w:t>
            </w:r>
          </w:p>
        </w:tc>
        <w:tc>
          <w:tcPr>
            <w:tcW w:w="1160" w:type="dxa"/>
            <w:tcBorders>
              <w:top w:val="nil"/>
              <w:left w:val="nil"/>
              <w:bottom w:val="single" w:sz="4" w:space="0" w:color="auto"/>
              <w:right w:val="single" w:sz="4" w:space="0" w:color="auto"/>
            </w:tcBorders>
            <w:noWrap/>
            <w:vAlign w:val="bottom"/>
            <w:hideMark/>
          </w:tcPr>
          <w:p w14:paraId="13688D90" w14:textId="77777777" w:rsidR="00F42E63" w:rsidRPr="0013739E" w:rsidRDefault="00F42E63" w:rsidP="00F42E63">
            <w:pPr>
              <w:spacing w:after="0" w:line="240" w:lineRule="auto"/>
              <w:jc w:val="right"/>
              <w:rPr>
                <w:rFonts w:ascii="Times New Roman" w:eastAsia="Times New Roman" w:hAnsi="Times New Roman" w:cs="Times New Roman"/>
                <w:color w:val="000000"/>
                <w:kern w:val="0"/>
                <w:szCs w:val="24"/>
                <w:lang w:eastAsia="en-IN"/>
                <w14:ligatures w14:val="none"/>
              </w:rPr>
            </w:pPr>
            <w:r w:rsidRPr="0013739E">
              <w:rPr>
                <w:rFonts w:ascii="Times New Roman" w:eastAsia="Times New Roman" w:hAnsi="Times New Roman" w:cs="Times New Roman"/>
                <w:color w:val="000000"/>
                <w:kern w:val="0"/>
                <w:szCs w:val="24"/>
                <w:lang w:eastAsia="en-IN"/>
                <w14:ligatures w14:val="none"/>
              </w:rPr>
              <w:t>5.29</w:t>
            </w:r>
          </w:p>
        </w:tc>
        <w:tc>
          <w:tcPr>
            <w:tcW w:w="1393" w:type="dxa"/>
            <w:tcBorders>
              <w:top w:val="nil"/>
              <w:left w:val="nil"/>
              <w:bottom w:val="single" w:sz="4" w:space="0" w:color="auto"/>
              <w:right w:val="single" w:sz="4" w:space="0" w:color="auto"/>
            </w:tcBorders>
            <w:noWrap/>
            <w:vAlign w:val="bottom"/>
            <w:hideMark/>
          </w:tcPr>
          <w:p w14:paraId="2D0B8FDA" w14:textId="77777777" w:rsidR="00F42E63" w:rsidRPr="0013739E" w:rsidRDefault="00F42E63" w:rsidP="00F42E63">
            <w:pPr>
              <w:spacing w:after="0" w:line="240" w:lineRule="auto"/>
              <w:jc w:val="right"/>
              <w:rPr>
                <w:rFonts w:ascii="Times New Roman" w:eastAsia="Times New Roman" w:hAnsi="Times New Roman" w:cs="Times New Roman"/>
                <w:color w:val="000000"/>
                <w:kern w:val="0"/>
                <w:szCs w:val="24"/>
                <w:lang w:eastAsia="en-IN"/>
                <w14:ligatures w14:val="none"/>
              </w:rPr>
            </w:pPr>
            <w:r w:rsidRPr="0013739E">
              <w:rPr>
                <w:rFonts w:ascii="Times New Roman" w:eastAsia="Times New Roman" w:hAnsi="Times New Roman" w:cs="Times New Roman"/>
                <w:color w:val="000000"/>
                <w:kern w:val="0"/>
                <w:szCs w:val="24"/>
                <w:lang w:eastAsia="en-IN"/>
                <w14:ligatures w14:val="none"/>
              </w:rPr>
              <w:t>10.46</w:t>
            </w:r>
          </w:p>
        </w:tc>
        <w:tc>
          <w:tcPr>
            <w:tcW w:w="1160" w:type="dxa"/>
            <w:tcBorders>
              <w:top w:val="nil"/>
              <w:left w:val="nil"/>
              <w:bottom w:val="single" w:sz="4" w:space="0" w:color="auto"/>
              <w:right w:val="single" w:sz="4" w:space="0" w:color="auto"/>
            </w:tcBorders>
            <w:noWrap/>
            <w:vAlign w:val="bottom"/>
            <w:hideMark/>
          </w:tcPr>
          <w:p w14:paraId="2F9A5D10" w14:textId="77777777" w:rsidR="00F42E63" w:rsidRPr="0013739E" w:rsidRDefault="00F42E63" w:rsidP="00F42E63">
            <w:pPr>
              <w:spacing w:after="0" w:line="240" w:lineRule="auto"/>
              <w:jc w:val="right"/>
              <w:rPr>
                <w:rFonts w:ascii="Times New Roman" w:eastAsia="Times New Roman" w:hAnsi="Times New Roman" w:cs="Times New Roman"/>
                <w:color w:val="000000"/>
                <w:kern w:val="0"/>
                <w:szCs w:val="24"/>
                <w:lang w:eastAsia="en-IN"/>
                <w14:ligatures w14:val="none"/>
              </w:rPr>
            </w:pPr>
            <w:r w:rsidRPr="0013739E">
              <w:rPr>
                <w:rFonts w:ascii="Times New Roman" w:eastAsia="Times New Roman" w:hAnsi="Times New Roman" w:cs="Times New Roman"/>
                <w:color w:val="000000"/>
                <w:kern w:val="0"/>
                <w:szCs w:val="24"/>
                <w:lang w:eastAsia="en-IN"/>
                <w14:ligatures w14:val="none"/>
              </w:rPr>
              <w:t>23.63</w:t>
            </w:r>
          </w:p>
        </w:tc>
        <w:tc>
          <w:tcPr>
            <w:tcW w:w="1251" w:type="dxa"/>
            <w:tcBorders>
              <w:top w:val="nil"/>
              <w:left w:val="nil"/>
              <w:bottom w:val="single" w:sz="4" w:space="0" w:color="auto"/>
              <w:right w:val="single" w:sz="4" w:space="0" w:color="auto"/>
            </w:tcBorders>
            <w:noWrap/>
            <w:vAlign w:val="bottom"/>
            <w:hideMark/>
          </w:tcPr>
          <w:p w14:paraId="4FF0F17F" w14:textId="77777777" w:rsidR="00F42E63" w:rsidRPr="0013739E" w:rsidRDefault="00F42E63" w:rsidP="00F42E63">
            <w:pPr>
              <w:spacing w:after="0" w:line="240" w:lineRule="auto"/>
              <w:jc w:val="right"/>
              <w:rPr>
                <w:rFonts w:ascii="Times New Roman" w:eastAsia="Times New Roman" w:hAnsi="Times New Roman" w:cs="Times New Roman"/>
                <w:color w:val="000000"/>
                <w:kern w:val="0"/>
                <w:szCs w:val="24"/>
                <w:lang w:eastAsia="en-IN"/>
                <w14:ligatures w14:val="none"/>
              </w:rPr>
            </w:pPr>
            <w:r w:rsidRPr="0013739E">
              <w:rPr>
                <w:rFonts w:ascii="Times New Roman" w:eastAsia="Times New Roman" w:hAnsi="Times New Roman" w:cs="Times New Roman"/>
                <w:color w:val="000000"/>
                <w:kern w:val="0"/>
                <w:szCs w:val="24"/>
                <w:lang w:eastAsia="en-IN"/>
                <w14:ligatures w14:val="none"/>
              </w:rPr>
              <w:t>3.16</w:t>
            </w:r>
          </w:p>
        </w:tc>
        <w:tc>
          <w:tcPr>
            <w:tcW w:w="1058" w:type="dxa"/>
            <w:tcBorders>
              <w:top w:val="nil"/>
              <w:left w:val="nil"/>
              <w:bottom w:val="single" w:sz="4" w:space="0" w:color="auto"/>
              <w:right w:val="single" w:sz="4" w:space="0" w:color="auto"/>
            </w:tcBorders>
            <w:noWrap/>
            <w:vAlign w:val="bottom"/>
            <w:hideMark/>
          </w:tcPr>
          <w:p w14:paraId="696D884D" w14:textId="77777777" w:rsidR="00F42E63" w:rsidRPr="0013739E" w:rsidRDefault="00F42E63" w:rsidP="00F42E63">
            <w:pPr>
              <w:spacing w:after="0" w:line="240" w:lineRule="auto"/>
              <w:jc w:val="right"/>
              <w:rPr>
                <w:rFonts w:ascii="Times New Roman" w:eastAsia="Times New Roman" w:hAnsi="Times New Roman" w:cs="Times New Roman"/>
                <w:color w:val="000000"/>
                <w:kern w:val="0"/>
                <w:szCs w:val="24"/>
                <w:lang w:eastAsia="en-IN"/>
                <w14:ligatures w14:val="none"/>
              </w:rPr>
            </w:pPr>
            <w:r w:rsidRPr="0013739E">
              <w:rPr>
                <w:rFonts w:ascii="Times New Roman" w:eastAsia="Times New Roman" w:hAnsi="Times New Roman" w:cs="Times New Roman"/>
                <w:color w:val="000000"/>
                <w:kern w:val="0"/>
                <w:szCs w:val="24"/>
                <w:lang w:eastAsia="en-IN"/>
                <w14:ligatures w14:val="none"/>
              </w:rPr>
              <w:t>1.77</w:t>
            </w:r>
          </w:p>
        </w:tc>
        <w:tc>
          <w:tcPr>
            <w:tcW w:w="1731" w:type="dxa"/>
            <w:tcBorders>
              <w:top w:val="nil"/>
              <w:left w:val="nil"/>
              <w:bottom w:val="single" w:sz="4" w:space="0" w:color="auto"/>
              <w:right w:val="single" w:sz="4" w:space="0" w:color="auto"/>
            </w:tcBorders>
            <w:noWrap/>
            <w:vAlign w:val="bottom"/>
            <w:hideMark/>
          </w:tcPr>
          <w:p w14:paraId="2A12D2C8" w14:textId="77777777" w:rsidR="00F42E63" w:rsidRPr="0013739E" w:rsidRDefault="00F42E63" w:rsidP="00F42E63">
            <w:pPr>
              <w:spacing w:after="0" w:line="240" w:lineRule="auto"/>
              <w:jc w:val="right"/>
              <w:rPr>
                <w:rFonts w:ascii="Times New Roman" w:eastAsia="Times New Roman" w:hAnsi="Times New Roman" w:cs="Times New Roman"/>
                <w:color w:val="000000"/>
                <w:kern w:val="0"/>
                <w:szCs w:val="24"/>
                <w:lang w:eastAsia="en-IN"/>
                <w14:ligatures w14:val="none"/>
              </w:rPr>
            </w:pPr>
            <w:r w:rsidRPr="0013739E">
              <w:rPr>
                <w:rFonts w:ascii="Times New Roman" w:eastAsia="Times New Roman" w:hAnsi="Times New Roman" w:cs="Times New Roman"/>
                <w:color w:val="000000"/>
                <w:kern w:val="0"/>
                <w:szCs w:val="24"/>
                <w:lang w:eastAsia="en-IN"/>
                <w14:ligatures w14:val="none"/>
              </w:rPr>
              <w:t>3.17</w:t>
            </w:r>
          </w:p>
        </w:tc>
        <w:tc>
          <w:tcPr>
            <w:tcW w:w="1160" w:type="dxa"/>
            <w:tcBorders>
              <w:top w:val="nil"/>
              <w:left w:val="nil"/>
              <w:bottom w:val="single" w:sz="4" w:space="0" w:color="auto"/>
              <w:right w:val="single" w:sz="4" w:space="0" w:color="auto"/>
            </w:tcBorders>
            <w:noWrap/>
            <w:vAlign w:val="bottom"/>
            <w:hideMark/>
          </w:tcPr>
          <w:p w14:paraId="2F2D1035" w14:textId="77777777" w:rsidR="00F42E63" w:rsidRPr="0013739E" w:rsidRDefault="00F42E63" w:rsidP="00F42E63">
            <w:pPr>
              <w:spacing w:after="0" w:line="240" w:lineRule="auto"/>
              <w:jc w:val="right"/>
              <w:rPr>
                <w:rFonts w:ascii="Times New Roman" w:eastAsia="Times New Roman" w:hAnsi="Times New Roman" w:cs="Times New Roman"/>
                <w:color w:val="000000"/>
                <w:kern w:val="0"/>
                <w:szCs w:val="24"/>
                <w:lang w:eastAsia="en-IN"/>
                <w14:ligatures w14:val="none"/>
              </w:rPr>
            </w:pPr>
            <w:r w:rsidRPr="0013739E">
              <w:rPr>
                <w:rFonts w:ascii="Times New Roman" w:eastAsia="Times New Roman" w:hAnsi="Times New Roman" w:cs="Times New Roman"/>
                <w:color w:val="000000"/>
                <w:kern w:val="0"/>
                <w:szCs w:val="24"/>
                <w:lang w:eastAsia="en-IN"/>
                <w14:ligatures w14:val="none"/>
              </w:rPr>
              <w:t>17.51</w:t>
            </w:r>
          </w:p>
        </w:tc>
        <w:tc>
          <w:tcPr>
            <w:tcW w:w="1463" w:type="dxa"/>
            <w:tcBorders>
              <w:top w:val="nil"/>
              <w:left w:val="nil"/>
              <w:bottom w:val="single" w:sz="4" w:space="0" w:color="auto"/>
              <w:right w:val="single" w:sz="4" w:space="0" w:color="auto"/>
            </w:tcBorders>
            <w:noWrap/>
            <w:vAlign w:val="bottom"/>
            <w:hideMark/>
          </w:tcPr>
          <w:p w14:paraId="6ED39B04" w14:textId="77777777" w:rsidR="00F42E63" w:rsidRPr="0013739E" w:rsidRDefault="00F42E63" w:rsidP="00F42E63">
            <w:pPr>
              <w:spacing w:after="0" w:line="240" w:lineRule="auto"/>
              <w:jc w:val="right"/>
              <w:rPr>
                <w:rFonts w:ascii="Times New Roman" w:eastAsia="Times New Roman" w:hAnsi="Times New Roman" w:cs="Times New Roman"/>
                <w:color w:val="000000"/>
                <w:kern w:val="0"/>
                <w:szCs w:val="24"/>
                <w:lang w:eastAsia="en-IN"/>
                <w14:ligatures w14:val="none"/>
              </w:rPr>
            </w:pPr>
            <w:r w:rsidRPr="0013739E">
              <w:rPr>
                <w:rFonts w:ascii="Times New Roman" w:eastAsia="Times New Roman" w:hAnsi="Times New Roman" w:cs="Times New Roman"/>
                <w:color w:val="000000"/>
                <w:kern w:val="0"/>
                <w:szCs w:val="24"/>
                <w:lang w:eastAsia="en-IN"/>
                <w14:ligatures w14:val="none"/>
              </w:rPr>
              <w:t>350.16</w:t>
            </w:r>
          </w:p>
        </w:tc>
      </w:tr>
      <w:tr w:rsidR="00F42E63" w:rsidRPr="0013739E" w14:paraId="536663FF" w14:textId="77777777" w:rsidTr="0013739E">
        <w:trPr>
          <w:trHeight w:val="21"/>
          <w:jc w:val="center"/>
        </w:trPr>
        <w:tc>
          <w:tcPr>
            <w:tcW w:w="1382" w:type="dxa"/>
            <w:tcBorders>
              <w:top w:val="nil"/>
              <w:left w:val="single" w:sz="4" w:space="0" w:color="auto"/>
              <w:bottom w:val="single" w:sz="4" w:space="0" w:color="auto"/>
              <w:right w:val="single" w:sz="4" w:space="0" w:color="auto"/>
            </w:tcBorders>
            <w:noWrap/>
            <w:vAlign w:val="bottom"/>
            <w:hideMark/>
          </w:tcPr>
          <w:p w14:paraId="541BA0E7" w14:textId="77777777" w:rsidR="00F42E63" w:rsidRPr="0013739E" w:rsidRDefault="00F42E63" w:rsidP="00F42E63">
            <w:pPr>
              <w:spacing w:after="0" w:line="240" w:lineRule="auto"/>
              <w:rPr>
                <w:rFonts w:ascii="Times New Roman" w:eastAsia="Times New Roman" w:hAnsi="Times New Roman" w:cs="Times New Roman"/>
                <w:color w:val="000000"/>
                <w:kern w:val="0"/>
                <w:szCs w:val="24"/>
                <w:lang w:eastAsia="en-IN"/>
                <w14:ligatures w14:val="none"/>
              </w:rPr>
            </w:pPr>
            <w:r w:rsidRPr="0013739E">
              <w:rPr>
                <w:rFonts w:ascii="Times New Roman" w:eastAsia="Times New Roman" w:hAnsi="Times New Roman" w:cs="Times New Roman"/>
                <w:color w:val="000000"/>
                <w:kern w:val="0"/>
                <w:szCs w:val="24"/>
                <w:lang w:eastAsia="en-IN"/>
                <w14:ligatures w14:val="none"/>
              </w:rPr>
              <w:t>1968-69 (RE)</w:t>
            </w:r>
          </w:p>
        </w:tc>
        <w:tc>
          <w:tcPr>
            <w:tcW w:w="1261" w:type="dxa"/>
            <w:tcBorders>
              <w:top w:val="nil"/>
              <w:left w:val="nil"/>
              <w:bottom w:val="single" w:sz="4" w:space="0" w:color="auto"/>
              <w:right w:val="single" w:sz="4" w:space="0" w:color="auto"/>
            </w:tcBorders>
            <w:noWrap/>
            <w:vAlign w:val="bottom"/>
            <w:hideMark/>
          </w:tcPr>
          <w:p w14:paraId="42F892BD" w14:textId="4EB17716" w:rsidR="00F42E63" w:rsidRPr="0013739E" w:rsidRDefault="00F42E63" w:rsidP="00F42E63">
            <w:pPr>
              <w:spacing w:after="0" w:line="240" w:lineRule="auto"/>
              <w:rPr>
                <w:rFonts w:ascii="Times New Roman" w:eastAsia="Times New Roman" w:hAnsi="Times New Roman" w:cs="Times New Roman"/>
                <w:color w:val="000000"/>
                <w:kern w:val="0"/>
                <w:szCs w:val="24"/>
                <w:lang w:eastAsia="en-IN"/>
                <w14:ligatures w14:val="none"/>
              </w:rPr>
            </w:pPr>
            <w:r w:rsidRPr="0013739E">
              <w:rPr>
                <w:rFonts w:ascii="Times New Roman" w:eastAsia="Times New Roman" w:hAnsi="Times New Roman" w:cs="Times New Roman"/>
                <w:color w:val="000000"/>
                <w:kern w:val="0"/>
                <w:szCs w:val="24"/>
                <w:lang w:eastAsia="en-IN"/>
                <w14:ligatures w14:val="none"/>
              </w:rPr>
              <w:t>23.31 (6.42)</w:t>
            </w:r>
          </w:p>
        </w:tc>
        <w:tc>
          <w:tcPr>
            <w:tcW w:w="1261" w:type="dxa"/>
            <w:tcBorders>
              <w:top w:val="nil"/>
              <w:left w:val="nil"/>
              <w:bottom w:val="single" w:sz="4" w:space="0" w:color="auto"/>
              <w:right w:val="single" w:sz="4" w:space="0" w:color="auto"/>
            </w:tcBorders>
            <w:noWrap/>
            <w:vAlign w:val="bottom"/>
            <w:hideMark/>
          </w:tcPr>
          <w:p w14:paraId="552227D0" w14:textId="30E029DE" w:rsidR="00F42E63" w:rsidRPr="0013739E" w:rsidRDefault="00F42E63" w:rsidP="00F42E63">
            <w:pPr>
              <w:spacing w:after="0" w:line="240" w:lineRule="auto"/>
              <w:rPr>
                <w:rFonts w:ascii="Times New Roman" w:eastAsia="Times New Roman" w:hAnsi="Times New Roman" w:cs="Times New Roman"/>
                <w:color w:val="000000"/>
                <w:kern w:val="0"/>
                <w:szCs w:val="24"/>
                <w:lang w:eastAsia="en-IN"/>
                <w14:ligatures w14:val="none"/>
              </w:rPr>
            </w:pPr>
            <w:r w:rsidRPr="0013739E">
              <w:rPr>
                <w:rFonts w:ascii="Times New Roman" w:eastAsia="Times New Roman" w:hAnsi="Times New Roman" w:cs="Times New Roman"/>
                <w:color w:val="000000"/>
                <w:kern w:val="0"/>
                <w:szCs w:val="24"/>
                <w:lang w:eastAsia="en-IN"/>
                <w14:ligatures w14:val="none"/>
              </w:rPr>
              <w:t>39.95 (11.00)</w:t>
            </w:r>
          </w:p>
        </w:tc>
        <w:tc>
          <w:tcPr>
            <w:tcW w:w="1160" w:type="dxa"/>
            <w:tcBorders>
              <w:top w:val="nil"/>
              <w:left w:val="nil"/>
              <w:bottom w:val="single" w:sz="4" w:space="0" w:color="auto"/>
              <w:right w:val="single" w:sz="4" w:space="0" w:color="auto"/>
            </w:tcBorders>
            <w:noWrap/>
            <w:vAlign w:val="bottom"/>
            <w:hideMark/>
          </w:tcPr>
          <w:p w14:paraId="1A5E3786" w14:textId="58ED5F07" w:rsidR="00F42E63" w:rsidRPr="0013739E" w:rsidRDefault="00F42E63" w:rsidP="00F42E63">
            <w:pPr>
              <w:spacing w:after="0" w:line="240" w:lineRule="auto"/>
              <w:rPr>
                <w:rFonts w:ascii="Times New Roman" w:eastAsia="Times New Roman" w:hAnsi="Times New Roman" w:cs="Times New Roman"/>
                <w:color w:val="000000"/>
                <w:kern w:val="0"/>
                <w:szCs w:val="24"/>
                <w:lang w:eastAsia="en-IN"/>
                <w14:ligatures w14:val="none"/>
              </w:rPr>
            </w:pPr>
            <w:r w:rsidRPr="0013739E">
              <w:rPr>
                <w:rFonts w:ascii="Times New Roman" w:eastAsia="Times New Roman" w:hAnsi="Times New Roman" w:cs="Times New Roman"/>
                <w:color w:val="000000"/>
                <w:kern w:val="0"/>
                <w:szCs w:val="24"/>
                <w:lang w:eastAsia="en-IN"/>
                <w14:ligatures w14:val="none"/>
              </w:rPr>
              <w:t>5.18 (1.43)</w:t>
            </w:r>
          </w:p>
        </w:tc>
        <w:tc>
          <w:tcPr>
            <w:tcW w:w="1393" w:type="dxa"/>
            <w:tcBorders>
              <w:top w:val="nil"/>
              <w:left w:val="nil"/>
              <w:bottom w:val="single" w:sz="4" w:space="0" w:color="auto"/>
              <w:right w:val="single" w:sz="4" w:space="0" w:color="auto"/>
            </w:tcBorders>
            <w:noWrap/>
            <w:vAlign w:val="bottom"/>
            <w:hideMark/>
          </w:tcPr>
          <w:p w14:paraId="2B84C4CE" w14:textId="21DE4806" w:rsidR="00F42E63" w:rsidRPr="0013739E" w:rsidRDefault="00F42E63" w:rsidP="00F42E63">
            <w:pPr>
              <w:spacing w:after="0" w:line="240" w:lineRule="auto"/>
              <w:rPr>
                <w:rFonts w:ascii="Times New Roman" w:eastAsia="Times New Roman" w:hAnsi="Times New Roman" w:cs="Times New Roman"/>
                <w:color w:val="000000"/>
                <w:kern w:val="0"/>
                <w:szCs w:val="24"/>
                <w:lang w:eastAsia="en-IN"/>
                <w14:ligatures w14:val="none"/>
              </w:rPr>
            </w:pPr>
            <w:r w:rsidRPr="0013739E">
              <w:rPr>
                <w:rFonts w:ascii="Times New Roman" w:eastAsia="Times New Roman" w:hAnsi="Times New Roman" w:cs="Times New Roman"/>
                <w:color w:val="000000"/>
                <w:kern w:val="0"/>
                <w:szCs w:val="24"/>
                <w:lang w:eastAsia="en-IN"/>
                <w14:ligatures w14:val="none"/>
              </w:rPr>
              <w:t>10.41 (2.87)</w:t>
            </w:r>
          </w:p>
        </w:tc>
        <w:tc>
          <w:tcPr>
            <w:tcW w:w="1160" w:type="dxa"/>
            <w:tcBorders>
              <w:top w:val="nil"/>
              <w:left w:val="nil"/>
              <w:bottom w:val="single" w:sz="4" w:space="0" w:color="auto"/>
              <w:right w:val="single" w:sz="4" w:space="0" w:color="auto"/>
            </w:tcBorders>
            <w:noWrap/>
            <w:vAlign w:val="bottom"/>
            <w:hideMark/>
          </w:tcPr>
          <w:p w14:paraId="1F7EE45C" w14:textId="7BC0851D" w:rsidR="00F42E63" w:rsidRPr="0013739E" w:rsidRDefault="00F42E63" w:rsidP="00F42E63">
            <w:pPr>
              <w:spacing w:after="0" w:line="240" w:lineRule="auto"/>
              <w:rPr>
                <w:rFonts w:ascii="Times New Roman" w:eastAsia="Times New Roman" w:hAnsi="Times New Roman" w:cs="Times New Roman"/>
                <w:color w:val="000000"/>
                <w:kern w:val="0"/>
                <w:szCs w:val="24"/>
                <w:lang w:eastAsia="en-IN"/>
                <w14:ligatures w14:val="none"/>
              </w:rPr>
            </w:pPr>
            <w:r w:rsidRPr="0013739E">
              <w:rPr>
                <w:rFonts w:ascii="Times New Roman" w:eastAsia="Times New Roman" w:hAnsi="Times New Roman" w:cs="Times New Roman"/>
                <w:color w:val="000000"/>
                <w:kern w:val="0"/>
                <w:szCs w:val="24"/>
                <w:lang w:eastAsia="en-IN"/>
                <w14:ligatures w14:val="none"/>
              </w:rPr>
              <w:t>21.71 (5.98)</w:t>
            </w:r>
          </w:p>
        </w:tc>
        <w:tc>
          <w:tcPr>
            <w:tcW w:w="1251" w:type="dxa"/>
            <w:tcBorders>
              <w:top w:val="nil"/>
              <w:left w:val="nil"/>
              <w:bottom w:val="single" w:sz="4" w:space="0" w:color="auto"/>
              <w:right w:val="single" w:sz="4" w:space="0" w:color="auto"/>
            </w:tcBorders>
            <w:noWrap/>
            <w:vAlign w:val="bottom"/>
            <w:hideMark/>
          </w:tcPr>
          <w:p w14:paraId="620B68DF" w14:textId="23BFB461" w:rsidR="00F42E63" w:rsidRPr="0013739E" w:rsidRDefault="00F42E63" w:rsidP="00F42E63">
            <w:pPr>
              <w:spacing w:after="0" w:line="240" w:lineRule="auto"/>
              <w:rPr>
                <w:rFonts w:ascii="Times New Roman" w:eastAsia="Times New Roman" w:hAnsi="Times New Roman" w:cs="Times New Roman"/>
                <w:color w:val="000000"/>
                <w:kern w:val="0"/>
                <w:szCs w:val="24"/>
                <w:lang w:eastAsia="en-IN"/>
                <w14:ligatures w14:val="none"/>
              </w:rPr>
            </w:pPr>
            <w:r w:rsidRPr="0013739E">
              <w:rPr>
                <w:rFonts w:ascii="Times New Roman" w:eastAsia="Times New Roman" w:hAnsi="Times New Roman" w:cs="Times New Roman"/>
                <w:color w:val="000000"/>
                <w:kern w:val="0"/>
                <w:szCs w:val="24"/>
                <w:lang w:eastAsia="en-IN"/>
                <w14:ligatures w14:val="none"/>
              </w:rPr>
              <w:t>3.47 (0.96)</w:t>
            </w:r>
          </w:p>
        </w:tc>
        <w:tc>
          <w:tcPr>
            <w:tcW w:w="1058" w:type="dxa"/>
            <w:tcBorders>
              <w:top w:val="nil"/>
              <w:left w:val="nil"/>
              <w:bottom w:val="single" w:sz="4" w:space="0" w:color="auto"/>
              <w:right w:val="single" w:sz="4" w:space="0" w:color="auto"/>
            </w:tcBorders>
            <w:noWrap/>
            <w:vAlign w:val="bottom"/>
            <w:hideMark/>
          </w:tcPr>
          <w:p w14:paraId="6AC32FD7" w14:textId="7D5CDA8F" w:rsidR="00F42E63" w:rsidRPr="0013739E" w:rsidRDefault="00F42E63" w:rsidP="00F42E63">
            <w:pPr>
              <w:spacing w:after="0" w:line="240" w:lineRule="auto"/>
              <w:rPr>
                <w:rFonts w:ascii="Times New Roman" w:eastAsia="Times New Roman" w:hAnsi="Times New Roman" w:cs="Times New Roman"/>
                <w:color w:val="000000"/>
                <w:kern w:val="0"/>
                <w:szCs w:val="24"/>
                <w:lang w:eastAsia="en-IN"/>
                <w14:ligatures w14:val="none"/>
              </w:rPr>
            </w:pPr>
            <w:r w:rsidRPr="0013739E">
              <w:rPr>
                <w:rFonts w:ascii="Times New Roman" w:eastAsia="Times New Roman" w:hAnsi="Times New Roman" w:cs="Times New Roman"/>
                <w:color w:val="000000"/>
                <w:kern w:val="0"/>
                <w:szCs w:val="24"/>
                <w:lang w:eastAsia="en-IN"/>
                <w14:ligatures w14:val="none"/>
              </w:rPr>
              <w:t>2.15 (0.59)</w:t>
            </w:r>
          </w:p>
        </w:tc>
        <w:tc>
          <w:tcPr>
            <w:tcW w:w="1731" w:type="dxa"/>
            <w:tcBorders>
              <w:top w:val="nil"/>
              <w:left w:val="nil"/>
              <w:bottom w:val="single" w:sz="4" w:space="0" w:color="auto"/>
              <w:right w:val="single" w:sz="4" w:space="0" w:color="auto"/>
            </w:tcBorders>
            <w:noWrap/>
            <w:vAlign w:val="bottom"/>
            <w:hideMark/>
          </w:tcPr>
          <w:p w14:paraId="5D0F3C78" w14:textId="3E3E848E" w:rsidR="00F42E63" w:rsidRPr="0013739E" w:rsidRDefault="00F42E63" w:rsidP="00F42E63">
            <w:pPr>
              <w:spacing w:after="0" w:line="240" w:lineRule="auto"/>
              <w:rPr>
                <w:rFonts w:ascii="Times New Roman" w:eastAsia="Times New Roman" w:hAnsi="Times New Roman" w:cs="Times New Roman"/>
                <w:color w:val="000000"/>
                <w:kern w:val="0"/>
                <w:szCs w:val="24"/>
                <w:lang w:eastAsia="en-IN"/>
                <w14:ligatures w14:val="none"/>
              </w:rPr>
            </w:pPr>
            <w:r w:rsidRPr="0013739E">
              <w:rPr>
                <w:rFonts w:ascii="Times New Roman" w:eastAsia="Times New Roman" w:hAnsi="Times New Roman" w:cs="Times New Roman"/>
                <w:color w:val="000000"/>
                <w:kern w:val="0"/>
                <w:szCs w:val="24"/>
                <w:lang w:eastAsia="en-IN"/>
                <w14:ligatures w14:val="none"/>
              </w:rPr>
              <w:t>2.63 (0.72)</w:t>
            </w:r>
          </w:p>
        </w:tc>
        <w:tc>
          <w:tcPr>
            <w:tcW w:w="1160" w:type="dxa"/>
            <w:tcBorders>
              <w:top w:val="nil"/>
              <w:left w:val="nil"/>
              <w:bottom w:val="single" w:sz="4" w:space="0" w:color="auto"/>
              <w:right w:val="single" w:sz="4" w:space="0" w:color="auto"/>
            </w:tcBorders>
            <w:noWrap/>
            <w:vAlign w:val="bottom"/>
            <w:hideMark/>
          </w:tcPr>
          <w:p w14:paraId="2C8FC0FB" w14:textId="3CC3A4B9" w:rsidR="00F42E63" w:rsidRPr="0013739E" w:rsidRDefault="00F42E63" w:rsidP="00F42E63">
            <w:pPr>
              <w:spacing w:after="0" w:line="240" w:lineRule="auto"/>
              <w:rPr>
                <w:rFonts w:ascii="Times New Roman" w:eastAsia="Times New Roman" w:hAnsi="Times New Roman" w:cs="Times New Roman"/>
                <w:color w:val="000000"/>
                <w:kern w:val="0"/>
                <w:szCs w:val="24"/>
                <w:lang w:eastAsia="en-IN"/>
                <w14:ligatures w14:val="none"/>
              </w:rPr>
            </w:pPr>
            <w:r w:rsidRPr="0013739E">
              <w:rPr>
                <w:rFonts w:ascii="Times New Roman" w:eastAsia="Times New Roman" w:hAnsi="Times New Roman" w:cs="Times New Roman"/>
                <w:color w:val="000000"/>
                <w:kern w:val="0"/>
                <w:szCs w:val="24"/>
                <w:lang w:eastAsia="en-IN"/>
                <w14:ligatures w14:val="none"/>
              </w:rPr>
              <w:t>17.04</w:t>
            </w:r>
            <w:r w:rsidR="0015358A" w:rsidRPr="0013739E">
              <w:rPr>
                <w:rFonts w:ascii="Times New Roman" w:eastAsia="Times New Roman" w:hAnsi="Times New Roman" w:cs="Times New Roman"/>
                <w:color w:val="000000"/>
                <w:kern w:val="0"/>
                <w:szCs w:val="24"/>
                <w:lang w:eastAsia="en-IN"/>
                <w14:ligatures w14:val="none"/>
              </w:rPr>
              <w:t xml:space="preserve"> </w:t>
            </w:r>
            <w:r w:rsidRPr="0013739E">
              <w:rPr>
                <w:rFonts w:ascii="Times New Roman" w:eastAsia="Times New Roman" w:hAnsi="Times New Roman" w:cs="Times New Roman"/>
                <w:color w:val="000000"/>
                <w:kern w:val="0"/>
                <w:szCs w:val="24"/>
                <w:lang w:eastAsia="en-IN"/>
                <w14:ligatures w14:val="none"/>
              </w:rPr>
              <w:t>(4.69)</w:t>
            </w:r>
          </w:p>
        </w:tc>
        <w:tc>
          <w:tcPr>
            <w:tcW w:w="1463" w:type="dxa"/>
            <w:tcBorders>
              <w:top w:val="nil"/>
              <w:left w:val="nil"/>
              <w:bottom w:val="single" w:sz="4" w:space="0" w:color="auto"/>
              <w:right w:val="single" w:sz="4" w:space="0" w:color="auto"/>
            </w:tcBorders>
            <w:noWrap/>
            <w:vAlign w:val="bottom"/>
            <w:hideMark/>
          </w:tcPr>
          <w:p w14:paraId="21EB1A8D" w14:textId="77777777" w:rsidR="00F42E63" w:rsidRPr="0013739E" w:rsidRDefault="00F42E63" w:rsidP="00F42E63">
            <w:pPr>
              <w:spacing w:after="0" w:line="240" w:lineRule="auto"/>
              <w:rPr>
                <w:rFonts w:ascii="Times New Roman" w:eastAsia="Times New Roman" w:hAnsi="Times New Roman" w:cs="Times New Roman"/>
                <w:color w:val="000000"/>
                <w:kern w:val="0"/>
                <w:szCs w:val="24"/>
                <w:lang w:eastAsia="en-IN"/>
                <w14:ligatures w14:val="none"/>
              </w:rPr>
            </w:pPr>
            <w:r w:rsidRPr="0013739E">
              <w:rPr>
                <w:rFonts w:ascii="Times New Roman" w:eastAsia="Times New Roman" w:hAnsi="Times New Roman" w:cs="Times New Roman"/>
                <w:color w:val="000000"/>
                <w:kern w:val="0"/>
                <w:szCs w:val="24"/>
                <w:lang w:eastAsia="en-IN"/>
                <w14:ligatures w14:val="none"/>
              </w:rPr>
              <w:t>363.12 (100.00)</w:t>
            </w:r>
          </w:p>
        </w:tc>
      </w:tr>
    </w:tbl>
    <w:p w14:paraId="1D530E9E" w14:textId="16647E5F" w:rsidR="00E831E0" w:rsidRPr="007245B0" w:rsidRDefault="00E831E0" w:rsidP="00BA1C8E">
      <w:pPr>
        <w:pStyle w:val="Sources"/>
      </w:pPr>
      <w:r w:rsidRPr="007245B0">
        <w:t xml:space="preserve">*Figures for 1961-62 and 1965-66 include Haryana also. </w:t>
      </w:r>
    </w:p>
    <w:p w14:paraId="31F1EB4A" w14:textId="09EE7BD7" w:rsidR="00671AC5" w:rsidRPr="007245B0" w:rsidRDefault="000F22FA" w:rsidP="00BA1C8E">
      <w:pPr>
        <w:pStyle w:val="Sources"/>
      </w:pPr>
      <w:r w:rsidRPr="008E2A3E">
        <w:rPr>
          <w:rFonts w:eastAsia="Times New Roman"/>
          <w:color w:val="1A1C1E"/>
          <w:kern w:val="0"/>
          <w:szCs w:val="24"/>
          <w:lang w:eastAsia="en-IN"/>
          <w14:ligatures w14:val="none"/>
        </w:rPr>
        <w:t>†</w:t>
      </w:r>
      <w:r w:rsidR="00E831E0" w:rsidRPr="007245B0">
        <w:t>Haryana for the first seven months of the year.</w:t>
      </w:r>
    </w:p>
    <w:p w14:paraId="6E5F8DCD" w14:textId="77777777" w:rsidR="0013739E" w:rsidRDefault="0013739E">
      <w:pPr>
        <w:rPr>
          <w:rFonts w:ascii="Times New Roman" w:hAnsi="Times New Roman" w:cs="Times New Roman"/>
          <w:b/>
          <w:bCs/>
        </w:rPr>
      </w:pPr>
      <w:r>
        <w:rPr>
          <w:rFonts w:ascii="Times New Roman" w:hAnsi="Times New Roman" w:cs="Times New Roman"/>
          <w:b/>
          <w:bCs/>
        </w:rPr>
        <w:br w:type="page"/>
      </w:r>
    </w:p>
    <w:p w14:paraId="76EBC85A" w14:textId="77777777" w:rsidR="0013739E" w:rsidRDefault="00F922A4" w:rsidP="0013739E">
      <w:pPr>
        <w:jc w:val="center"/>
        <w:rPr>
          <w:rFonts w:ascii="Times New Roman" w:hAnsi="Times New Roman" w:cs="Times New Roman"/>
          <w:b/>
          <w:bCs/>
        </w:rPr>
      </w:pPr>
      <w:r>
        <w:rPr>
          <w:rFonts w:ascii="Times New Roman" w:hAnsi="Times New Roman" w:cs="Times New Roman"/>
          <w:b/>
          <w:bCs/>
        </w:rPr>
        <w:lastRenderedPageBreak/>
        <w:t>T</w:t>
      </w:r>
      <w:r w:rsidR="00BE1E6C" w:rsidRPr="007245B0">
        <w:rPr>
          <w:rFonts w:ascii="Times New Roman" w:hAnsi="Times New Roman" w:cs="Times New Roman"/>
          <w:b/>
          <w:bCs/>
        </w:rPr>
        <w:t xml:space="preserve">able 6: Growth and pattern of State </w:t>
      </w:r>
      <w:r w:rsidR="0013739E" w:rsidRPr="007245B0">
        <w:rPr>
          <w:rFonts w:ascii="Times New Roman" w:hAnsi="Times New Roman" w:cs="Times New Roman"/>
          <w:b/>
          <w:bCs/>
        </w:rPr>
        <w:t>revenues:</w:t>
      </w:r>
      <w:r w:rsidR="00BE1E6C" w:rsidRPr="007245B0">
        <w:rPr>
          <w:rFonts w:ascii="Times New Roman" w:hAnsi="Times New Roman" w:cs="Times New Roman"/>
          <w:b/>
          <w:bCs/>
        </w:rPr>
        <w:t xml:space="preserve"> 1961-62 and 1965-66 to 1968-69—concld.</w:t>
      </w:r>
      <w:r w:rsidR="00BE1E6C" w:rsidRPr="007245B0">
        <w:rPr>
          <w:rFonts w:ascii="Times New Roman" w:hAnsi="Times New Roman" w:cs="Times New Roman"/>
        </w:rPr>
        <w:br/>
      </w:r>
    </w:p>
    <w:p w14:paraId="181C8A3E" w14:textId="448329EA" w:rsidR="009D510E" w:rsidRPr="0013739E" w:rsidRDefault="00BE1E6C" w:rsidP="0013739E">
      <w:pPr>
        <w:jc w:val="right"/>
        <w:rPr>
          <w:rFonts w:ascii="Times New Roman" w:hAnsi="Times New Roman" w:cs="Times New Roman"/>
          <w:i/>
          <w:iCs/>
        </w:rPr>
      </w:pPr>
      <w:r w:rsidRPr="0013739E">
        <w:rPr>
          <w:rFonts w:ascii="Times New Roman" w:hAnsi="Times New Roman" w:cs="Times New Roman"/>
          <w:i/>
          <w:iCs/>
        </w:rPr>
        <w:t>(Rs. crores)</w:t>
      </w:r>
    </w:p>
    <w:tbl>
      <w:tblPr>
        <w:tblW w:w="13398" w:type="dxa"/>
        <w:jc w:val="center"/>
        <w:tblLook w:val="04A0" w:firstRow="1" w:lastRow="0" w:firstColumn="1" w:lastColumn="0" w:noHBand="0" w:noVBand="1"/>
      </w:tblPr>
      <w:tblGrid>
        <w:gridCol w:w="1371"/>
        <w:gridCol w:w="1100"/>
        <w:gridCol w:w="1271"/>
        <w:gridCol w:w="1100"/>
        <w:gridCol w:w="1100"/>
        <w:gridCol w:w="1185"/>
        <w:gridCol w:w="1139"/>
        <w:gridCol w:w="1100"/>
        <w:gridCol w:w="1490"/>
        <w:gridCol w:w="1100"/>
        <w:gridCol w:w="1442"/>
      </w:tblGrid>
      <w:tr w:rsidR="00BE1E6C" w:rsidRPr="00F922A4" w14:paraId="59C61C4D" w14:textId="77777777" w:rsidTr="00435B16">
        <w:trPr>
          <w:trHeight w:val="460"/>
          <w:jc w:val="center"/>
        </w:trPr>
        <w:tc>
          <w:tcPr>
            <w:tcW w:w="1838" w:type="dxa"/>
            <w:tcBorders>
              <w:top w:val="single" w:sz="4" w:space="0" w:color="auto"/>
              <w:left w:val="single" w:sz="4" w:space="0" w:color="auto"/>
              <w:bottom w:val="single" w:sz="4" w:space="0" w:color="auto"/>
              <w:right w:val="single" w:sz="4" w:space="0" w:color="auto"/>
            </w:tcBorders>
            <w:noWrap/>
            <w:vAlign w:val="bottom"/>
            <w:hideMark/>
          </w:tcPr>
          <w:p w14:paraId="26F7B205" w14:textId="77777777" w:rsidR="00BE1E6C" w:rsidRPr="00F922A4" w:rsidRDefault="00BE1E6C" w:rsidP="00BE1E6C">
            <w:pPr>
              <w:spacing w:after="0" w:line="240" w:lineRule="auto"/>
              <w:rPr>
                <w:rFonts w:ascii="Times New Roman" w:eastAsia="Times New Roman" w:hAnsi="Times New Roman" w:cs="Times New Roman"/>
                <w:b/>
                <w:bCs/>
                <w:color w:val="1A1C1E"/>
                <w:kern w:val="0"/>
                <w:szCs w:val="24"/>
                <w:lang w:eastAsia="en-IN"/>
                <w14:ligatures w14:val="none"/>
              </w:rPr>
            </w:pPr>
            <w:r w:rsidRPr="00F922A4">
              <w:rPr>
                <w:rFonts w:ascii="Times New Roman" w:eastAsia="Times New Roman" w:hAnsi="Times New Roman" w:cs="Times New Roman"/>
                <w:b/>
                <w:bCs/>
                <w:color w:val="1A1C1E"/>
                <w:kern w:val="0"/>
                <w:szCs w:val="24"/>
                <w:lang w:eastAsia="en-IN"/>
                <w14:ligatures w14:val="none"/>
              </w:rPr>
              <w:t>State/Years</w:t>
            </w:r>
          </w:p>
        </w:tc>
        <w:tc>
          <w:tcPr>
            <w:tcW w:w="440" w:type="dxa"/>
            <w:tcBorders>
              <w:top w:val="single" w:sz="4" w:space="0" w:color="auto"/>
              <w:left w:val="nil"/>
              <w:bottom w:val="single" w:sz="4" w:space="0" w:color="auto"/>
              <w:right w:val="single" w:sz="4" w:space="0" w:color="auto"/>
            </w:tcBorders>
            <w:noWrap/>
            <w:vAlign w:val="bottom"/>
            <w:hideMark/>
          </w:tcPr>
          <w:p w14:paraId="0775234A" w14:textId="77777777" w:rsidR="00BE1E6C" w:rsidRPr="00F922A4" w:rsidRDefault="00BE1E6C" w:rsidP="00BE1E6C">
            <w:pPr>
              <w:spacing w:after="0" w:line="240" w:lineRule="auto"/>
              <w:ind w:firstLineChars="100" w:firstLine="241"/>
              <w:rPr>
                <w:rFonts w:ascii="Times New Roman" w:eastAsia="Times New Roman" w:hAnsi="Times New Roman" w:cs="Times New Roman"/>
                <w:b/>
                <w:bCs/>
                <w:color w:val="1A1C1E"/>
                <w:kern w:val="0"/>
                <w:szCs w:val="24"/>
                <w:lang w:eastAsia="en-IN"/>
                <w14:ligatures w14:val="none"/>
              </w:rPr>
            </w:pPr>
            <w:r w:rsidRPr="00F922A4">
              <w:rPr>
                <w:rFonts w:ascii="Times New Roman" w:eastAsia="Times New Roman" w:hAnsi="Times New Roman" w:cs="Times New Roman"/>
                <w:b/>
                <w:bCs/>
                <w:color w:val="1A1C1E"/>
                <w:kern w:val="0"/>
                <w:szCs w:val="24"/>
                <w:lang w:eastAsia="en-IN"/>
                <w14:ligatures w14:val="none"/>
              </w:rPr>
              <w:t>Land revenue</w:t>
            </w:r>
          </w:p>
        </w:tc>
        <w:tc>
          <w:tcPr>
            <w:tcW w:w="1293" w:type="dxa"/>
            <w:tcBorders>
              <w:top w:val="single" w:sz="4" w:space="0" w:color="auto"/>
              <w:left w:val="nil"/>
              <w:bottom w:val="single" w:sz="4" w:space="0" w:color="auto"/>
              <w:right w:val="single" w:sz="4" w:space="0" w:color="auto"/>
            </w:tcBorders>
            <w:noWrap/>
            <w:vAlign w:val="bottom"/>
            <w:hideMark/>
          </w:tcPr>
          <w:p w14:paraId="33D78D93" w14:textId="77777777" w:rsidR="00BE1E6C" w:rsidRPr="00F922A4" w:rsidRDefault="00BE1E6C" w:rsidP="00BE1E6C">
            <w:pPr>
              <w:spacing w:after="0" w:line="240" w:lineRule="auto"/>
              <w:ind w:firstLineChars="100" w:firstLine="241"/>
              <w:rPr>
                <w:rFonts w:ascii="Times New Roman" w:eastAsia="Times New Roman" w:hAnsi="Times New Roman" w:cs="Times New Roman"/>
                <w:b/>
                <w:bCs/>
                <w:color w:val="1A1C1E"/>
                <w:kern w:val="0"/>
                <w:szCs w:val="24"/>
                <w:lang w:eastAsia="en-IN"/>
                <w14:ligatures w14:val="none"/>
              </w:rPr>
            </w:pPr>
            <w:r w:rsidRPr="00F922A4">
              <w:rPr>
                <w:rFonts w:ascii="Times New Roman" w:eastAsia="Times New Roman" w:hAnsi="Times New Roman" w:cs="Times New Roman"/>
                <w:b/>
                <w:bCs/>
                <w:color w:val="1A1C1E"/>
                <w:kern w:val="0"/>
                <w:szCs w:val="24"/>
                <w:lang w:eastAsia="en-IN"/>
                <w14:ligatures w14:val="none"/>
              </w:rPr>
              <w:t>Sales taxes</w:t>
            </w:r>
          </w:p>
        </w:tc>
        <w:tc>
          <w:tcPr>
            <w:tcW w:w="1119" w:type="dxa"/>
            <w:tcBorders>
              <w:top w:val="single" w:sz="4" w:space="0" w:color="auto"/>
              <w:left w:val="nil"/>
              <w:bottom w:val="single" w:sz="4" w:space="0" w:color="auto"/>
              <w:right w:val="single" w:sz="4" w:space="0" w:color="auto"/>
            </w:tcBorders>
            <w:noWrap/>
            <w:vAlign w:val="bottom"/>
            <w:hideMark/>
          </w:tcPr>
          <w:p w14:paraId="6F5F0303" w14:textId="77777777" w:rsidR="00BE1E6C" w:rsidRPr="00F922A4" w:rsidRDefault="00BE1E6C" w:rsidP="00BE1E6C">
            <w:pPr>
              <w:spacing w:after="0" w:line="240" w:lineRule="auto"/>
              <w:ind w:firstLineChars="100" w:firstLine="241"/>
              <w:rPr>
                <w:rFonts w:ascii="Times New Roman" w:eastAsia="Times New Roman" w:hAnsi="Times New Roman" w:cs="Times New Roman"/>
                <w:b/>
                <w:bCs/>
                <w:color w:val="1A1C1E"/>
                <w:kern w:val="0"/>
                <w:szCs w:val="24"/>
                <w:lang w:eastAsia="en-IN"/>
                <w14:ligatures w14:val="none"/>
              </w:rPr>
            </w:pPr>
            <w:r w:rsidRPr="00F922A4">
              <w:rPr>
                <w:rFonts w:ascii="Times New Roman" w:eastAsia="Times New Roman" w:hAnsi="Times New Roman" w:cs="Times New Roman"/>
                <w:b/>
                <w:bCs/>
                <w:color w:val="1A1C1E"/>
                <w:kern w:val="0"/>
                <w:szCs w:val="24"/>
                <w:lang w:eastAsia="en-IN"/>
                <w14:ligatures w14:val="none"/>
              </w:rPr>
              <w:t>Motor vehicle tax</w:t>
            </w:r>
          </w:p>
        </w:tc>
        <w:tc>
          <w:tcPr>
            <w:tcW w:w="1119" w:type="dxa"/>
            <w:tcBorders>
              <w:top w:val="single" w:sz="4" w:space="0" w:color="auto"/>
              <w:left w:val="nil"/>
              <w:bottom w:val="single" w:sz="4" w:space="0" w:color="auto"/>
              <w:right w:val="single" w:sz="4" w:space="0" w:color="auto"/>
            </w:tcBorders>
            <w:noWrap/>
            <w:vAlign w:val="bottom"/>
            <w:hideMark/>
          </w:tcPr>
          <w:p w14:paraId="2B03764A" w14:textId="77777777" w:rsidR="00BE1E6C" w:rsidRPr="00F922A4" w:rsidRDefault="00BE1E6C" w:rsidP="00BE1E6C">
            <w:pPr>
              <w:spacing w:after="0" w:line="240" w:lineRule="auto"/>
              <w:ind w:firstLineChars="100" w:firstLine="241"/>
              <w:rPr>
                <w:rFonts w:ascii="Times New Roman" w:eastAsia="Times New Roman" w:hAnsi="Times New Roman" w:cs="Times New Roman"/>
                <w:b/>
                <w:bCs/>
                <w:color w:val="1A1C1E"/>
                <w:kern w:val="0"/>
                <w:szCs w:val="24"/>
                <w:lang w:eastAsia="en-IN"/>
                <w14:ligatures w14:val="none"/>
              </w:rPr>
            </w:pPr>
            <w:r w:rsidRPr="00F922A4">
              <w:rPr>
                <w:rFonts w:ascii="Times New Roman" w:eastAsia="Times New Roman" w:hAnsi="Times New Roman" w:cs="Times New Roman"/>
                <w:b/>
                <w:bCs/>
                <w:color w:val="1A1C1E"/>
                <w:kern w:val="0"/>
                <w:szCs w:val="24"/>
                <w:lang w:eastAsia="en-IN"/>
                <w14:ligatures w14:val="none"/>
              </w:rPr>
              <w:t>Stamps &amp; registration</w:t>
            </w:r>
          </w:p>
        </w:tc>
        <w:tc>
          <w:tcPr>
            <w:tcW w:w="1206" w:type="dxa"/>
            <w:tcBorders>
              <w:top w:val="single" w:sz="4" w:space="0" w:color="auto"/>
              <w:left w:val="nil"/>
              <w:bottom w:val="single" w:sz="4" w:space="0" w:color="auto"/>
              <w:right w:val="single" w:sz="4" w:space="0" w:color="auto"/>
            </w:tcBorders>
            <w:noWrap/>
            <w:vAlign w:val="bottom"/>
            <w:hideMark/>
          </w:tcPr>
          <w:p w14:paraId="3EDDB373" w14:textId="77777777" w:rsidR="00BE1E6C" w:rsidRPr="00F922A4" w:rsidRDefault="00BE1E6C" w:rsidP="00BE1E6C">
            <w:pPr>
              <w:spacing w:after="0" w:line="240" w:lineRule="auto"/>
              <w:ind w:firstLineChars="100" w:firstLine="241"/>
              <w:rPr>
                <w:rFonts w:ascii="Times New Roman" w:eastAsia="Times New Roman" w:hAnsi="Times New Roman" w:cs="Times New Roman"/>
                <w:b/>
                <w:bCs/>
                <w:color w:val="1A1C1E"/>
                <w:kern w:val="0"/>
                <w:szCs w:val="24"/>
                <w:lang w:eastAsia="en-IN"/>
                <w14:ligatures w14:val="none"/>
              </w:rPr>
            </w:pPr>
            <w:r w:rsidRPr="00F922A4">
              <w:rPr>
                <w:rFonts w:ascii="Times New Roman" w:eastAsia="Times New Roman" w:hAnsi="Times New Roman" w:cs="Times New Roman"/>
                <w:b/>
                <w:bCs/>
                <w:color w:val="1A1C1E"/>
                <w:kern w:val="0"/>
                <w:szCs w:val="24"/>
                <w:lang w:eastAsia="en-IN"/>
                <w14:ligatures w14:val="none"/>
              </w:rPr>
              <w:t>Other taxes and duties</w:t>
            </w:r>
          </w:p>
        </w:tc>
        <w:tc>
          <w:tcPr>
            <w:tcW w:w="1159" w:type="dxa"/>
            <w:tcBorders>
              <w:top w:val="single" w:sz="4" w:space="0" w:color="auto"/>
              <w:left w:val="nil"/>
              <w:bottom w:val="single" w:sz="4" w:space="0" w:color="auto"/>
              <w:right w:val="single" w:sz="4" w:space="0" w:color="auto"/>
            </w:tcBorders>
            <w:noWrap/>
            <w:vAlign w:val="bottom"/>
            <w:hideMark/>
          </w:tcPr>
          <w:p w14:paraId="5A3A0FF4" w14:textId="77777777" w:rsidR="00BE1E6C" w:rsidRPr="00F922A4" w:rsidRDefault="00BE1E6C" w:rsidP="00BE1E6C">
            <w:pPr>
              <w:spacing w:after="0" w:line="240" w:lineRule="auto"/>
              <w:ind w:firstLineChars="100" w:firstLine="241"/>
              <w:rPr>
                <w:rFonts w:ascii="Times New Roman" w:eastAsia="Times New Roman" w:hAnsi="Times New Roman" w:cs="Times New Roman"/>
                <w:b/>
                <w:bCs/>
                <w:color w:val="1A1C1E"/>
                <w:kern w:val="0"/>
                <w:szCs w:val="24"/>
                <w:lang w:eastAsia="en-IN"/>
                <w14:ligatures w14:val="none"/>
              </w:rPr>
            </w:pPr>
            <w:r w:rsidRPr="00F922A4">
              <w:rPr>
                <w:rFonts w:ascii="Times New Roman" w:eastAsia="Times New Roman" w:hAnsi="Times New Roman" w:cs="Times New Roman"/>
                <w:b/>
                <w:bCs/>
                <w:color w:val="1A1C1E"/>
                <w:kern w:val="0"/>
                <w:szCs w:val="24"/>
                <w:lang w:eastAsia="en-IN"/>
                <w14:ligatures w14:val="none"/>
              </w:rPr>
              <w:t>Education</w:t>
            </w:r>
          </w:p>
        </w:tc>
        <w:tc>
          <w:tcPr>
            <w:tcW w:w="1119" w:type="dxa"/>
            <w:tcBorders>
              <w:top w:val="single" w:sz="4" w:space="0" w:color="auto"/>
              <w:left w:val="nil"/>
              <w:bottom w:val="single" w:sz="4" w:space="0" w:color="auto"/>
              <w:right w:val="single" w:sz="4" w:space="0" w:color="auto"/>
            </w:tcBorders>
            <w:noWrap/>
            <w:vAlign w:val="bottom"/>
            <w:hideMark/>
          </w:tcPr>
          <w:p w14:paraId="0082E0EE" w14:textId="77777777" w:rsidR="00BE1E6C" w:rsidRPr="00F922A4" w:rsidRDefault="00BE1E6C" w:rsidP="00BE1E6C">
            <w:pPr>
              <w:spacing w:after="0" w:line="240" w:lineRule="auto"/>
              <w:ind w:firstLineChars="100" w:firstLine="241"/>
              <w:rPr>
                <w:rFonts w:ascii="Times New Roman" w:eastAsia="Times New Roman" w:hAnsi="Times New Roman" w:cs="Times New Roman"/>
                <w:b/>
                <w:bCs/>
                <w:color w:val="1A1C1E"/>
                <w:kern w:val="0"/>
                <w:szCs w:val="24"/>
                <w:lang w:eastAsia="en-IN"/>
                <w14:ligatures w14:val="none"/>
              </w:rPr>
            </w:pPr>
            <w:r w:rsidRPr="00F922A4">
              <w:rPr>
                <w:rFonts w:ascii="Times New Roman" w:eastAsia="Times New Roman" w:hAnsi="Times New Roman" w:cs="Times New Roman"/>
                <w:b/>
                <w:bCs/>
                <w:color w:val="1A1C1E"/>
                <w:kern w:val="0"/>
                <w:szCs w:val="24"/>
                <w:lang w:eastAsia="en-IN"/>
                <w14:ligatures w14:val="none"/>
              </w:rPr>
              <w:t>Medical and public health</w:t>
            </w:r>
          </w:p>
        </w:tc>
        <w:tc>
          <w:tcPr>
            <w:tcW w:w="1518" w:type="dxa"/>
            <w:tcBorders>
              <w:top w:val="single" w:sz="4" w:space="0" w:color="auto"/>
              <w:left w:val="nil"/>
              <w:bottom w:val="single" w:sz="4" w:space="0" w:color="auto"/>
              <w:right w:val="single" w:sz="4" w:space="0" w:color="auto"/>
            </w:tcBorders>
            <w:noWrap/>
            <w:vAlign w:val="bottom"/>
            <w:hideMark/>
          </w:tcPr>
          <w:p w14:paraId="37FBC368" w14:textId="77777777" w:rsidR="00BE1E6C" w:rsidRPr="00F922A4" w:rsidRDefault="00BE1E6C" w:rsidP="00BE1E6C">
            <w:pPr>
              <w:spacing w:after="0" w:line="240" w:lineRule="auto"/>
              <w:ind w:firstLineChars="100" w:firstLine="241"/>
              <w:rPr>
                <w:rFonts w:ascii="Times New Roman" w:eastAsia="Times New Roman" w:hAnsi="Times New Roman" w:cs="Times New Roman"/>
                <w:b/>
                <w:bCs/>
                <w:color w:val="1A1C1E"/>
                <w:kern w:val="0"/>
                <w:szCs w:val="24"/>
                <w:lang w:eastAsia="en-IN"/>
                <w14:ligatures w14:val="none"/>
              </w:rPr>
            </w:pPr>
            <w:r w:rsidRPr="00F922A4">
              <w:rPr>
                <w:rFonts w:ascii="Times New Roman" w:eastAsia="Times New Roman" w:hAnsi="Times New Roman" w:cs="Times New Roman"/>
                <w:b/>
                <w:bCs/>
                <w:color w:val="1A1C1E"/>
                <w:kern w:val="0"/>
                <w:szCs w:val="24"/>
                <w:lang w:eastAsia="en-IN"/>
                <w14:ligatures w14:val="none"/>
              </w:rPr>
              <w:t>Administrative services</w:t>
            </w:r>
          </w:p>
        </w:tc>
        <w:tc>
          <w:tcPr>
            <w:tcW w:w="1119" w:type="dxa"/>
            <w:tcBorders>
              <w:top w:val="single" w:sz="4" w:space="0" w:color="auto"/>
              <w:left w:val="nil"/>
              <w:bottom w:val="single" w:sz="4" w:space="0" w:color="auto"/>
              <w:right w:val="single" w:sz="4" w:space="0" w:color="auto"/>
            </w:tcBorders>
            <w:noWrap/>
            <w:vAlign w:val="bottom"/>
            <w:hideMark/>
          </w:tcPr>
          <w:p w14:paraId="5084486B" w14:textId="77777777" w:rsidR="00BE1E6C" w:rsidRPr="00F922A4" w:rsidRDefault="00BE1E6C" w:rsidP="00BE1E6C">
            <w:pPr>
              <w:spacing w:after="0" w:line="240" w:lineRule="auto"/>
              <w:ind w:firstLineChars="100" w:firstLine="241"/>
              <w:rPr>
                <w:rFonts w:ascii="Times New Roman" w:eastAsia="Times New Roman" w:hAnsi="Times New Roman" w:cs="Times New Roman"/>
                <w:b/>
                <w:bCs/>
                <w:color w:val="1A1C1E"/>
                <w:kern w:val="0"/>
                <w:szCs w:val="24"/>
                <w:lang w:eastAsia="en-IN"/>
                <w14:ligatures w14:val="none"/>
              </w:rPr>
            </w:pPr>
            <w:r w:rsidRPr="00F922A4">
              <w:rPr>
                <w:rFonts w:ascii="Times New Roman" w:eastAsia="Times New Roman" w:hAnsi="Times New Roman" w:cs="Times New Roman"/>
                <w:b/>
                <w:bCs/>
                <w:color w:val="1A1C1E"/>
                <w:kern w:val="0"/>
                <w:szCs w:val="24"/>
                <w:lang w:eastAsia="en-IN"/>
                <w14:ligatures w14:val="none"/>
              </w:rPr>
              <w:t>Forests</w:t>
            </w:r>
          </w:p>
        </w:tc>
        <w:tc>
          <w:tcPr>
            <w:tcW w:w="1468" w:type="dxa"/>
            <w:tcBorders>
              <w:top w:val="single" w:sz="4" w:space="0" w:color="auto"/>
              <w:left w:val="nil"/>
              <w:bottom w:val="single" w:sz="4" w:space="0" w:color="auto"/>
              <w:right w:val="single" w:sz="4" w:space="0" w:color="auto"/>
            </w:tcBorders>
            <w:noWrap/>
            <w:vAlign w:val="bottom"/>
            <w:hideMark/>
          </w:tcPr>
          <w:p w14:paraId="7DDB1BCA" w14:textId="77777777" w:rsidR="00BE1E6C" w:rsidRPr="00F922A4" w:rsidRDefault="00BE1E6C" w:rsidP="00BE1E6C">
            <w:pPr>
              <w:spacing w:after="0" w:line="240" w:lineRule="auto"/>
              <w:ind w:firstLineChars="100" w:firstLine="241"/>
              <w:rPr>
                <w:rFonts w:ascii="Times New Roman" w:eastAsia="Times New Roman" w:hAnsi="Times New Roman" w:cs="Times New Roman"/>
                <w:b/>
                <w:bCs/>
                <w:color w:val="1A1C1E"/>
                <w:kern w:val="0"/>
                <w:szCs w:val="24"/>
                <w:lang w:eastAsia="en-IN"/>
                <w14:ligatures w14:val="none"/>
              </w:rPr>
            </w:pPr>
            <w:r w:rsidRPr="00F922A4">
              <w:rPr>
                <w:rFonts w:ascii="Times New Roman" w:eastAsia="Times New Roman" w:hAnsi="Times New Roman" w:cs="Times New Roman"/>
                <w:b/>
                <w:bCs/>
                <w:color w:val="1A1C1E"/>
                <w:kern w:val="0"/>
                <w:szCs w:val="24"/>
                <w:lang w:eastAsia="en-IN"/>
                <w14:ligatures w14:val="none"/>
              </w:rPr>
              <w:t>Total revenue receipts</w:t>
            </w:r>
          </w:p>
        </w:tc>
      </w:tr>
      <w:tr w:rsidR="00BE1E6C" w:rsidRPr="00F922A4" w14:paraId="37D1CF21" w14:textId="77777777" w:rsidTr="00435B16">
        <w:trPr>
          <w:trHeight w:val="460"/>
          <w:jc w:val="center"/>
        </w:trPr>
        <w:tc>
          <w:tcPr>
            <w:tcW w:w="13398" w:type="dxa"/>
            <w:gridSpan w:val="11"/>
            <w:tcBorders>
              <w:top w:val="single" w:sz="4" w:space="0" w:color="auto"/>
              <w:left w:val="single" w:sz="4" w:space="0" w:color="auto"/>
              <w:bottom w:val="single" w:sz="4" w:space="0" w:color="auto"/>
              <w:right w:val="single" w:sz="4" w:space="0" w:color="000000"/>
            </w:tcBorders>
            <w:noWrap/>
            <w:hideMark/>
          </w:tcPr>
          <w:p w14:paraId="2038A2FF" w14:textId="77777777" w:rsidR="00BE1E6C" w:rsidRPr="0013739E" w:rsidRDefault="00BE1E6C" w:rsidP="0013739E">
            <w:pPr>
              <w:spacing w:after="0" w:line="240" w:lineRule="auto"/>
              <w:ind w:firstLineChars="100" w:firstLine="241"/>
              <w:jc w:val="center"/>
              <w:rPr>
                <w:rFonts w:ascii="Times New Roman" w:eastAsia="Times New Roman" w:hAnsi="Times New Roman" w:cs="Times New Roman"/>
                <w:b/>
                <w:bCs/>
                <w:color w:val="1A1C1E"/>
                <w:kern w:val="0"/>
                <w:szCs w:val="24"/>
                <w:lang w:eastAsia="en-IN"/>
                <w14:ligatures w14:val="none"/>
              </w:rPr>
            </w:pPr>
            <w:r w:rsidRPr="0013739E">
              <w:rPr>
                <w:rFonts w:ascii="Times New Roman" w:eastAsia="Times New Roman" w:hAnsi="Times New Roman" w:cs="Times New Roman"/>
                <w:b/>
                <w:bCs/>
                <w:color w:val="1A1C1E"/>
                <w:kern w:val="0"/>
                <w:szCs w:val="24"/>
                <w:lang w:eastAsia="en-IN"/>
                <w14:ligatures w14:val="none"/>
              </w:rPr>
              <w:t>West Bengal</w:t>
            </w:r>
          </w:p>
        </w:tc>
      </w:tr>
      <w:tr w:rsidR="00BE1E6C" w:rsidRPr="00F922A4" w14:paraId="32490B46" w14:textId="77777777" w:rsidTr="00435B16">
        <w:trPr>
          <w:trHeight w:val="460"/>
          <w:jc w:val="center"/>
        </w:trPr>
        <w:tc>
          <w:tcPr>
            <w:tcW w:w="1838" w:type="dxa"/>
            <w:tcBorders>
              <w:top w:val="nil"/>
              <w:left w:val="single" w:sz="4" w:space="0" w:color="auto"/>
              <w:bottom w:val="single" w:sz="4" w:space="0" w:color="auto"/>
              <w:right w:val="single" w:sz="4" w:space="0" w:color="auto"/>
            </w:tcBorders>
            <w:noWrap/>
            <w:vAlign w:val="bottom"/>
            <w:hideMark/>
          </w:tcPr>
          <w:p w14:paraId="0703EB33" w14:textId="77777777" w:rsidR="00BE1E6C" w:rsidRPr="00F922A4" w:rsidRDefault="00BE1E6C" w:rsidP="00BE1E6C">
            <w:pPr>
              <w:spacing w:after="0" w:line="240" w:lineRule="auto"/>
              <w:ind w:firstLineChars="100" w:firstLine="240"/>
              <w:rPr>
                <w:rFonts w:ascii="Times New Roman" w:eastAsia="Times New Roman" w:hAnsi="Times New Roman" w:cs="Times New Roman"/>
                <w:color w:val="1A1C1E"/>
                <w:kern w:val="0"/>
                <w:szCs w:val="24"/>
                <w:lang w:eastAsia="en-IN"/>
                <w14:ligatures w14:val="none"/>
              </w:rPr>
            </w:pPr>
            <w:r w:rsidRPr="00F922A4">
              <w:rPr>
                <w:rFonts w:ascii="Times New Roman" w:eastAsia="Times New Roman" w:hAnsi="Times New Roman" w:cs="Times New Roman"/>
                <w:color w:val="1A1C1E"/>
                <w:kern w:val="0"/>
                <w:szCs w:val="24"/>
                <w:lang w:eastAsia="en-IN"/>
                <w14:ligatures w14:val="none"/>
              </w:rPr>
              <w:t>1961-62</w:t>
            </w:r>
          </w:p>
        </w:tc>
        <w:tc>
          <w:tcPr>
            <w:tcW w:w="440" w:type="dxa"/>
            <w:tcBorders>
              <w:top w:val="nil"/>
              <w:left w:val="nil"/>
              <w:bottom w:val="single" w:sz="4" w:space="0" w:color="auto"/>
              <w:right w:val="single" w:sz="4" w:space="0" w:color="auto"/>
            </w:tcBorders>
            <w:noWrap/>
            <w:vAlign w:val="center"/>
            <w:hideMark/>
          </w:tcPr>
          <w:p w14:paraId="3C62BE92" w14:textId="77777777" w:rsidR="00BE1E6C" w:rsidRPr="00F922A4" w:rsidRDefault="00BE1E6C" w:rsidP="00BE1E6C">
            <w:pPr>
              <w:spacing w:after="0" w:line="240" w:lineRule="auto"/>
              <w:ind w:firstLineChars="100" w:firstLine="240"/>
              <w:rPr>
                <w:rFonts w:ascii="Times New Roman" w:eastAsia="Times New Roman" w:hAnsi="Times New Roman" w:cs="Times New Roman"/>
                <w:color w:val="1A1C1E"/>
                <w:kern w:val="0"/>
                <w:szCs w:val="24"/>
                <w:lang w:eastAsia="en-IN"/>
                <w14:ligatures w14:val="none"/>
              </w:rPr>
            </w:pPr>
            <w:r w:rsidRPr="00F922A4">
              <w:rPr>
                <w:rFonts w:ascii="Times New Roman" w:eastAsia="Times New Roman" w:hAnsi="Times New Roman" w:cs="Times New Roman"/>
                <w:color w:val="1A1C1E"/>
                <w:kern w:val="0"/>
                <w:szCs w:val="24"/>
                <w:lang w:eastAsia="en-IN"/>
                <w14:ligatures w14:val="none"/>
              </w:rPr>
              <w:t>6.20(6.10)</w:t>
            </w:r>
          </w:p>
        </w:tc>
        <w:tc>
          <w:tcPr>
            <w:tcW w:w="1293" w:type="dxa"/>
            <w:tcBorders>
              <w:top w:val="nil"/>
              <w:left w:val="nil"/>
              <w:bottom w:val="single" w:sz="4" w:space="0" w:color="auto"/>
              <w:right w:val="single" w:sz="4" w:space="0" w:color="auto"/>
            </w:tcBorders>
            <w:noWrap/>
            <w:vAlign w:val="center"/>
            <w:hideMark/>
          </w:tcPr>
          <w:p w14:paraId="3335C5F9" w14:textId="77777777" w:rsidR="00BE1E6C" w:rsidRPr="00F922A4" w:rsidRDefault="00BE1E6C" w:rsidP="00BE1E6C">
            <w:pPr>
              <w:spacing w:after="0" w:line="240" w:lineRule="auto"/>
              <w:ind w:firstLineChars="100" w:firstLine="240"/>
              <w:rPr>
                <w:rFonts w:ascii="Times New Roman" w:eastAsia="Times New Roman" w:hAnsi="Times New Roman" w:cs="Times New Roman"/>
                <w:color w:val="1A1C1E"/>
                <w:kern w:val="0"/>
                <w:szCs w:val="24"/>
                <w:lang w:eastAsia="en-IN"/>
                <w14:ligatures w14:val="none"/>
              </w:rPr>
            </w:pPr>
            <w:r w:rsidRPr="00F922A4">
              <w:rPr>
                <w:rFonts w:ascii="Times New Roman" w:eastAsia="Times New Roman" w:hAnsi="Times New Roman" w:cs="Times New Roman"/>
                <w:color w:val="1A1C1E"/>
                <w:kern w:val="0"/>
                <w:szCs w:val="24"/>
                <w:lang w:eastAsia="en-IN"/>
                <w14:ligatures w14:val="none"/>
              </w:rPr>
              <w:t>21.45(21.09)</w:t>
            </w:r>
          </w:p>
        </w:tc>
        <w:tc>
          <w:tcPr>
            <w:tcW w:w="1119" w:type="dxa"/>
            <w:tcBorders>
              <w:top w:val="nil"/>
              <w:left w:val="nil"/>
              <w:bottom w:val="single" w:sz="4" w:space="0" w:color="auto"/>
              <w:right w:val="single" w:sz="4" w:space="0" w:color="auto"/>
            </w:tcBorders>
            <w:noWrap/>
            <w:vAlign w:val="center"/>
            <w:hideMark/>
          </w:tcPr>
          <w:p w14:paraId="30F8C09E" w14:textId="77777777" w:rsidR="00BE1E6C" w:rsidRPr="00F922A4" w:rsidRDefault="00BE1E6C" w:rsidP="00BE1E6C">
            <w:pPr>
              <w:spacing w:after="0" w:line="240" w:lineRule="auto"/>
              <w:ind w:firstLineChars="100" w:firstLine="240"/>
              <w:rPr>
                <w:rFonts w:ascii="Times New Roman" w:eastAsia="Times New Roman" w:hAnsi="Times New Roman" w:cs="Times New Roman"/>
                <w:color w:val="1A1C1E"/>
                <w:kern w:val="0"/>
                <w:szCs w:val="24"/>
                <w:lang w:eastAsia="en-IN"/>
                <w14:ligatures w14:val="none"/>
              </w:rPr>
            </w:pPr>
            <w:r w:rsidRPr="00F922A4">
              <w:rPr>
                <w:rFonts w:ascii="Times New Roman" w:eastAsia="Times New Roman" w:hAnsi="Times New Roman" w:cs="Times New Roman"/>
                <w:color w:val="1A1C1E"/>
                <w:kern w:val="0"/>
                <w:szCs w:val="24"/>
                <w:lang w:eastAsia="en-IN"/>
                <w14:ligatures w14:val="none"/>
              </w:rPr>
              <w:t>2.35(2.31)</w:t>
            </w:r>
          </w:p>
        </w:tc>
        <w:tc>
          <w:tcPr>
            <w:tcW w:w="1119" w:type="dxa"/>
            <w:tcBorders>
              <w:top w:val="nil"/>
              <w:left w:val="nil"/>
              <w:bottom w:val="single" w:sz="4" w:space="0" w:color="auto"/>
              <w:right w:val="single" w:sz="4" w:space="0" w:color="auto"/>
            </w:tcBorders>
            <w:noWrap/>
            <w:vAlign w:val="center"/>
            <w:hideMark/>
          </w:tcPr>
          <w:p w14:paraId="52023B19" w14:textId="77777777" w:rsidR="00BE1E6C" w:rsidRPr="00F922A4" w:rsidRDefault="00BE1E6C" w:rsidP="00BE1E6C">
            <w:pPr>
              <w:spacing w:after="0" w:line="240" w:lineRule="auto"/>
              <w:ind w:firstLineChars="100" w:firstLine="240"/>
              <w:rPr>
                <w:rFonts w:ascii="Times New Roman" w:eastAsia="Times New Roman" w:hAnsi="Times New Roman" w:cs="Times New Roman"/>
                <w:color w:val="1A1C1E"/>
                <w:kern w:val="0"/>
                <w:szCs w:val="24"/>
                <w:lang w:eastAsia="en-IN"/>
                <w14:ligatures w14:val="none"/>
              </w:rPr>
            </w:pPr>
            <w:r w:rsidRPr="00F922A4">
              <w:rPr>
                <w:rFonts w:ascii="Times New Roman" w:eastAsia="Times New Roman" w:hAnsi="Times New Roman" w:cs="Times New Roman"/>
                <w:color w:val="1A1C1E"/>
                <w:kern w:val="0"/>
                <w:szCs w:val="24"/>
                <w:lang w:eastAsia="en-IN"/>
                <w14:ligatures w14:val="none"/>
              </w:rPr>
              <w:t>4.96(4.88)</w:t>
            </w:r>
          </w:p>
        </w:tc>
        <w:tc>
          <w:tcPr>
            <w:tcW w:w="1206" w:type="dxa"/>
            <w:tcBorders>
              <w:top w:val="nil"/>
              <w:left w:val="nil"/>
              <w:bottom w:val="single" w:sz="4" w:space="0" w:color="auto"/>
              <w:right w:val="single" w:sz="4" w:space="0" w:color="auto"/>
            </w:tcBorders>
            <w:noWrap/>
            <w:vAlign w:val="center"/>
            <w:hideMark/>
          </w:tcPr>
          <w:p w14:paraId="3AA215C9" w14:textId="77777777" w:rsidR="00BE1E6C" w:rsidRPr="00F922A4" w:rsidRDefault="00BE1E6C" w:rsidP="00BE1E6C">
            <w:pPr>
              <w:spacing w:after="0" w:line="240" w:lineRule="auto"/>
              <w:ind w:firstLineChars="100" w:firstLine="240"/>
              <w:rPr>
                <w:rFonts w:ascii="Times New Roman" w:eastAsia="Times New Roman" w:hAnsi="Times New Roman" w:cs="Times New Roman"/>
                <w:color w:val="1A1C1E"/>
                <w:kern w:val="0"/>
                <w:szCs w:val="24"/>
                <w:lang w:eastAsia="en-IN"/>
                <w14:ligatures w14:val="none"/>
              </w:rPr>
            </w:pPr>
            <w:r w:rsidRPr="00F922A4">
              <w:rPr>
                <w:rFonts w:ascii="Times New Roman" w:eastAsia="Times New Roman" w:hAnsi="Times New Roman" w:cs="Times New Roman"/>
                <w:color w:val="1A1C1E"/>
                <w:kern w:val="0"/>
                <w:szCs w:val="24"/>
                <w:lang w:eastAsia="en-IN"/>
                <w14:ligatures w14:val="none"/>
              </w:rPr>
              <w:t>9.89(9.72)</w:t>
            </w:r>
          </w:p>
        </w:tc>
        <w:tc>
          <w:tcPr>
            <w:tcW w:w="1159" w:type="dxa"/>
            <w:tcBorders>
              <w:top w:val="nil"/>
              <w:left w:val="nil"/>
              <w:bottom w:val="single" w:sz="4" w:space="0" w:color="auto"/>
              <w:right w:val="single" w:sz="4" w:space="0" w:color="auto"/>
            </w:tcBorders>
            <w:noWrap/>
            <w:vAlign w:val="center"/>
            <w:hideMark/>
          </w:tcPr>
          <w:p w14:paraId="772A827A" w14:textId="77777777" w:rsidR="00BE1E6C" w:rsidRPr="00F922A4" w:rsidRDefault="00BE1E6C" w:rsidP="00BE1E6C">
            <w:pPr>
              <w:spacing w:after="0" w:line="240" w:lineRule="auto"/>
              <w:ind w:firstLineChars="100" w:firstLine="240"/>
              <w:rPr>
                <w:rFonts w:ascii="Times New Roman" w:eastAsia="Times New Roman" w:hAnsi="Times New Roman" w:cs="Times New Roman"/>
                <w:color w:val="1A1C1E"/>
                <w:kern w:val="0"/>
                <w:szCs w:val="24"/>
                <w:lang w:eastAsia="en-IN"/>
                <w14:ligatures w14:val="none"/>
              </w:rPr>
            </w:pPr>
            <w:r w:rsidRPr="00F922A4">
              <w:rPr>
                <w:rFonts w:ascii="Times New Roman" w:eastAsia="Times New Roman" w:hAnsi="Times New Roman" w:cs="Times New Roman"/>
                <w:color w:val="1A1C1E"/>
                <w:kern w:val="0"/>
                <w:szCs w:val="24"/>
                <w:lang w:eastAsia="en-IN"/>
                <w14:ligatures w14:val="none"/>
              </w:rPr>
              <w:t>0.75(0.74)</w:t>
            </w:r>
          </w:p>
        </w:tc>
        <w:tc>
          <w:tcPr>
            <w:tcW w:w="1119" w:type="dxa"/>
            <w:tcBorders>
              <w:top w:val="nil"/>
              <w:left w:val="nil"/>
              <w:bottom w:val="single" w:sz="4" w:space="0" w:color="auto"/>
              <w:right w:val="single" w:sz="4" w:space="0" w:color="auto"/>
            </w:tcBorders>
            <w:noWrap/>
            <w:vAlign w:val="center"/>
            <w:hideMark/>
          </w:tcPr>
          <w:p w14:paraId="34DC86F2" w14:textId="77777777" w:rsidR="00BE1E6C" w:rsidRPr="00F922A4" w:rsidRDefault="00BE1E6C" w:rsidP="00BE1E6C">
            <w:pPr>
              <w:spacing w:after="0" w:line="240" w:lineRule="auto"/>
              <w:ind w:firstLineChars="100" w:firstLine="240"/>
              <w:rPr>
                <w:rFonts w:ascii="Times New Roman" w:eastAsia="Times New Roman" w:hAnsi="Times New Roman" w:cs="Times New Roman"/>
                <w:color w:val="1A1C1E"/>
                <w:kern w:val="0"/>
                <w:szCs w:val="24"/>
                <w:lang w:eastAsia="en-IN"/>
                <w14:ligatures w14:val="none"/>
              </w:rPr>
            </w:pPr>
            <w:r w:rsidRPr="00F922A4">
              <w:rPr>
                <w:rFonts w:ascii="Times New Roman" w:eastAsia="Times New Roman" w:hAnsi="Times New Roman" w:cs="Times New Roman"/>
                <w:color w:val="1A1C1E"/>
                <w:kern w:val="0"/>
                <w:szCs w:val="24"/>
                <w:lang w:eastAsia="en-IN"/>
                <w14:ligatures w14:val="none"/>
              </w:rPr>
              <w:t>0.92(0.90)</w:t>
            </w:r>
          </w:p>
        </w:tc>
        <w:tc>
          <w:tcPr>
            <w:tcW w:w="1518" w:type="dxa"/>
            <w:tcBorders>
              <w:top w:val="nil"/>
              <w:left w:val="nil"/>
              <w:bottom w:val="single" w:sz="4" w:space="0" w:color="auto"/>
              <w:right w:val="single" w:sz="4" w:space="0" w:color="auto"/>
            </w:tcBorders>
            <w:noWrap/>
            <w:vAlign w:val="center"/>
            <w:hideMark/>
          </w:tcPr>
          <w:p w14:paraId="0B31B8E0" w14:textId="77777777" w:rsidR="00BE1E6C" w:rsidRPr="00F922A4" w:rsidRDefault="00BE1E6C" w:rsidP="00BE1E6C">
            <w:pPr>
              <w:spacing w:after="0" w:line="240" w:lineRule="auto"/>
              <w:ind w:firstLineChars="100" w:firstLine="240"/>
              <w:rPr>
                <w:rFonts w:ascii="Times New Roman" w:eastAsia="Times New Roman" w:hAnsi="Times New Roman" w:cs="Times New Roman"/>
                <w:color w:val="1A1C1E"/>
                <w:kern w:val="0"/>
                <w:szCs w:val="24"/>
                <w:lang w:eastAsia="en-IN"/>
                <w14:ligatures w14:val="none"/>
              </w:rPr>
            </w:pPr>
            <w:r w:rsidRPr="00F922A4">
              <w:rPr>
                <w:rFonts w:ascii="Times New Roman" w:eastAsia="Times New Roman" w:hAnsi="Times New Roman" w:cs="Times New Roman"/>
                <w:color w:val="1A1C1E"/>
                <w:kern w:val="0"/>
                <w:szCs w:val="24"/>
                <w:lang w:eastAsia="en-IN"/>
                <w14:ligatures w14:val="none"/>
              </w:rPr>
              <w:t>0.94(0.92)</w:t>
            </w:r>
          </w:p>
        </w:tc>
        <w:tc>
          <w:tcPr>
            <w:tcW w:w="1119" w:type="dxa"/>
            <w:tcBorders>
              <w:top w:val="nil"/>
              <w:left w:val="nil"/>
              <w:bottom w:val="single" w:sz="4" w:space="0" w:color="auto"/>
              <w:right w:val="single" w:sz="4" w:space="0" w:color="auto"/>
            </w:tcBorders>
            <w:noWrap/>
            <w:vAlign w:val="center"/>
            <w:hideMark/>
          </w:tcPr>
          <w:p w14:paraId="0D8E1D61" w14:textId="77777777" w:rsidR="00BE1E6C" w:rsidRPr="00F922A4" w:rsidRDefault="00BE1E6C" w:rsidP="00BE1E6C">
            <w:pPr>
              <w:spacing w:after="0" w:line="240" w:lineRule="auto"/>
              <w:ind w:firstLineChars="100" w:firstLine="240"/>
              <w:rPr>
                <w:rFonts w:ascii="Times New Roman" w:eastAsia="Times New Roman" w:hAnsi="Times New Roman" w:cs="Times New Roman"/>
                <w:color w:val="1A1C1E"/>
                <w:kern w:val="0"/>
                <w:szCs w:val="24"/>
                <w:lang w:eastAsia="en-IN"/>
                <w14:ligatures w14:val="none"/>
              </w:rPr>
            </w:pPr>
            <w:r w:rsidRPr="00F922A4">
              <w:rPr>
                <w:rFonts w:ascii="Times New Roman" w:eastAsia="Times New Roman" w:hAnsi="Times New Roman" w:cs="Times New Roman"/>
                <w:color w:val="1A1C1E"/>
                <w:kern w:val="0"/>
                <w:szCs w:val="24"/>
                <w:lang w:eastAsia="en-IN"/>
                <w14:ligatures w14:val="none"/>
              </w:rPr>
              <w:t>1.71(1.68)</w:t>
            </w:r>
          </w:p>
        </w:tc>
        <w:tc>
          <w:tcPr>
            <w:tcW w:w="1468" w:type="dxa"/>
            <w:tcBorders>
              <w:top w:val="nil"/>
              <w:left w:val="nil"/>
              <w:bottom w:val="single" w:sz="4" w:space="0" w:color="auto"/>
              <w:right w:val="single" w:sz="4" w:space="0" w:color="auto"/>
            </w:tcBorders>
            <w:noWrap/>
            <w:vAlign w:val="center"/>
            <w:hideMark/>
          </w:tcPr>
          <w:p w14:paraId="2009C7F7" w14:textId="77777777" w:rsidR="00BE1E6C" w:rsidRPr="00F922A4" w:rsidRDefault="00BE1E6C" w:rsidP="00BE1E6C">
            <w:pPr>
              <w:spacing w:after="0" w:line="240" w:lineRule="auto"/>
              <w:ind w:firstLineChars="100" w:firstLine="240"/>
              <w:rPr>
                <w:rFonts w:ascii="Times New Roman" w:eastAsia="Times New Roman" w:hAnsi="Times New Roman" w:cs="Times New Roman"/>
                <w:color w:val="1A1C1E"/>
                <w:kern w:val="0"/>
                <w:szCs w:val="24"/>
                <w:lang w:eastAsia="en-IN"/>
                <w14:ligatures w14:val="none"/>
              </w:rPr>
            </w:pPr>
            <w:r w:rsidRPr="00F922A4">
              <w:rPr>
                <w:rFonts w:ascii="Times New Roman" w:eastAsia="Times New Roman" w:hAnsi="Times New Roman" w:cs="Times New Roman"/>
                <w:color w:val="1A1C1E"/>
                <w:kern w:val="0"/>
                <w:szCs w:val="24"/>
                <w:lang w:eastAsia="en-IN"/>
                <w14:ligatures w14:val="none"/>
              </w:rPr>
              <w:t>101.70(100.00)</w:t>
            </w:r>
          </w:p>
        </w:tc>
      </w:tr>
      <w:tr w:rsidR="00BE1E6C" w:rsidRPr="00F922A4" w14:paraId="3BD2D3C5" w14:textId="77777777" w:rsidTr="00435B16">
        <w:trPr>
          <w:trHeight w:val="460"/>
          <w:jc w:val="center"/>
        </w:trPr>
        <w:tc>
          <w:tcPr>
            <w:tcW w:w="1838" w:type="dxa"/>
            <w:tcBorders>
              <w:top w:val="nil"/>
              <w:left w:val="single" w:sz="4" w:space="0" w:color="auto"/>
              <w:bottom w:val="single" w:sz="4" w:space="0" w:color="auto"/>
              <w:right w:val="single" w:sz="4" w:space="0" w:color="auto"/>
            </w:tcBorders>
            <w:noWrap/>
            <w:vAlign w:val="bottom"/>
            <w:hideMark/>
          </w:tcPr>
          <w:p w14:paraId="37424D47" w14:textId="77777777" w:rsidR="00BE1E6C" w:rsidRPr="00F922A4" w:rsidRDefault="00BE1E6C" w:rsidP="00BE1E6C">
            <w:pPr>
              <w:spacing w:after="0" w:line="240" w:lineRule="auto"/>
              <w:ind w:firstLineChars="100" w:firstLine="240"/>
              <w:rPr>
                <w:rFonts w:ascii="Times New Roman" w:eastAsia="Times New Roman" w:hAnsi="Times New Roman" w:cs="Times New Roman"/>
                <w:color w:val="1A1C1E"/>
                <w:kern w:val="0"/>
                <w:szCs w:val="24"/>
                <w:lang w:eastAsia="en-IN"/>
                <w14:ligatures w14:val="none"/>
              </w:rPr>
            </w:pPr>
            <w:r w:rsidRPr="00F922A4">
              <w:rPr>
                <w:rFonts w:ascii="Times New Roman" w:eastAsia="Times New Roman" w:hAnsi="Times New Roman" w:cs="Times New Roman"/>
                <w:color w:val="1A1C1E"/>
                <w:kern w:val="0"/>
                <w:szCs w:val="24"/>
                <w:lang w:eastAsia="en-IN"/>
                <w14:ligatures w14:val="none"/>
              </w:rPr>
              <w:t>1965-66</w:t>
            </w:r>
          </w:p>
        </w:tc>
        <w:tc>
          <w:tcPr>
            <w:tcW w:w="440" w:type="dxa"/>
            <w:tcBorders>
              <w:top w:val="nil"/>
              <w:left w:val="nil"/>
              <w:bottom w:val="single" w:sz="4" w:space="0" w:color="auto"/>
              <w:right w:val="single" w:sz="4" w:space="0" w:color="auto"/>
            </w:tcBorders>
            <w:noWrap/>
            <w:vAlign w:val="center"/>
            <w:hideMark/>
          </w:tcPr>
          <w:p w14:paraId="059B7643" w14:textId="77777777" w:rsidR="00BE1E6C" w:rsidRPr="00F922A4" w:rsidRDefault="00BE1E6C" w:rsidP="00BE1E6C">
            <w:pPr>
              <w:spacing w:after="0" w:line="240" w:lineRule="auto"/>
              <w:ind w:firstLineChars="100" w:firstLine="240"/>
              <w:rPr>
                <w:rFonts w:ascii="Times New Roman" w:eastAsia="Times New Roman" w:hAnsi="Times New Roman" w:cs="Times New Roman"/>
                <w:color w:val="1A1C1E"/>
                <w:kern w:val="0"/>
                <w:szCs w:val="24"/>
                <w:lang w:eastAsia="en-IN"/>
                <w14:ligatures w14:val="none"/>
              </w:rPr>
            </w:pPr>
            <w:r w:rsidRPr="00F922A4">
              <w:rPr>
                <w:rFonts w:ascii="Times New Roman" w:eastAsia="Times New Roman" w:hAnsi="Times New Roman" w:cs="Times New Roman"/>
                <w:color w:val="1A1C1E"/>
                <w:kern w:val="0"/>
                <w:szCs w:val="24"/>
                <w:lang w:eastAsia="en-IN"/>
                <w14:ligatures w14:val="none"/>
              </w:rPr>
              <w:t>7.02</w:t>
            </w:r>
          </w:p>
        </w:tc>
        <w:tc>
          <w:tcPr>
            <w:tcW w:w="1293" w:type="dxa"/>
            <w:tcBorders>
              <w:top w:val="nil"/>
              <w:left w:val="nil"/>
              <w:bottom w:val="single" w:sz="4" w:space="0" w:color="auto"/>
              <w:right w:val="single" w:sz="4" w:space="0" w:color="auto"/>
            </w:tcBorders>
            <w:noWrap/>
            <w:vAlign w:val="center"/>
            <w:hideMark/>
          </w:tcPr>
          <w:p w14:paraId="3814972C" w14:textId="77777777" w:rsidR="00BE1E6C" w:rsidRPr="00F922A4" w:rsidRDefault="00BE1E6C" w:rsidP="00BE1E6C">
            <w:pPr>
              <w:spacing w:after="0" w:line="240" w:lineRule="auto"/>
              <w:ind w:firstLineChars="100" w:firstLine="240"/>
              <w:rPr>
                <w:rFonts w:ascii="Times New Roman" w:eastAsia="Times New Roman" w:hAnsi="Times New Roman" w:cs="Times New Roman"/>
                <w:color w:val="1A1C1E"/>
                <w:kern w:val="0"/>
                <w:szCs w:val="24"/>
                <w:lang w:eastAsia="en-IN"/>
                <w14:ligatures w14:val="none"/>
              </w:rPr>
            </w:pPr>
            <w:r w:rsidRPr="00F922A4">
              <w:rPr>
                <w:rFonts w:ascii="Times New Roman" w:eastAsia="Times New Roman" w:hAnsi="Times New Roman" w:cs="Times New Roman"/>
                <w:color w:val="1A1C1E"/>
                <w:kern w:val="0"/>
                <w:szCs w:val="24"/>
                <w:lang w:eastAsia="en-IN"/>
                <w14:ligatures w14:val="none"/>
              </w:rPr>
              <w:t>45.38</w:t>
            </w:r>
          </w:p>
        </w:tc>
        <w:tc>
          <w:tcPr>
            <w:tcW w:w="1119" w:type="dxa"/>
            <w:tcBorders>
              <w:top w:val="nil"/>
              <w:left w:val="nil"/>
              <w:bottom w:val="single" w:sz="4" w:space="0" w:color="auto"/>
              <w:right w:val="single" w:sz="4" w:space="0" w:color="auto"/>
            </w:tcBorders>
            <w:noWrap/>
            <w:vAlign w:val="center"/>
            <w:hideMark/>
          </w:tcPr>
          <w:p w14:paraId="08F83A9F" w14:textId="77777777" w:rsidR="00BE1E6C" w:rsidRPr="00F922A4" w:rsidRDefault="00BE1E6C" w:rsidP="00BE1E6C">
            <w:pPr>
              <w:spacing w:after="0" w:line="240" w:lineRule="auto"/>
              <w:ind w:firstLineChars="100" w:firstLine="240"/>
              <w:rPr>
                <w:rFonts w:ascii="Times New Roman" w:eastAsia="Times New Roman" w:hAnsi="Times New Roman" w:cs="Times New Roman"/>
                <w:color w:val="1A1C1E"/>
                <w:kern w:val="0"/>
                <w:szCs w:val="24"/>
                <w:lang w:eastAsia="en-IN"/>
                <w14:ligatures w14:val="none"/>
              </w:rPr>
            </w:pPr>
            <w:r w:rsidRPr="00F922A4">
              <w:rPr>
                <w:rFonts w:ascii="Times New Roman" w:eastAsia="Times New Roman" w:hAnsi="Times New Roman" w:cs="Times New Roman"/>
                <w:color w:val="1A1C1E"/>
                <w:kern w:val="0"/>
                <w:szCs w:val="24"/>
                <w:lang w:eastAsia="en-IN"/>
                <w14:ligatures w14:val="none"/>
              </w:rPr>
              <w:t>5.6</w:t>
            </w:r>
          </w:p>
        </w:tc>
        <w:tc>
          <w:tcPr>
            <w:tcW w:w="1119" w:type="dxa"/>
            <w:tcBorders>
              <w:top w:val="nil"/>
              <w:left w:val="nil"/>
              <w:bottom w:val="single" w:sz="4" w:space="0" w:color="auto"/>
              <w:right w:val="single" w:sz="4" w:space="0" w:color="auto"/>
            </w:tcBorders>
            <w:noWrap/>
            <w:vAlign w:val="center"/>
            <w:hideMark/>
          </w:tcPr>
          <w:p w14:paraId="35ED8BC0" w14:textId="77777777" w:rsidR="00BE1E6C" w:rsidRPr="00F922A4" w:rsidRDefault="00BE1E6C" w:rsidP="00BE1E6C">
            <w:pPr>
              <w:spacing w:after="0" w:line="240" w:lineRule="auto"/>
              <w:ind w:firstLineChars="100" w:firstLine="240"/>
              <w:rPr>
                <w:rFonts w:ascii="Times New Roman" w:eastAsia="Times New Roman" w:hAnsi="Times New Roman" w:cs="Times New Roman"/>
                <w:color w:val="1A1C1E"/>
                <w:kern w:val="0"/>
                <w:szCs w:val="24"/>
                <w:lang w:eastAsia="en-IN"/>
                <w14:ligatures w14:val="none"/>
              </w:rPr>
            </w:pPr>
            <w:r w:rsidRPr="00F922A4">
              <w:rPr>
                <w:rFonts w:ascii="Times New Roman" w:eastAsia="Times New Roman" w:hAnsi="Times New Roman" w:cs="Times New Roman"/>
                <w:color w:val="1A1C1E"/>
                <w:kern w:val="0"/>
                <w:szCs w:val="24"/>
                <w:lang w:eastAsia="en-IN"/>
                <w14:ligatures w14:val="none"/>
              </w:rPr>
              <w:t>8.63</w:t>
            </w:r>
          </w:p>
        </w:tc>
        <w:tc>
          <w:tcPr>
            <w:tcW w:w="1206" w:type="dxa"/>
            <w:tcBorders>
              <w:top w:val="nil"/>
              <w:left w:val="nil"/>
              <w:bottom w:val="single" w:sz="4" w:space="0" w:color="auto"/>
              <w:right w:val="single" w:sz="4" w:space="0" w:color="auto"/>
            </w:tcBorders>
            <w:noWrap/>
            <w:vAlign w:val="center"/>
            <w:hideMark/>
          </w:tcPr>
          <w:p w14:paraId="7517221C" w14:textId="77777777" w:rsidR="00BE1E6C" w:rsidRPr="00F922A4" w:rsidRDefault="00BE1E6C" w:rsidP="00BE1E6C">
            <w:pPr>
              <w:spacing w:after="0" w:line="240" w:lineRule="auto"/>
              <w:ind w:firstLineChars="100" w:firstLine="240"/>
              <w:rPr>
                <w:rFonts w:ascii="Times New Roman" w:eastAsia="Times New Roman" w:hAnsi="Times New Roman" w:cs="Times New Roman"/>
                <w:color w:val="1A1C1E"/>
                <w:kern w:val="0"/>
                <w:szCs w:val="24"/>
                <w:lang w:eastAsia="en-IN"/>
                <w14:ligatures w14:val="none"/>
              </w:rPr>
            </w:pPr>
            <w:r w:rsidRPr="00F922A4">
              <w:rPr>
                <w:rFonts w:ascii="Times New Roman" w:eastAsia="Times New Roman" w:hAnsi="Times New Roman" w:cs="Times New Roman"/>
                <w:color w:val="1A1C1E"/>
                <w:kern w:val="0"/>
                <w:szCs w:val="24"/>
                <w:lang w:eastAsia="en-IN"/>
                <w14:ligatures w14:val="none"/>
              </w:rPr>
              <w:t>14.77</w:t>
            </w:r>
          </w:p>
        </w:tc>
        <w:tc>
          <w:tcPr>
            <w:tcW w:w="1159" w:type="dxa"/>
            <w:tcBorders>
              <w:top w:val="nil"/>
              <w:left w:val="nil"/>
              <w:bottom w:val="single" w:sz="4" w:space="0" w:color="auto"/>
              <w:right w:val="single" w:sz="4" w:space="0" w:color="auto"/>
            </w:tcBorders>
            <w:noWrap/>
            <w:vAlign w:val="center"/>
            <w:hideMark/>
          </w:tcPr>
          <w:p w14:paraId="13847274" w14:textId="77777777" w:rsidR="00BE1E6C" w:rsidRPr="00F922A4" w:rsidRDefault="00BE1E6C" w:rsidP="00BE1E6C">
            <w:pPr>
              <w:spacing w:after="0" w:line="240" w:lineRule="auto"/>
              <w:ind w:firstLineChars="100" w:firstLine="240"/>
              <w:rPr>
                <w:rFonts w:ascii="Times New Roman" w:eastAsia="Times New Roman" w:hAnsi="Times New Roman" w:cs="Times New Roman"/>
                <w:color w:val="1A1C1E"/>
                <w:kern w:val="0"/>
                <w:szCs w:val="24"/>
                <w:lang w:eastAsia="en-IN"/>
                <w14:ligatures w14:val="none"/>
              </w:rPr>
            </w:pPr>
            <w:r w:rsidRPr="00F922A4">
              <w:rPr>
                <w:rFonts w:ascii="Times New Roman" w:eastAsia="Times New Roman" w:hAnsi="Times New Roman" w:cs="Times New Roman"/>
                <w:color w:val="1A1C1E"/>
                <w:kern w:val="0"/>
                <w:szCs w:val="24"/>
                <w:lang w:eastAsia="en-IN"/>
                <w14:ligatures w14:val="none"/>
              </w:rPr>
              <w:t>0.64</w:t>
            </w:r>
          </w:p>
        </w:tc>
        <w:tc>
          <w:tcPr>
            <w:tcW w:w="1119" w:type="dxa"/>
            <w:tcBorders>
              <w:top w:val="nil"/>
              <w:left w:val="nil"/>
              <w:bottom w:val="single" w:sz="4" w:space="0" w:color="auto"/>
              <w:right w:val="single" w:sz="4" w:space="0" w:color="auto"/>
            </w:tcBorders>
            <w:noWrap/>
            <w:vAlign w:val="center"/>
            <w:hideMark/>
          </w:tcPr>
          <w:p w14:paraId="5B277D5E" w14:textId="77777777" w:rsidR="00BE1E6C" w:rsidRPr="00F922A4" w:rsidRDefault="00BE1E6C" w:rsidP="00BE1E6C">
            <w:pPr>
              <w:spacing w:after="0" w:line="240" w:lineRule="auto"/>
              <w:ind w:firstLineChars="100" w:firstLine="240"/>
              <w:rPr>
                <w:rFonts w:ascii="Times New Roman" w:eastAsia="Times New Roman" w:hAnsi="Times New Roman" w:cs="Times New Roman"/>
                <w:color w:val="1A1C1E"/>
                <w:kern w:val="0"/>
                <w:szCs w:val="24"/>
                <w:lang w:eastAsia="en-IN"/>
                <w14:ligatures w14:val="none"/>
              </w:rPr>
            </w:pPr>
            <w:r w:rsidRPr="00F922A4">
              <w:rPr>
                <w:rFonts w:ascii="Times New Roman" w:eastAsia="Times New Roman" w:hAnsi="Times New Roman" w:cs="Times New Roman"/>
                <w:color w:val="1A1C1E"/>
                <w:kern w:val="0"/>
                <w:szCs w:val="24"/>
                <w:lang w:eastAsia="en-IN"/>
                <w14:ligatures w14:val="none"/>
              </w:rPr>
              <w:t>0.91</w:t>
            </w:r>
          </w:p>
        </w:tc>
        <w:tc>
          <w:tcPr>
            <w:tcW w:w="1518" w:type="dxa"/>
            <w:tcBorders>
              <w:top w:val="nil"/>
              <w:left w:val="nil"/>
              <w:bottom w:val="single" w:sz="4" w:space="0" w:color="auto"/>
              <w:right w:val="single" w:sz="4" w:space="0" w:color="auto"/>
            </w:tcBorders>
            <w:noWrap/>
            <w:vAlign w:val="center"/>
            <w:hideMark/>
          </w:tcPr>
          <w:p w14:paraId="150165F4" w14:textId="5B150269" w:rsidR="00BE1E6C" w:rsidRPr="00F922A4" w:rsidRDefault="00BE1E6C" w:rsidP="00BE1E6C">
            <w:pPr>
              <w:spacing w:after="0" w:line="240" w:lineRule="auto"/>
              <w:ind w:firstLineChars="100" w:firstLine="240"/>
              <w:rPr>
                <w:rFonts w:ascii="Times New Roman" w:eastAsia="Times New Roman" w:hAnsi="Times New Roman" w:cs="Times New Roman"/>
                <w:color w:val="1A1C1E"/>
                <w:kern w:val="0"/>
                <w:szCs w:val="24"/>
                <w:lang w:eastAsia="en-IN"/>
                <w14:ligatures w14:val="none"/>
              </w:rPr>
            </w:pPr>
            <w:r w:rsidRPr="00F922A4">
              <w:rPr>
                <w:rFonts w:ascii="Times New Roman" w:eastAsia="Times New Roman" w:hAnsi="Times New Roman" w:cs="Times New Roman"/>
                <w:color w:val="1A1C1E"/>
                <w:kern w:val="0"/>
                <w:szCs w:val="24"/>
                <w:lang w:eastAsia="en-IN"/>
                <w14:ligatures w14:val="none"/>
              </w:rPr>
              <w:t>2</w:t>
            </w:r>
            <w:r w:rsidR="00435B16">
              <w:rPr>
                <w:rFonts w:ascii="Times New Roman" w:eastAsia="Times New Roman" w:hAnsi="Times New Roman" w:cs="Times New Roman"/>
                <w:color w:val="1A1C1E"/>
                <w:kern w:val="0"/>
                <w:szCs w:val="24"/>
                <w:lang w:eastAsia="en-IN"/>
                <w14:ligatures w14:val="none"/>
              </w:rPr>
              <w:t>.00</w:t>
            </w:r>
          </w:p>
        </w:tc>
        <w:tc>
          <w:tcPr>
            <w:tcW w:w="1119" w:type="dxa"/>
            <w:tcBorders>
              <w:top w:val="nil"/>
              <w:left w:val="nil"/>
              <w:bottom w:val="single" w:sz="4" w:space="0" w:color="auto"/>
              <w:right w:val="single" w:sz="4" w:space="0" w:color="auto"/>
            </w:tcBorders>
            <w:noWrap/>
            <w:vAlign w:val="center"/>
            <w:hideMark/>
          </w:tcPr>
          <w:p w14:paraId="71B0FD35" w14:textId="77777777" w:rsidR="00BE1E6C" w:rsidRPr="00F922A4" w:rsidRDefault="00BE1E6C" w:rsidP="00BE1E6C">
            <w:pPr>
              <w:spacing w:after="0" w:line="240" w:lineRule="auto"/>
              <w:ind w:firstLineChars="100" w:firstLine="240"/>
              <w:rPr>
                <w:rFonts w:ascii="Times New Roman" w:eastAsia="Times New Roman" w:hAnsi="Times New Roman" w:cs="Times New Roman"/>
                <w:color w:val="1A1C1E"/>
                <w:kern w:val="0"/>
                <w:szCs w:val="24"/>
                <w:lang w:eastAsia="en-IN"/>
                <w14:ligatures w14:val="none"/>
              </w:rPr>
            </w:pPr>
            <w:r w:rsidRPr="00F922A4">
              <w:rPr>
                <w:rFonts w:ascii="Times New Roman" w:eastAsia="Times New Roman" w:hAnsi="Times New Roman" w:cs="Times New Roman"/>
                <w:color w:val="1A1C1E"/>
                <w:kern w:val="0"/>
                <w:szCs w:val="24"/>
                <w:lang w:eastAsia="en-IN"/>
                <w14:ligatures w14:val="none"/>
              </w:rPr>
              <w:t>2.28</w:t>
            </w:r>
          </w:p>
        </w:tc>
        <w:tc>
          <w:tcPr>
            <w:tcW w:w="1468" w:type="dxa"/>
            <w:tcBorders>
              <w:top w:val="nil"/>
              <w:left w:val="nil"/>
              <w:bottom w:val="single" w:sz="4" w:space="0" w:color="auto"/>
              <w:right w:val="single" w:sz="4" w:space="0" w:color="auto"/>
            </w:tcBorders>
            <w:noWrap/>
            <w:vAlign w:val="center"/>
            <w:hideMark/>
          </w:tcPr>
          <w:p w14:paraId="2DEEC39B" w14:textId="77777777" w:rsidR="00BE1E6C" w:rsidRPr="00F922A4" w:rsidRDefault="00BE1E6C" w:rsidP="00BE1E6C">
            <w:pPr>
              <w:spacing w:after="0" w:line="240" w:lineRule="auto"/>
              <w:ind w:firstLineChars="100" w:firstLine="240"/>
              <w:rPr>
                <w:rFonts w:ascii="Times New Roman" w:eastAsia="Times New Roman" w:hAnsi="Times New Roman" w:cs="Times New Roman"/>
                <w:color w:val="1A1C1E"/>
                <w:kern w:val="0"/>
                <w:szCs w:val="24"/>
                <w:lang w:eastAsia="en-IN"/>
                <w14:ligatures w14:val="none"/>
              </w:rPr>
            </w:pPr>
            <w:r w:rsidRPr="00F922A4">
              <w:rPr>
                <w:rFonts w:ascii="Times New Roman" w:eastAsia="Times New Roman" w:hAnsi="Times New Roman" w:cs="Times New Roman"/>
                <w:color w:val="1A1C1E"/>
                <w:kern w:val="0"/>
                <w:szCs w:val="24"/>
                <w:lang w:eastAsia="en-IN"/>
                <w14:ligatures w14:val="none"/>
              </w:rPr>
              <w:t>169.82</w:t>
            </w:r>
          </w:p>
        </w:tc>
      </w:tr>
      <w:tr w:rsidR="00BE1E6C" w:rsidRPr="00F922A4" w14:paraId="70AE7619" w14:textId="77777777" w:rsidTr="00435B16">
        <w:trPr>
          <w:trHeight w:val="460"/>
          <w:jc w:val="center"/>
        </w:trPr>
        <w:tc>
          <w:tcPr>
            <w:tcW w:w="1838" w:type="dxa"/>
            <w:tcBorders>
              <w:top w:val="nil"/>
              <w:left w:val="single" w:sz="4" w:space="0" w:color="auto"/>
              <w:bottom w:val="single" w:sz="4" w:space="0" w:color="auto"/>
              <w:right w:val="single" w:sz="4" w:space="0" w:color="auto"/>
            </w:tcBorders>
            <w:noWrap/>
            <w:vAlign w:val="bottom"/>
            <w:hideMark/>
          </w:tcPr>
          <w:p w14:paraId="22130AD4" w14:textId="77777777" w:rsidR="00BE1E6C" w:rsidRPr="00F922A4" w:rsidRDefault="00BE1E6C" w:rsidP="00BE1E6C">
            <w:pPr>
              <w:spacing w:after="0" w:line="240" w:lineRule="auto"/>
              <w:ind w:firstLineChars="100" w:firstLine="240"/>
              <w:rPr>
                <w:rFonts w:ascii="Times New Roman" w:eastAsia="Times New Roman" w:hAnsi="Times New Roman" w:cs="Times New Roman"/>
                <w:color w:val="1A1C1E"/>
                <w:kern w:val="0"/>
                <w:szCs w:val="24"/>
                <w:lang w:eastAsia="en-IN"/>
                <w14:ligatures w14:val="none"/>
              </w:rPr>
            </w:pPr>
            <w:r w:rsidRPr="00F922A4">
              <w:rPr>
                <w:rFonts w:ascii="Times New Roman" w:eastAsia="Times New Roman" w:hAnsi="Times New Roman" w:cs="Times New Roman"/>
                <w:color w:val="1A1C1E"/>
                <w:kern w:val="0"/>
                <w:szCs w:val="24"/>
                <w:lang w:eastAsia="en-IN"/>
                <w14:ligatures w14:val="none"/>
              </w:rPr>
              <w:t>1966-67</w:t>
            </w:r>
          </w:p>
        </w:tc>
        <w:tc>
          <w:tcPr>
            <w:tcW w:w="440" w:type="dxa"/>
            <w:tcBorders>
              <w:top w:val="nil"/>
              <w:left w:val="nil"/>
              <w:bottom w:val="single" w:sz="4" w:space="0" w:color="auto"/>
              <w:right w:val="single" w:sz="4" w:space="0" w:color="auto"/>
            </w:tcBorders>
            <w:noWrap/>
            <w:vAlign w:val="center"/>
            <w:hideMark/>
          </w:tcPr>
          <w:p w14:paraId="4F932DD2" w14:textId="4F17AEF6" w:rsidR="00BE1E6C" w:rsidRPr="00F922A4" w:rsidRDefault="00BE1E6C" w:rsidP="00BE1E6C">
            <w:pPr>
              <w:spacing w:after="0" w:line="240" w:lineRule="auto"/>
              <w:ind w:firstLineChars="100" w:firstLine="240"/>
              <w:rPr>
                <w:rFonts w:ascii="Times New Roman" w:eastAsia="Times New Roman" w:hAnsi="Times New Roman" w:cs="Times New Roman"/>
                <w:color w:val="1A1C1E"/>
                <w:kern w:val="0"/>
                <w:szCs w:val="24"/>
                <w:lang w:eastAsia="en-IN"/>
                <w14:ligatures w14:val="none"/>
              </w:rPr>
            </w:pPr>
            <w:r w:rsidRPr="00F922A4">
              <w:rPr>
                <w:rFonts w:ascii="Times New Roman" w:eastAsia="Times New Roman" w:hAnsi="Times New Roman" w:cs="Times New Roman"/>
                <w:color w:val="1A1C1E"/>
                <w:kern w:val="0"/>
                <w:szCs w:val="24"/>
                <w:lang w:eastAsia="en-IN"/>
                <w14:ligatures w14:val="none"/>
              </w:rPr>
              <w:t>6</w:t>
            </w:r>
            <w:r w:rsidR="00435B16">
              <w:rPr>
                <w:rFonts w:ascii="Times New Roman" w:eastAsia="Times New Roman" w:hAnsi="Times New Roman" w:cs="Times New Roman"/>
                <w:color w:val="1A1C1E"/>
                <w:kern w:val="0"/>
                <w:szCs w:val="24"/>
                <w:lang w:eastAsia="en-IN"/>
                <w14:ligatures w14:val="none"/>
              </w:rPr>
              <w:t>.00</w:t>
            </w:r>
          </w:p>
        </w:tc>
        <w:tc>
          <w:tcPr>
            <w:tcW w:w="1293" w:type="dxa"/>
            <w:tcBorders>
              <w:top w:val="nil"/>
              <w:left w:val="nil"/>
              <w:bottom w:val="single" w:sz="4" w:space="0" w:color="auto"/>
              <w:right w:val="single" w:sz="4" w:space="0" w:color="auto"/>
            </w:tcBorders>
            <w:noWrap/>
            <w:vAlign w:val="center"/>
            <w:hideMark/>
          </w:tcPr>
          <w:p w14:paraId="5C51C414" w14:textId="77777777" w:rsidR="00BE1E6C" w:rsidRPr="00F922A4" w:rsidRDefault="00BE1E6C" w:rsidP="00BE1E6C">
            <w:pPr>
              <w:spacing w:after="0" w:line="240" w:lineRule="auto"/>
              <w:ind w:firstLineChars="100" w:firstLine="240"/>
              <w:rPr>
                <w:rFonts w:ascii="Times New Roman" w:eastAsia="Times New Roman" w:hAnsi="Times New Roman" w:cs="Times New Roman"/>
                <w:color w:val="1A1C1E"/>
                <w:kern w:val="0"/>
                <w:szCs w:val="24"/>
                <w:lang w:eastAsia="en-IN"/>
                <w14:ligatures w14:val="none"/>
              </w:rPr>
            </w:pPr>
            <w:r w:rsidRPr="00F922A4">
              <w:rPr>
                <w:rFonts w:ascii="Times New Roman" w:eastAsia="Times New Roman" w:hAnsi="Times New Roman" w:cs="Times New Roman"/>
                <w:color w:val="1A1C1E"/>
                <w:kern w:val="0"/>
                <w:szCs w:val="24"/>
                <w:lang w:eastAsia="en-IN"/>
                <w14:ligatures w14:val="none"/>
              </w:rPr>
              <w:t>48.65</w:t>
            </w:r>
          </w:p>
        </w:tc>
        <w:tc>
          <w:tcPr>
            <w:tcW w:w="1119" w:type="dxa"/>
            <w:tcBorders>
              <w:top w:val="nil"/>
              <w:left w:val="nil"/>
              <w:bottom w:val="single" w:sz="4" w:space="0" w:color="auto"/>
              <w:right w:val="single" w:sz="4" w:space="0" w:color="auto"/>
            </w:tcBorders>
            <w:noWrap/>
            <w:vAlign w:val="center"/>
            <w:hideMark/>
          </w:tcPr>
          <w:p w14:paraId="47DC1798" w14:textId="77777777" w:rsidR="00BE1E6C" w:rsidRPr="00F922A4" w:rsidRDefault="00BE1E6C" w:rsidP="00BE1E6C">
            <w:pPr>
              <w:spacing w:after="0" w:line="240" w:lineRule="auto"/>
              <w:ind w:firstLineChars="100" w:firstLine="240"/>
              <w:rPr>
                <w:rFonts w:ascii="Times New Roman" w:eastAsia="Times New Roman" w:hAnsi="Times New Roman" w:cs="Times New Roman"/>
                <w:color w:val="1A1C1E"/>
                <w:kern w:val="0"/>
                <w:szCs w:val="24"/>
                <w:lang w:eastAsia="en-IN"/>
                <w14:ligatures w14:val="none"/>
              </w:rPr>
            </w:pPr>
            <w:r w:rsidRPr="00F922A4">
              <w:rPr>
                <w:rFonts w:ascii="Times New Roman" w:eastAsia="Times New Roman" w:hAnsi="Times New Roman" w:cs="Times New Roman"/>
                <w:color w:val="1A1C1E"/>
                <w:kern w:val="0"/>
                <w:szCs w:val="24"/>
                <w:lang w:eastAsia="en-IN"/>
                <w14:ligatures w14:val="none"/>
              </w:rPr>
              <w:t>5.76</w:t>
            </w:r>
          </w:p>
        </w:tc>
        <w:tc>
          <w:tcPr>
            <w:tcW w:w="1119" w:type="dxa"/>
            <w:tcBorders>
              <w:top w:val="nil"/>
              <w:left w:val="nil"/>
              <w:bottom w:val="single" w:sz="4" w:space="0" w:color="auto"/>
              <w:right w:val="single" w:sz="4" w:space="0" w:color="auto"/>
            </w:tcBorders>
            <w:noWrap/>
            <w:vAlign w:val="center"/>
            <w:hideMark/>
          </w:tcPr>
          <w:p w14:paraId="61820460" w14:textId="77777777" w:rsidR="00BE1E6C" w:rsidRPr="00F922A4" w:rsidRDefault="00BE1E6C" w:rsidP="00BE1E6C">
            <w:pPr>
              <w:spacing w:after="0" w:line="240" w:lineRule="auto"/>
              <w:ind w:firstLineChars="100" w:firstLine="240"/>
              <w:rPr>
                <w:rFonts w:ascii="Times New Roman" w:eastAsia="Times New Roman" w:hAnsi="Times New Roman" w:cs="Times New Roman"/>
                <w:color w:val="1A1C1E"/>
                <w:kern w:val="0"/>
                <w:szCs w:val="24"/>
                <w:lang w:eastAsia="en-IN"/>
                <w14:ligatures w14:val="none"/>
              </w:rPr>
            </w:pPr>
            <w:r w:rsidRPr="00F922A4">
              <w:rPr>
                <w:rFonts w:ascii="Times New Roman" w:eastAsia="Times New Roman" w:hAnsi="Times New Roman" w:cs="Times New Roman"/>
                <w:color w:val="1A1C1E"/>
                <w:kern w:val="0"/>
                <w:szCs w:val="24"/>
                <w:lang w:eastAsia="en-IN"/>
                <w14:ligatures w14:val="none"/>
              </w:rPr>
              <w:t>8.67</w:t>
            </w:r>
          </w:p>
        </w:tc>
        <w:tc>
          <w:tcPr>
            <w:tcW w:w="1206" w:type="dxa"/>
            <w:tcBorders>
              <w:top w:val="nil"/>
              <w:left w:val="nil"/>
              <w:bottom w:val="single" w:sz="4" w:space="0" w:color="auto"/>
              <w:right w:val="single" w:sz="4" w:space="0" w:color="auto"/>
            </w:tcBorders>
            <w:noWrap/>
            <w:vAlign w:val="center"/>
            <w:hideMark/>
          </w:tcPr>
          <w:p w14:paraId="53EEAEC4" w14:textId="77777777" w:rsidR="00BE1E6C" w:rsidRPr="00F922A4" w:rsidRDefault="00BE1E6C" w:rsidP="00BE1E6C">
            <w:pPr>
              <w:spacing w:after="0" w:line="240" w:lineRule="auto"/>
              <w:ind w:firstLineChars="100" w:firstLine="240"/>
              <w:rPr>
                <w:rFonts w:ascii="Times New Roman" w:eastAsia="Times New Roman" w:hAnsi="Times New Roman" w:cs="Times New Roman"/>
                <w:color w:val="1A1C1E"/>
                <w:kern w:val="0"/>
                <w:szCs w:val="24"/>
                <w:lang w:eastAsia="en-IN"/>
                <w14:ligatures w14:val="none"/>
              </w:rPr>
            </w:pPr>
            <w:r w:rsidRPr="00F922A4">
              <w:rPr>
                <w:rFonts w:ascii="Times New Roman" w:eastAsia="Times New Roman" w:hAnsi="Times New Roman" w:cs="Times New Roman"/>
                <w:color w:val="1A1C1E"/>
                <w:kern w:val="0"/>
                <w:szCs w:val="24"/>
                <w:lang w:eastAsia="en-IN"/>
                <w14:ligatures w14:val="none"/>
              </w:rPr>
              <w:t>15.4</w:t>
            </w:r>
          </w:p>
        </w:tc>
        <w:tc>
          <w:tcPr>
            <w:tcW w:w="1159" w:type="dxa"/>
            <w:tcBorders>
              <w:top w:val="nil"/>
              <w:left w:val="nil"/>
              <w:bottom w:val="single" w:sz="4" w:space="0" w:color="auto"/>
              <w:right w:val="single" w:sz="4" w:space="0" w:color="auto"/>
            </w:tcBorders>
            <w:noWrap/>
            <w:vAlign w:val="center"/>
            <w:hideMark/>
          </w:tcPr>
          <w:p w14:paraId="06B37185" w14:textId="77777777" w:rsidR="00BE1E6C" w:rsidRPr="00F922A4" w:rsidRDefault="00BE1E6C" w:rsidP="00BE1E6C">
            <w:pPr>
              <w:spacing w:after="0" w:line="240" w:lineRule="auto"/>
              <w:ind w:firstLineChars="100" w:firstLine="240"/>
              <w:rPr>
                <w:rFonts w:ascii="Times New Roman" w:eastAsia="Times New Roman" w:hAnsi="Times New Roman" w:cs="Times New Roman"/>
                <w:color w:val="1A1C1E"/>
                <w:kern w:val="0"/>
                <w:szCs w:val="24"/>
                <w:lang w:eastAsia="en-IN"/>
                <w14:ligatures w14:val="none"/>
              </w:rPr>
            </w:pPr>
            <w:r w:rsidRPr="00F922A4">
              <w:rPr>
                <w:rFonts w:ascii="Times New Roman" w:eastAsia="Times New Roman" w:hAnsi="Times New Roman" w:cs="Times New Roman"/>
                <w:color w:val="1A1C1E"/>
                <w:kern w:val="0"/>
                <w:szCs w:val="24"/>
                <w:lang w:eastAsia="en-IN"/>
                <w14:ligatures w14:val="none"/>
              </w:rPr>
              <w:t>0.73</w:t>
            </w:r>
          </w:p>
        </w:tc>
        <w:tc>
          <w:tcPr>
            <w:tcW w:w="1119" w:type="dxa"/>
            <w:tcBorders>
              <w:top w:val="nil"/>
              <w:left w:val="nil"/>
              <w:bottom w:val="single" w:sz="4" w:space="0" w:color="auto"/>
              <w:right w:val="single" w:sz="4" w:space="0" w:color="auto"/>
            </w:tcBorders>
            <w:noWrap/>
            <w:vAlign w:val="center"/>
            <w:hideMark/>
          </w:tcPr>
          <w:p w14:paraId="2D16A667" w14:textId="77777777" w:rsidR="00BE1E6C" w:rsidRPr="00F922A4" w:rsidRDefault="00BE1E6C" w:rsidP="00BE1E6C">
            <w:pPr>
              <w:spacing w:after="0" w:line="240" w:lineRule="auto"/>
              <w:ind w:firstLineChars="100" w:firstLine="240"/>
              <w:rPr>
                <w:rFonts w:ascii="Times New Roman" w:eastAsia="Times New Roman" w:hAnsi="Times New Roman" w:cs="Times New Roman"/>
                <w:color w:val="1A1C1E"/>
                <w:kern w:val="0"/>
                <w:szCs w:val="24"/>
                <w:lang w:eastAsia="en-IN"/>
                <w14:ligatures w14:val="none"/>
              </w:rPr>
            </w:pPr>
            <w:r w:rsidRPr="00F922A4">
              <w:rPr>
                <w:rFonts w:ascii="Times New Roman" w:eastAsia="Times New Roman" w:hAnsi="Times New Roman" w:cs="Times New Roman"/>
                <w:color w:val="1A1C1E"/>
                <w:kern w:val="0"/>
                <w:szCs w:val="24"/>
                <w:lang w:eastAsia="en-IN"/>
                <w14:ligatures w14:val="none"/>
              </w:rPr>
              <w:t>0.85</w:t>
            </w:r>
          </w:p>
        </w:tc>
        <w:tc>
          <w:tcPr>
            <w:tcW w:w="1518" w:type="dxa"/>
            <w:tcBorders>
              <w:top w:val="nil"/>
              <w:left w:val="nil"/>
              <w:bottom w:val="single" w:sz="4" w:space="0" w:color="auto"/>
              <w:right w:val="single" w:sz="4" w:space="0" w:color="auto"/>
            </w:tcBorders>
            <w:noWrap/>
            <w:vAlign w:val="center"/>
            <w:hideMark/>
          </w:tcPr>
          <w:p w14:paraId="58FA81E7" w14:textId="77777777" w:rsidR="00BE1E6C" w:rsidRPr="00F922A4" w:rsidRDefault="00BE1E6C" w:rsidP="00BE1E6C">
            <w:pPr>
              <w:spacing w:after="0" w:line="240" w:lineRule="auto"/>
              <w:ind w:firstLineChars="100" w:firstLine="240"/>
              <w:rPr>
                <w:rFonts w:ascii="Times New Roman" w:eastAsia="Times New Roman" w:hAnsi="Times New Roman" w:cs="Times New Roman"/>
                <w:color w:val="1A1C1E"/>
                <w:kern w:val="0"/>
                <w:szCs w:val="24"/>
                <w:lang w:eastAsia="en-IN"/>
                <w14:ligatures w14:val="none"/>
              </w:rPr>
            </w:pPr>
            <w:r w:rsidRPr="00F922A4">
              <w:rPr>
                <w:rFonts w:ascii="Times New Roman" w:eastAsia="Times New Roman" w:hAnsi="Times New Roman" w:cs="Times New Roman"/>
                <w:color w:val="1A1C1E"/>
                <w:kern w:val="0"/>
                <w:szCs w:val="24"/>
                <w:lang w:eastAsia="en-IN"/>
                <w14:ligatures w14:val="none"/>
              </w:rPr>
              <w:t>1.68</w:t>
            </w:r>
          </w:p>
        </w:tc>
        <w:tc>
          <w:tcPr>
            <w:tcW w:w="1119" w:type="dxa"/>
            <w:tcBorders>
              <w:top w:val="nil"/>
              <w:left w:val="nil"/>
              <w:bottom w:val="single" w:sz="4" w:space="0" w:color="auto"/>
              <w:right w:val="single" w:sz="4" w:space="0" w:color="auto"/>
            </w:tcBorders>
            <w:noWrap/>
            <w:vAlign w:val="center"/>
            <w:hideMark/>
          </w:tcPr>
          <w:p w14:paraId="1D565582" w14:textId="77777777" w:rsidR="00BE1E6C" w:rsidRPr="00F922A4" w:rsidRDefault="00BE1E6C" w:rsidP="00BE1E6C">
            <w:pPr>
              <w:spacing w:after="0" w:line="240" w:lineRule="auto"/>
              <w:ind w:firstLineChars="100" w:firstLine="240"/>
              <w:rPr>
                <w:rFonts w:ascii="Times New Roman" w:eastAsia="Times New Roman" w:hAnsi="Times New Roman" w:cs="Times New Roman"/>
                <w:color w:val="1A1C1E"/>
                <w:kern w:val="0"/>
                <w:szCs w:val="24"/>
                <w:lang w:eastAsia="en-IN"/>
                <w14:ligatures w14:val="none"/>
              </w:rPr>
            </w:pPr>
            <w:r w:rsidRPr="00F922A4">
              <w:rPr>
                <w:rFonts w:ascii="Times New Roman" w:eastAsia="Times New Roman" w:hAnsi="Times New Roman" w:cs="Times New Roman"/>
                <w:color w:val="1A1C1E"/>
                <w:kern w:val="0"/>
                <w:szCs w:val="24"/>
                <w:lang w:eastAsia="en-IN"/>
                <w14:ligatures w14:val="none"/>
              </w:rPr>
              <w:t>2.14</w:t>
            </w:r>
          </w:p>
        </w:tc>
        <w:tc>
          <w:tcPr>
            <w:tcW w:w="1468" w:type="dxa"/>
            <w:tcBorders>
              <w:top w:val="nil"/>
              <w:left w:val="nil"/>
              <w:bottom w:val="single" w:sz="4" w:space="0" w:color="auto"/>
              <w:right w:val="single" w:sz="4" w:space="0" w:color="auto"/>
            </w:tcBorders>
            <w:noWrap/>
            <w:vAlign w:val="center"/>
            <w:hideMark/>
          </w:tcPr>
          <w:p w14:paraId="141B26DC" w14:textId="77777777" w:rsidR="00BE1E6C" w:rsidRPr="00F922A4" w:rsidRDefault="00BE1E6C" w:rsidP="00BE1E6C">
            <w:pPr>
              <w:spacing w:after="0" w:line="240" w:lineRule="auto"/>
              <w:ind w:firstLineChars="100" w:firstLine="240"/>
              <w:rPr>
                <w:rFonts w:ascii="Times New Roman" w:eastAsia="Times New Roman" w:hAnsi="Times New Roman" w:cs="Times New Roman"/>
                <w:color w:val="1A1C1E"/>
                <w:kern w:val="0"/>
                <w:szCs w:val="24"/>
                <w:lang w:eastAsia="en-IN"/>
                <w14:ligatures w14:val="none"/>
              </w:rPr>
            </w:pPr>
            <w:r w:rsidRPr="00F922A4">
              <w:rPr>
                <w:rFonts w:ascii="Times New Roman" w:eastAsia="Times New Roman" w:hAnsi="Times New Roman" w:cs="Times New Roman"/>
                <w:color w:val="1A1C1E"/>
                <w:kern w:val="0"/>
                <w:szCs w:val="24"/>
                <w:lang w:eastAsia="en-IN"/>
                <w14:ligatures w14:val="none"/>
              </w:rPr>
              <w:t>185.34</w:t>
            </w:r>
          </w:p>
        </w:tc>
      </w:tr>
      <w:tr w:rsidR="00BE1E6C" w:rsidRPr="00F922A4" w14:paraId="580B0E3B" w14:textId="77777777" w:rsidTr="00435B16">
        <w:trPr>
          <w:trHeight w:val="460"/>
          <w:jc w:val="center"/>
        </w:trPr>
        <w:tc>
          <w:tcPr>
            <w:tcW w:w="1838" w:type="dxa"/>
            <w:tcBorders>
              <w:top w:val="nil"/>
              <w:left w:val="single" w:sz="4" w:space="0" w:color="auto"/>
              <w:bottom w:val="single" w:sz="4" w:space="0" w:color="auto"/>
              <w:right w:val="single" w:sz="4" w:space="0" w:color="auto"/>
            </w:tcBorders>
            <w:noWrap/>
            <w:vAlign w:val="bottom"/>
            <w:hideMark/>
          </w:tcPr>
          <w:p w14:paraId="6FF5956A" w14:textId="77777777" w:rsidR="00BE1E6C" w:rsidRPr="00F922A4" w:rsidRDefault="00BE1E6C" w:rsidP="00BE1E6C">
            <w:pPr>
              <w:spacing w:after="0" w:line="240" w:lineRule="auto"/>
              <w:ind w:firstLineChars="100" w:firstLine="240"/>
              <w:rPr>
                <w:rFonts w:ascii="Times New Roman" w:eastAsia="Times New Roman" w:hAnsi="Times New Roman" w:cs="Times New Roman"/>
                <w:color w:val="1A1C1E"/>
                <w:kern w:val="0"/>
                <w:szCs w:val="24"/>
                <w:lang w:eastAsia="en-IN"/>
                <w14:ligatures w14:val="none"/>
              </w:rPr>
            </w:pPr>
            <w:r w:rsidRPr="00F922A4">
              <w:rPr>
                <w:rFonts w:ascii="Times New Roman" w:eastAsia="Times New Roman" w:hAnsi="Times New Roman" w:cs="Times New Roman"/>
                <w:color w:val="1A1C1E"/>
                <w:kern w:val="0"/>
                <w:szCs w:val="24"/>
                <w:lang w:eastAsia="en-IN"/>
                <w14:ligatures w14:val="none"/>
              </w:rPr>
              <w:t>1967-68</w:t>
            </w:r>
          </w:p>
        </w:tc>
        <w:tc>
          <w:tcPr>
            <w:tcW w:w="440" w:type="dxa"/>
            <w:tcBorders>
              <w:top w:val="nil"/>
              <w:left w:val="nil"/>
              <w:bottom w:val="single" w:sz="4" w:space="0" w:color="auto"/>
              <w:right w:val="single" w:sz="4" w:space="0" w:color="auto"/>
            </w:tcBorders>
            <w:noWrap/>
            <w:vAlign w:val="center"/>
            <w:hideMark/>
          </w:tcPr>
          <w:p w14:paraId="3B71F8EC" w14:textId="26E70EA7" w:rsidR="00BE1E6C" w:rsidRPr="00F922A4" w:rsidRDefault="00BE1E6C" w:rsidP="00BE1E6C">
            <w:pPr>
              <w:spacing w:after="0" w:line="240" w:lineRule="auto"/>
              <w:ind w:firstLineChars="100" w:firstLine="240"/>
              <w:rPr>
                <w:rFonts w:ascii="Times New Roman" w:eastAsia="Times New Roman" w:hAnsi="Times New Roman" w:cs="Times New Roman"/>
                <w:color w:val="1A1C1E"/>
                <w:kern w:val="0"/>
                <w:szCs w:val="24"/>
                <w:lang w:eastAsia="en-IN"/>
                <w14:ligatures w14:val="none"/>
              </w:rPr>
            </w:pPr>
            <w:r w:rsidRPr="00F922A4">
              <w:rPr>
                <w:rFonts w:ascii="Times New Roman" w:eastAsia="Times New Roman" w:hAnsi="Times New Roman" w:cs="Times New Roman"/>
                <w:color w:val="1A1C1E"/>
                <w:kern w:val="0"/>
                <w:szCs w:val="24"/>
                <w:lang w:eastAsia="en-IN"/>
                <w14:ligatures w14:val="none"/>
              </w:rPr>
              <w:t>8</w:t>
            </w:r>
            <w:r w:rsidR="00435B16">
              <w:rPr>
                <w:rFonts w:ascii="Times New Roman" w:eastAsia="Times New Roman" w:hAnsi="Times New Roman" w:cs="Times New Roman"/>
                <w:color w:val="1A1C1E"/>
                <w:kern w:val="0"/>
                <w:szCs w:val="24"/>
                <w:lang w:eastAsia="en-IN"/>
                <w14:ligatures w14:val="none"/>
              </w:rPr>
              <w:t>.00</w:t>
            </w:r>
          </w:p>
        </w:tc>
        <w:tc>
          <w:tcPr>
            <w:tcW w:w="1293" w:type="dxa"/>
            <w:tcBorders>
              <w:top w:val="nil"/>
              <w:left w:val="nil"/>
              <w:bottom w:val="single" w:sz="4" w:space="0" w:color="auto"/>
              <w:right w:val="single" w:sz="4" w:space="0" w:color="auto"/>
            </w:tcBorders>
            <w:noWrap/>
            <w:vAlign w:val="center"/>
            <w:hideMark/>
          </w:tcPr>
          <w:p w14:paraId="1E67417D" w14:textId="77777777" w:rsidR="00BE1E6C" w:rsidRPr="00F922A4" w:rsidRDefault="00BE1E6C" w:rsidP="00BE1E6C">
            <w:pPr>
              <w:spacing w:after="0" w:line="240" w:lineRule="auto"/>
              <w:ind w:firstLineChars="100" w:firstLine="240"/>
              <w:rPr>
                <w:rFonts w:ascii="Times New Roman" w:eastAsia="Times New Roman" w:hAnsi="Times New Roman" w:cs="Times New Roman"/>
                <w:color w:val="1A1C1E"/>
                <w:kern w:val="0"/>
                <w:szCs w:val="24"/>
                <w:lang w:eastAsia="en-IN"/>
                <w14:ligatures w14:val="none"/>
              </w:rPr>
            </w:pPr>
            <w:r w:rsidRPr="00F922A4">
              <w:rPr>
                <w:rFonts w:ascii="Times New Roman" w:eastAsia="Times New Roman" w:hAnsi="Times New Roman" w:cs="Times New Roman"/>
                <w:color w:val="1A1C1E"/>
                <w:kern w:val="0"/>
                <w:szCs w:val="24"/>
                <w:lang w:eastAsia="en-IN"/>
                <w14:ligatures w14:val="none"/>
              </w:rPr>
              <w:t>58.34</w:t>
            </w:r>
          </w:p>
        </w:tc>
        <w:tc>
          <w:tcPr>
            <w:tcW w:w="1119" w:type="dxa"/>
            <w:tcBorders>
              <w:top w:val="nil"/>
              <w:left w:val="nil"/>
              <w:bottom w:val="single" w:sz="4" w:space="0" w:color="auto"/>
              <w:right w:val="single" w:sz="4" w:space="0" w:color="auto"/>
            </w:tcBorders>
            <w:noWrap/>
            <w:vAlign w:val="center"/>
            <w:hideMark/>
          </w:tcPr>
          <w:p w14:paraId="7A482462" w14:textId="5A9FF1ED" w:rsidR="00BE1E6C" w:rsidRPr="00F922A4" w:rsidRDefault="00BE1E6C" w:rsidP="00BE1E6C">
            <w:pPr>
              <w:spacing w:after="0" w:line="240" w:lineRule="auto"/>
              <w:ind w:firstLineChars="100" w:firstLine="240"/>
              <w:rPr>
                <w:rFonts w:ascii="Times New Roman" w:eastAsia="Times New Roman" w:hAnsi="Times New Roman" w:cs="Times New Roman"/>
                <w:color w:val="1A1C1E"/>
                <w:kern w:val="0"/>
                <w:szCs w:val="24"/>
                <w:lang w:eastAsia="en-IN"/>
                <w14:ligatures w14:val="none"/>
              </w:rPr>
            </w:pPr>
            <w:r w:rsidRPr="00F922A4">
              <w:rPr>
                <w:rFonts w:ascii="Times New Roman" w:eastAsia="Times New Roman" w:hAnsi="Times New Roman" w:cs="Times New Roman"/>
                <w:color w:val="1A1C1E"/>
                <w:kern w:val="0"/>
                <w:szCs w:val="24"/>
                <w:lang w:eastAsia="en-IN"/>
                <w14:ligatures w14:val="none"/>
              </w:rPr>
              <w:t>6.5</w:t>
            </w:r>
            <w:r w:rsidR="00435B16">
              <w:rPr>
                <w:rFonts w:ascii="Times New Roman" w:eastAsia="Times New Roman" w:hAnsi="Times New Roman" w:cs="Times New Roman"/>
                <w:color w:val="1A1C1E"/>
                <w:kern w:val="0"/>
                <w:szCs w:val="24"/>
                <w:lang w:eastAsia="en-IN"/>
                <w14:ligatures w14:val="none"/>
              </w:rPr>
              <w:t>0</w:t>
            </w:r>
          </w:p>
        </w:tc>
        <w:tc>
          <w:tcPr>
            <w:tcW w:w="1119" w:type="dxa"/>
            <w:tcBorders>
              <w:top w:val="nil"/>
              <w:left w:val="nil"/>
              <w:bottom w:val="single" w:sz="4" w:space="0" w:color="auto"/>
              <w:right w:val="single" w:sz="4" w:space="0" w:color="auto"/>
            </w:tcBorders>
            <w:noWrap/>
            <w:vAlign w:val="center"/>
            <w:hideMark/>
          </w:tcPr>
          <w:p w14:paraId="3CA8CAD9" w14:textId="77777777" w:rsidR="00BE1E6C" w:rsidRPr="00F922A4" w:rsidRDefault="00BE1E6C" w:rsidP="00BE1E6C">
            <w:pPr>
              <w:spacing w:after="0" w:line="240" w:lineRule="auto"/>
              <w:ind w:firstLineChars="100" w:firstLine="240"/>
              <w:rPr>
                <w:rFonts w:ascii="Times New Roman" w:eastAsia="Times New Roman" w:hAnsi="Times New Roman" w:cs="Times New Roman"/>
                <w:color w:val="1A1C1E"/>
                <w:kern w:val="0"/>
                <w:szCs w:val="24"/>
                <w:lang w:eastAsia="en-IN"/>
                <w14:ligatures w14:val="none"/>
              </w:rPr>
            </w:pPr>
            <w:r w:rsidRPr="00F922A4">
              <w:rPr>
                <w:rFonts w:ascii="Times New Roman" w:eastAsia="Times New Roman" w:hAnsi="Times New Roman" w:cs="Times New Roman"/>
                <w:color w:val="1A1C1E"/>
                <w:kern w:val="0"/>
                <w:szCs w:val="24"/>
                <w:lang w:eastAsia="en-IN"/>
                <w14:ligatures w14:val="none"/>
              </w:rPr>
              <w:t>10.39</w:t>
            </w:r>
          </w:p>
        </w:tc>
        <w:tc>
          <w:tcPr>
            <w:tcW w:w="1206" w:type="dxa"/>
            <w:tcBorders>
              <w:top w:val="nil"/>
              <w:left w:val="nil"/>
              <w:bottom w:val="single" w:sz="4" w:space="0" w:color="auto"/>
              <w:right w:val="single" w:sz="4" w:space="0" w:color="auto"/>
            </w:tcBorders>
            <w:noWrap/>
            <w:vAlign w:val="center"/>
            <w:hideMark/>
          </w:tcPr>
          <w:p w14:paraId="327ABB6D" w14:textId="77777777" w:rsidR="00BE1E6C" w:rsidRPr="00F922A4" w:rsidRDefault="00BE1E6C" w:rsidP="00BE1E6C">
            <w:pPr>
              <w:spacing w:after="0" w:line="240" w:lineRule="auto"/>
              <w:ind w:firstLineChars="100" w:firstLine="240"/>
              <w:rPr>
                <w:rFonts w:ascii="Times New Roman" w:eastAsia="Times New Roman" w:hAnsi="Times New Roman" w:cs="Times New Roman"/>
                <w:color w:val="1A1C1E"/>
                <w:kern w:val="0"/>
                <w:szCs w:val="24"/>
                <w:lang w:eastAsia="en-IN"/>
                <w14:ligatures w14:val="none"/>
              </w:rPr>
            </w:pPr>
            <w:r w:rsidRPr="00F922A4">
              <w:rPr>
                <w:rFonts w:ascii="Times New Roman" w:eastAsia="Times New Roman" w:hAnsi="Times New Roman" w:cs="Times New Roman"/>
                <w:color w:val="1A1C1E"/>
                <w:kern w:val="0"/>
                <w:szCs w:val="24"/>
                <w:lang w:eastAsia="en-IN"/>
                <w14:ligatures w14:val="none"/>
              </w:rPr>
              <w:t>17.81</w:t>
            </w:r>
          </w:p>
        </w:tc>
        <w:tc>
          <w:tcPr>
            <w:tcW w:w="1159" w:type="dxa"/>
            <w:tcBorders>
              <w:top w:val="nil"/>
              <w:left w:val="nil"/>
              <w:bottom w:val="single" w:sz="4" w:space="0" w:color="auto"/>
              <w:right w:val="single" w:sz="4" w:space="0" w:color="auto"/>
            </w:tcBorders>
            <w:noWrap/>
            <w:vAlign w:val="center"/>
            <w:hideMark/>
          </w:tcPr>
          <w:p w14:paraId="29752136" w14:textId="77777777" w:rsidR="00BE1E6C" w:rsidRPr="00F922A4" w:rsidRDefault="00BE1E6C" w:rsidP="00BE1E6C">
            <w:pPr>
              <w:spacing w:after="0" w:line="240" w:lineRule="auto"/>
              <w:ind w:firstLineChars="100" w:firstLine="240"/>
              <w:rPr>
                <w:rFonts w:ascii="Times New Roman" w:eastAsia="Times New Roman" w:hAnsi="Times New Roman" w:cs="Times New Roman"/>
                <w:color w:val="1A1C1E"/>
                <w:kern w:val="0"/>
                <w:szCs w:val="24"/>
                <w:lang w:eastAsia="en-IN"/>
                <w14:ligatures w14:val="none"/>
              </w:rPr>
            </w:pPr>
            <w:r w:rsidRPr="00F922A4">
              <w:rPr>
                <w:rFonts w:ascii="Times New Roman" w:eastAsia="Times New Roman" w:hAnsi="Times New Roman" w:cs="Times New Roman"/>
                <w:color w:val="1A1C1E"/>
                <w:kern w:val="0"/>
                <w:szCs w:val="24"/>
                <w:lang w:eastAsia="en-IN"/>
                <w14:ligatures w14:val="none"/>
              </w:rPr>
              <w:t>0.74</w:t>
            </w:r>
          </w:p>
        </w:tc>
        <w:tc>
          <w:tcPr>
            <w:tcW w:w="1119" w:type="dxa"/>
            <w:tcBorders>
              <w:top w:val="nil"/>
              <w:left w:val="nil"/>
              <w:bottom w:val="single" w:sz="4" w:space="0" w:color="auto"/>
              <w:right w:val="single" w:sz="4" w:space="0" w:color="auto"/>
            </w:tcBorders>
            <w:noWrap/>
            <w:vAlign w:val="center"/>
            <w:hideMark/>
          </w:tcPr>
          <w:p w14:paraId="0D87DB94" w14:textId="77777777" w:rsidR="00BE1E6C" w:rsidRPr="00F922A4" w:rsidRDefault="00BE1E6C" w:rsidP="00BE1E6C">
            <w:pPr>
              <w:spacing w:after="0" w:line="240" w:lineRule="auto"/>
              <w:ind w:firstLineChars="100" w:firstLine="240"/>
              <w:rPr>
                <w:rFonts w:ascii="Times New Roman" w:eastAsia="Times New Roman" w:hAnsi="Times New Roman" w:cs="Times New Roman"/>
                <w:color w:val="1A1C1E"/>
                <w:kern w:val="0"/>
                <w:szCs w:val="24"/>
                <w:lang w:eastAsia="en-IN"/>
                <w14:ligatures w14:val="none"/>
              </w:rPr>
            </w:pPr>
            <w:r w:rsidRPr="00F922A4">
              <w:rPr>
                <w:rFonts w:ascii="Times New Roman" w:eastAsia="Times New Roman" w:hAnsi="Times New Roman" w:cs="Times New Roman"/>
                <w:color w:val="1A1C1E"/>
                <w:kern w:val="0"/>
                <w:szCs w:val="24"/>
                <w:lang w:eastAsia="en-IN"/>
                <w14:ligatures w14:val="none"/>
              </w:rPr>
              <w:t>0.99</w:t>
            </w:r>
          </w:p>
        </w:tc>
        <w:tc>
          <w:tcPr>
            <w:tcW w:w="1518" w:type="dxa"/>
            <w:tcBorders>
              <w:top w:val="nil"/>
              <w:left w:val="nil"/>
              <w:bottom w:val="single" w:sz="4" w:space="0" w:color="auto"/>
              <w:right w:val="single" w:sz="4" w:space="0" w:color="auto"/>
            </w:tcBorders>
            <w:noWrap/>
            <w:vAlign w:val="center"/>
            <w:hideMark/>
          </w:tcPr>
          <w:p w14:paraId="2FFF70C4" w14:textId="77777777" w:rsidR="00BE1E6C" w:rsidRPr="00F922A4" w:rsidRDefault="00BE1E6C" w:rsidP="00BE1E6C">
            <w:pPr>
              <w:spacing w:after="0" w:line="240" w:lineRule="auto"/>
              <w:ind w:firstLineChars="100" w:firstLine="240"/>
              <w:rPr>
                <w:rFonts w:ascii="Times New Roman" w:eastAsia="Times New Roman" w:hAnsi="Times New Roman" w:cs="Times New Roman"/>
                <w:color w:val="1A1C1E"/>
                <w:kern w:val="0"/>
                <w:szCs w:val="24"/>
                <w:lang w:eastAsia="en-IN"/>
                <w14:ligatures w14:val="none"/>
              </w:rPr>
            </w:pPr>
            <w:r w:rsidRPr="00F922A4">
              <w:rPr>
                <w:rFonts w:ascii="Times New Roman" w:eastAsia="Times New Roman" w:hAnsi="Times New Roman" w:cs="Times New Roman"/>
                <w:color w:val="1A1C1E"/>
                <w:kern w:val="0"/>
                <w:szCs w:val="24"/>
                <w:lang w:eastAsia="en-IN"/>
                <w14:ligatures w14:val="none"/>
              </w:rPr>
              <w:t>1.86</w:t>
            </w:r>
          </w:p>
        </w:tc>
        <w:tc>
          <w:tcPr>
            <w:tcW w:w="1119" w:type="dxa"/>
            <w:tcBorders>
              <w:top w:val="nil"/>
              <w:left w:val="nil"/>
              <w:bottom w:val="single" w:sz="4" w:space="0" w:color="auto"/>
              <w:right w:val="single" w:sz="4" w:space="0" w:color="auto"/>
            </w:tcBorders>
            <w:noWrap/>
            <w:vAlign w:val="center"/>
            <w:hideMark/>
          </w:tcPr>
          <w:p w14:paraId="7595EB49" w14:textId="500A4A37" w:rsidR="00BE1E6C" w:rsidRPr="00F922A4" w:rsidRDefault="00BE1E6C" w:rsidP="00BE1E6C">
            <w:pPr>
              <w:spacing w:after="0" w:line="240" w:lineRule="auto"/>
              <w:ind w:firstLineChars="100" w:firstLine="240"/>
              <w:rPr>
                <w:rFonts w:ascii="Times New Roman" w:eastAsia="Times New Roman" w:hAnsi="Times New Roman" w:cs="Times New Roman"/>
                <w:color w:val="1A1C1E"/>
                <w:kern w:val="0"/>
                <w:szCs w:val="24"/>
                <w:lang w:eastAsia="en-IN"/>
                <w14:ligatures w14:val="none"/>
              </w:rPr>
            </w:pPr>
            <w:r w:rsidRPr="00F922A4">
              <w:rPr>
                <w:rFonts w:ascii="Times New Roman" w:eastAsia="Times New Roman" w:hAnsi="Times New Roman" w:cs="Times New Roman"/>
                <w:color w:val="1A1C1E"/>
                <w:kern w:val="0"/>
                <w:szCs w:val="24"/>
                <w:lang w:eastAsia="en-IN"/>
                <w14:ligatures w14:val="none"/>
              </w:rPr>
              <w:t>2.4</w:t>
            </w:r>
            <w:r w:rsidR="00435B16">
              <w:rPr>
                <w:rFonts w:ascii="Times New Roman" w:eastAsia="Times New Roman" w:hAnsi="Times New Roman" w:cs="Times New Roman"/>
                <w:color w:val="1A1C1E"/>
                <w:kern w:val="0"/>
                <w:szCs w:val="24"/>
                <w:lang w:eastAsia="en-IN"/>
                <w14:ligatures w14:val="none"/>
              </w:rPr>
              <w:t>0</w:t>
            </w:r>
          </w:p>
        </w:tc>
        <w:tc>
          <w:tcPr>
            <w:tcW w:w="1468" w:type="dxa"/>
            <w:tcBorders>
              <w:top w:val="nil"/>
              <w:left w:val="nil"/>
              <w:bottom w:val="single" w:sz="4" w:space="0" w:color="auto"/>
              <w:right w:val="single" w:sz="4" w:space="0" w:color="auto"/>
            </w:tcBorders>
            <w:noWrap/>
            <w:vAlign w:val="center"/>
            <w:hideMark/>
          </w:tcPr>
          <w:p w14:paraId="137058CB" w14:textId="77777777" w:rsidR="00BE1E6C" w:rsidRPr="00F922A4" w:rsidRDefault="00BE1E6C" w:rsidP="00BE1E6C">
            <w:pPr>
              <w:spacing w:after="0" w:line="240" w:lineRule="auto"/>
              <w:ind w:firstLineChars="100" w:firstLine="240"/>
              <w:rPr>
                <w:rFonts w:ascii="Times New Roman" w:eastAsia="Times New Roman" w:hAnsi="Times New Roman" w:cs="Times New Roman"/>
                <w:color w:val="1A1C1E"/>
                <w:kern w:val="0"/>
                <w:szCs w:val="24"/>
                <w:lang w:eastAsia="en-IN"/>
                <w14:ligatures w14:val="none"/>
              </w:rPr>
            </w:pPr>
            <w:r w:rsidRPr="00F922A4">
              <w:rPr>
                <w:rFonts w:ascii="Times New Roman" w:eastAsia="Times New Roman" w:hAnsi="Times New Roman" w:cs="Times New Roman"/>
                <w:color w:val="1A1C1E"/>
                <w:kern w:val="0"/>
                <w:szCs w:val="24"/>
                <w:lang w:eastAsia="en-IN"/>
                <w14:ligatures w14:val="none"/>
              </w:rPr>
              <w:t>234.77</w:t>
            </w:r>
          </w:p>
        </w:tc>
      </w:tr>
      <w:tr w:rsidR="00BE1E6C" w:rsidRPr="00F922A4" w14:paraId="03D648E2" w14:textId="77777777" w:rsidTr="00435B16">
        <w:trPr>
          <w:trHeight w:val="460"/>
          <w:jc w:val="center"/>
        </w:trPr>
        <w:tc>
          <w:tcPr>
            <w:tcW w:w="1838" w:type="dxa"/>
            <w:tcBorders>
              <w:top w:val="nil"/>
              <w:left w:val="single" w:sz="4" w:space="0" w:color="auto"/>
              <w:bottom w:val="single" w:sz="4" w:space="0" w:color="auto"/>
              <w:right w:val="single" w:sz="4" w:space="0" w:color="auto"/>
            </w:tcBorders>
            <w:noWrap/>
            <w:vAlign w:val="bottom"/>
            <w:hideMark/>
          </w:tcPr>
          <w:p w14:paraId="3B2DC6E6" w14:textId="77777777" w:rsidR="00BE1E6C" w:rsidRPr="00F922A4" w:rsidRDefault="00BE1E6C" w:rsidP="00BE1E6C">
            <w:pPr>
              <w:spacing w:after="0" w:line="240" w:lineRule="auto"/>
              <w:ind w:firstLineChars="100" w:firstLine="240"/>
              <w:rPr>
                <w:rFonts w:ascii="Times New Roman" w:eastAsia="Times New Roman" w:hAnsi="Times New Roman" w:cs="Times New Roman"/>
                <w:color w:val="1A1C1E"/>
                <w:kern w:val="0"/>
                <w:szCs w:val="24"/>
                <w:lang w:eastAsia="en-IN"/>
                <w14:ligatures w14:val="none"/>
              </w:rPr>
            </w:pPr>
            <w:r w:rsidRPr="00F922A4">
              <w:rPr>
                <w:rFonts w:ascii="Times New Roman" w:eastAsia="Times New Roman" w:hAnsi="Times New Roman" w:cs="Times New Roman"/>
                <w:color w:val="1A1C1E"/>
                <w:kern w:val="0"/>
                <w:szCs w:val="24"/>
                <w:lang w:eastAsia="en-IN"/>
                <w14:ligatures w14:val="none"/>
              </w:rPr>
              <w:t>1968-69 (RE)</w:t>
            </w:r>
          </w:p>
        </w:tc>
        <w:tc>
          <w:tcPr>
            <w:tcW w:w="440" w:type="dxa"/>
            <w:tcBorders>
              <w:top w:val="nil"/>
              <w:left w:val="nil"/>
              <w:bottom w:val="single" w:sz="4" w:space="0" w:color="auto"/>
              <w:right w:val="single" w:sz="4" w:space="0" w:color="auto"/>
            </w:tcBorders>
            <w:noWrap/>
            <w:vAlign w:val="center"/>
            <w:hideMark/>
          </w:tcPr>
          <w:p w14:paraId="66343ABF" w14:textId="77777777" w:rsidR="00BE1E6C" w:rsidRPr="00F922A4" w:rsidRDefault="00BE1E6C" w:rsidP="00BE1E6C">
            <w:pPr>
              <w:spacing w:after="0" w:line="240" w:lineRule="auto"/>
              <w:ind w:firstLineChars="100" w:firstLine="240"/>
              <w:rPr>
                <w:rFonts w:ascii="Times New Roman" w:eastAsia="Times New Roman" w:hAnsi="Times New Roman" w:cs="Times New Roman"/>
                <w:color w:val="1A1C1E"/>
                <w:kern w:val="0"/>
                <w:szCs w:val="24"/>
                <w:lang w:eastAsia="en-IN"/>
                <w14:ligatures w14:val="none"/>
              </w:rPr>
            </w:pPr>
            <w:r w:rsidRPr="00F922A4">
              <w:rPr>
                <w:rFonts w:ascii="Times New Roman" w:eastAsia="Times New Roman" w:hAnsi="Times New Roman" w:cs="Times New Roman"/>
                <w:color w:val="1A1C1E"/>
                <w:kern w:val="0"/>
                <w:szCs w:val="24"/>
                <w:lang w:eastAsia="en-IN"/>
                <w14:ligatures w14:val="none"/>
              </w:rPr>
              <w:t>6.36(2.97)</w:t>
            </w:r>
          </w:p>
        </w:tc>
        <w:tc>
          <w:tcPr>
            <w:tcW w:w="1293" w:type="dxa"/>
            <w:tcBorders>
              <w:top w:val="nil"/>
              <w:left w:val="nil"/>
              <w:bottom w:val="single" w:sz="4" w:space="0" w:color="auto"/>
              <w:right w:val="single" w:sz="4" w:space="0" w:color="auto"/>
            </w:tcBorders>
            <w:noWrap/>
            <w:vAlign w:val="center"/>
            <w:hideMark/>
          </w:tcPr>
          <w:p w14:paraId="7CBE9F61" w14:textId="77777777" w:rsidR="00BE1E6C" w:rsidRPr="00F922A4" w:rsidRDefault="00BE1E6C" w:rsidP="00BE1E6C">
            <w:pPr>
              <w:spacing w:after="0" w:line="240" w:lineRule="auto"/>
              <w:ind w:firstLineChars="100" w:firstLine="240"/>
              <w:rPr>
                <w:rFonts w:ascii="Times New Roman" w:eastAsia="Times New Roman" w:hAnsi="Times New Roman" w:cs="Times New Roman"/>
                <w:color w:val="1A1C1E"/>
                <w:kern w:val="0"/>
                <w:szCs w:val="24"/>
                <w:lang w:eastAsia="en-IN"/>
                <w14:ligatures w14:val="none"/>
              </w:rPr>
            </w:pPr>
            <w:r w:rsidRPr="00F922A4">
              <w:rPr>
                <w:rFonts w:ascii="Times New Roman" w:eastAsia="Times New Roman" w:hAnsi="Times New Roman" w:cs="Times New Roman"/>
                <w:color w:val="1A1C1E"/>
                <w:kern w:val="0"/>
                <w:szCs w:val="24"/>
                <w:lang w:eastAsia="en-IN"/>
                <w14:ligatures w14:val="none"/>
              </w:rPr>
              <w:t>57.21(26.70)</w:t>
            </w:r>
          </w:p>
        </w:tc>
        <w:tc>
          <w:tcPr>
            <w:tcW w:w="1119" w:type="dxa"/>
            <w:tcBorders>
              <w:top w:val="nil"/>
              <w:left w:val="nil"/>
              <w:bottom w:val="single" w:sz="4" w:space="0" w:color="auto"/>
              <w:right w:val="single" w:sz="4" w:space="0" w:color="auto"/>
            </w:tcBorders>
            <w:noWrap/>
            <w:vAlign w:val="center"/>
            <w:hideMark/>
          </w:tcPr>
          <w:p w14:paraId="37F53EF4" w14:textId="77777777" w:rsidR="00BE1E6C" w:rsidRPr="00F922A4" w:rsidRDefault="00BE1E6C" w:rsidP="00BE1E6C">
            <w:pPr>
              <w:spacing w:after="0" w:line="240" w:lineRule="auto"/>
              <w:ind w:firstLineChars="100" w:firstLine="240"/>
              <w:rPr>
                <w:rFonts w:ascii="Times New Roman" w:eastAsia="Times New Roman" w:hAnsi="Times New Roman" w:cs="Times New Roman"/>
                <w:color w:val="1A1C1E"/>
                <w:kern w:val="0"/>
                <w:szCs w:val="24"/>
                <w:lang w:eastAsia="en-IN"/>
                <w14:ligatures w14:val="none"/>
              </w:rPr>
            </w:pPr>
            <w:r w:rsidRPr="00F922A4">
              <w:rPr>
                <w:rFonts w:ascii="Times New Roman" w:eastAsia="Times New Roman" w:hAnsi="Times New Roman" w:cs="Times New Roman"/>
                <w:color w:val="1A1C1E"/>
                <w:kern w:val="0"/>
                <w:szCs w:val="24"/>
                <w:lang w:eastAsia="en-IN"/>
                <w14:ligatures w14:val="none"/>
              </w:rPr>
              <w:t>5.70(2.66)</w:t>
            </w:r>
          </w:p>
        </w:tc>
        <w:tc>
          <w:tcPr>
            <w:tcW w:w="1119" w:type="dxa"/>
            <w:tcBorders>
              <w:top w:val="nil"/>
              <w:left w:val="nil"/>
              <w:bottom w:val="single" w:sz="4" w:space="0" w:color="auto"/>
              <w:right w:val="single" w:sz="4" w:space="0" w:color="auto"/>
            </w:tcBorders>
            <w:noWrap/>
            <w:vAlign w:val="center"/>
            <w:hideMark/>
          </w:tcPr>
          <w:p w14:paraId="567CF413" w14:textId="77777777" w:rsidR="00BE1E6C" w:rsidRPr="00F922A4" w:rsidRDefault="00BE1E6C" w:rsidP="00BE1E6C">
            <w:pPr>
              <w:spacing w:after="0" w:line="240" w:lineRule="auto"/>
              <w:ind w:firstLineChars="100" w:firstLine="240"/>
              <w:rPr>
                <w:rFonts w:ascii="Times New Roman" w:eastAsia="Times New Roman" w:hAnsi="Times New Roman" w:cs="Times New Roman"/>
                <w:color w:val="1A1C1E"/>
                <w:kern w:val="0"/>
                <w:szCs w:val="24"/>
                <w:lang w:eastAsia="en-IN"/>
                <w14:ligatures w14:val="none"/>
              </w:rPr>
            </w:pPr>
            <w:r w:rsidRPr="00F922A4">
              <w:rPr>
                <w:rFonts w:ascii="Times New Roman" w:eastAsia="Times New Roman" w:hAnsi="Times New Roman" w:cs="Times New Roman"/>
                <w:color w:val="1A1C1E"/>
                <w:kern w:val="0"/>
                <w:szCs w:val="24"/>
                <w:lang w:eastAsia="en-IN"/>
                <w14:ligatures w14:val="none"/>
              </w:rPr>
              <w:t>9.58(4.47)</w:t>
            </w:r>
          </w:p>
        </w:tc>
        <w:tc>
          <w:tcPr>
            <w:tcW w:w="1206" w:type="dxa"/>
            <w:tcBorders>
              <w:top w:val="nil"/>
              <w:left w:val="nil"/>
              <w:bottom w:val="single" w:sz="4" w:space="0" w:color="auto"/>
              <w:right w:val="single" w:sz="4" w:space="0" w:color="auto"/>
            </w:tcBorders>
            <w:noWrap/>
            <w:vAlign w:val="center"/>
            <w:hideMark/>
          </w:tcPr>
          <w:p w14:paraId="12AC6A27" w14:textId="77777777" w:rsidR="00BE1E6C" w:rsidRPr="00F922A4" w:rsidRDefault="00BE1E6C" w:rsidP="00BE1E6C">
            <w:pPr>
              <w:spacing w:after="0" w:line="240" w:lineRule="auto"/>
              <w:ind w:firstLineChars="100" w:firstLine="240"/>
              <w:rPr>
                <w:rFonts w:ascii="Times New Roman" w:eastAsia="Times New Roman" w:hAnsi="Times New Roman" w:cs="Times New Roman"/>
                <w:color w:val="1A1C1E"/>
                <w:kern w:val="0"/>
                <w:szCs w:val="24"/>
                <w:lang w:eastAsia="en-IN"/>
                <w14:ligatures w14:val="none"/>
              </w:rPr>
            </w:pPr>
            <w:r w:rsidRPr="00F922A4">
              <w:rPr>
                <w:rFonts w:ascii="Times New Roman" w:eastAsia="Times New Roman" w:hAnsi="Times New Roman" w:cs="Times New Roman"/>
                <w:color w:val="1A1C1E"/>
                <w:kern w:val="0"/>
                <w:szCs w:val="24"/>
                <w:lang w:eastAsia="en-IN"/>
                <w14:ligatures w14:val="none"/>
              </w:rPr>
              <w:t>17.74(8.28)</w:t>
            </w:r>
          </w:p>
        </w:tc>
        <w:tc>
          <w:tcPr>
            <w:tcW w:w="1159" w:type="dxa"/>
            <w:tcBorders>
              <w:top w:val="nil"/>
              <w:left w:val="nil"/>
              <w:bottom w:val="single" w:sz="4" w:space="0" w:color="auto"/>
              <w:right w:val="single" w:sz="4" w:space="0" w:color="auto"/>
            </w:tcBorders>
            <w:noWrap/>
            <w:vAlign w:val="center"/>
            <w:hideMark/>
          </w:tcPr>
          <w:p w14:paraId="7B710732" w14:textId="77777777" w:rsidR="00BE1E6C" w:rsidRPr="00F922A4" w:rsidRDefault="00BE1E6C" w:rsidP="00BE1E6C">
            <w:pPr>
              <w:spacing w:after="0" w:line="240" w:lineRule="auto"/>
              <w:ind w:firstLineChars="100" w:firstLine="240"/>
              <w:rPr>
                <w:rFonts w:ascii="Times New Roman" w:eastAsia="Times New Roman" w:hAnsi="Times New Roman" w:cs="Times New Roman"/>
                <w:color w:val="1A1C1E"/>
                <w:kern w:val="0"/>
                <w:szCs w:val="24"/>
                <w:lang w:eastAsia="en-IN"/>
                <w14:ligatures w14:val="none"/>
              </w:rPr>
            </w:pPr>
            <w:r w:rsidRPr="00F922A4">
              <w:rPr>
                <w:rFonts w:ascii="Times New Roman" w:eastAsia="Times New Roman" w:hAnsi="Times New Roman" w:cs="Times New Roman"/>
                <w:color w:val="1A1C1E"/>
                <w:kern w:val="0"/>
                <w:szCs w:val="24"/>
                <w:lang w:eastAsia="en-IN"/>
                <w14:ligatures w14:val="none"/>
              </w:rPr>
              <w:t>0.74(0.35)</w:t>
            </w:r>
          </w:p>
        </w:tc>
        <w:tc>
          <w:tcPr>
            <w:tcW w:w="1119" w:type="dxa"/>
            <w:tcBorders>
              <w:top w:val="nil"/>
              <w:left w:val="nil"/>
              <w:bottom w:val="single" w:sz="4" w:space="0" w:color="auto"/>
              <w:right w:val="single" w:sz="4" w:space="0" w:color="auto"/>
            </w:tcBorders>
            <w:noWrap/>
            <w:vAlign w:val="center"/>
            <w:hideMark/>
          </w:tcPr>
          <w:p w14:paraId="3A2E0FBC" w14:textId="77777777" w:rsidR="00BE1E6C" w:rsidRPr="00F922A4" w:rsidRDefault="00BE1E6C" w:rsidP="00BE1E6C">
            <w:pPr>
              <w:spacing w:after="0" w:line="240" w:lineRule="auto"/>
              <w:ind w:firstLineChars="100" w:firstLine="240"/>
              <w:rPr>
                <w:rFonts w:ascii="Times New Roman" w:eastAsia="Times New Roman" w:hAnsi="Times New Roman" w:cs="Times New Roman"/>
                <w:color w:val="1A1C1E"/>
                <w:kern w:val="0"/>
                <w:szCs w:val="24"/>
                <w:lang w:eastAsia="en-IN"/>
                <w14:ligatures w14:val="none"/>
              </w:rPr>
            </w:pPr>
            <w:r w:rsidRPr="00F922A4">
              <w:rPr>
                <w:rFonts w:ascii="Times New Roman" w:eastAsia="Times New Roman" w:hAnsi="Times New Roman" w:cs="Times New Roman"/>
                <w:color w:val="1A1C1E"/>
                <w:kern w:val="0"/>
                <w:szCs w:val="24"/>
                <w:lang w:eastAsia="en-IN"/>
                <w14:ligatures w14:val="none"/>
              </w:rPr>
              <w:t>0.96(0.45)</w:t>
            </w:r>
          </w:p>
        </w:tc>
        <w:tc>
          <w:tcPr>
            <w:tcW w:w="1518" w:type="dxa"/>
            <w:tcBorders>
              <w:top w:val="nil"/>
              <w:left w:val="nil"/>
              <w:bottom w:val="single" w:sz="4" w:space="0" w:color="auto"/>
              <w:right w:val="single" w:sz="4" w:space="0" w:color="auto"/>
            </w:tcBorders>
            <w:noWrap/>
            <w:vAlign w:val="center"/>
            <w:hideMark/>
          </w:tcPr>
          <w:p w14:paraId="141E81D5" w14:textId="77777777" w:rsidR="00BE1E6C" w:rsidRPr="00F922A4" w:rsidRDefault="00BE1E6C" w:rsidP="00BE1E6C">
            <w:pPr>
              <w:spacing w:after="0" w:line="240" w:lineRule="auto"/>
              <w:ind w:firstLineChars="100" w:firstLine="240"/>
              <w:rPr>
                <w:rFonts w:ascii="Times New Roman" w:eastAsia="Times New Roman" w:hAnsi="Times New Roman" w:cs="Times New Roman"/>
                <w:color w:val="1A1C1E"/>
                <w:kern w:val="0"/>
                <w:szCs w:val="24"/>
                <w:lang w:eastAsia="en-IN"/>
                <w14:ligatures w14:val="none"/>
              </w:rPr>
            </w:pPr>
            <w:r w:rsidRPr="00F922A4">
              <w:rPr>
                <w:rFonts w:ascii="Times New Roman" w:eastAsia="Times New Roman" w:hAnsi="Times New Roman" w:cs="Times New Roman"/>
                <w:color w:val="1A1C1E"/>
                <w:kern w:val="0"/>
                <w:szCs w:val="24"/>
                <w:lang w:eastAsia="en-IN"/>
                <w14:ligatures w14:val="none"/>
              </w:rPr>
              <w:t>1.83(0.85)</w:t>
            </w:r>
          </w:p>
        </w:tc>
        <w:tc>
          <w:tcPr>
            <w:tcW w:w="1119" w:type="dxa"/>
            <w:tcBorders>
              <w:top w:val="nil"/>
              <w:left w:val="nil"/>
              <w:bottom w:val="single" w:sz="4" w:space="0" w:color="auto"/>
              <w:right w:val="single" w:sz="4" w:space="0" w:color="auto"/>
            </w:tcBorders>
            <w:noWrap/>
            <w:vAlign w:val="center"/>
            <w:hideMark/>
          </w:tcPr>
          <w:p w14:paraId="71677662" w14:textId="77777777" w:rsidR="00BE1E6C" w:rsidRPr="00F922A4" w:rsidRDefault="00BE1E6C" w:rsidP="00BE1E6C">
            <w:pPr>
              <w:spacing w:after="0" w:line="240" w:lineRule="auto"/>
              <w:ind w:firstLineChars="100" w:firstLine="240"/>
              <w:rPr>
                <w:rFonts w:ascii="Times New Roman" w:eastAsia="Times New Roman" w:hAnsi="Times New Roman" w:cs="Times New Roman"/>
                <w:color w:val="1A1C1E"/>
                <w:kern w:val="0"/>
                <w:szCs w:val="24"/>
                <w:lang w:eastAsia="en-IN"/>
                <w14:ligatures w14:val="none"/>
              </w:rPr>
            </w:pPr>
            <w:r w:rsidRPr="00F922A4">
              <w:rPr>
                <w:rFonts w:ascii="Times New Roman" w:eastAsia="Times New Roman" w:hAnsi="Times New Roman" w:cs="Times New Roman"/>
                <w:color w:val="1A1C1E"/>
                <w:kern w:val="0"/>
                <w:szCs w:val="24"/>
                <w:lang w:eastAsia="en-IN"/>
                <w14:ligatures w14:val="none"/>
              </w:rPr>
              <w:t>2.28(1.06)</w:t>
            </w:r>
          </w:p>
        </w:tc>
        <w:tc>
          <w:tcPr>
            <w:tcW w:w="1468" w:type="dxa"/>
            <w:tcBorders>
              <w:top w:val="nil"/>
              <w:left w:val="nil"/>
              <w:bottom w:val="single" w:sz="4" w:space="0" w:color="auto"/>
              <w:right w:val="single" w:sz="4" w:space="0" w:color="auto"/>
            </w:tcBorders>
            <w:noWrap/>
            <w:vAlign w:val="center"/>
            <w:hideMark/>
          </w:tcPr>
          <w:p w14:paraId="29357BAC" w14:textId="77777777" w:rsidR="00BE1E6C" w:rsidRPr="00F922A4" w:rsidRDefault="00BE1E6C" w:rsidP="00BE1E6C">
            <w:pPr>
              <w:spacing w:after="0" w:line="240" w:lineRule="auto"/>
              <w:ind w:firstLineChars="100" w:firstLine="240"/>
              <w:rPr>
                <w:rFonts w:ascii="Times New Roman" w:eastAsia="Times New Roman" w:hAnsi="Times New Roman" w:cs="Times New Roman"/>
                <w:color w:val="1A1C1E"/>
                <w:kern w:val="0"/>
                <w:szCs w:val="24"/>
                <w:lang w:eastAsia="en-IN"/>
                <w14:ligatures w14:val="none"/>
              </w:rPr>
            </w:pPr>
            <w:r w:rsidRPr="00F922A4">
              <w:rPr>
                <w:rFonts w:ascii="Times New Roman" w:eastAsia="Times New Roman" w:hAnsi="Times New Roman" w:cs="Times New Roman"/>
                <w:color w:val="1A1C1E"/>
                <w:kern w:val="0"/>
                <w:szCs w:val="24"/>
                <w:lang w:eastAsia="en-IN"/>
                <w14:ligatures w14:val="none"/>
              </w:rPr>
              <w:t>214.29(100.00)</w:t>
            </w:r>
          </w:p>
        </w:tc>
      </w:tr>
    </w:tbl>
    <w:p w14:paraId="0E5F2FA9" w14:textId="09C475CB" w:rsidR="00BE1E6C" w:rsidRPr="00F922A4" w:rsidRDefault="00BE1E6C" w:rsidP="00BA1C8E">
      <w:pPr>
        <w:pStyle w:val="Sources"/>
      </w:pPr>
      <w:r w:rsidRPr="00F922A4">
        <w:t>(a) 1961-62, 1965-66 and 1966-67 from Conspectus of the budgets of the Central, State and Union Territory Government</w:t>
      </w:r>
    </w:p>
    <w:p w14:paraId="74B41A3E" w14:textId="77777777" w:rsidR="00BE1E6C" w:rsidRPr="00F922A4" w:rsidRDefault="00BE1E6C" w:rsidP="00BA1C8E">
      <w:pPr>
        <w:pStyle w:val="Sources"/>
      </w:pPr>
      <w:r w:rsidRPr="00F922A4">
        <w:t>(ii) 1967-68 and 1968-69 figures from State budgets.</w:t>
      </w:r>
    </w:p>
    <w:p w14:paraId="40DD59FA" w14:textId="624ACD3F" w:rsidR="009D510E" w:rsidRPr="00F922A4" w:rsidRDefault="00BE1E6C" w:rsidP="00BA1C8E">
      <w:pPr>
        <w:pStyle w:val="Sources"/>
      </w:pPr>
      <w:r w:rsidRPr="00F922A4">
        <w:t>NOTE : Figures in brackets indicate percentage to the total revenue.</w:t>
      </w:r>
    </w:p>
    <w:p w14:paraId="32B362BE" w14:textId="77777777" w:rsidR="009D510E" w:rsidRPr="007245B0" w:rsidRDefault="009D510E" w:rsidP="009D510E">
      <w:pPr>
        <w:rPr>
          <w:rFonts w:ascii="Times New Roman" w:hAnsi="Times New Roman" w:cs="Times New Roman"/>
        </w:rPr>
      </w:pPr>
    </w:p>
    <w:p w14:paraId="74C5CC07" w14:textId="77777777" w:rsidR="009D510E" w:rsidRPr="007245B0" w:rsidRDefault="009D510E" w:rsidP="009D510E">
      <w:pPr>
        <w:rPr>
          <w:rFonts w:ascii="Times New Roman" w:hAnsi="Times New Roman" w:cs="Times New Roman"/>
        </w:rPr>
      </w:pPr>
    </w:p>
    <w:p w14:paraId="6DD2D1B4" w14:textId="77777777" w:rsidR="009D510E" w:rsidRPr="007245B0" w:rsidRDefault="009D510E" w:rsidP="009D510E">
      <w:pPr>
        <w:rPr>
          <w:rFonts w:ascii="Times New Roman" w:hAnsi="Times New Roman" w:cs="Times New Roman"/>
        </w:rPr>
      </w:pPr>
    </w:p>
    <w:p w14:paraId="5D00B568" w14:textId="77777777" w:rsidR="00671AC5" w:rsidRPr="007245B0" w:rsidRDefault="00671AC5" w:rsidP="009D510E">
      <w:pPr>
        <w:rPr>
          <w:rFonts w:ascii="Times New Roman" w:hAnsi="Times New Roman" w:cs="Times New Roman"/>
        </w:rPr>
        <w:sectPr w:rsidR="00671AC5" w:rsidRPr="007245B0" w:rsidSect="00490A74">
          <w:pgSz w:w="15840" w:h="12240" w:orient="landscape"/>
          <w:pgMar w:top="1440" w:right="992" w:bottom="1440" w:left="1440" w:header="720" w:footer="720" w:gutter="0"/>
          <w:cols w:space="720"/>
        </w:sectPr>
      </w:pPr>
    </w:p>
    <w:p w14:paraId="2F4E6866" w14:textId="77777777" w:rsidR="00671AC5" w:rsidRPr="007245B0" w:rsidRDefault="00671AC5" w:rsidP="009D510E">
      <w:pPr>
        <w:rPr>
          <w:rFonts w:ascii="Times New Roman" w:hAnsi="Times New Roman" w:cs="Times New Roman"/>
        </w:rPr>
      </w:pPr>
    </w:p>
    <w:p w14:paraId="26C6A8F4" w14:textId="77777777" w:rsidR="002A11B0" w:rsidRDefault="00671AC5" w:rsidP="002A11B0">
      <w:pPr>
        <w:jc w:val="center"/>
        <w:rPr>
          <w:rStyle w:val="Heading4Char"/>
        </w:rPr>
      </w:pPr>
      <w:bookmarkStart w:id="51" w:name="_Toc220949687"/>
      <w:bookmarkStart w:id="52" w:name="_Toc221114287"/>
      <w:bookmarkStart w:id="53" w:name="_Toc221115310"/>
      <w:r w:rsidRPr="00F922A4">
        <w:rPr>
          <w:rStyle w:val="Heading4Char"/>
        </w:rPr>
        <w:t>Table 7: Growth of revenue from important taxes for all States, 1950-51 to 1967-68</w:t>
      </w:r>
      <w:bookmarkEnd w:id="51"/>
      <w:bookmarkEnd w:id="52"/>
      <w:bookmarkEnd w:id="53"/>
    </w:p>
    <w:p w14:paraId="01884DA6" w14:textId="2E4C587B" w:rsidR="00671AC5" w:rsidRPr="002A11B0" w:rsidRDefault="00671AC5" w:rsidP="00671AC5">
      <w:pPr>
        <w:jc w:val="right"/>
        <w:rPr>
          <w:rFonts w:ascii="Times New Roman" w:hAnsi="Times New Roman" w:cs="Times New Roman"/>
          <w:i/>
          <w:iCs/>
        </w:rPr>
      </w:pPr>
      <w:r w:rsidRPr="002A11B0">
        <w:rPr>
          <w:rFonts w:ascii="Times New Roman" w:hAnsi="Times New Roman" w:cs="Times New Roman"/>
          <w:i/>
          <w:iCs/>
        </w:rPr>
        <w:t>(Rs. crores)</w:t>
      </w:r>
    </w:p>
    <w:tbl>
      <w:tblPr>
        <w:tblW w:w="10361" w:type="dxa"/>
        <w:jc w:val="center"/>
        <w:tblLook w:val="04A0" w:firstRow="1" w:lastRow="0" w:firstColumn="1" w:lastColumn="0" w:noHBand="0" w:noVBand="1"/>
      </w:tblPr>
      <w:tblGrid>
        <w:gridCol w:w="2104"/>
        <w:gridCol w:w="1352"/>
        <w:gridCol w:w="1352"/>
        <w:gridCol w:w="1352"/>
        <w:gridCol w:w="1352"/>
        <w:gridCol w:w="1352"/>
        <w:gridCol w:w="1497"/>
      </w:tblGrid>
      <w:tr w:rsidR="002A11B0" w:rsidRPr="002A11B0" w14:paraId="7019D14C" w14:textId="77777777" w:rsidTr="002A11B0">
        <w:trPr>
          <w:trHeight w:val="20"/>
          <w:jc w:val="center"/>
        </w:trPr>
        <w:tc>
          <w:tcPr>
            <w:tcW w:w="210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01F7E6D" w14:textId="77777777" w:rsidR="002A11B0" w:rsidRPr="002A11B0" w:rsidRDefault="002A11B0" w:rsidP="002A11B0">
            <w:pPr>
              <w:spacing w:after="0" w:line="240" w:lineRule="auto"/>
              <w:ind w:firstLineChars="100" w:firstLine="241"/>
              <w:rPr>
                <w:rFonts w:ascii="Times New Roman" w:eastAsia="Times New Roman" w:hAnsi="Times New Roman" w:cs="Times New Roman"/>
                <w:b/>
                <w:bCs/>
                <w:color w:val="1A1C1E"/>
                <w:kern w:val="0"/>
                <w:szCs w:val="24"/>
                <w:lang w:eastAsia="en-IN"/>
                <w14:ligatures w14:val="none"/>
              </w:rPr>
            </w:pPr>
            <w:r w:rsidRPr="002A11B0">
              <w:rPr>
                <w:rFonts w:ascii="Times New Roman" w:eastAsia="Times New Roman" w:hAnsi="Times New Roman" w:cs="Times New Roman"/>
                <w:b/>
                <w:bCs/>
                <w:color w:val="1A1C1E"/>
                <w:kern w:val="0"/>
                <w:szCs w:val="24"/>
                <w:lang w:eastAsia="en-IN"/>
                <w14:ligatures w14:val="none"/>
              </w:rPr>
              <w:t>Heads</w:t>
            </w:r>
          </w:p>
        </w:tc>
        <w:tc>
          <w:tcPr>
            <w:tcW w:w="1352" w:type="dxa"/>
            <w:tcBorders>
              <w:top w:val="single" w:sz="4" w:space="0" w:color="auto"/>
              <w:left w:val="nil"/>
              <w:bottom w:val="single" w:sz="4" w:space="0" w:color="auto"/>
              <w:right w:val="single" w:sz="4" w:space="0" w:color="auto"/>
            </w:tcBorders>
            <w:shd w:val="clear" w:color="000000" w:fill="FFFFFF"/>
            <w:vAlign w:val="center"/>
            <w:hideMark/>
          </w:tcPr>
          <w:p w14:paraId="4341EE3E" w14:textId="77777777" w:rsidR="002A11B0" w:rsidRPr="002A11B0" w:rsidRDefault="002A11B0" w:rsidP="002A11B0">
            <w:pPr>
              <w:spacing w:after="0" w:line="240" w:lineRule="auto"/>
              <w:ind w:firstLineChars="100" w:firstLine="241"/>
              <w:rPr>
                <w:rFonts w:ascii="Times New Roman" w:eastAsia="Times New Roman" w:hAnsi="Times New Roman" w:cs="Times New Roman"/>
                <w:b/>
                <w:bCs/>
                <w:color w:val="1A1C1E"/>
                <w:kern w:val="0"/>
                <w:szCs w:val="24"/>
                <w:lang w:eastAsia="en-IN"/>
                <w14:ligatures w14:val="none"/>
              </w:rPr>
            </w:pPr>
            <w:r w:rsidRPr="002A11B0">
              <w:rPr>
                <w:rFonts w:ascii="Times New Roman" w:eastAsia="Times New Roman" w:hAnsi="Times New Roman" w:cs="Times New Roman"/>
                <w:b/>
                <w:bCs/>
                <w:color w:val="1A1C1E"/>
                <w:kern w:val="0"/>
                <w:szCs w:val="24"/>
                <w:lang w:eastAsia="en-IN"/>
                <w14:ligatures w14:val="none"/>
              </w:rPr>
              <w:t>1950-51</w:t>
            </w:r>
          </w:p>
        </w:tc>
        <w:tc>
          <w:tcPr>
            <w:tcW w:w="1352" w:type="dxa"/>
            <w:tcBorders>
              <w:top w:val="single" w:sz="4" w:space="0" w:color="auto"/>
              <w:left w:val="nil"/>
              <w:bottom w:val="single" w:sz="4" w:space="0" w:color="auto"/>
              <w:right w:val="single" w:sz="4" w:space="0" w:color="auto"/>
            </w:tcBorders>
            <w:shd w:val="clear" w:color="000000" w:fill="FFFFFF"/>
            <w:vAlign w:val="center"/>
            <w:hideMark/>
          </w:tcPr>
          <w:p w14:paraId="535DA7C6" w14:textId="77777777" w:rsidR="002A11B0" w:rsidRPr="002A11B0" w:rsidRDefault="002A11B0" w:rsidP="002A11B0">
            <w:pPr>
              <w:spacing w:after="0" w:line="240" w:lineRule="auto"/>
              <w:ind w:firstLineChars="100" w:firstLine="241"/>
              <w:rPr>
                <w:rFonts w:ascii="Times New Roman" w:eastAsia="Times New Roman" w:hAnsi="Times New Roman" w:cs="Times New Roman"/>
                <w:b/>
                <w:bCs/>
                <w:color w:val="1A1C1E"/>
                <w:kern w:val="0"/>
                <w:szCs w:val="24"/>
                <w:lang w:eastAsia="en-IN"/>
                <w14:ligatures w14:val="none"/>
              </w:rPr>
            </w:pPr>
            <w:r w:rsidRPr="002A11B0">
              <w:rPr>
                <w:rFonts w:ascii="Times New Roman" w:eastAsia="Times New Roman" w:hAnsi="Times New Roman" w:cs="Times New Roman"/>
                <w:b/>
                <w:bCs/>
                <w:color w:val="1A1C1E"/>
                <w:kern w:val="0"/>
                <w:szCs w:val="24"/>
                <w:lang w:eastAsia="en-IN"/>
                <w14:ligatures w14:val="none"/>
              </w:rPr>
              <w:t>1955-56</w:t>
            </w:r>
          </w:p>
        </w:tc>
        <w:tc>
          <w:tcPr>
            <w:tcW w:w="1352" w:type="dxa"/>
            <w:tcBorders>
              <w:top w:val="single" w:sz="4" w:space="0" w:color="auto"/>
              <w:left w:val="nil"/>
              <w:bottom w:val="single" w:sz="4" w:space="0" w:color="auto"/>
              <w:right w:val="single" w:sz="4" w:space="0" w:color="auto"/>
            </w:tcBorders>
            <w:shd w:val="clear" w:color="000000" w:fill="FFFFFF"/>
            <w:vAlign w:val="center"/>
            <w:hideMark/>
          </w:tcPr>
          <w:p w14:paraId="4AFA3C4F" w14:textId="77777777" w:rsidR="002A11B0" w:rsidRPr="002A11B0" w:rsidRDefault="002A11B0" w:rsidP="002A11B0">
            <w:pPr>
              <w:spacing w:after="0" w:line="240" w:lineRule="auto"/>
              <w:ind w:firstLineChars="100" w:firstLine="241"/>
              <w:rPr>
                <w:rFonts w:ascii="Times New Roman" w:eastAsia="Times New Roman" w:hAnsi="Times New Roman" w:cs="Times New Roman"/>
                <w:b/>
                <w:bCs/>
                <w:color w:val="1A1C1E"/>
                <w:kern w:val="0"/>
                <w:szCs w:val="24"/>
                <w:lang w:eastAsia="en-IN"/>
                <w14:ligatures w14:val="none"/>
              </w:rPr>
            </w:pPr>
            <w:r w:rsidRPr="002A11B0">
              <w:rPr>
                <w:rFonts w:ascii="Times New Roman" w:eastAsia="Times New Roman" w:hAnsi="Times New Roman" w:cs="Times New Roman"/>
                <w:b/>
                <w:bCs/>
                <w:color w:val="1A1C1E"/>
                <w:kern w:val="0"/>
                <w:szCs w:val="24"/>
                <w:lang w:eastAsia="en-IN"/>
                <w14:ligatures w14:val="none"/>
              </w:rPr>
              <w:t>1960-61</w:t>
            </w:r>
          </w:p>
        </w:tc>
        <w:tc>
          <w:tcPr>
            <w:tcW w:w="1352" w:type="dxa"/>
            <w:tcBorders>
              <w:top w:val="single" w:sz="4" w:space="0" w:color="auto"/>
              <w:left w:val="nil"/>
              <w:bottom w:val="single" w:sz="4" w:space="0" w:color="auto"/>
              <w:right w:val="single" w:sz="4" w:space="0" w:color="auto"/>
            </w:tcBorders>
            <w:shd w:val="clear" w:color="000000" w:fill="FFFFFF"/>
            <w:vAlign w:val="center"/>
            <w:hideMark/>
          </w:tcPr>
          <w:p w14:paraId="7CE87352" w14:textId="77777777" w:rsidR="002A11B0" w:rsidRPr="002A11B0" w:rsidRDefault="002A11B0" w:rsidP="002A11B0">
            <w:pPr>
              <w:spacing w:after="0" w:line="240" w:lineRule="auto"/>
              <w:ind w:firstLineChars="100" w:firstLine="241"/>
              <w:rPr>
                <w:rFonts w:ascii="Times New Roman" w:eastAsia="Times New Roman" w:hAnsi="Times New Roman" w:cs="Times New Roman"/>
                <w:b/>
                <w:bCs/>
                <w:color w:val="1A1C1E"/>
                <w:kern w:val="0"/>
                <w:szCs w:val="24"/>
                <w:lang w:eastAsia="en-IN"/>
                <w14:ligatures w14:val="none"/>
              </w:rPr>
            </w:pPr>
            <w:r w:rsidRPr="002A11B0">
              <w:rPr>
                <w:rFonts w:ascii="Times New Roman" w:eastAsia="Times New Roman" w:hAnsi="Times New Roman" w:cs="Times New Roman"/>
                <w:b/>
                <w:bCs/>
                <w:color w:val="1A1C1E"/>
                <w:kern w:val="0"/>
                <w:szCs w:val="24"/>
                <w:lang w:eastAsia="en-IN"/>
                <w14:ligatures w14:val="none"/>
              </w:rPr>
              <w:t>1965-66</w:t>
            </w:r>
          </w:p>
        </w:tc>
        <w:tc>
          <w:tcPr>
            <w:tcW w:w="1352" w:type="dxa"/>
            <w:tcBorders>
              <w:top w:val="single" w:sz="4" w:space="0" w:color="auto"/>
              <w:left w:val="nil"/>
              <w:bottom w:val="single" w:sz="4" w:space="0" w:color="auto"/>
              <w:right w:val="single" w:sz="4" w:space="0" w:color="auto"/>
            </w:tcBorders>
            <w:shd w:val="clear" w:color="000000" w:fill="FFFFFF"/>
            <w:vAlign w:val="center"/>
            <w:hideMark/>
          </w:tcPr>
          <w:p w14:paraId="7C9CFBB5" w14:textId="77777777" w:rsidR="002A11B0" w:rsidRPr="002A11B0" w:rsidRDefault="002A11B0" w:rsidP="002A11B0">
            <w:pPr>
              <w:spacing w:after="0" w:line="240" w:lineRule="auto"/>
              <w:ind w:firstLineChars="100" w:firstLine="241"/>
              <w:rPr>
                <w:rFonts w:ascii="Times New Roman" w:eastAsia="Times New Roman" w:hAnsi="Times New Roman" w:cs="Times New Roman"/>
                <w:b/>
                <w:bCs/>
                <w:color w:val="1A1C1E"/>
                <w:kern w:val="0"/>
                <w:szCs w:val="24"/>
                <w:lang w:eastAsia="en-IN"/>
                <w14:ligatures w14:val="none"/>
              </w:rPr>
            </w:pPr>
            <w:r w:rsidRPr="002A11B0">
              <w:rPr>
                <w:rFonts w:ascii="Times New Roman" w:eastAsia="Times New Roman" w:hAnsi="Times New Roman" w:cs="Times New Roman"/>
                <w:b/>
                <w:bCs/>
                <w:color w:val="1A1C1E"/>
                <w:kern w:val="0"/>
                <w:szCs w:val="24"/>
                <w:lang w:eastAsia="en-IN"/>
                <w14:ligatures w14:val="none"/>
              </w:rPr>
              <w:t>1966-67</w:t>
            </w:r>
          </w:p>
        </w:tc>
        <w:tc>
          <w:tcPr>
            <w:tcW w:w="1497" w:type="dxa"/>
            <w:tcBorders>
              <w:top w:val="single" w:sz="4" w:space="0" w:color="auto"/>
              <w:left w:val="nil"/>
              <w:bottom w:val="single" w:sz="4" w:space="0" w:color="auto"/>
              <w:right w:val="single" w:sz="4" w:space="0" w:color="auto"/>
            </w:tcBorders>
            <w:shd w:val="clear" w:color="000000" w:fill="FFFFFF"/>
            <w:vAlign w:val="center"/>
            <w:hideMark/>
          </w:tcPr>
          <w:p w14:paraId="2D7156C0" w14:textId="77777777" w:rsidR="002A11B0" w:rsidRPr="002A11B0" w:rsidRDefault="002A11B0" w:rsidP="002A11B0">
            <w:pPr>
              <w:spacing w:after="0" w:line="240" w:lineRule="auto"/>
              <w:ind w:firstLineChars="100" w:firstLine="241"/>
              <w:rPr>
                <w:rFonts w:ascii="Times New Roman" w:eastAsia="Times New Roman" w:hAnsi="Times New Roman" w:cs="Times New Roman"/>
                <w:b/>
                <w:bCs/>
                <w:color w:val="1A1C1E"/>
                <w:kern w:val="0"/>
                <w:szCs w:val="24"/>
                <w:lang w:eastAsia="en-IN"/>
                <w14:ligatures w14:val="none"/>
              </w:rPr>
            </w:pPr>
            <w:r w:rsidRPr="002A11B0">
              <w:rPr>
                <w:rFonts w:ascii="Times New Roman" w:eastAsia="Times New Roman" w:hAnsi="Times New Roman" w:cs="Times New Roman"/>
                <w:b/>
                <w:bCs/>
                <w:color w:val="1A1C1E"/>
                <w:kern w:val="0"/>
                <w:szCs w:val="24"/>
                <w:lang w:eastAsia="en-IN"/>
                <w14:ligatures w14:val="none"/>
              </w:rPr>
              <w:t>1967-68</w:t>
            </w:r>
          </w:p>
        </w:tc>
      </w:tr>
      <w:tr w:rsidR="002A11B0" w:rsidRPr="002A11B0" w14:paraId="6E6BD1DA" w14:textId="77777777" w:rsidTr="002A11B0">
        <w:trPr>
          <w:trHeight w:val="20"/>
          <w:jc w:val="center"/>
        </w:trPr>
        <w:tc>
          <w:tcPr>
            <w:tcW w:w="2104" w:type="dxa"/>
            <w:tcBorders>
              <w:top w:val="nil"/>
              <w:left w:val="single" w:sz="4" w:space="0" w:color="auto"/>
              <w:bottom w:val="single" w:sz="4" w:space="0" w:color="auto"/>
              <w:right w:val="single" w:sz="4" w:space="0" w:color="auto"/>
            </w:tcBorders>
            <w:shd w:val="clear" w:color="000000" w:fill="FFFFFF"/>
            <w:vAlign w:val="center"/>
            <w:hideMark/>
          </w:tcPr>
          <w:p w14:paraId="297F50BD" w14:textId="77777777" w:rsidR="002A11B0" w:rsidRPr="002A11B0" w:rsidRDefault="002A11B0" w:rsidP="002A11B0">
            <w:pPr>
              <w:spacing w:after="0" w:line="240" w:lineRule="auto"/>
              <w:ind w:firstLineChars="100" w:firstLine="241"/>
              <w:rPr>
                <w:rFonts w:ascii="Times New Roman" w:eastAsia="Times New Roman" w:hAnsi="Times New Roman" w:cs="Times New Roman"/>
                <w:b/>
                <w:bCs/>
                <w:color w:val="1A1C1E"/>
                <w:kern w:val="0"/>
                <w:szCs w:val="24"/>
                <w:lang w:eastAsia="en-IN"/>
                <w14:ligatures w14:val="none"/>
              </w:rPr>
            </w:pPr>
            <w:r w:rsidRPr="002A11B0">
              <w:rPr>
                <w:rFonts w:ascii="Times New Roman" w:eastAsia="Times New Roman" w:hAnsi="Times New Roman" w:cs="Times New Roman"/>
                <w:b/>
                <w:bCs/>
                <w:color w:val="1A1C1E"/>
                <w:kern w:val="0"/>
                <w:szCs w:val="24"/>
                <w:lang w:eastAsia="en-IN"/>
                <w14:ligatures w14:val="none"/>
              </w:rPr>
              <w:t>Agricultural Income Tax</w:t>
            </w:r>
          </w:p>
        </w:tc>
        <w:tc>
          <w:tcPr>
            <w:tcW w:w="1352" w:type="dxa"/>
            <w:tcBorders>
              <w:top w:val="nil"/>
              <w:left w:val="nil"/>
              <w:bottom w:val="single" w:sz="4" w:space="0" w:color="auto"/>
              <w:right w:val="single" w:sz="4" w:space="0" w:color="auto"/>
            </w:tcBorders>
            <w:shd w:val="clear" w:color="000000" w:fill="FFFFFF"/>
            <w:vAlign w:val="center"/>
            <w:hideMark/>
          </w:tcPr>
          <w:p w14:paraId="14492D84" w14:textId="77777777" w:rsidR="002A11B0" w:rsidRPr="002A11B0" w:rsidRDefault="002A11B0" w:rsidP="002A11B0">
            <w:pPr>
              <w:spacing w:after="0" w:line="240" w:lineRule="auto"/>
              <w:ind w:firstLineChars="100" w:firstLine="240"/>
              <w:rPr>
                <w:rFonts w:ascii="Times New Roman" w:eastAsia="Times New Roman" w:hAnsi="Times New Roman" w:cs="Times New Roman"/>
                <w:color w:val="1A1C1E"/>
                <w:kern w:val="0"/>
                <w:szCs w:val="24"/>
                <w:lang w:eastAsia="en-IN"/>
                <w14:ligatures w14:val="none"/>
              </w:rPr>
            </w:pPr>
            <w:r w:rsidRPr="002A11B0">
              <w:rPr>
                <w:rFonts w:ascii="Times New Roman" w:eastAsia="Times New Roman" w:hAnsi="Times New Roman" w:cs="Times New Roman"/>
                <w:color w:val="1A1C1E"/>
                <w:kern w:val="0"/>
                <w:szCs w:val="24"/>
                <w:lang w:eastAsia="en-IN"/>
                <w14:ligatures w14:val="none"/>
              </w:rPr>
              <w:t>3.59</w:t>
            </w:r>
          </w:p>
        </w:tc>
        <w:tc>
          <w:tcPr>
            <w:tcW w:w="1352" w:type="dxa"/>
            <w:tcBorders>
              <w:top w:val="nil"/>
              <w:left w:val="nil"/>
              <w:bottom w:val="single" w:sz="4" w:space="0" w:color="auto"/>
              <w:right w:val="single" w:sz="4" w:space="0" w:color="auto"/>
            </w:tcBorders>
            <w:shd w:val="clear" w:color="000000" w:fill="FFFFFF"/>
            <w:vAlign w:val="center"/>
            <w:hideMark/>
          </w:tcPr>
          <w:p w14:paraId="5663E609" w14:textId="77777777" w:rsidR="002A11B0" w:rsidRPr="002A11B0" w:rsidRDefault="002A11B0" w:rsidP="002A11B0">
            <w:pPr>
              <w:spacing w:after="0" w:line="240" w:lineRule="auto"/>
              <w:ind w:firstLineChars="100" w:firstLine="240"/>
              <w:rPr>
                <w:rFonts w:ascii="Times New Roman" w:eastAsia="Times New Roman" w:hAnsi="Times New Roman" w:cs="Times New Roman"/>
                <w:color w:val="1A1C1E"/>
                <w:kern w:val="0"/>
                <w:szCs w:val="24"/>
                <w:lang w:eastAsia="en-IN"/>
                <w14:ligatures w14:val="none"/>
              </w:rPr>
            </w:pPr>
            <w:r w:rsidRPr="002A11B0">
              <w:rPr>
                <w:rFonts w:ascii="Times New Roman" w:eastAsia="Times New Roman" w:hAnsi="Times New Roman" w:cs="Times New Roman"/>
                <w:color w:val="1A1C1E"/>
                <w:kern w:val="0"/>
                <w:szCs w:val="24"/>
                <w:lang w:eastAsia="en-IN"/>
                <w14:ligatures w14:val="none"/>
              </w:rPr>
              <w:t>7.68</w:t>
            </w:r>
          </w:p>
        </w:tc>
        <w:tc>
          <w:tcPr>
            <w:tcW w:w="1352" w:type="dxa"/>
            <w:tcBorders>
              <w:top w:val="nil"/>
              <w:left w:val="nil"/>
              <w:bottom w:val="single" w:sz="4" w:space="0" w:color="auto"/>
              <w:right w:val="single" w:sz="4" w:space="0" w:color="auto"/>
            </w:tcBorders>
            <w:shd w:val="clear" w:color="000000" w:fill="FFFFFF"/>
            <w:vAlign w:val="center"/>
            <w:hideMark/>
          </w:tcPr>
          <w:p w14:paraId="517CD33E" w14:textId="77777777" w:rsidR="002A11B0" w:rsidRPr="002A11B0" w:rsidRDefault="002A11B0" w:rsidP="002A11B0">
            <w:pPr>
              <w:spacing w:after="0" w:line="240" w:lineRule="auto"/>
              <w:ind w:firstLineChars="100" w:firstLine="240"/>
              <w:rPr>
                <w:rFonts w:ascii="Times New Roman" w:eastAsia="Times New Roman" w:hAnsi="Times New Roman" w:cs="Times New Roman"/>
                <w:color w:val="1A1C1E"/>
                <w:kern w:val="0"/>
                <w:szCs w:val="24"/>
                <w:lang w:eastAsia="en-IN"/>
                <w14:ligatures w14:val="none"/>
              </w:rPr>
            </w:pPr>
            <w:r w:rsidRPr="002A11B0">
              <w:rPr>
                <w:rFonts w:ascii="Times New Roman" w:eastAsia="Times New Roman" w:hAnsi="Times New Roman" w:cs="Times New Roman"/>
                <w:color w:val="1A1C1E"/>
                <w:kern w:val="0"/>
                <w:szCs w:val="24"/>
                <w:lang w:eastAsia="en-IN"/>
                <w14:ligatures w14:val="none"/>
              </w:rPr>
              <w:t>11.92</w:t>
            </w:r>
          </w:p>
        </w:tc>
        <w:tc>
          <w:tcPr>
            <w:tcW w:w="1352" w:type="dxa"/>
            <w:tcBorders>
              <w:top w:val="nil"/>
              <w:left w:val="nil"/>
              <w:bottom w:val="single" w:sz="4" w:space="0" w:color="auto"/>
              <w:right w:val="single" w:sz="4" w:space="0" w:color="auto"/>
            </w:tcBorders>
            <w:shd w:val="clear" w:color="000000" w:fill="FFFFFF"/>
            <w:vAlign w:val="center"/>
            <w:hideMark/>
          </w:tcPr>
          <w:p w14:paraId="3CC0C18C" w14:textId="77777777" w:rsidR="002A11B0" w:rsidRPr="002A11B0" w:rsidRDefault="002A11B0" w:rsidP="002A11B0">
            <w:pPr>
              <w:spacing w:after="0" w:line="240" w:lineRule="auto"/>
              <w:ind w:firstLineChars="100" w:firstLine="240"/>
              <w:rPr>
                <w:rFonts w:ascii="Times New Roman" w:eastAsia="Times New Roman" w:hAnsi="Times New Roman" w:cs="Times New Roman"/>
                <w:color w:val="1A1C1E"/>
                <w:kern w:val="0"/>
                <w:szCs w:val="24"/>
                <w:lang w:eastAsia="en-IN"/>
                <w14:ligatures w14:val="none"/>
              </w:rPr>
            </w:pPr>
            <w:r w:rsidRPr="002A11B0">
              <w:rPr>
                <w:rFonts w:ascii="Times New Roman" w:eastAsia="Times New Roman" w:hAnsi="Times New Roman" w:cs="Times New Roman"/>
                <w:color w:val="1A1C1E"/>
                <w:kern w:val="0"/>
                <w:szCs w:val="24"/>
                <w:lang w:eastAsia="en-IN"/>
                <w14:ligatures w14:val="none"/>
              </w:rPr>
              <w:t>9.62</w:t>
            </w:r>
          </w:p>
        </w:tc>
        <w:tc>
          <w:tcPr>
            <w:tcW w:w="1352" w:type="dxa"/>
            <w:tcBorders>
              <w:top w:val="nil"/>
              <w:left w:val="nil"/>
              <w:bottom w:val="single" w:sz="4" w:space="0" w:color="auto"/>
              <w:right w:val="single" w:sz="4" w:space="0" w:color="auto"/>
            </w:tcBorders>
            <w:shd w:val="clear" w:color="000000" w:fill="FFFFFF"/>
            <w:vAlign w:val="center"/>
            <w:hideMark/>
          </w:tcPr>
          <w:p w14:paraId="49CDF166" w14:textId="77777777" w:rsidR="002A11B0" w:rsidRPr="002A11B0" w:rsidRDefault="002A11B0" w:rsidP="002A11B0">
            <w:pPr>
              <w:spacing w:after="0" w:line="240" w:lineRule="auto"/>
              <w:ind w:firstLineChars="100" w:firstLine="240"/>
              <w:rPr>
                <w:rFonts w:ascii="Times New Roman" w:eastAsia="Times New Roman" w:hAnsi="Times New Roman" w:cs="Times New Roman"/>
                <w:color w:val="1A1C1E"/>
                <w:kern w:val="0"/>
                <w:szCs w:val="24"/>
                <w:lang w:eastAsia="en-IN"/>
                <w14:ligatures w14:val="none"/>
              </w:rPr>
            </w:pPr>
            <w:r w:rsidRPr="002A11B0">
              <w:rPr>
                <w:rFonts w:ascii="Times New Roman" w:eastAsia="Times New Roman" w:hAnsi="Times New Roman" w:cs="Times New Roman"/>
                <w:color w:val="1A1C1E"/>
                <w:kern w:val="0"/>
                <w:szCs w:val="24"/>
                <w:lang w:eastAsia="en-IN"/>
                <w14:ligatures w14:val="none"/>
              </w:rPr>
              <w:t>10.25</w:t>
            </w:r>
          </w:p>
        </w:tc>
        <w:tc>
          <w:tcPr>
            <w:tcW w:w="1497" w:type="dxa"/>
            <w:tcBorders>
              <w:top w:val="nil"/>
              <w:left w:val="nil"/>
              <w:bottom w:val="single" w:sz="4" w:space="0" w:color="auto"/>
              <w:right w:val="single" w:sz="4" w:space="0" w:color="auto"/>
            </w:tcBorders>
            <w:shd w:val="clear" w:color="000000" w:fill="FFFFFF"/>
            <w:vAlign w:val="center"/>
            <w:hideMark/>
          </w:tcPr>
          <w:p w14:paraId="7CB2B237" w14:textId="77777777" w:rsidR="002A11B0" w:rsidRPr="002A11B0" w:rsidRDefault="002A11B0" w:rsidP="002A11B0">
            <w:pPr>
              <w:spacing w:after="0" w:line="240" w:lineRule="auto"/>
              <w:ind w:firstLineChars="100" w:firstLine="240"/>
              <w:rPr>
                <w:rFonts w:ascii="Times New Roman" w:eastAsia="Times New Roman" w:hAnsi="Times New Roman" w:cs="Times New Roman"/>
                <w:color w:val="1A1C1E"/>
                <w:kern w:val="0"/>
                <w:szCs w:val="24"/>
                <w:lang w:eastAsia="en-IN"/>
                <w14:ligatures w14:val="none"/>
              </w:rPr>
            </w:pPr>
            <w:r w:rsidRPr="002A11B0">
              <w:rPr>
                <w:rFonts w:ascii="Times New Roman" w:eastAsia="Times New Roman" w:hAnsi="Times New Roman" w:cs="Times New Roman"/>
                <w:color w:val="1A1C1E"/>
                <w:kern w:val="0"/>
                <w:szCs w:val="24"/>
                <w:lang w:eastAsia="en-IN"/>
                <w14:ligatures w14:val="none"/>
              </w:rPr>
              <w:t>12.05</w:t>
            </w:r>
          </w:p>
        </w:tc>
      </w:tr>
      <w:tr w:rsidR="002A11B0" w:rsidRPr="002A11B0" w14:paraId="30BA1967" w14:textId="77777777" w:rsidTr="002A11B0">
        <w:trPr>
          <w:trHeight w:val="20"/>
          <w:jc w:val="center"/>
        </w:trPr>
        <w:tc>
          <w:tcPr>
            <w:tcW w:w="2104" w:type="dxa"/>
            <w:tcBorders>
              <w:top w:val="nil"/>
              <w:left w:val="single" w:sz="4" w:space="0" w:color="auto"/>
              <w:bottom w:val="single" w:sz="4" w:space="0" w:color="auto"/>
              <w:right w:val="single" w:sz="4" w:space="0" w:color="auto"/>
            </w:tcBorders>
            <w:shd w:val="clear" w:color="000000" w:fill="FFFFFF"/>
            <w:vAlign w:val="center"/>
            <w:hideMark/>
          </w:tcPr>
          <w:p w14:paraId="395E8B5C" w14:textId="77777777" w:rsidR="002A11B0" w:rsidRPr="002A11B0" w:rsidRDefault="002A11B0" w:rsidP="002A11B0">
            <w:pPr>
              <w:spacing w:after="0" w:line="240" w:lineRule="auto"/>
              <w:ind w:firstLineChars="100" w:firstLine="240"/>
              <w:rPr>
                <w:rFonts w:ascii="Times New Roman" w:eastAsia="Times New Roman" w:hAnsi="Times New Roman" w:cs="Times New Roman"/>
                <w:color w:val="1A1C1E"/>
                <w:kern w:val="0"/>
                <w:szCs w:val="24"/>
                <w:lang w:eastAsia="en-IN"/>
                <w14:ligatures w14:val="none"/>
              </w:rPr>
            </w:pPr>
            <w:r w:rsidRPr="002A11B0">
              <w:rPr>
                <w:rFonts w:ascii="Times New Roman" w:eastAsia="Times New Roman" w:hAnsi="Times New Roman" w:cs="Times New Roman"/>
                <w:color w:val="1A1C1E"/>
                <w:kern w:val="0"/>
                <w:szCs w:val="24"/>
                <w:lang w:eastAsia="en-IN"/>
                <w14:ligatures w14:val="none"/>
              </w:rPr>
              <w:t> </w:t>
            </w:r>
          </w:p>
        </w:tc>
        <w:tc>
          <w:tcPr>
            <w:tcW w:w="1352" w:type="dxa"/>
            <w:tcBorders>
              <w:top w:val="nil"/>
              <w:left w:val="nil"/>
              <w:bottom w:val="single" w:sz="4" w:space="0" w:color="auto"/>
              <w:right w:val="single" w:sz="4" w:space="0" w:color="auto"/>
            </w:tcBorders>
            <w:shd w:val="clear" w:color="000000" w:fill="FFFFFF"/>
            <w:vAlign w:val="center"/>
            <w:hideMark/>
          </w:tcPr>
          <w:p w14:paraId="7B15294D" w14:textId="77777777" w:rsidR="002A11B0" w:rsidRPr="002A11B0" w:rsidRDefault="002A11B0" w:rsidP="002A11B0">
            <w:pPr>
              <w:spacing w:after="0" w:line="240" w:lineRule="auto"/>
              <w:ind w:firstLineChars="100" w:firstLine="240"/>
              <w:rPr>
                <w:rFonts w:ascii="Times New Roman" w:eastAsia="Times New Roman" w:hAnsi="Times New Roman" w:cs="Times New Roman"/>
                <w:color w:val="1A1C1E"/>
                <w:kern w:val="0"/>
                <w:szCs w:val="24"/>
                <w:lang w:eastAsia="en-IN"/>
                <w14:ligatures w14:val="none"/>
              </w:rPr>
            </w:pPr>
            <w:r w:rsidRPr="002A11B0">
              <w:rPr>
                <w:rFonts w:ascii="Times New Roman" w:eastAsia="Times New Roman" w:hAnsi="Times New Roman" w:cs="Times New Roman"/>
                <w:color w:val="1A1C1E"/>
                <w:kern w:val="0"/>
                <w:szCs w:val="24"/>
                <w:lang w:eastAsia="en-IN"/>
                <w14:ligatures w14:val="none"/>
              </w:rPr>
              <w:t>(100)</w:t>
            </w:r>
          </w:p>
        </w:tc>
        <w:tc>
          <w:tcPr>
            <w:tcW w:w="1352" w:type="dxa"/>
            <w:tcBorders>
              <w:top w:val="nil"/>
              <w:left w:val="nil"/>
              <w:bottom w:val="single" w:sz="4" w:space="0" w:color="auto"/>
              <w:right w:val="single" w:sz="4" w:space="0" w:color="auto"/>
            </w:tcBorders>
            <w:shd w:val="clear" w:color="000000" w:fill="FFFFFF"/>
            <w:vAlign w:val="center"/>
            <w:hideMark/>
          </w:tcPr>
          <w:p w14:paraId="75DE69DA" w14:textId="77777777" w:rsidR="002A11B0" w:rsidRPr="002A11B0" w:rsidRDefault="002A11B0" w:rsidP="002A11B0">
            <w:pPr>
              <w:spacing w:after="0" w:line="240" w:lineRule="auto"/>
              <w:ind w:firstLineChars="100" w:firstLine="240"/>
              <w:rPr>
                <w:rFonts w:ascii="Times New Roman" w:eastAsia="Times New Roman" w:hAnsi="Times New Roman" w:cs="Times New Roman"/>
                <w:color w:val="1A1C1E"/>
                <w:kern w:val="0"/>
                <w:szCs w:val="24"/>
                <w:lang w:eastAsia="en-IN"/>
                <w14:ligatures w14:val="none"/>
              </w:rPr>
            </w:pPr>
            <w:r w:rsidRPr="002A11B0">
              <w:rPr>
                <w:rFonts w:ascii="Times New Roman" w:eastAsia="Times New Roman" w:hAnsi="Times New Roman" w:cs="Times New Roman"/>
                <w:color w:val="1A1C1E"/>
                <w:kern w:val="0"/>
                <w:szCs w:val="24"/>
                <w:lang w:eastAsia="en-IN"/>
                <w14:ligatures w14:val="none"/>
              </w:rPr>
              <w:t>(214)</w:t>
            </w:r>
          </w:p>
        </w:tc>
        <w:tc>
          <w:tcPr>
            <w:tcW w:w="1352" w:type="dxa"/>
            <w:tcBorders>
              <w:top w:val="nil"/>
              <w:left w:val="nil"/>
              <w:bottom w:val="single" w:sz="4" w:space="0" w:color="auto"/>
              <w:right w:val="single" w:sz="4" w:space="0" w:color="auto"/>
            </w:tcBorders>
            <w:shd w:val="clear" w:color="000000" w:fill="FFFFFF"/>
            <w:vAlign w:val="center"/>
            <w:hideMark/>
          </w:tcPr>
          <w:p w14:paraId="708FCC33" w14:textId="77777777" w:rsidR="002A11B0" w:rsidRPr="002A11B0" w:rsidRDefault="002A11B0" w:rsidP="002A11B0">
            <w:pPr>
              <w:spacing w:after="0" w:line="240" w:lineRule="auto"/>
              <w:ind w:firstLineChars="100" w:firstLine="240"/>
              <w:rPr>
                <w:rFonts w:ascii="Times New Roman" w:eastAsia="Times New Roman" w:hAnsi="Times New Roman" w:cs="Times New Roman"/>
                <w:color w:val="1A1C1E"/>
                <w:kern w:val="0"/>
                <w:szCs w:val="24"/>
                <w:lang w:eastAsia="en-IN"/>
                <w14:ligatures w14:val="none"/>
              </w:rPr>
            </w:pPr>
            <w:r w:rsidRPr="002A11B0">
              <w:rPr>
                <w:rFonts w:ascii="Times New Roman" w:eastAsia="Times New Roman" w:hAnsi="Times New Roman" w:cs="Times New Roman"/>
                <w:color w:val="1A1C1E"/>
                <w:kern w:val="0"/>
                <w:szCs w:val="24"/>
                <w:lang w:eastAsia="en-IN"/>
                <w14:ligatures w14:val="none"/>
              </w:rPr>
              <w:t>(332)</w:t>
            </w:r>
          </w:p>
        </w:tc>
        <w:tc>
          <w:tcPr>
            <w:tcW w:w="1352" w:type="dxa"/>
            <w:tcBorders>
              <w:top w:val="nil"/>
              <w:left w:val="nil"/>
              <w:bottom w:val="single" w:sz="4" w:space="0" w:color="auto"/>
              <w:right w:val="single" w:sz="4" w:space="0" w:color="auto"/>
            </w:tcBorders>
            <w:shd w:val="clear" w:color="000000" w:fill="FFFFFF"/>
            <w:vAlign w:val="center"/>
            <w:hideMark/>
          </w:tcPr>
          <w:p w14:paraId="5799B20B" w14:textId="77777777" w:rsidR="002A11B0" w:rsidRPr="002A11B0" w:rsidRDefault="002A11B0" w:rsidP="002A11B0">
            <w:pPr>
              <w:spacing w:after="0" w:line="240" w:lineRule="auto"/>
              <w:ind w:firstLineChars="100" w:firstLine="240"/>
              <w:rPr>
                <w:rFonts w:ascii="Times New Roman" w:eastAsia="Times New Roman" w:hAnsi="Times New Roman" w:cs="Times New Roman"/>
                <w:color w:val="1A1C1E"/>
                <w:kern w:val="0"/>
                <w:szCs w:val="24"/>
                <w:lang w:eastAsia="en-IN"/>
                <w14:ligatures w14:val="none"/>
              </w:rPr>
            </w:pPr>
            <w:r w:rsidRPr="002A11B0">
              <w:rPr>
                <w:rFonts w:ascii="Times New Roman" w:eastAsia="Times New Roman" w:hAnsi="Times New Roman" w:cs="Times New Roman"/>
                <w:color w:val="1A1C1E"/>
                <w:kern w:val="0"/>
                <w:szCs w:val="24"/>
                <w:lang w:eastAsia="en-IN"/>
                <w14:ligatures w14:val="none"/>
              </w:rPr>
              <w:t>(268)</w:t>
            </w:r>
          </w:p>
        </w:tc>
        <w:tc>
          <w:tcPr>
            <w:tcW w:w="1352" w:type="dxa"/>
            <w:tcBorders>
              <w:top w:val="nil"/>
              <w:left w:val="nil"/>
              <w:bottom w:val="single" w:sz="4" w:space="0" w:color="auto"/>
              <w:right w:val="single" w:sz="4" w:space="0" w:color="auto"/>
            </w:tcBorders>
            <w:shd w:val="clear" w:color="000000" w:fill="FFFFFF"/>
            <w:vAlign w:val="center"/>
            <w:hideMark/>
          </w:tcPr>
          <w:p w14:paraId="3E503107" w14:textId="77777777" w:rsidR="002A11B0" w:rsidRPr="002A11B0" w:rsidRDefault="002A11B0" w:rsidP="002A11B0">
            <w:pPr>
              <w:spacing w:after="0" w:line="240" w:lineRule="auto"/>
              <w:ind w:firstLineChars="100" w:firstLine="240"/>
              <w:rPr>
                <w:rFonts w:ascii="Times New Roman" w:eastAsia="Times New Roman" w:hAnsi="Times New Roman" w:cs="Times New Roman"/>
                <w:color w:val="1A1C1E"/>
                <w:kern w:val="0"/>
                <w:szCs w:val="24"/>
                <w:lang w:eastAsia="en-IN"/>
                <w14:ligatures w14:val="none"/>
              </w:rPr>
            </w:pPr>
            <w:r w:rsidRPr="002A11B0">
              <w:rPr>
                <w:rFonts w:ascii="Times New Roman" w:eastAsia="Times New Roman" w:hAnsi="Times New Roman" w:cs="Times New Roman"/>
                <w:color w:val="1A1C1E"/>
                <w:kern w:val="0"/>
                <w:szCs w:val="24"/>
                <w:lang w:eastAsia="en-IN"/>
                <w14:ligatures w14:val="none"/>
              </w:rPr>
              <w:t>(286)</w:t>
            </w:r>
          </w:p>
        </w:tc>
        <w:tc>
          <w:tcPr>
            <w:tcW w:w="1497" w:type="dxa"/>
            <w:tcBorders>
              <w:top w:val="nil"/>
              <w:left w:val="nil"/>
              <w:bottom w:val="single" w:sz="4" w:space="0" w:color="auto"/>
              <w:right w:val="single" w:sz="4" w:space="0" w:color="auto"/>
            </w:tcBorders>
            <w:shd w:val="clear" w:color="000000" w:fill="FFFFFF"/>
            <w:vAlign w:val="center"/>
            <w:hideMark/>
          </w:tcPr>
          <w:p w14:paraId="2575BC00" w14:textId="77777777" w:rsidR="002A11B0" w:rsidRPr="002A11B0" w:rsidRDefault="002A11B0" w:rsidP="002A11B0">
            <w:pPr>
              <w:spacing w:after="0" w:line="240" w:lineRule="auto"/>
              <w:ind w:firstLineChars="100" w:firstLine="240"/>
              <w:rPr>
                <w:rFonts w:ascii="Times New Roman" w:eastAsia="Times New Roman" w:hAnsi="Times New Roman" w:cs="Times New Roman"/>
                <w:color w:val="1A1C1E"/>
                <w:kern w:val="0"/>
                <w:szCs w:val="24"/>
                <w:lang w:eastAsia="en-IN"/>
                <w14:ligatures w14:val="none"/>
              </w:rPr>
            </w:pPr>
            <w:r w:rsidRPr="002A11B0">
              <w:rPr>
                <w:rFonts w:ascii="Times New Roman" w:eastAsia="Times New Roman" w:hAnsi="Times New Roman" w:cs="Times New Roman"/>
                <w:color w:val="1A1C1E"/>
                <w:kern w:val="0"/>
                <w:szCs w:val="24"/>
                <w:lang w:eastAsia="en-IN"/>
                <w14:ligatures w14:val="none"/>
              </w:rPr>
              <w:t>(336)</w:t>
            </w:r>
          </w:p>
        </w:tc>
      </w:tr>
      <w:tr w:rsidR="002A11B0" w:rsidRPr="002A11B0" w14:paraId="5695F058" w14:textId="77777777" w:rsidTr="002A11B0">
        <w:trPr>
          <w:trHeight w:val="20"/>
          <w:jc w:val="center"/>
        </w:trPr>
        <w:tc>
          <w:tcPr>
            <w:tcW w:w="2104" w:type="dxa"/>
            <w:tcBorders>
              <w:top w:val="nil"/>
              <w:left w:val="single" w:sz="4" w:space="0" w:color="auto"/>
              <w:bottom w:val="single" w:sz="4" w:space="0" w:color="auto"/>
              <w:right w:val="single" w:sz="4" w:space="0" w:color="auto"/>
            </w:tcBorders>
            <w:shd w:val="clear" w:color="000000" w:fill="FFFFFF"/>
            <w:vAlign w:val="center"/>
            <w:hideMark/>
          </w:tcPr>
          <w:p w14:paraId="6E6D503E" w14:textId="77777777" w:rsidR="002A11B0" w:rsidRPr="002A11B0" w:rsidRDefault="002A11B0" w:rsidP="002A11B0">
            <w:pPr>
              <w:spacing w:after="0" w:line="240" w:lineRule="auto"/>
              <w:ind w:firstLineChars="100" w:firstLine="241"/>
              <w:rPr>
                <w:rFonts w:ascii="Times New Roman" w:eastAsia="Times New Roman" w:hAnsi="Times New Roman" w:cs="Times New Roman"/>
                <w:b/>
                <w:bCs/>
                <w:color w:val="1A1C1E"/>
                <w:kern w:val="0"/>
                <w:szCs w:val="24"/>
                <w:lang w:eastAsia="en-IN"/>
                <w14:ligatures w14:val="none"/>
              </w:rPr>
            </w:pPr>
            <w:r w:rsidRPr="002A11B0">
              <w:rPr>
                <w:rFonts w:ascii="Times New Roman" w:eastAsia="Times New Roman" w:hAnsi="Times New Roman" w:cs="Times New Roman"/>
                <w:b/>
                <w:bCs/>
                <w:color w:val="1A1C1E"/>
                <w:kern w:val="0"/>
                <w:szCs w:val="24"/>
                <w:lang w:eastAsia="en-IN"/>
                <w14:ligatures w14:val="none"/>
              </w:rPr>
              <w:t>Land Revenue(a)</w:t>
            </w:r>
          </w:p>
        </w:tc>
        <w:tc>
          <w:tcPr>
            <w:tcW w:w="1352" w:type="dxa"/>
            <w:tcBorders>
              <w:top w:val="nil"/>
              <w:left w:val="nil"/>
              <w:bottom w:val="single" w:sz="4" w:space="0" w:color="auto"/>
              <w:right w:val="single" w:sz="4" w:space="0" w:color="auto"/>
            </w:tcBorders>
            <w:shd w:val="clear" w:color="000000" w:fill="FFFFFF"/>
            <w:vAlign w:val="center"/>
            <w:hideMark/>
          </w:tcPr>
          <w:p w14:paraId="72AC53D4" w14:textId="77777777" w:rsidR="002A11B0" w:rsidRPr="002A11B0" w:rsidRDefault="002A11B0" w:rsidP="002A11B0">
            <w:pPr>
              <w:spacing w:after="0" w:line="240" w:lineRule="auto"/>
              <w:ind w:firstLineChars="100" w:firstLine="240"/>
              <w:rPr>
                <w:rFonts w:ascii="Times New Roman" w:eastAsia="Times New Roman" w:hAnsi="Times New Roman" w:cs="Times New Roman"/>
                <w:color w:val="1A1C1E"/>
                <w:kern w:val="0"/>
                <w:szCs w:val="24"/>
                <w:lang w:eastAsia="en-IN"/>
                <w14:ligatures w14:val="none"/>
              </w:rPr>
            </w:pPr>
            <w:r w:rsidRPr="002A11B0">
              <w:rPr>
                <w:rFonts w:ascii="Times New Roman" w:eastAsia="Times New Roman" w:hAnsi="Times New Roman" w:cs="Times New Roman"/>
                <w:color w:val="1A1C1E"/>
                <w:kern w:val="0"/>
                <w:szCs w:val="24"/>
                <w:lang w:eastAsia="en-IN"/>
                <w14:ligatures w14:val="none"/>
              </w:rPr>
              <w:t>49.6</w:t>
            </w:r>
          </w:p>
        </w:tc>
        <w:tc>
          <w:tcPr>
            <w:tcW w:w="1352" w:type="dxa"/>
            <w:tcBorders>
              <w:top w:val="nil"/>
              <w:left w:val="nil"/>
              <w:bottom w:val="single" w:sz="4" w:space="0" w:color="auto"/>
              <w:right w:val="single" w:sz="4" w:space="0" w:color="auto"/>
            </w:tcBorders>
            <w:shd w:val="clear" w:color="000000" w:fill="FFFFFF"/>
            <w:vAlign w:val="center"/>
            <w:hideMark/>
          </w:tcPr>
          <w:p w14:paraId="5818EF37" w14:textId="77777777" w:rsidR="002A11B0" w:rsidRPr="002A11B0" w:rsidRDefault="002A11B0" w:rsidP="002A11B0">
            <w:pPr>
              <w:spacing w:after="0" w:line="240" w:lineRule="auto"/>
              <w:ind w:firstLineChars="100" w:firstLine="240"/>
              <w:rPr>
                <w:rFonts w:ascii="Times New Roman" w:eastAsia="Times New Roman" w:hAnsi="Times New Roman" w:cs="Times New Roman"/>
                <w:color w:val="1A1C1E"/>
                <w:kern w:val="0"/>
                <w:szCs w:val="24"/>
                <w:lang w:eastAsia="en-IN"/>
                <w14:ligatures w14:val="none"/>
              </w:rPr>
            </w:pPr>
            <w:r w:rsidRPr="002A11B0">
              <w:rPr>
                <w:rFonts w:ascii="Times New Roman" w:eastAsia="Times New Roman" w:hAnsi="Times New Roman" w:cs="Times New Roman"/>
                <w:color w:val="1A1C1E"/>
                <w:kern w:val="0"/>
                <w:szCs w:val="24"/>
                <w:lang w:eastAsia="en-IN"/>
                <w14:ligatures w14:val="none"/>
              </w:rPr>
              <w:t>77.78</w:t>
            </w:r>
          </w:p>
        </w:tc>
        <w:tc>
          <w:tcPr>
            <w:tcW w:w="1352" w:type="dxa"/>
            <w:tcBorders>
              <w:top w:val="nil"/>
              <w:left w:val="nil"/>
              <w:bottom w:val="single" w:sz="4" w:space="0" w:color="auto"/>
              <w:right w:val="single" w:sz="4" w:space="0" w:color="auto"/>
            </w:tcBorders>
            <w:shd w:val="clear" w:color="000000" w:fill="FFFFFF"/>
            <w:vAlign w:val="center"/>
            <w:hideMark/>
          </w:tcPr>
          <w:p w14:paraId="4F9DECEB" w14:textId="77777777" w:rsidR="002A11B0" w:rsidRPr="002A11B0" w:rsidRDefault="002A11B0" w:rsidP="002A11B0">
            <w:pPr>
              <w:spacing w:after="0" w:line="240" w:lineRule="auto"/>
              <w:ind w:firstLineChars="100" w:firstLine="240"/>
              <w:rPr>
                <w:rFonts w:ascii="Times New Roman" w:eastAsia="Times New Roman" w:hAnsi="Times New Roman" w:cs="Times New Roman"/>
                <w:color w:val="1A1C1E"/>
                <w:kern w:val="0"/>
                <w:szCs w:val="24"/>
                <w:lang w:eastAsia="en-IN"/>
                <w14:ligatures w14:val="none"/>
              </w:rPr>
            </w:pPr>
            <w:r w:rsidRPr="002A11B0">
              <w:rPr>
                <w:rFonts w:ascii="Times New Roman" w:eastAsia="Times New Roman" w:hAnsi="Times New Roman" w:cs="Times New Roman"/>
                <w:color w:val="1A1C1E"/>
                <w:kern w:val="0"/>
                <w:szCs w:val="24"/>
                <w:lang w:eastAsia="en-IN"/>
                <w14:ligatures w14:val="none"/>
              </w:rPr>
              <w:t>97.5</w:t>
            </w:r>
          </w:p>
        </w:tc>
        <w:tc>
          <w:tcPr>
            <w:tcW w:w="1352" w:type="dxa"/>
            <w:tcBorders>
              <w:top w:val="nil"/>
              <w:left w:val="nil"/>
              <w:bottom w:val="single" w:sz="4" w:space="0" w:color="auto"/>
              <w:right w:val="single" w:sz="4" w:space="0" w:color="auto"/>
            </w:tcBorders>
            <w:shd w:val="clear" w:color="000000" w:fill="FFFFFF"/>
            <w:vAlign w:val="center"/>
            <w:hideMark/>
          </w:tcPr>
          <w:p w14:paraId="7896C856" w14:textId="77777777" w:rsidR="002A11B0" w:rsidRPr="002A11B0" w:rsidRDefault="002A11B0" w:rsidP="002A11B0">
            <w:pPr>
              <w:spacing w:after="0" w:line="240" w:lineRule="auto"/>
              <w:ind w:firstLineChars="100" w:firstLine="240"/>
              <w:rPr>
                <w:rFonts w:ascii="Times New Roman" w:eastAsia="Times New Roman" w:hAnsi="Times New Roman" w:cs="Times New Roman"/>
                <w:color w:val="1A1C1E"/>
                <w:kern w:val="0"/>
                <w:szCs w:val="24"/>
                <w:lang w:eastAsia="en-IN"/>
                <w14:ligatures w14:val="none"/>
              </w:rPr>
            </w:pPr>
            <w:r w:rsidRPr="002A11B0">
              <w:rPr>
                <w:rFonts w:ascii="Times New Roman" w:eastAsia="Times New Roman" w:hAnsi="Times New Roman" w:cs="Times New Roman"/>
                <w:color w:val="1A1C1E"/>
                <w:kern w:val="0"/>
                <w:szCs w:val="24"/>
                <w:lang w:eastAsia="en-IN"/>
                <w14:ligatures w14:val="none"/>
              </w:rPr>
              <w:t>112.83</w:t>
            </w:r>
          </w:p>
        </w:tc>
        <w:tc>
          <w:tcPr>
            <w:tcW w:w="1352" w:type="dxa"/>
            <w:tcBorders>
              <w:top w:val="nil"/>
              <w:left w:val="nil"/>
              <w:bottom w:val="single" w:sz="4" w:space="0" w:color="auto"/>
              <w:right w:val="single" w:sz="4" w:space="0" w:color="auto"/>
            </w:tcBorders>
            <w:shd w:val="clear" w:color="000000" w:fill="FFFFFF"/>
            <w:vAlign w:val="center"/>
            <w:hideMark/>
          </w:tcPr>
          <w:p w14:paraId="4B908AB2" w14:textId="77777777" w:rsidR="002A11B0" w:rsidRPr="002A11B0" w:rsidRDefault="002A11B0" w:rsidP="002A11B0">
            <w:pPr>
              <w:spacing w:after="0" w:line="240" w:lineRule="auto"/>
              <w:ind w:firstLineChars="100" w:firstLine="240"/>
              <w:rPr>
                <w:rFonts w:ascii="Times New Roman" w:eastAsia="Times New Roman" w:hAnsi="Times New Roman" w:cs="Times New Roman"/>
                <w:color w:val="1A1C1E"/>
                <w:kern w:val="0"/>
                <w:szCs w:val="24"/>
                <w:lang w:eastAsia="en-IN"/>
                <w14:ligatures w14:val="none"/>
              </w:rPr>
            </w:pPr>
            <w:r w:rsidRPr="002A11B0">
              <w:rPr>
                <w:rFonts w:ascii="Times New Roman" w:eastAsia="Times New Roman" w:hAnsi="Times New Roman" w:cs="Times New Roman"/>
                <w:color w:val="1A1C1E"/>
                <w:kern w:val="0"/>
                <w:szCs w:val="24"/>
                <w:lang w:eastAsia="en-IN"/>
                <w14:ligatures w14:val="none"/>
              </w:rPr>
              <w:t>91.41</w:t>
            </w:r>
          </w:p>
        </w:tc>
        <w:tc>
          <w:tcPr>
            <w:tcW w:w="1497" w:type="dxa"/>
            <w:tcBorders>
              <w:top w:val="nil"/>
              <w:left w:val="nil"/>
              <w:bottom w:val="single" w:sz="4" w:space="0" w:color="auto"/>
              <w:right w:val="single" w:sz="4" w:space="0" w:color="auto"/>
            </w:tcBorders>
            <w:shd w:val="clear" w:color="000000" w:fill="FFFFFF"/>
            <w:vAlign w:val="center"/>
            <w:hideMark/>
          </w:tcPr>
          <w:p w14:paraId="0325A775" w14:textId="77777777" w:rsidR="002A11B0" w:rsidRPr="002A11B0" w:rsidRDefault="002A11B0" w:rsidP="002A11B0">
            <w:pPr>
              <w:spacing w:after="0" w:line="240" w:lineRule="auto"/>
              <w:ind w:firstLineChars="100" w:firstLine="240"/>
              <w:rPr>
                <w:rFonts w:ascii="Times New Roman" w:eastAsia="Times New Roman" w:hAnsi="Times New Roman" w:cs="Times New Roman"/>
                <w:color w:val="1A1C1E"/>
                <w:kern w:val="0"/>
                <w:szCs w:val="24"/>
                <w:lang w:eastAsia="en-IN"/>
                <w14:ligatures w14:val="none"/>
              </w:rPr>
            </w:pPr>
            <w:r w:rsidRPr="002A11B0">
              <w:rPr>
                <w:rFonts w:ascii="Times New Roman" w:eastAsia="Times New Roman" w:hAnsi="Times New Roman" w:cs="Times New Roman"/>
                <w:color w:val="1A1C1E"/>
                <w:kern w:val="0"/>
                <w:szCs w:val="24"/>
                <w:lang w:eastAsia="en-IN"/>
                <w14:ligatures w14:val="none"/>
              </w:rPr>
              <w:t>104.74</w:t>
            </w:r>
          </w:p>
        </w:tc>
      </w:tr>
      <w:tr w:rsidR="002A11B0" w:rsidRPr="002A11B0" w14:paraId="106FB09E" w14:textId="77777777" w:rsidTr="002A11B0">
        <w:trPr>
          <w:trHeight w:val="20"/>
          <w:jc w:val="center"/>
        </w:trPr>
        <w:tc>
          <w:tcPr>
            <w:tcW w:w="2104" w:type="dxa"/>
            <w:tcBorders>
              <w:top w:val="nil"/>
              <w:left w:val="single" w:sz="4" w:space="0" w:color="auto"/>
              <w:bottom w:val="single" w:sz="4" w:space="0" w:color="auto"/>
              <w:right w:val="single" w:sz="4" w:space="0" w:color="auto"/>
            </w:tcBorders>
            <w:shd w:val="clear" w:color="000000" w:fill="FFFFFF"/>
            <w:vAlign w:val="center"/>
            <w:hideMark/>
          </w:tcPr>
          <w:p w14:paraId="51324CB1" w14:textId="77777777" w:rsidR="002A11B0" w:rsidRPr="002A11B0" w:rsidRDefault="002A11B0" w:rsidP="002A11B0">
            <w:pPr>
              <w:spacing w:after="0" w:line="240" w:lineRule="auto"/>
              <w:ind w:firstLineChars="100" w:firstLine="240"/>
              <w:rPr>
                <w:rFonts w:ascii="Times New Roman" w:eastAsia="Times New Roman" w:hAnsi="Times New Roman" w:cs="Times New Roman"/>
                <w:color w:val="1A1C1E"/>
                <w:kern w:val="0"/>
                <w:szCs w:val="24"/>
                <w:lang w:eastAsia="en-IN"/>
                <w14:ligatures w14:val="none"/>
              </w:rPr>
            </w:pPr>
            <w:r w:rsidRPr="002A11B0">
              <w:rPr>
                <w:rFonts w:ascii="Times New Roman" w:eastAsia="Times New Roman" w:hAnsi="Times New Roman" w:cs="Times New Roman"/>
                <w:color w:val="1A1C1E"/>
                <w:kern w:val="0"/>
                <w:szCs w:val="24"/>
                <w:lang w:eastAsia="en-IN"/>
                <w14:ligatures w14:val="none"/>
              </w:rPr>
              <w:t> </w:t>
            </w:r>
          </w:p>
        </w:tc>
        <w:tc>
          <w:tcPr>
            <w:tcW w:w="1352" w:type="dxa"/>
            <w:tcBorders>
              <w:top w:val="nil"/>
              <w:left w:val="nil"/>
              <w:bottom w:val="single" w:sz="4" w:space="0" w:color="auto"/>
              <w:right w:val="single" w:sz="4" w:space="0" w:color="auto"/>
            </w:tcBorders>
            <w:shd w:val="clear" w:color="000000" w:fill="FFFFFF"/>
            <w:vAlign w:val="center"/>
            <w:hideMark/>
          </w:tcPr>
          <w:p w14:paraId="11B50249" w14:textId="77777777" w:rsidR="002A11B0" w:rsidRPr="002A11B0" w:rsidRDefault="002A11B0" w:rsidP="002A11B0">
            <w:pPr>
              <w:spacing w:after="0" w:line="240" w:lineRule="auto"/>
              <w:ind w:firstLineChars="100" w:firstLine="240"/>
              <w:rPr>
                <w:rFonts w:ascii="Times New Roman" w:eastAsia="Times New Roman" w:hAnsi="Times New Roman" w:cs="Times New Roman"/>
                <w:color w:val="1A1C1E"/>
                <w:kern w:val="0"/>
                <w:szCs w:val="24"/>
                <w:lang w:eastAsia="en-IN"/>
                <w14:ligatures w14:val="none"/>
              </w:rPr>
            </w:pPr>
            <w:r w:rsidRPr="002A11B0">
              <w:rPr>
                <w:rFonts w:ascii="Times New Roman" w:eastAsia="Times New Roman" w:hAnsi="Times New Roman" w:cs="Times New Roman"/>
                <w:color w:val="1A1C1E"/>
                <w:kern w:val="0"/>
                <w:szCs w:val="24"/>
                <w:lang w:eastAsia="en-IN"/>
                <w14:ligatures w14:val="none"/>
              </w:rPr>
              <w:t>(100)</w:t>
            </w:r>
          </w:p>
        </w:tc>
        <w:tc>
          <w:tcPr>
            <w:tcW w:w="1352" w:type="dxa"/>
            <w:tcBorders>
              <w:top w:val="nil"/>
              <w:left w:val="nil"/>
              <w:bottom w:val="single" w:sz="4" w:space="0" w:color="auto"/>
              <w:right w:val="single" w:sz="4" w:space="0" w:color="auto"/>
            </w:tcBorders>
            <w:shd w:val="clear" w:color="000000" w:fill="FFFFFF"/>
            <w:vAlign w:val="center"/>
            <w:hideMark/>
          </w:tcPr>
          <w:p w14:paraId="68257825" w14:textId="77777777" w:rsidR="002A11B0" w:rsidRPr="002A11B0" w:rsidRDefault="002A11B0" w:rsidP="002A11B0">
            <w:pPr>
              <w:spacing w:after="0" w:line="240" w:lineRule="auto"/>
              <w:ind w:firstLineChars="100" w:firstLine="240"/>
              <w:rPr>
                <w:rFonts w:ascii="Times New Roman" w:eastAsia="Times New Roman" w:hAnsi="Times New Roman" w:cs="Times New Roman"/>
                <w:color w:val="1A1C1E"/>
                <w:kern w:val="0"/>
                <w:szCs w:val="24"/>
                <w:lang w:eastAsia="en-IN"/>
                <w14:ligatures w14:val="none"/>
              </w:rPr>
            </w:pPr>
            <w:r w:rsidRPr="002A11B0">
              <w:rPr>
                <w:rFonts w:ascii="Times New Roman" w:eastAsia="Times New Roman" w:hAnsi="Times New Roman" w:cs="Times New Roman"/>
                <w:color w:val="1A1C1E"/>
                <w:kern w:val="0"/>
                <w:szCs w:val="24"/>
                <w:lang w:eastAsia="en-IN"/>
                <w14:ligatures w14:val="none"/>
              </w:rPr>
              <w:t>(157)</w:t>
            </w:r>
          </w:p>
        </w:tc>
        <w:tc>
          <w:tcPr>
            <w:tcW w:w="1352" w:type="dxa"/>
            <w:tcBorders>
              <w:top w:val="nil"/>
              <w:left w:val="nil"/>
              <w:bottom w:val="single" w:sz="4" w:space="0" w:color="auto"/>
              <w:right w:val="single" w:sz="4" w:space="0" w:color="auto"/>
            </w:tcBorders>
            <w:shd w:val="clear" w:color="000000" w:fill="FFFFFF"/>
            <w:vAlign w:val="center"/>
            <w:hideMark/>
          </w:tcPr>
          <w:p w14:paraId="007F042E" w14:textId="77777777" w:rsidR="002A11B0" w:rsidRPr="002A11B0" w:rsidRDefault="002A11B0" w:rsidP="002A11B0">
            <w:pPr>
              <w:spacing w:after="0" w:line="240" w:lineRule="auto"/>
              <w:ind w:firstLineChars="100" w:firstLine="240"/>
              <w:rPr>
                <w:rFonts w:ascii="Times New Roman" w:eastAsia="Times New Roman" w:hAnsi="Times New Roman" w:cs="Times New Roman"/>
                <w:color w:val="1A1C1E"/>
                <w:kern w:val="0"/>
                <w:szCs w:val="24"/>
                <w:lang w:eastAsia="en-IN"/>
                <w14:ligatures w14:val="none"/>
              </w:rPr>
            </w:pPr>
            <w:r w:rsidRPr="002A11B0">
              <w:rPr>
                <w:rFonts w:ascii="Times New Roman" w:eastAsia="Times New Roman" w:hAnsi="Times New Roman" w:cs="Times New Roman"/>
                <w:color w:val="1A1C1E"/>
                <w:kern w:val="0"/>
                <w:szCs w:val="24"/>
                <w:lang w:eastAsia="en-IN"/>
                <w14:ligatures w14:val="none"/>
              </w:rPr>
              <w:t>(197)</w:t>
            </w:r>
          </w:p>
        </w:tc>
        <w:tc>
          <w:tcPr>
            <w:tcW w:w="1352" w:type="dxa"/>
            <w:tcBorders>
              <w:top w:val="nil"/>
              <w:left w:val="nil"/>
              <w:bottom w:val="single" w:sz="4" w:space="0" w:color="auto"/>
              <w:right w:val="single" w:sz="4" w:space="0" w:color="auto"/>
            </w:tcBorders>
            <w:shd w:val="clear" w:color="000000" w:fill="FFFFFF"/>
            <w:vAlign w:val="center"/>
            <w:hideMark/>
          </w:tcPr>
          <w:p w14:paraId="23CFF8EF" w14:textId="77777777" w:rsidR="002A11B0" w:rsidRPr="002A11B0" w:rsidRDefault="002A11B0" w:rsidP="002A11B0">
            <w:pPr>
              <w:spacing w:after="0" w:line="240" w:lineRule="auto"/>
              <w:ind w:firstLineChars="100" w:firstLine="240"/>
              <w:rPr>
                <w:rFonts w:ascii="Times New Roman" w:eastAsia="Times New Roman" w:hAnsi="Times New Roman" w:cs="Times New Roman"/>
                <w:color w:val="1A1C1E"/>
                <w:kern w:val="0"/>
                <w:szCs w:val="24"/>
                <w:lang w:eastAsia="en-IN"/>
                <w14:ligatures w14:val="none"/>
              </w:rPr>
            </w:pPr>
            <w:r w:rsidRPr="002A11B0">
              <w:rPr>
                <w:rFonts w:ascii="Times New Roman" w:eastAsia="Times New Roman" w:hAnsi="Times New Roman" w:cs="Times New Roman"/>
                <w:color w:val="1A1C1E"/>
                <w:kern w:val="0"/>
                <w:szCs w:val="24"/>
                <w:lang w:eastAsia="en-IN"/>
                <w14:ligatures w14:val="none"/>
              </w:rPr>
              <w:t>(227)</w:t>
            </w:r>
          </w:p>
        </w:tc>
        <w:tc>
          <w:tcPr>
            <w:tcW w:w="1352" w:type="dxa"/>
            <w:tcBorders>
              <w:top w:val="nil"/>
              <w:left w:val="nil"/>
              <w:bottom w:val="single" w:sz="4" w:space="0" w:color="auto"/>
              <w:right w:val="single" w:sz="4" w:space="0" w:color="auto"/>
            </w:tcBorders>
            <w:shd w:val="clear" w:color="000000" w:fill="FFFFFF"/>
            <w:vAlign w:val="center"/>
            <w:hideMark/>
          </w:tcPr>
          <w:p w14:paraId="7C8DA058" w14:textId="77777777" w:rsidR="002A11B0" w:rsidRPr="002A11B0" w:rsidRDefault="002A11B0" w:rsidP="002A11B0">
            <w:pPr>
              <w:spacing w:after="0" w:line="240" w:lineRule="auto"/>
              <w:ind w:firstLineChars="100" w:firstLine="240"/>
              <w:rPr>
                <w:rFonts w:ascii="Times New Roman" w:eastAsia="Times New Roman" w:hAnsi="Times New Roman" w:cs="Times New Roman"/>
                <w:color w:val="1A1C1E"/>
                <w:kern w:val="0"/>
                <w:szCs w:val="24"/>
                <w:lang w:eastAsia="en-IN"/>
                <w14:ligatures w14:val="none"/>
              </w:rPr>
            </w:pPr>
            <w:r w:rsidRPr="002A11B0">
              <w:rPr>
                <w:rFonts w:ascii="Times New Roman" w:eastAsia="Times New Roman" w:hAnsi="Times New Roman" w:cs="Times New Roman"/>
                <w:color w:val="1A1C1E"/>
                <w:kern w:val="0"/>
                <w:szCs w:val="24"/>
                <w:lang w:eastAsia="en-IN"/>
                <w14:ligatures w14:val="none"/>
              </w:rPr>
              <w:t>(184)</w:t>
            </w:r>
          </w:p>
        </w:tc>
        <w:tc>
          <w:tcPr>
            <w:tcW w:w="1497" w:type="dxa"/>
            <w:tcBorders>
              <w:top w:val="nil"/>
              <w:left w:val="nil"/>
              <w:bottom w:val="single" w:sz="4" w:space="0" w:color="auto"/>
              <w:right w:val="single" w:sz="4" w:space="0" w:color="auto"/>
            </w:tcBorders>
            <w:shd w:val="clear" w:color="000000" w:fill="FFFFFF"/>
            <w:vAlign w:val="center"/>
            <w:hideMark/>
          </w:tcPr>
          <w:p w14:paraId="604D4C29" w14:textId="77777777" w:rsidR="002A11B0" w:rsidRPr="002A11B0" w:rsidRDefault="002A11B0" w:rsidP="002A11B0">
            <w:pPr>
              <w:spacing w:after="0" w:line="240" w:lineRule="auto"/>
              <w:ind w:firstLineChars="100" w:firstLine="240"/>
              <w:rPr>
                <w:rFonts w:ascii="Times New Roman" w:eastAsia="Times New Roman" w:hAnsi="Times New Roman" w:cs="Times New Roman"/>
                <w:color w:val="1A1C1E"/>
                <w:kern w:val="0"/>
                <w:szCs w:val="24"/>
                <w:lang w:eastAsia="en-IN"/>
                <w14:ligatures w14:val="none"/>
              </w:rPr>
            </w:pPr>
            <w:r w:rsidRPr="002A11B0">
              <w:rPr>
                <w:rFonts w:ascii="Times New Roman" w:eastAsia="Times New Roman" w:hAnsi="Times New Roman" w:cs="Times New Roman"/>
                <w:color w:val="1A1C1E"/>
                <w:kern w:val="0"/>
                <w:szCs w:val="24"/>
                <w:lang w:eastAsia="en-IN"/>
                <w14:ligatures w14:val="none"/>
              </w:rPr>
              <w:t>(211)</w:t>
            </w:r>
          </w:p>
        </w:tc>
      </w:tr>
      <w:tr w:rsidR="002A11B0" w:rsidRPr="002A11B0" w14:paraId="4B6821D4" w14:textId="77777777" w:rsidTr="002A11B0">
        <w:trPr>
          <w:trHeight w:val="20"/>
          <w:jc w:val="center"/>
        </w:trPr>
        <w:tc>
          <w:tcPr>
            <w:tcW w:w="2104" w:type="dxa"/>
            <w:tcBorders>
              <w:top w:val="nil"/>
              <w:left w:val="single" w:sz="4" w:space="0" w:color="auto"/>
              <w:bottom w:val="single" w:sz="4" w:space="0" w:color="auto"/>
              <w:right w:val="single" w:sz="4" w:space="0" w:color="auto"/>
            </w:tcBorders>
            <w:shd w:val="clear" w:color="000000" w:fill="FFFFFF"/>
            <w:vAlign w:val="center"/>
            <w:hideMark/>
          </w:tcPr>
          <w:p w14:paraId="27D74A35" w14:textId="77777777" w:rsidR="002A11B0" w:rsidRPr="002A11B0" w:rsidRDefault="002A11B0" w:rsidP="002A11B0">
            <w:pPr>
              <w:spacing w:after="0" w:line="240" w:lineRule="auto"/>
              <w:ind w:firstLineChars="100" w:firstLine="241"/>
              <w:rPr>
                <w:rFonts w:ascii="Times New Roman" w:eastAsia="Times New Roman" w:hAnsi="Times New Roman" w:cs="Times New Roman"/>
                <w:b/>
                <w:bCs/>
                <w:color w:val="1A1C1E"/>
                <w:kern w:val="0"/>
                <w:szCs w:val="24"/>
                <w:lang w:eastAsia="en-IN"/>
                <w14:ligatures w14:val="none"/>
              </w:rPr>
            </w:pPr>
            <w:r w:rsidRPr="002A11B0">
              <w:rPr>
                <w:rFonts w:ascii="Times New Roman" w:eastAsia="Times New Roman" w:hAnsi="Times New Roman" w:cs="Times New Roman"/>
                <w:b/>
                <w:bCs/>
                <w:color w:val="1A1C1E"/>
                <w:kern w:val="0"/>
                <w:szCs w:val="24"/>
                <w:lang w:eastAsia="en-IN"/>
                <w14:ligatures w14:val="none"/>
              </w:rPr>
              <w:t>State Excise</w:t>
            </w:r>
          </w:p>
        </w:tc>
        <w:tc>
          <w:tcPr>
            <w:tcW w:w="1352" w:type="dxa"/>
            <w:tcBorders>
              <w:top w:val="nil"/>
              <w:left w:val="nil"/>
              <w:bottom w:val="single" w:sz="4" w:space="0" w:color="auto"/>
              <w:right w:val="single" w:sz="4" w:space="0" w:color="auto"/>
            </w:tcBorders>
            <w:shd w:val="clear" w:color="000000" w:fill="FFFFFF"/>
            <w:vAlign w:val="center"/>
            <w:hideMark/>
          </w:tcPr>
          <w:p w14:paraId="09469E8F" w14:textId="77777777" w:rsidR="002A11B0" w:rsidRPr="002A11B0" w:rsidRDefault="002A11B0" w:rsidP="002A11B0">
            <w:pPr>
              <w:spacing w:after="0" w:line="240" w:lineRule="auto"/>
              <w:ind w:firstLineChars="100" w:firstLine="240"/>
              <w:rPr>
                <w:rFonts w:ascii="Times New Roman" w:eastAsia="Times New Roman" w:hAnsi="Times New Roman" w:cs="Times New Roman"/>
                <w:color w:val="1A1C1E"/>
                <w:kern w:val="0"/>
                <w:szCs w:val="24"/>
                <w:lang w:eastAsia="en-IN"/>
                <w14:ligatures w14:val="none"/>
              </w:rPr>
            </w:pPr>
            <w:r w:rsidRPr="002A11B0">
              <w:rPr>
                <w:rFonts w:ascii="Times New Roman" w:eastAsia="Times New Roman" w:hAnsi="Times New Roman" w:cs="Times New Roman"/>
                <w:color w:val="1A1C1E"/>
                <w:kern w:val="0"/>
                <w:szCs w:val="24"/>
                <w:lang w:eastAsia="en-IN"/>
                <w14:ligatures w14:val="none"/>
              </w:rPr>
              <w:t>48.03</w:t>
            </w:r>
          </w:p>
        </w:tc>
        <w:tc>
          <w:tcPr>
            <w:tcW w:w="1352" w:type="dxa"/>
            <w:tcBorders>
              <w:top w:val="nil"/>
              <w:left w:val="nil"/>
              <w:bottom w:val="single" w:sz="4" w:space="0" w:color="auto"/>
              <w:right w:val="single" w:sz="4" w:space="0" w:color="auto"/>
            </w:tcBorders>
            <w:shd w:val="clear" w:color="000000" w:fill="FFFFFF"/>
            <w:vAlign w:val="center"/>
            <w:hideMark/>
          </w:tcPr>
          <w:p w14:paraId="753D9C7A" w14:textId="77777777" w:rsidR="002A11B0" w:rsidRPr="002A11B0" w:rsidRDefault="002A11B0" w:rsidP="002A11B0">
            <w:pPr>
              <w:spacing w:after="0" w:line="240" w:lineRule="auto"/>
              <w:ind w:firstLineChars="100" w:firstLine="240"/>
              <w:rPr>
                <w:rFonts w:ascii="Times New Roman" w:eastAsia="Times New Roman" w:hAnsi="Times New Roman" w:cs="Times New Roman"/>
                <w:color w:val="1A1C1E"/>
                <w:kern w:val="0"/>
                <w:szCs w:val="24"/>
                <w:lang w:eastAsia="en-IN"/>
                <w14:ligatures w14:val="none"/>
              </w:rPr>
            </w:pPr>
            <w:r w:rsidRPr="002A11B0">
              <w:rPr>
                <w:rFonts w:ascii="Times New Roman" w:eastAsia="Times New Roman" w:hAnsi="Times New Roman" w:cs="Times New Roman"/>
                <w:color w:val="1A1C1E"/>
                <w:kern w:val="0"/>
                <w:szCs w:val="24"/>
                <w:lang w:eastAsia="en-IN"/>
                <w14:ligatures w14:val="none"/>
              </w:rPr>
              <w:t>43.7</w:t>
            </w:r>
          </w:p>
        </w:tc>
        <w:tc>
          <w:tcPr>
            <w:tcW w:w="1352" w:type="dxa"/>
            <w:tcBorders>
              <w:top w:val="nil"/>
              <w:left w:val="nil"/>
              <w:bottom w:val="single" w:sz="4" w:space="0" w:color="auto"/>
              <w:right w:val="single" w:sz="4" w:space="0" w:color="auto"/>
            </w:tcBorders>
            <w:shd w:val="clear" w:color="000000" w:fill="FFFFFF"/>
            <w:vAlign w:val="center"/>
            <w:hideMark/>
          </w:tcPr>
          <w:p w14:paraId="57A8EDEE" w14:textId="77777777" w:rsidR="002A11B0" w:rsidRPr="002A11B0" w:rsidRDefault="002A11B0" w:rsidP="002A11B0">
            <w:pPr>
              <w:spacing w:after="0" w:line="240" w:lineRule="auto"/>
              <w:ind w:firstLineChars="100" w:firstLine="240"/>
              <w:rPr>
                <w:rFonts w:ascii="Times New Roman" w:eastAsia="Times New Roman" w:hAnsi="Times New Roman" w:cs="Times New Roman"/>
                <w:color w:val="1A1C1E"/>
                <w:kern w:val="0"/>
                <w:szCs w:val="24"/>
                <w:lang w:eastAsia="en-IN"/>
                <w14:ligatures w14:val="none"/>
              </w:rPr>
            </w:pPr>
            <w:r w:rsidRPr="002A11B0">
              <w:rPr>
                <w:rFonts w:ascii="Times New Roman" w:eastAsia="Times New Roman" w:hAnsi="Times New Roman" w:cs="Times New Roman"/>
                <w:color w:val="1A1C1E"/>
                <w:kern w:val="0"/>
                <w:szCs w:val="24"/>
                <w:lang w:eastAsia="en-IN"/>
                <w14:ligatures w14:val="none"/>
              </w:rPr>
              <w:t>53.09</w:t>
            </w:r>
          </w:p>
        </w:tc>
        <w:tc>
          <w:tcPr>
            <w:tcW w:w="1352" w:type="dxa"/>
            <w:tcBorders>
              <w:top w:val="nil"/>
              <w:left w:val="nil"/>
              <w:bottom w:val="single" w:sz="4" w:space="0" w:color="auto"/>
              <w:right w:val="single" w:sz="4" w:space="0" w:color="auto"/>
            </w:tcBorders>
            <w:shd w:val="clear" w:color="000000" w:fill="FFFFFF"/>
            <w:vAlign w:val="center"/>
            <w:hideMark/>
          </w:tcPr>
          <w:p w14:paraId="06BC95D0" w14:textId="77777777" w:rsidR="002A11B0" w:rsidRPr="002A11B0" w:rsidRDefault="002A11B0" w:rsidP="002A11B0">
            <w:pPr>
              <w:spacing w:after="0" w:line="240" w:lineRule="auto"/>
              <w:ind w:firstLineChars="100" w:firstLine="240"/>
              <w:rPr>
                <w:rFonts w:ascii="Times New Roman" w:eastAsia="Times New Roman" w:hAnsi="Times New Roman" w:cs="Times New Roman"/>
                <w:color w:val="1A1C1E"/>
                <w:kern w:val="0"/>
                <w:szCs w:val="24"/>
                <w:lang w:eastAsia="en-IN"/>
                <w14:ligatures w14:val="none"/>
              </w:rPr>
            </w:pPr>
            <w:r w:rsidRPr="002A11B0">
              <w:rPr>
                <w:rFonts w:ascii="Times New Roman" w:eastAsia="Times New Roman" w:hAnsi="Times New Roman" w:cs="Times New Roman"/>
                <w:color w:val="1A1C1E"/>
                <w:kern w:val="0"/>
                <w:szCs w:val="24"/>
                <w:lang w:eastAsia="en-IN"/>
                <w14:ligatures w14:val="none"/>
              </w:rPr>
              <w:t>96.36</w:t>
            </w:r>
          </w:p>
        </w:tc>
        <w:tc>
          <w:tcPr>
            <w:tcW w:w="1352" w:type="dxa"/>
            <w:tcBorders>
              <w:top w:val="nil"/>
              <w:left w:val="nil"/>
              <w:bottom w:val="single" w:sz="4" w:space="0" w:color="auto"/>
              <w:right w:val="single" w:sz="4" w:space="0" w:color="auto"/>
            </w:tcBorders>
            <w:shd w:val="clear" w:color="000000" w:fill="FFFFFF"/>
            <w:vAlign w:val="center"/>
            <w:hideMark/>
          </w:tcPr>
          <w:p w14:paraId="0BCBF195" w14:textId="77777777" w:rsidR="002A11B0" w:rsidRPr="002A11B0" w:rsidRDefault="002A11B0" w:rsidP="002A11B0">
            <w:pPr>
              <w:spacing w:after="0" w:line="240" w:lineRule="auto"/>
              <w:ind w:firstLineChars="100" w:firstLine="240"/>
              <w:rPr>
                <w:rFonts w:ascii="Times New Roman" w:eastAsia="Times New Roman" w:hAnsi="Times New Roman" w:cs="Times New Roman"/>
                <w:color w:val="1A1C1E"/>
                <w:kern w:val="0"/>
                <w:szCs w:val="24"/>
                <w:lang w:eastAsia="en-IN"/>
                <w14:ligatures w14:val="none"/>
              </w:rPr>
            </w:pPr>
            <w:r w:rsidRPr="002A11B0">
              <w:rPr>
                <w:rFonts w:ascii="Times New Roman" w:eastAsia="Times New Roman" w:hAnsi="Times New Roman" w:cs="Times New Roman"/>
                <w:color w:val="1A1C1E"/>
                <w:kern w:val="0"/>
                <w:szCs w:val="24"/>
                <w:lang w:eastAsia="en-IN"/>
                <w14:ligatures w14:val="none"/>
              </w:rPr>
              <w:t>108.91</w:t>
            </w:r>
          </w:p>
        </w:tc>
        <w:tc>
          <w:tcPr>
            <w:tcW w:w="1497" w:type="dxa"/>
            <w:tcBorders>
              <w:top w:val="nil"/>
              <w:left w:val="nil"/>
              <w:bottom w:val="single" w:sz="4" w:space="0" w:color="auto"/>
              <w:right w:val="single" w:sz="4" w:space="0" w:color="auto"/>
            </w:tcBorders>
            <w:shd w:val="clear" w:color="000000" w:fill="FFFFFF"/>
            <w:vAlign w:val="center"/>
            <w:hideMark/>
          </w:tcPr>
          <w:p w14:paraId="29FF8A44" w14:textId="77777777" w:rsidR="002A11B0" w:rsidRPr="002A11B0" w:rsidRDefault="002A11B0" w:rsidP="002A11B0">
            <w:pPr>
              <w:spacing w:after="0" w:line="240" w:lineRule="auto"/>
              <w:ind w:firstLineChars="100" w:firstLine="240"/>
              <w:rPr>
                <w:rFonts w:ascii="Times New Roman" w:eastAsia="Times New Roman" w:hAnsi="Times New Roman" w:cs="Times New Roman"/>
                <w:color w:val="1A1C1E"/>
                <w:kern w:val="0"/>
                <w:szCs w:val="24"/>
                <w:lang w:eastAsia="en-IN"/>
                <w14:ligatures w14:val="none"/>
              </w:rPr>
            </w:pPr>
            <w:r w:rsidRPr="002A11B0">
              <w:rPr>
                <w:rFonts w:ascii="Times New Roman" w:eastAsia="Times New Roman" w:hAnsi="Times New Roman" w:cs="Times New Roman"/>
                <w:color w:val="1A1C1E"/>
                <w:kern w:val="0"/>
                <w:szCs w:val="24"/>
                <w:lang w:eastAsia="en-IN"/>
                <w14:ligatures w14:val="none"/>
              </w:rPr>
              <w:t>130.6</w:t>
            </w:r>
          </w:p>
        </w:tc>
      </w:tr>
      <w:tr w:rsidR="002A11B0" w:rsidRPr="002A11B0" w14:paraId="065F3892" w14:textId="77777777" w:rsidTr="002A11B0">
        <w:trPr>
          <w:trHeight w:val="20"/>
          <w:jc w:val="center"/>
        </w:trPr>
        <w:tc>
          <w:tcPr>
            <w:tcW w:w="2104" w:type="dxa"/>
            <w:tcBorders>
              <w:top w:val="nil"/>
              <w:left w:val="single" w:sz="4" w:space="0" w:color="auto"/>
              <w:bottom w:val="single" w:sz="4" w:space="0" w:color="auto"/>
              <w:right w:val="single" w:sz="4" w:space="0" w:color="auto"/>
            </w:tcBorders>
            <w:shd w:val="clear" w:color="000000" w:fill="FFFFFF"/>
            <w:vAlign w:val="center"/>
            <w:hideMark/>
          </w:tcPr>
          <w:p w14:paraId="74E694A9" w14:textId="77777777" w:rsidR="002A11B0" w:rsidRPr="002A11B0" w:rsidRDefault="002A11B0" w:rsidP="002A11B0">
            <w:pPr>
              <w:spacing w:after="0" w:line="240" w:lineRule="auto"/>
              <w:ind w:firstLineChars="100" w:firstLine="240"/>
              <w:rPr>
                <w:rFonts w:ascii="Times New Roman" w:eastAsia="Times New Roman" w:hAnsi="Times New Roman" w:cs="Times New Roman"/>
                <w:color w:val="1A1C1E"/>
                <w:kern w:val="0"/>
                <w:szCs w:val="24"/>
                <w:lang w:eastAsia="en-IN"/>
                <w14:ligatures w14:val="none"/>
              </w:rPr>
            </w:pPr>
            <w:r w:rsidRPr="002A11B0">
              <w:rPr>
                <w:rFonts w:ascii="Times New Roman" w:eastAsia="Times New Roman" w:hAnsi="Times New Roman" w:cs="Times New Roman"/>
                <w:color w:val="1A1C1E"/>
                <w:kern w:val="0"/>
                <w:szCs w:val="24"/>
                <w:lang w:eastAsia="en-IN"/>
                <w14:ligatures w14:val="none"/>
              </w:rPr>
              <w:t> </w:t>
            </w:r>
          </w:p>
        </w:tc>
        <w:tc>
          <w:tcPr>
            <w:tcW w:w="1352" w:type="dxa"/>
            <w:tcBorders>
              <w:top w:val="nil"/>
              <w:left w:val="nil"/>
              <w:bottom w:val="single" w:sz="4" w:space="0" w:color="auto"/>
              <w:right w:val="single" w:sz="4" w:space="0" w:color="auto"/>
            </w:tcBorders>
            <w:shd w:val="clear" w:color="000000" w:fill="FFFFFF"/>
            <w:vAlign w:val="center"/>
            <w:hideMark/>
          </w:tcPr>
          <w:p w14:paraId="4CE1FEA5" w14:textId="77777777" w:rsidR="002A11B0" w:rsidRPr="002A11B0" w:rsidRDefault="002A11B0" w:rsidP="002A11B0">
            <w:pPr>
              <w:spacing w:after="0" w:line="240" w:lineRule="auto"/>
              <w:ind w:firstLineChars="100" w:firstLine="240"/>
              <w:rPr>
                <w:rFonts w:ascii="Times New Roman" w:eastAsia="Times New Roman" w:hAnsi="Times New Roman" w:cs="Times New Roman"/>
                <w:color w:val="1A1C1E"/>
                <w:kern w:val="0"/>
                <w:szCs w:val="24"/>
                <w:lang w:eastAsia="en-IN"/>
                <w14:ligatures w14:val="none"/>
              </w:rPr>
            </w:pPr>
            <w:r w:rsidRPr="002A11B0">
              <w:rPr>
                <w:rFonts w:ascii="Times New Roman" w:eastAsia="Times New Roman" w:hAnsi="Times New Roman" w:cs="Times New Roman"/>
                <w:color w:val="1A1C1E"/>
                <w:kern w:val="0"/>
                <w:szCs w:val="24"/>
                <w:lang w:eastAsia="en-IN"/>
                <w14:ligatures w14:val="none"/>
              </w:rPr>
              <w:t>(100)</w:t>
            </w:r>
          </w:p>
        </w:tc>
        <w:tc>
          <w:tcPr>
            <w:tcW w:w="1352" w:type="dxa"/>
            <w:tcBorders>
              <w:top w:val="nil"/>
              <w:left w:val="nil"/>
              <w:bottom w:val="single" w:sz="4" w:space="0" w:color="auto"/>
              <w:right w:val="single" w:sz="4" w:space="0" w:color="auto"/>
            </w:tcBorders>
            <w:shd w:val="clear" w:color="000000" w:fill="FFFFFF"/>
            <w:vAlign w:val="center"/>
            <w:hideMark/>
          </w:tcPr>
          <w:p w14:paraId="14F2E579" w14:textId="77777777" w:rsidR="002A11B0" w:rsidRPr="002A11B0" w:rsidRDefault="002A11B0" w:rsidP="002A11B0">
            <w:pPr>
              <w:spacing w:after="0" w:line="240" w:lineRule="auto"/>
              <w:ind w:firstLineChars="100" w:firstLine="240"/>
              <w:rPr>
                <w:rFonts w:ascii="Times New Roman" w:eastAsia="Times New Roman" w:hAnsi="Times New Roman" w:cs="Times New Roman"/>
                <w:color w:val="1A1C1E"/>
                <w:kern w:val="0"/>
                <w:szCs w:val="24"/>
                <w:lang w:eastAsia="en-IN"/>
                <w14:ligatures w14:val="none"/>
              </w:rPr>
            </w:pPr>
            <w:r w:rsidRPr="002A11B0">
              <w:rPr>
                <w:rFonts w:ascii="Times New Roman" w:eastAsia="Times New Roman" w:hAnsi="Times New Roman" w:cs="Times New Roman"/>
                <w:color w:val="1A1C1E"/>
                <w:kern w:val="0"/>
                <w:szCs w:val="24"/>
                <w:lang w:eastAsia="en-IN"/>
                <w14:ligatures w14:val="none"/>
              </w:rPr>
              <w:t>(91)</w:t>
            </w:r>
          </w:p>
        </w:tc>
        <w:tc>
          <w:tcPr>
            <w:tcW w:w="1352" w:type="dxa"/>
            <w:tcBorders>
              <w:top w:val="nil"/>
              <w:left w:val="nil"/>
              <w:bottom w:val="single" w:sz="4" w:space="0" w:color="auto"/>
              <w:right w:val="single" w:sz="4" w:space="0" w:color="auto"/>
            </w:tcBorders>
            <w:shd w:val="clear" w:color="000000" w:fill="FFFFFF"/>
            <w:vAlign w:val="center"/>
            <w:hideMark/>
          </w:tcPr>
          <w:p w14:paraId="455A0B27" w14:textId="77777777" w:rsidR="002A11B0" w:rsidRPr="002A11B0" w:rsidRDefault="002A11B0" w:rsidP="002A11B0">
            <w:pPr>
              <w:spacing w:after="0" w:line="240" w:lineRule="auto"/>
              <w:ind w:firstLineChars="100" w:firstLine="240"/>
              <w:rPr>
                <w:rFonts w:ascii="Times New Roman" w:eastAsia="Times New Roman" w:hAnsi="Times New Roman" w:cs="Times New Roman"/>
                <w:color w:val="1A1C1E"/>
                <w:kern w:val="0"/>
                <w:szCs w:val="24"/>
                <w:lang w:eastAsia="en-IN"/>
                <w14:ligatures w14:val="none"/>
              </w:rPr>
            </w:pPr>
            <w:r w:rsidRPr="002A11B0">
              <w:rPr>
                <w:rFonts w:ascii="Times New Roman" w:eastAsia="Times New Roman" w:hAnsi="Times New Roman" w:cs="Times New Roman"/>
                <w:color w:val="1A1C1E"/>
                <w:kern w:val="0"/>
                <w:szCs w:val="24"/>
                <w:lang w:eastAsia="en-IN"/>
                <w14:ligatures w14:val="none"/>
              </w:rPr>
              <w:t>(111)</w:t>
            </w:r>
          </w:p>
        </w:tc>
        <w:tc>
          <w:tcPr>
            <w:tcW w:w="1352" w:type="dxa"/>
            <w:tcBorders>
              <w:top w:val="nil"/>
              <w:left w:val="nil"/>
              <w:bottom w:val="single" w:sz="4" w:space="0" w:color="auto"/>
              <w:right w:val="single" w:sz="4" w:space="0" w:color="auto"/>
            </w:tcBorders>
            <w:shd w:val="clear" w:color="000000" w:fill="FFFFFF"/>
            <w:vAlign w:val="center"/>
            <w:hideMark/>
          </w:tcPr>
          <w:p w14:paraId="2A6AB9DA" w14:textId="77777777" w:rsidR="002A11B0" w:rsidRPr="002A11B0" w:rsidRDefault="002A11B0" w:rsidP="002A11B0">
            <w:pPr>
              <w:spacing w:after="0" w:line="240" w:lineRule="auto"/>
              <w:ind w:firstLineChars="100" w:firstLine="240"/>
              <w:rPr>
                <w:rFonts w:ascii="Times New Roman" w:eastAsia="Times New Roman" w:hAnsi="Times New Roman" w:cs="Times New Roman"/>
                <w:color w:val="1A1C1E"/>
                <w:kern w:val="0"/>
                <w:szCs w:val="24"/>
                <w:lang w:eastAsia="en-IN"/>
                <w14:ligatures w14:val="none"/>
              </w:rPr>
            </w:pPr>
            <w:r w:rsidRPr="002A11B0">
              <w:rPr>
                <w:rFonts w:ascii="Times New Roman" w:eastAsia="Times New Roman" w:hAnsi="Times New Roman" w:cs="Times New Roman"/>
                <w:color w:val="1A1C1E"/>
                <w:kern w:val="0"/>
                <w:szCs w:val="24"/>
                <w:lang w:eastAsia="en-IN"/>
                <w14:ligatures w14:val="none"/>
              </w:rPr>
              <w:t>(201)</w:t>
            </w:r>
          </w:p>
        </w:tc>
        <w:tc>
          <w:tcPr>
            <w:tcW w:w="1352" w:type="dxa"/>
            <w:tcBorders>
              <w:top w:val="nil"/>
              <w:left w:val="nil"/>
              <w:bottom w:val="single" w:sz="4" w:space="0" w:color="auto"/>
              <w:right w:val="single" w:sz="4" w:space="0" w:color="auto"/>
            </w:tcBorders>
            <w:shd w:val="clear" w:color="000000" w:fill="FFFFFF"/>
            <w:vAlign w:val="center"/>
            <w:hideMark/>
          </w:tcPr>
          <w:p w14:paraId="5B689C23" w14:textId="77777777" w:rsidR="002A11B0" w:rsidRPr="002A11B0" w:rsidRDefault="002A11B0" w:rsidP="002A11B0">
            <w:pPr>
              <w:spacing w:after="0" w:line="240" w:lineRule="auto"/>
              <w:ind w:firstLineChars="100" w:firstLine="240"/>
              <w:rPr>
                <w:rFonts w:ascii="Times New Roman" w:eastAsia="Times New Roman" w:hAnsi="Times New Roman" w:cs="Times New Roman"/>
                <w:color w:val="1A1C1E"/>
                <w:kern w:val="0"/>
                <w:szCs w:val="24"/>
                <w:lang w:eastAsia="en-IN"/>
                <w14:ligatures w14:val="none"/>
              </w:rPr>
            </w:pPr>
            <w:r w:rsidRPr="002A11B0">
              <w:rPr>
                <w:rFonts w:ascii="Times New Roman" w:eastAsia="Times New Roman" w:hAnsi="Times New Roman" w:cs="Times New Roman"/>
                <w:color w:val="1A1C1E"/>
                <w:kern w:val="0"/>
                <w:szCs w:val="24"/>
                <w:lang w:eastAsia="en-IN"/>
                <w14:ligatures w14:val="none"/>
              </w:rPr>
              <w:t>(227)</w:t>
            </w:r>
          </w:p>
        </w:tc>
        <w:tc>
          <w:tcPr>
            <w:tcW w:w="1497" w:type="dxa"/>
            <w:tcBorders>
              <w:top w:val="nil"/>
              <w:left w:val="nil"/>
              <w:bottom w:val="single" w:sz="4" w:space="0" w:color="auto"/>
              <w:right w:val="single" w:sz="4" w:space="0" w:color="auto"/>
            </w:tcBorders>
            <w:shd w:val="clear" w:color="000000" w:fill="FFFFFF"/>
            <w:vAlign w:val="center"/>
            <w:hideMark/>
          </w:tcPr>
          <w:p w14:paraId="573AD08B" w14:textId="77777777" w:rsidR="002A11B0" w:rsidRPr="002A11B0" w:rsidRDefault="002A11B0" w:rsidP="002A11B0">
            <w:pPr>
              <w:spacing w:after="0" w:line="240" w:lineRule="auto"/>
              <w:ind w:firstLineChars="100" w:firstLine="240"/>
              <w:rPr>
                <w:rFonts w:ascii="Times New Roman" w:eastAsia="Times New Roman" w:hAnsi="Times New Roman" w:cs="Times New Roman"/>
                <w:color w:val="1A1C1E"/>
                <w:kern w:val="0"/>
                <w:szCs w:val="24"/>
                <w:lang w:eastAsia="en-IN"/>
                <w14:ligatures w14:val="none"/>
              </w:rPr>
            </w:pPr>
            <w:r w:rsidRPr="002A11B0">
              <w:rPr>
                <w:rFonts w:ascii="Times New Roman" w:eastAsia="Times New Roman" w:hAnsi="Times New Roman" w:cs="Times New Roman"/>
                <w:color w:val="1A1C1E"/>
                <w:kern w:val="0"/>
                <w:szCs w:val="24"/>
                <w:lang w:eastAsia="en-IN"/>
                <w14:ligatures w14:val="none"/>
              </w:rPr>
              <w:t>(272)</w:t>
            </w:r>
          </w:p>
        </w:tc>
      </w:tr>
      <w:tr w:rsidR="002A11B0" w:rsidRPr="002A11B0" w14:paraId="0E7E6A15" w14:textId="77777777" w:rsidTr="002A11B0">
        <w:trPr>
          <w:trHeight w:val="20"/>
          <w:jc w:val="center"/>
        </w:trPr>
        <w:tc>
          <w:tcPr>
            <w:tcW w:w="2104" w:type="dxa"/>
            <w:tcBorders>
              <w:top w:val="nil"/>
              <w:left w:val="single" w:sz="4" w:space="0" w:color="auto"/>
              <w:bottom w:val="single" w:sz="4" w:space="0" w:color="auto"/>
              <w:right w:val="single" w:sz="4" w:space="0" w:color="auto"/>
            </w:tcBorders>
            <w:shd w:val="clear" w:color="000000" w:fill="FFFFFF"/>
            <w:vAlign w:val="center"/>
            <w:hideMark/>
          </w:tcPr>
          <w:p w14:paraId="0E09E4E0" w14:textId="77777777" w:rsidR="002A11B0" w:rsidRPr="002A11B0" w:rsidRDefault="002A11B0" w:rsidP="002A11B0">
            <w:pPr>
              <w:spacing w:after="0" w:line="240" w:lineRule="auto"/>
              <w:ind w:firstLineChars="100" w:firstLine="241"/>
              <w:rPr>
                <w:rFonts w:ascii="Times New Roman" w:eastAsia="Times New Roman" w:hAnsi="Times New Roman" w:cs="Times New Roman"/>
                <w:b/>
                <w:bCs/>
                <w:color w:val="1A1C1E"/>
                <w:kern w:val="0"/>
                <w:szCs w:val="24"/>
                <w:lang w:eastAsia="en-IN"/>
                <w14:ligatures w14:val="none"/>
              </w:rPr>
            </w:pPr>
            <w:r w:rsidRPr="002A11B0">
              <w:rPr>
                <w:rFonts w:ascii="Times New Roman" w:eastAsia="Times New Roman" w:hAnsi="Times New Roman" w:cs="Times New Roman"/>
                <w:b/>
                <w:bCs/>
                <w:color w:val="1A1C1E"/>
                <w:kern w:val="0"/>
                <w:szCs w:val="24"/>
                <w:lang w:eastAsia="en-IN"/>
                <w14:ligatures w14:val="none"/>
              </w:rPr>
              <w:t>Taxes on Transport(b)</w:t>
            </w:r>
          </w:p>
        </w:tc>
        <w:tc>
          <w:tcPr>
            <w:tcW w:w="1352" w:type="dxa"/>
            <w:tcBorders>
              <w:top w:val="nil"/>
              <w:left w:val="nil"/>
              <w:bottom w:val="single" w:sz="4" w:space="0" w:color="auto"/>
              <w:right w:val="single" w:sz="4" w:space="0" w:color="auto"/>
            </w:tcBorders>
            <w:shd w:val="clear" w:color="000000" w:fill="FFFFFF"/>
            <w:vAlign w:val="center"/>
            <w:hideMark/>
          </w:tcPr>
          <w:p w14:paraId="2C9E22D1" w14:textId="77777777" w:rsidR="002A11B0" w:rsidRPr="002A11B0" w:rsidRDefault="002A11B0" w:rsidP="002A11B0">
            <w:pPr>
              <w:spacing w:after="0" w:line="240" w:lineRule="auto"/>
              <w:ind w:firstLineChars="100" w:firstLine="240"/>
              <w:rPr>
                <w:rFonts w:ascii="Times New Roman" w:eastAsia="Times New Roman" w:hAnsi="Times New Roman" w:cs="Times New Roman"/>
                <w:color w:val="1A1C1E"/>
                <w:kern w:val="0"/>
                <w:szCs w:val="24"/>
                <w:lang w:eastAsia="en-IN"/>
                <w14:ligatures w14:val="none"/>
              </w:rPr>
            </w:pPr>
            <w:r w:rsidRPr="002A11B0">
              <w:rPr>
                <w:rFonts w:ascii="Times New Roman" w:eastAsia="Times New Roman" w:hAnsi="Times New Roman" w:cs="Times New Roman"/>
                <w:color w:val="1A1C1E"/>
                <w:kern w:val="0"/>
                <w:szCs w:val="24"/>
                <w:lang w:eastAsia="en-IN"/>
                <w14:ligatures w14:val="none"/>
              </w:rPr>
              <w:t>7.58</w:t>
            </w:r>
          </w:p>
        </w:tc>
        <w:tc>
          <w:tcPr>
            <w:tcW w:w="1352" w:type="dxa"/>
            <w:tcBorders>
              <w:top w:val="nil"/>
              <w:left w:val="nil"/>
              <w:bottom w:val="single" w:sz="4" w:space="0" w:color="auto"/>
              <w:right w:val="single" w:sz="4" w:space="0" w:color="auto"/>
            </w:tcBorders>
            <w:shd w:val="clear" w:color="000000" w:fill="FFFFFF"/>
            <w:vAlign w:val="center"/>
            <w:hideMark/>
          </w:tcPr>
          <w:p w14:paraId="49AA83AB" w14:textId="77777777" w:rsidR="002A11B0" w:rsidRPr="002A11B0" w:rsidRDefault="002A11B0" w:rsidP="002A11B0">
            <w:pPr>
              <w:spacing w:after="0" w:line="240" w:lineRule="auto"/>
              <w:ind w:firstLineChars="100" w:firstLine="240"/>
              <w:rPr>
                <w:rFonts w:ascii="Times New Roman" w:eastAsia="Times New Roman" w:hAnsi="Times New Roman" w:cs="Times New Roman"/>
                <w:color w:val="1A1C1E"/>
                <w:kern w:val="0"/>
                <w:szCs w:val="24"/>
                <w:lang w:eastAsia="en-IN"/>
                <w14:ligatures w14:val="none"/>
              </w:rPr>
            </w:pPr>
            <w:r w:rsidRPr="002A11B0">
              <w:rPr>
                <w:rFonts w:ascii="Times New Roman" w:eastAsia="Times New Roman" w:hAnsi="Times New Roman" w:cs="Times New Roman"/>
                <w:color w:val="1A1C1E"/>
                <w:kern w:val="0"/>
                <w:szCs w:val="24"/>
                <w:lang w:eastAsia="en-IN"/>
                <w14:ligatures w14:val="none"/>
              </w:rPr>
              <w:t>15.85</w:t>
            </w:r>
          </w:p>
        </w:tc>
        <w:tc>
          <w:tcPr>
            <w:tcW w:w="1352" w:type="dxa"/>
            <w:tcBorders>
              <w:top w:val="nil"/>
              <w:left w:val="nil"/>
              <w:bottom w:val="single" w:sz="4" w:space="0" w:color="auto"/>
              <w:right w:val="single" w:sz="4" w:space="0" w:color="auto"/>
            </w:tcBorders>
            <w:shd w:val="clear" w:color="000000" w:fill="FFFFFF"/>
            <w:vAlign w:val="center"/>
            <w:hideMark/>
          </w:tcPr>
          <w:p w14:paraId="2D8A057F" w14:textId="77777777" w:rsidR="002A11B0" w:rsidRPr="002A11B0" w:rsidRDefault="002A11B0" w:rsidP="002A11B0">
            <w:pPr>
              <w:spacing w:after="0" w:line="240" w:lineRule="auto"/>
              <w:ind w:firstLineChars="100" w:firstLine="240"/>
              <w:rPr>
                <w:rFonts w:ascii="Times New Roman" w:eastAsia="Times New Roman" w:hAnsi="Times New Roman" w:cs="Times New Roman"/>
                <w:color w:val="1A1C1E"/>
                <w:kern w:val="0"/>
                <w:szCs w:val="24"/>
                <w:lang w:eastAsia="en-IN"/>
                <w14:ligatures w14:val="none"/>
              </w:rPr>
            </w:pPr>
            <w:r w:rsidRPr="002A11B0">
              <w:rPr>
                <w:rFonts w:ascii="Times New Roman" w:eastAsia="Times New Roman" w:hAnsi="Times New Roman" w:cs="Times New Roman"/>
                <w:color w:val="1A1C1E"/>
                <w:kern w:val="0"/>
                <w:szCs w:val="24"/>
                <w:lang w:eastAsia="en-IN"/>
                <w14:ligatures w14:val="none"/>
              </w:rPr>
              <w:t>35.57</w:t>
            </w:r>
          </w:p>
        </w:tc>
        <w:tc>
          <w:tcPr>
            <w:tcW w:w="1352" w:type="dxa"/>
            <w:tcBorders>
              <w:top w:val="nil"/>
              <w:left w:val="nil"/>
              <w:bottom w:val="single" w:sz="4" w:space="0" w:color="auto"/>
              <w:right w:val="single" w:sz="4" w:space="0" w:color="auto"/>
            </w:tcBorders>
            <w:shd w:val="clear" w:color="000000" w:fill="FFFFFF"/>
            <w:vAlign w:val="center"/>
            <w:hideMark/>
          </w:tcPr>
          <w:p w14:paraId="2301B2D4" w14:textId="77777777" w:rsidR="002A11B0" w:rsidRPr="002A11B0" w:rsidRDefault="002A11B0" w:rsidP="002A11B0">
            <w:pPr>
              <w:spacing w:after="0" w:line="240" w:lineRule="auto"/>
              <w:ind w:firstLineChars="100" w:firstLine="240"/>
              <w:rPr>
                <w:rFonts w:ascii="Times New Roman" w:eastAsia="Times New Roman" w:hAnsi="Times New Roman" w:cs="Times New Roman"/>
                <w:color w:val="1A1C1E"/>
                <w:kern w:val="0"/>
                <w:szCs w:val="24"/>
                <w:lang w:eastAsia="en-IN"/>
                <w14:ligatures w14:val="none"/>
              </w:rPr>
            </w:pPr>
            <w:r w:rsidRPr="002A11B0">
              <w:rPr>
                <w:rFonts w:ascii="Times New Roman" w:eastAsia="Times New Roman" w:hAnsi="Times New Roman" w:cs="Times New Roman"/>
                <w:color w:val="1A1C1E"/>
                <w:kern w:val="0"/>
                <w:szCs w:val="24"/>
                <w:lang w:eastAsia="en-IN"/>
                <w14:ligatures w14:val="none"/>
              </w:rPr>
              <w:t>64.66</w:t>
            </w:r>
          </w:p>
        </w:tc>
        <w:tc>
          <w:tcPr>
            <w:tcW w:w="1352" w:type="dxa"/>
            <w:tcBorders>
              <w:top w:val="nil"/>
              <w:left w:val="nil"/>
              <w:bottom w:val="single" w:sz="4" w:space="0" w:color="auto"/>
              <w:right w:val="single" w:sz="4" w:space="0" w:color="auto"/>
            </w:tcBorders>
            <w:shd w:val="clear" w:color="000000" w:fill="FFFFFF"/>
            <w:vAlign w:val="center"/>
            <w:hideMark/>
          </w:tcPr>
          <w:p w14:paraId="133632C1" w14:textId="77777777" w:rsidR="002A11B0" w:rsidRPr="002A11B0" w:rsidRDefault="002A11B0" w:rsidP="002A11B0">
            <w:pPr>
              <w:spacing w:after="0" w:line="240" w:lineRule="auto"/>
              <w:ind w:firstLineChars="100" w:firstLine="240"/>
              <w:rPr>
                <w:rFonts w:ascii="Times New Roman" w:eastAsia="Times New Roman" w:hAnsi="Times New Roman" w:cs="Times New Roman"/>
                <w:color w:val="1A1C1E"/>
                <w:kern w:val="0"/>
                <w:szCs w:val="24"/>
                <w:lang w:eastAsia="en-IN"/>
                <w14:ligatures w14:val="none"/>
              </w:rPr>
            </w:pPr>
            <w:r w:rsidRPr="002A11B0">
              <w:rPr>
                <w:rFonts w:ascii="Times New Roman" w:eastAsia="Times New Roman" w:hAnsi="Times New Roman" w:cs="Times New Roman"/>
                <w:color w:val="1A1C1E"/>
                <w:kern w:val="0"/>
                <w:szCs w:val="24"/>
                <w:lang w:eastAsia="en-IN"/>
                <w14:ligatures w14:val="none"/>
              </w:rPr>
              <w:t>70.82</w:t>
            </w:r>
          </w:p>
        </w:tc>
        <w:tc>
          <w:tcPr>
            <w:tcW w:w="1497" w:type="dxa"/>
            <w:tcBorders>
              <w:top w:val="nil"/>
              <w:left w:val="nil"/>
              <w:bottom w:val="single" w:sz="4" w:space="0" w:color="auto"/>
              <w:right w:val="single" w:sz="4" w:space="0" w:color="auto"/>
            </w:tcBorders>
            <w:shd w:val="clear" w:color="000000" w:fill="FFFFFF"/>
            <w:vAlign w:val="center"/>
            <w:hideMark/>
          </w:tcPr>
          <w:p w14:paraId="2145D162" w14:textId="77777777" w:rsidR="002A11B0" w:rsidRPr="002A11B0" w:rsidRDefault="002A11B0" w:rsidP="002A11B0">
            <w:pPr>
              <w:spacing w:after="0" w:line="240" w:lineRule="auto"/>
              <w:ind w:firstLineChars="100" w:firstLine="240"/>
              <w:rPr>
                <w:rFonts w:ascii="Times New Roman" w:eastAsia="Times New Roman" w:hAnsi="Times New Roman" w:cs="Times New Roman"/>
                <w:color w:val="1A1C1E"/>
                <w:kern w:val="0"/>
                <w:szCs w:val="24"/>
                <w:lang w:eastAsia="en-IN"/>
                <w14:ligatures w14:val="none"/>
              </w:rPr>
            </w:pPr>
            <w:r w:rsidRPr="002A11B0">
              <w:rPr>
                <w:rFonts w:ascii="Times New Roman" w:eastAsia="Times New Roman" w:hAnsi="Times New Roman" w:cs="Times New Roman"/>
                <w:color w:val="1A1C1E"/>
                <w:kern w:val="0"/>
                <w:szCs w:val="24"/>
                <w:lang w:eastAsia="en-IN"/>
                <w14:ligatures w14:val="none"/>
              </w:rPr>
              <w:t>78.06</w:t>
            </w:r>
          </w:p>
        </w:tc>
      </w:tr>
      <w:tr w:rsidR="002A11B0" w:rsidRPr="002A11B0" w14:paraId="67EB7CD9" w14:textId="77777777" w:rsidTr="002A11B0">
        <w:trPr>
          <w:trHeight w:val="20"/>
          <w:jc w:val="center"/>
        </w:trPr>
        <w:tc>
          <w:tcPr>
            <w:tcW w:w="2104" w:type="dxa"/>
            <w:tcBorders>
              <w:top w:val="nil"/>
              <w:left w:val="single" w:sz="4" w:space="0" w:color="auto"/>
              <w:bottom w:val="single" w:sz="4" w:space="0" w:color="auto"/>
              <w:right w:val="single" w:sz="4" w:space="0" w:color="auto"/>
            </w:tcBorders>
            <w:shd w:val="clear" w:color="000000" w:fill="FFFFFF"/>
            <w:vAlign w:val="center"/>
            <w:hideMark/>
          </w:tcPr>
          <w:p w14:paraId="22B85410" w14:textId="77777777" w:rsidR="002A11B0" w:rsidRPr="002A11B0" w:rsidRDefault="002A11B0" w:rsidP="002A11B0">
            <w:pPr>
              <w:spacing w:after="0" w:line="240" w:lineRule="auto"/>
              <w:ind w:firstLineChars="100" w:firstLine="240"/>
              <w:rPr>
                <w:rFonts w:ascii="Times New Roman" w:eastAsia="Times New Roman" w:hAnsi="Times New Roman" w:cs="Times New Roman"/>
                <w:color w:val="1A1C1E"/>
                <w:kern w:val="0"/>
                <w:szCs w:val="24"/>
                <w:lang w:eastAsia="en-IN"/>
                <w14:ligatures w14:val="none"/>
              </w:rPr>
            </w:pPr>
            <w:r w:rsidRPr="002A11B0">
              <w:rPr>
                <w:rFonts w:ascii="Times New Roman" w:eastAsia="Times New Roman" w:hAnsi="Times New Roman" w:cs="Times New Roman"/>
                <w:color w:val="1A1C1E"/>
                <w:kern w:val="0"/>
                <w:szCs w:val="24"/>
                <w:lang w:eastAsia="en-IN"/>
                <w14:ligatures w14:val="none"/>
              </w:rPr>
              <w:t> </w:t>
            </w:r>
          </w:p>
        </w:tc>
        <w:tc>
          <w:tcPr>
            <w:tcW w:w="1352" w:type="dxa"/>
            <w:tcBorders>
              <w:top w:val="nil"/>
              <w:left w:val="nil"/>
              <w:bottom w:val="single" w:sz="4" w:space="0" w:color="auto"/>
              <w:right w:val="single" w:sz="4" w:space="0" w:color="auto"/>
            </w:tcBorders>
            <w:shd w:val="clear" w:color="000000" w:fill="FFFFFF"/>
            <w:vAlign w:val="center"/>
            <w:hideMark/>
          </w:tcPr>
          <w:p w14:paraId="147DB8A4" w14:textId="77777777" w:rsidR="002A11B0" w:rsidRPr="002A11B0" w:rsidRDefault="002A11B0" w:rsidP="002A11B0">
            <w:pPr>
              <w:spacing w:after="0" w:line="240" w:lineRule="auto"/>
              <w:ind w:firstLineChars="100" w:firstLine="240"/>
              <w:rPr>
                <w:rFonts w:ascii="Times New Roman" w:eastAsia="Times New Roman" w:hAnsi="Times New Roman" w:cs="Times New Roman"/>
                <w:color w:val="1A1C1E"/>
                <w:kern w:val="0"/>
                <w:szCs w:val="24"/>
                <w:lang w:eastAsia="en-IN"/>
                <w14:ligatures w14:val="none"/>
              </w:rPr>
            </w:pPr>
            <w:r w:rsidRPr="002A11B0">
              <w:rPr>
                <w:rFonts w:ascii="Times New Roman" w:eastAsia="Times New Roman" w:hAnsi="Times New Roman" w:cs="Times New Roman"/>
                <w:color w:val="1A1C1E"/>
                <w:kern w:val="0"/>
                <w:szCs w:val="24"/>
                <w:lang w:eastAsia="en-IN"/>
                <w14:ligatures w14:val="none"/>
              </w:rPr>
              <w:t>(100)</w:t>
            </w:r>
          </w:p>
        </w:tc>
        <w:tc>
          <w:tcPr>
            <w:tcW w:w="1352" w:type="dxa"/>
            <w:tcBorders>
              <w:top w:val="nil"/>
              <w:left w:val="nil"/>
              <w:bottom w:val="single" w:sz="4" w:space="0" w:color="auto"/>
              <w:right w:val="single" w:sz="4" w:space="0" w:color="auto"/>
            </w:tcBorders>
            <w:shd w:val="clear" w:color="000000" w:fill="FFFFFF"/>
            <w:vAlign w:val="center"/>
            <w:hideMark/>
          </w:tcPr>
          <w:p w14:paraId="3621225A" w14:textId="77777777" w:rsidR="002A11B0" w:rsidRPr="002A11B0" w:rsidRDefault="002A11B0" w:rsidP="002A11B0">
            <w:pPr>
              <w:spacing w:after="0" w:line="240" w:lineRule="auto"/>
              <w:ind w:firstLineChars="100" w:firstLine="240"/>
              <w:rPr>
                <w:rFonts w:ascii="Times New Roman" w:eastAsia="Times New Roman" w:hAnsi="Times New Roman" w:cs="Times New Roman"/>
                <w:color w:val="1A1C1E"/>
                <w:kern w:val="0"/>
                <w:szCs w:val="24"/>
                <w:lang w:eastAsia="en-IN"/>
                <w14:ligatures w14:val="none"/>
              </w:rPr>
            </w:pPr>
            <w:r w:rsidRPr="002A11B0">
              <w:rPr>
                <w:rFonts w:ascii="Times New Roman" w:eastAsia="Times New Roman" w:hAnsi="Times New Roman" w:cs="Times New Roman"/>
                <w:color w:val="1A1C1E"/>
                <w:kern w:val="0"/>
                <w:szCs w:val="24"/>
                <w:lang w:eastAsia="en-IN"/>
                <w14:ligatures w14:val="none"/>
              </w:rPr>
              <w:t>(209)</w:t>
            </w:r>
          </w:p>
        </w:tc>
        <w:tc>
          <w:tcPr>
            <w:tcW w:w="1352" w:type="dxa"/>
            <w:tcBorders>
              <w:top w:val="nil"/>
              <w:left w:val="nil"/>
              <w:bottom w:val="single" w:sz="4" w:space="0" w:color="auto"/>
              <w:right w:val="single" w:sz="4" w:space="0" w:color="auto"/>
            </w:tcBorders>
            <w:shd w:val="clear" w:color="000000" w:fill="FFFFFF"/>
            <w:vAlign w:val="center"/>
            <w:hideMark/>
          </w:tcPr>
          <w:p w14:paraId="302FA812" w14:textId="77777777" w:rsidR="002A11B0" w:rsidRPr="002A11B0" w:rsidRDefault="002A11B0" w:rsidP="002A11B0">
            <w:pPr>
              <w:spacing w:after="0" w:line="240" w:lineRule="auto"/>
              <w:ind w:firstLineChars="100" w:firstLine="240"/>
              <w:rPr>
                <w:rFonts w:ascii="Times New Roman" w:eastAsia="Times New Roman" w:hAnsi="Times New Roman" w:cs="Times New Roman"/>
                <w:color w:val="1A1C1E"/>
                <w:kern w:val="0"/>
                <w:szCs w:val="24"/>
                <w:lang w:eastAsia="en-IN"/>
                <w14:ligatures w14:val="none"/>
              </w:rPr>
            </w:pPr>
            <w:r w:rsidRPr="002A11B0">
              <w:rPr>
                <w:rFonts w:ascii="Times New Roman" w:eastAsia="Times New Roman" w:hAnsi="Times New Roman" w:cs="Times New Roman"/>
                <w:color w:val="1A1C1E"/>
                <w:kern w:val="0"/>
                <w:szCs w:val="24"/>
                <w:lang w:eastAsia="en-IN"/>
                <w14:ligatures w14:val="none"/>
              </w:rPr>
              <w:t>(469)</w:t>
            </w:r>
          </w:p>
        </w:tc>
        <w:tc>
          <w:tcPr>
            <w:tcW w:w="1352" w:type="dxa"/>
            <w:tcBorders>
              <w:top w:val="nil"/>
              <w:left w:val="nil"/>
              <w:bottom w:val="single" w:sz="4" w:space="0" w:color="auto"/>
              <w:right w:val="single" w:sz="4" w:space="0" w:color="auto"/>
            </w:tcBorders>
            <w:shd w:val="clear" w:color="000000" w:fill="FFFFFF"/>
            <w:vAlign w:val="center"/>
            <w:hideMark/>
          </w:tcPr>
          <w:p w14:paraId="2F4F780E" w14:textId="77777777" w:rsidR="002A11B0" w:rsidRPr="002A11B0" w:rsidRDefault="002A11B0" w:rsidP="002A11B0">
            <w:pPr>
              <w:spacing w:after="0" w:line="240" w:lineRule="auto"/>
              <w:ind w:firstLineChars="100" w:firstLine="240"/>
              <w:rPr>
                <w:rFonts w:ascii="Times New Roman" w:eastAsia="Times New Roman" w:hAnsi="Times New Roman" w:cs="Times New Roman"/>
                <w:color w:val="1A1C1E"/>
                <w:kern w:val="0"/>
                <w:szCs w:val="24"/>
                <w:lang w:eastAsia="en-IN"/>
                <w14:ligatures w14:val="none"/>
              </w:rPr>
            </w:pPr>
            <w:r w:rsidRPr="002A11B0">
              <w:rPr>
                <w:rFonts w:ascii="Times New Roman" w:eastAsia="Times New Roman" w:hAnsi="Times New Roman" w:cs="Times New Roman"/>
                <w:color w:val="1A1C1E"/>
                <w:kern w:val="0"/>
                <w:szCs w:val="24"/>
                <w:lang w:eastAsia="en-IN"/>
                <w14:ligatures w14:val="none"/>
              </w:rPr>
              <w:t>(853)</w:t>
            </w:r>
          </w:p>
        </w:tc>
        <w:tc>
          <w:tcPr>
            <w:tcW w:w="1352" w:type="dxa"/>
            <w:tcBorders>
              <w:top w:val="nil"/>
              <w:left w:val="nil"/>
              <w:bottom w:val="single" w:sz="4" w:space="0" w:color="auto"/>
              <w:right w:val="single" w:sz="4" w:space="0" w:color="auto"/>
            </w:tcBorders>
            <w:shd w:val="clear" w:color="000000" w:fill="FFFFFF"/>
            <w:vAlign w:val="center"/>
            <w:hideMark/>
          </w:tcPr>
          <w:p w14:paraId="16BD8FCC" w14:textId="77777777" w:rsidR="002A11B0" w:rsidRPr="002A11B0" w:rsidRDefault="002A11B0" w:rsidP="002A11B0">
            <w:pPr>
              <w:spacing w:after="0" w:line="240" w:lineRule="auto"/>
              <w:ind w:firstLineChars="100" w:firstLine="240"/>
              <w:rPr>
                <w:rFonts w:ascii="Times New Roman" w:eastAsia="Times New Roman" w:hAnsi="Times New Roman" w:cs="Times New Roman"/>
                <w:color w:val="1A1C1E"/>
                <w:kern w:val="0"/>
                <w:szCs w:val="24"/>
                <w:lang w:eastAsia="en-IN"/>
                <w14:ligatures w14:val="none"/>
              </w:rPr>
            </w:pPr>
            <w:r w:rsidRPr="002A11B0">
              <w:rPr>
                <w:rFonts w:ascii="Times New Roman" w:eastAsia="Times New Roman" w:hAnsi="Times New Roman" w:cs="Times New Roman"/>
                <w:color w:val="1A1C1E"/>
                <w:kern w:val="0"/>
                <w:szCs w:val="24"/>
                <w:lang w:eastAsia="en-IN"/>
                <w14:ligatures w14:val="none"/>
              </w:rPr>
              <w:t>(934)</w:t>
            </w:r>
          </w:p>
        </w:tc>
        <w:tc>
          <w:tcPr>
            <w:tcW w:w="1497" w:type="dxa"/>
            <w:tcBorders>
              <w:top w:val="nil"/>
              <w:left w:val="nil"/>
              <w:bottom w:val="single" w:sz="4" w:space="0" w:color="auto"/>
              <w:right w:val="single" w:sz="4" w:space="0" w:color="auto"/>
            </w:tcBorders>
            <w:shd w:val="clear" w:color="000000" w:fill="FFFFFF"/>
            <w:vAlign w:val="center"/>
            <w:hideMark/>
          </w:tcPr>
          <w:p w14:paraId="01424F5E" w14:textId="77777777" w:rsidR="002A11B0" w:rsidRPr="002A11B0" w:rsidRDefault="002A11B0" w:rsidP="002A11B0">
            <w:pPr>
              <w:spacing w:after="0" w:line="240" w:lineRule="auto"/>
              <w:ind w:firstLineChars="100" w:firstLine="240"/>
              <w:rPr>
                <w:rFonts w:ascii="Times New Roman" w:eastAsia="Times New Roman" w:hAnsi="Times New Roman" w:cs="Times New Roman"/>
                <w:color w:val="1A1C1E"/>
                <w:kern w:val="0"/>
                <w:szCs w:val="24"/>
                <w:lang w:eastAsia="en-IN"/>
                <w14:ligatures w14:val="none"/>
              </w:rPr>
            </w:pPr>
            <w:r w:rsidRPr="002A11B0">
              <w:rPr>
                <w:rFonts w:ascii="Times New Roman" w:eastAsia="Times New Roman" w:hAnsi="Times New Roman" w:cs="Times New Roman"/>
                <w:color w:val="1A1C1E"/>
                <w:kern w:val="0"/>
                <w:szCs w:val="24"/>
                <w:lang w:eastAsia="en-IN"/>
                <w14:ligatures w14:val="none"/>
              </w:rPr>
              <w:t>(1030)</w:t>
            </w:r>
          </w:p>
        </w:tc>
      </w:tr>
      <w:tr w:rsidR="002A11B0" w:rsidRPr="002A11B0" w14:paraId="0668AE14" w14:textId="77777777" w:rsidTr="002A11B0">
        <w:trPr>
          <w:trHeight w:val="20"/>
          <w:jc w:val="center"/>
        </w:trPr>
        <w:tc>
          <w:tcPr>
            <w:tcW w:w="2104" w:type="dxa"/>
            <w:tcBorders>
              <w:top w:val="nil"/>
              <w:left w:val="single" w:sz="4" w:space="0" w:color="auto"/>
              <w:bottom w:val="single" w:sz="4" w:space="0" w:color="auto"/>
              <w:right w:val="single" w:sz="4" w:space="0" w:color="auto"/>
            </w:tcBorders>
            <w:shd w:val="clear" w:color="000000" w:fill="FFFFFF"/>
            <w:vAlign w:val="center"/>
            <w:hideMark/>
          </w:tcPr>
          <w:p w14:paraId="50217769" w14:textId="77777777" w:rsidR="002A11B0" w:rsidRPr="002A11B0" w:rsidRDefault="002A11B0" w:rsidP="002A11B0">
            <w:pPr>
              <w:spacing w:after="0" w:line="240" w:lineRule="auto"/>
              <w:ind w:firstLineChars="100" w:firstLine="241"/>
              <w:rPr>
                <w:rFonts w:ascii="Times New Roman" w:eastAsia="Times New Roman" w:hAnsi="Times New Roman" w:cs="Times New Roman"/>
                <w:b/>
                <w:bCs/>
                <w:color w:val="1A1C1E"/>
                <w:kern w:val="0"/>
                <w:szCs w:val="24"/>
                <w:lang w:eastAsia="en-IN"/>
                <w14:ligatures w14:val="none"/>
              </w:rPr>
            </w:pPr>
            <w:r w:rsidRPr="002A11B0">
              <w:rPr>
                <w:rFonts w:ascii="Times New Roman" w:eastAsia="Times New Roman" w:hAnsi="Times New Roman" w:cs="Times New Roman"/>
                <w:b/>
                <w:bCs/>
                <w:color w:val="1A1C1E"/>
                <w:kern w:val="0"/>
                <w:szCs w:val="24"/>
                <w:lang w:eastAsia="en-IN"/>
                <w14:ligatures w14:val="none"/>
              </w:rPr>
              <w:t>Sales Taxes(c)</w:t>
            </w:r>
          </w:p>
        </w:tc>
        <w:tc>
          <w:tcPr>
            <w:tcW w:w="1352" w:type="dxa"/>
            <w:tcBorders>
              <w:top w:val="nil"/>
              <w:left w:val="nil"/>
              <w:bottom w:val="single" w:sz="4" w:space="0" w:color="auto"/>
              <w:right w:val="single" w:sz="4" w:space="0" w:color="auto"/>
            </w:tcBorders>
            <w:shd w:val="clear" w:color="000000" w:fill="FFFFFF"/>
            <w:vAlign w:val="center"/>
            <w:hideMark/>
          </w:tcPr>
          <w:p w14:paraId="2EEECFA3" w14:textId="77777777" w:rsidR="002A11B0" w:rsidRPr="002A11B0" w:rsidRDefault="002A11B0" w:rsidP="002A11B0">
            <w:pPr>
              <w:spacing w:after="0" w:line="240" w:lineRule="auto"/>
              <w:ind w:firstLineChars="100" w:firstLine="240"/>
              <w:rPr>
                <w:rFonts w:ascii="Times New Roman" w:eastAsia="Times New Roman" w:hAnsi="Times New Roman" w:cs="Times New Roman"/>
                <w:color w:val="1A1C1E"/>
                <w:kern w:val="0"/>
                <w:szCs w:val="24"/>
                <w:lang w:eastAsia="en-IN"/>
                <w14:ligatures w14:val="none"/>
              </w:rPr>
            </w:pPr>
            <w:r w:rsidRPr="002A11B0">
              <w:rPr>
                <w:rFonts w:ascii="Times New Roman" w:eastAsia="Times New Roman" w:hAnsi="Times New Roman" w:cs="Times New Roman"/>
                <w:color w:val="1A1C1E"/>
                <w:kern w:val="0"/>
                <w:szCs w:val="24"/>
                <w:lang w:eastAsia="en-IN"/>
                <w14:ligatures w14:val="none"/>
              </w:rPr>
              <w:t>55.99</w:t>
            </w:r>
          </w:p>
        </w:tc>
        <w:tc>
          <w:tcPr>
            <w:tcW w:w="1352" w:type="dxa"/>
            <w:tcBorders>
              <w:top w:val="nil"/>
              <w:left w:val="nil"/>
              <w:bottom w:val="single" w:sz="4" w:space="0" w:color="auto"/>
              <w:right w:val="single" w:sz="4" w:space="0" w:color="auto"/>
            </w:tcBorders>
            <w:shd w:val="clear" w:color="000000" w:fill="FFFFFF"/>
            <w:vAlign w:val="center"/>
            <w:hideMark/>
          </w:tcPr>
          <w:p w14:paraId="1AA0678D" w14:textId="77777777" w:rsidR="002A11B0" w:rsidRPr="002A11B0" w:rsidRDefault="002A11B0" w:rsidP="002A11B0">
            <w:pPr>
              <w:spacing w:after="0" w:line="240" w:lineRule="auto"/>
              <w:ind w:firstLineChars="100" w:firstLine="240"/>
              <w:rPr>
                <w:rFonts w:ascii="Times New Roman" w:eastAsia="Times New Roman" w:hAnsi="Times New Roman" w:cs="Times New Roman"/>
                <w:color w:val="1A1C1E"/>
                <w:kern w:val="0"/>
                <w:szCs w:val="24"/>
                <w:lang w:eastAsia="en-IN"/>
                <w14:ligatures w14:val="none"/>
              </w:rPr>
            </w:pPr>
            <w:r w:rsidRPr="002A11B0">
              <w:rPr>
                <w:rFonts w:ascii="Times New Roman" w:eastAsia="Times New Roman" w:hAnsi="Times New Roman" w:cs="Times New Roman"/>
                <w:color w:val="1A1C1E"/>
                <w:kern w:val="0"/>
                <w:szCs w:val="24"/>
                <w:lang w:eastAsia="en-IN"/>
                <w14:ligatures w14:val="none"/>
              </w:rPr>
              <w:t>78.33</w:t>
            </w:r>
          </w:p>
        </w:tc>
        <w:tc>
          <w:tcPr>
            <w:tcW w:w="1352" w:type="dxa"/>
            <w:tcBorders>
              <w:top w:val="nil"/>
              <w:left w:val="nil"/>
              <w:bottom w:val="single" w:sz="4" w:space="0" w:color="auto"/>
              <w:right w:val="single" w:sz="4" w:space="0" w:color="auto"/>
            </w:tcBorders>
            <w:shd w:val="clear" w:color="000000" w:fill="FFFFFF"/>
            <w:vAlign w:val="center"/>
            <w:hideMark/>
          </w:tcPr>
          <w:p w14:paraId="16B13CB4" w14:textId="77777777" w:rsidR="002A11B0" w:rsidRPr="002A11B0" w:rsidRDefault="002A11B0" w:rsidP="002A11B0">
            <w:pPr>
              <w:spacing w:after="0" w:line="240" w:lineRule="auto"/>
              <w:ind w:firstLineChars="100" w:firstLine="240"/>
              <w:rPr>
                <w:rFonts w:ascii="Times New Roman" w:eastAsia="Times New Roman" w:hAnsi="Times New Roman" w:cs="Times New Roman"/>
                <w:color w:val="1A1C1E"/>
                <w:kern w:val="0"/>
                <w:szCs w:val="24"/>
                <w:lang w:eastAsia="en-IN"/>
                <w14:ligatures w14:val="none"/>
              </w:rPr>
            </w:pPr>
            <w:r w:rsidRPr="002A11B0">
              <w:rPr>
                <w:rFonts w:ascii="Times New Roman" w:eastAsia="Times New Roman" w:hAnsi="Times New Roman" w:cs="Times New Roman"/>
                <w:color w:val="1A1C1E"/>
                <w:kern w:val="0"/>
                <w:szCs w:val="24"/>
                <w:lang w:eastAsia="en-IN"/>
                <w14:ligatures w14:val="none"/>
              </w:rPr>
              <w:t>157.92</w:t>
            </w:r>
          </w:p>
        </w:tc>
        <w:tc>
          <w:tcPr>
            <w:tcW w:w="1352" w:type="dxa"/>
            <w:tcBorders>
              <w:top w:val="nil"/>
              <w:left w:val="nil"/>
              <w:bottom w:val="single" w:sz="4" w:space="0" w:color="auto"/>
              <w:right w:val="single" w:sz="4" w:space="0" w:color="auto"/>
            </w:tcBorders>
            <w:shd w:val="clear" w:color="000000" w:fill="FFFFFF"/>
            <w:vAlign w:val="center"/>
            <w:hideMark/>
          </w:tcPr>
          <w:p w14:paraId="28728CE0" w14:textId="77777777" w:rsidR="002A11B0" w:rsidRPr="002A11B0" w:rsidRDefault="002A11B0" w:rsidP="002A11B0">
            <w:pPr>
              <w:spacing w:after="0" w:line="240" w:lineRule="auto"/>
              <w:ind w:firstLineChars="100" w:firstLine="240"/>
              <w:rPr>
                <w:rFonts w:ascii="Times New Roman" w:eastAsia="Times New Roman" w:hAnsi="Times New Roman" w:cs="Times New Roman"/>
                <w:color w:val="1A1C1E"/>
                <w:kern w:val="0"/>
                <w:szCs w:val="24"/>
                <w:lang w:eastAsia="en-IN"/>
                <w14:ligatures w14:val="none"/>
              </w:rPr>
            </w:pPr>
            <w:r w:rsidRPr="002A11B0">
              <w:rPr>
                <w:rFonts w:ascii="Times New Roman" w:eastAsia="Times New Roman" w:hAnsi="Times New Roman" w:cs="Times New Roman"/>
                <w:color w:val="1A1C1E"/>
                <w:kern w:val="0"/>
                <w:szCs w:val="24"/>
                <w:lang w:eastAsia="en-IN"/>
                <w14:ligatures w14:val="none"/>
              </w:rPr>
              <w:t>365.41</w:t>
            </w:r>
          </w:p>
        </w:tc>
        <w:tc>
          <w:tcPr>
            <w:tcW w:w="1352" w:type="dxa"/>
            <w:tcBorders>
              <w:top w:val="nil"/>
              <w:left w:val="nil"/>
              <w:bottom w:val="single" w:sz="4" w:space="0" w:color="auto"/>
              <w:right w:val="single" w:sz="4" w:space="0" w:color="auto"/>
            </w:tcBorders>
            <w:shd w:val="clear" w:color="000000" w:fill="FFFFFF"/>
            <w:vAlign w:val="center"/>
            <w:hideMark/>
          </w:tcPr>
          <w:p w14:paraId="4D932BCA" w14:textId="77777777" w:rsidR="002A11B0" w:rsidRPr="002A11B0" w:rsidRDefault="002A11B0" w:rsidP="002A11B0">
            <w:pPr>
              <w:spacing w:after="0" w:line="240" w:lineRule="auto"/>
              <w:ind w:firstLineChars="100" w:firstLine="240"/>
              <w:rPr>
                <w:rFonts w:ascii="Times New Roman" w:eastAsia="Times New Roman" w:hAnsi="Times New Roman" w:cs="Times New Roman"/>
                <w:color w:val="1A1C1E"/>
                <w:kern w:val="0"/>
                <w:szCs w:val="24"/>
                <w:lang w:eastAsia="en-IN"/>
                <w14:ligatures w14:val="none"/>
              </w:rPr>
            </w:pPr>
            <w:r w:rsidRPr="002A11B0">
              <w:rPr>
                <w:rFonts w:ascii="Times New Roman" w:eastAsia="Times New Roman" w:hAnsi="Times New Roman" w:cs="Times New Roman"/>
                <w:color w:val="1A1C1E"/>
                <w:kern w:val="0"/>
                <w:szCs w:val="24"/>
                <w:lang w:eastAsia="en-IN"/>
                <w14:ligatures w14:val="none"/>
              </w:rPr>
              <w:t>439.45</w:t>
            </w:r>
          </w:p>
        </w:tc>
        <w:tc>
          <w:tcPr>
            <w:tcW w:w="1497" w:type="dxa"/>
            <w:tcBorders>
              <w:top w:val="nil"/>
              <w:left w:val="nil"/>
              <w:bottom w:val="single" w:sz="4" w:space="0" w:color="auto"/>
              <w:right w:val="single" w:sz="4" w:space="0" w:color="auto"/>
            </w:tcBorders>
            <w:shd w:val="clear" w:color="000000" w:fill="FFFFFF"/>
            <w:vAlign w:val="center"/>
            <w:hideMark/>
          </w:tcPr>
          <w:p w14:paraId="2203C9FD" w14:textId="77777777" w:rsidR="002A11B0" w:rsidRPr="002A11B0" w:rsidRDefault="002A11B0" w:rsidP="002A11B0">
            <w:pPr>
              <w:spacing w:after="0" w:line="240" w:lineRule="auto"/>
              <w:ind w:firstLineChars="100" w:firstLine="240"/>
              <w:rPr>
                <w:rFonts w:ascii="Times New Roman" w:eastAsia="Times New Roman" w:hAnsi="Times New Roman" w:cs="Times New Roman"/>
                <w:color w:val="1A1C1E"/>
                <w:kern w:val="0"/>
                <w:szCs w:val="24"/>
                <w:lang w:eastAsia="en-IN"/>
                <w14:ligatures w14:val="none"/>
              </w:rPr>
            </w:pPr>
            <w:r w:rsidRPr="002A11B0">
              <w:rPr>
                <w:rFonts w:ascii="Times New Roman" w:eastAsia="Times New Roman" w:hAnsi="Times New Roman" w:cs="Times New Roman"/>
                <w:color w:val="1A1C1E"/>
                <w:kern w:val="0"/>
                <w:szCs w:val="24"/>
                <w:lang w:eastAsia="en-IN"/>
                <w14:ligatures w14:val="none"/>
              </w:rPr>
              <w:t>509.56</w:t>
            </w:r>
          </w:p>
        </w:tc>
      </w:tr>
      <w:tr w:rsidR="002A11B0" w:rsidRPr="002A11B0" w14:paraId="5149B80E" w14:textId="77777777" w:rsidTr="002A11B0">
        <w:trPr>
          <w:trHeight w:val="20"/>
          <w:jc w:val="center"/>
        </w:trPr>
        <w:tc>
          <w:tcPr>
            <w:tcW w:w="2104" w:type="dxa"/>
            <w:tcBorders>
              <w:top w:val="nil"/>
              <w:left w:val="single" w:sz="4" w:space="0" w:color="auto"/>
              <w:bottom w:val="single" w:sz="4" w:space="0" w:color="auto"/>
              <w:right w:val="single" w:sz="4" w:space="0" w:color="auto"/>
            </w:tcBorders>
            <w:shd w:val="clear" w:color="000000" w:fill="FFFFFF"/>
            <w:vAlign w:val="center"/>
            <w:hideMark/>
          </w:tcPr>
          <w:p w14:paraId="78EAED75" w14:textId="77777777" w:rsidR="002A11B0" w:rsidRPr="002A11B0" w:rsidRDefault="002A11B0" w:rsidP="002A11B0">
            <w:pPr>
              <w:spacing w:after="0" w:line="240" w:lineRule="auto"/>
              <w:ind w:firstLineChars="100" w:firstLine="240"/>
              <w:rPr>
                <w:rFonts w:ascii="Times New Roman" w:eastAsia="Times New Roman" w:hAnsi="Times New Roman" w:cs="Times New Roman"/>
                <w:color w:val="1A1C1E"/>
                <w:kern w:val="0"/>
                <w:szCs w:val="24"/>
                <w:lang w:eastAsia="en-IN"/>
                <w14:ligatures w14:val="none"/>
              </w:rPr>
            </w:pPr>
            <w:r w:rsidRPr="002A11B0">
              <w:rPr>
                <w:rFonts w:ascii="Times New Roman" w:eastAsia="Times New Roman" w:hAnsi="Times New Roman" w:cs="Times New Roman"/>
                <w:color w:val="1A1C1E"/>
                <w:kern w:val="0"/>
                <w:szCs w:val="24"/>
                <w:lang w:eastAsia="en-IN"/>
                <w14:ligatures w14:val="none"/>
              </w:rPr>
              <w:t> </w:t>
            </w:r>
          </w:p>
        </w:tc>
        <w:tc>
          <w:tcPr>
            <w:tcW w:w="1352" w:type="dxa"/>
            <w:tcBorders>
              <w:top w:val="nil"/>
              <w:left w:val="nil"/>
              <w:bottom w:val="single" w:sz="4" w:space="0" w:color="auto"/>
              <w:right w:val="single" w:sz="4" w:space="0" w:color="auto"/>
            </w:tcBorders>
            <w:shd w:val="clear" w:color="000000" w:fill="FFFFFF"/>
            <w:vAlign w:val="center"/>
            <w:hideMark/>
          </w:tcPr>
          <w:p w14:paraId="67A4AA8C" w14:textId="77777777" w:rsidR="002A11B0" w:rsidRPr="002A11B0" w:rsidRDefault="002A11B0" w:rsidP="002A11B0">
            <w:pPr>
              <w:spacing w:after="0" w:line="240" w:lineRule="auto"/>
              <w:ind w:firstLineChars="100" w:firstLine="240"/>
              <w:rPr>
                <w:rFonts w:ascii="Times New Roman" w:eastAsia="Times New Roman" w:hAnsi="Times New Roman" w:cs="Times New Roman"/>
                <w:color w:val="1A1C1E"/>
                <w:kern w:val="0"/>
                <w:szCs w:val="24"/>
                <w:lang w:eastAsia="en-IN"/>
                <w14:ligatures w14:val="none"/>
              </w:rPr>
            </w:pPr>
            <w:r w:rsidRPr="002A11B0">
              <w:rPr>
                <w:rFonts w:ascii="Times New Roman" w:eastAsia="Times New Roman" w:hAnsi="Times New Roman" w:cs="Times New Roman"/>
                <w:color w:val="1A1C1E"/>
                <w:kern w:val="0"/>
                <w:szCs w:val="24"/>
                <w:lang w:eastAsia="en-IN"/>
                <w14:ligatures w14:val="none"/>
              </w:rPr>
              <w:t>(100)</w:t>
            </w:r>
          </w:p>
        </w:tc>
        <w:tc>
          <w:tcPr>
            <w:tcW w:w="1352" w:type="dxa"/>
            <w:tcBorders>
              <w:top w:val="nil"/>
              <w:left w:val="nil"/>
              <w:bottom w:val="single" w:sz="4" w:space="0" w:color="auto"/>
              <w:right w:val="single" w:sz="4" w:space="0" w:color="auto"/>
            </w:tcBorders>
            <w:shd w:val="clear" w:color="000000" w:fill="FFFFFF"/>
            <w:vAlign w:val="center"/>
            <w:hideMark/>
          </w:tcPr>
          <w:p w14:paraId="332F9F3E" w14:textId="77777777" w:rsidR="002A11B0" w:rsidRPr="002A11B0" w:rsidRDefault="002A11B0" w:rsidP="002A11B0">
            <w:pPr>
              <w:spacing w:after="0" w:line="240" w:lineRule="auto"/>
              <w:ind w:firstLineChars="100" w:firstLine="240"/>
              <w:rPr>
                <w:rFonts w:ascii="Times New Roman" w:eastAsia="Times New Roman" w:hAnsi="Times New Roman" w:cs="Times New Roman"/>
                <w:color w:val="1A1C1E"/>
                <w:kern w:val="0"/>
                <w:szCs w:val="24"/>
                <w:lang w:eastAsia="en-IN"/>
                <w14:ligatures w14:val="none"/>
              </w:rPr>
            </w:pPr>
            <w:r w:rsidRPr="002A11B0">
              <w:rPr>
                <w:rFonts w:ascii="Times New Roman" w:eastAsia="Times New Roman" w:hAnsi="Times New Roman" w:cs="Times New Roman"/>
                <w:color w:val="1A1C1E"/>
                <w:kern w:val="0"/>
                <w:szCs w:val="24"/>
                <w:lang w:eastAsia="en-IN"/>
                <w14:ligatures w14:val="none"/>
              </w:rPr>
              <w:t>(140)</w:t>
            </w:r>
          </w:p>
        </w:tc>
        <w:tc>
          <w:tcPr>
            <w:tcW w:w="1352" w:type="dxa"/>
            <w:tcBorders>
              <w:top w:val="nil"/>
              <w:left w:val="nil"/>
              <w:bottom w:val="single" w:sz="4" w:space="0" w:color="auto"/>
              <w:right w:val="single" w:sz="4" w:space="0" w:color="auto"/>
            </w:tcBorders>
            <w:shd w:val="clear" w:color="000000" w:fill="FFFFFF"/>
            <w:vAlign w:val="center"/>
            <w:hideMark/>
          </w:tcPr>
          <w:p w14:paraId="44FCD3F5" w14:textId="77777777" w:rsidR="002A11B0" w:rsidRPr="002A11B0" w:rsidRDefault="002A11B0" w:rsidP="002A11B0">
            <w:pPr>
              <w:spacing w:after="0" w:line="240" w:lineRule="auto"/>
              <w:ind w:firstLineChars="100" w:firstLine="240"/>
              <w:rPr>
                <w:rFonts w:ascii="Times New Roman" w:eastAsia="Times New Roman" w:hAnsi="Times New Roman" w:cs="Times New Roman"/>
                <w:color w:val="1A1C1E"/>
                <w:kern w:val="0"/>
                <w:szCs w:val="24"/>
                <w:lang w:eastAsia="en-IN"/>
                <w14:ligatures w14:val="none"/>
              </w:rPr>
            </w:pPr>
            <w:r w:rsidRPr="002A11B0">
              <w:rPr>
                <w:rFonts w:ascii="Times New Roman" w:eastAsia="Times New Roman" w:hAnsi="Times New Roman" w:cs="Times New Roman"/>
                <w:color w:val="1A1C1E"/>
                <w:kern w:val="0"/>
                <w:szCs w:val="24"/>
                <w:lang w:eastAsia="en-IN"/>
                <w14:ligatures w14:val="none"/>
              </w:rPr>
              <w:t>(282)</w:t>
            </w:r>
          </w:p>
        </w:tc>
        <w:tc>
          <w:tcPr>
            <w:tcW w:w="1352" w:type="dxa"/>
            <w:tcBorders>
              <w:top w:val="nil"/>
              <w:left w:val="nil"/>
              <w:bottom w:val="single" w:sz="4" w:space="0" w:color="auto"/>
              <w:right w:val="single" w:sz="4" w:space="0" w:color="auto"/>
            </w:tcBorders>
            <w:shd w:val="clear" w:color="000000" w:fill="FFFFFF"/>
            <w:vAlign w:val="center"/>
            <w:hideMark/>
          </w:tcPr>
          <w:p w14:paraId="325C2DF4" w14:textId="77777777" w:rsidR="002A11B0" w:rsidRPr="002A11B0" w:rsidRDefault="002A11B0" w:rsidP="002A11B0">
            <w:pPr>
              <w:spacing w:after="0" w:line="240" w:lineRule="auto"/>
              <w:ind w:firstLineChars="100" w:firstLine="240"/>
              <w:rPr>
                <w:rFonts w:ascii="Times New Roman" w:eastAsia="Times New Roman" w:hAnsi="Times New Roman" w:cs="Times New Roman"/>
                <w:color w:val="1A1C1E"/>
                <w:kern w:val="0"/>
                <w:szCs w:val="24"/>
                <w:lang w:eastAsia="en-IN"/>
                <w14:ligatures w14:val="none"/>
              </w:rPr>
            </w:pPr>
            <w:r w:rsidRPr="002A11B0">
              <w:rPr>
                <w:rFonts w:ascii="Times New Roman" w:eastAsia="Times New Roman" w:hAnsi="Times New Roman" w:cs="Times New Roman"/>
                <w:color w:val="1A1C1E"/>
                <w:kern w:val="0"/>
                <w:szCs w:val="24"/>
                <w:lang w:eastAsia="en-IN"/>
                <w14:ligatures w14:val="none"/>
              </w:rPr>
              <w:t>(653)</w:t>
            </w:r>
          </w:p>
        </w:tc>
        <w:tc>
          <w:tcPr>
            <w:tcW w:w="1352" w:type="dxa"/>
            <w:tcBorders>
              <w:top w:val="nil"/>
              <w:left w:val="nil"/>
              <w:bottom w:val="single" w:sz="4" w:space="0" w:color="auto"/>
              <w:right w:val="single" w:sz="4" w:space="0" w:color="auto"/>
            </w:tcBorders>
            <w:shd w:val="clear" w:color="000000" w:fill="FFFFFF"/>
            <w:vAlign w:val="center"/>
            <w:hideMark/>
          </w:tcPr>
          <w:p w14:paraId="155BBC37" w14:textId="77777777" w:rsidR="002A11B0" w:rsidRPr="002A11B0" w:rsidRDefault="002A11B0" w:rsidP="002A11B0">
            <w:pPr>
              <w:spacing w:after="0" w:line="240" w:lineRule="auto"/>
              <w:ind w:firstLineChars="100" w:firstLine="240"/>
              <w:rPr>
                <w:rFonts w:ascii="Times New Roman" w:eastAsia="Times New Roman" w:hAnsi="Times New Roman" w:cs="Times New Roman"/>
                <w:color w:val="1A1C1E"/>
                <w:kern w:val="0"/>
                <w:szCs w:val="24"/>
                <w:lang w:eastAsia="en-IN"/>
                <w14:ligatures w14:val="none"/>
              </w:rPr>
            </w:pPr>
            <w:r w:rsidRPr="002A11B0">
              <w:rPr>
                <w:rFonts w:ascii="Times New Roman" w:eastAsia="Times New Roman" w:hAnsi="Times New Roman" w:cs="Times New Roman"/>
                <w:color w:val="1A1C1E"/>
                <w:kern w:val="0"/>
                <w:szCs w:val="24"/>
                <w:lang w:eastAsia="en-IN"/>
                <w14:ligatures w14:val="none"/>
              </w:rPr>
              <w:t>(785)</w:t>
            </w:r>
          </w:p>
        </w:tc>
        <w:tc>
          <w:tcPr>
            <w:tcW w:w="1497" w:type="dxa"/>
            <w:tcBorders>
              <w:top w:val="nil"/>
              <w:left w:val="nil"/>
              <w:bottom w:val="single" w:sz="4" w:space="0" w:color="auto"/>
              <w:right w:val="single" w:sz="4" w:space="0" w:color="auto"/>
            </w:tcBorders>
            <w:shd w:val="clear" w:color="000000" w:fill="FFFFFF"/>
            <w:vAlign w:val="center"/>
            <w:hideMark/>
          </w:tcPr>
          <w:p w14:paraId="7B5043E6" w14:textId="77777777" w:rsidR="002A11B0" w:rsidRPr="002A11B0" w:rsidRDefault="002A11B0" w:rsidP="002A11B0">
            <w:pPr>
              <w:spacing w:after="0" w:line="240" w:lineRule="auto"/>
              <w:ind w:firstLineChars="100" w:firstLine="240"/>
              <w:rPr>
                <w:rFonts w:ascii="Times New Roman" w:eastAsia="Times New Roman" w:hAnsi="Times New Roman" w:cs="Times New Roman"/>
                <w:color w:val="1A1C1E"/>
                <w:kern w:val="0"/>
                <w:szCs w:val="24"/>
                <w:lang w:eastAsia="en-IN"/>
                <w14:ligatures w14:val="none"/>
              </w:rPr>
            </w:pPr>
            <w:r w:rsidRPr="002A11B0">
              <w:rPr>
                <w:rFonts w:ascii="Times New Roman" w:eastAsia="Times New Roman" w:hAnsi="Times New Roman" w:cs="Times New Roman"/>
                <w:color w:val="1A1C1E"/>
                <w:kern w:val="0"/>
                <w:szCs w:val="24"/>
                <w:lang w:eastAsia="en-IN"/>
                <w14:ligatures w14:val="none"/>
              </w:rPr>
              <w:t>(910)</w:t>
            </w:r>
          </w:p>
        </w:tc>
      </w:tr>
      <w:tr w:rsidR="002A11B0" w:rsidRPr="002A11B0" w14:paraId="5D6D3F6E" w14:textId="77777777" w:rsidTr="002A11B0">
        <w:trPr>
          <w:trHeight w:val="20"/>
          <w:jc w:val="center"/>
        </w:trPr>
        <w:tc>
          <w:tcPr>
            <w:tcW w:w="2104" w:type="dxa"/>
            <w:tcBorders>
              <w:top w:val="nil"/>
              <w:left w:val="single" w:sz="4" w:space="0" w:color="auto"/>
              <w:bottom w:val="single" w:sz="4" w:space="0" w:color="auto"/>
              <w:right w:val="single" w:sz="4" w:space="0" w:color="auto"/>
            </w:tcBorders>
            <w:shd w:val="clear" w:color="000000" w:fill="FFFFFF"/>
            <w:vAlign w:val="center"/>
            <w:hideMark/>
          </w:tcPr>
          <w:p w14:paraId="1426C156" w14:textId="77777777" w:rsidR="002A11B0" w:rsidRPr="002A11B0" w:rsidRDefault="002A11B0" w:rsidP="002A11B0">
            <w:pPr>
              <w:spacing w:after="0" w:line="240" w:lineRule="auto"/>
              <w:ind w:firstLineChars="100" w:firstLine="241"/>
              <w:rPr>
                <w:rFonts w:ascii="Times New Roman" w:eastAsia="Times New Roman" w:hAnsi="Times New Roman" w:cs="Times New Roman"/>
                <w:b/>
                <w:bCs/>
                <w:color w:val="1A1C1E"/>
                <w:kern w:val="0"/>
                <w:szCs w:val="24"/>
                <w:lang w:eastAsia="en-IN"/>
                <w14:ligatures w14:val="none"/>
              </w:rPr>
            </w:pPr>
            <w:r w:rsidRPr="002A11B0">
              <w:rPr>
                <w:rFonts w:ascii="Times New Roman" w:eastAsia="Times New Roman" w:hAnsi="Times New Roman" w:cs="Times New Roman"/>
                <w:b/>
                <w:bCs/>
                <w:color w:val="1A1C1E"/>
                <w:kern w:val="0"/>
                <w:szCs w:val="24"/>
                <w:lang w:eastAsia="en-IN"/>
                <w14:ligatures w14:val="none"/>
              </w:rPr>
              <w:t>Other Taxes and Duties</w:t>
            </w:r>
          </w:p>
        </w:tc>
        <w:tc>
          <w:tcPr>
            <w:tcW w:w="1352" w:type="dxa"/>
            <w:tcBorders>
              <w:top w:val="nil"/>
              <w:left w:val="nil"/>
              <w:bottom w:val="single" w:sz="4" w:space="0" w:color="auto"/>
              <w:right w:val="single" w:sz="4" w:space="0" w:color="auto"/>
            </w:tcBorders>
            <w:shd w:val="clear" w:color="000000" w:fill="FFFFFF"/>
            <w:vAlign w:val="center"/>
            <w:hideMark/>
          </w:tcPr>
          <w:p w14:paraId="2DD3C853" w14:textId="77777777" w:rsidR="002A11B0" w:rsidRPr="002A11B0" w:rsidRDefault="002A11B0" w:rsidP="002A11B0">
            <w:pPr>
              <w:spacing w:after="0" w:line="240" w:lineRule="auto"/>
              <w:ind w:firstLineChars="100" w:firstLine="240"/>
              <w:rPr>
                <w:rFonts w:ascii="Times New Roman" w:eastAsia="Times New Roman" w:hAnsi="Times New Roman" w:cs="Times New Roman"/>
                <w:color w:val="1A1C1E"/>
                <w:kern w:val="0"/>
                <w:szCs w:val="24"/>
                <w:lang w:eastAsia="en-IN"/>
                <w14:ligatures w14:val="none"/>
              </w:rPr>
            </w:pPr>
            <w:r w:rsidRPr="002A11B0">
              <w:rPr>
                <w:rFonts w:ascii="Times New Roman" w:eastAsia="Times New Roman" w:hAnsi="Times New Roman" w:cs="Times New Roman"/>
                <w:color w:val="1A1C1E"/>
                <w:kern w:val="0"/>
                <w:szCs w:val="24"/>
                <w:lang w:eastAsia="en-IN"/>
                <w14:ligatures w14:val="none"/>
              </w:rPr>
              <w:t>24.41</w:t>
            </w:r>
          </w:p>
        </w:tc>
        <w:tc>
          <w:tcPr>
            <w:tcW w:w="1352" w:type="dxa"/>
            <w:tcBorders>
              <w:top w:val="nil"/>
              <w:left w:val="nil"/>
              <w:bottom w:val="single" w:sz="4" w:space="0" w:color="auto"/>
              <w:right w:val="single" w:sz="4" w:space="0" w:color="auto"/>
            </w:tcBorders>
            <w:shd w:val="clear" w:color="000000" w:fill="FFFFFF"/>
            <w:vAlign w:val="center"/>
            <w:hideMark/>
          </w:tcPr>
          <w:p w14:paraId="30B8E7F4" w14:textId="77777777" w:rsidR="002A11B0" w:rsidRPr="002A11B0" w:rsidRDefault="002A11B0" w:rsidP="002A11B0">
            <w:pPr>
              <w:spacing w:after="0" w:line="240" w:lineRule="auto"/>
              <w:ind w:firstLineChars="100" w:firstLine="240"/>
              <w:rPr>
                <w:rFonts w:ascii="Times New Roman" w:eastAsia="Times New Roman" w:hAnsi="Times New Roman" w:cs="Times New Roman"/>
                <w:color w:val="1A1C1E"/>
                <w:kern w:val="0"/>
                <w:szCs w:val="24"/>
                <w:lang w:eastAsia="en-IN"/>
                <w14:ligatures w14:val="none"/>
              </w:rPr>
            </w:pPr>
            <w:r w:rsidRPr="002A11B0">
              <w:rPr>
                <w:rFonts w:ascii="Times New Roman" w:eastAsia="Times New Roman" w:hAnsi="Times New Roman" w:cs="Times New Roman"/>
                <w:color w:val="1A1C1E"/>
                <w:kern w:val="0"/>
                <w:szCs w:val="24"/>
                <w:lang w:eastAsia="en-IN"/>
                <w14:ligatures w14:val="none"/>
              </w:rPr>
              <w:t>26.29</w:t>
            </w:r>
          </w:p>
        </w:tc>
        <w:tc>
          <w:tcPr>
            <w:tcW w:w="1352" w:type="dxa"/>
            <w:tcBorders>
              <w:top w:val="nil"/>
              <w:left w:val="nil"/>
              <w:bottom w:val="single" w:sz="4" w:space="0" w:color="auto"/>
              <w:right w:val="single" w:sz="4" w:space="0" w:color="auto"/>
            </w:tcBorders>
            <w:shd w:val="clear" w:color="000000" w:fill="FFFFFF"/>
            <w:vAlign w:val="center"/>
            <w:hideMark/>
          </w:tcPr>
          <w:p w14:paraId="40A74046" w14:textId="77777777" w:rsidR="002A11B0" w:rsidRPr="002A11B0" w:rsidRDefault="002A11B0" w:rsidP="002A11B0">
            <w:pPr>
              <w:spacing w:after="0" w:line="240" w:lineRule="auto"/>
              <w:ind w:firstLineChars="100" w:firstLine="240"/>
              <w:rPr>
                <w:rFonts w:ascii="Times New Roman" w:eastAsia="Times New Roman" w:hAnsi="Times New Roman" w:cs="Times New Roman"/>
                <w:color w:val="1A1C1E"/>
                <w:kern w:val="0"/>
                <w:szCs w:val="24"/>
                <w:lang w:eastAsia="en-IN"/>
                <w14:ligatures w14:val="none"/>
              </w:rPr>
            </w:pPr>
            <w:r w:rsidRPr="002A11B0">
              <w:rPr>
                <w:rFonts w:ascii="Times New Roman" w:eastAsia="Times New Roman" w:hAnsi="Times New Roman" w:cs="Times New Roman"/>
                <w:color w:val="1A1C1E"/>
                <w:kern w:val="0"/>
                <w:szCs w:val="24"/>
                <w:lang w:eastAsia="en-IN"/>
                <w14:ligatures w14:val="none"/>
              </w:rPr>
              <w:t>45.25</w:t>
            </w:r>
          </w:p>
        </w:tc>
        <w:tc>
          <w:tcPr>
            <w:tcW w:w="1352" w:type="dxa"/>
            <w:tcBorders>
              <w:top w:val="nil"/>
              <w:left w:val="nil"/>
              <w:bottom w:val="single" w:sz="4" w:space="0" w:color="auto"/>
              <w:right w:val="single" w:sz="4" w:space="0" w:color="auto"/>
            </w:tcBorders>
            <w:shd w:val="clear" w:color="000000" w:fill="FFFFFF"/>
            <w:vAlign w:val="center"/>
            <w:hideMark/>
          </w:tcPr>
          <w:p w14:paraId="6B59A5F4" w14:textId="77777777" w:rsidR="002A11B0" w:rsidRPr="002A11B0" w:rsidRDefault="002A11B0" w:rsidP="002A11B0">
            <w:pPr>
              <w:spacing w:after="0" w:line="240" w:lineRule="auto"/>
              <w:ind w:firstLineChars="100" w:firstLine="240"/>
              <w:rPr>
                <w:rFonts w:ascii="Times New Roman" w:eastAsia="Times New Roman" w:hAnsi="Times New Roman" w:cs="Times New Roman"/>
                <w:color w:val="1A1C1E"/>
                <w:kern w:val="0"/>
                <w:szCs w:val="24"/>
                <w:lang w:eastAsia="en-IN"/>
                <w14:ligatures w14:val="none"/>
              </w:rPr>
            </w:pPr>
            <w:r w:rsidRPr="002A11B0">
              <w:rPr>
                <w:rFonts w:ascii="Times New Roman" w:eastAsia="Times New Roman" w:hAnsi="Times New Roman" w:cs="Times New Roman"/>
                <w:color w:val="1A1C1E"/>
                <w:kern w:val="0"/>
                <w:szCs w:val="24"/>
                <w:lang w:eastAsia="en-IN"/>
                <w14:ligatures w14:val="none"/>
              </w:rPr>
              <w:t>117.97</w:t>
            </w:r>
          </w:p>
        </w:tc>
        <w:tc>
          <w:tcPr>
            <w:tcW w:w="1352" w:type="dxa"/>
            <w:tcBorders>
              <w:top w:val="nil"/>
              <w:left w:val="nil"/>
              <w:bottom w:val="single" w:sz="4" w:space="0" w:color="auto"/>
              <w:right w:val="single" w:sz="4" w:space="0" w:color="auto"/>
            </w:tcBorders>
            <w:shd w:val="clear" w:color="000000" w:fill="FFFFFF"/>
            <w:vAlign w:val="center"/>
            <w:hideMark/>
          </w:tcPr>
          <w:p w14:paraId="69406A63" w14:textId="77777777" w:rsidR="002A11B0" w:rsidRPr="002A11B0" w:rsidRDefault="002A11B0" w:rsidP="002A11B0">
            <w:pPr>
              <w:spacing w:after="0" w:line="240" w:lineRule="auto"/>
              <w:ind w:firstLineChars="100" w:firstLine="240"/>
              <w:rPr>
                <w:rFonts w:ascii="Times New Roman" w:eastAsia="Times New Roman" w:hAnsi="Times New Roman" w:cs="Times New Roman"/>
                <w:color w:val="1A1C1E"/>
                <w:kern w:val="0"/>
                <w:szCs w:val="24"/>
                <w:lang w:eastAsia="en-IN"/>
                <w14:ligatures w14:val="none"/>
              </w:rPr>
            </w:pPr>
            <w:r w:rsidRPr="002A11B0">
              <w:rPr>
                <w:rFonts w:ascii="Times New Roman" w:eastAsia="Times New Roman" w:hAnsi="Times New Roman" w:cs="Times New Roman"/>
                <w:color w:val="1A1C1E"/>
                <w:kern w:val="0"/>
                <w:szCs w:val="24"/>
                <w:lang w:eastAsia="en-IN"/>
                <w14:ligatures w14:val="none"/>
              </w:rPr>
              <w:t>137.46</w:t>
            </w:r>
          </w:p>
        </w:tc>
        <w:tc>
          <w:tcPr>
            <w:tcW w:w="1497" w:type="dxa"/>
            <w:tcBorders>
              <w:top w:val="nil"/>
              <w:left w:val="nil"/>
              <w:bottom w:val="single" w:sz="4" w:space="0" w:color="auto"/>
              <w:right w:val="single" w:sz="4" w:space="0" w:color="auto"/>
            </w:tcBorders>
            <w:shd w:val="clear" w:color="000000" w:fill="FFFFFF"/>
            <w:vAlign w:val="center"/>
            <w:hideMark/>
          </w:tcPr>
          <w:p w14:paraId="673E55C4" w14:textId="77777777" w:rsidR="002A11B0" w:rsidRPr="002A11B0" w:rsidRDefault="002A11B0" w:rsidP="002A11B0">
            <w:pPr>
              <w:spacing w:after="0" w:line="240" w:lineRule="auto"/>
              <w:ind w:firstLineChars="100" w:firstLine="240"/>
              <w:rPr>
                <w:rFonts w:ascii="Times New Roman" w:eastAsia="Times New Roman" w:hAnsi="Times New Roman" w:cs="Times New Roman"/>
                <w:color w:val="1A1C1E"/>
                <w:kern w:val="0"/>
                <w:szCs w:val="24"/>
                <w:lang w:eastAsia="en-IN"/>
                <w14:ligatures w14:val="none"/>
              </w:rPr>
            </w:pPr>
            <w:r w:rsidRPr="002A11B0">
              <w:rPr>
                <w:rFonts w:ascii="Times New Roman" w:eastAsia="Times New Roman" w:hAnsi="Times New Roman" w:cs="Times New Roman"/>
                <w:color w:val="1A1C1E"/>
                <w:kern w:val="0"/>
                <w:szCs w:val="24"/>
                <w:lang w:eastAsia="en-IN"/>
                <w14:ligatures w14:val="none"/>
              </w:rPr>
              <w:t>155.4</w:t>
            </w:r>
          </w:p>
        </w:tc>
      </w:tr>
      <w:tr w:rsidR="002A11B0" w:rsidRPr="002A11B0" w14:paraId="1D885A76" w14:textId="77777777" w:rsidTr="002A11B0">
        <w:trPr>
          <w:trHeight w:val="20"/>
          <w:jc w:val="center"/>
        </w:trPr>
        <w:tc>
          <w:tcPr>
            <w:tcW w:w="2104" w:type="dxa"/>
            <w:tcBorders>
              <w:top w:val="nil"/>
              <w:left w:val="single" w:sz="4" w:space="0" w:color="auto"/>
              <w:bottom w:val="single" w:sz="4" w:space="0" w:color="auto"/>
              <w:right w:val="single" w:sz="4" w:space="0" w:color="auto"/>
            </w:tcBorders>
            <w:shd w:val="clear" w:color="000000" w:fill="FFFFFF"/>
            <w:vAlign w:val="center"/>
            <w:hideMark/>
          </w:tcPr>
          <w:p w14:paraId="43274922" w14:textId="77777777" w:rsidR="002A11B0" w:rsidRPr="002A11B0" w:rsidRDefault="002A11B0" w:rsidP="002A11B0">
            <w:pPr>
              <w:spacing w:after="0" w:line="240" w:lineRule="auto"/>
              <w:ind w:firstLineChars="100" w:firstLine="240"/>
              <w:rPr>
                <w:rFonts w:ascii="Times New Roman" w:eastAsia="Times New Roman" w:hAnsi="Times New Roman" w:cs="Times New Roman"/>
                <w:color w:val="1A1C1E"/>
                <w:kern w:val="0"/>
                <w:szCs w:val="24"/>
                <w:lang w:eastAsia="en-IN"/>
                <w14:ligatures w14:val="none"/>
              </w:rPr>
            </w:pPr>
            <w:r w:rsidRPr="002A11B0">
              <w:rPr>
                <w:rFonts w:ascii="Times New Roman" w:eastAsia="Times New Roman" w:hAnsi="Times New Roman" w:cs="Times New Roman"/>
                <w:color w:val="1A1C1E"/>
                <w:kern w:val="0"/>
                <w:szCs w:val="24"/>
                <w:lang w:eastAsia="en-IN"/>
                <w14:ligatures w14:val="none"/>
              </w:rPr>
              <w:t> </w:t>
            </w:r>
          </w:p>
        </w:tc>
        <w:tc>
          <w:tcPr>
            <w:tcW w:w="1352" w:type="dxa"/>
            <w:tcBorders>
              <w:top w:val="nil"/>
              <w:left w:val="nil"/>
              <w:bottom w:val="single" w:sz="4" w:space="0" w:color="auto"/>
              <w:right w:val="single" w:sz="4" w:space="0" w:color="auto"/>
            </w:tcBorders>
            <w:shd w:val="clear" w:color="000000" w:fill="FFFFFF"/>
            <w:vAlign w:val="center"/>
            <w:hideMark/>
          </w:tcPr>
          <w:p w14:paraId="552D85F3" w14:textId="77777777" w:rsidR="002A11B0" w:rsidRPr="002A11B0" w:rsidRDefault="002A11B0" w:rsidP="002A11B0">
            <w:pPr>
              <w:spacing w:after="0" w:line="240" w:lineRule="auto"/>
              <w:ind w:firstLineChars="100" w:firstLine="240"/>
              <w:rPr>
                <w:rFonts w:ascii="Times New Roman" w:eastAsia="Times New Roman" w:hAnsi="Times New Roman" w:cs="Times New Roman"/>
                <w:color w:val="1A1C1E"/>
                <w:kern w:val="0"/>
                <w:szCs w:val="24"/>
                <w:lang w:eastAsia="en-IN"/>
                <w14:ligatures w14:val="none"/>
              </w:rPr>
            </w:pPr>
            <w:r w:rsidRPr="002A11B0">
              <w:rPr>
                <w:rFonts w:ascii="Times New Roman" w:eastAsia="Times New Roman" w:hAnsi="Times New Roman" w:cs="Times New Roman"/>
                <w:color w:val="1A1C1E"/>
                <w:kern w:val="0"/>
                <w:szCs w:val="24"/>
                <w:lang w:eastAsia="en-IN"/>
                <w14:ligatures w14:val="none"/>
              </w:rPr>
              <w:t>(100)</w:t>
            </w:r>
          </w:p>
        </w:tc>
        <w:tc>
          <w:tcPr>
            <w:tcW w:w="1352" w:type="dxa"/>
            <w:tcBorders>
              <w:top w:val="nil"/>
              <w:left w:val="nil"/>
              <w:bottom w:val="single" w:sz="4" w:space="0" w:color="auto"/>
              <w:right w:val="single" w:sz="4" w:space="0" w:color="auto"/>
            </w:tcBorders>
            <w:shd w:val="clear" w:color="000000" w:fill="FFFFFF"/>
            <w:vAlign w:val="center"/>
            <w:hideMark/>
          </w:tcPr>
          <w:p w14:paraId="4E78AAFF" w14:textId="77777777" w:rsidR="002A11B0" w:rsidRPr="002A11B0" w:rsidRDefault="002A11B0" w:rsidP="002A11B0">
            <w:pPr>
              <w:spacing w:after="0" w:line="240" w:lineRule="auto"/>
              <w:ind w:firstLineChars="100" w:firstLine="240"/>
              <w:rPr>
                <w:rFonts w:ascii="Times New Roman" w:eastAsia="Times New Roman" w:hAnsi="Times New Roman" w:cs="Times New Roman"/>
                <w:color w:val="1A1C1E"/>
                <w:kern w:val="0"/>
                <w:szCs w:val="24"/>
                <w:lang w:eastAsia="en-IN"/>
                <w14:ligatures w14:val="none"/>
              </w:rPr>
            </w:pPr>
            <w:r w:rsidRPr="002A11B0">
              <w:rPr>
                <w:rFonts w:ascii="Times New Roman" w:eastAsia="Times New Roman" w:hAnsi="Times New Roman" w:cs="Times New Roman"/>
                <w:color w:val="1A1C1E"/>
                <w:kern w:val="0"/>
                <w:szCs w:val="24"/>
                <w:lang w:eastAsia="en-IN"/>
                <w14:ligatures w14:val="none"/>
              </w:rPr>
              <w:t>(108)</w:t>
            </w:r>
          </w:p>
        </w:tc>
        <w:tc>
          <w:tcPr>
            <w:tcW w:w="1352" w:type="dxa"/>
            <w:tcBorders>
              <w:top w:val="nil"/>
              <w:left w:val="nil"/>
              <w:bottom w:val="single" w:sz="4" w:space="0" w:color="auto"/>
              <w:right w:val="single" w:sz="4" w:space="0" w:color="auto"/>
            </w:tcBorders>
            <w:shd w:val="clear" w:color="000000" w:fill="FFFFFF"/>
            <w:vAlign w:val="center"/>
            <w:hideMark/>
          </w:tcPr>
          <w:p w14:paraId="0644CBD0" w14:textId="77777777" w:rsidR="002A11B0" w:rsidRPr="002A11B0" w:rsidRDefault="002A11B0" w:rsidP="002A11B0">
            <w:pPr>
              <w:spacing w:after="0" w:line="240" w:lineRule="auto"/>
              <w:ind w:firstLineChars="100" w:firstLine="240"/>
              <w:rPr>
                <w:rFonts w:ascii="Times New Roman" w:eastAsia="Times New Roman" w:hAnsi="Times New Roman" w:cs="Times New Roman"/>
                <w:color w:val="1A1C1E"/>
                <w:kern w:val="0"/>
                <w:szCs w:val="24"/>
                <w:lang w:eastAsia="en-IN"/>
                <w14:ligatures w14:val="none"/>
              </w:rPr>
            </w:pPr>
            <w:r w:rsidRPr="002A11B0">
              <w:rPr>
                <w:rFonts w:ascii="Times New Roman" w:eastAsia="Times New Roman" w:hAnsi="Times New Roman" w:cs="Times New Roman"/>
                <w:color w:val="1A1C1E"/>
                <w:kern w:val="0"/>
                <w:szCs w:val="24"/>
                <w:lang w:eastAsia="en-IN"/>
                <w14:ligatures w14:val="none"/>
              </w:rPr>
              <w:t>(185)</w:t>
            </w:r>
          </w:p>
        </w:tc>
        <w:tc>
          <w:tcPr>
            <w:tcW w:w="1352" w:type="dxa"/>
            <w:tcBorders>
              <w:top w:val="nil"/>
              <w:left w:val="nil"/>
              <w:bottom w:val="single" w:sz="4" w:space="0" w:color="auto"/>
              <w:right w:val="single" w:sz="4" w:space="0" w:color="auto"/>
            </w:tcBorders>
            <w:shd w:val="clear" w:color="000000" w:fill="FFFFFF"/>
            <w:vAlign w:val="center"/>
            <w:hideMark/>
          </w:tcPr>
          <w:p w14:paraId="184B8F81" w14:textId="77777777" w:rsidR="002A11B0" w:rsidRPr="002A11B0" w:rsidRDefault="002A11B0" w:rsidP="002A11B0">
            <w:pPr>
              <w:spacing w:after="0" w:line="240" w:lineRule="auto"/>
              <w:ind w:firstLineChars="100" w:firstLine="240"/>
              <w:rPr>
                <w:rFonts w:ascii="Times New Roman" w:eastAsia="Times New Roman" w:hAnsi="Times New Roman" w:cs="Times New Roman"/>
                <w:color w:val="1A1C1E"/>
                <w:kern w:val="0"/>
                <w:szCs w:val="24"/>
                <w:lang w:eastAsia="en-IN"/>
                <w14:ligatures w14:val="none"/>
              </w:rPr>
            </w:pPr>
            <w:r w:rsidRPr="002A11B0">
              <w:rPr>
                <w:rFonts w:ascii="Times New Roman" w:eastAsia="Times New Roman" w:hAnsi="Times New Roman" w:cs="Times New Roman"/>
                <w:color w:val="1A1C1E"/>
                <w:kern w:val="0"/>
                <w:szCs w:val="24"/>
                <w:lang w:eastAsia="en-IN"/>
                <w14:ligatures w14:val="none"/>
              </w:rPr>
              <w:t>(483)</w:t>
            </w:r>
          </w:p>
        </w:tc>
        <w:tc>
          <w:tcPr>
            <w:tcW w:w="1352" w:type="dxa"/>
            <w:tcBorders>
              <w:top w:val="nil"/>
              <w:left w:val="nil"/>
              <w:bottom w:val="single" w:sz="4" w:space="0" w:color="auto"/>
              <w:right w:val="single" w:sz="4" w:space="0" w:color="auto"/>
            </w:tcBorders>
            <w:shd w:val="clear" w:color="000000" w:fill="FFFFFF"/>
            <w:vAlign w:val="center"/>
            <w:hideMark/>
          </w:tcPr>
          <w:p w14:paraId="25CD1065" w14:textId="77777777" w:rsidR="002A11B0" w:rsidRPr="002A11B0" w:rsidRDefault="002A11B0" w:rsidP="002A11B0">
            <w:pPr>
              <w:spacing w:after="0" w:line="240" w:lineRule="auto"/>
              <w:ind w:firstLineChars="100" w:firstLine="240"/>
              <w:rPr>
                <w:rFonts w:ascii="Times New Roman" w:eastAsia="Times New Roman" w:hAnsi="Times New Roman" w:cs="Times New Roman"/>
                <w:color w:val="1A1C1E"/>
                <w:kern w:val="0"/>
                <w:szCs w:val="24"/>
                <w:lang w:eastAsia="en-IN"/>
                <w14:ligatures w14:val="none"/>
              </w:rPr>
            </w:pPr>
            <w:r w:rsidRPr="002A11B0">
              <w:rPr>
                <w:rFonts w:ascii="Times New Roman" w:eastAsia="Times New Roman" w:hAnsi="Times New Roman" w:cs="Times New Roman"/>
                <w:color w:val="1A1C1E"/>
                <w:kern w:val="0"/>
                <w:szCs w:val="24"/>
                <w:lang w:eastAsia="en-IN"/>
                <w14:ligatures w14:val="none"/>
              </w:rPr>
              <w:t>(563)</w:t>
            </w:r>
          </w:p>
        </w:tc>
        <w:tc>
          <w:tcPr>
            <w:tcW w:w="1497" w:type="dxa"/>
            <w:tcBorders>
              <w:top w:val="nil"/>
              <w:left w:val="nil"/>
              <w:bottom w:val="single" w:sz="4" w:space="0" w:color="auto"/>
              <w:right w:val="single" w:sz="4" w:space="0" w:color="auto"/>
            </w:tcBorders>
            <w:shd w:val="clear" w:color="000000" w:fill="FFFFFF"/>
            <w:vAlign w:val="center"/>
            <w:hideMark/>
          </w:tcPr>
          <w:p w14:paraId="46FAC5F0" w14:textId="77777777" w:rsidR="002A11B0" w:rsidRPr="002A11B0" w:rsidRDefault="002A11B0" w:rsidP="002A11B0">
            <w:pPr>
              <w:spacing w:after="0" w:line="240" w:lineRule="auto"/>
              <w:ind w:firstLineChars="100" w:firstLine="240"/>
              <w:rPr>
                <w:rFonts w:ascii="Times New Roman" w:eastAsia="Times New Roman" w:hAnsi="Times New Roman" w:cs="Times New Roman"/>
                <w:color w:val="1A1C1E"/>
                <w:kern w:val="0"/>
                <w:szCs w:val="24"/>
                <w:lang w:eastAsia="en-IN"/>
                <w14:ligatures w14:val="none"/>
              </w:rPr>
            </w:pPr>
            <w:r w:rsidRPr="002A11B0">
              <w:rPr>
                <w:rFonts w:ascii="Times New Roman" w:eastAsia="Times New Roman" w:hAnsi="Times New Roman" w:cs="Times New Roman"/>
                <w:color w:val="1A1C1E"/>
                <w:kern w:val="0"/>
                <w:szCs w:val="24"/>
                <w:lang w:eastAsia="en-IN"/>
                <w14:ligatures w14:val="none"/>
              </w:rPr>
              <w:t>(637)</w:t>
            </w:r>
          </w:p>
        </w:tc>
      </w:tr>
      <w:tr w:rsidR="002A11B0" w:rsidRPr="002A11B0" w14:paraId="477C5465" w14:textId="77777777" w:rsidTr="002A11B0">
        <w:trPr>
          <w:trHeight w:val="20"/>
          <w:jc w:val="center"/>
        </w:trPr>
        <w:tc>
          <w:tcPr>
            <w:tcW w:w="2104" w:type="dxa"/>
            <w:tcBorders>
              <w:top w:val="nil"/>
              <w:left w:val="single" w:sz="4" w:space="0" w:color="auto"/>
              <w:bottom w:val="single" w:sz="4" w:space="0" w:color="auto"/>
              <w:right w:val="single" w:sz="4" w:space="0" w:color="auto"/>
            </w:tcBorders>
            <w:shd w:val="clear" w:color="000000" w:fill="FFFFFF"/>
            <w:vAlign w:val="center"/>
            <w:hideMark/>
          </w:tcPr>
          <w:p w14:paraId="13032548" w14:textId="77777777" w:rsidR="002A11B0" w:rsidRPr="002A11B0" w:rsidRDefault="002A11B0" w:rsidP="002A11B0">
            <w:pPr>
              <w:spacing w:after="0" w:line="240" w:lineRule="auto"/>
              <w:ind w:firstLineChars="100" w:firstLine="241"/>
              <w:rPr>
                <w:rFonts w:ascii="Times New Roman" w:eastAsia="Times New Roman" w:hAnsi="Times New Roman" w:cs="Times New Roman"/>
                <w:b/>
                <w:bCs/>
                <w:color w:val="1A1C1E"/>
                <w:kern w:val="0"/>
                <w:szCs w:val="24"/>
                <w:lang w:eastAsia="en-IN"/>
                <w14:ligatures w14:val="none"/>
              </w:rPr>
            </w:pPr>
            <w:r w:rsidRPr="002A11B0">
              <w:rPr>
                <w:rFonts w:ascii="Times New Roman" w:eastAsia="Times New Roman" w:hAnsi="Times New Roman" w:cs="Times New Roman"/>
                <w:b/>
                <w:bCs/>
                <w:color w:val="1A1C1E"/>
                <w:kern w:val="0"/>
                <w:szCs w:val="24"/>
                <w:lang w:eastAsia="en-IN"/>
                <w14:ligatures w14:val="none"/>
              </w:rPr>
              <w:t>Stamps</w:t>
            </w:r>
          </w:p>
        </w:tc>
        <w:tc>
          <w:tcPr>
            <w:tcW w:w="1352" w:type="dxa"/>
            <w:tcBorders>
              <w:top w:val="nil"/>
              <w:left w:val="nil"/>
              <w:bottom w:val="single" w:sz="4" w:space="0" w:color="auto"/>
              <w:right w:val="single" w:sz="4" w:space="0" w:color="auto"/>
            </w:tcBorders>
            <w:shd w:val="clear" w:color="000000" w:fill="FFFFFF"/>
            <w:vAlign w:val="center"/>
            <w:hideMark/>
          </w:tcPr>
          <w:p w14:paraId="7AB9E869" w14:textId="77777777" w:rsidR="002A11B0" w:rsidRPr="002A11B0" w:rsidRDefault="002A11B0" w:rsidP="002A11B0">
            <w:pPr>
              <w:spacing w:after="0" w:line="240" w:lineRule="auto"/>
              <w:ind w:firstLineChars="100" w:firstLine="240"/>
              <w:rPr>
                <w:rFonts w:ascii="Times New Roman" w:eastAsia="Times New Roman" w:hAnsi="Times New Roman" w:cs="Times New Roman"/>
                <w:color w:val="1A1C1E"/>
                <w:kern w:val="0"/>
                <w:szCs w:val="24"/>
                <w:lang w:eastAsia="en-IN"/>
                <w14:ligatures w14:val="none"/>
              </w:rPr>
            </w:pPr>
            <w:r w:rsidRPr="002A11B0">
              <w:rPr>
                <w:rFonts w:ascii="Times New Roman" w:eastAsia="Times New Roman" w:hAnsi="Times New Roman" w:cs="Times New Roman"/>
                <w:color w:val="1A1C1E"/>
                <w:kern w:val="0"/>
                <w:szCs w:val="24"/>
                <w:lang w:eastAsia="en-IN"/>
                <w14:ligatures w14:val="none"/>
              </w:rPr>
              <w:t>22.17</w:t>
            </w:r>
          </w:p>
        </w:tc>
        <w:tc>
          <w:tcPr>
            <w:tcW w:w="1352" w:type="dxa"/>
            <w:tcBorders>
              <w:top w:val="nil"/>
              <w:left w:val="nil"/>
              <w:bottom w:val="single" w:sz="4" w:space="0" w:color="auto"/>
              <w:right w:val="single" w:sz="4" w:space="0" w:color="auto"/>
            </w:tcBorders>
            <w:shd w:val="clear" w:color="000000" w:fill="FFFFFF"/>
            <w:vAlign w:val="center"/>
            <w:hideMark/>
          </w:tcPr>
          <w:p w14:paraId="4915F942" w14:textId="77777777" w:rsidR="002A11B0" w:rsidRPr="002A11B0" w:rsidRDefault="002A11B0" w:rsidP="002A11B0">
            <w:pPr>
              <w:spacing w:after="0" w:line="240" w:lineRule="auto"/>
              <w:ind w:firstLineChars="100" w:firstLine="240"/>
              <w:rPr>
                <w:rFonts w:ascii="Times New Roman" w:eastAsia="Times New Roman" w:hAnsi="Times New Roman" w:cs="Times New Roman"/>
                <w:color w:val="1A1C1E"/>
                <w:kern w:val="0"/>
                <w:szCs w:val="24"/>
                <w:lang w:eastAsia="en-IN"/>
                <w14:ligatures w14:val="none"/>
              </w:rPr>
            </w:pPr>
            <w:r w:rsidRPr="002A11B0">
              <w:rPr>
                <w:rFonts w:ascii="Times New Roman" w:eastAsia="Times New Roman" w:hAnsi="Times New Roman" w:cs="Times New Roman"/>
                <w:color w:val="1A1C1E"/>
                <w:kern w:val="0"/>
                <w:szCs w:val="24"/>
                <w:lang w:eastAsia="en-IN"/>
                <w14:ligatures w14:val="none"/>
              </w:rPr>
              <w:t>24.3</w:t>
            </w:r>
          </w:p>
        </w:tc>
        <w:tc>
          <w:tcPr>
            <w:tcW w:w="1352" w:type="dxa"/>
            <w:tcBorders>
              <w:top w:val="nil"/>
              <w:left w:val="nil"/>
              <w:bottom w:val="single" w:sz="4" w:space="0" w:color="auto"/>
              <w:right w:val="single" w:sz="4" w:space="0" w:color="auto"/>
            </w:tcBorders>
            <w:shd w:val="clear" w:color="000000" w:fill="FFFFFF"/>
            <w:vAlign w:val="center"/>
            <w:hideMark/>
          </w:tcPr>
          <w:p w14:paraId="6B082F37" w14:textId="77777777" w:rsidR="002A11B0" w:rsidRPr="002A11B0" w:rsidRDefault="002A11B0" w:rsidP="002A11B0">
            <w:pPr>
              <w:spacing w:after="0" w:line="240" w:lineRule="auto"/>
              <w:ind w:firstLineChars="100" w:firstLine="240"/>
              <w:rPr>
                <w:rFonts w:ascii="Times New Roman" w:eastAsia="Times New Roman" w:hAnsi="Times New Roman" w:cs="Times New Roman"/>
                <w:color w:val="1A1C1E"/>
                <w:kern w:val="0"/>
                <w:szCs w:val="24"/>
                <w:lang w:eastAsia="en-IN"/>
                <w14:ligatures w14:val="none"/>
              </w:rPr>
            </w:pPr>
            <w:r w:rsidRPr="002A11B0">
              <w:rPr>
                <w:rFonts w:ascii="Times New Roman" w:eastAsia="Times New Roman" w:hAnsi="Times New Roman" w:cs="Times New Roman"/>
                <w:color w:val="1A1C1E"/>
                <w:kern w:val="0"/>
                <w:szCs w:val="24"/>
                <w:lang w:eastAsia="en-IN"/>
                <w14:ligatures w14:val="none"/>
              </w:rPr>
              <w:t>36.79</w:t>
            </w:r>
          </w:p>
        </w:tc>
        <w:tc>
          <w:tcPr>
            <w:tcW w:w="1352" w:type="dxa"/>
            <w:tcBorders>
              <w:top w:val="nil"/>
              <w:left w:val="nil"/>
              <w:bottom w:val="single" w:sz="4" w:space="0" w:color="auto"/>
              <w:right w:val="single" w:sz="4" w:space="0" w:color="auto"/>
            </w:tcBorders>
            <w:shd w:val="clear" w:color="000000" w:fill="FFFFFF"/>
            <w:vAlign w:val="center"/>
            <w:hideMark/>
          </w:tcPr>
          <w:p w14:paraId="340853CE" w14:textId="77777777" w:rsidR="002A11B0" w:rsidRPr="002A11B0" w:rsidRDefault="002A11B0" w:rsidP="002A11B0">
            <w:pPr>
              <w:spacing w:after="0" w:line="240" w:lineRule="auto"/>
              <w:ind w:firstLineChars="100" w:firstLine="240"/>
              <w:rPr>
                <w:rFonts w:ascii="Times New Roman" w:eastAsia="Times New Roman" w:hAnsi="Times New Roman" w:cs="Times New Roman"/>
                <w:color w:val="1A1C1E"/>
                <w:kern w:val="0"/>
                <w:szCs w:val="24"/>
                <w:lang w:eastAsia="en-IN"/>
                <w14:ligatures w14:val="none"/>
              </w:rPr>
            </w:pPr>
            <w:r w:rsidRPr="002A11B0">
              <w:rPr>
                <w:rFonts w:ascii="Times New Roman" w:eastAsia="Times New Roman" w:hAnsi="Times New Roman" w:cs="Times New Roman"/>
                <w:color w:val="1A1C1E"/>
                <w:kern w:val="0"/>
                <w:szCs w:val="24"/>
                <w:lang w:eastAsia="en-IN"/>
                <w14:ligatures w14:val="none"/>
              </w:rPr>
              <w:t>64.21</w:t>
            </w:r>
          </w:p>
        </w:tc>
        <w:tc>
          <w:tcPr>
            <w:tcW w:w="1352" w:type="dxa"/>
            <w:tcBorders>
              <w:top w:val="nil"/>
              <w:left w:val="nil"/>
              <w:bottom w:val="single" w:sz="4" w:space="0" w:color="auto"/>
              <w:right w:val="single" w:sz="4" w:space="0" w:color="auto"/>
            </w:tcBorders>
            <w:shd w:val="clear" w:color="000000" w:fill="FFFFFF"/>
            <w:vAlign w:val="center"/>
            <w:hideMark/>
          </w:tcPr>
          <w:p w14:paraId="3E83E55F" w14:textId="77777777" w:rsidR="002A11B0" w:rsidRPr="002A11B0" w:rsidRDefault="002A11B0" w:rsidP="002A11B0">
            <w:pPr>
              <w:spacing w:after="0" w:line="240" w:lineRule="auto"/>
              <w:ind w:firstLineChars="100" w:firstLine="240"/>
              <w:rPr>
                <w:rFonts w:ascii="Times New Roman" w:eastAsia="Times New Roman" w:hAnsi="Times New Roman" w:cs="Times New Roman"/>
                <w:color w:val="1A1C1E"/>
                <w:kern w:val="0"/>
                <w:szCs w:val="24"/>
                <w:lang w:eastAsia="en-IN"/>
                <w14:ligatures w14:val="none"/>
              </w:rPr>
            </w:pPr>
            <w:r w:rsidRPr="002A11B0">
              <w:rPr>
                <w:rFonts w:ascii="Times New Roman" w:eastAsia="Times New Roman" w:hAnsi="Times New Roman" w:cs="Times New Roman"/>
                <w:color w:val="1A1C1E"/>
                <w:kern w:val="0"/>
                <w:szCs w:val="24"/>
                <w:lang w:eastAsia="en-IN"/>
                <w14:ligatures w14:val="none"/>
              </w:rPr>
              <w:t>69.34</w:t>
            </w:r>
          </w:p>
        </w:tc>
        <w:tc>
          <w:tcPr>
            <w:tcW w:w="1497" w:type="dxa"/>
            <w:tcBorders>
              <w:top w:val="nil"/>
              <w:left w:val="nil"/>
              <w:bottom w:val="single" w:sz="4" w:space="0" w:color="auto"/>
              <w:right w:val="single" w:sz="4" w:space="0" w:color="auto"/>
            </w:tcBorders>
            <w:shd w:val="clear" w:color="000000" w:fill="FFFFFF"/>
            <w:vAlign w:val="center"/>
            <w:hideMark/>
          </w:tcPr>
          <w:p w14:paraId="650337B0" w14:textId="77777777" w:rsidR="002A11B0" w:rsidRPr="002A11B0" w:rsidRDefault="002A11B0" w:rsidP="002A11B0">
            <w:pPr>
              <w:spacing w:after="0" w:line="240" w:lineRule="auto"/>
              <w:ind w:firstLineChars="100" w:firstLine="240"/>
              <w:rPr>
                <w:rFonts w:ascii="Times New Roman" w:eastAsia="Times New Roman" w:hAnsi="Times New Roman" w:cs="Times New Roman"/>
                <w:color w:val="1A1C1E"/>
                <w:kern w:val="0"/>
                <w:szCs w:val="24"/>
                <w:lang w:eastAsia="en-IN"/>
                <w14:ligatures w14:val="none"/>
              </w:rPr>
            </w:pPr>
            <w:r w:rsidRPr="002A11B0">
              <w:rPr>
                <w:rFonts w:ascii="Times New Roman" w:eastAsia="Times New Roman" w:hAnsi="Times New Roman" w:cs="Times New Roman"/>
                <w:color w:val="1A1C1E"/>
                <w:kern w:val="0"/>
                <w:szCs w:val="24"/>
                <w:lang w:eastAsia="en-IN"/>
                <w14:ligatures w14:val="none"/>
              </w:rPr>
              <w:t>81</w:t>
            </w:r>
          </w:p>
        </w:tc>
      </w:tr>
      <w:tr w:rsidR="002A11B0" w:rsidRPr="002A11B0" w14:paraId="4B01B7CD" w14:textId="77777777" w:rsidTr="002A11B0">
        <w:trPr>
          <w:trHeight w:val="20"/>
          <w:jc w:val="center"/>
        </w:trPr>
        <w:tc>
          <w:tcPr>
            <w:tcW w:w="2104" w:type="dxa"/>
            <w:tcBorders>
              <w:top w:val="nil"/>
              <w:left w:val="single" w:sz="4" w:space="0" w:color="auto"/>
              <w:bottom w:val="single" w:sz="4" w:space="0" w:color="auto"/>
              <w:right w:val="single" w:sz="4" w:space="0" w:color="auto"/>
            </w:tcBorders>
            <w:shd w:val="clear" w:color="000000" w:fill="FFFFFF"/>
            <w:vAlign w:val="center"/>
            <w:hideMark/>
          </w:tcPr>
          <w:p w14:paraId="07BE9165" w14:textId="77777777" w:rsidR="002A11B0" w:rsidRPr="002A11B0" w:rsidRDefault="002A11B0" w:rsidP="002A11B0">
            <w:pPr>
              <w:spacing w:after="0" w:line="240" w:lineRule="auto"/>
              <w:ind w:firstLineChars="100" w:firstLine="240"/>
              <w:rPr>
                <w:rFonts w:ascii="Times New Roman" w:eastAsia="Times New Roman" w:hAnsi="Times New Roman" w:cs="Times New Roman"/>
                <w:color w:val="1A1C1E"/>
                <w:kern w:val="0"/>
                <w:szCs w:val="24"/>
                <w:lang w:eastAsia="en-IN"/>
                <w14:ligatures w14:val="none"/>
              </w:rPr>
            </w:pPr>
            <w:r w:rsidRPr="002A11B0">
              <w:rPr>
                <w:rFonts w:ascii="Times New Roman" w:eastAsia="Times New Roman" w:hAnsi="Times New Roman" w:cs="Times New Roman"/>
                <w:color w:val="1A1C1E"/>
                <w:kern w:val="0"/>
                <w:szCs w:val="24"/>
                <w:lang w:eastAsia="en-IN"/>
                <w14:ligatures w14:val="none"/>
              </w:rPr>
              <w:t> </w:t>
            </w:r>
          </w:p>
        </w:tc>
        <w:tc>
          <w:tcPr>
            <w:tcW w:w="1352" w:type="dxa"/>
            <w:tcBorders>
              <w:top w:val="nil"/>
              <w:left w:val="nil"/>
              <w:bottom w:val="single" w:sz="4" w:space="0" w:color="auto"/>
              <w:right w:val="single" w:sz="4" w:space="0" w:color="auto"/>
            </w:tcBorders>
            <w:shd w:val="clear" w:color="000000" w:fill="FFFFFF"/>
            <w:vAlign w:val="center"/>
            <w:hideMark/>
          </w:tcPr>
          <w:p w14:paraId="34DC75FB" w14:textId="77777777" w:rsidR="002A11B0" w:rsidRPr="002A11B0" w:rsidRDefault="002A11B0" w:rsidP="002A11B0">
            <w:pPr>
              <w:spacing w:after="0" w:line="240" w:lineRule="auto"/>
              <w:ind w:firstLineChars="100" w:firstLine="240"/>
              <w:rPr>
                <w:rFonts w:ascii="Times New Roman" w:eastAsia="Times New Roman" w:hAnsi="Times New Roman" w:cs="Times New Roman"/>
                <w:color w:val="1A1C1E"/>
                <w:kern w:val="0"/>
                <w:szCs w:val="24"/>
                <w:lang w:eastAsia="en-IN"/>
                <w14:ligatures w14:val="none"/>
              </w:rPr>
            </w:pPr>
            <w:r w:rsidRPr="002A11B0">
              <w:rPr>
                <w:rFonts w:ascii="Times New Roman" w:eastAsia="Times New Roman" w:hAnsi="Times New Roman" w:cs="Times New Roman"/>
                <w:color w:val="1A1C1E"/>
                <w:kern w:val="0"/>
                <w:szCs w:val="24"/>
                <w:lang w:eastAsia="en-IN"/>
                <w14:ligatures w14:val="none"/>
              </w:rPr>
              <w:t>(100)</w:t>
            </w:r>
          </w:p>
        </w:tc>
        <w:tc>
          <w:tcPr>
            <w:tcW w:w="1352" w:type="dxa"/>
            <w:tcBorders>
              <w:top w:val="nil"/>
              <w:left w:val="nil"/>
              <w:bottom w:val="single" w:sz="4" w:space="0" w:color="auto"/>
              <w:right w:val="single" w:sz="4" w:space="0" w:color="auto"/>
            </w:tcBorders>
            <w:shd w:val="clear" w:color="000000" w:fill="FFFFFF"/>
            <w:vAlign w:val="center"/>
            <w:hideMark/>
          </w:tcPr>
          <w:p w14:paraId="08A6F10F" w14:textId="77777777" w:rsidR="002A11B0" w:rsidRPr="002A11B0" w:rsidRDefault="002A11B0" w:rsidP="002A11B0">
            <w:pPr>
              <w:spacing w:after="0" w:line="240" w:lineRule="auto"/>
              <w:ind w:firstLineChars="100" w:firstLine="240"/>
              <w:rPr>
                <w:rFonts w:ascii="Times New Roman" w:eastAsia="Times New Roman" w:hAnsi="Times New Roman" w:cs="Times New Roman"/>
                <w:color w:val="1A1C1E"/>
                <w:kern w:val="0"/>
                <w:szCs w:val="24"/>
                <w:lang w:eastAsia="en-IN"/>
                <w14:ligatures w14:val="none"/>
              </w:rPr>
            </w:pPr>
            <w:r w:rsidRPr="002A11B0">
              <w:rPr>
                <w:rFonts w:ascii="Times New Roman" w:eastAsia="Times New Roman" w:hAnsi="Times New Roman" w:cs="Times New Roman"/>
                <w:color w:val="1A1C1E"/>
                <w:kern w:val="0"/>
                <w:szCs w:val="24"/>
                <w:lang w:eastAsia="en-IN"/>
                <w14:ligatures w14:val="none"/>
              </w:rPr>
              <w:t>(110)</w:t>
            </w:r>
          </w:p>
        </w:tc>
        <w:tc>
          <w:tcPr>
            <w:tcW w:w="1352" w:type="dxa"/>
            <w:tcBorders>
              <w:top w:val="nil"/>
              <w:left w:val="nil"/>
              <w:bottom w:val="single" w:sz="4" w:space="0" w:color="auto"/>
              <w:right w:val="single" w:sz="4" w:space="0" w:color="auto"/>
            </w:tcBorders>
            <w:shd w:val="clear" w:color="000000" w:fill="FFFFFF"/>
            <w:vAlign w:val="center"/>
            <w:hideMark/>
          </w:tcPr>
          <w:p w14:paraId="077A7BE2" w14:textId="77777777" w:rsidR="002A11B0" w:rsidRPr="002A11B0" w:rsidRDefault="002A11B0" w:rsidP="002A11B0">
            <w:pPr>
              <w:spacing w:after="0" w:line="240" w:lineRule="auto"/>
              <w:ind w:firstLineChars="100" w:firstLine="240"/>
              <w:rPr>
                <w:rFonts w:ascii="Times New Roman" w:eastAsia="Times New Roman" w:hAnsi="Times New Roman" w:cs="Times New Roman"/>
                <w:color w:val="1A1C1E"/>
                <w:kern w:val="0"/>
                <w:szCs w:val="24"/>
                <w:lang w:eastAsia="en-IN"/>
                <w14:ligatures w14:val="none"/>
              </w:rPr>
            </w:pPr>
            <w:r w:rsidRPr="002A11B0">
              <w:rPr>
                <w:rFonts w:ascii="Times New Roman" w:eastAsia="Times New Roman" w:hAnsi="Times New Roman" w:cs="Times New Roman"/>
                <w:color w:val="1A1C1E"/>
                <w:kern w:val="0"/>
                <w:szCs w:val="24"/>
                <w:lang w:eastAsia="en-IN"/>
                <w14:ligatures w14:val="none"/>
              </w:rPr>
              <w:t>(166)</w:t>
            </w:r>
          </w:p>
        </w:tc>
        <w:tc>
          <w:tcPr>
            <w:tcW w:w="1352" w:type="dxa"/>
            <w:tcBorders>
              <w:top w:val="nil"/>
              <w:left w:val="nil"/>
              <w:bottom w:val="single" w:sz="4" w:space="0" w:color="auto"/>
              <w:right w:val="single" w:sz="4" w:space="0" w:color="auto"/>
            </w:tcBorders>
            <w:shd w:val="clear" w:color="000000" w:fill="FFFFFF"/>
            <w:vAlign w:val="center"/>
            <w:hideMark/>
          </w:tcPr>
          <w:p w14:paraId="00EF3FC2" w14:textId="77777777" w:rsidR="002A11B0" w:rsidRPr="002A11B0" w:rsidRDefault="002A11B0" w:rsidP="002A11B0">
            <w:pPr>
              <w:spacing w:after="0" w:line="240" w:lineRule="auto"/>
              <w:ind w:firstLineChars="100" w:firstLine="240"/>
              <w:rPr>
                <w:rFonts w:ascii="Times New Roman" w:eastAsia="Times New Roman" w:hAnsi="Times New Roman" w:cs="Times New Roman"/>
                <w:color w:val="1A1C1E"/>
                <w:kern w:val="0"/>
                <w:szCs w:val="24"/>
                <w:lang w:eastAsia="en-IN"/>
                <w14:ligatures w14:val="none"/>
              </w:rPr>
            </w:pPr>
            <w:r w:rsidRPr="002A11B0">
              <w:rPr>
                <w:rFonts w:ascii="Times New Roman" w:eastAsia="Times New Roman" w:hAnsi="Times New Roman" w:cs="Times New Roman"/>
                <w:color w:val="1A1C1E"/>
                <w:kern w:val="0"/>
                <w:szCs w:val="24"/>
                <w:lang w:eastAsia="en-IN"/>
                <w14:ligatures w14:val="none"/>
              </w:rPr>
              <w:t>(290)</w:t>
            </w:r>
          </w:p>
        </w:tc>
        <w:tc>
          <w:tcPr>
            <w:tcW w:w="1352" w:type="dxa"/>
            <w:tcBorders>
              <w:top w:val="nil"/>
              <w:left w:val="nil"/>
              <w:bottom w:val="single" w:sz="4" w:space="0" w:color="auto"/>
              <w:right w:val="single" w:sz="4" w:space="0" w:color="auto"/>
            </w:tcBorders>
            <w:shd w:val="clear" w:color="000000" w:fill="FFFFFF"/>
            <w:vAlign w:val="center"/>
            <w:hideMark/>
          </w:tcPr>
          <w:p w14:paraId="756DA0DB" w14:textId="77777777" w:rsidR="002A11B0" w:rsidRPr="002A11B0" w:rsidRDefault="002A11B0" w:rsidP="002A11B0">
            <w:pPr>
              <w:spacing w:after="0" w:line="240" w:lineRule="auto"/>
              <w:ind w:firstLineChars="100" w:firstLine="240"/>
              <w:rPr>
                <w:rFonts w:ascii="Times New Roman" w:eastAsia="Times New Roman" w:hAnsi="Times New Roman" w:cs="Times New Roman"/>
                <w:color w:val="1A1C1E"/>
                <w:kern w:val="0"/>
                <w:szCs w:val="24"/>
                <w:lang w:eastAsia="en-IN"/>
                <w14:ligatures w14:val="none"/>
              </w:rPr>
            </w:pPr>
            <w:r w:rsidRPr="002A11B0">
              <w:rPr>
                <w:rFonts w:ascii="Times New Roman" w:eastAsia="Times New Roman" w:hAnsi="Times New Roman" w:cs="Times New Roman"/>
                <w:color w:val="1A1C1E"/>
                <w:kern w:val="0"/>
                <w:szCs w:val="24"/>
                <w:lang w:eastAsia="en-IN"/>
                <w14:ligatures w14:val="none"/>
              </w:rPr>
              <w:t>(313)</w:t>
            </w:r>
          </w:p>
        </w:tc>
        <w:tc>
          <w:tcPr>
            <w:tcW w:w="1497" w:type="dxa"/>
            <w:tcBorders>
              <w:top w:val="nil"/>
              <w:left w:val="nil"/>
              <w:bottom w:val="single" w:sz="4" w:space="0" w:color="auto"/>
              <w:right w:val="single" w:sz="4" w:space="0" w:color="auto"/>
            </w:tcBorders>
            <w:shd w:val="clear" w:color="000000" w:fill="FFFFFF"/>
            <w:vAlign w:val="center"/>
            <w:hideMark/>
          </w:tcPr>
          <w:p w14:paraId="09C0F849" w14:textId="77777777" w:rsidR="002A11B0" w:rsidRPr="002A11B0" w:rsidRDefault="002A11B0" w:rsidP="002A11B0">
            <w:pPr>
              <w:spacing w:after="0" w:line="240" w:lineRule="auto"/>
              <w:ind w:firstLineChars="100" w:firstLine="240"/>
              <w:rPr>
                <w:rFonts w:ascii="Times New Roman" w:eastAsia="Times New Roman" w:hAnsi="Times New Roman" w:cs="Times New Roman"/>
                <w:color w:val="1A1C1E"/>
                <w:kern w:val="0"/>
                <w:szCs w:val="24"/>
                <w:lang w:eastAsia="en-IN"/>
                <w14:ligatures w14:val="none"/>
              </w:rPr>
            </w:pPr>
            <w:r w:rsidRPr="002A11B0">
              <w:rPr>
                <w:rFonts w:ascii="Times New Roman" w:eastAsia="Times New Roman" w:hAnsi="Times New Roman" w:cs="Times New Roman"/>
                <w:color w:val="1A1C1E"/>
                <w:kern w:val="0"/>
                <w:szCs w:val="24"/>
                <w:lang w:eastAsia="en-IN"/>
                <w14:ligatures w14:val="none"/>
              </w:rPr>
              <w:t>(365)</w:t>
            </w:r>
          </w:p>
        </w:tc>
      </w:tr>
      <w:tr w:rsidR="002A11B0" w:rsidRPr="002A11B0" w14:paraId="7915E31D" w14:textId="77777777" w:rsidTr="002A11B0">
        <w:trPr>
          <w:trHeight w:val="20"/>
          <w:jc w:val="center"/>
        </w:trPr>
        <w:tc>
          <w:tcPr>
            <w:tcW w:w="2104" w:type="dxa"/>
            <w:tcBorders>
              <w:top w:val="nil"/>
              <w:left w:val="single" w:sz="4" w:space="0" w:color="auto"/>
              <w:bottom w:val="single" w:sz="4" w:space="0" w:color="auto"/>
              <w:right w:val="single" w:sz="4" w:space="0" w:color="auto"/>
            </w:tcBorders>
            <w:shd w:val="clear" w:color="000000" w:fill="FFFFFF"/>
            <w:vAlign w:val="center"/>
            <w:hideMark/>
          </w:tcPr>
          <w:p w14:paraId="1BF4FE8E" w14:textId="77777777" w:rsidR="002A11B0" w:rsidRPr="002A11B0" w:rsidRDefault="002A11B0" w:rsidP="002A11B0">
            <w:pPr>
              <w:spacing w:after="0" w:line="240" w:lineRule="auto"/>
              <w:ind w:firstLineChars="100" w:firstLine="241"/>
              <w:rPr>
                <w:rFonts w:ascii="Times New Roman" w:eastAsia="Times New Roman" w:hAnsi="Times New Roman" w:cs="Times New Roman"/>
                <w:b/>
                <w:bCs/>
                <w:color w:val="1A1C1E"/>
                <w:kern w:val="0"/>
                <w:szCs w:val="24"/>
                <w:lang w:eastAsia="en-IN"/>
                <w14:ligatures w14:val="none"/>
              </w:rPr>
            </w:pPr>
            <w:r w:rsidRPr="002A11B0">
              <w:rPr>
                <w:rFonts w:ascii="Times New Roman" w:eastAsia="Times New Roman" w:hAnsi="Times New Roman" w:cs="Times New Roman"/>
                <w:b/>
                <w:bCs/>
                <w:color w:val="1A1C1E"/>
                <w:kern w:val="0"/>
                <w:szCs w:val="24"/>
                <w:lang w:eastAsia="en-IN"/>
                <w14:ligatures w14:val="none"/>
              </w:rPr>
              <w:t>Registration</w:t>
            </w:r>
          </w:p>
        </w:tc>
        <w:tc>
          <w:tcPr>
            <w:tcW w:w="1352" w:type="dxa"/>
            <w:tcBorders>
              <w:top w:val="nil"/>
              <w:left w:val="nil"/>
              <w:bottom w:val="single" w:sz="4" w:space="0" w:color="auto"/>
              <w:right w:val="single" w:sz="4" w:space="0" w:color="auto"/>
            </w:tcBorders>
            <w:shd w:val="clear" w:color="000000" w:fill="FFFFFF"/>
            <w:vAlign w:val="center"/>
            <w:hideMark/>
          </w:tcPr>
          <w:p w14:paraId="20D64137" w14:textId="77777777" w:rsidR="002A11B0" w:rsidRPr="002A11B0" w:rsidRDefault="002A11B0" w:rsidP="002A11B0">
            <w:pPr>
              <w:spacing w:after="0" w:line="240" w:lineRule="auto"/>
              <w:ind w:firstLineChars="100" w:firstLine="240"/>
              <w:rPr>
                <w:rFonts w:ascii="Times New Roman" w:eastAsia="Times New Roman" w:hAnsi="Times New Roman" w:cs="Times New Roman"/>
                <w:color w:val="1A1C1E"/>
                <w:kern w:val="0"/>
                <w:szCs w:val="24"/>
                <w:lang w:eastAsia="en-IN"/>
                <w14:ligatures w14:val="none"/>
              </w:rPr>
            </w:pPr>
            <w:r w:rsidRPr="002A11B0">
              <w:rPr>
                <w:rFonts w:ascii="Times New Roman" w:eastAsia="Times New Roman" w:hAnsi="Times New Roman" w:cs="Times New Roman"/>
                <w:color w:val="1A1C1E"/>
                <w:kern w:val="0"/>
                <w:szCs w:val="24"/>
                <w:lang w:eastAsia="en-IN"/>
                <w14:ligatures w14:val="none"/>
              </w:rPr>
              <w:t>3.84</w:t>
            </w:r>
          </w:p>
        </w:tc>
        <w:tc>
          <w:tcPr>
            <w:tcW w:w="1352" w:type="dxa"/>
            <w:tcBorders>
              <w:top w:val="nil"/>
              <w:left w:val="nil"/>
              <w:bottom w:val="single" w:sz="4" w:space="0" w:color="auto"/>
              <w:right w:val="single" w:sz="4" w:space="0" w:color="auto"/>
            </w:tcBorders>
            <w:shd w:val="clear" w:color="000000" w:fill="FFFFFF"/>
            <w:vAlign w:val="center"/>
            <w:hideMark/>
          </w:tcPr>
          <w:p w14:paraId="5690943A" w14:textId="77777777" w:rsidR="002A11B0" w:rsidRPr="002A11B0" w:rsidRDefault="002A11B0" w:rsidP="002A11B0">
            <w:pPr>
              <w:spacing w:after="0" w:line="240" w:lineRule="auto"/>
              <w:ind w:firstLineChars="100" w:firstLine="240"/>
              <w:rPr>
                <w:rFonts w:ascii="Times New Roman" w:eastAsia="Times New Roman" w:hAnsi="Times New Roman" w:cs="Times New Roman"/>
                <w:color w:val="1A1C1E"/>
                <w:kern w:val="0"/>
                <w:szCs w:val="24"/>
                <w:lang w:eastAsia="en-IN"/>
                <w14:ligatures w14:val="none"/>
              </w:rPr>
            </w:pPr>
            <w:r w:rsidRPr="002A11B0">
              <w:rPr>
                <w:rFonts w:ascii="Times New Roman" w:eastAsia="Times New Roman" w:hAnsi="Times New Roman" w:cs="Times New Roman"/>
                <w:color w:val="1A1C1E"/>
                <w:kern w:val="0"/>
                <w:szCs w:val="24"/>
                <w:lang w:eastAsia="en-IN"/>
                <w14:ligatures w14:val="none"/>
              </w:rPr>
              <w:t>3.92</w:t>
            </w:r>
          </w:p>
        </w:tc>
        <w:tc>
          <w:tcPr>
            <w:tcW w:w="1352" w:type="dxa"/>
            <w:tcBorders>
              <w:top w:val="nil"/>
              <w:left w:val="nil"/>
              <w:bottom w:val="single" w:sz="4" w:space="0" w:color="auto"/>
              <w:right w:val="single" w:sz="4" w:space="0" w:color="auto"/>
            </w:tcBorders>
            <w:shd w:val="clear" w:color="000000" w:fill="FFFFFF"/>
            <w:vAlign w:val="center"/>
            <w:hideMark/>
          </w:tcPr>
          <w:p w14:paraId="03934639" w14:textId="77777777" w:rsidR="002A11B0" w:rsidRPr="002A11B0" w:rsidRDefault="002A11B0" w:rsidP="002A11B0">
            <w:pPr>
              <w:spacing w:after="0" w:line="240" w:lineRule="auto"/>
              <w:ind w:firstLineChars="100" w:firstLine="240"/>
              <w:rPr>
                <w:rFonts w:ascii="Times New Roman" w:eastAsia="Times New Roman" w:hAnsi="Times New Roman" w:cs="Times New Roman"/>
                <w:color w:val="1A1C1E"/>
                <w:kern w:val="0"/>
                <w:szCs w:val="24"/>
                <w:lang w:eastAsia="en-IN"/>
                <w14:ligatures w14:val="none"/>
              </w:rPr>
            </w:pPr>
            <w:r w:rsidRPr="002A11B0">
              <w:rPr>
                <w:rFonts w:ascii="Times New Roman" w:eastAsia="Times New Roman" w:hAnsi="Times New Roman" w:cs="Times New Roman"/>
                <w:color w:val="1A1C1E"/>
                <w:kern w:val="0"/>
                <w:szCs w:val="24"/>
                <w:lang w:eastAsia="en-IN"/>
                <w14:ligatures w14:val="none"/>
              </w:rPr>
              <w:t>6.73</w:t>
            </w:r>
          </w:p>
        </w:tc>
        <w:tc>
          <w:tcPr>
            <w:tcW w:w="1352" w:type="dxa"/>
            <w:tcBorders>
              <w:top w:val="nil"/>
              <w:left w:val="nil"/>
              <w:bottom w:val="single" w:sz="4" w:space="0" w:color="auto"/>
              <w:right w:val="single" w:sz="4" w:space="0" w:color="auto"/>
            </w:tcBorders>
            <w:shd w:val="clear" w:color="000000" w:fill="FFFFFF"/>
            <w:vAlign w:val="center"/>
            <w:hideMark/>
          </w:tcPr>
          <w:p w14:paraId="43F9A151" w14:textId="77777777" w:rsidR="002A11B0" w:rsidRPr="002A11B0" w:rsidRDefault="002A11B0" w:rsidP="002A11B0">
            <w:pPr>
              <w:spacing w:after="0" w:line="240" w:lineRule="auto"/>
              <w:ind w:firstLineChars="100" w:firstLine="240"/>
              <w:rPr>
                <w:rFonts w:ascii="Times New Roman" w:eastAsia="Times New Roman" w:hAnsi="Times New Roman" w:cs="Times New Roman"/>
                <w:color w:val="1A1C1E"/>
                <w:kern w:val="0"/>
                <w:szCs w:val="24"/>
                <w:lang w:eastAsia="en-IN"/>
                <w14:ligatures w14:val="none"/>
              </w:rPr>
            </w:pPr>
            <w:r w:rsidRPr="002A11B0">
              <w:rPr>
                <w:rFonts w:ascii="Times New Roman" w:eastAsia="Times New Roman" w:hAnsi="Times New Roman" w:cs="Times New Roman"/>
                <w:color w:val="1A1C1E"/>
                <w:kern w:val="0"/>
                <w:szCs w:val="24"/>
                <w:lang w:eastAsia="en-IN"/>
                <w14:ligatures w14:val="none"/>
              </w:rPr>
              <w:t>11.56</w:t>
            </w:r>
          </w:p>
        </w:tc>
        <w:tc>
          <w:tcPr>
            <w:tcW w:w="1352" w:type="dxa"/>
            <w:tcBorders>
              <w:top w:val="nil"/>
              <w:left w:val="nil"/>
              <w:bottom w:val="single" w:sz="4" w:space="0" w:color="auto"/>
              <w:right w:val="single" w:sz="4" w:space="0" w:color="auto"/>
            </w:tcBorders>
            <w:shd w:val="clear" w:color="000000" w:fill="FFFFFF"/>
            <w:vAlign w:val="center"/>
            <w:hideMark/>
          </w:tcPr>
          <w:p w14:paraId="5AAE8B7F" w14:textId="77777777" w:rsidR="002A11B0" w:rsidRPr="002A11B0" w:rsidRDefault="002A11B0" w:rsidP="002A11B0">
            <w:pPr>
              <w:spacing w:after="0" w:line="240" w:lineRule="auto"/>
              <w:ind w:firstLineChars="100" w:firstLine="240"/>
              <w:rPr>
                <w:rFonts w:ascii="Times New Roman" w:eastAsia="Times New Roman" w:hAnsi="Times New Roman" w:cs="Times New Roman"/>
                <w:color w:val="1A1C1E"/>
                <w:kern w:val="0"/>
                <w:szCs w:val="24"/>
                <w:lang w:eastAsia="en-IN"/>
                <w14:ligatures w14:val="none"/>
              </w:rPr>
            </w:pPr>
            <w:r w:rsidRPr="002A11B0">
              <w:rPr>
                <w:rFonts w:ascii="Times New Roman" w:eastAsia="Times New Roman" w:hAnsi="Times New Roman" w:cs="Times New Roman"/>
                <w:color w:val="1A1C1E"/>
                <w:kern w:val="0"/>
                <w:szCs w:val="24"/>
                <w:lang w:eastAsia="en-IN"/>
                <w14:ligatures w14:val="none"/>
              </w:rPr>
              <w:t>13.17</w:t>
            </w:r>
          </w:p>
        </w:tc>
        <w:tc>
          <w:tcPr>
            <w:tcW w:w="1497" w:type="dxa"/>
            <w:tcBorders>
              <w:top w:val="nil"/>
              <w:left w:val="nil"/>
              <w:bottom w:val="single" w:sz="4" w:space="0" w:color="auto"/>
              <w:right w:val="single" w:sz="4" w:space="0" w:color="auto"/>
            </w:tcBorders>
            <w:shd w:val="clear" w:color="000000" w:fill="FFFFFF"/>
            <w:vAlign w:val="center"/>
            <w:hideMark/>
          </w:tcPr>
          <w:p w14:paraId="752A76A1" w14:textId="77777777" w:rsidR="002A11B0" w:rsidRPr="002A11B0" w:rsidRDefault="002A11B0" w:rsidP="002A11B0">
            <w:pPr>
              <w:spacing w:after="0" w:line="240" w:lineRule="auto"/>
              <w:ind w:firstLineChars="100" w:firstLine="240"/>
              <w:rPr>
                <w:rFonts w:ascii="Times New Roman" w:eastAsia="Times New Roman" w:hAnsi="Times New Roman" w:cs="Times New Roman"/>
                <w:color w:val="1A1C1E"/>
                <w:kern w:val="0"/>
                <w:szCs w:val="24"/>
                <w:lang w:eastAsia="en-IN"/>
                <w14:ligatures w14:val="none"/>
              </w:rPr>
            </w:pPr>
            <w:r w:rsidRPr="002A11B0">
              <w:rPr>
                <w:rFonts w:ascii="Times New Roman" w:eastAsia="Times New Roman" w:hAnsi="Times New Roman" w:cs="Times New Roman"/>
                <w:color w:val="1A1C1E"/>
                <w:kern w:val="0"/>
                <w:szCs w:val="24"/>
                <w:lang w:eastAsia="en-IN"/>
                <w14:ligatures w14:val="none"/>
              </w:rPr>
              <w:t>15.22</w:t>
            </w:r>
          </w:p>
        </w:tc>
      </w:tr>
      <w:tr w:rsidR="002A11B0" w:rsidRPr="002A11B0" w14:paraId="5EE86137" w14:textId="77777777" w:rsidTr="002A11B0">
        <w:trPr>
          <w:trHeight w:val="20"/>
          <w:jc w:val="center"/>
        </w:trPr>
        <w:tc>
          <w:tcPr>
            <w:tcW w:w="2104" w:type="dxa"/>
            <w:tcBorders>
              <w:top w:val="nil"/>
              <w:left w:val="single" w:sz="4" w:space="0" w:color="auto"/>
              <w:bottom w:val="single" w:sz="4" w:space="0" w:color="auto"/>
              <w:right w:val="single" w:sz="4" w:space="0" w:color="auto"/>
            </w:tcBorders>
            <w:shd w:val="clear" w:color="000000" w:fill="FFFFFF"/>
            <w:vAlign w:val="center"/>
            <w:hideMark/>
          </w:tcPr>
          <w:p w14:paraId="57B6CDA3" w14:textId="77777777" w:rsidR="002A11B0" w:rsidRPr="002A11B0" w:rsidRDefault="002A11B0" w:rsidP="002A11B0">
            <w:pPr>
              <w:spacing w:after="0" w:line="240" w:lineRule="auto"/>
              <w:ind w:firstLineChars="100" w:firstLine="240"/>
              <w:rPr>
                <w:rFonts w:ascii="Times New Roman" w:eastAsia="Times New Roman" w:hAnsi="Times New Roman" w:cs="Times New Roman"/>
                <w:color w:val="1A1C1E"/>
                <w:kern w:val="0"/>
                <w:szCs w:val="24"/>
                <w:lang w:eastAsia="en-IN"/>
                <w14:ligatures w14:val="none"/>
              </w:rPr>
            </w:pPr>
            <w:r w:rsidRPr="002A11B0">
              <w:rPr>
                <w:rFonts w:ascii="Times New Roman" w:eastAsia="Times New Roman" w:hAnsi="Times New Roman" w:cs="Times New Roman"/>
                <w:color w:val="1A1C1E"/>
                <w:kern w:val="0"/>
                <w:szCs w:val="24"/>
                <w:lang w:eastAsia="en-IN"/>
                <w14:ligatures w14:val="none"/>
              </w:rPr>
              <w:t> </w:t>
            </w:r>
          </w:p>
        </w:tc>
        <w:tc>
          <w:tcPr>
            <w:tcW w:w="1352" w:type="dxa"/>
            <w:tcBorders>
              <w:top w:val="nil"/>
              <w:left w:val="nil"/>
              <w:bottom w:val="single" w:sz="4" w:space="0" w:color="auto"/>
              <w:right w:val="single" w:sz="4" w:space="0" w:color="auto"/>
            </w:tcBorders>
            <w:shd w:val="clear" w:color="000000" w:fill="FFFFFF"/>
            <w:vAlign w:val="center"/>
            <w:hideMark/>
          </w:tcPr>
          <w:p w14:paraId="1AFBDB08" w14:textId="77777777" w:rsidR="002A11B0" w:rsidRPr="002A11B0" w:rsidRDefault="002A11B0" w:rsidP="002A11B0">
            <w:pPr>
              <w:spacing w:after="0" w:line="240" w:lineRule="auto"/>
              <w:ind w:firstLineChars="100" w:firstLine="240"/>
              <w:rPr>
                <w:rFonts w:ascii="Times New Roman" w:eastAsia="Times New Roman" w:hAnsi="Times New Roman" w:cs="Times New Roman"/>
                <w:color w:val="1A1C1E"/>
                <w:kern w:val="0"/>
                <w:szCs w:val="24"/>
                <w:lang w:eastAsia="en-IN"/>
                <w14:ligatures w14:val="none"/>
              </w:rPr>
            </w:pPr>
            <w:r w:rsidRPr="002A11B0">
              <w:rPr>
                <w:rFonts w:ascii="Times New Roman" w:eastAsia="Times New Roman" w:hAnsi="Times New Roman" w:cs="Times New Roman"/>
                <w:color w:val="1A1C1E"/>
                <w:kern w:val="0"/>
                <w:szCs w:val="24"/>
                <w:lang w:eastAsia="en-IN"/>
                <w14:ligatures w14:val="none"/>
              </w:rPr>
              <w:t>(100)</w:t>
            </w:r>
          </w:p>
        </w:tc>
        <w:tc>
          <w:tcPr>
            <w:tcW w:w="1352" w:type="dxa"/>
            <w:tcBorders>
              <w:top w:val="nil"/>
              <w:left w:val="nil"/>
              <w:bottom w:val="single" w:sz="4" w:space="0" w:color="auto"/>
              <w:right w:val="single" w:sz="4" w:space="0" w:color="auto"/>
            </w:tcBorders>
            <w:shd w:val="clear" w:color="000000" w:fill="FFFFFF"/>
            <w:vAlign w:val="center"/>
            <w:hideMark/>
          </w:tcPr>
          <w:p w14:paraId="4B0E7C33" w14:textId="77777777" w:rsidR="002A11B0" w:rsidRPr="002A11B0" w:rsidRDefault="002A11B0" w:rsidP="002A11B0">
            <w:pPr>
              <w:spacing w:after="0" w:line="240" w:lineRule="auto"/>
              <w:ind w:firstLineChars="100" w:firstLine="240"/>
              <w:rPr>
                <w:rFonts w:ascii="Times New Roman" w:eastAsia="Times New Roman" w:hAnsi="Times New Roman" w:cs="Times New Roman"/>
                <w:color w:val="1A1C1E"/>
                <w:kern w:val="0"/>
                <w:szCs w:val="24"/>
                <w:lang w:eastAsia="en-IN"/>
                <w14:ligatures w14:val="none"/>
              </w:rPr>
            </w:pPr>
            <w:r w:rsidRPr="002A11B0">
              <w:rPr>
                <w:rFonts w:ascii="Times New Roman" w:eastAsia="Times New Roman" w:hAnsi="Times New Roman" w:cs="Times New Roman"/>
                <w:color w:val="1A1C1E"/>
                <w:kern w:val="0"/>
                <w:szCs w:val="24"/>
                <w:lang w:eastAsia="en-IN"/>
                <w14:ligatures w14:val="none"/>
              </w:rPr>
              <w:t>(102)</w:t>
            </w:r>
          </w:p>
        </w:tc>
        <w:tc>
          <w:tcPr>
            <w:tcW w:w="1352" w:type="dxa"/>
            <w:tcBorders>
              <w:top w:val="nil"/>
              <w:left w:val="nil"/>
              <w:bottom w:val="single" w:sz="4" w:space="0" w:color="auto"/>
              <w:right w:val="single" w:sz="4" w:space="0" w:color="auto"/>
            </w:tcBorders>
            <w:shd w:val="clear" w:color="000000" w:fill="FFFFFF"/>
            <w:vAlign w:val="center"/>
            <w:hideMark/>
          </w:tcPr>
          <w:p w14:paraId="05BF9682" w14:textId="77777777" w:rsidR="002A11B0" w:rsidRPr="002A11B0" w:rsidRDefault="002A11B0" w:rsidP="002A11B0">
            <w:pPr>
              <w:spacing w:after="0" w:line="240" w:lineRule="auto"/>
              <w:ind w:firstLineChars="100" w:firstLine="240"/>
              <w:rPr>
                <w:rFonts w:ascii="Times New Roman" w:eastAsia="Times New Roman" w:hAnsi="Times New Roman" w:cs="Times New Roman"/>
                <w:color w:val="1A1C1E"/>
                <w:kern w:val="0"/>
                <w:szCs w:val="24"/>
                <w:lang w:eastAsia="en-IN"/>
                <w14:ligatures w14:val="none"/>
              </w:rPr>
            </w:pPr>
            <w:r w:rsidRPr="002A11B0">
              <w:rPr>
                <w:rFonts w:ascii="Times New Roman" w:eastAsia="Times New Roman" w:hAnsi="Times New Roman" w:cs="Times New Roman"/>
                <w:color w:val="1A1C1E"/>
                <w:kern w:val="0"/>
                <w:szCs w:val="24"/>
                <w:lang w:eastAsia="en-IN"/>
                <w14:ligatures w14:val="none"/>
              </w:rPr>
              <w:t>(175)</w:t>
            </w:r>
          </w:p>
        </w:tc>
        <w:tc>
          <w:tcPr>
            <w:tcW w:w="1352" w:type="dxa"/>
            <w:tcBorders>
              <w:top w:val="nil"/>
              <w:left w:val="nil"/>
              <w:bottom w:val="single" w:sz="4" w:space="0" w:color="auto"/>
              <w:right w:val="single" w:sz="4" w:space="0" w:color="auto"/>
            </w:tcBorders>
            <w:shd w:val="clear" w:color="000000" w:fill="FFFFFF"/>
            <w:vAlign w:val="center"/>
            <w:hideMark/>
          </w:tcPr>
          <w:p w14:paraId="21FDB4DF" w14:textId="77777777" w:rsidR="002A11B0" w:rsidRPr="002A11B0" w:rsidRDefault="002A11B0" w:rsidP="002A11B0">
            <w:pPr>
              <w:spacing w:after="0" w:line="240" w:lineRule="auto"/>
              <w:ind w:firstLineChars="100" w:firstLine="240"/>
              <w:rPr>
                <w:rFonts w:ascii="Times New Roman" w:eastAsia="Times New Roman" w:hAnsi="Times New Roman" w:cs="Times New Roman"/>
                <w:color w:val="1A1C1E"/>
                <w:kern w:val="0"/>
                <w:szCs w:val="24"/>
                <w:lang w:eastAsia="en-IN"/>
                <w14:ligatures w14:val="none"/>
              </w:rPr>
            </w:pPr>
            <w:r w:rsidRPr="002A11B0">
              <w:rPr>
                <w:rFonts w:ascii="Times New Roman" w:eastAsia="Times New Roman" w:hAnsi="Times New Roman" w:cs="Times New Roman"/>
                <w:color w:val="1A1C1E"/>
                <w:kern w:val="0"/>
                <w:szCs w:val="24"/>
                <w:lang w:eastAsia="en-IN"/>
                <w14:ligatures w14:val="none"/>
              </w:rPr>
              <w:t>(301)</w:t>
            </w:r>
          </w:p>
        </w:tc>
        <w:tc>
          <w:tcPr>
            <w:tcW w:w="1352" w:type="dxa"/>
            <w:tcBorders>
              <w:top w:val="nil"/>
              <w:left w:val="nil"/>
              <w:bottom w:val="single" w:sz="4" w:space="0" w:color="auto"/>
              <w:right w:val="single" w:sz="4" w:space="0" w:color="auto"/>
            </w:tcBorders>
            <w:shd w:val="clear" w:color="000000" w:fill="FFFFFF"/>
            <w:vAlign w:val="center"/>
            <w:hideMark/>
          </w:tcPr>
          <w:p w14:paraId="1D1098F8" w14:textId="77777777" w:rsidR="002A11B0" w:rsidRPr="002A11B0" w:rsidRDefault="002A11B0" w:rsidP="002A11B0">
            <w:pPr>
              <w:spacing w:after="0" w:line="240" w:lineRule="auto"/>
              <w:ind w:firstLineChars="100" w:firstLine="240"/>
              <w:rPr>
                <w:rFonts w:ascii="Times New Roman" w:eastAsia="Times New Roman" w:hAnsi="Times New Roman" w:cs="Times New Roman"/>
                <w:color w:val="1A1C1E"/>
                <w:kern w:val="0"/>
                <w:szCs w:val="24"/>
                <w:lang w:eastAsia="en-IN"/>
                <w14:ligatures w14:val="none"/>
              </w:rPr>
            </w:pPr>
            <w:r w:rsidRPr="002A11B0">
              <w:rPr>
                <w:rFonts w:ascii="Times New Roman" w:eastAsia="Times New Roman" w:hAnsi="Times New Roman" w:cs="Times New Roman"/>
                <w:color w:val="1A1C1E"/>
                <w:kern w:val="0"/>
                <w:szCs w:val="24"/>
                <w:lang w:eastAsia="en-IN"/>
                <w14:ligatures w14:val="none"/>
              </w:rPr>
              <w:t>(343)</w:t>
            </w:r>
          </w:p>
        </w:tc>
        <w:tc>
          <w:tcPr>
            <w:tcW w:w="1497" w:type="dxa"/>
            <w:tcBorders>
              <w:top w:val="nil"/>
              <w:left w:val="nil"/>
              <w:bottom w:val="single" w:sz="4" w:space="0" w:color="auto"/>
              <w:right w:val="single" w:sz="4" w:space="0" w:color="auto"/>
            </w:tcBorders>
            <w:shd w:val="clear" w:color="000000" w:fill="FFFFFF"/>
            <w:vAlign w:val="center"/>
            <w:hideMark/>
          </w:tcPr>
          <w:p w14:paraId="20C92049" w14:textId="77777777" w:rsidR="002A11B0" w:rsidRPr="002A11B0" w:rsidRDefault="002A11B0" w:rsidP="002A11B0">
            <w:pPr>
              <w:spacing w:after="0" w:line="240" w:lineRule="auto"/>
              <w:ind w:firstLineChars="100" w:firstLine="240"/>
              <w:rPr>
                <w:rFonts w:ascii="Times New Roman" w:eastAsia="Times New Roman" w:hAnsi="Times New Roman" w:cs="Times New Roman"/>
                <w:color w:val="1A1C1E"/>
                <w:kern w:val="0"/>
                <w:szCs w:val="24"/>
                <w:lang w:eastAsia="en-IN"/>
                <w14:ligatures w14:val="none"/>
              </w:rPr>
            </w:pPr>
            <w:r w:rsidRPr="002A11B0">
              <w:rPr>
                <w:rFonts w:ascii="Times New Roman" w:eastAsia="Times New Roman" w:hAnsi="Times New Roman" w:cs="Times New Roman"/>
                <w:color w:val="1A1C1E"/>
                <w:kern w:val="0"/>
                <w:szCs w:val="24"/>
                <w:lang w:eastAsia="en-IN"/>
                <w14:ligatures w14:val="none"/>
              </w:rPr>
              <w:t>(404)</w:t>
            </w:r>
          </w:p>
        </w:tc>
      </w:tr>
      <w:tr w:rsidR="002A11B0" w:rsidRPr="002A11B0" w14:paraId="39A9C4F3" w14:textId="77777777" w:rsidTr="002A11B0">
        <w:trPr>
          <w:trHeight w:val="20"/>
          <w:jc w:val="center"/>
        </w:trPr>
        <w:tc>
          <w:tcPr>
            <w:tcW w:w="2104" w:type="dxa"/>
            <w:tcBorders>
              <w:top w:val="nil"/>
              <w:left w:val="single" w:sz="4" w:space="0" w:color="auto"/>
              <w:bottom w:val="single" w:sz="4" w:space="0" w:color="auto"/>
              <w:right w:val="single" w:sz="4" w:space="0" w:color="auto"/>
            </w:tcBorders>
            <w:shd w:val="clear" w:color="000000" w:fill="FFFFFF"/>
            <w:vAlign w:val="center"/>
            <w:hideMark/>
          </w:tcPr>
          <w:p w14:paraId="13E66CE0" w14:textId="77777777" w:rsidR="002A11B0" w:rsidRPr="002A11B0" w:rsidRDefault="002A11B0" w:rsidP="002A11B0">
            <w:pPr>
              <w:spacing w:after="0" w:line="240" w:lineRule="auto"/>
              <w:ind w:firstLineChars="100" w:firstLine="241"/>
              <w:rPr>
                <w:rFonts w:ascii="Times New Roman" w:eastAsia="Times New Roman" w:hAnsi="Times New Roman" w:cs="Times New Roman"/>
                <w:b/>
                <w:bCs/>
                <w:color w:val="1A1C1E"/>
                <w:kern w:val="0"/>
                <w:szCs w:val="24"/>
                <w:lang w:eastAsia="en-IN"/>
                <w14:ligatures w14:val="none"/>
              </w:rPr>
            </w:pPr>
            <w:r w:rsidRPr="002A11B0">
              <w:rPr>
                <w:rFonts w:ascii="Times New Roman" w:eastAsia="Times New Roman" w:hAnsi="Times New Roman" w:cs="Times New Roman"/>
                <w:b/>
                <w:bCs/>
                <w:color w:val="1A1C1E"/>
                <w:kern w:val="0"/>
                <w:szCs w:val="24"/>
                <w:lang w:eastAsia="en-IN"/>
                <w14:ligatures w14:val="none"/>
              </w:rPr>
              <w:t>TOTAL</w:t>
            </w:r>
          </w:p>
        </w:tc>
        <w:tc>
          <w:tcPr>
            <w:tcW w:w="1352" w:type="dxa"/>
            <w:tcBorders>
              <w:top w:val="nil"/>
              <w:left w:val="nil"/>
              <w:bottom w:val="single" w:sz="4" w:space="0" w:color="auto"/>
              <w:right w:val="single" w:sz="4" w:space="0" w:color="auto"/>
            </w:tcBorders>
            <w:shd w:val="clear" w:color="000000" w:fill="FFFFFF"/>
            <w:vAlign w:val="center"/>
            <w:hideMark/>
          </w:tcPr>
          <w:p w14:paraId="09EB8473" w14:textId="77777777" w:rsidR="002A11B0" w:rsidRPr="002A11B0" w:rsidRDefault="002A11B0" w:rsidP="002A11B0">
            <w:pPr>
              <w:spacing w:after="0" w:line="240" w:lineRule="auto"/>
              <w:ind w:firstLineChars="100" w:firstLine="240"/>
              <w:rPr>
                <w:rFonts w:ascii="Times New Roman" w:eastAsia="Times New Roman" w:hAnsi="Times New Roman" w:cs="Times New Roman"/>
                <w:color w:val="1A1C1E"/>
                <w:kern w:val="0"/>
                <w:szCs w:val="24"/>
                <w:lang w:eastAsia="en-IN"/>
                <w14:ligatures w14:val="none"/>
              </w:rPr>
            </w:pPr>
            <w:r w:rsidRPr="002A11B0">
              <w:rPr>
                <w:rFonts w:ascii="Times New Roman" w:eastAsia="Times New Roman" w:hAnsi="Times New Roman" w:cs="Times New Roman"/>
                <w:color w:val="1A1C1E"/>
                <w:kern w:val="0"/>
                <w:szCs w:val="24"/>
                <w:lang w:eastAsia="en-IN"/>
                <w14:ligatures w14:val="none"/>
              </w:rPr>
              <w:t>215.21</w:t>
            </w:r>
          </w:p>
        </w:tc>
        <w:tc>
          <w:tcPr>
            <w:tcW w:w="1352" w:type="dxa"/>
            <w:tcBorders>
              <w:top w:val="nil"/>
              <w:left w:val="nil"/>
              <w:bottom w:val="single" w:sz="4" w:space="0" w:color="auto"/>
              <w:right w:val="single" w:sz="4" w:space="0" w:color="auto"/>
            </w:tcBorders>
            <w:shd w:val="clear" w:color="000000" w:fill="FFFFFF"/>
            <w:vAlign w:val="center"/>
            <w:hideMark/>
          </w:tcPr>
          <w:p w14:paraId="2B44F6A9" w14:textId="77777777" w:rsidR="002A11B0" w:rsidRPr="002A11B0" w:rsidRDefault="002A11B0" w:rsidP="002A11B0">
            <w:pPr>
              <w:spacing w:after="0" w:line="240" w:lineRule="auto"/>
              <w:ind w:firstLineChars="100" w:firstLine="240"/>
              <w:rPr>
                <w:rFonts w:ascii="Times New Roman" w:eastAsia="Times New Roman" w:hAnsi="Times New Roman" w:cs="Times New Roman"/>
                <w:color w:val="1A1C1E"/>
                <w:kern w:val="0"/>
                <w:szCs w:val="24"/>
                <w:lang w:eastAsia="en-IN"/>
                <w14:ligatures w14:val="none"/>
              </w:rPr>
            </w:pPr>
            <w:r w:rsidRPr="002A11B0">
              <w:rPr>
                <w:rFonts w:ascii="Times New Roman" w:eastAsia="Times New Roman" w:hAnsi="Times New Roman" w:cs="Times New Roman"/>
                <w:color w:val="1A1C1E"/>
                <w:kern w:val="0"/>
                <w:szCs w:val="24"/>
                <w:lang w:eastAsia="en-IN"/>
                <w14:ligatures w14:val="none"/>
              </w:rPr>
              <w:t>277.85</w:t>
            </w:r>
          </w:p>
        </w:tc>
        <w:tc>
          <w:tcPr>
            <w:tcW w:w="1352" w:type="dxa"/>
            <w:tcBorders>
              <w:top w:val="nil"/>
              <w:left w:val="nil"/>
              <w:bottom w:val="single" w:sz="4" w:space="0" w:color="auto"/>
              <w:right w:val="single" w:sz="4" w:space="0" w:color="auto"/>
            </w:tcBorders>
            <w:shd w:val="clear" w:color="000000" w:fill="FFFFFF"/>
            <w:vAlign w:val="center"/>
            <w:hideMark/>
          </w:tcPr>
          <w:p w14:paraId="0FB784CB" w14:textId="77777777" w:rsidR="002A11B0" w:rsidRPr="002A11B0" w:rsidRDefault="002A11B0" w:rsidP="002A11B0">
            <w:pPr>
              <w:spacing w:after="0" w:line="240" w:lineRule="auto"/>
              <w:ind w:firstLineChars="100" w:firstLine="240"/>
              <w:rPr>
                <w:rFonts w:ascii="Times New Roman" w:eastAsia="Times New Roman" w:hAnsi="Times New Roman" w:cs="Times New Roman"/>
                <w:color w:val="1A1C1E"/>
                <w:kern w:val="0"/>
                <w:szCs w:val="24"/>
                <w:lang w:eastAsia="en-IN"/>
                <w14:ligatures w14:val="none"/>
              </w:rPr>
            </w:pPr>
            <w:r w:rsidRPr="002A11B0">
              <w:rPr>
                <w:rFonts w:ascii="Times New Roman" w:eastAsia="Times New Roman" w:hAnsi="Times New Roman" w:cs="Times New Roman"/>
                <w:color w:val="1A1C1E"/>
                <w:kern w:val="0"/>
                <w:szCs w:val="24"/>
                <w:lang w:eastAsia="en-IN"/>
                <w14:ligatures w14:val="none"/>
              </w:rPr>
              <w:t>444.77</w:t>
            </w:r>
          </w:p>
        </w:tc>
        <w:tc>
          <w:tcPr>
            <w:tcW w:w="1352" w:type="dxa"/>
            <w:tcBorders>
              <w:top w:val="nil"/>
              <w:left w:val="nil"/>
              <w:bottom w:val="single" w:sz="4" w:space="0" w:color="auto"/>
              <w:right w:val="single" w:sz="4" w:space="0" w:color="auto"/>
            </w:tcBorders>
            <w:shd w:val="clear" w:color="000000" w:fill="FFFFFF"/>
            <w:vAlign w:val="center"/>
            <w:hideMark/>
          </w:tcPr>
          <w:p w14:paraId="0E6E1998" w14:textId="77777777" w:rsidR="002A11B0" w:rsidRPr="002A11B0" w:rsidRDefault="002A11B0" w:rsidP="002A11B0">
            <w:pPr>
              <w:spacing w:after="0" w:line="240" w:lineRule="auto"/>
              <w:ind w:firstLineChars="100" w:firstLine="240"/>
              <w:rPr>
                <w:rFonts w:ascii="Times New Roman" w:eastAsia="Times New Roman" w:hAnsi="Times New Roman" w:cs="Times New Roman"/>
                <w:color w:val="1A1C1E"/>
                <w:kern w:val="0"/>
                <w:szCs w:val="24"/>
                <w:lang w:eastAsia="en-IN"/>
                <w14:ligatures w14:val="none"/>
              </w:rPr>
            </w:pPr>
            <w:r w:rsidRPr="002A11B0">
              <w:rPr>
                <w:rFonts w:ascii="Times New Roman" w:eastAsia="Times New Roman" w:hAnsi="Times New Roman" w:cs="Times New Roman"/>
                <w:color w:val="1A1C1E"/>
                <w:kern w:val="0"/>
                <w:szCs w:val="24"/>
                <w:lang w:eastAsia="en-IN"/>
                <w14:ligatures w14:val="none"/>
              </w:rPr>
              <w:t>842.62</w:t>
            </w:r>
          </w:p>
        </w:tc>
        <w:tc>
          <w:tcPr>
            <w:tcW w:w="1352" w:type="dxa"/>
            <w:tcBorders>
              <w:top w:val="nil"/>
              <w:left w:val="nil"/>
              <w:bottom w:val="single" w:sz="4" w:space="0" w:color="auto"/>
              <w:right w:val="single" w:sz="4" w:space="0" w:color="auto"/>
            </w:tcBorders>
            <w:shd w:val="clear" w:color="000000" w:fill="FFFFFF"/>
            <w:vAlign w:val="center"/>
            <w:hideMark/>
          </w:tcPr>
          <w:p w14:paraId="30D89863" w14:textId="77777777" w:rsidR="002A11B0" w:rsidRPr="002A11B0" w:rsidRDefault="002A11B0" w:rsidP="002A11B0">
            <w:pPr>
              <w:spacing w:after="0" w:line="240" w:lineRule="auto"/>
              <w:ind w:firstLineChars="100" w:firstLine="240"/>
              <w:rPr>
                <w:rFonts w:ascii="Times New Roman" w:eastAsia="Times New Roman" w:hAnsi="Times New Roman" w:cs="Times New Roman"/>
                <w:color w:val="1A1C1E"/>
                <w:kern w:val="0"/>
                <w:szCs w:val="24"/>
                <w:lang w:eastAsia="en-IN"/>
                <w14:ligatures w14:val="none"/>
              </w:rPr>
            </w:pPr>
            <w:r w:rsidRPr="002A11B0">
              <w:rPr>
                <w:rFonts w:ascii="Times New Roman" w:eastAsia="Times New Roman" w:hAnsi="Times New Roman" w:cs="Times New Roman"/>
                <w:color w:val="1A1C1E"/>
                <w:kern w:val="0"/>
                <w:szCs w:val="24"/>
                <w:lang w:eastAsia="en-IN"/>
                <w14:ligatures w14:val="none"/>
              </w:rPr>
              <w:t>940.81</w:t>
            </w:r>
          </w:p>
        </w:tc>
        <w:tc>
          <w:tcPr>
            <w:tcW w:w="1497" w:type="dxa"/>
            <w:tcBorders>
              <w:top w:val="nil"/>
              <w:left w:val="nil"/>
              <w:bottom w:val="single" w:sz="4" w:space="0" w:color="auto"/>
              <w:right w:val="single" w:sz="4" w:space="0" w:color="auto"/>
            </w:tcBorders>
            <w:shd w:val="clear" w:color="000000" w:fill="FFFFFF"/>
            <w:vAlign w:val="center"/>
            <w:hideMark/>
          </w:tcPr>
          <w:p w14:paraId="005AE257" w14:textId="77777777" w:rsidR="002A11B0" w:rsidRPr="002A11B0" w:rsidRDefault="002A11B0" w:rsidP="002A11B0">
            <w:pPr>
              <w:spacing w:after="0" w:line="240" w:lineRule="auto"/>
              <w:ind w:firstLineChars="100" w:firstLine="240"/>
              <w:rPr>
                <w:rFonts w:ascii="Times New Roman" w:eastAsia="Times New Roman" w:hAnsi="Times New Roman" w:cs="Times New Roman"/>
                <w:color w:val="1A1C1E"/>
                <w:kern w:val="0"/>
                <w:szCs w:val="24"/>
                <w:lang w:eastAsia="en-IN"/>
                <w14:ligatures w14:val="none"/>
              </w:rPr>
            </w:pPr>
            <w:r w:rsidRPr="002A11B0">
              <w:rPr>
                <w:rFonts w:ascii="Times New Roman" w:eastAsia="Times New Roman" w:hAnsi="Times New Roman" w:cs="Times New Roman"/>
                <w:color w:val="1A1C1E"/>
                <w:kern w:val="0"/>
                <w:szCs w:val="24"/>
                <w:lang w:eastAsia="en-IN"/>
                <w14:ligatures w14:val="none"/>
              </w:rPr>
              <w:t>1086.63</w:t>
            </w:r>
          </w:p>
        </w:tc>
      </w:tr>
      <w:tr w:rsidR="002A11B0" w:rsidRPr="002A11B0" w14:paraId="1860A337" w14:textId="77777777" w:rsidTr="002A11B0">
        <w:trPr>
          <w:trHeight w:val="20"/>
          <w:jc w:val="center"/>
        </w:trPr>
        <w:tc>
          <w:tcPr>
            <w:tcW w:w="2104" w:type="dxa"/>
            <w:tcBorders>
              <w:top w:val="nil"/>
              <w:left w:val="single" w:sz="4" w:space="0" w:color="auto"/>
              <w:bottom w:val="single" w:sz="4" w:space="0" w:color="auto"/>
              <w:right w:val="single" w:sz="4" w:space="0" w:color="auto"/>
            </w:tcBorders>
            <w:shd w:val="clear" w:color="000000" w:fill="FFFFFF"/>
            <w:vAlign w:val="center"/>
            <w:hideMark/>
          </w:tcPr>
          <w:p w14:paraId="40F57199" w14:textId="77777777" w:rsidR="002A11B0" w:rsidRPr="002A11B0" w:rsidRDefault="002A11B0" w:rsidP="002A11B0">
            <w:pPr>
              <w:spacing w:after="0" w:line="240" w:lineRule="auto"/>
              <w:ind w:firstLineChars="100" w:firstLine="240"/>
              <w:rPr>
                <w:rFonts w:ascii="Times New Roman" w:eastAsia="Times New Roman" w:hAnsi="Times New Roman" w:cs="Times New Roman"/>
                <w:color w:val="1A1C1E"/>
                <w:kern w:val="0"/>
                <w:szCs w:val="24"/>
                <w:lang w:eastAsia="en-IN"/>
                <w14:ligatures w14:val="none"/>
              </w:rPr>
            </w:pPr>
            <w:r w:rsidRPr="002A11B0">
              <w:rPr>
                <w:rFonts w:ascii="Times New Roman" w:eastAsia="Times New Roman" w:hAnsi="Times New Roman" w:cs="Times New Roman"/>
                <w:color w:val="1A1C1E"/>
                <w:kern w:val="0"/>
                <w:szCs w:val="24"/>
                <w:lang w:eastAsia="en-IN"/>
                <w14:ligatures w14:val="none"/>
              </w:rPr>
              <w:t> </w:t>
            </w:r>
          </w:p>
        </w:tc>
        <w:tc>
          <w:tcPr>
            <w:tcW w:w="1352" w:type="dxa"/>
            <w:tcBorders>
              <w:top w:val="nil"/>
              <w:left w:val="nil"/>
              <w:bottom w:val="single" w:sz="4" w:space="0" w:color="auto"/>
              <w:right w:val="single" w:sz="4" w:space="0" w:color="auto"/>
            </w:tcBorders>
            <w:shd w:val="clear" w:color="000000" w:fill="FFFFFF"/>
            <w:vAlign w:val="center"/>
            <w:hideMark/>
          </w:tcPr>
          <w:p w14:paraId="2313E236" w14:textId="77777777" w:rsidR="002A11B0" w:rsidRPr="002A11B0" w:rsidRDefault="002A11B0" w:rsidP="002A11B0">
            <w:pPr>
              <w:spacing w:after="0" w:line="240" w:lineRule="auto"/>
              <w:ind w:firstLineChars="100" w:firstLine="240"/>
              <w:rPr>
                <w:rFonts w:ascii="Times New Roman" w:eastAsia="Times New Roman" w:hAnsi="Times New Roman" w:cs="Times New Roman"/>
                <w:color w:val="1A1C1E"/>
                <w:kern w:val="0"/>
                <w:szCs w:val="24"/>
                <w:lang w:eastAsia="en-IN"/>
                <w14:ligatures w14:val="none"/>
              </w:rPr>
            </w:pPr>
            <w:r w:rsidRPr="002A11B0">
              <w:rPr>
                <w:rFonts w:ascii="Times New Roman" w:eastAsia="Times New Roman" w:hAnsi="Times New Roman" w:cs="Times New Roman"/>
                <w:color w:val="1A1C1E"/>
                <w:kern w:val="0"/>
                <w:szCs w:val="24"/>
                <w:lang w:eastAsia="en-IN"/>
                <w14:ligatures w14:val="none"/>
              </w:rPr>
              <w:t>(100)</w:t>
            </w:r>
          </w:p>
        </w:tc>
        <w:tc>
          <w:tcPr>
            <w:tcW w:w="1352" w:type="dxa"/>
            <w:tcBorders>
              <w:top w:val="nil"/>
              <w:left w:val="nil"/>
              <w:bottom w:val="single" w:sz="4" w:space="0" w:color="auto"/>
              <w:right w:val="single" w:sz="4" w:space="0" w:color="auto"/>
            </w:tcBorders>
            <w:shd w:val="clear" w:color="000000" w:fill="FFFFFF"/>
            <w:vAlign w:val="center"/>
            <w:hideMark/>
          </w:tcPr>
          <w:p w14:paraId="4CD9ED1C" w14:textId="77777777" w:rsidR="002A11B0" w:rsidRPr="002A11B0" w:rsidRDefault="002A11B0" w:rsidP="002A11B0">
            <w:pPr>
              <w:spacing w:after="0" w:line="240" w:lineRule="auto"/>
              <w:ind w:firstLineChars="100" w:firstLine="240"/>
              <w:rPr>
                <w:rFonts w:ascii="Times New Roman" w:eastAsia="Times New Roman" w:hAnsi="Times New Roman" w:cs="Times New Roman"/>
                <w:color w:val="1A1C1E"/>
                <w:kern w:val="0"/>
                <w:szCs w:val="24"/>
                <w:lang w:eastAsia="en-IN"/>
                <w14:ligatures w14:val="none"/>
              </w:rPr>
            </w:pPr>
            <w:r w:rsidRPr="002A11B0">
              <w:rPr>
                <w:rFonts w:ascii="Times New Roman" w:eastAsia="Times New Roman" w:hAnsi="Times New Roman" w:cs="Times New Roman"/>
                <w:color w:val="1A1C1E"/>
                <w:kern w:val="0"/>
                <w:szCs w:val="24"/>
                <w:lang w:eastAsia="en-IN"/>
                <w14:ligatures w14:val="none"/>
              </w:rPr>
              <w:t>(129)</w:t>
            </w:r>
          </w:p>
        </w:tc>
        <w:tc>
          <w:tcPr>
            <w:tcW w:w="1352" w:type="dxa"/>
            <w:tcBorders>
              <w:top w:val="nil"/>
              <w:left w:val="nil"/>
              <w:bottom w:val="single" w:sz="4" w:space="0" w:color="auto"/>
              <w:right w:val="single" w:sz="4" w:space="0" w:color="auto"/>
            </w:tcBorders>
            <w:shd w:val="clear" w:color="000000" w:fill="FFFFFF"/>
            <w:vAlign w:val="center"/>
            <w:hideMark/>
          </w:tcPr>
          <w:p w14:paraId="5F6A2D8D" w14:textId="77777777" w:rsidR="002A11B0" w:rsidRPr="002A11B0" w:rsidRDefault="002A11B0" w:rsidP="002A11B0">
            <w:pPr>
              <w:spacing w:after="0" w:line="240" w:lineRule="auto"/>
              <w:ind w:firstLineChars="100" w:firstLine="240"/>
              <w:rPr>
                <w:rFonts w:ascii="Times New Roman" w:eastAsia="Times New Roman" w:hAnsi="Times New Roman" w:cs="Times New Roman"/>
                <w:color w:val="1A1C1E"/>
                <w:kern w:val="0"/>
                <w:szCs w:val="24"/>
                <w:lang w:eastAsia="en-IN"/>
                <w14:ligatures w14:val="none"/>
              </w:rPr>
            </w:pPr>
            <w:r w:rsidRPr="002A11B0">
              <w:rPr>
                <w:rFonts w:ascii="Times New Roman" w:eastAsia="Times New Roman" w:hAnsi="Times New Roman" w:cs="Times New Roman"/>
                <w:color w:val="1A1C1E"/>
                <w:kern w:val="0"/>
                <w:szCs w:val="24"/>
                <w:lang w:eastAsia="en-IN"/>
                <w14:ligatures w14:val="none"/>
              </w:rPr>
              <w:t>(207)</w:t>
            </w:r>
          </w:p>
        </w:tc>
        <w:tc>
          <w:tcPr>
            <w:tcW w:w="1352" w:type="dxa"/>
            <w:tcBorders>
              <w:top w:val="nil"/>
              <w:left w:val="nil"/>
              <w:bottom w:val="single" w:sz="4" w:space="0" w:color="auto"/>
              <w:right w:val="single" w:sz="4" w:space="0" w:color="auto"/>
            </w:tcBorders>
            <w:shd w:val="clear" w:color="000000" w:fill="FFFFFF"/>
            <w:vAlign w:val="center"/>
            <w:hideMark/>
          </w:tcPr>
          <w:p w14:paraId="07626706" w14:textId="77777777" w:rsidR="002A11B0" w:rsidRPr="002A11B0" w:rsidRDefault="002A11B0" w:rsidP="002A11B0">
            <w:pPr>
              <w:spacing w:after="0" w:line="240" w:lineRule="auto"/>
              <w:ind w:firstLineChars="100" w:firstLine="240"/>
              <w:rPr>
                <w:rFonts w:ascii="Times New Roman" w:eastAsia="Times New Roman" w:hAnsi="Times New Roman" w:cs="Times New Roman"/>
                <w:color w:val="1A1C1E"/>
                <w:kern w:val="0"/>
                <w:szCs w:val="24"/>
                <w:lang w:eastAsia="en-IN"/>
                <w14:ligatures w14:val="none"/>
              </w:rPr>
            </w:pPr>
            <w:r w:rsidRPr="002A11B0">
              <w:rPr>
                <w:rFonts w:ascii="Times New Roman" w:eastAsia="Times New Roman" w:hAnsi="Times New Roman" w:cs="Times New Roman"/>
                <w:color w:val="1A1C1E"/>
                <w:kern w:val="0"/>
                <w:szCs w:val="24"/>
                <w:lang w:eastAsia="en-IN"/>
                <w14:ligatures w14:val="none"/>
              </w:rPr>
              <w:t>(392)</w:t>
            </w:r>
          </w:p>
        </w:tc>
        <w:tc>
          <w:tcPr>
            <w:tcW w:w="1352" w:type="dxa"/>
            <w:tcBorders>
              <w:top w:val="nil"/>
              <w:left w:val="nil"/>
              <w:bottom w:val="single" w:sz="4" w:space="0" w:color="auto"/>
              <w:right w:val="single" w:sz="4" w:space="0" w:color="auto"/>
            </w:tcBorders>
            <w:shd w:val="clear" w:color="000000" w:fill="FFFFFF"/>
            <w:vAlign w:val="center"/>
            <w:hideMark/>
          </w:tcPr>
          <w:p w14:paraId="6516FAC3" w14:textId="77777777" w:rsidR="002A11B0" w:rsidRPr="002A11B0" w:rsidRDefault="002A11B0" w:rsidP="002A11B0">
            <w:pPr>
              <w:spacing w:after="0" w:line="240" w:lineRule="auto"/>
              <w:ind w:firstLineChars="100" w:firstLine="240"/>
              <w:rPr>
                <w:rFonts w:ascii="Times New Roman" w:eastAsia="Times New Roman" w:hAnsi="Times New Roman" w:cs="Times New Roman"/>
                <w:color w:val="1A1C1E"/>
                <w:kern w:val="0"/>
                <w:szCs w:val="24"/>
                <w:lang w:eastAsia="en-IN"/>
                <w14:ligatures w14:val="none"/>
              </w:rPr>
            </w:pPr>
            <w:r w:rsidRPr="002A11B0">
              <w:rPr>
                <w:rFonts w:ascii="Times New Roman" w:eastAsia="Times New Roman" w:hAnsi="Times New Roman" w:cs="Times New Roman"/>
                <w:color w:val="1A1C1E"/>
                <w:kern w:val="0"/>
                <w:szCs w:val="24"/>
                <w:lang w:eastAsia="en-IN"/>
                <w14:ligatures w14:val="none"/>
              </w:rPr>
              <w:t>(437)</w:t>
            </w:r>
          </w:p>
        </w:tc>
        <w:tc>
          <w:tcPr>
            <w:tcW w:w="1497" w:type="dxa"/>
            <w:tcBorders>
              <w:top w:val="nil"/>
              <w:left w:val="nil"/>
              <w:bottom w:val="single" w:sz="4" w:space="0" w:color="auto"/>
              <w:right w:val="single" w:sz="4" w:space="0" w:color="auto"/>
            </w:tcBorders>
            <w:shd w:val="clear" w:color="000000" w:fill="FFFFFF"/>
            <w:vAlign w:val="center"/>
            <w:hideMark/>
          </w:tcPr>
          <w:p w14:paraId="3D9F03C6" w14:textId="77777777" w:rsidR="002A11B0" w:rsidRPr="002A11B0" w:rsidRDefault="002A11B0" w:rsidP="002A11B0">
            <w:pPr>
              <w:spacing w:after="0" w:line="240" w:lineRule="auto"/>
              <w:ind w:firstLineChars="100" w:firstLine="240"/>
              <w:rPr>
                <w:rFonts w:ascii="Times New Roman" w:eastAsia="Times New Roman" w:hAnsi="Times New Roman" w:cs="Times New Roman"/>
                <w:color w:val="1A1C1E"/>
                <w:kern w:val="0"/>
                <w:szCs w:val="24"/>
                <w:lang w:eastAsia="en-IN"/>
                <w14:ligatures w14:val="none"/>
              </w:rPr>
            </w:pPr>
            <w:r w:rsidRPr="002A11B0">
              <w:rPr>
                <w:rFonts w:ascii="Times New Roman" w:eastAsia="Times New Roman" w:hAnsi="Times New Roman" w:cs="Times New Roman"/>
                <w:color w:val="1A1C1E"/>
                <w:kern w:val="0"/>
                <w:szCs w:val="24"/>
                <w:lang w:eastAsia="en-IN"/>
                <w14:ligatures w14:val="none"/>
              </w:rPr>
              <w:t>(505)</w:t>
            </w:r>
          </w:p>
        </w:tc>
      </w:tr>
    </w:tbl>
    <w:p w14:paraId="3B85CC70" w14:textId="41730D66" w:rsidR="00671AC5" w:rsidRPr="007245B0" w:rsidRDefault="00671AC5" w:rsidP="00BA1C8E">
      <w:pPr>
        <w:pStyle w:val="Sources"/>
      </w:pPr>
      <w:r w:rsidRPr="007245B0">
        <w:rPr>
          <w:i/>
          <w:iCs/>
        </w:rPr>
        <w:t xml:space="preserve">(a) </w:t>
      </w:r>
      <w:r w:rsidRPr="007245B0">
        <w:t>Includes royalty on mineral oils (Assam and Gujarat).</w:t>
      </w:r>
    </w:p>
    <w:p w14:paraId="2DEAF061" w14:textId="62298CD2" w:rsidR="00671AC5" w:rsidRPr="007245B0" w:rsidRDefault="00671AC5" w:rsidP="00BA1C8E">
      <w:pPr>
        <w:pStyle w:val="Sources"/>
      </w:pPr>
      <w:r w:rsidRPr="007245B0">
        <w:t>(b) Includes taxes on motor vehicles, passengers and goods and road tol</w:t>
      </w:r>
      <w:r w:rsidR="00982B07">
        <w:t>l</w:t>
      </w:r>
    </w:p>
    <w:p w14:paraId="291480B9" w14:textId="77777777" w:rsidR="00671AC5" w:rsidRPr="007245B0" w:rsidRDefault="00671AC5" w:rsidP="00BA1C8E">
      <w:pPr>
        <w:pStyle w:val="Sources"/>
      </w:pPr>
      <w:r w:rsidRPr="007245B0">
        <w:t>(c) Includes inter-State Sales Tax.</w:t>
      </w:r>
    </w:p>
    <w:p w14:paraId="129AF7A0" w14:textId="061CEFD4" w:rsidR="00671AC5" w:rsidRPr="007245B0" w:rsidRDefault="00671AC5" w:rsidP="00BA1C8E">
      <w:pPr>
        <w:pStyle w:val="Sources"/>
      </w:pPr>
      <w:r w:rsidRPr="007245B0">
        <w:t>N.B.-Figures in brackets indicate indices with 1950-51 equal to 100.</w:t>
      </w:r>
    </w:p>
    <w:p w14:paraId="76346CA5" w14:textId="77777777" w:rsidR="00982B07" w:rsidRDefault="008D572A" w:rsidP="00BA1C8E">
      <w:pPr>
        <w:pStyle w:val="Sources"/>
      </w:pPr>
      <w:r>
        <w:rPr>
          <w:i/>
          <w:iCs/>
        </w:rPr>
        <w:t xml:space="preserve">Source </w:t>
      </w:r>
      <w:r w:rsidR="00671AC5" w:rsidRPr="007245B0">
        <w:rPr>
          <w:i/>
          <w:iCs/>
        </w:rPr>
        <w:t xml:space="preserve"> </w:t>
      </w:r>
      <w:r w:rsidR="00671AC5" w:rsidRPr="007245B0">
        <w:t>(1) Combined Finance and Revenue Accounts.</w:t>
      </w:r>
    </w:p>
    <w:p w14:paraId="7F3C4812" w14:textId="5495BD53" w:rsidR="00671AC5" w:rsidRPr="00982B07" w:rsidRDefault="00982B07" w:rsidP="00BA1C8E">
      <w:pPr>
        <w:pStyle w:val="Sources"/>
        <w:sectPr w:rsidR="00671AC5" w:rsidRPr="00982B07" w:rsidSect="00671AC5">
          <w:pgSz w:w="12240" w:h="15840"/>
          <w:pgMar w:top="992" w:right="1440" w:bottom="1440" w:left="1440" w:header="720" w:footer="720" w:gutter="0"/>
          <w:cols w:space="720"/>
        </w:sectPr>
      </w:pPr>
      <w:r>
        <w:t xml:space="preserve">(2) </w:t>
      </w:r>
      <w:r w:rsidR="00671AC5" w:rsidRPr="007245B0">
        <w:t>State Budgets.</w:t>
      </w:r>
    </w:p>
    <w:p w14:paraId="1E882B1C" w14:textId="24BC4AA7" w:rsidR="0059396E" w:rsidRPr="007245B0" w:rsidRDefault="00574BCE" w:rsidP="001A0C9B">
      <w:pPr>
        <w:pStyle w:val="Heading4"/>
      </w:pPr>
      <w:bookmarkStart w:id="54" w:name="_Toc220949688"/>
      <w:bookmarkStart w:id="55" w:name="_Toc221114288"/>
      <w:bookmarkStart w:id="56" w:name="_Toc221115311"/>
      <w:r w:rsidRPr="008E2A3E">
        <w:lastRenderedPageBreak/>
        <w:t xml:space="preserve">Table </w:t>
      </w:r>
      <w:r w:rsidR="0059396E" w:rsidRPr="007245B0">
        <w:t>8: State-wise revenue from general sales tax, sales tax on motor spirit and Central sales tax during 1965-66 to 1967-68</w:t>
      </w:r>
      <w:bookmarkEnd w:id="54"/>
      <w:bookmarkEnd w:id="55"/>
      <w:bookmarkEnd w:id="56"/>
    </w:p>
    <w:p w14:paraId="0628917A" w14:textId="2ACD3C1F" w:rsidR="0059396E" w:rsidRPr="007245B0" w:rsidRDefault="0059396E" w:rsidP="0059396E">
      <w:pPr>
        <w:pStyle w:val="ListParagraph"/>
        <w:ind w:left="1080"/>
        <w:jc w:val="right"/>
        <w:rPr>
          <w:rFonts w:ascii="Times New Roman" w:hAnsi="Times New Roman" w:cs="Times New Roman"/>
        </w:rPr>
      </w:pPr>
      <w:r w:rsidRPr="007245B0">
        <w:rPr>
          <w:rFonts w:ascii="Times New Roman" w:hAnsi="Times New Roman" w:cs="Times New Roman"/>
        </w:rPr>
        <w:br/>
      </w:r>
      <w:r w:rsidRPr="007245B0">
        <w:rPr>
          <w:rFonts w:ascii="Times New Roman" w:hAnsi="Times New Roman" w:cs="Times New Roman"/>
          <w:i/>
          <w:iCs/>
        </w:rPr>
        <w:t>(Rs. crores)</w:t>
      </w:r>
    </w:p>
    <w:tbl>
      <w:tblPr>
        <w:tblW w:w="8792" w:type="dxa"/>
        <w:tblLook w:val="04A0" w:firstRow="1" w:lastRow="0" w:firstColumn="1" w:lastColumn="0" w:noHBand="0" w:noVBand="1"/>
      </w:tblPr>
      <w:tblGrid>
        <w:gridCol w:w="2186"/>
        <w:gridCol w:w="1124"/>
        <w:gridCol w:w="1123"/>
        <w:gridCol w:w="1056"/>
        <w:gridCol w:w="1124"/>
        <w:gridCol w:w="1123"/>
        <w:gridCol w:w="1056"/>
      </w:tblGrid>
      <w:tr w:rsidR="0059396E" w:rsidRPr="001A0C9B" w14:paraId="5BBE928D" w14:textId="77777777" w:rsidTr="00E831E0">
        <w:trPr>
          <w:trHeight w:val="384"/>
        </w:trPr>
        <w:tc>
          <w:tcPr>
            <w:tcW w:w="2186" w:type="dxa"/>
            <w:vMerge w:val="restart"/>
            <w:tcBorders>
              <w:top w:val="single" w:sz="4" w:space="0" w:color="auto"/>
              <w:left w:val="single" w:sz="4" w:space="0" w:color="auto"/>
              <w:bottom w:val="single" w:sz="4" w:space="0" w:color="auto"/>
              <w:right w:val="single" w:sz="4" w:space="0" w:color="auto"/>
            </w:tcBorders>
            <w:noWrap/>
            <w:vAlign w:val="bottom"/>
            <w:hideMark/>
          </w:tcPr>
          <w:p w14:paraId="5D61B2C3" w14:textId="77777777" w:rsidR="0059396E" w:rsidRPr="001A0C9B" w:rsidRDefault="0059396E" w:rsidP="00E831E0">
            <w:pPr>
              <w:spacing w:after="0" w:line="240" w:lineRule="auto"/>
              <w:jc w:val="center"/>
              <w:rPr>
                <w:rFonts w:ascii="Times New Roman" w:eastAsia="Times New Roman" w:hAnsi="Times New Roman" w:cs="Times New Roman"/>
                <w:b/>
                <w:bCs/>
                <w:color w:val="000000"/>
                <w:kern w:val="0"/>
                <w:szCs w:val="24"/>
                <w:lang w:eastAsia="en-IN"/>
                <w14:ligatures w14:val="none"/>
              </w:rPr>
            </w:pPr>
            <w:r w:rsidRPr="001A0C9B">
              <w:rPr>
                <w:rFonts w:ascii="Times New Roman" w:eastAsia="Times New Roman" w:hAnsi="Times New Roman" w:cs="Times New Roman"/>
                <w:b/>
                <w:bCs/>
                <w:color w:val="000000"/>
                <w:kern w:val="0"/>
                <w:szCs w:val="24"/>
                <w:lang w:eastAsia="en-IN"/>
                <w14:ligatures w14:val="none"/>
              </w:rPr>
              <w:t>States</w:t>
            </w:r>
          </w:p>
        </w:tc>
        <w:tc>
          <w:tcPr>
            <w:tcW w:w="3303" w:type="dxa"/>
            <w:gridSpan w:val="3"/>
            <w:tcBorders>
              <w:top w:val="single" w:sz="4" w:space="0" w:color="auto"/>
              <w:left w:val="nil"/>
              <w:bottom w:val="single" w:sz="4" w:space="0" w:color="auto"/>
              <w:right w:val="single" w:sz="4" w:space="0" w:color="auto"/>
            </w:tcBorders>
            <w:noWrap/>
            <w:vAlign w:val="center"/>
            <w:hideMark/>
          </w:tcPr>
          <w:p w14:paraId="0813BA96" w14:textId="77777777" w:rsidR="0059396E" w:rsidRPr="001A0C9B" w:rsidRDefault="0059396E" w:rsidP="00E831E0">
            <w:pPr>
              <w:spacing w:after="0" w:line="240" w:lineRule="auto"/>
              <w:jc w:val="center"/>
              <w:rPr>
                <w:rFonts w:ascii="Times New Roman" w:eastAsia="Times New Roman" w:hAnsi="Times New Roman" w:cs="Times New Roman"/>
                <w:b/>
                <w:bCs/>
                <w:color w:val="000000"/>
                <w:kern w:val="0"/>
                <w:szCs w:val="24"/>
                <w:lang w:eastAsia="en-IN"/>
                <w14:ligatures w14:val="none"/>
              </w:rPr>
            </w:pPr>
            <w:r w:rsidRPr="001A0C9B">
              <w:rPr>
                <w:rFonts w:ascii="Times New Roman" w:eastAsia="Times New Roman" w:hAnsi="Times New Roman" w:cs="Times New Roman"/>
                <w:b/>
                <w:bCs/>
                <w:color w:val="000000"/>
                <w:kern w:val="0"/>
                <w:szCs w:val="24"/>
                <w:lang w:eastAsia="en-IN"/>
                <w14:ligatures w14:val="none"/>
              </w:rPr>
              <w:t>General sales tax and sales tax on motor spirit</w:t>
            </w:r>
          </w:p>
        </w:tc>
        <w:tc>
          <w:tcPr>
            <w:tcW w:w="3303" w:type="dxa"/>
            <w:gridSpan w:val="3"/>
            <w:tcBorders>
              <w:top w:val="single" w:sz="4" w:space="0" w:color="auto"/>
              <w:left w:val="nil"/>
              <w:bottom w:val="single" w:sz="4" w:space="0" w:color="auto"/>
              <w:right w:val="single" w:sz="4" w:space="0" w:color="auto"/>
            </w:tcBorders>
            <w:noWrap/>
            <w:vAlign w:val="bottom"/>
            <w:hideMark/>
          </w:tcPr>
          <w:p w14:paraId="77E9B480" w14:textId="77777777" w:rsidR="0059396E" w:rsidRPr="001A0C9B" w:rsidRDefault="0059396E" w:rsidP="00E831E0">
            <w:pPr>
              <w:spacing w:after="0" w:line="240" w:lineRule="auto"/>
              <w:jc w:val="center"/>
              <w:rPr>
                <w:rFonts w:ascii="Times New Roman" w:eastAsia="Times New Roman" w:hAnsi="Times New Roman" w:cs="Times New Roman"/>
                <w:b/>
                <w:bCs/>
                <w:color w:val="000000"/>
                <w:kern w:val="0"/>
                <w:szCs w:val="24"/>
                <w:lang w:eastAsia="en-IN"/>
                <w14:ligatures w14:val="none"/>
              </w:rPr>
            </w:pPr>
            <w:r w:rsidRPr="001A0C9B">
              <w:rPr>
                <w:rFonts w:ascii="Times New Roman" w:eastAsia="Times New Roman" w:hAnsi="Times New Roman" w:cs="Times New Roman"/>
                <w:b/>
                <w:bCs/>
                <w:color w:val="000000"/>
                <w:kern w:val="0"/>
                <w:szCs w:val="24"/>
                <w:lang w:eastAsia="en-IN"/>
                <w14:ligatures w14:val="none"/>
              </w:rPr>
              <w:t xml:space="preserve">Central sales tax </w:t>
            </w:r>
          </w:p>
        </w:tc>
      </w:tr>
      <w:tr w:rsidR="0059396E" w:rsidRPr="001A0C9B" w14:paraId="5396C907" w14:textId="77777777" w:rsidTr="00E831E0">
        <w:trPr>
          <w:trHeight w:val="384"/>
        </w:trPr>
        <w:tc>
          <w:tcPr>
            <w:tcW w:w="2186" w:type="dxa"/>
            <w:vMerge/>
            <w:tcBorders>
              <w:top w:val="single" w:sz="4" w:space="0" w:color="auto"/>
              <w:left w:val="single" w:sz="4" w:space="0" w:color="auto"/>
              <w:bottom w:val="single" w:sz="4" w:space="0" w:color="auto"/>
              <w:right w:val="single" w:sz="4" w:space="0" w:color="auto"/>
            </w:tcBorders>
            <w:vAlign w:val="center"/>
            <w:hideMark/>
          </w:tcPr>
          <w:p w14:paraId="39091566" w14:textId="77777777" w:rsidR="0059396E" w:rsidRPr="001A0C9B" w:rsidRDefault="0059396E" w:rsidP="00E831E0">
            <w:pPr>
              <w:spacing w:after="0" w:line="240" w:lineRule="auto"/>
              <w:rPr>
                <w:rFonts w:ascii="Times New Roman" w:eastAsia="Times New Roman" w:hAnsi="Times New Roman" w:cs="Times New Roman"/>
                <w:b/>
                <w:bCs/>
                <w:color w:val="000000"/>
                <w:kern w:val="0"/>
                <w:szCs w:val="24"/>
                <w:lang w:eastAsia="en-IN"/>
                <w14:ligatures w14:val="none"/>
              </w:rPr>
            </w:pPr>
          </w:p>
        </w:tc>
        <w:tc>
          <w:tcPr>
            <w:tcW w:w="1124" w:type="dxa"/>
            <w:tcBorders>
              <w:top w:val="nil"/>
              <w:left w:val="nil"/>
              <w:bottom w:val="single" w:sz="4" w:space="0" w:color="auto"/>
              <w:right w:val="single" w:sz="4" w:space="0" w:color="auto"/>
            </w:tcBorders>
            <w:noWrap/>
            <w:vAlign w:val="bottom"/>
            <w:hideMark/>
          </w:tcPr>
          <w:p w14:paraId="2C86AC4B" w14:textId="77777777" w:rsidR="0059396E" w:rsidRPr="001A0C9B" w:rsidRDefault="0059396E" w:rsidP="00E831E0">
            <w:pPr>
              <w:spacing w:after="0" w:line="240" w:lineRule="auto"/>
              <w:rPr>
                <w:rFonts w:ascii="Times New Roman" w:eastAsia="Times New Roman" w:hAnsi="Times New Roman" w:cs="Times New Roman"/>
                <w:b/>
                <w:bCs/>
                <w:color w:val="000000"/>
                <w:kern w:val="0"/>
                <w:szCs w:val="24"/>
                <w:lang w:eastAsia="en-IN"/>
                <w14:ligatures w14:val="none"/>
              </w:rPr>
            </w:pPr>
            <w:r w:rsidRPr="001A0C9B">
              <w:rPr>
                <w:rFonts w:ascii="Times New Roman" w:eastAsia="Times New Roman" w:hAnsi="Times New Roman" w:cs="Times New Roman"/>
                <w:b/>
                <w:bCs/>
                <w:color w:val="000000"/>
                <w:kern w:val="0"/>
                <w:szCs w:val="24"/>
                <w:lang w:eastAsia="en-IN"/>
                <w14:ligatures w14:val="none"/>
              </w:rPr>
              <w:t xml:space="preserve"> 1965-66</w:t>
            </w:r>
          </w:p>
        </w:tc>
        <w:tc>
          <w:tcPr>
            <w:tcW w:w="1123" w:type="dxa"/>
            <w:tcBorders>
              <w:top w:val="nil"/>
              <w:left w:val="nil"/>
              <w:bottom w:val="single" w:sz="4" w:space="0" w:color="auto"/>
              <w:right w:val="single" w:sz="4" w:space="0" w:color="auto"/>
            </w:tcBorders>
            <w:noWrap/>
            <w:vAlign w:val="bottom"/>
            <w:hideMark/>
          </w:tcPr>
          <w:p w14:paraId="458C829A" w14:textId="77777777" w:rsidR="0059396E" w:rsidRPr="001A0C9B" w:rsidRDefault="0059396E" w:rsidP="00E831E0">
            <w:pPr>
              <w:spacing w:after="0" w:line="240" w:lineRule="auto"/>
              <w:rPr>
                <w:rFonts w:ascii="Times New Roman" w:eastAsia="Times New Roman" w:hAnsi="Times New Roman" w:cs="Times New Roman"/>
                <w:b/>
                <w:bCs/>
                <w:color w:val="000000"/>
                <w:kern w:val="0"/>
                <w:szCs w:val="24"/>
                <w:lang w:eastAsia="en-IN"/>
                <w14:ligatures w14:val="none"/>
              </w:rPr>
            </w:pPr>
            <w:r w:rsidRPr="001A0C9B">
              <w:rPr>
                <w:rFonts w:ascii="Times New Roman" w:eastAsia="Times New Roman" w:hAnsi="Times New Roman" w:cs="Times New Roman"/>
                <w:b/>
                <w:bCs/>
                <w:color w:val="000000"/>
                <w:kern w:val="0"/>
                <w:szCs w:val="24"/>
                <w:lang w:eastAsia="en-IN"/>
                <w14:ligatures w14:val="none"/>
              </w:rPr>
              <w:t xml:space="preserve"> 1966-67</w:t>
            </w:r>
          </w:p>
        </w:tc>
        <w:tc>
          <w:tcPr>
            <w:tcW w:w="1056" w:type="dxa"/>
            <w:tcBorders>
              <w:top w:val="nil"/>
              <w:left w:val="nil"/>
              <w:bottom w:val="single" w:sz="4" w:space="0" w:color="auto"/>
              <w:right w:val="single" w:sz="4" w:space="0" w:color="auto"/>
            </w:tcBorders>
            <w:noWrap/>
            <w:vAlign w:val="bottom"/>
            <w:hideMark/>
          </w:tcPr>
          <w:p w14:paraId="3A7B211E" w14:textId="77777777" w:rsidR="0059396E" w:rsidRPr="001A0C9B" w:rsidRDefault="0059396E" w:rsidP="00E831E0">
            <w:pPr>
              <w:spacing w:after="0" w:line="240" w:lineRule="auto"/>
              <w:rPr>
                <w:rFonts w:ascii="Times New Roman" w:eastAsia="Times New Roman" w:hAnsi="Times New Roman" w:cs="Times New Roman"/>
                <w:b/>
                <w:bCs/>
                <w:color w:val="000000"/>
                <w:kern w:val="0"/>
                <w:szCs w:val="24"/>
                <w:lang w:eastAsia="en-IN"/>
                <w14:ligatures w14:val="none"/>
              </w:rPr>
            </w:pPr>
            <w:r w:rsidRPr="001A0C9B">
              <w:rPr>
                <w:rFonts w:ascii="Times New Roman" w:eastAsia="Times New Roman" w:hAnsi="Times New Roman" w:cs="Times New Roman"/>
                <w:b/>
                <w:bCs/>
                <w:color w:val="000000"/>
                <w:kern w:val="0"/>
                <w:szCs w:val="24"/>
                <w:lang w:eastAsia="en-IN"/>
                <w14:ligatures w14:val="none"/>
              </w:rPr>
              <w:t>1967-68</w:t>
            </w:r>
          </w:p>
        </w:tc>
        <w:tc>
          <w:tcPr>
            <w:tcW w:w="1124" w:type="dxa"/>
            <w:tcBorders>
              <w:top w:val="nil"/>
              <w:left w:val="nil"/>
              <w:bottom w:val="single" w:sz="4" w:space="0" w:color="auto"/>
              <w:right w:val="single" w:sz="4" w:space="0" w:color="auto"/>
            </w:tcBorders>
            <w:noWrap/>
            <w:vAlign w:val="bottom"/>
            <w:hideMark/>
          </w:tcPr>
          <w:p w14:paraId="20B24734" w14:textId="77777777" w:rsidR="0059396E" w:rsidRPr="001A0C9B" w:rsidRDefault="0059396E" w:rsidP="00E831E0">
            <w:pPr>
              <w:spacing w:after="0" w:line="240" w:lineRule="auto"/>
              <w:rPr>
                <w:rFonts w:ascii="Times New Roman" w:eastAsia="Times New Roman" w:hAnsi="Times New Roman" w:cs="Times New Roman"/>
                <w:b/>
                <w:bCs/>
                <w:color w:val="000000"/>
                <w:kern w:val="0"/>
                <w:szCs w:val="24"/>
                <w:lang w:eastAsia="en-IN"/>
                <w14:ligatures w14:val="none"/>
              </w:rPr>
            </w:pPr>
            <w:r w:rsidRPr="001A0C9B">
              <w:rPr>
                <w:rFonts w:ascii="Times New Roman" w:eastAsia="Times New Roman" w:hAnsi="Times New Roman" w:cs="Times New Roman"/>
                <w:b/>
                <w:bCs/>
                <w:color w:val="000000"/>
                <w:kern w:val="0"/>
                <w:szCs w:val="24"/>
                <w:lang w:eastAsia="en-IN"/>
                <w14:ligatures w14:val="none"/>
              </w:rPr>
              <w:t xml:space="preserve"> 1965-66</w:t>
            </w:r>
          </w:p>
        </w:tc>
        <w:tc>
          <w:tcPr>
            <w:tcW w:w="1123" w:type="dxa"/>
            <w:tcBorders>
              <w:top w:val="nil"/>
              <w:left w:val="nil"/>
              <w:bottom w:val="single" w:sz="4" w:space="0" w:color="auto"/>
              <w:right w:val="single" w:sz="4" w:space="0" w:color="auto"/>
            </w:tcBorders>
            <w:noWrap/>
            <w:vAlign w:val="bottom"/>
            <w:hideMark/>
          </w:tcPr>
          <w:p w14:paraId="72625E6B" w14:textId="77777777" w:rsidR="0059396E" w:rsidRPr="001A0C9B" w:rsidRDefault="0059396E" w:rsidP="00E831E0">
            <w:pPr>
              <w:spacing w:after="0" w:line="240" w:lineRule="auto"/>
              <w:rPr>
                <w:rFonts w:ascii="Times New Roman" w:eastAsia="Times New Roman" w:hAnsi="Times New Roman" w:cs="Times New Roman"/>
                <w:b/>
                <w:bCs/>
                <w:color w:val="000000"/>
                <w:kern w:val="0"/>
                <w:szCs w:val="24"/>
                <w:lang w:eastAsia="en-IN"/>
                <w14:ligatures w14:val="none"/>
              </w:rPr>
            </w:pPr>
            <w:r w:rsidRPr="001A0C9B">
              <w:rPr>
                <w:rFonts w:ascii="Times New Roman" w:eastAsia="Times New Roman" w:hAnsi="Times New Roman" w:cs="Times New Roman"/>
                <w:b/>
                <w:bCs/>
                <w:color w:val="000000"/>
                <w:kern w:val="0"/>
                <w:szCs w:val="24"/>
                <w:lang w:eastAsia="en-IN"/>
                <w14:ligatures w14:val="none"/>
              </w:rPr>
              <w:t xml:space="preserve"> 1966-67</w:t>
            </w:r>
          </w:p>
        </w:tc>
        <w:tc>
          <w:tcPr>
            <w:tcW w:w="1056" w:type="dxa"/>
            <w:tcBorders>
              <w:top w:val="nil"/>
              <w:left w:val="nil"/>
              <w:bottom w:val="single" w:sz="4" w:space="0" w:color="auto"/>
              <w:right w:val="single" w:sz="4" w:space="0" w:color="auto"/>
            </w:tcBorders>
            <w:noWrap/>
            <w:vAlign w:val="bottom"/>
            <w:hideMark/>
          </w:tcPr>
          <w:p w14:paraId="42CD287B" w14:textId="77777777" w:rsidR="0059396E" w:rsidRPr="001A0C9B" w:rsidRDefault="0059396E" w:rsidP="00E831E0">
            <w:pPr>
              <w:spacing w:after="0" w:line="240" w:lineRule="auto"/>
              <w:rPr>
                <w:rFonts w:ascii="Times New Roman" w:eastAsia="Times New Roman" w:hAnsi="Times New Roman" w:cs="Times New Roman"/>
                <w:b/>
                <w:bCs/>
                <w:color w:val="000000"/>
                <w:kern w:val="0"/>
                <w:szCs w:val="24"/>
                <w:lang w:eastAsia="en-IN"/>
                <w14:ligatures w14:val="none"/>
              </w:rPr>
            </w:pPr>
            <w:r w:rsidRPr="001A0C9B">
              <w:rPr>
                <w:rFonts w:ascii="Times New Roman" w:eastAsia="Times New Roman" w:hAnsi="Times New Roman" w:cs="Times New Roman"/>
                <w:b/>
                <w:bCs/>
                <w:color w:val="000000"/>
                <w:kern w:val="0"/>
                <w:szCs w:val="24"/>
                <w:lang w:eastAsia="en-IN"/>
                <w14:ligatures w14:val="none"/>
              </w:rPr>
              <w:t>1967-68</w:t>
            </w:r>
          </w:p>
        </w:tc>
      </w:tr>
      <w:tr w:rsidR="0059396E" w:rsidRPr="001A0C9B" w14:paraId="742414C8" w14:textId="77777777" w:rsidTr="00E831E0">
        <w:trPr>
          <w:trHeight w:val="384"/>
        </w:trPr>
        <w:tc>
          <w:tcPr>
            <w:tcW w:w="2186" w:type="dxa"/>
            <w:tcBorders>
              <w:top w:val="nil"/>
              <w:left w:val="single" w:sz="4" w:space="0" w:color="auto"/>
              <w:bottom w:val="single" w:sz="4" w:space="0" w:color="auto"/>
              <w:right w:val="single" w:sz="4" w:space="0" w:color="auto"/>
            </w:tcBorders>
            <w:noWrap/>
            <w:vAlign w:val="bottom"/>
            <w:hideMark/>
          </w:tcPr>
          <w:p w14:paraId="5AAB0348" w14:textId="77777777" w:rsidR="0059396E" w:rsidRPr="001A0C9B" w:rsidRDefault="0059396E" w:rsidP="00E831E0">
            <w:pPr>
              <w:spacing w:after="0" w:line="240" w:lineRule="auto"/>
              <w:jc w:val="right"/>
              <w:rPr>
                <w:rFonts w:ascii="Times New Roman" w:eastAsia="Times New Roman" w:hAnsi="Times New Roman" w:cs="Times New Roman"/>
                <w:color w:val="000000"/>
                <w:kern w:val="0"/>
                <w:szCs w:val="24"/>
                <w:lang w:eastAsia="en-IN"/>
                <w14:ligatures w14:val="none"/>
              </w:rPr>
            </w:pPr>
            <w:r w:rsidRPr="001A0C9B">
              <w:rPr>
                <w:rFonts w:ascii="Times New Roman" w:eastAsia="Times New Roman" w:hAnsi="Times New Roman" w:cs="Times New Roman"/>
                <w:color w:val="000000"/>
                <w:kern w:val="0"/>
                <w:szCs w:val="24"/>
                <w:lang w:eastAsia="en-IN"/>
                <w14:ligatures w14:val="none"/>
              </w:rPr>
              <w:t>1</w:t>
            </w:r>
          </w:p>
        </w:tc>
        <w:tc>
          <w:tcPr>
            <w:tcW w:w="1124" w:type="dxa"/>
            <w:tcBorders>
              <w:top w:val="nil"/>
              <w:left w:val="nil"/>
              <w:bottom w:val="single" w:sz="4" w:space="0" w:color="auto"/>
              <w:right w:val="single" w:sz="4" w:space="0" w:color="auto"/>
            </w:tcBorders>
            <w:noWrap/>
            <w:vAlign w:val="bottom"/>
            <w:hideMark/>
          </w:tcPr>
          <w:p w14:paraId="6DA9D704" w14:textId="77777777" w:rsidR="0059396E" w:rsidRPr="001A0C9B" w:rsidRDefault="0059396E" w:rsidP="00E831E0">
            <w:pPr>
              <w:spacing w:after="0" w:line="240" w:lineRule="auto"/>
              <w:jc w:val="right"/>
              <w:rPr>
                <w:rFonts w:ascii="Times New Roman" w:eastAsia="Times New Roman" w:hAnsi="Times New Roman" w:cs="Times New Roman"/>
                <w:color w:val="000000"/>
                <w:kern w:val="0"/>
                <w:szCs w:val="24"/>
                <w:lang w:eastAsia="en-IN"/>
                <w14:ligatures w14:val="none"/>
              </w:rPr>
            </w:pPr>
            <w:r w:rsidRPr="001A0C9B">
              <w:rPr>
                <w:rFonts w:ascii="Times New Roman" w:eastAsia="Times New Roman" w:hAnsi="Times New Roman" w:cs="Times New Roman"/>
                <w:color w:val="000000"/>
                <w:kern w:val="0"/>
                <w:szCs w:val="24"/>
                <w:lang w:eastAsia="en-IN"/>
                <w14:ligatures w14:val="none"/>
              </w:rPr>
              <w:t>2</w:t>
            </w:r>
          </w:p>
        </w:tc>
        <w:tc>
          <w:tcPr>
            <w:tcW w:w="1123" w:type="dxa"/>
            <w:tcBorders>
              <w:top w:val="nil"/>
              <w:left w:val="nil"/>
              <w:bottom w:val="single" w:sz="4" w:space="0" w:color="auto"/>
              <w:right w:val="single" w:sz="4" w:space="0" w:color="auto"/>
            </w:tcBorders>
            <w:noWrap/>
            <w:vAlign w:val="bottom"/>
            <w:hideMark/>
          </w:tcPr>
          <w:p w14:paraId="27AAA9F1" w14:textId="77777777" w:rsidR="0059396E" w:rsidRPr="001A0C9B" w:rsidRDefault="0059396E" w:rsidP="00E831E0">
            <w:pPr>
              <w:spacing w:after="0" w:line="240" w:lineRule="auto"/>
              <w:jc w:val="right"/>
              <w:rPr>
                <w:rFonts w:ascii="Times New Roman" w:eastAsia="Times New Roman" w:hAnsi="Times New Roman" w:cs="Times New Roman"/>
                <w:color w:val="000000"/>
                <w:kern w:val="0"/>
                <w:szCs w:val="24"/>
                <w:lang w:eastAsia="en-IN"/>
                <w14:ligatures w14:val="none"/>
              </w:rPr>
            </w:pPr>
            <w:r w:rsidRPr="001A0C9B">
              <w:rPr>
                <w:rFonts w:ascii="Times New Roman" w:eastAsia="Times New Roman" w:hAnsi="Times New Roman" w:cs="Times New Roman"/>
                <w:color w:val="000000"/>
                <w:kern w:val="0"/>
                <w:szCs w:val="24"/>
                <w:lang w:eastAsia="en-IN"/>
                <w14:ligatures w14:val="none"/>
              </w:rPr>
              <w:t>3</w:t>
            </w:r>
          </w:p>
        </w:tc>
        <w:tc>
          <w:tcPr>
            <w:tcW w:w="1056" w:type="dxa"/>
            <w:tcBorders>
              <w:top w:val="nil"/>
              <w:left w:val="nil"/>
              <w:bottom w:val="single" w:sz="4" w:space="0" w:color="auto"/>
              <w:right w:val="single" w:sz="4" w:space="0" w:color="auto"/>
            </w:tcBorders>
            <w:noWrap/>
            <w:vAlign w:val="bottom"/>
            <w:hideMark/>
          </w:tcPr>
          <w:p w14:paraId="59465532" w14:textId="77777777" w:rsidR="0059396E" w:rsidRPr="001A0C9B" w:rsidRDefault="0059396E" w:rsidP="00E831E0">
            <w:pPr>
              <w:spacing w:after="0" w:line="240" w:lineRule="auto"/>
              <w:jc w:val="right"/>
              <w:rPr>
                <w:rFonts w:ascii="Times New Roman" w:eastAsia="Times New Roman" w:hAnsi="Times New Roman" w:cs="Times New Roman"/>
                <w:color w:val="000000"/>
                <w:kern w:val="0"/>
                <w:szCs w:val="24"/>
                <w:lang w:eastAsia="en-IN"/>
                <w14:ligatures w14:val="none"/>
              </w:rPr>
            </w:pPr>
            <w:r w:rsidRPr="001A0C9B">
              <w:rPr>
                <w:rFonts w:ascii="Times New Roman" w:eastAsia="Times New Roman" w:hAnsi="Times New Roman" w:cs="Times New Roman"/>
                <w:color w:val="000000"/>
                <w:kern w:val="0"/>
                <w:szCs w:val="24"/>
                <w:lang w:eastAsia="en-IN"/>
                <w14:ligatures w14:val="none"/>
              </w:rPr>
              <w:t>4</w:t>
            </w:r>
          </w:p>
        </w:tc>
        <w:tc>
          <w:tcPr>
            <w:tcW w:w="1124" w:type="dxa"/>
            <w:tcBorders>
              <w:top w:val="nil"/>
              <w:left w:val="nil"/>
              <w:bottom w:val="single" w:sz="4" w:space="0" w:color="auto"/>
              <w:right w:val="single" w:sz="4" w:space="0" w:color="auto"/>
            </w:tcBorders>
            <w:noWrap/>
            <w:vAlign w:val="bottom"/>
            <w:hideMark/>
          </w:tcPr>
          <w:p w14:paraId="7A3F4669" w14:textId="77777777" w:rsidR="0059396E" w:rsidRPr="001A0C9B" w:rsidRDefault="0059396E" w:rsidP="00E831E0">
            <w:pPr>
              <w:spacing w:after="0" w:line="240" w:lineRule="auto"/>
              <w:jc w:val="right"/>
              <w:rPr>
                <w:rFonts w:ascii="Times New Roman" w:eastAsia="Times New Roman" w:hAnsi="Times New Roman" w:cs="Times New Roman"/>
                <w:color w:val="000000"/>
                <w:kern w:val="0"/>
                <w:szCs w:val="24"/>
                <w:lang w:eastAsia="en-IN"/>
                <w14:ligatures w14:val="none"/>
              </w:rPr>
            </w:pPr>
            <w:r w:rsidRPr="001A0C9B">
              <w:rPr>
                <w:rFonts w:ascii="Times New Roman" w:eastAsia="Times New Roman" w:hAnsi="Times New Roman" w:cs="Times New Roman"/>
                <w:color w:val="000000"/>
                <w:kern w:val="0"/>
                <w:szCs w:val="24"/>
                <w:lang w:eastAsia="en-IN"/>
                <w14:ligatures w14:val="none"/>
              </w:rPr>
              <w:t>5</w:t>
            </w:r>
          </w:p>
        </w:tc>
        <w:tc>
          <w:tcPr>
            <w:tcW w:w="1123" w:type="dxa"/>
            <w:tcBorders>
              <w:top w:val="nil"/>
              <w:left w:val="nil"/>
              <w:bottom w:val="single" w:sz="4" w:space="0" w:color="auto"/>
              <w:right w:val="single" w:sz="4" w:space="0" w:color="auto"/>
            </w:tcBorders>
            <w:noWrap/>
            <w:vAlign w:val="bottom"/>
            <w:hideMark/>
          </w:tcPr>
          <w:p w14:paraId="687D35E2" w14:textId="77777777" w:rsidR="0059396E" w:rsidRPr="001A0C9B" w:rsidRDefault="0059396E" w:rsidP="00E831E0">
            <w:pPr>
              <w:spacing w:after="0" w:line="240" w:lineRule="auto"/>
              <w:jc w:val="right"/>
              <w:rPr>
                <w:rFonts w:ascii="Times New Roman" w:eastAsia="Times New Roman" w:hAnsi="Times New Roman" w:cs="Times New Roman"/>
                <w:color w:val="000000"/>
                <w:kern w:val="0"/>
                <w:szCs w:val="24"/>
                <w:lang w:eastAsia="en-IN"/>
                <w14:ligatures w14:val="none"/>
              </w:rPr>
            </w:pPr>
            <w:r w:rsidRPr="001A0C9B">
              <w:rPr>
                <w:rFonts w:ascii="Times New Roman" w:eastAsia="Times New Roman" w:hAnsi="Times New Roman" w:cs="Times New Roman"/>
                <w:color w:val="000000"/>
                <w:kern w:val="0"/>
                <w:szCs w:val="24"/>
                <w:lang w:eastAsia="en-IN"/>
                <w14:ligatures w14:val="none"/>
              </w:rPr>
              <w:t>6</w:t>
            </w:r>
          </w:p>
        </w:tc>
        <w:tc>
          <w:tcPr>
            <w:tcW w:w="1056" w:type="dxa"/>
            <w:tcBorders>
              <w:top w:val="nil"/>
              <w:left w:val="nil"/>
              <w:bottom w:val="single" w:sz="4" w:space="0" w:color="auto"/>
              <w:right w:val="single" w:sz="4" w:space="0" w:color="auto"/>
            </w:tcBorders>
            <w:noWrap/>
            <w:vAlign w:val="bottom"/>
            <w:hideMark/>
          </w:tcPr>
          <w:p w14:paraId="2689162A" w14:textId="77777777" w:rsidR="0059396E" w:rsidRPr="001A0C9B" w:rsidRDefault="0059396E" w:rsidP="00E831E0">
            <w:pPr>
              <w:spacing w:after="0" w:line="240" w:lineRule="auto"/>
              <w:jc w:val="right"/>
              <w:rPr>
                <w:rFonts w:ascii="Times New Roman" w:eastAsia="Times New Roman" w:hAnsi="Times New Roman" w:cs="Times New Roman"/>
                <w:color w:val="000000"/>
                <w:kern w:val="0"/>
                <w:szCs w:val="24"/>
                <w:lang w:eastAsia="en-IN"/>
                <w14:ligatures w14:val="none"/>
              </w:rPr>
            </w:pPr>
            <w:r w:rsidRPr="001A0C9B">
              <w:rPr>
                <w:rFonts w:ascii="Times New Roman" w:eastAsia="Times New Roman" w:hAnsi="Times New Roman" w:cs="Times New Roman"/>
                <w:color w:val="000000"/>
                <w:kern w:val="0"/>
                <w:szCs w:val="24"/>
                <w:lang w:eastAsia="en-IN"/>
                <w14:ligatures w14:val="none"/>
              </w:rPr>
              <w:t>7</w:t>
            </w:r>
          </w:p>
        </w:tc>
      </w:tr>
      <w:tr w:rsidR="0059396E" w:rsidRPr="001A0C9B" w14:paraId="02248C1F" w14:textId="77777777" w:rsidTr="00E831E0">
        <w:trPr>
          <w:trHeight w:val="384"/>
        </w:trPr>
        <w:tc>
          <w:tcPr>
            <w:tcW w:w="2186" w:type="dxa"/>
            <w:tcBorders>
              <w:top w:val="nil"/>
              <w:left w:val="single" w:sz="4" w:space="0" w:color="auto"/>
              <w:bottom w:val="single" w:sz="4" w:space="0" w:color="auto"/>
              <w:right w:val="single" w:sz="4" w:space="0" w:color="auto"/>
            </w:tcBorders>
            <w:noWrap/>
            <w:vAlign w:val="bottom"/>
            <w:hideMark/>
          </w:tcPr>
          <w:p w14:paraId="273E4075" w14:textId="77777777" w:rsidR="0059396E" w:rsidRPr="001A0C9B" w:rsidRDefault="0059396E" w:rsidP="00E831E0">
            <w:pPr>
              <w:spacing w:after="0" w:line="240" w:lineRule="auto"/>
              <w:rPr>
                <w:rFonts w:ascii="Times New Roman" w:eastAsia="Times New Roman" w:hAnsi="Times New Roman" w:cs="Times New Roman"/>
                <w:color w:val="000000"/>
                <w:kern w:val="0"/>
                <w:szCs w:val="24"/>
                <w:lang w:eastAsia="en-IN"/>
                <w14:ligatures w14:val="none"/>
              </w:rPr>
            </w:pPr>
            <w:r w:rsidRPr="001A0C9B">
              <w:rPr>
                <w:rFonts w:ascii="Times New Roman" w:eastAsia="Times New Roman" w:hAnsi="Times New Roman" w:cs="Times New Roman"/>
                <w:color w:val="000000"/>
                <w:kern w:val="0"/>
                <w:szCs w:val="24"/>
                <w:lang w:eastAsia="en-IN"/>
                <w14:ligatures w14:val="none"/>
              </w:rPr>
              <w:t>Andhra Pradesh</w:t>
            </w:r>
          </w:p>
        </w:tc>
        <w:tc>
          <w:tcPr>
            <w:tcW w:w="1124" w:type="dxa"/>
            <w:tcBorders>
              <w:top w:val="nil"/>
              <w:left w:val="nil"/>
              <w:bottom w:val="single" w:sz="4" w:space="0" w:color="auto"/>
              <w:right w:val="single" w:sz="4" w:space="0" w:color="auto"/>
            </w:tcBorders>
            <w:noWrap/>
            <w:vAlign w:val="bottom"/>
            <w:hideMark/>
          </w:tcPr>
          <w:p w14:paraId="1A3B8F77" w14:textId="77777777" w:rsidR="0059396E" w:rsidRPr="001A0C9B" w:rsidRDefault="0059396E" w:rsidP="00E831E0">
            <w:pPr>
              <w:spacing w:after="0" w:line="240" w:lineRule="auto"/>
              <w:jc w:val="right"/>
              <w:rPr>
                <w:rFonts w:ascii="Times New Roman" w:eastAsia="Times New Roman" w:hAnsi="Times New Roman" w:cs="Times New Roman"/>
                <w:color w:val="000000"/>
                <w:kern w:val="0"/>
                <w:szCs w:val="24"/>
                <w:lang w:eastAsia="en-IN"/>
                <w14:ligatures w14:val="none"/>
              </w:rPr>
            </w:pPr>
            <w:r w:rsidRPr="001A0C9B">
              <w:rPr>
                <w:rFonts w:ascii="Times New Roman" w:eastAsia="Times New Roman" w:hAnsi="Times New Roman" w:cs="Times New Roman"/>
                <w:color w:val="000000"/>
                <w:kern w:val="0"/>
                <w:szCs w:val="24"/>
                <w:lang w:eastAsia="en-IN"/>
                <w14:ligatures w14:val="none"/>
              </w:rPr>
              <w:t>23.48</w:t>
            </w:r>
          </w:p>
        </w:tc>
        <w:tc>
          <w:tcPr>
            <w:tcW w:w="1123" w:type="dxa"/>
            <w:tcBorders>
              <w:top w:val="nil"/>
              <w:left w:val="nil"/>
              <w:bottom w:val="single" w:sz="4" w:space="0" w:color="auto"/>
              <w:right w:val="single" w:sz="4" w:space="0" w:color="auto"/>
            </w:tcBorders>
            <w:noWrap/>
            <w:vAlign w:val="bottom"/>
            <w:hideMark/>
          </w:tcPr>
          <w:p w14:paraId="79FB7C3A" w14:textId="77777777" w:rsidR="0059396E" w:rsidRPr="001A0C9B" w:rsidRDefault="0059396E" w:rsidP="00E831E0">
            <w:pPr>
              <w:spacing w:after="0" w:line="240" w:lineRule="auto"/>
              <w:jc w:val="right"/>
              <w:rPr>
                <w:rFonts w:ascii="Times New Roman" w:eastAsia="Times New Roman" w:hAnsi="Times New Roman" w:cs="Times New Roman"/>
                <w:color w:val="000000"/>
                <w:kern w:val="0"/>
                <w:szCs w:val="24"/>
                <w:lang w:eastAsia="en-IN"/>
                <w14:ligatures w14:val="none"/>
              </w:rPr>
            </w:pPr>
            <w:r w:rsidRPr="001A0C9B">
              <w:rPr>
                <w:rFonts w:ascii="Times New Roman" w:eastAsia="Times New Roman" w:hAnsi="Times New Roman" w:cs="Times New Roman"/>
                <w:color w:val="000000"/>
                <w:kern w:val="0"/>
                <w:szCs w:val="24"/>
                <w:lang w:eastAsia="en-IN"/>
                <w14:ligatures w14:val="none"/>
              </w:rPr>
              <w:t>28.57</w:t>
            </w:r>
          </w:p>
        </w:tc>
        <w:tc>
          <w:tcPr>
            <w:tcW w:w="1056" w:type="dxa"/>
            <w:tcBorders>
              <w:top w:val="nil"/>
              <w:left w:val="nil"/>
              <w:bottom w:val="single" w:sz="4" w:space="0" w:color="auto"/>
              <w:right w:val="single" w:sz="4" w:space="0" w:color="auto"/>
            </w:tcBorders>
            <w:noWrap/>
            <w:vAlign w:val="bottom"/>
            <w:hideMark/>
          </w:tcPr>
          <w:p w14:paraId="3FD9BF85" w14:textId="77777777" w:rsidR="0059396E" w:rsidRPr="001A0C9B" w:rsidRDefault="0059396E" w:rsidP="00E831E0">
            <w:pPr>
              <w:spacing w:after="0" w:line="240" w:lineRule="auto"/>
              <w:jc w:val="right"/>
              <w:rPr>
                <w:rFonts w:ascii="Times New Roman" w:eastAsia="Times New Roman" w:hAnsi="Times New Roman" w:cs="Times New Roman"/>
                <w:color w:val="000000"/>
                <w:kern w:val="0"/>
                <w:szCs w:val="24"/>
                <w:lang w:eastAsia="en-IN"/>
                <w14:ligatures w14:val="none"/>
              </w:rPr>
            </w:pPr>
            <w:r w:rsidRPr="001A0C9B">
              <w:rPr>
                <w:rFonts w:ascii="Times New Roman" w:eastAsia="Times New Roman" w:hAnsi="Times New Roman" w:cs="Times New Roman"/>
                <w:color w:val="000000"/>
                <w:kern w:val="0"/>
                <w:szCs w:val="24"/>
                <w:lang w:eastAsia="en-IN"/>
                <w14:ligatures w14:val="none"/>
              </w:rPr>
              <w:t>30.41</w:t>
            </w:r>
          </w:p>
        </w:tc>
        <w:tc>
          <w:tcPr>
            <w:tcW w:w="1124" w:type="dxa"/>
            <w:tcBorders>
              <w:top w:val="nil"/>
              <w:left w:val="nil"/>
              <w:bottom w:val="single" w:sz="4" w:space="0" w:color="auto"/>
              <w:right w:val="single" w:sz="4" w:space="0" w:color="auto"/>
            </w:tcBorders>
            <w:noWrap/>
            <w:vAlign w:val="bottom"/>
            <w:hideMark/>
          </w:tcPr>
          <w:p w14:paraId="1F95344D" w14:textId="77777777" w:rsidR="0059396E" w:rsidRPr="001A0C9B" w:rsidRDefault="0059396E" w:rsidP="00E831E0">
            <w:pPr>
              <w:spacing w:after="0" w:line="240" w:lineRule="auto"/>
              <w:jc w:val="right"/>
              <w:rPr>
                <w:rFonts w:ascii="Times New Roman" w:eastAsia="Times New Roman" w:hAnsi="Times New Roman" w:cs="Times New Roman"/>
                <w:color w:val="000000"/>
                <w:kern w:val="0"/>
                <w:szCs w:val="24"/>
                <w:lang w:eastAsia="en-IN"/>
                <w14:ligatures w14:val="none"/>
              </w:rPr>
            </w:pPr>
            <w:r w:rsidRPr="001A0C9B">
              <w:rPr>
                <w:rFonts w:ascii="Times New Roman" w:eastAsia="Times New Roman" w:hAnsi="Times New Roman" w:cs="Times New Roman"/>
                <w:color w:val="000000"/>
                <w:kern w:val="0"/>
                <w:szCs w:val="24"/>
                <w:lang w:eastAsia="en-IN"/>
                <w14:ligatures w14:val="none"/>
              </w:rPr>
              <w:t>1.11</w:t>
            </w:r>
          </w:p>
        </w:tc>
        <w:tc>
          <w:tcPr>
            <w:tcW w:w="1123" w:type="dxa"/>
            <w:tcBorders>
              <w:top w:val="nil"/>
              <w:left w:val="nil"/>
              <w:bottom w:val="single" w:sz="4" w:space="0" w:color="auto"/>
              <w:right w:val="single" w:sz="4" w:space="0" w:color="auto"/>
            </w:tcBorders>
            <w:noWrap/>
            <w:vAlign w:val="bottom"/>
            <w:hideMark/>
          </w:tcPr>
          <w:p w14:paraId="3A041F6D" w14:textId="77777777" w:rsidR="0059396E" w:rsidRPr="001A0C9B" w:rsidRDefault="0059396E" w:rsidP="00E831E0">
            <w:pPr>
              <w:spacing w:after="0" w:line="240" w:lineRule="auto"/>
              <w:jc w:val="right"/>
              <w:rPr>
                <w:rFonts w:ascii="Times New Roman" w:eastAsia="Times New Roman" w:hAnsi="Times New Roman" w:cs="Times New Roman"/>
                <w:color w:val="000000"/>
                <w:kern w:val="0"/>
                <w:szCs w:val="24"/>
                <w:lang w:eastAsia="en-IN"/>
                <w14:ligatures w14:val="none"/>
              </w:rPr>
            </w:pPr>
            <w:r w:rsidRPr="001A0C9B">
              <w:rPr>
                <w:rFonts w:ascii="Times New Roman" w:eastAsia="Times New Roman" w:hAnsi="Times New Roman" w:cs="Times New Roman"/>
                <w:color w:val="000000"/>
                <w:kern w:val="0"/>
                <w:szCs w:val="24"/>
                <w:lang w:eastAsia="en-IN"/>
                <w14:ligatures w14:val="none"/>
              </w:rPr>
              <w:t>1.52</w:t>
            </w:r>
          </w:p>
        </w:tc>
        <w:tc>
          <w:tcPr>
            <w:tcW w:w="1056" w:type="dxa"/>
            <w:tcBorders>
              <w:top w:val="nil"/>
              <w:left w:val="nil"/>
              <w:bottom w:val="single" w:sz="4" w:space="0" w:color="auto"/>
              <w:right w:val="single" w:sz="4" w:space="0" w:color="auto"/>
            </w:tcBorders>
            <w:noWrap/>
            <w:vAlign w:val="bottom"/>
            <w:hideMark/>
          </w:tcPr>
          <w:p w14:paraId="4B366DF1" w14:textId="77777777" w:rsidR="0059396E" w:rsidRPr="001A0C9B" w:rsidRDefault="0059396E" w:rsidP="00E831E0">
            <w:pPr>
              <w:spacing w:after="0" w:line="240" w:lineRule="auto"/>
              <w:jc w:val="right"/>
              <w:rPr>
                <w:rFonts w:ascii="Times New Roman" w:eastAsia="Times New Roman" w:hAnsi="Times New Roman" w:cs="Times New Roman"/>
                <w:color w:val="000000"/>
                <w:kern w:val="0"/>
                <w:szCs w:val="24"/>
                <w:lang w:eastAsia="en-IN"/>
                <w14:ligatures w14:val="none"/>
              </w:rPr>
            </w:pPr>
            <w:r w:rsidRPr="001A0C9B">
              <w:rPr>
                <w:rFonts w:ascii="Times New Roman" w:eastAsia="Times New Roman" w:hAnsi="Times New Roman" w:cs="Times New Roman"/>
                <w:color w:val="000000"/>
                <w:kern w:val="0"/>
                <w:szCs w:val="24"/>
                <w:lang w:eastAsia="en-IN"/>
                <w14:ligatures w14:val="none"/>
              </w:rPr>
              <w:t>4.36</w:t>
            </w:r>
          </w:p>
        </w:tc>
      </w:tr>
      <w:tr w:rsidR="0059396E" w:rsidRPr="001A0C9B" w14:paraId="5595051D" w14:textId="77777777" w:rsidTr="00E831E0">
        <w:trPr>
          <w:trHeight w:val="384"/>
        </w:trPr>
        <w:tc>
          <w:tcPr>
            <w:tcW w:w="2186" w:type="dxa"/>
            <w:tcBorders>
              <w:top w:val="nil"/>
              <w:left w:val="single" w:sz="4" w:space="0" w:color="auto"/>
              <w:bottom w:val="single" w:sz="4" w:space="0" w:color="auto"/>
              <w:right w:val="single" w:sz="4" w:space="0" w:color="auto"/>
            </w:tcBorders>
            <w:noWrap/>
            <w:vAlign w:val="bottom"/>
            <w:hideMark/>
          </w:tcPr>
          <w:p w14:paraId="4F20455F" w14:textId="77777777" w:rsidR="0059396E" w:rsidRPr="001A0C9B" w:rsidRDefault="0059396E" w:rsidP="00E831E0">
            <w:pPr>
              <w:spacing w:after="0" w:line="240" w:lineRule="auto"/>
              <w:rPr>
                <w:rFonts w:ascii="Times New Roman" w:eastAsia="Times New Roman" w:hAnsi="Times New Roman" w:cs="Times New Roman"/>
                <w:color w:val="000000"/>
                <w:kern w:val="0"/>
                <w:szCs w:val="24"/>
                <w:lang w:eastAsia="en-IN"/>
                <w14:ligatures w14:val="none"/>
              </w:rPr>
            </w:pPr>
            <w:r w:rsidRPr="001A0C9B">
              <w:rPr>
                <w:rFonts w:ascii="Times New Roman" w:eastAsia="Times New Roman" w:hAnsi="Times New Roman" w:cs="Times New Roman"/>
                <w:color w:val="000000"/>
                <w:kern w:val="0"/>
                <w:szCs w:val="24"/>
                <w:lang w:eastAsia="en-IN"/>
                <w14:ligatures w14:val="none"/>
              </w:rPr>
              <w:t>Assam</w:t>
            </w:r>
          </w:p>
        </w:tc>
        <w:tc>
          <w:tcPr>
            <w:tcW w:w="1124" w:type="dxa"/>
            <w:tcBorders>
              <w:top w:val="nil"/>
              <w:left w:val="nil"/>
              <w:bottom w:val="single" w:sz="4" w:space="0" w:color="auto"/>
              <w:right w:val="single" w:sz="4" w:space="0" w:color="auto"/>
            </w:tcBorders>
            <w:noWrap/>
            <w:vAlign w:val="bottom"/>
            <w:hideMark/>
          </w:tcPr>
          <w:p w14:paraId="24122BA0" w14:textId="77777777" w:rsidR="0059396E" w:rsidRPr="001A0C9B" w:rsidRDefault="0059396E" w:rsidP="00E831E0">
            <w:pPr>
              <w:spacing w:after="0" w:line="240" w:lineRule="auto"/>
              <w:jc w:val="right"/>
              <w:rPr>
                <w:rFonts w:ascii="Times New Roman" w:eastAsia="Times New Roman" w:hAnsi="Times New Roman" w:cs="Times New Roman"/>
                <w:color w:val="000000"/>
                <w:kern w:val="0"/>
                <w:szCs w:val="24"/>
                <w:lang w:eastAsia="en-IN"/>
                <w14:ligatures w14:val="none"/>
              </w:rPr>
            </w:pPr>
            <w:r w:rsidRPr="001A0C9B">
              <w:rPr>
                <w:rFonts w:ascii="Times New Roman" w:eastAsia="Times New Roman" w:hAnsi="Times New Roman" w:cs="Times New Roman"/>
                <w:color w:val="000000"/>
                <w:kern w:val="0"/>
                <w:szCs w:val="24"/>
                <w:lang w:eastAsia="en-IN"/>
                <w14:ligatures w14:val="none"/>
              </w:rPr>
              <w:t>7.39</w:t>
            </w:r>
          </w:p>
        </w:tc>
        <w:tc>
          <w:tcPr>
            <w:tcW w:w="1123" w:type="dxa"/>
            <w:tcBorders>
              <w:top w:val="nil"/>
              <w:left w:val="nil"/>
              <w:bottom w:val="single" w:sz="4" w:space="0" w:color="auto"/>
              <w:right w:val="single" w:sz="4" w:space="0" w:color="auto"/>
            </w:tcBorders>
            <w:noWrap/>
            <w:vAlign w:val="bottom"/>
            <w:hideMark/>
          </w:tcPr>
          <w:p w14:paraId="682068FF" w14:textId="77777777" w:rsidR="0059396E" w:rsidRPr="001A0C9B" w:rsidRDefault="0059396E" w:rsidP="00E831E0">
            <w:pPr>
              <w:spacing w:after="0" w:line="240" w:lineRule="auto"/>
              <w:jc w:val="right"/>
              <w:rPr>
                <w:rFonts w:ascii="Times New Roman" w:eastAsia="Times New Roman" w:hAnsi="Times New Roman" w:cs="Times New Roman"/>
                <w:color w:val="000000"/>
                <w:kern w:val="0"/>
                <w:szCs w:val="24"/>
                <w:lang w:eastAsia="en-IN"/>
                <w14:ligatures w14:val="none"/>
              </w:rPr>
            </w:pPr>
            <w:r w:rsidRPr="001A0C9B">
              <w:rPr>
                <w:rFonts w:ascii="Times New Roman" w:eastAsia="Times New Roman" w:hAnsi="Times New Roman" w:cs="Times New Roman"/>
                <w:color w:val="000000"/>
                <w:kern w:val="0"/>
                <w:szCs w:val="24"/>
                <w:lang w:eastAsia="en-IN"/>
                <w14:ligatures w14:val="none"/>
              </w:rPr>
              <w:t>7.96</w:t>
            </w:r>
          </w:p>
        </w:tc>
        <w:tc>
          <w:tcPr>
            <w:tcW w:w="1056" w:type="dxa"/>
            <w:tcBorders>
              <w:top w:val="nil"/>
              <w:left w:val="nil"/>
              <w:bottom w:val="single" w:sz="4" w:space="0" w:color="auto"/>
              <w:right w:val="single" w:sz="4" w:space="0" w:color="auto"/>
            </w:tcBorders>
            <w:noWrap/>
            <w:vAlign w:val="bottom"/>
            <w:hideMark/>
          </w:tcPr>
          <w:p w14:paraId="3E68F09A" w14:textId="77777777" w:rsidR="0059396E" w:rsidRPr="001A0C9B" w:rsidRDefault="0059396E" w:rsidP="00E831E0">
            <w:pPr>
              <w:spacing w:after="0" w:line="240" w:lineRule="auto"/>
              <w:jc w:val="right"/>
              <w:rPr>
                <w:rFonts w:ascii="Times New Roman" w:eastAsia="Times New Roman" w:hAnsi="Times New Roman" w:cs="Times New Roman"/>
                <w:color w:val="000000"/>
                <w:kern w:val="0"/>
                <w:szCs w:val="24"/>
                <w:lang w:eastAsia="en-IN"/>
                <w14:ligatures w14:val="none"/>
              </w:rPr>
            </w:pPr>
            <w:r w:rsidRPr="001A0C9B">
              <w:rPr>
                <w:rFonts w:ascii="Times New Roman" w:eastAsia="Times New Roman" w:hAnsi="Times New Roman" w:cs="Times New Roman"/>
                <w:color w:val="000000"/>
                <w:kern w:val="0"/>
                <w:szCs w:val="24"/>
                <w:lang w:eastAsia="en-IN"/>
                <w14:ligatures w14:val="none"/>
              </w:rPr>
              <w:t>7.39</w:t>
            </w:r>
          </w:p>
        </w:tc>
        <w:tc>
          <w:tcPr>
            <w:tcW w:w="1124" w:type="dxa"/>
            <w:tcBorders>
              <w:top w:val="nil"/>
              <w:left w:val="nil"/>
              <w:bottom w:val="single" w:sz="4" w:space="0" w:color="auto"/>
              <w:right w:val="single" w:sz="4" w:space="0" w:color="auto"/>
            </w:tcBorders>
            <w:noWrap/>
            <w:vAlign w:val="bottom"/>
            <w:hideMark/>
          </w:tcPr>
          <w:p w14:paraId="5AE32859" w14:textId="77777777" w:rsidR="0059396E" w:rsidRPr="001A0C9B" w:rsidRDefault="0059396E" w:rsidP="00E831E0">
            <w:pPr>
              <w:spacing w:after="0" w:line="240" w:lineRule="auto"/>
              <w:jc w:val="right"/>
              <w:rPr>
                <w:rFonts w:ascii="Times New Roman" w:eastAsia="Times New Roman" w:hAnsi="Times New Roman" w:cs="Times New Roman"/>
                <w:color w:val="000000"/>
                <w:kern w:val="0"/>
                <w:szCs w:val="24"/>
                <w:lang w:eastAsia="en-IN"/>
                <w14:ligatures w14:val="none"/>
              </w:rPr>
            </w:pPr>
            <w:r w:rsidRPr="001A0C9B">
              <w:rPr>
                <w:rFonts w:ascii="Times New Roman" w:eastAsia="Times New Roman" w:hAnsi="Times New Roman" w:cs="Times New Roman"/>
                <w:color w:val="000000"/>
                <w:kern w:val="0"/>
                <w:szCs w:val="24"/>
                <w:lang w:eastAsia="en-IN"/>
                <w14:ligatures w14:val="none"/>
              </w:rPr>
              <w:t>0.6</w:t>
            </w:r>
          </w:p>
        </w:tc>
        <w:tc>
          <w:tcPr>
            <w:tcW w:w="1123" w:type="dxa"/>
            <w:tcBorders>
              <w:top w:val="nil"/>
              <w:left w:val="nil"/>
              <w:bottom w:val="single" w:sz="4" w:space="0" w:color="auto"/>
              <w:right w:val="single" w:sz="4" w:space="0" w:color="auto"/>
            </w:tcBorders>
            <w:noWrap/>
            <w:vAlign w:val="bottom"/>
            <w:hideMark/>
          </w:tcPr>
          <w:p w14:paraId="578FC775" w14:textId="77777777" w:rsidR="0059396E" w:rsidRPr="001A0C9B" w:rsidRDefault="0059396E" w:rsidP="00E831E0">
            <w:pPr>
              <w:spacing w:after="0" w:line="240" w:lineRule="auto"/>
              <w:jc w:val="right"/>
              <w:rPr>
                <w:rFonts w:ascii="Times New Roman" w:eastAsia="Times New Roman" w:hAnsi="Times New Roman" w:cs="Times New Roman"/>
                <w:color w:val="000000"/>
                <w:kern w:val="0"/>
                <w:szCs w:val="24"/>
                <w:lang w:eastAsia="en-IN"/>
                <w14:ligatures w14:val="none"/>
              </w:rPr>
            </w:pPr>
            <w:r w:rsidRPr="001A0C9B">
              <w:rPr>
                <w:rFonts w:ascii="Times New Roman" w:eastAsia="Times New Roman" w:hAnsi="Times New Roman" w:cs="Times New Roman"/>
                <w:color w:val="000000"/>
                <w:kern w:val="0"/>
                <w:szCs w:val="24"/>
                <w:lang w:eastAsia="en-IN"/>
                <w14:ligatures w14:val="none"/>
              </w:rPr>
              <w:t>0.43</w:t>
            </w:r>
          </w:p>
        </w:tc>
        <w:tc>
          <w:tcPr>
            <w:tcW w:w="1056" w:type="dxa"/>
            <w:tcBorders>
              <w:top w:val="nil"/>
              <w:left w:val="nil"/>
              <w:bottom w:val="single" w:sz="4" w:space="0" w:color="auto"/>
              <w:right w:val="single" w:sz="4" w:space="0" w:color="auto"/>
            </w:tcBorders>
            <w:noWrap/>
            <w:vAlign w:val="bottom"/>
            <w:hideMark/>
          </w:tcPr>
          <w:p w14:paraId="41E3A746" w14:textId="77777777" w:rsidR="0059396E" w:rsidRPr="001A0C9B" w:rsidRDefault="0059396E" w:rsidP="00E831E0">
            <w:pPr>
              <w:spacing w:after="0" w:line="240" w:lineRule="auto"/>
              <w:jc w:val="right"/>
              <w:rPr>
                <w:rFonts w:ascii="Times New Roman" w:eastAsia="Times New Roman" w:hAnsi="Times New Roman" w:cs="Times New Roman"/>
                <w:color w:val="000000"/>
                <w:kern w:val="0"/>
                <w:szCs w:val="24"/>
                <w:lang w:eastAsia="en-IN"/>
                <w14:ligatures w14:val="none"/>
              </w:rPr>
            </w:pPr>
            <w:r w:rsidRPr="001A0C9B">
              <w:rPr>
                <w:rFonts w:ascii="Times New Roman" w:eastAsia="Times New Roman" w:hAnsi="Times New Roman" w:cs="Times New Roman"/>
                <w:color w:val="000000"/>
                <w:kern w:val="0"/>
                <w:szCs w:val="24"/>
                <w:lang w:eastAsia="en-IN"/>
                <w14:ligatures w14:val="none"/>
              </w:rPr>
              <w:t>0.6</w:t>
            </w:r>
          </w:p>
        </w:tc>
      </w:tr>
      <w:tr w:rsidR="0059396E" w:rsidRPr="001A0C9B" w14:paraId="4AB434E0" w14:textId="77777777" w:rsidTr="00E831E0">
        <w:trPr>
          <w:trHeight w:val="384"/>
        </w:trPr>
        <w:tc>
          <w:tcPr>
            <w:tcW w:w="2186" w:type="dxa"/>
            <w:tcBorders>
              <w:top w:val="nil"/>
              <w:left w:val="single" w:sz="4" w:space="0" w:color="auto"/>
              <w:bottom w:val="single" w:sz="4" w:space="0" w:color="auto"/>
              <w:right w:val="single" w:sz="4" w:space="0" w:color="auto"/>
            </w:tcBorders>
            <w:noWrap/>
            <w:vAlign w:val="bottom"/>
            <w:hideMark/>
          </w:tcPr>
          <w:p w14:paraId="50F21DD3" w14:textId="77777777" w:rsidR="0059396E" w:rsidRPr="001A0C9B" w:rsidRDefault="0059396E" w:rsidP="00E831E0">
            <w:pPr>
              <w:spacing w:after="0" w:line="240" w:lineRule="auto"/>
              <w:rPr>
                <w:rFonts w:ascii="Times New Roman" w:eastAsia="Times New Roman" w:hAnsi="Times New Roman" w:cs="Times New Roman"/>
                <w:color w:val="000000"/>
                <w:kern w:val="0"/>
                <w:szCs w:val="24"/>
                <w:lang w:eastAsia="en-IN"/>
                <w14:ligatures w14:val="none"/>
              </w:rPr>
            </w:pPr>
            <w:r w:rsidRPr="001A0C9B">
              <w:rPr>
                <w:rFonts w:ascii="Times New Roman" w:eastAsia="Times New Roman" w:hAnsi="Times New Roman" w:cs="Times New Roman"/>
                <w:color w:val="000000"/>
                <w:kern w:val="0"/>
                <w:szCs w:val="24"/>
                <w:lang w:eastAsia="en-IN"/>
                <w14:ligatures w14:val="none"/>
              </w:rPr>
              <w:t>Bihar</w:t>
            </w:r>
          </w:p>
        </w:tc>
        <w:tc>
          <w:tcPr>
            <w:tcW w:w="1124" w:type="dxa"/>
            <w:tcBorders>
              <w:top w:val="nil"/>
              <w:left w:val="nil"/>
              <w:bottom w:val="single" w:sz="4" w:space="0" w:color="auto"/>
              <w:right w:val="single" w:sz="4" w:space="0" w:color="auto"/>
            </w:tcBorders>
            <w:noWrap/>
            <w:vAlign w:val="bottom"/>
            <w:hideMark/>
          </w:tcPr>
          <w:p w14:paraId="736EFDE4" w14:textId="77777777" w:rsidR="0059396E" w:rsidRPr="001A0C9B" w:rsidRDefault="0059396E" w:rsidP="00E831E0">
            <w:pPr>
              <w:spacing w:after="0" w:line="240" w:lineRule="auto"/>
              <w:jc w:val="right"/>
              <w:rPr>
                <w:rFonts w:ascii="Times New Roman" w:eastAsia="Times New Roman" w:hAnsi="Times New Roman" w:cs="Times New Roman"/>
                <w:color w:val="000000"/>
                <w:kern w:val="0"/>
                <w:szCs w:val="24"/>
                <w:lang w:eastAsia="en-IN"/>
                <w14:ligatures w14:val="none"/>
              </w:rPr>
            </w:pPr>
            <w:r w:rsidRPr="001A0C9B">
              <w:rPr>
                <w:rFonts w:ascii="Times New Roman" w:eastAsia="Times New Roman" w:hAnsi="Times New Roman" w:cs="Times New Roman"/>
                <w:color w:val="000000"/>
                <w:kern w:val="0"/>
                <w:szCs w:val="24"/>
                <w:lang w:eastAsia="en-IN"/>
                <w14:ligatures w14:val="none"/>
              </w:rPr>
              <w:t>15.32</w:t>
            </w:r>
          </w:p>
        </w:tc>
        <w:tc>
          <w:tcPr>
            <w:tcW w:w="1123" w:type="dxa"/>
            <w:tcBorders>
              <w:top w:val="nil"/>
              <w:left w:val="nil"/>
              <w:bottom w:val="single" w:sz="4" w:space="0" w:color="auto"/>
              <w:right w:val="single" w:sz="4" w:space="0" w:color="auto"/>
            </w:tcBorders>
            <w:noWrap/>
            <w:vAlign w:val="bottom"/>
            <w:hideMark/>
          </w:tcPr>
          <w:p w14:paraId="040F16A8" w14:textId="77777777" w:rsidR="0059396E" w:rsidRPr="001A0C9B" w:rsidRDefault="0059396E" w:rsidP="00E831E0">
            <w:pPr>
              <w:spacing w:after="0" w:line="240" w:lineRule="auto"/>
              <w:jc w:val="right"/>
              <w:rPr>
                <w:rFonts w:ascii="Times New Roman" w:eastAsia="Times New Roman" w:hAnsi="Times New Roman" w:cs="Times New Roman"/>
                <w:color w:val="000000"/>
                <w:kern w:val="0"/>
                <w:szCs w:val="24"/>
                <w:lang w:eastAsia="en-IN"/>
                <w14:ligatures w14:val="none"/>
              </w:rPr>
            </w:pPr>
            <w:r w:rsidRPr="001A0C9B">
              <w:rPr>
                <w:rFonts w:ascii="Times New Roman" w:eastAsia="Times New Roman" w:hAnsi="Times New Roman" w:cs="Times New Roman"/>
                <w:color w:val="000000"/>
                <w:kern w:val="0"/>
                <w:szCs w:val="24"/>
                <w:lang w:eastAsia="en-IN"/>
                <w14:ligatures w14:val="none"/>
              </w:rPr>
              <w:t>19.83</w:t>
            </w:r>
          </w:p>
        </w:tc>
        <w:tc>
          <w:tcPr>
            <w:tcW w:w="1056" w:type="dxa"/>
            <w:tcBorders>
              <w:top w:val="nil"/>
              <w:left w:val="nil"/>
              <w:bottom w:val="single" w:sz="4" w:space="0" w:color="auto"/>
              <w:right w:val="single" w:sz="4" w:space="0" w:color="auto"/>
            </w:tcBorders>
            <w:noWrap/>
            <w:vAlign w:val="bottom"/>
            <w:hideMark/>
          </w:tcPr>
          <w:p w14:paraId="51E4E433" w14:textId="77777777" w:rsidR="0059396E" w:rsidRPr="001A0C9B" w:rsidRDefault="0059396E" w:rsidP="00E831E0">
            <w:pPr>
              <w:spacing w:after="0" w:line="240" w:lineRule="auto"/>
              <w:jc w:val="right"/>
              <w:rPr>
                <w:rFonts w:ascii="Times New Roman" w:eastAsia="Times New Roman" w:hAnsi="Times New Roman" w:cs="Times New Roman"/>
                <w:color w:val="000000"/>
                <w:kern w:val="0"/>
                <w:szCs w:val="24"/>
                <w:lang w:eastAsia="en-IN"/>
                <w14:ligatures w14:val="none"/>
              </w:rPr>
            </w:pPr>
            <w:r w:rsidRPr="001A0C9B">
              <w:rPr>
                <w:rFonts w:ascii="Times New Roman" w:eastAsia="Times New Roman" w:hAnsi="Times New Roman" w:cs="Times New Roman"/>
                <w:color w:val="000000"/>
                <w:kern w:val="0"/>
                <w:szCs w:val="24"/>
                <w:lang w:eastAsia="en-IN"/>
                <w14:ligatures w14:val="none"/>
              </w:rPr>
              <w:t>27.14</w:t>
            </w:r>
          </w:p>
        </w:tc>
        <w:tc>
          <w:tcPr>
            <w:tcW w:w="1124" w:type="dxa"/>
            <w:tcBorders>
              <w:top w:val="nil"/>
              <w:left w:val="nil"/>
              <w:bottom w:val="single" w:sz="4" w:space="0" w:color="auto"/>
              <w:right w:val="single" w:sz="4" w:space="0" w:color="auto"/>
            </w:tcBorders>
            <w:noWrap/>
            <w:vAlign w:val="bottom"/>
            <w:hideMark/>
          </w:tcPr>
          <w:p w14:paraId="55136912" w14:textId="77777777" w:rsidR="0059396E" w:rsidRPr="001A0C9B" w:rsidRDefault="0059396E" w:rsidP="00E831E0">
            <w:pPr>
              <w:spacing w:after="0" w:line="240" w:lineRule="auto"/>
              <w:jc w:val="right"/>
              <w:rPr>
                <w:rFonts w:ascii="Times New Roman" w:eastAsia="Times New Roman" w:hAnsi="Times New Roman" w:cs="Times New Roman"/>
                <w:color w:val="000000"/>
                <w:kern w:val="0"/>
                <w:szCs w:val="24"/>
                <w:lang w:eastAsia="en-IN"/>
                <w14:ligatures w14:val="none"/>
              </w:rPr>
            </w:pPr>
            <w:r w:rsidRPr="001A0C9B">
              <w:rPr>
                <w:rFonts w:ascii="Times New Roman" w:eastAsia="Times New Roman" w:hAnsi="Times New Roman" w:cs="Times New Roman"/>
                <w:color w:val="000000"/>
                <w:kern w:val="0"/>
                <w:szCs w:val="24"/>
                <w:lang w:eastAsia="en-IN"/>
                <w14:ligatures w14:val="none"/>
              </w:rPr>
              <w:t>6.11</w:t>
            </w:r>
          </w:p>
        </w:tc>
        <w:tc>
          <w:tcPr>
            <w:tcW w:w="1123" w:type="dxa"/>
            <w:tcBorders>
              <w:top w:val="nil"/>
              <w:left w:val="nil"/>
              <w:bottom w:val="single" w:sz="4" w:space="0" w:color="auto"/>
              <w:right w:val="single" w:sz="4" w:space="0" w:color="auto"/>
            </w:tcBorders>
            <w:noWrap/>
            <w:vAlign w:val="bottom"/>
            <w:hideMark/>
          </w:tcPr>
          <w:p w14:paraId="64B2AAA2" w14:textId="77777777" w:rsidR="0059396E" w:rsidRPr="001A0C9B" w:rsidRDefault="0059396E" w:rsidP="00E831E0">
            <w:pPr>
              <w:spacing w:after="0" w:line="240" w:lineRule="auto"/>
              <w:jc w:val="right"/>
              <w:rPr>
                <w:rFonts w:ascii="Times New Roman" w:eastAsia="Times New Roman" w:hAnsi="Times New Roman" w:cs="Times New Roman"/>
                <w:color w:val="000000"/>
                <w:kern w:val="0"/>
                <w:szCs w:val="24"/>
                <w:lang w:eastAsia="en-IN"/>
                <w14:ligatures w14:val="none"/>
              </w:rPr>
            </w:pPr>
            <w:r w:rsidRPr="001A0C9B">
              <w:rPr>
                <w:rFonts w:ascii="Times New Roman" w:eastAsia="Times New Roman" w:hAnsi="Times New Roman" w:cs="Times New Roman"/>
                <w:color w:val="000000"/>
                <w:kern w:val="0"/>
                <w:szCs w:val="24"/>
                <w:lang w:eastAsia="en-IN"/>
                <w14:ligatures w14:val="none"/>
              </w:rPr>
              <w:t>6.82</w:t>
            </w:r>
          </w:p>
        </w:tc>
        <w:tc>
          <w:tcPr>
            <w:tcW w:w="1056" w:type="dxa"/>
            <w:tcBorders>
              <w:top w:val="nil"/>
              <w:left w:val="nil"/>
              <w:bottom w:val="single" w:sz="4" w:space="0" w:color="auto"/>
              <w:right w:val="single" w:sz="4" w:space="0" w:color="auto"/>
            </w:tcBorders>
            <w:noWrap/>
            <w:vAlign w:val="bottom"/>
            <w:hideMark/>
          </w:tcPr>
          <w:p w14:paraId="3548F38D" w14:textId="77777777" w:rsidR="0059396E" w:rsidRPr="001A0C9B" w:rsidRDefault="0059396E" w:rsidP="00E831E0">
            <w:pPr>
              <w:spacing w:after="0" w:line="240" w:lineRule="auto"/>
              <w:jc w:val="right"/>
              <w:rPr>
                <w:rFonts w:ascii="Times New Roman" w:eastAsia="Times New Roman" w:hAnsi="Times New Roman" w:cs="Times New Roman"/>
                <w:color w:val="000000"/>
                <w:kern w:val="0"/>
                <w:szCs w:val="24"/>
                <w:lang w:eastAsia="en-IN"/>
                <w14:ligatures w14:val="none"/>
              </w:rPr>
            </w:pPr>
            <w:r w:rsidRPr="001A0C9B">
              <w:rPr>
                <w:rFonts w:ascii="Times New Roman" w:eastAsia="Times New Roman" w:hAnsi="Times New Roman" w:cs="Times New Roman"/>
                <w:color w:val="000000"/>
                <w:kern w:val="0"/>
                <w:szCs w:val="24"/>
                <w:lang w:eastAsia="en-IN"/>
                <w14:ligatures w14:val="none"/>
              </w:rPr>
              <w:t>7.4</w:t>
            </w:r>
          </w:p>
        </w:tc>
      </w:tr>
      <w:tr w:rsidR="0059396E" w:rsidRPr="001A0C9B" w14:paraId="713E16F9" w14:textId="77777777" w:rsidTr="00E831E0">
        <w:trPr>
          <w:trHeight w:val="384"/>
        </w:trPr>
        <w:tc>
          <w:tcPr>
            <w:tcW w:w="2186" w:type="dxa"/>
            <w:tcBorders>
              <w:top w:val="nil"/>
              <w:left w:val="single" w:sz="4" w:space="0" w:color="auto"/>
              <w:bottom w:val="single" w:sz="4" w:space="0" w:color="auto"/>
              <w:right w:val="single" w:sz="4" w:space="0" w:color="auto"/>
            </w:tcBorders>
            <w:noWrap/>
            <w:vAlign w:val="bottom"/>
            <w:hideMark/>
          </w:tcPr>
          <w:p w14:paraId="7E5D483E" w14:textId="77777777" w:rsidR="0059396E" w:rsidRPr="001A0C9B" w:rsidRDefault="0059396E" w:rsidP="00E831E0">
            <w:pPr>
              <w:spacing w:after="0" w:line="240" w:lineRule="auto"/>
              <w:rPr>
                <w:rFonts w:ascii="Times New Roman" w:eastAsia="Times New Roman" w:hAnsi="Times New Roman" w:cs="Times New Roman"/>
                <w:color w:val="000000"/>
                <w:kern w:val="0"/>
                <w:szCs w:val="24"/>
                <w:lang w:eastAsia="en-IN"/>
                <w14:ligatures w14:val="none"/>
              </w:rPr>
            </w:pPr>
            <w:r w:rsidRPr="001A0C9B">
              <w:rPr>
                <w:rFonts w:ascii="Times New Roman" w:eastAsia="Times New Roman" w:hAnsi="Times New Roman" w:cs="Times New Roman"/>
                <w:color w:val="000000"/>
                <w:kern w:val="0"/>
                <w:szCs w:val="24"/>
                <w:lang w:eastAsia="en-IN"/>
                <w14:ligatures w14:val="none"/>
              </w:rPr>
              <w:t>Gujarat</w:t>
            </w:r>
          </w:p>
        </w:tc>
        <w:tc>
          <w:tcPr>
            <w:tcW w:w="1124" w:type="dxa"/>
            <w:tcBorders>
              <w:top w:val="nil"/>
              <w:left w:val="nil"/>
              <w:bottom w:val="single" w:sz="4" w:space="0" w:color="auto"/>
              <w:right w:val="single" w:sz="4" w:space="0" w:color="auto"/>
            </w:tcBorders>
            <w:noWrap/>
            <w:vAlign w:val="bottom"/>
            <w:hideMark/>
          </w:tcPr>
          <w:p w14:paraId="5BA96EAE" w14:textId="77777777" w:rsidR="0059396E" w:rsidRPr="001A0C9B" w:rsidRDefault="0059396E" w:rsidP="00E831E0">
            <w:pPr>
              <w:spacing w:after="0" w:line="240" w:lineRule="auto"/>
              <w:jc w:val="right"/>
              <w:rPr>
                <w:rFonts w:ascii="Times New Roman" w:eastAsia="Times New Roman" w:hAnsi="Times New Roman" w:cs="Times New Roman"/>
                <w:color w:val="000000"/>
                <w:kern w:val="0"/>
                <w:szCs w:val="24"/>
                <w:lang w:eastAsia="en-IN"/>
                <w14:ligatures w14:val="none"/>
              </w:rPr>
            </w:pPr>
            <w:r w:rsidRPr="001A0C9B">
              <w:rPr>
                <w:rFonts w:ascii="Times New Roman" w:eastAsia="Times New Roman" w:hAnsi="Times New Roman" w:cs="Times New Roman"/>
                <w:color w:val="000000"/>
                <w:kern w:val="0"/>
                <w:szCs w:val="24"/>
                <w:lang w:eastAsia="en-IN"/>
                <w14:ligatures w14:val="none"/>
              </w:rPr>
              <w:t>22.26</w:t>
            </w:r>
          </w:p>
        </w:tc>
        <w:tc>
          <w:tcPr>
            <w:tcW w:w="1123" w:type="dxa"/>
            <w:tcBorders>
              <w:top w:val="nil"/>
              <w:left w:val="nil"/>
              <w:bottom w:val="single" w:sz="4" w:space="0" w:color="auto"/>
              <w:right w:val="single" w:sz="4" w:space="0" w:color="auto"/>
            </w:tcBorders>
            <w:noWrap/>
            <w:vAlign w:val="bottom"/>
            <w:hideMark/>
          </w:tcPr>
          <w:p w14:paraId="0E07E24E" w14:textId="77777777" w:rsidR="0059396E" w:rsidRPr="001A0C9B" w:rsidRDefault="0059396E" w:rsidP="00E831E0">
            <w:pPr>
              <w:spacing w:after="0" w:line="240" w:lineRule="auto"/>
              <w:jc w:val="right"/>
              <w:rPr>
                <w:rFonts w:ascii="Times New Roman" w:eastAsia="Times New Roman" w:hAnsi="Times New Roman" w:cs="Times New Roman"/>
                <w:color w:val="000000"/>
                <w:kern w:val="0"/>
                <w:szCs w:val="24"/>
                <w:lang w:eastAsia="en-IN"/>
                <w14:ligatures w14:val="none"/>
              </w:rPr>
            </w:pPr>
            <w:r w:rsidRPr="001A0C9B">
              <w:rPr>
                <w:rFonts w:ascii="Times New Roman" w:eastAsia="Times New Roman" w:hAnsi="Times New Roman" w:cs="Times New Roman"/>
                <w:color w:val="000000"/>
                <w:kern w:val="0"/>
                <w:szCs w:val="24"/>
                <w:lang w:eastAsia="en-IN"/>
                <w14:ligatures w14:val="none"/>
              </w:rPr>
              <w:t>28.59</w:t>
            </w:r>
          </w:p>
        </w:tc>
        <w:tc>
          <w:tcPr>
            <w:tcW w:w="1056" w:type="dxa"/>
            <w:tcBorders>
              <w:top w:val="nil"/>
              <w:left w:val="nil"/>
              <w:bottom w:val="single" w:sz="4" w:space="0" w:color="auto"/>
              <w:right w:val="single" w:sz="4" w:space="0" w:color="auto"/>
            </w:tcBorders>
            <w:noWrap/>
            <w:vAlign w:val="bottom"/>
            <w:hideMark/>
          </w:tcPr>
          <w:p w14:paraId="5F817CB0" w14:textId="77777777" w:rsidR="0059396E" w:rsidRPr="001A0C9B" w:rsidRDefault="0059396E" w:rsidP="00E831E0">
            <w:pPr>
              <w:spacing w:after="0" w:line="240" w:lineRule="auto"/>
              <w:jc w:val="right"/>
              <w:rPr>
                <w:rFonts w:ascii="Times New Roman" w:eastAsia="Times New Roman" w:hAnsi="Times New Roman" w:cs="Times New Roman"/>
                <w:color w:val="000000"/>
                <w:kern w:val="0"/>
                <w:szCs w:val="24"/>
                <w:lang w:eastAsia="en-IN"/>
                <w14:ligatures w14:val="none"/>
              </w:rPr>
            </w:pPr>
            <w:r w:rsidRPr="001A0C9B">
              <w:rPr>
                <w:rFonts w:ascii="Times New Roman" w:eastAsia="Times New Roman" w:hAnsi="Times New Roman" w:cs="Times New Roman"/>
                <w:color w:val="000000"/>
                <w:kern w:val="0"/>
                <w:szCs w:val="24"/>
                <w:lang w:eastAsia="en-IN"/>
                <w14:ligatures w14:val="none"/>
              </w:rPr>
              <w:t>31.58</w:t>
            </w:r>
          </w:p>
        </w:tc>
        <w:tc>
          <w:tcPr>
            <w:tcW w:w="1124" w:type="dxa"/>
            <w:tcBorders>
              <w:top w:val="nil"/>
              <w:left w:val="nil"/>
              <w:bottom w:val="single" w:sz="4" w:space="0" w:color="auto"/>
              <w:right w:val="single" w:sz="4" w:space="0" w:color="auto"/>
            </w:tcBorders>
            <w:noWrap/>
            <w:vAlign w:val="bottom"/>
            <w:hideMark/>
          </w:tcPr>
          <w:p w14:paraId="0599482E" w14:textId="77777777" w:rsidR="0059396E" w:rsidRPr="001A0C9B" w:rsidRDefault="0059396E" w:rsidP="00E831E0">
            <w:pPr>
              <w:spacing w:after="0" w:line="240" w:lineRule="auto"/>
              <w:jc w:val="right"/>
              <w:rPr>
                <w:rFonts w:ascii="Times New Roman" w:eastAsia="Times New Roman" w:hAnsi="Times New Roman" w:cs="Times New Roman"/>
                <w:color w:val="000000"/>
                <w:kern w:val="0"/>
                <w:szCs w:val="24"/>
                <w:lang w:eastAsia="en-IN"/>
                <w14:ligatures w14:val="none"/>
              </w:rPr>
            </w:pPr>
            <w:r w:rsidRPr="001A0C9B">
              <w:rPr>
                <w:rFonts w:ascii="Times New Roman" w:eastAsia="Times New Roman" w:hAnsi="Times New Roman" w:cs="Times New Roman"/>
                <w:color w:val="000000"/>
                <w:kern w:val="0"/>
                <w:szCs w:val="24"/>
                <w:lang w:eastAsia="en-IN"/>
                <w14:ligatures w14:val="none"/>
              </w:rPr>
              <w:t>3.07</w:t>
            </w:r>
          </w:p>
        </w:tc>
        <w:tc>
          <w:tcPr>
            <w:tcW w:w="1123" w:type="dxa"/>
            <w:tcBorders>
              <w:top w:val="nil"/>
              <w:left w:val="nil"/>
              <w:bottom w:val="single" w:sz="4" w:space="0" w:color="auto"/>
              <w:right w:val="single" w:sz="4" w:space="0" w:color="auto"/>
            </w:tcBorders>
            <w:noWrap/>
            <w:vAlign w:val="bottom"/>
            <w:hideMark/>
          </w:tcPr>
          <w:p w14:paraId="6472B0D3" w14:textId="77777777" w:rsidR="0059396E" w:rsidRPr="001A0C9B" w:rsidRDefault="0059396E" w:rsidP="00E831E0">
            <w:pPr>
              <w:spacing w:after="0" w:line="240" w:lineRule="auto"/>
              <w:jc w:val="right"/>
              <w:rPr>
                <w:rFonts w:ascii="Times New Roman" w:eastAsia="Times New Roman" w:hAnsi="Times New Roman" w:cs="Times New Roman"/>
                <w:color w:val="000000"/>
                <w:kern w:val="0"/>
                <w:szCs w:val="24"/>
                <w:lang w:eastAsia="en-IN"/>
                <w14:ligatures w14:val="none"/>
              </w:rPr>
            </w:pPr>
            <w:r w:rsidRPr="001A0C9B">
              <w:rPr>
                <w:rFonts w:ascii="Times New Roman" w:eastAsia="Times New Roman" w:hAnsi="Times New Roman" w:cs="Times New Roman"/>
                <w:color w:val="000000"/>
                <w:kern w:val="0"/>
                <w:szCs w:val="24"/>
                <w:lang w:eastAsia="en-IN"/>
                <w14:ligatures w14:val="none"/>
              </w:rPr>
              <w:t>6.55</w:t>
            </w:r>
          </w:p>
        </w:tc>
        <w:tc>
          <w:tcPr>
            <w:tcW w:w="1056" w:type="dxa"/>
            <w:tcBorders>
              <w:top w:val="nil"/>
              <w:left w:val="nil"/>
              <w:bottom w:val="single" w:sz="4" w:space="0" w:color="auto"/>
              <w:right w:val="single" w:sz="4" w:space="0" w:color="auto"/>
            </w:tcBorders>
            <w:noWrap/>
            <w:vAlign w:val="bottom"/>
            <w:hideMark/>
          </w:tcPr>
          <w:p w14:paraId="1EF67DA0" w14:textId="77777777" w:rsidR="0059396E" w:rsidRPr="001A0C9B" w:rsidRDefault="0059396E" w:rsidP="00E831E0">
            <w:pPr>
              <w:spacing w:after="0" w:line="240" w:lineRule="auto"/>
              <w:jc w:val="right"/>
              <w:rPr>
                <w:rFonts w:ascii="Times New Roman" w:eastAsia="Times New Roman" w:hAnsi="Times New Roman" w:cs="Times New Roman"/>
                <w:color w:val="000000"/>
                <w:kern w:val="0"/>
                <w:szCs w:val="24"/>
                <w:lang w:eastAsia="en-IN"/>
                <w14:ligatures w14:val="none"/>
              </w:rPr>
            </w:pPr>
            <w:r w:rsidRPr="001A0C9B">
              <w:rPr>
                <w:rFonts w:ascii="Times New Roman" w:eastAsia="Times New Roman" w:hAnsi="Times New Roman" w:cs="Times New Roman"/>
                <w:color w:val="000000"/>
                <w:kern w:val="0"/>
                <w:szCs w:val="24"/>
                <w:lang w:eastAsia="en-IN"/>
                <w14:ligatures w14:val="none"/>
              </w:rPr>
              <w:t>7.64</w:t>
            </w:r>
          </w:p>
        </w:tc>
      </w:tr>
      <w:tr w:rsidR="0059396E" w:rsidRPr="001A0C9B" w14:paraId="4E970BBB" w14:textId="77777777" w:rsidTr="00E831E0">
        <w:trPr>
          <w:trHeight w:val="384"/>
        </w:trPr>
        <w:tc>
          <w:tcPr>
            <w:tcW w:w="2186" w:type="dxa"/>
            <w:tcBorders>
              <w:top w:val="nil"/>
              <w:left w:val="single" w:sz="4" w:space="0" w:color="auto"/>
              <w:bottom w:val="single" w:sz="4" w:space="0" w:color="auto"/>
              <w:right w:val="single" w:sz="4" w:space="0" w:color="auto"/>
            </w:tcBorders>
            <w:noWrap/>
            <w:vAlign w:val="bottom"/>
            <w:hideMark/>
          </w:tcPr>
          <w:p w14:paraId="760442F8" w14:textId="77777777" w:rsidR="0059396E" w:rsidRPr="001A0C9B" w:rsidRDefault="0059396E" w:rsidP="00E831E0">
            <w:pPr>
              <w:spacing w:after="0" w:line="240" w:lineRule="auto"/>
              <w:rPr>
                <w:rFonts w:ascii="Times New Roman" w:eastAsia="Times New Roman" w:hAnsi="Times New Roman" w:cs="Times New Roman"/>
                <w:color w:val="000000"/>
                <w:kern w:val="0"/>
                <w:szCs w:val="24"/>
                <w:lang w:eastAsia="en-IN"/>
                <w14:ligatures w14:val="none"/>
              </w:rPr>
            </w:pPr>
            <w:r w:rsidRPr="001A0C9B">
              <w:rPr>
                <w:rFonts w:ascii="Times New Roman" w:eastAsia="Times New Roman" w:hAnsi="Times New Roman" w:cs="Times New Roman"/>
                <w:color w:val="000000"/>
                <w:kern w:val="0"/>
                <w:szCs w:val="24"/>
                <w:lang w:eastAsia="en-IN"/>
                <w14:ligatures w14:val="none"/>
              </w:rPr>
              <w:t>Haryana</w:t>
            </w:r>
          </w:p>
        </w:tc>
        <w:tc>
          <w:tcPr>
            <w:tcW w:w="1124" w:type="dxa"/>
            <w:tcBorders>
              <w:top w:val="nil"/>
              <w:left w:val="nil"/>
              <w:bottom w:val="single" w:sz="4" w:space="0" w:color="auto"/>
              <w:right w:val="single" w:sz="4" w:space="0" w:color="auto"/>
            </w:tcBorders>
            <w:noWrap/>
            <w:vAlign w:val="bottom"/>
            <w:hideMark/>
          </w:tcPr>
          <w:p w14:paraId="1C8A0F52" w14:textId="77777777" w:rsidR="0059396E" w:rsidRPr="001A0C9B" w:rsidRDefault="0059396E" w:rsidP="00E831E0">
            <w:pPr>
              <w:spacing w:after="0" w:line="240" w:lineRule="auto"/>
              <w:jc w:val="right"/>
              <w:rPr>
                <w:rFonts w:ascii="Times New Roman" w:eastAsia="Times New Roman" w:hAnsi="Times New Roman" w:cs="Times New Roman"/>
                <w:color w:val="000000"/>
                <w:kern w:val="0"/>
                <w:szCs w:val="24"/>
                <w:lang w:eastAsia="en-IN"/>
                <w14:ligatures w14:val="none"/>
              </w:rPr>
            </w:pPr>
            <w:r w:rsidRPr="001A0C9B">
              <w:rPr>
                <w:rFonts w:ascii="Times New Roman" w:eastAsia="Times New Roman" w:hAnsi="Times New Roman" w:cs="Times New Roman"/>
                <w:color w:val="000000"/>
                <w:kern w:val="0"/>
                <w:szCs w:val="24"/>
                <w:lang w:eastAsia="en-IN"/>
                <w14:ligatures w14:val="none"/>
              </w:rPr>
              <w:t>5.13</w:t>
            </w:r>
          </w:p>
        </w:tc>
        <w:tc>
          <w:tcPr>
            <w:tcW w:w="1123" w:type="dxa"/>
            <w:tcBorders>
              <w:top w:val="nil"/>
              <w:left w:val="nil"/>
              <w:bottom w:val="single" w:sz="4" w:space="0" w:color="auto"/>
              <w:right w:val="single" w:sz="4" w:space="0" w:color="auto"/>
            </w:tcBorders>
            <w:noWrap/>
            <w:vAlign w:val="bottom"/>
            <w:hideMark/>
          </w:tcPr>
          <w:p w14:paraId="777A6D90" w14:textId="77777777" w:rsidR="0059396E" w:rsidRPr="001A0C9B" w:rsidRDefault="0059396E" w:rsidP="00E831E0">
            <w:pPr>
              <w:spacing w:after="0" w:line="240" w:lineRule="auto"/>
              <w:jc w:val="right"/>
              <w:rPr>
                <w:rFonts w:ascii="Times New Roman" w:eastAsia="Times New Roman" w:hAnsi="Times New Roman" w:cs="Times New Roman"/>
                <w:color w:val="000000"/>
                <w:kern w:val="0"/>
                <w:szCs w:val="24"/>
                <w:lang w:eastAsia="en-IN"/>
                <w14:ligatures w14:val="none"/>
              </w:rPr>
            </w:pPr>
            <w:r w:rsidRPr="001A0C9B">
              <w:rPr>
                <w:rFonts w:ascii="Times New Roman" w:eastAsia="Times New Roman" w:hAnsi="Times New Roman" w:cs="Times New Roman"/>
                <w:color w:val="000000"/>
                <w:kern w:val="0"/>
                <w:szCs w:val="24"/>
                <w:lang w:eastAsia="en-IN"/>
                <w14:ligatures w14:val="none"/>
              </w:rPr>
              <w:t>5.85</w:t>
            </w:r>
          </w:p>
        </w:tc>
        <w:tc>
          <w:tcPr>
            <w:tcW w:w="1056" w:type="dxa"/>
            <w:tcBorders>
              <w:top w:val="nil"/>
              <w:left w:val="nil"/>
              <w:bottom w:val="single" w:sz="4" w:space="0" w:color="auto"/>
              <w:right w:val="single" w:sz="4" w:space="0" w:color="auto"/>
            </w:tcBorders>
            <w:noWrap/>
            <w:vAlign w:val="bottom"/>
            <w:hideMark/>
          </w:tcPr>
          <w:p w14:paraId="2ECA3708" w14:textId="77777777" w:rsidR="0059396E" w:rsidRPr="001A0C9B" w:rsidRDefault="0059396E" w:rsidP="00E831E0">
            <w:pPr>
              <w:spacing w:after="0" w:line="240" w:lineRule="auto"/>
              <w:jc w:val="right"/>
              <w:rPr>
                <w:rFonts w:ascii="Times New Roman" w:eastAsia="Times New Roman" w:hAnsi="Times New Roman" w:cs="Times New Roman"/>
                <w:color w:val="000000"/>
                <w:kern w:val="0"/>
                <w:szCs w:val="24"/>
                <w:lang w:eastAsia="en-IN"/>
                <w14:ligatures w14:val="none"/>
              </w:rPr>
            </w:pPr>
            <w:r w:rsidRPr="001A0C9B">
              <w:rPr>
                <w:rFonts w:ascii="Times New Roman" w:eastAsia="Times New Roman" w:hAnsi="Times New Roman" w:cs="Times New Roman"/>
                <w:color w:val="000000"/>
                <w:kern w:val="0"/>
                <w:szCs w:val="24"/>
                <w:lang w:eastAsia="en-IN"/>
                <w14:ligatures w14:val="none"/>
              </w:rPr>
              <w:t>6</w:t>
            </w:r>
          </w:p>
        </w:tc>
        <w:tc>
          <w:tcPr>
            <w:tcW w:w="1124" w:type="dxa"/>
            <w:tcBorders>
              <w:top w:val="nil"/>
              <w:left w:val="nil"/>
              <w:bottom w:val="single" w:sz="4" w:space="0" w:color="auto"/>
              <w:right w:val="single" w:sz="4" w:space="0" w:color="auto"/>
            </w:tcBorders>
            <w:noWrap/>
            <w:vAlign w:val="bottom"/>
            <w:hideMark/>
          </w:tcPr>
          <w:p w14:paraId="1EAE025A" w14:textId="77777777" w:rsidR="0059396E" w:rsidRPr="001A0C9B" w:rsidRDefault="0059396E" w:rsidP="00E831E0">
            <w:pPr>
              <w:spacing w:after="0" w:line="240" w:lineRule="auto"/>
              <w:jc w:val="right"/>
              <w:rPr>
                <w:rFonts w:ascii="Times New Roman" w:eastAsia="Times New Roman" w:hAnsi="Times New Roman" w:cs="Times New Roman"/>
                <w:color w:val="000000"/>
                <w:kern w:val="0"/>
                <w:szCs w:val="24"/>
                <w:lang w:eastAsia="en-IN"/>
                <w14:ligatures w14:val="none"/>
              </w:rPr>
            </w:pPr>
            <w:r w:rsidRPr="001A0C9B">
              <w:rPr>
                <w:rFonts w:ascii="Times New Roman" w:eastAsia="Times New Roman" w:hAnsi="Times New Roman" w:cs="Times New Roman"/>
                <w:color w:val="000000"/>
                <w:kern w:val="0"/>
                <w:szCs w:val="24"/>
                <w:lang w:eastAsia="en-IN"/>
                <w14:ligatures w14:val="none"/>
              </w:rPr>
              <w:t>1.82</w:t>
            </w:r>
          </w:p>
        </w:tc>
        <w:tc>
          <w:tcPr>
            <w:tcW w:w="1123" w:type="dxa"/>
            <w:tcBorders>
              <w:top w:val="nil"/>
              <w:left w:val="nil"/>
              <w:bottom w:val="single" w:sz="4" w:space="0" w:color="auto"/>
              <w:right w:val="single" w:sz="4" w:space="0" w:color="auto"/>
            </w:tcBorders>
            <w:noWrap/>
            <w:vAlign w:val="bottom"/>
            <w:hideMark/>
          </w:tcPr>
          <w:p w14:paraId="149D055F" w14:textId="77777777" w:rsidR="0059396E" w:rsidRPr="001A0C9B" w:rsidRDefault="0059396E" w:rsidP="00E831E0">
            <w:pPr>
              <w:spacing w:after="0" w:line="240" w:lineRule="auto"/>
              <w:jc w:val="right"/>
              <w:rPr>
                <w:rFonts w:ascii="Times New Roman" w:eastAsia="Times New Roman" w:hAnsi="Times New Roman" w:cs="Times New Roman"/>
                <w:color w:val="000000"/>
                <w:kern w:val="0"/>
                <w:szCs w:val="24"/>
                <w:lang w:eastAsia="en-IN"/>
                <w14:ligatures w14:val="none"/>
              </w:rPr>
            </w:pPr>
            <w:r w:rsidRPr="001A0C9B">
              <w:rPr>
                <w:rFonts w:ascii="Times New Roman" w:eastAsia="Times New Roman" w:hAnsi="Times New Roman" w:cs="Times New Roman"/>
                <w:color w:val="000000"/>
                <w:kern w:val="0"/>
                <w:szCs w:val="24"/>
                <w:lang w:eastAsia="en-IN"/>
                <w14:ligatures w14:val="none"/>
              </w:rPr>
              <w:t>2.08</w:t>
            </w:r>
          </w:p>
        </w:tc>
        <w:tc>
          <w:tcPr>
            <w:tcW w:w="1056" w:type="dxa"/>
            <w:tcBorders>
              <w:top w:val="nil"/>
              <w:left w:val="nil"/>
              <w:bottom w:val="single" w:sz="4" w:space="0" w:color="auto"/>
              <w:right w:val="single" w:sz="4" w:space="0" w:color="auto"/>
            </w:tcBorders>
            <w:noWrap/>
            <w:vAlign w:val="bottom"/>
            <w:hideMark/>
          </w:tcPr>
          <w:p w14:paraId="66E3DCB5" w14:textId="77777777" w:rsidR="0059396E" w:rsidRPr="001A0C9B" w:rsidRDefault="0059396E" w:rsidP="00E831E0">
            <w:pPr>
              <w:spacing w:after="0" w:line="240" w:lineRule="auto"/>
              <w:jc w:val="right"/>
              <w:rPr>
                <w:rFonts w:ascii="Times New Roman" w:eastAsia="Times New Roman" w:hAnsi="Times New Roman" w:cs="Times New Roman"/>
                <w:color w:val="000000"/>
                <w:kern w:val="0"/>
                <w:szCs w:val="24"/>
                <w:lang w:eastAsia="en-IN"/>
                <w14:ligatures w14:val="none"/>
              </w:rPr>
            </w:pPr>
            <w:r w:rsidRPr="001A0C9B">
              <w:rPr>
                <w:rFonts w:ascii="Times New Roman" w:eastAsia="Times New Roman" w:hAnsi="Times New Roman" w:cs="Times New Roman"/>
                <w:color w:val="000000"/>
                <w:kern w:val="0"/>
                <w:szCs w:val="24"/>
                <w:lang w:eastAsia="en-IN"/>
                <w14:ligatures w14:val="none"/>
              </w:rPr>
              <w:t>3.54</w:t>
            </w:r>
          </w:p>
        </w:tc>
      </w:tr>
      <w:tr w:rsidR="0059396E" w:rsidRPr="001A0C9B" w14:paraId="5DD7277B" w14:textId="77777777" w:rsidTr="00E831E0">
        <w:trPr>
          <w:trHeight w:val="384"/>
        </w:trPr>
        <w:tc>
          <w:tcPr>
            <w:tcW w:w="2186" w:type="dxa"/>
            <w:tcBorders>
              <w:top w:val="nil"/>
              <w:left w:val="single" w:sz="4" w:space="0" w:color="auto"/>
              <w:bottom w:val="single" w:sz="4" w:space="0" w:color="auto"/>
              <w:right w:val="single" w:sz="4" w:space="0" w:color="auto"/>
            </w:tcBorders>
            <w:noWrap/>
            <w:vAlign w:val="bottom"/>
            <w:hideMark/>
          </w:tcPr>
          <w:p w14:paraId="13A9E811" w14:textId="77777777" w:rsidR="0059396E" w:rsidRPr="001A0C9B" w:rsidRDefault="0059396E" w:rsidP="00E831E0">
            <w:pPr>
              <w:spacing w:after="0" w:line="240" w:lineRule="auto"/>
              <w:rPr>
                <w:rFonts w:ascii="Times New Roman" w:eastAsia="Times New Roman" w:hAnsi="Times New Roman" w:cs="Times New Roman"/>
                <w:color w:val="000000"/>
                <w:kern w:val="0"/>
                <w:szCs w:val="24"/>
                <w:lang w:eastAsia="en-IN"/>
                <w14:ligatures w14:val="none"/>
              </w:rPr>
            </w:pPr>
            <w:r w:rsidRPr="001A0C9B">
              <w:rPr>
                <w:rFonts w:ascii="Times New Roman" w:eastAsia="Times New Roman" w:hAnsi="Times New Roman" w:cs="Times New Roman"/>
                <w:color w:val="000000"/>
                <w:kern w:val="0"/>
                <w:szCs w:val="24"/>
                <w:lang w:eastAsia="en-IN"/>
                <w14:ligatures w14:val="none"/>
              </w:rPr>
              <w:t>Jammu &amp; Kashmir</w:t>
            </w:r>
          </w:p>
        </w:tc>
        <w:tc>
          <w:tcPr>
            <w:tcW w:w="1124" w:type="dxa"/>
            <w:tcBorders>
              <w:top w:val="nil"/>
              <w:left w:val="nil"/>
              <w:bottom w:val="single" w:sz="4" w:space="0" w:color="auto"/>
              <w:right w:val="single" w:sz="4" w:space="0" w:color="auto"/>
            </w:tcBorders>
            <w:noWrap/>
            <w:vAlign w:val="bottom"/>
            <w:hideMark/>
          </w:tcPr>
          <w:p w14:paraId="78389390" w14:textId="77777777" w:rsidR="0059396E" w:rsidRPr="001A0C9B" w:rsidRDefault="0059396E" w:rsidP="00E831E0">
            <w:pPr>
              <w:spacing w:after="0" w:line="240" w:lineRule="auto"/>
              <w:jc w:val="right"/>
              <w:rPr>
                <w:rFonts w:ascii="Times New Roman" w:eastAsia="Times New Roman" w:hAnsi="Times New Roman" w:cs="Times New Roman"/>
                <w:color w:val="000000"/>
                <w:kern w:val="0"/>
                <w:szCs w:val="24"/>
                <w:lang w:eastAsia="en-IN"/>
                <w14:ligatures w14:val="none"/>
              </w:rPr>
            </w:pPr>
            <w:r w:rsidRPr="001A0C9B">
              <w:rPr>
                <w:rFonts w:ascii="Times New Roman" w:eastAsia="Times New Roman" w:hAnsi="Times New Roman" w:cs="Times New Roman"/>
                <w:color w:val="000000"/>
                <w:kern w:val="0"/>
                <w:szCs w:val="24"/>
                <w:lang w:eastAsia="en-IN"/>
                <w14:ligatures w14:val="none"/>
              </w:rPr>
              <w:t>0.77</w:t>
            </w:r>
          </w:p>
        </w:tc>
        <w:tc>
          <w:tcPr>
            <w:tcW w:w="1123" w:type="dxa"/>
            <w:tcBorders>
              <w:top w:val="nil"/>
              <w:left w:val="nil"/>
              <w:bottom w:val="single" w:sz="4" w:space="0" w:color="auto"/>
              <w:right w:val="single" w:sz="4" w:space="0" w:color="auto"/>
            </w:tcBorders>
            <w:noWrap/>
            <w:vAlign w:val="bottom"/>
            <w:hideMark/>
          </w:tcPr>
          <w:p w14:paraId="2D81EEC7" w14:textId="77777777" w:rsidR="0059396E" w:rsidRPr="001A0C9B" w:rsidRDefault="0059396E" w:rsidP="00E831E0">
            <w:pPr>
              <w:spacing w:after="0" w:line="240" w:lineRule="auto"/>
              <w:jc w:val="right"/>
              <w:rPr>
                <w:rFonts w:ascii="Times New Roman" w:eastAsia="Times New Roman" w:hAnsi="Times New Roman" w:cs="Times New Roman"/>
                <w:color w:val="000000"/>
                <w:kern w:val="0"/>
                <w:szCs w:val="24"/>
                <w:lang w:eastAsia="en-IN"/>
                <w14:ligatures w14:val="none"/>
              </w:rPr>
            </w:pPr>
            <w:r w:rsidRPr="001A0C9B">
              <w:rPr>
                <w:rFonts w:ascii="Times New Roman" w:eastAsia="Times New Roman" w:hAnsi="Times New Roman" w:cs="Times New Roman"/>
                <w:color w:val="000000"/>
                <w:kern w:val="0"/>
                <w:szCs w:val="24"/>
                <w:lang w:eastAsia="en-IN"/>
                <w14:ligatures w14:val="none"/>
              </w:rPr>
              <w:t>1.09</w:t>
            </w:r>
          </w:p>
        </w:tc>
        <w:tc>
          <w:tcPr>
            <w:tcW w:w="1056" w:type="dxa"/>
            <w:tcBorders>
              <w:top w:val="nil"/>
              <w:left w:val="nil"/>
              <w:bottom w:val="single" w:sz="4" w:space="0" w:color="auto"/>
              <w:right w:val="single" w:sz="4" w:space="0" w:color="auto"/>
            </w:tcBorders>
            <w:noWrap/>
            <w:vAlign w:val="bottom"/>
            <w:hideMark/>
          </w:tcPr>
          <w:p w14:paraId="6CB21EAF" w14:textId="77777777" w:rsidR="0059396E" w:rsidRPr="001A0C9B" w:rsidRDefault="0059396E" w:rsidP="00E831E0">
            <w:pPr>
              <w:spacing w:after="0" w:line="240" w:lineRule="auto"/>
              <w:jc w:val="right"/>
              <w:rPr>
                <w:rFonts w:ascii="Times New Roman" w:eastAsia="Times New Roman" w:hAnsi="Times New Roman" w:cs="Times New Roman"/>
                <w:color w:val="000000"/>
                <w:kern w:val="0"/>
                <w:szCs w:val="24"/>
                <w:lang w:eastAsia="en-IN"/>
                <w14:ligatures w14:val="none"/>
              </w:rPr>
            </w:pPr>
            <w:r w:rsidRPr="001A0C9B">
              <w:rPr>
                <w:rFonts w:ascii="Times New Roman" w:eastAsia="Times New Roman" w:hAnsi="Times New Roman" w:cs="Times New Roman"/>
                <w:color w:val="000000"/>
                <w:kern w:val="0"/>
                <w:szCs w:val="24"/>
                <w:lang w:eastAsia="en-IN"/>
                <w14:ligatures w14:val="none"/>
              </w:rPr>
              <w:t>1.31</w:t>
            </w:r>
          </w:p>
        </w:tc>
        <w:tc>
          <w:tcPr>
            <w:tcW w:w="1124" w:type="dxa"/>
            <w:tcBorders>
              <w:top w:val="nil"/>
              <w:left w:val="nil"/>
              <w:bottom w:val="single" w:sz="4" w:space="0" w:color="auto"/>
              <w:right w:val="single" w:sz="4" w:space="0" w:color="auto"/>
            </w:tcBorders>
            <w:noWrap/>
            <w:vAlign w:val="bottom"/>
            <w:hideMark/>
          </w:tcPr>
          <w:p w14:paraId="085009FA" w14:textId="77777777" w:rsidR="0059396E" w:rsidRPr="001A0C9B" w:rsidRDefault="0059396E" w:rsidP="00E831E0">
            <w:pPr>
              <w:spacing w:after="0" w:line="240" w:lineRule="auto"/>
              <w:rPr>
                <w:rFonts w:ascii="Times New Roman" w:eastAsia="Times New Roman" w:hAnsi="Times New Roman" w:cs="Times New Roman"/>
                <w:color w:val="000000"/>
                <w:kern w:val="0"/>
                <w:szCs w:val="24"/>
                <w:lang w:eastAsia="en-IN"/>
                <w14:ligatures w14:val="none"/>
              </w:rPr>
            </w:pPr>
            <w:r w:rsidRPr="001A0C9B">
              <w:rPr>
                <w:rFonts w:ascii="Times New Roman" w:eastAsia="Times New Roman" w:hAnsi="Times New Roman" w:cs="Times New Roman"/>
                <w:color w:val="000000"/>
                <w:kern w:val="0"/>
                <w:szCs w:val="24"/>
                <w:lang w:eastAsia="en-IN"/>
                <w14:ligatures w14:val="none"/>
              </w:rPr>
              <w:t>..</w:t>
            </w:r>
          </w:p>
        </w:tc>
        <w:tc>
          <w:tcPr>
            <w:tcW w:w="1123" w:type="dxa"/>
            <w:tcBorders>
              <w:top w:val="nil"/>
              <w:left w:val="nil"/>
              <w:bottom w:val="single" w:sz="4" w:space="0" w:color="auto"/>
              <w:right w:val="single" w:sz="4" w:space="0" w:color="auto"/>
            </w:tcBorders>
            <w:noWrap/>
            <w:vAlign w:val="bottom"/>
            <w:hideMark/>
          </w:tcPr>
          <w:p w14:paraId="019B6C9A" w14:textId="77777777" w:rsidR="0059396E" w:rsidRPr="001A0C9B" w:rsidRDefault="0059396E" w:rsidP="00E831E0">
            <w:pPr>
              <w:spacing w:after="0" w:line="240" w:lineRule="auto"/>
              <w:rPr>
                <w:rFonts w:ascii="Times New Roman" w:eastAsia="Times New Roman" w:hAnsi="Times New Roman" w:cs="Times New Roman"/>
                <w:color w:val="000000"/>
                <w:kern w:val="0"/>
                <w:szCs w:val="24"/>
                <w:lang w:eastAsia="en-IN"/>
                <w14:ligatures w14:val="none"/>
              </w:rPr>
            </w:pPr>
            <w:r w:rsidRPr="001A0C9B">
              <w:rPr>
                <w:rFonts w:ascii="Times New Roman" w:eastAsia="Times New Roman" w:hAnsi="Times New Roman" w:cs="Times New Roman"/>
                <w:color w:val="000000"/>
                <w:kern w:val="0"/>
                <w:szCs w:val="24"/>
                <w:lang w:eastAsia="en-IN"/>
                <w14:ligatures w14:val="none"/>
              </w:rPr>
              <w:t>..</w:t>
            </w:r>
          </w:p>
        </w:tc>
        <w:tc>
          <w:tcPr>
            <w:tcW w:w="1056" w:type="dxa"/>
            <w:tcBorders>
              <w:top w:val="nil"/>
              <w:left w:val="nil"/>
              <w:bottom w:val="single" w:sz="4" w:space="0" w:color="auto"/>
              <w:right w:val="single" w:sz="4" w:space="0" w:color="auto"/>
            </w:tcBorders>
            <w:noWrap/>
            <w:vAlign w:val="bottom"/>
            <w:hideMark/>
          </w:tcPr>
          <w:p w14:paraId="42A20CF0" w14:textId="77777777" w:rsidR="0059396E" w:rsidRPr="001A0C9B" w:rsidRDefault="0059396E" w:rsidP="00E831E0">
            <w:pPr>
              <w:spacing w:after="0" w:line="240" w:lineRule="auto"/>
              <w:rPr>
                <w:rFonts w:ascii="Times New Roman" w:eastAsia="Times New Roman" w:hAnsi="Times New Roman" w:cs="Times New Roman"/>
                <w:color w:val="000000"/>
                <w:kern w:val="0"/>
                <w:szCs w:val="24"/>
                <w:lang w:eastAsia="en-IN"/>
                <w14:ligatures w14:val="none"/>
              </w:rPr>
            </w:pPr>
            <w:r w:rsidRPr="001A0C9B">
              <w:rPr>
                <w:rFonts w:ascii="Times New Roman" w:eastAsia="Times New Roman" w:hAnsi="Times New Roman" w:cs="Times New Roman"/>
                <w:color w:val="000000"/>
                <w:kern w:val="0"/>
                <w:szCs w:val="24"/>
                <w:lang w:eastAsia="en-IN"/>
                <w14:ligatures w14:val="none"/>
              </w:rPr>
              <w:t>..</w:t>
            </w:r>
          </w:p>
        </w:tc>
      </w:tr>
      <w:tr w:rsidR="0059396E" w:rsidRPr="001A0C9B" w14:paraId="524EEA05" w14:textId="77777777" w:rsidTr="00E831E0">
        <w:trPr>
          <w:trHeight w:val="384"/>
        </w:trPr>
        <w:tc>
          <w:tcPr>
            <w:tcW w:w="2186" w:type="dxa"/>
            <w:tcBorders>
              <w:top w:val="nil"/>
              <w:left w:val="single" w:sz="4" w:space="0" w:color="auto"/>
              <w:bottom w:val="single" w:sz="4" w:space="0" w:color="auto"/>
              <w:right w:val="single" w:sz="4" w:space="0" w:color="auto"/>
            </w:tcBorders>
            <w:noWrap/>
            <w:vAlign w:val="bottom"/>
            <w:hideMark/>
          </w:tcPr>
          <w:p w14:paraId="22128C40" w14:textId="77777777" w:rsidR="0059396E" w:rsidRPr="001A0C9B" w:rsidRDefault="0059396E" w:rsidP="00E831E0">
            <w:pPr>
              <w:spacing w:after="0" w:line="240" w:lineRule="auto"/>
              <w:rPr>
                <w:rFonts w:ascii="Times New Roman" w:eastAsia="Times New Roman" w:hAnsi="Times New Roman" w:cs="Times New Roman"/>
                <w:color w:val="000000"/>
                <w:kern w:val="0"/>
                <w:szCs w:val="24"/>
                <w:lang w:eastAsia="en-IN"/>
                <w14:ligatures w14:val="none"/>
              </w:rPr>
            </w:pPr>
            <w:r w:rsidRPr="001A0C9B">
              <w:rPr>
                <w:rFonts w:ascii="Times New Roman" w:eastAsia="Times New Roman" w:hAnsi="Times New Roman" w:cs="Times New Roman"/>
                <w:color w:val="000000"/>
                <w:kern w:val="0"/>
                <w:szCs w:val="24"/>
                <w:lang w:eastAsia="en-IN"/>
                <w14:ligatures w14:val="none"/>
              </w:rPr>
              <w:t>Kerala</w:t>
            </w:r>
          </w:p>
        </w:tc>
        <w:tc>
          <w:tcPr>
            <w:tcW w:w="1124" w:type="dxa"/>
            <w:tcBorders>
              <w:top w:val="nil"/>
              <w:left w:val="nil"/>
              <w:bottom w:val="single" w:sz="4" w:space="0" w:color="auto"/>
              <w:right w:val="single" w:sz="4" w:space="0" w:color="auto"/>
            </w:tcBorders>
            <w:noWrap/>
            <w:vAlign w:val="bottom"/>
            <w:hideMark/>
          </w:tcPr>
          <w:p w14:paraId="3C9B42AD" w14:textId="77777777" w:rsidR="0059396E" w:rsidRPr="001A0C9B" w:rsidRDefault="0059396E" w:rsidP="00E831E0">
            <w:pPr>
              <w:spacing w:after="0" w:line="240" w:lineRule="auto"/>
              <w:jc w:val="right"/>
              <w:rPr>
                <w:rFonts w:ascii="Times New Roman" w:eastAsia="Times New Roman" w:hAnsi="Times New Roman" w:cs="Times New Roman"/>
                <w:color w:val="000000"/>
                <w:kern w:val="0"/>
                <w:szCs w:val="24"/>
                <w:lang w:eastAsia="en-IN"/>
                <w14:ligatures w14:val="none"/>
              </w:rPr>
            </w:pPr>
            <w:r w:rsidRPr="001A0C9B">
              <w:rPr>
                <w:rFonts w:ascii="Times New Roman" w:eastAsia="Times New Roman" w:hAnsi="Times New Roman" w:cs="Times New Roman"/>
                <w:color w:val="000000"/>
                <w:kern w:val="0"/>
                <w:szCs w:val="24"/>
                <w:lang w:eastAsia="en-IN"/>
                <w14:ligatures w14:val="none"/>
              </w:rPr>
              <w:t>16.22</w:t>
            </w:r>
          </w:p>
        </w:tc>
        <w:tc>
          <w:tcPr>
            <w:tcW w:w="1123" w:type="dxa"/>
            <w:tcBorders>
              <w:top w:val="nil"/>
              <w:left w:val="nil"/>
              <w:bottom w:val="single" w:sz="4" w:space="0" w:color="auto"/>
              <w:right w:val="single" w:sz="4" w:space="0" w:color="auto"/>
            </w:tcBorders>
            <w:noWrap/>
            <w:vAlign w:val="bottom"/>
            <w:hideMark/>
          </w:tcPr>
          <w:p w14:paraId="2B59AF01" w14:textId="77777777" w:rsidR="0059396E" w:rsidRPr="001A0C9B" w:rsidRDefault="0059396E" w:rsidP="00E831E0">
            <w:pPr>
              <w:spacing w:after="0" w:line="240" w:lineRule="auto"/>
              <w:jc w:val="right"/>
              <w:rPr>
                <w:rFonts w:ascii="Times New Roman" w:eastAsia="Times New Roman" w:hAnsi="Times New Roman" w:cs="Times New Roman"/>
                <w:color w:val="000000"/>
                <w:kern w:val="0"/>
                <w:szCs w:val="24"/>
                <w:lang w:eastAsia="en-IN"/>
                <w14:ligatures w14:val="none"/>
              </w:rPr>
            </w:pPr>
            <w:r w:rsidRPr="001A0C9B">
              <w:rPr>
                <w:rFonts w:ascii="Times New Roman" w:eastAsia="Times New Roman" w:hAnsi="Times New Roman" w:cs="Times New Roman"/>
                <w:color w:val="000000"/>
                <w:kern w:val="0"/>
                <w:szCs w:val="24"/>
                <w:lang w:eastAsia="en-IN"/>
                <w14:ligatures w14:val="none"/>
              </w:rPr>
              <w:t>20.33</w:t>
            </w:r>
          </w:p>
        </w:tc>
        <w:tc>
          <w:tcPr>
            <w:tcW w:w="1056" w:type="dxa"/>
            <w:tcBorders>
              <w:top w:val="nil"/>
              <w:left w:val="nil"/>
              <w:bottom w:val="single" w:sz="4" w:space="0" w:color="auto"/>
              <w:right w:val="single" w:sz="4" w:space="0" w:color="auto"/>
            </w:tcBorders>
            <w:noWrap/>
            <w:vAlign w:val="bottom"/>
            <w:hideMark/>
          </w:tcPr>
          <w:p w14:paraId="2A9B9022" w14:textId="77777777" w:rsidR="0059396E" w:rsidRPr="001A0C9B" w:rsidRDefault="0059396E" w:rsidP="00E831E0">
            <w:pPr>
              <w:spacing w:after="0" w:line="240" w:lineRule="auto"/>
              <w:jc w:val="right"/>
              <w:rPr>
                <w:rFonts w:ascii="Times New Roman" w:eastAsia="Times New Roman" w:hAnsi="Times New Roman" w:cs="Times New Roman"/>
                <w:color w:val="000000"/>
                <w:kern w:val="0"/>
                <w:szCs w:val="24"/>
                <w:lang w:eastAsia="en-IN"/>
                <w14:ligatures w14:val="none"/>
              </w:rPr>
            </w:pPr>
            <w:r w:rsidRPr="001A0C9B">
              <w:rPr>
                <w:rFonts w:ascii="Times New Roman" w:eastAsia="Times New Roman" w:hAnsi="Times New Roman" w:cs="Times New Roman"/>
                <w:color w:val="000000"/>
                <w:kern w:val="0"/>
                <w:szCs w:val="24"/>
                <w:lang w:eastAsia="en-IN"/>
                <w14:ligatures w14:val="none"/>
              </w:rPr>
              <w:t>23.67</w:t>
            </w:r>
          </w:p>
        </w:tc>
        <w:tc>
          <w:tcPr>
            <w:tcW w:w="1124" w:type="dxa"/>
            <w:tcBorders>
              <w:top w:val="nil"/>
              <w:left w:val="nil"/>
              <w:bottom w:val="single" w:sz="4" w:space="0" w:color="auto"/>
              <w:right w:val="single" w:sz="4" w:space="0" w:color="auto"/>
            </w:tcBorders>
            <w:noWrap/>
            <w:vAlign w:val="bottom"/>
            <w:hideMark/>
          </w:tcPr>
          <w:p w14:paraId="2CF528DE" w14:textId="77777777" w:rsidR="0059396E" w:rsidRPr="001A0C9B" w:rsidRDefault="0059396E" w:rsidP="00E831E0">
            <w:pPr>
              <w:spacing w:after="0" w:line="240" w:lineRule="auto"/>
              <w:jc w:val="right"/>
              <w:rPr>
                <w:rFonts w:ascii="Times New Roman" w:eastAsia="Times New Roman" w:hAnsi="Times New Roman" w:cs="Times New Roman"/>
                <w:color w:val="000000"/>
                <w:kern w:val="0"/>
                <w:szCs w:val="24"/>
                <w:lang w:eastAsia="en-IN"/>
                <w14:ligatures w14:val="none"/>
              </w:rPr>
            </w:pPr>
            <w:r w:rsidRPr="001A0C9B">
              <w:rPr>
                <w:rFonts w:ascii="Times New Roman" w:eastAsia="Times New Roman" w:hAnsi="Times New Roman" w:cs="Times New Roman"/>
                <w:color w:val="000000"/>
                <w:kern w:val="0"/>
                <w:szCs w:val="24"/>
                <w:lang w:eastAsia="en-IN"/>
                <w14:ligatures w14:val="none"/>
              </w:rPr>
              <w:t>2.08</w:t>
            </w:r>
          </w:p>
        </w:tc>
        <w:tc>
          <w:tcPr>
            <w:tcW w:w="1123" w:type="dxa"/>
            <w:tcBorders>
              <w:top w:val="nil"/>
              <w:left w:val="nil"/>
              <w:bottom w:val="single" w:sz="4" w:space="0" w:color="auto"/>
              <w:right w:val="single" w:sz="4" w:space="0" w:color="auto"/>
            </w:tcBorders>
            <w:noWrap/>
            <w:vAlign w:val="bottom"/>
            <w:hideMark/>
          </w:tcPr>
          <w:p w14:paraId="542D8F2F" w14:textId="77777777" w:rsidR="0059396E" w:rsidRPr="001A0C9B" w:rsidRDefault="0059396E" w:rsidP="00E831E0">
            <w:pPr>
              <w:spacing w:after="0" w:line="240" w:lineRule="auto"/>
              <w:jc w:val="right"/>
              <w:rPr>
                <w:rFonts w:ascii="Times New Roman" w:eastAsia="Times New Roman" w:hAnsi="Times New Roman" w:cs="Times New Roman"/>
                <w:color w:val="000000"/>
                <w:kern w:val="0"/>
                <w:szCs w:val="24"/>
                <w:lang w:eastAsia="en-IN"/>
                <w14:ligatures w14:val="none"/>
              </w:rPr>
            </w:pPr>
            <w:r w:rsidRPr="001A0C9B">
              <w:rPr>
                <w:rFonts w:ascii="Times New Roman" w:eastAsia="Times New Roman" w:hAnsi="Times New Roman" w:cs="Times New Roman"/>
                <w:color w:val="000000"/>
                <w:kern w:val="0"/>
                <w:szCs w:val="24"/>
                <w:lang w:eastAsia="en-IN"/>
                <w14:ligatures w14:val="none"/>
              </w:rPr>
              <w:t>2.45</w:t>
            </w:r>
          </w:p>
        </w:tc>
        <w:tc>
          <w:tcPr>
            <w:tcW w:w="1056" w:type="dxa"/>
            <w:tcBorders>
              <w:top w:val="nil"/>
              <w:left w:val="nil"/>
              <w:bottom w:val="single" w:sz="4" w:space="0" w:color="auto"/>
              <w:right w:val="single" w:sz="4" w:space="0" w:color="auto"/>
            </w:tcBorders>
            <w:noWrap/>
            <w:vAlign w:val="bottom"/>
            <w:hideMark/>
          </w:tcPr>
          <w:p w14:paraId="72DAE34D" w14:textId="77777777" w:rsidR="0059396E" w:rsidRPr="001A0C9B" w:rsidRDefault="0059396E" w:rsidP="00E831E0">
            <w:pPr>
              <w:spacing w:after="0" w:line="240" w:lineRule="auto"/>
              <w:jc w:val="right"/>
              <w:rPr>
                <w:rFonts w:ascii="Times New Roman" w:eastAsia="Times New Roman" w:hAnsi="Times New Roman" w:cs="Times New Roman"/>
                <w:color w:val="000000"/>
                <w:kern w:val="0"/>
                <w:szCs w:val="24"/>
                <w:lang w:eastAsia="en-IN"/>
                <w14:ligatures w14:val="none"/>
              </w:rPr>
            </w:pPr>
            <w:r w:rsidRPr="001A0C9B">
              <w:rPr>
                <w:rFonts w:ascii="Times New Roman" w:eastAsia="Times New Roman" w:hAnsi="Times New Roman" w:cs="Times New Roman"/>
                <w:color w:val="000000"/>
                <w:kern w:val="0"/>
                <w:szCs w:val="24"/>
                <w:lang w:eastAsia="en-IN"/>
                <w14:ligatures w14:val="none"/>
              </w:rPr>
              <w:t>2.62</w:t>
            </w:r>
          </w:p>
        </w:tc>
      </w:tr>
      <w:tr w:rsidR="0059396E" w:rsidRPr="001A0C9B" w14:paraId="6AFF2B48" w14:textId="77777777" w:rsidTr="00E831E0">
        <w:trPr>
          <w:trHeight w:val="384"/>
        </w:trPr>
        <w:tc>
          <w:tcPr>
            <w:tcW w:w="2186" w:type="dxa"/>
            <w:tcBorders>
              <w:top w:val="nil"/>
              <w:left w:val="single" w:sz="4" w:space="0" w:color="auto"/>
              <w:bottom w:val="single" w:sz="4" w:space="0" w:color="auto"/>
              <w:right w:val="single" w:sz="4" w:space="0" w:color="auto"/>
            </w:tcBorders>
            <w:noWrap/>
            <w:vAlign w:val="bottom"/>
            <w:hideMark/>
          </w:tcPr>
          <w:p w14:paraId="3874B522" w14:textId="77777777" w:rsidR="0059396E" w:rsidRPr="001A0C9B" w:rsidRDefault="0059396E" w:rsidP="00E831E0">
            <w:pPr>
              <w:spacing w:after="0" w:line="240" w:lineRule="auto"/>
              <w:rPr>
                <w:rFonts w:ascii="Times New Roman" w:eastAsia="Times New Roman" w:hAnsi="Times New Roman" w:cs="Times New Roman"/>
                <w:color w:val="000000"/>
                <w:kern w:val="0"/>
                <w:szCs w:val="24"/>
                <w:lang w:eastAsia="en-IN"/>
                <w14:ligatures w14:val="none"/>
              </w:rPr>
            </w:pPr>
            <w:r w:rsidRPr="001A0C9B">
              <w:rPr>
                <w:rFonts w:ascii="Times New Roman" w:eastAsia="Times New Roman" w:hAnsi="Times New Roman" w:cs="Times New Roman"/>
                <w:color w:val="000000"/>
                <w:kern w:val="0"/>
                <w:szCs w:val="24"/>
                <w:lang w:eastAsia="en-IN"/>
                <w14:ligatures w14:val="none"/>
              </w:rPr>
              <w:t>Madhya Pradesh</w:t>
            </w:r>
          </w:p>
        </w:tc>
        <w:tc>
          <w:tcPr>
            <w:tcW w:w="1124" w:type="dxa"/>
            <w:tcBorders>
              <w:top w:val="nil"/>
              <w:left w:val="nil"/>
              <w:bottom w:val="single" w:sz="4" w:space="0" w:color="auto"/>
              <w:right w:val="single" w:sz="4" w:space="0" w:color="auto"/>
            </w:tcBorders>
            <w:noWrap/>
            <w:vAlign w:val="bottom"/>
            <w:hideMark/>
          </w:tcPr>
          <w:p w14:paraId="7055A1BB" w14:textId="77777777" w:rsidR="0059396E" w:rsidRPr="001A0C9B" w:rsidRDefault="0059396E" w:rsidP="00E831E0">
            <w:pPr>
              <w:spacing w:after="0" w:line="240" w:lineRule="auto"/>
              <w:jc w:val="right"/>
              <w:rPr>
                <w:rFonts w:ascii="Times New Roman" w:eastAsia="Times New Roman" w:hAnsi="Times New Roman" w:cs="Times New Roman"/>
                <w:color w:val="000000"/>
                <w:kern w:val="0"/>
                <w:szCs w:val="24"/>
                <w:lang w:eastAsia="en-IN"/>
                <w14:ligatures w14:val="none"/>
              </w:rPr>
            </w:pPr>
            <w:r w:rsidRPr="001A0C9B">
              <w:rPr>
                <w:rFonts w:ascii="Times New Roman" w:eastAsia="Times New Roman" w:hAnsi="Times New Roman" w:cs="Times New Roman"/>
                <w:color w:val="000000"/>
                <w:kern w:val="0"/>
                <w:szCs w:val="24"/>
                <w:lang w:eastAsia="en-IN"/>
                <w14:ligatures w14:val="none"/>
              </w:rPr>
              <w:t>15.46</w:t>
            </w:r>
          </w:p>
        </w:tc>
        <w:tc>
          <w:tcPr>
            <w:tcW w:w="1123" w:type="dxa"/>
            <w:tcBorders>
              <w:top w:val="nil"/>
              <w:left w:val="nil"/>
              <w:bottom w:val="single" w:sz="4" w:space="0" w:color="auto"/>
              <w:right w:val="single" w:sz="4" w:space="0" w:color="auto"/>
            </w:tcBorders>
            <w:noWrap/>
            <w:vAlign w:val="bottom"/>
            <w:hideMark/>
          </w:tcPr>
          <w:p w14:paraId="202A6E9C" w14:textId="77777777" w:rsidR="0059396E" w:rsidRPr="001A0C9B" w:rsidRDefault="0059396E" w:rsidP="00E831E0">
            <w:pPr>
              <w:spacing w:after="0" w:line="240" w:lineRule="auto"/>
              <w:jc w:val="right"/>
              <w:rPr>
                <w:rFonts w:ascii="Times New Roman" w:eastAsia="Times New Roman" w:hAnsi="Times New Roman" w:cs="Times New Roman"/>
                <w:color w:val="000000"/>
                <w:kern w:val="0"/>
                <w:szCs w:val="24"/>
                <w:lang w:eastAsia="en-IN"/>
                <w14:ligatures w14:val="none"/>
              </w:rPr>
            </w:pPr>
            <w:r w:rsidRPr="001A0C9B">
              <w:rPr>
                <w:rFonts w:ascii="Times New Roman" w:eastAsia="Times New Roman" w:hAnsi="Times New Roman" w:cs="Times New Roman"/>
                <w:color w:val="000000"/>
                <w:kern w:val="0"/>
                <w:szCs w:val="24"/>
                <w:lang w:eastAsia="en-IN"/>
                <w14:ligatures w14:val="none"/>
              </w:rPr>
              <w:t>17.57</w:t>
            </w:r>
          </w:p>
        </w:tc>
        <w:tc>
          <w:tcPr>
            <w:tcW w:w="1056" w:type="dxa"/>
            <w:tcBorders>
              <w:top w:val="nil"/>
              <w:left w:val="nil"/>
              <w:bottom w:val="single" w:sz="4" w:space="0" w:color="auto"/>
              <w:right w:val="single" w:sz="4" w:space="0" w:color="auto"/>
            </w:tcBorders>
            <w:noWrap/>
            <w:vAlign w:val="bottom"/>
            <w:hideMark/>
          </w:tcPr>
          <w:p w14:paraId="16E20AE6" w14:textId="77777777" w:rsidR="0059396E" w:rsidRPr="001A0C9B" w:rsidRDefault="0059396E" w:rsidP="00E831E0">
            <w:pPr>
              <w:spacing w:after="0" w:line="240" w:lineRule="auto"/>
              <w:jc w:val="right"/>
              <w:rPr>
                <w:rFonts w:ascii="Times New Roman" w:eastAsia="Times New Roman" w:hAnsi="Times New Roman" w:cs="Times New Roman"/>
                <w:color w:val="000000"/>
                <w:kern w:val="0"/>
                <w:szCs w:val="24"/>
                <w:lang w:eastAsia="en-IN"/>
                <w14:ligatures w14:val="none"/>
              </w:rPr>
            </w:pPr>
            <w:r w:rsidRPr="001A0C9B">
              <w:rPr>
                <w:rFonts w:ascii="Times New Roman" w:eastAsia="Times New Roman" w:hAnsi="Times New Roman" w:cs="Times New Roman"/>
                <w:color w:val="000000"/>
                <w:kern w:val="0"/>
                <w:szCs w:val="24"/>
                <w:lang w:eastAsia="en-IN"/>
                <w14:ligatures w14:val="none"/>
              </w:rPr>
              <w:t>20.58</w:t>
            </w:r>
          </w:p>
        </w:tc>
        <w:tc>
          <w:tcPr>
            <w:tcW w:w="1124" w:type="dxa"/>
            <w:tcBorders>
              <w:top w:val="nil"/>
              <w:left w:val="nil"/>
              <w:bottom w:val="single" w:sz="4" w:space="0" w:color="auto"/>
              <w:right w:val="single" w:sz="4" w:space="0" w:color="auto"/>
            </w:tcBorders>
            <w:noWrap/>
            <w:vAlign w:val="bottom"/>
            <w:hideMark/>
          </w:tcPr>
          <w:p w14:paraId="78C8E42E" w14:textId="77777777" w:rsidR="0059396E" w:rsidRPr="001A0C9B" w:rsidRDefault="0059396E" w:rsidP="00E831E0">
            <w:pPr>
              <w:spacing w:after="0" w:line="240" w:lineRule="auto"/>
              <w:jc w:val="right"/>
              <w:rPr>
                <w:rFonts w:ascii="Times New Roman" w:eastAsia="Times New Roman" w:hAnsi="Times New Roman" w:cs="Times New Roman"/>
                <w:color w:val="000000"/>
                <w:kern w:val="0"/>
                <w:szCs w:val="24"/>
                <w:lang w:eastAsia="en-IN"/>
                <w14:ligatures w14:val="none"/>
              </w:rPr>
            </w:pPr>
            <w:r w:rsidRPr="001A0C9B">
              <w:rPr>
                <w:rFonts w:ascii="Times New Roman" w:eastAsia="Times New Roman" w:hAnsi="Times New Roman" w:cs="Times New Roman"/>
                <w:color w:val="000000"/>
                <w:kern w:val="0"/>
                <w:szCs w:val="24"/>
                <w:lang w:eastAsia="en-IN"/>
                <w14:ligatures w14:val="none"/>
              </w:rPr>
              <w:t>4.54</w:t>
            </w:r>
          </w:p>
        </w:tc>
        <w:tc>
          <w:tcPr>
            <w:tcW w:w="1123" w:type="dxa"/>
            <w:tcBorders>
              <w:top w:val="nil"/>
              <w:left w:val="nil"/>
              <w:bottom w:val="single" w:sz="4" w:space="0" w:color="auto"/>
              <w:right w:val="single" w:sz="4" w:space="0" w:color="auto"/>
            </w:tcBorders>
            <w:noWrap/>
            <w:vAlign w:val="bottom"/>
            <w:hideMark/>
          </w:tcPr>
          <w:p w14:paraId="4DE6B59E" w14:textId="77777777" w:rsidR="0059396E" w:rsidRPr="001A0C9B" w:rsidRDefault="0059396E" w:rsidP="00E831E0">
            <w:pPr>
              <w:spacing w:after="0" w:line="240" w:lineRule="auto"/>
              <w:jc w:val="right"/>
              <w:rPr>
                <w:rFonts w:ascii="Times New Roman" w:eastAsia="Times New Roman" w:hAnsi="Times New Roman" w:cs="Times New Roman"/>
                <w:color w:val="000000"/>
                <w:kern w:val="0"/>
                <w:szCs w:val="24"/>
                <w:lang w:eastAsia="en-IN"/>
                <w14:ligatures w14:val="none"/>
              </w:rPr>
            </w:pPr>
            <w:r w:rsidRPr="001A0C9B">
              <w:rPr>
                <w:rFonts w:ascii="Times New Roman" w:eastAsia="Times New Roman" w:hAnsi="Times New Roman" w:cs="Times New Roman"/>
                <w:color w:val="000000"/>
                <w:kern w:val="0"/>
                <w:szCs w:val="24"/>
                <w:lang w:eastAsia="en-IN"/>
                <w14:ligatures w14:val="none"/>
              </w:rPr>
              <w:t>5.99</w:t>
            </w:r>
          </w:p>
        </w:tc>
        <w:tc>
          <w:tcPr>
            <w:tcW w:w="1056" w:type="dxa"/>
            <w:tcBorders>
              <w:top w:val="nil"/>
              <w:left w:val="nil"/>
              <w:bottom w:val="single" w:sz="4" w:space="0" w:color="auto"/>
              <w:right w:val="single" w:sz="4" w:space="0" w:color="auto"/>
            </w:tcBorders>
            <w:noWrap/>
            <w:vAlign w:val="bottom"/>
            <w:hideMark/>
          </w:tcPr>
          <w:p w14:paraId="26D24072" w14:textId="77777777" w:rsidR="0059396E" w:rsidRPr="001A0C9B" w:rsidRDefault="0059396E" w:rsidP="00E831E0">
            <w:pPr>
              <w:spacing w:after="0" w:line="240" w:lineRule="auto"/>
              <w:jc w:val="right"/>
              <w:rPr>
                <w:rFonts w:ascii="Times New Roman" w:eastAsia="Times New Roman" w:hAnsi="Times New Roman" w:cs="Times New Roman"/>
                <w:color w:val="000000"/>
                <w:kern w:val="0"/>
                <w:szCs w:val="24"/>
                <w:lang w:eastAsia="en-IN"/>
                <w14:ligatures w14:val="none"/>
              </w:rPr>
            </w:pPr>
            <w:r w:rsidRPr="001A0C9B">
              <w:rPr>
                <w:rFonts w:ascii="Times New Roman" w:eastAsia="Times New Roman" w:hAnsi="Times New Roman" w:cs="Times New Roman"/>
                <w:color w:val="000000"/>
                <w:kern w:val="0"/>
                <w:szCs w:val="24"/>
                <w:lang w:eastAsia="en-IN"/>
                <w14:ligatures w14:val="none"/>
              </w:rPr>
              <w:t>7.66</w:t>
            </w:r>
          </w:p>
        </w:tc>
      </w:tr>
      <w:tr w:rsidR="0059396E" w:rsidRPr="001A0C9B" w14:paraId="44DB610B" w14:textId="77777777" w:rsidTr="00E831E0">
        <w:trPr>
          <w:trHeight w:val="384"/>
        </w:trPr>
        <w:tc>
          <w:tcPr>
            <w:tcW w:w="2186" w:type="dxa"/>
            <w:tcBorders>
              <w:top w:val="nil"/>
              <w:left w:val="single" w:sz="4" w:space="0" w:color="auto"/>
              <w:bottom w:val="single" w:sz="4" w:space="0" w:color="auto"/>
              <w:right w:val="single" w:sz="4" w:space="0" w:color="auto"/>
            </w:tcBorders>
            <w:noWrap/>
            <w:vAlign w:val="bottom"/>
            <w:hideMark/>
          </w:tcPr>
          <w:p w14:paraId="5A2C4923" w14:textId="77777777" w:rsidR="0059396E" w:rsidRPr="001A0C9B" w:rsidRDefault="0059396E" w:rsidP="00E831E0">
            <w:pPr>
              <w:spacing w:after="0" w:line="240" w:lineRule="auto"/>
              <w:rPr>
                <w:rFonts w:ascii="Times New Roman" w:eastAsia="Times New Roman" w:hAnsi="Times New Roman" w:cs="Times New Roman"/>
                <w:color w:val="000000"/>
                <w:kern w:val="0"/>
                <w:szCs w:val="24"/>
                <w:lang w:eastAsia="en-IN"/>
                <w14:ligatures w14:val="none"/>
              </w:rPr>
            </w:pPr>
            <w:r w:rsidRPr="001A0C9B">
              <w:rPr>
                <w:rFonts w:ascii="Times New Roman" w:eastAsia="Times New Roman" w:hAnsi="Times New Roman" w:cs="Times New Roman"/>
                <w:color w:val="000000"/>
                <w:kern w:val="0"/>
                <w:szCs w:val="24"/>
                <w:lang w:eastAsia="en-IN"/>
                <w14:ligatures w14:val="none"/>
              </w:rPr>
              <w:t>Maharashtra</w:t>
            </w:r>
          </w:p>
        </w:tc>
        <w:tc>
          <w:tcPr>
            <w:tcW w:w="1124" w:type="dxa"/>
            <w:tcBorders>
              <w:top w:val="nil"/>
              <w:left w:val="nil"/>
              <w:bottom w:val="single" w:sz="4" w:space="0" w:color="auto"/>
              <w:right w:val="single" w:sz="4" w:space="0" w:color="auto"/>
            </w:tcBorders>
            <w:noWrap/>
            <w:vAlign w:val="bottom"/>
            <w:hideMark/>
          </w:tcPr>
          <w:p w14:paraId="6FFEB7C7" w14:textId="77777777" w:rsidR="0059396E" w:rsidRPr="001A0C9B" w:rsidRDefault="0059396E" w:rsidP="00E831E0">
            <w:pPr>
              <w:spacing w:after="0" w:line="240" w:lineRule="auto"/>
              <w:jc w:val="right"/>
              <w:rPr>
                <w:rFonts w:ascii="Times New Roman" w:eastAsia="Times New Roman" w:hAnsi="Times New Roman" w:cs="Times New Roman"/>
                <w:color w:val="000000"/>
                <w:kern w:val="0"/>
                <w:szCs w:val="24"/>
                <w:lang w:eastAsia="en-IN"/>
                <w14:ligatures w14:val="none"/>
              </w:rPr>
            </w:pPr>
            <w:r w:rsidRPr="001A0C9B">
              <w:rPr>
                <w:rFonts w:ascii="Times New Roman" w:eastAsia="Times New Roman" w:hAnsi="Times New Roman" w:cs="Times New Roman"/>
                <w:color w:val="000000"/>
                <w:kern w:val="0"/>
                <w:szCs w:val="24"/>
                <w:lang w:eastAsia="en-IN"/>
                <w14:ligatures w14:val="none"/>
              </w:rPr>
              <w:t>55.25</w:t>
            </w:r>
          </w:p>
        </w:tc>
        <w:tc>
          <w:tcPr>
            <w:tcW w:w="1123" w:type="dxa"/>
            <w:tcBorders>
              <w:top w:val="nil"/>
              <w:left w:val="nil"/>
              <w:bottom w:val="single" w:sz="4" w:space="0" w:color="auto"/>
              <w:right w:val="single" w:sz="4" w:space="0" w:color="auto"/>
            </w:tcBorders>
            <w:noWrap/>
            <w:vAlign w:val="bottom"/>
            <w:hideMark/>
          </w:tcPr>
          <w:p w14:paraId="19DD34FF" w14:textId="77777777" w:rsidR="0059396E" w:rsidRPr="001A0C9B" w:rsidRDefault="0059396E" w:rsidP="00E831E0">
            <w:pPr>
              <w:spacing w:after="0" w:line="240" w:lineRule="auto"/>
              <w:jc w:val="right"/>
              <w:rPr>
                <w:rFonts w:ascii="Times New Roman" w:eastAsia="Times New Roman" w:hAnsi="Times New Roman" w:cs="Times New Roman"/>
                <w:color w:val="000000"/>
                <w:kern w:val="0"/>
                <w:szCs w:val="24"/>
                <w:lang w:eastAsia="en-IN"/>
                <w14:ligatures w14:val="none"/>
              </w:rPr>
            </w:pPr>
            <w:r w:rsidRPr="001A0C9B">
              <w:rPr>
                <w:rFonts w:ascii="Times New Roman" w:eastAsia="Times New Roman" w:hAnsi="Times New Roman" w:cs="Times New Roman"/>
                <w:color w:val="000000"/>
                <w:kern w:val="0"/>
                <w:szCs w:val="24"/>
                <w:lang w:eastAsia="en-IN"/>
                <w14:ligatures w14:val="none"/>
              </w:rPr>
              <w:t>68.04</w:t>
            </w:r>
          </w:p>
        </w:tc>
        <w:tc>
          <w:tcPr>
            <w:tcW w:w="1056" w:type="dxa"/>
            <w:tcBorders>
              <w:top w:val="nil"/>
              <w:left w:val="nil"/>
              <w:bottom w:val="single" w:sz="4" w:space="0" w:color="auto"/>
              <w:right w:val="single" w:sz="4" w:space="0" w:color="auto"/>
            </w:tcBorders>
            <w:noWrap/>
            <w:vAlign w:val="bottom"/>
            <w:hideMark/>
          </w:tcPr>
          <w:p w14:paraId="5646DD19" w14:textId="77777777" w:rsidR="0059396E" w:rsidRPr="001A0C9B" w:rsidRDefault="0059396E" w:rsidP="00E831E0">
            <w:pPr>
              <w:spacing w:after="0" w:line="240" w:lineRule="auto"/>
              <w:jc w:val="right"/>
              <w:rPr>
                <w:rFonts w:ascii="Times New Roman" w:eastAsia="Times New Roman" w:hAnsi="Times New Roman" w:cs="Times New Roman"/>
                <w:color w:val="000000"/>
                <w:kern w:val="0"/>
                <w:szCs w:val="24"/>
                <w:lang w:eastAsia="en-IN"/>
                <w14:ligatures w14:val="none"/>
              </w:rPr>
            </w:pPr>
            <w:r w:rsidRPr="001A0C9B">
              <w:rPr>
                <w:rFonts w:ascii="Times New Roman" w:eastAsia="Times New Roman" w:hAnsi="Times New Roman" w:cs="Times New Roman"/>
                <w:color w:val="000000"/>
                <w:kern w:val="0"/>
                <w:szCs w:val="24"/>
                <w:lang w:eastAsia="en-IN"/>
                <w14:ligatures w14:val="none"/>
              </w:rPr>
              <w:t>71.91</w:t>
            </w:r>
          </w:p>
        </w:tc>
        <w:tc>
          <w:tcPr>
            <w:tcW w:w="1124" w:type="dxa"/>
            <w:tcBorders>
              <w:top w:val="nil"/>
              <w:left w:val="nil"/>
              <w:bottom w:val="single" w:sz="4" w:space="0" w:color="auto"/>
              <w:right w:val="single" w:sz="4" w:space="0" w:color="auto"/>
            </w:tcBorders>
            <w:noWrap/>
            <w:vAlign w:val="bottom"/>
            <w:hideMark/>
          </w:tcPr>
          <w:p w14:paraId="779CE657" w14:textId="77777777" w:rsidR="0059396E" w:rsidRPr="001A0C9B" w:rsidRDefault="0059396E" w:rsidP="00E831E0">
            <w:pPr>
              <w:spacing w:after="0" w:line="240" w:lineRule="auto"/>
              <w:jc w:val="right"/>
              <w:rPr>
                <w:rFonts w:ascii="Times New Roman" w:eastAsia="Times New Roman" w:hAnsi="Times New Roman" w:cs="Times New Roman"/>
                <w:color w:val="000000"/>
                <w:kern w:val="0"/>
                <w:szCs w:val="24"/>
                <w:lang w:eastAsia="en-IN"/>
                <w14:ligatures w14:val="none"/>
              </w:rPr>
            </w:pPr>
            <w:r w:rsidRPr="001A0C9B">
              <w:rPr>
                <w:rFonts w:ascii="Times New Roman" w:eastAsia="Times New Roman" w:hAnsi="Times New Roman" w:cs="Times New Roman"/>
                <w:color w:val="000000"/>
                <w:kern w:val="0"/>
                <w:szCs w:val="24"/>
                <w:lang w:eastAsia="en-IN"/>
                <w14:ligatures w14:val="none"/>
              </w:rPr>
              <w:t>15.34</w:t>
            </w:r>
          </w:p>
        </w:tc>
        <w:tc>
          <w:tcPr>
            <w:tcW w:w="1123" w:type="dxa"/>
            <w:tcBorders>
              <w:top w:val="nil"/>
              <w:left w:val="nil"/>
              <w:bottom w:val="single" w:sz="4" w:space="0" w:color="auto"/>
              <w:right w:val="single" w:sz="4" w:space="0" w:color="auto"/>
            </w:tcBorders>
            <w:noWrap/>
            <w:vAlign w:val="bottom"/>
            <w:hideMark/>
          </w:tcPr>
          <w:p w14:paraId="593D84C6" w14:textId="77777777" w:rsidR="0059396E" w:rsidRPr="001A0C9B" w:rsidRDefault="0059396E" w:rsidP="00E831E0">
            <w:pPr>
              <w:spacing w:after="0" w:line="240" w:lineRule="auto"/>
              <w:jc w:val="right"/>
              <w:rPr>
                <w:rFonts w:ascii="Times New Roman" w:eastAsia="Times New Roman" w:hAnsi="Times New Roman" w:cs="Times New Roman"/>
                <w:color w:val="000000"/>
                <w:kern w:val="0"/>
                <w:szCs w:val="24"/>
                <w:lang w:eastAsia="en-IN"/>
                <w14:ligatures w14:val="none"/>
              </w:rPr>
            </w:pPr>
            <w:r w:rsidRPr="001A0C9B">
              <w:rPr>
                <w:rFonts w:ascii="Times New Roman" w:eastAsia="Times New Roman" w:hAnsi="Times New Roman" w:cs="Times New Roman"/>
                <w:color w:val="000000"/>
                <w:kern w:val="0"/>
                <w:szCs w:val="24"/>
                <w:lang w:eastAsia="en-IN"/>
                <w14:ligatures w14:val="none"/>
              </w:rPr>
              <w:t>19.43</w:t>
            </w:r>
          </w:p>
        </w:tc>
        <w:tc>
          <w:tcPr>
            <w:tcW w:w="1056" w:type="dxa"/>
            <w:tcBorders>
              <w:top w:val="nil"/>
              <w:left w:val="nil"/>
              <w:bottom w:val="single" w:sz="4" w:space="0" w:color="auto"/>
              <w:right w:val="single" w:sz="4" w:space="0" w:color="auto"/>
            </w:tcBorders>
            <w:noWrap/>
            <w:vAlign w:val="bottom"/>
            <w:hideMark/>
          </w:tcPr>
          <w:p w14:paraId="281B92CC" w14:textId="77777777" w:rsidR="0059396E" w:rsidRPr="001A0C9B" w:rsidRDefault="0059396E" w:rsidP="00E831E0">
            <w:pPr>
              <w:spacing w:after="0" w:line="240" w:lineRule="auto"/>
              <w:jc w:val="right"/>
              <w:rPr>
                <w:rFonts w:ascii="Times New Roman" w:eastAsia="Times New Roman" w:hAnsi="Times New Roman" w:cs="Times New Roman"/>
                <w:color w:val="000000"/>
                <w:kern w:val="0"/>
                <w:szCs w:val="24"/>
                <w:lang w:eastAsia="en-IN"/>
                <w14:ligatures w14:val="none"/>
              </w:rPr>
            </w:pPr>
            <w:r w:rsidRPr="001A0C9B">
              <w:rPr>
                <w:rFonts w:ascii="Times New Roman" w:eastAsia="Times New Roman" w:hAnsi="Times New Roman" w:cs="Times New Roman"/>
                <w:color w:val="000000"/>
                <w:kern w:val="0"/>
                <w:szCs w:val="24"/>
                <w:lang w:eastAsia="en-IN"/>
                <w14:ligatures w14:val="none"/>
              </w:rPr>
              <w:t>24.18</w:t>
            </w:r>
          </w:p>
        </w:tc>
      </w:tr>
      <w:tr w:rsidR="0059396E" w:rsidRPr="001A0C9B" w14:paraId="4F72602C" w14:textId="77777777" w:rsidTr="00E831E0">
        <w:trPr>
          <w:trHeight w:val="384"/>
        </w:trPr>
        <w:tc>
          <w:tcPr>
            <w:tcW w:w="2186" w:type="dxa"/>
            <w:tcBorders>
              <w:top w:val="nil"/>
              <w:left w:val="single" w:sz="4" w:space="0" w:color="auto"/>
              <w:bottom w:val="single" w:sz="4" w:space="0" w:color="auto"/>
              <w:right w:val="single" w:sz="4" w:space="0" w:color="auto"/>
            </w:tcBorders>
            <w:noWrap/>
            <w:vAlign w:val="bottom"/>
            <w:hideMark/>
          </w:tcPr>
          <w:p w14:paraId="2F26C108" w14:textId="77777777" w:rsidR="0059396E" w:rsidRPr="001A0C9B" w:rsidRDefault="0059396E" w:rsidP="00E831E0">
            <w:pPr>
              <w:spacing w:after="0" w:line="240" w:lineRule="auto"/>
              <w:rPr>
                <w:rFonts w:ascii="Times New Roman" w:eastAsia="Times New Roman" w:hAnsi="Times New Roman" w:cs="Times New Roman"/>
                <w:color w:val="000000"/>
                <w:kern w:val="0"/>
                <w:szCs w:val="24"/>
                <w:lang w:eastAsia="en-IN"/>
                <w14:ligatures w14:val="none"/>
              </w:rPr>
            </w:pPr>
            <w:r w:rsidRPr="001A0C9B">
              <w:rPr>
                <w:rFonts w:ascii="Times New Roman" w:eastAsia="Times New Roman" w:hAnsi="Times New Roman" w:cs="Times New Roman"/>
                <w:color w:val="000000"/>
                <w:kern w:val="0"/>
                <w:szCs w:val="24"/>
                <w:lang w:eastAsia="en-IN"/>
                <w14:ligatures w14:val="none"/>
              </w:rPr>
              <w:t>Mysore</w:t>
            </w:r>
          </w:p>
        </w:tc>
        <w:tc>
          <w:tcPr>
            <w:tcW w:w="1124" w:type="dxa"/>
            <w:tcBorders>
              <w:top w:val="nil"/>
              <w:left w:val="nil"/>
              <w:bottom w:val="single" w:sz="4" w:space="0" w:color="auto"/>
              <w:right w:val="single" w:sz="4" w:space="0" w:color="auto"/>
            </w:tcBorders>
            <w:noWrap/>
            <w:vAlign w:val="bottom"/>
            <w:hideMark/>
          </w:tcPr>
          <w:p w14:paraId="7CC8282B" w14:textId="77777777" w:rsidR="0059396E" w:rsidRPr="001A0C9B" w:rsidRDefault="0059396E" w:rsidP="00E831E0">
            <w:pPr>
              <w:spacing w:after="0" w:line="240" w:lineRule="auto"/>
              <w:jc w:val="right"/>
              <w:rPr>
                <w:rFonts w:ascii="Times New Roman" w:eastAsia="Times New Roman" w:hAnsi="Times New Roman" w:cs="Times New Roman"/>
                <w:color w:val="000000"/>
                <w:kern w:val="0"/>
                <w:szCs w:val="24"/>
                <w:lang w:eastAsia="en-IN"/>
                <w14:ligatures w14:val="none"/>
              </w:rPr>
            </w:pPr>
            <w:r w:rsidRPr="001A0C9B">
              <w:rPr>
                <w:rFonts w:ascii="Times New Roman" w:eastAsia="Times New Roman" w:hAnsi="Times New Roman" w:cs="Times New Roman"/>
                <w:color w:val="000000"/>
                <w:kern w:val="0"/>
                <w:szCs w:val="24"/>
                <w:lang w:eastAsia="en-IN"/>
                <w14:ligatures w14:val="none"/>
              </w:rPr>
              <w:t>17.87</w:t>
            </w:r>
          </w:p>
        </w:tc>
        <w:tc>
          <w:tcPr>
            <w:tcW w:w="1123" w:type="dxa"/>
            <w:tcBorders>
              <w:top w:val="nil"/>
              <w:left w:val="nil"/>
              <w:bottom w:val="single" w:sz="4" w:space="0" w:color="auto"/>
              <w:right w:val="single" w:sz="4" w:space="0" w:color="auto"/>
            </w:tcBorders>
            <w:noWrap/>
            <w:vAlign w:val="bottom"/>
            <w:hideMark/>
          </w:tcPr>
          <w:p w14:paraId="25B9F8C7" w14:textId="77777777" w:rsidR="0059396E" w:rsidRPr="001A0C9B" w:rsidRDefault="0059396E" w:rsidP="00E831E0">
            <w:pPr>
              <w:spacing w:after="0" w:line="240" w:lineRule="auto"/>
              <w:jc w:val="right"/>
              <w:rPr>
                <w:rFonts w:ascii="Times New Roman" w:eastAsia="Times New Roman" w:hAnsi="Times New Roman" w:cs="Times New Roman"/>
                <w:color w:val="000000"/>
                <w:kern w:val="0"/>
                <w:szCs w:val="24"/>
                <w:lang w:eastAsia="en-IN"/>
                <w14:ligatures w14:val="none"/>
              </w:rPr>
            </w:pPr>
            <w:r w:rsidRPr="001A0C9B">
              <w:rPr>
                <w:rFonts w:ascii="Times New Roman" w:eastAsia="Times New Roman" w:hAnsi="Times New Roman" w:cs="Times New Roman"/>
                <w:color w:val="000000"/>
                <w:kern w:val="0"/>
                <w:szCs w:val="24"/>
                <w:lang w:eastAsia="en-IN"/>
                <w14:ligatures w14:val="none"/>
              </w:rPr>
              <w:t>24.56</w:t>
            </w:r>
          </w:p>
        </w:tc>
        <w:tc>
          <w:tcPr>
            <w:tcW w:w="1056" w:type="dxa"/>
            <w:tcBorders>
              <w:top w:val="nil"/>
              <w:left w:val="nil"/>
              <w:bottom w:val="single" w:sz="4" w:space="0" w:color="auto"/>
              <w:right w:val="single" w:sz="4" w:space="0" w:color="auto"/>
            </w:tcBorders>
            <w:noWrap/>
            <w:vAlign w:val="bottom"/>
            <w:hideMark/>
          </w:tcPr>
          <w:p w14:paraId="6A89A735" w14:textId="77777777" w:rsidR="0059396E" w:rsidRPr="001A0C9B" w:rsidRDefault="0059396E" w:rsidP="00E831E0">
            <w:pPr>
              <w:spacing w:after="0" w:line="240" w:lineRule="auto"/>
              <w:jc w:val="right"/>
              <w:rPr>
                <w:rFonts w:ascii="Times New Roman" w:eastAsia="Times New Roman" w:hAnsi="Times New Roman" w:cs="Times New Roman"/>
                <w:color w:val="000000"/>
                <w:kern w:val="0"/>
                <w:szCs w:val="24"/>
                <w:lang w:eastAsia="en-IN"/>
                <w14:ligatures w14:val="none"/>
              </w:rPr>
            </w:pPr>
            <w:r w:rsidRPr="001A0C9B">
              <w:rPr>
                <w:rFonts w:ascii="Times New Roman" w:eastAsia="Times New Roman" w:hAnsi="Times New Roman" w:cs="Times New Roman"/>
                <w:color w:val="000000"/>
                <w:kern w:val="0"/>
                <w:szCs w:val="24"/>
                <w:lang w:eastAsia="en-IN"/>
                <w14:ligatures w14:val="none"/>
              </w:rPr>
              <w:t>25.81</w:t>
            </w:r>
          </w:p>
        </w:tc>
        <w:tc>
          <w:tcPr>
            <w:tcW w:w="1124" w:type="dxa"/>
            <w:tcBorders>
              <w:top w:val="nil"/>
              <w:left w:val="nil"/>
              <w:bottom w:val="single" w:sz="4" w:space="0" w:color="auto"/>
              <w:right w:val="single" w:sz="4" w:space="0" w:color="auto"/>
            </w:tcBorders>
            <w:noWrap/>
            <w:vAlign w:val="bottom"/>
            <w:hideMark/>
          </w:tcPr>
          <w:p w14:paraId="3DE08FF2" w14:textId="77777777" w:rsidR="0059396E" w:rsidRPr="001A0C9B" w:rsidRDefault="0059396E" w:rsidP="00E831E0">
            <w:pPr>
              <w:spacing w:after="0" w:line="240" w:lineRule="auto"/>
              <w:jc w:val="right"/>
              <w:rPr>
                <w:rFonts w:ascii="Times New Roman" w:eastAsia="Times New Roman" w:hAnsi="Times New Roman" w:cs="Times New Roman"/>
                <w:color w:val="000000"/>
                <w:kern w:val="0"/>
                <w:szCs w:val="24"/>
                <w:lang w:eastAsia="en-IN"/>
                <w14:ligatures w14:val="none"/>
              </w:rPr>
            </w:pPr>
            <w:r w:rsidRPr="001A0C9B">
              <w:rPr>
                <w:rFonts w:ascii="Times New Roman" w:eastAsia="Times New Roman" w:hAnsi="Times New Roman" w:cs="Times New Roman"/>
                <w:color w:val="000000"/>
                <w:kern w:val="0"/>
                <w:szCs w:val="24"/>
                <w:lang w:eastAsia="en-IN"/>
                <w14:ligatures w14:val="none"/>
              </w:rPr>
              <w:t>1.67</w:t>
            </w:r>
          </w:p>
        </w:tc>
        <w:tc>
          <w:tcPr>
            <w:tcW w:w="1123" w:type="dxa"/>
            <w:tcBorders>
              <w:top w:val="nil"/>
              <w:left w:val="nil"/>
              <w:bottom w:val="single" w:sz="4" w:space="0" w:color="auto"/>
              <w:right w:val="single" w:sz="4" w:space="0" w:color="auto"/>
            </w:tcBorders>
            <w:noWrap/>
            <w:vAlign w:val="bottom"/>
            <w:hideMark/>
          </w:tcPr>
          <w:p w14:paraId="6AFEFBC5" w14:textId="77777777" w:rsidR="0059396E" w:rsidRPr="001A0C9B" w:rsidRDefault="0059396E" w:rsidP="00E831E0">
            <w:pPr>
              <w:spacing w:after="0" w:line="240" w:lineRule="auto"/>
              <w:jc w:val="right"/>
              <w:rPr>
                <w:rFonts w:ascii="Times New Roman" w:eastAsia="Times New Roman" w:hAnsi="Times New Roman" w:cs="Times New Roman"/>
                <w:color w:val="000000"/>
                <w:kern w:val="0"/>
                <w:szCs w:val="24"/>
                <w:lang w:eastAsia="en-IN"/>
                <w14:ligatures w14:val="none"/>
              </w:rPr>
            </w:pPr>
            <w:r w:rsidRPr="001A0C9B">
              <w:rPr>
                <w:rFonts w:ascii="Times New Roman" w:eastAsia="Times New Roman" w:hAnsi="Times New Roman" w:cs="Times New Roman"/>
                <w:color w:val="000000"/>
                <w:kern w:val="0"/>
                <w:szCs w:val="24"/>
                <w:lang w:eastAsia="en-IN"/>
                <w14:ligatures w14:val="none"/>
              </w:rPr>
              <w:t>1.87</w:t>
            </w:r>
          </w:p>
        </w:tc>
        <w:tc>
          <w:tcPr>
            <w:tcW w:w="1056" w:type="dxa"/>
            <w:tcBorders>
              <w:top w:val="nil"/>
              <w:left w:val="nil"/>
              <w:bottom w:val="single" w:sz="4" w:space="0" w:color="auto"/>
              <w:right w:val="single" w:sz="4" w:space="0" w:color="auto"/>
            </w:tcBorders>
            <w:noWrap/>
            <w:vAlign w:val="bottom"/>
            <w:hideMark/>
          </w:tcPr>
          <w:p w14:paraId="530DB1FF" w14:textId="77777777" w:rsidR="0059396E" w:rsidRPr="001A0C9B" w:rsidRDefault="0059396E" w:rsidP="00E831E0">
            <w:pPr>
              <w:spacing w:after="0" w:line="240" w:lineRule="auto"/>
              <w:jc w:val="right"/>
              <w:rPr>
                <w:rFonts w:ascii="Times New Roman" w:eastAsia="Times New Roman" w:hAnsi="Times New Roman" w:cs="Times New Roman"/>
                <w:color w:val="000000"/>
                <w:kern w:val="0"/>
                <w:szCs w:val="24"/>
                <w:lang w:eastAsia="en-IN"/>
                <w14:ligatures w14:val="none"/>
              </w:rPr>
            </w:pPr>
            <w:r w:rsidRPr="001A0C9B">
              <w:rPr>
                <w:rFonts w:ascii="Times New Roman" w:eastAsia="Times New Roman" w:hAnsi="Times New Roman" w:cs="Times New Roman"/>
                <w:color w:val="000000"/>
                <w:kern w:val="0"/>
                <w:szCs w:val="24"/>
                <w:lang w:eastAsia="en-IN"/>
                <w14:ligatures w14:val="none"/>
              </w:rPr>
              <w:t>2.44</w:t>
            </w:r>
          </w:p>
        </w:tc>
      </w:tr>
      <w:tr w:rsidR="0059396E" w:rsidRPr="001A0C9B" w14:paraId="5EB711DA" w14:textId="77777777" w:rsidTr="00E831E0">
        <w:trPr>
          <w:trHeight w:val="384"/>
        </w:trPr>
        <w:tc>
          <w:tcPr>
            <w:tcW w:w="2186" w:type="dxa"/>
            <w:tcBorders>
              <w:top w:val="nil"/>
              <w:left w:val="single" w:sz="4" w:space="0" w:color="auto"/>
              <w:bottom w:val="single" w:sz="4" w:space="0" w:color="auto"/>
              <w:right w:val="single" w:sz="4" w:space="0" w:color="auto"/>
            </w:tcBorders>
            <w:noWrap/>
            <w:vAlign w:val="bottom"/>
            <w:hideMark/>
          </w:tcPr>
          <w:p w14:paraId="71E05E55" w14:textId="77777777" w:rsidR="0059396E" w:rsidRPr="001A0C9B" w:rsidRDefault="0059396E" w:rsidP="00E831E0">
            <w:pPr>
              <w:spacing w:after="0" w:line="240" w:lineRule="auto"/>
              <w:rPr>
                <w:rFonts w:ascii="Times New Roman" w:eastAsia="Times New Roman" w:hAnsi="Times New Roman" w:cs="Times New Roman"/>
                <w:color w:val="000000"/>
                <w:kern w:val="0"/>
                <w:szCs w:val="24"/>
                <w:lang w:eastAsia="en-IN"/>
                <w14:ligatures w14:val="none"/>
              </w:rPr>
            </w:pPr>
            <w:r w:rsidRPr="001A0C9B">
              <w:rPr>
                <w:rFonts w:ascii="Times New Roman" w:eastAsia="Times New Roman" w:hAnsi="Times New Roman" w:cs="Times New Roman"/>
                <w:color w:val="000000"/>
                <w:kern w:val="0"/>
                <w:szCs w:val="24"/>
                <w:lang w:eastAsia="en-IN"/>
                <w14:ligatures w14:val="none"/>
              </w:rPr>
              <w:t>Nagaland</w:t>
            </w:r>
          </w:p>
        </w:tc>
        <w:tc>
          <w:tcPr>
            <w:tcW w:w="1124" w:type="dxa"/>
            <w:tcBorders>
              <w:top w:val="nil"/>
              <w:left w:val="nil"/>
              <w:bottom w:val="single" w:sz="4" w:space="0" w:color="auto"/>
              <w:right w:val="single" w:sz="4" w:space="0" w:color="auto"/>
            </w:tcBorders>
            <w:noWrap/>
            <w:vAlign w:val="bottom"/>
            <w:hideMark/>
          </w:tcPr>
          <w:p w14:paraId="478FE7BA" w14:textId="77777777" w:rsidR="0059396E" w:rsidRPr="001A0C9B" w:rsidRDefault="0059396E" w:rsidP="00E831E0">
            <w:pPr>
              <w:spacing w:after="0" w:line="240" w:lineRule="auto"/>
              <w:jc w:val="right"/>
              <w:rPr>
                <w:rFonts w:ascii="Times New Roman" w:eastAsia="Times New Roman" w:hAnsi="Times New Roman" w:cs="Times New Roman"/>
                <w:color w:val="000000"/>
                <w:kern w:val="0"/>
                <w:szCs w:val="24"/>
                <w:lang w:eastAsia="en-IN"/>
                <w14:ligatures w14:val="none"/>
              </w:rPr>
            </w:pPr>
            <w:r w:rsidRPr="001A0C9B">
              <w:rPr>
                <w:rFonts w:ascii="Times New Roman" w:eastAsia="Times New Roman" w:hAnsi="Times New Roman" w:cs="Times New Roman"/>
                <w:color w:val="000000"/>
                <w:kern w:val="0"/>
                <w:szCs w:val="24"/>
                <w:lang w:eastAsia="en-IN"/>
                <w14:ligatures w14:val="none"/>
              </w:rPr>
              <w:t>0.06</w:t>
            </w:r>
          </w:p>
        </w:tc>
        <w:tc>
          <w:tcPr>
            <w:tcW w:w="1123" w:type="dxa"/>
            <w:tcBorders>
              <w:top w:val="nil"/>
              <w:left w:val="nil"/>
              <w:bottom w:val="single" w:sz="4" w:space="0" w:color="auto"/>
              <w:right w:val="single" w:sz="4" w:space="0" w:color="auto"/>
            </w:tcBorders>
            <w:noWrap/>
            <w:vAlign w:val="bottom"/>
            <w:hideMark/>
          </w:tcPr>
          <w:p w14:paraId="76B9A65B" w14:textId="77777777" w:rsidR="0059396E" w:rsidRPr="001A0C9B" w:rsidRDefault="0059396E" w:rsidP="00E831E0">
            <w:pPr>
              <w:spacing w:after="0" w:line="240" w:lineRule="auto"/>
              <w:jc w:val="right"/>
              <w:rPr>
                <w:rFonts w:ascii="Times New Roman" w:eastAsia="Times New Roman" w:hAnsi="Times New Roman" w:cs="Times New Roman"/>
                <w:color w:val="000000"/>
                <w:kern w:val="0"/>
                <w:szCs w:val="24"/>
                <w:lang w:eastAsia="en-IN"/>
                <w14:ligatures w14:val="none"/>
              </w:rPr>
            </w:pPr>
            <w:r w:rsidRPr="001A0C9B">
              <w:rPr>
                <w:rFonts w:ascii="Times New Roman" w:eastAsia="Times New Roman" w:hAnsi="Times New Roman" w:cs="Times New Roman"/>
                <w:color w:val="000000"/>
                <w:kern w:val="0"/>
                <w:szCs w:val="24"/>
                <w:lang w:eastAsia="en-IN"/>
                <w14:ligatures w14:val="none"/>
              </w:rPr>
              <w:t>0.05</w:t>
            </w:r>
          </w:p>
        </w:tc>
        <w:tc>
          <w:tcPr>
            <w:tcW w:w="1056" w:type="dxa"/>
            <w:tcBorders>
              <w:top w:val="nil"/>
              <w:left w:val="nil"/>
              <w:bottom w:val="single" w:sz="4" w:space="0" w:color="auto"/>
              <w:right w:val="single" w:sz="4" w:space="0" w:color="auto"/>
            </w:tcBorders>
            <w:noWrap/>
            <w:vAlign w:val="bottom"/>
            <w:hideMark/>
          </w:tcPr>
          <w:p w14:paraId="4B2FDE74" w14:textId="77777777" w:rsidR="0059396E" w:rsidRPr="001A0C9B" w:rsidRDefault="0059396E" w:rsidP="00E831E0">
            <w:pPr>
              <w:spacing w:after="0" w:line="240" w:lineRule="auto"/>
              <w:jc w:val="right"/>
              <w:rPr>
                <w:rFonts w:ascii="Times New Roman" w:eastAsia="Times New Roman" w:hAnsi="Times New Roman" w:cs="Times New Roman"/>
                <w:color w:val="000000"/>
                <w:kern w:val="0"/>
                <w:szCs w:val="24"/>
                <w:lang w:eastAsia="en-IN"/>
                <w14:ligatures w14:val="none"/>
              </w:rPr>
            </w:pPr>
            <w:r w:rsidRPr="001A0C9B">
              <w:rPr>
                <w:rFonts w:ascii="Times New Roman" w:eastAsia="Times New Roman" w:hAnsi="Times New Roman" w:cs="Times New Roman"/>
                <w:color w:val="000000"/>
                <w:kern w:val="0"/>
                <w:szCs w:val="24"/>
                <w:lang w:eastAsia="en-IN"/>
                <w14:ligatures w14:val="none"/>
              </w:rPr>
              <w:t>0.09</w:t>
            </w:r>
          </w:p>
        </w:tc>
        <w:tc>
          <w:tcPr>
            <w:tcW w:w="1124" w:type="dxa"/>
            <w:tcBorders>
              <w:top w:val="nil"/>
              <w:left w:val="nil"/>
              <w:bottom w:val="single" w:sz="4" w:space="0" w:color="auto"/>
              <w:right w:val="single" w:sz="4" w:space="0" w:color="auto"/>
            </w:tcBorders>
            <w:noWrap/>
            <w:vAlign w:val="bottom"/>
            <w:hideMark/>
          </w:tcPr>
          <w:p w14:paraId="0675E97A" w14:textId="77777777" w:rsidR="0059396E" w:rsidRPr="001A0C9B" w:rsidRDefault="0059396E" w:rsidP="00E831E0">
            <w:pPr>
              <w:spacing w:after="0" w:line="240" w:lineRule="auto"/>
              <w:rPr>
                <w:rFonts w:ascii="Times New Roman" w:eastAsia="Times New Roman" w:hAnsi="Times New Roman" w:cs="Times New Roman"/>
                <w:color w:val="000000"/>
                <w:kern w:val="0"/>
                <w:szCs w:val="24"/>
                <w:lang w:eastAsia="en-IN"/>
                <w14:ligatures w14:val="none"/>
              </w:rPr>
            </w:pPr>
            <w:r w:rsidRPr="001A0C9B">
              <w:rPr>
                <w:rFonts w:ascii="Times New Roman" w:eastAsia="Times New Roman" w:hAnsi="Times New Roman" w:cs="Times New Roman"/>
                <w:color w:val="000000"/>
                <w:kern w:val="0"/>
                <w:szCs w:val="24"/>
                <w:lang w:eastAsia="en-IN"/>
                <w14:ligatures w14:val="none"/>
              </w:rPr>
              <w:t>..</w:t>
            </w:r>
          </w:p>
        </w:tc>
        <w:tc>
          <w:tcPr>
            <w:tcW w:w="1123" w:type="dxa"/>
            <w:tcBorders>
              <w:top w:val="nil"/>
              <w:left w:val="nil"/>
              <w:bottom w:val="single" w:sz="4" w:space="0" w:color="auto"/>
              <w:right w:val="single" w:sz="4" w:space="0" w:color="auto"/>
            </w:tcBorders>
            <w:noWrap/>
            <w:vAlign w:val="bottom"/>
            <w:hideMark/>
          </w:tcPr>
          <w:p w14:paraId="748A9EEC" w14:textId="77777777" w:rsidR="0059396E" w:rsidRPr="001A0C9B" w:rsidRDefault="0059396E" w:rsidP="00E831E0">
            <w:pPr>
              <w:spacing w:after="0" w:line="240" w:lineRule="auto"/>
              <w:rPr>
                <w:rFonts w:ascii="Times New Roman" w:eastAsia="Times New Roman" w:hAnsi="Times New Roman" w:cs="Times New Roman"/>
                <w:color w:val="000000"/>
                <w:kern w:val="0"/>
                <w:szCs w:val="24"/>
                <w:lang w:eastAsia="en-IN"/>
                <w14:ligatures w14:val="none"/>
              </w:rPr>
            </w:pPr>
            <w:r w:rsidRPr="001A0C9B">
              <w:rPr>
                <w:rFonts w:ascii="Times New Roman" w:eastAsia="Times New Roman" w:hAnsi="Times New Roman" w:cs="Times New Roman"/>
                <w:color w:val="000000"/>
                <w:kern w:val="0"/>
                <w:szCs w:val="24"/>
                <w:lang w:eastAsia="en-IN"/>
                <w14:ligatures w14:val="none"/>
              </w:rPr>
              <w:t>..</w:t>
            </w:r>
          </w:p>
        </w:tc>
        <w:tc>
          <w:tcPr>
            <w:tcW w:w="1056" w:type="dxa"/>
            <w:tcBorders>
              <w:top w:val="nil"/>
              <w:left w:val="nil"/>
              <w:bottom w:val="single" w:sz="4" w:space="0" w:color="auto"/>
              <w:right w:val="single" w:sz="4" w:space="0" w:color="auto"/>
            </w:tcBorders>
            <w:noWrap/>
            <w:vAlign w:val="bottom"/>
            <w:hideMark/>
          </w:tcPr>
          <w:p w14:paraId="04FFA705" w14:textId="77777777" w:rsidR="0059396E" w:rsidRPr="001A0C9B" w:rsidRDefault="0059396E" w:rsidP="00E831E0">
            <w:pPr>
              <w:spacing w:after="0" w:line="240" w:lineRule="auto"/>
              <w:rPr>
                <w:rFonts w:ascii="Times New Roman" w:eastAsia="Times New Roman" w:hAnsi="Times New Roman" w:cs="Times New Roman"/>
                <w:color w:val="000000"/>
                <w:kern w:val="0"/>
                <w:szCs w:val="24"/>
                <w:lang w:eastAsia="en-IN"/>
                <w14:ligatures w14:val="none"/>
              </w:rPr>
            </w:pPr>
            <w:r w:rsidRPr="001A0C9B">
              <w:rPr>
                <w:rFonts w:ascii="Times New Roman" w:eastAsia="Times New Roman" w:hAnsi="Times New Roman" w:cs="Times New Roman"/>
                <w:color w:val="000000"/>
                <w:kern w:val="0"/>
                <w:szCs w:val="24"/>
                <w:lang w:eastAsia="en-IN"/>
                <w14:ligatures w14:val="none"/>
              </w:rPr>
              <w:t>..</w:t>
            </w:r>
          </w:p>
        </w:tc>
      </w:tr>
      <w:tr w:rsidR="0059396E" w:rsidRPr="001A0C9B" w14:paraId="5EDBC5E4" w14:textId="77777777" w:rsidTr="00E831E0">
        <w:trPr>
          <w:trHeight w:val="384"/>
        </w:trPr>
        <w:tc>
          <w:tcPr>
            <w:tcW w:w="2186" w:type="dxa"/>
            <w:tcBorders>
              <w:top w:val="nil"/>
              <w:left w:val="single" w:sz="4" w:space="0" w:color="auto"/>
              <w:bottom w:val="single" w:sz="4" w:space="0" w:color="auto"/>
              <w:right w:val="single" w:sz="4" w:space="0" w:color="auto"/>
            </w:tcBorders>
            <w:noWrap/>
            <w:vAlign w:val="bottom"/>
            <w:hideMark/>
          </w:tcPr>
          <w:p w14:paraId="3034CA63" w14:textId="77777777" w:rsidR="0059396E" w:rsidRPr="001A0C9B" w:rsidRDefault="0059396E" w:rsidP="00E831E0">
            <w:pPr>
              <w:spacing w:after="0" w:line="240" w:lineRule="auto"/>
              <w:rPr>
                <w:rFonts w:ascii="Times New Roman" w:eastAsia="Times New Roman" w:hAnsi="Times New Roman" w:cs="Times New Roman"/>
                <w:color w:val="000000"/>
                <w:kern w:val="0"/>
                <w:szCs w:val="24"/>
                <w:lang w:eastAsia="en-IN"/>
                <w14:ligatures w14:val="none"/>
              </w:rPr>
            </w:pPr>
            <w:r w:rsidRPr="001A0C9B">
              <w:rPr>
                <w:rFonts w:ascii="Times New Roman" w:eastAsia="Times New Roman" w:hAnsi="Times New Roman" w:cs="Times New Roman"/>
                <w:color w:val="000000"/>
                <w:kern w:val="0"/>
                <w:szCs w:val="24"/>
                <w:lang w:eastAsia="en-IN"/>
                <w14:ligatures w14:val="none"/>
              </w:rPr>
              <w:t>Orissa</w:t>
            </w:r>
          </w:p>
        </w:tc>
        <w:tc>
          <w:tcPr>
            <w:tcW w:w="1124" w:type="dxa"/>
            <w:tcBorders>
              <w:top w:val="nil"/>
              <w:left w:val="nil"/>
              <w:bottom w:val="single" w:sz="4" w:space="0" w:color="auto"/>
              <w:right w:val="single" w:sz="4" w:space="0" w:color="auto"/>
            </w:tcBorders>
            <w:noWrap/>
            <w:vAlign w:val="bottom"/>
            <w:hideMark/>
          </w:tcPr>
          <w:p w14:paraId="74450AE8" w14:textId="77777777" w:rsidR="0059396E" w:rsidRPr="001A0C9B" w:rsidRDefault="0059396E" w:rsidP="00E831E0">
            <w:pPr>
              <w:spacing w:after="0" w:line="240" w:lineRule="auto"/>
              <w:jc w:val="right"/>
              <w:rPr>
                <w:rFonts w:ascii="Times New Roman" w:eastAsia="Times New Roman" w:hAnsi="Times New Roman" w:cs="Times New Roman"/>
                <w:color w:val="000000"/>
                <w:kern w:val="0"/>
                <w:szCs w:val="24"/>
                <w:lang w:eastAsia="en-IN"/>
                <w14:ligatures w14:val="none"/>
              </w:rPr>
            </w:pPr>
            <w:r w:rsidRPr="001A0C9B">
              <w:rPr>
                <w:rFonts w:ascii="Times New Roman" w:eastAsia="Times New Roman" w:hAnsi="Times New Roman" w:cs="Times New Roman"/>
                <w:color w:val="000000"/>
                <w:kern w:val="0"/>
                <w:szCs w:val="24"/>
                <w:lang w:eastAsia="en-IN"/>
                <w14:ligatures w14:val="none"/>
              </w:rPr>
              <w:t>7</w:t>
            </w:r>
          </w:p>
        </w:tc>
        <w:tc>
          <w:tcPr>
            <w:tcW w:w="1123" w:type="dxa"/>
            <w:tcBorders>
              <w:top w:val="nil"/>
              <w:left w:val="nil"/>
              <w:bottom w:val="single" w:sz="4" w:space="0" w:color="auto"/>
              <w:right w:val="single" w:sz="4" w:space="0" w:color="auto"/>
            </w:tcBorders>
            <w:noWrap/>
            <w:vAlign w:val="bottom"/>
            <w:hideMark/>
          </w:tcPr>
          <w:p w14:paraId="17C06969" w14:textId="77777777" w:rsidR="0059396E" w:rsidRPr="001A0C9B" w:rsidRDefault="0059396E" w:rsidP="00E831E0">
            <w:pPr>
              <w:spacing w:after="0" w:line="240" w:lineRule="auto"/>
              <w:jc w:val="right"/>
              <w:rPr>
                <w:rFonts w:ascii="Times New Roman" w:eastAsia="Times New Roman" w:hAnsi="Times New Roman" w:cs="Times New Roman"/>
                <w:color w:val="000000"/>
                <w:kern w:val="0"/>
                <w:szCs w:val="24"/>
                <w:lang w:eastAsia="en-IN"/>
                <w14:ligatures w14:val="none"/>
              </w:rPr>
            </w:pPr>
            <w:r w:rsidRPr="001A0C9B">
              <w:rPr>
                <w:rFonts w:ascii="Times New Roman" w:eastAsia="Times New Roman" w:hAnsi="Times New Roman" w:cs="Times New Roman"/>
                <w:color w:val="000000"/>
                <w:kern w:val="0"/>
                <w:szCs w:val="24"/>
                <w:lang w:eastAsia="en-IN"/>
                <w14:ligatures w14:val="none"/>
              </w:rPr>
              <w:t>7.26</w:t>
            </w:r>
          </w:p>
        </w:tc>
        <w:tc>
          <w:tcPr>
            <w:tcW w:w="1056" w:type="dxa"/>
            <w:tcBorders>
              <w:top w:val="nil"/>
              <w:left w:val="nil"/>
              <w:bottom w:val="single" w:sz="4" w:space="0" w:color="auto"/>
              <w:right w:val="single" w:sz="4" w:space="0" w:color="auto"/>
            </w:tcBorders>
            <w:noWrap/>
            <w:vAlign w:val="bottom"/>
            <w:hideMark/>
          </w:tcPr>
          <w:p w14:paraId="4B988FD3" w14:textId="77777777" w:rsidR="0059396E" w:rsidRPr="001A0C9B" w:rsidRDefault="0059396E" w:rsidP="00E831E0">
            <w:pPr>
              <w:spacing w:after="0" w:line="240" w:lineRule="auto"/>
              <w:jc w:val="right"/>
              <w:rPr>
                <w:rFonts w:ascii="Times New Roman" w:eastAsia="Times New Roman" w:hAnsi="Times New Roman" w:cs="Times New Roman"/>
                <w:color w:val="000000"/>
                <w:kern w:val="0"/>
                <w:szCs w:val="24"/>
                <w:lang w:eastAsia="en-IN"/>
                <w14:ligatures w14:val="none"/>
              </w:rPr>
            </w:pPr>
            <w:r w:rsidRPr="001A0C9B">
              <w:rPr>
                <w:rFonts w:ascii="Times New Roman" w:eastAsia="Times New Roman" w:hAnsi="Times New Roman" w:cs="Times New Roman"/>
                <w:color w:val="000000"/>
                <w:kern w:val="0"/>
                <w:szCs w:val="24"/>
                <w:lang w:eastAsia="en-IN"/>
                <w14:ligatures w14:val="none"/>
              </w:rPr>
              <w:t>8.34</w:t>
            </w:r>
          </w:p>
        </w:tc>
        <w:tc>
          <w:tcPr>
            <w:tcW w:w="1124" w:type="dxa"/>
            <w:tcBorders>
              <w:top w:val="nil"/>
              <w:left w:val="nil"/>
              <w:bottom w:val="single" w:sz="4" w:space="0" w:color="auto"/>
              <w:right w:val="single" w:sz="4" w:space="0" w:color="auto"/>
            </w:tcBorders>
            <w:noWrap/>
            <w:vAlign w:val="bottom"/>
            <w:hideMark/>
          </w:tcPr>
          <w:p w14:paraId="36D271B6" w14:textId="77777777" w:rsidR="0059396E" w:rsidRPr="001A0C9B" w:rsidRDefault="0059396E" w:rsidP="00E831E0">
            <w:pPr>
              <w:spacing w:after="0" w:line="240" w:lineRule="auto"/>
              <w:jc w:val="right"/>
              <w:rPr>
                <w:rFonts w:ascii="Times New Roman" w:eastAsia="Times New Roman" w:hAnsi="Times New Roman" w:cs="Times New Roman"/>
                <w:color w:val="000000"/>
                <w:kern w:val="0"/>
                <w:szCs w:val="24"/>
                <w:lang w:eastAsia="en-IN"/>
                <w14:ligatures w14:val="none"/>
              </w:rPr>
            </w:pPr>
            <w:r w:rsidRPr="001A0C9B">
              <w:rPr>
                <w:rFonts w:ascii="Times New Roman" w:eastAsia="Times New Roman" w:hAnsi="Times New Roman" w:cs="Times New Roman"/>
                <w:color w:val="000000"/>
                <w:kern w:val="0"/>
                <w:szCs w:val="24"/>
                <w:lang w:eastAsia="en-IN"/>
                <w14:ligatures w14:val="none"/>
              </w:rPr>
              <w:t>2.93</w:t>
            </w:r>
          </w:p>
        </w:tc>
        <w:tc>
          <w:tcPr>
            <w:tcW w:w="1123" w:type="dxa"/>
            <w:tcBorders>
              <w:top w:val="nil"/>
              <w:left w:val="nil"/>
              <w:bottom w:val="single" w:sz="4" w:space="0" w:color="auto"/>
              <w:right w:val="single" w:sz="4" w:space="0" w:color="auto"/>
            </w:tcBorders>
            <w:noWrap/>
            <w:vAlign w:val="bottom"/>
            <w:hideMark/>
          </w:tcPr>
          <w:p w14:paraId="426127B6" w14:textId="77777777" w:rsidR="0059396E" w:rsidRPr="001A0C9B" w:rsidRDefault="0059396E" w:rsidP="00E831E0">
            <w:pPr>
              <w:spacing w:after="0" w:line="240" w:lineRule="auto"/>
              <w:jc w:val="right"/>
              <w:rPr>
                <w:rFonts w:ascii="Times New Roman" w:eastAsia="Times New Roman" w:hAnsi="Times New Roman" w:cs="Times New Roman"/>
                <w:color w:val="000000"/>
                <w:kern w:val="0"/>
                <w:szCs w:val="24"/>
                <w:lang w:eastAsia="en-IN"/>
                <w14:ligatures w14:val="none"/>
              </w:rPr>
            </w:pPr>
            <w:r w:rsidRPr="001A0C9B">
              <w:rPr>
                <w:rFonts w:ascii="Times New Roman" w:eastAsia="Times New Roman" w:hAnsi="Times New Roman" w:cs="Times New Roman"/>
                <w:color w:val="000000"/>
                <w:kern w:val="0"/>
                <w:szCs w:val="24"/>
                <w:lang w:eastAsia="en-IN"/>
                <w14:ligatures w14:val="none"/>
              </w:rPr>
              <w:t>3.71</w:t>
            </w:r>
          </w:p>
        </w:tc>
        <w:tc>
          <w:tcPr>
            <w:tcW w:w="1056" w:type="dxa"/>
            <w:tcBorders>
              <w:top w:val="nil"/>
              <w:left w:val="nil"/>
              <w:bottom w:val="single" w:sz="4" w:space="0" w:color="auto"/>
              <w:right w:val="single" w:sz="4" w:space="0" w:color="auto"/>
            </w:tcBorders>
            <w:noWrap/>
            <w:vAlign w:val="bottom"/>
            <w:hideMark/>
          </w:tcPr>
          <w:p w14:paraId="243D4DBB" w14:textId="77777777" w:rsidR="0059396E" w:rsidRPr="001A0C9B" w:rsidRDefault="0059396E" w:rsidP="00E831E0">
            <w:pPr>
              <w:spacing w:after="0" w:line="240" w:lineRule="auto"/>
              <w:jc w:val="right"/>
              <w:rPr>
                <w:rFonts w:ascii="Times New Roman" w:eastAsia="Times New Roman" w:hAnsi="Times New Roman" w:cs="Times New Roman"/>
                <w:color w:val="000000"/>
                <w:kern w:val="0"/>
                <w:szCs w:val="24"/>
                <w:lang w:eastAsia="en-IN"/>
                <w14:ligatures w14:val="none"/>
              </w:rPr>
            </w:pPr>
            <w:r w:rsidRPr="001A0C9B">
              <w:rPr>
                <w:rFonts w:ascii="Times New Roman" w:eastAsia="Times New Roman" w:hAnsi="Times New Roman" w:cs="Times New Roman"/>
                <w:color w:val="000000"/>
                <w:kern w:val="0"/>
                <w:szCs w:val="24"/>
                <w:lang w:eastAsia="en-IN"/>
                <w14:ligatures w14:val="none"/>
              </w:rPr>
              <w:t>4.22</w:t>
            </w:r>
          </w:p>
        </w:tc>
      </w:tr>
      <w:tr w:rsidR="0059396E" w:rsidRPr="001A0C9B" w14:paraId="709BD3C3" w14:textId="77777777" w:rsidTr="00E831E0">
        <w:trPr>
          <w:trHeight w:val="384"/>
        </w:trPr>
        <w:tc>
          <w:tcPr>
            <w:tcW w:w="2186" w:type="dxa"/>
            <w:tcBorders>
              <w:top w:val="nil"/>
              <w:left w:val="single" w:sz="4" w:space="0" w:color="auto"/>
              <w:bottom w:val="single" w:sz="4" w:space="0" w:color="auto"/>
              <w:right w:val="single" w:sz="4" w:space="0" w:color="auto"/>
            </w:tcBorders>
            <w:noWrap/>
            <w:vAlign w:val="bottom"/>
            <w:hideMark/>
          </w:tcPr>
          <w:p w14:paraId="30439631" w14:textId="77777777" w:rsidR="0059396E" w:rsidRPr="001A0C9B" w:rsidRDefault="0059396E" w:rsidP="00E831E0">
            <w:pPr>
              <w:spacing w:after="0" w:line="240" w:lineRule="auto"/>
              <w:rPr>
                <w:rFonts w:ascii="Times New Roman" w:eastAsia="Times New Roman" w:hAnsi="Times New Roman" w:cs="Times New Roman"/>
                <w:color w:val="000000"/>
                <w:kern w:val="0"/>
                <w:szCs w:val="24"/>
                <w:lang w:eastAsia="en-IN"/>
                <w14:ligatures w14:val="none"/>
              </w:rPr>
            </w:pPr>
            <w:r w:rsidRPr="001A0C9B">
              <w:rPr>
                <w:rFonts w:ascii="Times New Roman" w:eastAsia="Times New Roman" w:hAnsi="Times New Roman" w:cs="Times New Roman"/>
                <w:color w:val="000000"/>
                <w:kern w:val="0"/>
                <w:szCs w:val="24"/>
                <w:lang w:eastAsia="en-IN"/>
                <w14:ligatures w14:val="none"/>
              </w:rPr>
              <w:t>Punjab</w:t>
            </w:r>
          </w:p>
        </w:tc>
        <w:tc>
          <w:tcPr>
            <w:tcW w:w="1124" w:type="dxa"/>
            <w:tcBorders>
              <w:top w:val="nil"/>
              <w:left w:val="nil"/>
              <w:bottom w:val="single" w:sz="4" w:space="0" w:color="auto"/>
              <w:right w:val="single" w:sz="4" w:space="0" w:color="auto"/>
            </w:tcBorders>
            <w:noWrap/>
            <w:vAlign w:val="bottom"/>
            <w:hideMark/>
          </w:tcPr>
          <w:p w14:paraId="2BE5B1E4" w14:textId="77777777" w:rsidR="0059396E" w:rsidRPr="001A0C9B" w:rsidRDefault="0059396E" w:rsidP="00E831E0">
            <w:pPr>
              <w:spacing w:after="0" w:line="240" w:lineRule="auto"/>
              <w:jc w:val="right"/>
              <w:rPr>
                <w:rFonts w:ascii="Times New Roman" w:eastAsia="Times New Roman" w:hAnsi="Times New Roman" w:cs="Times New Roman"/>
                <w:color w:val="000000"/>
                <w:kern w:val="0"/>
                <w:szCs w:val="24"/>
                <w:lang w:eastAsia="en-IN"/>
                <w14:ligatures w14:val="none"/>
              </w:rPr>
            </w:pPr>
            <w:r w:rsidRPr="001A0C9B">
              <w:rPr>
                <w:rFonts w:ascii="Times New Roman" w:eastAsia="Times New Roman" w:hAnsi="Times New Roman" w:cs="Times New Roman"/>
                <w:color w:val="000000"/>
                <w:kern w:val="0"/>
                <w:szCs w:val="24"/>
                <w:lang w:eastAsia="en-IN"/>
                <w14:ligatures w14:val="none"/>
              </w:rPr>
              <w:t>9.14</w:t>
            </w:r>
          </w:p>
        </w:tc>
        <w:tc>
          <w:tcPr>
            <w:tcW w:w="1123" w:type="dxa"/>
            <w:tcBorders>
              <w:top w:val="nil"/>
              <w:left w:val="nil"/>
              <w:bottom w:val="single" w:sz="4" w:space="0" w:color="auto"/>
              <w:right w:val="single" w:sz="4" w:space="0" w:color="auto"/>
            </w:tcBorders>
            <w:noWrap/>
            <w:vAlign w:val="bottom"/>
            <w:hideMark/>
          </w:tcPr>
          <w:p w14:paraId="25E6345F" w14:textId="77777777" w:rsidR="0059396E" w:rsidRPr="001A0C9B" w:rsidRDefault="0059396E" w:rsidP="00E831E0">
            <w:pPr>
              <w:spacing w:after="0" w:line="240" w:lineRule="auto"/>
              <w:jc w:val="right"/>
              <w:rPr>
                <w:rFonts w:ascii="Times New Roman" w:eastAsia="Times New Roman" w:hAnsi="Times New Roman" w:cs="Times New Roman"/>
                <w:color w:val="000000"/>
                <w:kern w:val="0"/>
                <w:szCs w:val="24"/>
                <w:lang w:eastAsia="en-IN"/>
                <w14:ligatures w14:val="none"/>
              </w:rPr>
            </w:pPr>
            <w:r w:rsidRPr="001A0C9B">
              <w:rPr>
                <w:rFonts w:ascii="Times New Roman" w:eastAsia="Times New Roman" w:hAnsi="Times New Roman" w:cs="Times New Roman"/>
                <w:color w:val="000000"/>
                <w:kern w:val="0"/>
                <w:szCs w:val="24"/>
                <w:lang w:eastAsia="en-IN"/>
                <w14:ligatures w14:val="none"/>
              </w:rPr>
              <w:t>12.41</w:t>
            </w:r>
          </w:p>
        </w:tc>
        <w:tc>
          <w:tcPr>
            <w:tcW w:w="1056" w:type="dxa"/>
            <w:tcBorders>
              <w:top w:val="nil"/>
              <w:left w:val="nil"/>
              <w:bottom w:val="single" w:sz="4" w:space="0" w:color="auto"/>
              <w:right w:val="single" w:sz="4" w:space="0" w:color="auto"/>
            </w:tcBorders>
            <w:noWrap/>
            <w:vAlign w:val="bottom"/>
            <w:hideMark/>
          </w:tcPr>
          <w:p w14:paraId="0B73F15D" w14:textId="77777777" w:rsidR="0059396E" w:rsidRPr="001A0C9B" w:rsidRDefault="0059396E" w:rsidP="00E831E0">
            <w:pPr>
              <w:spacing w:after="0" w:line="240" w:lineRule="auto"/>
              <w:jc w:val="right"/>
              <w:rPr>
                <w:rFonts w:ascii="Times New Roman" w:eastAsia="Times New Roman" w:hAnsi="Times New Roman" w:cs="Times New Roman"/>
                <w:color w:val="000000"/>
                <w:kern w:val="0"/>
                <w:szCs w:val="24"/>
                <w:lang w:eastAsia="en-IN"/>
                <w14:ligatures w14:val="none"/>
              </w:rPr>
            </w:pPr>
            <w:r w:rsidRPr="001A0C9B">
              <w:rPr>
                <w:rFonts w:ascii="Times New Roman" w:eastAsia="Times New Roman" w:hAnsi="Times New Roman" w:cs="Times New Roman"/>
                <w:color w:val="000000"/>
                <w:kern w:val="0"/>
                <w:szCs w:val="24"/>
                <w:lang w:eastAsia="en-IN"/>
                <w14:ligatures w14:val="none"/>
              </w:rPr>
              <w:t>13.69</w:t>
            </w:r>
          </w:p>
        </w:tc>
        <w:tc>
          <w:tcPr>
            <w:tcW w:w="1124" w:type="dxa"/>
            <w:tcBorders>
              <w:top w:val="nil"/>
              <w:left w:val="nil"/>
              <w:bottom w:val="single" w:sz="4" w:space="0" w:color="auto"/>
              <w:right w:val="single" w:sz="4" w:space="0" w:color="auto"/>
            </w:tcBorders>
            <w:noWrap/>
            <w:vAlign w:val="bottom"/>
            <w:hideMark/>
          </w:tcPr>
          <w:p w14:paraId="79FF2FE2" w14:textId="77777777" w:rsidR="0059396E" w:rsidRPr="001A0C9B" w:rsidRDefault="0059396E" w:rsidP="00E831E0">
            <w:pPr>
              <w:spacing w:after="0" w:line="240" w:lineRule="auto"/>
              <w:jc w:val="right"/>
              <w:rPr>
                <w:rFonts w:ascii="Times New Roman" w:eastAsia="Times New Roman" w:hAnsi="Times New Roman" w:cs="Times New Roman"/>
                <w:color w:val="000000"/>
                <w:kern w:val="0"/>
                <w:szCs w:val="24"/>
                <w:lang w:eastAsia="en-IN"/>
                <w14:ligatures w14:val="none"/>
              </w:rPr>
            </w:pPr>
            <w:r w:rsidRPr="001A0C9B">
              <w:rPr>
                <w:rFonts w:ascii="Times New Roman" w:eastAsia="Times New Roman" w:hAnsi="Times New Roman" w:cs="Times New Roman"/>
                <w:color w:val="000000"/>
                <w:kern w:val="0"/>
                <w:szCs w:val="24"/>
                <w:lang w:eastAsia="en-IN"/>
                <w14:ligatures w14:val="none"/>
              </w:rPr>
              <w:t>2.25</w:t>
            </w:r>
          </w:p>
        </w:tc>
        <w:tc>
          <w:tcPr>
            <w:tcW w:w="1123" w:type="dxa"/>
            <w:tcBorders>
              <w:top w:val="nil"/>
              <w:left w:val="nil"/>
              <w:bottom w:val="single" w:sz="4" w:space="0" w:color="auto"/>
              <w:right w:val="single" w:sz="4" w:space="0" w:color="auto"/>
            </w:tcBorders>
            <w:noWrap/>
            <w:vAlign w:val="bottom"/>
            <w:hideMark/>
          </w:tcPr>
          <w:p w14:paraId="4DDCECA8" w14:textId="77777777" w:rsidR="0059396E" w:rsidRPr="001A0C9B" w:rsidRDefault="0059396E" w:rsidP="00E831E0">
            <w:pPr>
              <w:spacing w:after="0" w:line="240" w:lineRule="auto"/>
              <w:jc w:val="right"/>
              <w:rPr>
                <w:rFonts w:ascii="Times New Roman" w:eastAsia="Times New Roman" w:hAnsi="Times New Roman" w:cs="Times New Roman"/>
                <w:color w:val="000000"/>
                <w:kern w:val="0"/>
                <w:szCs w:val="24"/>
                <w:lang w:eastAsia="en-IN"/>
                <w14:ligatures w14:val="none"/>
              </w:rPr>
            </w:pPr>
            <w:r w:rsidRPr="001A0C9B">
              <w:rPr>
                <w:rFonts w:ascii="Times New Roman" w:eastAsia="Times New Roman" w:hAnsi="Times New Roman" w:cs="Times New Roman"/>
                <w:color w:val="000000"/>
                <w:kern w:val="0"/>
                <w:szCs w:val="24"/>
                <w:lang w:eastAsia="en-IN"/>
                <w14:ligatures w14:val="none"/>
              </w:rPr>
              <w:t>2.84</w:t>
            </w:r>
          </w:p>
        </w:tc>
        <w:tc>
          <w:tcPr>
            <w:tcW w:w="1056" w:type="dxa"/>
            <w:tcBorders>
              <w:top w:val="nil"/>
              <w:left w:val="nil"/>
              <w:bottom w:val="single" w:sz="4" w:space="0" w:color="auto"/>
              <w:right w:val="single" w:sz="4" w:space="0" w:color="auto"/>
            </w:tcBorders>
            <w:noWrap/>
            <w:vAlign w:val="bottom"/>
            <w:hideMark/>
          </w:tcPr>
          <w:p w14:paraId="2F6FD71A" w14:textId="77777777" w:rsidR="0059396E" w:rsidRPr="001A0C9B" w:rsidRDefault="0059396E" w:rsidP="00E831E0">
            <w:pPr>
              <w:spacing w:after="0" w:line="240" w:lineRule="auto"/>
              <w:jc w:val="right"/>
              <w:rPr>
                <w:rFonts w:ascii="Times New Roman" w:eastAsia="Times New Roman" w:hAnsi="Times New Roman" w:cs="Times New Roman"/>
                <w:color w:val="000000"/>
                <w:kern w:val="0"/>
                <w:szCs w:val="24"/>
                <w:lang w:eastAsia="en-IN"/>
                <w14:ligatures w14:val="none"/>
              </w:rPr>
            </w:pPr>
            <w:r w:rsidRPr="001A0C9B">
              <w:rPr>
                <w:rFonts w:ascii="Times New Roman" w:eastAsia="Times New Roman" w:hAnsi="Times New Roman" w:cs="Times New Roman"/>
                <w:color w:val="000000"/>
                <w:kern w:val="0"/>
                <w:szCs w:val="24"/>
                <w:lang w:eastAsia="en-IN"/>
                <w14:ligatures w14:val="none"/>
              </w:rPr>
              <w:t>4.37</w:t>
            </w:r>
          </w:p>
        </w:tc>
      </w:tr>
      <w:tr w:rsidR="0059396E" w:rsidRPr="001A0C9B" w14:paraId="6C914882" w14:textId="77777777" w:rsidTr="00E831E0">
        <w:trPr>
          <w:trHeight w:val="384"/>
        </w:trPr>
        <w:tc>
          <w:tcPr>
            <w:tcW w:w="2186" w:type="dxa"/>
            <w:tcBorders>
              <w:top w:val="nil"/>
              <w:left w:val="single" w:sz="4" w:space="0" w:color="auto"/>
              <w:bottom w:val="single" w:sz="4" w:space="0" w:color="auto"/>
              <w:right w:val="single" w:sz="4" w:space="0" w:color="auto"/>
            </w:tcBorders>
            <w:noWrap/>
            <w:vAlign w:val="bottom"/>
            <w:hideMark/>
          </w:tcPr>
          <w:p w14:paraId="2517DF72" w14:textId="77777777" w:rsidR="0059396E" w:rsidRPr="001A0C9B" w:rsidRDefault="0059396E" w:rsidP="00E831E0">
            <w:pPr>
              <w:spacing w:after="0" w:line="240" w:lineRule="auto"/>
              <w:rPr>
                <w:rFonts w:ascii="Times New Roman" w:eastAsia="Times New Roman" w:hAnsi="Times New Roman" w:cs="Times New Roman"/>
                <w:color w:val="000000"/>
                <w:kern w:val="0"/>
                <w:szCs w:val="24"/>
                <w:lang w:eastAsia="en-IN"/>
                <w14:ligatures w14:val="none"/>
              </w:rPr>
            </w:pPr>
            <w:r w:rsidRPr="001A0C9B">
              <w:rPr>
                <w:rFonts w:ascii="Times New Roman" w:eastAsia="Times New Roman" w:hAnsi="Times New Roman" w:cs="Times New Roman"/>
                <w:color w:val="000000"/>
                <w:kern w:val="0"/>
                <w:szCs w:val="24"/>
                <w:lang w:eastAsia="en-IN"/>
                <w14:ligatures w14:val="none"/>
              </w:rPr>
              <w:t>Rajasthan</w:t>
            </w:r>
          </w:p>
        </w:tc>
        <w:tc>
          <w:tcPr>
            <w:tcW w:w="1124" w:type="dxa"/>
            <w:tcBorders>
              <w:top w:val="nil"/>
              <w:left w:val="nil"/>
              <w:bottom w:val="single" w:sz="4" w:space="0" w:color="auto"/>
              <w:right w:val="single" w:sz="4" w:space="0" w:color="auto"/>
            </w:tcBorders>
            <w:noWrap/>
            <w:vAlign w:val="bottom"/>
            <w:hideMark/>
          </w:tcPr>
          <w:p w14:paraId="1FE3D8C8" w14:textId="77777777" w:rsidR="0059396E" w:rsidRPr="001A0C9B" w:rsidRDefault="0059396E" w:rsidP="00E831E0">
            <w:pPr>
              <w:spacing w:after="0" w:line="240" w:lineRule="auto"/>
              <w:jc w:val="right"/>
              <w:rPr>
                <w:rFonts w:ascii="Times New Roman" w:eastAsia="Times New Roman" w:hAnsi="Times New Roman" w:cs="Times New Roman"/>
                <w:color w:val="000000"/>
                <w:kern w:val="0"/>
                <w:szCs w:val="24"/>
                <w:lang w:eastAsia="en-IN"/>
                <w14:ligatures w14:val="none"/>
              </w:rPr>
            </w:pPr>
            <w:r w:rsidRPr="001A0C9B">
              <w:rPr>
                <w:rFonts w:ascii="Times New Roman" w:eastAsia="Times New Roman" w:hAnsi="Times New Roman" w:cs="Times New Roman"/>
                <w:color w:val="000000"/>
                <w:kern w:val="0"/>
                <w:szCs w:val="24"/>
                <w:lang w:eastAsia="en-IN"/>
                <w14:ligatures w14:val="none"/>
              </w:rPr>
              <w:t>12.44</w:t>
            </w:r>
          </w:p>
        </w:tc>
        <w:tc>
          <w:tcPr>
            <w:tcW w:w="1123" w:type="dxa"/>
            <w:tcBorders>
              <w:top w:val="nil"/>
              <w:left w:val="nil"/>
              <w:bottom w:val="single" w:sz="4" w:space="0" w:color="auto"/>
              <w:right w:val="single" w:sz="4" w:space="0" w:color="auto"/>
            </w:tcBorders>
            <w:noWrap/>
            <w:vAlign w:val="bottom"/>
            <w:hideMark/>
          </w:tcPr>
          <w:p w14:paraId="03002543" w14:textId="77777777" w:rsidR="0059396E" w:rsidRPr="001A0C9B" w:rsidRDefault="0059396E" w:rsidP="00E831E0">
            <w:pPr>
              <w:spacing w:after="0" w:line="240" w:lineRule="auto"/>
              <w:jc w:val="right"/>
              <w:rPr>
                <w:rFonts w:ascii="Times New Roman" w:eastAsia="Times New Roman" w:hAnsi="Times New Roman" w:cs="Times New Roman"/>
                <w:color w:val="000000"/>
                <w:kern w:val="0"/>
                <w:szCs w:val="24"/>
                <w:lang w:eastAsia="en-IN"/>
                <w14:ligatures w14:val="none"/>
              </w:rPr>
            </w:pPr>
            <w:r w:rsidRPr="001A0C9B">
              <w:rPr>
                <w:rFonts w:ascii="Times New Roman" w:eastAsia="Times New Roman" w:hAnsi="Times New Roman" w:cs="Times New Roman"/>
                <w:color w:val="000000"/>
                <w:kern w:val="0"/>
                <w:szCs w:val="24"/>
                <w:lang w:eastAsia="en-IN"/>
                <w14:ligatures w14:val="none"/>
              </w:rPr>
              <w:t>13.61</w:t>
            </w:r>
          </w:p>
        </w:tc>
        <w:tc>
          <w:tcPr>
            <w:tcW w:w="1056" w:type="dxa"/>
            <w:tcBorders>
              <w:top w:val="nil"/>
              <w:left w:val="nil"/>
              <w:bottom w:val="single" w:sz="4" w:space="0" w:color="auto"/>
              <w:right w:val="single" w:sz="4" w:space="0" w:color="auto"/>
            </w:tcBorders>
            <w:noWrap/>
            <w:vAlign w:val="bottom"/>
            <w:hideMark/>
          </w:tcPr>
          <w:p w14:paraId="37A21C16" w14:textId="77777777" w:rsidR="0059396E" w:rsidRPr="001A0C9B" w:rsidRDefault="0059396E" w:rsidP="00E831E0">
            <w:pPr>
              <w:spacing w:after="0" w:line="240" w:lineRule="auto"/>
              <w:jc w:val="right"/>
              <w:rPr>
                <w:rFonts w:ascii="Times New Roman" w:eastAsia="Times New Roman" w:hAnsi="Times New Roman" w:cs="Times New Roman"/>
                <w:color w:val="000000"/>
                <w:kern w:val="0"/>
                <w:szCs w:val="24"/>
                <w:lang w:eastAsia="en-IN"/>
                <w14:ligatures w14:val="none"/>
              </w:rPr>
            </w:pPr>
            <w:r w:rsidRPr="001A0C9B">
              <w:rPr>
                <w:rFonts w:ascii="Times New Roman" w:eastAsia="Times New Roman" w:hAnsi="Times New Roman" w:cs="Times New Roman"/>
                <w:color w:val="000000"/>
                <w:kern w:val="0"/>
                <w:szCs w:val="24"/>
                <w:lang w:eastAsia="en-IN"/>
                <w14:ligatures w14:val="none"/>
              </w:rPr>
              <w:t>17.2</w:t>
            </w:r>
          </w:p>
        </w:tc>
        <w:tc>
          <w:tcPr>
            <w:tcW w:w="1124" w:type="dxa"/>
            <w:tcBorders>
              <w:top w:val="nil"/>
              <w:left w:val="nil"/>
              <w:bottom w:val="single" w:sz="4" w:space="0" w:color="auto"/>
              <w:right w:val="single" w:sz="4" w:space="0" w:color="auto"/>
            </w:tcBorders>
            <w:noWrap/>
            <w:vAlign w:val="bottom"/>
            <w:hideMark/>
          </w:tcPr>
          <w:p w14:paraId="611C39EE" w14:textId="77777777" w:rsidR="0059396E" w:rsidRPr="001A0C9B" w:rsidRDefault="0059396E" w:rsidP="00E831E0">
            <w:pPr>
              <w:spacing w:after="0" w:line="240" w:lineRule="auto"/>
              <w:jc w:val="right"/>
              <w:rPr>
                <w:rFonts w:ascii="Times New Roman" w:eastAsia="Times New Roman" w:hAnsi="Times New Roman" w:cs="Times New Roman"/>
                <w:color w:val="000000"/>
                <w:kern w:val="0"/>
                <w:szCs w:val="24"/>
                <w:lang w:eastAsia="en-IN"/>
                <w14:ligatures w14:val="none"/>
              </w:rPr>
            </w:pPr>
            <w:r w:rsidRPr="001A0C9B">
              <w:rPr>
                <w:rFonts w:ascii="Times New Roman" w:eastAsia="Times New Roman" w:hAnsi="Times New Roman" w:cs="Times New Roman"/>
                <w:color w:val="000000"/>
                <w:kern w:val="0"/>
                <w:szCs w:val="24"/>
                <w:lang w:eastAsia="en-IN"/>
                <w14:ligatures w14:val="none"/>
              </w:rPr>
              <w:t>1.73</w:t>
            </w:r>
          </w:p>
        </w:tc>
        <w:tc>
          <w:tcPr>
            <w:tcW w:w="1123" w:type="dxa"/>
            <w:tcBorders>
              <w:top w:val="nil"/>
              <w:left w:val="nil"/>
              <w:bottom w:val="single" w:sz="4" w:space="0" w:color="auto"/>
              <w:right w:val="single" w:sz="4" w:space="0" w:color="auto"/>
            </w:tcBorders>
            <w:noWrap/>
            <w:vAlign w:val="bottom"/>
            <w:hideMark/>
          </w:tcPr>
          <w:p w14:paraId="12E74A50" w14:textId="77777777" w:rsidR="0059396E" w:rsidRPr="001A0C9B" w:rsidRDefault="0059396E" w:rsidP="00E831E0">
            <w:pPr>
              <w:spacing w:after="0" w:line="240" w:lineRule="auto"/>
              <w:jc w:val="right"/>
              <w:rPr>
                <w:rFonts w:ascii="Times New Roman" w:eastAsia="Times New Roman" w:hAnsi="Times New Roman" w:cs="Times New Roman"/>
                <w:color w:val="000000"/>
                <w:kern w:val="0"/>
                <w:szCs w:val="24"/>
                <w:lang w:eastAsia="en-IN"/>
                <w14:ligatures w14:val="none"/>
              </w:rPr>
            </w:pPr>
            <w:r w:rsidRPr="001A0C9B">
              <w:rPr>
                <w:rFonts w:ascii="Times New Roman" w:eastAsia="Times New Roman" w:hAnsi="Times New Roman" w:cs="Times New Roman"/>
                <w:color w:val="000000"/>
                <w:kern w:val="0"/>
                <w:szCs w:val="24"/>
                <w:lang w:eastAsia="en-IN"/>
                <w14:ligatures w14:val="none"/>
              </w:rPr>
              <w:t>2.3</w:t>
            </w:r>
          </w:p>
        </w:tc>
        <w:tc>
          <w:tcPr>
            <w:tcW w:w="1056" w:type="dxa"/>
            <w:tcBorders>
              <w:top w:val="nil"/>
              <w:left w:val="nil"/>
              <w:bottom w:val="single" w:sz="4" w:space="0" w:color="auto"/>
              <w:right w:val="single" w:sz="4" w:space="0" w:color="auto"/>
            </w:tcBorders>
            <w:noWrap/>
            <w:vAlign w:val="bottom"/>
            <w:hideMark/>
          </w:tcPr>
          <w:p w14:paraId="4E1A9349" w14:textId="77777777" w:rsidR="0059396E" w:rsidRPr="001A0C9B" w:rsidRDefault="0059396E" w:rsidP="00E831E0">
            <w:pPr>
              <w:spacing w:after="0" w:line="240" w:lineRule="auto"/>
              <w:jc w:val="right"/>
              <w:rPr>
                <w:rFonts w:ascii="Times New Roman" w:eastAsia="Times New Roman" w:hAnsi="Times New Roman" w:cs="Times New Roman"/>
                <w:color w:val="000000"/>
                <w:kern w:val="0"/>
                <w:szCs w:val="24"/>
                <w:lang w:eastAsia="en-IN"/>
                <w14:ligatures w14:val="none"/>
              </w:rPr>
            </w:pPr>
            <w:r w:rsidRPr="001A0C9B">
              <w:rPr>
                <w:rFonts w:ascii="Times New Roman" w:eastAsia="Times New Roman" w:hAnsi="Times New Roman" w:cs="Times New Roman"/>
                <w:color w:val="000000"/>
                <w:kern w:val="0"/>
                <w:szCs w:val="24"/>
                <w:lang w:eastAsia="en-IN"/>
                <w14:ligatures w14:val="none"/>
              </w:rPr>
              <w:t>2.56</w:t>
            </w:r>
          </w:p>
        </w:tc>
      </w:tr>
      <w:tr w:rsidR="0059396E" w:rsidRPr="001A0C9B" w14:paraId="74743DB4" w14:textId="77777777" w:rsidTr="00E831E0">
        <w:trPr>
          <w:trHeight w:val="384"/>
        </w:trPr>
        <w:tc>
          <w:tcPr>
            <w:tcW w:w="2186" w:type="dxa"/>
            <w:tcBorders>
              <w:top w:val="nil"/>
              <w:left w:val="single" w:sz="4" w:space="0" w:color="auto"/>
              <w:bottom w:val="single" w:sz="4" w:space="0" w:color="auto"/>
              <w:right w:val="single" w:sz="4" w:space="0" w:color="auto"/>
            </w:tcBorders>
            <w:noWrap/>
            <w:vAlign w:val="bottom"/>
            <w:hideMark/>
          </w:tcPr>
          <w:p w14:paraId="1C97A022" w14:textId="77777777" w:rsidR="0059396E" w:rsidRPr="001A0C9B" w:rsidRDefault="0059396E" w:rsidP="00E831E0">
            <w:pPr>
              <w:spacing w:after="0" w:line="240" w:lineRule="auto"/>
              <w:rPr>
                <w:rFonts w:ascii="Times New Roman" w:eastAsia="Times New Roman" w:hAnsi="Times New Roman" w:cs="Times New Roman"/>
                <w:color w:val="000000"/>
                <w:kern w:val="0"/>
                <w:szCs w:val="24"/>
                <w:lang w:eastAsia="en-IN"/>
                <w14:ligatures w14:val="none"/>
              </w:rPr>
            </w:pPr>
            <w:r w:rsidRPr="001A0C9B">
              <w:rPr>
                <w:rFonts w:ascii="Times New Roman" w:eastAsia="Times New Roman" w:hAnsi="Times New Roman" w:cs="Times New Roman"/>
                <w:color w:val="000000"/>
                <w:kern w:val="0"/>
                <w:szCs w:val="24"/>
                <w:lang w:eastAsia="en-IN"/>
                <w14:ligatures w14:val="none"/>
              </w:rPr>
              <w:t>Tamil Nadu</w:t>
            </w:r>
          </w:p>
        </w:tc>
        <w:tc>
          <w:tcPr>
            <w:tcW w:w="1124" w:type="dxa"/>
            <w:tcBorders>
              <w:top w:val="nil"/>
              <w:left w:val="nil"/>
              <w:bottom w:val="single" w:sz="4" w:space="0" w:color="auto"/>
              <w:right w:val="single" w:sz="4" w:space="0" w:color="auto"/>
            </w:tcBorders>
            <w:noWrap/>
            <w:vAlign w:val="bottom"/>
            <w:hideMark/>
          </w:tcPr>
          <w:p w14:paraId="7FE70A65" w14:textId="77777777" w:rsidR="0059396E" w:rsidRPr="001A0C9B" w:rsidRDefault="0059396E" w:rsidP="00E831E0">
            <w:pPr>
              <w:spacing w:after="0" w:line="240" w:lineRule="auto"/>
              <w:jc w:val="right"/>
              <w:rPr>
                <w:rFonts w:ascii="Times New Roman" w:eastAsia="Times New Roman" w:hAnsi="Times New Roman" w:cs="Times New Roman"/>
                <w:color w:val="000000"/>
                <w:kern w:val="0"/>
                <w:szCs w:val="24"/>
                <w:lang w:eastAsia="en-IN"/>
                <w14:ligatures w14:val="none"/>
              </w:rPr>
            </w:pPr>
            <w:r w:rsidRPr="001A0C9B">
              <w:rPr>
                <w:rFonts w:ascii="Times New Roman" w:eastAsia="Times New Roman" w:hAnsi="Times New Roman" w:cs="Times New Roman"/>
                <w:color w:val="000000"/>
                <w:kern w:val="0"/>
                <w:szCs w:val="24"/>
                <w:lang w:eastAsia="en-IN"/>
                <w14:ligatures w14:val="none"/>
              </w:rPr>
              <w:t>33.8</w:t>
            </w:r>
          </w:p>
        </w:tc>
        <w:tc>
          <w:tcPr>
            <w:tcW w:w="1123" w:type="dxa"/>
            <w:tcBorders>
              <w:top w:val="nil"/>
              <w:left w:val="nil"/>
              <w:bottom w:val="single" w:sz="4" w:space="0" w:color="auto"/>
              <w:right w:val="single" w:sz="4" w:space="0" w:color="auto"/>
            </w:tcBorders>
            <w:noWrap/>
            <w:vAlign w:val="bottom"/>
            <w:hideMark/>
          </w:tcPr>
          <w:p w14:paraId="5D86C0EC" w14:textId="77777777" w:rsidR="0059396E" w:rsidRPr="001A0C9B" w:rsidRDefault="0059396E" w:rsidP="00E831E0">
            <w:pPr>
              <w:spacing w:after="0" w:line="240" w:lineRule="auto"/>
              <w:jc w:val="right"/>
              <w:rPr>
                <w:rFonts w:ascii="Times New Roman" w:eastAsia="Times New Roman" w:hAnsi="Times New Roman" w:cs="Times New Roman"/>
                <w:color w:val="000000"/>
                <w:kern w:val="0"/>
                <w:szCs w:val="24"/>
                <w:lang w:eastAsia="en-IN"/>
                <w14:ligatures w14:val="none"/>
              </w:rPr>
            </w:pPr>
            <w:r w:rsidRPr="001A0C9B">
              <w:rPr>
                <w:rFonts w:ascii="Times New Roman" w:eastAsia="Times New Roman" w:hAnsi="Times New Roman" w:cs="Times New Roman"/>
                <w:color w:val="000000"/>
                <w:kern w:val="0"/>
                <w:szCs w:val="24"/>
                <w:lang w:eastAsia="en-IN"/>
                <w14:ligatures w14:val="none"/>
              </w:rPr>
              <w:t>39.69</w:t>
            </w:r>
          </w:p>
        </w:tc>
        <w:tc>
          <w:tcPr>
            <w:tcW w:w="1056" w:type="dxa"/>
            <w:tcBorders>
              <w:top w:val="nil"/>
              <w:left w:val="nil"/>
              <w:bottom w:val="single" w:sz="4" w:space="0" w:color="auto"/>
              <w:right w:val="single" w:sz="4" w:space="0" w:color="auto"/>
            </w:tcBorders>
            <w:noWrap/>
            <w:vAlign w:val="bottom"/>
            <w:hideMark/>
          </w:tcPr>
          <w:p w14:paraId="15A3FDDF" w14:textId="77777777" w:rsidR="0059396E" w:rsidRPr="001A0C9B" w:rsidRDefault="0059396E" w:rsidP="00E831E0">
            <w:pPr>
              <w:spacing w:after="0" w:line="240" w:lineRule="auto"/>
              <w:jc w:val="right"/>
              <w:rPr>
                <w:rFonts w:ascii="Times New Roman" w:eastAsia="Times New Roman" w:hAnsi="Times New Roman" w:cs="Times New Roman"/>
                <w:color w:val="000000"/>
                <w:kern w:val="0"/>
                <w:szCs w:val="24"/>
                <w:lang w:eastAsia="en-IN"/>
                <w14:ligatures w14:val="none"/>
              </w:rPr>
            </w:pPr>
            <w:r w:rsidRPr="001A0C9B">
              <w:rPr>
                <w:rFonts w:ascii="Times New Roman" w:eastAsia="Times New Roman" w:hAnsi="Times New Roman" w:cs="Times New Roman"/>
                <w:color w:val="000000"/>
                <w:kern w:val="0"/>
                <w:szCs w:val="24"/>
                <w:lang w:eastAsia="en-IN"/>
                <w14:ligatures w14:val="none"/>
              </w:rPr>
              <w:t>46.32</w:t>
            </w:r>
          </w:p>
        </w:tc>
        <w:tc>
          <w:tcPr>
            <w:tcW w:w="1124" w:type="dxa"/>
            <w:tcBorders>
              <w:top w:val="nil"/>
              <w:left w:val="nil"/>
              <w:bottom w:val="single" w:sz="4" w:space="0" w:color="auto"/>
              <w:right w:val="single" w:sz="4" w:space="0" w:color="auto"/>
            </w:tcBorders>
            <w:noWrap/>
            <w:vAlign w:val="bottom"/>
            <w:hideMark/>
          </w:tcPr>
          <w:p w14:paraId="4F4F0936" w14:textId="77777777" w:rsidR="0059396E" w:rsidRPr="001A0C9B" w:rsidRDefault="0059396E" w:rsidP="00E831E0">
            <w:pPr>
              <w:spacing w:after="0" w:line="240" w:lineRule="auto"/>
              <w:jc w:val="right"/>
              <w:rPr>
                <w:rFonts w:ascii="Times New Roman" w:eastAsia="Times New Roman" w:hAnsi="Times New Roman" w:cs="Times New Roman"/>
                <w:color w:val="000000"/>
                <w:kern w:val="0"/>
                <w:szCs w:val="24"/>
                <w:lang w:eastAsia="en-IN"/>
                <w14:ligatures w14:val="none"/>
              </w:rPr>
            </w:pPr>
            <w:r w:rsidRPr="001A0C9B">
              <w:rPr>
                <w:rFonts w:ascii="Times New Roman" w:eastAsia="Times New Roman" w:hAnsi="Times New Roman" w:cs="Times New Roman"/>
                <w:color w:val="000000"/>
                <w:kern w:val="0"/>
                <w:szCs w:val="24"/>
                <w:lang w:eastAsia="en-IN"/>
                <w14:ligatures w14:val="none"/>
              </w:rPr>
              <w:t>7.15</w:t>
            </w:r>
          </w:p>
        </w:tc>
        <w:tc>
          <w:tcPr>
            <w:tcW w:w="1123" w:type="dxa"/>
            <w:tcBorders>
              <w:top w:val="nil"/>
              <w:left w:val="nil"/>
              <w:bottom w:val="single" w:sz="4" w:space="0" w:color="auto"/>
              <w:right w:val="single" w:sz="4" w:space="0" w:color="auto"/>
            </w:tcBorders>
            <w:noWrap/>
            <w:vAlign w:val="bottom"/>
            <w:hideMark/>
          </w:tcPr>
          <w:p w14:paraId="2621351C" w14:textId="77777777" w:rsidR="0059396E" w:rsidRPr="001A0C9B" w:rsidRDefault="0059396E" w:rsidP="00E831E0">
            <w:pPr>
              <w:spacing w:after="0" w:line="240" w:lineRule="auto"/>
              <w:jc w:val="right"/>
              <w:rPr>
                <w:rFonts w:ascii="Times New Roman" w:eastAsia="Times New Roman" w:hAnsi="Times New Roman" w:cs="Times New Roman"/>
                <w:color w:val="000000"/>
                <w:kern w:val="0"/>
                <w:szCs w:val="24"/>
                <w:lang w:eastAsia="en-IN"/>
                <w14:ligatures w14:val="none"/>
              </w:rPr>
            </w:pPr>
            <w:r w:rsidRPr="001A0C9B">
              <w:rPr>
                <w:rFonts w:ascii="Times New Roman" w:eastAsia="Times New Roman" w:hAnsi="Times New Roman" w:cs="Times New Roman"/>
                <w:color w:val="000000"/>
                <w:kern w:val="0"/>
                <w:szCs w:val="24"/>
                <w:lang w:eastAsia="en-IN"/>
                <w14:ligatures w14:val="none"/>
              </w:rPr>
              <w:t>9.08</w:t>
            </w:r>
          </w:p>
        </w:tc>
        <w:tc>
          <w:tcPr>
            <w:tcW w:w="1056" w:type="dxa"/>
            <w:tcBorders>
              <w:top w:val="nil"/>
              <w:left w:val="nil"/>
              <w:bottom w:val="single" w:sz="4" w:space="0" w:color="auto"/>
              <w:right w:val="single" w:sz="4" w:space="0" w:color="auto"/>
            </w:tcBorders>
            <w:noWrap/>
            <w:vAlign w:val="bottom"/>
            <w:hideMark/>
          </w:tcPr>
          <w:p w14:paraId="62FF3A80" w14:textId="77777777" w:rsidR="0059396E" w:rsidRPr="001A0C9B" w:rsidRDefault="0059396E" w:rsidP="00E831E0">
            <w:pPr>
              <w:spacing w:after="0" w:line="240" w:lineRule="auto"/>
              <w:jc w:val="right"/>
              <w:rPr>
                <w:rFonts w:ascii="Times New Roman" w:eastAsia="Times New Roman" w:hAnsi="Times New Roman" w:cs="Times New Roman"/>
                <w:color w:val="000000"/>
                <w:kern w:val="0"/>
                <w:szCs w:val="24"/>
                <w:lang w:eastAsia="en-IN"/>
                <w14:ligatures w14:val="none"/>
              </w:rPr>
            </w:pPr>
            <w:r w:rsidRPr="001A0C9B">
              <w:rPr>
                <w:rFonts w:ascii="Times New Roman" w:eastAsia="Times New Roman" w:hAnsi="Times New Roman" w:cs="Times New Roman"/>
                <w:color w:val="000000"/>
                <w:kern w:val="0"/>
                <w:szCs w:val="24"/>
                <w:lang w:eastAsia="en-IN"/>
                <w14:ligatures w14:val="none"/>
              </w:rPr>
              <w:t>10.16</w:t>
            </w:r>
          </w:p>
        </w:tc>
      </w:tr>
      <w:tr w:rsidR="0059396E" w:rsidRPr="001A0C9B" w14:paraId="33FBCDE5" w14:textId="77777777" w:rsidTr="00E831E0">
        <w:trPr>
          <w:trHeight w:val="384"/>
        </w:trPr>
        <w:tc>
          <w:tcPr>
            <w:tcW w:w="2186" w:type="dxa"/>
            <w:tcBorders>
              <w:top w:val="nil"/>
              <w:left w:val="single" w:sz="4" w:space="0" w:color="auto"/>
              <w:bottom w:val="single" w:sz="4" w:space="0" w:color="auto"/>
              <w:right w:val="single" w:sz="4" w:space="0" w:color="auto"/>
            </w:tcBorders>
            <w:noWrap/>
            <w:vAlign w:val="bottom"/>
            <w:hideMark/>
          </w:tcPr>
          <w:p w14:paraId="2A70103D" w14:textId="77777777" w:rsidR="0059396E" w:rsidRPr="001A0C9B" w:rsidRDefault="0059396E" w:rsidP="00E831E0">
            <w:pPr>
              <w:spacing w:after="0" w:line="240" w:lineRule="auto"/>
              <w:rPr>
                <w:rFonts w:ascii="Times New Roman" w:eastAsia="Times New Roman" w:hAnsi="Times New Roman" w:cs="Times New Roman"/>
                <w:color w:val="000000"/>
                <w:kern w:val="0"/>
                <w:szCs w:val="24"/>
                <w:lang w:eastAsia="en-IN"/>
                <w14:ligatures w14:val="none"/>
              </w:rPr>
            </w:pPr>
            <w:r w:rsidRPr="001A0C9B">
              <w:rPr>
                <w:rFonts w:ascii="Times New Roman" w:eastAsia="Times New Roman" w:hAnsi="Times New Roman" w:cs="Times New Roman"/>
                <w:color w:val="000000"/>
                <w:kern w:val="0"/>
                <w:szCs w:val="24"/>
                <w:lang w:eastAsia="en-IN"/>
                <w14:ligatures w14:val="none"/>
              </w:rPr>
              <w:t>Uttar Pradesh</w:t>
            </w:r>
          </w:p>
        </w:tc>
        <w:tc>
          <w:tcPr>
            <w:tcW w:w="1124" w:type="dxa"/>
            <w:tcBorders>
              <w:top w:val="nil"/>
              <w:left w:val="nil"/>
              <w:bottom w:val="single" w:sz="4" w:space="0" w:color="auto"/>
              <w:right w:val="single" w:sz="4" w:space="0" w:color="auto"/>
            </w:tcBorders>
            <w:noWrap/>
            <w:vAlign w:val="bottom"/>
            <w:hideMark/>
          </w:tcPr>
          <w:p w14:paraId="282BB2BA" w14:textId="77777777" w:rsidR="0059396E" w:rsidRPr="001A0C9B" w:rsidRDefault="0059396E" w:rsidP="00E831E0">
            <w:pPr>
              <w:spacing w:after="0" w:line="240" w:lineRule="auto"/>
              <w:jc w:val="right"/>
              <w:rPr>
                <w:rFonts w:ascii="Times New Roman" w:eastAsia="Times New Roman" w:hAnsi="Times New Roman" w:cs="Times New Roman"/>
                <w:color w:val="000000"/>
                <w:kern w:val="0"/>
                <w:szCs w:val="24"/>
                <w:lang w:eastAsia="en-IN"/>
                <w14:ligatures w14:val="none"/>
              </w:rPr>
            </w:pPr>
            <w:r w:rsidRPr="001A0C9B">
              <w:rPr>
                <w:rFonts w:ascii="Times New Roman" w:eastAsia="Times New Roman" w:hAnsi="Times New Roman" w:cs="Times New Roman"/>
                <w:color w:val="000000"/>
                <w:kern w:val="0"/>
                <w:szCs w:val="24"/>
                <w:lang w:eastAsia="en-IN"/>
                <w14:ligatures w14:val="none"/>
              </w:rPr>
              <w:t>25.29</w:t>
            </w:r>
          </w:p>
        </w:tc>
        <w:tc>
          <w:tcPr>
            <w:tcW w:w="1123" w:type="dxa"/>
            <w:tcBorders>
              <w:top w:val="nil"/>
              <w:left w:val="nil"/>
              <w:bottom w:val="single" w:sz="4" w:space="0" w:color="auto"/>
              <w:right w:val="single" w:sz="4" w:space="0" w:color="auto"/>
            </w:tcBorders>
            <w:noWrap/>
            <w:vAlign w:val="bottom"/>
            <w:hideMark/>
          </w:tcPr>
          <w:p w14:paraId="2F7456BF" w14:textId="77777777" w:rsidR="0059396E" w:rsidRPr="001A0C9B" w:rsidRDefault="0059396E" w:rsidP="00E831E0">
            <w:pPr>
              <w:spacing w:after="0" w:line="240" w:lineRule="auto"/>
              <w:jc w:val="right"/>
              <w:rPr>
                <w:rFonts w:ascii="Times New Roman" w:eastAsia="Times New Roman" w:hAnsi="Times New Roman" w:cs="Times New Roman"/>
                <w:color w:val="000000"/>
                <w:kern w:val="0"/>
                <w:szCs w:val="24"/>
                <w:lang w:eastAsia="en-IN"/>
                <w14:ligatures w14:val="none"/>
              </w:rPr>
            </w:pPr>
            <w:r w:rsidRPr="001A0C9B">
              <w:rPr>
                <w:rFonts w:ascii="Times New Roman" w:eastAsia="Times New Roman" w:hAnsi="Times New Roman" w:cs="Times New Roman"/>
                <w:color w:val="000000"/>
                <w:kern w:val="0"/>
                <w:szCs w:val="24"/>
                <w:lang w:eastAsia="en-IN"/>
                <w14:ligatures w14:val="none"/>
              </w:rPr>
              <w:t>30.96</w:t>
            </w:r>
          </w:p>
        </w:tc>
        <w:tc>
          <w:tcPr>
            <w:tcW w:w="1056" w:type="dxa"/>
            <w:tcBorders>
              <w:top w:val="nil"/>
              <w:left w:val="nil"/>
              <w:bottom w:val="single" w:sz="4" w:space="0" w:color="auto"/>
              <w:right w:val="single" w:sz="4" w:space="0" w:color="auto"/>
            </w:tcBorders>
            <w:noWrap/>
            <w:vAlign w:val="bottom"/>
            <w:hideMark/>
          </w:tcPr>
          <w:p w14:paraId="1D30BAAD" w14:textId="77777777" w:rsidR="0059396E" w:rsidRPr="001A0C9B" w:rsidRDefault="0059396E" w:rsidP="00E831E0">
            <w:pPr>
              <w:spacing w:after="0" w:line="240" w:lineRule="auto"/>
              <w:jc w:val="right"/>
              <w:rPr>
                <w:rFonts w:ascii="Times New Roman" w:eastAsia="Times New Roman" w:hAnsi="Times New Roman" w:cs="Times New Roman"/>
                <w:color w:val="000000"/>
                <w:kern w:val="0"/>
                <w:szCs w:val="24"/>
                <w:lang w:eastAsia="en-IN"/>
                <w14:ligatures w14:val="none"/>
              </w:rPr>
            </w:pPr>
            <w:r w:rsidRPr="001A0C9B">
              <w:rPr>
                <w:rFonts w:ascii="Times New Roman" w:eastAsia="Times New Roman" w:hAnsi="Times New Roman" w:cs="Times New Roman"/>
                <w:color w:val="000000"/>
                <w:kern w:val="0"/>
                <w:szCs w:val="24"/>
                <w:lang w:eastAsia="en-IN"/>
                <w14:ligatures w14:val="none"/>
              </w:rPr>
              <w:t>35.2</w:t>
            </w:r>
          </w:p>
        </w:tc>
        <w:tc>
          <w:tcPr>
            <w:tcW w:w="1124" w:type="dxa"/>
            <w:tcBorders>
              <w:top w:val="nil"/>
              <w:left w:val="nil"/>
              <w:bottom w:val="single" w:sz="4" w:space="0" w:color="auto"/>
              <w:right w:val="single" w:sz="4" w:space="0" w:color="auto"/>
            </w:tcBorders>
            <w:noWrap/>
            <w:vAlign w:val="bottom"/>
            <w:hideMark/>
          </w:tcPr>
          <w:p w14:paraId="717637CA" w14:textId="77777777" w:rsidR="0059396E" w:rsidRPr="001A0C9B" w:rsidRDefault="0059396E" w:rsidP="00E831E0">
            <w:pPr>
              <w:spacing w:after="0" w:line="240" w:lineRule="auto"/>
              <w:jc w:val="right"/>
              <w:rPr>
                <w:rFonts w:ascii="Times New Roman" w:eastAsia="Times New Roman" w:hAnsi="Times New Roman" w:cs="Times New Roman"/>
                <w:color w:val="000000"/>
                <w:kern w:val="0"/>
                <w:szCs w:val="24"/>
                <w:lang w:eastAsia="en-IN"/>
                <w14:ligatures w14:val="none"/>
              </w:rPr>
            </w:pPr>
            <w:r w:rsidRPr="001A0C9B">
              <w:rPr>
                <w:rFonts w:ascii="Times New Roman" w:eastAsia="Times New Roman" w:hAnsi="Times New Roman" w:cs="Times New Roman"/>
                <w:color w:val="000000"/>
                <w:kern w:val="0"/>
                <w:szCs w:val="24"/>
                <w:lang w:eastAsia="en-IN"/>
                <w14:ligatures w14:val="none"/>
              </w:rPr>
              <w:t>2.03</w:t>
            </w:r>
          </w:p>
        </w:tc>
        <w:tc>
          <w:tcPr>
            <w:tcW w:w="1123" w:type="dxa"/>
            <w:tcBorders>
              <w:top w:val="nil"/>
              <w:left w:val="nil"/>
              <w:bottom w:val="single" w:sz="4" w:space="0" w:color="auto"/>
              <w:right w:val="single" w:sz="4" w:space="0" w:color="auto"/>
            </w:tcBorders>
            <w:noWrap/>
            <w:vAlign w:val="bottom"/>
            <w:hideMark/>
          </w:tcPr>
          <w:p w14:paraId="5F474262" w14:textId="77777777" w:rsidR="0059396E" w:rsidRPr="001A0C9B" w:rsidRDefault="0059396E" w:rsidP="00E831E0">
            <w:pPr>
              <w:spacing w:after="0" w:line="240" w:lineRule="auto"/>
              <w:jc w:val="right"/>
              <w:rPr>
                <w:rFonts w:ascii="Times New Roman" w:eastAsia="Times New Roman" w:hAnsi="Times New Roman" w:cs="Times New Roman"/>
                <w:color w:val="000000"/>
                <w:kern w:val="0"/>
                <w:szCs w:val="24"/>
                <w:lang w:eastAsia="en-IN"/>
                <w14:ligatures w14:val="none"/>
              </w:rPr>
            </w:pPr>
            <w:r w:rsidRPr="001A0C9B">
              <w:rPr>
                <w:rFonts w:ascii="Times New Roman" w:eastAsia="Times New Roman" w:hAnsi="Times New Roman" w:cs="Times New Roman"/>
                <w:color w:val="000000"/>
                <w:kern w:val="0"/>
                <w:szCs w:val="24"/>
                <w:lang w:eastAsia="en-IN"/>
                <w14:ligatures w14:val="none"/>
              </w:rPr>
              <w:t>2.49</w:t>
            </w:r>
          </w:p>
        </w:tc>
        <w:tc>
          <w:tcPr>
            <w:tcW w:w="1056" w:type="dxa"/>
            <w:tcBorders>
              <w:top w:val="nil"/>
              <w:left w:val="nil"/>
              <w:bottom w:val="single" w:sz="4" w:space="0" w:color="auto"/>
              <w:right w:val="single" w:sz="4" w:space="0" w:color="auto"/>
            </w:tcBorders>
            <w:noWrap/>
            <w:vAlign w:val="bottom"/>
            <w:hideMark/>
          </w:tcPr>
          <w:p w14:paraId="4BCA8922" w14:textId="77777777" w:rsidR="0059396E" w:rsidRPr="001A0C9B" w:rsidRDefault="0059396E" w:rsidP="00E831E0">
            <w:pPr>
              <w:spacing w:after="0" w:line="240" w:lineRule="auto"/>
              <w:jc w:val="right"/>
              <w:rPr>
                <w:rFonts w:ascii="Times New Roman" w:eastAsia="Times New Roman" w:hAnsi="Times New Roman" w:cs="Times New Roman"/>
                <w:color w:val="000000"/>
                <w:kern w:val="0"/>
                <w:szCs w:val="24"/>
                <w:lang w:eastAsia="en-IN"/>
                <w14:ligatures w14:val="none"/>
              </w:rPr>
            </w:pPr>
            <w:r w:rsidRPr="001A0C9B">
              <w:rPr>
                <w:rFonts w:ascii="Times New Roman" w:eastAsia="Times New Roman" w:hAnsi="Times New Roman" w:cs="Times New Roman"/>
                <w:color w:val="000000"/>
                <w:kern w:val="0"/>
                <w:szCs w:val="24"/>
                <w:lang w:eastAsia="en-IN"/>
                <w14:ligatures w14:val="none"/>
              </w:rPr>
              <w:t>2.83</w:t>
            </w:r>
          </w:p>
        </w:tc>
      </w:tr>
      <w:tr w:rsidR="0059396E" w:rsidRPr="001A0C9B" w14:paraId="76E74EFB" w14:textId="77777777" w:rsidTr="00E831E0">
        <w:trPr>
          <w:trHeight w:val="384"/>
        </w:trPr>
        <w:tc>
          <w:tcPr>
            <w:tcW w:w="2186" w:type="dxa"/>
            <w:tcBorders>
              <w:top w:val="nil"/>
              <w:left w:val="single" w:sz="4" w:space="0" w:color="auto"/>
              <w:bottom w:val="single" w:sz="4" w:space="0" w:color="auto"/>
              <w:right w:val="single" w:sz="4" w:space="0" w:color="auto"/>
            </w:tcBorders>
            <w:noWrap/>
            <w:vAlign w:val="bottom"/>
            <w:hideMark/>
          </w:tcPr>
          <w:p w14:paraId="5E169D49" w14:textId="77777777" w:rsidR="0059396E" w:rsidRPr="001A0C9B" w:rsidRDefault="0059396E" w:rsidP="00E831E0">
            <w:pPr>
              <w:spacing w:after="0" w:line="240" w:lineRule="auto"/>
              <w:rPr>
                <w:rFonts w:ascii="Times New Roman" w:eastAsia="Times New Roman" w:hAnsi="Times New Roman" w:cs="Times New Roman"/>
                <w:color w:val="000000"/>
                <w:kern w:val="0"/>
                <w:szCs w:val="24"/>
                <w:lang w:eastAsia="en-IN"/>
                <w14:ligatures w14:val="none"/>
              </w:rPr>
            </w:pPr>
            <w:r w:rsidRPr="001A0C9B">
              <w:rPr>
                <w:rFonts w:ascii="Times New Roman" w:eastAsia="Times New Roman" w:hAnsi="Times New Roman" w:cs="Times New Roman"/>
                <w:color w:val="000000"/>
                <w:kern w:val="0"/>
                <w:szCs w:val="24"/>
                <w:lang w:eastAsia="en-IN"/>
                <w14:ligatures w14:val="none"/>
              </w:rPr>
              <w:t>West Bengal</w:t>
            </w:r>
          </w:p>
        </w:tc>
        <w:tc>
          <w:tcPr>
            <w:tcW w:w="1124" w:type="dxa"/>
            <w:tcBorders>
              <w:top w:val="nil"/>
              <w:left w:val="nil"/>
              <w:bottom w:val="single" w:sz="4" w:space="0" w:color="auto"/>
              <w:right w:val="single" w:sz="4" w:space="0" w:color="auto"/>
            </w:tcBorders>
            <w:noWrap/>
            <w:vAlign w:val="bottom"/>
            <w:hideMark/>
          </w:tcPr>
          <w:p w14:paraId="249CE438" w14:textId="77777777" w:rsidR="0059396E" w:rsidRPr="001A0C9B" w:rsidRDefault="0059396E" w:rsidP="00E831E0">
            <w:pPr>
              <w:spacing w:after="0" w:line="240" w:lineRule="auto"/>
              <w:jc w:val="right"/>
              <w:rPr>
                <w:rFonts w:ascii="Times New Roman" w:eastAsia="Times New Roman" w:hAnsi="Times New Roman" w:cs="Times New Roman"/>
                <w:color w:val="000000"/>
                <w:kern w:val="0"/>
                <w:szCs w:val="24"/>
                <w:lang w:eastAsia="en-IN"/>
                <w14:ligatures w14:val="none"/>
              </w:rPr>
            </w:pPr>
            <w:r w:rsidRPr="001A0C9B">
              <w:rPr>
                <w:rFonts w:ascii="Times New Roman" w:eastAsia="Times New Roman" w:hAnsi="Times New Roman" w:cs="Times New Roman"/>
                <w:color w:val="000000"/>
                <w:kern w:val="0"/>
                <w:szCs w:val="24"/>
                <w:lang w:eastAsia="en-IN"/>
                <w14:ligatures w14:val="none"/>
              </w:rPr>
              <w:t>29.32</w:t>
            </w:r>
          </w:p>
        </w:tc>
        <w:tc>
          <w:tcPr>
            <w:tcW w:w="1123" w:type="dxa"/>
            <w:tcBorders>
              <w:top w:val="nil"/>
              <w:left w:val="nil"/>
              <w:bottom w:val="single" w:sz="4" w:space="0" w:color="auto"/>
              <w:right w:val="single" w:sz="4" w:space="0" w:color="auto"/>
            </w:tcBorders>
            <w:noWrap/>
            <w:vAlign w:val="bottom"/>
            <w:hideMark/>
          </w:tcPr>
          <w:p w14:paraId="31EC04FF" w14:textId="77777777" w:rsidR="0059396E" w:rsidRPr="001A0C9B" w:rsidRDefault="0059396E" w:rsidP="00E831E0">
            <w:pPr>
              <w:spacing w:after="0" w:line="240" w:lineRule="auto"/>
              <w:jc w:val="right"/>
              <w:rPr>
                <w:rFonts w:ascii="Times New Roman" w:eastAsia="Times New Roman" w:hAnsi="Times New Roman" w:cs="Times New Roman"/>
                <w:color w:val="000000"/>
                <w:kern w:val="0"/>
                <w:szCs w:val="24"/>
                <w:lang w:eastAsia="en-IN"/>
                <w14:ligatures w14:val="none"/>
              </w:rPr>
            </w:pPr>
            <w:r w:rsidRPr="001A0C9B">
              <w:rPr>
                <w:rFonts w:ascii="Times New Roman" w:eastAsia="Times New Roman" w:hAnsi="Times New Roman" w:cs="Times New Roman"/>
                <w:color w:val="000000"/>
                <w:kern w:val="0"/>
                <w:szCs w:val="24"/>
                <w:lang w:eastAsia="en-IN"/>
                <w14:ligatures w14:val="none"/>
              </w:rPr>
              <w:t>31.97</w:t>
            </w:r>
          </w:p>
        </w:tc>
        <w:tc>
          <w:tcPr>
            <w:tcW w:w="1056" w:type="dxa"/>
            <w:tcBorders>
              <w:top w:val="nil"/>
              <w:left w:val="nil"/>
              <w:bottom w:val="single" w:sz="4" w:space="0" w:color="auto"/>
              <w:right w:val="single" w:sz="4" w:space="0" w:color="auto"/>
            </w:tcBorders>
            <w:noWrap/>
            <w:vAlign w:val="bottom"/>
            <w:hideMark/>
          </w:tcPr>
          <w:p w14:paraId="46887D82" w14:textId="77777777" w:rsidR="0059396E" w:rsidRPr="001A0C9B" w:rsidRDefault="0059396E" w:rsidP="00E831E0">
            <w:pPr>
              <w:spacing w:after="0" w:line="240" w:lineRule="auto"/>
              <w:jc w:val="right"/>
              <w:rPr>
                <w:rFonts w:ascii="Times New Roman" w:eastAsia="Times New Roman" w:hAnsi="Times New Roman" w:cs="Times New Roman"/>
                <w:color w:val="000000"/>
                <w:kern w:val="0"/>
                <w:szCs w:val="24"/>
                <w:lang w:eastAsia="en-IN"/>
                <w14:ligatures w14:val="none"/>
              </w:rPr>
            </w:pPr>
            <w:r w:rsidRPr="001A0C9B">
              <w:rPr>
                <w:rFonts w:ascii="Times New Roman" w:eastAsia="Times New Roman" w:hAnsi="Times New Roman" w:cs="Times New Roman"/>
                <w:color w:val="000000"/>
                <w:kern w:val="0"/>
                <w:szCs w:val="24"/>
                <w:lang w:eastAsia="en-IN"/>
                <w14:ligatures w14:val="none"/>
              </w:rPr>
              <w:t>36.81</w:t>
            </w:r>
          </w:p>
        </w:tc>
        <w:tc>
          <w:tcPr>
            <w:tcW w:w="1124" w:type="dxa"/>
            <w:tcBorders>
              <w:top w:val="nil"/>
              <w:left w:val="nil"/>
              <w:bottom w:val="single" w:sz="4" w:space="0" w:color="auto"/>
              <w:right w:val="single" w:sz="4" w:space="0" w:color="auto"/>
            </w:tcBorders>
            <w:noWrap/>
            <w:vAlign w:val="bottom"/>
            <w:hideMark/>
          </w:tcPr>
          <w:p w14:paraId="7D43BA04" w14:textId="77777777" w:rsidR="0059396E" w:rsidRPr="001A0C9B" w:rsidRDefault="0059396E" w:rsidP="00E831E0">
            <w:pPr>
              <w:spacing w:after="0" w:line="240" w:lineRule="auto"/>
              <w:jc w:val="right"/>
              <w:rPr>
                <w:rFonts w:ascii="Times New Roman" w:eastAsia="Times New Roman" w:hAnsi="Times New Roman" w:cs="Times New Roman"/>
                <w:color w:val="000000"/>
                <w:kern w:val="0"/>
                <w:szCs w:val="24"/>
                <w:lang w:eastAsia="en-IN"/>
                <w14:ligatures w14:val="none"/>
              </w:rPr>
            </w:pPr>
            <w:r w:rsidRPr="001A0C9B">
              <w:rPr>
                <w:rFonts w:ascii="Times New Roman" w:eastAsia="Times New Roman" w:hAnsi="Times New Roman" w:cs="Times New Roman"/>
                <w:color w:val="000000"/>
                <w:kern w:val="0"/>
                <w:szCs w:val="24"/>
                <w:lang w:eastAsia="en-IN"/>
                <w14:ligatures w14:val="none"/>
              </w:rPr>
              <w:t>16.06</w:t>
            </w:r>
          </w:p>
        </w:tc>
        <w:tc>
          <w:tcPr>
            <w:tcW w:w="1123" w:type="dxa"/>
            <w:tcBorders>
              <w:top w:val="nil"/>
              <w:left w:val="nil"/>
              <w:bottom w:val="single" w:sz="4" w:space="0" w:color="auto"/>
              <w:right w:val="single" w:sz="4" w:space="0" w:color="auto"/>
            </w:tcBorders>
            <w:noWrap/>
            <w:vAlign w:val="bottom"/>
            <w:hideMark/>
          </w:tcPr>
          <w:p w14:paraId="2A442AD5" w14:textId="77777777" w:rsidR="0059396E" w:rsidRPr="001A0C9B" w:rsidRDefault="0059396E" w:rsidP="00E831E0">
            <w:pPr>
              <w:spacing w:after="0" w:line="240" w:lineRule="auto"/>
              <w:jc w:val="right"/>
              <w:rPr>
                <w:rFonts w:ascii="Times New Roman" w:eastAsia="Times New Roman" w:hAnsi="Times New Roman" w:cs="Times New Roman"/>
                <w:color w:val="000000"/>
                <w:kern w:val="0"/>
                <w:szCs w:val="24"/>
                <w:lang w:eastAsia="en-IN"/>
                <w14:ligatures w14:val="none"/>
              </w:rPr>
            </w:pPr>
            <w:r w:rsidRPr="001A0C9B">
              <w:rPr>
                <w:rFonts w:ascii="Times New Roman" w:eastAsia="Times New Roman" w:hAnsi="Times New Roman" w:cs="Times New Roman"/>
                <w:color w:val="000000"/>
                <w:kern w:val="0"/>
                <w:szCs w:val="24"/>
                <w:lang w:eastAsia="en-IN"/>
                <w14:ligatures w14:val="none"/>
              </w:rPr>
              <w:t>16.68</w:t>
            </w:r>
          </w:p>
        </w:tc>
        <w:tc>
          <w:tcPr>
            <w:tcW w:w="1056" w:type="dxa"/>
            <w:tcBorders>
              <w:top w:val="nil"/>
              <w:left w:val="nil"/>
              <w:bottom w:val="single" w:sz="4" w:space="0" w:color="auto"/>
              <w:right w:val="single" w:sz="4" w:space="0" w:color="auto"/>
            </w:tcBorders>
            <w:noWrap/>
            <w:vAlign w:val="bottom"/>
            <w:hideMark/>
          </w:tcPr>
          <w:p w14:paraId="142BFF21" w14:textId="77777777" w:rsidR="0059396E" w:rsidRPr="001A0C9B" w:rsidRDefault="0059396E" w:rsidP="00E831E0">
            <w:pPr>
              <w:spacing w:after="0" w:line="240" w:lineRule="auto"/>
              <w:jc w:val="right"/>
              <w:rPr>
                <w:rFonts w:ascii="Times New Roman" w:eastAsia="Times New Roman" w:hAnsi="Times New Roman" w:cs="Times New Roman"/>
                <w:color w:val="000000"/>
                <w:kern w:val="0"/>
                <w:szCs w:val="24"/>
                <w:lang w:eastAsia="en-IN"/>
                <w14:ligatures w14:val="none"/>
              </w:rPr>
            </w:pPr>
            <w:r w:rsidRPr="001A0C9B">
              <w:rPr>
                <w:rFonts w:ascii="Times New Roman" w:eastAsia="Times New Roman" w:hAnsi="Times New Roman" w:cs="Times New Roman"/>
                <w:color w:val="000000"/>
                <w:kern w:val="0"/>
                <w:szCs w:val="24"/>
                <w:lang w:eastAsia="en-IN"/>
                <w14:ligatures w14:val="none"/>
              </w:rPr>
              <w:t>21.53</w:t>
            </w:r>
          </w:p>
        </w:tc>
      </w:tr>
      <w:tr w:rsidR="0059396E" w:rsidRPr="001A0C9B" w14:paraId="37A997D5" w14:textId="77777777" w:rsidTr="00E831E0">
        <w:trPr>
          <w:trHeight w:val="384"/>
        </w:trPr>
        <w:tc>
          <w:tcPr>
            <w:tcW w:w="2186" w:type="dxa"/>
            <w:tcBorders>
              <w:top w:val="nil"/>
              <w:left w:val="single" w:sz="4" w:space="0" w:color="auto"/>
              <w:bottom w:val="single" w:sz="4" w:space="0" w:color="auto"/>
              <w:right w:val="single" w:sz="4" w:space="0" w:color="auto"/>
            </w:tcBorders>
            <w:noWrap/>
            <w:vAlign w:val="bottom"/>
            <w:hideMark/>
          </w:tcPr>
          <w:p w14:paraId="22CDE3A7" w14:textId="77777777" w:rsidR="0059396E" w:rsidRPr="001A0C9B" w:rsidRDefault="0059396E" w:rsidP="00E831E0">
            <w:pPr>
              <w:spacing w:after="0" w:line="240" w:lineRule="auto"/>
              <w:rPr>
                <w:rFonts w:ascii="Times New Roman" w:eastAsia="Times New Roman" w:hAnsi="Times New Roman" w:cs="Times New Roman"/>
                <w:color w:val="000000"/>
                <w:kern w:val="0"/>
                <w:szCs w:val="24"/>
                <w:lang w:eastAsia="en-IN"/>
                <w14:ligatures w14:val="none"/>
              </w:rPr>
            </w:pPr>
            <w:r w:rsidRPr="001A0C9B">
              <w:rPr>
                <w:rFonts w:ascii="Times New Roman" w:eastAsia="Times New Roman" w:hAnsi="Times New Roman" w:cs="Times New Roman"/>
                <w:color w:val="000000"/>
                <w:kern w:val="0"/>
                <w:szCs w:val="24"/>
                <w:lang w:eastAsia="en-IN"/>
                <w14:ligatures w14:val="none"/>
              </w:rPr>
              <w:t>TOTAL</w:t>
            </w:r>
          </w:p>
        </w:tc>
        <w:tc>
          <w:tcPr>
            <w:tcW w:w="1124" w:type="dxa"/>
            <w:tcBorders>
              <w:top w:val="nil"/>
              <w:left w:val="nil"/>
              <w:bottom w:val="single" w:sz="4" w:space="0" w:color="auto"/>
              <w:right w:val="single" w:sz="4" w:space="0" w:color="auto"/>
            </w:tcBorders>
            <w:noWrap/>
            <w:vAlign w:val="bottom"/>
            <w:hideMark/>
          </w:tcPr>
          <w:p w14:paraId="4FA349DF" w14:textId="77777777" w:rsidR="0059396E" w:rsidRPr="001A0C9B" w:rsidRDefault="0059396E" w:rsidP="00E831E0">
            <w:pPr>
              <w:spacing w:after="0" w:line="240" w:lineRule="auto"/>
              <w:jc w:val="right"/>
              <w:rPr>
                <w:rFonts w:ascii="Times New Roman" w:eastAsia="Times New Roman" w:hAnsi="Times New Roman" w:cs="Times New Roman"/>
                <w:color w:val="000000"/>
                <w:kern w:val="0"/>
                <w:szCs w:val="24"/>
                <w:lang w:eastAsia="en-IN"/>
                <w14:ligatures w14:val="none"/>
              </w:rPr>
            </w:pPr>
            <w:r w:rsidRPr="001A0C9B">
              <w:rPr>
                <w:rFonts w:ascii="Times New Roman" w:eastAsia="Times New Roman" w:hAnsi="Times New Roman" w:cs="Times New Roman"/>
                <w:color w:val="000000"/>
                <w:kern w:val="0"/>
                <w:szCs w:val="24"/>
                <w:lang w:eastAsia="en-IN"/>
                <w14:ligatures w14:val="none"/>
              </w:rPr>
              <w:t>296.2</w:t>
            </w:r>
          </w:p>
        </w:tc>
        <w:tc>
          <w:tcPr>
            <w:tcW w:w="1123" w:type="dxa"/>
            <w:tcBorders>
              <w:top w:val="nil"/>
              <w:left w:val="nil"/>
              <w:bottom w:val="single" w:sz="4" w:space="0" w:color="auto"/>
              <w:right w:val="single" w:sz="4" w:space="0" w:color="auto"/>
            </w:tcBorders>
            <w:noWrap/>
            <w:vAlign w:val="bottom"/>
            <w:hideMark/>
          </w:tcPr>
          <w:p w14:paraId="4655BF70" w14:textId="77777777" w:rsidR="0059396E" w:rsidRPr="001A0C9B" w:rsidRDefault="0059396E" w:rsidP="00E831E0">
            <w:pPr>
              <w:spacing w:after="0" w:line="240" w:lineRule="auto"/>
              <w:jc w:val="right"/>
              <w:rPr>
                <w:rFonts w:ascii="Times New Roman" w:eastAsia="Times New Roman" w:hAnsi="Times New Roman" w:cs="Times New Roman"/>
                <w:color w:val="000000"/>
                <w:kern w:val="0"/>
                <w:szCs w:val="24"/>
                <w:lang w:eastAsia="en-IN"/>
                <w14:ligatures w14:val="none"/>
              </w:rPr>
            </w:pPr>
            <w:r w:rsidRPr="001A0C9B">
              <w:rPr>
                <w:rFonts w:ascii="Times New Roman" w:eastAsia="Times New Roman" w:hAnsi="Times New Roman" w:cs="Times New Roman"/>
                <w:color w:val="000000"/>
                <w:kern w:val="0"/>
                <w:szCs w:val="24"/>
                <w:lang w:eastAsia="en-IN"/>
                <w14:ligatures w14:val="none"/>
              </w:rPr>
              <w:t>358.34</w:t>
            </w:r>
          </w:p>
        </w:tc>
        <w:tc>
          <w:tcPr>
            <w:tcW w:w="1056" w:type="dxa"/>
            <w:tcBorders>
              <w:top w:val="nil"/>
              <w:left w:val="nil"/>
              <w:bottom w:val="single" w:sz="4" w:space="0" w:color="auto"/>
              <w:right w:val="single" w:sz="4" w:space="0" w:color="auto"/>
            </w:tcBorders>
            <w:noWrap/>
            <w:vAlign w:val="bottom"/>
            <w:hideMark/>
          </w:tcPr>
          <w:p w14:paraId="629DF3D7" w14:textId="77777777" w:rsidR="0059396E" w:rsidRPr="001A0C9B" w:rsidRDefault="0059396E" w:rsidP="00E831E0">
            <w:pPr>
              <w:spacing w:after="0" w:line="240" w:lineRule="auto"/>
              <w:jc w:val="right"/>
              <w:rPr>
                <w:rFonts w:ascii="Times New Roman" w:eastAsia="Times New Roman" w:hAnsi="Times New Roman" w:cs="Times New Roman"/>
                <w:color w:val="000000"/>
                <w:kern w:val="0"/>
                <w:szCs w:val="24"/>
                <w:lang w:eastAsia="en-IN"/>
                <w14:ligatures w14:val="none"/>
              </w:rPr>
            </w:pPr>
            <w:r w:rsidRPr="001A0C9B">
              <w:rPr>
                <w:rFonts w:ascii="Times New Roman" w:eastAsia="Times New Roman" w:hAnsi="Times New Roman" w:cs="Times New Roman"/>
                <w:color w:val="000000"/>
                <w:kern w:val="0"/>
                <w:szCs w:val="24"/>
                <w:lang w:eastAsia="en-IN"/>
                <w14:ligatures w14:val="none"/>
              </w:rPr>
              <w:t>403.45</w:t>
            </w:r>
          </w:p>
        </w:tc>
        <w:tc>
          <w:tcPr>
            <w:tcW w:w="1124" w:type="dxa"/>
            <w:tcBorders>
              <w:top w:val="nil"/>
              <w:left w:val="nil"/>
              <w:bottom w:val="single" w:sz="4" w:space="0" w:color="auto"/>
              <w:right w:val="single" w:sz="4" w:space="0" w:color="auto"/>
            </w:tcBorders>
            <w:noWrap/>
            <w:vAlign w:val="bottom"/>
            <w:hideMark/>
          </w:tcPr>
          <w:p w14:paraId="60A07C3C" w14:textId="77777777" w:rsidR="0059396E" w:rsidRPr="001A0C9B" w:rsidRDefault="0059396E" w:rsidP="00E831E0">
            <w:pPr>
              <w:spacing w:after="0" w:line="240" w:lineRule="auto"/>
              <w:jc w:val="right"/>
              <w:rPr>
                <w:rFonts w:ascii="Times New Roman" w:eastAsia="Times New Roman" w:hAnsi="Times New Roman" w:cs="Times New Roman"/>
                <w:color w:val="000000"/>
                <w:kern w:val="0"/>
                <w:szCs w:val="24"/>
                <w:lang w:eastAsia="en-IN"/>
                <w14:ligatures w14:val="none"/>
              </w:rPr>
            </w:pPr>
            <w:r w:rsidRPr="001A0C9B">
              <w:rPr>
                <w:rFonts w:ascii="Times New Roman" w:eastAsia="Times New Roman" w:hAnsi="Times New Roman" w:cs="Times New Roman"/>
                <w:color w:val="000000"/>
                <w:kern w:val="0"/>
                <w:szCs w:val="24"/>
                <w:lang w:eastAsia="en-IN"/>
                <w14:ligatures w14:val="none"/>
              </w:rPr>
              <w:t>68.49</w:t>
            </w:r>
          </w:p>
        </w:tc>
        <w:tc>
          <w:tcPr>
            <w:tcW w:w="1123" w:type="dxa"/>
            <w:tcBorders>
              <w:top w:val="nil"/>
              <w:left w:val="nil"/>
              <w:bottom w:val="single" w:sz="4" w:space="0" w:color="auto"/>
              <w:right w:val="single" w:sz="4" w:space="0" w:color="auto"/>
            </w:tcBorders>
            <w:noWrap/>
            <w:vAlign w:val="bottom"/>
            <w:hideMark/>
          </w:tcPr>
          <w:p w14:paraId="07CAF0AD" w14:textId="77777777" w:rsidR="0059396E" w:rsidRPr="001A0C9B" w:rsidRDefault="0059396E" w:rsidP="00E831E0">
            <w:pPr>
              <w:spacing w:after="0" w:line="240" w:lineRule="auto"/>
              <w:jc w:val="right"/>
              <w:rPr>
                <w:rFonts w:ascii="Times New Roman" w:eastAsia="Times New Roman" w:hAnsi="Times New Roman" w:cs="Times New Roman"/>
                <w:color w:val="000000"/>
                <w:kern w:val="0"/>
                <w:szCs w:val="24"/>
                <w:lang w:eastAsia="en-IN"/>
                <w14:ligatures w14:val="none"/>
              </w:rPr>
            </w:pPr>
            <w:r w:rsidRPr="001A0C9B">
              <w:rPr>
                <w:rFonts w:ascii="Times New Roman" w:eastAsia="Times New Roman" w:hAnsi="Times New Roman" w:cs="Times New Roman"/>
                <w:color w:val="000000"/>
                <w:kern w:val="0"/>
                <w:szCs w:val="24"/>
                <w:lang w:eastAsia="en-IN"/>
                <w14:ligatures w14:val="none"/>
              </w:rPr>
              <w:t>84.24</w:t>
            </w:r>
          </w:p>
        </w:tc>
        <w:tc>
          <w:tcPr>
            <w:tcW w:w="1056" w:type="dxa"/>
            <w:tcBorders>
              <w:top w:val="nil"/>
              <w:left w:val="nil"/>
              <w:bottom w:val="single" w:sz="4" w:space="0" w:color="auto"/>
              <w:right w:val="single" w:sz="4" w:space="0" w:color="auto"/>
            </w:tcBorders>
            <w:noWrap/>
            <w:vAlign w:val="bottom"/>
            <w:hideMark/>
          </w:tcPr>
          <w:p w14:paraId="0F7FDF63" w14:textId="77777777" w:rsidR="0059396E" w:rsidRPr="001A0C9B" w:rsidRDefault="0059396E" w:rsidP="00E831E0">
            <w:pPr>
              <w:spacing w:after="0" w:line="240" w:lineRule="auto"/>
              <w:jc w:val="right"/>
              <w:rPr>
                <w:rFonts w:ascii="Times New Roman" w:eastAsia="Times New Roman" w:hAnsi="Times New Roman" w:cs="Times New Roman"/>
                <w:color w:val="000000"/>
                <w:kern w:val="0"/>
                <w:szCs w:val="24"/>
                <w:lang w:eastAsia="en-IN"/>
                <w14:ligatures w14:val="none"/>
              </w:rPr>
            </w:pPr>
            <w:r w:rsidRPr="001A0C9B">
              <w:rPr>
                <w:rFonts w:ascii="Times New Roman" w:eastAsia="Times New Roman" w:hAnsi="Times New Roman" w:cs="Times New Roman"/>
                <w:color w:val="000000"/>
                <w:kern w:val="0"/>
                <w:szCs w:val="24"/>
                <w:lang w:eastAsia="en-IN"/>
                <w14:ligatures w14:val="none"/>
              </w:rPr>
              <w:t>106.11</w:t>
            </w:r>
          </w:p>
        </w:tc>
      </w:tr>
    </w:tbl>
    <w:p w14:paraId="2DC11DFB" w14:textId="2F2DFE37" w:rsidR="0059396E" w:rsidRPr="007245B0" w:rsidRDefault="0059396E" w:rsidP="00BA1C8E">
      <w:pPr>
        <w:pStyle w:val="Sources"/>
        <w:sectPr w:rsidR="0059396E" w:rsidRPr="007245B0" w:rsidSect="0059396E">
          <w:pgSz w:w="11906" w:h="16838"/>
          <w:pgMar w:top="1440" w:right="1440" w:bottom="1440" w:left="1440" w:header="708" w:footer="708" w:gutter="0"/>
          <w:cols w:space="708"/>
          <w:docGrid w:linePitch="360"/>
        </w:sectPr>
      </w:pPr>
      <w:r w:rsidRPr="007245B0">
        <w:rPr>
          <w:b/>
          <w:bCs/>
        </w:rPr>
        <w:t>Source:</w:t>
      </w:r>
      <w:r w:rsidRPr="007245B0">
        <w:t> State Budge</w:t>
      </w:r>
      <w:r w:rsidR="00793818">
        <w:t>ts.</w:t>
      </w:r>
    </w:p>
    <w:p w14:paraId="6CEDC8E6" w14:textId="54B64DCD" w:rsidR="0059396E" w:rsidRPr="007245B0" w:rsidRDefault="00574BCE" w:rsidP="001A0C9B">
      <w:pPr>
        <w:pStyle w:val="Heading4"/>
      </w:pPr>
      <w:bookmarkStart w:id="57" w:name="_Toc220949689"/>
      <w:bookmarkStart w:id="58" w:name="_Toc221114289"/>
      <w:bookmarkStart w:id="59" w:name="_Toc221115312"/>
      <w:r w:rsidRPr="008E2A3E">
        <w:lastRenderedPageBreak/>
        <w:t xml:space="preserve">Table </w:t>
      </w:r>
      <w:r w:rsidR="00E831E0" w:rsidRPr="007245B0">
        <w:t>9</w:t>
      </w:r>
      <w:r w:rsidR="0059396E" w:rsidRPr="007245B0">
        <w:t>:</w:t>
      </w:r>
      <w:r w:rsidR="00997DA4">
        <w:t xml:space="preserve"> </w:t>
      </w:r>
      <w:r w:rsidR="00E35986" w:rsidRPr="007245B0">
        <w:t xml:space="preserve">Total of </w:t>
      </w:r>
      <w:r w:rsidR="0059396E" w:rsidRPr="007245B0">
        <w:t>State</w:t>
      </w:r>
      <w:r w:rsidR="00E35986" w:rsidRPr="007245B0">
        <w:t xml:space="preserve"> tax</w:t>
      </w:r>
      <w:r w:rsidR="0059396E" w:rsidRPr="007245B0">
        <w:t xml:space="preserve"> </w:t>
      </w:r>
      <w:r w:rsidR="002A11B0" w:rsidRPr="007245B0">
        <w:t>revenue</w:t>
      </w:r>
      <w:r w:rsidR="00A8668B">
        <w:t>s</w:t>
      </w:r>
      <w:r w:rsidR="002A11B0" w:rsidRPr="007245B0">
        <w:t xml:space="preserve"> and</w:t>
      </w:r>
      <w:r w:rsidR="00E831E0" w:rsidRPr="007245B0">
        <w:t xml:space="preserve"> </w:t>
      </w:r>
      <w:r w:rsidR="00A8668B">
        <w:t xml:space="preserve">per </w:t>
      </w:r>
      <w:r w:rsidR="00E831E0" w:rsidRPr="007245B0">
        <w:t>capita tax revenue</w:t>
      </w:r>
      <w:r w:rsidR="00A8668B">
        <w:t>s</w:t>
      </w:r>
      <w:r w:rsidR="00E831E0" w:rsidRPr="007245B0">
        <w:t xml:space="preserve"> in 1960-61 and 1965-66 to 1968-</w:t>
      </w:r>
      <w:r w:rsidR="002A11B0" w:rsidRPr="007245B0">
        <w:t>69 and</w:t>
      </w:r>
      <w:r w:rsidR="00E831E0" w:rsidRPr="007245B0">
        <w:t xml:space="preserve"> targets of </w:t>
      </w:r>
      <w:r w:rsidR="002A11B0" w:rsidRPr="007245B0">
        <w:t>additional taxation</w:t>
      </w:r>
      <w:r w:rsidR="00E831E0" w:rsidRPr="007245B0">
        <w:t xml:space="preserve"> and realisation</w:t>
      </w:r>
      <w:r w:rsidR="00A8668B">
        <w:t>s</w:t>
      </w:r>
      <w:r w:rsidR="00E831E0" w:rsidRPr="007245B0">
        <w:t xml:space="preserve"> thereof in the </w:t>
      </w:r>
      <w:r w:rsidR="00A8668B">
        <w:t>T</w:t>
      </w:r>
      <w:r w:rsidR="00E831E0" w:rsidRPr="007245B0">
        <w:t xml:space="preserve">hird </w:t>
      </w:r>
      <w:r w:rsidR="00A8668B">
        <w:t>P</w:t>
      </w:r>
      <w:r w:rsidR="00E831E0" w:rsidRPr="007245B0">
        <w:t xml:space="preserve">lan and the three </w:t>
      </w:r>
      <w:r w:rsidR="00A8668B">
        <w:t>A</w:t>
      </w:r>
      <w:r w:rsidR="00E831E0" w:rsidRPr="007245B0">
        <w:t xml:space="preserve">nnual </w:t>
      </w:r>
      <w:r w:rsidR="00A8668B">
        <w:t>P</w:t>
      </w:r>
      <w:r w:rsidR="00E831E0" w:rsidRPr="007245B0">
        <w:t>lans.</w:t>
      </w:r>
      <w:bookmarkEnd w:id="57"/>
      <w:bookmarkEnd w:id="58"/>
      <w:bookmarkEnd w:id="59"/>
    </w:p>
    <w:p w14:paraId="1C3E3D95" w14:textId="04319284" w:rsidR="00E831E0" w:rsidRDefault="00E831E0" w:rsidP="001A0C9B">
      <w:pPr>
        <w:pStyle w:val="NoSpacing"/>
        <w:ind w:left="1080"/>
        <w:jc w:val="right"/>
        <w:rPr>
          <w:rFonts w:ascii="Times New Roman" w:hAnsi="Times New Roman" w:cs="Times New Roman"/>
          <w:i/>
          <w:iCs/>
        </w:rPr>
      </w:pPr>
      <w:r w:rsidRPr="007245B0">
        <w:rPr>
          <w:rFonts w:ascii="Times New Roman" w:hAnsi="Times New Roman" w:cs="Times New Roman"/>
          <w:i/>
          <w:iCs/>
        </w:rPr>
        <w:t>(Rs. Crores except per capita)</w:t>
      </w:r>
    </w:p>
    <w:tbl>
      <w:tblPr>
        <w:tblW w:w="15215" w:type="dxa"/>
        <w:jc w:val="center"/>
        <w:tblLook w:val="04A0" w:firstRow="1" w:lastRow="0" w:firstColumn="1" w:lastColumn="0" w:noHBand="0" w:noVBand="1"/>
      </w:tblPr>
      <w:tblGrid>
        <w:gridCol w:w="1051"/>
        <w:gridCol w:w="669"/>
        <w:gridCol w:w="723"/>
        <w:gridCol w:w="773"/>
        <w:gridCol w:w="981"/>
        <w:gridCol w:w="669"/>
        <w:gridCol w:w="679"/>
        <w:gridCol w:w="773"/>
        <w:gridCol w:w="981"/>
        <w:gridCol w:w="782"/>
        <w:gridCol w:w="723"/>
        <w:gridCol w:w="741"/>
        <w:gridCol w:w="981"/>
        <w:gridCol w:w="754"/>
        <w:gridCol w:w="723"/>
        <w:gridCol w:w="754"/>
        <w:gridCol w:w="981"/>
        <w:gridCol w:w="754"/>
        <w:gridCol w:w="723"/>
      </w:tblGrid>
      <w:tr w:rsidR="001A0C9B" w:rsidRPr="001A0C9B" w14:paraId="1BB03123" w14:textId="77777777" w:rsidTr="002A11B0">
        <w:trPr>
          <w:trHeight w:val="166"/>
          <w:jc w:val="center"/>
        </w:trPr>
        <w:tc>
          <w:tcPr>
            <w:tcW w:w="1051" w:type="dxa"/>
            <w:tcBorders>
              <w:top w:val="single" w:sz="4" w:space="0" w:color="auto"/>
              <w:left w:val="single" w:sz="4" w:space="0" w:color="auto"/>
              <w:bottom w:val="single" w:sz="4" w:space="0" w:color="auto"/>
              <w:right w:val="single" w:sz="4" w:space="0" w:color="auto"/>
            </w:tcBorders>
            <w:noWrap/>
            <w:vAlign w:val="center"/>
            <w:hideMark/>
          </w:tcPr>
          <w:p w14:paraId="24DCBFDF" w14:textId="77777777" w:rsidR="001A0C9B" w:rsidRPr="002A11B0" w:rsidRDefault="001A0C9B" w:rsidP="002A11B0">
            <w:pPr>
              <w:spacing w:after="0" w:line="240" w:lineRule="auto"/>
              <w:jc w:val="center"/>
              <w:rPr>
                <w:rFonts w:ascii="Times New Roman" w:eastAsia="Times New Roman" w:hAnsi="Times New Roman" w:cs="Times New Roman"/>
                <w:b/>
                <w:bCs/>
                <w:color w:val="000000"/>
                <w:kern w:val="0"/>
                <w:sz w:val="16"/>
                <w:szCs w:val="16"/>
                <w:lang w:eastAsia="en-IN"/>
                <w14:ligatures w14:val="none"/>
              </w:rPr>
            </w:pPr>
            <w:r w:rsidRPr="002A11B0">
              <w:rPr>
                <w:rFonts w:ascii="Times New Roman" w:eastAsia="Times New Roman" w:hAnsi="Times New Roman" w:cs="Times New Roman"/>
                <w:b/>
                <w:bCs/>
                <w:color w:val="000000"/>
                <w:kern w:val="0"/>
                <w:sz w:val="16"/>
                <w:szCs w:val="16"/>
                <w:lang w:eastAsia="en-IN"/>
                <w14:ligatures w14:val="none"/>
              </w:rPr>
              <w:t>States</w:t>
            </w:r>
          </w:p>
        </w:tc>
        <w:tc>
          <w:tcPr>
            <w:tcW w:w="1392" w:type="dxa"/>
            <w:gridSpan w:val="2"/>
            <w:tcBorders>
              <w:top w:val="single" w:sz="4" w:space="0" w:color="auto"/>
              <w:left w:val="nil"/>
              <w:bottom w:val="single" w:sz="4" w:space="0" w:color="auto"/>
              <w:right w:val="single" w:sz="4" w:space="0" w:color="auto"/>
            </w:tcBorders>
            <w:noWrap/>
            <w:vAlign w:val="center"/>
            <w:hideMark/>
          </w:tcPr>
          <w:p w14:paraId="43B995CB" w14:textId="6F955E5B" w:rsidR="001A0C9B" w:rsidRPr="002A11B0" w:rsidRDefault="001A0C9B" w:rsidP="002A11B0">
            <w:pPr>
              <w:spacing w:after="0" w:line="240" w:lineRule="auto"/>
              <w:jc w:val="center"/>
              <w:rPr>
                <w:rFonts w:ascii="Times New Roman" w:eastAsia="Times New Roman" w:hAnsi="Times New Roman" w:cs="Times New Roman"/>
                <w:b/>
                <w:bCs/>
                <w:color w:val="000000"/>
                <w:kern w:val="0"/>
                <w:sz w:val="16"/>
                <w:szCs w:val="16"/>
                <w:lang w:eastAsia="en-IN"/>
                <w14:ligatures w14:val="none"/>
              </w:rPr>
            </w:pPr>
            <w:r w:rsidRPr="002A11B0">
              <w:rPr>
                <w:rFonts w:ascii="Times New Roman" w:eastAsia="Times New Roman" w:hAnsi="Times New Roman" w:cs="Times New Roman"/>
                <w:b/>
                <w:bCs/>
                <w:color w:val="000000"/>
                <w:kern w:val="0"/>
                <w:sz w:val="16"/>
                <w:szCs w:val="16"/>
                <w:lang w:eastAsia="en-IN"/>
                <w14:ligatures w14:val="none"/>
              </w:rPr>
              <w:t>Tax revenue at the beginning of the Third Plan (1960-61)</w:t>
            </w:r>
          </w:p>
        </w:tc>
        <w:tc>
          <w:tcPr>
            <w:tcW w:w="1754" w:type="dxa"/>
            <w:gridSpan w:val="2"/>
            <w:tcBorders>
              <w:top w:val="single" w:sz="4" w:space="0" w:color="auto"/>
              <w:left w:val="nil"/>
              <w:bottom w:val="single" w:sz="4" w:space="0" w:color="auto"/>
              <w:right w:val="single" w:sz="4" w:space="0" w:color="auto"/>
            </w:tcBorders>
            <w:noWrap/>
            <w:vAlign w:val="center"/>
            <w:hideMark/>
          </w:tcPr>
          <w:p w14:paraId="41B47289" w14:textId="5051BBC6" w:rsidR="001A0C9B" w:rsidRPr="002A11B0" w:rsidRDefault="001A0C9B" w:rsidP="002A11B0">
            <w:pPr>
              <w:spacing w:after="0" w:line="240" w:lineRule="auto"/>
              <w:jc w:val="center"/>
              <w:rPr>
                <w:rFonts w:ascii="Times New Roman" w:eastAsia="Times New Roman" w:hAnsi="Times New Roman" w:cs="Times New Roman"/>
                <w:b/>
                <w:bCs/>
                <w:color w:val="000000"/>
                <w:kern w:val="0"/>
                <w:sz w:val="16"/>
                <w:szCs w:val="16"/>
                <w:lang w:eastAsia="en-IN"/>
                <w14:ligatures w14:val="none"/>
              </w:rPr>
            </w:pPr>
            <w:r w:rsidRPr="002A11B0">
              <w:rPr>
                <w:rFonts w:ascii="Times New Roman" w:eastAsia="Times New Roman" w:hAnsi="Times New Roman" w:cs="Times New Roman"/>
                <w:b/>
                <w:bCs/>
                <w:color w:val="000000"/>
                <w:kern w:val="0"/>
                <w:sz w:val="16"/>
                <w:szCs w:val="16"/>
                <w:lang w:eastAsia="en-IN"/>
                <w14:ligatures w14:val="none"/>
              </w:rPr>
              <w:t>Additional taxation during the Third Plan period</w:t>
            </w:r>
          </w:p>
        </w:tc>
        <w:tc>
          <w:tcPr>
            <w:tcW w:w="1348" w:type="dxa"/>
            <w:gridSpan w:val="2"/>
            <w:tcBorders>
              <w:top w:val="single" w:sz="4" w:space="0" w:color="auto"/>
              <w:left w:val="nil"/>
              <w:bottom w:val="single" w:sz="4" w:space="0" w:color="auto"/>
              <w:right w:val="single" w:sz="4" w:space="0" w:color="auto"/>
            </w:tcBorders>
            <w:noWrap/>
            <w:vAlign w:val="center"/>
            <w:hideMark/>
          </w:tcPr>
          <w:p w14:paraId="429AD593" w14:textId="6A9D785D" w:rsidR="001A0C9B" w:rsidRPr="002A11B0" w:rsidRDefault="001A0C9B" w:rsidP="002A11B0">
            <w:pPr>
              <w:spacing w:after="0" w:line="240" w:lineRule="auto"/>
              <w:jc w:val="center"/>
              <w:rPr>
                <w:rFonts w:ascii="Times New Roman" w:eastAsia="Times New Roman" w:hAnsi="Times New Roman" w:cs="Times New Roman"/>
                <w:b/>
                <w:bCs/>
                <w:color w:val="000000"/>
                <w:kern w:val="0"/>
                <w:sz w:val="16"/>
                <w:szCs w:val="16"/>
                <w:lang w:eastAsia="en-IN"/>
                <w14:ligatures w14:val="none"/>
              </w:rPr>
            </w:pPr>
            <w:r w:rsidRPr="002A11B0">
              <w:rPr>
                <w:rFonts w:ascii="Times New Roman" w:eastAsia="Times New Roman" w:hAnsi="Times New Roman" w:cs="Times New Roman"/>
                <w:b/>
                <w:bCs/>
                <w:color w:val="000000"/>
                <w:kern w:val="0"/>
                <w:sz w:val="16"/>
                <w:szCs w:val="16"/>
                <w:lang w:eastAsia="en-IN"/>
                <w14:ligatures w14:val="none"/>
              </w:rPr>
              <w:t>Tax Revenue in 1965-66</w:t>
            </w:r>
          </w:p>
        </w:tc>
        <w:tc>
          <w:tcPr>
            <w:tcW w:w="3259" w:type="dxa"/>
            <w:gridSpan w:val="4"/>
            <w:tcBorders>
              <w:top w:val="single" w:sz="4" w:space="0" w:color="auto"/>
              <w:left w:val="nil"/>
              <w:bottom w:val="single" w:sz="4" w:space="0" w:color="auto"/>
              <w:right w:val="single" w:sz="4" w:space="0" w:color="auto"/>
            </w:tcBorders>
            <w:noWrap/>
            <w:vAlign w:val="center"/>
            <w:hideMark/>
          </w:tcPr>
          <w:p w14:paraId="49004025" w14:textId="361F7508" w:rsidR="001A0C9B" w:rsidRPr="002A11B0" w:rsidRDefault="001A0C9B" w:rsidP="002A11B0">
            <w:pPr>
              <w:spacing w:after="0" w:line="240" w:lineRule="auto"/>
              <w:jc w:val="center"/>
              <w:rPr>
                <w:rFonts w:ascii="Times New Roman" w:eastAsia="Times New Roman" w:hAnsi="Times New Roman" w:cs="Times New Roman"/>
                <w:b/>
                <w:bCs/>
                <w:color w:val="000000"/>
                <w:kern w:val="0"/>
                <w:sz w:val="16"/>
                <w:szCs w:val="16"/>
                <w:lang w:eastAsia="en-IN"/>
                <w14:ligatures w14:val="none"/>
              </w:rPr>
            </w:pPr>
            <w:r w:rsidRPr="002A11B0">
              <w:rPr>
                <w:rFonts w:ascii="Times New Roman" w:eastAsia="Times New Roman" w:hAnsi="Times New Roman" w:cs="Times New Roman"/>
                <w:b/>
                <w:bCs/>
                <w:color w:val="000000"/>
                <w:kern w:val="0"/>
                <w:sz w:val="16"/>
                <w:szCs w:val="16"/>
                <w:lang w:eastAsia="en-IN"/>
                <w14:ligatures w14:val="none"/>
              </w:rPr>
              <w:t>Annual Plan 1966-67</w:t>
            </w:r>
          </w:p>
        </w:tc>
        <w:tc>
          <w:tcPr>
            <w:tcW w:w="3199" w:type="dxa"/>
            <w:gridSpan w:val="4"/>
            <w:tcBorders>
              <w:top w:val="single" w:sz="4" w:space="0" w:color="auto"/>
              <w:left w:val="nil"/>
              <w:bottom w:val="single" w:sz="4" w:space="0" w:color="auto"/>
              <w:right w:val="single" w:sz="4" w:space="0" w:color="auto"/>
            </w:tcBorders>
            <w:noWrap/>
            <w:vAlign w:val="center"/>
            <w:hideMark/>
          </w:tcPr>
          <w:p w14:paraId="29A999D1" w14:textId="6FD9874D" w:rsidR="001A0C9B" w:rsidRPr="002A11B0" w:rsidRDefault="001A0C9B" w:rsidP="002A11B0">
            <w:pPr>
              <w:spacing w:after="0" w:line="240" w:lineRule="auto"/>
              <w:jc w:val="center"/>
              <w:rPr>
                <w:rFonts w:ascii="Times New Roman" w:eastAsia="Times New Roman" w:hAnsi="Times New Roman" w:cs="Times New Roman"/>
                <w:b/>
                <w:bCs/>
                <w:color w:val="000000"/>
                <w:kern w:val="0"/>
                <w:sz w:val="16"/>
                <w:szCs w:val="16"/>
                <w:lang w:eastAsia="en-IN"/>
                <w14:ligatures w14:val="none"/>
              </w:rPr>
            </w:pPr>
            <w:r w:rsidRPr="002A11B0">
              <w:rPr>
                <w:rFonts w:ascii="Times New Roman" w:eastAsia="Times New Roman" w:hAnsi="Times New Roman" w:cs="Times New Roman"/>
                <w:b/>
                <w:bCs/>
                <w:color w:val="000000"/>
                <w:kern w:val="0"/>
                <w:sz w:val="16"/>
                <w:szCs w:val="16"/>
                <w:lang w:eastAsia="en-IN"/>
                <w14:ligatures w14:val="none"/>
              </w:rPr>
              <w:t>Annual Plan 1967-68</w:t>
            </w:r>
          </w:p>
        </w:tc>
        <w:tc>
          <w:tcPr>
            <w:tcW w:w="3212" w:type="dxa"/>
            <w:gridSpan w:val="4"/>
            <w:tcBorders>
              <w:top w:val="single" w:sz="4" w:space="0" w:color="auto"/>
              <w:left w:val="nil"/>
              <w:bottom w:val="single" w:sz="4" w:space="0" w:color="auto"/>
              <w:right w:val="single" w:sz="4" w:space="0" w:color="auto"/>
            </w:tcBorders>
            <w:noWrap/>
            <w:vAlign w:val="center"/>
            <w:hideMark/>
          </w:tcPr>
          <w:p w14:paraId="6A7EC09D" w14:textId="0728752F" w:rsidR="001A0C9B" w:rsidRPr="002A11B0" w:rsidRDefault="001A0C9B" w:rsidP="002A11B0">
            <w:pPr>
              <w:spacing w:after="0" w:line="240" w:lineRule="auto"/>
              <w:jc w:val="center"/>
              <w:rPr>
                <w:rFonts w:ascii="Times New Roman" w:eastAsia="Times New Roman" w:hAnsi="Times New Roman" w:cs="Times New Roman"/>
                <w:b/>
                <w:bCs/>
                <w:color w:val="000000"/>
                <w:kern w:val="0"/>
                <w:sz w:val="16"/>
                <w:szCs w:val="16"/>
                <w:lang w:eastAsia="en-IN"/>
                <w14:ligatures w14:val="none"/>
              </w:rPr>
            </w:pPr>
            <w:r w:rsidRPr="002A11B0">
              <w:rPr>
                <w:rFonts w:ascii="Times New Roman" w:eastAsia="Times New Roman" w:hAnsi="Times New Roman" w:cs="Times New Roman"/>
                <w:b/>
                <w:bCs/>
                <w:color w:val="000000"/>
                <w:kern w:val="0"/>
                <w:sz w:val="16"/>
                <w:szCs w:val="16"/>
                <w:lang w:eastAsia="en-IN"/>
                <w14:ligatures w14:val="none"/>
              </w:rPr>
              <w:t>Annual Plan 1968-69</w:t>
            </w:r>
          </w:p>
        </w:tc>
      </w:tr>
      <w:tr w:rsidR="002A11B0" w:rsidRPr="001A0C9B" w14:paraId="43FEE1FE" w14:textId="77777777" w:rsidTr="002A11B0">
        <w:trPr>
          <w:trHeight w:val="166"/>
          <w:jc w:val="center"/>
        </w:trPr>
        <w:tc>
          <w:tcPr>
            <w:tcW w:w="1051" w:type="dxa"/>
            <w:tcBorders>
              <w:top w:val="nil"/>
              <w:left w:val="single" w:sz="4" w:space="0" w:color="auto"/>
              <w:bottom w:val="single" w:sz="4" w:space="0" w:color="auto"/>
              <w:right w:val="single" w:sz="4" w:space="0" w:color="auto"/>
            </w:tcBorders>
            <w:noWrap/>
            <w:vAlign w:val="center"/>
            <w:hideMark/>
          </w:tcPr>
          <w:p w14:paraId="5159C6FB" w14:textId="3624483E" w:rsidR="002A11B0" w:rsidRPr="002A11B0" w:rsidRDefault="002A11B0" w:rsidP="002A11B0">
            <w:pPr>
              <w:spacing w:after="0" w:line="240" w:lineRule="auto"/>
              <w:jc w:val="center"/>
              <w:rPr>
                <w:rFonts w:ascii="Times New Roman" w:eastAsia="Times New Roman" w:hAnsi="Times New Roman" w:cs="Times New Roman"/>
                <w:b/>
                <w:bCs/>
                <w:color w:val="000000"/>
                <w:kern w:val="0"/>
                <w:sz w:val="16"/>
                <w:szCs w:val="16"/>
                <w:lang w:eastAsia="en-IN"/>
                <w14:ligatures w14:val="none"/>
              </w:rPr>
            </w:pPr>
          </w:p>
        </w:tc>
        <w:tc>
          <w:tcPr>
            <w:tcW w:w="669" w:type="dxa"/>
            <w:tcBorders>
              <w:top w:val="nil"/>
              <w:left w:val="nil"/>
              <w:bottom w:val="single" w:sz="4" w:space="0" w:color="auto"/>
              <w:right w:val="single" w:sz="4" w:space="0" w:color="auto"/>
            </w:tcBorders>
            <w:noWrap/>
            <w:vAlign w:val="center"/>
            <w:hideMark/>
          </w:tcPr>
          <w:p w14:paraId="7C337F05" w14:textId="28F446E5" w:rsidR="002A11B0" w:rsidRPr="002A11B0" w:rsidRDefault="002A11B0" w:rsidP="002A11B0">
            <w:pPr>
              <w:spacing w:after="0" w:line="240" w:lineRule="auto"/>
              <w:jc w:val="center"/>
              <w:rPr>
                <w:rFonts w:ascii="Times New Roman" w:eastAsia="Times New Roman" w:hAnsi="Times New Roman" w:cs="Times New Roman"/>
                <w:b/>
                <w:bCs/>
                <w:color w:val="000000"/>
                <w:kern w:val="0"/>
                <w:sz w:val="16"/>
                <w:szCs w:val="16"/>
                <w:lang w:eastAsia="en-IN"/>
                <w14:ligatures w14:val="none"/>
              </w:rPr>
            </w:pPr>
          </w:p>
        </w:tc>
        <w:tc>
          <w:tcPr>
            <w:tcW w:w="723" w:type="dxa"/>
            <w:tcBorders>
              <w:top w:val="nil"/>
              <w:left w:val="nil"/>
              <w:bottom w:val="single" w:sz="4" w:space="0" w:color="auto"/>
              <w:right w:val="single" w:sz="4" w:space="0" w:color="auto"/>
            </w:tcBorders>
            <w:noWrap/>
            <w:vAlign w:val="center"/>
            <w:hideMark/>
          </w:tcPr>
          <w:p w14:paraId="5E9CDBF9" w14:textId="3E5086E6" w:rsidR="002A11B0" w:rsidRPr="002A11B0" w:rsidRDefault="002A11B0" w:rsidP="002A11B0">
            <w:pPr>
              <w:spacing w:after="0" w:line="240" w:lineRule="auto"/>
              <w:jc w:val="center"/>
              <w:rPr>
                <w:rFonts w:ascii="Times New Roman" w:eastAsia="Times New Roman" w:hAnsi="Times New Roman" w:cs="Times New Roman"/>
                <w:b/>
                <w:bCs/>
                <w:color w:val="000000"/>
                <w:kern w:val="0"/>
                <w:sz w:val="16"/>
                <w:szCs w:val="16"/>
                <w:lang w:eastAsia="en-IN"/>
                <w14:ligatures w14:val="none"/>
              </w:rPr>
            </w:pPr>
          </w:p>
        </w:tc>
        <w:tc>
          <w:tcPr>
            <w:tcW w:w="773" w:type="dxa"/>
            <w:tcBorders>
              <w:top w:val="nil"/>
              <w:left w:val="nil"/>
              <w:bottom w:val="single" w:sz="4" w:space="0" w:color="auto"/>
              <w:right w:val="single" w:sz="4" w:space="0" w:color="auto"/>
            </w:tcBorders>
            <w:noWrap/>
            <w:vAlign w:val="center"/>
            <w:hideMark/>
          </w:tcPr>
          <w:p w14:paraId="42AFD4B8" w14:textId="3253F8E0" w:rsidR="002A11B0" w:rsidRPr="002A11B0" w:rsidRDefault="002A11B0" w:rsidP="002A11B0">
            <w:pPr>
              <w:spacing w:after="0" w:line="240" w:lineRule="auto"/>
              <w:jc w:val="center"/>
              <w:rPr>
                <w:rFonts w:ascii="Times New Roman" w:eastAsia="Times New Roman" w:hAnsi="Times New Roman" w:cs="Times New Roman"/>
                <w:b/>
                <w:bCs/>
                <w:color w:val="000000"/>
                <w:kern w:val="0"/>
                <w:sz w:val="16"/>
                <w:szCs w:val="16"/>
                <w:lang w:eastAsia="en-IN"/>
                <w14:ligatures w14:val="none"/>
              </w:rPr>
            </w:pPr>
          </w:p>
        </w:tc>
        <w:tc>
          <w:tcPr>
            <w:tcW w:w="981" w:type="dxa"/>
            <w:tcBorders>
              <w:top w:val="nil"/>
              <w:left w:val="nil"/>
              <w:bottom w:val="single" w:sz="4" w:space="0" w:color="auto"/>
              <w:right w:val="single" w:sz="4" w:space="0" w:color="auto"/>
            </w:tcBorders>
            <w:noWrap/>
            <w:vAlign w:val="center"/>
            <w:hideMark/>
          </w:tcPr>
          <w:p w14:paraId="6E807AF2" w14:textId="5A7F829D" w:rsidR="002A11B0" w:rsidRPr="002A11B0" w:rsidRDefault="002A11B0" w:rsidP="002A11B0">
            <w:pPr>
              <w:spacing w:after="0" w:line="240" w:lineRule="auto"/>
              <w:jc w:val="center"/>
              <w:rPr>
                <w:rFonts w:ascii="Times New Roman" w:eastAsia="Times New Roman" w:hAnsi="Times New Roman" w:cs="Times New Roman"/>
                <w:b/>
                <w:bCs/>
                <w:color w:val="000000"/>
                <w:kern w:val="0"/>
                <w:sz w:val="16"/>
                <w:szCs w:val="16"/>
                <w:lang w:eastAsia="en-IN"/>
                <w14:ligatures w14:val="none"/>
              </w:rPr>
            </w:pPr>
          </w:p>
        </w:tc>
        <w:tc>
          <w:tcPr>
            <w:tcW w:w="669" w:type="dxa"/>
            <w:tcBorders>
              <w:top w:val="nil"/>
              <w:left w:val="nil"/>
              <w:bottom w:val="single" w:sz="4" w:space="0" w:color="auto"/>
              <w:right w:val="single" w:sz="4" w:space="0" w:color="auto"/>
            </w:tcBorders>
            <w:noWrap/>
            <w:vAlign w:val="center"/>
            <w:hideMark/>
          </w:tcPr>
          <w:p w14:paraId="51F98987" w14:textId="68C2A7AF" w:rsidR="002A11B0" w:rsidRPr="002A11B0" w:rsidRDefault="002A11B0" w:rsidP="002A11B0">
            <w:pPr>
              <w:spacing w:after="0" w:line="240" w:lineRule="auto"/>
              <w:jc w:val="center"/>
              <w:rPr>
                <w:rFonts w:ascii="Times New Roman" w:eastAsia="Times New Roman" w:hAnsi="Times New Roman" w:cs="Times New Roman"/>
                <w:b/>
                <w:bCs/>
                <w:color w:val="000000"/>
                <w:kern w:val="0"/>
                <w:sz w:val="16"/>
                <w:szCs w:val="16"/>
                <w:lang w:eastAsia="en-IN"/>
                <w14:ligatures w14:val="none"/>
              </w:rPr>
            </w:pPr>
          </w:p>
        </w:tc>
        <w:tc>
          <w:tcPr>
            <w:tcW w:w="679" w:type="dxa"/>
            <w:tcBorders>
              <w:top w:val="nil"/>
              <w:left w:val="nil"/>
              <w:bottom w:val="single" w:sz="4" w:space="0" w:color="auto"/>
              <w:right w:val="single" w:sz="4" w:space="0" w:color="auto"/>
            </w:tcBorders>
            <w:noWrap/>
            <w:vAlign w:val="center"/>
            <w:hideMark/>
          </w:tcPr>
          <w:p w14:paraId="6D1DE45F" w14:textId="0EA7DEEF" w:rsidR="002A11B0" w:rsidRPr="002A11B0" w:rsidRDefault="002A11B0" w:rsidP="002A11B0">
            <w:pPr>
              <w:spacing w:after="0" w:line="240" w:lineRule="auto"/>
              <w:jc w:val="center"/>
              <w:rPr>
                <w:rFonts w:ascii="Times New Roman" w:eastAsia="Times New Roman" w:hAnsi="Times New Roman" w:cs="Times New Roman"/>
                <w:b/>
                <w:bCs/>
                <w:color w:val="000000"/>
                <w:kern w:val="0"/>
                <w:sz w:val="16"/>
                <w:szCs w:val="16"/>
                <w:lang w:eastAsia="en-IN"/>
                <w14:ligatures w14:val="none"/>
              </w:rPr>
            </w:pPr>
          </w:p>
        </w:tc>
        <w:tc>
          <w:tcPr>
            <w:tcW w:w="1754" w:type="dxa"/>
            <w:gridSpan w:val="2"/>
            <w:tcBorders>
              <w:top w:val="single" w:sz="4" w:space="0" w:color="auto"/>
              <w:left w:val="nil"/>
              <w:bottom w:val="single" w:sz="4" w:space="0" w:color="auto"/>
              <w:right w:val="single" w:sz="4" w:space="0" w:color="auto"/>
            </w:tcBorders>
            <w:noWrap/>
            <w:vAlign w:val="center"/>
            <w:hideMark/>
          </w:tcPr>
          <w:p w14:paraId="2ECEF2AB" w14:textId="1A64B1A4" w:rsidR="002A11B0" w:rsidRPr="002A11B0" w:rsidRDefault="002A11B0" w:rsidP="002A11B0">
            <w:pPr>
              <w:spacing w:after="0" w:line="240" w:lineRule="auto"/>
              <w:jc w:val="center"/>
              <w:rPr>
                <w:rFonts w:ascii="Times New Roman" w:eastAsia="Times New Roman" w:hAnsi="Times New Roman" w:cs="Times New Roman"/>
                <w:b/>
                <w:bCs/>
                <w:color w:val="000000"/>
                <w:kern w:val="0"/>
                <w:sz w:val="16"/>
                <w:szCs w:val="16"/>
                <w:lang w:eastAsia="en-IN"/>
                <w14:ligatures w14:val="none"/>
              </w:rPr>
            </w:pPr>
            <w:r w:rsidRPr="002A11B0">
              <w:rPr>
                <w:rFonts w:ascii="Times New Roman" w:eastAsia="Times New Roman" w:hAnsi="Times New Roman" w:cs="Times New Roman"/>
                <w:b/>
                <w:bCs/>
                <w:color w:val="000000"/>
                <w:kern w:val="0"/>
                <w:sz w:val="16"/>
                <w:szCs w:val="16"/>
                <w:lang w:eastAsia="en-IN"/>
                <w14:ligatures w14:val="none"/>
              </w:rPr>
              <w:t>Add</w:t>
            </w:r>
            <w:r>
              <w:rPr>
                <w:rFonts w:ascii="Times New Roman" w:eastAsia="Times New Roman" w:hAnsi="Times New Roman" w:cs="Times New Roman"/>
                <w:b/>
                <w:bCs/>
                <w:color w:val="000000"/>
                <w:kern w:val="0"/>
                <w:sz w:val="16"/>
                <w:szCs w:val="16"/>
                <w:lang w:eastAsia="en-IN"/>
                <w14:ligatures w14:val="none"/>
              </w:rPr>
              <w:t>itiona</w:t>
            </w:r>
            <w:r w:rsidRPr="002A11B0">
              <w:rPr>
                <w:rFonts w:ascii="Times New Roman" w:eastAsia="Times New Roman" w:hAnsi="Times New Roman" w:cs="Times New Roman"/>
                <w:b/>
                <w:bCs/>
                <w:color w:val="000000"/>
                <w:kern w:val="0"/>
                <w:sz w:val="16"/>
                <w:szCs w:val="16"/>
                <w:lang w:eastAsia="en-IN"/>
                <w14:ligatures w14:val="none"/>
              </w:rPr>
              <w:t>l tax</w:t>
            </w:r>
            <w:r>
              <w:rPr>
                <w:rFonts w:ascii="Times New Roman" w:eastAsia="Times New Roman" w:hAnsi="Times New Roman" w:cs="Times New Roman"/>
                <w:b/>
                <w:bCs/>
                <w:color w:val="000000"/>
                <w:kern w:val="0"/>
                <w:sz w:val="16"/>
                <w:szCs w:val="16"/>
                <w:lang w:eastAsia="en-IN"/>
                <w14:ligatures w14:val="none"/>
              </w:rPr>
              <w:t>ation</w:t>
            </w:r>
            <w:r w:rsidRPr="002A11B0">
              <w:rPr>
                <w:rFonts w:ascii="Times New Roman" w:eastAsia="Times New Roman" w:hAnsi="Times New Roman" w:cs="Times New Roman"/>
                <w:b/>
                <w:bCs/>
                <w:color w:val="000000"/>
                <w:kern w:val="0"/>
                <w:sz w:val="16"/>
                <w:szCs w:val="16"/>
                <w:lang w:eastAsia="en-IN"/>
                <w14:ligatures w14:val="none"/>
              </w:rPr>
              <w:t xml:space="preserve"> in 1966-67</w:t>
            </w:r>
          </w:p>
        </w:tc>
        <w:tc>
          <w:tcPr>
            <w:tcW w:w="1505" w:type="dxa"/>
            <w:gridSpan w:val="2"/>
            <w:tcBorders>
              <w:top w:val="single" w:sz="4" w:space="0" w:color="auto"/>
              <w:left w:val="nil"/>
              <w:bottom w:val="single" w:sz="4" w:space="0" w:color="auto"/>
              <w:right w:val="single" w:sz="4" w:space="0" w:color="auto"/>
            </w:tcBorders>
            <w:noWrap/>
            <w:vAlign w:val="center"/>
            <w:hideMark/>
          </w:tcPr>
          <w:p w14:paraId="54406229" w14:textId="77777777" w:rsidR="002A11B0" w:rsidRPr="002A11B0" w:rsidRDefault="002A11B0" w:rsidP="002A11B0">
            <w:pPr>
              <w:spacing w:after="0" w:line="240" w:lineRule="auto"/>
              <w:jc w:val="center"/>
              <w:rPr>
                <w:rFonts w:ascii="Times New Roman" w:eastAsia="Times New Roman" w:hAnsi="Times New Roman" w:cs="Times New Roman"/>
                <w:b/>
                <w:bCs/>
                <w:color w:val="000000"/>
                <w:kern w:val="0"/>
                <w:sz w:val="16"/>
                <w:szCs w:val="16"/>
                <w:lang w:eastAsia="en-IN"/>
                <w14:ligatures w14:val="none"/>
              </w:rPr>
            </w:pPr>
            <w:r w:rsidRPr="002A11B0">
              <w:rPr>
                <w:rFonts w:ascii="Times New Roman" w:eastAsia="Times New Roman" w:hAnsi="Times New Roman" w:cs="Times New Roman"/>
                <w:b/>
                <w:bCs/>
                <w:color w:val="000000"/>
                <w:kern w:val="0"/>
                <w:sz w:val="16"/>
                <w:szCs w:val="16"/>
                <w:lang w:eastAsia="en-IN"/>
                <w14:ligatures w14:val="none"/>
              </w:rPr>
              <w:t>Tax Revenue in 1966-1967</w:t>
            </w:r>
          </w:p>
        </w:tc>
        <w:tc>
          <w:tcPr>
            <w:tcW w:w="1722" w:type="dxa"/>
            <w:gridSpan w:val="2"/>
            <w:tcBorders>
              <w:top w:val="single" w:sz="4" w:space="0" w:color="auto"/>
              <w:left w:val="nil"/>
              <w:bottom w:val="single" w:sz="4" w:space="0" w:color="auto"/>
              <w:right w:val="single" w:sz="4" w:space="0" w:color="auto"/>
            </w:tcBorders>
            <w:noWrap/>
            <w:vAlign w:val="center"/>
            <w:hideMark/>
          </w:tcPr>
          <w:p w14:paraId="4502A925" w14:textId="69C9F071" w:rsidR="002A11B0" w:rsidRPr="002A11B0" w:rsidRDefault="002A11B0" w:rsidP="002A11B0">
            <w:pPr>
              <w:spacing w:after="0" w:line="240" w:lineRule="auto"/>
              <w:jc w:val="center"/>
              <w:rPr>
                <w:rFonts w:ascii="Times New Roman" w:eastAsia="Times New Roman" w:hAnsi="Times New Roman" w:cs="Times New Roman"/>
                <w:b/>
                <w:bCs/>
                <w:color w:val="000000"/>
                <w:kern w:val="0"/>
                <w:sz w:val="16"/>
                <w:szCs w:val="16"/>
                <w:lang w:eastAsia="en-IN"/>
                <w14:ligatures w14:val="none"/>
              </w:rPr>
            </w:pPr>
            <w:r w:rsidRPr="002A11B0">
              <w:rPr>
                <w:rFonts w:ascii="Times New Roman" w:eastAsia="Times New Roman" w:hAnsi="Times New Roman" w:cs="Times New Roman"/>
                <w:b/>
                <w:bCs/>
                <w:color w:val="000000"/>
                <w:kern w:val="0"/>
                <w:sz w:val="16"/>
                <w:szCs w:val="16"/>
                <w:lang w:eastAsia="en-IN"/>
                <w14:ligatures w14:val="none"/>
              </w:rPr>
              <w:t>Add</w:t>
            </w:r>
            <w:r>
              <w:rPr>
                <w:rFonts w:ascii="Times New Roman" w:eastAsia="Times New Roman" w:hAnsi="Times New Roman" w:cs="Times New Roman"/>
                <w:b/>
                <w:bCs/>
                <w:color w:val="000000"/>
                <w:kern w:val="0"/>
                <w:sz w:val="16"/>
                <w:szCs w:val="16"/>
                <w:lang w:eastAsia="en-IN"/>
                <w14:ligatures w14:val="none"/>
              </w:rPr>
              <w:t>itiona</w:t>
            </w:r>
            <w:r w:rsidRPr="002A11B0">
              <w:rPr>
                <w:rFonts w:ascii="Times New Roman" w:eastAsia="Times New Roman" w:hAnsi="Times New Roman" w:cs="Times New Roman"/>
                <w:b/>
                <w:bCs/>
                <w:color w:val="000000"/>
                <w:kern w:val="0"/>
                <w:sz w:val="16"/>
                <w:szCs w:val="16"/>
                <w:lang w:eastAsia="en-IN"/>
                <w14:ligatures w14:val="none"/>
              </w:rPr>
              <w:t>l tax</w:t>
            </w:r>
            <w:r>
              <w:rPr>
                <w:rFonts w:ascii="Times New Roman" w:eastAsia="Times New Roman" w:hAnsi="Times New Roman" w:cs="Times New Roman"/>
                <w:b/>
                <w:bCs/>
                <w:color w:val="000000"/>
                <w:kern w:val="0"/>
                <w:sz w:val="16"/>
                <w:szCs w:val="16"/>
                <w:lang w:eastAsia="en-IN"/>
                <w14:ligatures w14:val="none"/>
              </w:rPr>
              <w:t>ation</w:t>
            </w:r>
            <w:r w:rsidRPr="002A11B0">
              <w:rPr>
                <w:rFonts w:ascii="Times New Roman" w:eastAsia="Times New Roman" w:hAnsi="Times New Roman" w:cs="Times New Roman"/>
                <w:b/>
                <w:bCs/>
                <w:color w:val="000000"/>
                <w:kern w:val="0"/>
                <w:sz w:val="16"/>
                <w:szCs w:val="16"/>
                <w:lang w:eastAsia="en-IN"/>
                <w14:ligatures w14:val="none"/>
              </w:rPr>
              <w:t xml:space="preserve"> in 196</w:t>
            </w:r>
            <w:r>
              <w:rPr>
                <w:rFonts w:ascii="Times New Roman" w:eastAsia="Times New Roman" w:hAnsi="Times New Roman" w:cs="Times New Roman"/>
                <w:b/>
                <w:bCs/>
                <w:color w:val="000000"/>
                <w:kern w:val="0"/>
                <w:sz w:val="16"/>
                <w:szCs w:val="16"/>
                <w:lang w:eastAsia="en-IN"/>
                <w14:ligatures w14:val="none"/>
              </w:rPr>
              <w:t>7-68</w:t>
            </w:r>
          </w:p>
        </w:tc>
        <w:tc>
          <w:tcPr>
            <w:tcW w:w="1477" w:type="dxa"/>
            <w:gridSpan w:val="2"/>
            <w:tcBorders>
              <w:top w:val="single" w:sz="4" w:space="0" w:color="auto"/>
              <w:left w:val="nil"/>
              <w:bottom w:val="single" w:sz="4" w:space="0" w:color="auto"/>
              <w:right w:val="single" w:sz="4" w:space="0" w:color="auto"/>
            </w:tcBorders>
            <w:noWrap/>
            <w:vAlign w:val="center"/>
            <w:hideMark/>
          </w:tcPr>
          <w:p w14:paraId="121FB9A6" w14:textId="4ADA19B6" w:rsidR="002A11B0" w:rsidRPr="002A11B0" w:rsidRDefault="002A11B0" w:rsidP="002A11B0">
            <w:pPr>
              <w:spacing w:after="0" w:line="240" w:lineRule="auto"/>
              <w:jc w:val="center"/>
              <w:rPr>
                <w:rFonts w:ascii="Times New Roman" w:eastAsia="Times New Roman" w:hAnsi="Times New Roman" w:cs="Times New Roman"/>
                <w:b/>
                <w:bCs/>
                <w:color w:val="000000"/>
                <w:kern w:val="0"/>
                <w:sz w:val="16"/>
                <w:szCs w:val="16"/>
                <w:lang w:eastAsia="en-IN"/>
                <w14:ligatures w14:val="none"/>
              </w:rPr>
            </w:pPr>
            <w:r>
              <w:rPr>
                <w:rFonts w:ascii="Times New Roman" w:eastAsia="Times New Roman" w:hAnsi="Times New Roman" w:cs="Times New Roman"/>
                <w:b/>
                <w:bCs/>
                <w:color w:val="000000"/>
                <w:kern w:val="0"/>
                <w:sz w:val="16"/>
                <w:szCs w:val="16"/>
                <w:lang w:eastAsia="en-IN"/>
                <w14:ligatures w14:val="none"/>
              </w:rPr>
              <w:t>T</w:t>
            </w:r>
            <w:r w:rsidRPr="002A11B0">
              <w:rPr>
                <w:rFonts w:ascii="Times New Roman" w:eastAsia="Times New Roman" w:hAnsi="Times New Roman" w:cs="Times New Roman"/>
                <w:b/>
                <w:bCs/>
                <w:color w:val="000000"/>
                <w:kern w:val="0"/>
                <w:sz w:val="16"/>
                <w:szCs w:val="16"/>
                <w:lang w:eastAsia="en-IN"/>
                <w14:ligatures w14:val="none"/>
              </w:rPr>
              <w:t xml:space="preserve">ax </w:t>
            </w:r>
            <w:r>
              <w:rPr>
                <w:rFonts w:ascii="Times New Roman" w:eastAsia="Times New Roman" w:hAnsi="Times New Roman" w:cs="Times New Roman"/>
                <w:b/>
                <w:bCs/>
                <w:color w:val="000000"/>
                <w:kern w:val="0"/>
                <w:sz w:val="16"/>
                <w:szCs w:val="16"/>
                <w:lang w:eastAsia="en-IN"/>
                <w14:ligatures w14:val="none"/>
              </w:rPr>
              <w:t>R</w:t>
            </w:r>
            <w:r w:rsidRPr="002A11B0">
              <w:rPr>
                <w:rFonts w:ascii="Times New Roman" w:eastAsia="Times New Roman" w:hAnsi="Times New Roman" w:cs="Times New Roman"/>
                <w:b/>
                <w:bCs/>
                <w:color w:val="000000"/>
                <w:kern w:val="0"/>
                <w:sz w:val="16"/>
                <w:szCs w:val="16"/>
                <w:lang w:eastAsia="en-IN"/>
                <w14:ligatures w14:val="none"/>
              </w:rPr>
              <w:t>evenue in 1967-68</w:t>
            </w:r>
          </w:p>
        </w:tc>
        <w:tc>
          <w:tcPr>
            <w:tcW w:w="1735" w:type="dxa"/>
            <w:gridSpan w:val="2"/>
            <w:tcBorders>
              <w:top w:val="single" w:sz="4" w:space="0" w:color="auto"/>
              <w:left w:val="nil"/>
              <w:bottom w:val="single" w:sz="4" w:space="0" w:color="auto"/>
              <w:right w:val="single" w:sz="4" w:space="0" w:color="auto"/>
            </w:tcBorders>
            <w:noWrap/>
            <w:vAlign w:val="center"/>
            <w:hideMark/>
          </w:tcPr>
          <w:p w14:paraId="6621DA89" w14:textId="7610CC59" w:rsidR="002A11B0" w:rsidRPr="002A11B0" w:rsidRDefault="002A11B0" w:rsidP="002A11B0">
            <w:pPr>
              <w:spacing w:after="0" w:line="240" w:lineRule="auto"/>
              <w:jc w:val="center"/>
              <w:rPr>
                <w:rFonts w:ascii="Times New Roman" w:eastAsia="Times New Roman" w:hAnsi="Times New Roman" w:cs="Times New Roman"/>
                <w:b/>
                <w:bCs/>
                <w:color w:val="000000"/>
                <w:kern w:val="0"/>
                <w:sz w:val="16"/>
                <w:szCs w:val="16"/>
                <w:lang w:eastAsia="en-IN"/>
                <w14:ligatures w14:val="none"/>
              </w:rPr>
            </w:pPr>
            <w:r w:rsidRPr="002A11B0">
              <w:rPr>
                <w:rFonts w:ascii="Times New Roman" w:eastAsia="Times New Roman" w:hAnsi="Times New Roman" w:cs="Times New Roman"/>
                <w:b/>
                <w:bCs/>
                <w:color w:val="000000"/>
                <w:kern w:val="0"/>
                <w:sz w:val="16"/>
                <w:szCs w:val="16"/>
                <w:lang w:eastAsia="en-IN"/>
                <w14:ligatures w14:val="none"/>
              </w:rPr>
              <w:t>Add</w:t>
            </w:r>
            <w:r>
              <w:rPr>
                <w:rFonts w:ascii="Times New Roman" w:eastAsia="Times New Roman" w:hAnsi="Times New Roman" w:cs="Times New Roman"/>
                <w:b/>
                <w:bCs/>
                <w:color w:val="000000"/>
                <w:kern w:val="0"/>
                <w:sz w:val="16"/>
                <w:szCs w:val="16"/>
                <w:lang w:eastAsia="en-IN"/>
                <w14:ligatures w14:val="none"/>
              </w:rPr>
              <w:t>itional</w:t>
            </w:r>
            <w:r w:rsidRPr="002A11B0">
              <w:rPr>
                <w:rFonts w:ascii="Times New Roman" w:eastAsia="Times New Roman" w:hAnsi="Times New Roman" w:cs="Times New Roman"/>
                <w:b/>
                <w:bCs/>
                <w:color w:val="000000"/>
                <w:kern w:val="0"/>
                <w:sz w:val="16"/>
                <w:szCs w:val="16"/>
                <w:lang w:eastAsia="en-IN"/>
                <w14:ligatures w14:val="none"/>
              </w:rPr>
              <w:t xml:space="preserve"> Taxation in 1968-69</w:t>
            </w:r>
          </w:p>
        </w:tc>
        <w:tc>
          <w:tcPr>
            <w:tcW w:w="1477" w:type="dxa"/>
            <w:gridSpan w:val="2"/>
            <w:tcBorders>
              <w:top w:val="single" w:sz="4" w:space="0" w:color="auto"/>
              <w:left w:val="nil"/>
              <w:bottom w:val="single" w:sz="4" w:space="0" w:color="auto"/>
              <w:right w:val="single" w:sz="4" w:space="0" w:color="auto"/>
            </w:tcBorders>
            <w:noWrap/>
            <w:vAlign w:val="center"/>
            <w:hideMark/>
          </w:tcPr>
          <w:p w14:paraId="3BC9B3AE" w14:textId="4C1F6F8A" w:rsidR="002A11B0" w:rsidRPr="002A11B0" w:rsidRDefault="002A11B0" w:rsidP="002A11B0">
            <w:pPr>
              <w:spacing w:after="0" w:line="240" w:lineRule="auto"/>
              <w:jc w:val="center"/>
              <w:rPr>
                <w:rFonts w:ascii="Times New Roman" w:eastAsia="Times New Roman" w:hAnsi="Times New Roman" w:cs="Times New Roman"/>
                <w:b/>
                <w:bCs/>
                <w:color w:val="000000"/>
                <w:kern w:val="0"/>
                <w:sz w:val="16"/>
                <w:szCs w:val="16"/>
                <w:lang w:eastAsia="en-IN"/>
                <w14:ligatures w14:val="none"/>
              </w:rPr>
            </w:pPr>
            <w:r w:rsidRPr="002A11B0">
              <w:rPr>
                <w:rFonts w:ascii="Times New Roman" w:eastAsia="Times New Roman" w:hAnsi="Times New Roman" w:cs="Times New Roman"/>
                <w:b/>
                <w:bCs/>
                <w:color w:val="000000"/>
                <w:kern w:val="0"/>
                <w:sz w:val="16"/>
                <w:szCs w:val="16"/>
                <w:lang w:eastAsia="en-IN"/>
                <w14:ligatures w14:val="none"/>
              </w:rPr>
              <w:t>Tax Revenue in 19</w:t>
            </w:r>
            <w:r>
              <w:rPr>
                <w:rFonts w:ascii="Times New Roman" w:eastAsia="Times New Roman" w:hAnsi="Times New Roman" w:cs="Times New Roman"/>
                <w:b/>
                <w:bCs/>
                <w:color w:val="000000"/>
                <w:kern w:val="0"/>
                <w:sz w:val="16"/>
                <w:szCs w:val="16"/>
                <w:lang w:eastAsia="en-IN"/>
                <w14:ligatures w14:val="none"/>
              </w:rPr>
              <w:t>68</w:t>
            </w:r>
            <w:r w:rsidRPr="002A11B0">
              <w:rPr>
                <w:rFonts w:ascii="Times New Roman" w:eastAsia="Times New Roman" w:hAnsi="Times New Roman" w:cs="Times New Roman"/>
                <w:b/>
                <w:bCs/>
                <w:color w:val="000000"/>
                <w:kern w:val="0"/>
                <w:sz w:val="16"/>
                <w:szCs w:val="16"/>
                <w:lang w:eastAsia="en-IN"/>
                <w14:ligatures w14:val="none"/>
              </w:rPr>
              <w:t>-69 (R.E.)</w:t>
            </w:r>
          </w:p>
        </w:tc>
      </w:tr>
      <w:tr w:rsidR="001A0C9B" w:rsidRPr="001A0C9B" w14:paraId="342F951A" w14:textId="77777777" w:rsidTr="002A11B0">
        <w:trPr>
          <w:trHeight w:val="166"/>
          <w:jc w:val="center"/>
        </w:trPr>
        <w:tc>
          <w:tcPr>
            <w:tcW w:w="1051" w:type="dxa"/>
            <w:tcBorders>
              <w:top w:val="nil"/>
              <w:left w:val="single" w:sz="4" w:space="0" w:color="auto"/>
              <w:bottom w:val="single" w:sz="4" w:space="0" w:color="auto"/>
              <w:right w:val="single" w:sz="4" w:space="0" w:color="auto"/>
            </w:tcBorders>
            <w:noWrap/>
            <w:vAlign w:val="center"/>
            <w:hideMark/>
          </w:tcPr>
          <w:p w14:paraId="2430A790" w14:textId="4592D4A6" w:rsidR="001A0C9B" w:rsidRPr="002A11B0" w:rsidRDefault="001A0C9B" w:rsidP="002A11B0">
            <w:pPr>
              <w:spacing w:after="0" w:line="240" w:lineRule="auto"/>
              <w:jc w:val="center"/>
              <w:rPr>
                <w:rFonts w:ascii="Times New Roman" w:eastAsia="Times New Roman" w:hAnsi="Times New Roman" w:cs="Times New Roman"/>
                <w:b/>
                <w:bCs/>
                <w:color w:val="000000"/>
                <w:kern w:val="0"/>
                <w:sz w:val="16"/>
                <w:szCs w:val="16"/>
                <w:lang w:eastAsia="en-IN"/>
                <w14:ligatures w14:val="none"/>
              </w:rPr>
            </w:pPr>
          </w:p>
        </w:tc>
        <w:tc>
          <w:tcPr>
            <w:tcW w:w="669" w:type="dxa"/>
            <w:tcBorders>
              <w:top w:val="nil"/>
              <w:left w:val="nil"/>
              <w:bottom w:val="single" w:sz="4" w:space="0" w:color="auto"/>
              <w:right w:val="single" w:sz="4" w:space="0" w:color="auto"/>
            </w:tcBorders>
            <w:noWrap/>
            <w:vAlign w:val="center"/>
            <w:hideMark/>
          </w:tcPr>
          <w:p w14:paraId="7999146E" w14:textId="77777777" w:rsidR="001A0C9B" w:rsidRPr="002A11B0" w:rsidRDefault="001A0C9B" w:rsidP="002A11B0">
            <w:pPr>
              <w:spacing w:after="0" w:line="240" w:lineRule="auto"/>
              <w:jc w:val="center"/>
              <w:rPr>
                <w:rFonts w:ascii="Times New Roman" w:eastAsia="Times New Roman" w:hAnsi="Times New Roman" w:cs="Times New Roman"/>
                <w:b/>
                <w:bCs/>
                <w:color w:val="000000"/>
                <w:kern w:val="0"/>
                <w:sz w:val="16"/>
                <w:szCs w:val="16"/>
                <w:lang w:eastAsia="en-IN"/>
                <w14:ligatures w14:val="none"/>
              </w:rPr>
            </w:pPr>
            <w:r w:rsidRPr="002A11B0">
              <w:rPr>
                <w:rFonts w:ascii="Times New Roman" w:eastAsia="Times New Roman" w:hAnsi="Times New Roman" w:cs="Times New Roman"/>
                <w:b/>
                <w:bCs/>
                <w:color w:val="000000"/>
                <w:kern w:val="0"/>
                <w:sz w:val="16"/>
                <w:szCs w:val="16"/>
                <w:lang w:eastAsia="en-IN"/>
                <w14:ligatures w14:val="none"/>
              </w:rPr>
              <w:t>Total</w:t>
            </w:r>
          </w:p>
        </w:tc>
        <w:tc>
          <w:tcPr>
            <w:tcW w:w="723" w:type="dxa"/>
            <w:tcBorders>
              <w:top w:val="nil"/>
              <w:left w:val="nil"/>
              <w:bottom w:val="single" w:sz="4" w:space="0" w:color="auto"/>
              <w:right w:val="single" w:sz="4" w:space="0" w:color="auto"/>
            </w:tcBorders>
            <w:noWrap/>
            <w:vAlign w:val="center"/>
            <w:hideMark/>
          </w:tcPr>
          <w:p w14:paraId="00B1A6FE" w14:textId="0D1B8C3E" w:rsidR="001A0C9B" w:rsidRPr="002A11B0" w:rsidRDefault="001A0C9B" w:rsidP="002A11B0">
            <w:pPr>
              <w:spacing w:after="0" w:line="240" w:lineRule="auto"/>
              <w:jc w:val="center"/>
              <w:rPr>
                <w:rFonts w:ascii="Times New Roman" w:eastAsia="Times New Roman" w:hAnsi="Times New Roman" w:cs="Times New Roman"/>
                <w:b/>
                <w:bCs/>
                <w:color w:val="000000"/>
                <w:kern w:val="0"/>
                <w:sz w:val="16"/>
                <w:szCs w:val="16"/>
                <w:lang w:eastAsia="en-IN"/>
                <w14:ligatures w14:val="none"/>
              </w:rPr>
            </w:pPr>
            <w:r w:rsidRPr="002A11B0">
              <w:rPr>
                <w:rFonts w:ascii="Times New Roman" w:eastAsia="Times New Roman" w:hAnsi="Times New Roman" w:cs="Times New Roman"/>
                <w:b/>
                <w:bCs/>
                <w:color w:val="000000"/>
                <w:kern w:val="0"/>
                <w:sz w:val="16"/>
                <w:szCs w:val="16"/>
                <w:lang w:eastAsia="en-IN"/>
                <w14:ligatures w14:val="none"/>
              </w:rPr>
              <w:t>Per Capita</w:t>
            </w:r>
          </w:p>
        </w:tc>
        <w:tc>
          <w:tcPr>
            <w:tcW w:w="773" w:type="dxa"/>
            <w:tcBorders>
              <w:top w:val="nil"/>
              <w:left w:val="nil"/>
              <w:bottom w:val="single" w:sz="4" w:space="0" w:color="auto"/>
              <w:right w:val="single" w:sz="4" w:space="0" w:color="auto"/>
            </w:tcBorders>
            <w:noWrap/>
            <w:vAlign w:val="center"/>
            <w:hideMark/>
          </w:tcPr>
          <w:p w14:paraId="3A600875" w14:textId="77777777" w:rsidR="001A0C9B" w:rsidRPr="002A11B0" w:rsidRDefault="001A0C9B" w:rsidP="002A11B0">
            <w:pPr>
              <w:spacing w:after="0" w:line="240" w:lineRule="auto"/>
              <w:jc w:val="center"/>
              <w:rPr>
                <w:rFonts w:ascii="Times New Roman" w:eastAsia="Times New Roman" w:hAnsi="Times New Roman" w:cs="Times New Roman"/>
                <w:b/>
                <w:bCs/>
                <w:color w:val="000000"/>
                <w:kern w:val="0"/>
                <w:sz w:val="16"/>
                <w:szCs w:val="16"/>
                <w:lang w:eastAsia="en-IN"/>
                <w14:ligatures w14:val="none"/>
              </w:rPr>
            </w:pPr>
            <w:r w:rsidRPr="002A11B0">
              <w:rPr>
                <w:rFonts w:ascii="Times New Roman" w:eastAsia="Times New Roman" w:hAnsi="Times New Roman" w:cs="Times New Roman"/>
                <w:b/>
                <w:bCs/>
                <w:color w:val="000000"/>
                <w:kern w:val="0"/>
                <w:sz w:val="16"/>
                <w:szCs w:val="16"/>
                <w:lang w:eastAsia="en-IN"/>
                <w14:ligatures w14:val="none"/>
              </w:rPr>
              <w:t>Targets</w:t>
            </w:r>
          </w:p>
        </w:tc>
        <w:tc>
          <w:tcPr>
            <w:tcW w:w="981" w:type="dxa"/>
            <w:tcBorders>
              <w:top w:val="nil"/>
              <w:left w:val="nil"/>
              <w:bottom w:val="single" w:sz="4" w:space="0" w:color="auto"/>
              <w:right w:val="single" w:sz="4" w:space="0" w:color="auto"/>
            </w:tcBorders>
            <w:noWrap/>
            <w:vAlign w:val="center"/>
            <w:hideMark/>
          </w:tcPr>
          <w:p w14:paraId="11315476" w14:textId="77777777" w:rsidR="001A0C9B" w:rsidRPr="002A11B0" w:rsidRDefault="001A0C9B" w:rsidP="002A11B0">
            <w:pPr>
              <w:spacing w:after="0" w:line="240" w:lineRule="auto"/>
              <w:jc w:val="center"/>
              <w:rPr>
                <w:rFonts w:ascii="Times New Roman" w:eastAsia="Times New Roman" w:hAnsi="Times New Roman" w:cs="Times New Roman"/>
                <w:b/>
                <w:bCs/>
                <w:color w:val="000000"/>
                <w:kern w:val="0"/>
                <w:sz w:val="16"/>
                <w:szCs w:val="16"/>
                <w:lang w:eastAsia="en-IN"/>
                <w14:ligatures w14:val="none"/>
              </w:rPr>
            </w:pPr>
            <w:r w:rsidRPr="002A11B0">
              <w:rPr>
                <w:rFonts w:ascii="Times New Roman" w:eastAsia="Times New Roman" w:hAnsi="Times New Roman" w:cs="Times New Roman"/>
                <w:b/>
                <w:bCs/>
                <w:color w:val="000000"/>
                <w:kern w:val="0"/>
                <w:sz w:val="16"/>
                <w:szCs w:val="16"/>
                <w:lang w:eastAsia="en-IN"/>
                <w14:ligatures w14:val="none"/>
              </w:rPr>
              <w:t>Realisation</w:t>
            </w:r>
          </w:p>
        </w:tc>
        <w:tc>
          <w:tcPr>
            <w:tcW w:w="669" w:type="dxa"/>
            <w:tcBorders>
              <w:top w:val="nil"/>
              <w:left w:val="nil"/>
              <w:bottom w:val="single" w:sz="4" w:space="0" w:color="auto"/>
              <w:right w:val="single" w:sz="4" w:space="0" w:color="auto"/>
            </w:tcBorders>
            <w:noWrap/>
            <w:vAlign w:val="center"/>
            <w:hideMark/>
          </w:tcPr>
          <w:p w14:paraId="2C81FDA6" w14:textId="77777777" w:rsidR="001A0C9B" w:rsidRPr="002A11B0" w:rsidRDefault="001A0C9B" w:rsidP="002A11B0">
            <w:pPr>
              <w:spacing w:after="0" w:line="240" w:lineRule="auto"/>
              <w:jc w:val="center"/>
              <w:rPr>
                <w:rFonts w:ascii="Times New Roman" w:eastAsia="Times New Roman" w:hAnsi="Times New Roman" w:cs="Times New Roman"/>
                <w:b/>
                <w:bCs/>
                <w:color w:val="000000"/>
                <w:kern w:val="0"/>
                <w:sz w:val="16"/>
                <w:szCs w:val="16"/>
                <w:lang w:eastAsia="en-IN"/>
                <w14:ligatures w14:val="none"/>
              </w:rPr>
            </w:pPr>
            <w:r w:rsidRPr="002A11B0">
              <w:rPr>
                <w:rFonts w:ascii="Times New Roman" w:eastAsia="Times New Roman" w:hAnsi="Times New Roman" w:cs="Times New Roman"/>
                <w:b/>
                <w:bCs/>
                <w:color w:val="000000"/>
                <w:kern w:val="0"/>
                <w:sz w:val="16"/>
                <w:szCs w:val="16"/>
                <w:lang w:eastAsia="en-IN"/>
                <w14:ligatures w14:val="none"/>
              </w:rPr>
              <w:t>Total</w:t>
            </w:r>
          </w:p>
        </w:tc>
        <w:tc>
          <w:tcPr>
            <w:tcW w:w="679" w:type="dxa"/>
            <w:tcBorders>
              <w:top w:val="nil"/>
              <w:left w:val="nil"/>
              <w:bottom w:val="single" w:sz="4" w:space="0" w:color="auto"/>
              <w:right w:val="single" w:sz="4" w:space="0" w:color="auto"/>
            </w:tcBorders>
            <w:noWrap/>
            <w:vAlign w:val="center"/>
            <w:hideMark/>
          </w:tcPr>
          <w:p w14:paraId="11EC876C" w14:textId="77777777" w:rsidR="001A0C9B" w:rsidRPr="002A11B0" w:rsidRDefault="001A0C9B" w:rsidP="002A11B0">
            <w:pPr>
              <w:spacing w:after="0" w:line="240" w:lineRule="auto"/>
              <w:jc w:val="center"/>
              <w:rPr>
                <w:rFonts w:ascii="Times New Roman" w:eastAsia="Times New Roman" w:hAnsi="Times New Roman" w:cs="Times New Roman"/>
                <w:b/>
                <w:bCs/>
                <w:color w:val="000000"/>
                <w:kern w:val="0"/>
                <w:sz w:val="16"/>
                <w:szCs w:val="16"/>
                <w:lang w:eastAsia="en-IN"/>
                <w14:ligatures w14:val="none"/>
              </w:rPr>
            </w:pPr>
            <w:r w:rsidRPr="002A11B0">
              <w:rPr>
                <w:rFonts w:ascii="Times New Roman" w:eastAsia="Times New Roman" w:hAnsi="Times New Roman" w:cs="Times New Roman"/>
                <w:b/>
                <w:bCs/>
                <w:color w:val="000000"/>
                <w:kern w:val="0"/>
                <w:sz w:val="16"/>
                <w:szCs w:val="16"/>
                <w:lang w:eastAsia="en-IN"/>
                <w14:ligatures w14:val="none"/>
              </w:rPr>
              <w:t>Per Capita</w:t>
            </w:r>
          </w:p>
        </w:tc>
        <w:tc>
          <w:tcPr>
            <w:tcW w:w="773" w:type="dxa"/>
            <w:tcBorders>
              <w:top w:val="nil"/>
              <w:left w:val="nil"/>
              <w:bottom w:val="single" w:sz="4" w:space="0" w:color="auto"/>
              <w:right w:val="single" w:sz="4" w:space="0" w:color="auto"/>
            </w:tcBorders>
            <w:noWrap/>
            <w:vAlign w:val="center"/>
            <w:hideMark/>
          </w:tcPr>
          <w:p w14:paraId="3A1403F7" w14:textId="77777777" w:rsidR="001A0C9B" w:rsidRPr="002A11B0" w:rsidRDefault="001A0C9B" w:rsidP="002A11B0">
            <w:pPr>
              <w:spacing w:after="0" w:line="240" w:lineRule="auto"/>
              <w:jc w:val="center"/>
              <w:rPr>
                <w:rFonts w:ascii="Times New Roman" w:eastAsia="Times New Roman" w:hAnsi="Times New Roman" w:cs="Times New Roman"/>
                <w:b/>
                <w:bCs/>
                <w:color w:val="000000"/>
                <w:kern w:val="0"/>
                <w:sz w:val="16"/>
                <w:szCs w:val="16"/>
                <w:lang w:eastAsia="en-IN"/>
                <w14:ligatures w14:val="none"/>
              </w:rPr>
            </w:pPr>
            <w:r w:rsidRPr="002A11B0">
              <w:rPr>
                <w:rFonts w:ascii="Times New Roman" w:eastAsia="Times New Roman" w:hAnsi="Times New Roman" w:cs="Times New Roman"/>
                <w:b/>
                <w:bCs/>
                <w:color w:val="000000"/>
                <w:kern w:val="0"/>
                <w:sz w:val="16"/>
                <w:szCs w:val="16"/>
                <w:lang w:eastAsia="en-IN"/>
                <w14:ligatures w14:val="none"/>
              </w:rPr>
              <w:t>Targets</w:t>
            </w:r>
          </w:p>
        </w:tc>
        <w:tc>
          <w:tcPr>
            <w:tcW w:w="981" w:type="dxa"/>
            <w:tcBorders>
              <w:top w:val="nil"/>
              <w:left w:val="nil"/>
              <w:bottom w:val="single" w:sz="4" w:space="0" w:color="auto"/>
              <w:right w:val="single" w:sz="4" w:space="0" w:color="auto"/>
            </w:tcBorders>
            <w:noWrap/>
            <w:vAlign w:val="center"/>
            <w:hideMark/>
          </w:tcPr>
          <w:p w14:paraId="2CE8EA61" w14:textId="77777777" w:rsidR="001A0C9B" w:rsidRPr="002A11B0" w:rsidRDefault="001A0C9B" w:rsidP="002A11B0">
            <w:pPr>
              <w:spacing w:after="0" w:line="240" w:lineRule="auto"/>
              <w:jc w:val="center"/>
              <w:rPr>
                <w:rFonts w:ascii="Times New Roman" w:eastAsia="Times New Roman" w:hAnsi="Times New Roman" w:cs="Times New Roman"/>
                <w:b/>
                <w:bCs/>
                <w:color w:val="000000"/>
                <w:kern w:val="0"/>
                <w:sz w:val="16"/>
                <w:szCs w:val="16"/>
                <w:lang w:eastAsia="en-IN"/>
                <w14:ligatures w14:val="none"/>
              </w:rPr>
            </w:pPr>
            <w:r w:rsidRPr="002A11B0">
              <w:rPr>
                <w:rFonts w:ascii="Times New Roman" w:eastAsia="Times New Roman" w:hAnsi="Times New Roman" w:cs="Times New Roman"/>
                <w:b/>
                <w:bCs/>
                <w:color w:val="000000"/>
                <w:kern w:val="0"/>
                <w:sz w:val="16"/>
                <w:szCs w:val="16"/>
                <w:lang w:eastAsia="en-IN"/>
                <w14:ligatures w14:val="none"/>
              </w:rPr>
              <w:t>Realisation</w:t>
            </w:r>
          </w:p>
        </w:tc>
        <w:tc>
          <w:tcPr>
            <w:tcW w:w="782" w:type="dxa"/>
            <w:tcBorders>
              <w:top w:val="nil"/>
              <w:left w:val="nil"/>
              <w:bottom w:val="single" w:sz="4" w:space="0" w:color="auto"/>
              <w:right w:val="single" w:sz="4" w:space="0" w:color="auto"/>
            </w:tcBorders>
            <w:noWrap/>
            <w:vAlign w:val="center"/>
            <w:hideMark/>
          </w:tcPr>
          <w:p w14:paraId="7E74684C" w14:textId="2CF4BBAC" w:rsidR="001A0C9B" w:rsidRPr="002A11B0" w:rsidRDefault="001A0C9B" w:rsidP="002A11B0">
            <w:pPr>
              <w:spacing w:after="0" w:line="240" w:lineRule="auto"/>
              <w:jc w:val="center"/>
              <w:rPr>
                <w:rFonts w:ascii="Times New Roman" w:eastAsia="Times New Roman" w:hAnsi="Times New Roman" w:cs="Times New Roman"/>
                <w:b/>
                <w:bCs/>
                <w:color w:val="000000"/>
                <w:kern w:val="0"/>
                <w:sz w:val="16"/>
                <w:szCs w:val="16"/>
                <w:lang w:eastAsia="en-IN"/>
                <w14:ligatures w14:val="none"/>
              </w:rPr>
            </w:pPr>
            <w:r w:rsidRPr="002A11B0">
              <w:rPr>
                <w:rFonts w:ascii="Times New Roman" w:eastAsia="Times New Roman" w:hAnsi="Times New Roman" w:cs="Times New Roman"/>
                <w:b/>
                <w:bCs/>
                <w:color w:val="000000"/>
                <w:kern w:val="0"/>
                <w:sz w:val="16"/>
                <w:szCs w:val="16"/>
                <w:lang w:eastAsia="en-IN"/>
                <w14:ligatures w14:val="none"/>
              </w:rPr>
              <w:t>Total</w:t>
            </w:r>
          </w:p>
        </w:tc>
        <w:tc>
          <w:tcPr>
            <w:tcW w:w="723" w:type="dxa"/>
            <w:tcBorders>
              <w:top w:val="nil"/>
              <w:left w:val="nil"/>
              <w:bottom w:val="single" w:sz="4" w:space="0" w:color="auto"/>
              <w:right w:val="single" w:sz="4" w:space="0" w:color="auto"/>
            </w:tcBorders>
            <w:noWrap/>
            <w:vAlign w:val="center"/>
            <w:hideMark/>
          </w:tcPr>
          <w:p w14:paraId="52D21C60" w14:textId="74DFDD98" w:rsidR="001A0C9B" w:rsidRPr="002A11B0" w:rsidRDefault="001A0C9B" w:rsidP="002A11B0">
            <w:pPr>
              <w:spacing w:after="0" w:line="240" w:lineRule="auto"/>
              <w:jc w:val="center"/>
              <w:rPr>
                <w:rFonts w:ascii="Times New Roman" w:eastAsia="Times New Roman" w:hAnsi="Times New Roman" w:cs="Times New Roman"/>
                <w:b/>
                <w:bCs/>
                <w:color w:val="000000"/>
                <w:kern w:val="0"/>
                <w:sz w:val="16"/>
                <w:szCs w:val="16"/>
                <w:lang w:eastAsia="en-IN"/>
                <w14:ligatures w14:val="none"/>
              </w:rPr>
            </w:pPr>
            <w:r w:rsidRPr="002A11B0">
              <w:rPr>
                <w:rFonts w:ascii="Times New Roman" w:eastAsia="Times New Roman" w:hAnsi="Times New Roman" w:cs="Times New Roman"/>
                <w:b/>
                <w:bCs/>
                <w:color w:val="000000"/>
                <w:kern w:val="0"/>
                <w:sz w:val="16"/>
                <w:szCs w:val="16"/>
                <w:lang w:eastAsia="en-IN"/>
                <w14:ligatures w14:val="none"/>
              </w:rPr>
              <w:t>Per Capita</w:t>
            </w:r>
          </w:p>
        </w:tc>
        <w:tc>
          <w:tcPr>
            <w:tcW w:w="741" w:type="dxa"/>
            <w:tcBorders>
              <w:top w:val="nil"/>
              <w:left w:val="nil"/>
              <w:bottom w:val="single" w:sz="4" w:space="0" w:color="auto"/>
              <w:right w:val="single" w:sz="4" w:space="0" w:color="auto"/>
            </w:tcBorders>
            <w:noWrap/>
            <w:vAlign w:val="center"/>
            <w:hideMark/>
          </w:tcPr>
          <w:p w14:paraId="619776F3" w14:textId="77777777" w:rsidR="001A0C9B" w:rsidRPr="002A11B0" w:rsidRDefault="001A0C9B" w:rsidP="002A11B0">
            <w:pPr>
              <w:spacing w:after="0" w:line="240" w:lineRule="auto"/>
              <w:jc w:val="center"/>
              <w:rPr>
                <w:rFonts w:ascii="Times New Roman" w:eastAsia="Times New Roman" w:hAnsi="Times New Roman" w:cs="Times New Roman"/>
                <w:b/>
                <w:bCs/>
                <w:color w:val="000000"/>
                <w:kern w:val="0"/>
                <w:sz w:val="16"/>
                <w:szCs w:val="16"/>
                <w:lang w:eastAsia="en-IN"/>
                <w14:ligatures w14:val="none"/>
              </w:rPr>
            </w:pPr>
            <w:r w:rsidRPr="002A11B0">
              <w:rPr>
                <w:rFonts w:ascii="Times New Roman" w:eastAsia="Times New Roman" w:hAnsi="Times New Roman" w:cs="Times New Roman"/>
                <w:b/>
                <w:bCs/>
                <w:color w:val="000000"/>
                <w:kern w:val="0"/>
                <w:sz w:val="16"/>
                <w:szCs w:val="16"/>
                <w:lang w:eastAsia="en-IN"/>
                <w14:ligatures w14:val="none"/>
              </w:rPr>
              <w:t>Targets</w:t>
            </w:r>
          </w:p>
        </w:tc>
        <w:tc>
          <w:tcPr>
            <w:tcW w:w="981" w:type="dxa"/>
            <w:tcBorders>
              <w:top w:val="nil"/>
              <w:left w:val="nil"/>
              <w:bottom w:val="single" w:sz="4" w:space="0" w:color="auto"/>
              <w:right w:val="single" w:sz="4" w:space="0" w:color="auto"/>
            </w:tcBorders>
            <w:noWrap/>
            <w:vAlign w:val="center"/>
            <w:hideMark/>
          </w:tcPr>
          <w:p w14:paraId="0ABB2D95" w14:textId="77777777" w:rsidR="001A0C9B" w:rsidRPr="002A11B0" w:rsidRDefault="001A0C9B" w:rsidP="002A11B0">
            <w:pPr>
              <w:spacing w:after="0" w:line="240" w:lineRule="auto"/>
              <w:jc w:val="center"/>
              <w:rPr>
                <w:rFonts w:ascii="Times New Roman" w:eastAsia="Times New Roman" w:hAnsi="Times New Roman" w:cs="Times New Roman"/>
                <w:b/>
                <w:bCs/>
                <w:color w:val="000000"/>
                <w:kern w:val="0"/>
                <w:sz w:val="16"/>
                <w:szCs w:val="16"/>
                <w:lang w:eastAsia="en-IN"/>
                <w14:ligatures w14:val="none"/>
              </w:rPr>
            </w:pPr>
            <w:r w:rsidRPr="002A11B0">
              <w:rPr>
                <w:rFonts w:ascii="Times New Roman" w:eastAsia="Times New Roman" w:hAnsi="Times New Roman" w:cs="Times New Roman"/>
                <w:b/>
                <w:bCs/>
                <w:color w:val="000000"/>
                <w:kern w:val="0"/>
                <w:sz w:val="16"/>
                <w:szCs w:val="16"/>
                <w:lang w:eastAsia="en-IN"/>
                <w14:ligatures w14:val="none"/>
              </w:rPr>
              <w:t>Realisation</w:t>
            </w:r>
          </w:p>
        </w:tc>
        <w:tc>
          <w:tcPr>
            <w:tcW w:w="754" w:type="dxa"/>
            <w:tcBorders>
              <w:top w:val="nil"/>
              <w:left w:val="nil"/>
              <w:bottom w:val="single" w:sz="4" w:space="0" w:color="auto"/>
              <w:right w:val="single" w:sz="4" w:space="0" w:color="auto"/>
            </w:tcBorders>
            <w:noWrap/>
            <w:vAlign w:val="center"/>
            <w:hideMark/>
          </w:tcPr>
          <w:p w14:paraId="49D076C8" w14:textId="77777777" w:rsidR="001A0C9B" w:rsidRPr="002A11B0" w:rsidRDefault="001A0C9B" w:rsidP="002A11B0">
            <w:pPr>
              <w:spacing w:after="0" w:line="240" w:lineRule="auto"/>
              <w:jc w:val="center"/>
              <w:rPr>
                <w:rFonts w:ascii="Times New Roman" w:eastAsia="Times New Roman" w:hAnsi="Times New Roman" w:cs="Times New Roman"/>
                <w:b/>
                <w:bCs/>
                <w:color w:val="000000"/>
                <w:kern w:val="0"/>
                <w:sz w:val="16"/>
                <w:szCs w:val="16"/>
                <w:lang w:eastAsia="en-IN"/>
                <w14:ligatures w14:val="none"/>
              </w:rPr>
            </w:pPr>
            <w:r w:rsidRPr="002A11B0">
              <w:rPr>
                <w:rFonts w:ascii="Times New Roman" w:eastAsia="Times New Roman" w:hAnsi="Times New Roman" w:cs="Times New Roman"/>
                <w:b/>
                <w:bCs/>
                <w:color w:val="000000"/>
                <w:kern w:val="0"/>
                <w:sz w:val="16"/>
                <w:szCs w:val="16"/>
                <w:lang w:eastAsia="en-IN"/>
                <w14:ligatures w14:val="none"/>
              </w:rPr>
              <w:t>Total</w:t>
            </w:r>
          </w:p>
        </w:tc>
        <w:tc>
          <w:tcPr>
            <w:tcW w:w="723" w:type="dxa"/>
            <w:tcBorders>
              <w:top w:val="nil"/>
              <w:left w:val="nil"/>
              <w:bottom w:val="single" w:sz="4" w:space="0" w:color="auto"/>
              <w:right w:val="single" w:sz="4" w:space="0" w:color="auto"/>
            </w:tcBorders>
            <w:noWrap/>
            <w:vAlign w:val="center"/>
            <w:hideMark/>
          </w:tcPr>
          <w:p w14:paraId="5D69C5B3" w14:textId="4B44FD77" w:rsidR="001A0C9B" w:rsidRPr="002A11B0" w:rsidRDefault="001A0C9B" w:rsidP="002A11B0">
            <w:pPr>
              <w:spacing w:after="0" w:line="240" w:lineRule="auto"/>
              <w:jc w:val="center"/>
              <w:rPr>
                <w:rFonts w:ascii="Times New Roman" w:eastAsia="Times New Roman" w:hAnsi="Times New Roman" w:cs="Times New Roman"/>
                <w:b/>
                <w:bCs/>
                <w:color w:val="000000"/>
                <w:kern w:val="0"/>
                <w:sz w:val="16"/>
                <w:szCs w:val="16"/>
                <w:lang w:eastAsia="en-IN"/>
                <w14:ligatures w14:val="none"/>
              </w:rPr>
            </w:pPr>
            <w:r w:rsidRPr="002A11B0">
              <w:rPr>
                <w:rFonts w:ascii="Times New Roman" w:eastAsia="Times New Roman" w:hAnsi="Times New Roman" w:cs="Times New Roman"/>
                <w:b/>
                <w:bCs/>
                <w:color w:val="000000"/>
                <w:kern w:val="0"/>
                <w:sz w:val="16"/>
                <w:szCs w:val="16"/>
                <w:lang w:eastAsia="en-IN"/>
                <w14:ligatures w14:val="none"/>
              </w:rPr>
              <w:t>Per Capita</w:t>
            </w:r>
          </w:p>
        </w:tc>
        <w:tc>
          <w:tcPr>
            <w:tcW w:w="754" w:type="dxa"/>
            <w:tcBorders>
              <w:top w:val="nil"/>
              <w:left w:val="nil"/>
              <w:bottom w:val="single" w:sz="4" w:space="0" w:color="auto"/>
              <w:right w:val="single" w:sz="4" w:space="0" w:color="auto"/>
            </w:tcBorders>
            <w:noWrap/>
            <w:vAlign w:val="center"/>
            <w:hideMark/>
          </w:tcPr>
          <w:p w14:paraId="3DD24536" w14:textId="77777777" w:rsidR="001A0C9B" w:rsidRPr="002A11B0" w:rsidRDefault="001A0C9B" w:rsidP="002A11B0">
            <w:pPr>
              <w:spacing w:after="0" w:line="240" w:lineRule="auto"/>
              <w:jc w:val="center"/>
              <w:rPr>
                <w:rFonts w:ascii="Times New Roman" w:eastAsia="Times New Roman" w:hAnsi="Times New Roman" w:cs="Times New Roman"/>
                <w:b/>
                <w:bCs/>
                <w:color w:val="000000"/>
                <w:kern w:val="0"/>
                <w:sz w:val="16"/>
                <w:szCs w:val="16"/>
                <w:lang w:eastAsia="en-IN"/>
                <w14:ligatures w14:val="none"/>
              </w:rPr>
            </w:pPr>
            <w:r w:rsidRPr="002A11B0">
              <w:rPr>
                <w:rFonts w:ascii="Times New Roman" w:eastAsia="Times New Roman" w:hAnsi="Times New Roman" w:cs="Times New Roman"/>
                <w:b/>
                <w:bCs/>
                <w:color w:val="000000"/>
                <w:kern w:val="0"/>
                <w:sz w:val="16"/>
                <w:szCs w:val="16"/>
                <w:lang w:eastAsia="en-IN"/>
                <w14:ligatures w14:val="none"/>
              </w:rPr>
              <w:t>Targets (F)</w:t>
            </w:r>
          </w:p>
        </w:tc>
        <w:tc>
          <w:tcPr>
            <w:tcW w:w="981" w:type="dxa"/>
            <w:tcBorders>
              <w:top w:val="nil"/>
              <w:left w:val="nil"/>
              <w:bottom w:val="single" w:sz="4" w:space="0" w:color="auto"/>
              <w:right w:val="single" w:sz="4" w:space="0" w:color="auto"/>
            </w:tcBorders>
            <w:noWrap/>
            <w:vAlign w:val="center"/>
            <w:hideMark/>
          </w:tcPr>
          <w:p w14:paraId="46B5F2A5" w14:textId="77777777" w:rsidR="001A0C9B" w:rsidRPr="002A11B0" w:rsidRDefault="001A0C9B" w:rsidP="002A11B0">
            <w:pPr>
              <w:spacing w:after="0" w:line="240" w:lineRule="auto"/>
              <w:jc w:val="center"/>
              <w:rPr>
                <w:rFonts w:ascii="Times New Roman" w:eastAsia="Times New Roman" w:hAnsi="Times New Roman" w:cs="Times New Roman"/>
                <w:b/>
                <w:bCs/>
                <w:color w:val="000000"/>
                <w:kern w:val="0"/>
                <w:sz w:val="16"/>
                <w:szCs w:val="16"/>
                <w:lang w:eastAsia="en-IN"/>
                <w14:ligatures w14:val="none"/>
              </w:rPr>
            </w:pPr>
            <w:r w:rsidRPr="002A11B0">
              <w:rPr>
                <w:rFonts w:ascii="Times New Roman" w:eastAsia="Times New Roman" w:hAnsi="Times New Roman" w:cs="Times New Roman"/>
                <w:b/>
                <w:bCs/>
                <w:color w:val="000000"/>
                <w:kern w:val="0"/>
                <w:sz w:val="16"/>
                <w:szCs w:val="16"/>
                <w:lang w:eastAsia="en-IN"/>
                <w14:ligatures w14:val="none"/>
              </w:rPr>
              <w:t>Realisation</w:t>
            </w:r>
          </w:p>
        </w:tc>
        <w:tc>
          <w:tcPr>
            <w:tcW w:w="754" w:type="dxa"/>
            <w:tcBorders>
              <w:top w:val="nil"/>
              <w:left w:val="nil"/>
              <w:bottom w:val="single" w:sz="4" w:space="0" w:color="auto"/>
              <w:right w:val="single" w:sz="4" w:space="0" w:color="auto"/>
            </w:tcBorders>
            <w:noWrap/>
            <w:vAlign w:val="center"/>
            <w:hideMark/>
          </w:tcPr>
          <w:p w14:paraId="4D2A8F77" w14:textId="77777777" w:rsidR="001A0C9B" w:rsidRPr="002A11B0" w:rsidRDefault="001A0C9B" w:rsidP="002A11B0">
            <w:pPr>
              <w:spacing w:after="0" w:line="240" w:lineRule="auto"/>
              <w:jc w:val="center"/>
              <w:rPr>
                <w:rFonts w:ascii="Times New Roman" w:eastAsia="Times New Roman" w:hAnsi="Times New Roman" w:cs="Times New Roman"/>
                <w:b/>
                <w:bCs/>
                <w:color w:val="000000"/>
                <w:kern w:val="0"/>
                <w:sz w:val="16"/>
                <w:szCs w:val="16"/>
                <w:lang w:eastAsia="en-IN"/>
                <w14:ligatures w14:val="none"/>
              </w:rPr>
            </w:pPr>
            <w:r w:rsidRPr="002A11B0">
              <w:rPr>
                <w:rFonts w:ascii="Times New Roman" w:eastAsia="Times New Roman" w:hAnsi="Times New Roman" w:cs="Times New Roman"/>
                <w:b/>
                <w:bCs/>
                <w:color w:val="000000"/>
                <w:kern w:val="0"/>
                <w:sz w:val="16"/>
                <w:szCs w:val="16"/>
                <w:lang w:eastAsia="en-IN"/>
                <w14:ligatures w14:val="none"/>
              </w:rPr>
              <w:t>Total</w:t>
            </w:r>
          </w:p>
        </w:tc>
        <w:tc>
          <w:tcPr>
            <w:tcW w:w="723" w:type="dxa"/>
            <w:tcBorders>
              <w:top w:val="nil"/>
              <w:left w:val="nil"/>
              <w:bottom w:val="single" w:sz="4" w:space="0" w:color="auto"/>
              <w:right w:val="single" w:sz="4" w:space="0" w:color="auto"/>
            </w:tcBorders>
            <w:noWrap/>
            <w:vAlign w:val="center"/>
            <w:hideMark/>
          </w:tcPr>
          <w:p w14:paraId="74CE94CE" w14:textId="30BC91C7" w:rsidR="001A0C9B" w:rsidRPr="002A11B0" w:rsidRDefault="001A0C9B" w:rsidP="002A11B0">
            <w:pPr>
              <w:spacing w:after="0" w:line="240" w:lineRule="auto"/>
              <w:jc w:val="center"/>
              <w:rPr>
                <w:rFonts w:ascii="Times New Roman" w:eastAsia="Times New Roman" w:hAnsi="Times New Roman" w:cs="Times New Roman"/>
                <w:b/>
                <w:bCs/>
                <w:color w:val="000000"/>
                <w:kern w:val="0"/>
                <w:sz w:val="16"/>
                <w:szCs w:val="16"/>
                <w:lang w:eastAsia="en-IN"/>
                <w14:ligatures w14:val="none"/>
              </w:rPr>
            </w:pPr>
            <w:r w:rsidRPr="002A11B0">
              <w:rPr>
                <w:rFonts w:ascii="Times New Roman" w:eastAsia="Times New Roman" w:hAnsi="Times New Roman" w:cs="Times New Roman"/>
                <w:b/>
                <w:bCs/>
                <w:color w:val="000000"/>
                <w:kern w:val="0"/>
                <w:sz w:val="16"/>
                <w:szCs w:val="16"/>
                <w:lang w:eastAsia="en-IN"/>
                <w14:ligatures w14:val="none"/>
              </w:rPr>
              <w:t>Per Capita</w:t>
            </w:r>
          </w:p>
        </w:tc>
      </w:tr>
      <w:tr w:rsidR="001A0C9B" w:rsidRPr="001A0C9B" w14:paraId="556BA0F2" w14:textId="77777777" w:rsidTr="002A11B0">
        <w:trPr>
          <w:trHeight w:val="166"/>
          <w:jc w:val="center"/>
        </w:trPr>
        <w:tc>
          <w:tcPr>
            <w:tcW w:w="1051" w:type="dxa"/>
            <w:tcBorders>
              <w:top w:val="nil"/>
              <w:left w:val="single" w:sz="4" w:space="0" w:color="auto"/>
              <w:bottom w:val="single" w:sz="4" w:space="0" w:color="auto"/>
              <w:right w:val="single" w:sz="4" w:space="0" w:color="auto"/>
            </w:tcBorders>
            <w:noWrap/>
            <w:vAlign w:val="center"/>
            <w:hideMark/>
          </w:tcPr>
          <w:p w14:paraId="2077E070" w14:textId="77777777" w:rsidR="001A0C9B" w:rsidRPr="001A0C9B" w:rsidRDefault="001A0C9B" w:rsidP="001A0C9B">
            <w:pPr>
              <w:spacing w:after="0" w:line="240" w:lineRule="auto"/>
              <w:rPr>
                <w:rFonts w:ascii="Times New Roman" w:eastAsia="Times New Roman" w:hAnsi="Times New Roman" w:cs="Times New Roman"/>
                <w:color w:val="000000"/>
                <w:kern w:val="0"/>
                <w:sz w:val="16"/>
                <w:szCs w:val="16"/>
                <w:lang w:eastAsia="en-IN"/>
                <w14:ligatures w14:val="none"/>
              </w:rPr>
            </w:pPr>
            <w:r w:rsidRPr="001A0C9B">
              <w:rPr>
                <w:rFonts w:ascii="Times New Roman" w:eastAsia="Times New Roman" w:hAnsi="Times New Roman" w:cs="Times New Roman"/>
                <w:color w:val="000000"/>
                <w:kern w:val="0"/>
                <w:sz w:val="16"/>
                <w:szCs w:val="16"/>
                <w:lang w:eastAsia="en-IN"/>
                <w14:ligatures w14:val="none"/>
              </w:rPr>
              <w:t> </w:t>
            </w:r>
          </w:p>
        </w:tc>
        <w:tc>
          <w:tcPr>
            <w:tcW w:w="669" w:type="dxa"/>
            <w:tcBorders>
              <w:top w:val="nil"/>
              <w:left w:val="nil"/>
              <w:bottom w:val="single" w:sz="4" w:space="0" w:color="auto"/>
              <w:right w:val="single" w:sz="4" w:space="0" w:color="auto"/>
            </w:tcBorders>
            <w:noWrap/>
            <w:vAlign w:val="center"/>
            <w:hideMark/>
          </w:tcPr>
          <w:p w14:paraId="31E9E1EF" w14:textId="77777777" w:rsidR="001A0C9B" w:rsidRPr="001A0C9B" w:rsidRDefault="001A0C9B" w:rsidP="001A0C9B">
            <w:pPr>
              <w:spacing w:after="0" w:line="240" w:lineRule="auto"/>
              <w:jc w:val="right"/>
              <w:rPr>
                <w:rFonts w:ascii="Times New Roman" w:eastAsia="Times New Roman" w:hAnsi="Times New Roman" w:cs="Times New Roman"/>
                <w:color w:val="000000"/>
                <w:kern w:val="0"/>
                <w:sz w:val="16"/>
                <w:szCs w:val="16"/>
                <w:lang w:eastAsia="en-IN"/>
                <w14:ligatures w14:val="none"/>
              </w:rPr>
            </w:pPr>
            <w:r w:rsidRPr="001A0C9B">
              <w:rPr>
                <w:rFonts w:ascii="Times New Roman" w:eastAsia="Times New Roman" w:hAnsi="Times New Roman" w:cs="Times New Roman"/>
                <w:color w:val="000000"/>
                <w:kern w:val="0"/>
                <w:sz w:val="16"/>
                <w:szCs w:val="16"/>
                <w:lang w:eastAsia="en-IN"/>
                <w14:ligatures w14:val="none"/>
              </w:rPr>
              <w:t>1</w:t>
            </w:r>
          </w:p>
        </w:tc>
        <w:tc>
          <w:tcPr>
            <w:tcW w:w="723" w:type="dxa"/>
            <w:tcBorders>
              <w:top w:val="nil"/>
              <w:left w:val="nil"/>
              <w:bottom w:val="single" w:sz="4" w:space="0" w:color="auto"/>
              <w:right w:val="single" w:sz="4" w:space="0" w:color="auto"/>
            </w:tcBorders>
            <w:noWrap/>
            <w:vAlign w:val="center"/>
            <w:hideMark/>
          </w:tcPr>
          <w:p w14:paraId="748D5EF8" w14:textId="77777777" w:rsidR="001A0C9B" w:rsidRPr="001A0C9B" w:rsidRDefault="001A0C9B" w:rsidP="001A0C9B">
            <w:pPr>
              <w:spacing w:after="0" w:line="240" w:lineRule="auto"/>
              <w:jc w:val="right"/>
              <w:rPr>
                <w:rFonts w:ascii="Times New Roman" w:eastAsia="Times New Roman" w:hAnsi="Times New Roman" w:cs="Times New Roman"/>
                <w:color w:val="000000"/>
                <w:kern w:val="0"/>
                <w:sz w:val="16"/>
                <w:szCs w:val="16"/>
                <w:lang w:eastAsia="en-IN"/>
                <w14:ligatures w14:val="none"/>
              </w:rPr>
            </w:pPr>
            <w:r w:rsidRPr="001A0C9B">
              <w:rPr>
                <w:rFonts w:ascii="Times New Roman" w:eastAsia="Times New Roman" w:hAnsi="Times New Roman" w:cs="Times New Roman"/>
                <w:color w:val="000000"/>
                <w:kern w:val="0"/>
                <w:sz w:val="16"/>
                <w:szCs w:val="16"/>
                <w:lang w:eastAsia="en-IN"/>
                <w14:ligatures w14:val="none"/>
              </w:rPr>
              <w:t>2</w:t>
            </w:r>
          </w:p>
        </w:tc>
        <w:tc>
          <w:tcPr>
            <w:tcW w:w="773" w:type="dxa"/>
            <w:tcBorders>
              <w:top w:val="nil"/>
              <w:left w:val="nil"/>
              <w:bottom w:val="single" w:sz="4" w:space="0" w:color="auto"/>
              <w:right w:val="single" w:sz="4" w:space="0" w:color="auto"/>
            </w:tcBorders>
            <w:noWrap/>
            <w:vAlign w:val="center"/>
            <w:hideMark/>
          </w:tcPr>
          <w:p w14:paraId="6E81456E" w14:textId="77777777" w:rsidR="001A0C9B" w:rsidRPr="001A0C9B" w:rsidRDefault="001A0C9B" w:rsidP="001A0C9B">
            <w:pPr>
              <w:spacing w:after="0" w:line="240" w:lineRule="auto"/>
              <w:jc w:val="right"/>
              <w:rPr>
                <w:rFonts w:ascii="Times New Roman" w:eastAsia="Times New Roman" w:hAnsi="Times New Roman" w:cs="Times New Roman"/>
                <w:color w:val="000000"/>
                <w:kern w:val="0"/>
                <w:sz w:val="16"/>
                <w:szCs w:val="16"/>
                <w:lang w:eastAsia="en-IN"/>
                <w14:ligatures w14:val="none"/>
              </w:rPr>
            </w:pPr>
            <w:r w:rsidRPr="001A0C9B">
              <w:rPr>
                <w:rFonts w:ascii="Times New Roman" w:eastAsia="Times New Roman" w:hAnsi="Times New Roman" w:cs="Times New Roman"/>
                <w:color w:val="000000"/>
                <w:kern w:val="0"/>
                <w:sz w:val="16"/>
                <w:szCs w:val="16"/>
                <w:lang w:eastAsia="en-IN"/>
                <w14:ligatures w14:val="none"/>
              </w:rPr>
              <w:t>3</w:t>
            </w:r>
          </w:p>
        </w:tc>
        <w:tc>
          <w:tcPr>
            <w:tcW w:w="981" w:type="dxa"/>
            <w:tcBorders>
              <w:top w:val="nil"/>
              <w:left w:val="nil"/>
              <w:bottom w:val="single" w:sz="4" w:space="0" w:color="auto"/>
              <w:right w:val="single" w:sz="4" w:space="0" w:color="auto"/>
            </w:tcBorders>
            <w:noWrap/>
            <w:vAlign w:val="center"/>
            <w:hideMark/>
          </w:tcPr>
          <w:p w14:paraId="7051782E" w14:textId="77777777" w:rsidR="001A0C9B" w:rsidRPr="001A0C9B" w:rsidRDefault="001A0C9B" w:rsidP="001A0C9B">
            <w:pPr>
              <w:spacing w:after="0" w:line="240" w:lineRule="auto"/>
              <w:jc w:val="right"/>
              <w:rPr>
                <w:rFonts w:ascii="Times New Roman" w:eastAsia="Times New Roman" w:hAnsi="Times New Roman" w:cs="Times New Roman"/>
                <w:color w:val="000000"/>
                <w:kern w:val="0"/>
                <w:sz w:val="16"/>
                <w:szCs w:val="16"/>
                <w:lang w:eastAsia="en-IN"/>
                <w14:ligatures w14:val="none"/>
              </w:rPr>
            </w:pPr>
            <w:r w:rsidRPr="001A0C9B">
              <w:rPr>
                <w:rFonts w:ascii="Times New Roman" w:eastAsia="Times New Roman" w:hAnsi="Times New Roman" w:cs="Times New Roman"/>
                <w:color w:val="000000"/>
                <w:kern w:val="0"/>
                <w:sz w:val="16"/>
                <w:szCs w:val="16"/>
                <w:lang w:eastAsia="en-IN"/>
                <w14:ligatures w14:val="none"/>
              </w:rPr>
              <w:t>4</w:t>
            </w:r>
          </w:p>
        </w:tc>
        <w:tc>
          <w:tcPr>
            <w:tcW w:w="669" w:type="dxa"/>
            <w:tcBorders>
              <w:top w:val="nil"/>
              <w:left w:val="nil"/>
              <w:bottom w:val="single" w:sz="4" w:space="0" w:color="auto"/>
              <w:right w:val="single" w:sz="4" w:space="0" w:color="auto"/>
            </w:tcBorders>
            <w:noWrap/>
            <w:vAlign w:val="center"/>
            <w:hideMark/>
          </w:tcPr>
          <w:p w14:paraId="007C7A38" w14:textId="77777777" w:rsidR="001A0C9B" w:rsidRPr="001A0C9B" w:rsidRDefault="001A0C9B" w:rsidP="001A0C9B">
            <w:pPr>
              <w:spacing w:after="0" w:line="240" w:lineRule="auto"/>
              <w:jc w:val="right"/>
              <w:rPr>
                <w:rFonts w:ascii="Times New Roman" w:eastAsia="Times New Roman" w:hAnsi="Times New Roman" w:cs="Times New Roman"/>
                <w:color w:val="000000"/>
                <w:kern w:val="0"/>
                <w:sz w:val="16"/>
                <w:szCs w:val="16"/>
                <w:lang w:eastAsia="en-IN"/>
                <w14:ligatures w14:val="none"/>
              </w:rPr>
            </w:pPr>
            <w:r w:rsidRPr="001A0C9B">
              <w:rPr>
                <w:rFonts w:ascii="Times New Roman" w:eastAsia="Times New Roman" w:hAnsi="Times New Roman" w:cs="Times New Roman"/>
                <w:color w:val="000000"/>
                <w:kern w:val="0"/>
                <w:sz w:val="16"/>
                <w:szCs w:val="16"/>
                <w:lang w:eastAsia="en-IN"/>
                <w14:ligatures w14:val="none"/>
              </w:rPr>
              <w:t>5</w:t>
            </w:r>
          </w:p>
        </w:tc>
        <w:tc>
          <w:tcPr>
            <w:tcW w:w="679" w:type="dxa"/>
            <w:tcBorders>
              <w:top w:val="nil"/>
              <w:left w:val="nil"/>
              <w:bottom w:val="single" w:sz="4" w:space="0" w:color="auto"/>
              <w:right w:val="single" w:sz="4" w:space="0" w:color="auto"/>
            </w:tcBorders>
            <w:noWrap/>
            <w:vAlign w:val="center"/>
            <w:hideMark/>
          </w:tcPr>
          <w:p w14:paraId="42697369" w14:textId="77777777" w:rsidR="001A0C9B" w:rsidRPr="001A0C9B" w:rsidRDefault="001A0C9B" w:rsidP="001A0C9B">
            <w:pPr>
              <w:spacing w:after="0" w:line="240" w:lineRule="auto"/>
              <w:jc w:val="right"/>
              <w:rPr>
                <w:rFonts w:ascii="Times New Roman" w:eastAsia="Times New Roman" w:hAnsi="Times New Roman" w:cs="Times New Roman"/>
                <w:color w:val="000000"/>
                <w:kern w:val="0"/>
                <w:sz w:val="16"/>
                <w:szCs w:val="16"/>
                <w:lang w:eastAsia="en-IN"/>
                <w14:ligatures w14:val="none"/>
              </w:rPr>
            </w:pPr>
            <w:r w:rsidRPr="001A0C9B">
              <w:rPr>
                <w:rFonts w:ascii="Times New Roman" w:eastAsia="Times New Roman" w:hAnsi="Times New Roman" w:cs="Times New Roman"/>
                <w:color w:val="000000"/>
                <w:kern w:val="0"/>
                <w:sz w:val="16"/>
                <w:szCs w:val="16"/>
                <w:lang w:eastAsia="en-IN"/>
                <w14:ligatures w14:val="none"/>
              </w:rPr>
              <w:t>6</w:t>
            </w:r>
          </w:p>
        </w:tc>
        <w:tc>
          <w:tcPr>
            <w:tcW w:w="773" w:type="dxa"/>
            <w:tcBorders>
              <w:top w:val="nil"/>
              <w:left w:val="nil"/>
              <w:bottom w:val="single" w:sz="4" w:space="0" w:color="auto"/>
              <w:right w:val="single" w:sz="4" w:space="0" w:color="auto"/>
            </w:tcBorders>
            <w:noWrap/>
            <w:vAlign w:val="center"/>
            <w:hideMark/>
          </w:tcPr>
          <w:p w14:paraId="627D5E68" w14:textId="77777777" w:rsidR="001A0C9B" w:rsidRPr="001A0C9B" w:rsidRDefault="001A0C9B" w:rsidP="001A0C9B">
            <w:pPr>
              <w:spacing w:after="0" w:line="240" w:lineRule="auto"/>
              <w:jc w:val="right"/>
              <w:rPr>
                <w:rFonts w:ascii="Times New Roman" w:eastAsia="Times New Roman" w:hAnsi="Times New Roman" w:cs="Times New Roman"/>
                <w:color w:val="000000"/>
                <w:kern w:val="0"/>
                <w:sz w:val="16"/>
                <w:szCs w:val="16"/>
                <w:lang w:eastAsia="en-IN"/>
                <w14:ligatures w14:val="none"/>
              </w:rPr>
            </w:pPr>
            <w:r w:rsidRPr="001A0C9B">
              <w:rPr>
                <w:rFonts w:ascii="Times New Roman" w:eastAsia="Times New Roman" w:hAnsi="Times New Roman" w:cs="Times New Roman"/>
                <w:color w:val="000000"/>
                <w:kern w:val="0"/>
                <w:sz w:val="16"/>
                <w:szCs w:val="16"/>
                <w:lang w:eastAsia="en-IN"/>
                <w14:ligatures w14:val="none"/>
              </w:rPr>
              <w:t>7</w:t>
            </w:r>
          </w:p>
        </w:tc>
        <w:tc>
          <w:tcPr>
            <w:tcW w:w="981" w:type="dxa"/>
            <w:tcBorders>
              <w:top w:val="nil"/>
              <w:left w:val="nil"/>
              <w:bottom w:val="single" w:sz="4" w:space="0" w:color="auto"/>
              <w:right w:val="single" w:sz="4" w:space="0" w:color="auto"/>
            </w:tcBorders>
            <w:noWrap/>
            <w:vAlign w:val="center"/>
            <w:hideMark/>
          </w:tcPr>
          <w:p w14:paraId="7E9BAA39" w14:textId="77777777" w:rsidR="001A0C9B" w:rsidRPr="001A0C9B" w:rsidRDefault="001A0C9B" w:rsidP="001A0C9B">
            <w:pPr>
              <w:spacing w:after="0" w:line="240" w:lineRule="auto"/>
              <w:jc w:val="right"/>
              <w:rPr>
                <w:rFonts w:ascii="Times New Roman" w:eastAsia="Times New Roman" w:hAnsi="Times New Roman" w:cs="Times New Roman"/>
                <w:color w:val="000000"/>
                <w:kern w:val="0"/>
                <w:sz w:val="16"/>
                <w:szCs w:val="16"/>
                <w:lang w:eastAsia="en-IN"/>
                <w14:ligatures w14:val="none"/>
              </w:rPr>
            </w:pPr>
            <w:r w:rsidRPr="001A0C9B">
              <w:rPr>
                <w:rFonts w:ascii="Times New Roman" w:eastAsia="Times New Roman" w:hAnsi="Times New Roman" w:cs="Times New Roman"/>
                <w:color w:val="000000"/>
                <w:kern w:val="0"/>
                <w:sz w:val="16"/>
                <w:szCs w:val="16"/>
                <w:lang w:eastAsia="en-IN"/>
                <w14:ligatures w14:val="none"/>
              </w:rPr>
              <w:t>8</w:t>
            </w:r>
          </w:p>
        </w:tc>
        <w:tc>
          <w:tcPr>
            <w:tcW w:w="782" w:type="dxa"/>
            <w:tcBorders>
              <w:top w:val="nil"/>
              <w:left w:val="nil"/>
              <w:bottom w:val="single" w:sz="4" w:space="0" w:color="auto"/>
              <w:right w:val="single" w:sz="4" w:space="0" w:color="auto"/>
            </w:tcBorders>
            <w:noWrap/>
            <w:vAlign w:val="center"/>
            <w:hideMark/>
          </w:tcPr>
          <w:p w14:paraId="34DE42DF" w14:textId="77777777" w:rsidR="001A0C9B" w:rsidRPr="001A0C9B" w:rsidRDefault="001A0C9B" w:rsidP="001A0C9B">
            <w:pPr>
              <w:spacing w:after="0" w:line="240" w:lineRule="auto"/>
              <w:jc w:val="right"/>
              <w:rPr>
                <w:rFonts w:ascii="Times New Roman" w:eastAsia="Times New Roman" w:hAnsi="Times New Roman" w:cs="Times New Roman"/>
                <w:color w:val="000000"/>
                <w:kern w:val="0"/>
                <w:sz w:val="16"/>
                <w:szCs w:val="16"/>
                <w:lang w:eastAsia="en-IN"/>
                <w14:ligatures w14:val="none"/>
              </w:rPr>
            </w:pPr>
            <w:r w:rsidRPr="001A0C9B">
              <w:rPr>
                <w:rFonts w:ascii="Times New Roman" w:eastAsia="Times New Roman" w:hAnsi="Times New Roman" w:cs="Times New Roman"/>
                <w:color w:val="000000"/>
                <w:kern w:val="0"/>
                <w:sz w:val="16"/>
                <w:szCs w:val="16"/>
                <w:lang w:eastAsia="en-IN"/>
                <w14:ligatures w14:val="none"/>
              </w:rPr>
              <w:t>9</w:t>
            </w:r>
          </w:p>
        </w:tc>
        <w:tc>
          <w:tcPr>
            <w:tcW w:w="723" w:type="dxa"/>
            <w:tcBorders>
              <w:top w:val="nil"/>
              <w:left w:val="nil"/>
              <w:bottom w:val="single" w:sz="4" w:space="0" w:color="auto"/>
              <w:right w:val="single" w:sz="4" w:space="0" w:color="auto"/>
            </w:tcBorders>
            <w:noWrap/>
            <w:vAlign w:val="center"/>
            <w:hideMark/>
          </w:tcPr>
          <w:p w14:paraId="4DB829B8" w14:textId="77777777" w:rsidR="001A0C9B" w:rsidRPr="001A0C9B" w:rsidRDefault="001A0C9B" w:rsidP="001A0C9B">
            <w:pPr>
              <w:spacing w:after="0" w:line="240" w:lineRule="auto"/>
              <w:jc w:val="right"/>
              <w:rPr>
                <w:rFonts w:ascii="Times New Roman" w:eastAsia="Times New Roman" w:hAnsi="Times New Roman" w:cs="Times New Roman"/>
                <w:color w:val="000000"/>
                <w:kern w:val="0"/>
                <w:sz w:val="16"/>
                <w:szCs w:val="16"/>
                <w:lang w:eastAsia="en-IN"/>
                <w14:ligatures w14:val="none"/>
              </w:rPr>
            </w:pPr>
            <w:r w:rsidRPr="001A0C9B">
              <w:rPr>
                <w:rFonts w:ascii="Times New Roman" w:eastAsia="Times New Roman" w:hAnsi="Times New Roman" w:cs="Times New Roman"/>
                <w:color w:val="000000"/>
                <w:kern w:val="0"/>
                <w:sz w:val="16"/>
                <w:szCs w:val="16"/>
                <w:lang w:eastAsia="en-IN"/>
                <w14:ligatures w14:val="none"/>
              </w:rPr>
              <w:t>10</w:t>
            </w:r>
          </w:p>
        </w:tc>
        <w:tc>
          <w:tcPr>
            <w:tcW w:w="741" w:type="dxa"/>
            <w:tcBorders>
              <w:top w:val="nil"/>
              <w:left w:val="nil"/>
              <w:bottom w:val="single" w:sz="4" w:space="0" w:color="auto"/>
              <w:right w:val="single" w:sz="4" w:space="0" w:color="auto"/>
            </w:tcBorders>
            <w:noWrap/>
            <w:vAlign w:val="center"/>
            <w:hideMark/>
          </w:tcPr>
          <w:p w14:paraId="2D256757" w14:textId="77777777" w:rsidR="001A0C9B" w:rsidRPr="001A0C9B" w:rsidRDefault="001A0C9B" w:rsidP="001A0C9B">
            <w:pPr>
              <w:spacing w:after="0" w:line="240" w:lineRule="auto"/>
              <w:jc w:val="right"/>
              <w:rPr>
                <w:rFonts w:ascii="Times New Roman" w:eastAsia="Times New Roman" w:hAnsi="Times New Roman" w:cs="Times New Roman"/>
                <w:color w:val="000000"/>
                <w:kern w:val="0"/>
                <w:sz w:val="16"/>
                <w:szCs w:val="16"/>
                <w:lang w:eastAsia="en-IN"/>
                <w14:ligatures w14:val="none"/>
              </w:rPr>
            </w:pPr>
            <w:r w:rsidRPr="001A0C9B">
              <w:rPr>
                <w:rFonts w:ascii="Times New Roman" w:eastAsia="Times New Roman" w:hAnsi="Times New Roman" w:cs="Times New Roman"/>
                <w:color w:val="000000"/>
                <w:kern w:val="0"/>
                <w:sz w:val="16"/>
                <w:szCs w:val="16"/>
                <w:lang w:eastAsia="en-IN"/>
                <w14:ligatures w14:val="none"/>
              </w:rPr>
              <w:t>11</w:t>
            </w:r>
          </w:p>
        </w:tc>
        <w:tc>
          <w:tcPr>
            <w:tcW w:w="981" w:type="dxa"/>
            <w:tcBorders>
              <w:top w:val="nil"/>
              <w:left w:val="nil"/>
              <w:bottom w:val="single" w:sz="4" w:space="0" w:color="auto"/>
              <w:right w:val="single" w:sz="4" w:space="0" w:color="auto"/>
            </w:tcBorders>
            <w:noWrap/>
            <w:vAlign w:val="center"/>
            <w:hideMark/>
          </w:tcPr>
          <w:p w14:paraId="0EFA32E0" w14:textId="77777777" w:rsidR="001A0C9B" w:rsidRPr="001A0C9B" w:rsidRDefault="001A0C9B" w:rsidP="001A0C9B">
            <w:pPr>
              <w:spacing w:after="0" w:line="240" w:lineRule="auto"/>
              <w:jc w:val="right"/>
              <w:rPr>
                <w:rFonts w:ascii="Times New Roman" w:eastAsia="Times New Roman" w:hAnsi="Times New Roman" w:cs="Times New Roman"/>
                <w:color w:val="000000"/>
                <w:kern w:val="0"/>
                <w:sz w:val="16"/>
                <w:szCs w:val="16"/>
                <w:lang w:eastAsia="en-IN"/>
                <w14:ligatures w14:val="none"/>
              </w:rPr>
            </w:pPr>
            <w:r w:rsidRPr="001A0C9B">
              <w:rPr>
                <w:rFonts w:ascii="Times New Roman" w:eastAsia="Times New Roman" w:hAnsi="Times New Roman" w:cs="Times New Roman"/>
                <w:color w:val="000000"/>
                <w:kern w:val="0"/>
                <w:sz w:val="16"/>
                <w:szCs w:val="16"/>
                <w:lang w:eastAsia="en-IN"/>
                <w14:ligatures w14:val="none"/>
              </w:rPr>
              <w:t>12</w:t>
            </w:r>
          </w:p>
        </w:tc>
        <w:tc>
          <w:tcPr>
            <w:tcW w:w="754" w:type="dxa"/>
            <w:tcBorders>
              <w:top w:val="nil"/>
              <w:left w:val="nil"/>
              <w:bottom w:val="single" w:sz="4" w:space="0" w:color="auto"/>
              <w:right w:val="single" w:sz="4" w:space="0" w:color="auto"/>
            </w:tcBorders>
            <w:noWrap/>
            <w:vAlign w:val="center"/>
            <w:hideMark/>
          </w:tcPr>
          <w:p w14:paraId="2F7E6CAE" w14:textId="77777777" w:rsidR="001A0C9B" w:rsidRPr="001A0C9B" w:rsidRDefault="001A0C9B" w:rsidP="001A0C9B">
            <w:pPr>
              <w:spacing w:after="0" w:line="240" w:lineRule="auto"/>
              <w:jc w:val="right"/>
              <w:rPr>
                <w:rFonts w:ascii="Times New Roman" w:eastAsia="Times New Roman" w:hAnsi="Times New Roman" w:cs="Times New Roman"/>
                <w:color w:val="000000"/>
                <w:kern w:val="0"/>
                <w:sz w:val="16"/>
                <w:szCs w:val="16"/>
                <w:lang w:eastAsia="en-IN"/>
                <w14:ligatures w14:val="none"/>
              </w:rPr>
            </w:pPr>
            <w:r w:rsidRPr="001A0C9B">
              <w:rPr>
                <w:rFonts w:ascii="Times New Roman" w:eastAsia="Times New Roman" w:hAnsi="Times New Roman" w:cs="Times New Roman"/>
                <w:color w:val="000000"/>
                <w:kern w:val="0"/>
                <w:sz w:val="16"/>
                <w:szCs w:val="16"/>
                <w:lang w:eastAsia="en-IN"/>
                <w14:ligatures w14:val="none"/>
              </w:rPr>
              <w:t>13</w:t>
            </w:r>
          </w:p>
        </w:tc>
        <w:tc>
          <w:tcPr>
            <w:tcW w:w="723" w:type="dxa"/>
            <w:tcBorders>
              <w:top w:val="nil"/>
              <w:left w:val="nil"/>
              <w:bottom w:val="single" w:sz="4" w:space="0" w:color="auto"/>
              <w:right w:val="single" w:sz="4" w:space="0" w:color="auto"/>
            </w:tcBorders>
            <w:noWrap/>
            <w:vAlign w:val="center"/>
            <w:hideMark/>
          </w:tcPr>
          <w:p w14:paraId="201C169F" w14:textId="77777777" w:rsidR="001A0C9B" w:rsidRPr="001A0C9B" w:rsidRDefault="001A0C9B" w:rsidP="001A0C9B">
            <w:pPr>
              <w:spacing w:after="0" w:line="240" w:lineRule="auto"/>
              <w:jc w:val="right"/>
              <w:rPr>
                <w:rFonts w:ascii="Times New Roman" w:eastAsia="Times New Roman" w:hAnsi="Times New Roman" w:cs="Times New Roman"/>
                <w:color w:val="000000"/>
                <w:kern w:val="0"/>
                <w:sz w:val="16"/>
                <w:szCs w:val="16"/>
                <w:lang w:eastAsia="en-IN"/>
                <w14:ligatures w14:val="none"/>
              </w:rPr>
            </w:pPr>
            <w:r w:rsidRPr="001A0C9B">
              <w:rPr>
                <w:rFonts w:ascii="Times New Roman" w:eastAsia="Times New Roman" w:hAnsi="Times New Roman" w:cs="Times New Roman"/>
                <w:color w:val="000000"/>
                <w:kern w:val="0"/>
                <w:sz w:val="16"/>
                <w:szCs w:val="16"/>
                <w:lang w:eastAsia="en-IN"/>
                <w14:ligatures w14:val="none"/>
              </w:rPr>
              <w:t>14</w:t>
            </w:r>
          </w:p>
        </w:tc>
        <w:tc>
          <w:tcPr>
            <w:tcW w:w="754" w:type="dxa"/>
            <w:tcBorders>
              <w:top w:val="nil"/>
              <w:left w:val="nil"/>
              <w:bottom w:val="single" w:sz="4" w:space="0" w:color="auto"/>
              <w:right w:val="single" w:sz="4" w:space="0" w:color="auto"/>
            </w:tcBorders>
            <w:noWrap/>
            <w:vAlign w:val="center"/>
            <w:hideMark/>
          </w:tcPr>
          <w:p w14:paraId="709C8935" w14:textId="77777777" w:rsidR="001A0C9B" w:rsidRPr="001A0C9B" w:rsidRDefault="001A0C9B" w:rsidP="001A0C9B">
            <w:pPr>
              <w:spacing w:after="0" w:line="240" w:lineRule="auto"/>
              <w:jc w:val="right"/>
              <w:rPr>
                <w:rFonts w:ascii="Times New Roman" w:eastAsia="Times New Roman" w:hAnsi="Times New Roman" w:cs="Times New Roman"/>
                <w:color w:val="000000"/>
                <w:kern w:val="0"/>
                <w:sz w:val="16"/>
                <w:szCs w:val="16"/>
                <w:lang w:eastAsia="en-IN"/>
                <w14:ligatures w14:val="none"/>
              </w:rPr>
            </w:pPr>
            <w:r w:rsidRPr="001A0C9B">
              <w:rPr>
                <w:rFonts w:ascii="Times New Roman" w:eastAsia="Times New Roman" w:hAnsi="Times New Roman" w:cs="Times New Roman"/>
                <w:color w:val="000000"/>
                <w:kern w:val="0"/>
                <w:sz w:val="16"/>
                <w:szCs w:val="16"/>
                <w:lang w:eastAsia="en-IN"/>
                <w14:ligatures w14:val="none"/>
              </w:rPr>
              <w:t>15</w:t>
            </w:r>
          </w:p>
        </w:tc>
        <w:tc>
          <w:tcPr>
            <w:tcW w:w="981" w:type="dxa"/>
            <w:tcBorders>
              <w:top w:val="nil"/>
              <w:left w:val="nil"/>
              <w:bottom w:val="single" w:sz="4" w:space="0" w:color="auto"/>
              <w:right w:val="single" w:sz="4" w:space="0" w:color="auto"/>
            </w:tcBorders>
            <w:noWrap/>
            <w:vAlign w:val="center"/>
            <w:hideMark/>
          </w:tcPr>
          <w:p w14:paraId="40489FFA" w14:textId="77777777" w:rsidR="001A0C9B" w:rsidRPr="001A0C9B" w:rsidRDefault="001A0C9B" w:rsidP="001A0C9B">
            <w:pPr>
              <w:spacing w:after="0" w:line="240" w:lineRule="auto"/>
              <w:jc w:val="right"/>
              <w:rPr>
                <w:rFonts w:ascii="Times New Roman" w:eastAsia="Times New Roman" w:hAnsi="Times New Roman" w:cs="Times New Roman"/>
                <w:color w:val="000000"/>
                <w:kern w:val="0"/>
                <w:sz w:val="16"/>
                <w:szCs w:val="16"/>
                <w:lang w:eastAsia="en-IN"/>
                <w14:ligatures w14:val="none"/>
              </w:rPr>
            </w:pPr>
            <w:r w:rsidRPr="001A0C9B">
              <w:rPr>
                <w:rFonts w:ascii="Times New Roman" w:eastAsia="Times New Roman" w:hAnsi="Times New Roman" w:cs="Times New Roman"/>
                <w:color w:val="000000"/>
                <w:kern w:val="0"/>
                <w:sz w:val="16"/>
                <w:szCs w:val="16"/>
                <w:lang w:eastAsia="en-IN"/>
                <w14:ligatures w14:val="none"/>
              </w:rPr>
              <w:t>16</w:t>
            </w:r>
          </w:p>
        </w:tc>
        <w:tc>
          <w:tcPr>
            <w:tcW w:w="754" w:type="dxa"/>
            <w:tcBorders>
              <w:top w:val="nil"/>
              <w:left w:val="nil"/>
              <w:bottom w:val="single" w:sz="4" w:space="0" w:color="auto"/>
              <w:right w:val="single" w:sz="4" w:space="0" w:color="auto"/>
            </w:tcBorders>
            <w:noWrap/>
            <w:vAlign w:val="center"/>
            <w:hideMark/>
          </w:tcPr>
          <w:p w14:paraId="3D2E1F0D" w14:textId="77777777" w:rsidR="001A0C9B" w:rsidRPr="001A0C9B" w:rsidRDefault="001A0C9B" w:rsidP="001A0C9B">
            <w:pPr>
              <w:spacing w:after="0" w:line="240" w:lineRule="auto"/>
              <w:jc w:val="right"/>
              <w:rPr>
                <w:rFonts w:ascii="Times New Roman" w:eastAsia="Times New Roman" w:hAnsi="Times New Roman" w:cs="Times New Roman"/>
                <w:color w:val="000000"/>
                <w:kern w:val="0"/>
                <w:sz w:val="16"/>
                <w:szCs w:val="16"/>
                <w:lang w:eastAsia="en-IN"/>
                <w14:ligatures w14:val="none"/>
              </w:rPr>
            </w:pPr>
            <w:r w:rsidRPr="001A0C9B">
              <w:rPr>
                <w:rFonts w:ascii="Times New Roman" w:eastAsia="Times New Roman" w:hAnsi="Times New Roman" w:cs="Times New Roman"/>
                <w:color w:val="000000"/>
                <w:kern w:val="0"/>
                <w:sz w:val="16"/>
                <w:szCs w:val="16"/>
                <w:lang w:eastAsia="en-IN"/>
                <w14:ligatures w14:val="none"/>
              </w:rPr>
              <w:t>17</w:t>
            </w:r>
          </w:p>
        </w:tc>
        <w:tc>
          <w:tcPr>
            <w:tcW w:w="723" w:type="dxa"/>
            <w:tcBorders>
              <w:top w:val="nil"/>
              <w:left w:val="nil"/>
              <w:bottom w:val="single" w:sz="4" w:space="0" w:color="auto"/>
              <w:right w:val="single" w:sz="4" w:space="0" w:color="auto"/>
            </w:tcBorders>
            <w:noWrap/>
            <w:vAlign w:val="center"/>
            <w:hideMark/>
          </w:tcPr>
          <w:p w14:paraId="2D69F869" w14:textId="77777777" w:rsidR="001A0C9B" w:rsidRPr="001A0C9B" w:rsidRDefault="001A0C9B" w:rsidP="001A0C9B">
            <w:pPr>
              <w:spacing w:after="0" w:line="240" w:lineRule="auto"/>
              <w:jc w:val="right"/>
              <w:rPr>
                <w:rFonts w:ascii="Times New Roman" w:eastAsia="Times New Roman" w:hAnsi="Times New Roman" w:cs="Times New Roman"/>
                <w:color w:val="000000"/>
                <w:kern w:val="0"/>
                <w:sz w:val="16"/>
                <w:szCs w:val="16"/>
                <w:lang w:eastAsia="en-IN"/>
                <w14:ligatures w14:val="none"/>
              </w:rPr>
            </w:pPr>
            <w:r w:rsidRPr="001A0C9B">
              <w:rPr>
                <w:rFonts w:ascii="Times New Roman" w:eastAsia="Times New Roman" w:hAnsi="Times New Roman" w:cs="Times New Roman"/>
                <w:color w:val="000000"/>
                <w:kern w:val="0"/>
                <w:sz w:val="16"/>
                <w:szCs w:val="16"/>
                <w:lang w:eastAsia="en-IN"/>
                <w14:ligatures w14:val="none"/>
              </w:rPr>
              <w:t>18</w:t>
            </w:r>
          </w:p>
        </w:tc>
      </w:tr>
      <w:tr w:rsidR="001A0C9B" w:rsidRPr="001A0C9B" w14:paraId="08200E5B" w14:textId="77777777" w:rsidTr="002A11B0">
        <w:trPr>
          <w:trHeight w:val="166"/>
          <w:jc w:val="center"/>
        </w:trPr>
        <w:tc>
          <w:tcPr>
            <w:tcW w:w="1051" w:type="dxa"/>
            <w:tcBorders>
              <w:top w:val="nil"/>
              <w:left w:val="single" w:sz="4" w:space="0" w:color="auto"/>
              <w:bottom w:val="single" w:sz="4" w:space="0" w:color="auto"/>
              <w:right w:val="single" w:sz="4" w:space="0" w:color="auto"/>
            </w:tcBorders>
            <w:noWrap/>
            <w:vAlign w:val="center"/>
            <w:hideMark/>
          </w:tcPr>
          <w:p w14:paraId="1D0A44B9" w14:textId="77777777" w:rsidR="001A0C9B" w:rsidRPr="001A0C9B" w:rsidRDefault="001A0C9B" w:rsidP="001A0C9B">
            <w:pPr>
              <w:spacing w:after="0" w:line="240" w:lineRule="auto"/>
              <w:rPr>
                <w:rFonts w:ascii="Times New Roman" w:eastAsia="Times New Roman" w:hAnsi="Times New Roman" w:cs="Times New Roman"/>
                <w:color w:val="000000"/>
                <w:kern w:val="0"/>
                <w:sz w:val="16"/>
                <w:szCs w:val="16"/>
                <w:lang w:eastAsia="en-IN"/>
                <w14:ligatures w14:val="none"/>
              </w:rPr>
            </w:pPr>
            <w:r w:rsidRPr="001A0C9B">
              <w:rPr>
                <w:rFonts w:ascii="Times New Roman" w:eastAsia="Times New Roman" w:hAnsi="Times New Roman" w:cs="Times New Roman"/>
                <w:color w:val="000000"/>
                <w:kern w:val="0"/>
                <w:sz w:val="16"/>
                <w:szCs w:val="16"/>
                <w:lang w:eastAsia="en-IN"/>
                <w14:ligatures w14:val="none"/>
              </w:rPr>
              <w:t>Andhra Pradesh</w:t>
            </w:r>
          </w:p>
        </w:tc>
        <w:tc>
          <w:tcPr>
            <w:tcW w:w="669" w:type="dxa"/>
            <w:tcBorders>
              <w:top w:val="nil"/>
              <w:left w:val="nil"/>
              <w:bottom w:val="single" w:sz="4" w:space="0" w:color="auto"/>
              <w:right w:val="single" w:sz="4" w:space="0" w:color="auto"/>
            </w:tcBorders>
            <w:noWrap/>
            <w:vAlign w:val="center"/>
            <w:hideMark/>
          </w:tcPr>
          <w:p w14:paraId="2DFB3AC2" w14:textId="77777777" w:rsidR="001A0C9B" w:rsidRPr="001A0C9B" w:rsidRDefault="001A0C9B" w:rsidP="001A0C9B">
            <w:pPr>
              <w:spacing w:after="0" w:line="240" w:lineRule="auto"/>
              <w:jc w:val="right"/>
              <w:rPr>
                <w:rFonts w:ascii="Times New Roman" w:eastAsia="Times New Roman" w:hAnsi="Times New Roman" w:cs="Times New Roman"/>
                <w:color w:val="000000"/>
                <w:kern w:val="0"/>
                <w:sz w:val="16"/>
                <w:szCs w:val="16"/>
                <w:lang w:eastAsia="en-IN"/>
                <w14:ligatures w14:val="none"/>
              </w:rPr>
            </w:pPr>
            <w:r w:rsidRPr="001A0C9B">
              <w:rPr>
                <w:rFonts w:ascii="Times New Roman" w:eastAsia="Times New Roman" w:hAnsi="Times New Roman" w:cs="Times New Roman"/>
                <w:color w:val="000000"/>
                <w:kern w:val="0"/>
                <w:sz w:val="16"/>
                <w:szCs w:val="16"/>
                <w:lang w:eastAsia="en-IN"/>
                <w14:ligatures w14:val="none"/>
              </w:rPr>
              <w:t>40.18</w:t>
            </w:r>
          </w:p>
        </w:tc>
        <w:tc>
          <w:tcPr>
            <w:tcW w:w="723" w:type="dxa"/>
            <w:tcBorders>
              <w:top w:val="nil"/>
              <w:left w:val="nil"/>
              <w:bottom w:val="single" w:sz="4" w:space="0" w:color="auto"/>
              <w:right w:val="single" w:sz="4" w:space="0" w:color="auto"/>
            </w:tcBorders>
            <w:noWrap/>
            <w:vAlign w:val="center"/>
            <w:hideMark/>
          </w:tcPr>
          <w:p w14:paraId="1A09FE3E" w14:textId="77777777" w:rsidR="001A0C9B" w:rsidRPr="001A0C9B" w:rsidRDefault="001A0C9B" w:rsidP="001A0C9B">
            <w:pPr>
              <w:spacing w:after="0" w:line="240" w:lineRule="auto"/>
              <w:jc w:val="right"/>
              <w:rPr>
                <w:rFonts w:ascii="Times New Roman" w:eastAsia="Times New Roman" w:hAnsi="Times New Roman" w:cs="Times New Roman"/>
                <w:color w:val="000000"/>
                <w:kern w:val="0"/>
                <w:sz w:val="16"/>
                <w:szCs w:val="16"/>
                <w:lang w:eastAsia="en-IN"/>
                <w14:ligatures w14:val="none"/>
              </w:rPr>
            </w:pPr>
            <w:r w:rsidRPr="001A0C9B">
              <w:rPr>
                <w:rFonts w:ascii="Times New Roman" w:eastAsia="Times New Roman" w:hAnsi="Times New Roman" w:cs="Times New Roman"/>
                <w:color w:val="000000"/>
                <w:kern w:val="0"/>
                <w:sz w:val="16"/>
                <w:szCs w:val="16"/>
                <w:lang w:eastAsia="en-IN"/>
                <w14:ligatures w14:val="none"/>
              </w:rPr>
              <w:t>11.17</w:t>
            </w:r>
          </w:p>
        </w:tc>
        <w:tc>
          <w:tcPr>
            <w:tcW w:w="773" w:type="dxa"/>
            <w:tcBorders>
              <w:top w:val="nil"/>
              <w:left w:val="nil"/>
              <w:bottom w:val="single" w:sz="4" w:space="0" w:color="auto"/>
              <w:right w:val="single" w:sz="4" w:space="0" w:color="auto"/>
            </w:tcBorders>
            <w:noWrap/>
            <w:vAlign w:val="center"/>
            <w:hideMark/>
          </w:tcPr>
          <w:p w14:paraId="0C6B5B3B" w14:textId="03EC6D15" w:rsidR="001A0C9B" w:rsidRPr="001A0C9B" w:rsidRDefault="001A0C9B" w:rsidP="001A0C9B">
            <w:pPr>
              <w:spacing w:after="0" w:line="240" w:lineRule="auto"/>
              <w:jc w:val="right"/>
              <w:rPr>
                <w:rFonts w:ascii="Times New Roman" w:eastAsia="Times New Roman" w:hAnsi="Times New Roman" w:cs="Times New Roman"/>
                <w:color w:val="000000"/>
                <w:kern w:val="0"/>
                <w:sz w:val="16"/>
                <w:szCs w:val="16"/>
                <w:lang w:eastAsia="en-IN"/>
                <w14:ligatures w14:val="none"/>
              </w:rPr>
            </w:pPr>
            <w:r w:rsidRPr="001A0C9B">
              <w:rPr>
                <w:rFonts w:ascii="Times New Roman" w:eastAsia="Times New Roman" w:hAnsi="Times New Roman" w:cs="Times New Roman"/>
                <w:color w:val="000000"/>
                <w:kern w:val="0"/>
                <w:sz w:val="16"/>
                <w:szCs w:val="16"/>
                <w:lang w:eastAsia="en-IN"/>
                <w14:ligatures w14:val="none"/>
              </w:rPr>
              <w:t>53</w:t>
            </w:r>
            <w:r w:rsidR="0063665D">
              <w:rPr>
                <w:rFonts w:ascii="Times New Roman" w:eastAsia="Times New Roman" w:hAnsi="Times New Roman" w:cs="Times New Roman"/>
                <w:color w:val="000000"/>
                <w:kern w:val="0"/>
                <w:sz w:val="16"/>
                <w:szCs w:val="16"/>
                <w:lang w:eastAsia="en-IN"/>
                <w14:ligatures w14:val="none"/>
              </w:rPr>
              <w:t>.00</w:t>
            </w:r>
          </w:p>
        </w:tc>
        <w:tc>
          <w:tcPr>
            <w:tcW w:w="981" w:type="dxa"/>
            <w:tcBorders>
              <w:top w:val="nil"/>
              <w:left w:val="nil"/>
              <w:bottom w:val="single" w:sz="4" w:space="0" w:color="auto"/>
              <w:right w:val="single" w:sz="4" w:space="0" w:color="auto"/>
            </w:tcBorders>
            <w:noWrap/>
            <w:vAlign w:val="center"/>
            <w:hideMark/>
          </w:tcPr>
          <w:p w14:paraId="0D979D96" w14:textId="77777777" w:rsidR="001A0C9B" w:rsidRPr="001A0C9B" w:rsidRDefault="001A0C9B" w:rsidP="001A0C9B">
            <w:pPr>
              <w:spacing w:after="0" w:line="240" w:lineRule="auto"/>
              <w:jc w:val="right"/>
              <w:rPr>
                <w:rFonts w:ascii="Times New Roman" w:eastAsia="Times New Roman" w:hAnsi="Times New Roman" w:cs="Times New Roman"/>
                <w:color w:val="000000"/>
                <w:kern w:val="0"/>
                <w:sz w:val="16"/>
                <w:szCs w:val="16"/>
                <w:lang w:eastAsia="en-IN"/>
                <w14:ligatures w14:val="none"/>
              </w:rPr>
            </w:pPr>
            <w:r w:rsidRPr="001A0C9B">
              <w:rPr>
                <w:rFonts w:ascii="Times New Roman" w:eastAsia="Times New Roman" w:hAnsi="Times New Roman" w:cs="Times New Roman"/>
                <w:color w:val="000000"/>
                <w:kern w:val="0"/>
                <w:sz w:val="16"/>
                <w:szCs w:val="16"/>
                <w:lang w:eastAsia="en-IN"/>
                <w14:ligatures w14:val="none"/>
              </w:rPr>
              <w:t>47.41</w:t>
            </w:r>
          </w:p>
        </w:tc>
        <w:tc>
          <w:tcPr>
            <w:tcW w:w="669" w:type="dxa"/>
            <w:tcBorders>
              <w:top w:val="nil"/>
              <w:left w:val="nil"/>
              <w:bottom w:val="single" w:sz="4" w:space="0" w:color="auto"/>
              <w:right w:val="single" w:sz="4" w:space="0" w:color="auto"/>
            </w:tcBorders>
            <w:noWrap/>
            <w:vAlign w:val="center"/>
            <w:hideMark/>
          </w:tcPr>
          <w:p w14:paraId="0C852AFC" w14:textId="77777777" w:rsidR="001A0C9B" w:rsidRPr="001A0C9B" w:rsidRDefault="001A0C9B" w:rsidP="001A0C9B">
            <w:pPr>
              <w:spacing w:after="0" w:line="240" w:lineRule="auto"/>
              <w:jc w:val="right"/>
              <w:rPr>
                <w:rFonts w:ascii="Times New Roman" w:eastAsia="Times New Roman" w:hAnsi="Times New Roman" w:cs="Times New Roman"/>
                <w:color w:val="000000"/>
                <w:kern w:val="0"/>
                <w:sz w:val="16"/>
                <w:szCs w:val="16"/>
                <w:lang w:eastAsia="en-IN"/>
                <w14:ligatures w14:val="none"/>
              </w:rPr>
            </w:pPr>
            <w:r w:rsidRPr="001A0C9B">
              <w:rPr>
                <w:rFonts w:ascii="Times New Roman" w:eastAsia="Times New Roman" w:hAnsi="Times New Roman" w:cs="Times New Roman"/>
                <w:color w:val="000000"/>
                <w:kern w:val="0"/>
                <w:sz w:val="16"/>
                <w:szCs w:val="16"/>
                <w:lang w:eastAsia="en-IN"/>
                <w14:ligatures w14:val="none"/>
              </w:rPr>
              <w:t>69.13</w:t>
            </w:r>
          </w:p>
        </w:tc>
        <w:tc>
          <w:tcPr>
            <w:tcW w:w="679" w:type="dxa"/>
            <w:tcBorders>
              <w:top w:val="nil"/>
              <w:left w:val="nil"/>
              <w:bottom w:val="single" w:sz="4" w:space="0" w:color="auto"/>
              <w:right w:val="single" w:sz="4" w:space="0" w:color="auto"/>
            </w:tcBorders>
            <w:noWrap/>
            <w:vAlign w:val="center"/>
            <w:hideMark/>
          </w:tcPr>
          <w:p w14:paraId="6BCEAE75" w14:textId="77777777" w:rsidR="001A0C9B" w:rsidRPr="001A0C9B" w:rsidRDefault="001A0C9B" w:rsidP="001A0C9B">
            <w:pPr>
              <w:spacing w:after="0" w:line="240" w:lineRule="auto"/>
              <w:jc w:val="right"/>
              <w:rPr>
                <w:rFonts w:ascii="Times New Roman" w:eastAsia="Times New Roman" w:hAnsi="Times New Roman" w:cs="Times New Roman"/>
                <w:color w:val="000000"/>
                <w:kern w:val="0"/>
                <w:sz w:val="16"/>
                <w:szCs w:val="16"/>
                <w:lang w:eastAsia="en-IN"/>
                <w14:ligatures w14:val="none"/>
              </w:rPr>
            </w:pPr>
            <w:r w:rsidRPr="001A0C9B">
              <w:rPr>
                <w:rFonts w:ascii="Times New Roman" w:eastAsia="Times New Roman" w:hAnsi="Times New Roman" w:cs="Times New Roman"/>
                <w:color w:val="000000"/>
                <w:kern w:val="0"/>
                <w:sz w:val="16"/>
                <w:szCs w:val="16"/>
                <w:lang w:eastAsia="en-IN"/>
                <w14:ligatures w14:val="none"/>
              </w:rPr>
              <w:t>17.69</w:t>
            </w:r>
          </w:p>
        </w:tc>
        <w:tc>
          <w:tcPr>
            <w:tcW w:w="773" w:type="dxa"/>
            <w:tcBorders>
              <w:top w:val="nil"/>
              <w:left w:val="nil"/>
              <w:bottom w:val="single" w:sz="4" w:space="0" w:color="auto"/>
              <w:right w:val="single" w:sz="4" w:space="0" w:color="auto"/>
            </w:tcBorders>
            <w:noWrap/>
            <w:vAlign w:val="center"/>
            <w:hideMark/>
          </w:tcPr>
          <w:p w14:paraId="73079F15" w14:textId="3C3E424C" w:rsidR="001A0C9B" w:rsidRPr="001A0C9B" w:rsidRDefault="001A0C9B" w:rsidP="001A0C9B">
            <w:pPr>
              <w:spacing w:after="0" w:line="240" w:lineRule="auto"/>
              <w:jc w:val="right"/>
              <w:rPr>
                <w:rFonts w:ascii="Times New Roman" w:eastAsia="Times New Roman" w:hAnsi="Times New Roman" w:cs="Times New Roman"/>
                <w:color w:val="000000"/>
                <w:kern w:val="0"/>
                <w:sz w:val="16"/>
                <w:szCs w:val="16"/>
                <w:lang w:eastAsia="en-IN"/>
                <w14:ligatures w14:val="none"/>
              </w:rPr>
            </w:pPr>
            <w:r w:rsidRPr="001A0C9B">
              <w:rPr>
                <w:rFonts w:ascii="Times New Roman" w:eastAsia="Times New Roman" w:hAnsi="Times New Roman" w:cs="Times New Roman"/>
                <w:color w:val="000000"/>
                <w:kern w:val="0"/>
                <w:sz w:val="16"/>
                <w:szCs w:val="16"/>
                <w:lang w:eastAsia="en-IN"/>
                <w14:ligatures w14:val="none"/>
              </w:rPr>
              <w:t>4</w:t>
            </w:r>
            <w:r w:rsidR="0063665D">
              <w:rPr>
                <w:rFonts w:ascii="Times New Roman" w:eastAsia="Times New Roman" w:hAnsi="Times New Roman" w:cs="Times New Roman"/>
                <w:color w:val="000000"/>
                <w:kern w:val="0"/>
                <w:sz w:val="16"/>
                <w:szCs w:val="16"/>
                <w:lang w:eastAsia="en-IN"/>
                <w14:ligatures w14:val="none"/>
              </w:rPr>
              <w:t>.00</w:t>
            </w:r>
          </w:p>
        </w:tc>
        <w:tc>
          <w:tcPr>
            <w:tcW w:w="981" w:type="dxa"/>
            <w:tcBorders>
              <w:top w:val="nil"/>
              <w:left w:val="nil"/>
              <w:bottom w:val="single" w:sz="4" w:space="0" w:color="auto"/>
              <w:right w:val="single" w:sz="4" w:space="0" w:color="auto"/>
            </w:tcBorders>
            <w:noWrap/>
            <w:vAlign w:val="center"/>
            <w:hideMark/>
          </w:tcPr>
          <w:p w14:paraId="066EEE14" w14:textId="3B82367A" w:rsidR="001A0C9B" w:rsidRPr="001A0C9B" w:rsidRDefault="001A0C9B" w:rsidP="001A0C9B">
            <w:pPr>
              <w:spacing w:after="0" w:line="240" w:lineRule="auto"/>
              <w:jc w:val="right"/>
              <w:rPr>
                <w:rFonts w:ascii="Times New Roman" w:eastAsia="Times New Roman" w:hAnsi="Times New Roman" w:cs="Times New Roman"/>
                <w:color w:val="000000"/>
                <w:kern w:val="0"/>
                <w:sz w:val="16"/>
                <w:szCs w:val="16"/>
                <w:lang w:eastAsia="en-IN"/>
                <w14:ligatures w14:val="none"/>
              </w:rPr>
            </w:pPr>
            <w:r w:rsidRPr="001A0C9B">
              <w:rPr>
                <w:rFonts w:ascii="Times New Roman" w:eastAsia="Times New Roman" w:hAnsi="Times New Roman" w:cs="Times New Roman"/>
                <w:color w:val="000000"/>
                <w:kern w:val="0"/>
                <w:sz w:val="16"/>
                <w:szCs w:val="16"/>
                <w:lang w:eastAsia="en-IN"/>
                <w14:ligatures w14:val="none"/>
              </w:rPr>
              <w:t>6</w:t>
            </w:r>
            <w:r w:rsidR="0063665D">
              <w:rPr>
                <w:rFonts w:ascii="Times New Roman" w:eastAsia="Times New Roman" w:hAnsi="Times New Roman" w:cs="Times New Roman"/>
                <w:color w:val="000000"/>
                <w:kern w:val="0"/>
                <w:sz w:val="16"/>
                <w:szCs w:val="16"/>
                <w:lang w:eastAsia="en-IN"/>
                <w14:ligatures w14:val="none"/>
              </w:rPr>
              <w:t>.00</w:t>
            </w:r>
          </w:p>
        </w:tc>
        <w:tc>
          <w:tcPr>
            <w:tcW w:w="782" w:type="dxa"/>
            <w:tcBorders>
              <w:top w:val="nil"/>
              <w:left w:val="nil"/>
              <w:bottom w:val="single" w:sz="4" w:space="0" w:color="auto"/>
              <w:right w:val="single" w:sz="4" w:space="0" w:color="auto"/>
            </w:tcBorders>
            <w:noWrap/>
            <w:vAlign w:val="center"/>
            <w:hideMark/>
          </w:tcPr>
          <w:p w14:paraId="68B03C12" w14:textId="77777777" w:rsidR="001A0C9B" w:rsidRPr="001A0C9B" w:rsidRDefault="001A0C9B" w:rsidP="001A0C9B">
            <w:pPr>
              <w:spacing w:after="0" w:line="240" w:lineRule="auto"/>
              <w:jc w:val="right"/>
              <w:rPr>
                <w:rFonts w:ascii="Times New Roman" w:eastAsia="Times New Roman" w:hAnsi="Times New Roman" w:cs="Times New Roman"/>
                <w:color w:val="000000"/>
                <w:kern w:val="0"/>
                <w:sz w:val="16"/>
                <w:szCs w:val="16"/>
                <w:lang w:eastAsia="en-IN"/>
                <w14:ligatures w14:val="none"/>
              </w:rPr>
            </w:pPr>
            <w:r w:rsidRPr="001A0C9B">
              <w:rPr>
                <w:rFonts w:ascii="Times New Roman" w:eastAsia="Times New Roman" w:hAnsi="Times New Roman" w:cs="Times New Roman"/>
                <w:color w:val="000000"/>
                <w:kern w:val="0"/>
                <w:sz w:val="16"/>
                <w:szCs w:val="16"/>
                <w:lang w:eastAsia="en-IN"/>
                <w14:ligatures w14:val="none"/>
              </w:rPr>
              <w:t>73.14</w:t>
            </w:r>
          </w:p>
        </w:tc>
        <w:tc>
          <w:tcPr>
            <w:tcW w:w="723" w:type="dxa"/>
            <w:tcBorders>
              <w:top w:val="nil"/>
              <w:left w:val="nil"/>
              <w:bottom w:val="single" w:sz="4" w:space="0" w:color="auto"/>
              <w:right w:val="single" w:sz="4" w:space="0" w:color="auto"/>
            </w:tcBorders>
            <w:noWrap/>
            <w:vAlign w:val="center"/>
            <w:hideMark/>
          </w:tcPr>
          <w:p w14:paraId="4BFD7154" w14:textId="77777777" w:rsidR="001A0C9B" w:rsidRPr="001A0C9B" w:rsidRDefault="001A0C9B" w:rsidP="001A0C9B">
            <w:pPr>
              <w:spacing w:after="0" w:line="240" w:lineRule="auto"/>
              <w:jc w:val="right"/>
              <w:rPr>
                <w:rFonts w:ascii="Times New Roman" w:eastAsia="Times New Roman" w:hAnsi="Times New Roman" w:cs="Times New Roman"/>
                <w:color w:val="000000"/>
                <w:kern w:val="0"/>
                <w:sz w:val="16"/>
                <w:szCs w:val="16"/>
                <w:lang w:eastAsia="en-IN"/>
                <w14:ligatures w14:val="none"/>
              </w:rPr>
            </w:pPr>
            <w:r w:rsidRPr="001A0C9B">
              <w:rPr>
                <w:rFonts w:ascii="Times New Roman" w:eastAsia="Times New Roman" w:hAnsi="Times New Roman" w:cs="Times New Roman"/>
                <w:color w:val="000000"/>
                <w:kern w:val="0"/>
                <w:sz w:val="16"/>
                <w:szCs w:val="16"/>
                <w:lang w:eastAsia="en-IN"/>
                <w14:ligatures w14:val="none"/>
              </w:rPr>
              <w:t>18.34</w:t>
            </w:r>
          </w:p>
        </w:tc>
        <w:tc>
          <w:tcPr>
            <w:tcW w:w="741" w:type="dxa"/>
            <w:tcBorders>
              <w:top w:val="nil"/>
              <w:left w:val="nil"/>
              <w:bottom w:val="single" w:sz="4" w:space="0" w:color="auto"/>
              <w:right w:val="single" w:sz="4" w:space="0" w:color="auto"/>
            </w:tcBorders>
            <w:noWrap/>
            <w:vAlign w:val="center"/>
            <w:hideMark/>
          </w:tcPr>
          <w:p w14:paraId="54F187D8" w14:textId="77777777" w:rsidR="001A0C9B" w:rsidRPr="001A0C9B" w:rsidRDefault="001A0C9B" w:rsidP="001A0C9B">
            <w:pPr>
              <w:spacing w:after="0" w:line="240" w:lineRule="auto"/>
              <w:jc w:val="right"/>
              <w:rPr>
                <w:rFonts w:ascii="Times New Roman" w:eastAsia="Times New Roman" w:hAnsi="Times New Roman" w:cs="Times New Roman"/>
                <w:color w:val="000000"/>
                <w:kern w:val="0"/>
                <w:sz w:val="16"/>
                <w:szCs w:val="16"/>
                <w:lang w:eastAsia="en-IN"/>
                <w14:ligatures w14:val="none"/>
              </w:rPr>
            </w:pPr>
            <w:r w:rsidRPr="001A0C9B">
              <w:rPr>
                <w:rFonts w:ascii="Times New Roman" w:eastAsia="Times New Roman" w:hAnsi="Times New Roman" w:cs="Times New Roman"/>
                <w:color w:val="000000"/>
                <w:kern w:val="0"/>
                <w:sz w:val="16"/>
                <w:szCs w:val="16"/>
                <w:lang w:eastAsia="en-IN"/>
                <w14:ligatures w14:val="none"/>
              </w:rPr>
              <w:t>2.75</w:t>
            </w:r>
          </w:p>
        </w:tc>
        <w:tc>
          <w:tcPr>
            <w:tcW w:w="981" w:type="dxa"/>
            <w:tcBorders>
              <w:top w:val="nil"/>
              <w:left w:val="nil"/>
              <w:bottom w:val="single" w:sz="4" w:space="0" w:color="auto"/>
              <w:right w:val="single" w:sz="4" w:space="0" w:color="auto"/>
            </w:tcBorders>
            <w:noWrap/>
            <w:vAlign w:val="center"/>
            <w:hideMark/>
          </w:tcPr>
          <w:p w14:paraId="50F54BA0" w14:textId="77777777" w:rsidR="001A0C9B" w:rsidRPr="001A0C9B" w:rsidRDefault="001A0C9B" w:rsidP="001A0C9B">
            <w:pPr>
              <w:spacing w:after="0" w:line="240" w:lineRule="auto"/>
              <w:jc w:val="right"/>
              <w:rPr>
                <w:rFonts w:ascii="Times New Roman" w:eastAsia="Times New Roman" w:hAnsi="Times New Roman" w:cs="Times New Roman"/>
                <w:color w:val="000000"/>
                <w:kern w:val="0"/>
                <w:sz w:val="16"/>
                <w:szCs w:val="16"/>
                <w:lang w:eastAsia="en-IN"/>
                <w14:ligatures w14:val="none"/>
              </w:rPr>
            </w:pPr>
            <w:r w:rsidRPr="001A0C9B">
              <w:rPr>
                <w:rFonts w:ascii="Times New Roman" w:eastAsia="Times New Roman" w:hAnsi="Times New Roman" w:cs="Times New Roman"/>
                <w:color w:val="000000"/>
                <w:kern w:val="0"/>
                <w:sz w:val="16"/>
                <w:szCs w:val="16"/>
                <w:lang w:eastAsia="en-IN"/>
                <w14:ligatures w14:val="none"/>
              </w:rPr>
              <w:t>3.13</w:t>
            </w:r>
          </w:p>
        </w:tc>
        <w:tc>
          <w:tcPr>
            <w:tcW w:w="754" w:type="dxa"/>
            <w:tcBorders>
              <w:top w:val="nil"/>
              <w:left w:val="nil"/>
              <w:bottom w:val="single" w:sz="4" w:space="0" w:color="auto"/>
              <w:right w:val="single" w:sz="4" w:space="0" w:color="auto"/>
            </w:tcBorders>
            <w:noWrap/>
            <w:vAlign w:val="center"/>
            <w:hideMark/>
          </w:tcPr>
          <w:p w14:paraId="6D631103" w14:textId="77777777" w:rsidR="001A0C9B" w:rsidRPr="001A0C9B" w:rsidRDefault="001A0C9B" w:rsidP="001A0C9B">
            <w:pPr>
              <w:spacing w:after="0" w:line="240" w:lineRule="auto"/>
              <w:jc w:val="right"/>
              <w:rPr>
                <w:rFonts w:ascii="Times New Roman" w:eastAsia="Times New Roman" w:hAnsi="Times New Roman" w:cs="Times New Roman"/>
                <w:color w:val="000000"/>
                <w:kern w:val="0"/>
                <w:sz w:val="16"/>
                <w:szCs w:val="16"/>
                <w:lang w:eastAsia="en-IN"/>
                <w14:ligatures w14:val="none"/>
              </w:rPr>
            </w:pPr>
            <w:r w:rsidRPr="001A0C9B">
              <w:rPr>
                <w:rFonts w:ascii="Times New Roman" w:eastAsia="Times New Roman" w:hAnsi="Times New Roman" w:cs="Times New Roman"/>
                <w:color w:val="000000"/>
                <w:kern w:val="0"/>
                <w:sz w:val="16"/>
                <w:szCs w:val="16"/>
                <w:lang w:eastAsia="en-IN"/>
                <w14:ligatures w14:val="none"/>
              </w:rPr>
              <w:t>79.48</w:t>
            </w:r>
          </w:p>
        </w:tc>
        <w:tc>
          <w:tcPr>
            <w:tcW w:w="723" w:type="dxa"/>
            <w:tcBorders>
              <w:top w:val="nil"/>
              <w:left w:val="nil"/>
              <w:bottom w:val="single" w:sz="4" w:space="0" w:color="auto"/>
              <w:right w:val="single" w:sz="4" w:space="0" w:color="auto"/>
            </w:tcBorders>
            <w:noWrap/>
            <w:vAlign w:val="center"/>
            <w:hideMark/>
          </w:tcPr>
          <w:p w14:paraId="0C90A2C5" w14:textId="77777777" w:rsidR="001A0C9B" w:rsidRPr="001A0C9B" w:rsidRDefault="001A0C9B" w:rsidP="001A0C9B">
            <w:pPr>
              <w:spacing w:after="0" w:line="240" w:lineRule="auto"/>
              <w:jc w:val="right"/>
              <w:rPr>
                <w:rFonts w:ascii="Times New Roman" w:eastAsia="Times New Roman" w:hAnsi="Times New Roman" w:cs="Times New Roman"/>
                <w:color w:val="000000"/>
                <w:kern w:val="0"/>
                <w:sz w:val="16"/>
                <w:szCs w:val="16"/>
                <w:lang w:eastAsia="en-IN"/>
                <w14:ligatures w14:val="none"/>
              </w:rPr>
            </w:pPr>
            <w:r w:rsidRPr="001A0C9B">
              <w:rPr>
                <w:rFonts w:ascii="Times New Roman" w:eastAsia="Times New Roman" w:hAnsi="Times New Roman" w:cs="Times New Roman"/>
                <w:color w:val="000000"/>
                <w:kern w:val="0"/>
                <w:sz w:val="16"/>
                <w:szCs w:val="16"/>
                <w:lang w:eastAsia="en-IN"/>
                <w14:ligatures w14:val="none"/>
              </w:rPr>
              <w:t>19.67</w:t>
            </w:r>
          </w:p>
        </w:tc>
        <w:tc>
          <w:tcPr>
            <w:tcW w:w="754" w:type="dxa"/>
            <w:tcBorders>
              <w:top w:val="nil"/>
              <w:left w:val="nil"/>
              <w:bottom w:val="single" w:sz="4" w:space="0" w:color="auto"/>
              <w:right w:val="single" w:sz="4" w:space="0" w:color="auto"/>
            </w:tcBorders>
            <w:noWrap/>
            <w:vAlign w:val="center"/>
            <w:hideMark/>
          </w:tcPr>
          <w:p w14:paraId="23C10AA7" w14:textId="6AF0064C" w:rsidR="001A0C9B" w:rsidRPr="001A0C9B" w:rsidRDefault="001A0C9B" w:rsidP="001A0C9B">
            <w:pPr>
              <w:spacing w:after="0" w:line="240" w:lineRule="auto"/>
              <w:jc w:val="right"/>
              <w:rPr>
                <w:rFonts w:ascii="Times New Roman" w:eastAsia="Times New Roman" w:hAnsi="Times New Roman" w:cs="Times New Roman"/>
                <w:color w:val="000000"/>
                <w:kern w:val="0"/>
                <w:sz w:val="16"/>
                <w:szCs w:val="16"/>
                <w:lang w:eastAsia="en-IN"/>
                <w14:ligatures w14:val="none"/>
              </w:rPr>
            </w:pPr>
            <w:r w:rsidRPr="001A0C9B">
              <w:rPr>
                <w:rFonts w:ascii="Times New Roman" w:eastAsia="Times New Roman" w:hAnsi="Times New Roman" w:cs="Times New Roman"/>
                <w:color w:val="000000"/>
                <w:kern w:val="0"/>
                <w:sz w:val="16"/>
                <w:szCs w:val="16"/>
                <w:lang w:eastAsia="en-IN"/>
                <w14:ligatures w14:val="none"/>
              </w:rPr>
              <w:t>3</w:t>
            </w:r>
            <w:r w:rsidR="0063665D">
              <w:rPr>
                <w:rFonts w:ascii="Times New Roman" w:eastAsia="Times New Roman" w:hAnsi="Times New Roman" w:cs="Times New Roman"/>
                <w:color w:val="000000"/>
                <w:kern w:val="0"/>
                <w:sz w:val="16"/>
                <w:szCs w:val="16"/>
                <w:lang w:eastAsia="en-IN"/>
                <w14:ligatures w14:val="none"/>
              </w:rPr>
              <w:t>.00</w:t>
            </w:r>
          </w:p>
        </w:tc>
        <w:tc>
          <w:tcPr>
            <w:tcW w:w="981" w:type="dxa"/>
            <w:tcBorders>
              <w:top w:val="nil"/>
              <w:left w:val="nil"/>
              <w:bottom w:val="single" w:sz="4" w:space="0" w:color="auto"/>
              <w:right w:val="single" w:sz="4" w:space="0" w:color="auto"/>
            </w:tcBorders>
            <w:noWrap/>
            <w:vAlign w:val="center"/>
            <w:hideMark/>
          </w:tcPr>
          <w:p w14:paraId="3FC26D27" w14:textId="723D0B1E" w:rsidR="001A0C9B" w:rsidRPr="001A0C9B" w:rsidRDefault="001A0C9B" w:rsidP="001A0C9B">
            <w:pPr>
              <w:spacing w:after="0" w:line="240" w:lineRule="auto"/>
              <w:jc w:val="right"/>
              <w:rPr>
                <w:rFonts w:ascii="Times New Roman" w:eastAsia="Times New Roman" w:hAnsi="Times New Roman" w:cs="Times New Roman"/>
                <w:color w:val="000000"/>
                <w:kern w:val="0"/>
                <w:sz w:val="16"/>
                <w:szCs w:val="16"/>
                <w:lang w:eastAsia="en-IN"/>
                <w14:ligatures w14:val="none"/>
              </w:rPr>
            </w:pPr>
            <w:r w:rsidRPr="001A0C9B">
              <w:rPr>
                <w:rFonts w:ascii="Times New Roman" w:eastAsia="Times New Roman" w:hAnsi="Times New Roman" w:cs="Times New Roman"/>
                <w:color w:val="000000"/>
                <w:kern w:val="0"/>
                <w:sz w:val="16"/>
                <w:szCs w:val="16"/>
                <w:lang w:eastAsia="en-IN"/>
                <w14:ligatures w14:val="none"/>
              </w:rPr>
              <w:t>1</w:t>
            </w:r>
            <w:r w:rsidR="0063665D">
              <w:rPr>
                <w:rFonts w:ascii="Times New Roman" w:eastAsia="Times New Roman" w:hAnsi="Times New Roman" w:cs="Times New Roman"/>
                <w:color w:val="000000"/>
                <w:kern w:val="0"/>
                <w:sz w:val="16"/>
                <w:szCs w:val="16"/>
                <w:lang w:eastAsia="en-IN"/>
                <w14:ligatures w14:val="none"/>
              </w:rPr>
              <w:t>.00</w:t>
            </w:r>
          </w:p>
        </w:tc>
        <w:tc>
          <w:tcPr>
            <w:tcW w:w="754" w:type="dxa"/>
            <w:tcBorders>
              <w:top w:val="nil"/>
              <w:left w:val="nil"/>
              <w:bottom w:val="single" w:sz="4" w:space="0" w:color="auto"/>
              <w:right w:val="single" w:sz="4" w:space="0" w:color="auto"/>
            </w:tcBorders>
            <w:noWrap/>
            <w:vAlign w:val="center"/>
            <w:hideMark/>
          </w:tcPr>
          <w:p w14:paraId="20E24BC2" w14:textId="64AACA1D" w:rsidR="001A0C9B" w:rsidRPr="001A0C9B" w:rsidRDefault="001A0C9B" w:rsidP="001A0C9B">
            <w:pPr>
              <w:spacing w:after="0" w:line="240" w:lineRule="auto"/>
              <w:jc w:val="right"/>
              <w:rPr>
                <w:rFonts w:ascii="Times New Roman" w:eastAsia="Times New Roman" w:hAnsi="Times New Roman" w:cs="Times New Roman"/>
                <w:color w:val="000000"/>
                <w:kern w:val="0"/>
                <w:sz w:val="16"/>
                <w:szCs w:val="16"/>
                <w:lang w:eastAsia="en-IN"/>
                <w14:ligatures w14:val="none"/>
              </w:rPr>
            </w:pPr>
            <w:r w:rsidRPr="001A0C9B">
              <w:rPr>
                <w:rFonts w:ascii="Times New Roman" w:eastAsia="Times New Roman" w:hAnsi="Times New Roman" w:cs="Times New Roman"/>
                <w:color w:val="000000"/>
                <w:kern w:val="0"/>
                <w:sz w:val="16"/>
                <w:szCs w:val="16"/>
                <w:lang w:eastAsia="en-IN"/>
                <w14:ligatures w14:val="none"/>
              </w:rPr>
              <w:t>93.6</w:t>
            </w:r>
            <w:r w:rsidR="0063665D">
              <w:rPr>
                <w:rFonts w:ascii="Times New Roman" w:eastAsia="Times New Roman" w:hAnsi="Times New Roman" w:cs="Times New Roman"/>
                <w:color w:val="000000"/>
                <w:kern w:val="0"/>
                <w:sz w:val="16"/>
                <w:szCs w:val="16"/>
                <w:lang w:eastAsia="en-IN"/>
                <w14:ligatures w14:val="none"/>
              </w:rPr>
              <w:t>0</w:t>
            </w:r>
          </w:p>
        </w:tc>
        <w:tc>
          <w:tcPr>
            <w:tcW w:w="723" w:type="dxa"/>
            <w:tcBorders>
              <w:top w:val="nil"/>
              <w:left w:val="nil"/>
              <w:bottom w:val="single" w:sz="4" w:space="0" w:color="auto"/>
              <w:right w:val="single" w:sz="4" w:space="0" w:color="auto"/>
            </w:tcBorders>
            <w:noWrap/>
            <w:vAlign w:val="center"/>
            <w:hideMark/>
          </w:tcPr>
          <w:p w14:paraId="24811C1B" w14:textId="77777777" w:rsidR="001A0C9B" w:rsidRPr="001A0C9B" w:rsidRDefault="001A0C9B" w:rsidP="001A0C9B">
            <w:pPr>
              <w:spacing w:after="0" w:line="240" w:lineRule="auto"/>
              <w:jc w:val="right"/>
              <w:rPr>
                <w:rFonts w:ascii="Times New Roman" w:eastAsia="Times New Roman" w:hAnsi="Times New Roman" w:cs="Times New Roman"/>
                <w:color w:val="000000"/>
                <w:kern w:val="0"/>
                <w:sz w:val="16"/>
                <w:szCs w:val="16"/>
                <w:lang w:eastAsia="en-IN"/>
                <w14:ligatures w14:val="none"/>
              </w:rPr>
            </w:pPr>
            <w:r w:rsidRPr="001A0C9B">
              <w:rPr>
                <w:rFonts w:ascii="Times New Roman" w:eastAsia="Times New Roman" w:hAnsi="Times New Roman" w:cs="Times New Roman"/>
                <w:color w:val="000000"/>
                <w:kern w:val="0"/>
                <w:sz w:val="16"/>
                <w:szCs w:val="16"/>
                <w:lang w:eastAsia="en-IN"/>
                <w14:ligatures w14:val="none"/>
              </w:rPr>
              <w:t>22.33</w:t>
            </w:r>
          </w:p>
        </w:tc>
      </w:tr>
      <w:tr w:rsidR="001A0C9B" w:rsidRPr="001A0C9B" w14:paraId="1DDDC223" w14:textId="77777777" w:rsidTr="002A11B0">
        <w:trPr>
          <w:trHeight w:val="166"/>
          <w:jc w:val="center"/>
        </w:trPr>
        <w:tc>
          <w:tcPr>
            <w:tcW w:w="1051" w:type="dxa"/>
            <w:tcBorders>
              <w:top w:val="nil"/>
              <w:left w:val="single" w:sz="4" w:space="0" w:color="auto"/>
              <w:bottom w:val="single" w:sz="4" w:space="0" w:color="auto"/>
              <w:right w:val="single" w:sz="4" w:space="0" w:color="auto"/>
            </w:tcBorders>
            <w:noWrap/>
            <w:vAlign w:val="center"/>
            <w:hideMark/>
          </w:tcPr>
          <w:p w14:paraId="50D364AB" w14:textId="77777777" w:rsidR="001A0C9B" w:rsidRPr="001A0C9B" w:rsidRDefault="001A0C9B" w:rsidP="001A0C9B">
            <w:pPr>
              <w:spacing w:after="0" w:line="240" w:lineRule="auto"/>
              <w:rPr>
                <w:rFonts w:ascii="Times New Roman" w:eastAsia="Times New Roman" w:hAnsi="Times New Roman" w:cs="Times New Roman"/>
                <w:color w:val="000000"/>
                <w:kern w:val="0"/>
                <w:sz w:val="16"/>
                <w:szCs w:val="16"/>
                <w:lang w:eastAsia="en-IN"/>
                <w14:ligatures w14:val="none"/>
              </w:rPr>
            </w:pPr>
            <w:r w:rsidRPr="001A0C9B">
              <w:rPr>
                <w:rFonts w:ascii="Times New Roman" w:eastAsia="Times New Roman" w:hAnsi="Times New Roman" w:cs="Times New Roman"/>
                <w:color w:val="000000"/>
                <w:kern w:val="0"/>
                <w:sz w:val="16"/>
                <w:szCs w:val="16"/>
                <w:lang w:eastAsia="en-IN"/>
                <w14:ligatures w14:val="none"/>
              </w:rPr>
              <w:t>Assam</w:t>
            </w:r>
          </w:p>
        </w:tc>
        <w:tc>
          <w:tcPr>
            <w:tcW w:w="669" w:type="dxa"/>
            <w:tcBorders>
              <w:top w:val="nil"/>
              <w:left w:val="nil"/>
              <w:bottom w:val="single" w:sz="4" w:space="0" w:color="auto"/>
              <w:right w:val="single" w:sz="4" w:space="0" w:color="auto"/>
            </w:tcBorders>
            <w:noWrap/>
            <w:vAlign w:val="center"/>
            <w:hideMark/>
          </w:tcPr>
          <w:p w14:paraId="58C9C305" w14:textId="77777777" w:rsidR="001A0C9B" w:rsidRPr="001A0C9B" w:rsidRDefault="001A0C9B" w:rsidP="001A0C9B">
            <w:pPr>
              <w:spacing w:after="0" w:line="240" w:lineRule="auto"/>
              <w:jc w:val="right"/>
              <w:rPr>
                <w:rFonts w:ascii="Times New Roman" w:eastAsia="Times New Roman" w:hAnsi="Times New Roman" w:cs="Times New Roman"/>
                <w:color w:val="000000"/>
                <w:kern w:val="0"/>
                <w:sz w:val="16"/>
                <w:szCs w:val="16"/>
                <w:lang w:eastAsia="en-IN"/>
                <w14:ligatures w14:val="none"/>
              </w:rPr>
            </w:pPr>
            <w:r w:rsidRPr="001A0C9B">
              <w:rPr>
                <w:rFonts w:ascii="Times New Roman" w:eastAsia="Times New Roman" w:hAnsi="Times New Roman" w:cs="Times New Roman"/>
                <w:color w:val="000000"/>
                <w:kern w:val="0"/>
                <w:sz w:val="16"/>
                <w:szCs w:val="16"/>
                <w:lang w:eastAsia="en-IN"/>
                <w14:ligatures w14:val="none"/>
              </w:rPr>
              <w:t>12.27</w:t>
            </w:r>
          </w:p>
        </w:tc>
        <w:tc>
          <w:tcPr>
            <w:tcW w:w="723" w:type="dxa"/>
            <w:tcBorders>
              <w:top w:val="nil"/>
              <w:left w:val="nil"/>
              <w:bottom w:val="single" w:sz="4" w:space="0" w:color="auto"/>
              <w:right w:val="single" w:sz="4" w:space="0" w:color="auto"/>
            </w:tcBorders>
            <w:noWrap/>
            <w:vAlign w:val="center"/>
            <w:hideMark/>
          </w:tcPr>
          <w:p w14:paraId="4F4B7AEC" w14:textId="77777777" w:rsidR="001A0C9B" w:rsidRPr="001A0C9B" w:rsidRDefault="001A0C9B" w:rsidP="001A0C9B">
            <w:pPr>
              <w:spacing w:after="0" w:line="240" w:lineRule="auto"/>
              <w:jc w:val="right"/>
              <w:rPr>
                <w:rFonts w:ascii="Times New Roman" w:eastAsia="Times New Roman" w:hAnsi="Times New Roman" w:cs="Times New Roman"/>
                <w:color w:val="000000"/>
                <w:kern w:val="0"/>
                <w:sz w:val="16"/>
                <w:szCs w:val="16"/>
                <w:lang w:eastAsia="en-IN"/>
                <w14:ligatures w14:val="none"/>
              </w:rPr>
            </w:pPr>
            <w:r w:rsidRPr="001A0C9B">
              <w:rPr>
                <w:rFonts w:ascii="Times New Roman" w:eastAsia="Times New Roman" w:hAnsi="Times New Roman" w:cs="Times New Roman"/>
                <w:color w:val="000000"/>
                <w:kern w:val="0"/>
                <w:sz w:val="16"/>
                <w:szCs w:val="16"/>
                <w:lang w:eastAsia="en-IN"/>
                <w14:ligatures w14:val="none"/>
              </w:rPr>
              <w:t>10.33</w:t>
            </w:r>
          </w:p>
        </w:tc>
        <w:tc>
          <w:tcPr>
            <w:tcW w:w="773" w:type="dxa"/>
            <w:tcBorders>
              <w:top w:val="nil"/>
              <w:left w:val="nil"/>
              <w:bottom w:val="single" w:sz="4" w:space="0" w:color="auto"/>
              <w:right w:val="single" w:sz="4" w:space="0" w:color="auto"/>
            </w:tcBorders>
            <w:noWrap/>
            <w:vAlign w:val="center"/>
            <w:hideMark/>
          </w:tcPr>
          <w:p w14:paraId="1DB77CFD" w14:textId="20216525" w:rsidR="001A0C9B" w:rsidRPr="001A0C9B" w:rsidRDefault="001A0C9B" w:rsidP="001A0C9B">
            <w:pPr>
              <w:spacing w:after="0" w:line="240" w:lineRule="auto"/>
              <w:jc w:val="right"/>
              <w:rPr>
                <w:rFonts w:ascii="Times New Roman" w:eastAsia="Times New Roman" w:hAnsi="Times New Roman" w:cs="Times New Roman"/>
                <w:color w:val="000000"/>
                <w:kern w:val="0"/>
                <w:sz w:val="16"/>
                <w:szCs w:val="16"/>
                <w:lang w:eastAsia="en-IN"/>
                <w14:ligatures w14:val="none"/>
              </w:rPr>
            </w:pPr>
            <w:r w:rsidRPr="001A0C9B">
              <w:rPr>
                <w:rFonts w:ascii="Times New Roman" w:eastAsia="Times New Roman" w:hAnsi="Times New Roman" w:cs="Times New Roman"/>
                <w:color w:val="000000"/>
                <w:kern w:val="0"/>
                <w:sz w:val="16"/>
                <w:szCs w:val="16"/>
                <w:lang w:eastAsia="en-IN"/>
                <w14:ligatures w14:val="none"/>
              </w:rPr>
              <w:t>16</w:t>
            </w:r>
            <w:r w:rsidR="0063665D">
              <w:rPr>
                <w:rFonts w:ascii="Times New Roman" w:eastAsia="Times New Roman" w:hAnsi="Times New Roman" w:cs="Times New Roman"/>
                <w:color w:val="000000"/>
                <w:kern w:val="0"/>
                <w:sz w:val="16"/>
                <w:szCs w:val="16"/>
                <w:lang w:eastAsia="en-IN"/>
                <w14:ligatures w14:val="none"/>
              </w:rPr>
              <w:t>.00</w:t>
            </w:r>
          </w:p>
        </w:tc>
        <w:tc>
          <w:tcPr>
            <w:tcW w:w="981" w:type="dxa"/>
            <w:tcBorders>
              <w:top w:val="nil"/>
              <w:left w:val="nil"/>
              <w:bottom w:val="single" w:sz="4" w:space="0" w:color="auto"/>
              <w:right w:val="single" w:sz="4" w:space="0" w:color="auto"/>
            </w:tcBorders>
            <w:noWrap/>
            <w:vAlign w:val="center"/>
            <w:hideMark/>
          </w:tcPr>
          <w:p w14:paraId="2342B3CE" w14:textId="77777777" w:rsidR="001A0C9B" w:rsidRPr="001A0C9B" w:rsidRDefault="001A0C9B" w:rsidP="001A0C9B">
            <w:pPr>
              <w:spacing w:after="0" w:line="240" w:lineRule="auto"/>
              <w:jc w:val="right"/>
              <w:rPr>
                <w:rFonts w:ascii="Times New Roman" w:eastAsia="Times New Roman" w:hAnsi="Times New Roman" w:cs="Times New Roman"/>
                <w:color w:val="000000"/>
                <w:kern w:val="0"/>
                <w:sz w:val="16"/>
                <w:szCs w:val="16"/>
                <w:lang w:eastAsia="en-IN"/>
                <w14:ligatures w14:val="none"/>
              </w:rPr>
            </w:pPr>
            <w:r w:rsidRPr="001A0C9B">
              <w:rPr>
                <w:rFonts w:ascii="Times New Roman" w:eastAsia="Times New Roman" w:hAnsi="Times New Roman" w:cs="Times New Roman"/>
                <w:color w:val="000000"/>
                <w:kern w:val="0"/>
                <w:sz w:val="16"/>
                <w:szCs w:val="16"/>
                <w:lang w:eastAsia="en-IN"/>
                <w14:ligatures w14:val="none"/>
              </w:rPr>
              <w:t>13.86</w:t>
            </w:r>
          </w:p>
        </w:tc>
        <w:tc>
          <w:tcPr>
            <w:tcW w:w="669" w:type="dxa"/>
            <w:tcBorders>
              <w:top w:val="nil"/>
              <w:left w:val="nil"/>
              <w:bottom w:val="single" w:sz="4" w:space="0" w:color="auto"/>
              <w:right w:val="single" w:sz="4" w:space="0" w:color="auto"/>
            </w:tcBorders>
            <w:noWrap/>
            <w:vAlign w:val="center"/>
            <w:hideMark/>
          </w:tcPr>
          <w:p w14:paraId="50F89AA9" w14:textId="77777777" w:rsidR="001A0C9B" w:rsidRPr="001A0C9B" w:rsidRDefault="001A0C9B" w:rsidP="001A0C9B">
            <w:pPr>
              <w:spacing w:after="0" w:line="240" w:lineRule="auto"/>
              <w:jc w:val="right"/>
              <w:rPr>
                <w:rFonts w:ascii="Times New Roman" w:eastAsia="Times New Roman" w:hAnsi="Times New Roman" w:cs="Times New Roman"/>
                <w:color w:val="000000"/>
                <w:kern w:val="0"/>
                <w:sz w:val="16"/>
                <w:szCs w:val="16"/>
                <w:lang w:eastAsia="en-IN"/>
                <w14:ligatures w14:val="none"/>
              </w:rPr>
            </w:pPr>
            <w:r w:rsidRPr="001A0C9B">
              <w:rPr>
                <w:rFonts w:ascii="Times New Roman" w:eastAsia="Times New Roman" w:hAnsi="Times New Roman" w:cs="Times New Roman"/>
                <w:color w:val="000000"/>
                <w:kern w:val="0"/>
                <w:sz w:val="16"/>
                <w:szCs w:val="16"/>
                <w:lang w:eastAsia="en-IN"/>
                <w14:ligatures w14:val="none"/>
              </w:rPr>
              <w:t>21.61</w:t>
            </w:r>
          </w:p>
        </w:tc>
        <w:tc>
          <w:tcPr>
            <w:tcW w:w="679" w:type="dxa"/>
            <w:tcBorders>
              <w:top w:val="nil"/>
              <w:left w:val="nil"/>
              <w:bottom w:val="single" w:sz="4" w:space="0" w:color="auto"/>
              <w:right w:val="single" w:sz="4" w:space="0" w:color="auto"/>
            </w:tcBorders>
            <w:noWrap/>
            <w:vAlign w:val="center"/>
            <w:hideMark/>
          </w:tcPr>
          <w:p w14:paraId="6C522167" w14:textId="77777777" w:rsidR="001A0C9B" w:rsidRPr="001A0C9B" w:rsidRDefault="001A0C9B" w:rsidP="001A0C9B">
            <w:pPr>
              <w:spacing w:after="0" w:line="240" w:lineRule="auto"/>
              <w:jc w:val="right"/>
              <w:rPr>
                <w:rFonts w:ascii="Times New Roman" w:eastAsia="Times New Roman" w:hAnsi="Times New Roman" w:cs="Times New Roman"/>
                <w:color w:val="000000"/>
                <w:kern w:val="0"/>
                <w:sz w:val="16"/>
                <w:szCs w:val="16"/>
                <w:lang w:eastAsia="en-IN"/>
                <w14:ligatures w14:val="none"/>
              </w:rPr>
            </w:pPr>
            <w:r w:rsidRPr="001A0C9B">
              <w:rPr>
                <w:rFonts w:ascii="Times New Roman" w:eastAsia="Times New Roman" w:hAnsi="Times New Roman" w:cs="Times New Roman"/>
                <w:color w:val="000000"/>
                <w:kern w:val="0"/>
                <w:sz w:val="16"/>
                <w:szCs w:val="16"/>
                <w:lang w:eastAsia="en-IN"/>
                <w14:ligatures w14:val="none"/>
              </w:rPr>
              <w:t>16.07</w:t>
            </w:r>
          </w:p>
        </w:tc>
        <w:tc>
          <w:tcPr>
            <w:tcW w:w="773" w:type="dxa"/>
            <w:tcBorders>
              <w:top w:val="nil"/>
              <w:left w:val="nil"/>
              <w:bottom w:val="single" w:sz="4" w:space="0" w:color="auto"/>
              <w:right w:val="single" w:sz="4" w:space="0" w:color="auto"/>
            </w:tcBorders>
            <w:noWrap/>
            <w:vAlign w:val="center"/>
            <w:hideMark/>
          </w:tcPr>
          <w:p w14:paraId="25D86EB8" w14:textId="77777777" w:rsidR="001A0C9B" w:rsidRPr="001A0C9B" w:rsidRDefault="001A0C9B" w:rsidP="001A0C9B">
            <w:pPr>
              <w:spacing w:after="0" w:line="240" w:lineRule="auto"/>
              <w:jc w:val="right"/>
              <w:rPr>
                <w:rFonts w:ascii="Times New Roman" w:eastAsia="Times New Roman" w:hAnsi="Times New Roman" w:cs="Times New Roman"/>
                <w:color w:val="000000"/>
                <w:kern w:val="0"/>
                <w:sz w:val="16"/>
                <w:szCs w:val="16"/>
                <w:lang w:eastAsia="en-IN"/>
                <w14:ligatures w14:val="none"/>
              </w:rPr>
            </w:pPr>
            <w:r w:rsidRPr="001A0C9B">
              <w:rPr>
                <w:rFonts w:ascii="Times New Roman" w:eastAsia="Times New Roman" w:hAnsi="Times New Roman" w:cs="Times New Roman"/>
                <w:color w:val="000000"/>
                <w:kern w:val="0"/>
                <w:sz w:val="16"/>
                <w:szCs w:val="16"/>
                <w:lang w:eastAsia="en-IN"/>
                <w14:ligatures w14:val="none"/>
              </w:rPr>
              <w:t>0.5</w:t>
            </w:r>
          </w:p>
        </w:tc>
        <w:tc>
          <w:tcPr>
            <w:tcW w:w="981" w:type="dxa"/>
            <w:tcBorders>
              <w:top w:val="nil"/>
              <w:left w:val="nil"/>
              <w:bottom w:val="single" w:sz="4" w:space="0" w:color="auto"/>
              <w:right w:val="single" w:sz="4" w:space="0" w:color="auto"/>
            </w:tcBorders>
            <w:noWrap/>
            <w:vAlign w:val="center"/>
            <w:hideMark/>
          </w:tcPr>
          <w:p w14:paraId="7B1C5DE2" w14:textId="77777777" w:rsidR="001A0C9B" w:rsidRPr="001A0C9B" w:rsidRDefault="001A0C9B" w:rsidP="001A0C9B">
            <w:pPr>
              <w:spacing w:after="0" w:line="240" w:lineRule="auto"/>
              <w:jc w:val="right"/>
              <w:rPr>
                <w:rFonts w:ascii="Times New Roman" w:eastAsia="Times New Roman" w:hAnsi="Times New Roman" w:cs="Times New Roman"/>
                <w:color w:val="000000"/>
                <w:kern w:val="0"/>
                <w:sz w:val="16"/>
                <w:szCs w:val="16"/>
                <w:lang w:eastAsia="en-IN"/>
                <w14:ligatures w14:val="none"/>
              </w:rPr>
            </w:pPr>
            <w:r w:rsidRPr="001A0C9B">
              <w:rPr>
                <w:rFonts w:ascii="Times New Roman" w:eastAsia="Times New Roman" w:hAnsi="Times New Roman" w:cs="Times New Roman"/>
                <w:color w:val="000000"/>
                <w:kern w:val="0"/>
                <w:sz w:val="16"/>
                <w:szCs w:val="16"/>
                <w:lang w:eastAsia="en-IN"/>
                <w14:ligatures w14:val="none"/>
              </w:rPr>
              <w:t>0.52</w:t>
            </w:r>
          </w:p>
        </w:tc>
        <w:tc>
          <w:tcPr>
            <w:tcW w:w="782" w:type="dxa"/>
            <w:tcBorders>
              <w:top w:val="nil"/>
              <w:left w:val="nil"/>
              <w:bottom w:val="single" w:sz="4" w:space="0" w:color="auto"/>
              <w:right w:val="single" w:sz="4" w:space="0" w:color="auto"/>
            </w:tcBorders>
            <w:noWrap/>
            <w:vAlign w:val="center"/>
            <w:hideMark/>
          </w:tcPr>
          <w:p w14:paraId="0A4AAD87" w14:textId="77777777" w:rsidR="001A0C9B" w:rsidRPr="001A0C9B" w:rsidRDefault="001A0C9B" w:rsidP="001A0C9B">
            <w:pPr>
              <w:spacing w:after="0" w:line="240" w:lineRule="auto"/>
              <w:jc w:val="right"/>
              <w:rPr>
                <w:rFonts w:ascii="Times New Roman" w:eastAsia="Times New Roman" w:hAnsi="Times New Roman" w:cs="Times New Roman"/>
                <w:color w:val="000000"/>
                <w:kern w:val="0"/>
                <w:sz w:val="16"/>
                <w:szCs w:val="16"/>
                <w:lang w:eastAsia="en-IN"/>
                <w14:ligatures w14:val="none"/>
              </w:rPr>
            </w:pPr>
            <w:r w:rsidRPr="001A0C9B">
              <w:rPr>
                <w:rFonts w:ascii="Times New Roman" w:eastAsia="Times New Roman" w:hAnsi="Times New Roman" w:cs="Times New Roman"/>
                <w:color w:val="000000"/>
                <w:kern w:val="0"/>
                <w:sz w:val="16"/>
                <w:szCs w:val="16"/>
                <w:lang w:eastAsia="en-IN"/>
                <w14:ligatures w14:val="none"/>
              </w:rPr>
              <w:t>22.06</w:t>
            </w:r>
          </w:p>
        </w:tc>
        <w:tc>
          <w:tcPr>
            <w:tcW w:w="723" w:type="dxa"/>
            <w:tcBorders>
              <w:top w:val="nil"/>
              <w:left w:val="nil"/>
              <w:bottom w:val="single" w:sz="4" w:space="0" w:color="auto"/>
              <w:right w:val="single" w:sz="4" w:space="0" w:color="auto"/>
            </w:tcBorders>
            <w:noWrap/>
            <w:vAlign w:val="center"/>
            <w:hideMark/>
          </w:tcPr>
          <w:p w14:paraId="6DEFC26C" w14:textId="77777777" w:rsidR="001A0C9B" w:rsidRPr="001A0C9B" w:rsidRDefault="001A0C9B" w:rsidP="001A0C9B">
            <w:pPr>
              <w:spacing w:after="0" w:line="240" w:lineRule="auto"/>
              <w:jc w:val="right"/>
              <w:rPr>
                <w:rFonts w:ascii="Times New Roman" w:eastAsia="Times New Roman" w:hAnsi="Times New Roman" w:cs="Times New Roman"/>
                <w:color w:val="000000"/>
                <w:kern w:val="0"/>
                <w:sz w:val="16"/>
                <w:szCs w:val="16"/>
                <w:lang w:eastAsia="en-IN"/>
                <w14:ligatures w14:val="none"/>
              </w:rPr>
            </w:pPr>
            <w:r w:rsidRPr="001A0C9B">
              <w:rPr>
                <w:rFonts w:ascii="Times New Roman" w:eastAsia="Times New Roman" w:hAnsi="Times New Roman" w:cs="Times New Roman"/>
                <w:color w:val="000000"/>
                <w:kern w:val="0"/>
                <w:sz w:val="16"/>
                <w:szCs w:val="16"/>
                <w:lang w:eastAsia="en-IN"/>
                <w14:ligatures w14:val="none"/>
              </w:rPr>
              <w:t>15.92</w:t>
            </w:r>
          </w:p>
        </w:tc>
        <w:tc>
          <w:tcPr>
            <w:tcW w:w="741" w:type="dxa"/>
            <w:tcBorders>
              <w:top w:val="nil"/>
              <w:left w:val="nil"/>
              <w:bottom w:val="single" w:sz="4" w:space="0" w:color="auto"/>
              <w:right w:val="single" w:sz="4" w:space="0" w:color="auto"/>
            </w:tcBorders>
            <w:noWrap/>
            <w:vAlign w:val="center"/>
            <w:hideMark/>
          </w:tcPr>
          <w:p w14:paraId="220293C9" w14:textId="77777777" w:rsidR="001A0C9B" w:rsidRPr="001A0C9B" w:rsidRDefault="001A0C9B" w:rsidP="001A0C9B">
            <w:pPr>
              <w:spacing w:after="0" w:line="240" w:lineRule="auto"/>
              <w:jc w:val="right"/>
              <w:rPr>
                <w:rFonts w:ascii="Times New Roman" w:eastAsia="Times New Roman" w:hAnsi="Times New Roman" w:cs="Times New Roman"/>
                <w:color w:val="000000"/>
                <w:kern w:val="0"/>
                <w:sz w:val="16"/>
                <w:szCs w:val="16"/>
                <w:lang w:eastAsia="en-IN"/>
                <w14:ligatures w14:val="none"/>
              </w:rPr>
            </w:pPr>
            <w:r w:rsidRPr="001A0C9B">
              <w:rPr>
                <w:rFonts w:ascii="Times New Roman" w:eastAsia="Times New Roman" w:hAnsi="Times New Roman" w:cs="Times New Roman"/>
                <w:color w:val="000000"/>
                <w:kern w:val="0"/>
                <w:sz w:val="16"/>
                <w:szCs w:val="16"/>
                <w:lang w:eastAsia="en-IN"/>
                <w14:ligatures w14:val="none"/>
              </w:rPr>
              <w:t>1.68</w:t>
            </w:r>
          </w:p>
        </w:tc>
        <w:tc>
          <w:tcPr>
            <w:tcW w:w="981" w:type="dxa"/>
            <w:tcBorders>
              <w:top w:val="nil"/>
              <w:left w:val="nil"/>
              <w:bottom w:val="single" w:sz="4" w:space="0" w:color="auto"/>
              <w:right w:val="single" w:sz="4" w:space="0" w:color="auto"/>
            </w:tcBorders>
            <w:noWrap/>
            <w:vAlign w:val="center"/>
            <w:hideMark/>
          </w:tcPr>
          <w:p w14:paraId="57EC44E2" w14:textId="77777777" w:rsidR="001A0C9B" w:rsidRPr="001A0C9B" w:rsidRDefault="001A0C9B" w:rsidP="001A0C9B">
            <w:pPr>
              <w:spacing w:after="0" w:line="240" w:lineRule="auto"/>
              <w:jc w:val="right"/>
              <w:rPr>
                <w:rFonts w:ascii="Times New Roman" w:eastAsia="Times New Roman" w:hAnsi="Times New Roman" w:cs="Times New Roman"/>
                <w:color w:val="000000"/>
                <w:kern w:val="0"/>
                <w:sz w:val="16"/>
                <w:szCs w:val="16"/>
                <w:lang w:eastAsia="en-IN"/>
                <w14:ligatures w14:val="none"/>
              </w:rPr>
            </w:pPr>
            <w:r w:rsidRPr="001A0C9B">
              <w:rPr>
                <w:rFonts w:ascii="Times New Roman" w:eastAsia="Times New Roman" w:hAnsi="Times New Roman" w:cs="Times New Roman"/>
                <w:color w:val="000000"/>
                <w:kern w:val="0"/>
                <w:sz w:val="16"/>
                <w:szCs w:val="16"/>
                <w:lang w:eastAsia="en-IN"/>
                <w14:ligatures w14:val="none"/>
              </w:rPr>
              <w:t>0.41</w:t>
            </w:r>
          </w:p>
        </w:tc>
        <w:tc>
          <w:tcPr>
            <w:tcW w:w="754" w:type="dxa"/>
            <w:tcBorders>
              <w:top w:val="nil"/>
              <w:left w:val="nil"/>
              <w:bottom w:val="single" w:sz="4" w:space="0" w:color="auto"/>
              <w:right w:val="single" w:sz="4" w:space="0" w:color="auto"/>
            </w:tcBorders>
            <w:noWrap/>
            <w:vAlign w:val="center"/>
            <w:hideMark/>
          </w:tcPr>
          <w:p w14:paraId="1E1B7B27" w14:textId="77777777" w:rsidR="001A0C9B" w:rsidRPr="001A0C9B" w:rsidRDefault="001A0C9B" w:rsidP="001A0C9B">
            <w:pPr>
              <w:spacing w:after="0" w:line="240" w:lineRule="auto"/>
              <w:jc w:val="right"/>
              <w:rPr>
                <w:rFonts w:ascii="Times New Roman" w:eastAsia="Times New Roman" w:hAnsi="Times New Roman" w:cs="Times New Roman"/>
                <w:color w:val="000000"/>
                <w:kern w:val="0"/>
                <w:sz w:val="16"/>
                <w:szCs w:val="16"/>
                <w:lang w:eastAsia="en-IN"/>
                <w14:ligatures w14:val="none"/>
              </w:rPr>
            </w:pPr>
            <w:r w:rsidRPr="001A0C9B">
              <w:rPr>
                <w:rFonts w:ascii="Times New Roman" w:eastAsia="Times New Roman" w:hAnsi="Times New Roman" w:cs="Times New Roman"/>
                <w:color w:val="000000"/>
                <w:kern w:val="0"/>
                <w:sz w:val="16"/>
                <w:szCs w:val="16"/>
                <w:lang w:eastAsia="en-IN"/>
                <w14:ligatures w14:val="none"/>
              </w:rPr>
              <w:t>26.31</w:t>
            </w:r>
          </w:p>
        </w:tc>
        <w:tc>
          <w:tcPr>
            <w:tcW w:w="723" w:type="dxa"/>
            <w:tcBorders>
              <w:top w:val="nil"/>
              <w:left w:val="nil"/>
              <w:bottom w:val="single" w:sz="4" w:space="0" w:color="auto"/>
              <w:right w:val="single" w:sz="4" w:space="0" w:color="auto"/>
            </w:tcBorders>
            <w:noWrap/>
            <w:vAlign w:val="center"/>
            <w:hideMark/>
          </w:tcPr>
          <w:p w14:paraId="1F5053F9" w14:textId="77777777" w:rsidR="001A0C9B" w:rsidRPr="001A0C9B" w:rsidRDefault="001A0C9B" w:rsidP="001A0C9B">
            <w:pPr>
              <w:spacing w:after="0" w:line="240" w:lineRule="auto"/>
              <w:jc w:val="right"/>
              <w:rPr>
                <w:rFonts w:ascii="Times New Roman" w:eastAsia="Times New Roman" w:hAnsi="Times New Roman" w:cs="Times New Roman"/>
                <w:color w:val="000000"/>
                <w:kern w:val="0"/>
                <w:sz w:val="16"/>
                <w:szCs w:val="16"/>
                <w:lang w:eastAsia="en-IN"/>
                <w14:ligatures w14:val="none"/>
              </w:rPr>
            </w:pPr>
            <w:r w:rsidRPr="001A0C9B">
              <w:rPr>
                <w:rFonts w:ascii="Times New Roman" w:eastAsia="Times New Roman" w:hAnsi="Times New Roman" w:cs="Times New Roman"/>
                <w:color w:val="000000"/>
                <w:kern w:val="0"/>
                <w:sz w:val="16"/>
                <w:szCs w:val="16"/>
                <w:lang w:eastAsia="en-IN"/>
                <w14:ligatures w14:val="none"/>
              </w:rPr>
              <w:t>18.66</w:t>
            </w:r>
          </w:p>
        </w:tc>
        <w:tc>
          <w:tcPr>
            <w:tcW w:w="754" w:type="dxa"/>
            <w:tcBorders>
              <w:top w:val="nil"/>
              <w:left w:val="nil"/>
              <w:bottom w:val="single" w:sz="4" w:space="0" w:color="auto"/>
              <w:right w:val="single" w:sz="4" w:space="0" w:color="auto"/>
            </w:tcBorders>
            <w:noWrap/>
            <w:vAlign w:val="center"/>
            <w:hideMark/>
          </w:tcPr>
          <w:p w14:paraId="67B231E6" w14:textId="77777777" w:rsidR="001A0C9B" w:rsidRPr="001A0C9B" w:rsidRDefault="001A0C9B" w:rsidP="001A0C9B">
            <w:pPr>
              <w:spacing w:after="0" w:line="240" w:lineRule="auto"/>
              <w:rPr>
                <w:rFonts w:ascii="Times New Roman" w:eastAsia="Times New Roman" w:hAnsi="Times New Roman" w:cs="Times New Roman"/>
                <w:color w:val="000000"/>
                <w:kern w:val="0"/>
                <w:sz w:val="16"/>
                <w:szCs w:val="16"/>
                <w:lang w:eastAsia="en-IN"/>
                <w14:ligatures w14:val="none"/>
              </w:rPr>
            </w:pPr>
            <w:r w:rsidRPr="001A0C9B">
              <w:rPr>
                <w:rFonts w:ascii="Times New Roman" w:eastAsia="Times New Roman" w:hAnsi="Times New Roman" w:cs="Times New Roman"/>
                <w:color w:val="000000"/>
                <w:kern w:val="0"/>
                <w:sz w:val="16"/>
                <w:szCs w:val="16"/>
                <w:lang w:eastAsia="en-IN"/>
                <w14:ligatures w14:val="none"/>
              </w:rPr>
              <w:t>..</w:t>
            </w:r>
          </w:p>
        </w:tc>
        <w:tc>
          <w:tcPr>
            <w:tcW w:w="981" w:type="dxa"/>
            <w:tcBorders>
              <w:top w:val="nil"/>
              <w:left w:val="nil"/>
              <w:bottom w:val="single" w:sz="4" w:space="0" w:color="auto"/>
              <w:right w:val="single" w:sz="4" w:space="0" w:color="auto"/>
            </w:tcBorders>
            <w:noWrap/>
            <w:vAlign w:val="center"/>
            <w:hideMark/>
          </w:tcPr>
          <w:p w14:paraId="3A313878" w14:textId="77777777" w:rsidR="001A0C9B" w:rsidRPr="001A0C9B" w:rsidRDefault="001A0C9B" w:rsidP="001A0C9B">
            <w:pPr>
              <w:spacing w:after="0" w:line="240" w:lineRule="auto"/>
              <w:jc w:val="right"/>
              <w:rPr>
                <w:rFonts w:ascii="Times New Roman" w:eastAsia="Times New Roman" w:hAnsi="Times New Roman" w:cs="Times New Roman"/>
                <w:color w:val="000000"/>
                <w:kern w:val="0"/>
                <w:sz w:val="16"/>
                <w:szCs w:val="16"/>
                <w:lang w:eastAsia="en-IN"/>
                <w14:ligatures w14:val="none"/>
              </w:rPr>
            </w:pPr>
            <w:r w:rsidRPr="001A0C9B">
              <w:rPr>
                <w:rFonts w:ascii="Times New Roman" w:eastAsia="Times New Roman" w:hAnsi="Times New Roman" w:cs="Times New Roman"/>
                <w:color w:val="000000"/>
                <w:kern w:val="0"/>
                <w:sz w:val="16"/>
                <w:szCs w:val="16"/>
                <w:lang w:eastAsia="en-IN"/>
                <w14:ligatures w14:val="none"/>
              </w:rPr>
              <w:t>0.76</w:t>
            </w:r>
          </w:p>
        </w:tc>
        <w:tc>
          <w:tcPr>
            <w:tcW w:w="754" w:type="dxa"/>
            <w:tcBorders>
              <w:top w:val="nil"/>
              <w:left w:val="nil"/>
              <w:bottom w:val="single" w:sz="4" w:space="0" w:color="auto"/>
              <w:right w:val="single" w:sz="4" w:space="0" w:color="auto"/>
            </w:tcBorders>
            <w:noWrap/>
            <w:vAlign w:val="center"/>
            <w:hideMark/>
          </w:tcPr>
          <w:p w14:paraId="0D502D5C" w14:textId="77777777" w:rsidR="001A0C9B" w:rsidRPr="001A0C9B" w:rsidRDefault="001A0C9B" w:rsidP="001A0C9B">
            <w:pPr>
              <w:spacing w:after="0" w:line="240" w:lineRule="auto"/>
              <w:jc w:val="right"/>
              <w:rPr>
                <w:rFonts w:ascii="Times New Roman" w:eastAsia="Times New Roman" w:hAnsi="Times New Roman" w:cs="Times New Roman"/>
                <w:color w:val="000000"/>
                <w:kern w:val="0"/>
                <w:sz w:val="16"/>
                <w:szCs w:val="16"/>
                <w:lang w:eastAsia="en-IN"/>
                <w14:ligatures w14:val="none"/>
              </w:rPr>
            </w:pPr>
            <w:r w:rsidRPr="001A0C9B">
              <w:rPr>
                <w:rFonts w:ascii="Times New Roman" w:eastAsia="Times New Roman" w:hAnsi="Times New Roman" w:cs="Times New Roman"/>
                <w:color w:val="000000"/>
                <w:kern w:val="0"/>
                <w:sz w:val="16"/>
                <w:szCs w:val="16"/>
                <w:lang w:eastAsia="en-IN"/>
                <w14:ligatures w14:val="none"/>
              </w:rPr>
              <w:t>29.24</w:t>
            </w:r>
          </w:p>
        </w:tc>
        <w:tc>
          <w:tcPr>
            <w:tcW w:w="723" w:type="dxa"/>
            <w:tcBorders>
              <w:top w:val="nil"/>
              <w:left w:val="nil"/>
              <w:bottom w:val="single" w:sz="4" w:space="0" w:color="auto"/>
              <w:right w:val="single" w:sz="4" w:space="0" w:color="auto"/>
            </w:tcBorders>
            <w:noWrap/>
            <w:vAlign w:val="center"/>
            <w:hideMark/>
          </w:tcPr>
          <w:p w14:paraId="57E8ED20" w14:textId="77777777" w:rsidR="001A0C9B" w:rsidRPr="001A0C9B" w:rsidRDefault="001A0C9B" w:rsidP="001A0C9B">
            <w:pPr>
              <w:spacing w:after="0" w:line="240" w:lineRule="auto"/>
              <w:jc w:val="right"/>
              <w:rPr>
                <w:rFonts w:ascii="Times New Roman" w:eastAsia="Times New Roman" w:hAnsi="Times New Roman" w:cs="Times New Roman"/>
                <w:color w:val="000000"/>
                <w:kern w:val="0"/>
                <w:sz w:val="16"/>
                <w:szCs w:val="16"/>
                <w:lang w:eastAsia="en-IN"/>
                <w14:ligatures w14:val="none"/>
              </w:rPr>
            </w:pPr>
            <w:r w:rsidRPr="001A0C9B">
              <w:rPr>
                <w:rFonts w:ascii="Times New Roman" w:eastAsia="Times New Roman" w:hAnsi="Times New Roman" w:cs="Times New Roman"/>
                <w:color w:val="000000"/>
                <w:kern w:val="0"/>
                <w:sz w:val="16"/>
                <w:szCs w:val="16"/>
                <w:lang w:eastAsia="en-IN"/>
                <w14:ligatures w14:val="none"/>
              </w:rPr>
              <w:t>19.83</w:t>
            </w:r>
          </w:p>
        </w:tc>
      </w:tr>
      <w:tr w:rsidR="001A0C9B" w:rsidRPr="001A0C9B" w14:paraId="2B7C45BA" w14:textId="77777777" w:rsidTr="002A11B0">
        <w:trPr>
          <w:trHeight w:val="166"/>
          <w:jc w:val="center"/>
        </w:trPr>
        <w:tc>
          <w:tcPr>
            <w:tcW w:w="1051" w:type="dxa"/>
            <w:tcBorders>
              <w:top w:val="nil"/>
              <w:left w:val="single" w:sz="4" w:space="0" w:color="auto"/>
              <w:bottom w:val="single" w:sz="4" w:space="0" w:color="auto"/>
              <w:right w:val="single" w:sz="4" w:space="0" w:color="auto"/>
            </w:tcBorders>
            <w:noWrap/>
            <w:vAlign w:val="center"/>
            <w:hideMark/>
          </w:tcPr>
          <w:p w14:paraId="5F6D8690" w14:textId="77777777" w:rsidR="001A0C9B" w:rsidRPr="001A0C9B" w:rsidRDefault="001A0C9B" w:rsidP="001A0C9B">
            <w:pPr>
              <w:spacing w:after="0" w:line="240" w:lineRule="auto"/>
              <w:rPr>
                <w:rFonts w:ascii="Times New Roman" w:eastAsia="Times New Roman" w:hAnsi="Times New Roman" w:cs="Times New Roman"/>
                <w:color w:val="000000"/>
                <w:kern w:val="0"/>
                <w:sz w:val="16"/>
                <w:szCs w:val="16"/>
                <w:lang w:eastAsia="en-IN"/>
                <w14:ligatures w14:val="none"/>
              </w:rPr>
            </w:pPr>
            <w:r w:rsidRPr="001A0C9B">
              <w:rPr>
                <w:rFonts w:ascii="Times New Roman" w:eastAsia="Times New Roman" w:hAnsi="Times New Roman" w:cs="Times New Roman"/>
                <w:color w:val="000000"/>
                <w:kern w:val="0"/>
                <w:sz w:val="16"/>
                <w:szCs w:val="16"/>
                <w:lang w:eastAsia="en-IN"/>
                <w14:ligatures w14:val="none"/>
              </w:rPr>
              <w:t>Bihar</w:t>
            </w:r>
          </w:p>
        </w:tc>
        <w:tc>
          <w:tcPr>
            <w:tcW w:w="669" w:type="dxa"/>
            <w:tcBorders>
              <w:top w:val="nil"/>
              <w:left w:val="nil"/>
              <w:bottom w:val="single" w:sz="4" w:space="0" w:color="auto"/>
              <w:right w:val="single" w:sz="4" w:space="0" w:color="auto"/>
            </w:tcBorders>
            <w:noWrap/>
            <w:vAlign w:val="center"/>
            <w:hideMark/>
          </w:tcPr>
          <w:p w14:paraId="07D037F4" w14:textId="77777777" w:rsidR="001A0C9B" w:rsidRPr="001A0C9B" w:rsidRDefault="001A0C9B" w:rsidP="001A0C9B">
            <w:pPr>
              <w:spacing w:after="0" w:line="240" w:lineRule="auto"/>
              <w:jc w:val="right"/>
              <w:rPr>
                <w:rFonts w:ascii="Times New Roman" w:eastAsia="Times New Roman" w:hAnsi="Times New Roman" w:cs="Times New Roman"/>
                <w:color w:val="000000"/>
                <w:kern w:val="0"/>
                <w:sz w:val="16"/>
                <w:szCs w:val="16"/>
                <w:lang w:eastAsia="en-IN"/>
                <w14:ligatures w14:val="none"/>
              </w:rPr>
            </w:pPr>
            <w:r w:rsidRPr="001A0C9B">
              <w:rPr>
                <w:rFonts w:ascii="Times New Roman" w:eastAsia="Times New Roman" w:hAnsi="Times New Roman" w:cs="Times New Roman"/>
                <w:color w:val="000000"/>
                <w:kern w:val="0"/>
                <w:sz w:val="16"/>
                <w:szCs w:val="16"/>
                <w:lang w:eastAsia="en-IN"/>
                <w14:ligatures w14:val="none"/>
              </w:rPr>
              <w:t>31.24</w:t>
            </w:r>
          </w:p>
        </w:tc>
        <w:tc>
          <w:tcPr>
            <w:tcW w:w="723" w:type="dxa"/>
            <w:tcBorders>
              <w:top w:val="nil"/>
              <w:left w:val="nil"/>
              <w:bottom w:val="single" w:sz="4" w:space="0" w:color="auto"/>
              <w:right w:val="single" w:sz="4" w:space="0" w:color="auto"/>
            </w:tcBorders>
            <w:noWrap/>
            <w:vAlign w:val="center"/>
            <w:hideMark/>
          </w:tcPr>
          <w:p w14:paraId="59FF45DC" w14:textId="77777777" w:rsidR="001A0C9B" w:rsidRPr="001A0C9B" w:rsidRDefault="001A0C9B" w:rsidP="001A0C9B">
            <w:pPr>
              <w:spacing w:after="0" w:line="240" w:lineRule="auto"/>
              <w:jc w:val="right"/>
              <w:rPr>
                <w:rFonts w:ascii="Times New Roman" w:eastAsia="Times New Roman" w:hAnsi="Times New Roman" w:cs="Times New Roman"/>
                <w:color w:val="000000"/>
                <w:kern w:val="0"/>
                <w:sz w:val="16"/>
                <w:szCs w:val="16"/>
                <w:lang w:eastAsia="en-IN"/>
                <w14:ligatures w14:val="none"/>
              </w:rPr>
            </w:pPr>
            <w:r w:rsidRPr="001A0C9B">
              <w:rPr>
                <w:rFonts w:ascii="Times New Roman" w:eastAsia="Times New Roman" w:hAnsi="Times New Roman" w:cs="Times New Roman"/>
                <w:color w:val="000000"/>
                <w:kern w:val="0"/>
                <w:sz w:val="16"/>
                <w:szCs w:val="16"/>
                <w:lang w:eastAsia="en-IN"/>
                <w14:ligatures w14:val="none"/>
              </w:rPr>
              <w:t>6.72</w:t>
            </w:r>
          </w:p>
        </w:tc>
        <w:tc>
          <w:tcPr>
            <w:tcW w:w="773" w:type="dxa"/>
            <w:tcBorders>
              <w:top w:val="nil"/>
              <w:left w:val="nil"/>
              <w:bottom w:val="single" w:sz="4" w:space="0" w:color="auto"/>
              <w:right w:val="single" w:sz="4" w:space="0" w:color="auto"/>
            </w:tcBorders>
            <w:noWrap/>
            <w:vAlign w:val="center"/>
            <w:hideMark/>
          </w:tcPr>
          <w:p w14:paraId="3127E7EF" w14:textId="3C31FDDB" w:rsidR="001A0C9B" w:rsidRPr="001A0C9B" w:rsidRDefault="001A0C9B" w:rsidP="001A0C9B">
            <w:pPr>
              <w:spacing w:after="0" w:line="240" w:lineRule="auto"/>
              <w:jc w:val="right"/>
              <w:rPr>
                <w:rFonts w:ascii="Times New Roman" w:eastAsia="Times New Roman" w:hAnsi="Times New Roman" w:cs="Times New Roman"/>
                <w:color w:val="000000"/>
                <w:kern w:val="0"/>
                <w:sz w:val="16"/>
                <w:szCs w:val="16"/>
                <w:lang w:eastAsia="en-IN"/>
                <w14:ligatures w14:val="none"/>
              </w:rPr>
            </w:pPr>
            <w:r w:rsidRPr="001A0C9B">
              <w:rPr>
                <w:rFonts w:ascii="Times New Roman" w:eastAsia="Times New Roman" w:hAnsi="Times New Roman" w:cs="Times New Roman"/>
                <w:color w:val="000000"/>
                <w:kern w:val="0"/>
                <w:sz w:val="16"/>
                <w:szCs w:val="16"/>
                <w:lang w:eastAsia="en-IN"/>
                <w14:ligatures w14:val="none"/>
              </w:rPr>
              <w:t>50</w:t>
            </w:r>
            <w:r w:rsidR="0063665D">
              <w:rPr>
                <w:rFonts w:ascii="Times New Roman" w:eastAsia="Times New Roman" w:hAnsi="Times New Roman" w:cs="Times New Roman"/>
                <w:color w:val="000000"/>
                <w:kern w:val="0"/>
                <w:sz w:val="16"/>
                <w:szCs w:val="16"/>
                <w:lang w:eastAsia="en-IN"/>
                <w14:ligatures w14:val="none"/>
              </w:rPr>
              <w:t>.00</w:t>
            </w:r>
          </w:p>
        </w:tc>
        <w:tc>
          <w:tcPr>
            <w:tcW w:w="981" w:type="dxa"/>
            <w:tcBorders>
              <w:top w:val="nil"/>
              <w:left w:val="nil"/>
              <w:bottom w:val="single" w:sz="4" w:space="0" w:color="auto"/>
              <w:right w:val="single" w:sz="4" w:space="0" w:color="auto"/>
            </w:tcBorders>
            <w:noWrap/>
            <w:vAlign w:val="center"/>
            <w:hideMark/>
          </w:tcPr>
          <w:p w14:paraId="62F97B96" w14:textId="77777777" w:rsidR="001A0C9B" w:rsidRPr="001A0C9B" w:rsidRDefault="001A0C9B" w:rsidP="001A0C9B">
            <w:pPr>
              <w:spacing w:after="0" w:line="240" w:lineRule="auto"/>
              <w:jc w:val="right"/>
              <w:rPr>
                <w:rFonts w:ascii="Times New Roman" w:eastAsia="Times New Roman" w:hAnsi="Times New Roman" w:cs="Times New Roman"/>
                <w:color w:val="000000"/>
                <w:kern w:val="0"/>
                <w:sz w:val="16"/>
                <w:szCs w:val="16"/>
                <w:lang w:eastAsia="en-IN"/>
                <w14:ligatures w14:val="none"/>
              </w:rPr>
            </w:pPr>
            <w:r w:rsidRPr="001A0C9B">
              <w:rPr>
                <w:rFonts w:ascii="Times New Roman" w:eastAsia="Times New Roman" w:hAnsi="Times New Roman" w:cs="Times New Roman"/>
                <w:color w:val="000000"/>
                <w:kern w:val="0"/>
                <w:sz w:val="16"/>
                <w:szCs w:val="16"/>
                <w:lang w:eastAsia="en-IN"/>
                <w14:ligatures w14:val="none"/>
              </w:rPr>
              <w:t>24.01</w:t>
            </w:r>
          </w:p>
        </w:tc>
        <w:tc>
          <w:tcPr>
            <w:tcW w:w="669" w:type="dxa"/>
            <w:tcBorders>
              <w:top w:val="nil"/>
              <w:left w:val="nil"/>
              <w:bottom w:val="single" w:sz="4" w:space="0" w:color="auto"/>
              <w:right w:val="single" w:sz="4" w:space="0" w:color="auto"/>
            </w:tcBorders>
            <w:noWrap/>
            <w:vAlign w:val="center"/>
            <w:hideMark/>
          </w:tcPr>
          <w:p w14:paraId="18071970" w14:textId="77777777" w:rsidR="001A0C9B" w:rsidRPr="001A0C9B" w:rsidRDefault="001A0C9B" w:rsidP="001A0C9B">
            <w:pPr>
              <w:spacing w:after="0" w:line="240" w:lineRule="auto"/>
              <w:jc w:val="right"/>
              <w:rPr>
                <w:rFonts w:ascii="Times New Roman" w:eastAsia="Times New Roman" w:hAnsi="Times New Roman" w:cs="Times New Roman"/>
                <w:color w:val="000000"/>
                <w:kern w:val="0"/>
                <w:sz w:val="16"/>
                <w:szCs w:val="16"/>
                <w:lang w:eastAsia="en-IN"/>
                <w14:ligatures w14:val="none"/>
              </w:rPr>
            </w:pPr>
            <w:r w:rsidRPr="001A0C9B">
              <w:rPr>
                <w:rFonts w:ascii="Times New Roman" w:eastAsia="Times New Roman" w:hAnsi="Times New Roman" w:cs="Times New Roman"/>
                <w:color w:val="000000"/>
                <w:kern w:val="0"/>
                <w:sz w:val="16"/>
                <w:szCs w:val="16"/>
                <w:lang w:eastAsia="en-IN"/>
                <w14:ligatures w14:val="none"/>
              </w:rPr>
              <w:t>54.92</w:t>
            </w:r>
          </w:p>
        </w:tc>
        <w:tc>
          <w:tcPr>
            <w:tcW w:w="679" w:type="dxa"/>
            <w:tcBorders>
              <w:top w:val="nil"/>
              <w:left w:val="nil"/>
              <w:bottom w:val="single" w:sz="4" w:space="0" w:color="auto"/>
              <w:right w:val="single" w:sz="4" w:space="0" w:color="auto"/>
            </w:tcBorders>
            <w:noWrap/>
            <w:vAlign w:val="center"/>
            <w:hideMark/>
          </w:tcPr>
          <w:p w14:paraId="63679F66" w14:textId="77777777" w:rsidR="001A0C9B" w:rsidRPr="001A0C9B" w:rsidRDefault="001A0C9B" w:rsidP="001A0C9B">
            <w:pPr>
              <w:spacing w:after="0" w:line="240" w:lineRule="auto"/>
              <w:jc w:val="right"/>
              <w:rPr>
                <w:rFonts w:ascii="Times New Roman" w:eastAsia="Times New Roman" w:hAnsi="Times New Roman" w:cs="Times New Roman"/>
                <w:color w:val="000000"/>
                <w:kern w:val="0"/>
                <w:sz w:val="16"/>
                <w:szCs w:val="16"/>
                <w:lang w:eastAsia="en-IN"/>
                <w14:ligatures w14:val="none"/>
              </w:rPr>
            </w:pPr>
            <w:r w:rsidRPr="001A0C9B">
              <w:rPr>
                <w:rFonts w:ascii="Times New Roman" w:eastAsia="Times New Roman" w:hAnsi="Times New Roman" w:cs="Times New Roman"/>
                <w:color w:val="000000"/>
                <w:kern w:val="0"/>
                <w:sz w:val="16"/>
                <w:szCs w:val="16"/>
                <w:lang w:eastAsia="en-IN"/>
                <w14:ligatures w14:val="none"/>
              </w:rPr>
              <w:t>10.71</w:t>
            </w:r>
          </w:p>
        </w:tc>
        <w:tc>
          <w:tcPr>
            <w:tcW w:w="773" w:type="dxa"/>
            <w:tcBorders>
              <w:top w:val="nil"/>
              <w:left w:val="nil"/>
              <w:bottom w:val="single" w:sz="4" w:space="0" w:color="auto"/>
              <w:right w:val="single" w:sz="4" w:space="0" w:color="auto"/>
            </w:tcBorders>
            <w:noWrap/>
            <w:vAlign w:val="center"/>
            <w:hideMark/>
          </w:tcPr>
          <w:p w14:paraId="195AF15C" w14:textId="77777777" w:rsidR="001A0C9B" w:rsidRPr="001A0C9B" w:rsidRDefault="001A0C9B" w:rsidP="001A0C9B">
            <w:pPr>
              <w:spacing w:after="0" w:line="240" w:lineRule="auto"/>
              <w:jc w:val="right"/>
              <w:rPr>
                <w:rFonts w:ascii="Times New Roman" w:eastAsia="Times New Roman" w:hAnsi="Times New Roman" w:cs="Times New Roman"/>
                <w:color w:val="000000"/>
                <w:kern w:val="0"/>
                <w:sz w:val="16"/>
                <w:szCs w:val="16"/>
                <w:lang w:eastAsia="en-IN"/>
                <w14:ligatures w14:val="none"/>
              </w:rPr>
            </w:pPr>
            <w:r w:rsidRPr="001A0C9B">
              <w:rPr>
                <w:rFonts w:ascii="Times New Roman" w:eastAsia="Times New Roman" w:hAnsi="Times New Roman" w:cs="Times New Roman"/>
                <w:color w:val="000000"/>
                <w:kern w:val="0"/>
                <w:sz w:val="16"/>
                <w:szCs w:val="16"/>
                <w:lang w:eastAsia="en-IN"/>
                <w14:ligatures w14:val="none"/>
              </w:rPr>
              <w:t>2.14</w:t>
            </w:r>
          </w:p>
        </w:tc>
        <w:tc>
          <w:tcPr>
            <w:tcW w:w="981" w:type="dxa"/>
            <w:tcBorders>
              <w:top w:val="nil"/>
              <w:left w:val="nil"/>
              <w:bottom w:val="single" w:sz="4" w:space="0" w:color="auto"/>
              <w:right w:val="single" w:sz="4" w:space="0" w:color="auto"/>
            </w:tcBorders>
            <w:noWrap/>
            <w:vAlign w:val="center"/>
            <w:hideMark/>
          </w:tcPr>
          <w:p w14:paraId="50EA2013" w14:textId="77777777" w:rsidR="001A0C9B" w:rsidRPr="001A0C9B" w:rsidRDefault="001A0C9B" w:rsidP="001A0C9B">
            <w:pPr>
              <w:spacing w:after="0" w:line="240" w:lineRule="auto"/>
              <w:jc w:val="right"/>
              <w:rPr>
                <w:rFonts w:ascii="Times New Roman" w:eastAsia="Times New Roman" w:hAnsi="Times New Roman" w:cs="Times New Roman"/>
                <w:color w:val="000000"/>
                <w:kern w:val="0"/>
                <w:sz w:val="16"/>
                <w:szCs w:val="16"/>
                <w:lang w:eastAsia="en-IN"/>
                <w14:ligatures w14:val="none"/>
              </w:rPr>
            </w:pPr>
            <w:r w:rsidRPr="001A0C9B">
              <w:rPr>
                <w:rFonts w:ascii="Times New Roman" w:eastAsia="Times New Roman" w:hAnsi="Times New Roman" w:cs="Times New Roman"/>
                <w:color w:val="000000"/>
                <w:kern w:val="0"/>
                <w:sz w:val="16"/>
                <w:szCs w:val="16"/>
                <w:lang w:eastAsia="en-IN"/>
                <w14:ligatures w14:val="none"/>
              </w:rPr>
              <w:t>1.08</w:t>
            </w:r>
          </w:p>
        </w:tc>
        <w:tc>
          <w:tcPr>
            <w:tcW w:w="782" w:type="dxa"/>
            <w:tcBorders>
              <w:top w:val="nil"/>
              <w:left w:val="nil"/>
              <w:bottom w:val="single" w:sz="4" w:space="0" w:color="auto"/>
              <w:right w:val="single" w:sz="4" w:space="0" w:color="auto"/>
            </w:tcBorders>
            <w:noWrap/>
            <w:vAlign w:val="center"/>
            <w:hideMark/>
          </w:tcPr>
          <w:p w14:paraId="40DD67F2" w14:textId="77777777" w:rsidR="001A0C9B" w:rsidRPr="001A0C9B" w:rsidRDefault="001A0C9B" w:rsidP="001A0C9B">
            <w:pPr>
              <w:spacing w:after="0" w:line="240" w:lineRule="auto"/>
              <w:jc w:val="right"/>
              <w:rPr>
                <w:rFonts w:ascii="Times New Roman" w:eastAsia="Times New Roman" w:hAnsi="Times New Roman" w:cs="Times New Roman"/>
                <w:color w:val="000000"/>
                <w:kern w:val="0"/>
                <w:sz w:val="16"/>
                <w:szCs w:val="16"/>
                <w:lang w:eastAsia="en-IN"/>
                <w14:ligatures w14:val="none"/>
              </w:rPr>
            </w:pPr>
            <w:r w:rsidRPr="001A0C9B">
              <w:rPr>
                <w:rFonts w:ascii="Times New Roman" w:eastAsia="Times New Roman" w:hAnsi="Times New Roman" w:cs="Times New Roman"/>
                <w:color w:val="000000"/>
                <w:kern w:val="0"/>
                <w:sz w:val="16"/>
                <w:szCs w:val="16"/>
                <w:lang w:eastAsia="en-IN"/>
                <w14:ligatures w14:val="none"/>
              </w:rPr>
              <w:t>55.76</w:t>
            </w:r>
          </w:p>
        </w:tc>
        <w:tc>
          <w:tcPr>
            <w:tcW w:w="723" w:type="dxa"/>
            <w:tcBorders>
              <w:top w:val="nil"/>
              <w:left w:val="nil"/>
              <w:bottom w:val="single" w:sz="4" w:space="0" w:color="auto"/>
              <w:right w:val="single" w:sz="4" w:space="0" w:color="auto"/>
            </w:tcBorders>
            <w:noWrap/>
            <w:vAlign w:val="center"/>
            <w:hideMark/>
          </w:tcPr>
          <w:p w14:paraId="08E9901A" w14:textId="77777777" w:rsidR="001A0C9B" w:rsidRPr="001A0C9B" w:rsidRDefault="001A0C9B" w:rsidP="001A0C9B">
            <w:pPr>
              <w:spacing w:after="0" w:line="240" w:lineRule="auto"/>
              <w:jc w:val="right"/>
              <w:rPr>
                <w:rFonts w:ascii="Times New Roman" w:eastAsia="Times New Roman" w:hAnsi="Times New Roman" w:cs="Times New Roman"/>
                <w:color w:val="000000"/>
                <w:kern w:val="0"/>
                <w:sz w:val="16"/>
                <w:szCs w:val="16"/>
                <w:lang w:eastAsia="en-IN"/>
                <w14:ligatures w14:val="none"/>
              </w:rPr>
            </w:pPr>
            <w:r w:rsidRPr="001A0C9B">
              <w:rPr>
                <w:rFonts w:ascii="Times New Roman" w:eastAsia="Times New Roman" w:hAnsi="Times New Roman" w:cs="Times New Roman"/>
                <w:color w:val="000000"/>
                <w:kern w:val="0"/>
                <w:sz w:val="16"/>
                <w:szCs w:val="16"/>
                <w:lang w:eastAsia="en-IN"/>
                <w14:ligatures w14:val="none"/>
              </w:rPr>
              <w:t>10.62</w:t>
            </w:r>
          </w:p>
        </w:tc>
        <w:tc>
          <w:tcPr>
            <w:tcW w:w="741" w:type="dxa"/>
            <w:tcBorders>
              <w:top w:val="nil"/>
              <w:left w:val="nil"/>
              <w:bottom w:val="single" w:sz="4" w:space="0" w:color="auto"/>
              <w:right w:val="single" w:sz="4" w:space="0" w:color="auto"/>
            </w:tcBorders>
            <w:noWrap/>
            <w:vAlign w:val="center"/>
            <w:hideMark/>
          </w:tcPr>
          <w:p w14:paraId="0349D91D" w14:textId="77777777" w:rsidR="001A0C9B" w:rsidRPr="001A0C9B" w:rsidRDefault="001A0C9B" w:rsidP="001A0C9B">
            <w:pPr>
              <w:spacing w:after="0" w:line="240" w:lineRule="auto"/>
              <w:jc w:val="right"/>
              <w:rPr>
                <w:rFonts w:ascii="Times New Roman" w:eastAsia="Times New Roman" w:hAnsi="Times New Roman" w:cs="Times New Roman"/>
                <w:color w:val="000000"/>
                <w:kern w:val="0"/>
                <w:sz w:val="16"/>
                <w:szCs w:val="16"/>
                <w:lang w:eastAsia="en-IN"/>
                <w14:ligatures w14:val="none"/>
              </w:rPr>
            </w:pPr>
            <w:r w:rsidRPr="001A0C9B">
              <w:rPr>
                <w:rFonts w:ascii="Times New Roman" w:eastAsia="Times New Roman" w:hAnsi="Times New Roman" w:cs="Times New Roman"/>
                <w:color w:val="000000"/>
                <w:kern w:val="0"/>
                <w:sz w:val="16"/>
                <w:szCs w:val="16"/>
                <w:lang w:eastAsia="en-IN"/>
                <w14:ligatures w14:val="none"/>
              </w:rPr>
              <w:t>2.36</w:t>
            </w:r>
          </w:p>
        </w:tc>
        <w:tc>
          <w:tcPr>
            <w:tcW w:w="981" w:type="dxa"/>
            <w:tcBorders>
              <w:top w:val="nil"/>
              <w:left w:val="nil"/>
              <w:bottom w:val="single" w:sz="4" w:space="0" w:color="auto"/>
              <w:right w:val="single" w:sz="4" w:space="0" w:color="auto"/>
            </w:tcBorders>
            <w:noWrap/>
            <w:vAlign w:val="center"/>
            <w:hideMark/>
          </w:tcPr>
          <w:p w14:paraId="431AF2B2" w14:textId="77777777" w:rsidR="001A0C9B" w:rsidRPr="001A0C9B" w:rsidRDefault="001A0C9B" w:rsidP="001A0C9B">
            <w:pPr>
              <w:spacing w:after="0" w:line="240" w:lineRule="auto"/>
              <w:jc w:val="right"/>
              <w:rPr>
                <w:rFonts w:ascii="Times New Roman" w:eastAsia="Times New Roman" w:hAnsi="Times New Roman" w:cs="Times New Roman"/>
                <w:color w:val="000000"/>
                <w:kern w:val="0"/>
                <w:sz w:val="16"/>
                <w:szCs w:val="16"/>
                <w:lang w:eastAsia="en-IN"/>
                <w14:ligatures w14:val="none"/>
              </w:rPr>
            </w:pPr>
            <w:r w:rsidRPr="001A0C9B">
              <w:rPr>
                <w:rFonts w:ascii="Times New Roman" w:eastAsia="Times New Roman" w:hAnsi="Times New Roman" w:cs="Times New Roman"/>
                <w:color w:val="000000"/>
                <w:kern w:val="0"/>
                <w:sz w:val="16"/>
                <w:szCs w:val="16"/>
                <w:lang w:eastAsia="en-IN"/>
                <w14:ligatures w14:val="none"/>
              </w:rPr>
              <w:t>1.14</w:t>
            </w:r>
          </w:p>
        </w:tc>
        <w:tc>
          <w:tcPr>
            <w:tcW w:w="754" w:type="dxa"/>
            <w:tcBorders>
              <w:top w:val="nil"/>
              <w:left w:val="nil"/>
              <w:bottom w:val="single" w:sz="4" w:space="0" w:color="auto"/>
              <w:right w:val="single" w:sz="4" w:space="0" w:color="auto"/>
            </w:tcBorders>
            <w:noWrap/>
            <w:vAlign w:val="center"/>
            <w:hideMark/>
          </w:tcPr>
          <w:p w14:paraId="7BDD633D" w14:textId="77777777" w:rsidR="001A0C9B" w:rsidRPr="001A0C9B" w:rsidRDefault="001A0C9B" w:rsidP="001A0C9B">
            <w:pPr>
              <w:spacing w:after="0" w:line="240" w:lineRule="auto"/>
              <w:jc w:val="right"/>
              <w:rPr>
                <w:rFonts w:ascii="Times New Roman" w:eastAsia="Times New Roman" w:hAnsi="Times New Roman" w:cs="Times New Roman"/>
                <w:color w:val="000000"/>
                <w:kern w:val="0"/>
                <w:sz w:val="16"/>
                <w:szCs w:val="16"/>
                <w:lang w:eastAsia="en-IN"/>
                <w14:ligatures w14:val="none"/>
              </w:rPr>
            </w:pPr>
            <w:r w:rsidRPr="001A0C9B">
              <w:rPr>
                <w:rFonts w:ascii="Times New Roman" w:eastAsia="Times New Roman" w:hAnsi="Times New Roman" w:cs="Times New Roman"/>
                <w:color w:val="000000"/>
                <w:kern w:val="0"/>
                <w:sz w:val="16"/>
                <w:szCs w:val="16"/>
                <w:lang w:eastAsia="en-IN"/>
                <w14:ligatures w14:val="none"/>
              </w:rPr>
              <w:t>64.29</w:t>
            </w:r>
          </w:p>
        </w:tc>
        <w:tc>
          <w:tcPr>
            <w:tcW w:w="723" w:type="dxa"/>
            <w:tcBorders>
              <w:top w:val="nil"/>
              <w:left w:val="nil"/>
              <w:bottom w:val="single" w:sz="4" w:space="0" w:color="auto"/>
              <w:right w:val="single" w:sz="4" w:space="0" w:color="auto"/>
            </w:tcBorders>
            <w:noWrap/>
            <w:vAlign w:val="center"/>
            <w:hideMark/>
          </w:tcPr>
          <w:p w14:paraId="7735246D" w14:textId="77777777" w:rsidR="001A0C9B" w:rsidRPr="001A0C9B" w:rsidRDefault="001A0C9B" w:rsidP="001A0C9B">
            <w:pPr>
              <w:spacing w:after="0" w:line="240" w:lineRule="auto"/>
              <w:jc w:val="right"/>
              <w:rPr>
                <w:rFonts w:ascii="Times New Roman" w:eastAsia="Times New Roman" w:hAnsi="Times New Roman" w:cs="Times New Roman"/>
                <w:color w:val="000000"/>
                <w:kern w:val="0"/>
                <w:sz w:val="16"/>
                <w:szCs w:val="16"/>
                <w:lang w:eastAsia="en-IN"/>
                <w14:ligatures w14:val="none"/>
              </w:rPr>
            </w:pPr>
            <w:r w:rsidRPr="001A0C9B">
              <w:rPr>
                <w:rFonts w:ascii="Times New Roman" w:eastAsia="Times New Roman" w:hAnsi="Times New Roman" w:cs="Times New Roman"/>
                <w:color w:val="000000"/>
                <w:kern w:val="0"/>
                <w:sz w:val="16"/>
                <w:szCs w:val="16"/>
                <w:lang w:eastAsia="en-IN"/>
                <w14:ligatures w14:val="none"/>
              </w:rPr>
              <w:t>12.06</w:t>
            </w:r>
          </w:p>
        </w:tc>
        <w:tc>
          <w:tcPr>
            <w:tcW w:w="754" w:type="dxa"/>
            <w:tcBorders>
              <w:top w:val="nil"/>
              <w:left w:val="nil"/>
              <w:bottom w:val="single" w:sz="4" w:space="0" w:color="auto"/>
              <w:right w:val="single" w:sz="4" w:space="0" w:color="auto"/>
            </w:tcBorders>
            <w:noWrap/>
            <w:vAlign w:val="center"/>
            <w:hideMark/>
          </w:tcPr>
          <w:p w14:paraId="4CC360CF" w14:textId="152E7EA2" w:rsidR="001A0C9B" w:rsidRPr="001A0C9B" w:rsidRDefault="001A0C9B" w:rsidP="001A0C9B">
            <w:pPr>
              <w:spacing w:after="0" w:line="240" w:lineRule="auto"/>
              <w:jc w:val="right"/>
              <w:rPr>
                <w:rFonts w:ascii="Times New Roman" w:eastAsia="Times New Roman" w:hAnsi="Times New Roman" w:cs="Times New Roman"/>
                <w:color w:val="000000"/>
                <w:kern w:val="0"/>
                <w:sz w:val="16"/>
                <w:szCs w:val="16"/>
                <w:lang w:eastAsia="en-IN"/>
                <w14:ligatures w14:val="none"/>
              </w:rPr>
            </w:pPr>
            <w:r w:rsidRPr="001A0C9B">
              <w:rPr>
                <w:rFonts w:ascii="Times New Roman" w:eastAsia="Times New Roman" w:hAnsi="Times New Roman" w:cs="Times New Roman"/>
                <w:color w:val="000000"/>
                <w:kern w:val="0"/>
                <w:sz w:val="16"/>
                <w:szCs w:val="16"/>
                <w:lang w:eastAsia="en-IN"/>
                <w14:ligatures w14:val="none"/>
              </w:rPr>
              <w:t>5.3</w:t>
            </w:r>
            <w:r w:rsidR="0063665D">
              <w:rPr>
                <w:rFonts w:ascii="Times New Roman" w:eastAsia="Times New Roman" w:hAnsi="Times New Roman" w:cs="Times New Roman"/>
                <w:color w:val="000000"/>
                <w:kern w:val="0"/>
                <w:sz w:val="16"/>
                <w:szCs w:val="16"/>
                <w:lang w:eastAsia="en-IN"/>
                <w14:ligatures w14:val="none"/>
              </w:rPr>
              <w:t>0</w:t>
            </w:r>
          </w:p>
        </w:tc>
        <w:tc>
          <w:tcPr>
            <w:tcW w:w="981" w:type="dxa"/>
            <w:tcBorders>
              <w:top w:val="nil"/>
              <w:left w:val="nil"/>
              <w:bottom w:val="single" w:sz="4" w:space="0" w:color="auto"/>
              <w:right w:val="single" w:sz="4" w:space="0" w:color="auto"/>
            </w:tcBorders>
            <w:noWrap/>
            <w:vAlign w:val="center"/>
            <w:hideMark/>
          </w:tcPr>
          <w:p w14:paraId="7E65BEBC" w14:textId="703D1434" w:rsidR="001A0C9B" w:rsidRPr="001A0C9B" w:rsidRDefault="001A0C9B" w:rsidP="001A0C9B">
            <w:pPr>
              <w:spacing w:after="0" w:line="240" w:lineRule="auto"/>
              <w:jc w:val="right"/>
              <w:rPr>
                <w:rFonts w:ascii="Times New Roman" w:eastAsia="Times New Roman" w:hAnsi="Times New Roman" w:cs="Times New Roman"/>
                <w:color w:val="000000"/>
                <w:kern w:val="0"/>
                <w:sz w:val="16"/>
                <w:szCs w:val="16"/>
                <w:lang w:eastAsia="en-IN"/>
                <w14:ligatures w14:val="none"/>
              </w:rPr>
            </w:pPr>
            <w:r w:rsidRPr="001A0C9B">
              <w:rPr>
                <w:rFonts w:ascii="Times New Roman" w:eastAsia="Times New Roman" w:hAnsi="Times New Roman" w:cs="Times New Roman"/>
                <w:color w:val="000000"/>
                <w:kern w:val="0"/>
                <w:sz w:val="16"/>
                <w:szCs w:val="16"/>
                <w:lang w:eastAsia="en-IN"/>
                <w14:ligatures w14:val="none"/>
              </w:rPr>
              <w:t>2</w:t>
            </w:r>
            <w:r w:rsidR="0063665D">
              <w:rPr>
                <w:rFonts w:ascii="Times New Roman" w:eastAsia="Times New Roman" w:hAnsi="Times New Roman" w:cs="Times New Roman"/>
                <w:color w:val="000000"/>
                <w:kern w:val="0"/>
                <w:sz w:val="16"/>
                <w:szCs w:val="16"/>
                <w:lang w:eastAsia="en-IN"/>
                <w14:ligatures w14:val="none"/>
              </w:rPr>
              <w:t>.00</w:t>
            </w:r>
          </w:p>
        </w:tc>
        <w:tc>
          <w:tcPr>
            <w:tcW w:w="754" w:type="dxa"/>
            <w:tcBorders>
              <w:top w:val="nil"/>
              <w:left w:val="nil"/>
              <w:bottom w:val="single" w:sz="4" w:space="0" w:color="auto"/>
              <w:right w:val="single" w:sz="4" w:space="0" w:color="auto"/>
            </w:tcBorders>
            <w:noWrap/>
            <w:vAlign w:val="center"/>
            <w:hideMark/>
          </w:tcPr>
          <w:p w14:paraId="205334D3" w14:textId="77777777" w:rsidR="001A0C9B" w:rsidRPr="001A0C9B" w:rsidRDefault="001A0C9B" w:rsidP="001A0C9B">
            <w:pPr>
              <w:spacing w:after="0" w:line="240" w:lineRule="auto"/>
              <w:jc w:val="right"/>
              <w:rPr>
                <w:rFonts w:ascii="Times New Roman" w:eastAsia="Times New Roman" w:hAnsi="Times New Roman" w:cs="Times New Roman"/>
                <w:color w:val="000000"/>
                <w:kern w:val="0"/>
                <w:sz w:val="16"/>
                <w:szCs w:val="16"/>
                <w:lang w:eastAsia="en-IN"/>
                <w14:ligatures w14:val="none"/>
              </w:rPr>
            </w:pPr>
            <w:r w:rsidRPr="001A0C9B">
              <w:rPr>
                <w:rFonts w:ascii="Times New Roman" w:eastAsia="Times New Roman" w:hAnsi="Times New Roman" w:cs="Times New Roman"/>
                <w:color w:val="000000"/>
                <w:kern w:val="0"/>
                <w:sz w:val="16"/>
                <w:szCs w:val="16"/>
                <w:lang w:eastAsia="en-IN"/>
                <w14:ligatures w14:val="none"/>
              </w:rPr>
              <w:t>72.23</w:t>
            </w:r>
          </w:p>
        </w:tc>
        <w:tc>
          <w:tcPr>
            <w:tcW w:w="723" w:type="dxa"/>
            <w:tcBorders>
              <w:top w:val="nil"/>
              <w:left w:val="nil"/>
              <w:bottom w:val="single" w:sz="4" w:space="0" w:color="auto"/>
              <w:right w:val="single" w:sz="4" w:space="0" w:color="auto"/>
            </w:tcBorders>
            <w:noWrap/>
            <w:vAlign w:val="center"/>
            <w:hideMark/>
          </w:tcPr>
          <w:p w14:paraId="331E4650" w14:textId="77777777" w:rsidR="001A0C9B" w:rsidRPr="001A0C9B" w:rsidRDefault="001A0C9B" w:rsidP="001A0C9B">
            <w:pPr>
              <w:spacing w:after="0" w:line="240" w:lineRule="auto"/>
              <w:jc w:val="right"/>
              <w:rPr>
                <w:rFonts w:ascii="Times New Roman" w:eastAsia="Times New Roman" w:hAnsi="Times New Roman" w:cs="Times New Roman"/>
                <w:color w:val="000000"/>
                <w:kern w:val="0"/>
                <w:sz w:val="16"/>
                <w:szCs w:val="16"/>
                <w:lang w:eastAsia="en-IN"/>
                <w14:ligatures w14:val="none"/>
              </w:rPr>
            </w:pPr>
            <w:r w:rsidRPr="001A0C9B">
              <w:rPr>
                <w:rFonts w:ascii="Times New Roman" w:eastAsia="Times New Roman" w:hAnsi="Times New Roman" w:cs="Times New Roman"/>
                <w:color w:val="000000"/>
                <w:kern w:val="0"/>
                <w:sz w:val="16"/>
                <w:szCs w:val="16"/>
                <w:lang w:eastAsia="en-IN"/>
                <w14:ligatures w14:val="none"/>
              </w:rPr>
              <w:t>13.11</w:t>
            </w:r>
          </w:p>
        </w:tc>
      </w:tr>
      <w:tr w:rsidR="001A0C9B" w:rsidRPr="001A0C9B" w14:paraId="1A8AA296" w14:textId="77777777" w:rsidTr="002A11B0">
        <w:trPr>
          <w:trHeight w:val="166"/>
          <w:jc w:val="center"/>
        </w:trPr>
        <w:tc>
          <w:tcPr>
            <w:tcW w:w="1051" w:type="dxa"/>
            <w:tcBorders>
              <w:top w:val="nil"/>
              <w:left w:val="single" w:sz="4" w:space="0" w:color="auto"/>
              <w:bottom w:val="single" w:sz="4" w:space="0" w:color="auto"/>
              <w:right w:val="single" w:sz="4" w:space="0" w:color="auto"/>
            </w:tcBorders>
            <w:noWrap/>
            <w:vAlign w:val="center"/>
            <w:hideMark/>
          </w:tcPr>
          <w:p w14:paraId="598BC22A" w14:textId="77777777" w:rsidR="001A0C9B" w:rsidRPr="001A0C9B" w:rsidRDefault="001A0C9B" w:rsidP="001A0C9B">
            <w:pPr>
              <w:spacing w:after="0" w:line="240" w:lineRule="auto"/>
              <w:rPr>
                <w:rFonts w:ascii="Times New Roman" w:eastAsia="Times New Roman" w:hAnsi="Times New Roman" w:cs="Times New Roman"/>
                <w:color w:val="000000"/>
                <w:kern w:val="0"/>
                <w:sz w:val="16"/>
                <w:szCs w:val="16"/>
                <w:lang w:eastAsia="en-IN"/>
                <w14:ligatures w14:val="none"/>
              </w:rPr>
            </w:pPr>
            <w:r w:rsidRPr="001A0C9B">
              <w:rPr>
                <w:rFonts w:ascii="Times New Roman" w:eastAsia="Times New Roman" w:hAnsi="Times New Roman" w:cs="Times New Roman"/>
                <w:color w:val="000000"/>
                <w:kern w:val="0"/>
                <w:sz w:val="16"/>
                <w:szCs w:val="16"/>
                <w:lang w:eastAsia="en-IN"/>
                <w14:ligatures w14:val="none"/>
              </w:rPr>
              <w:t>Gujarat</w:t>
            </w:r>
          </w:p>
        </w:tc>
        <w:tc>
          <w:tcPr>
            <w:tcW w:w="669" w:type="dxa"/>
            <w:tcBorders>
              <w:top w:val="nil"/>
              <w:left w:val="nil"/>
              <w:bottom w:val="single" w:sz="4" w:space="0" w:color="auto"/>
              <w:right w:val="single" w:sz="4" w:space="0" w:color="auto"/>
            </w:tcBorders>
            <w:noWrap/>
            <w:vAlign w:val="center"/>
            <w:hideMark/>
          </w:tcPr>
          <w:p w14:paraId="61A4BE0A" w14:textId="77777777" w:rsidR="001A0C9B" w:rsidRPr="001A0C9B" w:rsidRDefault="001A0C9B" w:rsidP="001A0C9B">
            <w:pPr>
              <w:spacing w:after="0" w:line="240" w:lineRule="auto"/>
              <w:jc w:val="right"/>
              <w:rPr>
                <w:rFonts w:ascii="Times New Roman" w:eastAsia="Times New Roman" w:hAnsi="Times New Roman" w:cs="Times New Roman"/>
                <w:color w:val="000000"/>
                <w:kern w:val="0"/>
                <w:sz w:val="16"/>
                <w:szCs w:val="16"/>
                <w:lang w:eastAsia="en-IN"/>
                <w14:ligatures w14:val="none"/>
              </w:rPr>
            </w:pPr>
            <w:r w:rsidRPr="001A0C9B">
              <w:rPr>
                <w:rFonts w:ascii="Times New Roman" w:eastAsia="Times New Roman" w:hAnsi="Times New Roman" w:cs="Times New Roman"/>
                <w:color w:val="000000"/>
                <w:kern w:val="0"/>
                <w:sz w:val="16"/>
                <w:szCs w:val="16"/>
                <w:lang w:eastAsia="en-IN"/>
                <w14:ligatures w14:val="none"/>
              </w:rPr>
              <w:t>21.08</w:t>
            </w:r>
          </w:p>
        </w:tc>
        <w:tc>
          <w:tcPr>
            <w:tcW w:w="723" w:type="dxa"/>
            <w:tcBorders>
              <w:top w:val="nil"/>
              <w:left w:val="nil"/>
              <w:bottom w:val="single" w:sz="4" w:space="0" w:color="auto"/>
              <w:right w:val="single" w:sz="4" w:space="0" w:color="auto"/>
            </w:tcBorders>
            <w:noWrap/>
            <w:vAlign w:val="center"/>
            <w:hideMark/>
          </w:tcPr>
          <w:p w14:paraId="081B7E59" w14:textId="77777777" w:rsidR="001A0C9B" w:rsidRPr="001A0C9B" w:rsidRDefault="001A0C9B" w:rsidP="001A0C9B">
            <w:pPr>
              <w:spacing w:after="0" w:line="240" w:lineRule="auto"/>
              <w:jc w:val="right"/>
              <w:rPr>
                <w:rFonts w:ascii="Times New Roman" w:eastAsia="Times New Roman" w:hAnsi="Times New Roman" w:cs="Times New Roman"/>
                <w:color w:val="000000"/>
                <w:kern w:val="0"/>
                <w:sz w:val="16"/>
                <w:szCs w:val="16"/>
                <w:lang w:eastAsia="en-IN"/>
                <w14:ligatures w14:val="none"/>
              </w:rPr>
            </w:pPr>
            <w:r w:rsidRPr="001A0C9B">
              <w:rPr>
                <w:rFonts w:ascii="Times New Roman" w:eastAsia="Times New Roman" w:hAnsi="Times New Roman" w:cs="Times New Roman"/>
                <w:color w:val="000000"/>
                <w:kern w:val="0"/>
                <w:sz w:val="16"/>
                <w:szCs w:val="16"/>
                <w:lang w:eastAsia="en-IN"/>
                <w14:ligatures w14:val="none"/>
              </w:rPr>
              <w:t>10.22</w:t>
            </w:r>
          </w:p>
        </w:tc>
        <w:tc>
          <w:tcPr>
            <w:tcW w:w="773" w:type="dxa"/>
            <w:tcBorders>
              <w:top w:val="nil"/>
              <w:left w:val="nil"/>
              <w:bottom w:val="single" w:sz="4" w:space="0" w:color="auto"/>
              <w:right w:val="single" w:sz="4" w:space="0" w:color="auto"/>
            </w:tcBorders>
            <w:noWrap/>
            <w:vAlign w:val="center"/>
            <w:hideMark/>
          </w:tcPr>
          <w:p w14:paraId="21CAC159" w14:textId="64E483FD" w:rsidR="001A0C9B" w:rsidRPr="0063665D" w:rsidRDefault="001A0C9B" w:rsidP="001A0C9B">
            <w:pPr>
              <w:spacing w:after="0" w:line="240" w:lineRule="auto"/>
              <w:jc w:val="right"/>
              <w:rPr>
                <w:rFonts w:ascii="Times New Roman" w:eastAsia="Times New Roman" w:hAnsi="Times New Roman" w:cs="Times New Roman"/>
                <w:b/>
                <w:bCs/>
                <w:color w:val="000000"/>
                <w:kern w:val="0"/>
                <w:sz w:val="16"/>
                <w:szCs w:val="16"/>
                <w:lang w:eastAsia="en-IN"/>
                <w14:ligatures w14:val="none"/>
              </w:rPr>
            </w:pPr>
            <w:r w:rsidRPr="001A0C9B">
              <w:rPr>
                <w:rFonts w:ascii="Times New Roman" w:eastAsia="Times New Roman" w:hAnsi="Times New Roman" w:cs="Times New Roman"/>
                <w:color w:val="000000"/>
                <w:kern w:val="0"/>
                <w:sz w:val="16"/>
                <w:szCs w:val="16"/>
                <w:lang w:eastAsia="en-IN"/>
                <w14:ligatures w14:val="none"/>
              </w:rPr>
              <w:t>29</w:t>
            </w:r>
            <w:r w:rsidR="0063665D">
              <w:rPr>
                <w:rFonts w:ascii="Times New Roman" w:eastAsia="Times New Roman" w:hAnsi="Times New Roman" w:cs="Times New Roman"/>
                <w:color w:val="000000"/>
                <w:kern w:val="0"/>
                <w:sz w:val="16"/>
                <w:szCs w:val="16"/>
                <w:lang w:eastAsia="en-IN"/>
                <w14:ligatures w14:val="none"/>
              </w:rPr>
              <w:t>.00</w:t>
            </w:r>
          </w:p>
        </w:tc>
        <w:tc>
          <w:tcPr>
            <w:tcW w:w="981" w:type="dxa"/>
            <w:tcBorders>
              <w:top w:val="nil"/>
              <w:left w:val="nil"/>
              <w:bottom w:val="single" w:sz="4" w:space="0" w:color="auto"/>
              <w:right w:val="single" w:sz="4" w:space="0" w:color="auto"/>
            </w:tcBorders>
            <w:noWrap/>
            <w:vAlign w:val="center"/>
            <w:hideMark/>
          </w:tcPr>
          <w:p w14:paraId="7A6842D4" w14:textId="77777777" w:rsidR="001A0C9B" w:rsidRPr="001A0C9B" w:rsidRDefault="001A0C9B" w:rsidP="001A0C9B">
            <w:pPr>
              <w:spacing w:after="0" w:line="240" w:lineRule="auto"/>
              <w:jc w:val="right"/>
              <w:rPr>
                <w:rFonts w:ascii="Times New Roman" w:eastAsia="Times New Roman" w:hAnsi="Times New Roman" w:cs="Times New Roman"/>
                <w:color w:val="000000"/>
                <w:kern w:val="0"/>
                <w:sz w:val="16"/>
                <w:szCs w:val="16"/>
                <w:lang w:eastAsia="en-IN"/>
                <w14:ligatures w14:val="none"/>
              </w:rPr>
            </w:pPr>
            <w:r w:rsidRPr="001A0C9B">
              <w:rPr>
                <w:rFonts w:ascii="Times New Roman" w:eastAsia="Times New Roman" w:hAnsi="Times New Roman" w:cs="Times New Roman"/>
                <w:color w:val="000000"/>
                <w:kern w:val="0"/>
                <w:sz w:val="16"/>
                <w:szCs w:val="16"/>
                <w:lang w:eastAsia="en-IN"/>
                <w14:ligatures w14:val="none"/>
              </w:rPr>
              <w:t>44.07</w:t>
            </w:r>
          </w:p>
        </w:tc>
        <w:tc>
          <w:tcPr>
            <w:tcW w:w="669" w:type="dxa"/>
            <w:tcBorders>
              <w:top w:val="nil"/>
              <w:left w:val="nil"/>
              <w:bottom w:val="single" w:sz="4" w:space="0" w:color="auto"/>
              <w:right w:val="single" w:sz="4" w:space="0" w:color="auto"/>
            </w:tcBorders>
            <w:noWrap/>
            <w:vAlign w:val="center"/>
            <w:hideMark/>
          </w:tcPr>
          <w:p w14:paraId="0CD8B482" w14:textId="77777777" w:rsidR="001A0C9B" w:rsidRPr="001A0C9B" w:rsidRDefault="001A0C9B" w:rsidP="001A0C9B">
            <w:pPr>
              <w:spacing w:after="0" w:line="240" w:lineRule="auto"/>
              <w:jc w:val="right"/>
              <w:rPr>
                <w:rFonts w:ascii="Times New Roman" w:eastAsia="Times New Roman" w:hAnsi="Times New Roman" w:cs="Times New Roman"/>
                <w:color w:val="000000"/>
                <w:kern w:val="0"/>
                <w:sz w:val="16"/>
                <w:szCs w:val="16"/>
                <w:lang w:eastAsia="en-IN"/>
                <w14:ligatures w14:val="none"/>
              </w:rPr>
            </w:pPr>
            <w:r w:rsidRPr="001A0C9B">
              <w:rPr>
                <w:rFonts w:ascii="Times New Roman" w:eastAsia="Times New Roman" w:hAnsi="Times New Roman" w:cs="Times New Roman"/>
                <w:color w:val="000000"/>
                <w:kern w:val="0"/>
                <w:sz w:val="16"/>
                <w:szCs w:val="16"/>
                <w:lang w:eastAsia="en-IN"/>
                <w14:ligatures w14:val="none"/>
              </w:rPr>
              <w:t>51.79</w:t>
            </w:r>
          </w:p>
        </w:tc>
        <w:tc>
          <w:tcPr>
            <w:tcW w:w="679" w:type="dxa"/>
            <w:tcBorders>
              <w:top w:val="nil"/>
              <w:left w:val="nil"/>
              <w:bottom w:val="single" w:sz="4" w:space="0" w:color="auto"/>
              <w:right w:val="single" w:sz="4" w:space="0" w:color="auto"/>
            </w:tcBorders>
            <w:noWrap/>
            <w:vAlign w:val="center"/>
            <w:hideMark/>
          </w:tcPr>
          <w:p w14:paraId="70918B82" w14:textId="77777777" w:rsidR="001A0C9B" w:rsidRPr="001A0C9B" w:rsidRDefault="001A0C9B" w:rsidP="001A0C9B">
            <w:pPr>
              <w:spacing w:after="0" w:line="240" w:lineRule="auto"/>
              <w:jc w:val="right"/>
              <w:rPr>
                <w:rFonts w:ascii="Times New Roman" w:eastAsia="Times New Roman" w:hAnsi="Times New Roman" w:cs="Times New Roman"/>
                <w:color w:val="000000"/>
                <w:kern w:val="0"/>
                <w:sz w:val="16"/>
                <w:szCs w:val="16"/>
                <w:lang w:eastAsia="en-IN"/>
                <w14:ligatures w14:val="none"/>
              </w:rPr>
            </w:pPr>
            <w:r w:rsidRPr="001A0C9B">
              <w:rPr>
                <w:rFonts w:ascii="Times New Roman" w:eastAsia="Times New Roman" w:hAnsi="Times New Roman" w:cs="Times New Roman"/>
                <w:color w:val="000000"/>
                <w:kern w:val="0"/>
                <w:sz w:val="16"/>
                <w:szCs w:val="16"/>
                <w:lang w:eastAsia="en-IN"/>
                <w14:ligatures w14:val="none"/>
              </w:rPr>
              <w:t>22.33</w:t>
            </w:r>
          </w:p>
        </w:tc>
        <w:tc>
          <w:tcPr>
            <w:tcW w:w="773" w:type="dxa"/>
            <w:tcBorders>
              <w:top w:val="nil"/>
              <w:left w:val="nil"/>
              <w:bottom w:val="single" w:sz="4" w:space="0" w:color="auto"/>
              <w:right w:val="single" w:sz="4" w:space="0" w:color="auto"/>
            </w:tcBorders>
            <w:noWrap/>
            <w:vAlign w:val="center"/>
            <w:hideMark/>
          </w:tcPr>
          <w:p w14:paraId="1AA1E17B" w14:textId="77777777" w:rsidR="001A0C9B" w:rsidRPr="001A0C9B" w:rsidRDefault="001A0C9B" w:rsidP="001A0C9B">
            <w:pPr>
              <w:spacing w:after="0" w:line="240" w:lineRule="auto"/>
              <w:rPr>
                <w:rFonts w:ascii="Times New Roman" w:eastAsia="Times New Roman" w:hAnsi="Times New Roman" w:cs="Times New Roman"/>
                <w:color w:val="000000"/>
                <w:kern w:val="0"/>
                <w:sz w:val="16"/>
                <w:szCs w:val="16"/>
                <w:lang w:eastAsia="en-IN"/>
                <w14:ligatures w14:val="none"/>
              </w:rPr>
            </w:pPr>
            <w:r w:rsidRPr="001A0C9B">
              <w:rPr>
                <w:rFonts w:ascii="Times New Roman" w:eastAsia="Times New Roman" w:hAnsi="Times New Roman" w:cs="Times New Roman"/>
                <w:color w:val="000000"/>
                <w:kern w:val="0"/>
                <w:sz w:val="16"/>
                <w:szCs w:val="16"/>
                <w:lang w:eastAsia="en-IN"/>
                <w14:ligatures w14:val="none"/>
              </w:rPr>
              <w:t>..</w:t>
            </w:r>
          </w:p>
        </w:tc>
        <w:tc>
          <w:tcPr>
            <w:tcW w:w="981" w:type="dxa"/>
            <w:tcBorders>
              <w:top w:val="nil"/>
              <w:left w:val="nil"/>
              <w:bottom w:val="single" w:sz="4" w:space="0" w:color="auto"/>
              <w:right w:val="single" w:sz="4" w:space="0" w:color="auto"/>
            </w:tcBorders>
            <w:noWrap/>
            <w:vAlign w:val="center"/>
            <w:hideMark/>
          </w:tcPr>
          <w:p w14:paraId="4F53EAD9" w14:textId="77777777" w:rsidR="001A0C9B" w:rsidRPr="001A0C9B" w:rsidRDefault="001A0C9B" w:rsidP="001A0C9B">
            <w:pPr>
              <w:spacing w:after="0" w:line="240" w:lineRule="auto"/>
              <w:jc w:val="right"/>
              <w:rPr>
                <w:rFonts w:ascii="Times New Roman" w:eastAsia="Times New Roman" w:hAnsi="Times New Roman" w:cs="Times New Roman"/>
                <w:color w:val="000000"/>
                <w:kern w:val="0"/>
                <w:sz w:val="16"/>
                <w:szCs w:val="16"/>
                <w:lang w:eastAsia="en-IN"/>
                <w14:ligatures w14:val="none"/>
              </w:rPr>
            </w:pPr>
            <w:r w:rsidRPr="001A0C9B">
              <w:rPr>
                <w:rFonts w:ascii="Times New Roman" w:eastAsia="Times New Roman" w:hAnsi="Times New Roman" w:cs="Times New Roman"/>
                <w:color w:val="000000"/>
                <w:kern w:val="0"/>
                <w:sz w:val="16"/>
                <w:szCs w:val="16"/>
                <w:lang w:eastAsia="en-IN"/>
                <w14:ligatures w14:val="none"/>
              </w:rPr>
              <w:t>1.43</w:t>
            </w:r>
          </w:p>
        </w:tc>
        <w:tc>
          <w:tcPr>
            <w:tcW w:w="782" w:type="dxa"/>
            <w:tcBorders>
              <w:top w:val="nil"/>
              <w:left w:val="nil"/>
              <w:bottom w:val="single" w:sz="4" w:space="0" w:color="auto"/>
              <w:right w:val="single" w:sz="4" w:space="0" w:color="auto"/>
            </w:tcBorders>
            <w:noWrap/>
            <w:vAlign w:val="center"/>
            <w:hideMark/>
          </w:tcPr>
          <w:p w14:paraId="61656564" w14:textId="77777777" w:rsidR="001A0C9B" w:rsidRPr="001A0C9B" w:rsidRDefault="001A0C9B" w:rsidP="001A0C9B">
            <w:pPr>
              <w:spacing w:after="0" w:line="240" w:lineRule="auto"/>
              <w:jc w:val="right"/>
              <w:rPr>
                <w:rFonts w:ascii="Times New Roman" w:eastAsia="Times New Roman" w:hAnsi="Times New Roman" w:cs="Times New Roman"/>
                <w:color w:val="000000"/>
                <w:kern w:val="0"/>
                <w:sz w:val="16"/>
                <w:szCs w:val="16"/>
                <w:lang w:eastAsia="en-IN"/>
                <w14:ligatures w14:val="none"/>
              </w:rPr>
            </w:pPr>
            <w:r w:rsidRPr="001A0C9B">
              <w:rPr>
                <w:rFonts w:ascii="Times New Roman" w:eastAsia="Times New Roman" w:hAnsi="Times New Roman" w:cs="Times New Roman"/>
                <w:color w:val="000000"/>
                <w:kern w:val="0"/>
                <w:sz w:val="16"/>
                <w:szCs w:val="16"/>
                <w:lang w:eastAsia="en-IN"/>
                <w14:ligatures w14:val="none"/>
              </w:rPr>
              <w:t>62.56</w:t>
            </w:r>
          </w:p>
        </w:tc>
        <w:tc>
          <w:tcPr>
            <w:tcW w:w="723" w:type="dxa"/>
            <w:tcBorders>
              <w:top w:val="nil"/>
              <w:left w:val="nil"/>
              <w:bottom w:val="single" w:sz="4" w:space="0" w:color="auto"/>
              <w:right w:val="single" w:sz="4" w:space="0" w:color="auto"/>
            </w:tcBorders>
            <w:noWrap/>
            <w:vAlign w:val="center"/>
            <w:hideMark/>
          </w:tcPr>
          <w:p w14:paraId="09EF9003" w14:textId="77777777" w:rsidR="001A0C9B" w:rsidRPr="001A0C9B" w:rsidRDefault="001A0C9B" w:rsidP="001A0C9B">
            <w:pPr>
              <w:spacing w:after="0" w:line="240" w:lineRule="auto"/>
              <w:jc w:val="right"/>
              <w:rPr>
                <w:rFonts w:ascii="Times New Roman" w:eastAsia="Times New Roman" w:hAnsi="Times New Roman" w:cs="Times New Roman"/>
                <w:color w:val="000000"/>
                <w:kern w:val="0"/>
                <w:sz w:val="16"/>
                <w:szCs w:val="16"/>
                <w:lang w:eastAsia="en-IN"/>
                <w14:ligatures w14:val="none"/>
              </w:rPr>
            </w:pPr>
            <w:r w:rsidRPr="001A0C9B">
              <w:rPr>
                <w:rFonts w:ascii="Times New Roman" w:eastAsia="Times New Roman" w:hAnsi="Times New Roman" w:cs="Times New Roman"/>
                <w:color w:val="000000"/>
                <w:kern w:val="0"/>
                <w:sz w:val="16"/>
                <w:szCs w:val="16"/>
                <w:lang w:eastAsia="en-IN"/>
                <w14:ligatures w14:val="none"/>
              </w:rPr>
              <w:t>26.24</w:t>
            </w:r>
          </w:p>
        </w:tc>
        <w:tc>
          <w:tcPr>
            <w:tcW w:w="741" w:type="dxa"/>
            <w:tcBorders>
              <w:top w:val="nil"/>
              <w:left w:val="nil"/>
              <w:bottom w:val="single" w:sz="4" w:space="0" w:color="auto"/>
              <w:right w:val="single" w:sz="4" w:space="0" w:color="auto"/>
            </w:tcBorders>
            <w:noWrap/>
            <w:vAlign w:val="center"/>
            <w:hideMark/>
          </w:tcPr>
          <w:p w14:paraId="46747F08" w14:textId="0D70AA22" w:rsidR="001A0C9B" w:rsidRPr="001A0C9B" w:rsidRDefault="001A0C9B" w:rsidP="001A0C9B">
            <w:pPr>
              <w:spacing w:after="0" w:line="240" w:lineRule="auto"/>
              <w:jc w:val="right"/>
              <w:rPr>
                <w:rFonts w:ascii="Times New Roman" w:eastAsia="Times New Roman" w:hAnsi="Times New Roman" w:cs="Times New Roman"/>
                <w:color w:val="000000"/>
                <w:kern w:val="0"/>
                <w:sz w:val="16"/>
                <w:szCs w:val="16"/>
                <w:lang w:eastAsia="en-IN"/>
                <w14:ligatures w14:val="none"/>
              </w:rPr>
            </w:pPr>
            <w:r w:rsidRPr="001A0C9B">
              <w:rPr>
                <w:rFonts w:ascii="Times New Roman" w:eastAsia="Times New Roman" w:hAnsi="Times New Roman" w:cs="Times New Roman"/>
                <w:color w:val="000000"/>
                <w:kern w:val="0"/>
                <w:sz w:val="16"/>
                <w:szCs w:val="16"/>
                <w:lang w:eastAsia="en-IN"/>
                <w14:ligatures w14:val="none"/>
              </w:rPr>
              <w:t>2</w:t>
            </w:r>
            <w:r w:rsidR="0063665D">
              <w:rPr>
                <w:rFonts w:ascii="Times New Roman" w:eastAsia="Times New Roman" w:hAnsi="Times New Roman" w:cs="Times New Roman"/>
                <w:color w:val="000000"/>
                <w:kern w:val="0"/>
                <w:sz w:val="16"/>
                <w:szCs w:val="16"/>
                <w:lang w:eastAsia="en-IN"/>
                <w14:ligatures w14:val="none"/>
              </w:rPr>
              <w:t>.00</w:t>
            </w:r>
          </w:p>
        </w:tc>
        <w:tc>
          <w:tcPr>
            <w:tcW w:w="981" w:type="dxa"/>
            <w:tcBorders>
              <w:top w:val="nil"/>
              <w:left w:val="nil"/>
              <w:bottom w:val="single" w:sz="4" w:space="0" w:color="auto"/>
              <w:right w:val="single" w:sz="4" w:space="0" w:color="auto"/>
            </w:tcBorders>
            <w:noWrap/>
            <w:vAlign w:val="center"/>
            <w:hideMark/>
          </w:tcPr>
          <w:p w14:paraId="7E3A3BBB" w14:textId="77777777" w:rsidR="001A0C9B" w:rsidRPr="001A0C9B" w:rsidRDefault="001A0C9B" w:rsidP="001A0C9B">
            <w:pPr>
              <w:spacing w:after="0" w:line="240" w:lineRule="auto"/>
              <w:jc w:val="right"/>
              <w:rPr>
                <w:rFonts w:ascii="Times New Roman" w:eastAsia="Times New Roman" w:hAnsi="Times New Roman" w:cs="Times New Roman"/>
                <w:color w:val="000000"/>
                <w:kern w:val="0"/>
                <w:sz w:val="16"/>
                <w:szCs w:val="16"/>
                <w:lang w:eastAsia="en-IN"/>
                <w14:ligatures w14:val="none"/>
              </w:rPr>
            </w:pPr>
            <w:r w:rsidRPr="001A0C9B">
              <w:rPr>
                <w:rFonts w:ascii="Times New Roman" w:eastAsia="Times New Roman" w:hAnsi="Times New Roman" w:cs="Times New Roman"/>
                <w:color w:val="000000"/>
                <w:kern w:val="0"/>
                <w:sz w:val="16"/>
                <w:szCs w:val="16"/>
                <w:lang w:eastAsia="en-IN"/>
                <w14:ligatures w14:val="none"/>
              </w:rPr>
              <w:t>1.12</w:t>
            </w:r>
          </w:p>
        </w:tc>
        <w:tc>
          <w:tcPr>
            <w:tcW w:w="754" w:type="dxa"/>
            <w:tcBorders>
              <w:top w:val="nil"/>
              <w:left w:val="nil"/>
              <w:bottom w:val="single" w:sz="4" w:space="0" w:color="auto"/>
              <w:right w:val="single" w:sz="4" w:space="0" w:color="auto"/>
            </w:tcBorders>
            <w:noWrap/>
            <w:vAlign w:val="center"/>
            <w:hideMark/>
          </w:tcPr>
          <w:p w14:paraId="1B126F5E" w14:textId="30FC0074" w:rsidR="001A0C9B" w:rsidRPr="001A0C9B" w:rsidRDefault="001A0C9B" w:rsidP="001A0C9B">
            <w:pPr>
              <w:spacing w:after="0" w:line="240" w:lineRule="auto"/>
              <w:jc w:val="right"/>
              <w:rPr>
                <w:rFonts w:ascii="Times New Roman" w:eastAsia="Times New Roman" w:hAnsi="Times New Roman" w:cs="Times New Roman"/>
                <w:color w:val="000000"/>
                <w:kern w:val="0"/>
                <w:sz w:val="16"/>
                <w:szCs w:val="16"/>
                <w:lang w:eastAsia="en-IN"/>
                <w14:ligatures w14:val="none"/>
              </w:rPr>
            </w:pPr>
            <w:r w:rsidRPr="001A0C9B">
              <w:rPr>
                <w:rFonts w:ascii="Times New Roman" w:eastAsia="Times New Roman" w:hAnsi="Times New Roman" w:cs="Times New Roman"/>
                <w:color w:val="000000"/>
                <w:kern w:val="0"/>
                <w:sz w:val="16"/>
                <w:szCs w:val="16"/>
                <w:lang w:eastAsia="en-IN"/>
                <w14:ligatures w14:val="none"/>
              </w:rPr>
              <w:t>71.9</w:t>
            </w:r>
            <w:r w:rsidR="0063665D">
              <w:rPr>
                <w:rFonts w:ascii="Times New Roman" w:eastAsia="Times New Roman" w:hAnsi="Times New Roman" w:cs="Times New Roman"/>
                <w:color w:val="000000"/>
                <w:kern w:val="0"/>
                <w:sz w:val="16"/>
                <w:szCs w:val="16"/>
                <w:lang w:eastAsia="en-IN"/>
                <w14:ligatures w14:val="none"/>
              </w:rPr>
              <w:t>0</w:t>
            </w:r>
          </w:p>
        </w:tc>
        <w:tc>
          <w:tcPr>
            <w:tcW w:w="723" w:type="dxa"/>
            <w:tcBorders>
              <w:top w:val="nil"/>
              <w:left w:val="nil"/>
              <w:bottom w:val="single" w:sz="4" w:space="0" w:color="auto"/>
              <w:right w:val="single" w:sz="4" w:space="0" w:color="auto"/>
            </w:tcBorders>
            <w:noWrap/>
            <w:vAlign w:val="center"/>
            <w:hideMark/>
          </w:tcPr>
          <w:p w14:paraId="2D473B7F" w14:textId="77777777" w:rsidR="001A0C9B" w:rsidRPr="001A0C9B" w:rsidRDefault="001A0C9B" w:rsidP="001A0C9B">
            <w:pPr>
              <w:spacing w:after="0" w:line="240" w:lineRule="auto"/>
              <w:jc w:val="right"/>
              <w:rPr>
                <w:rFonts w:ascii="Times New Roman" w:eastAsia="Times New Roman" w:hAnsi="Times New Roman" w:cs="Times New Roman"/>
                <w:color w:val="000000"/>
                <w:kern w:val="0"/>
                <w:sz w:val="16"/>
                <w:szCs w:val="16"/>
                <w:lang w:eastAsia="en-IN"/>
                <w14:ligatures w14:val="none"/>
              </w:rPr>
            </w:pPr>
            <w:r w:rsidRPr="001A0C9B">
              <w:rPr>
                <w:rFonts w:ascii="Times New Roman" w:eastAsia="Times New Roman" w:hAnsi="Times New Roman" w:cs="Times New Roman"/>
                <w:color w:val="000000"/>
                <w:kern w:val="0"/>
                <w:sz w:val="16"/>
                <w:szCs w:val="16"/>
                <w:lang w:eastAsia="en-IN"/>
                <w14:ligatures w14:val="none"/>
              </w:rPr>
              <w:t>29.59</w:t>
            </w:r>
          </w:p>
        </w:tc>
        <w:tc>
          <w:tcPr>
            <w:tcW w:w="754" w:type="dxa"/>
            <w:tcBorders>
              <w:top w:val="nil"/>
              <w:left w:val="nil"/>
              <w:bottom w:val="single" w:sz="4" w:space="0" w:color="auto"/>
              <w:right w:val="single" w:sz="4" w:space="0" w:color="auto"/>
            </w:tcBorders>
            <w:noWrap/>
            <w:vAlign w:val="center"/>
            <w:hideMark/>
          </w:tcPr>
          <w:p w14:paraId="20C24284" w14:textId="77777777" w:rsidR="001A0C9B" w:rsidRPr="001A0C9B" w:rsidRDefault="001A0C9B" w:rsidP="001A0C9B">
            <w:pPr>
              <w:spacing w:after="0" w:line="240" w:lineRule="auto"/>
              <w:rPr>
                <w:rFonts w:ascii="Times New Roman" w:eastAsia="Times New Roman" w:hAnsi="Times New Roman" w:cs="Times New Roman"/>
                <w:color w:val="000000"/>
                <w:kern w:val="0"/>
                <w:sz w:val="16"/>
                <w:szCs w:val="16"/>
                <w:lang w:eastAsia="en-IN"/>
                <w14:ligatures w14:val="none"/>
              </w:rPr>
            </w:pPr>
            <w:r w:rsidRPr="001A0C9B">
              <w:rPr>
                <w:rFonts w:ascii="Times New Roman" w:eastAsia="Times New Roman" w:hAnsi="Times New Roman" w:cs="Times New Roman"/>
                <w:color w:val="000000"/>
                <w:kern w:val="0"/>
                <w:sz w:val="16"/>
                <w:szCs w:val="16"/>
                <w:lang w:eastAsia="en-IN"/>
                <w14:ligatures w14:val="none"/>
              </w:rPr>
              <w:t>..</w:t>
            </w:r>
          </w:p>
        </w:tc>
        <w:tc>
          <w:tcPr>
            <w:tcW w:w="981" w:type="dxa"/>
            <w:tcBorders>
              <w:top w:val="nil"/>
              <w:left w:val="nil"/>
              <w:bottom w:val="single" w:sz="4" w:space="0" w:color="auto"/>
              <w:right w:val="single" w:sz="4" w:space="0" w:color="auto"/>
            </w:tcBorders>
            <w:noWrap/>
            <w:vAlign w:val="center"/>
            <w:hideMark/>
          </w:tcPr>
          <w:p w14:paraId="577E9173" w14:textId="2155B63D" w:rsidR="001A0C9B" w:rsidRPr="001A0C9B" w:rsidRDefault="001A0C9B" w:rsidP="001A0C9B">
            <w:pPr>
              <w:spacing w:after="0" w:line="240" w:lineRule="auto"/>
              <w:jc w:val="right"/>
              <w:rPr>
                <w:rFonts w:ascii="Times New Roman" w:eastAsia="Times New Roman" w:hAnsi="Times New Roman" w:cs="Times New Roman"/>
                <w:color w:val="000000"/>
                <w:kern w:val="0"/>
                <w:sz w:val="16"/>
                <w:szCs w:val="16"/>
                <w:lang w:eastAsia="en-IN"/>
                <w14:ligatures w14:val="none"/>
              </w:rPr>
            </w:pPr>
            <w:r w:rsidRPr="001A0C9B">
              <w:rPr>
                <w:rFonts w:ascii="Times New Roman" w:eastAsia="Times New Roman" w:hAnsi="Times New Roman" w:cs="Times New Roman"/>
                <w:color w:val="000000"/>
                <w:kern w:val="0"/>
                <w:sz w:val="16"/>
                <w:szCs w:val="16"/>
                <w:lang w:eastAsia="en-IN"/>
                <w14:ligatures w14:val="none"/>
              </w:rPr>
              <w:t>0.1</w:t>
            </w:r>
            <w:r w:rsidR="0063665D">
              <w:rPr>
                <w:rFonts w:ascii="Times New Roman" w:eastAsia="Times New Roman" w:hAnsi="Times New Roman" w:cs="Times New Roman"/>
                <w:color w:val="000000"/>
                <w:kern w:val="0"/>
                <w:sz w:val="16"/>
                <w:szCs w:val="16"/>
                <w:lang w:eastAsia="en-IN"/>
                <w14:ligatures w14:val="none"/>
              </w:rPr>
              <w:t>0</w:t>
            </w:r>
          </w:p>
        </w:tc>
        <w:tc>
          <w:tcPr>
            <w:tcW w:w="754" w:type="dxa"/>
            <w:tcBorders>
              <w:top w:val="nil"/>
              <w:left w:val="nil"/>
              <w:bottom w:val="single" w:sz="4" w:space="0" w:color="auto"/>
              <w:right w:val="single" w:sz="4" w:space="0" w:color="auto"/>
            </w:tcBorders>
            <w:noWrap/>
            <w:vAlign w:val="center"/>
            <w:hideMark/>
          </w:tcPr>
          <w:p w14:paraId="2D9EDE44" w14:textId="77777777" w:rsidR="001A0C9B" w:rsidRPr="001A0C9B" w:rsidRDefault="001A0C9B" w:rsidP="001A0C9B">
            <w:pPr>
              <w:spacing w:after="0" w:line="240" w:lineRule="auto"/>
              <w:jc w:val="right"/>
              <w:rPr>
                <w:rFonts w:ascii="Times New Roman" w:eastAsia="Times New Roman" w:hAnsi="Times New Roman" w:cs="Times New Roman"/>
                <w:color w:val="000000"/>
                <w:kern w:val="0"/>
                <w:sz w:val="16"/>
                <w:szCs w:val="16"/>
                <w:lang w:eastAsia="en-IN"/>
                <w14:ligatures w14:val="none"/>
              </w:rPr>
            </w:pPr>
            <w:r w:rsidRPr="001A0C9B">
              <w:rPr>
                <w:rFonts w:ascii="Times New Roman" w:eastAsia="Times New Roman" w:hAnsi="Times New Roman" w:cs="Times New Roman"/>
                <w:color w:val="000000"/>
                <w:kern w:val="0"/>
                <w:sz w:val="16"/>
                <w:szCs w:val="16"/>
                <w:lang w:eastAsia="en-IN"/>
                <w14:ligatures w14:val="none"/>
              </w:rPr>
              <w:t>76.99</w:t>
            </w:r>
          </w:p>
        </w:tc>
        <w:tc>
          <w:tcPr>
            <w:tcW w:w="723" w:type="dxa"/>
            <w:tcBorders>
              <w:top w:val="nil"/>
              <w:left w:val="nil"/>
              <w:bottom w:val="single" w:sz="4" w:space="0" w:color="auto"/>
              <w:right w:val="single" w:sz="4" w:space="0" w:color="auto"/>
            </w:tcBorders>
            <w:noWrap/>
            <w:vAlign w:val="center"/>
            <w:hideMark/>
          </w:tcPr>
          <w:p w14:paraId="42C1A959" w14:textId="77777777" w:rsidR="001A0C9B" w:rsidRPr="001A0C9B" w:rsidRDefault="001A0C9B" w:rsidP="001A0C9B">
            <w:pPr>
              <w:spacing w:after="0" w:line="240" w:lineRule="auto"/>
              <w:jc w:val="right"/>
              <w:rPr>
                <w:rFonts w:ascii="Times New Roman" w:eastAsia="Times New Roman" w:hAnsi="Times New Roman" w:cs="Times New Roman"/>
                <w:color w:val="000000"/>
                <w:kern w:val="0"/>
                <w:sz w:val="16"/>
                <w:szCs w:val="16"/>
                <w:lang w:eastAsia="en-IN"/>
                <w14:ligatures w14:val="none"/>
              </w:rPr>
            </w:pPr>
            <w:r w:rsidRPr="001A0C9B">
              <w:rPr>
                <w:rFonts w:ascii="Times New Roman" w:eastAsia="Times New Roman" w:hAnsi="Times New Roman" w:cs="Times New Roman"/>
                <w:color w:val="000000"/>
                <w:kern w:val="0"/>
                <w:sz w:val="16"/>
                <w:szCs w:val="16"/>
                <w:lang w:eastAsia="en-IN"/>
                <w14:ligatures w14:val="none"/>
              </w:rPr>
              <w:t>30.56</w:t>
            </w:r>
          </w:p>
        </w:tc>
      </w:tr>
      <w:tr w:rsidR="001A0C9B" w:rsidRPr="001A0C9B" w14:paraId="462BC469" w14:textId="77777777" w:rsidTr="002A11B0">
        <w:trPr>
          <w:trHeight w:val="166"/>
          <w:jc w:val="center"/>
        </w:trPr>
        <w:tc>
          <w:tcPr>
            <w:tcW w:w="1051" w:type="dxa"/>
            <w:tcBorders>
              <w:top w:val="nil"/>
              <w:left w:val="single" w:sz="4" w:space="0" w:color="auto"/>
              <w:bottom w:val="single" w:sz="4" w:space="0" w:color="auto"/>
              <w:right w:val="single" w:sz="4" w:space="0" w:color="auto"/>
            </w:tcBorders>
            <w:noWrap/>
            <w:vAlign w:val="center"/>
            <w:hideMark/>
          </w:tcPr>
          <w:p w14:paraId="538C1382" w14:textId="77777777" w:rsidR="001A0C9B" w:rsidRPr="001A0C9B" w:rsidRDefault="001A0C9B" w:rsidP="001A0C9B">
            <w:pPr>
              <w:spacing w:after="0" w:line="240" w:lineRule="auto"/>
              <w:rPr>
                <w:rFonts w:ascii="Times New Roman" w:eastAsia="Times New Roman" w:hAnsi="Times New Roman" w:cs="Times New Roman"/>
                <w:color w:val="000000"/>
                <w:kern w:val="0"/>
                <w:sz w:val="16"/>
                <w:szCs w:val="16"/>
                <w:lang w:eastAsia="en-IN"/>
                <w14:ligatures w14:val="none"/>
              </w:rPr>
            </w:pPr>
            <w:r w:rsidRPr="001A0C9B">
              <w:rPr>
                <w:rFonts w:ascii="Times New Roman" w:eastAsia="Times New Roman" w:hAnsi="Times New Roman" w:cs="Times New Roman"/>
                <w:color w:val="000000"/>
                <w:kern w:val="0"/>
                <w:sz w:val="16"/>
                <w:szCs w:val="16"/>
                <w:lang w:eastAsia="en-IN"/>
                <w14:ligatures w14:val="none"/>
              </w:rPr>
              <w:t>Haryana</w:t>
            </w:r>
          </w:p>
        </w:tc>
        <w:tc>
          <w:tcPr>
            <w:tcW w:w="669" w:type="dxa"/>
            <w:tcBorders>
              <w:top w:val="nil"/>
              <w:left w:val="nil"/>
              <w:bottom w:val="single" w:sz="4" w:space="0" w:color="auto"/>
              <w:right w:val="single" w:sz="4" w:space="0" w:color="auto"/>
            </w:tcBorders>
            <w:noWrap/>
            <w:vAlign w:val="center"/>
            <w:hideMark/>
          </w:tcPr>
          <w:p w14:paraId="3FD532DA" w14:textId="77777777" w:rsidR="001A0C9B" w:rsidRPr="001A0C9B" w:rsidRDefault="001A0C9B" w:rsidP="001A0C9B">
            <w:pPr>
              <w:spacing w:after="0" w:line="240" w:lineRule="auto"/>
              <w:rPr>
                <w:rFonts w:ascii="Times New Roman" w:eastAsia="Times New Roman" w:hAnsi="Times New Roman" w:cs="Times New Roman"/>
                <w:color w:val="000000"/>
                <w:kern w:val="0"/>
                <w:sz w:val="16"/>
                <w:szCs w:val="16"/>
                <w:lang w:eastAsia="en-IN"/>
                <w14:ligatures w14:val="none"/>
              </w:rPr>
            </w:pPr>
            <w:r w:rsidRPr="001A0C9B">
              <w:rPr>
                <w:rFonts w:ascii="Times New Roman" w:eastAsia="Times New Roman" w:hAnsi="Times New Roman" w:cs="Times New Roman"/>
                <w:color w:val="000000"/>
                <w:kern w:val="0"/>
                <w:sz w:val="16"/>
                <w:szCs w:val="16"/>
                <w:lang w:eastAsia="en-IN"/>
                <w14:ligatures w14:val="none"/>
              </w:rPr>
              <w:t>(a)</w:t>
            </w:r>
          </w:p>
        </w:tc>
        <w:tc>
          <w:tcPr>
            <w:tcW w:w="723" w:type="dxa"/>
            <w:tcBorders>
              <w:top w:val="nil"/>
              <w:left w:val="nil"/>
              <w:bottom w:val="single" w:sz="4" w:space="0" w:color="auto"/>
              <w:right w:val="single" w:sz="4" w:space="0" w:color="auto"/>
            </w:tcBorders>
            <w:noWrap/>
            <w:vAlign w:val="center"/>
            <w:hideMark/>
          </w:tcPr>
          <w:p w14:paraId="710C99C1" w14:textId="5EA97535" w:rsidR="001A0C9B" w:rsidRPr="001A0C9B" w:rsidRDefault="0063665D" w:rsidP="001A0C9B">
            <w:pPr>
              <w:spacing w:after="0" w:line="240" w:lineRule="auto"/>
              <w:rPr>
                <w:rFonts w:ascii="Times New Roman" w:eastAsia="Times New Roman" w:hAnsi="Times New Roman" w:cs="Times New Roman"/>
                <w:color w:val="000000"/>
                <w:kern w:val="0"/>
                <w:sz w:val="16"/>
                <w:szCs w:val="16"/>
                <w:lang w:eastAsia="en-IN"/>
                <w14:ligatures w14:val="none"/>
              </w:rPr>
            </w:pPr>
            <w:r>
              <w:rPr>
                <w:rFonts w:ascii="Times New Roman" w:eastAsia="Times New Roman" w:hAnsi="Times New Roman" w:cs="Times New Roman"/>
                <w:color w:val="000000"/>
                <w:kern w:val="0"/>
                <w:sz w:val="16"/>
                <w:szCs w:val="16"/>
                <w:lang w:eastAsia="en-IN"/>
                <w14:ligatures w14:val="none"/>
              </w:rPr>
              <w:t>..</w:t>
            </w:r>
          </w:p>
        </w:tc>
        <w:tc>
          <w:tcPr>
            <w:tcW w:w="773" w:type="dxa"/>
            <w:tcBorders>
              <w:top w:val="nil"/>
              <w:left w:val="nil"/>
              <w:bottom w:val="single" w:sz="4" w:space="0" w:color="auto"/>
              <w:right w:val="single" w:sz="4" w:space="0" w:color="auto"/>
            </w:tcBorders>
            <w:noWrap/>
            <w:vAlign w:val="center"/>
            <w:hideMark/>
          </w:tcPr>
          <w:p w14:paraId="0B7362AC" w14:textId="77777777" w:rsidR="001A0C9B" w:rsidRPr="001A0C9B" w:rsidRDefault="001A0C9B" w:rsidP="001A0C9B">
            <w:pPr>
              <w:spacing w:after="0" w:line="240" w:lineRule="auto"/>
              <w:rPr>
                <w:rFonts w:ascii="Times New Roman" w:eastAsia="Times New Roman" w:hAnsi="Times New Roman" w:cs="Times New Roman"/>
                <w:color w:val="000000"/>
                <w:kern w:val="0"/>
                <w:sz w:val="16"/>
                <w:szCs w:val="16"/>
                <w:lang w:eastAsia="en-IN"/>
                <w14:ligatures w14:val="none"/>
              </w:rPr>
            </w:pPr>
            <w:r w:rsidRPr="001A0C9B">
              <w:rPr>
                <w:rFonts w:ascii="Times New Roman" w:eastAsia="Times New Roman" w:hAnsi="Times New Roman" w:cs="Times New Roman"/>
                <w:color w:val="000000"/>
                <w:kern w:val="0"/>
                <w:sz w:val="16"/>
                <w:szCs w:val="16"/>
                <w:lang w:eastAsia="en-IN"/>
                <w14:ligatures w14:val="none"/>
              </w:rPr>
              <w:t>(a)</w:t>
            </w:r>
          </w:p>
        </w:tc>
        <w:tc>
          <w:tcPr>
            <w:tcW w:w="981" w:type="dxa"/>
            <w:tcBorders>
              <w:top w:val="nil"/>
              <w:left w:val="nil"/>
              <w:bottom w:val="single" w:sz="4" w:space="0" w:color="auto"/>
              <w:right w:val="single" w:sz="4" w:space="0" w:color="auto"/>
            </w:tcBorders>
            <w:noWrap/>
            <w:vAlign w:val="center"/>
            <w:hideMark/>
          </w:tcPr>
          <w:p w14:paraId="649D2724" w14:textId="77777777" w:rsidR="001A0C9B" w:rsidRPr="001A0C9B" w:rsidRDefault="001A0C9B" w:rsidP="001A0C9B">
            <w:pPr>
              <w:spacing w:after="0" w:line="240" w:lineRule="auto"/>
              <w:rPr>
                <w:rFonts w:ascii="Times New Roman" w:eastAsia="Times New Roman" w:hAnsi="Times New Roman" w:cs="Times New Roman"/>
                <w:color w:val="000000"/>
                <w:kern w:val="0"/>
                <w:sz w:val="16"/>
                <w:szCs w:val="16"/>
                <w:lang w:eastAsia="en-IN"/>
                <w14:ligatures w14:val="none"/>
              </w:rPr>
            </w:pPr>
            <w:r w:rsidRPr="001A0C9B">
              <w:rPr>
                <w:rFonts w:ascii="Times New Roman" w:eastAsia="Times New Roman" w:hAnsi="Times New Roman" w:cs="Times New Roman"/>
                <w:color w:val="000000"/>
                <w:kern w:val="0"/>
                <w:sz w:val="16"/>
                <w:szCs w:val="16"/>
                <w:lang w:eastAsia="en-IN"/>
                <w14:ligatures w14:val="none"/>
              </w:rPr>
              <w:t>(a)</w:t>
            </w:r>
          </w:p>
        </w:tc>
        <w:tc>
          <w:tcPr>
            <w:tcW w:w="669" w:type="dxa"/>
            <w:tcBorders>
              <w:top w:val="nil"/>
              <w:left w:val="nil"/>
              <w:bottom w:val="single" w:sz="4" w:space="0" w:color="auto"/>
              <w:right w:val="single" w:sz="4" w:space="0" w:color="auto"/>
            </w:tcBorders>
            <w:noWrap/>
            <w:vAlign w:val="center"/>
            <w:hideMark/>
          </w:tcPr>
          <w:p w14:paraId="7BF374EE" w14:textId="77777777" w:rsidR="001A0C9B" w:rsidRPr="001A0C9B" w:rsidRDefault="001A0C9B" w:rsidP="001A0C9B">
            <w:pPr>
              <w:spacing w:after="0" w:line="240" w:lineRule="auto"/>
              <w:rPr>
                <w:rFonts w:ascii="Times New Roman" w:eastAsia="Times New Roman" w:hAnsi="Times New Roman" w:cs="Times New Roman"/>
                <w:color w:val="000000"/>
                <w:kern w:val="0"/>
                <w:sz w:val="16"/>
                <w:szCs w:val="16"/>
                <w:lang w:eastAsia="en-IN"/>
                <w14:ligatures w14:val="none"/>
              </w:rPr>
            </w:pPr>
            <w:r w:rsidRPr="001A0C9B">
              <w:rPr>
                <w:rFonts w:ascii="Times New Roman" w:eastAsia="Times New Roman" w:hAnsi="Times New Roman" w:cs="Times New Roman"/>
                <w:color w:val="000000"/>
                <w:kern w:val="0"/>
                <w:sz w:val="16"/>
                <w:szCs w:val="16"/>
                <w:lang w:eastAsia="en-IN"/>
                <w14:ligatures w14:val="none"/>
              </w:rPr>
              <w:t>..</w:t>
            </w:r>
          </w:p>
        </w:tc>
        <w:tc>
          <w:tcPr>
            <w:tcW w:w="679" w:type="dxa"/>
            <w:tcBorders>
              <w:top w:val="nil"/>
              <w:left w:val="nil"/>
              <w:bottom w:val="single" w:sz="4" w:space="0" w:color="auto"/>
              <w:right w:val="single" w:sz="4" w:space="0" w:color="auto"/>
            </w:tcBorders>
            <w:noWrap/>
            <w:vAlign w:val="center"/>
            <w:hideMark/>
          </w:tcPr>
          <w:p w14:paraId="45D9BB08" w14:textId="77777777" w:rsidR="001A0C9B" w:rsidRPr="001A0C9B" w:rsidRDefault="001A0C9B" w:rsidP="001A0C9B">
            <w:pPr>
              <w:spacing w:after="0" w:line="240" w:lineRule="auto"/>
              <w:rPr>
                <w:rFonts w:ascii="Times New Roman" w:eastAsia="Times New Roman" w:hAnsi="Times New Roman" w:cs="Times New Roman"/>
                <w:color w:val="000000"/>
                <w:kern w:val="0"/>
                <w:sz w:val="16"/>
                <w:szCs w:val="16"/>
                <w:lang w:eastAsia="en-IN"/>
                <w14:ligatures w14:val="none"/>
              </w:rPr>
            </w:pPr>
            <w:r w:rsidRPr="001A0C9B">
              <w:rPr>
                <w:rFonts w:ascii="Times New Roman" w:eastAsia="Times New Roman" w:hAnsi="Times New Roman" w:cs="Times New Roman"/>
                <w:color w:val="000000"/>
                <w:kern w:val="0"/>
                <w:sz w:val="16"/>
                <w:szCs w:val="16"/>
                <w:lang w:eastAsia="en-IN"/>
                <w14:ligatures w14:val="none"/>
              </w:rPr>
              <w:t>..</w:t>
            </w:r>
          </w:p>
        </w:tc>
        <w:tc>
          <w:tcPr>
            <w:tcW w:w="773" w:type="dxa"/>
            <w:tcBorders>
              <w:top w:val="nil"/>
              <w:left w:val="nil"/>
              <w:bottom w:val="single" w:sz="4" w:space="0" w:color="auto"/>
              <w:right w:val="single" w:sz="4" w:space="0" w:color="auto"/>
            </w:tcBorders>
            <w:noWrap/>
            <w:vAlign w:val="center"/>
            <w:hideMark/>
          </w:tcPr>
          <w:p w14:paraId="4CE90363" w14:textId="77777777" w:rsidR="001A0C9B" w:rsidRPr="001A0C9B" w:rsidRDefault="001A0C9B" w:rsidP="001A0C9B">
            <w:pPr>
              <w:spacing w:after="0" w:line="240" w:lineRule="auto"/>
              <w:rPr>
                <w:rFonts w:ascii="Times New Roman" w:eastAsia="Times New Roman" w:hAnsi="Times New Roman" w:cs="Times New Roman"/>
                <w:color w:val="000000"/>
                <w:kern w:val="0"/>
                <w:sz w:val="16"/>
                <w:szCs w:val="16"/>
                <w:lang w:eastAsia="en-IN"/>
                <w14:ligatures w14:val="none"/>
              </w:rPr>
            </w:pPr>
            <w:r w:rsidRPr="001A0C9B">
              <w:rPr>
                <w:rFonts w:ascii="Times New Roman" w:eastAsia="Times New Roman" w:hAnsi="Times New Roman" w:cs="Times New Roman"/>
                <w:color w:val="000000"/>
                <w:kern w:val="0"/>
                <w:sz w:val="16"/>
                <w:szCs w:val="16"/>
                <w:lang w:eastAsia="en-IN"/>
                <w14:ligatures w14:val="none"/>
              </w:rPr>
              <w:t>..</w:t>
            </w:r>
          </w:p>
        </w:tc>
        <w:tc>
          <w:tcPr>
            <w:tcW w:w="981" w:type="dxa"/>
            <w:tcBorders>
              <w:top w:val="nil"/>
              <w:left w:val="nil"/>
              <w:bottom w:val="single" w:sz="4" w:space="0" w:color="auto"/>
              <w:right w:val="single" w:sz="4" w:space="0" w:color="auto"/>
            </w:tcBorders>
            <w:noWrap/>
            <w:vAlign w:val="center"/>
            <w:hideMark/>
          </w:tcPr>
          <w:p w14:paraId="2233D2DF" w14:textId="77777777" w:rsidR="001A0C9B" w:rsidRPr="001A0C9B" w:rsidRDefault="001A0C9B" w:rsidP="001A0C9B">
            <w:pPr>
              <w:spacing w:after="0" w:line="240" w:lineRule="auto"/>
              <w:rPr>
                <w:rFonts w:ascii="Times New Roman" w:eastAsia="Times New Roman" w:hAnsi="Times New Roman" w:cs="Times New Roman"/>
                <w:color w:val="000000"/>
                <w:kern w:val="0"/>
                <w:sz w:val="16"/>
                <w:szCs w:val="16"/>
                <w:lang w:eastAsia="en-IN"/>
                <w14:ligatures w14:val="none"/>
              </w:rPr>
            </w:pPr>
            <w:r w:rsidRPr="001A0C9B">
              <w:rPr>
                <w:rFonts w:ascii="Times New Roman" w:eastAsia="Times New Roman" w:hAnsi="Times New Roman" w:cs="Times New Roman"/>
                <w:color w:val="000000"/>
                <w:kern w:val="0"/>
                <w:sz w:val="16"/>
                <w:szCs w:val="16"/>
                <w:lang w:eastAsia="en-IN"/>
                <w14:ligatures w14:val="none"/>
              </w:rPr>
              <w:t>..</w:t>
            </w:r>
          </w:p>
        </w:tc>
        <w:tc>
          <w:tcPr>
            <w:tcW w:w="782" w:type="dxa"/>
            <w:tcBorders>
              <w:top w:val="nil"/>
              <w:left w:val="nil"/>
              <w:bottom w:val="single" w:sz="4" w:space="0" w:color="auto"/>
              <w:right w:val="single" w:sz="4" w:space="0" w:color="auto"/>
            </w:tcBorders>
            <w:noWrap/>
            <w:vAlign w:val="center"/>
            <w:hideMark/>
          </w:tcPr>
          <w:p w14:paraId="392D69B0" w14:textId="77777777" w:rsidR="001A0C9B" w:rsidRPr="001A0C9B" w:rsidRDefault="001A0C9B" w:rsidP="001A0C9B">
            <w:pPr>
              <w:spacing w:after="0" w:line="240" w:lineRule="auto"/>
              <w:rPr>
                <w:rFonts w:ascii="Times New Roman" w:eastAsia="Times New Roman" w:hAnsi="Times New Roman" w:cs="Times New Roman"/>
                <w:color w:val="000000"/>
                <w:kern w:val="0"/>
                <w:sz w:val="16"/>
                <w:szCs w:val="16"/>
                <w:lang w:eastAsia="en-IN"/>
                <w14:ligatures w14:val="none"/>
              </w:rPr>
            </w:pPr>
            <w:r w:rsidRPr="001A0C9B">
              <w:rPr>
                <w:rFonts w:ascii="Times New Roman" w:eastAsia="Times New Roman" w:hAnsi="Times New Roman" w:cs="Times New Roman"/>
                <w:color w:val="000000"/>
                <w:kern w:val="0"/>
                <w:sz w:val="16"/>
                <w:szCs w:val="16"/>
                <w:lang w:eastAsia="en-IN"/>
                <w14:ligatures w14:val="none"/>
              </w:rPr>
              <w:t>8.35(b)</w:t>
            </w:r>
          </w:p>
        </w:tc>
        <w:tc>
          <w:tcPr>
            <w:tcW w:w="723" w:type="dxa"/>
            <w:tcBorders>
              <w:top w:val="nil"/>
              <w:left w:val="nil"/>
              <w:bottom w:val="single" w:sz="4" w:space="0" w:color="auto"/>
              <w:right w:val="single" w:sz="4" w:space="0" w:color="auto"/>
            </w:tcBorders>
            <w:noWrap/>
            <w:vAlign w:val="center"/>
            <w:hideMark/>
          </w:tcPr>
          <w:p w14:paraId="1E3C5304" w14:textId="77777777" w:rsidR="001A0C9B" w:rsidRPr="001A0C9B" w:rsidRDefault="001A0C9B" w:rsidP="001A0C9B">
            <w:pPr>
              <w:spacing w:after="0" w:line="240" w:lineRule="auto"/>
              <w:jc w:val="right"/>
              <w:rPr>
                <w:rFonts w:ascii="Times New Roman" w:eastAsia="Times New Roman" w:hAnsi="Times New Roman" w:cs="Times New Roman"/>
                <w:color w:val="000000"/>
                <w:kern w:val="0"/>
                <w:sz w:val="16"/>
                <w:szCs w:val="16"/>
                <w:lang w:eastAsia="en-IN"/>
                <w14:ligatures w14:val="none"/>
              </w:rPr>
            </w:pPr>
            <w:r w:rsidRPr="001A0C9B">
              <w:rPr>
                <w:rFonts w:ascii="Times New Roman" w:eastAsia="Times New Roman" w:hAnsi="Times New Roman" w:cs="Times New Roman"/>
                <w:color w:val="000000"/>
                <w:kern w:val="0"/>
                <w:sz w:val="16"/>
                <w:szCs w:val="16"/>
                <w:lang w:eastAsia="en-IN"/>
                <w14:ligatures w14:val="none"/>
              </w:rPr>
              <w:t>9.35</w:t>
            </w:r>
          </w:p>
        </w:tc>
        <w:tc>
          <w:tcPr>
            <w:tcW w:w="741" w:type="dxa"/>
            <w:tcBorders>
              <w:top w:val="nil"/>
              <w:left w:val="nil"/>
              <w:bottom w:val="single" w:sz="4" w:space="0" w:color="auto"/>
              <w:right w:val="single" w:sz="4" w:space="0" w:color="auto"/>
            </w:tcBorders>
            <w:noWrap/>
            <w:vAlign w:val="center"/>
            <w:hideMark/>
          </w:tcPr>
          <w:p w14:paraId="0B497E46" w14:textId="77777777" w:rsidR="001A0C9B" w:rsidRPr="001A0C9B" w:rsidRDefault="001A0C9B" w:rsidP="001A0C9B">
            <w:pPr>
              <w:spacing w:after="0" w:line="240" w:lineRule="auto"/>
              <w:jc w:val="right"/>
              <w:rPr>
                <w:rFonts w:ascii="Times New Roman" w:eastAsia="Times New Roman" w:hAnsi="Times New Roman" w:cs="Times New Roman"/>
                <w:color w:val="000000"/>
                <w:kern w:val="0"/>
                <w:sz w:val="16"/>
                <w:szCs w:val="16"/>
                <w:lang w:eastAsia="en-IN"/>
                <w14:ligatures w14:val="none"/>
              </w:rPr>
            </w:pPr>
            <w:r w:rsidRPr="001A0C9B">
              <w:rPr>
                <w:rFonts w:ascii="Times New Roman" w:eastAsia="Times New Roman" w:hAnsi="Times New Roman" w:cs="Times New Roman"/>
                <w:color w:val="000000"/>
                <w:kern w:val="0"/>
                <w:sz w:val="16"/>
                <w:szCs w:val="16"/>
                <w:lang w:eastAsia="en-IN"/>
                <w14:ligatures w14:val="none"/>
              </w:rPr>
              <w:t>4.25</w:t>
            </w:r>
          </w:p>
        </w:tc>
        <w:tc>
          <w:tcPr>
            <w:tcW w:w="981" w:type="dxa"/>
            <w:tcBorders>
              <w:top w:val="nil"/>
              <w:left w:val="nil"/>
              <w:bottom w:val="single" w:sz="4" w:space="0" w:color="auto"/>
              <w:right w:val="single" w:sz="4" w:space="0" w:color="auto"/>
            </w:tcBorders>
            <w:noWrap/>
            <w:vAlign w:val="center"/>
            <w:hideMark/>
          </w:tcPr>
          <w:p w14:paraId="1D7DF14A" w14:textId="77777777" w:rsidR="001A0C9B" w:rsidRPr="001A0C9B" w:rsidRDefault="001A0C9B" w:rsidP="001A0C9B">
            <w:pPr>
              <w:spacing w:after="0" w:line="240" w:lineRule="auto"/>
              <w:jc w:val="right"/>
              <w:rPr>
                <w:rFonts w:ascii="Times New Roman" w:eastAsia="Times New Roman" w:hAnsi="Times New Roman" w:cs="Times New Roman"/>
                <w:color w:val="000000"/>
                <w:kern w:val="0"/>
                <w:sz w:val="16"/>
                <w:szCs w:val="16"/>
                <w:lang w:eastAsia="en-IN"/>
                <w14:ligatures w14:val="none"/>
              </w:rPr>
            </w:pPr>
            <w:r w:rsidRPr="001A0C9B">
              <w:rPr>
                <w:rFonts w:ascii="Times New Roman" w:eastAsia="Times New Roman" w:hAnsi="Times New Roman" w:cs="Times New Roman"/>
                <w:color w:val="000000"/>
                <w:kern w:val="0"/>
                <w:sz w:val="16"/>
                <w:szCs w:val="16"/>
                <w:lang w:eastAsia="en-IN"/>
                <w14:ligatures w14:val="none"/>
              </w:rPr>
              <w:t>3.21</w:t>
            </w:r>
          </w:p>
        </w:tc>
        <w:tc>
          <w:tcPr>
            <w:tcW w:w="754" w:type="dxa"/>
            <w:tcBorders>
              <w:top w:val="nil"/>
              <w:left w:val="nil"/>
              <w:bottom w:val="single" w:sz="4" w:space="0" w:color="auto"/>
              <w:right w:val="single" w:sz="4" w:space="0" w:color="auto"/>
            </w:tcBorders>
            <w:noWrap/>
            <w:vAlign w:val="center"/>
            <w:hideMark/>
          </w:tcPr>
          <w:p w14:paraId="039E5DA8" w14:textId="77777777" w:rsidR="001A0C9B" w:rsidRPr="001A0C9B" w:rsidRDefault="001A0C9B" w:rsidP="001A0C9B">
            <w:pPr>
              <w:spacing w:after="0" w:line="240" w:lineRule="auto"/>
              <w:jc w:val="right"/>
              <w:rPr>
                <w:rFonts w:ascii="Times New Roman" w:eastAsia="Times New Roman" w:hAnsi="Times New Roman" w:cs="Times New Roman"/>
                <w:color w:val="000000"/>
                <w:kern w:val="0"/>
                <w:sz w:val="16"/>
                <w:szCs w:val="16"/>
                <w:lang w:eastAsia="en-IN"/>
                <w14:ligatures w14:val="none"/>
              </w:rPr>
            </w:pPr>
            <w:r w:rsidRPr="001A0C9B">
              <w:rPr>
                <w:rFonts w:ascii="Times New Roman" w:eastAsia="Times New Roman" w:hAnsi="Times New Roman" w:cs="Times New Roman"/>
                <w:color w:val="000000"/>
                <w:kern w:val="0"/>
                <w:sz w:val="16"/>
                <w:szCs w:val="16"/>
                <w:lang w:eastAsia="en-IN"/>
                <w14:ligatures w14:val="none"/>
              </w:rPr>
              <w:t>26.34</w:t>
            </w:r>
          </w:p>
        </w:tc>
        <w:tc>
          <w:tcPr>
            <w:tcW w:w="723" w:type="dxa"/>
            <w:tcBorders>
              <w:top w:val="nil"/>
              <w:left w:val="nil"/>
              <w:bottom w:val="single" w:sz="4" w:space="0" w:color="auto"/>
              <w:right w:val="single" w:sz="4" w:space="0" w:color="auto"/>
            </w:tcBorders>
            <w:noWrap/>
            <w:vAlign w:val="center"/>
            <w:hideMark/>
          </w:tcPr>
          <w:p w14:paraId="6D7BAB3A" w14:textId="77777777" w:rsidR="001A0C9B" w:rsidRPr="001A0C9B" w:rsidRDefault="001A0C9B" w:rsidP="001A0C9B">
            <w:pPr>
              <w:spacing w:after="0" w:line="240" w:lineRule="auto"/>
              <w:jc w:val="right"/>
              <w:rPr>
                <w:rFonts w:ascii="Times New Roman" w:eastAsia="Times New Roman" w:hAnsi="Times New Roman" w:cs="Times New Roman"/>
                <w:color w:val="000000"/>
                <w:kern w:val="0"/>
                <w:sz w:val="16"/>
                <w:szCs w:val="16"/>
                <w:lang w:eastAsia="en-IN"/>
                <w14:ligatures w14:val="none"/>
              </w:rPr>
            </w:pPr>
            <w:r w:rsidRPr="001A0C9B">
              <w:rPr>
                <w:rFonts w:ascii="Times New Roman" w:eastAsia="Times New Roman" w:hAnsi="Times New Roman" w:cs="Times New Roman"/>
                <w:color w:val="000000"/>
                <w:kern w:val="0"/>
                <w:sz w:val="16"/>
                <w:szCs w:val="16"/>
                <w:lang w:eastAsia="en-IN"/>
                <w14:ligatures w14:val="none"/>
              </w:rPr>
              <w:t>28.95</w:t>
            </w:r>
          </w:p>
        </w:tc>
        <w:tc>
          <w:tcPr>
            <w:tcW w:w="754" w:type="dxa"/>
            <w:tcBorders>
              <w:top w:val="nil"/>
              <w:left w:val="nil"/>
              <w:bottom w:val="single" w:sz="4" w:space="0" w:color="auto"/>
              <w:right w:val="single" w:sz="4" w:space="0" w:color="auto"/>
            </w:tcBorders>
            <w:noWrap/>
            <w:vAlign w:val="center"/>
            <w:hideMark/>
          </w:tcPr>
          <w:p w14:paraId="3C64CEED" w14:textId="77777777" w:rsidR="001A0C9B" w:rsidRPr="001A0C9B" w:rsidRDefault="001A0C9B" w:rsidP="001A0C9B">
            <w:pPr>
              <w:spacing w:after="0" w:line="240" w:lineRule="auto"/>
              <w:rPr>
                <w:rFonts w:ascii="Times New Roman" w:eastAsia="Times New Roman" w:hAnsi="Times New Roman" w:cs="Times New Roman"/>
                <w:color w:val="000000"/>
                <w:kern w:val="0"/>
                <w:sz w:val="16"/>
                <w:szCs w:val="16"/>
                <w:lang w:eastAsia="en-IN"/>
                <w14:ligatures w14:val="none"/>
              </w:rPr>
            </w:pPr>
            <w:r w:rsidRPr="001A0C9B">
              <w:rPr>
                <w:rFonts w:ascii="Times New Roman" w:eastAsia="Times New Roman" w:hAnsi="Times New Roman" w:cs="Times New Roman"/>
                <w:color w:val="000000"/>
                <w:kern w:val="0"/>
                <w:sz w:val="16"/>
                <w:szCs w:val="16"/>
                <w:lang w:eastAsia="en-IN"/>
                <w14:ligatures w14:val="none"/>
              </w:rPr>
              <w:t>..</w:t>
            </w:r>
          </w:p>
        </w:tc>
        <w:tc>
          <w:tcPr>
            <w:tcW w:w="981" w:type="dxa"/>
            <w:tcBorders>
              <w:top w:val="nil"/>
              <w:left w:val="nil"/>
              <w:bottom w:val="single" w:sz="4" w:space="0" w:color="auto"/>
              <w:right w:val="single" w:sz="4" w:space="0" w:color="auto"/>
            </w:tcBorders>
            <w:noWrap/>
            <w:vAlign w:val="center"/>
            <w:hideMark/>
          </w:tcPr>
          <w:p w14:paraId="02632182" w14:textId="77777777" w:rsidR="001A0C9B" w:rsidRPr="001A0C9B" w:rsidRDefault="001A0C9B" w:rsidP="001A0C9B">
            <w:pPr>
              <w:spacing w:after="0" w:line="240" w:lineRule="auto"/>
              <w:jc w:val="right"/>
              <w:rPr>
                <w:rFonts w:ascii="Times New Roman" w:eastAsia="Times New Roman" w:hAnsi="Times New Roman" w:cs="Times New Roman"/>
                <w:color w:val="000000"/>
                <w:kern w:val="0"/>
                <w:sz w:val="16"/>
                <w:szCs w:val="16"/>
                <w:lang w:eastAsia="en-IN"/>
                <w14:ligatures w14:val="none"/>
              </w:rPr>
            </w:pPr>
            <w:r w:rsidRPr="001A0C9B">
              <w:rPr>
                <w:rFonts w:ascii="Times New Roman" w:eastAsia="Times New Roman" w:hAnsi="Times New Roman" w:cs="Times New Roman"/>
                <w:color w:val="000000"/>
                <w:kern w:val="0"/>
                <w:sz w:val="16"/>
                <w:szCs w:val="16"/>
                <w:lang w:eastAsia="en-IN"/>
                <w14:ligatures w14:val="none"/>
              </w:rPr>
              <w:t>1.01</w:t>
            </w:r>
          </w:p>
        </w:tc>
        <w:tc>
          <w:tcPr>
            <w:tcW w:w="754" w:type="dxa"/>
            <w:tcBorders>
              <w:top w:val="nil"/>
              <w:left w:val="nil"/>
              <w:bottom w:val="single" w:sz="4" w:space="0" w:color="auto"/>
              <w:right w:val="single" w:sz="4" w:space="0" w:color="auto"/>
            </w:tcBorders>
            <w:noWrap/>
            <w:vAlign w:val="center"/>
            <w:hideMark/>
          </w:tcPr>
          <w:p w14:paraId="30092FAD" w14:textId="77777777" w:rsidR="001A0C9B" w:rsidRPr="001A0C9B" w:rsidRDefault="001A0C9B" w:rsidP="001A0C9B">
            <w:pPr>
              <w:spacing w:after="0" w:line="240" w:lineRule="auto"/>
              <w:jc w:val="right"/>
              <w:rPr>
                <w:rFonts w:ascii="Times New Roman" w:eastAsia="Times New Roman" w:hAnsi="Times New Roman" w:cs="Times New Roman"/>
                <w:color w:val="000000"/>
                <w:kern w:val="0"/>
                <w:sz w:val="16"/>
                <w:szCs w:val="16"/>
                <w:lang w:eastAsia="en-IN"/>
                <w14:ligatures w14:val="none"/>
              </w:rPr>
            </w:pPr>
            <w:r w:rsidRPr="001A0C9B">
              <w:rPr>
                <w:rFonts w:ascii="Times New Roman" w:eastAsia="Times New Roman" w:hAnsi="Times New Roman" w:cs="Times New Roman"/>
                <w:color w:val="000000"/>
                <w:kern w:val="0"/>
                <w:sz w:val="16"/>
                <w:szCs w:val="16"/>
                <w:lang w:eastAsia="en-IN"/>
                <w14:ligatures w14:val="none"/>
              </w:rPr>
              <w:t>32.84</w:t>
            </w:r>
          </w:p>
        </w:tc>
        <w:tc>
          <w:tcPr>
            <w:tcW w:w="723" w:type="dxa"/>
            <w:tcBorders>
              <w:top w:val="nil"/>
              <w:left w:val="nil"/>
              <w:bottom w:val="single" w:sz="4" w:space="0" w:color="auto"/>
              <w:right w:val="single" w:sz="4" w:space="0" w:color="auto"/>
            </w:tcBorders>
            <w:noWrap/>
            <w:vAlign w:val="center"/>
            <w:hideMark/>
          </w:tcPr>
          <w:p w14:paraId="6B76C335" w14:textId="77777777" w:rsidR="001A0C9B" w:rsidRPr="001A0C9B" w:rsidRDefault="001A0C9B" w:rsidP="001A0C9B">
            <w:pPr>
              <w:spacing w:after="0" w:line="240" w:lineRule="auto"/>
              <w:jc w:val="right"/>
              <w:rPr>
                <w:rFonts w:ascii="Times New Roman" w:eastAsia="Times New Roman" w:hAnsi="Times New Roman" w:cs="Times New Roman"/>
                <w:color w:val="000000"/>
                <w:kern w:val="0"/>
                <w:sz w:val="16"/>
                <w:szCs w:val="16"/>
                <w:lang w:eastAsia="en-IN"/>
                <w14:ligatures w14:val="none"/>
              </w:rPr>
            </w:pPr>
            <w:r w:rsidRPr="001A0C9B">
              <w:rPr>
                <w:rFonts w:ascii="Times New Roman" w:eastAsia="Times New Roman" w:hAnsi="Times New Roman" w:cs="Times New Roman"/>
                <w:color w:val="000000"/>
                <w:kern w:val="0"/>
                <w:sz w:val="16"/>
                <w:szCs w:val="16"/>
                <w:lang w:eastAsia="en-IN"/>
                <w14:ligatures w14:val="none"/>
              </w:rPr>
              <w:t>34.57</w:t>
            </w:r>
          </w:p>
        </w:tc>
      </w:tr>
      <w:tr w:rsidR="001A0C9B" w:rsidRPr="001A0C9B" w14:paraId="4F1B76FC" w14:textId="77777777" w:rsidTr="002A11B0">
        <w:trPr>
          <w:trHeight w:val="166"/>
          <w:jc w:val="center"/>
        </w:trPr>
        <w:tc>
          <w:tcPr>
            <w:tcW w:w="1051" w:type="dxa"/>
            <w:tcBorders>
              <w:top w:val="nil"/>
              <w:left w:val="single" w:sz="4" w:space="0" w:color="auto"/>
              <w:bottom w:val="single" w:sz="4" w:space="0" w:color="auto"/>
              <w:right w:val="single" w:sz="4" w:space="0" w:color="auto"/>
            </w:tcBorders>
            <w:noWrap/>
            <w:vAlign w:val="center"/>
            <w:hideMark/>
          </w:tcPr>
          <w:p w14:paraId="181AC93D" w14:textId="77777777" w:rsidR="001A0C9B" w:rsidRPr="001A0C9B" w:rsidRDefault="001A0C9B" w:rsidP="001A0C9B">
            <w:pPr>
              <w:spacing w:after="0" w:line="240" w:lineRule="auto"/>
              <w:rPr>
                <w:rFonts w:ascii="Times New Roman" w:eastAsia="Times New Roman" w:hAnsi="Times New Roman" w:cs="Times New Roman"/>
                <w:color w:val="000000"/>
                <w:kern w:val="0"/>
                <w:sz w:val="16"/>
                <w:szCs w:val="16"/>
                <w:lang w:eastAsia="en-IN"/>
                <w14:ligatures w14:val="none"/>
              </w:rPr>
            </w:pPr>
            <w:r w:rsidRPr="001A0C9B">
              <w:rPr>
                <w:rFonts w:ascii="Times New Roman" w:eastAsia="Times New Roman" w:hAnsi="Times New Roman" w:cs="Times New Roman"/>
                <w:color w:val="000000"/>
                <w:kern w:val="0"/>
                <w:sz w:val="16"/>
                <w:szCs w:val="16"/>
                <w:lang w:eastAsia="en-IN"/>
                <w14:ligatures w14:val="none"/>
              </w:rPr>
              <w:t>Jammu and Kashmir</w:t>
            </w:r>
          </w:p>
        </w:tc>
        <w:tc>
          <w:tcPr>
            <w:tcW w:w="669" w:type="dxa"/>
            <w:tcBorders>
              <w:top w:val="nil"/>
              <w:left w:val="nil"/>
              <w:bottom w:val="single" w:sz="4" w:space="0" w:color="auto"/>
              <w:right w:val="single" w:sz="4" w:space="0" w:color="auto"/>
            </w:tcBorders>
            <w:noWrap/>
            <w:vAlign w:val="center"/>
            <w:hideMark/>
          </w:tcPr>
          <w:p w14:paraId="56A6DB83" w14:textId="77777777" w:rsidR="001A0C9B" w:rsidRPr="001A0C9B" w:rsidRDefault="001A0C9B" w:rsidP="001A0C9B">
            <w:pPr>
              <w:spacing w:after="0" w:line="240" w:lineRule="auto"/>
              <w:jc w:val="right"/>
              <w:rPr>
                <w:rFonts w:ascii="Times New Roman" w:eastAsia="Times New Roman" w:hAnsi="Times New Roman" w:cs="Times New Roman"/>
                <w:color w:val="000000"/>
                <w:kern w:val="0"/>
                <w:sz w:val="16"/>
                <w:szCs w:val="16"/>
                <w:lang w:eastAsia="en-IN"/>
                <w14:ligatures w14:val="none"/>
              </w:rPr>
            </w:pPr>
            <w:r w:rsidRPr="001A0C9B">
              <w:rPr>
                <w:rFonts w:ascii="Times New Roman" w:eastAsia="Times New Roman" w:hAnsi="Times New Roman" w:cs="Times New Roman"/>
                <w:color w:val="000000"/>
                <w:kern w:val="0"/>
                <w:sz w:val="16"/>
                <w:szCs w:val="16"/>
                <w:lang w:eastAsia="en-IN"/>
                <w14:ligatures w14:val="none"/>
              </w:rPr>
              <w:t>2.85</w:t>
            </w:r>
          </w:p>
        </w:tc>
        <w:tc>
          <w:tcPr>
            <w:tcW w:w="723" w:type="dxa"/>
            <w:tcBorders>
              <w:top w:val="nil"/>
              <w:left w:val="nil"/>
              <w:bottom w:val="single" w:sz="4" w:space="0" w:color="auto"/>
              <w:right w:val="single" w:sz="4" w:space="0" w:color="auto"/>
            </w:tcBorders>
            <w:noWrap/>
            <w:vAlign w:val="center"/>
            <w:hideMark/>
          </w:tcPr>
          <w:p w14:paraId="5A400CD3" w14:textId="2DA85B0D" w:rsidR="001A0C9B" w:rsidRPr="001A0C9B" w:rsidRDefault="001A0C9B" w:rsidP="001A0C9B">
            <w:pPr>
              <w:spacing w:after="0" w:line="240" w:lineRule="auto"/>
              <w:jc w:val="right"/>
              <w:rPr>
                <w:rFonts w:ascii="Times New Roman" w:eastAsia="Times New Roman" w:hAnsi="Times New Roman" w:cs="Times New Roman"/>
                <w:color w:val="000000"/>
                <w:kern w:val="0"/>
                <w:sz w:val="16"/>
                <w:szCs w:val="16"/>
                <w:lang w:eastAsia="en-IN"/>
                <w14:ligatures w14:val="none"/>
              </w:rPr>
            </w:pPr>
            <w:r w:rsidRPr="001A0C9B">
              <w:rPr>
                <w:rFonts w:ascii="Times New Roman" w:eastAsia="Times New Roman" w:hAnsi="Times New Roman" w:cs="Times New Roman"/>
                <w:color w:val="000000"/>
                <w:kern w:val="0"/>
                <w:sz w:val="16"/>
                <w:szCs w:val="16"/>
                <w:lang w:eastAsia="en-IN"/>
                <w14:ligatures w14:val="none"/>
              </w:rPr>
              <w:t>8</w:t>
            </w:r>
            <w:r w:rsidR="0063665D">
              <w:rPr>
                <w:rFonts w:ascii="Times New Roman" w:eastAsia="Times New Roman" w:hAnsi="Times New Roman" w:cs="Times New Roman"/>
                <w:color w:val="000000"/>
                <w:kern w:val="0"/>
                <w:sz w:val="16"/>
                <w:szCs w:val="16"/>
                <w:lang w:eastAsia="en-IN"/>
                <w14:ligatures w14:val="none"/>
              </w:rPr>
              <w:t>.00</w:t>
            </w:r>
          </w:p>
        </w:tc>
        <w:tc>
          <w:tcPr>
            <w:tcW w:w="773" w:type="dxa"/>
            <w:tcBorders>
              <w:top w:val="nil"/>
              <w:left w:val="nil"/>
              <w:bottom w:val="single" w:sz="4" w:space="0" w:color="auto"/>
              <w:right w:val="single" w:sz="4" w:space="0" w:color="auto"/>
            </w:tcBorders>
            <w:noWrap/>
            <w:vAlign w:val="center"/>
            <w:hideMark/>
          </w:tcPr>
          <w:p w14:paraId="6638EB7E" w14:textId="2EB9C8E8" w:rsidR="001A0C9B" w:rsidRPr="001A0C9B" w:rsidRDefault="001A0C9B" w:rsidP="001A0C9B">
            <w:pPr>
              <w:spacing w:after="0" w:line="240" w:lineRule="auto"/>
              <w:jc w:val="right"/>
              <w:rPr>
                <w:rFonts w:ascii="Times New Roman" w:eastAsia="Times New Roman" w:hAnsi="Times New Roman" w:cs="Times New Roman"/>
                <w:color w:val="000000"/>
                <w:kern w:val="0"/>
                <w:sz w:val="16"/>
                <w:szCs w:val="16"/>
                <w:lang w:eastAsia="en-IN"/>
                <w14:ligatures w14:val="none"/>
              </w:rPr>
            </w:pPr>
            <w:r w:rsidRPr="001A0C9B">
              <w:rPr>
                <w:rFonts w:ascii="Times New Roman" w:eastAsia="Times New Roman" w:hAnsi="Times New Roman" w:cs="Times New Roman"/>
                <w:color w:val="000000"/>
                <w:kern w:val="0"/>
                <w:sz w:val="16"/>
                <w:szCs w:val="16"/>
                <w:lang w:eastAsia="en-IN"/>
                <w14:ligatures w14:val="none"/>
              </w:rPr>
              <w:t>8</w:t>
            </w:r>
            <w:r w:rsidR="0063665D">
              <w:rPr>
                <w:rFonts w:ascii="Times New Roman" w:eastAsia="Times New Roman" w:hAnsi="Times New Roman" w:cs="Times New Roman"/>
                <w:color w:val="000000"/>
                <w:kern w:val="0"/>
                <w:sz w:val="16"/>
                <w:szCs w:val="16"/>
                <w:lang w:eastAsia="en-IN"/>
                <w14:ligatures w14:val="none"/>
              </w:rPr>
              <w:t>.00</w:t>
            </w:r>
          </w:p>
        </w:tc>
        <w:tc>
          <w:tcPr>
            <w:tcW w:w="981" w:type="dxa"/>
            <w:tcBorders>
              <w:top w:val="nil"/>
              <w:left w:val="nil"/>
              <w:bottom w:val="single" w:sz="4" w:space="0" w:color="auto"/>
              <w:right w:val="single" w:sz="4" w:space="0" w:color="auto"/>
            </w:tcBorders>
            <w:noWrap/>
            <w:vAlign w:val="center"/>
            <w:hideMark/>
          </w:tcPr>
          <w:p w14:paraId="30AF2FBE" w14:textId="77777777" w:rsidR="001A0C9B" w:rsidRPr="001A0C9B" w:rsidRDefault="001A0C9B" w:rsidP="001A0C9B">
            <w:pPr>
              <w:spacing w:after="0" w:line="240" w:lineRule="auto"/>
              <w:jc w:val="right"/>
              <w:rPr>
                <w:rFonts w:ascii="Times New Roman" w:eastAsia="Times New Roman" w:hAnsi="Times New Roman" w:cs="Times New Roman"/>
                <w:color w:val="000000"/>
                <w:kern w:val="0"/>
                <w:sz w:val="16"/>
                <w:szCs w:val="16"/>
                <w:lang w:eastAsia="en-IN"/>
                <w14:ligatures w14:val="none"/>
              </w:rPr>
            </w:pPr>
            <w:r w:rsidRPr="001A0C9B">
              <w:rPr>
                <w:rFonts w:ascii="Times New Roman" w:eastAsia="Times New Roman" w:hAnsi="Times New Roman" w:cs="Times New Roman"/>
                <w:color w:val="000000"/>
                <w:kern w:val="0"/>
                <w:sz w:val="16"/>
                <w:szCs w:val="16"/>
                <w:lang w:eastAsia="en-IN"/>
                <w14:ligatures w14:val="none"/>
              </w:rPr>
              <w:t>6.14</w:t>
            </w:r>
          </w:p>
        </w:tc>
        <w:tc>
          <w:tcPr>
            <w:tcW w:w="669" w:type="dxa"/>
            <w:tcBorders>
              <w:top w:val="nil"/>
              <w:left w:val="nil"/>
              <w:bottom w:val="single" w:sz="4" w:space="0" w:color="auto"/>
              <w:right w:val="single" w:sz="4" w:space="0" w:color="auto"/>
            </w:tcBorders>
            <w:noWrap/>
            <w:vAlign w:val="center"/>
            <w:hideMark/>
          </w:tcPr>
          <w:p w14:paraId="4BC7663D" w14:textId="77777777" w:rsidR="001A0C9B" w:rsidRPr="001A0C9B" w:rsidRDefault="001A0C9B" w:rsidP="001A0C9B">
            <w:pPr>
              <w:spacing w:after="0" w:line="240" w:lineRule="auto"/>
              <w:jc w:val="right"/>
              <w:rPr>
                <w:rFonts w:ascii="Times New Roman" w:eastAsia="Times New Roman" w:hAnsi="Times New Roman" w:cs="Times New Roman"/>
                <w:color w:val="000000"/>
                <w:kern w:val="0"/>
                <w:sz w:val="16"/>
                <w:szCs w:val="16"/>
                <w:lang w:eastAsia="en-IN"/>
                <w14:ligatures w14:val="none"/>
              </w:rPr>
            </w:pPr>
            <w:r w:rsidRPr="001A0C9B">
              <w:rPr>
                <w:rFonts w:ascii="Times New Roman" w:eastAsia="Times New Roman" w:hAnsi="Times New Roman" w:cs="Times New Roman"/>
                <w:color w:val="000000"/>
                <w:kern w:val="0"/>
                <w:sz w:val="16"/>
                <w:szCs w:val="16"/>
                <w:lang w:eastAsia="en-IN"/>
                <w14:ligatures w14:val="none"/>
              </w:rPr>
              <w:t>5.24</w:t>
            </w:r>
          </w:p>
        </w:tc>
        <w:tc>
          <w:tcPr>
            <w:tcW w:w="679" w:type="dxa"/>
            <w:tcBorders>
              <w:top w:val="nil"/>
              <w:left w:val="nil"/>
              <w:bottom w:val="single" w:sz="4" w:space="0" w:color="auto"/>
              <w:right w:val="single" w:sz="4" w:space="0" w:color="auto"/>
            </w:tcBorders>
            <w:noWrap/>
            <w:vAlign w:val="center"/>
            <w:hideMark/>
          </w:tcPr>
          <w:p w14:paraId="3BAA0050" w14:textId="77777777" w:rsidR="001A0C9B" w:rsidRPr="001A0C9B" w:rsidRDefault="001A0C9B" w:rsidP="001A0C9B">
            <w:pPr>
              <w:spacing w:after="0" w:line="240" w:lineRule="auto"/>
              <w:jc w:val="right"/>
              <w:rPr>
                <w:rFonts w:ascii="Times New Roman" w:eastAsia="Times New Roman" w:hAnsi="Times New Roman" w:cs="Times New Roman"/>
                <w:color w:val="000000"/>
                <w:kern w:val="0"/>
                <w:sz w:val="16"/>
                <w:szCs w:val="16"/>
                <w:lang w:eastAsia="en-IN"/>
                <w14:ligatures w14:val="none"/>
              </w:rPr>
            </w:pPr>
            <w:r w:rsidRPr="001A0C9B">
              <w:rPr>
                <w:rFonts w:ascii="Times New Roman" w:eastAsia="Times New Roman" w:hAnsi="Times New Roman" w:cs="Times New Roman"/>
                <w:color w:val="000000"/>
                <w:kern w:val="0"/>
                <w:sz w:val="16"/>
                <w:szCs w:val="16"/>
                <w:lang w:eastAsia="en-IN"/>
                <w14:ligatures w14:val="none"/>
              </w:rPr>
              <w:t>13.87</w:t>
            </w:r>
          </w:p>
        </w:tc>
        <w:tc>
          <w:tcPr>
            <w:tcW w:w="773" w:type="dxa"/>
            <w:tcBorders>
              <w:top w:val="nil"/>
              <w:left w:val="nil"/>
              <w:bottom w:val="single" w:sz="4" w:space="0" w:color="auto"/>
              <w:right w:val="single" w:sz="4" w:space="0" w:color="auto"/>
            </w:tcBorders>
            <w:noWrap/>
            <w:vAlign w:val="center"/>
            <w:hideMark/>
          </w:tcPr>
          <w:p w14:paraId="03DAC1DA" w14:textId="77777777" w:rsidR="001A0C9B" w:rsidRPr="001A0C9B" w:rsidRDefault="001A0C9B" w:rsidP="001A0C9B">
            <w:pPr>
              <w:spacing w:after="0" w:line="240" w:lineRule="auto"/>
              <w:jc w:val="right"/>
              <w:rPr>
                <w:rFonts w:ascii="Times New Roman" w:eastAsia="Times New Roman" w:hAnsi="Times New Roman" w:cs="Times New Roman"/>
                <w:color w:val="000000"/>
                <w:kern w:val="0"/>
                <w:sz w:val="16"/>
                <w:szCs w:val="16"/>
                <w:lang w:eastAsia="en-IN"/>
                <w14:ligatures w14:val="none"/>
              </w:rPr>
            </w:pPr>
            <w:r w:rsidRPr="001A0C9B">
              <w:rPr>
                <w:rFonts w:ascii="Times New Roman" w:eastAsia="Times New Roman" w:hAnsi="Times New Roman" w:cs="Times New Roman"/>
                <w:color w:val="000000"/>
                <w:kern w:val="0"/>
                <w:sz w:val="16"/>
                <w:szCs w:val="16"/>
                <w:lang w:eastAsia="en-IN"/>
                <w14:ligatures w14:val="none"/>
              </w:rPr>
              <w:t>0.8</w:t>
            </w:r>
          </w:p>
        </w:tc>
        <w:tc>
          <w:tcPr>
            <w:tcW w:w="981" w:type="dxa"/>
            <w:tcBorders>
              <w:top w:val="nil"/>
              <w:left w:val="nil"/>
              <w:bottom w:val="single" w:sz="4" w:space="0" w:color="auto"/>
              <w:right w:val="single" w:sz="4" w:space="0" w:color="auto"/>
            </w:tcBorders>
            <w:noWrap/>
            <w:vAlign w:val="center"/>
            <w:hideMark/>
          </w:tcPr>
          <w:p w14:paraId="7A4B71ED" w14:textId="77777777" w:rsidR="001A0C9B" w:rsidRPr="001A0C9B" w:rsidRDefault="001A0C9B" w:rsidP="001A0C9B">
            <w:pPr>
              <w:spacing w:after="0" w:line="240" w:lineRule="auto"/>
              <w:jc w:val="right"/>
              <w:rPr>
                <w:rFonts w:ascii="Times New Roman" w:eastAsia="Times New Roman" w:hAnsi="Times New Roman" w:cs="Times New Roman"/>
                <w:color w:val="000000"/>
                <w:kern w:val="0"/>
                <w:sz w:val="16"/>
                <w:szCs w:val="16"/>
                <w:lang w:eastAsia="en-IN"/>
                <w14:ligatures w14:val="none"/>
              </w:rPr>
            </w:pPr>
            <w:r w:rsidRPr="001A0C9B">
              <w:rPr>
                <w:rFonts w:ascii="Times New Roman" w:eastAsia="Times New Roman" w:hAnsi="Times New Roman" w:cs="Times New Roman"/>
                <w:color w:val="000000"/>
                <w:kern w:val="0"/>
                <w:sz w:val="16"/>
                <w:szCs w:val="16"/>
                <w:lang w:eastAsia="en-IN"/>
                <w14:ligatures w14:val="none"/>
              </w:rPr>
              <w:t>0.17</w:t>
            </w:r>
          </w:p>
        </w:tc>
        <w:tc>
          <w:tcPr>
            <w:tcW w:w="782" w:type="dxa"/>
            <w:tcBorders>
              <w:top w:val="nil"/>
              <w:left w:val="nil"/>
              <w:bottom w:val="single" w:sz="4" w:space="0" w:color="auto"/>
              <w:right w:val="single" w:sz="4" w:space="0" w:color="auto"/>
            </w:tcBorders>
            <w:noWrap/>
            <w:vAlign w:val="center"/>
            <w:hideMark/>
          </w:tcPr>
          <w:p w14:paraId="3B5E97F8" w14:textId="77777777" w:rsidR="001A0C9B" w:rsidRPr="001A0C9B" w:rsidRDefault="001A0C9B" w:rsidP="001A0C9B">
            <w:pPr>
              <w:spacing w:after="0" w:line="240" w:lineRule="auto"/>
              <w:jc w:val="right"/>
              <w:rPr>
                <w:rFonts w:ascii="Times New Roman" w:eastAsia="Times New Roman" w:hAnsi="Times New Roman" w:cs="Times New Roman"/>
                <w:color w:val="000000"/>
                <w:kern w:val="0"/>
                <w:sz w:val="16"/>
                <w:szCs w:val="16"/>
                <w:lang w:eastAsia="en-IN"/>
                <w14:ligatures w14:val="none"/>
              </w:rPr>
            </w:pPr>
            <w:r w:rsidRPr="001A0C9B">
              <w:rPr>
                <w:rFonts w:ascii="Times New Roman" w:eastAsia="Times New Roman" w:hAnsi="Times New Roman" w:cs="Times New Roman"/>
                <w:color w:val="000000"/>
                <w:kern w:val="0"/>
                <w:sz w:val="16"/>
                <w:szCs w:val="16"/>
                <w:lang w:eastAsia="en-IN"/>
                <w14:ligatures w14:val="none"/>
              </w:rPr>
              <w:t>6.52</w:t>
            </w:r>
          </w:p>
        </w:tc>
        <w:tc>
          <w:tcPr>
            <w:tcW w:w="723" w:type="dxa"/>
            <w:tcBorders>
              <w:top w:val="nil"/>
              <w:left w:val="nil"/>
              <w:bottom w:val="single" w:sz="4" w:space="0" w:color="auto"/>
              <w:right w:val="single" w:sz="4" w:space="0" w:color="auto"/>
            </w:tcBorders>
            <w:noWrap/>
            <w:vAlign w:val="center"/>
            <w:hideMark/>
          </w:tcPr>
          <w:p w14:paraId="36F8DD23" w14:textId="77777777" w:rsidR="001A0C9B" w:rsidRPr="001A0C9B" w:rsidRDefault="001A0C9B" w:rsidP="001A0C9B">
            <w:pPr>
              <w:spacing w:after="0" w:line="240" w:lineRule="auto"/>
              <w:jc w:val="right"/>
              <w:rPr>
                <w:rFonts w:ascii="Times New Roman" w:eastAsia="Times New Roman" w:hAnsi="Times New Roman" w:cs="Times New Roman"/>
                <w:color w:val="000000"/>
                <w:kern w:val="0"/>
                <w:sz w:val="16"/>
                <w:szCs w:val="16"/>
                <w:lang w:eastAsia="en-IN"/>
                <w14:ligatures w14:val="none"/>
              </w:rPr>
            </w:pPr>
            <w:r w:rsidRPr="001A0C9B">
              <w:rPr>
                <w:rFonts w:ascii="Times New Roman" w:eastAsia="Times New Roman" w:hAnsi="Times New Roman" w:cs="Times New Roman"/>
                <w:color w:val="000000"/>
                <w:kern w:val="0"/>
                <w:sz w:val="16"/>
                <w:szCs w:val="16"/>
                <w:lang w:eastAsia="en-IN"/>
                <w14:ligatures w14:val="none"/>
              </w:rPr>
              <w:t>17.01</w:t>
            </w:r>
          </w:p>
        </w:tc>
        <w:tc>
          <w:tcPr>
            <w:tcW w:w="741" w:type="dxa"/>
            <w:tcBorders>
              <w:top w:val="nil"/>
              <w:left w:val="nil"/>
              <w:bottom w:val="single" w:sz="4" w:space="0" w:color="auto"/>
              <w:right w:val="single" w:sz="4" w:space="0" w:color="auto"/>
            </w:tcBorders>
            <w:noWrap/>
            <w:vAlign w:val="center"/>
            <w:hideMark/>
          </w:tcPr>
          <w:p w14:paraId="04484B9B" w14:textId="363B9C97" w:rsidR="001A0C9B" w:rsidRPr="001A0C9B" w:rsidRDefault="001A0C9B" w:rsidP="001A0C9B">
            <w:pPr>
              <w:spacing w:after="0" w:line="240" w:lineRule="auto"/>
              <w:jc w:val="right"/>
              <w:rPr>
                <w:rFonts w:ascii="Times New Roman" w:eastAsia="Times New Roman" w:hAnsi="Times New Roman" w:cs="Times New Roman"/>
                <w:color w:val="000000"/>
                <w:kern w:val="0"/>
                <w:sz w:val="16"/>
                <w:szCs w:val="16"/>
                <w:lang w:eastAsia="en-IN"/>
                <w14:ligatures w14:val="none"/>
              </w:rPr>
            </w:pPr>
            <w:r w:rsidRPr="001A0C9B">
              <w:rPr>
                <w:rFonts w:ascii="Times New Roman" w:eastAsia="Times New Roman" w:hAnsi="Times New Roman" w:cs="Times New Roman"/>
                <w:color w:val="000000"/>
                <w:kern w:val="0"/>
                <w:sz w:val="16"/>
                <w:szCs w:val="16"/>
                <w:lang w:eastAsia="en-IN"/>
                <w14:ligatures w14:val="none"/>
              </w:rPr>
              <w:t>0.4</w:t>
            </w:r>
            <w:r w:rsidR="0063665D">
              <w:rPr>
                <w:rFonts w:ascii="Times New Roman" w:eastAsia="Times New Roman" w:hAnsi="Times New Roman" w:cs="Times New Roman"/>
                <w:color w:val="000000"/>
                <w:kern w:val="0"/>
                <w:sz w:val="16"/>
                <w:szCs w:val="16"/>
                <w:lang w:eastAsia="en-IN"/>
                <w14:ligatures w14:val="none"/>
              </w:rPr>
              <w:t>0</w:t>
            </w:r>
          </w:p>
        </w:tc>
        <w:tc>
          <w:tcPr>
            <w:tcW w:w="981" w:type="dxa"/>
            <w:tcBorders>
              <w:top w:val="nil"/>
              <w:left w:val="nil"/>
              <w:bottom w:val="single" w:sz="4" w:space="0" w:color="auto"/>
              <w:right w:val="single" w:sz="4" w:space="0" w:color="auto"/>
            </w:tcBorders>
            <w:noWrap/>
            <w:vAlign w:val="center"/>
            <w:hideMark/>
          </w:tcPr>
          <w:p w14:paraId="64891C26" w14:textId="77777777" w:rsidR="001A0C9B" w:rsidRPr="001A0C9B" w:rsidRDefault="001A0C9B" w:rsidP="001A0C9B">
            <w:pPr>
              <w:spacing w:after="0" w:line="240" w:lineRule="auto"/>
              <w:jc w:val="right"/>
              <w:rPr>
                <w:rFonts w:ascii="Times New Roman" w:eastAsia="Times New Roman" w:hAnsi="Times New Roman" w:cs="Times New Roman"/>
                <w:color w:val="000000"/>
                <w:kern w:val="0"/>
                <w:sz w:val="16"/>
                <w:szCs w:val="16"/>
                <w:lang w:eastAsia="en-IN"/>
                <w14:ligatures w14:val="none"/>
              </w:rPr>
            </w:pPr>
            <w:r w:rsidRPr="001A0C9B">
              <w:rPr>
                <w:rFonts w:ascii="Times New Roman" w:eastAsia="Times New Roman" w:hAnsi="Times New Roman" w:cs="Times New Roman"/>
                <w:color w:val="000000"/>
                <w:kern w:val="0"/>
                <w:sz w:val="16"/>
                <w:szCs w:val="16"/>
                <w:lang w:eastAsia="en-IN"/>
                <w14:ligatures w14:val="none"/>
              </w:rPr>
              <w:t>0.23</w:t>
            </w:r>
          </w:p>
        </w:tc>
        <w:tc>
          <w:tcPr>
            <w:tcW w:w="754" w:type="dxa"/>
            <w:tcBorders>
              <w:top w:val="nil"/>
              <w:left w:val="nil"/>
              <w:bottom w:val="single" w:sz="4" w:space="0" w:color="auto"/>
              <w:right w:val="single" w:sz="4" w:space="0" w:color="auto"/>
            </w:tcBorders>
            <w:noWrap/>
            <w:vAlign w:val="center"/>
            <w:hideMark/>
          </w:tcPr>
          <w:p w14:paraId="7B09C966" w14:textId="77777777" w:rsidR="001A0C9B" w:rsidRPr="001A0C9B" w:rsidRDefault="001A0C9B" w:rsidP="001A0C9B">
            <w:pPr>
              <w:spacing w:after="0" w:line="240" w:lineRule="auto"/>
              <w:jc w:val="right"/>
              <w:rPr>
                <w:rFonts w:ascii="Times New Roman" w:eastAsia="Times New Roman" w:hAnsi="Times New Roman" w:cs="Times New Roman"/>
                <w:color w:val="000000"/>
                <w:kern w:val="0"/>
                <w:sz w:val="16"/>
                <w:szCs w:val="16"/>
                <w:lang w:eastAsia="en-IN"/>
                <w14:ligatures w14:val="none"/>
              </w:rPr>
            </w:pPr>
            <w:r w:rsidRPr="001A0C9B">
              <w:rPr>
                <w:rFonts w:ascii="Times New Roman" w:eastAsia="Times New Roman" w:hAnsi="Times New Roman" w:cs="Times New Roman"/>
                <w:color w:val="000000"/>
                <w:kern w:val="0"/>
                <w:sz w:val="16"/>
                <w:szCs w:val="16"/>
                <w:lang w:eastAsia="en-IN"/>
                <w14:ligatures w14:val="none"/>
              </w:rPr>
              <w:t>7.58</w:t>
            </w:r>
          </w:p>
        </w:tc>
        <w:tc>
          <w:tcPr>
            <w:tcW w:w="723" w:type="dxa"/>
            <w:tcBorders>
              <w:top w:val="nil"/>
              <w:left w:val="nil"/>
              <w:bottom w:val="single" w:sz="4" w:space="0" w:color="auto"/>
              <w:right w:val="single" w:sz="4" w:space="0" w:color="auto"/>
            </w:tcBorders>
            <w:noWrap/>
            <w:vAlign w:val="center"/>
            <w:hideMark/>
          </w:tcPr>
          <w:p w14:paraId="418047F7" w14:textId="77777777" w:rsidR="001A0C9B" w:rsidRPr="001A0C9B" w:rsidRDefault="001A0C9B" w:rsidP="001A0C9B">
            <w:pPr>
              <w:spacing w:after="0" w:line="240" w:lineRule="auto"/>
              <w:jc w:val="right"/>
              <w:rPr>
                <w:rFonts w:ascii="Times New Roman" w:eastAsia="Times New Roman" w:hAnsi="Times New Roman" w:cs="Times New Roman"/>
                <w:color w:val="000000"/>
                <w:kern w:val="0"/>
                <w:sz w:val="16"/>
                <w:szCs w:val="16"/>
                <w:lang w:eastAsia="en-IN"/>
                <w14:ligatures w14:val="none"/>
              </w:rPr>
            </w:pPr>
            <w:r w:rsidRPr="001A0C9B">
              <w:rPr>
                <w:rFonts w:ascii="Times New Roman" w:eastAsia="Times New Roman" w:hAnsi="Times New Roman" w:cs="Times New Roman"/>
                <w:color w:val="000000"/>
                <w:kern w:val="0"/>
                <w:sz w:val="16"/>
                <w:szCs w:val="16"/>
                <w:lang w:eastAsia="en-IN"/>
                <w14:ligatures w14:val="none"/>
              </w:rPr>
              <w:t>19.44</w:t>
            </w:r>
          </w:p>
        </w:tc>
        <w:tc>
          <w:tcPr>
            <w:tcW w:w="754" w:type="dxa"/>
            <w:tcBorders>
              <w:top w:val="nil"/>
              <w:left w:val="nil"/>
              <w:bottom w:val="single" w:sz="4" w:space="0" w:color="auto"/>
              <w:right w:val="single" w:sz="4" w:space="0" w:color="auto"/>
            </w:tcBorders>
            <w:noWrap/>
            <w:vAlign w:val="center"/>
            <w:hideMark/>
          </w:tcPr>
          <w:p w14:paraId="71559696" w14:textId="33BCCB6B" w:rsidR="001A0C9B" w:rsidRPr="001A0C9B" w:rsidRDefault="001A0C9B" w:rsidP="001A0C9B">
            <w:pPr>
              <w:spacing w:after="0" w:line="240" w:lineRule="auto"/>
              <w:jc w:val="right"/>
              <w:rPr>
                <w:rFonts w:ascii="Times New Roman" w:eastAsia="Times New Roman" w:hAnsi="Times New Roman" w:cs="Times New Roman"/>
                <w:color w:val="000000"/>
                <w:kern w:val="0"/>
                <w:sz w:val="16"/>
                <w:szCs w:val="16"/>
                <w:lang w:eastAsia="en-IN"/>
                <w14:ligatures w14:val="none"/>
              </w:rPr>
            </w:pPr>
            <w:r w:rsidRPr="001A0C9B">
              <w:rPr>
                <w:rFonts w:ascii="Times New Roman" w:eastAsia="Times New Roman" w:hAnsi="Times New Roman" w:cs="Times New Roman"/>
                <w:color w:val="000000"/>
                <w:kern w:val="0"/>
                <w:sz w:val="16"/>
                <w:szCs w:val="16"/>
                <w:lang w:eastAsia="en-IN"/>
                <w14:ligatures w14:val="none"/>
              </w:rPr>
              <w:t>0.6</w:t>
            </w:r>
            <w:r w:rsidR="0063665D">
              <w:rPr>
                <w:rFonts w:ascii="Times New Roman" w:eastAsia="Times New Roman" w:hAnsi="Times New Roman" w:cs="Times New Roman"/>
                <w:color w:val="000000"/>
                <w:kern w:val="0"/>
                <w:sz w:val="16"/>
                <w:szCs w:val="16"/>
                <w:lang w:eastAsia="en-IN"/>
                <w14:ligatures w14:val="none"/>
              </w:rPr>
              <w:t>0</w:t>
            </w:r>
          </w:p>
        </w:tc>
        <w:tc>
          <w:tcPr>
            <w:tcW w:w="981" w:type="dxa"/>
            <w:tcBorders>
              <w:top w:val="nil"/>
              <w:left w:val="nil"/>
              <w:bottom w:val="single" w:sz="4" w:space="0" w:color="auto"/>
              <w:right w:val="single" w:sz="4" w:space="0" w:color="auto"/>
            </w:tcBorders>
            <w:noWrap/>
            <w:vAlign w:val="center"/>
            <w:hideMark/>
          </w:tcPr>
          <w:p w14:paraId="7B7ED9BF" w14:textId="36D4CAD1" w:rsidR="001A0C9B" w:rsidRPr="001A0C9B" w:rsidRDefault="001A0C9B" w:rsidP="001A0C9B">
            <w:pPr>
              <w:spacing w:after="0" w:line="240" w:lineRule="auto"/>
              <w:jc w:val="right"/>
              <w:rPr>
                <w:rFonts w:ascii="Times New Roman" w:eastAsia="Times New Roman" w:hAnsi="Times New Roman" w:cs="Times New Roman"/>
                <w:color w:val="000000"/>
                <w:kern w:val="0"/>
                <w:sz w:val="16"/>
                <w:szCs w:val="16"/>
                <w:lang w:eastAsia="en-IN"/>
                <w14:ligatures w14:val="none"/>
              </w:rPr>
            </w:pPr>
            <w:r w:rsidRPr="001A0C9B">
              <w:rPr>
                <w:rFonts w:ascii="Times New Roman" w:eastAsia="Times New Roman" w:hAnsi="Times New Roman" w:cs="Times New Roman"/>
                <w:color w:val="000000"/>
                <w:kern w:val="0"/>
                <w:sz w:val="16"/>
                <w:szCs w:val="16"/>
                <w:lang w:eastAsia="en-IN"/>
                <w14:ligatures w14:val="none"/>
              </w:rPr>
              <w:t>0.6</w:t>
            </w:r>
            <w:r w:rsidR="0063665D">
              <w:rPr>
                <w:rFonts w:ascii="Times New Roman" w:eastAsia="Times New Roman" w:hAnsi="Times New Roman" w:cs="Times New Roman"/>
                <w:color w:val="000000"/>
                <w:kern w:val="0"/>
                <w:sz w:val="16"/>
                <w:szCs w:val="16"/>
                <w:lang w:eastAsia="en-IN"/>
                <w14:ligatures w14:val="none"/>
              </w:rPr>
              <w:t>0</w:t>
            </w:r>
          </w:p>
        </w:tc>
        <w:tc>
          <w:tcPr>
            <w:tcW w:w="754" w:type="dxa"/>
            <w:tcBorders>
              <w:top w:val="nil"/>
              <w:left w:val="nil"/>
              <w:bottom w:val="single" w:sz="4" w:space="0" w:color="auto"/>
              <w:right w:val="single" w:sz="4" w:space="0" w:color="auto"/>
            </w:tcBorders>
            <w:noWrap/>
            <w:vAlign w:val="center"/>
            <w:hideMark/>
          </w:tcPr>
          <w:p w14:paraId="4C746BE6" w14:textId="77777777" w:rsidR="001A0C9B" w:rsidRPr="001A0C9B" w:rsidRDefault="001A0C9B" w:rsidP="001A0C9B">
            <w:pPr>
              <w:spacing w:after="0" w:line="240" w:lineRule="auto"/>
              <w:jc w:val="right"/>
              <w:rPr>
                <w:rFonts w:ascii="Times New Roman" w:eastAsia="Times New Roman" w:hAnsi="Times New Roman" w:cs="Times New Roman"/>
                <w:color w:val="000000"/>
                <w:kern w:val="0"/>
                <w:sz w:val="16"/>
                <w:szCs w:val="16"/>
                <w:lang w:eastAsia="en-IN"/>
                <w14:ligatures w14:val="none"/>
              </w:rPr>
            </w:pPr>
            <w:r w:rsidRPr="001A0C9B">
              <w:rPr>
                <w:rFonts w:ascii="Times New Roman" w:eastAsia="Times New Roman" w:hAnsi="Times New Roman" w:cs="Times New Roman"/>
                <w:color w:val="000000"/>
                <w:kern w:val="0"/>
                <w:sz w:val="16"/>
                <w:szCs w:val="16"/>
                <w:lang w:eastAsia="en-IN"/>
                <w14:ligatures w14:val="none"/>
              </w:rPr>
              <w:t>9.18</w:t>
            </w:r>
          </w:p>
        </w:tc>
        <w:tc>
          <w:tcPr>
            <w:tcW w:w="723" w:type="dxa"/>
            <w:tcBorders>
              <w:top w:val="nil"/>
              <w:left w:val="nil"/>
              <w:bottom w:val="single" w:sz="4" w:space="0" w:color="auto"/>
              <w:right w:val="single" w:sz="4" w:space="0" w:color="auto"/>
            </w:tcBorders>
            <w:noWrap/>
            <w:vAlign w:val="center"/>
            <w:hideMark/>
          </w:tcPr>
          <w:p w14:paraId="295C259B" w14:textId="77777777" w:rsidR="001A0C9B" w:rsidRPr="001A0C9B" w:rsidRDefault="001A0C9B" w:rsidP="001A0C9B">
            <w:pPr>
              <w:spacing w:after="0" w:line="240" w:lineRule="auto"/>
              <w:jc w:val="right"/>
              <w:rPr>
                <w:rFonts w:ascii="Times New Roman" w:eastAsia="Times New Roman" w:hAnsi="Times New Roman" w:cs="Times New Roman"/>
                <w:color w:val="000000"/>
                <w:kern w:val="0"/>
                <w:sz w:val="16"/>
                <w:szCs w:val="16"/>
                <w:lang w:eastAsia="en-IN"/>
                <w14:ligatures w14:val="none"/>
              </w:rPr>
            </w:pPr>
            <w:r w:rsidRPr="001A0C9B">
              <w:rPr>
                <w:rFonts w:ascii="Times New Roman" w:eastAsia="Times New Roman" w:hAnsi="Times New Roman" w:cs="Times New Roman"/>
                <w:color w:val="000000"/>
                <w:kern w:val="0"/>
                <w:sz w:val="16"/>
                <w:szCs w:val="16"/>
                <w:lang w:eastAsia="en-IN"/>
                <w14:ligatures w14:val="none"/>
              </w:rPr>
              <w:t>23.31</w:t>
            </w:r>
          </w:p>
        </w:tc>
      </w:tr>
      <w:tr w:rsidR="001A0C9B" w:rsidRPr="001A0C9B" w14:paraId="41D12ABC" w14:textId="77777777" w:rsidTr="002A11B0">
        <w:trPr>
          <w:trHeight w:val="166"/>
          <w:jc w:val="center"/>
        </w:trPr>
        <w:tc>
          <w:tcPr>
            <w:tcW w:w="1051" w:type="dxa"/>
            <w:tcBorders>
              <w:top w:val="nil"/>
              <w:left w:val="single" w:sz="4" w:space="0" w:color="auto"/>
              <w:bottom w:val="single" w:sz="4" w:space="0" w:color="auto"/>
              <w:right w:val="single" w:sz="4" w:space="0" w:color="auto"/>
            </w:tcBorders>
            <w:noWrap/>
            <w:vAlign w:val="center"/>
            <w:hideMark/>
          </w:tcPr>
          <w:p w14:paraId="6BB08CEB" w14:textId="77777777" w:rsidR="001A0C9B" w:rsidRPr="001A0C9B" w:rsidRDefault="001A0C9B" w:rsidP="001A0C9B">
            <w:pPr>
              <w:spacing w:after="0" w:line="240" w:lineRule="auto"/>
              <w:rPr>
                <w:rFonts w:ascii="Times New Roman" w:eastAsia="Times New Roman" w:hAnsi="Times New Roman" w:cs="Times New Roman"/>
                <w:color w:val="000000"/>
                <w:kern w:val="0"/>
                <w:sz w:val="16"/>
                <w:szCs w:val="16"/>
                <w:lang w:eastAsia="en-IN"/>
                <w14:ligatures w14:val="none"/>
              </w:rPr>
            </w:pPr>
            <w:r w:rsidRPr="001A0C9B">
              <w:rPr>
                <w:rFonts w:ascii="Times New Roman" w:eastAsia="Times New Roman" w:hAnsi="Times New Roman" w:cs="Times New Roman"/>
                <w:color w:val="000000"/>
                <w:kern w:val="0"/>
                <w:sz w:val="16"/>
                <w:szCs w:val="16"/>
                <w:lang w:eastAsia="en-IN"/>
                <w14:ligatures w14:val="none"/>
              </w:rPr>
              <w:t>Kerala</w:t>
            </w:r>
          </w:p>
        </w:tc>
        <w:tc>
          <w:tcPr>
            <w:tcW w:w="669" w:type="dxa"/>
            <w:tcBorders>
              <w:top w:val="nil"/>
              <w:left w:val="nil"/>
              <w:bottom w:val="single" w:sz="4" w:space="0" w:color="auto"/>
              <w:right w:val="single" w:sz="4" w:space="0" w:color="auto"/>
            </w:tcBorders>
            <w:noWrap/>
            <w:vAlign w:val="center"/>
            <w:hideMark/>
          </w:tcPr>
          <w:p w14:paraId="6F1AF85F" w14:textId="77777777" w:rsidR="001A0C9B" w:rsidRPr="001A0C9B" w:rsidRDefault="001A0C9B" w:rsidP="001A0C9B">
            <w:pPr>
              <w:spacing w:after="0" w:line="240" w:lineRule="auto"/>
              <w:jc w:val="right"/>
              <w:rPr>
                <w:rFonts w:ascii="Times New Roman" w:eastAsia="Times New Roman" w:hAnsi="Times New Roman" w:cs="Times New Roman"/>
                <w:color w:val="000000"/>
                <w:kern w:val="0"/>
                <w:sz w:val="16"/>
                <w:szCs w:val="16"/>
                <w:lang w:eastAsia="en-IN"/>
                <w14:ligatures w14:val="none"/>
              </w:rPr>
            </w:pPr>
            <w:r w:rsidRPr="001A0C9B">
              <w:rPr>
                <w:rFonts w:ascii="Times New Roman" w:eastAsia="Times New Roman" w:hAnsi="Times New Roman" w:cs="Times New Roman"/>
                <w:color w:val="000000"/>
                <w:kern w:val="0"/>
                <w:sz w:val="16"/>
                <w:szCs w:val="16"/>
                <w:lang w:eastAsia="en-IN"/>
                <w14:ligatures w14:val="none"/>
              </w:rPr>
              <w:t>20.17</w:t>
            </w:r>
          </w:p>
        </w:tc>
        <w:tc>
          <w:tcPr>
            <w:tcW w:w="723" w:type="dxa"/>
            <w:tcBorders>
              <w:top w:val="nil"/>
              <w:left w:val="nil"/>
              <w:bottom w:val="single" w:sz="4" w:space="0" w:color="auto"/>
              <w:right w:val="single" w:sz="4" w:space="0" w:color="auto"/>
            </w:tcBorders>
            <w:noWrap/>
            <w:vAlign w:val="center"/>
            <w:hideMark/>
          </w:tcPr>
          <w:p w14:paraId="78B74F04" w14:textId="77777777" w:rsidR="001A0C9B" w:rsidRPr="001A0C9B" w:rsidRDefault="001A0C9B" w:rsidP="001A0C9B">
            <w:pPr>
              <w:spacing w:after="0" w:line="240" w:lineRule="auto"/>
              <w:jc w:val="right"/>
              <w:rPr>
                <w:rFonts w:ascii="Times New Roman" w:eastAsia="Times New Roman" w:hAnsi="Times New Roman" w:cs="Times New Roman"/>
                <w:color w:val="000000"/>
                <w:kern w:val="0"/>
                <w:sz w:val="16"/>
                <w:szCs w:val="16"/>
                <w:lang w:eastAsia="en-IN"/>
                <w14:ligatures w14:val="none"/>
              </w:rPr>
            </w:pPr>
            <w:r w:rsidRPr="001A0C9B">
              <w:rPr>
                <w:rFonts w:ascii="Times New Roman" w:eastAsia="Times New Roman" w:hAnsi="Times New Roman" w:cs="Times New Roman"/>
                <w:color w:val="000000"/>
                <w:kern w:val="0"/>
                <w:sz w:val="16"/>
                <w:szCs w:val="16"/>
                <w:lang w:eastAsia="en-IN"/>
                <w14:ligatures w14:val="none"/>
              </w:rPr>
              <w:t>11.93</w:t>
            </w:r>
          </w:p>
        </w:tc>
        <w:tc>
          <w:tcPr>
            <w:tcW w:w="773" w:type="dxa"/>
            <w:tcBorders>
              <w:top w:val="nil"/>
              <w:left w:val="nil"/>
              <w:bottom w:val="single" w:sz="4" w:space="0" w:color="auto"/>
              <w:right w:val="single" w:sz="4" w:space="0" w:color="auto"/>
            </w:tcBorders>
            <w:noWrap/>
            <w:vAlign w:val="center"/>
            <w:hideMark/>
          </w:tcPr>
          <w:p w14:paraId="2B5F4C0F" w14:textId="285D3530" w:rsidR="001A0C9B" w:rsidRPr="001A0C9B" w:rsidRDefault="001A0C9B" w:rsidP="001A0C9B">
            <w:pPr>
              <w:spacing w:after="0" w:line="240" w:lineRule="auto"/>
              <w:jc w:val="right"/>
              <w:rPr>
                <w:rFonts w:ascii="Times New Roman" w:eastAsia="Times New Roman" w:hAnsi="Times New Roman" w:cs="Times New Roman"/>
                <w:color w:val="000000"/>
                <w:kern w:val="0"/>
                <w:sz w:val="16"/>
                <w:szCs w:val="16"/>
                <w:lang w:eastAsia="en-IN"/>
                <w14:ligatures w14:val="none"/>
              </w:rPr>
            </w:pPr>
            <w:r w:rsidRPr="001A0C9B">
              <w:rPr>
                <w:rFonts w:ascii="Times New Roman" w:eastAsia="Times New Roman" w:hAnsi="Times New Roman" w:cs="Times New Roman"/>
                <w:color w:val="000000"/>
                <w:kern w:val="0"/>
                <w:sz w:val="16"/>
                <w:szCs w:val="16"/>
                <w:lang w:eastAsia="en-IN"/>
                <w14:ligatures w14:val="none"/>
              </w:rPr>
              <w:t>23</w:t>
            </w:r>
            <w:r w:rsidR="0063665D">
              <w:rPr>
                <w:rFonts w:ascii="Times New Roman" w:eastAsia="Times New Roman" w:hAnsi="Times New Roman" w:cs="Times New Roman"/>
                <w:color w:val="000000"/>
                <w:kern w:val="0"/>
                <w:sz w:val="16"/>
                <w:szCs w:val="16"/>
                <w:lang w:eastAsia="en-IN"/>
                <w14:ligatures w14:val="none"/>
              </w:rPr>
              <w:t>.00</w:t>
            </w:r>
          </w:p>
        </w:tc>
        <w:tc>
          <w:tcPr>
            <w:tcW w:w="981" w:type="dxa"/>
            <w:tcBorders>
              <w:top w:val="nil"/>
              <w:left w:val="nil"/>
              <w:bottom w:val="single" w:sz="4" w:space="0" w:color="auto"/>
              <w:right w:val="single" w:sz="4" w:space="0" w:color="auto"/>
            </w:tcBorders>
            <w:noWrap/>
            <w:vAlign w:val="center"/>
            <w:hideMark/>
          </w:tcPr>
          <w:p w14:paraId="01F59BD1" w14:textId="77777777" w:rsidR="001A0C9B" w:rsidRPr="001A0C9B" w:rsidRDefault="001A0C9B" w:rsidP="001A0C9B">
            <w:pPr>
              <w:spacing w:after="0" w:line="240" w:lineRule="auto"/>
              <w:jc w:val="right"/>
              <w:rPr>
                <w:rFonts w:ascii="Times New Roman" w:eastAsia="Times New Roman" w:hAnsi="Times New Roman" w:cs="Times New Roman"/>
                <w:color w:val="000000"/>
                <w:kern w:val="0"/>
                <w:sz w:val="16"/>
                <w:szCs w:val="16"/>
                <w:lang w:eastAsia="en-IN"/>
                <w14:ligatures w14:val="none"/>
              </w:rPr>
            </w:pPr>
            <w:r w:rsidRPr="001A0C9B">
              <w:rPr>
                <w:rFonts w:ascii="Times New Roman" w:eastAsia="Times New Roman" w:hAnsi="Times New Roman" w:cs="Times New Roman"/>
                <w:color w:val="000000"/>
                <w:kern w:val="0"/>
                <w:sz w:val="16"/>
                <w:szCs w:val="16"/>
                <w:lang w:eastAsia="en-IN"/>
                <w14:ligatures w14:val="none"/>
              </w:rPr>
              <w:t>26.21</w:t>
            </w:r>
          </w:p>
        </w:tc>
        <w:tc>
          <w:tcPr>
            <w:tcW w:w="669" w:type="dxa"/>
            <w:tcBorders>
              <w:top w:val="nil"/>
              <w:left w:val="nil"/>
              <w:bottom w:val="single" w:sz="4" w:space="0" w:color="auto"/>
              <w:right w:val="single" w:sz="4" w:space="0" w:color="auto"/>
            </w:tcBorders>
            <w:noWrap/>
            <w:vAlign w:val="center"/>
            <w:hideMark/>
          </w:tcPr>
          <w:p w14:paraId="46675586" w14:textId="77777777" w:rsidR="001A0C9B" w:rsidRPr="001A0C9B" w:rsidRDefault="001A0C9B" w:rsidP="001A0C9B">
            <w:pPr>
              <w:spacing w:after="0" w:line="240" w:lineRule="auto"/>
              <w:jc w:val="right"/>
              <w:rPr>
                <w:rFonts w:ascii="Times New Roman" w:eastAsia="Times New Roman" w:hAnsi="Times New Roman" w:cs="Times New Roman"/>
                <w:color w:val="000000"/>
                <w:kern w:val="0"/>
                <w:sz w:val="16"/>
                <w:szCs w:val="16"/>
                <w:lang w:eastAsia="en-IN"/>
                <w14:ligatures w14:val="none"/>
              </w:rPr>
            </w:pPr>
            <w:r w:rsidRPr="001A0C9B">
              <w:rPr>
                <w:rFonts w:ascii="Times New Roman" w:eastAsia="Times New Roman" w:hAnsi="Times New Roman" w:cs="Times New Roman"/>
                <w:color w:val="000000"/>
                <w:kern w:val="0"/>
                <w:sz w:val="16"/>
                <w:szCs w:val="16"/>
                <w:lang w:eastAsia="en-IN"/>
                <w14:ligatures w14:val="none"/>
              </w:rPr>
              <w:t>38.56</w:t>
            </w:r>
          </w:p>
        </w:tc>
        <w:tc>
          <w:tcPr>
            <w:tcW w:w="679" w:type="dxa"/>
            <w:tcBorders>
              <w:top w:val="nil"/>
              <w:left w:val="nil"/>
              <w:bottom w:val="single" w:sz="4" w:space="0" w:color="auto"/>
              <w:right w:val="single" w:sz="4" w:space="0" w:color="auto"/>
            </w:tcBorders>
            <w:noWrap/>
            <w:vAlign w:val="center"/>
            <w:hideMark/>
          </w:tcPr>
          <w:p w14:paraId="0548E328" w14:textId="77777777" w:rsidR="001A0C9B" w:rsidRPr="001A0C9B" w:rsidRDefault="001A0C9B" w:rsidP="001A0C9B">
            <w:pPr>
              <w:spacing w:after="0" w:line="240" w:lineRule="auto"/>
              <w:jc w:val="right"/>
              <w:rPr>
                <w:rFonts w:ascii="Times New Roman" w:eastAsia="Times New Roman" w:hAnsi="Times New Roman" w:cs="Times New Roman"/>
                <w:color w:val="000000"/>
                <w:kern w:val="0"/>
                <w:sz w:val="16"/>
                <w:szCs w:val="16"/>
                <w:lang w:eastAsia="en-IN"/>
                <w14:ligatures w14:val="none"/>
              </w:rPr>
            </w:pPr>
            <w:r w:rsidRPr="001A0C9B">
              <w:rPr>
                <w:rFonts w:ascii="Times New Roman" w:eastAsia="Times New Roman" w:hAnsi="Times New Roman" w:cs="Times New Roman"/>
                <w:color w:val="000000"/>
                <w:kern w:val="0"/>
                <w:sz w:val="16"/>
                <w:szCs w:val="16"/>
                <w:lang w:eastAsia="en-IN"/>
                <w14:ligatures w14:val="none"/>
              </w:rPr>
              <w:t>20.49</w:t>
            </w:r>
          </w:p>
        </w:tc>
        <w:tc>
          <w:tcPr>
            <w:tcW w:w="773" w:type="dxa"/>
            <w:tcBorders>
              <w:top w:val="nil"/>
              <w:left w:val="nil"/>
              <w:bottom w:val="single" w:sz="4" w:space="0" w:color="auto"/>
              <w:right w:val="single" w:sz="4" w:space="0" w:color="auto"/>
            </w:tcBorders>
            <w:noWrap/>
            <w:vAlign w:val="center"/>
            <w:hideMark/>
          </w:tcPr>
          <w:p w14:paraId="583F281B" w14:textId="77777777" w:rsidR="001A0C9B" w:rsidRPr="001A0C9B" w:rsidRDefault="001A0C9B" w:rsidP="001A0C9B">
            <w:pPr>
              <w:spacing w:after="0" w:line="240" w:lineRule="auto"/>
              <w:jc w:val="right"/>
              <w:rPr>
                <w:rFonts w:ascii="Times New Roman" w:eastAsia="Times New Roman" w:hAnsi="Times New Roman" w:cs="Times New Roman"/>
                <w:color w:val="000000"/>
                <w:kern w:val="0"/>
                <w:sz w:val="16"/>
                <w:szCs w:val="16"/>
                <w:lang w:eastAsia="en-IN"/>
                <w14:ligatures w14:val="none"/>
              </w:rPr>
            </w:pPr>
            <w:r w:rsidRPr="001A0C9B">
              <w:rPr>
                <w:rFonts w:ascii="Times New Roman" w:eastAsia="Times New Roman" w:hAnsi="Times New Roman" w:cs="Times New Roman"/>
                <w:color w:val="000000"/>
                <w:kern w:val="0"/>
                <w:sz w:val="16"/>
                <w:szCs w:val="16"/>
                <w:lang w:eastAsia="en-IN"/>
                <w14:ligatures w14:val="none"/>
              </w:rPr>
              <w:t>0.75</w:t>
            </w:r>
          </w:p>
        </w:tc>
        <w:tc>
          <w:tcPr>
            <w:tcW w:w="981" w:type="dxa"/>
            <w:tcBorders>
              <w:top w:val="nil"/>
              <w:left w:val="nil"/>
              <w:bottom w:val="single" w:sz="4" w:space="0" w:color="auto"/>
              <w:right w:val="single" w:sz="4" w:space="0" w:color="auto"/>
            </w:tcBorders>
            <w:noWrap/>
            <w:vAlign w:val="center"/>
            <w:hideMark/>
          </w:tcPr>
          <w:p w14:paraId="09F284F4" w14:textId="77777777" w:rsidR="001A0C9B" w:rsidRPr="001A0C9B" w:rsidRDefault="001A0C9B" w:rsidP="001A0C9B">
            <w:pPr>
              <w:spacing w:after="0" w:line="240" w:lineRule="auto"/>
              <w:jc w:val="right"/>
              <w:rPr>
                <w:rFonts w:ascii="Times New Roman" w:eastAsia="Times New Roman" w:hAnsi="Times New Roman" w:cs="Times New Roman"/>
                <w:color w:val="000000"/>
                <w:kern w:val="0"/>
                <w:sz w:val="16"/>
                <w:szCs w:val="16"/>
                <w:lang w:eastAsia="en-IN"/>
                <w14:ligatures w14:val="none"/>
              </w:rPr>
            </w:pPr>
            <w:r w:rsidRPr="001A0C9B">
              <w:rPr>
                <w:rFonts w:ascii="Times New Roman" w:eastAsia="Times New Roman" w:hAnsi="Times New Roman" w:cs="Times New Roman"/>
                <w:color w:val="000000"/>
                <w:kern w:val="0"/>
                <w:sz w:val="16"/>
                <w:szCs w:val="16"/>
                <w:lang w:eastAsia="en-IN"/>
                <w14:ligatures w14:val="none"/>
              </w:rPr>
              <w:t>0.05</w:t>
            </w:r>
          </w:p>
        </w:tc>
        <w:tc>
          <w:tcPr>
            <w:tcW w:w="782" w:type="dxa"/>
            <w:tcBorders>
              <w:top w:val="nil"/>
              <w:left w:val="nil"/>
              <w:bottom w:val="single" w:sz="4" w:space="0" w:color="auto"/>
              <w:right w:val="single" w:sz="4" w:space="0" w:color="auto"/>
            </w:tcBorders>
            <w:noWrap/>
            <w:vAlign w:val="center"/>
            <w:hideMark/>
          </w:tcPr>
          <w:p w14:paraId="37E342C2" w14:textId="77777777" w:rsidR="001A0C9B" w:rsidRPr="001A0C9B" w:rsidRDefault="001A0C9B" w:rsidP="001A0C9B">
            <w:pPr>
              <w:spacing w:after="0" w:line="240" w:lineRule="auto"/>
              <w:jc w:val="right"/>
              <w:rPr>
                <w:rFonts w:ascii="Times New Roman" w:eastAsia="Times New Roman" w:hAnsi="Times New Roman" w:cs="Times New Roman"/>
                <w:color w:val="000000"/>
                <w:kern w:val="0"/>
                <w:sz w:val="16"/>
                <w:szCs w:val="16"/>
                <w:lang w:eastAsia="en-IN"/>
                <w14:ligatures w14:val="none"/>
              </w:rPr>
            </w:pPr>
            <w:r w:rsidRPr="001A0C9B">
              <w:rPr>
                <w:rFonts w:ascii="Times New Roman" w:eastAsia="Times New Roman" w:hAnsi="Times New Roman" w:cs="Times New Roman"/>
                <w:color w:val="000000"/>
                <w:kern w:val="0"/>
                <w:sz w:val="16"/>
                <w:szCs w:val="16"/>
                <w:lang w:eastAsia="en-IN"/>
                <w14:ligatures w14:val="none"/>
              </w:rPr>
              <w:t>45.28</w:t>
            </w:r>
          </w:p>
        </w:tc>
        <w:tc>
          <w:tcPr>
            <w:tcW w:w="723" w:type="dxa"/>
            <w:tcBorders>
              <w:top w:val="nil"/>
              <w:left w:val="nil"/>
              <w:bottom w:val="single" w:sz="4" w:space="0" w:color="auto"/>
              <w:right w:val="single" w:sz="4" w:space="0" w:color="auto"/>
            </w:tcBorders>
            <w:noWrap/>
            <w:vAlign w:val="center"/>
            <w:hideMark/>
          </w:tcPr>
          <w:p w14:paraId="2484D635" w14:textId="77777777" w:rsidR="001A0C9B" w:rsidRPr="001A0C9B" w:rsidRDefault="001A0C9B" w:rsidP="001A0C9B">
            <w:pPr>
              <w:spacing w:after="0" w:line="240" w:lineRule="auto"/>
              <w:jc w:val="right"/>
              <w:rPr>
                <w:rFonts w:ascii="Times New Roman" w:eastAsia="Times New Roman" w:hAnsi="Times New Roman" w:cs="Times New Roman"/>
                <w:color w:val="000000"/>
                <w:kern w:val="0"/>
                <w:sz w:val="16"/>
                <w:szCs w:val="16"/>
                <w:lang w:eastAsia="en-IN"/>
                <w14:ligatures w14:val="none"/>
              </w:rPr>
            </w:pPr>
            <w:r w:rsidRPr="001A0C9B">
              <w:rPr>
                <w:rFonts w:ascii="Times New Roman" w:eastAsia="Times New Roman" w:hAnsi="Times New Roman" w:cs="Times New Roman"/>
                <w:color w:val="000000"/>
                <w:kern w:val="0"/>
                <w:sz w:val="16"/>
                <w:szCs w:val="16"/>
                <w:lang w:eastAsia="en-IN"/>
                <w14:ligatures w14:val="none"/>
              </w:rPr>
              <w:t>23.46</w:t>
            </w:r>
          </w:p>
        </w:tc>
        <w:tc>
          <w:tcPr>
            <w:tcW w:w="741" w:type="dxa"/>
            <w:tcBorders>
              <w:top w:val="nil"/>
              <w:left w:val="nil"/>
              <w:bottom w:val="single" w:sz="4" w:space="0" w:color="auto"/>
              <w:right w:val="single" w:sz="4" w:space="0" w:color="auto"/>
            </w:tcBorders>
            <w:noWrap/>
            <w:vAlign w:val="center"/>
            <w:hideMark/>
          </w:tcPr>
          <w:p w14:paraId="171A7EE8" w14:textId="27F31636" w:rsidR="001A0C9B" w:rsidRPr="001A0C9B" w:rsidRDefault="001A0C9B" w:rsidP="001A0C9B">
            <w:pPr>
              <w:spacing w:after="0" w:line="240" w:lineRule="auto"/>
              <w:jc w:val="right"/>
              <w:rPr>
                <w:rFonts w:ascii="Times New Roman" w:eastAsia="Times New Roman" w:hAnsi="Times New Roman" w:cs="Times New Roman"/>
                <w:color w:val="000000"/>
                <w:kern w:val="0"/>
                <w:sz w:val="16"/>
                <w:szCs w:val="16"/>
                <w:lang w:eastAsia="en-IN"/>
                <w14:ligatures w14:val="none"/>
              </w:rPr>
            </w:pPr>
            <w:r w:rsidRPr="001A0C9B">
              <w:rPr>
                <w:rFonts w:ascii="Times New Roman" w:eastAsia="Times New Roman" w:hAnsi="Times New Roman" w:cs="Times New Roman"/>
                <w:color w:val="000000"/>
                <w:kern w:val="0"/>
                <w:sz w:val="16"/>
                <w:szCs w:val="16"/>
                <w:lang w:eastAsia="en-IN"/>
                <w14:ligatures w14:val="none"/>
              </w:rPr>
              <w:t>4</w:t>
            </w:r>
            <w:r w:rsidR="0063665D">
              <w:rPr>
                <w:rFonts w:ascii="Times New Roman" w:eastAsia="Times New Roman" w:hAnsi="Times New Roman" w:cs="Times New Roman"/>
                <w:color w:val="000000"/>
                <w:kern w:val="0"/>
                <w:sz w:val="16"/>
                <w:szCs w:val="16"/>
                <w:lang w:eastAsia="en-IN"/>
                <w14:ligatures w14:val="none"/>
              </w:rPr>
              <w:t>.00</w:t>
            </w:r>
          </w:p>
        </w:tc>
        <w:tc>
          <w:tcPr>
            <w:tcW w:w="981" w:type="dxa"/>
            <w:tcBorders>
              <w:top w:val="nil"/>
              <w:left w:val="nil"/>
              <w:bottom w:val="single" w:sz="4" w:space="0" w:color="auto"/>
              <w:right w:val="single" w:sz="4" w:space="0" w:color="auto"/>
            </w:tcBorders>
            <w:noWrap/>
            <w:vAlign w:val="center"/>
            <w:hideMark/>
          </w:tcPr>
          <w:p w14:paraId="6E8340FA" w14:textId="77777777" w:rsidR="001A0C9B" w:rsidRPr="001A0C9B" w:rsidRDefault="001A0C9B" w:rsidP="001A0C9B">
            <w:pPr>
              <w:spacing w:after="0" w:line="240" w:lineRule="auto"/>
              <w:jc w:val="right"/>
              <w:rPr>
                <w:rFonts w:ascii="Times New Roman" w:eastAsia="Times New Roman" w:hAnsi="Times New Roman" w:cs="Times New Roman"/>
                <w:color w:val="000000"/>
                <w:kern w:val="0"/>
                <w:sz w:val="16"/>
                <w:szCs w:val="16"/>
                <w:lang w:eastAsia="en-IN"/>
                <w14:ligatures w14:val="none"/>
              </w:rPr>
            </w:pPr>
            <w:r w:rsidRPr="001A0C9B">
              <w:rPr>
                <w:rFonts w:ascii="Times New Roman" w:eastAsia="Times New Roman" w:hAnsi="Times New Roman" w:cs="Times New Roman"/>
                <w:color w:val="000000"/>
                <w:kern w:val="0"/>
                <w:sz w:val="16"/>
                <w:szCs w:val="16"/>
                <w:lang w:eastAsia="en-IN"/>
                <w14:ligatures w14:val="none"/>
              </w:rPr>
              <w:t>1.22</w:t>
            </w:r>
          </w:p>
        </w:tc>
        <w:tc>
          <w:tcPr>
            <w:tcW w:w="754" w:type="dxa"/>
            <w:tcBorders>
              <w:top w:val="nil"/>
              <w:left w:val="nil"/>
              <w:bottom w:val="single" w:sz="4" w:space="0" w:color="auto"/>
              <w:right w:val="single" w:sz="4" w:space="0" w:color="auto"/>
            </w:tcBorders>
            <w:noWrap/>
            <w:vAlign w:val="center"/>
            <w:hideMark/>
          </w:tcPr>
          <w:p w14:paraId="3C60A797" w14:textId="77777777" w:rsidR="001A0C9B" w:rsidRPr="001A0C9B" w:rsidRDefault="001A0C9B" w:rsidP="001A0C9B">
            <w:pPr>
              <w:spacing w:after="0" w:line="240" w:lineRule="auto"/>
              <w:jc w:val="right"/>
              <w:rPr>
                <w:rFonts w:ascii="Times New Roman" w:eastAsia="Times New Roman" w:hAnsi="Times New Roman" w:cs="Times New Roman"/>
                <w:color w:val="000000"/>
                <w:kern w:val="0"/>
                <w:sz w:val="16"/>
                <w:szCs w:val="16"/>
                <w:lang w:eastAsia="en-IN"/>
                <w14:ligatures w14:val="none"/>
              </w:rPr>
            </w:pPr>
            <w:r w:rsidRPr="001A0C9B">
              <w:rPr>
                <w:rFonts w:ascii="Times New Roman" w:eastAsia="Times New Roman" w:hAnsi="Times New Roman" w:cs="Times New Roman"/>
                <w:color w:val="000000"/>
                <w:kern w:val="0"/>
                <w:sz w:val="16"/>
                <w:szCs w:val="16"/>
                <w:lang w:eastAsia="en-IN"/>
                <w14:ligatures w14:val="none"/>
              </w:rPr>
              <w:t>53.79</w:t>
            </w:r>
          </w:p>
        </w:tc>
        <w:tc>
          <w:tcPr>
            <w:tcW w:w="723" w:type="dxa"/>
            <w:tcBorders>
              <w:top w:val="nil"/>
              <w:left w:val="nil"/>
              <w:bottom w:val="single" w:sz="4" w:space="0" w:color="auto"/>
              <w:right w:val="single" w:sz="4" w:space="0" w:color="auto"/>
            </w:tcBorders>
            <w:noWrap/>
            <w:vAlign w:val="center"/>
            <w:hideMark/>
          </w:tcPr>
          <w:p w14:paraId="630A0D91" w14:textId="77777777" w:rsidR="001A0C9B" w:rsidRPr="001A0C9B" w:rsidRDefault="001A0C9B" w:rsidP="001A0C9B">
            <w:pPr>
              <w:spacing w:after="0" w:line="240" w:lineRule="auto"/>
              <w:jc w:val="right"/>
              <w:rPr>
                <w:rFonts w:ascii="Times New Roman" w:eastAsia="Times New Roman" w:hAnsi="Times New Roman" w:cs="Times New Roman"/>
                <w:color w:val="000000"/>
                <w:kern w:val="0"/>
                <w:sz w:val="16"/>
                <w:szCs w:val="16"/>
                <w:lang w:eastAsia="en-IN"/>
                <w14:ligatures w14:val="none"/>
              </w:rPr>
            </w:pPr>
            <w:r w:rsidRPr="001A0C9B">
              <w:rPr>
                <w:rFonts w:ascii="Times New Roman" w:eastAsia="Times New Roman" w:hAnsi="Times New Roman" w:cs="Times New Roman"/>
                <w:color w:val="000000"/>
                <w:kern w:val="0"/>
                <w:sz w:val="16"/>
                <w:szCs w:val="16"/>
                <w:lang w:eastAsia="en-IN"/>
                <w14:ligatures w14:val="none"/>
              </w:rPr>
              <w:t>27.44</w:t>
            </w:r>
          </w:p>
        </w:tc>
        <w:tc>
          <w:tcPr>
            <w:tcW w:w="754" w:type="dxa"/>
            <w:tcBorders>
              <w:top w:val="nil"/>
              <w:left w:val="nil"/>
              <w:bottom w:val="single" w:sz="4" w:space="0" w:color="auto"/>
              <w:right w:val="single" w:sz="4" w:space="0" w:color="auto"/>
            </w:tcBorders>
            <w:noWrap/>
            <w:vAlign w:val="center"/>
            <w:hideMark/>
          </w:tcPr>
          <w:p w14:paraId="13B758FB" w14:textId="77777777" w:rsidR="001A0C9B" w:rsidRPr="001A0C9B" w:rsidRDefault="001A0C9B" w:rsidP="001A0C9B">
            <w:pPr>
              <w:spacing w:after="0" w:line="240" w:lineRule="auto"/>
              <w:rPr>
                <w:rFonts w:ascii="Times New Roman" w:eastAsia="Times New Roman" w:hAnsi="Times New Roman" w:cs="Times New Roman"/>
                <w:color w:val="000000"/>
                <w:kern w:val="0"/>
                <w:sz w:val="16"/>
                <w:szCs w:val="16"/>
                <w:lang w:eastAsia="en-IN"/>
                <w14:ligatures w14:val="none"/>
              </w:rPr>
            </w:pPr>
            <w:r w:rsidRPr="001A0C9B">
              <w:rPr>
                <w:rFonts w:ascii="Times New Roman" w:eastAsia="Times New Roman" w:hAnsi="Times New Roman" w:cs="Times New Roman"/>
                <w:color w:val="000000"/>
                <w:kern w:val="0"/>
                <w:sz w:val="16"/>
                <w:szCs w:val="16"/>
                <w:lang w:eastAsia="en-IN"/>
                <w14:ligatures w14:val="none"/>
              </w:rPr>
              <w:t>..</w:t>
            </w:r>
          </w:p>
        </w:tc>
        <w:tc>
          <w:tcPr>
            <w:tcW w:w="981" w:type="dxa"/>
            <w:tcBorders>
              <w:top w:val="nil"/>
              <w:left w:val="nil"/>
              <w:bottom w:val="single" w:sz="4" w:space="0" w:color="auto"/>
              <w:right w:val="single" w:sz="4" w:space="0" w:color="auto"/>
            </w:tcBorders>
            <w:noWrap/>
            <w:vAlign w:val="center"/>
            <w:hideMark/>
          </w:tcPr>
          <w:p w14:paraId="7BDD5ED6" w14:textId="384E81C2" w:rsidR="001A0C9B" w:rsidRPr="001A0C9B" w:rsidRDefault="001A0C9B" w:rsidP="001A0C9B">
            <w:pPr>
              <w:spacing w:after="0" w:line="240" w:lineRule="auto"/>
              <w:jc w:val="right"/>
              <w:rPr>
                <w:rFonts w:ascii="Times New Roman" w:eastAsia="Times New Roman" w:hAnsi="Times New Roman" w:cs="Times New Roman"/>
                <w:color w:val="000000"/>
                <w:kern w:val="0"/>
                <w:sz w:val="16"/>
                <w:szCs w:val="16"/>
                <w:lang w:eastAsia="en-IN"/>
                <w14:ligatures w14:val="none"/>
              </w:rPr>
            </w:pPr>
            <w:r w:rsidRPr="001A0C9B">
              <w:rPr>
                <w:rFonts w:ascii="Times New Roman" w:eastAsia="Times New Roman" w:hAnsi="Times New Roman" w:cs="Times New Roman"/>
                <w:color w:val="000000"/>
                <w:kern w:val="0"/>
                <w:sz w:val="16"/>
                <w:szCs w:val="16"/>
                <w:lang w:eastAsia="en-IN"/>
                <w14:ligatures w14:val="none"/>
              </w:rPr>
              <w:t>1</w:t>
            </w:r>
            <w:r w:rsidR="0063665D">
              <w:rPr>
                <w:rFonts w:ascii="Times New Roman" w:eastAsia="Times New Roman" w:hAnsi="Times New Roman" w:cs="Times New Roman"/>
                <w:color w:val="000000"/>
                <w:kern w:val="0"/>
                <w:sz w:val="16"/>
                <w:szCs w:val="16"/>
                <w:lang w:eastAsia="en-IN"/>
                <w14:ligatures w14:val="none"/>
              </w:rPr>
              <w:t>.00</w:t>
            </w:r>
          </w:p>
        </w:tc>
        <w:tc>
          <w:tcPr>
            <w:tcW w:w="754" w:type="dxa"/>
            <w:tcBorders>
              <w:top w:val="nil"/>
              <w:left w:val="nil"/>
              <w:bottom w:val="single" w:sz="4" w:space="0" w:color="auto"/>
              <w:right w:val="single" w:sz="4" w:space="0" w:color="auto"/>
            </w:tcBorders>
            <w:noWrap/>
            <w:vAlign w:val="center"/>
            <w:hideMark/>
          </w:tcPr>
          <w:p w14:paraId="768C26C8" w14:textId="0718B2E0" w:rsidR="001A0C9B" w:rsidRPr="001A0C9B" w:rsidRDefault="001A0C9B" w:rsidP="001A0C9B">
            <w:pPr>
              <w:spacing w:after="0" w:line="240" w:lineRule="auto"/>
              <w:jc w:val="right"/>
              <w:rPr>
                <w:rFonts w:ascii="Times New Roman" w:eastAsia="Times New Roman" w:hAnsi="Times New Roman" w:cs="Times New Roman"/>
                <w:color w:val="000000"/>
                <w:kern w:val="0"/>
                <w:sz w:val="16"/>
                <w:szCs w:val="16"/>
                <w:lang w:eastAsia="en-IN"/>
                <w14:ligatures w14:val="none"/>
              </w:rPr>
            </w:pPr>
            <w:r w:rsidRPr="001A0C9B">
              <w:rPr>
                <w:rFonts w:ascii="Times New Roman" w:eastAsia="Times New Roman" w:hAnsi="Times New Roman" w:cs="Times New Roman"/>
                <w:color w:val="000000"/>
                <w:kern w:val="0"/>
                <w:sz w:val="16"/>
                <w:szCs w:val="16"/>
                <w:lang w:eastAsia="en-IN"/>
                <w14:ligatures w14:val="none"/>
              </w:rPr>
              <w:t>56.1</w:t>
            </w:r>
            <w:r w:rsidR="0063665D">
              <w:rPr>
                <w:rFonts w:ascii="Times New Roman" w:eastAsia="Times New Roman" w:hAnsi="Times New Roman" w:cs="Times New Roman"/>
                <w:color w:val="000000"/>
                <w:kern w:val="0"/>
                <w:sz w:val="16"/>
                <w:szCs w:val="16"/>
                <w:lang w:eastAsia="en-IN"/>
                <w14:ligatures w14:val="none"/>
              </w:rPr>
              <w:t>0</w:t>
            </w:r>
          </w:p>
        </w:tc>
        <w:tc>
          <w:tcPr>
            <w:tcW w:w="723" w:type="dxa"/>
            <w:tcBorders>
              <w:top w:val="nil"/>
              <w:left w:val="nil"/>
              <w:bottom w:val="single" w:sz="4" w:space="0" w:color="auto"/>
              <w:right w:val="single" w:sz="4" w:space="0" w:color="auto"/>
            </w:tcBorders>
            <w:noWrap/>
            <w:vAlign w:val="center"/>
            <w:hideMark/>
          </w:tcPr>
          <w:p w14:paraId="79B8CE59" w14:textId="77777777" w:rsidR="001A0C9B" w:rsidRPr="001A0C9B" w:rsidRDefault="001A0C9B" w:rsidP="001A0C9B">
            <w:pPr>
              <w:spacing w:after="0" w:line="240" w:lineRule="auto"/>
              <w:jc w:val="right"/>
              <w:rPr>
                <w:rFonts w:ascii="Times New Roman" w:eastAsia="Times New Roman" w:hAnsi="Times New Roman" w:cs="Times New Roman"/>
                <w:color w:val="000000"/>
                <w:kern w:val="0"/>
                <w:sz w:val="16"/>
                <w:szCs w:val="16"/>
                <w:lang w:eastAsia="en-IN"/>
                <w14:ligatures w14:val="none"/>
              </w:rPr>
            </w:pPr>
            <w:r w:rsidRPr="001A0C9B">
              <w:rPr>
                <w:rFonts w:ascii="Times New Roman" w:eastAsia="Times New Roman" w:hAnsi="Times New Roman" w:cs="Times New Roman"/>
                <w:color w:val="000000"/>
                <w:kern w:val="0"/>
                <w:sz w:val="16"/>
                <w:szCs w:val="16"/>
                <w:lang w:eastAsia="en-IN"/>
                <w14:ligatures w14:val="none"/>
              </w:rPr>
              <w:t>27.64</w:t>
            </w:r>
          </w:p>
        </w:tc>
      </w:tr>
      <w:tr w:rsidR="001A0C9B" w:rsidRPr="001A0C9B" w14:paraId="35F563CF" w14:textId="77777777" w:rsidTr="002A11B0">
        <w:trPr>
          <w:trHeight w:val="166"/>
          <w:jc w:val="center"/>
        </w:trPr>
        <w:tc>
          <w:tcPr>
            <w:tcW w:w="1051" w:type="dxa"/>
            <w:tcBorders>
              <w:top w:val="nil"/>
              <w:left w:val="single" w:sz="4" w:space="0" w:color="auto"/>
              <w:bottom w:val="single" w:sz="4" w:space="0" w:color="auto"/>
              <w:right w:val="single" w:sz="4" w:space="0" w:color="auto"/>
            </w:tcBorders>
            <w:noWrap/>
            <w:vAlign w:val="center"/>
            <w:hideMark/>
          </w:tcPr>
          <w:p w14:paraId="106158A0" w14:textId="77777777" w:rsidR="001A0C9B" w:rsidRPr="001A0C9B" w:rsidRDefault="001A0C9B" w:rsidP="001A0C9B">
            <w:pPr>
              <w:spacing w:after="0" w:line="240" w:lineRule="auto"/>
              <w:rPr>
                <w:rFonts w:ascii="Times New Roman" w:eastAsia="Times New Roman" w:hAnsi="Times New Roman" w:cs="Times New Roman"/>
                <w:color w:val="000000"/>
                <w:kern w:val="0"/>
                <w:sz w:val="16"/>
                <w:szCs w:val="16"/>
                <w:lang w:eastAsia="en-IN"/>
                <w14:ligatures w14:val="none"/>
              </w:rPr>
            </w:pPr>
            <w:r w:rsidRPr="001A0C9B">
              <w:rPr>
                <w:rFonts w:ascii="Times New Roman" w:eastAsia="Times New Roman" w:hAnsi="Times New Roman" w:cs="Times New Roman"/>
                <w:color w:val="000000"/>
                <w:kern w:val="0"/>
                <w:sz w:val="16"/>
                <w:szCs w:val="16"/>
                <w:lang w:eastAsia="en-IN"/>
                <w14:ligatures w14:val="none"/>
              </w:rPr>
              <w:t>Madhya Pradesh</w:t>
            </w:r>
          </w:p>
        </w:tc>
        <w:tc>
          <w:tcPr>
            <w:tcW w:w="669" w:type="dxa"/>
            <w:tcBorders>
              <w:top w:val="nil"/>
              <w:left w:val="nil"/>
              <w:bottom w:val="single" w:sz="4" w:space="0" w:color="auto"/>
              <w:right w:val="single" w:sz="4" w:space="0" w:color="auto"/>
            </w:tcBorders>
            <w:noWrap/>
            <w:vAlign w:val="center"/>
            <w:hideMark/>
          </w:tcPr>
          <w:p w14:paraId="01919BF0" w14:textId="77777777" w:rsidR="001A0C9B" w:rsidRPr="001A0C9B" w:rsidRDefault="001A0C9B" w:rsidP="001A0C9B">
            <w:pPr>
              <w:spacing w:after="0" w:line="240" w:lineRule="auto"/>
              <w:jc w:val="right"/>
              <w:rPr>
                <w:rFonts w:ascii="Times New Roman" w:eastAsia="Times New Roman" w:hAnsi="Times New Roman" w:cs="Times New Roman"/>
                <w:color w:val="000000"/>
                <w:kern w:val="0"/>
                <w:sz w:val="16"/>
                <w:szCs w:val="16"/>
                <w:lang w:eastAsia="en-IN"/>
                <w14:ligatures w14:val="none"/>
              </w:rPr>
            </w:pPr>
            <w:r w:rsidRPr="001A0C9B">
              <w:rPr>
                <w:rFonts w:ascii="Times New Roman" w:eastAsia="Times New Roman" w:hAnsi="Times New Roman" w:cs="Times New Roman"/>
                <w:color w:val="000000"/>
                <w:kern w:val="0"/>
                <w:sz w:val="16"/>
                <w:szCs w:val="16"/>
                <w:lang w:eastAsia="en-IN"/>
                <w14:ligatures w14:val="none"/>
              </w:rPr>
              <w:t>27.2</w:t>
            </w:r>
          </w:p>
        </w:tc>
        <w:tc>
          <w:tcPr>
            <w:tcW w:w="723" w:type="dxa"/>
            <w:tcBorders>
              <w:top w:val="nil"/>
              <w:left w:val="nil"/>
              <w:bottom w:val="single" w:sz="4" w:space="0" w:color="auto"/>
              <w:right w:val="single" w:sz="4" w:space="0" w:color="auto"/>
            </w:tcBorders>
            <w:noWrap/>
            <w:vAlign w:val="center"/>
            <w:hideMark/>
          </w:tcPr>
          <w:p w14:paraId="4A18074D" w14:textId="1ACE422A" w:rsidR="001A0C9B" w:rsidRPr="001A0C9B" w:rsidRDefault="001A0C9B" w:rsidP="001A0C9B">
            <w:pPr>
              <w:spacing w:after="0" w:line="240" w:lineRule="auto"/>
              <w:jc w:val="right"/>
              <w:rPr>
                <w:rFonts w:ascii="Times New Roman" w:eastAsia="Times New Roman" w:hAnsi="Times New Roman" w:cs="Times New Roman"/>
                <w:color w:val="000000"/>
                <w:kern w:val="0"/>
                <w:sz w:val="16"/>
                <w:szCs w:val="16"/>
                <w:lang w:eastAsia="en-IN"/>
                <w14:ligatures w14:val="none"/>
              </w:rPr>
            </w:pPr>
            <w:r w:rsidRPr="001A0C9B">
              <w:rPr>
                <w:rFonts w:ascii="Times New Roman" w:eastAsia="Times New Roman" w:hAnsi="Times New Roman" w:cs="Times New Roman"/>
                <w:color w:val="000000"/>
                <w:kern w:val="0"/>
                <w:sz w:val="16"/>
                <w:szCs w:val="16"/>
                <w:lang w:eastAsia="en-IN"/>
                <w14:ligatures w14:val="none"/>
              </w:rPr>
              <w:t>8.4</w:t>
            </w:r>
            <w:r w:rsidR="0063665D">
              <w:rPr>
                <w:rFonts w:ascii="Times New Roman" w:eastAsia="Times New Roman" w:hAnsi="Times New Roman" w:cs="Times New Roman"/>
                <w:color w:val="000000"/>
                <w:kern w:val="0"/>
                <w:sz w:val="16"/>
                <w:szCs w:val="16"/>
                <w:lang w:eastAsia="en-IN"/>
                <w14:ligatures w14:val="none"/>
              </w:rPr>
              <w:t>0</w:t>
            </w:r>
          </w:p>
        </w:tc>
        <w:tc>
          <w:tcPr>
            <w:tcW w:w="773" w:type="dxa"/>
            <w:tcBorders>
              <w:top w:val="nil"/>
              <w:left w:val="nil"/>
              <w:bottom w:val="single" w:sz="4" w:space="0" w:color="auto"/>
              <w:right w:val="single" w:sz="4" w:space="0" w:color="auto"/>
            </w:tcBorders>
            <w:noWrap/>
            <w:vAlign w:val="center"/>
            <w:hideMark/>
          </w:tcPr>
          <w:p w14:paraId="16DCE8E5" w14:textId="75CD02EC" w:rsidR="001A0C9B" w:rsidRPr="001A0C9B" w:rsidRDefault="001A0C9B" w:rsidP="001A0C9B">
            <w:pPr>
              <w:spacing w:after="0" w:line="240" w:lineRule="auto"/>
              <w:jc w:val="right"/>
              <w:rPr>
                <w:rFonts w:ascii="Times New Roman" w:eastAsia="Times New Roman" w:hAnsi="Times New Roman" w:cs="Times New Roman"/>
                <w:color w:val="000000"/>
                <w:kern w:val="0"/>
                <w:sz w:val="16"/>
                <w:szCs w:val="16"/>
                <w:lang w:eastAsia="en-IN"/>
                <w14:ligatures w14:val="none"/>
              </w:rPr>
            </w:pPr>
            <w:r w:rsidRPr="001A0C9B">
              <w:rPr>
                <w:rFonts w:ascii="Times New Roman" w:eastAsia="Times New Roman" w:hAnsi="Times New Roman" w:cs="Times New Roman"/>
                <w:color w:val="000000"/>
                <w:kern w:val="0"/>
                <w:sz w:val="16"/>
                <w:szCs w:val="16"/>
                <w:lang w:eastAsia="en-IN"/>
                <w14:ligatures w14:val="none"/>
              </w:rPr>
              <w:t>48</w:t>
            </w:r>
            <w:r w:rsidR="0063665D">
              <w:rPr>
                <w:rFonts w:ascii="Times New Roman" w:eastAsia="Times New Roman" w:hAnsi="Times New Roman" w:cs="Times New Roman"/>
                <w:color w:val="000000"/>
                <w:kern w:val="0"/>
                <w:sz w:val="16"/>
                <w:szCs w:val="16"/>
                <w:lang w:eastAsia="en-IN"/>
                <w14:ligatures w14:val="none"/>
              </w:rPr>
              <w:t>.00</w:t>
            </w:r>
          </w:p>
        </w:tc>
        <w:tc>
          <w:tcPr>
            <w:tcW w:w="981" w:type="dxa"/>
            <w:tcBorders>
              <w:top w:val="nil"/>
              <w:left w:val="nil"/>
              <w:bottom w:val="single" w:sz="4" w:space="0" w:color="auto"/>
              <w:right w:val="single" w:sz="4" w:space="0" w:color="auto"/>
            </w:tcBorders>
            <w:noWrap/>
            <w:vAlign w:val="center"/>
            <w:hideMark/>
          </w:tcPr>
          <w:p w14:paraId="33DF68EB" w14:textId="77777777" w:rsidR="001A0C9B" w:rsidRPr="001A0C9B" w:rsidRDefault="001A0C9B" w:rsidP="001A0C9B">
            <w:pPr>
              <w:spacing w:after="0" w:line="240" w:lineRule="auto"/>
              <w:jc w:val="right"/>
              <w:rPr>
                <w:rFonts w:ascii="Times New Roman" w:eastAsia="Times New Roman" w:hAnsi="Times New Roman" w:cs="Times New Roman"/>
                <w:color w:val="000000"/>
                <w:kern w:val="0"/>
                <w:sz w:val="16"/>
                <w:szCs w:val="16"/>
                <w:lang w:eastAsia="en-IN"/>
                <w14:ligatures w14:val="none"/>
              </w:rPr>
            </w:pPr>
            <w:r w:rsidRPr="001A0C9B">
              <w:rPr>
                <w:rFonts w:ascii="Times New Roman" w:eastAsia="Times New Roman" w:hAnsi="Times New Roman" w:cs="Times New Roman"/>
                <w:color w:val="000000"/>
                <w:kern w:val="0"/>
                <w:sz w:val="16"/>
                <w:szCs w:val="16"/>
                <w:lang w:eastAsia="en-IN"/>
                <w14:ligatures w14:val="none"/>
              </w:rPr>
              <w:t>32.29</w:t>
            </w:r>
          </w:p>
        </w:tc>
        <w:tc>
          <w:tcPr>
            <w:tcW w:w="669" w:type="dxa"/>
            <w:tcBorders>
              <w:top w:val="nil"/>
              <w:left w:val="nil"/>
              <w:bottom w:val="single" w:sz="4" w:space="0" w:color="auto"/>
              <w:right w:val="single" w:sz="4" w:space="0" w:color="auto"/>
            </w:tcBorders>
            <w:noWrap/>
            <w:vAlign w:val="center"/>
            <w:hideMark/>
          </w:tcPr>
          <w:p w14:paraId="1CC8BD0A" w14:textId="77777777" w:rsidR="001A0C9B" w:rsidRPr="001A0C9B" w:rsidRDefault="001A0C9B" w:rsidP="001A0C9B">
            <w:pPr>
              <w:spacing w:after="0" w:line="240" w:lineRule="auto"/>
              <w:jc w:val="right"/>
              <w:rPr>
                <w:rFonts w:ascii="Times New Roman" w:eastAsia="Times New Roman" w:hAnsi="Times New Roman" w:cs="Times New Roman"/>
                <w:color w:val="000000"/>
                <w:kern w:val="0"/>
                <w:sz w:val="16"/>
                <w:szCs w:val="16"/>
                <w:lang w:eastAsia="en-IN"/>
                <w14:ligatures w14:val="none"/>
              </w:rPr>
            </w:pPr>
            <w:r w:rsidRPr="001A0C9B">
              <w:rPr>
                <w:rFonts w:ascii="Times New Roman" w:eastAsia="Times New Roman" w:hAnsi="Times New Roman" w:cs="Times New Roman"/>
                <w:color w:val="000000"/>
                <w:kern w:val="0"/>
                <w:sz w:val="16"/>
                <w:szCs w:val="16"/>
                <w:lang w:eastAsia="en-IN"/>
                <w14:ligatures w14:val="none"/>
              </w:rPr>
              <w:t>48.96</w:t>
            </w:r>
          </w:p>
        </w:tc>
        <w:tc>
          <w:tcPr>
            <w:tcW w:w="679" w:type="dxa"/>
            <w:tcBorders>
              <w:top w:val="nil"/>
              <w:left w:val="nil"/>
              <w:bottom w:val="single" w:sz="4" w:space="0" w:color="auto"/>
              <w:right w:val="single" w:sz="4" w:space="0" w:color="auto"/>
            </w:tcBorders>
            <w:noWrap/>
            <w:vAlign w:val="center"/>
            <w:hideMark/>
          </w:tcPr>
          <w:p w14:paraId="5C08EEEA" w14:textId="77777777" w:rsidR="001A0C9B" w:rsidRPr="001A0C9B" w:rsidRDefault="001A0C9B" w:rsidP="001A0C9B">
            <w:pPr>
              <w:spacing w:after="0" w:line="240" w:lineRule="auto"/>
              <w:jc w:val="right"/>
              <w:rPr>
                <w:rFonts w:ascii="Times New Roman" w:eastAsia="Times New Roman" w:hAnsi="Times New Roman" w:cs="Times New Roman"/>
                <w:color w:val="000000"/>
                <w:kern w:val="0"/>
                <w:sz w:val="16"/>
                <w:szCs w:val="16"/>
                <w:lang w:eastAsia="en-IN"/>
                <w14:ligatures w14:val="none"/>
              </w:rPr>
            </w:pPr>
            <w:r w:rsidRPr="001A0C9B">
              <w:rPr>
                <w:rFonts w:ascii="Times New Roman" w:eastAsia="Times New Roman" w:hAnsi="Times New Roman" w:cs="Times New Roman"/>
                <w:color w:val="000000"/>
                <w:kern w:val="0"/>
                <w:sz w:val="16"/>
                <w:szCs w:val="16"/>
                <w:lang w:eastAsia="en-IN"/>
                <w14:ligatures w14:val="none"/>
              </w:rPr>
              <w:t>13.48</w:t>
            </w:r>
          </w:p>
        </w:tc>
        <w:tc>
          <w:tcPr>
            <w:tcW w:w="773" w:type="dxa"/>
            <w:tcBorders>
              <w:top w:val="nil"/>
              <w:left w:val="nil"/>
              <w:bottom w:val="single" w:sz="4" w:space="0" w:color="auto"/>
              <w:right w:val="single" w:sz="4" w:space="0" w:color="auto"/>
            </w:tcBorders>
            <w:noWrap/>
            <w:vAlign w:val="center"/>
            <w:hideMark/>
          </w:tcPr>
          <w:p w14:paraId="5DC26F62" w14:textId="77777777" w:rsidR="001A0C9B" w:rsidRPr="001A0C9B" w:rsidRDefault="001A0C9B" w:rsidP="001A0C9B">
            <w:pPr>
              <w:spacing w:after="0" w:line="240" w:lineRule="auto"/>
              <w:jc w:val="right"/>
              <w:rPr>
                <w:rFonts w:ascii="Times New Roman" w:eastAsia="Times New Roman" w:hAnsi="Times New Roman" w:cs="Times New Roman"/>
                <w:color w:val="000000"/>
                <w:kern w:val="0"/>
                <w:sz w:val="16"/>
                <w:szCs w:val="16"/>
                <w:lang w:eastAsia="en-IN"/>
                <w14:ligatures w14:val="none"/>
              </w:rPr>
            </w:pPr>
            <w:r w:rsidRPr="001A0C9B">
              <w:rPr>
                <w:rFonts w:ascii="Times New Roman" w:eastAsia="Times New Roman" w:hAnsi="Times New Roman" w:cs="Times New Roman"/>
                <w:color w:val="000000"/>
                <w:kern w:val="0"/>
                <w:sz w:val="16"/>
                <w:szCs w:val="16"/>
                <w:lang w:eastAsia="en-IN"/>
                <w14:ligatures w14:val="none"/>
              </w:rPr>
              <w:t>6.58</w:t>
            </w:r>
          </w:p>
        </w:tc>
        <w:tc>
          <w:tcPr>
            <w:tcW w:w="981" w:type="dxa"/>
            <w:tcBorders>
              <w:top w:val="nil"/>
              <w:left w:val="nil"/>
              <w:bottom w:val="single" w:sz="4" w:space="0" w:color="auto"/>
              <w:right w:val="single" w:sz="4" w:space="0" w:color="auto"/>
            </w:tcBorders>
            <w:noWrap/>
            <w:vAlign w:val="center"/>
            <w:hideMark/>
          </w:tcPr>
          <w:p w14:paraId="0737DD6B" w14:textId="77777777" w:rsidR="001A0C9B" w:rsidRPr="001A0C9B" w:rsidRDefault="001A0C9B" w:rsidP="001A0C9B">
            <w:pPr>
              <w:spacing w:after="0" w:line="240" w:lineRule="auto"/>
              <w:jc w:val="right"/>
              <w:rPr>
                <w:rFonts w:ascii="Times New Roman" w:eastAsia="Times New Roman" w:hAnsi="Times New Roman" w:cs="Times New Roman"/>
                <w:color w:val="000000"/>
                <w:kern w:val="0"/>
                <w:sz w:val="16"/>
                <w:szCs w:val="16"/>
                <w:lang w:eastAsia="en-IN"/>
                <w14:ligatures w14:val="none"/>
              </w:rPr>
            </w:pPr>
            <w:r w:rsidRPr="001A0C9B">
              <w:rPr>
                <w:rFonts w:ascii="Times New Roman" w:eastAsia="Times New Roman" w:hAnsi="Times New Roman" w:cs="Times New Roman"/>
                <w:color w:val="000000"/>
                <w:kern w:val="0"/>
                <w:sz w:val="16"/>
                <w:szCs w:val="16"/>
                <w:lang w:eastAsia="en-IN"/>
                <w14:ligatures w14:val="none"/>
              </w:rPr>
              <w:t>2.64</w:t>
            </w:r>
          </w:p>
        </w:tc>
        <w:tc>
          <w:tcPr>
            <w:tcW w:w="782" w:type="dxa"/>
            <w:tcBorders>
              <w:top w:val="nil"/>
              <w:left w:val="nil"/>
              <w:bottom w:val="single" w:sz="4" w:space="0" w:color="auto"/>
              <w:right w:val="single" w:sz="4" w:space="0" w:color="auto"/>
            </w:tcBorders>
            <w:noWrap/>
            <w:vAlign w:val="center"/>
            <w:hideMark/>
          </w:tcPr>
          <w:p w14:paraId="05360B0C" w14:textId="77777777" w:rsidR="001A0C9B" w:rsidRPr="001A0C9B" w:rsidRDefault="001A0C9B" w:rsidP="001A0C9B">
            <w:pPr>
              <w:spacing w:after="0" w:line="240" w:lineRule="auto"/>
              <w:jc w:val="right"/>
              <w:rPr>
                <w:rFonts w:ascii="Times New Roman" w:eastAsia="Times New Roman" w:hAnsi="Times New Roman" w:cs="Times New Roman"/>
                <w:color w:val="000000"/>
                <w:kern w:val="0"/>
                <w:sz w:val="16"/>
                <w:szCs w:val="16"/>
                <w:lang w:eastAsia="en-IN"/>
                <w14:ligatures w14:val="none"/>
              </w:rPr>
            </w:pPr>
            <w:r w:rsidRPr="001A0C9B">
              <w:rPr>
                <w:rFonts w:ascii="Times New Roman" w:eastAsia="Times New Roman" w:hAnsi="Times New Roman" w:cs="Times New Roman"/>
                <w:color w:val="000000"/>
                <w:kern w:val="0"/>
                <w:sz w:val="16"/>
                <w:szCs w:val="16"/>
                <w:lang w:eastAsia="en-IN"/>
                <w14:ligatures w14:val="none"/>
              </w:rPr>
              <w:t>53.48</w:t>
            </w:r>
          </w:p>
        </w:tc>
        <w:tc>
          <w:tcPr>
            <w:tcW w:w="723" w:type="dxa"/>
            <w:tcBorders>
              <w:top w:val="nil"/>
              <w:left w:val="nil"/>
              <w:bottom w:val="single" w:sz="4" w:space="0" w:color="auto"/>
              <w:right w:val="single" w:sz="4" w:space="0" w:color="auto"/>
            </w:tcBorders>
            <w:noWrap/>
            <w:vAlign w:val="center"/>
            <w:hideMark/>
          </w:tcPr>
          <w:p w14:paraId="05526F2E" w14:textId="77777777" w:rsidR="001A0C9B" w:rsidRPr="001A0C9B" w:rsidRDefault="001A0C9B" w:rsidP="001A0C9B">
            <w:pPr>
              <w:spacing w:after="0" w:line="240" w:lineRule="auto"/>
              <w:jc w:val="right"/>
              <w:rPr>
                <w:rFonts w:ascii="Times New Roman" w:eastAsia="Times New Roman" w:hAnsi="Times New Roman" w:cs="Times New Roman"/>
                <w:color w:val="000000"/>
                <w:kern w:val="0"/>
                <w:sz w:val="16"/>
                <w:szCs w:val="16"/>
                <w:lang w:eastAsia="en-IN"/>
                <w14:ligatures w14:val="none"/>
              </w:rPr>
            </w:pPr>
            <w:r w:rsidRPr="001A0C9B">
              <w:rPr>
                <w:rFonts w:ascii="Times New Roman" w:eastAsia="Times New Roman" w:hAnsi="Times New Roman" w:cs="Times New Roman"/>
                <w:color w:val="000000"/>
                <w:kern w:val="0"/>
                <w:sz w:val="16"/>
                <w:szCs w:val="16"/>
                <w:lang w:eastAsia="en-IN"/>
                <w14:ligatures w14:val="none"/>
              </w:rPr>
              <w:t>14.48</w:t>
            </w:r>
          </w:p>
        </w:tc>
        <w:tc>
          <w:tcPr>
            <w:tcW w:w="741" w:type="dxa"/>
            <w:tcBorders>
              <w:top w:val="nil"/>
              <w:left w:val="nil"/>
              <w:bottom w:val="single" w:sz="4" w:space="0" w:color="auto"/>
              <w:right w:val="single" w:sz="4" w:space="0" w:color="auto"/>
            </w:tcBorders>
            <w:noWrap/>
            <w:vAlign w:val="center"/>
            <w:hideMark/>
          </w:tcPr>
          <w:p w14:paraId="467FE471" w14:textId="33A7E8CA" w:rsidR="001A0C9B" w:rsidRPr="001A0C9B" w:rsidRDefault="001A0C9B" w:rsidP="001A0C9B">
            <w:pPr>
              <w:spacing w:after="0" w:line="240" w:lineRule="auto"/>
              <w:jc w:val="right"/>
              <w:rPr>
                <w:rFonts w:ascii="Times New Roman" w:eastAsia="Times New Roman" w:hAnsi="Times New Roman" w:cs="Times New Roman"/>
                <w:color w:val="000000"/>
                <w:kern w:val="0"/>
                <w:sz w:val="16"/>
                <w:szCs w:val="16"/>
                <w:lang w:eastAsia="en-IN"/>
                <w14:ligatures w14:val="none"/>
              </w:rPr>
            </w:pPr>
            <w:r w:rsidRPr="001A0C9B">
              <w:rPr>
                <w:rFonts w:ascii="Times New Roman" w:eastAsia="Times New Roman" w:hAnsi="Times New Roman" w:cs="Times New Roman"/>
                <w:color w:val="000000"/>
                <w:kern w:val="0"/>
                <w:sz w:val="16"/>
                <w:szCs w:val="16"/>
                <w:lang w:eastAsia="en-IN"/>
                <w14:ligatures w14:val="none"/>
              </w:rPr>
              <w:t>4.5</w:t>
            </w:r>
            <w:r w:rsidR="0063665D">
              <w:rPr>
                <w:rFonts w:ascii="Times New Roman" w:eastAsia="Times New Roman" w:hAnsi="Times New Roman" w:cs="Times New Roman"/>
                <w:color w:val="000000"/>
                <w:kern w:val="0"/>
                <w:sz w:val="16"/>
                <w:szCs w:val="16"/>
                <w:lang w:eastAsia="en-IN"/>
                <w14:ligatures w14:val="none"/>
              </w:rPr>
              <w:t>0</w:t>
            </w:r>
          </w:p>
        </w:tc>
        <w:tc>
          <w:tcPr>
            <w:tcW w:w="981" w:type="dxa"/>
            <w:tcBorders>
              <w:top w:val="nil"/>
              <w:left w:val="nil"/>
              <w:bottom w:val="single" w:sz="4" w:space="0" w:color="auto"/>
              <w:right w:val="single" w:sz="4" w:space="0" w:color="auto"/>
            </w:tcBorders>
            <w:noWrap/>
            <w:vAlign w:val="center"/>
            <w:hideMark/>
          </w:tcPr>
          <w:p w14:paraId="336BADC0" w14:textId="77777777" w:rsidR="001A0C9B" w:rsidRPr="001A0C9B" w:rsidRDefault="001A0C9B" w:rsidP="001A0C9B">
            <w:pPr>
              <w:spacing w:after="0" w:line="240" w:lineRule="auto"/>
              <w:jc w:val="right"/>
              <w:rPr>
                <w:rFonts w:ascii="Times New Roman" w:eastAsia="Times New Roman" w:hAnsi="Times New Roman" w:cs="Times New Roman"/>
                <w:color w:val="000000"/>
                <w:kern w:val="0"/>
                <w:sz w:val="16"/>
                <w:szCs w:val="16"/>
                <w:lang w:eastAsia="en-IN"/>
                <w14:ligatures w14:val="none"/>
              </w:rPr>
            </w:pPr>
            <w:r w:rsidRPr="001A0C9B">
              <w:rPr>
                <w:rFonts w:ascii="Times New Roman" w:eastAsia="Times New Roman" w:hAnsi="Times New Roman" w:cs="Times New Roman"/>
                <w:color w:val="000000"/>
                <w:kern w:val="0"/>
                <w:sz w:val="16"/>
                <w:szCs w:val="16"/>
                <w:lang w:eastAsia="en-IN"/>
                <w14:ligatures w14:val="none"/>
              </w:rPr>
              <w:t>2.24</w:t>
            </w:r>
          </w:p>
        </w:tc>
        <w:tc>
          <w:tcPr>
            <w:tcW w:w="754" w:type="dxa"/>
            <w:tcBorders>
              <w:top w:val="nil"/>
              <w:left w:val="nil"/>
              <w:bottom w:val="single" w:sz="4" w:space="0" w:color="auto"/>
              <w:right w:val="single" w:sz="4" w:space="0" w:color="auto"/>
            </w:tcBorders>
            <w:noWrap/>
            <w:vAlign w:val="center"/>
            <w:hideMark/>
          </w:tcPr>
          <w:p w14:paraId="44F56B67" w14:textId="77777777" w:rsidR="001A0C9B" w:rsidRPr="001A0C9B" w:rsidRDefault="001A0C9B" w:rsidP="001A0C9B">
            <w:pPr>
              <w:spacing w:after="0" w:line="240" w:lineRule="auto"/>
              <w:jc w:val="right"/>
              <w:rPr>
                <w:rFonts w:ascii="Times New Roman" w:eastAsia="Times New Roman" w:hAnsi="Times New Roman" w:cs="Times New Roman"/>
                <w:color w:val="000000"/>
                <w:kern w:val="0"/>
                <w:sz w:val="16"/>
                <w:szCs w:val="16"/>
                <w:lang w:eastAsia="en-IN"/>
                <w14:ligatures w14:val="none"/>
              </w:rPr>
            </w:pPr>
            <w:r w:rsidRPr="001A0C9B">
              <w:rPr>
                <w:rFonts w:ascii="Times New Roman" w:eastAsia="Times New Roman" w:hAnsi="Times New Roman" w:cs="Times New Roman"/>
                <w:color w:val="000000"/>
                <w:kern w:val="0"/>
                <w:sz w:val="16"/>
                <w:szCs w:val="16"/>
                <w:lang w:eastAsia="en-IN"/>
                <w14:ligatures w14:val="none"/>
              </w:rPr>
              <w:t>63.54</w:t>
            </w:r>
          </w:p>
        </w:tc>
        <w:tc>
          <w:tcPr>
            <w:tcW w:w="723" w:type="dxa"/>
            <w:tcBorders>
              <w:top w:val="nil"/>
              <w:left w:val="nil"/>
              <w:bottom w:val="single" w:sz="4" w:space="0" w:color="auto"/>
              <w:right w:val="single" w:sz="4" w:space="0" w:color="auto"/>
            </w:tcBorders>
            <w:noWrap/>
            <w:vAlign w:val="center"/>
            <w:hideMark/>
          </w:tcPr>
          <w:p w14:paraId="1626214B" w14:textId="77777777" w:rsidR="001A0C9B" w:rsidRPr="001A0C9B" w:rsidRDefault="001A0C9B" w:rsidP="001A0C9B">
            <w:pPr>
              <w:spacing w:after="0" w:line="240" w:lineRule="auto"/>
              <w:jc w:val="right"/>
              <w:rPr>
                <w:rFonts w:ascii="Times New Roman" w:eastAsia="Times New Roman" w:hAnsi="Times New Roman" w:cs="Times New Roman"/>
                <w:color w:val="000000"/>
                <w:kern w:val="0"/>
                <w:sz w:val="16"/>
                <w:szCs w:val="16"/>
                <w:lang w:eastAsia="en-IN"/>
                <w14:ligatures w14:val="none"/>
              </w:rPr>
            </w:pPr>
            <w:r w:rsidRPr="001A0C9B">
              <w:rPr>
                <w:rFonts w:ascii="Times New Roman" w:eastAsia="Times New Roman" w:hAnsi="Times New Roman" w:cs="Times New Roman"/>
                <w:color w:val="000000"/>
                <w:kern w:val="0"/>
                <w:sz w:val="16"/>
                <w:szCs w:val="16"/>
                <w:lang w:eastAsia="en-IN"/>
                <w14:ligatures w14:val="none"/>
              </w:rPr>
              <w:t>16.94</w:t>
            </w:r>
          </w:p>
        </w:tc>
        <w:tc>
          <w:tcPr>
            <w:tcW w:w="754" w:type="dxa"/>
            <w:tcBorders>
              <w:top w:val="nil"/>
              <w:left w:val="nil"/>
              <w:bottom w:val="single" w:sz="4" w:space="0" w:color="auto"/>
              <w:right w:val="single" w:sz="4" w:space="0" w:color="auto"/>
            </w:tcBorders>
            <w:noWrap/>
            <w:vAlign w:val="center"/>
            <w:hideMark/>
          </w:tcPr>
          <w:p w14:paraId="4FD7E9AD" w14:textId="77777777" w:rsidR="001A0C9B" w:rsidRPr="001A0C9B" w:rsidRDefault="001A0C9B" w:rsidP="001A0C9B">
            <w:pPr>
              <w:spacing w:after="0" w:line="240" w:lineRule="auto"/>
              <w:rPr>
                <w:rFonts w:ascii="Times New Roman" w:eastAsia="Times New Roman" w:hAnsi="Times New Roman" w:cs="Times New Roman"/>
                <w:color w:val="000000"/>
                <w:kern w:val="0"/>
                <w:sz w:val="16"/>
                <w:szCs w:val="16"/>
                <w:lang w:eastAsia="en-IN"/>
                <w14:ligatures w14:val="none"/>
              </w:rPr>
            </w:pPr>
            <w:r w:rsidRPr="001A0C9B">
              <w:rPr>
                <w:rFonts w:ascii="Times New Roman" w:eastAsia="Times New Roman" w:hAnsi="Times New Roman" w:cs="Times New Roman"/>
                <w:color w:val="000000"/>
                <w:kern w:val="0"/>
                <w:sz w:val="16"/>
                <w:szCs w:val="16"/>
                <w:lang w:eastAsia="en-IN"/>
                <w14:ligatures w14:val="none"/>
              </w:rPr>
              <w:t>..</w:t>
            </w:r>
          </w:p>
        </w:tc>
        <w:tc>
          <w:tcPr>
            <w:tcW w:w="981" w:type="dxa"/>
            <w:tcBorders>
              <w:top w:val="nil"/>
              <w:left w:val="nil"/>
              <w:bottom w:val="single" w:sz="4" w:space="0" w:color="auto"/>
              <w:right w:val="single" w:sz="4" w:space="0" w:color="auto"/>
            </w:tcBorders>
            <w:noWrap/>
            <w:vAlign w:val="center"/>
            <w:hideMark/>
          </w:tcPr>
          <w:p w14:paraId="292C6ADD" w14:textId="2C78FB54" w:rsidR="001A0C9B" w:rsidRPr="001A0C9B" w:rsidRDefault="001A0C9B" w:rsidP="001A0C9B">
            <w:pPr>
              <w:spacing w:after="0" w:line="240" w:lineRule="auto"/>
              <w:jc w:val="right"/>
              <w:rPr>
                <w:rFonts w:ascii="Times New Roman" w:eastAsia="Times New Roman" w:hAnsi="Times New Roman" w:cs="Times New Roman"/>
                <w:color w:val="000000"/>
                <w:kern w:val="0"/>
                <w:sz w:val="16"/>
                <w:szCs w:val="16"/>
                <w:lang w:eastAsia="en-IN"/>
                <w14:ligatures w14:val="none"/>
              </w:rPr>
            </w:pPr>
            <w:r w:rsidRPr="001A0C9B">
              <w:rPr>
                <w:rFonts w:ascii="Times New Roman" w:eastAsia="Times New Roman" w:hAnsi="Times New Roman" w:cs="Times New Roman"/>
                <w:color w:val="000000"/>
                <w:kern w:val="0"/>
                <w:sz w:val="16"/>
                <w:szCs w:val="16"/>
                <w:lang w:eastAsia="en-IN"/>
                <w14:ligatures w14:val="none"/>
              </w:rPr>
              <w:t>1.1</w:t>
            </w:r>
            <w:r w:rsidR="0063665D">
              <w:rPr>
                <w:rFonts w:ascii="Times New Roman" w:eastAsia="Times New Roman" w:hAnsi="Times New Roman" w:cs="Times New Roman"/>
                <w:color w:val="000000"/>
                <w:kern w:val="0"/>
                <w:sz w:val="16"/>
                <w:szCs w:val="16"/>
                <w:lang w:eastAsia="en-IN"/>
                <w14:ligatures w14:val="none"/>
              </w:rPr>
              <w:t>0</w:t>
            </w:r>
          </w:p>
        </w:tc>
        <w:tc>
          <w:tcPr>
            <w:tcW w:w="754" w:type="dxa"/>
            <w:tcBorders>
              <w:top w:val="nil"/>
              <w:left w:val="nil"/>
              <w:bottom w:val="single" w:sz="4" w:space="0" w:color="auto"/>
              <w:right w:val="single" w:sz="4" w:space="0" w:color="auto"/>
            </w:tcBorders>
            <w:noWrap/>
            <w:vAlign w:val="center"/>
            <w:hideMark/>
          </w:tcPr>
          <w:p w14:paraId="280C7209" w14:textId="77777777" w:rsidR="001A0C9B" w:rsidRPr="001A0C9B" w:rsidRDefault="001A0C9B" w:rsidP="001A0C9B">
            <w:pPr>
              <w:spacing w:after="0" w:line="240" w:lineRule="auto"/>
              <w:jc w:val="right"/>
              <w:rPr>
                <w:rFonts w:ascii="Times New Roman" w:eastAsia="Times New Roman" w:hAnsi="Times New Roman" w:cs="Times New Roman"/>
                <w:color w:val="000000"/>
                <w:kern w:val="0"/>
                <w:sz w:val="16"/>
                <w:szCs w:val="16"/>
                <w:lang w:eastAsia="en-IN"/>
                <w14:ligatures w14:val="none"/>
              </w:rPr>
            </w:pPr>
            <w:r w:rsidRPr="001A0C9B">
              <w:rPr>
                <w:rFonts w:ascii="Times New Roman" w:eastAsia="Times New Roman" w:hAnsi="Times New Roman" w:cs="Times New Roman"/>
                <w:color w:val="000000"/>
                <w:kern w:val="0"/>
                <w:sz w:val="16"/>
                <w:szCs w:val="16"/>
                <w:lang w:eastAsia="en-IN"/>
                <w14:ligatures w14:val="none"/>
              </w:rPr>
              <w:t>69.41</w:t>
            </w:r>
          </w:p>
        </w:tc>
        <w:tc>
          <w:tcPr>
            <w:tcW w:w="723" w:type="dxa"/>
            <w:tcBorders>
              <w:top w:val="nil"/>
              <w:left w:val="nil"/>
              <w:bottom w:val="single" w:sz="4" w:space="0" w:color="auto"/>
              <w:right w:val="single" w:sz="4" w:space="0" w:color="auto"/>
            </w:tcBorders>
            <w:noWrap/>
            <w:vAlign w:val="center"/>
            <w:hideMark/>
          </w:tcPr>
          <w:p w14:paraId="007F7D45" w14:textId="77777777" w:rsidR="001A0C9B" w:rsidRPr="001A0C9B" w:rsidRDefault="001A0C9B" w:rsidP="001A0C9B">
            <w:pPr>
              <w:spacing w:after="0" w:line="240" w:lineRule="auto"/>
              <w:jc w:val="right"/>
              <w:rPr>
                <w:rFonts w:ascii="Times New Roman" w:eastAsia="Times New Roman" w:hAnsi="Times New Roman" w:cs="Times New Roman"/>
                <w:color w:val="000000"/>
                <w:kern w:val="0"/>
                <w:sz w:val="16"/>
                <w:szCs w:val="16"/>
                <w:lang w:eastAsia="en-IN"/>
                <w14:ligatures w14:val="none"/>
              </w:rPr>
            </w:pPr>
            <w:r w:rsidRPr="001A0C9B">
              <w:rPr>
                <w:rFonts w:ascii="Times New Roman" w:eastAsia="Times New Roman" w:hAnsi="Times New Roman" w:cs="Times New Roman"/>
                <w:color w:val="000000"/>
                <w:kern w:val="0"/>
                <w:sz w:val="16"/>
                <w:szCs w:val="16"/>
                <w:lang w:eastAsia="en-IN"/>
                <w14:ligatures w14:val="none"/>
              </w:rPr>
              <w:t>17.87</w:t>
            </w:r>
          </w:p>
        </w:tc>
      </w:tr>
      <w:tr w:rsidR="001A0C9B" w:rsidRPr="001A0C9B" w14:paraId="17165728" w14:textId="77777777" w:rsidTr="002A11B0">
        <w:trPr>
          <w:trHeight w:val="166"/>
          <w:jc w:val="center"/>
        </w:trPr>
        <w:tc>
          <w:tcPr>
            <w:tcW w:w="1051" w:type="dxa"/>
            <w:tcBorders>
              <w:top w:val="nil"/>
              <w:left w:val="single" w:sz="4" w:space="0" w:color="auto"/>
              <w:bottom w:val="single" w:sz="4" w:space="0" w:color="auto"/>
              <w:right w:val="single" w:sz="4" w:space="0" w:color="auto"/>
            </w:tcBorders>
            <w:noWrap/>
            <w:vAlign w:val="center"/>
            <w:hideMark/>
          </w:tcPr>
          <w:p w14:paraId="2202C854" w14:textId="77777777" w:rsidR="001A0C9B" w:rsidRPr="001A0C9B" w:rsidRDefault="001A0C9B" w:rsidP="001A0C9B">
            <w:pPr>
              <w:spacing w:after="0" w:line="240" w:lineRule="auto"/>
              <w:rPr>
                <w:rFonts w:ascii="Times New Roman" w:eastAsia="Times New Roman" w:hAnsi="Times New Roman" w:cs="Times New Roman"/>
                <w:color w:val="000000"/>
                <w:kern w:val="0"/>
                <w:sz w:val="16"/>
                <w:szCs w:val="16"/>
                <w:lang w:eastAsia="en-IN"/>
                <w14:ligatures w14:val="none"/>
              </w:rPr>
            </w:pPr>
            <w:r w:rsidRPr="001A0C9B">
              <w:rPr>
                <w:rFonts w:ascii="Times New Roman" w:eastAsia="Times New Roman" w:hAnsi="Times New Roman" w:cs="Times New Roman"/>
                <w:color w:val="000000"/>
                <w:kern w:val="0"/>
                <w:sz w:val="16"/>
                <w:szCs w:val="16"/>
                <w:lang w:eastAsia="en-IN"/>
                <w14:ligatures w14:val="none"/>
              </w:rPr>
              <w:t>Maharashtra</w:t>
            </w:r>
          </w:p>
        </w:tc>
        <w:tc>
          <w:tcPr>
            <w:tcW w:w="669" w:type="dxa"/>
            <w:tcBorders>
              <w:top w:val="nil"/>
              <w:left w:val="nil"/>
              <w:bottom w:val="single" w:sz="4" w:space="0" w:color="auto"/>
              <w:right w:val="single" w:sz="4" w:space="0" w:color="auto"/>
            </w:tcBorders>
            <w:noWrap/>
            <w:vAlign w:val="center"/>
            <w:hideMark/>
          </w:tcPr>
          <w:p w14:paraId="5FCC126F" w14:textId="77777777" w:rsidR="001A0C9B" w:rsidRPr="001A0C9B" w:rsidRDefault="001A0C9B" w:rsidP="001A0C9B">
            <w:pPr>
              <w:spacing w:after="0" w:line="240" w:lineRule="auto"/>
              <w:jc w:val="right"/>
              <w:rPr>
                <w:rFonts w:ascii="Times New Roman" w:eastAsia="Times New Roman" w:hAnsi="Times New Roman" w:cs="Times New Roman"/>
                <w:color w:val="000000"/>
                <w:kern w:val="0"/>
                <w:sz w:val="16"/>
                <w:szCs w:val="16"/>
                <w:lang w:eastAsia="en-IN"/>
                <w14:ligatures w14:val="none"/>
              </w:rPr>
            </w:pPr>
            <w:r w:rsidRPr="001A0C9B">
              <w:rPr>
                <w:rFonts w:ascii="Times New Roman" w:eastAsia="Times New Roman" w:hAnsi="Times New Roman" w:cs="Times New Roman"/>
                <w:color w:val="000000"/>
                <w:kern w:val="0"/>
                <w:sz w:val="16"/>
                <w:szCs w:val="16"/>
                <w:lang w:eastAsia="en-IN"/>
                <w14:ligatures w14:val="none"/>
              </w:rPr>
              <w:t>64.26</w:t>
            </w:r>
          </w:p>
        </w:tc>
        <w:tc>
          <w:tcPr>
            <w:tcW w:w="723" w:type="dxa"/>
            <w:tcBorders>
              <w:top w:val="nil"/>
              <w:left w:val="nil"/>
              <w:bottom w:val="single" w:sz="4" w:space="0" w:color="auto"/>
              <w:right w:val="single" w:sz="4" w:space="0" w:color="auto"/>
            </w:tcBorders>
            <w:noWrap/>
            <w:vAlign w:val="center"/>
            <w:hideMark/>
          </w:tcPr>
          <w:p w14:paraId="32EC16F3" w14:textId="77777777" w:rsidR="001A0C9B" w:rsidRPr="001A0C9B" w:rsidRDefault="001A0C9B" w:rsidP="001A0C9B">
            <w:pPr>
              <w:spacing w:after="0" w:line="240" w:lineRule="auto"/>
              <w:jc w:val="right"/>
              <w:rPr>
                <w:rFonts w:ascii="Times New Roman" w:eastAsia="Times New Roman" w:hAnsi="Times New Roman" w:cs="Times New Roman"/>
                <w:color w:val="000000"/>
                <w:kern w:val="0"/>
                <w:sz w:val="16"/>
                <w:szCs w:val="16"/>
                <w:lang w:eastAsia="en-IN"/>
                <w14:ligatures w14:val="none"/>
              </w:rPr>
            </w:pPr>
            <w:r w:rsidRPr="001A0C9B">
              <w:rPr>
                <w:rFonts w:ascii="Times New Roman" w:eastAsia="Times New Roman" w:hAnsi="Times New Roman" w:cs="Times New Roman"/>
                <w:color w:val="000000"/>
                <w:kern w:val="0"/>
                <w:sz w:val="16"/>
                <w:szCs w:val="16"/>
                <w:lang w:eastAsia="en-IN"/>
                <w14:ligatures w14:val="none"/>
              </w:rPr>
              <w:t>16.25</w:t>
            </w:r>
          </w:p>
        </w:tc>
        <w:tc>
          <w:tcPr>
            <w:tcW w:w="773" w:type="dxa"/>
            <w:tcBorders>
              <w:top w:val="nil"/>
              <w:left w:val="nil"/>
              <w:bottom w:val="single" w:sz="4" w:space="0" w:color="auto"/>
              <w:right w:val="single" w:sz="4" w:space="0" w:color="auto"/>
            </w:tcBorders>
            <w:noWrap/>
            <w:vAlign w:val="center"/>
            <w:hideMark/>
          </w:tcPr>
          <w:p w14:paraId="26392DF6" w14:textId="54F60461" w:rsidR="001A0C9B" w:rsidRPr="001A0C9B" w:rsidRDefault="001A0C9B" w:rsidP="001A0C9B">
            <w:pPr>
              <w:spacing w:after="0" w:line="240" w:lineRule="auto"/>
              <w:jc w:val="right"/>
              <w:rPr>
                <w:rFonts w:ascii="Times New Roman" w:eastAsia="Times New Roman" w:hAnsi="Times New Roman" w:cs="Times New Roman"/>
                <w:color w:val="000000"/>
                <w:kern w:val="0"/>
                <w:sz w:val="16"/>
                <w:szCs w:val="16"/>
                <w:lang w:eastAsia="en-IN"/>
                <w14:ligatures w14:val="none"/>
              </w:rPr>
            </w:pPr>
            <w:r w:rsidRPr="001A0C9B">
              <w:rPr>
                <w:rFonts w:ascii="Times New Roman" w:eastAsia="Times New Roman" w:hAnsi="Times New Roman" w:cs="Times New Roman"/>
                <w:color w:val="000000"/>
                <w:kern w:val="0"/>
                <w:sz w:val="16"/>
                <w:szCs w:val="16"/>
                <w:lang w:eastAsia="en-IN"/>
                <w14:ligatures w14:val="none"/>
              </w:rPr>
              <w:t>52</w:t>
            </w:r>
            <w:r w:rsidR="0063665D">
              <w:rPr>
                <w:rFonts w:ascii="Times New Roman" w:eastAsia="Times New Roman" w:hAnsi="Times New Roman" w:cs="Times New Roman"/>
                <w:color w:val="000000"/>
                <w:kern w:val="0"/>
                <w:sz w:val="16"/>
                <w:szCs w:val="16"/>
                <w:lang w:eastAsia="en-IN"/>
                <w14:ligatures w14:val="none"/>
              </w:rPr>
              <w:t>.00</w:t>
            </w:r>
          </w:p>
        </w:tc>
        <w:tc>
          <w:tcPr>
            <w:tcW w:w="981" w:type="dxa"/>
            <w:tcBorders>
              <w:top w:val="nil"/>
              <w:left w:val="nil"/>
              <w:bottom w:val="single" w:sz="4" w:space="0" w:color="auto"/>
              <w:right w:val="single" w:sz="4" w:space="0" w:color="auto"/>
            </w:tcBorders>
            <w:noWrap/>
            <w:vAlign w:val="center"/>
            <w:hideMark/>
          </w:tcPr>
          <w:p w14:paraId="7AA50D5B" w14:textId="77777777" w:rsidR="001A0C9B" w:rsidRPr="001A0C9B" w:rsidRDefault="001A0C9B" w:rsidP="001A0C9B">
            <w:pPr>
              <w:spacing w:after="0" w:line="240" w:lineRule="auto"/>
              <w:jc w:val="right"/>
              <w:rPr>
                <w:rFonts w:ascii="Times New Roman" w:eastAsia="Times New Roman" w:hAnsi="Times New Roman" w:cs="Times New Roman"/>
                <w:color w:val="000000"/>
                <w:kern w:val="0"/>
                <w:sz w:val="16"/>
                <w:szCs w:val="16"/>
                <w:lang w:eastAsia="en-IN"/>
                <w14:ligatures w14:val="none"/>
              </w:rPr>
            </w:pPr>
            <w:r w:rsidRPr="001A0C9B">
              <w:rPr>
                <w:rFonts w:ascii="Times New Roman" w:eastAsia="Times New Roman" w:hAnsi="Times New Roman" w:cs="Times New Roman"/>
                <w:color w:val="000000"/>
                <w:kern w:val="0"/>
                <w:sz w:val="16"/>
                <w:szCs w:val="16"/>
                <w:lang w:eastAsia="en-IN"/>
                <w14:ligatures w14:val="none"/>
              </w:rPr>
              <w:t>79.21</w:t>
            </w:r>
          </w:p>
        </w:tc>
        <w:tc>
          <w:tcPr>
            <w:tcW w:w="669" w:type="dxa"/>
            <w:tcBorders>
              <w:top w:val="nil"/>
              <w:left w:val="nil"/>
              <w:bottom w:val="single" w:sz="4" w:space="0" w:color="auto"/>
              <w:right w:val="single" w:sz="4" w:space="0" w:color="auto"/>
            </w:tcBorders>
            <w:noWrap/>
            <w:vAlign w:val="center"/>
            <w:hideMark/>
          </w:tcPr>
          <w:p w14:paraId="28FE57D8" w14:textId="77777777" w:rsidR="001A0C9B" w:rsidRPr="001A0C9B" w:rsidRDefault="001A0C9B" w:rsidP="001A0C9B">
            <w:pPr>
              <w:spacing w:after="0" w:line="240" w:lineRule="auto"/>
              <w:jc w:val="right"/>
              <w:rPr>
                <w:rFonts w:ascii="Times New Roman" w:eastAsia="Times New Roman" w:hAnsi="Times New Roman" w:cs="Times New Roman"/>
                <w:color w:val="000000"/>
                <w:kern w:val="0"/>
                <w:sz w:val="16"/>
                <w:szCs w:val="16"/>
                <w:lang w:eastAsia="en-IN"/>
                <w14:ligatures w14:val="none"/>
              </w:rPr>
            </w:pPr>
            <w:r w:rsidRPr="001A0C9B">
              <w:rPr>
                <w:rFonts w:ascii="Times New Roman" w:eastAsia="Times New Roman" w:hAnsi="Times New Roman" w:cs="Times New Roman"/>
                <w:color w:val="000000"/>
                <w:kern w:val="0"/>
                <w:sz w:val="16"/>
                <w:szCs w:val="16"/>
                <w:lang w:eastAsia="en-IN"/>
                <w14:ligatures w14:val="none"/>
              </w:rPr>
              <w:t>122.42</w:t>
            </w:r>
          </w:p>
        </w:tc>
        <w:tc>
          <w:tcPr>
            <w:tcW w:w="679" w:type="dxa"/>
            <w:tcBorders>
              <w:top w:val="nil"/>
              <w:left w:val="nil"/>
              <w:bottom w:val="single" w:sz="4" w:space="0" w:color="auto"/>
              <w:right w:val="single" w:sz="4" w:space="0" w:color="auto"/>
            </w:tcBorders>
            <w:noWrap/>
            <w:vAlign w:val="center"/>
            <w:hideMark/>
          </w:tcPr>
          <w:p w14:paraId="407CAFA4" w14:textId="77777777" w:rsidR="001A0C9B" w:rsidRPr="001A0C9B" w:rsidRDefault="001A0C9B" w:rsidP="001A0C9B">
            <w:pPr>
              <w:spacing w:after="0" w:line="240" w:lineRule="auto"/>
              <w:jc w:val="right"/>
              <w:rPr>
                <w:rFonts w:ascii="Times New Roman" w:eastAsia="Times New Roman" w:hAnsi="Times New Roman" w:cs="Times New Roman"/>
                <w:color w:val="000000"/>
                <w:kern w:val="0"/>
                <w:sz w:val="16"/>
                <w:szCs w:val="16"/>
                <w:lang w:eastAsia="en-IN"/>
                <w14:ligatures w14:val="none"/>
              </w:rPr>
            </w:pPr>
            <w:r w:rsidRPr="001A0C9B">
              <w:rPr>
                <w:rFonts w:ascii="Times New Roman" w:eastAsia="Times New Roman" w:hAnsi="Times New Roman" w:cs="Times New Roman"/>
                <w:color w:val="000000"/>
                <w:kern w:val="0"/>
                <w:sz w:val="16"/>
                <w:szCs w:val="16"/>
                <w:lang w:eastAsia="en-IN"/>
                <w14:ligatures w14:val="none"/>
              </w:rPr>
              <w:t>27.72</w:t>
            </w:r>
          </w:p>
        </w:tc>
        <w:tc>
          <w:tcPr>
            <w:tcW w:w="773" w:type="dxa"/>
            <w:tcBorders>
              <w:top w:val="nil"/>
              <w:left w:val="nil"/>
              <w:bottom w:val="single" w:sz="4" w:space="0" w:color="auto"/>
              <w:right w:val="single" w:sz="4" w:space="0" w:color="auto"/>
            </w:tcBorders>
            <w:noWrap/>
            <w:vAlign w:val="center"/>
            <w:hideMark/>
          </w:tcPr>
          <w:p w14:paraId="0A6B0CEF" w14:textId="77777777" w:rsidR="001A0C9B" w:rsidRPr="001A0C9B" w:rsidRDefault="001A0C9B" w:rsidP="001A0C9B">
            <w:pPr>
              <w:spacing w:after="0" w:line="240" w:lineRule="auto"/>
              <w:jc w:val="right"/>
              <w:rPr>
                <w:rFonts w:ascii="Times New Roman" w:eastAsia="Times New Roman" w:hAnsi="Times New Roman" w:cs="Times New Roman"/>
                <w:color w:val="000000"/>
                <w:kern w:val="0"/>
                <w:sz w:val="16"/>
                <w:szCs w:val="16"/>
                <w:lang w:eastAsia="en-IN"/>
                <w14:ligatures w14:val="none"/>
              </w:rPr>
            </w:pPr>
            <w:r w:rsidRPr="001A0C9B">
              <w:rPr>
                <w:rFonts w:ascii="Times New Roman" w:eastAsia="Times New Roman" w:hAnsi="Times New Roman" w:cs="Times New Roman"/>
                <w:color w:val="000000"/>
                <w:kern w:val="0"/>
                <w:sz w:val="16"/>
                <w:szCs w:val="16"/>
                <w:lang w:eastAsia="en-IN"/>
                <w14:ligatures w14:val="none"/>
              </w:rPr>
              <w:t>1.3</w:t>
            </w:r>
          </w:p>
        </w:tc>
        <w:tc>
          <w:tcPr>
            <w:tcW w:w="981" w:type="dxa"/>
            <w:tcBorders>
              <w:top w:val="nil"/>
              <w:left w:val="nil"/>
              <w:bottom w:val="single" w:sz="4" w:space="0" w:color="auto"/>
              <w:right w:val="single" w:sz="4" w:space="0" w:color="auto"/>
            </w:tcBorders>
            <w:noWrap/>
            <w:vAlign w:val="center"/>
            <w:hideMark/>
          </w:tcPr>
          <w:p w14:paraId="47DBE4F2" w14:textId="77777777" w:rsidR="001A0C9B" w:rsidRPr="001A0C9B" w:rsidRDefault="001A0C9B" w:rsidP="001A0C9B">
            <w:pPr>
              <w:spacing w:after="0" w:line="240" w:lineRule="auto"/>
              <w:jc w:val="right"/>
              <w:rPr>
                <w:rFonts w:ascii="Times New Roman" w:eastAsia="Times New Roman" w:hAnsi="Times New Roman" w:cs="Times New Roman"/>
                <w:color w:val="000000"/>
                <w:kern w:val="0"/>
                <w:sz w:val="16"/>
                <w:szCs w:val="16"/>
                <w:lang w:eastAsia="en-IN"/>
                <w14:ligatures w14:val="none"/>
              </w:rPr>
            </w:pPr>
            <w:r w:rsidRPr="001A0C9B">
              <w:rPr>
                <w:rFonts w:ascii="Times New Roman" w:eastAsia="Times New Roman" w:hAnsi="Times New Roman" w:cs="Times New Roman"/>
                <w:color w:val="000000"/>
                <w:kern w:val="0"/>
                <w:sz w:val="16"/>
                <w:szCs w:val="16"/>
                <w:lang w:eastAsia="en-IN"/>
                <w14:ligatures w14:val="none"/>
              </w:rPr>
              <w:t>2.43</w:t>
            </w:r>
          </w:p>
        </w:tc>
        <w:tc>
          <w:tcPr>
            <w:tcW w:w="782" w:type="dxa"/>
            <w:tcBorders>
              <w:top w:val="nil"/>
              <w:left w:val="nil"/>
              <w:bottom w:val="single" w:sz="4" w:space="0" w:color="auto"/>
              <w:right w:val="single" w:sz="4" w:space="0" w:color="auto"/>
            </w:tcBorders>
            <w:noWrap/>
            <w:vAlign w:val="center"/>
            <w:hideMark/>
          </w:tcPr>
          <w:p w14:paraId="59EAF3A0" w14:textId="77777777" w:rsidR="001A0C9B" w:rsidRPr="001A0C9B" w:rsidRDefault="001A0C9B" w:rsidP="001A0C9B">
            <w:pPr>
              <w:spacing w:after="0" w:line="240" w:lineRule="auto"/>
              <w:jc w:val="right"/>
              <w:rPr>
                <w:rFonts w:ascii="Times New Roman" w:eastAsia="Times New Roman" w:hAnsi="Times New Roman" w:cs="Times New Roman"/>
                <w:color w:val="000000"/>
                <w:kern w:val="0"/>
                <w:sz w:val="16"/>
                <w:szCs w:val="16"/>
                <w:lang w:eastAsia="en-IN"/>
                <w14:ligatures w14:val="none"/>
              </w:rPr>
            </w:pPr>
            <w:r w:rsidRPr="001A0C9B">
              <w:rPr>
                <w:rFonts w:ascii="Times New Roman" w:eastAsia="Times New Roman" w:hAnsi="Times New Roman" w:cs="Times New Roman"/>
                <w:color w:val="000000"/>
                <w:kern w:val="0"/>
                <w:sz w:val="16"/>
                <w:szCs w:val="16"/>
                <w:lang w:eastAsia="en-IN"/>
                <w14:ligatures w14:val="none"/>
              </w:rPr>
              <w:t>152.29</w:t>
            </w:r>
          </w:p>
        </w:tc>
        <w:tc>
          <w:tcPr>
            <w:tcW w:w="723" w:type="dxa"/>
            <w:tcBorders>
              <w:top w:val="nil"/>
              <w:left w:val="nil"/>
              <w:bottom w:val="single" w:sz="4" w:space="0" w:color="auto"/>
              <w:right w:val="single" w:sz="4" w:space="0" w:color="auto"/>
            </w:tcBorders>
            <w:noWrap/>
            <w:vAlign w:val="center"/>
            <w:hideMark/>
          </w:tcPr>
          <w:p w14:paraId="2591278E" w14:textId="77777777" w:rsidR="001A0C9B" w:rsidRPr="001A0C9B" w:rsidRDefault="001A0C9B" w:rsidP="001A0C9B">
            <w:pPr>
              <w:spacing w:after="0" w:line="240" w:lineRule="auto"/>
              <w:jc w:val="right"/>
              <w:rPr>
                <w:rFonts w:ascii="Times New Roman" w:eastAsia="Times New Roman" w:hAnsi="Times New Roman" w:cs="Times New Roman"/>
                <w:color w:val="000000"/>
                <w:kern w:val="0"/>
                <w:sz w:val="16"/>
                <w:szCs w:val="16"/>
                <w:lang w:eastAsia="en-IN"/>
                <w14:ligatures w14:val="none"/>
              </w:rPr>
            </w:pPr>
            <w:r w:rsidRPr="001A0C9B">
              <w:rPr>
                <w:rFonts w:ascii="Times New Roman" w:eastAsia="Times New Roman" w:hAnsi="Times New Roman" w:cs="Times New Roman"/>
                <w:color w:val="000000"/>
                <w:kern w:val="0"/>
                <w:sz w:val="16"/>
                <w:szCs w:val="16"/>
                <w:lang w:eastAsia="en-IN"/>
                <w14:ligatures w14:val="none"/>
              </w:rPr>
              <w:t>33.61</w:t>
            </w:r>
          </w:p>
        </w:tc>
        <w:tc>
          <w:tcPr>
            <w:tcW w:w="741" w:type="dxa"/>
            <w:tcBorders>
              <w:top w:val="nil"/>
              <w:left w:val="nil"/>
              <w:bottom w:val="single" w:sz="4" w:space="0" w:color="auto"/>
              <w:right w:val="single" w:sz="4" w:space="0" w:color="auto"/>
            </w:tcBorders>
            <w:noWrap/>
            <w:vAlign w:val="center"/>
            <w:hideMark/>
          </w:tcPr>
          <w:p w14:paraId="4CA731AD" w14:textId="4B9A58AF" w:rsidR="001A0C9B" w:rsidRPr="001A0C9B" w:rsidRDefault="001A0C9B" w:rsidP="001A0C9B">
            <w:pPr>
              <w:spacing w:after="0" w:line="240" w:lineRule="auto"/>
              <w:jc w:val="right"/>
              <w:rPr>
                <w:rFonts w:ascii="Times New Roman" w:eastAsia="Times New Roman" w:hAnsi="Times New Roman" w:cs="Times New Roman"/>
                <w:color w:val="000000"/>
                <w:kern w:val="0"/>
                <w:sz w:val="16"/>
                <w:szCs w:val="16"/>
                <w:lang w:eastAsia="en-IN"/>
                <w14:ligatures w14:val="none"/>
              </w:rPr>
            </w:pPr>
            <w:r w:rsidRPr="001A0C9B">
              <w:rPr>
                <w:rFonts w:ascii="Times New Roman" w:eastAsia="Times New Roman" w:hAnsi="Times New Roman" w:cs="Times New Roman"/>
                <w:color w:val="000000"/>
                <w:kern w:val="0"/>
                <w:sz w:val="16"/>
                <w:szCs w:val="16"/>
                <w:lang w:eastAsia="en-IN"/>
                <w14:ligatures w14:val="none"/>
              </w:rPr>
              <w:t>6</w:t>
            </w:r>
            <w:r w:rsidR="0063665D">
              <w:rPr>
                <w:rFonts w:ascii="Times New Roman" w:eastAsia="Times New Roman" w:hAnsi="Times New Roman" w:cs="Times New Roman"/>
                <w:color w:val="000000"/>
                <w:kern w:val="0"/>
                <w:sz w:val="16"/>
                <w:szCs w:val="16"/>
                <w:lang w:eastAsia="en-IN"/>
                <w14:ligatures w14:val="none"/>
              </w:rPr>
              <w:t>.00</w:t>
            </w:r>
          </w:p>
        </w:tc>
        <w:tc>
          <w:tcPr>
            <w:tcW w:w="981" w:type="dxa"/>
            <w:tcBorders>
              <w:top w:val="nil"/>
              <w:left w:val="nil"/>
              <w:bottom w:val="single" w:sz="4" w:space="0" w:color="auto"/>
              <w:right w:val="single" w:sz="4" w:space="0" w:color="auto"/>
            </w:tcBorders>
            <w:noWrap/>
            <w:vAlign w:val="center"/>
            <w:hideMark/>
          </w:tcPr>
          <w:p w14:paraId="45299170" w14:textId="77777777" w:rsidR="001A0C9B" w:rsidRPr="001A0C9B" w:rsidRDefault="001A0C9B" w:rsidP="001A0C9B">
            <w:pPr>
              <w:spacing w:after="0" w:line="240" w:lineRule="auto"/>
              <w:jc w:val="right"/>
              <w:rPr>
                <w:rFonts w:ascii="Times New Roman" w:eastAsia="Times New Roman" w:hAnsi="Times New Roman" w:cs="Times New Roman"/>
                <w:color w:val="000000"/>
                <w:kern w:val="0"/>
                <w:sz w:val="16"/>
                <w:szCs w:val="16"/>
                <w:lang w:eastAsia="en-IN"/>
                <w14:ligatures w14:val="none"/>
              </w:rPr>
            </w:pPr>
            <w:r w:rsidRPr="001A0C9B">
              <w:rPr>
                <w:rFonts w:ascii="Times New Roman" w:eastAsia="Times New Roman" w:hAnsi="Times New Roman" w:cs="Times New Roman"/>
                <w:color w:val="000000"/>
                <w:kern w:val="0"/>
                <w:sz w:val="16"/>
                <w:szCs w:val="16"/>
                <w:lang w:eastAsia="en-IN"/>
                <w14:ligatures w14:val="none"/>
              </w:rPr>
              <w:t>1.46</w:t>
            </w:r>
          </w:p>
        </w:tc>
        <w:tc>
          <w:tcPr>
            <w:tcW w:w="754" w:type="dxa"/>
            <w:tcBorders>
              <w:top w:val="nil"/>
              <w:left w:val="nil"/>
              <w:bottom w:val="single" w:sz="4" w:space="0" w:color="auto"/>
              <w:right w:val="single" w:sz="4" w:space="0" w:color="auto"/>
            </w:tcBorders>
            <w:noWrap/>
            <w:vAlign w:val="center"/>
            <w:hideMark/>
          </w:tcPr>
          <w:p w14:paraId="66BD5C7D" w14:textId="77777777" w:rsidR="001A0C9B" w:rsidRPr="001A0C9B" w:rsidRDefault="001A0C9B" w:rsidP="001A0C9B">
            <w:pPr>
              <w:spacing w:after="0" w:line="240" w:lineRule="auto"/>
              <w:jc w:val="right"/>
              <w:rPr>
                <w:rFonts w:ascii="Times New Roman" w:eastAsia="Times New Roman" w:hAnsi="Times New Roman" w:cs="Times New Roman"/>
                <w:color w:val="000000"/>
                <w:kern w:val="0"/>
                <w:sz w:val="16"/>
                <w:szCs w:val="16"/>
                <w:lang w:eastAsia="en-IN"/>
                <w14:ligatures w14:val="none"/>
              </w:rPr>
            </w:pPr>
            <w:r w:rsidRPr="001A0C9B">
              <w:rPr>
                <w:rFonts w:ascii="Times New Roman" w:eastAsia="Times New Roman" w:hAnsi="Times New Roman" w:cs="Times New Roman"/>
                <w:color w:val="000000"/>
                <w:kern w:val="0"/>
                <w:sz w:val="16"/>
                <w:szCs w:val="16"/>
                <w:lang w:eastAsia="en-IN"/>
                <w14:ligatures w14:val="none"/>
              </w:rPr>
              <w:t>168.28</w:t>
            </w:r>
          </w:p>
        </w:tc>
        <w:tc>
          <w:tcPr>
            <w:tcW w:w="723" w:type="dxa"/>
            <w:tcBorders>
              <w:top w:val="nil"/>
              <w:left w:val="nil"/>
              <w:bottom w:val="single" w:sz="4" w:space="0" w:color="auto"/>
              <w:right w:val="single" w:sz="4" w:space="0" w:color="auto"/>
            </w:tcBorders>
            <w:noWrap/>
            <w:vAlign w:val="center"/>
            <w:hideMark/>
          </w:tcPr>
          <w:p w14:paraId="09920958" w14:textId="70182FD6" w:rsidR="001A0C9B" w:rsidRPr="001A0C9B" w:rsidRDefault="001A0C9B" w:rsidP="001A0C9B">
            <w:pPr>
              <w:spacing w:after="0" w:line="240" w:lineRule="auto"/>
              <w:jc w:val="right"/>
              <w:rPr>
                <w:rFonts w:ascii="Times New Roman" w:eastAsia="Times New Roman" w:hAnsi="Times New Roman" w:cs="Times New Roman"/>
                <w:color w:val="000000"/>
                <w:kern w:val="0"/>
                <w:sz w:val="16"/>
                <w:szCs w:val="16"/>
                <w:lang w:eastAsia="en-IN"/>
                <w14:ligatures w14:val="none"/>
              </w:rPr>
            </w:pPr>
            <w:r w:rsidRPr="001A0C9B">
              <w:rPr>
                <w:rFonts w:ascii="Times New Roman" w:eastAsia="Times New Roman" w:hAnsi="Times New Roman" w:cs="Times New Roman"/>
                <w:color w:val="000000"/>
                <w:kern w:val="0"/>
                <w:sz w:val="16"/>
                <w:szCs w:val="16"/>
                <w:lang w:eastAsia="en-IN"/>
                <w14:ligatures w14:val="none"/>
              </w:rPr>
              <w:t>36.5</w:t>
            </w:r>
            <w:r w:rsidR="0063665D">
              <w:rPr>
                <w:rFonts w:ascii="Times New Roman" w:eastAsia="Times New Roman" w:hAnsi="Times New Roman" w:cs="Times New Roman"/>
                <w:color w:val="000000"/>
                <w:kern w:val="0"/>
                <w:sz w:val="16"/>
                <w:szCs w:val="16"/>
                <w:lang w:eastAsia="en-IN"/>
                <w14:ligatures w14:val="none"/>
              </w:rPr>
              <w:t>0</w:t>
            </w:r>
          </w:p>
        </w:tc>
        <w:tc>
          <w:tcPr>
            <w:tcW w:w="754" w:type="dxa"/>
            <w:tcBorders>
              <w:top w:val="nil"/>
              <w:left w:val="nil"/>
              <w:bottom w:val="single" w:sz="4" w:space="0" w:color="auto"/>
              <w:right w:val="single" w:sz="4" w:space="0" w:color="auto"/>
            </w:tcBorders>
            <w:noWrap/>
            <w:vAlign w:val="center"/>
            <w:hideMark/>
          </w:tcPr>
          <w:p w14:paraId="427D37F4" w14:textId="6CD4950B" w:rsidR="001A0C9B" w:rsidRPr="001A0C9B" w:rsidRDefault="001A0C9B" w:rsidP="001A0C9B">
            <w:pPr>
              <w:spacing w:after="0" w:line="240" w:lineRule="auto"/>
              <w:jc w:val="right"/>
              <w:rPr>
                <w:rFonts w:ascii="Times New Roman" w:eastAsia="Times New Roman" w:hAnsi="Times New Roman" w:cs="Times New Roman"/>
                <w:color w:val="000000"/>
                <w:kern w:val="0"/>
                <w:sz w:val="16"/>
                <w:szCs w:val="16"/>
                <w:lang w:eastAsia="en-IN"/>
                <w14:ligatures w14:val="none"/>
              </w:rPr>
            </w:pPr>
            <w:r w:rsidRPr="001A0C9B">
              <w:rPr>
                <w:rFonts w:ascii="Times New Roman" w:eastAsia="Times New Roman" w:hAnsi="Times New Roman" w:cs="Times New Roman"/>
                <w:color w:val="000000"/>
                <w:kern w:val="0"/>
                <w:sz w:val="16"/>
                <w:szCs w:val="16"/>
                <w:lang w:eastAsia="en-IN"/>
                <w14:ligatures w14:val="none"/>
              </w:rPr>
              <w:t>3</w:t>
            </w:r>
            <w:r w:rsidR="0063665D">
              <w:rPr>
                <w:rFonts w:ascii="Times New Roman" w:eastAsia="Times New Roman" w:hAnsi="Times New Roman" w:cs="Times New Roman"/>
                <w:color w:val="000000"/>
                <w:kern w:val="0"/>
                <w:sz w:val="16"/>
                <w:szCs w:val="16"/>
                <w:lang w:eastAsia="en-IN"/>
                <w14:ligatures w14:val="none"/>
              </w:rPr>
              <w:t>.00</w:t>
            </w:r>
          </w:p>
        </w:tc>
        <w:tc>
          <w:tcPr>
            <w:tcW w:w="981" w:type="dxa"/>
            <w:tcBorders>
              <w:top w:val="nil"/>
              <w:left w:val="nil"/>
              <w:bottom w:val="single" w:sz="4" w:space="0" w:color="auto"/>
              <w:right w:val="single" w:sz="4" w:space="0" w:color="auto"/>
            </w:tcBorders>
            <w:noWrap/>
            <w:vAlign w:val="center"/>
            <w:hideMark/>
          </w:tcPr>
          <w:p w14:paraId="58D87450" w14:textId="77777777" w:rsidR="001A0C9B" w:rsidRPr="001A0C9B" w:rsidRDefault="001A0C9B" w:rsidP="001A0C9B">
            <w:pPr>
              <w:spacing w:after="0" w:line="240" w:lineRule="auto"/>
              <w:rPr>
                <w:rFonts w:ascii="Times New Roman" w:eastAsia="Times New Roman" w:hAnsi="Times New Roman" w:cs="Times New Roman"/>
                <w:color w:val="000000"/>
                <w:kern w:val="0"/>
                <w:sz w:val="16"/>
                <w:szCs w:val="16"/>
                <w:lang w:eastAsia="en-IN"/>
                <w14:ligatures w14:val="none"/>
              </w:rPr>
            </w:pPr>
            <w:r w:rsidRPr="001A0C9B">
              <w:rPr>
                <w:rFonts w:ascii="Times New Roman" w:eastAsia="Times New Roman" w:hAnsi="Times New Roman" w:cs="Times New Roman"/>
                <w:color w:val="000000"/>
                <w:kern w:val="0"/>
                <w:sz w:val="16"/>
                <w:szCs w:val="16"/>
                <w:lang w:eastAsia="en-IN"/>
                <w14:ligatures w14:val="none"/>
              </w:rPr>
              <w:t>..</w:t>
            </w:r>
          </w:p>
        </w:tc>
        <w:tc>
          <w:tcPr>
            <w:tcW w:w="754" w:type="dxa"/>
            <w:tcBorders>
              <w:top w:val="nil"/>
              <w:left w:val="nil"/>
              <w:bottom w:val="single" w:sz="4" w:space="0" w:color="auto"/>
              <w:right w:val="single" w:sz="4" w:space="0" w:color="auto"/>
            </w:tcBorders>
            <w:noWrap/>
            <w:vAlign w:val="center"/>
            <w:hideMark/>
          </w:tcPr>
          <w:p w14:paraId="02F317C1" w14:textId="77777777" w:rsidR="001A0C9B" w:rsidRPr="001A0C9B" w:rsidRDefault="001A0C9B" w:rsidP="001A0C9B">
            <w:pPr>
              <w:spacing w:after="0" w:line="240" w:lineRule="auto"/>
              <w:jc w:val="right"/>
              <w:rPr>
                <w:rFonts w:ascii="Times New Roman" w:eastAsia="Times New Roman" w:hAnsi="Times New Roman" w:cs="Times New Roman"/>
                <w:color w:val="000000"/>
                <w:kern w:val="0"/>
                <w:sz w:val="16"/>
                <w:szCs w:val="16"/>
                <w:lang w:eastAsia="en-IN"/>
                <w14:ligatures w14:val="none"/>
              </w:rPr>
            </w:pPr>
            <w:r w:rsidRPr="001A0C9B">
              <w:rPr>
                <w:rFonts w:ascii="Times New Roman" w:eastAsia="Times New Roman" w:hAnsi="Times New Roman" w:cs="Times New Roman"/>
                <w:color w:val="000000"/>
                <w:kern w:val="0"/>
                <w:sz w:val="16"/>
                <w:szCs w:val="16"/>
                <w:lang w:eastAsia="en-IN"/>
                <w14:ligatures w14:val="none"/>
              </w:rPr>
              <w:t>183.87</w:t>
            </w:r>
          </w:p>
        </w:tc>
        <w:tc>
          <w:tcPr>
            <w:tcW w:w="723" w:type="dxa"/>
            <w:tcBorders>
              <w:top w:val="nil"/>
              <w:left w:val="nil"/>
              <w:bottom w:val="single" w:sz="4" w:space="0" w:color="auto"/>
              <w:right w:val="single" w:sz="4" w:space="0" w:color="auto"/>
            </w:tcBorders>
            <w:noWrap/>
            <w:vAlign w:val="center"/>
            <w:hideMark/>
          </w:tcPr>
          <w:p w14:paraId="42E2EFCD" w14:textId="77777777" w:rsidR="001A0C9B" w:rsidRPr="001A0C9B" w:rsidRDefault="001A0C9B" w:rsidP="001A0C9B">
            <w:pPr>
              <w:spacing w:after="0" w:line="240" w:lineRule="auto"/>
              <w:jc w:val="right"/>
              <w:rPr>
                <w:rFonts w:ascii="Times New Roman" w:eastAsia="Times New Roman" w:hAnsi="Times New Roman" w:cs="Times New Roman"/>
                <w:color w:val="000000"/>
                <w:kern w:val="0"/>
                <w:sz w:val="16"/>
                <w:szCs w:val="16"/>
                <w:lang w:eastAsia="en-IN"/>
                <w14:ligatures w14:val="none"/>
              </w:rPr>
            </w:pPr>
            <w:r w:rsidRPr="001A0C9B">
              <w:rPr>
                <w:rFonts w:ascii="Times New Roman" w:eastAsia="Times New Roman" w:hAnsi="Times New Roman" w:cs="Times New Roman"/>
                <w:color w:val="000000"/>
                <w:kern w:val="0"/>
                <w:sz w:val="16"/>
                <w:szCs w:val="16"/>
                <w:lang w:eastAsia="en-IN"/>
                <w14:ligatures w14:val="none"/>
              </w:rPr>
              <w:t>38.57</w:t>
            </w:r>
          </w:p>
        </w:tc>
      </w:tr>
      <w:tr w:rsidR="001A0C9B" w:rsidRPr="001A0C9B" w14:paraId="24B47412" w14:textId="77777777" w:rsidTr="002A11B0">
        <w:trPr>
          <w:trHeight w:val="166"/>
          <w:jc w:val="center"/>
        </w:trPr>
        <w:tc>
          <w:tcPr>
            <w:tcW w:w="1051" w:type="dxa"/>
            <w:tcBorders>
              <w:top w:val="nil"/>
              <w:left w:val="single" w:sz="4" w:space="0" w:color="auto"/>
              <w:bottom w:val="single" w:sz="4" w:space="0" w:color="auto"/>
              <w:right w:val="single" w:sz="4" w:space="0" w:color="auto"/>
            </w:tcBorders>
            <w:noWrap/>
            <w:vAlign w:val="center"/>
            <w:hideMark/>
          </w:tcPr>
          <w:p w14:paraId="4F1A4F2E" w14:textId="77777777" w:rsidR="001A0C9B" w:rsidRPr="001A0C9B" w:rsidRDefault="001A0C9B" w:rsidP="001A0C9B">
            <w:pPr>
              <w:spacing w:after="0" w:line="240" w:lineRule="auto"/>
              <w:rPr>
                <w:rFonts w:ascii="Times New Roman" w:eastAsia="Times New Roman" w:hAnsi="Times New Roman" w:cs="Times New Roman"/>
                <w:color w:val="000000"/>
                <w:kern w:val="0"/>
                <w:sz w:val="16"/>
                <w:szCs w:val="16"/>
                <w:lang w:eastAsia="en-IN"/>
                <w14:ligatures w14:val="none"/>
              </w:rPr>
            </w:pPr>
            <w:r w:rsidRPr="001A0C9B">
              <w:rPr>
                <w:rFonts w:ascii="Times New Roman" w:eastAsia="Times New Roman" w:hAnsi="Times New Roman" w:cs="Times New Roman"/>
                <w:color w:val="000000"/>
                <w:kern w:val="0"/>
                <w:sz w:val="16"/>
                <w:szCs w:val="16"/>
                <w:lang w:eastAsia="en-IN"/>
                <w14:ligatures w14:val="none"/>
              </w:rPr>
              <w:t>Mysore</w:t>
            </w:r>
          </w:p>
        </w:tc>
        <w:tc>
          <w:tcPr>
            <w:tcW w:w="669" w:type="dxa"/>
            <w:tcBorders>
              <w:top w:val="nil"/>
              <w:left w:val="nil"/>
              <w:bottom w:val="single" w:sz="4" w:space="0" w:color="auto"/>
              <w:right w:val="single" w:sz="4" w:space="0" w:color="auto"/>
            </w:tcBorders>
            <w:noWrap/>
            <w:vAlign w:val="center"/>
            <w:hideMark/>
          </w:tcPr>
          <w:p w14:paraId="3F5C73A6" w14:textId="77777777" w:rsidR="001A0C9B" w:rsidRPr="001A0C9B" w:rsidRDefault="001A0C9B" w:rsidP="001A0C9B">
            <w:pPr>
              <w:spacing w:after="0" w:line="240" w:lineRule="auto"/>
              <w:jc w:val="right"/>
              <w:rPr>
                <w:rFonts w:ascii="Times New Roman" w:eastAsia="Times New Roman" w:hAnsi="Times New Roman" w:cs="Times New Roman"/>
                <w:color w:val="000000"/>
                <w:kern w:val="0"/>
                <w:sz w:val="16"/>
                <w:szCs w:val="16"/>
                <w:lang w:eastAsia="en-IN"/>
                <w14:ligatures w14:val="none"/>
              </w:rPr>
            </w:pPr>
            <w:r w:rsidRPr="001A0C9B">
              <w:rPr>
                <w:rFonts w:ascii="Times New Roman" w:eastAsia="Times New Roman" w:hAnsi="Times New Roman" w:cs="Times New Roman"/>
                <w:color w:val="000000"/>
                <w:kern w:val="0"/>
                <w:sz w:val="16"/>
                <w:szCs w:val="16"/>
                <w:lang w:eastAsia="en-IN"/>
                <w14:ligatures w14:val="none"/>
              </w:rPr>
              <w:t>24.42</w:t>
            </w:r>
          </w:p>
        </w:tc>
        <w:tc>
          <w:tcPr>
            <w:tcW w:w="723" w:type="dxa"/>
            <w:tcBorders>
              <w:top w:val="nil"/>
              <w:left w:val="nil"/>
              <w:bottom w:val="single" w:sz="4" w:space="0" w:color="auto"/>
              <w:right w:val="single" w:sz="4" w:space="0" w:color="auto"/>
            </w:tcBorders>
            <w:noWrap/>
            <w:vAlign w:val="center"/>
            <w:hideMark/>
          </w:tcPr>
          <w:p w14:paraId="58CD7C46" w14:textId="77777777" w:rsidR="001A0C9B" w:rsidRPr="001A0C9B" w:rsidRDefault="001A0C9B" w:rsidP="001A0C9B">
            <w:pPr>
              <w:spacing w:after="0" w:line="240" w:lineRule="auto"/>
              <w:jc w:val="right"/>
              <w:rPr>
                <w:rFonts w:ascii="Times New Roman" w:eastAsia="Times New Roman" w:hAnsi="Times New Roman" w:cs="Times New Roman"/>
                <w:color w:val="000000"/>
                <w:kern w:val="0"/>
                <w:sz w:val="16"/>
                <w:szCs w:val="16"/>
                <w:lang w:eastAsia="en-IN"/>
                <w14:ligatures w14:val="none"/>
              </w:rPr>
            </w:pPr>
            <w:r w:rsidRPr="001A0C9B">
              <w:rPr>
                <w:rFonts w:ascii="Times New Roman" w:eastAsia="Times New Roman" w:hAnsi="Times New Roman" w:cs="Times New Roman"/>
                <w:color w:val="000000"/>
                <w:kern w:val="0"/>
                <w:sz w:val="16"/>
                <w:szCs w:val="16"/>
                <w:lang w:eastAsia="en-IN"/>
                <w14:ligatures w14:val="none"/>
              </w:rPr>
              <w:t>10.35</w:t>
            </w:r>
          </w:p>
        </w:tc>
        <w:tc>
          <w:tcPr>
            <w:tcW w:w="773" w:type="dxa"/>
            <w:tcBorders>
              <w:top w:val="nil"/>
              <w:left w:val="nil"/>
              <w:bottom w:val="single" w:sz="4" w:space="0" w:color="auto"/>
              <w:right w:val="single" w:sz="4" w:space="0" w:color="auto"/>
            </w:tcBorders>
            <w:noWrap/>
            <w:vAlign w:val="center"/>
            <w:hideMark/>
          </w:tcPr>
          <w:p w14:paraId="5E256285" w14:textId="7D12E5C3" w:rsidR="001A0C9B" w:rsidRPr="001A0C9B" w:rsidRDefault="001A0C9B" w:rsidP="001A0C9B">
            <w:pPr>
              <w:spacing w:after="0" w:line="240" w:lineRule="auto"/>
              <w:jc w:val="right"/>
              <w:rPr>
                <w:rFonts w:ascii="Times New Roman" w:eastAsia="Times New Roman" w:hAnsi="Times New Roman" w:cs="Times New Roman"/>
                <w:color w:val="000000"/>
                <w:kern w:val="0"/>
                <w:sz w:val="16"/>
                <w:szCs w:val="16"/>
                <w:lang w:eastAsia="en-IN"/>
                <w14:ligatures w14:val="none"/>
              </w:rPr>
            </w:pPr>
            <w:r w:rsidRPr="001A0C9B">
              <w:rPr>
                <w:rFonts w:ascii="Times New Roman" w:eastAsia="Times New Roman" w:hAnsi="Times New Roman" w:cs="Times New Roman"/>
                <w:color w:val="000000"/>
                <w:kern w:val="0"/>
                <w:sz w:val="16"/>
                <w:szCs w:val="16"/>
                <w:lang w:eastAsia="en-IN"/>
                <w14:ligatures w14:val="none"/>
              </w:rPr>
              <w:t>42</w:t>
            </w:r>
            <w:r w:rsidR="0063665D">
              <w:rPr>
                <w:rFonts w:ascii="Times New Roman" w:eastAsia="Times New Roman" w:hAnsi="Times New Roman" w:cs="Times New Roman"/>
                <w:color w:val="000000"/>
                <w:kern w:val="0"/>
                <w:sz w:val="16"/>
                <w:szCs w:val="16"/>
                <w:lang w:eastAsia="en-IN"/>
                <w14:ligatures w14:val="none"/>
              </w:rPr>
              <w:t>.00</w:t>
            </w:r>
          </w:p>
        </w:tc>
        <w:tc>
          <w:tcPr>
            <w:tcW w:w="981" w:type="dxa"/>
            <w:tcBorders>
              <w:top w:val="nil"/>
              <w:left w:val="nil"/>
              <w:bottom w:val="single" w:sz="4" w:space="0" w:color="auto"/>
              <w:right w:val="single" w:sz="4" w:space="0" w:color="auto"/>
            </w:tcBorders>
            <w:noWrap/>
            <w:vAlign w:val="center"/>
            <w:hideMark/>
          </w:tcPr>
          <w:p w14:paraId="5B416108" w14:textId="77777777" w:rsidR="001A0C9B" w:rsidRPr="001A0C9B" w:rsidRDefault="001A0C9B" w:rsidP="001A0C9B">
            <w:pPr>
              <w:spacing w:after="0" w:line="240" w:lineRule="auto"/>
              <w:jc w:val="right"/>
              <w:rPr>
                <w:rFonts w:ascii="Times New Roman" w:eastAsia="Times New Roman" w:hAnsi="Times New Roman" w:cs="Times New Roman"/>
                <w:color w:val="000000"/>
                <w:kern w:val="0"/>
                <w:sz w:val="16"/>
                <w:szCs w:val="16"/>
                <w:lang w:eastAsia="en-IN"/>
                <w14:ligatures w14:val="none"/>
              </w:rPr>
            </w:pPr>
            <w:r w:rsidRPr="001A0C9B">
              <w:rPr>
                <w:rFonts w:ascii="Times New Roman" w:eastAsia="Times New Roman" w:hAnsi="Times New Roman" w:cs="Times New Roman"/>
                <w:color w:val="000000"/>
                <w:kern w:val="0"/>
                <w:sz w:val="16"/>
                <w:szCs w:val="16"/>
                <w:lang w:eastAsia="en-IN"/>
                <w14:ligatures w14:val="none"/>
              </w:rPr>
              <w:t>38.31</w:t>
            </w:r>
          </w:p>
        </w:tc>
        <w:tc>
          <w:tcPr>
            <w:tcW w:w="669" w:type="dxa"/>
            <w:tcBorders>
              <w:top w:val="nil"/>
              <w:left w:val="nil"/>
              <w:bottom w:val="single" w:sz="4" w:space="0" w:color="auto"/>
              <w:right w:val="single" w:sz="4" w:space="0" w:color="auto"/>
            </w:tcBorders>
            <w:noWrap/>
            <w:vAlign w:val="center"/>
            <w:hideMark/>
          </w:tcPr>
          <w:p w14:paraId="76344C24" w14:textId="77777777" w:rsidR="001A0C9B" w:rsidRPr="001A0C9B" w:rsidRDefault="001A0C9B" w:rsidP="001A0C9B">
            <w:pPr>
              <w:spacing w:after="0" w:line="240" w:lineRule="auto"/>
              <w:jc w:val="right"/>
              <w:rPr>
                <w:rFonts w:ascii="Times New Roman" w:eastAsia="Times New Roman" w:hAnsi="Times New Roman" w:cs="Times New Roman"/>
                <w:color w:val="000000"/>
                <w:kern w:val="0"/>
                <w:sz w:val="16"/>
                <w:szCs w:val="16"/>
                <w:lang w:eastAsia="en-IN"/>
                <w14:ligatures w14:val="none"/>
              </w:rPr>
            </w:pPr>
            <w:r w:rsidRPr="001A0C9B">
              <w:rPr>
                <w:rFonts w:ascii="Times New Roman" w:eastAsia="Times New Roman" w:hAnsi="Times New Roman" w:cs="Times New Roman"/>
                <w:color w:val="000000"/>
                <w:kern w:val="0"/>
                <w:sz w:val="16"/>
                <w:szCs w:val="16"/>
                <w:lang w:eastAsia="en-IN"/>
                <w14:ligatures w14:val="none"/>
              </w:rPr>
              <w:t>46.48</w:t>
            </w:r>
          </w:p>
        </w:tc>
        <w:tc>
          <w:tcPr>
            <w:tcW w:w="679" w:type="dxa"/>
            <w:tcBorders>
              <w:top w:val="nil"/>
              <w:left w:val="nil"/>
              <w:bottom w:val="single" w:sz="4" w:space="0" w:color="auto"/>
              <w:right w:val="single" w:sz="4" w:space="0" w:color="auto"/>
            </w:tcBorders>
            <w:noWrap/>
            <w:vAlign w:val="center"/>
            <w:hideMark/>
          </w:tcPr>
          <w:p w14:paraId="4F59F1EB" w14:textId="77777777" w:rsidR="001A0C9B" w:rsidRPr="001A0C9B" w:rsidRDefault="001A0C9B" w:rsidP="001A0C9B">
            <w:pPr>
              <w:spacing w:after="0" w:line="240" w:lineRule="auto"/>
              <w:jc w:val="right"/>
              <w:rPr>
                <w:rFonts w:ascii="Times New Roman" w:eastAsia="Times New Roman" w:hAnsi="Times New Roman" w:cs="Times New Roman"/>
                <w:color w:val="000000"/>
                <w:kern w:val="0"/>
                <w:sz w:val="16"/>
                <w:szCs w:val="16"/>
                <w:lang w:eastAsia="en-IN"/>
                <w14:ligatures w14:val="none"/>
              </w:rPr>
            </w:pPr>
            <w:r w:rsidRPr="001A0C9B">
              <w:rPr>
                <w:rFonts w:ascii="Times New Roman" w:eastAsia="Times New Roman" w:hAnsi="Times New Roman" w:cs="Times New Roman"/>
                <w:color w:val="000000"/>
                <w:kern w:val="0"/>
                <w:sz w:val="16"/>
                <w:szCs w:val="16"/>
                <w:lang w:eastAsia="en-IN"/>
                <w14:ligatures w14:val="none"/>
              </w:rPr>
              <w:t>17.84</w:t>
            </w:r>
          </w:p>
        </w:tc>
        <w:tc>
          <w:tcPr>
            <w:tcW w:w="773" w:type="dxa"/>
            <w:tcBorders>
              <w:top w:val="nil"/>
              <w:left w:val="nil"/>
              <w:bottom w:val="single" w:sz="4" w:space="0" w:color="auto"/>
              <w:right w:val="single" w:sz="4" w:space="0" w:color="auto"/>
            </w:tcBorders>
            <w:noWrap/>
            <w:vAlign w:val="center"/>
            <w:hideMark/>
          </w:tcPr>
          <w:p w14:paraId="48A2B37D" w14:textId="77777777" w:rsidR="001A0C9B" w:rsidRPr="001A0C9B" w:rsidRDefault="001A0C9B" w:rsidP="001A0C9B">
            <w:pPr>
              <w:spacing w:after="0" w:line="240" w:lineRule="auto"/>
              <w:jc w:val="right"/>
              <w:rPr>
                <w:rFonts w:ascii="Times New Roman" w:eastAsia="Times New Roman" w:hAnsi="Times New Roman" w:cs="Times New Roman"/>
                <w:color w:val="000000"/>
                <w:kern w:val="0"/>
                <w:sz w:val="16"/>
                <w:szCs w:val="16"/>
                <w:lang w:eastAsia="en-IN"/>
                <w14:ligatures w14:val="none"/>
              </w:rPr>
            </w:pPr>
            <w:r w:rsidRPr="001A0C9B">
              <w:rPr>
                <w:rFonts w:ascii="Times New Roman" w:eastAsia="Times New Roman" w:hAnsi="Times New Roman" w:cs="Times New Roman"/>
                <w:color w:val="000000"/>
                <w:kern w:val="0"/>
                <w:sz w:val="16"/>
                <w:szCs w:val="16"/>
                <w:lang w:eastAsia="en-IN"/>
                <w14:ligatures w14:val="none"/>
              </w:rPr>
              <w:t>7.75</w:t>
            </w:r>
          </w:p>
        </w:tc>
        <w:tc>
          <w:tcPr>
            <w:tcW w:w="981" w:type="dxa"/>
            <w:tcBorders>
              <w:top w:val="nil"/>
              <w:left w:val="nil"/>
              <w:bottom w:val="single" w:sz="4" w:space="0" w:color="auto"/>
              <w:right w:val="single" w:sz="4" w:space="0" w:color="auto"/>
            </w:tcBorders>
            <w:noWrap/>
            <w:vAlign w:val="center"/>
            <w:hideMark/>
          </w:tcPr>
          <w:p w14:paraId="24CCAA90" w14:textId="77777777" w:rsidR="001A0C9B" w:rsidRPr="001A0C9B" w:rsidRDefault="001A0C9B" w:rsidP="001A0C9B">
            <w:pPr>
              <w:spacing w:after="0" w:line="240" w:lineRule="auto"/>
              <w:jc w:val="right"/>
              <w:rPr>
                <w:rFonts w:ascii="Times New Roman" w:eastAsia="Times New Roman" w:hAnsi="Times New Roman" w:cs="Times New Roman"/>
                <w:color w:val="000000"/>
                <w:kern w:val="0"/>
                <w:sz w:val="16"/>
                <w:szCs w:val="16"/>
                <w:lang w:eastAsia="en-IN"/>
                <w14:ligatures w14:val="none"/>
              </w:rPr>
            </w:pPr>
            <w:r w:rsidRPr="001A0C9B">
              <w:rPr>
                <w:rFonts w:ascii="Times New Roman" w:eastAsia="Times New Roman" w:hAnsi="Times New Roman" w:cs="Times New Roman"/>
                <w:color w:val="000000"/>
                <w:kern w:val="0"/>
                <w:sz w:val="16"/>
                <w:szCs w:val="16"/>
                <w:lang w:eastAsia="en-IN"/>
                <w14:ligatures w14:val="none"/>
              </w:rPr>
              <w:t>0.52</w:t>
            </w:r>
          </w:p>
        </w:tc>
        <w:tc>
          <w:tcPr>
            <w:tcW w:w="782" w:type="dxa"/>
            <w:tcBorders>
              <w:top w:val="nil"/>
              <w:left w:val="nil"/>
              <w:bottom w:val="single" w:sz="4" w:space="0" w:color="auto"/>
              <w:right w:val="single" w:sz="4" w:space="0" w:color="auto"/>
            </w:tcBorders>
            <w:noWrap/>
            <w:vAlign w:val="center"/>
            <w:hideMark/>
          </w:tcPr>
          <w:p w14:paraId="5AB81C38" w14:textId="77777777" w:rsidR="001A0C9B" w:rsidRPr="001A0C9B" w:rsidRDefault="001A0C9B" w:rsidP="001A0C9B">
            <w:pPr>
              <w:spacing w:after="0" w:line="240" w:lineRule="auto"/>
              <w:jc w:val="right"/>
              <w:rPr>
                <w:rFonts w:ascii="Times New Roman" w:eastAsia="Times New Roman" w:hAnsi="Times New Roman" w:cs="Times New Roman"/>
                <w:color w:val="000000"/>
                <w:kern w:val="0"/>
                <w:sz w:val="16"/>
                <w:szCs w:val="16"/>
                <w:lang w:eastAsia="en-IN"/>
                <w14:ligatures w14:val="none"/>
              </w:rPr>
            </w:pPr>
            <w:r w:rsidRPr="001A0C9B">
              <w:rPr>
                <w:rFonts w:ascii="Times New Roman" w:eastAsia="Times New Roman" w:hAnsi="Times New Roman" w:cs="Times New Roman"/>
                <w:color w:val="000000"/>
                <w:kern w:val="0"/>
                <w:sz w:val="16"/>
                <w:szCs w:val="16"/>
                <w:lang w:eastAsia="en-IN"/>
                <w14:ligatures w14:val="none"/>
              </w:rPr>
              <w:t>53.01</w:t>
            </w:r>
          </w:p>
        </w:tc>
        <w:tc>
          <w:tcPr>
            <w:tcW w:w="723" w:type="dxa"/>
            <w:tcBorders>
              <w:top w:val="nil"/>
              <w:left w:val="nil"/>
              <w:bottom w:val="single" w:sz="4" w:space="0" w:color="auto"/>
              <w:right w:val="single" w:sz="4" w:space="0" w:color="auto"/>
            </w:tcBorders>
            <w:noWrap/>
            <w:vAlign w:val="center"/>
            <w:hideMark/>
          </w:tcPr>
          <w:p w14:paraId="641F7C3D" w14:textId="77777777" w:rsidR="001A0C9B" w:rsidRPr="001A0C9B" w:rsidRDefault="001A0C9B" w:rsidP="001A0C9B">
            <w:pPr>
              <w:spacing w:after="0" w:line="240" w:lineRule="auto"/>
              <w:jc w:val="right"/>
              <w:rPr>
                <w:rFonts w:ascii="Times New Roman" w:eastAsia="Times New Roman" w:hAnsi="Times New Roman" w:cs="Times New Roman"/>
                <w:color w:val="000000"/>
                <w:kern w:val="0"/>
                <w:sz w:val="16"/>
                <w:szCs w:val="16"/>
                <w:lang w:eastAsia="en-IN"/>
                <w14:ligatures w14:val="none"/>
              </w:rPr>
            </w:pPr>
            <w:r w:rsidRPr="001A0C9B">
              <w:rPr>
                <w:rFonts w:ascii="Times New Roman" w:eastAsia="Times New Roman" w:hAnsi="Times New Roman" w:cs="Times New Roman"/>
                <w:color w:val="000000"/>
                <w:kern w:val="0"/>
                <w:sz w:val="16"/>
                <w:szCs w:val="16"/>
                <w:lang w:eastAsia="en-IN"/>
                <w14:ligatures w14:val="none"/>
              </w:rPr>
              <w:t>19.87</w:t>
            </w:r>
          </w:p>
        </w:tc>
        <w:tc>
          <w:tcPr>
            <w:tcW w:w="741" w:type="dxa"/>
            <w:tcBorders>
              <w:top w:val="nil"/>
              <w:left w:val="nil"/>
              <w:bottom w:val="single" w:sz="4" w:space="0" w:color="auto"/>
              <w:right w:val="single" w:sz="4" w:space="0" w:color="auto"/>
            </w:tcBorders>
            <w:noWrap/>
            <w:vAlign w:val="center"/>
            <w:hideMark/>
          </w:tcPr>
          <w:p w14:paraId="26EE1F95" w14:textId="7B492077" w:rsidR="001A0C9B" w:rsidRPr="001A0C9B" w:rsidRDefault="001A0C9B" w:rsidP="001A0C9B">
            <w:pPr>
              <w:spacing w:after="0" w:line="240" w:lineRule="auto"/>
              <w:jc w:val="right"/>
              <w:rPr>
                <w:rFonts w:ascii="Times New Roman" w:eastAsia="Times New Roman" w:hAnsi="Times New Roman" w:cs="Times New Roman"/>
                <w:color w:val="000000"/>
                <w:kern w:val="0"/>
                <w:sz w:val="16"/>
                <w:szCs w:val="16"/>
                <w:lang w:eastAsia="en-IN"/>
                <w14:ligatures w14:val="none"/>
              </w:rPr>
            </w:pPr>
            <w:r w:rsidRPr="001A0C9B">
              <w:rPr>
                <w:rFonts w:ascii="Times New Roman" w:eastAsia="Times New Roman" w:hAnsi="Times New Roman" w:cs="Times New Roman"/>
                <w:color w:val="000000"/>
                <w:kern w:val="0"/>
                <w:sz w:val="16"/>
                <w:szCs w:val="16"/>
                <w:lang w:eastAsia="en-IN"/>
                <w14:ligatures w14:val="none"/>
              </w:rPr>
              <w:t>3.5</w:t>
            </w:r>
            <w:r w:rsidR="0063665D">
              <w:rPr>
                <w:rFonts w:ascii="Times New Roman" w:eastAsia="Times New Roman" w:hAnsi="Times New Roman" w:cs="Times New Roman"/>
                <w:color w:val="000000"/>
                <w:kern w:val="0"/>
                <w:sz w:val="16"/>
                <w:szCs w:val="16"/>
                <w:lang w:eastAsia="en-IN"/>
                <w14:ligatures w14:val="none"/>
              </w:rPr>
              <w:t>0</w:t>
            </w:r>
          </w:p>
        </w:tc>
        <w:tc>
          <w:tcPr>
            <w:tcW w:w="981" w:type="dxa"/>
            <w:tcBorders>
              <w:top w:val="nil"/>
              <w:left w:val="nil"/>
              <w:bottom w:val="single" w:sz="4" w:space="0" w:color="auto"/>
              <w:right w:val="single" w:sz="4" w:space="0" w:color="auto"/>
            </w:tcBorders>
            <w:noWrap/>
            <w:vAlign w:val="center"/>
            <w:hideMark/>
          </w:tcPr>
          <w:p w14:paraId="183E4E6E" w14:textId="3F6F6ED7" w:rsidR="001A0C9B" w:rsidRPr="001A0C9B" w:rsidRDefault="001A0C9B" w:rsidP="001A0C9B">
            <w:pPr>
              <w:spacing w:after="0" w:line="240" w:lineRule="auto"/>
              <w:jc w:val="right"/>
              <w:rPr>
                <w:rFonts w:ascii="Times New Roman" w:eastAsia="Times New Roman" w:hAnsi="Times New Roman" w:cs="Times New Roman"/>
                <w:color w:val="000000"/>
                <w:kern w:val="0"/>
                <w:sz w:val="16"/>
                <w:szCs w:val="16"/>
                <w:lang w:eastAsia="en-IN"/>
                <w14:ligatures w14:val="none"/>
              </w:rPr>
            </w:pPr>
            <w:r w:rsidRPr="001A0C9B">
              <w:rPr>
                <w:rFonts w:ascii="Times New Roman" w:eastAsia="Times New Roman" w:hAnsi="Times New Roman" w:cs="Times New Roman"/>
                <w:color w:val="000000"/>
                <w:kern w:val="0"/>
                <w:sz w:val="16"/>
                <w:szCs w:val="16"/>
                <w:lang w:eastAsia="en-IN"/>
                <w14:ligatures w14:val="none"/>
              </w:rPr>
              <w:t>2.5</w:t>
            </w:r>
            <w:r w:rsidR="0063665D">
              <w:rPr>
                <w:rFonts w:ascii="Times New Roman" w:eastAsia="Times New Roman" w:hAnsi="Times New Roman" w:cs="Times New Roman"/>
                <w:color w:val="000000"/>
                <w:kern w:val="0"/>
                <w:sz w:val="16"/>
                <w:szCs w:val="16"/>
                <w:lang w:eastAsia="en-IN"/>
                <w14:ligatures w14:val="none"/>
              </w:rPr>
              <w:t>0</w:t>
            </w:r>
          </w:p>
        </w:tc>
        <w:tc>
          <w:tcPr>
            <w:tcW w:w="754" w:type="dxa"/>
            <w:tcBorders>
              <w:top w:val="nil"/>
              <w:left w:val="nil"/>
              <w:bottom w:val="single" w:sz="4" w:space="0" w:color="auto"/>
              <w:right w:val="single" w:sz="4" w:space="0" w:color="auto"/>
            </w:tcBorders>
            <w:noWrap/>
            <w:vAlign w:val="center"/>
            <w:hideMark/>
          </w:tcPr>
          <w:p w14:paraId="29538763" w14:textId="4EAA2D85" w:rsidR="001A0C9B" w:rsidRPr="001A0C9B" w:rsidRDefault="001A0C9B" w:rsidP="001A0C9B">
            <w:pPr>
              <w:spacing w:after="0" w:line="240" w:lineRule="auto"/>
              <w:jc w:val="right"/>
              <w:rPr>
                <w:rFonts w:ascii="Times New Roman" w:eastAsia="Times New Roman" w:hAnsi="Times New Roman" w:cs="Times New Roman"/>
                <w:color w:val="000000"/>
                <w:kern w:val="0"/>
                <w:sz w:val="16"/>
                <w:szCs w:val="16"/>
                <w:lang w:eastAsia="en-IN"/>
                <w14:ligatures w14:val="none"/>
              </w:rPr>
            </w:pPr>
            <w:r w:rsidRPr="001A0C9B">
              <w:rPr>
                <w:rFonts w:ascii="Times New Roman" w:eastAsia="Times New Roman" w:hAnsi="Times New Roman" w:cs="Times New Roman"/>
                <w:color w:val="000000"/>
                <w:kern w:val="0"/>
                <w:sz w:val="16"/>
                <w:szCs w:val="16"/>
                <w:lang w:eastAsia="en-IN"/>
                <w14:ligatures w14:val="none"/>
              </w:rPr>
              <w:t>63.1</w:t>
            </w:r>
            <w:r w:rsidR="0063665D">
              <w:rPr>
                <w:rFonts w:ascii="Times New Roman" w:eastAsia="Times New Roman" w:hAnsi="Times New Roman" w:cs="Times New Roman"/>
                <w:color w:val="000000"/>
                <w:kern w:val="0"/>
                <w:sz w:val="16"/>
                <w:szCs w:val="16"/>
                <w:lang w:eastAsia="en-IN"/>
                <w14:ligatures w14:val="none"/>
              </w:rPr>
              <w:t>0</w:t>
            </w:r>
          </w:p>
        </w:tc>
        <w:tc>
          <w:tcPr>
            <w:tcW w:w="723" w:type="dxa"/>
            <w:tcBorders>
              <w:top w:val="nil"/>
              <w:left w:val="nil"/>
              <w:bottom w:val="single" w:sz="4" w:space="0" w:color="auto"/>
              <w:right w:val="single" w:sz="4" w:space="0" w:color="auto"/>
            </w:tcBorders>
            <w:noWrap/>
            <w:vAlign w:val="center"/>
            <w:hideMark/>
          </w:tcPr>
          <w:p w14:paraId="047DA800" w14:textId="77777777" w:rsidR="001A0C9B" w:rsidRPr="001A0C9B" w:rsidRDefault="001A0C9B" w:rsidP="001A0C9B">
            <w:pPr>
              <w:spacing w:after="0" w:line="240" w:lineRule="auto"/>
              <w:jc w:val="right"/>
              <w:rPr>
                <w:rFonts w:ascii="Times New Roman" w:eastAsia="Times New Roman" w:hAnsi="Times New Roman" w:cs="Times New Roman"/>
                <w:color w:val="000000"/>
                <w:kern w:val="0"/>
                <w:sz w:val="16"/>
                <w:szCs w:val="16"/>
                <w:lang w:eastAsia="en-IN"/>
                <w14:ligatures w14:val="none"/>
              </w:rPr>
            </w:pPr>
            <w:r w:rsidRPr="001A0C9B">
              <w:rPr>
                <w:rFonts w:ascii="Times New Roman" w:eastAsia="Times New Roman" w:hAnsi="Times New Roman" w:cs="Times New Roman"/>
                <w:color w:val="000000"/>
                <w:kern w:val="0"/>
                <w:sz w:val="16"/>
                <w:szCs w:val="16"/>
                <w:lang w:eastAsia="en-IN"/>
                <w14:ligatures w14:val="none"/>
              </w:rPr>
              <w:t>23.28</w:t>
            </w:r>
          </w:p>
        </w:tc>
        <w:tc>
          <w:tcPr>
            <w:tcW w:w="754" w:type="dxa"/>
            <w:tcBorders>
              <w:top w:val="nil"/>
              <w:left w:val="nil"/>
              <w:bottom w:val="single" w:sz="4" w:space="0" w:color="auto"/>
              <w:right w:val="single" w:sz="4" w:space="0" w:color="auto"/>
            </w:tcBorders>
            <w:noWrap/>
            <w:vAlign w:val="center"/>
            <w:hideMark/>
          </w:tcPr>
          <w:p w14:paraId="63A2C2F7" w14:textId="77777777" w:rsidR="001A0C9B" w:rsidRPr="001A0C9B" w:rsidRDefault="001A0C9B" w:rsidP="001A0C9B">
            <w:pPr>
              <w:spacing w:after="0" w:line="240" w:lineRule="auto"/>
              <w:rPr>
                <w:rFonts w:ascii="Times New Roman" w:eastAsia="Times New Roman" w:hAnsi="Times New Roman" w:cs="Times New Roman"/>
                <w:color w:val="000000"/>
                <w:kern w:val="0"/>
                <w:sz w:val="16"/>
                <w:szCs w:val="16"/>
                <w:lang w:eastAsia="en-IN"/>
                <w14:ligatures w14:val="none"/>
              </w:rPr>
            </w:pPr>
            <w:r w:rsidRPr="001A0C9B">
              <w:rPr>
                <w:rFonts w:ascii="Times New Roman" w:eastAsia="Times New Roman" w:hAnsi="Times New Roman" w:cs="Times New Roman"/>
                <w:color w:val="000000"/>
                <w:kern w:val="0"/>
                <w:sz w:val="16"/>
                <w:szCs w:val="16"/>
                <w:lang w:eastAsia="en-IN"/>
                <w14:ligatures w14:val="none"/>
              </w:rPr>
              <w:t>..</w:t>
            </w:r>
          </w:p>
        </w:tc>
        <w:tc>
          <w:tcPr>
            <w:tcW w:w="981" w:type="dxa"/>
            <w:tcBorders>
              <w:top w:val="nil"/>
              <w:left w:val="nil"/>
              <w:bottom w:val="single" w:sz="4" w:space="0" w:color="auto"/>
              <w:right w:val="single" w:sz="4" w:space="0" w:color="auto"/>
            </w:tcBorders>
            <w:noWrap/>
            <w:vAlign w:val="center"/>
            <w:hideMark/>
          </w:tcPr>
          <w:p w14:paraId="761E7C0E" w14:textId="77777777" w:rsidR="001A0C9B" w:rsidRPr="001A0C9B" w:rsidRDefault="001A0C9B" w:rsidP="001A0C9B">
            <w:pPr>
              <w:spacing w:after="0" w:line="240" w:lineRule="auto"/>
              <w:rPr>
                <w:rFonts w:ascii="Times New Roman" w:eastAsia="Times New Roman" w:hAnsi="Times New Roman" w:cs="Times New Roman"/>
                <w:color w:val="000000"/>
                <w:kern w:val="0"/>
                <w:sz w:val="16"/>
                <w:szCs w:val="16"/>
                <w:lang w:eastAsia="en-IN"/>
                <w14:ligatures w14:val="none"/>
              </w:rPr>
            </w:pPr>
            <w:r w:rsidRPr="001A0C9B">
              <w:rPr>
                <w:rFonts w:ascii="Times New Roman" w:eastAsia="Times New Roman" w:hAnsi="Times New Roman" w:cs="Times New Roman"/>
                <w:color w:val="000000"/>
                <w:kern w:val="0"/>
                <w:sz w:val="16"/>
                <w:szCs w:val="16"/>
                <w:lang w:eastAsia="en-IN"/>
                <w14:ligatures w14:val="none"/>
              </w:rPr>
              <w:t>..</w:t>
            </w:r>
          </w:p>
        </w:tc>
        <w:tc>
          <w:tcPr>
            <w:tcW w:w="754" w:type="dxa"/>
            <w:tcBorders>
              <w:top w:val="nil"/>
              <w:left w:val="nil"/>
              <w:bottom w:val="single" w:sz="4" w:space="0" w:color="auto"/>
              <w:right w:val="single" w:sz="4" w:space="0" w:color="auto"/>
            </w:tcBorders>
            <w:noWrap/>
            <w:vAlign w:val="center"/>
            <w:hideMark/>
          </w:tcPr>
          <w:p w14:paraId="0A8A2EBC" w14:textId="77777777" w:rsidR="001A0C9B" w:rsidRPr="001A0C9B" w:rsidRDefault="001A0C9B" w:rsidP="001A0C9B">
            <w:pPr>
              <w:spacing w:after="0" w:line="240" w:lineRule="auto"/>
              <w:jc w:val="right"/>
              <w:rPr>
                <w:rFonts w:ascii="Times New Roman" w:eastAsia="Times New Roman" w:hAnsi="Times New Roman" w:cs="Times New Roman"/>
                <w:color w:val="000000"/>
                <w:kern w:val="0"/>
                <w:sz w:val="16"/>
                <w:szCs w:val="16"/>
                <w:lang w:eastAsia="en-IN"/>
                <w14:ligatures w14:val="none"/>
              </w:rPr>
            </w:pPr>
            <w:r w:rsidRPr="001A0C9B">
              <w:rPr>
                <w:rFonts w:ascii="Times New Roman" w:eastAsia="Times New Roman" w:hAnsi="Times New Roman" w:cs="Times New Roman"/>
                <w:color w:val="000000"/>
                <w:kern w:val="0"/>
                <w:sz w:val="16"/>
                <w:szCs w:val="16"/>
                <w:lang w:eastAsia="en-IN"/>
                <w14:ligatures w14:val="none"/>
              </w:rPr>
              <w:t>73.72</w:t>
            </w:r>
          </w:p>
        </w:tc>
        <w:tc>
          <w:tcPr>
            <w:tcW w:w="723" w:type="dxa"/>
            <w:tcBorders>
              <w:top w:val="nil"/>
              <w:left w:val="nil"/>
              <w:bottom w:val="single" w:sz="4" w:space="0" w:color="auto"/>
              <w:right w:val="single" w:sz="4" w:space="0" w:color="auto"/>
            </w:tcBorders>
            <w:noWrap/>
            <w:vAlign w:val="center"/>
            <w:hideMark/>
          </w:tcPr>
          <w:p w14:paraId="722F8955" w14:textId="77777777" w:rsidR="001A0C9B" w:rsidRPr="001A0C9B" w:rsidRDefault="001A0C9B" w:rsidP="001A0C9B">
            <w:pPr>
              <w:spacing w:after="0" w:line="240" w:lineRule="auto"/>
              <w:jc w:val="right"/>
              <w:rPr>
                <w:rFonts w:ascii="Times New Roman" w:eastAsia="Times New Roman" w:hAnsi="Times New Roman" w:cs="Times New Roman"/>
                <w:color w:val="000000"/>
                <w:kern w:val="0"/>
                <w:sz w:val="16"/>
                <w:szCs w:val="16"/>
                <w:lang w:eastAsia="en-IN"/>
                <w14:ligatures w14:val="none"/>
              </w:rPr>
            </w:pPr>
            <w:r w:rsidRPr="001A0C9B">
              <w:rPr>
                <w:rFonts w:ascii="Times New Roman" w:eastAsia="Times New Roman" w:hAnsi="Times New Roman" w:cs="Times New Roman"/>
                <w:color w:val="000000"/>
                <w:kern w:val="0"/>
                <w:sz w:val="16"/>
                <w:szCs w:val="16"/>
                <w:lang w:eastAsia="en-IN"/>
                <w14:ligatures w14:val="none"/>
              </w:rPr>
              <w:t>26.34</w:t>
            </w:r>
          </w:p>
        </w:tc>
      </w:tr>
      <w:tr w:rsidR="001A0C9B" w:rsidRPr="001A0C9B" w14:paraId="4E5C78E3" w14:textId="77777777" w:rsidTr="002A11B0">
        <w:trPr>
          <w:trHeight w:val="166"/>
          <w:jc w:val="center"/>
        </w:trPr>
        <w:tc>
          <w:tcPr>
            <w:tcW w:w="1051" w:type="dxa"/>
            <w:tcBorders>
              <w:top w:val="nil"/>
              <w:left w:val="single" w:sz="4" w:space="0" w:color="auto"/>
              <w:bottom w:val="single" w:sz="4" w:space="0" w:color="auto"/>
              <w:right w:val="single" w:sz="4" w:space="0" w:color="auto"/>
            </w:tcBorders>
            <w:noWrap/>
            <w:vAlign w:val="center"/>
            <w:hideMark/>
          </w:tcPr>
          <w:p w14:paraId="39D5A97C" w14:textId="77777777" w:rsidR="001A0C9B" w:rsidRPr="001A0C9B" w:rsidRDefault="001A0C9B" w:rsidP="001A0C9B">
            <w:pPr>
              <w:spacing w:after="0" w:line="240" w:lineRule="auto"/>
              <w:rPr>
                <w:rFonts w:ascii="Times New Roman" w:eastAsia="Times New Roman" w:hAnsi="Times New Roman" w:cs="Times New Roman"/>
                <w:color w:val="000000"/>
                <w:kern w:val="0"/>
                <w:sz w:val="16"/>
                <w:szCs w:val="16"/>
                <w:lang w:eastAsia="en-IN"/>
                <w14:ligatures w14:val="none"/>
              </w:rPr>
            </w:pPr>
            <w:r w:rsidRPr="001A0C9B">
              <w:rPr>
                <w:rFonts w:ascii="Times New Roman" w:eastAsia="Times New Roman" w:hAnsi="Times New Roman" w:cs="Times New Roman"/>
                <w:color w:val="000000"/>
                <w:kern w:val="0"/>
                <w:sz w:val="16"/>
                <w:szCs w:val="16"/>
                <w:lang w:eastAsia="en-IN"/>
                <w14:ligatures w14:val="none"/>
              </w:rPr>
              <w:t>Nagaland</w:t>
            </w:r>
          </w:p>
        </w:tc>
        <w:tc>
          <w:tcPr>
            <w:tcW w:w="669" w:type="dxa"/>
            <w:tcBorders>
              <w:top w:val="nil"/>
              <w:left w:val="nil"/>
              <w:bottom w:val="single" w:sz="4" w:space="0" w:color="auto"/>
              <w:right w:val="single" w:sz="4" w:space="0" w:color="auto"/>
            </w:tcBorders>
            <w:noWrap/>
            <w:vAlign w:val="center"/>
            <w:hideMark/>
          </w:tcPr>
          <w:p w14:paraId="54D3D6CF" w14:textId="77777777" w:rsidR="001A0C9B" w:rsidRPr="001A0C9B" w:rsidRDefault="001A0C9B" w:rsidP="001A0C9B">
            <w:pPr>
              <w:spacing w:after="0" w:line="240" w:lineRule="auto"/>
              <w:rPr>
                <w:rFonts w:ascii="Times New Roman" w:eastAsia="Times New Roman" w:hAnsi="Times New Roman" w:cs="Times New Roman"/>
                <w:color w:val="000000"/>
                <w:kern w:val="0"/>
                <w:sz w:val="16"/>
                <w:szCs w:val="16"/>
                <w:lang w:eastAsia="en-IN"/>
                <w14:ligatures w14:val="none"/>
              </w:rPr>
            </w:pPr>
            <w:r w:rsidRPr="001A0C9B">
              <w:rPr>
                <w:rFonts w:ascii="Times New Roman" w:eastAsia="Times New Roman" w:hAnsi="Times New Roman" w:cs="Times New Roman"/>
                <w:color w:val="000000"/>
                <w:kern w:val="0"/>
                <w:sz w:val="16"/>
                <w:szCs w:val="16"/>
                <w:lang w:eastAsia="en-IN"/>
                <w14:ligatures w14:val="none"/>
              </w:rPr>
              <w:t>..</w:t>
            </w:r>
          </w:p>
        </w:tc>
        <w:tc>
          <w:tcPr>
            <w:tcW w:w="723" w:type="dxa"/>
            <w:tcBorders>
              <w:top w:val="nil"/>
              <w:left w:val="nil"/>
              <w:bottom w:val="single" w:sz="4" w:space="0" w:color="auto"/>
              <w:right w:val="single" w:sz="4" w:space="0" w:color="auto"/>
            </w:tcBorders>
            <w:noWrap/>
            <w:vAlign w:val="center"/>
            <w:hideMark/>
          </w:tcPr>
          <w:p w14:paraId="5DE49817" w14:textId="77777777" w:rsidR="001A0C9B" w:rsidRPr="001A0C9B" w:rsidRDefault="001A0C9B" w:rsidP="001A0C9B">
            <w:pPr>
              <w:spacing w:after="0" w:line="240" w:lineRule="auto"/>
              <w:rPr>
                <w:rFonts w:ascii="Times New Roman" w:eastAsia="Times New Roman" w:hAnsi="Times New Roman" w:cs="Times New Roman"/>
                <w:color w:val="000000"/>
                <w:kern w:val="0"/>
                <w:sz w:val="16"/>
                <w:szCs w:val="16"/>
                <w:lang w:eastAsia="en-IN"/>
                <w14:ligatures w14:val="none"/>
              </w:rPr>
            </w:pPr>
            <w:r w:rsidRPr="001A0C9B">
              <w:rPr>
                <w:rFonts w:ascii="Times New Roman" w:eastAsia="Times New Roman" w:hAnsi="Times New Roman" w:cs="Times New Roman"/>
                <w:color w:val="000000"/>
                <w:kern w:val="0"/>
                <w:sz w:val="16"/>
                <w:szCs w:val="16"/>
                <w:lang w:eastAsia="en-IN"/>
                <w14:ligatures w14:val="none"/>
              </w:rPr>
              <w:t>..</w:t>
            </w:r>
          </w:p>
        </w:tc>
        <w:tc>
          <w:tcPr>
            <w:tcW w:w="773" w:type="dxa"/>
            <w:tcBorders>
              <w:top w:val="nil"/>
              <w:left w:val="nil"/>
              <w:bottom w:val="single" w:sz="4" w:space="0" w:color="auto"/>
              <w:right w:val="single" w:sz="4" w:space="0" w:color="auto"/>
            </w:tcBorders>
            <w:noWrap/>
            <w:vAlign w:val="center"/>
            <w:hideMark/>
          </w:tcPr>
          <w:p w14:paraId="25ABA2D8" w14:textId="77777777" w:rsidR="001A0C9B" w:rsidRPr="001A0C9B" w:rsidRDefault="001A0C9B" w:rsidP="001A0C9B">
            <w:pPr>
              <w:spacing w:after="0" w:line="240" w:lineRule="auto"/>
              <w:rPr>
                <w:rFonts w:ascii="Times New Roman" w:eastAsia="Times New Roman" w:hAnsi="Times New Roman" w:cs="Times New Roman"/>
                <w:color w:val="000000"/>
                <w:kern w:val="0"/>
                <w:sz w:val="16"/>
                <w:szCs w:val="16"/>
                <w:lang w:eastAsia="en-IN"/>
                <w14:ligatures w14:val="none"/>
              </w:rPr>
            </w:pPr>
            <w:r w:rsidRPr="001A0C9B">
              <w:rPr>
                <w:rFonts w:ascii="Times New Roman" w:eastAsia="Times New Roman" w:hAnsi="Times New Roman" w:cs="Times New Roman"/>
                <w:color w:val="000000"/>
                <w:kern w:val="0"/>
                <w:sz w:val="16"/>
                <w:szCs w:val="16"/>
                <w:lang w:eastAsia="en-IN"/>
                <w14:ligatures w14:val="none"/>
              </w:rPr>
              <w:t>..</w:t>
            </w:r>
          </w:p>
        </w:tc>
        <w:tc>
          <w:tcPr>
            <w:tcW w:w="981" w:type="dxa"/>
            <w:tcBorders>
              <w:top w:val="nil"/>
              <w:left w:val="nil"/>
              <w:bottom w:val="single" w:sz="4" w:space="0" w:color="auto"/>
              <w:right w:val="single" w:sz="4" w:space="0" w:color="auto"/>
            </w:tcBorders>
            <w:noWrap/>
            <w:vAlign w:val="center"/>
            <w:hideMark/>
          </w:tcPr>
          <w:p w14:paraId="4492EEF1" w14:textId="77777777" w:rsidR="001A0C9B" w:rsidRPr="001A0C9B" w:rsidRDefault="001A0C9B" w:rsidP="001A0C9B">
            <w:pPr>
              <w:spacing w:after="0" w:line="240" w:lineRule="auto"/>
              <w:rPr>
                <w:rFonts w:ascii="Times New Roman" w:eastAsia="Times New Roman" w:hAnsi="Times New Roman" w:cs="Times New Roman"/>
                <w:color w:val="000000"/>
                <w:kern w:val="0"/>
                <w:sz w:val="16"/>
                <w:szCs w:val="16"/>
                <w:lang w:eastAsia="en-IN"/>
                <w14:ligatures w14:val="none"/>
              </w:rPr>
            </w:pPr>
            <w:r w:rsidRPr="001A0C9B">
              <w:rPr>
                <w:rFonts w:ascii="Times New Roman" w:eastAsia="Times New Roman" w:hAnsi="Times New Roman" w:cs="Times New Roman"/>
                <w:color w:val="000000"/>
                <w:kern w:val="0"/>
                <w:sz w:val="16"/>
                <w:szCs w:val="16"/>
                <w:lang w:eastAsia="en-IN"/>
                <w14:ligatures w14:val="none"/>
              </w:rPr>
              <w:t>..</w:t>
            </w:r>
          </w:p>
        </w:tc>
        <w:tc>
          <w:tcPr>
            <w:tcW w:w="669" w:type="dxa"/>
            <w:tcBorders>
              <w:top w:val="nil"/>
              <w:left w:val="nil"/>
              <w:bottom w:val="single" w:sz="4" w:space="0" w:color="auto"/>
              <w:right w:val="single" w:sz="4" w:space="0" w:color="auto"/>
            </w:tcBorders>
            <w:noWrap/>
            <w:vAlign w:val="center"/>
            <w:hideMark/>
          </w:tcPr>
          <w:p w14:paraId="53E56F69" w14:textId="77777777" w:rsidR="001A0C9B" w:rsidRPr="001A0C9B" w:rsidRDefault="001A0C9B" w:rsidP="001A0C9B">
            <w:pPr>
              <w:spacing w:after="0" w:line="240" w:lineRule="auto"/>
              <w:jc w:val="right"/>
              <w:rPr>
                <w:rFonts w:ascii="Times New Roman" w:eastAsia="Times New Roman" w:hAnsi="Times New Roman" w:cs="Times New Roman"/>
                <w:color w:val="000000"/>
                <w:kern w:val="0"/>
                <w:sz w:val="16"/>
                <w:szCs w:val="16"/>
                <w:lang w:eastAsia="en-IN"/>
                <w14:ligatures w14:val="none"/>
              </w:rPr>
            </w:pPr>
            <w:r w:rsidRPr="001A0C9B">
              <w:rPr>
                <w:rFonts w:ascii="Times New Roman" w:eastAsia="Times New Roman" w:hAnsi="Times New Roman" w:cs="Times New Roman"/>
                <w:color w:val="000000"/>
                <w:kern w:val="0"/>
                <w:sz w:val="16"/>
                <w:szCs w:val="16"/>
                <w:lang w:eastAsia="en-IN"/>
                <w14:ligatures w14:val="none"/>
              </w:rPr>
              <w:t>0.14</w:t>
            </w:r>
          </w:p>
        </w:tc>
        <w:tc>
          <w:tcPr>
            <w:tcW w:w="679" w:type="dxa"/>
            <w:tcBorders>
              <w:top w:val="nil"/>
              <w:left w:val="nil"/>
              <w:bottom w:val="single" w:sz="4" w:space="0" w:color="auto"/>
              <w:right w:val="single" w:sz="4" w:space="0" w:color="auto"/>
            </w:tcBorders>
            <w:noWrap/>
            <w:vAlign w:val="center"/>
            <w:hideMark/>
          </w:tcPr>
          <w:p w14:paraId="23F00383" w14:textId="77777777" w:rsidR="001A0C9B" w:rsidRPr="001A0C9B" w:rsidRDefault="001A0C9B" w:rsidP="001A0C9B">
            <w:pPr>
              <w:spacing w:after="0" w:line="240" w:lineRule="auto"/>
              <w:jc w:val="right"/>
              <w:rPr>
                <w:rFonts w:ascii="Times New Roman" w:eastAsia="Times New Roman" w:hAnsi="Times New Roman" w:cs="Times New Roman"/>
                <w:color w:val="000000"/>
                <w:kern w:val="0"/>
                <w:sz w:val="16"/>
                <w:szCs w:val="16"/>
                <w:lang w:eastAsia="en-IN"/>
                <w14:ligatures w14:val="none"/>
              </w:rPr>
            </w:pPr>
            <w:r w:rsidRPr="001A0C9B">
              <w:rPr>
                <w:rFonts w:ascii="Times New Roman" w:eastAsia="Times New Roman" w:hAnsi="Times New Roman" w:cs="Times New Roman"/>
                <w:color w:val="000000"/>
                <w:kern w:val="0"/>
                <w:sz w:val="16"/>
                <w:szCs w:val="16"/>
                <w:lang w:eastAsia="en-IN"/>
                <w14:ligatures w14:val="none"/>
              </w:rPr>
              <w:t>3.53</w:t>
            </w:r>
          </w:p>
        </w:tc>
        <w:tc>
          <w:tcPr>
            <w:tcW w:w="773" w:type="dxa"/>
            <w:tcBorders>
              <w:top w:val="nil"/>
              <w:left w:val="nil"/>
              <w:bottom w:val="single" w:sz="4" w:space="0" w:color="auto"/>
              <w:right w:val="single" w:sz="4" w:space="0" w:color="auto"/>
            </w:tcBorders>
            <w:noWrap/>
            <w:vAlign w:val="center"/>
            <w:hideMark/>
          </w:tcPr>
          <w:p w14:paraId="49C36F70" w14:textId="77777777" w:rsidR="001A0C9B" w:rsidRPr="001A0C9B" w:rsidRDefault="001A0C9B" w:rsidP="001A0C9B">
            <w:pPr>
              <w:spacing w:after="0" w:line="240" w:lineRule="auto"/>
              <w:rPr>
                <w:rFonts w:ascii="Times New Roman" w:eastAsia="Times New Roman" w:hAnsi="Times New Roman" w:cs="Times New Roman"/>
                <w:color w:val="000000"/>
                <w:kern w:val="0"/>
                <w:sz w:val="16"/>
                <w:szCs w:val="16"/>
                <w:lang w:eastAsia="en-IN"/>
                <w14:ligatures w14:val="none"/>
              </w:rPr>
            </w:pPr>
            <w:r w:rsidRPr="001A0C9B">
              <w:rPr>
                <w:rFonts w:ascii="Times New Roman" w:eastAsia="Times New Roman" w:hAnsi="Times New Roman" w:cs="Times New Roman"/>
                <w:color w:val="000000"/>
                <w:kern w:val="0"/>
                <w:sz w:val="16"/>
                <w:szCs w:val="16"/>
                <w:lang w:eastAsia="en-IN"/>
                <w14:ligatures w14:val="none"/>
              </w:rPr>
              <w:t>..</w:t>
            </w:r>
          </w:p>
        </w:tc>
        <w:tc>
          <w:tcPr>
            <w:tcW w:w="981" w:type="dxa"/>
            <w:tcBorders>
              <w:top w:val="nil"/>
              <w:left w:val="nil"/>
              <w:bottom w:val="single" w:sz="4" w:space="0" w:color="auto"/>
              <w:right w:val="single" w:sz="4" w:space="0" w:color="auto"/>
            </w:tcBorders>
            <w:noWrap/>
            <w:vAlign w:val="center"/>
            <w:hideMark/>
          </w:tcPr>
          <w:p w14:paraId="6996F407" w14:textId="77777777" w:rsidR="001A0C9B" w:rsidRPr="001A0C9B" w:rsidRDefault="001A0C9B" w:rsidP="001A0C9B">
            <w:pPr>
              <w:spacing w:after="0" w:line="240" w:lineRule="auto"/>
              <w:rPr>
                <w:rFonts w:ascii="Times New Roman" w:eastAsia="Times New Roman" w:hAnsi="Times New Roman" w:cs="Times New Roman"/>
                <w:color w:val="000000"/>
                <w:kern w:val="0"/>
                <w:sz w:val="16"/>
                <w:szCs w:val="16"/>
                <w:lang w:eastAsia="en-IN"/>
                <w14:ligatures w14:val="none"/>
              </w:rPr>
            </w:pPr>
            <w:r w:rsidRPr="001A0C9B">
              <w:rPr>
                <w:rFonts w:ascii="Times New Roman" w:eastAsia="Times New Roman" w:hAnsi="Times New Roman" w:cs="Times New Roman"/>
                <w:color w:val="000000"/>
                <w:kern w:val="0"/>
                <w:sz w:val="16"/>
                <w:szCs w:val="16"/>
                <w:lang w:eastAsia="en-IN"/>
                <w14:ligatures w14:val="none"/>
              </w:rPr>
              <w:t>..</w:t>
            </w:r>
          </w:p>
        </w:tc>
        <w:tc>
          <w:tcPr>
            <w:tcW w:w="782" w:type="dxa"/>
            <w:tcBorders>
              <w:top w:val="nil"/>
              <w:left w:val="nil"/>
              <w:bottom w:val="single" w:sz="4" w:space="0" w:color="auto"/>
              <w:right w:val="single" w:sz="4" w:space="0" w:color="auto"/>
            </w:tcBorders>
            <w:noWrap/>
            <w:vAlign w:val="center"/>
            <w:hideMark/>
          </w:tcPr>
          <w:p w14:paraId="5F1C904D" w14:textId="77777777" w:rsidR="001A0C9B" w:rsidRPr="001A0C9B" w:rsidRDefault="001A0C9B" w:rsidP="001A0C9B">
            <w:pPr>
              <w:spacing w:after="0" w:line="240" w:lineRule="auto"/>
              <w:rPr>
                <w:rFonts w:ascii="Times New Roman" w:eastAsia="Times New Roman" w:hAnsi="Times New Roman" w:cs="Times New Roman"/>
                <w:color w:val="000000"/>
                <w:kern w:val="0"/>
                <w:sz w:val="16"/>
                <w:szCs w:val="16"/>
                <w:lang w:eastAsia="en-IN"/>
                <w14:ligatures w14:val="none"/>
              </w:rPr>
            </w:pPr>
            <w:r w:rsidRPr="001A0C9B">
              <w:rPr>
                <w:rFonts w:ascii="Times New Roman" w:eastAsia="Times New Roman" w:hAnsi="Times New Roman" w:cs="Times New Roman"/>
                <w:color w:val="000000"/>
                <w:kern w:val="0"/>
                <w:sz w:val="16"/>
                <w:szCs w:val="16"/>
                <w:lang w:eastAsia="en-IN"/>
                <w14:ligatures w14:val="none"/>
              </w:rPr>
              <w:t>..</w:t>
            </w:r>
          </w:p>
        </w:tc>
        <w:tc>
          <w:tcPr>
            <w:tcW w:w="723" w:type="dxa"/>
            <w:tcBorders>
              <w:top w:val="nil"/>
              <w:left w:val="nil"/>
              <w:bottom w:val="single" w:sz="4" w:space="0" w:color="auto"/>
              <w:right w:val="single" w:sz="4" w:space="0" w:color="auto"/>
            </w:tcBorders>
            <w:noWrap/>
            <w:vAlign w:val="center"/>
            <w:hideMark/>
          </w:tcPr>
          <w:p w14:paraId="65D8B90E" w14:textId="77777777" w:rsidR="001A0C9B" w:rsidRPr="001A0C9B" w:rsidRDefault="001A0C9B" w:rsidP="001A0C9B">
            <w:pPr>
              <w:spacing w:after="0" w:line="240" w:lineRule="auto"/>
              <w:rPr>
                <w:rFonts w:ascii="Times New Roman" w:eastAsia="Times New Roman" w:hAnsi="Times New Roman" w:cs="Times New Roman"/>
                <w:color w:val="000000"/>
                <w:kern w:val="0"/>
                <w:sz w:val="16"/>
                <w:szCs w:val="16"/>
                <w:lang w:eastAsia="en-IN"/>
                <w14:ligatures w14:val="none"/>
              </w:rPr>
            </w:pPr>
            <w:r w:rsidRPr="001A0C9B">
              <w:rPr>
                <w:rFonts w:ascii="Times New Roman" w:eastAsia="Times New Roman" w:hAnsi="Times New Roman" w:cs="Times New Roman"/>
                <w:color w:val="000000"/>
                <w:kern w:val="0"/>
                <w:sz w:val="16"/>
                <w:szCs w:val="16"/>
                <w:lang w:eastAsia="en-IN"/>
                <w14:ligatures w14:val="none"/>
              </w:rPr>
              <w:t>..</w:t>
            </w:r>
          </w:p>
        </w:tc>
        <w:tc>
          <w:tcPr>
            <w:tcW w:w="741" w:type="dxa"/>
            <w:tcBorders>
              <w:top w:val="nil"/>
              <w:left w:val="nil"/>
              <w:bottom w:val="single" w:sz="4" w:space="0" w:color="auto"/>
              <w:right w:val="single" w:sz="4" w:space="0" w:color="auto"/>
            </w:tcBorders>
            <w:noWrap/>
            <w:vAlign w:val="center"/>
            <w:hideMark/>
          </w:tcPr>
          <w:p w14:paraId="46403B2E" w14:textId="77777777" w:rsidR="001A0C9B" w:rsidRPr="001A0C9B" w:rsidRDefault="001A0C9B" w:rsidP="001A0C9B">
            <w:pPr>
              <w:spacing w:after="0" w:line="240" w:lineRule="auto"/>
              <w:rPr>
                <w:rFonts w:ascii="Times New Roman" w:eastAsia="Times New Roman" w:hAnsi="Times New Roman" w:cs="Times New Roman"/>
                <w:color w:val="000000"/>
                <w:kern w:val="0"/>
                <w:sz w:val="16"/>
                <w:szCs w:val="16"/>
                <w:lang w:eastAsia="en-IN"/>
                <w14:ligatures w14:val="none"/>
              </w:rPr>
            </w:pPr>
            <w:r w:rsidRPr="001A0C9B">
              <w:rPr>
                <w:rFonts w:ascii="Times New Roman" w:eastAsia="Times New Roman" w:hAnsi="Times New Roman" w:cs="Times New Roman"/>
                <w:color w:val="000000"/>
                <w:kern w:val="0"/>
                <w:sz w:val="16"/>
                <w:szCs w:val="16"/>
                <w:lang w:eastAsia="en-IN"/>
                <w14:ligatures w14:val="none"/>
              </w:rPr>
              <w:t>..</w:t>
            </w:r>
          </w:p>
        </w:tc>
        <w:tc>
          <w:tcPr>
            <w:tcW w:w="981" w:type="dxa"/>
            <w:tcBorders>
              <w:top w:val="nil"/>
              <w:left w:val="nil"/>
              <w:bottom w:val="single" w:sz="4" w:space="0" w:color="auto"/>
              <w:right w:val="single" w:sz="4" w:space="0" w:color="auto"/>
            </w:tcBorders>
            <w:noWrap/>
            <w:vAlign w:val="center"/>
            <w:hideMark/>
          </w:tcPr>
          <w:p w14:paraId="292B3F89" w14:textId="77777777" w:rsidR="001A0C9B" w:rsidRPr="001A0C9B" w:rsidRDefault="001A0C9B" w:rsidP="001A0C9B">
            <w:pPr>
              <w:spacing w:after="0" w:line="240" w:lineRule="auto"/>
              <w:rPr>
                <w:rFonts w:ascii="Times New Roman" w:eastAsia="Times New Roman" w:hAnsi="Times New Roman" w:cs="Times New Roman"/>
                <w:color w:val="000000"/>
                <w:kern w:val="0"/>
                <w:sz w:val="16"/>
                <w:szCs w:val="16"/>
                <w:lang w:eastAsia="en-IN"/>
                <w14:ligatures w14:val="none"/>
              </w:rPr>
            </w:pPr>
            <w:r w:rsidRPr="001A0C9B">
              <w:rPr>
                <w:rFonts w:ascii="Times New Roman" w:eastAsia="Times New Roman" w:hAnsi="Times New Roman" w:cs="Times New Roman"/>
                <w:color w:val="000000"/>
                <w:kern w:val="0"/>
                <w:sz w:val="16"/>
                <w:szCs w:val="16"/>
                <w:lang w:eastAsia="en-IN"/>
                <w14:ligatures w14:val="none"/>
              </w:rPr>
              <w:t>..</w:t>
            </w:r>
          </w:p>
        </w:tc>
        <w:tc>
          <w:tcPr>
            <w:tcW w:w="754" w:type="dxa"/>
            <w:tcBorders>
              <w:top w:val="nil"/>
              <w:left w:val="nil"/>
              <w:bottom w:val="single" w:sz="4" w:space="0" w:color="auto"/>
              <w:right w:val="single" w:sz="4" w:space="0" w:color="auto"/>
            </w:tcBorders>
            <w:noWrap/>
            <w:vAlign w:val="center"/>
            <w:hideMark/>
          </w:tcPr>
          <w:p w14:paraId="7B312CDA" w14:textId="77777777" w:rsidR="001A0C9B" w:rsidRPr="001A0C9B" w:rsidRDefault="001A0C9B" w:rsidP="001A0C9B">
            <w:pPr>
              <w:spacing w:after="0" w:line="240" w:lineRule="auto"/>
              <w:jc w:val="right"/>
              <w:rPr>
                <w:rFonts w:ascii="Times New Roman" w:eastAsia="Times New Roman" w:hAnsi="Times New Roman" w:cs="Times New Roman"/>
                <w:color w:val="000000"/>
                <w:kern w:val="0"/>
                <w:sz w:val="16"/>
                <w:szCs w:val="16"/>
                <w:lang w:eastAsia="en-IN"/>
                <w14:ligatures w14:val="none"/>
              </w:rPr>
            </w:pPr>
            <w:r w:rsidRPr="001A0C9B">
              <w:rPr>
                <w:rFonts w:ascii="Times New Roman" w:eastAsia="Times New Roman" w:hAnsi="Times New Roman" w:cs="Times New Roman"/>
                <w:color w:val="000000"/>
                <w:kern w:val="0"/>
                <w:sz w:val="16"/>
                <w:szCs w:val="16"/>
                <w:lang w:eastAsia="en-IN"/>
                <w14:ligatures w14:val="none"/>
              </w:rPr>
              <w:t>0.23</w:t>
            </w:r>
          </w:p>
        </w:tc>
        <w:tc>
          <w:tcPr>
            <w:tcW w:w="723" w:type="dxa"/>
            <w:tcBorders>
              <w:top w:val="nil"/>
              <w:left w:val="nil"/>
              <w:bottom w:val="single" w:sz="4" w:space="0" w:color="auto"/>
              <w:right w:val="single" w:sz="4" w:space="0" w:color="auto"/>
            </w:tcBorders>
            <w:noWrap/>
            <w:vAlign w:val="center"/>
            <w:hideMark/>
          </w:tcPr>
          <w:p w14:paraId="2892AF57" w14:textId="0DF0F5F3" w:rsidR="001A0C9B" w:rsidRPr="001A0C9B" w:rsidRDefault="001A0C9B" w:rsidP="001A0C9B">
            <w:pPr>
              <w:spacing w:after="0" w:line="240" w:lineRule="auto"/>
              <w:jc w:val="right"/>
              <w:rPr>
                <w:rFonts w:ascii="Times New Roman" w:eastAsia="Times New Roman" w:hAnsi="Times New Roman" w:cs="Times New Roman"/>
                <w:color w:val="000000"/>
                <w:kern w:val="0"/>
                <w:sz w:val="16"/>
                <w:szCs w:val="16"/>
                <w:lang w:eastAsia="en-IN"/>
                <w14:ligatures w14:val="none"/>
              </w:rPr>
            </w:pPr>
            <w:r w:rsidRPr="001A0C9B">
              <w:rPr>
                <w:rFonts w:ascii="Times New Roman" w:eastAsia="Times New Roman" w:hAnsi="Times New Roman" w:cs="Times New Roman"/>
                <w:color w:val="000000"/>
                <w:kern w:val="0"/>
                <w:sz w:val="16"/>
                <w:szCs w:val="16"/>
                <w:lang w:eastAsia="en-IN"/>
                <w14:ligatures w14:val="none"/>
              </w:rPr>
              <w:t>5.6</w:t>
            </w:r>
            <w:r w:rsidR="0063665D">
              <w:rPr>
                <w:rFonts w:ascii="Times New Roman" w:eastAsia="Times New Roman" w:hAnsi="Times New Roman" w:cs="Times New Roman"/>
                <w:color w:val="000000"/>
                <w:kern w:val="0"/>
                <w:sz w:val="16"/>
                <w:szCs w:val="16"/>
                <w:lang w:eastAsia="en-IN"/>
                <w14:ligatures w14:val="none"/>
              </w:rPr>
              <w:t>0</w:t>
            </w:r>
          </w:p>
        </w:tc>
        <w:tc>
          <w:tcPr>
            <w:tcW w:w="754" w:type="dxa"/>
            <w:tcBorders>
              <w:top w:val="nil"/>
              <w:left w:val="nil"/>
              <w:bottom w:val="single" w:sz="4" w:space="0" w:color="auto"/>
              <w:right w:val="single" w:sz="4" w:space="0" w:color="auto"/>
            </w:tcBorders>
            <w:noWrap/>
            <w:vAlign w:val="center"/>
            <w:hideMark/>
          </w:tcPr>
          <w:p w14:paraId="1E5D7818" w14:textId="77777777" w:rsidR="001A0C9B" w:rsidRPr="001A0C9B" w:rsidRDefault="001A0C9B" w:rsidP="001A0C9B">
            <w:pPr>
              <w:spacing w:after="0" w:line="240" w:lineRule="auto"/>
              <w:rPr>
                <w:rFonts w:ascii="Times New Roman" w:eastAsia="Times New Roman" w:hAnsi="Times New Roman" w:cs="Times New Roman"/>
                <w:color w:val="000000"/>
                <w:kern w:val="0"/>
                <w:sz w:val="16"/>
                <w:szCs w:val="16"/>
                <w:lang w:eastAsia="en-IN"/>
                <w14:ligatures w14:val="none"/>
              </w:rPr>
            </w:pPr>
            <w:r w:rsidRPr="001A0C9B">
              <w:rPr>
                <w:rFonts w:ascii="Times New Roman" w:eastAsia="Times New Roman" w:hAnsi="Times New Roman" w:cs="Times New Roman"/>
                <w:color w:val="000000"/>
                <w:kern w:val="0"/>
                <w:sz w:val="16"/>
                <w:szCs w:val="16"/>
                <w:lang w:eastAsia="en-IN"/>
                <w14:ligatures w14:val="none"/>
              </w:rPr>
              <w:t>..</w:t>
            </w:r>
          </w:p>
        </w:tc>
        <w:tc>
          <w:tcPr>
            <w:tcW w:w="981" w:type="dxa"/>
            <w:tcBorders>
              <w:top w:val="nil"/>
              <w:left w:val="nil"/>
              <w:bottom w:val="single" w:sz="4" w:space="0" w:color="auto"/>
              <w:right w:val="single" w:sz="4" w:space="0" w:color="auto"/>
            </w:tcBorders>
            <w:noWrap/>
            <w:vAlign w:val="center"/>
            <w:hideMark/>
          </w:tcPr>
          <w:p w14:paraId="02D5023F" w14:textId="77777777" w:rsidR="001A0C9B" w:rsidRPr="001A0C9B" w:rsidRDefault="001A0C9B" w:rsidP="001A0C9B">
            <w:pPr>
              <w:spacing w:after="0" w:line="240" w:lineRule="auto"/>
              <w:rPr>
                <w:rFonts w:ascii="Times New Roman" w:eastAsia="Times New Roman" w:hAnsi="Times New Roman" w:cs="Times New Roman"/>
                <w:color w:val="000000"/>
                <w:kern w:val="0"/>
                <w:sz w:val="16"/>
                <w:szCs w:val="16"/>
                <w:lang w:eastAsia="en-IN"/>
                <w14:ligatures w14:val="none"/>
              </w:rPr>
            </w:pPr>
            <w:r w:rsidRPr="001A0C9B">
              <w:rPr>
                <w:rFonts w:ascii="Times New Roman" w:eastAsia="Times New Roman" w:hAnsi="Times New Roman" w:cs="Times New Roman"/>
                <w:color w:val="000000"/>
                <w:kern w:val="0"/>
                <w:sz w:val="16"/>
                <w:szCs w:val="16"/>
                <w:lang w:eastAsia="en-IN"/>
                <w14:ligatures w14:val="none"/>
              </w:rPr>
              <w:t>..</w:t>
            </w:r>
          </w:p>
        </w:tc>
        <w:tc>
          <w:tcPr>
            <w:tcW w:w="754" w:type="dxa"/>
            <w:tcBorders>
              <w:top w:val="nil"/>
              <w:left w:val="nil"/>
              <w:bottom w:val="single" w:sz="4" w:space="0" w:color="auto"/>
              <w:right w:val="single" w:sz="4" w:space="0" w:color="auto"/>
            </w:tcBorders>
            <w:noWrap/>
            <w:vAlign w:val="center"/>
            <w:hideMark/>
          </w:tcPr>
          <w:p w14:paraId="40C3CFFA" w14:textId="77777777" w:rsidR="001A0C9B" w:rsidRPr="001A0C9B" w:rsidRDefault="001A0C9B" w:rsidP="001A0C9B">
            <w:pPr>
              <w:spacing w:after="0" w:line="240" w:lineRule="auto"/>
              <w:jc w:val="right"/>
              <w:rPr>
                <w:rFonts w:ascii="Times New Roman" w:eastAsia="Times New Roman" w:hAnsi="Times New Roman" w:cs="Times New Roman"/>
                <w:color w:val="000000"/>
                <w:kern w:val="0"/>
                <w:sz w:val="16"/>
                <w:szCs w:val="16"/>
                <w:lang w:eastAsia="en-IN"/>
                <w14:ligatures w14:val="none"/>
              </w:rPr>
            </w:pPr>
            <w:r w:rsidRPr="001A0C9B">
              <w:rPr>
                <w:rFonts w:ascii="Times New Roman" w:eastAsia="Times New Roman" w:hAnsi="Times New Roman" w:cs="Times New Roman"/>
                <w:color w:val="000000"/>
                <w:kern w:val="0"/>
                <w:sz w:val="16"/>
                <w:szCs w:val="16"/>
                <w:lang w:eastAsia="en-IN"/>
                <w14:ligatures w14:val="none"/>
              </w:rPr>
              <w:t>0.17</w:t>
            </w:r>
          </w:p>
        </w:tc>
        <w:tc>
          <w:tcPr>
            <w:tcW w:w="723" w:type="dxa"/>
            <w:tcBorders>
              <w:top w:val="nil"/>
              <w:left w:val="nil"/>
              <w:bottom w:val="single" w:sz="4" w:space="0" w:color="auto"/>
              <w:right w:val="single" w:sz="4" w:space="0" w:color="auto"/>
            </w:tcBorders>
            <w:noWrap/>
            <w:vAlign w:val="center"/>
            <w:hideMark/>
          </w:tcPr>
          <w:p w14:paraId="330E804B" w14:textId="77777777" w:rsidR="001A0C9B" w:rsidRPr="001A0C9B" w:rsidRDefault="001A0C9B" w:rsidP="001A0C9B">
            <w:pPr>
              <w:spacing w:after="0" w:line="240" w:lineRule="auto"/>
              <w:jc w:val="right"/>
              <w:rPr>
                <w:rFonts w:ascii="Times New Roman" w:eastAsia="Times New Roman" w:hAnsi="Times New Roman" w:cs="Times New Roman"/>
                <w:color w:val="000000"/>
                <w:kern w:val="0"/>
                <w:sz w:val="16"/>
                <w:szCs w:val="16"/>
                <w:lang w:eastAsia="en-IN"/>
                <w14:ligatures w14:val="none"/>
              </w:rPr>
            </w:pPr>
            <w:r w:rsidRPr="001A0C9B">
              <w:rPr>
                <w:rFonts w:ascii="Times New Roman" w:eastAsia="Times New Roman" w:hAnsi="Times New Roman" w:cs="Times New Roman"/>
                <w:color w:val="000000"/>
                <w:kern w:val="0"/>
                <w:sz w:val="16"/>
                <w:szCs w:val="16"/>
                <w:lang w:eastAsia="en-IN"/>
                <w14:ligatures w14:val="none"/>
              </w:rPr>
              <w:t>4.07</w:t>
            </w:r>
          </w:p>
        </w:tc>
      </w:tr>
      <w:tr w:rsidR="001A0C9B" w:rsidRPr="001A0C9B" w14:paraId="53CD1346" w14:textId="77777777" w:rsidTr="002A11B0">
        <w:trPr>
          <w:trHeight w:val="166"/>
          <w:jc w:val="center"/>
        </w:trPr>
        <w:tc>
          <w:tcPr>
            <w:tcW w:w="1051" w:type="dxa"/>
            <w:tcBorders>
              <w:top w:val="nil"/>
              <w:left w:val="single" w:sz="4" w:space="0" w:color="auto"/>
              <w:bottom w:val="single" w:sz="4" w:space="0" w:color="auto"/>
              <w:right w:val="single" w:sz="4" w:space="0" w:color="auto"/>
            </w:tcBorders>
            <w:noWrap/>
            <w:vAlign w:val="center"/>
            <w:hideMark/>
          </w:tcPr>
          <w:p w14:paraId="4C968CC8" w14:textId="77777777" w:rsidR="001A0C9B" w:rsidRPr="001A0C9B" w:rsidRDefault="001A0C9B" w:rsidP="001A0C9B">
            <w:pPr>
              <w:spacing w:after="0" w:line="240" w:lineRule="auto"/>
              <w:rPr>
                <w:rFonts w:ascii="Times New Roman" w:eastAsia="Times New Roman" w:hAnsi="Times New Roman" w:cs="Times New Roman"/>
                <w:color w:val="000000"/>
                <w:kern w:val="0"/>
                <w:sz w:val="16"/>
                <w:szCs w:val="16"/>
                <w:lang w:eastAsia="en-IN"/>
                <w14:ligatures w14:val="none"/>
              </w:rPr>
            </w:pPr>
            <w:r w:rsidRPr="001A0C9B">
              <w:rPr>
                <w:rFonts w:ascii="Times New Roman" w:eastAsia="Times New Roman" w:hAnsi="Times New Roman" w:cs="Times New Roman"/>
                <w:color w:val="000000"/>
                <w:kern w:val="0"/>
                <w:sz w:val="16"/>
                <w:szCs w:val="16"/>
                <w:lang w:eastAsia="en-IN"/>
                <w14:ligatures w14:val="none"/>
              </w:rPr>
              <w:t>Orissa</w:t>
            </w:r>
          </w:p>
        </w:tc>
        <w:tc>
          <w:tcPr>
            <w:tcW w:w="669" w:type="dxa"/>
            <w:tcBorders>
              <w:top w:val="nil"/>
              <w:left w:val="nil"/>
              <w:bottom w:val="single" w:sz="4" w:space="0" w:color="auto"/>
              <w:right w:val="single" w:sz="4" w:space="0" w:color="auto"/>
            </w:tcBorders>
            <w:noWrap/>
            <w:vAlign w:val="center"/>
            <w:hideMark/>
          </w:tcPr>
          <w:p w14:paraId="46A3B936" w14:textId="77777777" w:rsidR="001A0C9B" w:rsidRPr="001A0C9B" w:rsidRDefault="001A0C9B" w:rsidP="001A0C9B">
            <w:pPr>
              <w:spacing w:after="0" w:line="240" w:lineRule="auto"/>
              <w:jc w:val="right"/>
              <w:rPr>
                <w:rFonts w:ascii="Times New Roman" w:eastAsia="Times New Roman" w:hAnsi="Times New Roman" w:cs="Times New Roman"/>
                <w:color w:val="000000"/>
                <w:kern w:val="0"/>
                <w:sz w:val="16"/>
                <w:szCs w:val="16"/>
                <w:lang w:eastAsia="en-IN"/>
                <w14:ligatures w14:val="none"/>
              </w:rPr>
            </w:pPr>
            <w:r w:rsidRPr="001A0C9B">
              <w:rPr>
                <w:rFonts w:ascii="Times New Roman" w:eastAsia="Times New Roman" w:hAnsi="Times New Roman" w:cs="Times New Roman"/>
                <w:color w:val="000000"/>
                <w:kern w:val="0"/>
                <w:sz w:val="16"/>
                <w:szCs w:val="16"/>
                <w:lang w:eastAsia="en-IN"/>
                <w14:ligatures w14:val="none"/>
              </w:rPr>
              <w:t>8.54</w:t>
            </w:r>
          </w:p>
        </w:tc>
        <w:tc>
          <w:tcPr>
            <w:tcW w:w="723" w:type="dxa"/>
            <w:tcBorders>
              <w:top w:val="nil"/>
              <w:left w:val="nil"/>
              <w:bottom w:val="single" w:sz="4" w:space="0" w:color="auto"/>
              <w:right w:val="single" w:sz="4" w:space="0" w:color="auto"/>
            </w:tcBorders>
            <w:noWrap/>
            <w:vAlign w:val="center"/>
            <w:hideMark/>
          </w:tcPr>
          <w:p w14:paraId="12051D51" w14:textId="77777777" w:rsidR="001A0C9B" w:rsidRPr="001A0C9B" w:rsidRDefault="001A0C9B" w:rsidP="001A0C9B">
            <w:pPr>
              <w:spacing w:after="0" w:line="240" w:lineRule="auto"/>
              <w:jc w:val="right"/>
              <w:rPr>
                <w:rFonts w:ascii="Times New Roman" w:eastAsia="Times New Roman" w:hAnsi="Times New Roman" w:cs="Times New Roman"/>
                <w:color w:val="000000"/>
                <w:kern w:val="0"/>
                <w:sz w:val="16"/>
                <w:szCs w:val="16"/>
                <w:lang w:eastAsia="en-IN"/>
                <w14:ligatures w14:val="none"/>
              </w:rPr>
            </w:pPr>
            <w:r w:rsidRPr="001A0C9B">
              <w:rPr>
                <w:rFonts w:ascii="Times New Roman" w:eastAsia="Times New Roman" w:hAnsi="Times New Roman" w:cs="Times New Roman"/>
                <w:color w:val="000000"/>
                <w:kern w:val="0"/>
                <w:sz w:val="16"/>
                <w:szCs w:val="16"/>
                <w:lang w:eastAsia="en-IN"/>
                <w14:ligatures w14:val="none"/>
              </w:rPr>
              <w:t>4.87</w:t>
            </w:r>
          </w:p>
        </w:tc>
        <w:tc>
          <w:tcPr>
            <w:tcW w:w="773" w:type="dxa"/>
            <w:tcBorders>
              <w:top w:val="nil"/>
              <w:left w:val="nil"/>
              <w:bottom w:val="single" w:sz="4" w:space="0" w:color="auto"/>
              <w:right w:val="single" w:sz="4" w:space="0" w:color="auto"/>
            </w:tcBorders>
            <w:noWrap/>
            <w:vAlign w:val="center"/>
            <w:hideMark/>
          </w:tcPr>
          <w:p w14:paraId="694277F4" w14:textId="59055297" w:rsidR="001A0C9B" w:rsidRPr="001A0C9B" w:rsidRDefault="001A0C9B" w:rsidP="001A0C9B">
            <w:pPr>
              <w:spacing w:after="0" w:line="240" w:lineRule="auto"/>
              <w:jc w:val="right"/>
              <w:rPr>
                <w:rFonts w:ascii="Times New Roman" w:eastAsia="Times New Roman" w:hAnsi="Times New Roman" w:cs="Times New Roman"/>
                <w:color w:val="000000"/>
                <w:kern w:val="0"/>
                <w:sz w:val="16"/>
                <w:szCs w:val="16"/>
                <w:lang w:eastAsia="en-IN"/>
                <w14:ligatures w14:val="none"/>
              </w:rPr>
            </w:pPr>
            <w:r w:rsidRPr="001A0C9B">
              <w:rPr>
                <w:rFonts w:ascii="Times New Roman" w:eastAsia="Times New Roman" w:hAnsi="Times New Roman" w:cs="Times New Roman"/>
                <w:color w:val="000000"/>
                <w:kern w:val="0"/>
                <w:sz w:val="16"/>
                <w:szCs w:val="16"/>
                <w:lang w:eastAsia="en-IN"/>
                <w14:ligatures w14:val="none"/>
              </w:rPr>
              <w:t>23</w:t>
            </w:r>
            <w:r w:rsidR="0063665D">
              <w:rPr>
                <w:rFonts w:ascii="Times New Roman" w:eastAsia="Times New Roman" w:hAnsi="Times New Roman" w:cs="Times New Roman"/>
                <w:color w:val="000000"/>
                <w:kern w:val="0"/>
                <w:sz w:val="16"/>
                <w:szCs w:val="16"/>
                <w:lang w:eastAsia="en-IN"/>
                <w14:ligatures w14:val="none"/>
              </w:rPr>
              <w:t>.00</w:t>
            </w:r>
          </w:p>
        </w:tc>
        <w:tc>
          <w:tcPr>
            <w:tcW w:w="981" w:type="dxa"/>
            <w:tcBorders>
              <w:top w:val="nil"/>
              <w:left w:val="nil"/>
              <w:bottom w:val="single" w:sz="4" w:space="0" w:color="auto"/>
              <w:right w:val="single" w:sz="4" w:space="0" w:color="auto"/>
            </w:tcBorders>
            <w:noWrap/>
            <w:vAlign w:val="center"/>
            <w:hideMark/>
          </w:tcPr>
          <w:p w14:paraId="3600A914" w14:textId="77777777" w:rsidR="001A0C9B" w:rsidRPr="001A0C9B" w:rsidRDefault="001A0C9B" w:rsidP="001A0C9B">
            <w:pPr>
              <w:spacing w:after="0" w:line="240" w:lineRule="auto"/>
              <w:jc w:val="right"/>
              <w:rPr>
                <w:rFonts w:ascii="Times New Roman" w:eastAsia="Times New Roman" w:hAnsi="Times New Roman" w:cs="Times New Roman"/>
                <w:color w:val="000000"/>
                <w:kern w:val="0"/>
                <w:sz w:val="16"/>
                <w:szCs w:val="16"/>
                <w:lang w:eastAsia="en-IN"/>
                <w14:ligatures w14:val="none"/>
              </w:rPr>
            </w:pPr>
            <w:r w:rsidRPr="001A0C9B">
              <w:rPr>
                <w:rFonts w:ascii="Times New Roman" w:eastAsia="Times New Roman" w:hAnsi="Times New Roman" w:cs="Times New Roman"/>
                <w:color w:val="000000"/>
                <w:kern w:val="0"/>
                <w:sz w:val="16"/>
                <w:szCs w:val="16"/>
                <w:lang w:eastAsia="en-IN"/>
                <w14:ligatures w14:val="none"/>
              </w:rPr>
              <w:t>32.73</w:t>
            </w:r>
          </w:p>
        </w:tc>
        <w:tc>
          <w:tcPr>
            <w:tcW w:w="669" w:type="dxa"/>
            <w:tcBorders>
              <w:top w:val="nil"/>
              <w:left w:val="nil"/>
              <w:bottom w:val="single" w:sz="4" w:space="0" w:color="auto"/>
              <w:right w:val="single" w:sz="4" w:space="0" w:color="auto"/>
            </w:tcBorders>
            <w:noWrap/>
            <w:vAlign w:val="center"/>
            <w:hideMark/>
          </w:tcPr>
          <w:p w14:paraId="52632B26" w14:textId="77777777" w:rsidR="001A0C9B" w:rsidRPr="001A0C9B" w:rsidRDefault="001A0C9B" w:rsidP="001A0C9B">
            <w:pPr>
              <w:spacing w:after="0" w:line="240" w:lineRule="auto"/>
              <w:jc w:val="right"/>
              <w:rPr>
                <w:rFonts w:ascii="Times New Roman" w:eastAsia="Times New Roman" w:hAnsi="Times New Roman" w:cs="Times New Roman"/>
                <w:color w:val="000000"/>
                <w:kern w:val="0"/>
                <w:sz w:val="16"/>
                <w:szCs w:val="16"/>
                <w:lang w:eastAsia="en-IN"/>
                <w14:ligatures w14:val="none"/>
              </w:rPr>
            </w:pPr>
            <w:r w:rsidRPr="001A0C9B">
              <w:rPr>
                <w:rFonts w:ascii="Times New Roman" w:eastAsia="Times New Roman" w:hAnsi="Times New Roman" w:cs="Times New Roman"/>
                <w:color w:val="000000"/>
                <w:kern w:val="0"/>
                <w:sz w:val="16"/>
                <w:szCs w:val="16"/>
                <w:lang w:eastAsia="en-IN"/>
                <w14:ligatures w14:val="none"/>
              </w:rPr>
              <w:t>19.74</w:t>
            </w:r>
          </w:p>
        </w:tc>
        <w:tc>
          <w:tcPr>
            <w:tcW w:w="679" w:type="dxa"/>
            <w:tcBorders>
              <w:top w:val="nil"/>
              <w:left w:val="nil"/>
              <w:bottom w:val="single" w:sz="4" w:space="0" w:color="auto"/>
              <w:right w:val="single" w:sz="4" w:space="0" w:color="auto"/>
            </w:tcBorders>
            <w:noWrap/>
            <w:vAlign w:val="center"/>
            <w:hideMark/>
          </w:tcPr>
          <w:p w14:paraId="417B2433" w14:textId="77777777" w:rsidR="001A0C9B" w:rsidRPr="001A0C9B" w:rsidRDefault="001A0C9B" w:rsidP="001A0C9B">
            <w:pPr>
              <w:spacing w:after="0" w:line="240" w:lineRule="auto"/>
              <w:jc w:val="right"/>
              <w:rPr>
                <w:rFonts w:ascii="Times New Roman" w:eastAsia="Times New Roman" w:hAnsi="Times New Roman" w:cs="Times New Roman"/>
                <w:color w:val="000000"/>
                <w:kern w:val="0"/>
                <w:sz w:val="16"/>
                <w:szCs w:val="16"/>
                <w:lang w:eastAsia="en-IN"/>
                <w14:ligatures w14:val="none"/>
              </w:rPr>
            </w:pPr>
            <w:r w:rsidRPr="001A0C9B">
              <w:rPr>
                <w:rFonts w:ascii="Times New Roman" w:eastAsia="Times New Roman" w:hAnsi="Times New Roman" w:cs="Times New Roman"/>
                <w:color w:val="000000"/>
                <w:kern w:val="0"/>
                <w:sz w:val="16"/>
                <w:szCs w:val="16"/>
                <w:lang w:eastAsia="en-IN"/>
                <w14:ligatures w14:val="none"/>
              </w:rPr>
              <w:t>10.23</w:t>
            </w:r>
          </w:p>
        </w:tc>
        <w:tc>
          <w:tcPr>
            <w:tcW w:w="773" w:type="dxa"/>
            <w:tcBorders>
              <w:top w:val="nil"/>
              <w:left w:val="nil"/>
              <w:bottom w:val="single" w:sz="4" w:space="0" w:color="auto"/>
              <w:right w:val="single" w:sz="4" w:space="0" w:color="auto"/>
            </w:tcBorders>
            <w:noWrap/>
            <w:vAlign w:val="center"/>
            <w:hideMark/>
          </w:tcPr>
          <w:p w14:paraId="2C2898BD" w14:textId="77777777" w:rsidR="001A0C9B" w:rsidRPr="001A0C9B" w:rsidRDefault="001A0C9B" w:rsidP="001A0C9B">
            <w:pPr>
              <w:spacing w:after="0" w:line="240" w:lineRule="auto"/>
              <w:jc w:val="right"/>
              <w:rPr>
                <w:rFonts w:ascii="Times New Roman" w:eastAsia="Times New Roman" w:hAnsi="Times New Roman" w:cs="Times New Roman"/>
                <w:color w:val="000000"/>
                <w:kern w:val="0"/>
                <w:sz w:val="16"/>
                <w:szCs w:val="16"/>
                <w:lang w:eastAsia="en-IN"/>
                <w14:ligatures w14:val="none"/>
              </w:rPr>
            </w:pPr>
            <w:r w:rsidRPr="001A0C9B">
              <w:rPr>
                <w:rFonts w:ascii="Times New Roman" w:eastAsia="Times New Roman" w:hAnsi="Times New Roman" w:cs="Times New Roman"/>
                <w:color w:val="000000"/>
                <w:kern w:val="0"/>
                <w:sz w:val="16"/>
                <w:szCs w:val="16"/>
                <w:lang w:eastAsia="en-IN"/>
                <w14:ligatures w14:val="none"/>
              </w:rPr>
              <w:t>3.25</w:t>
            </w:r>
          </w:p>
        </w:tc>
        <w:tc>
          <w:tcPr>
            <w:tcW w:w="981" w:type="dxa"/>
            <w:tcBorders>
              <w:top w:val="nil"/>
              <w:left w:val="nil"/>
              <w:bottom w:val="single" w:sz="4" w:space="0" w:color="auto"/>
              <w:right w:val="single" w:sz="4" w:space="0" w:color="auto"/>
            </w:tcBorders>
            <w:noWrap/>
            <w:vAlign w:val="center"/>
            <w:hideMark/>
          </w:tcPr>
          <w:p w14:paraId="2C7846D4" w14:textId="77777777" w:rsidR="001A0C9B" w:rsidRPr="001A0C9B" w:rsidRDefault="001A0C9B" w:rsidP="001A0C9B">
            <w:pPr>
              <w:spacing w:after="0" w:line="240" w:lineRule="auto"/>
              <w:jc w:val="right"/>
              <w:rPr>
                <w:rFonts w:ascii="Times New Roman" w:eastAsia="Times New Roman" w:hAnsi="Times New Roman" w:cs="Times New Roman"/>
                <w:color w:val="000000"/>
                <w:kern w:val="0"/>
                <w:sz w:val="16"/>
                <w:szCs w:val="16"/>
                <w:lang w:eastAsia="en-IN"/>
                <w14:ligatures w14:val="none"/>
              </w:rPr>
            </w:pPr>
            <w:r w:rsidRPr="001A0C9B">
              <w:rPr>
                <w:rFonts w:ascii="Times New Roman" w:eastAsia="Times New Roman" w:hAnsi="Times New Roman" w:cs="Times New Roman"/>
                <w:color w:val="000000"/>
                <w:kern w:val="0"/>
                <w:sz w:val="16"/>
                <w:szCs w:val="16"/>
                <w:lang w:eastAsia="en-IN"/>
                <w14:ligatures w14:val="none"/>
              </w:rPr>
              <w:t>0.81</w:t>
            </w:r>
          </w:p>
        </w:tc>
        <w:tc>
          <w:tcPr>
            <w:tcW w:w="782" w:type="dxa"/>
            <w:tcBorders>
              <w:top w:val="nil"/>
              <w:left w:val="nil"/>
              <w:bottom w:val="single" w:sz="4" w:space="0" w:color="auto"/>
              <w:right w:val="single" w:sz="4" w:space="0" w:color="auto"/>
            </w:tcBorders>
            <w:noWrap/>
            <w:vAlign w:val="center"/>
            <w:hideMark/>
          </w:tcPr>
          <w:p w14:paraId="1D420763" w14:textId="77777777" w:rsidR="001A0C9B" w:rsidRPr="001A0C9B" w:rsidRDefault="001A0C9B" w:rsidP="001A0C9B">
            <w:pPr>
              <w:spacing w:after="0" w:line="240" w:lineRule="auto"/>
              <w:jc w:val="right"/>
              <w:rPr>
                <w:rFonts w:ascii="Times New Roman" w:eastAsia="Times New Roman" w:hAnsi="Times New Roman" w:cs="Times New Roman"/>
                <w:color w:val="000000"/>
                <w:kern w:val="0"/>
                <w:sz w:val="16"/>
                <w:szCs w:val="16"/>
                <w:lang w:eastAsia="en-IN"/>
                <w14:ligatures w14:val="none"/>
              </w:rPr>
            </w:pPr>
            <w:r w:rsidRPr="001A0C9B">
              <w:rPr>
                <w:rFonts w:ascii="Times New Roman" w:eastAsia="Times New Roman" w:hAnsi="Times New Roman" w:cs="Times New Roman"/>
                <w:color w:val="000000"/>
                <w:kern w:val="0"/>
                <w:sz w:val="16"/>
                <w:szCs w:val="16"/>
                <w:lang w:eastAsia="en-IN"/>
                <w14:ligatures w14:val="none"/>
              </w:rPr>
              <w:t>21.18</w:t>
            </w:r>
          </w:p>
        </w:tc>
        <w:tc>
          <w:tcPr>
            <w:tcW w:w="723" w:type="dxa"/>
            <w:tcBorders>
              <w:top w:val="nil"/>
              <w:left w:val="nil"/>
              <w:bottom w:val="single" w:sz="4" w:space="0" w:color="auto"/>
              <w:right w:val="single" w:sz="4" w:space="0" w:color="auto"/>
            </w:tcBorders>
            <w:noWrap/>
            <w:vAlign w:val="center"/>
            <w:hideMark/>
          </w:tcPr>
          <w:p w14:paraId="092228AD" w14:textId="77777777" w:rsidR="001A0C9B" w:rsidRPr="001A0C9B" w:rsidRDefault="001A0C9B" w:rsidP="001A0C9B">
            <w:pPr>
              <w:spacing w:after="0" w:line="240" w:lineRule="auto"/>
              <w:jc w:val="right"/>
              <w:rPr>
                <w:rFonts w:ascii="Times New Roman" w:eastAsia="Times New Roman" w:hAnsi="Times New Roman" w:cs="Times New Roman"/>
                <w:color w:val="000000"/>
                <w:kern w:val="0"/>
                <w:sz w:val="16"/>
                <w:szCs w:val="16"/>
                <w:lang w:eastAsia="en-IN"/>
                <w14:ligatures w14:val="none"/>
              </w:rPr>
            </w:pPr>
            <w:r w:rsidRPr="001A0C9B">
              <w:rPr>
                <w:rFonts w:ascii="Times New Roman" w:eastAsia="Times New Roman" w:hAnsi="Times New Roman" w:cs="Times New Roman"/>
                <w:color w:val="000000"/>
                <w:kern w:val="0"/>
                <w:sz w:val="16"/>
                <w:szCs w:val="16"/>
                <w:lang w:eastAsia="en-IN"/>
                <w14:ligatures w14:val="none"/>
              </w:rPr>
              <w:t>10.73</w:t>
            </w:r>
          </w:p>
        </w:tc>
        <w:tc>
          <w:tcPr>
            <w:tcW w:w="741" w:type="dxa"/>
            <w:tcBorders>
              <w:top w:val="nil"/>
              <w:left w:val="nil"/>
              <w:bottom w:val="single" w:sz="4" w:space="0" w:color="auto"/>
              <w:right w:val="single" w:sz="4" w:space="0" w:color="auto"/>
            </w:tcBorders>
            <w:noWrap/>
            <w:vAlign w:val="center"/>
            <w:hideMark/>
          </w:tcPr>
          <w:p w14:paraId="7E7F21CD" w14:textId="77777777" w:rsidR="001A0C9B" w:rsidRPr="001A0C9B" w:rsidRDefault="001A0C9B" w:rsidP="001A0C9B">
            <w:pPr>
              <w:spacing w:after="0" w:line="240" w:lineRule="auto"/>
              <w:jc w:val="right"/>
              <w:rPr>
                <w:rFonts w:ascii="Times New Roman" w:eastAsia="Times New Roman" w:hAnsi="Times New Roman" w:cs="Times New Roman"/>
                <w:color w:val="000000"/>
                <w:kern w:val="0"/>
                <w:sz w:val="16"/>
                <w:szCs w:val="16"/>
                <w:lang w:eastAsia="en-IN"/>
                <w14:ligatures w14:val="none"/>
              </w:rPr>
            </w:pPr>
            <w:r w:rsidRPr="001A0C9B">
              <w:rPr>
                <w:rFonts w:ascii="Times New Roman" w:eastAsia="Times New Roman" w:hAnsi="Times New Roman" w:cs="Times New Roman"/>
                <w:color w:val="000000"/>
                <w:kern w:val="0"/>
                <w:sz w:val="16"/>
                <w:szCs w:val="16"/>
                <w:lang w:eastAsia="en-IN"/>
                <w14:ligatures w14:val="none"/>
              </w:rPr>
              <w:t>1.28</w:t>
            </w:r>
          </w:p>
        </w:tc>
        <w:tc>
          <w:tcPr>
            <w:tcW w:w="981" w:type="dxa"/>
            <w:tcBorders>
              <w:top w:val="nil"/>
              <w:left w:val="nil"/>
              <w:bottom w:val="single" w:sz="4" w:space="0" w:color="auto"/>
              <w:right w:val="single" w:sz="4" w:space="0" w:color="auto"/>
            </w:tcBorders>
            <w:noWrap/>
            <w:vAlign w:val="center"/>
            <w:hideMark/>
          </w:tcPr>
          <w:p w14:paraId="6E40B513" w14:textId="77777777" w:rsidR="001A0C9B" w:rsidRPr="001A0C9B" w:rsidRDefault="001A0C9B" w:rsidP="001A0C9B">
            <w:pPr>
              <w:spacing w:after="0" w:line="240" w:lineRule="auto"/>
              <w:jc w:val="right"/>
              <w:rPr>
                <w:rFonts w:ascii="Times New Roman" w:eastAsia="Times New Roman" w:hAnsi="Times New Roman" w:cs="Times New Roman"/>
                <w:color w:val="000000"/>
                <w:kern w:val="0"/>
                <w:sz w:val="16"/>
                <w:szCs w:val="16"/>
                <w:lang w:eastAsia="en-IN"/>
                <w14:ligatures w14:val="none"/>
              </w:rPr>
            </w:pPr>
            <w:r w:rsidRPr="001A0C9B">
              <w:rPr>
                <w:rFonts w:ascii="Times New Roman" w:eastAsia="Times New Roman" w:hAnsi="Times New Roman" w:cs="Times New Roman"/>
                <w:color w:val="000000"/>
                <w:kern w:val="0"/>
                <w:sz w:val="16"/>
                <w:szCs w:val="16"/>
                <w:lang w:eastAsia="en-IN"/>
                <w14:ligatures w14:val="none"/>
              </w:rPr>
              <w:t>0.81</w:t>
            </w:r>
          </w:p>
        </w:tc>
        <w:tc>
          <w:tcPr>
            <w:tcW w:w="754" w:type="dxa"/>
            <w:tcBorders>
              <w:top w:val="nil"/>
              <w:left w:val="nil"/>
              <w:bottom w:val="single" w:sz="4" w:space="0" w:color="auto"/>
              <w:right w:val="single" w:sz="4" w:space="0" w:color="auto"/>
            </w:tcBorders>
            <w:noWrap/>
            <w:vAlign w:val="center"/>
            <w:hideMark/>
          </w:tcPr>
          <w:p w14:paraId="436F80A1" w14:textId="77777777" w:rsidR="001A0C9B" w:rsidRPr="001A0C9B" w:rsidRDefault="001A0C9B" w:rsidP="001A0C9B">
            <w:pPr>
              <w:spacing w:after="0" w:line="240" w:lineRule="auto"/>
              <w:jc w:val="right"/>
              <w:rPr>
                <w:rFonts w:ascii="Times New Roman" w:eastAsia="Times New Roman" w:hAnsi="Times New Roman" w:cs="Times New Roman"/>
                <w:color w:val="000000"/>
                <w:kern w:val="0"/>
                <w:sz w:val="16"/>
                <w:szCs w:val="16"/>
                <w:lang w:eastAsia="en-IN"/>
                <w14:ligatures w14:val="none"/>
              </w:rPr>
            </w:pPr>
            <w:r w:rsidRPr="001A0C9B">
              <w:rPr>
                <w:rFonts w:ascii="Times New Roman" w:eastAsia="Times New Roman" w:hAnsi="Times New Roman" w:cs="Times New Roman"/>
                <w:color w:val="000000"/>
                <w:kern w:val="0"/>
                <w:sz w:val="16"/>
                <w:szCs w:val="16"/>
                <w:lang w:eastAsia="en-IN"/>
                <w14:ligatures w14:val="none"/>
              </w:rPr>
              <w:t>24.25</w:t>
            </w:r>
          </w:p>
        </w:tc>
        <w:tc>
          <w:tcPr>
            <w:tcW w:w="723" w:type="dxa"/>
            <w:tcBorders>
              <w:top w:val="nil"/>
              <w:left w:val="nil"/>
              <w:bottom w:val="single" w:sz="4" w:space="0" w:color="auto"/>
              <w:right w:val="single" w:sz="4" w:space="0" w:color="auto"/>
            </w:tcBorders>
            <w:noWrap/>
            <w:vAlign w:val="center"/>
            <w:hideMark/>
          </w:tcPr>
          <w:p w14:paraId="27A67B87" w14:textId="77777777" w:rsidR="001A0C9B" w:rsidRPr="001A0C9B" w:rsidRDefault="001A0C9B" w:rsidP="001A0C9B">
            <w:pPr>
              <w:spacing w:after="0" w:line="240" w:lineRule="auto"/>
              <w:jc w:val="right"/>
              <w:rPr>
                <w:rFonts w:ascii="Times New Roman" w:eastAsia="Times New Roman" w:hAnsi="Times New Roman" w:cs="Times New Roman"/>
                <w:color w:val="000000"/>
                <w:kern w:val="0"/>
                <w:sz w:val="16"/>
                <w:szCs w:val="16"/>
                <w:lang w:eastAsia="en-IN"/>
                <w14:ligatures w14:val="none"/>
              </w:rPr>
            </w:pPr>
            <w:r w:rsidRPr="001A0C9B">
              <w:rPr>
                <w:rFonts w:ascii="Times New Roman" w:eastAsia="Times New Roman" w:hAnsi="Times New Roman" w:cs="Times New Roman"/>
                <w:color w:val="000000"/>
                <w:kern w:val="0"/>
                <w:sz w:val="16"/>
                <w:szCs w:val="16"/>
                <w:lang w:eastAsia="en-IN"/>
                <w14:ligatures w14:val="none"/>
              </w:rPr>
              <w:t>12.12</w:t>
            </w:r>
          </w:p>
        </w:tc>
        <w:tc>
          <w:tcPr>
            <w:tcW w:w="754" w:type="dxa"/>
            <w:tcBorders>
              <w:top w:val="nil"/>
              <w:left w:val="nil"/>
              <w:bottom w:val="single" w:sz="4" w:space="0" w:color="auto"/>
              <w:right w:val="single" w:sz="4" w:space="0" w:color="auto"/>
            </w:tcBorders>
            <w:noWrap/>
            <w:vAlign w:val="center"/>
            <w:hideMark/>
          </w:tcPr>
          <w:p w14:paraId="38DDB81E" w14:textId="77777777" w:rsidR="001A0C9B" w:rsidRPr="001A0C9B" w:rsidRDefault="001A0C9B" w:rsidP="001A0C9B">
            <w:pPr>
              <w:spacing w:after="0" w:line="240" w:lineRule="auto"/>
              <w:jc w:val="right"/>
              <w:rPr>
                <w:rFonts w:ascii="Times New Roman" w:eastAsia="Times New Roman" w:hAnsi="Times New Roman" w:cs="Times New Roman"/>
                <w:color w:val="000000"/>
                <w:kern w:val="0"/>
                <w:sz w:val="16"/>
                <w:szCs w:val="16"/>
                <w:lang w:eastAsia="en-IN"/>
                <w14:ligatures w14:val="none"/>
              </w:rPr>
            </w:pPr>
            <w:r w:rsidRPr="001A0C9B">
              <w:rPr>
                <w:rFonts w:ascii="Times New Roman" w:eastAsia="Times New Roman" w:hAnsi="Times New Roman" w:cs="Times New Roman"/>
                <w:color w:val="000000"/>
                <w:kern w:val="0"/>
                <w:sz w:val="16"/>
                <w:szCs w:val="16"/>
                <w:lang w:eastAsia="en-IN"/>
                <w14:ligatures w14:val="none"/>
              </w:rPr>
              <w:t>1.14</w:t>
            </w:r>
          </w:p>
        </w:tc>
        <w:tc>
          <w:tcPr>
            <w:tcW w:w="981" w:type="dxa"/>
            <w:tcBorders>
              <w:top w:val="nil"/>
              <w:left w:val="nil"/>
              <w:bottom w:val="single" w:sz="4" w:space="0" w:color="auto"/>
              <w:right w:val="single" w:sz="4" w:space="0" w:color="auto"/>
            </w:tcBorders>
            <w:noWrap/>
            <w:vAlign w:val="center"/>
            <w:hideMark/>
          </w:tcPr>
          <w:p w14:paraId="2CED3B14" w14:textId="77777777" w:rsidR="001A0C9B" w:rsidRPr="001A0C9B" w:rsidRDefault="001A0C9B" w:rsidP="001A0C9B">
            <w:pPr>
              <w:spacing w:after="0" w:line="240" w:lineRule="auto"/>
              <w:jc w:val="right"/>
              <w:rPr>
                <w:rFonts w:ascii="Times New Roman" w:eastAsia="Times New Roman" w:hAnsi="Times New Roman" w:cs="Times New Roman"/>
                <w:color w:val="000000"/>
                <w:kern w:val="0"/>
                <w:sz w:val="16"/>
                <w:szCs w:val="16"/>
                <w:lang w:eastAsia="en-IN"/>
                <w14:ligatures w14:val="none"/>
              </w:rPr>
            </w:pPr>
            <w:r w:rsidRPr="001A0C9B">
              <w:rPr>
                <w:rFonts w:ascii="Times New Roman" w:eastAsia="Times New Roman" w:hAnsi="Times New Roman" w:cs="Times New Roman"/>
                <w:color w:val="000000"/>
                <w:kern w:val="0"/>
                <w:sz w:val="16"/>
                <w:szCs w:val="16"/>
                <w:lang w:eastAsia="en-IN"/>
                <w14:ligatures w14:val="none"/>
              </w:rPr>
              <w:t>1.33</w:t>
            </w:r>
          </w:p>
        </w:tc>
        <w:tc>
          <w:tcPr>
            <w:tcW w:w="754" w:type="dxa"/>
            <w:tcBorders>
              <w:top w:val="nil"/>
              <w:left w:val="nil"/>
              <w:bottom w:val="single" w:sz="4" w:space="0" w:color="auto"/>
              <w:right w:val="single" w:sz="4" w:space="0" w:color="auto"/>
            </w:tcBorders>
            <w:noWrap/>
            <w:vAlign w:val="center"/>
            <w:hideMark/>
          </w:tcPr>
          <w:p w14:paraId="2400427D" w14:textId="77777777" w:rsidR="001A0C9B" w:rsidRPr="001A0C9B" w:rsidRDefault="001A0C9B" w:rsidP="001A0C9B">
            <w:pPr>
              <w:spacing w:after="0" w:line="240" w:lineRule="auto"/>
              <w:jc w:val="right"/>
              <w:rPr>
                <w:rFonts w:ascii="Times New Roman" w:eastAsia="Times New Roman" w:hAnsi="Times New Roman" w:cs="Times New Roman"/>
                <w:color w:val="000000"/>
                <w:kern w:val="0"/>
                <w:sz w:val="16"/>
                <w:szCs w:val="16"/>
                <w:lang w:eastAsia="en-IN"/>
                <w14:ligatures w14:val="none"/>
              </w:rPr>
            </w:pPr>
            <w:r w:rsidRPr="001A0C9B">
              <w:rPr>
                <w:rFonts w:ascii="Times New Roman" w:eastAsia="Times New Roman" w:hAnsi="Times New Roman" w:cs="Times New Roman"/>
                <w:color w:val="000000"/>
                <w:kern w:val="0"/>
                <w:sz w:val="16"/>
                <w:szCs w:val="16"/>
                <w:lang w:eastAsia="en-IN"/>
                <w14:ligatures w14:val="none"/>
              </w:rPr>
              <w:t>24.88</w:t>
            </w:r>
          </w:p>
        </w:tc>
        <w:tc>
          <w:tcPr>
            <w:tcW w:w="723" w:type="dxa"/>
            <w:tcBorders>
              <w:top w:val="nil"/>
              <w:left w:val="nil"/>
              <w:bottom w:val="single" w:sz="4" w:space="0" w:color="auto"/>
              <w:right w:val="single" w:sz="4" w:space="0" w:color="auto"/>
            </w:tcBorders>
            <w:noWrap/>
            <w:vAlign w:val="center"/>
            <w:hideMark/>
          </w:tcPr>
          <w:p w14:paraId="39036F2E" w14:textId="77777777" w:rsidR="001A0C9B" w:rsidRPr="001A0C9B" w:rsidRDefault="001A0C9B" w:rsidP="001A0C9B">
            <w:pPr>
              <w:spacing w:after="0" w:line="240" w:lineRule="auto"/>
              <w:jc w:val="right"/>
              <w:rPr>
                <w:rFonts w:ascii="Times New Roman" w:eastAsia="Times New Roman" w:hAnsi="Times New Roman" w:cs="Times New Roman"/>
                <w:color w:val="000000"/>
                <w:kern w:val="0"/>
                <w:sz w:val="16"/>
                <w:szCs w:val="16"/>
                <w:lang w:eastAsia="en-IN"/>
                <w14:ligatures w14:val="none"/>
              </w:rPr>
            </w:pPr>
            <w:r w:rsidRPr="001A0C9B">
              <w:rPr>
                <w:rFonts w:ascii="Times New Roman" w:eastAsia="Times New Roman" w:hAnsi="Times New Roman" w:cs="Times New Roman"/>
                <w:color w:val="000000"/>
                <w:kern w:val="0"/>
                <w:sz w:val="16"/>
                <w:szCs w:val="16"/>
                <w:lang w:eastAsia="en-IN"/>
                <w14:ligatures w14:val="none"/>
              </w:rPr>
              <w:t>12.03</w:t>
            </w:r>
          </w:p>
        </w:tc>
      </w:tr>
      <w:tr w:rsidR="001A0C9B" w:rsidRPr="001A0C9B" w14:paraId="2A7B0BF4" w14:textId="77777777" w:rsidTr="002A11B0">
        <w:trPr>
          <w:trHeight w:val="166"/>
          <w:jc w:val="center"/>
        </w:trPr>
        <w:tc>
          <w:tcPr>
            <w:tcW w:w="1051" w:type="dxa"/>
            <w:tcBorders>
              <w:top w:val="nil"/>
              <w:left w:val="single" w:sz="4" w:space="0" w:color="auto"/>
              <w:bottom w:val="single" w:sz="4" w:space="0" w:color="auto"/>
              <w:right w:val="single" w:sz="4" w:space="0" w:color="auto"/>
            </w:tcBorders>
            <w:noWrap/>
            <w:vAlign w:val="center"/>
            <w:hideMark/>
          </w:tcPr>
          <w:p w14:paraId="7D693CEB" w14:textId="77777777" w:rsidR="001A0C9B" w:rsidRPr="001A0C9B" w:rsidRDefault="001A0C9B" w:rsidP="001A0C9B">
            <w:pPr>
              <w:spacing w:after="0" w:line="240" w:lineRule="auto"/>
              <w:rPr>
                <w:rFonts w:ascii="Times New Roman" w:eastAsia="Times New Roman" w:hAnsi="Times New Roman" w:cs="Times New Roman"/>
                <w:color w:val="000000"/>
                <w:kern w:val="0"/>
                <w:sz w:val="16"/>
                <w:szCs w:val="16"/>
                <w:lang w:eastAsia="en-IN"/>
                <w14:ligatures w14:val="none"/>
              </w:rPr>
            </w:pPr>
            <w:r w:rsidRPr="001A0C9B">
              <w:rPr>
                <w:rFonts w:ascii="Times New Roman" w:eastAsia="Times New Roman" w:hAnsi="Times New Roman" w:cs="Times New Roman"/>
                <w:color w:val="000000"/>
                <w:kern w:val="0"/>
                <w:sz w:val="16"/>
                <w:szCs w:val="16"/>
                <w:lang w:eastAsia="en-IN"/>
                <w14:ligatures w14:val="none"/>
              </w:rPr>
              <w:t>Punjab</w:t>
            </w:r>
          </w:p>
        </w:tc>
        <w:tc>
          <w:tcPr>
            <w:tcW w:w="669" w:type="dxa"/>
            <w:tcBorders>
              <w:top w:val="nil"/>
              <w:left w:val="nil"/>
              <w:bottom w:val="single" w:sz="4" w:space="0" w:color="auto"/>
              <w:right w:val="single" w:sz="4" w:space="0" w:color="auto"/>
            </w:tcBorders>
            <w:noWrap/>
            <w:vAlign w:val="center"/>
            <w:hideMark/>
          </w:tcPr>
          <w:p w14:paraId="4952F111" w14:textId="77777777" w:rsidR="001A0C9B" w:rsidRPr="001A0C9B" w:rsidRDefault="001A0C9B" w:rsidP="001A0C9B">
            <w:pPr>
              <w:spacing w:after="0" w:line="240" w:lineRule="auto"/>
              <w:jc w:val="right"/>
              <w:rPr>
                <w:rFonts w:ascii="Times New Roman" w:eastAsia="Times New Roman" w:hAnsi="Times New Roman" w:cs="Times New Roman"/>
                <w:color w:val="000000"/>
                <w:kern w:val="0"/>
                <w:sz w:val="16"/>
                <w:szCs w:val="16"/>
                <w:lang w:eastAsia="en-IN"/>
                <w14:ligatures w14:val="none"/>
              </w:rPr>
            </w:pPr>
            <w:r w:rsidRPr="001A0C9B">
              <w:rPr>
                <w:rFonts w:ascii="Times New Roman" w:eastAsia="Times New Roman" w:hAnsi="Times New Roman" w:cs="Times New Roman"/>
                <w:color w:val="000000"/>
                <w:kern w:val="0"/>
                <w:sz w:val="16"/>
                <w:szCs w:val="16"/>
                <w:lang w:eastAsia="en-IN"/>
                <w14:ligatures w14:val="none"/>
              </w:rPr>
              <w:t>25.66</w:t>
            </w:r>
          </w:p>
        </w:tc>
        <w:tc>
          <w:tcPr>
            <w:tcW w:w="723" w:type="dxa"/>
            <w:tcBorders>
              <w:top w:val="nil"/>
              <w:left w:val="nil"/>
              <w:bottom w:val="single" w:sz="4" w:space="0" w:color="auto"/>
              <w:right w:val="single" w:sz="4" w:space="0" w:color="auto"/>
            </w:tcBorders>
            <w:noWrap/>
            <w:vAlign w:val="center"/>
            <w:hideMark/>
          </w:tcPr>
          <w:p w14:paraId="0DF6F005" w14:textId="77777777" w:rsidR="001A0C9B" w:rsidRPr="001A0C9B" w:rsidRDefault="001A0C9B" w:rsidP="001A0C9B">
            <w:pPr>
              <w:spacing w:after="0" w:line="240" w:lineRule="auto"/>
              <w:jc w:val="right"/>
              <w:rPr>
                <w:rFonts w:ascii="Times New Roman" w:eastAsia="Times New Roman" w:hAnsi="Times New Roman" w:cs="Times New Roman"/>
                <w:color w:val="000000"/>
                <w:kern w:val="0"/>
                <w:sz w:val="16"/>
                <w:szCs w:val="16"/>
                <w:lang w:eastAsia="en-IN"/>
                <w14:ligatures w14:val="none"/>
              </w:rPr>
            </w:pPr>
            <w:r w:rsidRPr="001A0C9B">
              <w:rPr>
                <w:rFonts w:ascii="Times New Roman" w:eastAsia="Times New Roman" w:hAnsi="Times New Roman" w:cs="Times New Roman"/>
                <w:color w:val="000000"/>
                <w:kern w:val="0"/>
                <w:sz w:val="16"/>
                <w:szCs w:val="16"/>
                <w:lang w:eastAsia="en-IN"/>
                <w14:ligatures w14:val="none"/>
              </w:rPr>
              <w:t>12.64</w:t>
            </w:r>
          </w:p>
        </w:tc>
        <w:tc>
          <w:tcPr>
            <w:tcW w:w="773" w:type="dxa"/>
            <w:tcBorders>
              <w:top w:val="nil"/>
              <w:left w:val="nil"/>
              <w:bottom w:val="single" w:sz="4" w:space="0" w:color="auto"/>
              <w:right w:val="single" w:sz="4" w:space="0" w:color="auto"/>
            </w:tcBorders>
            <w:noWrap/>
            <w:vAlign w:val="center"/>
            <w:hideMark/>
          </w:tcPr>
          <w:p w14:paraId="5562B74C" w14:textId="77777777" w:rsidR="001A0C9B" w:rsidRPr="001A0C9B" w:rsidRDefault="001A0C9B" w:rsidP="001A0C9B">
            <w:pPr>
              <w:spacing w:after="0" w:line="240" w:lineRule="auto"/>
              <w:rPr>
                <w:rFonts w:ascii="Times New Roman" w:eastAsia="Times New Roman" w:hAnsi="Times New Roman" w:cs="Times New Roman"/>
                <w:color w:val="000000"/>
                <w:kern w:val="0"/>
                <w:sz w:val="16"/>
                <w:szCs w:val="16"/>
                <w:lang w:eastAsia="en-IN"/>
                <w14:ligatures w14:val="none"/>
              </w:rPr>
            </w:pPr>
            <w:r w:rsidRPr="001A0C9B">
              <w:rPr>
                <w:rFonts w:ascii="Times New Roman" w:eastAsia="Times New Roman" w:hAnsi="Times New Roman" w:cs="Times New Roman"/>
                <w:color w:val="000000"/>
                <w:kern w:val="0"/>
                <w:sz w:val="16"/>
                <w:szCs w:val="16"/>
                <w:lang w:eastAsia="en-IN"/>
                <w14:ligatures w14:val="none"/>
              </w:rPr>
              <w:t>40.00(c)</w:t>
            </w:r>
          </w:p>
        </w:tc>
        <w:tc>
          <w:tcPr>
            <w:tcW w:w="981" w:type="dxa"/>
            <w:tcBorders>
              <w:top w:val="nil"/>
              <w:left w:val="nil"/>
              <w:bottom w:val="single" w:sz="4" w:space="0" w:color="auto"/>
              <w:right w:val="single" w:sz="4" w:space="0" w:color="auto"/>
            </w:tcBorders>
            <w:noWrap/>
            <w:vAlign w:val="center"/>
            <w:hideMark/>
          </w:tcPr>
          <w:p w14:paraId="471EC363" w14:textId="77777777" w:rsidR="001A0C9B" w:rsidRPr="001A0C9B" w:rsidRDefault="001A0C9B" w:rsidP="001A0C9B">
            <w:pPr>
              <w:spacing w:after="0" w:line="240" w:lineRule="auto"/>
              <w:rPr>
                <w:rFonts w:ascii="Times New Roman" w:eastAsia="Times New Roman" w:hAnsi="Times New Roman" w:cs="Times New Roman"/>
                <w:color w:val="000000"/>
                <w:kern w:val="0"/>
                <w:sz w:val="16"/>
                <w:szCs w:val="16"/>
                <w:lang w:eastAsia="en-IN"/>
                <w14:ligatures w14:val="none"/>
              </w:rPr>
            </w:pPr>
            <w:r w:rsidRPr="001A0C9B">
              <w:rPr>
                <w:rFonts w:ascii="Times New Roman" w:eastAsia="Times New Roman" w:hAnsi="Times New Roman" w:cs="Times New Roman"/>
                <w:color w:val="000000"/>
                <w:kern w:val="0"/>
                <w:sz w:val="16"/>
                <w:szCs w:val="16"/>
                <w:lang w:eastAsia="en-IN"/>
                <w14:ligatures w14:val="none"/>
              </w:rPr>
              <w:t>52.46(c)</w:t>
            </w:r>
          </w:p>
        </w:tc>
        <w:tc>
          <w:tcPr>
            <w:tcW w:w="669" w:type="dxa"/>
            <w:tcBorders>
              <w:top w:val="nil"/>
              <w:left w:val="nil"/>
              <w:bottom w:val="single" w:sz="4" w:space="0" w:color="auto"/>
              <w:right w:val="single" w:sz="4" w:space="0" w:color="auto"/>
            </w:tcBorders>
            <w:noWrap/>
            <w:vAlign w:val="center"/>
            <w:hideMark/>
          </w:tcPr>
          <w:p w14:paraId="023A9292" w14:textId="77777777" w:rsidR="001A0C9B" w:rsidRPr="001A0C9B" w:rsidRDefault="001A0C9B" w:rsidP="001A0C9B">
            <w:pPr>
              <w:spacing w:after="0" w:line="240" w:lineRule="auto"/>
              <w:jc w:val="right"/>
              <w:rPr>
                <w:rFonts w:ascii="Times New Roman" w:eastAsia="Times New Roman" w:hAnsi="Times New Roman" w:cs="Times New Roman"/>
                <w:color w:val="000000"/>
                <w:kern w:val="0"/>
                <w:sz w:val="16"/>
                <w:szCs w:val="16"/>
                <w:lang w:eastAsia="en-IN"/>
                <w14:ligatures w14:val="none"/>
              </w:rPr>
            </w:pPr>
            <w:r w:rsidRPr="001A0C9B">
              <w:rPr>
                <w:rFonts w:ascii="Times New Roman" w:eastAsia="Times New Roman" w:hAnsi="Times New Roman" w:cs="Times New Roman"/>
                <w:color w:val="000000"/>
                <w:kern w:val="0"/>
                <w:sz w:val="16"/>
                <w:szCs w:val="16"/>
                <w:lang w:eastAsia="en-IN"/>
                <w14:ligatures w14:val="none"/>
              </w:rPr>
              <w:t>55.91</w:t>
            </w:r>
          </w:p>
        </w:tc>
        <w:tc>
          <w:tcPr>
            <w:tcW w:w="679" w:type="dxa"/>
            <w:tcBorders>
              <w:top w:val="nil"/>
              <w:left w:val="nil"/>
              <w:bottom w:val="single" w:sz="4" w:space="0" w:color="auto"/>
              <w:right w:val="single" w:sz="4" w:space="0" w:color="auto"/>
            </w:tcBorders>
            <w:noWrap/>
            <w:vAlign w:val="center"/>
            <w:hideMark/>
          </w:tcPr>
          <w:p w14:paraId="1C15AA35" w14:textId="77777777" w:rsidR="001A0C9B" w:rsidRPr="001A0C9B" w:rsidRDefault="001A0C9B" w:rsidP="001A0C9B">
            <w:pPr>
              <w:spacing w:after="0" w:line="240" w:lineRule="auto"/>
              <w:jc w:val="right"/>
              <w:rPr>
                <w:rFonts w:ascii="Times New Roman" w:eastAsia="Times New Roman" w:hAnsi="Times New Roman" w:cs="Times New Roman"/>
                <w:color w:val="000000"/>
                <w:kern w:val="0"/>
                <w:sz w:val="16"/>
                <w:szCs w:val="16"/>
                <w:lang w:eastAsia="en-IN"/>
                <w14:ligatures w14:val="none"/>
              </w:rPr>
            </w:pPr>
            <w:r w:rsidRPr="001A0C9B">
              <w:rPr>
                <w:rFonts w:ascii="Times New Roman" w:eastAsia="Times New Roman" w:hAnsi="Times New Roman" w:cs="Times New Roman"/>
                <w:color w:val="000000"/>
                <w:kern w:val="0"/>
                <w:sz w:val="16"/>
                <w:szCs w:val="16"/>
                <w:lang w:eastAsia="en-IN"/>
                <w14:ligatures w14:val="none"/>
              </w:rPr>
              <w:t>24.13</w:t>
            </w:r>
          </w:p>
        </w:tc>
        <w:tc>
          <w:tcPr>
            <w:tcW w:w="773" w:type="dxa"/>
            <w:tcBorders>
              <w:top w:val="nil"/>
              <w:left w:val="nil"/>
              <w:bottom w:val="single" w:sz="4" w:space="0" w:color="auto"/>
              <w:right w:val="single" w:sz="4" w:space="0" w:color="auto"/>
            </w:tcBorders>
            <w:noWrap/>
            <w:vAlign w:val="center"/>
            <w:hideMark/>
          </w:tcPr>
          <w:p w14:paraId="062F6B75" w14:textId="77777777" w:rsidR="001A0C9B" w:rsidRPr="001A0C9B" w:rsidRDefault="001A0C9B" w:rsidP="001A0C9B">
            <w:pPr>
              <w:spacing w:after="0" w:line="240" w:lineRule="auto"/>
              <w:rPr>
                <w:rFonts w:ascii="Times New Roman" w:eastAsia="Times New Roman" w:hAnsi="Times New Roman" w:cs="Times New Roman"/>
                <w:color w:val="000000"/>
                <w:kern w:val="0"/>
                <w:sz w:val="16"/>
                <w:szCs w:val="16"/>
                <w:lang w:eastAsia="en-IN"/>
                <w14:ligatures w14:val="none"/>
              </w:rPr>
            </w:pPr>
            <w:r w:rsidRPr="001A0C9B">
              <w:rPr>
                <w:rFonts w:ascii="Times New Roman" w:eastAsia="Times New Roman" w:hAnsi="Times New Roman" w:cs="Times New Roman"/>
                <w:color w:val="000000"/>
                <w:kern w:val="0"/>
                <w:sz w:val="16"/>
                <w:szCs w:val="16"/>
                <w:lang w:eastAsia="en-IN"/>
                <w14:ligatures w14:val="none"/>
              </w:rPr>
              <w:t>4.50(e)</w:t>
            </w:r>
          </w:p>
        </w:tc>
        <w:tc>
          <w:tcPr>
            <w:tcW w:w="981" w:type="dxa"/>
            <w:tcBorders>
              <w:top w:val="nil"/>
              <w:left w:val="nil"/>
              <w:bottom w:val="single" w:sz="4" w:space="0" w:color="auto"/>
              <w:right w:val="single" w:sz="4" w:space="0" w:color="auto"/>
            </w:tcBorders>
            <w:noWrap/>
            <w:vAlign w:val="center"/>
            <w:hideMark/>
          </w:tcPr>
          <w:p w14:paraId="643A1476" w14:textId="77777777" w:rsidR="001A0C9B" w:rsidRPr="001A0C9B" w:rsidRDefault="001A0C9B" w:rsidP="001A0C9B">
            <w:pPr>
              <w:spacing w:after="0" w:line="240" w:lineRule="auto"/>
              <w:jc w:val="right"/>
              <w:rPr>
                <w:rFonts w:ascii="Times New Roman" w:eastAsia="Times New Roman" w:hAnsi="Times New Roman" w:cs="Times New Roman"/>
                <w:color w:val="000000"/>
                <w:kern w:val="0"/>
                <w:sz w:val="16"/>
                <w:szCs w:val="16"/>
                <w:lang w:eastAsia="en-IN"/>
                <w14:ligatures w14:val="none"/>
              </w:rPr>
            </w:pPr>
            <w:r w:rsidRPr="001A0C9B">
              <w:rPr>
                <w:rFonts w:ascii="Times New Roman" w:eastAsia="Times New Roman" w:hAnsi="Times New Roman" w:cs="Times New Roman"/>
                <w:color w:val="000000"/>
                <w:kern w:val="0"/>
                <w:sz w:val="16"/>
                <w:szCs w:val="16"/>
                <w:lang w:eastAsia="en-IN"/>
                <w14:ligatures w14:val="none"/>
              </w:rPr>
              <w:t>0.97</w:t>
            </w:r>
          </w:p>
        </w:tc>
        <w:tc>
          <w:tcPr>
            <w:tcW w:w="782" w:type="dxa"/>
            <w:tcBorders>
              <w:top w:val="nil"/>
              <w:left w:val="nil"/>
              <w:bottom w:val="single" w:sz="4" w:space="0" w:color="auto"/>
              <w:right w:val="single" w:sz="4" w:space="0" w:color="auto"/>
            </w:tcBorders>
            <w:noWrap/>
            <w:vAlign w:val="center"/>
            <w:hideMark/>
          </w:tcPr>
          <w:p w14:paraId="232FCC1C" w14:textId="77777777" w:rsidR="001A0C9B" w:rsidRPr="001A0C9B" w:rsidRDefault="001A0C9B" w:rsidP="001A0C9B">
            <w:pPr>
              <w:spacing w:after="0" w:line="240" w:lineRule="auto"/>
              <w:rPr>
                <w:rFonts w:ascii="Times New Roman" w:eastAsia="Times New Roman" w:hAnsi="Times New Roman" w:cs="Times New Roman"/>
                <w:color w:val="000000"/>
                <w:kern w:val="0"/>
                <w:sz w:val="16"/>
                <w:szCs w:val="16"/>
                <w:lang w:eastAsia="en-IN"/>
                <w14:ligatures w14:val="none"/>
              </w:rPr>
            </w:pPr>
            <w:r w:rsidRPr="001A0C9B">
              <w:rPr>
                <w:rFonts w:ascii="Times New Roman" w:eastAsia="Times New Roman" w:hAnsi="Times New Roman" w:cs="Times New Roman"/>
                <w:color w:val="000000"/>
                <w:kern w:val="0"/>
                <w:sz w:val="16"/>
                <w:szCs w:val="16"/>
                <w:lang w:eastAsia="en-IN"/>
                <w14:ligatures w14:val="none"/>
              </w:rPr>
              <w:t>53.45(d)</w:t>
            </w:r>
          </w:p>
        </w:tc>
        <w:tc>
          <w:tcPr>
            <w:tcW w:w="723" w:type="dxa"/>
            <w:tcBorders>
              <w:top w:val="nil"/>
              <w:left w:val="nil"/>
              <w:bottom w:val="single" w:sz="4" w:space="0" w:color="auto"/>
              <w:right w:val="single" w:sz="4" w:space="0" w:color="auto"/>
            </w:tcBorders>
            <w:noWrap/>
            <w:vAlign w:val="center"/>
            <w:hideMark/>
          </w:tcPr>
          <w:p w14:paraId="7BB60E75" w14:textId="26024A85" w:rsidR="001A0C9B" w:rsidRPr="001A0C9B" w:rsidRDefault="001A0C9B" w:rsidP="001A0C9B">
            <w:pPr>
              <w:spacing w:after="0" w:line="240" w:lineRule="auto"/>
              <w:jc w:val="right"/>
              <w:rPr>
                <w:rFonts w:ascii="Times New Roman" w:eastAsia="Times New Roman" w:hAnsi="Times New Roman" w:cs="Times New Roman"/>
                <w:color w:val="000000"/>
                <w:kern w:val="0"/>
                <w:sz w:val="16"/>
                <w:szCs w:val="16"/>
                <w:lang w:eastAsia="en-IN"/>
                <w14:ligatures w14:val="none"/>
              </w:rPr>
            </w:pPr>
            <w:r w:rsidRPr="001A0C9B">
              <w:rPr>
                <w:rFonts w:ascii="Times New Roman" w:eastAsia="Times New Roman" w:hAnsi="Times New Roman" w:cs="Times New Roman"/>
                <w:color w:val="000000"/>
                <w:kern w:val="0"/>
                <w:sz w:val="16"/>
                <w:szCs w:val="16"/>
                <w:lang w:eastAsia="en-IN"/>
                <w14:ligatures w14:val="none"/>
              </w:rPr>
              <w:t>40.8</w:t>
            </w:r>
            <w:r w:rsidR="0063665D">
              <w:rPr>
                <w:rFonts w:ascii="Times New Roman" w:eastAsia="Times New Roman" w:hAnsi="Times New Roman" w:cs="Times New Roman"/>
                <w:color w:val="000000"/>
                <w:kern w:val="0"/>
                <w:sz w:val="16"/>
                <w:szCs w:val="16"/>
                <w:lang w:eastAsia="en-IN"/>
                <w14:ligatures w14:val="none"/>
              </w:rPr>
              <w:t>0</w:t>
            </w:r>
          </w:p>
        </w:tc>
        <w:tc>
          <w:tcPr>
            <w:tcW w:w="741" w:type="dxa"/>
            <w:tcBorders>
              <w:top w:val="nil"/>
              <w:left w:val="nil"/>
              <w:bottom w:val="single" w:sz="4" w:space="0" w:color="auto"/>
              <w:right w:val="single" w:sz="4" w:space="0" w:color="auto"/>
            </w:tcBorders>
            <w:noWrap/>
            <w:vAlign w:val="center"/>
            <w:hideMark/>
          </w:tcPr>
          <w:p w14:paraId="125598DD" w14:textId="77777777" w:rsidR="001A0C9B" w:rsidRPr="001A0C9B" w:rsidRDefault="001A0C9B" w:rsidP="001A0C9B">
            <w:pPr>
              <w:spacing w:after="0" w:line="240" w:lineRule="auto"/>
              <w:jc w:val="right"/>
              <w:rPr>
                <w:rFonts w:ascii="Times New Roman" w:eastAsia="Times New Roman" w:hAnsi="Times New Roman" w:cs="Times New Roman"/>
                <w:color w:val="000000"/>
                <w:kern w:val="0"/>
                <w:sz w:val="16"/>
                <w:szCs w:val="16"/>
                <w:lang w:eastAsia="en-IN"/>
                <w14:ligatures w14:val="none"/>
              </w:rPr>
            </w:pPr>
            <w:r w:rsidRPr="001A0C9B">
              <w:rPr>
                <w:rFonts w:ascii="Times New Roman" w:eastAsia="Times New Roman" w:hAnsi="Times New Roman" w:cs="Times New Roman"/>
                <w:color w:val="000000"/>
                <w:kern w:val="0"/>
                <w:sz w:val="16"/>
                <w:szCs w:val="16"/>
                <w:lang w:eastAsia="en-IN"/>
                <w14:ligatures w14:val="none"/>
              </w:rPr>
              <w:t>5.32</w:t>
            </w:r>
          </w:p>
        </w:tc>
        <w:tc>
          <w:tcPr>
            <w:tcW w:w="981" w:type="dxa"/>
            <w:tcBorders>
              <w:top w:val="nil"/>
              <w:left w:val="nil"/>
              <w:bottom w:val="single" w:sz="4" w:space="0" w:color="auto"/>
              <w:right w:val="single" w:sz="4" w:space="0" w:color="auto"/>
            </w:tcBorders>
            <w:noWrap/>
            <w:vAlign w:val="center"/>
            <w:hideMark/>
          </w:tcPr>
          <w:p w14:paraId="78D62196" w14:textId="4BF51F0D" w:rsidR="001A0C9B" w:rsidRPr="001A0C9B" w:rsidRDefault="001A0C9B" w:rsidP="001A0C9B">
            <w:pPr>
              <w:spacing w:after="0" w:line="240" w:lineRule="auto"/>
              <w:jc w:val="right"/>
              <w:rPr>
                <w:rFonts w:ascii="Times New Roman" w:eastAsia="Times New Roman" w:hAnsi="Times New Roman" w:cs="Times New Roman"/>
                <w:color w:val="000000"/>
                <w:kern w:val="0"/>
                <w:sz w:val="16"/>
                <w:szCs w:val="16"/>
                <w:lang w:eastAsia="en-IN"/>
                <w14:ligatures w14:val="none"/>
              </w:rPr>
            </w:pPr>
            <w:r w:rsidRPr="001A0C9B">
              <w:rPr>
                <w:rFonts w:ascii="Times New Roman" w:eastAsia="Times New Roman" w:hAnsi="Times New Roman" w:cs="Times New Roman"/>
                <w:color w:val="000000"/>
                <w:kern w:val="0"/>
                <w:sz w:val="16"/>
                <w:szCs w:val="16"/>
                <w:lang w:eastAsia="en-IN"/>
                <w14:ligatures w14:val="none"/>
              </w:rPr>
              <w:t>0.9</w:t>
            </w:r>
            <w:r w:rsidR="0063665D">
              <w:rPr>
                <w:rFonts w:ascii="Times New Roman" w:eastAsia="Times New Roman" w:hAnsi="Times New Roman" w:cs="Times New Roman"/>
                <w:color w:val="000000"/>
                <w:kern w:val="0"/>
                <w:sz w:val="16"/>
                <w:szCs w:val="16"/>
                <w:lang w:eastAsia="en-IN"/>
                <w14:ligatures w14:val="none"/>
              </w:rPr>
              <w:t>0</w:t>
            </w:r>
          </w:p>
        </w:tc>
        <w:tc>
          <w:tcPr>
            <w:tcW w:w="754" w:type="dxa"/>
            <w:tcBorders>
              <w:top w:val="nil"/>
              <w:left w:val="nil"/>
              <w:bottom w:val="single" w:sz="4" w:space="0" w:color="auto"/>
              <w:right w:val="single" w:sz="4" w:space="0" w:color="auto"/>
            </w:tcBorders>
            <w:noWrap/>
            <w:vAlign w:val="center"/>
            <w:hideMark/>
          </w:tcPr>
          <w:p w14:paraId="49D36663" w14:textId="71A116D0" w:rsidR="001A0C9B" w:rsidRPr="001A0C9B" w:rsidRDefault="001A0C9B" w:rsidP="001A0C9B">
            <w:pPr>
              <w:spacing w:after="0" w:line="240" w:lineRule="auto"/>
              <w:jc w:val="right"/>
              <w:rPr>
                <w:rFonts w:ascii="Times New Roman" w:eastAsia="Times New Roman" w:hAnsi="Times New Roman" w:cs="Times New Roman"/>
                <w:color w:val="000000"/>
                <w:kern w:val="0"/>
                <w:sz w:val="16"/>
                <w:szCs w:val="16"/>
                <w:lang w:eastAsia="en-IN"/>
                <w14:ligatures w14:val="none"/>
              </w:rPr>
            </w:pPr>
            <w:r w:rsidRPr="001A0C9B">
              <w:rPr>
                <w:rFonts w:ascii="Times New Roman" w:eastAsia="Times New Roman" w:hAnsi="Times New Roman" w:cs="Times New Roman"/>
                <w:color w:val="000000"/>
                <w:kern w:val="0"/>
                <w:sz w:val="16"/>
                <w:szCs w:val="16"/>
                <w:lang w:eastAsia="en-IN"/>
                <w14:ligatures w14:val="none"/>
              </w:rPr>
              <w:t>50.2</w:t>
            </w:r>
            <w:r w:rsidR="0063665D">
              <w:rPr>
                <w:rFonts w:ascii="Times New Roman" w:eastAsia="Times New Roman" w:hAnsi="Times New Roman" w:cs="Times New Roman"/>
                <w:color w:val="000000"/>
                <w:kern w:val="0"/>
                <w:sz w:val="16"/>
                <w:szCs w:val="16"/>
                <w:lang w:eastAsia="en-IN"/>
                <w14:ligatures w14:val="none"/>
              </w:rPr>
              <w:t>0</w:t>
            </w:r>
          </w:p>
        </w:tc>
        <w:tc>
          <w:tcPr>
            <w:tcW w:w="723" w:type="dxa"/>
            <w:tcBorders>
              <w:top w:val="nil"/>
              <w:left w:val="nil"/>
              <w:bottom w:val="single" w:sz="4" w:space="0" w:color="auto"/>
              <w:right w:val="single" w:sz="4" w:space="0" w:color="auto"/>
            </w:tcBorders>
            <w:noWrap/>
            <w:vAlign w:val="center"/>
            <w:hideMark/>
          </w:tcPr>
          <w:p w14:paraId="4E0BB736" w14:textId="77777777" w:rsidR="001A0C9B" w:rsidRPr="001A0C9B" w:rsidRDefault="001A0C9B" w:rsidP="001A0C9B">
            <w:pPr>
              <w:spacing w:after="0" w:line="240" w:lineRule="auto"/>
              <w:jc w:val="right"/>
              <w:rPr>
                <w:rFonts w:ascii="Times New Roman" w:eastAsia="Times New Roman" w:hAnsi="Times New Roman" w:cs="Times New Roman"/>
                <w:color w:val="000000"/>
                <w:kern w:val="0"/>
                <w:sz w:val="16"/>
                <w:szCs w:val="16"/>
                <w:lang w:eastAsia="en-IN"/>
                <w14:ligatures w14:val="none"/>
              </w:rPr>
            </w:pPr>
            <w:r w:rsidRPr="001A0C9B">
              <w:rPr>
                <w:rFonts w:ascii="Times New Roman" w:eastAsia="Times New Roman" w:hAnsi="Times New Roman" w:cs="Times New Roman"/>
                <w:color w:val="000000"/>
                <w:kern w:val="0"/>
                <w:sz w:val="16"/>
                <w:szCs w:val="16"/>
                <w:lang w:eastAsia="en-IN"/>
                <w14:ligatures w14:val="none"/>
              </w:rPr>
              <w:t>37.46</w:t>
            </w:r>
          </w:p>
        </w:tc>
        <w:tc>
          <w:tcPr>
            <w:tcW w:w="754" w:type="dxa"/>
            <w:tcBorders>
              <w:top w:val="nil"/>
              <w:left w:val="nil"/>
              <w:bottom w:val="single" w:sz="4" w:space="0" w:color="auto"/>
              <w:right w:val="single" w:sz="4" w:space="0" w:color="auto"/>
            </w:tcBorders>
            <w:noWrap/>
            <w:vAlign w:val="center"/>
            <w:hideMark/>
          </w:tcPr>
          <w:p w14:paraId="328064E4" w14:textId="77777777" w:rsidR="001A0C9B" w:rsidRPr="001A0C9B" w:rsidRDefault="001A0C9B" w:rsidP="001A0C9B">
            <w:pPr>
              <w:spacing w:after="0" w:line="240" w:lineRule="auto"/>
              <w:rPr>
                <w:rFonts w:ascii="Times New Roman" w:eastAsia="Times New Roman" w:hAnsi="Times New Roman" w:cs="Times New Roman"/>
                <w:color w:val="000000"/>
                <w:kern w:val="0"/>
                <w:sz w:val="16"/>
                <w:szCs w:val="16"/>
                <w:lang w:eastAsia="en-IN"/>
                <w14:ligatures w14:val="none"/>
              </w:rPr>
            </w:pPr>
            <w:r w:rsidRPr="001A0C9B">
              <w:rPr>
                <w:rFonts w:ascii="Times New Roman" w:eastAsia="Times New Roman" w:hAnsi="Times New Roman" w:cs="Times New Roman"/>
                <w:color w:val="000000"/>
                <w:kern w:val="0"/>
                <w:sz w:val="16"/>
                <w:szCs w:val="16"/>
                <w:lang w:eastAsia="en-IN"/>
                <w14:ligatures w14:val="none"/>
              </w:rPr>
              <w:t>..</w:t>
            </w:r>
          </w:p>
        </w:tc>
        <w:tc>
          <w:tcPr>
            <w:tcW w:w="981" w:type="dxa"/>
            <w:tcBorders>
              <w:top w:val="nil"/>
              <w:left w:val="nil"/>
              <w:bottom w:val="single" w:sz="4" w:space="0" w:color="auto"/>
              <w:right w:val="single" w:sz="4" w:space="0" w:color="auto"/>
            </w:tcBorders>
            <w:noWrap/>
            <w:vAlign w:val="center"/>
            <w:hideMark/>
          </w:tcPr>
          <w:p w14:paraId="02AB433E" w14:textId="77777777" w:rsidR="001A0C9B" w:rsidRPr="001A0C9B" w:rsidRDefault="001A0C9B" w:rsidP="001A0C9B">
            <w:pPr>
              <w:spacing w:after="0" w:line="240" w:lineRule="auto"/>
              <w:jc w:val="right"/>
              <w:rPr>
                <w:rFonts w:ascii="Times New Roman" w:eastAsia="Times New Roman" w:hAnsi="Times New Roman" w:cs="Times New Roman"/>
                <w:color w:val="000000"/>
                <w:kern w:val="0"/>
                <w:sz w:val="16"/>
                <w:szCs w:val="16"/>
                <w:lang w:eastAsia="en-IN"/>
                <w14:ligatures w14:val="none"/>
              </w:rPr>
            </w:pPr>
            <w:r w:rsidRPr="001A0C9B">
              <w:rPr>
                <w:rFonts w:ascii="Times New Roman" w:eastAsia="Times New Roman" w:hAnsi="Times New Roman" w:cs="Times New Roman"/>
                <w:color w:val="000000"/>
                <w:kern w:val="0"/>
                <w:sz w:val="16"/>
                <w:szCs w:val="16"/>
                <w:lang w:eastAsia="en-IN"/>
                <w14:ligatures w14:val="none"/>
              </w:rPr>
              <w:t>1.63</w:t>
            </w:r>
          </w:p>
        </w:tc>
        <w:tc>
          <w:tcPr>
            <w:tcW w:w="754" w:type="dxa"/>
            <w:tcBorders>
              <w:top w:val="nil"/>
              <w:left w:val="nil"/>
              <w:bottom w:val="single" w:sz="4" w:space="0" w:color="auto"/>
              <w:right w:val="single" w:sz="4" w:space="0" w:color="auto"/>
            </w:tcBorders>
            <w:noWrap/>
            <w:vAlign w:val="center"/>
            <w:hideMark/>
          </w:tcPr>
          <w:p w14:paraId="7F3F4EC7" w14:textId="77777777" w:rsidR="001A0C9B" w:rsidRPr="001A0C9B" w:rsidRDefault="001A0C9B" w:rsidP="001A0C9B">
            <w:pPr>
              <w:spacing w:after="0" w:line="240" w:lineRule="auto"/>
              <w:jc w:val="right"/>
              <w:rPr>
                <w:rFonts w:ascii="Times New Roman" w:eastAsia="Times New Roman" w:hAnsi="Times New Roman" w:cs="Times New Roman"/>
                <w:color w:val="000000"/>
                <w:kern w:val="0"/>
                <w:sz w:val="16"/>
                <w:szCs w:val="16"/>
                <w:lang w:eastAsia="en-IN"/>
                <w14:ligatures w14:val="none"/>
              </w:rPr>
            </w:pPr>
            <w:r w:rsidRPr="001A0C9B">
              <w:rPr>
                <w:rFonts w:ascii="Times New Roman" w:eastAsia="Times New Roman" w:hAnsi="Times New Roman" w:cs="Times New Roman"/>
                <w:color w:val="000000"/>
                <w:kern w:val="0"/>
                <w:sz w:val="16"/>
                <w:szCs w:val="16"/>
                <w:lang w:eastAsia="en-IN"/>
                <w14:ligatures w14:val="none"/>
              </w:rPr>
              <w:t>63.6</w:t>
            </w:r>
          </w:p>
        </w:tc>
        <w:tc>
          <w:tcPr>
            <w:tcW w:w="723" w:type="dxa"/>
            <w:tcBorders>
              <w:top w:val="nil"/>
              <w:left w:val="nil"/>
              <w:bottom w:val="single" w:sz="4" w:space="0" w:color="auto"/>
              <w:right w:val="single" w:sz="4" w:space="0" w:color="auto"/>
            </w:tcBorders>
            <w:noWrap/>
            <w:vAlign w:val="center"/>
            <w:hideMark/>
          </w:tcPr>
          <w:p w14:paraId="3ABE1D69" w14:textId="77777777" w:rsidR="001A0C9B" w:rsidRPr="001A0C9B" w:rsidRDefault="001A0C9B" w:rsidP="001A0C9B">
            <w:pPr>
              <w:spacing w:after="0" w:line="240" w:lineRule="auto"/>
              <w:jc w:val="right"/>
              <w:rPr>
                <w:rFonts w:ascii="Times New Roman" w:eastAsia="Times New Roman" w:hAnsi="Times New Roman" w:cs="Times New Roman"/>
                <w:color w:val="000000"/>
                <w:kern w:val="0"/>
                <w:sz w:val="16"/>
                <w:szCs w:val="16"/>
                <w:lang w:eastAsia="en-IN"/>
                <w14:ligatures w14:val="none"/>
              </w:rPr>
            </w:pPr>
            <w:r w:rsidRPr="001A0C9B">
              <w:rPr>
                <w:rFonts w:ascii="Times New Roman" w:eastAsia="Times New Roman" w:hAnsi="Times New Roman" w:cs="Times New Roman"/>
                <w:color w:val="000000"/>
                <w:kern w:val="0"/>
                <w:sz w:val="16"/>
                <w:szCs w:val="16"/>
                <w:lang w:eastAsia="en-IN"/>
                <w14:ligatures w14:val="none"/>
              </w:rPr>
              <w:t>45.64</w:t>
            </w:r>
          </w:p>
        </w:tc>
      </w:tr>
      <w:tr w:rsidR="001A0C9B" w:rsidRPr="001A0C9B" w14:paraId="02C5A0B3" w14:textId="77777777" w:rsidTr="002A11B0">
        <w:trPr>
          <w:trHeight w:val="166"/>
          <w:jc w:val="center"/>
        </w:trPr>
        <w:tc>
          <w:tcPr>
            <w:tcW w:w="1051" w:type="dxa"/>
            <w:tcBorders>
              <w:top w:val="nil"/>
              <w:left w:val="single" w:sz="4" w:space="0" w:color="auto"/>
              <w:bottom w:val="single" w:sz="4" w:space="0" w:color="auto"/>
              <w:right w:val="single" w:sz="4" w:space="0" w:color="auto"/>
            </w:tcBorders>
            <w:noWrap/>
            <w:vAlign w:val="center"/>
            <w:hideMark/>
          </w:tcPr>
          <w:p w14:paraId="4D865C11" w14:textId="77777777" w:rsidR="001A0C9B" w:rsidRPr="001A0C9B" w:rsidRDefault="001A0C9B" w:rsidP="001A0C9B">
            <w:pPr>
              <w:spacing w:after="0" w:line="240" w:lineRule="auto"/>
              <w:rPr>
                <w:rFonts w:ascii="Times New Roman" w:eastAsia="Times New Roman" w:hAnsi="Times New Roman" w:cs="Times New Roman"/>
                <w:color w:val="000000"/>
                <w:kern w:val="0"/>
                <w:sz w:val="16"/>
                <w:szCs w:val="16"/>
                <w:lang w:eastAsia="en-IN"/>
                <w14:ligatures w14:val="none"/>
              </w:rPr>
            </w:pPr>
            <w:r w:rsidRPr="001A0C9B">
              <w:rPr>
                <w:rFonts w:ascii="Times New Roman" w:eastAsia="Times New Roman" w:hAnsi="Times New Roman" w:cs="Times New Roman"/>
                <w:color w:val="000000"/>
                <w:kern w:val="0"/>
                <w:sz w:val="16"/>
                <w:szCs w:val="16"/>
                <w:lang w:eastAsia="en-IN"/>
                <w14:ligatures w14:val="none"/>
              </w:rPr>
              <w:t>Rajasthan</w:t>
            </w:r>
          </w:p>
        </w:tc>
        <w:tc>
          <w:tcPr>
            <w:tcW w:w="669" w:type="dxa"/>
            <w:tcBorders>
              <w:top w:val="nil"/>
              <w:left w:val="nil"/>
              <w:bottom w:val="single" w:sz="4" w:space="0" w:color="auto"/>
              <w:right w:val="single" w:sz="4" w:space="0" w:color="auto"/>
            </w:tcBorders>
            <w:noWrap/>
            <w:vAlign w:val="center"/>
            <w:hideMark/>
          </w:tcPr>
          <w:p w14:paraId="3686DC81" w14:textId="77777777" w:rsidR="001A0C9B" w:rsidRPr="001A0C9B" w:rsidRDefault="001A0C9B" w:rsidP="001A0C9B">
            <w:pPr>
              <w:spacing w:after="0" w:line="240" w:lineRule="auto"/>
              <w:jc w:val="right"/>
              <w:rPr>
                <w:rFonts w:ascii="Times New Roman" w:eastAsia="Times New Roman" w:hAnsi="Times New Roman" w:cs="Times New Roman"/>
                <w:color w:val="000000"/>
                <w:kern w:val="0"/>
                <w:sz w:val="16"/>
                <w:szCs w:val="16"/>
                <w:lang w:eastAsia="en-IN"/>
                <w14:ligatures w14:val="none"/>
              </w:rPr>
            </w:pPr>
            <w:r w:rsidRPr="001A0C9B">
              <w:rPr>
                <w:rFonts w:ascii="Times New Roman" w:eastAsia="Times New Roman" w:hAnsi="Times New Roman" w:cs="Times New Roman"/>
                <w:color w:val="000000"/>
                <w:kern w:val="0"/>
                <w:sz w:val="16"/>
                <w:szCs w:val="16"/>
                <w:lang w:eastAsia="en-IN"/>
                <w14:ligatures w14:val="none"/>
              </w:rPr>
              <w:t>18.12</w:t>
            </w:r>
          </w:p>
        </w:tc>
        <w:tc>
          <w:tcPr>
            <w:tcW w:w="723" w:type="dxa"/>
            <w:tcBorders>
              <w:top w:val="nil"/>
              <w:left w:val="nil"/>
              <w:bottom w:val="single" w:sz="4" w:space="0" w:color="auto"/>
              <w:right w:val="single" w:sz="4" w:space="0" w:color="auto"/>
            </w:tcBorders>
            <w:noWrap/>
            <w:vAlign w:val="center"/>
            <w:hideMark/>
          </w:tcPr>
          <w:p w14:paraId="6EC62304" w14:textId="77777777" w:rsidR="001A0C9B" w:rsidRPr="001A0C9B" w:rsidRDefault="001A0C9B" w:rsidP="001A0C9B">
            <w:pPr>
              <w:spacing w:after="0" w:line="240" w:lineRule="auto"/>
              <w:jc w:val="right"/>
              <w:rPr>
                <w:rFonts w:ascii="Times New Roman" w:eastAsia="Times New Roman" w:hAnsi="Times New Roman" w:cs="Times New Roman"/>
                <w:color w:val="000000"/>
                <w:kern w:val="0"/>
                <w:sz w:val="16"/>
                <w:szCs w:val="16"/>
                <w:lang w:eastAsia="en-IN"/>
                <w14:ligatures w14:val="none"/>
              </w:rPr>
            </w:pPr>
            <w:r w:rsidRPr="001A0C9B">
              <w:rPr>
                <w:rFonts w:ascii="Times New Roman" w:eastAsia="Times New Roman" w:hAnsi="Times New Roman" w:cs="Times New Roman"/>
                <w:color w:val="000000"/>
                <w:kern w:val="0"/>
                <w:sz w:val="16"/>
                <w:szCs w:val="16"/>
                <w:lang w:eastAsia="en-IN"/>
                <w14:ligatures w14:val="none"/>
              </w:rPr>
              <w:t>8.99</w:t>
            </w:r>
          </w:p>
        </w:tc>
        <w:tc>
          <w:tcPr>
            <w:tcW w:w="773" w:type="dxa"/>
            <w:tcBorders>
              <w:top w:val="nil"/>
              <w:left w:val="nil"/>
              <w:bottom w:val="single" w:sz="4" w:space="0" w:color="auto"/>
              <w:right w:val="single" w:sz="4" w:space="0" w:color="auto"/>
            </w:tcBorders>
            <w:noWrap/>
            <w:vAlign w:val="center"/>
            <w:hideMark/>
          </w:tcPr>
          <w:p w14:paraId="423A4EB5" w14:textId="03E39579" w:rsidR="001A0C9B" w:rsidRPr="001A0C9B" w:rsidRDefault="001A0C9B" w:rsidP="001A0C9B">
            <w:pPr>
              <w:spacing w:after="0" w:line="240" w:lineRule="auto"/>
              <w:jc w:val="right"/>
              <w:rPr>
                <w:rFonts w:ascii="Times New Roman" w:eastAsia="Times New Roman" w:hAnsi="Times New Roman" w:cs="Times New Roman"/>
                <w:color w:val="000000"/>
                <w:kern w:val="0"/>
                <w:sz w:val="16"/>
                <w:szCs w:val="16"/>
                <w:lang w:eastAsia="en-IN"/>
                <w14:ligatures w14:val="none"/>
              </w:rPr>
            </w:pPr>
            <w:r w:rsidRPr="001A0C9B">
              <w:rPr>
                <w:rFonts w:ascii="Times New Roman" w:eastAsia="Times New Roman" w:hAnsi="Times New Roman" w:cs="Times New Roman"/>
                <w:color w:val="000000"/>
                <w:kern w:val="0"/>
                <w:sz w:val="16"/>
                <w:szCs w:val="16"/>
                <w:lang w:eastAsia="en-IN"/>
                <w14:ligatures w14:val="none"/>
              </w:rPr>
              <w:t>32</w:t>
            </w:r>
            <w:r w:rsidR="0063665D">
              <w:rPr>
                <w:rFonts w:ascii="Times New Roman" w:eastAsia="Times New Roman" w:hAnsi="Times New Roman" w:cs="Times New Roman"/>
                <w:color w:val="000000"/>
                <w:kern w:val="0"/>
                <w:sz w:val="16"/>
                <w:szCs w:val="16"/>
                <w:lang w:eastAsia="en-IN"/>
                <w14:ligatures w14:val="none"/>
              </w:rPr>
              <w:t>.00</w:t>
            </w:r>
          </w:p>
        </w:tc>
        <w:tc>
          <w:tcPr>
            <w:tcW w:w="981" w:type="dxa"/>
            <w:tcBorders>
              <w:top w:val="nil"/>
              <w:left w:val="nil"/>
              <w:bottom w:val="single" w:sz="4" w:space="0" w:color="auto"/>
              <w:right w:val="single" w:sz="4" w:space="0" w:color="auto"/>
            </w:tcBorders>
            <w:noWrap/>
            <w:vAlign w:val="center"/>
            <w:hideMark/>
          </w:tcPr>
          <w:p w14:paraId="51EA5224" w14:textId="77777777" w:rsidR="001A0C9B" w:rsidRPr="001A0C9B" w:rsidRDefault="001A0C9B" w:rsidP="001A0C9B">
            <w:pPr>
              <w:spacing w:after="0" w:line="240" w:lineRule="auto"/>
              <w:jc w:val="right"/>
              <w:rPr>
                <w:rFonts w:ascii="Times New Roman" w:eastAsia="Times New Roman" w:hAnsi="Times New Roman" w:cs="Times New Roman"/>
                <w:color w:val="000000"/>
                <w:kern w:val="0"/>
                <w:sz w:val="16"/>
                <w:szCs w:val="16"/>
                <w:lang w:eastAsia="en-IN"/>
                <w14:ligatures w14:val="none"/>
              </w:rPr>
            </w:pPr>
            <w:r w:rsidRPr="001A0C9B">
              <w:rPr>
                <w:rFonts w:ascii="Times New Roman" w:eastAsia="Times New Roman" w:hAnsi="Times New Roman" w:cs="Times New Roman"/>
                <w:color w:val="000000"/>
                <w:kern w:val="0"/>
                <w:sz w:val="16"/>
                <w:szCs w:val="16"/>
                <w:lang w:eastAsia="en-IN"/>
                <w14:ligatures w14:val="none"/>
              </w:rPr>
              <w:t>31.16</w:t>
            </w:r>
          </w:p>
        </w:tc>
        <w:tc>
          <w:tcPr>
            <w:tcW w:w="669" w:type="dxa"/>
            <w:tcBorders>
              <w:top w:val="nil"/>
              <w:left w:val="nil"/>
              <w:bottom w:val="single" w:sz="4" w:space="0" w:color="auto"/>
              <w:right w:val="single" w:sz="4" w:space="0" w:color="auto"/>
            </w:tcBorders>
            <w:noWrap/>
            <w:vAlign w:val="center"/>
            <w:hideMark/>
          </w:tcPr>
          <w:p w14:paraId="255E077F" w14:textId="77777777" w:rsidR="001A0C9B" w:rsidRPr="001A0C9B" w:rsidRDefault="001A0C9B" w:rsidP="001A0C9B">
            <w:pPr>
              <w:spacing w:after="0" w:line="240" w:lineRule="auto"/>
              <w:jc w:val="right"/>
              <w:rPr>
                <w:rFonts w:ascii="Times New Roman" w:eastAsia="Times New Roman" w:hAnsi="Times New Roman" w:cs="Times New Roman"/>
                <w:color w:val="000000"/>
                <w:kern w:val="0"/>
                <w:sz w:val="16"/>
                <w:szCs w:val="16"/>
                <w:lang w:eastAsia="en-IN"/>
                <w14:ligatures w14:val="none"/>
              </w:rPr>
            </w:pPr>
            <w:r w:rsidRPr="001A0C9B">
              <w:rPr>
                <w:rFonts w:ascii="Times New Roman" w:eastAsia="Times New Roman" w:hAnsi="Times New Roman" w:cs="Times New Roman"/>
                <w:color w:val="000000"/>
                <w:kern w:val="0"/>
                <w:sz w:val="16"/>
                <w:szCs w:val="16"/>
                <w:lang w:eastAsia="en-IN"/>
                <w14:ligatures w14:val="none"/>
              </w:rPr>
              <w:t>35.42</w:t>
            </w:r>
          </w:p>
        </w:tc>
        <w:tc>
          <w:tcPr>
            <w:tcW w:w="679" w:type="dxa"/>
            <w:tcBorders>
              <w:top w:val="nil"/>
              <w:left w:val="nil"/>
              <w:bottom w:val="single" w:sz="4" w:space="0" w:color="auto"/>
              <w:right w:val="single" w:sz="4" w:space="0" w:color="auto"/>
            </w:tcBorders>
            <w:noWrap/>
            <w:vAlign w:val="center"/>
            <w:hideMark/>
          </w:tcPr>
          <w:p w14:paraId="23525381" w14:textId="77777777" w:rsidR="001A0C9B" w:rsidRPr="001A0C9B" w:rsidRDefault="001A0C9B" w:rsidP="001A0C9B">
            <w:pPr>
              <w:spacing w:after="0" w:line="240" w:lineRule="auto"/>
              <w:jc w:val="right"/>
              <w:rPr>
                <w:rFonts w:ascii="Times New Roman" w:eastAsia="Times New Roman" w:hAnsi="Times New Roman" w:cs="Times New Roman"/>
                <w:color w:val="000000"/>
                <w:kern w:val="0"/>
                <w:sz w:val="16"/>
                <w:szCs w:val="16"/>
                <w:lang w:eastAsia="en-IN"/>
                <w14:ligatures w14:val="none"/>
              </w:rPr>
            </w:pPr>
            <w:r w:rsidRPr="001A0C9B">
              <w:rPr>
                <w:rFonts w:ascii="Times New Roman" w:eastAsia="Times New Roman" w:hAnsi="Times New Roman" w:cs="Times New Roman"/>
                <w:color w:val="000000"/>
                <w:kern w:val="0"/>
                <w:sz w:val="16"/>
                <w:szCs w:val="16"/>
                <w:lang w:eastAsia="en-IN"/>
                <w14:ligatures w14:val="none"/>
              </w:rPr>
              <w:t>15.53</w:t>
            </w:r>
          </w:p>
        </w:tc>
        <w:tc>
          <w:tcPr>
            <w:tcW w:w="773" w:type="dxa"/>
            <w:tcBorders>
              <w:top w:val="nil"/>
              <w:left w:val="nil"/>
              <w:bottom w:val="single" w:sz="4" w:space="0" w:color="auto"/>
              <w:right w:val="single" w:sz="4" w:space="0" w:color="auto"/>
            </w:tcBorders>
            <w:noWrap/>
            <w:vAlign w:val="center"/>
            <w:hideMark/>
          </w:tcPr>
          <w:p w14:paraId="285A3077" w14:textId="77777777" w:rsidR="001A0C9B" w:rsidRPr="001A0C9B" w:rsidRDefault="001A0C9B" w:rsidP="001A0C9B">
            <w:pPr>
              <w:spacing w:after="0" w:line="240" w:lineRule="auto"/>
              <w:jc w:val="right"/>
              <w:rPr>
                <w:rFonts w:ascii="Times New Roman" w:eastAsia="Times New Roman" w:hAnsi="Times New Roman" w:cs="Times New Roman"/>
                <w:color w:val="000000"/>
                <w:kern w:val="0"/>
                <w:sz w:val="16"/>
                <w:szCs w:val="16"/>
                <w:lang w:eastAsia="en-IN"/>
                <w14:ligatures w14:val="none"/>
              </w:rPr>
            </w:pPr>
            <w:r w:rsidRPr="001A0C9B">
              <w:rPr>
                <w:rFonts w:ascii="Times New Roman" w:eastAsia="Times New Roman" w:hAnsi="Times New Roman" w:cs="Times New Roman"/>
                <w:color w:val="000000"/>
                <w:kern w:val="0"/>
                <w:sz w:val="16"/>
                <w:szCs w:val="16"/>
                <w:lang w:eastAsia="en-IN"/>
                <w14:ligatures w14:val="none"/>
              </w:rPr>
              <w:t>4.83</w:t>
            </w:r>
          </w:p>
        </w:tc>
        <w:tc>
          <w:tcPr>
            <w:tcW w:w="981" w:type="dxa"/>
            <w:tcBorders>
              <w:top w:val="nil"/>
              <w:left w:val="nil"/>
              <w:bottom w:val="single" w:sz="4" w:space="0" w:color="auto"/>
              <w:right w:val="single" w:sz="4" w:space="0" w:color="auto"/>
            </w:tcBorders>
            <w:noWrap/>
            <w:vAlign w:val="center"/>
            <w:hideMark/>
          </w:tcPr>
          <w:p w14:paraId="27020C57" w14:textId="77777777" w:rsidR="001A0C9B" w:rsidRPr="001A0C9B" w:rsidRDefault="001A0C9B" w:rsidP="001A0C9B">
            <w:pPr>
              <w:spacing w:after="0" w:line="240" w:lineRule="auto"/>
              <w:jc w:val="right"/>
              <w:rPr>
                <w:rFonts w:ascii="Times New Roman" w:eastAsia="Times New Roman" w:hAnsi="Times New Roman" w:cs="Times New Roman"/>
                <w:color w:val="000000"/>
                <w:kern w:val="0"/>
                <w:sz w:val="16"/>
                <w:szCs w:val="16"/>
                <w:lang w:eastAsia="en-IN"/>
                <w14:ligatures w14:val="none"/>
              </w:rPr>
            </w:pPr>
            <w:r w:rsidRPr="001A0C9B">
              <w:rPr>
                <w:rFonts w:ascii="Times New Roman" w:eastAsia="Times New Roman" w:hAnsi="Times New Roman" w:cs="Times New Roman"/>
                <w:color w:val="000000"/>
                <w:kern w:val="0"/>
                <w:sz w:val="16"/>
                <w:szCs w:val="16"/>
                <w:lang w:eastAsia="en-IN"/>
                <w14:ligatures w14:val="none"/>
              </w:rPr>
              <w:t>0.66</w:t>
            </w:r>
          </w:p>
        </w:tc>
        <w:tc>
          <w:tcPr>
            <w:tcW w:w="782" w:type="dxa"/>
            <w:tcBorders>
              <w:top w:val="nil"/>
              <w:left w:val="nil"/>
              <w:bottom w:val="single" w:sz="4" w:space="0" w:color="auto"/>
              <w:right w:val="single" w:sz="4" w:space="0" w:color="auto"/>
            </w:tcBorders>
            <w:noWrap/>
            <w:vAlign w:val="center"/>
            <w:hideMark/>
          </w:tcPr>
          <w:p w14:paraId="14A0278C" w14:textId="77777777" w:rsidR="001A0C9B" w:rsidRPr="001A0C9B" w:rsidRDefault="001A0C9B" w:rsidP="001A0C9B">
            <w:pPr>
              <w:spacing w:after="0" w:line="240" w:lineRule="auto"/>
              <w:jc w:val="right"/>
              <w:rPr>
                <w:rFonts w:ascii="Times New Roman" w:eastAsia="Times New Roman" w:hAnsi="Times New Roman" w:cs="Times New Roman"/>
                <w:color w:val="000000"/>
                <w:kern w:val="0"/>
                <w:sz w:val="16"/>
                <w:szCs w:val="16"/>
                <w:lang w:eastAsia="en-IN"/>
                <w14:ligatures w14:val="none"/>
              </w:rPr>
            </w:pPr>
            <w:r w:rsidRPr="001A0C9B">
              <w:rPr>
                <w:rFonts w:ascii="Times New Roman" w:eastAsia="Times New Roman" w:hAnsi="Times New Roman" w:cs="Times New Roman"/>
                <w:color w:val="000000"/>
                <w:kern w:val="0"/>
                <w:sz w:val="16"/>
                <w:szCs w:val="16"/>
                <w:lang w:eastAsia="en-IN"/>
                <w14:ligatures w14:val="none"/>
              </w:rPr>
              <w:t>38.94</w:t>
            </w:r>
          </w:p>
        </w:tc>
        <w:tc>
          <w:tcPr>
            <w:tcW w:w="723" w:type="dxa"/>
            <w:tcBorders>
              <w:top w:val="nil"/>
              <w:left w:val="nil"/>
              <w:bottom w:val="single" w:sz="4" w:space="0" w:color="auto"/>
              <w:right w:val="single" w:sz="4" w:space="0" w:color="auto"/>
            </w:tcBorders>
            <w:noWrap/>
            <w:vAlign w:val="center"/>
            <w:hideMark/>
          </w:tcPr>
          <w:p w14:paraId="5F19D357" w14:textId="77777777" w:rsidR="001A0C9B" w:rsidRPr="001A0C9B" w:rsidRDefault="001A0C9B" w:rsidP="001A0C9B">
            <w:pPr>
              <w:spacing w:after="0" w:line="240" w:lineRule="auto"/>
              <w:jc w:val="right"/>
              <w:rPr>
                <w:rFonts w:ascii="Times New Roman" w:eastAsia="Times New Roman" w:hAnsi="Times New Roman" w:cs="Times New Roman"/>
                <w:color w:val="000000"/>
                <w:kern w:val="0"/>
                <w:sz w:val="16"/>
                <w:szCs w:val="16"/>
                <w:lang w:eastAsia="en-IN"/>
                <w14:ligatures w14:val="none"/>
              </w:rPr>
            </w:pPr>
            <w:r w:rsidRPr="001A0C9B">
              <w:rPr>
                <w:rFonts w:ascii="Times New Roman" w:eastAsia="Times New Roman" w:hAnsi="Times New Roman" w:cs="Times New Roman"/>
                <w:color w:val="000000"/>
                <w:kern w:val="0"/>
                <w:sz w:val="16"/>
                <w:szCs w:val="16"/>
                <w:lang w:eastAsia="en-IN"/>
                <w14:ligatures w14:val="none"/>
              </w:rPr>
              <w:t>16.97</w:t>
            </w:r>
          </w:p>
        </w:tc>
        <w:tc>
          <w:tcPr>
            <w:tcW w:w="741" w:type="dxa"/>
            <w:tcBorders>
              <w:top w:val="nil"/>
              <w:left w:val="nil"/>
              <w:bottom w:val="single" w:sz="4" w:space="0" w:color="auto"/>
              <w:right w:val="single" w:sz="4" w:space="0" w:color="auto"/>
            </w:tcBorders>
            <w:noWrap/>
            <w:vAlign w:val="center"/>
            <w:hideMark/>
          </w:tcPr>
          <w:p w14:paraId="7CCD9442" w14:textId="77777777" w:rsidR="001A0C9B" w:rsidRPr="001A0C9B" w:rsidRDefault="001A0C9B" w:rsidP="001A0C9B">
            <w:pPr>
              <w:spacing w:after="0" w:line="240" w:lineRule="auto"/>
              <w:jc w:val="right"/>
              <w:rPr>
                <w:rFonts w:ascii="Times New Roman" w:eastAsia="Times New Roman" w:hAnsi="Times New Roman" w:cs="Times New Roman"/>
                <w:color w:val="000000"/>
                <w:kern w:val="0"/>
                <w:sz w:val="16"/>
                <w:szCs w:val="16"/>
                <w:lang w:eastAsia="en-IN"/>
                <w14:ligatures w14:val="none"/>
              </w:rPr>
            </w:pPr>
            <w:r w:rsidRPr="001A0C9B">
              <w:rPr>
                <w:rFonts w:ascii="Times New Roman" w:eastAsia="Times New Roman" w:hAnsi="Times New Roman" w:cs="Times New Roman"/>
                <w:color w:val="000000"/>
                <w:kern w:val="0"/>
                <w:sz w:val="16"/>
                <w:szCs w:val="16"/>
                <w:lang w:eastAsia="en-IN"/>
                <w14:ligatures w14:val="none"/>
              </w:rPr>
              <w:t>3.85</w:t>
            </w:r>
          </w:p>
        </w:tc>
        <w:tc>
          <w:tcPr>
            <w:tcW w:w="981" w:type="dxa"/>
            <w:tcBorders>
              <w:top w:val="nil"/>
              <w:left w:val="nil"/>
              <w:bottom w:val="single" w:sz="4" w:space="0" w:color="auto"/>
              <w:right w:val="single" w:sz="4" w:space="0" w:color="auto"/>
            </w:tcBorders>
            <w:noWrap/>
            <w:vAlign w:val="center"/>
            <w:hideMark/>
          </w:tcPr>
          <w:p w14:paraId="75BD9824" w14:textId="77777777" w:rsidR="001A0C9B" w:rsidRPr="001A0C9B" w:rsidRDefault="001A0C9B" w:rsidP="001A0C9B">
            <w:pPr>
              <w:spacing w:after="0" w:line="240" w:lineRule="auto"/>
              <w:jc w:val="right"/>
              <w:rPr>
                <w:rFonts w:ascii="Times New Roman" w:eastAsia="Times New Roman" w:hAnsi="Times New Roman" w:cs="Times New Roman"/>
                <w:color w:val="000000"/>
                <w:kern w:val="0"/>
                <w:sz w:val="16"/>
                <w:szCs w:val="16"/>
                <w:lang w:eastAsia="en-IN"/>
                <w14:ligatures w14:val="none"/>
              </w:rPr>
            </w:pPr>
            <w:r w:rsidRPr="001A0C9B">
              <w:rPr>
                <w:rFonts w:ascii="Times New Roman" w:eastAsia="Times New Roman" w:hAnsi="Times New Roman" w:cs="Times New Roman"/>
                <w:color w:val="000000"/>
                <w:kern w:val="0"/>
                <w:sz w:val="16"/>
                <w:szCs w:val="16"/>
                <w:lang w:eastAsia="en-IN"/>
                <w14:ligatures w14:val="none"/>
              </w:rPr>
              <w:t>3.17</w:t>
            </w:r>
          </w:p>
        </w:tc>
        <w:tc>
          <w:tcPr>
            <w:tcW w:w="754" w:type="dxa"/>
            <w:tcBorders>
              <w:top w:val="nil"/>
              <w:left w:val="nil"/>
              <w:bottom w:val="single" w:sz="4" w:space="0" w:color="auto"/>
              <w:right w:val="single" w:sz="4" w:space="0" w:color="auto"/>
            </w:tcBorders>
            <w:noWrap/>
            <w:vAlign w:val="center"/>
            <w:hideMark/>
          </w:tcPr>
          <w:p w14:paraId="05829A23" w14:textId="3844083A" w:rsidR="001A0C9B" w:rsidRPr="001A0C9B" w:rsidRDefault="001A0C9B" w:rsidP="001A0C9B">
            <w:pPr>
              <w:spacing w:after="0" w:line="240" w:lineRule="auto"/>
              <w:jc w:val="right"/>
              <w:rPr>
                <w:rFonts w:ascii="Times New Roman" w:eastAsia="Times New Roman" w:hAnsi="Times New Roman" w:cs="Times New Roman"/>
                <w:color w:val="000000"/>
                <w:kern w:val="0"/>
                <w:sz w:val="16"/>
                <w:szCs w:val="16"/>
                <w:lang w:eastAsia="en-IN"/>
                <w14:ligatures w14:val="none"/>
              </w:rPr>
            </w:pPr>
            <w:r w:rsidRPr="001A0C9B">
              <w:rPr>
                <w:rFonts w:ascii="Times New Roman" w:eastAsia="Times New Roman" w:hAnsi="Times New Roman" w:cs="Times New Roman"/>
                <w:color w:val="000000"/>
                <w:kern w:val="0"/>
                <w:sz w:val="16"/>
                <w:szCs w:val="16"/>
                <w:lang w:eastAsia="en-IN"/>
                <w14:ligatures w14:val="none"/>
              </w:rPr>
              <w:t>46.6</w:t>
            </w:r>
            <w:r w:rsidR="00283385">
              <w:rPr>
                <w:rFonts w:ascii="Times New Roman" w:eastAsia="Times New Roman" w:hAnsi="Times New Roman" w:cs="Times New Roman"/>
                <w:color w:val="000000"/>
                <w:kern w:val="0"/>
                <w:sz w:val="16"/>
                <w:szCs w:val="16"/>
                <w:lang w:eastAsia="en-IN"/>
                <w14:ligatures w14:val="none"/>
              </w:rPr>
              <w:t>0</w:t>
            </w:r>
          </w:p>
        </w:tc>
        <w:tc>
          <w:tcPr>
            <w:tcW w:w="723" w:type="dxa"/>
            <w:tcBorders>
              <w:top w:val="nil"/>
              <w:left w:val="nil"/>
              <w:bottom w:val="single" w:sz="4" w:space="0" w:color="auto"/>
              <w:right w:val="single" w:sz="4" w:space="0" w:color="auto"/>
            </w:tcBorders>
            <w:noWrap/>
            <w:vAlign w:val="center"/>
            <w:hideMark/>
          </w:tcPr>
          <w:p w14:paraId="7E5FEA55" w14:textId="1F835F6F" w:rsidR="001A0C9B" w:rsidRPr="001A0C9B" w:rsidRDefault="001A0C9B" w:rsidP="001A0C9B">
            <w:pPr>
              <w:spacing w:after="0" w:line="240" w:lineRule="auto"/>
              <w:jc w:val="right"/>
              <w:rPr>
                <w:rFonts w:ascii="Times New Roman" w:eastAsia="Times New Roman" w:hAnsi="Times New Roman" w:cs="Times New Roman"/>
                <w:color w:val="000000"/>
                <w:kern w:val="0"/>
                <w:sz w:val="16"/>
                <w:szCs w:val="16"/>
                <w:lang w:eastAsia="en-IN"/>
                <w14:ligatures w14:val="none"/>
              </w:rPr>
            </w:pPr>
            <w:r w:rsidRPr="001A0C9B">
              <w:rPr>
                <w:rFonts w:ascii="Times New Roman" w:eastAsia="Times New Roman" w:hAnsi="Times New Roman" w:cs="Times New Roman"/>
                <w:color w:val="000000"/>
                <w:kern w:val="0"/>
                <w:sz w:val="16"/>
                <w:szCs w:val="16"/>
                <w:lang w:eastAsia="en-IN"/>
                <w14:ligatures w14:val="none"/>
              </w:rPr>
              <w:t>19.5</w:t>
            </w:r>
            <w:r w:rsidR="0063665D">
              <w:rPr>
                <w:rFonts w:ascii="Times New Roman" w:eastAsia="Times New Roman" w:hAnsi="Times New Roman" w:cs="Times New Roman"/>
                <w:color w:val="000000"/>
                <w:kern w:val="0"/>
                <w:sz w:val="16"/>
                <w:szCs w:val="16"/>
                <w:lang w:eastAsia="en-IN"/>
                <w14:ligatures w14:val="none"/>
              </w:rPr>
              <w:t>0</w:t>
            </w:r>
          </w:p>
        </w:tc>
        <w:tc>
          <w:tcPr>
            <w:tcW w:w="754" w:type="dxa"/>
            <w:tcBorders>
              <w:top w:val="nil"/>
              <w:left w:val="nil"/>
              <w:bottom w:val="single" w:sz="4" w:space="0" w:color="auto"/>
              <w:right w:val="single" w:sz="4" w:space="0" w:color="auto"/>
            </w:tcBorders>
            <w:noWrap/>
            <w:vAlign w:val="center"/>
            <w:hideMark/>
          </w:tcPr>
          <w:p w14:paraId="40ADB2DE" w14:textId="77777777" w:rsidR="001A0C9B" w:rsidRPr="001A0C9B" w:rsidRDefault="001A0C9B" w:rsidP="001A0C9B">
            <w:pPr>
              <w:spacing w:after="0" w:line="240" w:lineRule="auto"/>
              <w:rPr>
                <w:rFonts w:ascii="Times New Roman" w:eastAsia="Times New Roman" w:hAnsi="Times New Roman" w:cs="Times New Roman"/>
                <w:color w:val="000000"/>
                <w:kern w:val="0"/>
                <w:sz w:val="16"/>
                <w:szCs w:val="16"/>
                <w:lang w:eastAsia="en-IN"/>
                <w14:ligatures w14:val="none"/>
              </w:rPr>
            </w:pPr>
            <w:r w:rsidRPr="001A0C9B">
              <w:rPr>
                <w:rFonts w:ascii="Times New Roman" w:eastAsia="Times New Roman" w:hAnsi="Times New Roman" w:cs="Times New Roman"/>
                <w:color w:val="000000"/>
                <w:kern w:val="0"/>
                <w:sz w:val="16"/>
                <w:szCs w:val="16"/>
                <w:lang w:eastAsia="en-IN"/>
                <w14:ligatures w14:val="none"/>
              </w:rPr>
              <w:t>..</w:t>
            </w:r>
          </w:p>
        </w:tc>
        <w:tc>
          <w:tcPr>
            <w:tcW w:w="981" w:type="dxa"/>
            <w:tcBorders>
              <w:top w:val="nil"/>
              <w:left w:val="nil"/>
              <w:bottom w:val="single" w:sz="4" w:space="0" w:color="auto"/>
              <w:right w:val="single" w:sz="4" w:space="0" w:color="auto"/>
            </w:tcBorders>
            <w:noWrap/>
            <w:vAlign w:val="center"/>
            <w:hideMark/>
          </w:tcPr>
          <w:p w14:paraId="62B3CF61" w14:textId="77777777" w:rsidR="001A0C9B" w:rsidRPr="001A0C9B" w:rsidRDefault="001A0C9B" w:rsidP="001A0C9B">
            <w:pPr>
              <w:spacing w:after="0" w:line="240" w:lineRule="auto"/>
              <w:rPr>
                <w:rFonts w:ascii="Times New Roman" w:eastAsia="Times New Roman" w:hAnsi="Times New Roman" w:cs="Times New Roman"/>
                <w:color w:val="000000"/>
                <w:kern w:val="0"/>
                <w:sz w:val="16"/>
                <w:szCs w:val="16"/>
                <w:lang w:eastAsia="en-IN"/>
                <w14:ligatures w14:val="none"/>
              </w:rPr>
            </w:pPr>
            <w:r w:rsidRPr="001A0C9B">
              <w:rPr>
                <w:rFonts w:ascii="Times New Roman" w:eastAsia="Times New Roman" w:hAnsi="Times New Roman" w:cs="Times New Roman"/>
                <w:color w:val="000000"/>
                <w:kern w:val="0"/>
                <w:sz w:val="16"/>
                <w:szCs w:val="16"/>
                <w:lang w:eastAsia="en-IN"/>
                <w14:ligatures w14:val="none"/>
              </w:rPr>
              <w:t>..</w:t>
            </w:r>
          </w:p>
        </w:tc>
        <w:tc>
          <w:tcPr>
            <w:tcW w:w="754" w:type="dxa"/>
            <w:tcBorders>
              <w:top w:val="nil"/>
              <w:left w:val="nil"/>
              <w:bottom w:val="single" w:sz="4" w:space="0" w:color="auto"/>
              <w:right w:val="single" w:sz="4" w:space="0" w:color="auto"/>
            </w:tcBorders>
            <w:noWrap/>
            <w:vAlign w:val="center"/>
            <w:hideMark/>
          </w:tcPr>
          <w:p w14:paraId="2727A930" w14:textId="77777777" w:rsidR="001A0C9B" w:rsidRPr="001A0C9B" w:rsidRDefault="001A0C9B" w:rsidP="001A0C9B">
            <w:pPr>
              <w:spacing w:after="0" w:line="240" w:lineRule="auto"/>
              <w:jc w:val="right"/>
              <w:rPr>
                <w:rFonts w:ascii="Times New Roman" w:eastAsia="Times New Roman" w:hAnsi="Times New Roman" w:cs="Times New Roman"/>
                <w:color w:val="000000"/>
                <w:kern w:val="0"/>
                <w:sz w:val="16"/>
                <w:szCs w:val="16"/>
                <w:lang w:eastAsia="en-IN"/>
                <w14:ligatures w14:val="none"/>
              </w:rPr>
            </w:pPr>
            <w:r w:rsidRPr="001A0C9B">
              <w:rPr>
                <w:rFonts w:ascii="Times New Roman" w:eastAsia="Times New Roman" w:hAnsi="Times New Roman" w:cs="Times New Roman"/>
                <w:color w:val="000000"/>
                <w:kern w:val="0"/>
                <w:sz w:val="16"/>
                <w:szCs w:val="16"/>
                <w:lang w:eastAsia="en-IN"/>
                <w14:ligatures w14:val="none"/>
              </w:rPr>
              <w:t>46.98</w:t>
            </w:r>
          </w:p>
        </w:tc>
        <w:tc>
          <w:tcPr>
            <w:tcW w:w="723" w:type="dxa"/>
            <w:tcBorders>
              <w:top w:val="nil"/>
              <w:left w:val="nil"/>
              <w:bottom w:val="single" w:sz="4" w:space="0" w:color="auto"/>
              <w:right w:val="single" w:sz="4" w:space="0" w:color="auto"/>
            </w:tcBorders>
            <w:noWrap/>
            <w:vAlign w:val="center"/>
            <w:hideMark/>
          </w:tcPr>
          <w:p w14:paraId="37924DF6" w14:textId="77777777" w:rsidR="001A0C9B" w:rsidRPr="001A0C9B" w:rsidRDefault="001A0C9B" w:rsidP="001A0C9B">
            <w:pPr>
              <w:spacing w:after="0" w:line="240" w:lineRule="auto"/>
              <w:jc w:val="right"/>
              <w:rPr>
                <w:rFonts w:ascii="Times New Roman" w:eastAsia="Times New Roman" w:hAnsi="Times New Roman" w:cs="Times New Roman"/>
                <w:color w:val="000000"/>
                <w:kern w:val="0"/>
                <w:sz w:val="16"/>
                <w:szCs w:val="16"/>
                <w:lang w:eastAsia="en-IN"/>
                <w14:ligatures w14:val="none"/>
              </w:rPr>
            </w:pPr>
            <w:r w:rsidRPr="001A0C9B">
              <w:rPr>
                <w:rFonts w:ascii="Times New Roman" w:eastAsia="Times New Roman" w:hAnsi="Times New Roman" w:cs="Times New Roman"/>
                <w:color w:val="000000"/>
                <w:kern w:val="0"/>
                <w:sz w:val="16"/>
                <w:szCs w:val="16"/>
                <w:lang w:eastAsia="en-IN"/>
                <w14:ligatures w14:val="none"/>
              </w:rPr>
              <w:t>18.89</w:t>
            </w:r>
          </w:p>
        </w:tc>
      </w:tr>
      <w:tr w:rsidR="001A0C9B" w:rsidRPr="001A0C9B" w14:paraId="4C759CF8" w14:textId="77777777" w:rsidTr="002A11B0">
        <w:trPr>
          <w:trHeight w:val="166"/>
          <w:jc w:val="center"/>
        </w:trPr>
        <w:tc>
          <w:tcPr>
            <w:tcW w:w="1051" w:type="dxa"/>
            <w:tcBorders>
              <w:top w:val="nil"/>
              <w:left w:val="single" w:sz="4" w:space="0" w:color="auto"/>
              <w:bottom w:val="single" w:sz="4" w:space="0" w:color="auto"/>
              <w:right w:val="single" w:sz="4" w:space="0" w:color="auto"/>
            </w:tcBorders>
            <w:noWrap/>
            <w:vAlign w:val="center"/>
            <w:hideMark/>
          </w:tcPr>
          <w:p w14:paraId="72B2ADB2" w14:textId="77777777" w:rsidR="001A0C9B" w:rsidRPr="001A0C9B" w:rsidRDefault="001A0C9B" w:rsidP="001A0C9B">
            <w:pPr>
              <w:spacing w:after="0" w:line="240" w:lineRule="auto"/>
              <w:rPr>
                <w:rFonts w:ascii="Times New Roman" w:eastAsia="Times New Roman" w:hAnsi="Times New Roman" w:cs="Times New Roman"/>
                <w:color w:val="000000"/>
                <w:kern w:val="0"/>
                <w:sz w:val="16"/>
                <w:szCs w:val="16"/>
                <w:lang w:eastAsia="en-IN"/>
                <w14:ligatures w14:val="none"/>
              </w:rPr>
            </w:pPr>
            <w:r w:rsidRPr="001A0C9B">
              <w:rPr>
                <w:rFonts w:ascii="Times New Roman" w:eastAsia="Times New Roman" w:hAnsi="Times New Roman" w:cs="Times New Roman"/>
                <w:color w:val="000000"/>
                <w:kern w:val="0"/>
                <w:sz w:val="16"/>
                <w:szCs w:val="16"/>
                <w:lang w:eastAsia="en-IN"/>
                <w14:ligatures w14:val="none"/>
              </w:rPr>
              <w:t>Tamil Nadu</w:t>
            </w:r>
          </w:p>
        </w:tc>
        <w:tc>
          <w:tcPr>
            <w:tcW w:w="669" w:type="dxa"/>
            <w:tcBorders>
              <w:top w:val="nil"/>
              <w:left w:val="nil"/>
              <w:bottom w:val="single" w:sz="4" w:space="0" w:color="auto"/>
              <w:right w:val="single" w:sz="4" w:space="0" w:color="auto"/>
            </w:tcBorders>
            <w:noWrap/>
            <w:vAlign w:val="center"/>
            <w:hideMark/>
          </w:tcPr>
          <w:p w14:paraId="4BBE681F" w14:textId="7F904F98" w:rsidR="001A0C9B" w:rsidRPr="001A0C9B" w:rsidRDefault="001A0C9B" w:rsidP="001A0C9B">
            <w:pPr>
              <w:spacing w:after="0" w:line="240" w:lineRule="auto"/>
              <w:jc w:val="right"/>
              <w:rPr>
                <w:rFonts w:ascii="Times New Roman" w:eastAsia="Times New Roman" w:hAnsi="Times New Roman" w:cs="Times New Roman"/>
                <w:color w:val="000000"/>
                <w:kern w:val="0"/>
                <w:sz w:val="16"/>
                <w:szCs w:val="16"/>
                <w:lang w:eastAsia="en-IN"/>
                <w14:ligatures w14:val="none"/>
              </w:rPr>
            </w:pPr>
            <w:r w:rsidRPr="001A0C9B">
              <w:rPr>
                <w:rFonts w:ascii="Times New Roman" w:eastAsia="Times New Roman" w:hAnsi="Times New Roman" w:cs="Times New Roman"/>
                <w:color w:val="000000"/>
                <w:kern w:val="0"/>
                <w:sz w:val="16"/>
                <w:szCs w:val="16"/>
                <w:lang w:eastAsia="en-IN"/>
                <w14:ligatures w14:val="none"/>
              </w:rPr>
              <w:t>39.8</w:t>
            </w:r>
            <w:r w:rsidR="0063665D">
              <w:rPr>
                <w:rFonts w:ascii="Times New Roman" w:eastAsia="Times New Roman" w:hAnsi="Times New Roman" w:cs="Times New Roman"/>
                <w:color w:val="000000"/>
                <w:kern w:val="0"/>
                <w:sz w:val="16"/>
                <w:szCs w:val="16"/>
                <w:lang w:eastAsia="en-IN"/>
                <w14:ligatures w14:val="none"/>
              </w:rPr>
              <w:t>0</w:t>
            </w:r>
          </w:p>
        </w:tc>
        <w:tc>
          <w:tcPr>
            <w:tcW w:w="723" w:type="dxa"/>
            <w:tcBorders>
              <w:top w:val="nil"/>
              <w:left w:val="nil"/>
              <w:bottom w:val="single" w:sz="4" w:space="0" w:color="auto"/>
              <w:right w:val="single" w:sz="4" w:space="0" w:color="auto"/>
            </w:tcBorders>
            <w:noWrap/>
            <w:vAlign w:val="center"/>
            <w:hideMark/>
          </w:tcPr>
          <w:p w14:paraId="62AD51BD" w14:textId="77777777" w:rsidR="001A0C9B" w:rsidRPr="001A0C9B" w:rsidRDefault="001A0C9B" w:rsidP="001A0C9B">
            <w:pPr>
              <w:spacing w:after="0" w:line="240" w:lineRule="auto"/>
              <w:jc w:val="right"/>
              <w:rPr>
                <w:rFonts w:ascii="Times New Roman" w:eastAsia="Times New Roman" w:hAnsi="Times New Roman" w:cs="Times New Roman"/>
                <w:color w:val="000000"/>
                <w:kern w:val="0"/>
                <w:sz w:val="16"/>
                <w:szCs w:val="16"/>
                <w:lang w:eastAsia="en-IN"/>
                <w14:ligatures w14:val="none"/>
              </w:rPr>
            </w:pPr>
            <w:r w:rsidRPr="001A0C9B">
              <w:rPr>
                <w:rFonts w:ascii="Times New Roman" w:eastAsia="Times New Roman" w:hAnsi="Times New Roman" w:cs="Times New Roman"/>
                <w:color w:val="000000"/>
                <w:kern w:val="0"/>
                <w:sz w:val="16"/>
                <w:szCs w:val="16"/>
                <w:lang w:eastAsia="en-IN"/>
                <w14:ligatures w14:val="none"/>
              </w:rPr>
              <w:t>11.81</w:t>
            </w:r>
          </w:p>
        </w:tc>
        <w:tc>
          <w:tcPr>
            <w:tcW w:w="773" w:type="dxa"/>
            <w:tcBorders>
              <w:top w:val="nil"/>
              <w:left w:val="nil"/>
              <w:bottom w:val="single" w:sz="4" w:space="0" w:color="auto"/>
              <w:right w:val="single" w:sz="4" w:space="0" w:color="auto"/>
            </w:tcBorders>
            <w:noWrap/>
            <w:vAlign w:val="center"/>
            <w:hideMark/>
          </w:tcPr>
          <w:p w14:paraId="2E25AFC1" w14:textId="105FD7DB" w:rsidR="001A0C9B" w:rsidRPr="001A0C9B" w:rsidRDefault="001A0C9B" w:rsidP="001A0C9B">
            <w:pPr>
              <w:spacing w:after="0" w:line="240" w:lineRule="auto"/>
              <w:jc w:val="right"/>
              <w:rPr>
                <w:rFonts w:ascii="Times New Roman" w:eastAsia="Times New Roman" w:hAnsi="Times New Roman" w:cs="Times New Roman"/>
                <w:color w:val="000000"/>
                <w:kern w:val="0"/>
                <w:sz w:val="16"/>
                <w:szCs w:val="16"/>
                <w:lang w:eastAsia="en-IN"/>
                <w14:ligatures w14:val="none"/>
              </w:rPr>
            </w:pPr>
            <w:r w:rsidRPr="001A0C9B">
              <w:rPr>
                <w:rFonts w:ascii="Times New Roman" w:eastAsia="Times New Roman" w:hAnsi="Times New Roman" w:cs="Times New Roman"/>
                <w:color w:val="000000"/>
                <w:kern w:val="0"/>
                <w:sz w:val="16"/>
                <w:szCs w:val="16"/>
                <w:lang w:eastAsia="en-IN"/>
                <w14:ligatures w14:val="none"/>
              </w:rPr>
              <w:t>45</w:t>
            </w:r>
            <w:r w:rsidR="0063665D">
              <w:rPr>
                <w:rFonts w:ascii="Times New Roman" w:eastAsia="Times New Roman" w:hAnsi="Times New Roman" w:cs="Times New Roman"/>
                <w:color w:val="000000"/>
                <w:kern w:val="0"/>
                <w:sz w:val="16"/>
                <w:szCs w:val="16"/>
                <w:lang w:eastAsia="en-IN"/>
                <w14:ligatures w14:val="none"/>
              </w:rPr>
              <w:t>.00</w:t>
            </w:r>
          </w:p>
        </w:tc>
        <w:tc>
          <w:tcPr>
            <w:tcW w:w="981" w:type="dxa"/>
            <w:tcBorders>
              <w:top w:val="nil"/>
              <w:left w:val="nil"/>
              <w:bottom w:val="single" w:sz="4" w:space="0" w:color="auto"/>
              <w:right w:val="single" w:sz="4" w:space="0" w:color="auto"/>
            </w:tcBorders>
            <w:noWrap/>
            <w:vAlign w:val="center"/>
            <w:hideMark/>
          </w:tcPr>
          <w:p w14:paraId="76D44EC2" w14:textId="77777777" w:rsidR="001A0C9B" w:rsidRPr="001A0C9B" w:rsidRDefault="001A0C9B" w:rsidP="001A0C9B">
            <w:pPr>
              <w:spacing w:after="0" w:line="240" w:lineRule="auto"/>
              <w:jc w:val="right"/>
              <w:rPr>
                <w:rFonts w:ascii="Times New Roman" w:eastAsia="Times New Roman" w:hAnsi="Times New Roman" w:cs="Times New Roman"/>
                <w:color w:val="000000"/>
                <w:kern w:val="0"/>
                <w:sz w:val="16"/>
                <w:szCs w:val="16"/>
                <w:lang w:eastAsia="en-IN"/>
                <w14:ligatures w14:val="none"/>
              </w:rPr>
            </w:pPr>
            <w:r w:rsidRPr="001A0C9B">
              <w:rPr>
                <w:rFonts w:ascii="Times New Roman" w:eastAsia="Times New Roman" w:hAnsi="Times New Roman" w:cs="Times New Roman"/>
                <w:color w:val="000000"/>
                <w:kern w:val="0"/>
                <w:sz w:val="16"/>
                <w:szCs w:val="16"/>
                <w:lang w:eastAsia="en-IN"/>
                <w14:ligatures w14:val="none"/>
              </w:rPr>
              <w:t>56.79</w:t>
            </w:r>
          </w:p>
        </w:tc>
        <w:tc>
          <w:tcPr>
            <w:tcW w:w="669" w:type="dxa"/>
            <w:tcBorders>
              <w:top w:val="nil"/>
              <w:left w:val="nil"/>
              <w:bottom w:val="single" w:sz="4" w:space="0" w:color="auto"/>
              <w:right w:val="single" w:sz="4" w:space="0" w:color="auto"/>
            </w:tcBorders>
            <w:noWrap/>
            <w:vAlign w:val="center"/>
            <w:hideMark/>
          </w:tcPr>
          <w:p w14:paraId="49DE6BE7" w14:textId="77777777" w:rsidR="001A0C9B" w:rsidRPr="001A0C9B" w:rsidRDefault="001A0C9B" w:rsidP="001A0C9B">
            <w:pPr>
              <w:spacing w:after="0" w:line="240" w:lineRule="auto"/>
              <w:jc w:val="right"/>
              <w:rPr>
                <w:rFonts w:ascii="Times New Roman" w:eastAsia="Times New Roman" w:hAnsi="Times New Roman" w:cs="Times New Roman"/>
                <w:color w:val="000000"/>
                <w:kern w:val="0"/>
                <w:sz w:val="16"/>
                <w:szCs w:val="16"/>
                <w:lang w:eastAsia="en-IN"/>
                <w14:ligatures w14:val="none"/>
              </w:rPr>
            </w:pPr>
            <w:r w:rsidRPr="001A0C9B">
              <w:rPr>
                <w:rFonts w:ascii="Times New Roman" w:eastAsia="Times New Roman" w:hAnsi="Times New Roman" w:cs="Times New Roman"/>
                <w:color w:val="000000"/>
                <w:kern w:val="0"/>
                <w:sz w:val="16"/>
                <w:szCs w:val="16"/>
                <w:lang w:eastAsia="en-IN"/>
                <w14:ligatures w14:val="none"/>
              </w:rPr>
              <w:t>83.21</w:t>
            </w:r>
          </w:p>
        </w:tc>
        <w:tc>
          <w:tcPr>
            <w:tcW w:w="679" w:type="dxa"/>
            <w:tcBorders>
              <w:top w:val="nil"/>
              <w:left w:val="nil"/>
              <w:bottom w:val="single" w:sz="4" w:space="0" w:color="auto"/>
              <w:right w:val="single" w:sz="4" w:space="0" w:color="auto"/>
            </w:tcBorders>
            <w:noWrap/>
            <w:vAlign w:val="center"/>
            <w:hideMark/>
          </w:tcPr>
          <w:p w14:paraId="74DE4778" w14:textId="77777777" w:rsidR="001A0C9B" w:rsidRPr="001A0C9B" w:rsidRDefault="001A0C9B" w:rsidP="001A0C9B">
            <w:pPr>
              <w:spacing w:after="0" w:line="240" w:lineRule="auto"/>
              <w:jc w:val="right"/>
              <w:rPr>
                <w:rFonts w:ascii="Times New Roman" w:eastAsia="Times New Roman" w:hAnsi="Times New Roman" w:cs="Times New Roman"/>
                <w:color w:val="000000"/>
                <w:kern w:val="0"/>
                <w:sz w:val="16"/>
                <w:szCs w:val="16"/>
                <w:lang w:eastAsia="en-IN"/>
                <w14:ligatures w14:val="none"/>
              </w:rPr>
            </w:pPr>
            <w:r w:rsidRPr="001A0C9B">
              <w:rPr>
                <w:rFonts w:ascii="Times New Roman" w:eastAsia="Times New Roman" w:hAnsi="Times New Roman" w:cs="Times New Roman"/>
                <w:color w:val="000000"/>
                <w:kern w:val="0"/>
                <w:sz w:val="16"/>
                <w:szCs w:val="16"/>
                <w:lang w:eastAsia="en-IN"/>
                <w14:ligatures w14:val="none"/>
              </w:rPr>
              <w:t>22.98</w:t>
            </w:r>
          </w:p>
        </w:tc>
        <w:tc>
          <w:tcPr>
            <w:tcW w:w="773" w:type="dxa"/>
            <w:tcBorders>
              <w:top w:val="nil"/>
              <w:left w:val="nil"/>
              <w:bottom w:val="single" w:sz="4" w:space="0" w:color="auto"/>
              <w:right w:val="single" w:sz="4" w:space="0" w:color="auto"/>
            </w:tcBorders>
            <w:noWrap/>
            <w:vAlign w:val="center"/>
            <w:hideMark/>
          </w:tcPr>
          <w:p w14:paraId="0E68BC89" w14:textId="453456A2" w:rsidR="001A0C9B" w:rsidRPr="001A0C9B" w:rsidRDefault="001A0C9B" w:rsidP="001A0C9B">
            <w:pPr>
              <w:spacing w:after="0" w:line="240" w:lineRule="auto"/>
              <w:jc w:val="right"/>
              <w:rPr>
                <w:rFonts w:ascii="Times New Roman" w:eastAsia="Times New Roman" w:hAnsi="Times New Roman" w:cs="Times New Roman"/>
                <w:color w:val="000000"/>
                <w:kern w:val="0"/>
                <w:sz w:val="16"/>
                <w:szCs w:val="16"/>
                <w:lang w:eastAsia="en-IN"/>
                <w14:ligatures w14:val="none"/>
              </w:rPr>
            </w:pPr>
            <w:r w:rsidRPr="001A0C9B">
              <w:rPr>
                <w:rFonts w:ascii="Times New Roman" w:eastAsia="Times New Roman" w:hAnsi="Times New Roman" w:cs="Times New Roman"/>
                <w:color w:val="000000"/>
                <w:kern w:val="0"/>
                <w:sz w:val="16"/>
                <w:szCs w:val="16"/>
                <w:lang w:eastAsia="en-IN"/>
                <w14:ligatures w14:val="none"/>
              </w:rPr>
              <w:t>0.2</w:t>
            </w:r>
            <w:r w:rsidR="0063665D">
              <w:rPr>
                <w:rFonts w:ascii="Times New Roman" w:eastAsia="Times New Roman" w:hAnsi="Times New Roman" w:cs="Times New Roman"/>
                <w:color w:val="000000"/>
                <w:kern w:val="0"/>
                <w:sz w:val="16"/>
                <w:szCs w:val="16"/>
                <w:lang w:eastAsia="en-IN"/>
                <w14:ligatures w14:val="none"/>
              </w:rPr>
              <w:t>0</w:t>
            </w:r>
          </w:p>
        </w:tc>
        <w:tc>
          <w:tcPr>
            <w:tcW w:w="981" w:type="dxa"/>
            <w:tcBorders>
              <w:top w:val="nil"/>
              <w:left w:val="nil"/>
              <w:bottom w:val="single" w:sz="4" w:space="0" w:color="auto"/>
              <w:right w:val="single" w:sz="4" w:space="0" w:color="auto"/>
            </w:tcBorders>
            <w:noWrap/>
            <w:vAlign w:val="center"/>
            <w:hideMark/>
          </w:tcPr>
          <w:p w14:paraId="631583A6" w14:textId="77777777" w:rsidR="001A0C9B" w:rsidRPr="001A0C9B" w:rsidRDefault="001A0C9B" w:rsidP="001A0C9B">
            <w:pPr>
              <w:spacing w:after="0" w:line="240" w:lineRule="auto"/>
              <w:rPr>
                <w:rFonts w:ascii="Times New Roman" w:eastAsia="Times New Roman" w:hAnsi="Times New Roman" w:cs="Times New Roman"/>
                <w:color w:val="000000"/>
                <w:kern w:val="0"/>
                <w:sz w:val="16"/>
                <w:szCs w:val="16"/>
                <w:lang w:eastAsia="en-IN"/>
                <w14:ligatures w14:val="none"/>
              </w:rPr>
            </w:pPr>
            <w:r w:rsidRPr="001A0C9B">
              <w:rPr>
                <w:rFonts w:ascii="Times New Roman" w:eastAsia="Times New Roman" w:hAnsi="Times New Roman" w:cs="Times New Roman"/>
                <w:color w:val="000000"/>
                <w:kern w:val="0"/>
                <w:sz w:val="16"/>
                <w:szCs w:val="16"/>
                <w:lang w:eastAsia="en-IN"/>
                <w14:ligatures w14:val="none"/>
              </w:rPr>
              <w:t>..</w:t>
            </w:r>
          </w:p>
        </w:tc>
        <w:tc>
          <w:tcPr>
            <w:tcW w:w="782" w:type="dxa"/>
            <w:tcBorders>
              <w:top w:val="nil"/>
              <w:left w:val="nil"/>
              <w:bottom w:val="single" w:sz="4" w:space="0" w:color="auto"/>
              <w:right w:val="single" w:sz="4" w:space="0" w:color="auto"/>
            </w:tcBorders>
            <w:noWrap/>
            <w:vAlign w:val="center"/>
            <w:hideMark/>
          </w:tcPr>
          <w:p w14:paraId="4B6853C4" w14:textId="77777777" w:rsidR="001A0C9B" w:rsidRPr="001A0C9B" w:rsidRDefault="001A0C9B" w:rsidP="001A0C9B">
            <w:pPr>
              <w:spacing w:after="0" w:line="240" w:lineRule="auto"/>
              <w:jc w:val="right"/>
              <w:rPr>
                <w:rFonts w:ascii="Times New Roman" w:eastAsia="Times New Roman" w:hAnsi="Times New Roman" w:cs="Times New Roman"/>
                <w:color w:val="000000"/>
                <w:kern w:val="0"/>
                <w:sz w:val="16"/>
                <w:szCs w:val="16"/>
                <w:lang w:eastAsia="en-IN"/>
                <w14:ligatures w14:val="none"/>
              </w:rPr>
            </w:pPr>
            <w:r w:rsidRPr="001A0C9B">
              <w:rPr>
                <w:rFonts w:ascii="Times New Roman" w:eastAsia="Times New Roman" w:hAnsi="Times New Roman" w:cs="Times New Roman"/>
                <w:color w:val="000000"/>
                <w:kern w:val="0"/>
                <w:sz w:val="16"/>
                <w:szCs w:val="16"/>
                <w:lang w:eastAsia="en-IN"/>
                <w14:ligatures w14:val="none"/>
              </w:rPr>
              <w:t>93.05</w:t>
            </w:r>
          </w:p>
        </w:tc>
        <w:tc>
          <w:tcPr>
            <w:tcW w:w="723" w:type="dxa"/>
            <w:tcBorders>
              <w:top w:val="nil"/>
              <w:left w:val="nil"/>
              <w:bottom w:val="single" w:sz="4" w:space="0" w:color="auto"/>
              <w:right w:val="single" w:sz="4" w:space="0" w:color="auto"/>
            </w:tcBorders>
            <w:noWrap/>
            <w:vAlign w:val="center"/>
            <w:hideMark/>
          </w:tcPr>
          <w:p w14:paraId="7C626595" w14:textId="77777777" w:rsidR="001A0C9B" w:rsidRPr="001A0C9B" w:rsidRDefault="001A0C9B" w:rsidP="001A0C9B">
            <w:pPr>
              <w:spacing w:after="0" w:line="240" w:lineRule="auto"/>
              <w:jc w:val="right"/>
              <w:rPr>
                <w:rFonts w:ascii="Times New Roman" w:eastAsia="Times New Roman" w:hAnsi="Times New Roman" w:cs="Times New Roman"/>
                <w:color w:val="000000"/>
                <w:kern w:val="0"/>
                <w:sz w:val="16"/>
                <w:szCs w:val="16"/>
                <w:lang w:eastAsia="en-IN"/>
                <w14:ligatures w14:val="none"/>
              </w:rPr>
            </w:pPr>
            <w:r w:rsidRPr="001A0C9B">
              <w:rPr>
                <w:rFonts w:ascii="Times New Roman" w:eastAsia="Times New Roman" w:hAnsi="Times New Roman" w:cs="Times New Roman"/>
                <w:color w:val="000000"/>
                <w:kern w:val="0"/>
                <w:sz w:val="16"/>
                <w:szCs w:val="16"/>
                <w:lang w:eastAsia="en-IN"/>
                <w14:ligatures w14:val="none"/>
              </w:rPr>
              <w:t>25.25</w:t>
            </w:r>
          </w:p>
        </w:tc>
        <w:tc>
          <w:tcPr>
            <w:tcW w:w="741" w:type="dxa"/>
            <w:tcBorders>
              <w:top w:val="nil"/>
              <w:left w:val="nil"/>
              <w:bottom w:val="single" w:sz="4" w:space="0" w:color="auto"/>
              <w:right w:val="single" w:sz="4" w:space="0" w:color="auto"/>
            </w:tcBorders>
            <w:noWrap/>
            <w:vAlign w:val="center"/>
            <w:hideMark/>
          </w:tcPr>
          <w:p w14:paraId="65E00E19" w14:textId="77777777" w:rsidR="001A0C9B" w:rsidRPr="001A0C9B" w:rsidRDefault="001A0C9B" w:rsidP="001A0C9B">
            <w:pPr>
              <w:spacing w:after="0" w:line="240" w:lineRule="auto"/>
              <w:jc w:val="right"/>
              <w:rPr>
                <w:rFonts w:ascii="Times New Roman" w:eastAsia="Times New Roman" w:hAnsi="Times New Roman" w:cs="Times New Roman"/>
                <w:color w:val="000000"/>
                <w:kern w:val="0"/>
                <w:sz w:val="16"/>
                <w:szCs w:val="16"/>
                <w:lang w:eastAsia="en-IN"/>
                <w14:ligatures w14:val="none"/>
              </w:rPr>
            </w:pPr>
            <w:r w:rsidRPr="001A0C9B">
              <w:rPr>
                <w:rFonts w:ascii="Times New Roman" w:eastAsia="Times New Roman" w:hAnsi="Times New Roman" w:cs="Times New Roman"/>
                <w:color w:val="000000"/>
                <w:kern w:val="0"/>
                <w:sz w:val="16"/>
                <w:szCs w:val="16"/>
                <w:lang w:eastAsia="en-IN"/>
                <w14:ligatures w14:val="none"/>
              </w:rPr>
              <w:t>5.75</w:t>
            </w:r>
          </w:p>
        </w:tc>
        <w:tc>
          <w:tcPr>
            <w:tcW w:w="981" w:type="dxa"/>
            <w:tcBorders>
              <w:top w:val="nil"/>
              <w:left w:val="nil"/>
              <w:bottom w:val="single" w:sz="4" w:space="0" w:color="auto"/>
              <w:right w:val="single" w:sz="4" w:space="0" w:color="auto"/>
            </w:tcBorders>
            <w:noWrap/>
            <w:vAlign w:val="center"/>
            <w:hideMark/>
          </w:tcPr>
          <w:p w14:paraId="5F89B06B" w14:textId="77777777" w:rsidR="001A0C9B" w:rsidRPr="001A0C9B" w:rsidRDefault="001A0C9B" w:rsidP="001A0C9B">
            <w:pPr>
              <w:spacing w:after="0" w:line="240" w:lineRule="auto"/>
              <w:jc w:val="right"/>
              <w:rPr>
                <w:rFonts w:ascii="Times New Roman" w:eastAsia="Times New Roman" w:hAnsi="Times New Roman" w:cs="Times New Roman"/>
                <w:color w:val="000000"/>
                <w:kern w:val="0"/>
                <w:sz w:val="16"/>
                <w:szCs w:val="16"/>
                <w:lang w:eastAsia="en-IN"/>
                <w14:ligatures w14:val="none"/>
              </w:rPr>
            </w:pPr>
            <w:r w:rsidRPr="001A0C9B">
              <w:rPr>
                <w:rFonts w:ascii="Times New Roman" w:eastAsia="Times New Roman" w:hAnsi="Times New Roman" w:cs="Times New Roman"/>
                <w:color w:val="000000"/>
                <w:kern w:val="0"/>
                <w:sz w:val="16"/>
                <w:szCs w:val="16"/>
                <w:lang w:eastAsia="en-IN"/>
                <w14:ligatures w14:val="none"/>
              </w:rPr>
              <w:t>5.37</w:t>
            </w:r>
          </w:p>
        </w:tc>
        <w:tc>
          <w:tcPr>
            <w:tcW w:w="754" w:type="dxa"/>
            <w:tcBorders>
              <w:top w:val="nil"/>
              <w:left w:val="nil"/>
              <w:bottom w:val="single" w:sz="4" w:space="0" w:color="auto"/>
              <w:right w:val="single" w:sz="4" w:space="0" w:color="auto"/>
            </w:tcBorders>
            <w:noWrap/>
            <w:vAlign w:val="center"/>
            <w:hideMark/>
          </w:tcPr>
          <w:p w14:paraId="4041E2D2" w14:textId="77777777" w:rsidR="001A0C9B" w:rsidRPr="001A0C9B" w:rsidRDefault="001A0C9B" w:rsidP="001A0C9B">
            <w:pPr>
              <w:spacing w:after="0" w:line="240" w:lineRule="auto"/>
              <w:jc w:val="right"/>
              <w:rPr>
                <w:rFonts w:ascii="Times New Roman" w:eastAsia="Times New Roman" w:hAnsi="Times New Roman" w:cs="Times New Roman"/>
                <w:color w:val="000000"/>
                <w:kern w:val="0"/>
                <w:sz w:val="16"/>
                <w:szCs w:val="16"/>
                <w:lang w:eastAsia="en-IN"/>
                <w14:ligatures w14:val="none"/>
              </w:rPr>
            </w:pPr>
            <w:r w:rsidRPr="001A0C9B">
              <w:rPr>
                <w:rFonts w:ascii="Times New Roman" w:eastAsia="Times New Roman" w:hAnsi="Times New Roman" w:cs="Times New Roman"/>
                <w:color w:val="000000"/>
                <w:kern w:val="0"/>
                <w:sz w:val="16"/>
                <w:szCs w:val="16"/>
                <w:lang w:eastAsia="en-IN"/>
                <w14:ligatures w14:val="none"/>
              </w:rPr>
              <w:t>109.54</w:t>
            </w:r>
          </w:p>
        </w:tc>
        <w:tc>
          <w:tcPr>
            <w:tcW w:w="723" w:type="dxa"/>
            <w:tcBorders>
              <w:top w:val="nil"/>
              <w:left w:val="nil"/>
              <w:bottom w:val="single" w:sz="4" w:space="0" w:color="auto"/>
              <w:right w:val="single" w:sz="4" w:space="0" w:color="auto"/>
            </w:tcBorders>
            <w:noWrap/>
            <w:vAlign w:val="center"/>
            <w:hideMark/>
          </w:tcPr>
          <w:p w14:paraId="3AA765FC" w14:textId="77777777" w:rsidR="001A0C9B" w:rsidRPr="001A0C9B" w:rsidRDefault="001A0C9B" w:rsidP="001A0C9B">
            <w:pPr>
              <w:spacing w:after="0" w:line="240" w:lineRule="auto"/>
              <w:jc w:val="right"/>
              <w:rPr>
                <w:rFonts w:ascii="Times New Roman" w:eastAsia="Times New Roman" w:hAnsi="Times New Roman" w:cs="Times New Roman"/>
                <w:color w:val="000000"/>
                <w:kern w:val="0"/>
                <w:sz w:val="16"/>
                <w:szCs w:val="16"/>
                <w:lang w:eastAsia="en-IN"/>
                <w14:ligatures w14:val="none"/>
              </w:rPr>
            </w:pPr>
            <w:r w:rsidRPr="001A0C9B">
              <w:rPr>
                <w:rFonts w:ascii="Times New Roman" w:eastAsia="Times New Roman" w:hAnsi="Times New Roman" w:cs="Times New Roman"/>
                <w:color w:val="000000"/>
                <w:kern w:val="0"/>
                <w:sz w:val="16"/>
                <w:szCs w:val="16"/>
                <w:lang w:eastAsia="en-IN"/>
                <w14:ligatures w14:val="none"/>
              </w:rPr>
              <w:t>29.37</w:t>
            </w:r>
          </w:p>
        </w:tc>
        <w:tc>
          <w:tcPr>
            <w:tcW w:w="754" w:type="dxa"/>
            <w:tcBorders>
              <w:top w:val="nil"/>
              <w:left w:val="nil"/>
              <w:bottom w:val="single" w:sz="4" w:space="0" w:color="auto"/>
              <w:right w:val="single" w:sz="4" w:space="0" w:color="auto"/>
            </w:tcBorders>
            <w:noWrap/>
            <w:vAlign w:val="center"/>
            <w:hideMark/>
          </w:tcPr>
          <w:p w14:paraId="43004A44" w14:textId="77777777" w:rsidR="001A0C9B" w:rsidRPr="001A0C9B" w:rsidRDefault="001A0C9B" w:rsidP="001A0C9B">
            <w:pPr>
              <w:spacing w:after="0" w:line="240" w:lineRule="auto"/>
              <w:rPr>
                <w:rFonts w:ascii="Times New Roman" w:eastAsia="Times New Roman" w:hAnsi="Times New Roman" w:cs="Times New Roman"/>
                <w:color w:val="000000"/>
                <w:kern w:val="0"/>
                <w:sz w:val="16"/>
                <w:szCs w:val="16"/>
                <w:lang w:eastAsia="en-IN"/>
                <w14:ligatures w14:val="none"/>
              </w:rPr>
            </w:pPr>
            <w:r w:rsidRPr="001A0C9B">
              <w:rPr>
                <w:rFonts w:ascii="Times New Roman" w:eastAsia="Times New Roman" w:hAnsi="Times New Roman" w:cs="Times New Roman"/>
                <w:color w:val="000000"/>
                <w:kern w:val="0"/>
                <w:sz w:val="16"/>
                <w:szCs w:val="16"/>
                <w:lang w:eastAsia="en-IN"/>
                <w14:ligatures w14:val="none"/>
              </w:rPr>
              <w:t>..</w:t>
            </w:r>
          </w:p>
        </w:tc>
        <w:tc>
          <w:tcPr>
            <w:tcW w:w="981" w:type="dxa"/>
            <w:tcBorders>
              <w:top w:val="nil"/>
              <w:left w:val="nil"/>
              <w:bottom w:val="single" w:sz="4" w:space="0" w:color="auto"/>
              <w:right w:val="single" w:sz="4" w:space="0" w:color="auto"/>
            </w:tcBorders>
            <w:noWrap/>
            <w:vAlign w:val="center"/>
            <w:hideMark/>
          </w:tcPr>
          <w:p w14:paraId="7D2DE4BF" w14:textId="77777777" w:rsidR="001A0C9B" w:rsidRPr="001A0C9B" w:rsidRDefault="001A0C9B" w:rsidP="001A0C9B">
            <w:pPr>
              <w:spacing w:after="0" w:line="240" w:lineRule="auto"/>
              <w:rPr>
                <w:rFonts w:ascii="Times New Roman" w:eastAsia="Times New Roman" w:hAnsi="Times New Roman" w:cs="Times New Roman"/>
                <w:color w:val="000000"/>
                <w:kern w:val="0"/>
                <w:sz w:val="16"/>
                <w:szCs w:val="16"/>
                <w:lang w:eastAsia="en-IN"/>
                <w14:ligatures w14:val="none"/>
              </w:rPr>
            </w:pPr>
            <w:r w:rsidRPr="001A0C9B">
              <w:rPr>
                <w:rFonts w:ascii="Times New Roman" w:eastAsia="Times New Roman" w:hAnsi="Times New Roman" w:cs="Times New Roman"/>
                <w:color w:val="000000"/>
                <w:kern w:val="0"/>
                <w:sz w:val="16"/>
                <w:szCs w:val="16"/>
                <w:lang w:eastAsia="en-IN"/>
                <w14:ligatures w14:val="none"/>
              </w:rPr>
              <w:t>..</w:t>
            </w:r>
          </w:p>
        </w:tc>
        <w:tc>
          <w:tcPr>
            <w:tcW w:w="754" w:type="dxa"/>
            <w:tcBorders>
              <w:top w:val="nil"/>
              <w:left w:val="nil"/>
              <w:bottom w:val="single" w:sz="4" w:space="0" w:color="auto"/>
              <w:right w:val="single" w:sz="4" w:space="0" w:color="auto"/>
            </w:tcBorders>
            <w:noWrap/>
            <w:vAlign w:val="center"/>
            <w:hideMark/>
          </w:tcPr>
          <w:p w14:paraId="64AD6F9E" w14:textId="77777777" w:rsidR="001A0C9B" w:rsidRPr="001A0C9B" w:rsidRDefault="001A0C9B" w:rsidP="001A0C9B">
            <w:pPr>
              <w:spacing w:after="0" w:line="240" w:lineRule="auto"/>
              <w:jc w:val="right"/>
              <w:rPr>
                <w:rFonts w:ascii="Times New Roman" w:eastAsia="Times New Roman" w:hAnsi="Times New Roman" w:cs="Times New Roman"/>
                <w:color w:val="000000"/>
                <w:kern w:val="0"/>
                <w:sz w:val="16"/>
                <w:szCs w:val="16"/>
                <w:lang w:eastAsia="en-IN"/>
                <w14:ligatures w14:val="none"/>
              </w:rPr>
            </w:pPr>
            <w:r w:rsidRPr="001A0C9B">
              <w:rPr>
                <w:rFonts w:ascii="Times New Roman" w:eastAsia="Times New Roman" w:hAnsi="Times New Roman" w:cs="Times New Roman"/>
                <w:color w:val="000000"/>
                <w:kern w:val="0"/>
                <w:sz w:val="16"/>
                <w:szCs w:val="16"/>
                <w:lang w:eastAsia="en-IN"/>
                <w14:ligatures w14:val="none"/>
              </w:rPr>
              <w:t>114.72</w:t>
            </w:r>
          </w:p>
        </w:tc>
        <w:tc>
          <w:tcPr>
            <w:tcW w:w="723" w:type="dxa"/>
            <w:tcBorders>
              <w:top w:val="nil"/>
              <w:left w:val="nil"/>
              <w:bottom w:val="single" w:sz="4" w:space="0" w:color="auto"/>
              <w:right w:val="single" w:sz="4" w:space="0" w:color="auto"/>
            </w:tcBorders>
            <w:noWrap/>
            <w:vAlign w:val="center"/>
            <w:hideMark/>
          </w:tcPr>
          <w:p w14:paraId="6C9FE087" w14:textId="77777777" w:rsidR="001A0C9B" w:rsidRPr="001A0C9B" w:rsidRDefault="001A0C9B" w:rsidP="001A0C9B">
            <w:pPr>
              <w:spacing w:after="0" w:line="240" w:lineRule="auto"/>
              <w:jc w:val="right"/>
              <w:rPr>
                <w:rFonts w:ascii="Times New Roman" w:eastAsia="Times New Roman" w:hAnsi="Times New Roman" w:cs="Times New Roman"/>
                <w:color w:val="000000"/>
                <w:kern w:val="0"/>
                <w:sz w:val="16"/>
                <w:szCs w:val="16"/>
                <w:lang w:eastAsia="en-IN"/>
                <w14:ligatures w14:val="none"/>
              </w:rPr>
            </w:pPr>
            <w:r w:rsidRPr="001A0C9B">
              <w:rPr>
                <w:rFonts w:ascii="Times New Roman" w:eastAsia="Times New Roman" w:hAnsi="Times New Roman" w:cs="Times New Roman"/>
                <w:color w:val="000000"/>
                <w:kern w:val="0"/>
                <w:sz w:val="16"/>
                <w:szCs w:val="16"/>
                <w:lang w:eastAsia="en-IN"/>
                <w14:ligatures w14:val="none"/>
              </w:rPr>
              <w:t>30.05</w:t>
            </w:r>
          </w:p>
        </w:tc>
      </w:tr>
      <w:tr w:rsidR="001A0C9B" w:rsidRPr="001A0C9B" w14:paraId="754ED72C" w14:textId="77777777" w:rsidTr="002A11B0">
        <w:trPr>
          <w:trHeight w:val="166"/>
          <w:jc w:val="center"/>
        </w:trPr>
        <w:tc>
          <w:tcPr>
            <w:tcW w:w="1051" w:type="dxa"/>
            <w:tcBorders>
              <w:top w:val="nil"/>
              <w:left w:val="single" w:sz="4" w:space="0" w:color="auto"/>
              <w:bottom w:val="single" w:sz="4" w:space="0" w:color="auto"/>
              <w:right w:val="single" w:sz="4" w:space="0" w:color="auto"/>
            </w:tcBorders>
            <w:noWrap/>
            <w:vAlign w:val="center"/>
            <w:hideMark/>
          </w:tcPr>
          <w:p w14:paraId="5713AEBC" w14:textId="77777777" w:rsidR="001A0C9B" w:rsidRPr="001A0C9B" w:rsidRDefault="001A0C9B" w:rsidP="001A0C9B">
            <w:pPr>
              <w:spacing w:after="0" w:line="240" w:lineRule="auto"/>
              <w:rPr>
                <w:rFonts w:ascii="Times New Roman" w:eastAsia="Times New Roman" w:hAnsi="Times New Roman" w:cs="Times New Roman"/>
                <w:color w:val="000000"/>
                <w:kern w:val="0"/>
                <w:sz w:val="16"/>
                <w:szCs w:val="16"/>
                <w:lang w:eastAsia="en-IN"/>
                <w14:ligatures w14:val="none"/>
              </w:rPr>
            </w:pPr>
            <w:r w:rsidRPr="001A0C9B">
              <w:rPr>
                <w:rFonts w:ascii="Times New Roman" w:eastAsia="Times New Roman" w:hAnsi="Times New Roman" w:cs="Times New Roman"/>
                <w:color w:val="000000"/>
                <w:kern w:val="0"/>
                <w:sz w:val="16"/>
                <w:szCs w:val="16"/>
                <w:lang w:eastAsia="en-IN"/>
                <w14:ligatures w14:val="none"/>
              </w:rPr>
              <w:t>Uttar Pradesh</w:t>
            </w:r>
          </w:p>
        </w:tc>
        <w:tc>
          <w:tcPr>
            <w:tcW w:w="669" w:type="dxa"/>
            <w:tcBorders>
              <w:top w:val="nil"/>
              <w:left w:val="nil"/>
              <w:bottom w:val="single" w:sz="4" w:space="0" w:color="auto"/>
              <w:right w:val="single" w:sz="4" w:space="0" w:color="auto"/>
            </w:tcBorders>
            <w:noWrap/>
            <w:vAlign w:val="center"/>
            <w:hideMark/>
          </w:tcPr>
          <w:p w14:paraId="29233791" w14:textId="77777777" w:rsidR="001A0C9B" w:rsidRPr="001A0C9B" w:rsidRDefault="001A0C9B" w:rsidP="001A0C9B">
            <w:pPr>
              <w:spacing w:after="0" w:line="240" w:lineRule="auto"/>
              <w:jc w:val="right"/>
              <w:rPr>
                <w:rFonts w:ascii="Times New Roman" w:eastAsia="Times New Roman" w:hAnsi="Times New Roman" w:cs="Times New Roman"/>
                <w:color w:val="000000"/>
                <w:kern w:val="0"/>
                <w:sz w:val="16"/>
                <w:szCs w:val="16"/>
                <w:lang w:eastAsia="en-IN"/>
                <w14:ligatures w14:val="none"/>
              </w:rPr>
            </w:pPr>
            <w:r w:rsidRPr="001A0C9B">
              <w:rPr>
                <w:rFonts w:ascii="Times New Roman" w:eastAsia="Times New Roman" w:hAnsi="Times New Roman" w:cs="Times New Roman"/>
                <w:color w:val="000000"/>
                <w:kern w:val="0"/>
                <w:sz w:val="16"/>
                <w:szCs w:val="16"/>
                <w:lang w:eastAsia="en-IN"/>
                <w14:ligatures w14:val="none"/>
              </w:rPr>
              <w:t>57.45</w:t>
            </w:r>
          </w:p>
        </w:tc>
        <w:tc>
          <w:tcPr>
            <w:tcW w:w="723" w:type="dxa"/>
            <w:tcBorders>
              <w:top w:val="nil"/>
              <w:left w:val="nil"/>
              <w:bottom w:val="single" w:sz="4" w:space="0" w:color="auto"/>
              <w:right w:val="single" w:sz="4" w:space="0" w:color="auto"/>
            </w:tcBorders>
            <w:noWrap/>
            <w:vAlign w:val="center"/>
            <w:hideMark/>
          </w:tcPr>
          <w:p w14:paraId="47178447" w14:textId="77777777" w:rsidR="001A0C9B" w:rsidRPr="001A0C9B" w:rsidRDefault="001A0C9B" w:rsidP="001A0C9B">
            <w:pPr>
              <w:spacing w:after="0" w:line="240" w:lineRule="auto"/>
              <w:jc w:val="right"/>
              <w:rPr>
                <w:rFonts w:ascii="Times New Roman" w:eastAsia="Times New Roman" w:hAnsi="Times New Roman" w:cs="Times New Roman"/>
                <w:color w:val="000000"/>
                <w:kern w:val="0"/>
                <w:sz w:val="16"/>
                <w:szCs w:val="16"/>
                <w:lang w:eastAsia="en-IN"/>
                <w14:ligatures w14:val="none"/>
              </w:rPr>
            </w:pPr>
            <w:r w:rsidRPr="001A0C9B">
              <w:rPr>
                <w:rFonts w:ascii="Times New Roman" w:eastAsia="Times New Roman" w:hAnsi="Times New Roman" w:cs="Times New Roman"/>
                <w:color w:val="000000"/>
                <w:kern w:val="0"/>
                <w:sz w:val="16"/>
                <w:szCs w:val="16"/>
                <w:lang w:eastAsia="en-IN"/>
                <w14:ligatures w14:val="none"/>
              </w:rPr>
              <w:t>7.79</w:t>
            </w:r>
          </w:p>
        </w:tc>
        <w:tc>
          <w:tcPr>
            <w:tcW w:w="773" w:type="dxa"/>
            <w:tcBorders>
              <w:top w:val="nil"/>
              <w:left w:val="nil"/>
              <w:bottom w:val="single" w:sz="4" w:space="0" w:color="auto"/>
              <w:right w:val="single" w:sz="4" w:space="0" w:color="auto"/>
            </w:tcBorders>
            <w:noWrap/>
            <w:vAlign w:val="center"/>
            <w:hideMark/>
          </w:tcPr>
          <w:p w14:paraId="6C3A6005" w14:textId="79384A89" w:rsidR="001A0C9B" w:rsidRPr="001A0C9B" w:rsidRDefault="001A0C9B" w:rsidP="001A0C9B">
            <w:pPr>
              <w:spacing w:after="0" w:line="240" w:lineRule="auto"/>
              <w:jc w:val="right"/>
              <w:rPr>
                <w:rFonts w:ascii="Times New Roman" w:eastAsia="Times New Roman" w:hAnsi="Times New Roman" w:cs="Times New Roman"/>
                <w:color w:val="000000"/>
                <w:kern w:val="0"/>
                <w:sz w:val="16"/>
                <w:szCs w:val="16"/>
                <w:lang w:eastAsia="en-IN"/>
                <w14:ligatures w14:val="none"/>
              </w:rPr>
            </w:pPr>
            <w:r w:rsidRPr="001A0C9B">
              <w:rPr>
                <w:rFonts w:ascii="Times New Roman" w:eastAsia="Times New Roman" w:hAnsi="Times New Roman" w:cs="Times New Roman"/>
                <w:color w:val="000000"/>
                <w:kern w:val="0"/>
                <w:sz w:val="16"/>
                <w:szCs w:val="16"/>
                <w:lang w:eastAsia="en-IN"/>
                <w14:ligatures w14:val="none"/>
              </w:rPr>
              <w:t>109</w:t>
            </w:r>
            <w:r w:rsidR="0063665D">
              <w:rPr>
                <w:rFonts w:ascii="Times New Roman" w:eastAsia="Times New Roman" w:hAnsi="Times New Roman" w:cs="Times New Roman"/>
                <w:color w:val="000000"/>
                <w:kern w:val="0"/>
                <w:sz w:val="16"/>
                <w:szCs w:val="16"/>
                <w:lang w:eastAsia="en-IN"/>
                <w14:ligatures w14:val="none"/>
              </w:rPr>
              <w:t>.00</w:t>
            </w:r>
          </w:p>
        </w:tc>
        <w:tc>
          <w:tcPr>
            <w:tcW w:w="981" w:type="dxa"/>
            <w:tcBorders>
              <w:top w:val="nil"/>
              <w:left w:val="nil"/>
              <w:bottom w:val="single" w:sz="4" w:space="0" w:color="auto"/>
              <w:right w:val="single" w:sz="4" w:space="0" w:color="auto"/>
            </w:tcBorders>
            <w:noWrap/>
            <w:vAlign w:val="center"/>
            <w:hideMark/>
          </w:tcPr>
          <w:p w14:paraId="1682A3EB" w14:textId="77777777" w:rsidR="001A0C9B" w:rsidRPr="001A0C9B" w:rsidRDefault="001A0C9B" w:rsidP="001A0C9B">
            <w:pPr>
              <w:spacing w:after="0" w:line="240" w:lineRule="auto"/>
              <w:jc w:val="right"/>
              <w:rPr>
                <w:rFonts w:ascii="Times New Roman" w:eastAsia="Times New Roman" w:hAnsi="Times New Roman" w:cs="Times New Roman"/>
                <w:color w:val="000000"/>
                <w:kern w:val="0"/>
                <w:sz w:val="16"/>
                <w:szCs w:val="16"/>
                <w:lang w:eastAsia="en-IN"/>
                <w14:ligatures w14:val="none"/>
              </w:rPr>
            </w:pPr>
            <w:r w:rsidRPr="001A0C9B">
              <w:rPr>
                <w:rFonts w:ascii="Times New Roman" w:eastAsia="Times New Roman" w:hAnsi="Times New Roman" w:cs="Times New Roman"/>
                <w:color w:val="000000"/>
                <w:kern w:val="0"/>
                <w:sz w:val="16"/>
                <w:szCs w:val="16"/>
                <w:lang w:eastAsia="en-IN"/>
                <w14:ligatures w14:val="none"/>
              </w:rPr>
              <w:t>89.68</w:t>
            </w:r>
          </w:p>
        </w:tc>
        <w:tc>
          <w:tcPr>
            <w:tcW w:w="669" w:type="dxa"/>
            <w:tcBorders>
              <w:top w:val="nil"/>
              <w:left w:val="nil"/>
              <w:bottom w:val="single" w:sz="4" w:space="0" w:color="auto"/>
              <w:right w:val="single" w:sz="4" w:space="0" w:color="auto"/>
            </w:tcBorders>
            <w:noWrap/>
            <w:vAlign w:val="center"/>
            <w:hideMark/>
          </w:tcPr>
          <w:p w14:paraId="2CD72AD7" w14:textId="77777777" w:rsidR="001A0C9B" w:rsidRPr="001A0C9B" w:rsidRDefault="001A0C9B" w:rsidP="001A0C9B">
            <w:pPr>
              <w:spacing w:after="0" w:line="240" w:lineRule="auto"/>
              <w:jc w:val="right"/>
              <w:rPr>
                <w:rFonts w:ascii="Times New Roman" w:eastAsia="Times New Roman" w:hAnsi="Times New Roman" w:cs="Times New Roman"/>
                <w:color w:val="000000"/>
                <w:kern w:val="0"/>
                <w:sz w:val="16"/>
                <w:szCs w:val="16"/>
                <w:lang w:eastAsia="en-IN"/>
                <w14:ligatures w14:val="none"/>
              </w:rPr>
            </w:pPr>
            <w:r w:rsidRPr="001A0C9B">
              <w:rPr>
                <w:rFonts w:ascii="Times New Roman" w:eastAsia="Times New Roman" w:hAnsi="Times New Roman" w:cs="Times New Roman"/>
                <w:color w:val="000000"/>
                <w:kern w:val="0"/>
                <w:sz w:val="16"/>
                <w:szCs w:val="16"/>
                <w:lang w:eastAsia="en-IN"/>
                <w14:ligatures w14:val="none"/>
              </w:rPr>
              <w:t>94.97</w:t>
            </w:r>
          </w:p>
        </w:tc>
        <w:tc>
          <w:tcPr>
            <w:tcW w:w="679" w:type="dxa"/>
            <w:tcBorders>
              <w:top w:val="nil"/>
              <w:left w:val="nil"/>
              <w:bottom w:val="single" w:sz="4" w:space="0" w:color="auto"/>
              <w:right w:val="single" w:sz="4" w:space="0" w:color="auto"/>
            </w:tcBorders>
            <w:noWrap/>
            <w:vAlign w:val="center"/>
            <w:hideMark/>
          </w:tcPr>
          <w:p w14:paraId="559343FC" w14:textId="77777777" w:rsidR="001A0C9B" w:rsidRPr="001A0C9B" w:rsidRDefault="001A0C9B" w:rsidP="001A0C9B">
            <w:pPr>
              <w:spacing w:after="0" w:line="240" w:lineRule="auto"/>
              <w:jc w:val="right"/>
              <w:rPr>
                <w:rFonts w:ascii="Times New Roman" w:eastAsia="Times New Roman" w:hAnsi="Times New Roman" w:cs="Times New Roman"/>
                <w:color w:val="000000"/>
                <w:kern w:val="0"/>
                <w:sz w:val="16"/>
                <w:szCs w:val="16"/>
                <w:lang w:eastAsia="en-IN"/>
                <w14:ligatures w14:val="none"/>
              </w:rPr>
            </w:pPr>
            <w:r w:rsidRPr="001A0C9B">
              <w:rPr>
                <w:rFonts w:ascii="Times New Roman" w:eastAsia="Times New Roman" w:hAnsi="Times New Roman" w:cs="Times New Roman"/>
                <w:color w:val="000000"/>
                <w:kern w:val="0"/>
                <w:sz w:val="16"/>
                <w:szCs w:val="16"/>
                <w:lang w:eastAsia="en-IN"/>
                <w14:ligatures w14:val="none"/>
              </w:rPr>
              <w:t>11.71</w:t>
            </w:r>
          </w:p>
        </w:tc>
        <w:tc>
          <w:tcPr>
            <w:tcW w:w="773" w:type="dxa"/>
            <w:tcBorders>
              <w:top w:val="nil"/>
              <w:left w:val="nil"/>
              <w:bottom w:val="single" w:sz="4" w:space="0" w:color="auto"/>
              <w:right w:val="single" w:sz="4" w:space="0" w:color="auto"/>
            </w:tcBorders>
            <w:noWrap/>
            <w:vAlign w:val="center"/>
            <w:hideMark/>
          </w:tcPr>
          <w:p w14:paraId="0DA3F823" w14:textId="65ADA526" w:rsidR="001A0C9B" w:rsidRPr="001A0C9B" w:rsidRDefault="001A0C9B" w:rsidP="001A0C9B">
            <w:pPr>
              <w:spacing w:after="0" w:line="240" w:lineRule="auto"/>
              <w:jc w:val="right"/>
              <w:rPr>
                <w:rFonts w:ascii="Times New Roman" w:eastAsia="Times New Roman" w:hAnsi="Times New Roman" w:cs="Times New Roman"/>
                <w:color w:val="000000"/>
                <w:kern w:val="0"/>
                <w:sz w:val="16"/>
                <w:szCs w:val="16"/>
                <w:lang w:eastAsia="en-IN"/>
                <w14:ligatures w14:val="none"/>
              </w:rPr>
            </w:pPr>
            <w:r w:rsidRPr="001A0C9B">
              <w:rPr>
                <w:rFonts w:ascii="Times New Roman" w:eastAsia="Times New Roman" w:hAnsi="Times New Roman" w:cs="Times New Roman"/>
                <w:color w:val="000000"/>
                <w:kern w:val="0"/>
                <w:sz w:val="16"/>
                <w:szCs w:val="16"/>
                <w:lang w:eastAsia="en-IN"/>
                <w14:ligatures w14:val="none"/>
              </w:rPr>
              <w:t>2.4</w:t>
            </w:r>
            <w:r w:rsidR="0063665D">
              <w:rPr>
                <w:rFonts w:ascii="Times New Roman" w:eastAsia="Times New Roman" w:hAnsi="Times New Roman" w:cs="Times New Roman"/>
                <w:color w:val="000000"/>
                <w:kern w:val="0"/>
                <w:sz w:val="16"/>
                <w:szCs w:val="16"/>
                <w:lang w:eastAsia="en-IN"/>
                <w14:ligatures w14:val="none"/>
              </w:rPr>
              <w:t>0</w:t>
            </w:r>
          </w:p>
        </w:tc>
        <w:tc>
          <w:tcPr>
            <w:tcW w:w="981" w:type="dxa"/>
            <w:tcBorders>
              <w:top w:val="nil"/>
              <w:left w:val="nil"/>
              <w:bottom w:val="single" w:sz="4" w:space="0" w:color="auto"/>
              <w:right w:val="single" w:sz="4" w:space="0" w:color="auto"/>
            </w:tcBorders>
            <w:noWrap/>
            <w:vAlign w:val="center"/>
            <w:hideMark/>
          </w:tcPr>
          <w:p w14:paraId="6673052B" w14:textId="77777777" w:rsidR="001A0C9B" w:rsidRPr="001A0C9B" w:rsidRDefault="001A0C9B" w:rsidP="001A0C9B">
            <w:pPr>
              <w:spacing w:after="0" w:line="240" w:lineRule="auto"/>
              <w:jc w:val="right"/>
              <w:rPr>
                <w:rFonts w:ascii="Times New Roman" w:eastAsia="Times New Roman" w:hAnsi="Times New Roman" w:cs="Times New Roman"/>
                <w:color w:val="000000"/>
                <w:kern w:val="0"/>
                <w:sz w:val="16"/>
                <w:szCs w:val="16"/>
                <w:lang w:eastAsia="en-IN"/>
                <w14:ligatures w14:val="none"/>
              </w:rPr>
            </w:pPr>
            <w:r w:rsidRPr="001A0C9B">
              <w:rPr>
                <w:rFonts w:ascii="Times New Roman" w:eastAsia="Times New Roman" w:hAnsi="Times New Roman" w:cs="Times New Roman"/>
                <w:color w:val="000000"/>
                <w:kern w:val="0"/>
                <w:sz w:val="16"/>
                <w:szCs w:val="16"/>
                <w:lang w:eastAsia="en-IN"/>
                <w14:ligatures w14:val="none"/>
              </w:rPr>
              <w:t>1.28</w:t>
            </w:r>
          </w:p>
        </w:tc>
        <w:tc>
          <w:tcPr>
            <w:tcW w:w="782" w:type="dxa"/>
            <w:tcBorders>
              <w:top w:val="nil"/>
              <w:left w:val="nil"/>
              <w:bottom w:val="single" w:sz="4" w:space="0" w:color="auto"/>
              <w:right w:val="single" w:sz="4" w:space="0" w:color="auto"/>
            </w:tcBorders>
            <w:noWrap/>
            <w:vAlign w:val="center"/>
            <w:hideMark/>
          </w:tcPr>
          <w:p w14:paraId="659A3423" w14:textId="77777777" w:rsidR="001A0C9B" w:rsidRPr="001A0C9B" w:rsidRDefault="001A0C9B" w:rsidP="001A0C9B">
            <w:pPr>
              <w:spacing w:after="0" w:line="240" w:lineRule="auto"/>
              <w:jc w:val="right"/>
              <w:rPr>
                <w:rFonts w:ascii="Times New Roman" w:eastAsia="Times New Roman" w:hAnsi="Times New Roman" w:cs="Times New Roman"/>
                <w:color w:val="000000"/>
                <w:kern w:val="0"/>
                <w:sz w:val="16"/>
                <w:szCs w:val="16"/>
                <w:lang w:eastAsia="en-IN"/>
                <w14:ligatures w14:val="none"/>
              </w:rPr>
            </w:pPr>
            <w:r w:rsidRPr="001A0C9B">
              <w:rPr>
                <w:rFonts w:ascii="Times New Roman" w:eastAsia="Times New Roman" w:hAnsi="Times New Roman" w:cs="Times New Roman"/>
                <w:color w:val="000000"/>
                <w:kern w:val="0"/>
                <w:sz w:val="16"/>
                <w:szCs w:val="16"/>
                <w:lang w:eastAsia="en-IN"/>
                <w14:ligatures w14:val="none"/>
              </w:rPr>
              <w:t>102.65</w:t>
            </w:r>
          </w:p>
        </w:tc>
        <w:tc>
          <w:tcPr>
            <w:tcW w:w="723" w:type="dxa"/>
            <w:tcBorders>
              <w:top w:val="nil"/>
              <w:left w:val="nil"/>
              <w:bottom w:val="single" w:sz="4" w:space="0" w:color="auto"/>
              <w:right w:val="single" w:sz="4" w:space="0" w:color="auto"/>
            </w:tcBorders>
            <w:noWrap/>
            <w:vAlign w:val="center"/>
            <w:hideMark/>
          </w:tcPr>
          <w:p w14:paraId="67CF03AC" w14:textId="77777777" w:rsidR="001A0C9B" w:rsidRPr="001A0C9B" w:rsidRDefault="001A0C9B" w:rsidP="001A0C9B">
            <w:pPr>
              <w:spacing w:after="0" w:line="240" w:lineRule="auto"/>
              <w:jc w:val="right"/>
              <w:rPr>
                <w:rFonts w:ascii="Times New Roman" w:eastAsia="Times New Roman" w:hAnsi="Times New Roman" w:cs="Times New Roman"/>
                <w:color w:val="000000"/>
                <w:kern w:val="0"/>
                <w:sz w:val="16"/>
                <w:szCs w:val="16"/>
                <w:lang w:eastAsia="en-IN"/>
                <w14:ligatures w14:val="none"/>
              </w:rPr>
            </w:pPr>
            <w:r w:rsidRPr="001A0C9B">
              <w:rPr>
                <w:rFonts w:ascii="Times New Roman" w:eastAsia="Times New Roman" w:hAnsi="Times New Roman" w:cs="Times New Roman"/>
                <w:color w:val="000000"/>
                <w:kern w:val="0"/>
                <w:sz w:val="16"/>
                <w:szCs w:val="16"/>
                <w:lang w:eastAsia="en-IN"/>
                <w14:ligatures w14:val="none"/>
              </w:rPr>
              <w:t>12.37</w:t>
            </w:r>
          </w:p>
        </w:tc>
        <w:tc>
          <w:tcPr>
            <w:tcW w:w="741" w:type="dxa"/>
            <w:tcBorders>
              <w:top w:val="nil"/>
              <w:left w:val="nil"/>
              <w:bottom w:val="single" w:sz="4" w:space="0" w:color="auto"/>
              <w:right w:val="single" w:sz="4" w:space="0" w:color="auto"/>
            </w:tcBorders>
            <w:noWrap/>
            <w:vAlign w:val="center"/>
            <w:hideMark/>
          </w:tcPr>
          <w:p w14:paraId="0BCCB8FA" w14:textId="77777777" w:rsidR="001A0C9B" w:rsidRPr="001A0C9B" w:rsidRDefault="001A0C9B" w:rsidP="001A0C9B">
            <w:pPr>
              <w:spacing w:after="0" w:line="240" w:lineRule="auto"/>
              <w:rPr>
                <w:rFonts w:ascii="Times New Roman" w:eastAsia="Times New Roman" w:hAnsi="Times New Roman" w:cs="Times New Roman"/>
                <w:color w:val="000000"/>
                <w:kern w:val="0"/>
                <w:sz w:val="16"/>
                <w:szCs w:val="16"/>
                <w:lang w:eastAsia="en-IN"/>
                <w14:ligatures w14:val="none"/>
              </w:rPr>
            </w:pPr>
            <w:r w:rsidRPr="001A0C9B">
              <w:rPr>
                <w:rFonts w:ascii="Times New Roman" w:eastAsia="Times New Roman" w:hAnsi="Times New Roman" w:cs="Times New Roman"/>
                <w:color w:val="000000"/>
                <w:kern w:val="0"/>
                <w:sz w:val="16"/>
                <w:szCs w:val="16"/>
                <w:lang w:eastAsia="en-IN"/>
                <w14:ligatures w14:val="none"/>
              </w:rPr>
              <w:t>..</w:t>
            </w:r>
          </w:p>
        </w:tc>
        <w:tc>
          <w:tcPr>
            <w:tcW w:w="981" w:type="dxa"/>
            <w:tcBorders>
              <w:top w:val="nil"/>
              <w:left w:val="nil"/>
              <w:bottom w:val="single" w:sz="4" w:space="0" w:color="auto"/>
              <w:right w:val="single" w:sz="4" w:space="0" w:color="auto"/>
            </w:tcBorders>
            <w:noWrap/>
            <w:vAlign w:val="center"/>
            <w:hideMark/>
          </w:tcPr>
          <w:p w14:paraId="47E0F9FB" w14:textId="77777777" w:rsidR="001A0C9B" w:rsidRPr="001A0C9B" w:rsidRDefault="001A0C9B" w:rsidP="001A0C9B">
            <w:pPr>
              <w:spacing w:after="0" w:line="240" w:lineRule="auto"/>
              <w:jc w:val="right"/>
              <w:rPr>
                <w:rFonts w:ascii="Times New Roman" w:eastAsia="Times New Roman" w:hAnsi="Times New Roman" w:cs="Times New Roman"/>
                <w:color w:val="000000"/>
                <w:kern w:val="0"/>
                <w:sz w:val="16"/>
                <w:szCs w:val="16"/>
                <w:lang w:eastAsia="en-IN"/>
                <w14:ligatures w14:val="none"/>
              </w:rPr>
            </w:pPr>
            <w:r w:rsidRPr="001A0C9B">
              <w:rPr>
                <w:rFonts w:ascii="Times New Roman" w:eastAsia="Times New Roman" w:hAnsi="Times New Roman" w:cs="Times New Roman"/>
                <w:color w:val="000000"/>
                <w:kern w:val="0"/>
                <w:sz w:val="16"/>
                <w:szCs w:val="16"/>
                <w:lang w:eastAsia="en-IN"/>
                <w14:ligatures w14:val="none"/>
              </w:rPr>
              <w:t>1.52</w:t>
            </w:r>
          </w:p>
        </w:tc>
        <w:tc>
          <w:tcPr>
            <w:tcW w:w="754" w:type="dxa"/>
            <w:tcBorders>
              <w:top w:val="nil"/>
              <w:left w:val="nil"/>
              <w:bottom w:val="single" w:sz="4" w:space="0" w:color="auto"/>
              <w:right w:val="single" w:sz="4" w:space="0" w:color="auto"/>
            </w:tcBorders>
            <w:noWrap/>
            <w:vAlign w:val="center"/>
            <w:hideMark/>
          </w:tcPr>
          <w:p w14:paraId="1CE2DDA4" w14:textId="77777777" w:rsidR="001A0C9B" w:rsidRPr="001A0C9B" w:rsidRDefault="001A0C9B" w:rsidP="001A0C9B">
            <w:pPr>
              <w:spacing w:after="0" w:line="240" w:lineRule="auto"/>
              <w:jc w:val="right"/>
              <w:rPr>
                <w:rFonts w:ascii="Times New Roman" w:eastAsia="Times New Roman" w:hAnsi="Times New Roman" w:cs="Times New Roman"/>
                <w:color w:val="000000"/>
                <w:kern w:val="0"/>
                <w:sz w:val="16"/>
                <w:szCs w:val="16"/>
                <w:lang w:eastAsia="en-IN"/>
                <w14:ligatures w14:val="none"/>
              </w:rPr>
            </w:pPr>
            <w:r w:rsidRPr="001A0C9B">
              <w:rPr>
                <w:rFonts w:ascii="Times New Roman" w:eastAsia="Times New Roman" w:hAnsi="Times New Roman" w:cs="Times New Roman"/>
                <w:color w:val="000000"/>
                <w:kern w:val="0"/>
                <w:sz w:val="16"/>
                <w:szCs w:val="16"/>
                <w:lang w:eastAsia="en-IN"/>
                <w14:ligatures w14:val="none"/>
              </w:rPr>
              <w:t>123.09</w:t>
            </w:r>
          </w:p>
        </w:tc>
        <w:tc>
          <w:tcPr>
            <w:tcW w:w="723" w:type="dxa"/>
            <w:tcBorders>
              <w:top w:val="nil"/>
              <w:left w:val="nil"/>
              <w:bottom w:val="single" w:sz="4" w:space="0" w:color="auto"/>
              <w:right w:val="single" w:sz="4" w:space="0" w:color="auto"/>
            </w:tcBorders>
            <w:noWrap/>
            <w:vAlign w:val="center"/>
            <w:hideMark/>
          </w:tcPr>
          <w:p w14:paraId="465D8CAF" w14:textId="15B5085F" w:rsidR="001A0C9B" w:rsidRPr="001A0C9B" w:rsidRDefault="001A0C9B" w:rsidP="001A0C9B">
            <w:pPr>
              <w:spacing w:after="0" w:line="240" w:lineRule="auto"/>
              <w:jc w:val="right"/>
              <w:rPr>
                <w:rFonts w:ascii="Times New Roman" w:eastAsia="Times New Roman" w:hAnsi="Times New Roman" w:cs="Times New Roman"/>
                <w:color w:val="000000"/>
                <w:kern w:val="0"/>
                <w:sz w:val="16"/>
                <w:szCs w:val="16"/>
                <w:lang w:eastAsia="en-IN"/>
                <w14:ligatures w14:val="none"/>
              </w:rPr>
            </w:pPr>
            <w:r w:rsidRPr="001A0C9B">
              <w:rPr>
                <w:rFonts w:ascii="Times New Roman" w:eastAsia="Times New Roman" w:hAnsi="Times New Roman" w:cs="Times New Roman"/>
                <w:color w:val="000000"/>
                <w:kern w:val="0"/>
                <w:sz w:val="16"/>
                <w:szCs w:val="16"/>
                <w:lang w:eastAsia="en-IN"/>
                <w14:ligatures w14:val="none"/>
              </w:rPr>
              <w:t>14.6</w:t>
            </w:r>
            <w:r w:rsidR="0063665D">
              <w:rPr>
                <w:rFonts w:ascii="Times New Roman" w:eastAsia="Times New Roman" w:hAnsi="Times New Roman" w:cs="Times New Roman"/>
                <w:color w:val="000000"/>
                <w:kern w:val="0"/>
                <w:sz w:val="16"/>
                <w:szCs w:val="16"/>
                <w:lang w:eastAsia="en-IN"/>
                <w14:ligatures w14:val="none"/>
              </w:rPr>
              <w:t>0</w:t>
            </w:r>
          </w:p>
        </w:tc>
        <w:tc>
          <w:tcPr>
            <w:tcW w:w="754" w:type="dxa"/>
            <w:tcBorders>
              <w:top w:val="nil"/>
              <w:left w:val="nil"/>
              <w:bottom w:val="single" w:sz="4" w:space="0" w:color="auto"/>
              <w:right w:val="single" w:sz="4" w:space="0" w:color="auto"/>
            </w:tcBorders>
            <w:noWrap/>
            <w:vAlign w:val="center"/>
            <w:hideMark/>
          </w:tcPr>
          <w:p w14:paraId="0DEAE095" w14:textId="77777777" w:rsidR="001A0C9B" w:rsidRPr="001A0C9B" w:rsidRDefault="001A0C9B" w:rsidP="001A0C9B">
            <w:pPr>
              <w:spacing w:after="0" w:line="240" w:lineRule="auto"/>
              <w:rPr>
                <w:rFonts w:ascii="Times New Roman" w:eastAsia="Times New Roman" w:hAnsi="Times New Roman" w:cs="Times New Roman"/>
                <w:color w:val="000000"/>
                <w:kern w:val="0"/>
                <w:sz w:val="16"/>
                <w:szCs w:val="16"/>
                <w:lang w:eastAsia="en-IN"/>
                <w14:ligatures w14:val="none"/>
              </w:rPr>
            </w:pPr>
            <w:r w:rsidRPr="001A0C9B">
              <w:rPr>
                <w:rFonts w:ascii="Times New Roman" w:eastAsia="Times New Roman" w:hAnsi="Times New Roman" w:cs="Times New Roman"/>
                <w:color w:val="000000"/>
                <w:kern w:val="0"/>
                <w:sz w:val="16"/>
                <w:szCs w:val="16"/>
                <w:lang w:eastAsia="en-IN"/>
                <w14:ligatures w14:val="none"/>
              </w:rPr>
              <w:t>..</w:t>
            </w:r>
          </w:p>
        </w:tc>
        <w:tc>
          <w:tcPr>
            <w:tcW w:w="981" w:type="dxa"/>
            <w:tcBorders>
              <w:top w:val="nil"/>
              <w:left w:val="nil"/>
              <w:bottom w:val="single" w:sz="4" w:space="0" w:color="auto"/>
              <w:right w:val="single" w:sz="4" w:space="0" w:color="auto"/>
            </w:tcBorders>
            <w:noWrap/>
            <w:vAlign w:val="center"/>
            <w:hideMark/>
          </w:tcPr>
          <w:p w14:paraId="06B660CA" w14:textId="77777777" w:rsidR="001A0C9B" w:rsidRPr="001A0C9B" w:rsidRDefault="001A0C9B" w:rsidP="001A0C9B">
            <w:pPr>
              <w:spacing w:after="0" w:line="240" w:lineRule="auto"/>
              <w:rPr>
                <w:rFonts w:ascii="Times New Roman" w:eastAsia="Times New Roman" w:hAnsi="Times New Roman" w:cs="Times New Roman"/>
                <w:color w:val="000000"/>
                <w:kern w:val="0"/>
                <w:sz w:val="16"/>
                <w:szCs w:val="16"/>
                <w:lang w:eastAsia="en-IN"/>
                <w14:ligatures w14:val="none"/>
              </w:rPr>
            </w:pPr>
            <w:r w:rsidRPr="001A0C9B">
              <w:rPr>
                <w:rFonts w:ascii="Times New Roman" w:eastAsia="Times New Roman" w:hAnsi="Times New Roman" w:cs="Times New Roman"/>
                <w:color w:val="000000"/>
                <w:kern w:val="0"/>
                <w:sz w:val="16"/>
                <w:szCs w:val="16"/>
                <w:lang w:eastAsia="en-IN"/>
                <w14:ligatures w14:val="none"/>
              </w:rPr>
              <w:t>..</w:t>
            </w:r>
          </w:p>
        </w:tc>
        <w:tc>
          <w:tcPr>
            <w:tcW w:w="754" w:type="dxa"/>
            <w:tcBorders>
              <w:top w:val="nil"/>
              <w:left w:val="nil"/>
              <w:bottom w:val="single" w:sz="4" w:space="0" w:color="auto"/>
              <w:right w:val="single" w:sz="4" w:space="0" w:color="auto"/>
            </w:tcBorders>
            <w:noWrap/>
            <w:vAlign w:val="center"/>
            <w:hideMark/>
          </w:tcPr>
          <w:p w14:paraId="1DABE2C0" w14:textId="77777777" w:rsidR="001A0C9B" w:rsidRPr="001A0C9B" w:rsidRDefault="001A0C9B" w:rsidP="001A0C9B">
            <w:pPr>
              <w:spacing w:after="0" w:line="240" w:lineRule="auto"/>
              <w:jc w:val="right"/>
              <w:rPr>
                <w:rFonts w:ascii="Times New Roman" w:eastAsia="Times New Roman" w:hAnsi="Times New Roman" w:cs="Times New Roman"/>
                <w:color w:val="000000"/>
                <w:kern w:val="0"/>
                <w:sz w:val="16"/>
                <w:szCs w:val="16"/>
                <w:lang w:eastAsia="en-IN"/>
                <w14:ligatures w14:val="none"/>
              </w:rPr>
            </w:pPr>
            <w:r w:rsidRPr="001A0C9B">
              <w:rPr>
                <w:rFonts w:ascii="Times New Roman" w:eastAsia="Times New Roman" w:hAnsi="Times New Roman" w:cs="Times New Roman"/>
                <w:color w:val="000000"/>
                <w:kern w:val="0"/>
                <w:sz w:val="16"/>
                <w:szCs w:val="16"/>
                <w:lang w:eastAsia="en-IN"/>
                <w14:ligatures w14:val="none"/>
              </w:rPr>
              <w:t>121.66</w:t>
            </w:r>
          </w:p>
        </w:tc>
        <w:tc>
          <w:tcPr>
            <w:tcW w:w="723" w:type="dxa"/>
            <w:tcBorders>
              <w:top w:val="nil"/>
              <w:left w:val="nil"/>
              <w:bottom w:val="single" w:sz="4" w:space="0" w:color="auto"/>
              <w:right w:val="single" w:sz="4" w:space="0" w:color="auto"/>
            </w:tcBorders>
            <w:noWrap/>
            <w:vAlign w:val="center"/>
            <w:hideMark/>
          </w:tcPr>
          <w:p w14:paraId="6626B085" w14:textId="5992E3E9" w:rsidR="001A0C9B" w:rsidRPr="001A0C9B" w:rsidRDefault="001A0C9B" w:rsidP="001A0C9B">
            <w:pPr>
              <w:spacing w:after="0" w:line="240" w:lineRule="auto"/>
              <w:jc w:val="right"/>
              <w:rPr>
                <w:rFonts w:ascii="Times New Roman" w:eastAsia="Times New Roman" w:hAnsi="Times New Roman" w:cs="Times New Roman"/>
                <w:color w:val="000000"/>
                <w:kern w:val="0"/>
                <w:sz w:val="16"/>
                <w:szCs w:val="16"/>
                <w:lang w:eastAsia="en-IN"/>
                <w14:ligatures w14:val="none"/>
              </w:rPr>
            </w:pPr>
            <w:r w:rsidRPr="001A0C9B">
              <w:rPr>
                <w:rFonts w:ascii="Times New Roman" w:eastAsia="Times New Roman" w:hAnsi="Times New Roman" w:cs="Times New Roman"/>
                <w:color w:val="000000"/>
                <w:kern w:val="0"/>
                <w:sz w:val="16"/>
                <w:szCs w:val="16"/>
                <w:lang w:eastAsia="en-IN"/>
                <w14:ligatures w14:val="none"/>
              </w:rPr>
              <w:t>14</w:t>
            </w:r>
            <w:r w:rsidR="0063665D">
              <w:rPr>
                <w:rFonts w:ascii="Times New Roman" w:eastAsia="Times New Roman" w:hAnsi="Times New Roman" w:cs="Times New Roman"/>
                <w:color w:val="000000"/>
                <w:kern w:val="0"/>
                <w:sz w:val="16"/>
                <w:szCs w:val="16"/>
                <w:lang w:eastAsia="en-IN"/>
                <w14:ligatures w14:val="none"/>
              </w:rPr>
              <w:t>.00</w:t>
            </w:r>
          </w:p>
        </w:tc>
      </w:tr>
      <w:tr w:rsidR="001A0C9B" w:rsidRPr="001A0C9B" w14:paraId="623CA913" w14:textId="77777777" w:rsidTr="002A11B0">
        <w:trPr>
          <w:trHeight w:val="166"/>
          <w:jc w:val="center"/>
        </w:trPr>
        <w:tc>
          <w:tcPr>
            <w:tcW w:w="1051" w:type="dxa"/>
            <w:tcBorders>
              <w:top w:val="nil"/>
              <w:left w:val="single" w:sz="4" w:space="0" w:color="auto"/>
              <w:bottom w:val="single" w:sz="4" w:space="0" w:color="auto"/>
              <w:right w:val="single" w:sz="4" w:space="0" w:color="auto"/>
            </w:tcBorders>
            <w:noWrap/>
            <w:vAlign w:val="center"/>
            <w:hideMark/>
          </w:tcPr>
          <w:p w14:paraId="6CA1B2A9" w14:textId="77777777" w:rsidR="001A0C9B" w:rsidRPr="001A0C9B" w:rsidRDefault="001A0C9B" w:rsidP="001A0C9B">
            <w:pPr>
              <w:spacing w:after="0" w:line="240" w:lineRule="auto"/>
              <w:rPr>
                <w:rFonts w:ascii="Times New Roman" w:eastAsia="Times New Roman" w:hAnsi="Times New Roman" w:cs="Times New Roman"/>
                <w:color w:val="000000"/>
                <w:kern w:val="0"/>
                <w:sz w:val="16"/>
                <w:szCs w:val="16"/>
                <w:lang w:eastAsia="en-IN"/>
                <w14:ligatures w14:val="none"/>
              </w:rPr>
            </w:pPr>
            <w:r w:rsidRPr="001A0C9B">
              <w:rPr>
                <w:rFonts w:ascii="Times New Roman" w:eastAsia="Times New Roman" w:hAnsi="Times New Roman" w:cs="Times New Roman"/>
                <w:color w:val="000000"/>
                <w:kern w:val="0"/>
                <w:sz w:val="16"/>
                <w:szCs w:val="16"/>
                <w:lang w:eastAsia="en-IN"/>
                <w14:ligatures w14:val="none"/>
              </w:rPr>
              <w:t>West Bengal</w:t>
            </w:r>
          </w:p>
        </w:tc>
        <w:tc>
          <w:tcPr>
            <w:tcW w:w="669" w:type="dxa"/>
            <w:tcBorders>
              <w:top w:val="nil"/>
              <w:left w:val="nil"/>
              <w:bottom w:val="single" w:sz="4" w:space="0" w:color="auto"/>
              <w:right w:val="single" w:sz="4" w:space="0" w:color="auto"/>
            </w:tcBorders>
            <w:noWrap/>
            <w:vAlign w:val="center"/>
            <w:hideMark/>
          </w:tcPr>
          <w:p w14:paraId="124FEB05" w14:textId="77777777" w:rsidR="001A0C9B" w:rsidRPr="001A0C9B" w:rsidRDefault="001A0C9B" w:rsidP="001A0C9B">
            <w:pPr>
              <w:spacing w:after="0" w:line="240" w:lineRule="auto"/>
              <w:jc w:val="right"/>
              <w:rPr>
                <w:rFonts w:ascii="Times New Roman" w:eastAsia="Times New Roman" w:hAnsi="Times New Roman" w:cs="Times New Roman"/>
                <w:color w:val="000000"/>
                <w:kern w:val="0"/>
                <w:sz w:val="16"/>
                <w:szCs w:val="16"/>
                <w:lang w:eastAsia="en-IN"/>
                <w14:ligatures w14:val="none"/>
              </w:rPr>
            </w:pPr>
            <w:r w:rsidRPr="001A0C9B">
              <w:rPr>
                <w:rFonts w:ascii="Times New Roman" w:eastAsia="Times New Roman" w:hAnsi="Times New Roman" w:cs="Times New Roman"/>
                <w:color w:val="000000"/>
                <w:kern w:val="0"/>
                <w:sz w:val="16"/>
                <w:szCs w:val="16"/>
                <w:lang w:eastAsia="en-IN"/>
                <w14:ligatures w14:val="none"/>
              </w:rPr>
              <w:t>51.53</w:t>
            </w:r>
          </w:p>
        </w:tc>
        <w:tc>
          <w:tcPr>
            <w:tcW w:w="723" w:type="dxa"/>
            <w:tcBorders>
              <w:top w:val="nil"/>
              <w:left w:val="nil"/>
              <w:bottom w:val="single" w:sz="4" w:space="0" w:color="auto"/>
              <w:right w:val="single" w:sz="4" w:space="0" w:color="auto"/>
            </w:tcBorders>
            <w:noWrap/>
            <w:vAlign w:val="center"/>
            <w:hideMark/>
          </w:tcPr>
          <w:p w14:paraId="1EF7C867" w14:textId="77777777" w:rsidR="001A0C9B" w:rsidRPr="001A0C9B" w:rsidRDefault="001A0C9B" w:rsidP="001A0C9B">
            <w:pPr>
              <w:spacing w:after="0" w:line="240" w:lineRule="auto"/>
              <w:jc w:val="right"/>
              <w:rPr>
                <w:rFonts w:ascii="Times New Roman" w:eastAsia="Times New Roman" w:hAnsi="Times New Roman" w:cs="Times New Roman"/>
                <w:color w:val="000000"/>
                <w:kern w:val="0"/>
                <w:sz w:val="16"/>
                <w:szCs w:val="16"/>
                <w:lang w:eastAsia="en-IN"/>
                <w14:ligatures w14:val="none"/>
              </w:rPr>
            </w:pPr>
            <w:r w:rsidRPr="001A0C9B">
              <w:rPr>
                <w:rFonts w:ascii="Times New Roman" w:eastAsia="Times New Roman" w:hAnsi="Times New Roman" w:cs="Times New Roman"/>
                <w:color w:val="000000"/>
                <w:kern w:val="0"/>
                <w:sz w:val="16"/>
                <w:szCs w:val="16"/>
                <w:lang w:eastAsia="en-IN"/>
                <w14:ligatures w14:val="none"/>
              </w:rPr>
              <w:t>14.75</w:t>
            </w:r>
          </w:p>
        </w:tc>
        <w:tc>
          <w:tcPr>
            <w:tcW w:w="773" w:type="dxa"/>
            <w:tcBorders>
              <w:top w:val="nil"/>
              <w:left w:val="nil"/>
              <w:bottom w:val="single" w:sz="4" w:space="0" w:color="auto"/>
              <w:right w:val="single" w:sz="4" w:space="0" w:color="auto"/>
            </w:tcBorders>
            <w:noWrap/>
            <w:vAlign w:val="center"/>
            <w:hideMark/>
          </w:tcPr>
          <w:p w14:paraId="22CFE9FE" w14:textId="58A06B8B" w:rsidR="001A0C9B" w:rsidRPr="001A0C9B" w:rsidRDefault="001A0C9B" w:rsidP="001A0C9B">
            <w:pPr>
              <w:spacing w:after="0" w:line="240" w:lineRule="auto"/>
              <w:jc w:val="right"/>
              <w:rPr>
                <w:rFonts w:ascii="Times New Roman" w:eastAsia="Times New Roman" w:hAnsi="Times New Roman" w:cs="Times New Roman"/>
                <w:color w:val="000000"/>
                <w:kern w:val="0"/>
                <w:sz w:val="16"/>
                <w:szCs w:val="16"/>
                <w:lang w:eastAsia="en-IN"/>
                <w14:ligatures w14:val="none"/>
              </w:rPr>
            </w:pPr>
            <w:r w:rsidRPr="001A0C9B">
              <w:rPr>
                <w:rFonts w:ascii="Times New Roman" w:eastAsia="Times New Roman" w:hAnsi="Times New Roman" w:cs="Times New Roman"/>
                <w:color w:val="000000"/>
                <w:kern w:val="0"/>
                <w:sz w:val="16"/>
                <w:szCs w:val="16"/>
                <w:lang w:eastAsia="en-IN"/>
                <w14:ligatures w14:val="none"/>
              </w:rPr>
              <w:t>40</w:t>
            </w:r>
            <w:r w:rsidR="0063665D">
              <w:rPr>
                <w:rFonts w:ascii="Times New Roman" w:eastAsia="Times New Roman" w:hAnsi="Times New Roman" w:cs="Times New Roman"/>
                <w:color w:val="000000"/>
                <w:kern w:val="0"/>
                <w:sz w:val="16"/>
                <w:szCs w:val="16"/>
                <w:lang w:eastAsia="en-IN"/>
                <w14:ligatures w14:val="none"/>
              </w:rPr>
              <w:t>.00</w:t>
            </w:r>
          </w:p>
        </w:tc>
        <w:tc>
          <w:tcPr>
            <w:tcW w:w="981" w:type="dxa"/>
            <w:tcBorders>
              <w:top w:val="nil"/>
              <w:left w:val="nil"/>
              <w:bottom w:val="single" w:sz="4" w:space="0" w:color="auto"/>
              <w:right w:val="single" w:sz="4" w:space="0" w:color="auto"/>
            </w:tcBorders>
            <w:noWrap/>
            <w:vAlign w:val="center"/>
            <w:hideMark/>
          </w:tcPr>
          <w:p w14:paraId="1D506F32" w14:textId="77777777" w:rsidR="001A0C9B" w:rsidRPr="001A0C9B" w:rsidRDefault="001A0C9B" w:rsidP="001A0C9B">
            <w:pPr>
              <w:spacing w:after="0" w:line="240" w:lineRule="auto"/>
              <w:jc w:val="right"/>
              <w:rPr>
                <w:rFonts w:ascii="Times New Roman" w:eastAsia="Times New Roman" w:hAnsi="Times New Roman" w:cs="Times New Roman"/>
                <w:color w:val="000000"/>
                <w:kern w:val="0"/>
                <w:sz w:val="16"/>
                <w:szCs w:val="16"/>
                <w:lang w:eastAsia="en-IN"/>
                <w14:ligatures w14:val="none"/>
              </w:rPr>
            </w:pPr>
            <w:r w:rsidRPr="001A0C9B">
              <w:rPr>
                <w:rFonts w:ascii="Times New Roman" w:eastAsia="Times New Roman" w:hAnsi="Times New Roman" w:cs="Times New Roman"/>
                <w:color w:val="000000"/>
                <w:kern w:val="0"/>
                <w:sz w:val="16"/>
                <w:szCs w:val="16"/>
                <w:lang w:eastAsia="en-IN"/>
                <w14:ligatures w14:val="none"/>
              </w:rPr>
              <w:t>41.4</w:t>
            </w:r>
          </w:p>
        </w:tc>
        <w:tc>
          <w:tcPr>
            <w:tcW w:w="669" w:type="dxa"/>
            <w:tcBorders>
              <w:top w:val="nil"/>
              <w:left w:val="nil"/>
              <w:bottom w:val="single" w:sz="4" w:space="0" w:color="auto"/>
              <w:right w:val="single" w:sz="4" w:space="0" w:color="auto"/>
            </w:tcBorders>
            <w:noWrap/>
            <w:vAlign w:val="center"/>
            <w:hideMark/>
          </w:tcPr>
          <w:p w14:paraId="31C6944D" w14:textId="77777777" w:rsidR="001A0C9B" w:rsidRPr="001A0C9B" w:rsidRDefault="001A0C9B" w:rsidP="001A0C9B">
            <w:pPr>
              <w:spacing w:after="0" w:line="240" w:lineRule="auto"/>
              <w:jc w:val="right"/>
              <w:rPr>
                <w:rFonts w:ascii="Times New Roman" w:eastAsia="Times New Roman" w:hAnsi="Times New Roman" w:cs="Times New Roman"/>
                <w:color w:val="000000"/>
                <w:kern w:val="0"/>
                <w:sz w:val="16"/>
                <w:szCs w:val="16"/>
                <w:lang w:eastAsia="en-IN"/>
                <w14:ligatures w14:val="none"/>
              </w:rPr>
            </w:pPr>
            <w:r w:rsidRPr="001A0C9B">
              <w:rPr>
                <w:rFonts w:ascii="Times New Roman" w:eastAsia="Times New Roman" w:hAnsi="Times New Roman" w:cs="Times New Roman"/>
                <w:color w:val="000000"/>
                <w:kern w:val="0"/>
                <w:sz w:val="16"/>
                <w:szCs w:val="16"/>
                <w:lang w:eastAsia="en-IN"/>
                <w14:ligatures w14:val="none"/>
              </w:rPr>
              <w:t>94.12</w:t>
            </w:r>
          </w:p>
        </w:tc>
        <w:tc>
          <w:tcPr>
            <w:tcW w:w="679" w:type="dxa"/>
            <w:tcBorders>
              <w:top w:val="nil"/>
              <w:left w:val="nil"/>
              <w:bottom w:val="single" w:sz="4" w:space="0" w:color="auto"/>
              <w:right w:val="single" w:sz="4" w:space="0" w:color="auto"/>
            </w:tcBorders>
            <w:noWrap/>
            <w:vAlign w:val="center"/>
            <w:hideMark/>
          </w:tcPr>
          <w:p w14:paraId="2A341E39" w14:textId="77777777" w:rsidR="001A0C9B" w:rsidRPr="001A0C9B" w:rsidRDefault="001A0C9B" w:rsidP="001A0C9B">
            <w:pPr>
              <w:spacing w:after="0" w:line="240" w:lineRule="auto"/>
              <w:jc w:val="right"/>
              <w:rPr>
                <w:rFonts w:ascii="Times New Roman" w:eastAsia="Times New Roman" w:hAnsi="Times New Roman" w:cs="Times New Roman"/>
                <w:color w:val="000000"/>
                <w:kern w:val="0"/>
                <w:sz w:val="16"/>
                <w:szCs w:val="16"/>
                <w:lang w:eastAsia="en-IN"/>
                <w14:ligatures w14:val="none"/>
              </w:rPr>
            </w:pPr>
            <w:r w:rsidRPr="001A0C9B">
              <w:rPr>
                <w:rFonts w:ascii="Times New Roman" w:eastAsia="Times New Roman" w:hAnsi="Times New Roman" w:cs="Times New Roman"/>
                <w:color w:val="000000"/>
                <w:kern w:val="0"/>
                <w:sz w:val="16"/>
                <w:szCs w:val="16"/>
                <w:lang w:eastAsia="en-IN"/>
                <w14:ligatures w14:val="none"/>
              </w:rPr>
              <w:t>23.99</w:t>
            </w:r>
          </w:p>
        </w:tc>
        <w:tc>
          <w:tcPr>
            <w:tcW w:w="773" w:type="dxa"/>
            <w:tcBorders>
              <w:top w:val="nil"/>
              <w:left w:val="nil"/>
              <w:bottom w:val="single" w:sz="4" w:space="0" w:color="auto"/>
              <w:right w:val="single" w:sz="4" w:space="0" w:color="auto"/>
            </w:tcBorders>
            <w:noWrap/>
            <w:vAlign w:val="center"/>
            <w:hideMark/>
          </w:tcPr>
          <w:p w14:paraId="2C7838CA" w14:textId="77777777" w:rsidR="001A0C9B" w:rsidRPr="001A0C9B" w:rsidRDefault="001A0C9B" w:rsidP="001A0C9B">
            <w:pPr>
              <w:spacing w:after="0" w:line="240" w:lineRule="auto"/>
              <w:jc w:val="right"/>
              <w:rPr>
                <w:rFonts w:ascii="Times New Roman" w:eastAsia="Times New Roman" w:hAnsi="Times New Roman" w:cs="Times New Roman"/>
                <w:color w:val="000000"/>
                <w:kern w:val="0"/>
                <w:sz w:val="16"/>
                <w:szCs w:val="16"/>
                <w:lang w:eastAsia="en-IN"/>
                <w14:ligatures w14:val="none"/>
              </w:rPr>
            </w:pPr>
            <w:r w:rsidRPr="001A0C9B">
              <w:rPr>
                <w:rFonts w:ascii="Times New Roman" w:eastAsia="Times New Roman" w:hAnsi="Times New Roman" w:cs="Times New Roman"/>
                <w:color w:val="000000"/>
                <w:kern w:val="0"/>
                <w:sz w:val="16"/>
                <w:szCs w:val="16"/>
                <w:lang w:eastAsia="en-IN"/>
                <w14:ligatures w14:val="none"/>
              </w:rPr>
              <w:t>6.75</w:t>
            </w:r>
          </w:p>
        </w:tc>
        <w:tc>
          <w:tcPr>
            <w:tcW w:w="981" w:type="dxa"/>
            <w:tcBorders>
              <w:top w:val="nil"/>
              <w:left w:val="nil"/>
              <w:bottom w:val="single" w:sz="4" w:space="0" w:color="auto"/>
              <w:right w:val="single" w:sz="4" w:space="0" w:color="auto"/>
            </w:tcBorders>
            <w:noWrap/>
            <w:vAlign w:val="center"/>
            <w:hideMark/>
          </w:tcPr>
          <w:p w14:paraId="1B276D2F" w14:textId="77777777" w:rsidR="001A0C9B" w:rsidRPr="001A0C9B" w:rsidRDefault="001A0C9B" w:rsidP="001A0C9B">
            <w:pPr>
              <w:spacing w:after="0" w:line="240" w:lineRule="auto"/>
              <w:jc w:val="right"/>
              <w:rPr>
                <w:rFonts w:ascii="Times New Roman" w:eastAsia="Times New Roman" w:hAnsi="Times New Roman" w:cs="Times New Roman"/>
                <w:color w:val="000000"/>
                <w:kern w:val="0"/>
                <w:sz w:val="16"/>
                <w:szCs w:val="16"/>
                <w:lang w:eastAsia="en-IN"/>
                <w14:ligatures w14:val="none"/>
              </w:rPr>
            </w:pPr>
            <w:r w:rsidRPr="001A0C9B">
              <w:rPr>
                <w:rFonts w:ascii="Times New Roman" w:eastAsia="Times New Roman" w:hAnsi="Times New Roman" w:cs="Times New Roman"/>
                <w:color w:val="000000"/>
                <w:kern w:val="0"/>
                <w:sz w:val="16"/>
                <w:szCs w:val="16"/>
                <w:lang w:eastAsia="en-IN"/>
                <w14:ligatures w14:val="none"/>
              </w:rPr>
              <w:t>3.85</w:t>
            </w:r>
          </w:p>
        </w:tc>
        <w:tc>
          <w:tcPr>
            <w:tcW w:w="782" w:type="dxa"/>
            <w:tcBorders>
              <w:top w:val="nil"/>
              <w:left w:val="nil"/>
              <w:bottom w:val="single" w:sz="4" w:space="0" w:color="auto"/>
              <w:right w:val="single" w:sz="4" w:space="0" w:color="auto"/>
            </w:tcBorders>
            <w:noWrap/>
            <w:vAlign w:val="center"/>
            <w:hideMark/>
          </w:tcPr>
          <w:p w14:paraId="529468B5" w14:textId="77777777" w:rsidR="001A0C9B" w:rsidRPr="001A0C9B" w:rsidRDefault="001A0C9B" w:rsidP="001A0C9B">
            <w:pPr>
              <w:spacing w:after="0" w:line="240" w:lineRule="auto"/>
              <w:jc w:val="right"/>
              <w:rPr>
                <w:rFonts w:ascii="Times New Roman" w:eastAsia="Times New Roman" w:hAnsi="Times New Roman" w:cs="Times New Roman"/>
                <w:color w:val="000000"/>
                <w:kern w:val="0"/>
                <w:sz w:val="16"/>
                <w:szCs w:val="16"/>
                <w:lang w:eastAsia="en-IN"/>
                <w14:ligatures w14:val="none"/>
              </w:rPr>
            </w:pPr>
            <w:r w:rsidRPr="001A0C9B">
              <w:rPr>
                <w:rFonts w:ascii="Times New Roman" w:eastAsia="Times New Roman" w:hAnsi="Times New Roman" w:cs="Times New Roman"/>
                <w:color w:val="000000"/>
                <w:kern w:val="0"/>
                <w:sz w:val="16"/>
                <w:szCs w:val="16"/>
                <w:lang w:eastAsia="en-IN"/>
                <w14:ligatures w14:val="none"/>
              </w:rPr>
              <w:t>99.09</w:t>
            </w:r>
          </w:p>
        </w:tc>
        <w:tc>
          <w:tcPr>
            <w:tcW w:w="723" w:type="dxa"/>
            <w:tcBorders>
              <w:top w:val="nil"/>
              <w:left w:val="nil"/>
              <w:bottom w:val="single" w:sz="4" w:space="0" w:color="auto"/>
              <w:right w:val="single" w:sz="4" w:space="0" w:color="auto"/>
            </w:tcBorders>
            <w:noWrap/>
            <w:vAlign w:val="center"/>
            <w:hideMark/>
          </w:tcPr>
          <w:p w14:paraId="2281D048" w14:textId="77777777" w:rsidR="001A0C9B" w:rsidRPr="001A0C9B" w:rsidRDefault="001A0C9B" w:rsidP="001A0C9B">
            <w:pPr>
              <w:spacing w:after="0" w:line="240" w:lineRule="auto"/>
              <w:jc w:val="right"/>
              <w:rPr>
                <w:rFonts w:ascii="Times New Roman" w:eastAsia="Times New Roman" w:hAnsi="Times New Roman" w:cs="Times New Roman"/>
                <w:color w:val="000000"/>
                <w:kern w:val="0"/>
                <w:sz w:val="16"/>
                <w:szCs w:val="16"/>
                <w:lang w:eastAsia="en-IN"/>
                <w14:ligatures w14:val="none"/>
              </w:rPr>
            </w:pPr>
            <w:r w:rsidRPr="001A0C9B">
              <w:rPr>
                <w:rFonts w:ascii="Times New Roman" w:eastAsia="Times New Roman" w:hAnsi="Times New Roman" w:cs="Times New Roman"/>
                <w:color w:val="000000"/>
                <w:kern w:val="0"/>
                <w:sz w:val="16"/>
                <w:szCs w:val="16"/>
                <w:lang w:eastAsia="en-IN"/>
                <w14:ligatures w14:val="none"/>
              </w:rPr>
              <w:t>24.58</w:t>
            </w:r>
          </w:p>
        </w:tc>
        <w:tc>
          <w:tcPr>
            <w:tcW w:w="741" w:type="dxa"/>
            <w:tcBorders>
              <w:top w:val="nil"/>
              <w:left w:val="nil"/>
              <w:bottom w:val="single" w:sz="4" w:space="0" w:color="auto"/>
              <w:right w:val="single" w:sz="4" w:space="0" w:color="auto"/>
            </w:tcBorders>
            <w:noWrap/>
            <w:vAlign w:val="center"/>
            <w:hideMark/>
          </w:tcPr>
          <w:p w14:paraId="69201C8A" w14:textId="2902A62C" w:rsidR="001A0C9B" w:rsidRPr="001A0C9B" w:rsidRDefault="001A0C9B" w:rsidP="001A0C9B">
            <w:pPr>
              <w:spacing w:after="0" w:line="240" w:lineRule="auto"/>
              <w:jc w:val="right"/>
              <w:rPr>
                <w:rFonts w:ascii="Times New Roman" w:eastAsia="Times New Roman" w:hAnsi="Times New Roman" w:cs="Times New Roman"/>
                <w:color w:val="000000"/>
                <w:kern w:val="0"/>
                <w:sz w:val="16"/>
                <w:szCs w:val="16"/>
                <w:lang w:eastAsia="en-IN"/>
                <w14:ligatures w14:val="none"/>
              </w:rPr>
            </w:pPr>
            <w:r w:rsidRPr="001A0C9B">
              <w:rPr>
                <w:rFonts w:ascii="Times New Roman" w:eastAsia="Times New Roman" w:hAnsi="Times New Roman" w:cs="Times New Roman"/>
                <w:color w:val="000000"/>
                <w:kern w:val="0"/>
                <w:sz w:val="16"/>
                <w:szCs w:val="16"/>
                <w:lang w:eastAsia="en-IN"/>
                <w14:ligatures w14:val="none"/>
              </w:rPr>
              <w:t>3.5</w:t>
            </w:r>
            <w:r w:rsidR="0063665D">
              <w:rPr>
                <w:rFonts w:ascii="Times New Roman" w:eastAsia="Times New Roman" w:hAnsi="Times New Roman" w:cs="Times New Roman"/>
                <w:color w:val="000000"/>
                <w:kern w:val="0"/>
                <w:sz w:val="16"/>
                <w:szCs w:val="16"/>
                <w:lang w:eastAsia="en-IN"/>
                <w14:ligatures w14:val="none"/>
              </w:rPr>
              <w:t>0</w:t>
            </w:r>
          </w:p>
        </w:tc>
        <w:tc>
          <w:tcPr>
            <w:tcW w:w="981" w:type="dxa"/>
            <w:tcBorders>
              <w:top w:val="nil"/>
              <w:left w:val="nil"/>
              <w:bottom w:val="single" w:sz="4" w:space="0" w:color="auto"/>
              <w:right w:val="single" w:sz="4" w:space="0" w:color="auto"/>
            </w:tcBorders>
            <w:noWrap/>
            <w:vAlign w:val="center"/>
            <w:hideMark/>
          </w:tcPr>
          <w:p w14:paraId="0FF3D7CA" w14:textId="77777777" w:rsidR="001A0C9B" w:rsidRPr="001A0C9B" w:rsidRDefault="001A0C9B" w:rsidP="001A0C9B">
            <w:pPr>
              <w:spacing w:after="0" w:line="240" w:lineRule="auto"/>
              <w:jc w:val="right"/>
              <w:rPr>
                <w:rFonts w:ascii="Times New Roman" w:eastAsia="Times New Roman" w:hAnsi="Times New Roman" w:cs="Times New Roman"/>
                <w:color w:val="000000"/>
                <w:kern w:val="0"/>
                <w:sz w:val="16"/>
                <w:szCs w:val="16"/>
                <w:lang w:eastAsia="en-IN"/>
                <w14:ligatures w14:val="none"/>
              </w:rPr>
            </w:pPr>
            <w:r w:rsidRPr="001A0C9B">
              <w:rPr>
                <w:rFonts w:ascii="Times New Roman" w:eastAsia="Times New Roman" w:hAnsi="Times New Roman" w:cs="Times New Roman"/>
                <w:color w:val="000000"/>
                <w:kern w:val="0"/>
                <w:sz w:val="16"/>
                <w:szCs w:val="16"/>
                <w:lang w:eastAsia="en-IN"/>
                <w14:ligatures w14:val="none"/>
              </w:rPr>
              <w:t>0.79</w:t>
            </w:r>
          </w:p>
        </w:tc>
        <w:tc>
          <w:tcPr>
            <w:tcW w:w="754" w:type="dxa"/>
            <w:tcBorders>
              <w:top w:val="nil"/>
              <w:left w:val="nil"/>
              <w:bottom w:val="single" w:sz="4" w:space="0" w:color="auto"/>
              <w:right w:val="single" w:sz="4" w:space="0" w:color="auto"/>
            </w:tcBorders>
            <w:noWrap/>
            <w:vAlign w:val="center"/>
            <w:hideMark/>
          </w:tcPr>
          <w:p w14:paraId="18AA2B50" w14:textId="77777777" w:rsidR="001A0C9B" w:rsidRPr="001A0C9B" w:rsidRDefault="001A0C9B" w:rsidP="001A0C9B">
            <w:pPr>
              <w:spacing w:after="0" w:line="240" w:lineRule="auto"/>
              <w:jc w:val="right"/>
              <w:rPr>
                <w:rFonts w:ascii="Times New Roman" w:eastAsia="Times New Roman" w:hAnsi="Times New Roman" w:cs="Times New Roman"/>
                <w:color w:val="000000"/>
                <w:kern w:val="0"/>
                <w:sz w:val="16"/>
                <w:szCs w:val="16"/>
                <w:lang w:eastAsia="en-IN"/>
                <w14:ligatures w14:val="none"/>
              </w:rPr>
            </w:pPr>
            <w:r w:rsidRPr="001A0C9B">
              <w:rPr>
                <w:rFonts w:ascii="Times New Roman" w:eastAsia="Times New Roman" w:hAnsi="Times New Roman" w:cs="Times New Roman"/>
                <w:color w:val="000000"/>
                <w:kern w:val="0"/>
                <w:sz w:val="16"/>
                <w:szCs w:val="16"/>
                <w:lang w:eastAsia="en-IN"/>
                <w14:ligatures w14:val="none"/>
              </w:rPr>
              <w:t>108.11</w:t>
            </w:r>
          </w:p>
        </w:tc>
        <w:tc>
          <w:tcPr>
            <w:tcW w:w="723" w:type="dxa"/>
            <w:tcBorders>
              <w:top w:val="nil"/>
              <w:left w:val="nil"/>
              <w:bottom w:val="single" w:sz="4" w:space="0" w:color="auto"/>
              <w:right w:val="single" w:sz="4" w:space="0" w:color="auto"/>
            </w:tcBorders>
            <w:noWrap/>
            <w:vAlign w:val="center"/>
            <w:hideMark/>
          </w:tcPr>
          <w:p w14:paraId="534C681D" w14:textId="5D0EE566" w:rsidR="001A0C9B" w:rsidRPr="001A0C9B" w:rsidRDefault="001A0C9B" w:rsidP="001A0C9B">
            <w:pPr>
              <w:spacing w:after="0" w:line="240" w:lineRule="auto"/>
              <w:jc w:val="right"/>
              <w:rPr>
                <w:rFonts w:ascii="Times New Roman" w:eastAsia="Times New Roman" w:hAnsi="Times New Roman" w:cs="Times New Roman"/>
                <w:color w:val="000000"/>
                <w:kern w:val="0"/>
                <w:sz w:val="16"/>
                <w:szCs w:val="16"/>
                <w:lang w:eastAsia="en-IN"/>
                <w14:ligatures w14:val="none"/>
              </w:rPr>
            </w:pPr>
            <w:r w:rsidRPr="001A0C9B">
              <w:rPr>
                <w:rFonts w:ascii="Times New Roman" w:eastAsia="Times New Roman" w:hAnsi="Times New Roman" w:cs="Times New Roman"/>
                <w:color w:val="000000"/>
                <w:kern w:val="0"/>
                <w:sz w:val="16"/>
                <w:szCs w:val="16"/>
                <w:lang w:eastAsia="en-IN"/>
                <w14:ligatures w14:val="none"/>
              </w:rPr>
              <w:t>26.3</w:t>
            </w:r>
            <w:r w:rsidR="0063665D">
              <w:rPr>
                <w:rFonts w:ascii="Times New Roman" w:eastAsia="Times New Roman" w:hAnsi="Times New Roman" w:cs="Times New Roman"/>
                <w:color w:val="000000"/>
                <w:kern w:val="0"/>
                <w:sz w:val="16"/>
                <w:szCs w:val="16"/>
                <w:lang w:eastAsia="en-IN"/>
                <w14:ligatures w14:val="none"/>
              </w:rPr>
              <w:t>0</w:t>
            </w:r>
          </w:p>
        </w:tc>
        <w:tc>
          <w:tcPr>
            <w:tcW w:w="754" w:type="dxa"/>
            <w:tcBorders>
              <w:top w:val="nil"/>
              <w:left w:val="nil"/>
              <w:bottom w:val="single" w:sz="4" w:space="0" w:color="auto"/>
              <w:right w:val="single" w:sz="4" w:space="0" w:color="auto"/>
            </w:tcBorders>
            <w:noWrap/>
            <w:vAlign w:val="center"/>
            <w:hideMark/>
          </w:tcPr>
          <w:p w14:paraId="35430863" w14:textId="77777777" w:rsidR="001A0C9B" w:rsidRPr="001A0C9B" w:rsidRDefault="001A0C9B" w:rsidP="001A0C9B">
            <w:pPr>
              <w:spacing w:after="0" w:line="240" w:lineRule="auto"/>
              <w:rPr>
                <w:rFonts w:ascii="Times New Roman" w:eastAsia="Times New Roman" w:hAnsi="Times New Roman" w:cs="Times New Roman"/>
                <w:color w:val="000000"/>
                <w:kern w:val="0"/>
                <w:sz w:val="16"/>
                <w:szCs w:val="16"/>
                <w:lang w:eastAsia="en-IN"/>
                <w14:ligatures w14:val="none"/>
              </w:rPr>
            </w:pPr>
            <w:r w:rsidRPr="001A0C9B">
              <w:rPr>
                <w:rFonts w:ascii="Times New Roman" w:eastAsia="Times New Roman" w:hAnsi="Times New Roman" w:cs="Times New Roman"/>
                <w:color w:val="000000"/>
                <w:kern w:val="0"/>
                <w:sz w:val="16"/>
                <w:szCs w:val="16"/>
                <w:lang w:eastAsia="en-IN"/>
                <w14:ligatures w14:val="none"/>
              </w:rPr>
              <w:t>..</w:t>
            </w:r>
          </w:p>
        </w:tc>
        <w:tc>
          <w:tcPr>
            <w:tcW w:w="981" w:type="dxa"/>
            <w:tcBorders>
              <w:top w:val="nil"/>
              <w:left w:val="nil"/>
              <w:bottom w:val="single" w:sz="4" w:space="0" w:color="auto"/>
              <w:right w:val="single" w:sz="4" w:space="0" w:color="auto"/>
            </w:tcBorders>
            <w:noWrap/>
            <w:vAlign w:val="center"/>
            <w:hideMark/>
          </w:tcPr>
          <w:p w14:paraId="67A58E5C" w14:textId="3266CAA5" w:rsidR="001A0C9B" w:rsidRPr="001A0C9B" w:rsidRDefault="001A0C9B" w:rsidP="001A0C9B">
            <w:pPr>
              <w:spacing w:after="0" w:line="240" w:lineRule="auto"/>
              <w:jc w:val="right"/>
              <w:rPr>
                <w:rFonts w:ascii="Times New Roman" w:eastAsia="Times New Roman" w:hAnsi="Times New Roman" w:cs="Times New Roman"/>
                <w:color w:val="000000"/>
                <w:kern w:val="0"/>
                <w:sz w:val="16"/>
                <w:szCs w:val="16"/>
                <w:lang w:eastAsia="en-IN"/>
                <w14:ligatures w14:val="none"/>
              </w:rPr>
            </w:pPr>
            <w:r w:rsidRPr="001A0C9B">
              <w:rPr>
                <w:rFonts w:ascii="Times New Roman" w:eastAsia="Times New Roman" w:hAnsi="Times New Roman" w:cs="Times New Roman"/>
                <w:color w:val="000000"/>
                <w:kern w:val="0"/>
                <w:sz w:val="16"/>
                <w:szCs w:val="16"/>
                <w:lang w:eastAsia="en-IN"/>
                <w14:ligatures w14:val="none"/>
              </w:rPr>
              <w:t>2</w:t>
            </w:r>
            <w:r w:rsidR="0063665D">
              <w:rPr>
                <w:rFonts w:ascii="Times New Roman" w:eastAsia="Times New Roman" w:hAnsi="Times New Roman" w:cs="Times New Roman"/>
                <w:color w:val="000000"/>
                <w:kern w:val="0"/>
                <w:sz w:val="16"/>
                <w:szCs w:val="16"/>
                <w:lang w:eastAsia="en-IN"/>
                <w14:ligatures w14:val="none"/>
              </w:rPr>
              <w:t>.00</w:t>
            </w:r>
          </w:p>
        </w:tc>
        <w:tc>
          <w:tcPr>
            <w:tcW w:w="754" w:type="dxa"/>
            <w:tcBorders>
              <w:top w:val="nil"/>
              <w:left w:val="nil"/>
              <w:bottom w:val="single" w:sz="4" w:space="0" w:color="auto"/>
              <w:right w:val="single" w:sz="4" w:space="0" w:color="auto"/>
            </w:tcBorders>
            <w:noWrap/>
            <w:vAlign w:val="center"/>
            <w:hideMark/>
          </w:tcPr>
          <w:p w14:paraId="55535BCD" w14:textId="77777777" w:rsidR="001A0C9B" w:rsidRPr="001A0C9B" w:rsidRDefault="001A0C9B" w:rsidP="001A0C9B">
            <w:pPr>
              <w:spacing w:after="0" w:line="240" w:lineRule="auto"/>
              <w:jc w:val="right"/>
              <w:rPr>
                <w:rFonts w:ascii="Times New Roman" w:eastAsia="Times New Roman" w:hAnsi="Times New Roman" w:cs="Times New Roman"/>
                <w:color w:val="000000"/>
                <w:kern w:val="0"/>
                <w:sz w:val="16"/>
                <w:szCs w:val="16"/>
                <w:lang w:eastAsia="en-IN"/>
                <w14:ligatures w14:val="none"/>
              </w:rPr>
            </w:pPr>
            <w:r w:rsidRPr="001A0C9B">
              <w:rPr>
                <w:rFonts w:ascii="Times New Roman" w:eastAsia="Times New Roman" w:hAnsi="Times New Roman" w:cs="Times New Roman"/>
                <w:color w:val="000000"/>
                <w:kern w:val="0"/>
                <w:sz w:val="16"/>
                <w:szCs w:val="16"/>
                <w:lang w:eastAsia="en-IN"/>
                <w14:ligatures w14:val="none"/>
              </w:rPr>
              <w:t>113.2</w:t>
            </w:r>
          </w:p>
        </w:tc>
        <w:tc>
          <w:tcPr>
            <w:tcW w:w="723" w:type="dxa"/>
            <w:tcBorders>
              <w:top w:val="nil"/>
              <w:left w:val="nil"/>
              <w:bottom w:val="single" w:sz="4" w:space="0" w:color="auto"/>
              <w:right w:val="single" w:sz="4" w:space="0" w:color="auto"/>
            </w:tcBorders>
            <w:noWrap/>
            <w:vAlign w:val="center"/>
            <w:hideMark/>
          </w:tcPr>
          <w:p w14:paraId="79F5B564" w14:textId="77777777" w:rsidR="001A0C9B" w:rsidRPr="001A0C9B" w:rsidRDefault="001A0C9B" w:rsidP="001A0C9B">
            <w:pPr>
              <w:spacing w:after="0" w:line="240" w:lineRule="auto"/>
              <w:jc w:val="right"/>
              <w:rPr>
                <w:rFonts w:ascii="Times New Roman" w:eastAsia="Times New Roman" w:hAnsi="Times New Roman" w:cs="Times New Roman"/>
                <w:color w:val="000000"/>
                <w:kern w:val="0"/>
                <w:sz w:val="16"/>
                <w:szCs w:val="16"/>
                <w:lang w:eastAsia="en-IN"/>
                <w14:ligatures w14:val="none"/>
              </w:rPr>
            </w:pPr>
            <w:r w:rsidRPr="001A0C9B">
              <w:rPr>
                <w:rFonts w:ascii="Times New Roman" w:eastAsia="Times New Roman" w:hAnsi="Times New Roman" w:cs="Times New Roman"/>
                <w:color w:val="000000"/>
                <w:kern w:val="0"/>
                <w:sz w:val="16"/>
                <w:szCs w:val="16"/>
                <w:lang w:eastAsia="en-IN"/>
                <w14:ligatures w14:val="none"/>
              </w:rPr>
              <w:t>26.58</w:t>
            </w:r>
          </w:p>
        </w:tc>
      </w:tr>
      <w:tr w:rsidR="001A0C9B" w:rsidRPr="001A0C9B" w14:paraId="68644B4B" w14:textId="77777777" w:rsidTr="002A11B0">
        <w:trPr>
          <w:trHeight w:val="166"/>
          <w:jc w:val="center"/>
        </w:trPr>
        <w:tc>
          <w:tcPr>
            <w:tcW w:w="1051" w:type="dxa"/>
            <w:tcBorders>
              <w:top w:val="nil"/>
              <w:left w:val="single" w:sz="4" w:space="0" w:color="auto"/>
              <w:bottom w:val="single" w:sz="4" w:space="0" w:color="auto"/>
              <w:right w:val="single" w:sz="4" w:space="0" w:color="auto"/>
            </w:tcBorders>
            <w:noWrap/>
            <w:vAlign w:val="center"/>
            <w:hideMark/>
          </w:tcPr>
          <w:p w14:paraId="4C2F1F89" w14:textId="77777777" w:rsidR="001A0C9B" w:rsidRPr="001A0C9B" w:rsidRDefault="001A0C9B" w:rsidP="001A0C9B">
            <w:pPr>
              <w:spacing w:after="0" w:line="240" w:lineRule="auto"/>
              <w:rPr>
                <w:rFonts w:ascii="Times New Roman" w:eastAsia="Times New Roman" w:hAnsi="Times New Roman" w:cs="Times New Roman"/>
                <w:color w:val="000000"/>
                <w:kern w:val="0"/>
                <w:sz w:val="16"/>
                <w:szCs w:val="16"/>
                <w:lang w:eastAsia="en-IN"/>
                <w14:ligatures w14:val="none"/>
              </w:rPr>
            </w:pPr>
            <w:r w:rsidRPr="001A0C9B">
              <w:rPr>
                <w:rFonts w:ascii="Times New Roman" w:eastAsia="Times New Roman" w:hAnsi="Times New Roman" w:cs="Times New Roman"/>
                <w:color w:val="000000"/>
                <w:kern w:val="0"/>
                <w:sz w:val="16"/>
                <w:szCs w:val="16"/>
                <w:lang w:eastAsia="en-IN"/>
                <w14:ligatures w14:val="none"/>
              </w:rPr>
              <w:t>TOTAL</w:t>
            </w:r>
          </w:p>
        </w:tc>
        <w:tc>
          <w:tcPr>
            <w:tcW w:w="669" w:type="dxa"/>
            <w:tcBorders>
              <w:top w:val="nil"/>
              <w:left w:val="nil"/>
              <w:bottom w:val="single" w:sz="4" w:space="0" w:color="auto"/>
              <w:right w:val="single" w:sz="4" w:space="0" w:color="auto"/>
            </w:tcBorders>
            <w:noWrap/>
            <w:vAlign w:val="center"/>
            <w:hideMark/>
          </w:tcPr>
          <w:p w14:paraId="46D9983F" w14:textId="77777777" w:rsidR="001A0C9B" w:rsidRPr="001A0C9B" w:rsidRDefault="001A0C9B" w:rsidP="001A0C9B">
            <w:pPr>
              <w:spacing w:after="0" w:line="240" w:lineRule="auto"/>
              <w:jc w:val="right"/>
              <w:rPr>
                <w:rFonts w:ascii="Times New Roman" w:eastAsia="Times New Roman" w:hAnsi="Times New Roman" w:cs="Times New Roman"/>
                <w:color w:val="000000"/>
                <w:kern w:val="0"/>
                <w:sz w:val="16"/>
                <w:szCs w:val="16"/>
                <w:lang w:eastAsia="en-IN"/>
                <w14:ligatures w14:val="none"/>
              </w:rPr>
            </w:pPr>
            <w:r w:rsidRPr="001A0C9B">
              <w:rPr>
                <w:rFonts w:ascii="Times New Roman" w:eastAsia="Times New Roman" w:hAnsi="Times New Roman" w:cs="Times New Roman"/>
                <w:color w:val="000000"/>
                <w:kern w:val="0"/>
                <w:sz w:val="16"/>
                <w:szCs w:val="16"/>
                <w:lang w:eastAsia="en-IN"/>
                <w14:ligatures w14:val="none"/>
              </w:rPr>
              <w:t>444.77</w:t>
            </w:r>
          </w:p>
        </w:tc>
        <w:tc>
          <w:tcPr>
            <w:tcW w:w="723" w:type="dxa"/>
            <w:tcBorders>
              <w:top w:val="nil"/>
              <w:left w:val="nil"/>
              <w:bottom w:val="single" w:sz="4" w:space="0" w:color="auto"/>
              <w:right w:val="single" w:sz="4" w:space="0" w:color="auto"/>
            </w:tcBorders>
            <w:noWrap/>
            <w:vAlign w:val="center"/>
            <w:hideMark/>
          </w:tcPr>
          <w:p w14:paraId="24B27BAF" w14:textId="40F1A91B" w:rsidR="001A0C9B" w:rsidRPr="001A0C9B" w:rsidRDefault="001A0C9B" w:rsidP="001A0C9B">
            <w:pPr>
              <w:spacing w:after="0" w:line="240" w:lineRule="auto"/>
              <w:jc w:val="right"/>
              <w:rPr>
                <w:rFonts w:ascii="Times New Roman" w:eastAsia="Times New Roman" w:hAnsi="Times New Roman" w:cs="Times New Roman"/>
                <w:color w:val="000000"/>
                <w:kern w:val="0"/>
                <w:sz w:val="16"/>
                <w:szCs w:val="16"/>
                <w:lang w:eastAsia="en-IN"/>
                <w14:ligatures w14:val="none"/>
              </w:rPr>
            </w:pPr>
            <w:r w:rsidRPr="001A0C9B">
              <w:rPr>
                <w:rFonts w:ascii="Times New Roman" w:eastAsia="Times New Roman" w:hAnsi="Times New Roman" w:cs="Times New Roman"/>
                <w:color w:val="000000"/>
                <w:kern w:val="0"/>
                <w:sz w:val="16"/>
                <w:szCs w:val="16"/>
                <w:lang w:eastAsia="en-IN"/>
                <w14:ligatures w14:val="none"/>
              </w:rPr>
              <w:t>10.3</w:t>
            </w:r>
            <w:r w:rsidR="0063665D">
              <w:rPr>
                <w:rFonts w:ascii="Times New Roman" w:eastAsia="Times New Roman" w:hAnsi="Times New Roman" w:cs="Times New Roman"/>
                <w:color w:val="000000"/>
                <w:kern w:val="0"/>
                <w:sz w:val="16"/>
                <w:szCs w:val="16"/>
                <w:lang w:eastAsia="en-IN"/>
                <w14:ligatures w14:val="none"/>
              </w:rPr>
              <w:t>0</w:t>
            </w:r>
          </w:p>
        </w:tc>
        <w:tc>
          <w:tcPr>
            <w:tcW w:w="773" w:type="dxa"/>
            <w:tcBorders>
              <w:top w:val="nil"/>
              <w:left w:val="nil"/>
              <w:bottom w:val="single" w:sz="4" w:space="0" w:color="auto"/>
              <w:right w:val="single" w:sz="4" w:space="0" w:color="auto"/>
            </w:tcBorders>
            <w:noWrap/>
            <w:vAlign w:val="center"/>
            <w:hideMark/>
          </w:tcPr>
          <w:p w14:paraId="6E3FB765" w14:textId="45DF77C5" w:rsidR="001A0C9B" w:rsidRPr="001A0C9B" w:rsidRDefault="001A0C9B" w:rsidP="001A0C9B">
            <w:pPr>
              <w:spacing w:after="0" w:line="240" w:lineRule="auto"/>
              <w:jc w:val="right"/>
              <w:rPr>
                <w:rFonts w:ascii="Times New Roman" w:eastAsia="Times New Roman" w:hAnsi="Times New Roman" w:cs="Times New Roman"/>
                <w:color w:val="000000"/>
                <w:kern w:val="0"/>
                <w:sz w:val="16"/>
                <w:szCs w:val="16"/>
                <w:lang w:eastAsia="en-IN"/>
                <w14:ligatures w14:val="none"/>
              </w:rPr>
            </w:pPr>
            <w:r w:rsidRPr="001A0C9B">
              <w:rPr>
                <w:rFonts w:ascii="Times New Roman" w:eastAsia="Times New Roman" w:hAnsi="Times New Roman" w:cs="Times New Roman"/>
                <w:color w:val="000000"/>
                <w:kern w:val="0"/>
                <w:sz w:val="16"/>
                <w:szCs w:val="16"/>
                <w:lang w:eastAsia="en-IN"/>
                <w14:ligatures w14:val="none"/>
              </w:rPr>
              <w:t>610</w:t>
            </w:r>
            <w:r w:rsidR="0063665D">
              <w:rPr>
                <w:rFonts w:ascii="Times New Roman" w:eastAsia="Times New Roman" w:hAnsi="Times New Roman" w:cs="Times New Roman"/>
                <w:color w:val="000000"/>
                <w:kern w:val="0"/>
                <w:sz w:val="16"/>
                <w:szCs w:val="16"/>
                <w:lang w:eastAsia="en-IN"/>
                <w14:ligatures w14:val="none"/>
              </w:rPr>
              <w:t>.00</w:t>
            </w:r>
          </w:p>
        </w:tc>
        <w:tc>
          <w:tcPr>
            <w:tcW w:w="981" w:type="dxa"/>
            <w:tcBorders>
              <w:top w:val="nil"/>
              <w:left w:val="nil"/>
              <w:bottom w:val="single" w:sz="4" w:space="0" w:color="auto"/>
              <w:right w:val="single" w:sz="4" w:space="0" w:color="auto"/>
            </w:tcBorders>
            <w:noWrap/>
            <w:vAlign w:val="center"/>
            <w:hideMark/>
          </w:tcPr>
          <w:p w14:paraId="1D6BA131" w14:textId="77777777" w:rsidR="001A0C9B" w:rsidRPr="001A0C9B" w:rsidRDefault="001A0C9B" w:rsidP="001A0C9B">
            <w:pPr>
              <w:spacing w:after="0" w:line="240" w:lineRule="auto"/>
              <w:jc w:val="right"/>
              <w:rPr>
                <w:rFonts w:ascii="Times New Roman" w:eastAsia="Times New Roman" w:hAnsi="Times New Roman" w:cs="Times New Roman"/>
                <w:color w:val="000000"/>
                <w:kern w:val="0"/>
                <w:sz w:val="16"/>
                <w:szCs w:val="16"/>
                <w:lang w:eastAsia="en-IN"/>
                <w14:ligatures w14:val="none"/>
              </w:rPr>
            </w:pPr>
            <w:r w:rsidRPr="001A0C9B">
              <w:rPr>
                <w:rFonts w:ascii="Times New Roman" w:eastAsia="Times New Roman" w:hAnsi="Times New Roman" w:cs="Times New Roman"/>
                <w:color w:val="000000"/>
                <w:kern w:val="0"/>
                <w:sz w:val="16"/>
                <w:szCs w:val="16"/>
                <w:lang w:eastAsia="en-IN"/>
                <w14:ligatures w14:val="none"/>
              </w:rPr>
              <w:t>615.73</w:t>
            </w:r>
          </w:p>
        </w:tc>
        <w:tc>
          <w:tcPr>
            <w:tcW w:w="669" w:type="dxa"/>
            <w:tcBorders>
              <w:top w:val="nil"/>
              <w:left w:val="nil"/>
              <w:bottom w:val="single" w:sz="4" w:space="0" w:color="auto"/>
              <w:right w:val="single" w:sz="4" w:space="0" w:color="auto"/>
            </w:tcBorders>
            <w:noWrap/>
            <w:vAlign w:val="center"/>
            <w:hideMark/>
          </w:tcPr>
          <w:p w14:paraId="4513A63F" w14:textId="77777777" w:rsidR="001A0C9B" w:rsidRPr="001A0C9B" w:rsidRDefault="001A0C9B" w:rsidP="001A0C9B">
            <w:pPr>
              <w:spacing w:after="0" w:line="240" w:lineRule="auto"/>
              <w:jc w:val="right"/>
              <w:rPr>
                <w:rFonts w:ascii="Times New Roman" w:eastAsia="Times New Roman" w:hAnsi="Times New Roman" w:cs="Times New Roman"/>
                <w:color w:val="000000"/>
                <w:kern w:val="0"/>
                <w:sz w:val="16"/>
                <w:szCs w:val="16"/>
                <w:lang w:eastAsia="en-IN"/>
                <w14:ligatures w14:val="none"/>
              </w:rPr>
            </w:pPr>
            <w:r w:rsidRPr="001A0C9B">
              <w:rPr>
                <w:rFonts w:ascii="Times New Roman" w:eastAsia="Times New Roman" w:hAnsi="Times New Roman" w:cs="Times New Roman"/>
                <w:color w:val="000000"/>
                <w:kern w:val="0"/>
                <w:sz w:val="16"/>
                <w:szCs w:val="16"/>
                <w:lang w:eastAsia="en-IN"/>
                <w14:ligatures w14:val="none"/>
              </w:rPr>
              <w:t>842.62</w:t>
            </w:r>
          </w:p>
        </w:tc>
        <w:tc>
          <w:tcPr>
            <w:tcW w:w="679" w:type="dxa"/>
            <w:tcBorders>
              <w:top w:val="nil"/>
              <w:left w:val="nil"/>
              <w:bottom w:val="single" w:sz="4" w:space="0" w:color="auto"/>
              <w:right w:val="single" w:sz="4" w:space="0" w:color="auto"/>
            </w:tcBorders>
            <w:noWrap/>
            <w:vAlign w:val="center"/>
            <w:hideMark/>
          </w:tcPr>
          <w:p w14:paraId="1DDDA9BD" w14:textId="77777777" w:rsidR="001A0C9B" w:rsidRPr="001A0C9B" w:rsidRDefault="001A0C9B" w:rsidP="001A0C9B">
            <w:pPr>
              <w:spacing w:after="0" w:line="240" w:lineRule="auto"/>
              <w:jc w:val="right"/>
              <w:rPr>
                <w:rFonts w:ascii="Times New Roman" w:eastAsia="Times New Roman" w:hAnsi="Times New Roman" w:cs="Times New Roman"/>
                <w:color w:val="000000"/>
                <w:kern w:val="0"/>
                <w:sz w:val="16"/>
                <w:szCs w:val="16"/>
                <w:lang w:eastAsia="en-IN"/>
                <w14:ligatures w14:val="none"/>
              </w:rPr>
            </w:pPr>
            <w:r w:rsidRPr="001A0C9B">
              <w:rPr>
                <w:rFonts w:ascii="Times New Roman" w:eastAsia="Times New Roman" w:hAnsi="Times New Roman" w:cs="Times New Roman"/>
                <w:color w:val="000000"/>
                <w:kern w:val="0"/>
                <w:sz w:val="16"/>
                <w:szCs w:val="16"/>
                <w:lang w:eastAsia="en-IN"/>
                <w14:ligatures w14:val="none"/>
              </w:rPr>
              <w:t>17.63</w:t>
            </w:r>
          </w:p>
        </w:tc>
        <w:tc>
          <w:tcPr>
            <w:tcW w:w="773" w:type="dxa"/>
            <w:tcBorders>
              <w:top w:val="nil"/>
              <w:left w:val="nil"/>
              <w:bottom w:val="single" w:sz="4" w:space="0" w:color="auto"/>
              <w:right w:val="single" w:sz="4" w:space="0" w:color="auto"/>
            </w:tcBorders>
            <w:noWrap/>
            <w:vAlign w:val="center"/>
            <w:hideMark/>
          </w:tcPr>
          <w:p w14:paraId="5BC56BE2" w14:textId="77777777" w:rsidR="001A0C9B" w:rsidRPr="001A0C9B" w:rsidRDefault="001A0C9B" w:rsidP="001A0C9B">
            <w:pPr>
              <w:spacing w:after="0" w:line="240" w:lineRule="auto"/>
              <w:rPr>
                <w:rFonts w:ascii="Times New Roman" w:eastAsia="Times New Roman" w:hAnsi="Times New Roman" w:cs="Times New Roman"/>
                <w:color w:val="000000"/>
                <w:kern w:val="0"/>
                <w:sz w:val="16"/>
                <w:szCs w:val="16"/>
                <w:lang w:eastAsia="en-IN"/>
                <w14:ligatures w14:val="none"/>
              </w:rPr>
            </w:pPr>
            <w:r w:rsidRPr="001A0C9B">
              <w:rPr>
                <w:rFonts w:ascii="Times New Roman" w:eastAsia="Times New Roman" w:hAnsi="Times New Roman" w:cs="Times New Roman"/>
                <w:color w:val="000000"/>
                <w:kern w:val="0"/>
                <w:sz w:val="16"/>
                <w:szCs w:val="16"/>
                <w:lang w:eastAsia="en-IN"/>
                <w14:ligatures w14:val="none"/>
              </w:rPr>
              <w:t>45.75(e)</w:t>
            </w:r>
          </w:p>
        </w:tc>
        <w:tc>
          <w:tcPr>
            <w:tcW w:w="981" w:type="dxa"/>
            <w:tcBorders>
              <w:top w:val="nil"/>
              <w:left w:val="nil"/>
              <w:bottom w:val="single" w:sz="4" w:space="0" w:color="auto"/>
              <w:right w:val="single" w:sz="4" w:space="0" w:color="auto"/>
            </w:tcBorders>
            <w:noWrap/>
            <w:vAlign w:val="center"/>
            <w:hideMark/>
          </w:tcPr>
          <w:p w14:paraId="3FC8AE18" w14:textId="77777777" w:rsidR="001A0C9B" w:rsidRPr="001A0C9B" w:rsidRDefault="001A0C9B" w:rsidP="001A0C9B">
            <w:pPr>
              <w:spacing w:after="0" w:line="240" w:lineRule="auto"/>
              <w:jc w:val="right"/>
              <w:rPr>
                <w:rFonts w:ascii="Times New Roman" w:eastAsia="Times New Roman" w:hAnsi="Times New Roman" w:cs="Times New Roman"/>
                <w:color w:val="000000"/>
                <w:kern w:val="0"/>
                <w:sz w:val="16"/>
                <w:szCs w:val="16"/>
                <w:lang w:eastAsia="en-IN"/>
                <w14:ligatures w14:val="none"/>
              </w:rPr>
            </w:pPr>
            <w:r w:rsidRPr="001A0C9B">
              <w:rPr>
                <w:rFonts w:ascii="Times New Roman" w:eastAsia="Times New Roman" w:hAnsi="Times New Roman" w:cs="Times New Roman"/>
                <w:color w:val="000000"/>
                <w:kern w:val="0"/>
                <w:sz w:val="16"/>
                <w:szCs w:val="16"/>
                <w:lang w:eastAsia="en-IN"/>
                <w14:ligatures w14:val="none"/>
              </w:rPr>
              <w:t>22.41</w:t>
            </w:r>
          </w:p>
        </w:tc>
        <w:tc>
          <w:tcPr>
            <w:tcW w:w="782" w:type="dxa"/>
            <w:tcBorders>
              <w:top w:val="nil"/>
              <w:left w:val="nil"/>
              <w:bottom w:val="single" w:sz="4" w:space="0" w:color="auto"/>
              <w:right w:val="single" w:sz="4" w:space="0" w:color="auto"/>
            </w:tcBorders>
            <w:noWrap/>
            <w:vAlign w:val="center"/>
            <w:hideMark/>
          </w:tcPr>
          <w:p w14:paraId="10CBA544" w14:textId="77777777" w:rsidR="001A0C9B" w:rsidRPr="001A0C9B" w:rsidRDefault="001A0C9B" w:rsidP="001A0C9B">
            <w:pPr>
              <w:spacing w:after="0" w:line="240" w:lineRule="auto"/>
              <w:jc w:val="right"/>
              <w:rPr>
                <w:rFonts w:ascii="Times New Roman" w:eastAsia="Times New Roman" w:hAnsi="Times New Roman" w:cs="Times New Roman"/>
                <w:color w:val="000000"/>
                <w:kern w:val="0"/>
                <w:sz w:val="16"/>
                <w:szCs w:val="16"/>
                <w:lang w:eastAsia="en-IN"/>
                <w14:ligatures w14:val="none"/>
              </w:rPr>
            </w:pPr>
            <w:r w:rsidRPr="001A0C9B">
              <w:rPr>
                <w:rFonts w:ascii="Times New Roman" w:eastAsia="Times New Roman" w:hAnsi="Times New Roman" w:cs="Times New Roman"/>
                <w:color w:val="000000"/>
                <w:kern w:val="0"/>
                <w:sz w:val="16"/>
                <w:szCs w:val="16"/>
                <w:lang w:eastAsia="en-IN"/>
                <w14:ligatures w14:val="none"/>
              </w:rPr>
              <w:t>940.81</w:t>
            </w:r>
          </w:p>
        </w:tc>
        <w:tc>
          <w:tcPr>
            <w:tcW w:w="723" w:type="dxa"/>
            <w:tcBorders>
              <w:top w:val="nil"/>
              <w:left w:val="nil"/>
              <w:bottom w:val="single" w:sz="4" w:space="0" w:color="auto"/>
              <w:right w:val="single" w:sz="4" w:space="0" w:color="auto"/>
            </w:tcBorders>
            <w:noWrap/>
            <w:vAlign w:val="center"/>
            <w:hideMark/>
          </w:tcPr>
          <w:p w14:paraId="6F8FCD4F" w14:textId="77777777" w:rsidR="001A0C9B" w:rsidRPr="001A0C9B" w:rsidRDefault="001A0C9B" w:rsidP="001A0C9B">
            <w:pPr>
              <w:spacing w:after="0" w:line="240" w:lineRule="auto"/>
              <w:jc w:val="right"/>
              <w:rPr>
                <w:rFonts w:ascii="Times New Roman" w:eastAsia="Times New Roman" w:hAnsi="Times New Roman" w:cs="Times New Roman"/>
                <w:color w:val="000000"/>
                <w:kern w:val="0"/>
                <w:sz w:val="16"/>
                <w:szCs w:val="16"/>
                <w:lang w:eastAsia="en-IN"/>
                <w14:ligatures w14:val="none"/>
              </w:rPr>
            </w:pPr>
            <w:r w:rsidRPr="001A0C9B">
              <w:rPr>
                <w:rFonts w:ascii="Times New Roman" w:eastAsia="Times New Roman" w:hAnsi="Times New Roman" w:cs="Times New Roman"/>
                <w:color w:val="000000"/>
                <w:kern w:val="0"/>
                <w:sz w:val="16"/>
                <w:szCs w:val="16"/>
                <w:lang w:eastAsia="en-IN"/>
                <w14:ligatures w14:val="none"/>
              </w:rPr>
              <w:t>19.29</w:t>
            </w:r>
          </w:p>
        </w:tc>
        <w:tc>
          <w:tcPr>
            <w:tcW w:w="741" w:type="dxa"/>
            <w:tcBorders>
              <w:top w:val="nil"/>
              <w:left w:val="nil"/>
              <w:bottom w:val="single" w:sz="4" w:space="0" w:color="auto"/>
              <w:right w:val="single" w:sz="4" w:space="0" w:color="auto"/>
            </w:tcBorders>
            <w:noWrap/>
            <w:vAlign w:val="center"/>
            <w:hideMark/>
          </w:tcPr>
          <w:p w14:paraId="7AC444F5" w14:textId="77777777" w:rsidR="001A0C9B" w:rsidRPr="001A0C9B" w:rsidRDefault="001A0C9B" w:rsidP="001A0C9B">
            <w:pPr>
              <w:spacing w:after="0" w:line="240" w:lineRule="auto"/>
              <w:jc w:val="right"/>
              <w:rPr>
                <w:rFonts w:ascii="Times New Roman" w:eastAsia="Times New Roman" w:hAnsi="Times New Roman" w:cs="Times New Roman"/>
                <w:color w:val="000000"/>
                <w:kern w:val="0"/>
                <w:sz w:val="16"/>
                <w:szCs w:val="16"/>
                <w:lang w:eastAsia="en-IN"/>
                <w14:ligatures w14:val="none"/>
              </w:rPr>
            </w:pPr>
            <w:r w:rsidRPr="001A0C9B">
              <w:rPr>
                <w:rFonts w:ascii="Times New Roman" w:eastAsia="Times New Roman" w:hAnsi="Times New Roman" w:cs="Times New Roman"/>
                <w:color w:val="000000"/>
                <w:kern w:val="0"/>
                <w:sz w:val="16"/>
                <w:szCs w:val="16"/>
                <w:lang w:eastAsia="en-IN"/>
                <w14:ligatures w14:val="none"/>
              </w:rPr>
              <w:t>51.14</w:t>
            </w:r>
          </w:p>
        </w:tc>
        <w:tc>
          <w:tcPr>
            <w:tcW w:w="981" w:type="dxa"/>
            <w:tcBorders>
              <w:top w:val="nil"/>
              <w:left w:val="nil"/>
              <w:bottom w:val="single" w:sz="4" w:space="0" w:color="auto"/>
              <w:right w:val="single" w:sz="4" w:space="0" w:color="auto"/>
            </w:tcBorders>
            <w:noWrap/>
            <w:vAlign w:val="center"/>
            <w:hideMark/>
          </w:tcPr>
          <w:p w14:paraId="5696758C" w14:textId="77777777" w:rsidR="001A0C9B" w:rsidRPr="001A0C9B" w:rsidRDefault="001A0C9B" w:rsidP="001A0C9B">
            <w:pPr>
              <w:spacing w:after="0" w:line="240" w:lineRule="auto"/>
              <w:jc w:val="right"/>
              <w:rPr>
                <w:rFonts w:ascii="Times New Roman" w:eastAsia="Times New Roman" w:hAnsi="Times New Roman" w:cs="Times New Roman"/>
                <w:color w:val="000000"/>
                <w:kern w:val="0"/>
                <w:sz w:val="16"/>
                <w:szCs w:val="16"/>
                <w:lang w:eastAsia="en-IN"/>
                <w14:ligatures w14:val="none"/>
              </w:rPr>
            </w:pPr>
            <w:r w:rsidRPr="001A0C9B">
              <w:rPr>
                <w:rFonts w:ascii="Times New Roman" w:eastAsia="Times New Roman" w:hAnsi="Times New Roman" w:cs="Times New Roman"/>
                <w:color w:val="000000"/>
                <w:kern w:val="0"/>
                <w:sz w:val="16"/>
                <w:szCs w:val="16"/>
                <w:lang w:eastAsia="en-IN"/>
                <w14:ligatures w14:val="none"/>
              </w:rPr>
              <w:t>29.22</w:t>
            </w:r>
          </w:p>
        </w:tc>
        <w:tc>
          <w:tcPr>
            <w:tcW w:w="754" w:type="dxa"/>
            <w:tcBorders>
              <w:top w:val="nil"/>
              <w:left w:val="nil"/>
              <w:bottom w:val="single" w:sz="4" w:space="0" w:color="auto"/>
              <w:right w:val="single" w:sz="4" w:space="0" w:color="auto"/>
            </w:tcBorders>
            <w:noWrap/>
            <w:vAlign w:val="center"/>
            <w:hideMark/>
          </w:tcPr>
          <w:p w14:paraId="65285027" w14:textId="77777777" w:rsidR="001A0C9B" w:rsidRPr="001A0C9B" w:rsidRDefault="001A0C9B" w:rsidP="001A0C9B">
            <w:pPr>
              <w:spacing w:after="0" w:line="240" w:lineRule="auto"/>
              <w:jc w:val="right"/>
              <w:rPr>
                <w:rFonts w:ascii="Times New Roman" w:eastAsia="Times New Roman" w:hAnsi="Times New Roman" w:cs="Times New Roman"/>
                <w:color w:val="000000"/>
                <w:kern w:val="0"/>
                <w:sz w:val="16"/>
                <w:szCs w:val="16"/>
                <w:lang w:eastAsia="en-IN"/>
                <w14:ligatures w14:val="none"/>
              </w:rPr>
            </w:pPr>
            <w:r w:rsidRPr="001A0C9B">
              <w:rPr>
                <w:rFonts w:ascii="Times New Roman" w:eastAsia="Times New Roman" w:hAnsi="Times New Roman" w:cs="Times New Roman"/>
                <w:color w:val="000000"/>
                <w:kern w:val="0"/>
                <w:sz w:val="16"/>
                <w:szCs w:val="16"/>
                <w:lang w:eastAsia="en-IN"/>
                <w14:ligatures w14:val="none"/>
              </w:rPr>
              <w:t>1086.63</w:t>
            </w:r>
          </w:p>
        </w:tc>
        <w:tc>
          <w:tcPr>
            <w:tcW w:w="723" w:type="dxa"/>
            <w:tcBorders>
              <w:top w:val="nil"/>
              <w:left w:val="nil"/>
              <w:bottom w:val="single" w:sz="4" w:space="0" w:color="auto"/>
              <w:right w:val="single" w:sz="4" w:space="0" w:color="auto"/>
            </w:tcBorders>
            <w:noWrap/>
            <w:vAlign w:val="center"/>
            <w:hideMark/>
          </w:tcPr>
          <w:p w14:paraId="5697CF45" w14:textId="77777777" w:rsidR="001A0C9B" w:rsidRPr="001A0C9B" w:rsidRDefault="001A0C9B" w:rsidP="001A0C9B">
            <w:pPr>
              <w:spacing w:after="0" w:line="240" w:lineRule="auto"/>
              <w:jc w:val="right"/>
              <w:rPr>
                <w:rFonts w:ascii="Times New Roman" w:eastAsia="Times New Roman" w:hAnsi="Times New Roman" w:cs="Times New Roman"/>
                <w:color w:val="000000"/>
                <w:kern w:val="0"/>
                <w:sz w:val="16"/>
                <w:szCs w:val="16"/>
                <w:lang w:eastAsia="en-IN"/>
                <w14:ligatures w14:val="none"/>
              </w:rPr>
            </w:pPr>
            <w:r w:rsidRPr="001A0C9B">
              <w:rPr>
                <w:rFonts w:ascii="Times New Roman" w:eastAsia="Times New Roman" w:hAnsi="Times New Roman" w:cs="Times New Roman"/>
                <w:color w:val="000000"/>
                <w:kern w:val="0"/>
                <w:sz w:val="16"/>
                <w:szCs w:val="16"/>
                <w:lang w:eastAsia="en-IN"/>
                <w14:ligatures w14:val="none"/>
              </w:rPr>
              <w:t>21.92</w:t>
            </w:r>
          </w:p>
        </w:tc>
        <w:tc>
          <w:tcPr>
            <w:tcW w:w="754" w:type="dxa"/>
            <w:tcBorders>
              <w:top w:val="nil"/>
              <w:left w:val="nil"/>
              <w:bottom w:val="single" w:sz="4" w:space="0" w:color="auto"/>
              <w:right w:val="single" w:sz="4" w:space="0" w:color="auto"/>
            </w:tcBorders>
            <w:noWrap/>
            <w:vAlign w:val="center"/>
            <w:hideMark/>
          </w:tcPr>
          <w:p w14:paraId="18F76183" w14:textId="77777777" w:rsidR="001A0C9B" w:rsidRPr="001A0C9B" w:rsidRDefault="001A0C9B" w:rsidP="001A0C9B">
            <w:pPr>
              <w:spacing w:after="0" w:line="240" w:lineRule="auto"/>
              <w:rPr>
                <w:rFonts w:ascii="Times New Roman" w:eastAsia="Times New Roman" w:hAnsi="Times New Roman" w:cs="Times New Roman"/>
                <w:color w:val="000000"/>
                <w:kern w:val="0"/>
                <w:sz w:val="16"/>
                <w:szCs w:val="16"/>
                <w:lang w:eastAsia="en-IN"/>
                <w14:ligatures w14:val="none"/>
              </w:rPr>
            </w:pPr>
            <w:r w:rsidRPr="001A0C9B">
              <w:rPr>
                <w:rFonts w:ascii="Times New Roman" w:eastAsia="Times New Roman" w:hAnsi="Times New Roman" w:cs="Times New Roman"/>
                <w:color w:val="000000"/>
                <w:kern w:val="0"/>
                <w:sz w:val="16"/>
                <w:szCs w:val="16"/>
                <w:lang w:eastAsia="en-IN"/>
                <w14:ligatures w14:val="none"/>
              </w:rPr>
              <w:t>13.04(f)</w:t>
            </w:r>
          </w:p>
        </w:tc>
        <w:tc>
          <w:tcPr>
            <w:tcW w:w="981" w:type="dxa"/>
            <w:tcBorders>
              <w:top w:val="nil"/>
              <w:left w:val="nil"/>
              <w:bottom w:val="single" w:sz="4" w:space="0" w:color="auto"/>
              <w:right w:val="single" w:sz="4" w:space="0" w:color="auto"/>
            </w:tcBorders>
            <w:noWrap/>
            <w:vAlign w:val="center"/>
            <w:hideMark/>
          </w:tcPr>
          <w:p w14:paraId="65649117" w14:textId="77777777" w:rsidR="001A0C9B" w:rsidRPr="001A0C9B" w:rsidRDefault="001A0C9B" w:rsidP="001A0C9B">
            <w:pPr>
              <w:spacing w:after="0" w:line="240" w:lineRule="auto"/>
              <w:jc w:val="right"/>
              <w:rPr>
                <w:rFonts w:ascii="Times New Roman" w:eastAsia="Times New Roman" w:hAnsi="Times New Roman" w:cs="Times New Roman"/>
                <w:color w:val="000000"/>
                <w:kern w:val="0"/>
                <w:sz w:val="16"/>
                <w:szCs w:val="16"/>
                <w:lang w:eastAsia="en-IN"/>
                <w14:ligatures w14:val="none"/>
              </w:rPr>
            </w:pPr>
            <w:r w:rsidRPr="001A0C9B">
              <w:rPr>
                <w:rFonts w:ascii="Times New Roman" w:eastAsia="Times New Roman" w:hAnsi="Times New Roman" w:cs="Times New Roman"/>
                <w:color w:val="000000"/>
                <w:kern w:val="0"/>
                <w:sz w:val="16"/>
                <w:szCs w:val="16"/>
                <w:lang w:eastAsia="en-IN"/>
                <w14:ligatures w14:val="none"/>
              </w:rPr>
              <w:t>12.53</w:t>
            </w:r>
          </w:p>
        </w:tc>
        <w:tc>
          <w:tcPr>
            <w:tcW w:w="754" w:type="dxa"/>
            <w:tcBorders>
              <w:top w:val="nil"/>
              <w:left w:val="nil"/>
              <w:bottom w:val="single" w:sz="4" w:space="0" w:color="auto"/>
              <w:right w:val="single" w:sz="4" w:space="0" w:color="auto"/>
            </w:tcBorders>
            <w:noWrap/>
            <w:vAlign w:val="center"/>
            <w:hideMark/>
          </w:tcPr>
          <w:p w14:paraId="5E1F0987" w14:textId="77777777" w:rsidR="001A0C9B" w:rsidRPr="001A0C9B" w:rsidRDefault="001A0C9B" w:rsidP="001A0C9B">
            <w:pPr>
              <w:spacing w:after="0" w:line="240" w:lineRule="auto"/>
              <w:jc w:val="right"/>
              <w:rPr>
                <w:rFonts w:ascii="Times New Roman" w:eastAsia="Times New Roman" w:hAnsi="Times New Roman" w:cs="Times New Roman"/>
                <w:color w:val="000000"/>
                <w:kern w:val="0"/>
                <w:sz w:val="16"/>
                <w:szCs w:val="16"/>
                <w:lang w:eastAsia="en-IN"/>
                <w14:ligatures w14:val="none"/>
              </w:rPr>
            </w:pPr>
            <w:r w:rsidRPr="001A0C9B">
              <w:rPr>
                <w:rFonts w:ascii="Times New Roman" w:eastAsia="Times New Roman" w:hAnsi="Times New Roman" w:cs="Times New Roman"/>
                <w:color w:val="000000"/>
                <w:kern w:val="0"/>
                <w:sz w:val="16"/>
                <w:szCs w:val="16"/>
                <w:lang w:eastAsia="en-IN"/>
                <w14:ligatures w14:val="none"/>
              </w:rPr>
              <w:t>1182.39</w:t>
            </w:r>
          </w:p>
        </w:tc>
        <w:tc>
          <w:tcPr>
            <w:tcW w:w="723" w:type="dxa"/>
            <w:tcBorders>
              <w:top w:val="nil"/>
              <w:left w:val="nil"/>
              <w:bottom w:val="single" w:sz="4" w:space="0" w:color="auto"/>
              <w:right w:val="single" w:sz="4" w:space="0" w:color="auto"/>
            </w:tcBorders>
            <w:noWrap/>
            <w:vAlign w:val="center"/>
            <w:hideMark/>
          </w:tcPr>
          <w:p w14:paraId="67BD68A4" w14:textId="77777777" w:rsidR="001A0C9B" w:rsidRPr="001A0C9B" w:rsidRDefault="001A0C9B" w:rsidP="001A0C9B">
            <w:pPr>
              <w:spacing w:after="0" w:line="240" w:lineRule="auto"/>
              <w:jc w:val="right"/>
              <w:rPr>
                <w:rFonts w:ascii="Times New Roman" w:eastAsia="Times New Roman" w:hAnsi="Times New Roman" w:cs="Times New Roman"/>
                <w:color w:val="000000"/>
                <w:kern w:val="0"/>
                <w:sz w:val="16"/>
                <w:szCs w:val="16"/>
                <w:lang w:eastAsia="en-IN"/>
                <w14:ligatures w14:val="none"/>
              </w:rPr>
            </w:pPr>
            <w:r w:rsidRPr="001A0C9B">
              <w:rPr>
                <w:rFonts w:ascii="Times New Roman" w:eastAsia="Times New Roman" w:hAnsi="Times New Roman" w:cs="Times New Roman"/>
                <w:color w:val="000000"/>
                <w:kern w:val="0"/>
                <w:sz w:val="16"/>
                <w:szCs w:val="16"/>
                <w:lang w:eastAsia="en-IN"/>
                <w14:ligatures w14:val="none"/>
              </w:rPr>
              <w:t>23.08</w:t>
            </w:r>
          </w:p>
        </w:tc>
      </w:tr>
    </w:tbl>
    <w:p w14:paraId="086B4B02" w14:textId="77777777" w:rsidR="001A0C9B" w:rsidRDefault="0059396E" w:rsidP="00BA1C8E">
      <w:pPr>
        <w:pStyle w:val="Sources"/>
      </w:pPr>
      <w:r w:rsidRPr="001A0C9B">
        <w:rPr>
          <w:b/>
          <w:bCs/>
        </w:rPr>
        <w:t>Source:</w:t>
      </w:r>
      <w:r w:rsidRPr="001A0C9B">
        <w:t> Cols. 1, 5 and 9 from Conspectus of the Budgets of the Central and State Governments. Cols. 13 and 17 from State budgets. Figures of additional taxation targets and realisations obtained from Planning Commission.</w:t>
      </w:r>
    </w:p>
    <w:p w14:paraId="60BBE028" w14:textId="77777777" w:rsidR="001A0C9B" w:rsidRDefault="0059396E" w:rsidP="00BA1C8E">
      <w:pPr>
        <w:pStyle w:val="Sources"/>
      </w:pPr>
      <w:r w:rsidRPr="001A0C9B">
        <w:t>(a) Included under Punjab.</w:t>
      </w:r>
    </w:p>
    <w:p w14:paraId="4E38ECE5" w14:textId="77777777" w:rsidR="001A0C9B" w:rsidRDefault="0059396E" w:rsidP="00BA1C8E">
      <w:pPr>
        <w:pStyle w:val="Sources"/>
      </w:pPr>
      <w:r w:rsidRPr="001A0C9B">
        <w:t>(b) For the last 5 months of the year only. This state came into being on November 1, 1966.</w:t>
      </w:r>
    </w:p>
    <w:p w14:paraId="07ACF4F2" w14:textId="77777777" w:rsidR="001A0C9B" w:rsidRDefault="0059396E" w:rsidP="00BA1C8E">
      <w:pPr>
        <w:pStyle w:val="Sources"/>
      </w:pPr>
      <w:r w:rsidRPr="001A0C9B">
        <w:t>(c) Includes Haryana also.</w:t>
      </w:r>
    </w:p>
    <w:p w14:paraId="237E430F" w14:textId="02E43409" w:rsidR="0059396E" w:rsidRPr="001A0C9B" w:rsidRDefault="0059396E" w:rsidP="00BA1C8E">
      <w:pPr>
        <w:pStyle w:val="Sources"/>
      </w:pPr>
      <w:r w:rsidRPr="001A0C9B">
        <w:t>(d) For the first 7 months for the erstwhile State of Punjab and for the next 5 months for the reorganised State of Punjab.</w:t>
      </w:r>
      <w:r w:rsidRPr="001A0C9B">
        <w:br/>
        <w:t>(e) For the 1966-67 Plan, the States agreed to raise Rs. 102 crores through measures undertaken either in 1965-66 subsequent to the presentation of Budget or through fresh measures in 1966-67. The target for 1966-67 shown in this table had been worked out by excluding from Rs. 102 crores, the amounts raised in 1965-66.</w:t>
      </w:r>
      <w:r w:rsidRPr="001A0C9B">
        <w:br/>
        <w:t>(f) Apart from the State for which the figures are given, several other States had also indicated their willingness to undertake additional taxation, but no specific targets were worked out for them.</w:t>
      </w:r>
    </w:p>
    <w:p w14:paraId="3DDF614E" w14:textId="77777777" w:rsidR="0059396E" w:rsidRPr="007245B0" w:rsidRDefault="0059396E" w:rsidP="0059396E">
      <w:pPr>
        <w:rPr>
          <w:rFonts w:ascii="Times New Roman" w:hAnsi="Times New Roman" w:cs="Times New Roman"/>
        </w:rPr>
      </w:pPr>
    </w:p>
    <w:p w14:paraId="639B1F4F" w14:textId="77777777" w:rsidR="0059396E" w:rsidRPr="007245B0" w:rsidRDefault="0059396E" w:rsidP="0059396E">
      <w:pPr>
        <w:rPr>
          <w:rFonts w:ascii="Times New Roman" w:hAnsi="Times New Roman" w:cs="Times New Roman"/>
        </w:rPr>
        <w:sectPr w:rsidR="0059396E" w:rsidRPr="007245B0" w:rsidSect="001A0C9B">
          <w:pgSz w:w="15840" w:h="12240" w:orient="landscape"/>
          <w:pgMar w:top="1440" w:right="992" w:bottom="567" w:left="1440" w:header="720" w:footer="720" w:gutter="0"/>
          <w:cols w:space="720"/>
        </w:sectPr>
      </w:pPr>
    </w:p>
    <w:p w14:paraId="16F6404F" w14:textId="77777777" w:rsidR="0059396E" w:rsidRPr="007245B0" w:rsidRDefault="0059396E" w:rsidP="0059396E">
      <w:pPr>
        <w:rPr>
          <w:rFonts w:ascii="Times New Roman" w:hAnsi="Times New Roman" w:cs="Times New Roman"/>
        </w:rPr>
      </w:pPr>
    </w:p>
    <w:p w14:paraId="2C1A91A2" w14:textId="77777777" w:rsidR="0059396E" w:rsidRPr="007245B0" w:rsidRDefault="0059396E" w:rsidP="0059396E">
      <w:pPr>
        <w:rPr>
          <w:rFonts w:ascii="Times New Roman" w:hAnsi="Times New Roman" w:cs="Times New Roman"/>
        </w:rPr>
      </w:pPr>
    </w:p>
    <w:p w14:paraId="656154B9" w14:textId="77777777" w:rsidR="0059396E" w:rsidRPr="007245B0" w:rsidRDefault="0059396E" w:rsidP="0059396E">
      <w:pPr>
        <w:rPr>
          <w:rFonts w:ascii="Times New Roman" w:hAnsi="Times New Roman" w:cs="Times New Roman"/>
        </w:rPr>
      </w:pPr>
    </w:p>
    <w:p w14:paraId="1F00C569" w14:textId="77777777" w:rsidR="009D510E" w:rsidRPr="007245B0" w:rsidRDefault="009D510E" w:rsidP="009D510E">
      <w:pPr>
        <w:rPr>
          <w:rFonts w:ascii="Times New Roman" w:hAnsi="Times New Roman" w:cs="Times New Roman"/>
        </w:rPr>
      </w:pPr>
    </w:p>
    <w:p w14:paraId="129F72AF" w14:textId="77777777" w:rsidR="009D510E" w:rsidRPr="007245B0" w:rsidRDefault="009D510E" w:rsidP="009D510E">
      <w:pPr>
        <w:rPr>
          <w:rFonts w:ascii="Times New Roman" w:hAnsi="Times New Roman" w:cs="Times New Roman"/>
        </w:rPr>
      </w:pPr>
    </w:p>
    <w:p w14:paraId="255770AB" w14:textId="505477B3" w:rsidR="009D510E" w:rsidRPr="007245B0" w:rsidRDefault="0059396E" w:rsidP="009D510E">
      <w:pPr>
        <w:rPr>
          <w:rFonts w:ascii="Times New Roman" w:hAnsi="Times New Roman" w:cs="Times New Roman"/>
        </w:rPr>
      </w:pPr>
      <w:r w:rsidRPr="007245B0">
        <w:rPr>
          <w:rFonts w:ascii="Times New Roman" w:hAnsi="Times New Roman" w:cs="Times New Roman"/>
        </w:rPr>
        <w:br w:type="page"/>
      </w:r>
    </w:p>
    <w:p w14:paraId="05392269" w14:textId="261C8230" w:rsidR="0059396E" w:rsidRPr="007245B0" w:rsidRDefault="00574BCE" w:rsidP="001A0C9B">
      <w:pPr>
        <w:pStyle w:val="Heading4"/>
      </w:pPr>
      <w:bookmarkStart w:id="60" w:name="_Toc220949690"/>
      <w:bookmarkStart w:id="61" w:name="_Toc221114290"/>
      <w:bookmarkStart w:id="62" w:name="_Toc221115313"/>
      <w:r w:rsidRPr="008E2A3E">
        <w:lastRenderedPageBreak/>
        <w:t xml:space="preserve">Table </w:t>
      </w:r>
      <w:r w:rsidR="0059396E" w:rsidRPr="007245B0">
        <w:t>10: Targets of additional resource mobilisation agreed to by States for the Fourth Plan</w:t>
      </w:r>
      <w:bookmarkEnd w:id="60"/>
      <w:bookmarkEnd w:id="61"/>
      <w:bookmarkEnd w:id="62"/>
    </w:p>
    <w:p w14:paraId="7BE9BDC7" w14:textId="77777777" w:rsidR="0059396E" w:rsidRPr="002A11B0" w:rsidRDefault="0059396E" w:rsidP="001A0C9B">
      <w:pPr>
        <w:jc w:val="right"/>
        <w:rPr>
          <w:rFonts w:ascii="Times New Roman" w:hAnsi="Times New Roman" w:cs="Times New Roman"/>
          <w:i/>
          <w:iCs/>
        </w:rPr>
      </w:pPr>
      <w:r w:rsidRPr="002A11B0">
        <w:rPr>
          <w:rFonts w:ascii="Times New Roman" w:hAnsi="Times New Roman" w:cs="Times New Roman"/>
          <w:i/>
          <w:iCs/>
        </w:rPr>
        <w:t>(Rs. crores)</w:t>
      </w:r>
    </w:p>
    <w:tbl>
      <w:tblPr>
        <w:tblW w:w="83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16"/>
        <w:gridCol w:w="1843"/>
      </w:tblGrid>
      <w:tr w:rsidR="0059396E" w:rsidRPr="00BA1C8E" w14:paraId="36455EC1" w14:textId="77777777" w:rsidTr="006D571E">
        <w:trPr>
          <w:trHeight w:val="300"/>
          <w:jc w:val="center"/>
        </w:trPr>
        <w:tc>
          <w:tcPr>
            <w:tcW w:w="6516" w:type="dxa"/>
            <w:shd w:val="clear" w:color="000000" w:fill="FFFFFF"/>
            <w:vAlign w:val="center"/>
            <w:hideMark/>
          </w:tcPr>
          <w:p w14:paraId="2E6BF635" w14:textId="77777777" w:rsidR="0059396E" w:rsidRPr="00BA1C8E" w:rsidRDefault="0059396E" w:rsidP="00E831E0">
            <w:pPr>
              <w:spacing w:after="0" w:line="240" w:lineRule="auto"/>
              <w:ind w:firstLineChars="100" w:firstLine="240"/>
              <w:rPr>
                <w:rFonts w:ascii="Times New Roman" w:eastAsia="Times New Roman" w:hAnsi="Times New Roman" w:cs="Times New Roman"/>
                <w:color w:val="1A1C1E"/>
                <w:kern w:val="0"/>
                <w:szCs w:val="24"/>
                <w:lang w:eastAsia="en-IN"/>
                <w14:ligatures w14:val="none"/>
              </w:rPr>
            </w:pPr>
            <w:r w:rsidRPr="00BA1C8E">
              <w:rPr>
                <w:rFonts w:ascii="Times New Roman" w:eastAsia="Times New Roman" w:hAnsi="Times New Roman" w:cs="Times New Roman"/>
                <w:color w:val="1A1C1E"/>
                <w:kern w:val="0"/>
                <w:szCs w:val="24"/>
                <w:lang w:eastAsia="en-IN"/>
                <w14:ligatures w14:val="none"/>
              </w:rPr>
              <w:t>Andhra Pradesh</w:t>
            </w:r>
          </w:p>
        </w:tc>
        <w:tc>
          <w:tcPr>
            <w:tcW w:w="1843" w:type="dxa"/>
            <w:shd w:val="clear" w:color="000000" w:fill="FFFFFF"/>
            <w:vAlign w:val="center"/>
            <w:hideMark/>
          </w:tcPr>
          <w:p w14:paraId="7ED115FC" w14:textId="77777777" w:rsidR="0059396E" w:rsidRPr="00BA1C8E" w:rsidRDefault="0059396E" w:rsidP="00E831E0">
            <w:pPr>
              <w:spacing w:after="0" w:line="240" w:lineRule="auto"/>
              <w:ind w:firstLineChars="100" w:firstLine="240"/>
              <w:rPr>
                <w:rFonts w:ascii="Times New Roman" w:eastAsia="Times New Roman" w:hAnsi="Times New Roman" w:cs="Times New Roman"/>
                <w:color w:val="1A1C1E"/>
                <w:kern w:val="0"/>
                <w:szCs w:val="24"/>
                <w:lang w:eastAsia="en-IN"/>
                <w14:ligatures w14:val="none"/>
              </w:rPr>
            </w:pPr>
            <w:r w:rsidRPr="00BA1C8E">
              <w:rPr>
                <w:rFonts w:ascii="Times New Roman" w:eastAsia="Times New Roman" w:hAnsi="Times New Roman" w:cs="Times New Roman"/>
                <w:color w:val="1A1C1E"/>
                <w:kern w:val="0"/>
                <w:szCs w:val="24"/>
                <w:lang w:eastAsia="en-IN"/>
                <w14:ligatures w14:val="none"/>
              </w:rPr>
              <w:t>100</w:t>
            </w:r>
          </w:p>
        </w:tc>
      </w:tr>
      <w:tr w:rsidR="0059396E" w:rsidRPr="00BA1C8E" w14:paraId="0CEB8D06" w14:textId="77777777" w:rsidTr="006D571E">
        <w:trPr>
          <w:trHeight w:val="300"/>
          <w:jc w:val="center"/>
        </w:trPr>
        <w:tc>
          <w:tcPr>
            <w:tcW w:w="6516" w:type="dxa"/>
            <w:shd w:val="clear" w:color="000000" w:fill="FFFFFF"/>
            <w:vAlign w:val="center"/>
            <w:hideMark/>
          </w:tcPr>
          <w:p w14:paraId="1E50F5D8" w14:textId="77777777" w:rsidR="0059396E" w:rsidRPr="00BA1C8E" w:rsidRDefault="0059396E" w:rsidP="00E831E0">
            <w:pPr>
              <w:spacing w:after="0" w:line="240" w:lineRule="auto"/>
              <w:ind w:firstLineChars="100" w:firstLine="240"/>
              <w:rPr>
                <w:rFonts w:ascii="Times New Roman" w:eastAsia="Times New Roman" w:hAnsi="Times New Roman" w:cs="Times New Roman"/>
                <w:color w:val="1A1C1E"/>
                <w:kern w:val="0"/>
                <w:szCs w:val="24"/>
                <w:lang w:eastAsia="en-IN"/>
                <w14:ligatures w14:val="none"/>
              </w:rPr>
            </w:pPr>
            <w:r w:rsidRPr="00BA1C8E">
              <w:rPr>
                <w:rFonts w:ascii="Times New Roman" w:eastAsia="Times New Roman" w:hAnsi="Times New Roman" w:cs="Times New Roman"/>
                <w:color w:val="1A1C1E"/>
                <w:kern w:val="0"/>
                <w:szCs w:val="24"/>
                <w:lang w:eastAsia="en-IN"/>
                <w14:ligatures w14:val="none"/>
              </w:rPr>
              <w:t>Assam</w:t>
            </w:r>
          </w:p>
        </w:tc>
        <w:tc>
          <w:tcPr>
            <w:tcW w:w="1843" w:type="dxa"/>
            <w:shd w:val="clear" w:color="000000" w:fill="FFFFFF"/>
            <w:vAlign w:val="center"/>
            <w:hideMark/>
          </w:tcPr>
          <w:p w14:paraId="22F4303E" w14:textId="77777777" w:rsidR="0059396E" w:rsidRPr="00BA1C8E" w:rsidRDefault="0059396E" w:rsidP="00E831E0">
            <w:pPr>
              <w:spacing w:after="0" w:line="240" w:lineRule="auto"/>
              <w:ind w:firstLineChars="100" w:firstLine="240"/>
              <w:rPr>
                <w:rFonts w:ascii="Times New Roman" w:eastAsia="Times New Roman" w:hAnsi="Times New Roman" w:cs="Times New Roman"/>
                <w:color w:val="1A1C1E"/>
                <w:kern w:val="0"/>
                <w:szCs w:val="24"/>
                <w:lang w:eastAsia="en-IN"/>
                <w14:ligatures w14:val="none"/>
              </w:rPr>
            </w:pPr>
            <w:r w:rsidRPr="00BA1C8E">
              <w:rPr>
                <w:rFonts w:ascii="Times New Roman" w:eastAsia="Times New Roman" w:hAnsi="Times New Roman" w:cs="Times New Roman"/>
                <w:color w:val="1A1C1E"/>
                <w:kern w:val="0"/>
                <w:szCs w:val="24"/>
                <w:lang w:eastAsia="en-IN"/>
                <w14:ligatures w14:val="none"/>
              </w:rPr>
              <w:t>*</w:t>
            </w:r>
          </w:p>
        </w:tc>
      </w:tr>
      <w:tr w:rsidR="0059396E" w:rsidRPr="00BA1C8E" w14:paraId="0420158D" w14:textId="77777777" w:rsidTr="006D571E">
        <w:trPr>
          <w:trHeight w:val="300"/>
          <w:jc w:val="center"/>
        </w:trPr>
        <w:tc>
          <w:tcPr>
            <w:tcW w:w="6516" w:type="dxa"/>
            <w:shd w:val="clear" w:color="000000" w:fill="FFFFFF"/>
            <w:vAlign w:val="center"/>
            <w:hideMark/>
          </w:tcPr>
          <w:p w14:paraId="438DD222" w14:textId="77777777" w:rsidR="0059396E" w:rsidRPr="00BA1C8E" w:rsidRDefault="0059396E" w:rsidP="00E831E0">
            <w:pPr>
              <w:spacing w:after="0" w:line="240" w:lineRule="auto"/>
              <w:ind w:firstLineChars="100" w:firstLine="240"/>
              <w:rPr>
                <w:rFonts w:ascii="Times New Roman" w:eastAsia="Times New Roman" w:hAnsi="Times New Roman" w:cs="Times New Roman"/>
                <w:color w:val="1A1C1E"/>
                <w:kern w:val="0"/>
                <w:szCs w:val="24"/>
                <w:lang w:eastAsia="en-IN"/>
                <w14:ligatures w14:val="none"/>
              </w:rPr>
            </w:pPr>
            <w:r w:rsidRPr="00BA1C8E">
              <w:rPr>
                <w:rFonts w:ascii="Times New Roman" w:eastAsia="Times New Roman" w:hAnsi="Times New Roman" w:cs="Times New Roman"/>
                <w:color w:val="1A1C1E"/>
                <w:kern w:val="0"/>
                <w:szCs w:val="24"/>
                <w:lang w:eastAsia="en-IN"/>
                <w14:ligatures w14:val="none"/>
              </w:rPr>
              <w:t>Bihar</w:t>
            </w:r>
          </w:p>
        </w:tc>
        <w:tc>
          <w:tcPr>
            <w:tcW w:w="1843" w:type="dxa"/>
            <w:shd w:val="clear" w:color="000000" w:fill="FFFFFF"/>
            <w:vAlign w:val="center"/>
            <w:hideMark/>
          </w:tcPr>
          <w:p w14:paraId="32C3299C" w14:textId="77777777" w:rsidR="0059396E" w:rsidRPr="00BA1C8E" w:rsidRDefault="0059396E" w:rsidP="00E831E0">
            <w:pPr>
              <w:spacing w:after="0" w:line="240" w:lineRule="auto"/>
              <w:ind w:firstLineChars="100" w:firstLine="240"/>
              <w:rPr>
                <w:rFonts w:ascii="Times New Roman" w:eastAsia="Times New Roman" w:hAnsi="Times New Roman" w:cs="Times New Roman"/>
                <w:color w:val="1A1C1E"/>
                <w:kern w:val="0"/>
                <w:szCs w:val="24"/>
                <w:lang w:eastAsia="en-IN"/>
                <w14:ligatures w14:val="none"/>
              </w:rPr>
            </w:pPr>
            <w:r w:rsidRPr="00BA1C8E">
              <w:rPr>
                <w:rFonts w:ascii="Times New Roman" w:eastAsia="Times New Roman" w:hAnsi="Times New Roman" w:cs="Times New Roman"/>
                <w:color w:val="1A1C1E"/>
                <w:kern w:val="0"/>
                <w:szCs w:val="24"/>
                <w:lang w:eastAsia="en-IN"/>
                <w14:ligatures w14:val="none"/>
              </w:rPr>
              <w:t>100</w:t>
            </w:r>
          </w:p>
        </w:tc>
      </w:tr>
      <w:tr w:rsidR="0059396E" w:rsidRPr="00BA1C8E" w14:paraId="69BF8630" w14:textId="77777777" w:rsidTr="006D571E">
        <w:trPr>
          <w:trHeight w:val="300"/>
          <w:jc w:val="center"/>
        </w:trPr>
        <w:tc>
          <w:tcPr>
            <w:tcW w:w="6516" w:type="dxa"/>
            <w:shd w:val="clear" w:color="000000" w:fill="FFFFFF"/>
            <w:vAlign w:val="center"/>
            <w:hideMark/>
          </w:tcPr>
          <w:p w14:paraId="5DE76776" w14:textId="77777777" w:rsidR="0059396E" w:rsidRPr="00BA1C8E" w:rsidRDefault="0059396E" w:rsidP="00E831E0">
            <w:pPr>
              <w:spacing w:after="0" w:line="240" w:lineRule="auto"/>
              <w:ind w:firstLineChars="100" w:firstLine="240"/>
              <w:rPr>
                <w:rFonts w:ascii="Times New Roman" w:eastAsia="Times New Roman" w:hAnsi="Times New Roman" w:cs="Times New Roman"/>
                <w:color w:val="1A1C1E"/>
                <w:kern w:val="0"/>
                <w:szCs w:val="24"/>
                <w:lang w:eastAsia="en-IN"/>
                <w14:ligatures w14:val="none"/>
              </w:rPr>
            </w:pPr>
            <w:r w:rsidRPr="00BA1C8E">
              <w:rPr>
                <w:rFonts w:ascii="Times New Roman" w:eastAsia="Times New Roman" w:hAnsi="Times New Roman" w:cs="Times New Roman"/>
                <w:color w:val="1A1C1E"/>
                <w:kern w:val="0"/>
                <w:szCs w:val="24"/>
                <w:lang w:eastAsia="en-IN"/>
                <w14:ligatures w14:val="none"/>
              </w:rPr>
              <w:t>Gujarat</w:t>
            </w:r>
          </w:p>
        </w:tc>
        <w:tc>
          <w:tcPr>
            <w:tcW w:w="1843" w:type="dxa"/>
            <w:shd w:val="clear" w:color="000000" w:fill="FFFFFF"/>
            <w:vAlign w:val="center"/>
            <w:hideMark/>
          </w:tcPr>
          <w:p w14:paraId="1178FE46" w14:textId="77777777" w:rsidR="0059396E" w:rsidRPr="00BA1C8E" w:rsidRDefault="0059396E" w:rsidP="00E831E0">
            <w:pPr>
              <w:spacing w:after="0" w:line="240" w:lineRule="auto"/>
              <w:ind w:firstLineChars="100" w:firstLine="240"/>
              <w:rPr>
                <w:rFonts w:ascii="Times New Roman" w:eastAsia="Times New Roman" w:hAnsi="Times New Roman" w:cs="Times New Roman"/>
                <w:color w:val="1A1C1E"/>
                <w:kern w:val="0"/>
                <w:szCs w:val="24"/>
                <w:lang w:eastAsia="en-IN"/>
                <w14:ligatures w14:val="none"/>
              </w:rPr>
            </w:pPr>
            <w:r w:rsidRPr="00BA1C8E">
              <w:rPr>
                <w:rFonts w:ascii="Times New Roman" w:eastAsia="Times New Roman" w:hAnsi="Times New Roman" w:cs="Times New Roman"/>
                <w:color w:val="1A1C1E"/>
                <w:kern w:val="0"/>
                <w:szCs w:val="24"/>
                <w:lang w:eastAsia="en-IN"/>
                <w14:ligatures w14:val="none"/>
              </w:rPr>
              <w:t>116.7</w:t>
            </w:r>
          </w:p>
        </w:tc>
      </w:tr>
      <w:tr w:rsidR="0059396E" w:rsidRPr="00BA1C8E" w14:paraId="7DD7B791" w14:textId="77777777" w:rsidTr="006D571E">
        <w:trPr>
          <w:trHeight w:val="300"/>
          <w:jc w:val="center"/>
        </w:trPr>
        <w:tc>
          <w:tcPr>
            <w:tcW w:w="6516" w:type="dxa"/>
            <w:shd w:val="clear" w:color="000000" w:fill="FFFFFF"/>
            <w:vAlign w:val="center"/>
            <w:hideMark/>
          </w:tcPr>
          <w:p w14:paraId="738BD991" w14:textId="77777777" w:rsidR="0059396E" w:rsidRPr="00BA1C8E" w:rsidRDefault="0059396E" w:rsidP="00E831E0">
            <w:pPr>
              <w:spacing w:after="0" w:line="240" w:lineRule="auto"/>
              <w:ind w:firstLineChars="100" w:firstLine="240"/>
              <w:rPr>
                <w:rFonts w:ascii="Times New Roman" w:eastAsia="Times New Roman" w:hAnsi="Times New Roman" w:cs="Times New Roman"/>
                <w:color w:val="1A1C1E"/>
                <w:kern w:val="0"/>
                <w:szCs w:val="24"/>
                <w:lang w:eastAsia="en-IN"/>
                <w14:ligatures w14:val="none"/>
              </w:rPr>
            </w:pPr>
            <w:r w:rsidRPr="00BA1C8E">
              <w:rPr>
                <w:rFonts w:ascii="Times New Roman" w:eastAsia="Times New Roman" w:hAnsi="Times New Roman" w:cs="Times New Roman"/>
                <w:color w:val="1A1C1E"/>
                <w:kern w:val="0"/>
                <w:szCs w:val="24"/>
                <w:lang w:eastAsia="en-IN"/>
                <w14:ligatures w14:val="none"/>
              </w:rPr>
              <w:t>Haryana</w:t>
            </w:r>
          </w:p>
        </w:tc>
        <w:tc>
          <w:tcPr>
            <w:tcW w:w="1843" w:type="dxa"/>
            <w:shd w:val="clear" w:color="000000" w:fill="FFFFFF"/>
            <w:vAlign w:val="center"/>
            <w:hideMark/>
          </w:tcPr>
          <w:p w14:paraId="572692B9" w14:textId="77777777" w:rsidR="0059396E" w:rsidRPr="00BA1C8E" w:rsidRDefault="0059396E" w:rsidP="00E831E0">
            <w:pPr>
              <w:spacing w:after="0" w:line="240" w:lineRule="auto"/>
              <w:ind w:firstLineChars="100" w:firstLine="240"/>
              <w:rPr>
                <w:rFonts w:ascii="Times New Roman" w:eastAsia="Times New Roman" w:hAnsi="Times New Roman" w:cs="Times New Roman"/>
                <w:color w:val="1A1C1E"/>
                <w:kern w:val="0"/>
                <w:szCs w:val="24"/>
                <w:lang w:eastAsia="en-IN"/>
                <w14:ligatures w14:val="none"/>
              </w:rPr>
            </w:pPr>
            <w:r w:rsidRPr="00BA1C8E">
              <w:rPr>
                <w:rFonts w:ascii="Times New Roman" w:eastAsia="Times New Roman" w:hAnsi="Times New Roman" w:cs="Times New Roman"/>
                <w:color w:val="1A1C1E"/>
                <w:kern w:val="0"/>
                <w:szCs w:val="24"/>
                <w:lang w:eastAsia="en-IN"/>
                <w14:ligatures w14:val="none"/>
              </w:rPr>
              <w:t>30</w:t>
            </w:r>
          </w:p>
        </w:tc>
      </w:tr>
      <w:tr w:rsidR="0059396E" w:rsidRPr="00BA1C8E" w14:paraId="4E7F949D" w14:textId="77777777" w:rsidTr="006D571E">
        <w:trPr>
          <w:trHeight w:val="570"/>
          <w:jc w:val="center"/>
        </w:trPr>
        <w:tc>
          <w:tcPr>
            <w:tcW w:w="6516" w:type="dxa"/>
            <w:shd w:val="clear" w:color="000000" w:fill="FFFFFF"/>
            <w:vAlign w:val="center"/>
            <w:hideMark/>
          </w:tcPr>
          <w:p w14:paraId="57AA3940" w14:textId="77777777" w:rsidR="0059396E" w:rsidRPr="00BA1C8E" w:rsidRDefault="0059396E" w:rsidP="00E831E0">
            <w:pPr>
              <w:spacing w:after="0" w:line="240" w:lineRule="auto"/>
              <w:ind w:firstLineChars="100" w:firstLine="240"/>
              <w:rPr>
                <w:rFonts w:ascii="Times New Roman" w:eastAsia="Times New Roman" w:hAnsi="Times New Roman" w:cs="Times New Roman"/>
                <w:color w:val="1A1C1E"/>
                <w:kern w:val="0"/>
                <w:szCs w:val="24"/>
                <w:lang w:eastAsia="en-IN"/>
                <w14:ligatures w14:val="none"/>
              </w:rPr>
            </w:pPr>
            <w:r w:rsidRPr="00BA1C8E">
              <w:rPr>
                <w:rFonts w:ascii="Times New Roman" w:eastAsia="Times New Roman" w:hAnsi="Times New Roman" w:cs="Times New Roman"/>
                <w:color w:val="1A1C1E"/>
                <w:kern w:val="0"/>
                <w:szCs w:val="24"/>
                <w:lang w:eastAsia="en-IN"/>
                <w14:ligatures w14:val="none"/>
              </w:rPr>
              <w:t>Jammu and Kashmir</w:t>
            </w:r>
          </w:p>
        </w:tc>
        <w:tc>
          <w:tcPr>
            <w:tcW w:w="1843" w:type="dxa"/>
            <w:shd w:val="clear" w:color="000000" w:fill="FFFFFF"/>
            <w:vAlign w:val="center"/>
            <w:hideMark/>
          </w:tcPr>
          <w:p w14:paraId="38632497" w14:textId="77777777" w:rsidR="0059396E" w:rsidRPr="00BA1C8E" w:rsidRDefault="0059396E" w:rsidP="00E831E0">
            <w:pPr>
              <w:spacing w:after="0" w:line="240" w:lineRule="auto"/>
              <w:ind w:firstLineChars="100" w:firstLine="240"/>
              <w:rPr>
                <w:rFonts w:ascii="Times New Roman" w:eastAsia="Times New Roman" w:hAnsi="Times New Roman" w:cs="Times New Roman"/>
                <w:color w:val="1A1C1E"/>
                <w:kern w:val="0"/>
                <w:szCs w:val="24"/>
                <w:lang w:eastAsia="en-IN"/>
                <w14:ligatures w14:val="none"/>
              </w:rPr>
            </w:pPr>
            <w:r w:rsidRPr="00BA1C8E">
              <w:rPr>
                <w:rFonts w:ascii="Times New Roman" w:eastAsia="Times New Roman" w:hAnsi="Times New Roman" w:cs="Times New Roman"/>
                <w:color w:val="1A1C1E"/>
                <w:kern w:val="0"/>
                <w:szCs w:val="24"/>
                <w:lang w:eastAsia="en-IN"/>
                <w14:ligatures w14:val="none"/>
              </w:rPr>
              <w:t>9</w:t>
            </w:r>
          </w:p>
        </w:tc>
      </w:tr>
      <w:tr w:rsidR="0059396E" w:rsidRPr="00BA1C8E" w14:paraId="7F68D517" w14:textId="77777777" w:rsidTr="006D571E">
        <w:trPr>
          <w:trHeight w:val="300"/>
          <w:jc w:val="center"/>
        </w:trPr>
        <w:tc>
          <w:tcPr>
            <w:tcW w:w="6516" w:type="dxa"/>
            <w:shd w:val="clear" w:color="000000" w:fill="FFFFFF"/>
            <w:vAlign w:val="center"/>
            <w:hideMark/>
          </w:tcPr>
          <w:p w14:paraId="0F752A1F" w14:textId="77777777" w:rsidR="0059396E" w:rsidRPr="00BA1C8E" w:rsidRDefault="0059396E" w:rsidP="00E831E0">
            <w:pPr>
              <w:spacing w:after="0" w:line="240" w:lineRule="auto"/>
              <w:ind w:firstLineChars="100" w:firstLine="240"/>
              <w:rPr>
                <w:rFonts w:ascii="Times New Roman" w:eastAsia="Times New Roman" w:hAnsi="Times New Roman" w:cs="Times New Roman"/>
                <w:color w:val="1A1C1E"/>
                <w:kern w:val="0"/>
                <w:szCs w:val="24"/>
                <w:lang w:eastAsia="en-IN"/>
                <w14:ligatures w14:val="none"/>
              </w:rPr>
            </w:pPr>
            <w:r w:rsidRPr="00BA1C8E">
              <w:rPr>
                <w:rFonts w:ascii="Times New Roman" w:eastAsia="Times New Roman" w:hAnsi="Times New Roman" w:cs="Times New Roman"/>
                <w:color w:val="1A1C1E"/>
                <w:kern w:val="0"/>
                <w:szCs w:val="24"/>
                <w:lang w:eastAsia="en-IN"/>
                <w14:ligatures w14:val="none"/>
              </w:rPr>
              <w:t>Kerala</w:t>
            </w:r>
          </w:p>
        </w:tc>
        <w:tc>
          <w:tcPr>
            <w:tcW w:w="1843" w:type="dxa"/>
            <w:shd w:val="clear" w:color="000000" w:fill="FFFFFF"/>
            <w:vAlign w:val="center"/>
            <w:hideMark/>
          </w:tcPr>
          <w:p w14:paraId="1CDDADFF" w14:textId="77777777" w:rsidR="0059396E" w:rsidRPr="00BA1C8E" w:rsidRDefault="0059396E" w:rsidP="00E831E0">
            <w:pPr>
              <w:spacing w:after="0" w:line="240" w:lineRule="auto"/>
              <w:ind w:firstLineChars="100" w:firstLine="240"/>
              <w:rPr>
                <w:rFonts w:ascii="Times New Roman" w:eastAsia="Times New Roman" w:hAnsi="Times New Roman" w:cs="Times New Roman"/>
                <w:color w:val="1A1C1E"/>
                <w:kern w:val="0"/>
                <w:szCs w:val="24"/>
                <w:lang w:eastAsia="en-IN"/>
                <w14:ligatures w14:val="none"/>
              </w:rPr>
            </w:pPr>
            <w:r w:rsidRPr="00BA1C8E">
              <w:rPr>
                <w:rFonts w:ascii="Times New Roman" w:eastAsia="Times New Roman" w:hAnsi="Times New Roman" w:cs="Times New Roman"/>
                <w:color w:val="1A1C1E"/>
                <w:kern w:val="0"/>
                <w:szCs w:val="24"/>
                <w:lang w:eastAsia="en-IN"/>
                <w14:ligatures w14:val="none"/>
              </w:rPr>
              <w:t>60</w:t>
            </w:r>
          </w:p>
        </w:tc>
      </w:tr>
      <w:tr w:rsidR="0059396E" w:rsidRPr="00BA1C8E" w14:paraId="701FA3A5" w14:textId="77777777" w:rsidTr="006D571E">
        <w:trPr>
          <w:trHeight w:val="300"/>
          <w:jc w:val="center"/>
        </w:trPr>
        <w:tc>
          <w:tcPr>
            <w:tcW w:w="6516" w:type="dxa"/>
            <w:shd w:val="clear" w:color="000000" w:fill="FFFFFF"/>
            <w:vAlign w:val="center"/>
            <w:hideMark/>
          </w:tcPr>
          <w:p w14:paraId="73C3E22A" w14:textId="77777777" w:rsidR="0059396E" w:rsidRPr="00BA1C8E" w:rsidRDefault="0059396E" w:rsidP="00E831E0">
            <w:pPr>
              <w:spacing w:after="0" w:line="240" w:lineRule="auto"/>
              <w:ind w:firstLineChars="100" w:firstLine="240"/>
              <w:rPr>
                <w:rFonts w:ascii="Times New Roman" w:eastAsia="Times New Roman" w:hAnsi="Times New Roman" w:cs="Times New Roman"/>
                <w:color w:val="1A1C1E"/>
                <w:kern w:val="0"/>
                <w:szCs w:val="24"/>
                <w:lang w:eastAsia="en-IN"/>
                <w14:ligatures w14:val="none"/>
              </w:rPr>
            </w:pPr>
            <w:r w:rsidRPr="00BA1C8E">
              <w:rPr>
                <w:rFonts w:ascii="Times New Roman" w:eastAsia="Times New Roman" w:hAnsi="Times New Roman" w:cs="Times New Roman"/>
                <w:color w:val="1A1C1E"/>
                <w:kern w:val="0"/>
                <w:szCs w:val="24"/>
                <w:lang w:eastAsia="en-IN"/>
                <w14:ligatures w14:val="none"/>
              </w:rPr>
              <w:t>Madhya Pradesh</w:t>
            </w:r>
          </w:p>
        </w:tc>
        <w:tc>
          <w:tcPr>
            <w:tcW w:w="1843" w:type="dxa"/>
            <w:shd w:val="clear" w:color="000000" w:fill="FFFFFF"/>
            <w:vAlign w:val="center"/>
            <w:hideMark/>
          </w:tcPr>
          <w:p w14:paraId="3CC86D8E" w14:textId="77777777" w:rsidR="0059396E" w:rsidRPr="00BA1C8E" w:rsidRDefault="0059396E" w:rsidP="00E831E0">
            <w:pPr>
              <w:spacing w:after="0" w:line="240" w:lineRule="auto"/>
              <w:ind w:firstLineChars="100" w:firstLine="240"/>
              <w:rPr>
                <w:rFonts w:ascii="Times New Roman" w:eastAsia="Times New Roman" w:hAnsi="Times New Roman" w:cs="Times New Roman"/>
                <w:color w:val="1A1C1E"/>
                <w:kern w:val="0"/>
                <w:szCs w:val="24"/>
                <w:lang w:eastAsia="en-IN"/>
                <w14:ligatures w14:val="none"/>
              </w:rPr>
            </w:pPr>
            <w:r w:rsidRPr="00BA1C8E">
              <w:rPr>
                <w:rFonts w:ascii="Times New Roman" w:eastAsia="Times New Roman" w:hAnsi="Times New Roman" w:cs="Times New Roman"/>
                <w:color w:val="1A1C1E"/>
                <w:kern w:val="0"/>
                <w:szCs w:val="24"/>
                <w:lang w:eastAsia="en-IN"/>
                <w14:ligatures w14:val="none"/>
              </w:rPr>
              <w:t>100</w:t>
            </w:r>
          </w:p>
        </w:tc>
      </w:tr>
      <w:tr w:rsidR="0059396E" w:rsidRPr="00BA1C8E" w14:paraId="29AE89D5" w14:textId="77777777" w:rsidTr="006D571E">
        <w:trPr>
          <w:trHeight w:val="300"/>
          <w:jc w:val="center"/>
        </w:trPr>
        <w:tc>
          <w:tcPr>
            <w:tcW w:w="6516" w:type="dxa"/>
            <w:shd w:val="clear" w:color="000000" w:fill="FFFFFF"/>
            <w:vAlign w:val="center"/>
            <w:hideMark/>
          </w:tcPr>
          <w:p w14:paraId="08D5E097" w14:textId="77777777" w:rsidR="0059396E" w:rsidRPr="00BA1C8E" w:rsidRDefault="0059396E" w:rsidP="00E831E0">
            <w:pPr>
              <w:spacing w:after="0" w:line="240" w:lineRule="auto"/>
              <w:ind w:firstLineChars="100" w:firstLine="240"/>
              <w:rPr>
                <w:rFonts w:ascii="Times New Roman" w:eastAsia="Times New Roman" w:hAnsi="Times New Roman" w:cs="Times New Roman"/>
                <w:color w:val="1A1C1E"/>
                <w:kern w:val="0"/>
                <w:szCs w:val="24"/>
                <w:lang w:eastAsia="en-IN"/>
                <w14:ligatures w14:val="none"/>
              </w:rPr>
            </w:pPr>
            <w:r w:rsidRPr="00BA1C8E">
              <w:rPr>
                <w:rFonts w:ascii="Times New Roman" w:eastAsia="Times New Roman" w:hAnsi="Times New Roman" w:cs="Times New Roman"/>
                <w:color w:val="1A1C1E"/>
                <w:kern w:val="0"/>
                <w:szCs w:val="24"/>
                <w:lang w:eastAsia="en-IN"/>
                <w14:ligatures w14:val="none"/>
              </w:rPr>
              <w:t>Maharashtra</w:t>
            </w:r>
          </w:p>
        </w:tc>
        <w:tc>
          <w:tcPr>
            <w:tcW w:w="1843" w:type="dxa"/>
            <w:shd w:val="clear" w:color="000000" w:fill="FFFFFF"/>
            <w:vAlign w:val="center"/>
            <w:hideMark/>
          </w:tcPr>
          <w:p w14:paraId="1015A6D9" w14:textId="77777777" w:rsidR="0059396E" w:rsidRPr="00BA1C8E" w:rsidRDefault="0059396E" w:rsidP="00E831E0">
            <w:pPr>
              <w:spacing w:after="0" w:line="240" w:lineRule="auto"/>
              <w:ind w:firstLineChars="100" w:firstLine="240"/>
              <w:rPr>
                <w:rFonts w:ascii="Times New Roman" w:eastAsia="Times New Roman" w:hAnsi="Times New Roman" w:cs="Times New Roman"/>
                <w:color w:val="1A1C1E"/>
                <w:kern w:val="0"/>
                <w:szCs w:val="24"/>
                <w:lang w:eastAsia="en-IN"/>
                <w14:ligatures w14:val="none"/>
              </w:rPr>
            </w:pPr>
            <w:r w:rsidRPr="00BA1C8E">
              <w:rPr>
                <w:rFonts w:ascii="Times New Roman" w:eastAsia="Times New Roman" w:hAnsi="Times New Roman" w:cs="Times New Roman"/>
                <w:color w:val="1A1C1E"/>
                <w:kern w:val="0"/>
                <w:szCs w:val="24"/>
                <w:lang w:eastAsia="en-IN"/>
                <w14:ligatures w14:val="none"/>
              </w:rPr>
              <w:t>50</w:t>
            </w:r>
          </w:p>
        </w:tc>
      </w:tr>
      <w:tr w:rsidR="0059396E" w:rsidRPr="00BA1C8E" w14:paraId="01A34CAD" w14:textId="77777777" w:rsidTr="006D571E">
        <w:trPr>
          <w:trHeight w:val="300"/>
          <w:jc w:val="center"/>
        </w:trPr>
        <w:tc>
          <w:tcPr>
            <w:tcW w:w="6516" w:type="dxa"/>
            <w:shd w:val="clear" w:color="000000" w:fill="FFFFFF"/>
            <w:vAlign w:val="center"/>
            <w:hideMark/>
          </w:tcPr>
          <w:p w14:paraId="27EA704B" w14:textId="77777777" w:rsidR="0059396E" w:rsidRPr="00BA1C8E" w:rsidRDefault="0059396E" w:rsidP="00E831E0">
            <w:pPr>
              <w:spacing w:after="0" w:line="240" w:lineRule="auto"/>
              <w:ind w:firstLineChars="100" w:firstLine="240"/>
              <w:rPr>
                <w:rFonts w:ascii="Times New Roman" w:eastAsia="Times New Roman" w:hAnsi="Times New Roman" w:cs="Times New Roman"/>
                <w:color w:val="1A1C1E"/>
                <w:kern w:val="0"/>
                <w:szCs w:val="24"/>
                <w:lang w:eastAsia="en-IN"/>
                <w14:ligatures w14:val="none"/>
              </w:rPr>
            </w:pPr>
            <w:r w:rsidRPr="00BA1C8E">
              <w:rPr>
                <w:rFonts w:ascii="Times New Roman" w:eastAsia="Times New Roman" w:hAnsi="Times New Roman" w:cs="Times New Roman"/>
                <w:color w:val="1A1C1E"/>
                <w:kern w:val="0"/>
                <w:szCs w:val="24"/>
                <w:lang w:eastAsia="en-IN"/>
                <w14:ligatures w14:val="none"/>
              </w:rPr>
              <w:t>Mysore</w:t>
            </w:r>
          </w:p>
        </w:tc>
        <w:tc>
          <w:tcPr>
            <w:tcW w:w="1843" w:type="dxa"/>
            <w:shd w:val="clear" w:color="000000" w:fill="FFFFFF"/>
            <w:vAlign w:val="center"/>
            <w:hideMark/>
          </w:tcPr>
          <w:p w14:paraId="67E2C4C3" w14:textId="77777777" w:rsidR="0059396E" w:rsidRPr="00BA1C8E" w:rsidRDefault="0059396E" w:rsidP="00E831E0">
            <w:pPr>
              <w:spacing w:after="0" w:line="240" w:lineRule="auto"/>
              <w:ind w:firstLineChars="100" w:firstLine="240"/>
              <w:rPr>
                <w:rFonts w:ascii="Times New Roman" w:eastAsia="Times New Roman" w:hAnsi="Times New Roman" w:cs="Times New Roman"/>
                <w:color w:val="1A1C1E"/>
                <w:kern w:val="0"/>
                <w:szCs w:val="24"/>
                <w:lang w:eastAsia="en-IN"/>
                <w14:ligatures w14:val="none"/>
              </w:rPr>
            </w:pPr>
            <w:r w:rsidRPr="00BA1C8E">
              <w:rPr>
                <w:rFonts w:ascii="Times New Roman" w:eastAsia="Times New Roman" w:hAnsi="Times New Roman" w:cs="Times New Roman"/>
                <w:color w:val="1A1C1E"/>
                <w:kern w:val="0"/>
                <w:szCs w:val="24"/>
                <w:lang w:eastAsia="en-IN"/>
                <w14:ligatures w14:val="none"/>
              </w:rPr>
              <w:t>50</w:t>
            </w:r>
          </w:p>
        </w:tc>
      </w:tr>
      <w:tr w:rsidR="0059396E" w:rsidRPr="00BA1C8E" w14:paraId="5ED8A8D5" w14:textId="77777777" w:rsidTr="006D571E">
        <w:trPr>
          <w:trHeight w:val="300"/>
          <w:jc w:val="center"/>
        </w:trPr>
        <w:tc>
          <w:tcPr>
            <w:tcW w:w="6516" w:type="dxa"/>
            <w:shd w:val="clear" w:color="000000" w:fill="FFFFFF"/>
            <w:vAlign w:val="center"/>
            <w:hideMark/>
          </w:tcPr>
          <w:p w14:paraId="70C14889" w14:textId="77777777" w:rsidR="0059396E" w:rsidRPr="00BA1C8E" w:rsidRDefault="0059396E" w:rsidP="00E831E0">
            <w:pPr>
              <w:spacing w:after="0" w:line="240" w:lineRule="auto"/>
              <w:ind w:firstLineChars="100" w:firstLine="240"/>
              <w:rPr>
                <w:rFonts w:ascii="Times New Roman" w:eastAsia="Times New Roman" w:hAnsi="Times New Roman" w:cs="Times New Roman"/>
                <w:color w:val="1A1C1E"/>
                <w:kern w:val="0"/>
                <w:szCs w:val="24"/>
                <w:lang w:eastAsia="en-IN"/>
                <w14:ligatures w14:val="none"/>
              </w:rPr>
            </w:pPr>
            <w:r w:rsidRPr="00BA1C8E">
              <w:rPr>
                <w:rFonts w:ascii="Times New Roman" w:eastAsia="Times New Roman" w:hAnsi="Times New Roman" w:cs="Times New Roman"/>
                <w:color w:val="1A1C1E"/>
                <w:kern w:val="0"/>
                <w:szCs w:val="24"/>
                <w:lang w:eastAsia="en-IN"/>
                <w14:ligatures w14:val="none"/>
              </w:rPr>
              <w:t>Nagaland</w:t>
            </w:r>
          </w:p>
        </w:tc>
        <w:tc>
          <w:tcPr>
            <w:tcW w:w="1843" w:type="dxa"/>
            <w:shd w:val="clear" w:color="000000" w:fill="FFFFFF"/>
            <w:vAlign w:val="center"/>
            <w:hideMark/>
          </w:tcPr>
          <w:p w14:paraId="420898BF" w14:textId="77777777" w:rsidR="0059396E" w:rsidRPr="00BA1C8E" w:rsidRDefault="0059396E" w:rsidP="00E831E0">
            <w:pPr>
              <w:spacing w:after="0" w:line="240" w:lineRule="auto"/>
              <w:ind w:firstLineChars="100" w:firstLine="240"/>
              <w:rPr>
                <w:rFonts w:ascii="Times New Roman" w:eastAsia="Times New Roman" w:hAnsi="Times New Roman" w:cs="Times New Roman"/>
                <w:color w:val="1A1C1E"/>
                <w:kern w:val="0"/>
                <w:szCs w:val="24"/>
                <w:lang w:eastAsia="en-IN"/>
                <w14:ligatures w14:val="none"/>
              </w:rPr>
            </w:pPr>
            <w:r w:rsidRPr="00BA1C8E">
              <w:rPr>
                <w:rFonts w:ascii="Times New Roman" w:eastAsia="Times New Roman" w:hAnsi="Times New Roman" w:cs="Times New Roman"/>
                <w:color w:val="1A1C1E"/>
                <w:kern w:val="0"/>
                <w:szCs w:val="24"/>
                <w:lang w:eastAsia="en-IN"/>
                <w14:ligatures w14:val="none"/>
              </w:rPr>
              <w:t>..</w:t>
            </w:r>
          </w:p>
        </w:tc>
      </w:tr>
      <w:tr w:rsidR="0059396E" w:rsidRPr="00BA1C8E" w14:paraId="5448EB06" w14:textId="77777777" w:rsidTr="006D571E">
        <w:trPr>
          <w:trHeight w:val="300"/>
          <w:jc w:val="center"/>
        </w:trPr>
        <w:tc>
          <w:tcPr>
            <w:tcW w:w="6516" w:type="dxa"/>
            <w:shd w:val="clear" w:color="000000" w:fill="FFFFFF"/>
            <w:vAlign w:val="center"/>
            <w:hideMark/>
          </w:tcPr>
          <w:p w14:paraId="38D1DE3A" w14:textId="77777777" w:rsidR="0059396E" w:rsidRPr="00BA1C8E" w:rsidRDefault="0059396E" w:rsidP="00E831E0">
            <w:pPr>
              <w:spacing w:after="0" w:line="240" w:lineRule="auto"/>
              <w:ind w:firstLineChars="100" w:firstLine="240"/>
              <w:rPr>
                <w:rFonts w:ascii="Times New Roman" w:eastAsia="Times New Roman" w:hAnsi="Times New Roman" w:cs="Times New Roman"/>
                <w:color w:val="1A1C1E"/>
                <w:kern w:val="0"/>
                <w:szCs w:val="24"/>
                <w:lang w:eastAsia="en-IN"/>
                <w14:ligatures w14:val="none"/>
              </w:rPr>
            </w:pPr>
            <w:r w:rsidRPr="00BA1C8E">
              <w:rPr>
                <w:rFonts w:ascii="Times New Roman" w:eastAsia="Times New Roman" w:hAnsi="Times New Roman" w:cs="Times New Roman"/>
                <w:color w:val="1A1C1E"/>
                <w:kern w:val="0"/>
                <w:szCs w:val="24"/>
                <w:lang w:eastAsia="en-IN"/>
                <w14:ligatures w14:val="none"/>
              </w:rPr>
              <w:t>Orissa</w:t>
            </w:r>
          </w:p>
        </w:tc>
        <w:tc>
          <w:tcPr>
            <w:tcW w:w="1843" w:type="dxa"/>
            <w:shd w:val="clear" w:color="000000" w:fill="FFFFFF"/>
            <w:vAlign w:val="center"/>
            <w:hideMark/>
          </w:tcPr>
          <w:p w14:paraId="664731A8" w14:textId="77777777" w:rsidR="0059396E" w:rsidRPr="00BA1C8E" w:rsidRDefault="0059396E" w:rsidP="00E831E0">
            <w:pPr>
              <w:spacing w:after="0" w:line="240" w:lineRule="auto"/>
              <w:ind w:firstLineChars="100" w:firstLine="240"/>
              <w:rPr>
                <w:rFonts w:ascii="Times New Roman" w:eastAsia="Times New Roman" w:hAnsi="Times New Roman" w:cs="Times New Roman"/>
                <w:color w:val="1A1C1E"/>
                <w:kern w:val="0"/>
                <w:szCs w:val="24"/>
                <w:lang w:eastAsia="en-IN"/>
                <w14:ligatures w14:val="none"/>
              </w:rPr>
            </w:pPr>
            <w:r w:rsidRPr="00BA1C8E">
              <w:rPr>
                <w:rFonts w:ascii="Times New Roman" w:eastAsia="Times New Roman" w:hAnsi="Times New Roman" w:cs="Times New Roman"/>
                <w:color w:val="1A1C1E"/>
                <w:kern w:val="0"/>
                <w:szCs w:val="24"/>
                <w:lang w:eastAsia="en-IN"/>
                <w14:ligatures w14:val="none"/>
              </w:rPr>
              <w:t>35</w:t>
            </w:r>
          </w:p>
        </w:tc>
      </w:tr>
      <w:tr w:rsidR="0059396E" w:rsidRPr="00BA1C8E" w14:paraId="7109659C" w14:textId="77777777" w:rsidTr="006D571E">
        <w:trPr>
          <w:trHeight w:val="300"/>
          <w:jc w:val="center"/>
        </w:trPr>
        <w:tc>
          <w:tcPr>
            <w:tcW w:w="6516" w:type="dxa"/>
            <w:shd w:val="clear" w:color="000000" w:fill="FFFFFF"/>
            <w:vAlign w:val="center"/>
            <w:hideMark/>
          </w:tcPr>
          <w:p w14:paraId="0C6D1BBA" w14:textId="77777777" w:rsidR="0059396E" w:rsidRPr="00BA1C8E" w:rsidRDefault="0059396E" w:rsidP="00E831E0">
            <w:pPr>
              <w:spacing w:after="0" w:line="240" w:lineRule="auto"/>
              <w:ind w:firstLineChars="100" w:firstLine="240"/>
              <w:rPr>
                <w:rFonts w:ascii="Times New Roman" w:eastAsia="Times New Roman" w:hAnsi="Times New Roman" w:cs="Times New Roman"/>
                <w:color w:val="1A1C1E"/>
                <w:kern w:val="0"/>
                <w:szCs w:val="24"/>
                <w:lang w:eastAsia="en-IN"/>
                <w14:ligatures w14:val="none"/>
              </w:rPr>
            </w:pPr>
            <w:r w:rsidRPr="00BA1C8E">
              <w:rPr>
                <w:rFonts w:ascii="Times New Roman" w:eastAsia="Times New Roman" w:hAnsi="Times New Roman" w:cs="Times New Roman"/>
                <w:color w:val="1A1C1E"/>
                <w:kern w:val="0"/>
                <w:szCs w:val="24"/>
                <w:lang w:eastAsia="en-IN"/>
                <w14:ligatures w14:val="none"/>
              </w:rPr>
              <w:t>Punjab</w:t>
            </w:r>
          </w:p>
        </w:tc>
        <w:tc>
          <w:tcPr>
            <w:tcW w:w="1843" w:type="dxa"/>
            <w:shd w:val="clear" w:color="000000" w:fill="FFFFFF"/>
            <w:vAlign w:val="center"/>
            <w:hideMark/>
          </w:tcPr>
          <w:p w14:paraId="50CD5A2E" w14:textId="77777777" w:rsidR="0059396E" w:rsidRPr="00BA1C8E" w:rsidRDefault="0059396E" w:rsidP="00E831E0">
            <w:pPr>
              <w:spacing w:after="0" w:line="240" w:lineRule="auto"/>
              <w:ind w:firstLineChars="100" w:firstLine="240"/>
              <w:rPr>
                <w:rFonts w:ascii="Times New Roman" w:eastAsia="Times New Roman" w:hAnsi="Times New Roman" w:cs="Times New Roman"/>
                <w:color w:val="1A1C1E"/>
                <w:kern w:val="0"/>
                <w:szCs w:val="24"/>
                <w:lang w:eastAsia="en-IN"/>
                <w14:ligatures w14:val="none"/>
              </w:rPr>
            </w:pPr>
            <w:r w:rsidRPr="00BA1C8E">
              <w:rPr>
                <w:rFonts w:ascii="Times New Roman" w:eastAsia="Times New Roman" w:hAnsi="Times New Roman" w:cs="Times New Roman"/>
                <w:color w:val="1A1C1E"/>
                <w:kern w:val="0"/>
                <w:szCs w:val="24"/>
                <w:lang w:eastAsia="en-IN"/>
                <w14:ligatures w14:val="none"/>
              </w:rPr>
              <w:t>78</w:t>
            </w:r>
          </w:p>
        </w:tc>
      </w:tr>
      <w:tr w:rsidR="0059396E" w:rsidRPr="00BA1C8E" w14:paraId="69FBD8BF" w14:textId="77777777" w:rsidTr="006D571E">
        <w:trPr>
          <w:trHeight w:val="300"/>
          <w:jc w:val="center"/>
        </w:trPr>
        <w:tc>
          <w:tcPr>
            <w:tcW w:w="6516" w:type="dxa"/>
            <w:shd w:val="clear" w:color="000000" w:fill="FFFFFF"/>
            <w:vAlign w:val="center"/>
            <w:hideMark/>
          </w:tcPr>
          <w:p w14:paraId="108BF5C7" w14:textId="77777777" w:rsidR="0059396E" w:rsidRPr="00BA1C8E" w:rsidRDefault="0059396E" w:rsidP="00E831E0">
            <w:pPr>
              <w:spacing w:after="0" w:line="240" w:lineRule="auto"/>
              <w:ind w:firstLineChars="100" w:firstLine="240"/>
              <w:rPr>
                <w:rFonts w:ascii="Times New Roman" w:eastAsia="Times New Roman" w:hAnsi="Times New Roman" w:cs="Times New Roman"/>
                <w:color w:val="1A1C1E"/>
                <w:kern w:val="0"/>
                <w:szCs w:val="24"/>
                <w:lang w:eastAsia="en-IN"/>
                <w14:ligatures w14:val="none"/>
              </w:rPr>
            </w:pPr>
            <w:r w:rsidRPr="00BA1C8E">
              <w:rPr>
                <w:rFonts w:ascii="Times New Roman" w:eastAsia="Times New Roman" w:hAnsi="Times New Roman" w:cs="Times New Roman"/>
                <w:color w:val="1A1C1E"/>
                <w:kern w:val="0"/>
                <w:szCs w:val="24"/>
                <w:lang w:eastAsia="en-IN"/>
                <w14:ligatures w14:val="none"/>
              </w:rPr>
              <w:t>Rajasthan</w:t>
            </w:r>
          </w:p>
        </w:tc>
        <w:tc>
          <w:tcPr>
            <w:tcW w:w="1843" w:type="dxa"/>
            <w:shd w:val="clear" w:color="000000" w:fill="FFFFFF"/>
            <w:vAlign w:val="center"/>
            <w:hideMark/>
          </w:tcPr>
          <w:p w14:paraId="6460A08B" w14:textId="77777777" w:rsidR="0059396E" w:rsidRPr="00BA1C8E" w:rsidRDefault="0059396E" w:rsidP="00E831E0">
            <w:pPr>
              <w:spacing w:after="0" w:line="240" w:lineRule="auto"/>
              <w:ind w:firstLineChars="100" w:firstLine="240"/>
              <w:rPr>
                <w:rFonts w:ascii="Times New Roman" w:eastAsia="Times New Roman" w:hAnsi="Times New Roman" w:cs="Times New Roman"/>
                <w:color w:val="1A1C1E"/>
                <w:kern w:val="0"/>
                <w:szCs w:val="24"/>
                <w:lang w:eastAsia="en-IN"/>
                <w14:ligatures w14:val="none"/>
              </w:rPr>
            </w:pPr>
            <w:r w:rsidRPr="00BA1C8E">
              <w:rPr>
                <w:rFonts w:ascii="Times New Roman" w:eastAsia="Times New Roman" w:hAnsi="Times New Roman" w:cs="Times New Roman"/>
                <w:color w:val="1A1C1E"/>
                <w:kern w:val="0"/>
                <w:szCs w:val="24"/>
                <w:lang w:eastAsia="en-IN"/>
                <w14:ligatures w14:val="none"/>
              </w:rPr>
              <w:t>40</w:t>
            </w:r>
          </w:p>
        </w:tc>
      </w:tr>
      <w:tr w:rsidR="0059396E" w:rsidRPr="00BA1C8E" w14:paraId="049CFF78" w14:textId="77777777" w:rsidTr="006D571E">
        <w:trPr>
          <w:trHeight w:val="300"/>
          <w:jc w:val="center"/>
        </w:trPr>
        <w:tc>
          <w:tcPr>
            <w:tcW w:w="6516" w:type="dxa"/>
            <w:shd w:val="clear" w:color="000000" w:fill="FFFFFF"/>
            <w:vAlign w:val="center"/>
            <w:hideMark/>
          </w:tcPr>
          <w:p w14:paraId="7DB718EF" w14:textId="77777777" w:rsidR="0059396E" w:rsidRPr="00BA1C8E" w:rsidRDefault="0059396E" w:rsidP="00E831E0">
            <w:pPr>
              <w:spacing w:after="0" w:line="240" w:lineRule="auto"/>
              <w:ind w:firstLineChars="100" w:firstLine="240"/>
              <w:rPr>
                <w:rFonts w:ascii="Times New Roman" w:eastAsia="Times New Roman" w:hAnsi="Times New Roman" w:cs="Times New Roman"/>
                <w:color w:val="1A1C1E"/>
                <w:kern w:val="0"/>
                <w:szCs w:val="24"/>
                <w:lang w:eastAsia="en-IN"/>
                <w14:ligatures w14:val="none"/>
              </w:rPr>
            </w:pPr>
            <w:r w:rsidRPr="00BA1C8E">
              <w:rPr>
                <w:rFonts w:ascii="Times New Roman" w:eastAsia="Times New Roman" w:hAnsi="Times New Roman" w:cs="Times New Roman"/>
                <w:color w:val="1A1C1E"/>
                <w:kern w:val="0"/>
                <w:szCs w:val="24"/>
                <w:lang w:eastAsia="en-IN"/>
                <w14:ligatures w14:val="none"/>
              </w:rPr>
              <w:t>Tamil Nadu</w:t>
            </w:r>
          </w:p>
        </w:tc>
        <w:tc>
          <w:tcPr>
            <w:tcW w:w="1843" w:type="dxa"/>
            <w:shd w:val="clear" w:color="000000" w:fill="FFFFFF"/>
            <w:vAlign w:val="center"/>
            <w:hideMark/>
          </w:tcPr>
          <w:p w14:paraId="74448B32" w14:textId="77777777" w:rsidR="0059396E" w:rsidRPr="00BA1C8E" w:rsidRDefault="0059396E" w:rsidP="00E831E0">
            <w:pPr>
              <w:spacing w:after="0" w:line="240" w:lineRule="auto"/>
              <w:ind w:firstLineChars="100" w:firstLine="240"/>
              <w:rPr>
                <w:rFonts w:ascii="Times New Roman" w:eastAsia="Times New Roman" w:hAnsi="Times New Roman" w:cs="Times New Roman"/>
                <w:color w:val="1A1C1E"/>
                <w:kern w:val="0"/>
                <w:szCs w:val="24"/>
                <w:lang w:eastAsia="en-IN"/>
                <w14:ligatures w14:val="none"/>
              </w:rPr>
            </w:pPr>
            <w:r w:rsidRPr="00BA1C8E">
              <w:rPr>
                <w:rFonts w:ascii="Times New Roman" w:eastAsia="Times New Roman" w:hAnsi="Times New Roman" w:cs="Times New Roman"/>
                <w:color w:val="1A1C1E"/>
                <w:kern w:val="0"/>
                <w:szCs w:val="24"/>
                <w:lang w:eastAsia="en-IN"/>
                <w14:ligatures w14:val="none"/>
              </w:rPr>
              <w:t>85</w:t>
            </w:r>
          </w:p>
        </w:tc>
      </w:tr>
      <w:tr w:rsidR="0059396E" w:rsidRPr="00BA1C8E" w14:paraId="1A48CE02" w14:textId="77777777" w:rsidTr="006D571E">
        <w:trPr>
          <w:trHeight w:val="300"/>
          <w:jc w:val="center"/>
        </w:trPr>
        <w:tc>
          <w:tcPr>
            <w:tcW w:w="6516" w:type="dxa"/>
            <w:shd w:val="clear" w:color="000000" w:fill="FFFFFF"/>
            <w:vAlign w:val="center"/>
            <w:hideMark/>
          </w:tcPr>
          <w:p w14:paraId="16014D47" w14:textId="77777777" w:rsidR="0059396E" w:rsidRPr="00BA1C8E" w:rsidRDefault="0059396E" w:rsidP="00E831E0">
            <w:pPr>
              <w:spacing w:after="0" w:line="240" w:lineRule="auto"/>
              <w:ind w:firstLineChars="100" w:firstLine="240"/>
              <w:rPr>
                <w:rFonts w:ascii="Times New Roman" w:eastAsia="Times New Roman" w:hAnsi="Times New Roman" w:cs="Times New Roman"/>
                <w:color w:val="1A1C1E"/>
                <w:kern w:val="0"/>
                <w:szCs w:val="24"/>
                <w:lang w:eastAsia="en-IN"/>
                <w14:ligatures w14:val="none"/>
              </w:rPr>
            </w:pPr>
            <w:r w:rsidRPr="00BA1C8E">
              <w:rPr>
                <w:rFonts w:ascii="Times New Roman" w:eastAsia="Times New Roman" w:hAnsi="Times New Roman" w:cs="Times New Roman"/>
                <w:color w:val="1A1C1E"/>
                <w:kern w:val="0"/>
                <w:szCs w:val="24"/>
                <w:lang w:eastAsia="en-IN"/>
                <w14:ligatures w14:val="none"/>
              </w:rPr>
              <w:t>Uttar Pradesh</w:t>
            </w:r>
          </w:p>
        </w:tc>
        <w:tc>
          <w:tcPr>
            <w:tcW w:w="1843" w:type="dxa"/>
            <w:shd w:val="clear" w:color="000000" w:fill="FFFFFF"/>
            <w:vAlign w:val="center"/>
            <w:hideMark/>
          </w:tcPr>
          <w:p w14:paraId="4AFE567D" w14:textId="77777777" w:rsidR="0059396E" w:rsidRPr="00BA1C8E" w:rsidRDefault="0059396E" w:rsidP="00E831E0">
            <w:pPr>
              <w:spacing w:after="0" w:line="240" w:lineRule="auto"/>
              <w:ind w:firstLineChars="100" w:firstLine="240"/>
              <w:rPr>
                <w:rFonts w:ascii="Times New Roman" w:eastAsia="Times New Roman" w:hAnsi="Times New Roman" w:cs="Times New Roman"/>
                <w:color w:val="1A1C1E"/>
                <w:kern w:val="0"/>
                <w:szCs w:val="24"/>
                <w:lang w:eastAsia="en-IN"/>
                <w14:ligatures w14:val="none"/>
              </w:rPr>
            </w:pPr>
            <w:r w:rsidRPr="00BA1C8E">
              <w:rPr>
                <w:rFonts w:ascii="Times New Roman" w:eastAsia="Times New Roman" w:hAnsi="Times New Roman" w:cs="Times New Roman"/>
                <w:color w:val="1A1C1E"/>
                <w:kern w:val="0"/>
                <w:szCs w:val="24"/>
                <w:lang w:eastAsia="en-IN"/>
                <w14:ligatures w14:val="none"/>
              </w:rPr>
              <w:t>175</w:t>
            </w:r>
          </w:p>
        </w:tc>
      </w:tr>
      <w:tr w:rsidR="0059396E" w:rsidRPr="00BA1C8E" w14:paraId="75856DBA" w14:textId="77777777" w:rsidTr="006D571E">
        <w:trPr>
          <w:trHeight w:val="300"/>
          <w:jc w:val="center"/>
        </w:trPr>
        <w:tc>
          <w:tcPr>
            <w:tcW w:w="6516" w:type="dxa"/>
            <w:shd w:val="clear" w:color="000000" w:fill="FFFFFF"/>
            <w:vAlign w:val="center"/>
            <w:hideMark/>
          </w:tcPr>
          <w:p w14:paraId="7613D8F9" w14:textId="77777777" w:rsidR="0059396E" w:rsidRPr="00BA1C8E" w:rsidRDefault="0059396E" w:rsidP="00E831E0">
            <w:pPr>
              <w:spacing w:after="0" w:line="240" w:lineRule="auto"/>
              <w:ind w:firstLineChars="100" w:firstLine="240"/>
              <w:rPr>
                <w:rFonts w:ascii="Times New Roman" w:eastAsia="Times New Roman" w:hAnsi="Times New Roman" w:cs="Times New Roman"/>
                <w:color w:val="1A1C1E"/>
                <w:kern w:val="0"/>
                <w:szCs w:val="24"/>
                <w:lang w:eastAsia="en-IN"/>
                <w14:ligatures w14:val="none"/>
              </w:rPr>
            </w:pPr>
            <w:r w:rsidRPr="00BA1C8E">
              <w:rPr>
                <w:rFonts w:ascii="Times New Roman" w:eastAsia="Times New Roman" w:hAnsi="Times New Roman" w:cs="Times New Roman"/>
                <w:color w:val="1A1C1E"/>
                <w:kern w:val="0"/>
                <w:szCs w:val="24"/>
                <w:lang w:eastAsia="en-IN"/>
                <w14:ligatures w14:val="none"/>
              </w:rPr>
              <w:t>West Bengal</w:t>
            </w:r>
          </w:p>
        </w:tc>
        <w:tc>
          <w:tcPr>
            <w:tcW w:w="1843" w:type="dxa"/>
            <w:shd w:val="clear" w:color="000000" w:fill="FFFFFF"/>
            <w:vAlign w:val="center"/>
            <w:hideMark/>
          </w:tcPr>
          <w:p w14:paraId="7277B5C6" w14:textId="77777777" w:rsidR="0059396E" w:rsidRPr="00BA1C8E" w:rsidRDefault="0059396E" w:rsidP="00E831E0">
            <w:pPr>
              <w:spacing w:after="0" w:line="240" w:lineRule="auto"/>
              <w:ind w:firstLineChars="100" w:firstLine="240"/>
              <w:rPr>
                <w:rFonts w:ascii="Times New Roman" w:eastAsia="Times New Roman" w:hAnsi="Times New Roman" w:cs="Times New Roman"/>
                <w:color w:val="1A1C1E"/>
                <w:kern w:val="0"/>
                <w:szCs w:val="24"/>
                <w:lang w:eastAsia="en-IN"/>
                <w14:ligatures w14:val="none"/>
              </w:rPr>
            </w:pPr>
            <w:r w:rsidRPr="00BA1C8E">
              <w:rPr>
                <w:rFonts w:ascii="Times New Roman" w:eastAsia="Times New Roman" w:hAnsi="Times New Roman" w:cs="Times New Roman"/>
                <w:color w:val="1A1C1E"/>
                <w:kern w:val="0"/>
                <w:szCs w:val="24"/>
                <w:lang w:eastAsia="en-IN"/>
                <w14:ligatures w14:val="none"/>
              </w:rPr>
              <w:t>80</w:t>
            </w:r>
          </w:p>
        </w:tc>
      </w:tr>
      <w:tr w:rsidR="0059396E" w:rsidRPr="00BA1C8E" w14:paraId="72BCB8A5" w14:textId="77777777" w:rsidTr="006D571E">
        <w:trPr>
          <w:trHeight w:val="300"/>
          <w:jc w:val="center"/>
        </w:trPr>
        <w:tc>
          <w:tcPr>
            <w:tcW w:w="6516" w:type="dxa"/>
            <w:shd w:val="clear" w:color="000000" w:fill="FFFFFF"/>
            <w:vAlign w:val="center"/>
            <w:hideMark/>
          </w:tcPr>
          <w:p w14:paraId="1ACF8211" w14:textId="77777777" w:rsidR="0059396E" w:rsidRPr="00BA1C8E" w:rsidRDefault="0059396E" w:rsidP="00E831E0">
            <w:pPr>
              <w:spacing w:after="0" w:line="240" w:lineRule="auto"/>
              <w:ind w:firstLineChars="100" w:firstLine="241"/>
              <w:rPr>
                <w:rFonts w:ascii="Times New Roman" w:eastAsia="Times New Roman" w:hAnsi="Times New Roman" w:cs="Times New Roman"/>
                <w:b/>
                <w:bCs/>
                <w:color w:val="1A1C1E"/>
                <w:kern w:val="0"/>
                <w:szCs w:val="24"/>
                <w:lang w:eastAsia="en-IN"/>
                <w14:ligatures w14:val="none"/>
              </w:rPr>
            </w:pPr>
            <w:r w:rsidRPr="00BA1C8E">
              <w:rPr>
                <w:rFonts w:ascii="Times New Roman" w:eastAsia="Times New Roman" w:hAnsi="Times New Roman" w:cs="Times New Roman"/>
                <w:b/>
                <w:bCs/>
                <w:color w:val="1A1C1E"/>
                <w:kern w:val="0"/>
                <w:szCs w:val="24"/>
                <w:lang w:eastAsia="en-IN"/>
                <w14:ligatures w14:val="none"/>
              </w:rPr>
              <w:t>TOTAL</w:t>
            </w:r>
          </w:p>
        </w:tc>
        <w:tc>
          <w:tcPr>
            <w:tcW w:w="1843" w:type="dxa"/>
            <w:shd w:val="clear" w:color="000000" w:fill="FFFFFF"/>
            <w:vAlign w:val="center"/>
            <w:hideMark/>
          </w:tcPr>
          <w:p w14:paraId="25BD85A4" w14:textId="77777777" w:rsidR="0059396E" w:rsidRPr="00BA1C8E" w:rsidRDefault="0059396E" w:rsidP="00E831E0">
            <w:pPr>
              <w:spacing w:after="0" w:line="240" w:lineRule="auto"/>
              <w:ind w:firstLineChars="100" w:firstLine="241"/>
              <w:rPr>
                <w:rFonts w:ascii="Times New Roman" w:eastAsia="Times New Roman" w:hAnsi="Times New Roman" w:cs="Times New Roman"/>
                <w:b/>
                <w:bCs/>
                <w:color w:val="1A1C1E"/>
                <w:kern w:val="0"/>
                <w:szCs w:val="24"/>
                <w:lang w:eastAsia="en-IN"/>
                <w14:ligatures w14:val="none"/>
              </w:rPr>
            </w:pPr>
            <w:r w:rsidRPr="00BA1C8E">
              <w:rPr>
                <w:rFonts w:ascii="Times New Roman" w:eastAsia="Times New Roman" w:hAnsi="Times New Roman" w:cs="Times New Roman"/>
                <w:b/>
                <w:bCs/>
                <w:color w:val="1A1C1E"/>
                <w:kern w:val="0"/>
                <w:szCs w:val="24"/>
                <w:lang w:eastAsia="en-IN"/>
                <w14:ligatures w14:val="none"/>
              </w:rPr>
              <w:t>1108.7</w:t>
            </w:r>
          </w:p>
        </w:tc>
      </w:tr>
    </w:tbl>
    <w:p w14:paraId="29468BF5" w14:textId="77777777" w:rsidR="00BA1C8E" w:rsidRDefault="0059396E" w:rsidP="00BA1C8E">
      <w:pPr>
        <w:pStyle w:val="Sources"/>
      </w:pPr>
      <w:r w:rsidRPr="007245B0">
        <w:t>Source: Fourth Five-Year Plan (Draft).</w:t>
      </w:r>
    </w:p>
    <w:p w14:paraId="00E04BF4" w14:textId="52CD4E6D" w:rsidR="0059396E" w:rsidRPr="007245B0" w:rsidRDefault="0059396E" w:rsidP="00BA1C8E">
      <w:pPr>
        <w:pStyle w:val="Sources"/>
      </w:pPr>
      <w:r w:rsidRPr="007245B0">
        <w:t>* Estimate not yet furnished by the State.</w:t>
      </w:r>
    </w:p>
    <w:p w14:paraId="37CE7388" w14:textId="77777777" w:rsidR="0059396E" w:rsidRPr="007245B0" w:rsidRDefault="0059396E" w:rsidP="0059396E">
      <w:pPr>
        <w:rPr>
          <w:rFonts w:ascii="Times New Roman" w:hAnsi="Times New Roman" w:cs="Times New Roman"/>
          <w:i/>
          <w:iCs/>
        </w:rPr>
      </w:pPr>
      <w:r w:rsidRPr="007245B0">
        <w:rPr>
          <w:rFonts w:ascii="Times New Roman" w:hAnsi="Times New Roman" w:cs="Times New Roman"/>
          <w:i/>
          <w:iCs/>
        </w:rPr>
        <w:br w:type="page"/>
      </w:r>
    </w:p>
    <w:p w14:paraId="4314F407" w14:textId="5D5B54A2" w:rsidR="009A4387" w:rsidRPr="007245B0" w:rsidRDefault="00574BCE" w:rsidP="00BA1C8E">
      <w:pPr>
        <w:pStyle w:val="Heading4"/>
      </w:pPr>
      <w:bookmarkStart w:id="63" w:name="_Toc220949691"/>
      <w:bookmarkStart w:id="64" w:name="_Toc221114291"/>
      <w:bookmarkStart w:id="65" w:name="_Toc221115314"/>
      <w:r w:rsidRPr="008E2A3E">
        <w:lastRenderedPageBreak/>
        <w:t xml:space="preserve">Table </w:t>
      </w:r>
      <w:r w:rsidR="009A4387" w:rsidRPr="007245B0">
        <w:t>11: Tax revenues and non-tax revenues of States in 1967-68</w:t>
      </w:r>
      <w:bookmarkEnd w:id="63"/>
      <w:bookmarkEnd w:id="64"/>
      <w:bookmarkEnd w:id="65"/>
    </w:p>
    <w:tbl>
      <w:tblPr>
        <w:tblW w:w="10879" w:type="dxa"/>
        <w:jc w:val="center"/>
        <w:tblLook w:val="04A0" w:firstRow="1" w:lastRow="0" w:firstColumn="1" w:lastColumn="0" w:noHBand="0" w:noVBand="1"/>
      </w:tblPr>
      <w:tblGrid>
        <w:gridCol w:w="2568"/>
        <w:gridCol w:w="2227"/>
        <w:gridCol w:w="1812"/>
        <w:gridCol w:w="1813"/>
        <w:gridCol w:w="2459"/>
      </w:tblGrid>
      <w:tr w:rsidR="009A4387" w:rsidRPr="00BA1C8E" w14:paraId="1867873C" w14:textId="77777777" w:rsidTr="00BA1C8E">
        <w:trPr>
          <w:trHeight w:val="2391"/>
          <w:jc w:val="center"/>
        </w:trPr>
        <w:tc>
          <w:tcPr>
            <w:tcW w:w="256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5E27EC5" w14:textId="77777777" w:rsidR="009A4387" w:rsidRPr="00BA1C8E" w:rsidRDefault="009A4387" w:rsidP="00B77C0B">
            <w:pPr>
              <w:pStyle w:val="NoSpacing"/>
              <w:rPr>
                <w:rFonts w:ascii="Times New Roman" w:hAnsi="Times New Roman" w:cs="Times New Roman"/>
                <w:b/>
                <w:bCs/>
                <w:szCs w:val="24"/>
                <w:lang w:eastAsia="en-IN"/>
              </w:rPr>
            </w:pPr>
            <w:r w:rsidRPr="00BA1C8E">
              <w:rPr>
                <w:rFonts w:ascii="Times New Roman" w:hAnsi="Times New Roman" w:cs="Times New Roman"/>
                <w:b/>
                <w:bCs/>
                <w:szCs w:val="24"/>
                <w:lang w:eastAsia="en-IN"/>
              </w:rPr>
              <w:t>States</w:t>
            </w:r>
          </w:p>
        </w:tc>
        <w:tc>
          <w:tcPr>
            <w:tcW w:w="2227" w:type="dxa"/>
            <w:tcBorders>
              <w:top w:val="single" w:sz="4" w:space="0" w:color="auto"/>
              <w:left w:val="nil"/>
              <w:bottom w:val="single" w:sz="4" w:space="0" w:color="auto"/>
              <w:right w:val="single" w:sz="4" w:space="0" w:color="auto"/>
            </w:tcBorders>
            <w:shd w:val="clear" w:color="000000" w:fill="FFFFFF"/>
            <w:vAlign w:val="center"/>
            <w:hideMark/>
          </w:tcPr>
          <w:p w14:paraId="1DD0772F" w14:textId="77777777" w:rsidR="009A4387" w:rsidRPr="00BA1C8E" w:rsidRDefault="009A4387" w:rsidP="00B77C0B">
            <w:pPr>
              <w:pStyle w:val="NoSpacing"/>
              <w:rPr>
                <w:rFonts w:ascii="Times New Roman" w:hAnsi="Times New Roman" w:cs="Times New Roman"/>
                <w:b/>
                <w:bCs/>
                <w:szCs w:val="24"/>
                <w:lang w:eastAsia="en-IN"/>
              </w:rPr>
            </w:pPr>
            <w:r w:rsidRPr="00BA1C8E">
              <w:rPr>
                <w:rFonts w:ascii="Times New Roman" w:hAnsi="Times New Roman" w:cs="Times New Roman"/>
                <w:b/>
                <w:bCs/>
                <w:szCs w:val="24"/>
                <w:lang w:eastAsia="en-IN"/>
              </w:rPr>
              <w:t xml:space="preserve">Tax revenue* </w:t>
            </w:r>
          </w:p>
          <w:p w14:paraId="2D261752" w14:textId="37A70751" w:rsidR="009A4387" w:rsidRPr="00BA1C8E" w:rsidRDefault="009A4387" w:rsidP="00B77C0B">
            <w:pPr>
              <w:pStyle w:val="NoSpacing"/>
              <w:rPr>
                <w:rFonts w:ascii="Times New Roman" w:hAnsi="Times New Roman" w:cs="Times New Roman"/>
                <w:b/>
                <w:bCs/>
                <w:szCs w:val="24"/>
                <w:lang w:eastAsia="en-IN"/>
              </w:rPr>
            </w:pPr>
            <w:r w:rsidRPr="00BA1C8E">
              <w:rPr>
                <w:rFonts w:ascii="Times New Roman" w:hAnsi="Times New Roman" w:cs="Times New Roman"/>
                <w:b/>
                <w:bCs/>
                <w:szCs w:val="24"/>
                <w:lang w:eastAsia="en-IN"/>
              </w:rPr>
              <w:t>(Rs. crores)</w:t>
            </w:r>
          </w:p>
        </w:tc>
        <w:tc>
          <w:tcPr>
            <w:tcW w:w="1812" w:type="dxa"/>
            <w:tcBorders>
              <w:top w:val="single" w:sz="4" w:space="0" w:color="auto"/>
              <w:left w:val="nil"/>
              <w:bottom w:val="single" w:sz="4" w:space="0" w:color="auto"/>
              <w:right w:val="single" w:sz="4" w:space="0" w:color="auto"/>
            </w:tcBorders>
            <w:shd w:val="clear" w:color="000000" w:fill="FFFFFF"/>
            <w:vAlign w:val="center"/>
            <w:hideMark/>
          </w:tcPr>
          <w:p w14:paraId="7B2F6F31" w14:textId="77777777" w:rsidR="009A4387" w:rsidRPr="00BA1C8E" w:rsidRDefault="009A4387" w:rsidP="00B77C0B">
            <w:pPr>
              <w:pStyle w:val="NoSpacing"/>
              <w:rPr>
                <w:rFonts w:ascii="Times New Roman" w:hAnsi="Times New Roman" w:cs="Times New Roman"/>
                <w:b/>
                <w:bCs/>
                <w:szCs w:val="24"/>
                <w:lang w:eastAsia="en-IN"/>
              </w:rPr>
            </w:pPr>
            <w:r w:rsidRPr="00BA1C8E">
              <w:rPr>
                <w:rFonts w:ascii="Times New Roman" w:hAnsi="Times New Roman" w:cs="Times New Roman"/>
                <w:b/>
                <w:bCs/>
                <w:szCs w:val="24"/>
                <w:lang w:eastAsia="en-IN"/>
              </w:rPr>
              <w:t xml:space="preserve">Non-tax revenue** </w:t>
            </w:r>
          </w:p>
          <w:p w14:paraId="295970C5" w14:textId="617907DC" w:rsidR="009A4387" w:rsidRPr="00BA1C8E" w:rsidRDefault="009A4387" w:rsidP="00B77C0B">
            <w:pPr>
              <w:pStyle w:val="NoSpacing"/>
              <w:rPr>
                <w:rFonts w:ascii="Times New Roman" w:hAnsi="Times New Roman" w:cs="Times New Roman"/>
                <w:b/>
                <w:bCs/>
                <w:szCs w:val="24"/>
                <w:lang w:eastAsia="en-IN"/>
              </w:rPr>
            </w:pPr>
            <w:r w:rsidRPr="00BA1C8E">
              <w:rPr>
                <w:rFonts w:ascii="Times New Roman" w:hAnsi="Times New Roman" w:cs="Times New Roman"/>
                <w:b/>
                <w:bCs/>
                <w:szCs w:val="24"/>
                <w:lang w:eastAsia="en-IN"/>
              </w:rPr>
              <w:t>(Rs. crores)</w:t>
            </w:r>
          </w:p>
        </w:tc>
        <w:tc>
          <w:tcPr>
            <w:tcW w:w="1813" w:type="dxa"/>
            <w:tcBorders>
              <w:top w:val="single" w:sz="4" w:space="0" w:color="auto"/>
              <w:left w:val="nil"/>
              <w:bottom w:val="single" w:sz="4" w:space="0" w:color="auto"/>
              <w:right w:val="single" w:sz="4" w:space="0" w:color="auto"/>
            </w:tcBorders>
            <w:shd w:val="clear" w:color="000000" w:fill="FFFFFF"/>
            <w:vAlign w:val="center"/>
            <w:hideMark/>
          </w:tcPr>
          <w:p w14:paraId="6747F015" w14:textId="77777777" w:rsidR="009A4387" w:rsidRPr="00BA1C8E" w:rsidRDefault="009A4387" w:rsidP="00B77C0B">
            <w:pPr>
              <w:pStyle w:val="NoSpacing"/>
              <w:rPr>
                <w:rFonts w:ascii="Times New Roman" w:hAnsi="Times New Roman" w:cs="Times New Roman"/>
                <w:b/>
                <w:bCs/>
                <w:szCs w:val="24"/>
                <w:lang w:eastAsia="en-IN"/>
              </w:rPr>
            </w:pPr>
            <w:r w:rsidRPr="00BA1C8E">
              <w:rPr>
                <w:rFonts w:ascii="Times New Roman" w:hAnsi="Times New Roman" w:cs="Times New Roman"/>
                <w:b/>
                <w:bCs/>
                <w:szCs w:val="24"/>
                <w:lang w:eastAsia="en-IN"/>
              </w:rPr>
              <w:t>Total revenue (Rs. crores)</w:t>
            </w:r>
          </w:p>
        </w:tc>
        <w:tc>
          <w:tcPr>
            <w:tcW w:w="2459" w:type="dxa"/>
            <w:tcBorders>
              <w:top w:val="single" w:sz="4" w:space="0" w:color="auto"/>
              <w:left w:val="nil"/>
              <w:bottom w:val="single" w:sz="4" w:space="0" w:color="auto"/>
              <w:right w:val="single" w:sz="4" w:space="0" w:color="auto"/>
            </w:tcBorders>
            <w:shd w:val="clear" w:color="000000" w:fill="FFFFFF"/>
            <w:vAlign w:val="center"/>
            <w:hideMark/>
          </w:tcPr>
          <w:p w14:paraId="4DD25083" w14:textId="77777777" w:rsidR="009A4387" w:rsidRPr="00BA1C8E" w:rsidRDefault="009A4387" w:rsidP="00B77C0B">
            <w:pPr>
              <w:pStyle w:val="NoSpacing"/>
              <w:rPr>
                <w:rFonts w:ascii="Times New Roman" w:hAnsi="Times New Roman" w:cs="Times New Roman"/>
                <w:b/>
                <w:bCs/>
                <w:szCs w:val="24"/>
                <w:lang w:eastAsia="en-IN"/>
              </w:rPr>
            </w:pPr>
            <w:r w:rsidRPr="00BA1C8E">
              <w:rPr>
                <w:rFonts w:ascii="Times New Roman" w:hAnsi="Times New Roman" w:cs="Times New Roman"/>
                <w:b/>
                <w:bCs/>
                <w:szCs w:val="24"/>
                <w:lang w:eastAsia="en-IN"/>
              </w:rPr>
              <w:t>Non-tax revenue as percentage of total (Percentages)</w:t>
            </w:r>
          </w:p>
        </w:tc>
      </w:tr>
      <w:tr w:rsidR="009A4387" w:rsidRPr="00BA1C8E" w14:paraId="5AD4FD56" w14:textId="77777777" w:rsidTr="00BA1C8E">
        <w:trPr>
          <w:trHeight w:val="298"/>
          <w:jc w:val="center"/>
        </w:trPr>
        <w:tc>
          <w:tcPr>
            <w:tcW w:w="2568" w:type="dxa"/>
            <w:tcBorders>
              <w:top w:val="nil"/>
              <w:left w:val="single" w:sz="4" w:space="0" w:color="auto"/>
              <w:bottom w:val="single" w:sz="4" w:space="0" w:color="auto"/>
              <w:right w:val="single" w:sz="4" w:space="0" w:color="auto"/>
            </w:tcBorders>
            <w:shd w:val="clear" w:color="000000" w:fill="FFFFFF"/>
            <w:vAlign w:val="center"/>
            <w:hideMark/>
          </w:tcPr>
          <w:p w14:paraId="56BBD3E0" w14:textId="77777777" w:rsidR="009A4387" w:rsidRPr="00BA1C8E" w:rsidRDefault="009A4387" w:rsidP="00B77C0B">
            <w:pPr>
              <w:pStyle w:val="NoSpacing"/>
              <w:rPr>
                <w:rFonts w:ascii="Times New Roman" w:hAnsi="Times New Roman" w:cs="Times New Roman"/>
                <w:szCs w:val="24"/>
                <w:lang w:eastAsia="en-IN"/>
              </w:rPr>
            </w:pPr>
            <w:r w:rsidRPr="00BA1C8E">
              <w:rPr>
                <w:rFonts w:ascii="Times New Roman" w:hAnsi="Times New Roman" w:cs="Times New Roman"/>
                <w:szCs w:val="24"/>
                <w:lang w:eastAsia="en-IN"/>
              </w:rPr>
              <w:t>1</w:t>
            </w:r>
          </w:p>
        </w:tc>
        <w:tc>
          <w:tcPr>
            <w:tcW w:w="2227" w:type="dxa"/>
            <w:tcBorders>
              <w:top w:val="nil"/>
              <w:left w:val="nil"/>
              <w:bottom w:val="single" w:sz="4" w:space="0" w:color="auto"/>
              <w:right w:val="single" w:sz="4" w:space="0" w:color="auto"/>
            </w:tcBorders>
            <w:shd w:val="clear" w:color="000000" w:fill="FFFFFF"/>
            <w:vAlign w:val="center"/>
            <w:hideMark/>
          </w:tcPr>
          <w:p w14:paraId="7EBC125C" w14:textId="77777777" w:rsidR="009A4387" w:rsidRPr="00BA1C8E" w:rsidRDefault="009A4387" w:rsidP="00BA1C8E">
            <w:pPr>
              <w:pStyle w:val="NoSpacing"/>
              <w:jc w:val="center"/>
              <w:rPr>
                <w:rFonts w:ascii="Times New Roman" w:hAnsi="Times New Roman" w:cs="Times New Roman"/>
                <w:szCs w:val="24"/>
                <w:lang w:eastAsia="en-IN"/>
              </w:rPr>
            </w:pPr>
            <w:r w:rsidRPr="00BA1C8E">
              <w:rPr>
                <w:rFonts w:ascii="Times New Roman" w:hAnsi="Times New Roman" w:cs="Times New Roman"/>
                <w:szCs w:val="24"/>
                <w:lang w:eastAsia="en-IN"/>
              </w:rPr>
              <w:t>2</w:t>
            </w:r>
          </w:p>
        </w:tc>
        <w:tc>
          <w:tcPr>
            <w:tcW w:w="1812" w:type="dxa"/>
            <w:tcBorders>
              <w:top w:val="nil"/>
              <w:left w:val="nil"/>
              <w:bottom w:val="single" w:sz="4" w:space="0" w:color="auto"/>
              <w:right w:val="single" w:sz="4" w:space="0" w:color="auto"/>
            </w:tcBorders>
            <w:shd w:val="clear" w:color="000000" w:fill="FFFFFF"/>
            <w:vAlign w:val="center"/>
            <w:hideMark/>
          </w:tcPr>
          <w:p w14:paraId="10195966" w14:textId="77777777" w:rsidR="009A4387" w:rsidRPr="00BA1C8E" w:rsidRDefault="009A4387" w:rsidP="00BA1C8E">
            <w:pPr>
              <w:pStyle w:val="NoSpacing"/>
              <w:jc w:val="center"/>
              <w:rPr>
                <w:rFonts w:ascii="Times New Roman" w:hAnsi="Times New Roman" w:cs="Times New Roman"/>
                <w:szCs w:val="24"/>
                <w:lang w:eastAsia="en-IN"/>
              </w:rPr>
            </w:pPr>
            <w:r w:rsidRPr="00BA1C8E">
              <w:rPr>
                <w:rFonts w:ascii="Times New Roman" w:hAnsi="Times New Roman" w:cs="Times New Roman"/>
                <w:szCs w:val="24"/>
                <w:lang w:eastAsia="en-IN"/>
              </w:rPr>
              <w:t>3</w:t>
            </w:r>
          </w:p>
        </w:tc>
        <w:tc>
          <w:tcPr>
            <w:tcW w:w="1813" w:type="dxa"/>
            <w:tcBorders>
              <w:top w:val="nil"/>
              <w:left w:val="nil"/>
              <w:bottom w:val="single" w:sz="4" w:space="0" w:color="auto"/>
              <w:right w:val="single" w:sz="4" w:space="0" w:color="auto"/>
            </w:tcBorders>
            <w:shd w:val="clear" w:color="000000" w:fill="FFFFFF"/>
            <w:vAlign w:val="center"/>
            <w:hideMark/>
          </w:tcPr>
          <w:p w14:paraId="378748D7" w14:textId="77777777" w:rsidR="009A4387" w:rsidRPr="00BA1C8E" w:rsidRDefault="009A4387" w:rsidP="00BA1C8E">
            <w:pPr>
              <w:pStyle w:val="NoSpacing"/>
              <w:jc w:val="center"/>
              <w:rPr>
                <w:rFonts w:ascii="Times New Roman" w:hAnsi="Times New Roman" w:cs="Times New Roman"/>
                <w:szCs w:val="24"/>
                <w:lang w:eastAsia="en-IN"/>
              </w:rPr>
            </w:pPr>
            <w:r w:rsidRPr="00BA1C8E">
              <w:rPr>
                <w:rFonts w:ascii="Times New Roman" w:hAnsi="Times New Roman" w:cs="Times New Roman"/>
                <w:szCs w:val="24"/>
                <w:lang w:eastAsia="en-IN"/>
              </w:rPr>
              <w:t>4</w:t>
            </w:r>
          </w:p>
        </w:tc>
        <w:tc>
          <w:tcPr>
            <w:tcW w:w="2459" w:type="dxa"/>
            <w:tcBorders>
              <w:top w:val="nil"/>
              <w:left w:val="nil"/>
              <w:bottom w:val="single" w:sz="4" w:space="0" w:color="auto"/>
              <w:right w:val="single" w:sz="4" w:space="0" w:color="auto"/>
            </w:tcBorders>
            <w:shd w:val="clear" w:color="000000" w:fill="FFFFFF"/>
            <w:vAlign w:val="center"/>
            <w:hideMark/>
          </w:tcPr>
          <w:p w14:paraId="5C022F14" w14:textId="77777777" w:rsidR="009A4387" w:rsidRPr="00BA1C8E" w:rsidRDefault="009A4387" w:rsidP="00BA1C8E">
            <w:pPr>
              <w:pStyle w:val="NoSpacing"/>
              <w:jc w:val="center"/>
              <w:rPr>
                <w:rFonts w:ascii="Times New Roman" w:hAnsi="Times New Roman" w:cs="Times New Roman"/>
                <w:szCs w:val="24"/>
                <w:lang w:eastAsia="en-IN"/>
              </w:rPr>
            </w:pPr>
            <w:r w:rsidRPr="00BA1C8E">
              <w:rPr>
                <w:rFonts w:ascii="Times New Roman" w:hAnsi="Times New Roman" w:cs="Times New Roman"/>
                <w:szCs w:val="24"/>
                <w:lang w:eastAsia="en-IN"/>
              </w:rPr>
              <w:t>5</w:t>
            </w:r>
          </w:p>
        </w:tc>
      </w:tr>
      <w:tr w:rsidR="009A4387" w:rsidRPr="00BA1C8E" w14:paraId="4D1FAA68" w14:textId="77777777" w:rsidTr="00BA1C8E">
        <w:trPr>
          <w:trHeight w:val="597"/>
          <w:jc w:val="center"/>
        </w:trPr>
        <w:tc>
          <w:tcPr>
            <w:tcW w:w="2568" w:type="dxa"/>
            <w:tcBorders>
              <w:top w:val="nil"/>
              <w:left w:val="single" w:sz="4" w:space="0" w:color="auto"/>
              <w:bottom w:val="single" w:sz="4" w:space="0" w:color="auto"/>
              <w:right w:val="single" w:sz="4" w:space="0" w:color="auto"/>
            </w:tcBorders>
            <w:shd w:val="clear" w:color="000000" w:fill="FFFFFF"/>
            <w:vAlign w:val="center"/>
            <w:hideMark/>
          </w:tcPr>
          <w:p w14:paraId="3807BBBC" w14:textId="77777777" w:rsidR="009A4387" w:rsidRPr="00BA1C8E" w:rsidRDefault="009A4387" w:rsidP="00B77C0B">
            <w:pPr>
              <w:pStyle w:val="NoSpacing"/>
              <w:rPr>
                <w:rFonts w:ascii="Times New Roman" w:hAnsi="Times New Roman" w:cs="Times New Roman"/>
                <w:szCs w:val="24"/>
                <w:lang w:eastAsia="en-IN"/>
              </w:rPr>
            </w:pPr>
            <w:r w:rsidRPr="00BA1C8E">
              <w:rPr>
                <w:rFonts w:ascii="Times New Roman" w:hAnsi="Times New Roman" w:cs="Times New Roman"/>
                <w:szCs w:val="24"/>
                <w:lang w:eastAsia="en-IN"/>
              </w:rPr>
              <w:t>Andhra Pradesh</w:t>
            </w:r>
          </w:p>
        </w:tc>
        <w:tc>
          <w:tcPr>
            <w:tcW w:w="2227" w:type="dxa"/>
            <w:tcBorders>
              <w:top w:val="nil"/>
              <w:left w:val="nil"/>
              <w:bottom w:val="single" w:sz="4" w:space="0" w:color="auto"/>
              <w:right w:val="single" w:sz="4" w:space="0" w:color="auto"/>
            </w:tcBorders>
            <w:shd w:val="clear" w:color="000000" w:fill="FFFFFF"/>
            <w:vAlign w:val="center"/>
            <w:hideMark/>
          </w:tcPr>
          <w:p w14:paraId="1BB9FFEE" w14:textId="77777777" w:rsidR="009A4387" w:rsidRPr="00BA1C8E" w:rsidRDefault="009A4387" w:rsidP="00BA1C8E">
            <w:pPr>
              <w:pStyle w:val="NoSpacing"/>
              <w:jc w:val="center"/>
              <w:rPr>
                <w:rFonts w:ascii="Times New Roman" w:hAnsi="Times New Roman" w:cs="Times New Roman"/>
                <w:szCs w:val="24"/>
                <w:lang w:eastAsia="en-IN"/>
              </w:rPr>
            </w:pPr>
            <w:r w:rsidRPr="00BA1C8E">
              <w:rPr>
                <w:rFonts w:ascii="Times New Roman" w:hAnsi="Times New Roman" w:cs="Times New Roman"/>
                <w:szCs w:val="24"/>
                <w:lang w:eastAsia="en-IN"/>
              </w:rPr>
              <w:t>79.48</w:t>
            </w:r>
          </w:p>
        </w:tc>
        <w:tc>
          <w:tcPr>
            <w:tcW w:w="1812" w:type="dxa"/>
            <w:tcBorders>
              <w:top w:val="nil"/>
              <w:left w:val="nil"/>
              <w:bottom w:val="single" w:sz="4" w:space="0" w:color="auto"/>
              <w:right w:val="single" w:sz="4" w:space="0" w:color="auto"/>
            </w:tcBorders>
            <w:shd w:val="clear" w:color="000000" w:fill="FFFFFF"/>
            <w:vAlign w:val="center"/>
            <w:hideMark/>
          </w:tcPr>
          <w:p w14:paraId="499BFEC3" w14:textId="77777777" w:rsidR="009A4387" w:rsidRPr="00BA1C8E" w:rsidRDefault="009A4387" w:rsidP="00BA1C8E">
            <w:pPr>
              <w:pStyle w:val="NoSpacing"/>
              <w:jc w:val="center"/>
              <w:rPr>
                <w:rFonts w:ascii="Times New Roman" w:hAnsi="Times New Roman" w:cs="Times New Roman"/>
                <w:szCs w:val="24"/>
                <w:lang w:eastAsia="en-IN"/>
              </w:rPr>
            </w:pPr>
            <w:r w:rsidRPr="00BA1C8E">
              <w:rPr>
                <w:rFonts w:ascii="Times New Roman" w:hAnsi="Times New Roman" w:cs="Times New Roman"/>
                <w:szCs w:val="24"/>
                <w:lang w:eastAsia="en-IN"/>
              </w:rPr>
              <w:t>43.31</w:t>
            </w:r>
          </w:p>
        </w:tc>
        <w:tc>
          <w:tcPr>
            <w:tcW w:w="1813" w:type="dxa"/>
            <w:tcBorders>
              <w:top w:val="nil"/>
              <w:left w:val="nil"/>
              <w:bottom w:val="single" w:sz="4" w:space="0" w:color="auto"/>
              <w:right w:val="single" w:sz="4" w:space="0" w:color="auto"/>
            </w:tcBorders>
            <w:shd w:val="clear" w:color="000000" w:fill="FFFFFF"/>
            <w:vAlign w:val="center"/>
            <w:hideMark/>
          </w:tcPr>
          <w:p w14:paraId="00896C9D" w14:textId="77777777" w:rsidR="009A4387" w:rsidRPr="00BA1C8E" w:rsidRDefault="009A4387" w:rsidP="00BA1C8E">
            <w:pPr>
              <w:pStyle w:val="NoSpacing"/>
              <w:jc w:val="center"/>
              <w:rPr>
                <w:rFonts w:ascii="Times New Roman" w:hAnsi="Times New Roman" w:cs="Times New Roman"/>
                <w:szCs w:val="24"/>
                <w:lang w:eastAsia="en-IN"/>
              </w:rPr>
            </w:pPr>
            <w:r w:rsidRPr="00BA1C8E">
              <w:rPr>
                <w:rFonts w:ascii="Times New Roman" w:hAnsi="Times New Roman" w:cs="Times New Roman"/>
                <w:szCs w:val="24"/>
                <w:lang w:eastAsia="en-IN"/>
              </w:rPr>
              <w:t>122.79</w:t>
            </w:r>
          </w:p>
        </w:tc>
        <w:tc>
          <w:tcPr>
            <w:tcW w:w="2459" w:type="dxa"/>
            <w:tcBorders>
              <w:top w:val="nil"/>
              <w:left w:val="nil"/>
              <w:bottom w:val="single" w:sz="4" w:space="0" w:color="auto"/>
              <w:right w:val="single" w:sz="4" w:space="0" w:color="auto"/>
            </w:tcBorders>
            <w:shd w:val="clear" w:color="000000" w:fill="FFFFFF"/>
            <w:vAlign w:val="center"/>
            <w:hideMark/>
          </w:tcPr>
          <w:p w14:paraId="33187A7C" w14:textId="77777777" w:rsidR="009A4387" w:rsidRPr="00BA1C8E" w:rsidRDefault="009A4387" w:rsidP="00BA1C8E">
            <w:pPr>
              <w:pStyle w:val="NoSpacing"/>
              <w:jc w:val="center"/>
              <w:rPr>
                <w:rFonts w:ascii="Times New Roman" w:hAnsi="Times New Roman" w:cs="Times New Roman"/>
                <w:szCs w:val="24"/>
                <w:lang w:eastAsia="en-IN"/>
              </w:rPr>
            </w:pPr>
            <w:r w:rsidRPr="00BA1C8E">
              <w:rPr>
                <w:rFonts w:ascii="Times New Roman" w:hAnsi="Times New Roman" w:cs="Times New Roman"/>
                <w:szCs w:val="24"/>
                <w:lang w:eastAsia="en-IN"/>
              </w:rPr>
              <w:t>35.27</w:t>
            </w:r>
          </w:p>
        </w:tc>
      </w:tr>
      <w:tr w:rsidR="009A4387" w:rsidRPr="00BA1C8E" w14:paraId="328A3C92" w14:textId="77777777" w:rsidTr="00BA1C8E">
        <w:trPr>
          <w:trHeight w:val="298"/>
          <w:jc w:val="center"/>
        </w:trPr>
        <w:tc>
          <w:tcPr>
            <w:tcW w:w="2568" w:type="dxa"/>
            <w:tcBorders>
              <w:top w:val="nil"/>
              <w:left w:val="single" w:sz="4" w:space="0" w:color="auto"/>
              <w:bottom w:val="single" w:sz="4" w:space="0" w:color="auto"/>
              <w:right w:val="single" w:sz="4" w:space="0" w:color="auto"/>
            </w:tcBorders>
            <w:shd w:val="clear" w:color="000000" w:fill="FFFFFF"/>
            <w:vAlign w:val="center"/>
            <w:hideMark/>
          </w:tcPr>
          <w:p w14:paraId="52D9486F" w14:textId="77777777" w:rsidR="009A4387" w:rsidRPr="00BA1C8E" w:rsidRDefault="009A4387" w:rsidP="00B77C0B">
            <w:pPr>
              <w:pStyle w:val="NoSpacing"/>
              <w:rPr>
                <w:rFonts w:ascii="Times New Roman" w:hAnsi="Times New Roman" w:cs="Times New Roman"/>
                <w:szCs w:val="24"/>
                <w:lang w:eastAsia="en-IN"/>
              </w:rPr>
            </w:pPr>
            <w:r w:rsidRPr="00BA1C8E">
              <w:rPr>
                <w:rFonts w:ascii="Times New Roman" w:hAnsi="Times New Roman" w:cs="Times New Roman"/>
                <w:szCs w:val="24"/>
                <w:lang w:eastAsia="en-IN"/>
              </w:rPr>
              <w:t>Assam</w:t>
            </w:r>
          </w:p>
        </w:tc>
        <w:tc>
          <w:tcPr>
            <w:tcW w:w="2227" w:type="dxa"/>
            <w:tcBorders>
              <w:top w:val="nil"/>
              <w:left w:val="nil"/>
              <w:bottom w:val="single" w:sz="4" w:space="0" w:color="auto"/>
              <w:right w:val="single" w:sz="4" w:space="0" w:color="auto"/>
            </w:tcBorders>
            <w:shd w:val="clear" w:color="000000" w:fill="FFFFFF"/>
            <w:vAlign w:val="center"/>
            <w:hideMark/>
          </w:tcPr>
          <w:p w14:paraId="74BCBB03" w14:textId="77777777" w:rsidR="009A4387" w:rsidRPr="00BA1C8E" w:rsidRDefault="009A4387" w:rsidP="00BA1C8E">
            <w:pPr>
              <w:pStyle w:val="NoSpacing"/>
              <w:jc w:val="center"/>
              <w:rPr>
                <w:rFonts w:ascii="Times New Roman" w:hAnsi="Times New Roman" w:cs="Times New Roman"/>
                <w:szCs w:val="24"/>
                <w:lang w:eastAsia="en-IN"/>
              </w:rPr>
            </w:pPr>
            <w:r w:rsidRPr="00BA1C8E">
              <w:rPr>
                <w:rFonts w:ascii="Times New Roman" w:hAnsi="Times New Roman" w:cs="Times New Roman"/>
                <w:szCs w:val="24"/>
                <w:lang w:eastAsia="en-IN"/>
              </w:rPr>
              <w:t>26.31</w:t>
            </w:r>
          </w:p>
        </w:tc>
        <w:tc>
          <w:tcPr>
            <w:tcW w:w="1812" w:type="dxa"/>
            <w:tcBorders>
              <w:top w:val="nil"/>
              <w:left w:val="nil"/>
              <w:bottom w:val="single" w:sz="4" w:space="0" w:color="auto"/>
              <w:right w:val="single" w:sz="4" w:space="0" w:color="auto"/>
            </w:tcBorders>
            <w:shd w:val="clear" w:color="000000" w:fill="FFFFFF"/>
            <w:vAlign w:val="center"/>
            <w:hideMark/>
          </w:tcPr>
          <w:p w14:paraId="075F697D" w14:textId="77777777" w:rsidR="009A4387" w:rsidRPr="00BA1C8E" w:rsidRDefault="009A4387" w:rsidP="00BA1C8E">
            <w:pPr>
              <w:pStyle w:val="NoSpacing"/>
              <w:jc w:val="center"/>
              <w:rPr>
                <w:rFonts w:ascii="Times New Roman" w:hAnsi="Times New Roman" w:cs="Times New Roman"/>
                <w:szCs w:val="24"/>
                <w:lang w:eastAsia="en-IN"/>
              </w:rPr>
            </w:pPr>
            <w:r w:rsidRPr="00BA1C8E">
              <w:rPr>
                <w:rFonts w:ascii="Times New Roman" w:hAnsi="Times New Roman" w:cs="Times New Roman"/>
                <w:szCs w:val="24"/>
                <w:lang w:eastAsia="en-IN"/>
              </w:rPr>
              <w:t>8.59</w:t>
            </w:r>
          </w:p>
        </w:tc>
        <w:tc>
          <w:tcPr>
            <w:tcW w:w="1813" w:type="dxa"/>
            <w:tcBorders>
              <w:top w:val="nil"/>
              <w:left w:val="nil"/>
              <w:bottom w:val="single" w:sz="4" w:space="0" w:color="auto"/>
              <w:right w:val="single" w:sz="4" w:space="0" w:color="auto"/>
            </w:tcBorders>
            <w:shd w:val="clear" w:color="000000" w:fill="FFFFFF"/>
            <w:vAlign w:val="center"/>
            <w:hideMark/>
          </w:tcPr>
          <w:p w14:paraId="725E9C93" w14:textId="77777777" w:rsidR="009A4387" w:rsidRPr="00BA1C8E" w:rsidRDefault="009A4387" w:rsidP="00BA1C8E">
            <w:pPr>
              <w:pStyle w:val="NoSpacing"/>
              <w:jc w:val="center"/>
              <w:rPr>
                <w:rFonts w:ascii="Times New Roman" w:hAnsi="Times New Roman" w:cs="Times New Roman"/>
                <w:szCs w:val="24"/>
                <w:lang w:eastAsia="en-IN"/>
              </w:rPr>
            </w:pPr>
            <w:r w:rsidRPr="00BA1C8E">
              <w:rPr>
                <w:rFonts w:ascii="Times New Roman" w:hAnsi="Times New Roman" w:cs="Times New Roman"/>
                <w:szCs w:val="24"/>
                <w:lang w:eastAsia="en-IN"/>
              </w:rPr>
              <w:t>34.9</w:t>
            </w:r>
          </w:p>
        </w:tc>
        <w:tc>
          <w:tcPr>
            <w:tcW w:w="2459" w:type="dxa"/>
            <w:tcBorders>
              <w:top w:val="nil"/>
              <w:left w:val="nil"/>
              <w:bottom w:val="single" w:sz="4" w:space="0" w:color="auto"/>
              <w:right w:val="single" w:sz="4" w:space="0" w:color="auto"/>
            </w:tcBorders>
            <w:shd w:val="clear" w:color="000000" w:fill="FFFFFF"/>
            <w:vAlign w:val="center"/>
            <w:hideMark/>
          </w:tcPr>
          <w:p w14:paraId="32A9AE23" w14:textId="77777777" w:rsidR="009A4387" w:rsidRPr="00BA1C8E" w:rsidRDefault="009A4387" w:rsidP="00BA1C8E">
            <w:pPr>
              <w:pStyle w:val="NoSpacing"/>
              <w:jc w:val="center"/>
              <w:rPr>
                <w:rFonts w:ascii="Times New Roman" w:hAnsi="Times New Roman" w:cs="Times New Roman"/>
                <w:szCs w:val="24"/>
                <w:lang w:eastAsia="en-IN"/>
              </w:rPr>
            </w:pPr>
            <w:r w:rsidRPr="00BA1C8E">
              <w:rPr>
                <w:rFonts w:ascii="Times New Roman" w:hAnsi="Times New Roman" w:cs="Times New Roman"/>
                <w:szCs w:val="24"/>
                <w:lang w:eastAsia="en-IN"/>
              </w:rPr>
              <w:t>24.61</w:t>
            </w:r>
          </w:p>
        </w:tc>
      </w:tr>
      <w:tr w:rsidR="009A4387" w:rsidRPr="00BA1C8E" w14:paraId="12C63F40" w14:textId="77777777" w:rsidTr="00BA1C8E">
        <w:trPr>
          <w:trHeight w:val="298"/>
          <w:jc w:val="center"/>
        </w:trPr>
        <w:tc>
          <w:tcPr>
            <w:tcW w:w="2568" w:type="dxa"/>
            <w:tcBorders>
              <w:top w:val="nil"/>
              <w:left w:val="single" w:sz="4" w:space="0" w:color="auto"/>
              <w:bottom w:val="single" w:sz="4" w:space="0" w:color="auto"/>
              <w:right w:val="single" w:sz="4" w:space="0" w:color="auto"/>
            </w:tcBorders>
            <w:shd w:val="clear" w:color="000000" w:fill="FFFFFF"/>
            <w:vAlign w:val="center"/>
            <w:hideMark/>
          </w:tcPr>
          <w:p w14:paraId="7C428E4B" w14:textId="77777777" w:rsidR="009A4387" w:rsidRPr="00BA1C8E" w:rsidRDefault="009A4387" w:rsidP="00B77C0B">
            <w:pPr>
              <w:pStyle w:val="NoSpacing"/>
              <w:rPr>
                <w:rFonts w:ascii="Times New Roman" w:hAnsi="Times New Roman" w:cs="Times New Roman"/>
                <w:szCs w:val="24"/>
                <w:lang w:eastAsia="en-IN"/>
              </w:rPr>
            </w:pPr>
            <w:r w:rsidRPr="00BA1C8E">
              <w:rPr>
                <w:rFonts w:ascii="Times New Roman" w:hAnsi="Times New Roman" w:cs="Times New Roman"/>
                <w:szCs w:val="24"/>
                <w:lang w:eastAsia="en-IN"/>
              </w:rPr>
              <w:t>Bihar</w:t>
            </w:r>
          </w:p>
        </w:tc>
        <w:tc>
          <w:tcPr>
            <w:tcW w:w="2227" w:type="dxa"/>
            <w:tcBorders>
              <w:top w:val="nil"/>
              <w:left w:val="nil"/>
              <w:bottom w:val="single" w:sz="4" w:space="0" w:color="auto"/>
              <w:right w:val="single" w:sz="4" w:space="0" w:color="auto"/>
            </w:tcBorders>
            <w:shd w:val="clear" w:color="000000" w:fill="FFFFFF"/>
            <w:vAlign w:val="center"/>
            <w:hideMark/>
          </w:tcPr>
          <w:p w14:paraId="2059CA9C" w14:textId="77777777" w:rsidR="009A4387" w:rsidRPr="00BA1C8E" w:rsidRDefault="009A4387" w:rsidP="00BA1C8E">
            <w:pPr>
              <w:pStyle w:val="NoSpacing"/>
              <w:jc w:val="center"/>
              <w:rPr>
                <w:rFonts w:ascii="Times New Roman" w:hAnsi="Times New Roman" w:cs="Times New Roman"/>
                <w:szCs w:val="24"/>
                <w:lang w:eastAsia="en-IN"/>
              </w:rPr>
            </w:pPr>
            <w:r w:rsidRPr="00BA1C8E">
              <w:rPr>
                <w:rFonts w:ascii="Times New Roman" w:hAnsi="Times New Roman" w:cs="Times New Roman"/>
                <w:szCs w:val="24"/>
                <w:lang w:eastAsia="en-IN"/>
              </w:rPr>
              <w:t>64.29</w:t>
            </w:r>
          </w:p>
        </w:tc>
        <w:tc>
          <w:tcPr>
            <w:tcW w:w="1812" w:type="dxa"/>
            <w:tcBorders>
              <w:top w:val="nil"/>
              <w:left w:val="nil"/>
              <w:bottom w:val="single" w:sz="4" w:space="0" w:color="auto"/>
              <w:right w:val="single" w:sz="4" w:space="0" w:color="auto"/>
            </w:tcBorders>
            <w:shd w:val="clear" w:color="000000" w:fill="FFFFFF"/>
            <w:vAlign w:val="center"/>
            <w:hideMark/>
          </w:tcPr>
          <w:p w14:paraId="2FBE83C9" w14:textId="77777777" w:rsidR="009A4387" w:rsidRPr="00BA1C8E" w:rsidRDefault="009A4387" w:rsidP="00BA1C8E">
            <w:pPr>
              <w:pStyle w:val="NoSpacing"/>
              <w:jc w:val="center"/>
              <w:rPr>
                <w:rFonts w:ascii="Times New Roman" w:hAnsi="Times New Roman" w:cs="Times New Roman"/>
                <w:szCs w:val="24"/>
                <w:lang w:eastAsia="en-IN"/>
              </w:rPr>
            </w:pPr>
            <w:r w:rsidRPr="00BA1C8E">
              <w:rPr>
                <w:rFonts w:ascii="Times New Roman" w:hAnsi="Times New Roman" w:cs="Times New Roman"/>
                <w:szCs w:val="24"/>
                <w:lang w:eastAsia="en-IN"/>
              </w:rPr>
              <w:t>28.67</w:t>
            </w:r>
          </w:p>
        </w:tc>
        <w:tc>
          <w:tcPr>
            <w:tcW w:w="1813" w:type="dxa"/>
            <w:tcBorders>
              <w:top w:val="nil"/>
              <w:left w:val="nil"/>
              <w:bottom w:val="single" w:sz="4" w:space="0" w:color="auto"/>
              <w:right w:val="single" w:sz="4" w:space="0" w:color="auto"/>
            </w:tcBorders>
            <w:shd w:val="clear" w:color="000000" w:fill="FFFFFF"/>
            <w:vAlign w:val="center"/>
            <w:hideMark/>
          </w:tcPr>
          <w:p w14:paraId="3AD289F1" w14:textId="77777777" w:rsidR="009A4387" w:rsidRPr="00BA1C8E" w:rsidRDefault="009A4387" w:rsidP="00BA1C8E">
            <w:pPr>
              <w:pStyle w:val="NoSpacing"/>
              <w:jc w:val="center"/>
              <w:rPr>
                <w:rFonts w:ascii="Times New Roman" w:hAnsi="Times New Roman" w:cs="Times New Roman"/>
                <w:szCs w:val="24"/>
                <w:lang w:eastAsia="en-IN"/>
              </w:rPr>
            </w:pPr>
            <w:r w:rsidRPr="00BA1C8E">
              <w:rPr>
                <w:rFonts w:ascii="Times New Roman" w:hAnsi="Times New Roman" w:cs="Times New Roman"/>
                <w:szCs w:val="24"/>
                <w:lang w:eastAsia="en-IN"/>
              </w:rPr>
              <w:t>92.96</w:t>
            </w:r>
          </w:p>
        </w:tc>
        <w:tc>
          <w:tcPr>
            <w:tcW w:w="2459" w:type="dxa"/>
            <w:tcBorders>
              <w:top w:val="nil"/>
              <w:left w:val="nil"/>
              <w:bottom w:val="single" w:sz="4" w:space="0" w:color="auto"/>
              <w:right w:val="single" w:sz="4" w:space="0" w:color="auto"/>
            </w:tcBorders>
            <w:shd w:val="clear" w:color="000000" w:fill="FFFFFF"/>
            <w:vAlign w:val="center"/>
            <w:hideMark/>
          </w:tcPr>
          <w:p w14:paraId="3A02A6D0" w14:textId="77777777" w:rsidR="009A4387" w:rsidRPr="00BA1C8E" w:rsidRDefault="009A4387" w:rsidP="00BA1C8E">
            <w:pPr>
              <w:pStyle w:val="NoSpacing"/>
              <w:jc w:val="center"/>
              <w:rPr>
                <w:rFonts w:ascii="Times New Roman" w:hAnsi="Times New Roman" w:cs="Times New Roman"/>
                <w:szCs w:val="24"/>
                <w:lang w:eastAsia="en-IN"/>
              </w:rPr>
            </w:pPr>
            <w:r w:rsidRPr="00BA1C8E">
              <w:rPr>
                <w:rFonts w:ascii="Times New Roman" w:hAnsi="Times New Roman" w:cs="Times New Roman"/>
                <w:szCs w:val="24"/>
                <w:lang w:eastAsia="en-IN"/>
              </w:rPr>
              <w:t>30.84</w:t>
            </w:r>
          </w:p>
        </w:tc>
      </w:tr>
      <w:tr w:rsidR="009A4387" w:rsidRPr="00BA1C8E" w14:paraId="38A9F3C2" w14:textId="77777777" w:rsidTr="00BA1C8E">
        <w:trPr>
          <w:trHeight w:val="298"/>
          <w:jc w:val="center"/>
        </w:trPr>
        <w:tc>
          <w:tcPr>
            <w:tcW w:w="2568" w:type="dxa"/>
            <w:tcBorders>
              <w:top w:val="nil"/>
              <w:left w:val="single" w:sz="4" w:space="0" w:color="auto"/>
              <w:bottom w:val="single" w:sz="4" w:space="0" w:color="auto"/>
              <w:right w:val="single" w:sz="4" w:space="0" w:color="auto"/>
            </w:tcBorders>
            <w:shd w:val="clear" w:color="000000" w:fill="FFFFFF"/>
            <w:vAlign w:val="center"/>
            <w:hideMark/>
          </w:tcPr>
          <w:p w14:paraId="5A752AE1" w14:textId="77777777" w:rsidR="009A4387" w:rsidRPr="00BA1C8E" w:rsidRDefault="009A4387" w:rsidP="00B77C0B">
            <w:pPr>
              <w:pStyle w:val="NoSpacing"/>
              <w:rPr>
                <w:rFonts w:ascii="Times New Roman" w:hAnsi="Times New Roman" w:cs="Times New Roman"/>
                <w:szCs w:val="24"/>
                <w:lang w:eastAsia="en-IN"/>
              </w:rPr>
            </w:pPr>
            <w:r w:rsidRPr="00BA1C8E">
              <w:rPr>
                <w:rFonts w:ascii="Times New Roman" w:hAnsi="Times New Roman" w:cs="Times New Roman"/>
                <w:szCs w:val="24"/>
                <w:lang w:eastAsia="en-IN"/>
              </w:rPr>
              <w:t>Gujarat</w:t>
            </w:r>
          </w:p>
        </w:tc>
        <w:tc>
          <w:tcPr>
            <w:tcW w:w="2227" w:type="dxa"/>
            <w:tcBorders>
              <w:top w:val="nil"/>
              <w:left w:val="nil"/>
              <w:bottom w:val="single" w:sz="4" w:space="0" w:color="auto"/>
              <w:right w:val="single" w:sz="4" w:space="0" w:color="auto"/>
            </w:tcBorders>
            <w:shd w:val="clear" w:color="000000" w:fill="FFFFFF"/>
            <w:vAlign w:val="center"/>
            <w:hideMark/>
          </w:tcPr>
          <w:p w14:paraId="5BFACF28" w14:textId="066CE277" w:rsidR="009A4387" w:rsidRPr="00BA1C8E" w:rsidRDefault="009A4387" w:rsidP="00BA1C8E">
            <w:pPr>
              <w:pStyle w:val="NoSpacing"/>
              <w:jc w:val="center"/>
              <w:rPr>
                <w:rFonts w:ascii="Times New Roman" w:hAnsi="Times New Roman" w:cs="Times New Roman"/>
                <w:szCs w:val="24"/>
                <w:lang w:eastAsia="en-IN"/>
              </w:rPr>
            </w:pPr>
            <w:r w:rsidRPr="00BA1C8E">
              <w:rPr>
                <w:rFonts w:ascii="Times New Roman" w:hAnsi="Times New Roman" w:cs="Times New Roman"/>
                <w:szCs w:val="24"/>
                <w:lang w:eastAsia="en-IN"/>
              </w:rPr>
              <w:t>71.9</w:t>
            </w:r>
            <w:r w:rsidR="007770E0">
              <w:rPr>
                <w:rFonts w:ascii="Times New Roman" w:hAnsi="Times New Roman" w:cs="Times New Roman"/>
                <w:szCs w:val="24"/>
                <w:lang w:eastAsia="en-IN"/>
              </w:rPr>
              <w:t>0</w:t>
            </w:r>
          </w:p>
        </w:tc>
        <w:tc>
          <w:tcPr>
            <w:tcW w:w="1812" w:type="dxa"/>
            <w:tcBorders>
              <w:top w:val="nil"/>
              <w:left w:val="nil"/>
              <w:bottom w:val="single" w:sz="4" w:space="0" w:color="auto"/>
              <w:right w:val="single" w:sz="4" w:space="0" w:color="auto"/>
            </w:tcBorders>
            <w:shd w:val="clear" w:color="000000" w:fill="FFFFFF"/>
            <w:vAlign w:val="center"/>
            <w:hideMark/>
          </w:tcPr>
          <w:p w14:paraId="3FEA0E11" w14:textId="77777777" w:rsidR="009A4387" w:rsidRPr="00BA1C8E" w:rsidRDefault="009A4387" w:rsidP="00BA1C8E">
            <w:pPr>
              <w:pStyle w:val="NoSpacing"/>
              <w:jc w:val="center"/>
              <w:rPr>
                <w:rFonts w:ascii="Times New Roman" w:hAnsi="Times New Roman" w:cs="Times New Roman"/>
                <w:szCs w:val="24"/>
                <w:lang w:eastAsia="en-IN"/>
              </w:rPr>
            </w:pPr>
            <w:r w:rsidRPr="00BA1C8E">
              <w:rPr>
                <w:rFonts w:ascii="Times New Roman" w:hAnsi="Times New Roman" w:cs="Times New Roman"/>
                <w:szCs w:val="24"/>
                <w:lang w:eastAsia="en-IN"/>
              </w:rPr>
              <w:t>31.94</w:t>
            </w:r>
          </w:p>
        </w:tc>
        <w:tc>
          <w:tcPr>
            <w:tcW w:w="1813" w:type="dxa"/>
            <w:tcBorders>
              <w:top w:val="nil"/>
              <w:left w:val="nil"/>
              <w:bottom w:val="single" w:sz="4" w:space="0" w:color="auto"/>
              <w:right w:val="single" w:sz="4" w:space="0" w:color="auto"/>
            </w:tcBorders>
            <w:shd w:val="clear" w:color="000000" w:fill="FFFFFF"/>
            <w:vAlign w:val="center"/>
            <w:hideMark/>
          </w:tcPr>
          <w:p w14:paraId="112A8888" w14:textId="77777777" w:rsidR="009A4387" w:rsidRPr="00BA1C8E" w:rsidRDefault="009A4387" w:rsidP="00BA1C8E">
            <w:pPr>
              <w:pStyle w:val="NoSpacing"/>
              <w:jc w:val="center"/>
              <w:rPr>
                <w:rFonts w:ascii="Times New Roman" w:hAnsi="Times New Roman" w:cs="Times New Roman"/>
                <w:szCs w:val="24"/>
                <w:lang w:eastAsia="en-IN"/>
              </w:rPr>
            </w:pPr>
            <w:r w:rsidRPr="00BA1C8E">
              <w:rPr>
                <w:rFonts w:ascii="Times New Roman" w:hAnsi="Times New Roman" w:cs="Times New Roman"/>
                <w:szCs w:val="24"/>
                <w:lang w:eastAsia="en-IN"/>
              </w:rPr>
              <w:t>103.84</w:t>
            </w:r>
          </w:p>
        </w:tc>
        <w:tc>
          <w:tcPr>
            <w:tcW w:w="2459" w:type="dxa"/>
            <w:tcBorders>
              <w:top w:val="nil"/>
              <w:left w:val="nil"/>
              <w:bottom w:val="single" w:sz="4" w:space="0" w:color="auto"/>
              <w:right w:val="single" w:sz="4" w:space="0" w:color="auto"/>
            </w:tcBorders>
            <w:shd w:val="clear" w:color="000000" w:fill="FFFFFF"/>
            <w:vAlign w:val="center"/>
            <w:hideMark/>
          </w:tcPr>
          <w:p w14:paraId="27C48188" w14:textId="77777777" w:rsidR="009A4387" w:rsidRPr="00BA1C8E" w:rsidRDefault="009A4387" w:rsidP="00BA1C8E">
            <w:pPr>
              <w:pStyle w:val="NoSpacing"/>
              <w:jc w:val="center"/>
              <w:rPr>
                <w:rFonts w:ascii="Times New Roman" w:hAnsi="Times New Roman" w:cs="Times New Roman"/>
                <w:szCs w:val="24"/>
                <w:lang w:eastAsia="en-IN"/>
              </w:rPr>
            </w:pPr>
            <w:r w:rsidRPr="00BA1C8E">
              <w:rPr>
                <w:rFonts w:ascii="Times New Roman" w:hAnsi="Times New Roman" w:cs="Times New Roman"/>
                <w:szCs w:val="24"/>
                <w:lang w:eastAsia="en-IN"/>
              </w:rPr>
              <w:t>30.76</w:t>
            </w:r>
          </w:p>
        </w:tc>
      </w:tr>
      <w:tr w:rsidR="009A4387" w:rsidRPr="00BA1C8E" w14:paraId="0545F559" w14:textId="77777777" w:rsidTr="00BA1C8E">
        <w:trPr>
          <w:trHeight w:val="298"/>
          <w:jc w:val="center"/>
        </w:trPr>
        <w:tc>
          <w:tcPr>
            <w:tcW w:w="2568" w:type="dxa"/>
            <w:tcBorders>
              <w:top w:val="nil"/>
              <w:left w:val="single" w:sz="4" w:space="0" w:color="auto"/>
              <w:bottom w:val="single" w:sz="4" w:space="0" w:color="auto"/>
              <w:right w:val="single" w:sz="4" w:space="0" w:color="auto"/>
            </w:tcBorders>
            <w:shd w:val="clear" w:color="000000" w:fill="FFFFFF"/>
            <w:vAlign w:val="center"/>
            <w:hideMark/>
          </w:tcPr>
          <w:p w14:paraId="6AF9198A" w14:textId="77777777" w:rsidR="009A4387" w:rsidRPr="00BA1C8E" w:rsidRDefault="009A4387" w:rsidP="00B77C0B">
            <w:pPr>
              <w:pStyle w:val="NoSpacing"/>
              <w:rPr>
                <w:rFonts w:ascii="Times New Roman" w:hAnsi="Times New Roman" w:cs="Times New Roman"/>
                <w:szCs w:val="24"/>
                <w:lang w:eastAsia="en-IN"/>
              </w:rPr>
            </w:pPr>
            <w:r w:rsidRPr="00BA1C8E">
              <w:rPr>
                <w:rFonts w:ascii="Times New Roman" w:hAnsi="Times New Roman" w:cs="Times New Roman"/>
                <w:szCs w:val="24"/>
                <w:lang w:eastAsia="en-IN"/>
              </w:rPr>
              <w:t>Haryana</w:t>
            </w:r>
          </w:p>
        </w:tc>
        <w:tc>
          <w:tcPr>
            <w:tcW w:w="2227" w:type="dxa"/>
            <w:tcBorders>
              <w:top w:val="nil"/>
              <w:left w:val="nil"/>
              <w:bottom w:val="single" w:sz="4" w:space="0" w:color="auto"/>
              <w:right w:val="single" w:sz="4" w:space="0" w:color="auto"/>
            </w:tcBorders>
            <w:shd w:val="clear" w:color="000000" w:fill="FFFFFF"/>
            <w:vAlign w:val="center"/>
            <w:hideMark/>
          </w:tcPr>
          <w:p w14:paraId="7155A895" w14:textId="77777777" w:rsidR="009A4387" w:rsidRPr="00BA1C8E" w:rsidRDefault="009A4387" w:rsidP="00BA1C8E">
            <w:pPr>
              <w:pStyle w:val="NoSpacing"/>
              <w:jc w:val="center"/>
              <w:rPr>
                <w:rFonts w:ascii="Times New Roman" w:hAnsi="Times New Roman" w:cs="Times New Roman"/>
                <w:szCs w:val="24"/>
                <w:lang w:eastAsia="en-IN"/>
              </w:rPr>
            </w:pPr>
            <w:r w:rsidRPr="00BA1C8E">
              <w:rPr>
                <w:rFonts w:ascii="Times New Roman" w:hAnsi="Times New Roman" w:cs="Times New Roman"/>
                <w:szCs w:val="24"/>
                <w:lang w:eastAsia="en-IN"/>
              </w:rPr>
              <w:t>26.34</w:t>
            </w:r>
          </w:p>
        </w:tc>
        <w:tc>
          <w:tcPr>
            <w:tcW w:w="1812" w:type="dxa"/>
            <w:tcBorders>
              <w:top w:val="nil"/>
              <w:left w:val="nil"/>
              <w:bottom w:val="single" w:sz="4" w:space="0" w:color="auto"/>
              <w:right w:val="single" w:sz="4" w:space="0" w:color="auto"/>
            </w:tcBorders>
            <w:shd w:val="clear" w:color="000000" w:fill="FFFFFF"/>
            <w:vAlign w:val="center"/>
            <w:hideMark/>
          </w:tcPr>
          <w:p w14:paraId="7E315A3B" w14:textId="77777777" w:rsidR="009A4387" w:rsidRPr="00BA1C8E" w:rsidRDefault="009A4387" w:rsidP="00BA1C8E">
            <w:pPr>
              <w:pStyle w:val="NoSpacing"/>
              <w:jc w:val="center"/>
              <w:rPr>
                <w:rFonts w:ascii="Times New Roman" w:hAnsi="Times New Roman" w:cs="Times New Roman"/>
                <w:szCs w:val="24"/>
                <w:lang w:eastAsia="en-IN"/>
              </w:rPr>
            </w:pPr>
            <w:r w:rsidRPr="00BA1C8E">
              <w:rPr>
                <w:rFonts w:ascii="Times New Roman" w:hAnsi="Times New Roman" w:cs="Times New Roman"/>
                <w:szCs w:val="24"/>
                <w:lang w:eastAsia="en-IN"/>
              </w:rPr>
              <w:t>22.02</w:t>
            </w:r>
          </w:p>
        </w:tc>
        <w:tc>
          <w:tcPr>
            <w:tcW w:w="1813" w:type="dxa"/>
            <w:tcBorders>
              <w:top w:val="nil"/>
              <w:left w:val="nil"/>
              <w:bottom w:val="single" w:sz="4" w:space="0" w:color="auto"/>
              <w:right w:val="single" w:sz="4" w:space="0" w:color="auto"/>
            </w:tcBorders>
            <w:shd w:val="clear" w:color="000000" w:fill="FFFFFF"/>
            <w:vAlign w:val="center"/>
            <w:hideMark/>
          </w:tcPr>
          <w:p w14:paraId="465F7E3F" w14:textId="77777777" w:rsidR="009A4387" w:rsidRPr="00BA1C8E" w:rsidRDefault="009A4387" w:rsidP="00BA1C8E">
            <w:pPr>
              <w:pStyle w:val="NoSpacing"/>
              <w:jc w:val="center"/>
              <w:rPr>
                <w:rFonts w:ascii="Times New Roman" w:hAnsi="Times New Roman" w:cs="Times New Roman"/>
                <w:szCs w:val="24"/>
                <w:lang w:eastAsia="en-IN"/>
              </w:rPr>
            </w:pPr>
            <w:r w:rsidRPr="00BA1C8E">
              <w:rPr>
                <w:rFonts w:ascii="Times New Roman" w:hAnsi="Times New Roman" w:cs="Times New Roman"/>
                <w:szCs w:val="24"/>
                <w:lang w:eastAsia="en-IN"/>
              </w:rPr>
              <w:t>48.36</w:t>
            </w:r>
          </w:p>
        </w:tc>
        <w:tc>
          <w:tcPr>
            <w:tcW w:w="2459" w:type="dxa"/>
            <w:tcBorders>
              <w:top w:val="nil"/>
              <w:left w:val="nil"/>
              <w:bottom w:val="single" w:sz="4" w:space="0" w:color="auto"/>
              <w:right w:val="single" w:sz="4" w:space="0" w:color="auto"/>
            </w:tcBorders>
            <w:shd w:val="clear" w:color="000000" w:fill="FFFFFF"/>
            <w:vAlign w:val="center"/>
            <w:hideMark/>
          </w:tcPr>
          <w:p w14:paraId="587B179E" w14:textId="77777777" w:rsidR="009A4387" w:rsidRPr="00BA1C8E" w:rsidRDefault="009A4387" w:rsidP="00BA1C8E">
            <w:pPr>
              <w:pStyle w:val="NoSpacing"/>
              <w:jc w:val="center"/>
              <w:rPr>
                <w:rFonts w:ascii="Times New Roman" w:hAnsi="Times New Roman" w:cs="Times New Roman"/>
                <w:szCs w:val="24"/>
                <w:lang w:eastAsia="en-IN"/>
              </w:rPr>
            </w:pPr>
            <w:r w:rsidRPr="00BA1C8E">
              <w:rPr>
                <w:rFonts w:ascii="Times New Roman" w:hAnsi="Times New Roman" w:cs="Times New Roman"/>
                <w:szCs w:val="24"/>
                <w:lang w:eastAsia="en-IN"/>
              </w:rPr>
              <w:t>45.53</w:t>
            </w:r>
          </w:p>
        </w:tc>
      </w:tr>
      <w:tr w:rsidR="009A4387" w:rsidRPr="00BA1C8E" w14:paraId="36D41797" w14:textId="77777777" w:rsidTr="00BA1C8E">
        <w:trPr>
          <w:trHeight w:val="597"/>
          <w:jc w:val="center"/>
        </w:trPr>
        <w:tc>
          <w:tcPr>
            <w:tcW w:w="2568" w:type="dxa"/>
            <w:tcBorders>
              <w:top w:val="nil"/>
              <w:left w:val="single" w:sz="4" w:space="0" w:color="auto"/>
              <w:bottom w:val="single" w:sz="4" w:space="0" w:color="auto"/>
              <w:right w:val="single" w:sz="4" w:space="0" w:color="auto"/>
            </w:tcBorders>
            <w:shd w:val="clear" w:color="000000" w:fill="FFFFFF"/>
            <w:vAlign w:val="center"/>
            <w:hideMark/>
          </w:tcPr>
          <w:p w14:paraId="67E20EDA" w14:textId="77777777" w:rsidR="009A4387" w:rsidRPr="00BA1C8E" w:rsidRDefault="009A4387" w:rsidP="00B77C0B">
            <w:pPr>
              <w:pStyle w:val="NoSpacing"/>
              <w:rPr>
                <w:rFonts w:ascii="Times New Roman" w:hAnsi="Times New Roman" w:cs="Times New Roman"/>
                <w:szCs w:val="24"/>
                <w:lang w:eastAsia="en-IN"/>
              </w:rPr>
            </w:pPr>
            <w:r w:rsidRPr="00BA1C8E">
              <w:rPr>
                <w:rFonts w:ascii="Times New Roman" w:hAnsi="Times New Roman" w:cs="Times New Roman"/>
                <w:szCs w:val="24"/>
                <w:lang w:eastAsia="en-IN"/>
              </w:rPr>
              <w:t>Jammu &amp; Kashmir</w:t>
            </w:r>
          </w:p>
        </w:tc>
        <w:tc>
          <w:tcPr>
            <w:tcW w:w="2227" w:type="dxa"/>
            <w:tcBorders>
              <w:top w:val="nil"/>
              <w:left w:val="nil"/>
              <w:bottom w:val="single" w:sz="4" w:space="0" w:color="auto"/>
              <w:right w:val="single" w:sz="4" w:space="0" w:color="auto"/>
            </w:tcBorders>
            <w:shd w:val="clear" w:color="000000" w:fill="FFFFFF"/>
            <w:vAlign w:val="center"/>
            <w:hideMark/>
          </w:tcPr>
          <w:p w14:paraId="6660B1E3" w14:textId="77777777" w:rsidR="009A4387" w:rsidRPr="00BA1C8E" w:rsidRDefault="009A4387" w:rsidP="00BA1C8E">
            <w:pPr>
              <w:pStyle w:val="NoSpacing"/>
              <w:jc w:val="center"/>
              <w:rPr>
                <w:rFonts w:ascii="Times New Roman" w:hAnsi="Times New Roman" w:cs="Times New Roman"/>
                <w:szCs w:val="24"/>
                <w:lang w:eastAsia="en-IN"/>
              </w:rPr>
            </w:pPr>
            <w:r w:rsidRPr="00BA1C8E">
              <w:rPr>
                <w:rFonts w:ascii="Times New Roman" w:hAnsi="Times New Roman" w:cs="Times New Roman"/>
                <w:szCs w:val="24"/>
                <w:lang w:eastAsia="en-IN"/>
              </w:rPr>
              <w:t>7.58</w:t>
            </w:r>
          </w:p>
        </w:tc>
        <w:tc>
          <w:tcPr>
            <w:tcW w:w="1812" w:type="dxa"/>
            <w:tcBorders>
              <w:top w:val="nil"/>
              <w:left w:val="nil"/>
              <w:bottom w:val="single" w:sz="4" w:space="0" w:color="auto"/>
              <w:right w:val="single" w:sz="4" w:space="0" w:color="auto"/>
            </w:tcBorders>
            <w:shd w:val="clear" w:color="000000" w:fill="FFFFFF"/>
            <w:vAlign w:val="center"/>
            <w:hideMark/>
          </w:tcPr>
          <w:p w14:paraId="26953280" w14:textId="77777777" w:rsidR="009A4387" w:rsidRPr="00BA1C8E" w:rsidRDefault="009A4387" w:rsidP="00BA1C8E">
            <w:pPr>
              <w:pStyle w:val="NoSpacing"/>
              <w:jc w:val="center"/>
              <w:rPr>
                <w:rFonts w:ascii="Times New Roman" w:hAnsi="Times New Roman" w:cs="Times New Roman"/>
                <w:szCs w:val="24"/>
                <w:lang w:eastAsia="en-IN"/>
              </w:rPr>
            </w:pPr>
            <w:r w:rsidRPr="00BA1C8E">
              <w:rPr>
                <w:rFonts w:ascii="Times New Roman" w:hAnsi="Times New Roman" w:cs="Times New Roman"/>
                <w:szCs w:val="24"/>
                <w:lang w:eastAsia="en-IN"/>
              </w:rPr>
              <w:t>12.85</w:t>
            </w:r>
          </w:p>
        </w:tc>
        <w:tc>
          <w:tcPr>
            <w:tcW w:w="1813" w:type="dxa"/>
            <w:tcBorders>
              <w:top w:val="nil"/>
              <w:left w:val="nil"/>
              <w:bottom w:val="single" w:sz="4" w:space="0" w:color="auto"/>
              <w:right w:val="single" w:sz="4" w:space="0" w:color="auto"/>
            </w:tcBorders>
            <w:shd w:val="clear" w:color="000000" w:fill="FFFFFF"/>
            <w:vAlign w:val="center"/>
            <w:hideMark/>
          </w:tcPr>
          <w:p w14:paraId="44BF1498" w14:textId="77777777" w:rsidR="009A4387" w:rsidRPr="00BA1C8E" w:rsidRDefault="009A4387" w:rsidP="00BA1C8E">
            <w:pPr>
              <w:pStyle w:val="NoSpacing"/>
              <w:jc w:val="center"/>
              <w:rPr>
                <w:rFonts w:ascii="Times New Roman" w:hAnsi="Times New Roman" w:cs="Times New Roman"/>
                <w:szCs w:val="24"/>
                <w:lang w:eastAsia="en-IN"/>
              </w:rPr>
            </w:pPr>
            <w:r w:rsidRPr="00BA1C8E">
              <w:rPr>
                <w:rFonts w:ascii="Times New Roman" w:hAnsi="Times New Roman" w:cs="Times New Roman"/>
                <w:szCs w:val="24"/>
                <w:lang w:eastAsia="en-IN"/>
              </w:rPr>
              <w:t>20.43</w:t>
            </w:r>
          </w:p>
        </w:tc>
        <w:tc>
          <w:tcPr>
            <w:tcW w:w="2459" w:type="dxa"/>
            <w:tcBorders>
              <w:top w:val="nil"/>
              <w:left w:val="nil"/>
              <w:bottom w:val="single" w:sz="4" w:space="0" w:color="auto"/>
              <w:right w:val="single" w:sz="4" w:space="0" w:color="auto"/>
            </w:tcBorders>
            <w:shd w:val="clear" w:color="000000" w:fill="FFFFFF"/>
            <w:vAlign w:val="center"/>
            <w:hideMark/>
          </w:tcPr>
          <w:p w14:paraId="7185D89E" w14:textId="1A38A927" w:rsidR="009A4387" w:rsidRPr="00BA1C8E" w:rsidRDefault="009A4387" w:rsidP="00BA1C8E">
            <w:pPr>
              <w:pStyle w:val="NoSpacing"/>
              <w:jc w:val="center"/>
              <w:rPr>
                <w:rFonts w:ascii="Times New Roman" w:hAnsi="Times New Roman" w:cs="Times New Roman"/>
                <w:szCs w:val="24"/>
                <w:lang w:eastAsia="en-IN"/>
              </w:rPr>
            </w:pPr>
            <w:r w:rsidRPr="00BA1C8E">
              <w:rPr>
                <w:rFonts w:ascii="Times New Roman" w:hAnsi="Times New Roman" w:cs="Times New Roman"/>
                <w:szCs w:val="24"/>
                <w:lang w:eastAsia="en-IN"/>
              </w:rPr>
              <w:t>62.9</w:t>
            </w:r>
            <w:r w:rsidR="007770E0">
              <w:rPr>
                <w:rFonts w:ascii="Times New Roman" w:hAnsi="Times New Roman" w:cs="Times New Roman"/>
                <w:szCs w:val="24"/>
                <w:lang w:eastAsia="en-IN"/>
              </w:rPr>
              <w:t>0</w:t>
            </w:r>
          </w:p>
        </w:tc>
      </w:tr>
      <w:tr w:rsidR="009A4387" w:rsidRPr="00BA1C8E" w14:paraId="564674F5" w14:textId="77777777" w:rsidTr="00BA1C8E">
        <w:trPr>
          <w:trHeight w:val="298"/>
          <w:jc w:val="center"/>
        </w:trPr>
        <w:tc>
          <w:tcPr>
            <w:tcW w:w="2568" w:type="dxa"/>
            <w:tcBorders>
              <w:top w:val="nil"/>
              <w:left w:val="single" w:sz="4" w:space="0" w:color="auto"/>
              <w:bottom w:val="single" w:sz="4" w:space="0" w:color="auto"/>
              <w:right w:val="single" w:sz="4" w:space="0" w:color="auto"/>
            </w:tcBorders>
            <w:shd w:val="clear" w:color="000000" w:fill="FFFFFF"/>
            <w:vAlign w:val="center"/>
            <w:hideMark/>
          </w:tcPr>
          <w:p w14:paraId="0199CECE" w14:textId="77777777" w:rsidR="009A4387" w:rsidRPr="00BA1C8E" w:rsidRDefault="009A4387" w:rsidP="00B77C0B">
            <w:pPr>
              <w:pStyle w:val="NoSpacing"/>
              <w:rPr>
                <w:rFonts w:ascii="Times New Roman" w:hAnsi="Times New Roman" w:cs="Times New Roman"/>
                <w:szCs w:val="24"/>
                <w:lang w:eastAsia="en-IN"/>
              </w:rPr>
            </w:pPr>
            <w:r w:rsidRPr="00BA1C8E">
              <w:rPr>
                <w:rFonts w:ascii="Times New Roman" w:hAnsi="Times New Roman" w:cs="Times New Roman"/>
                <w:szCs w:val="24"/>
                <w:lang w:eastAsia="en-IN"/>
              </w:rPr>
              <w:t>Kerala</w:t>
            </w:r>
          </w:p>
        </w:tc>
        <w:tc>
          <w:tcPr>
            <w:tcW w:w="2227" w:type="dxa"/>
            <w:tcBorders>
              <w:top w:val="nil"/>
              <w:left w:val="nil"/>
              <w:bottom w:val="single" w:sz="4" w:space="0" w:color="auto"/>
              <w:right w:val="single" w:sz="4" w:space="0" w:color="auto"/>
            </w:tcBorders>
            <w:shd w:val="clear" w:color="000000" w:fill="FFFFFF"/>
            <w:vAlign w:val="center"/>
            <w:hideMark/>
          </w:tcPr>
          <w:p w14:paraId="049F6B3D" w14:textId="77777777" w:rsidR="009A4387" w:rsidRPr="00BA1C8E" w:rsidRDefault="009A4387" w:rsidP="00BA1C8E">
            <w:pPr>
              <w:pStyle w:val="NoSpacing"/>
              <w:jc w:val="center"/>
              <w:rPr>
                <w:rFonts w:ascii="Times New Roman" w:hAnsi="Times New Roman" w:cs="Times New Roman"/>
                <w:szCs w:val="24"/>
                <w:lang w:eastAsia="en-IN"/>
              </w:rPr>
            </w:pPr>
            <w:r w:rsidRPr="00BA1C8E">
              <w:rPr>
                <w:rFonts w:ascii="Times New Roman" w:hAnsi="Times New Roman" w:cs="Times New Roman"/>
                <w:szCs w:val="24"/>
                <w:lang w:eastAsia="en-IN"/>
              </w:rPr>
              <w:t>53.79</w:t>
            </w:r>
          </w:p>
        </w:tc>
        <w:tc>
          <w:tcPr>
            <w:tcW w:w="1812" w:type="dxa"/>
            <w:tcBorders>
              <w:top w:val="nil"/>
              <w:left w:val="nil"/>
              <w:bottom w:val="single" w:sz="4" w:space="0" w:color="auto"/>
              <w:right w:val="single" w:sz="4" w:space="0" w:color="auto"/>
            </w:tcBorders>
            <w:shd w:val="clear" w:color="000000" w:fill="FFFFFF"/>
            <w:vAlign w:val="center"/>
            <w:hideMark/>
          </w:tcPr>
          <w:p w14:paraId="72E1B1B0" w14:textId="77777777" w:rsidR="009A4387" w:rsidRPr="00BA1C8E" w:rsidRDefault="009A4387" w:rsidP="00BA1C8E">
            <w:pPr>
              <w:pStyle w:val="NoSpacing"/>
              <w:jc w:val="center"/>
              <w:rPr>
                <w:rFonts w:ascii="Times New Roman" w:hAnsi="Times New Roman" w:cs="Times New Roman"/>
                <w:szCs w:val="24"/>
                <w:lang w:eastAsia="en-IN"/>
              </w:rPr>
            </w:pPr>
            <w:r w:rsidRPr="00BA1C8E">
              <w:rPr>
                <w:rFonts w:ascii="Times New Roman" w:hAnsi="Times New Roman" w:cs="Times New Roman"/>
                <w:szCs w:val="24"/>
                <w:lang w:eastAsia="en-IN"/>
              </w:rPr>
              <w:t>23.69</w:t>
            </w:r>
          </w:p>
        </w:tc>
        <w:tc>
          <w:tcPr>
            <w:tcW w:w="1813" w:type="dxa"/>
            <w:tcBorders>
              <w:top w:val="nil"/>
              <w:left w:val="nil"/>
              <w:bottom w:val="single" w:sz="4" w:space="0" w:color="auto"/>
              <w:right w:val="single" w:sz="4" w:space="0" w:color="auto"/>
            </w:tcBorders>
            <w:shd w:val="clear" w:color="000000" w:fill="FFFFFF"/>
            <w:vAlign w:val="center"/>
            <w:hideMark/>
          </w:tcPr>
          <w:p w14:paraId="576AB0EB" w14:textId="77777777" w:rsidR="009A4387" w:rsidRPr="00BA1C8E" w:rsidRDefault="009A4387" w:rsidP="00BA1C8E">
            <w:pPr>
              <w:pStyle w:val="NoSpacing"/>
              <w:jc w:val="center"/>
              <w:rPr>
                <w:rFonts w:ascii="Times New Roman" w:hAnsi="Times New Roman" w:cs="Times New Roman"/>
                <w:szCs w:val="24"/>
                <w:lang w:eastAsia="en-IN"/>
              </w:rPr>
            </w:pPr>
            <w:r w:rsidRPr="00BA1C8E">
              <w:rPr>
                <w:rFonts w:ascii="Times New Roman" w:hAnsi="Times New Roman" w:cs="Times New Roman"/>
                <w:szCs w:val="24"/>
                <w:lang w:eastAsia="en-IN"/>
              </w:rPr>
              <w:t>77.48</w:t>
            </w:r>
          </w:p>
        </w:tc>
        <w:tc>
          <w:tcPr>
            <w:tcW w:w="2459" w:type="dxa"/>
            <w:tcBorders>
              <w:top w:val="nil"/>
              <w:left w:val="nil"/>
              <w:bottom w:val="single" w:sz="4" w:space="0" w:color="auto"/>
              <w:right w:val="single" w:sz="4" w:space="0" w:color="auto"/>
            </w:tcBorders>
            <w:shd w:val="clear" w:color="000000" w:fill="FFFFFF"/>
            <w:vAlign w:val="center"/>
            <w:hideMark/>
          </w:tcPr>
          <w:p w14:paraId="33120B40" w14:textId="77777777" w:rsidR="009A4387" w:rsidRPr="00BA1C8E" w:rsidRDefault="009A4387" w:rsidP="00BA1C8E">
            <w:pPr>
              <w:pStyle w:val="NoSpacing"/>
              <w:jc w:val="center"/>
              <w:rPr>
                <w:rFonts w:ascii="Times New Roman" w:hAnsi="Times New Roman" w:cs="Times New Roman"/>
                <w:szCs w:val="24"/>
                <w:lang w:eastAsia="en-IN"/>
              </w:rPr>
            </w:pPr>
            <w:r w:rsidRPr="00BA1C8E">
              <w:rPr>
                <w:rFonts w:ascii="Times New Roman" w:hAnsi="Times New Roman" w:cs="Times New Roman"/>
                <w:szCs w:val="24"/>
                <w:lang w:eastAsia="en-IN"/>
              </w:rPr>
              <w:t>30.58</w:t>
            </w:r>
          </w:p>
        </w:tc>
      </w:tr>
      <w:tr w:rsidR="009A4387" w:rsidRPr="00BA1C8E" w14:paraId="23FE7489" w14:textId="77777777" w:rsidTr="00BA1C8E">
        <w:trPr>
          <w:trHeight w:val="597"/>
          <w:jc w:val="center"/>
        </w:trPr>
        <w:tc>
          <w:tcPr>
            <w:tcW w:w="2568" w:type="dxa"/>
            <w:tcBorders>
              <w:top w:val="nil"/>
              <w:left w:val="single" w:sz="4" w:space="0" w:color="auto"/>
              <w:bottom w:val="single" w:sz="4" w:space="0" w:color="auto"/>
              <w:right w:val="single" w:sz="4" w:space="0" w:color="auto"/>
            </w:tcBorders>
            <w:shd w:val="clear" w:color="000000" w:fill="FFFFFF"/>
            <w:vAlign w:val="center"/>
            <w:hideMark/>
          </w:tcPr>
          <w:p w14:paraId="6801CB9E" w14:textId="77777777" w:rsidR="009A4387" w:rsidRPr="00BA1C8E" w:rsidRDefault="009A4387" w:rsidP="00B77C0B">
            <w:pPr>
              <w:pStyle w:val="NoSpacing"/>
              <w:rPr>
                <w:rFonts w:ascii="Times New Roman" w:hAnsi="Times New Roman" w:cs="Times New Roman"/>
                <w:szCs w:val="24"/>
                <w:lang w:eastAsia="en-IN"/>
              </w:rPr>
            </w:pPr>
            <w:r w:rsidRPr="00BA1C8E">
              <w:rPr>
                <w:rFonts w:ascii="Times New Roman" w:hAnsi="Times New Roman" w:cs="Times New Roman"/>
                <w:szCs w:val="24"/>
                <w:lang w:eastAsia="en-IN"/>
              </w:rPr>
              <w:t>Madhya Pradesh</w:t>
            </w:r>
          </w:p>
        </w:tc>
        <w:tc>
          <w:tcPr>
            <w:tcW w:w="2227" w:type="dxa"/>
            <w:tcBorders>
              <w:top w:val="nil"/>
              <w:left w:val="nil"/>
              <w:bottom w:val="single" w:sz="4" w:space="0" w:color="auto"/>
              <w:right w:val="single" w:sz="4" w:space="0" w:color="auto"/>
            </w:tcBorders>
            <w:shd w:val="clear" w:color="000000" w:fill="FFFFFF"/>
            <w:vAlign w:val="center"/>
            <w:hideMark/>
          </w:tcPr>
          <w:p w14:paraId="27ED6CD4" w14:textId="77777777" w:rsidR="009A4387" w:rsidRPr="00BA1C8E" w:rsidRDefault="009A4387" w:rsidP="00BA1C8E">
            <w:pPr>
              <w:pStyle w:val="NoSpacing"/>
              <w:jc w:val="center"/>
              <w:rPr>
                <w:rFonts w:ascii="Times New Roman" w:hAnsi="Times New Roman" w:cs="Times New Roman"/>
                <w:szCs w:val="24"/>
                <w:lang w:eastAsia="en-IN"/>
              </w:rPr>
            </w:pPr>
            <w:r w:rsidRPr="00BA1C8E">
              <w:rPr>
                <w:rFonts w:ascii="Times New Roman" w:hAnsi="Times New Roman" w:cs="Times New Roman"/>
                <w:szCs w:val="24"/>
                <w:lang w:eastAsia="en-IN"/>
              </w:rPr>
              <w:t>63.54</w:t>
            </w:r>
          </w:p>
        </w:tc>
        <w:tc>
          <w:tcPr>
            <w:tcW w:w="1812" w:type="dxa"/>
            <w:tcBorders>
              <w:top w:val="nil"/>
              <w:left w:val="nil"/>
              <w:bottom w:val="single" w:sz="4" w:space="0" w:color="auto"/>
              <w:right w:val="single" w:sz="4" w:space="0" w:color="auto"/>
            </w:tcBorders>
            <w:shd w:val="clear" w:color="000000" w:fill="FFFFFF"/>
            <w:vAlign w:val="center"/>
            <w:hideMark/>
          </w:tcPr>
          <w:p w14:paraId="5A74C13A" w14:textId="77777777" w:rsidR="009A4387" w:rsidRPr="00BA1C8E" w:rsidRDefault="009A4387" w:rsidP="00BA1C8E">
            <w:pPr>
              <w:pStyle w:val="NoSpacing"/>
              <w:jc w:val="center"/>
              <w:rPr>
                <w:rFonts w:ascii="Times New Roman" w:hAnsi="Times New Roman" w:cs="Times New Roman"/>
                <w:szCs w:val="24"/>
                <w:lang w:eastAsia="en-IN"/>
              </w:rPr>
            </w:pPr>
            <w:r w:rsidRPr="00BA1C8E">
              <w:rPr>
                <w:rFonts w:ascii="Times New Roman" w:hAnsi="Times New Roman" w:cs="Times New Roman"/>
                <w:szCs w:val="24"/>
                <w:lang w:eastAsia="en-IN"/>
              </w:rPr>
              <w:t>43.65</w:t>
            </w:r>
          </w:p>
        </w:tc>
        <w:tc>
          <w:tcPr>
            <w:tcW w:w="1813" w:type="dxa"/>
            <w:tcBorders>
              <w:top w:val="nil"/>
              <w:left w:val="nil"/>
              <w:bottom w:val="single" w:sz="4" w:space="0" w:color="auto"/>
              <w:right w:val="single" w:sz="4" w:space="0" w:color="auto"/>
            </w:tcBorders>
            <w:shd w:val="clear" w:color="000000" w:fill="FFFFFF"/>
            <w:vAlign w:val="center"/>
            <w:hideMark/>
          </w:tcPr>
          <w:p w14:paraId="4C25C176" w14:textId="77777777" w:rsidR="009A4387" w:rsidRPr="00BA1C8E" w:rsidRDefault="009A4387" w:rsidP="00BA1C8E">
            <w:pPr>
              <w:pStyle w:val="NoSpacing"/>
              <w:jc w:val="center"/>
              <w:rPr>
                <w:rFonts w:ascii="Times New Roman" w:hAnsi="Times New Roman" w:cs="Times New Roman"/>
                <w:szCs w:val="24"/>
                <w:lang w:eastAsia="en-IN"/>
              </w:rPr>
            </w:pPr>
            <w:r w:rsidRPr="00BA1C8E">
              <w:rPr>
                <w:rFonts w:ascii="Times New Roman" w:hAnsi="Times New Roman" w:cs="Times New Roman"/>
                <w:szCs w:val="24"/>
                <w:lang w:eastAsia="en-IN"/>
              </w:rPr>
              <w:t>107.19</w:t>
            </w:r>
          </w:p>
        </w:tc>
        <w:tc>
          <w:tcPr>
            <w:tcW w:w="2459" w:type="dxa"/>
            <w:tcBorders>
              <w:top w:val="nil"/>
              <w:left w:val="nil"/>
              <w:bottom w:val="single" w:sz="4" w:space="0" w:color="auto"/>
              <w:right w:val="single" w:sz="4" w:space="0" w:color="auto"/>
            </w:tcBorders>
            <w:shd w:val="clear" w:color="000000" w:fill="FFFFFF"/>
            <w:vAlign w:val="center"/>
            <w:hideMark/>
          </w:tcPr>
          <w:p w14:paraId="5F7B9B37" w14:textId="77777777" w:rsidR="009A4387" w:rsidRPr="00BA1C8E" w:rsidRDefault="009A4387" w:rsidP="00BA1C8E">
            <w:pPr>
              <w:pStyle w:val="NoSpacing"/>
              <w:jc w:val="center"/>
              <w:rPr>
                <w:rFonts w:ascii="Times New Roman" w:hAnsi="Times New Roman" w:cs="Times New Roman"/>
                <w:szCs w:val="24"/>
                <w:lang w:eastAsia="en-IN"/>
              </w:rPr>
            </w:pPr>
            <w:r w:rsidRPr="00BA1C8E">
              <w:rPr>
                <w:rFonts w:ascii="Times New Roman" w:hAnsi="Times New Roman" w:cs="Times New Roman"/>
                <w:szCs w:val="24"/>
                <w:lang w:eastAsia="en-IN"/>
              </w:rPr>
              <w:t>40.72</w:t>
            </w:r>
          </w:p>
        </w:tc>
      </w:tr>
      <w:tr w:rsidR="009A4387" w:rsidRPr="00BA1C8E" w14:paraId="22250F05" w14:textId="77777777" w:rsidTr="00BA1C8E">
        <w:trPr>
          <w:trHeight w:val="298"/>
          <w:jc w:val="center"/>
        </w:trPr>
        <w:tc>
          <w:tcPr>
            <w:tcW w:w="2568" w:type="dxa"/>
            <w:tcBorders>
              <w:top w:val="nil"/>
              <w:left w:val="single" w:sz="4" w:space="0" w:color="auto"/>
              <w:bottom w:val="single" w:sz="4" w:space="0" w:color="auto"/>
              <w:right w:val="single" w:sz="4" w:space="0" w:color="auto"/>
            </w:tcBorders>
            <w:shd w:val="clear" w:color="000000" w:fill="FFFFFF"/>
            <w:vAlign w:val="center"/>
            <w:hideMark/>
          </w:tcPr>
          <w:p w14:paraId="73C9604B" w14:textId="77777777" w:rsidR="009A4387" w:rsidRPr="00BA1C8E" w:rsidRDefault="009A4387" w:rsidP="00B77C0B">
            <w:pPr>
              <w:pStyle w:val="NoSpacing"/>
              <w:rPr>
                <w:rFonts w:ascii="Times New Roman" w:hAnsi="Times New Roman" w:cs="Times New Roman"/>
                <w:szCs w:val="24"/>
                <w:lang w:eastAsia="en-IN"/>
              </w:rPr>
            </w:pPr>
            <w:r w:rsidRPr="00BA1C8E">
              <w:rPr>
                <w:rFonts w:ascii="Times New Roman" w:hAnsi="Times New Roman" w:cs="Times New Roman"/>
                <w:szCs w:val="24"/>
                <w:lang w:eastAsia="en-IN"/>
              </w:rPr>
              <w:t>Maharashtra</w:t>
            </w:r>
          </w:p>
        </w:tc>
        <w:tc>
          <w:tcPr>
            <w:tcW w:w="2227" w:type="dxa"/>
            <w:tcBorders>
              <w:top w:val="nil"/>
              <w:left w:val="nil"/>
              <w:bottom w:val="single" w:sz="4" w:space="0" w:color="auto"/>
              <w:right w:val="single" w:sz="4" w:space="0" w:color="auto"/>
            </w:tcBorders>
            <w:shd w:val="clear" w:color="000000" w:fill="FFFFFF"/>
            <w:vAlign w:val="center"/>
            <w:hideMark/>
          </w:tcPr>
          <w:p w14:paraId="0F8003C0" w14:textId="77777777" w:rsidR="009A4387" w:rsidRPr="00BA1C8E" w:rsidRDefault="009A4387" w:rsidP="00BA1C8E">
            <w:pPr>
              <w:pStyle w:val="NoSpacing"/>
              <w:jc w:val="center"/>
              <w:rPr>
                <w:rFonts w:ascii="Times New Roman" w:hAnsi="Times New Roman" w:cs="Times New Roman"/>
                <w:szCs w:val="24"/>
                <w:lang w:eastAsia="en-IN"/>
              </w:rPr>
            </w:pPr>
            <w:r w:rsidRPr="00BA1C8E">
              <w:rPr>
                <w:rFonts w:ascii="Times New Roman" w:hAnsi="Times New Roman" w:cs="Times New Roman"/>
                <w:szCs w:val="24"/>
                <w:lang w:eastAsia="en-IN"/>
              </w:rPr>
              <w:t>168.28</w:t>
            </w:r>
          </w:p>
        </w:tc>
        <w:tc>
          <w:tcPr>
            <w:tcW w:w="1812" w:type="dxa"/>
            <w:tcBorders>
              <w:top w:val="nil"/>
              <w:left w:val="nil"/>
              <w:bottom w:val="single" w:sz="4" w:space="0" w:color="auto"/>
              <w:right w:val="single" w:sz="4" w:space="0" w:color="auto"/>
            </w:tcBorders>
            <w:shd w:val="clear" w:color="000000" w:fill="FFFFFF"/>
            <w:vAlign w:val="center"/>
            <w:hideMark/>
          </w:tcPr>
          <w:p w14:paraId="3D1CA2CF" w14:textId="77777777" w:rsidR="009A4387" w:rsidRPr="00BA1C8E" w:rsidRDefault="009A4387" w:rsidP="00BA1C8E">
            <w:pPr>
              <w:pStyle w:val="NoSpacing"/>
              <w:jc w:val="center"/>
              <w:rPr>
                <w:rFonts w:ascii="Times New Roman" w:hAnsi="Times New Roman" w:cs="Times New Roman"/>
                <w:szCs w:val="24"/>
                <w:lang w:eastAsia="en-IN"/>
              </w:rPr>
            </w:pPr>
            <w:r w:rsidRPr="00BA1C8E">
              <w:rPr>
                <w:rFonts w:ascii="Times New Roman" w:hAnsi="Times New Roman" w:cs="Times New Roman"/>
                <w:szCs w:val="24"/>
                <w:lang w:eastAsia="en-IN"/>
              </w:rPr>
              <w:t>63.45</w:t>
            </w:r>
          </w:p>
        </w:tc>
        <w:tc>
          <w:tcPr>
            <w:tcW w:w="1813" w:type="dxa"/>
            <w:tcBorders>
              <w:top w:val="nil"/>
              <w:left w:val="nil"/>
              <w:bottom w:val="single" w:sz="4" w:space="0" w:color="auto"/>
              <w:right w:val="single" w:sz="4" w:space="0" w:color="auto"/>
            </w:tcBorders>
            <w:shd w:val="clear" w:color="000000" w:fill="FFFFFF"/>
            <w:vAlign w:val="center"/>
            <w:hideMark/>
          </w:tcPr>
          <w:p w14:paraId="0E9EB2AC" w14:textId="77777777" w:rsidR="009A4387" w:rsidRPr="00BA1C8E" w:rsidRDefault="009A4387" w:rsidP="00BA1C8E">
            <w:pPr>
              <w:pStyle w:val="NoSpacing"/>
              <w:jc w:val="center"/>
              <w:rPr>
                <w:rFonts w:ascii="Times New Roman" w:hAnsi="Times New Roman" w:cs="Times New Roman"/>
                <w:szCs w:val="24"/>
                <w:lang w:eastAsia="en-IN"/>
              </w:rPr>
            </w:pPr>
            <w:r w:rsidRPr="00BA1C8E">
              <w:rPr>
                <w:rFonts w:ascii="Times New Roman" w:hAnsi="Times New Roman" w:cs="Times New Roman"/>
                <w:szCs w:val="24"/>
                <w:lang w:eastAsia="en-IN"/>
              </w:rPr>
              <w:t>231.73</w:t>
            </w:r>
          </w:p>
        </w:tc>
        <w:tc>
          <w:tcPr>
            <w:tcW w:w="2459" w:type="dxa"/>
            <w:tcBorders>
              <w:top w:val="nil"/>
              <w:left w:val="nil"/>
              <w:bottom w:val="single" w:sz="4" w:space="0" w:color="auto"/>
              <w:right w:val="single" w:sz="4" w:space="0" w:color="auto"/>
            </w:tcBorders>
            <w:shd w:val="clear" w:color="000000" w:fill="FFFFFF"/>
            <w:vAlign w:val="center"/>
            <w:hideMark/>
          </w:tcPr>
          <w:p w14:paraId="7939314B" w14:textId="77777777" w:rsidR="009A4387" w:rsidRPr="00BA1C8E" w:rsidRDefault="009A4387" w:rsidP="00BA1C8E">
            <w:pPr>
              <w:pStyle w:val="NoSpacing"/>
              <w:jc w:val="center"/>
              <w:rPr>
                <w:rFonts w:ascii="Times New Roman" w:hAnsi="Times New Roman" w:cs="Times New Roman"/>
                <w:szCs w:val="24"/>
                <w:lang w:eastAsia="en-IN"/>
              </w:rPr>
            </w:pPr>
            <w:r w:rsidRPr="00BA1C8E">
              <w:rPr>
                <w:rFonts w:ascii="Times New Roman" w:hAnsi="Times New Roman" w:cs="Times New Roman"/>
                <w:szCs w:val="24"/>
                <w:lang w:eastAsia="en-IN"/>
              </w:rPr>
              <w:t>27.38</w:t>
            </w:r>
          </w:p>
        </w:tc>
      </w:tr>
      <w:tr w:rsidR="009A4387" w:rsidRPr="00BA1C8E" w14:paraId="3E104355" w14:textId="77777777" w:rsidTr="00BA1C8E">
        <w:trPr>
          <w:trHeight w:val="298"/>
          <w:jc w:val="center"/>
        </w:trPr>
        <w:tc>
          <w:tcPr>
            <w:tcW w:w="2568" w:type="dxa"/>
            <w:tcBorders>
              <w:top w:val="nil"/>
              <w:left w:val="single" w:sz="4" w:space="0" w:color="auto"/>
              <w:bottom w:val="single" w:sz="4" w:space="0" w:color="auto"/>
              <w:right w:val="single" w:sz="4" w:space="0" w:color="auto"/>
            </w:tcBorders>
            <w:shd w:val="clear" w:color="000000" w:fill="FFFFFF"/>
            <w:vAlign w:val="center"/>
            <w:hideMark/>
          </w:tcPr>
          <w:p w14:paraId="02BE0790" w14:textId="77777777" w:rsidR="009A4387" w:rsidRPr="00BA1C8E" w:rsidRDefault="009A4387" w:rsidP="00B77C0B">
            <w:pPr>
              <w:pStyle w:val="NoSpacing"/>
              <w:rPr>
                <w:rFonts w:ascii="Times New Roman" w:hAnsi="Times New Roman" w:cs="Times New Roman"/>
                <w:szCs w:val="24"/>
                <w:lang w:eastAsia="en-IN"/>
              </w:rPr>
            </w:pPr>
            <w:r w:rsidRPr="00BA1C8E">
              <w:rPr>
                <w:rFonts w:ascii="Times New Roman" w:hAnsi="Times New Roman" w:cs="Times New Roman"/>
                <w:szCs w:val="24"/>
                <w:lang w:eastAsia="en-IN"/>
              </w:rPr>
              <w:t>Mysore</w:t>
            </w:r>
          </w:p>
        </w:tc>
        <w:tc>
          <w:tcPr>
            <w:tcW w:w="2227" w:type="dxa"/>
            <w:tcBorders>
              <w:top w:val="nil"/>
              <w:left w:val="nil"/>
              <w:bottom w:val="single" w:sz="4" w:space="0" w:color="auto"/>
              <w:right w:val="single" w:sz="4" w:space="0" w:color="auto"/>
            </w:tcBorders>
            <w:shd w:val="clear" w:color="000000" w:fill="FFFFFF"/>
            <w:vAlign w:val="center"/>
            <w:hideMark/>
          </w:tcPr>
          <w:p w14:paraId="4F34E37F" w14:textId="0ABE004F" w:rsidR="009A4387" w:rsidRPr="00BA1C8E" w:rsidRDefault="009A4387" w:rsidP="00BA1C8E">
            <w:pPr>
              <w:pStyle w:val="NoSpacing"/>
              <w:jc w:val="center"/>
              <w:rPr>
                <w:rFonts w:ascii="Times New Roman" w:hAnsi="Times New Roman" w:cs="Times New Roman"/>
                <w:szCs w:val="24"/>
                <w:lang w:eastAsia="en-IN"/>
              </w:rPr>
            </w:pPr>
            <w:r w:rsidRPr="00BA1C8E">
              <w:rPr>
                <w:rFonts w:ascii="Times New Roman" w:hAnsi="Times New Roman" w:cs="Times New Roman"/>
                <w:szCs w:val="24"/>
                <w:lang w:eastAsia="en-IN"/>
              </w:rPr>
              <w:t>63.1</w:t>
            </w:r>
            <w:r w:rsidR="007770E0">
              <w:rPr>
                <w:rFonts w:ascii="Times New Roman" w:hAnsi="Times New Roman" w:cs="Times New Roman"/>
                <w:szCs w:val="24"/>
                <w:lang w:eastAsia="en-IN"/>
              </w:rPr>
              <w:t>0</w:t>
            </w:r>
          </w:p>
        </w:tc>
        <w:tc>
          <w:tcPr>
            <w:tcW w:w="1812" w:type="dxa"/>
            <w:tcBorders>
              <w:top w:val="nil"/>
              <w:left w:val="nil"/>
              <w:bottom w:val="single" w:sz="4" w:space="0" w:color="auto"/>
              <w:right w:val="single" w:sz="4" w:space="0" w:color="auto"/>
            </w:tcBorders>
            <w:shd w:val="clear" w:color="000000" w:fill="FFFFFF"/>
            <w:vAlign w:val="center"/>
            <w:hideMark/>
          </w:tcPr>
          <w:p w14:paraId="3B086438" w14:textId="77777777" w:rsidR="009A4387" w:rsidRPr="00BA1C8E" w:rsidRDefault="009A4387" w:rsidP="00BA1C8E">
            <w:pPr>
              <w:pStyle w:val="NoSpacing"/>
              <w:jc w:val="center"/>
              <w:rPr>
                <w:rFonts w:ascii="Times New Roman" w:hAnsi="Times New Roman" w:cs="Times New Roman"/>
                <w:szCs w:val="24"/>
                <w:lang w:eastAsia="en-IN"/>
              </w:rPr>
            </w:pPr>
            <w:r w:rsidRPr="00BA1C8E">
              <w:rPr>
                <w:rFonts w:ascii="Times New Roman" w:hAnsi="Times New Roman" w:cs="Times New Roman"/>
                <w:szCs w:val="24"/>
                <w:lang w:eastAsia="en-IN"/>
              </w:rPr>
              <w:t>50.68</w:t>
            </w:r>
          </w:p>
        </w:tc>
        <w:tc>
          <w:tcPr>
            <w:tcW w:w="1813" w:type="dxa"/>
            <w:tcBorders>
              <w:top w:val="nil"/>
              <w:left w:val="nil"/>
              <w:bottom w:val="single" w:sz="4" w:space="0" w:color="auto"/>
              <w:right w:val="single" w:sz="4" w:space="0" w:color="auto"/>
            </w:tcBorders>
            <w:shd w:val="clear" w:color="000000" w:fill="FFFFFF"/>
            <w:vAlign w:val="center"/>
            <w:hideMark/>
          </w:tcPr>
          <w:p w14:paraId="4BF98419" w14:textId="77777777" w:rsidR="009A4387" w:rsidRPr="00BA1C8E" w:rsidRDefault="009A4387" w:rsidP="00BA1C8E">
            <w:pPr>
              <w:pStyle w:val="NoSpacing"/>
              <w:jc w:val="center"/>
              <w:rPr>
                <w:rFonts w:ascii="Times New Roman" w:hAnsi="Times New Roman" w:cs="Times New Roman"/>
                <w:szCs w:val="24"/>
                <w:lang w:eastAsia="en-IN"/>
              </w:rPr>
            </w:pPr>
            <w:r w:rsidRPr="00BA1C8E">
              <w:rPr>
                <w:rFonts w:ascii="Times New Roman" w:hAnsi="Times New Roman" w:cs="Times New Roman"/>
                <w:szCs w:val="24"/>
                <w:lang w:eastAsia="en-IN"/>
              </w:rPr>
              <w:t>113.78</w:t>
            </w:r>
          </w:p>
        </w:tc>
        <w:tc>
          <w:tcPr>
            <w:tcW w:w="2459" w:type="dxa"/>
            <w:tcBorders>
              <w:top w:val="nil"/>
              <w:left w:val="nil"/>
              <w:bottom w:val="single" w:sz="4" w:space="0" w:color="auto"/>
              <w:right w:val="single" w:sz="4" w:space="0" w:color="auto"/>
            </w:tcBorders>
            <w:shd w:val="clear" w:color="000000" w:fill="FFFFFF"/>
            <w:vAlign w:val="center"/>
            <w:hideMark/>
          </w:tcPr>
          <w:p w14:paraId="3E4D7F0F" w14:textId="77777777" w:rsidR="009A4387" w:rsidRPr="00BA1C8E" w:rsidRDefault="009A4387" w:rsidP="00BA1C8E">
            <w:pPr>
              <w:pStyle w:val="NoSpacing"/>
              <w:jc w:val="center"/>
              <w:rPr>
                <w:rFonts w:ascii="Times New Roman" w:hAnsi="Times New Roman" w:cs="Times New Roman"/>
                <w:szCs w:val="24"/>
                <w:lang w:eastAsia="en-IN"/>
              </w:rPr>
            </w:pPr>
            <w:r w:rsidRPr="00BA1C8E">
              <w:rPr>
                <w:rFonts w:ascii="Times New Roman" w:hAnsi="Times New Roman" w:cs="Times New Roman"/>
                <w:szCs w:val="24"/>
                <w:lang w:eastAsia="en-IN"/>
              </w:rPr>
              <w:t>44.54</w:t>
            </w:r>
          </w:p>
        </w:tc>
      </w:tr>
      <w:tr w:rsidR="009A4387" w:rsidRPr="00BA1C8E" w14:paraId="45026DC6" w14:textId="77777777" w:rsidTr="00BA1C8E">
        <w:trPr>
          <w:trHeight w:val="298"/>
          <w:jc w:val="center"/>
        </w:trPr>
        <w:tc>
          <w:tcPr>
            <w:tcW w:w="2568" w:type="dxa"/>
            <w:tcBorders>
              <w:top w:val="nil"/>
              <w:left w:val="single" w:sz="4" w:space="0" w:color="auto"/>
              <w:bottom w:val="single" w:sz="4" w:space="0" w:color="auto"/>
              <w:right w:val="single" w:sz="4" w:space="0" w:color="auto"/>
            </w:tcBorders>
            <w:shd w:val="clear" w:color="000000" w:fill="FFFFFF"/>
            <w:vAlign w:val="center"/>
            <w:hideMark/>
          </w:tcPr>
          <w:p w14:paraId="10F3E867" w14:textId="77777777" w:rsidR="009A4387" w:rsidRPr="00BA1C8E" w:rsidRDefault="009A4387" w:rsidP="00B77C0B">
            <w:pPr>
              <w:pStyle w:val="NoSpacing"/>
              <w:rPr>
                <w:rFonts w:ascii="Times New Roman" w:hAnsi="Times New Roman" w:cs="Times New Roman"/>
                <w:szCs w:val="24"/>
                <w:lang w:eastAsia="en-IN"/>
              </w:rPr>
            </w:pPr>
            <w:r w:rsidRPr="00BA1C8E">
              <w:rPr>
                <w:rFonts w:ascii="Times New Roman" w:hAnsi="Times New Roman" w:cs="Times New Roman"/>
                <w:szCs w:val="24"/>
                <w:lang w:eastAsia="en-IN"/>
              </w:rPr>
              <w:t>Nagaland</w:t>
            </w:r>
          </w:p>
        </w:tc>
        <w:tc>
          <w:tcPr>
            <w:tcW w:w="2227" w:type="dxa"/>
            <w:tcBorders>
              <w:top w:val="nil"/>
              <w:left w:val="nil"/>
              <w:bottom w:val="single" w:sz="4" w:space="0" w:color="auto"/>
              <w:right w:val="single" w:sz="4" w:space="0" w:color="auto"/>
            </w:tcBorders>
            <w:shd w:val="clear" w:color="000000" w:fill="FFFFFF"/>
            <w:vAlign w:val="center"/>
            <w:hideMark/>
          </w:tcPr>
          <w:p w14:paraId="782766B2" w14:textId="77777777" w:rsidR="009A4387" w:rsidRPr="00BA1C8E" w:rsidRDefault="009A4387" w:rsidP="00BA1C8E">
            <w:pPr>
              <w:pStyle w:val="NoSpacing"/>
              <w:jc w:val="center"/>
              <w:rPr>
                <w:rFonts w:ascii="Times New Roman" w:hAnsi="Times New Roman" w:cs="Times New Roman"/>
                <w:szCs w:val="24"/>
                <w:lang w:eastAsia="en-IN"/>
              </w:rPr>
            </w:pPr>
            <w:r w:rsidRPr="00BA1C8E">
              <w:rPr>
                <w:rFonts w:ascii="Times New Roman" w:hAnsi="Times New Roman" w:cs="Times New Roman"/>
                <w:szCs w:val="24"/>
                <w:lang w:eastAsia="en-IN"/>
              </w:rPr>
              <w:t>0.23</w:t>
            </w:r>
          </w:p>
        </w:tc>
        <w:tc>
          <w:tcPr>
            <w:tcW w:w="1812" w:type="dxa"/>
            <w:tcBorders>
              <w:top w:val="nil"/>
              <w:left w:val="nil"/>
              <w:bottom w:val="single" w:sz="4" w:space="0" w:color="auto"/>
              <w:right w:val="single" w:sz="4" w:space="0" w:color="auto"/>
            </w:tcBorders>
            <w:shd w:val="clear" w:color="000000" w:fill="FFFFFF"/>
            <w:vAlign w:val="center"/>
            <w:hideMark/>
          </w:tcPr>
          <w:p w14:paraId="1A9BAC1C" w14:textId="77777777" w:rsidR="009A4387" w:rsidRPr="00BA1C8E" w:rsidRDefault="009A4387" w:rsidP="00BA1C8E">
            <w:pPr>
              <w:pStyle w:val="NoSpacing"/>
              <w:jc w:val="center"/>
              <w:rPr>
                <w:rFonts w:ascii="Times New Roman" w:hAnsi="Times New Roman" w:cs="Times New Roman"/>
                <w:szCs w:val="24"/>
                <w:lang w:eastAsia="en-IN"/>
              </w:rPr>
            </w:pPr>
            <w:r w:rsidRPr="00BA1C8E">
              <w:rPr>
                <w:rFonts w:ascii="Times New Roman" w:hAnsi="Times New Roman" w:cs="Times New Roman"/>
                <w:szCs w:val="24"/>
                <w:lang w:eastAsia="en-IN"/>
              </w:rPr>
              <w:t>0.76</w:t>
            </w:r>
          </w:p>
        </w:tc>
        <w:tc>
          <w:tcPr>
            <w:tcW w:w="1813" w:type="dxa"/>
            <w:tcBorders>
              <w:top w:val="nil"/>
              <w:left w:val="nil"/>
              <w:bottom w:val="single" w:sz="4" w:space="0" w:color="auto"/>
              <w:right w:val="single" w:sz="4" w:space="0" w:color="auto"/>
            </w:tcBorders>
            <w:shd w:val="clear" w:color="000000" w:fill="FFFFFF"/>
            <w:vAlign w:val="center"/>
            <w:hideMark/>
          </w:tcPr>
          <w:p w14:paraId="612661F2" w14:textId="77777777" w:rsidR="009A4387" w:rsidRPr="00BA1C8E" w:rsidRDefault="009A4387" w:rsidP="00BA1C8E">
            <w:pPr>
              <w:pStyle w:val="NoSpacing"/>
              <w:jc w:val="center"/>
              <w:rPr>
                <w:rFonts w:ascii="Times New Roman" w:hAnsi="Times New Roman" w:cs="Times New Roman"/>
                <w:szCs w:val="24"/>
                <w:lang w:eastAsia="en-IN"/>
              </w:rPr>
            </w:pPr>
            <w:r w:rsidRPr="00BA1C8E">
              <w:rPr>
                <w:rFonts w:ascii="Times New Roman" w:hAnsi="Times New Roman" w:cs="Times New Roman"/>
                <w:szCs w:val="24"/>
                <w:lang w:eastAsia="en-IN"/>
              </w:rPr>
              <w:t>0.99</w:t>
            </w:r>
          </w:p>
        </w:tc>
        <w:tc>
          <w:tcPr>
            <w:tcW w:w="2459" w:type="dxa"/>
            <w:tcBorders>
              <w:top w:val="nil"/>
              <w:left w:val="nil"/>
              <w:bottom w:val="single" w:sz="4" w:space="0" w:color="auto"/>
              <w:right w:val="single" w:sz="4" w:space="0" w:color="auto"/>
            </w:tcBorders>
            <w:shd w:val="clear" w:color="000000" w:fill="FFFFFF"/>
            <w:vAlign w:val="center"/>
            <w:hideMark/>
          </w:tcPr>
          <w:p w14:paraId="18886E76" w14:textId="77777777" w:rsidR="009A4387" w:rsidRPr="00BA1C8E" w:rsidRDefault="009A4387" w:rsidP="00BA1C8E">
            <w:pPr>
              <w:pStyle w:val="NoSpacing"/>
              <w:jc w:val="center"/>
              <w:rPr>
                <w:rFonts w:ascii="Times New Roman" w:hAnsi="Times New Roman" w:cs="Times New Roman"/>
                <w:szCs w:val="24"/>
                <w:lang w:eastAsia="en-IN"/>
              </w:rPr>
            </w:pPr>
            <w:r w:rsidRPr="00BA1C8E">
              <w:rPr>
                <w:rFonts w:ascii="Times New Roman" w:hAnsi="Times New Roman" w:cs="Times New Roman"/>
                <w:szCs w:val="24"/>
                <w:lang w:eastAsia="en-IN"/>
              </w:rPr>
              <w:t>76.77</w:t>
            </w:r>
          </w:p>
        </w:tc>
      </w:tr>
      <w:tr w:rsidR="009A4387" w:rsidRPr="00BA1C8E" w14:paraId="57BBD503" w14:textId="77777777" w:rsidTr="00BA1C8E">
        <w:trPr>
          <w:trHeight w:val="298"/>
          <w:jc w:val="center"/>
        </w:trPr>
        <w:tc>
          <w:tcPr>
            <w:tcW w:w="2568" w:type="dxa"/>
            <w:tcBorders>
              <w:top w:val="nil"/>
              <w:left w:val="single" w:sz="4" w:space="0" w:color="auto"/>
              <w:bottom w:val="single" w:sz="4" w:space="0" w:color="auto"/>
              <w:right w:val="single" w:sz="4" w:space="0" w:color="auto"/>
            </w:tcBorders>
            <w:shd w:val="clear" w:color="000000" w:fill="FFFFFF"/>
            <w:vAlign w:val="center"/>
            <w:hideMark/>
          </w:tcPr>
          <w:p w14:paraId="093A14A8" w14:textId="77777777" w:rsidR="009A4387" w:rsidRPr="00BA1C8E" w:rsidRDefault="009A4387" w:rsidP="00B77C0B">
            <w:pPr>
              <w:pStyle w:val="NoSpacing"/>
              <w:rPr>
                <w:rFonts w:ascii="Times New Roman" w:hAnsi="Times New Roman" w:cs="Times New Roman"/>
                <w:szCs w:val="24"/>
                <w:lang w:eastAsia="en-IN"/>
              </w:rPr>
            </w:pPr>
            <w:r w:rsidRPr="00BA1C8E">
              <w:rPr>
                <w:rFonts w:ascii="Times New Roman" w:hAnsi="Times New Roman" w:cs="Times New Roman"/>
                <w:szCs w:val="24"/>
                <w:lang w:eastAsia="en-IN"/>
              </w:rPr>
              <w:t>Orissa</w:t>
            </w:r>
          </w:p>
        </w:tc>
        <w:tc>
          <w:tcPr>
            <w:tcW w:w="2227" w:type="dxa"/>
            <w:tcBorders>
              <w:top w:val="nil"/>
              <w:left w:val="nil"/>
              <w:bottom w:val="single" w:sz="4" w:space="0" w:color="auto"/>
              <w:right w:val="single" w:sz="4" w:space="0" w:color="auto"/>
            </w:tcBorders>
            <w:shd w:val="clear" w:color="000000" w:fill="FFFFFF"/>
            <w:vAlign w:val="center"/>
            <w:hideMark/>
          </w:tcPr>
          <w:p w14:paraId="14372EB3" w14:textId="77777777" w:rsidR="009A4387" w:rsidRPr="00BA1C8E" w:rsidRDefault="009A4387" w:rsidP="00BA1C8E">
            <w:pPr>
              <w:pStyle w:val="NoSpacing"/>
              <w:jc w:val="center"/>
              <w:rPr>
                <w:rFonts w:ascii="Times New Roman" w:hAnsi="Times New Roman" w:cs="Times New Roman"/>
                <w:szCs w:val="24"/>
                <w:lang w:eastAsia="en-IN"/>
              </w:rPr>
            </w:pPr>
            <w:r w:rsidRPr="00BA1C8E">
              <w:rPr>
                <w:rFonts w:ascii="Times New Roman" w:hAnsi="Times New Roman" w:cs="Times New Roman"/>
                <w:szCs w:val="24"/>
                <w:lang w:eastAsia="en-IN"/>
              </w:rPr>
              <w:t>24.25</w:t>
            </w:r>
          </w:p>
        </w:tc>
        <w:tc>
          <w:tcPr>
            <w:tcW w:w="1812" w:type="dxa"/>
            <w:tcBorders>
              <w:top w:val="nil"/>
              <w:left w:val="nil"/>
              <w:bottom w:val="single" w:sz="4" w:space="0" w:color="auto"/>
              <w:right w:val="single" w:sz="4" w:space="0" w:color="auto"/>
            </w:tcBorders>
            <w:shd w:val="clear" w:color="000000" w:fill="FFFFFF"/>
            <w:vAlign w:val="center"/>
            <w:hideMark/>
          </w:tcPr>
          <w:p w14:paraId="24074F50" w14:textId="77777777" w:rsidR="009A4387" w:rsidRPr="00BA1C8E" w:rsidRDefault="009A4387" w:rsidP="00BA1C8E">
            <w:pPr>
              <w:pStyle w:val="NoSpacing"/>
              <w:jc w:val="center"/>
              <w:rPr>
                <w:rFonts w:ascii="Times New Roman" w:hAnsi="Times New Roman" w:cs="Times New Roman"/>
                <w:szCs w:val="24"/>
                <w:lang w:eastAsia="en-IN"/>
              </w:rPr>
            </w:pPr>
            <w:r w:rsidRPr="00BA1C8E">
              <w:rPr>
                <w:rFonts w:ascii="Times New Roman" w:hAnsi="Times New Roman" w:cs="Times New Roman"/>
                <w:szCs w:val="24"/>
                <w:lang w:eastAsia="en-IN"/>
              </w:rPr>
              <w:t>27.25</w:t>
            </w:r>
          </w:p>
        </w:tc>
        <w:tc>
          <w:tcPr>
            <w:tcW w:w="1813" w:type="dxa"/>
            <w:tcBorders>
              <w:top w:val="nil"/>
              <w:left w:val="nil"/>
              <w:bottom w:val="single" w:sz="4" w:space="0" w:color="auto"/>
              <w:right w:val="single" w:sz="4" w:space="0" w:color="auto"/>
            </w:tcBorders>
            <w:shd w:val="clear" w:color="000000" w:fill="FFFFFF"/>
            <w:vAlign w:val="center"/>
            <w:hideMark/>
          </w:tcPr>
          <w:p w14:paraId="477A7213" w14:textId="361E8096" w:rsidR="009A4387" w:rsidRPr="00BA1C8E" w:rsidRDefault="009A4387" w:rsidP="00BA1C8E">
            <w:pPr>
              <w:pStyle w:val="NoSpacing"/>
              <w:jc w:val="center"/>
              <w:rPr>
                <w:rFonts w:ascii="Times New Roman" w:hAnsi="Times New Roman" w:cs="Times New Roman"/>
                <w:szCs w:val="24"/>
                <w:lang w:eastAsia="en-IN"/>
              </w:rPr>
            </w:pPr>
            <w:r w:rsidRPr="00BA1C8E">
              <w:rPr>
                <w:rFonts w:ascii="Times New Roman" w:hAnsi="Times New Roman" w:cs="Times New Roman"/>
                <w:szCs w:val="24"/>
                <w:lang w:eastAsia="en-IN"/>
              </w:rPr>
              <w:t>51.5</w:t>
            </w:r>
            <w:r w:rsidR="007770E0">
              <w:rPr>
                <w:rFonts w:ascii="Times New Roman" w:hAnsi="Times New Roman" w:cs="Times New Roman"/>
                <w:szCs w:val="24"/>
                <w:lang w:eastAsia="en-IN"/>
              </w:rPr>
              <w:t>0</w:t>
            </w:r>
          </w:p>
        </w:tc>
        <w:tc>
          <w:tcPr>
            <w:tcW w:w="2459" w:type="dxa"/>
            <w:tcBorders>
              <w:top w:val="nil"/>
              <w:left w:val="nil"/>
              <w:bottom w:val="single" w:sz="4" w:space="0" w:color="auto"/>
              <w:right w:val="single" w:sz="4" w:space="0" w:color="auto"/>
            </w:tcBorders>
            <w:shd w:val="clear" w:color="000000" w:fill="FFFFFF"/>
            <w:vAlign w:val="center"/>
            <w:hideMark/>
          </w:tcPr>
          <w:p w14:paraId="3F771DB7" w14:textId="77777777" w:rsidR="009A4387" w:rsidRPr="00BA1C8E" w:rsidRDefault="009A4387" w:rsidP="00BA1C8E">
            <w:pPr>
              <w:pStyle w:val="NoSpacing"/>
              <w:jc w:val="center"/>
              <w:rPr>
                <w:rFonts w:ascii="Times New Roman" w:hAnsi="Times New Roman" w:cs="Times New Roman"/>
                <w:szCs w:val="24"/>
                <w:lang w:eastAsia="en-IN"/>
              </w:rPr>
            </w:pPr>
            <w:r w:rsidRPr="00BA1C8E">
              <w:rPr>
                <w:rFonts w:ascii="Times New Roman" w:hAnsi="Times New Roman" w:cs="Times New Roman"/>
                <w:szCs w:val="24"/>
                <w:lang w:eastAsia="en-IN"/>
              </w:rPr>
              <w:t>52.91</w:t>
            </w:r>
          </w:p>
        </w:tc>
      </w:tr>
      <w:tr w:rsidR="009A4387" w:rsidRPr="00BA1C8E" w14:paraId="6D62D2DC" w14:textId="77777777" w:rsidTr="00BA1C8E">
        <w:trPr>
          <w:trHeight w:val="298"/>
          <w:jc w:val="center"/>
        </w:trPr>
        <w:tc>
          <w:tcPr>
            <w:tcW w:w="2568" w:type="dxa"/>
            <w:tcBorders>
              <w:top w:val="nil"/>
              <w:left w:val="single" w:sz="4" w:space="0" w:color="auto"/>
              <w:bottom w:val="single" w:sz="4" w:space="0" w:color="auto"/>
              <w:right w:val="single" w:sz="4" w:space="0" w:color="auto"/>
            </w:tcBorders>
            <w:shd w:val="clear" w:color="000000" w:fill="FFFFFF"/>
            <w:vAlign w:val="center"/>
            <w:hideMark/>
          </w:tcPr>
          <w:p w14:paraId="5BE7C4A1" w14:textId="77777777" w:rsidR="009A4387" w:rsidRPr="00BA1C8E" w:rsidRDefault="009A4387" w:rsidP="00B77C0B">
            <w:pPr>
              <w:pStyle w:val="NoSpacing"/>
              <w:rPr>
                <w:rFonts w:ascii="Times New Roman" w:hAnsi="Times New Roman" w:cs="Times New Roman"/>
                <w:szCs w:val="24"/>
                <w:lang w:eastAsia="en-IN"/>
              </w:rPr>
            </w:pPr>
            <w:r w:rsidRPr="00BA1C8E">
              <w:rPr>
                <w:rFonts w:ascii="Times New Roman" w:hAnsi="Times New Roman" w:cs="Times New Roman"/>
                <w:szCs w:val="24"/>
                <w:lang w:eastAsia="en-IN"/>
              </w:rPr>
              <w:t>Punjab</w:t>
            </w:r>
          </w:p>
        </w:tc>
        <w:tc>
          <w:tcPr>
            <w:tcW w:w="2227" w:type="dxa"/>
            <w:tcBorders>
              <w:top w:val="nil"/>
              <w:left w:val="nil"/>
              <w:bottom w:val="single" w:sz="4" w:space="0" w:color="auto"/>
              <w:right w:val="single" w:sz="4" w:space="0" w:color="auto"/>
            </w:tcBorders>
            <w:shd w:val="clear" w:color="000000" w:fill="FFFFFF"/>
            <w:vAlign w:val="center"/>
            <w:hideMark/>
          </w:tcPr>
          <w:p w14:paraId="656F4DF2" w14:textId="4B37C293" w:rsidR="009A4387" w:rsidRPr="00BA1C8E" w:rsidRDefault="009A4387" w:rsidP="00BA1C8E">
            <w:pPr>
              <w:pStyle w:val="NoSpacing"/>
              <w:jc w:val="center"/>
              <w:rPr>
                <w:rFonts w:ascii="Times New Roman" w:hAnsi="Times New Roman" w:cs="Times New Roman"/>
                <w:szCs w:val="24"/>
                <w:lang w:eastAsia="en-IN"/>
              </w:rPr>
            </w:pPr>
            <w:r w:rsidRPr="00BA1C8E">
              <w:rPr>
                <w:rFonts w:ascii="Times New Roman" w:hAnsi="Times New Roman" w:cs="Times New Roman"/>
                <w:szCs w:val="24"/>
                <w:lang w:eastAsia="en-IN"/>
              </w:rPr>
              <w:t>50.2</w:t>
            </w:r>
            <w:r w:rsidR="007770E0">
              <w:rPr>
                <w:rFonts w:ascii="Times New Roman" w:hAnsi="Times New Roman" w:cs="Times New Roman"/>
                <w:szCs w:val="24"/>
                <w:lang w:eastAsia="en-IN"/>
              </w:rPr>
              <w:t>0</w:t>
            </w:r>
          </w:p>
        </w:tc>
        <w:tc>
          <w:tcPr>
            <w:tcW w:w="1812" w:type="dxa"/>
            <w:tcBorders>
              <w:top w:val="nil"/>
              <w:left w:val="nil"/>
              <w:bottom w:val="single" w:sz="4" w:space="0" w:color="auto"/>
              <w:right w:val="single" w:sz="4" w:space="0" w:color="auto"/>
            </w:tcBorders>
            <w:shd w:val="clear" w:color="000000" w:fill="FFFFFF"/>
            <w:vAlign w:val="center"/>
            <w:hideMark/>
          </w:tcPr>
          <w:p w14:paraId="7A0E279C" w14:textId="77777777" w:rsidR="009A4387" w:rsidRPr="00BA1C8E" w:rsidRDefault="009A4387" w:rsidP="00BA1C8E">
            <w:pPr>
              <w:pStyle w:val="NoSpacing"/>
              <w:jc w:val="center"/>
              <w:rPr>
                <w:rFonts w:ascii="Times New Roman" w:hAnsi="Times New Roman" w:cs="Times New Roman"/>
                <w:szCs w:val="24"/>
                <w:lang w:eastAsia="en-IN"/>
              </w:rPr>
            </w:pPr>
            <w:r w:rsidRPr="00BA1C8E">
              <w:rPr>
                <w:rFonts w:ascii="Times New Roman" w:hAnsi="Times New Roman" w:cs="Times New Roman"/>
                <w:szCs w:val="24"/>
                <w:lang w:eastAsia="en-IN"/>
              </w:rPr>
              <w:t>33.68</w:t>
            </w:r>
          </w:p>
        </w:tc>
        <w:tc>
          <w:tcPr>
            <w:tcW w:w="1813" w:type="dxa"/>
            <w:tcBorders>
              <w:top w:val="nil"/>
              <w:left w:val="nil"/>
              <w:bottom w:val="single" w:sz="4" w:space="0" w:color="auto"/>
              <w:right w:val="single" w:sz="4" w:space="0" w:color="auto"/>
            </w:tcBorders>
            <w:shd w:val="clear" w:color="000000" w:fill="FFFFFF"/>
            <w:vAlign w:val="center"/>
            <w:hideMark/>
          </w:tcPr>
          <w:p w14:paraId="0C127EB1" w14:textId="77777777" w:rsidR="009A4387" w:rsidRPr="00BA1C8E" w:rsidRDefault="009A4387" w:rsidP="00BA1C8E">
            <w:pPr>
              <w:pStyle w:val="NoSpacing"/>
              <w:jc w:val="center"/>
              <w:rPr>
                <w:rFonts w:ascii="Times New Roman" w:hAnsi="Times New Roman" w:cs="Times New Roman"/>
                <w:szCs w:val="24"/>
                <w:lang w:eastAsia="en-IN"/>
              </w:rPr>
            </w:pPr>
            <w:r w:rsidRPr="00BA1C8E">
              <w:rPr>
                <w:rFonts w:ascii="Times New Roman" w:hAnsi="Times New Roman" w:cs="Times New Roman"/>
                <w:szCs w:val="24"/>
                <w:lang w:eastAsia="en-IN"/>
              </w:rPr>
              <w:t>83.88</w:t>
            </w:r>
          </w:p>
        </w:tc>
        <w:tc>
          <w:tcPr>
            <w:tcW w:w="2459" w:type="dxa"/>
            <w:tcBorders>
              <w:top w:val="nil"/>
              <w:left w:val="nil"/>
              <w:bottom w:val="single" w:sz="4" w:space="0" w:color="auto"/>
              <w:right w:val="single" w:sz="4" w:space="0" w:color="auto"/>
            </w:tcBorders>
            <w:shd w:val="clear" w:color="000000" w:fill="FFFFFF"/>
            <w:vAlign w:val="center"/>
            <w:hideMark/>
          </w:tcPr>
          <w:p w14:paraId="3C92F8E2" w14:textId="77777777" w:rsidR="009A4387" w:rsidRPr="00BA1C8E" w:rsidRDefault="009A4387" w:rsidP="00BA1C8E">
            <w:pPr>
              <w:pStyle w:val="NoSpacing"/>
              <w:jc w:val="center"/>
              <w:rPr>
                <w:rFonts w:ascii="Times New Roman" w:hAnsi="Times New Roman" w:cs="Times New Roman"/>
                <w:szCs w:val="24"/>
                <w:lang w:eastAsia="en-IN"/>
              </w:rPr>
            </w:pPr>
            <w:r w:rsidRPr="00BA1C8E">
              <w:rPr>
                <w:rFonts w:ascii="Times New Roman" w:hAnsi="Times New Roman" w:cs="Times New Roman"/>
                <w:szCs w:val="24"/>
                <w:lang w:eastAsia="en-IN"/>
              </w:rPr>
              <w:t>40.15</w:t>
            </w:r>
          </w:p>
        </w:tc>
      </w:tr>
      <w:tr w:rsidR="009A4387" w:rsidRPr="00BA1C8E" w14:paraId="3CDD409C" w14:textId="77777777" w:rsidTr="00BA1C8E">
        <w:trPr>
          <w:trHeight w:val="298"/>
          <w:jc w:val="center"/>
        </w:trPr>
        <w:tc>
          <w:tcPr>
            <w:tcW w:w="2568" w:type="dxa"/>
            <w:tcBorders>
              <w:top w:val="nil"/>
              <w:left w:val="single" w:sz="4" w:space="0" w:color="auto"/>
              <w:bottom w:val="single" w:sz="4" w:space="0" w:color="auto"/>
              <w:right w:val="single" w:sz="4" w:space="0" w:color="auto"/>
            </w:tcBorders>
            <w:shd w:val="clear" w:color="000000" w:fill="FFFFFF"/>
            <w:vAlign w:val="center"/>
            <w:hideMark/>
          </w:tcPr>
          <w:p w14:paraId="03403D2F" w14:textId="77777777" w:rsidR="009A4387" w:rsidRPr="00BA1C8E" w:rsidRDefault="009A4387" w:rsidP="00B77C0B">
            <w:pPr>
              <w:pStyle w:val="NoSpacing"/>
              <w:rPr>
                <w:rFonts w:ascii="Times New Roman" w:hAnsi="Times New Roman" w:cs="Times New Roman"/>
                <w:szCs w:val="24"/>
                <w:lang w:eastAsia="en-IN"/>
              </w:rPr>
            </w:pPr>
            <w:r w:rsidRPr="00BA1C8E">
              <w:rPr>
                <w:rFonts w:ascii="Times New Roman" w:hAnsi="Times New Roman" w:cs="Times New Roman"/>
                <w:szCs w:val="24"/>
                <w:lang w:eastAsia="en-IN"/>
              </w:rPr>
              <w:t>Rajasthan</w:t>
            </w:r>
          </w:p>
        </w:tc>
        <w:tc>
          <w:tcPr>
            <w:tcW w:w="2227" w:type="dxa"/>
            <w:tcBorders>
              <w:top w:val="nil"/>
              <w:left w:val="nil"/>
              <w:bottom w:val="single" w:sz="4" w:space="0" w:color="auto"/>
              <w:right w:val="single" w:sz="4" w:space="0" w:color="auto"/>
            </w:tcBorders>
            <w:shd w:val="clear" w:color="000000" w:fill="FFFFFF"/>
            <w:vAlign w:val="center"/>
            <w:hideMark/>
          </w:tcPr>
          <w:p w14:paraId="5277DFE8" w14:textId="35305134" w:rsidR="009A4387" w:rsidRPr="00BA1C8E" w:rsidRDefault="009A4387" w:rsidP="00BA1C8E">
            <w:pPr>
              <w:pStyle w:val="NoSpacing"/>
              <w:jc w:val="center"/>
              <w:rPr>
                <w:rFonts w:ascii="Times New Roman" w:hAnsi="Times New Roman" w:cs="Times New Roman"/>
                <w:szCs w:val="24"/>
                <w:lang w:eastAsia="en-IN"/>
              </w:rPr>
            </w:pPr>
            <w:r w:rsidRPr="00BA1C8E">
              <w:rPr>
                <w:rFonts w:ascii="Times New Roman" w:hAnsi="Times New Roman" w:cs="Times New Roman"/>
                <w:szCs w:val="24"/>
                <w:lang w:eastAsia="en-IN"/>
              </w:rPr>
              <w:t>46.6</w:t>
            </w:r>
            <w:r w:rsidR="007770E0">
              <w:rPr>
                <w:rFonts w:ascii="Times New Roman" w:hAnsi="Times New Roman" w:cs="Times New Roman"/>
                <w:szCs w:val="24"/>
                <w:lang w:eastAsia="en-IN"/>
              </w:rPr>
              <w:t>0</w:t>
            </w:r>
          </w:p>
        </w:tc>
        <w:tc>
          <w:tcPr>
            <w:tcW w:w="1812" w:type="dxa"/>
            <w:tcBorders>
              <w:top w:val="nil"/>
              <w:left w:val="nil"/>
              <w:bottom w:val="single" w:sz="4" w:space="0" w:color="auto"/>
              <w:right w:val="single" w:sz="4" w:space="0" w:color="auto"/>
            </w:tcBorders>
            <w:shd w:val="clear" w:color="000000" w:fill="FFFFFF"/>
            <w:vAlign w:val="center"/>
            <w:hideMark/>
          </w:tcPr>
          <w:p w14:paraId="5BD5AB16" w14:textId="77777777" w:rsidR="009A4387" w:rsidRPr="00BA1C8E" w:rsidRDefault="009A4387" w:rsidP="00BA1C8E">
            <w:pPr>
              <w:pStyle w:val="NoSpacing"/>
              <w:jc w:val="center"/>
              <w:rPr>
                <w:rFonts w:ascii="Times New Roman" w:hAnsi="Times New Roman" w:cs="Times New Roman"/>
                <w:szCs w:val="24"/>
                <w:lang w:eastAsia="en-IN"/>
              </w:rPr>
            </w:pPr>
            <w:r w:rsidRPr="00BA1C8E">
              <w:rPr>
                <w:rFonts w:ascii="Times New Roman" w:hAnsi="Times New Roman" w:cs="Times New Roman"/>
                <w:szCs w:val="24"/>
                <w:lang w:eastAsia="en-IN"/>
              </w:rPr>
              <w:t>27.59</w:t>
            </w:r>
          </w:p>
        </w:tc>
        <w:tc>
          <w:tcPr>
            <w:tcW w:w="1813" w:type="dxa"/>
            <w:tcBorders>
              <w:top w:val="nil"/>
              <w:left w:val="nil"/>
              <w:bottom w:val="single" w:sz="4" w:space="0" w:color="auto"/>
              <w:right w:val="single" w:sz="4" w:space="0" w:color="auto"/>
            </w:tcBorders>
            <w:shd w:val="clear" w:color="000000" w:fill="FFFFFF"/>
            <w:vAlign w:val="center"/>
            <w:hideMark/>
          </w:tcPr>
          <w:p w14:paraId="2F1159BD" w14:textId="77777777" w:rsidR="009A4387" w:rsidRPr="00BA1C8E" w:rsidRDefault="009A4387" w:rsidP="00BA1C8E">
            <w:pPr>
              <w:pStyle w:val="NoSpacing"/>
              <w:jc w:val="center"/>
              <w:rPr>
                <w:rFonts w:ascii="Times New Roman" w:hAnsi="Times New Roman" w:cs="Times New Roman"/>
                <w:szCs w:val="24"/>
                <w:lang w:eastAsia="en-IN"/>
              </w:rPr>
            </w:pPr>
            <w:r w:rsidRPr="00BA1C8E">
              <w:rPr>
                <w:rFonts w:ascii="Times New Roman" w:hAnsi="Times New Roman" w:cs="Times New Roman"/>
                <w:szCs w:val="24"/>
                <w:lang w:eastAsia="en-IN"/>
              </w:rPr>
              <w:t>74.19</w:t>
            </w:r>
          </w:p>
        </w:tc>
        <w:tc>
          <w:tcPr>
            <w:tcW w:w="2459" w:type="dxa"/>
            <w:tcBorders>
              <w:top w:val="nil"/>
              <w:left w:val="nil"/>
              <w:bottom w:val="single" w:sz="4" w:space="0" w:color="auto"/>
              <w:right w:val="single" w:sz="4" w:space="0" w:color="auto"/>
            </w:tcBorders>
            <w:shd w:val="clear" w:color="000000" w:fill="FFFFFF"/>
            <w:vAlign w:val="center"/>
            <w:hideMark/>
          </w:tcPr>
          <w:p w14:paraId="47AC6CF8" w14:textId="77777777" w:rsidR="009A4387" w:rsidRPr="00BA1C8E" w:rsidRDefault="009A4387" w:rsidP="00BA1C8E">
            <w:pPr>
              <w:pStyle w:val="NoSpacing"/>
              <w:jc w:val="center"/>
              <w:rPr>
                <w:rFonts w:ascii="Times New Roman" w:hAnsi="Times New Roman" w:cs="Times New Roman"/>
                <w:szCs w:val="24"/>
                <w:lang w:eastAsia="en-IN"/>
              </w:rPr>
            </w:pPr>
            <w:r w:rsidRPr="00BA1C8E">
              <w:rPr>
                <w:rFonts w:ascii="Times New Roman" w:hAnsi="Times New Roman" w:cs="Times New Roman"/>
                <w:szCs w:val="24"/>
                <w:lang w:eastAsia="en-IN"/>
              </w:rPr>
              <w:t>37.19</w:t>
            </w:r>
          </w:p>
        </w:tc>
      </w:tr>
      <w:tr w:rsidR="009A4387" w:rsidRPr="00BA1C8E" w14:paraId="6046380C" w14:textId="77777777" w:rsidTr="00BA1C8E">
        <w:trPr>
          <w:trHeight w:val="298"/>
          <w:jc w:val="center"/>
        </w:trPr>
        <w:tc>
          <w:tcPr>
            <w:tcW w:w="2568" w:type="dxa"/>
            <w:tcBorders>
              <w:top w:val="nil"/>
              <w:left w:val="single" w:sz="4" w:space="0" w:color="auto"/>
              <w:bottom w:val="single" w:sz="4" w:space="0" w:color="auto"/>
              <w:right w:val="single" w:sz="4" w:space="0" w:color="auto"/>
            </w:tcBorders>
            <w:shd w:val="clear" w:color="000000" w:fill="FFFFFF"/>
            <w:vAlign w:val="center"/>
            <w:hideMark/>
          </w:tcPr>
          <w:p w14:paraId="0F046456" w14:textId="77777777" w:rsidR="009A4387" w:rsidRPr="00BA1C8E" w:rsidRDefault="009A4387" w:rsidP="00B77C0B">
            <w:pPr>
              <w:pStyle w:val="NoSpacing"/>
              <w:rPr>
                <w:rFonts w:ascii="Times New Roman" w:hAnsi="Times New Roman" w:cs="Times New Roman"/>
                <w:szCs w:val="24"/>
                <w:lang w:eastAsia="en-IN"/>
              </w:rPr>
            </w:pPr>
            <w:r w:rsidRPr="00BA1C8E">
              <w:rPr>
                <w:rFonts w:ascii="Times New Roman" w:hAnsi="Times New Roman" w:cs="Times New Roman"/>
                <w:szCs w:val="24"/>
                <w:lang w:eastAsia="en-IN"/>
              </w:rPr>
              <w:t>Tamil Nadu</w:t>
            </w:r>
          </w:p>
        </w:tc>
        <w:tc>
          <w:tcPr>
            <w:tcW w:w="2227" w:type="dxa"/>
            <w:tcBorders>
              <w:top w:val="nil"/>
              <w:left w:val="nil"/>
              <w:bottom w:val="single" w:sz="4" w:space="0" w:color="auto"/>
              <w:right w:val="single" w:sz="4" w:space="0" w:color="auto"/>
            </w:tcBorders>
            <w:shd w:val="clear" w:color="000000" w:fill="FFFFFF"/>
            <w:vAlign w:val="center"/>
            <w:hideMark/>
          </w:tcPr>
          <w:p w14:paraId="3689EB8B" w14:textId="77777777" w:rsidR="009A4387" w:rsidRPr="00BA1C8E" w:rsidRDefault="009A4387" w:rsidP="00BA1C8E">
            <w:pPr>
              <w:pStyle w:val="NoSpacing"/>
              <w:jc w:val="center"/>
              <w:rPr>
                <w:rFonts w:ascii="Times New Roman" w:hAnsi="Times New Roman" w:cs="Times New Roman"/>
                <w:szCs w:val="24"/>
                <w:lang w:eastAsia="en-IN"/>
              </w:rPr>
            </w:pPr>
            <w:r w:rsidRPr="00BA1C8E">
              <w:rPr>
                <w:rFonts w:ascii="Times New Roman" w:hAnsi="Times New Roman" w:cs="Times New Roman"/>
                <w:szCs w:val="24"/>
                <w:lang w:eastAsia="en-IN"/>
              </w:rPr>
              <w:t>109.54</w:t>
            </w:r>
          </w:p>
        </w:tc>
        <w:tc>
          <w:tcPr>
            <w:tcW w:w="1812" w:type="dxa"/>
            <w:tcBorders>
              <w:top w:val="nil"/>
              <w:left w:val="nil"/>
              <w:bottom w:val="single" w:sz="4" w:space="0" w:color="auto"/>
              <w:right w:val="single" w:sz="4" w:space="0" w:color="auto"/>
            </w:tcBorders>
            <w:shd w:val="clear" w:color="000000" w:fill="FFFFFF"/>
            <w:vAlign w:val="center"/>
            <w:hideMark/>
          </w:tcPr>
          <w:p w14:paraId="641E0517" w14:textId="77777777" w:rsidR="009A4387" w:rsidRPr="00BA1C8E" w:rsidRDefault="009A4387" w:rsidP="00BA1C8E">
            <w:pPr>
              <w:pStyle w:val="NoSpacing"/>
              <w:jc w:val="center"/>
              <w:rPr>
                <w:rFonts w:ascii="Times New Roman" w:hAnsi="Times New Roman" w:cs="Times New Roman"/>
                <w:szCs w:val="24"/>
                <w:lang w:eastAsia="en-IN"/>
              </w:rPr>
            </w:pPr>
            <w:r w:rsidRPr="00BA1C8E">
              <w:rPr>
                <w:rFonts w:ascii="Times New Roman" w:hAnsi="Times New Roman" w:cs="Times New Roman"/>
                <w:szCs w:val="24"/>
                <w:lang w:eastAsia="en-IN"/>
              </w:rPr>
              <w:t>61.49</w:t>
            </w:r>
          </w:p>
        </w:tc>
        <w:tc>
          <w:tcPr>
            <w:tcW w:w="1813" w:type="dxa"/>
            <w:tcBorders>
              <w:top w:val="nil"/>
              <w:left w:val="nil"/>
              <w:bottom w:val="single" w:sz="4" w:space="0" w:color="auto"/>
              <w:right w:val="single" w:sz="4" w:space="0" w:color="auto"/>
            </w:tcBorders>
            <w:shd w:val="clear" w:color="000000" w:fill="FFFFFF"/>
            <w:vAlign w:val="center"/>
            <w:hideMark/>
          </w:tcPr>
          <w:p w14:paraId="6EB63C23" w14:textId="77777777" w:rsidR="009A4387" w:rsidRPr="00BA1C8E" w:rsidRDefault="009A4387" w:rsidP="00BA1C8E">
            <w:pPr>
              <w:pStyle w:val="NoSpacing"/>
              <w:jc w:val="center"/>
              <w:rPr>
                <w:rFonts w:ascii="Times New Roman" w:hAnsi="Times New Roman" w:cs="Times New Roman"/>
                <w:szCs w:val="24"/>
                <w:lang w:eastAsia="en-IN"/>
              </w:rPr>
            </w:pPr>
            <w:r w:rsidRPr="00BA1C8E">
              <w:rPr>
                <w:rFonts w:ascii="Times New Roman" w:hAnsi="Times New Roman" w:cs="Times New Roman"/>
                <w:szCs w:val="24"/>
                <w:lang w:eastAsia="en-IN"/>
              </w:rPr>
              <w:t>171.03</w:t>
            </w:r>
          </w:p>
        </w:tc>
        <w:tc>
          <w:tcPr>
            <w:tcW w:w="2459" w:type="dxa"/>
            <w:tcBorders>
              <w:top w:val="nil"/>
              <w:left w:val="nil"/>
              <w:bottom w:val="single" w:sz="4" w:space="0" w:color="auto"/>
              <w:right w:val="single" w:sz="4" w:space="0" w:color="auto"/>
            </w:tcBorders>
            <w:shd w:val="clear" w:color="000000" w:fill="FFFFFF"/>
            <w:vAlign w:val="center"/>
            <w:hideMark/>
          </w:tcPr>
          <w:p w14:paraId="602E036C" w14:textId="77777777" w:rsidR="009A4387" w:rsidRPr="00BA1C8E" w:rsidRDefault="009A4387" w:rsidP="00BA1C8E">
            <w:pPr>
              <w:pStyle w:val="NoSpacing"/>
              <w:jc w:val="center"/>
              <w:rPr>
                <w:rFonts w:ascii="Times New Roman" w:hAnsi="Times New Roman" w:cs="Times New Roman"/>
                <w:szCs w:val="24"/>
                <w:lang w:eastAsia="en-IN"/>
              </w:rPr>
            </w:pPr>
            <w:r w:rsidRPr="00BA1C8E">
              <w:rPr>
                <w:rFonts w:ascii="Times New Roman" w:hAnsi="Times New Roman" w:cs="Times New Roman"/>
                <w:szCs w:val="24"/>
                <w:lang w:eastAsia="en-IN"/>
              </w:rPr>
              <w:t>35.95</w:t>
            </w:r>
          </w:p>
        </w:tc>
      </w:tr>
      <w:tr w:rsidR="009A4387" w:rsidRPr="00BA1C8E" w14:paraId="1CA014CD" w14:textId="77777777" w:rsidTr="00BA1C8E">
        <w:trPr>
          <w:trHeight w:val="298"/>
          <w:jc w:val="center"/>
        </w:trPr>
        <w:tc>
          <w:tcPr>
            <w:tcW w:w="2568" w:type="dxa"/>
            <w:tcBorders>
              <w:top w:val="nil"/>
              <w:left w:val="single" w:sz="4" w:space="0" w:color="auto"/>
              <w:bottom w:val="single" w:sz="4" w:space="0" w:color="auto"/>
              <w:right w:val="single" w:sz="4" w:space="0" w:color="auto"/>
            </w:tcBorders>
            <w:shd w:val="clear" w:color="000000" w:fill="FFFFFF"/>
            <w:vAlign w:val="center"/>
            <w:hideMark/>
          </w:tcPr>
          <w:p w14:paraId="00E12132" w14:textId="77777777" w:rsidR="009A4387" w:rsidRPr="00BA1C8E" w:rsidRDefault="009A4387" w:rsidP="00B77C0B">
            <w:pPr>
              <w:pStyle w:val="NoSpacing"/>
              <w:rPr>
                <w:rFonts w:ascii="Times New Roman" w:hAnsi="Times New Roman" w:cs="Times New Roman"/>
                <w:szCs w:val="24"/>
                <w:lang w:eastAsia="en-IN"/>
              </w:rPr>
            </w:pPr>
            <w:r w:rsidRPr="00BA1C8E">
              <w:rPr>
                <w:rFonts w:ascii="Times New Roman" w:hAnsi="Times New Roman" w:cs="Times New Roman"/>
                <w:szCs w:val="24"/>
                <w:lang w:eastAsia="en-IN"/>
              </w:rPr>
              <w:t>Uttar Pradesh</w:t>
            </w:r>
          </w:p>
        </w:tc>
        <w:tc>
          <w:tcPr>
            <w:tcW w:w="2227" w:type="dxa"/>
            <w:tcBorders>
              <w:top w:val="nil"/>
              <w:left w:val="nil"/>
              <w:bottom w:val="single" w:sz="4" w:space="0" w:color="auto"/>
              <w:right w:val="single" w:sz="4" w:space="0" w:color="auto"/>
            </w:tcBorders>
            <w:shd w:val="clear" w:color="000000" w:fill="FFFFFF"/>
            <w:vAlign w:val="center"/>
            <w:hideMark/>
          </w:tcPr>
          <w:p w14:paraId="57C31FCE" w14:textId="77777777" w:rsidR="009A4387" w:rsidRPr="00BA1C8E" w:rsidRDefault="009A4387" w:rsidP="00BA1C8E">
            <w:pPr>
              <w:pStyle w:val="NoSpacing"/>
              <w:jc w:val="center"/>
              <w:rPr>
                <w:rFonts w:ascii="Times New Roman" w:hAnsi="Times New Roman" w:cs="Times New Roman"/>
                <w:szCs w:val="24"/>
                <w:lang w:eastAsia="en-IN"/>
              </w:rPr>
            </w:pPr>
            <w:r w:rsidRPr="00BA1C8E">
              <w:rPr>
                <w:rFonts w:ascii="Times New Roman" w:hAnsi="Times New Roman" w:cs="Times New Roman"/>
                <w:szCs w:val="24"/>
                <w:lang w:eastAsia="en-IN"/>
              </w:rPr>
              <w:t>123.09</w:t>
            </w:r>
          </w:p>
        </w:tc>
        <w:tc>
          <w:tcPr>
            <w:tcW w:w="1812" w:type="dxa"/>
            <w:tcBorders>
              <w:top w:val="nil"/>
              <w:left w:val="nil"/>
              <w:bottom w:val="single" w:sz="4" w:space="0" w:color="auto"/>
              <w:right w:val="single" w:sz="4" w:space="0" w:color="auto"/>
            </w:tcBorders>
            <w:shd w:val="clear" w:color="000000" w:fill="FFFFFF"/>
            <w:vAlign w:val="center"/>
            <w:hideMark/>
          </w:tcPr>
          <w:p w14:paraId="73A7F4DB" w14:textId="77777777" w:rsidR="009A4387" w:rsidRPr="00BA1C8E" w:rsidRDefault="009A4387" w:rsidP="00BA1C8E">
            <w:pPr>
              <w:pStyle w:val="NoSpacing"/>
              <w:jc w:val="center"/>
              <w:rPr>
                <w:rFonts w:ascii="Times New Roman" w:hAnsi="Times New Roman" w:cs="Times New Roman"/>
                <w:szCs w:val="24"/>
                <w:lang w:eastAsia="en-IN"/>
              </w:rPr>
            </w:pPr>
            <w:r w:rsidRPr="00BA1C8E">
              <w:rPr>
                <w:rFonts w:ascii="Times New Roman" w:hAnsi="Times New Roman" w:cs="Times New Roman"/>
                <w:szCs w:val="24"/>
                <w:lang w:eastAsia="en-IN"/>
              </w:rPr>
              <w:t>112.74</w:t>
            </w:r>
          </w:p>
        </w:tc>
        <w:tc>
          <w:tcPr>
            <w:tcW w:w="1813" w:type="dxa"/>
            <w:tcBorders>
              <w:top w:val="nil"/>
              <w:left w:val="nil"/>
              <w:bottom w:val="single" w:sz="4" w:space="0" w:color="auto"/>
              <w:right w:val="single" w:sz="4" w:space="0" w:color="auto"/>
            </w:tcBorders>
            <w:shd w:val="clear" w:color="000000" w:fill="FFFFFF"/>
            <w:vAlign w:val="center"/>
            <w:hideMark/>
          </w:tcPr>
          <w:p w14:paraId="0D6964C1" w14:textId="77777777" w:rsidR="009A4387" w:rsidRPr="00BA1C8E" w:rsidRDefault="009A4387" w:rsidP="00BA1C8E">
            <w:pPr>
              <w:pStyle w:val="NoSpacing"/>
              <w:jc w:val="center"/>
              <w:rPr>
                <w:rFonts w:ascii="Times New Roman" w:hAnsi="Times New Roman" w:cs="Times New Roman"/>
                <w:szCs w:val="24"/>
                <w:lang w:eastAsia="en-IN"/>
              </w:rPr>
            </w:pPr>
            <w:r w:rsidRPr="00BA1C8E">
              <w:rPr>
                <w:rFonts w:ascii="Times New Roman" w:hAnsi="Times New Roman" w:cs="Times New Roman"/>
                <w:szCs w:val="24"/>
                <w:lang w:eastAsia="en-IN"/>
              </w:rPr>
              <w:t>235.83</w:t>
            </w:r>
          </w:p>
        </w:tc>
        <w:tc>
          <w:tcPr>
            <w:tcW w:w="2459" w:type="dxa"/>
            <w:tcBorders>
              <w:top w:val="nil"/>
              <w:left w:val="nil"/>
              <w:bottom w:val="single" w:sz="4" w:space="0" w:color="auto"/>
              <w:right w:val="single" w:sz="4" w:space="0" w:color="auto"/>
            </w:tcBorders>
            <w:shd w:val="clear" w:color="000000" w:fill="FFFFFF"/>
            <w:vAlign w:val="center"/>
            <w:hideMark/>
          </w:tcPr>
          <w:p w14:paraId="1F4B08DF" w14:textId="77777777" w:rsidR="009A4387" w:rsidRPr="00BA1C8E" w:rsidRDefault="009A4387" w:rsidP="00BA1C8E">
            <w:pPr>
              <w:pStyle w:val="NoSpacing"/>
              <w:jc w:val="center"/>
              <w:rPr>
                <w:rFonts w:ascii="Times New Roman" w:hAnsi="Times New Roman" w:cs="Times New Roman"/>
                <w:szCs w:val="24"/>
                <w:lang w:eastAsia="en-IN"/>
              </w:rPr>
            </w:pPr>
            <w:r w:rsidRPr="00BA1C8E">
              <w:rPr>
                <w:rFonts w:ascii="Times New Roman" w:hAnsi="Times New Roman" w:cs="Times New Roman"/>
                <w:szCs w:val="24"/>
                <w:lang w:eastAsia="en-IN"/>
              </w:rPr>
              <w:t>47.81</w:t>
            </w:r>
          </w:p>
        </w:tc>
      </w:tr>
      <w:tr w:rsidR="009A4387" w:rsidRPr="00BA1C8E" w14:paraId="4F981040" w14:textId="77777777" w:rsidTr="00BA1C8E">
        <w:trPr>
          <w:trHeight w:val="298"/>
          <w:jc w:val="center"/>
        </w:trPr>
        <w:tc>
          <w:tcPr>
            <w:tcW w:w="2568" w:type="dxa"/>
            <w:tcBorders>
              <w:top w:val="nil"/>
              <w:left w:val="single" w:sz="4" w:space="0" w:color="auto"/>
              <w:bottom w:val="single" w:sz="4" w:space="0" w:color="auto"/>
              <w:right w:val="single" w:sz="4" w:space="0" w:color="auto"/>
            </w:tcBorders>
            <w:shd w:val="clear" w:color="000000" w:fill="FFFFFF"/>
            <w:vAlign w:val="center"/>
            <w:hideMark/>
          </w:tcPr>
          <w:p w14:paraId="444AC261" w14:textId="77777777" w:rsidR="009A4387" w:rsidRPr="00BA1C8E" w:rsidRDefault="009A4387" w:rsidP="00B77C0B">
            <w:pPr>
              <w:pStyle w:val="NoSpacing"/>
              <w:rPr>
                <w:rFonts w:ascii="Times New Roman" w:hAnsi="Times New Roman" w:cs="Times New Roman"/>
                <w:szCs w:val="24"/>
                <w:lang w:eastAsia="en-IN"/>
              </w:rPr>
            </w:pPr>
            <w:r w:rsidRPr="00BA1C8E">
              <w:rPr>
                <w:rFonts w:ascii="Times New Roman" w:hAnsi="Times New Roman" w:cs="Times New Roman"/>
                <w:szCs w:val="24"/>
                <w:lang w:eastAsia="en-IN"/>
              </w:rPr>
              <w:t>West Bengal</w:t>
            </w:r>
          </w:p>
        </w:tc>
        <w:tc>
          <w:tcPr>
            <w:tcW w:w="2227" w:type="dxa"/>
            <w:tcBorders>
              <w:top w:val="nil"/>
              <w:left w:val="nil"/>
              <w:bottom w:val="single" w:sz="4" w:space="0" w:color="auto"/>
              <w:right w:val="single" w:sz="4" w:space="0" w:color="auto"/>
            </w:tcBorders>
            <w:shd w:val="clear" w:color="000000" w:fill="FFFFFF"/>
            <w:vAlign w:val="center"/>
            <w:hideMark/>
          </w:tcPr>
          <w:p w14:paraId="030FEF24" w14:textId="77777777" w:rsidR="009A4387" w:rsidRPr="00BA1C8E" w:rsidRDefault="009A4387" w:rsidP="00BA1C8E">
            <w:pPr>
              <w:pStyle w:val="NoSpacing"/>
              <w:jc w:val="center"/>
              <w:rPr>
                <w:rFonts w:ascii="Times New Roman" w:hAnsi="Times New Roman" w:cs="Times New Roman"/>
                <w:szCs w:val="24"/>
                <w:lang w:eastAsia="en-IN"/>
              </w:rPr>
            </w:pPr>
            <w:r w:rsidRPr="00BA1C8E">
              <w:rPr>
                <w:rFonts w:ascii="Times New Roman" w:hAnsi="Times New Roman" w:cs="Times New Roman"/>
                <w:szCs w:val="24"/>
                <w:lang w:eastAsia="en-IN"/>
              </w:rPr>
              <w:t>108.11</w:t>
            </w:r>
          </w:p>
        </w:tc>
        <w:tc>
          <w:tcPr>
            <w:tcW w:w="1812" w:type="dxa"/>
            <w:tcBorders>
              <w:top w:val="nil"/>
              <w:left w:val="nil"/>
              <w:bottom w:val="single" w:sz="4" w:space="0" w:color="auto"/>
              <w:right w:val="single" w:sz="4" w:space="0" w:color="auto"/>
            </w:tcBorders>
            <w:shd w:val="clear" w:color="000000" w:fill="FFFFFF"/>
            <w:vAlign w:val="center"/>
            <w:hideMark/>
          </w:tcPr>
          <w:p w14:paraId="1555DAC6" w14:textId="77777777" w:rsidR="009A4387" w:rsidRPr="00BA1C8E" w:rsidRDefault="009A4387" w:rsidP="00BA1C8E">
            <w:pPr>
              <w:pStyle w:val="NoSpacing"/>
              <w:jc w:val="center"/>
              <w:rPr>
                <w:rFonts w:ascii="Times New Roman" w:hAnsi="Times New Roman" w:cs="Times New Roman"/>
                <w:szCs w:val="24"/>
                <w:lang w:eastAsia="en-IN"/>
              </w:rPr>
            </w:pPr>
            <w:r w:rsidRPr="00BA1C8E">
              <w:rPr>
                <w:rFonts w:ascii="Times New Roman" w:hAnsi="Times New Roman" w:cs="Times New Roman"/>
                <w:szCs w:val="24"/>
                <w:lang w:eastAsia="en-IN"/>
              </w:rPr>
              <w:t>31.86</w:t>
            </w:r>
          </w:p>
        </w:tc>
        <w:tc>
          <w:tcPr>
            <w:tcW w:w="1813" w:type="dxa"/>
            <w:tcBorders>
              <w:top w:val="nil"/>
              <w:left w:val="nil"/>
              <w:bottom w:val="single" w:sz="4" w:space="0" w:color="auto"/>
              <w:right w:val="single" w:sz="4" w:space="0" w:color="auto"/>
            </w:tcBorders>
            <w:shd w:val="clear" w:color="000000" w:fill="FFFFFF"/>
            <w:vAlign w:val="center"/>
            <w:hideMark/>
          </w:tcPr>
          <w:p w14:paraId="19B6953B" w14:textId="77777777" w:rsidR="009A4387" w:rsidRPr="00BA1C8E" w:rsidRDefault="009A4387" w:rsidP="00BA1C8E">
            <w:pPr>
              <w:pStyle w:val="NoSpacing"/>
              <w:jc w:val="center"/>
              <w:rPr>
                <w:rFonts w:ascii="Times New Roman" w:hAnsi="Times New Roman" w:cs="Times New Roman"/>
                <w:szCs w:val="24"/>
                <w:lang w:eastAsia="en-IN"/>
              </w:rPr>
            </w:pPr>
            <w:r w:rsidRPr="00BA1C8E">
              <w:rPr>
                <w:rFonts w:ascii="Times New Roman" w:hAnsi="Times New Roman" w:cs="Times New Roman"/>
                <w:szCs w:val="24"/>
                <w:lang w:eastAsia="en-IN"/>
              </w:rPr>
              <w:t>139.97</w:t>
            </w:r>
          </w:p>
        </w:tc>
        <w:tc>
          <w:tcPr>
            <w:tcW w:w="2459" w:type="dxa"/>
            <w:tcBorders>
              <w:top w:val="nil"/>
              <w:left w:val="nil"/>
              <w:bottom w:val="single" w:sz="4" w:space="0" w:color="auto"/>
              <w:right w:val="single" w:sz="4" w:space="0" w:color="auto"/>
            </w:tcBorders>
            <w:shd w:val="clear" w:color="000000" w:fill="FFFFFF"/>
            <w:vAlign w:val="center"/>
            <w:hideMark/>
          </w:tcPr>
          <w:p w14:paraId="0C87C4DD" w14:textId="77777777" w:rsidR="009A4387" w:rsidRPr="00BA1C8E" w:rsidRDefault="009A4387" w:rsidP="00BA1C8E">
            <w:pPr>
              <w:pStyle w:val="NoSpacing"/>
              <w:jc w:val="center"/>
              <w:rPr>
                <w:rFonts w:ascii="Times New Roman" w:hAnsi="Times New Roman" w:cs="Times New Roman"/>
                <w:szCs w:val="24"/>
                <w:lang w:eastAsia="en-IN"/>
              </w:rPr>
            </w:pPr>
            <w:r w:rsidRPr="00BA1C8E">
              <w:rPr>
                <w:rFonts w:ascii="Times New Roman" w:hAnsi="Times New Roman" w:cs="Times New Roman"/>
                <w:szCs w:val="24"/>
                <w:lang w:eastAsia="en-IN"/>
              </w:rPr>
              <w:t>22.76</w:t>
            </w:r>
          </w:p>
        </w:tc>
      </w:tr>
      <w:tr w:rsidR="009A4387" w:rsidRPr="00BA1C8E" w14:paraId="28021DEA" w14:textId="77777777" w:rsidTr="00BA1C8E">
        <w:trPr>
          <w:trHeight w:val="597"/>
          <w:jc w:val="center"/>
        </w:trPr>
        <w:tc>
          <w:tcPr>
            <w:tcW w:w="2568" w:type="dxa"/>
            <w:tcBorders>
              <w:top w:val="nil"/>
              <w:left w:val="single" w:sz="4" w:space="0" w:color="auto"/>
              <w:bottom w:val="single" w:sz="4" w:space="0" w:color="auto"/>
              <w:right w:val="single" w:sz="4" w:space="0" w:color="auto"/>
            </w:tcBorders>
            <w:shd w:val="clear" w:color="000000" w:fill="FFFFFF"/>
            <w:vAlign w:val="center"/>
            <w:hideMark/>
          </w:tcPr>
          <w:p w14:paraId="17B44969" w14:textId="77777777" w:rsidR="009A4387" w:rsidRPr="00BA1C8E" w:rsidRDefault="009A4387" w:rsidP="00B77C0B">
            <w:pPr>
              <w:pStyle w:val="NoSpacing"/>
              <w:rPr>
                <w:rFonts w:ascii="Times New Roman" w:hAnsi="Times New Roman" w:cs="Times New Roman"/>
                <w:szCs w:val="24"/>
                <w:lang w:eastAsia="en-IN"/>
              </w:rPr>
            </w:pPr>
            <w:r w:rsidRPr="00BA1C8E">
              <w:rPr>
                <w:rFonts w:ascii="Times New Roman" w:hAnsi="Times New Roman" w:cs="Times New Roman"/>
                <w:szCs w:val="24"/>
                <w:lang w:eastAsia="en-IN"/>
              </w:rPr>
              <w:t>TOTAL</w:t>
            </w:r>
          </w:p>
        </w:tc>
        <w:tc>
          <w:tcPr>
            <w:tcW w:w="2227" w:type="dxa"/>
            <w:tcBorders>
              <w:top w:val="nil"/>
              <w:left w:val="nil"/>
              <w:bottom w:val="single" w:sz="4" w:space="0" w:color="auto"/>
              <w:right w:val="single" w:sz="4" w:space="0" w:color="auto"/>
            </w:tcBorders>
            <w:shd w:val="clear" w:color="000000" w:fill="FFFFFF"/>
            <w:vAlign w:val="center"/>
            <w:hideMark/>
          </w:tcPr>
          <w:p w14:paraId="7A70F2AB" w14:textId="77777777" w:rsidR="009A4387" w:rsidRPr="00BA1C8E" w:rsidRDefault="009A4387" w:rsidP="00BA1C8E">
            <w:pPr>
              <w:pStyle w:val="NoSpacing"/>
              <w:jc w:val="center"/>
              <w:rPr>
                <w:rFonts w:ascii="Times New Roman" w:hAnsi="Times New Roman" w:cs="Times New Roman"/>
                <w:szCs w:val="24"/>
                <w:lang w:eastAsia="en-IN"/>
              </w:rPr>
            </w:pPr>
            <w:r w:rsidRPr="00BA1C8E">
              <w:rPr>
                <w:rFonts w:ascii="Times New Roman" w:hAnsi="Times New Roman" w:cs="Times New Roman"/>
                <w:szCs w:val="24"/>
                <w:lang w:eastAsia="en-IN"/>
              </w:rPr>
              <w:t>1086.63(b)</w:t>
            </w:r>
          </w:p>
        </w:tc>
        <w:tc>
          <w:tcPr>
            <w:tcW w:w="1812" w:type="dxa"/>
            <w:tcBorders>
              <w:top w:val="nil"/>
              <w:left w:val="nil"/>
              <w:bottom w:val="single" w:sz="4" w:space="0" w:color="auto"/>
              <w:right w:val="single" w:sz="4" w:space="0" w:color="auto"/>
            </w:tcBorders>
            <w:shd w:val="clear" w:color="000000" w:fill="FFFFFF"/>
            <w:vAlign w:val="center"/>
            <w:hideMark/>
          </w:tcPr>
          <w:p w14:paraId="5A1A8CCB" w14:textId="77777777" w:rsidR="009A4387" w:rsidRPr="00BA1C8E" w:rsidRDefault="009A4387" w:rsidP="00BA1C8E">
            <w:pPr>
              <w:pStyle w:val="NoSpacing"/>
              <w:jc w:val="center"/>
              <w:rPr>
                <w:rFonts w:ascii="Times New Roman" w:hAnsi="Times New Roman" w:cs="Times New Roman"/>
                <w:szCs w:val="24"/>
                <w:lang w:eastAsia="en-IN"/>
              </w:rPr>
            </w:pPr>
            <w:r w:rsidRPr="00BA1C8E">
              <w:rPr>
                <w:rFonts w:ascii="Times New Roman" w:hAnsi="Times New Roman" w:cs="Times New Roman"/>
                <w:szCs w:val="24"/>
                <w:lang w:eastAsia="en-IN"/>
              </w:rPr>
              <w:t>624.22</w:t>
            </w:r>
          </w:p>
        </w:tc>
        <w:tc>
          <w:tcPr>
            <w:tcW w:w="1813" w:type="dxa"/>
            <w:tcBorders>
              <w:top w:val="nil"/>
              <w:left w:val="nil"/>
              <w:bottom w:val="single" w:sz="4" w:space="0" w:color="auto"/>
              <w:right w:val="single" w:sz="4" w:space="0" w:color="auto"/>
            </w:tcBorders>
            <w:shd w:val="clear" w:color="000000" w:fill="FFFFFF"/>
            <w:vAlign w:val="center"/>
            <w:hideMark/>
          </w:tcPr>
          <w:p w14:paraId="47983F8E" w14:textId="77777777" w:rsidR="009A4387" w:rsidRPr="00BA1C8E" w:rsidRDefault="009A4387" w:rsidP="00BA1C8E">
            <w:pPr>
              <w:pStyle w:val="NoSpacing"/>
              <w:jc w:val="center"/>
              <w:rPr>
                <w:rFonts w:ascii="Times New Roman" w:hAnsi="Times New Roman" w:cs="Times New Roman"/>
                <w:szCs w:val="24"/>
                <w:lang w:eastAsia="en-IN"/>
              </w:rPr>
            </w:pPr>
            <w:r w:rsidRPr="00BA1C8E">
              <w:rPr>
                <w:rFonts w:ascii="Times New Roman" w:hAnsi="Times New Roman" w:cs="Times New Roman"/>
                <w:szCs w:val="24"/>
                <w:lang w:eastAsia="en-IN"/>
              </w:rPr>
              <w:t>1710.85</w:t>
            </w:r>
          </w:p>
        </w:tc>
        <w:tc>
          <w:tcPr>
            <w:tcW w:w="2459" w:type="dxa"/>
            <w:tcBorders>
              <w:top w:val="nil"/>
              <w:left w:val="nil"/>
              <w:bottom w:val="single" w:sz="4" w:space="0" w:color="auto"/>
              <w:right w:val="single" w:sz="4" w:space="0" w:color="auto"/>
            </w:tcBorders>
            <w:shd w:val="clear" w:color="000000" w:fill="FFFFFF"/>
            <w:vAlign w:val="center"/>
            <w:hideMark/>
          </w:tcPr>
          <w:p w14:paraId="36CB156F" w14:textId="77777777" w:rsidR="009A4387" w:rsidRPr="00BA1C8E" w:rsidRDefault="009A4387" w:rsidP="00BA1C8E">
            <w:pPr>
              <w:pStyle w:val="NoSpacing"/>
              <w:jc w:val="center"/>
              <w:rPr>
                <w:rFonts w:ascii="Times New Roman" w:hAnsi="Times New Roman" w:cs="Times New Roman"/>
                <w:szCs w:val="24"/>
                <w:lang w:eastAsia="en-IN"/>
              </w:rPr>
            </w:pPr>
            <w:r w:rsidRPr="00BA1C8E">
              <w:rPr>
                <w:rFonts w:ascii="Times New Roman" w:hAnsi="Times New Roman" w:cs="Times New Roman"/>
                <w:szCs w:val="24"/>
                <w:lang w:eastAsia="en-IN"/>
              </w:rPr>
              <w:t>36.49</w:t>
            </w:r>
          </w:p>
        </w:tc>
      </w:tr>
    </w:tbl>
    <w:p w14:paraId="0B5A90B1" w14:textId="77777777" w:rsidR="00BA1C8E" w:rsidRDefault="009A4387" w:rsidP="00BA1C8E">
      <w:pPr>
        <w:pStyle w:val="Sources"/>
      </w:pPr>
      <w:r w:rsidRPr="007245B0">
        <w:t>* Excludes transfer of taxes from the Centre.</w:t>
      </w:r>
    </w:p>
    <w:p w14:paraId="2D7945B7" w14:textId="77777777" w:rsidR="00BA1C8E" w:rsidRDefault="009A4387" w:rsidP="00BA1C8E">
      <w:pPr>
        <w:pStyle w:val="Sources"/>
      </w:pPr>
      <w:r w:rsidRPr="007245B0">
        <w:t>** Excludes all grants from the Centre.</w:t>
      </w:r>
    </w:p>
    <w:p w14:paraId="321B97C2" w14:textId="00D2AE67" w:rsidR="009A4387" w:rsidRPr="007245B0" w:rsidRDefault="009A4387" w:rsidP="00BA1C8E">
      <w:pPr>
        <w:pStyle w:val="Sources"/>
        <w:sectPr w:rsidR="009A4387" w:rsidRPr="007245B0" w:rsidSect="00BA1C8E">
          <w:pgSz w:w="11906" w:h="16838"/>
          <w:pgMar w:top="851" w:right="1558" w:bottom="1440" w:left="1843" w:header="709" w:footer="709" w:gutter="0"/>
          <w:cols w:space="708"/>
          <w:docGrid w:linePitch="360"/>
        </w:sectPr>
      </w:pPr>
      <w:r w:rsidRPr="007245B0">
        <w:t>(b) Includes receipts from royalty on mineral oil (Assam &amp; Gujarat) and road tolls (J&amp;K).</w:t>
      </w:r>
      <w:r w:rsidRPr="007245B0">
        <w:br/>
      </w:r>
      <w:r w:rsidRPr="007245B0">
        <w:rPr>
          <w:b/>
          <w:bCs/>
        </w:rPr>
        <w:t>Source</w:t>
      </w:r>
      <w:r w:rsidRPr="007245B0">
        <w:t>: State Budgets.</w:t>
      </w:r>
    </w:p>
    <w:p w14:paraId="34357AE3" w14:textId="1838473D" w:rsidR="009A4387" w:rsidRPr="007245B0" w:rsidRDefault="00574BCE" w:rsidP="00BA1C8E">
      <w:pPr>
        <w:pStyle w:val="Heading4"/>
      </w:pPr>
      <w:bookmarkStart w:id="66" w:name="_Toc220949692"/>
      <w:bookmarkStart w:id="67" w:name="_Toc221114292"/>
      <w:bookmarkStart w:id="68" w:name="_Toc221115315"/>
      <w:r w:rsidRPr="008E2A3E">
        <w:lastRenderedPageBreak/>
        <w:t xml:space="preserve">Table </w:t>
      </w:r>
      <w:r w:rsidR="009A4387" w:rsidRPr="007245B0">
        <w:t>12: State</w:t>
      </w:r>
      <w:r w:rsidR="00A8668B">
        <w:t>s’</w:t>
      </w:r>
      <w:r w:rsidR="009A4387" w:rsidRPr="007245B0">
        <w:t xml:space="preserve"> income for 1962-63 to 1964-65 (average), tax revenues in 1967-68 and tax revenues as proportion of the State incomes</w:t>
      </w:r>
      <w:bookmarkEnd w:id="66"/>
      <w:bookmarkEnd w:id="67"/>
      <w:bookmarkEnd w:id="68"/>
    </w:p>
    <w:tbl>
      <w:tblPr>
        <w:tblW w:w="9706" w:type="dxa"/>
        <w:tblLook w:val="04A0" w:firstRow="1" w:lastRow="0" w:firstColumn="1" w:lastColumn="0" w:noHBand="0" w:noVBand="1"/>
      </w:tblPr>
      <w:tblGrid>
        <w:gridCol w:w="2286"/>
        <w:gridCol w:w="1337"/>
        <w:gridCol w:w="1071"/>
        <w:gridCol w:w="1587"/>
        <w:gridCol w:w="1305"/>
        <w:gridCol w:w="2120"/>
      </w:tblGrid>
      <w:tr w:rsidR="005A7AAF" w:rsidRPr="00BA1C8E" w14:paraId="449B53DE" w14:textId="77777777" w:rsidTr="00B77C0B">
        <w:trPr>
          <w:trHeight w:val="20"/>
        </w:trPr>
        <w:tc>
          <w:tcPr>
            <w:tcW w:w="228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2B81E1A" w14:textId="77777777" w:rsidR="005A7AAF" w:rsidRPr="00BA1C8E" w:rsidRDefault="005A7AAF" w:rsidP="00B77C0B">
            <w:pPr>
              <w:pStyle w:val="NoSpacing"/>
              <w:jc w:val="center"/>
              <w:rPr>
                <w:rFonts w:ascii="Times New Roman" w:hAnsi="Times New Roman" w:cs="Times New Roman"/>
                <w:b/>
                <w:bCs/>
                <w:szCs w:val="24"/>
                <w:lang w:eastAsia="en-IN"/>
              </w:rPr>
            </w:pPr>
            <w:r w:rsidRPr="00BA1C8E">
              <w:rPr>
                <w:rFonts w:ascii="Times New Roman" w:hAnsi="Times New Roman" w:cs="Times New Roman"/>
                <w:b/>
                <w:bCs/>
                <w:szCs w:val="24"/>
                <w:lang w:eastAsia="en-IN"/>
              </w:rPr>
              <w:t>State</w:t>
            </w:r>
          </w:p>
        </w:tc>
        <w:tc>
          <w:tcPr>
            <w:tcW w:w="2408" w:type="dxa"/>
            <w:gridSpan w:val="2"/>
            <w:tcBorders>
              <w:top w:val="single" w:sz="4" w:space="0" w:color="auto"/>
              <w:left w:val="nil"/>
              <w:bottom w:val="single" w:sz="4" w:space="0" w:color="auto"/>
              <w:right w:val="single" w:sz="4" w:space="0" w:color="000000"/>
            </w:tcBorders>
            <w:shd w:val="clear" w:color="000000" w:fill="FFFFFF"/>
            <w:vAlign w:val="center"/>
            <w:hideMark/>
          </w:tcPr>
          <w:p w14:paraId="6C67716E" w14:textId="77777777" w:rsidR="005A7AAF" w:rsidRPr="00BA1C8E" w:rsidRDefault="005A7AAF" w:rsidP="00B77C0B">
            <w:pPr>
              <w:pStyle w:val="NoSpacing"/>
              <w:jc w:val="center"/>
              <w:rPr>
                <w:rFonts w:ascii="Times New Roman" w:hAnsi="Times New Roman" w:cs="Times New Roman"/>
                <w:b/>
                <w:bCs/>
                <w:szCs w:val="24"/>
                <w:lang w:eastAsia="en-IN"/>
              </w:rPr>
            </w:pPr>
          </w:p>
          <w:p w14:paraId="57778CB0" w14:textId="7168CF9C" w:rsidR="005A7AAF" w:rsidRPr="00BA1C8E" w:rsidRDefault="005A7AAF" w:rsidP="00B77C0B">
            <w:pPr>
              <w:pStyle w:val="NoSpacing"/>
              <w:jc w:val="center"/>
              <w:rPr>
                <w:rFonts w:ascii="Times New Roman" w:hAnsi="Times New Roman" w:cs="Times New Roman"/>
                <w:b/>
                <w:bCs/>
                <w:szCs w:val="24"/>
                <w:lang w:eastAsia="en-IN"/>
              </w:rPr>
            </w:pPr>
            <w:r w:rsidRPr="00BA1C8E">
              <w:rPr>
                <w:rFonts w:ascii="Times New Roman" w:hAnsi="Times New Roman" w:cs="Times New Roman"/>
                <w:b/>
                <w:bCs/>
                <w:szCs w:val="24"/>
                <w:lang w:eastAsia="en-IN"/>
              </w:rPr>
              <w:t xml:space="preserve">State incomes for 1962-63 to 1964-65 (average) </w:t>
            </w:r>
          </w:p>
          <w:p w14:paraId="205D12EE" w14:textId="77777777" w:rsidR="005A7AAF" w:rsidRPr="00BA1C8E" w:rsidRDefault="005A7AAF" w:rsidP="00B77C0B">
            <w:pPr>
              <w:jc w:val="center"/>
              <w:rPr>
                <w:rFonts w:ascii="Times New Roman" w:hAnsi="Times New Roman" w:cs="Times New Roman"/>
                <w:b/>
                <w:bCs/>
                <w:szCs w:val="24"/>
                <w:lang w:eastAsia="en-IN"/>
              </w:rPr>
            </w:pPr>
          </w:p>
          <w:p w14:paraId="2DAC09E1" w14:textId="77777777" w:rsidR="005A7AAF" w:rsidRPr="00BA1C8E" w:rsidRDefault="005A7AAF" w:rsidP="00B77C0B">
            <w:pPr>
              <w:jc w:val="center"/>
              <w:rPr>
                <w:rFonts w:ascii="Times New Roman" w:hAnsi="Times New Roman" w:cs="Times New Roman"/>
                <w:b/>
                <w:bCs/>
                <w:szCs w:val="24"/>
                <w:lang w:eastAsia="en-IN"/>
              </w:rPr>
            </w:pPr>
          </w:p>
          <w:p w14:paraId="3C03D946" w14:textId="77777777" w:rsidR="005A7AAF" w:rsidRPr="00BA1C8E" w:rsidRDefault="005A7AAF" w:rsidP="00B77C0B">
            <w:pPr>
              <w:jc w:val="center"/>
              <w:rPr>
                <w:rFonts w:ascii="Times New Roman" w:hAnsi="Times New Roman" w:cs="Times New Roman"/>
                <w:b/>
                <w:bCs/>
                <w:szCs w:val="24"/>
                <w:lang w:eastAsia="en-IN"/>
              </w:rPr>
            </w:pPr>
          </w:p>
        </w:tc>
        <w:tc>
          <w:tcPr>
            <w:tcW w:w="2892" w:type="dxa"/>
            <w:gridSpan w:val="2"/>
            <w:tcBorders>
              <w:top w:val="single" w:sz="4" w:space="0" w:color="auto"/>
              <w:left w:val="nil"/>
              <w:bottom w:val="single" w:sz="4" w:space="0" w:color="auto"/>
              <w:right w:val="single" w:sz="4" w:space="0" w:color="000000"/>
            </w:tcBorders>
            <w:shd w:val="clear" w:color="000000" w:fill="FFFFFF"/>
            <w:vAlign w:val="center"/>
            <w:hideMark/>
          </w:tcPr>
          <w:p w14:paraId="7AB338C7" w14:textId="77777777" w:rsidR="005A7AAF" w:rsidRPr="00BA1C8E" w:rsidRDefault="005A7AAF" w:rsidP="00B77C0B">
            <w:pPr>
              <w:pStyle w:val="NoSpacing"/>
              <w:rPr>
                <w:rFonts w:ascii="Times New Roman" w:hAnsi="Times New Roman" w:cs="Times New Roman"/>
                <w:b/>
                <w:bCs/>
                <w:szCs w:val="24"/>
                <w:lang w:eastAsia="en-IN"/>
              </w:rPr>
            </w:pPr>
            <w:r w:rsidRPr="00BA1C8E">
              <w:rPr>
                <w:rFonts w:ascii="Times New Roman" w:hAnsi="Times New Roman" w:cs="Times New Roman"/>
                <w:b/>
                <w:bCs/>
                <w:szCs w:val="24"/>
                <w:lang w:eastAsia="en-IN"/>
              </w:rPr>
              <w:t xml:space="preserve"> Tax revenues* in 1967-68</w:t>
            </w:r>
          </w:p>
        </w:tc>
        <w:tc>
          <w:tcPr>
            <w:tcW w:w="2120" w:type="dxa"/>
            <w:vMerge w:val="restart"/>
            <w:tcBorders>
              <w:top w:val="single" w:sz="4" w:space="0" w:color="auto"/>
              <w:left w:val="nil"/>
              <w:right w:val="single" w:sz="4" w:space="0" w:color="auto"/>
            </w:tcBorders>
            <w:shd w:val="clear" w:color="000000" w:fill="FFFFFF"/>
            <w:vAlign w:val="center"/>
            <w:hideMark/>
          </w:tcPr>
          <w:p w14:paraId="48962F24" w14:textId="77777777" w:rsidR="005A7AAF" w:rsidRPr="00BA1C8E" w:rsidRDefault="005A7AAF" w:rsidP="00B77C0B">
            <w:pPr>
              <w:pStyle w:val="NoSpacing"/>
              <w:jc w:val="center"/>
              <w:rPr>
                <w:rFonts w:ascii="Times New Roman" w:hAnsi="Times New Roman" w:cs="Times New Roman"/>
                <w:b/>
                <w:bCs/>
                <w:szCs w:val="24"/>
                <w:lang w:eastAsia="en-IN"/>
              </w:rPr>
            </w:pPr>
            <w:r w:rsidRPr="00BA1C8E">
              <w:rPr>
                <w:rFonts w:ascii="Times New Roman" w:hAnsi="Times New Roman" w:cs="Times New Roman"/>
                <w:b/>
                <w:bCs/>
                <w:szCs w:val="24"/>
                <w:lang w:eastAsia="en-IN"/>
              </w:rPr>
              <w:t>Percentage of tax revenues to State incomes (col. 4 to col. 2)</w:t>
            </w:r>
          </w:p>
        </w:tc>
      </w:tr>
      <w:tr w:rsidR="005A7AAF" w:rsidRPr="00BA1C8E" w14:paraId="210CFAB0" w14:textId="77777777" w:rsidTr="00B77C0B">
        <w:trPr>
          <w:trHeight w:val="20"/>
        </w:trPr>
        <w:tc>
          <w:tcPr>
            <w:tcW w:w="2286" w:type="dxa"/>
            <w:tcBorders>
              <w:top w:val="nil"/>
              <w:left w:val="single" w:sz="4" w:space="0" w:color="auto"/>
              <w:bottom w:val="single" w:sz="4" w:space="0" w:color="auto"/>
              <w:right w:val="single" w:sz="4" w:space="0" w:color="auto"/>
            </w:tcBorders>
            <w:shd w:val="clear" w:color="000000" w:fill="FFFFFF"/>
            <w:vAlign w:val="center"/>
            <w:hideMark/>
          </w:tcPr>
          <w:p w14:paraId="15ED32AF" w14:textId="77777777" w:rsidR="005A7AAF" w:rsidRPr="00BA1C8E" w:rsidRDefault="005A7AAF" w:rsidP="00B77C0B">
            <w:pPr>
              <w:pStyle w:val="NoSpacing"/>
              <w:rPr>
                <w:rFonts w:ascii="Times New Roman" w:hAnsi="Times New Roman" w:cs="Times New Roman"/>
                <w:b/>
                <w:bCs/>
                <w:szCs w:val="24"/>
                <w:lang w:eastAsia="en-IN"/>
              </w:rPr>
            </w:pPr>
            <w:r w:rsidRPr="00BA1C8E">
              <w:rPr>
                <w:rFonts w:ascii="Times New Roman" w:hAnsi="Times New Roman" w:cs="Times New Roman"/>
                <w:b/>
                <w:bCs/>
                <w:szCs w:val="24"/>
                <w:lang w:eastAsia="en-IN"/>
              </w:rPr>
              <w:t> </w:t>
            </w:r>
          </w:p>
        </w:tc>
        <w:tc>
          <w:tcPr>
            <w:tcW w:w="1337" w:type="dxa"/>
            <w:tcBorders>
              <w:top w:val="nil"/>
              <w:left w:val="nil"/>
              <w:bottom w:val="single" w:sz="4" w:space="0" w:color="auto"/>
              <w:right w:val="single" w:sz="4" w:space="0" w:color="auto"/>
            </w:tcBorders>
            <w:shd w:val="clear" w:color="000000" w:fill="FFFFFF"/>
            <w:vAlign w:val="center"/>
            <w:hideMark/>
          </w:tcPr>
          <w:p w14:paraId="47BE1E8B" w14:textId="77777777" w:rsidR="005A7AAF" w:rsidRPr="00BA1C8E" w:rsidRDefault="005A7AAF" w:rsidP="00BA1C8E">
            <w:pPr>
              <w:pStyle w:val="NoSpacing"/>
              <w:jc w:val="center"/>
              <w:rPr>
                <w:rFonts w:ascii="Times New Roman" w:hAnsi="Times New Roman" w:cs="Times New Roman"/>
                <w:b/>
                <w:bCs/>
                <w:szCs w:val="24"/>
                <w:lang w:eastAsia="en-IN"/>
              </w:rPr>
            </w:pPr>
            <w:r w:rsidRPr="00BA1C8E">
              <w:rPr>
                <w:rFonts w:ascii="Times New Roman" w:hAnsi="Times New Roman" w:cs="Times New Roman"/>
                <w:b/>
                <w:bCs/>
                <w:szCs w:val="24"/>
                <w:lang w:eastAsia="en-IN"/>
              </w:rPr>
              <w:t>Total amount (Rs. crores)</w:t>
            </w:r>
          </w:p>
        </w:tc>
        <w:tc>
          <w:tcPr>
            <w:tcW w:w="1071" w:type="dxa"/>
            <w:tcBorders>
              <w:top w:val="nil"/>
              <w:left w:val="nil"/>
              <w:bottom w:val="single" w:sz="4" w:space="0" w:color="auto"/>
              <w:right w:val="single" w:sz="4" w:space="0" w:color="auto"/>
            </w:tcBorders>
            <w:shd w:val="clear" w:color="000000" w:fill="FFFFFF"/>
            <w:vAlign w:val="center"/>
            <w:hideMark/>
          </w:tcPr>
          <w:p w14:paraId="63A69276" w14:textId="77777777" w:rsidR="005A7AAF" w:rsidRPr="00BA1C8E" w:rsidRDefault="005A7AAF" w:rsidP="00BA1C8E">
            <w:pPr>
              <w:pStyle w:val="NoSpacing"/>
              <w:jc w:val="center"/>
              <w:rPr>
                <w:rFonts w:ascii="Times New Roman" w:hAnsi="Times New Roman" w:cs="Times New Roman"/>
                <w:b/>
                <w:bCs/>
                <w:szCs w:val="24"/>
                <w:lang w:eastAsia="en-IN"/>
              </w:rPr>
            </w:pPr>
            <w:r w:rsidRPr="00BA1C8E">
              <w:rPr>
                <w:rFonts w:ascii="Times New Roman" w:hAnsi="Times New Roman" w:cs="Times New Roman"/>
                <w:b/>
                <w:bCs/>
                <w:szCs w:val="24"/>
                <w:lang w:eastAsia="en-IN"/>
              </w:rPr>
              <w:t>Per capita (Rs.)</w:t>
            </w:r>
          </w:p>
        </w:tc>
        <w:tc>
          <w:tcPr>
            <w:tcW w:w="1587" w:type="dxa"/>
            <w:tcBorders>
              <w:top w:val="nil"/>
              <w:left w:val="nil"/>
              <w:bottom w:val="single" w:sz="4" w:space="0" w:color="auto"/>
              <w:right w:val="single" w:sz="4" w:space="0" w:color="auto"/>
            </w:tcBorders>
            <w:shd w:val="clear" w:color="000000" w:fill="FFFFFF"/>
            <w:vAlign w:val="center"/>
            <w:hideMark/>
          </w:tcPr>
          <w:p w14:paraId="084D9C27" w14:textId="631013AC" w:rsidR="005A7AAF" w:rsidRPr="00BA1C8E" w:rsidRDefault="005A7AAF" w:rsidP="00BA1C8E">
            <w:pPr>
              <w:pStyle w:val="NoSpacing"/>
              <w:jc w:val="center"/>
              <w:rPr>
                <w:rFonts w:ascii="Times New Roman" w:hAnsi="Times New Roman" w:cs="Times New Roman"/>
                <w:b/>
                <w:bCs/>
                <w:szCs w:val="24"/>
                <w:lang w:eastAsia="en-IN"/>
              </w:rPr>
            </w:pPr>
            <w:r w:rsidRPr="00BA1C8E">
              <w:rPr>
                <w:rFonts w:ascii="Times New Roman" w:hAnsi="Times New Roman" w:cs="Times New Roman"/>
                <w:b/>
                <w:bCs/>
                <w:szCs w:val="24"/>
                <w:lang w:eastAsia="en-IN"/>
              </w:rPr>
              <w:t>Total amount (Rs. crores)</w:t>
            </w:r>
          </w:p>
        </w:tc>
        <w:tc>
          <w:tcPr>
            <w:tcW w:w="1305" w:type="dxa"/>
            <w:tcBorders>
              <w:top w:val="nil"/>
              <w:left w:val="nil"/>
              <w:bottom w:val="single" w:sz="4" w:space="0" w:color="auto"/>
              <w:right w:val="single" w:sz="4" w:space="0" w:color="auto"/>
            </w:tcBorders>
            <w:shd w:val="clear" w:color="000000" w:fill="FFFFFF"/>
            <w:vAlign w:val="center"/>
            <w:hideMark/>
          </w:tcPr>
          <w:p w14:paraId="246C2B22" w14:textId="7ACF9435" w:rsidR="005A7AAF" w:rsidRPr="00BA1C8E" w:rsidRDefault="005A7AAF" w:rsidP="00BA1C8E">
            <w:pPr>
              <w:pStyle w:val="NoSpacing"/>
              <w:jc w:val="center"/>
              <w:rPr>
                <w:rFonts w:ascii="Times New Roman" w:hAnsi="Times New Roman" w:cs="Times New Roman"/>
                <w:b/>
                <w:bCs/>
                <w:szCs w:val="24"/>
                <w:lang w:eastAsia="en-IN"/>
              </w:rPr>
            </w:pPr>
            <w:r w:rsidRPr="00BA1C8E">
              <w:rPr>
                <w:rFonts w:ascii="Times New Roman" w:hAnsi="Times New Roman" w:cs="Times New Roman"/>
                <w:b/>
                <w:bCs/>
                <w:szCs w:val="24"/>
                <w:lang w:eastAsia="en-IN"/>
              </w:rPr>
              <w:t>Per capita** (Rs.)</w:t>
            </w:r>
          </w:p>
        </w:tc>
        <w:tc>
          <w:tcPr>
            <w:tcW w:w="2120" w:type="dxa"/>
            <w:vMerge/>
            <w:tcBorders>
              <w:left w:val="nil"/>
              <w:bottom w:val="single" w:sz="4" w:space="0" w:color="auto"/>
              <w:right w:val="single" w:sz="4" w:space="0" w:color="auto"/>
            </w:tcBorders>
            <w:shd w:val="clear" w:color="000000" w:fill="FFFFFF"/>
            <w:vAlign w:val="center"/>
            <w:hideMark/>
          </w:tcPr>
          <w:p w14:paraId="64BF7C35" w14:textId="0875B695" w:rsidR="005A7AAF" w:rsidRPr="00BA1C8E" w:rsidRDefault="005A7AAF" w:rsidP="00BA1C8E">
            <w:pPr>
              <w:pStyle w:val="NoSpacing"/>
              <w:jc w:val="center"/>
              <w:rPr>
                <w:rFonts w:ascii="Times New Roman" w:hAnsi="Times New Roman" w:cs="Times New Roman"/>
                <w:b/>
                <w:bCs/>
                <w:szCs w:val="24"/>
                <w:lang w:eastAsia="en-IN"/>
              </w:rPr>
            </w:pPr>
          </w:p>
        </w:tc>
      </w:tr>
      <w:tr w:rsidR="009A4387" w:rsidRPr="00BA1C8E" w14:paraId="307414DA" w14:textId="77777777" w:rsidTr="00BA1C8E">
        <w:trPr>
          <w:trHeight w:val="20"/>
        </w:trPr>
        <w:tc>
          <w:tcPr>
            <w:tcW w:w="2286" w:type="dxa"/>
            <w:tcBorders>
              <w:top w:val="nil"/>
              <w:left w:val="single" w:sz="4" w:space="0" w:color="auto"/>
              <w:bottom w:val="single" w:sz="4" w:space="0" w:color="auto"/>
              <w:right w:val="single" w:sz="4" w:space="0" w:color="auto"/>
            </w:tcBorders>
            <w:shd w:val="clear" w:color="000000" w:fill="FFFFFF"/>
            <w:vAlign w:val="center"/>
            <w:hideMark/>
          </w:tcPr>
          <w:p w14:paraId="09F9E7F7" w14:textId="77777777" w:rsidR="009A4387" w:rsidRPr="00BA1C8E" w:rsidRDefault="009A4387" w:rsidP="00B77C0B">
            <w:pPr>
              <w:pStyle w:val="NoSpacing"/>
              <w:rPr>
                <w:rFonts w:ascii="Times New Roman" w:hAnsi="Times New Roman" w:cs="Times New Roman"/>
                <w:szCs w:val="24"/>
                <w:lang w:eastAsia="en-IN"/>
              </w:rPr>
            </w:pPr>
            <w:r w:rsidRPr="00BA1C8E">
              <w:rPr>
                <w:rFonts w:ascii="Times New Roman" w:hAnsi="Times New Roman" w:cs="Times New Roman"/>
                <w:szCs w:val="24"/>
                <w:lang w:eastAsia="en-IN"/>
              </w:rPr>
              <w:t>1</w:t>
            </w:r>
          </w:p>
        </w:tc>
        <w:tc>
          <w:tcPr>
            <w:tcW w:w="1337" w:type="dxa"/>
            <w:tcBorders>
              <w:top w:val="nil"/>
              <w:left w:val="nil"/>
              <w:bottom w:val="single" w:sz="4" w:space="0" w:color="auto"/>
              <w:right w:val="single" w:sz="4" w:space="0" w:color="auto"/>
            </w:tcBorders>
            <w:shd w:val="clear" w:color="000000" w:fill="FFFFFF"/>
            <w:vAlign w:val="center"/>
            <w:hideMark/>
          </w:tcPr>
          <w:p w14:paraId="5344A0C8" w14:textId="77777777" w:rsidR="009A4387" w:rsidRPr="00BA1C8E" w:rsidRDefault="009A4387" w:rsidP="00BA1C8E">
            <w:pPr>
              <w:pStyle w:val="NoSpacing"/>
              <w:jc w:val="center"/>
              <w:rPr>
                <w:rFonts w:ascii="Times New Roman" w:hAnsi="Times New Roman" w:cs="Times New Roman"/>
                <w:szCs w:val="24"/>
                <w:lang w:eastAsia="en-IN"/>
              </w:rPr>
            </w:pPr>
            <w:r w:rsidRPr="00BA1C8E">
              <w:rPr>
                <w:rFonts w:ascii="Times New Roman" w:hAnsi="Times New Roman" w:cs="Times New Roman"/>
                <w:szCs w:val="24"/>
                <w:lang w:eastAsia="en-IN"/>
              </w:rPr>
              <w:t>2</w:t>
            </w:r>
          </w:p>
        </w:tc>
        <w:tc>
          <w:tcPr>
            <w:tcW w:w="1071" w:type="dxa"/>
            <w:tcBorders>
              <w:top w:val="nil"/>
              <w:left w:val="nil"/>
              <w:bottom w:val="single" w:sz="4" w:space="0" w:color="auto"/>
              <w:right w:val="single" w:sz="4" w:space="0" w:color="auto"/>
            </w:tcBorders>
            <w:shd w:val="clear" w:color="000000" w:fill="FFFFFF"/>
            <w:vAlign w:val="center"/>
            <w:hideMark/>
          </w:tcPr>
          <w:p w14:paraId="0AD8FF63" w14:textId="77777777" w:rsidR="009A4387" w:rsidRPr="00BA1C8E" w:rsidRDefault="009A4387" w:rsidP="00BA1C8E">
            <w:pPr>
              <w:pStyle w:val="NoSpacing"/>
              <w:jc w:val="center"/>
              <w:rPr>
                <w:rFonts w:ascii="Times New Roman" w:hAnsi="Times New Roman" w:cs="Times New Roman"/>
                <w:szCs w:val="24"/>
                <w:lang w:eastAsia="en-IN"/>
              </w:rPr>
            </w:pPr>
            <w:r w:rsidRPr="00BA1C8E">
              <w:rPr>
                <w:rFonts w:ascii="Times New Roman" w:hAnsi="Times New Roman" w:cs="Times New Roman"/>
                <w:szCs w:val="24"/>
                <w:lang w:eastAsia="en-IN"/>
              </w:rPr>
              <w:t>3</w:t>
            </w:r>
          </w:p>
        </w:tc>
        <w:tc>
          <w:tcPr>
            <w:tcW w:w="1587" w:type="dxa"/>
            <w:tcBorders>
              <w:top w:val="nil"/>
              <w:left w:val="nil"/>
              <w:bottom w:val="single" w:sz="4" w:space="0" w:color="auto"/>
              <w:right w:val="single" w:sz="4" w:space="0" w:color="auto"/>
            </w:tcBorders>
            <w:shd w:val="clear" w:color="000000" w:fill="FFFFFF"/>
            <w:vAlign w:val="center"/>
            <w:hideMark/>
          </w:tcPr>
          <w:p w14:paraId="41CA2D91" w14:textId="77777777" w:rsidR="009A4387" w:rsidRPr="00BA1C8E" w:rsidRDefault="009A4387" w:rsidP="00BA1C8E">
            <w:pPr>
              <w:pStyle w:val="NoSpacing"/>
              <w:jc w:val="center"/>
              <w:rPr>
                <w:rFonts w:ascii="Times New Roman" w:hAnsi="Times New Roman" w:cs="Times New Roman"/>
                <w:szCs w:val="24"/>
                <w:lang w:eastAsia="en-IN"/>
              </w:rPr>
            </w:pPr>
            <w:r w:rsidRPr="00BA1C8E">
              <w:rPr>
                <w:rFonts w:ascii="Times New Roman" w:hAnsi="Times New Roman" w:cs="Times New Roman"/>
                <w:szCs w:val="24"/>
                <w:lang w:eastAsia="en-IN"/>
              </w:rPr>
              <w:t>4</w:t>
            </w:r>
          </w:p>
        </w:tc>
        <w:tc>
          <w:tcPr>
            <w:tcW w:w="1305" w:type="dxa"/>
            <w:tcBorders>
              <w:top w:val="nil"/>
              <w:left w:val="nil"/>
              <w:bottom w:val="single" w:sz="4" w:space="0" w:color="auto"/>
              <w:right w:val="single" w:sz="4" w:space="0" w:color="auto"/>
            </w:tcBorders>
            <w:shd w:val="clear" w:color="000000" w:fill="FFFFFF"/>
            <w:vAlign w:val="center"/>
            <w:hideMark/>
          </w:tcPr>
          <w:p w14:paraId="0442DAC9" w14:textId="77777777" w:rsidR="009A4387" w:rsidRPr="00BA1C8E" w:rsidRDefault="009A4387" w:rsidP="00BA1C8E">
            <w:pPr>
              <w:pStyle w:val="NoSpacing"/>
              <w:jc w:val="center"/>
              <w:rPr>
                <w:rFonts w:ascii="Times New Roman" w:hAnsi="Times New Roman" w:cs="Times New Roman"/>
                <w:szCs w:val="24"/>
                <w:lang w:eastAsia="en-IN"/>
              </w:rPr>
            </w:pPr>
            <w:r w:rsidRPr="00BA1C8E">
              <w:rPr>
                <w:rFonts w:ascii="Times New Roman" w:hAnsi="Times New Roman" w:cs="Times New Roman"/>
                <w:szCs w:val="24"/>
                <w:lang w:eastAsia="en-IN"/>
              </w:rPr>
              <w:t>5</w:t>
            </w:r>
          </w:p>
        </w:tc>
        <w:tc>
          <w:tcPr>
            <w:tcW w:w="2120" w:type="dxa"/>
            <w:tcBorders>
              <w:top w:val="nil"/>
              <w:left w:val="nil"/>
              <w:bottom w:val="single" w:sz="4" w:space="0" w:color="auto"/>
              <w:right w:val="single" w:sz="4" w:space="0" w:color="auto"/>
            </w:tcBorders>
            <w:shd w:val="clear" w:color="000000" w:fill="FFFFFF"/>
            <w:vAlign w:val="center"/>
            <w:hideMark/>
          </w:tcPr>
          <w:p w14:paraId="13D012F6" w14:textId="77777777" w:rsidR="009A4387" w:rsidRPr="00BA1C8E" w:rsidRDefault="009A4387" w:rsidP="00BA1C8E">
            <w:pPr>
              <w:pStyle w:val="NoSpacing"/>
              <w:jc w:val="center"/>
              <w:rPr>
                <w:rFonts w:ascii="Times New Roman" w:hAnsi="Times New Roman" w:cs="Times New Roman"/>
                <w:szCs w:val="24"/>
                <w:lang w:eastAsia="en-IN"/>
              </w:rPr>
            </w:pPr>
            <w:r w:rsidRPr="00BA1C8E">
              <w:rPr>
                <w:rFonts w:ascii="Times New Roman" w:hAnsi="Times New Roman" w:cs="Times New Roman"/>
                <w:szCs w:val="24"/>
                <w:lang w:eastAsia="en-IN"/>
              </w:rPr>
              <w:t>6</w:t>
            </w:r>
          </w:p>
        </w:tc>
      </w:tr>
      <w:tr w:rsidR="009A4387" w:rsidRPr="00BA1C8E" w14:paraId="3D79D6A5" w14:textId="77777777" w:rsidTr="00BA1C8E">
        <w:trPr>
          <w:trHeight w:val="20"/>
        </w:trPr>
        <w:tc>
          <w:tcPr>
            <w:tcW w:w="2286" w:type="dxa"/>
            <w:tcBorders>
              <w:top w:val="nil"/>
              <w:left w:val="single" w:sz="4" w:space="0" w:color="auto"/>
              <w:bottom w:val="single" w:sz="4" w:space="0" w:color="auto"/>
              <w:right w:val="single" w:sz="4" w:space="0" w:color="auto"/>
            </w:tcBorders>
            <w:shd w:val="clear" w:color="000000" w:fill="FFFFFF"/>
            <w:vAlign w:val="center"/>
            <w:hideMark/>
          </w:tcPr>
          <w:p w14:paraId="7050AC7C" w14:textId="77777777" w:rsidR="009A4387" w:rsidRPr="00BA1C8E" w:rsidRDefault="009A4387" w:rsidP="00B77C0B">
            <w:pPr>
              <w:pStyle w:val="NoSpacing"/>
              <w:rPr>
                <w:rFonts w:ascii="Times New Roman" w:hAnsi="Times New Roman" w:cs="Times New Roman"/>
                <w:szCs w:val="24"/>
                <w:lang w:eastAsia="en-IN"/>
              </w:rPr>
            </w:pPr>
            <w:r w:rsidRPr="00BA1C8E">
              <w:rPr>
                <w:rFonts w:ascii="Times New Roman" w:hAnsi="Times New Roman" w:cs="Times New Roman"/>
                <w:szCs w:val="24"/>
                <w:lang w:eastAsia="en-IN"/>
              </w:rPr>
              <w:t>Punjab</w:t>
            </w:r>
          </w:p>
        </w:tc>
        <w:tc>
          <w:tcPr>
            <w:tcW w:w="1337" w:type="dxa"/>
            <w:tcBorders>
              <w:top w:val="nil"/>
              <w:left w:val="nil"/>
              <w:bottom w:val="single" w:sz="4" w:space="0" w:color="auto"/>
              <w:right w:val="single" w:sz="4" w:space="0" w:color="auto"/>
            </w:tcBorders>
            <w:shd w:val="clear" w:color="000000" w:fill="FFFFFF"/>
            <w:vAlign w:val="center"/>
            <w:hideMark/>
          </w:tcPr>
          <w:p w14:paraId="61F60136" w14:textId="77777777" w:rsidR="009A4387" w:rsidRPr="00BA1C8E" w:rsidRDefault="009A4387" w:rsidP="00BA1C8E">
            <w:pPr>
              <w:pStyle w:val="NoSpacing"/>
              <w:jc w:val="center"/>
              <w:rPr>
                <w:rFonts w:ascii="Times New Roman" w:hAnsi="Times New Roman" w:cs="Times New Roman"/>
                <w:szCs w:val="24"/>
                <w:lang w:eastAsia="en-IN"/>
              </w:rPr>
            </w:pPr>
            <w:r w:rsidRPr="00BA1C8E">
              <w:rPr>
                <w:rFonts w:ascii="Times New Roman" w:hAnsi="Times New Roman" w:cs="Times New Roman"/>
                <w:szCs w:val="24"/>
                <w:lang w:eastAsia="en-IN"/>
              </w:rPr>
              <w:t>595</w:t>
            </w:r>
          </w:p>
        </w:tc>
        <w:tc>
          <w:tcPr>
            <w:tcW w:w="1071" w:type="dxa"/>
            <w:tcBorders>
              <w:top w:val="nil"/>
              <w:left w:val="nil"/>
              <w:bottom w:val="single" w:sz="4" w:space="0" w:color="auto"/>
              <w:right w:val="single" w:sz="4" w:space="0" w:color="auto"/>
            </w:tcBorders>
            <w:shd w:val="clear" w:color="000000" w:fill="FFFFFF"/>
            <w:vAlign w:val="center"/>
            <w:hideMark/>
          </w:tcPr>
          <w:p w14:paraId="359971AC" w14:textId="77777777" w:rsidR="009A4387" w:rsidRPr="00BA1C8E" w:rsidRDefault="009A4387" w:rsidP="00BA1C8E">
            <w:pPr>
              <w:pStyle w:val="NoSpacing"/>
              <w:jc w:val="center"/>
              <w:rPr>
                <w:rFonts w:ascii="Times New Roman" w:hAnsi="Times New Roman" w:cs="Times New Roman"/>
                <w:szCs w:val="24"/>
                <w:lang w:eastAsia="en-IN"/>
              </w:rPr>
            </w:pPr>
            <w:r w:rsidRPr="00BA1C8E">
              <w:rPr>
                <w:rFonts w:ascii="Times New Roman" w:hAnsi="Times New Roman" w:cs="Times New Roman"/>
                <w:szCs w:val="24"/>
                <w:lang w:eastAsia="en-IN"/>
              </w:rPr>
              <w:t>492</w:t>
            </w:r>
          </w:p>
        </w:tc>
        <w:tc>
          <w:tcPr>
            <w:tcW w:w="1587" w:type="dxa"/>
            <w:tcBorders>
              <w:top w:val="nil"/>
              <w:left w:val="nil"/>
              <w:bottom w:val="single" w:sz="4" w:space="0" w:color="auto"/>
              <w:right w:val="single" w:sz="4" w:space="0" w:color="auto"/>
            </w:tcBorders>
            <w:shd w:val="clear" w:color="000000" w:fill="FFFFFF"/>
            <w:vAlign w:val="center"/>
            <w:hideMark/>
          </w:tcPr>
          <w:p w14:paraId="5AAAB364" w14:textId="4124F52B" w:rsidR="009A4387" w:rsidRPr="00BA1C8E" w:rsidRDefault="009A4387" w:rsidP="00BA1C8E">
            <w:pPr>
              <w:pStyle w:val="NoSpacing"/>
              <w:jc w:val="center"/>
              <w:rPr>
                <w:rFonts w:ascii="Times New Roman" w:hAnsi="Times New Roman" w:cs="Times New Roman"/>
                <w:szCs w:val="24"/>
                <w:lang w:eastAsia="en-IN"/>
              </w:rPr>
            </w:pPr>
            <w:r w:rsidRPr="00BA1C8E">
              <w:rPr>
                <w:rFonts w:ascii="Times New Roman" w:hAnsi="Times New Roman" w:cs="Times New Roman"/>
                <w:szCs w:val="24"/>
                <w:lang w:eastAsia="en-IN"/>
              </w:rPr>
              <w:t>50.2</w:t>
            </w:r>
            <w:r w:rsidR="0018161E">
              <w:rPr>
                <w:rFonts w:ascii="Times New Roman" w:hAnsi="Times New Roman" w:cs="Times New Roman"/>
                <w:szCs w:val="24"/>
                <w:lang w:eastAsia="en-IN"/>
              </w:rPr>
              <w:t>0</w:t>
            </w:r>
          </w:p>
        </w:tc>
        <w:tc>
          <w:tcPr>
            <w:tcW w:w="1305" w:type="dxa"/>
            <w:tcBorders>
              <w:top w:val="nil"/>
              <w:left w:val="nil"/>
              <w:bottom w:val="single" w:sz="4" w:space="0" w:color="auto"/>
              <w:right w:val="single" w:sz="4" w:space="0" w:color="auto"/>
            </w:tcBorders>
            <w:shd w:val="clear" w:color="000000" w:fill="FFFFFF"/>
            <w:vAlign w:val="center"/>
            <w:hideMark/>
          </w:tcPr>
          <w:p w14:paraId="61B0F059" w14:textId="77777777" w:rsidR="009A4387" w:rsidRPr="00BA1C8E" w:rsidRDefault="009A4387" w:rsidP="00BA1C8E">
            <w:pPr>
              <w:pStyle w:val="NoSpacing"/>
              <w:jc w:val="center"/>
              <w:rPr>
                <w:rFonts w:ascii="Times New Roman" w:hAnsi="Times New Roman" w:cs="Times New Roman"/>
                <w:szCs w:val="24"/>
                <w:lang w:eastAsia="en-IN"/>
              </w:rPr>
            </w:pPr>
            <w:r w:rsidRPr="00BA1C8E">
              <w:rPr>
                <w:rFonts w:ascii="Times New Roman" w:hAnsi="Times New Roman" w:cs="Times New Roman"/>
                <w:szCs w:val="24"/>
                <w:lang w:eastAsia="en-IN"/>
              </w:rPr>
              <w:t>37.46</w:t>
            </w:r>
          </w:p>
        </w:tc>
        <w:tc>
          <w:tcPr>
            <w:tcW w:w="2120" w:type="dxa"/>
            <w:tcBorders>
              <w:top w:val="nil"/>
              <w:left w:val="nil"/>
              <w:bottom w:val="single" w:sz="4" w:space="0" w:color="auto"/>
              <w:right w:val="single" w:sz="4" w:space="0" w:color="auto"/>
            </w:tcBorders>
            <w:shd w:val="clear" w:color="000000" w:fill="FFFFFF"/>
            <w:vAlign w:val="center"/>
            <w:hideMark/>
          </w:tcPr>
          <w:p w14:paraId="5C016B2F" w14:textId="77777777" w:rsidR="009A4387" w:rsidRPr="00BA1C8E" w:rsidRDefault="009A4387" w:rsidP="00BA1C8E">
            <w:pPr>
              <w:pStyle w:val="NoSpacing"/>
              <w:jc w:val="center"/>
              <w:rPr>
                <w:rFonts w:ascii="Times New Roman" w:hAnsi="Times New Roman" w:cs="Times New Roman"/>
                <w:szCs w:val="24"/>
                <w:lang w:eastAsia="en-IN"/>
              </w:rPr>
            </w:pPr>
            <w:r w:rsidRPr="00BA1C8E">
              <w:rPr>
                <w:rFonts w:ascii="Times New Roman" w:hAnsi="Times New Roman" w:cs="Times New Roman"/>
                <w:szCs w:val="24"/>
                <w:lang w:eastAsia="en-IN"/>
              </w:rPr>
              <w:t>8.44</w:t>
            </w:r>
          </w:p>
        </w:tc>
      </w:tr>
      <w:tr w:rsidR="009A4387" w:rsidRPr="00BA1C8E" w14:paraId="3B49F4DC" w14:textId="77777777" w:rsidTr="00BA1C8E">
        <w:trPr>
          <w:trHeight w:val="20"/>
        </w:trPr>
        <w:tc>
          <w:tcPr>
            <w:tcW w:w="2286" w:type="dxa"/>
            <w:tcBorders>
              <w:top w:val="nil"/>
              <w:left w:val="single" w:sz="4" w:space="0" w:color="auto"/>
              <w:bottom w:val="single" w:sz="4" w:space="0" w:color="auto"/>
              <w:right w:val="single" w:sz="4" w:space="0" w:color="auto"/>
            </w:tcBorders>
            <w:shd w:val="clear" w:color="000000" w:fill="FFFFFF"/>
            <w:vAlign w:val="center"/>
            <w:hideMark/>
          </w:tcPr>
          <w:p w14:paraId="062C595A" w14:textId="77777777" w:rsidR="009A4387" w:rsidRPr="00BA1C8E" w:rsidRDefault="009A4387" w:rsidP="00B77C0B">
            <w:pPr>
              <w:pStyle w:val="NoSpacing"/>
              <w:rPr>
                <w:rFonts w:ascii="Times New Roman" w:hAnsi="Times New Roman" w:cs="Times New Roman"/>
                <w:szCs w:val="24"/>
                <w:lang w:eastAsia="en-IN"/>
              </w:rPr>
            </w:pPr>
            <w:r w:rsidRPr="00BA1C8E">
              <w:rPr>
                <w:rFonts w:ascii="Times New Roman" w:hAnsi="Times New Roman" w:cs="Times New Roman"/>
                <w:szCs w:val="24"/>
                <w:lang w:eastAsia="en-IN"/>
              </w:rPr>
              <w:t>Maharashtra</w:t>
            </w:r>
          </w:p>
        </w:tc>
        <w:tc>
          <w:tcPr>
            <w:tcW w:w="1337" w:type="dxa"/>
            <w:tcBorders>
              <w:top w:val="nil"/>
              <w:left w:val="nil"/>
              <w:bottom w:val="single" w:sz="4" w:space="0" w:color="auto"/>
              <w:right w:val="single" w:sz="4" w:space="0" w:color="auto"/>
            </w:tcBorders>
            <w:shd w:val="clear" w:color="000000" w:fill="FFFFFF"/>
            <w:vAlign w:val="center"/>
            <w:hideMark/>
          </w:tcPr>
          <w:p w14:paraId="6E6C8A43" w14:textId="77777777" w:rsidR="009A4387" w:rsidRPr="00BA1C8E" w:rsidRDefault="009A4387" w:rsidP="00BA1C8E">
            <w:pPr>
              <w:pStyle w:val="NoSpacing"/>
              <w:jc w:val="center"/>
              <w:rPr>
                <w:rFonts w:ascii="Times New Roman" w:hAnsi="Times New Roman" w:cs="Times New Roman"/>
                <w:szCs w:val="24"/>
                <w:lang w:eastAsia="en-IN"/>
              </w:rPr>
            </w:pPr>
            <w:r w:rsidRPr="00BA1C8E">
              <w:rPr>
                <w:rFonts w:ascii="Times New Roman" w:hAnsi="Times New Roman" w:cs="Times New Roman"/>
                <w:szCs w:val="24"/>
                <w:lang w:eastAsia="en-IN"/>
              </w:rPr>
              <w:t>2019</w:t>
            </w:r>
          </w:p>
        </w:tc>
        <w:tc>
          <w:tcPr>
            <w:tcW w:w="1071" w:type="dxa"/>
            <w:tcBorders>
              <w:top w:val="nil"/>
              <w:left w:val="nil"/>
              <w:bottom w:val="single" w:sz="4" w:space="0" w:color="auto"/>
              <w:right w:val="single" w:sz="4" w:space="0" w:color="auto"/>
            </w:tcBorders>
            <w:shd w:val="clear" w:color="000000" w:fill="FFFFFF"/>
            <w:vAlign w:val="center"/>
            <w:hideMark/>
          </w:tcPr>
          <w:p w14:paraId="550131DC" w14:textId="77777777" w:rsidR="009A4387" w:rsidRPr="00BA1C8E" w:rsidRDefault="009A4387" w:rsidP="00BA1C8E">
            <w:pPr>
              <w:pStyle w:val="NoSpacing"/>
              <w:jc w:val="center"/>
              <w:rPr>
                <w:rFonts w:ascii="Times New Roman" w:hAnsi="Times New Roman" w:cs="Times New Roman"/>
                <w:szCs w:val="24"/>
                <w:lang w:eastAsia="en-IN"/>
              </w:rPr>
            </w:pPr>
            <w:r w:rsidRPr="00BA1C8E">
              <w:rPr>
                <w:rFonts w:ascii="Times New Roman" w:hAnsi="Times New Roman" w:cs="Times New Roman"/>
                <w:szCs w:val="24"/>
                <w:lang w:eastAsia="en-IN"/>
              </w:rPr>
              <w:t>478</w:t>
            </w:r>
          </w:p>
        </w:tc>
        <w:tc>
          <w:tcPr>
            <w:tcW w:w="1587" w:type="dxa"/>
            <w:tcBorders>
              <w:top w:val="nil"/>
              <w:left w:val="nil"/>
              <w:bottom w:val="single" w:sz="4" w:space="0" w:color="auto"/>
              <w:right w:val="single" w:sz="4" w:space="0" w:color="auto"/>
            </w:tcBorders>
            <w:shd w:val="clear" w:color="000000" w:fill="FFFFFF"/>
            <w:vAlign w:val="center"/>
            <w:hideMark/>
          </w:tcPr>
          <w:p w14:paraId="29E2B923" w14:textId="77777777" w:rsidR="009A4387" w:rsidRPr="00BA1C8E" w:rsidRDefault="009A4387" w:rsidP="00BA1C8E">
            <w:pPr>
              <w:pStyle w:val="NoSpacing"/>
              <w:jc w:val="center"/>
              <w:rPr>
                <w:rFonts w:ascii="Times New Roman" w:hAnsi="Times New Roman" w:cs="Times New Roman"/>
                <w:szCs w:val="24"/>
                <w:lang w:eastAsia="en-IN"/>
              </w:rPr>
            </w:pPr>
            <w:r w:rsidRPr="00BA1C8E">
              <w:rPr>
                <w:rFonts w:ascii="Times New Roman" w:hAnsi="Times New Roman" w:cs="Times New Roman"/>
                <w:szCs w:val="24"/>
                <w:lang w:eastAsia="en-IN"/>
              </w:rPr>
              <w:t>168.28</w:t>
            </w:r>
          </w:p>
        </w:tc>
        <w:tc>
          <w:tcPr>
            <w:tcW w:w="1305" w:type="dxa"/>
            <w:tcBorders>
              <w:top w:val="nil"/>
              <w:left w:val="nil"/>
              <w:bottom w:val="single" w:sz="4" w:space="0" w:color="auto"/>
              <w:right w:val="single" w:sz="4" w:space="0" w:color="auto"/>
            </w:tcBorders>
            <w:shd w:val="clear" w:color="000000" w:fill="FFFFFF"/>
            <w:vAlign w:val="center"/>
            <w:hideMark/>
          </w:tcPr>
          <w:p w14:paraId="79E542FC" w14:textId="22F27617" w:rsidR="009A4387" w:rsidRPr="00BA1C8E" w:rsidRDefault="009A4387" w:rsidP="00BA1C8E">
            <w:pPr>
              <w:pStyle w:val="NoSpacing"/>
              <w:jc w:val="center"/>
              <w:rPr>
                <w:rFonts w:ascii="Times New Roman" w:hAnsi="Times New Roman" w:cs="Times New Roman"/>
                <w:szCs w:val="24"/>
                <w:lang w:eastAsia="en-IN"/>
              </w:rPr>
            </w:pPr>
            <w:r w:rsidRPr="00BA1C8E">
              <w:rPr>
                <w:rFonts w:ascii="Times New Roman" w:hAnsi="Times New Roman" w:cs="Times New Roman"/>
                <w:szCs w:val="24"/>
                <w:lang w:eastAsia="en-IN"/>
              </w:rPr>
              <w:t>36.5</w:t>
            </w:r>
            <w:r w:rsidR="0018161E">
              <w:rPr>
                <w:rFonts w:ascii="Times New Roman" w:hAnsi="Times New Roman" w:cs="Times New Roman"/>
                <w:szCs w:val="24"/>
                <w:lang w:eastAsia="en-IN"/>
              </w:rPr>
              <w:t>0</w:t>
            </w:r>
          </w:p>
        </w:tc>
        <w:tc>
          <w:tcPr>
            <w:tcW w:w="2120" w:type="dxa"/>
            <w:tcBorders>
              <w:top w:val="nil"/>
              <w:left w:val="nil"/>
              <w:bottom w:val="single" w:sz="4" w:space="0" w:color="auto"/>
              <w:right w:val="single" w:sz="4" w:space="0" w:color="auto"/>
            </w:tcBorders>
            <w:shd w:val="clear" w:color="000000" w:fill="FFFFFF"/>
            <w:vAlign w:val="center"/>
            <w:hideMark/>
          </w:tcPr>
          <w:p w14:paraId="6B47C47E" w14:textId="77777777" w:rsidR="009A4387" w:rsidRPr="00BA1C8E" w:rsidRDefault="009A4387" w:rsidP="00BA1C8E">
            <w:pPr>
              <w:pStyle w:val="NoSpacing"/>
              <w:jc w:val="center"/>
              <w:rPr>
                <w:rFonts w:ascii="Times New Roman" w:hAnsi="Times New Roman" w:cs="Times New Roman"/>
                <w:szCs w:val="24"/>
                <w:lang w:eastAsia="en-IN"/>
              </w:rPr>
            </w:pPr>
            <w:r w:rsidRPr="00BA1C8E">
              <w:rPr>
                <w:rFonts w:ascii="Times New Roman" w:hAnsi="Times New Roman" w:cs="Times New Roman"/>
                <w:szCs w:val="24"/>
                <w:lang w:eastAsia="en-IN"/>
              </w:rPr>
              <w:t>8.34</w:t>
            </w:r>
          </w:p>
        </w:tc>
      </w:tr>
      <w:tr w:rsidR="009A4387" w:rsidRPr="00BA1C8E" w14:paraId="6E630B26" w14:textId="77777777" w:rsidTr="00BA1C8E">
        <w:trPr>
          <w:trHeight w:val="20"/>
        </w:trPr>
        <w:tc>
          <w:tcPr>
            <w:tcW w:w="2286" w:type="dxa"/>
            <w:tcBorders>
              <w:top w:val="nil"/>
              <w:left w:val="single" w:sz="4" w:space="0" w:color="auto"/>
              <w:bottom w:val="single" w:sz="4" w:space="0" w:color="auto"/>
              <w:right w:val="single" w:sz="4" w:space="0" w:color="auto"/>
            </w:tcBorders>
            <w:shd w:val="clear" w:color="000000" w:fill="FFFFFF"/>
            <w:vAlign w:val="center"/>
            <w:hideMark/>
          </w:tcPr>
          <w:p w14:paraId="1F4362BB" w14:textId="77777777" w:rsidR="009A4387" w:rsidRPr="00BA1C8E" w:rsidRDefault="009A4387" w:rsidP="00B77C0B">
            <w:pPr>
              <w:pStyle w:val="NoSpacing"/>
              <w:rPr>
                <w:rFonts w:ascii="Times New Roman" w:hAnsi="Times New Roman" w:cs="Times New Roman"/>
                <w:szCs w:val="24"/>
                <w:lang w:eastAsia="en-IN"/>
              </w:rPr>
            </w:pPr>
            <w:r w:rsidRPr="00BA1C8E">
              <w:rPr>
                <w:rFonts w:ascii="Times New Roman" w:hAnsi="Times New Roman" w:cs="Times New Roman"/>
                <w:szCs w:val="24"/>
                <w:lang w:eastAsia="en-IN"/>
              </w:rPr>
              <w:t>West Bengal</w:t>
            </w:r>
          </w:p>
        </w:tc>
        <w:tc>
          <w:tcPr>
            <w:tcW w:w="1337" w:type="dxa"/>
            <w:tcBorders>
              <w:top w:val="nil"/>
              <w:left w:val="nil"/>
              <w:bottom w:val="single" w:sz="4" w:space="0" w:color="auto"/>
              <w:right w:val="single" w:sz="4" w:space="0" w:color="auto"/>
            </w:tcBorders>
            <w:shd w:val="clear" w:color="000000" w:fill="FFFFFF"/>
            <w:vAlign w:val="center"/>
            <w:hideMark/>
          </w:tcPr>
          <w:p w14:paraId="772F6C5B" w14:textId="77777777" w:rsidR="009A4387" w:rsidRPr="00BA1C8E" w:rsidRDefault="009A4387" w:rsidP="00BA1C8E">
            <w:pPr>
              <w:pStyle w:val="NoSpacing"/>
              <w:jc w:val="center"/>
              <w:rPr>
                <w:rFonts w:ascii="Times New Roman" w:hAnsi="Times New Roman" w:cs="Times New Roman"/>
                <w:szCs w:val="24"/>
                <w:lang w:eastAsia="en-IN"/>
              </w:rPr>
            </w:pPr>
            <w:r w:rsidRPr="00BA1C8E">
              <w:rPr>
                <w:rFonts w:ascii="Times New Roman" w:hAnsi="Times New Roman" w:cs="Times New Roman"/>
                <w:szCs w:val="24"/>
                <w:lang w:eastAsia="en-IN"/>
              </w:rPr>
              <w:t>1742</w:t>
            </w:r>
          </w:p>
        </w:tc>
        <w:tc>
          <w:tcPr>
            <w:tcW w:w="1071" w:type="dxa"/>
            <w:tcBorders>
              <w:top w:val="nil"/>
              <w:left w:val="nil"/>
              <w:bottom w:val="single" w:sz="4" w:space="0" w:color="auto"/>
              <w:right w:val="single" w:sz="4" w:space="0" w:color="auto"/>
            </w:tcBorders>
            <w:shd w:val="clear" w:color="000000" w:fill="FFFFFF"/>
            <w:vAlign w:val="center"/>
            <w:hideMark/>
          </w:tcPr>
          <w:p w14:paraId="715CE9C0" w14:textId="77777777" w:rsidR="009A4387" w:rsidRPr="00BA1C8E" w:rsidRDefault="009A4387" w:rsidP="00BA1C8E">
            <w:pPr>
              <w:pStyle w:val="NoSpacing"/>
              <w:jc w:val="center"/>
              <w:rPr>
                <w:rFonts w:ascii="Times New Roman" w:hAnsi="Times New Roman" w:cs="Times New Roman"/>
                <w:szCs w:val="24"/>
                <w:lang w:eastAsia="en-IN"/>
              </w:rPr>
            </w:pPr>
            <w:r w:rsidRPr="00BA1C8E">
              <w:rPr>
                <w:rFonts w:ascii="Times New Roman" w:hAnsi="Times New Roman" w:cs="Times New Roman"/>
                <w:szCs w:val="24"/>
                <w:lang w:eastAsia="en-IN"/>
              </w:rPr>
              <w:t>465</w:t>
            </w:r>
          </w:p>
        </w:tc>
        <w:tc>
          <w:tcPr>
            <w:tcW w:w="1587" w:type="dxa"/>
            <w:tcBorders>
              <w:top w:val="nil"/>
              <w:left w:val="nil"/>
              <w:bottom w:val="single" w:sz="4" w:space="0" w:color="auto"/>
              <w:right w:val="single" w:sz="4" w:space="0" w:color="auto"/>
            </w:tcBorders>
            <w:shd w:val="clear" w:color="000000" w:fill="FFFFFF"/>
            <w:vAlign w:val="center"/>
            <w:hideMark/>
          </w:tcPr>
          <w:p w14:paraId="14804CFC" w14:textId="77777777" w:rsidR="009A4387" w:rsidRPr="00BA1C8E" w:rsidRDefault="009A4387" w:rsidP="00BA1C8E">
            <w:pPr>
              <w:pStyle w:val="NoSpacing"/>
              <w:jc w:val="center"/>
              <w:rPr>
                <w:rFonts w:ascii="Times New Roman" w:hAnsi="Times New Roman" w:cs="Times New Roman"/>
                <w:szCs w:val="24"/>
                <w:lang w:eastAsia="en-IN"/>
              </w:rPr>
            </w:pPr>
            <w:r w:rsidRPr="00BA1C8E">
              <w:rPr>
                <w:rFonts w:ascii="Times New Roman" w:hAnsi="Times New Roman" w:cs="Times New Roman"/>
                <w:szCs w:val="24"/>
                <w:lang w:eastAsia="en-IN"/>
              </w:rPr>
              <w:t>108.11</w:t>
            </w:r>
          </w:p>
        </w:tc>
        <w:tc>
          <w:tcPr>
            <w:tcW w:w="1305" w:type="dxa"/>
            <w:tcBorders>
              <w:top w:val="nil"/>
              <w:left w:val="nil"/>
              <w:bottom w:val="single" w:sz="4" w:space="0" w:color="auto"/>
              <w:right w:val="single" w:sz="4" w:space="0" w:color="auto"/>
            </w:tcBorders>
            <w:shd w:val="clear" w:color="000000" w:fill="FFFFFF"/>
            <w:vAlign w:val="center"/>
            <w:hideMark/>
          </w:tcPr>
          <w:p w14:paraId="1916181F" w14:textId="4AA92553" w:rsidR="009A4387" w:rsidRPr="00BA1C8E" w:rsidRDefault="009A4387" w:rsidP="00BA1C8E">
            <w:pPr>
              <w:pStyle w:val="NoSpacing"/>
              <w:jc w:val="center"/>
              <w:rPr>
                <w:rFonts w:ascii="Times New Roman" w:hAnsi="Times New Roman" w:cs="Times New Roman"/>
                <w:szCs w:val="24"/>
                <w:lang w:eastAsia="en-IN"/>
              </w:rPr>
            </w:pPr>
            <w:r w:rsidRPr="00BA1C8E">
              <w:rPr>
                <w:rFonts w:ascii="Times New Roman" w:hAnsi="Times New Roman" w:cs="Times New Roman"/>
                <w:szCs w:val="24"/>
                <w:lang w:eastAsia="en-IN"/>
              </w:rPr>
              <w:t>26.3</w:t>
            </w:r>
            <w:r w:rsidR="0018161E">
              <w:rPr>
                <w:rFonts w:ascii="Times New Roman" w:hAnsi="Times New Roman" w:cs="Times New Roman"/>
                <w:szCs w:val="24"/>
                <w:lang w:eastAsia="en-IN"/>
              </w:rPr>
              <w:t>0</w:t>
            </w:r>
          </w:p>
        </w:tc>
        <w:tc>
          <w:tcPr>
            <w:tcW w:w="2120" w:type="dxa"/>
            <w:tcBorders>
              <w:top w:val="nil"/>
              <w:left w:val="nil"/>
              <w:bottom w:val="single" w:sz="4" w:space="0" w:color="auto"/>
              <w:right w:val="single" w:sz="4" w:space="0" w:color="auto"/>
            </w:tcBorders>
            <w:shd w:val="clear" w:color="000000" w:fill="FFFFFF"/>
            <w:vAlign w:val="center"/>
            <w:hideMark/>
          </w:tcPr>
          <w:p w14:paraId="7FA8160E" w14:textId="77777777" w:rsidR="009A4387" w:rsidRPr="00BA1C8E" w:rsidRDefault="009A4387" w:rsidP="00BA1C8E">
            <w:pPr>
              <w:pStyle w:val="NoSpacing"/>
              <w:jc w:val="center"/>
              <w:rPr>
                <w:rFonts w:ascii="Times New Roman" w:hAnsi="Times New Roman" w:cs="Times New Roman"/>
                <w:szCs w:val="24"/>
                <w:lang w:eastAsia="en-IN"/>
              </w:rPr>
            </w:pPr>
            <w:r w:rsidRPr="00BA1C8E">
              <w:rPr>
                <w:rFonts w:ascii="Times New Roman" w:hAnsi="Times New Roman" w:cs="Times New Roman"/>
                <w:szCs w:val="24"/>
                <w:lang w:eastAsia="en-IN"/>
              </w:rPr>
              <w:t>6.21</w:t>
            </w:r>
          </w:p>
        </w:tc>
      </w:tr>
      <w:tr w:rsidR="009A4387" w:rsidRPr="00BA1C8E" w14:paraId="3ED081FF" w14:textId="77777777" w:rsidTr="00BA1C8E">
        <w:trPr>
          <w:trHeight w:val="20"/>
        </w:trPr>
        <w:tc>
          <w:tcPr>
            <w:tcW w:w="2286" w:type="dxa"/>
            <w:tcBorders>
              <w:top w:val="nil"/>
              <w:left w:val="single" w:sz="4" w:space="0" w:color="auto"/>
              <w:bottom w:val="single" w:sz="4" w:space="0" w:color="auto"/>
              <w:right w:val="single" w:sz="4" w:space="0" w:color="auto"/>
            </w:tcBorders>
            <w:shd w:val="clear" w:color="000000" w:fill="FFFFFF"/>
            <w:vAlign w:val="center"/>
            <w:hideMark/>
          </w:tcPr>
          <w:p w14:paraId="68AF9894" w14:textId="77777777" w:rsidR="009A4387" w:rsidRPr="00BA1C8E" w:rsidRDefault="009A4387" w:rsidP="00B77C0B">
            <w:pPr>
              <w:pStyle w:val="NoSpacing"/>
              <w:rPr>
                <w:rFonts w:ascii="Times New Roman" w:hAnsi="Times New Roman" w:cs="Times New Roman"/>
                <w:szCs w:val="24"/>
                <w:lang w:eastAsia="en-IN"/>
              </w:rPr>
            </w:pPr>
            <w:r w:rsidRPr="00BA1C8E">
              <w:rPr>
                <w:rFonts w:ascii="Times New Roman" w:hAnsi="Times New Roman" w:cs="Times New Roman"/>
                <w:szCs w:val="24"/>
                <w:lang w:eastAsia="en-IN"/>
              </w:rPr>
              <w:t>Gujarat</w:t>
            </w:r>
          </w:p>
        </w:tc>
        <w:tc>
          <w:tcPr>
            <w:tcW w:w="1337" w:type="dxa"/>
            <w:tcBorders>
              <w:top w:val="nil"/>
              <w:left w:val="nil"/>
              <w:bottom w:val="single" w:sz="4" w:space="0" w:color="auto"/>
              <w:right w:val="single" w:sz="4" w:space="0" w:color="auto"/>
            </w:tcBorders>
            <w:shd w:val="clear" w:color="000000" w:fill="FFFFFF"/>
            <w:vAlign w:val="center"/>
            <w:hideMark/>
          </w:tcPr>
          <w:p w14:paraId="337D55A2" w14:textId="77777777" w:rsidR="009A4387" w:rsidRPr="00BA1C8E" w:rsidRDefault="009A4387" w:rsidP="00BA1C8E">
            <w:pPr>
              <w:pStyle w:val="NoSpacing"/>
              <w:jc w:val="center"/>
              <w:rPr>
                <w:rFonts w:ascii="Times New Roman" w:hAnsi="Times New Roman" w:cs="Times New Roman"/>
                <w:szCs w:val="24"/>
                <w:lang w:eastAsia="en-IN"/>
              </w:rPr>
            </w:pPr>
            <w:r w:rsidRPr="00BA1C8E">
              <w:rPr>
                <w:rFonts w:ascii="Times New Roman" w:hAnsi="Times New Roman" w:cs="Times New Roman"/>
                <w:szCs w:val="24"/>
                <w:lang w:eastAsia="en-IN"/>
              </w:rPr>
              <w:t>1025</w:t>
            </w:r>
          </w:p>
        </w:tc>
        <w:tc>
          <w:tcPr>
            <w:tcW w:w="1071" w:type="dxa"/>
            <w:tcBorders>
              <w:top w:val="nil"/>
              <w:left w:val="nil"/>
              <w:bottom w:val="single" w:sz="4" w:space="0" w:color="auto"/>
              <w:right w:val="single" w:sz="4" w:space="0" w:color="auto"/>
            </w:tcBorders>
            <w:shd w:val="clear" w:color="000000" w:fill="FFFFFF"/>
            <w:vAlign w:val="center"/>
            <w:hideMark/>
          </w:tcPr>
          <w:p w14:paraId="6A4B08F5" w14:textId="77777777" w:rsidR="009A4387" w:rsidRPr="00BA1C8E" w:rsidRDefault="009A4387" w:rsidP="00BA1C8E">
            <w:pPr>
              <w:pStyle w:val="NoSpacing"/>
              <w:jc w:val="center"/>
              <w:rPr>
                <w:rFonts w:ascii="Times New Roman" w:hAnsi="Times New Roman" w:cs="Times New Roman"/>
                <w:szCs w:val="24"/>
                <w:lang w:eastAsia="en-IN"/>
              </w:rPr>
            </w:pPr>
            <w:r w:rsidRPr="00BA1C8E">
              <w:rPr>
                <w:rFonts w:ascii="Times New Roman" w:hAnsi="Times New Roman" w:cs="Times New Roman"/>
                <w:szCs w:val="24"/>
                <w:lang w:eastAsia="en-IN"/>
              </w:rPr>
              <w:t>462</w:t>
            </w:r>
          </w:p>
        </w:tc>
        <w:tc>
          <w:tcPr>
            <w:tcW w:w="1587" w:type="dxa"/>
            <w:tcBorders>
              <w:top w:val="nil"/>
              <w:left w:val="nil"/>
              <w:bottom w:val="single" w:sz="4" w:space="0" w:color="auto"/>
              <w:right w:val="single" w:sz="4" w:space="0" w:color="auto"/>
            </w:tcBorders>
            <w:shd w:val="clear" w:color="000000" w:fill="FFFFFF"/>
            <w:vAlign w:val="center"/>
            <w:hideMark/>
          </w:tcPr>
          <w:p w14:paraId="5BA3886D" w14:textId="09B7AA91" w:rsidR="009A4387" w:rsidRPr="00BA1C8E" w:rsidRDefault="009A4387" w:rsidP="00BA1C8E">
            <w:pPr>
              <w:pStyle w:val="NoSpacing"/>
              <w:jc w:val="center"/>
              <w:rPr>
                <w:rFonts w:ascii="Times New Roman" w:hAnsi="Times New Roman" w:cs="Times New Roman"/>
                <w:szCs w:val="24"/>
                <w:lang w:eastAsia="en-IN"/>
              </w:rPr>
            </w:pPr>
            <w:r w:rsidRPr="00BA1C8E">
              <w:rPr>
                <w:rFonts w:ascii="Times New Roman" w:hAnsi="Times New Roman" w:cs="Times New Roman"/>
                <w:szCs w:val="24"/>
                <w:lang w:eastAsia="en-IN"/>
              </w:rPr>
              <w:t>71.9</w:t>
            </w:r>
            <w:r w:rsidR="0018161E">
              <w:rPr>
                <w:rFonts w:ascii="Times New Roman" w:hAnsi="Times New Roman" w:cs="Times New Roman"/>
                <w:szCs w:val="24"/>
                <w:lang w:eastAsia="en-IN"/>
              </w:rPr>
              <w:t>0</w:t>
            </w:r>
          </w:p>
        </w:tc>
        <w:tc>
          <w:tcPr>
            <w:tcW w:w="1305" w:type="dxa"/>
            <w:tcBorders>
              <w:top w:val="nil"/>
              <w:left w:val="nil"/>
              <w:bottom w:val="single" w:sz="4" w:space="0" w:color="auto"/>
              <w:right w:val="single" w:sz="4" w:space="0" w:color="auto"/>
            </w:tcBorders>
            <w:shd w:val="clear" w:color="000000" w:fill="FFFFFF"/>
            <w:vAlign w:val="center"/>
            <w:hideMark/>
          </w:tcPr>
          <w:p w14:paraId="2BB5AD3E" w14:textId="77777777" w:rsidR="009A4387" w:rsidRPr="00BA1C8E" w:rsidRDefault="009A4387" w:rsidP="00BA1C8E">
            <w:pPr>
              <w:pStyle w:val="NoSpacing"/>
              <w:jc w:val="center"/>
              <w:rPr>
                <w:rFonts w:ascii="Times New Roman" w:hAnsi="Times New Roman" w:cs="Times New Roman"/>
                <w:szCs w:val="24"/>
                <w:lang w:eastAsia="en-IN"/>
              </w:rPr>
            </w:pPr>
            <w:r w:rsidRPr="00BA1C8E">
              <w:rPr>
                <w:rFonts w:ascii="Times New Roman" w:hAnsi="Times New Roman" w:cs="Times New Roman"/>
                <w:szCs w:val="24"/>
                <w:lang w:eastAsia="en-IN"/>
              </w:rPr>
              <w:t>29.59</w:t>
            </w:r>
          </w:p>
        </w:tc>
        <w:tc>
          <w:tcPr>
            <w:tcW w:w="2120" w:type="dxa"/>
            <w:tcBorders>
              <w:top w:val="nil"/>
              <w:left w:val="nil"/>
              <w:bottom w:val="single" w:sz="4" w:space="0" w:color="auto"/>
              <w:right w:val="single" w:sz="4" w:space="0" w:color="auto"/>
            </w:tcBorders>
            <w:shd w:val="clear" w:color="000000" w:fill="FFFFFF"/>
            <w:vAlign w:val="center"/>
            <w:hideMark/>
          </w:tcPr>
          <w:p w14:paraId="73C3EFB9" w14:textId="77777777" w:rsidR="009A4387" w:rsidRPr="00BA1C8E" w:rsidRDefault="009A4387" w:rsidP="00BA1C8E">
            <w:pPr>
              <w:pStyle w:val="NoSpacing"/>
              <w:jc w:val="center"/>
              <w:rPr>
                <w:rFonts w:ascii="Times New Roman" w:hAnsi="Times New Roman" w:cs="Times New Roman"/>
                <w:szCs w:val="24"/>
                <w:lang w:eastAsia="en-IN"/>
              </w:rPr>
            </w:pPr>
            <w:r w:rsidRPr="00BA1C8E">
              <w:rPr>
                <w:rFonts w:ascii="Times New Roman" w:hAnsi="Times New Roman" w:cs="Times New Roman"/>
                <w:szCs w:val="24"/>
                <w:lang w:eastAsia="en-IN"/>
              </w:rPr>
              <w:t>7.01</w:t>
            </w:r>
          </w:p>
        </w:tc>
      </w:tr>
      <w:tr w:rsidR="009A4387" w:rsidRPr="00BA1C8E" w14:paraId="205D34DC" w14:textId="77777777" w:rsidTr="00BA1C8E">
        <w:trPr>
          <w:trHeight w:val="20"/>
        </w:trPr>
        <w:tc>
          <w:tcPr>
            <w:tcW w:w="2286" w:type="dxa"/>
            <w:tcBorders>
              <w:top w:val="nil"/>
              <w:left w:val="single" w:sz="4" w:space="0" w:color="auto"/>
              <w:bottom w:val="single" w:sz="4" w:space="0" w:color="auto"/>
              <w:right w:val="single" w:sz="4" w:space="0" w:color="auto"/>
            </w:tcBorders>
            <w:shd w:val="clear" w:color="000000" w:fill="FFFFFF"/>
            <w:vAlign w:val="center"/>
            <w:hideMark/>
          </w:tcPr>
          <w:p w14:paraId="6017DBCB" w14:textId="77777777" w:rsidR="009A4387" w:rsidRPr="00BA1C8E" w:rsidRDefault="009A4387" w:rsidP="00B77C0B">
            <w:pPr>
              <w:pStyle w:val="NoSpacing"/>
              <w:rPr>
                <w:rFonts w:ascii="Times New Roman" w:hAnsi="Times New Roman" w:cs="Times New Roman"/>
                <w:szCs w:val="24"/>
                <w:lang w:eastAsia="en-IN"/>
              </w:rPr>
            </w:pPr>
            <w:r w:rsidRPr="00BA1C8E">
              <w:rPr>
                <w:rFonts w:ascii="Times New Roman" w:hAnsi="Times New Roman" w:cs="Times New Roman"/>
                <w:szCs w:val="24"/>
                <w:lang w:eastAsia="en-IN"/>
              </w:rPr>
              <w:t>Haryana</w:t>
            </w:r>
          </w:p>
        </w:tc>
        <w:tc>
          <w:tcPr>
            <w:tcW w:w="1337" w:type="dxa"/>
            <w:tcBorders>
              <w:top w:val="nil"/>
              <w:left w:val="nil"/>
              <w:bottom w:val="single" w:sz="4" w:space="0" w:color="auto"/>
              <w:right w:val="single" w:sz="4" w:space="0" w:color="auto"/>
            </w:tcBorders>
            <w:shd w:val="clear" w:color="000000" w:fill="FFFFFF"/>
            <w:vAlign w:val="center"/>
            <w:hideMark/>
          </w:tcPr>
          <w:p w14:paraId="0E57D184" w14:textId="77777777" w:rsidR="009A4387" w:rsidRPr="00BA1C8E" w:rsidRDefault="009A4387" w:rsidP="00BA1C8E">
            <w:pPr>
              <w:pStyle w:val="NoSpacing"/>
              <w:jc w:val="center"/>
              <w:rPr>
                <w:rFonts w:ascii="Times New Roman" w:hAnsi="Times New Roman" w:cs="Times New Roman"/>
                <w:szCs w:val="24"/>
                <w:lang w:eastAsia="en-IN"/>
              </w:rPr>
            </w:pPr>
            <w:r w:rsidRPr="00BA1C8E">
              <w:rPr>
                <w:rFonts w:ascii="Times New Roman" w:hAnsi="Times New Roman" w:cs="Times New Roman"/>
                <w:szCs w:val="24"/>
                <w:lang w:eastAsia="en-IN"/>
              </w:rPr>
              <w:t>367</w:t>
            </w:r>
          </w:p>
        </w:tc>
        <w:tc>
          <w:tcPr>
            <w:tcW w:w="1071" w:type="dxa"/>
            <w:tcBorders>
              <w:top w:val="nil"/>
              <w:left w:val="nil"/>
              <w:bottom w:val="single" w:sz="4" w:space="0" w:color="auto"/>
              <w:right w:val="single" w:sz="4" w:space="0" w:color="auto"/>
            </w:tcBorders>
            <w:shd w:val="clear" w:color="000000" w:fill="FFFFFF"/>
            <w:vAlign w:val="center"/>
            <w:hideMark/>
          </w:tcPr>
          <w:p w14:paraId="5A0D7577" w14:textId="77777777" w:rsidR="009A4387" w:rsidRPr="00BA1C8E" w:rsidRDefault="009A4387" w:rsidP="00BA1C8E">
            <w:pPr>
              <w:pStyle w:val="NoSpacing"/>
              <w:jc w:val="center"/>
              <w:rPr>
                <w:rFonts w:ascii="Times New Roman" w:hAnsi="Times New Roman" w:cs="Times New Roman"/>
                <w:szCs w:val="24"/>
                <w:lang w:eastAsia="en-IN"/>
              </w:rPr>
            </w:pPr>
            <w:r w:rsidRPr="00BA1C8E">
              <w:rPr>
                <w:rFonts w:ascii="Times New Roman" w:hAnsi="Times New Roman" w:cs="Times New Roman"/>
                <w:szCs w:val="24"/>
                <w:lang w:eastAsia="en-IN"/>
              </w:rPr>
              <w:t>445</w:t>
            </w:r>
          </w:p>
        </w:tc>
        <w:tc>
          <w:tcPr>
            <w:tcW w:w="1587" w:type="dxa"/>
            <w:tcBorders>
              <w:top w:val="nil"/>
              <w:left w:val="nil"/>
              <w:bottom w:val="single" w:sz="4" w:space="0" w:color="auto"/>
              <w:right w:val="single" w:sz="4" w:space="0" w:color="auto"/>
            </w:tcBorders>
            <w:shd w:val="clear" w:color="000000" w:fill="FFFFFF"/>
            <w:vAlign w:val="center"/>
            <w:hideMark/>
          </w:tcPr>
          <w:p w14:paraId="51603F21" w14:textId="77777777" w:rsidR="009A4387" w:rsidRPr="00BA1C8E" w:rsidRDefault="009A4387" w:rsidP="00BA1C8E">
            <w:pPr>
              <w:pStyle w:val="NoSpacing"/>
              <w:jc w:val="center"/>
              <w:rPr>
                <w:rFonts w:ascii="Times New Roman" w:hAnsi="Times New Roman" w:cs="Times New Roman"/>
                <w:szCs w:val="24"/>
                <w:lang w:eastAsia="en-IN"/>
              </w:rPr>
            </w:pPr>
            <w:r w:rsidRPr="00BA1C8E">
              <w:rPr>
                <w:rFonts w:ascii="Times New Roman" w:hAnsi="Times New Roman" w:cs="Times New Roman"/>
                <w:szCs w:val="24"/>
                <w:lang w:eastAsia="en-IN"/>
              </w:rPr>
              <w:t>26.34</w:t>
            </w:r>
          </w:p>
        </w:tc>
        <w:tc>
          <w:tcPr>
            <w:tcW w:w="1305" w:type="dxa"/>
            <w:tcBorders>
              <w:top w:val="nil"/>
              <w:left w:val="nil"/>
              <w:bottom w:val="single" w:sz="4" w:space="0" w:color="auto"/>
              <w:right w:val="single" w:sz="4" w:space="0" w:color="auto"/>
            </w:tcBorders>
            <w:shd w:val="clear" w:color="000000" w:fill="FFFFFF"/>
            <w:vAlign w:val="center"/>
            <w:hideMark/>
          </w:tcPr>
          <w:p w14:paraId="7462BA37" w14:textId="77777777" w:rsidR="009A4387" w:rsidRPr="00BA1C8E" w:rsidRDefault="009A4387" w:rsidP="00BA1C8E">
            <w:pPr>
              <w:pStyle w:val="NoSpacing"/>
              <w:jc w:val="center"/>
              <w:rPr>
                <w:rFonts w:ascii="Times New Roman" w:hAnsi="Times New Roman" w:cs="Times New Roman"/>
                <w:szCs w:val="24"/>
                <w:lang w:eastAsia="en-IN"/>
              </w:rPr>
            </w:pPr>
            <w:r w:rsidRPr="00BA1C8E">
              <w:rPr>
                <w:rFonts w:ascii="Times New Roman" w:hAnsi="Times New Roman" w:cs="Times New Roman"/>
                <w:szCs w:val="24"/>
                <w:lang w:eastAsia="en-IN"/>
              </w:rPr>
              <w:t>28.95</w:t>
            </w:r>
          </w:p>
        </w:tc>
        <w:tc>
          <w:tcPr>
            <w:tcW w:w="2120" w:type="dxa"/>
            <w:tcBorders>
              <w:top w:val="nil"/>
              <w:left w:val="nil"/>
              <w:bottom w:val="single" w:sz="4" w:space="0" w:color="auto"/>
              <w:right w:val="single" w:sz="4" w:space="0" w:color="auto"/>
            </w:tcBorders>
            <w:shd w:val="clear" w:color="000000" w:fill="FFFFFF"/>
            <w:vAlign w:val="center"/>
            <w:hideMark/>
          </w:tcPr>
          <w:p w14:paraId="0A8EB909" w14:textId="77777777" w:rsidR="009A4387" w:rsidRPr="00BA1C8E" w:rsidRDefault="009A4387" w:rsidP="00BA1C8E">
            <w:pPr>
              <w:pStyle w:val="NoSpacing"/>
              <w:jc w:val="center"/>
              <w:rPr>
                <w:rFonts w:ascii="Times New Roman" w:hAnsi="Times New Roman" w:cs="Times New Roman"/>
                <w:szCs w:val="24"/>
                <w:lang w:eastAsia="en-IN"/>
              </w:rPr>
            </w:pPr>
            <w:r w:rsidRPr="00BA1C8E">
              <w:rPr>
                <w:rFonts w:ascii="Times New Roman" w:hAnsi="Times New Roman" w:cs="Times New Roman"/>
                <w:szCs w:val="24"/>
                <w:lang w:eastAsia="en-IN"/>
              </w:rPr>
              <w:t>7.18</w:t>
            </w:r>
          </w:p>
        </w:tc>
      </w:tr>
      <w:tr w:rsidR="009A4387" w:rsidRPr="00BA1C8E" w14:paraId="50D8544D" w14:textId="77777777" w:rsidTr="00BA1C8E">
        <w:trPr>
          <w:trHeight w:val="20"/>
        </w:trPr>
        <w:tc>
          <w:tcPr>
            <w:tcW w:w="2286" w:type="dxa"/>
            <w:tcBorders>
              <w:top w:val="nil"/>
              <w:left w:val="single" w:sz="4" w:space="0" w:color="auto"/>
              <w:bottom w:val="single" w:sz="4" w:space="0" w:color="auto"/>
              <w:right w:val="single" w:sz="4" w:space="0" w:color="auto"/>
            </w:tcBorders>
            <w:shd w:val="clear" w:color="000000" w:fill="FFFFFF"/>
            <w:vAlign w:val="center"/>
            <w:hideMark/>
          </w:tcPr>
          <w:p w14:paraId="32C1A44E" w14:textId="77777777" w:rsidR="009A4387" w:rsidRPr="00BA1C8E" w:rsidRDefault="009A4387" w:rsidP="00B77C0B">
            <w:pPr>
              <w:pStyle w:val="NoSpacing"/>
              <w:rPr>
                <w:rFonts w:ascii="Times New Roman" w:hAnsi="Times New Roman" w:cs="Times New Roman"/>
                <w:szCs w:val="24"/>
                <w:lang w:eastAsia="en-IN"/>
              </w:rPr>
            </w:pPr>
            <w:r w:rsidRPr="00BA1C8E">
              <w:rPr>
                <w:rFonts w:ascii="Times New Roman" w:hAnsi="Times New Roman" w:cs="Times New Roman"/>
                <w:szCs w:val="24"/>
                <w:lang w:eastAsia="en-IN"/>
              </w:rPr>
              <w:t>Tamil Nadu</w:t>
            </w:r>
          </w:p>
        </w:tc>
        <w:tc>
          <w:tcPr>
            <w:tcW w:w="1337" w:type="dxa"/>
            <w:tcBorders>
              <w:top w:val="nil"/>
              <w:left w:val="nil"/>
              <w:bottom w:val="single" w:sz="4" w:space="0" w:color="auto"/>
              <w:right w:val="single" w:sz="4" w:space="0" w:color="auto"/>
            </w:tcBorders>
            <w:shd w:val="clear" w:color="000000" w:fill="FFFFFF"/>
            <w:vAlign w:val="center"/>
            <w:hideMark/>
          </w:tcPr>
          <w:p w14:paraId="49C909A5" w14:textId="77777777" w:rsidR="009A4387" w:rsidRPr="00BA1C8E" w:rsidRDefault="009A4387" w:rsidP="00BA1C8E">
            <w:pPr>
              <w:pStyle w:val="NoSpacing"/>
              <w:jc w:val="center"/>
              <w:rPr>
                <w:rFonts w:ascii="Times New Roman" w:hAnsi="Times New Roman" w:cs="Times New Roman"/>
                <w:szCs w:val="24"/>
                <w:lang w:eastAsia="en-IN"/>
              </w:rPr>
            </w:pPr>
            <w:r w:rsidRPr="00BA1C8E">
              <w:rPr>
                <w:rFonts w:ascii="Times New Roman" w:hAnsi="Times New Roman" w:cs="Times New Roman"/>
                <w:szCs w:val="24"/>
                <w:lang w:eastAsia="en-IN"/>
              </w:rPr>
              <w:t>1408</w:t>
            </w:r>
          </w:p>
        </w:tc>
        <w:tc>
          <w:tcPr>
            <w:tcW w:w="1071" w:type="dxa"/>
            <w:tcBorders>
              <w:top w:val="nil"/>
              <w:left w:val="nil"/>
              <w:bottom w:val="single" w:sz="4" w:space="0" w:color="auto"/>
              <w:right w:val="single" w:sz="4" w:space="0" w:color="auto"/>
            </w:tcBorders>
            <w:shd w:val="clear" w:color="000000" w:fill="FFFFFF"/>
            <w:vAlign w:val="center"/>
            <w:hideMark/>
          </w:tcPr>
          <w:p w14:paraId="4083D974" w14:textId="77777777" w:rsidR="009A4387" w:rsidRPr="00BA1C8E" w:rsidRDefault="009A4387" w:rsidP="00BA1C8E">
            <w:pPr>
              <w:pStyle w:val="NoSpacing"/>
              <w:jc w:val="center"/>
              <w:rPr>
                <w:rFonts w:ascii="Times New Roman" w:hAnsi="Times New Roman" w:cs="Times New Roman"/>
                <w:szCs w:val="24"/>
                <w:lang w:eastAsia="en-IN"/>
              </w:rPr>
            </w:pPr>
            <w:r w:rsidRPr="00BA1C8E">
              <w:rPr>
                <w:rFonts w:ascii="Times New Roman" w:hAnsi="Times New Roman" w:cs="Times New Roman"/>
                <w:szCs w:val="24"/>
                <w:lang w:eastAsia="en-IN"/>
              </w:rPr>
              <w:t>400</w:t>
            </w:r>
          </w:p>
        </w:tc>
        <w:tc>
          <w:tcPr>
            <w:tcW w:w="1587" w:type="dxa"/>
            <w:tcBorders>
              <w:top w:val="nil"/>
              <w:left w:val="nil"/>
              <w:bottom w:val="single" w:sz="4" w:space="0" w:color="auto"/>
              <w:right w:val="single" w:sz="4" w:space="0" w:color="auto"/>
            </w:tcBorders>
            <w:shd w:val="clear" w:color="000000" w:fill="FFFFFF"/>
            <w:vAlign w:val="center"/>
            <w:hideMark/>
          </w:tcPr>
          <w:p w14:paraId="1D3A212B" w14:textId="77777777" w:rsidR="009A4387" w:rsidRPr="00BA1C8E" w:rsidRDefault="009A4387" w:rsidP="00BA1C8E">
            <w:pPr>
              <w:pStyle w:val="NoSpacing"/>
              <w:jc w:val="center"/>
              <w:rPr>
                <w:rFonts w:ascii="Times New Roman" w:hAnsi="Times New Roman" w:cs="Times New Roman"/>
                <w:szCs w:val="24"/>
                <w:lang w:eastAsia="en-IN"/>
              </w:rPr>
            </w:pPr>
            <w:r w:rsidRPr="00BA1C8E">
              <w:rPr>
                <w:rFonts w:ascii="Times New Roman" w:hAnsi="Times New Roman" w:cs="Times New Roman"/>
                <w:szCs w:val="24"/>
                <w:lang w:eastAsia="en-IN"/>
              </w:rPr>
              <w:t>109.54</w:t>
            </w:r>
          </w:p>
        </w:tc>
        <w:tc>
          <w:tcPr>
            <w:tcW w:w="1305" w:type="dxa"/>
            <w:tcBorders>
              <w:top w:val="nil"/>
              <w:left w:val="nil"/>
              <w:bottom w:val="single" w:sz="4" w:space="0" w:color="auto"/>
              <w:right w:val="single" w:sz="4" w:space="0" w:color="auto"/>
            </w:tcBorders>
            <w:shd w:val="clear" w:color="000000" w:fill="FFFFFF"/>
            <w:vAlign w:val="center"/>
            <w:hideMark/>
          </w:tcPr>
          <w:p w14:paraId="5A1722EB" w14:textId="77777777" w:rsidR="009A4387" w:rsidRPr="00BA1C8E" w:rsidRDefault="009A4387" w:rsidP="00BA1C8E">
            <w:pPr>
              <w:pStyle w:val="NoSpacing"/>
              <w:jc w:val="center"/>
              <w:rPr>
                <w:rFonts w:ascii="Times New Roman" w:hAnsi="Times New Roman" w:cs="Times New Roman"/>
                <w:szCs w:val="24"/>
                <w:lang w:eastAsia="en-IN"/>
              </w:rPr>
            </w:pPr>
            <w:r w:rsidRPr="00BA1C8E">
              <w:rPr>
                <w:rFonts w:ascii="Times New Roman" w:hAnsi="Times New Roman" w:cs="Times New Roman"/>
                <w:szCs w:val="24"/>
                <w:lang w:eastAsia="en-IN"/>
              </w:rPr>
              <w:t>29.37</w:t>
            </w:r>
          </w:p>
        </w:tc>
        <w:tc>
          <w:tcPr>
            <w:tcW w:w="2120" w:type="dxa"/>
            <w:tcBorders>
              <w:top w:val="nil"/>
              <w:left w:val="nil"/>
              <w:bottom w:val="single" w:sz="4" w:space="0" w:color="auto"/>
              <w:right w:val="single" w:sz="4" w:space="0" w:color="auto"/>
            </w:tcBorders>
            <w:shd w:val="clear" w:color="000000" w:fill="FFFFFF"/>
            <w:vAlign w:val="center"/>
            <w:hideMark/>
          </w:tcPr>
          <w:p w14:paraId="44A38955" w14:textId="77777777" w:rsidR="009A4387" w:rsidRPr="00BA1C8E" w:rsidRDefault="009A4387" w:rsidP="00BA1C8E">
            <w:pPr>
              <w:pStyle w:val="NoSpacing"/>
              <w:jc w:val="center"/>
              <w:rPr>
                <w:rFonts w:ascii="Times New Roman" w:hAnsi="Times New Roman" w:cs="Times New Roman"/>
                <w:szCs w:val="24"/>
                <w:lang w:eastAsia="en-IN"/>
              </w:rPr>
            </w:pPr>
            <w:r w:rsidRPr="00BA1C8E">
              <w:rPr>
                <w:rFonts w:ascii="Times New Roman" w:hAnsi="Times New Roman" w:cs="Times New Roman"/>
                <w:szCs w:val="24"/>
                <w:lang w:eastAsia="en-IN"/>
              </w:rPr>
              <w:t>7.78</w:t>
            </w:r>
          </w:p>
        </w:tc>
      </w:tr>
      <w:tr w:rsidR="009A4387" w:rsidRPr="00BA1C8E" w14:paraId="1039EC52" w14:textId="77777777" w:rsidTr="00BA1C8E">
        <w:trPr>
          <w:trHeight w:val="20"/>
        </w:trPr>
        <w:tc>
          <w:tcPr>
            <w:tcW w:w="2286" w:type="dxa"/>
            <w:tcBorders>
              <w:top w:val="nil"/>
              <w:left w:val="single" w:sz="4" w:space="0" w:color="auto"/>
              <w:bottom w:val="single" w:sz="4" w:space="0" w:color="auto"/>
              <w:right w:val="single" w:sz="4" w:space="0" w:color="auto"/>
            </w:tcBorders>
            <w:shd w:val="clear" w:color="000000" w:fill="FFFFFF"/>
            <w:vAlign w:val="center"/>
            <w:hideMark/>
          </w:tcPr>
          <w:p w14:paraId="1626E052" w14:textId="77777777" w:rsidR="009A4387" w:rsidRPr="00BA1C8E" w:rsidRDefault="009A4387" w:rsidP="00B77C0B">
            <w:pPr>
              <w:pStyle w:val="NoSpacing"/>
              <w:rPr>
                <w:rFonts w:ascii="Times New Roman" w:hAnsi="Times New Roman" w:cs="Times New Roman"/>
                <w:szCs w:val="24"/>
                <w:lang w:eastAsia="en-IN"/>
              </w:rPr>
            </w:pPr>
            <w:r w:rsidRPr="00BA1C8E">
              <w:rPr>
                <w:rFonts w:ascii="Times New Roman" w:hAnsi="Times New Roman" w:cs="Times New Roman"/>
                <w:szCs w:val="24"/>
                <w:lang w:eastAsia="en-IN"/>
              </w:rPr>
              <w:t>Assam</w:t>
            </w:r>
          </w:p>
        </w:tc>
        <w:tc>
          <w:tcPr>
            <w:tcW w:w="1337" w:type="dxa"/>
            <w:tcBorders>
              <w:top w:val="nil"/>
              <w:left w:val="nil"/>
              <w:bottom w:val="single" w:sz="4" w:space="0" w:color="auto"/>
              <w:right w:val="single" w:sz="4" w:space="0" w:color="auto"/>
            </w:tcBorders>
            <w:shd w:val="clear" w:color="000000" w:fill="FFFFFF"/>
            <w:vAlign w:val="center"/>
            <w:hideMark/>
          </w:tcPr>
          <w:p w14:paraId="6C78752A" w14:textId="77777777" w:rsidR="009A4387" w:rsidRPr="00BA1C8E" w:rsidRDefault="009A4387" w:rsidP="00BA1C8E">
            <w:pPr>
              <w:pStyle w:val="NoSpacing"/>
              <w:jc w:val="center"/>
              <w:rPr>
                <w:rFonts w:ascii="Times New Roman" w:hAnsi="Times New Roman" w:cs="Times New Roman"/>
                <w:szCs w:val="24"/>
                <w:lang w:eastAsia="en-IN"/>
              </w:rPr>
            </w:pPr>
            <w:r w:rsidRPr="00BA1C8E">
              <w:rPr>
                <w:rFonts w:ascii="Times New Roman" w:hAnsi="Times New Roman" w:cs="Times New Roman"/>
                <w:szCs w:val="24"/>
                <w:lang w:eastAsia="en-IN"/>
              </w:rPr>
              <w:t>503</w:t>
            </w:r>
          </w:p>
        </w:tc>
        <w:tc>
          <w:tcPr>
            <w:tcW w:w="1071" w:type="dxa"/>
            <w:tcBorders>
              <w:top w:val="nil"/>
              <w:left w:val="nil"/>
              <w:bottom w:val="single" w:sz="4" w:space="0" w:color="auto"/>
              <w:right w:val="single" w:sz="4" w:space="0" w:color="auto"/>
            </w:tcBorders>
            <w:shd w:val="clear" w:color="000000" w:fill="FFFFFF"/>
            <w:vAlign w:val="center"/>
            <w:hideMark/>
          </w:tcPr>
          <w:p w14:paraId="6433C21E" w14:textId="77777777" w:rsidR="009A4387" w:rsidRPr="00BA1C8E" w:rsidRDefault="009A4387" w:rsidP="00BA1C8E">
            <w:pPr>
              <w:pStyle w:val="NoSpacing"/>
              <w:jc w:val="center"/>
              <w:rPr>
                <w:rFonts w:ascii="Times New Roman" w:hAnsi="Times New Roman" w:cs="Times New Roman"/>
                <w:szCs w:val="24"/>
                <w:lang w:eastAsia="en-IN"/>
              </w:rPr>
            </w:pPr>
            <w:r w:rsidRPr="00BA1C8E">
              <w:rPr>
                <w:rFonts w:ascii="Times New Roman" w:hAnsi="Times New Roman" w:cs="Times New Roman"/>
                <w:szCs w:val="24"/>
                <w:lang w:eastAsia="en-IN"/>
              </w:rPr>
              <w:t>393</w:t>
            </w:r>
          </w:p>
        </w:tc>
        <w:tc>
          <w:tcPr>
            <w:tcW w:w="1587" w:type="dxa"/>
            <w:tcBorders>
              <w:top w:val="nil"/>
              <w:left w:val="nil"/>
              <w:bottom w:val="single" w:sz="4" w:space="0" w:color="auto"/>
              <w:right w:val="single" w:sz="4" w:space="0" w:color="auto"/>
            </w:tcBorders>
            <w:shd w:val="clear" w:color="000000" w:fill="FFFFFF"/>
            <w:vAlign w:val="center"/>
            <w:hideMark/>
          </w:tcPr>
          <w:p w14:paraId="30AAEE76" w14:textId="77777777" w:rsidR="009A4387" w:rsidRPr="00BA1C8E" w:rsidRDefault="009A4387" w:rsidP="00BA1C8E">
            <w:pPr>
              <w:pStyle w:val="NoSpacing"/>
              <w:jc w:val="center"/>
              <w:rPr>
                <w:rFonts w:ascii="Times New Roman" w:hAnsi="Times New Roman" w:cs="Times New Roman"/>
                <w:szCs w:val="24"/>
                <w:lang w:eastAsia="en-IN"/>
              </w:rPr>
            </w:pPr>
            <w:r w:rsidRPr="00BA1C8E">
              <w:rPr>
                <w:rFonts w:ascii="Times New Roman" w:hAnsi="Times New Roman" w:cs="Times New Roman"/>
                <w:szCs w:val="24"/>
                <w:lang w:eastAsia="en-IN"/>
              </w:rPr>
              <w:t>26.31</w:t>
            </w:r>
          </w:p>
        </w:tc>
        <w:tc>
          <w:tcPr>
            <w:tcW w:w="1305" w:type="dxa"/>
            <w:tcBorders>
              <w:top w:val="nil"/>
              <w:left w:val="nil"/>
              <w:bottom w:val="single" w:sz="4" w:space="0" w:color="auto"/>
              <w:right w:val="single" w:sz="4" w:space="0" w:color="auto"/>
            </w:tcBorders>
            <w:shd w:val="clear" w:color="000000" w:fill="FFFFFF"/>
            <w:vAlign w:val="center"/>
            <w:hideMark/>
          </w:tcPr>
          <w:p w14:paraId="288AFE7C" w14:textId="77777777" w:rsidR="009A4387" w:rsidRPr="00BA1C8E" w:rsidRDefault="009A4387" w:rsidP="00BA1C8E">
            <w:pPr>
              <w:pStyle w:val="NoSpacing"/>
              <w:jc w:val="center"/>
              <w:rPr>
                <w:rFonts w:ascii="Times New Roman" w:hAnsi="Times New Roman" w:cs="Times New Roman"/>
                <w:szCs w:val="24"/>
                <w:lang w:eastAsia="en-IN"/>
              </w:rPr>
            </w:pPr>
            <w:r w:rsidRPr="00BA1C8E">
              <w:rPr>
                <w:rFonts w:ascii="Times New Roman" w:hAnsi="Times New Roman" w:cs="Times New Roman"/>
                <w:szCs w:val="24"/>
                <w:lang w:eastAsia="en-IN"/>
              </w:rPr>
              <w:t>18.66</w:t>
            </w:r>
          </w:p>
        </w:tc>
        <w:tc>
          <w:tcPr>
            <w:tcW w:w="2120" w:type="dxa"/>
            <w:tcBorders>
              <w:top w:val="nil"/>
              <w:left w:val="nil"/>
              <w:bottom w:val="single" w:sz="4" w:space="0" w:color="auto"/>
              <w:right w:val="single" w:sz="4" w:space="0" w:color="auto"/>
            </w:tcBorders>
            <w:shd w:val="clear" w:color="000000" w:fill="FFFFFF"/>
            <w:vAlign w:val="center"/>
            <w:hideMark/>
          </w:tcPr>
          <w:p w14:paraId="775197D0" w14:textId="77777777" w:rsidR="009A4387" w:rsidRPr="00BA1C8E" w:rsidRDefault="009A4387" w:rsidP="00BA1C8E">
            <w:pPr>
              <w:pStyle w:val="NoSpacing"/>
              <w:jc w:val="center"/>
              <w:rPr>
                <w:rFonts w:ascii="Times New Roman" w:hAnsi="Times New Roman" w:cs="Times New Roman"/>
                <w:szCs w:val="24"/>
                <w:lang w:eastAsia="en-IN"/>
              </w:rPr>
            </w:pPr>
            <w:r w:rsidRPr="00BA1C8E">
              <w:rPr>
                <w:rFonts w:ascii="Times New Roman" w:hAnsi="Times New Roman" w:cs="Times New Roman"/>
                <w:szCs w:val="24"/>
                <w:lang w:eastAsia="en-IN"/>
              </w:rPr>
              <w:t>5.23</w:t>
            </w:r>
          </w:p>
        </w:tc>
      </w:tr>
      <w:tr w:rsidR="009A4387" w:rsidRPr="00BA1C8E" w14:paraId="525545F0" w14:textId="77777777" w:rsidTr="00BA1C8E">
        <w:trPr>
          <w:trHeight w:val="20"/>
        </w:trPr>
        <w:tc>
          <w:tcPr>
            <w:tcW w:w="2286" w:type="dxa"/>
            <w:tcBorders>
              <w:top w:val="nil"/>
              <w:left w:val="single" w:sz="4" w:space="0" w:color="auto"/>
              <w:bottom w:val="single" w:sz="4" w:space="0" w:color="auto"/>
              <w:right w:val="single" w:sz="4" w:space="0" w:color="auto"/>
            </w:tcBorders>
            <w:shd w:val="clear" w:color="000000" w:fill="FFFFFF"/>
            <w:vAlign w:val="center"/>
            <w:hideMark/>
          </w:tcPr>
          <w:p w14:paraId="192BACAE" w14:textId="77777777" w:rsidR="009A4387" w:rsidRPr="00BA1C8E" w:rsidRDefault="009A4387" w:rsidP="00B77C0B">
            <w:pPr>
              <w:pStyle w:val="NoSpacing"/>
              <w:rPr>
                <w:rFonts w:ascii="Times New Roman" w:hAnsi="Times New Roman" w:cs="Times New Roman"/>
                <w:szCs w:val="24"/>
                <w:lang w:eastAsia="en-IN"/>
              </w:rPr>
            </w:pPr>
            <w:r w:rsidRPr="00BA1C8E">
              <w:rPr>
                <w:rFonts w:ascii="Times New Roman" w:hAnsi="Times New Roman" w:cs="Times New Roman"/>
                <w:szCs w:val="24"/>
                <w:lang w:eastAsia="en-IN"/>
              </w:rPr>
              <w:t>Andhra Pradesh</w:t>
            </w:r>
          </w:p>
        </w:tc>
        <w:tc>
          <w:tcPr>
            <w:tcW w:w="1337" w:type="dxa"/>
            <w:tcBorders>
              <w:top w:val="nil"/>
              <w:left w:val="nil"/>
              <w:bottom w:val="single" w:sz="4" w:space="0" w:color="auto"/>
              <w:right w:val="single" w:sz="4" w:space="0" w:color="auto"/>
            </w:tcBorders>
            <w:shd w:val="clear" w:color="000000" w:fill="FFFFFF"/>
            <w:vAlign w:val="center"/>
            <w:hideMark/>
          </w:tcPr>
          <w:p w14:paraId="3B8C4D1A" w14:textId="77777777" w:rsidR="009A4387" w:rsidRPr="00BA1C8E" w:rsidRDefault="009A4387" w:rsidP="00BA1C8E">
            <w:pPr>
              <w:pStyle w:val="NoSpacing"/>
              <w:jc w:val="center"/>
              <w:rPr>
                <w:rFonts w:ascii="Times New Roman" w:hAnsi="Times New Roman" w:cs="Times New Roman"/>
                <w:szCs w:val="24"/>
                <w:lang w:eastAsia="en-IN"/>
              </w:rPr>
            </w:pPr>
            <w:r w:rsidRPr="00BA1C8E">
              <w:rPr>
                <w:rFonts w:ascii="Times New Roman" w:hAnsi="Times New Roman" w:cs="Times New Roman"/>
                <w:szCs w:val="24"/>
                <w:lang w:eastAsia="en-IN"/>
              </w:rPr>
              <w:t>1460</w:t>
            </w:r>
          </w:p>
        </w:tc>
        <w:tc>
          <w:tcPr>
            <w:tcW w:w="1071" w:type="dxa"/>
            <w:tcBorders>
              <w:top w:val="nil"/>
              <w:left w:val="nil"/>
              <w:bottom w:val="single" w:sz="4" w:space="0" w:color="auto"/>
              <w:right w:val="single" w:sz="4" w:space="0" w:color="auto"/>
            </w:tcBorders>
            <w:shd w:val="clear" w:color="000000" w:fill="FFFFFF"/>
            <w:vAlign w:val="center"/>
            <w:hideMark/>
          </w:tcPr>
          <w:p w14:paraId="1076B9A3" w14:textId="77777777" w:rsidR="009A4387" w:rsidRPr="00BA1C8E" w:rsidRDefault="009A4387" w:rsidP="00BA1C8E">
            <w:pPr>
              <w:pStyle w:val="NoSpacing"/>
              <w:jc w:val="center"/>
              <w:rPr>
                <w:rFonts w:ascii="Times New Roman" w:hAnsi="Times New Roman" w:cs="Times New Roman"/>
                <w:szCs w:val="24"/>
                <w:lang w:eastAsia="en-IN"/>
              </w:rPr>
            </w:pPr>
            <w:r w:rsidRPr="00BA1C8E">
              <w:rPr>
                <w:rFonts w:ascii="Times New Roman" w:hAnsi="Times New Roman" w:cs="Times New Roman"/>
                <w:szCs w:val="24"/>
                <w:lang w:eastAsia="en-IN"/>
              </w:rPr>
              <w:t>386</w:t>
            </w:r>
          </w:p>
        </w:tc>
        <w:tc>
          <w:tcPr>
            <w:tcW w:w="1587" w:type="dxa"/>
            <w:tcBorders>
              <w:top w:val="nil"/>
              <w:left w:val="nil"/>
              <w:bottom w:val="single" w:sz="4" w:space="0" w:color="auto"/>
              <w:right w:val="single" w:sz="4" w:space="0" w:color="auto"/>
            </w:tcBorders>
            <w:shd w:val="clear" w:color="000000" w:fill="FFFFFF"/>
            <w:vAlign w:val="center"/>
            <w:hideMark/>
          </w:tcPr>
          <w:p w14:paraId="35BC57DD" w14:textId="77777777" w:rsidR="009A4387" w:rsidRPr="00BA1C8E" w:rsidRDefault="009A4387" w:rsidP="00BA1C8E">
            <w:pPr>
              <w:pStyle w:val="NoSpacing"/>
              <w:jc w:val="center"/>
              <w:rPr>
                <w:rFonts w:ascii="Times New Roman" w:hAnsi="Times New Roman" w:cs="Times New Roman"/>
                <w:szCs w:val="24"/>
                <w:lang w:eastAsia="en-IN"/>
              </w:rPr>
            </w:pPr>
            <w:r w:rsidRPr="00BA1C8E">
              <w:rPr>
                <w:rFonts w:ascii="Times New Roman" w:hAnsi="Times New Roman" w:cs="Times New Roman"/>
                <w:szCs w:val="24"/>
                <w:lang w:eastAsia="en-IN"/>
              </w:rPr>
              <w:t>79.48</w:t>
            </w:r>
          </w:p>
        </w:tc>
        <w:tc>
          <w:tcPr>
            <w:tcW w:w="1305" w:type="dxa"/>
            <w:tcBorders>
              <w:top w:val="nil"/>
              <w:left w:val="nil"/>
              <w:bottom w:val="single" w:sz="4" w:space="0" w:color="auto"/>
              <w:right w:val="single" w:sz="4" w:space="0" w:color="auto"/>
            </w:tcBorders>
            <w:shd w:val="clear" w:color="000000" w:fill="FFFFFF"/>
            <w:vAlign w:val="center"/>
            <w:hideMark/>
          </w:tcPr>
          <w:p w14:paraId="1583953A" w14:textId="77777777" w:rsidR="009A4387" w:rsidRPr="00BA1C8E" w:rsidRDefault="009A4387" w:rsidP="00BA1C8E">
            <w:pPr>
              <w:pStyle w:val="NoSpacing"/>
              <w:jc w:val="center"/>
              <w:rPr>
                <w:rFonts w:ascii="Times New Roman" w:hAnsi="Times New Roman" w:cs="Times New Roman"/>
                <w:szCs w:val="24"/>
                <w:lang w:eastAsia="en-IN"/>
              </w:rPr>
            </w:pPr>
            <w:r w:rsidRPr="00BA1C8E">
              <w:rPr>
                <w:rFonts w:ascii="Times New Roman" w:hAnsi="Times New Roman" w:cs="Times New Roman"/>
                <w:szCs w:val="24"/>
                <w:lang w:eastAsia="en-IN"/>
              </w:rPr>
              <w:t>19.67</w:t>
            </w:r>
          </w:p>
        </w:tc>
        <w:tc>
          <w:tcPr>
            <w:tcW w:w="2120" w:type="dxa"/>
            <w:tcBorders>
              <w:top w:val="nil"/>
              <w:left w:val="nil"/>
              <w:bottom w:val="single" w:sz="4" w:space="0" w:color="auto"/>
              <w:right w:val="single" w:sz="4" w:space="0" w:color="auto"/>
            </w:tcBorders>
            <w:shd w:val="clear" w:color="000000" w:fill="FFFFFF"/>
            <w:vAlign w:val="center"/>
            <w:hideMark/>
          </w:tcPr>
          <w:p w14:paraId="740080AC" w14:textId="77777777" w:rsidR="009A4387" w:rsidRPr="00BA1C8E" w:rsidRDefault="009A4387" w:rsidP="00BA1C8E">
            <w:pPr>
              <w:pStyle w:val="NoSpacing"/>
              <w:jc w:val="center"/>
              <w:rPr>
                <w:rFonts w:ascii="Times New Roman" w:hAnsi="Times New Roman" w:cs="Times New Roman"/>
                <w:szCs w:val="24"/>
                <w:lang w:eastAsia="en-IN"/>
              </w:rPr>
            </w:pPr>
            <w:r w:rsidRPr="00BA1C8E">
              <w:rPr>
                <w:rFonts w:ascii="Times New Roman" w:hAnsi="Times New Roman" w:cs="Times New Roman"/>
                <w:szCs w:val="24"/>
                <w:lang w:eastAsia="en-IN"/>
              </w:rPr>
              <w:t>5.44</w:t>
            </w:r>
          </w:p>
        </w:tc>
      </w:tr>
      <w:tr w:rsidR="009A4387" w:rsidRPr="00BA1C8E" w14:paraId="003748C5" w14:textId="77777777" w:rsidTr="00BA1C8E">
        <w:trPr>
          <w:trHeight w:val="20"/>
        </w:trPr>
        <w:tc>
          <w:tcPr>
            <w:tcW w:w="2286" w:type="dxa"/>
            <w:tcBorders>
              <w:top w:val="nil"/>
              <w:left w:val="single" w:sz="4" w:space="0" w:color="auto"/>
              <w:bottom w:val="single" w:sz="4" w:space="0" w:color="auto"/>
              <w:right w:val="single" w:sz="4" w:space="0" w:color="auto"/>
            </w:tcBorders>
            <w:shd w:val="clear" w:color="000000" w:fill="FFFFFF"/>
            <w:vAlign w:val="center"/>
            <w:hideMark/>
          </w:tcPr>
          <w:p w14:paraId="2C68E0FB" w14:textId="77777777" w:rsidR="009A4387" w:rsidRPr="00BA1C8E" w:rsidRDefault="009A4387" w:rsidP="00B77C0B">
            <w:pPr>
              <w:pStyle w:val="NoSpacing"/>
              <w:rPr>
                <w:rFonts w:ascii="Times New Roman" w:hAnsi="Times New Roman" w:cs="Times New Roman"/>
                <w:szCs w:val="24"/>
                <w:lang w:eastAsia="en-IN"/>
              </w:rPr>
            </w:pPr>
            <w:r w:rsidRPr="00BA1C8E">
              <w:rPr>
                <w:rFonts w:ascii="Times New Roman" w:hAnsi="Times New Roman" w:cs="Times New Roman"/>
                <w:szCs w:val="24"/>
                <w:lang w:eastAsia="en-IN"/>
              </w:rPr>
              <w:t>Mysore</w:t>
            </w:r>
          </w:p>
        </w:tc>
        <w:tc>
          <w:tcPr>
            <w:tcW w:w="1337" w:type="dxa"/>
            <w:tcBorders>
              <w:top w:val="nil"/>
              <w:left w:val="nil"/>
              <w:bottom w:val="single" w:sz="4" w:space="0" w:color="auto"/>
              <w:right w:val="single" w:sz="4" w:space="0" w:color="auto"/>
            </w:tcBorders>
            <w:shd w:val="clear" w:color="000000" w:fill="FFFFFF"/>
            <w:vAlign w:val="center"/>
            <w:hideMark/>
          </w:tcPr>
          <w:p w14:paraId="4E8BBA06" w14:textId="77777777" w:rsidR="009A4387" w:rsidRPr="00BA1C8E" w:rsidRDefault="009A4387" w:rsidP="00BA1C8E">
            <w:pPr>
              <w:pStyle w:val="NoSpacing"/>
              <w:jc w:val="center"/>
              <w:rPr>
                <w:rFonts w:ascii="Times New Roman" w:hAnsi="Times New Roman" w:cs="Times New Roman"/>
                <w:szCs w:val="24"/>
                <w:lang w:eastAsia="en-IN"/>
              </w:rPr>
            </w:pPr>
            <w:r w:rsidRPr="00BA1C8E">
              <w:rPr>
                <w:rFonts w:ascii="Times New Roman" w:hAnsi="Times New Roman" w:cs="Times New Roman"/>
                <w:szCs w:val="24"/>
                <w:lang w:eastAsia="en-IN"/>
              </w:rPr>
              <w:t>936</w:t>
            </w:r>
          </w:p>
        </w:tc>
        <w:tc>
          <w:tcPr>
            <w:tcW w:w="1071" w:type="dxa"/>
            <w:tcBorders>
              <w:top w:val="nil"/>
              <w:left w:val="nil"/>
              <w:bottom w:val="single" w:sz="4" w:space="0" w:color="auto"/>
              <w:right w:val="single" w:sz="4" w:space="0" w:color="auto"/>
            </w:tcBorders>
            <w:shd w:val="clear" w:color="000000" w:fill="FFFFFF"/>
            <w:vAlign w:val="center"/>
            <w:hideMark/>
          </w:tcPr>
          <w:p w14:paraId="616C64E6" w14:textId="77777777" w:rsidR="009A4387" w:rsidRPr="00BA1C8E" w:rsidRDefault="009A4387" w:rsidP="00BA1C8E">
            <w:pPr>
              <w:pStyle w:val="NoSpacing"/>
              <w:jc w:val="center"/>
              <w:rPr>
                <w:rFonts w:ascii="Times New Roman" w:hAnsi="Times New Roman" w:cs="Times New Roman"/>
                <w:szCs w:val="24"/>
                <w:lang w:eastAsia="en-IN"/>
              </w:rPr>
            </w:pPr>
            <w:r w:rsidRPr="00BA1C8E">
              <w:rPr>
                <w:rFonts w:ascii="Times New Roman" w:hAnsi="Times New Roman" w:cs="Times New Roman"/>
                <w:szCs w:val="24"/>
                <w:lang w:eastAsia="en-IN"/>
              </w:rPr>
              <w:t>373</w:t>
            </w:r>
          </w:p>
        </w:tc>
        <w:tc>
          <w:tcPr>
            <w:tcW w:w="1587" w:type="dxa"/>
            <w:tcBorders>
              <w:top w:val="nil"/>
              <w:left w:val="nil"/>
              <w:bottom w:val="single" w:sz="4" w:space="0" w:color="auto"/>
              <w:right w:val="single" w:sz="4" w:space="0" w:color="auto"/>
            </w:tcBorders>
            <w:shd w:val="clear" w:color="000000" w:fill="FFFFFF"/>
            <w:vAlign w:val="center"/>
            <w:hideMark/>
          </w:tcPr>
          <w:p w14:paraId="1667BAE7" w14:textId="41DE56E0" w:rsidR="009A4387" w:rsidRPr="00BA1C8E" w:rsidRDefault="009A4387" w:rsidP="00BA1C8E">
            <w:pPr>
              <w:pStyle w:val="NoSpacing"/>
              <w:jc w:val="center"/>
              <w:rPr>
                <w:rFonts w:ascii="Times New Roman" w:hAnsi="Times New Roman" w:cs="Times New Roman"/>
                <w:szCs w:val="24"/>
                <w:lang w:eastAsia="en-IN"/>
              </w:rPr>
            </w:pPr>
            <w:r w:rsidRPr="00BA1C8E">
              <w:rPr>
                <w:rFonts w:ascii="Times New Roman" w:hAnsi="Times New Roman" w:cs="Times New Roman"/>
                <w:szCs w:val="24"/>
                <w:lang w:eastAsia="en-IN"/>
              </w:rPr>
              <w:t>63.1</w:t>
            </w:r>
            <w:r w:rsidR="0018161E">
              <w:rPr>
                <w:rFonts w:ascii="Times New Roman" w:hAnsi="Times New Roman" w:cs="Times New Roman"/>
                <w:szCs w:val="24"/>
                <w:lang w:eastAsia="en-IN"/>
              </w:rPr>
              <w:t>0</w:t>
            </w:r>
          </w:p>
        </w:tc>
        <w:tc>
          <w:tcPr>
            <w:tcW w:w="1305" w:type="dxa"/>
            <w:tcBorders>
              <w:top w:val="nil"/>
              <w:left w:val="nil"/>
              <w:bottom w:val="single" w:sz="4" w:space="0" w:color="auto"/>
              <w:right w:val="single" w:sz="4" w:space="0" w:color="auto"/>
            </w:tcBorders>
            <w:shd w:val="clear" w:color="000000" w:fill="FFFFFF"/>
            <w:vAlign w:val="center"/>
            <w:hideMark/>
          </w:tcPr>
          <w:p w14:paraId="2479E040" w14:textId="77777777" w:rsidR="009A4387" w:rsidRPr="00BA1C8E" w:rsidRDefault="009A4387" w:rsidP="00BA1C8E">
            <w:pPr>
              <w:pStyle w:val="NoSpacing"/>
              <w:jc w:val="center"/>
              <w:rPr>
                <w:rFonts w:ascii="Times New Roman" w:hAnsi="Times New Roman" w:cs="Times New Roman"/>
                <w:szCs w:val="24"/>
                <w:lang w:eastAsia="en-IN"/>
              </w:rPr>
            </w:pPr>
            <w:r w:rsidRPr="00BA1C8E">
              <w:rPr>
                <w:rFonts w:ascii="Times New Roman" w:hAnsi="Times New Roman" w:cs="Times New Roman"/>
                <w:szCs w:val="24"/>
                <w:lang w:eastAsia="en-IN"/>
              </w:rPr>
              <w:t>23.28</w:t>
            </w:r>
          </w:p>
        </w:tc>
        <w:tc>
          <w:tcPr>
            <w:tcW w:w="2120" w:type="dxa"/>
            <w:tcBorders>
              <w:top w:val="nil"/>
              <w:left w:val="nil"/>
              <w:bottom w:val="single" w:sz="4" w:space="0" w:color="auto"/>
              <w:right w:val="single" w:sz="4" w:space="0" w:color="auto"/>
            </w:tcBorders>
            <w:shd w:val="clear" w:color="000000" w:fill="FFFFFF"/>
            <w:vAlign w:val="center"/>
            <w:hideMark/>
          </w:tcPr>
          <w:p w14:paraId="729CB0CB" w14:textId="77777777" w:rsidR="009A4387" w:rsidRPr="00BA1C8E" w:rsidRDefault="009A4387" w:rsidP="00BA1C8E">
            <w:pPr>
              <w:pStyle w:val="NoSpacing"/>
              <w:jc w:val="center"/>
              <w:rPr>
                <w:rFonts w:ascii="Times New Roman" w:hAnsi="Times New Roman" w:cs="Times New Roman"/>
                <w:szCs w:val="24"/>
                <w:lang w:eastAsia="en-IN"/>
              </w:rPr>
            </w:pPr>
            <w:r w:rsidRPr="00BA1C8E">
              <w:rPr>
                <w:rFonts w:ascii="Times New Roman" w:hAnsi="Times New Roman" w:cs="Times New Roman"/>
                <w:szCs w:val="24"/>
                <w:lang w:eastAsia="en-IN"/>
              </w:rPr>
              <w:t>6.74</w:t>
            </w:r>
          </w:p>
        </w:tc>
      </w:tr>
      <w:tr w:rsidR="009A4387" w:rsidRPr="00BA1C8E" w14:paraId="3FB0603B" w14:textId="77777777" w:rsidTr="00BA1C8E">
        <w:trPr>
          <w:trHeight w:val="20"/>
        </w:trPr>
        <w:tc>
          <w:tcPr>
            <w:tcW w:w="2286" w:type="dxa"/>
            <w:tcBorders>
              <w:top w:val="nil"/>
              <w:left w:val="single" w:sz="4" w:space="0" w:color="auto"/>
              <w:bottom w:val="single" w:sz="4" w:space="0" w:color="auto"/>
              <w:right w:val="single" w:sz="4" w:space="0" w:color="auto"/>
            </w:tcBorders>
            <w:shd w:val="clear" w:color="000000" w:fill="FFFFFF"/>
            <w:vAlign w:val="center"/>
            <w:hideMark/>
          </w:tcPr>
          <w:p w14:paraId="63EF6C21" w14:textId="77777777" w:rsidR="009A4387" w:rsidRPr="00BA1C8E" w:rsidRDefault="009A4387" w:rsidP="00B77C0B">
            <w:pPr>
              <w:pStyle w:val="NoSpacing"/>
              <w:rPr>
                <w:rFonts w:ascii="Times New Roman" w:hAnsi="Times New Roman" w:cs="Times New Roman"/>
                <w:szCs w:val="24"/>
                <w:lang w:eastAsia="en-IN"/>
              </w:rPr>
            </w:pPr>
            <w:r w:rsidRPr="00BA1C8E">
              <w:rPr>
                <w:rFonts w:ascii="Times New Roman" w:hAnsi="Times New Roman" w:cs="Times New Roman"/>
                <w:szCs w:val="24"/>
                <w:lang w:eastAsia="en-IN"/>
              </w:rPr>
              <w:t>Kerala</w:t>
            </w:r>
          </w:p>
        </w:tc>
        <w:tc>
          <w:tcPr>
            <w:tcW w:w="1337" w:type="dxa"/>
            <w:tcBorders>
              <w:top w:val="nil"/>
              <w:left w:val="nil"/>
              <w:bottom w:val="single" w:sz="4" w:space="0" w:color="auto"/>
              <w:right w:val="single" w:sz="4" w:space="0" w:color="auto"/>
            </w:tcBorders>
            <w:shd w:val="clear" w:color="000000" w:fill="FFFFFF"/>
            <w:vAlign w:val="center"/>
            <w:hideMark/>
          </w:tcPr>
          <w:p w14:paraId="73142187" w14:textId="77777777" w:rsidR="009A4387" w:rsidRPr="00BA1C8E" w:rsidRDefault="009A4387" w:rsidP="00BA1C8E">
            <w:pPr>
              <w:pStyle w:val="NoSpacing"/>
              <w:jc w:val="center"/>
              <w:rPr>
                <w:rFonts w:ascii="Times New Roman" w:hAnsi="Times New Roman" w:cs="Times New Roman"/>
                <w:szCs w:val="24"/>
                <w:lang w:eastAsia="en-IN"/>
              </w:rPr>
            </w:pPr>
            <w:r w:rsidRPr="00BA1C8E">
              <w:rPr>
                <w:rFonts w:ascii="Times New Roman" w:hAnsi="Times New Roman" w:cs="Times New Roman"/>
                <w:szCs w:val="24"/>
                <w:lang w:eastAsia="en-IN"/>
              </w:rPr>
              <w:t>616</w:t>
            </w:r>
          </w:p>
        </w:tc>
        <w:tc>
          <w:tcPr>
            <w:tcW w:w="1071" w:type="dxa"/>
            <w:tcBorders>
              <w:top w:val="nil"/>
              <w:left w:val="nil"/>
              <w:bottom w:val="single" w:sz="4" w:space="0" w:color="auto"/>
              <w:right w:val="single" w:sz="4" w:space="0" w:color="auto"/>
            </w:tcBorders>
            <w:shd w:val="clear" w:color="000000" w:fill="FFFFFF"/>
            <w:vAlign w:val="center"/>
            <w:hideMark/>
          </w:tcPr>
          <w:p w14:paraId="665723B7" w14:textId="77777777" w:rsidR="009A4387" w:rsidRPr="00BA1C8E" w:rsidRDefault="009A4387" w:rsidP="00BA1C8E">
            <w:pPr>
              <w:pStyle w:val="NoSpacing"/>
              <w:jc w:val="center"/>
              <w:rPr>
                <w:rFonts w:ascii="Times New Roman" w:hAnsi="Times New Roman" w:cs="Times New Roman"/>
                <w:szCs w:val="24"/>
                <w:lang w:eastAsia="en-IN"/>
              </w:rPr>
            </w:pPr>
            <w:r w:rsidRPr="00BA1C8E">
              <w:rPr>
                <w:rFonts w:ascii="Times New Roman" w:hAnsi="Times New Roman" w:cs="Times New Roman"/>
                <w:szCs w:val="24"/>
                <w:lang w:eastAsia="en-IN"/>
              </w:rPr>
              <w:t>341</w:t>
            </w:r>
          </w:p>
        </w:tc>
        <w:tc>
          <w:tcPr>
            <w:tcW w:w="1587" w:type="dxa"/>
            <w:tcBorders>
              <w:top w:val="nil"/>
              <w:left w:val="nil"/>
              <w:bottom w:val="single" w:sz="4" w:space="0" w:color="auto"/>
              <w:right w:val="single" w:sz="4" w:space="0" w:color="auto"/>
            </w:tcBorders>
            <w:shd w:val="clear" w:color="000000" w:fill="FFFFFF"/>
            <w:vAlign w:val="center"/>
            <w:hideMark/>
          </w:tcPr>
          <w:p w14:paraId="3801FE12" w14:textId="77777777" w:rsidR="009A4387" w:rsidRPr="00BA1C8E" w:rsidRDefault="009A4387" w:rsidP="00BA1C8E">
            <w:pPr>
              <w:pStyle w:val="NoSpacing"/>
              <w:jc w:val="center"/>
              <w:rPr>
                <w:rFonts w:ascii="Times New Roman" w:hAnsi="Times New Roman" w:cs="Times New Roman"/>
                <w:szCs w:val="24"/>
                <w:lang w:eastAsia="en-IN"/>
              </w:rPr>
            </w:pPr>
            <w:r w:rsidRPr="00BA1C8E">
              <w:rPr>
                <w:rFonts w:ascii="Times New Roman" w:hAnsi="Times New Roman" w:cs="Times New Roman"/>
                <w:szCs w:val="24"/>
                <w:lang w:eastAsia="en-IN"/>
              </w:rPr>
              <w:t>53.79</w:t>
            </w:r>
          </w:p>
        </w:tc>
        <w:tc>
          <w:tcPr>
            <w:tcW w:w="1305" w:type="dxa"/>
            <w:tcBorders>
              <w:top w:val="nil"/>
              <w:left w:val="nil"/>
              <w:bottom w:val="single" w:sz="4" w:space="0" w:color="auto"/>
              <w:right w:val="single" w:sz="4" w:space="0" w:color="auto"/>
            </w:tcBorders>
            <w:shd w:val="clear" w:color="000000" w:fill="FFFFFF"/>
            <w:vAlign w:val="center"/>
            <w:hideMark/>
          </w:tcPr>
          <w:p w14:paraId="3F7CC32B" w14:textId="77777777" w:rsidR="009A4387" w:rsidRPr="00BA1C8E" w:rsidRDefault="009A4387" w:rsidP="00BA1C8E">
            <w:pPr>
              <w:pStyle w:val="NoSpacing"/>
              <w:jc w:val="center"/>
              <w:rPr>
                <w:rFonts w:ascii="Times New Roman" w:hAnsi="Times New Roman" w:cs="Times New Roman"/>
                <w:szCs w:val="24"/>
                <w:lang w:eastAsia="en-IN"/>
              </w:rPr>
            </w:pPr>
            <w:r w:rsidRPr="00BA1C8E">
              <w:rPr>
                <w:rFonts w:ascii="Times New Roman" w:hAnsi="Times New Roman" w:cs="Times New Roman"/>
                <w:szCs w:val="24"/>
                <w:lang w:eastAsia="en-IN"/>
              </w:rPr>
              <w:t>27.44</w:t>
            </w:r>
          </w:p>
        </w:tc>
        <w:tc>
          <w:tcPr>
            <w:tcW w:w="2120" w:type="dxa"/>
            <w:tcBorders>
              <w:top w:val="nil"/>
              <w:left w:val="nil"/>
              <w:bottom w:val="single" w:sz="4" w:space="0" w:color="auto"/>
              <w:right w:val="single" w:sz="4" w:space="0" w:color="auto"/>
            </w:tcBorders>
            <w:shd w:val="clear" w:color="000000" w:fill="FFFFFF"/>
            <w:vAlign w:val="center"/>
            <w:hideMark/>
          </w:tcPr>
          <w:p w14:paraId="30581F2A" w14:textId="77777777" w:rsidR="009A4387" w:rsidRPr="00BA1C8E" w:rsidRDefault="009A4387" w:rsidP="00BA1C8E">
            <w:pPr>
              <w:pStyle w:val="NoSpacing"/>
              <w:jc w:val="center"/>
              <w:rPr>
                <w:rFonts w:ascii="Times New Roman" w:hAnsi="Times New Roman" w:cs="Times New Roman"/>
                <w:szCs w:val="24"/>
                <w:lang w:eastAsia="en-IN"/>
              </w:rPr>
            </w:pPr>
            <w:r w:rsidRPr="00BA1C8E">
              <w:rPr>
                <w:rFonts w:ascii="Times New Roman" w:hAnsi="Times New Roman" w:cs="Times New Roman"/>
                <w:szCs w:val="24"/>
                <w:lang w:eastAsia="en-IN"/>
              </w:rPr>
              <w:t>8.73</w:t>
            </w:r>
          </w:p>
        </w:tc>
      </w:tr>
      <w:tr w:rsidR="009A4387" w:rsidRPr="00BA1C8E" w14:paraId="5FEF7F16" w14:textId="77777777" w:rsidTr="00BA1C8E">
        <w:trPr>
          <w:trHeight w:val="20"/>
        </w:trPr>
        <w:tc>
          <w:tcPr>
            <w:tcW w:w="2286" w:type="dxa"/>
            <w:tcBorders>
              <w:top w:val="nil"/>
              <w:left w:val="single" w:sz="4" w:space="0" w:color="auto"/>
              <w:bottom w:val="single" w:sz="4" w:space="0" w:color="auto"/>
              <w:right w:val="single" w:sz="4" w:space="0" w:color="auto"/>
            </w:tcBorders>
            <w:shd w:val="clear" w:color="000000" w:fill="FFFFFF"/>
            <w:vAlign w:val="center"/>
            <w:hideMark/>
          </w:tcPr>
          <w:p w14:paraId="6C688655" w14:textId="77777777" w:rsidR="009A4387" w:rsidRPr="00BA1C8E" w:rsidRDefault="009A4387" w:rsidP="00B77C0B">
            <w:pPr>
              <w:pStyle w:val="NoSpacing"/>
              <w:rPr>
                <w:rFonts w:ascii="Times New Roman" w:hAnsi="Times New Roman" w:cs="Times New Roman"/>
                <w:szCs w:val="24"/>
                <w:lang w:eastAsia="en-IN"/>
              </w:rPr>
            </w:pPr>
            <w:r w:rsidRPr="00BA1C8E">
              <w:rPr>
                <w:rFonts w:ascii="Times New Roman" w:hAnsi="Times New Roman" w:cs="Times New Roman"/>
                <w:szCs w:val="24"/>
                <w:lang w:eastAsia="en-IN"/>
              </w:rPr>
              <w:t>Madhya Pradesh</w:t>
            </w:r>
          </w:p>
        </w:tc>
        <w:tc>
          <w:tcPr>
            <w:tcW w:w="1337" w:type="dxa"/>
            <w:tcBorders>
              <w:top w:val="nil"/>
              <w:left w:val="nil"/>
              <w:bottom w:val="single" w:sz="4" w:space="0" w:color="auto"/>
              <w:right w:val="single" w:sz="4" w:space="0" w:color="auto"/>
            </w:tcBorders>
            <w:shd w:val="clear" w:color="000000" w:fill="FFFFFF"/>
            <w:vAlign w:val="center"/>
            <w:hideMark/>
          </w:tcPr>
          <w:p w14:paraId="00F64EFD" w14:textId="77777777" w:rsidR="009A4387" w:rsidRPr="00BA1C8E" w:rsidRDefault="009A4387" w:rsidP="00BA1C8E">
            <w:pPr>
              <w:pStyle w:val="NoSpacing"/>
              <w:jc w:val="center"/>
              <w:rPr>
                <w:rFonts w:ascii="Times New Roman" w:hAnsi="Times New Roman" w:cs="Times New Roman"/>
                <w:szCs w:val="24"/>
                <w:lang w:eastAsia="en-IN"/>
              </w:rPr>
            </w:pPr>
            <w:r w:rsidRPr="00BA1C8E">
              <w:rPr>
                <w:rFonts w:ascii="Times New Roman" w:hAnsi="Times New Roman" w:cs="Times New Roman"/>
                <w:szCs w:val="24"/>
                <w:lang w:eastAsia="en-IN"/>
              </w:rPr>
              <w:t>1126</w:t>
            </w:r>
          </w:p>
        </w:tc>
        <w:tc>
          <w:tcPr>
            <w:tcW w:w="1071" w:type="dxa"/>
            <w:tcBorders>
              <w:top w:val="nil"/>
              <w:left w:val="nil"/>
              <w:bottom w:val="single" w:sz="4" w:space="0" w:color="auto"/>
              <w:right w:val="single" w:sz="4" w:space="0" w:color="auto"/>
            </w:tcBorders>
            <w:shd w:val="clear" w:color="000000" w:fill="FFFFFF"/>
            <w:vAlign w:val="center"/>
            <w:hideMark/>
          </w:tcPr>
          <w:p w14:paraId="0440E6CD" w14:textId="77777777" w:rsidR="009A4387" w:rsidRPr="00BA1C8E" w:rsidRDefault="009A4387" w:rsidP="00BA1C8E">
            <w:pPr>
              <w:pStyle w:val="NoSpacing"/>
              <w:jc w:val="center"/>
              <w:rPr>
                <w:rFonts w:ascii="Times New Roman" w:hAnsi="Times New Roman" w:cs="Times New Roman"/>
                <w:szCs w:val="24"/>
                <w:lang w:eastAsia="en-IN"/>
              </w:rPr>
            </w:pPr>
            <w:r w:rsidRPr="00BA1C8E">
              <w:rPr>
                <w:rFonts w:ascii="Times New Roman" w:hAnsi="Times New Roman" w:cs="Times New Roman"/>
                <w:szCs w:val="24"/>
                <w:lang w:eastAsia="en-IN"/>
              </w:rPr>
              <w:t>325</w:t>
            </w:r>
          </w:p>
        </w:tc>
        <w:tc>
          <w:tcPr>
            <w:tcW w:w="1587" w:type="dxa"/>
            <w:tcBorders>
              <w:top w:val="nil"/>
              <w:left w:val="nil"/>
              <w:bottom w:val="single" w:sz="4" w:space="0" w:color="auto"/>
              <w:right w:val="single" w:sz="4" w:space="0" w:color="auto"/>
            </w:tcBorders>
            <w:shd w:val="clear" w:color="000000" w:fill="FFFFFF"/>
            <w:vAlign w:val="center"/>
            <w:hideMark/>
          </w:tcPr>
          <w:p w14:paraId="48E3045D" w14:textId="77777777" w:rsidR="009A4387" w:rsidRPr="00BA1C8E" w:rsidRDefault="009A4387" w:rsidP="00BA1C8E">
            <w:pPr>
              <w:pStyle w:val="NoSpacing"/>
              <w:jc w:val="center"/>
              <w:rPr>
                <w:rFonts w:ascii="Times New Roman" w:hAnsi="Times New Roman" w:cs="Times New Roman"/>
                <w:szCs w:val="24"/>
                <w:lang w:eastAsia="en-IN"/>
              </w:rPr>
            </w:pPr>
            <w:r w:rsidRPr="00BA1C8E">
              <w:rPr>
                <w:rFonts w:ascii="Times New Roman" w:hAnsi="Times New Roman" w:cs="Times New Roman"/>
                <w:szCs w:val="24"/>
                <w:lang w:eastAsia="en-IN"/>
              </w:rPr>
              <w:t>63.54</w:t>
            </w:r>
          </w:p>
        </w:tc>
        <w:tc>
          <w:tcPr>
            <w:tcW w:w="1305" w:type="dxa"/>
            <w:tcBorders>
              <w:top w:val="nil"/>
              <w:left w:val="nil"/>
              <w:bottom w:val="single" w:sz="4" w:space="0" w:color="auto"/>
              <w:right w:val="single" w:sz="4" w:space="0" w:color="auto"/>
            </w:tcBorders>
            <w:shd w:val="clear" w:color="000000" w:fill="FFFFFF"/>
            <w:vAlign w:val="center"/>
            <w:hideMark/>
          </w:tcPr>
          <w:p w14:paraId="482B4A78" w14:textId="77777777" w:rsidR="009A4387" w:rsidRPr="00BA1C8E" w:rsidRDefault="009A4387" w:rsidP="00BA1C8E">
            <w:pPr>
              <w:pStyle w:val="NoSpacing"/>
              <w:jc w:val="center"/>
              <w:rPr>
                <w:rFonts w:ascii="Times New Roman" w:hAnsi="Times New Roman" w:cs="Times New Roman"/>
                <w:szCs w:val="24"/>
                <w:lang w:eastAsia="en-IN"/>
              </w:rPr>
            </w:pPr>
            <w:r w:rsidRPr="00BA1C8E">
              <w:rPr>
                <w:rFonts w:ascii="Times New Roman" w:hAnsi="Times New Roman" w:cs="Times New Roman"/>
                <w:szCs w:val="24"/>
                <w:lang w:eastAsia="en-IN"/>
              </w:rPr>
              <w:t>16.94</w:t>
            </w:r>
          </w:p>
        </w:tc>
        <w:tc>
          <w:tcPr>
            <w:tcW w:w="2120" w:type="dxa"/>
            <w:tcBorders>
              <w:top w:val="nil"/>
              <w:left w:val="nil"/>
              <w:bottom w:val="single" w:sz="4" w:space="0" w:color="auto"/>
              <w:right w:val="single" w:sz="4" w:space="0" w:color="auto"/>
            </w:tcBorders>
            <w:shd w:val="clear" w:color="000000" w:fill="FFFFFF"/>
            <w:vAlign w:val="center"/>
            <w:hideMark/>
          </w:tcPr>
          <w:p w14:paraId="3FD4C0A6" w14:textId="77777777" w:rsidR="009A4387" w:rsidRPr="00BA1C8E" w:rsidRDefault="009A4387" w:rsidP="00BA1C8E">
            <w:pPr>
              <w:pStyle w:val="NoSpacing"/>
              <w:jc w:val="center"/>
              <w:rPr>
                <w:rFonts w:ascii="Times New Roman" w:hAnsi="Times New Roman" w:cs="Times New Roman"/>
                <w:szCs w:val="24"/>
                <w:lang w:eastAsia="en-IN"/>
              </w:rPr>
            </w:pPr>
            <w:r w:rsidRPr="00BA1C8E">
              <w:rPr>
                <w:rFonts w:ascii="Times New Roman" w:hAnsi="Times New Roman" w:cs="Times New Roman"/>
                <w:szCs w:val="24"/>
                <w:lang w:eastAsia="en-IN"/>
              </w:rPr>
              <w:t>5.64</w:t>
            </w:r>
          </w:p>
        </w:tc>
      </w:tr>
      <w:tr w:rsidR="009A4387" w:rsidRPr="00BA1C8E" w14:paraId="6D55609D" w14:textId="77777777" w:rsidTr="00BA1C8E">
        <w:trPr>
          <w:trHeight w:val="20"/>
        </w:trPr>
        <w:tc>
          <w:tcPr>
            <w:tcW w:w="2286" w:type="dxa"/>
            <w:tcBorders>
              <w:top w:val="nil"/>
              <w:left w:val="single" w:sz="4" w:space="0" w:color="auto"/>
              <w:bottom w:val="single" w:sz="4" w:space="0" w:color="auto"/>
              <w:right w:val="single" w:sz="4" w:space="0" w:color="auto"/>
            </w:tcBorders>
            <w:shd w:val="clear" w:color="000000" w:fill="FFFFFF"/>
            <w:vAlign w:val="center"/>
            <w:hideMark/>
          </w:tcPr>
          <w:p w14:paraId="01EB6695" w14:textId="77777777" w:rsidR="009A4387" w:rsidRPr="00BA1C8E" w:rsidRDefault="009A4387" w:rsidP="00B77C0B">
            <w:pPr>
              <w:pStyle w:val="NoSpacing"/>
              <w:rPr>
                <w:rFonts w:ascii="Times New Roman" w:hAnsi="Times New Roman" w:cs="Times New Roman"/>
                <w:szCs w:val="24"/>
                <w:lang w:eastAsia="en-IN"/>
              </w:rPr>
            </w:pPr>
            <w:r w:rsidRPr="00BA1C8E">
              <w:rPr>
                <w:rFonts w:ascii="Times New Roman" w:hAnsi="Times New Roman" w:cs="Times New Roman"/>
                <w:szCs w:val="24"/>
                <w:lang w:eastAsia="en-IN"/>
              </w:rPr>
              <w:t>Rajasthan</w:t>
            </w:r>
          </w:p>
        </w:tc>
        <w:tc>
          <w:tcPr>
            <w:tcW w:w="1337" w:type="dxa"/>
            <w:tcBorders>
              <w:top w:val="nil"/>
              <w:left w:val="nil"/>
              <w:bottom w:val="single" w:sz="4" w:space="0" w:color="auto"/>
              <w:right w:val="single" w:sz="4" w:space="0" w:color="auto"/>
            </w:tcBorders>
            <w:shd w:val="clear" w:color="000000" w:fill="FFFFFF"/>
            <w:vAlign w:val="center"/>
            <w:hideMark/>
          </w:tcPr>
          <w:p w14:paraId="3ECB11B5" w14:textId="77777777" w:rsidR="009A4387" w:rsidRPr="00BA1C8E" w:rsidRDefault="009A4387" w:rsidP="00BA1C8E">
            <w:pPr>
              <w:pStyle w:val="NoSpacing"/>
              <w:jc w:val="center"/>
              <w:rPr>
                <w:rFonts w:ascii="Times New Roman" w:hAnsi="Times New Roman" w:cs="Times New Roman"/>
                <w:szCs w:val="24"/>
                <w:lang w:eastAsia="en-IN"/>
              </w:rPr>
            </w:pPr>
            <w:r w:rsidRPr="00BA1C8E">
              <w:rPr>
                <w:rFonts w:ascii="Times New Roman" w:hAnsi="Times New Roman" w:cs="Times New Roman"/>
                <w:szCs w:val="24"/>
                <w:lang w:eastAsia="en-IN"/>
              </w:rPr>
              <w:t>683</w:t>
            </w:r>
          </w:p>
        </w:tc>
        <w:tc>
          <w:tcPr>
            <w:tcW w:w="1071" w:type="dxa"/>
            <w:tcBorders>
              <w:top w:val="nil"/>
              <w:left w:val="nil"/>
              <w:bottom w:val="single" w:sz="4" w:space="0" w:color="auto"/>
              <w:right w:val="single" w:sz="4" w:space="0" w:color="auto"/>
            </w:tcBorders>
            <w:shd w:val="clear" w:color="000000" w:fill="FFFFFF"/>
            <w:vAlign w:val="center"/>
            <w:hideMark/>
          </w:tcPr>
          <w:p w14:paraId="0F7333B6" w14:textId="77777777" w:rsidR="009A4387" w:rsidRPr="00BA1C8E" w:rsidRDefault="009A4387" w:rsidP="00BA1C8E">
            <w:pPr>
              <w:pStyle w:val="NoSpacing"/>
              <w:jc w:val="center"/>
              <w:rPr>
                <w:rFonts w:ascii="Times New Roman" w:hAnsi="Times New Roman" w:cs="Times New Roman"/>
                <w:szCs w:val="24"/>
                <w:lang w:eastAsia="en-IN"/>
              </w:rPr>
            </w:pPr>
            <w:r w:rsidRPr="00BA1C8E">
              <w:rPr>
                <w:rFonts w:ascii="Times New Roman" w:hAnsi="Times New Roman" w:cs="Times New Roman"/>
                <w:szCs w:val="24"/>
                <w:lang w:eastAsia="en-IN"/>
              </w:rPr>
              <w:t>314</w:t>
            </w:r>
          </w:p>
        </w:tc>
        <w:tc>
          <w:tcPr>
            <w:tcW w:w="1587" w:type="dxa"/>
            <w:tcBorders>
              <w:top w:val="nil"/>
              <w:left w:val="nil"/>
              <w:bottom w:val="single" w:sz="4" w:space="0" w:color="auto"/>
              <w:right w:val="single" w:sz="4" w:space="0" w:color="auto"/>
            </w:tcBorders>
            <w:shd w:val="clear" w:color="000000" w:fill="FFFFFF"/>
            <w:vAlign w:val="center"/>
            <w:hideMark/>
          </w:tcPr>
          <w:p w14:paraId="51938743" w14:textId="66173253" w:rsidR="009A4387" w:rsidRPr="00BA1C8E" w:rsidRDefault="009A4387" w:rsidP="00BA1C8E">
            <w:pPr>
              <w:pStyle w:val="NoSpacing"/>
              <w:jc w:val="center"/>
              <w:rPr>
                <w:rFonts w:ascii="Times New Roman" w:hAnsi="Times New Roman" w:cs="Times New Roman"/>
                <w:szCs w:val="24"/>
                <w:lang w:eastAsia="en-IN"/>
              </w:rPr>
            </w:pPr>
            <w:r w:rsidRPr="00BA1C8E">
              <w:rPr>
                <w:rFonts w:ascii="Times New Roman" w:hAnsi="Times New Roman" w:cs="Times New Roman"/>
                <w:szCs w:val="24"/>
                <w:lang w:eastAsia="en-IN"/>
              </w:rPr>
              <w:t>46.6</w:t>
            </w:r>
            <w:r w:rsidR="0018161E">
              <w:rPr>
                <w:rFonts w:ascii="Times New Roman" w:hAnsi="Times New Roman" w:cs="Times New Roman"/>
                <w:szCs w:val="24"/>
                <w:lang w:eastAsia="en-IN"/>
              </w:rPr>
              <w:t>0</w:t>
            </w:r>
          </w:p>
        </w:tc>
        <w:tc>
          <w:tcPr>
            <w:tcW w:w="1305" w:type="dxa"/>
            <w:tcBorders>
              <w:top w:val="nil"/>
              <w:left w:val="nil"/>
              <w:bottom w:val="single" w:sz="4" w:space="0" w:color="auto"/>
              <w:right w:val="single" w:sz="4" w:space="0" w:color="auto"/>
            </w:tcBorders>
            <w:shd w:val="clear" w:color="000000" w:fill="FFFFFF"/>
            <w:vAlign w:val="center"/>
            <w:hideMark/>
          </w:tcPr>
          <w:p w14:paraId="23B8ED62" w14:textId="5609BA3E" w:rsidR="009A4387" w:rsidRPr="00BA1C8E" w:rsidRDefault="009A4387" w:rsidP="00BA1C8E">
            <w:pPr>
              <w:pStyle w:val="NoSpacing"/>
              <w:jc w:val="center"/>
              <w:rPr>
                <w:rFonts w:ascii="Times New Roman" w:hAnsi="Times New Roman" w:cs="Times New Roman"/>
                <w:szCs w:val="24"/>
                <w:lang w:eastAsia="en-IN"/>
              </w:rPr>
            </w:pPr>
            <w:r w:rsidRPr="00BA1C8E">
              <w:rPr>
                <w:rFonts w:ascii="Times New Roman" w:hAnsi="Times New Roman" w:cs="Times New Roman"/>
                <w:szCs w:val="24"/>
                <w:lang w:eastAsia="en-IN"/>
              </w:rPr>
              <w:t>19.5</w:t>
            </w:r>
            <w:r w:rsidR="0018161E">
              <w:rPr>
                <w:rFonts w:ascii="Times New Roman" w:hAnsi="Times New Roman" w:cs="Times New Roman"/>
                <w:szCs w:val="24"/>
                <w:lang w:eastAsia="en-IN"/>
              </w:rPr>
              <w:t>0</w:t>
            </w:r>
          </w:p>
        </w:tc>
        <w:tc>
          <w:tcPr>
            <w:tcW w:w="2120" w:type="dxa"/>
            <w:tcBorders>
              <w:top w:val="nil"/>
              <w:left w:val="nil"/>
              <w:bottom w:val="single" w:sz="4" w:space="0" w:color="auto"/>
              <w:right w:val="single" w:sz="4" w:space="0" w:color="auto"/>
            </w:tcBorders>
            <w:shd w:val="clear" w:color="000000" w:fill="FFFFFF"/>
            <w:vAlign w:val="center"/>
            <w:hideMark/>
          </w:tcPr>
          <w:p w14:paraId="08778C7E" w14:textId="77777777" w:rsidR="009A4387" w:rsidRPr="00BA1C8E" w:rsidRDefault="009A4387" w:rsidP="00BA1C8E">
            <w:pPr>
              <w:pStyle w:val="NoSpacing"/>
              <w:jc w:val="center"/>
              <w:rPr>
                <w:rFonts w:ascii="Times New Roman" w:hAnsi="Times New Roman" w:cs="Times New Roman"/>
                <w:szCs w:val="24"/>
                <w:lang w:eastAsia="en-IN"/>
              </w:rPr>
            </w:pPr>
            <w:r w:rsidRPr="00BA1C8E">
              <w:rPr>
                <w:rFonts w:ascii="Times New Roman" w:hAnsi="Times New Roman" w:cs="Times New Roman"/>
                <w:szCs w:val="24"/>
                <w:lang w:eastAsia="en-IN"/>
              </w:rPr>
              <w:t>6.82</w:t>
            </w:r>
          </w:p>
        </w:tc>
      </w:tr>
      <w:tr w:rsidR="009A4387" w:rsidRPr="00BA1C8E" w14:paraId="7EEE1A18" w14:textId="77777777" w:rsidTr="00BA1C8E">
        <w:trPr>
          <w:trHeight w:val="20"/>
        </w:trPr>
        <w:tc>
          <w:tcPr>
            <w:tcW w:w="2286" w:type="dxa"/>
            <w:tcBorders>
              <w:top w:val="nil"/>
              <w:left w:val="single" w:sz="4" w:space="0" w:color="auto"/>
              <w:bottom w:val="single" w:sz="4" w:space="0" w:color="auto"/>
              <w:right w:val="single" w:sz="4" w:space="0" w:color="auto"/>
            </w:tcBorders>
            <w:shd w:val="clear" w:color="000000" w:fill="FFFFFF"/>
            <w:vAlign w:val="center"/>
            <w:hideMark/>
          </w:tcPr>
          <w:p w14:paraId="7F6852A1" w14:textId="77777777" w:rsidR="009A4387" w:rsidRPr="00BA1C8E" w:rsidRDefault="009A4387" w:rsidP="00B77C0B">
            <w:pPr>
              <w:pStyle w:val="NoSpacing"/>
              <w:rPr>
                <w:rFonts w:ascii="Times New Roman" w:hAnsi="Times New Roman" w:cs="Times New Roman"/>
                <w:szCs w:val="24"/>
                <w:lang w:eastAsia="en-IN"/>
              </w:rPr>
            </w:pPr>
            <w:r w:rsidRPr="00BA1C8E">
              <w:rPr>
                <w:rFonts w:ascii="Times New Roman" w:hAnsi="Times New Roman" w:cs="Times New Roman"/>
                <w:szCs w:val="24"/>
                <w:lang w:eastAsia="en-IN"/>
              </w:rPr>
              <w:t>Uttar Pradesh</w:t>
            </w:r>
          </w:p>
        </w:tc>
        <w:tc>
          <w:tcPr>
            <w:tcW w:w="1337" w:type="dxa"/>
            <w:tcBorders>
              <w:top w:val="nil"/>
              <w:left w:val="nil"/>
              <w:bottom w:val="single" w:sz="4" w:space="0" w:color="auto"/>
              <w:right w:val="single" w:sz="4" w:space="0" w:color="auto"/>
            </w:tcBorders>
            <w:shd w:val="clear" w:color="000000" w:fill="FFFFFF"/>
            <w:vAlign w:val="center"/>
            <w:hideMark/>
          </w:tcPr>
          <w:p w14:paraId="6036E465" w14:textId="77777777" w:rsidR="009A4387" w:rsidRPr="00BA1C8E" w:rsidRDefault="009A4387" w:rsidP="00BA1C8E">
            <w:pPr>
              <w:pStyle w:val="NoSpacing"/>
              <w:jc w:val="center"/>
              <w:rPr>
                <w:rFonts w:ascii="Times New Roman" w:hAnsi="Times New Roman" w:cs="Times New Roman"/>
                <w:szCs w:val="24"/>
                <w:lang w:eastAsia="en-IN"/>
              </w:rPr>
            </w:pPr>
            <w:r w:rsidRPr="00BA1C8E">
              <w:rPr>
                <w:rFonts w:ascii="Times New Roman" w:hAnsi="Times New Roman" w:cs="Times New Roman"/>
                <w:szCs w:val="24"/>
                <w:lang w:eastAsia="en-IN"/>
              </w:rPr>
              <w:t>2398</w:t>
            </w:r>
          </w:p>
        </w:tc>
        <w:tc>
          <w:tcPr>
            <w:tcW w:w="1071" w:type="dxa"/>
            <w:tcBorders>
              <w:top w:val="nil"/>
              <w:left w:val="nil"/>
              <w:bottom w:val="single" w:sz="4" w:space="0" w:color="auto"/>
              <w:right w:val="single" w:sz="4" w:space="0" w:color="auto"/>
            </w:tcBorders>
            <w:shd w:val="clear" w:color="000000" w:fill="FFFFFF"/>
            <w:vAlign w:val="center"/>
            <w:hideMark/>
          </w:tcPr>
          <w:p w14:paraId="34E4E4E9" w14:textId="77777777" w:rsidR="009A4387" w:rsidRPr="00BA1C8E" w:rsidRDefault="009A4387" w:rsidP="00BA1C8E">
            <w:pPr>
              <w:pStyle w:val="NoSpacing"/>
              <w:jc w:val="center"/>
              <w:rPr>
                <w:rFonts w:ascii="Times New Roman" w:hAnsi="Times New Roman" w:cs="Times New Roman"/>
                <w:szCs w:val="24"/>
                <w:lang w:eastAsia="en-IN"/>
              </w:rPr>
            </w:pPr>
            <w:r w:rsidRPr="00BA1C8E">
              <w:rPr>
                <w:rFonts w:ascii="Times New Roman" w:hAnsi="Times New Roman" w:cs="Times New Roman"/>
                <w:szCs w:val="24"/>
                <w:lang w:eastAsia="en-IN"/>
              </w:rPr>
              <w:t>306</w:t>
            </w:r>
          </w:p>
        </w:tc>
        <w:tc>
          <w:tcPr>
            <w:tcW w:w="1587" w:type="dxa"/>
            <w:tcBorders>
              <w:top w:val="nil"/>
              <w:left w:val="nil"/>
              <w:bottom w:val="single" w:sz="4" w:space="0" w:color="auto"/>
              <w:right w:val="single" w:sz="4" w:space="0" w:color="auto"/>
            </w:tcBorders>
            <w:shd w:val="clear" w:color="000000" w:fill="FFFFFF"/>
            <w:vAlign w:val="center"/>
            <w:hideMark/>
          </w:tcPr>
          <w:p w14:paraId="4C2E9FE7" w14:textId="77777777" w:rsidR="009A4387" w:rsidRPr="00BA1C8E" w:rsidRDefault="009A4387" w:rsidP="00BA1C8E">
            <w:pPr>
              <w:pStyle w:val="NoSpacing"/>
              <w:jc w:val="center"/>
              <w:rPr>
                <w:rFonts w:ascii="Times New Roman" w:hAnsi="Times New Roman" w:cs="Times New Roman"/>
                <w:szCs w:val="24"/>
                <w:lang w:eastAsia="en-IN"/>
              </w:rPr>
            </w:pPr>
            <w:r w:rsidRPr="00BA1C8E">
              <w:rPr>
                <w:rFonts w:ascii="Times New Roman" w:hAnsi="Times New Roman" w:cs="Times New Roman"/>
                <w:szCs w:val="24"/>
                <w:lang w:eastAsia="en-IN"/>
              </w:rPr>
              <w:t>123.09</w:t>
            </w:r>
          </w:p>
        </w:tc>
        <w:tc>
          <w:tcPr>
            <w:tcW w:w="1305" w:type="dxa"/>
            <w:tcBorders>
              <w:top w:val="nil"/>
              <w:left w:val="nil"/>
              <w:bottom w:val="single" w:sz="4" w:space="0" w:color="auto"/>
              <w:right w:val="single" w:sz="4" w:space="0" w:color="auto"/>
            </w:tcBorders>
            <w:shd w:val="clear" w:color="000000" w:fill="FFFFFF"/>
            <w:vAlign w:val="center"/>
            <w:hideMark/>
          </w:tcPr>
          <w:p w14:paraId="33B931EB" w14:textId="4E3AB53D" w:rsidR="009A4387" w:rsidRPr="00BA1C8E" w:rsidRDefault="009A4387" w:rsidP="00BA1C8E">
            <w:pPr>
              <w:pStyle w:val="NoSpacing"/>
              <w:jc w:val="center"/>
              <w:rPr>
                <w:rFonts w:ascii="Times New Roman" w:hAnsi="Times New Roman" w:cs="Times New Roman"/>
                <w:szCs w:val="24"/>
                <w:lang w:eastAsia="en-IN"/>
              </w:rPr>
            </w:pPr>
            <w:r w:rsidRPr="00BA1C8E">
              <w:rPr>
                <w:rFonts w:ascii="Times New Roman" w:hAnsi="Times New Roman" w:cs="Times New Roman"/>
                <w:szCs w:val="24"/>
                <w:lang w:eastAsia="en-IN"/>
              </w:rPr>
              <w:t>14.6</w:t>
            </w:r>
            <w:r w:rsidR="0018161E">
              <w:rPr>
                <w:rFonts w:ascii="Times New Roman" w:hAnsi="Times New Roman" w:cs="Times New Roman"/>
                <w:szCs w:val="24"/>
                <w:lang w:eastAsia="en-IN"/>
              </w:rPr>
              <w:t>0</w:t>
            </w:r>
          </w:p>
        </w:tc>
        <w:tc>
          <w:tcPr>
            <w:tcW w:w="2120" w:type="dxa"/>
            <w:tcBorders>
              <w:top w:val="nil"/>
              <w:left w:val="nil"/>
              <w:bottom w:val="single" w:sz="4" w:space="0" w:color="auto"/>
              <w:right w:val="single" w:sz="4" w:space="0" w:color="auto"/>
            </w:tcBorders>
            <w:shd w:val="clear" w:color="000000" w:fill="FFFFFF"/>
            <w:vAlign w:val="center"/>
            <w:hideMark/>
          </w:tcPr>
          <w:p w14:paraId="62BCC568" w14:textId="77777777" w:rsidR="009A4387" w:rsidRPr="00BA1C8E" w:rsidRDefault="009A4387" w:rsidP="00BA1C8E">
            <w:pPr>
              <w:pStyle w:val="NoSpacing"/>
              <w:jc w:val="center"/>
              <w:rPr>
                <w:rFonts w:ascii="Times New Roman" w:hAnsi="Times New Roman" w:cs="Times New Roman"/>
                <w:szCs w:val="24"/>
                <w:lang w:eastAsia="en-IN"/>
              </w:rPr>
            </w:pPr>
            <w:r w:rsidRPr="00BA1C8E">
              <w:rPr>
                <w:rFonts w:ascii="Times New Roman" w:hAnsi="Times New Roman" w:cs="Times New Roman"/>
                <w:szCs w:val="24"/>
                <w:lang w:eastAsia="en-IN"/>
              </w:rPr>
              <w:t>5.13</w:t>
            </w:r>
          </w:p>
        </w:tc>
      </w:tr>
      <w:tr w:rsidR="009A4387" w:rsidRPr="00BA1C8E" w14:paraId="3DC57B1E" w14:textId="77777777" w:rsidTr="00BA1C8E">
        <w:trPr>
          <w:trHeight w:val="20"/>
        </w:trPr>
        <w:tc>
          <w:tcPr>
            <w:tcW w:w="2286" w:type="dxa"/>
            <w:tcBorders>
              <w:top w:val="nil"/>
              <w:left w:val="single" w:sz="4" w:space="0" w:color="auto"/>
              <w:bottom w:val="single" w:sz="4" w:space="0" w:color="auto"/>
              <w:right w:val="single" w:sz="4" w:space="0" w:color="auto"/>
            </w:tcBorders>
            <w:shd w:val="clear" w:color="000000" w:fill="FFFFFF"/>
            <w:vAlign w:val="center"/>
            <w:hideMark/>
          </w:tcPr>
          <w:p w14:paraId="0F6BF977" w14:textId="77777777" w:rsidR="009A4387" w:rsidRPr="00BA1C8E" w:rsidRDefault="009A4387" w:rsidP="00B77C0B">
            <w:pPr>
              <w:pStyle w:val="NoSpacing"/>
              <w:rPr>
                <w:rFonts w:ascii="Times New Roman" w:hAnsi="Times New Roman" w:cs="Times New Roman"/>
                <w:szCs w:val="24"/>
                <w:lang w:eastAsia="en-IN"/>
              </w:rPr>
            </w:pPr>
            <w:r w:rsidRPr="00BA1C8E">
              <w:rPr>
                <w:rFonts w:ascii="Times New Roman" w:hAnsi="Times New Roman" w:cs="Times New Roman"/>
                <w:szCs w:val="24"/>
                <w:lang w:eastAsia="en-IN"/>
              </w:rPr>
              <w:t>Orissa</w:t>
            </w:r>
          </w:p>
        </w:tc>
        <w:tc>
          <w:tcPr>
            <w:tcW w:w="1337" w:type="dxa"/>
            <w:tcBorders>
              <w:top w:val="nil"/>
              <w:left w:val="nil"/>
              <w:bottom w:val="single" w:sz="4" w:space="0" w:color="auto"/>
              <w:right w:val="single" w:sz="4" w:space="0" w:color="auto"/>
            </w:tcBorders>
            <w:shd w:val="clear" w:color="000000" w:fill="FFFFFF"/>
            <w:vAlign w:val="center"/>
            <w:hideMark/>
          </w:tcPr>
          <w:p w14:paraId="3C4E0FB1" w14:textId="77777777" w:rsidR="009A4387" w:rsidRPr="00BA1C8E" w:rsidRDefault="009A4387" w:rsidP="00BA1C8E">
            <w:pPr>
              <w:pStyle w:val="NoSpacing"/>
              <w:jc w:val="center"/>
              <w:rPr>
                <w:rFonts w:ascii="Times New Roman" w:hAnsi="Times New Roman" w:cs="Times New Roman"/>
                <w:szCs w:val="24"/>
                <w:lang w:eastAsia="en-IN"/>
              </w:rPr>
            </w:pPr>
            <w:r w:rsidRPr="00BA1C8E">
              <w:rPr>
                <w:rFonts w:ascii="Times New Roman" w:hAnsi="Times New Roman" w:cs="Times New Roman"/>
                <w:szCs w:val="24"/>
                <w:lang w:eastAsia="en-IN"/>
              </w:rPr>
              <w:t>568</w:t>
            </w:r>
          </w:p>
        </w:tc>
        <w:tc>
          <w:tcPr>
            <w:tcW w:w="1071" w:type="dxa"/>
            <w:tcBorders>
              <w:top w:val="nil"/>
              <w:left w:val="nil"/>
              <w:bottom w:val="single" w:sz="4" w:space="0" w:color="auto"/>
              <w:right w:val="single" w:sz="4" w:space="0" w:color="auto"/>
            </w:tcBorders>
            <w:shd w:val="clear" w:color="000000" w:fill="FFFFFF"/>
            <w:vAlign w:val="center"/>
            <w:hideMark/>
          </w:tcPr>
          <w:p w14:paraId="19BCBB64" w14:textId="77777777" w:rsidR="009A4387" w:rsidRPr="00BA1C8E" w:rsidRDefault="009A4387" w:rsidP="00BA1C8E">
            <w:pPr>
              <w:pStyle w:val="NoSpacing"/>
              <w:jc w:val="center"/>
              <w:rPr>
                <w:rFonts w:ascii="Times New Roman" w:hAnsi="Times New Roman" w:cs="Times New Roman"/>
                <w:szCs w:val="24"/>
                <w:lang w:eastAsia="en-IN"/>
              </w:rPr>
            </w:pPr>
            <w:r w:rsidRPr="00BA1C8E">
              <w:rPr>
                <w:rFonts w:ascii="Times New Roman" w:hAnsi="Times New Roman" w:cs="Times New Roman"/>
                <w:szCs w:val="24"/>
                <w:lang w:eastAsia="en-IN"/>
              </w:rPr>
              <w:t>306</w:t>
            </w:r>
          </w:p>
        </w:tc>
        <w:tc>
          <w:tcPr>
            <w:tcW w:w="1587" w:type="dxa"/>
            <w:tcBorders>
              <w:top w:val="nil"/>
              <w:left w:val="nil"/>
              <w:bottom w:val="single" w:sz="4" w:space="0" w:color="auto"/>
              <w:right w:val="single" w:sz="4" w:space="0" w:color="auto"/>
            </w:tcBorders>
            <w:shd w:val="clear" w:color="000000" w:fill="FFFFFF"/>
            <w:vAlign w:val="center"/>
            <w:hideMark/>
          </w:tcPr>
          <w:p w14:paraId="786DA6BE" w14:textId="77777777" w:rsidR="009A4387" w:rsidRPr="00BA1C8E" w:rsidRDefault="009A4387" w:rsidP="00BA1C8E">
            <w:pPr>
              <w:pStyle w:val="NoSpacing"/>
              <w:jc w:val="center"/>
              <w:rPr>
                <w:rFonts w:ascii="Times New Roman" w:hAnsi="Times New Roman" w:cs="Times New Roman"/>
                <w:szCs w:val="24"/>
                <w:lang w:eastAsia="en-IN"/>
              </w:rPr>
            </w:pPr>
            <w:r w:rsidRPr="00BA1C8E">
              <w:rPr>
                <w:rFonts w:ascii="Times New Roman" w:hAnsi="Times New Roman" w:cs="Times New Roman"/>
                <w:szCs w:val="24"/>
                <w:lang w:eastAsia="en-IN"/>
              </w:rPr>
              <w:t>24.25</w:t>
            </w:r>
          </w:p>
        </w:tc>
        <w:tc>
          <w:tcPr>
            <w:tcW w:w="1305" w:type="dxa"/>
            <w:tcBorders>
              <w:top w:val="nil"/>
              <w:left w:val="nil"/>
              <w:bottom w:val="single" w:sz="4" w:space="0" w:color="auto"/>
              <w:right w:val="single" w:sz="4" w:space="0" w:color="auto"/>
            </w:tcBorders>
            <w:shd w:val="clear" w:color="000000" w:fill="FFFFFF"/>
            <w:vAlign w:val="center"/>
            <w:hideMark/>
          </w:tcPr>
          <w:p w14:paraId="21A2C8CD" w14:textId="77777777" w:rsidR="009A4387" w:rsidRPr="00BA1C8E" w:rsidRDefault="009A4387" w:rsidP="00BA1C8E">
            <w:pPr>
              <w:pStyle w:val="NoSpacing"/>
              <w:jc w:val="center"/>
              <w:rPr>
                <w:rFonts w:ascii="Times New Roman" w:hAnsi="Times New Roman" w:cs="Times New Roman"/>
                <w:szCs w:val="24"/>
                <w:lang w:eastAsia="en-IN"/>
              </w:rPr>
            </w:pPr>
            <w:r w:rsidRPr="00BA1C8E">
              <w:rPr>
                <w:rFonts w:ascii="Times New Roman" w:hAnsi="Times New Roman" w:cs="Times New Roman"/>
                <w:szCs w:val="24"/>
                <w:lang w:eastAsia="en-IN"/>
              </w:rPr>
              <w:t>12.12</w:t>
            </w:r>
          </w:p>
        </w:tc>
        <w:tc>
          <w:tcPr>
            <w:tcW w:w="2120" w:type="dxa"/>
            <w:tcBorders>
              <w:top w:val="nil"/>
              <w:left w:val="nil"/>
              <w:bottom w:val="single" w:sz="4" w:space="0" w:color="auto"/>
              <w:right w:val="single" w:sz="4" w:space="0" w:color="auto"/>
            </w:tcBorders>
            <w:shd w:val="clear" w:color="000000" w:fill="FFFFFF"/>
            <w:vAlign w:val="center"/>
            <w:hideMark/>
          </w:tcPr>
          <w:p w14:paraId="7CFE2B06" w14:textId="77777777" w:rsidR="009A4387" w:rsidRPr="00BA1C8E" w:rsidRDefault="009A4387" w:rsidP="00BA1C8E">
            <w:pPr>
              <w:pStyle w:val="NoSpacing"/>
              <w:jc w:val="center"/>
              <w:rPr>
                <w:rFonts w:ascii="Times New Roman" w:hAnsi="Times New Roman" w:cs="Times New Roman"/>
                <w:szCs w:val="24"/>
                <w:lang w:eastAsia="en-IN"/>
              </w:rPr>
            </w:pPr>
            <w:r w:rsidRPr="00BA1C8E">
              <w:rPr>
                <w:rFonts w:ascii="Times New Roman" w:hAnsi="Times New Roman" w:cs="Times New Roman"/>
                <w:szCs w:val="24"/>
                <w:lang w:eastAsia="en-IN"/>
              </w:rPr>
              <w:t>4.27</w:t>
            </w:r>
          </w:p>
        </w:tc>
      </w:tr>
      <w:tr w:rsidR="009A4387" w:rsidRPr="00BA1C8E" w14:paraId="0D135271" w14:textId="77777777" w:rsidTr="00BA1C8E">
        <w:trPr>
          <w:trHeight w:val="20"/>
        </w:trPr>
        <w:tc>
          <w:tcPr>
            <w:tcW w:w="2286" w:type="dxa"/>
            <w:tcBorders>
              <w:top w:val="nil"/>
              <w:left w:val="single" w:sz="4" w:space="0" w:color="auto"/>
              <w:bottom w:val="single" w:sz="4" w:space="0" w:color="auto"/>
              <w:right w:val="single" w:sz="4" w:space="0" w:color="auto"/>
            </w:tcBorders>
            <w:shd w:val="clear" w:color="000000" w:fill="FFFFFF"/>
            <w:vAlign w:val="center"/>
            <w:hideMark/>
          </w:tcPr>
          <w:p w14:paraId="5C110424" w14:textId="77777777" w:rsidR="009A4387" w:rsidRPr="00BA1C8E" w:rsidRDefault="009A4387" w:rsidP="00B77C0B">
            <w:pPr>
              <w:pStyle w:val="NoSpacing"/>
              <w:rPr>
                <w:rFonts w:ascii="Times New Roman" w:hAnsi="Times New Roman" w:cs="Times New Roman"/>
                <w:szCs w:val="24"/>
                <w:lang w:eastAsia="en-IN"/>
              </w:rPr>
            </w:pPr>
            <w:r w:rsidRPr="00BA1C8E">
              <w:rPr>
                <w:rFonts w:ascii="Times New Roman" w:hAnsi="Times New Roman" w:cs="Times New Roman"/>
                <w:szCs w:val="24"/>
                <w:lang w:eastAsia="en-IN"/>
              </w:rPr>
              <w:t>Jammu &amp; Kashmir</w:t>
            </w:r>
          </w:p>
        </w:tc>
        <w:tc>
          <w:tcPr>
            <w:tcW w:w="1337" w:type="dxa"/>
            <w:tcBorders>
              <w:top w:val="nil"/>
              <w:left w:val="nil"/>
              <w:bottom w:val="single" w:sz="4" w:space="0" w:color="auto"/>
              <w:right w:val="single" w:sz="4" w:space="0" w:color="auto"/>
            </w:tcBorders>
            <w:shd w:val="clear" w:color="000000" w:fill="FFFFFF"/>
            <w:vAlign w:val="center"/>
            <w:hideMark/>
          </w:tcPr>
          <w:p w14:paraId="13D8B58B" w14:textId="77777777" w:rsidR="009A4387" w:rsidRPr="00BA1C8E" w:rsidRDefault="009A4387" w:rsidP="00BA1C8E">
            <w:pPr>
              <w:pStyle w:val="NoSpacing"/>
              <w:jc w:val="center"/>
              <w:rPr>
                <w:rFonts w:ascii="Times New Roman" w:hAnsi="Times New Roman" w:cs="Times New Roman"/>
                <w:szCs w:val="24"/>
                <w:lang w:eastAsia="en-IN"/>
              </w:rPr>
            </w:pPr>
            <w:r w:rsidRPr="00BA1C8E">
              <w:rPr>
                <w:rFonts w:ascii="Times New Roman" w:hAnsi="Times New Roman" w:cs="Times New Roman"/>
                <w:szCs w:val="24"/>
                <w:lang w:eastAsia="en-IN"/>
              </w:rPr>
              <w:t>111</w:t>
            </w:r>
          </w:p>
        </w:tc>
        <w:tc>
          <w:tcPr>
            <w:tcW w:w="1071" w:type="dxa"/>
            <w:tcBorders>
              <w:top w:val="nil"/>
              <w:left w:val="nil"/>
              <w:bottom w:val="single" w:sz="4" w:space="0" w:color="auto"/>
              <w:right w:val="single" w:sz="4" w:space="0" w:color="auto"/>
            </w:tcBorders>
            <w:shd w:val="clear" w:color="000000" w:fill="FFFFFF"/>
            <w:vAlign w:val="center"/>
            <w:hideMark/>
          </w:tcPr>
          <w:p w14:paraId="7BB94E83" w14:textId="77777777" w:rsidR="009A4387" w:rsidRPr="00BA1C8E" w:rsidRDefault="009A4387" w:rsidP="00BA1C8E">
            <w:pPr>
              <w:pStyle w:val="NoSpacing"/>
              <w:jc w:val="center"/>
              <w:rPr>
                <w:rFonts w:ascii="Times New Roman" w:hAnsi="Times New Roman" w:cs="Times New Roman"/>
                <w:szCs w:val="24"/>
                <w:lang w:eastAsia="en-IN"/>
              </w:rPr>
            </w:pPr>
            <w:r w:rsidRPr="00BA1C8E">
              <w:rPr>
                <w:rFonts w:ascii="Times New Roman" w:hAnsi="Times New Roman" w:cs="Times New Roman"/>
                <w:szCs w:val="24"/>
                <w:lang w:eastAsia="en-IN"/>
              </w:rPr>
              <w:t>302</w:t>
            </w:r>
          </w:p>
        </w:tc>
        <w:tc>
          <w:tcPr>
            <w:tcW w:w="1587" w:type="dxa"/>
            <w:tcBorders>
              <w:top w:val="nil"/>
              <w:left w:val="nil"/>
              <w:bottom w:val="single" w:sz="4" w:space="0" w:color="auto"/>
              <w:right w:val="single" w:sz="4" w:space="0" w:color="auto"/>
            </w:tcBorders>
            <w:shd w:val="clear" w:color="000000" w:fill="FFFFFF"/>
            <w:vAlign w:val="center"/>
            <w:hideMark/>
          </w:tcPr>
          <w:p w14:paraId="0F060090" w14:textId="77777777" w:rsidR="009A4387" w:rsidRPr="00BA1C8E" w:rsidRDefault="009A4387" w:rsidP="00BA1C8E">
            <w:pPr>
              <w:pStyle w:val="NoSpacing"/>
              <w:jc w:val="center"/>
              <w:rPr>
                <w:rFonts w:ascii="Times New Roman" w:hAnsi="Times New Roman" w:cs="Times New Roman"/>
                <w:szCs w:val="24"/>
                <w:lang w:eastAsia="en-IN"/>
              </w:rPr>
            </w:pPr>
            <w:r w:rsidRPr="00BA1C8E">
              <w:rPr>
                <w:rFonts w:ascii="Times New Roman" w:hAnsi="Times New Roman" w:cs="Times New Roman"/>
                <w:szCs w:val="24"/>
                <w:lang w:eastAsia="en-IN"/>
              </w:rPr>
              <w:t>7.58</w:t>
            </w:r>
          </w:p>
        </w:tc>
        <w:tc>
          <w:tcPr>
            <w:tcW w:w="1305" w:type="dxa"/>
            <w:tcBorders>
              <w:top w:val="nil"/>
              <w:left w:val="nil"/>
              <w:bottom w:val="single" w:sz="4" w:space="0" w:color="auto"/>
              <w:right w:val="single" w:sz="4" w:space="0" w:color="auto"/>
            </w:tcBorders>
            <w:shd w:val="clear" w:color="000000" w:fill="FFFFFF"/>
            <w:vAlign w:val="center"/>
            <w:hideMark/>
          </w:tcPr>
          <w:p w14:paraId="74504949" w14:textId="77777777" w:rsidR="009A4387" w:rsidRPr="00BA1C8E" w:rsidRDefault="009A4387" w:rsidP="00BA1C8E">
            <w:pPr>
              <w:pStyle w:val="NoSpacing"/>
              <w:jc w:val="center"/>
              <w:rPr>
                <w:rFonts w:ascii="Times New Roman" w:hAnsi="Times New Roman" w:cs="Times New Roman"/>
                <w:szCs w:val="24"/>
                <w:lang w:eastAsia="en-IN"/>
              </w:rPr>
            </w:pPr>
            <w:r w:rsidRPr="00BA1C8E">
              <w:rPr>
                <w:rFonts w:ascii="Times New Roman" w:hAnsi="Times New Roman" w:cs="Times New Roman"/>
                <w:szCs w:val="24"/>
                <w:lang w:eastAsia="en-IN"/>
              </w:rPr>
              <w:t>19.44</w:t>
            </w:r>
          </w:p>
        </w:tc>
        <w:tc>
          <w:tcPr>
            <w:tcW w:w="2120" w:type="dxa"/>
            <w:tcBorders>
              <w:top w:val="nil"/>
              <w:left w:val="nil"/>
              <w:bottom w:val="single" w:sz="4" w:space="0" w:color="auto"/>
              <w:right w:val="single" w:sz="4" w:space="0" w:color="auto"/>
            </w:tcBorders>
            <w:shd w:val="clear" w:color="000000" w:fill="FFFFFF"/>
            <w:vAlign w:val="center"/>
            <w:hideMark/>
          </w:tcPr>
          <w:p w14:paraId="47185F78" w14:textId="77777777" w:rsidR="009A4387" w:rsidRPr="00BA1C8E" w:rsidRDefault="009A4387" w:rsidP="00BA1C8E">
            <w:pPr>
              <w:pStyle w:val="NoSpacing"/>
              <w:jc w:val="center"/>
              <w:rPr>
                <w:rFonts w:ascii="Times New Roman" w:hAnsi="Times New Roman" w:cs="Times New Roman"/>
                <w:szCs w:val="24"/>
                <w:lang w:eastAsia="en-IN"/>
              </w:rPr>
            </w:pPr>
            <w:r w:rsidRPr="00BA1C8E">
              <w:rPr>
                <w:rFonts w:ascii="Times New Roman" w:hAnsi="Times New Roman" w:cs="Times New Roman"/>
                <w:szCs w:val="24"/>
                <w:lang w:eastAsia="en-IN"/>
              </w:rPr>
              <w:t>6.83</w:t>
            </w:r>
          </w:p>
        </w:tc>
      </w:tr>
      <w:tr w:rsidR="009A4387" w:rsidRPr="00BA1C8E" w14:paraId="6E6AA5A9" w14:textId="77777777" w:rsidTr="00BA1C8E">
        <w:trPr>
          <w:trHeight w:val="20"/>
        </w:trPr>
        <w:tc>
          <w:tcPr>
            <w:tcW w:w="2286" w:type="dxa"/>
            <w:tcBorders>
              <w:top w:val="nil"/>
              <w:left w:val="single" w:sz="4" w:space="0" w:color="auto"/>
              <w:bottom w:val="single" w:sz="4" w:space="0" w:color="auto"/>
              <w:right w:val="single" w:sz="4" w:space="0" w:color="auto"/>
            </w:tcBorders>
            <w:shd w:val="clear" w:color="000000" w:fill="FFFFFF"/>
            <w:vAlign w:val="center"/>
            <w:hideMark/>
          </w:tcPr>
          <w:p w14:paraId="394E7658" w14:textId="77777777" w:rsidR="009A4387" w:rsidRPr="00BA1C8E" w:rsidRDefault="009A4387" w:rsidP="00B77C0B">
            <w:pPr>
              <w:pStyle w:val="NoSpacing"/>
              <w:rPr>
                <w:rFonts w:ascii="Times New Roman" w:hAnsi="Times New Roman" w:cs="Times New Roman"/>
                <w:szCs w:val="24"/>
                <w:lang w:eastAsia="en-IN"/>
              </w:rPr>
            </w:pPr>
            <w:r w:rsidRPr="00BA1C8E">
              <w:rPr>
                <w:rFonts w:ascii="Times New Roman" w:hAnsi="Times New Roman" w:cs="Times New Roman"/>
                <w:szCs w:val="24"/>
                <w:lang w:eastAsia="en-IN"/>
              </w:rPr>
              <w:t>Bihar</w:t>
            </w:r>
          </w:p>
        </w:tc>
        <w:tc>
          <w:tcPr>
            <w:tcW w:w="1337" w:type="dxa"/>
            <w:tcBorders>
              <w:top w:val="nil"/>
              <w:left w:val="nil"/>
              <w:bottom w:val="single" w:sz="4" w:space="0" w:color="auto"/>
              <w:right w:val="single" w:sz="4" w:space="0" w:color="auto"/>
            </w:tcBorders>
            <w:shd w:val="clear" w:color="000000" w:fill="FFFFFF"/>
            <w:vAlign w:val="center"/>
            <w:hideMark/>
          </w:tcPr>
          <w:p w14:paraId="121ED7C7" w14:textId="77777777" w:rsidR="009A4387" w:rsidRPr="00BA1C8E" w:rsidRDefault="009A4387" w:rsidP="00BA1C8E">
            <w:pPr>
              <w:pStyle w:val="NoSpacing"/>
              <w:jc w:val="center"/>
              <w:rPr>
                <w:rFonts w:ascii="Times New Roman" w:hAnsi="Times New Roman" w:cs="Times New Roman"/>
                <w:szCs w:val="24"/>
                <w:lang w:eastAsia="en-IN"/>
              </w:rPr>
            </w:pPr>
            <w:r w:rsidRPr="00BA1C8E">
              <w:rPr>
                <w:rFonts w:ascii="Times New Roman" w:hAnsi="Times New Roman" w:cs="Times New Roman"/>
                <w:szCs w:val="24"/>
                <w:lang w:eastAsia="en-IN"/>
              </w:rPr>
              <w:t>1308</w:t>
            </w:r>
          </w:p>
        </w:tc>
        <w:tc>
          <w:tcPr>
            <w:tcW w:w="1071" w:type="dxa"/>
            <w:tcBorders>
              <w:top w:val="nil"/>
              <w:left w:val="nil"/>
              <w:bottom w:val="single" w:sz="4" w:space="0" w:color="auto"/>
              <w:right w:val="single" w:sz="4" w:space="0" w:color="auto"/>
            </w:tcBorders>
            <w:shd w:val="clear" w:color="000000" w:fill="FFFFFF"/>
            <w:vAlign w:val="center"/>
            <w:hideMark/>
          </w:tcPr>
          <w:p w14:paraId="44489D8C" w14:textId="77777777" w:rsidR="009A4387" w:rsidRPr="00BA1C8E" w:rsidRDefault="009A4387" w:rsidP="00BA1C8E">
            <w:pPr>
              <w:pStyle w:val="NoSpacing"/>
              <w:jc w:val="center"/>
              <w:rPr>
                <w:rFonts w:ascii="Times New Roman" w:hAnsi="Times New Roman" w:cs="Times New Roman"/>
                <w:szCs w:val="24"/>
                <w:lang w:eastAsia="en-IN"/>
              </w:rPr>
            </w:pPr>
            <w:r w:rsidRPr="00BA1C8E">
              <w:rPr>
                <w:rFonts w:ascii="Times New Roman" w:hAnsi="Times New Roman" w:cs="Times New Roman"/>
                <w:szCs w:val="24"/>
                <w:lang w:eastAsia="en-IN"/>
              </w:rPr>
              <w:t>265</w:t>
            </w:r>
          </w:p>
        </w:tc>
        <w:tc>
          <w:tcPr>
            <w:tcW w:w="1587" w:type="dxa"/>
            <w:tcBorders>
              <w:top w:val="nil"/>
              <w:left w:val="nil"/>
              <w:bottom w:val="single" w:sz="4" w:space="0" w:color="auto"/>
              <w:right w:val="single" w:sz="4" w:space="0" w:color="auto"/>
            </w:tcBorders>
            <w:shd w:val="clear" w:color="000000" w:fill="FFFFFF"/>
            <w:vAlign w:val="center"/>
            <w:hideMark/>
          </w:tcPr>
          <w:p w14:paraId="30D0DCCD" w14:textId="77777777" w:rsidR="009A4387" w:rsidRPr="00BA1C8E" w:rsidRDefault="009A4387" w:rsidP="00BA1C8E">
            <w:pPr>
              <w:pStyle w:val="NoSpacing"/>
              <w:jc w:val="center"/>
              <w:rPr>
                <w:rFonts w:ascii="Times New Roman" w:hAnsi="Times New Roman" w:cs="Times New Roman"/>
                <w:szCs w:val="24"/>
                <w:lang w:eastAsia="en-IN"/>
              </w:rPr>
            </w:pPr>
            <w:r w:rsidRPr="00BA1C8E">
              <w:rPr>
                <w:rFonts w:ascii="Times New Roman" w:hAnsi="Times New Roman" w:cs="Times New Roman"/>
                <w:szCs w:val="24"/>
                <w:lang w:eastAsia="en-IN"/>
              </w:rPr>
              <w:t>64.29</w:t>
            </w:r>
          </w:p>
        </w:tc>
        <w:tc>
          <w:tcPr>
            <w:tcW w:w="1305" w:type="dxa"/>
            <w:tcBorders>
              <w:top w:val="nil"/>
              <w:left w:val="nil"/>
              <w:bottom w:val="single" w:sz="4" w:space="0" w:color="auto"/>
              <w:right w:val="single" w:sz="4" w:space="0" w:color="auto"/>
            </w:tcBorders>
            <w:shd w:val="clear" w:color="000000" w:fill="FFFFFF"/>
            <w:vAlign w:val="center"/>
            <w:hideMark/>
          </w:tcPr>
          <w:p w14:paraId="57B36F40" w14:textId="77777777" w:rsidR="009A4387" w:rsidRPr="00BA1C8E" w:rsidRDefault="009A4387" w:rsidP="00BA1C8E">
            <w:pPr>
              <w:pStyle w:val="NoSpacing"/>
              <w:jc w:val="center"/>
              <w:rPr>
                <w:rFonts w:ascii="Times New Roman" w:hAnsi="Times New Roman" w:cs="Times New Roman"/>
                <w:szCs w:val="24"/>
                <w:lang w:eastAsia="en-IN"/>
              </w:rPr>
            </w:pPr>
            <w:r w:rsidRPr="00BA1C8E">
              <w:rPr>
                <w:rFonts w:ascii="Times New Roman" w:hAnsi="Times New Roman" w:cs="Times New Roman"/>
                <w:szCs w:val="24"/>
                <w:lang w:eastAsia="en-IN"/>
              </w:rPr>
              <w:t>12.06</w:t>
            </w:r>
          </w:p>
        </w:tc>
        <w:tc>
          <w:tcPr>
            <w:tcW w:w="2120" w:type="dxa"/>
            <w:tcBorders>
              <w:top w:val="nil"/>
              <w:left w:val="nil"/>
              <w:bottom w:val="single" w:sz="4" w:space="0" w:color="auto"/>
              <w:right w:val="single" w:sz="4" w:space="0" w:color="auto"/>
            </w:tcBorders>
            <w:shd w:val="clear" w:color="000000" w:fill="FFFFFF"/>
            <w:vAlign w:val="center"/>
            <w:hideMark/>
          </w:tcPr>
          <w:p w14:paraId="19BFCEBB" w14:textId="77777777" w:rsidR="009A4387" w:rsidRPr="00BA1C8E" w:rsidRDefault="009A4387" w:rsidP="00BA1C8E">
            <w:pPr>
              <w:pStyle w:val="NoSpacing"/>
              <w:jc w:val="center"/>
              <w:rPr>
                <w:rFonts w:ascii="Times New Roman" w:hAnsi="Times New Roman" w:cs="Times New Roman"/>
                <w:szCs w:val="24"/>
                <w:lang w:eastAsia="en-IN"/>
              </w:rPr>
            </w:pPr>
            <w:r w:rsidRPr="00BA1C8E">
              <w:rPr>
                <w:rFonts w:ascii="Times New Roman" w:hAnsi="Times New Roman" w:cs="Times New Roman"/>
                <w:szCs w:val="24"/>
                <w:lang w:eastAsia="en-IN"/>
              </w:rPr>
              <w:t>4.91</w:t>
            </w:r>
          </w:p>
        </w:tc>
      </w:tr>
      <w:tr w:rsidR="009A4387" w:rsidRPr="00BA1C8E" w14:paraId="2E05392A" w14:textId="77777777" w:rsidTr="00BA1C8E">
        <w:trPr>
          <w:trHeight w:val="20"/>
        </w:trPr>
        <w:tc>
          <w:tcPr>
            <w:tcW w:w="2286" w:type="dxa"/>
            <w:tcBorders>
              <w:top w:val="nil"/>
              <w:left w:val="single" w:sz="4" w:space="0" w:color="auto"/>
              <w:bottom w:val="single" w:sz="4" w:space="0" w:color="auto"/>
              <w:right w:val="single" w:sz="4" w:space="0" w:color="auto"/>
            </w:tcBorders>
            <w:shd w:val="clear" w:color="000000" w:fill="FFFFFF"/>
            <w:vAlign w:val="center"/>
            <w:hideMark/>
          </w:tcPr>
          <w:p w14:paraId="0C623A69" w14:textId="77777777" w:rsidR="009A4387" w:rsidRPr="00BA1C8E" w:rsidRDefault="009A4387" w:rsidP="00B77C0B">
            <w:pPr>
              <w:pStyle w:val="NoSpacing"/>
              <w:rPr>
                <w:rFonts w:ascii="Times New Roman" w:hAnsi="Times New Roman" w:cs="Times New Roman"/>
                <w:szCs w:val="24"/>
                <w:lang w:eastAsia="en-IN"/>
              </w:rPr>
            </w:pPr>
            <w:r w:rsidRPr="00BA1C8E">
              <w:rPr>
                <w:rFonts w:ascii="Times New Roman" w:hAnsi="Times New Roman" w:cs="Times New Roman"/>
                <w:szCs w:val="24"/>
                <w:lang w:eastAsia="en-IN"/>
              </w:rPr>
              <w:t>Nagaland</w:t>
            </w:r>
          </w:p>
        </w:tc>
        <w:tc>
          <w:tcPr>
            <w:tcW w:w="1337" w:type="dxa"/>
            <w:tcBorders>
              <w:top w:val="nil"/>
              <w:left w:val="nil"/>
              <w:bottom w:val="single" w:sz="4" w:space="0" w:color="auto"/>
              <w:right w:val="single" w:sz="4" w:space="0" w:color="auto"/>
            </w:tcBorders>
            <w:shd w:val="clear" w:color="000000" w:fill="FFFFFF"/>
            <w:vAlign w:val="center"/>
            <w:hideMark/>
          </w:tcPr>
          <w:p w14:paraId="2F6784EB" w14:textId="77777777" w:rsidR="009A4387" w:rsidRPr="00BA1C8E" w:rsidRDefault="009A4387" w:rsidP="00BA1C8E">
            <w:pPr>
              <w:pStyle w:val="NoSpacing"/>
              <w:jc w:val="center"/>
              <w:rPr>
                <w:rFonts w:ascii="Times New Roman" w:hAnsi="Times New Roman" w:cs="Times New Roman"/>
                <w:szCs w:val="24"/>
                <w:lang w:eastAsia="en-IN"/>
              </w:rPr>
            </w:pPr>
            <w:r w:rsidRPr="00BA1C8E">
              <w:rPr>
                <w:rFonts w:ascii="Times New Roman" w:hAnsi="Times New Roman" w:cs="Times New Roman"/>
                <w:szCs w:val="24"/>
                <w:lang w:eastAsia="en-IN"/>
              </w:rPr>
              <w:t>NA</w:t>
            </w:r>
          </w:p>
        </w:tc>
        <w:tc>
          <w:tcPr>
            <w:tcW w:w="1071" w:type="dxa"/>
            <w:tcBorders>
              <w:top w:val="nil"/>
              <w:left w:val="nil"/>
              <w:bottom w:val="single" w:sz="4" w:space="0" w:color="auto"/>
              <w:right w:val="single" w:sz="4" w:space="0" w:color="auto"/>
            </w:tcBorders>
            <w:shd w:val="clear" w:color="000000" w:fill="FFFFFF"/>
            <w:vAlign w:val="center"/>
            <w:hideMark/>
          </w:tcPr>
          <w:p w14:paraId="3162FCBF" w14:textId="77777777" w:rsidR="009A4387" w:rsidRPr="00BA1C8E" w:rsidRDefault="009A4387" w:rsidP="00BA1C8E">
            <w:pPr>
              <w:pStyle w:val="NoSpacing"/>
              <w:jc w:val="center"/>
              <w:rPr>
                <w:rFonts w:ascii="Times New Roman" w:hAnsi="Times New Roman" w:cs="Times New Roman"/>
                <w:szCs w:val="24"/>
                <w:lang w:eastAsia="en-IN"/>
              </w:rPr>
            </w:pPr>
            <w:r w:rsidRPr="00BA1C8E">
              <w:rPr>
                <w:rFonts w:ascii="Times New Roman" w:hAnsi="Times New Roman" w:cs="Times New Roman"/>
                <w:szCs w:val="24"/>
                <w:lang w:eastAsia="en-IN"/>
              </w:rPr>
              <w:t>NA</w:t>
            </w:r>
          </w:p>
        </w:tc>
        <w:tc>
          <w:tcPr>
            <w:tcW w:w="1587" w:type="dxa"/>
            <w:tcBorders>
              <w:top w:val="nil"/>
              <w:left w:val="nil"/>
              <w:bottom w:val="single" w:sz="4" w:space="0" w:color="auto"/>
              <w:right w:val="single" w:sz="4" w:space="0" w:color="auto"/>
            </w:tcBorders>
            <w:shd w:val="clear" w:color="000000" w:fill="FFFFFF"/>
            <w:vAlign w:val="center"/>
            <w:hideMark/>
          </w:tcPr>
          <w:p w14:paraId="3D86E8E7" w14:textId="77777777" w:rsidR="009A4387" w:rsidRPr="00BA1C8E" w:rsidRDefault="009A4387" w:rsidP="00BA1C8E">
            <w:pPr>
              <w:pStyle w:val="NoSpacing"/>
              <w:jc w:val="center"/>
              <w:rPr>
                <w:rFonts w:ascii="Times New Roman" w:hAnsi="Times New Roman" w:cs="Times New Roman"/>
                <w:szCs w:val="24"/>
                <w:lang w:eastAsia="en-IN"/>
              </w:rPr>
            </w:pPr>
            <w:r w:rsidRPr="00BA1C8E">
              <w:rPr>
                <w:rFonts w:ascii="Times New Roman" w:hAnsi="Times New Roman" w:cs="Times New Roman"/>
                <w:szCs w:val="24"/>
                <w:lang w:eastAsia="en-IN"/>
              </w:rPr>
              <w:t>0.23</w:t>
            </w:r>
          </w:p>
        </w:tc>
        <w:tc>
          <w:tcPr>
            <w:tcW w:w="1305" w:type="dxa"/>
            <w:tcBorders>
              <w:top w:val="nil"/>
              <w:left w:val="nil"/>
              <w:bottom w:val="single" w:sz="4" w:space="0" w:color="auto"/>
              <w:right w:val="single" w:sz="4" w:space="0" w:color="auto"/>
            </w:tcBorders>
            <w:shd w:val="clear" w:color="000000" w:fill="FFFFFF"/>
            <w:vAlign w:val="center"/>
            <w:hideMark/>
          </w:tcPr>
          <w:p w14:paraId="7BA1C4A0" w14:textId="77777777" w:rsidR="009A4387" w:rsidRPr="00BA1C8E" w:rsidRDefault="009A4387" w:rsidP="00BA1C8E">
            <w:pPr>
              <w:pStyle w:val="NoSpacing"/>
              <w:jc w:val="center"/>
              <w:rPr>
                <w:rFonts w:ascii="Times New Roman" w:hAnsi="Times New Roman" w:cs="Times New Roman"/>
                <w:szCs w:val="24"/>
                <w:lang w:eastAsia="en-IN"/>
              </w:rPr>
            </w:pPr>
            <w:r w:rsidRPr="00BA1C8E">
              <w:rPr>
                <w:rFonts w:ascii="Times New Roman" w:hAnsi="Times New Roman" w:cs="Times New Roman"/>
                <w:szCs w:val="24"/>
                <w:lang w:eastAsia="en-IN"/>
              </w:rPr>
              <w:t>5.75</w:t>
            </w:r>
          </w:p>
        </w:tc>
        <w:tc>
          <w:tcPr>
            <w:tcW w:w="2120" w:type="dxa"/>
            <w:tcBorders>
              <w:top w:val="nil"/>
              <w:left w:val="nil"/>
              <w:bottom w:val="single" w:sz="4" w:space="0" w:color="auto"/>
              <w:right w:val="single" w:sz="4" w:space="0" w:color="auto"/>
            </w:tcBorders>
            <w:shd w:val="clear" w:color="000000" w:fill="FFFFFF"/>
            <w:vAlign w:val="center"/>
            <w:hideMark/>
          </w:tcPr>
          <w:p w14:paraId="08011EBF" w14:textId="77777777" w:rsidR="009A4387" w:rsidRPr="00BA1C8E" w:rsidRDefault="009A4387" w:rsidP="00BA1C8E">
            <w:pPr>
              <w:pStyle w:val="NoSpacing"/>
              <w:jc w:val="center"/>
              <w:rPr>
                <w:rFonts w:ascii="Times New Roman" w:hAnsi="Times New Roman" w:cs="Times New Roman"/>
                <w:szCs w:val="24"/>
                <w:lang w:eastAsia="en-IN"/>
              </w:rPr>
            </w:pPr>
            <w:r w:rsidRPr="00BA1C8E">
              <w:rPr>
                <w:rFonts w:ascii="Times New Roman" w:hAnsi="Times New Roman" w:cs="Times New Roman"/>
                <w:szCs w:val="24"/>
                <w:lang w:eastAsia="en-IN"/>
              </w:rPr>
              <w:t>NA</w:t>
            </w:r>
          </w:p>
        </w:tc>
      </w:tr>
      <w:tr w:rsidR="009A4387" w:rsidRPr="00BA1C8E" w14:paraId="3CA8BE3A" w14:textId="77777777" w:rsidTr="00BA1C8E">
        <w:trPr>
          <w:trHeight w:val="20"/>
        </w:trPr>
        <w:tc>
          <w:tcPr>
            <w:tcW w:w="2286" w:type="dxa"/>
            <w:tcBorders>
              <w:top w:val="nil"/>
              <w:left w:val="single" w:sz="4" w:space="0" w:color="auto"/>
              <w:bottom w:val="single" w:sz="4" w:space="0" w:color="auto"/>
              <w:right w:val="single" w:sz="4" w:space="0" w:color="auto"/>
            </w:tcBorders>
            <w:shd w:val="clear" w:color="000000" w:fill="FFFFFF"/>
            <w:vAlign w:val="center"/>
            <w:hideMark/>
          </w:tcPr>
          <w:p w14:paraId="196EC771" w14:textId="77777777" w:rsidR="009A4387" w:rsidRPr="00BA1C8E" w:rsidRDefault="009A4387" w:rsidP="00B77C0B">
            <w:pPr>
              <w:pStyle w:val="NoSpacing"/>
              <w:rPr>
                <w:rFonts w:ascii="Times New Roman" w:hAnsi="Times New Roman" w:cs="Times New Roman"/>
                <w:szCs w:val="24"/>
                <w:lang w:eastAsia="en-IN"/>
              </w:rPr>
            </w:pPr>
            <w:r w:rsidRPr="00BA1C8E">
              <w:rPr>
                <w:rFonts w:ascii="Times New Roman" w:hAnsi="Times New Roman" w:cs="Times New Roman"/>
                <w:szCs w:val="24"/>
                <w:lang w:eastAsia="en-IN"/>
              </w:rPr>
              <w:t>TOTAL</w:t>
            </w:r>
          </w:p>
        </w:tc>
        <w:tc>
          <w:tcPr>
            <w:tcW w:w="1337" w:type="dxa"/>
            <w:tcBorders>
              <w:top w:val="nil"/>
              <w:left w:val="nil"/>
              <w:bottom w:val="single" w:sz="4" w:space="0" w:color="auto"/>
              <w:right w:val="single" w:sz="4" w:space="0" w:color="auto"/>
            </w:tcBorders>
            <w:shd w:val="clear" w:color="000000" w:fill="FFFFFF"/>
            <w:vAlign w:val="center"/>
            <w:hideMark/>
          </w:tcPr>
          <w:p w14:paraId="49E602F5" w14:textId="77777777" w:rsidR="009A4387" w:rsidRPr="00BA1C8E" w:rsidRDefault="009A4387" w:rsidP="00BA1C8E">
            <w:pPr>
              <w:pStyle w:val="NoSpacing"/>
              <w:jc w:val="center"/>
              <w:rPr>
                <w:rFonts w:ascii="Times New Roman" w:hAnsi="Times New Roman" w:cs="Times New Roman"/>
                <w:szCs w:val="24"/>
                <w:lang w:eastAsia="en-IN"/>
              </w:rPr>
            </w:pPr>
            <w:r w:rsidRPr="00BA1C8E">
              <w:rPr>
                <w:rFonts w:ascii="Times New Roman" w:hAnsi="Times New Roman" w:cs="Times New Roman"/>
                <w:szCs w:val="24"/>
                <w:lang w:eastAsia="en-IN"/>
              </w:rPr>
              <w:t>16865</w:t>
            </w:r>
          </w:p>
        </w:tc>
        <w:tc>
          <w:tcPr>
            <w:tcW w:w="1071" w:type="dxa"/>
            <w:tcBorders>
              <w:top w:val="nil"/>
              <w:left w:val="nil"/>
              <w:bottom w:val="single" w:sz="4" w:space="0" w:color="auto"/>
              <w:right w:val="single" w:sz="4" w:space="0" w:color="auto"/>
            </w:tcBorders>
            <w:shd w:val="clear" w:color="000000" w:fill="FFFFFF"/>
            <w:vAlign w:val="center"/>
            <w:hideMark/>
          </w:tcPr>
          <w:p w14:paraId="180C40BB" w14:textId="77777777" w:rsidR="009A4387" w:rsidRPr="00BA1C8E" w:rsidRDefault="009A4387" w:rsidP="00BA1C8E">
            <w:pPr>
              <w:pStyle w:val="NoSpacing"/>
              <w:jc w:val="center"/>
              <w:rPr>
                <w:rFonts w:ascii="Times New Roman" w:hAnsi="Times New Roman" w:cs="Times New Roman"/>
                <w:szCs w:val="24"/>
                <w:lang w:eastAsia="en-IN"/>
              </w:rPr>
            </w:pPr>
            <w:r w:rsidRPr="00BA1C8E">
              <w:rPr>
                <w:rFonts w:ascii="Times New Roman" w:hAnsi="Times New Roman" w:cs="Times New Roman"/>
                <w:szCs w:val="24"/>
                <w:lang w:eastAsia="en-IN"/>
              </w:rPr>
              <w:t>369</w:t>
            </w:r>
          </w:p>
        </w:tc>
        <w:tc>
          <w:tcPr>
            <w:tcW w:w="1587" w:type="dxa"/>
            <w:tcBorders>
              <w:top w:val="nil"/>
              <w:left w:val="nil"/>
              <w:bottom w:val="single" w:sz="4" w:space="0" w:color="auto"/>
              <w:right w:val="single" w:sz="4" w:space="0" w:color="auto"/>
            </w:tcBorders>
            <w:shd w:val="clear" w:color="000000" w:fill="FFFFFF"/>
            <w:vAlign w:val="center"/>
            <w:hideMark/>
          </w:tcPr>
          <w:p w14:paraId="291C039A" w14:textId="77777777" w:rsidR="009A4387" w:rsidRPr="00BA1C8E" w:rsidRDefault="009A4387" w:rsidP="00BA1C8E">
            <w:pPr>
              <w:pStyle w:val="NoSpacing"/>
              <w:jc w:val="center"/>
              <w:rPr>
                <w:rFonts w:ascii="Times New Roman" w:hAnsi="Times New Roman" w:cs="Times New Roman"/>
                <w:szCs w:val="24"/>
                <w:lang w:eastAsia="en-IN"/>
              </w:rPr>
            </w:pPr>
            <w:r w:rsidRPr="00BA1C8E">
              <w:rPr>
                <w:rFonts w:ascii="Times New Roman" w:hAnsi="Times New Roman" w:cs="Times New Roman"/>
                <w:szCs w:val="24"/>
                <w:lang w:eastAsia="en-IN"/>
              </w:rPr>
              <w:t>1086.63</w:t>
            </w:r>
          </w:p>
        </w:tc>
        <w:tc>
          <w:tcPr>
            <w:tcW w:w="1305" w:type="dxa"/>
            <w:tcBorders>
              <w:top w:val="nil"/>
              <w:left w:val="nil"/>
              <w:bottom w:val="single" w:sz="4" w:space="0" w:color="auto"/>
              <w:right w:val="single" w:sz="4" w:space="0" w:color="auto"/>
            </w:tcBorders>
            <w:shd w:val="clear" w:color="000000" w:fill="FFFFFF"/>
            <w:vAlign w:val="center"/>
            <w:hideMark/>
          </w:tcPr>
          <w:p w14:paraId="32C2F13B" w14:textId="77777777" w:rsidR="009A4387" w:rsidRPr="00BA1C8E" w:rsidRDefault="009A4387" w:rsidP="00BA1C8E">
            <w:pPr>
              <w:pStyle w:val="NoSpacing"/>
              <w:jc w:val="center"/>
              <w:rPr>
                <w:rFonts w:ascii="Times New Roman" w:hAnsi="Times New Roman" w:cs="Times New Roman"/>
                <w:szCs w:val="24"/>
                <w:lang w:eastAsia="en-IN"/>
              </w:rPr>
            </w:pPr>
            <w:r w:rsidRPr="00BA1C8E">
              <w:rPr>
                <w:rFonts w:ascii="Times New Roman" w:hAnsi="Times New Roman" w:cs="Times New Roman"/>
                <w:szCs w:val="24"/>
                <w:lang w:eastAsia="en-IN"/>
              </w:rPr>
              <w:t>21.92</w:t>
            </w:r>
          </w:p>
        </w:tc>
        <w:tc>
          <w:tcPr>
            <w:tcW w:w="2120" w:type="dxa"/>
            <w:tcBorders>
              <w:top w:val="nil"/>
              <w:left w:val="nil"/>
              <w:bottom w:val="single" w:sz="4" w:space="0" w:color="auto"/>
              <w:right w:val="single" w:sz="4" w:space="0" w:color="auto"/>
            </w:tcBorders>
            <w:shd w:val="clear" w:color="000000" w:fill="FFFFFF"/>
            <w:vAlign w:val="center"/>
            <w:hideMark/>
          </w:tcPr>
          <w:p w14:paraId="7BAD2671" w14:textId="77777777" w:rsidR="009A4387" w:rsidRPr="00BA1C8E" w:rsidRDefault="009A4387" w:rsidP="00BA1C8E">
            <w:pPr>
              <w:pStyle w:val="NoSpacing"/>
              <w:jc w:val="center"/>
              <w:rPr>
                <w:rFonts w:ascii="Times New Roman" w:hAnsi="Times New Roman" w:cs="Times New Roman"/>
                <w:szCs w:val="24"/>
                <w:lang w:eastAsia="en-IN"/>
              </w:rPr>
            </w:pPr>
            <w:r w:rsidRPr="00BA1C8E">
              <w:rPr>
                <w:rFonts w:ascii="Times New Roman" w:hAnsi="Times New Roman" w:cs="Times New Roman"/>
                <w:szCs w:val="24"/>
                <w:lang w:eastAsia="en-IN"/>
              </w:rPr>
              <w:t>6.44</w:t>
            </w:r>
          </w:p>
        </w:tc>
      </w:tr>
    </w:tbl>
    <w:p w14:paraId="4612A985" w14:textId="230E7559" w:rsidR="003D7F73" w:rsidRPr="00BA1C8E" w:rsidRDefault="009A4387" w:rsidP="00BA1C8E">
      <w:pPr>
        <w:pStyle w:val="Sources"/>
      </w:pPr>
      <w:r w:rsidRPr="00BA1C8E">
        <w:t>* Excludes transfer of taxes from the Centre but includes receipts from inter-State Sales Tax, road tolls (J&amp;K) and royalty on mineral oil (Assam and Gujarat).</w:t>
      </w:r>
      <w:r w:rsidRPr="00BA1C8E">
        <w:br/>
        <w:t>** Based on population estimate for March, 1967 as worked out in the Central Statistical Organisation.</w:t>
      </w:r>
      <w:r w:rsidRPr="00BA1C8E">
        <w:br/>
        <w:t>Source: (i) C.S.O. for State incomes and per capita incomes.</w:t>
      </w:r>
      <w:r w:rsidRPr="00BA1C8E">
        <w:br/>
        <w:t>(ii) State Budgets for tax revenues.</w:t>
      </w:r>
    </w:p>
    <w:p w14:paraId="7CB8ABEC" w14:textId="77777777" w:rsidR="003D7F73" w:rsidRPr="007245B0" w:rsidRDefault="003D7F73">
      <w:pPr>
        <w:rPr>
          <w:rFonts w:ascii="Times New Roman" w:hAnsi="Times New Roman" w:cs="Times New Roman"/>
        </w:rPr>
      </w:pPr>
      <w:r w:rsidRPr="007245B0">
        <w:rPr>
          <w:rFonts w:ascii="Times New Roman" w:hAnsi="Times New Roman" w:cs="Times New Roman"/>
        </w:rPr>
        <w:br w:type="page"/>
      </w:r>
    </w:p>
    <w:p w14:paraId="28A7955A" w14:textId="77777777" w:rsidR="003A2683" w:rsidRPr="007245B0" w:rsidRDefault="003A2683" w:rsidP="003D7F73">
      <w:pPr>
        <w:rPr>
          <w:rFonts w:ascii="Times New Roman" w:hAnsi="Times New Roman" w:cs="Times New Roman"/>
          <w:b/>
          <w:bCs/>
        </w:rPr>
        <w:sectPr w:rsidR="003A2683" w:rsidRPr="007245B0" w:rsidSect="00CE2D3A">
          <w:pgSz w:w="12240" w:h="15840"/>
          <w:pgMar w:top="993" w:right="1440" w:bottom="1440" w:left="1440" w:header="720" w:footer="720" w:gutter="0"/>
          <w:cols w:space="720"/>
        </w:sectPr>
      </w:pPr>
    </w:p>
    <w:p w14:paraId="57378CAD" w14:textId="031088EF" w:rsidR="003D7F73" w:rsidRDefault="00574BCE" w:rsidP="00BA1C8E">
      <w:pPr>
        <w:pStyle w:val="Heading4"/>
      </w:pPr>
      <w:bookmarkStart w:id="69" w:name="_Toc220949693"/>
      <w:bookmarkStart w:id="70" w:name="_Toc221114293"/>
      <w:bookmarkStart w:id="71" w:name="_Toc221115316"/>
      <w:r>
        <w:lastRenderedPageBreak/>
        <w:t>Table</w:t>
      </w:r>
      <w:r w:rsidR="003D7F73" w:rsidRPr="007245B0">
        <w:t xml:space="preserve"> </w:t>
      </w:r>
      <w:r w:rsidR="005A7AAF" w:rsidRPr="007245B0">
        <w:t>13:</w:t>
      </w:r>
      <w:r w:rsidR="003D7F73" w:rsidRPr="007245B0">
        <w:t xml:space="preserve"> All-States tax revenues as percentage of national income from 1950-51 to 1967-68</w:t>
      </w:r>
      <w:bookmarkEnd w:id="69"/>
      <w:bookmarkEnd w:id="70"/>
      <w:bookmarkEnd w:id="71"/>
    </w:p>
    <w:p w14:paraId="3443771D" w14:textId="77777777" w:rsidR="005A7AAF" w:rsidRPr="005A7AAF" w:rsidRDefault="005A7AAF" w:rsidP="005A7AAF"/>
    <w:tbl>
      <w:tblPr>
        <w:tblW w:w="14492" w:type="dxa"/>
        <w:jc w:val="center"/>
        <w:tblLook w:val="04A0" w:firstRow="1" w:lastRow="0" w:firstColumn="1" w:lastColumn="0" w:noHBand="0" w:noVBand="1"/>
      </w:tblPr>
      <w:tblGrid>
        <w:gridCol w:w="1207"/>
        <w:gridCol w:w="2533"/>
        <w:gridCol w:w="2190"/>
        <w:gridCol w:w="1789"/>
        <w:gridCol w:w="2172"/>
        <w:gridCol w:w="2250"/>
        <w:gridCol w:w="2351"/>
      </w:tblGrid>
      <w:tr w:rsidR="003D7F73" w:rsidRPr="00BA1C8E" w14:paraId="2177E8BB" w14:textId="77777777" w:rsidTr="005A7AAF">
        <w:trPr>
          <w:trHeight w:val="20"/>
          <w:jc w:val="center"/>
        </w:trPr>
        <w:tc>
          <w:tcPr>
            <w:tcW w:w="120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91CB07A" w14:textId="070217E7" w:rsidR="003D7F73" w:rsidRPr="00BA1C8E" w:rsidRDefault="003D7F73" w:rsidP="00BA1C8E">
            <w:pPr>
              <w:pStyle w:val="NoSpacing"/>
              <w:jc w:val="center"/>
              <w:rPr>
                <w:rFonts w:ascii="Times New Roman" w:hAnsi="Times New Roman" w:cs="Times New Roman"/>
                <w:b/>
                <w:bCs/>
                <w:szCs w:val="24"/>
              </w:rPr>
            </w:pPr>
          </w:p>
        </w:tc>
        <w:tc>
          <w:tcPr>
            <w:tcW w:w="4723" w:type="dxa"/>
            <w:gridSpan w:val="2"/>
            <w:tcBorders>
              <w:top w:val="single" w:sz="4" w:space="0" w:color="auto"/>
              <w:left w:val="nil"/>
              <w:bottom w:val="single" w:sz="4" w:space="0" w:color="auto"/>
              <w:right w:val="single" w:sz="4" w:space="0" w:color="000000"/>
            </w:tcBorders>
            <w:shd w:val="clear" w:color="000000" w:fill="FFFFFF"/>
            <w:vAlign w:val="center"/>
            <w:hideMark/>
          </w:tcPr>
          <w:p w14:paraId="2CAAF3D1" w14:textId="370CC66B" w:rsidR="003D7F73" w:rsidRPr="00BA1C8E" w:rsidRDefault="003D7F73" w:rsidP="00BA1C8E">
            <w:pPr>
              <w:pStyle w:val="NoSpacing"/>
              <w:jc w:val="center"/>
              <w:rPr>
                <w:rFonts w:ascii="Times New Roman" w:hAnsi="Times New Roman" w:cs="Times New Roman"/>
                <w:b/>
                <w:bCs/>
                <w:szCs w:val="24"/>
              </w:rPr>
            </w:pPr>
            <w:r w:rsidRPr="00BA1C8E">
              <w:rPr>
                <w:rFonts w:ascii="Times New Roman" w:hAnsi="Times New Roman" w:cs="Times New Roman"/>
                <w:b/>
                <w:bCs/>
                <w:szCs w:val="24"/>
              </w:rPr>
              <w:t>National Income (at current prices)</w:t>
            </w:r>
          </w:p>
        </w:tc>
        <w:tc>
          <w:tcPr>
            <w:tcW w:w="3961" w:type="dxa"/>
            <w:gridSpan w:val="2"/>
            <w:tcBorders>
              <w:top w:val="single" w:sz="4" w:space="0" w:color="auto"/>
              <w:left w:val="nil"/>
              <w:bottom w:val="single" w:sz="4" w:space="0" w:color="auto"/>
              <w:right w:val="single" w:sz="4" w:space="0" w:color="000000"/>
            </w:tcBorders>
            <w:shd w:val="clear" w:color="000000" w:fill="FFFFFF"/>
            <w:vAlign w:val="center"/>
            <w:hideMark/>
          </w:tcPr>
          <w:p w14:paraId="355854F2" w14:textId="78985502" w:rsidR="003D7F73" w:rsidRPr="00BA1C8E" w:rsidRDefault="003D7F73" w:rsidP="00BA1C8E">
            <w:pPr>
              <w:pStyle w:val="NoSpacing"/>
              <w:jc w:val="center"/>
              <w:rPr>
                <w:rFonts w:ascii="Times New Roman" w:hAnsi="Times New Roman" w:cs="Times New Roman"/>
                <w:b/>
                <w:bCs/>
                <w:szCs w:val="24"/>
              </w:rPr>
            </w:pPr>
            <w:r w:rsidRPr="00BA1C8E">
              <w:rPr>
                <w:rFonts w:ascii="Times New Roman" w:hAnsi="Times New Roman" w:cs="Times New Roman"/>
                <w:b/>
                <w:bCs/>
                <w:szCs w:val="24"/>
              </w:rPr>
              <w:t xml:space="preserve">Total Tax Revenues of all </w:t>
            </w:r>
            <w:r w:rsidR="005A7AAF" w:rsidRPr="00BA1C8E">
              <w:rPr>
                <w:rFonts w:ascii="Times New Roman" w:hAnsi="Times New Roman" w:cs="Times New Roman"/>
                <w:b/>
                <w:bCs/>
                <w:szCs w:val="24"/>
              </w:rPr>
              <w:t>States</w:t>
            </w:r>
          </w:p>
        </w:tc>
        <w:tc>
          <w:tcPr>
            <w:tcW w:w="2250" w:type="dxa"/>
            <w:tcBorders>
              <w:top w:val="single" w:sz="4" w:space="0" w:color="auto"/>
              <w:left w:val="nil"/>
              <w:bottom w:val="single" w:sz="4" w:space="0" w:color="auto"/>
              <w:right w:val="single" w:sz="4" w:space="0" w:color="auto"/>
            </w:tcBorders>
            <w:shd w:val="clear" w:color="000000" w:fill="FFFFFF"/>
            <w:vAlign w:val="center"/>
            <w:hideMark/>
          </w:tcPr>
          <w:p w14:paraId="18BF8E59" w14:textId="0024C254" w:rsidR="003D7F73" w:rsidRPr="00BA1C8E" w:rsidRDefault="003D7F73" w:rsidP="00BA1C8E">
            <w:pPr>
              <w:pStyle w:val="NoSpacing"/>
              <w:jc w:val="center"/>
              <w:rPr>
                <w:rFonts w:ascii="Times New Roman" w:hAnsi="Times New Roman" w:cs="Times New Roman"/>
                <w:b/>
                <w:bCs/>
                <w:szCs w:val="24"/>
              </w:rPr>
            </w:pPr>
            <w:r w:rsidRPr="00BA1C8E">
              <w:rPr>
                <w:rFonts w:ascii="Times New Roman" w:hAnsi="Times New Roman" w:cs="Times New Roman"/>
                <w:b/>
                <w:bCs/>
                <w:szCs w:val="24"/>
              </w:rPr>
              <w:t>Percentage of all States Tax Revenues to National Income</w:t>
            </w:r>
          </w:p>
        </w:tc>
        <w:tc>
          <w:tcPr>
            <w:tcW w:w="2351" w:type="dxa"/>
            <w:tcBorders>
              <w:top w:val="single" w:sz="4" w:space="0" w:color="auto"/>
              <w:left w:val="nil"/>
              <w:bottom w:val="single" w:sz="4" w:space="0" w:color="auto"/>
              <w:right w:val="single" w:sz="4" w:space="0" w:color="auto"/>
            </w:tcBorders>
            <w:shd w:val="clear" w:color="000000" w:fill="FFFFFF"/>
            <w:vAlign w:val="center"/>
            <w:hideMark/>
          </w:tcPr>
          <w:p w14:paraId="07C4BC49" w14:textId="1D3FC09F" w:rsidR="003D7F73" w:rsidRPr="00BA1C8E" w:rsidRDefault="003D7F73" w:rsidP="00BA1C8E">
            <w:pPr>
              <w:pStyle w:val="NoSpacing"/>
              <w:jc w:val="center"/>
              <w:rPr>
                <w:rFonts w:ascii="Times New Roman" w:hAnsi="Times New Roman" w:cs="Times New Roman"/>
                <w:b/>
                <w:bCs/>
                <w:szCs w:val="24"/>
              </w:rPr>
            </w:pPr>
            <w:r w:rsidRPr="00BA1C8E">
              <w:rPr>
                <w:rFonts w:ascii="Times New Roman" w:hAnsi="Times New Roman" w:cs="Times New Roman"/>
                <w:b/>
                <w:bCs/>
                <w:szCs w:val="24"/>
              </w:rPr>
              <w:t>Percentage increase in Tax Revenues over increase in National Income (b)</w:t>
            </w:r>
          </w:p>
        </w:tc>
      </w:tr>
      <w:tr w:rsidR="003D7F73" w:rsidRPr="00BA1C8E" w14:paraId="426BC968" w14:textId="77777777" w:rsidTr="005A7AAF">
        <w:trPr>
          <w:trHeight w:val="20"/>
          <w:jc w:val="center"/>
        </w:trPr>
        <w:tc>
          <w:tcPr>
            <w:tcW w:w="1207" w:type="dxa"/>
            <w:tcBorders>
              <w:top w:val="nil"/>
              <w:left w:val="single" w:sz="4" w:space="0" w:color="auto"/>
              <w:bottom w:val="single" w:sz="4" w:space="0" w:color="auto"/>
              <w:right w:val="single" w:sz="4" w:space="0" w:color="auto"/>
            </w:tcBorders>
            <w:shd w:val="clear" w:color="000000" w:fill="FFFFFF"/>
            <w:vAlign w:val="center"/>
            <w:hideMark/>
          </w:tcPr>
          <w:p w14:paraId="102807DB" w14:textId="31CD5EC5" w:rsidR="003D7F73" w:rsidRPr="00BA1C8E" w:rsidRDefault="003D7F73" w:rsidP="00BA1C8E">
            <w:pPr>
              <w:pStyle w:val="NoSpacing"/>
              <w:jc w:val="center"/>
              <w:rPr>
                <w:rFonts w:ascii="Times New Roman" w:hAnsi="Times New Roman" w:cs="Times New Roman"/>
                <w:b/>
                <w:bCs/>
                <w:szCs w:val="24"/>
              </w:rPr>
            </w:pPr>
          </w:p>
        </w:tc>
        <w:tc>
          <w:tcPr>
            <w:tcW w:w="2533" w:type="dxa"/>
            <w:tcBorders>
              <w:top w:val="nil"/>
              <w:left w:val="nil"/>
              <w:bottom w:val="single" w:sz="4" w:space="0" w:color="auto"/>
              <w:right w:val="single" w:sz="4" w:space="0" w:color="auto"/>
            </w:tcBorders>
            <w:shd w:val="clear" w:color="000000" w:fill="FFFFFF"/>
            <w:vAlign w:val="center"/>
            <w:hideMark/>
          </w:tcPr>
          <w:p w14:paraId="6AC21FB1" w14:textId="2EB9669C" w:rsidR="003D7F73" w:rsidRPr="00BA1C8E" w:rsidRDefault="003D7F73" w:rsidP="00BA1C8E">
            <w:pPr>
              <w:pStyle w:val="NoSpacing"/>
              <w:jc w:val="center"/>
              <w:rPr>
                <w:rFonts w:ascii="Times New Roman" w:hAnsi="Times New Roman" w:cs="Times New Roman"/>
                <w:b/>
                <w:bCs/>
                <w:szCs w:val="24"/>
              </w:rPr>
            </w:pPr>
            <w:r w:rsidRPr="00BA1C8E">
              <w:rPr>
                <w:rFonts w:ascii="Times New Roman" w:hAnsi="Times New Roman" w:cs="Times New Roman"/>
                <w:b/>
                <w:bCs/>
                <w:szCs w:val="24"/>
              </w:rPr>
              <w:t>Total amount (Rs. crores)</w:t>
            </w:r>
          </w:p>
        </w:tc>
        <w:tc>
          <w:tcPr>
            <w:tcW w:w="2189" w:type="dxa"/>
            <w:tcBorders>
              <w:top w:val="nil"/>
              <w:left w:val="nil"/>
              <w:bottom w:val="single" w:sz="4" w:space="0" w:color="auto"/>
              <w:right w:val="single" w:sz="4" w:space="0" w:color="auto"/>
            </w:tcBorders>
            <w:shd w:val="clear" w:color="000000" w:fill="FFFFFF"/>
            <w:vAlign w:val="center"/>
            <w:hideMark/>
          </w:tcPr>
          <w:p w14:paraId="3446BFEA" w14:textId="19A24D9C" w:rsidR="003D7F73" w:rsidRPr="00BA1C8E" w:rsidRDefault="003D7F73" w:rsidP="00BA1C8E">
            <w:pPr>
              <w:pStyle w:val="NoSpacing"/>
              <w:jc w:val="center"/>
              <w:rPr>
                <w:rFonts w:ascii="Times New Roman" w:hAnsi="Times New Roman" w:cs="Times New Roman"/>
                <w:b/>
                <w:bCs/>
                <w:szCs w:val="24"/>
              </w:rPr>
            </w:pPr>
            <w:r w:rsidRPr="00BA1C8E">
              <w:rPr>
                <w:rFonts w:ascii="Times New Roman" w:hAnsi="Times New Roman" w:cs="Times New Roman"/>
                <w:b/>
                <w:bCs/>
                <w:szCs w:val="24"/>
              </w:rPr>
              <w:t>Increase over the previous period (Percentage)</w:t>
            </w:r>
          </w:p>
        </w:tc>
        <w:tc>
          <w:tcPr>
            <w:tcW w:w="1789" w:type="dxa"/>
            <w:tcBorders>
              <w:top w:val="nil"/>
              <w:left w:val="nil"/>
              <w:bottom w:val="single" w:sz="4" w:space="0" w:color="auto"/>
              <w:right w:val="single" w:sz="4" w:space="0" w:color="auto"/>
            </w:tcBorders>
            <w:shd w:val="clear" w:color="000000" w:fill="FFFFFF"/>
            <w:vAlign w:val="center"/>
            <w:hideMark/>
          </w:tcPr>
          <w:p w14:paraId="193D3C17" w14:textId="02881279" w:rsidR="003D7F73" w:rsidRPr="00BA1C8E" w:rsidRDefault="003D7F73" w:rsidP="00BA1C8E">
            <w:pPr>
              <w:pStyle w:val="NoSpacing"/>
              <w:jc w:val="center"/>
              <w:rPr>
                <w:rFonts w:ascii="Times New Roman" w:hAnsi="Times New Roman" w:cs="Times New Roman"/>
                <w:b/>
                <w:bCs/>
                <w:szCs w:val="24"/>
              </w:rPr>
            </w:pPr>
            <w:r w:rsidRPr="00BA1C8E">
              <w:rPr>
                <w:rFonts w:ascii="Times New Roman" w:hAnsi="Times New Roman" w:cs="Times New Roman"/>
                <w:b/>
                <w:bCs/>
                <w:szCs w:val="24"/>
              </w:rPr>
              <w:t>Total amount(a) (Rs. crores)</w:t>
            </w:r>
          </w:p>
        </w:tc>
        <w:tc>
          <w:tcPr>
            <w:tcW w:w="2172" w:type="dxa"/>
            <w:tcBorders>
              <w:top w:val="nil"/>
              <w:left w:val="nil"/>
              <w:bottom w:val="single" w:sz="4" w:space="0" w:color="auto"/>
              <w:right w:val="single" w:sz="4" w:space="0" w:color="auto"/>
            </w:tcBorders>
            <w:shd w:val="clear" w:color="000000" w:fill="FFFFFF"/>
            <w:vAlign w:val="center"/>
            <w:hideMark/>
          </w:tcPr>
          <w:p w14:paraId="5D370E27" w14:textId="3939534C" w:rsidR="003D7F73" w:rsidRPr="00BA1C8E" w:rsidRDefault="003D7F73" w:rsidP="00BA1C8E">
            <w:pPr>
              <w:pStyle w:val="NoSpacing"/>
              <w:jc w:val="center"/>
              <w:rPr>
                <w:rFonts w:ascii="Times New Roman" w:hAnsi="Times New Roman" w:cs="Times New Roman"/>
                <w:b/>
                <w:bCs/>
                <w:szCs w:val="24"/>
              </w:rPr>
            </w:pPr>
            <w:r w:rsidRPr="00BA1C8E">
              <w:rPr>
                <w:rFonts w:ascii="Times New Roman" w:hAnsi="Times New Roman" w:cs="Times New Roman"/>
                <w:b/>
                <w:bCs/>
                <w:szCs w:val="24"/>
              </w:rPr>
              <w:t>Increase over the previous period (Percentage)</w:t>
            </w:r>
          </w:p>
        </w:tc>
        <w:tc>
          <w:tcPr>
            <w:tcW w:w="2250" w:type="dxa"/>
            <w:tcBorders>
              <w:top w:val="nil"/>
              <w:left w:val="nil"/>
              <w:bottom w:val="single" w:sz="4" w:space="0" w:color="auto"/>
              <w:right w:val="single" w:sz="4" w:space="0" w:color="auto"/>
            </w:tcBorders>
            <w:shd w:val="clear" w:color="000000" w:fill="FFFFFF"/>
            <w:vAlign w:val="center"/>
            <w:hideMark/>
          </w:tcPr>
          <w:p w14:paraId="2426D92B" w14:textId="673D4BF2" w:rsidR="003D7F73" w:rsidRPr="00BA1C8E" w:rsidRDefault="003D7F73" w:rsidP="00BA1C8E">
            <w:pPr>
              <w:pStyle w:val="NoSpacing"/>
              <w:jc w:val="center"/>
              <w:rPr>
                <w:rFonts w:ascii="Times New Roman" w:hAnsi="Times New Roman" w:cs="Times New Roman"/>
                <w:b/>
                <w:bCs/>
                <w:szCs w:val="24"/>
              </w:rPr>
            </w:pPr>
            <w:r w:rsidRPr="00BA1C8E">
              <w:rPr>
                <w:rFonts w:ascii="Times New Roman" w:hAnsi="Times New Roman" w:cs="Times New Roman"/>
                <w:b/>
                <w:bCs/>
                <w:szCs w:val="24"/>
              </w:rPr>
              <w:t>(Percentage)</w:t>
            </w:r>
          </w:p>
        </w:tc>
        <w:tc>
          <w:tcPr>
            <w:tcW w:w="2351" w:type="dxa"/>
            <w:tcBorders>
              <w:top w:val="nil"/>
              <w:left w:val="nil"/>
              <w:bottom w:val="single" w:sz="4" w:space="0" w:color="auto"/>
              <w:right w:val="single" w:sz="4" w:space="0" w:color="auto"/>
            </w:tcBorders>
            <w:shd w:val="clear" w:color="000000" w:fill="FFFFFF"/>
            <w:vAlign w:val="center"/>
            <w:hideMark/>
          </w:tcPr>
          <w:p w14:paraId="016608C9" w14:textId="1F632129" w:rsidR="003D7F73" w:rsidRPr="00BA1C8E" w:rsidRDefault="003D7F73" w:rsidP="00BA1C8E">
            <w:pPr>
              <w:pStyle w:val="NoSpacing"/>
              <w:jc w:val="center"/>
              <w:rPr>
                <w:rFonts w:ascii="Times New Roman" w:hAnsi="Times New Roman" w:cs="Times New Roman"/>
                <w:b/>
                <w:bCs/>
                <w:szCs w:val="24"/>
              </w:rPr>
            </w:pPr>
            <w:r w:rsidRPr="00BA1C8E">
              <w:rPr>
                <w:rFonts w:ascii="Times New Roman" w:hAnsi="Times New Roman" w:cs="Times New Roman"/>
                <w:b/>
                <w:bCs/>
                <w:szCs w:val="24"/>
              </w:rPr>
              <w:t>(</w:t>
            </w:r>
            <w:r w:rsidR="002C6539" w:rsidRPr="00BA1C8E">
              <w:rPr>
                <w:rFonts w:ascii="Times New Roman" w:hAnsi="Times New Roman" w:cs="Times New Roman"/>
                <w:b/>
                <w:bCs/>
                <w:szCs w:val="24"/>
              </w:rPr>
              <w:t>Percentage</w:t>
            </w:r>
            <w:r w:rsidRPr="00BA1C8E">
              <w:rPr>
                <w:rFonts w:ascii="Times New Roman" w:hAnsi="Times New Roman" w:cs="Times New Roman"/>
                <w:b/>
                <w:bCs/>
                <w:szCs w:val="24"/>
              </w:rPr>
              <w:t>)</w:t>
            </w:r>
          </w:p>
        </w:tc>
      </w:tr>
      <w:tr w:rsidR="003D7F73" w:rsidRPr="00BA1C8E" w14:paraId="4FEAAFB2" w14:textId="77777777" w:rsidTr="005A7AAF">
        <w:trPr>
          <w:trHeight w:val="20"/>
          <w:jc w:val="center"/>
        </w:trPr>
        <w:tc>
          <w:tcPr>
            <w:tcW w:w="1207" w:type="dxa"/>
            <w:tcBorders>
              <w:top w:val="nil"/>
              <w:left w:val="single" w:sz="4" w:space="0" w:color="auto"/>
              <w:bottom w:val="single" w:sz="4" w:space="0" w:color="auto"/>
              <w:right w:val="single" w:sz="4" w:space="0" w:color="auto"/>
            </w:tcBorders>
            <w:shd w:val="clear" w:color="000000" w:fill="FFFFFF"/>
            <w:vAlign w:val="center"/>
            <w:hideMark/>
          </w:tcPr>
          <w:p w14:paraId="3C1A7213" w14:textId="77777777" w:rsidR="003D7F73" w:rsidRPr="00BA1C8E" w:rsidRDefault="003D7F73" w:rsidP="00B77C0B">
            <w:pPr>
              <w:pStyle w:val="NoSpacing"/>
              <w:rPr>
                <w:rFonts w:ascii="Times New Roman" w:hAnsi="Times New Roman" w:cs="Times New Roman"/>
                <w:szCs w:val="24"/>
              </w:rPr>
            </w:pPr>
            <w:r w:rsidRPr="00BA1C8E">
              <w:rPr>
                <w:rFonts w:ascii="Times New Roman" w:hAnsi="Times New Roman" w:cs="Times New Roman"/>
                <w:szCs w:val="24"/>
              </w:rPr>
              <w:t>1</w:t>
            </w:r>
          </w:p>
        </w:tc>
        <w:tc>
          <w:tcPr>
            <w:tcW w:w="2533" w:type="dxa"/>
            <w:tcBorders>
              <w:top w:val="nil"/>
              <w:left w:val="nil"/>
              <w:bottom w:val="single" w:sz="4" w:space="0" w:color="auto"/>
              <w:right w:val="single" w:sz="4" w:space="0" w:color="auto"/>
            </w:tcBorders>
            <w:shd w:val="clear" w:color="000000" w:fill="FFFFFF"/>
            <w:vAlign w:val="center"/>
            <w:hideMark/>
          </w:tcPr>
          <w:p w14:paraId="5D97194B" w14:textId="77777777" w:rsidR="003D7F73" w:rsidRPr="00BA1C8E" w:rsidRDefault="003D7F73" w:rsidP="00BA1C8E">
            <w:pPr>
              <w:pStyle w:val="NoSpacing"/>
              <w:jc w:val="center"/>
              <w:rPr>
                <w:rFonts w:ascii="Times New Roman" w:hAnsi="Times New Roman" w:cs="Times New Roman"/>
                <w:szCs w:val="24"/>
              </w:rPr>
            </w:pPr>
            <w:r w:rsidRPr="00BA1C8E">
              <w:rPr>
                <w:rFonts w:ascii="Times New Roman" w:hAnsi="Times New Roman" w:cs="Times New Roman"/>
                <w:szCs w:val="24"/>
              </w:rPr>
              <w:t>2</w:t>
            </w:r>
          </w:p>
        </w:tc>
        <w:tc>
          <w:tcPr>
            <w:tcW w:w="2189" w:type="dxa"/>
            <w:tcBorders>
              <w:top w:val="nil"/>
              <w:left w:val="nil"/>
              <w:bottom w:val="single" w:sz="4" w:space="0" w:color="auto"/>
              <w:right w:val="single" w:sz="4" w:space="0" w:color="auto"/>
            </w:tcBorders>
            <w:shd w:val="clear" w:color="000000" w:fill="FFFFFF"/>
            <w:vAlign w:val="center"/>
            <w:hideMark/>
          </w:tcPr>
          <w:p w14:paraId="08B23CA6" w14:textId="77777777" w:rsidR="003D7F73" w:rsidRPr="00BA1C8E" w:rsidRDefault="003D7F73" w:rsidP="00BA1C8E">
            <w:pPr>
              <w:pStyle w:val="NoSpacing"/>
              <w:jc w:val="center"/>
              <w:rPr>
                <w:rFonts w:ascii="Times New Roman" w:hAnsi="Times New Roman" w:cs="Times New Roman"/>
                <w:szCs w:val="24"/>
              </w:rPr>
            </w:pPr>
            <w:r w:rsidRPr="00BA1C8E">
              <w:rPr>
                <w:rFonts w:ascii="Times New Roman" w:hAnsi="Times New Roman" w:cs="Times New Roman"/>
                <w:szCs w:val="24"/>
              </w:rPr>
              <w:t>3</w:t>
            </w:r>
          </w:p>
        </w:tc>
        <w:tc>
          <w:tcPr>
            <w:tcW w:w="1789" w:type="dxa"/>
            <w:tcBorders>
              <w:top w:val="nil"/>
              <w:left w:val="nil"/>
              <w:bottom w:val="single" w:sz="4" w:space="0" w:color="auto"/>
              <w:right w:val="single" w:sz="4" w:space="0" w:color="auto"/>
            </w:tcBorders>
            <w:shd w:val="clear" w:color="000000" w:fill="FFFFFF"/>
            <w:vAlign w:val="center"/>
            <w:hideMark/>
          </w:tcPr>
          <w:p w14:paraId="38CD5D15" w14:textId="77777777" w:rsidR="003D7F73" w:rsidRPr="00BA1C8E" w:rsidRDefault="003D7F73" w:rsidP="00BA1C8E">
            <w:pPr>
              <w:pStyle w:val="NoSpacing"/>
              <w:jc w:val="center"/>
              <w:rPr>
                <w:rFonts w:ascii="Times New Roman" w:hAnsi="Times New Roman" w:cs="Times New Roman"/>
                <w:szCs w:val="24"/>
              </w:rPr>
            </w:pPr>
            <w:r w:rsidRPr="00BA1C8E">
              <w:rPr>
                <w:rFonts w:ascii="Times New Roman" w:hAnsi="Times New Roman" w:cs="Times New Roman"/>
                <w:szCs w:val="24"/>
              </w:rPr>
              <w:t>4</w:t>
            </w:r>
          </w:p>
        </w:tc>
        <w:tc>
          <w:tcPr>
            <w:tcW w:w="2172" w:type="dxa"/>
            <w:tcBorders>
              <w:top w:val="nil"/>
              <w:left w:val="nil"/>
              <w:bottom w:val="single" w:sz="4" w:space="0" w:color="auto"/>
              <w:right w:val="single" w:sz="4" w:space="0" w:color="auto"/>
            </w:tcBorders>
            <w:shd w:val="clear" w:color="000000" w:fill="FFFFFF"/>
            <w:vAlign w:val="center"/>
            <w:hideMark/>
          </w:tcPr>
          <w:p w14:paraId="3978D1FC" w14:textId="77777777" w:rsidR="003D7F73" w:rsidRPr="00BA1C8E" w:rsidRDefault="003D7F73" w:rsidP="00BA1C8E">
            <w:pPr>
              <w:pStyle w:val="NoSpacing"/>
              <w:jc w:val="center"/>
              <w:rPr>
                <w:rFonts w:ascii="Times New Roman" w:hAnsi="Times New Roman" w:cs="Times New Roman"/>
                <w:szCs w:val="24"/>
              </w:rPr>
            </w:pPr>
            <w:r w:rsidRPr="00BA1C8E">
              <w:rPr>
                <w:rFonts w:ascii="Times New Roman" w:hAnsi="Times New Roman" w:cs="Times New Roman"/>
                <w:szCs w:val="24"/>
              </w:rPr>
              <w:t>5</w:t>
            </w:r>
          </w:p>
        </w:tc>
        <w:tc>
          <w:tcPr>
            <w:tcW w:w="2250" w:type="dxa"/>
            <w:tcBorders>
              <w:top w:val="nil"/>
              <w:left w:val="nil"/>
              <w:bottom w:val="single" w:sz="4" w:space="0" w:color="auto"/>
              <w:right w:val="single" w:sz="4" w:space="0" w:color="auto"/>
            </w:tcBorders>
            <w:shd w:val="clear" w:color="000000" w:fill="FFFFFF"/>
            <w:vAlign w:val="center"/>
            <w:hideMark/>
          </w:tcPr>
          <w:p w14:paraId="6B1C84D7" w14:textId="77777777" w:rsidR="003D7F73" w:rsidRPr="00BA1C8E" w:rsidRDefault="003D7F73" w:rsidP="00BA1C8E">
            <w:pPr>
              <w:pStyle w:val="NoSpacing"/>
              <w:jc w:val="center"/>
              <w:rPr>
                <w:rFonts w:ascii="Times New Roman" w:hAnsi="Times New Roman" w:cs="Times New Roman"/>
                <w:szCs w:val="24"/>
              </w:rPr>
            </w:pPr>
            <w:r w:rsidRPr="00BA1C8E">
              <w:rPr>
                <w:rFonts w:ascii="Times New Roman" w:hAnsi="Times New Roman" w:cs="Times New Roman"/>
                <w:szCs w:val="24"/>
              </w:rPr>
              <w:t>6</w:t>
            </w:r>
          </w:p>
        </w:tc>
        <w:tc>
          <w:tcPr>
            <w:tcW w:w="2351" w:type="dxa"/>
            <w:tcBorders>
              <w:top w:val="nil"/>
              <w:left w:val="nil"/>
              <w:bottom w:val="single" w:sz="4" w:space="0" w:color="auto"/>
              <w:right w:val="single" w:sz="4" w:space="0" w:color="auto"/>
            </w:tcBorders>
            <w:shd w:val="clear" w:color="000000" w:fill="FFFFFF"/>
            <w:vAlign w:val="center"/>
            <w:hideMark/>
          </w:tcPr>
          <w:p w14:paraId="40211335" w14:textId="77777777" w:rsidR="003D7F73" w:rsidRPr="00BA1C8E" w:rsidRDefault="003D7F73" w:rsidP="00BA1C8E">
            <w:pPr>
              <w:pStyle w:val="NoSpacing"/>
              <w:jc w:val="center"/>
              <w:rPr>
                <w:rFonts w:ascii="Times New Roman" w:hAnsi="Times New Roman" w:cs="Times New Roman"/>
                <w:szCs w:val="24"/>
              </w:rPr>
            </w:pPr>
            <w:r w:rsidRPr="00BA1C8E">
              <w:rPr>
                <w:rFonts w:ascii="Times New Roman" w:hAnsi="Times New Roman" w:cs="Times New Roman"/>
                <w:szCs w:val="24"/>
              </w:rPr>
              <w:t>7</w:t>
            </w:r>
          </w:p>
        </w:tc>
      </w:tr>
      <w:tr w:rsidR="003D7F73" w:rsidRPr="00BA1C8E" w14:paraId="460A8EF8" w14:textId="77777777" w:rsidTr="005A7AAF">
        <w:trPr>
          <w:trHeight w:val="20"/>
          <w:jc w:val="center"/>
        </w:trPr>
        <w:tc>
          <w:tcPr>
            <w:tcW w:w="1207" w:type="dxa"/>
            <w:tcBorders>
              <w:top w:val="nil"/>
              <w:left w:val="single" w:sz="4" w:space="0" w:color="auto"/>
              <w:bottom w:val="single" w:sz="4" w:space="0" w:color="auto"/>
              <w:right w:val="single" w:sz="4" w:space="0" w:color="auto"/>
            </w:tcBorders>
            <w:shd w:val="clear" w:color="000000" w:fill="FFFFFF"/>
            <w:vAlign w:val="center"/>
            <w:hideMark/>
          </w:tcPr>
          <w:p w14:paraId="79631887" w14:textId="77777777" w:rsidR="003D7F73" w:rsidRPr="00BA1C8E" w:rsidRDefault="003D7F73" w:rsidP="00B77C0B">
            <w:pPr>
              <w:pStyle w:val="NoSpacing"/>
              <w:rPr>
                <w:rFonts w:ascii="Times New Roman" w:hAnsi="Times New Roman" w:cs="Times New Roman"/>
                <w:szCs w:val="24"/>
              </w:rPr>
            </w:pPr>
            <w:r w:rsidRPr="00BA1C8E">
              <w:rPr>
                <w:rFonts w:ascii="Times New Roman" w:hAnsi="Times New Roman" w:cs="Times New Roman"/>
                <w:szCs w:val="24"/>
              </w:rPr>
              <w:t>1950-51</w:t>
            </w:r>
          </w:p>
        </w:tc>
        <w:tc>
          <w:tcPr>
            <w:tcW w:w="2533" w:type="dxa"/>
            <w:tcBorders>
              <w:top w:val="nil"/>
              <w:left w:val="nil"/>
              <w:bottom w:val="single" w:sz="4" w:space="0" w:color="auto"/>
              <w:right w:val="single" w:sz="4" w:space="0" w:color="auto"/>
            </w:tcBorders>
            <w:shd w:val="clear" w:color="000000" w:fill="FFFFFF"/>
            <w:vAlign w:val="center"/>
            <w:hideMark/>
          </w:tcPr>
          <w:p w14:paraId="69B0DD37" w14:textId="77777777" w:rsidR="003D7F73" w:rsidRPr="00BA1C8E" w:rsidRDefault="003D7F73" w:rsidP="00BA1C8E">
            <w:pPr>
              <w:pStyle w:val="NoSpacing"/>
              <w:jc w:val="center"/>
              <w:rPr>
                <w:rFonts w:ascii="Times New Roman" w:hAnsi="Times New Roman" w:cs="Times New Roman"/>
                <w:szCs w:val="24"/>
              </w:rPr>
            </w:pPr>
            <w:r w:rsidRPr="00BA1C8E">
              <w:rPr>
                <w:rFonts w:ascii="Times New Roman" w:hAnsi="Times New Roman" w:cs="Times New Roman"/>
                <w:szCs w:val="24"/>
              </w:rPr>
              <w:t>9530</w:t>
            </w:r>
          </w:p>
        </w:tc>
        <w:tc>
          <w:tcPr>
            <w:tcW w:w="2189" w:type="dxa"/>
            <w:tcBorders>
              <w:top w:val="nil"/>
              <w:left w:val="nil"/>
              <w:bottom w:val="single" w:sz="4" w:space="0" w:color="auto"/>
              <w:right w:val="single" w:sz="4" w:space="0" w:color="auto"/>
            </w:tcBorders>
            <w:shd w:val="clear" w:color="000000" w:fill="FFFFFF"/>
            <w:vAlign w:val="center"/>
            <w:hideMark/>
          </w:tcPr>
          <w:p w14:paraId="41236FA8" w14:textId="77777777" w:rsidR="003D7F73" w:rsidRPr="00BA1C8E" w:rsidRDefault="003D7F73" w:rsidP="00BA1C8E">
            <w:pPr>
              <w:pStyle w:val="NoSpacing"/>
              <w:jc w:val="center"/>
              <w:rPr>
                <w:rFonts w:ascii="Times New Roman" w:hAnsi="Times New Roman" w:cs="Times New Roman"/>
                <w:szCs w:val="24"/>
              </w:rPr>
            </w:pPr>
            <w:r w:rsidRPr="00BA1C8E">
              <w:rPr>
                <w:rFonts w:ascii="Times New Roman" w:hAnsi="Times New Roman" w:cs="Times New Roman"/>
                <w:szCs w:val="24"/>
              </w:rPr>
              <w:t>..</w:t>
            </w:r>
          </w:p>
        </w:tc>
        <w:tc>
          <w:tcPr>
            <w:tcW w:w="1789" w:type="dxa"/>
            <w:tcBorders>
              <w:top w:val="nil"/>
              <w:left w:val="nil"/>
              <w:bottom w:val="single" w:sz="4" w:space="0" w:color="auto"/>
              <w:right w:val="single" w:sz="4" w:space="0" w:color="auto"/>
            </w:tcBorders>
            <w:shd w:val="clear" w:color="000000" w:fill="FFFFFF"/>
            <w:vAlign w:val="center"/>
            <w:hideMark/>
          </w:tcPr>
          <w:p w14:paraId="077F505C" w14:textId="77777777" w:rsidR="003D7F73" w:rsidRPr="00BA1C8E" w:rsidRDefault="003D7F73" w:rsidP="00BA1C8E">
            <w:pPr>
              <w:pStyle w:val="NoSpacing"/>
              <w:jc w:val="center"/>
              <w:rPr>
                <w:rFonts w:ascii="Times New Roman" w:hAnsi="Times New Roman" w:cs="Times New Roman"/>
                <w:szCs w:val="24"/>
              </w:rPr>
            </w:pPr>
            <w:r w:rsidRPr="00BA1C8E">
              <w:rPr>
                <w:rFonts w:ascii="Times New Roman" w:hAnsi="Times New Roman" w:cs="Times New Roman"/>
                <w:szCs w:val="24"/>
              </w:rPr>
              <w:t>215.21</w:t>
            </w:r>
          </w:p>
        </w:tc>
        <w:tc>
          <w:tcPr>
            <w:tcW w:w="2172" w:type="dxa"/>
            <w:tcBorders>
              <w:top w:val="nil"/>
              <w:left w:val="nil"/>
              <w:bottom w:val="single" w:sz="4" w:space="0" w:color="auto"/>
              <w:right w:val="single" w:sz="4" w:space="0" w:color="auto"/>
            </w:tcBorders>
            <w:shd w:val="clear" w:color="000000" w:fill="FFFFFF"/>
            <w:vAlign w:val="center"/>
            <w:hideMark/>
          </w:tcPr>
          <w:p w14:paraId="3A3A821C" w14:textId="77777777" w:rsidR="003D7F73" w:rsidRPr="00BA1C8E" w:rsidRDefault="003D7F73" w:rsidP="00BA1C8E">
            <w:pPr>
              <w:pStyle w:val="NoSpacing"/>
              <w:jc w:val="center"/>
              <w:rPr>
                <w:rFonts w:ascii="Times New Roman" w:hAnsi="Times New Roman" w:cs="Times New Roman"/>
                <w:szCs w:val="24"/>
              </w:rPr>
            </w:pPr>
            <w:r w:rsidRPr="00BA1C8E">
              <w:rPr>
                <w:rFonts w:ascii="Times New Roman" w:hAnsi="Times New Roman" w:cs="Times New Roman"/>
                <w:szCs w:val="24"/>
              </w:rPr>
              <w:t>..</w:t>
            </w:r>
          </w:p>
        </w:tc>
        <w:tc>
          <w:tcPr>
            <w:tcW w:w="2250" w:type="dxa"/>
            <w:tcBorders>
              <w:top w:val="nil"/>
              <w:left w:val="nil"/>
              <w:bottom w:val="single" w:sz="4" w:space="0" w:color="auto"/>
              <w:right w:val="single" w:sz="4" w:space="0" w:color="auto"/>
            </w:tcBorders>
            <w:shd w:val="clear" w:color="000000" w:fill="FFFFFF"/>
            <w:vAlign w:val="center"/>
            <w:hideMark/>
          </w:tcPr>
          <w:p w14:paraId="719E37D9" w14:textId="77777777" w:rsidR="003D7F73" w:rsidRPr="00BA1C8E" w:rsidRDefault="003D7F73" w:rsidP="00BA1C8E">
            <w:pPr>
              <w:pStyle w:val="NoSpacing"/>
              <w:jc w:val="center"/>
              <w:rPr>
                <w:rFonts w:ascii="Times New Roman" w:hAnsi="Times New Roman" w:cs="Times New Roman"/>
                <w:szCs w:val="24"/>
              </w:rPr>
            </w:pPr>
            <w:r w:rsidRPr="00BA1C8E">
              <w:rPr>
                <w:rFonts w:ascii="Times New Roman" w:hAnsi="Times New Roman" w:cs="Times New Roman"/>
                <w:szCs w:val="24"/>
              </w:rPr>
              <w:t>2.25</w:t>
            </w:r>
          </w:p>
        </w:tc>
        <w:tc>
          <w:tcPr>
            <w:tcW w:w="2351" w:type="dxa"/>
            <w:tcBorders>
              <w:top w:val="nil"/>
              <w:left w:val="nil"/>
              <w:bottom w:val="single" w:sz="4" w:space="0" w:color="auto"/>
              <w:right w:val="single" w:sz="4" w:space="0" w:color="auto"/>
            </w:tcBorders>
            <w:shd w:val="clear" w:color="000000" w:fill="FFFFFF"/>
            <w:vAlign w:val="center"/>
            <w:hideMark/>
          </w:tcPr>
          <w:p w14:paraId="5DD16B34" w14:textId="77777777" w:rsidR="003D7F73" w:rsidRPr="00BA1C8E" w:rsidRDefault="003D7F73" w:rsidP="00BA1C8E">
            <w:pPr>
              <w:pStyle w:val="NoSpacing"/>
              <w:jc w:val="center"/>
              <w:rPr>
                <w:rFonts w:ascii="Times New Roman" w:hAnsi="Times New Roman" w:cs="Times New Roman"/>
                <w:szCs w:val="24"/>
              </w:rPr>
            </w:pPr>
            <w:r w:rsidRPr="00BA1C8E">
              <w:rPr>
                <w:rFonts w:ascii="Times New Roman" w:hAnsi="Times New Roman" w:cs="Times New Roman"/>
                <w:szCs w:val="24"/>
              </w:rPr>
              <w:t>..</w:t>
            </w:r>
          </w:p>
        </w:tc>
      </w:tr>
      <w:tr w:rsidR="003D7F73" w:rsidRPr="00BA1C8E" w14:paraId="113F0AB5" w14:textId="77777777" w:rsidTr="005A7AAF">
        <w:trPr>
          <w:trHeight w:val="20"/>
          <w:jc w:val="center"/>
        </w:trPr>
        <w:tc>
          <w:tcPr>
            <w:tcW w:w="1207" w:type="dxa"/>
            <w:tcBorders>
              <w:top w:val="nil"/>
              <w:left w:val="single" w:sz="4" w:space="0" w:color="auto"/>
              <w:bottom w:val="single" w:sz="4" w:space="0" w:color="auto"/>
              <w:right w:val="single" w:sz="4" w:space="0" w:color="auto"/>
            </w:tcBorders>
            <w:shd w:val="clear" w:color="000000" w:fill="FFFFFF"/>
            <w:vAlign w:val="center"/>
            <w:hideMark/>
          </w:tcPr>
          <w:p w14:paraId="1E1B9B35" w14:textId="77777777" w:rsidR="003D7F73" w:rsidRPr="00BA1C8E" w:rsidRDefault="003D7F73" w:rsidP="00B77C0B">
            <w:pPr>
              <w:pStyle w:val="NoSpacing"/>
              <w:rPr>
                <w:rFonts w:ascii="Times New Roman" w:hAnsi="Times New Roman" w:cs="Times New Roman"/>
                <w:szCs w:val="24"/>
              </w:rPr>
            </w:pPr>
            <w:r w:rsidRPr="00BA1C8E">
              <w:rPr>
                <w:rFonts w:ascii="Times New Roman" w:hAnsi="Times New Roman" w:cs="Times New Roman"/>
                <w:szCs w:val="24"/>
              </w:rPr>
              <w:t>1955-56</w:t>
            </w:r>
          </w:p>
        </w:tc>
        <w:tc>
          <w:tcPr>
            <w:tcW w:w="2533" w:type="dxa"/>
            <w:tcBorders>
              <w:top w:val="nil"/>
              <w:left w:val="nil"/>
              <w:bottom w:val="single" w:sz="4" w:space="0" w:color="auto"/>
              <w:right w:val="single" w:sz="4" w:space="0" w:color="auto"/>
            </w:tcBorders>
            <w:shd w:val="clear" w:color="000000" w:fill="FFFFFF"/>
            <w:vAlign w:val="center"/>
            <w:hideMark/>
          </w:tcPr>
          <w:p w14:paraId="241E154D" w14:textId="77777777" w:rsidR="003D7F73" w:rsidRPr="00BA1C8E" w:rsidRDefault="003D7F73" w:rsidP="00BA1C8E">
            <w:pPr>
              <w:pStyle w:val="NoSpacing"/>
              <w:jc w:val="center"/>
              <w:rPr>
                <w:rFonts w:ascii="Times New Roman" w:hAnsi="Times New Roman" w:cs="Times New Roman"/>
                <w:szCs w:val="24"/>
              </w:rPr>
            </w:pPr>
            <w:r w:rsidRPr="00BA1C8E">
              <w:rPr>
                <w:rFonts w:ascii="Times New Roman" w:hAnsi="Times New Roman" w:cs="Times New Roman"/>
                <w:szCs w:val="24"/>
              </w:rPr>
              <w:t>9980</w:t>
            </w:r>
          </w:p>
        </w:tc>
        <w:tc>
          <w:tcPr>
            <w:tcW w:w="2189" w:type="dxa"/>
            <w:tcBorders>
              <w:top w:val="nil"/>
              <w:left w:val="nil"/>
              <w:bottom w:val="single" w:sz="4" w:space="0" w:color="auto"/>
              <w:right w:val="single" w:sz="4" w:space="0" w:color="auto"/>
            </w:tcBorders>
            <w:shd w:val="clear" w:color="000000" w:fill="FFFFFF"/>
            <w:vAlign w:val="center"/>
            <w:hideMark/>
          </w:tcPr>
          <w:p w14:paraId="3123E4AB" w14:textId="77777777" w:rsidR="003D7F73" w:rsidRPr="00BA1C8E" w:rsidRDefault="003D7F73" w:rsidP="00BA1C8E">
            <w:pPr>
              <w:pStyle w:val="NoSpacing"/>
              <w:jc w:val="center"/>
              <w:rPr>
                <w:rFonts w:ascii="Times New Roman" w:hAnsi="Times New Roman" w:cs="Times New Roman"/>
                <w:szCs w:val="24"/>
              </w:rPr>
            </w:pPr>
            <w:r w:rsidRPr="00BA1C8E">
              <w:rPr>
                <w:rFonts w:ascii="Times New Roman" w:hAnsi="Times New Roman" w:cs="Times New Roman"/>
                <w:szCs w:val="24"/>
              </w:rPr>
              <w:t>4.72</w:t>
            </w:r>
          </w:p>
        </w:tc>
        <w:tc>
          <w:tcPr>
            <w:tcW w:w="1789" w:type="dxa"/>
            <w:tcBorders>
              <w:top w:val="nil"/>
              <w:left w:val="nil"/>
              <w:bottom w:val="single" w:sz="4" w:space="0" w:color="auto"/>
              <w:right w:val="single" w:sz="4" w:space="0" w:color="auto"/>
            </w:tcBorders>
            <w:shd w:val="clear" w:color="000000" w:fill="FFFFFF"/>
            <w:vAlign w:val="center"/>
            <w:hideMark/>
          </w:tcPr>
          <w:p w14:paraId="490848B7" w14:textId="77777777" w:rsidR="003D7F73" w:rsidRPr="00BA1C8E" w:rsidRDefault="003D7F73" w:rsidP="00BA1C8E">
            <w:pPr>
              <w:pStyle w:val="NoSpacing"/>
              <w:jc w:val="center"/>
              <w:rPr>
                <w:rFonts w:ascii="Times New Roman" w:hAnsi="Times New Roman" w:cs="Times New Roman"/>
                <w:szCs w:val="24"/>
              </w:rPr>
            </w:pPr>
            <w:r w:rsidRPr="00BA1C8E">
              <w:rPr>
                <w:rFonts w:ascii="Times New Roman" w:hAnsi="Times New Roman" w:cs="Times New Roman"/>
                <w:szCs w:val="24"/>
              </w:rPr>
              <w:t>277.85</w:t>
            </w:r>
          </w:p>
        </w:tc>
        <w:tc>
          <w:tcPr>
            <w:tcW w:w="2172" w:type="dxa"/>
            <w:tcBorders>
              <w:top w:val="nil"/>
              <w:left w:val="nil"/>
              <w:bottom w:val="single" w:sz="4" w:space="0" w:color="auto"/>
              <w:right w:val="single" w:sz="4" w:space="0" w:color="auto"/>
            </w:tcBorders>
            <w:shd w:val="clear" w:color="000000" w:fill="FFFFFF"/>
            <w:vAlign w:val="center"/>
            <w:hideMark/>
          </w:tcPr>
          <w:p w14:paraId="5DDA7117" w14:textId="77777777" w:rsidR="003D7F73" w:rsidRPr="00BA1C8E" w:rsidRDefault="003D7F73" w:rsidP="00BA1C8E">
            <w:pPr>
              <w:pStyle w:val="NoSpacing"/>
              <w:jc w:val="center"/>
              <w:rPr>
                <w:rFonts w:ascii="Times New Roman" w:hAnsi="Times New Roman" w:cs="Times New Roman"/>
                <w:szCs w:val="24"/>
              </w:rPr>
            </w:pPr>
            <w:r w:rsidRPr="00BA1C8E">
              <w:rPr>
                <w:rFonts w:ascii="Times New Roman" w:hAnsi="Times New Roman" w:cs="Times New Roman"/>
                <w:szCs w:val="24"/>
              </w:rPr>
              <w:t>29.11</w:t>
            </w:r>
          </w:p>
        </w:tc>
        <w:tc>
          <w:tcPr>
            <w:tcW w:w="2250" w:type="dxa"/>
            <w:tcBorders>
              <w:top w:val="nil"/>
              <w:left w:val="nil"/>
              <w:bottom w:val="single" w:sz="4" w:space="0" w:color="auto"/>
              <w:right w:val="single" w:sz="4" w:space="0" w:color="auto"/>
            </w:tcBorders>
            <w:shd w:val="clear" w:color="000000" w:fill="FFFFFF"/>
            <w:vAlign w:val="center"/>
            <w:hideMark/>
          </w:tcPr>
          <w:p w14:paraId="20316CAE" w14:textId="77777777" w:rsidR="003D7F73" w:rsidRPr="00BA1C8E" w:rsidRDefault="003D7F73" w:rsidP="00BA1C8E">
            <w:pPr>
              <w:pStyle w:val="NoSpacing"/>
              <w:jc w:val="center"/>
              <w:rPr>
                <w:rFonts w:ascii="Times New Roman" w:hAnsi="Times New Roman" w:cs="Times New Roman"/>
                <w:szCs w:val="24"/>
              </w:rPr>
            </w:pPr>
            <w:r w:rsidRPr="00BA1C8E">
              <w:rPr>
                <w:rFonts w:ascii="Times New Roman" w:hAnsi="Times New Roman" w:cs="Times New Roman"/>
                <w:szCs w:val="24"/>
              </w:rPr>
              <w:t>2.78</w:t>
            </w:r>
          </w:p>
        </w:tc>
        <w:tc>
          <w:tcPr>
            <w:tcW w:w="2351" w:type="dxa"/>
            <w:tcBorders>
              <w:top w:val="nil"/>
              <w:left w:val="nil"/>
              <w:bottom w:val="single" w:sz="4" w:space="0" w:color="auto"/>
              <w:right w:val="single" w:sz="4" w:space="0" w:color="auto"/>
            </w:tcBorders>
            <w:shd w:val="clear" w:color="000000" w:fill="FFFFFF"/>
            <w:vAlign w:val="center"/>
            <w:hideMark/>
          </w:tcPr>
          <w:p w14:paraId="23230337" w14:textId="77777777" w:rsidR="003D7F73" w:rsidRPr="00BA1C8E" w:rsidRDefault="003D7F73" w:rsidP="00BA1C8E">
            <w:pPr>
              <w:pStyle w:val="NoSpacing"/>
              <w:jc w:val="center"/>
              <w:rPr>
                <w:rFonts w:ascii="Times New Roman" w:hAnsi="Times New Roman" w:cs="Times New Roman"/>
                <w:szCs w:val="24"/>
              </w:rPr>
            </w:pPr>
            <w:r w:rsidRPr="00BA1C8E">
              <w:rPr>
                <w:rFonts w:ascii="Times New Roman" w:hAnsi="Times New Roman" w:cs="Times New Roman"/>
                <w:szCs w:val="24"/>
              </w:rPr>
              <w:t>13.9</w:t>
            </w:r>
          </w:p>
        </w:tc>
      </w:tr>
      <w:tr w:rsidR="003D7F73" w:rsidRPr="00BA1C8E" w14:paraId="79A36AAD" w14:textId="77777777" w:rsidTr="005A7AAF">
        <w:trPr>
          <w:trHeight w:val="20"/>
          <w:jc w:val="center"/>
        </w:trPr>
        <w:tc>
          <w:tcPr>
            <w:tcW w:w="1207" w:type="dxa"/>
            <w:tcBorders>
              <w:top w:val="nil"/>
              <w:left w:val="single" w:sz="4" w:space="0" w:color="auto"/>
              <w:bottom w:val="single" w:sz="4" w:space="0" w:color="auto"/>
              <w:right w:val="single" w:sz="4" w:space="0" w:color="auto"/>
            </w:tcBorders>
            <w:shd w:val="clear" w:color="000000" w:fill="FFFFFF"/>
            <w:vAlign w:val="center"/>
            <w:hideMark/>
          </w:tcPr>
          <w:p w14:paraId="3A8A7E4C" w14:textId="77777777" w:rsidR="003D7F73" w:rsidRPr="00BA1C8E" w:rsidRDefault="003D7F73" w:rsidP="00B77C0B">
            <w:pPr>
              <w:pStyle w:val="NoSpacing"/>
              <w:rPr>
                <w:rFonts w:ascii="Times New Roman" w:hAnsi="Times New Roman" w:cs="Times New Roman"/>
                <w:szCs w:val="24"/>
              </w:rPr>
            </w:pPr>
            <w:r w:rsidRPr="00BA1C8E">
              <w:rPr>
                <w:rFonts w:ascii="Times New Roman" w:hAnsi="Times New Roman" w:cs="Times New Roman"/>
                <w:szCs w:val="24"/>
              </w:rPr>
              <w:t>1960-61</w:t>
            </w:r>
          </w:p>
        </w:tc>
        <w:tc>
          <w:tcPr>
            <w:tcW w:w="2533" w:type="dxa"/>
            <w:tcBorders>
              <w:top w:val="nil"/>
              <w:left w:val="nil"/>
              <w:bottom w:val="single" w:sz="4" w:space="0" w:color="auto"/>
              <w:right w:val="single" w:sz="4" w:space="0" w:color="auto"/>
            </w:tcBorders>
            <w:shd w:val="clear" w:color="000000" w:fill="FFFFFF"/>
            <w:vAlign w:val="center"/>
            <w:hideMark/>
          </w:tcPr>
          <w:p w14:paraId="6E1BFA74" w14:textId="23526CE3" w:rsidR="003D7F73" w:rsidRPr="00BA1C8E" w:rsidRDefault="003D7F73" w:rsidP="00BA1C8E">
            <w:pPr>
              <w:pStyle w:val="NoSpacing"/>
              <w:jc w:val="center"/>
              <w:rPr>
                <w:rFonts w:ascii="Times New Roman" w:hAnsi="Times New Roman" w:cs="Times New Roman"/>
                <w:szCs w:val="24"/>
              </w:rPr>
            </w:pPr>
            <w:r w:rsidRPr="00BA1C8E">
              <w:rPr>
                <w:rFonts w:ascii="Times New Roman" w:hAnsi="Times New Roman" w:cs="Times New Roman"/>
                <w:szCs w:val="24"/>
              </w:rPr>
              <w:t>14140</w:t>
            </w:r>
            <w:r w:rsidR="005A7AAF">
              <w:rPr>
                <w:rFonts w:ascii="Times New Roman" w:hAnsi="Times New Roman" w:cs="Times New Roman"/>
                <w:szCs w:val="24"/>
              </w:rPr>
              <w:t xml:space="preserve"> </w:t>
            </w:r>
            <w:r w:rsidRPr="00BA1C8E">
              <w:rPr>
                <w:rFonts w:ascii="Times New Roman" w:hAnsi="Times New Roman" w:cs="Times New Roman"/>
                <w:szCs w:val="24"/>
              </w:rPr>
              <w:t>(13274)</w:t>
            </w:r>
          </w:p>
        </w:tc>
        <w:tc>
          <w:tcPr>
            <w:tcW w:w="2189" w:type="dxa"/>
            <w:tcBorders>
              <w:top w:val="nil"/>
              <w:left w:val="nil"/>
              <w:bottom w:val="single" w:sz="4" w:space="0" w:color="auto"/>
              <w:right w:val="single" w:sz="4" w:space="0" w:color="auto"/>
            </w:tcBorders>
            <w:shd w:val="clear" w:color="000000" w:fill="FFFFFF"/>
            <w:vAlign w:val="center"/>
            <w:hideMark/>
          </w:tcPr>
          <w:p w14:paraId="426433F8" w14:textId="66B4539E" w:rsidR="003D7F73" w:rsidRPr="00BA1C8E" w:rsidRDefault="003D7F73" w:rsidP="00BA1C8E">
            <w:pPr>
              <w:pStyle w:val="NoSpacing"/>
              <w:jc w:val="center"/>
              <w:rPr>
                <w:rFonts w:ascii="Times New Roman" w:hAnsi="Times New Roman" w:cs="Times New Roman"/>
                <w:szCs w:val="24"/>
              </w:rPr>
            </w:pPr>
            <w:r w:rsidRPr="00BA1C8E">
              <w:rPr>
                <w:rFonts w:ascii="Times New Roman" w:hAnsi="Times New Roman" w:cs="Times New Roman"/>
                <w:szCs w:val="24"/>
              </w:rPr>
              <w:t>41.6</w:t>
            </w:r>
            <w:r w:rsidR="005A7AAF">
              <w:rPr>
                <w:rFonts w:ascii="Times New Roman" w:hAnsi="Times New Roman" w:cs="Times New Roman"/>
                <w:szCs w:val="24"/>
              </w:rPr>
              <w:t xml:space="preserve"> </w:t>
            </w:r>
            <w:r w:rsidRPr="00BA1C8E">
              <w:rPr>
                <w:rFonts w:ascii="Times New Roman" w:hAnsi="Times New Roman" w:cs="Times New Roman"/>
                <w:szCs w:val="24"/>
              </w:rPr>
              <w:t>(33.01)</w:t>
            </w:r>
          </w:p>
        </w:tc>
        <w:tc>
          <w:tcPr>
            <w:tcW w:w="1789" w:type="dxa"/>
            <w:tcBorders>
              <w:top w:val="nil"/>
              <w:left w:val="nil"/>
              <w:bottom w:val="single" w:sz="4" w:space="0" w:color="auto"/>
              <w:right w:val="single" w:sz="4" w:space="0" w:color="auto"/>
            </w:tcBorders>
            <w:shd w:val="clear" w:color="000000" w:fill="FFFFFF"/>
            <w:vAlign w:val="center"/>
            <w:hideMark/>
          </w:tcPr>
          <w:p w14:paraId="192A8671" w14:textId="77777777" w:rsidR="003D7F73" w:rsidRPr="00BA1C8E" w:rsidRDefault="003D7F73" w:rsidP="00BA1C8E">
            <w:pPr>
              <w:pStyle w:val="NoSpacing"/>
              <w:jc w:val="center"/>
              <w:rPr>
                <w:rFonts w:ascii="Times New Roman" w:hAnsi="Times New Roman" w:cs="Times New Roman"/>
                <w:szCs w:val="24"/>
              </w:rPr>
            </w:pPr>
            <w:r w:rsidRPr="00BA1C8E">
              <w:rPr>
                <w:rFonts w:ascii="Times New Roman" w:hAnsi="Times New Roman" w:cs="Times New Roman"/>
                <w:szCs w:val="24"/>
              </w:rPr>
              <w:t>444.77</w:t>
            </w:r>
          </w:p>
        </w:tc>
        <w:tc>
          <w:tcPr>
            <w:tcW w:w="2172" w:type="dxa"/>
            <w:tcBorders>
              <w:top w:val="nil"/>
              <w:left w:val="nil"/>
              <w:bottom w:val="single" w:sz="4" w:space="0" w:color="auto"/>
              <w:right w:val="single" w:sz="4" w:space="0" w:color="auto"/>
            </w:tcBorders>
            <w:shd w:val="clear" w:color="000000" w:fill="FFFFFF"/>
            <w:vAlign w:val="center"/>
            <w:hideMark/>
          </w:tcPr>
          <w:p w14:paraId="0F744C42" w14:textId="77777777" w:rsidR="003D7F73" w:rsidRPr="00BA1C8E" w:rsidRDefault="003D7F73" w:rsidP="00BA1C8E">
            <w:pPr>
              <w:pStyle w:val="NoSpacing"/>
              <w:jc w:val="center"/>
              <w:rPr>
                <w:rFonts w:ascii="Times New Roman" w:hAnsi="Times New Roman" w:cs="Times New Roman"/>
                <w:szCs w:val="24"/>
              </w:rPr>
            </w:pPr>
            <w:r w:rsidRPr="00BA1C8E">
              <w:rPr>
                <w:rFonts w:ascii="Times New Roman" w:hAnsi="Times New Roman" w:cs="Times New Roman"/>
                <w:szCs w:val="24"/>
              </w:rPr>
              <w:t>60.08</w:t>
            </w:r>
          </w:p>
        </w:tc>
        <w:tc>
          <w:tcPr>
            <w:tcW w:w="2250" w:type="dxa"/>
            <w:tcBorders>
              <w:top w:val="nil"/>
              <w:left w:val="nil"/>
              <w:bottom w:val="single" w:sz="4" w:space="0" w:color="auto"/>
              <w:right w:val="single" w:sz="4" w:space="0" w:color="auto"/>
            </w:tcBorders>
            <w:shd w:val="clear" w:color="000000" w:fill="FFFFFF"/>
            <w:vAlign w:val="center"/>
            <w:hideMark/>
          </w:tcPr>
          <w:p w14:paraId="7B9E4415" w14:textId="2EF8CC83" w:rsidR="003D7F73" w:rsidRPr="00BA1C8E" w:rsidRDefault="003D7F73" w:rsidP="00BA1C8E">
            <w:pPr>
              <w:pStyle w:val="NoSpacing"/>
              <w:jc w:val="center"/>
              <w:rPr>
                <w:rFonts w:ascii="Times New Roman" w:hAnsi="Times New Roman" w:cs="Times New Roman"/>
                <w:szCs w:val="24"/>
              </w:rPr>
            </w:pPr>
            <w:r w:rsidRPr="00BA1C8E">
              <w:rPr>
                <w:rFonts w:ascii="Times New Roman" w:hAnsi="Times New Roman" w:cs="Times New Roman"/>
                <w:szCs w:val="24"/>
              </w:rPr>
              <w:t>3.15</w:t>
            </w:r>
            <w:r w:rsidR="005A7AAF">
              <w:rPr>
                <w:rFonts w:ascii="Times New Roman" w:hAnsi="Times New Roman" w:cs="Times New Roman"/>
                <w:szCs w:val="24"/>
              </w:rPr>
              <w:t xml:space="preserve"> </w:t>
            </w:r>
            <w:r w:rsidRPr="00BA1C8E">
              <w:rPr>
                <w:rFonts w:ascii="Times New Roman" w:hAnsi="Times New Roman" w:cs="Times New Roman"/>
                <w:szCs w:val="24"/>
              </w:rPr>
              <w:t>(3.35)</w:t>
            </w:r>
          </w:p>
        </w:tc>
        <w:tc>
          <w:tcPr>
            <w:tcW w:w="2351" w:type="dxa"/>
            <w:tcBorders>
              <w:top w:val="nil"/>
              <w:left w:val="nil"/>
              <w:bottom w:val="single" w:sz="4" w:space="0" w:color="auto"/>
              <w:right w:val="single" w:sz="4" w:space="0" w:color="auto"/>
            </w:tcBorders>
            <w:shd w:val="clear" w:color="000000" w:fill="FFFFFF"/>
            <w:vAlign w:val="center"/>
            <w:hideMark/>
          </w:tcPr>
          <w:p w14:paraId="01A6DE1B" w14:textId="1B68FA93" w:rsidR="003D7F73" w:rsidRPr="00BA1C8E" w:rsidRDefault="003D7F73" w:rsidP="00BA1C8E">
            <w:pPr>
              <w:pStyle w:val="NoSpacing"/>
              <w:jc w:val="center"/>
              <w:rPr>
                <w:rFonts w:ascii="Times New Roman" w:hAnsi="Times New Roman" w:cs="Times New Roman"/>
                <w:szCs w:val="24"/>
              </w:rPr>
            </w:pPr>
            <w:r w:rsidRPr="00BA1C8E">
              <w:rPr>
                <w:rFonts w:ascii="Times New Roman" w:hAnsi="Times New Roman" w:cs="Times New Roman"/>
                <w:szCs w:val="24"/>
              </w:rPr>
              <w:t>4.0</w:t>
            </w:r>
            <w:r w:rsidR="005A7AAF">
              <w:rPr>
                <w:rFonts w:ascii="Times New Roman" w:hAnsi="Times New Roman" w:cs="Times New Roman"/>
                <w:szCs w:val="24"/>
              </w:rPr>
              <w:t xml:space="preserve"> </w:t>
            </w:r>
            <w:r w:rsidRPr="00BA1C8E">
              <w:rPr>
                <w:rFonts w:ascii="Times New Roman" w:hAnsi="Times New Roman" w:cs="Times New Roman"/>
                <w:szCs w:val="24"/>
              </w:rPr>
              <w:t>(5.1)</w:t>
            </w:r>
          </w:p>
        </w:tc>
      </w:tr>
      <w:tr w:rsidR="003D7F73" w:rsidRPr="00BA1C8E" w14:paraId="4A81F74D" w14:textId="77777777" w:rsidTr="005A7AAF">
        <w:trPr>
          <w:trHeight w:val="20"/>
          <w:jc w:val="center"/>
        </w:trPr>
        <w:tc>
          <w:tcPr>
            <w:tcW w:w="1207" w:type="dxa"/>
            <w:tcBorders>
              <w:top w:val="nil"/>
              <w:left w:val="single" w:sz="4" w:space="0" w:color="auto"/>
              <w:bottom w:val="single" w:sz="4" w:space="0" w:color="auto"/>
              <w:right w:val="single" w:sz="4" w:space="0" w:color="auto"/>
            </w:tcBorders>
            <w:shd w:val="clear" w:color="000000" w:fill="FFFFFF"/>
            <w:vAlign w:val="center"/>
            <w:hideMark/>
          </w:tcPr>
          <w:p w14:paraId="0D4069E2" w14:textId="77777777" w:rsidR="003D7F73" w:rsidRPr="00BA1C8E" w:rsidRDefault="003D7F73" w:rsidP="00B77C0B">
            <w:pPr>
              <w:pStyle w:val="NoSpacing"/>
              <w:rPr>
                <w:rFonts w:ascii="Times New Roman" w:hAnsi="Times New Roman" w:cs="Times New Roman"/>
                <w:szCs w:val="24"/>
              </w:rPr>
            </w:pPr>
            <w:r w:rsidRPr="00BA1C8E">
              <w:rPr>
                <w:rFonts w:ascii="Times New Roman" w:hAnsi="Times New Roman" w:cs="Times New Roman"/>
                <w:szCs w:val="24"/>
              </w:rPr>
              <w:t>1965-66</w:t>
            </w:r>
          </w:p>
        </w:tc>
        <w:tc>
          <w:tcPr>
            <w:tcW w:w="2533" w:type="dxa"/>
            <w:tcBorders>
              <w:top w:val="nil"/>
              <w:left w:val="nil"/>
              <w:bottom w:val="single" w:sz="4" w:space="0" w:color="auto"/>
              <w:right w:val="single" w:sz="4" w:space="0" w:color="auto"/>
            </w:tcBorders>
            <w:shd w:val="clear" w:color="000000" w:fill="FFFFFF"/>
            <w:vAlign w:val="center"/>
            <w:hideMark/>
          </w:tcPr>
          <w:p w14:paraId="7B2ACBDB" w14:textId="2C281416" w:rsidR="003D7F73" w:rsidRPr="00BA1C8E" w:rsidRDefault="003D7F73" w:rsidP="00BA1C8E">
            <w:pPr>
              <w:pStyle w:val="NoSpacing"/>
              <w:jc w:val="center"/>
              <w:rPr>
                <w:rFonts w:ascii="Times New Roman" w:hAnsi="Times New Roman" w:cs="Times New Roman"/>
                <w:szCs w:val="24"/>
              </w:rPr>
            </w:pPr>
            <w:r w:rsidRPr="00BA1C8E">
              <w:rPr>
                <w:rFonts w:ascii="Times New Roman" w:hAnsi="Times New Roman" w:cs="Times New Roman"/>
                <w:szCs w:val="24"/>
              </w:rPr>
              <w:t>20340*</w:t>
            </w:r>
            <w:r w:rsidR="005A7AAF">
              <w:rPr>
                <w:rFonts w:ascii="Times New Roman" w:hAnsi="Times New Roman" w:cs="Times New Roman"/>
                <w:szCs w:val="24"/>
              </w:rPr>
              <w:t xml:space="preserve"> </w:t>
            </w:r>
            <w:r w:rsidRPr="00BA1C8E">
              <w:rPr>
                <w:rFonts w:ascii="Times New Roman" w:hAnsi="Times New Roman" w:cs="Times New Roman"/>
                <w:szCs w:val="24"/>
              </w:rPr>
              <w:t>(20573)</w:t>
            </w:r>
          </w:p>
        </w:tc>
        <w:tc>
          <w:tcPr>
            <w:tcW w:w="2189" w:type="dxa"/>
            <w:tcBorders>
              <w:top w:val="nil"/>
              <w:left w:val="nil"/>
              <w:bottom w:val="single" w:sz="4" w:space="0" w:color="auto"/>
              <w:right w:val="single" w:sz="4" w:space="0" w:color="auto"/>
            </w:tcBorders>
            <w:shd w:val="clear" w:color="000000" w:fill="FFFFFF"/>
            <w:vAlign w:val="center"/>
            <w:hideMark/>
          </w:tcPr>
          <w:p w14:paraId="33DB78B6" w14:textId="7F5B2556" w:rsidR="003D7F73" w:rsidRPr="00BA1C8E" w:rsidRDefault="003D7F73" w:rsidP="00BA1C8E">
            <w:pPr>
              <w:pStyle w:val="NoSpacing"/>
              <w:jc w:val="center"/>
              <w:rPr>
                <w:rFonts w:ascii="Times New Roman" w:hAnsi="Times New Roman" w:cs="Times New Roman"/>
                <w:szCs w:val="24"/>
              </w:rPr>
            </w:pPr>
            <w:r w:rsidRPr="00BA1C8E">
              <w:rPr>
                <w:rFonts w:ascii="Times New Roman" w:hAnsi="Times New Roman" w:cs="Times New Roman"/>
                <w:szCs w:val="24"/>
              </w:rPr>
              <w:t>43.84</w:t>
            </w:r>
            <w:r w:rsidR="005A7AAF">
              <w:rPr>
                <w:rFonts w:ascii="Times New Roman" w:hAnsi="Times New Roman" w:cs="Times New Roman"/>
                <w:szCs w:val="24"/>
              </w:rPr>
              <w:t xml:space="preserve"> </w:t>
            </w:r>
            <w:r w:rsidRPr="00BA1C8E">
              <w:rPr>
                <w:rFonts w:ascii="Times New Roman" w:hAnsi="Times New Roman" w:cs="Times New Roman"/>
                <w:szCs w:val="24"/>
              </w:rPr>
              <w:t>(54.99)</w:t>
            </w:r>
          </w:p>
        </w:tc>
        <w:tc>
          <w:tcPr>
            <w:tcW w:w="1789" w:type="dxa"/>
            <w:tcBorders>
              <w:top w:val="nil"/>
              <w:left w:val="nil"/>
              <w:bottom w:val="single" w:sz="4" w:space="0" w:color="auto"/>
              <w:right w:val="single" w:sz="4" w:space="0" w:color="auto"/>
            </w:tcBorders>
            <w:shd w:val="clear" w:color="000000" w:fill="FFFFFF"/>
            <w:vAlign w:val="center"/>
            <w:hideMark/>
          </w:tcPr>
          <w:p w14:paraId="05B2A42E" w14:textId="77777777" w:rsidR="003D7F73" w:rsidRPr="00BA1C8E" w:rsidRDefault="003D7F73" w:rsidP="00BA1C8E">
            <w:pPr>
              <w:pStyle w:val="NoSpacing"/>
              <w:jc w:val="center"/>
              <w:rPr>
                <w:rFonts w:ascii="Times New Roman" w:hAnsi="Times New Roman" w:cs="Times New Roman"/>
                <w:szCs w:val="24"/>
              </w:rPr>
            </w:pPr>
            <w:r w:rsidRPr="00BA1C8E">
              <w:rPr>
                <w:rFonts w:ascii="Times New Roman" w:hAnsi="Times New Roman" w:cs="Times New Roman"/>
                <w:szCs w:val="24"/>
              </w:rPr>
              <w:t>842.62</w:t>
            </w:r>
          </w:p>
        </w:tc>
        <w:tc>
          <w:tcPr>
            <w:tcW w:w="2172" w:type="dxa"/>
            <w:tcBorders>
              <w:top w:val="nil"/>
              <w:left w:val="nil"/>
              <w:bottom w:val="single" w:sz="4" w:space="0" w:color="auto"/>
              <w:right w:val="single" w:sz="4" w:space="0" w:color="auto"/>
            </w:tcBorders>
            <w:shd w:val="clear" w:color="000000" w:fill="FFFFFF"/>
            <w:vAlign w:val="center"/>
            <w:hideMark/>
          </w:tcPr>
          <w:p w14:paraId="315125D2" w14:textId="77777777" w:rsidR="003D7F73" w:rsidRPr="00BA1C8E" w:rsidRDefault="003D7F73" w:rsidP="00BA1C8E">
            <w:pPr>
              <w:pStyle w:val="NoSpacing"/>
              <w:jc w:val="center"/>
              <w:rPr>
                <w:rFonts w:ascii="Times New Roman" w:hAnsi="Times New Roman" w:cs="Times New Roman"/>
                <w:szCs w:val="24"/>
              </w:rPr>
            </w:pPr>
            <w:r w:rsidRPr="00BA1C8E">
              <w:rPr>
                <w:rFonts w:ascii="Times New Roman" w:hAnsi="Times New Roman" w:cs="Times New Roman"/>
                <w:szCs w:val="24"/>
              </w:rPr>
              <w:t>89.45</w:t>
            </w:r>
          </w:p>
        </w:tc>
        <w:tc>
          <w:tcPr>
            <w:tcW w:w="2250" w:type="dxa"/>
            <w:tcBorders>
              <w:top w:val="nil"/>
              <w:left w:val="nil"/>
              <w:bottom w:val="single" w:sz="4" w:space="0" w:color="auto"/>
              <w:right w:val="single" w:sz="4" w:space="0" w:color="auto"/>
            </w:tcBorders>
            <w:shd w:val="clear" w:color="000000" w:fill="FFFFFF"/>
            <w:vAlign w:val="center"/>
            <w:hideMark/>
          </w:tcPr>
          <w:p w14:paraId="1124AA1B" w14:textId="19CA7796" w:rsidR="003D7F73" w:rsidRPr="00BA1C8E" w:rsidRDefault="003D7F73" w:rsidP="00BA1C8E">
            <w:pPr>
              <w:pStyle w:val="NoSpacing"/>
              <w:jc w:val="center"/>
              <w:rPr>
                <w:rFonts w:ascii="Times New Roman" w:hAnsi="Times New Roman" w:cs="Times New Roman"/>
                <w:szCs w:val="24"/>
              </w:rPr>
            </w:pPr>
            <w:r w:rsidRPr="00BA1C8E">
              <w:rPr>
                <w:rFonts w:ascii="Times New Roman" w:hAnsi="Times New Roman" w:cs="Times New Roman"/>
                <w:szCs w:val="24"/>
              </w:rPr>
              <w:t>4.14</w:t>
            </w:r>
            <w:r w:rsidR="005A7AAF">
              <w:rPr>
                <w:rFonts w:ascii="Times New Roman" w:hAnsi="Times New Roman" w:cs="Times New Roman"/>
                <w:szCs w:val="24"/>
              </w:rPr>
              <w:t xml:space="preserve"> </w:t>
            </w:r>
            <w:r w:rsidRPr="00BA1C8E">
              <w:rPr>
                <w:rFonts w:ascii="Times New Roman" w:hAnsi="Times New Roman" w:cs="Times New Roman"/>
                <w:szCs w:val="24"/>
              </w:rPr>
              <w:t>(4.10)</w:t>
            </w:r>
          </w:p>
        </w:tc>
        <w:tc>
          <w:tcPr>
            <w:tcW w:w="2351" w:type="dxa"/>
            <w:tcBorders>
              <w:top w:val="nil"/>
              <w:left w:val="nil"/>
              <w:bottom w:val="single" w:sz="4" w:space="0" w:color="auto"/>
              <w:right w:val="single" w:sz="4" w:space="0" w:color="auto"/>
            </w:tcBorders>
            <w:shd w:val="clear" w:color="000000" w:fill="FFFFFF"/>
            <w:vAlign w:val="center"/>
            <w:hideMark/>
          </w:tcPr>
          <w:p w14:paraId="469E85DB" w14:textId="2561A5AE" w:rsidR="003D7F73" w:rsidRPr="00BA1C8E" w:rsidRDefault="003D7F73" w:rsidP="00BA1C8E">
            <w:pPr>
              <w:pStyle w:val="NoSpacing"/>
              <w:jc w:val="center"/>
              <w:rPr>
                <w:rFonts w:ascii="Times New Roman" w:hAnsi="Times New Roman" w:cs="Times New Roman"/>
                <w:szCs w:val="24"/>
              </w:rPr>
            </w:pPr>
            <w:r w:rsidRPr="00BA1C8E">
              <w:rPr>
                <w:rFonts w:ascii="Times New Roman" w:hAnsi="Times New Roman" w:cs="Times New Roman"/>
                <w:szCs w:val="24"/>
              </w:rPr>
              <w:t>6.4</w:t>
            </w:r>
            <w:r w:rsidR="005A7AAF">
              <w:rPr>
                <w:rFonts w:ascii="Times New Roman" w:hAnsi="Times New Roman" w:cs="Times New Roman"/>
                <w:szCs w:val="24"/>
              </w:rPr>
              <w:t xml:space="preserve"> </w:t>
            </w:r>
            <w:r w:rsidRPr="00BA1C8E">
              <w:rPr>
                <w:rFonts w:ascii="Times New Roman" w:hAnsi="Times New Roman" w:cs="Times New Roman"/>
                <w:szCs w:val="24"/>
              </w:rPr>
              <w:t>(5.4)</w:t>
            </w:r>
          </w:p>
        </w:tc>
      </w:tr>
      <w:tr w:rsidR="003D7F73" w:rsidRPr="00BA1C8E" w14:paraId="5FF588F7" w14:textId="77777777" w:rsidTr="005A7AAF">
        <w:trPr>
          <w:trHeight w:val="20"/>
          <w:jc w:val="center"/>
        </w:trPr>
        <w:tc>
          <w:tcPr>
            <w:tcW w:w="1207" w:type="dxa"/>
            <w:tcBorders>
              <w:top w:val="nil"/>
              <w:left w:val="single" w:sz="4" w:space="0" w:color="auto"/>
              <w:bottom w:val="single" w:sz="4" w:space="0" w:color="auto"/>
              <w:right w:val="single" w:sz="4" w:space="0" w:color="auto"/>
            </w:tcBorders>
            <w:shd w:val="clear" w:color="000000" w:fill="FFFFFF"/>
            <w:vAlign w:val="center"/>
            <w:hideMark/>
          </w:tcPr>
          <w:p w14:paraId="76F92F85" w14:textId="77777777" w:rsidR="003D7F73" w:rsidRPr="00BA1C8E" w:rsidRDefault="003D7F73" w:rsidP="00B77C0B">
            <w:pPr>
              <w:pStyle w:val="NoSpacing"/>
              <w:rPr>
                <w:rFonts w:ascii="Times New Roman" w:hAnsi="Times New Roman" w:cs="Times New Roman"/>
                <w:szCs w:val="24"/>
              </w:rPr>
            </w:pPr>
            <w:r w:rsidRPr="00BA1C8E">
              <w:rPr>
                <w:rFonts w:ascii="Times New Roman" w:hAnsi="Times New Roman" w:cs="Times New Roman"/>
                <w:szCs w:val="24"/>
              </w:rPr>
              <w:t>1966-67</w:t>
            </w:r>
          </w:p>
        </w:tc>
        <w:tc>
          <w:tcPr>
            <w:tcW w:w="2533" w:type="dxa"/>
            <w:tcBorders>
              <w:top w:val="nil"/>
              <w:left w:val="nil"/>
              <w:bottom w:val="single" w:sz="4" w:space="0" w:color="auto"/>
              <w:right w:val="single" w:sz="4" w:space="0" w:color="auto"/>
            </w:tcBorders>
            <w:shd w:val="clear" w:color="000000" w:fill="FFFFFF"/>
            <w:vAlign w:val="center"/>
            <w:hideMark/>
          </w:tcPr>
          <w:p w14:paraId="50A0E665" w14:textId="18975EBF" w:rsidR="003D7F73" w:rsidRPr="00BA1C8E" w:rsidRDefault="003D7F73" w:rsidP="00BA1C8E">
            <w:pPr>
              <w:pStyle w:val="NoSpacing"/>
              <w:jc w:val="center"/>
              <w:rPr>
                <w:rFonts w:ascii="Times New Roman" w:hAnsi="Times New Roman" w:cs="Times New Roman"/>
                <w:szCs w:val="24"/>
              </w:rPr>
            </w:pPr>
            <w:r w:rsidRPr="00BA1C8E">
              <w:rPr>
                <w:rFonts w:ascii="Times New Roman" w:hAnsi="Times New Roman" w:cs="Times New Roman"/>
                <w:szCs w:val="24"/>
              </w:rPr>
              <w:t>23120**</w:t>
            </w:r>
            <w:r w:rsidR="005A7AAF">
              <w:rPr>
                <w:rFonts w:ascii="Times New Roman" w:hAnsi="Times New Roman" w:cs="Times New Roman"/>
                <w:szCs w:val="24"/>
              </w:rPr>
              <w:t xml:space="preserve"> </w:t>
            </w:r>
            <w:r w:rsidRPr="00BA1C8E">
              <w:rPr>
                <w:rFonts w:ascii="Times New Roman" w:hAnsi="Times New Roman" w:cs="Times New Roman"/>
                <w:szCs w:val="24"/>
              </w:rPr>
              <w:t>(23651)</w:t>
            </w:r>
          </w:p>
        </w:tc>
        <w:tc>
          <w:tcPr>
            <w:tcW w:w="2189" w:type="dxa"/>
            <w:tcBorders>
              <w:top w:val="nil"/>
              <w:left w:val="nil"/>
              <w:bottom w:val="single" w:sz="4" w:space="0" w:color="auto"/>
              <w:right w:val="single" w:sz="4" w:space="0" w:color="auto"/>
            </w:tcBorders>
            <w:shd w:val="clear" w:color="000000" w:fill="FFFFFF"/>
            <w:vAlign w:val="center"/>
            <w:hideMark/>
          </w:tcPr>
          <w:p w14:paraId="47B38BE1" w14:textId="67A9FCFB" w:rsidR="003D7F73" w:rsidRPr="00BA1C8E" w:rsidRDefault="003D7F73" w:rsidP="00BA1C8E">
            <w:pPr>
              <w:pStyle w:val="NoSpacing"/>
              <w:jc w:val="center"/>
              <w:rPr>
                <w:rFonts w:ascii="Times New Roman" w:hAnsi="Times New Roman" w:cs="Times New Roman"/>
                <w:szCs w:val="24"/>
              </w:rPr>
            </w:pPr>
            <w:r w:rsidRPr="00BA1C8E">
              <w:rPr>
                <w:rFonts w:ascii="Times New Roman" w:hAnsi="Times New Roman" w:cs="Times New Roman"/>
                <w:szCs w:val="24"/>
              </w:rPr>
              <w:t>13.67</w:t>
            </w:r>
            <w:r w:rsidR="005A7AAF">
              <w:rPr>
                <w:rFonts w:ascii="Times New Roman" w:hAnsi="Times New Roman" w:cs="Times New Roman"/>
                <w:szCs w:val="24"/>
              </w:rPr>
              <w:t xml:space="preserve"> </w:t>
            </w:r>
            <w:r w:rsidRPr="00BA1C8E">
              <w:rPr>
                <w:rFonts w:ascii="Times New Roman" w:hAnsi="Times New Roman" w:cs="Times New Roman"/>
                <w:szCs w:val="24"/>
              </w:rPr>
              <w:t>(14.96)</w:t>
            </w:r>
          </w:p>
        </w:tc>
        <w:tc>
          <w:tcPr>
            <w:tcW w:w="1789" w:type="dxa"/>
            <w:tcBorders>
              <w:top w:val="nil"/>
              <w:left w:val="nil"/>
              <w:bottom w:val="single" w:sz="4" w:space="0" w:color="auto"/>
              <w:right w:val="single" w:sz="4" w:space="0" w:color="auto"/>
            </w:tcBorders>
            <w:shd w:val="clear" w:color="000000" w:fill="FFFFFF"/>
            <w:vAlign w:val="center"/>
            <w:hideMark/>
          </w:tcPr>
          <w:p w14:paraId="4E0A12C0" w14:textId="77777777" w:rsidR="003D7F73" w:rsidRPr="00BA1C8E" w:rsidRDefault="003D7F73" w:rsidP="00BA1C8E">
            <w:pPr>
              <w:pStyle w:val="NoSpacing"/>
              <w:jc w:val="center"/>
              <w:rPr>
                <w:rFonts w:ascii="Times New Roman" w:hAnsi="Times New Roman" w:cs="Times New Roman"/>
                <w:szCs w:val="24"/>
              </w:rPr>
            </w:pPr>
            <w:r w:rsidRPr="00BA1C8E">
              <w:rPr>
                <w:rFonts w:ascii="Times New Roman" w:hAnsi="Times New Roman" w:cs="Times New Roman"/>
                <w:szCs w:val="24"/>
              </w:rPr>
              <w:t>940.81</w:t>
            </w:r>
          </w:p>
        </w:tc>
        <w:tc>
          <w:tcPr>
            <w:tcW w:w="2172" w:type="dxa"/>
            <w:tcBorders>
              <w:top w:val="nil"/>
              <w:left w:val="nil"/>
              <w:bottom w:val="single" w:sz="4" w:space="0" w:color="auto"/>
              <w:right w:val="single" w:sz="4" w:space="0" w:color="auto"/>
            </w:tcBorders>
            <w:shd w:val="clear" w:color="000000" w:fill="FFFFFF"/>
            <w:vAlign w:val="center"/>
            <w:hideMark/>
          </w:tcPr>
          <w:p w14:paraId="737E2BAF" w14:textId="77777777" w:rsidR="003D7F73" w:rsidRPr="00BA1C8E" w:rsidRDefault="003D7F73" w:rsidP="00BA1C8E">
            <w:pPr>
              <w:pStyle w:val="NoSpacing"/>
              <w:jc w:val="center"/>
              <w:rPr>
                <w:rFonts w:ascii="Times New Roman" w:hAnsi="Times New Roman" w:cs="Times New Roman"/>
                <w:szCs w:val="24"/>
              </w:rPr>
            </w:pPr>
            <w:r w:rsidRPr="00BA1C8E">
              <w:rPr>
                <w:rFonts w:ascii="Times New Roman" w:hAnsi="Times New Roman" w:cs="Times New Roman"/>
                <w:szCs w:val="24"/>
              </w:rPr>
              <w:t>11.65</w:t>
            </w:r>
          </w:p>
        </w:tc>
        <w:tc>
          <w:tcPr>
            <w:tcW w:w="2250" w:type="dxa"/>
            <w:tcBorders>
              <w:top w:val="nil"/>
              <w:left w:val="nil"/>
              <w:bottom w:val="single" w:sz="4" w:space="0" w:color="auto"/>
              <w:right w:val="single" w:sz="4" w:space="0" w:color="auto"/>
            </w:tcBorders>
            <w:shd w:val="clear" w:color="000000" w:fill="FFFFFF"/>
            <w:vAlign w:val="center"/>
            <w:hideMark/>
          </w:tcPr>
          <w:p w14:paraId="4A5ED3E8" w14:textId="075A7F9A" w:rsidR="003D7F73" w:rsidRPr="00BA1C8E" w:rsidRDefault="003D7F73" w:rsidP="00BA1C8E">
            <w:pPr>
              <w:pStyle w:val="NoSpacing"/>
              <w:jc w:val="center"/>
              <w:rPr>
                <w:rFonts w:ascii="Times New Roman" w:hAnsi="Times New Roman" w:cs="Times New Roman"/>
                <w:szCs w:val="24"/>
              </w:rPr>
            </w:pPr>
            <w:r w:rsidRPr="00BA1C8E">
              <w:rPr>
                <w:rFonts w:ascii="Times New Roman" w:hAnsi="Times New Roman" w:cs="Times New Roman"/>
                <w:szCs w:val="24"/>
              </w:rPr>
              <w:t>4.07</w:t>
            </w:r>
            <w:r w:rsidR="005A7AAF">
              <w:rPr>
                <w:rFonts w:ascii="Times New Roman" w:hAnsi="Times New Roman" w:cs="Times New Roman"/>
                <w:szCs w:val="24"/>
              </w:rPr>
              <w:t xml:space="preserve"> </w:t>
            </w:r>
            <w:r w:rsidRPr="00BA1C8E">
              <w:rPr>
                <w:rFonts w:ascii="Times New Roman" w:hAnsi="Times New Roman" w:cs="Times New Roman"/>
                <w:szCs w:val="24"/>
              </w:rPr>
              <w:t>(3.98)</w:t>
            </w:r>
          </w:p>
        </w:tc>
        <w:tc>
          <w:tcPr>
            <w:tcW w:w="2351" w:type="dxa"/>
            <w:tcBorders>
              <w:top w:val="nil"/>
              <w:left w:val="nil"/>
              <w:bottom w:val="single" w:sz="4" w:space="0" w:color="auto"/>
              <w:right w:val="single" w:sz="4" w:space="0" w:color="auto"/>
            </w:tcBorders>
            <w:shd w:val="clear" w:color="000000" w:fill="FFFFFF"/>
            <w:vAlign w:val="center"/>
            <w:hideMark/>
          </w:tcPr>
          <w:p w14:paraId="32F44486" w14:textId="2E1DDA9B" w:rsidR="003D7F73" w:rsidRPr="00BA1C8E" w:rsidRDefault="003D7F73" w:rsidP="00BA1C8E">
            <w:pPr>
              <w:pStyle w:val="NoSpacing"/>
              <w:jc w:val="center"/>
              <w:rPr>
                <w:rFonts w:ascii="Times New Roman" w:hAnsi="Times New Roman" w:cs="Times New Roman"/>
                <w:szCs w:val="24"/>
              </w:rPr>
            </w:pPr>
            <w:r w:rsidRPr="00BA1C8E">
              <w:rPr>
                <w:rFonts w:ascii="Times New Roman" w:hAnsi="Times New Roman" w:cs="Times New Roman"/>
                <w:szCs w:val="24"/>
              </w:rPr>
              <w:t>3.5</w:t>
            </w:r>
            <w:r w:rsidR="005A7AAF">
              <w:rPr>
                <w:rFonts w:ascii="Times New Roman" w:hAnsi="Times New Roman" w:cs="Times New Roman"/>
                <w:szCs w:val="24"/>
              </w:rPr>
              <w:t xml:space="preserve"> </w:t>
            </w:r>
            <w:r w:rsidRPr="00BA1C8E">
              <w:rPr>
                <w:rFonts w:ascii="Times New Roman" w:hAnsi="Times New Roman" w:cs="Times New Roman"/>
                <w:szCs w:val="24"/>
              </w:rPr>
              <w:t>(3.2)</w:t>
            </w:r>
          </w:p>
        </w:tc>
      </w:tr>
      <w:tr w:rsidR="003D7F73" w:rsidRPr="00BA1C8E" w14:paraId="3A3868AD" w14:textId="77777777" w:rsidTr="005A7AAF">
        <w:trPr>
          <w:trHeight w:val="20"/>
          <w:jc w:val="center"/>
        </w:trPr>
        <w:tc>
          <w:tcPr>
            <w:tcW w:w="1207" w:type="dxa"/>
            <w:tcBorders>
              <w:top w:val="nil"/>
              <w:left w:val="single" w:sz="4" w:space="0" w:color="auto"/>
              <w:bottom w:val="single" w:sz="4" w:space="0" w:color="auto"/>
              <w:right w:val="single" w:sz="4" w:space="0" w:color="auto"/>
            </w:tcBorders>
            <w:shd w:val="clear" w:color="000000" w:fill="FFFFFF"/>
            <w:vAlign w:val="center"/>
            <w:hideMark/>
          </w:tcPr>
          <w:p w14:paraId="69946616" w14:textId="77777777" w:rsidR="003D7F73" w:rsidRPr="00BA1C8E" w:rsidRDefault="003D7F73" w:rsidP="00B77C0B">
            <w:pPr>
              <w:pStyle w:val="NoSpacing"/>
              <w:rPr>
                <w:rFonts w:ascii="Times New Roman" w:hAnsi="Times New Roman" w:cs="Times New Roman"/>
                <w:szCs w:val="24"/>
              </w:rPr>
            </w:pPr>
            <w:r w:rsidRPr="00BA1C8E">
              <w:rPr>
                <w:rFonts w:ascii="Times New Roman" w:hAnsi="Times New Roman" w:cs="Times New Roman"/>
                <w:szCs w:val="24"/>
              </w:rPr>
              <w:t>1967-68</w:t>
            </w:r>
          </w:p>
        </w:tc>
        <w:tc>
          <w:tcPr>
            <w:tcW w:w="2533" w:type="dxa"/>
            <w:tcBorders>
              <w:top w:val="nil"/>
              <w:left w:val="nil"/>
              <w:bottom w:val="single" w:sz="4" w:space="0" w:color="auto"/>
              <w:right w:val="single" w:sz="4" w:space="0" w:color="auto"/>
            </w:tcBorders>
            <w:shd w:val="clear" w:color="000000" w:fill="FFFFFF"/>
            <w:vAlign w:val="center"/>
            <w:hideMark/>
          </w:tcPr>
          <w:p w14:paraId="7D1D4B94" w14:textId="4C0EAE4B" w:rsidR="003D7F73" w:rsidRPr="00BA1C8E" w:rsidRDefault="003D7F73" w:rsidP="00BA1C8E">
            <w:pPr>
              <w:pStyle w:val="NoSpacing"/>
              <w:jc w:val="center"/>
              <w:rPr>
                <w:rFonts w:ascii="Times New Roman" w:hAnsi="Times New Roman" w:cs="Times New Roman"/>
                <w:szCs w:val="24"/>
              </w:rPr>
            </w:pPr>
            <w:r w:rsidRPr="00BA1C8E">
              <w:rPr>
                <w:rFonts w:ascii="Times New Roman" w:hAnsi="Times New Roman" w:cs="Times New Roman"/>
                <w:szCs w:val="24"/>
              </w:rPr>
              <w:t>N.A</w:t>
            </w:r>
            <w:r w:rsidR="005A7AAF">
              <w:rPr>
                <w:rFonts w:ascii="Times New Roman" w:hAnsi="Times New Roman" w:cs="Times New Roman"/>
                <w:szCs w:val="24"/>
              </w:rPr>
              <w:t xml:space="preserve"> </w:t>
            </w:r>
            <w:r w:rsidRPr="00BA1C8E">
              <w:rPr>
                <w:rFonts w:ascii="Times New Roman" w:hAnsi="Times New Roman" w:cs="Times New Roman"/>
                <w:szCs w:val="24"/>
              </w:rPr>
              <w:t>(</w:t>
            </w:r>
            <w:r w:rsidR="008018DE" w:rsidRPr="00BA1C8E">
              <w:rPr>
                <w:rFonts w:ascii="Times New Roman" w:hAnsi="Times New Roman" w:cs="Times New Roman"/>
                <w:szCs w:val="24"/>
              </w:rPr>
              <w:t>27901)*</w:t>
            </w:r>
          </w:p>
        </w:tc>
        <w:tc>
          <w:tcPr>
            <w:tcW w:w="2189" w:type="dxa"/>
            <w:tcBorders>
              <w:top w:val="nil"/>
              <w:left w:val="nil"/>
              <w:bottom w:val="single" w:sz="4" w:space="0" w:color="auto"/>
              <w:right w:val="single" w:sz="4" w:space="0" w:color="auto"/>
            </w:tcBorders>
            <w:shd w:val="clear" w:color="000000" w:fill="FFFFFF"/>
            <w:vAlign w:val="center"/>
            <w:hideMark/>
          </w:tcPr>
          <w:p w14:paraId="67E97B0D" w14:textId="6A4156C0" w:rsidR="003D7F73" w:rsidRPr="00BA1C8E" w:rsidRDefault="003D7F73" w:rsidP="00BA1C8E">
            <w:pPr>
              <w:pStyle w:val="NoSpacing"/>
              <w:jc w:val="center"/>
              <w:rPr>
                <w:rFonts w:ascii="Times New Roman" w:hAnsi="Times New Roman" w:cs="Times New Roman"/>
                <w:szCs w:val="24"/>
              </w:rPr>
            </w:pPr>
            <w:r w:rsidRPr="00BA1C8E">
              <w:rPr>
                <w:rFonts w:ascii="Times New Roman" w:hAnsi="Times New Roman" w:cs="Times New Roman"/>
                <w:szCs w:val="24"/>
              </w:rPr>
              <w:t>N.A</w:t>
            </w:r>
            <w:r w:rsidR="005A7AAF">
              <w:rPr>
                <w:rFonts w:ascii="Times New Roman" w:hAnsi="Times New Roman" w:cs="Times New Roman"/>
                <w:szCs w:val="24"/>
              </w:rPr>
              <w:t xml:space="preserve"> </w:t>
            </w:r>
            <w:r w:rsidRPr="00BA1C8E">
              <w:rPr>
                <w:rFonts w:ascii="Times New Roman" w:hAnsi="Times New Roman" w:cs="Times New Roman"/>
                <w:szCs w:val="24"/>
              </w:rPr>
              <w:t>(17.97)</w:t>
            </w:r>
          </w:p>
        </w:tc>
        <w:tc>
          <w:tcPr>
            <w:tcW w:w="1789" w:type="dxa"/>
            <w:tcBorders>
              <w:top w:val="nil"/>
              <w:left w:val="nil"/>
              <w:bottom w:val="single" w:sz="4" w:space="0" w:color="auto"/>
              <w:right w:val="single" w:sz="4" w:space="0" w:color="auto"/>
            </w:tcBorders>
            <w:shd w:val="clear" w:color="000000" w:fill="FFFFFF"/>
            <w:vAlign w:val="center"/>
            <w:hideMark/>
          </w:tcPr>
          <w:p w14:paraId="03229F88" w14:textId="77777777" w:rsidR="003D7F73" w:rsidRPr="00BA1C8E" w:rsidRDefault="003D7F73" w:rsidP="00BA1C8E">
            <w:pPr>
              <w:pStyle w:val="NoSpacing"/>
              <w:jc w:val="center"/>
              <w:rPr>
                <w:rFonts w:ascii="Times New Roman" w:hAnsi="Times New Roman" w:cs="Times New Roman"/>
                <w:szCs w:val="24"/>
              </w:rPr>
            </w:pPr>
            <w:r w:rsidRPr="00BA1C8E">
              <w:rPr>
                <w:rFonts w:ascii="Times New Roman" w:hAnsi="Times New Roman" w:cs="Times New Roman"/>
                <w:szCs w:val="24"/>
              </w:rPr>
              <w:t>1086.63</w:t>
            </w:r>
          </w:p>
        </w:tc>
        <w:tc>
          <w:tcPr>
            <w:tcW w:w="2172" w:type="dxa"/>
            <w:tcBorders>
              <w:top w:val="nil"/>
              <w:left w:val="nil"/>
              <w:bottom w:val="single" w:sz="4" w:space="0" w:color="auto"/>
              <w:right w:val="single" w:sz="4" w:space="0" w:color="auto"/>
            </w:tcBorders>
            <w:shd w:val="clear" w:color="000000" w:fill="FFFFFF"/>
            <w:vAlign w:val="center"/>
            <w:hideMark/>
          </w:tcPr>
          <w:p w14:paraId="624ED6E8" w14:textId="67D5CEEA" w:rsidR="003D7F73" w:rsidRPr="00BA1C8E" w:rsidRDefault="003D7F73" w:rsidP="00BA1C8E">
            <w:pPr>
              <w:pStyle w:val="NoSpacing"/>
              <w:jc w:val="center"/>
              <w:rPr>
                <w:rFonts w:ascii="Times New Roman" w:hAnsi="Times New Roman" w:cs="Times New Roman"/>
                <w:szCs w:val="24"/>
              </w:rPr>
            </w:pPr>
            <w:r w:rsidRPr="00BA1C8E">
              <w:rPr>
                <w:rFonts w:ascii="Times New Roman" w:hAnsi="Times New Roman" w:cs="Times New Roman"/>
                <w:szCs w:val="24"/>
              </w:rPr>
              <w:t>15.5</w:t>
            </w:r>
            <w:r w:rsidR="008018DE">
              <w:rPr>
                <w:rFonts w:ascii="Times New Roman" w:hAnsi="Times New Roman" w:cs="Times New Roman"/>
                <w:szCs w:val="24"/>
              </w:rPr>
              <w:t>0</w:t>
            </w:r>
          </w:p>
        </w:tc>
        <w:tc>
          <w:tcPr>
            <w:tcW w:w="2250" w:type="dxa"/>
            <w:tcBorders>
              <w:top w:val="nil"/>
              <w:left w:val="nil"/>
              <w:bottom w:val="single" w:sz="4" w:space="0" w:color="auto"/>
              <w:right w:val="single" w:sz="4" w:space="0" w:color="auto"/>
            </w:tcBorders>
            <w:shd w:val="clear" w:color="000000" w:fill="FFFFFF"/>
            <w:vAlign w:val="center"/>
            <w:hideMark/>
          </w:tcPr>
          <w:p w14:paraId="05976C76" w14:textId="35DDDCB6" w:rsidR="003D7F73" w:rsidRPr="00BA1C8E" w:rsidRDefault="003D7F73" w:rsidP="00BA1C8E">
            <w:pPr>
              <w:pStyle w:val="NoSpacing"/>
              <w:jc w:val="center"/>
              <w:rPr>
                <w:rFonts w:ascii="Times New Roman" w:hAnsi="Times New Roman" w:cs="Times New Roman"/>
                <w:szCs w:val="24"/>
              </w:rPr>
            </w:pPr>
            <w:r w:rsidRPr="00BA1C8E">
              <w:rPr>
                <w:rFonts w:ascii="Times New Roman" w:hAnsi="Times New Roman" w:cs="Times New Roman"/>
                <w:szCs w:val="24"/>
              </w:rPr>
              <w:t>N.A</w:t>
            </w:r>
            <w:r w:rsidR="005A7AAF">
              <w:rPr>
                <w:rFonts w:ascii="Times New Roman" w:hAnsi="Times New Roman" w:cs="Times New Roman"/>
                <w:szCs w:val="24"/>
              </w:rPr>
              <w:t xml:space="preserve"> </w:t>
            </w:r>
            <w:r w:rsidRPr="00BA1C8E">
              <w:rPr>
                <w:rFonts w:ascii="Times New Roman" w:hAnsi="Times New Roman" w:cs="Times New Roman"/>
                <w:szCs w:val="24"/>
              </w:rPr>
              <w:t>(3.89)</w:t>
            </w:r>
          </w:p>
        </w:tc>
        <w:tc>
          <w:tcPr>
            <w:tcW w:w="2351" w:type="dxa"/>
            <w:tcBorders>
              <w:top w:val="nil"/>
              <w:left w:val="nil"/>
              <w:bottom w:val="single" w:sz="4" w:space="0" w:color="auto"/>
              <w:right w:val="single" w:sz="4" w:space="0" w:color="auto"/>
            </w:tcBorders>
            <w:shd w:val="clear" w:color="000000" w:fill="FFFFFF"/>
            <w:vAlign w:val="center"/>
            <w:hideMark/>
          </w:tcPr>
          <w:p w14:paraId="1D289DBF" w14:textId="09D6B80F" w:rsidR="003D7F73" w:rsidRPr="00BA1C8E" w:rsidRDefault="008018DE" w:rsidP="00BA1C8E">
            <w:pPr>
              <w:pStyle w:val="NoSpacing"/>
              <w:jc w:val="center"/>
              <w:rPr>
                <w:rFonts w:ascii="Times New Roman" w:hAnsi="Times New Roman" w:cs="Times New Roman"/>
                <w:szCs w:val="24"/>
              </w:rPr>
            </w:pPr>
            <w:r>
              <w:rPr>
                <w:rFonts w:ascii="Times New Roman" w:hAnsi="Times New Roman" w:cs="Times New Roman"/>
                <w:szCs w:val="24"/>
              </w:rPr>
              <w:t>(</w:t>
            </w:r>
            <w:r w:rsidR="003D7F73" w:rsidRPr="00BA1C8E">
              <w:rPr>
                <w:rFonts w:ascii="Times New Roman" w:hAnsi="Times New Roman" w:cs="Times New Roman"/>
                <w:szCs w:val="24"/>
              </w:rPr>
              <w:t>3.4</w:t>
            </w:r>
            <w:r>
              <w:rPr>
                <w:rFonts w:ascii="Times New Roman" w:hAnsi="Times New Roman" w:cs="Times New Roman"/>
                <w:szCs w:val="24"/>
              </w:rPr>
              <w:t>)</w:t>
            </w:r>
          </w:p>
        </w:tc>
      </w:tr>
    </w:tbl>
    <w:p w14:paraId="2BD291B3" w14:textId="77777777" w:rsidR="003D7F73" w:rsidRPr="007245B0" w:rsidRDefault="003D7F73" w:rsidP="003D7F73">
      <w:pPr>
        <w:rPr>
          <w:rFonts w:ascii="Times New Roman" w:hAnsi="Times New Roman" w:cs="Times New Roman"/>
        </w:rPr>
      </w:pPr>
      <w:r w:rsidRPr="00BA1C8E">
        <w:rPr>
          <w:rStyle w:val="SourcesChar"/>
        </w:rPr>
        <w:t>(a) Includes royalty on mineral oil (Assam and Gujarat) and road tolls (J. &amp; K).</w:t>
      </w:r>
      <w:r w:rsidRPr="00BA1C8E">
        <w:rPr>
          <w:rStyle w:val="SourcesChar"/>
        </w:rPr>
        <w:br/>
        <w:t>(b) Percentage of the difference between two successive figures of col. 2 to the difference of the two successive figures of col. 4.</w:t>
      </w:r>
      <w:r w:rsidRPr="00BA1C8E">
        <w:rPr>
          <w:rStyle w:val="SourcesChar"/>
        </w:rPr>
        <w:br/>
        <w:t>* Preliminary Estimates.</w:t>
      </w:r>
      <w:r w:rsidRPr="00BA1C8E">
        <w:rPr>
          <w:rStyle w:val="SourcesChar"/>
        </w:rPr>
        <w:br/>
        <w:t>** Quick Estimates.</w:t>
      </w:r>
      <w:r w:rsidRPr="00BA1C8E">
        <w:rPr>
          <w:rStyle w:val="SourcesChar"/>
        </w:rPr>
        <w:br/>
        <w:t>N.B.—Figures in brackets relate to revised series.</w:t>
      </w:r>
      <w:r w:rsidRPr="00BA1C8E">
        <w:rPr>
          <w:rStyle w:val="SourcesChar"/>
        </w:rPr>
        <w:br/>
        <w:t>Source : (i) National Income—Central Statistical Organisation.</w:t>
      </w:r>
      <w:r w:rsidRPr="007245B0">
        <w:rPr>
          <w:rFonts w:ascii="Times New Roman" w:hAnsi="Times New Roman" w:cs="Times New Roman"/>
        </w:rPr>
        <w:br/>
      </w:r>
      <w:r w:rsidRPr="00BA1C8E">
        <w:rPr>
          <w:rStyle w:val="SourcesChar"/>
        </w:rPr>
        <w:t>(ii) Combined Finance and Revenue Accounts.</w:t>
      </w:r>
      <w:r w:rsidRPr="00BA1C8E">
        <w:rPr>
          <w:rStyle w:val="SourcesChar"/>
        </w:rPr>
        <w:br/>
        <w:t>(iii) State Budgets</w:t>
      </w:r>
      <w:r w:rsidRPr="007245B0">
        <w:rPr>
          <w:rFonts w:ascii="Times New Roman" w:hAnsi="Times New Roman" w:cs="Times New Roman"/>
        </w:rPr>
        <w:t>.</w:t>
      </w:r>
    </w:p>
    <w:p w14:paraId="382A96C2" w14:textId="77777777" w:rsidR="005A7AAF" w:rsidRDefault="005A7AAF">
      <w:pPr>
        <w:rPr>
          <w:rStyle w:val="Heading4Char"/>
        </w:rPr>
      </w:pPr>
      <w:r>
        <w:rPr>
          <w:rStyle w:val="Heading4Char"/>
          <w:b w:val="0"/>
          <w:bCs w:val="0"/>
        </w:rPr>
        <w:br w:type="page"/>
      </w:r>
    </w:p>
    <w:p w14:paraId="11DD4CD2" w14:textId="4CB53755" w:rsidR="00BA1C8E" w:rsidRPr="00BA1C8E" w:rsidRDefault="00574BCE" w:rsidP="00BA1C8E">
      <w:pPr>
        <w:pStyle w:val="Heading4"/>
        <w:rPr>
          <w:rStyle w:val="Heading4Char"/>
          <w:b/>
          <w:bCs/>
        </w:rPr>
      </w:pPr>
      <w:bookmarkStart w:id="72" w:name="_Toc220949694"/>
      <w:bookmarkStart w:id="73" w:name="_Toc221114294"/>
      <w:bookmarkStart w:id="74" w:name="_Toc221115317"/>
      <w:r>
        <w:rPr>
          <w:rStyle w:val="Heading4Char"/>
          <w:b/>
          <w:bCs/>
        </w:rPr>
        <w:lastRenderedPageBreak/>
        <w:t>Table</w:t>
      </w:r>
      <w:r w:rsidR="003A2683" w:rsidRPr="00BA1C8E">
        <w:rPr>
          <w:rStyle w:val="Heading4Char"/>
          <w:b/>
          <w:bCs/>
        </w:rPr>
        <w:t xml:space="preserve"> 14: Per capita revenue from important State taxes in 1967-</w:t>
      </w:r>
      <w:r w:rsidR="00BA1C8E" w:rsidRPr="00BA1C8E">
        <w:rPr>
          <w:rStyle w:val="Heading4Char"/>
          <w:b/>
          <w:bCs/>
        </w:rPr>
        <w:t>68</w:t>
      </w:r>
      <w:bookmarkEnd w:id="72"/>
      <w:bookmarkEnd w:id="73"/>
      <w:bookmarkEnd w:id="74"/>
    </w:p>
    <w:p w14:paraId="3A65AD80" w14:textId="2F52ADAB" w:rsidR="003A2683" w:rsidRPr="005A7AAF" w:rsidRDefault="003A2683" w:rsidP="003A2683">
      <w:pPr>
        <w:jc w:val="right"/>
        <w:rPr>
          <w:rFonts w:ascii="Times New Roman" w:hAnsi="Times New Roman" w:cs="Times New Roman"/>
          <w:i/>
          <w:iCs/>
        </w:rPr>
      </w:pPr>
      <w:r w:rsidRPr="005A7AAF">
        <w:rPr>
          <w:rFonts w:ascii="Times New Roman" w:hAnsi="Times New Roman" w:cs="Times New Roman"/>
          <w:i/>
          <w:iCs/>
        </w:rPr>
        <w:t>(In rupees)</w:t>
      </w:r>
    </w:p>
    <w:tbl>
      <w:tblPr>
        <w:tblW w:w="14952" w:type="dxa"/>
        <w:tblInd w:w="-869" w:type="dxa"/>
        <w:tblLook w:val="04A0" w:firstRow="1" w:lastRow="0" w:firstColumn="1" w:lastColumn="0" w:noHBand="0" w:noVBand="1"/>
      </w:tblPr>
      <w:tblGrid>
        <w:gridCol w:w="2363"/>
        <w:gridCol w:w="1534"/>
        <w:gridCol w:w="1335"/>
        <w:gridCol w:w="1831"/>
        <w:gridCol w:w="1702"/>
        <w:gridCol w:w="1337"/>
        <w:gridCol w:w="2030"/>
        <w:gridCol w:w="1386"/>
        <w:gridCol w:w="1434"/>
      </w:tblGrid>
      <w:tr w:rsidR="003A2683" w:rsidRPr="00BA1C8E" w14:paraId="0C9670A2" w14:textId="77777777" w:rsidTr="003A2683">
        <w:trPr>
          <w:trHeight w:val="735"/>
        </w:trPr>
        <w:tc>
          <w:tcPr>
            <w:tcW w:w="236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5200ED4" w14:textId="77777777" w:rsidR="003A2683" w:rsidRPr="00BA1C8E" w:rsidRDefault="003A2683" w:rsidP="00B77C0B">
            <w:pPr>
              <w:pStyle w:val="NoSpacing"/>
              <w:rPr>
                <w:rFonts w:ascii="Times New Roman" w:hAnsi="Times New Roman" w:cs="Times New Roman"/>
                <w:b/>
                <w:bCs/>
                <w:szCs w:val="24"/>
                <w:lang w:eastAsia="en-IN"/>
              </w:rPr>
            </w:pPr>
            <w:r w:rsidRPr="00BA1C8E">
              <w:rPr>
                <w:rFonts w:ascii="Times New Roman" w:hAnsi="Times New Roman" w:cs="Times New Roman"/>
                <w:b/>
                <w:bCs/>
                <w:szCs w:val="24"/>
                <w:lang w:eastAsia="en-IN"/>
              </w:rPr>
              <w:t>States</w:t>
            </w:r>
          </w:p>
          <w:p w14:paraId="69BDED53" w14:textId="77777777" w:rsidR="00BA1C8E" w:rsidRPr="00BA1C8E" w:rsidRDefault="00BA1C8E" w:rsidP="00B77C0B">
            <w:pPr>
              <w:pStyle w:val="NoSpacing"/>
              <w:rPr>
                <w:rFonts w:ascii="Times New Roman" w:hAnsi="Times New Roman" w:cs="Times New Roman"/>
                <w:b/>
                <w:bCs/>
                <w:szCs w:val="24"/>
                <w:lang w:eastAsia="en-IN"/>
              </w:rPr>
            </w:pPr>
          </w:p>
        </w:tc>
        <w:tc>
          <w:tcPr>
            <w:tcW w:w="1534" w:type="dxa"/>
            <w:tcBorders>
              <w:top w:val="single" w:sz="4" w:space="0" w:color="auto"/>
              <w:left w:val="nil"/>
              <w:bottom w:val="single" w:sz="4" w:space="0" w:color="auto"/>
              <w:right w:val="single" w:sz="4" w:space="0" w:color="auto"/>
            </w:tcBorders>
            <w:shd w:val="clear" w:color="000000" w:fill="FFFFFF"/>
            <w:vAlign w:val="center"/>
            <w:hideMark/>
          </w:tcPr>
          <w:p w14:paraId="36468396" w14:textId="54E65F86" w:rsidR="003A2683" w:rsidRPr="00BA1C8E" w:rsidRDefault="003A2683" w:rsidP="005A7AAF">
            <w:pPr>
              <w:pStyle w:val="NoSpacing"/>
              <w:jc w:val="center"/>
              <w:rPr>
                <w:rFonts w:ascii="Times New Roman" w:hAnsi="Times New Roman" w:cs="Times New Roman"/>
                <w:b/>
                <w:bCs/>
                <w:szCs w:val="24"/>
                <w:lang w:eastAsia="en-IN"/>
              </w:rPr>
            </w:pPr>
            <w:r w:rsidRPr="00BA1C8E">
              <w:rPr>
                <w:rFonts w:ascii="Times New Roman" w:hAnsi="Times New Roman" w:cs="Times New Roman"/>
                <w:b/>
                <w:bCs/>
                <w:szCs w:val="24"/>
                <w:lang w:eastAsia="en-IN"/>
              </w:rPr>
              <w:t>Taxes on land*</w:t>
            </w:r>
          </w:p>
        </w:tc>
        <w:tc>
          <w:tcPr>
            <w:tcW w:w="1335" w:type="dxa"/>
            <w:tcBorders>
              <w:top w:val="single" w:sz="4" w:space="0" w:color="auto"/>
              <w:left w:val="nil"/>
              <w:bottom w:val="single" w:sz="4" w:space="0" w:color="auto"/>
              <w:right w:val="single" w:sz="4" w:space="0" w:color="auto"/>
            </w:tcBorders>
            <w:shd w:val="clear" w:color="000000" w:fill="FFFFFF"/>
            <w:vAlign w:val="center"/>
            <w:hideMark/>
          </w:tcPr>
          <w:p w14:paraId="4A32E3B0" w14:textId="24EB89B9" w:rsidR="003A2683" w:rsidRPr="00BA1C8E" w:rsidRDefault="003A2683" w:rsidP="005A7AAF">
            <w:pPr>
              <w:pStyle w:val="NoSpacing"/>
              <w:jc w:val="center"/>
              <w:rPr>
                <w:rFonts w:ascii="Times New Roman" w:hAnsi="Times New Roman" w:cs="Times New Roman"/>
                <w:b/>
                <w:bCs/>
                <w:szCs w:val="24"/>
                <w:lang w:eastAsia="en-IN"/>
              </w:rPr>
            </w:pPr>
            <w:r w:rsidRPr="00BA1C8E">
              <w:rPr>
                <w:rFonts w:ascii="Times New Roman" w:hAnsi="Times New Roman" w:cs="Times New Roman"/>
                <w:b/>
                <w:bCs/>
                <w:szCs w:val="24"/>
                <w:lang w:eastAsia="en-IN"/>
              </w:rPr>
              <w:t>State Excise</w:t>
            </w:r>
          </w:p>
        </w:tc>
        <w:tc>
          <w:tcPr>
            <w:tcW w:w="1831" w:type="dxa"/>
            <w:tcBorders>
              <w:top w:val="single" w:sz="4" w:space="0" w:color="auto"/>
              <w:left w:val="nil"/>
              <w:bottom w:val="single" w:sz="4" w:space="0" w:color="auto"/>
              <w:right w:val="single" w:sz="4" w:space="0" w:color="auto"/>
            </w:tcBorders>
            <w:shd w:val="clear" w:color="000000" w:fill="FFFFFF"/>
            <w:vAlign w:val="center"/>
            <w:hideMark/>
          </w:tcPr>
          <w:p w14:paraId="1D55BABF" w14:textId="77777777" w:rsidR="003A2683" w:rsidRPr="00BA1C8E" w:rsidRDefault="003A2683" w:rsidP="005A7AAF">
            <w:pPr>
              <w:pStyle w:val="NoSpacing"/>
              <w:jc w:val="center"/>
              <w:rPr>
                <w:rFonts w:ascii="Times New Roman" w:hAnsi="Times New Roman" w:cs="Times New Roman"/>
                <w:b/>
                <w:bCs/>
                <w:szCs w:val="24"/>
                <w:lang w:eastAsia="en-IN"/>
              </w:rPr>
            </w:pPr>
            <w:r w:rsidRPr="00BA1C8E">
              <w:rPr>
                <w:rFonts w:ascii="Times New Roman" w:hAnsi="Times New Roman" w:cs="Times New Roman"/>
                <w:b/>
                <w:bCs/>
                <w:szCs w:val="24"/>
                <w:lang w:eastAsia="en-IN"/>
              </w:rPr>
              <w:t>Taxes on transport**</w:t>
            </w:r>
          </w:p>
        </w:tc>
        <w:tc>
          <w:tcPr>
            <w:tcW w:w="1702" w:type="dxa"/>
            <w:tcBorders>
              <w:top w:val="single" w:sz="4" w:space="0" w:color="auto"/>
              <w:left w:val="nil"/>
              <w:bottom w:val="single" w:sz="4" w:space="0" w:color="auto"/>
              <w:right w:val="single" w:sz="4" w:space="0" w:color="auto"/>
            </w:tcBorders>
            <w:shd w:val="clear" w:color="000000" w:fill="FFFFFF"/>
            <w:vAlign w:val="center"/>
            <w:hideMark/>
          </w:tcPr>
          <w:p w14:paraId="7CE9E2C3" w14:textId="77777777" w:rsidR="003A2683" w:rsidRPr="00BA1C8E" w:rsidRDefault="003A2683" w:rsidP="005A7AAF">
            <w:pPr>
              <w:pStyle w:val="NoSpacing"/>
              <w:jc w:val="center"/>
              <w:rPr>
                <w:rFonts w:ascii="Times New Roman" w:hAnsi="Times New Roman" w:cs="Times New Roman"/>
                <w:b/>
                <w:bCs/>
                <w:szCs w:val="24"/>
                <w:lang w:eastAsia="en-IN"/>
              </w:rPr>
            </w:pPr>
            <w:r w:rsidRPr="00BA1C8E">
              <w:rPr>
                <w:rFonts w:ascii="Times New Roman" w:hAnsi="Times New Roman" w:cs="Times New Roman"/>
                <w:b/>
                <w:bCs/>
                <w:szCs w:val="24"/>
                <w:lang w:eastAsia="en-IN"/>
              </w:rPr>
              <w:t>General Sales Tax</w:t>
            </w:r>
          </w:p>
        </w:tc>
        <w:tc>
          <w:tcPr>
            <w:tcW w:w="1337" w:type="dxa"/>
            <w:tcBorders>
              <w:top w:val="single" w:sz="4" w:space="0" w:color="auto"/>
              <w:left w:val="nil"/>
              <w:bottom w:val="single" w:sz="4" w:space="0" w:color="auto"/>
              <w:right w:val="single" w:sz="4" w:space="0" w:color="auto"/>
            </w:tcBorders>
            <w:shd w:val="clear" w:color="000000" w:fill="FFFFFF"/>
            <w:vAlign w:val="center"/>
            <w:hideMark/>
          </w:tcPr>
          <w:p w14:paraId="33AD4794" w14:textId="7B0F4336" w:rsidR="003A2683" w:rsidRPr="00BA1C8E" w:rsidRDefault="003A2683" w:rsidP="005A7AAF">
            <w:pPr>
              <w:pStyle w:val="NoSpacing"/>
              <w:jc w:val="center"/>
              <w:rPr>
                <w:rFonts w:ascii="Times New Roman" w:hAnsi="Times New Roman" w:cs="Times New Roman"/>
                <w:b/>
                <w:bCs/>
                <w:szCs w:val="24"/>
                <w:lang w:eastAsia="en-IN"/>
              </w:rPr>
            </w:pPr>
            <w:r w:rsidRPr="00BA1C8E">
              <w:rPr>
                <w:rFonts w:ascii="Times New Roman" w:hAnsi="Times New Roman" w:cs="Times New Roman"/>
                <w:b/>
                <w:bCs/>
                <w:szCs w:val="24"/>
                <w:lang w:eastAsia="en-IN"/>
              </w:rPr>
              <w:t>Inter-State Sales tax</w:t>
            </w:r>
          </w:p>
        </w:tc>
        <w:tc>
          <w:tcPr>
            <w:tcW w:w="2030" w:type="dxa"/>
            <w:tcBorders>
              <w:top w:val="single" w:sz="4" w:space="0" w:color="auto"/>
              <w:left w:val="nil"/>
              <w:bottom w:val="single" w:sz="4" w:space="0" w:color="auto"/>
              <w:right w:val="single" w:sz="4" w:space="0" w:color="auto"/>
            </w:tcBorders>
            <w:shd w:val="clear" w:color="000000" w:fill="FFFFFF"/>
            <w:vAlign w:val="center"/>
            <w:hideMark/>
          </w:tcPr>
          <w:p w14:paraId="199FD29B" w14:textId="139279FD" w:rsidR="003A2683" w:rsidRPr="00BA1C8E" w:rsidRDefault="003A2683" w:rsidP="005A7AAF">
            <w:pPr>
              <w:pStyle w:val="NoSpacing"/>
              <w:jc w:val="center"/>
              <w:rPr>
                <w:rFonts w:ascii="Times New Roman" w:hAnsi="Times New Roman" w:cs="Times New Roman"/>
                <w:b/>
                <w:bCs/>
                <w:szCs w:val="24"/>
                <w:lang w:eastAsia="en-IN"/>
              </w:rPr>
            </w:pPr>
            <w:r w:rsidRPr="00BA1C8E">
              <w:rPr>
                <w:rFonts w:ascii="Times New Roman" w:hAnsi="Times New Roman" w:cs="Times New Roman"/>
                <w:b/>
                <w:bCs/>
                <w:szCs w:val="24"/>
                <w:lang w:eastAsia="en-IN"/>
              </w:rPr>
              <w:t>Stamps &amp; Registration</w:t>
            </w:r>
          </w:p>
        </w:tc>
        <w:tc>
          <w:tcPr>
            <w:tcW w:w="1386" w:type="dxa"/>
            <w:tcBorders>
              <w:top w:val="single" w:sz="4" w:space="0" w:color="auto"/>
              <w:left w:val="nil"/>
              <w:bottom w:val="single" w:sz="4" w:space="0" w:color="auto"/>
              <w:right w:val="single" w:sz="4" w:space="0" w:color="auto"/>
            </w:tcBorders>
            <w:shd w:val="clear" w:color="000000" w:fill="FFFFFF"/>
            <w:vAlign w:val="center"/>
            <w:hideMark/>
          </w:tcPr>
          <w:p w14:paraId="235F55FC" w14:textId="755E8CB0" w:rsidR="003A2683" w:rsidRPr="00BA1C8E" w:rsidRDefault="003A2683" w:rsidP="005A7AAF">
            <w:pPr>
              <w:pStyle w:val="NoSpacing"/>
              <w:jc w:val="center"/>
              <w:rPr>
                <w:rFonts w:ascii="Times New Roman" w:hAnsi="Times New Roman" w:cs="Times New Roman"/>
                <w:b/>
                <w:bCs/>
                <w:szCs w:val="24"/>
                <w:lang w:eastAsia="en-IN"/>
              </w:rPr>
            </w:pPr>
            <w:r w:rsidRPr="00BA1C8E">
              <w:rPr>
                <w:rFonts w:ascii="Times New Roman" w:hAnsi="Times New Roman" w:cs="Times New Roman"/>
                <w:b/>
                <w:bCs/>
                <w:szCs w:val="24"/>
                <w:lang w:eastAsia="en-IN"/>
              </w:rPr>
              <w:t>Other taxes and duties</w:t>
            </w:r>
          </w:p>
        </w:tc>
        <w:tc>
          <w:tcPr>
            <w:tcW w:w="1434" w:type="dxa"/>
            <w:tcBorders>
              <w:top w:val="single" w:sz="4" w:space="0" w:color="auto"/>
              <w:left w:val="nil"/>
              <w:bottom w:val="single" w:sz="4" w:space="0" w:color="auto"/>
              <w:right w:val="single" w:sz="4" w:space="0" w:color="auto"/>
            </w:tcBorders>
            <w:shd w:val="clear" w:color="000000" w:fill="FFFFFF"/>
            <w:vAlign w:val="center"/>
            <w:hideMark/>
          </w:tcPr>
          <w:p w14:paraId="1B725793" w14:textId="47483B77" w:rsidR="003A2683" w:rsidRPr="00BA1C8E" w:rsidRDefault="003A2683" w:rsidP="005A7AAF">
            <w:pPr>
              <w:pStyle w:val="NoSpacing"/>
              <w:jc w:val="center"/>
              <w:rPr>
                <w:rFonts w:ascii="Times New Roman" w:hAnsi="Times New Roman" w:cs="Times New Roman"/>
                <w:b/>
                <w:bCs/>
                <w:szCs w:val="24"/>
                <w:lang w:eastAsia="en-IN"/>
              </w:rPr>
            </w:pPr>
            <w:r w:rsidRPr="00BA1C8E">
              <w:rPr>
                <w:rFonts w:ascii="Times New Roman" w:hAnsi="Times New Roman" w:cs="Times New Roman"/>
                <w:b/>
                <w:bCs/>
                <w:szCs w:val="24"/>
                <w:lang w:eastAsia="en-IN"/>
              </w:rPr>
              <w:t>Total tax revenue</w:t>
            </w:r>
          </w:p>
        </w:tc>
      </w:tr>
      <w:tr w:rsidR="003A2683" w:rsidRPr="00BA1C8E" w14:paraId="1B4CE8A4" w14:textId="77777777" w:rsidTr="003A2683">
        <w:trPr>
          <w:trHeight w:val="145"/>
        </w:trPr>
        <w:tc>
          <w:tcPr>
            <w:tcW w:w="2363" w:type="dxa"/>
            <w:tcBorders>
              <w:top w:val="nil"/>
              <w:left w:val="single" w:sz="4" w:space="0" w:color="auto"/>
              <w:bottom w:val="single" w:sz="4" w:space="0" w:color="auto"/>
              <w:right w:val="single" w:sz="4" w:space="0" w:color="auto"/>
            </w:tcBorders>
            <w:shd w:val="clear" w:color="000000" w:fill="FFFFFF"/>
            <w:vAlign w:val="center"/>
            <w:hideMark/>
          </w:tcPr>
          <w:p w14:paraId="026B9C3F" w14:textId="77777777" w:rsidR="003A2683" w:rsidRPr="00BA1C8E" w:rsidRDefault="003A2683" w:rsidP="00B77C0B">
            <w:pPr>
              <w:pStyle w:val="NoSpacing"/>
              <w:rPr>
                <w:rFonts w:ascii="Times New Roman" w:hAnsi="Times New Roman" w:cs="Times New Roman"/>
                <w:szCs w:val="24"/>
                <w:lang w:eastAsia="en-IN"/>
              </w:rPr>
            </w:pPr>
            <w:r w:rsidRPr="00BA1C8E">
              <w:rPr>
                <w:rFonts w:ascii="Times New Roman" w:hAnsi="Times New Roman" w:cs="Times New Roman"/>
                <w:szCs w:val="24"/>
                <w:lang w:eastAsia="en-IN"/>
              </w:rPr>
              <w:t>1</w:t>
            </w:r>
          </w:p>
        </w:tc>
        <w:tc>
          <w:tcPr>
            <w:tcW w:w="1534" w:type="dxa"/>
            <w:tcBorders>
              <w:top w:val="nil"/>
              <w:left w:val="nil"/>
              <w:bottom w:val="single" w:sz="4" w:space="0" w:color="auto"/>
              <w:right w:val="single" w:sz="4" w:space="0" w:color="auto"/>
            </w:tcBorders>
            <w:shd w:val="clear" w:color="000000" w:fill="FFFFFF"/>
            <w:vAlign w:val="center"/>
            <w:hideMark/>
          </w:tcPr>
          <w:p w14:paraId="7555C27F" w14:textId="77777777" w:rsidR="003A2683" w:rsidRPr="00BA1C8E" w:rsidRDefault="003A2683" w:rsidP="005A7AAF">
            <w:pPr>
              <w:pStyle w:val="NoSpacing"/>
              <w:jc w:val="center"/>
              <w:rPr>
                <w:rFonts w:ascii="Times New Roman" w:hAnsi="Times New Roman" w:cs="Times New Roman"/>
                <w:szCs w:val="24"/>
                <w:lang w:eastAsia="en-IN"/>
              </w:rPr>
            </w:pPr>
            <w:r w:rsidRPr="00BA1C8E">
              <w:rPr>
                <w:rFonts w:ascii="Times New Roman" w:hAnsi="Times New Roman" w:cs="Times New Roman"/>
                <w:szCs w:val="24"/>
                <w:lang w:eastAsia="en-IN"/>
              </w:rPr>
              <w:t>2</w:t>
            </w:r>
          </w:p>
        </w:tc>
        <w:tc>
          <w:tcPr>
            <w:tcW w:w="1335" w:type="dxa"/>
            <w:tcBorders>
              <w:top w:val="nil"/>
              <w:left w:val="nil"/>
              <w:bottom w:val="single" w:sz="4" w:space="0" w:color="auto"/>
              <w:right w:val="single" w:sz="4" w:space="0" w:color="auto"/>
            </w:tcBorders>
            <w:shd w:val="clear" w:color="000000" w:fill="FFFFFF"/>
            <w:vAlign w:val="center"/>
            <w:hideMark/>
          </w:tcPr>
          <w:p w14:paraId="76138962" w14:textId="77777777" w:rsidR="003A2683" w:rsidRPr="00BA1C8E" w:rsidRDefault="003A2683" w:rsidP="005A7AAF">
            <w:pPr>
              <w:pStyle w:val="NoSpacing"/>
              <w:jc w:val="center"/>
              <w:rPr>
                <w:rFonts w:ascii="Times New Roman" w:hAnsi="Times New Roman" w:cs="Times New Roman"/>
                <w:szCs w:val="24"/>
                <w:lang w:eastAsia="en-IN"/>
              </w:rPr>
            </w:pPr>
            <w:r w:rsidRPr="00BA1C8E">
              <w:rPr>
                <w:rFonts w:ascii="Times New Roman" w:hAnsi="Times New Roman" w:cs="Times New Roman"/>
                <w:szCs w:val="24"/>
                <w:lang w:eastAsia="en-IN"/>
              </w:rPr>
              <w:t>3</w:t>
            </w:r>
          </w:p>
        </w:tc>
        <w:tc>
          <w:tcPr>
            <w:tcW w:w="1831" w:type="dxa"/>
            <w:tcBorders>
              <w:top w:val="nil"/>
              <w:left w:val="nil"/>
              <w:bottom w:val="single" w:sz="4" w:space="0" w:color="auto"/>
              <w:right w:val="single" w:sz="4" w:space="0" w:color="auto"/>
            </w:tcBorders>
            <w:shd w:val="clear" w:color="000000" w:fill="FFFFFF"/>
            <w:vAlign w:val="center"/>
            <w:hideMark/>
          </w:tcPr>
          <w:p w14:paraId="668A601F" w14:textId="77777777" w:rsidR="003A2683" w:rsidRPr="00BA1C8E" w:rsidRDefault="003A2683" w:rsidP="005A7AAF">
            <w:pPr>
              <w:pStyle w:val="NoSpacing"/>
              <w:jc w:val="center"/>
              <w:rPr>
                <w:rFonts w:ascii="Times New Roman" w:hAnsi="Times New Roman" w:cs="Times New Roman"/>
                <w:szCs w:val="24"/>
                <w:lang w:eastAsia="en-IN"/>
              </w:rPr>
            </w:pPr>
            <w:r w:rsidRPr="00BA1C8E">
              <w:rPr>
                <w:rFonts w:ascii="Times New Roman" w:hAnsi="Times New Roman" w:cs="Times New Roman"/>
                <w:szCs w:val="24"/>
                <w:lang w:eastAsia="en-IN"/>
              </w:rPr>
              <w:t>4</w:t>
            </w:r>
          </w:p>
        </w:tc>
        <w:tc>
          <w:tcPr>
            <w:tcW w:w="1702" w:type="dxa"/>
            <w:tcBorders>
              <w:top w:val="nil"/>
              <w:left w:val="nil"/>
              <w:bottom w:val="single" w:sz="4" w:space="0" w:color="auto"/>
              <w:right w:val="single" w:sz="4" w:space="0" w:color="auto"/>
            </w:tcBorders>
            <w:shd w:val="clear" w:color="000000" w:fill="FFFFFF"/>
            <w:vAlign w:val="center"/>
            <w:hideMark/>
          </w:tcPr>
          <w:p w14:paraId="65967846" w14:textId="77777777" w:rsidR="003A2683" w:rsidRPr="00BA1C8E" w:rsidRDefault="003A2683" w:rsidP="005A7AAF">
            <w:pPr>
              <w:pStyle w:val="NoSpacing"/>
              <w:jc w:val="center"/>
              <w:rPr>
                <w:rFonts w:ascii="Times New Roman" w:hAnsi="Times New Roman" w:cs="Times New Roman"/>
                <w:szCs w:val="24"/>
                <w:lang w:eastAsia="en-IN"/>
              </w:rPr>
            </w:pPr>
            <w:r w:rsidRPr="00BA1C8E">
              <w:rPr>
                <w:rFonts w:ascii="Times New Roman" w:hAnsi="Times New Roman" w:cs="Times New Roman"/>
                <w:szCs w:val="24"/>
                <w:lang w:eastAsia="en-IN"/>
              </w:rPr>
              <w:t>5</w:t>
            </w:r>
          </w:p>
        </w:tc>
        <w:tc>
          <w:tcPr>
            <w:tcW w:w="1337" w:type="dxa"/>
            <w:tcBorders>
              <w:top w:val="nil"/>
              <w:left w:val="nil"/>
              <w:bottom w:val="single" w:sz="4" w:space="0" w:color="auto"/>
              <w:right w:val="single" w:sz="4" w:space="0" w:color="auto"/>
            </w:tcBorders>
            <w:shd w:val="clear" w:color="000000" w:fill="FFFFFF"/>
            <w:vAlign w:val="center"/>
            <w:hideMark/>
          </w:tcPr>
          <w:p w14:paraId="58910EAA" w14:textId="77777777" w:rsidR="003A2683" w:rsidRPr="00BA1C8E" w:rsidRDefault="003A2683" w:rsidP="005A7AAF">
            <w:pPr>
              <w:pStyle w:val="NoSpacing"/>
              <w:jc w:val="center"/>
              <w:rPr>
                <w:rFonts w:ascii="Times New Roman" w:hAnsi="Times New Roman" w:cs="Times New Roman"/>
                <w:szCs w:val="24"/>
                <w:lang w:eastAsia="en-IN"/>
              </w:rPr>
            </w:pPr>
            <w:r w:rsidRPr="00BA1C8E">
              <w:rPr>
                <w:rFonts w:ascii="Times New Roman" w:hAnsi="Times New Roman" w:cs="Times New Roman"/>
                <w:szCs w:val="24"/>
                <w:lang w:eastAsia="en-IN"/>
              </w:rPr>
              <w:t>6</w:t>
            </w:r>
          </w:p>
        </w:tc>
        <w:tc>
          <w:tcPr>
            <w:tcW w:w="2030" w:type="dxa"/>
            <w:tcBorders>
              <w:top w:val="nil"/>
              <w:left w:val="nil"/>
              <w:bottom w:val="single" w:sz="4" w:space="0" w:color="auto"/>
              <w:right w:val="single" w:sz="4" w:space="0" w:color="auto"/>
            </w:tcBorders>
            <w:shd w:val="clear" w:color="000000" w:fill="FFFFFF"/>
            <w:vAlign w:val="center"/>
            <w:hideMark/>
          </w:tcPr>
          <w:p w14:paraId="4FEC658D" w14:textId="77777777" w:rsidR="003A2683" w:rsidRPr="00BA1C8E" w:rsidRDefault="003A2683" w:rsidP="005A7AAF">
            <w:pPr>
              <w:pStyle w:val="NoSpacing"/>
              <w:jc w:val="center"/>
              <w:rPr>
                <w:rFonts w:ascii="Times New Roman" w:hAnsi="Times New Roman" w:cs="Times New Roman"/>
                <w:szCs w:val="24"/>
                <w:lang w:eastAsia="en-IN"/>
              </w:rPr>
            </w:pPr>
            <w:r w:rsidRPr="00BA1C8E">
              <w:rPr>
                <w:rFonts w:ascii="Times New Roman" w:hAnsi="Times New Roman" w:cs="Times New Roman"/>
                <w:szCs w:val="24"/>
                <w:lang w:eastAsia="en-IN"/>
              </w:rPr>
              <w:t>7</w:t>
            </w:r>
          </w:p>
        </w:tc>
        <w:tc>
          <w:tcPr>
            <w:tcW w:w="1386" w:type="dxa"/>
            <w:tcBorders>
              <w:top w:val="nil"/>
              <w:left w:val="nil"/>
              <w:bottom w:val="single" w:sz="4" w:space="0" w:color="auto"/>
              <w:right w:val="single" w:sz="4" w:space="0" w:color="auto"/>
            </w:tcBorders>
            <w:shd w:val="clear" w:color="000000" w:fill="FFFFFF"/>
            <w:vAlign w:val="center"/>
            <w:hideMark/>
          </w:tcPr>
          <w:p w14:paraId="3B00AB3D" w14:textId="77777777" w:rsidR="003A2683" w:rsidRPr="00BA1C8E" w:rsidRDefault="003A2683" w:rsidP="005A7AAF">
            <w:pPr>
              <w:pStyle w:val="NoSpacing"/>
              <w:jc w:val="center"/>
              <w:rPr>
                <w:rFonts w:ascii="Times New Roman" w:hAnsi="Times New Roman" w:cs="Times New Roman"/>
                <w:szCs w:val="24"/>
                <w:lang w:eastAsia="en-IN"/>
              </w:rPr>
            </w:pPr>
            <w:r w:rsidRPr="00BA1C8E">
              <w:rPr>
                <w:rFonts w:ascii="Times New Roman" w:hAnsi="Times New Roman" w:cs="Times New Roman"/>
                <w:szCs w:val="24"/>
                <w:lang w:eastAsia="en-IN"/>
              </w:rPr>
              <w:t>8</w:t>
            </w:r>
          </w:p>
        </w:tc>
        <w:tc>
          <w:tcPr>
            <w:tcW w:w="1434" w:type="dxa"/>
            <w:tcBorders>
              <w:top w:val="nil"/>
              <w:left w:val="nil"/>
              <w:bottom w:val="single" w:sz="4" w:space="0" w:color="auto"/>
              <w:right w:val="single" w:sz="4" w:space="0" w:color="auto"/>
            </w:tcBorders>
            <w:shd w:val="clear" w:color="000000" w:fill="FFFFFF"/>
            <w:vAlign w:val="center"/>
            <w:hideMark/>
          </w:tcPr>
          <w:p w14:paraId="23B614E9" w14:textId="77777777" w:rsidR="003A2683" w:rsidRPr="00BA1C8E" w:rsidRDefault="003A2683" w:rsidP="005A7AAF">
            <w:pPr>
              <w:pStyle w:val="NoSpacing"/>
              <w:jc w:val="center"/>
              <w:rPr>
                <w:rFonts w:ascii="Times New Roman" w:hAnsi="Times New Roman" w:cs="Times New Roman"/>
                <w:szCs w:val="24"/>
                <w:lang w:eastAsia="en-IN"/>
              </w:rPr>
            </w:pPr>
            <w:r w:rsidRPr="00BA1C8E">
              <w:rPr>
                <w:rFonts w:ascii="Times New Roman" w:hAnsi="Times New Roman" w:cs="Times New Roman"/>
                <w:szCs w:val="24"/>
                <w:lang w:eastAsia="en-IN"/>
              </w:rPr>
              <w:t>9</w:t>
            </w:r>
          </w:p>
        </w:tc>
      </w:tr>
      <w:tr w:rsidR="003A2683" w:rsidRPr="00BA1C8E" w14:paraId="47AAB616" w14:textId="77777777" w:rsidTr="003A2683">
        <w:trPr>
          <w:trHeight w:val="145"/>
        </w:trPr>
        <w:tc>
          <w:tcPr>
            <w:tcW w:w="2363" w:type="dxa"/>
            <w:tcBorders>
              <w:top w:val="nil"/>
              <w:left w:val="single" w:sz="4" w:space="0" w:color="auto"/>
              <w:bottom w:val="single" w:sz="4" w:space="0" w:color="auto"/>
              <w:right w:val="single" w:sz="4" w:space="0" w:color="auto"/>
            </w:tcBorders>
            <w:shd w:val="clear" w:color="000000" w:fill="FFFFFF"/>
            <w:vAlign w:val="center"/>
            <w:hideMark/>
          </w:tcPr>
          <w:p w14:paraId="7085A5AE" w14:textId="77777777" w:rsidR="003A2683" w:rsidRPr="00BA1C8E" w:rsidRDefault="003A2683" w:rsidP="00B77C0B">
            <w:pPr>
              <w:pStyle w:val="NoSpacing"/>
              <w:rPr>
                <w:rFonts w:ascii="Times New Roman" w:hAnsi="Times New Roman" w:cs="Times New Roman"/>
                <w:szCs w:val="24"/>
                <w:lang w:eastAsia="en-IN"/>
              </w:rPr>
            </w:pPr>
            <w:r w:rsidRPr="00BA1C8E">
              <w:rPr>
                <w:rFonts w:ascii="Times New Roman" w:hAnsi="Times New Roman" w:cs="Times New Roman"/>
                <w:szCs w:val="24"/>
                <w:lang w:eastAsia="en-IN"/>
              </w:rPr>
              <w:t>Punjab</w:t>
            </w:r>
          </w:p>
        </w:tc>
        <w:tc>
          <w:tcPr>
            <w:tcW w:w="1534" w:type="dxa"/>
            <w:tcBorders>
              <w:top w:val="nil"/>
              <w:left w:val="nil"/>
              <w:bottom w:val="single" w:sz="4" w:space="0" w:color="auto"/>
              <w:right w:val="single" w:sz="4" w:space="0" w:color="auto"/>
            </w:tcBorders>
            <w:shd w:val="clear" w:color="000000" w:fill="FFFFFF"/>
            <w:vAlign w:val="center"/>
            <w:hideMark/>
          </w:tcPr>
          <w:p w14:paraId="5231F6B3" w14:textId="77777777" w:rsidR="003A2683" w:rsidRPr="00BA1C8E" w:rsidRDefault="003A2683" w:rsidP="005A7AAF">
            <w:pPr>
              <w:pStyle w:val="NoSpacing"/>
              <w:jc w:val="center"/>
              <w:rPr>
                <w:rFonts w:ascii="Times New Roman" w:hAnsi="Times New Roman" w:cs="Times New Roman"/>
                <w:szCs w:val="24"/>
                <w:lang w:eastAsia="en-IN"/>
              </w:rPr>
            </w:pPr>
            <w:r w:rsidRPr="00BA1C8E">
              <w:rPr>
                <w:rFonts w:ascii="Times New Roman" w:hAnsi="Times New Roman" w:cs="Times New Roman"/>
                <w:szCs w:val="24"/>
                <w:lang w:eastAsia="en-IN"/>
              </w:rPr>
              <w:t>1.38</w:t>
            </w:r>
          </w:p>
        </w:tc>
        <w:tc>
          <w:tcPr>
            <w:tcW w:w="1335" w:type="dxa"/>
            <w:tcBorders>
              <w:top w:val="nil"/>
              <w:left w:val="nil"/>
              <w:bottom w:val="single" w:sz="4" w:space="0" w:color="auto"/>
              <w:right w:val="single" w:sz="4" w:space="0" w:color="auto"/>
            </w:tcBorders>
            <w:shd w:val="clear" w:color="000000" w:fill="FFFFFF"/>
            <w:vAlign w:val="center"/>
            <w:hideMark/>
          </w:tcPr>
          <w:p w14:paraId="61D21FD8" w14:textId="77777777" w:rsidR="003A2683" w:rsidRPr="00BA1C8E" w:rsidRDefault="003A2683" w:rsidP="005A7AAF">
            <w:pPr>
              <w:pStyle w:val="NoSpacing"/>
              <w:jc w:val="center"/>
              <w:rPr>
                <w:rFonts w:ascii="Times New Roman" w:hAnsi="Times New Roman" w:cs="Times New Roman"/>
                <w:szCs w:val="24"/>
                <w:lang w:eastAsia="en-IN"/>
              </w:rPr>
            </w:pPr>
            <w:r w:rsidRPr="00BA1C8E">
              <w:rPr>
                <w:rFonts w:ascii="Times New Roman" w:hAnsi="Times New Roman" w:cs="Times New Roman"/>
                <w:szCs w:val="24"/>
                <w:lang w:eastAsia="en-IN"/>
              </w:rPr>
              <w:t>11.31</w:t>
            </w:r>
          </w:p>
        </w:tc>
        <w:tc>
          <w:tcPr>
            <w:tcW w:w="1831" w:type="dxa"/>
            <w:tcBorders>
              <w:top w:val="nil"/>
              <w:left w:val="nil"/>
              <w:bottom w:val="single" w:sz="4" w:space="0" w:color="auto"/>
              <w:right w:val="single" w:sz="4" w:space="0" w:color="auto"/>
            </w:tcBorders>
            <w:shd w:val="clear" w:color="000000" w:fill="FFFFFF"/>
            <w:vAlign w:val="center"/>
            <w:hideMark/>
          </w:tcPr>
          <w:p w14:paraId="551C941C" w14:textId="77777777" w:rsidR="003A2683" w:rsidRPr="00BA1C8E" w:rsidRDefault="003A2683" w:rsidP="005A7AAF">
            <w:pPr>
              <w:pStyle w:val="NoSpacing"/>
              <w:jc w:val="center"/>
              <w:rPr>
                <w:rFonts w:ascii="Times New Roman" w:hAnsi="Times New Roman" w:cs="Times New Roman"/>
                <w:szCs w:val="24"/>
                <w:lang w:eastAsia="en-IN"/>
              </w:rPr>
            </w:pPr>
            <w:r w:rsidRPr="00BA1C8E">
              <w:rPr>
                <w:rFonts w:ascii="Times New Roman" w:hAnsi="Times New Roman" w:cs="Times New Roman"/>
                <w:szCs w:val="24"/>
                <w:lang w:eastAsia="en-IN"/>
              </w:rPr>
              <w:t>4.43</w:t>
            </w:r>
          </w:p>
        </w:tc>
        <w:tc>
          <w:tcPr>
            <w:tcW w:w="1702" w:type="dxa"/>
            <w:tcBorders>
              <w:top w:val="nil"/>
              <w:left w:val="nil"/>
              <w:bottom w:val="single" w:sz="4" w:space="0" w:color="auto"/>
              <w:right w:val="single" w:sz="4" w:space="0" w:color="auto"/>
            </w:tcBorders>
            <w:shd w:val="clear" w:color="000000" w:fill="FFFFFF"/>
            <w:vAlign w:val="center"/>
            <w:hideMark/>
          </w:tcPr>
          <w:p w14:paraId="446ACC90" w14:textId="77777777" w:rsidR="003A2683" w:rsidRPr="00BA1C8E" w:rsidRDefault="003A2683" w:rsidP="005A7AAF">
            <w:pPr>
              <w:pStyle w:val="NoSpacing"/>
              <w:jc w:val="center"/>
              <w:rPr>
                <w:rFonts w:ascii="Times New Roman" w:hAnsi="Times New Roman" w:cs="Times New Roman"/>
                <w:szCs w:val="24"/>
                <w:lang w:eastAsia="en-IN"/>
              </w:rPr>
            </w:pPr>
            <w:r w:rsidRPr="00BA1C8E">
              <w:rPr>
                <w:rFonts w:ascii="Times New Roman" w:hAnsi="Times New Roman" w:cs="Times New Roman"/>
                <w:szCs w:val="24"/>
                <w:lang w:eastAsia="en-IN"/>
              </w:rPr>
              <w:t>9.34</w:t>
            </w:r>
          </w:p>
        </w:tc>
        <w:tc>
          <w:tcPr>
            <w:tcW w:w="1337" w:type="dxa"/>
            <w:tcBorders>
              <w:top w:val="nil"/>
              <w:left w:val="nil"/>
              <w:bottom w:val="single" w:sz="4" w:space="0" w:color="auto"/>
              <w:right w:val="single" w:sz="4" w:space="0" w:color="auto"/>
            </w:tcBorders>
            <w:shd w:val="clear" w:color="000000" w:fill="FFFFFF"/>
            <w:vAlign w:val="center"/>
            <w:hideMark/>
          </w:tcPr>
          <w:p w14:paraId="50369AB6" w14:textId="77777777" w:rsidR="003A2683" w:rsidRPr="00BA1C8E" w:rsidRDefault="003A2683" w:rsidP="005A7AAF">
            <w:pPr>
              <w:pStyle w:val="NoSpacing"/>
              <w:jc w:val="center"/>
              <w:rPr>
                <w:rFonts w:ascii="Times New Roman" w:hAnsi="Times New Roman" w:cs="Times New Roman"/>
                <w:szCs w:val="24"/>
                <w:lang w:eastAsia="en-IN"/>
              </w:rPr>
            </w:pPr>
            <w:r w:rsidRPr="00BA1C8E">
              <w:rPr>
                <w:rFonts w:ascii="Times New Roman" w:hAnsi="Times New Roman" w:cs="Times New Roman"/>
                <w:szCs w:val="24"/>
                <w:lang w:eastAsia="en-IN"/>
              </w:rPr>
              <w:t>3.26</w:t>
            </w:r>
          </w:p>
        </w:tc>
        <w:tc>
          <w:tcPr>
            <w:tcW w:w="2030" w:type="dxa"/>
            <w:tcBorders>
              <w:top w:val="nil"/>
              <w:left w:val="nil"/>
              <w:bottom w:val="single" w:sz="4" w:space="0" w:color="auto"/>
              <w:right w:val="single" w:sz="4" w:space="0" w:color="auto"/>
            </w:tcBorders>
            <w:shd w:val="clear" w:color="000000" w:fill="FFFFFF"/>
            <w:vAlign w:val="center"/>
            <w:hideMark/>
          </w:tcPr>
          <w:p w14:paraId="59DA0F42" w14:textId="77777777" w:rsidR="003A2683" w:rsidRPr="00BA1C8E" w:rsidRDefault="003A2683" w:rsidP="005A7AAF">
            <w:pPr>
              <w:pStyle w:val="NoSpacing"/>
              <w:jc w:val="center"/>
              <w:rPr>
                <w:rFonts w:ascii="Times New Roman" w:hAnsi="Times New Roman" w:cs="Times New Roman"/>
                <w:szCs w:val="24"/>
                <w:lang w:eastAsia="en-IN"/>
              </w:rPr>
            </w:pPr>
            <w:r w:rsidRPr="00BA1C8E">
              <w:rPr>
                <w:rFonts w:ascii="Times New Roman" w:hAnsi="Times New Roman" w:cs="Times New Roman"/>
                <w:szCs w:val="24"/>
                <w:lang w:eastAsia="en-IN"/>
              </w:rPr>
              <w:t>4.64</w:t>
            </w:r>
          </w:p>
        </w:tc>
        <w:tc>
          <w:tcPr>
            <w:tcW w:w="1386" w:type="dxa"/>
            <w:tcBorders>
              <w:top w:val="nil"/>
              <w:left w:val="nil"/>
              <w:bottom w:val="single" w:sz="4" w:space="0" w:color="auto"/>
              <w:right w:val="single" w:sz="4" w:space="0" w:color="auto"/>
            </w:tcBorders>
            <w:shd w:val="clear" w:color="000000" w:fill="FFFFFF"/>
            <w:vAlign w:val="center"/>
            <w:hideMark/>
          </w:tcPr>
          <w:p w14:paraId="1D883A55" w14:textId="62C3F78F" w:rsidR="003A2683" w:rsidRPr="00BA1C8E" w:rsidRDefault="003A2683" w:rsidP="005A7AAF">
            <w:pPr>
              <w:pStyle w:val="NoSpacing"/>
              <w:jc w:val="center"/>
              <w:rPr>
                <w:rFonts w:ascii="Times New Roman" w:hAnsi="Times New Roman" w:cs="Times New Roman"/>
                <w:szCs w:val="24"/>
                <w:lang w:eastAsia="en-IN"/>
              </w:rPr>
            </w:pPr>
            <w:r w:rsidRPr="00BA1C8E">
              <w:rPr>
                <w:rFonts w:ascii="Times New Roman" w:hAnsi="Times New Roman" w:cs="Times New Roman"/>
                <w:szCs w:val="24"/>
                <w:lang w:eastAsia="en-IN"/>
              </w:rPr>
              <w:t>3.1</w:t>
            </w:r>
            <w:r w:rsidR="00557D12">
              <w:rPr>
                <w:rFonts w:ascii="Times New Roman" w:hAnsi="Times New Roman" w:cs="Times New Roman"/>
                <w:szCs w:val="24"/>
                <w:lang w:eastAsia="en-IN"/>
              </w:rPr>
              <w:t>0</w:t>
            </w:r>
          </w:p>
        </w:tc>
        <w:tc>
          <w:tcPr>
            <w:tcW w:w="1434" w:type="dxa"/>
            <w:tcBorders>
              <w:top w:val="nil"/>
              <w:left w:val="nil"/>
              <w:bottom w:val="single" w:sz="4" w:space="0" w:color="auto"/>
              <w:right w:val="single" w:sz="4" w:space="0" w:color="auto"/>
            </w:tcBorders>
            <w:shd w:val="clear" w:color="000000" w:fill="FFFFFF"/>
            <w:vAlign w:val="center"/>
            <w:hideMark/>
          </w:tcPr>
          <w:p w14:paraId="0E32A32D" w14:textId="77777777" w:rsidR="003A2683" w:rsidRPr="00BA1C8E" w:rsidRDefault="003A2683" w:rsidP="005A7AAF">
            <w:pPr>
              <w:pStyle w:val="NoSpacing"/>
              <w:jc w:val="center"/>
              <w:rPr>
                <w:rFonts w:ascii="Times New Roman" w:hAnsi="Times New Roman" w:cs="Times New Roman"/>
                <w:szCs w:val="24"/>
                <w:lang w:eastAsia="en-IN"/>
              </w:rPr>
            </w:pPr>
            <w:r w:rsidRPr="00BA1C8E">
              <w:rPr>
                <w:rFonts w:ascii="Times New Roman" w:hAnsi="Times New Roman" w:cs="Times New Roman"/>
                <w:szCs w:val="24"/>
                <w:lang w:eastAsia="en-IN"/>
              </w:rPr>
              <w:t>37.46</w:t>
            </w:r>
          </w:p>
        </w:tc>
      </w:tr>
      <w:tr w:rsidR="003A2683" w:rsidRPr="00BA1C8E" w14:paraId="7DDF7677" w14:textId="77777777" w:rsidTr="003A2683">
        <w:trPr>
          <w:trHeight w:val="293"/>
        </w:trPr>
        <w:tc>
          <w:tcPr>
            <w:tcW w:w="2363" w:type="dxa"/>
            <w:tcBorders>
              <w:top w:val="nil"/>
              <w:left w:val="single" w:sz="4" w:space="0" w:color="auto"/>
              <w:bottom w:val="single" w:sz="4" w:space="0" w:color="auto"/>
              <w:right w:val="single" w:sz="4" w:space="0" w:color="auto"/>
            </w:tcBorders>
            <w:shd w:val="clear" w:color="000000" w:fill="FFFFFF"/>
            <w:vAlign w:val="center"/>
            <w:hideMark/>
          </w:tcPr>
          <w:p w14:paraId="7B18416E" w14:textId="77777777" w:rsidR="003A2683" w:rsidRPr="00BA1C8E" w:rsidRDefault="003A2683" w:rsidP="00B77C0B">
            <w:pPr>
              <w:pStyle w:val="NoSpacing"/>
              <w:rPr>
                <w:rFonts w:ascii="Times New Roman" w:hAnsi="Times New Roman" w:cs="Times New Roman"/>
                <w:szCs w:val="24"/>
                <w:lang w:eastAsia="en-IN"/>
              </w:rPr>
            </w:pPr>
            <w:r w:rsidRPr="00BA1C8E">
              <w:rPr>
                <w:rFonts w:ascii="Times New Roman" w:hAnsi="Times New Roman" w:cs="Times New Roman"/>
                <w:szCs w:val="24"/>
                <w:lang w:eastAsia="en-IN"/>
              </w:rPr>
              <w:t>Maharashtra</w:t>
            </w:r>
          </w:p>
        </w:tc>
        <w:tc>
          <w:tcPr>
            <w:tcW w:w="1534" w:type="dxa"/>
            <w:tcBorders>
              <w:top w:val="nil"/>
              <w:left w:val="nil"/>
              <w:bottom w:val="single" w:sz="4" w:space="0" w:color="auto"/>
              <w:right w:val="single" w:sz="4" w:space="0" w:color="auto"/>
            </w:tcBorders>
            <w:shd w:val="clear" w:color="000000" w:fill="FFFFFF"/>
            <w:vAlign w:val="center"/>
            <w:hideMark/>
          </w:tcPr>
          <w:p w14:paraId="6C931830" w14:textId="77777777" w:rsidR="003A2683" w:rsidRPr="00BA1C8E" w:rsidRDefault="003A2683" w:rsidP="005A7AAF">
            <w:pPr>
              <w:pStyle w:val="NoSpacing"/>
              <w:jc w:val="center"/>
              <w:rPr>
                <w:rFonts w:ascii="Times New Roman" w:hAnsi="Times New Roman" w:cs="Times New Roman"/>
                <w:szCs w:val="24"/>
                <w:lang w:eastAsia="en-IN"/>
              </w:rPr>
            </w:pPr>
            <w:r w:rsidRPr="00BA1C8E">
              <w:rPr>
                <w:rFonts w:ascii="Times New Roman" w:hAnsi="Times New Roman" w:cs="Times New Roman"/>
                <w:szCs w:val="24"/>
                <w:lang w:eastAsia="en-IN"/>
              </w:rPr>
              <w:t>1.91</w:t>
            </w:r>
          </w:p>
        </w:tc>
        <w:tc>
          <w:tcPr>
            <w:tcW w:w="1335" w:type="dxa"/>
            <w:tcBorders>
              <w:top w:val="nil"/>
              <w:left w:val="nil"/>
              <w:bottom w:val="single" w:sz="4" w:space="0" w:color="auto"/>
              <w:right w:val="single" w:sz="4" w:space="0" w:color="auto"/>
            </w:tcBorders>
            <w:shd w:val="clear" w:color="000000" w:fill="FFFFFF"/>
            <w:vAlign w:val="center"/>
            <w:hideMark/>
          </w:tcPr>
          <w:p w14:paraId="6213D3C2" w14:textId="144BD86A" w:rsidR="003A2683" w:rsidRPr="00BA1C8E" w:rsidRDefault="003A2683" w:rsidP="005A7AAF">
            <w:pPr>
              <w:pStyle w:val="NoSpacing"/>
              <w:jc w:val="center"/>
              <w:rPr>
                <w:rFonts w:ascii="Times New Roman" w:hAnsi="Times New Roman" w:cs="Times New Roman"/>
                <w:szCs w:val="24"/>
                <w:lang w:eastAsia="en-IN"/>
              </w:rPr>
            </w:pPr>
            <w:r w:rsidRPr="00BA1C8E">
              <w:rPr>
                <w:rFonts w:ascii="Times New Roman" w:hAnsi="Times New Roman" w:cs="Times New Roman"/>
                <w:szCs w:val="24"/>
                <w:lang w:eastAsia="en-IN"/>
              </w:rPr>
              <w:t>0.9</w:t>
            </w:r>
            <w:r w:rsidR="00557D12">
              <w:rPr>
                <w:rFonts w:ascii="Times New Roman" w:hAnsi="Times New Roman" w:cs="Times New Roman"/>
                <w:szCs w:val="24"/>
                <w:lang w:eastAsia="en-IN"/>
              </w:rPr>
              <w:t>0</w:t>
            </w:r>
          </w:p>
        </w:tc>
        <w:tc>
          <w:tcPr>
            <w:tcW w:w="1831" w:type="dxa"/>
            <w:tcBorders>
              <w:top w:val="nil"/>
              <w:left w:val="nil"/>
              <w:bottom w:val="single" w:sz="4" w:space="0" w:color="auto"/>
              <w:right w:val="single" w:sz="4" w:space="0" w:color="auto"/>
            </w:tcBorders>
            <w:shd w:val="clear" w:color="000000" w:fill="FFFFFF"/>
            <w:vAlign w:val="center"/>
            <w:hideMark/>
          </w:tcPr>
          <w:p w14:paraId="2DAFB017" w14:textId="77777777" w:rsidR="003A2683" w:rsidRPr="00BA1C8E" w:rsidRDefault="003A2683" w:rsidP="005A7AAF">
            <w:pPr>
              <w:pStyle w:val="NoSpacing"/>
              <w:jc w:val="center"/>
              <w:rPr>
                <w:rFonts w:ascii="Times New Roman" w:hAnsi="Times New Roman" w:cs="Times New Roman"/>
                <w:szCs w:val="24"/>
                <w:lang w:eastAsia="en-IN"/>
              </w:rPr>
            </w:pPr>
            <w:r w:rsidRPr="00BA1C8E">
              <w:rPr>
                <w:rFonts w:ascii="Times New Roman" w:hAnsi="Times New Roman" w:cs="Times New Roman"/>
                <w:szCs w:val="24"/>
                <w:lang w:eastAsia="en-IN"/>
              </w:rPr>
              <w:t>5.76</w:t>
            </w:r>
          </w:p>
        </w:tc>
        <w:tc>
          <w:tcPr>
            <w:tcW w:w="1702" w:type="dxa"/>
            <w:tcBorders>
              <w:top w:val="nil"/>
              <w:left w:val="nil"/>
              <w:bottom w:val="single" w:sz="4" w:space="0" w:color="auto"/>
              <w:right w:val="single" w:sz="4" w:space="0" w:color="auto"/>
            </w:tcBorders>
            <w:shd w:val="clear" w:color="000000" w:fill="FFFFFF"/>
            <w:vAlign w:val="center"/>
            <w:hideMark/>
          </w:tcPr>
          <w:p w14:paraId="48032A70" w14:textId="77777777" w:rsidR="003A2683" w:rsidRPr="00BA1C8E" w:rsidRDefault="003A2683" w:rsidP="005A7AAF">
            <w:pPr>
              <w:pStyle w:val="NoSpacing"/>
              <w:jc w:val="center"/>
              <w:rPr>
                <w:rFonts w:ascii="Times New Roman" w:hAnsi="Times New Roman" w:cs="Times New Roman"/>
                <w:szCs w:val="24"/>
                <w:lang w:eastAsia="en-IN"/>
              </w:rPr>
            </w:pPr>
            <w:r w:rsidRPr="00BA1C8E">
              <w:rPr>
                <w:rFonts w:ascii="Times New Roman" w:hAnsi="Times New Roman" w:cs="Times New Roman"/>
                <w:szCs w:val="24"/>
                <w:lang w:eastAsia="en-IN"/>
              </w:rPr>
              <w:t>14.09</w:t>
            </w:r>
          </w:p>
        </w:tc>
        <w:tc>
          <w:tcPr>
            <w:tcW w:w="1337" w:type="dxa"/>
            <w:tcBorders>
              <w:top w:val="nil"/>
              <w:left w:val="nil"/>
              <w:bottom w:val="single" w:sz="4" w:space="0" w:color="auto"/>
              <w:right w:val="single" w:sz="4" w:space="0" w:color="auto"/>
            </w:tcBorders>
            <w:shd w:val="clear" w:color="000000" w:fill="FFFFFF"/>
            <w:vAlign w:val="center"/>
            <w:hideMark/>
          </w:tcPr>
          <w:p w14:paraId="3C7FDA7D" w14:textId="77777777" w:rsidR="003A2683" w:rsidRPr="00BA1C8E" w:rsidRDefault="003A2683" w:rsidP="005A7AAF">
            <w:pPr>
              <w:pStyle w:val="NoSpacing"/>
              <w:jc w:val="center"/>
              <w:rPr>
                <w:rFonts w:ascii="Times New Roman" w:hAnsi="Times New Roman" w:cs="Times New Roman"/>
                <w:szCs w:val="24"/>
                <w:lang w:eastAsia="en-IN"/>
              </w:rPr>
            </w:pPr>
            <w:r w:rsidRPr="00BA1C8E">
              <w:rPr>
                <w:rFonts w:ascii="Times New Roman" w:hAnsi="Times New Roman" w:cs="Times New Roman"/>
                <w:szCs w:val="24"/>
                <w:lang w:eastAsia="en-IN"/>
              </w:rPr>
              <w:t>5.25</w:t>
            </w:r>
          </w:p>
        </w:tc>
        <w:tc>
          <w:tcPr>
            <w:tcW w:w="2030" w:type="dxa"/>
            <w:tcBorders>
              <w:top w:val="nil"/>
              <w:left w:val="nil"/>
              <w:bottom w:val="single" w:sz="4" w:space="0" w:color="auto"/>
              <w:right w:val="single" w:sz="4" w:space="0" w:color="auto"/>
            </w:tcBorders>
            <w:shd w:val="clear" w:color="000000" w:fill="FFFFFF"/>
            <w:vAlign w:val="center"/>
            <w:hideMark/>
          </w:tcPr>
          <w:p w14:paraId="0FEDB20C" w14:textId="77777777" w:rsidR="003A2683" w:rsidRPr="00BA1C8E" w:rsidRDefault="003A2683" w:rsidP="005A7AAF">
            <w:pPr>
              <w:pStyle w:val="NoSpacing"/>
              <w:jc w:val="center"/>
              <w:rPr>
                <w:rFonts w:ascii="Times New Roman" w:hAnsi="Times New Roman" w:cs="Times New Roman"/>
                <w:szCs w:val="24"/>
                <w:lang w:eastAsia="en-IN"/>
              </w:rPr>
            </w:pPr>
            <w:r w:rsidRPr="00BA1C8E">
              <w:rPr>
                <w:rFonts w:ascii="Times New Roman" w:hAnsi="Times New Roman" w:cs="Times New Roman"/>
                <w:szCs w:val="24"/>
                <w:lang w:eastAsia="en-IN"/>
              </w:rPr>
              <w:t>2.44</w:t>
            </w:r>
          </w:p>
        </w:tc>
        <w:tc>
          <w:tcPr>
            <w:tcW w:w="1386" w:type="dxa"/>
            <w:tcBorders>
              <w:top w:val="nil"/>
              <w:left w:val="nil"/>
              <w:bottom w:val="single" w:sz="4" w:space="0" w:color="auto"/>
              <w:right w:val="single" w:sz="4" w:space="0" w:color="auto"/>
            </w:tcBorders>
            <w:shd w:val="clear" w:color="000000" w:fill="FFFFFF"/>
            <w:vAlign w:val="center"/>
            <w:hideMark/>
          </w:tcPr>
          <w:p w14:paraId="2CD43886" w14:textId="77777777" w:rsidR="003A2683" w:rsidRPr="00BA1C8E" w:rsidRDefault="003A2683" w:rsidP="005A7AAF">
            <w:pPr>
              <w:pStyle w:val="NoSpacing"/>
              <w:jc w:val="center"/>
              <w:rPr>
                <w:rFonts w:ascii="Times New Roman" w:hAnsi="Times New Roman" w:cs="Times New Roman"/>
                <w:szCs w:val="24"/>
                <w:lang w:eastAsia="en-IN"/>
              </w:rPr>
            </w:pPr>
            <w:r w:rsidRPr="00BA1C8E">
              <w:rPr>
                <w:rFonts w:ascii="Times New Roman" w:hAnsi="Times New Roman" w:cs="Times New Roman"/>
                <w:szCs w:val="24"/>
                <w:lang w:eastAsia="en-IN"/>
              </w:rPr>
              <w:t>6.15</w:t>
            </w:r>
          </w:p>
        </w:tc>
        <w:tc>
          <w:tcPr>
            <w:tcW w:w="1434" w:type="dxa"/>
            <w:tcBorders>
              <w:top w:val="nil"/>
              <w:left w:val="nil"/>
              <w:bottom w:val="single" w:sz="4" w:space="0" w:color="auto"/>
              <w:right w:val="single" w:sz="4" w:space="0" w:color="auto"/>
            </w:tcBorders>
            <w:shd w:val="clear" w:color="000000" w:fill="FFFFFF"/>
            <w:vAlign w:val="center"/>
            <w:hideMark/>
          </w:tcPr>
          <w:p w14:paraId="64892F10" w14:textId="12FD239C" w:rsidR="003A2683" w:rsidRPr="00BA1C8E" w:rsidRDefault="003A2683" w:rsidP="005A7AAF">
            <w:pPr>
              <w:pStyle w:val="NoSpacing"/>
              <w:jc w:val="center"/>
              <w:rPr>
                <w:rFonts w:ascii="Times New Roman" w:hAnsi="Times New Roman" w:cs="Times New Roman"/>
                <w:szCs w:val="24"/>
                <w:lang w:eastAsia="en-IN"/>
              </w:rPr>
            </w:pPr>
            <w:r w:rsidRPr="00BA1C8E">
              <w:rPr>
                <w:rFonts w:ascii="Times New Roman" w:hAnsi="Times New Roman" w:cs="Times New Roman"/>
                <w:szCs w:val="24"/>
                <w:lang w:eastAsia="en-IN"/>
              </w:rPr>
              <w:t>36.5</w:t>
            </w:r>
            <w:r w:rsidR="00557D12">
              <w:rPr>
                <w:rFonts w:ascii="Times New Roman" w:hAnsi="Times New Roman" w:cs="Times New Roman"/>
                <w:szCs w:val="24"/>
                <w:lang w:eastAsia="en-IN"/>
              </w:rPr>
              <w:t>0</w:t>
            </w:r>
          </w:p>
        </w:tc>
      </w:tr>
      <w:tr w:rsidR="003A2683" w:rsidRPr="00BA1C8E" w14:paraId="34C09645" w14:textId="77777777" w:rsidTr="003A2683">
        <w:trPr>
          <w:trHeight w:val="293"/>
        </w:trPr>
        <w:tc>
          <w:tcPr>
            <w:tcW w:w="2363" w:type="dxa"/>
            <w:tcBorders>
              <w:top w:val="nil"/>
              <w:left w:val="single" w:sz="4" w:space="0" w:color="auto"/>
              <w:bottom w:val="single" w:sz="4" w:space="0" w:color="auto"/>
              <w:right w:val="single" w:sz="4" w:space="0" w:color="auto"/>
            </w:tcBorders>
            <w:shd w:val="clear" w:color="000000" w:fill="FFFFFF"/>
            <w:vAlign w:val="center"/>
            <w:hideMark/>
          </w:tcPr>
          <w:p w14:paraId="00D0A487" w14:textId="77777777" w:rsidR="003A2683" w:rsidRPr="00BA1C8E" w:rsidRDefault="003A2683" w:rsidP="00B77C0B">
            <w:pPr>
              <w:pStyle w:val="NoSpacing"/>
              <w:rPr>
                <w:rFonts w:ascii="Times New Roman" w:hAnsi="Times New Roman" w:cs="Times New Roman"/>
                <w:szCs w:val="24"/>
                <w:lang w:eastAsia="en-IN"/>
              </w:rPr>
            </w:pPr>
            <w:r w:rsidRPr="00BA1C8E">
              <w:rPr>
                <w:rFonts w:ascii="Times New Roman" w:hAnsi="Times New Roman" w:cs="Times New Roman"/>
                <w:szCs w:val="24"/>
                <w:lang w:eastAsia="en-IN"/>
              </w:rPr>
              <w:t>West Bengal</w:t>
            </w:r>
          </w:p>
        </w:tc>
        <w:tc>
          <w:tcPr>
            <w:tcW w:w="1534" w:type="dxa"/>
            <w:tcBorders>
              <w:top w:val="nil"/>
              <w:left w:val="nil"/>
              <w:bottom w:val="single" w:sz="4" w:space="0" w:color="auto"/>
              <w:right w:val="single" w:sz="4" w:space="0" w:color="auto"/>
            </w:tcBorders>
            <w:shd w:val="clear" w:color="000000" w:fill="FFFFFF"/>
            <w:vAlign w:val="center"/>
            <w:hideMark/>
          </w:tcPr>
          <w:p w14:paraId="5F4474BB" w14:textId="77777777" w:rsidR="003A2683" w:rsidRPr="00BA1C8E" w:rsidRDefault="003A2683" w:rsidP="005A7AAF">
            <w:pPr>
              <w:pStyle w:val="NoSpacing"/>
              <w:jc w:val="center"/>
              <w:rPr>
                <w:rFonts w:ascii="Times New Roman" w:hAnsi="Times New Roman" w:cs="Times New Roman"/>
                <w:szCs w:val="24"/>
                <w:lang w:eastAsia="en-IN"/>
              </w:rPr>
            </w:pPr>
            <w:r w:rsidRPr="00BA1C8E">
              <w:rPr>
                <w:rFonts w:ascii="Times New Roman" w:hAnsi="Times New Roman" w:cs="Times New Roman"/>
                <w:szCs w:val="24"/>
                <w:lang w:eastAsia="en-IN"/>
              </w:rPr>
              <w:t>2.36</w:t>
            </w:r>
          </w:p>
        </w:tc>
        <w:tc>
          <w:tcPr>
            <w:tcW w:w="1335" w:type="dxa"/>
            <w:tcBorders>
              <w:top w:val="nil"/>
              <w:left w:val="nil"/>
              <w:bottom w:val="single" w:sz="4" w:space="0" w:color="auto"/>
              <w:right w:val="single" w:sz="4" w:space="0" w:color="auto"/>
            </w:tcBorders>
            <w:shd w:val="clear" w:color="000000" w:fill="FFFFFF"/>
            <w:vAlign w:val="center"/>
            <w:hideMark/>
          </w:tcPr>
          <w:p w14:paraId="603F11C9" w14:textId="77777777" w:rsidR="003A2683" w:rsidRPr="00BA1C8E" w:rsidRDefault="003A2683" w:rsidP="005A7AAF">
            <w:pPr>
              <w:pStyle w:val="NoSpacing"/>
              <w:jc w:val="center"/>
              <w:rPr>
                <w:rFonts w:ascii="Times New Roman" w:hAnsi="Times New Roman" w:cs="Times New Roman"/>
                <w:szCs w:val="24"/>
                <w:lang w:eastAsia="en-IN"/>
              </w:rPr>
            </w:pPr>
            <w:r w:rsidRPr="00BA1C8E">
              <w:rPr>
                <w:rFonts w:ascii="Times New Roman" w:hAnsi="Times New Roman" w:cs="Times New Roman"/>
                <w:szCs w:val="24"/>
                <w:lang w:eastAsia="en-IN"/>
              </w:rPr>
              <w:t>3.21</w:t>
            </w:r>
          </w:p>
        </w:tc>
        <w:tc>
          <w:tcPr>
            <w:tcW w:w="1831" w:type="dxa"/>
            <w:tcBorders>
              <w:top w:val="nil"/>
              <w:left w:val="nil"/>
              <w:bottom w:val="single" w:sz="4" w:space="0" w:color="auto"/>
              <w:right w:val="single" w:sz="4" w:space="0" w:color="auto"/>
            </w:tcBorders>
            <w:shd w:val="clear" w:color="000000" w:fill="FFFFFF"/>
            <w:vAlign w:val="center"/>
            <w:hideMark/>
          </w:tcPr>
          <w:p w14:paraId="6E9A27E1" w14:textId="77777777" w:rsidR="003A2683" w:rsidRPr="00BA1C8E" w:rsidRDefault="003A2683" w:rsidP="005A7AAF">
            <w:pPr>
              <w:pStyle w:val="NoSpacing"/>
              <w:jc w:val="center"/>
              <w:rPr>
                <w:rFonts w:ascii="Times New Roman" w:hAnsi="Times New Roman" w:cs="Times New Roman"/>
                <w:szCs w:val="24"/>
                <w:lang w:eastAsia="en-IN"/>
              </w:rPr>
            </w:pPr>
            <w:r w:rsidRPr="00BA1C8E">
              <w:rPr>
                <w:rFonts w:ascii="Times New Roman" w:hAnsi="Times New Roman" w:cs="Times New Roman"/>
                <w:szCs w:val="24"/>
                <w:lang w:eastAsia="en-IN"/>
              </w:rPr>
              <w:t>3.42</w:t>
            </w:r>
          </w:p>
        </w:tc>
        <w:tc>
          <w:tcPr>
            <w:tcW w:w="1702" w:type="dxa"/>
            <w:tcBorders>
              <w:top w:val="nil"/>
              <w:left w:val="nil"/>
              <w:bottom w:val="single" w:sz="4" w:space="0" w:color="auto"/>
              <w:right w:val="single" w:sz="4" w:space="0" w:color="auto"/>
            </w:tcBorders>
            <w:shd w:val="clear" w:color="000000" w:fill="FFFFFF"/>
            <w:vAlign w:val="center"/>
            <w:hideMark/>
          </w:tcPr>
          <w:p w14:paraId="2AF8D71B" w14:textId="77777777" w:rsidR="003A2683" w:rsidRPr="00BA1C8E" w:rsidRDefault="003A2683" w:rsidP="005A7AAF">
            <w:pPr>
              <w:pStyle w:val="NoSpacing"/>
              <w:jc w:val="center"/>
              <w:rPr>
                <w:rFonts w:ascii="Times New Roman" w:hAnsi="Times New Roman" w:cs="Times New Roman"/>
                <w:szCs w:val="24"/>
                <w:lang w:eastAsia="en-IN"/>
              </w:rPr>
            </w:pPr>
            <w:r w:rsidRPr="00BA1C8E">
              <w:rPr>
                <w:rFonts w:ascii="Times New Roman" w:hAnsi="Times New Roman" w:cs="Times New Roman"/>
                <w:szCs w:val="24"/>
                <w:lang w:eastAsia="en-IN"/>
              </w:rPr>
              <w:t>6.64</w:t>
            </w:r>
          </w:p>
        </w:tc>
        <w:tc>
          <w:tcPr>
            <w:tcW w:w="1337" w:type="dxa"/>
            <w:tcBorders>
              <w:top w:val="nil"/>
              <w:left w:val="nil"/>
              <w:bottom w:val="single" w:sz="4" w:space="0" w:color="auto"/>
              <w:right w:val="single" w:sz="4" w:space="0" w:color="auto"/>
            </w:tcBorders>
            <w:shd w:val="clear" w:color="000000" w:fill="FFFFFF"/>
            <w:vAlign w:val="center"/>
            <w:hideMark/>
          </w:tcPr>
          <w:p w14:paraId="2760DDBC" w14:textId="77777777" w:rsidR="003A2683" w:rsidRPr="00BA1C8E" w:rsidRDefault="003A2683" w:rsidP="005A7AAF">
            <w:pPr>
              <w:pStyle w:val="NoSpacing"/>
              <w:jc w:val="center"/>
              <w:rPr>
                <w:rFonts w:ascii="Times New Roman" w:hAnsi="Times New Roman" w:cs="Times New Roman"/>
                <w:szCs w:val="24"/>
                <w:lang w:eastAsia="en-IN"/>
              </w:rPr>
            </w:pPr>
            <w:r w:rsidRPr="00BA1C8E">
              <w:rPr>
                <w:rFonts w:ascii="Times New Roman" w:hAnsi="Times New Roman" w:cs="Times New Roman"/>
                <w:szCs w:val="24"/>
                <w:lang w:eastAsia="en-IN"/>
              </w:rPr>
              <w:t>4.79</w:t>
            </w:r>
          </w:p>
        </w:tc>
        <w:tc>
          <w:tcPr>
            <w:tcW w:w="2030" w:type="dxa"/>
            <w:tcBorders>
              <w:top w:val="nil"/>
              <w:left w:val="nil"/>
              <w:bottom w:val="single" w:sz="4" w:space="0" w:color="auto"/>
              <w:right w:val="single" w:sz="4" w:space="0" w:color="auto"/>
            </w:tcBorders>
            <w:shd w:val="clear" w:color="000000" w:fill="FFFFFF"/>
            <w:vAlign w:val="center"/>
            <w:hideMark/>
          </w:tcPr>
          <w:p w14:paraId="4A272E3E" w14:textId="77777777" w:rsidR="003A2683" w:rsidRPr="00BA1C8E" w:rsidRDefault="003A2683" w:rsidP="005A7AAF">
            <w:pPr>
              <w:pStyle w:val="NoSpacing"/>
              <w:jc w:val="center"/>
              <w:rPr>
                <w:rFonts w:ascii="Times New Roman" w:hAnsi="Times New Roman" w:cs="Times New Roman"/>
                <w:szCs w:val="24"/>
                <w:lang w:eastAsia="en-IN"/>
              </w:rPr>
            </w:pPr>
            <w:r w:rsidRPr="00BA1C8E">
              <w:rPr>
                <w:rFonts w:ascii="Times New Roman" w:hAnsi="Times New Roman" w:cs="Times New Roman"/>
                <w:szCs w:val="24"/>
                <w:lang w:eastAsia="en-IN"/>
              </w:rPr>
              <w:t>2.56</w:t>
            </w:r>
          </w:p>
        </w:tc>
        <w:tc>
          <w:tcPr>
            <w:tcW w:w="1386" w:type="dxa"/>
            <w:tcBorders>
              <w:top w:val="nil"/>
              <w:left w:val="nil"/>
              <w:bottom w:val="single" w:sz="4" w:space="0" w:color="auto"/>
              <w:right w:val="single" w:sz="4" w:space="0" w:color="auto"/>
            </w:tcBorders>
            <w:shd w:val="clear" w:color="000000" w:fill="FFFFFF"/>
            <w:vAlign w:val="center"/>
            <w:hideMark/>
          </w:tcPr>
          <w:p w14:paraId="5C25DC29" w14:textId="77777777" w:rsidR="003A2683" w:rsidRPr="00BA1C8E" w:rsidRDefault="003A2683" w:rsidP="005A7AAF">
            <w:pPr>
              <w:pStyle w:val="NoSpacing"/>
              <w:jc w:val="center"/>
              <w:rPr>
                <w:rFonts w:ascii="Times New Roman" w:hAnsi="Times New Roman" w:cs="Times New Roman"/>
                <w:szCs w:val="24"/>
                <w:lang w:eastAsia="en-IN"/>
              </w:rPr>
            </w:pPr>
            <w:r w:rsidRPr="00BA1C8E">
              <w:rPr>
                <w:rFonts w:ascii="Times New Roman" w:hAnsi="Times New Roman" w:cs="Times New Roman"/>
                <w:szCs w:val="24"/>
                <w:lang w:eastAsia="en-IN"/>
              </w:rPr>
              <w:t>3.32</w:t>
            </w:r>
          </w:p>
        </w:tc>
        <w:tc>
          <w:tcPr>
            <w:tcW w:w="1434" w:type="dxa"/>
            <w:tcBorders>
              <w:top w:val="nil"/>
              <w:left w:val="nil"/>
              <w:bottom w:val="single" w:sz="4" w:space="0" w:color="auto"/>
              <w:right w:val="single" w:sz="4" w:space="0" w:color="auto"/>
            </w:tcBorders>
            <w:shd w:val="clear" w:color="000000" w:fill="FFFFFF"/>
            <w:vAlign w:val="center"/>
            <w:hideMark/>
          </w:tcPr>
          <w:p w14:paraId="337BF05B" w14:textId="3CBA0B96" w:rsidR="003A2683" w:rsidRPr="00BA1C8E" w:rsidRDefault="003A2683" w:rsidP="005A7AAF">
            <w:pPr>
              <w:pStyle w:val="NoSpacing"/>
              <w:jc w:val="center"/>
              <w:rPr>
                <w:rFonts w:ascii="Times New Roman" w:hAnsi="Times New Roman" w:cs="Times New Roman"/>
                <w:szCs w:val="24"/>
                <w:lang w:eastAsia="en-IN"/>
              </w:rPr>
            </w:pPr>
            <w:r w:rsidRPr="00BA1C8E">
              <w:rPr>
                <w:rFonts w:ascii="Times New Roman" w:hAnsi="Times New Roman" w:cs="Times New Roman"/>
                <w:szCs w:val="24"/>
                <w:lang w:eastAsia="en-IN"/>
              </w:rPr>
              <w:t>26.3</w:t>
            </w:r>
            <w:r w:rsidR="00557D12">
              <w:rPr>
                <w:rFonts w:ascii="Times New Roman" w:hAnsi="Times New Roman" w:cs="Times New Roman"/>
                <w:szCs w:val="24"/>
                <w:lang w:eastAsia="en-IN"/>
              </w:rPr>
              <w:t>0</w:t>
            </w:r>
          </w:p>
        </w:tc>
      </w:tr>
      <w:tr w:rsidR="003A2683" w:rsidRPr="00BA1C8E" w14:paraId="37C58752" w14:textId="77777777" w:rsidTr="003A2683">
        <w:trPr>
          <w:trHeight w:val="278"/>
        </w:trPr>
        <w:tc>
          <w:tcPr>
            <w:tcW w:w="2363" w:type="dxa"/>
            <w:tcBorders>
              <w:top w:val="nil"/>
              <w:left w:val="single" w:sz="4" w:space="0" w:color="auto"/>
              <w:bottom w:val="single" w:sz="4" w:space="0" w:color="auto"/>
              <w:right w:val="single" w:sz="4" w:space="0" w:color="auto"/>
            </w:tcBorders>
            <w:shd w:val="clear" w:color="000000" w:fill="FFFFFF"/>
            <w:vAlign w:val="center"/>
            <w:hideMark/>
          </w:tcPr>
          <w:p w14:paraId="5B51AC48" w14:textId="77777777" w:rsidR="003A2683" w:rsidRPr="00BA1C8E" w:rsidRDefault="003A2683" w:rsidP="00B77C0B">
            <w:pPr>
              <w:pStyle w:val="NoSpacing"/>
              <w:rPr>
                <w:rFonts w:ascii="Times New Roman" w:hAnsi="Times New Roman" w:cs="Times New Roman"/>
                <w:szCs w:val="24"/>
                <w:lang w:eastAsia="en-IN"/>
              </w:rPr>
            </w:pPr>
            <w:r w:rsidRPr="00BA1C8E">
              <w:rPr>
                <w:rFonts w:ascii="Times New Roman" w:hAnsi="Times New Roman" w:cs="Times New Roman"/>
                <w:szCs w:val="24"/>
                <w:lang w:eastAsia="en-IN"/>
              </w:rPr>
              <w:t>Gujarat</w:t>
            </w:r>
          </w:p>
        </w:tc>
        <w:tc>
          <w:tcPr>
            <w:tcW w:w="1534" w:type="dxa"/>
            <w:tcBorders>
              <w:top w:val="nil"/>
              <w:left w:val="nil"/>
              <w:bottom w:val="single" w:sz="4" w:space="0" w:color="auto"/>
              <w:right w:val="single" w:sz="4" w:space="0" w:color="auto"/>
            </w:tcBorders>
            <w:shd w:val="clear" w:color="000000" w:fill="FFFFFF"/>
            <w:vAlign w:val="center"/>
            <w:hideMark/>
          </w:tcPr>
          <w:p w14:paraId="674B307A" w14:textId="77777777" w:rsidR="003A2683" w:rsidRPr="00BA1C8E" w:rsidRDefault="003A2683" w:rsidP="005A7AAF">
            <w:pPr>
              <w:pStyle w:val="NoSpacing"/>
              <w:jc w:val="center"/>
              <w:rPr>
                <w:rFonts w:ascii="Times New Roman" w:hAnsi="Times New Roman" w:cs="Times New Roman"/>
                <w:szCs w:val="24"/>
                <w:lang w:eastAsia="en-IN"/>
              </w:rPr>
            </w:pPr>
            <w:r w:rsidRPr="00BA1C8E">
              <w:rPr>
                <w:rFonts w:ascii="Times New Roman" w:hAnsi="Times New Roman" w:cs="Times New Roman"/>
                <w:szCs w:val="24"/>
                <w:lang w:eastAsia="en-IN"/>
              </w:rPr>
              <w:t>3.54(a)</w:t>
            </w:r>
          </w:p>
        </w:tc>
        <w:tc>
          <w:tcPr>
            <w:tcW w:w="1335" w:type="dxa"/>
            <w:tcBorders>
              <w:top w:val="nil"/>
              <w:left w:val="nil"/>
              <w:bottom w:val="single" w:sz="4" w:space="0" w:color="auto"/>
              <w:right w:val="single" w:sz="4" w:space="0" w:color="auto"/>
            </w:tcBorders>
            <w:shd w:val="clear" w:color="000000" w:fill="FFFFFF"/>
            <w:vAlign w:val="center"/>
            <w:hideMark/>
          </w:tcPr>
          <w:p w14:paraId="4A8FAEDB" w14:textId="77777777" w:rsidR="003A2683" w:rsidRPr="00BA1C8E" w:rsidRDefault="003A2683" w:rsidP="005A7AAF">
            <w:pPr>
              <w:pStyle w:val="NoSpacing"/>
              <w:jc w:val="center"/>
              <w:rPr>
                <w:rFonts w:ascii="Times New Roman" w:hAnsi="Times New Roman" w:cs="Times New Roman"/>
                <w:szCs w:val="24"/>
                <w:lang w:eastAsia="en-IN"/>
              </w:rPr>
            </w:pPr>
            <w:r w:rsidRPr="00BA1C8E">
              <w:rPr>
                <w:rFonts w:ascii="Times New Roman" w:hAnsi="Times New Roman" w:cs="Times New Roman"/>
                <w:szCs w:val="24"/>
                <w:lang w:eastAsia="en-IN"/>
              </w:rPr>
              <w:t>0.26</w:t>
            </w:r>
          </w:p>
        </w:tc>
        <w:tc>
          <w:tcPr>
            <w:tcW w:w="1831" w:type="dxa"/>
            <w:tcBorders>
              <w:top w:val="nil"/>
              <w:left w:val="nil"/>
              <w:bottom w:val="single" w:sz="4" w:space="0" w:color="auto"/>
              <w:right w:val="single" w:sz="4" w:space="0" w:color="auto"/>
            </w:tcBorders>
            <w:shd w:val="clear" w:color="000000" w:fill="FFFFFF"/>
            <w:vAlign w:val="center"/>
            <w:hideMark/>
          </w:tcPr>
          <w:p w14:paraId="0533EF0A" w14:textId="77777777" w:rsidR="003A2683" w:rsidRPr="00BA1C8E" w:rsidRDefault="003A2683" w:rsidP="005A7AAF">
            <w:pPr>
              <w:pStyle w:val="NoSpacing"/>
              <w:jc w:val="center"/>
              <w:rPr>
                <w:rFonts w:ascii="Times New Roman" w:hAnsi="Times New Roman" w:cs="Times New Roman"/>
                <w:szCs w:val="24"/>
                <w:lang w:eastAsia="en-IN"/>
              </w:rPr>
            </w:pPr>
            <w:r w:rsidRPr="00BA1C8E">
              <w:rPr>
                <w:rFonts w:ascii="Times New Roman" w:hAnsi="Times New Roman" w:cs="Times New Roman"/>
                <w:szCs w:val="24"/>
                <w:lang w:eastAsia="en-IN"/>
              </w:rPr>
              <w:t>4.98</w:t>
            </w:r>
          </w:p>
        </w:tc>
        <w:tc>
          <w:tcPr>
            <w:tcW w:w="1702" w:type="dxa"/>
            <w:tcBorders>
              <w:top w:val="nil"/>
              <w:left w:val="nil"/>
              <w:bottom w:val="single" w:sz="4" w:space="0" w:color="auto"/>
              <w:right w:val="single" w:sz="4" w:space="0" w:color="auto"/>
            </w:tcBorders>
            <w:shd w:val="clear" w:color="000000" w:fill="FFFFFF"/>
            <w:vAlign w:val="center"/>
            <w:hideMark/>
          </w:tcPr>
          <w:p w14:paraId="34660031" w14:textId="77777777" w:rsidR="003A2683" w:rsidRPr="00BA1C8E" w:rsidRDefault="003A2683" w:rsidP="005A7AAF">
            <w:pPr>
              <w:pStyle w:val="NoSpacing"/>
              <w:jc w:val="center"/>
              <w:rPr>
                <w:rFonts w:ascii="Times New Roman" w:hAnsi="Times New Roman" w:cs="Times New Roman"/>
                <w:szCs w:val="24"/>
                <w:lang w:eastAsia="en-IN"/>
              </w:rPr>
            </w:pPr>
            <w:r w:rsidRPr="00BA1C8E">
              <w:rPr>
                <w:rFonts w:ascii="Times New Roman" w:hAnsi="Times New Roman" w:cs="Times New Roman"/>
                <w:szCs w:val="24"/>
                <w:lang w:eastAsia="en-IN"/>
              </w:rPr>
              <w:t>12.04</w:t>
            </w:r>
          </w:p>
        </w:tc>
        <w:tc>
          <w:tcPr>
            <w:tcW w:w="1337" w:type="dxa"/>
            <w:tcBorders>
              <w:top w:val="nil"/>
              <w:left w:val="nil"/>
              <w:bottom w:val="single" w:sz="4" w:space="0" w:color="auto"/>
              <w:right w:val="single" w:sz="4" w:space="0" w:color="auto"/>
            </w:tcBorders>
            <w:shd w:val="clear" w:color="000000" w:fill="FFFFFF"/>
            <w:vAlign w:val="center"/>
            <w:hideMark/>
          </w:tcPr>
          <w:p w14:paraId="48221C0F" w14:textId="77777777" w:rsidR="003A2683" w:rsidRPr="00BA1C8E" w:rsidRDefault="003A2683" w:rsidP="005A7AAF">
            <w:pPr>
              <w:pStyle w:val="NoSpacing"/>
              <w:jc w:val="center"/>
              <w:rPr>
                <w:rFonts w:ascii="Times New Roman" w:hAnsi="Times New Roman" w:cs="Times New Roman"/>
                <w:szCs w:val="24"/>
                <w:lang w:eastAsia="en-IN"/>
              </w:rPr>
            </w:pPr>
            <w:r w:rsidRPr="00BA1C8E">
              <w:rPr>
                <w:rFonts w:ascii="Times New Roman" w:hAnsi="Times New Roman" w:cs="Times New Roman"/>
                <w:szCs w:val="24"/>
                <w:lang w:eastAsia="en-IN"/>
              </w:rPr>
              <w:t>3.15</w:t>
            </w:r>
          </w:p>
        </w:tc>
        <w:tc>
          <w:tcPr>
            <w:tcW w:w="2030" w:type="dxa"/>
            <w:tcBorders>
              <w:top w:val="nil"/>
              <w:left w:val="nil"/>
              <w:bottom w:val="single" w:sz="4" w:space="0" w:color="auto"/>
              <w:right w:val="single" w:sz="4" w:space="0" w:color="auto"/>
            </w:tcBorders>
            <w:shd w:val="clear" w:color="000000" w:fill="FFFFFF"/>
            <w:vAlign w:val="center"/>
            <w:hideMark/>
          </w:tcPr>
          <w:p w14:paraId="5F9B577F" w14:textId="77777777" w:rsidR="003A2683" w:rsidRPr="00BA1C8E" w:rsidRDefault="003A2683" w:rsidP="005A7AAF">
            <w:pPr>
              <w:pStyle w:val="NoSpacing"/>
              <w:jc w:val="center"/>
              <w:rPr>
                <w:rFonts w:ascii="Times New Roman" w:hAnsi="Times New Roman" w:cs="Times New Roman"/>
                <w:szCs w:val="24"/>
                <w:lang w:eastAsia="en-IN"/>
              </w:rPr>
            </w:pPr>
            <w:r w:rsidRPr="00BA1C8E">
              <w:rPr>
                <w:rFonts w:ascii="Times New Roman" w:hAnsi="Times New Roman" w:cs="Times New Roman"/>
                <w:szCs w:val="24"/>
                <w:lang w:eastAsia="en-IN"/>
              </w:rPr>
              <w:t>1.91</w:t>
            </w:r>
          </w:p>
        </w:tc>
        <w:tc>
          <w:tcPr>
            <w:tcW w:w="1386" w:type="dxa"/>
            <w:tcBorders>
              <w:top w:val="nil"/>
              <w:left w:val="nil"/>
              <w:bottom w:val="single" w:sz="4" w:space="0" w:color="auto"/>
              <w:right w:val="single" w:sz="4" w:space="0" w:color="auto"/>
            </w:tcBorders>
            <w:shd w:val="clear" w:color="000000" w:fill="FFFFFF"/>
            <w:vAlign w:val="center"/>
            <w:hideMark/>
          </w:tcPr>
          <w:p w14:paraId="65787A20" w14:textId="77777777" w:rsidR="003A2683" w:rsidRPr="00BA1C8E" w:rsidRDefault="003A2683" w:rsidP="005A7AAF">
            <w:pPr>
              <w:pStyle w:val="NoSpacing"/>
              <w:jc w:val="center"/>
              <w:rPr>
                <w:rFonts w:ascii="Times New Roman" w:hAnsi="Times New Roman" w:cs="Times New Roman"/>
                <w:szCs w:val="24"/>
                <w:lang w:eastAsia="en-IN"/>
              </w:rPr>
            </w:pPr>
            <w:r w:rsidRPr="00BA1C8E">
              <w:rPr>
                <w:rFonts w:ascii="Times New Roman" w:hAnsi="Times New Roman" w:cs="Times New Roman"/>
                <w:szCs w:val="24"/>
                <w:lang w:eastAsia="en-IN"/>
              </w:rPr>
              <w:t>3.71</w:t>
            </w:r>
          </w:p>
        </w:tc>
        <w:tc>
          <w:tcPr>
            <w:tcW w:w="1434" w:type="dxa"/>
            <w:tcBorders>
              <w:top w:val="nil"/>
              <w:left w:val="nil"/>
              <w:bottom w:val="single" w:sz="4" w:space="0" w:color="auto"/>
              <w:right w:val="single" w:sz="4" w:space="0" w:color="auto"/>
            </w:tcBorders>
            <w:shd w:val="clear" w:color="000000" w:fill="FFFFFF"/>
            <w:vAlign w:val="center"/>
            <w:hideMark/>
          </w:tcPr>
          <w:p w14:paraId="59F21968" w14:textId="77777777" w:rsidR="003A2683" w:rsidRPr="00BA1C8E" w:rsidRDefault="003A2683" w:rsidP="005A7AAF">
            <w:pPr>
              <w:pStyle w:val="NoSpacing"/>
              <w:jc w:val="center"/>
              <w:rPr>
                <w:rFonts w:ascii="Times New Roman" w:hAnsi="Times New Roman" w:cs="Times New Roman"/>
                <w:szCs w:val="24"/>
                <w:lang w:eastAsia="en-IN"/>
              </w:rPr>
            </w:pPr>
            <w:r w:rsidRPr="00BA1C8E">
              <w:rPr>
                <w:rFonts w:ascii="Times New Roman" w:hAnsi="Times New Roman" w:cs="Times New Roman"/>
                <w:szCs w:val="24"/>
                <w:lang w:eastAsia="en-IN"/>
              </w:rPr>
              <w:t>29.59</w:t>
            </w:r>
          </w:p>
        </w:tc>
      </w:tr>
      <w:tr w:rsidR="003A2683" w:rsidRPr="00BA1C8E" w14:paraId="76D21D4A" w14:textId="77777777" w:rsidTr="003A2683">
        <w:trPr>
          <w:trHeight w:val="293"/>
        </w:trPr>
        <w:tc>
          <w:tcPr>
            <w:tcW w:w="2363" w:type="dxa"/>
            <w:tcBorders>
              <w:top w:val="nil"/>
              <w:left w:val="single" w:sz="4" w:space="0" w:color="auto"/>
              <w:bottom w:val="single" w:sz="4" w:space="0" w:color="auto"/>
              <w:right w:val="single" w:sz="4" w:space="0" w:color="auto"/>
            </w:tcBorders>
            <w:shd w:val="clear" w:color="000000" w:fill="FFFFFF"/>
            <w:vAlign w:val="center"/>
            <w:hideMark/>
          </w:tcPr>
          <w:p w14:paraId="2FE514C7" w14:textId="77777777" w:rsidR="003A2683" w:rsidRPr="00BA1C8E" w:rsidRDefault="003A2683" w:rsidP="00B77C0B">
            <w:pPr>
              <w:pStyle w:val="NoSpacing"/>
              <w:rPr>
                <w:rFonts w:ascii="Times New Roman" w:hAnsi="Times New Roman" w:cs="Times New Roman"/>
                <w:szCs w:val="24"/>
                <w:lang w:eastAsia="en-IN"/>
              </w:rPr>
            </w:pPr>
            <w:r w:rsidRPr="00BA1C8E">
              <w:rPr>
                <w:rFonts w:ascii="Times New Roman" w:hAnsi="Times New Roman" w:cs="Times New Roman"/>
                <w:szCs w:val="24"/>
                <w:lang w:eastAsia="en-IN"/>
              </w:rPr>
              <w:t>Haryana</w:t>
            </w:r>
          </w:p>
        </w:tc>
        <w:tc>
          <w:tcPr>
            <w:tcW w:w="1534" w:type="dxa"/>
            <w:tcBorders>
              <w:top w:val="nil"/>
              <w:left w:val="nil"/>
              <w:bottom w:val="single" w:sz="4" w:space="0" w:color="auto"/>
              <w:right w:val="single" w:sz="4" w:space="0" w:color="auto"/>
            </w:tcBorders>
            <w:shd w:val="clear" w:color="000000" w:fill="FFFFFF"/>
            <w:vAlign w:val="center"/>
            <w:hideMark/>
          </w:tcPr>
          <w:p w14:paraId="025AF4C8" w14:textId="77777777" w:rsidR="003A2683" w:rsidRPr="00BA1C8E" w:rsidRDefault="003A2683" w:rsidP="005A7AAF">
            <w:pPr>
              <w:pStyle w:val="NoSpacing"/>
              <w:jc w:val="center"/>
              <w:rPr>
                <w:rFonts w:ascii="Times New Roman" w:hAnsi="Times New Roman" w:cs="Times New Roman"/>
                <w:szCs w:val="24"/>
                <w:lang w:eastAsia="en-IN"/>
              </w:rPr>
            </w:pPr>
            <w:r w:rsidRPr="00BA1C8E">
              <w:rPr>
                <w:rFonts w:ascii="Times New Roman" w:hAnsi="Times New Roman" w:cs="Times New Roman"/>
                <w:szCs w:val="24"/>
                <w:lang w:eastAsia="en-IN"/>
              </w:rPr>
              <w:t>1.57</w:t>
            </w:r>
          </w:p>
        </w:tc>
        <w:tc>
          <w:tcPr>
            <w:tcW w:w="1335" w:type="dxa"/>
            <w:tcBorders>
              <w:top w:val="nil"/>
              <w:left w:val="nil"/>
              <w:bottom w:val="single" w:sz="4" w:space="0" w:color="auto"/>
              <w:right w:val="single" w:sz="4" w:space="0" w:color="auto"/>
            </w:tcBorders>
            <w:shd w:val="clear" w:color="000000" w:fill="FFFFFF"/>
            <w:vAlign w:val="center"/>
            <w:hideMark/>
          </w:tcPr>
          <w:p w14:paraId="766D5201" w14:textId="77777777" w:rsidR="003A2683" w:rsidRPr="00BA1C8E" w:rsidRDefault="003A2683" w:rsidP="005A7AAF">
            <w:pPr>
              <w:pStyle w:val="NoSpacing"/>
              <w:jc w:val="center"/>
              <w:rPr>
                <w:rFonts w:ascii="Times New Roman" w:hAnsi="Times New Roman" w:cs="Times New Roman"/>
                <w:szCs w:val="24"/>
                <w:lang w:eastAsia="en-IN"/>
              </w:rPr>
            </w:pPr>
            <w:r w:rsidRPr="00BA1C8E">
              <w:rPr>
                <w:rFonts w:ascii="Times New Roman" w:hAnsi="Times New Roman" w:cs="Times New Roman"/>
                <w:szCs w:val="24"/>
                <w:lang w:eastAsia="en-IN"/>
              </w:rPr>
              <w:t>6.86</w:t>
            </w:r>
          </w:p>
        </w:tc>
        <w:tc>
          <w:tcPr>
            <w:tcW w:w="1831" w:type="dxa"/>
            <w:tcBorders>
              <w:top w:val="nil"/>
              <w:left w:val="nil"/>
              <w:bottom w:val="single" w:sz="4" w:space="0" w:color="auto"/>
              <w:right w:val="single" w:sz="4" w:space="0" w:color="auto"/>
            </w:tcBorders>
            <w:shd w:val="clear" w:color="000000" w:fill="FFFFFF"/>
            <w:vAlign w:val="center"/>
            <w:hideMark/>
          </w:tcPr>
          <w:p w14:paraId="5AEFD6CB" w14:textId="77777777" w:rsidR="003A2683" w:rsidRPr="00BA1C8E" w:rsidRDefault="003A2683" w:rsidP="005A7AAF">
            <w:pPr>
              <w:pStyle w:val="NoSpacing"/>
              <w:jc w:val="center"/>
              <w:rPr>
                <w:rFonts w:ascii="Times New Roman" w:hAnsi="Times New Roman" w:cs="Times New Roman"/>
                <w:szCs w:val="24"/>
                <w:lang w:eastAsia="en-IN"/>
              </w:rPr>
            </w:pPr>
            <w:r w:rsidRPr="00BA1C8E">
              <w:rPr>
                <w:rFonts w:ascii="Times New Roman" w:hAnsi="Times New Roman" w:cs="Times New Roman"/>
                <w:szCs w:val="24"/>
                <w:lang w:eastAsia="en-IN"/>
              </w:rPr>
              <w:t>4.24</w:t>
            </w:r>
          </w:p>
        </w:tc>
        <w:tc>
          <w:tcPr>
            <w:tcW w:w="1702" w:type="dxa"/>
            <w:tcBorders>
              <w:top w:val="nil"/>
              <w:left w:val="nil"/>
              <w:bottom w:val="single" w:sz="4" w:space="0" w:color="auto"/>
              <w:right w:val="single" w:sz="4" w:space="0" w:color="auto"/>
            </w:tcBorders>
            <w:shd w:val="clear" w:color="000000" w:fill="FFFFFF"/>
            <w:vAlign w:val="center"/>
            <w:hideMark/>
          </w:tcPr>
          <w:p w14:paraId="3E0FFFD7" w14:textId="77777777" w:rsidR="003A2683" w:rsidRPr="00BA1C8E" w:rsidRDefault="003A2683" w:rsidP="005A7AAF">
            <w:pPr>
              <w:pStyle w:val="NoSpacing"/>
              <w:jc w:val="center"/>
              <w:rPr>
                <w:rFonts w:ascii="Times New Roman" w:hAnsi="Times New Roman" w:cs="Times New Roman"/>
                <w:szCs w:val="24"/>
                <w:lang w:eastAsia="en-IN"/>
              </w:rPr>
            </w:pPr>
            <w:r w:rsidRPr="00BA1C8E">
              <w:rPr>
                <w:rFonts w:ascii="Times New Roman" w:hAnsi="Times New Roman" w:cs="Times New Roman"/>
                <w:szCs w:val="24"/>
                <w:lang w:eastAsia="en-IN"/>
              </w:rPr>
              <w:t>6.15</w:t>
            </w:r>
          </w:p>
        </w:tc>
        <w:tc>
          <w:tcPr>
            <w:tcW w:w="1337" w:type="dxa"/>
            <w:tcBorders>
              <w:top w:val="nil"/>
              <w:left w:val="nil"/>
              <w:bottom w:val="single" w:sz="4" w:space="0" w:color="auto"/>
              <w:right w:val="single" w:sz="4" w:space="0" w:color="auto"/>
            </w:tcBorders>
            <w:shd w:val="clear" w:color="000000" w:fill="FFFFFF"/>
            <w:vAlign w:val="center"/>
            <w:hideMark/>
          </w:tcPr>
          <w:p w14:paraId="06D6A9A2" w14:textId="77777777" w:rsidR="003A2683" w:rsidRPr="00BA1C8E" w:rsidRDefault="003A2683" w:rsidP="005A7AAF">
            <w:pPr>
              <w:pStyle w:val="NoSpacing"/>
              <w:jc w:val="center"/>
              <w:rPr>
                <w:rFonts w:ascii="Times New Roman" w:hAnsi="Times New Roman" w:cs="Times New Roman"/>
                <w:szCs w:val="24"/>
                <w:lang w:eastAsia="en-IN"/>
              </w:rPr>
            </w:pPr>
            <w:r w:rsidRPr="00BA1C8E">
              <w:rPr>
                <w:rFonts w:ascii="Times New Roman" w:hAnsi="Times New Roman" w:cs="Times New Roman"/>
                <w:szCs w:val="24"/>
                <w:lang w:eastAsia="en-IN"/>
              </w:rPr>
              <w:t>3.89</w:t>
            </w:r>
          </w:p>
        </w:tc>
        <w:tc>
          <w:tcPr>
            <w:tcW w:w="2030" w:type="dxa"/>
            <w:tcBorders>
              <w:top w:val="nil"/>
              <w:left w:val="nil"/>
              <w:bottom w:val="single" w:sz="4" w:space="0" w:color="auto"/>
              <w:right w:val="single" w:sz="4" w:space="0" w:color="auto"/>
            </w:tcBorders>
            <w:shd w:val="clear" w:color="000000" w:fill="FFFFFF"/>
            <w:vAlign w:val="center"/>
            <w:hideMark/>
          </w:tcPr>
          <w:p w14:paraId="74366D1C" w14:textId="77777777" w:rsidR="003A2683" w:rsidRPr="00BA1C8E" w:rsidRDefault="003A2683" w:rsidP="005A7AAF">
            <w:pPr>
              <w:pStyle w:val="NoSpacing"/>
              <w:jc w:val="center"/>
              <w:rPr>
                <w:rFonts w:ascii="Times New Roman" w:hAnsi="Times New Roman" w:cs="Times New Roman"/>
                <w:szCs w:val="24"/>
                <w:lang w:eastAsia="en-IN"/>
              </w:rPr>
            </w:pPr>
            <w:r w:rsidRPr="00BA1C8E">
              <w:rPr>
                <w:rFonts w:ascii="Times New Roman" w:hAnsi="Times New Roman" w:cs="Times New Roman"/>
                <w:szCs w:val="24"/>
                <w:lang w:eastAsia="en-IN"/>
              </w:rPr>
              <w:t>3.96</w:t>
            </w:r>
          </w:p>
        </w:tc>
        <w:tc>
          <w:tcPr>
            <w:tcW w:w="1386" w:type="dxa"/>
            <w:tcBorders>
              <w:top w:val="nil"/>
              <w:left w:val="nil"/>
              <w:bottom w:val="single" w:sz="4" w:space="0" w:color="auto"/>
              <w:right w:val="single" w:sz="4" w:space="0" w:color="auto"/>
            </w:tcBorders>
            <w:shd w:val="clear" w:color="000000" w:fill="FFFFFF"/>
            <w:vAlign w:val="center"/>
            <w:hideMark/>
          </w:tcPr>
          <w:p w14:paraId="6704D364" w14:textId="77777777" w:rsidR="003A2683" w:rsidRPr="00BA1C8E" w:rsidRDefault="003A2683" w:rsidP="005A7AAF">
            <w:pPr>
              <w:pStyle w:val="NoSpacing"/>
              <w:jc w:val="center"/>
              <w:rPr>
                <w:rFonts w:ascii="Times New Roman" w:hAnsi="Times New Roman" w:cs="Times New Roman"/>
                <w:szCs w:val="24"/>
                <w:lang w:eastAsia="en-IN"/>
              </w:rPr>
            </w:pPr>
            <w:r w:rsidRPr="00BA1C8E">
              <w:rPr>
                <w:rFonts w:ascii="Times New Roman" w:hAnsi="Times New Roman" w:cs="Times New Roman"/>
                <w:szCs w:val="24"/>
                <w:lang w:eastAsia="en-IN"/>
              </w:rPr>
              <w:t>2.28</w:t>
            </w:r>
          </w:p>
        </w:tc>
        <w:tc>
          <w:tcPr>
            <w:tcW w:w="1434" w:type="dxa"/>
            <w:tcBorders>
              <w:top w:val="nil"/>
              <w:left w:val="nil"/>
              <w:bottom w:val="single" w:sz="4" w:space="0" w:color="auto"/>
              <w:right w:val="single" w:sz="4" w:space="0" w:color="auto"/>
            </w:tcBorders>
            <w:shd w:val="clear" w:color="000000" w:fill="FFFFFF"/>
            <w:vAlign w:val="center"/>
            <w:hideMark/>
          </w:tcPr>
          <w:p w14:paraId="3F2E85DC" w14:textId="77777777" w:rsidR="003A2683" w:rsidRPr="00BA1C8E" w:rsidRDefault="003A2683" w:rsidP="005A7AAF">
            <w:pPr>
              <w:pStyle w:val="NoSpacing"/>
              <w:jc w:val="center"/>
              <w:rPr>
                <w:rFonts w:ascii="Times New Roman" w:hAnsi="Times New Roman" w:cs="Times New Roman"/>
                <w:szCs w:val="24"/>
                <w:lang w:eastAsia="en-IN"/>
              </w:rPr>
            </w:pPr>
            <w:r w:rsidRPr="00BA1C8E">
              <w:rPr>
                <w:rFonts w:ascii="Times New Roman" w:hAnsi="Times New Roman" w:cs="Times New Roman"/>
                <w:szCs w:val="24"/>
                <w:lang w:eastAsia="en-IN"/>
              </w:rPr>
              <w:t>28.95</w:t>
            </w:r>
          </w:p>
        </w:tc>
      </w:tr>
      <w:tr w:rsidR="003A2683" w:rsidRPr="00BA1C8E" w14:paraId="4E62D72A" w14:textId="77777777" w:rsidTr="003A2683">
        <w:trPr>
          <w:trHeight w:val="293"/>
        </w:trPr>
        <w:tc>
          <w:tcPr>
            <w:tcW w:w="2363" w:type="dxa"/>
            <w:tcBorders>
              <w:top w:val="nil"/>
              <w:left w:val="single" w:sz="4" w:space="0" w:color="auto"/>
              <w:bottom w:val="single" w:sz="4" w:space="0" w:color="auto"/>
              <w:right w:val="single" w:sz="4" w:space="0" w:color="auto"/>
            </w:tcBorders>
            <w:shd w:val="clear" w:color="000000" w:fill="FFFFFF"/>
            <w:vAlign w:val="center"/>
            <w:hideMark/>
          </w:tcPr>
          <w:p w14:paraId="75BA8DF3" w14:textId="77777777" w:rsidR="003A2683" w:rsidRPr="00BA1C8E" w:rsidRDefault="003A2683" w:rsidP="00B77C0B">
            <w:pPr>
              <w:pStyle w:val="NoSpacing"/>
              <w:rPr>
                <w:rFonts w:ascii="Times New Roman" w:hAnsi="Times New Roman" w:cs="Times New Roman"/>
                <w:szCs w:val="24"/>
                <w:lang w:eastAsia="en-IN"/>
              </w:rPr>
            </w:pPr>
            <w:r w:rsidRPr="00BA1C8E">
              <w:rPr>
                <w:rFonts w:ascii="Times New Roman" w:hAnsi="Times New Roman" w:cs="Times New Roman"/>
                <w:szCs w:val="24"/>
                <w:lang w:eastAsia="en-IN"/>
              </w:rPr>
              <w:t>Tamil Nadu</w:t>
            </w:r>
          </w:p>
        </w:tc>
        <w:tc>
          <w:tcPr>
            <w:tcW w:w="1534" w:type="dxa"/>
            <w:tcBorders>
              <w:top w:val="nil"/>
              <w:left w:val="nil"/>
              <w:bottom w:val="single" w:sz="4" w:space="0" w:color="auto"/>
              <w:right w:val="single" w:sz="4" w:space="0" w:color="auto"/>
            </w:tcBorders>
            <w:shd w:val="clear" w:color="000000" w:fill="FFFFFF"/>
            <w:vAlign w:val="center"/>
            <w:hideMark/>
          </w:tcPr>
          <w:p w14:paraId="10E49D0A" w14:textId="77777777" w:rsidR="003A2683" w:rsidRPr="00BA1C8E" w:rsidRDefault="003A2683" w:rsidP="005A7AAF">
            <w:pPr>
              <w:pStyle w:val="NoSpacing"/>
              <w:jc w:val="center"/>
              <w:rPr>
                <w:rFonts w:ascii="Times New Roman" w:hAnsi="Times New Roman" w:cs="Times New Roman"/>
                <w:szCs w:val="24"/>
                <w:lang w:eastAsia="en-IN"/>
              </w:rPr>
            </w:pPr>
            <w:r w:rsidRPr="00BA1C8E">
              <w:rPr>
                <w:rFonts w:ascii="Times New Roman" w:hAnsi="Times New Roman" w:cs="Times New Roman"/>
                <w:szCs w:val="24"/>
                <w:lang w:eastAsia="en-IN"/>
              </w:rPr>
              <w:t>1.85</w:t>
            </w:r>
          </w:p>
        </w:tc>
        <w:tc>
          <w:tcPr>
            <w:tcW w:w="1335" w:type="dxa"/>
            <w:tcBorders>
              <w:top w:val="nil"/>
              <w:left w:val="nil"/>
              <w:bottom w:val="single" w:sz="4" w:space="0" w:color="auto"/>
              <w:right w:val="single" w:sz="4" w:space="0" w:color="auto"/>
            </w:tcBorders>
            <w:shd w:val="clear" w:color="000000" w:fill="FFFFFF"/>
            <w:vAlign w:val="center"/>
            <w:hideMark/>
          </w:tcPr>
          <w:p w14:paraId="2D69428E" w14:textId="485B525B" w:rsidR="003A2683" w:rsidRPr="00BA1C8E" w:rsidRDefault="003A2683" w:rsidP="005A7AAF">
            <w:pPr>
              <w:pStyle w:val="NoSpacing"/>
              <w:jc w:val="center"/>
              <w:rPr>
                <w:rFonts w:ascii="Times New Roman" w:hAnsi="Times New Roman" w:cs="Times New Roman"/>
                <w:szCs w:val="24"/>
                <w:lang w:eastAsia="en-IN"/>
              </w:rPr>
            </w:pPr>
            <w:r w:rsidRPr="00BA1C8E">
              <w:rPr>
                <w:rFonts w:ascii="Times New Roman" w:hAnsi="Times New Roman" w:cs="Times New Roman"/>
                <w:szCs w:val="24"/>
                <w:lang w:eastAsia="en-IN"/>
              </w:rPr>
              <w:t>0.2</w:t>
            </w:r>
            <w:r w:rsidR="00557D12">
              <w:rPr>
                <w:rFonts w:ascii="Times New Roman" w:hAnsi="Times New Roman" w:cs="Times New Roman"/>
                <w:szCs w:val="24"/>
                <w:lang w:eastAsia="en-IN"/>
              </w:rPr>
              <w:t>0</w:t>
            </w:r>
          </w:p>
        </w:tc>
        <w:tc>
          <w:tcPr>
            <w:tcW w:w="1831" w:type="dxa"/>
            <w:tcBorders>
              <w:top w:val="nil"/>
              <w:left w:val="nil"/>
              <w:bottom w:val="single" w:sz="4" w:space="0" w:color="auto"/>
              <w:right w:val="single" w:sz="4" w:space="0" w:color="auto"/>
            </w:tcBorders>
            <w:shd w:val="clear" w:color="000000" w:fill="FFFFFF"/>
            <w:vAlign w:val="center"/>
            <w:hideMark/>
          </w:tcPr>
          <w:p w14:paraId="3A2B04B9" w14:textId="77777777" w:rsidR="003A2683" w:rsidRPr="00BA1C8E" w:rsidRDefault="003A2683" w:rsidP="005A7AAF">
            <w:pPr>
              <w:pStyle w:val="NoSpacing"/>
              <w:jc w:val="center"/>
              <w:rPr>
                <w:rFonts w:ascii="Times New Roman" w:hAnsi="Times New Roman" w:cs="Times New Roman"/>
                <w:szCs w:val="24"/>
                <w:lang w:eastAsia="en-IN"/>
              </w:rPr>
            </w:pPr>
            <w:r w:rsidRPr="00BA1C8E">
              <w:rPr>
                <w:rFonts w:ascii="Times New Roman" w:hAnsi="Times New Roman" w:cs="Times New Roman"/>
                <w:szCs w:val="24"/>
                <w:lang w:eastAsia="en-IN"/>
              </w:rPr>
              <w:t>5.89</w:t>
            </w:r>
          </w:p>
        </w:tc>
        <w:tc>
          <w:tcPr>
            <w:tcW w:w="1702" w:type="dxa"/>
            <w:tcBorders>
              <w:top w:val="nil"/>
              <w:left w:val="nil"/>
              <w:bottom w:val="single" w:sz="4" w:space="0" w:color="auto"/>
              <w:right w:val="single" w:sz="4" w:space="0" w:color="auto"/>
            </w:tcBorders>
            <w:shd w:val="clear" w:color="000000" w:fill="FFFFFF"/>
            <w:vAlign w:val="center"/>
            <w:hideMark/>
          </w:tcPr>
          <w:p w14:paraId="1F60FD75" w14:textId="77777777" w:rsidR="003A2683" w:rsidRPr="00BA1C8E" w:rsidRDefault="003A2683" w:rsidP="005A7AAF">
            <w:pPr>
              <w:pStyle w:val="NoSpacing"/>
              <w:jc w:val="center"/>
              <w:rPr>
                <w:rFonts w:ascii="Times New Roman" w:hAnsi="Times New Roman" w:cs="Times New Roman"/>
                <w:szCs w:val="24"/>
                <w:lang w:eastAsia="en-IN"/>
              </w:rPr>
            </w:pPr>
            <w:r w:rsidRPr="00BA1C8E">
              <w:rPr>
                <w:rFonts w:ascii="Times New Roman" w:hAnsi="Times New Roman" w:cs="Times New Roman"/>
                <w:szCs w:val="24"/>
                <w:lang w:eastAsia="en-IN"/>
              </w:rPr>
              <w:t>11.01</w:t>
            </w:r>
          </w:p>
        </w:tc>
        <w:tc>
          <w:tcPr>
            <w:tcW w:w="1337" w:type="dxa"/>
            <w:tcBorders>
              <w:top w:val="nil"/>
              <w:left w:val="nil"/>
              <w:bottom w:val="single" w:sz="4" w:space="0" w:color="auto"/>
              <w:right w:val="single" w:sz="4" w:space="0" w:color="auto"/>
            </w:tcBorders>
            <w:shd w:val="clear" w:color="000000" w:fill="FFFFFF"/>
            <w:vAlign w:val="center"/>
            <w:hideMark/>
          </w:tcPr>
          <w:p w14:paraId="66E83995" w14:textId="77777777" w:rsidR="003A2683" w:rsidRPr="00BA1C8E" w:rsidRDefault="003A2683" w:rsidP="005A7AAF">
            <w:pPr>
              <w:pStyle w:val="NoSpacing"/>
              <w:jc w:val="center"/>
              <w:rPr>
                <w:rFonts w:ascii="Times New Roman" w:hAnsi="Times New Roman" w:cs="Times New Roman"/>
                <w:szCs w:val="24"/>
                <w:lang w:eastAsia="en-IN"/>
              </w:rPr>
            </w:pPr>
            <w:r w:rsidRPr="00BA1C8E">
              <w:rPr>
                <w:rFonts w:ascii="Times New Roman" w:hAnsi="Times New Roman" w:cs="Times New Roman"/>
                <w:szCs w:val="24"/>
                <w:lang w:eastAsia="en-IN"/>
              </w:rPr>
              <w:t>2.76</w:t>
            </w:r>
          </w:p>
        </w:tc>
        <w:tc>
          <w:tcPr>
            <w:tcW w:w="2030" w:type="dxa"/>
            <w:tcBorders>
              <w:top w:val="nil"/>
              <w:left w:val="nil"/>
              <w:bottom w:val="single" w:sz="4" w:space="0" w:color="auto"/>
              <w:right w:val="single" w:sz="4" w:space="0" w:color="auto"/>
            </w:tcBorders>
            <w:shd w:val="clear" w:color="000000" w:fill="FFFFFF"/>
            <w:vAlign w:val="center"/>
            <w:hideMark/>
          </w:tcPr>
          <w:p w14:paraId="75F5FF4A" w14:textId="77777777" w:rsidR="003A2683" w:rsidRPr="00BA1C8E" w:rsidRDefault="003A2683" w:rsidP="005A7AAF">
            <w:pPr>
              <w:pStyle w:val="NoSpacing"/>
              <w:jc w:val="center"/>
              <w:rPr>
                <w:rFonts w:ascii="Times New Roman" w:hAnsi="Times New Roman" w:cs="Times New Roman"/>
                <w:szCs w:val="24"/>
                <w:lang w:eastAsia="en-IN"/>
              </w:rPr>
            </w:pPr>
            <w:r w:rsidRPr="00BA1C8E">
              <w:rPr>
                <w:rFonts w:ascii="Times New Roman" w:hAnsi="Times New Roman" w:cs="Times New Roman"/>
                <w:szCs w:val="24"/>
                <w:lang w:eastAsia="en-IN"/>
              </w:rPr>
              <w:t>3.58</w:t>
            </w:r>
          </w:p>
        </w:tc>
        <w:tc>
          <w:tcPr>
            <w:tcW w:w="1386" w:type="dxa"/>
            <w:tcBorders>
              <w:top w:val="nil"/>
              <w:left w:val="nil"/>
              <w:bottom w:val="single" w:sz="4" w:space="0" w:color="auto"/>
              <w:right w:val="single" w:sz="4" w:space="0" w:color="auto"/>
            </w:tcBorders>
            <w:shd w:val="clear" w:color="000000" w:fill="FFFFFF"/>
            <w:vAlign w:val="center"/>
            <w:hideMark/>
          </w:tcPr>
          <w:p w14:paraId="794FA4E1" w14:textId="77777777" w:rsidR="003A2683" w:rsidRPr="00BA1C8E" w:rsidRDefault="003A2683" w:rsidP="005A7AAF">
            <w:pPr>
              <w:pStyle w:val="NoSpacing"/>
              <w:jc w:val="center"/>
              <w:rPr>
                <w:rFonts w:ascii="Times New Roman" w:hAnsi="Times New Roman" w:cs="Times New Roman"/>
                <w:szCs w:val="24"/>
                <w:lang w:eastAsia="en-IN"/>
              </w:rPr>
            </w:pPr>
            <w:r w:rsidRPr="00BA1C8E">
              <w:rPr>
                <w:rFonts w:ascii="Times New Roman" w:hAnsi="Times New Roman" w:cs="Times New Roman"/>
                <w:szCs w:val="24"/>
                <w:lang w:eastAsia="en-IN"/>
              </w:rPr>
              <w:t>4.08</w:t>
            </w:r>
          </w:p>
        </w:tc>
        <w:tc>
          <w:tcPr>
            <w:tcW w:w="1434" w:type="dxa"/>
            <w:tcBorders>
              <w:top w:val="nil"/>
              <w:left w:val="nil"/>
              <w:bottom w:val="single" w:sz="4" w:space="0" w:color="auto"/>
              <w:right w:val="single" w:sz="4" w:space="0" w:color="auto"/>
            </w:tcBorders>
            <w:shd w:val="clear" w:color="000000" w:fill="FFFFFF"/>
            <w:vAlign w:val="center"/>
            <w:hideMark/>
          </w:tcPr>
          <w:p w14:paraId="7F753442" w14:textId="77777777" w:rsidR="003A2683" w:rsidRPr="00BA1C8E" w:rsidRDefault="003A2683" w:rsidP="005A7AAF">
            <w:pPr>
              <w:pStyle w:val="NoSpacing"/>
              <w:jc w:val="center"/>
              <w:rPr>
                <w:rFonts w:ascii="Times New Roman" w:hAnsi="Times New Roman" w:cs="Times New Roman"/>
                <w:szCs w:val="24"/>
                <w:lang w:eastAsia="en-IN"/>
              </w:rPr>
            </w:pPr>
            <w:r w:rsidRPr="00BA1C8E">
              <w:rPr>
                <w:rFonts w:ascii="Times New Roman" w:hAnsi="Times New Roman" w:cs="Times New Roman"/>
                <w:szCs w:val="24"/>
                <w:lang w:eastAsia="en-IN"/>
              </w:rPr>
              <w:t>29.37</w:t>
            </w:r>
          </w:p>
        </w:tc>
      </w:tr>
      <w:tr w:rsidR="003A2683" w:rsidRPr="00BA1C8E" w14:paraId="4F153CC7" w14:textId="77777777" w:rsidTr="003A2683">
        <w:trPr>
          <w:trHeight w:val="278"/>
        </w:trPr>
        <w:tc>
          <w:tcPr>
            <w:tcW w:w="2363" w:type="dxa"/>
            <w:tcBorders>
              <w:top w:val="nil"/>
              <w:left w:val="single" w:sz="4" w:space="0" w:color="auto"/>
              <w:bottom w:val="single" w:sz="4" w:space="0" w:color="auto"/>
              <w:right w:val="single" w:sz="4" w:space="0" w:color="auto"/>
            </w:tcBorders>
            <w:shd w:val="clear" w:color="000000" w:fill="FFFFFF"/>
            <w:vAlign w:val="center"/>
            <w:hideMark/>
          </w:tcPr>
          <w:p w14:paraId="40E54498" w14:textId="77777777" w:rsidR="003A2683" w:rsidRPr="00BA1C8E" w:rsidRDefault="003A2683" w:rsidP="00B77C0B">
            <w:pPr>
              <w:pStyle w:val="NoSpacing"/>
              <w:rPr>
                <w:rFonts w:ascii="Times New Roman" w:hAnsi="Times New Roman" w:cs="Times New Roman"/>
                <w:szCs w:val="24"/>
                <w:lang w:eastAsia="en-IN"/>
              </w:rPr>
            </w:pPr>
            <w:r w:rsidRPr="00BA1C8E">
              <w:rPr>
                <w:rFonts w:ascii="Times New Roman" w:hAnsi="Times New Roman" w:cs="Times New Roman"/>
                <w:szCs w:val="24"/>
                <w:lang w:eastAsia="en-IN"/>
              </w:rPr>
              <w:t>Assam</w:t>
            </w:r>
          </w:p>
        </w:tc>
        <w:tc>
          <w:tcPr>
            <w:tcW w:w="1534" w:type="dxa"/>
            <w:tcBorders>
              <w:top w:val="nil"/>
              <w:left w:val="nil"/>
              <w:bottom w:val="single" w:sz="4" w:space="0" w:color="auto"/>
              <w:right w:val="single" w:sz="4" w:space="0" w:color="auto"/>
            </w:tcBorders>
            <w:shd w:val="clear" w:color="000000" w:fill="FFFFFF"/>
            <w:vAlign w:val="center"/>
            <w:hideMark/>
          </w:tcPr>
          <w:p w14:paraId="368548FF" w14:textId="77777777" w:rsidR="003A2683" w:rsidRPr="00BA1C8E" w:rsidRDefault="003A2683" w:rsidP="005A7AAF">
            <w:pPr>
              <w:pStyle w:val="NoSpacing"/>
              <w:jc w:val="center"/>
              <w:rPr>
                <w:rFonts w:ascii="Times New Roman" w:hAnsi="Times New Roman" w:cs="Times New Roman"/>
                <w:szCs w:val="24"/>
                <w:lang w:eastAsia="en-IN"/>
              </w:rPr>
            </w:pPr>
            <w:r w:rsidRPr="00BA1C8E">
              <w:rPr>
                <w:rFonts w:ascii="Times New Roman" w:hAnsi="Times New Roman" w:cs="Times New Roman"/>
                <w:szCs w:val="24"/>
                <w:lang w:eastAsia="en-IN"/>
              </w:rPr>
              <w:t>6.10(a)</w:t>
            </w:r>
          </w:p>
        </w:tc>
        <w:tc>
          <w:tcPr>
            <w:tcW w:w="1335" w:type="dxa"/>
            <w:tcBorders>
              <w:top w:val="nil"/>
              <w:left w:val="nil"/>
              <w:bottom w:val="single" w:sz="4" w:space="0" w:color="auto"/>
              <w:right w:val="single" w:sz="4" w:space="0" w:color="auto"/>
            </w:tcBorders>
            <w:shd w:val="clear" w:color="000000" w:fill="FFFFFF"/>
            <w:vAlign w:val="center"/>
            <w:hideMark/>
          </w:tcPr>
          <w:p w14:paraId="324E26F2" w14:textId="7273573B" w:rsidR="003A2683" w:rsidRPr="00BA1C8E" w:rsidRDefault="003A2683" w:rsidP="005A7AAF">
            <w:pPr>
              <w:pStyle w:val="NoSpacing"/>
              <w:jc w:val="center"/>
              <w:rPr>
                <w:rFonts w:ascii="Times New Roman" w:hAnsi="Times New Roman" w:cs="Times New Roman"/>
                <w:szCs w:val="24"/>
                <w:lang w:eastAsia="en-IN"/>
              </w:rPr>
            </w:pPr>
            <w:r w:rsidRPr="00BA1C8E">
              <w:rPr>
                <w:rFonts w:ascii="Times New Roman" w:hAnsi="Times New Roman" w:cs="Times New Roman"/>
                <w:szCs w:val="24"/>
                <w:lang w:eastAsia="en-IN"/>
              </w:rPr>
              <w:t>2.1</w:t>
            </w:r>
            <w:r w:rsidR="00557D12">
              <w:rPr>
                <w:rFonts w:ascii="Times New Roman" w:hAnsi="Times New Roman" w:cs="Times New Roman"/>
                <w:szCs w:val="24"/>
                <w:lang w:eastAsia="en-IN"/>
              </w:rPr>
              <w:t>0</w:t>
            </w:r>
          </w:p>
        </w:tc>
        <w:tc>
          <w:tcPr>
            <w:tcW w:w="1831" w:type="dxa"/>
            <w:tcBorders>
              <w:top w:val="nil"/>
              <w:left w:val="nil"/>
              <w:bottom w:val="single" w:sz="4" w:space="0" w:color="auto"/>
              <w:right w:val="single" w:sz="4" w:space="0" w:color="auto"/>
            </w:tcBorders>
            <w:shd w:val="clear" w:color="000000" w:fill="FFFFFF"/>
            <w:vAlign w:val="center"/>
            <w:hideMark/>
          </w:tcPr>
          <w:p w14:paraId="7B38D040" w14:textId="77777777" w:rsidR="003A2683" w:rsidRPr="00BA1C8E" w:rsidRDefault="003A2683" w:rsidP="005A7AAF">
            <w:pPr>
              <w:pStyle w:val="NoSpacing"/>
              <w:jc w:val="center"/>
              <w:rPr>
                <w:rFonts w:ascii="Times New Roman" w:hAnsi="Times New Roman" w:cs="Times New Roman"/>
                <w:szCs w:val="24"/>
                <w:lang w:eastAsia="en-IN"/>
              </w:rPr>
            </w:pPr>
            <w:r w:rsidRPr="00BA1C8E">
              <w:rPr>
                <w:rFonts w:ascii="Times New Roman" w:hAnsi="Times New Roman" w:cs="Times New Roman"/>
                <w:szCs w:val="24"/>
                <w:lang w:eastAsia="en-IN"/>
              </w:rPr>
              <w:t>3.04</w:t>
            </w:r>
          </w:p>
        </w:tc>
        <w:tc>
          <w:tcPr>
            <w:tcW w:w="1702" w:type="dxa"/>
            <w:tcBorders>
              <w:top w:val="nil"/>
              <w:left w:val="nil"/>
              <w:bottom w:val="single" w:sz="4" w:space="0" w:color="auto"/>
              <w:right w:val="single" w:sz="4" w:space="0" w:color="auto"/>
            </w:tcBorders>
            <w:shd w:val="clear" w:color="000000" w:fill="FFFFFF"/>
            <w:vAlign w:val="center"/>
            <w:hideMark/>
          </w:tcPr>
          <w:p w14:paraId="4D9A2C3F" w14:textId="77777777" w:rsidR="003A2683" w:rsidRPr="00BA1C8E" w:rsidRDefault="003A2683" w:rsidP="005A7AAF">
            <w:pPr>
              <w:pStyle w:val="NoSpacing"/>
              <w:jc w:val="center"/>
              <w:rPr>
                <w:rFonts w:ascii="Times New Roman" w:hAnsi="Times New Roman" w:cs="Times New Roman"/>
                <w:szCs w:val="24"/>
                <w:lang w:eastAsia="en-IN"/>
              </w:rPr>
            </w:pPr>
            <w:r w:rsidRPr="00BA1C8E">
              <w:rPr>
                <w:rFonts w:ascii="Times New Roman" w:hAnsi="Times New Roman" w:cs="Times New Roman"/>
                <w:szCs w:val="24"/>
                <w:lang w:eastAsia="en-IN"/>
              </w:rPr>
              <w:t>5.23</w:t>
            </w:r>
          </w:p>
        </w:tc>
        <w:tc>
          <w:tcPr>
            <w:tcW w:w="1337" w:type="dxa"/>
            <w:tcBorders>
              <w:top w:val="nil"/>
              <w:left w:val="nil"/>
              <w:bottom w:val="single" w:sz="4" w:space="0" w:color="auto"/>
              <w:right w:val="single" w:sz="4" w:space="0" w:color="auto"/>
            </w:tcBorders>
            <w:shd w:val="clear" w:color="000000" w:fill="FFFFFF"/>
            <w:vAlign w:val="center"/>
            <w:hideMark/>
          </w:tcPr>
          <w:p w14:paraId="2EA0569D" w14:textId="77777777" w:rsidR="003A2683" w:rsidRPr="00BA1C8E" w:rsidRDefault="003A2683" w:rsidP="005A7AAF">
            <w:pPr>
              <w:pStyle w:val="NoSpacing"/>
              <w:jc w:val="center"/>
              <w:rPr>
                <w:rFonts w:ascii="Times New Roman" w:hAnsi="Times New Roman" w:cs="Times New Roman"/>
                <w:szCs w:val="24"/>
                <w:lang w:eastAsia="en-IN"/>
              </w:rPr>
            </w:pPr>
            <w:r w:rsidRPr="00BA1C8E">
              <w:rPr>
                <w:rFonts w:ascii="Times New Roman" w:hAnsi="Times New Roman" w:cs="Times New Roman"/>
                <w:szCs w:val="24"/>
                <w:lang w:eastAsia="en-IN"/>
              </w:rPr>
              <w:t>0.42</w:t>
            </w:r>
          </w:p>
        </w:tc>
        <w:tc>
          <w:tcPr>
            <w:tcW w:w="2030" w:type="dxa"/>
            <w:tcBorders>
              <w:top w:val="nil"/>
              <w:left w:val="nil"/>
              <w:bottom w:val="single" w:sz="4" w:space="0" w:color="auto"/>
              <w:right w:val="single" w:sz="4" w:space="0" w:color="auto"/>
            </w:tcBorders>
            <w:shd w:val="clear" w:color="000000" w:fill="FFFFFF"/>
            <w:vAlign w:val="center"/>
            <w:hideMark/>
          </w:tcPr>
          <w:p w14:paraId="582783D3" w14:textId="77777777" w:rsidR="003A2683" w:rsidRPr="00BA1C8E" w:rsidRDefault="003A2683" w:rsidP="005A7AAF">
            <w:pPr>
              <w:pStyle w:val="NoSpacing"/>
              <w:jc w:val="center"/>
              <w:rPr>
                <w:rFonts w:ascii="Times New Roman" w:hAnsi="Times New Roman" w:cs="Times New Roman"/>
                <w:szCs w:val="24"/>
                <w:lang w:eastAsia="en-IN"/>
              </w:rPr>
            </w:pPr>
            <w:r w:rsidRPr="00BA1C8E">
              <w:rPr>
                <w:rFonts w:ascii="Times New Roman" w:hAnsi="Times New Roman" w:cs="Times New Roman"/>
                <w:szCs w:val="24"/>
                <w:lang w:eastAsia="en-IN"/>
              </w:rPr>
              <w:t>1.01</w:t>
            </w:r>
          </w:p>
        </w:tc>
        <w:tc>
          <w:tcPr>
            <w:tcW w:w="1386" w:type="dxa"/>
            <w:tcBorders>
              <w:top w:val="nil"/>
              <w:left w:val="nil"/>
              <w:bottom w:val="single" w:sz="4" w:space="0" w:color="auto"/>
              <w:right w:val="single" w:sz="4" w:space="0" w:color="auto"/>
            </w:tcBorders>
            <w:shd w:val="clear" w:color="000000" w:fill="FFFFFF"/>
            <w:vAlign w:val="center"/>
            <w:hideMark/>
          </w:tcPr>
          <w:p w14:paraId="7EF917BB" w14:textId="77777777" w:rsidR="003A2683" w:rsidRPr="00BA1C8E" w:rsidRDefault="003A2683" w:rsidP="005A7AAF">
            <w:pPr>
              <w:pStyle w:val="NoSpacing"/>
              <w:jc w:val="center"/>
              <w:rPr>
                <w:rFonts w:ascii="Times New Roman" w:hAnsi="Times New Roman" w:cs="Times New Roman"/>
                <w:szCs w:val="24"/>
                <w:lang w:eastAsia="en-IN"/>
              </w:rPr>
            </w:pPr>
            <w:r w:rsidRPr="00BA1C8E">
              <w:rPr>
                <w:rFonts w:ascii="Times New Roman" w:hAnsi="Times New Roman" w:cs="Times New Roman"/>
                <w:szCs w:val="24"/>
                <w:lang w:eastAsia="en-IN"/>
              </w:rPr>
              <w:t>0.76</w:t>
            </w:r>
          </w:p>
        </w:tc>
        <w:tc>
          <w:tcPr>
            <w:tcW w:w="1434" w:type="dxa"/>
            <w:tcBorders>
              <w:top w:val="nil"/>
              <w:left w:val="nil"/>
              <w:bottom w:val="single" w:sz="4" w:space="0" w:color="auto"/>
              <w:right w:val="single" w:sz="4" w:space="0" w:color="auto"/>
            </w:tcBorders>
            <w:shd w:val="clear" w:color="000000" w:fill="FFFFFF"/>
            <w:vAlign w:val="center"/>
            <w:hideMark/>
          </w:tcPr>
          <w:p w14:paraId="35105838" w14:textId="77777777" w:rsidR="003A2683" w:rsidRPr="00BA1C8E" w:rsidRDefault="003A2683" w:rsidP="005A7AAF">
            <w:pPr>
              <w:pStyle w:val="NoSpacing"/>
              <w:jc w:val="center"/>
              <w:rPr>
                <w:rFonts w:ascii="Times New Roman" w:hAnsi="Times New Roman" w:cs="Times New Roman"/>
                <w:szCs w:val="24"/>
                <w:lang w:eastAsia="en-IN"/>
              </w:rPr>
            </w:pPr>
            <w:r w:rsidRPr="00BA1C8E">
              <w:rPr>
                <w:rFonts w:ascii="Times New Roman" w:hAnsi="Times New Roman" w:cs="Times New Roman"/>
                <w:szCs w:val="24"/>
                <w:lang w:eastAsia="en-IN"/>
              </w:rPr>
              <w:t>18.66</w:t>
            </w:r>
          </w:p>
        </w:tc>
      </w:tr>
      <w:tr w:rsidR="003A2683" w:rsidRPr="00BA1C8E" w14:paraId="78636693" w14:textId="77777777" w:rsidTr="003A2683">
        <w:trPr>
          <w:trHeight w:val="440"/>
        </w:trPr>
        <w:tc>
          <w:tcPr>
            <w:tcW w:w="2363" w:type="dxa"/>
            <w:tcBorders>
              <w:top w:val="nil"/>
              <w:left w:val="single" w:sz="4" w:space="0" w:color="auto"/>
              <w:bottom w:val="single" w:sz="4" w:space="0" w:color="auto"/>
              <w:right w:val="single" w:sz="4" w:space="0" w:color="auto"/>
            </w:tcBorders>
            <w:shd w:val="clear" w:color="000000" w:fill="FFFFFF"/>
            <w:vAlign w:val="center"/>
            <w:hideMark/>
          </w:tcPr>
          <w:p w14:paraId="7CC96F5D" w14:textId="77777777" w:rsidR="003A2683" w:rsidRPr="00BA1C8E" w:rsidRDefault="003A2683" w:rsidP="00B77C0B">
            <w:pPr>
              <w:pStyle w:val="NoSpacing"/>
              <w:rPr>
                <w:rFonts w:ascii="Times New Roman" w:hAnsi="Times New Roman" w:cs="Times New Roman"/>
                <w:szCs w:val="24"/>
                <w:lang w:eastAsia="en-IN"/>
              </w:rPr>
            </w:pPr>
            <w:r w:rsidRPr="00BA1C8E">
              <w:rPr>
                <w:rFonts w:ascii="Times New Roman" w:hAnsi="Times New Roman" w:cs="Times New Roman"/>
                <w:szCs w:val="24"/>
                <w:lang w:eastAsia="en-IN"/>
              </w:rPr>
              <w:t>Andhra Pradesh</w:t>
            </w:r>
          </w:p>
        </w:tc>
        <w:tc>
          <w:tcPr>
            <w:tcW w:w="1534" w:type="dxa"/>
            <w:tcBorders>
              <w:top w:val="nil"/>
              <w:left w:val="nil"/>
              <w:bottom w:val="single" w:sz="4" w:space="0" w:color="auto"/>
              <w:right w:val="single" w:sz="4" w:space="0" w:color="auto"/>
            </w:tcBorders>
            <w:shd w:val="clear" w:color="000000" w:fill="FFFFFF"/>
            <w:vAlign w:val="center"/>
            <w:hideMark/>
          </w:tcPr>
          <w:p w14:paraId="56C23127" w14:textId="77777777" w:rsidR="003A2683" w:rsidRPr="00BA1C8E" w:rsidRDefault="003A2683" w:rsidP="005A7AAF">
            <w:pPr>
              <w:pStyle w:val="NoSpacing"/>
              <w:jc w:val="center"/>
              <w:rPr>
                <w:rFonts w:ascii="Times New Roman" w:hAnsi="Times New Roman" w:cs="Times New Roman"/>
                <w:szCs w:val="24"/>
                <w:lang w:eastAsia="en-IN"/>
              </w:rPr>
            </w:pPr>
            <w:r w:rsidRPr="00BA1C8E">
              <w:rPr>
                <w:rFonts w:ascii="Times New Roman" w:hAnsi="Times New Roman" w:cs="Times New Roman"/>
                <w:szCs w:val="24"/>
                <w:lang w:eastAsia="en-IN"/>
              </w:rPr>
              <w:t>1.96</w:t>
            </w:r>
          </w:p>
        </w:tc>
        <w:tc>
          <w:tcPr>
            <w:tcW w:w="1335" w:type="dxa"/>
            <w:tcBorders>
              <w:top w:val="nil"/>
              <w:left w:val="nil"/>
              <w:bottom w:val="single" w:sz="4" w:space="0" w:color="auto"/>
              <w:right w:val="single" w:sz="4" w:space="0" w:color="auto"/>
            </w:tcBorders>
            <w:shd w:val="clear" w:color="000000" w:fill="FFFFFF"/>
            <w:vAlign w:val="center"/>
            <w:hideMark/>
          </w:tcPr>
          <w:p w14:paraId="72E4946F" w14:textId="77777777" w:rsidR="003A2683" w:rsidRPr="00BA1C8E" w:rsidRDefault="003A2683" w:rsidP="005A7AAF">
            <w:pPr>
              <w:pStyle w:val="NoSpacing"/>
              <w:jc w:val="center"/>
              <w:rPr>
                <w:rFonts w:ascii="Times New Roman" w:hAnsi="Times New Roman" w:cs="Times New Roman"/>
                <w:szCs w:val="24"/>
                <w:lang w:eastAsia="en-IN"/>
              </w:rPr>
            </w:pPr>
            <w:r w:rsidRPr="00BA1C8E">
              <w:rPr>
                <w:rFonts w:ascii="Times New Roman" w:hAnsi="Times New Roman" w:cs="Times New Roman"/>
                <w:szCs w:val="24"/>
                <w:lang w:eastAsia="en-IN"/>
              </w:rPr>
              <w:t>3.96</w:t>
            </w:r>
          </w:p>
        </w:tc>
        <w:tc>
          <w:tcPr>
            <w:tcW w:w="1831" w:type="dxa"/>
            <w:tcBorders>
              <w:top w:val="nil"/>
              <w:left w:val="nil"/>
              <w:bottom w:val="single" w:sz="4" w:space="0" w:color="auto"/>
              <w:right w:val="single" w:sz="4" w:space="0" w:color="auto"/>
            </w:tcBorders>
            <w:shd w:val="clear" w:color="000000" w:fill="FFFFFF"/>
            <w:vAlign w:val="center"/>
            <w:hideMark/>
          </w:tcPr>
          <w:p w14:paraId="461F5C69" w14:textId="77777777" w:rsidR="003A2683" w:rsidRPr="00BA1C8E" w:rsidRDefault="003A2683" w:rsidP="005A7AAF">
            <w:pPr>
              <w:pStyle w:val="NoSpacing"/>
              <w:jc w:val="center"/>
              <w:rPr>
                <w:rFonts w:ascii="Times New Roman" w:hAnsi="Times New Roman" w:cs="Times New Roman"/>
                <w:szCs w:val="24"/>
                <w:lang w:eastAsia="en-IN"/>
              </w:rPr>
            </w:pPr>
            <w:r w:rsidRPr="00BA1C8E">
              <w:rPr>
                <w:rFonts w:ascii="Times New Roman" w:hAnsi="Times New Roman" w:cs="Times New Roman"/>
                <w:szCs w:val="24"/>
                <w:lang w:eastAsia="en-IN"/>
              </w:rPr>
              <w:t>2.99</w:t>
            </w:r>
          </w:p>
        </w:tc>
        <w:tc>
          <w:tcPr>
            <w:tcW w:w="1702" w:type="dxa"/>
            <w:tcBorders>
              <w:top w:val="nil"/>
              <w:left w:val="nil"/>
              <w:bottom w:val="single" w:sz="4" w:space="0" w:color="auto"/>
              <w:right w:val="single" w:sz="4" w:space="0" w:color="auto"/>
            </w:tcBorders>
            <w:shd w:val="clear" w:color="000000" w:fill="FFFFFF"/>
            <w:vAlign w:val="center"/>
            <w:hideMark/>
          </w:tcPr>
          <w:p w14:paraId="3C290C2D" w14:textId="77777777" w:rsidR="003A2683" w:rsidRPr="00BA1C8E" w:rsidRDefault="003A2683" w:rsidP="005A7AAF">
            <w:pPr>
              <w:pStyle w:val="NoSpacing"/>
              <w:jc w:val="center"/>
              <w:rPr>
                <w:rFonts w:ascii="Times New Roman" w:hAnsi="Times New Roman" w:cs="Times New Roman"/>
                <w:szCs w:val="24"/>
                <w:lang w:eastAsia="en-IN"/>
              </w:rPr>
            </w:pPr>
            <w:r w:rsidRPr="00BA1C8E">
              <w:rPr>
                <w:rFonts w:ascii="Times New Roman" w:hAnsi="Times New Roman" w:cs="Times New Roman"/>
                <w:szCs w:val="24"/>
                <w:lang w:eastAsia="en-IN"/>
              </w:rPr>
              <w:t>6.88</w:t>
            </w:r>
          </w:p>
        </w:tc>
        <w:tc>
          <w:tcPr>
            <w:tcW w:w="1337" w:type="dxa"/>
            <w:tcBorders>
              <w:top w:val="nil"/>
              <w:left w:val="nil"/>
              <w:bottom w:val="single" w:sz="4" w:space="0" w:color="auto"/>
              <w:right w:val="single" w:sz="4" w:space="0" w:color="auto"/>
            </w:tcBorders>
            <w:shd w:val="clear" w:color="000000" w:fill="FFFFFF"/>
            <w:vAlign w:val="center"/>
            <w:hideMark/>
          </w:tcPr>
          <w:p w14:paraId="0DC4E0A2" w14:textId="77777777" w:rsidR="003A2683" w:rsidRPr="00BA1C8E" w:rsidRDefault="003A2683" w:rsidP="005A7AAF">
            <w:pPr>
              <w:pStyle w:val="NoSpacing"/>
              <w:jc w:val="center"/>
              <w:rPr>
                <w:rFonts w:ascii="Times New Roman" w:hAnsi="Times New Roman" w:cs="Times New Roman"/>
                <w:szCs w:val="24"/>
                <w:lang w:eastAsia="en-IN"/>
              </w:rPr>
            </w:pPr>
            <w:r w:rsidRPr="00BA1C8E">
              <w:rPr>
                <w:rFonts w:ascii="Times New Roman" w:hAnsi="Times New Roman" w:cs="Times New Roman"/>
                <w:szCs w:val="24"/>
                <w:lang w:eastAsia="en-IN"/>
              </w:rPr>
              <w:t>1.08</w:t>
            </w:r>
          </w:p>
        </w:tc>
        <w:tc>
          <w:tcPr>
            <w:tcW w:w="2030" w:type="dxa"/>
            <w:tcBorders>
              <w:top w:val="nil"/>
              <w:left w:val="nil"/>
              <w:bottom w:val="single" w:sz="4" w:space="0" w:color="auto"/>
              <w:right w:val="single" w:sz="4" w:space="0" w:color="auto"/>
            </w:tcBorders>
            <w:shd w:val="clear" w:color="000000" w:fill="FFFFFF"/>
            <w:vAlign w:val="center"/>
            <w:hideMark/>
          </w:tcPr>
          <w:p w14:paraId="54EA68DD" w14:textId="77777777" w:rsidR="003A2683" w:rsidRPr="00BA1C8E" w:rsidRDefault="003A2683" w:rsidP="005A7AAF">
            <w:pPr>
              <w:pStyle w:val="NoSpacing"/>
              <w:jc w:val="center"/>
              <w:rPr>
                <w:rFonts w:ascii="Times New Roman" w:hAnsi="Times New Roman" w:cs="Times New Roman"/>
                <w:szCs w:val="24"/>
                <w:lang w:eastAsia="en-IN"/>
              </w:rPr>
            </w:pPr>
            <w:r w:rsidRPr="00BA1C8E">
              <w:rPr>
                <w:rFonts w:ascii="Times New Roman" w:hAnsi="Times New Roman" w:cs="Times New Roman"/>
                <w:szCs w:val="24"/>
                <w:lang w:eastAsia="en-IN"/>
              </w:rPr>
              <w:t>2.01</w:t>
            </w:r>
          </w:p>
        </w:tc>
        <w:tc>
          <w:tcPr>
            <w:tcW w:w="1386" w:type="dxa"/>
            <w:tcBorders>
              <w:top w:val="nil"/>
              <w:left w:val="nil"/>
              <w:bottom w:val="single" w:sz="4" w:space="0" w:color="auto"/>
              <w:right w:val="single" w:sz="4" w:space="0" w:color="auto"/>
            </w:tcBorders>
            <w:shd w:val="clear" w:color="000000" w:fill="FFFFFF"/>
            <w:vAlign w:val="center"/>
            <w:hideMark/>
          </w:tcPr>
          <w:p w14:paraId="3FC5C119" w14:textId="77777777" w:rsidR="003A2683" w:rsidRPr="00BA1C8E" w:rsidRDefault="003A2683" w:rsidP="005A7AAF">
            <w:pPr>
              <w:pStyle w:val="NoSpacing"/>
              <w:jc w:val="center"/>
              <w:rPr>
                <w:rFonts w:ascii="Times New Roman" w:hAnsi="Times New Roman" w:cs="Times New Roman"/>
                <w:szCs w:val="24"/>
                <w:lang w:eastAsia="en-IN"/>
              </w:rPr>
            </w:pPr>
            <w:r w:rsidRPr="00BA1C8E">
              <w:rPr>
                <w:rFonts w:ascii="Times New Roman" w:hAnsi="Times New Roman" w:cs="Times New Roman"/>
                <w:szCs w:val="24"/>
                <w:lang w:eastAsia="en-IN"/>
              </w:rPr>
              <w:t>0.79</w:t>
            </w:r>
          </w:p>
        </w:tc>
        <w:tc>
          <w:tcPr>
            <w:tcW w:w="1434" w:type="dxa"/>
            <w:tcBorders>
              <w:top w:val="nil"/>
              <w:left w:val="nil"/>
              <w:bottom w:val="single" w:sz="4" w:space="0" w:color="auto"/>
              <w:right w:val="single" w:sz="4" w:space="0" w:color="auto"/>
            </w:tcBorders>
            <w:shd w:val="clear" w:color="000000" w:fill="FFFFFF"/>
            <w:vAlign w:val="center"/>
            <w:hideMark/>
          </w:tcPr>
          <w:p w14:paraId="208DBB9E" w14:textId="77777777" w:rsidR="003A2683" w:rsidRPr="00BA1C8E" w:rsidRDefault="003A2683" w:rsidP="005A7AAF">
            <w:pPr>
              <w:pStyle w:val="NoSpacing"/>
              <w:jc w:val="center"/>
              <w:rPr>
                <w:rFonts w:ascii="Times New Roman" w:hAnsi="Times New Roman" w:cs="Times New Roman"/>
                <w:szCs w:val="24"/>
                <w:lang w:eastAsia="en-IN"/>
              </w:rPr>
            </w:pPr>
            <w:r w:rsidRPr="00BA1C8E">
              <w:rPr>
                <w:rFonts w:ascii="Times New Roman" w:hAnsi="Times New Roman" w:cs="Times New Roman"/>
                <w:szCs w:val="24"/>
                <w:lang w:eastAsia="en-IN"/>
              </w:rPr>
              <w:t>19.67</w:t>
            </w:r>
          </w:p>
        </w:tc>
      </w:tr>
      <w:tr w:rsidR="003A2683" w:rsidRPr="00BA1C8E" w14:paraId="0D53EC60" w14:textId="77777777" w:rsidTr="003A2683">
        <w:trPr>
          <w:trHeight w:val="145"/>
        </w:trPr>
        <w:tc>
          <w:tcPr>
            <w:tcW w:w="2363" w:type="dxa"/>
            <w:tcBorders>
              <w:top w:val="nil"/>
              <w:left w:val="single" w:sz="4" w:space="0" w:color="auto"/>
              <w:bottom w:val="single" w:sz="4" w:space="0" w:color="auto"/>
              <w:right w:val="single" w:sz="4" w:space="0" w:color="auto"/>
            </w:tcBorders>
            <w:shd w:val="clear" w:color="000000" w:fill="FFFFFF"/>
            <w:vAlign w:val="center"/>
            <w:hideMark/>
          </w:tcPr>
          <w:p w14:paraId="18630EDD" w14:textId="77777777" w:rsidR="003A2683" w:rsidRPr="00BA1C8E" w:rsidRDefault="003A2683" w:rsidP="00B77C0B">
            <w:pPr>
              <w:pStyle w:val="NoSpacing"/>
              <w:rPr>
                <w:rFonts w:ascii="Times New Roman" w:hAnsi="Times New Roman" w:cs="Times New Roman"/>
                <w:szCs w:val="24"/>
                <w:lang w:eastAsia="en-IN"/>
              </w:rPr>
            </w:pPr>
            <w:r w:rsidRPr="00BA1C8E">
              <w:rPr>
                <w:rFonts w:ascii="Times New Roman" w:hAnsi="Times New Roman" w:cs="Times New Roman"/>
                <w:szCs w:val="24"/>
                <w:lang w:eastAsia="en-IN"/>
              </w:rPr>
              <w:t>Mysore</w:t>
            </w:r>
          </w:p>
        </w:tc>
        <w:tc>
          <w:tcPr>
            <w:tcW w:w="1534" w:type="dxa"/>
            <w:tcBorders>
              <w:top w:val="nil"/>
              <w:left w:val="nil"/>
              <w:bottom w:val="single" w:sz="4" w:space="0" w:color="auto"/>
              <w:right w:val="single" w:sz="4" w:space="0" w:color="auto"/>
            </w:tcBorders>
            <w:shd w:val="clear" w:color="000000" w:fill="FFFFFF"/>
            <w:vAlign w:val="center"/>
            <w:hideMark/>
          </w:tcPr>
          <w:p w14:paraId="2B3DF8B2" w14:textId="77777777" w:rsidR="003A2683" w:rsidRPr="00BA1C8E" w:rsidRDefault="003A2683" w:rsidP="005A7AAF">
            <w:pPr>
              <w:pStyle w:val="NoSpacing"/>
              <w:jc w:val="center"/>
              <w:rPr>
                <w:rFonts w:ascii="Times New Roman" w:hAnsi="Times New Roman" w:cs="Times New Roman"/>
                <w:szCs w:val="24"/>
                <w:lang w:eastAsia="en-IN"/>
              </w:rPr>
            </w:pPr>
            <w:r w:rsidRPr="00BA1C8E">
              <w:rPr>
                <w:rFonts w:ascii="Times New Roman" w:hAnsi="Times New Roman" w:cs="Times New Roman"/>
                <w:szCs w:val="24"/>
                <w:lang w:eastAsia="en-IN"/>
              </w:rPr>
              <w:t>3.42</w:t>
            </w:r>
          </w:p>
        </w:tc>
        <w:tc>
          <w:tcPr>
            <w:tcW w:w="1335" w:type="dxa"/>
            <w:tcBorders>
              <w:top w:val="nil"/>
              <w:left w:val="nil"/>
              <w:bottom w:val="single" w:sz="4" w:space="0" w:color="auto"/>
              <w:right w:val="single" w:sz="4" w:space="0" w:color="auto"/>
            </w:tcBorders>
            <w:shd w:val="clear" w:color="000000" w:fill="FFFFFF"/>
            <w:vAlign w:val="center"/>
            <w:hideMark/>
          </w:tcPr>
          <w:p w14:paraId="037A984A" w14:textId="77777777" w:rsidR="003A2683" w:rsidRPr="00BA1C8E" w:rsidRDefault="003A2683" w:rsidP="005A7AAF">
            <w:pPr>
              <w:pStyle w:val="NoSpacing"/>
              <w:jc w:val="center"/>
              <w:rPr>
                <w:rFonts w:ascii="Times New Roman" w:hAnsi="Times New Roman" w:cs="Times New Roman"/>
                <w:szCs w:val="24"/>
                <w:lang w:eastAsia="en-IN"/>
              </w:rPr>
            </w:pPr>
            <w:r w:rsidRPr="00BA1C8E">
              <w:rPr>
                <w:rFonts w:ascii="Times New Roman" w:hAnsi="Times New Roman" w:cs="Times New Roman"/>
                <w:szCs w:val="24"/>
                <w:lang w:eastAsia="en-IN"/>
              </w:rPr>
              <w:t>2.62</w:t>
            </w:r>
          </w:p>
        </w:tc>
        <w:tc>
          <w:tcPr>
            <w:tcW w:w="1831" w:type="dxa"/>
            <w:tcBorders>
              <w:top w:val="nil"/>
              <w:left w:val="nil"/>
              <w:bottom w:val="single" w:sz="4" w:space="0" w:color="auto"/>
              <w:right w:val="single" w:sz="4" w:space="0" w:color="auto"/>
            </w:tcBorders>
            <w:shd w:val="clear" w:color="000000" w:fill="FFFFFF"/>
            <w:vAlign w:val="center"/>
            <w:hideMark/>
          </w:tcPr>
          <w:p w14:paraId="1130F746" w14:textId="77777777" w:rsidR="003A2683" w:rsidRPr="00BA1C8E" w:rsidRDefault="003A2683" w:rsidP="005A7AAF">
            <w:pPr>
              <w:pStyle w:val="NoSpacing"/>
              <w:jc w:val="center"/>
              <w:rPr>
                <w:rFonts w:ascii="Times New Roman" w:hAnsi="Times New Roman" w:cs="Times New Roman"/>
                <w:szCs w:val="24"/>
                <w:lang w:eastAsia="en-IN"/>
              </w:rPr>
            </w:pPr>
            <w:r w:rsidRPr="00BA1C8E">
              <w:rPr>
                <w:rFonts w:ascii="Times New Roman" w:hAnsi="Times New Roman" w:cs="Times New Roman"/>
                <w:szCs w:val="24"/>
                <w:lang w:eastAsia="en-IN"/>
              </w:rPr>
              <w:t>4.24</w:t>
            </w:r>
          </w:p>
        </w:tc>
        <w:tc>
          <w:tcPr>
            <w:tcW w:w="1702" w:type="dxa"/>
            <w:tcBorders>
              <w:top w:val="nil"/>
              <w:left w:val="nil"/>
              <w:bottom w:val="single" w:sz="4" w:space="0" w:color="auto"/>
              <w:right w:val="single" w:sz="4" w:space="0" w:color="auto"/>
            </w:tcBorders>
            <w:shd w:val="clear" w:color="000000" w:fill="FFFFFF"/>
            <w:vAlign w:val="center"/>
            <w:hideMark/>
          </w:tcPr>
          <w:p w14:paraId="1E8AE83C" w14:textId="4DE65B08" w:rsidR="003A2683" w:rsidRPr="00BA1C8E" w:rsidRDefault="003A2683" w:rsidP="005A7AAF">
            <w:pPr>
              <w:pStyle w:val="NoSpacing"/>
              <w:jc w:val="center"/>
              <w:rPr>
                <w:rFonts w:ascii="Times New Roman" w:hAnsi="Times New Roman" w:cs="Times New Roman"/>
                <w:szCs w:val="24"/>
                <w:lang w:eastAsia="en-IN"/>
              </w:rPr>
            </w:pPr>
            <w:r w:rsidRPr="00BA1C8E">
              <w:rPr>
                <w:rFonts w:ascii="Times New Roman" w:hAnsi="Times New Roman" w:cs="Times New Roman"/>
                <w:szCs w:val="24"/>
                <w:lang w:eastAsia="en-IN"/>
              </w:rPr>
              <w:t>7.8</w:t>
            </w:r>
            <w:r w:rsidR="00557D12">
              <w:rPr>
                <w:rFonts w:ascii="Times New Roman" w:hAnsi="Times New Roman" w:cs="Times New Roman"/>
                <w:szCs w:val="24"/>
                <w:lang w:eastAsia="en-IN"/>
              </w:rPr>
              <w:t>0</w:t>
            </w:r>
          </w:p>
        </w:tc>
        <w:tc>
          <w:tcPr>
            <w:tcW w:w="1337" w:type="dxa"/>
            <w:tcBorders>
              <w:top w:val="nil"/>
              <w:left w:val="nil"/>
              <w:bottom w:val="single" w:sz="4" w:space="0" w:color="auto"/>
              <w:right w:val="single" w:sz="4" w:space="0" w:color="auto"/>
            </w:tcBorders>
            <w:shd w:val="clear" w:color="000000" w:fill="FFFFFF"/>
            <w:vAlign w:val="center"/>
            <w:hideMark/>
          </w:tcPr>
          <w:p w14:paraId="51FC1B4A" w14:textId="77777777" w:rsidR="003A2683" w:rsidRPr="00BA1C8E" w:rsidRDefault="003A2683" w:rsidP="005A7AAF">
            <w:pPr>
              <w:pStyle w:val="NoSpacing"/>
              <w:jc w:val="center"/>
              <w:rPr>
                <w:rFonts w:ascii="Times New Roman" w:hAnsi="Times New Roman" w:cs="Times New Roman"/>
                <w:szCs w:val="24"/>
                <w:lang w:eastAsia="en-IN"/>
              </w:rPr>
            </w:pPr>
            <w:r w:rsidRPr="00BA1C8E">
              <w:rPr>
                <w:rFonts w:ascii="Times New Roman" w:hAnsi="Times New Roman" w:cs="Times New Roman"/>
                <w:szCs w:val="24"/>
                <w:lang w:eastAsia="en-IN"/>
              </w:rPr>
              <w:t>1.67</w:t>
            </w:r>
          </w:p>
        </w:tc>
        <w:tc>
          <w:tcPr>
            <w:tcW w:w="2030" w:type="dxa"/>
            <w:tcBorders>
              <w:top w:val="nil"/>
              <w:left w:val="nil"/>
              <w:bottom w:val="single" w:sz="4" w:space="0" w:color="auto"/>
              <w:right w:val="single" w:sz="4" w:space="0" w:color="auto"/>
            </w:tcBorders>
            <w:shd w:val="clear" w:color="000000" w:fill="FFFFFF"/>
            <w:vAlign w:val="center"/>
            <w:hideMark/>
          </w:tcPr>
          <w:p w14:paraId="4FAFC963" w14:textId="77777777" w:rsidR="003A2683" w:rsidRPr="00BA1C8E" w:rsidRDefault="003A2683" w:rsidP="005A7AAF">
            <w:pPr>
              <w:pStyle w:val="NoSpacing"/>
              <w:jc w:val="center"/>
              <w:rPr>
                <w:rFonts w:ascii="Times New Roman" w:hAnsi="Times New Roman" w:cs="Times New Roman"/>
                <w:szCs w:val="24"/>
                <w:lang w:eastAsia="en-IN"/>
              </w:rPr>
            </w:pPr>
            <w:r w:rsidRPr="00BA1C8E">
              <w:rPr>
                <w:rFonts w:ascii="Times New Roman" w:hAnsi="Times New Roman" w:cs="Times New Roman"/>
                <w:szCs w:val="24"/>
                <w:lang w:eastAsia="en-IN"/>
              </w:rPr>
              <w:t>2.05</w:t>
            </w:r>
          </w:p>
        </w:tc>
        <w:tc>
          <w:tcPr>
            <w:tcW w:w="1386" w:type="dxa"/>
            <w:tcBorders>
              <w:top w:val="nil"/>
              <w:left w:val="nil"/>
              <w:bottom w:val="single" w:sz="4" w:space="0" w:color="auto"/>
              <w:right w:val="single" w:sz="4" w:space="0" w:color="auto"/>
            </w:tcBorders>
            <w:shd w:val="clear" w:color="000000" w:fill="FFFFFF"/>
            <w:vAlign w:val="center"/>
            <w:hideMark/>
          </w:tcPr>
          <w:p w14:paraId="25CDBD33" w14:textId="77777777" w:rsidR="003A2683" w:rsidRPr="00BA1C8E" w:rsidRDefault="003A2683" w:rsidP="005A7AAF">
            <w:pPr>
              <w:pStyle w:val="NoSpacing"/>
              <w:jc w:val="center"/>
              <w:rPr>
                <w:rFonts w:ascii="Times New Roman" w:hAnsi="Times New Roman" w:cs="Times New Roman"/>
                <w:szCs w:val="24"/>
                <w:lang w:eastAsia="en-IN"/>
              </w:rPr>
            </w:pPr>
            <w:r w:rsidRPr="00BA1C8E">
              <w:rPr>
                <w:rFonts w:ascii="Times New Roman" w:hAnsi="Times New Roman" w:cs="Times New Roman"/>
                <w:szCs w:val="24"/>
                <w:lang w:eastAsia="en-IN"/>
              </w:rPr>
              <w:t>1.48</w:t>
            </w:r>
          </w:p>
        </w:tc>
        <w:tc>
          <w:tcPr>
            <w:tcW w:w="1434" w:type="dxa"/>
            <w:tcBorders>
              <w:top w:val="nil"/>
              <w:left w:val="nil"/>
              <w:bottom w:val="single" w:sz="4" w:space="0" w:color="auto"/>
              <w:right w:val="single" w:sz="4" w:space="0" w:color="auto"/>
            </w:tcBorders>
            <w:shd w:val="clear" w:color="000000" w:fill="FFFFFF"/>
            <w:vAlign w:val="center"/>
            <w:hideMark/>
          </w:tcPr>
          <w:p w14:paraId="60E00606" w14:textId="77777777" w:rsidR="003A2683" w:rsidRPr="00BA1C8E" w:rsidRDefault="003A2683" w:rsidP="005A7AAF">
            <w:pPr>
              <w:pStyle w:val="NoSpacing"/>
              <w:jc w:val="center"/>
              <w:rPr>
                <w:rFonts w:ascii="Times New Roman" w:hAnsi="Times New Roman" w:cs="Times New Roman"/>
                <w:szCs w:val="24"/>
                <w:lang w:eastAsia="en-IN"/>
              </w:rPr>
            </w:pPr>
            <w:r w:rsidRPr="00BA1C8E">
              <w:rPr>
                <w:rFonts w:ascii="Times New Roman" w:hAnsi="Times New Roman" w:cs="Times New Roman"/>
                <w:szCs w:val="24"/>
                <w:lang w:eastAsia="en-IN"/>
              </w:rPr>
              <w:t>23.28</w:t>
            </w:r>
          </w:p>
        </w:tc>
      </w:tr>
      <w:tr w:rsidR="003A2683" w:rsidRPr="00BA1C8E" w14:paraId="09F832CD" w14:textId="77777777" w:rsidTr="003A2683">
        <w:trPr>
          <w:trHeight w:val="145"/>
        </w:trPr>
        <w:tc>
          <w:tcPr>
            <w:tcW w:w="2363" w:type="dxa"/>
            <w:tcBorders>
              <w:top w:val="nil"/>
              <w:left w:val="single" w:sz="4" w:space="0" w:color="auto"/>
              <w:bottom w:val="single" w:sz="4" w:space="0" w:color="auto"/>
              <w:right w:val="single" w:sz="4" w:space="0" w:color="auto"/>
            </w:tcBorders>
            <w:shd w:val="clear" w:color="000000" w:fill="FFFFFF"/>
            <w:vAlign w:val="center"/>
            <w:hideMark/>
          </w:tcPr>
          <w:p w14:paraId="679FCA55" w14:textId="77777777" w:rsidR="003A2683" w:rsidRPr="00BA1C8E" w:rsidRDefault="003A2683" w:rsidP="00B77C0B">
            <w:pPr>
              <w:pStyle w:val="NoSpacing"/>
              <w:rPr>
                <w:rFonts w:ascii="Times New Roman" w:hAnsi="Times New Roman" w:cs="Times New Roman"/>
                <w:szCs w:val="24"/>
                <w:lang w:eastAsia="en-IN"/>
              </w:rPr>
            </w:pPr>
            <w:r w:rsidRPr="00BA1C8E">
              <w:rPr>
                <w:rFonts w:ascii="Times New Roman" w:hAnsi="Times New Roman" w:cs="Times New Roman"/>
                <w:szCs w:val="24"/>
                <w:lang w:eastAsia="en-IN"/>
              </w:rPr>
              <w:t>Kerala</w:t>
            </w:r>
          </w:p>
        </w:tc>
        <w:tc>
          <w:tcPr>
            <w:tcW w:w="1534" w:type="dxa"/>
            <w:tcBorders>
              <w:top w:val="nil"/>
              <w:left w:val="nil"/>
              <w:bottom w:val="single" w:sz="4" w:space="0" w:color="auto"/>
              <w:right w:val="single" w:sz="4" w:space="0" w:color="auto"/>
            </w:tcBorders>
            <w:shd w:val="clear" w:color="000000" w:fill="FFFFFF"/>
            <w:vAlign w:val="center"/>
            <w:hideMark/>
          </w:tcPr>
          <w:p w14:paraId="78220634" w14:textId="77777777" w:rsidR="003A2683" w:rsidRPr="00BA1C8E" w:rsidRDefault="003A2683" w:rsidP="005A7AAF">
            <w:pPr>
              <w:pStyle w:val="NoSpacing"/>
              <w:jc w:val="center"/>
              <w:rPr>
                <w:rFonts w:ascii="Times New Roman" w:hAnsi="Times New Roman" w:cs="Times New Roman"/>
                <w:szCs w:val="24"/>
                <w:lang w:eastAsia="en-IN"/>
              </w:rPr>
            </w:pPr>
            <w:r w:rsidRPr="00BA1C8E">
              <w:rPr>
                <w:rFonts w:ascii="Times New Roman" w:hAnsi="Times New Roman" w:cs="Times New Roman"/>
                <w:szCs w:val="24"/>
                <w:lang w:eastAsia="en-IN"/>
              </w:rPr>
              <w:t>2.64</w:t>
            </w:r>
          </w:p>
        </w:tc>
        <w:tc>
          <w:tcPr>
            <w:tcW w:w="1335" w:type="dxa"/>
            <w:tcBorders>
              <w:top w:val="nil"/>
              <w:left w:val="nil"/>
              <w:bottom w:val="single" w:sz="4" w:space="0" w:color="auto"/>
              <w:right w:val="single" w:sz="4" w:space="0" w:color="auto"/>
            </w:tcBorders>
            <w:shd w:val="clear" w:color="000000" w:fill="FFFFFF"/>
            <w:vAlign w:val="center"/>
            <w:hideMark/>
          </w:tcPr>
          <w:p w14:paraId="4C54E53D" w14:textId="77777777" w:rsidR="003A2683" w:rsidRPr="00BA1C8E" w:rsidRDefault="003A2683" w:rsidP="005A7AAF">
            <w:pPr>
              <w:pStyle w:val="NoSpacing"/>
              <w:jc w:val="center"/>
              <w:rPr>
                <w:rFonts w:ascii="Times New Roman" w:hAnsi="Times New Roman" w:cs="Times New Roman"/>
                <w:szCs w:val="24"/>
                <w:lang w:eastAsia="en-IN"/>
              </w:rPr>
            </w:pPr>
            <w:r w:rsidRPr="00BA1C8E">
              <w:rPr>
                <w:rFonts w:ascii="Times New Roman" w:hAnsi="Times New Roman" w:cs="Times New Roman"/>
                <w:szCs w:val="24"/>
                <w:lang w:eastAsia="en-IN"/>
              </w:rPr>
              <w:t>4.73</w:t>
            </w:r>
          </w:p>
        </w:tc>
        <w:tc>
          <w:tcPr>
            <w:tcW w:w="1831" w:type="dxa"/>
            <w:tcBorders>
              <w:top w:val="nil"/>
              <w:left w:val="nil"/>
              <w:bottom w:val="single" w:sz="4" w:space="0" w:color="auto"/>
              <w:right w:val="single" w:sz="4" w:space="0" w:color="auto"/>
            </w:tcBorders>
            <w:shd w:val="clear" w:color="000000" w:fill="FFFFFF"/>
            <w:vAlign w:val="center"/>
            <w:hideMark/>
          </w:tcPr>
          <w:p w14:paraId="6FEB21CF" w14:textId="77777777" w:rsidR="003A2683" w:rsidRPr="00BA1C8E" w:rsidRDefault="003A2683" w:rsidP="005A7AAF">
            <w:pPr>
              <w:pStyle w:val="NoSpacing"/>
              <w:jc w:val="center"/>
              <w:rPr>
                <w:rFonts w:ascii="Times New Roman" w:hAnsi="Times New Roman" w:cs="Times New Roman"/>
                <w:szCs w:val="24"/>
                <w:lang w:eastAsia="en-IN"/>
              </w:rPr>
            </w:pPr>
            <w:r w:rsidRPr="00BA1C8E">
              <w:rPr>
                <w:rFonts w:ascii="Times New Roman" w:hAnsi="Times New Roman" w:cs="Times New Roman"/>
                <w:szCs w:val="24"/>
                <w:lang w:eastAsia="en-IN"/>
              </w:rPr>
              <w:t>4.81</w:t>
            </w:r>
          </w:p>
        </w:tc>
        <w:tc>
          <w:tcPr>
            <w:tcW w:w="1702" w:type="dxa"/>
            <w:tcBorders>
              <w:top w:val="nil"/>
              <w:left w:val="nil"/>
              <w:bottom w:val="single" w:sz="4" w:space="0" w:color="auto"/>
              <w:right w:val="single" w:sz="4" w:space="0" w:color="auto"/>
            </w:tcBorders>
            <w:shd w:val="clear" w:color="000000" w:fill="FFFFFF"/>
            <w:vAlign w:val="center"/>
            <w:hideMark/>
          </w:tcPr>
          <w:p w14:paraId="2A7CFB6F" w14:textId="77777777" w:rsidR="003A2683" w:rsidRPr="00BA1C8E" w:rsidRDefault="003A2683" w:rsidP="005A7AAF">
            <w:pPr>
              <w:pStyle w:val="NoSpacing"/>
              <w:jc w:val="center"/>
              <w:rPr>
                <w:rFonts w:ascii="Times New Roman" w:hAnsi="Times New Roman" w:cs="Times New Roman"/>
                <w:szCs w:val="24"/>
                <w:lang w:eastAsia="en-IN"/>
              </w:rPr>
            </w:pPr>
            <w:r w:rsidRPr="00BA1C8E">
              <w:rPr>
                <w:rFonts w:ascii="Times New Roman" w:hAnsi="Times New Roman" w:cs="Times New Roman"/>
                <w:szCs w:val="24"/>
                <w:lang w:eastAsia="en-IN"/>
              </w:rPr>
              <w:t>10.39</w:t>
            </w:r>
          </w:p>
        </w:tc>
        <w:tc>
          <w:tcPr>
            <w:tcW w:w="1337" w:type="dxa"/>
            <w:tcBorders>
              <w:top w:val="nil"/>
              <w:left w:val="nil"/>
              <w:bottom w:val="single" w:sz="4" w:space="0" w:color="auto"/>
              <w:right w:val="single" w:sz="4" w:space="0" w:color="auto"/>
            </w:tcBorders>
            <w:shd w:val="clear" w:color="000000" w:fill="FFFFFF"/>
            <w:vAlign w:val="center"/>
            <w:hideMark/>
          </w:tcPr>
          <w:p w14:paraId="17C6A745" w14:textId="77777777" w:rsidR="003A2683" w:rsidRPr="00BA1C8E" w:rsidRDefault="003A2683" w:rsidP="005A7AAF">
            <w:pPr>
              <w:pStyle w:val="NoSpacing"/>
              <w:jc w:val="center"/>
              <w:rPr>
                <w:rFonts w:ascii="Times New Roman" w:hAnsi="Times New Roman" w:cs="Times New Roman"/>
                <w:szCs w:val="24"/>
                <w:lang w:eastAsia="en-IN"/>
              </w:rPr>
            </w:pPr>
            <w:r w:rsidRPr="00BA1C8E">
              <w:rPr>
                <w:rFonts w:ascii="Times New Roman" w:hAnsi="Times New Roman" w:cs="Times New Roman"/>
                <w:szCs w:val="24"/>
                <w:lang w:eastAsia="en-IN"/>
              </w:rPr>
              <w:t>1.33</w:t>
            </w:r>
          </w:p>
        </w:tc>
        <w:tc>
          <w:tcPr>
            <w:tcW w:w="2030" w:type="dxa"/>
            <w:tcBorders>
              <w:top w:val="nil"/>
              <w:left w:val="nil"/>
              <w:bottom w:val="single" w:sz="4" w:space="0" w:color="auto"/>
              <w:right w:val="single" w:sz="4" w:space="0" w:color="auto"/>
            </w:tcBorders>
            <w:shd w:val="clear" w:color="000000" w:fill="FFFFFF"/>
            <w:vAlign w:val="center"/>
            <w:hideMark/>
          </w:tcPr>
          <w:p w14:paraId="3B0BC2A8" w14:textId="77777777" w:rsidR="003A2683" w:rsidRPr="00BA1C8E" w:rsidRDefault="003A2683" w:rsidP="005A7AAF">
            <w:pPr>
              <w:pStyle w:val="NoSpacing"/>
              <w:jc w:val="center"/>
              <w:rPr>
                <w:rFonts w:ascii="Times New Roman" w:hAnsi="Times New Roman" w:cs="Times New Roman"/>
                <w:szCs w:val="24"/>
                <w:lang w:eastAsia="en-IN"/>
              </w:rPr>
            </w:pPr>
            <w:r w:rsidRPr="00BA1C8E">
              <w:rPr>
                <w:rFonts w:ascii="Times New Roman" w:hAnsi="Times New Roman" w:cs="Times New Roman"/>
                <w:szCs w:val="24"/>
                <w:lang w:eastAsia="en-IN"/>
              </w:rPr>
              <w:t>2.62</w:t>
            </w:r>
          </w:p>
        </w:tc>
        <w:tc>
          <w:tcPr>
            <w:tcW w:w="1386" w:type="dxa"/>
            <w:tcBorders>
              <w:top w:val="nil"/>
              <w:left w:val="nil"/>
              <w:bottom w:val="single" w:sz="4" w:space="0" w:color="auto"/>
              <w:right w:val="single" w:sz="4" w:space="0" w:color="auto"/>
            </w:tcBorders>
            <w:shd w:val="clear" w:color="000000" w:fill="FFFFFF"/>
            <w:vAlign w:val="center"/>
            <w:hideMark/>
          </w:tcPr>
          <w:p w14:paraId="4D377089" w14:textId="77777777" w:rsidR="003A2683" w:rsidRPr="00BA1C8E" w:rsidRDefault="003A2683" w:rsidP="005A7AAF">
            <w:pPr>
              <w:pStyle w:val="NoSpacing"/>
              <w:jc w:val="center"/>
              <w:rPr>
                <w:rFonts w:ascii="Times New Roman" w:hAnsi="Times New Roman" w:cs="Times New Roman"/>
                <w:szCs w:val="24"/>
                <w:lang w:eastAsia="en-IN"/>
              </w:rPr>
            </w:pPr>
            <w:r w:rsidRPr="00BA1C8E">
              <w:rPr>
                <w:rFonts w:ascii="Times New Roman" w:hAnsi="Times New Roman" w:cs="Times New Roman"/>
                <w:szCs w:val="24"/>
                <w:lang w:eastAsia="en-IN"/>
              </w:rPr>
              <w:t>0.92</w:t>
            </w:r>
          </w:p>
        </w:tc>
        <w:tc>
          <w:tcPr>
            <w:tcW w:w="1434" w:type="dxa"/>
            <w:tcBorders>
              <w:top w:val="nil"/>
              <w:left w:val="nil"/>
              <w:bottom w:val="single" w:sz="4" w:space="0" w:color="auto"/>
              <w:right w:val="single" w:sz="4" w:space="0" w:color="auto"/>
            </w:tcBorders>
            <w:shd w:val="clear" w:color="000000" w:fill="FFFFFF"/>
            <w:vAlign w:val="center"/>
            <w:hideMark/>
          </w:tcPr>
          <w:p w14:paraId="62E518E0" w14:textId="77777777" w:rsidR="003A2683" w:rsidRPr="00BA1C8E" w:rsidRDefault="003A2683" w:rsidP="005A7AAF">
            <w:pPr>
              <w:pStyle w:val="NoSpacing"/>
              <w:jc w:val="center"/>
              <w:rPr>
                <w:rFonts w:ascii="Times New Roman" w:hAnsi="Times New Roman" w:cs="Times New Roman"/>
                <w:szCs w:val="24"/>
                <w:lang w:eastAsia="en-IN"/>
              </w:rPr>
            </w:pPr>
            <w:r w:rsidRPr="00BA1C8E">
              <w:rPr>
                <w:rFonts w:ascii="Times New Roman" w:hAnsi="Times New Roman" w:cs="Times New Roman"/>
                <w:szCs w:val="24"/>
                <w:lang w:eastAsia="en-IN"/>
              </w:rPr>
              <w:t>27.44</w:t>
            </w:r>
          </w:p>
        </w:tc>
      </w:tr>
      <w:tr w:rsidR="003A2683" w:rsidRPr="00BA1C8E" w14:paraId="103742AD" w14:textId="77777777" w:rsidTr="003A2683">
        <w:trPr>
          <w:trHeight w:val="587"/>
        </w:trPr>
        <w:tc>
          <w:tcPr>
            <w:tcW w:w="2363" w:type="dxa"/>
            <w:tcBorders>
              <w:top w:val="nil"/>
              <w:left w:val="single" w:sz="4" w:space="0" w:color="auto"/>
              <w:bottom w:val="single" w:sz="4" w:space="0" w:color="auto"/>
              <w:right w:val="single" w:sz="4" w:space="0" w:color="auto"/>
            </w:tcBorders>
            <w:shd w:val="clear" w:color="000000" w:fill="FFFFFF"/>
            <w:vAlign w:val="center"/>
            <w:hideMark/>
          </w:tcPr>
          <w:p w14:paraId="11C1ABC1" w14:textId="77777777" w:rsidR="003A2683" w:rsidRPr="00BA1C8E" w:rsidRDefault="003A2683" w:rsidP="00B77C0B">
            <w:pPr>
              <w:pStyle w:val="NoSpacing"/>
              <w:rPr>
                <w:rFonts w:ascii="Times New Roman" w:hAnsi="Times New Roman" w:cs="Times New Roman"/>
                <w:szCs w:val="24"/>
                <w:lang w:eastAsia="en-IN"/>
              </w:rPr>
            </w:pPr>
            <w:r w:rsidRPr="00BA1C8E">
              <w:rPr>
                <w:rFonts w:ascii="Times New Roman" w:hAnsi="Times New Roman" w:cs="Times New Roman"/>
                <w:szCs w:val="24"/>
                <w:lang w:eastAsia="en-IN"/>
              </w:rPr>
              <w:t>Madhya Pradesh</w:t>
            </w:r>
          </w:p>
        </w:tc>
        <w:tc>
          <w:tcPr>
            <w:tcW w:w="1534" w:type="dxa"/>
            <w:tcBorders>
              <w:top w:val="nil"/>
              <w:left w:val="nil"/>
              <w:bottom w:val="single" w:sz="4" w:space="0" w:color="auto"/>
              <w:right w:val="single" w:sz="4" w:space="0" w:color="auto"/>
            </w:tcBorders>
            <w:shd w:val="clear" w:color="000000" w:fill="FFFFFF"/>
            <w:vAlign w:val="center"/>
            <w:hideMark/>
          </w:tcPr>
          <w:p w14:paraId="4DE6D751" w14:textId="77777777" w:rsidR="003A2683" w:rsidRPr="00BA1C8E" w:rsidRDefault="003A2683" w:rsidP="005A7AAF">
            <w:pPr>
              <w:pStyle w:val="NoSpacing"/>
              <w:jc w:val="center"/>
              <w:rPr>
                <w:rFonts w:ascii="Times New Roman" w:hAnsi="Times New Roman" w:cs="Times New Roman"/>
                <w:szCs w:val="24"/>
                <w:lang w:eastAsia="en-IN"/>
              </w:rPr>
            </w:pPr>
            <w:r w:rsidRPr="00BA1C8E">
              <w:rPr>
                <w:rFonts w:ascii="Times New Roman" w:hAnsi="Times New Roman" w:cs="Times New Roman"/>
                <w:szCs w:val="24"/>
                <w:lang w:eastAsia="en-IN"/>
              </w:rPr>
              <w:t>1.94</w:t>
            </w:r>
          </w:p>
        </w:tc>
        <w:tc>
          <w:tcPr>
            <w:tcW w:w="1335" w:type="dxa"/>
            <w:tcBorders>
              <w:top w:val="nil"/>
              <w:left w:val="nil"/>
              <w:bottom w:val="single" w:sz="4" w:space="0" w:color="auto"/>
              <w:right w:val="single" w:sz="4" w:space="0" w:color="auto"/>
            </w:tcBorders>
            <w:shd w:val="clear" w:color="000000" w:fill="FFFFFF"/>
            <w:vAlign w:val="center"/>
            <w:hideMark/>
          </w:tcPr>
          <w:p w14:paraId="2BDF0DDA" w14:textId="77777777" w:rsidR="003A2683" w:rsidRPr="00BA1C8E" w:rsidRDefault="003A2683" w:rsidP="005A7AAF">
            <w:pPr>
              <w:pStyle w:val="NoSpacing"/>
              <w:jc w:val="center"/>
              <w:rPr>
                <w:rFonts w:ascii="Times New Roman" w:hAnsi="Times New Roman" w:cs="Times New Roman"/>
                <w:szCs w:val="24"/>
                <w:lang w:eastAsia="en-IN"/>
              </w:rPr>
            </w:pPr>
            <w:r w:rsidRPr="00BA1C8E">
              <w:rPr>
                <w:rFonts w:ascii="Times New Roman" w:hAnsi="Times New Roman" w:cs="Times New Roman"/>
                <w:szCs w:val="24"/>
                <w:lang w:eastAsia="en-IN"/>
              </w:rPr>
              <w:t>3.16</w:t>
            </w:r>
          </w:p>
        </w:tc>
        <w:tc>
          <w:tcPr>
            <w:tcW w:w="1831" w:type="dxa"/>
            <w:tcBorders>
              <w:top w:val="nil"/>
              <w:left w:val="nil"/>
              <w:bottom w:val="single" w:sz="4" w:space="0" w:color="auto"/>
              <w:right w:val="single" w:sz="4" w:space="0" w:color="auto"/>
            </w:tcBorders>
            <w:shd w:val="clear" w:color="000000" w:fill="FFFFFF"/>
            <w:vAlign w:val="center"/>
            <w:hideMark/>
          </w:tcPr>
          <w:p w14:paraId="27232C5A" w14:textId="77777777" w:rsidR="003A2683" w:rsidRPr="00BA1C8E" w:rsidRDefault="003A2683" w:rsidP="005A7AAF">
            <w:pPr>
              <w:pStyle w:val="NoSpacing"/>
              <w:jc w:val="center"/>
              <w:rPr>
                <w:rFonts w:ascii="Times New Roman" w:hAnsi="Times New Roman" w:cs="Times New Roman"/>
                <w:szCs w:val="24"/>
                <w:lang w:eastAsia="en-IN"/>
              </w:rPr>
            </w:pPr>
            <w:r w:rsidRPr="00BA1C8E">
              <w:rPr>
                <w:rFonts w:ascii="Times New Roman" w:hAnsi="Times New Roman" w:cs="Times New Roman"/>
                <w:szCs w:val="24"/>
                <w:lang w:eastAsia="en-IN"/>
              </w:rPr>
              <w:t>2.21</w:t>
            </w:r>
          </w:p>
        </w:tc>
        <w:tc>
          <w:tcPr>
            <w:tcW w:w="1702" w:type="dxa"/>
            <w:tcBorders>
              <w:top w:val="nil"/>
              <w:left w:val="nil"/>
              <w:bottom w:val="single" w:sz="4" w:space="0" w:color="auto"/>
              <w:right w:val="single" w:sz="4" w:space="0" w:color="auto"/>
            </w:tcBorders>
            <w:shd w:val="clear" w:color="000000" w:fill="FFFFFF"/>
            <w:vAlign w:val="center"/>
            <w:hideMark/>
          </w:tcPr>
          <w:p w14:paraId="0B694F77" w14:textId="77777777" w:rsidR="003A2683" w:rsidRPr="00BA1C8E" w:rsidRDefault="003A2683" w:rsidP="005A7AAF">
            <w:pPr>
              <w:pStyle w:val="NoSpacing"/>
              <w:jc w:val="center"/>
              <w:rPr>
                <w:rFonts w:ascii="Times New Roman" w:hAnsi="Times New Roman" w:cs="Times New Roman"/>
                <w:szCs w:val="24"/>
                <w:lang w:eastAsia="en-IN"/>
              </w:rPr>
            </w:pPr>
            <w:r w:rsidRPr="00BA1C8E">
              <w:rPr>
                <w:rFonts w:ascii="Times New Roman" w:hAnsi="Times New Roman" w:cs="Times New Roman"/>
                <w:szCs w:val="24"/>
                <w:lang w:eastAsia="en-IN"/>
              </w:rPr>
              <w:t>5.11</w:t>
            </w:r>
          </w:p>
        </w:tc>
        <w:tc>
          <w:tcPr>
            <w:tcW w:w="1337" w:type="dxa"/>
            <w:tcBorders>
              <w:top w:val="nil"/>
              <w:left w:val="nil"/>
              <w:bottom w:val="single" w:sz="4" w:space="0" w:color="auto"/>
              <w:right w:val="single" w:sz="4" w:space="0" w:color="auto"/>
            </w:tcBorders>
            <w:shd w:val="clear" w:color="000000" w:fill="FFFFFF"/>
            <w:vAlign w:val="center"/>
            <w:hideMark/>
          </w:tcPr>
          <w:p w14:paraId="621A48BE" w14:textId="77777777" w:rsidR="003A2683" w:rsidRPr="00BA1C8E" w:rsidRDefault="003A2683" w:rsidP="005A7AAF">
            <w:pPr>
              <w:pStyle w:val="NoSpacing"/>
              <w:jc w:val="center"/>
              <w:rPr>
                <w:rFonts w:ascii="Times New Roman" w:hAnsi="Times New Roman" w:cs="Times New Roman"/>
                <w:szCs w:val="24"/>
                <w:lang w:eastAsia="en-IN"/>
              </w:rPr>
            </w:pPr>
            <w:r w:rsidRPr="00BA1C8E">
              <w:rPr>
                <w:rFonts w:ascii="Times New Roman" w:hAnsi="Times New Roman" w:cs="Times New Roman"/>
                <w:szCs w:val="24"/>
                <w:lang w:eastAsia="en-IN"/>
              </w:rPr>
              <w:t>1.99</w:t>
            </w:r>
          </w:p>
        </w:tc>
        <w:tc>
          <w:tcPr>
            <w:tcW w:w="2030" w:type="dxa"/>
            <w:tcBorders>
              <w:top w:val="nil"/>
              <w:left w:val="nil"/>
              <w:bottom w:val="single" w:sz="4" w:space="0" w:color="auto"/>
              <w:right w:val="single" w:sz="4" w:space="0" w:color="auto"/>
            </w:tcBorders>
            <w:shd w:val="clear" w:color="000000" w:fill="FFFFFF"/>
            <w:vAlign w:val="center"/>
            <w:hideMark/>
          </w:tcPr>
          <w:p w14:paraId="256589ED" w14:textId="77777777" w:rsidR="003A2683" w:rsidRPr="00BA1C8E" w:rsidRDefault="003A2683" w:rsidP="005A7AAF">
            <w:pPr>
              <w:pStyle w:val="NoSpacing"/>
              <w:jc w:val="center"/>
              <w:rPr>
                <w:rFonts w:ascii="Times New Roman" w:hAnsi="Times New Roman" w:cs="Times New Roman"/>
                <w:szCs w:val="24"/>
                <w:lang w:eastAsia="en-IN"/>
              </w:rPr>
            </w:pPr>
            <w:r w:rsidRPr="00BA1C8E">
              <w:rPr>
                <w:rFonts w:ascii="Times New Roman" w:hAnsi="Times New Roman" w:cs="Times New Roman"/>
                <w:szCs w:val="24"/>
                <w:lang w:eastAsia="en-IN"/>
              </w:rPr>
              <w:t>1.16</w:t>
            </w:r>
          </w:p>
        </w:tc>
        <w:tc>
          <w:tcPr>
            <w:tcW w:w="1386" w:type="dxa"/>
            <w:tcBorders>
              <w:top w:val="nil"/>
              <w:left w:val="nil"/>
              <w:bottom w:val="single" w:sz="4" w:space="0" w:color="auto"/>
              <w:right w:val="single" w:sz="4" w:space="0" w:color="auto"/>
            </w:tcBorders>
            <w:shd w:val="clear" w:color="000000" w:fill="FFFFFF"/>
            <w:vAlign w:val="center"/>
            <w:hideMark/>
          </w:tcPr>
          <w:p w14:paraId="436907F6" w14:textId="77777777" w:rsidR="003A2683" w:rsidRPr="00BA1C8E" w:rsidRDefault="003A2683" w:rsidP="005A7AAF">
            <w:pPr>
              <w:pStyle w:val="NoSpacing"/>
              <w:jc w:val="center"/>
              <w:rPr>
                <w:rFonts w:ascii="Times New Roman" w:hAnsi="Times New Roman" w:cs="Times New Roman"/>
                <w:szCs w:val="24"/>
                <w:lang w:eastAsia="en-IN"/>
              </w:rPr>
            </w:pPr>
            <w:r w:rsidRPr="00BA1C8E">
              <w:rPr>
                <w:rFonts w:ascii="Times New Roman" w:hAnsi="Times New Roman" w:cs="Times New Roman"/>
                <w:szCs w:val="24"/>
                <w:lang w:eastAsia="en-IN"/>
              </w:rPr>
              <w:t>1.37</w:t>
            </w:r>
          </w:p>
        </w:tc>
        <w:tc>
          <w:tcPr>
            <w:tcW w:w="1434" w:type="dxa"/>
            <w:tcBorders>
              <w:top w:val="nil"/>
              <w:left w:val="nil"/>
              <w:bottom w:val="single" w:sz="4" w:space="0" w:color="auto"/>
              <w:right w:val="single" w:sz="4" w:space="0" w:color="auto"/>
            </w:tcBorders>
            <w:shd w:val="clear" w:color="000000" w:fill="FFFFFF"/>
            <w:vAlign w:val="center"/>
            <w:hideMark/>
          </w:tcPr>
          <w:p w14:paraId="2F63516B" w14:textId="77777777" w:rsidR="003A2683" w:rsidRPr="00BA1C8E" w:rsidRDefault="003A2683" w:rsidP="005A7AAF">
            <w:pPr>
              <w:pStyle w:val="NoSpacing"/>
              <w:jc w:val="center"/>
              <w:rPr>
                <w:rFonts w:ascii="Times New Roman" w:hAnsi="Times New Roman" w:cs="Times New Roman"/>
                <w:szCs w:val="24"/>
                <w:lang w:eastAsia="en-IN"/>
              </w:rPr>
            </w:pPr>
            <w:r w:rsidRPr="00BA1C8E">
              <w:rPr>
                <w:rFonts w:ascii="Times New Roman" w:hAnsi="Times New Roman" w:cs="Times New Roman"/>
                <w:szCs w:val="24"/>
                <w:lang w:eastAsia="en-IN"/>
              </w:rPr>
              <w:t>16.94</w:t>
            </w:r>
          </w:p>
        </w:tc>
      </w:tr>
      <w:tr w:rsidR="003A2683" w:rsidRPr="00BA1C8E" w14:paraId="50916E76" w14:textId="77777777" w:rsidTr="003A2683">
        <w:trPr>
          <w:trHeight w:val="293"/>
        </w:trPr>
        <w:tc>
          <w:tcPr>
            <w:tcW w:w="2363" w:type="dxa"/>
            <w:tcBorders>
              <w:top w:val="nil"/>
              <w:left w:val="single" w:sz="4" w:space="0" w:color="auto"/>
              <w:bottom w:val="single" w:sz="4" w:space="0" w:color="auto"/>
              <w:right w:val="single" w:sz="4" w:space="0" w:color="auto"/>
            </w:tcBorders>
            <w:shd w:val="clear" w:color="000000" w:fill="FFFFFF"/>
            <w:vAlign w:val="center"/>
            <w:hideMark/>
          </w:tcPr>
          <w:p w14:paraId="3305A14B" w14:textId="77777777" w:rsidR="003A2683" w:rsidRPr="00BA1C8E" w:rsidRDefault="003A2683" w:rsidP="00B77C0B">
            <w:pPr>
              <w:pStyle w:val="NoSpacing"/>
              <w:rPr>
                <w:rFonts w:ascii="Times New Roman" w:hAnsi="Times New Roman" w:cs="Times New Roman"/>
                <w:szCs w:val="24"/>
                <w:lang w:eastAsia="en-IN"/>
              </w:rPr>
            </w:pPr>
            <w:r w:rsidRPr="00BA1C8E">
              <w:rPr>
                <w:rFonts w:ascii="Times New Roman" w:hAnsi="Times New Roman" w:cs="Times New Roman"/>
                <w:szCs w:val="24"/>
                <w:lang w:eastAsia="en-IN"/>
              </w:rPr>
              <w:t>Rajasthan</w:t>
            </w:r>
          </w:p>
        </w:tc>
        <w:tc>
          <w:tcPr>
            <w:tcW w:w="1534" w:type="dxa"/>
            <w:tcBorders>
              <w:top w:val="nil"/>
              <w:left w:val="nil"/>
              <w:bottom w:val="single" w:sz="4" w:space="0" w:color="auto"/>
              <w:right w:val="single" w:sz="4" w:space="0" w:color="auto"/>
            </w:tcBorders>
            <w:shd w:val="clear" w:color="000000" w:fill="FFFFFF"/>
            <w:vAlign w:val="center"/>
            <w:hideMark/>
          </w:tcPr>
          <w:p w14:paraId="7A0987CB" w14:textId="77777777" w:rsidR="003A2683" w:rsidRPr="00BA1C8E" w:rsidRDefault="003A2683" w:rsidP="005A7AAF">
            <w:pPr>
              <w:pStyle w:val="NoSpacing"/>
              <w:jc w:val="center"/>
              <w:rPr>
                <w:rFonts w:ascii="Times New Roman" w:hAnsi="Times New Roman" w:cs="Times New Roman"/>
                <w:szCs w:val="24"/>
                <w:lang w:eastAsia="en-IN"/>
              </w:rPr>
            </w:pPr>
            <w:r w:rsidRPr="00BA1C8E">
              <w:rPr>
                <w:rFonts w:ascii="Times New Roman" w:hAnsi="Times New Roman" w:cs="Times New Roman"/>
                <w:szCs w:val="24"/>
                <w:lang w:eastAsia="en-IN"/>
              </w:rPr>
              <w:t>4.25</w:t>
            </w:r>
          </w:p>
        </w:tc>
        <w:tc>
          <w:tcPr>
            <w:tcW w:w="1335" w:type="dxa"/>
            <w:tcBorders>
              <w:top w:val="nil"/>
              <w:left w:val="nil"/>
              <w:bottom w:val="single" w:sz="4" w:space="0" w:color="auto"/>
              <w:right w:val="single" w:sz="4" w:space="0" w:color="auto"/>
            </w:tcBorders>
            <w:shd w:val="clear" w:color="000000" w:fill="FFFFFF"/>
            <w:vAlign w:val="center"/>
            <w:hideMark/>
          </w:tcPr>
          <w:p w14:paraId="5AAB76DF" w14:textId="77777777" w:rsidR="003A2683" w:rsidRPr="00BA1C8E" w:rsidRDefault="003A2683" w:rsidP="005A7AAF">
            <w:pPr>
              <w:pStyle w:val="NoSpacing"/>
              <w:jc w:val="center"/>
              <w:rPr>
                <w:rFonts w:ascii="Times New Roman" w:hAnsi="Times New Roman" w:cs="Times New Roman"/>
                <w:szCs w:val="24"/>
                <w:lang w:eastAsia="en-IN"/>
              </w:rPr>
            </w:pPr>
            <w:r w:rsidRPr="00BA1C8E">
              <w:rPr>
                <w:rFonts w:ascii="Times New Roman" w:hAnsi="Times New Roman" w:cs="Times New Roman"/>
                <w:szCs w:val="24"/>
                <w:lang w:eastAsia="en-IN"/>
              </w:rPr>
              <w:t>3.26</w:t>
            </w:r>
          </w:p>
        </w:tc>
        <w:tc>
          <w:tcPr>
            <w:tcW w:w="1831" w:type="dxa"/>
            <w:tcBorders>
              <w:top w:val="nil"/>
              <w:left w:val="nil"/>
              <w:bottom w:val="single" w:sz="4" w:space="0" w:color="auto"/>
              <w:right w:val="single" w:sz="4" w:space="0" w:color="auto"/>
            </w:tcBorders>
            <w:shd w:val="clear" w:color="000000" w:fill="FFFFFF"/>
            <w:vAlign w:val="center"/>
            <w:hideMark/>
          </w:tcPr>
          <w:p w14:paraId="7EFC3A3A" w14:textId="77777777" w:rsidR="003A2683" w:rsidRPr="00BA1C8E" w:rsidRDefault="003A2683" w:rsidP="005A7AAF">
            <w:pPr>
              <w:pStyle w:val="NoSpacing"/>
              <w:jc w:val="center"/>
              <w:rPr>
                <w:rFonts w:ascii="Times New Roman" w:hAnsi="Times New Roman" w:cs="Times New Roman"/>
                <w:szCs w:val="24"/>
                <w:lang w:eastAsia="en-IN"/>
              </w:rPr>
            </w:pPr>
            <w:r w:rsidRPr="00BA1C8E">
              <w:rPr>
                <w:rFonts w:ascii="Times New Roman" w:hAnsi="Times New Roman" w:cs="Times New Roman"/>
                <w:szCs w:val="24"/>
                <w:lang w:eastAsia="en-IN"/>
              </w:rPr>
              <w:t>2.42</w:t>
            </w:r>
          </w:p>
        </w:tc>
        <w:tc>
          <w:tcPr>
            <w:tcW w:w="1702" w:type="dxa"/>
            <w:tcBorders>
              <w:top w:val="nil"/>
              <w:left w:val="nil"/>
              <w:bottom w:val="single" w:sz="4" w:space="0" w:color="auto"/>
              <w:right w:val="single" w:sz="4" w:space="0" w:color="auto"/>
            </w:tcBorders>
            <w:shd w:val="clear" w:color="000000" w:fill="FFFFFF"/>
            <w:vAlign w:val="center"/>
            <w:hideMark/>
          </w:tcPr>
          <w:p w14:paraId="2D52AE85" w14:textId="77777777" w:rsidR="003A2683" w:rsidRPr="00BA1C8E" w:rsidRDefault="003A2683" w:rsidP="005A7AAF">
            <w:pPr>
              <w:pStyle w:val="NoSpacing"/>
              <w:jc w:val="center"/>
              <w:rPr>
                <w:rFonts w:ascii="Times New Roman" w:hAnsi="Times New Roman" w:cs="Times New Roman"/>
                <w:szCs w:val="24"/>
                <w:lang w:eastAsia="en-IN"/>
              </w:rPr>
            </w:pPr>
            <w:r w:rsidRPr="00BA1C8E">
              <w:rPr>
                <w:rFonts w:ascii="Times New Roman" w:hAnsi="Times New Roman" w:cs="Times New Roman"/>
                <w:szCs w:val="24"/>
                <w:lang w:eastAsia="en-IN"/>
              </w:rPr>
              <w:t>6.94</w:t>
            </w:r>
          </w:p>
        </w:tc>
        <w:tc>
          <w:tcPr>
            <w:tcW w:w="1337" w:type="dxa"/>
            <w:tcBorders>
              <w:top w:val="nil"/>
              <w:left w:val="nil"/>
              <w:bottom w:val="single" w:sz="4" w:space="0" w:color="auto"/>
              <w:right w:val="single" w:sz="4" w:space="0" w:color="auto"/>
            </w:tcBorders>
            <w:shd w:val="clear" w:color="000000" w:fill="FFFFFF"/>
            <w:vAlign w:val="center"/>
            <w:hideMark/>
          </w:tcPr>
          <w:p w14:paraId="57FDEA13" w14:textId="77777777" w:rsidR="003A2683" w:rsidRPr="00BA1C8E" w:rsidRDefault="003A2683" w:rsidP="005A7AAF">
            <w:pPr>
              <w:pStyle w:val="NoSpacing"/>
              <w:jc w:val="center"/>
              <w:rPr>
                <w:rFonts w:ascii="Times New Roman" w:hAnsi="Times New Roman" w:cs="Times New Roman"/>
                <w:szCs w:val="24"/>
                <w:lang w:eastAsia="en-IN"/>
              </w:rPr>
            </w:pPr>
            <w:r w:rsidRPr="00BA1C8E">
              <w:rPr>
                <w:rFonts w:ascii="Times New Roman" w:hAnsi="Times New Roman" w:cs="Times New Roman"/>
                <w:szCs w:val="24"/>
                <w:lang w:eastAsia="en-IN"/>
              </w:rPr>
              <w:t>1.07</w:t>
            </w:r>
          </w:p>
        </w:tc>
        <w:tc>
          <w:tcPr>
            <w:tcW w:w="2030" w:type="dxa"/>
            <w:tcBorders>
              <w:top w:val="nil"/>
              <w:left w:val="nil"/>
              <w:bottom w:val="single" w:sz="4" w:space="0" w:color="auto"/>
              <w:right w:val="single" w:sz="4" w:space="0" w:color="auto"/>
            </w:tcBorders>
            <w:shd w:val="clear" w:color="000000" w:fill="FFFFFF"/>
            <w:vAlign w:val="center"/>
            <w:hideMark/>
          </w:tcPr>
          <w:p w14:paraId="4309B8DD" w14:textId="77777777" w:rsidR="003A2683" w:rsidRPr="00BA1C8E" w:rsidRDefault="003A2683" w:rsidP="005A7AAF">
            <w:pPr>
              <w:pStyle w:val="NoSpacing"/>
              <w:jc w:val="center"/>
              <w:rPr>
                <w:rFonts w:ascii="Times New Roman" w:hAnsi="Times New Roman" w:cs="Times New Roman"/>
                <w:szCs w:val="24"/>
                <w:lang w:eastAsia="en-IN"/>
              </w:rPr>
            </w:pPr>
            <w:r w:rsidRPr="00BA1C8E">
              <w:rPr>
                <w:rFonts w:ascii="Times New Roman" w:hAnsi="Times New Roman" w:cs="Times New Roman"/>
                <w:szCs w:val="24"/>
                <w:lang w:eastAsia="en-IN"/>
              </w:rPr>
              <w:t>0.98</w:t>
            </w:r>
          </w:p>
        </w:tc>
        <w:tc>
          <w:tcPr>
            <w:tcW w:w="1386" w:type="dxa"/>
            <w:tcBorders>
              <w:top w:val="nil"/>
              <w:left w:val="nil"/>
              <w:bottom w:val="single" w:sz="4" w:space="0" w:color="auto"/>
              <w:right w:val="single" w:sz="4" w:space="0" w:color="auto"/>
            </w:tcBorders>
            <w:shd w:val="clear" w:color="000000" w:fill="FFFFFF"/>
            <w:vAlign w:val="center"/>
            <w:hideMark/>
          </w:tcPr>
          <w:p w14:paraId="6705C795" w14:textId="77777777" w:rsidR="003A2683" w:rsidRPr="00BA1C8E" w:rsidRDefault="003A2683" w:rsidP="005A7AAF">
            <w:pPr>
              <w:pStyle w:val="NoSpacing"/>
              <w:jc w:val="center"/>
              <w:rPr>
                <w:rFonts w:ascii="Times New Roman" w:hAnsi="Times New Roman" w:cs="Times New Roman"/>
                <w:szCs w:val="24"/>
                <w:lang w:eastAsia="en-IN"/>
              </w:rPr>
            </w:pPr>
            <w:r w:rsidRPr="00BA1C8E">
              <w:rPr>
                <w:rFonts w:ascii="Times New Roman" w:hAnsi="Times New Roman" w:cs="Times New Roman"/>
                <w:szCs w:val="24"/>
                <w:lang w:eastAsia="en-IN"/>
              </w:rPr>
              <w:t>0.58</w:t>
            </w:r>
          </w:p>
        </w:tc>
        <w:tc>
          <w:tcPr>
            <w:tcW w:w="1434" w:type="dxa"/>
            <w:tcBorders>
              <w:top w:val="nil"/>
              <w:left w:val="nil"/>
              <w:bottom w:val="single" w:sz="4" w:space="0" w:color="auto"/>
              <w:right w:val="single" w:sz="4" w:space="0" w:color="auto"/>
            </w:tcBorders>
            <w:shd w:val="clear" w:color="000000" w:fill="FFFFFF"/>
            <w:vAlign w:val="center"/>
            <w:hideMark/>
          </w:tcPr>
          <w:p w14:paraId="63C67C0A" w14:textId="193F31A1" w:rsidR="003A2683" w:rsidRPr="00BA1C8E" w:rsidRDefault="003A2683" w:rsidP="005A7AAF">
            <w:pPr>
              <w:pStyle w:val="NoSpacing"/>
              <w:jc w:val="center"/>
              <w:rPr>
                <w:rFonts w:ascii="Times New Roman" w:hAnsi="Times New Roman" w:cs="Times New Roman"/>
                <w:szCs w:val="24"/>
                <w:lang w:eastAsia="en-IN"/>
              </w:rPr>
            </w:pPr>
            <w:r w:rsidRPr="00BA1C8E">
              <w:rPr>
                <w:rFonts w:ascii="Times New Roman" w:hAnsi="Times New Roman" w:cs="Times New Roman"/>
                <w:szCs w:val="24"/>
                <w:lang w:eastAsia="en-IN"/>
              </w:rPr>
              <w:t>19.5</w:t>
            </w:r>
            <w:r w:rsidR="00557D12">
              <w:rPr>
                <w:rFonts w:ascii="Times New Roman" w:hAnsi="Times New Roman" w:cs="Times New Roman"/>
                <w:szCs w:val="24"/>
                <w:lang w:eastAsia="en-IN"/>
              </w:rPr>
              <w:t>0</w:t>
            </w:r>
          </w:p>
        </w:tc>
      </w:tr>
      <w:tr w:rsidR="003A2683" w:rsidRPr="00BA1C8E" w14:paraId="55912A20" w14:textId="77777777" w:rsidTr="003A2683">
        <w:trPr>
          <w:trHeight w:val="440"/>
        </w:trPr>
        <w:tc>
          <w:tcPr>
            <w:tcW w:w="2363" w:type="dxa"/>
            <w:tcBorders>
              <w:top w:val="nil"/>
              <w:left w:val="single" w:sz="4" w:space="0" w:color="auto"/>
              <w:bottom w:val="single" w:sz="4" w:space="0" w:color="auto"/>
              <w:right w:val="single" w:sz="4" w:space="0" w:color="auto"/>
            </w:tcBorders>
            <w:shd w:val="clear" w:color="000000" w:fill="FFFFFF"/>
            <w:vAlign w:val="center"/>
            <w:hideMark/>
          </w:tcPr>
          <w:p w14:paraId="7647951B" w14:textId="77777777" w:rsidR="003A2683" w:rsidRPr="00BA1C8E" w:rsidRDefault="003A2683" w:rsidP="00B77C0B">
            <w:pPr>
              <w:pStyle w:val="NoSpacing"/>
              <w:rPr>
                <w:rFonts w:ascii="Times New Roman" w:hAnsi="Times New Roman" w:cs="Times New Roman"/>
                <w:szCs w:val="24"/>
                <w:lang w:eastAsia="en-IN"/>
              </w:rPr>
            </w:pPr>
            <w:r w:rsidRPr="00BA1C8E">
              <w:rPr>
                <w:rFonts w:ascii="Times New Roman" w:hAnsi="Times New Roman" w:cs="Times New Roman"/>
                <w:szCs w:val="24"/>
                <w:lang w:eastAsia="en-IN"/>
              </w:rPr>
              <w:t>Uttar Pradesh</w:t>
            </w:r>
          </w:p>
        </w:tc>
        <w:tc>
          <w:tcPr>
            <w:tcW w:w="1534" w:type="dxa"/>
            <w:tcBorders>
              <w:top w:val="nil"/>
              <w:left w:val="nil"/>
              <w:bottom w:val="single" w:sz="4" w:space="0" w:color="auto"/>
              <w:right w:val="single" w:sz="4" w:space="0" w:color="auto"/>
            </w:tcBorders>
            <w:shd w:val="clear" w:color="000000" w:fill="FFFFFF"/>
            <w:vAlign w:val="center"/>
            <w:hideMark/>
          </w:tcPr>
          <w:p w14:paraId="333030C2" w14:textId="77777777" w:rsidR="003A2683" w:rsidRPr="00BA1C8E" w:rsidRDefault="003A2683" w:rsidP="005A7AAF">
            <w:pPr>
              <w:pStyle w:val="NoSpacing"/>
              <w:jc w:val="center"/>
              <w:rPr>
                <w:rFonts w:ascii="Times New Roman" w:hAnsi="Times New Roman" w:cs="Times New Roman"/>
                <w:szCs w:val="24"/>
                <w:lang w:eastAsia="en-IN"/>
              </w:rPr>
            </w:pPr>
            <w:r w:rsidRPr="00BA1C8E">
              <w:rPr>
                <w:rFonts w:ascii="Times New Roman" w:hAnsi="Times New Roman" w:cs="Times New Roman"/>
                <w:szCs w:val="24"/>
                <w:lang w:eastAsia="en-IN"/>
              </w:rPr>
              <w:t>3.03</w:t>
            </w:r>
          </w:p>
        </w:tc>
        <w:tc>
          <w:tcPr>
            <w:tcW w:w="1335" w:type="dxa"/>
            <w:tcBorders>
              <w:top w:val="nil"/>
              <w:left w:val="nil"/>
              <w:bottom w:val="single" w:sz="4" w:space="0" w:color="auto"/>
              <w:right w:val="single" w:sz="4" w:space="0" w:color="auto"/>
            </w:tcBorders>
            <w:shd w:val="clear" w:color="000000" w:fill="FFFFFF"/>
            <w:vAlign w:val="center"/>
            <w:hideMark/>
          </w:tcPr>
          <w:p w14:paraId="5ACB575E" w14:textId="77777777" w:rsidR="003A2683" w:rsidRPr="00BA1C8E" w:rsidRDefault="003A2683" w:rsidP="005A7AAF">
            <w:pPr>
              <w:pStyle w:val="NoSpacing"/>
              <w:jc w:val="center"/>
              <w:rPr>
                <w:rFonts w:ascii="Times New Roman" w:hAnsi="Times New Roman" w:cs="Times New Roman"/>
                <w:szCs w:val="24"/>
                <w:lang w:eastAsia="en-IN"/>
              </w:rPr>
            </w:pPr>
            <w:r w:rsidRPr="00BA1C8E">
              <w:rPr>
                <w:rFonts w:ascii="Times New Roman" w:hAnsi="Times New Roman" w:cs="Times New Roman"/>
                <w:szCs w:val="24"/>
                <w:lang w:eastAsia="en-IN"/>
              </w:rPr>
              <w:t>2.38</w:t>
            </w:r>
          </w:p>
        </w:tc>
        <w:tc>
          <w:tcPr>
            <w:tcW w:w="1831" w:type="dxa"/>
            <w:tcBorders>
              <w:top w:val="nil"/>
              <w:left w:val="nil"/>
              <w:bottom w:val="single" w:sz="4" w:space="0" w:color="auto"/>
              <w:right w:val="single" w:sz="4" w:space="0" w:color="auto"/>
            </w:tcBorders>
            <w:shd w:val="clear" w:color="000000" w:fill="FFFFFF"/>
            <w:vAlign w:val="center"/>
            <w:hideMark/>
          </w:tcPr>
          <w:p w14:paraId="45E3A9A2" w14:textId="285F9A4C" w:rsidR="003A2683" w:rsidRPr="00BA1C8E" w:rsidRDefault="003A2683" w:rsidP="005A7AAF">
            <w:pPr>
              <w:pStyle w:val="NoSpacing"/>
              <w:jc w:val="center"/>
              <w:rPr>
                <w:rFonts w:ascii="Times New Roman" w:hAnsi="Times New Roman" w:cs="Times New Roman"/>
                <w:szCs w:val="24"/>
                <w:lang w:eastAsia="en-IN"/>
              </w:rPr>
            </w:pPr>
            <w:r w:rsidRPr="00BA1C8E">
              <w:rPr>
                <w:rFonts w:ascii="Times New Roman" w:hAnsi="Times New Roman" w:cs="Times New Roman"/>
                <w:szCs w:val="24"/>
                <w:lang w:eastAsia="en-IN"/>
              </w:rPr>
              <w:t>1.7</w:t>
            </w:r>
            <w:r w:rsidR="00557D12">
              <w:rPr>
                <w:rFonts w:ascii="Times New Roman" w:hAnsi="Times New Roman" w:cs="Times New Roman"/>
                <w:szCs w:val="24"/>
                <w:lang w:eastAsia="en-IN"/>
              </w:rPr>
              <w:t>0</w:t>
            </w:r>
          </w:p>
        </w:tc>
        <w:tc>
          <w:tcPr>
            <w:tcW w:w="1702" w:type="dxa"/>
            <w:tcBorders>
              <w:top w:val="nil"/>
              <w:left w:val="nil"/>
              <w:bottom w:val="single" w:sz="4" w:space="0" w:color="auto"/>
              <w:right w:val="single" w:sz="4" w:space="0" w:color="auto"/>
            </w:tcBorders>
            <w:shd w:val="clear" w:color="000000" w:fill="FFFFFF"/>
            <w:vAlign w:val="center"/>
            <w:hideMark/>
          </w:tcPr>
          <w:p w14:paraId="49EF88B0" w14:textId="76AF20E9" w:rsidR="003A2683" w:rsidRPr="00BA1C8E" w:rsidRDefault="003A2683" w:rsidP="005A7AAF">
            <w:pPr>
              <w:pStyle w:val="NoSpacing"/>
              <w:jc w:val="center"/>
              <w:rPr>
                <w:rFonts w:ascii="Times New Roman" w:hAnsi="Times New Roman" w:cs="Times New Roman"/>
                <w:szCs w:val="24"/>
                <w:lang w:eastAsia="en-IN"/>
              </w:rPr>
            </w:pPr>
            <w:r w:rsidRPr="00BA1C8E">
              <w:rPr>
                <w:rFonts w:ascii="Times New Roman" w:hAnsi="Times New Roman" w:cs="Times New Roman"/>
                <w:szCs w:val="24"/>
                <w:lang w:eastAsia="en-IN"/>
              </w:rPr>
              <w:t>4.1</w:t>
            </w:r>
            <w:r w:rsidR="00557D12">
              <w:rPr>
                <w:rFonts w:ascii="Times New Roman" w:hAnsi="Times New Roman" w:cs="Times New Roman"/>
                <w:szCs w:val="24"/>
                <w:lang w:eastAsia="en-IN"/>
              </w:rPr>
              <w:t>0</w:t>
            </w:r>
          </w:p>
        </w:tc>
        <w:tc>
          <w:tcPr>
            <w:tcW w:w="1337" w:type="dxa"/>
            <w:tcBorders>
              <w:top w:val="nil"/>
              <w:left w:val="nil"/>
              <w:bottom w:val="single" w:sz="4" w:space="0" w:color="auto"/>
              <w:right w:val="single" w:sz="4" w:space="0" w:color="auto"/>
            </w:tcBorders>
            <w:shd w:val="clear" w:color="000000" w:fill="FFFFFF"/>
            <w:vAlign w:val="center"/>
            <w:hideMark/>
          </w:tcPr>
          <w:p w14:paraId="055BA3CE" w14:textId="77777777" w:rsidR="003A2683" w:rsidRPr="00BA1C8E" w:rsidRDefault="003A2683" w:rsidP="005A7AAF">
            <w:pPr>
              <w:pStyle w:val="NoSpacing"/>
              <w:jc w:val="center"/>
              <w:rPr>
                <w:rFonts w:ascii="Times New Roman" w:hAnsi="Times New Roman" w:cs="Times New Roman"/>
                <w:szCs w:val="24"/>
                <w:lang w:eastAsia="en-IN"/>
              </w:rPr>
            </w:pPr>
            <w:r w:rsidRPr="00BA1C8E">
              <w:rPr>
                <w:rFonts w:ascii="Times New Roman" w:hAnsi="Times New Roman" w:cs="Times New Roman"/>
                <w:szCs w:val="24"/>
                <w:lang w:eastAsia="en-IN"/>
              </w:rPr>
              <w:t>0.42</w:t>
            </w:r>
          </w:p>
        </w:tc>
        <w:tc>
          <w:tcPr>
            <w:tcW w:w="2030" w:type="dxa"/>
            <w:tcBorders>
              <w:top w:val="nil"/>
              <w:left w:val="nil"/>
              <w:bottom w:val="single" w:sz="4" w:space="0" w:color="auto"/>
              <w:right w:val="single" w:sz="4" w:space="0" w:color="auto"/>
            </w:tcBorders>
            <w:shd w:val="clear" w:color="000000" w:fill="FFFFFF"/>
            <w:vAlign w:val="center"/>
            <w:hideMark/>
          </w:tcPr>
          <w:p w14:paraId="27A7BD7A" w14:textId="77777777" w:rsidR="003A2683" w:rsidRPr="00BA1C8E" w:rsidRDefault="003A2683" w:rsidP="005A7AAF">
            <w:pPr>
              <w:pStyle w:val="NoSpacing"/>
              <w:jc w:val="center"/>
              <w:rPr>
                <w:rFonts w:ascii="Times New Roman" w:hAnsi="Times New Roman" w:cs="Times New Roman"/>
                <w:szCs w:val="24"/>
                <w:lang w:eastAsia="en-IN"/>
              </w:rPr>
            </w:pPr>
            <w:r w:rsidRPr="00BA1C8E">
              <w:rPr>
                <w:rFonts w:ascii="Times New Roman" w:hAnsi="Times New Roman" w:cs="Times New Roman"/>
                <w:szCs w:val="24"/>
                <w:lang w:eastAsia="en-IN"/>
              </w:rPr>
              <w:t>1.24</w:t>
            </w:r>
          </w:p>
        </w:tc>
        <w:tc>
          <w:tcPr>
            <w:tcW w:w="1386" w:type="dxa"/>
            <w:tcBorders>
              <w:top w:val="nil"/>
              <w:left w:val="nil"/>
              <w:bottom w:val="single" w:sz="4" w:space="0" w:color="auto"/>
              <w:right w:val="single" w:sz="4" w:space="0" w:color="auto"/>
            </w:tcBorders>
            <w:shd w:val="clear" w:color="000000" w:fill="FFFFFF"/>
            <w:vAlign w:val="center"/>
            <w:hideMark/>
          </w:tcPr>
          <w:p w14:paraId="691CA82A" w14:textId="77777777" w:rsidR="003A2683" w:rsidRPr="00BA1C8E" w:rsidRDefault="003A2683" w:rsidP="005A7AAF">
            <w:pPr>
              <w:pStyle w:val="NoSpacing"/>
              <w:jc w:val="center"/>
              <w:rPr>
                <w:rFonts w:ascii="Times New Roman" w:hAnsi="Times New Roman" w:cs="Times New Roman"/>
                <w:szCs w:val="24"/>
                <w:lang w:eastAsia="en-IN"/>
              </w:rPr>
            </w:pPr>
            <w:r w:rsidRPr="00BA1C8E">
              <w:rPr>
                <w:rFonts w:ascii="Times New Roman" w:hAnsi="Times New Roman" w:cs="Times New Roman"/>
                <w:szCs w:val="24"/>
                <w:lang w:eastAsia="en-IN"/>
              </w:rPr>
              <w:t>1.73</w:t>
            </w:r>
          </w:p>
        </w:tc>
        <w:tc>
          <w:tcPr>
            <w:tcW w:w="1434" w:type="dxa"/>
            <w:tcBorders>
              <w:top w:val="nil"/>
              <w:left w:val="nil"/>
              <w:bottom w:val="single" w:sz="4" w:space="0" w:color="auto"/>
              <w:right w:val="single" w:sz="4" w:space="0" w:color="auto"/>
            </w:tcBorders>
            <w:shd w:val="clear" w:color="000000" w:fill="FFFFFF"/>
            <w:vAlign w:val="center"/>
            <w:hideMark/>
          </w:tcPr>
          <w:p w14:paraId="0B6C51F7" w14:textId="378E798A" w:rsidR="003A2683" w:rsidRPr="00BA1C8E" w:rsidRDefault="003A2683" w:rsidP="005A7AAF">
            <w:pPr>
              <w:pStyle w:val="NoSpacing"/>
              <w:jc w:val="center"/>
              <w:rPr>
                <w:rFonts w:ascii="Times New Roman" w:hAnsi="Times New Roman" w:cs="Times New Roman"/>
                <w:szCs w:val="24"/>
                <w:lang w:eastAsia="en-IN"/>
              </w:rPr>
            </w:pPr>
            <w:r w:rsidRPr="00BA1C8E">
              <w:rPr>
                <w:rFonts w:ascii="Times New Roman" w:hAnsi="Times New Roman" w:cs="Times New Roman"/>
                <w:szCs w:val="24"/>
                <w:lang w:eastAsia="en-IN"/>
              </w:rPr>
              <w:t>14.6</w:t>
            </w:r>
            <w:r w:rsidR="00557D12">
              <w:rPr>
                <w:rFonts w:ascii="Times New Roman" w:hAnsi="Times New Roman" w:cs="Times New Roman"/>
                <w:szCs w:val="24"/>
                <w:lang w:eastAsia="en-IN"/>
              </w:rPr>
              <w:t>0</w:t>
            </w:r>
          </w:p>
        </w:tc>
      </w:tr>
      <w:tr w:rsidR="003A2683" w:rsidRPr="00BA1C8E" w14:paraId="242054F4" w14:textId="77777777" w:rsidTr="003A2683">
        <w:trPr>
          <w:trHeight w:val="145"/>
        </w:trPr>
        <w:tc>
          <w:tcPr>
            <w:tcW w:w="2363" w:type="dxa"/>
            <w:tcBorders>
              <w:top w:val="nil"/>
              <w:left w:val="single" w:sz="4" w:space="0" w:color="auto"/>
              <w:bottom w:val="single" w:sz="4" w:space="0" w:color="auto"/>
              <w:right w:val="single" w:sz="4" w:space="0" w:color="auto"/>
            </w:tcBorders>
            <w:shd w:val="clear" w:color="000000" w:fill="FFFFFF"/>
            <w:vAlign w:val="center"/>
            <w:hideMark/>
          </w:tcPr>
          <w:p w14:paraId="3D09ECB6" w14:textId="77777777" w:rsidR="003A2683" w:rsidRPr="00BA1C8E" w:rsidRDefault="003A2683" w:rsidP="00B77C0B">
            <w:pPr>
              <w:pStyle w:val="NoSpacing"/>
              <w:rPr>
                <w:rFonts w:ascii="Times New Roman" w:hAnsi="Times New Roman" w:cs="Times New Roman"/>
                <w:szCs w:val="24"/>
                <w:lang w:eastAsia="en-IN"/>
              </w:rPr>
            </w:pPr>
            <w:r w:rsidRPr="00BA1C8E">
              <w:rPr>
                <w:rFonts w:ascii="Times New Roman" w:hAnsi="Times New Roman" w:cs="Times New Roman"/>
                <w:szCs w:val="24"/>
                <w:lang w:eastAsia="en-IN"/>
              </w:rPr>
              <w:t>Orissa</w:t>
            </w:r>
          </w:p>
        </w:tc>
        <w:tc>
          <w:tcPr>
            <w:tcW w:w="1534" w:type="dxa"/>
            <w:tcBorders>
              <w:top w:val="nil"/>
              <w:left w:val="nil"/>
              <w:bottom w:val="single" w:sz="4" w:space="0" w:color="auto"/>
              <w:right w:val="single" w:sz="4" w:space="0" w:color="auto"/>
            </w:tcBorders>
            <w:shd w:val="clear" w:color="000000" w:fill="FFFFFF"/>
            <w:vAlign w:val="center"/>
            <w:hideMark/>
          </w:tcPr>
          <w:p w14:paraId="40CAC8DA" w14:textId="77777777" w:rsidR="003A2683" w:rsidRPr="00BA1C8E" w:rsidRDefault="003A2683" w:rsidP="005A7AAF">
            <w:pPr>
              <w:pStyle w:val="NoSpacing"/>
              <w:jc w:val="center"/>
              <w:rPr>
                <w:rFonts w:ascii="Times New Roman" w:hAnsi="Times New Roman" w:cs="Times New Roman"/>
                <w:szCs w:val="24"/>
                <w:lang w:eastAsia="en-IN"/>
              </w:rPr>
            </w:pPr>
            <w:r w:rsidRPr="00BA1C8E">
              <w:rPr>
                <w:rFonts w:ascii="Times New Roman" w:hAnsi="Times New Roman" w:cs="Times New Roman"/>
                <w:szCs w:val="24"/>
                <w:lang w:eastAsia="en-IN"/>
              </w:rPr>
              <w:t>0.83</w:t>
            </w:r>
          </w:p>
        </w:tc>
        <w:tc>
          <w:tcPr>
            <w:tcW w:w="1335" w:type="dxa"/>
            <w:tcBorders>
              <w:top w:val="nil"/>
              <w:left w:val="nil"/>
              <w:bottom w:val="single" w:sz="4" w:space="0" w:color="auto"/>
              <w:right w:val="single" w:sz="4" w:space="0" w:color="auto"/>
            </w:tcBorders>
            <w:shd w:val="clear" w:color="000000" w:fill="FFFFFF"/>
            <w:vAlign w:val="center"/>
            <w:hideMark/>
          </w:tcPr>
          <w:p w14:paraId="3E8818A7" w14:textId="77777777" w:rsidR="003A2683" w:rsidRPr="00BA1C8E" w:rsidRDefault="003A2683" w:rsidP="005A7AAF">
            <w:pPr>
              <w:pStyle w:val="NoSpacing"/>
              <w:jc w:val="center"/>
              <w:rPr>
                <w:rFonts w:ascii="Times New Roman" w:hAnsi="Times New Roman" w:cs="Times New Roman"/>
                <w:szCs w:val="24"/>
                <w:lang w:eastAsia="en-IN"/>
              </w:rPr>
            </w:pPr>
            <w:r w:rsidRPr="00BA1C8E">
              <w:rPr>
                <w:rFonts w:ascii="Times New Roman" w:hAnsi="Times New Roman" w:cs="Times New Roman"/>
                <w:szCs w:val="24"/>
                <w:lang w:eastAsia="en-IN"/>
              </w:rPr>
              <w:t>1.43</w:t>
            </w:r>
          </w:p>
        </w:tc>
        <w:tc>
          <w:tcPr>
            <w:tcW w:w="1831" w:type="dxa"/>
            <w:tcBorders>
              <w:top w:val="nil"/>
              <w:left w:val="nil"/>
              <w:bottom w:val="single" w:sz="4" w:space="0" w:color="auto"/>
              <w:right w:val="single" w:sz="4" w:space="0" w:color="auto"/>
            </w:tcBorders>
            <w:shd w:val="clear" w:color="000000" w:fill="FFFFFF"/>
            <w:vAlign w:val="center"/>
            <w:hideMark/>
          </w:tcPr>
          <w:p w14:paraId="0626A71F" w14:textId="77777777" w:rsidR="003A2683" w:rsidRPr="00BA1C8E" w:rsidRDefault="003A2683" w:rsidP="005A7AAF">
            <w:pPr>
              <w:pStyle w:val="NoSpacing"/>
              <w:jc w:val="center"/>
              <w:rPr>
                <w:rFonts w:ascii="Times New Roman" w:hAnsi="Times New Roman" w:cs="Times New Roman"/>
                <w:szCs w:val="24"/>
                <w:lang w:eastAsia="en-IN"/>
              </w:rPr>
            </w:pPr>
            <w:r w:rsidRPr="00BA1C8E">
              <w:rPr>
                <w:rFonts w:ascii="Times New Roman" w:hAnsi="Times New Roman" w:cs="Times New Roman"/>
                <w:szCs w:val="24"/>
                <w:lang w:eastAsia="en-IN"/>
              </w:rPr>
              <w:t>1.57</w:t>
            </w:r>
          </w:p>
        </w:tc>
        <w:tc>
          <w:tcPr>
            <w:tcW w:w="1702" w:type="dxa"/>
            <w:tcBorders>
              <w:top w:val="nil"/>
              <w:left w:val="nil"/>
              <w:bottom w:val="single" w:sz="4" w:space="0" w:color="auto"/>
              <w:right w:val="single" w:sz="4" w:space="0" w:color="auto"/>
            </w:tcBorders>
            <w:shd w:val="clear" w:color="000000" w:fill="FFFFFF"/>
            <w:vAlign w:val="center"/>
            <w:hideMark/>
          </w:tcPr>
          <w:p w14:paraId="13E60BAF" w14:textId="77777777" w:rsidR="003A2683" w:rsidRPr="00BA1C8E" w:rsidRDefault="003A2683" w:rsidP="005A7AAF">
            <w:pPr>
              <w:pStyle w:val="NoSpacing"/>
              <w:jc w:val="center"/>
              <w:rPr>
                <w:rFonts w:ascii="Times New Roman" w:hAnsi="Times New Roman" w:cs="Times New Roman"/>
                <w:szCs w:val="24"/>
                <w:lang w:eastAsia="en-IN"/>
              </w:rPr>
            </w:pPr>
            <w:r w:rsidRPr="00BA1C8E">
              <w:rPr>
                <w:rFonts w:ascii="Times New Roman" w:hAnsi="Times New Roman" w:cs="Times New Roman"/>
                <w:szCs w:val="24"/>
                <w:lang w:eastAsia="en-IN"/>
              </w:rPr>
              <w:t>3.69</w:t>
            </w:r>
          </w:p>
        </w:tc>
        <w:tc>
          <w:tcPr>
            <w:tcW w:w="1337" w:type="dxa"/>
            <w:tcBorders>
              <w:top w:val="nil"/>
              <w:left w:val="nil"/>
              <w:bottom w:val="single" w:sz="4" w:space="0" w:color="auto"/>
              <w:right w:val="single" w:sz="4" w:space="0" w:color="auto"/>
            </w:tcBorders>
            <w:shd w:val="clear" w:color="000000" w:fill="FFFFFF"/>
            <w:vAlign w:val="center"/>
            <w:hideMark/>
          </w:tcPr>
          <w:p w14:paraId="7B5AED9F" w14:textId="77777777" w:rsidR="003A2683" w:rsidRPr="00BA1C8E" w:rsidRDefault="003A2683" w:rsidP="005A7AAF">
            <w:pPr>
              <w:pStyle w:val="NoSpacing"/>
              <w:jc w:val="center"/>
              <w:rPr>
                <w:rFonts w:ascii="Times New Roman" w:hAnsi="Times New Roman" w:cs="Times New Roman"/>
                <w:szCs w:val="24"/>
                <w:lang w:eastAsia="en-IN"/>
              </w:rPr>
            </w:pPr>
            <w:r w:rsidRPr="00BA1C8E">
              <w:rPr>
                <w:rFonts w:ascii="Times New Roman" w:hAnsi="Times New Roman" w:cs="Times New Roman"/>
                <w:szCs w:val="24"/>
                <w:lang w:eastAsia="en-IN"/>
              </w:rPr>
              <w:t>2.12</w:t>
            </w:r>
          </w:p>
        </w:tc>
        <w:tc>
          <w:tcPr>
            <w:tcW w:w="2030" w:type="dxa"/>
            <w:tcBorders>
              <w:top w:val="nil"/>
              <w:left w:val="nil"/>
              <w:bottom w:val="single" w:sz="4" w:space="0" w:color="auto"/>
              <w:right w:val="single" w:sz="4" w:space="0" w:color="auto"/>
            </w:tcBorders>
            <w:shd w:val="clear" w:color="000000" w:fill="FFFFFF"/>
            <w:vAlign w:val="center"/>
            <w:hideMark/>
          </w:tcPr>
          <w:p w14:paraId="6A5ADDAD" w14:textId="77777777" w:rsidR="003A2683" w:rsidRPr="00BA1C8E" w:rsidRDefault="003A2683" w:rsidP="005A7AAF">
            <w:pPr>
              <w:pStyle w:val="NoSpacing"/>
              <w:jc w:val="center"/>
              <w:rPr>
                <w:rFonts w:ascii="Times New Roman" w:hAnsi="Times New Roman" w:cs="Times New Roman"/>
                <w:szCs w:val="24"/>
                <w:lang w:eastAsia="en-IN"/>
              </w:rPr>
            </w:pPr>
            <w:r w:rsidRPr="00BA1C8E">
              <w:rPr>
                <w:rFonts w:ascii="Times New Roman" w:hAnsi="Times New Roman" w:cs="Times New Roman"/>
                <w:szCs w:val="24"/>
                <w:lang w:eastAsia="en-IN"/>
              </w:rPr>
              <w:t>1.02</w:t>
            </w:r>
          </w:p>
        </w:tc>
        <w:tc>
          <w:tcPr>
            <w:tcW w:w="1386" w:type="dxa"/>
            <w:tcBorders>
              <w:top w:val="nil"/>
              <w:left w:val="nil"/>
              <w:bottom w:val="single" w:sz="4" w:space="0" w:color="auto"/>
              <w:right w:val="single" w:sz="4" w:space="0" w:color="auto"/>
            </w:tcBorders>
            <w:shd w:val="clear" w:color="000000" w:fill="FFFFFF"/>
            <w:vAlign w:val="center"/>
            <w:hideMark/>
          </w:tcPr>
          <w:p w14:paraId="3AF72BDC" w14:textId="77777777" w:rsidR="003A2683" w:rsidRPr="00BA1C8E" w:rsidRDefault="003A2683" w:rsidP="005A7AAF">
            <w:pPr>
              <w:pStyle w:val="NoSpacing"/>
              <w:jc w:val="center"/>
              <w:rPr>
                <w:rFonts w:ascii="Times New Roman" w:hAnsi="Times New Roman" w:cs="Times New Roman"/>
                <w:szCs w:val="24"/>
                <w:lang w:eastAsia="en-IN"/>
              </w:rPr>
            </w:pPr>
            <w:r w:rsidRPr="00BA1C8E">
              <w:rPr>
                <w:rFonts w:ascii="Times New Roman" w:hAnsi="Times New Roman" w:cs="Times New Roman"/>
                <w:szCs w:val="24"/>
                <w:lang w:eastAsia="en-IN"/>
              </w:rPr>
              <w:t>1.46</w:t>
            </w:r>
          </w:p>
        </w:tc>
        <w:tc>
          <w:tcPr>
            <w:tcW w:w="1434" w:type="dxa"/>
            <w:tcBorders>
              <w:top w:val="nil"/>
              <w:left w:val="nil"/>
              <w:bottom w:val="single" w:sz="4" w:space="0" w:color="auto"/>
              <w:right w:val="single" w:sz="4" w:space="0" w:color="auto"/>
            </w:tcBorders>
            <w:shd w:val="clear" w:color="000000" w:fill="FFFFFF"/>
            <w:vAlign w:val="center"/>
            <w:hideMark/>
          </w:tcPr>
          <w:p w14:paraId="375A73FC" w14:textId="77777777" w:rsidR="003A2683" w:rsidRPr="00BA1C8E" w:rsidRDefault="003A2683" w:rsidP="005A7AAF">
            <w:pPr>
              <w:pStyle w:val="NoSpacing"/>
              <w:jc w:val="center"/>
              <w:rPr>
                <w:rFonts w:ascii="Times New Roman" w:hAnsi="Times New Roman" w:cs="Times New Roman"/>
                <w:szCs w:val="24"/>
                <w:lang w:eastAsia="en-IN"/>
              </w:rPr>
            </w:pPr>
            <w:r w:rsidRPr="00BA1C8E">
              <w:rPr>
                <w:rFonts w:ascii="Times New Roman" w:hAnsi="Times New Roman" w:cs="Times New Roman"/>
                <w:szCs w:val="24"/>
                <w:lang w:eastAsia="en-IN"/>
              </w:rPr>
              <w:t>12.12</w:t>
            </w:r>
          </w:p>
        </w:tc>
      </w:tr>
      <w:tr w:rsidR="003A2683" w:rsidRPr="00BA1C8E" w14:paraId="41AFB10C" w14:textId="77777777" w:rsidTr="003A2683">
        <w:trPr>
          <w:trHeight w:val="587"/>
        </w:trPr>
        <w:tc>
          <w:tcPr>
            <w:tcW w:w="2363" w:type="dxa"/>
            <w:tcBorders>
              <w:top w:val="nil"/>
              <w:left w:val="single" w:sz="4" w:space="0" w:color="auto"/>
              <w:bottom w:val="single" w:sz="4" w:space="0" w:color="auto"/>
              <w:right w:val="single" w:sz="4" w:space="0" w:color="auto"/>
            </w:tcBorders>
            <w:shd w:val="clear" w:color="000000" w:fill="FFFFFF"/>
            <w:vAlign w:val="center"/>
            <w:hideMark/>
          </w:tcPr>
          <w:p w14:paraId="0767D648" w14:textId="77777777" w:rsidR="003A2683" w:rsidRPr="00BA1C8E" w:rsidRDefault="003A2683" w:rsidP="00B77C0B">
            <w:pPr>
              <w:pStyle w:val="NoSpacing"/>
              <w:rPr>
                <w:rFonts w:ascii="Times New Roman" w:hAnsi="Times New Roman" w:cs="Times New Roman"/>
                <w:szCs w:val="24"/>
                <w:lang w:eastAsia="en-IN"/>
              </w:rPr>
            </w:pPr>
            <w:r w:rsidRPr="00BA1C8E">
              <w:rPr>
                <w:rFonts w:ascii="Times New Roman" w:hAnsi="Times New Roman" w:cs="Times New Roman"/>
                <w:szCs w:val="24"/>
                <w:lang w:eastAsia="en-IN"/>
              </w:rPr>
              <w:t>Jammu and Kashmir</w:t>
            </w:r>
          </w:p>
        </w:tc>
        <w:tc>
          <w:tcPr>
            <w:tcW w:w="1534" w:type="dxa"/>
            <w:tcBorders>
              <w:top w:val="nil"/>
              <w:left w:val="nil"/>
              <w:bottom w:val="single" w:sz="4" w:space="0" w:color="auto"/>
              <w:right w:val="single" w:sz="4" w:space="0" w:color="auto"/>
            </w:tcBorders>
            <w:shd w:val="clear" w:color="000000" w:fill="FFFFFF"/>
            <w:vAlign w:val="center"/>
            <w:hideMark/>
          </w:tcPr>
          <w:p w14:paraId="35944021" w14:textId="77777777" w:rsidR="003A2683" w:rsidRPr="00BA1C8E" w:rsidRDefault="003A2683" w:rsidP="005A7AAF">
            <w:pPr>
              <w:pStyle w:val="NoSpacing"/>
              <w:jc w:val="center"/>
              <w:rPr>
                <w:rFonts w:ascii="Times New Roman" w:hAnsi="Times New Roman" w:cs="Times New Roman"/>
                <w:szCs w:val="24"/>
                <w:lang w:eastAsia="en-IN"/>
              </w:rPr>
            </w:pPr>
            <w:r w:rsidRPr="00BA1C8E">
              <w:rPr>
                <w:rFonts w:ascii="Times New Roman" w:hAnsi="Times New Roman" w:cs="Times New Roman"/>
                <w:szCs w:val="24"/>
                <w:lang w:eastAsia="en-IN"/>
              </w:rPr>
              <w:t>1.49</w:t>
            </w:r>
          </w:p>
        </w:tc>
        <w:tc>
          <w:tcPr>
            <w:tcW w:w="1335" w:type="dxa"/>
            <w:tcBorders>
              <w:top w:val="nil"/>
              <w:left w:val="nil"/>
              <w:bottom w:val="single" w:sz="4" w:space="0" w:color="auto"/>
              <w:right w:val="single" w:sz="4" w:space="0" w:color="auto"/>
            </w:tcBorders>
            <w:shd w:val="clear" w:color="000000" w:fill="FFFFFF"/>
            <w:vAlign w:val="center"/>
            <w:hideMark/>
          </w:tcPr>
          <w:p w14:paraId="136CFFC4" w14:textId="77777777" w:rsidR="003A2683" w:rsidRPr="00BA1C8E" w:rsidRDefault="003A2683" w:rsidP="005A7AAF">
            <w:pPr>
              <w:pStyle w:val="NoSpacing"/>
              <w:jc w:val="center"/>
              <w:rPr>
                <w:rFonts w:ascii="Times New Roman" w:hAnsi="Times New Roman" w:cs="Times New Roman"/>
                <w:szCs w:val="24"/>
                <w:lang w:eastAsia="en-IN"/>
              </w:rPr>
            </w:pPr>
            <w:r w:rsidRPr="00BA1C8E">
              <w:rPr>
                <w:rFonts w:ascii="Times New Roman" w:hAnsi="Times New Roman" w:cs="Times New Roman"/>
                <w:szCs w:val="24"/>
                <w:lang w:eastAsia="en-IN"/>
              </w:rPr>
              <w:t>4.46</w:t>
            </w:r>
          </w:p>
        </w:tc>
        <w:tc>
          <w:tcPr>
            <w:tcW w:w="1831" w:type="dxa"/>
            <w:tcBorders>
              <w:top w:val="nil"/>
              <w:left w:val="nil"/>
              <w:bottom w:val="single" w:sz="4" w:space="0" w:color="auto"/>
              <w:right w:val="single" w:sz="4" w:space="0" w:color="auto"/>
            </w:tcBorders>
            <w:shd w:val="clear" w:color="000000" w:fill="FFFFFF"/>
            <w:vAlign w:val="center"/>
            <w:hideMark/>
          </w:tcPr>
          <w:p w14:paraId="579CCA82" w14:textId="77777777" w:rsidR="003A2683" w:rsidRPr="00BA1C8E" w:rsidRDefault="003A2683" w:rsidP="005A7AAF">
            <w:pPr>
              <w:pStyle w:val="NoSpacing"/>
              <w:jc w:val="center"/>
              <w:rPr>
                <w:rFonts w:ascii="Times New Roman" w:hAnsi="Times New Roman" w:cs="Times New Roman"/>
                <w:szCs w:val="24"/>
                <w:lang w:eastAsia="en-IN"/>
              </w:rPr>
            </w:pPr>
            <w:r w:rsidRPr="00BA1C8E">
              <w:rPr>
                <w:rFonts w:ascii="Times New Roman" w:hAnsi="Times New Roman" w:cs="Times New Roman"/>
                <w:szCs w:val="24"/>
                <w:lang w:eastAsia="en-IN"/>
              </w:rPr>
              <w:t>9.26</w:t>
            </w:r>
          </w:p>
        </w:tc>
        <w:tc>
          <w:tcPr>
            <w:tcW w:w="1702" w:type="dxa"/>
            <w:tcBorders>
              <w:top w:val="nil"/>
              <w:left w:val="nil"/>
              <w:bottom w:val="single" w:sz="4" w:space="0" w:color="auto"/>
              <w:right w:val="single" w:sz="4" w:space="0" w:color="auto"/>
            </w:tcBorders>
            <w:shd w:val="clear" w:color="000000" w:fill="FFFFFF"/>
            <w:vAlign w:val="center"/>
            <w:hideMark/>
          </w:tcPr>
          <w:p w14:paraId="3511C1EE" w14:textId="77777777" w:rsidR="003A2683" w:rsidRPr="00BA1C8E" w:rsidRDefault="003A2683" w:rsidP="005A7AAF">
            <w:pPr>
              <w:pStyle w:val="NoSpacing"/>
              <w:jc w:val="center"/>
              <w:rPr>
                <w:rFonts w:ascii="Times New Roman" w:hAnsi="Times New Roman" w:cs="Times New Roman"/>
                <w:szCs w:val="24"/>
                <w:lang w:eastAsia="en-IN"/>
              </w:rPr>
            </w:pPr>
            <w:r w:rsidRPr="00BA1C8E">
              <w:rPr>
                <w:rFonts w:ascii="Times New Roman" w:hAnsi="Times New Roman" w:cs="Times New Roman"/>
                <w:szCs w:val="24"/>
                <w:lang w:eastAsia="en-IN"/>
              </w:rPr>
              <w:t>2.57</w:t>
            </w:r>
          </w:p>
        </w:tc>
        <w:tc>
          <w:tcPr>
            <w:tcW w:w="1337" w:type="dxa"/>
            <w:tcBorders>
              <w:top w:val="nil"/>
              <w:left w:val="nil"/>
              <w:bottom w:val="single" w:sz="4" w:space="0" w:color="auto"/>
              <w:right w:val="single" w:sz="4" w:space="0" w:color="auto"/>
            </w:tcBorders>
            <w:shd w:val="clear" w:color="000000" w:fill="FFFFFF"/>
            <w:vAlign w:val="center"/>
            <w:hideMark/>
          </w:tcPr>
          <w:p w14:paraId="0549A619" w14:textId="77777777" w:rsidR="003A2683" w:rsidRPr="00BA1C8E" w:rsidRDefault="003A2683" w:rsidP="005A7AAF">
            <w:pPr>
              <w:pStyle w:val="NoSpacing"/>
              <w:jc w:val="center"/>
              <w:rPr>
                <w:rFonts w:ascii="Times New Roman" w:hAnsi="Times New Roman" w:cs="Times New Roman"/>
                <w:szCs w:val="24"/>
                <w:lang w:eastAsia="en-IN"/>
              </w:rPr>
            </w:pPr>
            <w:r w:rsidRPr="00BA1C8E">
              <w:rPr>
                <w:rFonts w:ascii="Times New Roman" w:hAnsi="Times New Roman" w:cs="Times New Roman"/>
                <w:szCs w:val="24"/>
                <w:lang w:eastAsia="en-IN"/>
              </w:rPr>
              <w:t>..</w:t>
            </w:r>
          </w:p>
        </w:tc>
        <w:tc>
          <w:tcPr>
            <w:tcW w:w="2030" w:type="dxa"/>
            <w:tcBorders>
              <w:top w:val="nil"/>
              <w:left w:val="nil"/>
              <w:bottom w:val="single" w:sz="4" w:space="0" w:color="auto"/>
              <w:right w:val="single" w:sz="4" w:space="0" w:color="auto"/>
            </w:tcBorders>
            <w:shd w:val="clear" w:color="000000" w:fill="FFFFFF"/>
            <w:vAlign w:val="center"/>
            <w:hideMark/>
          </w:tcPr>
          <w:p w14:paraId="7575D05D" w14:textId="6FD97660" w:rsidR="003A2683" w:rsidRPr="00BA1C8E" w:rsidRDefault="003A2683" w:rsidP="005A7AAF">
            <w:pPr>
              <w:pStyle w:val="NoSpacing"/>
              <w:jc w:val="center"/>
              <w:rPr>
                <w:rFonts w:ascii="Times New Roman" w:hAnsi="Times New Roman" w:cs="Times New Roman"/>
                <w:szCs w:val="24"/>
                <w:lang w:eastAsia="en-IN"/>
              </w:rPr>
            </w:pPr>
            <w:r w:rsidRPr="00BA1C8E">
              <w:rPr>
                <w:rFonts w:ascii="Times New Roman" w:hAnsi="Times New Roman" w:cs="Times New Roman"/>
                <w:szCs w:val="24"/>
                <w:lang w:eastAsia="en-IN"/>
              </w:rPr>
              <w:t>1.1</w:t>
            </w:r>
            <w:r w:rsidR="00557D12">
              <w:rPr>
                <w:rFonts w:ascii="Times New Roman" w:hAnsi="Times New Roman" w:cs="Times New Roman"/>
                <w:szCs w:val="24"/>
                <w:lang w:eastAsia="en-IN"/>
              </w:rPr>
              <w:t>0</w:t>
            </w:r>
          </w:p>
        </w:tc>
        <w:tc>
          <w:tcPr>
            <w:tcW w:w="1386" w:type="dxa"/>
            <w:tcBorders>
              <w:top w:val="nil"/>
              <w:left w:val="nil"/>
              <w:bottom w:val="single" w:sz="4" w:space="0" w:color="auto"/>
              <w:right w:val="single" w:sz="4" w:space="0" w:color="auto"/>
            </w:tcBorders>
            <w:shd w:val="clear" w:color="000000" w:fill="FFFFFF"/>
            <w:vAlign w:val="center"/>
            <w:hideMark/>
          </w:tcPr>
          <w:p w14:paraId="43C78455" w14:textId="77777777" w:rsidR="003A2683" w:rsidRPr="00BA1C8E" w:rsidRDefault="003A2683" w:rsidP="005A7AAF">
            <w:pPr>
              <w:pStyle w:val="NoSpacing"/>
              <w:jc w:val="center"/>
              <w:rPr>
                <w:rFonts w:ascii="Times New Roman" w:hAnsi="Times New Roman" w:cs="Times New Roman"/>
                <w:szCs w:val="24"/>
                <w:lang w:eastAsia="en-IN"/>
              </w:rPr>
            </w:pPr>
            <w:r w:rsidRPr="00BA1C8E">
              <w:rPr>
                <w:rFonts w:ascii="Times New Roman" w:hAnsi="Times New Roman" w:cs="Times New Roman"/>
                <w:szCs w:val="24"/>
                <w:lang w:eastAsia="en-IN"/>
              </w:rPr>
              <w:t>0.56</w:t>
            </w:r>
          </w:p>
        </w:tc>
        <w:tc>
          <w:tcPr>
            <w:tcW w:w="1434" w:type="dxa"/>
            <w:tcBorders>
              <w:top w:val="nil"/>
              <w:left w:val="nil"/>
              <w:bottom w:val="single" w:sz="4" w:space="0" w:color="auto"/>
              <w:right w:val="single" w:sz="4" w:space="0" w:color="auto"/>
            </w:tcBorders>
            <w:shd w:val="clear" w:color="000000" w:fill="FFFFFF"/>
            <w:vAlign w:val="center"/>
            <w:hideMark/>
          </w:tcPr>
          <w:p w14:paraId="582C9728" w14:textId="77777777" w:rsidR="003A2683" w:rsidRPr="00BA1C8E" w:rsidRDefault="003A2683" w:rsidP="005A7AAF">
            <w:pPr>
              <w:pStyle w:val="NoSpacing"/>
              <w:jc w:val="center"/>
              <w:rPr>
                <w:rFonts w:ascii="Times New Roman" w:hAnsi="Times New Roman" w:cs="Times New Roman"/>
                <w:szCs w:val="24"/>
                <w:lang w:eastAsia="en-IN"/>
              </w:rPr>
            </w:pPr>
            <w:r w:rsidRPr="00BA1C8E">
              <w:rPr>
                <w:rFonts w:ascii="Times New Roman" w:hAnsi="Times New Roman" w:cs="Times New Roman"/>
                <w:szCs w:val="24"/>
                <w:lang w:eastAsia="en-IN"/>
              </w:rPr>
              <w:t>19.44</w:t>
            </w:r>
          </w:p>
        </w:tc>
      </w:tr>
      <w:tr w:rsidR="003A2683" w:rsidRPr="00BA1C8E" w14:paraId="3D88530B" w14:textId="77777777" w:rsidTr="003A2683">
        <w:trPr>
          <w:trHeight w:val="145"/>
        </w:trPr>
        <w:tc>
          <w:tcPr>
            <w:tcW w:w="2363" w:type="dxa"/>
            <w:tcBorders>
              <w:top w:val="nil"/>
              <w:left w:val="single" w:sz="4" w:space="0" w:color="auto"/>
              <w:bottom w:val="single" w:sz="4" w:space="0" w:color="auto"/>
              <w:right w:val="single" w:sz="4" w:space="0" w:color="auto"/>
            </w:tcBorders>
            <w:shd w:val="clear" w:color="000000" w:fill="FFFFFF"/>
            <w:vAlign w:val="center"/>
            <w:hideMark/>
          </w:tcPr>
          <w:p w14:paraId="0C27F932" w14:textId="77777777" w:rsidR="003A2683" w:rsidRPr="00BA1C8E" w:rsidRDefault="003A2683" w:rsidP="00B77C0B">
            <w:pPr>
              <w:pStyle w:val="NoSpacing"/>
              <w:rPr>
                <w:rFonts w:ascii="Times New Roman" w:hAnsi="Times New Roman" w:cs="Times New Roman"/>
                <w:szCs w:val="24"/>
                <w:lang w:eastAsia="en-IN"/>
              </w:rPr>
            </w:pPr>
            <w:r w:rsidRPr="00BA1C8E">
              <w:rPr>
                <w:rFonts w:ascii="Times New Roman" w:hAnsi="Times New Roman" w:cs="Times New Roman"/>
                <w:szCs w:val="24"/>
                <w:lang w:eastAsia="en-IN"/>
              </w:rPr>
              <w:t>Bihar</w:t>
            </w:r>
          </w:p>
        </w:tc>
        <w:tc>
          <w:tcPr>
            <w:tcW w:w="1534" w:type="dxa"/>
            <w:tcBorders>
              <w:top w:val="nil"/>
              <w:left w:val="nil"/>
              <w:bottom w:val="single" w:sz="4" w:space="0" w:color="auto"/>
              <w:right w:val="single" w:sz="4" w:space="0" w:color="auto"/>
            </w:tcBorders>
            <w:shd w:val="clear" w:color="000000" w:fill="FFFFFF"/>
            <w:vAlign w:val="center"/>
            <w:hideMark/>
          </w:tcPr>
          <w:p w14:paraId="748FB2DA" w14:textId="77777777" w:rsidR="003A2683" w:rsidRPr="00BA1C8E" w:rsidRDefault="003A2683" w:rsidP="005A7AAF">
            <w:pPr>
              <w:pStyle w:val="NoSpacing"/>
              <w:jc w:val="center"/>
              <w:rPr>
                <w:rFonts w:ascii="Times New Roman" w:hAnsi="Times New Roman" w:cs="Times New Roman"/>
                <w:szCs w:val="24"/>
                <w:lang w:eastAsia="en-IN"/>
              </w:rPr>
            </w:pPr>
            <w:r w:rsidRPr="00BA1C8E">
              <w:rPr>
                <w:rFonts w:ascii="Times New Roman" w:hAnsi="Times New Roman" w:cs="Times New Roman"/>
                <w:szCs w:val="24"/>
                <w:lang w:eastAsia="en-IN"/>
              </w:rPr>
              <w:t>0.64</w:t>
            </w:r>
          </w:p>
        </w:tc>
        <w:tc>
          <w:tcPr>
            <w:tcW w:w="1335" w:type="dxa"/>
            <w:tcBorders>
              <w:top w:val="nil"/>
              <w:left w:val="nil"/>
              <w:bottom w:val="single" w:sz="4" w:space="0" w:color="auto"/>
              <w:right w:val="single" w:sz="4" w:space="0" w:color="auto"/>
            </w:tcBorders>
            <w:shd w:val="clear" w:color="000000" w:fill="FFFFFF"/>
            <w:vAlign w:val="center"/>
            <w:hideMark/>
          </w:tcPr>
          <w:p w14:paraId="47CD3E2B" w14:textId="77777777" w:rsidR="003A2683" w:rsidRPr="00BA1C8E" w:rsidRDefault="003A2683" w:rsidP="005A7AAF">
            <w:pPr>
              <w:pStyle w:val="NoSpacing"/>
              <w:jc w:val="center"/>
              <w:rPr>
                <w:rFonts w:ascii="Times New Roman" w:hAnsi="Times New Roman" w:cs="Times New Roman"/>
                <w:szCs w:val="24"/>
                <w:lang w:eastAsia="en-IN"/>
              </w:rPr>
            </w:pPr>
            <w:r w:rsidRPr="00BA1C8E">
              <w:rPr>
                <w:rFonts w:ascii="Times New Roman" w:hAnsi="Times New Roman" w:cs="Times New Roman"/>
                <w:szCs w:val="24"/>
                <w:lang w:eastAsia="en-IN"/>
              </w:rPr>
              <w:t>2.02</w:t>
            </w:r>
          </w:p>
        </w:tc>
        <w:tc>
          <w:tcPr>
            <w:tcW w:w="1831" w:type="dxa"/>
            <w:tcBorders>
              <w:top w:val="nil"/>
              <w:left w:val="nil"/>
              <w:bottom w:val="single" w:sz="4" w:space="0" w:color="auto"/>
              <w:right w:val="single" w:sz="4" w:space="0" w:color="auto"/>
            </w:tcBorders>
            <w:shd w:val="clear" w:color="000000" w:fill="FFFFFF"/>
            <w:vAlign w:val="center"/>
            <w:hideMark/>
          </w:tcPr>
          <w:p w14:paraId="27D6E3E5" w14:textId="77777777" w:rsidR="003A2683" w:rsidRPr="00BA1C8E" w:rsidRDefault="003A2683" w:rsidP="005A7AAF">
            <w:pPr>
              <w:pStyle w:val="NoSpacing"/>
              <w:jc w:val="center"/>
              <w:rPr>
                <w:rFonts w:ascii="Times New Roman" w:hAnsi="Times New Roman" w:cs="Times New Roman"/>
                <w:szCs w:val="24"/>
                <w:lang w:eastAsia="en-IN"/>
              </w:rPr>
            </w:pPr>
            <w:r w:rsidRPr="00BA1C8E">
              <w:rPr>
                <w:rFonts w:ascii="Times New Roman" w:hAnsi="Times New Roman" w:cs="Times New Roman"/>
                <w:szCs w:val="24"/>
                <w:lang w:eastAsia="en-IN"/>
              </w:rPr>
              <w:t>1.06</w:t>
            </w:r>
          </w:p>
        </w:tc>
        <w:tc>
          <w:tcPr>
            <w:tcW w:w="1702" w:type="dxa"/>
            <w:tcBorders>
              <w:top w:val="nil"/>
              <w:left w:val="nil"/>
              <w:bottom w:val="single" w:sz="4" w:space="0" w:color="auto"/>
              <w:right w:val="single" w:sz="4" w:space="0" w:color="auto"/>
            </w:tcBorders>
            <w:shd w:val="clear" w:color="000000" w:fill="FFFFFF"/>
            <w:vAlign w:val="center"/>
            <w:hideMark/>
          </w:tcPr>
          <w:p w14:paraId="79F18DB9" w14:textId="77777777" w:rsidR="003A2683" w:rsidRPr="00BA1C8E" w:rsidRDefault="003A2683" w:rsidP="005A7AAF">
            <w:pPr>
              <w:pStyle w:val="NoSpacing"/>
              <w:jc w:val="center"/>
              <w:rPr>
                <w:rFonts w:ascii="Times New Roman" w:hAnsi="Times New Roman" w:cs="Times New Roman"/>
                <w:szCs w:val="24"/>
                <w:lang w:eastAsia="en-IN"/>
              </w:rPr>
            </w:pPr>
            <w:r w:rsidRPr="00BA1C8E">
              <w:rPr>
                <w:rFonts w:ascii="Times New Roman" w:hAnsi="Times New Roman" w:cs="Times New Roman"/>
                <w:szCs w:val="24"/>
                <w:lang w:eastAsia="en-IN"/>
              </w:rPr>
              <w:t>3.7</w:t>
            </w:r>
          </w:p>
        </w:tc>
        <w:tc>
          <w:tcPr>
            <w:tcW w:w="1337" w:type="dxa"/>
            <w:tcBorders>
              <w:top w:val="nil"/>
              <w:left w:val="nil"/>
              <w:bottom w:val="single" w:sz="4" w:space="0" w:color="auto"/>
              <w:right w:val="single" w:sz="4" w:space="0" w:color="auto"/>
            </w:tcBorders>
            <w:shd w:val="clear" w:color="000000" w:fill="FFFFFF"/>
            <w:vAlign w:val="center"/>
            <w:hideMark/>
          </w:tcPr>
          <w:p w14:paraId="42D6E1A0" w14:textId="77777777" w:rsidR="003A2683" w:rsidRPr="00BA1C8E" w:rsidRDefault="003A2683" w:rsidP="005A7AAF">
            <w:pPr>
              <w:pStyle w:val="NoSpacing"/>
              <w:jc w:val="center"/>
              <w:rPr>
                <w:rFonts w:ascii="Times New Roman" w:hAnsi="Times New Roman" w:cs="Times New Roman"/>
                <w:szCs w:val="24"/>
                <w:lang w:eastAsia="en-IN"/>
              </w:rPr>
            </w:pPr>
            <w:r w:rsidRPr="00BA1C8E">
              <w:rPr>
                <w:rFonts w:ascii="Times New Roman" w:hAnsi="Times New Roman" w:cs="Times New Roman"/>
                <w:szCs w:val="24"/>
                <w:lang w:eastAsia="en-IN"/>
              </w:rPr>
              <w:t>2.2</w:t>
            </w:r>
          </w:p>
        </w:tc>
        <w:tc>
          <w:tcPr>
            <w:tcW w:w="2030" w:type="dxa"/>
            <w:tcBorders>
              <w:top w:val="nil"/>
              <w:left w:val="nil"/>
              <w:bottom w:val="single" w:sz="4" w:space="0" w:color="auto"/>
              <w:right w:val="single" w:sz="4" w:space="0" w:color="auto"/>
            </w:tcBorders>
            <w:shd w:val="clear" w:color="000000" w:fill="FFFFFF"/>
            <w:vAlign w:val="center"/>
            <w:hideMark/>
          </w:tcPr>
          <w:p w14:paraId="489A94DC" w14:textId="77777777" w:rsidR="003A2683" w:rsidRPr="00BA1C8E" w:rsidRDefault="003A2683" w:rsidP="005A7AAF">
            <w:pPr>
              <w:pStyle w:val="NoSpacing"/>
              <w:jc w:val="center"/>
              <w:rPr>
                <w:rFonts w:ascii="Times New Roman" w:hAnsi="Times New Roman" w:cs="Times New Roman"/>
                <w:szCs w:val="24"/>
                <w:lang w:eastAsia="en-IN"/>
              </w:rPr>
            </w:pPr>
            <w:r w:rsidRPr="00BA1C8E">
              <w:rPr>
                <w:rFonts w:ascii="Times New Roman" w:hAnsi="Times New Roman" w:cs="Times New Roman"/>
                <w:szCs w:val="24"/>
                <w:lang w:eastAsia="en-IN"/>
              </w:rPr>
              <w:t>1.32</w:t>
            </w:r>
          </w:p>
        </w:tc>
        <w:tc>
          <w:tcPr>
            <w:tcW w:w="1386" w:type="dxa"/>
            <w:tcBorders>
              <w:top w:val="nil"/>
              <w:left w:val="nil"/>
              <w:bottom w:val="single" w:sz="4" w:space="0" w:color="auto"/>
              <w:right w:val="single" w:sz="4" w:space="0" w:color="auto"/>
            </w:tcBorders>
            <w:shd w:val="clear" w:color="000000" w:fill="FFFFFF"/>
            <w:vAlign w:val="center"/>
            <w:hideMark/>
          </w:tcPr>
          <w:p w14:paraId="6D4D9EAD" w14:textId="77777777" w:rsidR="003A2683" w:rsidRPr="00BA1C8E" w:rsidRDefault="003A2683" w:rsidP="005A7AAF">
            <w:pPr>
              <w:pStyle w:val="NoSpacing"/>
              <w:jc w:val="center"/>
              <w:rPr>
                <w:rFonts w:ascii="Times New Roman" w:hAnsi="Times New Roman" w:cs="Times New Roman"/>
                <w:szCs w:val="24"/>
                <w:lang w:eastAsia="en-IN"/>
              </w:rPr>
            </w:pPr>
            <w:r w:rsidRPr="00BA1C8E">
              <w:rPr>
                <w:rFonts w:ascii="Times New Roman" w:hAnsi="Times New Roman" w:cs="Times New Roman"/>
                <w:szCs w:val="24"/>
                <w:lang w:eastAsia="en-IN"/>
              </w:rPr>
              <w:t>1.12</w:t>
            </w:r>
          </w:p>
        </w:tc>
        <w:tc>
          <w:tcPr>
            <w:tcW w:w="1434" w:type="dxa"/>
            <w:tcBorders>
              <w:top w:val="nil"/>
              <w:left w:val="nil"/>
              <w:bottom w:val="single" w:sz="4" w:space="0" w:color="auto"/>
              <w:right w:val="single" w:sz="4" w:space="0" w:color="auto"/>
            </w:tcBorders>
            <w:shd w:val="clear" w:color="000000" w:fill="FFFFFF"/>
            <w:vAlign w:val="center"/>
            <w:hideMark/>
          </w:tcPr>
          <w:p w14:paraId="55CD3C1F" w14:textId="77777777" w:rsidR="003A2683" w:rsidRPr="00BA1C8E" w:rsidRDefault="003A2683" w:rsidP="005A7AAF">
            <w:pPr>
              <w:pStyle w:val="NoSpacing"/>
              <w:jc w:val="center"/>
              <w:rPr>
                <w:rFonts w:ascii="Times New Roman" w:hAnsi="Times New Roman" w:cs="Times New Roman"/>
                <w:szCs w:val="24"/>
                <w:lang w:eastAsia="en-IN"/>
              </w:rPr>
            </w:pPr>
            <w:r w:rsidRPr="00BA1C8E">
              <w:rPr>
                <w:rFonts w:ascii="Times New Roman" w:hAnsi="Times New Roman" w:cs="Times New Roman"/>
                <w:szCs w:val="24"/>
                <w:lang w:eastAsia="en-IN"/>
              </w:rPr>
              <w:t>12.06</w:t>
            </w:r>
          </w:p>
        </w:tc>
      </w:tr>
      <w:tr w:rsidR="003A2683" w:rsidRPr="00BA1C8E" w14:paraId="3C1742CF" w14:textId="77777777" w:rsidTr="003A2683">
        <w:trPr>
          <w:trHeight w:val="293"/>
        </w:trPr>
        <w:tc>
          <w:tcPr>
            <w:tcW w:w="2363" w:type="dxa"/>
            <w:tcBorders>
              <w:top w:val="nil"/>
              <w:left w:val="single" w:sz="4" w:space="0" w:color="auto"/>
              <w:bottom w:val="single" w:sz="4" w:space="0" w:color="auto"/>
              <w:right w:val="single" w:sz="4" w:space="0" w:color="auto"/>
            </w:tcBorders>
            <w:shd w:val="clear" w:color="000000" w:fill="FFFFFF"/>
            <w:vAlign w:val="center"/>
            <w:hideMark/>
          </w:tcPr>
          <w:p w14:paraId="31E6A869" w14:textId="77777777" w:rsidR="003A2683" w:rsidRPr="00BA1C8E" w:rsidRDefault="003A2683" w:rsidP="00B77C0B">
            <w:pPr>
              <w:pStyle w:val="NoSpacing"/>
              <w:rPr>
                <w:rFonts w:ascii="Times New Roman" w:hAnsi="Times New Roman" w:cs="Times New Roman"/>
                <w:szCs w:val="24"/>
                <w:lang w:eastAsia="en-IN"/>
              </w:rPr>
            </w:pPr>
            <w:r w:rsidRPr="00BA1C8E">
              <w:rPr>
                <w:rFonts w:ascii="Times New Roman" w:hAnsi="Times New Roman" w:cs="Times New Roman"/>
                <w:szCs w:val="24"/>
                <w:lang w:eastAsia="en-IN"/>
              </w:rPr>
              <w:t>Nagaland</w:t>
            </w:r>
          </w:p>
        </w:tc>
        <w:tc>
          <w:tcPr>
            <w:tcW w:w="1534" w:type="dxa"/>
            <w:tcBorders>
              <w:top w:val="nil"/>
              <w:left w:val="nil"/>
              <w:bottom w:val="single" w:sz="4" w:space="0" w:color="auto"/>
              <w:right w:val="single" w:sz="4" w:space="0" w:color="auto"/>
            </w:tcBorders>
            <w:shd w:val="clear" w:color="000000" w:fill="FFFFFF"/>
            <w:vAlign w:val="center"/>
            <w:hideMark/>
          </w:tcPr>
          <w:p w14:paraId="78D78EB2" w14:textId="77777777" w:rsidR="003A2683" w:rsidRPr="00BA1C8E" w:rsidRDefault="003A2683" w:rsidP="005A7AAF">
            <w:pPr>
              <w:pStyle w:val="NoSpacing"/>
              <w:jc w:val="center"/>
              <w:rPr>
                <w:rFonts w:ascii="Times New Roman" w:hAnsi="Times New Roman" w:cs="Times New Roman"/>
                <w:szCs w:val="24"/>
                <w:lang w:eastAsia="en-IN"/>
              </w:rPr>
            </w:pPr>
            <w:r w:rsidRPr="00BA1C8E">
              <w:rPr>
                <w:rFonts w:ascii="Times New Roman" w:hAnsi="Times New Roman" w:cs="Times New Roman"/>
                <w:szCs w:val="24"/>
                <w:lang w:eastAsia="en-IN"/>
              </w:rPr>
              <w:t>0.25</w:t>
            </w:r>
          </w:p>
        </w:tc>
        <w:tc>
          <w:tcPr>
            <w:tcW w:w="1335" w:type="dxa"/>
            <w:tcBorders>
              <w:top w:val="nil"/>
              <w:left w:val="nil"/>
              <w:bottom w:val="single" w:sz="4" w:space="0" w:color="auto"/>
              <w:right w:val="single" w:sz="4" w:space="0" w:color="auto"/>
            </w:tcBorders>
            <w:shd w:val="clear" w:color="000000" w:fill="FFFFFF"/>
            <w:vAlign w:val="center"/>
            <w:hideMark/>
          </w:tcPr>
          <w:p w14:paraId="008A389B" w14:textId="77777777" w:rsidR="003A2683" w:rsidRPr="00BA1C8E" w:rsidRDefault="003A2683" w:rsidP="005A7AAF">
            <w:pPr>
              <w:pStyle w:val="NoSpacing"/>
              <w:jc w:val="center"/>
              <w:rPr>
                <w:rFonts w:ascii="Times New Roman" w:hAnsi="Times New Roman" w:cs="Times New Roman"/>
                <w:szCs w:val="24"/>
                <w:lang w:eastAsia="en-IN"/>
              </w:rPr>
            </w:pPr>
            <w:r w:rsidRPr="00BA1C8E">
              <w:rPr>
                <w:rFonts w:ascii="Times New Roman" w:hAnsi="Times New Roman" w:cs="Times New Roman"/>
                <w:szCs w:val="24"/>
                <w:lang w:eastAsia="en-IN"/>
              </w:rPr>
              <w:t>1.25</w:t>
            </w:r>
          </w:p>
        </w:tc>
        <w:tc>
          <w:tcPr>
            <w:tcW w:w="1831" w:type="dxa"/>
            <w:tcBorders>
              <w:top w:val="nil"/>
              <w:left w:val="nil"/>
              <w:bottom w:val="single" w:sz="4" w:space="0" w:color="auto"/>
              <w:right w:val="single" w:sz="4" w:space="0" w:color="auto"/>
            </w:tcBorders>
            <w:shd w:val="clear" w:color="000000" w:fill="FFFFFF"/>
            <w:vAlign w:val="center"/>
            <w:hideMark/>
          </w:tcPr>
          <w:p w14:paraId="51AA4230" w14:textId="77777777" w:rsidR="003A2683" w:rsidRPr="00BA1C8E" w:rsidRDefault="003A2683" w:rsidP="005A7AAF">
            <w:pPr>
              <w:pStyle w:val="NoSpacing"/>
              <w:jc w:val="center"/>
              <w:rPr>
                <w:rFonts w:ascii="Times New Roman" w:hAnsi="Times New Roman" w:cs="Times New Roman"/>
                <w:szCs w:val="24"/>
                <w:lang w:eastAsia="en-IN"/>
              </w:rPr>
            </w:pPr>
            <w:r w:rsidRPr="00BA1C8E">
              <w:rPr>
                <w:rFonts w:ascii="Times New Roman" w:hAnsi="Times New Roman" w:cs="Times New Roman"/>
                <w:szCs w:val="24"/>
                <w:lang w:eastAsia="en-IN"/>
              </w:rPr>
              <w:t>1.25</w:t>
            </w:r>
          </w:p>
        </w:tc>
        <w:tc>
          <w:tcPr>
            <w:tcW w:w="1702" w:type="dxa"/>
            <w:tcBorders>
              <w:top w:val="nil"/>
              <w:left w:val="nil"/>
              <w:bottom w:val="single" w:sz="4" w:space="0" w:color="auto"/>
              <w:right w:val="single" w:sz="4" w:space="0" w:color="auto"/>
            </w:tcBorders>
            <w:shd w:val="clear" w:color="000000" w:fill="FFFFFF"/>
            <w:vAlign w:val="center"/>
            <w:hideMark/>
          </w:tcPr>
          <w:p w14:paraId="0BBA07E7" w14:textId="049F3983" w:rsidR="003A2683" w:rsidRPr="00BA1C8E" w:rsidRDefault="003A2683" w:rsidP="005A7AAF">
            <w:pPr>
              <w:pStyle w:val="NoSpacing"/>
              <w:jc w:val="center"/>
              <w:rPr>
                <w:rFonts w:ascii="Times New Roman" w:hAnsi="Times New Roman" w:cs="Times New Roman"/>
                <w:szCs w:val="24"/>
                <w:lang w:eastAsia="en-IN"/>
              </w:rPr>
            </w:pPr>
            <w:r w:rsidRPr="00BA1C8E">
              <w:rPr>
                <w:rFonts w:ascii="Times New Roman" w:hAnsi="Times New Roman" w:cs="Times New Roman"/>
                <w:szCs w:val="24"/>
                <w:lang w:eastAsia="en-IN"/>
              </w:rPr>
              <w:t>2.5</w:t>
            </w:r>
            <w:r w:rsidR="00557D12">
              <w:rPr>
                <w:rFonts w:ascii="Times New Roman" w:hAnsi="Times New Roman" w:cs="Times New Roman"/>
                <w:szCs w:val="24"/>
                <w:lang w:eastAsia="en-IN"/>
              </w:rPr>
              <w:t>0</w:t>
            </w:r>
          </w:p>
        </w:tc>
        <w:tc>
          <w:tcPr>
            <w:tcW w:w="1337" w:type="dxa"/>
            <w:tcBorders>
              <w:top w:val="nil"/>
              <w:left w:val="nil"/>
              <w:bottom w:val="single" w:sz="4" w:space="0" w:color="auto"/>
              <w:right w:val="single" w:sz="4" w:space="0" w:color="auto"/>
            </w:tcBorders>
            <w:shd w:val="clear" w:color="000000" w:fill="FFFFFF"/>
            <w:vAlign w:val="center"/>
            <w:hideMark/>
          </w:tcPr>
          <w:p w14:paraId="7ACDED66" w14:textId="77777777" w:rsidR="003A2683" w:rsidRPr="00BA1C8E" w:rsidRDefault="003A2683" w:rsidP="005A7AAF">
            <w:pPr>
              <w:pStyle w:val="NoSpacing"/>
              <w:jc w:val="center"/>
              <w:rPr>
                <w:rFonts w:ascii="Times New Roman" w:hAnsi="Times New Roman" w:cs="Times New Roman"/>
                <w:szCs w:val="24"/>
                <w:lang w:eastAsia="en-IN"/>
              </w:rPr>
            </w:pPr>
            <w:r w:rsidRPr="00BA1C8E">
              <w:rPr>
                <w:rFonts w:ascii="Times New Roman" w:hAnsi="Times New Roman" w:cs="Times New Roman"/>
                <w:szCs w:val="24"/>
                <w:lang w:eastAsia="en-IN"/>
              </w:rPr>
              <w:t>..</w:t>
            </w:r>
          </w:p>
        </w:tc>
        <w:tc>
          <w:tcPr>
            <w:tcW w:w="2030" w:type="dxa"/>
            <w:tcBorders>
              <w:top w:val="nil"/>
              <w:left w:val="nil"/>
              <w:bottom w:val="single" w:sz="4" w:space="0" w:color="auto"/>
              <w:right w:val="single" w:sz="4" w:space="0" w:color="auto"/>
            </w:tcBorders>
            <w:shd w:val="clear" w:color="000000" w:fill="FFFFFF"/>
            <w:vAlign w:val="center"/>
            <w:hideMark/>
          </w:tcPr>
          <w:p w14:paraId="49196302" w14:textId="77777777" w:rsidR="003A2683" w:rsidRPr="00BA1C8E" w:rsidRDefault="003A2683" w:rsidP="005A7AAF">
            <w:pPr>
              <w:pStyle w:val="NoSpacing"/>
              <w:jc w:val="center"/>
              <w:rPr>
                <w:rFonts w:ascii="Times New Roman" w:hAnsi="Times New Roman" w:cs="Times New Roman"/>
                <w:szCs w:val="24"/>
                <w:lang w:eastAsia="en-IN"/>
              </w:rPr>
            </w:pPr>
            <w:r w:rsidRPr="00BA1C8E">
              <w:rPr>
                <w:rFonts w:ascii="Times New Roman" w:hAnsi="Times New Roman" w:cs="Times New Roman"/>
                <w:szCs w:val="24"/>
                <w:lang w:eastAsia="en-IN"/>
              </w:rPr>
              <w:t>..</w:t>
            </w:r>
          </w:p>
        </w:tc>
        <w:tc>
          <w:tcPr>
            <w:tcW w:w="1386" w:type="dxa"/>
            <w:tcBorders>
              <w:top w:val="nil"/>
              <w:left w:val="nil"/>
              <w:bottom w:val="single" w:sz="4" w:space="0" w:color="auto"/>
              <w:right w:val="single" w:sz="4" w:space="0" w:color="auto"/>
            </w:tcBorders>
            <w:shd w:val="clear" w:color="000000" w:fill="FFFFFF"/>
            <w:vAlign w:val="center"/>
            <w:hideMark/>
          </w:tcPr>
          <w:p w14:paraId="6DF80E6D" w14:textId="77777777" w:rsidR="003A2683" w:rsidRPr="00BA1C8E" w:rsidRDefault="003A2683" w:rsidP="005A7AAF">
            <w:pPr>
              <w:pStyle w:val="NoSpacing"/>
              <w:jc w:val="center"/>
              <w:rPr>
                <w:rFonts w:ascii="Times New Roman" w:hAnsi="Times New Roman" w:cs="Times New Roman"/>
                <w:szCs w:val="24"/>
                <w:lang w:eastAsia="en-IN"/>
              </w:rPr>
            </w:pPr>
            <w:r w:rsidRPr="00BA1C8E">
              <w:rPr>
                <w:rFonts w:ascii="Times New Roman" w:hAnsi="Times New Roman" w:cs="Times New Roman"/>
                <w:szCs w:val="24"/>
                <w:lang w:eastAsia="en-IN"/>
              </w:rPr>
              <w:t>0.5</w:t>
            </w:r>
          </w:p>
        </w:tc>
        <w:tc>
          <w:tcPr>
            <w:tcW w:w="1434" w:type="dxa"/>
            <w:tcBorders>
              <w:top w:val="nil"/>
              <w:left w:val="nil"/>
              <w:bottom w:val="single" w:sz="4" w:space="0" w:color="auto"/>
              <w:right w:val="single" w:sz="4" w:space="0" w:color="auto"/>
            </w:tcBorders>
            <w:shd w:val="clear" w:color="000000" w:fill="FFFFFF"/>
            <w:vAlign w:val="center"/>
            <w:hideMark/>
          </w:tcPr>
          <w:p w14:paraId="604E6F78" w14:textId="77777777" w:rsidR="003A2683" w:rsidRPr="00BA1C8E" w:rsidRDefault="003A2683" w:rsidP="005A7AAF">
            <w:pPr>
              <w:pStyle w:val="NoSpacing"/>
              <w:jc w:val="center"/>
              <w:rPr>
                <w:rFonts w:ascii="Times New Roman" w:hAnsi="Times New Roman" w:cs="Times New Roman"/>
                <w:szCs w:val="24"/>
                <w:lang w:eastAsia="en-IN"/>
              </w:rPr>
            </w:pPr>
            <w:r w:rsidRPr="00BA1C8E">
              <w:rPr>
                <w:rFonts w:ascii="Times New Roman" w:hAnsi="Times New Roman" w:cs="Times New Roman"/>
                <w:szCs w:val="24"/>
                <w:lang w:eastAsia="en-IN"/>
              </w:rPr>
              <w:t>5.75</w:t>
            </w:r>
          </w:p>
        </w:tc>
      </w:tr>
      <w:tr w:rsidR="003A2683" w:rsidRPr="00BA1C8E" w14:paraId="3F069F87" w14:textId="77777777" w:rsidTr="003A2683">
        <w:trPr>
          <w:trHeight w:val="145"/>
        </w:trPr>
        <w:tc>
          <w:tcPr>
            <w:tcW w:w="2363" w:type="dxa"/>
            <w:tcBorders>
              <w:top w:val="nil"/>
              <w:left w:val="single" w:sz="4" w:space="0" w:color="auto"/>
              <w:bottom w:val="single" w:sz="4" w:space="0" w:color="auto"/>
              <w:right w:val="single" w:sz="4" w:space="0" w:color="auto"/>
            </w:tcBorders>
            <w:shd w:val="clear" w:color="000000" w:fill="FFFFFF"/>
            <w:vAlign w:val="center"/>
            <w:hideMark/>
          </w:tcPr>
          <w:p w14:paraId="636ACE79" w14:textId="77777777" w:rsidR="003A2683" w:rsidRPr="00BA1C8E" w:rsidRDefault="003A2683" w:rsidP="00B77C0B">
            <w:pPr>
              <w:pStyle w:val="NoSpacing"/>
              <w:rPr>
                <w:rFonts w:ascii="Times New Roman" w:hAnsi="Times New Roman" w:cs="Times New Roman"/>
                <w:szCs w:val="24"/>
                <w:lang w:eastAsia="en-IN"/>
              </w:rPr>
            </w:pPr>
            <w:r w:rsidRPr="00BA1C8E">
              <w:rPr>
                <w:rFonts w:ascii="Times New Roman" w:hAnsi="Times New Roman" w:cs="Times New Roman"/>
                <w:szCs w:val="24"/>
                <w:lang w:eastAsia="en-IN"/>
              </w:rPr>
              <w:t>TOTAL</w:t>
            </w:r>
          </w:p>
        </w:tc>
        <w:tc>
          <w:tcPr>
            <w:tcW w:w="1534" w:type="dxa"/>
            <w:tcBorders>
              <w:top w:val="nil"/>
              <w:left w:val="nil"/>
              <w:bottom w:val="single" w:sz="4" w:space="0" w:color="auto"/>
              <w:right w:val="single" w:sz="4" w:space="0" w:color="auto"/>
            </w:tcBorders>
            <w:shd w:val="clear" w:color="000000" w:fill="FFFFFF"/>
            <w:vAlign w:val="center"/>
            <w:hideMark/>
          </w:tcPr>
          <w:p w14:paraId="137FD88B" w14:textId="77777777" w:rsidR="003A2683" w:rsidRPr="00BA1C8E" w:rsidRDefault="003A2683" w:rsidP="005A7AAF">
            <w:pPr>
              <w:pStyle w:val="NoSpacing"/>
              <w:jc w:val="center"/>
              <w:rPr>
                <w:rFonts w:ascii="Times New Roman" w:hAnsi="Times New Roman" w:cs="Times New Roman"/>
                <w:szCs w:val="24"/>
                <w:lang w:eastAsia="en-IN"/>
              </w:rPr>
            </w:pPr>
            <w:r w:rsidRPr="00BA1C8E">
              <w:rPr>
                <w:rFonts w:ascii="Times New Roman" w:hAnsi="Times New Roman" w:cs="Times New Roman"/>
                <w:szCs w:val="24"/>
                <w:lang w:eastAsia="en-IN"/>
              </w:rPr>
              <w:t>2.36</w:t>
            </w:r>
          </w:p>
        </w:tc>
        <w:tc>
          <w:tcPr>
            <w:tcW w:w="1335" w:type="dxa"/>
            <w:tcBorders>
              <w:top w:val="nil"/>
              <w:left w:val="nil"/>
              <w:bottom w:val="single" w:sz="4" w:space="0" w:color="auto"/>
              <w:right w:val="single" w:sz="4" w:space="0" w:color="auto"/>
            </w:tcBorders>
            <w:shd w:val="clear" w:color="000000" w:fill="FFFFFF"/>
            <w:vAlign w:val="center"/>
            <w:hideMark/>
          </w:tcPr>
          <w:p w14:paraId="2AA30525" w14:textId="77777777" w:rsidR="003A2683" w:rsidRPr="00BA1C8E" w:rsidRDefault="003A2683" w:rsidP="005A7AAF">
            <w:pPr>
              <w:pStyle w:val="NoSpacing"/>
              <w:jc w:val="center"/>
              <w:rPr>
                <w:rFonts w:ascii="Times New Roman" w:hAnsi="Times New Roman" w:cs="Times New Roman"/>
                <w:szCs w:val="24"/>
                <w:lang w:eastAsia="en-IN"/>
              </w:rPr>
            </w:pPr>
            <w:r w:rsidRPr="00BA1C8E">
              <w:rPr>
                <w:rFonts w:ascii="Times New Roman" w:hAnsi="Times New Roman" w:cs="Times New Roman"/>
                <w:szCs w:val="24"/>
                <w:lang w:eastAsia="en-IN"/>
              </w:rPr>
              <w:t>2.63</w:t>
            </w:r>
          </w:p>
        </w:tc>
        <w:tc>
          <w:tcPr>
            <w:tcW w:w="1831" w:type="dxa"/>
            <w:tcBorders>
              <w:top w:val="nil"/>
              <w:left w:val="nil"/>
              <w:bottom w:val="single" w:sz="4" w:space="0" w:color="auto"/>
              <w:right w:val="single" w:sz="4" w:space="0" w:color="auto"/>
            </w:tcBorders>
            <w:shd w:val="clear" w:color="000000" w:fill="FFFFFF"/>
            <w:vAlign w:val="center"/>
            <w:hideMark/>
          </w:tcPr>
          <w:p w14:paraId="4B091C34" w14:textId="77777777" w:rsidR="003A2683" w:rsidRPr="00BA1C8E" w:rsidRDefault="003A2683" w:rsidP="005A7AAF">
            <w:pPr>
              <w:pStyle w:val="NoSpacing"/>
              <w:jc w:val="center"/>
              <w:rPr>
                <w:rFonts w:ascii="Times New Roman" w:hAnsi="Times New Roman" w:cs="Times New Roman"/>
                <w:szCs w:val="24"/>
                <w:lang w:eastAsia="en-IN"/>
              </w:rPr>
            </w:pPr>
            <w:r w:rsidRPr="00BA1C8E">
              <w:rPr>
                <w:rFonts w:ascii="Times New Roman" w:hAnsi="Times New Roman" w:cs="Times New Roman"/>
                <w:szCs w:val="24"/>
                <w:lang w:eastAsia="en-IN"/>
              </w:rPr>
              <w:t>3.28</w:t>
            </w:r>
          </w:p>
        </w:tc>
        <w:tc>
          <w:tcPr>
            <w:tcW w:w="1702" w:type="dxa"/>
            <w:tcBorders>
              <w:top w:val="nil"/>
              <w:left w:val="nil"/>
              <w:bottom w:val="single" w:sz="4" w:space="0" w:color="auto"/>
              <w:right w:val="single" w:sz="4" w:space="0" w:color="auto"/>
            </w:tcBorders>
            <w:shd w:val="clear" w:color="000000" w:fill="FFFFFF"/>
            <w:vAlign w:val="center"/>
            <w:hideMark/>
          </w:tcPr>
          <w:p w14:paraId="378BE6D6" w14:textId="77777777" w:rsidR="003A2683" w:rsidRPr="00BA1C8E" w:rsidRDefault="003A2683" w:rsidP="005A7AAF">
            <w:pPr>
              <w:pStyle w:val="NoSpacing"/>
              <w:jc w:val="center"/>
              <w:rPr>
                <w:rFonts w:ascii="Times New Roman" w:hAnsi="Times New Roman" w:cs="Times New Roman"/>
                <w:szCs w:val="24"/>
                <w:lang w:eastAsia="en-IN"/>
              </w:rPr>
            </w:pPr>
            <w:r w:rsidRPr="00BA1C8E">
              <w:rPr>
                <w:rFonts w:ascii="Times New Roman" w:hAnsi="Times New Roman" w:cs="Times New Roman"/>
                <w:szCs w:val="24"/>
                <w:lang w:eastAsia="en-IN"/>
              </w:rPr>
              <w:t>7.18</w:t>
            </w:r>
          </w:p>
        </w:tc>
        <w:tc>
          <w:tcPr>
            <w:tcW w:w="1337" w:type="dxa"/>
            <w:tcBorders>
              <w:top w:val="nil"/>
              <w:left w:val="nil"/>
              <w:bottom w:val="single" w:sz="4" w:space="0" w:color="auto"/>
              <w:right w:val="single" w:sz="4" w:space="0" w:color="auto"/>
            </w:tcBorders>
            <w:shd w:val="clear" w:color="000000" w:fill="FFFFFF"/>
            <w:vAlign w:val="center"/>
            <w:hideMark/>
          </w:tcPr>
          <w:p w14:paraId="0D236175" w14:textId="77777777" w:rsidR="003A2683" w:rsidRPr="00BA1C8E" w:rsidRDefault="003A2683" w:rsidP="005A7AAF">
            <w:pPr>
              <w:pStyle w:val="NoSpacing"/>
              <w:jc w:val="center"/>
              <w:rPr>
                <w:rFonts w:ascii="Times New Roman" w:hAnsi="Times New Roman" w:cs="Times New Roman"/>
                <w:szCs w:val="24"/>
                <w:lang w:eastAsia="en-IN"/>
              </w:rPr>
            </w:pPr>
            <w:r w:rsidRPr="00BA1C8E">
              <w:rPr>
                <w:rFonts w:ascii="Times New Roman" w:hAnsi="Times New Roman" w:cs="Times New Roman"/>
                <w:szCs w:val="24"/>
                <w:lang w:eastAsia="en-IN"/>
              </w:rPr>
              <w:t>2.74</w:t>
            </w:r>
          </w:p>
        </w:tc>
        <w:tc>
          <w:tcPr>
            <w:tcW w:w="2030" w:type="dxa"/>
            <w:tcBorders>
              <w:top w:val="nil"/>
              <w:left w:val="nil"/>
              <w:bottom w:val="single" w:sz="4" w:space="0" w:color="auto"/>
              <w:right w:val="single" w:sz="4" w:space="0" w:color="auto"/>
            </w:tcBorders>
            <w:shd w:val="clear" w:color="000000" w:fill="FFFFFF"/>
            <w:vAlign w:val="center"/>
            <w:hideMark/>
          </w:tcPr>
          <w:p w14:paraId="215E8472" w14:textId="77777777" w:rsidR="003A2683" w:rsidRPr="00BA1C8E" w:rsidRDefault="003A2683" w:rsidP="005A7AAF">
            <w:pPr>
              <w:pStyle w:val="NoSpacing"/>
              <w:jc w:val="center"/>
              <w:rPr>
                <w:rFonts w:ascii="Times New Roman" w:hAnsi="Times New Roman" w:cs="Times New Roman"/>
                <w:szCs w:val="24"/>
                <w:lang w:eastAsia="en-IN"/>
              </w:rPr>
            </w:pPr>
            <w:r w:rsidRPr="00BA1C8E">
              <w:rPr>
                <w:rFonts w:ascii="Times New Roman" w:hAnsi="Times New Roman" w:cs="Times New Roman"/>
                <w:szCs w:val="24"/>
                <w:lang w:eastAsia="en-IN"/>
              </w:rPr>
              <w:t>1.95</w:t>
            </w:r>
          </w:p>
        </w:tc>
        <w:tc>
          <w:tcPr>
            <w:tcW w:w="1386" w:type="dxa"/>
            <w:tcBorders>
              <w:top w:val="nil"/>
              <w:left w:val="nil"/>
              <w:bottom w:val="single" w:sz="4" w:space="0" w:color="auto"/>
              <w:right w:val="single" w:sz="4" w:space="0" w:color="auto"/>
            </w:tcBorders>
            <w:shd w:val="clear" w:color="000000" w:fill="FFFFFF"/>
            <w:vAlign w:val="center"/>
            <w:hideMark/>
          </w:tcPr>
          <w:p w14:paraId="420BD312" w14:textId="77777777" w:rsidR="003A2683" w:rsidRPr="00BA1C8E" w:rsidRDefault="003A2683" w:rsidP="005A7AAF">
            <w:pPr>
              <w:pStyle w:val="NoSpacing"/>
              <w:jc w:val="center"/>
              <w:rPr>
                <w:rFonts w:ascii="Times New Roman" w:hAnsi="Times New Roman" w:cs="Times New Roman"/>
                <w:szCs w:val="24"/>
                <w:lang w:eastAsia="en-IN"/>
              </w:rPr>
            </w:pPr>
            <w:r w:rsidRPr="00BA1C8E">
              <w:rPr>
                <w:rFonts w:ascii="Times New Roman" w:hAnsi="Times New Roman" w:cs="Times New Roman"/>
                <w:szCs w:val="24"/>
                <w:lang w:eastAsia="en-IN"/>
              </w:rPr>
              <w:t>1.78</w:t>
            </w:r>
          </w:p>
        </w:tc>
        <w:tc>
          <w:tcPr>
            <w:tcW w:w="1434" w:type="dxa"/>
            <w:tcBorders>
              <w:top w:val="nil"/>
              <w:left w:val="nil"/>
              <w:bottom w:val="single" w:sz="4" w:space="0" w:color="auto"/>
              <w:right w:val="single" w:sz="4" w:space="0" w:color="auto"/>
            </w:tcBorders>
            <w:shd w:val="clear" w:color="000000" w:fill="FFFFFF"/>
            <w:vAlign w:val="center"/>
            <w:hideMark/>
          </w:tcPr>
          <w:p w14:paraId="5AAD2238" w14:textId="77777777" w:rsidR="003A2683" w:rsidRPr="00BA1C8E" w:rsidRDefault="003A2683" w:rsidP="005A7AAF">
            <w:pPr>
              <w:pStyle w:val="NoSpacing"/>
              <w:jc w:val="center"/>
              <w:rPr>
                <w:rFonts w:ascii="Times New Roman" w:hAnsi="Times New Roman" w:cs="Times New Roman"/>
                <w:szCs w:val="24"/>
                <w:lang w:eastAsia="en-IN"/>
              </w:rPr>
            </w:pPr>
            <w:r w:rsidRPr="00BA1C8E">
              <w:rPr>
                <w:rFonts w:ascii="Times New Roman" w:hAnsi="Times New Roman" w:cs="Times New Roman"/>
                <w:szCs w:val="24"/>
                <w:lang w:eastAsia="en-IN"/>
              </w:rPr>
              <w:t>21.92</w:t>
            </w:r>
          </w:p>
        </w:tc>
      </w:tr>
    </w:tbl>
    <w:p w14:paraId="4815BFDC" w14:textId="7354DAD7" w:rsidR="00E51E56" w:rsidRPr="007245B0" w:rsidRDefault="003A2683" w:rsidP="00BA1C8E">
      <w:pPr>
        <w:pStyle w:val="Sources"/>
        <w:sectPr w:rsidR="00E51E56" w:rsidRPr="007245B0" w:rsidSect="003A2683">
          <w:pgSz w:w="15840" w:h="12240" w:orient="landscape"/>
          <w:pgMar w:top="1440" w:right="992" w:bottom="1440" w:left="1440" w:header="720" w:footer="720" w:gutter="0"/>
          <w:cols w:space="720"/>
        </w:sectPr>
      </w:pPr>
      <w:r w:rsidRPr="007245B0">
        <w:t>* Includes agricultural income tax and land revenue.</w:t>
      </w:r>
      <w:r w:rsidRPr="007245B0">
        <w:br/>
        <w:t>** Includes tax on motor vehicles, tax on passenger and goods and road tolls.</w:t>
      </w:r>
      <w:r w:rsidRPr="007245B0">
        <w:br/>
        <w:t>(a) Takes into account royalty on mineral oil.</w:t>
      </w:r>
      <w:r w:rsidRPr="007245B0">
        <w:br/>
        <w:t>N.B.—Based on population estimates for March, 1967. (Central Statistical Organisation).</w:t>
      </w:r>
    </w:p>
    <w:p w14:paraId="4315CFD9" w14:textId="4D4D497F" w:rsidR="00E51E56" w:rsidRPr="007245B0" w:rsidRDefault="00574BCE" w:rsidP="00BA1C8E">
      <w:pPr>
        <w:pStyle w:val="Heading4"/>
      </w:pPr>
      <w:bookmarkStart w:id="75" w:name="_Toc220949695"/>
      <w:bookmarkStart w:id="76" w:name="_Toc221114295"/>
      <w:bookmarkStart w:id="77" w:name="_Toc221115318"/>
      <w:r>
        <w:lastRenderedPageBreak/>
        <w:t>Table</w:t>
      </w:r>
      <w:r w:rsidR="00E51E56" w:rsidRPr="007245B0">
        <w:t xml:space="preserve"> 15: Per capita tax revenues in 1967-68 as percentage of per capita incomes for 1962-63 to 1964-65 (average)</w:t>
      </w:r>
      <w:bookmarkEnd w:id="75"/>
      <w:bookmarkEnd w:id="76"/>
      <w:bookmarkEnd w:id="77"/>
    </w:p>
    <w:tbl>
      <w:tblPr>
        <w:tblpPr w:leftFromText="180" w:rightFromText="180" w:vertAnchor="text" w:horzAnchor="margin" w:tblpXSpec="center" w:tblpY="371"/>
        <w:tblW w:w="11505" w:type="dxa"/>
        <w:tblLook w:val="04A0" w:firstRow="1" w:lastRow="0" w:firstColumn="1" w:lastColumn="0" w:noHBand="0" w:noVBand="1"/>
      </w:tblPr>
      <w:tblGrid>
        <w:gridCol w:w="1582"/>
        <w:gridCol w:w="1117"/>
        <w:gridCol w:w="2319"/>
        <w:gridCol w:w="1622"/>
        <w:gridCol w:w="2064"/>
        <w:gridCol w:w="1327"/>
        <w:gridCol w:w="1474"/>
      </w:tblGrid>
      <w:tr w:rsidR="00E51E56" w:rsidRPr="00BA1C8E" w14:paraId="57DB24AB" w14:textId="77777777" w:rsidTr="00BA1C8E">
        <w:trPr>
          <w:trHeight w:val="371"/>
        </w:trPr>
        <w:tc>
          <w:tcPr>
            <w:tcW w:w="1582" w:type="dxa"/>
            <w:tcBorders>
              <w:top w:val="single" w:sz="4" w:space="0" w:color="auto"/>
              <w:left w:val="single" w:sz="4" w:space="0" w:color="auto"/>
              <w:bottom w:val="single" w:sz="4" w:space="0" w:color="auto"/>
              <w:right w:val="single" w:sz="4" w:space="0" w:color="auto"/>
            </w:tcBorders>
            <w:noWrap/>
            <w:vAlign w:val="center"/>
            <w:hideMark/>
          </w:tcPr>
          <w:p w14:paraId="6EDED716" w14:textId="77777777" w:rsidR="00E51E56" w:rsidRPr="00BA1C8E" w:rsidRDefault="00E51E56" w:rsidP="00BA1C8E">
            <w:pPr>
              <w:pStyle w:val="NoSpacing"/>
              <w:jc w:val="center"/>
              <w:rPr>
                <w:rFonts w:ascii="Times New Roman" w:hAnsi="Times New Roman" w:cs="Times New Roman"/>
                <w:b/>
                <w:bCs/>
                <w:szCs w:val="24"/>
                <w:lang w:eastAsia="en-IN"/>
              </w:rPr>
            </w:pPr>
            <w:r w:rsidRPr="00BA1C8E">
              <w:rPr>
                <w:rFonts w:ascii="Times New Roman" w:hAnsi="Times New Roman" w:cs="Times New Roman"/>
                <w:b/>
                <w:bCs/>
                <w:szCs w:val="24"/>
                <w:lang w:eastAsia="en-IN"/>
              </w:rPr>
              <w:t>States</w:t>
            </w:r>
          </w:p>
        </w:tc>
        <w:tc>
          <w:tcPr>
            <w:tcW w:w="1117" w:type="dxa"/>
            <w:tcBorders>
              <w:top w:val="single" w:sz="4" w:space="0" w:color="auto"/>
              <w:left w:val="nil"/>
              <w:bottom w:val="single" w:sz="4" w:space="0" w:color="auto"/>
              <w:right w:val="single" w:sz="4" w:space="0" w:color="auto"/>
            </w:tcBorders>
            <w:noWrap/>
            <w:vAlign w:val="center"/>
            <w:hideMark/>
          </w:tcPr>
          <w:p w14:paraId="75EE4F11" w14:textId="77777777" w:rsidR="00E51E56" w:rsidRPr="00BA1C8E" w:rsidRDefault="00E51E56" w:rsidP="00BA1C8E">
            <w:pPr>
              <w:pStyle w:val="NoSpacing"/>
              <w:jc w:val="center"/>
              <w:rPr>
                <w:rFonts w:ascii="Times New Roman" w:hAnsi="Times New Roman" w:cs="Times New Roman"/>
                <w:b/>
                <w:bCs/>
                <w:szCs w:val="24"/>
                <w:lang w:eastAsia="en-IN"/>
              </w:rPr>
            </w:pPr>
            <w:r w:rsidRPr="00BA1C8E">
              <w:rPr>
                <w:rFonts w:ascii="Times New Roman" w:hAnsi="Times New Roman" w:cs="Times New Roman"/>
                <w:b/>
                <w:bCs/>
                <w:szCs w:val="24"/>
                <w:lang w:eastAsia="en-IN"/>
              </w:rPr>
              <w:t>Taxes on land*</w:t>
            </w:r>
          </w:p>
        </w:tc>
        <w:tc>
          <w:tcPr>
            <w:tcW w:w="2319" w:type="dxa"/>
            <w:tcBorders>
              <w:top w:val="single" w:sz="4" w:space="0" w:color="auto"/>
              <w:left w:val="nil"/>
              <w:bottom w:val="single" w:sz="4" w:space="0" w:color="auto"/>
              <w:right w:val="single" w:sz="4" w:space="0" w:color="auto"/>
            </w:tcBorders>
            <w:noWrap/>
            <w:vAlign w:val="center"/>
            <w:hideMark/>
          </w:tcPr>
          <w:p w14:paraId="525C248E" w14:textId="77777777" w:rsidR="00E51E56" w:rsidRPr="00BA1C8E" w:rsidRDefault="00E51E56" w:rsidP="00BA1C8E">
            <w:pPr>
              <w:pStyle w:val="NoSpacing"/>
              <w:jc w:val="center"/>
              <w:rPr>
                <w:rFonts w:ascii="Times New Roman" w:hAnsi="Times New Roman" w:cs="Times New Roman"/>
                <w:b/>
                <w:bCs/>
                <w:szCs w:val="24"/>
                <w:lang w:eastAsia="en-IN"/>
              </w:rPr>
            </w:pPr>
            <w:r w:rsidRPr="00BA1C8E">
              <w:rPr>
                <w:rFonts w:ascii="Times New Roman" w:hAnsi="Times New Roman" w:cs="Times New Roman"/>
                <w:b/>
                <w:bCs/>
                <w:szCs w:val="24"/>
                <w:lang w:eastAsia="en-IN"/>
              </w:rPr>
              <w:t>Taxes on land as percentage of States' agricultural incomes</w:t>
            </w:r>
          </w:p>
        </w:tc>
        <w:tc>
          <w:tcPr>
            <w:tcW w:w="1622" w:type="dxa"/>
            <w:tcBorders>
              <w:top w:val="single" w:sz="4" w:space="0" w:color="auto"/>
              <w:left w:val="nil"/>
              <w:bottom w:val="single" w:sz="4" w:space="0" w:color="auto"/>
              <w:right w:val="single" w:sz="4" w:space="0" w:color="auto"/>
            </w:tcBorders>
            <w:noWrap/>
            <w:vAlign w:val="center"/>
            <w:hideMark/>
          </w:tcPr>
          <w:p w14:paraId="33F32C49" w14:textId="77777777" w:rsidR="00E51E56" w:rsidRPr="00BA1C8E" w:rsidRDefault="00E51E56" w:rsidP="00BA1C8E">
            <w:pPr>
              <w:pStyle w:val="NoSpacing"/>
              <w:jc w:val="center"/>
              <w:rPr>
                <w:rFonts w:ascii="Times New Roman" w:hAnsi="Times New Roman" w:cs="Times New Roman"/>
                <w:b/>
                <w:bCs/>
                <w:szCs w:val="24"/>
                <w:lang w:eastAsia="en-IN"/>
              </w:rPr>
            </w:pPr>
            <w:r w:rsidRPr="00BA1C8E">
              <w:rPr>
                <w:rFonts w:ascii="Times New Roman" w:hAnsi="Times New Roman" w:cs="Times New Roman"/>
                <w:b/>
                <w:bCs/>
                <w:szCs w:val="24"/>
                <w:lang w:eastAsia="en-IN"/>
              </w:rPr>
              <w:t>State Excise</w:t>
            </w:r>
          </w:p>
        </w:tc>
        <w:tc>
          <w:tcPr>
            <w:tcW w:w="2064" w:type="dxa"/>
            <w:tcBorders>
              <w:top w:val="single" w:sz="4" w:space="0" w:color="auto"/>
              <w:left w:val="nil"/>
              <w:bottom w:val="single" w:sz="4" w:space="0" w:color="auto"/>
              <w:right w:val="single" w:sz="4" w:space="0" w:color="auto"/>
            </w:tcBorders>
            <w:noWrap/>
            <w:vAlign w:val="center"/>
            <w:hideMark/>
          </w:tcPr>
          <w:p w14:paraId="12F6B80D" w14:textId="77777777" w:rsidR="00E51E56" w:rsidRPr="00BA1C8E" w:rsidRDefault="00E51E56" w:rsidP="00BA1C8E">
            <w:pPr>
              <w:pStyle w:val="NoSpacing"/>
              <w:jc w:val="center"/>
              <w:rPr>
                <w:rFonts w:ascii="Times New Roman" w:hAnsi="Times New Roman" w:cs="Times New Roman"/>
                <w:b/>
                <w:bCs/>
                <w:szCs w:val="24"/>
                <w:lang w:eastAsia="en-IN"/>
              </w:rPr>
            </w:pPr>
            <w:r w:rsidRPr="00BA1C8E">
              <w:rPr>
                <w:rFonts w:ascii="Times New Roman" w:hAnsi="Times New Roman" w:cs="Times New Roman"/>
                <w:b/>
                <w:bCs/>
                <w:szCs w:val="24"/>
                <w:lang w:eastAsia="en-IN"/>
              </w:rPr>
              <w:t>Taxes on transport**</w:t>
            </w:r>
          </w:p>
        </w:tc>
        <w:tc>
          <w:tcPr>
            <w:tcW w:w="1327" w:type="dxa"/>
            <w:tcBorders>
              <w:top w:val="single" w:sz="4" w:space="0" w:color="auto"/>
              <w:left w:val="nil"/>
              <w:bottom w:val="single" w:sz="4" w:space="0" w:color="auto"/>
              <w:right w:val="single" w:sz="4" w:space="0" w:color="auto"/>
            </w:tcBorders>
            <w:noWrap/>
            <w:vAlign w:val="center"/>
            <w:hideMark/>
          </w:tcPr>
          <w:p w14:paraId="1DFF81CC" w14:textId="77777777" w:rsidR="00E51E56" w:rsidRPr="00BA1C8E" w:rsidRDefault="00E51E56" w:rsidP="00BA1C8E">
            <w:pPr>
              <w:pStyle w:val="NoSpacing"/>
              <w:jc w:val="center"/>
              <w:rPr>
                <w:rFonts w:ascii="Times New Roman" w:hAnsi="Times New Roman" w:cs="Times New Roman"/>
                <w:b/>
                <w:bCs/>
                <w:szCs w:val="24"/>
                <w:lang w:eastAsia="en-IN"/>
              </w:rPr>
            </w:pPr>
            <w:r w:rsidRPr="00BA1C8E">
              <w:rPr>
                <w:rFonts w:ascii="Times New Roman" w:hAnsi="Times New Roman" w:cs="Times New Roman"/>
                <w:b/>
                <w:bCs/>
                <w:szCs w:val="24"/>
                <w:lang w:eastAsia="en-IN"/>
              </w:rPr>
              <w:t>General Sales tax</w:t>
            </w:r>
          </w:p>
        </w:tc>
        <w:tc>
          <w:tcPr>
            <w:tcW w:w="1474" w:type="dxa"/>
            <w:tcBorders>
              <w:top w:val="single" w:sz="4" w:space="0" w:color="auto"/>
              <w:left w:val="nil"/>
              <w:bottom w:val="single" w:sz="4" w:space="0" w:color="auto"/>
              <w:right w:val="single" w:sz="4" w:space="0" w:color="auto"/>
            </w:tcBorders>
            <w:noWrap/>
            <w:vAlign w:val="center"/>
            <w:hideMark/>
          </w:tcPr>
          <w:p w14:paraId="6E2335FD" w14:textId="77777777" w:rsidR="00E51E56" w:rsidRPr="00BA1C8E" w:rsidRDefault="00E51E56" w:rsidP="00BA1C8E">
            <w:pPr>
              <w:pStyle w:val="NoSpacing"/>
              <w:jc w:val="center"/>
              <w:rPr>
                <w:rFonts w:ascii="Times New Roman" w:hAnsi="Times New Roman" w:cs="Times New Roman"/>
                <w:b/>
                <w:bCs/>
                <w:szCs w:val="24"/>
                <w:lang w:eastAsia="en-IN"/>
              </w:rPr>
            </w:pPr>
            <w:r w:rsidRPr="00BA1C8E">
              <w:rPr>
                <w:rFonts w:ascii="Times New Roman" w:hAnsi="Times New Roman" w:cs="Times New Roman"/>
                <w:b/>
                <w:bCs/>
                <w:szCs w:val="24"/>
                <w:lang w:eastAsia="en-IN"/>
              </w:rPr>
              <w:t>Total tax revenues</w:t>
            </w:r>
          </w:p>
        </w:tc>
      </w:tr>
      <w:tr w:rsidR="00E51E56" w:rsidRPr="00BA1C8E" w14:paraId="2C0FDE45" w14:textId="77777777" w:rsidTr="00BA1C8E">
        <w:trPr>
          <w:trHeight w:val="371"/>
        </w:trPr>
        <w:tc>
          <w:tcPr>
            <w:tcW w:w="1582" w:type="dxa"/>
            <w:tcBorders>
              <w:top w:val="single" w:sz="4" w:space="0" w:color="auto"/>
              <w:left w:val="single" w:sz="4" w:space="0" w:color="auto"/>
              <w:bottom w:val="single" w:sz="4" w:space="0" w:color="auto"/>
              <w:right w:val="single" w:sz="4" w:space="0" w:color="auto"/>
            </w:tcBorders>
            <w:noWrap/>
            <w:vAlign w:val="bottom"/>
          </w:tcPr>
          <w:p w14:paraId="0D1A9468" w14:textId="77777777" w:rsidR="00E51E56" w:rsidRPr="00BA1C8E" w:rsidRDefault="00E51E56" w:rsidP="00E51E56">
            <w:pPr>
              <w:pStyle w:val="NoSpacing"/>
              <w:jc w:val="center"/>
              <w:rPr>
                <w:rFonts w:ascii="Times New Roman" w:hAnsi="Times New Roman" w:cs="Times New Roman"/>
                <w:b/>
                <w:bCs/>
                <w:szCs w:val="24"/>
                <w:lang w:eastAsia="en-IN"/>
              </w:rPr>
            </w:pPr>
            <w:r w:rsidRPr="00BA1C8E">
              <w:rPr>
                <w:rFonts w:ascii="Times New Roman" w:hAnsi="Times New Roman" w:cs="Times New Roman"/>
                <w:b/>
                <w:bCs/>
                <w:szCs w:val="24"/>
                <w:lang w:eastAsia="en-IN"/>
              </w:rPr>
              <w:t>1</w:t>
            </w:r>
          </w:p>
        </w:tc>
        <w:tc>
          <w:tcPr>
            <w:tcW w:w="1117" w:type="dxa"/>
            <w:tcBorders>
              <w:top w:val="single" w:sz="4" w:space="0" w:color="auto"/>
              <w:left w:val="nil"/>
              <w:bottom w:val="single" w:sz="4" w:space="0" w:color="auto"/>
              <w:right w:val="single" w:sz="4" w:space="0" w:color="auto"/>
            </w:tcBorders>
            <w:noWrap/>
            <w:vAlign w:val="center"/>
          </w:tcPr>
          <w:p w14:paraId="4FBC1CEB" w14:textId="77777777" w:rsidR="00E51E56" w:rsidRPr="00BA1C8E" w:rsidRDefault="00E51E56" w:rsidP="00BA1C8E">
            <w:pPr>
              <w:pStyle w:val="NoSpacing"/>
              <w:jc w:val="center"/>
              <w:rPr>
                <w:rFonts w:ascii="Times New Roman" w:hAnsi="Times New Roman" w:cs="Times New Roman"/>
                <w:b/>
                <w:bCs/>
                <w:szCs w:val="24"/>
                <w:lang w:eastAsia="en-IN"/>
              </w:rPr>
            </w:pPr>
            <w:r w:rsidRPr="00BA1C8E">
              <w:rPr>
                <w:rFonts w:ascii="Times New Roman" w:hAnsi="Times New Roman" w:cs="Times New Roman"/>
                <w:b/>
                <w:bCs/>
                <w:szCs w:val="24"/>
                <w:lang w:eastAsia="en-IN"/>
              </w:rPr>
              <w:t>2</w:t>
            </w:r>
          </w:p>
        </w:tc>
        <w:tc>
          <w:tcPr>
            <w:tcW w:w="2319" w:type="dxa"/>
            <w:tcBorders>
              <w:top w:val="single" w:sz="4" w:space="0" w:color="auto"/>
              <w:left w:val="nil"/>
              <w:bottom w:val="single" w:sz="4" w:space="0" w:color="auto"/>
              <w:right w:val="single" w:sz="4" w:space="0" w:color="auto"/>
            </w:tcBorders>
            <w:noWrap/>
            <w:vAlign w:val="center"/>
          </w:tcPr>
          <w:p w14:paraId="7EAE339E" w14:textId="77777777" w:rsidR="00E51E56" w:rsidRPr="00BA1C8E" w:rsidRDefault="00E51E56" w:rsidP="00BA1C8E">
            <w:pPr>
              <w:pStyle w:val="NoSpacing"/>
              <w:jc w:val="center"/>
              <w:rPr>
                <w:rFonts w:ascii="Times New Roman" w:hAnsi="Times New Roman" w:cs="Times New Roman"/>
                <w:b/>
                <w:bCs/>
                <w:szCs w:val="24"/>
                <w:lang w:eastAsia="en-IN"/>
              </w:rPr>
            </w:pPr>
            <w:r w:rsidRPr="00BA1C8E">
              <w:rPr>
                <w:rFonts w:ascii="Times New Roman" w:hAnsi="Times New Roman" w:cs="Times New Roman"/>
                <w:b/>
                <w:bCs/>
                <w:szCs w:val="24"/>
                <w:lang w:eastAsia="en-IN"/>
              </w:rPr>
              <w:t>3</w:t>
            </w:r>
          </w:p>
        </w:tc>
        <w:tc>
          <w:tcPr>
            <w:tcW w:w="1622" w:type="dxa"/>
            <w:tcBorders>
              <w:top w:val="single" w:sz="4" w:space="0" w:color="auto"/>
              <w:left w:val="nil"/>
              <w:bottom w:val="single" w:sz="4" w:space="0" w:color="auto"/>
              <w:right w:val="single" w:sz="4" w:space="0" w:color="auto"/>
            </w:tcBorders>
            <w:noWrap/>
            <w:vAlign w:val="center"/>
          </w:tcPr>
          <w:p w14:paraId="7BFF22D7" w14:textId="77777777" w:rsidR="00E51E56" w:rsidRPr="00BA1C8E" w:rsidRDefault="00E51E56" w:rsidP="00BA1C8E">
            <w:pPr>
              <w:pStyle w:val="NoSpacing"/>
              <w:jc w:val="center"/>
              <w:rPr>
                <w:rFonts w:ascii="Times New Roman" w:hAnsi="Times New Roman" w:cs="Times New Roman"/>
                <w:b/>
                <w:bCs/>
                <w:szCs w:val="24"/>
                <w:lang w:eastAsia="en-IN"/>
              </w:rPr>
            </w:pPr>
            <w:r w:rsidRPr="00BA1C8E">
              <w:rPr>
                <w:rFonts w:ascii="Times New Roman" w:hAnsi="Times New Roman" w:cs="Times New Roman"/>
                <w:b/>
                <w:bCs/>
                <w:szCs w:val="24"/>
                <w:lang w:eastAsia="en-IN"/>
              </w:rPr>
              <w:t>4</w:t>
            </w:r>
          </w:p>
        </w:tc>
        <w:tc>
          <w:tcPr>
            <w:tcW w:w="2064" w:type="dxa"/>
            <w:tcBorders>
              <w:top w:val="single" w:sz="4" w:space="0" w:color="auto"/>
              <w:left w:val="nil"/>
              <w:bottom w:val="single" w:sz="4" w:space="0" w:color="auto"/>
              <w:right w:val="single" w:sz="4" w:space="0" w:color="auto"/>
            </w:tcBorders>
            <w:noWrap/>
            <w:vAlign w:val="center"/>
          </w:tcPr>
          <w:p w14:paraId="05E8886C" w14:textId="77777777" w:rsidR="00E51E56" w:rsidRPr="00BA1C8E" w:rsidRDefault="00E51E56" w:rsidP="00BA1C8E">
            <w:pPr>
              <w:pStyle w:val="NoSpacing"/>
              <w:jc w:val="center"/>
              <w:rPr>
                <w:rFonts w:ascii="Times New Roman" w:hAnsi="Times New Roman" w:cs="Times New Roman"/>
                <w:b/>
                <w:bCs/>
                <w:szCs w:val="24"/>
                <w:lang w:eastAsia="en-IN"/>
              </w:rPr>
            </w:pPr>
            <w:r w:rsidRPr="00BA1C8E">
              <w:rPr>
                <w:rFonts w:ascii="Times New Roman" w:hAnsi="Times New Roman" w:cs="Times New Roman"/>
                <w:b/>
                <w:bCs/>
                <w:szCs w:val="24"/>
                <w:lang w:eastAsia="en-IN"/>
              </w:rPr>
              <w:t>5</w:t>
            </w:r>
          </w:p>
        </w:tc>
        <w:tc>
          <w:tcPr>
            <w:tcW w:w="1327" w:type="dxa"/>
            <w:tcBorders>
              <w:top w:val="single" w:sz="4" w:space="0" w:color="auto"/>
              <w:left w:val="nil"/>
              <w:bottom w:val="single" w:sz="4" w:space="0" w:color="auto"/>
              <w:right w:val="single" w:sz="4" w:space="0" w:color="auto"/>
            </w:tcBorders>
            <w:noWrap/>
            <w:vAlign w:val="center"/>
          </w:tcPr>
          <w:p w14:paraId="44C64384" w14:textId="77777777" w:rsidR="00E51E56" w:rsidRPr="00BA1C8E" w:rsidRDefault="00E51E56" w:rsidP="00BA1C8E">
            <w:pPr>
              <w:pStyle w:val="NoSpacing"/>
              <w:jc w:val="center"/>
              <w:rPr>
                <w:rFonts w:ascii="Times New Roman" w:hAnsi="Times New Roman" w:cs="Times New Roman"/>
                <w:b/>
                <w:bCs/>
                <w:szCs w:val="24"/>
                <w:lang w:eastAsia="en-IN"/>
              </w:rPr>
            </w:pPr>
            <w:r w:rsidRPr="00BA1C8E">
              <w:rPr>
                <w:rFonts w:ascii="Times New Roman" w:hAnsi="Times New Roman" w:cs="Times New Roman"/>
                <w:b/>
                <w:bCs/>
                <w:szCs w:val="24"/>
                <w:lang w:eastAsia="en-IN"/>
              </w:rPr>
              <w:t>6</w:t>
            </w:r>
          </w:p>
        </w:tc>
        <w:tc>
          <w:tcPr>
            <w:tcW w:w="1474" w:type="dxa"/>
            <w:tcBorders>
              <w:top w:val="single" w:sz="4" w:space="0" w:color="auto"/>
              <w:left w:val="nil"/>
              <w:bottom w:val="single" w:sz="4" w:space="0" w:color="auto"/>
              <w:right w:val="single" w:sz="4" w:space="0" w:color="auto"/>
            </w:tcBorders>
            <w:noWrap/>
            <w:vAlign w:val="center"/>
          </w:tcPr>
          <w:p w14:paraId="05190635" w14:textId="77777777" w:rsidR="00E51E56" w:rsidRPr="00BA1C8E" w:rsidRDefault="00E51E56" w:rsidP="00BA1C8E">
            <w:pPr>
              <w:pStyle w:val="NoSpacing"/>
              <w:jc w:val="center"/>
              <w:rPr>
                <w:rFonts w:ascii="Times New Roman" w:hAnsi="Times New Roman" w:cs="Times New Roman"/>
                <w:b/>
                <w:bCs/>
                <w:szCs w:val="24"/>
                <w:lang w:eastAsia="en-IN"/>
              </w:rPr>
            </w:pPr>
            <w:r w:rsidRPr="00BA1C8E">
              <w:rPr>
                <w:rFonts w:ascii="Times New Roman" w:hAnsi="Times New Roman" w:cs="Times New Roman"/>
                <w:b/>
                <w:bCs/>
                <w:szCs w:val="24"/>
                <w:lang w:eastAsia="en-IN"/>
              </w:rPr>
              <w:t>7</w:t>
            </w:r>
          </w:p>
        </w:tc>
      </w:tr>
      <w:tr w:rsidR="00E51E56" w:rsidRPr="00BA1C8E" w14:paraId="5CB5F3F3" w14:textId="77777777" w:rsidTr="00BA1C8E">
        <w:trPr>
          <w:trHeight w:val="371"/>
        </w:trPr>
        <w:tc>
          <w:tcPr>
            <w:tcW w:w="1582" w:type="dxa"/>
            <w:tcBorders>
              <w:top w:val="nil"/>
              <w:left w:val="single" w:sz="4" w:space="0" w:color="auto"/>
              <w:bottom w:val="single" w:sz="4" w:space="0" w:color="auto"/>
              <w:right w:val="single" w:sz="4" w:space="0" w:color="auto"/>
            </w:tcBorders>
            <w:noWrap/>
            <w:vAlign w:val="bottom"/>
            <w:hideMark/>
          </w:tcPr>
          <w:p w14:paraId="77CECDB0" w14:textId="77777777" w:rsidR="00E51E56" w:rsidRPr="00BA1C8E" w:rsidRDefault="00E51E56" w:rsidP="00E51E56">
            <w:pPr>
              <w:pStyle w:val="NoSpacing"/>
              <w:rPr>
                <w:rFonts w:ascii="Times New Roman" w:hAnsi="Times New Roman" w:cs="Times New Roman"/>
                <w:szCs w:val="24"/>
                <w:lang w:eastAsia="en-IN"/>
              </w:rPr>
            </w:pPr>
            <w:r w:rsidRPr="00BA1C8E">
              <w:rPr>
                <w:rFonts w:ascii="Times New Roman" w:hAnsi="Times New Roman" w:cs="Times New Roman"/>
                <w:szCs w:val="24"/>
                <w:lang w:eastAsia="en-IN"/>
              </w:rPr>
              <w:t>Punjab</w:t>
            </w:r>
          </w:p>
        </w:tc>
        <w:tc>
          <w:tcPr>
            <w:tcW w:w="1117" w:type="dxa"/>
            <w:tcBorders>
              <w:top w:val="nil"/>
              <w:left w:val="nil"/>
              <w:bottom w:val="single" w:sz="4" w:space="0" w:color="auto"/>
              <w:right w:val="single" w:sz="4" w:space="0" w:color="auto"/>
            </w:tcBorders>
            <w:noWrap/>
            <w:vAlign w:val="center"/>
            <w:hideMark/>
          </w:tcPr>
          <w:p w14:paraId="53B5C3DC" w14:textId="77777777" w:rsidR="00E51E56" w:rsidRPr="00BA1C8E" w:rsidRDefault="00E51E56" w:rsidP="00BA1C8E">
            <w:pPr>
              <w:pStyle w:val="NoSpacing"/>
              <w:jc w:val="center"/>
              <w:rPr>
                <w:rFonts w:ascii="Times New Roman" w:hAnsi="Times New Roman" w:cs="Times New Roman"/>
                <w:szCs w:val="24"/>
                <w:lang w:eastAsia="en-IN"/>
              </w:rPr>
            </w:pPr>
            <w:r w:rsidRPr="00BA1C8E">
              <w:rPr>
                <w:rFonts w:ascii="Times New Roman" w:hAnsi="Times New Roman" w:cs="Times New Roman"/>
                <w:szCs w:val="24"/>
                <w:lang w:eastAsia="en-IN"/>
              </w:rPr>
              <w:t>0.28</w:t>
            </w:r>
          </w:p>
        </w:tc>
        <w:tc>
          <w:tcPr>
            <w:tcW w:w="2319" w:type="dxa"/>
            <w:tcBorders>
              <w:top w:val="nil"/>
              <w:left w:val="nil"/>
              <w:bottom w:val="single" w:sz="4" w:space="0" w:color="auto"/>
              <w:right w:val="single" w:sz="4" w:space="0" w:color="auto"/>
            </w:tcBorders>
            <w:noWrap/>
            <w:vAlign w:val="center"/>
            <w:hideMark/>
          </w:tcPr>
          <w:p w14:paraId="7F27B08D" w14:textId="77777777" w:rsidR="00E51E56" w:rsidRPr="00BA1C8E" w:rsidRDefault="00E51E56" w:rsidP="00BA1C8E">
            <w:pPr>
              <w:pStyle w:val="NoSpacing"/>
              <w:jc w:val="center"/>
              <w:rPr>
                <w:rFonts w:ascii="Times New Roman" w:hAnsi="Times New Roman" w:cs="Times New Roman"/>
                <w:szCs w:val="24"/>
                <w:lang w:eastAsia="en-IN"/>
              </w:rPr>
            </w:pPr>
            <w:r w:rsidRPr="00BA1C8E">
              <w:rPr>
                <w:rFonts w:ascii="Times New Roman" w:hAnsi="Times New Roman" w:cs="Times New Roman"/>
                <w:szCs w:val="24"/>
                <w:lang w:eastAsia="en-IN"/>
              </w:rPr>
              <w:t>0.52</w:t>
            </w:r>
          </w:p>
        </w:tc>
        <w:tc>
          <w:tcPr>
            <w:tcW w:w="1622" w:type="dxa"/>
            <w:tcBorders>
              <w:top w:val="nil"/>
              <w:left w:val="nil"/>
              <w:bottom w:val="single" w:sz="4" w:space="0" w:color="auto"/>
              <w:right w:val="single" w:sz="4" w:space="0" w:color="auto"/>
            </w:tcBorders>
            <w:noWrap/>
            <w:vAlign w:val="center"/>
            <w:hideMark/>
          </w:tcPr>
          <w:p w14:paraId="30AD0510" w14:textId="5275C38B" w:rsidR="00E51E56" w:rsidRPr="00BA1C8E" w:rsidRDefault="00E51E56" w:rsidP="00BA1C8E">
            <w:pPr>
              <w:pStyle w:val="NoSpacing"/>
              <w:jc w:val="center"/>
              <w:rPr>
                <w:rFonts w:ascii="Times New Roman" w:hAnsi="Times New Roman" w:cs="Times New Roman"/>
                <w:szCs w:val="24"/>
                <w:lang w:eastAsia="en-IN"/>
              </w:rPr>
            </w:pPr>
            <w:r w:rsidRPr="00BA1C8E">
              <w:rPr>
                <w:rFonts w:ascii="Times New Roman" w:hAnsi="Times New Roman" w:cs="Times New Roman"/>
                <w:szCs w:val="24"/>
                <w:lang w:eastAsia="en-IN"/>
              </w:rPr>
              <w:t>2.3</w:t>
            </w:r>
            <w:r w:rsidR="00F54B5C">
              <w:rPr>
                <w:rFonts w:ascii="Times New Roman" w:hAnsi="Times New Roman" w:cs="Times New Roman"/>
                <w:szCs w:val="24"/>
                <w:lang w:eastAsia="en-IN"/>
              </w:rPr>
              <w:t>0</w:t>
            </w:r>
          </w:p>
        </w:tc>
        <w:tc>
          <w:tcPr>
            <w:tcW w:w="2064" w:type="dxa"/>
            <w:tcBorders>
              <w:top w:val="nil"/>
              <w:left w:val="nil"/>
              <w:bottom w:val="single" w:sz="4" w:space="0" w:color="auto"/>
              <w:right w:val="single" w:sz="4" w:space="0" w:color="auto"/>
            </w:tcBorders>
            <w:noWrap/>
            <w:vAlign w:val="center"/>
            <w:hideMark/>
          </w:tcPr>
          <w:p w14:paraId="78A809C1" w14:textId="0ADB85DD" w:rsidR="00E51E56" w:rsidRPr="00BA1C8E" w:rsidRDefault="00E51E56" w:rsidP="00BA1C8E">
            <w:pPr>
              <w:pStyle w:val="NoSpacing"/>
              <w:jc w:val="center"/>
              <w:rPr>
                <w:rFonts w:ascii="Times New Roman" w:hAnsi="Times New Roman" w:cs="Times New Roman"/>
                <w:szCs w:val="24"/>
                <w:lang w:eastAsia="en-IN"/>
              </w:rPr>
            </w:pPr>
            <w:r w:rsidRPr="00BA1C8E">
              <w:rPr>
                <w:rFonts w:ascii="Times New Roman" w:hAnsi="Times New Roman" w:cs="Times New Roman"/>
                <w:szCs w:val="24"/>
                <w:lang w:eastAsia="en-IN"/>
              </w:rPr>
              <w:t>0.9</w:t>
            </w:r>
            <w:r w:rsidR="00F54B5C">
              <w:rPr>
                <w:rFonts w:ascii="Times New Roman" w:hAnsi="Times New Roman" w:cs="Times New Roman"/>
                <w:szCs w:val="24"/>
                <w:lang w:eastAsia="en-IN"/>
              </w:rPr>
              <w:t>0</w:t>
            </w:r>
          </w:p>
        </w:tc>
        <w:tc>
          <w:tcPr>
            <w:tcW w:w="1327" w:type="dxa"/>
            <w:tcBorders>
              <w:top w:val="nil"/>
              <w:left w:val="nil"/>
              <w:bottom w:val="single" w:sz="4" w:space="0" w:color="auto"/>
              <w:right w:val="single" w:sz="4" w:space="0" w:color="auto"/>
            </w:tcBorders>
            <w:noWrap/>
            <w:vAlign w:val="center"/>
            <w:hideMark/>
          </w:tcPr>
          <w:p w14:paraId="618B343C" w14:textId="22AB2503" w:rsidR="00E51E56" w:rsidRPr="00BA1C8E" w:rsidRDefault="00E51E56" w:rsidP="00BA1C8E">
            <w:pPr>
              <w:pStyle w:val="NoSpacing"/>
              <w:jc w:val="center"/>
              <w:rPr>
                <w:rFonts w:ascii="Times New Roman" w:hAnsi="Times New Roman" w:cs="Times New Roman"/>
                <w:szCs w:val="24"/>
                <w:lang w:eastAsia="en-IN"/>
              </w:rPr>
            </w:pPr>
            <w:r w:rsidRPr="00BA1C8E">
              <w:rPr>
                <w:rFonts w:ascii="Times New Roman" w:hAnsi="Times New Roman" w:cs="Times New Roman"/>
                <w:szCs w:val="24"/>
                <w:lang w:eastAsia="en-IN"/>
              </w:rPr>
              <w:t>1.9</w:t>
            </w:r>
            <w:r w:rsidR="00F54B5C">
              <w:rPr>
                <w:rFonts w:ascii="Times New Roman" w:hAnsi="Times New Roman" w:cs="Times New Roman"/>
                <w:szCs w:val="24"/>
                <w:lang w:eastAsia="en-IN"/>
              </w:rPr>
              <w:t>0</w:t>
            </w:r>
          </w:p>
        </w:tc>
        <w:tc>
          <w:tcPr>
            <w:tcW w:w="1474" w:type="dxa"/>
            <w:tcBorders>
              <w:top w:val="nil"/>
              <w:left w:val="nil"/>
              <w:bottom w:val="single" w:sz="4" w:space="0" w:color="auto"/>
              <w:right w:val="single" w:sz="4" w:space="0" w:color="auto"/>
            </w:tcBorders>
            <w:noWrap/>
            <w:vAlign w:val="center"/>
            <w:hideMark/>
          </w:tcPr>
          <w:p w14:paraId="345FDD34" w14:textId="77777777" w:rsidR="00E51E56" w:rsidRPr="00BA1C8E" w:rsidRDefault="00E51E56" w:rsidP="00BA1C8E">
            <w:pPr>
              <w:pStyle w:val="NoSpacing"/>
              <w:jc w:val="center"/>
              <w:rPr>
                <w:rFonts w:ascii="Times New Roman" w:hAnsi="Times New Roman" w:cs="Times New Roman"/>
                <w:szCs w:val="24"/>
                <w:lang w:eastAsia="en-IN"/>
              </w:rPr>
            </w:pPr>
            <w:r w:rsidRPr="00BA1C8E">
              <w:rPr>
                <w:rFonts w:ascii="Times New Roman" w:hAnsi="Times New Roman" w:cs="Times New Roman"/>
                <w:szCs w:val="24"/>
                <w:lang w:eastAsia="en-IN"/>
              </w:rPr>
              <w:t>7.61</w:t>
            </w:r>
          </w:p>
        </w:tc>
      </w:tr>
      <w:tr w:rsidR="00E51E56" w:rsidRPr="00BA1C8E" w14:paraId="6E2C9052" w14:textId="77777777" w:rsidTr="00BA1C8E">
        <w:trPr>
          <w:trHeight w:val="371"/>
        </w:trPr>
        <w:tc>
          <w:tcPr>
            <w:tcW w:w="1582" w:type="dxa"/>
            <w:tcBorders>
              <w:top w:val="nil"/>
              <w:left w:val="single" w:sz="4" w:space="0" w:color="auto"/>
              <w:bottom w:val="single" w:sz="4" w:space="0" w:color="auto"/>
              <w:right w:val="single" w:sz="4" w:space="0" w:color="auto"/>
            </w:tcBorders>
            <w:noWrap/>
            <w:vAlign w:val="bottom"/>
            <w:hideMark/>
          </w:tcPr>
          <w:p w14:paraId="4B5C85DF" w14:textId="77777777" w:rsidR="00E51E56" w:rsidRPr="00BA1C8E" w:rsidRDefault="00E51E56" w:rsidP="00E51E56">
            <w:pPr>
              <w:pStyle w:val="NoSpacing"/>
              <w:rPr>
                <w:rFonts w:ascii="Times New Roman" w:hAnsi="Times New Roman" w:cs="Times New Roman"/>
                <w:szCs w:val="24"/>
                <w:lang w:eastAsia="en-IN"/>
              </w:rPr>
            </w:pPr>
            <w:r w:rsidRPr="00BA1C8E">
              <w:rPr>
                <w:rFonts w:ascii="Times New Roman" w:hAnsi="Times New Roman" w:cs="Times New Roman"/>
                <w:szCs w:val="24"/>
                <w:lang w:eastAsia="en-IN"/>
              </w:rPr>
              <w:t>Maharashtra</w:t>
            </w:r>
          </w:p>
        </w:tc>
        <w:tc>
          <w:tcPr>
            <w:tcW w:w="1117" w:type="dxa"/>
            <w:tcBorders>
              <w:top w:val="nil"/>
              <w:left w:val="nil"/>
              <w:bottom w:val="single" w:sz="4" w:space="0" w:color="auto"/>
              <w:right w:val="single" w:sz="4" w:space="0" w:color="auto"/>
            </w:tcBorders>
            <w:noWrap/>
            <w:vAlign w:val="center"/>
            <w:hideMark/>
          </w:tcPr>
          <w:p w14:paraId="378898A0" w14:textId="1AB7A0A2" w:rsidR="00E51E56" w:rsidRPr="00BA1C8E" w:rsidRDefault="00E51E56" w:rsidP="00BA1C8E">
            <w:pPr>
              <w:pStyle w:val="NoSpacing"/>
              <w:jc w:val="center"/>
              <w:rPr>
                <w:rFonts w:ascii="Times New Roman" w:hAnsi="Times New Roman" w:cs="Times New Roman"/>
                <w:szCs w:val="24"/>
                <w:lang w:eastAsia="en-IN"/>
              </w:rPr>
            </w:pPr>
            <w:r w:rsidRPr="00BA1C8E">
              <w:rPr>
                <w:rFonts w:ascii="Times New Roman" w:hAnsi="Times New Roman" w:cs="Times New Roman"/>
                <w:szCs w:val="24"/>
                <w:lang w:eastAsia="en-IN"/>
              </w:rPr>
              <w:t>0.4</w:t>
            </w:r>
            <w:r w:rsidR="00F54B5C">
              <w:rPr>
                <w:rFonts w:ascii="Times New Roman" w:hAnsi="Times New Roman" w:cs="Times New Roman"/>
                <w:szCs w:val="24"/>
                <w:lang w:eastAsia="en-IN"/>
              </w:rPr>
              <w:t>0</w:t>
            </w:r>
          </w:p>
        </w:tc>
        <w:tc>
          <w:tcPr>
            <w:tcW w:w="2319" w:type="dxa"/>
            <w:tcBorders>
              <w:top w:val="nil"/>
              <w:left w:val="nil"/>
              <w:bottom w:val="single" w:sz="4" w:space="0" w:color="auto"/>
              <w:right w:val="single" w:sz="4" w:space="0" w:color="auto"/>
            </w:tcBorders>
            <w:noWrap/>
            <w:vAlign w:val="center"/>
            <w:hideMark/>
          </w:tcPr>
          <w:p w14:paraId="0E53F916" w14:textId="119A37B4" w:rsidR="00E51E56" w:rsidRPr="00BA1C8E" w:rsidRDefault="00E51E56" w:rsidP="00BA1C8E">
            <w:pPr>
              <w:pStyle w:val="NoSpacing"/>
              <w:jc w:val="center"/>
              <w:rPr>
                <w:rFonts w:ascii="Times New Roman" w:hAnsi="Times New Roman" w:cs="Times New Roman"/>
                <w:szCs w:val="24"/>
                <w:lang w:eastAsia="en-IN"/>
              </w:rPr>
            </w:pPr>
            <w:r w:rsidRPr="00BA1C8E">
              <w:rPr>
                <w:rFonts w:ascii="Times New Roman" w:hAnsi="Times New Roman" w:cs="Times New Roman"/>
                <w:szCs w:val="24"/>
                <w:lang w:eastAsia="en-IN"/>
              </w:rPr>
              <w:t>1.2</w:t>
            </w:r>
            <w:r w:rsidR="00F54B5C">
              <w:rPr>
                <w:rFonts w:ascii="Times New Roman" w:hAnsi="Times New Roman" w:cs="Times New Roman"/>
                <w:szCs w:val="24"/>
                <w:lang w:eastAsia="en-IN"/>
              </w:rPr>
              <w:t>0</w:t>
            </w:r>
          </w:p>
        </w:tc>
        <w:tc>
          <w:tcPr>
            <w:tcW w:w="1622" w:type="dxa"/>
            <w:tcBorders>
              <w:top w:val="nil"/>
              <w:left w:val="nil"/>
              <w:bottom w:val="single" w:sz="4" w:space="0" w:color="auto"/>
              <w:right w:val="single" w:sz="4" w:space="0" w:color="auto"/>
            </w:tcBorders>
            <w:noWrap/>
            <w:vAlign w:val="center"/>
            <w:hideMark/>
          </w:tcPr>
          <w:p w14:paraId="468774FE" w14:textId="77777777" w:rsidR="00E51E56" w:rsidRPr="00BA1C8E" w:rsidRDefault="00E51E56" w:rsidP="00BA1C8E">
            <w:pPr>
              <w:pStyle w:val="NoSpacing"/>
              <w:jc w:val="center"/>
              <w:rPr>
                <w:rFonts w:ascii="Times New Roman" w:hAnsi="Times New Roman" w:cs="Times New Roman"/>
                <w:szCs w:val="24"/>
                <w:lang w:eastAsia="en-IN"/>
              </w:rPr>
            </w:pPr>
            <w:r w:rsidRPr="00BA1C8E">
              <w:rPr>
                <w:rFonts w:ascii="Times New Roman" w:hAnsi="Times New Roman" w:cs="Times New Roman"/>
                <w:szCs w:val="24"/>
                <w:lang w:eastAsia="en-IN"/>
              </w:rPr>
              <w:t>0.19</w:t>
            </w:r>
          </w:p>
        </w:tc>
        <w:tc>
          <w:tcPr>
            <w:tcW w:w="2064" w:type="dxa"/>
            <w:tcBorders>
              <w:top w:val="nil"/>
              <w:left w:val="nil"/>
              <w:bottom w:val="single" w:sz="4" w:space="0" w:color="auto"/>
              <w:right w:val="single" w:sz="4" w:space="0" w:color="auto"/>
            </w:tcBorders>
            <w:noWrap/>
            <w:vAlign w:val="center"/>
            <w:hideMark/>
          </w:tcPr>
          <w:p w14:paraId="55A0105C" w14:textId="77777777" w:rsidR="00E51E56" w:rsidRPr="00BA1C8E" w:rsidRDefault="00E51E56" w:rsidP="00BA1C8E">
            <w:pPr>
              <w:pStyle w:val="NoSpacing"/>
              <w:jc w:val="center"/>
              <w:rPr>
                <w:rFonts w:ascii="Times New Roman" w:hAnsi="Times New Roman" w:cs="Times New Roman"/>
                <w:szCs w:val="24"/>
                <w:lang w:eastAsia="en-IN"/>
              </w:rPr>
            </w:pPr>
            <w:r w:rsidRPr="00BA1C8E">
              <w:rPr>
                <w:rFonts w:ascii="Times New Roman" w:hAnsi="Times New Roman" w:cs="Times New Roman"/>
                <w:szCs w:val="24"/>
                <w:lang w:eastAsia="en-IN"/>
              </w:rPr>
              <w:t>1.21</w:t>
            </w:r>
          </w:p>
        </w:tc>
        <w:tc>
          <w:tcPr>
            <w:tcW w:w="1327" w:type="dxa"/>
            <w:tcBorders>
              <w:top w:val="nil"/>
              <w:left w:val="nil"/>
              <w:bottom w:val="single" w:sz="4" w:space="0" w:color="auto"/>
              <w:right w:val="single" w:sz="4" w:space="0" w:color="auto"/>
            </w:tcBorders>
            <w:noWrap/>
            <w:vAlign w:val="center"/>
            <w:hideMark/>
          </w:tcPr>
          <w:p w14:paraId="78A07C53" w14:textId="77777777" w:rsidR="00E51E56" w:rsidRPr="00BA1C8E" w:rsidRDefault="00E51E56" w:rsidP="00BA1C8E">
            <w:pPr>
              <w:pStyle w:val="NoSpacing"/>
              <w:jc w:val="center"/>
              <w:rPr>
                <w:rFonts w:ascii="Times New Roman" w:hAnsi="Times New Roman" w:cs="Times New Roman"/>
                <w:szCs w:val="24"/>
                <w:lang w:eastAsia="en-IN"/>
              </w:rPr>
            </w:pPr>
            <w:r w:rsidRPr="00BA1C8E">
              <w:rPr>
                <w:rFonts w:ascii="Times New Roman" w:hAnsi="Times New Roman" w:cs="Times New Roman"/>
                <w:szCs w:val="24"/>
                <w:lang w:eastAsia="en-IN"/>
              </w:rPr>
              <w:t>2.95</w:t>
            </w:r>
          </w:p>
        </w:tc>
        <w:tc>
          <w:tcPr>
            <w:tcW w:w="1474" w:type="dxa"/>
            <w:tcBorders>
              <w:top w:val="nil"/>
              <w:left w:val="nil"/>
              <w:bottom w:val="single" w:sz="4" w:space="0" w:color="auto"/>
              <w:right w:val="single" w:sz="4" w:space="0" w:color="auto"/>
            </w:tcBorders>
            <w:noWrap/>
            <w:vAlign w:val="center"/>
            <w:hideMark/>
          </w:tcPr>
          <w:p w14:paraId="3FCE735D" w14:textId="77777777" w:rsidR="00E51E56" w:rsidRPr="00BA1C8E" w:rsidRDefault="00E51E56" w:rsidP="00BA1C8E">
            <w:pPr>
              <w:pStyle w:val="NoSpacing"/>
              <w:jc w:val="center"/>
              <w:rPr>
                <w:rFonts w:ascii="Times New Roman" w:hAnsi="Times New Roman" w:cs="Times New Roman"/>
                <w:szCs w:val="24"/>
                <w:lang w:eastAsia="en-IN"/>
              </w:rPr>
            </w:pPr>
            <w:r w:rsidRPr="00BA1C8E">
              <w:rPr>
                <w:rFonts w:ascii="Times New Roman" w:hAnsi="Times New Roman" w:cs="Times New Roman"/>
                <w:szCs w:val="24"/>
                <w:lang w:eastAsia="en-IN"/>
              </w:rPr>
              <w:t>7.63</w:t>
            </w:r>
          </w:p>
        </w:tc>
      </w:tr>
      <w:tr w:rsidR="00E51E56" w:rsidRPr="00BA1C8E" w14:paraId="11BAF25F" w14:textId="77777777" w:rsidTr="00BA1C8E">
        <w:trPr>
          <w:trHeight w:val="371"/>
        </w:trPr>
        <w:tc>
          <w:tcPr>
            <w:tcW w:w="1582" w:type="dxa"/>
            <w:tcBorders>
              <w:top w:val="nil"/>
              <w:left w:val="single" w:sz="4" w:space="0" w:color="auto"/>
              <w:bottom w:val="single" w:sz="4" w:space="0" w:color="auto"/>
              <w:right w:val="single" w:sz="4" w:space="0" w:color="auto"/>
            </w:tcBorders>
            <w:noWrap/>
            <w:vAlign w:val="bottom"/>
            <w:hideMark/>
          </w:tcPr>
          <w:p w14:paraId="3EA99C51" w14:textId="77777777" w:rsidR="00E51E56" w:rsidRPr="00BA1C8E" w:rsidRDefault="00E51E56" w:rsidP="00E51E56">
            <w:pPr>
              <w:pStyle w:val="NoSpacing"/>
              <w:rPr>
                <w:rFonts w:ascii="Times New Roman" w:hAnsi="Times New Roman" w:cs="Times New Roman"/>
                <w:szCs w:val="24"/>
                <w:lang w:eastAsia="en-IN"/>
              </w:rPr>
            </w:pPr>
            <w:r w:rsidRPr="00BA1C8E">
              <w:rPr>
                <w:rFonts w:ascii="Times New Roman" w:hAnsi="Times New Roman" w:cs="Times New Roman"/>
                <w:szCs w:val="24"/>
                <w:lang w:eastAsia="en-IN"/>
              </w:rPr>
              <w:t>West Bengal</w:t>
            </w:r>
          </w:p>
        </w:tc>
        <w:tc>
          <w:tcPr>
            <w:tcW w:w="1117" w:type="dxa"/>
            <w:tcBorders>
              <w:top w:val="nil"/>
              <w:left w:val="nil"/>
              <w:bottom w:val="single" w:sz="4" w:space="0" w:color="auto"/>
              <w:right w:val="single" w:sz="4" w:space="0" w:color="auto"/>
            </w:tcBorders>
            <w:noWrap/>
            <w:vAlign w:val="center"/>
            <w:hideMark/>
          </w:tcPr>
          <w:p w14:paraId="0BDE9317" w14:textId="77777777" w:rsidR="00E51E56" w:rsidRPr="00BA1C8E" w:rsidRDefault="00E51E56" w:rsidP="00BA1C8E">
            <w:pPr>
              <w:pStyle w:val="NoSpacing"/>
              <w:jc w:val="center"/>
              <w:rPr>
                <w:rFonts w:ascii="Times New Roman" w:hAnsi="Times New Roman" w:cs="Times New Roman"/>
                <w:szCs w:val="24"/>
                <w:lang w:eastAsia="en-IN"/>
              </w:rPr>
            </w:pPr>
            <w:r w:rsidRPr="00BA1C8E">
              <w:rPr>
                <w:rFonts w:ascii="Times New Roman" w:hAnsi="Times New Roman" w:cs="Times New Roman"/>
                <w:szCs w:val="24"/>
                <w:lang w:eastAsia="en-IN"/>
              </w:rPr>
              <w:t>0.51</w:t>
            </w:r>
          </w:p>
        </w:tc>
        <w:tc>
          <w:tcPr>
            <w:tcW w:w="2319" w:type="dxa"/>
            <w:tcBorders>
              <w:top w:val="nil"/>
              <w:left w:val="nil"/>
              <w:bottom w:val="single" w:sz="4" w:space="0" w:color="auto"/>
              <w:right w:val="single" w:sz="4" w:space="0" w:color="auto"/>
            </w:tcBorders>
            <w:noWrap/>
            <w:vAlign w:val="center"/>
            <w:hideMark/>
          </w:tcPr>
          <w:p w14:paraId="74BD8DA7" w14:textId="77777777" w:rsidR="00E51E56" w:rsidRPr="00BA1C8E" w:rsidRDefault="00E51E56" w:rsidP="00BA1C8E">
            <w:pPr>
              <w:pStyle w:val="NoSpacing"/>
              <w:jc w:val="center"/>
              <w:rPr>
                <w:rFonts w:ascii="Times New Roman" w:hAnsi="Times New Roman" w:cs="Times New Roman"/>
                <w:szCs w:val="24"/>
                <w:lang w:eastAsia="en-IN"/>
              </w:rPr>
            </w:pPr>
            <w:r w:rsidRPr="00BA1C8E">
              <w:rPr>
                <w:rFonts w:ascii="Times New Roman" w:hAnsi="Times New Roman" w:cs="Times New Roman"/>
                <w:szCs w:val="24"/>
                <w:lang w:eastAsia="en-IN"/>
              </w:rPr>
              <w:t>1.48</w:t>
            </w:r>
          </w:p>
        </w:tc>
        <w:tc>
          <w:tcPr>
            <w:tcW w:w="1622" w:type="dxa"/>
            <w:tcBorders>
              <w:top w:val="nil"/>
              <w:left w:val="nil"/>
              <w:bottom w:val="single" w:sz="4" w:space="0" w:color="auto"/>
              <w:right w:val="single" w:sz="4" w:space="0" w:color="auto"/>
            </w:tcBorders>
            <w:noWrap/>
            <w:vAlign w:val="center"/>
            <w:hideMark/>
          </w:tcPr>
          <w:p w14:paraId="26F037A1" w14:textId="77777777" w:rsidR="00E51E56" w:rsidRPr="00BA1C8E" w:rsidRDefault="00E51E56" w:rsidP="00BA1C8E">
            <w:pPr>
              <w:pStyle w:val="NoSpacing"/>
              <w:jc w:val="center"/>
              <w:rPr>
                <w:rFonts w:ascii="Times New Roman" w:hAnsi="Times New Roman" w:cs="Times New Roman"/>
                <w:szCs w:val="24"/>
                <w:lang w:eastAsia="en-IN"/>
              </w:rPr>
            </w:pPr>
            <w:r w:rsidRPr="00BA1C8E">
              <w:rPr>
                <w:rFonts w:ascii="Times New Roman" w:hAnsi="Times New Roman" w:cs="Times New Roman"/>
                <w:szCs w:val="24"/>
                <w:lang w:eastAsia="en-IN"/>
              </w:rPr>
              <w:t>0.69</w:t>
            </w:r>
          </w:p>
        </w:tc>
        <w:tc>
          <w:tcPr>
            <w:tcW w:w="2064" w:type="dxa"/>
            <w:tcBorders>
              <w:top w:val="nil"/>
              <w:left w:val="nil"/>
              <w:bottom w:val="single" w:sz="4" w:space="0" w:color="auto"/>
              <w:right w:val="single" w:sz="4" w:space="0" w:color="auto"/>
            </w:tcBorders>
            <w:noWrap/>
            <w:vAlign w:val="center"/>
            <w:hideMark/>
          </w:tcPr>
          <w:p w14:paraId="6892EDFB" w14:textId="77777777" w:rsidR="00E51E56" w:rsidRPr="00BA1C8E" w:rsidRDefault="00E51E56" w:rsidP="00BA1C8E">
            <w:pPr>
              <w:pStyle w:val="NoSpacing"/>
              <w:jc w:val="center"/>
              <w:rPr>
                <w:rFonts w:ascii="Times New Roman" w:hAnsi="Times New Roman" w:cs="Times New Roman"/>
                <w:szCs w:val="24"/>
                <w:lang w:eastAsia="en-IN"/>
              </w:rPr>
            </w:pPr>
            <w:r w:rsidRPr="00BA1C8E">
              <w:rPr>
                <w:rFonts w:ascii="Times New Roman" w:hAnsi="Times New Roman" w:cs="Times New Roman"/>
                <w:szCs w:val="24"/>
                <w:lang w:eastAsia="en-IN"/>
              </w:rPr>
              <w:t>0.74</w:t>
            </w:r>
          </w:p>
        </w:tc>
        <w:tc>
          <w:tcPr>
            <w:tcW w:w="1327" w:type="dxa"/>
            <w:tcBorders>
              <w:top w:val="nil"/>
              <w:left w:val="nil"/>
              <w:bottom w:val="single" w:sz="4" w:space="0" w:color="auto"/>
              <w:right w:val="single" w:sz="4" w:space="0" w:color="auto"/>
            </w:tcBorders>
            <w:noWrap/>
            <w:vAlign w:val="center"/>
            <w:hideMark/>
          </w:tcPr>
          <w:p w14:paraId="67C0B5DC" w14:textId="77777777" w:rsidR="00E51E56" w:rsidRPr="00BA1C8E" w:rsidRDefault="00E51E56" w:rsidP="00BA1C8E">
            <w:pPr>
              <w:pStyle w:val="NoSpacing"/>
              <w:jc w:val="center"/>
              <w:rPr>
                <w:rFonts w:ascii="Times New Roman" w:hAnsi="Times New Roman" w:cs="Times New Roman"/>
                <w:szCs w:val="24"/>
                <w:lang w:eastAsia="en-IN"/>
              </w:rPr>
            </w:pPr>
            <w:r w:rsidRPr="00BA1C8E">
              <w:rPr>
                <w:rFonts w:ascii="Times New Roman" w:hAnsi="Times New Roman" w:cs="Times New Roman"/>
                <w:szCs w:val="24"/>
                <w:lang w:eastAsia="en-IN"/>
              </w:rPr>
              <w:t>1.43</w:t>
            </w:r>
          </w:p>
        </w:tc>
        <w:tc>
          <w:tcPr>
            <w:tcW w:w="1474" w:type="dxa"/>
            <w:tcBorders>
              <w:top w:val="nil"/>
              <w:left w:val="nil"/>
              <w:bottom w:val="single" w:sz="4" w:space="0" w:color="auto"/>
              <w:right w:val="single" w:sz="4" w:space="0" w:color="auto"/>
            </w:tcBorders>
            <w:noWrap/>
            <w:vAlign w:val="center"/>
            <w:hideMark/>
          </w:tcPr>
          <w:p w14:paraId="670DA68A" w14:textId="77777777" w:rsidR="00E51E56" w:rsidRPr="00BA1C8E" w:rsidRDefault="00E51E56" w:rsidP="00BA1C8E">
            <w:pPr>
              <w:pStyle w:val="NoSpacing"/>
              <w:jc w:val="center"/>
              <w:rPr>
                <w:rFonts w:ascii="Times New Roman" w:hAnsi="Times New Roman" w:cs="Times New Roman"/>
                <w:szCs w:val="24"/>
                <w:lang w:eastAsia="en-IN"/>
              </w:rPr>
            </w:pPr>
            <w:r w:rsidRPr="00BA1C8E">
              <w:rPr>
                <w:rFonts w:ascii="Times New Roman" w:hAnsi="Times New Roman" w:cs="Times New Roman"/>
                <w:szCs w:val="24"/>
                <w:lang w:eastAsia="en-IN"/>
              </w:rPr>
              <w:t>5.66</w:t>
            </w:r>
          </w:p>
        </w:tc>
      </w:tr>
      <w:tr w:rsidR="00E51E56" w:rsidRPr="00BA1C8E" w14:paraId="5BCF7AC4" w14:textId="77777777" w:rsidTr="00BA1C8E">
        <w:trPr>
          <w:trHeight w:val="371"/>
        </w:trPr>
        <w:tc>
          <w:tcPr>
            <w:tcW w:w="1582" w:type="dxa"/>
            <w:tcBorders>
              <w:top w:val="nil"/>
              <w:left w:val="single" w:sz="4" w:space="0" w:color="auto"/>
              <w:bottom w:val="single" w:sz="4" w:space="0" w:color="auto"/>
              <w:right w:val="single" w:sz="4" w:space="0" w:color="auto"/>
            </w:tcBorders>
            <w:noWrap/>
            <w:vAlign w:val="bottom"/>
            <w:hideMark/>
          </w:tcPr>
          <w:p w14:paraId="4BF0F21D" w14:textId="77777777" w:rsidR="00E51E56" w:rsidRPr="00BA1C8E" w:rsidRDefault="00E51E56" w:rsidP="00E51E56">
            <w:pPr>
              <w:pStyle w:val="NoSpacing"/>
              <w:rPr>
                <w:rFonts w:ascii="Times New Roman" w:hAnsi="Times New Roman" w:cs="Times New Roman"/>
                <w:szCs w:val="24"/>
                <w:lang w:eastAsia="en-IN"/>
              </w:rPr>
            </w:pPr>
            <w:r w:rsidRPr="00BA1C8E">
              <w:rPr>
                <w:rFonts w:ascii="Times New Roman" w:hAnsi="Times New Roman" w:cs="Times New Roman"/>
                <w:szCs w:val="24"/>
                <w:lang w:eastAsia="en-IN"/>
              </w:rPr>
              <w:t>Gujarat</w:t>
            </w:r>
          </w:p>
        </w:tc>
        <w:tc>
          <w:tcPr>
            <w:tcW w:w="1117" w:type="dxa"/>
            <w:tcBorders>
              <w:top w:val="nil"/>
              <w:left w:val="nil"/>
              <w:bottom w:val="single" w:sz="4" w:space="0" w:color="auto"/>
              <w:right w:val="single" w:sz="4" w:space="0" w:color="auto"/>
            </w:tcBorders>
            <w:noWrap/>
            <w:vAlign w:val="center"/>
            <w:hideMark/>
          </w:tcPr>
          <w:p w14:paraId="758526F0" w14:textId="77777777" w:rsidR="00E51E56" w:rsidRPr="00BA1C8E" w:rsidRDefault="00E51E56" w:rsidP="00BA1C8E">
            <w:pPr>
              <w:pStyle w:val="NoSpacing"/>
              <w:jc w:val="center"/>
              <w:rPr>
                <w:rFonts w:ascii="Times New Roman" w:hAnsi="Times New Roman" w:cs="Times New Roman"/>
                <w:szCs w:val="24"/>
                <w:lang w:eastAsia="en-IN"/>
              </w:rPr>
            </w:pPr>
            <w:r w:rsidRPr="00BA1C8E">
              <w:rPr>
                <w:rFonts w:ascii="Times New Roman" w:hAnsi="Times New Roman" w:cs="Times New Roman"/>
                <w:szCs w:val="24"/>
                <w:lang w:eastAsia="en-IN"/>
              </w:rPr>
              <w:t>0.59</w:t>
            </w:r>
          </w:p>
        </w:tc>
        <w:tc>
          <w:tcPr>
            <w:tcW w:w="2319" w:type="dxa"/>
            <w:tcBorders>
              <w:top w:val="nil"/>
              <w:left w:val="nil"/>
              <w:bottom w:val="single" w:sz="4" w:space="0" w:color="auto"/>
              <w:right w:val="single" w:sz="4" w:space="0" w:color="auto"/>
            </w:tcBorders>
            <w:noWrap/>
            <w:vAlign w:val="center"/>
            <w:hideMark/>
          </w:tcPr>
          <w:p w14:paraId="1033AE51" w14:textId="77777777" w:rsidR="00E51E56" w:rsidRPr="00BA1C8E" w:rsidRDefault="00E51E56" w:rsidP="00BA1C8E">
            <w:pPr>
              <w:pStyle w:val="NoSpacing"/>
              <w:jc w:val="center"/>
              <w:rPr>
                <w:rFonts w:ascii="Times New Roman" w:hAnsi="Times New Roman" w:cs="Times New Roman"/>
                <w:szCs w:val="24"/>
                <w:lang w:eastAsia="en-IN"/>
              </w:rPr>
            </w:pPr>
            <w:r w:rsidRPr="00BA1C8E">
              <w:rPr>
                <w:rFonts w:ascii="Times New Roman" w:hAnsi="Times New Roman" w:cs="Times New Roman"/>
                <w:szCs w:val="24"/>
                <w:lang w:eastAsia="en-IN"/>
              </w:rPr>
              <w:t>1.43</w:t>
            </w:r>
          </w:p>
        </w:tc>
        <w:tc>
          <w:tcPr>
            <w:tcW w:w="1622" w:type="dxa"/>
            <w:tcBorders>
              <w:top w:val="nil"/>
              <w:left w:val="nil"/>
              <w:bottom w:val="single" w:sz="4" w:space="0" w:color="auto"/>
              <w:right w:val="single" w:sz="4" w:space="0" w:color="auto"/>
            </w:tcBorders>
            <w:noWrap/>
            <w:vAlign w:val="center"/>
            <w:hideMark/>
          </w:tcPr>
          <w:p w14:paraId="29B306E9" w14:textId="77777777" w:rsidR="00E51E56" w:rsidRPr="00BA1C8E" w:rsidRDefault="00E51E56" w:rsidP="00BA1C8E">
            <w:pPr>
              <w:pStyle w:val="NoSpacing"/>
              <w:jc w:val="center"/>
              <w:rPr>
                <w:rFonts w:ascii="Times New Roman" w:hAnsi="Times New Roman" w:cs="Times New Roman"/>
                <w:szCs w:val="24"/>
                <w:lang w:eastAsia="en-IN"/>
              </w:rPr>
            </w:pPr>
            <w:r w:rsidRPr="00BA1C8E">
              <w:rPr>
                <w:rFonts w:ascii="Times New Roman" w:hAnsi="Times New Roman" w:cs="Times New Roman"/>
                <w:szCs w:val="24"/>
                <w:lang w:eastAsia="en-IN"/>
              </w:rPr>
              <w:t>0.06</w:t>
            </w:r>
          </w:p>
        </w:tc>
        <w:tc>
          <w:tcPr>
            <w:tcW w:w="2064" w:type="dxa"/>
            <w:tcBorders>
              <w:top w:val="nil"/>
              <w:left w:val="nil"/>
              <w:bottom w:val="single" w:sz="4" w:space="0" w:color="auto"/>
              <w:right w:val="single" w:sz="4" w:space="0" w:color="auto"/>
            </w:tcBorders>
            <w:noWrap/>
            <w:vAlign w:val="center"/>
            <w:hideMark/>
          </w:tcPr>
          <w:p w14:paraId="541CD5EF" w14:textId="77777777" w:rsidR="00E51E56" w:rsidRPr="00BA1C8E" w:rsidRDefault="00E51E56" w:rsidP="00BA1C8E">
            <w:pPr>
              <w:pStyle w:val="NoSpacing"/>
              <w:jc w:val="center"/>
              <w:rPr>
                <w:rFonts w:ascii="Times New Roman" w:hAnsi="Times New Roman" w:cs="Times New Roman"/>
                <w:szCs w:val="24"/>
                <w:lang w:eastAsia="en-IN"/>
              </w:rPr>
            </w:pPr>
            <w:r w:rsidRPr="00BA1C8E">
              <w:rPr>
                <w:rFonts w:ascii="Times New Roman" w:hAnsi="Times New Roman" w:cs="Times New Roman"/>
                <w:szCs w:val="24"/>
                <w:lang w:eastAsia="en-IN"/>
              </w:rPr>
              <w:t>1.08</w:t>
            </w:r>
          </w:p>
        </w:tc>
        <w:tc>
          <w:tcPr>
            <w:tcW w:w="1327" w:type="dxa"/>
            <w:tcBorders>
              <w:top w:val="nil"/>
              <w:left w:val="nil"/>
              <w:bottom w:val="single" w:sz="4" w:space="0" w:color="auto"/>
              <w:right w:val="single" w:sz="4" w:space="0" w:color="auto"/>
            </w:tcBorders>
            <w:noWrap/>
            <w:vAlign w:val="center"/>
            <w:hideMark/>
          </w:tcPr>
          <w:p w14:paraId="714821FD" w14:textId="77777777" w:rsidR="00E51E56" w:rsidRPr="00BA1C8E" w:rsidRDefault="00E51E56" w:rsidP="00BA1C8E">
            <w:pPr>
              <w:pStyle w:val="NoSpacing"/>
              <w:jc w:val="center"/>
              <w:rPr>
                <w:rFonts w:ascii="Times New Roman" w:hAnsi="Times New Roman" w:cs="Times New Roman"/>
                <w:szCs w:val="24"/>
                <w:lang w:eastAsia="en-IN"/>
              </w:rPr>
            </w:pPr>
            <w:r w:rsidRPr="00BA1C8E">
              <w:rPr>
                <w:rFonts w:ascii="Times New Roman" w:hAnsi="Times New Roman" w:cs="Times New Roman"/>
                <w:szCs w:val="24"/>
                <w:lang w:eastAsia="en-IN"/>
              </w:rPr>
              <w:t>2.61</w:t>
            </w:r>
          </w:p>
        </w:tc>
        <w:tc>
          <w:tcPr>
            <w:tcW w:w="1474" w:type="dxa"/>
            <w:tcBorders>
              <w:top w:val="nil"/>
              <w:left w:val="nil"/>
              <w:bottom w:val="single" w:sz="4" w:space="0" w:color="auto"/>
              <w:right w:val="single" w:sz="4" w:space="0" w:color="auto"/>
            </w:tcBorders>
            <w:noWrap/>
            <w:vAlign w:val="center"/>
            <w:hideMark/>
          </w:tcPr>
          <w:p w14:paraId="774CE3E3" w14:textId="77777777" w:rsidR="00E51E56" w:rsidRPr="00BA1C8E" w:rsidRDefault="00E51E56" w:rsidP="00BA1C8E">
            <w:pPr>
              <w:pStyle w:val="NoSpacing"/>
              <w:jc w:val="center"/>
              <w:rPr>
                <w:rFonts w:ascii="Times New Roman" w:hAnsi="Times New Roman" w:cs="Times New Roman"/>
                <w:szCs w:val="24"/>
                <w:lang w:eastAsia="en-IN"/>
              </w:rPr>
            </w:pPr>
            <w:r w:rsidRPr="00BA1C8E">
              <w:rPr>
                <w:rFonts w:ascii="Times New Roman" w:hAnsi="Times New Roman" w:cs="Times New Roman"/>
                <w:szCs w:val="24"/>
                <w:lang w:eastAsia="en-IN"/>
              </w:rPr>
              <w:t>6.23</w:t>
            </w:r>
          </w:p>
        </w:tc>
      </w:tr>
      <w:tr w:rsidR="00E51E56" w:rsidRPr="00BA1C8E" w14:paraId="1607BA52" w14:textId="77777777" w:rsidTr="00BA1C8E">
        <w:trPr>
          <w:trHeight w:val="371"/>
        </w:trPr>
        <w:tc>
          <w:tcPr>
            <w:tcW w:w="1582" w:type="dxa"/>
            <w:tcBorders>
              <w:top w:val="nil"/>
              <w:left w:val="single" w:sz="4" w:space="0" w:color="auto"/>
              <w:bottom w:val="single" w:sz="4" w:space="0" w:color="auto"/>
              <w:right w:val="single" w:sz="4" w:space="0" w:color="auto"/>
            </w:tcBorders>
            <w:noWrap/>
            <w:vAlign w:val="bottom"/>
            <w:hideMark/>
          </w:tcPr>
          <w:p w14:paraId="41A5A26C" w14:textId="77777777" w:rsidR="00E51E56" w:rsidRPr="00BA1C8E" w:rsidRDefault="00E51E56" w:rsidP="00E51E56">
            <w:pPr>
              <w:pStyle w:val="NoSpacing"/>
              <w:rPr>
                <w:rFonts w:ascii="Times New Roman" w:hAnsi="Times New Roman" w:cs="Times New Roman"/>
                <w:szCs w:val="24"/>
                <w:lang w:eastAsia="en-IN"/>
              </w:rPr>
            </w:pPr>
            <w:r w:rsidRPr="00BA1C8E">
              <w:rPr>
                <w:rFonts w:ascii="Times New Roman" w:hAnsi="Times New Roman" w:cs="Times New Roman"/>
                <w:szCs w:val="24"/>
                <w:lang w:eastAsia="en-IN"/>
              </w:rPr>
              <w:t>Haryana</w:t>
            </w:r>
          </w:p>
        </w:tc>
        <w:tc>
          <w:tcPr>
            <w:tcW w:w="1117" w:type="dxa"/>
            <w:tcBorders>
              <w:top w:val="nil"/>
              <w:left w:val="nil"/>
              <w:bottom w:val="single" w:sz="4" w:space="0" w:color="auto"/>
              <w:right w:val="single" w:sz="4" w:space="0" w:color="auto"/>
            </w:tcBorders>
            <w:noWrap/>
            <w:vAlign w:val="center"/>
            <w:hideMark/>
          </w:tcPr>
          <w:p w14:paraId="0A54CE52" w14:textId="77777777" w:rsidR="00E51E56" w:rsidRPr="00BA1C8E" w:rsidRDefault="00E51E56" w:rsidP="00BA1C8E">
            <w:pPr>
              <w:pStyle w:val="NoSpacing"/>
              <w:jc w:val="center"/>
              <w:rPr>
                <w:rFonts w:ascii="Times New Roman" w:hAnsi="Times New Roman" w:cs="Times New Roman"/>
                <w:szCs w:val="24"/>
                <w:lang w:eastAsia="en-IN"/>
              </w:rPr>
            </w:pPr>
            <w:r w:rsidRPr="00BA1C8E">
              <w:rPr>
                <w:rFonts w:ascii="Times New Roman" w:hAnsi="Times New Roman" w:cs="Times New Roman"/>
                <w:szCs w:val="24"/>
                <w:lang w:eastAsia="en-IN"/>
              </w:rPr>
              <w:t>0.35</w:t>
            </w:r>
          </w:p>
        </w:tc>
        <w:tc>
          <w:tcPr>
            <w:tcW w:w="2319" w:type="dxa"/>
            <w:tcBorders>
              <w:top w:val="nil"/>
              <w:left w:val="nil"/>
              <w:bottom w:val="single" w:sz="4" w:space="0" w:color="auto"/>
              <w:right w:val="single" w:sz="4" w:space="0" w:color="auto"/>
            </w:tcBorders>
            <w:noWrap/>
            <w:vAlign w:val="center"/>
            <w:hideMark/>
          </w:tcPr>
          <w:p w14:paraId="727BE565" w14:textId="77777777" w:rsidR="00E51E56" w:rsidRPr="00BA1C8E" w:rsidRDefault="00E51E56" w:rsidP="00BA1C8E">
            <w:pPr>
              <w:pStyle w:val="NoSpacing"/>
              <w:jc w:val="center"/>
              <w:rPr>
                <w:rFonts w:ascii="Times New Roman" w:hAnsi="Times New Roman" w:cs="Times New Roman"/>
                <w:szCs w:val="24"/>
                <w:lang w:eastAsia="en-IN"/>
              </w:rPr>
            </w:pPr>
            <w:r w:rsidRPr="00BA1C8E">
              <w:rPr>
                <w:rFonts w:ascii="Times New Roman" w:hAnsi="Times New Roman" w:cs="Times New Roman"/>
                <w:szCs w:val="24"/>
                <w:lang w:eastAsia="en-IN"/>
              </w:rPr>
              <w:t>0.63</w:t>
            </w:r>
          </w:p>
        </w:tc>
        <w:tc>
          <w:tcPr>
            <w:tcW w:w="1622" w:type="dxa"/>
            <w:tcBorders>
              <w:top w:val="nil"/>
              <w:left w:val="nil"/>
              <w:bottom w:val="single" w:sz="4" w:space="0" w:color="auto"/>
              <w:right w:val="single" w:sz="4" w:space="0" w:color="auto"/>
            </w:tcBorders>
            <w:noWrap/>
            <w:vAlign w:val="center"/>
            <w:hideMark/>
          </w:tcPr>
          <w:p w14:paraId="161C4A15" w14:textId="77777777" w:rsidR="00E51E56" w:rsidRPr="00BA1C8E" w:rsidRDefault="00E51E56" w:rsidP="00BA1C8E">
            <w:pPr>
              <w:pStyle w:val="NoSpacing"/>
              <w:jc w:val="center"/>
              <w:rPr>
                <w:rFonts w:ascii="Times New Roman" w:hAnsi="Times New Roman" w:cs="Times New Roman"/>
                <w:szCs w:val="24"/>
                <w:lang w:eastAsia="en-IN"/>
              </w:rPr>
            </w:pPr>
            <w:r w:rsidRPr="00BA1C8E">
              <w:rPr>
                <w:rFonts w:ascii="Times New Roman" w:hAnsi="Times New Roman" w:cs="Times New Roman"/>
                <w:szCs w:val="24"/>
                <w:lang w:eastAsia="en-IN"/>
              </w:rPr>
              <w:t>1.54</w:t>
            </w:r>
          </w:p>
        </w:tc>
        <w:tc>
          <w:tcPr>
            <w:tcW w:w="2064" w:type="dxa"/>
            <w:tcBorders>
              <w:top w:val="nil"/>
              <w:left w:val="nil"/>
              <w:bottom w:val="single" w:sz="4" w:space="0" w:color="auto"/>
              <w:right w:val="single" w:sz="4" w:space="0" w:color="auto"/>
            </w:tcBorders>
            <w:noWrap/>
            <w:vAlign w:val="center"/>
            <w:hideMark/>
          </w:tcPr>
          <w:p w14:paraId="5652BACE" w14:textId="77777777" w:rsidR="00E51E56" w:rsidRPr="00BA1C8E" w:rsidRDefault="00E51E56" w:rsidP="00BA1C8E">
            <w:pPr>
              <w:pStyle w:val="NoSpacing"/>
              <w:jc w:val="center"/>
              <w:rPr>
                <w:rFonts w:ascii="Times New Roman" w:hAnsi="Times New Roman" w:cs="Times New Roman"/>
                <w:szCs w:val="24"/>
                <w:lang w:eastAsia="en-IN"/>
              </w:rPr>
            </w:pPr>
            <w:r w:rsidRPr="00BA1C8E">
              <w:rPr>
                <w:rFonts w:ascii="Times New Roman" w:hAnsi="Times New Roman" w:cs="Times New Roman"/>
                <w:szCs w:val="24"/>
                <w:lang w:eastAsia="en-IN"/>
              </w:rPr>
              <w:t>0.95</w:t>
            </w:r>
          </w:p>
        </w:tc>
        <w:tc>
          <w:tcPr>
            <w:tcW w:w="1327" w:type="dxa"/>
            <w:tcBorders>
              <w:top w:val="nil"/>
              <w:left w:val="nil"/>
              <w:bottom w:val="single" w:sz="4" w:space="0" w:color="auto"/>
              <w:right w:val="single" w:sz="4" w:space="0" w:color="auto"/>
            </w:tcBorders>
            <w:noWrap/>
            <w:vAlign w:val="center"/>
            <w:hideMark/>
          </w:tcPr>
          <w:p w14:paraId="3ED54D00" w14:textId="77777777" w:rsidR="00E51E56" w:rsidRPr="00BA1C8E" w:rsidRDefault="00E51E56" w:rsidP="00BA1C8E">
            <w:pPr>
              <w:pStyle w:val="NoSpacing"/>
              <w:jc w:val="center"/>
              <w:rPr>
                <w:rFonts w:ascii="Times New Roman" w:hAnsi="Times New Roman" w:cs="Times New Roman"/>
                <w:szCs w:val="24"/>
                <w:lang w:eastAsia="en-IN"/>
              </w:rPr>
            </w:pPr>
            <w:r w:rsidRPr="00BA1C8E">
              <w:rPr>
                <w:rFonts w:ascii="Times New Roman" w:hAnsi="Times New Roman" w:cs="Times New Roman"/>
                <w:szCs w:val="24"/>
                <w:lang w:eastAsia="en-IN"/>
              </w:rPr>
              <w:t>1.38</w:t>
            </w:r>
          </w:p>
        </w:tc>
        <w:tc>
          <w:tcPr>
            <w:tcW w:w="1474" w:type="dxa"/>
            <w:tcBorders>
              <w:top w:val="nil"/>
              <w:left w:val="nil"/>
              <w:bottom w:val="single" w:sz="4" w:space="0" w:color="auto"/>
              <w:right w:val="single" w:sz="4" w:space="0" w:color="auto"/>
            </w:tcBorders>
            <w:noWrap/>
            <w:vAlign w:val="center"/>
            <w:hideMark/>
          </w:tcPr>
          <w:p w14:paraId="17F7BC83" w14:textId="77777777" w:rsidR="00E51E56" w:rsidRPr="00BA1C8E" w:rsidRDefault="00E51E56" w:rsidP="00BA1C8E">
            <w:pPr>
              <w:pStyle w:val="NoSpacing"/>
              <w:jc w:val="center"/>
              <w:rPr>
                <w:rFonts w:ascii="Times New Roman" w:hAnsi="Times New Roman" w:cs="Times New Roman"/>
                <w:szCs w:val="24"/>
                <w:lang w:eastAsia="en-IN"/>
              </w:rPr>
            </w:pPr>
            <w:r w:rsidRPr="00BA1C8E">
              <w:rPr>
                <w:rFonts w:ascii="Times New Roman" w:hAnsi="Times New Roman" w:cs="Times New Roman"/>
                <w:szCs w:val="24"/>
                <w:lang w:eastAsia="en-IN"/>
              </w:rPr>
              <w:t>6.51</w:t>
            </w:r>
          </w:p>
        </w:tc>
      </w:tr>
      <w:tr w:rsidR="00E51E56" w:rsidRPr="00BA1C8E" w14:paraId="5F94A139" w14:textId="77777777" w:rsidTr="00BA1C8E">
        <w:trPr>
          <w:trHeight w:val="371"/>
        </w:trPr>
        <w:tc>
          <w:tcPr>
            <w:tcW w:w="1582" w:type="dxa"/>
            <w:tcBorders>
              <w:top w:val="nil"/>
              <w:left w:val="single" w:sz="4" w:space="0" w:color="auto"/>
              <w:bottom w:val="single" w:sz="4" w:space="0" w:color="auto"/>
              <w:right w:val="single" w:sz="4" w:space="0" w:color="auto"/>
            </w:tcBorders>
            <w:noWrap/>
            <w:vAlign w:val="bottom"/>
            <w:hideMark/>
          </w:tcPr>
          <w:p w14:paraId="41838F44" w14:textId="77777777" w:rsidR="00E51E56" w:rsidRPr="00BA1C8E" w:rsidRDefault="00E51E56" w:rsidP="00E51E56">
            <w:pPr>
              <w:pStyle w:val="NoSpacing"/>
              <w:rPr>
                <w:rFonts w:ascii="Times New Roman" w:hAnsi="Times New Roman" w:cs="Times New Roman"/>
                <w:szCs w:val="24"/>
                <w:lang w:eastAsia="en-IN"/>
              </w:rPr>
            </w:pPr>
            <w:r w:rsidRPr="00BA1C8E">
              <w:rPr>
                <w:rFonts w:ascii="Times New Roman" w:hAnsi="Times New Roman" w:cs="Times New Roman"/>
                <w:szCs w:val="24"/>
                <w:lang w:eastAsia="en-IN"/>
              </w:rPr>
              <w:t>Tamil Nadu</w:t>
            </w:r>
          </w:p>
        </w:tc>
        <w:tc>
          <w:tcPr>
            <w:tcW w:w="1117" w:type="dxa"/>
            <w:tcBorders>
              <w:top w:val="nil"/>
              <w:left w:val="nil"/>
              <w:bottom w:val="single" w:sz="4" w:space="0" w:color="auto"/>
              <w:right w:val="single" w:sz="4" w:space="0" w:color="auto"/>
            </w:tcBorders>
            <w:noWrap/>
            <w:vAlign w:val="center"/>
            <w:hideMark/>
          </w:tcPr>
          <w:p w14:paraId="6F1BF55F" w14:textId="77777777" w:rsidR="00E51E56" w:rsidRPr="00BA1C8E" w:rsidRDefault="00E51E56" w:rsidP="00BA1C8E">
            <w:pPr>
              <w:pStyle w:val="NoSpacing"/>
              <w:jc w:val="center"/>
              <w:rPr>
                <w:rFonts w:ascii="Times New Roman" w:hAnsi="Times New Roman" w:cs="Times New Roman"/>
                <w:szCs w:val="24"/>
                <w:lang w:eastAsia="en-IN"/>
              </w:rPr>
            </w:pPr>
            <w:r w:rsidRPr="00BA1C8E">
              <w:rPr>
                <w:rFonts w:ascii="Times New Roman" w:hAnsi="Times New Roman" w:cs="Times New Roman"/>
                <w:szCs w:val="24"/>
                <w:lang w:eastAsia="en-IN"/>
              </w:rPr>
              <w:t>0.46</w:t>
            </w:r>
          </w:p>
        </w:tc>
        <w:tc>
          <w:tcPr>
            <w:tcW w:w="2319" w:type="dxa"/>
            <w:tcBorders>
              <w:top w:val="nil"/>
              <w:left w:val="nil"/>
              <w:bottom w:val="single" w:sz="4" w:space="0" w:color="auto"/>
              <w:right w:val="single" w:sz="4" w:space="0" w:color="auto"/>
            </w:tcBorders>
            <w:noWrap/>
            <w:vAlign w:val="center"/>
            <w:hideMark/>
          </w:tcPr>
          <w:p w14:paraId="1EA13D44" w14:textId="77777777" w:rsidR="00E51E56" w:rsidRPr="00BA1C8E" w:rsidRDefault="00E51E56" w:rsidP="00BA1C8E">
            <w:pPr>
              <w:pStyle w:val="NoSpacing"/>
              <w:jc w:val="center"/>
              <w:rPr>
                <w:rFonts w:ascii="Times New Roman" w:hAnsi="Times New Roman" w:cs="Times New Roman"/>
                <w:szCs w:val="24"/>
                <w:lang w:eastAsia="en-IN"/>
              </w:rPr>
            </w:pPr>
            <w:r w:rsidRPr="00BA1C8E">
              <w:rPr>
                <w:rFonts w:ascii="Times New Roman" w:hAnsi="Times New Roman" w:cs="Times New Roman"/>
                <w:szCs w:val="24"/>
                <w:lang w:eastAsia="en-IN"/>
              </w:rPr>
              <w:t>1.18</w:t>
            </w:r>
          </w:p>
        </w:tc>
        <w:tc>
          <w:tcPr>
            <w:tcW w:w="1622" w:type="dxa"/>
            <w:tcBorders>
              <w:top w:val="nil"/>
              <w:left w:val="nil"/>
              <w:bottom w:val="single" w:sz="4" w:space="0" w:color="auto"/>
              <w:right w:val="single" w:sz="4" w:space="0" w:color="auto"/>
            </w:tcBorders>
            <w:noWrap/>
            <w:vAlign w:val="center"/>
            <w:hideMark/>
          </w:tcPr>
          <w:p w14:paraId="2AB82801" w14:textId="77777777" w:rsidR="00E51E56" w:rsidRPr="00BA1C8E" w:rsidRDefault="00E51E56" w:rsidP="00BA1C8E">
            <w:pPr>
              <w:pStyle w:val="NoSpacing"/>
              <w:jc w:val="center"/>
              <w:rPr>
                <w:rFonts w:ascii="Times New Roman" w:hAnsi="Times New Roman" w:cs="Times New Roman"/>
                <w:szCs w:val="24"/>
                <w:lang w:eastAsia="en-IN"/>
              </w:rPr>
            </w:pPr>
            <w:r w:rsidRPr="00BA1C8E">
              <w:rPr>
                <w:rFonts w:ascii="Times New Roman" w:hAnsi="Times New Roman" w:cs="Times New Roman"/>
                <w:szCs w:val="24"/>
                <w:lang w:eastAsia="en-IN"/>
              </w:rPr>
              <w:t>0.05</w:t>
            </w:r>
          </w:p>
        </w:tc>
        <w:tc>
          <w:tcPr>
            <w:tcW w:w="2064" w:type="dxa"/>
            <w:tcBorders>
              <w:top w:val="nil"/>
              <w:left w:val="nil"/>
              <w:bottom w:val="single" w:sz="4" w:space="0" w:color="auto"/>
              <w:right w:val="single" w:sz="4" w:space="0" w:color="auto"/>
            </w:tcBorders>
            <w:noWrap/>
            <w:vAlign w:val="center"/>
            <w:hideMark/>
          </w:tcPr>
          <w:p w14:paraId="75E38115" w14:textId="77777777" w:rsidR="00E51E56" w:rsidRPr="00BA1C8E" w:rsidRDefault="00E51E56" w:rsidP="00BA1C8E">
            <w:pPr>
              <w:pStyle w:val="NoSpacing"/>
              <w:jc w:val="center"/>
              <w:rPr>
                <w:rFonts w:ascii="Times New Roman" w:hAnsi="Times New Roman" w:cs="Times New Roman"/>
                <w:szCs w:val="24"/>
                <w:lang w:eastAsia="en-IN"/>
              </w:rPr>
            </w:pPr>
            <w:r w:rsidRPr="00BA1C8E">
              <w:rPr>
                <w:rFonts w:ascii="Times New Roman" w:hAnsi="Times New Roman" w:cs="Times New Roman"/>
                <w:szCs w:val="24"/>
                <w:lang w:eastAsia="en-IN"/>
              </w:rPr>
              <w:t>1.47</w:t>
            </w:r>
          </w:p>
        </w:tc>
        <w:tc>
          <w:tcPr>
            <w:tcW w:w="1327" w:type="dxa"/>
            <w:tcBorders>
              <w:top w:val="nil"/>
              <w:left w:val="nil"/>
              <w:bottom w:val="single" w:sz="4" w:space="0" w:color="auto"/>
              <w:right w:val="single" w:sz="4" w:space="0" w:color="auto"/>
            </w:tcBorders>
            <w:noWrap/>
            <w:vAlign w:val="center"/>
            <w:hideMark/>
          </w:tcPr>
          <w:p w14:paraId="33DBF0D9" w14:textId="77777777" w:rsidR="00E51E56" w:rsidRPr="00BA1C8E" w:rsidRDefault="00E51E56" w:rsidP="00BA1C8E">
            <w:pPr>
              <w:pStyle w:val="NoSpacing"/>
              <w:jc w:val="center"/>
              <w:rPr>
                <w:rFonts w:ascii="Times New Roman" w:hAnsi="Times New Roman" w:cs="Times New Roman"/>
                <w:szCs w:val="24"/>
                <w:lang w:eastAsia="en-IN"/>
              </w:rPr>
            </w:pPr>
            <w:r w:rsidRPr="00BA1C8E">
              <w:rPr>
                <w:rFonts w:ascii="Times New Roman" w:hAnsi="Times New Roman" w:cs="Times New Roman"/>
                <w:szCs w:val="24"/>
                <w:lang w:eastAsia="en-IN"/>
              </w:rPr>
              <w:t>2.75</w:t>
            </w:r>
          </w:p>
        </w:tc>
        <w:tc>
          <w:tcPr>
            <w:tcW w:w="1474" w:type="dxa"/>
            <w:tcBorders>
              <w:top w:val="nil"/>
              <w:left w:val="nil"/>
              <w:bottom w:val="single" w:sz="4" w:space="0" w:color="auto"/>
              <w:right w:val="single" w:sz="4" w:space="0" w:color="auto"/>
            </w:tcBorders>
            <w:noWrap/>
            <w:vAlign w:val="center"/>
            <w:hideMark/>
          </w:tcPr>
          <w:p w14:paraId="17B3962B" w14:textId="77777777" w:rsidR="00E51E56" w:rsidRPr="00BA1C8E" w:rsidRDefault="00E51E56" w:rsidP="00BA1C8E">
            <w:pPr>
              <w:pStyle w:val="NoSpacing"/>
              <w:jc w:val="center"/>
              <w:rPr>
                <w:rFonts w:ascii="Times New Roman" w:hAnsi="Times New Roman" w:cs="Times New Roman"/>
                <w:szCs w:val="24"/>
                <w:lang w:eastAsia="en-IN"/>
              </w:rPr>
            </w:pPr>
            <w:r w:rsidRPr="00BA1C8E">
              <w:rPr>
                <w:rFonts w:ascii="Times New Roman" w:hAnsi="Times New Roman" w:cs="Times New Roman"/>
                <w:szCs w:val="24"/>
                <w:lang w:eastAsia="en-IN"/>
              </w:rPr>
              <w:t>7.34</w:t>
            </w:r>
          </w:p>
        </w:tc>
      </w:tr>
      <w:tr w:rsidR="00E51E56" w:rsidRPr="00BA1C8E" w14:paraId="4DC0FE33" w14:textId="77777777" w:rsidTr="00BA1C8E">
        <w:trPr>
          <w:trHeight w:val="371"/>
        </w:trPr>
        <w:tc>
          <w:tcPr>
            <w:tcW w:w="1582" w:type="dxa"/>
            <w:tcBorders>
              <w:top w:val="nil"/>
              <w:left w:val="single" w:sz="4" w:space="0" w:color="auto"/>
              <w:bottom w:val="single" w:sz="4" w:space="0" w:color="auto"/>
              <w:right w:val="single" w:sz="4" w:space="0" w:color="auto"/>
            </w:tcBorders>
            <w:noWrap/>
            <w:vAlign w:val="bottom"/>
            <w:hideMark/>
          </w:tcPr>
          <w:p w14:paraId="63F9EAFC" w14:textId="77777777" w:rsidR="00E51E56" w:rsidRPr="00BA1C8E" w:rsidRDefault="00E51E56" w:rsidP="00E51E56">
            <w:pPr>
              <w:pStyle w:val="NoSpacing"/>
              <w:rPr>
                <w:rFonts w:ascii="Times New Roman" w:hAnsi="Times New Roman" w:cs="Times New Roman"/>
                <w:szCs w:val="24"/>
                <w:lang w:eastAsia="en-IN"/>
              </w:rPr>
            </w:pPr>
            <w:r w:rsidRPr="00BA1C8E">
              <w:rPr>
                <w:rFonts w:ascii="Times New Roman" w:hAnsi="Times New Roman" w:cs="Times New Roman"/>
                <w:szCs w:val="24"/>
                <w:lang w:eastAsia="en-IN"/>
              </w:rPr>
              <w:t>Assam</w:t>
            </w:r>
          </w:p>
        </w:tc>
        <w:tc>
          <w:tcPr>
            <w:tcW w:w="1117" w:type="dxa"/>
            <w:tcBorders>
              <w:top w:val="nil"/>
              <w:left w:val="nil"/>
              <w:bottom w:val="single" w:sz="4" w:space="0" w:color="auto"/>
              <w:right w:val="single" w:sz="4" w:space="0" w:color="auto"/>
            </w:tcBorders>
            <w:noWrap/>
            <w:vAlign w:val="center"/>
            <w:hideMark/>
          </w:tcPr>
          <w:p w14:paraId="05B8B93D" w14:textId="77777777" w:rsidR="00E51E56" w:rsidRPr="00BA1C8E" w:rsidRDefault="00E51E56" w:rsidP="00BA1C8E">
            <w:pPr>
              <w:pStyle w:val="NoSpacing"/>
              <w:jc w:val="center"/>
              <w:rPr>
                <w:rFonts w:ascii="Times New Roman" w:hAnsi="Times New Roman" w:cs="Times New Roman"/>
                <w:szCs w:val="24"/>
                <w:lang w:eastAsia="en-IN"/>
              </w:rPr>
            </w:pPr>
            <w:r w:rsidRPr="00BA1C8E">
              <w:rPr>
                <w:rFonts w:ascii="Times New Roman" w:hAnsi="Times New Roman" w:cs="Times New Roman"/>
                <w:szCs w:val="24"/>
                <w:lang w:eastAsia="en-IN"/>
              </w:rPr>
              <w:t>1.16</w:t>
            </w:r>
          </w:p>
        </w:tc>
        <w:tc>
          <w:tcPr>
            <w:tcW w:w="2319" w:type="dxa"/>
            <w:tcBorders>
              <w:top w:val="nil"/>
              <w:left w:val="nil"/>
              <w:bottom w:val="single" w:sz="4" w:space="0" w:color="auto"/>
              <w:right w:val="single" w:sz="4" w:space="0" w:color="auto"/>
            </w:tcBorders>
            <w:noWrap/>
            <w:vAlign w:val="center"/>
            <w:hideMark/>
          </w:tcPr>
          <w:p w14:paraId="1AA71E06" w14:textId="77777777" w:rsidR="00E51E56" w:rsidRPr="00BA1C8E" w:rsidRDefault="00E51E56" w:rsidP="00BA1C8E">
            <w:pPr>
              <w:pStyle w:val="NoSpacing"/>
              <w:jc w:val="center"/>
              <w:rPr>
                <w:rFonts w:ascii="Times New Roman" w:hAnsi="Times New Roman" w:cs="Times New Roman"/>
                <w:szCs w:val="24"/>
                <w:lang w:eastAsia="en-IN"/>
              </w:rPr>
            </w:pPr>
            <w:r w:rsidRPr="00BA1C8E">
              <w:rPr>
                <w:rFonts w:ascii="Times New Roman" w:hAnsi="Times New Roman" w:cs="Times New Roman"/>
                <w:szCs w:val="24"/>
                <w:lang w:eastAsia="en-IN"/>
              </w:rPr>
              <w:t>2.21</w:t>
            </w:r>
          </w:p>
        </w:tc>
        <w:tc>
          <w:tcPr>
            <w:tcW w:w="1622" w:type="dxa"/>
            <w:tcBorders>
              <w:top w:val="nil"/>
              <w:left w:val="nil"/>
              <w:bottom w:val="single" w:sz="4" w:space="0" w:color="auto"/>
              <w:right w:val="single" w:sz="4" w:space="0" w:color="auto"/>
            </w:tcBorders>
            <w:noWrap/>
            <w:vAlign w:val="center"/>
            <w:hideMark/>
          </w:tcPr>
          <w:p w14:paraId="18377CE3" w14:textId="77777777" w:rsidR="00E51E56" w:rsidRPr="00BA1C8E" w:rsidRDefault="00E51E56" w:rsidP="00BA1C8E">
            <w:pPr>
              <w:pStyle w:val="NoSpacing"/>
              <w:jc w:val="center"/>
              <w:rPr>
                <w:rFonts w:ascii="Times New Roman" w:hAnsi="Times New Roman" w:cs="Times New Roman"/>
                <w:szCs w:val="24"/>
                <w:lang w:eastAsia="en-IN"/>
              </w:rPr>
            </w:pPr>
            <w:r w:rsidRPr="00BA1C8E">
              <w:rPr>
                <w:rFonts w:ascii="Times New Roman" w:hAnsi="Times New Roman" w:cs="Times New Roman"/>
                <w:szCs w:val="24"/>
                <w:lang w:eastAsia="en-IN"/>
              </w:rPr>
              <w:t>0.53</w:t>
            </w:r>
          </w:p>
        </w:tc>
        <w:tc>
          <w:tcPr>
            <w:tcW w:w="2064" w:type="dxa"/>
            <w:tcBorders>
              <w:top w:val="nil"/>
              <w:left w:val="nil"/>
              <w:bottom w:val="single" w:sz="4" w:space="0" w:color="auto"/>
              <w:right w:val="single" w:sz="4" w:space="0" w:color="auto"/>
            </w:tcBorders>
            <w:noWrap/>
            <w:vAlign w:val="center"/>
            <w:hideMark/>
          </w:tcPr>
          <w:p w14:paraId="23BEC67D" w14:textId="77777777" w:rsidR="00E51E56" w:rsidRPr="00BA1C8E" w:rsidRDefault="00E51E56" w:rsidP="00BA1C8E">
            <w:pPr>
              <w:pStyle w:val="NoSpacing"/>
              <w:jc w:val="center"/>
              <w:rPr>
                <w:rFonts w:ascii="Times New Roman" w:hAnsi="Times New Roman" w:cs="Times New Roman"/>
                <w:szCs w:val="24"/>
                <w:lang w:eastAsia="en-IN"/>
              </w:rPr>
            </w:pPr>
            <w:r w:rsidRPr="00BA1C8E">
              <w:rPr>
                <w:rFonts w:ascii="Times New Roman" w:hAnsi="Times New Roman" w:cs="Times New Roman"/>
                <w:szCs w:val="24"/>
                <w:lang w:eastAsia="en-IN"/>
              </w:rPr>
              <w:t>0.77</w:t>
            </w:r>
          </w:p>
        </w:tc>
        <w:tc>
          <w:tcPr>
            <w:tcW w:w="1327" w:type="dxa"/>
            <w:tcBorders>
              <w:top w:val="nil"/>
              <w:left w:val="nil"/>
              <w:bottom w:val="single" w:sz="4" w:space="0" w:color="auto"/>
              <w:right w:val="single" w:sz="4" w:space="0" w:color="auto"/>
            </w:tcBorders>
            <w:noWrap/>
            <w:vAlign w:val="center"/>
            <w:hideMark/>
          </w:tcPr>
          <w:p w14:paraId="68D181D3" w14:textId="77777777" w:rsidR="00E51E56" w:rsidRPr="00BA1C8E" w:rsidRDefault="00E51E56" w:rsidP="00BA1C8E">
            <w:pPr>
              <w:pStyle w:val="NoSpacing"/>
              <w:jc w:val="center"/>
              <w:rPr>
                <w:rFonts w:ascii="Times New Roman" w:hAnsi="Times New Roman" w:cs="Times New Roman"/>
                <w:szCs w:val="24"/>
                <w:lang w:eastAsia="en-IN"/>
              </w:rPr>
            </w:pPr>
            <w:r w:rsidRPr="00BA1C8E">
              <w:rPr>
                <w:rFonts w:ascii="Times New Roman" w:hAnsi="Times New Roman" w:cs="Times New Roman"/>
                <w:szCs w:val="24"/>
                <w:lang w:eastAsia="en-IN"/>
              </w:rPr>
              <w:t>1.33</w:t>
            </w:r>
          </w:p>
        </w:tc>
        <w:tc>
          <w:tcPr>
            <w:tcW w:w="1474" w:type="dxa"/>
            <w:tcBorders>
              <w:top w:val="nil"/>
              <w:left w:val="nil"/>
              <w:bottom w:val="single" w:sz="4" w:space="0" w:color="auto"/>
              <w:right w:val="single" w:sz="4" w:space="0" w:color="auto"/>
            </w:tcBorders>
            <w:noWrap/>
            <w:vAlign w:val="center"/>
            <w:hideMark/>
          </w:tcPr>
          <w:p w14:paraId="486E6261" w14:textId="77777777" w:rsidR="00E51E56" w:rsidRPr="00BA1C8E" w:rsidRDefault="00E51E56" w:rsidP="00BA1C8E">
            <w:pPr>
              <w:pStyle w:val="NoSpacing"/>
              <w:jc w:val="center"/>
              <w:rPr>
                <w:rFonts w:ascii="Times New Roman" w:hAnsi="Times New Roman" w:cs="Times New Roman"/>
                <w:szCs w:val="24"/>
                <w:lang w:eastAsia="en-IN"/>
              </w:rPr>
            </w:pPr>
            <w:r w:rsidRPr="00BA1C8E">
              <w:rPr>
                <w:rFonts w:ascii="Times New Roman" w:hAnsi="Times New Roman" w:cs="Times New Roman"/>
                <w:szCs w:val="24"/>
                <w:lang w:eastAsia="en-IN"/>
              </w:rPr>
              <w:t>4.35</w:t>
            </w:r>
          </w:p>
        </w:tc>
      </w:tr>
      <w:tr w:rsidR="00E51E56" w:rsidRPr="00BA1C8E" w14:paraId="7F5844F7" w14:textId="77777777" w:rsidTr="00BA1C8E">
        <w:trPr>
          <w:trHeight w:val="371"/>
        </w:trPr>
        <w:tc>
          <w:tcPr>
            <w:tcW w:w="1582" w:type="dxa"/>
            <w:tcBorders>
              <w:top w:val="nil"/>
              <w:left w:val="single" w:sz="4" w:space="0" w:color="auto"/>
              <w:bottom w:val="single" w:sz="4" w:space="0" w:color="auto"/>
              <w:right w:val="single" w:sz="4" w:space="0" w:color="auto"/>
            </w:tcBorders>
            <w:noWrap/>
            <w:vAlign w:val="bottom"/>
            <w:hideMark/>
          </w:tcPr>
          <w:p w14:paraId="7FE4D7FE" w14:textId="77777777" w:rsidR="00E51E56" w:rsidRPr="00BA1C8E" w:rsidRDefault="00E51E56" w:rsidP="00E51E56">
            <w:pPr>
              <w:pStyle w:val="NoSpacing"/>
              <w:rPr>
                <w:rFonts w:ascii="Times New Roman" w:hAnsi="Times New Roman" w:cs="Times New Roman"/>
                <w:szCs w:val="24"/>
                <w:lang w:eastAsia="en-IN"/>
              </w:rPr>
            </w:pPr>
            <w:r w:rsidRPr="00BA1C8E">
              <w:rPr>
                <w:rFonts w:ascii="Times New Roman" w:hAnsi="Times New Roman" w:cs="Times New Roman"/>
                <w:szCs w:val="24"/>
                <w:lang w:eastAsia="en-IN"/>
              </w:rPr>
              <w:t>Andhra Pradesh</w:t>
            </w:r>
          </w:p>
        </w:tc>
        <w:tc>
          <w:tcPr>
            <w:tcW w:w="1117" w:type="dxa"/>
            <w:tcBorders>
              <w:top w:val="nil"/>
              <w:left w:val="nil"/>
              <w:bottom w:val="single" w:sz="4" w:space="0" w:color="auto"/>
              <w:right w:val="single" w:sz="4" w:space="0" w:color="auto"/>
            </w:tcBorders>
            <w:noWrap/>
            <w:vAlign w:val="center"/>
            <w:hideMark/>
          </w:tcPr>
          <w:p w14:paraId="093F39F1" w14:textId="77777777" w:rsidR="00E51E56" w:rsidRPr="00BA1C8E" w:rsidRDefault="00E51E56" w:rsidP="00BA1C8E">
            <w:pPr>
              <w:pStyle w:val="NoSpacing"/>
              <w:jc w:val="center"/>
              <w:rPr>
                <w:rFonts w:ascii="Times New Roman" w:hAnsi="Times New Roman" w:cs="Times New Roman"/>
                <w:szCs w:val="24"/>
                <w:lang w:eastAsia="en-IN"/>
              </w:rPr>
            </w:pPr>
            <w:r w:rsidRPr="00BA1C8E">
              <w:rPr>
                <w:rFonts w:ascii="Times New Roman" w:hAnsi="Times New Roman" w:cs="Times New Roman"/>
                <w:szCs w:val="24"/>
                <w:lang w:eastAsia="en-IN"/>
              </w:rPr>
              <w:t>0.51</w:t>
            </w:r>
          </w:p>
        </w:tc>
        <w:tc>
          <w:tcPr>
            <w:tcW w:w="2319" w:type="dxa"/>
            <w:tcBorders>
              <w:top w:val="nil"/>
              <w:left w:val="nil"/>
              <w:bottom w:val="single" w:sz="4" w:space="0" w:color="auto"/>
              <w:right w:val="single" w:sz="4" w:space="0" w:color="auto"/>
            </w:tcBorders>
            <w:noWrap/>
            <w:vAlign w:val="center"/>
            <w:hideMark/>
          </w:tcPr>
          <w:p w14:paraId="599E8008" w14:textId="77777777" w:rsidR="00E51E56" w:rsidRPr="00BA1C8E" w:rsidRDefault="00E51E56" w:rsidP="00BA1C8E">
            <w:pPr>
              <w:pStyle w:val="NoSpacing"/>
              <w:jc w:val="center"/>
              <w:rPr>
                <w:rFonts w:ascii="Times New Roman" w:hAnsi="Times New Roman" w:cs="Times New Roman"/>
                <w:szCs w:val="24"/>
                <w:lang w:eastAsia="en-IN"/>
              </w:rPr>
            </w:pPr>
            <w:r w:rsidRPr="00BA1C8E">
              <w:rPr>
                <w:rFonts w:ascii="Times New Roman" w:hAnsi="Times New Roman" w:cs="Times New Roman"/>
                <w:szCs w:val="24"/>
                <w:lang w:eastAsia="en-IN"/>
              </w:rPr>
              <w:t>0.95</w:t>
            </w:r>
          </w:p>
        </w:tc>
        <w:tc>
          <w:tcPr>
            <w:tcW w:w="1622" w:type="dxa"/>
            <w:tcBorders>
              <w:top w:val="nil"/>
              <w:left w:val="nil"/>
              <w:bottom w:val="single" w:sz="4" w:space="0" w:color="auto"/>
              <w:right w:val="single" w:sz="4" w:space="0" w:color="auto"/>
            </w:tcBorders>
            <w:noWrap/>
            <w:vAlign w:val="center"/>
            <w:hideMark/>
          </w:tcPr>
          <w:p w14:paraId="30A29690" w14:textId="77777777" w:rsidR="00E51E56" w:rsidRPr="00BA1C8E" w:rsidRDefault="00E51E56" w:rsidP="00BA1C8E">
            <w:pPr>
              <w:pStyle w:val="NoSpacing"/>
              <w:jc w:val="center"/>
              <w:rPr>
                <w:rFonts w:ascii="Times New Roman" w:hAnsi="Times New Roman" w:cs="Times New Roman"/>
                <w:szCs w:val="24"/>
                <w:lang w:eastAsia="en-IN"/>
              </w:rPr>
            </w:pPr>
            <w:r w:rsidRPr="00BA1C8E">
              <w:rPr>
                <w:rFonts w:ascii="Times New Roman" w:hAnsi="Times New Roman" w:cs="Times New Roman"/>
                <w:szCs w:val="24"/>
                <w:lang w:eastAsia="en-IN"/>
              </w:rPr>
              <w:t>1.03</w:t>
            </w:r>
          </w:p>
        </w:tc>
        <w:tc>
          <w:tcPr>
            <w:tcW w:w="2064" w:type="dxa"/>
            <w:tcBorders>
              <w:top w:val="nil"/>
              <w:left w:val="nil"/>
              <w:bottom w:val="single" w:sz="4" w:space="0" w:color="auto"/>
              <w:right w:val="single" w:sz="4" w:space="0" w:color="auto"/>
            </w:tcBorders>
            <w:noWrap/>
            <w:vAlign w:val="center"/>
            <w:hideMark/>
          </w:tcPr>
          <w:p w14:paraId="6876DC1D" w14:textId="77777777" w:rsidR="00E51E56" w:rsidRPr="00BA1C8E" w:rsidRDefault="00E51E56" w:rsidP="00BA1C8E">
            <w:pPr>
              <w:pStyle w:val="NoSpacing"/>
              <w:jc w:val="center"/>
              <w:rPr>
                <w:rFonts w:ascii="Times New Roman" w:hAnsi="Times New Roman" w:cs="Times New Roman"/>
                <w:szCs w:val="24"/>
                <w:lang w:eastAsia="en-IN"/>
              </w:rPr>
            </w:pPr>
            <w:r w:rsidRPr="00BA1C8E">
              <w:rPr>
                <w:rFonts w:ascii="Times New Roman" w:hAnsi="Times New Roman" w:cs="Times New Roman"/>
                <w:szCs w:val="24"/>
                <w:lang w:eastAsia="en-IN"/>
              </w:rPr>
              <w:t>0.77</w:t>
            </w:r>
          </w:p>
        </w:tc>
        <w:tc>
          <w:tcPr>
            <w:tcW w:w="1327" w:type="dxa"/>
            <w:tcBorders>
              <w:top w:val="nil"/>
              <w:left w:val="nil"/>
              <w:bottom w:val="single" w:sz="4" w:space="0" w:color="auto"/>
              <w:right w:val="single" w:sz="4" w:space="0" w:color="auto"/>
            </w:tcBorders>
            <w:noWrap/>
            <w:vAlign w:val="center"/>
            <w:hideMark/>
          </w:tcPr>
          <w:p w14:paraId="32E74184" w14:textId="77777777" w:rsidR="00E51E56" w:rsidRPr="00BA1C8E" w:rsidRDefault="00E51E56" w:rsidP="00BA1C8E">
            <w:pPr>
              <w:pStyle w:val="NoSpacing"/>
              <w:jc w:val="center"/>
              <w:rPr>
                <w:rFonts w:ascii="Times New Roman" w:hAnsi="Times New Roman" w:cs="Times New Roman"/>
                <w:szCs w:val="24"/>
                <w:lang w:eastAsia="en-IN"/>
              </w:rPr>
            </w:pPr>
            <w:r w:rsidRPr="00BA1C8E">
              <w:rPr>
                <w:rFonts w:ascii="Times New Roman" w:hAnsi="Times New Roman" w:cs="Times New Roman"/>
                <w:szCs w:val="24"/>
                <w:lang w:eastAsia="en-IN"/>
              </w:rPr>
              <w:t>1.78</w:t>
            </w:r>
          </w:p>
        </w:tc>
        <w:tc>
          <w:tcPr>
            <w:tcW w:w="1474" w:type="dxa"/>
            <w:tcBorders>
              <w:top w:val="nil"/>
              <w:left w:val="nil"/>
              <w:bottom w:val="single" w:sz="4" w:space="0" w:color="auto"/>
              <w:right w:val="single" w:sz="4" w:space="0" w:color="auto"/>
            </w:tcBorders>
            <w:noWrap/>
            <w:vAlign w:val="center"/>
            <w:hideMark/>
          </w:tcPr>
          <w:p w14:paraId="6CC93DE4" w14:textId="6457A77D" w:rsidR="00E51E56" w:rsidRPr="00BA1C8E" w:rsidRDefault="00E51E56" w:rsidP="00BA1C8E">
            <w:pPr>
              <w:pStyle w:val="NoSpacing"/>
              <w:jc w:val="center"/>
              <w:rPr>
                <w:rFonts w:ascii="Times New Roman" w:hAnsi="Times New Roman" w:cs="Times New Roman"/>
                <w:szCs w:val="24"/>
                <w:lang w:eastAsia="en-IN"/>
              </w:rPr>
            </w:pPr>
            <w:r w:rsidRPr="00BA1C8E">
              <w:rPr>
                <w:rFonts w:ascii="Times New Roman" w:hAnsi="Times New Roman" w:cs="Times New Roman"/>
                <w:szCs w:val="24"/>
                <w:lang w:eastAsia="en-IN"/>
              </w:rPr>
              <w:t>5.1</w:t>
            </w:r>
            <w:r w:rsidR="00F54B5C">
              <w:rPr>
                <w:rFonts w:ascii="Times New Roman" w:hAnsi="Times New Roman" w:cs="Times New Roman"/>
                <w:szCs w:val="24"/>
                <w:lang w:eastAsia="en-IN"/>
              </w:rPr>
              <w:t>0</w:t>
            </w:r>
          </w:p>
        </w:tc>
      </w:tr>
      <w:tr w:rsidR="00E51E56" w:rsidRPr="00BA1C8E" w14:paraId="72F04CFF" w14:textId="77777777" w:rsidTr="00BA1C8E">
        <w:trPr>
          <w:trHeight w:val="371"/>
        </w:trPr>
        <w:tc>
          <w:tcPr>
            <w:tcW w:w="1582" w:type="dxa"/>
            <w:tcBorders>
              <w:top w:val="nil"/>
              <w:left w:val="single" w:sz="4" w:space="0" w:color="auto"/>
              <w:bottom w:val="single" w:sz="4" w:space="0" w:color="auto"/>
              <w:right w:val="single" w:sz="4" w:space="0" w:color="auto"/>
            </w:tcBorders>
            <w:noWrap/>
            <w:vAlign w:val="bottom"/>
            <w:hideMark/>
          </w:tcPr>
          <w:p w14:paraId="785AC2B8" w14:textId="77777777" w:rsidR="00E51E56" w:rsidRPr="00BA1C8E" w:rsidRDefault="00E51E56" w:rsidP="00E51E56">
            <w:pPr>
              <w:pStyle w:val="NoSpacing"/>
              <w:rPr>
                <w:rFonts w:ascii="Times New Roman" w:hAnsi="Times New Roman" w:cs="Times New Roman"/>
                <w:szCs w:val="24"/>
                <w:lang w:eastAsia="en-IN"/>
              </w:rPr>
            </w:pPr>
            <w:r w:rsidRPr="00BA1C8E">
              <w:rPr>
                <w:rFonts w:ascii="Times New Roman" w:hAnsi="Times New Roman" w:cs="Times New Roman"/>
                <w:szCs w:val="24"/>
                <w:lang w:eastAsia="en-IN"/>
              </w:rPr>
              <w:t>Mysore</w:t>
            </w:r>
          </w:p>
        </w:tc>
        <w:tc>
          <w:tcPr>
            <w:tcW w:w="1117" w:type="dxa"/>
            <w:tcBorders>
              <w:top w:val="nil"/>
              <w:left w:val="nil"/>
              <w:bottom w:val="single" w:sz="4" w:space="0" w:color="auto"/>
              <w:right w:val="single" w:sz="4" w:space="0" w:color="auto"/>
            </w:tcBorders>
            <w:noWrap/>
            <w:vAlign w:val="center"/>
            <w:hideMark/>
          </w:tcPr>
          <w:p w14:paraId="4CED0AF3" w14:textId="77777777" w:rsidR="00E51E56" w:rsidRPr="00BA1C8E" w:rsidRDefault="00E51E56" w:rsidP="00BA1C8E">
            <w:pPr>
              <w:pStyle w:val="NoSpacing"/>
              <w:jc w:val="center"/>
              <w:rPr>
                <w:rFonts w:ascii="Times New Roman" w:hAnsi="Times New Roman" w:cs="Times New Roman"/>
                <w:szCs w:val="24"/>
                <w:lang w:eastAsia="en-IN"/>
              </w:rPr>
            </w:pPr>
            <w:r w:rsidRPr="00BA1C8E">
              <w:rPr>
                <w:rFonts w:ascii="Times New Roman" w:hAnsi="Times New Roman" w:cs="Times New Roman"/>
                <w:szCs w:val="24"/>
                <w:lang w:eastAsia="en-IN"/>
              </w:rPr>
              <w:t>0.91</w:t>
            </w:r>
          </w:p>
        </w:tc>
        <w:tc>
          <w:tcPr>
            <w:tcW w:w="2319" w:type="dxa"/>
            <w:tcBorders>
              <w:top w:val="nil"/>
              <w:left w:val="nil"/>
              <w:bottom w:val="single" w:sz="4" w:space="0" w:color="auto"/>
              <w:right w:val="single" w:sz="4" w:space="0" w:color="auto"/>
            </w:tcBorders>
            <w:noWrap/>
            <w:vAlign w:val="center"/>
            <w:hideMark/>
          </w:tcPr>
          <w:p w14:paraId="3CC9DABA" w14:textId="77777777" w:rsidR="00E51E56" w:rsidRPr="00BA1C8E" w:rsidRDefault="00E51E56" w:rsidP="00BA1C8E">
            <w:pPr>
              <w:pStyle w:val="NoSpacing"/>
              <w:jc w:val="center"/>
              <w:rPr>
                <w:rFonts w:ascii="Times New Roman" w:hAnsi="Times New Roman" w:cs="Times New Roman"/>
                <w:szCs w:val="24"/>
                <w:lang w:eastAsia="en-IN"/>
              </w:rPr>
            </w:pPr>
            <w:r w:rsidRPr="00BA1C8E">
              <w:rPr>
                <w:rFonts w:ascii="Times New Roman" w:hAnsi="Times New Roman" w:cs="Times New Roman"/>
                <w:szCs w:val="24"/>
                <w:lang w:eastAsia="en-IN"/>
              </w:rPr>
              <w:t>1.89</w:t>
            </w:r>
          </w:p>
        </w:tc>
        <w:tc>
          <w:tcPr>
            <w:tcW w:w="1622" w:type="dxa"/>
            <w:tcBorders>
              <w:top w:val="nil"/>
              <w:left w:val="nil"/>
              <w:bottom w:val="single" w:sz="4" w:space="0" w:color="auto"/>
              <w:right w:val="single" w:sz="4" w:space="0" w:color="auto"/>
            </w:tcBorders>
            <w:noWrap/>
            <w:vAlign w:val="center"/>
            <w:hideMark/>
          </w:tcPr>
          <w:p w14:paraId="26D8F23B" w14:textId="11C161F8" w:rsidR="00E51E56" w:rsidRPr="00BA1C8E" w:rsidRDefault="00E51E56" w:rsidP="00BA1C8E">
            <w:pPr>
              <w:pStyle w:val="NoSpacing"/>
              <w:jc w:val="center"/>
              <w:rPr>
                <w:rFonts w:ascii="Times New Roman" w:hAnsi="Times New Roman" w:cs="Times New Roman"/>
                <w:szCs w:val="24"/>
                <w:lang w:eastAsia="en-IN"/>
              </w:rPr>
            </w:pPr>
            <w:r w:rsidRPr="00BA1C8E">
              <w:rPr>
                <w:rFonts w:ascii="Times New Roman" w:hAnsi="Times New Roman" w:cs="Times New Roman"/>
                <w:szCs w:val="24"/>
                <w:lang w:eastAsia="en-IN"/>
              </w:rPr>
              <w:t>0.7</w:t>
            </w:r>
            <w:r w:rsidR="00F54B5C">
              <w:rPr>
                <w:rFonts w:ascii="Times New Roman" w:hAnsi="Times New Roman" w:cs="Times New Roman"/>
                <w:szCs w:val="24"/>
                <w:lang w:eastAsia="en-IN"/>
              </w:rPr>
              <w:t>0</w:t>
            </w:r>
          </w:p>
        </w:tc>
        <w:tc>
          <w:tcPr>
            <w:tcW w:w="2064" w:type="dxa"/>
            <w:tcBorders>
              <w:top w:val="nil"/>
              <w:left w:val="nil"/>
              <w:bottom w:val="single" w:sz="4" w:space="0" w:color="auto"/>
              <w:right w:val="single" w:sz="4" w:space="0" w:color="auto"/>
            </w:tcBorders>
            <w:noWrap/>
            <w:vAlign w:val="center"/>
            <w:hideMark/>
          </w:tcPr>
          <w:p w14:paraId="6BD1810C" w14:textId="77777777" w:rsidR="00E51E56" w:rsidRPr="00BA1C8E" w:rsidRDefault="00E51E56" w:rsidP="00BA1C8E">
            <w:pPr>
              <w:pStyle w:val="NoSpacing"/>
              <w:jc w:val="center"/>
              <w:rPr>
                <w:rFonts w:ascii="Times New Roman" w:hAnsi="Times New Roman" w:cs="Times New Roman"/>
                <w:szCs w:val="24"/>
                <w:lang w:eastAsia="en-IN"/>
              </w:rPr>
            </w:pPr>
            <w:r w:rsidRPr="00BA1C8E">
              <w:rPr>
                <w:rFonts w:ascii="Times New Roman" w:hAnsi="Times New Roman" w:cs="Times New Roman"/>
                <w:szCs w:val="24"/>
                <w:lang w:eastAsia="en-IN"/>
              </w:rPr>
              <w:t>1.14</w:t>
            </w:r>
          </w:p>
        </w:tc>
        <w:tc>
          <w:tcPr>
            <w:tcW w:w="1327" w:type="dxa"/>
            <w:tcBorders>
              <w:top w:val="nil"/>
              <w:left w:val="nil"/>
              <w:bottom w:val="single" w:sz="4" w:space="0" w:color="auto"/>
              <w:right w:val="single" w:sz="4" w:space="0" w:color="auto"/>
            </w:tcBorders>
            <w:noWrap/>
            <w:vAlign w:val="center"/>
            <w:hideMark/>
          </w:tcPr>
          <w:p w14:paraId="5F508B5D" w14:textId="77777777" w:rsidR="00E51E56" w:rsidRPr="00BA1C8E" w:rsidRDefault="00E51E56" w:rsidP="00BA1C8E">
            <w:pPr>
              <w:pStyle w:val="NoSpacing"/>
              <w:jc w:val="center"/>
              <w:rPr>
                <w:rFonts w:ascii="Times New Roman" w:hAnsi="Times New Roman" w:cs="Times New Roman"/>
                <w:szCs w:val="24"/>
                <w:lang w:eastAsia="en-IN"/>
              </w:rPr>
            </w:pPr>
            <w:r w:rsidRPr="00BA1C8E">
              <w:rPr>
                <w:rFonts w:ascii="Times New Roman" w:hAnsi="Times New Roman" w:cs="Times New Roman"/>
                <w:szCs w:val="24"/>
                <w:lang w:eastAsia="en-IN"/>
              </w:rPr>
              <w:t>2.69</w:t>
            </w:r>
          </w:p>
        </w:tc>
        <w:tc>
          <w:tcPr>
            <w:tcW w:w="1474" w:type="dxa"/>
            <w:tcBorders>
              <w:top w:val="nil"/>
              <w:left w:val="nil"/>
              <w:bottom w:val="single" w:sz="4" w:space="0" w:color="auto"/>
              <w:right w:val="single" w:sz="4" w:space="0" w:color="auto"/>
            </w:tcBorders>
            <w:noWrap/>
            <w:vAlign w:val="center"/>
            <w:hideMark/>
          </w:tcPr>
          <w:p w14:paraId="2FFF5F1B" w14:textId="77777777" w:rsidR="00E51E56" w:rsidRPr="00BA1C8E" w:rsidRDefault="00E51E56" w:rsidP="00BA1C8E">
            <w:pPr>
              <w:pStyle w:val="NoSpacing"/>
              <w:jc w:val="center"/>
              <w:rPr>
                <w:rFonts w:ascii="Times New Roman" w:hAnsi="Times New Roman" w:cs="Times New Roman"/>
                <w:szCs w:val="24"/>
                <w:lang w:eastAsia="en-IN"/>
              </w:rPr>
            </w:pPr>
            <w:r w:rsidRPr="00BA1C8E">
              <w:rPr>
                <w:rFonts w:ascii="Times New Roman" w:hAnsi="Times New Roman" w:cs="Times New Roman"/>
                <w:szCs w:val="24"/>
                <w:lang w:eastAsia="en-IN"/>
              </w:rPr>
              <w:t>6.24</w:t>
            </w:r>
          </w:p>
        </w:tc>
      </w:tr>
      <w:tr w:rsidR="00E51E56" w:rsidRPr="00BA1C8E" w14:paraId="686C2994" w14:textId="77777777" w:rsidTr="00BA1C8E">
        <w:trPr>
          <w:trHeight w:val="371"/>
        </w:trPr>
        <w:tc>
          <w:tcPr>
            <w:tcW w:w="1582" w:type="dxa"/>
            <w:tcBorders>
              <w:top w:val="nil"/>
              <w:left w:val="single" w:sz="4" w:space="0" w:color="auto"/>
              <w:bottom w:val="single" w:sz="4" w:space="0" w:color="auto"/>
              <w:right w:val="single" w:sz="4" w:space="0" w:color="auto"/>
            </w:tcBorders>
            <w:noWrap/>
            <w:vAlign w:val="bottom"/>
            <w:hideMark/>
          </w:tcPr>
          <w:p w14:paraId="07C6C9B4" w14:textId="77777777" w:rsidR="00E51E56" w:rsidRPr="00BA1C8E" w:rsidRDefault="00E51E56" w:rsidP="00E51E56">
            <w:pPr>
              <w:pStyle w:val="NoSpacing"/>
              <w:rPr>
                <w:rFonts w:ascii="Times New Roman" w:hAnsi="Times New Roman" w:cs="Times New Roman"/>
                <w:szCs w:val="24"/>
                <w:lang w:eastAsia="en-IN"/>
              </w:rPr>
            </w:pPr>
            <w:r w:rsidRPr="00BA1C8E">
              <w:rPr>
                <w:rFonts w:ascii="Times New Roman" w:hAnsi="Times New Roman" w:cs="Times New Roman"/>
                <w:szCs w:val="24"/>
                <w:lang w:eastAsia="en-IN"/>
              </w:rPr>
              <w:t>Kerala</w:t>
            </w:r>
          </w:p>
        </w:tc>
        <w:tc>
          <w:tcPr>
            <w:tcW w:w="1117" w:type="dxa"/>
            <w:tcBorders>
              <w:top w:val="nil"/>
              <w:left w:val="nil"/>
              <w:bottom w:val="single" w:sz="4" w:space="0" w:color="auto"/>
              <w:right w:val="single" w:sz="4" w:space="0" w:color="auto"/>
            </w:tcBorders>
            <w:noWrap/>
            <w:vAlign w:val="center"/>
            <w:hideMark/>
          </w:tcPr>
          <w:p w14:paraId="7034A3A1" w14:textId="77777777" w:rsidR="00E51E56" w:rsidRPr="00BA1C8E" w:rsidRDefault="00E51E56" w:rsidP="00BA1C8E">
            <w:pPr>
              <w:pStyle w:val="NoSpacing"/>
              <w:jc w:val="center"/>
              <w:rPr>
                <w:rFonts w:ascii="Times New Roman" w:hAnsi="Times New Roman" w:cs="Times New Roman"/>
                <w:szCs w:val="24"/>
                <w:lang w:eastAsia="en-IN"/>
              </w:rPr>
            </w:pPr>
            <w:r w:rsidRPr="00BA1C8E">
              <w:rPr>
                <w:rFonts w:ascii="Times New Roman" w:hAnsi="Times New Roman" w:cs="Times New Roman"/>
                <w:szCs w:val="24"/>
                <w:lang w:eastAsia="en-IN"/>
              </w:rPr>
              <w:t>0.77</w:t>
            </w:r>
          </w:p>
        </w:tc>
        <w:tc>
          <w:tcPr>
            <w:tcW w:w="2319" w:type="dxa"/>
            <w:tcBorders>
              <w:top w:val="nil"/>
              <w:left w:val="nil"/>
              <w:bottom w:val="single" w:sz="4" w:space="0" w:color="auto"/>
              <w:right w:val="single" w:sz="4" w:space="0" w:color="auto"/>
            </w:tcBorders>
            <w:noWrap/>
            <w:vAlign w:val="center"/>
            <w:hideMark/>
          </w:tcPr>
          <w:p w14:paraId="2E763BE5" w14:textId="77777777" w:rsidR="00E51E56" w:rsidRPr="00BA1C8E" w:rsidRDefault="00E51E56" w:rsidP="00BA1C8E">
            <w:pPr>
              <w:pStyle w:val="NoSpacing"/>
              <w:jc w:val="center"/>
              <w:rPr>
                <w:rFonts w:ascii="Times New Roman" w:hAnsi="Times New Roman" w:cs="Times New Roman"/>
                <w:szCs w:val="24"/>
                <w:lang w:eastAsia="en-IN"/>
              </w:rPr>
            </w:pPr>
            <w:r w:rsidRPr="00BA1C8E">
              <w:rPr>
                <w:rFonts w:ascii="Times New Roman" w:hAnsi="Times New Roman" w:cs="Times New Roman"/>
                <w:szCs w:val="24"/>
                <w:lang w:eastAsia="en-IN"/>
              </w:rPr>
              <w:t>1.76</w:t>
            </w:r>
          </w:p>
        </w:tc>
        <w:tc>
          <w:tcPr>
            <w:tcW w:w="1622" w:type="dxa"/>
            <w:tcBorders>
              <w:top w:val="nil"/>
              <w:left w:val="nil"/>
              <w:bottom w:val="single" w:sz="4" w:space="0" w:color="auto"/>
              <w:right w:val="single" w:sz="4" w:space="0" w:color="auto"/>
            </w:tcBorders>
            <w:noWrap/>
            <w:vAlign w:val="center"/>
            <w:hideMark/>
          </w:tcPr>
          <w:p w14:paraId="08E482F5" w14:textId="77777777" w:rsidR="00E51E56" w:rsidRPr="00BA1C8E" w:rsidRDefault="00E51E56" w:rsidP="00BA1C8E">
            <w:pPr>
              <w:pStyle w:val="NoSpacing"/>
              <w:jc w:val="center"/>
              <w:rPr>
                <w:rFonts w:ascii="Times New Roman" w:hAnsi="Times New Roman" w:cs="Times New Roman"/>
                <w:szCs w:val="24"/>
                <w:lang w:eastAsia="en-IN"/>
              </w:rPr>
            </w:pPr>
            <w:r w:rsidRPr="00BA1C8E">
              <w:rPr>
                <w:rFonts w:ascii="Times New Roman" w:hAnsi="Times New Roman" w:cs="Times New Roman"/>
                <w:szCs w:val="24"/>
                <w:lang w:eastAsia="en-IN"/>
              </w:rPr>
              <w:t>1.39</w:t>
            </w:r>
          </w:p>
        </w:tc>
        <w:tc>
          <w:tcPr>
            <w:tcW w:w="2064" w:type="dxa"/>
            <w:tcBorders>
              <w:top w:val="nil"/>
              <w:left w:val="nil"/>
              <w:bottom w:val="single" w:sz="4" w:space="0" w:color="auto"/>
              <w:right w:val="single" w:sz="4" w:space="0" w:color="auto"/>
            </w:tcBorders>
            <w:noWrap/>
            <w:vAlign w:val="center"/>
            <w:hideMark/>
          </w:tcPr>
          <w:p w14:paraId="41809E69" w14:textId="77777777" w:rsidR="00E51E56" w:rsidRPr="00BA1C8E" w:rsidRDefault="00E51E56" w:rsidP="00BA1C8E">
            <w:pPr>
              <w:pStyle w:val="NoSpacing"/>
              <w:jc w:val="center"/>
              <w:rPr>
                <w:rFonts w:ascii="Times New Roman" w:hAnsi="Times New Roman" w:cs="Times New Roman"/>
                <w:szCs w:val="24"/>
                <w:lang w:eastAsia="en-IN"/>
              </w:rPr>
            </w:pPr>
            <w:r w:rsidRPr="00BA1C8E">
              <w:rPr>
                <w:rFonts w:ascii="Times New Roman" w:hAnsi="Times New Roman" w:cs="Times New Roman"/>
                <w:szCs w:val="24"/>
                <w:lang w:eastAsia="en-IN"/>
              </w:rPr>
              <w:t>1.41</w:t>
            </w:r>
          </w:p>
        </w:tc>
        <w:tc>
          <w:tcPr>
            <w:tcW w:w="1327" w:type="dxa"/>
            <w:tcBorders>
              <w:top w:val="nil"/>
              <w:left w:val="nil"/>
              <w:bottom w:val="single" w:sz="4" w:space="0" w:color="auto"/>
              <w:right w:val="single" w:sz="4" w:space="0" w:color="auto"/>
            </w:tcBorders>
            <w:noWrap/>
            <w:vAlign w:val="center"/>
            <w:hideMark/>
          </w:tcPr>
          <w:p w14:paraId="7E49FED4" w14:textId="77777777" w:rsidR="00E51E56" w:rsidRPr="00BA1C8E" w:rsidRDefault="00E51E56" w:rsidP="00BA1C8E">
            <w:pPr>
              <w:pStyle w:val="NoSpacing"/>
              <w:jc w:val="center"/>
              <w:rPr>
                <w:rFonts w:ascii="Times New Roman" w:hAnsi="Times New Roman" w:cs="Times New Roman"/>
                <w:szCs w:val="24"/>
                <w:lang w:eastAsia="en-IN"/>
              </w:rPr>
            </w:pPr>
            <w:r w:rsidRPr="00BA1C8E">
              <w:rPr>
                <w:rFonts w:ascii="Times New Roman" w:hAnsi="Times New Roman" w:cs="Times New Roman"/>
                <w:szCs w:val="24"/>
                <w:lang w:eastAsia="en-IN"/>
              </w:rPr>
              <w:t>3.05</w:t>
            </w:r>
          </w:p>
        </w:tc>
        <w:tc>
          <w:tcPr>
            <w:tcW w:w="1474" w:type="dxa"/>
            <w:tcBorders>
              <w:top w:val="nil"/>
              <w:left w:val="nil"/>
              <w:bottom w:val="single" w:sz="4" w:space="0" w:color="auto"/>
              <w:right w:val="single" w:sz="4" w:space="0" w:color="auto"/>
            </w:tcBorders>
            <w:noWrap/>
            <w:vAlign w:val="center"/>
            <w:hideMark/>
          </w:tcPr>
          <w:p w14:paraId="77C1FF4D" w14:textId="77777777" w:rsidR="00E51E56" w:rsidRPr="00BA1C8E" w:rsidRDefault="00E51E56" w:rsidP="00BA1C8E">
            <w:pPr>
              <w:pStyle w:val="NoSpacing"/>
              <w:jc w:val="center"/>
              <w:rPr>
                <w:rFonts w:ascii="Times New Roman" w:hAnsi="Times New Roman" w:cs="Times New Roman"/>
                <w:szCs w:val="24"/>
                <w:lang w:eastAsia="en-IN"/>
              </w:rPr>
            </w:pPr>
            <w:r w:rsidRPr="00BA1C8E">
              <w:rPr>
                <w:rFonts w:ascii="Times New Roman" w:hAnsi="Times New Roman" w:cs="Times New Roman"/>
                <w:szCs w:val="24"/>
                <w:lang w:eastAsia="en-IN"/>
              </w:rPr>
              <w:t>8.05</w:t>
            </w:r>
          </w:p>
        </w:tc>
      </w:tr>
      <w:tr w:rsidR="00E51E56" w:rsidRPr="00BA1C8E" w14:paraId="417ABC5A" w14:textId="77777777" w:rsidTr="00BA1C8E">
        <w:trPr>
          <w:trHeight w:val="371"/>
        </w:trPr>
        <w:tc>
          <w:tcPr>
            <w:tcW w:w="1582" w:type="dxa"/>
            <w:tcBorders>
              <w:top w:val="nil"/>
              <w:left w:val="single" w:sz="4" w:space="0" w:color="auto"/>
              <w:bottom w:val="single" w:sz="4" w:space="0" w:color="auto"/>
              <w:right w:val="single" w:sz="4" w:space="0" w:color="auto"/>
            </w:tcBorders>
            <w:noWrap/>
            <w:vAlign w:val="bottom"/>
            <w:hideMark/>
          </w:tcPr>
          <w:p w14:paraId="1883EF4E" w14:textId="77777777" w:rsidR="00E51E56" w:rsidRPr="00BA1C8E" w:rsidRDefault="00E51E56" w:rsidP="00E51E56">
            <w:pPr>
              <w:pStyle w:val="NoSpacing"/>
              <w:rPr>
                <w:rFonts w:ascii="Times New Roman" w:hAnsi="Times New Roman" w:cs="Times New Roman"/>
                <w:szCs w:val="24"/>
                <w:lang w:eastAsia="en-IN"/>
              </w:rPr>
            </w:pPr>
            <w:r w:rsidRPr="00BA1C8E">
              <w:rPr>
                <w:rFonts w:ascii="Times New Roman" w:hAnsi="Times New Roman" w:cs="Times New Roman"/>
                <w:szCs w:val="24"/>
                <w:lang w:eastAsia="en-IN"/>
              </w:rPr>
              <w:t>Madhya Pradesh</w:t>
            </w:r>
          </w:p>
        </w:tc>
        <w:tc>
          <w:tcPr>
            <w:tcW w:w="1117" w:type="dxa"/>
            <w:tcBorders>
              <w:top w:val="nil"/>
              <w:left w:val="nil"/>
              <w:bottom w:val="single" w:sz="4" w:space="0" w:color="auto"/>
              <w:right w:val="single" w:sz="4" w:space="0" w:color="auto"/>
            </w:tcBorders>
            <w:noWrap/>
            <w:vAlign w:val="center"/>
            <w:hideMark/>
          </w:tcPr>
          <w:p w14:paraId="18804354" w14:textId="77777777" w:rsidR="00E51E56" w:rsidRPr="00BA1C8E" w:rsidRDefault="00E51E56" w:rsidP="00BA1C8E">
            <w:pPr>
              <w:pStyle w:val="NoSpacing"/>
              <w:jc w:val="center"/>
              <w:rPr>
                <w:rFonts w:ascii="Times New Roman" w:hAnsi="Times New Roman" w:cs="Times New Roman"/>
                <w:szCs w:val="24"/>
                <w:lang w:eastAsia="en-IN"/>
              </w:rPr>
            </w:pPr>
            <w:r w:rsidRPr="00BA1C8E">
              <w:rPr>
                <w:rFonts w:ascii="Times New Roman" w:hAnsi="Times New Roman" w:cs="Times New Roman"/>
                <w:szCs w:val="24"/>
                <w:lang w:eastAsia="en-IN"/>
              </w:rPr>
              <w:t>0.6</w:t>
            </w:r>
          </w:p>
        </w:tc>
        <w:tc>
          <w:tcPr>
            <w:tcW w:w="2319" w:type="dxa"/>
            <w:tcBorders>
              <w:top w:val="nil"/>
              <w:left w:val="nil"/>
              <w:bottom w:val="single" w:sz="4" w:space="0" w:color="auto"/>
              <w:right w:val="single" w:sz="4" w:space="0" w:color="auto"/>
            </w:tcBorders>
            <w:noWrap/>
            <w:vAlign w:val="center"/>
            <w:hideMark/>
          </w:tcPr>
          <w:p w14:paraId="0BA3A5A4" w14:textId="77777777" w:rsidR="00E51E56" w:rsidRPr="00BA1C8E" w:rsidRDefault="00E51E56" w:rsidP="00BA1C8E">
            <w:pPr>
              <w:pStyle w:val="NoSpacing"/>
              <w:jc w:val="center"/>
              <w:rPr>
                <w:rFonts w:ascii="Times New Roman" w:hAnsi="Times New Roman" w:cs="Times New Roman"/>
                <w:szCs w:val="24"/>
                <w:lang w:eastAsia="en-IN"/>
              </w:rPr>
            </w:pPr>
            <w:r w:rsidRPr="00BA1C8E">
              <w:rPr>
                <w:rFonts w:ascii="Times New Roman" w:hAnsi="Times New Roman" w:cs="Times New Roman"/>
                <w:szCs w:val="24"/>
                <w:lang w:eastAsia="en-IN"/>
              </w:rPr>
              <w:t>1.16</w:t>
            </w:r>
          </w:p>
        </w:tc>
        <w:tc>
          <w:tcPr>
            <w:tcW w:w="1622" w:type="dxa"/>
            <w:tcBorders>
              <w:top w:val="nil"/>
              <w:left w:val="nil"/>
              <w:bottom w:val="single" w:sz="4" w:space="0" w:color="auto"/>
              <w:right w:val="single" w:sz="4" w:space="0" w:color="auto"/>
            </w:tcBorders>
            <w:noWrap/>
            <w:vAlign w:val="center"/>
            <w:hideMark/>
          </w:tcPr>
          <w:p w14:paraId="201639EE" w14:textId="77777777" w:rsidR="00E51E56" w:rsidRPr="00BA1C8E" w:rsidRDefault="00E51E56" w:rsidP="00BA1C8E">
            <w:pPr>
              <w:pStyle w:val="NoSpacing"/>
              <w:jc w:val="center"/>
              <w:rPr>
                <w:rFonts w:ascii="Times New Roman" w:hAnsi="Times New Roman" w:cs="Times New Roman"/>
                <w:szCs w:val="24"/>
                <w:lang w:eastAsia="en-IN"/>
              </w:rPr>
            </w:pPr>
            <w:r w:rsidRPr="00BA1C8E">
              <w:rPr>
                <w:rFonts w:ascii="Times New Roman" w:hAnsi="Times New Roman" w:cs="Times New Roman"/>
                <w:szCs w:val="24"/>
                <w:lang w:eastAsia="en-IN"/>
              </w:rPr>
              <w:t>0.97</w:t>
            </w:r>
          </w:p>
        </w:tc>
        <w:tc>
          <w:tcPr>
            <w:tcW w:w="2064" w:type="dxa"/>
            <w:tcBorders>
              <w:top w:val="nil"/>
              <w:left w:val="nil"/>
              <w:bottom w:val="single" w:sz="4" w:space="0" w:color="auto"/>
              <w:right w:val="single" w:sz="4" w:space="0" w:color="auto"/>
            </w:tcBorders>
            <w:noWrap/>
            <w:vAlign w:val="center"/>
            <w:hideMark/>
          </w:tcPr>
          <w:p w14:paraId="0FB91F87" w14:textId="77777777" w:rsidR="00E51E56" w:rsidRPr="00BA1C8E" w:rsidRDefault="00E51E56" w:rsidP="00BA1C8E">
            <w:pPr>
              <w:pStyle w:val="NoSpacing"/>
              <w:jc w:val="center"/>
              <w:rPr>
                <w:rFonts w:ascii="Times New Roman" w:hAnsi="Times New Roman" w:cs="Times New Roman"/>
                <w:szCs w:val="24"/>
                <w:lang w:eastAsia="en-IN"/>
              </w:rPr>
            </w:pPr>
            <w:r w:rsidRPr="00BA1C8E">
              <w:rPr>
                <w:rFonts w:ascii="Times New Roman" w:hAnsi="Times New Roman" w:cs="Times New Roman"/>
                <w:szCs w:val="24"/>
                <w:lang w:eastAsia="en-IN"/>
              </w:rPr>
              <w:t>0.68</w:t>
            </w:r>
          </w:p>
        </w:tc>
        <w:tc>
          <w:tcPr>
            <w:tcW w:w="1327" w:type="dxa"/>
            <w:tcBorders>
              <w:top w:val="nil"/>
              <w:left w:val="nil"/>
              <w:bottom w:val="single" w:sz="4" w:space="0" w:color="auto"/>
              <w:right w:val="single" w:sz="4" w:space="0" w:color="auto"/>
            </w:tcBorders>
            <w:noWrap/>
            <w:vAlign w:val="center"/>
            <w:hideMark/>
          </w:tcPr>
          <w:p w14:paraId="4BFB3D22" w14:textId="77777777" w:rsidR="00E51E56" w:rsidRPr="00BA1C8E" w:rsidRDefault="00E51E56" w:rsidP="00BA1C8E">
            <w:pPr>
              <w:pStyle w:val="NoSpacing"/>
              <w:jc w:val="center"/>
              <w:rPr>
                <w:rFonts w:ascii="Times New Roman" w:hAnsi="Times New Roman" w:cs="Times New Roman"/>
                <w:szCs w:val="24"/>
                <w:lang w:eastAsia="en-IN"/>
              </w:rPr>
            </w:pPr>
            <w:r w:rsidRPr="00BA1C8E">
              <w:rPr>
                <w:rFonts w:ascii="Times New Roman" w:hAnsi="Times New Roman" w:cs="Times New Roman"/>
                <w:szCs w:val="24"/>
                <w:lang w:eastAsia="en-IN"/>
              </w:rPr>
              <w:t>1.57</w:t>
            </w:r>
          </w:p>
        </w:tc>
        <w:tc>
          <w:tcPr>
            <w:tcW w:w="1474" w:type="dxa"/>
            <w:tcBorders>
              <w:top w:val="nil"/>
              <w:left w:val="nil"/>
              <w:bottom w:val="single" w:sz="4" w:space="0" w:color="auto"/>
              <w:right w:val="single" w:sz="4" w:space="0" w:color="auto"/>
            </w:tcBorders>
            <w:noWrap/>
            <w:vAlign w:val="center"/>
            <w:hideMark/>
          </w:tcPr>
          <w:p w14:paraId="006518F2" w14:textId="77777777" w:rsidR="00E51E56" w:rsidRPr="00BA1C8E" w:rsidRDefault="00E51E56" w:rsidP="00BA1C8E">
            <w:pPr>
              <w:pStyle w:val="NoSpacing"/>
              <w:jc w:val="center"/>
              <w:rPr>
                <w:rFonts w:ascii="Times New Roman" w:hAnsi="Times New Roman" w:cs="Times New Roman"/>
                <w:szCs w:val="24"/>
                <w:lang w:eastAsia="en-IN"/>
              </w:rPr>
            </w:pPr>
            <w:r w:rsidRPr="00BA1C8E">
              <w:rPr>
                <w:rFonts w:ascii="Times New Roman" w:hAnsi="Times New Roman" w:cs="Times New Roman"/>
                <w:szCs w:val="24"/>
                <w:lang w:eastAsia="en-IN"/>
              </w:rPr>
              <w:t>5.21</w:t>
            </w:r>
          </w:p>
        </w:tc>
      </w:tr>
      <w:tr w:rsidR="00E51E56" w:rsidRPr="00BA1C8E" w14:paraId="7C4ADAFE" w14:textId="77777777" w:rsidTr="00BA1C8E">
        <w:trPr>
          <w:trHeight w:val="371"/>
        </w:trPr>
        <w:tc>
          <w:tcPr>
            <w:tcW w:w="1582" w:type="dxa"/>
            <w:tcBorders>
              <w:top w:val="nil"/>
              <w:left w:val="single" w:sz="4" w:space="0" w:color="auto"/>
              <w:bottom w:val="single" w:sz="4" w:space="0" w:color="auto"/>
              <w:right w:val="single" w:sz="4" w:space="0" w:color="auto"/>
            </w:tcBorders>
            <w:noWrap/>
            <w:vAlign w:val="bottom"/>
            <w:hideMark/>
          </w:tcPr>
          <w:p w14:paraId="1C98AAA1" w14:textId="77777777" w:rsidR="00E51E56" w:rsidRPr="00BA1C8E" w:rsidRDefault="00E51E56" w:rsidP="00E51E56">
            <w:pPr>
              <w:pStyle w:val="NoSpacing"/>
              <w:rPr>
                <w:rFonts w:ascii="Times New Roman" w:hAnsi="Times New Roman" w:cs="Times New Roman"/>
                <w:szCs w:val="24"/>
                <w:lang w:eastAsia="en-IN"/>
              </w:rPr>
            </w:pPr>
            <w:r w:rsidRPr="00BA1C8E">
              <w:rPr>
                <w:rFonts w:ascii="Times New Roman" w:hAnsi="Times New Roman" w:cs="Times New Roman"/>
                <w:szCs w:val="24"/>
                <w:lang w:eastAsia="en-IN"/>
              </w:rPr>
              <w:t>Rajasthan</w:t>
            </w:r>
          </w:p>
        </w:tc>
        <w:tc>
          <w:tcPr>
            <w:tcW w:w="1117" w:type="dxa"/>
            <w:tcBorders>
              <w:top w:val="nil"/>
              <w:left w:val="nil"/>
              <w:bottom w:val="single" w:sz="4" w:space="0" w:color="auto"/>
              <w:right w:val="single" w:sz="4" w:space="0" w:color="auto"/>
            </w:tcBorders>
            <w:noWrap/>
            <w:vAlign w:val="center"/>
            <w:hideMark/>
          </w:tcPr>
          <w:p w14:paraId="27D6B3DD" w14:textId="77777777" w:rsidR="00E51E56" w:rsidRPr="00BA1C8E" w:rsidRDefault="00E51E56" w:rsidP="00BA1C8E">
            <w:pPr>
              <w:pStyle w:val="NoSpacing"/>
              <w:jc w:val="center"/>
              <w:rPr>
                <w:rFonts w:ascii="Times New Roman" w:hAnsi="Times New Roman" w:cs="Times New Roman"/>
                <w:szCs w:val="24"/>
                <w:lang w:eastAsia="en-IN"/>
              </w:rPr>
            </w:pPr>
            <w:r w:rsidRPr="00BA1C8E">
              <w:rPr>
                <w:rFonts w:ascii="Times New Roman" w:hAnsi="Times New Roman" w:cs="Times New Roman"/>
                <w:szCs w:val="24"/>
                <w:lang w:eastAsia="en-IN"/>
              </w:rPr>
              <w:t>1.35</w:t>
            </w:r>
          </w:p>
        </w:tc>
        <w:tc>
          <w:tcPr>
            <w:tcW w:w="2319" w:type="dxa"/>
            <w:tcBorders>
              <w:top w:val="nil"/>
              <w:left w:val="nil"/>
              <w:bottom w:val="single" w:sz="4" w:space="0" w:color="auto"/>
              <w:right w:val="single" w:sz="4" w:space="0" w:color="auto"/>
            </w:tcBorders>
            <w:noWrap/>
            <w:vAlign w:val="center"/>
            <w:hideMark/>
          </w:tcPr>
          <w:p w14:paraId="72BEE2CC" w14:textId="77777777" w:rsidR="00E51E56" w:rsidRPr="00BA1C8E" w:rsidRDefault="00E51E56" w:rsidP="00BA1C8E">
            <w:pPr>
              <w:pStyle w:val="NoSpacing"/>
              <w:jc w:val="center"/>
              <w:rPr>
                <w:rFonts w:ascii="Times New Roman" w:hAnsi="Times New Roman" w:cs="Times New Roman"/>
                <w:szCs w:val="24"/>
                <w:lang w:eastAsia="en-IN"/>
              </w:rPr>
            </w:pPr>
            <w:r w:rsidRPr="00BA1C8E">
              <w:rPr>
                <w:rFonts w:ascii="Times New Roman" w:hAnsi="Times New Roman" w:cs="Times New Roman"/>
                <w:szCs w:val="24"/>
                <w:lang w:eastAsia="en-IN"/>
              </w:rPr>
              <w:t>2.49</w:t>
            </w:r>
          </w:p>
        </w:tc>
        <w:tc>
          <w:tcPr>
            <w:tcW w:w="1622" w:type="dxa"/>
            <w:tcBorders>
              <w:top w:val="nil"/>
              <w:left w:val="nil"/>
              <w:bottom w:val="single" w:sz="4" w:space="0" w:color="auto"/>
              <w:right w:val="single" w:sz="4" w:space="0" w:color="auto"/>
            </w:tcBorders>
            <w:noWrap/>
            <w:vAlign w:val="center"/>
            <w:hideMark/>
          </w:tcPr>
          <w:p w14:paraId="200FB12F" w14:textId="77777777" w:rsidR="00E51E56" w:rsidRPr="00BA1C8E" w:rsidRDefault="00E51E56" w:rsidP="00BA1C8E">
            <w:pPr>
              <w:pStyle w:val="NoSpacing"/>
              <w:jc w:val="center"/>
              <w:rPr>
                <w:rFonts w:ascii="Times New Roman" w:hAnsi="Times New Roman" w:cs="Times New Roman"/>
                <w:szCs w:val="24"/>
                <w:lang w:eastAsia="en-IN"/>
              </w:rPr>
            </w:pPr>
            <w:r w:rsidRPr="00BA1C8E">
              <w:rPr>
                <w:rFonts w:ascii="Times New Roman" w:hAnsi="Times New Roman" w:cs="Times New Roman"/>
                <w:szCs w:val="24"/>
                <w:lang w:eastAsia="en-IN"/>
              </w:rPr>
              <w:t>1.04</w:t>
            </w:r>
          </w:p>
        </w:tc>
        <w:tc>
          <w:tcPr>
            <w:tcW w:w="2064" w:type="dxa"/>
            <w:tcBorders>
              <w:top w:val="nil"/>
              <w:left w:val="nil"/>
              <w:bottom w:val="single" w:sz="4" w:space="0" w:color="auto"/>
              <w:right w:val="single" w:sz="4" w:space="0" w:color="auto"/>
            </w:tcBorders>
            <w:noWrap/>
            <w:vAlign w:val="center"/>
            <w:hideMark/>
          </w:tcPr>
          <w:p w14:paraId="150D2255" w14:textId="77777777" w:rsidR="00E51E56" w:rsidRPr="00BA1C8E" w:rsidRDefault="00E51E56" w:rsidP="00BA1C8E">
            <w:pPr>
              <w:pStyle w:val="NoSpacing"/>
              <w:jc w:val="center"/>
              <w:rPr>
                <w:rFonts w:ascii="Times New Roman" w:hAnsi="Times New Roman" w:cs="Times New Roman"/>
                <w:szCs w:val="24"/>
                <w:lang w:eastAsia="en-IN"/>
              </w:rPr>
            </w:pPr>
            <w:r w:rsidRPr="00BA1C8E">
              <w:rPr>
                <w:rFonts w:ascii="Times New Roman" w:hAnsi="Times New Roman" w:cs="Times New Roman"/>
                <w:szCs w:val="24"/>
                <w:lang w:eastAsia="en-IN"/>
              </w:rPr>
              <w:t>0.77</w:t>
            </w:r>
          </w:p>
        </w:tc>
        <w:tc>
          <w:tcPr>
            <w:tcW w:w="1327" w:type="dxa"/>
            <w:tcBorders>
              <w:top w:val="nil"/>
              <w:left w:val="nil"/>
              <w:bottom w:val="single" w:sz="4" w:space="0" w:color="auto"/>
              <w:right w:val="single" w:sz="4" w:space="0" w:color="auto"/>
            </w:tcBorders>
            <w:noWrap/>
            <w:vAlign w:val="center"/>
            <w:hideMark/>
          </w:tcPr>
          <w:p w14:paraId="33EACA95" w14:textId="77777777" w:rsidR="00E51E56" w:rsidRPr="00BA1C8E" w:rsidRDefault="00E51E56" w:rsidP="00BA1C8E">
            <w:pPr>
              <w:pStyle w:val="NoSpacing"/>
              <w:jc w:val="center"/>
              <w:rPr>
                <w:rFonts w:ascii="Times New Roman" w:hAnsi="Times New Roman" w:cs="Times New Roman"/>
                <w:szCs w:val="24"/>
                <w:lang w:eastAsia="en-IN"/>
              </w:rPr>
            </w:pPr>
            <w:r w:rsidRPr="00BA1C8E">
              <w:rPr>
                <w:rFonts w:ascii="Times New Roman" w:hAnsi="Times New Roman" w:cs="Times New Roman"/>
                <w:szCs w:val="24"/>
                <w:lang w:eastAsia="en-IN"/>
              </w:rPr>
              <w:t>2.21</w:t>
            </w:r>
          </w:p>
        </w:tc>
        <w:tc>
          <w:tcPr>
            <w:tcW w:w="1474" w:type="dxa"/>
            <w:tcBorders>
              <w:top w:val="nil"/>
              <w:left w:val="nil"/>
              <w:bottom w:val="single" w:sz="4" w:space="0" w:color="auto"/>
              <w:right w:val="single" w:sz="4" w:space="0" w:color="auto"/>
            </w:tcBorders>
            <w:noWrap/>
            <w:vAlign w:val="center"/>
            <w:hideMark/>
          </w:tcPr>
          <w:p w14:paraId="516A7657" w14:textId="77777777" w:rsidR="00E51E56" w:rsidRPr="00BA1C8E" w:rsidRDefault="00E51E56" w:rsidP="00BA1C8E">
            <w:pPr>
              <w:pStyle w:val="NoSpacing"/>
              <w:jc w:val="center"/>
              <w:rPr>
                <w:rFonts w:ascii="Times New Roman" w:hAnsi="Times New Roman" w:cs="Times New Roman"/>
                <w:szCs w:val="24"/>
                <w:lang w:eastAsia="en-IN"/>
              </w:rPr>
            </w:pPr>
            <w:r w:rsidRPr="00BA1C8E">
              <w:rPr>
                <w:rFonts w:ascii="Times New Roman" w:hAnsi="Times New Roman" w:cs="Times New Roman"/>
                <w:szCs w:val="24"/>
                <w:lang w:eastAsia="en-IN"/>
              </w:rPr>
              <w:t>6.21</w:t>
            </w:r>
          </w:p>
        </w:tc>
      </w:tr>
      <w:tr w:rsidR="00E51E56" w:rsidRPr="00BA1C8E" w14:paraId="29BB7656" w14:textId="77777777" w:rsidTr="00BA1C8E">
        <w:trPr>
          <w:trHeight w:val="371"/>
        </w:trPr>
        <w:tc>
          <w:tcPr>
            <w:tcW w:w="1582" w:type="dxa"/>
            <w:tcBorders>
              <w:top w:val="nil"/>
              <w:left w:val="single" w:sz="4" w:space="0" w:color="auto"/>
              <w:bottom w:val="single" w:sz="4" w:space="0" w:color="auto"/>
              <w:right w:val="single" w:sz="4" w:space="0" w:color="auto"/>
            </w:tcBorders>
            <w:noWrap/>
            <w:vAlign w:val="bottom"/>
            <w:hideMark/>
          </w:tcPr>
          <w:p w14:paraId="5EC037FC" w14:textId="77777777" w:rsidR="00E51E56" w:rsidRPr="00BA1C8E" w:rsidRDefault="00E51E56" w:rsidP="00E51E56">
            <w:pPr>
              <w:pStyle w:val="NoSpacing"/>
              <w:rPr>
                <w:rFonts w:ascii="Times New Roman" w:hAnsi="Times New Roman" w:cs="Times New Roman"/>
                <w:szCs w:val="24"/>
                <w:lang w:eastAsia="en-IN"/>
              </w:rPr>
            </w:pPr>
            <w:r w:rsidRPr="00BA1C8E">
              <w:rPr>
                <w:rFonts w:ascii="Times New Roman" w:hAnsi="Times New Roman" w:cs="Times New Roman"/>
                <w:szCs w:val="24"/>
                <w:lang w:eastAsia="en-IN"/>
              </w:rPr>
              <w:t>Uttar Pradesh</w:t>
            </w:r>
          </w:p>
        </w:tc>
        <w:tc>
          <w:tcPr>
            <w:tcW w:w="1117" w:type="dxa"/>
            <w:tcBorders>
              <w:top w:val="nil"/>
              <w:left w:val="nil"/>
              <w:bottom w:val="single" w:sz="4" w:space="0" w:color="auto"/>
              <w:right w:val="single" w:sz="4" w:space="0" w:color="auto"/>
            </w:tcBorders>
            <w:noWrap/>
            <w:vAlign w:val="center"/>
            <w:hideMark/>
          </w:tcPr>
          <w:p w14:paraId="0F30A62D" w14:textId="77777777" w:rsidR="00E51E56" w:rsidRPr="00BA1C8E" w:rsidRDefault="00E51E56" w:rsidP="00BA1C8E">
            <w:pPr>
              <w:pStyle w:val="NoSpacing"/>
              <w:jc w:val="center"/>
              <w:rPr>
                <w:rFonts w:ascii="Times New Roman" w:hAnsi="Times New Roman" w:cs="Times New Roman"/>
                <w:szCs w:val="24"/>
                <w:lang w:eastAsia="en-IN"/>
              </w:rPr>
            </w:pPr>
            <w:r w:rsidRPr="00BA1C8E">
              <w:rPr>
                <w:rFonts w:ascii="Times New Roman" w:hAnsi="Times New Roman" w:cs="Times New Roman"/>
                <w:szCs w:val="24"/>
                <w:lang w:eastAsia="en-IN"/>
              </w:rPr>
              <w:t>0.99</w:t>
            </w:r>
          </w:p>
        </w:tc>
        <w:tc>
          <w:tcPr>
            <w:tcW w:w="2319" w:type="dxa"/>
            <w:tcBorders>
              <w:top w:val="nil"/>
              <w:left w:val="nil"/>
              <w:bottom w:val="single" w:sz="4" w:space="0" w:color="auto"/>
              <w:right w:val="single" w:sz="4" w:space="0" w:color="auto"/>
            </w:tcBorders>
            <w:noWrap/>
            <w:vAlign w:val="center"/>
            <w:hideMark/>
          </w:tcPr>
          <w:p w14:paraId="5863C7D7" w14:textId="77777777" w:rsidR="00E51E56" w:rsidRPr="00BA1C8E" w:rsidRDefault="00E51E56" w:rsidP="00BA1C8E">
            <w:pPr>
              <w:pStyle w:val="NoSpacing"/>
              <w:jc w:val="center"/>
              <w:rPr>
                <w:rFonts w:ascii="Times New Roman" w:hAnsi="Times New Roman" w:cs="Times New Roman"/>
                <w:szCs w:val="24"/>
                <w:lang w:eastAsia="en-IN"/>
              </w:rPr>
            </w:pPr>
            <w:r w:rsidRPr="00BA1C8E">
              <w:rPr>
                <w:rFonts w:ascii="Times New Roman" w:hAnsi="Times New Roman" w:cs="Times New Roman"/>
                <w:szCs w:val="24"/>
                <w:lang w:eastAsia="en-IN"/>
              </w:rPr>
              <w:t>1.78</w:t>
            </w:r>
          </w:p>
        </w:tc>
        <w:tc>
          <w:tcPr>
            <w:tcW w:w="1622" w:type="dxa"/>
            <w:tcBorders>
              <w:top w:val="nil"/>
              <w:left w:val="nil"/>
              <w:bottom w:val="single" w:sz="4" w:space="0" w:color="auto"/>
              <w:right w:val="single" w:sz="4" w:space="0" w:color="auto"/>
            </w:tcBorders>
            <w:noWrap/>
            <w:vAlign w:val="center"/>
            <w:hideMark/>
          </w:tcPr>
          <w:p w14:paraId="06F6657D" w14:textId="77777777" w:rsidR="00E51E56" w:rsidRPr="00BA1C8E" w:rsidRDefault="00E51E56" w:rsidP="00BA1C8E">
            <w:pPr>
              <w:pStyle w:val="NoSpacing"/>
              <w:jc w:val="center"/>
              <w:rPr>
                <w:rFonts w:ascii="Times New Roman" w:hAnsi="Times New Roman" w:cs="Times New Roman"/>
                <w:szCs w:val="24"/>
                <w:lang w:eastAsia="en-IN"/>
              </w:rPr>
            </w:pPr>
            <w:r w:rsidRPr="00BA1C8E">
              <w:rPr>
                <w:rFonts w:ascii="Times New Roman" w:hAnsi="Times New Roman" w:cs="Times New Roman"/>
                <w:szCs w:val="24"/>
                <w:lang w:eastAsia="en-IN"/>
              </w:rPr>
              <w:t>0.78</w:t>
            </w:r>
          </w:p>
        </w:tc>
        <w:tc>
          <w:tcPr>
            <w:tcW w:w="2064" w:type="dxa"/>
            <w:tcBorders>
              <w:top w:val="nil"/>
              <w:left w:val="nil"/>
              <w:bottom w:val="single" w:sz="4" w:space="0" w:color="auto"/>
              <w:right w:val="single" w:sz="4" w:space="0" w:color="auto"/>
            </w:tcBorders>
            <w:noWrap/>
            <w:vAlign w:val="center"/>
            <w:hideMark/>
          </w:tcPr>
          <w:p w14:paraId="35A032D8" w14:textId="77777777" w:rsidR="00E51E56" w:rsidRPr="00BA1C8E" w:rsidRDefault="00E51E56" w:rsidP="00BA1C8E">
            <w:pPr>
              <w:pStyle w:val="NoSpacing"/>
              <w:jc w:val="center"/>
              <w:rPr>
                <w:rFonts w:ascii="Times New Roman" w:hAnsi="Times New Roman" w:cs="Times New Roman"/>
                <w:szCs w:val="24"/>
                <w:lang w:eastAsia="en-IN"/>
              </w:rPr>
            </w:pPr>
            <w:r w:rsidRPr="00BA1C8E">
              <w:rPr>
                <w:rFonts w:ascii="Times New Roman" w:hAnsi="Times New Roman" w:cs="Times New Roman"/>
                <w:szCs w:val="24"/>
                <w:lang w:eastAsia="en-IN"/>
              </w:rPr>
              <w:t>0.56</w:t>
            </w:r>
          </w:p>
        </w:tc>
        <w:tc>
          <w:tcPr>
            <w:tcW w:w="1327" w:type="dxa"/>
            <w:tcBorders>
              <w:top w:val="nil"/>
              <w:left w:val="nil"/>
              <w:bottom w:val="single" w:sz="4" w:space="0" w:color="auto"/>
              <w:right w:val="single" w:sz="4" w:space="0" w:color="auto"/>
            </w:tcBorders>
            <w:noWrap/>
            <w:vAlign w:val="center"/>
            <w:hideMark/>
          </w:tcPr>
          <w:p w14:paraId="5DCB586A" w14:textId="77777777" w:rsidR="00E51E56" w:rsidRPr="00BA1C8E" w:rsidRDefault="00E51E56" w:rsidP="00BA1C8E">
            <w:pPr>
              <w:pStyle w:val="NoSpacing"/>
              <w:jc w:val="center"/>
              <w:rPr>
                <w:rFonts w:ascii="Times New Roman" w:hAnsi="Times New Roman" w:cs="Times New Roman"/>
                <w:szCs w:val="24"/>
                <w:lang w:eastAsia="en-IN"/>
              </w:rPr>
            </w:pPr>
            <w:r w:rsidRPr="00BA1C8E">
              <w:rPr>
                <w:rFonts w:ascii="Times New Roman" w:hAnsi="Times New Roman" w:cs="Times New Roman"/>
                <w:szCs w:val="24"/>
                <w:lang w:eastAsia="en-IN"/>
              </w:rPr>
              <w:t>1.34</w:t>
            </w:r>
          </w:p>
        </w:tc>
        <w:tc>
          <w:tcPr>
            <w:tcW w:w="1474" w:type="dxa"/>
            <w:tcBorders>
              <w:top w:val="nil"/>
              <w:left w:val="nil"/>
              <w:bottom w:val="single" w:sz="4" w:space="0" w:color="auto"/>
              <w:right w:val="single" w:sz="4" w:space="0" w:color="auto"/>
            </w:tcBorders>
            <w:noWrap/>
            <w:vAlign w:val="center"/>
            <w:hideMark/>
          </w:tcPr>
          <w:p w14:paraId="5D0BD371" w14:textId="77777777" w:rsidR="00E51E56" w:rsidRPr="00BA1C8E" w:rsidRDefault="00E51E56" w:rsidP="00BA1C8E">
            <w:pPr>
              <w:pStyle w:val="NoSpacing"/>
              <w:jc w:val="center"/>
              <w:rPr>
                <w:rFonts w:ascii="Times New Roman" w:hAnsi="Times New Roman" w:cs="Times New Roman"/>
                <w:szCs w:val="24"/>
                <w:lang w:eastAsia="en-IN"/>
              </w:rPr>
            </w:pPr>
            <w:r w:rsidRPr="00BA1C8E">
              <w:rPr>
                <w:rFonts w:ascii="Times New Roman" w:hAnsi="Times New Roman" w:cs="Times New Roman"/>
                <w:szCs w:val="24"/>
                <w:lang w:eastAsia="en-IN"/>
              </w:rPr>
              <w:t>4.77</w:t>
            </w:r>
          </w:p>
        </w:tc>
      </w:tr>
      <w:tr w:rsidR="00E51E56" w:rsidRPr="00BA1C8E" w14:paraId="120F642B" w14:textId="77777777" w:rsidTr="00BA1C8E">
        <w:trPr>
          <w:trHeight w:val="371"/>
        </w:trPr>
        <w:tc>
          <w:tcPr>
            <w:tcW w:w="1582" w:type="dxa"/>
            <w:tcBorders>
              <w:top w:val="nil"/>
              <w:left w:val="single" w:sz="4" w:space="0" w:color="auto"/>
              <w:bottom w:val="single" w:sz="4" w:space="0" w:color="auto"/>
              <w:right w:val="single" w:sz="4" w:space="0" w:color="auto"/>
            </w:tcBorders>
            <w:noWrap/>
            <w:vAlign w:val="bottom"/>
            <w:hideMark/>
          </w:tcPr>
          <w:p w14:paraId="17B78461" w14:textId="77777777" w:rsidR="00E51E56" w:rsidRPr="00BA1C8E" w:rsidRDefault="00E51E56" w:rsidP="00E51E56">
            <w:pPr>
              <w:pStyle w:val="NoSpacing"/>
              <w:rPr>
                <w:rFonts w:ascii="Times New Roman" w:hAnsi="Times New Roman" w:cs="Times New Roman"/>
                <w:szCs w:val="24"/>
                <w:lang w:eastAsia="en-IN"/>
              </w:rPr>
            </w:pPr>
            <w:r w:rsidRPr="00BA1C8E">
              <w:rPr>
                <w:rFonts w:ascii="Times New Roman" w:hAnsi="Times New Roman" w:cs="Times New Roman"/>
                <w:szCs w:val="24"/>
                <w:lang w:eastAsia="en-IN"/>
              </w:rPr>
              <w:t>Orissa</w:t>
            </w:r>
          </w:p>
        </w:tc>
        <w:tc>
          <w:tcPr>
            <w:tcW w:w="1117" w:type="dxa"/>
            <w:tcBorders>
              <w:top w:val="nil"/>
              <w:left w:val="nil"/>
              <w:bottom w:val="single" w:sz="4" w:space="0" w:color="auto"/>
              <w:right w:val="single" w:sz="4" w:space="0" w:color="auto"/>
            </w:tcBorders>
            <w:noWrap/>
            <w:vAlign w:val="center"/>
            <w:hideMark/>
          </w:tcPr>
          <w:p w14:paraId="765E4D7C" w14:textId="77777777" w:rsidR="00E51E56" w:rsidRPr="00BA1C8E" w:rsidRDefault="00E51E56" w:rsidP="00BA1C8E">
            <w:pPr>
              <w:pStyle w:val="NoSpacing"/>
              <w:jc w:val="center"/>
              <w:rPr>
                <w:rFonts w:ascii="Times New Roman" w:hAnsi="Times New Roman" w:cs="Times New Roman"/>
                <w:szCs w:val="24"/>
                <w:lang w:eastAsia="en-IN"/>
              </w:rPr>
            </w:pPr>
            <w:r w:rsidRPr="00BA1C8E">
              <w:rPr>
                <w:rFonts w:ascii="Times New Roman" w:hAnsi="Times New Roman" w:cs="Times New Roman"/>
                <w:szCs w:val="24"/>
                <w:lang w:eastAsia="en-IN"/>
              </w:rPr>
              <w:t>0.27</w:t>
            </w:r>
          </w:p>
        </w:tc>
        <w:tc>
          <w:tcPr>
            <w:tcW w:w="2319" w:type="dxa"/>
            <w:tcBorders>
              <w:top w:val="nil"/>
              <w:left w:val="nil"/>
              <w:bottom w:val="single" w:sz="4" w:space="0" w:color="auto"/>
              <w:right w:val="single" w:sz="4" w:space="0" w:color="auto"/>
            </w:tcBorders>
            <w:noWrap/>
            <w:vAlign w:val="center"/>
            <w:hideMark/>
          </w:tcPr>
          <w:p w14:paraId="1ACF7C7E" w14:textId="77777777" w:rsidR="00E51E56" w:rsidRPr="00BA1C8E" w:rsidRDefault="00E51E56" w:rsidP="00BA1C8E">
            <w:pPr>
              <w:pStyle w:val="NoSpacing"/>
              <w:jc w:val="center"/>
              <w:rPr>
                <w:rFonts w:ascii="Times New Roman" w:hAnsi="Times New Roman" w:cs="Times New Roman"/>
                <w:szCs w:val="24"/>
                <w:lang w:eastAsia="en-IN"/>
              </w:rPr>
            </w:pPr>
            <w:r w:rsidRPr="00BA1C8E">
              <w:rPr>
                <w:rFonts w:ascii="Times New Roman" w:hAnsi="Times New Roman" w:cs="Times New Roman"/>
                <w:szCs w:val="24"/>
                <w:lang w:eastAsia="en-IN"/>
              </w:rPr>
              <w:t>0.52</w:t>
            </w:r>
          </w:p>
        </w:tc>
        <w:tc>
          <w:tcPr>
            <w:tcW w:w="1622" w:type="dxa"/>
            <w:tcBorders>
              <w:top w:val="nil"/>
              <w:left w:val="nil"/>
              <w:bottom w:val="single" w:sz="4" w:space="0" w:color="auto"/>
              <w:right w:val="single" w:sz="4" w:space="0" w:color="auto"/>
            </w:tcBorders>
            <w:noWrap/>
            <w:vAlign w:val="center"/>
            <w:hideMark/>
          </w:tcPr>
          <w:p w14:paraId="24E7BDB9" w14:textId="77777777" w:rsidR="00E51E56" w:rsidRPr="00BA1C8E" w:rsidRDefault="00E51E56" w:rsidP="00BA1C8E">
            <w:pPr>
              <w:pStyle w:val="NoSpacing"/>
              <w:jc w:val="center"/>
              <w:rPr>
                <w:rFonts w:ascii="Times New Roman" w:hAnsi="Times New Roman" w:cs="Times New Roman"/>
                <w:szCs w:val="24"/>
                <w:lang w:eastAsia="en-IN"/>
              </w:rPr>
            </w:pPr>
            <w:r w:rsidRPr="00BA1C8E">
              <w:rPr>
                <w:rFonts w:ascii="Times New Roman" w:hAnsi="Times New Roman" w:cs="Times New Roman"/>
                <w:szCs w:val="24"/>
                <w:lang w:eastAsia="en-IN"/>
              </w:rPr>
              <w:t>0.47</w:t>
            </w:r>
          </w:p>
        </w:tc>
        <w:tc>
          <w:tcPr>
            <w:tcW w:w="2064" w:type="dxa"/>
            <w:tcBorders>
              <w:top w:val="nil"/>
              <w:left w:val="nil"/>
              <w:bottom w:val="single" w:sz="4" w:space="0" w:color="auto"/>
              <w:right w:val="single" w:sz="4" w:space="0" w:color="auto"/>
            </w:tcBorders>
            <w:noWrap/>
            <w:vAlign w:val="center"/>
            <w:hideMark/>
          </w:tcPr>
          <w:p w14:paraId="696634C7" w14:textId="77777777" w:rsidR="00E51E56" w:rsidRPr="00BA1C8E" w:rsidRDefault="00E51E56" w:rsidP="00BA1C8E">
            <w:pPr>
              <w:pStyle w:val="NoSpacing"/>
              <w:jc w:val="center"/>
              <w:rPr>
                <w:rFonts w:ascii="Times New Roman" w:hAnsi="Times New Roman" w:cs="Times New Roman"/>
                <w:szCs w:val="24"/>
                <w:lang w:eastAsia="en-IN"/>
              </w:rPr>
            </w:pPr>
            <w:r w:rsidRPr="00BA1C8E">
              <w:rPr>
                <w:rFonts w:ascii="Times New Roman" w:hAnsi="Times New Roman" w:cs="Times New Roman"/>
                <w:szCs w:val="24"/>
                <w:lang w:eastAsia="en-IN"/>
              </w:rPr>
              <w:t>0.51</w:t>
            </w:r>
          </w:p>
        </w:tc>
        <w:tc>
          <w:tcPr>
            <w:tcW w:w="1327" w:type="dxa"/>
            <w:tcBorders>
              <w:top w:val="nil"/>
              <w:left w:val="nil"/>
              <w:bottom w:val="single" w:sz="4" w:space="0" w:color="auto"/>
              <w:right w:val="single" w:sz="4" w:space="0" w:color="auto"/>
            </w:tcBorders>
            <w:noWrap/>
            <w:vAlign w:val="center"/>
            <w:hideMark/>
          </w:tcPr>
          <w:p w14:paraId="11039694" w14:textId="77777777" w:rsidR="00E51E56" w:rsidRPr="00BA1C8E" w:rsidRDefault="00E51E56" w:rsidP="00BA1C8E">
            <w:pPr>
              <w:pStyle w:val="NoSpacing"/>
              <w:jc w:val="center"/>
              <w:rPr>
                <w:rFonts w:ascii="Times New Roman" w:hAnsi="Times New Roman" w:cs="Times New Roman"/>
                <w:szCs w:val="24"/>
                <w:lang w:eastAsia="en-IN"/>
              </w:rPr>
            </w:pPr>
            <w:r w:rsidRPr="00BA1C8E">
              <w:rPr>
                <w:rFonts w:ascii="Times New Roman" w:hAnsi="Times New Roman" w:cs="Times New Roman"/>
                <w:szCs w:val="24"/>
                <w:lang w:eastAsia="en-IN"/>
              </w:rPr>
              <w:t>1.21</w:t>
            </w:r>
          </w:p>
        </w:tc>
        <w:tc>
          <w:tcPr>
            <w:tcW w:w="1474" w:type="dxa"/>
            <w:tcBorders>
              <w:top w:val="nil"/>
              <w:left w:val="nil"/>
              <w:bottom w:val="single" w:sz="4" w:space="0" w:color="auto"/>
              <w:right w:val="single" w:sz="4" w:space="0" w:color="auto"/>
            </w:tcBorders>
            <w:noWrap/>
            <w:vAlign w:val="center"/>
            <w:hideMark/>
          </w:tcPr>
          <w:p w14:paraId="51B46EE7" w14:textId="77777777" w:rsidR="00E51E56" w:rsidRPr="00BA1C8E" w:rsidRDefault="00E51E56" w:rsidP="00BA1C8E">
            <w:pPr>
              <w:pStyle w:val="NoSpacing"/>
              <w:jc w:val="center"/>
              <w:rPr>
                <w:rFonts w:ascii="Times New Roman" w:hAnsi="Times New Roman" w:cs="Times New Roman"/>
                <w:szCs w:val="24"/>
                <w:lang w:eastAsia="en-IN"/>
              </w:rPr>
            </w:pPr>
            <w:r w:rsidRPr="00BA1C8E">
              <w:rPr>
                <w:rFonts w:ascii="Times New Roman" w:hAnsi="Times New Roman" w:cs="Times New Roman"/>
                <w:szCs w:val="24"/>
                <w:lang w:eastAsia="en-IN"/>
              </w:rPr>
              <w:t>3.96</w:t>
            </w:r>
          </w:p>
        </w:tc>
      </w:tr>
      <w:tr w:rsidR="00E51E56" w:rsidRPr="00BA1C8E" w14:paraId="1560BB21" w14:textId="77777777" w:rsidTr="00BA1C8E">
        <w:trPr>
          <w:trHeight w:val="371"/>
        </w:trPr>
        <w:tc>
          <w:tcPr>
            <w:tcW w:w="1582" w:type="dxa"/>
            <w:tcBorders>
              <w:top w:val="nil"/>
              <w:left w:val="single" w:sz="4" w:space="0" w:color="auto"/>
              <w:bottom w:val="single" w:sz="4" w:space="0" w:color="auto"/>
              <w:right w:val="single" w:sz="4" w:space="0" w:color="auto"/>
            </w:tcBorders>
            <w:noWrap/>
            <w:vAlign w:val="bottom"/>
            <w:hideMark/>
          </w:tcPr>
          <w:p w14:paraId="73828DB3" w14:textId="77777777" w:rsidR="00E51E56" w:rsidRPr="00BA1C8E" w:rsidRDefault="00E51E56" w:rsidP="00E51E56">
            <w:pPr>
              <w:pStyle w:val="NoSpacing"/>
              <w:rPr>
                <w:rFonts w:ascii="Times New Roman" w:hAnsi="Times New Roman" w:cs="Times New Roman"/>
                <w:szCs w:val="24"/>
                <w:lang w:eastAsia="en-IN"/>
              </w:rPr>
            </w:pPr>
            <w:r w:rsidRPr="00BA1C8E">
              <w:rPr>
                <w:rFonts w:ascii="Times New Roman" w:hAnsi="Times New Roman" w:cs="Times New Roman"/>
                <w:szCs w:val="24"/>
                <w:lang w:eastAsia="en-IN"/>
              </w:rPr>
              <w:t>Jammu &amp; Kashmir</w:t>
            </w:r>
          </w:p>
        </w:tc>
        <w:tc>
          <w:tcPr>
            <w:tcW w:w="1117" w:type="dxa"/>
            <w:tcBorders>
              <w:top w:val="nil"/>
              <w:left w:val="nil"/>
              <w:bottom w:val="single" w:sz="4" w:space="0" w:color="auto"/>
              <w:right w:val="single" w:sz="4" w:space="0" w:color="auto"/>
            </w:tcBorders>
            <w:noWrap/>
            <w:vAlign w:val="center"/>
            <w:hideMark/>
          </w:tcPr>
          <w:p w14:paraId="72830230" w14:textId="77777777" w:rsidR="00E51E56" w:rsidRPr="00BA1C8E" w:rsidRDefault="00E51E56" w:rsidP="00BA1C8E">
            <w:pPr>
              <w:pStyle w:val="NoSpacing"/>
              <w:jc w:val="center"/>
              <w:rPr>
                <w:rFonts w:ascii="Times New Roman" w:hAnsi="Times New Roman" w:cs="Times New Roman"/>
                <w:szCs w:val="24"/>
                <w:lang w:eastAsia="en-IN"/>
              </w:rPr>
            </w:pPr>
            <w:r w:rsidRPr="00BA1C8E">
              <w:rPr>
                <w:rFonts w:ascii="Times New Roman" w:hAnsi="Times New Roman" w:cs="Times New Roman"/>
                <w:szCs w:val="24"/>
                <w:lang w:eastAsia="en-IN"/>
              </w:rPr>
              <w:t>0.49</w:t>
            </w:r>
          </w:p>
        </w:tc>
        <w:tc>
          <w:tcPr>
            <w:tcW w:w="2319" w:type="dxa"/>
            <w:tcBorders>
              <w:top w:val="nil"/>
              <w:left w:val="nil"/>
              <w:bottom w:val="single" w:sz="4" w:space="0" w:color="auto"/>
              <w:right w:val="single" w:sz="4" w:space="0" w:color="auto"/>
            </w:tcBorders>
            <w:noWrap/>
            <w:vAlign w:val="center"/>
            <w:hideMark/>
          </w:tcPr>
          <w:p w14:paraId="26F7D683" w14:textId="6A0A7818" w:rsidR="00E51E56" w:rsidRPr="00BA1C8E" w:rsidRDefault="00E51E56" w:rsidP="00BA1C8E">
            <w:pPr>
              <w:pStyle w:val="NoSpacing"/>
              <w:jc w:val="center"/>
              <w:rPr>
                <w:rFonts w:ascii="Times New Roman" w:hAnsi="Times New Roman" w:cs="Times New Roman"/>
                <w:szCs w:val="24"/>
                <w:lang w:eastAsia="en-IN"/>
              </w:rPr>
            </w:pPr>
            <w:r w:rsidRPr="00BA1C8E">
              <w:rPr>
                <w:rFonts w:ascii="Times New Roman" w:hAnsi="Times New Roman" w:cs="Times New Roman"/>
                <w:szCs w:val="24"/>
                <w:lang w:eastAsia="en-IN"/>
              </w:rPr>
              <w:t>1</w:t>
            </w:r>
            <w:r w:rsidR="00F54B5C">
              <w:rPr>
                <w:rFonts w:ascii="Times New Roman" w:hAnsi="Times New Roman" w:cs="Times New Roman"/>
                <w:szCs w:val="24"/>
                <w:lang w:eastAsia="en-IN"/>
              </w:rPr>
              <w:t>.00</w:t>
            </w:r>
          </w:p>
        </w:tc>
        <w:tc>
          <w:tcPr>
            <w:tcW w:w="1622" w:type="dxa"/>
            <w:tcBorders>
              <w:top w:val="nil"/>
              <w:left w:val="nil"/>
              <w:bottom w:val="single" w:sz="4" w:space="0" w:color="auto"/>
              <w:right w:val="single" w:sz="4" w:space="0" w:color="auto"/>
            </w:tcBorders>
            <w:noWrap/>
            <w:vAlign w:val="center"/>
            <w:hideMark/>
          </w:tcPr>
          <w:p w14:paraId="0CED28CC" w14:textId="77777777" w:rsidR="00E51E56" w:rsidRPr="00BA1C8E" w:rsidRDefault="00E51E56" w:rsidP="00BA1C8E">
            <w:pPr>
              <w:pStyle w:val="NoSpacing"/>
              <w:jc w:val="center"/>
              <w:rPr>
                <w:rFonts w:ascii="Times New Roman" w:hAnsi="Times New Roman" w:cs="Times New Roman"/>
                <w:szCs w:val="24"/>
                <w:lang w:eastAsia="en-IN"/>
              </w:rPr>
            </w:pPr>
            <w:r w:rsidRPr="00BA1C8E">
              <w:rPr>
                <w:rFonts w:ascii="Times New Roman" w:hAnsi="Times New Roman" w:cs="Times New Roman"/>
                <w:szCs w:val="24"/>
                <w:lang w:eastAsia="en-IN"/>
              </w:rPr>
              <w:t>1.48</w:t>
            </w:r>
          </w:p>
        </w:tc>
        <w:tc>
          <w:tcPr>
            <w:tcW w:w="2064" w:type="dxa"/>
            <w:tcBorders>
              <w:top w:val="nil"/>
              <w:left w:val="nil"/>
              <w:bottom w:val="single" w:sz="4" w:space="0" w:color="auto"/>
              <w:right w:val="single" w:sz="4" w:space="0" w:color="auto"/>
            </w:tcBorders>
            <w:noWrap/>
            <w:vAlign w:val="center"/>
            <w:hideMark/>
          </w:tcPr>
          <w:p w14:paraId="0142DF59" w14:textId="77777777" w:rsidR="00E51E56" w:rsidRPr="00BA1C8E" w:rsidRDefault="00E51E56" w:rsidP="00BA1C8E">
            <w:pPr>
              <w:pStyle w:val="NoSpacing"/>
              <w:jc w:val="center"/>
              <w:rPr>
                <w:rFonts w:ascii="Times New Roman" w:hAnsi="Times New Roman" w:cs="Times New Roman"/>
                <w:szCs w:val="24"/>
                <w:lang w:eastAsia="en-IN"/>
              </w:rPr>
            </w:pPr>
            <w:r w:rsidRPr="00BA1C8E">
              <w:rPr>
                <w:rFonts w:ascii="Times New Roman" w:hAnsi="Times New Roman" w:cs="Times New Roman"/>
                <w:szCs w:val="24"/>
                <w:lang w:eastAsia="en-IN"/>
              </w:rPr>
              <w:t>3.07</w:t>
            </w:r>
          </w:p>
        </w:tc>
        <w:tc>
          <w:tcPr>
            <w:tcW w:w="1327" w:type="dxa"/>
            <w:tcBorders>
              <w:top w:val="nil"/>
              <w:left w:val="nil"/>
              <w:bottom w:val="single" w:sz="4" w:space="0" w:color="auto"/>
              <w:right w:val="single" w:sz="4" w:space="0" w:color="auto"/>
            </w:tcBorders>
            <w:noWrap/>
            <w:vAlign w:val="center"/>
            <w:hideMark/>
          </w:tcPr>
          <w:p w14:paraId="7D7F0683" w14:textId="77777777" w:rsidR="00E51E56" w:rsidRPr="00BA1C8E" w:rsidRDefault="00E51E56" w:rsidP="00BA1C8E">
            <w:pPr>
              <w:pStyle w:val="NoSpacing"/>
              <w:jc w:val="center"/>
              <w:rPr>
                <w:rFonts w:ascii="Times New Roman" w:hAnsi="Times New Roman" w:cs="Times New Roman"/>
                <w:szCs w:val="24"/>
                <w:lang w:eastAsia="en-IN"/>
              </w:rPr>
            </w:pPr>
            <w:r w:rsidRPr="00BA1C8E">
              <w:rPr>
                <w:rFonts w:ascii="Times New Roman" w:hAnsi="Times New Roman" w:cs="Times New Roman"/>
                <w:szCs w:val="24"/>
                <w:lang w:eastAsia="en-IN"/>
              </w:rPr>
              <w:t>0.85</w:t>
            </w:r>
          </w:p>
        </w:tc>
        <w:tc>
          <w:tcPr>
            <w:tcW w:w="1474" w:type="dxa"/>
            <w:tcBorders>
              <w:top w:val="nil"/>
              <w:left w:val="nil"/>
              <w:bottom w:val="single" w:sz="4" w:space="0" w:color="auto"/>
              <w:right w:val="single" w:sz="4" w:space="0" w:color="auto"/>
            </w:tcBorders>
            <w:noWrap/>
            <w:vAlign w:val="center"/>
            <w:hideMark/>
          </w:tcPr>
          <w:p w14:paraId="0D29BDBD" w14:textId="77777777" w:rsidR="00E51E56" w:rsidRPr="00BA1C8E" w:rsidRDefault="00E51E56" w:rsidP="00BA1C8E">
            <w:pPr>
              <w:pStyle w:val="NoSpacing"/>
              <w:jc w:val="center"/>
              <w:rPr>
                <w:rFonts w:ascii="Times New Roman" w:hAnsi="Times New Roman" w:cs="Times New Roman"/>
                <w:szCs w:val="24"/>
                <w:lang w:eastAsia="en-IN"/>
              </w:rPr>
            </w:pPr>
            <w:r w:rsidRPr="00BA1C8E">
              <w:rPr>
                <w:rFonts w:ascii="Times New Roman" w:hAnsi="Times New Roman" w:cs="Times New Roman"/>
                <w:szCs w:val="24"/>
                <w:lang w:eastAsia="en-IN"/>
              </w:rPr>
              <w:t>6.44</w:t>
            </w:r>
          </w:p>
        </w:tc>
      </w:tr>
      <w:tr w:rsidR="00E51E56" w:rsidRPr="00BA1C8E" w14:paraId="4DD91117" w14:textId="77777777" w:rsidTr="00BA1C8E">
        <w:trPr>
          <w:trHeight w:val="371"/>
        </w:trPr>
        <w:tc>
          <w:tcPr>
            <w:tcW w:w="1582" w:type="dxa"/>
            <w:tcBorders>
              <w:top w:val="nil"/>
              <w:left w:val="single" w:sz="4" w:space="0" w:color="auto"/>
              <w:bottom w:val="single" w:sz="4" w:space="0" w:color="auto"/>
              <w:right w:val="single" w:sz="4" w:space="0" w:color="auto"/>
            </w:tcBorders>
            <w:noWrap/>
            <w:vAlign w:val="bottom"/>
            <w:hideMark/>
          </w:tcPr>
          <w:p w14:paraId="3AF78EB2" w14:textId="77777777" w:rsidR="00E51E56" w:rsidRPr="00BA1C8E" w:rsidRDefault="00E51E56" w:rsidP="00E51E56">
            <w:pPr>
              <w:pStyle w:val="NoSpacing"/>
              <w:rPr>
                <w:rFonts w:ascii="Times New Roman" w:hAnsi="Times New Roman" w:cs="Times New Roman"/>
                <w:szCs w:val="24"/>
                <w:lang w:eastAsia="en-IN"/>
              </w:rPr>
            </w:pPr>
            <w:r w:rsidRPr="00BA1C8E">
              <w:rPr>
                <w:rFonts w:ascii="Times New Roman" w:hAnsi="Times New Roman" w:cs="Times New Roman"/>
                <w:szCs w:val="24"/>
                <w:lang w:eastAsia="en-IN"/>
              </w:rPr>
              <w:t>Bihar</w:t>
            </w:r>
          </w:p>
        </w:tc>
        <w:tc>
          <w:tcPr>
            <w:tcW w:w="1117" w:type="dxa"/>
            <w:tcBorders>
              <w:top w:val="nil"/>
              <w:left w:val="nil"/>
              <w:bottom w:val="single" w:sz="4" w:space="0" w:color="auto"/>
              <w:right w:val="single" w:sz="4" w:space="0" w:color="auto"/>
            </w:tcBorders>
            <w:noWrap/>
            <w:vAlign w:val="center"/>
            <w:hideMark/>
          </w:tcPr>
          <w:p w14:paraId="462A14DC" w14:textId="77777777" w:rsidR="00E51E56" w:rsidRPr="00BA1C8E" w:rsidRDefault="00E51E56" w:rsidP="00BA1C8E">
            <w:pPr>
              <w:pStyle w:val="NoSpacing"/>
              <w:jc w:val="center"/>
              <w:rPr>
                <w:rFonts w:ascii="Times New Roman" w:hAnsi="Times New Roman" w:cs="Times New Roman"/>
                <w:szCs w:val="24"/>
                <w:lang w:eastAsia="en-IN"/>
              </w:rPr>
            </w:pPr>
            <w:r w:rsidRPr="00BA1C8E">
              <w:rPr>
                <w:rFonts w:ascii="Times New Roman" w:hAnsi="Times New Roman" w:cs="Times New Roman"/>
                <w:szCs w:val="24"/>
                <w:lang w:eastAsia="en-IN"/>
              </w:rPr>
              <w:t>0.24</w:t>
            </w:r>
          </w:p>
        </w:tc>
        <w:tc>
          <w:tcPr>
            <w:tcW w:w="2319" w:type="dxa"/>
            <w:tcBorders>
              <w:top w:val="nil"/>
              <w:left w:val="nil"/>
              <w:bottom w:val="single" w:sz="4" w:space="0" w:color="auto"/>
              <w:right w:val="single" w:sz="4" w:space="0" w:color="auto"/>
            </w:tcBorders>
            <w:noWrap/>
            <w:vAlign w:val="center"/>
            <w:hideMark/>
          </w:tcPr>
          <w:p w14:paraId="576F1FBA" w14:textId="77777777" w:rsidR="00E51E56" w:rsidRPr="00BA1C8E" w:rsidRDefault="00E51E56" w:rsidP="00BA1C8E">
            <w:pPr>
              <w:pStyle w:val="NoSpacing"/>
              <w:jc w:val="center"/>
              <w:rPr>
                <w:rFonts w:ascii="Times New Roman" w:hAnsi="Times New Roman" w:cs="Times New Roman"/>
                <w:szCs w:val="24"/>
                <w:lang w:eastAsia="en-IN"/>
              </w:rPr>
            </w:pPr>
            <w:r w:rsidRPr="00BA1C8E">
              <w:rPr>
                <w:rFonts w:ascii="Times New Roman" w:hAnsi="Times New Roman" w:cs="Times New Roman"/>
                <w:szCs w:val="24"/>
                <w:lang w:eastAsia="en-IN"/>
              </w:rPr>
              <w:t>0.52</w:t>
            </w:r>
          </w:p>
        </w:tc>
        <w:tc>
          <w:tcPr>
            <w:tcW w:w="1622" w:type="dxa"/>
            <w:tcBorders>
              <w:top w:val="nil"/>
              <w:left w:val="nil"/>
              <w:bottom w:val="single" w:sz="4" w:space="0" w:color="auto"/>
              <w:right w:val="single" w:sz="4" w:space="0" w:color="auto"/>
            </w:tcBorders>
            <w:noWrap/>
            <w:vAlign w:val="center"/>
            <w:hideMark/>
          </w:tcPr>
          <w:p w14:paraId="5D20FA4F" w14:textId="77777777" w:rsidR="00E51E56" w:rsidRPr="00BA1C8E" w:rsidRDefault="00E51E56" w:rsidP="00BA1C8E">
            <w:pPr>
              <w:pStyle w:val="NoSpacing"/>
              <w:jc w:val="center"/>
              <w:rPr>
                <w:rFonts w:ascii="Times New Roman" w:hAnsi="Times New Roman" w:cs="Times New Roman"/>
                <w:szCs w:val="24"/>
                <w:lang w:eastAsia="en-IN"/>
              </w:rPr>
            </w:pPr>
            <w:r w:rsidRPr="00BA1C8E">
              <w:rPr>
                <w:rFonts w:ascii="Times New Roman" w:hAnsi="Times New Roman" w:cs="Times New Roman"/>
                <w:szCs w:val="24"/>
                <w:lang w:eastAsia="en-IN"/>
              </w:rPr>
              <w:t>0.76</w:t>
            </w:r>
          </w:p>
        </w:tc>
        <w:tc>
          <w:tcPr>
            <w:tcW w:w="2064" w:type="dxa"/>
            <w:tcBorders>
              <w:top w:val="nil"/>
              <w:left w:val="nil"/>
              <w:bottom w:val="single" w:sz="4" w:space="0" w:color="auto"/>
              <w:right w:val="single" w:sz="4" w:space="0" w:color="auto"/>
            </w:tcBorders>
            <w:noWrap/>
            <w:vAlign w:val="center"/>
            <w:hideMark/>
          </w:tcPr>
          <w:p w14:paraId="552F9D70" w14:textId="2EAE1726" w:rsidR="00E51E56" w:rsidRPr="00BA1C8E" w:rsidRDefault="00E51E56" w:rsidP="00BA1C8E">
            <w:pPr>
              <w:pStyle w:val="NoSpacing"/>
              <w:jc w:val="center"/>
              <w:rPr>
                <w:rFonts w:ascii="Times New Roman" w:hAnsi="Times New Roman" w:cs="Times New Roman"/>
                <w:szCs w:val="24"/>
                <w:lang w:eastAsia="en-IN"/>
              </w:rPr>
            </w:pPr>
            <w:r w:rsidRPr="00BA1C8E">
              <w:rPr>
                <w:rFonts w:ascii="Times New Roman" w:hAnsi="Times New Roman" w:cs="Times New Roman"/>
                <w:szCs w:val="24"/>
                <w:lang w:eastAsia="en-IN"/>
              </w:rPr>
              <w:t>0.4</w:t>
            </w:r>
            <w:r w:rsidR="00F54B5C">
              <w:rPr>
                <w:rFonts w:ascii="Times New Roman" w:hAnsi="Times New Roman" w:cs="Times New Roman"/>
                <w:szCs w:val="24"/>
                <w:lang w:eastAsia="en-IN"/>
              </w:rPr>
              <w:t>0</w:t>
            </w:r>
          </w:p>
        </w:tc>
        <w:tc>
          <w:tcPr>
            <w:tcW w:w="1327" w:type="dxa"/>
            <w:tcBorders>
              <w:top w:val="nil"/>
              <w:left w:val="nil"/>
              <w:bottom w:val="single" w:sz="4" w:space="0" w:color="auto"/>
              <w:right w:val="single" w:sz="4" w:space="0" w:color="auto"/>
            </w:tcBorders>
            <w:noWrap/>
            <w:vAlign w:val="center"/>
            <w:hideMark/>
          </w:tcPr>
          <w:p w14:paraId="1EB7AB61" w14:textId="67BACBE4" w:rsidR="00E51E56" w:rsidRPr="00BA1C8E" w:rsidRDefault="00E51E56" w:rsidP="00BA1C8E">
            <w:pPr>
              <w:pStyle w:val="NoSpacing"/>
              <w:jc w:val="center"/>
              <w:rPr>
                <w:rFonts w:ascii="Times New Roman" w:hAnsi="Times New Roman" w:cs="Times New Roman"/>
                <w:szCs w:val="24"/>
                <w:lang w:eastAsia="en-IN"/>
              </w:rPr>
            </w:pPr>
            <w:r w:rsidRPr="00BA1C8E">
              <w:rPr>
                <w:rFonts w:ascii="Times New Roman" w:hAnsi="Times New Roman" w:cs="Times New Roman"/>
                <w:szCs w:val="24"/>
                <w:lang w:eastAsia="en-IN"/>
              </w:rPr>
              <w:t>1.4</w:t>
            </w:r>
            <w:r w:rsidR="00F54B5C">
              <w:rPr>
                <w:rFonts w:ascii="Times New Roman" w:hAnsi="Times New Roman" w:cs="Times New Roman"/>
                <w:szCs w:val="24"/>
                <w:lang w:eastAsia="en-IN"/>
              </w:rPr>
              <w:t>0</w:t>
            </w:r>
          </w:p>
        </w:tc>
        <w:tc>
          <w:tcPr>
            <w:tcW w:w="1474" w:type="dxa"/>
            <w:tcBorders>
              <w:top w:val="nil"/>
              <w:left w:val="nil"/>
              <w:bottom w:val="single" w:sz="4" w:space="0" w:color="auto"/>
              <w:right w:val="single" w:sz="4" w:space="0" w:color="auto"/>
            </w:tcBorders>
            <w:noWrap/>
            <w:vAlign w:val="center"/>
            <w:hideMark/>
          </w:tcPr>
          <w:p w14:paraId="07366BFA" w14:textId="77777777" w:rsidR="00E51E56" w:rsidRPr="00BA1C8E" w:rsidRDefault="00E51E56" w:rsidP="00BA1C8E">
            <w:pPr>
              <w:pStyle w:val="NoSpacing"/>
              <w:jc w:val="center"/>
              <w:rPr>
                <w:rFonts w:ascii="Times New Roman" w:hAnsi="Times New Roman" w:cs="Times New Roman"/>
                <w:szCs w:val="24"/>
                <w:lang w:eastAsia="en-IN"/>
              </w:rPr>
            </w:pPr>
            <w:r w:rsidRPr="00BA1C8E">
              <w:rPr>
                <w:rFonts w:ascii="Times New Roman" w:hAnsi="Times New Roman" w:cs="Times New Roman"/>
                <w:szCs w:val="24"/>
                <w:lang w:eastAsia="en-IN"/>
              </w:rPr>
              <w:t>4.55</w:t>
            </w:r>
          </w:p>
        </w:tc>
      </w:tr>
      <w:tr w:rsidR="00E51E56" w:rsidRPr="00BA1C8E" w14:paraId="5BD76866" w14:textId="77777777" w:rsidTr="00BA1C8E">
        <w:trPr>
          <w:trHeight w:val="371"/>
        </w:trPr>
        <w:tc>
          <w:tcPr>
            <w:tcW w:w="1582" w:type="dxa"/>
            <w:tcBorders>
              <w:top w:val="nil"/>
              <w:left w:val="single" w:sz="4" w:space="0" w:color="auto"/>
              <w:bottom w:val="single" w:sz="4" w:space="0" w:color="auto"/>
              <w:right w:val="single" w:sz="4" w:space="0" w:color="auto"/>
            </w:tcBorders>
            <w:noWrap/>
            <w:vAlign w:val="bottom"/>
            <w:hideMark/>
          </w:tcPr>
          <w:p w14:paraId="1B716CD5" w14:textId="77777777" w:rsidR="00E51E56" w:rsidRPr="00BA1C8E" w:rsidRDefault="00E51E56" w:rsidP="00E51E56">
            <w:pPr>
              <w:pStyle w:val="NoSpacing"/>
              <w:rPr>
                <w:rFonts w:ascii="Times New Roman" w:hAnsi="Times New Roman" w:cs="Times New Roman"/>
                <w:szCs w:val="24"/>
                <w:lang w:eastAsia="en-IN"/>
              </w:rPr>
            </w:pPr>
            <w:r w:rsidRPr="00BA1C8E">
              <w:rPr>
                <w:rFonts w:ascii="Times New Roman" w:hAnsi="Times New Roman" w:cs="Times New Roman"/>
                <w:szCs w:val="24"/>
                <w:lang w:eastAsia="en-IN"/>
              </w:rPr>
              <w:t>Nagaland</w:t>
            </w:r>
          </w:p>
        </w:tc>
        <w:tc>
          <w:tcPr>
            <w:tcW w:w="1117" w:type="dxa"/>
            <w:tcBorders>
              <w:top w:val="nil"/>
              <w:left w:val="nil"/>
              <w:bottom w:val="single" w:sz="4" w:space="0" w:color="auto"/>
              <w:right w:val="single" w:sz="4" w:space="0" w:color="auto"/>
            </w:tcBorders>
            <w:noWrap/>
            <w:vAlign w:val="center"/>
            <w:hideMark/>
          </w:tcPr>
          <w:p w14:paraId="6968FA2C" w14:textId="77777777" w:rsidR="00E51E56" w:rsidRPr="00BA1C8E" w:rsidRDefault="00E51E56" w:rsidP="00BA1C8E">
            <w:pPr>
              <w:pStyle w:val="NoSpacing"/>
              <w:jc w:val="center"/>
              <w:rPr>
                <w:rFonts w:ascii="Times New Roman" w:hAnsi="Times New Roman" w:cs="Times New Roman"/>
                <w:szCs w:val="24"/>
                <w:lang w:eastAsia="en-IN"/>
              </w:rPr>
            </w:pPr>
            <w:r w:rsidRPr="00BA1C8E">
              <w:rPr>
                <w:rFonts w:ascii="Times New Roman" w:hAnsi="Times New Roman" w:cs="Times New Roman"/>
                <w:szCs w:val="24"/>
                <w:lang w:eastAsia="en-IN"/>
              </w:rPr>
              <w:t>..</w:t>
            </w:r>
          </w:p>
        </w:tc>
        <w:tc>
          <w:tcPr>
            <w:tcW w:w="2319" w:type="dxa"/>
            <w:tcBorders>
              <w:top w:val="nil"/>
              <w:left w:val="nil"/>
              <w:bottom w:val="single" w:sz="4" w:space="0" w:color="auto"/>
              <w:right w:val="single" w:sz="4" w:space="0" w:color="auto"/>
            </w:tcBorders>
            <w:noWrap/>
            <w:vAlign w:val="center"/>
            <w:hideMark/>
          </w:tcPr>
          <w:p w14:paraId="7B525F2B" w14:textId="77777777" w:rsidR="00E51E56" w:rsidRPr="00BA1C8E" w:rsidRDefault="00E51E56" w:rsidP="00BA1C8E">
            <w:pPr>
              <w:pStyle w:val="NoSpacing"/>
              <w:jc w:val="center"/>
              <w:rPr>
                <w:rFonts w:ascii="Times New Roman" w:hAnsi="Times New Roman" w:cs="Times New Roman"/>
                <w:szCs w:val="24"/>
                <w:lang w:eastAsia="en-IN"/>
              </w:rPr>
            </w:pPr>
            <w:r w:rsidRPr="00BA1C8E">
              <w:rPr>
                <w:rFonts w:ascii="Times New Roman" w:hAnsi="Times New Roman" w:cs="Times New Roman"/>
                <w:szCs w:val="24"/>
                <w:lang w:eastAsia="en-IN"/>
              </w:rPr>
              <w:t>..</w:t>
            </w:r>
          </w:p>
        </w:tc>
        <w:tc>
          <w:tcPr>
            <w:tcW w:w="1622" w:type="dxa"/>
            <w:tcBorders>
              <w:top w:val="nil"/>
              <w:left w:val="nil"/>
              <w:bottom w:val="single" w:sz="4" w:space="0" w:color="auto"/>
              <w:right w:val="single" w:sz="4" w:space="0" w:color="auto"/>
            </w:tcBorders>
            <w:noWrap/>
            <w:vAlign w:val="center"/>
            <w:hideMark/>
          </w:tcPr>
          <w:p w14:paraId="2219F81F" w14:textId="77777777" w:rsidR="00E51E56" w:rsidRPr="00BA1C8E" w:rsidRDefault="00E51E56" w:rsidP="00BA1C8E">
            <w:pPr>
              <w:pStyle w:val="NoSpacing"/>
              <w:jc w:val="center"/>
              <w:rPr>
                <w:rFonts w:ascii="Times New Roman" w:hAnsi="Times New Roman" w:cs="Times New Roman"/>
                <w:szCs w:val="24"/>
                <w:lang w:eastAsia="en-IN"/>
              </w:rPr>
            </w:pPr>
            <w:r w:rsidRPr="00BA1C8E">
              <w:rPr>
                <w:rFonts w:ascii="Times New Roman" w:hAnsi="Times New Roman" w:cs="Times New Roman"/>
                <w:szCs w:val="24"/>
                <w:lang w:eastAsia="en-IN"/>
              </w:rPr>
              <w:t>..</w:t>
            </w:r>
          </w:p>
        </w:tc>
        <w:tc>
          <w:tcPr>
            <w:tcW w:w="2064" w:type="dxa"/>
            <w:tcBorders>
              <w:top w:val="nil"/>
              <w:left w:val="nil"/>
              <w:bottom w:val="single" w:sz="4" w:space="0" w:color="auto"/>
              <w:right w:val="single" w:sz="4" w:space="0" w:color="auto"/>
            </w:tcBorders>
            <w:noWrap/>
            <w:vAlign w:val="center"/>
            <w:hideMark/>
          </w:tcPr>
          <w:p w14:paraId="59508EB5" w14:textId="77777777" w:rsidR="00E51E56" w:rsidRPr="00BA1C8E" w:rsidRDefault="00E51E56" w:rsidP="00BA1C8E">
            <w:pPr>
              <w:pStyle w:val="NoSpacing"/>
              <w:jc w:val="center"/>
              <w:rPr>
                <w:rFonts w:ascii="Times New Roman" w:hAnsi="Times New Roman" w:cs="Times New Roman"/>
                <w:szCs w:val="24"/>
                <w:lang w:eastAsia="en-IN"/>
              </w:rPr>
            </w:pPr>
            <w:r w:rsidRPr="00BA1C8E">
              <w:rPr>
                <w:rFonts w:ascii="Times New Roman" w:hAnsi="Times New Roman" w:cs="Times New Roman"/>
                <w:szCs w:val="24"/>
                <w:lang w:eastAsia="en-IN"/>
              </w:rPr>
              <w:t>..</w:t>
            </w:r>
          </w:p>
        </w:tc>
        <w:tc>
          <w:tcPr>
            <w:tcW w:w="1327" w:type="dxa"/>
            <w:tcBorders>
              <w:top w:val="nil"/>
              <w:left w:val="nil"/>
              <w:bottom w:val="single" w:sz="4" w:space="0" w:color="auto"/>
              <w:right w:val="single" w:sz="4" w:space="0" w:color="auto"/>
            </w:tcBorders>
            <w:noWrap/>
            <w:vAlign w:val="center"/>
            <w:hideMark/>
          </w:tcPr>
          <w:p w14:paraId="027FA09B" w14:textId="77777777" w:rsidR="00E51E56" w:rsidRPr="00BA1C8E" w:rsidRDefault="00E51E56" w:rsidP="00BA1C8E">
            <w:pPr>
              <w:pStyle w:val="NoSpacing"/>
              <w:jc w:val="center"/>
              <w:rPr>
                <w:rFonts w:ascii="Times New Roman" w:hAnsi="Times New Roman" w:cs="Times New Roman"/>
                <w:szCs w:val="24"/>
                <w:lang w:eastAsia="en-IN"/>
              </w:rPr>
            </w:pPr>
            <w:r w:rsidRPr="00BA1C8E">
              <w:rPr>
                <w:rFonts w:ascii="Times New Roman" w:hAnsi="Times New Roman" w:cs="Times New Roman"/>
                <w:szCs w:val="24"/>
                <w:lang w:eastAsia="en-IN"/>
              </w:rPr>
              <w:t>..</w:t>
            </w:r>
          </w:p>
        </w:tc>
        <w:tc>
          <w:tcPr>
            <w:tcW w:w="1474" w:type="dxa"/>
            <w:tcBorders>
              <w:top w:val="nil"/>
              <w:left w:val="nil"/>
              <w:bottom w:val="single" w:sz="4" w:space="0" w:color="auto"/>
              <w:right w:val="single" w:sz="4" w:space="0" w:color="auto"/>
            </w:tcBorders>
            <w:noWrap/>
            <w:vAlign w:val="center"/>
            <w:hideMark/>
          </w:tcPr>
          <w:p w14:paraId="75410E88" w14:textId="77777777" w:rsidR="00E51E56" w:rsidRPr="00BA1C8E" w:rsidRDefault="00E51E56" w:rsidP="00BA1C8E">
            <w:pPr>
              <w:pStyle w:val="NoSpacing"/>
              <w:jc w:val="center"/>
              <w:rPr>
                <w:rFonts w:ascii="Times New Roman" w:hAnsi="Times New Roman" w:cs="Times New Roman"/>
                <w:szCs w:val="24"/>
                <w:lang w:eastAsia="en-IN"/>
              </w:rPr>
            </w:pPr>
            <w:r w:rsidRPr="00BA1C8E">
              <w:rPr>
                <w:rFonts w:ascii="Times New Roman" w:hAnsi="Times New Roman" w:cs="Times New Roman"/>
                <w:szCs w:val="24"/>
                <w:lang w:eastAsia="en-IN"/>
              </w:rPr>
              <w:t>..</w:t>
            </w:r>
          </w:p>
        </w:tc>
      </w:tr>
      <w:tr w:rsidR="00E51E56" w:rsidRPr="00BA1C8E" w14:paraId="0B5156DB" w14:textId="77777777" w:rsidTr="00BA1C8E">
        <w:trPr>
          <w:trHeight w:val="371"/>
        </w:trPr>
        <w:tc>
          <w:tcPr>
            <w:tcW w:w="1582" w:type="dxa"/>
            <w:tcBorders>
              <w:top w:val="nil"/>
              <w:left w:val="single" w:sz="4" w:space="0" w:color="auto"/>
              <w:bottom w:val="single" w:sz="4" w:space="0" w:color="auto"/>
              <w:right w:val="single" w:sz="4" w:space="0" w:color="auto"/>
            </w:tcBorders>
            <w:noWrap/>
            <w:vAlign w:val="bottom"/>
            <w:hideMark/>
          </w:tcPr>
          <w:p w14:paraId="71CCFEAC" w14:textId="77777777" w:rsidR="00E51E56" w:rsidRPr="00BA1C8E" w:rsidRDefault="00E51E56" w:rsidP="00E51E56">
            <w:pPr>
              <w:pStyle w:val="NoSpacing"/>
              <w:rPr>
                <w:rFonts w:ascii="Times New Roman" w:hAnsi="Times New Roman" w:cs="Times New Roman"/>
                <w:szCs w:val="24"/>
                <w:lang w:eastAsia="en-IN"/>
              </w:rPr>
            </w:pPr>
            <w:r w:rsidRPr="00BA1C8E">
              <w:rPr>
                <w:rFonts w:ascii="Times New Roman" w:hAnsi="Times New Roman" w:cs="Times New Roman"/>
                <w:szCs w:val="24"/>
                <w:lang w:eastAsia="en-IN"/>
              </w:rPr>
              <w:t>TOTAL</w:t>
            </w:r>
          </w:p>
        </w:tc>
        <w:tc>
          <w:tcPr>
            <w:tcW w:w="1117" w:type="dxa"/>
            <w:tcBorders>
              <w:top w:val="nil"/>
              <w:left w:val="nil"/>
              <w:bottom w:val="single" w:sz="4" w:space="0" w:color="auto"/>
              <w:right w:val="single" w:sz="4" w:space="0" w:color="auto"/>
            </w:tcBorders>
            <w:noWrap/>
            <w:vAlign w:val="center"/>
            <w:hideMark/>
          </w:tcPr>
          <w:p w14:paraId="605302B8" w14:textId="77777777" w:rsidR="00E51E56" w:rsidRPr="00BA1C8E" w:rsidRDefault="00E51E56" w:rsidP="00BA1C8E">
            <w:pPr>
              <w:pStyle w:val="NoSpacing"/>
              <w:jc w:val="center"/>
              <w:rPr>
                <w:rFonts w:ascii="Times New Roman" w:hAnsi="Times New Roman" w:cs="Times New Roman"/>
                <w:szCs w:val="24"/>
                <w:lang w:eastAsia="en-IN"/>
              </w:rPr>
            </w:pPr>
            <w:r w:rsidRPr="00BA1C8E">
              <w:rPr>
                <w:rFonts w:ascii="Times New Roman" w:hAnsi="Times New Roman" w:cs="Times New Roman"/>
                <w:szCs w:val="24"/>
                <w:lang w:eastAsia="en-IN"/>
              </w:rPr>
              <w:t>0.62</w:t>
            </w:r>
          </w:p>
        </w:tc>
        <w:tc>
          <w:tcPr>
            <w:tcW w:w="2319" w:type="dxa"/>
            <w:tcBorders>
              <w:top w:val="nil"/>
              <w:left w:val="nil"/>
              <w:bottom w:val="single" w:sz="4" w:space="0" w:color="auto"/>
              <w:right w:val="single" w:sz="4" w:space="0" w:color="auto"/>
            </w:tcBorders>
            <w:noWrap/>
            <w:vAlign w:val="center"/>
            <w:hideMark/>
          </w:tcPr>
          <w:p w14:paraId="6B9C3EF5" w14:textId="77777777" w:rsidR="00E51E56" w:rsidRPr="00BA1C8E" w:rsidRDefault="00E51E56" w:rsidP="00BA1C8E">
            <w:pPr>
              <w:pStyle w:val="NoSpacing"/>
              <w:jc w:val="center"/>
              <w:rPr>
                <w:rFonts w:ascii="Times New Roman" w:hAnsi="Times New Roman" w:cs="Times New Roman"/>
                <w:szCs w:val="24"/>
                <w:lang w:eastAsia="en-IN"/>
              </w:rPr>
            </w:pPr>
            <w:r w:rsidRPr="00BA1C8E">
              <w:rPr>
                <w:rFonts w:ascii="Times New Roman" w:hAnsi="Times New Roman" w:cs="Times New Roman"/>
                <w:szCs w:val="24"/>
                <w:lang w:eastAsia="en-IN"/>
              </w:rPr>
              <w:t>1.34</w:t>
            </w:r>
          </w:p>
        </w:tc>
        <w:tc>
          <w:tcPr>
            <w:tcW w:w="1622" w:type="dxa"/>
            <w:tcBorders>
              <w:top w:val="nil"/>
              <w:left w:val="nil"/>
              <w:bottom w:val="single" w:sz="4" w:space="0" w:color="auto"/>
              <w:right w:val="single" w:sz="4" w:space="0" w:color="auto"/>
            </w:tcBorders>
            <w:noWrap/>
            <w:vAlign w:val="center"/>
            <w:hideMark/>
          </w:tcPr>
          <w:p w14:paraId="64282F58" w14:textId="77777777" w:rsidR="00E51E56" w:rsidRPr="00BA1C8E" w:rsidRDefault="00E51E56" w:rsidP="00BA1C8E">
            <w:pPr>
              <w:pStyle w:val="NoSpacing"/>
              <w:jc w:val="center"/>
              <w:rPr>
                <w:rFonts w:ascii="Times New Roman" w:hAnsi="Times New Roman" w:cs="Times New Roman"/>
                <w:szCs w:val="24"/>
                <w:lang w:eastAsia="en-IN"/>
              </w:rPr>
            </w:pPr>
            <w:r w:rsidRPr="00BA1C8E">
              <w:rPr>
                <w:rFonts w:ascii="Times New Roman" w:hAnsi="Times New Roman" w:cs="Times New Roman"/>
                <w:szCs w:val="24"/>
                <w:lang w:eastAsia="en-IN"/>
              </w:rPr>
              <w:t>0.71</w:t>
            </w:r>
          </w:p>
        </w:tc>
        <w:tc>
          <w:tcPr>
            <w:tcW w:w="2064" w:type="dxa"/>
            <w:tcBorders>
              <w:top w:val="nil"/>
              <w:left w:val="nil"/>
              <w:bottom w:val="single" w:sz="4" w:space="0" w:color="auto"/>
              <w:right w:val="single" w:sz="4" w:space="0" w:color="auto"/>
            </w:tcBorders>
            <w:noWrap/>
            <w:vAlign w:val="center"/>
            <w:hideMark/>
          </w:tcPr>
          <w:p w14:paraId="74AD23FF" w14:textId="77777777" w:rsidR="00E51E56" w:rsidRPr="00BA1C8E" w:rsidRDefault="00E51E56" w:rsidP="00BA1C8E">
            <w:pPr>
              <w:pStyle w:val="NoSpacing"/>
              <w:jc w:val="center"/>
              <w:rPr>
                <w:rFonts w:ascii="Times New Roman" w:hAnsi="Times New Roman" w:cs="Times New Roman"/>
                <w:szCs w:val="24"/>
                <w:lang w:eastAsia="en-IN"/>
              </w:rPr>
            </w:pPr>
            <w:r w:rsidRPr="00BA1C8E">
              <w:rPr>
                <w:rFonts w:ascii="Times New Roman" w:hAnsi="Times New Roman" w:cs="Times New Roman"/>
                <w:szCs w:val="24"/>
                <w:lang w:eastAsia="en-IN"/>
              </w:rPr>
              <w:t>0.89</w:t>
            </w:r>
          </w:p>
        </w:tc>
        <w:tc>
          <w:tcPr>
            <w:tcW w:w="1327" w:type="dxa"/>
            <w:tcBorders>
              <w:top w:val="nil"/>
              <w:left w:val="nil"/>
              <w:bottom w:val="single" w:sz="4" w:space="0" w:color="auto"/>
              <w:right w:val="single" w:sz="4" w:space="0" w:color="auto"/>
            </w:tcBorders>
            <w:noWrap/>
            <w:vAlign w:val="center"/>
            <w:hideMark/>
          </w:tcPr>
          <w:p w14:paraId="314AF675" w14:textId="77777777" w:rsidR="00E51E56" w:rsidRPr="00BA1C8E" w:rsidRDefault="00E51E56" w:rsidP="00BA1C8E">
            <w:pPr>
              <w:pStyle w:val="NoSpacing"/>
              <w:jc w:val="center"/>
              <w:rPr>
                <w:rFonts w:ascii="Times New Roman" w:hAnsi="Times New Roman" w:cs="Times New Roman"/>
                <w:szCs w:val="24"/>
                <w:lang w:eastAsia="en-IN"/>
              </w:rPr>
            </w:pPr>
            <w:r w:rsidRPr="00BA1C8E">
              <w:rPr>
                <w:rFonts w:ascii="Times New Roman" w:hAnsi="Times New Roman" w:cs="Times New Roman"/>
                <w:szCs w:val="24"/>
                <w:lang w:eastAsia="en-IN"/>
              </w:rPr>
              <w:t>1.95</w:t>
            </w:r>
          </w:p>
        </w:tc>
        <w:tc>
          <w:tcPr>
            <w:tcW w:w="1474" w:type="dxa"/>
            <w:tcBorders>
              <w:top w:val="nil"/>
              <w:left w:val="nil"/>
              <w:bottom w:val="single" w:sz="4" w:space="0" w:color="auto"/>
              <w:right w:val="single" w:sz="4" w:space="0" w:color="auto"/>
            </w:tcBorders>
            <w:noWrap/>
            <w:vAlign w:val="center"/>
            <w:hideMark/>
          </w:tcPr>
          <w:p w14:paraId="23DDB40F" w14:textId="77777777" w:rsidR="00E51E56" w:rsidRPr="00BA1C8E" w:rsidRDefault="00E51E56" w:rsidP="00BA1C8E">
            <w:pPr>
              <w:pStyle w:val="NoSpacing"/>
              <w:jc w:val="center"/>
              <w:rPr>
                <w:rFonts w:ascii="Times New Roman" w:hAnsi="Times New Roman" w:cs="Times New Roman"/>
                <w:szCs w:val="24"/>
                <w:lang w:eastAsia="en-IN"/>
              </w:rPr>
            </w:pPr>
            <w:r w:rsidRPr="00BA1C8E">
              <w:rPr>
                <w:rFonts w:ascii="Times New Roman" w:hAnsi="Times New Roman" w:cs="Times New Roman"/>
                <w:szCs w:val="24"/>
                <w:lang w:eastAsia="en-IN"/>
              </w:rPr>
              <w:t>5.36</w:t>
            </w:r>
          </w:p>
        </w:tc>
      </w:tr>
    </w:tbl>
    <w:p w14:paraId="36D382D6" w14:textId="4A7DB3E6" w:rsidR="00E51E56" w:rsidRPr="007245B0" w:rsidRDefault="00E51E56" w:rsidP="00E51E56">
      <w:pPr>
        <w:jc w:val="right"/>
        <w:rPr>
          <w:rFonts w:ascii="Times New Roman" w:hAnsi="Times New Roman" w:cs="Times New Roman"/>
          <w:b/>
          <w:bCs/>
        </w:rPr>
      </w:pPr>
      <w:r w:rsidRPr="007245B0">
        <w:rPr>
          <w:rFonts w:ascii="Times New Roman" w:hAnsi="Times New Roman" w:cs="Times New Roman"/>
          <w:b/>
          <w:bCs/>
        </w:rPr>
        <w:t xml:space="preserve"> (Percentages)</w:t>
      </w:r>
    </w:p>
    <w:p w14:paraId="64B84A15" w14:textId="77777777" w:rsidR="00E51E56" w:rsidRPr="007245B0" w:rsidRDefault="00E51E56" w:rsidP="00BA1C8E">
      <w:pPr>
        <w:pStyle w:val="Sources"/>
      </w:pPr>
      <w:r w:rsidRPr="007245B0">
        <w:t>Notes:</w:t>
      </w:r>
    </w:p>
    <w:p w14:paraId="0CFEF148" w14:textId="77777777" w:rsidR="00E51E56" w:rsidRPr="007245B0" w:rsidRDefault="00E51E56" w:rsidP="00BA1C8E">
      <w:pPr>
        <w:pStyle w:val="Sources"/>
      </w:pPr>
      <w:r w:rsidRPr="007245B0">
        <w:t>* Include Agricultural Income Tax and Land Revenue but excludes royalty on mineral oil.</w:t>
      </w:r>
    </w:p>
    <w:p w14:paraId="2B7B0EFB" w14:textId="77777777" w:rsidR="00E51E56" w:rsidRPr="007245B0" w:rsidRDefault="00E51E56" w:rsidP="00BA1C8E">
      <w:pPr>
        <w:pStyle w:val="Sources"/>
      </w:pPr>
      <w:r w:rsidRPr="007245B0">
        <w:t>** Include taxes on motor vehicles, passengers and goods and road tolls.</w:t>
      </w:r>
    </w:p>
    <w:p w14:paraId="2AFA7306" w14:textId="77777777" w:rsidR="00E51E56" w:rsidRPr="007245B0" w:rsidRDefault="00E51E56" w:rsidP="00BA1C8E">
      <w:pPr>
        <w:pStyle w:val="Sources"/>
      </w:pPr>
      <w:r w:rsidRPr="007245B0">
        <w:rPr>
          <w:i/>
          <w:iCs/>
        </w:rPr>
        <w:t>Source:</w:t>
      </w:r>
      <w:r w:rsidRPr="007245B0">
        <w:t> Per capita income and income from agriculture—Central Statistical Organisation.</w:t>
      </w:r>
    </w:p>
    <w:p w14:paraId="3B6EC1D2" w14:textId="536B5C10" w:rsidR="00E51E56" w:rsidRPr="007245B0" w:rsidRDefault="00E51E56">
      <w:pPr>
        <w:rPr>
          <w:rFonts w:ascii="Times New Roman" w:hAnsi="Times New Roman" w:cs="Times New Roman"/>
        </w:rPr>
      </w:pPr>
      <w:r w:rsidRPr="007245B0">
        <w:rPr>
          <w:rFonts w:ascii="Times New Roman" w:hAnsi="Times New Roman" w:cs="Times New Roman"/>
        </w:rPr>
        <w:br w:type="page"/>
      </w:r>
    </w:p>
    <w:p w14:paraId="430EEA51" w14:textId="6AA340C3" w:rsidR="00E51E56" w:rsidRPr="007245B0" w:rsidRDefault="00574BCE" w:rsidP="00BA1C8E">
      <w:pPr>
        <w:pStyle w:val="Heading4"/>
      </w:pPr>
      <w:bookmarkStart w:id="78" w:name="_Toc220949696"/>
      <w:bookmarkStart w:id="79" w:name="_Toc221114296"/>
      <w:bookmarkStart w:id="80" w:name="_Toc221115319"/>
      <w:r>
        <w:lastRenderedPageBreak/>
        <w:t>Table</w:t>
      </w:r>
      <w:r w:rsidR="00E51E56" w:rsidRPr="007245B0">
        <w:t xml:space="preserve"> 16: Incidence of land revenue per hectare of net area sown</w:t>
      </w:r>
      <w:bookmarkEnd w:id="78"/>
      <w:bookmarkEnd w:id="79"/>
      <w:bookmarkEnd w:id="80"/>
    </w:p>
    <w:tbl>
      <w:tblPr>
        <w:tblW w:w="11114" w:type="dxa"/>
        <w:jc w:val="center"/>
        <w:tblLook w:val="04A0" w:firstRow="1" w:lastRow="0" w:firstColumn="1" w:lastColumn="0" w:noHBand="0" w:noVBand="1"/>
      </w:tblPr>
      <w:tblGrid>
        <w:gridCol w:w="3249"/>
        <w:gridCol w:w="2782"/>
        <w:gridCol w:w="2833"/>
        <w:gridCol w:w="2250"/>
      </w:tblGrid>
      <w:tr w:rsidR="00E51E56" w:rsidRPr="00BA1C8E" w14:paraId="0A4BE51B" w14:textId="77777777" w:rsidTr="00BA1C8E">
        <w:trPr>
          <w:trHeight w:val="1802"/>
          <w:jc w:val="center"/>
        </w:trPr>
        <w:tc>
          <w:tcPr>
            <w:tcW w:w="324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E3FF454" w14:textId="77777777" w:rsidR="00E51E56" w:rsidRPr="00BA1C8E" w:rsidRDefault="00E51E56" w:rsidP="00B77C0B">
            <w:pPr>
              <w:spacing w:after="0" w:line="240" w:lineRule="auto"/>
              <w:ind w:firstLineChars="100" w:firstLine="241"/>
              <w:rPr>
                <w:rFonts w:ascii="Times New Roman" w:eastAsia="Times New Roman" w:hAnsi="Times New Roman" w:cs="Times New Roman"/>
                <w:b/>
                <w:bCs/>
                <w:color w:val="1A1C1E"/>
                <w:kern w:val="0"/>
                <w:szCs w:val="24"/>
                <w:lang w:eastAsia="en-IN"/>
                <w14:ligatures w14:val="none"/>
              </w:rPr>
            </w:pPr>
            <w:r w:rsidRPr="00BA1C8E">
              <w:rPr>
                <w:rFonts w:ascii="Times New Roman" w:eastAsia="Times New Roman" w:hAnsi="Times New Roman" w:cs="Times New Roman"/>
                <w:b/>
                <w:bCs/>
                <w:color w:val="1A1C1E"/>
                <w:kern w:val="0"/>
                <w:szCs w:val="24"/>
                <w:lang w:eastAsia="en-IN"/>
                <w14:ligatures w14:val="none"/>
              </w:rPr>
              <w:t>States</w:t>
            </w:r>
          </w:p>
        </w:tc>
        <w:tc>
          <w:tcPr>
            <w:tcW w:w="2782" w:type="dxa"/>
            <w:tcBorders>
              <w:top w:val="single" w:sz="4" w:space="0" w:color="auto"/>
              <w:left w:val="nil"/>
              <w:bottom w:val="single" w:sz="4" w:space="0" w:color="auto"/>
              <w:right w:val="single" w:sz="4" w:space="0" w:color="auto"/>
            </w:tcBorders>
            <w:shd w:val="clear" w:color="000000" w:fill="FFFFFF"/>
            <w:vAlign w:val="center"/>
            <w:hideMark/>
          </w:tcPr>
          <w:p w14:paraId="668CF841" w14:textId="356596AA" w:rsidR="00E51E56" w:rsidRPr="00BA1C8E" w:rsidRDefault="00E51E56" w:rsidP="005A7AAF">
            <w:pPr>
              <w:spacing w:after="0" w:line="240" w:lineRule="auto"/>
              <w:jc w:val="center"/>
              <w:rPr>
                <w:rFonts w:ascii="Times New Roman" w:eastAsia="Times New Roman" w:hAnsi="Times New Roman" w:cs="Times New Roman"/>
                <w:b/>
                <w:bCs/>
                <w:color w:val="1A1C1E"/>
                <w:kern w:val="0"/>
                <w:szCs w:val="24"/>
                <w:lang w:eastAsia="en-IN"/>
                <w14:ligatures w14:val="none"/>
              </w:rPr>
            </w:pPr>
            <w:r w:rsidRPr="00BA1C8E">
              <w:rPr>
                <w:rFonts w:ascii="Times New Roman" w:eastAsia="Times New Roman" w:hAnsi="Times New Roman" w:cs="Times New Roman"/>
                <w:b/>
                <w:bCs/>
                <w:color w:val="1A1C1E"/>
                <w:kern w:val="0"/>
                <w:szCs w:val="24"/>
                <w:lang w:eastAsia="en-IN"/>
                <w14:ligatures w14:val="none"/>
              </w:rPr>
              <w:t>Land revenue in 1967-68</w:t>
            </w:r>
          </w:p>
          <w:p w14:paraId="491CC93A" w14:textId="77777777" w:rsidR="00E51E56" w:rsidRPr="00BA1C8E" w:rsidRDefault="00E51E56" w:rsidP="005A7AAF">
            <w:pPr>
              <w:spacing w:after="0" w:line="240" w:lineRule="auto"/>
              <w:ind w:firstLineChars="100" w:firstLine="241"/>
              <w:jc w:val="center"/>
              <w:rPr>
                <w:rFonts w:ascii="Times New Roman" w:eastAsia="Times New Roman" w:hAnsi="Times New Roman" w:cs="Times New Roman"/>
                <w:b/>
                <w:bCs/>
                <w:color w:val="1A1C1E"/>
                <w:kern w:val="0"/>
                <w:szCs w:val="24"/>
                <w:lang w:eastAsia="en-IN"/>
                <w14:ligatures w14:val="none"/>
              </w:rPr>
            </w:pPr>
            <w:r w:rsidRPr="00BA1C8E">
              <w:rPr>
                <w:rFonts w:ascii="Times New Roman" w:eastAsia="Times New Roman" w:hAnsi="Times New Roman" w:cs="Times New Roman"/>
                <w:b/>
                <w:bCs/>
                <w:color w:val="1A1C1E"/>
                <w:kern w:val="0"/>
                <w:szCs w:val="24"/>
                <w:lang w:eastAsia="en-IN"/>
                <w14:ligatures w14:val="none"/>
              </w:rPr>
              <w:t>(Rs. crores)</w:t>
            </w:r>
          </w:p>
        </w:tc>
        <w:tc>
          <w:tcPr>
            <w:tcW w:w="2833" w:type="dxa"/>
            <w:tcBorders>
              <w:top w:val="single" w:sz="4" w:space="0" w:color="auto"/>
              <w:left w:val="nil"/>
              <w:bottom w:val="single" w:sz="4" w:space="0" w:color="auto"/>
              <w:right w:val="single" w:sz="4" w:space="0" w:color="auto"/>
            </w:tcBorders>
            <w:shd w:val="clear" w:color="000000" w:fill="FFFFFF"/>
            <w:vAlign w:val="center"/>
            <w:hideMark/>
          </w:tcPr>
          <w:p w14:paraId="70609A52" w14:textId="1551C7B6" w:rsidR="00E51E56" w:rsidRPr="00BA1C8E" w:rsidRDefault="00E51E56" w:rsidP="005A7AAF">
            <w:pPr>
              <w:spacing w:after="0" w:line="240" w:lineRule="auto"/>
              <w:jc w:val="center"/>
              <w:rPr>
                <w:rFonts w:ascii="Times New Roman" w:eastAsia="Times New Roman" w:hAnsi="Times New Roman" w:cs="Times New Roman"/>
                <w:b/>
                <w:bCs/>
                <w:color w:val="1A1C1E"/>
                <w:kern w:val="0"/>
                <w:szCs w:val="24"/>
                <w:lang w:eastAsia="en-IN"/>
                <w14:ligatures w14:val="none"/>
              </w:rPr>
            </w:pPr>
            <w:r w:rsidRPr="00BA1C8E">
              <w:rPr>
                <w:rFonts w:ascii="Times New Roman" w:eastAsia="Times New Roman" w:hAnsi="Times New Roman" w:cs="Times New Roman"/>
                <w:b/>
                <w:bCs/>
                <w:color w:val="1A1C1E"/>
                <w:kern w:val="0"/>
                <w:szCs w:val="24"/>
                <w:lang w:eastAsia="en-IN"/>
                <w14:ligatures w14:val="none"/>
              </w:rPr>
              <w:t>Net area sown in 1965-1966*</w:t>
            </w:r>
          </w:p>
          <w:p w14:paraId="450D3D57" w14:textId="77777777" w:rsidR="00E51E56" w:rsidRPr="00BA1C8E" w:rsidRDefault="00E51E56" w:rsidP="005A7AAF">
            <w:pPr>
              <w:spacing w:after="0" w:line="240" w:lineRule="auto"/>
              <w:ind w:firstLineChars="100" w:firstLine="241"/>
              <w:jc w:val="center"/>
              <w:rPr>
                <w:rFonts w:ascii="Times New Roman" w:eastAsia="Times New Roman" w:hAnsi="Times New Roman" w:cs="Times New Roman"/>
                <w:b/>
                <w:bCs/>
                <w:color w:val="1A1C1E"/>
                <w:kern w:val="0"/>
                <w:szCs w:val="24"/>
                <w:lang w:eastAsia="en-IN"/>
                <w14:ligatures w14:val="none"/>
              </w:rPr>
            </w:pPr>
            <w:r w:rsidRPr="00BA1C8E">
              <w:rPr>
                <w:rFonts w:ascii="Times New Roman" w:eastAsia="Times New Roman" w:hAnsi="Times New Roman" w:cs="Times New Roman"/>
                <w:b/>
                <w:bCs/>
                <w:color w:val="1A1C1E"/>
                <w:kern w:val="0"/>
                <w:szCs w:val="24"/>
                <w:lang w:eastAsia="en-IN"/>
                <w14:ligatures w14:val="none"/>
              </w:rPr>
              <w:t>(Thousand hectares)</w:t>
            </w:r>
          </w:p>
        </w:tc>
        <w:tc>
          <w:tcPr>
            <w:tcW w:w="2250" w:type="dxa"/>
            <w:tcBorders>
              <w:top w:val="single" w:sz="4" w:space="0" w:color="auto"/>
              <w:left w:val="nil"/>
              <w:bottom w:val="single" w:sz="4" w:space="0" w:color="auto"/>
              <w:right w:val="single" w:sz="4" w:space="0" w:color="auto"/>
            </w:tcBorders>
            <w:shd w:val="clear" w:color="000000" w:fill="FFFFFF"/>
            <w:vAlign w:val="center"/>
            <w:hideMark/>
          </w:tcPr>
          <w:p w14:paraId="27F70EB2" w14:textId="77777777" w:rsidR="00E51E56" w:rsidRPr="00BA1C8E" w:rsidRDefault="00E51E56" w:rsidP="005A7AAF">
            <w:pPr>
              <w:spacing w:after="0" w:line="240" w:lineRule="auto"/>
              <w:jc w:val="center"/>
              <w:rPr>
                <w:rFonts w:ascii="Times New Roman" w:eastAsia="Times New Roman" w:hAnsi="Times New Roman" w:cs="Times New Roman"/>
                <w:b/>
                <w:bCs/>
                <w:color w:val="1A1C1E"/>
                <w:kern w:val="0"/>
                <w:szCs w:val="24"/>
                <w:lang w:eastAsia="en-IN"/>
                <w14:ligatures w14:val="none"/>
              </w:rPr>
            </w:pPr>
            <w:r w:rsidRPr="00BA1C8E">
              <w:rPr>
                <w:rFonts w:ascii="Times New Roman" w:eastAsia="Times New Roman" w:hAnsi="Times New Roman" w:cs="Times New Roman"/>
                <w:b/>
                <w:bCs/>
                <w:color w:val="1A1C1E"/>
                <w:kern w:val="0"/>
                <w:szCs w:val="24"/>
                <w:lang w:eastAsia="en-IN"/>
                <w14:ligatures w14:val="none"/>
              </w:rPr>
              <w:t>Land revenue per hectare</w:t>
            </w:r>
          </w:p>
          <w:p w14:paraId="4BFB7F35" w14:textId="7D673D52" w:rsidR="00E51E56" w:rsidRPr="00BA1C8E" w:rsidRDefault="00E51E56" w:rsidP="005A7AAF">
            <w:pPr>
              <w:spacing w:after="0" w:line="240" w:lineRule="auto"/>
              <w:jc w:val="center"/>
              <w:rPr>
                <w:rFonts w:ascii="Times New Roman" w:eastAsia="Times New Roman" w:hAnsi="Times New Roman" w:cs="Times New Roman"/>
                <w:b/>
                <w:bCs/>
                <w:color w:val="1A1C1E"/>
                <w:kern w:val="0"/>
                <w:szCs w:val="24"/>
                <w:lang w:eastAsia="en-IN"/>
                <w14:ligatures w14:val="none"/>
              </w:rPr>
            </w:pPr>
            <w:r w:rsidRPr="00BA1C8E">
              <w:rPr>
                <w:rFonts w:ascii="Times New Roman" w:eastAsia="Times New Roman" w:hAnsi="Times New Roman" w:cs="Times New Roman"/>
                <w:b/>
                <w:bCs/>
                <w:color w:val="1A1C1E"/>
                <w:kern w:val="0"/>
                <w:szCs w:val="24"/>
                <w:lang w:eastAsia="en-IN"/>
                <w14:ligatures w14:val="none"/>
              </w:rPr>
              <w:t>(Rupees)</w:t>
            </w:r>
          </w:p>
        </w:tc>
      </w:tr>
      <w:tr w:rsidR="00E51E56" w:rsidRPr="00BA1C8E" w14:paraId="24E1A474" w14:textId="77777777" w:rsidTr="00BA1C8E">
        <w:trPr>
          <w:trHeight w:val="286"/>
          <w:jc w:val="center"/>
        </w:trPr>
        <w:tc>
          <w:tcPr>
            <w:tcW w:w="3249" w:type="dxa"/>
            <w:tcBorders>
              <w:top w:val="nil"/>
              <w:left w:val="single" w:sz="4" w:space="0" w:color="auto"/>
              <w:bottom w:val="single" w:sz="4" w:space="0" w:color="auto"/>
              <w:right w:val="single" w:sz="4" w:space="0" w:color="auto"/>
            </w:tcBorders>
            <w:shd w:val="clear" w:color="000000" w:fill="FFFFFF"/>
            <w:vAlign w:val="center"/>
          </w:tcPr>
          <w:p w14:paraId="1CA0EFEA" w14:textId="77777777" w:rsidR="00E51E56" w:rsidRPr="00BA1C8E" w:rsidRDefault="00E51E56" w:rsidP="00B77C0B">
            <w:pPr>
              <w:spacing w:after="0" w:line="240" w:lineRule="auto"/>
              <w:ind w:firstLineChars="100" w:firstLine="241"/>
              <w:jc w:val="center"/>
              <w:rPr>
                <w:rFonts w:ascii="Times New Roman" w:eastAsia="Times New Roman" w:hAnsi="Times New Roman" w:cs="Times New Roman"/>
                <w:b/>
                <w:bCs/>
                <w:color w:val="1A1C1E"/>
                <w:kern w:val="0"/>
                <w:szCs w:val="24"/>
                <w:lang w:eastAsia="en-IN"/>
                <w14:ligatures w14:val="none"/>
              </w:rPr>
            </w:pPr>
            <w:r w:rsidRPr="00BA1C8E">
              <w:rPr>
                <w:rFonts w:ascii="Times New Roman" w:eastAsia="Times New Roman" w:hAnsi="Times New Roman" w:cs="Times New Roman"/>
                <w:b/>
                <w:bCs/>
                <w:color w:val="1A1C1E"/>
                <w:kern w:val="0"/>
                <w:szCs w:val="24"/>
                <w:lang w:eastAsia="en-IN"/>
                <w14:ligatures w14:val="none"/>
              </w:rPr>
              <w:t>1</w:t>
            </w:r>
          </w:p>
        </w:tc>
        <w:tc>
          <w:tcPr>
            <w:tcW w:w="2782" w:type="dxa"/>
            <w:tcBorders>
              <w:top w:val="nil"/>
              <w:left w:val="nil"/>
              <w:bottom w:val="single" w:sz="4" w:space="0" w:color="auto"/>
              <w:right w:val="single" w:sz="4" w:space="0" w:color="auto"/>
            </w:tcBorders>
            <w:shd w:val="clear" w:color="000000" w:fill="FFFFFF"/>
            <w:vAlign w:val="center"/>
          </w:tcPr>
          <w:p w14:paraId="652092D6" w14:textId="77777777" w:rsidR="00E51E56" w:rsidRPr="00BA1C8E" w:rsidRDefault="00E51E56" w:rsidP="005A7AAF">
            <w:pPr>
              <w:spacing w:after="0" w:line="240" w:lineRule="auto"/>
              <w:ind w:firstLineChars="100" w:firstLine="241"/>
              <w:jc w:val="center"/>
              <w:rPr>
                <w:rFonts w:ascii="Times New Roman" w:eastAsia="Times New Roman" w:hAnsi="Times New Roman" w:cs="Times New Roman"/>
                <w:b/>
                <w:bCs/>
                <w:color w:val="1A1C1E"/>
                <w:kern w:val="0"/>
                <w:szCs w:val="24"/>
                <w:lang w:eastAsia="en-IN"/>
                <w14:ligatures w14:val="none"/>
              </w:rPr>
            </w:pPr>
            <w:r w:rsidRPr="00BA1C8E">
              <w:rPr>
                <w:rFonts w:ascii="Times New Roman" w:eastAsia="Times New Roman" w:hAnsi="Times New Roman" w:cs="Times New Roman"/>
                <w:b/>
                <w:bCs/>
                <w:color w:val="1A1C1E"/>
                <w:kern w:val="0"/>
                <w:szCs w:val="24"/>
                <w:lang w:eastAsia="en-IN"/>
                <w14:ligatures w14:val="none"/>
              </w:rPr>
              <w:t>2</w:t>
            </w:r>
          </w:p>
        </w:tc>
        <w:tc>
          <w:tcPr>
            <w:tcW w:w="2833" w:type="dxa"/>
            <w:tcBorders>
              <w:top w:val="nil"/>
              <w:left w:val="nil"/>
              <w:bottom w:val="single" w:sz="4" w:space="0" w:color="auto"/>
              <w:right w:val="single" w:sz="4" w:space="0" w:color="auto"/>
            </w:tcBorders>
            <w:shd w:val="clear" w:color="000000" w:fill="FFFFFF"/>
            <w:vAlign w:val="center"/>
          </w:tcPr>
          <w:p w14:paraId="2DAE09BD" w14:textId="77777777" w:rsidR="00E51E56" w:rsidRPr="00BA1C8E" w:rsidRDefault="00E51E56" w:rsidP="005A7AAF">
            <w:pPr>
              <w:spacing w:after="0" w:line="240" w:lineRule="auto"/>
              <w:ind w:firstLineChars="100" w:firstLine="241"/>
              <w:jc w:val="center"/>
              <w:rPr>
                <w:rFonts w:ascii="Times New Roman" w:eastAsia="Times New Roman" w:hAnsi="Times New Roman" w:cs="Times New Roman"/>
                <w:b/>
                <w:bCs/>
                <w:color w:val="1A1C1E"/>
                <w:kern w:val="0"/>
                <w:szCs w:val="24"/>
                <w:lang w:eastAsia="en-IN"/>
                <w14:ligatures w14:val="none"/>
              </w:rPr>
            </w:pPr>
            <w:r w:rsidRPr="00BA1C8E">
              <w:rPr>
                <w:rFonts w:ascii="Times New Roman" w:eastAsia="Times New Roman" w:hAnsi="Times New Roman" w:cs="Times New Roman"/>
                <w:b/>
                <w:bCs/>
                <w:color w:val="1A1C1E"/>
                <w:kern w:val="0"/>
                <w:szCs w:val="24"/>
                <w:lang w:eastAsia="en-IN"/>
                <w14:ligatures w14:val="none"/>
              </w:rPr>
              <w:t>3</w:t>
            </w:r>
          </w:p>
        </w:tc>
        <w:tc>
          <w:tcPr>
            <w:tcW w:w="2250" w:type="dxa"/>
            <w:tcBorders>
              <w:top w:val="nil"/>
              <w:left w:val="nil"/>
              <w:bottom w:val="single" w:sz="4" w:space="0" w:color="auto"/>
              <w:right w:val="single" w:sz="4" w:space="0" w:color="auto"/>
            </w:tcBorders>
            <w:shd w:val="clear" w:color="000000" w:fill="FFFFFF"/>
            <w:vAlign w:val="center"/>
          </w:tcPr>
          <w:p w14:paraId="08B86404" w14:textId="77777777" w:rsidR="00E51E56" w:rsidRPr="00BA1C8E" w:rsidRDefault="00E51E56" w:rsidP="005A7AAF">
            <w:pPr>
              <w:spacing w:after="0" w:line="240" w:lineRule="auto"/>
              <w:ind w:firstLineChars="100" w:firstLine="241"/>
              <w:jc w:val="center"/>
              <w:rPr>
                <w:rFonts w:ascii="Times New Roman" w:eastAsia="Times New Roman" w:hAnsi="Times New Roman" w:cs="Times New Roman"/>
                <w:b/>
                <w:bCs/>
                <w:color w:val="1A1C1E"/>
                <w:kern w:val="0"/>
                <w:szCs w:val="24"/>
                <w:lang w:eastAsia="en-IN"/>
                <w14:ligatures w14:val="none"/>
              </w:rPr>
            </w:pPr>
            <w:r w:rsidRPr="00BA1C8E">
              <w:rPr>
                <w:rFonts w:ascii="Times New Roman" w:eastAsia="Times New Roman" w:hAnsi="Times New Roman" w:cs="Times New Roman"/>
                <w:b/>
                <w:bCs/>
                <w:color w:val="1A1C1E"/>
                <w:kern w:val="0"/>
                <w:szCs w:val="24"/>
                <w:lang w:eastAsia="en-IN"/>
                <w14:ligatures w14:val="none"/>
              </w:rPr>
              <w:t>4</w:t>
            </w:r>
          </w:p>
        </w:tc>
      </w:tr>
      <w:tr w:rsidR="00E51E56" w:rsidRPr="00BA1C8E" w14:paraId="4EF701F1" w14:textId="77777777" w:rsidTr="00BA1C8E">
        <w:trPr>
          <w:trHeight w:val="300"/>
          <w:jc w:val="center"/>
        </w:trPr>
        <w:tc>
          <w:tcPr>
            <w:tcW w:w="3249" w:type="dxa"/>
            <w:tcBorders>
              <w:top w:val="nil"/>
              <w:left w:val="single" w:sz="4" w:space="0" w:color="auto"/>
              <w:bottom w:val="single" w:sz="4" w:space="0" w:color="auto"/>
              <w:right w:val="single" w:sz="4" w:space="0" w:color="auto"/>
            </w:tcBorders>
            <w:shd w:val="clear" w:color="000000" w:fill="FFFFFF"/>
            <w:vAlign w:val="center"/>
          </w:tcPr>
          <w:p w14:paraId="7F6EB60D" w14:textId="77777777" w:rsidR="00E51E56" w:rsidRPr="00BA1C8E" w:rsidRDefault="00E51E56" w:rsidP="00B77C0B">
            <w:pPr>
              <w:spacing w:after="0" w:line="240" w:lineRule="auto"/>
              <w:ind w:firstLineChars="100" w:firstLine="240"/>
              <w:rPr>
                <w:rFonts w:ascii="Times New Roman" w:eastAsia="Times New Roman" w:hAnsi="Times New Roman" w:cs="Times New Roman"/>
                <w:color w:val="1A1C1E"/>
                <w:kern w:val="0"/>
                <w:szCs w:val="24"/>
                <w:lang w:eastAsia="en-IN"/>
                <w14:ligatures w14:val="none"/>
              </w:rPr>
            </w:pPr>
            <w:r w:rsidRPr="00BA1C8E">
              <w:rPr>
                <w:rFonts w:ascii="Times New Roman" w:eastAsia="Times New Roman" w:hAnsi="Times New Roman" w:cs="Times New Roman"/>
                <w:color w:val="1A1C1E"/>
                <w:kern w:val="0"/>
                <w:szCs w:val="24"/>
                <w:lang w:eastAsia="en-IN"/>
                <w14:ligatures w14:val="none"/>
              </w:rPr>
              <w:t>Andhra Pradesh</w:t>
            </w:r>
          </w:p>
        </w:tc>
        <w:tc>
          <w:tcPr>
            <w:tcW w:w="2782" w:type="dxa"/>
            <w:tcBorders>
              <w:top w:val="nil"/>
              <w:left w:val="nil"/>
              <w:bottom w:val="single" w:sz="4" w:space="0" w:color="auto"/>
              <w:right w:val="single" w:sz="4" w:space="0" w:color="auto"/>
            </w:tcBorders>
            <w:shd w:val="clear" w:color="000000" w:fill="FFFFFF"/>
            <w:vAlign w:val="center"/>
          </w:tcPr>
          <w:p w14:paraId="554B0E9A" w14:textId="77777777" w:rsidR="00E51E56" w:rsidRPr="00BA1C8E" w:rsidRDefault="00E51E56" w:rsidP="005A7AAF">
            <w:pPr>
              <w:spacing w:after="0" w:line="240" w:lineRule="auto"/>
              <w:ind w:firstLineChars="100" w:firstLine="240"/>
              <w:jc w:val="center"/>
              <w:rPr>
                <w:rFonts w:ascii="Times New Roman" w:eastAsia="Times New Roman" w:hAnsi="Times New Roman" w:cs="Times New Roman"/>
                <w:color w:val="1A1C1E"/>
                <w:kern w:val="0"/>
                <w:szCs w:val="24"/>
                <w:lang w:eastAsia="en-IN"/>
                <w14:ligatures w14:val="none"/>
              </w:rPr>
            </w:pPr>
            <w:r w:rsidRPr="00BA1C8E">
              <w:rPr>
                <w:rFonts w:ascii="Times New Roman" w:eastAsia="Times New Roman" w:hAnsi="Times New Roman" w:cs="Times New Roman"/>
                <w:color w:val="1A1C1E"/>
                <w:kern w:val="0"/>
                <w:szCs w:val="24"/>
                <w:lang w:eastAsia="en-IN"/>
                <w14:ligatures w14:val="none"/>
              </w:rPr>
              <w:t>7.90**</w:t>
            </w:r>
          </w:p>
        </w:tc>
        <w:tc>
          <w:tcPr>
            <w:tcW w:w="2833" w:type="dxa"/>
            <w:tcBorders>
              <w:top w:val="nil"/>
              <w:left w:val="nil"/>
              <w:bottom w:val="single" w:sz="4" w:space="0" w:color="auto"/>
              <w:right w:val="single" w:sz="4" w:space="0" w:color="auto"/>
            </w:tcBorders>
            <w:shd w:val="clear" w:color="000000" w:fill="FFFFFF"/>
            <w:vAlign w:val="center"/>
          </w:tcPr>
          <w:p w14:paraId="3B7C09C7" w14:textId="77777777" w:rsidR="00E51E56" w:rsidRPr="00BA1C8E" w:rsidRDefault="00E51E56" w:rsidP="005A7AAF">
            <w:pPr>
              <w:spacing w:after="0" w:line="240" w:lineRule="auto"/>
              <w:ind w:firstLineChars="100" w:firstLine="240"/>
              <w:jc w:val="center"/>
              <w:rPr>
                <w:rFonts w:ascii="Times New Roman" w:eastAsia="Times New Roman" w:hAnsi="Times New Roman" w:cs="Times New Roman"/>
                <w:color w:val="1A1C1E"/>
                <w:kern w:val="0"/>
                <w:szCs w:val="24"/>
                <w:lang w:eastAsia="en-IN"/>
                <w14:ligatures w14:val="none"/>
              </w:rPr>
            </w:pPr>
            <w:r w:rsidRPr="00BA1C8E">
              <w:rPr>
                <w:rFonts w:ascii="Times New Roman" w:eastAsia="Times New Roman" w:hAnsi="Times New Roman" w:cs="Times New Roman"/>
                <w:color w:val="1A1C1E"/>
                <w:kern w:val="0"/>
                <w:szCs w:val="24"/>
                <w:lang w:eastAsia="en-IN"/>
                <w14:ligatures w14:val="none"/>
              </w:rPr>
              <w:t>10995</w:t>
            </w:r>
          </w:p>
        </w:tc>
        <w:tc>
          <w:tcPr>
            <w:tcW w:w="2250" w:type="dxa"/>
            <w:tcBorders>
              <w:top w:val="nil"/>
              <w:left w:val="nil"/>
              <w:bottom w:val="single" w:sz="4" w:space="0" w:color="auto"/>
              <w:right w:val="single" w:sz="4" w:space="0" w:color="auto"/>
            </w:tcBorders>
            <w:shd w:val="clear" w:color="000000" w:fill="FFFFFF"/>
            <w:vAlign w:val="center"/>
          </w:tcPr>
          <w:p w14:paraId="208FFD59" w14:textId="77777777" w:rsidR="00E51E56" w:rsidRPr="00BA1C8E" w:rsidRDefault="00E51E56" w:rsidP="005A7AAF">
            <w:pPr>
              <w:spacing w:after="0" w:line="240" w:lineRule="auto"/>
              <w:ind w:firstLineChars="100" w:firstLine="240"/>
              <w:jc w:val="center"/>
              <w:rPr>
                <w:rFonts w:ascii="Times New Roman" w:eastAsia="Times New Roman" w:hAnsi="Times New Roman" w:cs="Times New Roman"/>
                <w:color w:val="1A1C1E"/>
                <w:kern w:val="0"/>
                <w:szCs w:val="24"/>
                <w:lang w:eastAsia="en-IN"/>
                <w14:ligatures w14:val="none"/>
              </w:rPr>
            </w:pPr>
            <w:r w:rsidRPr="00BA1C8E">
              <w:rPr>
                <w:rFonts w:ascii="Times New Roman" w:eastAsia="Times New Roman" w:hAnsi="Times New Roman" w:cs="Times New Roman"/>
                <w:color w:val="1A1C1E"/>
                <w:kern w:val="0"/>
                <w:szCs w:val="24"/>
                <w:lang w:eastAsia="en-IN"/>
                <w14:ligatures w14:val="none"/>
              </w:rPr>
              <w:t>7.19</w:t>
            </w:r>
          </w:p>
        </w:tc>
      </w:tr>
      <w:tr w:rsidR="00E51E56" w:rsidRPr="00BA1C8E" w14:paraId="78F3F7A1" w14:textId="77777777" w:rsidTr="00BA1C8E">
        <w:trPr>
          <w:trHeight w:val="300"/>
          <w:jc w:val="center"/>
        </w:trPr>
        <w:tc>
          <w:tcPr>
            <w:tcW w:w="3249" w:type="dxa"/>
            <w:tcBorders>
              <w:top w:val="nil"/>
              <w:left w:val="single" w:sz="4" w:space="0" w:color="auto"/>
              <w:bottom w:val="single" w:sz="4" w:space="0" w:color="auto"/>
              <w:right w:val="single" w:sz="4" w:space="0" w:color="auto"/>
            </w:tcBorders>
            <w:shd w:val="clear" w:color="000000" w:fill="FFFFFF"/>
            <w:vAlign w:val="center"/>
            <w:hideMark/>
          </w:tcPr>
          <w:p w14:paraId="751266BF" w14:textId="77777777" w:rsidR="00E51E56" w:rsidRPr="00BA1C8E" w:rsidRDefault="00E51E56" w:rsidP="00B77C0B">
            <w:pPr>
              <w:spacing w:after="0" w:line="240" w:lineRule="auto"/>
              <w:ind w:firstLineChars="100" w:firstLine="240"/>
              <w:rPr>
                <w:rFonts w:ascii="Times New Roman" w:eastAsia="Times New Roman" w:hAnsi="Times New Roman" w:cs="Times New Roman"/>
                <w:color w:val="1A1C1E"/>
                <w:kern w:val="0"/>
                <w:szCs w:val="24"/>
                <w:lang w:eastAsia="en-IN"/>
                <w14:ligatures w14:val="none"/>
              </w:rPr>
            </w:pPr>
            <w:r w:rsidRPr="00BA1C8E">
              <w:rPr>
                <w:rFonts w:ascii="Times New Roman" w:eastAsia="Times New Roman" w:hAnsi="Times New Roman" w:cs="Times New Roman"/>
                <w:color w:val="1A1C1E"/>
                <w:kern w:val="0"/>
                <w:szCs w:val="24"/>
                <w:lang w:eastAsia="en-IN"/>
                <w14:ligatures w14:val="none"/>
              </w:rPr>
              <w:t>Assam</w:t>
            </w:r>
          </w:p>
        </w:tc>
        <w:tc>
          <w:tcPr>
            <w:tcW w:w="2782" w:type="dxa"/>
            <w:tcBorders>
              <w:top w:val="nil"/>
              <w:left w:val="nil"/>
              <w:bottom w:val="single" w:sz="4" w:space="0" w:color="auto"/>
              <w:right w:val="single" w:sz="4" w:space="0" w:color="auto"/>
            </w:tcBorders>
            <w:shd w:val="clear" w:color="000000" w:fill="FFFFFF"/>
            <w:vAlign w:val="center"/>
            <w:hideMark/>
          </w:tcPr>
          <w:p w14:paraId="5DFC9250" w14:textId="77777777" w:rsidR="00E51E56" w:rsidRPr="00BA1C8E" w:rsidRDefault="00E51E56" w:rsidP="005A7AAF">
            <w:pPr>
              <w:spacing w:after="0" w:line="240" w:lineRule="auto"/>
              <w:ind w:firstLineChars="100" w:firstLine="240"/>
              <w:jc w:val="center"/>
              <w:rPr>
                <w:rFonts w:ascii="Times New Roman" w:eastAsia="Times New Roman" w:hAnsi="Times New Roman" w:cs="Times New Roman"/>
                <w:color w:val="1A1C1E"/>
                <w:kern w:val="0"/>
                <w:szCs w:val="24"/>
                <w:lang w:eastAsia="en-IN"/>
                <w14:ligatures w14:val="none"/>
              </w:rPr>
            </w:pPr>
            <w:r w:rsidRPr="00BA1C8E">
              <w:rPr>
                <w:rFonts w:ascii="Times New Roman" w:eastAsia="Times New Roman" w:hAnsi="Times New Roman" w:cs="Times New Roman"/>
                <w:color w:val="1A1C1E"/>
                <w:kern w:val="0"/>
                <w:szCs w:val="24"/>
                <w:lang w:eastAsia="en-IN"/>
                <w14:ligatures w14:val="none"/>
              </w:rPr>
              <w:t>3.04</w:t>
            </w:r>
          </w:p>
        </w:tc>
        <w:tc>
          <w:tcPr>
            <w:tcW w:w="2833" w:type="dxa"/>
            <w:tcBorders>
              <w:top w:val="nil"/>
              <w:left w:val="nil"/>
              <w:bottom w:val="single" w:sz="4" w:space="0" w:color="auto"/>
              <w:right w:val="single" w:sz="4" w:space="0" w:color="auto"/>
            </w:tcBorders>
            <w:shd w:val="clear" w:color="000000" w:fill="FFFFFF"/>
            <w:vAlign w:val="center"/>
            <w:hideMark/>
          </w:tcPr>
          <w:p w14:paraId="3D85FAAD" w14:textId="77777777" w:rsidR="00E51E56" w:rsidRPr="00BA1C8E" w:rsidRDefault="00E51E56" w:rsidP="005A7AAF">
            <w:pPr>
              <w:spacing w:after="0" w:line="240" w:lineRule="auto"/>
              <w:ind w:firstLineChars="100" w:firstLine="240"/>
              <w:jc w:val="center"/>
              <w:rPr>
                <w:rFonts w:ascii="Times New Roman" w:eastAsia="Times New Roman" w:hAnsi="Times New Roman" w:cs="Times New Roman"/>
                <w:color w:val="1A1C1E"/>
                <w:kern w:val="0"/>
                <w:szCs w:val="24"/>
                <w:lang w:eastAsia="en-IN"/>
                <w14:ligatures w14:val="none"/>
              </w:rPr>
            </w:pPr>
            <w:r w:rsidRPr="00BA1C8E">
              <w:rPr>
                <w:rFonts w:ascii="Times New Roman" w:eastAsia="Times New Roman" w:hAnsi="Times New Roman" w:cs="Times New Roman"/>
                <w:color w:val="1A1C1E"/>
                <w:kern w:val="0"/>
                <w:szCs w:val="24"/>
                <w:lang w:eastAsia="en-IN"/>
                <w14:ligatures w14:val="none"/>
              </w:rPr>
              <w:t>2337</w:t>
            </w:r>
          </w:p>
        </w:tc>
        <w:tc>
          <w:tcPr>
            <w:tcW w:w="2250" w:type="dxa"/>
            <w:tcBorders>
              <w:top w:val="nil"/>
              <w:left w:val="nil"/>
              <w:bottom w:val="single" w:sz="4" w:space="0" w:color="auto"/>
              <w:right w:val="single" w:sz="4" w:space="0" w:color="auto"/>
            </w:tcBorders>
            <w:shd w:val="clear" w:color="000000" w:fill="FFFFFF"/>
            <w:vAlign w:val="center"/>
            <w:hideMark/>
          </w:tcPr>
          <w:p w14:paraId="57EEA31A" w14:textId="77777777" w:rsidR="00E51E56" w:rsidRPr="00BA1C8E" w:rsidRDefault="00E51E56" w:rsidP="005A7AAF">
            <w:pPr>
              <w:spacing w:after="0" w:line="240" w:lineRule="auto"/>
              <w:ind w:firstLineChars="100" w:firstLine="240"/>
              <w:jc w:val="center"/>
              <w:rPr>
                <w:rFonts w:ascii="Times New Roman" w:eastAsia="Times New Roman" w:hAnsi="Times New Roman" w:cs="Times New Roman"/>
                <w:color w:val="1A1C1E"/>
                <w:kern w:val="0"/>
                <w:szCs w:val="24"/>
                <w:lang w:eastAsia="en-IN"/>
                <w14:ligatures w14:val="none"/>
              </w:rPr>
            </w:pPr>
            <w:r w:rsidRPr="00BA1C8E">
              <w:rPr>
                <w:rFonts w:ascii="Times New Roman" w:eastAsia="Times New Roman" w:hAnsi="Times New Roman" w:cs="Times New Roman"/>
                <w:color w:val="1A1C1E"/>
                <w:kern w:val="0"/>
                <w:szCs w:val="24"/>
                <w:lang w:eastAsia="en-IN"/>
                <w14:ligatures w14:val="none"/>
              </w:rPr>
              <w:t>13.01</w:t>
            </w:r>
          </w:p>
        </w:tc>
      </w:tr>
      <w:tr w:rsidR="00E51E56" w:rsidRPr="00BA1C8E" w14:paraId="05E346FB" w14:textId="77777777" w:rsidTr="00BA1C8E">
        <w:trPr>
          <w:trHeight w:val="300"/>
          <w:jc w:val="center"/>
        </w:trPr>
        <w:tc>
          <w:tcPr>
            <w:tcW w:w="3249" w:type="dxa"/>
            <w:tcBorders>
              <w:top w:val="nil"/>
              <w:left w:val="single" w:sz="4" w:space="0" w:color="auto"/>
              <w:bottom w:val="single" w:sz="4" w:space="0" w:color="auto"/>
              <w:right w:val="single" w:sz="4" w:space="0" w:color="auto"/>
            </w:tcBorders>
            <w:shd w:val="clear" w:color="000000" w:fill="FFFFFF"/>
            <w:vAlign w:val="center"/>
            <w:hideMark/>
          </w:tcPr>
          <w:p w14:paraId="426FDDDD" w14:textId="77777777" w:rsidR="00E51E56" w:rsidRPr="00BA1C8E" w:rsidRDefault="00E51E56" w:rsidP="00B77C0B">
            <w:pPr>
              <w:spacing w:after="0" w:line="240" w:lineRule="auto"/>
              <w:ind w:firstLineChars="100" w:firstLine="240"/>
              <w:rPr>
                <w:rFonts w:ascii="Times New Roman" w:eastAsia="Times New Roman" w:hAnsi="Times New Roman" w:cs="Times New Roman"/>
                <w:color w:val="1A1C1E"/>
                <w:kern w:val="0"/>
                <w:szCs w:val="24"/>
                <w:lang w:eastAsia="en-IN"/>
                <w14:ligatures w14:val="none"/>
              </w:rPr>
            </w:pPr>
            <w:r w:rsidRPr="00BA1C8E">
              <w:rPr>
                <w:rFonts w:ascii="Times New Roman" w:eastAsia="Times New Roman" w:hAnsi="Times New Roman" w:cs="Times New Roman"/>
                <w:color w:val="1A1C1E"/>
                <w:kern w:val="0"/>
                <w:szCs w:val="24"/>
                <w:lang w:eastAsia="en-IN"/>
                <w14:ligatures w14:val="none"/>
              </w:rPr>
              <w:t>Bihar</w:t>
            </w:r>
          </w:p>
        </w:tc>
        <w:tc>
          <w:tcPr>
            <w:tcW w:w="2782" w:type="dxa"/>
            <w:tcBorders>
              <w:top w:val="nil"/>
              <w:left w:val="nil"/>
              <w:bottom w:val="single" w:sz="4" w:space="0" w:color="auto"/>
              <w:right w:val="single" w:sz="4" w:space="0" w:color="auto"/>
            </w:tcBorders>
            <w:shd w:val="clear" w:color="000000" w:fill="FFFFFF"/>
            <w:vAlign w:val="center"/>
            <w:hideMark/>
          </w:tcPr>
          <w:p w14:paraId="589F4339" w14:textId="77777777" w:rsidR="00E51E56" w:rsidRPr="00BA1C8E" w:rsidRDefault="00E51E56" w:rsidP="005A7AAF">
            <w:pPr>
              <w:spacing w:after="0" w:line="240" w:lineRule="auto"/>
              <w:ind w:firstLineChars="100" w:firstLine="240"/>
              <w:jc w:val="center"/>
              <w:rPr>
                <w:rFonts w:ascii="Times New Roman" w:eastAsia="Times New Roman" w:hAnsi="Times New Roman" w:cs="Times New Roman"/>
                <w:color w:val="1A1C1E"/>
                <w:kern w:val="0"/>
                <w:szCs w:val="24"/>
                <w:lang w:eastAsia="en-IN"/>
                <w14:ligatures w14:val="none"/>
              </w:rPr>
            </w:pPr>
            <w:r w:rsidRPr="00BA1C8E">
              <w:rPr>
                <w:rFonts w:ascii="Times New Roman" w:eastAsia="Times New Roman" w:hAnsi="Times New Roman" w:cs="Times New Roman"/>
                <w:color w:val="1A1C1E"/>
                <w:kern w:val="0"/>
                <w:szCs w:val="24"/>
                <w:lang w:eastAsia="en-IN"/>
                <w14:ligatures w14:val="none"/>
              </w:rPr>
              <w:t>3.24</w:t>
            </w:r>
          </w:p>
        </w:tc>
        <w:tc>
          <w:tcPr>
            <w:tcW w:w="2833" w:type="dxa"/>
            <w:tcBorders>
              <w:top w:val="nil"/>
              <w:left w:val="nil"/>
              <w:bottom w:val="single" w:sz="4" w:space="0" w:color="auto"/>
              <w:right w:val="single" w:sz="4" w:space="0" w:color="auto"/>
            </w:tcBorders>
            <w:shd w:val="clear" w:color="000000" w:fill="FFFFFF"/>
            <w:vAlign w:val="center"/>
            <w:hideMark/>
          </w:tcPr>
          <w:p w14:paraId="70E2B6AC" w14:textId="77777777" w:rsidR="00E51E56" w:rsidRPr="00BA1C8E" w:rsidRDefault="00E51E56" w:rsidP="005A7AAF">
            <w:pPr>
              <w:spacing w:after="0" w:line="240" w:lineRule="auto"/>
              <w:ind w:firstLineChars="100" w:firstLine="240"/>
              <w:jc w:val="center"/>
              <w:rPr>
                <w:rFonts w:ascii="Times New Roman" w:eastAsia="Times New Roman" w:hAnsi="Times New Roman" w:cs="Times New Roman"/>
                <w:color w:val="1A1C1E"/>
                <w:kern w:val="0"/>
                <w:szCs w:val="24"/>
                <w:lang w:eastAsia="en-IN"/>
                <w14:ligatures w14:val="none"/>
              </w:rPr>
            </w:pPr>
            <w:r w:rsidRPr="00BA1C8E">
              <w:rPr>
                <w:rFonts w:ascii="Times New Roman" w:eastAsia="Times New Roman" w:hAnsi="Times New Roman" w:cs="Times New Roman"/>
                <w:color w:val="1A1C1E"/>
                <w:kern w:val="0"/>
                <w:szCs w:val="24"/>
                <w:lang w:eastAsia="en-IN"/>
                <w14:ligatures w14:val="none"/>
              </w:rPr>
              <w:t>8338</w:t>
            </w:r>
          </w:p>
        </w:tc>
        <w:tc>
          <w:tcPr>
            <w:tcW w:w="2250" w:type="dxa"/>
            <w:tcBorders>
              <w:top w:val="nil"/>
              <w:left w:val="nil"/>
              <w:bottom w:val="single" w:sz="4" w:space="0" w:color="auto"/>
              <w:right w:val="single" w:sz="4" w:space="0" w:color="auto"/>
            </w:tcBorders>
            <w:shd w:val="clear" w:color="000000" w:fill="FFFFFF"/>
            <w:vAlign w:val="center"/>
            <w:hideMark/>
          </w:tcPr>
          <w:p w14:paraId="4486E3F0" w14:textId="77777777" w:rsidR="00E51E56" w:rsidRPr="00BA1C8E" w:rsidRDefault="00E51E56" w:rsidP="005A7AAF">
            <w:pPr>
              <w:spacing w:after="0" w:line="240" w:lineRule="auto"/>
              <w:ind w:firstLineChars="100" w:firstLine="240"/>
              <w:jc w:val="center"/>
              <w:rPr>
                <w:rFonts w:ascii="Times New Roman" w:eastAsia="Times New Roman" w:hAnsi="Times New Roman" w:cs="Times New Roman"/>
                <w:color w:val="1A1C1E"/>
                <w:kern w:val="0"/>
                <w:szCs w:val="24"/>
                <w:lang w:eastAsia="en-IN"/>
                <w14:ligatures w14:val="none"/>
              </w:rPr>
            </w:pPr>
            <w:r w:rsidRPr="00BA1C8E">
              <w:rPr>
                <w:rFonts w:ascii="Times New Roman" w:eastAsia="Times New Roman" w:hAnsi="Times New Roman" w:cs="Times New Roman"/>
                <w:color w:val="1A1C1E"/>
                <w:kern w:val="0"/>
                <w:szCs w:val="24"/>
                <w:lang w:eastAsia="en-IN"/>
                <w14:ligatures w14:val="none"/>
              </w:rPr>
              <w:t>3.89</w:t>
            </w:r>
          </w:p>
        </w:tc>
      </w:tr>
      <w:tr w:rsidR="00E51E56" w:rsidRPr="00BA1C8E" w14:paraId="6E1B88AF" w14:textId="77777777" w:rsidTr="00BA1C8E">
        <w:trPr>
          <w:trHeight w:val="300"/>
          <w:jc w:val="center"/>
        </w:trPr>
        <w:tc>
          <w:tcPr>
            <w:tcW w:w="3249" w:type="dxa"/>
            <w:tcBorders>
              <w:top w:val="nil"/>
              <w:left w:val="single" w:sz="4" w:space="0" w:color="auto"/>
              <w:bottom w:val="single" w:sz="4" w:space="0" w:color="auto"/>
              <w:right w:val="single" w:sz="4" w:space="0" w:color="auto"/>
            </w:tcBorders>
            <w:shd w:val="clear" w:color="000000" w:fill="FFFFFF"/>
            <w:vAlign w:val="center"/>
            <w:hideMark/>
          </w:tcPr>
          <w:p w14:paraId="7B26C806" w14:textId="77777777" w:rsidR="00E51E56" w:rsidRPr="00BA1C8E" w:rsidRDefault="00E51E56" w:rsidP="00B77C0B">
            <w:pPr>
              <w:spacing w:after="0" w:line="240" w:lineRule="auto"/>
              <w:ind w:firstLineChars="100" w:firstLine="240"/>
              <w:rPr>
                <w:rFonts w:ascii="Times New Roman" w:eastAsia="Times New Roman" w:hAnsi="Times New Roman" w:cs="Times New Roman"/>
                <w:color w:val="1A1C1E"/>
                <w:kern w:val="0"/>
                <w:szCs w:val="24"/>
                <w:lang w:eastAsia="en-IN"/>
                <w14:ligatures w14:val="none"/>
              </w:rPr>
            </w:pPr>
            <w:r w:rsidRPr="00BA1C8E">
              <w:rPr>
                <w:rFonts w:ascii="Times New Roman" w:eastAsia="Times New Roman" w:hAnsi="Times New Roman" w:cs="Times New Roman"/>
                <w:color w:val="1A1C1E"/>
                <w:kern w:val="0"/>
                <w:szCs w:val="24"/>
                <w:lang w:eastAsia="en-IN"/>
                <w14:ligatures w14:val="none"/>
              </w:rPr>
              <w:t>Gujarat</w:t>
            </w:r>
          </w:p>
        </w:tc>
        <w:tc>
          <w:tcPr>
            <w:tcW w:w="2782" w:type="dxa"/>
            <w:tcBorders>
              <w:top w:val="nil"/>
              <w:left w:val="nil"/>
              <w:bottom w:val="single" w:sz="4" w:space="0" w:color="auto"/>
              <w:right w:val="single" w:sz="4" w:space="0" w:color="auto"/>
            </w:tcBorders>
            <w:shd w:val="clear" w:color="000000" w:fill="FFFFFF"/>
            <w:vAlign w:val="center"/>
            <w:hideMark/>
          </w:tcPr>
          <w:p w14:paraId="19D47AE7" w14:textId="77777777" w:rsidR="00E51E56" w:rsidRPr="00BA1C8E" w:rsidRDefault="00E51E56" w:rsidP="005A7AAF">
            <w:pPr>
              <w:spacing w:after="0" w:line="240" w:lineRule="auto"/>
              <w:ind w:firstLineChars="100" w:firstLine="240"/>
              <w:jc w:val="center"/>
              <w:rPr>
                <w:rFonts w:ascii="Times New Roman" w:eastAsia="Times New Roman" w:hAnsi="Times New Roman" w:cs="Times New Roman"/>
                <w:color w:val="1A1C1E"/>
                <w:kern w:val="0"/>
                <w:szCs w:val="24"/>
                <w:lang w:eastAsia="en-IN"/>
                <w14:ligatures w14:val="none"/>
              </w:rPr>
            </w:pPr>
            <w:r w:rsidRPr="00BA1C8E">
              <w:rPr>
                <w:rFonts w:ascii="Times New Roman" w:eastAsia="Times New Roman" w:hAnsi="Times New Roman" w:cs="Times New Roman"/>
                <w:color w:val="1A1C1E"/>
                <w:kern w:val="0"/>
                <w:szCs w:val="24"/>
                <w:lang w:eastAsia="en-IN"/>
                <w14:ligatures w14:val="none"/>
              </w:rPr>
              <w:t>7.81</w:t>
            </w:r>
          </w:p>
        </w:tc>
        <w:tc>
          <w:tcPr>
            <w:tcW w:w="2833" w:type="dxa"/>
            <w:tcBorders>
              <w:top w:val="nil"/>
              <w:left w:val="nil"/>
              <w:bottom w:val="single" w:sz="4" w:space="0" w:color="auto"/>
              <w:right w:val="single" w:sz="4" w:space="0" w:color="auto"/>
            </w:tcBorders>
            <w:shd w:val="clear" w:color="000000" w:fill="FFFFFF"/>
            <w:vAlign w:val="center"/>
            <w:hideMark/>
          </w:tcPr>
          <w:p w14:paraId="077BB8FA" w14:textId="77777777" w:rsidR="00E51E56" w:rsidRPr="00BA1C8E" w:rsidRDefault="00E51E56" w:rsidP="005A7AAF">
            <w:pPr>
              <w:spacing w:after="0" w:line="240" w:lineRule="auto"/>
              <w:ind w:firstLineChars="100" w:firstLine="240"/>
              <w:jc w:val="center"/>
              <w:rPr>
                <w:rFonts w:ascii="Times New Roman" w:eastAsia="Times New Roman" w:hAnsi="Times New Roman" w:cs="Times New Roman"/>
                <w:color w:val="1A1C1E"/>
                <w:kern w:val="0"/>
                <w:szCs w:val="24"/>
                <w:lang w:eastAsia="en-IN"/>
                <w14:ligatures w14:val="none"/>
              </w:rPr>
            </w:pPr>
            <w:r w:rsidRPr="00BA1C8E">
              <w:rPr>
                <w:rFonts w:ascii="Times New Roman" w:eastAsia="Times New Roman" w:hAnsi="Times New Roman" w:cs="Times New Roman"/>
                <w:color w:val="1A1C1E"/>
                <w:kern w:val="0"/>
                <w:szCs w:val="24"/>
                <w:lang w:eastAsia="en-IN"/>
                <w14:ligatures w14:val="none"/>
              </w:rPr>
              <w:t>9528</w:t>
            </w:r>
          </w:p>
        </w:tc>
        <w:tc>
          <w:tcPr>
            <w:tcW w:w="2250" w:type="dxa"/>
            <w:tcBorders>
              <w:top w:val="nil"/>
              <w:left w:val="nil"/>
              <w:bottom w:val="single" w:sz="4" w:space="0" w:color="auto"/>
              <w:right w:val="single" w:sz="4" w:space="0" w:color="auto"/>
            </w:tcBorders>
            <w:shd w:val="clear" w:color="000000" w:fill="FFFFFF"/>
            <w:vAlign w:val="center"/>
            <w:hideMark/>
          </w:tcPr>
          <w:p w14:paraId="3074061E" w14:textId="77777777" w:rsidR="00E51E56" w:rsidRPr="00BA1C8E" w:rsidRDefault="00E51E56" w:rsidP="005A7AAF">
            <w:pPr>
              <w:spacing w:after="0" w:line="240" w:lineRule="auto"/>
              <w:ind w:firstLineChars="100" w:firstLine="240"/>
              <w:jc w:val="center"/>
              <w:rPr>
                <w:rFonts w:ascii="Times New Roman" w:eastAsia="Times New Roman" w:hAnsi="Times New Roman" w:cs="Times New Roman"/>
                <w:color w:val="1A1C1E"/>
                <w:kern w:val="0"/>
                <w:szCs w:val="24"/>
                <w:lang w:eastAsia="en-IN"/>
                <w14:ligatures w14:val="none"/>
              </w:rPr>
            </w:pPr>
            <w:r w:rsidRPr="00BA1C8E">
              <w:rPr>
                <w:rFonts w:ascii="Times New Roman" w:eastAsia="Times New Roman" w:hAnsi="Times New Roman" w:cs="Times New Roman"/>
                <w:color w:val="1A1C1E"/>
                <w:kern w:val="0"/>
                <w:szCs w:val="24"/>
                <w:lang w:eastAsia="en-IN"/>
                <w14:ligatures w14:val="none"/>
              </w:rPr>
              <w:t>8.2</w:t>
            </w:r>
          </w:p>
        </w:tc>
      </w:tr>
      <w:tr w:rsidR="00E51E56" w:rsidRPr="00BA1C8E" w14:paraId="6FA3498B" w14:textId="77777777" w:rsidTr="00BA1C8E">
        <w:trPr>
          <w:trHeight w:val="300"/>
          <w:jc w:val="center"/>
        </w:trPr>
        <w:tc>
          <w:tcPr>
            <w:tcW w:w="3249" w:type="dxa"/>
            <w:tcBorders>
              <w:top w:val="nil"/>
              <w:left w:val="single" w:sz="4" w:space="0" w:color="auto"/>
              <w:bottom w:val="single" w:sz="4" w:space="0" w:color="auto"/>
              <w:right w:val="single" w:sz="4" w:space="0" w:color="auto"/>
            </w:tcBorders>
            <w:shd w:val="clear" w:color="000000" w:fill="FFFFFF"/>
            <w:vAlign w:val="center"/>
            <w:hideMark/>
          </w:tcPr>
          <w:p w14:paraId="31578EF9" w14:textId="77777777" w:rsidR="00E51E56" w:rsidRPr="00BA1C8E" w:rsidRDefault="00E51E56" w:rsidP="00B77C0B">
            <w:pPr>
              <w:spacing w:after="0" w:line="240" w:lineRule="auto"/>
              <w:ind w:firstLineChars="100" w:firstLine="240"/>
              <w:rPr>
                <w:rFonts w:ascii="Times New Roman" w:eastAsia="Times New Roman" w:hAnsi="Times New Roman" w:cs="Times New Roman"/>
                <w:color w:val="1A1C1E"/>
                <w:kern w:val="0"/>
                <w:szCs w:val="24"/>
                <w:lang w:eastAsia="en-IN"/>
                <w14:ligatures w14:val="none"/>
              </w:rPr>
            </w:pPr>
            <w:r w:rsidRPr="00BA1C8E">
              <w:rPr>
                <w:rFonts w:ascii="Times New Roman" w:eastAsia="Times New Roman" w:hAnsi="Times New Roman" w:cs="Times New Roman"/>
                <w:color w:val="1A1C1E"/>
                <w:kern w:val="0"/>
                <w:szCs w:val="24"/>
                <w:lang w:eastAsia="en-IN"/>
                <w14:ligatures w14:val="none"/>
              </w:rPr>
              <w:t>Haryana</w:t>
            </w:r>
          </w:p>
        </w:tc>
        <w:tc>
          <w:tcPr>
            <w:tcW w:w="2782" w:type="dxa"/>
            <w:tcBorders>
              <w:top w:val="nil"/>
              <w:left w:val="nil"/>
              <w:bottom w:val="single" w:sz="4" w:space="0" w:color="auto"/>
              <w:right w:val="single" w:sz="4" w:space="0" w:color="auto"/>
            </w:tcBorders>
            <w:shd w:val="clear" w:color="000000" w:fill="FFFFFF"/>
            <w:vAlign w:val="center"/>
            <w:hideMark/>
          </w:tcPr>
          <w:p w14:paraId="0714A16E" w14:textId="77777777" w:rsidR="00E51E56" w:rsidRPr="00BA1C8E" w:rsidRDefault="00E51E56" w:rsidP="005A7AAF">
            <w:pPr>
              <w:spacing w:after="0" w:line="240" w:lineRule="auto"/>
              <w:ind w:firstLineChars="100" w:firstLine="240"/>
              <w:jc w:val="center"/>
              <w:rPr>
                <w:rFonts w:ascii="Times New Roman" w:eastAsia="Times New Roman" w:hAnsi="Times New Roman" w:cs="Times New Roman"/>
                <w:color w:val="1A1C1E"/>
                <w:kern w:val="0"/>
                <w:szCs w:val="24"/>
                <w:lang w:eastAsia="en-IN"/>
                <w14:ligatures w14:val="none"/>
              </w:rPr>
            </w:pPr>
            <w:r w:rsidRPr="00BA1C8E">
              <w:rPr>
                <w:rFonts w:ascii="Times New Roman" w:eastAsia="Times New Roman" w:hAnsi="Times New Roman" w:cs="Times New Roman"/>
                <w:color w:val="1A1C1E"/>
                <w:kern w:val="0"/>
                <w:szCs w:val="24"/>
                <w:lang w:eastAsia="en-IN"/>
                <w14:ligatures w14:val="none"/>
              </w:rPr>
              <w:t>1.43</w:t>
            </w:r>
          </w:p>
        </w:tc>
        <w:tc>
          <w:tcPr>
            <w:tcW w:w="2833" w:type="dxa"/>
            <w:tcBorders>
              <w:top w:val="nil"/>
              <w:left w:val="nil"/>
              <w:bottom w:val="single" w:sz="4" w:space="0" w:color="auto"/>
              <w:right w:val="single" w:sz="4" w:space="0" w:color="auto"/>
            </w:tcBorders>
            <w:shd w:val="clear" w:color="000000" w:fill="FFFFFF"/>
            <w:vAlign w:val="center"/>
            <w:hideMark/>
          </w:tcPr>
          <w:p w14:paraId="3D81AA90" w14:textId="77777777" w:rsidR="00E51E56" w:rsidRPr="00BA1C8E" w:rsidRDefault="00E51E56" w:rsidP="005A7AAF">
            <w:pPr>
              <w:spacing w:after="0" w:line="240" w:lineRule="auto"/>
              <w:ind w:firstLineChars="100" w:firstLine="240"/>
              <w:jc w:val="center"/>
              <w:rPr>
                <w:rFonts w:ascii="Times New Roman" w:eastAsia="Times New Roman" w:hAnsi="Times New Roman" w:cs="Times New Roman"/>
                <w:color w:val="1A1C1E"/>
                <w:kern w:val="0"/>
                <w:szCs w:val="24"/>
                <w:lang w:eastAsia="en-IN"/>
                <w14:ligatures w14:val="none"/>
              </w:rPr>
            </w:pPr>
            <w:r w:rsidRPr="00BA1C8E">
              <w:rPr>
                <w:rFonts w:ascii="Times New Roman" w:eastAsia="Times New Roman" w:hAnsi="Times New Roman" w:cs="Times New Roman"/>
                <w:color w:val="1A1C1E"/>
                <w:kern w:val="0"/>
                <w:szCs w:val="24"/>
                <w:lang w:eastAsia="en-IN"/>
                <w14:ligatures w14:val="none"/>
              </w:rPr>
              <w:t>3403</w:t>
            </w:r>
          </w:p>
        </w:tc>
        <w:tc>
          <w:tcPr>
            <w:tcW w:w="2250" w:type="dxa"/>
            <w:tcBorders>
              <w:top w:val="nil"/>
              <w:left w:val="nil"/>
              <w:bottom w:val="single" w:sz="4" w:space="0" w:color="auto"/>
              <w:right w:val="single" w:sz="4" w:space="0" w:color="auto"/>
            </w:tcBorders>
            <w:shd w:val="clear" w:color="000000" w:fill="FFFFFF"/>
            <w:vAlign w:val="center"/>
            <w:hideMark/>
          </w:tcPr>
          <w:p w14:paraId="32793998" w14:textId="77777777" w:rsidR="00E51E56" w:rsidRPr="00BA1C8E" w:rsidRDefault="00E51E56" w:rsidP="005A7AAF">
            <w:pPr>
              <w:spacing w:after="0" w:line="240" w:lineRule="auto"/>
              <w:ind w:firstLineChars="100" w:firstLine="240"/>
              <w:jc w:val="center"/>
              <w:rPr>
                <w:rFonts w:ascii="Times New Roman" w:eastAsia="Times New Roman" w:hAnsi="Times New Roman" w:cs="Times New Roman"/>
                <w:color w:val="1A1C1E"/>
                <w:kern w:val="0"/>
                <w:szCs w:val="24"/>
                <w:lang w:eastAsia="en-IN"/>
                <w14:ligatures w14:val="none"/>
              </w:rPr>
            </w:pPr>
            <w:r w:rsidRPr="00BA1C8E">
              <w:rPr>
                <w:rFonts w:ascii="Times New Roman" w:eastAsia="Times New Roman" w:hAnsi="Times New Roman" w:cs="Times New Roman"/>
                <w:color w:val="1A1C1E"/>
                <w:kern w:val="0"/>
                <w:szCs w:val="24"/>
                <w:lang w:eastAsia="en-IN"/>
                <w14:ligatures w14:val="none"/>
              </w:rPr>
              <w:t>4.2</w:t>
            </w:r>
          </w:p>
        </w:tc>
      </w:tr>
      <w:tr w:rsidR="00E51E56" w:rsidRPr="00BA1C8E" w14:paraId="408E4FB8" w14:textId="77777777" w:rsidTr="00BA1C8E">
        <w:trPr>
          <w:trHeight w:val="570"/>
          <w:jc w:val="center"/>
        </w:trPr>
        <w:tc>
          <w:tcPr>
            <w:tcW w:w="3249" w:type="dxa"/>
            <w:tcBorders>
              <w:top w:val="nil"/>
              <w:left w:val="single" w:sz="4" w:space="0" w:color="auto"/>
              <w:bottom w:val="single" w:sz="4" w:space="0" w:color="auto"/>
              <w:right w:val="single" w:sz="4" w:space="0" w:color="auto"/>
            </w:tcBorders>
            <w:shd w:val="clear" w:color="000000" w:fill="FFFFFF"/>
            <w:vAlign w:val="center"/>
            <w:hideMark/>
          </w:tcPr>
          <w:p w14:paraId="664944B7" w14:textId="77777777" w:rsidR="00E51E56" w:rsidRPr="00BA1C8E" w:rsidRDefault="00E51E56" w:rsidP="00B77C0B">
            <w:pPr>
              <w:spacing w:after="0" w:line="240" w:lineRule="auto"/>
              <w:ind w:firstLineChars="100" w:firstLine="240"/>
              <w:rPr>
                <w:rFonts w:ascii="Times New Roman" w:eastAsia="Times New Roman" w:hAnsi="Times New Roman" w:cs="Times New Roman"/>
                <w:color w:val="1A1C1E"/>
                <w:kern w:val="0"/>
                <w:szCs w:val="24"/>
                <w:lang w:eastAsia="en-IN"/>
                <w14:ligatures w14:val="none"/>
              </w:rPr>
            </w:pPr>
            <w:r w:rsidRPr="00BA1C8E">
              <w:rPr>
                <w:rFonts w:ascii="Times New Roman" w:eastAsia="Times New Roman" w:hAnsi="Times New Roman" w:cs="Times New Roman"/>
                <w:color w:val="1A1C1E"/>
                <w:kern w:val="0"/>
                <w:szCs w:val="24"/>
                <w:lang w:eastAsia="en-IN"/>
                <w14:ligatures w14:val="none"/>
              </w:rPr>
              <w:t>Jammu &amp; Kashmir</w:t>
            </w:r>
          </w:p>
        </w:tc>
        <w:tc>
          <w:tcPr>
            <w:tcW w:w="2782" w:type="dxa"/>
            <w:tcBorders>
              <w:top w:val="nil"/>
              <w:left w:val="nil"/>
              <w:bottom w:val="single" w:sz="4" w:space="0" w:color="auto"/>
              <w:right w:val="single" w:sz="4" w:space="0" w:color="auto"/>
            </w:tcBorders>
            <w:shd w:val="clear" w:color="000000" w:fill="FFFFFF"/>
            <w:vAlign w:val="center"/>
            <w:hideMark/>
          </w:tcPr>
          <w:p w14:paraId="23DE1DFD" w14:textId="77777777" w:rsidR="00E51E56" w:rsidRPr="00BA1C8E" w:rsidRDefault="00E51E56" w:rsidP="005A7AAF">
            <w:pPr>
              <w:spacing w:after="0" w:line="240" w:lineRule="auto"/>
              <w:ind w:firstLineChars="100" w:firstLine="240"/>
              <w:jc w:val="center"/>
              <w:rPr>
                <w:rFonts w:ascii="Times New Roman" w:eastAsia="Times New Roman" w:hAnsi="Times New Roman" w:cs="Times New Roman"/>
                <w:color w:val="1A1C1E"/>
                <w:kern w:val="0"/>
                <w:szCs w:val="24"/>
                <w:lang w:eastAsia="en-IN"/>
                <w14:ligatures w14:val="none"/>
              </w:rPr>
            </w:pPr>
            <w:r w:rsidRPr="00BA1C8E">
              <w:rPr>
                <w:rFonts w:ascii="Times New Roman" w:eastAsia="Times New Roman" w:hAnsi="Times New Roman" w:cs="Times New Roman"/>
                <w:color w:val="1A1C1E"/>
                <w:kern w:val="0"/>
                <w:szCs w:val="24"/>
                <w:lang w:eastAsia="en-IN"/>
                <w14:ligatures w14:val="none"/>
              </w:rPr>
              <w:t>0.58</w:t>
            </w:r>
          </w:p>
        </w:tc>
        <w:tc>
          <w:tcPr>
            <w:tcW w:w="2833" w:type="dxa"/>
            <w:tcBorders>
              <w:top w:val="nil"/>
              <w:left w:val="nil"/>
              <w:bottom w:val="single" w:sz="4" w:space="0" w:color="auto"/>
              <w:right w:val="single" w:sz="4" w:space="0" w:color="auto"/>
            </w:tcBorders>
            <w:shd w:val="clear" w:color="000000" w:fill="FFFFFF"/>
            <w:vAlign w:val="center"/>
            <w:hideMark/>
          </w:tcPr>
          <w:p w14:paraId="1B312FE8" w14:textId="77777777" w:rsidR="00E51E56" w:rsidRPr="00BA1C8E" w:rsidRDefault="00E51E56" w:rsidP="005A7AAF">
            <w:pPr>
              <w:spacing w:after="0" w:line="240" w:lineRule="auto"/>
              <w:ind w:firstLineChars="100" w:firstLine="240"/>
              <w:jc w:val="center"/>
              <w:rPr>
                <w:rFonts w:ascii="Times New Roman" w:eastAsia="Times New Roman" w:hAnsi="Times New Roman" w:cs="Times New Roman"/>
                <w:color w:val="1A1C1E"/>
                <w:kern w:val="0"/>
                <w:szCs w:val="24"/>
                <w:lang w:eastAsia="en-IN"/>
                <w14:ligatures w14:val="none"/>
              </w:rPr>
            </w:pPr>
            <w:r w:rsidRPr="00BA1C8E">
              <w:rPr>
                <w:rFonts w:ascii="Times New Roman" w:eastAsia="Times New Roman" w:hAnsi="Times New Roman" w:cs="Times New Roman"/>
                <w:color w:val="1A1C1E"/>
                <w:kern w:val="0"/>
                <w:szCs w:val="24"/>
                <w:lang w:eastAsia="en-IN"/>
                <w14:ligatures w14:val="none"/>
              </w:rPr>
              <w:t>671</w:t>
            </w:r>
          </w:p>
        </w:tc>
        <w:tc>
          <w:tcPr>
            <w:tcW w:w="2250" w:type="dxa"/>
            <w:tcBorders>
              <w:top w:val="nil"/>
              <w:left w:val="nil"/>
              <w:bottom w:val="single" w:sz="4" w:space="0" w:color="auto"/>
              <w:right w:val="single" w:sz="4" w:space="0" w:color="auto"/>
            </w:tcBorders>
            <w:shd w:val="clear" w:color="000000" w:fill="FFFFFF"/>
            <w:vAlign w:val="center"/>
            <w:hideMark/>
          </w:tcPr>
          <w:p w14:paraId="49078536" w14:textId="77777777" w:rsidR="00E51E56" w:rsidRPr="00BA1C8E" w:rsidRDefault="00E51E56" w:rsidP="005A7AAF">
            <w:pPr>
              <w:spacing w:after="0" w:line="240" w:lineRule="auto"/>
              <w:ind w:firstLineChars="100" w:firstLine="240"/>
              <w:jc w:val="center"/>
              <w:rPr>
                <w:rFonts w:ascii="Times New Roman" w:eastAsia="Times New Roman" w:hAnsi="Times New Roman" w:cs="Times New Roman"/>
                <w:color w:val="1A1C1E"/>
                <w:kern w:val="0"/>
                <w:szCs w:val="24"/>
                <w:lang w:eastAsia="en-IN"/>
                <w14:ligatures w14:val="none"/>
              </w:rPr>
            </w:pPr>
            <w:r w:rsidRPr="00BA1C8E">
              <w:rPr>
                <w:rFonts w:ascii="Times New Roman" w:eastAsia="Times New Roman" w:hAnsi="Times New Roman" w:cs="Times New Roman"/>
                <w:color w:val="1A1C1E"/>
                <w:kern w:val="0"/>
                <w:szCs w:val="24"/>
                <w:lang w:eastAsia="en-IN"/>
                <w14:ligatures w14:val="none"/>
              </w:rPr>
              <w:t>8.64</w:t>
            </w:r>
          </w:p>
        </w:tc>
      </w:tr>
      <w:tr w:rsidR="00E51E56" w:rsidRPr="00BA1C8E" w14:paraId="0917A9C4" w14:textId="77777777" w:rsidTr="00BA1C8E">
        <w:trPr>
          <w:trHeight w:val="300"/>
          <w:jc w:val="center"/>
        </w:trPr>
        <w:tc>
          <w:tcPr>
            <w:tcW w:w="3249" w:type="dxa"/>
            <w:tcBorders>
              <w:top w:val="nil"/>
              <w:left w:val="single" w:sz="4" w:space="0" w:color="auto"/>
              <w:bottom w:val="single" w:sz="4" w:space="0" w:color="auto"/>
              <w:right w:val="single" w:sz="4" w:space="0" w:color="auto"/>
            </w:tcBorders>
            <w:shd w:val="clear" w:color="000000" w:fill="FFFFFF"/>
            <w:vAlign w:val="center"/>
            <w:hideMark/>
          </w:tcPr>
          <w:p w14:paraId="2E951D49" w14:textId="77777777" w:rsidR="00E51E56" w:rsidRPr="00BA1C8E" w:rsidRDefault="00E51E56" w:rsidP="00B77C0B">
            <w:pPr>
              <w:spacing w:after="0" w:line="240" w:lineRule="auto"/>
              <w:ind w:firstLineChars="100" w:firstLine="240"/>
              <w:rPr>
                <w:rFonts w:ascii="Times New Roman" w:eastAsia="Times New Roman" w:hAnsi="Times New Roman" w:cs="Times New Roman"/>
                <w:color w:val="1A1C1E"/>
                <w:kern w:val="0"/>
                <w:szCs w:val="24"/>
                <w:lang w:eastAsia="en-IN"/>
                <w14:ligatures w14:val="none"/>
              </w:rPr>
            </w:pPr>
            <w:r w:rsidRPr="00BA1C8E">
              <w:rPr>
                <w:rFonts w:ascii="Times New Roman" w:eastAsia="Times New Roman" w:hAnsi="Times New Roman" w:cs="Times New Roman"/>
                <w:color w:val="1A1C1E"/>
                <w:kern w:val="0"/>
                <w:szCs w:val="24"/>
                <w:lang w:eastAsia="en-IN"/>
                <w14:ligatures w14:val="none"/>
              </w:rPr>
              <w:t>Kerala</w:t>
            </w:r>
          </w:p>
        </w:tc>
        <w:tc>
          <w:tcPr>
            <w:tcW w:w="2782" w:type="dxa"/>
            <w:tcBorders>
              <w:top w:val="nil"/>
              <w:left w:val="nil"/>
              <w:bottom w:val="single" w:sz="4" w:space="0" w:color="auto"/>
              <w:right w:val="single" w:sz="4" w:space="0" w:color="auto"/>
            </w:tcBorders>
            <w:shd w:val="clear" w:color="000000" w:fill="FFFFFF"/>
            <w:vAlign w:val="center"/>
            <w:hideMark/>
          </w:tcPr>
          <w:p w14:paraId="29915263" w14:textId="77777777" w:rsidR="00E51E56" w:rsidRPr="00BA1C8E" w:rsidRDefault="00E51E56" w:rsidP="005A7AAF">
            <w:pPr>
              <w:spacing w:after="0" w:line="240" w:lineRule="auto"/>
              <w:ind w:firstLineChars="100" w:firstLine="240"/>
              <w:jc w:val="center"/>
              <w:rPr>
                <w:rFonts w:ascii="Times New Roman" w:eastAsia="Times New Roman" w:hAnsi="Times New Roman" w:cs="Times New Roman"/>
                <w:color w:val="1A1C1E"/>
                <w:kern w:val="0"/>
                <w:szCs w:val="24"/>
                <w:lang w:eastAsia="en-IN"/>
                <w14:ligatures w14:val="none"/>
              </w:rPr>
            </w:pPr>
            <w:r w:rsidRPr="00BA1C8E">
              <w:rPr>
                <w:rFonts w:ascii="Times New Roman" w:eastAsia="Times New Roman" w:hAnsi="Times New Roman" w:cs="Times New Roman"/>
                <w:color w:val="1A1C1E"/>
                <w:kern w:val="0"/>
                <w:szCs w:val="24"/>
                <w:lang w:eastAsia="en-IN"/>
                <w14:ligatures w14:val="none"/>
              </w:rPr>
              <w:t>1.85</w:t>
            </w:r>
          </w:p>
        </w:tc>
        <w:tc>
          <w:tcPr>
            <w:tcW w:w="2833" w:type="dxa"/>
            <w:tcBorders>
              <w:top w:val="nil"/>
              <w:left w:val="nil"/>
              <w:bottom w:val="single" w:sz="4" w:space="0" w:color="auto"/>
              <w:right w:val="single" w:sz="4" w:space="0" w:color="auto"/>
            </w:tcBorders>
            <w:shd w:val="clear" w:color="000000" w:fill="FFFFFF"/>
            <w:vAlign w:val="center"/>
            <w:hideMark/>
          </w:tcPr>
          <w:p w14:paraId="471263C6" w14:textId="77777777" w:rsidR="00E51E56" w:rsidRPr="00BA1C8E" w:rsidRDefault="00E51E56" w:rsidP="005A7AAF">
            <w:pPr>
              <w:spacing w:after="0" w:line="240" w:lineRule="auto"/>
              <w:ind w:firstLineChars="100" w:firstLine="240"/>
              <w:jc w:val="center"/>
              <w:rPr>
                <w:rFonts w:ascii="Times New Roman" w:eastAsia="Times New Roman" w:hAnsi="Times New Roman" w:cs="Times New Roman"/>
                <w:color w:val="1A1C1E"/>
                <w:kern w:val="0"/>
                <w:szCs w:val="24"/>
                <w:lang w:eastAsia="en-IN"/>
                <w14:ligatures w14:val="none"/>
              </w:rPr>
            </w:pPr>
            <w:r w:rsidRPr="00BA1C8E">
              <w:rPr>
                <w:rFonts w:ascii="Times New Roman" w:eastAsia="Times New Roman" w:hAnsi="Times New Roman" w:cs="Times New Roman"/>
                <w:color w:val="1A1C1E"/>
                <w:kern w:val="0"/>
                <w:szCs w:val="24"/>
                <w:lang w:eastAsia="en-IN"/>
                <w14:ligatures w14:val="none"/>
              </w:rPr>
              <w:t>2064</w:t>
            </w:r>
          </w:p>
        </w:tc>
        <w:tc>
          <w:tcPr>
            <w:tcW w:w="2250" w:type="dxa"/>
            <w:tcBorders>
              <w:top w:val="nil"/>
              <w:left w:val="nil"/>
              <w:bottom w:val="single" w:sz="4" w:space="0" w:color="auto"/>
              <w:right w:val="single" w:sz="4" w:space="0" w:color="auto"/>
            </w:tcBorders>
            <w:shd w:val="clear" w:color="000000" w:fill="FFFFFF"/>
            <w:vAlign w:val="center"/>
            <w:hideMark/>
          </w:tcPr>
          <w:p w14:paraId="278A8B88" w14:textId="77777777" w:rsidR="00E51E56" w:rsidRPr="00BA1C8E" w:rsidRDefault="00E51E56" w:rsidP="005A7AAF">
            <w:pPr>
              <w:spacing w:after="0" w:line="240" w:lineRule="auto"/>
              <w:ind w:firstLineChars="100" w:firstLine="240"/>
              <w:jc w:val="center"/>
              <w:rPr>
                <w:rFonts w:ascii="Times New Roman" w:eastAsia="Times New Roman" w:hAnsi="Times New Roman" w:cs="Times New Roman"/>
                <w:color w:val="1A1C1E"/>
                <w:kern w:val="0"/>
                <w:szCs w:val="24"/>
                <w:lang w:eastAsia="en-IN"/>
                <w14:ligatures w14:val="none"/>
              </w:rPr>
            </w:pPr>
            <w:r w:rsidRPr="00BA1C8E">
              <w:rPr>
                <w:rFonts w:ascii="Times New Roman" w:eastAsia="Times New Roman" w:hAnsi="Times New Roman" w:cs="Times New Roman"/>
                <w:color w:val="1A1C1E"/>
                <w:kern w:val="0"/>
                <w:szCs w:val="24"/>
                <w:lang w:eastAsia="en-IN"/>
                <w14:ligatures w14:val="none"/>
              </w:rPr>
              <w:t>8.96</w:t>
            </w:r>
          </w:p>
        </w:tc>
      </w:tr>
      <w:tr w:rsidR="00E51E56" w:rsidRPr="00BA1C8E" w14:paraId="01508FCF" w14:textId="77777777" w:rsidTr="00BA1C8E">
        <w:trPr>
          <w:trHeight w:val="570"/>
          <w:jc w:val="center"/>
        </w:trPr>
        <w:tc>
          <w:tcPr>
            <w:tcW w:w="3249" w:type="dxa"/>
            <w:tcBorders>
              <w:top w:val="nil"/>
              <w:left w:val="single" w:sz="4" w:space="0" w:color="auto"/>
              <w:bottom w:val="single" w:sz="4" w:space="0" w:color="auto"/>
              <w:right w:val="single" w:sz="4" w:space="0" w:color="auto"/>
            </w:tcBorders>
            <w:shd w:val="clear" w:color="000000" w:fill="FFFFFF"/>
            <w:vAlign w:val="center"/>
            <w:hideMark/>
          </w:tcPr>
          <w:p w14:paraId="6BD87102" w14:textId="77777777" w:rsidR="00E51E56" w:rsidRPr="00BA1C8E" w:rsidRDefault="00E51E56" w:rsidP="00B77C0B">
            <w:pPr>
              <w:spacing w:after="0" w:line="240" w:lineRule="auto"/>
              <w:ind w:firstLineChars="100" w:firstLine="240"/>
              <w:rPr>
                <w:rFonts w:ascii="Times New Roman" w:eastAsia="Times New Roman" w:hAnsi="Times New Roman" w:cs="Times New Roman"/>
                <w:color w:val="1A1C1E"/>
                <w:kern w:val="0"/>
                <w:szCs w:val="24"/>
                <w:lang w:eastAsia="en-IN"/>
                <w14:ligatures w14:val="none"/>
              </w:rPr>
            </w:pPr>
            <w:r w:rsidRPr="00BA1C8E">
              <w:rPr>
                <w:rFonts w:ascii="Times New Roman" w:eastAsia="Times New Roman" w:hAnsi="Times New Roman" w:cs="Times New Roman"/>
                <w:color w:val="1A1C1E"/>
                <w:kern w:val="0"/>
                <w:szCs w:val="24"/>
                <w:lang w:eastAsia="en-IN"/>
                <w14:ligatures w14:val="none"/>
              </w:rPr>
              <w:t>Madhya Pradesh</w:t>
            </w:r>
          </w:p>
        </w:tc>
        <w:tc>
          <w:tcPr>
            <w:tcW w:w="2782" w:type="dxa"/>
            <w:tcBorders>
              <w:top w:val="nil"/>
              <w:left w:val="nil"/>
              <w:bottom w:val="single" w:sz="4" w:space="0" w:color="auto"/>
              <w:right w:val="single" w:sz="4" w:space="0" w:color="auto"/>
            </w:tcBorders>
            <w:shd w:val="clear" w:color="000000" w:fill="FFFFFF"/>
            <w:vAlign w:val="center"/>
            <w:hideMark/>
          </w:tcPr>
          <w:p w14:paraId="69744B64" w14:textId="77777777" w:rsidR="00E51E56" w:rsidRPr="00BA1C8E" w:rsidRDefault="00E51E56" w:rsidP="005A7AAF">
            <w:pPr>
              <w:spacing w:after="0" w:line="240" w:lineRule="auto"/>
              <w:ind w:firstLineChars="100" w:firstLine="240"/>
              <w:jc w:val="center"/>
              <w:rPr>
                <w:rFonts w:ascii="Times New Roman" w:eastAsia="Times New Roman" w:hAnsi="Times New Roman" w:cs="Times New Roman"/>
                <w:color w:val="1A1C1E"/>
                <w:kern w:val="0"/>
                <w:szCs w:val="24"/>
                <w:lang w:eastAsia="en-IN"/>
                <w14:ligatures w14:val="none"/>
              </w:rPr>
            </w:pPr>
            <w:r w:rsidRPr="00BA1C8E">
              <w:rPr>
                <w:rFonts w:ascii="Times New Roman" w:eastAsia="Times New Roman" w:hAnsi="Times New Roman" w:cs="Times New Roman"/>
                <w:color w:val="1A1C1E"/>
                <w:kern w:val="0"/>
                <w:szCs w:val="24"/>
                <w:lang w:eastAsia="en-IN"/>
                <w14:ligatures w14:val="none"/>
              </w:rPr>
              <w:t>7.26</w:t>
            </w:r>
          </w:p>
        </w:tc>
        <w:tc>
          <w:tcPr>
            <w:tcW w:w="2833" w:type="dxa"/>
            <w:tcBorders>
              <w:top w:val="nil"/>
              <w:left w:val="nil"/>
              <w:bottom w:val="single" w:sz="4" w:space="0" w:color="auto"/>
              <w:right w:val="single" w:sz="4" w:space="0" w:color="auto"/>
            </w:tcBorders>
            <w:shd w:val="clear" w:color="000000" w:fill="FFFFFF"/>
            <w:vAlign w:val="center"/>
            <w:hideMark/>
          </w:tcPr>
          <w:p w14:paraId="2D7D2A4C" w14:textId="77777777" w:rsidR="00E51E56" w:rsidRPr="00BA1C8E" w:rsidRDefault="00E51E56" w:rsidP="005A7AAF">
            <w:pPr>
              <w:spacing w:after="0" w:line="240" w:lineRule="auto"/>
              <w:ind w:firstLineChars="100" w:firstLine="240"/>
              <w:jc w:val="center"/>
              <w:rPr>
                <w:rFonts w:ascii="Times New Roman" w:eastAsia="Times New Roman" w:hAnsi="Times New Roman" w:cs="Times New Roman"/>
                <w:color w:val="1A1C1E"/>
                <w:kern w:val="0"/>
                <w:szCs w:val="24"/>
                <w:lang w:eastAsia="en-IN"/>
                <w14:ligatures w14:val="none"/>
              </w:rPr>
            </w:pPr>
            <w:r w:rsidRPr="00BA1C8E">
              <w:rPr>
                <w:rFonts w:ascii="Times New Roman" w:eastAsia="Times New Roman" w:hAnsi="Times New Roman" w:cs="Times New Roman"/>
                <w:color w:val="1A1C1E"/>
                <w:kern w:val="0"/>
                <w:szCs w:val="24"/>
                <w:lang w:eastAsia="en-IN"/>
                <w14:ligatures w14:val="none"/>
              </w:rPr>
              <w:t>16529</w:t>
            </w:r>
          </w:p>
        </w:tc>
        <w:tc>
          <w:tcPr>
            <w:tcW w:w="2250" w:type="dxa"/>
            <w:tcBorders>
              <w:top w:val="nil"/>
              <w:left w:val="nil"/>
              <w:bottom w:val="single" w:sz="4" w:space="0" w:color="auto"/>
              <w:right w:val="single" w:sz="4" w:space="0" w:color="auto"/>
            </w:tcBorders>
            <w:shd w:val="clear" w:color="000000" w:fill="FFFFFF"/>
            <w:vAlign w:val="center"/>
            <w:hideMark/>
          </w:tcPr>
          <w:p w14:paraId="35CC7FD3" w14:textId="77777777" w:rsidR="00E51E56" w:rsidRPr="00BA1C8E" w:rsidRDefault="00E51E56" w:rsidP="005A7AAF">
            <w:pPr>
              <w:spacing w:after="0" w:line="240" w:lineRule="auto"/>
              <w:ind w:firstLineChars="100" w:firstLine="240"/>
              <w:jc w:val="center"/>
              <w:rPr>
                <w:rFonts w:ascii="Times New Roman" w:eastAsia="Times New Roman" w:hAnsi="Times New Roman" w:cs="Times New Roman"/>
                <w:color w:val="1A1C1E"/>
                <w:kern w:val="0"/>
                <w:szCs w:val="24"/>
                <w:lang w:eastAsia="en-IN"/>
                <w14:ligatures w14:val="none"/>
              </w:rPr>
            </w:pPr>
            <w:r w:rsidRPr="00BA1C8E">
              <w:rPr>
                <w:rFonts w:ascii="Times New Roman" w:eastAsia="Times New Roman" w:hAnsi="Times New Roman" w:cs="Times New Roman"/>
                <w:color w:val="1A1C1E"/>
                <w:kern w:val="0"/>
                <w:szCs w:val="24"/>
                <w:lang w:eastAsia="en-IN"/>
                <w14:ligatures w14:val="none"/>
              </w:rPr>
              <w:t>4.39</w:t>
            </w:r>
          </w:p>
        </w:tc>
      </w:tr>
      <w:tr w:rsidR="00E51E56" w:rsidRPr="00BA1C8E" w14:paraId="75B82980" w14:textId="77777777" w:rsidTr="00BA1C8E">
        <w:trPr>
          <w:trHeight w:val="300"/>
          <w:jc w:val="center"/>
        </w:trPr>
        <w:tc>
          <w:tcPr>
            <w:tcW w:w="3249" w:type="dxa"/>
            <w:tcBorders>
              <w:top w:val="nil"/>
              <w:left w:val="single" w:sz="4" w:space="0" w:color="auto"/>
              <w:bottom w:val="single" w:sz="4" w:space="0" w:color="auto"/>
              <w:right w:val="single" w:sz="4" w:space="0" w:color="auto"/>
            </w:tcBorders>
            <w:shd w:val="clear" w:color="000000" w:fill="FFFFFF"/>
            <w:vAlign w:val="center"/>
            <w:hideMark/>
          </w:tcPr>
          <w:p w14:paraId="0AA996A0" w14:textId="77777777" w:rsidR="00E51E56" w:rsidRPr="00BA1C8E" w:rsidRDefault="00E51E56" w:rsidP="00B77C0B">
            <w:pPr>
              <w:spacing w:after="0" w:line="240" w:lineRule="auto"/>
              <w:ind w:firstLineChars="100" w:firstLine="240"/>
              <w:rPr>
                <w:rFonts w:ascii="Times New Roman" w:eastAsia="Times New Roman" w:hAnsi="Times New Roman" w:cs="Times New Roman"/>
                <w:color w:val="1A1C1E"/>
                <w:kern w:val="0"/>
                <w:szCs w:val="24"/>
                <w:lang w:eastAsia="en-IN"/>
                <w14:ligatures w14:val="none"/>
              </w:rPr>
            </w:pPr>
            <w:r w:rsidRPr="00BA1C8E">
              <w:rPr>
                <w:rFonts w:ascii="Times New Roman" w:eastAsia="Times New Roman" w:hAnsi="Times New Roman" w:cs="Times New Roman"/>
                <w:color w:val="1A1C1E"/>
                <w:kern w:val="0"/>
                <w:szCs w:val="24"/>
                <w:lang w:eastAsia="en-IN"/>
                <w14:ligatures w14:val="none"/>
              </w:rPr>
              <w:t>Maharashtra</w:t>
            </w:r>
          </w:p>
        </w:tc>
        <w:tc>
          <w:tcPr>
            <w:tcW w:w="2782" w:type="dxa"/>
            <w:tcBorders>
              <w:top w:val="nil"/>
              <w:left w:val="nil"/>
              <w:bottom w:val="single" w:sz="4" w:space="0" w:color="auto"/>
              <w:right w:val="single" w:sz="4" w:space="0" w:color="auto"/>
            </w:tcBorders>
            <w:shd w:val="clear" w:color="000000" w:fill="FFFFFF"/>
            <w:vAlign w:val="center"/>
            <w:hideMark/>
          </w:tcPr>
          <w:p w14:paraId="270421DD" w14:textId="77777777" w:rsidR="00E51E56" w:rsidRPr="00BA1C8E" w:rsidRDefault="00E51E56" w:rsidP="005A7AAF">
            <w:pPr>
              <w:spacing w:after="0" w:line="240" w:lineRule="auto"/>
              <w:ind w:firstLineChars="100" w:firstLine="240"/>
              <w:jc w:val="center"/>
              <w:rPr>
                <w:rFonts w:ascii="Times New Roman" w:eastAsia="Times New Roman" w:hAnsi="Times New Roman" w:cs="Times New Roman"/>
                <w:color w:val="1A1C1E"/>
                <w:kern w:val="0"/>
                <w:szCs w:val="24"/>
                <w:lang w:eastAsia="en-IN"/>
                <w14:ligatures w14:val="none"/>
              </w:rPr>
            </w:pPr>
            <w:r w:rsidRPr="00BA1C8E">
              <w:rPr>
                <w:rFonts w:ascii="Times New Roman" w:eastAsia="Times New Roman" w:hAnsi="Times New Roman" w:cs="Times New Roman"/>
                <w:color w:val="1A1C1E"/>
                <w:kern w:val="0"/>
                <w:szCs w:val="24"/>
                <w:lang w:eastAsia="en-IN"/>
                <w14:ligatures w14:val="none"/>
              </w:rPr>
              <w:t>8.74</w:t>
            </w:r>
          </w:p>
        </w:tc>
        <w:tc>
          <w:tcPr>
            <w:tcW w:w="2833" w:type="dxa"/>
            <w:tcBorders>
              <w:top w:val="nil"/>
              <w:left w:val="nil"/>
              <w:bottom w:val="single" w:sz="4" w:space="0" w:color="auto"/>
              <w:right w:val="single" w:sz="4" w:space="0" w:color="auto"/>
            </w:tcBorders>
            <w:shd w:val="clear" w:color="000000" w:fill="FFFFFF"/>
            <w:vAlign w:val="center"/>
            <w:hideMark/>
          </w:tcPr>
          <w:p w14:paraId="6493E0EE" w14:textId="77777777" w:rsidR="00E51E56" w:rsidRPr="00BA1C8E" w:rsidRDefault="00E51E56" w:rsidP="005A7AAF">
            <w:pPr>
              <w:spacing w:after="0" w:line="240" w:lineRule="auto"/>
              <w:ind w:firstLineChars="100" w:firstLine="240"/>
              <w:jc w:val="center"/>
              <w:rPr>
                <w:rFonts w:ascii="Times New Roman" w:eastAsia="Times New Roman" w:hAnsi="Times New Roman" w:cs="Times New Roman"/>
                <w:color w:val="1A1C1E"/>
                <w:kern w:val="0"/>
                <w:szCs w:val="24"/>
                <w:lang w:eastAsia="en-IN"/>
                <w14:ligatures w14:val="none"/>
              </w:rPr>
            </w:pPr>
            <w:r w:rsidRPr="00BA1C8E">
              <w:rPr>
                <w:rFonts w:ascii="Times New Roman" w:eastAsia="Times New Roman" w:hAnsi="Times New Roman" w:cs="Times New Roman"/>
                <w:color w:val="1A1C1E"/>
                <w:kern w:val="0"/>
                <w:szCs w:val="24"/>
                <w:lang w:eastAsia="en-IN"/>
                <w14:ligatures w14:val="none"/>
              </w:rPr>
              <w:t>18122</w:t>
            </w:r>
          </w:p>
        </w:tc>
        <w:tc>
          <w:tcPr>
            <w:tcW w:w="2250" w:type="dxa"/>
            <w:tcBorders>
              <w:top w:val="nil"/>
              <w:left w:val="nil"/>
              <w:bottom w:val="single" w:sz="4" w:space="0" w:color="auto"/>
              <w:right w:val="single" w:sz="4" w:space="0" w:color="auto"/>
            </w:tcBorders>
            <w:shd w:val="clear" w:color="000000" w:fill="FFFFFF"/>
            <w:vAlign w:val="center"/>
            <w:hideMark/>
          </w:tcPr>
          <w:p w14:paraId="1828F127" w14:textId="77777777" w:rsidR="00E51E56" w:rsidRPr="00BA1C8E" w:rsidRDefault="00E51E56" w:rsidP="005A7AAF">
            <w:pPr>
              <w:spacing w:after="0" w:line="240" w:lineRule="auto"/>
              <w:ind w:firstLineChars="100" w:firstLine="240"/>
              <w:jc w:val="center"/>
              <w:rPr>
                <w:rFonts w:ascii="Times New Roman" w:eastAsia="Times New Roman" w:hAnsi="Times New Roman" w:cs="Times New Roman"/>
                <w:color w:val="1A1C1E"/>
                <w:kern w:val="0"/>
                <w:szCs w:val="24"/>
                <w:lang w:eastAsia="en-IN"/>
                <w14:ligatures w14:val="none"/>
              </w:rPr>
            </w:pPr>
            <w:r w:rsidRPr="00BA1C8E">
              <w:rPr>
                <w:rFonts w:ascii="Times New Roman" w:eastAsia="Times New Roman" w:hAnsi="Times New Roman" w:cs="Times New Roman"/>
                <w:color w:val="1A1C1E"/>
                <w:kern w:val="0"/>
                <w:szCs w:val="24"/>
                <w:lang w:eastAsia="en-IN"/>
                <w14:ligatures w14:val="none"/>
              </w:rPr>
              <w:t>4.82</w:t>
            </w:r>
          </w:p>
        </w:tc>
      </w:tr>
      <w:tr w:rsidR="00E51E56" w:rsidRPr="00BA1C8E" w14:paraId="55370FE9" w14:textId="77777777" w:rsidTr="00BA1C8E">
        <w:trPr>
          <w:trHeight w:val="300"/>
          <w:jc w:val="center"/>
        </w:trPr>
        <w:tc>
          <w:tcPr>
            <w:tcW w:w="3249" w:type="dxa"/>
            <w:tcBorders>
              <w:top w:val="nil"/>
              <w:left w:val="single" w:sz="4" w:space="0" w:color="auto"/>
              <w:bottom w:val="single" w:sz="4" w:space="0" w:color="auto"/>
              <w:right w:val="single" w:sz="4" w:space="0" w:color="auto"/>
            </w:tcBorders>
            <w:shd w:val="clear" w:color="000000" w:fill="FFFFFF"/>
            <w:vAlign w:val="center"/>
            <w:hideMark/>
          </w:tcPr>
          <w:p w14:paraId="351D0684" w14:textId="77777777" w:rsidR="00E51E56" w:rsidRPr="00BA1C8E" w:rsidRDefault="00E51E56" w:rsidP="00B77C0B">
            <w:pPr>
              <w:spacing w:after="0" w:line="240" w:lineRule="auto"/>
              <w:ind w:firstLineChars="100" w:firstLine="240"/>
              <w:rPr>
                <w:rFonts w:ascii="Times New Roman" w:eastAsia="Times New Roman" w:hAnsi="Times New Roman" w:cs="Times New Roman"/>
                <w:color w:val="1A1C1E"/>
                <w:kern w:val="0"/>
                <w:szCs w:val="24"/>
                <w:lang w:eastAsia="en-IN"/>
                <w14:ligatures w14:val="none"/>
              </w:rPr>
            </w:pPr>
            <w:r w:rsidRPr="00BA1C8E">
              <w:rPr>
                <w:rFonts w:ascii="Times New Roman" w:eastAsia="Times New Roman" w:hAnsi="Times New Roman" w:cs="Times New Roman"/>
                <w:color w:val="1A1C1E"/>
                <w:kern w:val="0"/>
                <w:szCs w:val="24"/>
                <w:lang w:eastAsia="en-IN"/>
                <w14:ligatures w14:val="none"/>
              </w:rPr>
              <w:t>Mysore</w:t>
            </w:r>
          </w:p>
        </w:tc>
        <w:tc>
          <w:tcPr>
            <w:tcW w:w="2782" w:type="dxa"/>
            <w:tcBorders>
              <w:top w:val="nil"/>
              <w:left w:val="nil"/>
              <w:bottom w:val="single" w:sz="4" w:space="0" w:color="auto"/>
              <w:right w:val="single" w:sz="4" w:space="0" w:color="auto"/>
            </w:tcBorders>
            <w:shd w:val="clear" w:color="000000" w:fill="FFFFFF"/>
            <w:vAlign w:val="center"/>
            <w:hideMark/>
          </w:tcPr>
          <w:p w14:paraId="358FC8E6" w14:textId="77777777" w:rsidR="00E51E56" w:rsidRPr="00BA1C8E" w:rsidRDefault="00E51E56" w:rsidP="005A7AAF">
            <w:pPr>
              <w:spacing w:after="0" w:line="240" w:lineRule="auto"/>
              <w:ind w:firstLineChars="100" w:firstLine="240"/>
              <w:jc w:val="center"/>
              <w:rPr>
                <w:rFonts w:ascii="Times New Roman" w:eastAsia="Times New Roman" w:hAnsi="Times New Roman" w:cs="Times New Roman"/>
                <w:color w:val="1A1C1E"/>
                <w:kern w:val="0"/>
                <w:szCs w:val="24"/>
                <w:lang w:eastAsia="en-IN"/>
                <w14:ligatures w14:val="none"/>
              </w:rPr>
            </w:pPr>
            <w:r w:rsidRPr="00BA1C8E">
              <w:rPr>
                <w:rFonts w:ascii="Times New Roman" w:eastAsia="Times New Roman" w:hAnsi="Times New Roman" w:cs="Times New Roman"/>
                <w:color w:val="1A1C1E"/>
                <w:kern w:val="0"/>
                <w:szCs w:val="24"/>
                <w:lang w:eastAsia="en-IN"/>
                <w14:ligatures w14:val="none"/>
              </w:rPr>
              <w:t>7.41</w:t>
            </w:r>
          </w:p>
        </w:tc>
        <w:tc>
          <w:tcPr>
            <w:tcW w:w="2833" w:type="dxa"/>
            <w:tcBorders>
              <w:top w:val="nil"/>
              <w:left w:val="nil"/>
              <w:bottom w:val="single" w:sz="4" w:space="0" w:color="auto"/>
              <w:right w:val="single" w:sz="4" w:space="0" w:color="auto"/>
            </w:tcBorders>
            <w:shd w:val="clear" w:color="000000" w:fill="FFFFFF"/>
            <w:vAlign w:val="center"/>
            <w:hideMark/>
          </w:tcPr>
          <w:p w14:paraId="681AFC50" w14:textId="77777777" w:rsidR="00E51E56" w:rsidRPr="00BA1C8E" w:rsidRDefault="00E51E56" w:rsidP="005A7AAF">
            <w:pPr>
              <w:spacing w:after="0" w:line="240" w:lineRule="auto"/>
              <w:ind w:firstLineChars="100" w:firstLine="240"/>
              <w:jc w:val="center"/>
              <w:rPr>
                <w:rFonts w:ascii="Times New Roman" w:eastAsia="Times New Roman" w:hAnsi="Times New Roman" w:cs="Times New Roman"/>
                <w:color w:val="1A1C1E"/>
                <w:kern w:val="0"/>
                <w:szCs w:val="24"/>
                <w:lang w:eastAsia="en-IN"/>
                <w14:ligatures w14:val="none"/>
              </w:rPr>
            </w:pPr>
            <w:r w:rsidRPr="00BA1C8E">
              <w:rPr>
                <w:rFonts w:ascii="Times New Roman" w:eastAsia="Times New Roman" w:hAnsi="Times New Roman" w:cs="Times New Roman"/>
                <w:color w:val="1A1C1E"/>
                <w:kern w:val="0"/>
                <w:szCs w:val="24"/>
                <w:lang w:eastAsia="en-IN"/>
                <w14:ligatures w14:val="none"/>
              </w:rPr>
              <w:t>10011</w:t>
            </w:r>
          </w:p>
        </w:tc>
        <w:tc>
          <w:tcPr>
            <w:tcW w:w="2250" w:type="dxa"/>
            <w:tcBorders>
              <w:top w:val="nil"/>
              <w:left w:val="nil"/>
              <w:bottom w:val="single" w:sz="4" w:space="0" w:color="auto"/>
              <w:right w:val="single" w:sz="4" w:space="0" w:color="auto"/>
            </w:tcBorders>
            <w:shd w:val="clear" w:color="000000" w:fill="FFFFFF"/>
            <w:vAlign w:val="center"/>
            <w:hideMark/>
          </w:tcPr>
          <w:p w14:paraId="6E4E8451" w14:textId="6DAAE585" w:rsidR="00E51E56" w:rsidRPr="00BA1C8E" w:rsidRDefault="00E51E56" w:rsidP="005A7AAF">
            <w:pPr>
              <w:spacing w:after="0" w:line="240" w:lineRule="auto"/>
              <w:ind w:firstLineChars="100" w:firstLine="240"/>
              <w:jc w:val="center"/>
              <w:rPr>
                <w:rFonts w:ascii="Times New Roman" w:eastAsia="Times New Roman" w:hAnsi="Times New Roman" w:cs="Times New Roman"/>
                <w:color w:val="1A1C1E"/>
                <w:kern w:val="0"/>
                <w:szCs w:val="24"/>
                <w:lang w:eastAsia="en-IN"/>
                <w14:ligatures w14:val="none"/>
              </w:rPr>
            </w:pPr>
            <w:r w:rsidRPr="00BA1C8E">
              <w:rPr>
                <w:rFonts w:ascii="Times New Roman" w:eastAsia="Times New Roman" w:hAnsi="Times New Roman" w:cs="Times New Roman"/>
                <w:color w:val="1A1C1E"/>
                <w:kern w:val="0"/>
                <w:szCs w:val="24"/>
                <w:lang w:eastAsia="en-IN"/>
                <w14:ligatures w14:val="none"/>
              </w:rPr>
              <w:t>7.4</w:t>
            </w:r>
            <w:r w:rsidR="001E6185">
              <w:rPr>
                <w:rFonts w:ascii="Times New Roman" w:eastAsia="Times New Roman" w:hAnsi="Times New Roman" w:cs="Times New Roman"/>
                <w:color w:val="1A1C1E"/>
                <w:kern w:val="0"/>
                <w:szCs w:val="24"/>
                <w:lang w:eastAsia="en-IN"/>
                <w14:ligatures w14:val="none"/>
              </w:rPr>
              <w:t>0</w:t>
            </w:r>
          </w:p>
        </w:tc>
      </w:tr>
      <w:tr w:rsidR="00E51E56" w:rsidRPr="00BA1C8E" w14:paraId="060025B2" w14:textId="77777777" w:rsidTr="00BA1C8E">
        <w:trPr>
          <w:trHeight w:val="300"/>
          <w:jc w:val="center"/>
        </w:trPr>
        <w:tc>
          <w:tcPr>
            <w:tcW w:w="3249" w:type="dxa"/>
            <w:tcBorders>
              <w:top w:val="nil"/>
              <w:left w:val="single" w:sz="4" w:space="0" w:color="auto"/>
              <w:bottom w:val="single" w:sz="4" w:space="0" w:color="auto"/>
              <w:right w:val="single" w:sz="4" w:space="0" w:color="auto"/>
            </w:tcBorders>
            <w:shd w:val="clear" w:color="000000" w:fill="FFFFFF"/>
            <w:vAlign w:val="center"/>
            <w:hideMark/>
          </w:tcPr>
          <w:p w14:paraId="3C6A3A7B" w14:textId="77777777" w:rsidR="00E51E56" w:rsidRPr="00BA1C8E" w:rsidRDefault="00E51E56" w:rsidP="00B77C0B">
            <w:pPr>
              <w:spacing w:after="0" w:line="240" w:lineRule="auto"/>
              <w:ind w:firstLineChars="100" w:firstLine="240"/>
              <w:rPr>
                <w:rFonts w:ascii="Times New Roman" w:eastAsia="Times New Roman" w:hAnsi="Times New Roman" w:cs="Times New Roman"/>
                <w:color w:val="1A1C1E"/>
                <w:kern w:val="0"/>
                <w:szCs w:val="24"/>
                <w:lang w:eastAsia="en-IN"/>
                <w14:ligatures w14:val="none"/>
              </w:rPr>
            </w:pPr>
            <w:r w:rsidRPr="00BA1C8E">
              <w:rPr>
                <w:rFonts w:ascii="Times New Roman" w:eastAsia="Times New Roman" w:hAnsi="Times New Roman" w:cs="Times New Roman"/>
                <w:color w:val="1A1C1E"/>
                <w:kern w:val="0"/>
                <w:szCs w:val="24"/>
                <w:lang w:eastAsia="en-IN"/>
                <w14:ligatures w14:val="none"/>
              </w:rPr>
              <w:t>Nagaland</w:t>
            </w:r>
          </w:p>
        </w:tc>
        <w:tc>
          <w:tcPr>
            <w:tcW w:w="2782" w:type="dxa"/>
            <w:tcBorders>
              <w:top w:val="nil"/>
              <w:left w:val="nil"/>
              <w:bottom w:val="single" w:sz="4" w:space="0" w:color="auto"/>
              <w:right w:val="single" w:sz="4" w:space="0" w:color="auto"/>
            </w:tcBorders>
            <w:shd w:val="clear" w:color="000000" w:fill="FFFFFF"/>
            <w:vAlign w:val="center"/>
            <w:hideMark/>
          </w:tcPr>
          <w:p w14:paraId="52525C8B" w14:textId="77777777" w:rsidR="00E51E56" w:rsidRPr="00BA1C8E" w:rsidRDefault="00E51E56" w:rsidP="005A7AAF">
            <w:pPr>
              <w:spacing w:after="0" w:line="240" w:lineRule="auto"/>
              <w:ind w:firstLineChars="100" w:firstLine="240"/>
              <w:jc w:val="center"/>
              <w:rPr>
                <w:rFonts w:ascii="Times New Roman" w:eastAsia="Times New Roman" w:hAnsi="Times New Roman" w:cs="Times New Roman"/>
                <w:color w:val="1A1C1E"/>
                <w:kern w:val="0"/>
                <w:szCs w:val="24"/>
                <w:lang w:eastAsia="en-IN"/>
                <w14:ligatures w14:val="none"/>
              </w:rPr>
            </w:pPr>
            <w:r w:rsidRPr="00BA1C8E">
              <w:rPr>
                <w:rFonts w:ascii="Times New Roman" w:eastAsia="Times New Roman" w:hAnsi="Times New Roman" w:cs="Times New Roman"/>
                <w:color w:val="1A1C1E"/>
                <w:kern w:val="0"/>
                <w:szCs w:val="24"/>
                <w:lang w:eastAsia="en-IN"/>
                <w14:ligatures w14:val="none"/>
              </w:rPr>
              <w:t>0.01</w:t>
            </w:r>
          </w:p>
        </w:tc>
        <w:tc>
          <w:tcPr>
            <w:tcW w:w="2833" w:type="dxa"/>
            <w:tcBorders>
              <w:top w:val="nil"/>
              <w:left w:val="nil"/>
              <w:bottom w:val="single" w:sz="4" w:space="0" w:color="auto"/>
              <w:right w:val="single" w:sz="4" w:space="0" w:color="auto"/>
            </w:tcBorders>
            <w:shd w:val="clear" w:color="000000" w:fill="FFFFFF"/>
            <w:vAlign w:val="center"/>
            <w:hideMark/>
          </w:tcPr>
          <w:p w14:paraId="3CB534DC" w14:textId="77777777" w:rsidR="00E51E56" w:rsidRPr="00BA1C8E" w:rsidRDefault="00E51E56" w:rsidP="005A7AAF">
            <w:pPr>
              <w:spacing w:after="0" w:line="240" w:lineRule="auto"/>
              <w:ind w:firstLineChars="100" w:firstLine="240"/>
              <w:jc w:val="center"/>
              <w:rPr>
                <w:rFonts w:ascii="Times New Roman" w:eastAsia="Times New Roman" w:hAnsi="Times New Roman" w:cs="Times New Roman"/>
                <w:color w:val="1A1C1E"/>
                <w:kern w:val="0"/>
                <w:szCs w:val="24"/>
                <w:lang w:eastAsia="en-IN"/>
                <w14:ligatures w14:val="none"/>
              </w:rPr>
            </w:pPr>
            <w:r w:rsidRPr="00BA1C8E">
              <w:rPr>
                <w:rFonts w:ascii="Times New Roman" w:eastAsia="Times New Roman" w:hAnsi="Times New Roman" w:cs="Times New Roman"/>
                <w:color w:val="1A1C1E"/>
                <w:kern w:val="0"/>
                <w:szCs w:val="24"/>
                <w:lang w:eastAsia="en-IN"/>
                <w14:ligatures w14:val="none"/>
              </w:rPr>
              <w:t>47</w:t>
            </w:r>
          </w:p>
        </w:tc>
        <w:tc>
          <w:tcPr>
            <w:tcW w:w="2250" w:type="dxa"/>
            <w:tcBorders>
              <w:top w:val="nil"/>
              <w:left w:val="nil"/>
              <w:bottom w:val="single" w:sz="4" w:space="0" w:color="auto"/>
              <w:right w:val="single" w:sz="4" w:space="0" w:color="auto"/>
            </w:tcBorders>
            <w:shd w:val="clear" w:color="000000" w:fill="FFFFFF"/>
            <w:vAlign w:val="center"/>
            <w:hideMark/>
          </w:tcPr>
          <w:p w14:paraId="0EB9B923" w14:textId="77777777" w:rsidR="00E51E56" w:rsidRPr="00BA1C8E" w:rsidRDefault="00E51E56" w:rsidP="005A7AAF">
            <w:pPr>
              <w:spacing w:after="0" w:line="240" w:lineRule="auto"/>
              <w:ind w:firstLineChars="100" w:firstLine="240"/>
              <w:jc w:val="center"/>
              <w:rPr>
                <w:rFonts w:ascii="Times New Roman" w:eastAsia="Times New Roman" w:hAnsi="Times New Roman" w:cs="Times New Roman"/>
                <w:color w:val="1A1C1E"/>
                <w:kern w:val="0"/>
                <w:szCs w:val="24"/>
                <w:lang w:eastAsia="en-IN"/>
                <w14:ligatures w14:val="none"/>
              </w:rPr>
            </w:pPr>
            <w:r w:rsidRPr="00BA1C8E">
              <w:rPr>
                <w:rFonts w:ascii="Times New Roman" w:eastAsia="Times New Roman" w:hAnsi="Times New Roman" w:cs="Times New Roman"/>
                <w:color w:val="1A1C1E"/>
                <w:kern w:val="0"/>
                <w:szCs w:val="24"/>
                <w:lang w:eastAsia="en-IN"/>
                <w14:ligatures w14:val="none"/>
              </w:rPr>
              <w:t>2.13</w:t>
            </w:r>
          </w:p>
        </w:tc>
      </w:tr>
      <w:tr w:rsidR="00E51E56" w:rsidRPr="00BA1C8E" w14:paraId="7498FF3C" w14:textId="77777777" w:rsidTr="00BA1C8E">
        <w:trPr>
          <w:trHeight w:val="300"/>
          <w:jc w:val="center"/>
        </w:trPr>
        <w:tc>
          <w:tcPr>
            <w:tcW w:w="3249" w:type="dxa"/>
            <w:tcBorders>
              <w:top w:val="nil"/>
              <w:left w:val="single" w:sz="4" w:space="0" w:color="auto"/>
              <w:bottom w:val="single" w:sz="4" w:space="0" w:color="auto"/>
              <w:right w:val="single" w:sz="4" w:space="0" w:color="auto"/>
            </w:tcBorders>
            <w:shd w:val="clear" w:color="000000" w:fill="FFFFFF"/>
            <w:vAlign w:val="center"/>
            <w:hideMark/>
          </w:tcPr>
          <w:p w14:paraId="4EB2D70F" w14:textId="77777777" w:rsidR="00E51E56" w:rsidRPr="00BA1C8E" w:rsidRDefault="00E51E56" w:rsidP="00B77C0B">
            <w:pPr>
              <w:spacing w:after="0" w:line="240" w:lineRule="auto"/>
              <w:ind w:firstLineChars="100" w:firstLine="240"/>
              <w:rPr>
                <w:rFonts w:ascii="Times New Roman" w:eastAsia="Times New Roman" w:hAnsi="Times New Roman" w:cs="Times New Roman"/>
                <w:color w:val="1A1C1E"/>
                <w:kern w:val="0"/>
                <w:szCs w:val="24"/>
                <w:lang w:eastAsia="en-IN"/>
                <w14:ligatures w14:val="none"/>
              </w:rPr>
            </w:pPr>
            <w:r w:rsidRPr="00BA1C8E">
              <w:rPr>
                <w:rFonts w:ascii="Times New Roman" w:eastAsia="Times New Roman" w:hAnsi="Times New Roman" w:cs="Times New Roman"/>
                <w:color w:val="1A1C1E"/>
                <w:kern w:val="0"/>
                <w:szCs w:val="24"/>
                <w:lang w:eastAsia="en-IN"/>
                <w14:ligatures w14:val="none"/>
              </w:rPr>
              <w:t>Orissa</w:t>
            </w:r>
          </w:p>
        </w:tc>
        <w:tc>
          <w:tcPr>
            <w:tcW w:w="2782" w:type="dxa"/>
            <w:tcBorders>
              <w:top w:val="nil"/>
              <w:left w:val="nil"/>
              <w:bottom w:val="single" w:sz="4" w:space="0" w:color="auto"/>
              <w:right w:val="single" w:sz="4" w:space="0" w:color="auto"/>
            </w:tcBorders>
            <w:shd w:val="clear" w:color="000000" w:fill="FFFFFF"/>
            <w:vAlign w:val="center"/>
            <w:hideMark/>
          </w:tcPr>
          <w:p w14:paraId="3DF13989" w14:textId="77777777" w:rsidR="00E51E56" w:rsidRPr="00BA1C8E" w:rsidRDefault="00E51E56" w:rsidP="005A7AAF">
            <w:pPr>
              <w:spacing w:after="0" w:line="240" w:lineRule="auto"/>
              <w:ind w:firstLineChars="100" w:firstLine="240"/>
              <w:jc w:val="center"/>
              <w:rPr>
                <w:rFonts w:ascii="Times New Roman" w:eastAsia="Times New Roman" w:hAnsi="Times New Roman" w:cs="Times New Roman"/>
                <w:color w:val="1A1C1E"/>
                <w:kern w:val="0"/>
                <w:szCs w:val="24"/>
                <w:lang w:eastAsia="en-IN"/>
                <w14:ligatures w14:val="none"/>
              </w:rPr>
            </w:pPr>
            <w:r w:rsidRPr="00BA1C8E">
              <w:rPr>
                <w:rFonts w:ascii="Times New Roman" w:eastAsia="Times New Roman" w:hAnsi="Times New Roman" w:cs="Times New Roman"/>
                <w:color w:val="1A1C1E"/>
                <w:kern w:val="0"/>
                <w:szCs w:val="24"/>
                <w:lang w:eastAsia="en-IN"/>
                <w14:ligatures w14:val="none"/>
              </w:rPr>
              <w:t>1.61</w:t>
            </w:r>
          </w:p>
        </w:tc>
        <w:tc>
          <w:tcPr>
            <w:tcW w:w="2833" w:type="dxa"/>
            <w:tcBorders>
              <w:top w:val="nil"/>
              <w:left w:val="nil"/>
              <w:bottom w:val="single" w:sz="4" w:space="0" w:color="auto"/>
              <w:right w:val="single" w:sz="4" w:space="0" w:color="auto"/>
            </w:tcBorders>
            <w:shd w:val="clear" w:color="000000" w:fill="FFFFFF"/>
            <w:vAlign w:val="center"/>
            <w:hideMark/>
          </w:tcPr>
          <w:p w14:paraId="6A390380" w14:textId="77777777" w:rsidR="00E51E56" w:rsidRPr="00BA1C8E" w:rsidRDefault="00E51E56" w:rsidP="005A7AAF">
            <w:pPr>
              <w:spacing w:after="0" w:line="240" w:lineRule="auto"/>
              <w:ind w:firstLineChars="100" w:firstLine="240"/>
              <w:jc w:val="center"/>
              <w:rPr>
                <w:rFonts w:ascii="Times New Roman" w:eastAsia="Times New Roman" w:hAnsi="Times New Roman" w:cs="Times New Roman"/>
                <w:color w:val="1A1C1E"/>
                <w:kern w:val="0"/>
                <w:szCs w:val="24"/>
                <w:lang w:eastAsia="en-IN"/>
                <w14:ligatures w14:val="none"/>
              </w:rPr>
            </w:pPr>
            <w:r w:rsidRPr="00BA1C8E">
              <w:rPr>
                <w:rFonts w:ascii="Times New Roman" w:eastAsia="Times New Roman" w:hAnsi="Times New Roman" w:cs="Times New Roman"/>
                <w:color w:val="1A1C1E"/>
                <w:kern w:val="0"/>
                <w:szCs w:val="24"/>
                <w:lang w:eastAsia="en-IN"/>
                <w14:ligatures w14:val="none"/>
              </w:rPr>
              <w:t>5989</w:t>
            </w:r>
          </w:p>
        </w:tc>
        <w:tc>
          <w:tcPr>
            <w:tcW w:w="2250" w:type="dxa"/>
            <w:tcBorders>
              <w:top w:val="nil"/>
              <w:left w:val="nil"/>
              <w:bottom w:val="single" w:sz="4" w:space="0" w:color="auto"/>
              <w:right w:val="single" w:sz="4" w:space="0" w:color="auto"/>
            </w:tcBorders>
            <w:shd w:val="clear" w:color="000000" w:fill="FFFFFF"/>
            <w:vAlign w:val="center"/>
            <w:hideMark/>
          </w:tcPr>
          <w:p w14:paraId="28483153" w14:textId="77777777" w:rsidR="00E51E56" w:rsidRPr="00BA1C8E" w:rsidRDefault="00E51E56" w:rsidP="005A7AAF">
            <w:pPr>
              <w:spacing w:after="0" w:line="240" w:lineRule="auto"/>
              <w:ind w:firstLineChars="100" w:firstLine="240"/>
              <w:jc w:val="center"/>
              <w:rPr>
                <w:rFonts w:ascii="Times New Roman" w:eastAsia="Times New Roman" w:hAnsi="Times New Roman" w:cs="Times New Roman"/>
                <w:color w:val="1A1C1E"/>
                <w:kern w:val="0"/>
                <w:szCs w:val="24"/>
                <w:lang w:eastAsia="en-IN"/>
                <w14:ligatures w14:val="none"/>
              </w:rPr>
            </w:pPr>
            <w:r w:rsidRPr="00BA1C8E">
              <w:rPr>
                <w:rFonts w:ascii="Times New Roman" w:eastAsia="Times New Roman" w:hAnsi="Times New Roman" w:cs="Times New Roman"/>
                <w:color w:val="1A1C1E"/>
                <w:kern w:val="0"/>
                <w:szCs w:val="24"/>
                <w:lang w:eastAsia="en-IN"/>
                <w14:ligatures w14:val="none"/>
              </w:rPr>
              <w:t>2.69</w:t>
            </w:r>
          </w:p>
        </w:tc>
      </w:tr>
      <w:tr w:rsidR="00E51E56" w:rsidRPr="00BA1C8E" w14:paraId="37483D17" w14:textId="77777777" w:rsidTr="00BA1C8E">
        <w:trPr>
          <w:trHeight w:val="300"/>
          <w:jc w:val="center"/>
        </w:trPr>
        <w:tc>
          <w:tcPr>
            <w:tcW w:w="3249" w:type="dxa"/>
            <w:tcBorders>
              <w:top w:val="nil"/>
              <w:left w:val="single" w:sz="4" w:space="0" w:color="auto"/>
              <w:bottom w:val="single" w:sz="4" w:space="0" w:color="auto"/>
              <w:right w:val="single" w:sz="4" w:space="0" w:color="auto"/>
            </w:tcBorders>
            <w:shd w:val="clear" w:color="000000" w:fill="FFFFFF"/>
            <w:vAlign w:val="center"/>
            <w:hideMark/>
          </w:tcPr>
          <w:p w14:paraId="2C84A8F1" w14:textId="77777777" w:rsidR="00E51E56" w:rsidRPr="00BA1C8E" w:rsidRDefault="00E51E56" w:rsidP="00B77C0B">
            <w:pPr>
              <w:spacing w:after="0" w:line="240" w:lineRule="auto"/>
              <w:ind w:firstLineChars="100" w:firstLine="240"/>
              <w:rPr>
                <w:rFonts w:ascii="Times New Roman" w:eastAsia="Times New Roman" w:hAnsi="Times New Roman" w:cs="Times New Roman"/>
                <w:color w:val="1A1C1E"/>
                <w:kern w:val="0"/>
                <w:szCs w:val="24"/>
                <w:lang w:eastAsia="en-IN"/>
                <w14:ligatures w14:val="none"/>
              </w:rPr>
            </w:pPr>
            <w:r w:rsidRPr="00BA1C8E">
              <w:rPr>
                <w:rFonts w:ascii="Times New Roman" w:eastAsia="Times New Roman" w:hAnsi="Times New Roman" w:cs="Times New Roman"/>
                <w:color w:val="1A1C1E"/>
                <w:kern w:val="0"/>
                <w:szCs w:val="24"/>
                <w:lang w:eastAsia="en-IN"/>
                <w14:ligatures w14:val="none"/>
              </w:rPr>
              <w:t>Punjab</w:t>
            </w:r>
          </w:p>
        </w:tc>
        <w:tc>
          <w:tcPr>
            <w:tcW w:w="2782" w:type="dxa"/>
            <w:tcBorders>
              <w:top w:val="nil"/>
              <w:left w:val="nil"/>
              <w:bottom w:val="single" w:sz="4" w:space="0" w:color="auto"/>
              <w:right w:val="single" w:sz="4" w:space="0" w:color="auto"/>
            </w:tcBorders>
            <w:shd w:val="clear" w:color="000000" w:fill="FFFFFF"/>
            <w:vAlign w:val="center"/>
            <w:hideMark/>
          </w:tcPr>
          <w:p w14:paraId="78520109" w14:textId="77777777" w:rsidR="00E51E56" w:rsidRPr="00BA1C8E" w:rsidRDefault="00E51E56" w:rsidP="005A7AAF">
            <w:pPr>
              <w:spacing w:after="0" w:line="240" w:lineRule="auto"/>
              <w:ind w:firstLineChars="100" w:firstLine="240"/>
              <w:jc w:val="center"/>
              <w:rPr>
                <w:rFonts w:ascii="Times New Roman" w:eastAsia="Times New Roman" w:hAnsi="Times New Roman" w:cs="Times New Roman"/>
                <w:color w:val="1A1C1E"/>
                <w:kern w:val="0"/>
                <w:szCs w:val="24"/>
                <w:lang w:eastAsia="en-IN"/>
                <w14:ligatures w14:val="none"/>
              </w:rPr>
            </w:pPr>
            <w:r w:rsidRPr="00BA1C8E">
              <w:rPr>
                <w:rFonts w:ascii="Times New Roman" w:eastAsia="Times New Roman" w:hAnsi="Times New Roman" w:cs="Times New Roman"/>
                <w:color w:val="1A1C1E"/>
                <w:kern w:val="0"/>
                <w:szCs w:val="24"/>
                <w:lang w:eastAsia="en-IN"/>
                <w14:ligatures w14:val="none"/>
              </w:rPr>
              <w:t>1.85</w:t>
            </w:r>
          </w:p>
        </w:tc>
        <w:tc>
          <w:tcPr>
            <w:tcW w:w="2833" w:type="dxa"/>
            <w:tcBorders>
              <w:top w:val="nil"/>
              <w:left w:val="nil"/>
              <w:bottom w:val="single" w:sz="4" w:space="0" w:color="auto"/>
              <w:right w:val="single" w:sz="4" w:space="0" w:color="auto"/>
            </w:tcBorders>
            <w:shd w:val="clear" w:color="000000" w:fill="FFFFFF"/>
            <w:vAlign w:val="center"/>
            <w:hideMark/>
          </w:tcPr>
          <w:p w14:paraId="7CFEAE27" w14:textId="77777777" w:rsidR="00E51E56" w:rsidRPr="00BA1C8E" w:rsidRDefault="00E51E56" w:rsidP="005A7AAF">
            <w:pPr>
              <w:spacing w:after="0" w:line="240" w:lineRule="auto"/>
              <w:ind w:firstLineChars="100" w:firstLine="240"/>
              <w:jc w:val="center"/>
              <w:rPr>
                <w:rFonts w:ascii="Times New Roman" w:eastAsia="Times New Roman" w:hAnsi="Times New Roman" w:cs="Times New Roman"/>
                <w:color w:val="1A1C1E"/>
                <w:kern w:val="0"/>
                <w:szCs w:val="24"/>
                <w:lang w:eastAsia="en-IN"/>
                <w14:ligatures w14:val="none"/>
              </w:rPr>
            </w:pPr>
            <w:r w:rsidRPr="00BA1C8E">
              <w:rPr>
                <w:rFonts w:ascii="Times New Roman" w:eastAsia="Times New Roman" w:hAnsi="Times New Roman" w:cs="Times New Roman"/>
                <w:color w:val="1A1C1E"/>
                <w:kern w:val="0"/>
                <w:szCs w:val="24"/>
                <w:lang w:eastAsia="en-IN"/>
                <w14:ligatures w14:val="none"/>
              </w:rPr>
              <w:t>3836</w:t>
            </w:r>
          </w:p>
        </w:tc>
        <w:tc>
          <w:tcPr>
            <w:tcW w:w="2250" w:type="dxa"/>
            <w:tcBorders>
              <w:top w:val="nil"/>
              <w:left w:val="nil"/>
              <w:bottom w:val="single" w:sz="4" w:space="0" w:color="auto"/>
              <w:right w:val="single" w:sz="4" w:space="0" w:color="auto"/>
            </w:tcBorders>
            <w:shd w:val="clear" w:color="000000" w:fill="FFFFFF"/>
            <w:vAlign w:val="center"/>
            <w:hideMark/>
          </w:tcPr>
          <w:p w14:paraId="516BFFFC" w14:textId="77777777" w:rsidR="00E51E56" w:rsidRPr="00BA1C8E" w:rsidRDefault="00E51E56" w:rsidP="005A7AAF">
            <w:pPr>
              <w:spacing w:after="0" w:line="240" w:lineRule="auto"/>
              <w:ind w:firstLineChars="100" w:firstLine="240"/>
              <w:jc w:val="center"/>
              <w:rPr>
                <w:rFonts w:ascii="Times New Roman" w:eastAsia="Times New Roman" w:hAnsi="Times New Roman" w:cs="Times New Roman"/>
                <w:color w:val="1A1C1E"/>
                <w:kern w:val="0"/>
                <w:szCs w:val="24"/>
                <w:lang w:eastAsia="en-IN"/>
                <w14:ligatures w14:val="none"/>
              </w:rPr>
            </w:pPr>
            <w:r w:rsidRPr="00BA1C8E">
              <w:rPr>
                <w:rFonts w:ascii="Times New Roman" w:eastAsia="Times New Roman" w:hAnsi="Times New Roman" w:cs="Times New Roman"/>
                <w:color w:val="1A1C1E"/>
                <w:kern w:val="0"/>
                <w:szCs w:val="24"/>
                <w:lang w:eastAsia="en-IN"/>
                <w14:ligatures w14:val="none"/>
              </w:rPr>
              <w:t>4.82</w:t>
            </w:r>
          </w:p>
        </w:tc>
      </w:tr>
      <w:tr w:rsidR="00E51E56" w:rsidRPr="00BA1C8E" w14:paraId="0F3EC4C7" w14:textId="77777777" w:rsidTr="00BA1C8E">
        <w:trPr>
          <w:trHeight w:val="300"/>
          <w:jc w:val="center"/>
        </w:trPr>
        <w:tc>
          <w:tcPr>
            <w:tcW w:w="3249" w:type="dxa"/>
            <w:tcBorders>
              <w:top w:val="nil"/>
              <w:left w:val="single" w:sz="4" w:space="0" w:color="auto"/>
              <w:bottom w:val="single" w:sz="4" w:space="0" w:color="auto"/>
              <w:right w:val="single" w:sz="4" w:space="0" w:color="auto"/>
            </w:tcBorders>
            <w:shd w:val="clear" w:color="000000" w:fill="FFFFFF"/>
            <w:vAlign w:val="center"/>
            <w:hideMark/>
          </w:tcPr>
          <w:p w14:paraId="695C6D53" w14:textId="77777777" w:rsidR="00E51E56" w:rsidRPr="00BA1C8E" w:rsidRDefault="00E51E56" w:rsidP="00B77C0B">
            <w:pPr>
              <w:spacing w:after="0" w:line="240" w:lineRule="auto"/>
              <w:ind w:firstLineChars="100" w:firstLine="240"/>
              <w:rPr>
                <w:rFonts w:ascii="Times New Roman" w:eastAsia="Times New Roman" w:hAnsi="Times New Roman" w:cs="Times New Roman"/>
                <w:color w:val="1A1C1E"/>
                <w:kern w:val="0"/>
                <w:szCs w:val="24"/>
                <w:lang w:eastAsia="en-IN"/>
                <w14:ligatures w14:val="none"/>
              </w:rPr>
            </w:pPr>
            <w:r w:rsidRPr="00BA1C8E">
              <w:rPr>
                <w:rFonts w:ascii="Times New Roman" w:eastAsia="Times New Roman" w:hAnsi="Times New Roman" w:cs="Times New Roman"/>
                <w:color w:val="1A1C1E"/>
                <w:kern w:val="0"/>
                <w:szCs w:val="24"/>
                <w:lang w:eastAsia="en-IN"/>
                <w14:ligatures w14:val="none"/>
              </w:rPr>
              <w:t>Rajasthan</w:t>
            </w:r>
          </w:p>
        </w:tc>
        <w:tc>
          <w:tcPr>
            <w:tcW w:w="2782" w:type="dxa"/>
            <w:tcBorders>
              <w:top w:val="nil"/>
              <w:left w:val="nil"/>
              <w:bottom w:val="single" w:sz="4" w:space="0" w:color="auto"/>
              <w:right w:val="single" w:sz="4" w:space="0" w:color="auto"/>
            </w:tcBorders>
            <w:shd w:val="clear" w:color="000000" w:fill="FFFFFF"/>
            <w:vAlign w:val="center"/>
            <w:hideMark/>
          </w:tcPr>
          <w:p w14:paraId="19DAFE6B" w14:textId="77777777" w:rsidR="00E51E56" w:rsidRPr="00BA1C8E" w:rsidRDefault="00E51E56" w:rsidP="005A7AAF">
            <w:pPr>
              <w:spacing w:after="0" w:line="240" w:lineRule="auto"/>
              <w:ind w:firstLineChars="100" w:firstLine="240"/>
              <w:jc w:val="center"/>
              <w:rPr>
                <w:rFonts w:ascii="Times New Roman" w:eastAsia="Times New Roman" w:hAnsi="Times New Roman" w:cs="Times New Roman"/>
                <w:color w:val="1A1C1E"/>
                <w:kern w:val="0"/>
                <w:szCs w:val="24"/>
                <w:lang w:eastAsia="en-IN"/>
                <w14:ligatures w14:val="none"/>
              </w:rPr>
            </w:pPr>
            <w:r w:rsidRPr="00BA1C8E">
              <w:rPr>
                <w:rFonts w:ascii="Times New Roman" w:eastAsia="Times New Roman" w:hAnsi="Times New Roman" w:cs="Times New Roman"/>
                <w:color w:val="1A1C1E"/>
                <w:kern w:val="0"/>
                <w:szCs w:val="24"/>
                <w:lang w:eastAsia="en-IN"/>
                <w14:ligatures w14:val="none"/>
              </w:rPr>
              <w:t>10.14</w:t>
            </w:r>
          </w:p>
        </w:tc>
        <w:tc>
          <w:tcPr>
            <w:tcW w:w="2833" w:type="dxa"/>
            <w:tcBorders>
              <w:top w:val="nil"/>
              <w:left w:val="nil"/>
              <w:bottom w:val="single" w:sz="4" w:space="0" w:color="auto"/>
              <w:right w:val="single" w:sz="4" w:space="0" w:color="auto"/>
            </w:tcBorders>
            <w:shd w:val="clear" w:color="000000" w:fill="FFFFFF"/>
            <w:vAlign w:val="center"/>
            <w:hideMark/>
          </w:tcPr>
          <w:p w14:paraId="015F0C9E" w14:textId="77777777" w:rsidR="00E51E56" w:rsidRPr="00BA1C8E" w:rsidRDefault="00E51E56" w:rsidP="005A7AAF">
            <w:pPr>
              <w:spacing w:after="0" w:line="240" w:lineRule="auto"/>
              <w:ind w:firstLineChars="100" w:firstLine="240"/>
              <w:jc w:val="center"/>
              <w:rPr>
                <w:rFonts w:ascii="Times New Roman" w:eastAsia="Times New Roman" w:hAnsi="Times New Roman" w:cs="Times New Roman"/>
                <w:color w:val="1A1C1E"/>
                <w:kern w:val="0"/>
                <w:szCs w:val="24"/>
                <w:lang w:eastAsia="en-IN"/>
                <w14:ligatures w14:val="none"/>
              </w:rPr>
            </w:pPr>
            <w:r w:rsidRPr="00BA1C8E">
              <w:rPr>
                <w:rFonts w:ascii="Times New Roman" w:eastAsia="Times New Roman" w:hAnsi="Times New Roman" w:cs="Times New Roman"/>
                <w:color w:val="1A1C1E"/>
                <w:kern w:val="0"/>
                <w:szCs w:val="24"/>
                <w:lang w:eastAsia="en-IN"/>
                <w14:ligatures w14:val="none"/>
              </w:rPr>
              <w:t>14131</w:t>
            </w:r>
          </w:p>
        </w:tc>
        <w:tc>
          <w:tcPr>
            <w:tcW w:w="2250" w:type="dxa"/>
            <w:tcBorders>
              <w:top w:val="nil"/>
              <w:left w:val="nil"/>
              <w:bottom w:val="single" w:sz="4" w:space="0" w:color="auto"/>
              <w:right w:val="single" w:sz="4" w:space="0" w:color="auto"/>
            </w:tcBorders>
            <w:shd w:val="clear" w:color="000000" w:fill="FFFFFF"/>
            <w:vAlign w:val="center"/>
            <w:hideMark/>
          </w:tcPr>
          <w:p w14:paraId="3673B04A" w14:textId="77777777" w:rsidR="00E51E56" w:rsidRPr="00BA1C8E" w:rsidRDefault="00E51E56" w:rsidP="005A7AAF">
            <w:pPr>
              <w:spacing w:after="0" w:line="240" w:lineRule="auto"/>
              <w:ind w:firstLineChars="100" w:firstLine="240"/>
              <w:jc w:val="center"/>
              <w:rPr>
                <w:rFonts w:ascii="Times New Roman" w:eastAsia="Times New Roman" w:hAnsi="Times New Roman" w:cs="Times New Roman"/>
                <w:color w:val="1A1C1E"/>
                <w:kern w:val="0"/>
                <w:szCs w:val="24"/>
                <w:lang w:eastAsia="en-IN"/>
                <w14:ligatures w14:val="none"/>
              </w:rPr>
            </w:pPr>
            <w:r w:rsidRPr="00BA1C8E">
              <w:rPr>
                <w:rFonts w:ascii="Times New Roman" w:eastAsia="Times New Roman" w:hAnsi="Times New Roman" w:cs="Times New Roman"/>
                <w:color w:val="1A1C1E"/>
                <w:kern w:val="0"/>
                <w:szCs w:val="24"/>
                <w:lang w:eastAsia="en-IN"/>
                <w14:ligatures w14:val="none"/>
              </w:rPr>
              <w:t>7.18</w:t>
            </w:r>
          </w:p>
        </w:tc>
      </w:tr>
      <w:tr w:rsidR="00E51E56" w:rsidRPr="00BA1C8E" w14:paraId="45BF8185" w14:textId="77777777" w:rsidTr="00BA1C8E">
        <w:trPr>
          <w:trHeight w:val="300"/>
          <w:jc w:val="center"/>
        </w:trPr>
        <w:tc>
          <w:tcPr>
            <w:tcW w:w="3249" w:type="dxa"/>
            <w:tcBorders>
              <w:top w:val="nil"/>
              <w:left w:val="single" w:sz="4" w:space="0" w:color="auto"/>
              <w:bottom w:val="single" w:sz="4" w:space="0" w:color="auto"/>
              <w:right w:val="single" w:sz="4" w:space="0" w:color="auto"/>
            </w:tcBorders>
            <w:shd w:val="clear" w:color="000000" w:fill="FFFFFF"/>
            <w:vAlign w:val="center"/>
            <w:hideMark/>
          </w:tcPr>
          <w:p w14:paraId="760FC694" w14:textId="77777777" w:rsidR="00E51E56" w:rsidRPr="00BA1C8E" w:rsidRDefault="00E51E56" w:rsidP="00B77C0B">
            <w:pPr>
              <w:spacing w:after="0" w:line="240" w:lineRule="auto"/>
              <w:ind w:firstLineChars="100" w:firstLine="240"/>
              <w:rPr>
                <w:rFonts w:ascii="Times New Roman" w:eastAsia="Times New Roman" w:hAnsi="Times New Roman" w:cs="Times New Roman"/>
                <w:color w:val="1A1C1E"/>
                <w:kern w:val="0"/>
                <w:szCs w:val="24"/>
                <w:lang w:eastAsia="en-IN"/>
                <w14:ligatures w14:val="none"/>
              </w:rPr>
            </w:pPr>
            <w:r w:rsidRPr="00BA1C8E">
              <w:rPr>
                <w:rFonts w:ascii="Times New Roman" w:eastAsia="Times New Roman" w:hAnsi="Times New Roman" w:cs="Times New Roman"/>
                <w:color w:val="1A1C1E"/>
                <w:kern w:val="0"/>
                <w:szCs w:val="24"/>
                <w:lang w:eastAsia="en-IN"/>
                <w14:ligatures w14:val="none"/>
              </w:rPr>
              <w:t>Tamil Nadu</w:t>
            </w:r>
          </w:p>
        </w:tc>
        <w:tc>
          <w:tcPr>
            <w:tcW w:w="2782" w:type="dxa"/>
            <w:tcBorders>
              <w:top w:val="nil"/>
              <w:left w:val="nil"/>
              <w:bottom w:val="single" w:sz="4" w:space="0" w:color="auto"/>
              <w:right w:val="single" w:sz="4" w:space="0" w:color="auto"/>
            </w:tcBorders>
            <w:shd w:val="clear" w:color="000000" w:fill="FFFFFF"/>
            <w:vAlign w:val="center"/>
            <w:hideMark/>
          </w:tcPr>
          <w:p w14:paraId="5642161F" w14:textId="77777777" w:rsidR="00E51E56" w:rsidRPr="00BA1C8E" w:rsidRDefault="00E51E56" w:rsidP="005A7AAF">
            <w:pPr>
              <w:spacing w:after="0" w:line="240" w:lineRule="auto"/>
              <w:ind w:firstLineChars="100" w:firstLine="240"/>
              <w:jc w:val="center"/>
              <w:rPr>
                <w:rFonts w:ascii="Times New Roman" w:eastAsia="Times New Roman" w:hAnsi="Times New Roman" w:cs="Times New Roman"/>
                <w:color w:val="1A1C1E"/>
                <w:kern w:val="0"/>
                <w:szCs w:val="24"/>
                <w:lang w:eastAsia="en-IN"/>
                <w14:ligatures w14:val="none"/>
              </w:rPr>
            </w:pPr>
            <w:r w:rsidRPr="00BA1C8E">
              <w:rPr>
                <w:rFonts w:ascii="Times New Roman" w:eastAsia="Times New Roman" w:hAnsi="Times New Roman" w:cs="Times New Roman"/>
                <w:color w:val="1A1C1E"/>
                <w:kern w:val="0"/>
                <w:szCs w:val="24"/>
                <w:lang w:eastAsia="en-IN"/>
                <w14:ligatures w14:val="none"/>
              </w:rPr>
              <w:t>5.28</w:t>
            </w:r>
          </w:p>
        </w:tc>
        <w:tc>
          <w:tcPr>
            <w:tcW w:w="2833" w:type="dxa"/>
            <w:tcBorders>
              <w:top w:val="nil"/>
              <w:left w:val="nil"/>
              <w:bottom w:val="single" w:sz="4" w:space="0" w:color="auto"/>
              <w:right w:val="single" w:sz="4" w:space="0" w:color="auto"/>
            </w:tcBorders>
            <w:shd w:val="clear" w:color="000000" w:fill="FFFFFF"/>
            <w:vAlign w:val="center"/>
            <w:hideMark/>
          </w:tcPr>
          <w:p w14:paraId="405794EE" w14:textId="77777777" w:rsidR="00E51E56" w:rsidRPr="00BA1C8E" w:rsidRDefault="00E51E56" w:rsidP="005A7AAF">
            <w:pPr>
              <w:spacing w:after="0" w:line="240" w:lineRule="auto"/>
              <w:ind w:firstLineChars="100" w:firstLine="240"/>
              <w:jc w:val="center"/>
              <w:rPr>
                <w:rFonts w:ascii="Times New Roman" w:eastAsia="Times New Roman" w:hAnsi="Times New Roman" w:cs="Times New Roman"/>
                <w:color w:val="1A1C1E"/>
                <w:kern w:val="0"/>
                <w:szCs w:val="24"/>
                <w:lang w:eastAsia="en-IN"/>
                <w14:ligatures w14:val="none"/>
              </w:rPr>
            </w:pPr>
            <w:r w:rsidRPr="00BA1C8E">
              <w:rPr>
                <w:rFonts w:ascii="Times New Roman" w:eastAsia="Times New Roman" w:hAnsi="Times New Roman" w:cs="Times New Roman"/>
                <w:color w:val="1A1C1E"/>
                <w:kern w:val="0"/>
                <w:szCs w:val="24"/>
                <w:lang w:eastAsia="en-IN"/>
                <w14:ligatures w14:val="none"/>
              </w:rPr>
              <w:t>5934</w:t>
            </w:r>
          </w:p>
        </w:tc>
        <w:tc>
          <w:tcPr>
            <w:tcW w:w="2250" w:type="dxa"/>
            <w:tcBorders>
              <w:top w:val="nil"/>
              <w:left w:val="nil"/>
              <w:bottom w:val="single" w:sz="4" w:space="0" w:color="auto"/>
              <w:right w:val="single" w:sz="4" w:space="0" w:color="auto"/>
            </w:tcBorders>
            <w:shd w:val="clear" w:color="000000" w:fill="FFFFFF"/>
            <w:vAlign w:val="center"/>
            <w:hideMark/>
          </w:tcPr>
          <w:p w14:paraId="7AF936FD" w14:textId="77777777" w:rsidR="00E51E56" w:rsidRPr="00BA1C8E" w:rsidRDefault="00E51E56" w:rsidP="005A7AAF">
            <w:pPr>
              <w:spacing w:after="0" w:line="240" w:lineRule="auto"/>
              <w:ind w:firstLineChars="100" w:firstLine="240"/>
              <w:jc w:val="center"/>
              <w:rPr>
                <w:rFonts w:ascii="Times New Roman" w:eastAsia="Times New Roman" w:hAnsi="Times New Roman" w:cs="Times New Roman"/>
                <w:color w:val="1A1C1E"/>
                <w:kern w:val="0"/>
                <w:szCs w:val="24"/>
                <w:lang w:eastAsia="en-IN"/>
                <w14:ligatures w14:val="none"/>
              </w:rPr>
            </w:pPr>
            <w:r w:rsidRPr="00BA1C8E">
              <w:rPr>
                <w:rFonts w:ascii="Times New Roman" w:eastAsia="Times New Roman" w:hAnsi="Times New Roman" w:cs="Times New Roman"/>
                <w:color w:val="1A1C1E"/>
                <w:kern w:val="0"/>
                <w:szCs w:val="24"/>
                <w:lang w:eastAsia="en-IN"/>
                <w14:ligatures w14:val="none"/>
              </w:rPr>
              <w:t>8.9</w:t>
            </w:r>
          </w:p>
        </w:tc>
      </w:tr>
      <w:tr w:rsidR="00E51E56" w:rsidRPr="00BA1C8E" w14:paraId="1BD21B75" w14:textId="77777777" w:rsidTr="00BA1C8E">
        <w:trPr>
          <w:trHeight w:val="300"/>
          <w:jc w:val="center"/>
        </w:trPr>
        <w:tc>
          <w:tcPr>
            <w:tcW w:w="3249" w:type="dxa"/>
            <w:tcBorders>
              <w:top w:val="nil"/>
              <w:left w:val="single" w:sz="4" w:space="0" w:color="auto"/>
              <w:bottom w:val="single" w:sz="4" w:space="0" w:color="auto"/>
              <w:right w:val="single" w:sz="4" w:space="0" w:color="auto"/>
            </w:tcBorders>
            <w:shd w:val="clear" w:color="000000" w:fill="FFFFFF"/>
            <w:vAlign w:val="center"/>
            <w:hideMark/>
          </w:tcPr>
          <w:p w14:paraId="5ED89DA9" w14:textId="77777777" w:rsidR="00E51E56" w:rsidRPr="00BA1C8E" w:rsidRDefault="00E51E56" w:rsidP="00B77C0B">
            <w:pPr>
              <w:spacing w:after="0" w:line="240" w:lineRule="auto"/>
              <w:ind w:firstLineChars="100" w:firstLine="240"/>
              <w:rPr>
                <w:rFonts w:ascii="Times New Roman" w:eastAsia="Times New Roman" w:hAnsi="Times New Roman" w:cs="Times New Roman"/>
                <w:color w:val="1A1C1E"/>
                <w:kern w:val="0"/>
                <w:szCs w:val="24"/>
                <w:lang w:eastAsia="en-IN"/>
                <w14:ligatures w14:val="none"/>
              </w:rPr>
            </w:pPr>
            <w:r w:rsidRPr="00BA1C8E">
              <w:rPr>
                <w:rFonts w:ascii="Times New Roman" w:eastAsia="Times New Roman" w:hAnsi="Times New Roman" w:cs="Times New Roman"/>
                <w:color w:val="1A1C1E"/>
                <w:kern w:val="0"/>
                <w:szCs w:val="24"/>
                <w:lang w:eastAsia="en-IN"/>
                <w14:ligatures w14:val="none"/>
              </w:rPr>
              <w:t>Uttar Pradesh</w:t>
            </w:r>
          </w:p>
        </w:tc>
        <w:tc>
          <w:tcPr>
            <w:tcW w:w="2782" w:type="dxa"/>
            <w:tcBorders>
              <w:top w:val="nil"/>
              <w:left w:val="nil"/>
              <w:bottom w:val="single" w:sz="4" w:space="0" w:color="auto"/>
              <w:right w:val="single" w:sz="4" w:space="0" w:color="auto"/>
            </w:tcBorders>
            <w:shd w:val="clear" w:color="000000" w:fill="FFFFFF"/>
            <w:vAlign w:val="center"/>
            <w:hideMark/>
          </w:tcPr>
          <w:p w14:paraId="37254E23" w14:textId="77777777" w:rsidR="00E51E56" w:rsidRPr="00BA1C8E" w:rsidRDefault="00E51E56" w:rsidP="005A7AAF">
            <w:pPr>
              <w:spacing w:after="0" w:line="240" w:lineRule="auto"/>
              <w:ind w:firstLineChars="100" w:firstLine="240"/>
              <w:jc w:val="center"/>
              <w:rPr>
                <w:rFonts w:ascii="Times New Roman" w:eastAsia="Times New Roman" w:hAnsi="Times New Roman" w:cs="Times New Roman"/>
                <w:color w:val="1A1C1E"/>
                <w:kern w:val="0"/>
                <w:szCs w:val="24"/>
                <w:lang w:eastAsia="en-IN"/>
                <w14:ligatures w14:val="none"/>
              </w:rPr>
            </w:pPr>
            <w:r w:rsidRPr="00BA1C8E">
              <w:rPr>
                <w:rFonts w:ascii="Times New Roman" w:eastAsia="Times New Roman" w:hAnsi="Times New Roman" w:cs="Times New Roman"/>
                <w:color w:val="1A1C1E"/>
                <w:kern w:val="0"/>
                <w:szCs w:val="24"/>
                <w:lang w:eastAsia="en-IN"/>
                <w14:ligatures w14:val="none"/>
              </w:rPr>
              <w:t>25.33</w:t>
            </w:r>
          </w:p>
        </w:tc>
        <w:tc>
          <w:tcPr>
            <w:tcW w:w="2833" w:type="dxa"/>
            <w:tcBorders>
              <w:top w:val="nil"/>
              <w:left w:val="nil"/>
              <w:bottom w:val="single" w:sz="4" w:space="0" w:color="auto"/>
              <w:right w:val="single" w:sz="4" w:space="0" w:color="auto"/>
            </w:tcBorders>
            <w:shd w:val="clear" w:color="000000" w:fill="FFFFFF"/>
            <w:vAlign w:val="center"/>
            <w:hideMark/>
          </w:tcPr>
          <w:p w14:paraId="2D336437" w14:textId="77777777" w:rsidR="00E51E56" w:rsidRPr="00BA1C8E" w:rsidRDefault="00E51E56" w:rsidP="005A7AAF">
            <w:pPr>
              <w:spacing w:after="0" w:line="240" w:lineRule="auto"/>
              <w:ind w:firstLineChars="100" w:firstLine="240"/>
              <w:jc w:val="center"/>
              <w:rPr>
                <w:rFonts w:ascii="Times New Roman" w:eastAsia="Times New Roman" w:hAnsi="Times New Roman" w:cs="Times New Roman"/>
                <w:color w:val="1A1C1E"/>
                <w:kern w:val="0"/>
                <w:szCs w:val="24"/>
                <w:lang w:eastAsia="en-IN"/>
                <w14:ligatures w14:val="none"/>
              </w:rPr>
            </w:pPr>
            <w:r w:rsidRPr="00BA1C8E">
              <w:rPr>
                <w:rFonts w:ascii="Times New Roman" w:eastAsia="Times New Roman" w:hAnsi="Times New Roman" w:cs="Times New Roman"/>
                <w:color w:val="1A1C1E"/>
                <w:kern w:val="0"/>
                <w:szCs w:val="24"/>
                <w:lang w:eastAsia="en-IN"/>
                <w14:ligatures w14:val="none"/>
              </w:rPr>
              <w:t>17343</w:t>
            </w:r>
          </w:p>
        </w:tc>
        <w:tc>
          <w:tcPr>
            <w:tcW w:w="2250" w:type="dxa"/>
            <w:tcBorders>
              <w:top w:val="nil"/>
              <w:left w:val="nil"/>
              <w:bottom w:val="single" w:sz="4" w:space="0" w:color="auto"/>
              <w:right w:val="single" w:sz="4" w:space="0" w:color="auto"/>
            </w:tcBorders>
            <w:shd w:val="clear" w:color="000000" w:fill="FFFFFF"/>
            <w:vAlign w:val="center"/>
            <w:hideMark/>
          </w:tcPr>
          <w:p w14:paraId="2798611B" w14:textId="77777777" w:rsidR="00E51E56" w:rsidRPr="00BA1C8E" w:rsidRDefault="00E51E56" w:rsidP="005A7AAF">
            <w:pPr>
              <w:spacing w:after="0" w:line="240" w:lineRule="auto"/>
              <w:ind w:firstLineChars="100" w:firstLine="240"/>
              <w:jc w:val="center"/>
              <w:rPr>
                <w:rFonts w:ascii="Times New Roman" w:eastAsia="Times New Roman" w:hAnsi="Times New Roman" w:cs="Times New Roman"/>
                <w:color w:val="1A1C1E"/>
                <w:kern w:val="0"/>
                <w:szCs w:val="24"/>
                <w:lang w:eastAsia="en-IN"/>
                <w14:ligatures w14:val="none"/>
              </w:rPr>
            </w:pPr>
            <w:r w:rsidRPr="00BA1C8E">
              <w:rPr>
                <w:rFonts w:ascii="Times New Roman" w:eastAsia="Times New Roman" w:hAnsi="Times New Roman" w:cs="Times New Roman"/>
                <w:color w:val="1A1C1E"/>
                <w:kern w:val="0"/>
                <w:szCs w:val="24"/>
                <w:lang w:eastAsia="en-IN"/>
                <w14:ligatures w14:val="none"/>
              </w:rPr>
              <w:t>14.61</w:t>
            </w:r>
          </w:p>
        </w:tc>
      </w:tr>
      <w:tr w:rsidR="00E51E56" w:rsidRPr="00BA1C8E" w14:paraId="7CD2D9AA" w14:textId="77777777" w:rsidTr="00BA1C8E">
        <w:trPr>
          <w:trHeight w:val="300"/>
          <w:jc w:val="center"/>
        </w:trPr>
        <w:tc>
          <w:tcPr>
            <w:tcW w:w="3249" w:type="dxa"/>
            <w:tcBorders>
              <w:top w:val="nil"/>
              <w:left w:val="single" w:sz="4" w:space="0" w:color="auto"/>
              <w:bottom w:val="single" w:sz="4" w:space="0" w:color="auto"/>
              <w:right w:val="single" w:sz="4" w:space="0" w:color="auto"/>
            </w:tcBorders>
            <w:shd w:val="clear" w:color="000000" w:fill="FFFFFF"/>
            <w:vAlign w:val="center"/>
            <w:hideMark/>
          </w:tcPr>
          <w:p w14:paraId="66741864" w14:textId="77777777" w:rsidR="00E51E56" w:rsidRPr="00BA1C8E" w:rsidRDefault="00E51E56" w:rsidP="00B77C0B">
            <w:pPr>
              <w:spacing w:after="0" w:line="240" w:lineRule="auto"/>
              <w:ind w:firstLineChars="100" w:firstLine="240"/>
              <w:rPr>
                <w:rFonts w:ascii="Times New Roman" w:eastAsia="Times New Roman" w:hAnsi="Times New Roman" w:cs="Times New Roman"/>
                <w:color w:val="1A1C1E"/>
                <w:kern w:val="0"/>
                <w:szCs w:val="24"/>
                <w:lang w:eastAsia="en-IN"/>
                <w14:ligatures w14:val="none"/>
              </w:rPr>
            </w:pPr>
            <w:r w:rsidRPr="00BA1C8E">
              <w:rPr>
                <w:rFonts w:ascii="Times New Roman" w:eastAsia="Times New Roman" w:hAnsi="Times New Roman" w:cs="Times New Roman"/>
                <w:color w:val="1A1C1E"/>
                <w:kern w:val="0"/>
                <w:szCs w:val="24"/>
                <w:lang w:eastAsia="en-IN"/>
                <w14:ligatures w14:val="none"/>
              </w:rPr>
              <w:t>West Bengal</w:t>
            </w:r>
          </w:p>
        </w:tc>
        <w:tc>
          <w:tcPr>
            <w:tcW w:w="2782" w:type="dxa"/>
            <w:tcBorders>
              <w:top w:val="nil"/>
              <w:left w:val="nil"/>
              <w:bottom w:val="single" w:sz="4" w:space="0" w:color="auto"/>
              <w:right w:val="single" w:sz="4" w:space="0" w:color="auto"/>
            </w:tcBorders>
            <w:shd w:val="clear" w:color="000000" w:fill="FFFFFF"/>
            <w:vAlign w:val="center"/>
            <w:hideMark/>
          </w:tcPr>
          <w:p w14:paraId="0ED899B6" w14:textId="77777777" w:rsidR="00E51E56" w:rsidRPr="00BA1C8E" w:rsidRDefault="00E51E56" w:rsidP="005A7AAF">
            <w:pPr>
              <w:spacing w:after="0" w:line="240" w:lineRule="auto"/>
              <w:ind w:firstLineChars="100" w:firstLine="240"/>
              <w:jc w:val="center"/>
              <w:rPr>
                <w:rFonts w:ascii="Times New Roman" w:eastAsia="Times New Roman" w:hAnsi="Times New Roman" w:cs="Times New Roman"/>
                <w:color w:val="1A1C1E"/>
                <w:kern w:val="0"/>
                <w:szCs w:val="24"/>
                <w:lang w:eastAsia="en-IN"/>
                <w14:ligatures w14:val="none"/>
              </w:rPr>
            </w:pPr>
            <w:r w:rsidRPr="00BA1C8E">
              <w:rPr>
                <w:rFonts w:ascii="Times New Roman" w:eastAsia="Times New Roman" w:hAnsi="Times New Roman" w:cs="Times New Roman"/>
                <w:color w:val="1A1C1E"/>
                <w:kern w:val="0"/>
                <w:szCs w:val="24"/>
                <w:lang w:eastAsia="en-IN"/>
                <w14:ligatures w14:val="none"/>
              </w:rPr>
              <w:t>5.47</w:t>
            </w:r>
          </w:p>
        </w:tc>
        <w:tc>
          <w:tcPr>
            <w:tcW w:w="2833" w:type="dxa"/>
            <w:tcBorders>
              <w:top w:val="nil"/>
              <w:left w:val="nil"/>
              <w:bottom w:val="single" w:sz="4" w:space="0" w:color="auto"/>
              <w:right w:val="single" w:sz="4" w:space="0" w:color="auto"/>
            </w:tcBorders>
            <w:shd w:val="clear" w:color="000000" w:fill="FFFFFF"/>
            <w:vAlign w:val="center"/>
            <w:hideMark/>
          </w:tcPr>
          <w:p w14:paraId="268D8561" w14:textId="77777777" w:rsidR="00E51E56" w:rsidRPr="00BA1C8E" w:rsidRDefault="00E51E56" w:rsidP="005A7AAF">
            <w:pPr>
              <w:spacing w:after="0" w:line="240" w:lineRule="auto"/>
              <w:ind w:firstLineChars="100" w:firstLine="240"/>
              <w:jc w:val="center"/>
              <w:rPr>
                <w:rFonts w:ascii="Times New Roman" w:eastAsia="Times New Roman" w:hAnsi="Times New Roman" w:cs="Times New Roman"/>
                <w:color w:val="1A1C1E"/>
                <w:kern w:val="0"/>
                <w:szCs w:val="24"/>
                <w:lang w:eastAsia="en-IN"/>
                <w14:ligatures w14:val="none"/>
              </w:rPr>
            </w:pPr>
            <w:r w:rsidRPr="00BA1C8E">
              <w:rPr>
                <w:rFonts w:ascii="Times New Roman" w:eastAsia="Times New Roman" w:hAnsi="Times New Roman" w:cs="Times New Roman"/>
                <w:color w:val="1A1C1E"/>
                <w:kern w:val="0"/>
                <w:szCs w:val="24"/>
                <w:lang w:eastAsia="en-IN"/>
                <w14:ligatures w14:val="none"/>
              </w:rPr>
              <w:t>5443</w:t>
            </w:r>
          </w:p>
        </w:tc>
        <w:tc>
          <w:tcPr>
            <w:tcW w:w="2250" w:type="dxa"/>
            <w:tcBorders>
              <w:top w:val="nil"/>
              <w:left w:val="nil"/>
              <w:bottom w:val="single" w:sz="4" w:space="0" w:color="auto"/>
              <w:right w:val="single" w:sz="4" w:space="0" w:color="auto"/>
            </w:tcBorders>
            <w:shd w:val="clear" w:color="000000" w:fill="FFFFFF"/>
            <w:vAlign w:val="center"/>
            <w:hideMark/>
          </w:tcPr>
          <w:p w14:paraId="1E429ECD" w14:textId="77777777" w:rsidR="00E51E56" w:rsidRPr="00BA1C8E" w:rsidRDefault="00E51E56" w:rsidP="005A7AAF">
            <w:pPr>
              <w:spacing w:after="0" w:line="240" w:lineRule="auto"/>
              <w:ind w:firstLineChars="100" w:firstLine="240"/>
              <w:jc w:val="center"/>
              <w:rPr>
                <w:rFonts w:ascii="Times New Roman" w:eastAsia="Times New Roman" w:hAnsi="Times New Roman" w:cs="Times New Roman"/>
                <w:color w:val="1A1C1E"/>
                <w:kern w:val="0"/>
                <w:szCs w:val="24"/>
                <w:lang w:eastAsia="en-IN"/>
                <w14:ligatures w14:val="none"/>
              </w:rPr>
            </w:pPr>
            <w:r w:rsidRPr="00BA1C8E">
              <w:rPr>
                <w:rFonts w:ascii="Times New Roman" w:eastAsia="Times New Roman" w:hAnsi="Times New Roman" w:cs="Times New Roman"/>
                <w:color w:val="1A1C1E"/>
                <w:kern w:val="0"/>
                <w:szCs w:val="24"/>
                <w:lang w:eastAsia="en-IN"/>
                <w14:ligatures w14:val="none"/>
              </w:rPr>
              <w:t>10.05</w:t>
            </w:r>
          </w:p>
        </w:tc>
      </w:tr>
      <w:tr w:rsidR="00E51E56" w:rsidRPr="00BA1C8E" w14:paraId="49520289" w14:textId="77777777" w:rsidTr="00BA1C8E">
        <w:trPr>
          <w:trHeight w:val="300"/>
          <w:jc w:val="center"/>
        </w:trPr>
        <w:tc>
          <w:tcPr>
            <w:tcW w:w="3249" w:type="dxa"/>
            <w:tcBorders>
              <w:top w:val="nil"/>
              <w:left w:val="single" w:sz="4" w:space="0" w:color="auto"/>
              <w:bottom w:val="single" w:sz="4" w:space="0" w:color="auto"/>
              <w:right w:val="single" w:sz="4" w:space="0" w:color="auto"/>
            </w:tcBorders>
            <w:shd w:val="clear" w:color="000000" w:fill="FFFFFF"/>
            <w:vAlign w:val="center"/>
            <w:hideMark/>
          </w:tcPr>
          <w:p w14:paraId="3FF53BA1" w14:textId="77777777" w:rsidR="00E51E56" w:rsidRPr="00BA1C8E" w:rsidRDefault="00E51E56" w:rsidP="00B77C0B">
            <w:pPr>
              <w:spacing w:after="0" w:line="240" w:lineRule="auto"/>
              <w:ind w:firstLineChars="100" w:firstLine="241"/>
              <w:rPr>
                <w:rFonts w:ascii="Times New Roman" w:eastAsia="Times New Roman" w:hAnsi="Times New Roman" w:cs="Times New Roman"/>
                <w:b/>
                <w:bCs/>
                <w:color w:val="1A1C1E"/>
                <w:kern w:val="0"/>
                <w:szCs w:val="24"/>
                <w:lang w:eastAsia="en-IN"/>
                <w14:ligatures w14:val="none"/>
              </w:rPr>
            </w:pPr>
            <w:r w:rsidRPr="00BA1C8E">
              <w:rPr>
                <w:rFonts w:ascii="Times New Roman" w:eastAsia="Times New Roman" w:hAnsi="Times New Roman" w:cs="Times New Roman"/>
                <w:b/>
                <w:bCs/>
                <w:color w:val="1A1C1E"/>
                <w:kern w:val="0"/>
                <w:szCs w:val="24"/>
                <w:lang w:eastAsia="en-IN"/>
                <w14:ligatures w14:val="none"/>
              </w:rPr>
              <w:t>TOTAL</w:t>
            </w:r>
          </w:p>
        </w:tc>
        <w:tc>
          <w:tcPr>
            <w:tcW w:w="2782" w:type="dxa"/>
            <w:tcBorders>
              <w:top w:val="nil"/>
              <w:left w:val="nil"/>
              <w:bottom w:val="single" w:sz="4" w:space="0" w:color="auto"/>
              <w:right w:val="single" w:sz="4" w:space="0" w:color="auto"/>
            </w:tcBorders>
            <w:shd w:val="clear" w:color="000000" w:fill="FFFFFF"/>
            <w:vAlign w:val="center"/>
            <w:hideMark/>
          </w:tcPr>
          <w:p w14:paraId="3DFD667B" w14:textId="77777777" w:rsidR="00E51E56" w:rsidRPr="00BA1C8E" w:rsidRDefault="00E51E56" w:rsidP="005A7AAF">
            <w:pPr>
              <w:spacing w:after="0" w:line="240" w:lineRule="auto"/>
              <w:ind w:firstLineChars="100" w:firstLine="241"/>
              <w:jc w:val="center"/>
              <w:rPr>
                <w:rFonts w:ascii="Times New Roman" w:eastAsia="Times New Roman" w:hAnsi="Times New Roman" w:cs="Times New Roman"/>
                <w:b/>
                <w:bCs/>
                <w:color w:val="1A1C1E"/>
                <w:kern w:val="0"/>
                <w:szCs w:val="24"/>
                <w:lang w:eastAsia="en-IN"/>
                <w14:ligatures w14:val="none"/>
              </w:rPr>
            </w:pPr>
            <w:r w:rsidRPr="00BA1C8E">
              <w:rPr>
                <w:rFonts w:ascii="Times New Roman" w:eastAsia="Times New Roman" w:hAnsi="Times New Roman" w:cs="Times New Roman"/>
                <w:b/>
                <w:bCs/>
                <w:color w:val="1A1C1E"/>
                <w:kern w:val="0"/>
                <w:szCs w:val="24"/>
                <w:lang w:eastAsia="en-IN"/>
                <w14:ligatures w14:val="none"/>
              </w:rPr>
              <w:t>98.95</w:t>
            </w:r>
          </w:p>
        </w:tc>
        <w:tc>
          <w:tcPr>
            <w:tcW w:w="2833" w:type="dxa"/>
            <w:tcBorders>
              <w:top w:val="nil"/>
              <w:left w:val="nil"/>
              <w:bottom w:val="single" w:sz="4" w:space="0" w:color="auto"/>
              <w:right w:val="single" w:sz="4" w:space="0" w:color="auto"/>
            </w:tcBorders>
            <w:shd w:val="clear" w:color="000000" w:fill="FFFFFF"/>
            <w:vAlign w:val="center"/>
            <w:hideMark/>
          </w:tcPr>
          <w:p w14:paraId="3D51521A" w14:textId="77777777" w:rsidR="00E51E56" w:rsidRPr="00BA1C8E" w:rsidRDefault="00E51E56" w:rsidP="005A7AAF">
            <w:pPr>
              <w:spacing w:after="0" w:line="240" w:lineRule="auto"/>
              <w:ind w:firstLineChars="100" w:firstLine="241"/>
              <w:jc w:val="center"/>
              <w:rPr>
                <w:rFonts w:ascii="Times New Roman" w:eastAsia="Times New Roman" w:hAnsi="Times New Roman" w:cs="Times New Roman"/>
                <w:b/>
                <w:bCs/>
                <w:color w:val="1A1C1E"/>
                <w:kern w:val="0"/>
                <w:szCs w:val="24"/>
                <w:lang w:eastAsia="en-IN"/>
                <w14:ligatures w14:val="none"/>
              </w:rPr>
            </w:pPr>
            <w:r w:rsidRPr="00BA1C8E">
              <w:rPr>
                <w:rFonts w:ascii="Times New Roman" w:eastAsia="Times New Roman" w:hAnsi="Times New Roman" w:cs="Times New Roman"/>
                <w:b/>
                <w:bCs/>
                <w:color w:val="1A1C1E"/>
                <w:kern w:val="0"/>
                <w:szCs w:val="24"/>
                <w:lang w:eastAsia="en-IN"/>
                <w14:ligatures w14:val="none"/>
              </w:rPr>
              <w:t>134721</w:t>
            </w:r>
          </w:p>
        </w:tc>
        <w:tc>
          <w:tcPr>
            <w:tcW w:w="2250" w:type="dxa"/>
            <w:tcBorders>
              <w:top w:val="nil"/>
              <w:left w:val="nil"/>
              <w:bottom w:val="single" w:sz="4" w:space="0" w:color="auto"/>
              <w:right w:val="single" w:sz="4" w:space="0" w:color="auto"/>
            </w:tcBorders>
            <w:shd w:val="clear" w:color="000000" w:fill="FFFFFF"/>
            <w:vAlign w:val="center"/>
            <w:hideMark/>
          </w:tcPr>
          <w:p w14:paraId="73C78BFB" w14:textId="77777777" w:rsidR="00E51E56" w:rsidRPr="00BA1C8E" w:rsidRDefault="00E51E56" w:rsidP="005A7AAF">
            <w:pPr>
              <w:spacing w:after="0" w:line="240" w:lineRule="auto"/>
              <w:ind w:firstLineChars="100" w:firstLine="241"/>
              <w:jc w:val="center"/>
              <w:rPr>
                <w:rFonts w:ascii="Times New Roman" w:eastAsia="Times New Roman" w:hAnsi="Times New Roman" w:cs="Times New Roman"/>
                <w:b/>
                <w:bCs/>
                <w:color w:val="1A1C1E"/>
                <w:kern w:val="0"/>
                <w:szCs w:val="24"/>
                <w:lang w:eastAsia="en-IN"/>
                <w14:ligatures w14:val="none"/>
              </w:rPr>
            </w:pPr>
            <w:r w:rsidRPr="00BA1C8E">
              <w:rPr>
                <w:rFonts w:ascii="Times New Roman" w:eastAsia="Times New Roman" w:hAnsi="Times New Roman" w:cs="Times New Roman"/>
                <w:b/>
                <w:bCs/>
                <w:color w:val="1A1C1E"/>
                <w:kern w:val="0"/>
                <w:szCs w:val="24"/>
                <w:lang w:eastAsia="en-IN"/>
                <w14:ligatures w14:val="none"/>
              </w:rPr>
              <w:t>7.34</w:t>
            </w:r>
          </w:p>
        </w:tc>
      </w:tr>
    </w:tbl>
    <w:p w14:paraId="5F42DF5C" w14:textId="77777777" w:rsidR="00E51E56" w:rsidRPr="007245B0" w:rsidRDefault="00E51E56" w:rsidP="00BA1C8E">
      <w:pPr>
        <w:pStyle w:val="Sources"/>
      </w:pPr>
      <w:r w:rsidRPr="007245B0">
        <w:rPr>
          <w:i/>
          <w:iCs/>
        </w:rPr>
        <w:t>Source:</w:t>
      </w:r>
      <w:r w:rsidRPr="007245B0">
        <w:t xml:space="preserve"> Col (2) State Budgets. </w:t>
      </w:r>
    </w:p>
    <w:p w14:paraId="237FB2A0" w14:textId="77777777" w:rsidR="00E51E56" w:rsidRPr="005A7AAF" w:rsidRDefault="00E51E56" w:rsidP="00BA1C8E">
      <w:pPr>
        <w:pStyle w:val="Sources"/>
      </w:pPr>
      <w:r w:rsidRPr="007245B0">
        <w:t xml:space="preserve">Col. (3) Directorate of </w:t>
      </w:r>
      <w:r w:rsidRPr="005A7AAF">
        <w:t>Economics and Statistics, Ministry of Food and Agriculture, Community Development and Co-operation.</w:t>
      </w:r>
    </w:p>
    <w:p w14:paraId="74F474AC" w14:textId="77777777" w:rsidR="00E51E56" w:rsidRPr="005A7AAF" w:rsidRDefault="00E51E56" w:rsidP="00BA1C8E">
      <w:pPr>
        <w:pStyle w:val="Sources"/>
      </w:pPr>
      <w:r w:rsidRPr="005A7AAF">
        <w:t>* Figures for years later than 1965-66 are not available.</w:t>
      </w:r>
    </w:p>
    <w:p w14:paraId="612CCE70" w14:textId="77777777" w:rsidR="00E51E56" w:rsidRPr="005A7AAF" w:rsidRDefault="00E51E56" w:rsidP="00BA1C8E">
      <w:pPr>
        <w:pStyle w:val="Sources"/>
      </w:pPr>
      <w:r w:rsidRPr="005A7AAF">
        <w:t>**This includes revenue from irrigation charges also for which separate figure are not available</w:t>
      </w:r>
    </w:p>
    <w:p w14:paraId="6247BF82" w14:textId="77777777" w:rsidR="00CB79AE" w:rsidRPr="007245B0" w:rsidRDefault="00E51E56" w:rsidP="00E51E56">
      <w:pPr>
        <w:rPr>
          <w:rFonts w:ascii="Times New Roman" w:hAnsi="Times New Roman" w:cs="Times New Roman"/>
          <w:b/>
          <w:bCs/>
        </w:rPr>
        <w:sectPr w:rsidR="00CB79AE" w:rsidRPr="007245B0" w:rsidSect="00E51E56">
          <w:pgSz w:w="12240" w:h="15840"/>
          <w:pgMar w:top="992" w:right="1440" w:bottom="1440" w:left="1440" w:header="720" w:footer="720" w:gutter="0"/>
          <w:cols w:space="720"/>
        </w:sectPr>
      </w:pPr>
      <w:r w:rsidRPr="007245B0">
        <w:rPr>
          <w:rFonts w:ascii="Times New Roman" w:hAnsi="Times New Roman" w:cs="Times New Roman"/>
          <w:b/>
          <w:bCs/>
        </w:rPr>
        <w:br w:type="page"/>
      </w:r>
    </w:p>
    <w:p w14:paraId="01C25BBD" w14:textId="77777777" w:rsidR="00A8668B" w:rsidRDefault="00574BCE" w:rsidP="00BA1C8E">
      <w:pPr>
        <w:pStyle w:val="Heading4"/>
        <w:spacing w:after="0"/>
        <w:rPr>
          <w:rStyle w:val="Heading4Char"/>
          <w:b/>
          <w:bCs/>
        </w:rPr>
      </w:pPr>
      <w:bookmarkStart w:id="81" w:name="_Toc220949697"/>
      <w:bookmarkStart w:id="82" w:name="_Toc221114297"/>
      <w:bookmarkStart w:id="83" w:name="_Toc221115320"/>
      <w:r>
        <w:rPr>
          <w:rStyle w:val="Heading4Char"/>
          <w:b/>
          <w:bCs/>
        </w:rPr>
        <w:lastRenderedPageBreak/>
        <w:t>Table</w:t>
      </w:r>
      <w:r w:rsidR="00CB79AE" w:rsidRPr="00BA1C8E">
        <w:rPr>
          <w:rStyle w:val="Heading4Char"/>
          <w:b/>
          <w:bCs/>
        </w:rPr>
        <w:t xml:space="preserve"> 17: Arrears of Tax Revenues</w:t>
      </w:r>
      <w:bookmarkEnd w:id="82"/>
      <w:bookmarkEnd w:id="83"/>
    </w:p>
    <w:p w14:paraId="2D6E1476" w14:textId="2267C376" w:rsidR="00BA1C8E" w:rsidRPr="00A8668B" w:rsidRDefault="00CB79AE" w:rsidP="00A8668B">
      <w:pPr>
        <w:jc w:val="center"/>
        <w:rPr>
          <w:rStyle w:val="Heading4Char"/>
          <w:b w:val="0"/>
          <w:bCs w:val="0"/>
        </w:rPr>
      </w:pPr>
      <w:r w:rsidRPr="00A8668B">
        <w:rPr>
          <w:rFonts w:ascii="Times New Roman" w:hAnsi="Times New Roman" w:cs="Times New Roman"/>
        </w:rPr>
        <w:t>(Latest available position)</w:t>
      </w:r>
      <w:bookmarkEnd w:id="81"/>
    </w:p>
    <w:p w14:paraId="65FA7EA7" w14:textId="439E5D4C" w:rsidR="00CB79AE" w:rsidRPr="007245B0" w:rsidRDefault="00CB79AE" w:rsidP="00BA1C8E">
      <w:pPr>
        <w:jc w:val="right"/>
        <w:rPr>
          <w:rFonts w:ascii="Times New Roman" w:hAnsi="Times New Roman" w:cs="Times New Roman"/>
        </w:rPr>
      </w:pPr>
      <w:r w:rsidRPr="007245B0">
        <w:rPr>
          <w:rFonts w:ascii="Times New Roman" w:hAnsi="Times New Roman" w:cs="Times New Roman"/>
          <w:i/>
          <w:iCs/>
        </w:rPr>
        <w:t>(Rs. crores)</w:t>
      </w:r>
    </w:p>
    <w:tbl>
      <w:tblPr>
        <w:tblW w:w="14007" w:type="dxa"/>
        <w:tblLook w:val="04A0" w:firstRow="1" w:lastRow="0" w:firstColumn="1" w:lastColumn="0" w:noHBand="0" w:noVBand="1"/>
      </w:tblPr>
      <w:tblGrid>
        <w:gridCol w:w="1920"/>
        <w:gridCol w:w="1619"/>
        <w:gridCol w:w="1527"/>
        <w:gridCol w:w="1442"/>
        <w:gridCol w:w="1341"/>
        <w:gridCol w:w="1381"/>
        <w:gridCol w:w="2201"/>
        <w:gridCol w:w="1302"/>
        <w:gridCol w:w="1274"/>
      </w:tblGrid>
      <w:tr w:rsidR="00CB79AE" w:rsidRPr="00BA1C8E" w14:paraId="0E0AAD36" w14:textId="77777777" w:rsidTr="005A7AAF">
        <w:trPr>
          <w:trHeight w:val="20"/>
        </w:trPr>
        <w:tc>
          <w:tcPr>
            <w:tcW w:w="192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5D9ABFA" w14:textId="77777777" w:rsidR="00CB79AE" w:rsidRPr="005A7AAF" w:rsidRDefault="00CB79AE" w:rsidP="00B77C0B">
            <w:pPr>
              <w:pStyle w:val="NoSpacing"/>
              <w:rPr>
                <w:rFonts w:ascii="Times New Roman" w:hAnsi="Times New Roman" w:cs="Times New Roman"/>
                <w:b/>
                <w:bCs/>
                <w:szCs w:val="24"/>
                <w:lang w:eastAsia="en-IN"/>
              </w:rPr>
            </w:pPr>
            <w:r w:rsidRPr="005A7AAF">
              <w:rPr>
                <w:rFonts w:ascii="Times New Roman" w:hAnsi="Times New Roman" w:cs="Times New Roman"/>
                <w:b/>
                <w:bCs/>
                <w:szCs w:val="24"/>
                <w:lang w:eastAsia="en-IN"/>
              </w:rPr>
              <w:t>States</w:t>
            </w:r>
          </w:p>
        </w:tc>
        <w:tc>
          <w:tcPr>
            <w:tcW w:w="1619" w:type="dxa"/>
            <w:tcBorders>
              <w:top w:val="single" w:sz="4" w:space="0" w:color="auto"/>
              <w:left w:val="nil"/>
              <w:bottom w:val="single" w:sz="4" w:space="0" w:color="auto"/>
              <w:right w:val="single" w:sz="4" w:space="0" w:color="auto"/>
            </w:tcBorders>
            <w:shd w:val="clear" w:color="000000" w:fill="FFFFFF"/>
            <w:vAlign w:val="center"/>
            <w:hideMark/>
          </w:tcPr>
          <w:p w14:paraId="1AA77176" w14:textId="77777777" w:rsidR="00CB79AE" w:rsidRPr="005A7AAF" w:rsidRDefault="00CB79AE" w:rsidP="00B77C0B">
            <w:pPr>
              <w:pStyle w:val="NoSpacing"/>
              <w:rPr>
                <w:rFonts w:ascii="Times New Roman" w:hAnsi="Times New Roman" w:cs="Times New Roman"/>
                <w:b/>
                <w:bCs/>
                <w:szCs w:val="24"/>
                <w:lang w:eastAsia="en-IN"/>
              </w:rPr>
            </w:pPr>
            <w:r w:rsidRPr="005A7AAF">
              <w:rPr>
                <w:rFonts w:ascii="Times New Roman" w:hAnsi="Times New Roman" w:cs="Times New Roman"/>
                <w:b/>
                <w:bCs/>
                <w:szCs w:val="24"/>
                <w:lang w:eastAsia="en-IN"/>
              </w:rPr>
              <w:t>As on</w:t>
            </w:r>
          </w:p>
        </w:tc>
        <w:tc>
          <w:tcPr>
            <w:tcW w:w="1527" w:type="dxa"/>
            <w:tcBorders>
              <w:top w:val="single" w:sz="4" w:space="0" w:color="auto"/>
              <w:left w:val="nil"/>
              <w:bottom w:val="single" w:sz="4" w:space="0" w:color="auto"/>
              <w:right w:val="single" w:sz="4" w:space="0" w:color="auto"/>
            </w:tcBorders>
            <w:shd w:val="clear" w:color="000000" w:fill="FFFFFF"/>
            <w:vAlign w:val="center"/>
            <w:hideMark/>
          </w:tcPr>
          <w:p w14:paraId="24B874F7" w14:textId="77777777" w:rsidR="00CB79AE" w:rsidRPr="005A7AAF" w:rsidRDefault="00CB79AE" w:rsidP="00B77C0B">
            <w:pPr>
              <w:pStyle w:val="NoSpacing"/>
              <w:rPr>
                <w:rFonts w:ascii="Times New Roman" w:hAnsi="Times New Roman" w:cs="Times New Roman"/>
                <w:b/>
                <w:bCs/>
                <w:szCs w:val="24"/>
                <w:lang w:eastAsia="en-IN"/>
              </w:rPr>
            </w:pPr>
            <w:r w:rsidRPr="005A7AAF">
              <w:rPr>
                <w:rFonts w:ascii="Times New Roman" w:hAnsi="Times New Roman" w:cs="Times New Roman"/>
                <w:b/>
                <w:bCs/>
                <w:szCs w:val="24"/>
                <w:lang w:eastAsia="en-IN"/>
              </w:rPr>
              <w:t>Agricultural income tax</w:t>
            </w:r>
          </w:p>
        </w:tc>
        <w:tc>
          <w:tcPr>
            <w:tcW w:w="1442" w:type="dxa"/>
            <w:tcBorders>
              <w:top w:val="single" w:sz="4" w:space="0" w:color="auto"/>
              <w:left w:val="nil"/>
              <w:bottom w:val="single" w:sz="4" w:space="0" w:color="auto"/>
              <w:right w:val="single" w:sz="4" w:space="0" w:color="auto"/>
            </w:tcBorders>
            <w:shd w:val="clear" w:color="000000" w:fill="FFFFFF"/>
            <w:vAlign w:val="center"/>
            <w:hideMark/>
          </w:tcPr>
          <w:p w14:paraId="536BEAF1" w14:textId="77777777" w:rsidR="00CB79AE" w:rsidRPr="005A7AAF" w:rsidRDefault="00CB79AE" w:rsidP="00B77C0B">
            <w:pPr>
              <w:pStyle w:val="NoSpacing"/>
              <w:rPr>
                <w:rFonts w:ascii="Times New Roman" w:hAnsi="Times New Roman" w:cs="Times New Roman"/>
                <w:b/>
                <w:bCs/>
                <w:szCs w:val="24"/>
                <w:lang w:eastAsia="en-IN"/>
              </w:rPr>
            </w:pPr>
            <w:r w:rsidRPr="005A7AAF">
              <w:rPr>
                <w:rFonts w:ascii="Times New Roman" w:hAnsi="Times New Roman" w:cs="Times New Roman"/>
                <w:b/>
                <w:bCs/>
                <w:szCs w:val="24"/>
                <w:lang w:eastAsia="en-IN"/>
              </w:rPr>
              <w:t>Land revenue (a)</w:t>
            </w:r>
          </w:p>
        </w:tc>
        <w:tc>
          <w:tcPr>
            <w:tcW w:w="1341" w:type="dxa"/>
            <w:tcBorders>
              <w:top w:val="single" w:sz="4" w:space="0" w:color="auto"/>
              <w:left w:val="nil"/>
              <w:bottom w:val="single" w:sz="4" w:space="0" w:color="auto"/>
              <w:right w:val="single" w:sz="4" w:space="0" w:color="auto"/>
            </w:tcBorders>
            <w:shd w:val="clear" w:color="000000" w:fill="FFFFFF"/>
            <w:vAlign w:val="center"/>
            <w:hideMark/>
          </w:tcPr>
          <w:p w14:paraId="6E20F6C4" w14:textId="77777777" w:rsidR="00CB79AE" w:rsidRPr="005A7AAF" w:rsidRDefault="00CB79AE" w:rsidP="00B77C0B">
            <w:pPr>
              <w:pStyle w:val="NoSpacing"/>
              <w:rPr>
                <w:rFonts w:ascii="Times New Roman" w:hAnsi="Times New Roman" w:cs="Times New Roman"/>
                <w:b/>
                <w:bCs/>
                <w:szCs w:val="24"/>
                <w:lang w:eastAsia="en-IN"/>
              </w:rPr>
            </w:pPr>
            <w:r w:rsidRPr="005A7AAF">
              <w:rPr>
                <w:rFonts w:ascii="Times New Roman" w:hAnsi="Times New Roman" w:cs="Times New Roman"/>
                <w:b/>
                <w:bCs/>
                <w:szCs w:val="24"/>
                <w:lang w:eastAsia="en-IN"/>
              </w:rPr>
              <w:t>State Excise</w:t>
            </w:r>
          </w:p>
        </w:tc>
        <w:tc>
          <w:tcPr>
            <w:tcW w:w="1381" w:type="dxa"/>
            <w:tcBorders>
              <w:top w:val="single" w:sz="4" w:space="0" w:color="auto"/>
              <w:left w:val="nil"/>
              <w:bottom w:val="single" w:sz="4" w:space="0" w:color="auto"/>
              <w:right w:val="single" w:sz="4" w:space="0" w:color="auto"/>
            </w:tcBorders>
            <w:shd w:val="clear" w:color="000000" w:fill="FFFFFF"/>
            <w:vAlign w:val="center"/>
            <w:hideMark/>
          </w:tcPr>
          <w:p w14:paraId="01A7A788" w14:textId="77777777" w:rsidR="00CB79AE" w:rsidRPr="005A7AAF" w:rsidRDefault="00CB79AE" w:rsidP="00B77C0B">
            <w:pPr>
              <w:pStyle w:val="NoSpacing"/>
              <w:rPr>
                <w:rFonts w:ascii="Times New Roman" w:hAnsi="Times New Roman" w:cs="Times New Roman"/>
                <w:b/>
                <w:bCs/>
                <w:szCs w:val="24"/>
                <w:lang w:eastAsia="en-IN"/>
              </w:rPr>
            </w:pPr>
            <w:r w:rsidRPr="005A7AAF">
              <w:rPr>
                <w:rFonts w:ascii="Times New Roman" w:hAnsi="Times New Roman" w:cs="Times New Roman"/>
                <w:b/>
                <w:bCs/>
                <w:szCs w:val="24"/>
                <w:lang w:eastAsia="en-IN"/>
              </w:rPr>
              <w:t>Sales Tax</w:t>
            </w:r>
          </w:p>
        </w:tc>
        <w:tc>
          <w:tcPr>
            <w:tcW w:w="2201" w:type="dxa"/>
            <w:tcBorders>
              <w:top w:val="single" w:sz="4" w:space="0" w:color="auto"/>
              <w:left w:val="nil"/>
              <w:bottom w:val="single" w:sz="4" w:space="0" w:color="auto"/>
              <w:right w:val="single" w:sz="4" w:space="0" w:color="auto"/>
            </w:tcBorders>
            <w:shd w:val="clear" w:color="000000" w:fill="FFFFFF"/>
            <w:vAlign w:val="center"/>
            <w:hideMark/>
          </w:tcPr>
          <w:p w14:paraId="17D2B64B" w14:textId="77777777" w:rsidR="00CB79AE" w:rsidRPr="005A7AAF" w:rsidRDefault="00CB79AE" w:rsidP="00B77C0B">
            <w:pPr>
              <w:pStyle w:val="NoSpacing"/>
              <w:rPr>
                <w:rFonts w:ascii="Times New Roman" w:hAnsi="Times New Roman" w:cs="Times New Roman"/>
                <w:b/>
                <w:bCs/>
                <w:szCs w:val="24"/>
                <w:lang w:eastAsia="en-IN"/>
              </w:rPr>
            </w:pPr>
            <w:r w:rsidRPr="005A7AAF">
              <w:rPr>
                <w:rFonts w:ascii="Times New Roman" w:hAnsi="Times New Roman" w:cs="Times New Roman"/>
                <w:b/>
                <w:bCs/>
                <w:szCs w:val="24"/>
                <w:lang w:eastAsia="en-IN"/>
              </w:rPr>
              <w:t>Entertainment Tax</w:t>
            </w:r>
          </w:p>
        </w:tc>
        <w:tc>
          <w:tcPr>
            <w:tcW w:w="1302" w:type="dxa"/>
            <w:tcBorders>
              <w:top w:val="single" w:sz="4" w:space="0" w:color="auto"/>
              <w:left w:val="nil"/>
              <w:bottom w:val="single" w:sz="4" w:space="0" w:color="auto"/>
              <w:right w:val="single" w:sz="4" w:space="0" w:color="auto"/>
            </w:tcBorders>
            <w:shd w:val="clear" w:color="000000" w:fill="FFFFFF"/>
            <w:vAlign w:val="center"/>
            <w:hideMark/>
          </w:tcPr>
          <w:p w14:paraId="09A82355" w14:textId="77777777" w:rsidR="00CB79AE" w:rsidRPr="005A7AAF" w:rsidRDefault="00CB79AE" w:rsidP="00B77C0B">
            <w:pPr>
              <w:pStyle w:val="NoSpacing"/>
              <w:rPr>
                <w:rFonts w:ascii="Times New Roman" w:hAnsi="Times New Roman" w:cs="Times New Roman"/>
                <w:b/>
                <w:bCs/>
                <w:szCs w:val="24"/>
                <w:lang w:eastAsia="en-IN"/>
              </w:rPr>
            </w:pPr>
            <w:r w:rsidRPr="005A7AAF">
              <w:rPr>
                <w:rFonts w:ascii="Times New Roman" w:hAnsi="Times New Roman" w:cs="Times New Roman"/>
                <w:b/>
                <w:bCs/>
                <w:szCs w:val="24"/>
                <w:lang w:eastAsia="en-IN"/>
              </w:rPr>
              <w:t>Other taxes</w:t>
            </w:r>
          </w:p>
        </w:tc>
        <w:tc>
          <w:tcPr>
            <w:tcW w:w="1274" w:type="dxa"/>
            <w:tcBorders>
              <w:top w:val="single" w:sz="4" w:space="0" w:color="auto"/>
              <w:left w:val="nil"/>
              <w:bottom w:val="single" w:sz="4" w:space="0" w:color="auto"/>
              <w:right w:val="single" w:sz="4" w:space="0" w:color="auto"/>
            </w:tcBorders>
            <w:shd w:val="clear" w:color="000000" w:fill="FFFFFF"/>
            <w:vAlign w:val="center"/>
            <w:hideMark/>
          </w:tcPr>
          <w:p w14:paraId="126028D2" w14:textId="77777777" w:rsidR="00CB79AE" w:rsidRPr="005A7AAF" w:rsidRDefault="00CB79AE" w:rsidP="00B77C0B">
            <w:pPr>
              <w:pStyle w:val="NoSpacing"/>
              <w:rPr>
                <w:rFonts w:ascii="Times New Roman" w:hAnsi="Times New Roman" w:cs="Times New Roman"/>
                <w:b/>
                <w:bCs/>
                <w:szCs w:val="24"/>
                <w:lang w:eastAsia="en-IN"/>
              </w:rPr>
            </w:pPr>
            <w:r w:rsidRPr="005A7AAF">
              <w:rPr>
                <w:rFonts w:ascii="Times New Roman" w:hAnsi="Times New Roman" w:cs="Times New Roman"/>
                <w:b/>
                <w:bCs/>
                <w:szCs w:val="24"/>
                <w:lang w:eastAsia="en-IN"/>
              </w:rPr>
              <w:t>Total</w:t>
            </w:r>
          </w:p>
        </w:tc>
      </w:tr>
      <w:tr w:rsidR="00CB79AE" w:rsidRPr="00BA1C8E" w14:paraId="678920AB" w14:textId="77777777" w:rsidTr="005A7AAF">
        <w:trPr>
          <w:trHeight w:val="20"/>
        </w:trPr>
        <w:tc>
          <w:tcPr>
            <w:tcW w:w="1920" w:type="dxa"/>
            <w:tcBorders>
              <w:top w:val="nil"/>
              <w:left w:val="single" w:sz="4" w:space="0" w:color="auto"/>
              <w:bottom w:val="single" w:sz="4" w:space="0" w:color="auto"/>
              <w:right w:val="single" w:sz="4" w:space="0" w:color="auto"/>
            </w:tcBorders>
            <w:shd w:val="clear" w:color="000000" w:fill="FFFFFF"/>
            <w:vAlign w:val="center"/>
            <w:hideMark/>
          </w:tcPr>
          <w:p w14:paraId="31E18CE1" w14:textId="77777777" w:rsidR="00CB79AE" w:rsidRPr="00BA1C8E" w:rsidRDefault="00CB79AE" w:rsidP="00B77C0B">
            <w:pPr>
              <w:pStyle w:val="NoSpacing"/>
              <w:rPr>
                <w:rFonts w:ascii="Times New Roman" w:hAnsi="Times New Roman" w:cs="Times New Roman"/>
                <w:szCs w:val="24"/>
                <w:lang w:eastAsia="en-IN"/>
              </w:rPr>
            </w:pPr>
            <w:r w:rsidRPr="00BA1C8E">
              <w:rPr>
                <w:rFonts w:ascii="Times New Roman" w:hAnsi="Times New Roman" w:cs="Times New Roman"/>
                <w:szCs w:val="24"/>
                <w:lang w:eastAsia="en-IN"/>
              </w:rPr>
              <w:t>Andhra Pradesh</w:t>
            </w:r>
          </w:p>
        </w:tc>
        <w:tc>
          <w:tcPr>
            <w:tcW w:w="1619" w:type="dxa"/>
            <w:tcBorders>
              <w:top w:val="nil"/>
              <w:left w:val="nil"/>
              <w:bottom w:val="single" w:sz="4" w:space="0" w:color="auto"/>
              <w:right w:val="single" w:sz="4" w:space="0" w:color="auto"/>
            </w:tcBorders>
            <w:shd w:val="clear" w:color="000000" w:fill="FFFFFF"/>
            <w:vAlign w:val="center"/>
            <w:hideMark/>
          </w:tcPr>
          <w:p w14:paraId="34E6524E" w14:textId="77777777" w:rsidR="00CB79AE" w:rsidRPr="00BA1C8E" w:rsidRDefault="00CB79AE" w:rsidP="00B77C0B">
            <w:pPr>
              <w:pStyle w:val="NoSpacing"/>
              <w:rPr>
                <w:rFonts w:ascii="Times New Roman" w:hAnsi="Times New Roman" w:cs="Times New Roman"/>
                <w:szCs w:val="24"/>
                <w:lang w:eastAsia="en-IN"/>
              </w:rPr>
            </w:pPr>
            <w:r w:rsidRPr="00BA1C8E">
              <w:rPr>
                <w:rFonts w:ascii="Times New Roman" w:hAnsi="Times New Roman" w:cs="Times New Roman"/>
                <w:szCs w:val="24"/>
                <w:lang w:eastAsia="en-IN"/>
              </w:rPr>
              <w:t>31-03-1968</w:t>
            </w:r>
          </w:p>
        </w:tc>
        <w:tc>
          <w:tcPr>
            <w:tcW w:w="1527" w:type="dxa"/>
            <w:tcBorders>
              <w:top w:val="nil"/>
              <w:left w:val="nil"/>
              <w:bottom w:val="single" w:sz="4" w:space="0" w:color="auto"/>
              <w:right w:val="single" w:sz="4" w:space="0" w:color="auto"/>
            </w:tcBorders>
            <w:shd w:val="clear" w:color="000000" w:fill="FFFFFF"/>
            <w:vAlign w:val="center"/>
            <w:hideMark/>
          </w:tcPr>
          <w:p w14:paraId="02F04784" w14:textId="77777777" w:rsidR="00CB79AE" w:rsidRPr="00BA1C8E" w:rsidRDefault="00CB79AE" w:rsidP="00B77C0B">
            <w:pPr>
              <w:pStyle w:val="NoSpacing"/>
              <w:rPr>
                <w:rFonts w:ascii="Times New Roman" w:hAnsi="Times New Roman" w:cs="Times New Roman"/>
                <w:szCs w:val="24"/>
                <w:lang w:eastAsia="en-IN"/>
              </w:rPr>
            </w:pPr>
            <w:r w:rsidRPr="00BA1C8E">
              <w:rPr>
                <w:rFonts w:ascii="Times New Roman" w:hAnsi="Times New Roman" w:cs="Times New Roman"/>
                <w:szCs w:val="24"/>
                <w:lang w:eastAsia="en-IN"/>
              </w:rPr>
              <w:t>..</w:t>
            </w:r>
          </w:p>
        </w:tc>
        <w:tc>
          <w:tcPr>
            <w:tcW w:w="1442" w:type="dxa"/>
            <w:tcBorders>
              <w:top w:val="nil"/>
              <w:left w:val="nil"/>
              <w:bottom w:val="single" w:sz="4" w:space="0" w:color="auto"/>
              <w:right w:val="single" w:sz="4" w:space="0" w:color="auto"/>
            </w:tcBorders>
            <w:shd w:val="clear" w:color="000000" w:fill="FFFFFF"/>
            <w:vAlign w:val="center"/>
            <w:hideMark/>
          </w:tcPr>
          <w:p w14:paraId="56F449E0" w14:textId="77777777" w:rsidR="00CB79AE" w:rsidRPr="00BA1C8E" w:rsidRDefault="00CB79AE" w:rsidP="00B77C0B">
            <w:pPr>
              <w:pStyle w:val="NoSpacing"/>
              <w:rPr>
                <w:rFonts w:ascii="Times New Roman" w:hAnsi="Times New Roman" w:cs="Times New Roman"/>
                <w:szCs w:val="24"/>
                <w:lang w:eastAsia="en-IN"/>
              </w:rPr>
            </w:pPr>
            <w:r w:rsidRPr="00BA1C8E">
              <w:rPr>
                <w:rFonts w:ascii="Times New Roman" w:hAnsi="Times New Roman" w:cs="Times New Roman"/>
                <w:szCs w:val="24"/>
                <w:lang w:eastAsia="en-IN"/>
              </w:rPr>
              <w:t>11.24(b)</w:t>
            </w:r>
          </w:p>
        </w:tc>
        <w:tc>
          <w:tcPr>
            <w:tcW w:w="1341" w:type="dxa"/>
            <w:tcBorders>
              <w:top w:val="nil"/>
              <w:left w:val="nil"/>
              <w:bottom w:val="single" w:sz="4" w:space="0" w:color="auto"/>
              <w:right w:val="single" w:sz="4" w:space="0" w:color="auto"/>
            </w:tcBorders>
            <w:shd w:val="clear" w:color="000000" w:fill="FFFFFF"/>
            <w:vAlign w:val="center"/>
            <w:hideMark/>
          </w:tcPr>
          <w:p w14:paraId="74C2F5AF" w14:textId="77777777" w:rsidR="00CB79AE" w:rsidRPr="00BA1C8E" w:rsidRDefault="00CB79AE" w:rsidP="00B77C0B">
            <w:pPr>
              <w:pStyle w:val="NoSpacing"/>
              <w:rPr>
                <w:rFonts w:ascii="Times New Roman" w:hAnsi="Times New Roman" w:cs="Times New Roman"/>
                <w:szCs w:val="24"/>
                <w:lang w:eastAsia="en-IN"/>
              </w:rPr>
            </w:pPr>
            <w:r w:rsidRPr="00BA1C8E">
              <w:rPr>
                <w:rFonts w:ascii="Times New Roman" w:hAnsi="Times New Roman" w:cs="Times New Roman"/>
                <w:szCs w:val="24"/>
                <w:lang w:eastAsia="en-IN"/>
              </w:rPr>
              <w:t>3.97</w:t>
            </w:r>
          </w:p>
        </w:tc>
        <w:tc>
          <w:tcPr>
            <w:tcW w:w="1381" w:type="dxa"/>
            <w:tcBorders>
              <w:top w:val="nil"/>
              <w:left w:val="nil"/>
              <w:bottom w:val="single" w:sz="4" w:space="0" w:color="auto"/>
              <w:right w:val="single" w:sz="4" w:space="0" w:color="auto"/>
            </w:tcBorders>
            <w:shd w:val="clear" w:color="000000" w:fill="FFFFFF"/>
            <w:vAlign w:val="center"/>
            <w:hideMark/>
          </w:tcPr>
          <w:p w14:paraId="76582D36" w14:textId="77777777" w:rsidR="00CB79AE" w:rsidRPr="00BA1C8E" w:rsidRDefault="00CB79AE" w:rsidP="00B77C0B">
            <w:pPr>
              <w:pStyle w:val="NoSpacing"/>
              <w:rPr>
                <w:rFonts w:ascii="Times New Roman" w:hAnsi="Times New Roman" w:cs="Times New Roman"/>
                <w:szCs w:val="24"/>
                <w:lang w:eastAsia="en-IN"/>
              </w:rPr>
            </w:pPr>
            <w:r w:rsidRPr="00BA1C8E">
              <w:rPr>
                <w:rFonts w:ascii="Times New Roman" w:hAnsi="Times New Roman" w:cs="Times New Roman"/>
                <w:szCs w:val="24"/>
                <w:lang w:eastAsia="en-IN"/>
              </w:rPr>
              <w:t>5.62</w:t>
            </w:r>
          </w:p>
        </w:tc>
        <w:tc>
          <w:tcPr>
            <w:tcW w:w="2201" w:type="dxa"/>
            <w:tcBorders>
              <w:top w:val="nil"/>
              <w:left w:val="nil"/>
              <w:bottom w:val="single" w:sz="4" w:space="0" w:color="auto"/>
              <w:right w:val="single" w:sz="4" w:space="0" w:color="auto"/>
            </w:tcBorders>
            <w:shd w:val="clear" w:color="000000" w:fill="FFFFFF"/>
            <w:vAlign w:val="center"/>
            <w:hideMark/>
          </w:tcPr>
          <w:p w14:paraId="2FCB6D86" w14:textId="77777777" w:rsidR="00CB79AE" w:rsidRPr="00BA1C8E" w:rsidRDefault="00CB79AE" w:rsidP="00B77C0B">
            <w:pPr>
              <w:pStyle w:val="NoSpacing"/>
              <w:rPr>
                <w:rFonts w:ascii="Times New Roman" w:hAnsi="Times New Roman" w:cs="Times New Roman"/>
                <w:szCs w:val="24"/>
                <w:lang w:eastAsia="en-IN"/>
              </w:rPr>
            </w:pPr>
            <w:r w:rsidRPr="00BA1C8E">
              <w:rPr>
                <w:rFonts w:ascii="Times New Roman" w:hAnsi="Times New Roman" w:cs="Times New Roman"/>
                <w:szCs w:val="24"/>
                <w:lang w:eastAsia="en-IN"/>
              </w:rPr>
              <w:t>0.09</w:t>
            </w:r>
          </w:p>
        </w:tc>
        <w:tc>
          <w:tcPr>
            <w:tcW w:w="1302" w:type="dxa"/>
            <w:tcBorders>
              <w:top w:val="nil"/>
              <w:left w:val="nil"/>
              <w:bottom w:val="single" w:sz="4" w:space="0" w:color="auto"/>
              <w:right w:val="single" w:sz="4" w:space="0" w:color="auto"/>
            </w:tcBorders>
            <w:shd w:val="clear" w:color="000000" w:fill="FFFFFF"/>
            <w:vAlign w:val="center"/>
            <w:hideMark/>
          </w:tcPr>
          <w:p w14:paraId="2A357FBA" w14:textId="77777777" w:rsidR="00CB79AE" w:rsidRPr="00BA1C8E" w:rsidRDefault="00CB79AE" w:rsidP="00B77C0B">
            <w:pPr>
              <w:pStyle w:val="NoSpacing"/>
              <w:rPr>
                <w:rFonts w:ascii="Times New Roman" w:hAnsi="Times New Roman" w:cs="Times New Roman"/>
                <w:szCs w:val="24"/>
                <w:lang w:eastAsia="en-IN"/>
              </w:rPr>
            </w:pPr>
            <w:r w:rsidRPr="00BA1C8E">
              <w:rPr>
                <w:rFonts w:ascii="Times New Roman" w:hAnsi="Times New Roman" w:cs="Times New Roman"/>
                <w:szCs w:val="24"/>
                <w:lang w:eastAsia="en-IN"/>
              </w:rPr>
              <w:t>N.A.</w:t>
            </w:r>
          </w:p>
        </w:tc>
        <w:tc>
          <w:tcPr>
            <w:tcW w:w="1274" w:type="dxa"/>
            <w:tcBorders>
              <w:top w:val="nil"/>
              <w:left w:val="nil"/>
              <w:bottom w:val="single" w:sz="4" w:space="0" w:color="auto"/>
              <w:right w:val="single" w:sz="4" w:space="0" w:color="auto"/>
            </w:tcBorders>
            <w:shd w:val="clear" w:color="000000" w:fill="FFFFFF"/>
            <w:vAlign w:val="center"/>
            <w:hideMark/>
          </w:tcPr>
          <w:p w14:paraId="6171D870" w14:textId="32A1245F" w:rsidR="00CB79AE" w:rsidRPr="00BA1C8E" w:rsidRDefault="00CB79AE" w:rsidP="00B77C0B">
            <w:pPr>
              <w:pStyle w:val="NoSpacing"/>
              <w:rPr>
                <w:rFonts w:ascii="Times New Roman" w:hAnsi="Times New Roman" w:cs="Times New Roman"/>
                <w:szCs w:val="24"/>
                <w:lang w:eastAsia="en-IN"/>
              </w:rPr>
            </w:pPr>
            <w:r w:rsidRPr="00BA1C8E">
              <w:rPr>
                <w:rFonts w:ascii="Times New Roman" w:hAnsi="Times New Roman" w:cs="Times New Roman"/>
                <w:szCs w:val="24"/>
                <w:lang w:eastAsia="en-IN"/>
              </w:rPr>
              <w:t>20.</w:t>
            </w:r>
            <w:r w:rsidR="00575EEC">
              <w:rPr>
                <w:rFonts w:ascii="Times New Roman" w:hAnsi="Times New Roman" w:cs="Times New Roman"/>
                <w:szCs w:val="24"/>
                <w:lang w:eastAsia="en-IN"/>
              </w:rPr>
              <w:t>0</w:t>
            </w:r>
            <w:r w:rsidRPr="00BA1C8E">
              <w:rPr>
                <w:rFonts w:ascii="Times New Roman" w:hAnsi="Times New Roman" w:cs="Times New Roman"/>
                <w:szCs w:val="24"/>
                <w:lang w:eastAsia="en-IN"/>
              </w:rPr>
              <w:t>2</w:t>
            </w:r>
          </w:p>
        </w:tc>
      </w:tr>
      <w:tr w:rsidR="00CB79AE" w:rsidRPr="00BA1C8E" w14:paraId="2434A77F" w14:textId="77777777" w:rsidTr="005A7AAF">
        <w:trPr>
          <w:trHeight w:val="20"/>
        </w:trPr>
        <w:tc>
          <w:tcPr>
            <w:tcW w:w="1920" w:type="dxa"/>
            <w:tcBorders>
              <w:top w:val="nil"/>
              <w:left w:val="single" w:sz="4" w:space="0" w:color="auto"/>
              <w:bottom w:val="single" w:sz="4" w:space="0" w:color="auto"/>
              <w:right w:val="single" w:sz="4" w:space="0" w:color="auto"/>
            </w:tcBorders>
            <w:shd w:val="clear" w:color="000000" w:fill="FFFFFF"/>
            <w:vAlign w:val="center"/>
            <w:hideMark/>
          </w:tcPr>
          <w:p w14:paraId="12B7341D" w14:textId="77777777" w:rsidR="00CB79AE" w:rsidRPr="00BA1C8E" w:rsidRDefault="00CB79AE" w:rsidP="00B77C0B">
            <w:pPr>
              <w:pStyle w:val="NoSpacing"/>
              <w:rPr>
                <w:rFonts w:ascii="Times New Roman" w:hAnsi="Times New Roman" w:cs="Times New Roman"/>
                <w:szCs w:val="24"/>
                <w:lang w:eastAsia="en-IN"/>
              </w:rPr>
            </w:pPr>
            <w:r w:rsidRPr="00BA1C8E">
              <w:rPr>
                <w:rFonts w:ascii="Times New Roman" w:hAnsi="Times New Roman" w:cs="Times New Roman"/>
                <w:szCs w:val="24"/>
                <w:lang w:eastAsia="en-IN"/>
              </w:rPr>
              <w:t>Assam</w:t>
            </w:r>
          </w:p>
        </w:tc>
        <w:tc>
          <w:tcPr>
            <w:tcW w:w="1619" w:type="dxa"/>
            <w:tcBorders>
              <w:top w:val="nil"/>
              <w:left w:val="nil"/>
              <w:bottom w:val="single" w:sz="4" w:space="0" w:color="auto"/>
              <w:right w:val="single" w:sz="4" w:space="0" w:color="auto"/>
            </w:tcBorders>
            <w:shd w:val="clear" w:color="000000" w:fill="FFFFFF"/>
            <w:vAlign w:val="center"/>
            <w:hideMark/>
          </w:tcPr>
          <w:p w14:paraId="1956F6E8" w14:textId="77777777" w:rsidR="00CB79AE" w:rsidRPr="00BA1C8E" w:rsidRDefault="00CB79AE" w:rsidP="00B77C0B">
            <w:pPr>
              <w:pStyle w:val="NoSpacing"/>
              <w:rPr>
                <w:rFonts w:ascii="Times New Roman" w:hAnsi="Times New Roman" w:cs="Times New Roman"/>
                <w:szCs w:val="24"/>
                <w:lang w:eastAsia="en-IN"/>
              </w:rPr>
            </w:pPr>
            <w:r w:rsidRPr="00BA1C8E">
              <w:rPr>
                <w:rFonts w:ascii="Times New Roman" w:hAnsi="Times New Roman" w:cs="Times New Roman"/>
                <w:szCs w:val="24"/>
                <w:lang w:eastAsia="en-IN"/>
              </w:rPr>
              <w:t>31-3-1968(c)</w:t>
            </w:r>
          </w:p>
        </w:tc>
        <w:tc>
          <w:tcPr>
            <w:tcW w:w="1527" w:type="dxa"/>
            <w:tcBorders>
              <w:top w:val="nil"/>
              <w:left w:val="nil"/>
              <w:bottom w:val="single" w:sz="4" w:space="0" w:color="auto"/>
              <w:right w:val="single" w:sz="4" w:space="0" w:color="auto"/>
            </w:tcBorders>
            <w:shd w:val="clear" w:color="000000" w:fill="FFFFFF"/>
            <w:vAlign w:val="center"/>
            <w:hideMark/>
          </w:tcPr>
          <w:p w14:paraId="384AE8DD" w14:textId="77777777" w:rsidR="00CB79AE" w:rsidRPr="00BA1C8E" w:rsidRDefault="00CB79AE" w:rsidP="00B77C0B">
            <w:pPr>
              <w:pStyle w:val="NoSpacing"/>
              <w:rPr>
                <w:rFonts w:ascii="Times New Roman" w:hAnsi="Times New Roman" w:cs="Times New Roman"/>
                <w:szCs w:val="24"/>
                <w:lang w:eastAsia="en-IN"/>
              </w:rPr>
            </w:pPr>
            <w:r w:rsidRPr="00BA1C8E">
              <w:rPr>
                <w:rFonts w:ascii="Times New Roman" w:hAnsi="Times New Roman" w:cs="Times New Roman"/>
                <w:szCs w:val="24"/>
                <w:lang w:eastAsia="en-IN"/>
              </w:rPr>
              <w:t>1.45</w:t>
            </w:r>
          </w:p>
        </w:tc>
        <w:tc>
          <w:tcPr>
            <w:tcW w:w="1442" w:type="dxa"/>
            <w:tcBorders>
              <w:top w:val="nil"/>
              <w:left w:val="nil"/>
              <w:bottom w:val="single" w:sz="4" w:space="0" w:color="auto"/>
              <w:right w:val="single" w:sz="4" w:space="0" w:color="auto"/>
            </w:tcBorders>
            <w:shd w:val="clear" w:color="000000" w:fill="FFFFFF"/>
            <w:vAlign w:val="center"/>
            <w:hideMark/>
          </w:tcPr>
          <w:p w14:paraId="2CD4442C" w14:textId="77777777" w:rsidR="00CB79AE" w:rsidRPr="00BA1C8E" w:rsidRDefault="00CB79AE" w:rsidP="00B77C0B">
            <w:pPr>
              <w:pStyle w:val="NoSpacing"/>
              <w:rPr>
                <w:rFonts w:ascii="Times New Roman" w:hAnsi="Times New Roman" w:cs="Times New Roman"/>
                <w:szCs w:val="24"/>
                <w:lang w:eastAsia="en-IN"/>
              </w:rPr>
            </w:pPr>
            <w:r w:rsidRPr="00BA1C8E">
              <w:rPr>
                <w:rFonts w:ascii="Times New Roman" w:hAnsi="Times New Roman" w:cs="Times New Roman"/>
                <w:szCs w:val="24"/>
                <w:lang w:eastAsia="en-IN"/>
              </w:rPr>
              <w:t>4.3</w:t>
            </w:r>
          </w:p>
        </w:tc>
        <w:tc>
          <w:tcPr>
            <w:tcW w:w="1341" w:type="dxa"/>
            <w:tcBorders>
              <w:top w:val="nil"/>
              <w:left w:val="nil"/>
              <w:bottom w:val="single" w:sz="4" w:space="0" w:color="auto"/>
              <w:right w:val="single" w:sz="4" w:space="0" w:color="auto"/>
            </w:tcBorders>
            <w:shd w:val="clear" w:color="000000" w:fill="FFFFFF"/>
            <w:vAlign w:val="center"/>
            <w:hideMark/>
          </w:tcPr>
          <w:p w14:paraId="66481650" w14:textId="77777777" w:rsidR="00CB79AE" w:rsidRPr="00BA1C8E" w:rsidRDefault="00CB79AE" w:rsidP="00B77C0B">
            <w:pPr>
              <w:pStyle w:val="NoSpacing"/>
              <w:rPr>
                <w:rFonts w:ascii="Times New Roman" w:hAnsi="Times New Roman" w:cs="Times New Roman"/>
                <w:szCs w:val="24"/>
                <w:lang w:eastAsia="en-IN"/>
              </w:rPr>
            </w:pPr>
            <w:r w:rsidRPr="00BA1C8E">
              <w:rPr>
                <w:rFonts w:ascii="Times New Roman" w:hAnsi="Times New Roman" w:cs="Times New Roman"/>
                <w:szCs w:val="24"/>
                <w:lang w:eastAsia="en-IN"/>
              </w:rPr>
              <w:t>..</w:t>
            </w:r>
          </w:p>
        </w:tc>
        <w:tc>
          <w:tcPr>
            <w:tcW w:w="1381" w:type="dxa"/>
            <w:tcBorders>
              <w:top w:val="nil"/>
              <w:left w:val="nil"/>
              <w:bottom w:val="single" w:sz="4" w:space="0" w:color="auto"/>
              <w:right w:val="single" w:sz="4" w:space="0" w:color="auto"/>
            </w:tcBorders>
            <w:shd w:val="clear" w:color="000000" w:fill="FFFFFF"/>
            <w:vAlign w:val="center"/>
            <w:hideMark/>
          </w:tcPr>
          <w:p w14:paraId="768CDC17" w14:textId="77777777" w:rsidR="00CB79AE" w:rsidRPr="00BA1C8E" w:rsidRDefault="00CB79AE" w:rsidP="00B77C0B">
            <w:pPr>
              <w:pStyle w:val="NoSpacing"/>
              <w:rPr>
                <w:rFonts w:ascii="Times New Roman" w:hAnsi="Times New Roman" w:cs="Times New Roman"/>
                <w:szCs w:val="24"/>
                <w:lang w:eastAsia="en-IN"/>
              </w:rPr>
            </w:pPr>
            <w:r w:rsidRPr="00BA1C8E">
              <w:rPr>
                <w:rFonts w:ascii="Times New Roman" w:hAnsi="Times New Roman" w:cs="Times New Roman"/>
                <w:szCs w:val="24"/>
                <w:lang w:eastAsia="en-IN"/>
              </w:rPr>
              <w:t>1.41</w:t>
            </w:r>
          </w:p>
        </w:tc>
        <w:tc>
          <w:tcPr>
            <w:tcW w:w="2201" w:type="dxa"/>
            <w:tcBorders>
              <w:top w:val="nil"/>
              <w:left w:val="nil"/>
              <w:bottom w:val="single" w:sz="4" w:space="0" w:color="auto"/>
              <w:right w:val="single" w:sz="4" w:space="0" w:color="auto"/>
            </w:tcBorders>
            <w:shd w:val="clear" w:color="000000" w:fill="FFFFFF"/>
            <w:vAlign w:val="center"/>
            <w:hideMark/>
          </w:tcPr>
          <w:p w14:paraId="14E4672D" w14:textId="77777777" w:rsidR="00CB79AE" w:rsidRPr="00BA1C8E" w:rsidRDefault="00CB79AE" w:rsidP="00B77C0B">
            <w:pPr>
              <w:pStyle w:val="NoSpacing"/>
              <w:rPr>
                <w:rFonts w:ascii="Times New Roman" w:hAnsi="Times New Roman" w:cs="Times New Roman"/>
                <w:szCs w:val="24"/>
                <w:lang w:eastAsia="en-IN"/>
              </w:rPr>
            </w:pPr>
            <w:r w:rsidRPr="00BA1C8E">
              <w:rPr>
                <w:rFonts w:ascii="Times New Roman" w:hAnsi="Times New Roman" w:cs="Times New Roman"/>
                <w:szCs w:val="24"/>
                <w:lang w:eastAsia="en-IN"/>
              </w:rPr>
              <w:t>0.01</w:t>
            </w:r>
          </w:p>
        </w:tc>
        <w:tc>
          <w:tcPr>
            <w:tcW w:w="1302" w:type="dxa"/>
            <w:tcBorders>
              <w:top w:val="nil"/>
              <w:left w:val="nil"/>
              <w:bottom w:val="single" w:sz="4" w:space="0" w:color="auto"/>
              <w:right w:val="single" w:sz="4" w:space="0" w:color="auto"/>
            </w:tcBorders>
            <w:shd w:val="clear" w:color="000000" w:fill="FFFFFF"/>
            <w:vAlign w:val="center"/>
            <w:hideMark/>
          </w:tcPr>
          <w:p w14:paraId="1956F6E7" w14:textId="77777777" w:rsidR="00CB79AE" w:rsidRPr="00BA1C8E" w:rsidRDefault="00CB79AE" w:rsidP="00B77C0B">
            <w:pPr>
              <w:pStyle w:val="NoSpacing"/>
              <w:rPr>
                <w:rFonts w:ascii="Times New Roman" w:hAnsi="Times New Roman" w:cs="Times New Roman"/>
                <w:szCs w:val="24"/>
                <w:lang w:eastAsia="en-IN"/>
              </w:rPr>
            </w:pPr>
            <w:r w:rsidRPr="00BA1C8E">
              <w:rPr>
                <w:rFonts w:ascii="Times New Roman" w:hAnsi="Times New Roman" w:cs="Times New Roman"/>
                <w:szCs w:val="24"/>
                <w:lang w:eastAsia="en-IN"/>
              </w:rPr>
              <w:t>1.66</w:t>
            </w:r>
          </w:p>
        </w:tc>
        <w:tc>
          <w:tcPr>
            <w:tcW w:w="1274" w:type="dxa"/>
            <w:tcBorders>
              <w:top w:val="nil"/>
              <w:left w:val="nil"/>
              <w:bottom w:val="single" w:sz="4" w:space="0" w:color="auto"/>
              <w:right w:val="single" w:sz="4" w:space="0" w:color="auto"/>
            </w:tcBorders>
            <w:shd w:val="clear" w:color="000000" w:fill="FFFFFF"/>
            <w:vAlign w:val="center"/>
            <w:hideMark/>
          </w:tcPr>
          <w:p w14:paraId="384AAF52" w14:textId="77777777" w:rsidR="00CB79AE" w:rsidRPr="00BA1C8E" w:rsidRDefault="00CB79AE" w:rsidP="00B77C0B">
            <w:pPr>
              <w:pStyle w:val="NoSpacing"/>
              <w:rPr>
                <w:rFonts w:ascii="Times New Roman" w:hAnsi="Times New Roman" w:cs="Times New Roman"/>
                <w:szCs w:val="24"/>
                <w:lang w:eastAsia="en-IN"/>
              </w:rPr>
            </w:pPr>
            <w:r w:rsidRPr="00BA1C8E">
              <w:rPr>
                <w:rFonts w:ascii="Times New Roman" w:hAnsi="Times New Roman" w:cs="Times New Roman"/>
                <w:szCs w:val="24"/>
                <w:lang w:eastAsia="en-IN"/>
              </w:rPr>
              <w:t>8.82</w:t>
            </w:r>
          </w:p>
        </w:tc>
      </w:tr>
      <w:tr w:rsidR="00CB79AE" w:rsidRPr="00BA1C8E" w14:paraId="5B02DAA6" w14:textId="77777777" w:rsidTr="005A7AAF">
        <w:trPr>
          <w:trHeight w:val="20"/>
        </w:trPr>
        <w:tc>
          <w:tcPr>
            <w:tcW w:w="1920" w:type="dxa"/>
            <w:tcBorders>
              <w:top w:val="nil"/>
              <w:left w:val="single" w:sz="4" w:space="0" w:color="auto"/>
              <w:bottom w:val="single" w:sz="4" w:space="0" w:color="auto"/>
              <w:right w:val="single" w:sz="4" w:space="0" w:color="auto"/>
            </w:tcBorders>
            <w:shd w:val="clear" w:color="000000" w:fill="FFFFFF"/>
            <w:vAlign w:val="center"/>
            <w:hideMark/>
          </w:tcPr>
          <w:p w14:paraId="130A6A49" w14:textId="77777777" w:rsidR="00CB79AE" w:rsidRPr="00BA1C8E" w:rsidRDefault="00CB79AE" w:rsidP="00B77C0B">
            <w:pPr>
              <w:pStyle w:val="NoSpacing"/>
              <w:rPr>
                <w:rFonts w:ascii="Times New Roman" w:hAnsi="Times New Roman" w:cs="Times New Roman"/>
                <w:szCs w:val="24"/>
                <w:lang w:eastAsia="en-IN"/>
              </w:rPr>
            </w:pPr>
            <w:r w:rsidRPr="00BA1C8E">
              <w:rPr>
                <w:rFonts w:ascii="Times New Roman" w:hAnsi="Times New Roman" w:cs="Times New Roman"/>
                <w:szCs w:val="24"/>
                <w:lang w:eastAsia="en-IN"/>
              </w:rPr>
              <w:t>Bihar</w:t>
            </w:r>
          </w:p>
        </w:tc>
        <w:tc>
          <w:tcPr>
            <w:tcW w:w="1619" w:type="dxa"/>
            <w:tcBorders>
              <w:top w:val="nil"/>
              <w:left w:val="nil"/>
              <w:bottom w:val="single" w:sz="4" w:space="0" w:color="auto"/>
              <w:right w:val="single" w:sz="4" w:space="0" w:color="auto"/>
            </w:tcBorders>
            <w:shd w:val="clear" w:color="000000" w:fill="FFFFFF"/>
            <w:vAlign w:val="center"/>
            <w:hideMark/>
          </w:tcPr>
          <w:p w14:paraId="119C4060" w14:textId="77777777" w:rsidR="00CB79AE" w:rsidRPr="00BA1C8E" w:rsidRDefault="00CB79AE" w:rsidP="00B77C0B">
            <w:pPr>
              <w:pStyle w:val="NoSpacing"/>
              <w:rPr>
                <w:rFonts w:ascii="Times New Roman" w:hAnsi="Times New Roman" w:cs="Times New Roman"/>
                <w:szCs w:val="24"/>
                <w:lang w:eastAsia="en-IN"/>
              </w:rPr>
            </w:pPr>
            <w:r w:rsidRPr="00BA1C8E">
              <w:rPr>
                <w:rFonts w:ascii="Times New Roman" w:hAnsi="Times New Roman" w:cs="Times New Roman"/>
                <w:szCs w:val="24"/>
                <w:lang w:eastAsia="en-IN"/>
              </w:rPr>
              <w:t>31-03-1969</w:t>
            </w:r>
          </w:p>
        </w:tc>
        <w:tc>
          <w:tcPr>
            <w:tcW w:w="1527" w:type="dxa"/>
            <w:tcBorders>
              <w:top w:val="nil"/>
              <w:left w:val="nil"/>
              <w:bottom w:val="single" w:sz="4" w:space="0" w:color="auto"/>
              <w:right w:val="single" w:sz="4" w:space="0" w:color="auto"/>
            </w:tcBorders>
            <w:shd w:val="clear" w:color="000000" w:fill="FFFFFF"/>
            <w:vAlign w:val="center"/>
            <w:hideMark/>
          </w:tcPr>
          <w:p w14:paraId="325E4BC9" w14:textId="77777777" w:rsidR="00CB79AE" w:rsidRPr="00BA1C8E" w:rsidRDefault="00CB79AE" w:rsidP="00B77C0B">
            <w:pPr>
              <w:pStyle w:val="NoSpacing"/>
              <w:rPr>
                <w:rFonts w:ascii="Times New Roman" w:hAnsi="Times New Roman" w:cs="Times New Roman"/>
                <w:szCs w:val="24"/>
                <w:lang w:eastAsia="en-IN"/>
              </w:rPr>
            </w:pPr>
            <w:r w:rsidRPr="00BA1C8E">
              <w:rPr>
                <w:rFonts w:ascii="Times New Roman" w:hAnsi="Times New Roman" w:cs="Times New Roman"/>
                <w:szCs w:val="24"/>
                <w:lang w:eastAsia="en-IN"/>
              </w:rPr>
              <w:t>N.A.</w:t>
            </w:r>
          </w:p>
        </w:tc>
        <w:tc>
          <w:tcPr>
            <w:tcW w:w="1442" w:type="dxa"/>
            <w:tcBorders>
              <w:top w:val="nil"/>
              <w:left w:val="nil"/>
              <w:bottom w:val="single" w:sz="4" w:space="0" w:color="auto"/>
              <w:right w:val="single" w:sz="4" w:space="0" w:color="auto"/>
            </w:tcBorders>
            <w:shd w:val="clear" w:color="000000" w:fill="FFFFFF"/>
            <w:vAlign w:val="center"/>
            <w:hideMark/>
          </w:tcPr>
          <w:p w14:paraId="668E3E9A" w14:textId="77777777" w:rsidR="00CB79AE" w:rsidRPr="00BA1C8E" w:rsidRDefault="00CB79AE" w:rsidP="00B77C0B">
            <w:pPr>
              <w:pStyle w:val="NoSpacing"/>
              <w:rPr>
                <w:rFonts w:ascii="Times New Roman" w:hAnsi="Times New Roman" w:cs="Times New Roman"/>
                <w:szCs w:val="24"/>
                <w:lang w:eastAsia="en-IN"/>
              </w:rPr>
            </w:pPr>
            <w:r w:rsidRPr="00BA1C8E">
              <w:rPr>
                <w:rFonts w:ascii="Times New Roman" w:hAnsi="Times New Roman" w:cs="Times New Roman"/>
                <w:szCs w:val="24"/>
                <w:lang w:eastAsia="en-IN"/>
              </w:rPr>
              <w:t>10.71</w:t>
            </w:r>
          </w:p>
        </w:tc>
        <w:tc>
          <w:tcPr>
            <w:tcW w:w="1341" w:type="dxa"/>
            <w:tcBorders>
              <w:top w:val="nil"/>
              <w:left w:val="nil"/>
              <w:bottom w:val="single" w:sz="4" w:space="0" w:color="auto"/>
              <w:right w:val="single" w:sz="4" w:space="0" w:color="auto"/>
            </w:tcBorders>
            <w:shd w:val="clear" w:color="000000" w:fill="FFFFFF"/>
            <w:vAlign w:val="center"/>
            <w:hideMark/>
          </w:tcPr>
          <w:p w14:paraId="7A0478F3" w14:textId="77777777" w:rsidR="00CB79AE" w:rsidRPr="00BA1C8E" w:rsidRDefault="00CB79AE" w:rsidP="00B77C0B">
            <w:pPr>
              <w:pStyle w:val="NoSpacing"/>
              <w:rPr>
                <w:rFonts w:ascii="Times New Roman" w:hAnsi="Times New Roman" w:cs="Times New Roman"/>
                <w:szCs w:val="24"/>
                <w:lang w:eastAsia="en-IN"/>
              </w:rPr>
            </w:pPr>
            <w:r w:rsidRPr="00BA1C8E">
              <w:rPr>
                <w:rFonts w:ascii="Times New Roman" w:hAnsi="Times New Roman" w:cs="Times New Roman"/>
                <w:szCs w:val="24"/>
                <w:lang w:eastAsia="en-IN"/>
              </w:rPr>
              <w:t>0.5</w:t>
            </w:r>
          </w:p>
        </w:tc>
        <w:tc>
          <w:tcPr>
            <w:tcW w:w="1381" w:type="dxa"/>
            <w:tcBorders>
              <w:top w:val="nil"/>
              <w:left w:val="nil"/>
              <w:bottom w:val="single" w:sz="4" w:space="0" w:color="auto"/>
              <w:right w:val="single" w:sz="4" w:space="0" w:color="auto"/>
            </w:tcBorders>
            <w:shd w:val="clear" w:color="000000" w:fill="FFFFFF"/>
            <w:vAlign w:val="center"/>
            <w:hideMark/>
          </w:tcPr>
          <w:p w14:paraId="18A10EC5" w14:textId="77777777" w:rsidR="00CB79AE" w:rsidRPr="00BA1C8E" w:rsidRDefault="00CB79AE" w:rsidP="00B77C0B">
            <w:pPr>
              <w:pStyle w:val="NoSpacing"/>
              <w:rPr>
                <w:rFonts w:ascii="Times New Roman" w:hAnsi="Times New Roman" w:cs="Times New Roman"/>
                <w:szCs w:val="24"/>
                <w:lang w:eastAsia="en-IN"/>
              </w:rPr>
            </w:pPr>
            <w:r w:rsidRPr="00BA1C8E">
              <w:rPr>
                <w:rFonts w:ascii="Times New Roman" w:hAnsi="Times New Roman" w:cs="Times New Roman"/>
                <w:szCs w:val="24"/>
                <w:lang w:eastAsia="en-IN"/>
              </w:rPr>
              <w:t>6.91</w:t>
            </w:r>
          </w:p>
        </w:tc>
        <w:tc>
          <w:tcPr>
            <w:tcW w:w="2201" w:type="dxa"/>
            <w:tcBorders>
              <w:top w:val="nil"/>
              <w:left w:val="nil"/>
              <w:bottom w:val="single" w:sz="4" w:space="0" w:color="auto"/>
              <w:right w:val="single" w:sz="4" w:space="0" w:color="auto"/>
            </w:tcBorders>
            <w:shd w:val="clear" w:color="000000" w:fill="FFFFFF"/>
            <w:vAlign w:val="center"/>
            <w:hideMark/>
          </w:tcPr>
          <w:p w14:paraId="75C06538" w14:textId="77777777" w:rsidR="00CB79AE" w:rsidRPr="00BA1C8E" w:rsidRDefault="00CB79AE" w:rsidP="00B77C0B">
            <w:pPr>
              <w:pStyle w:val="NoSpacing"/>
              <w:rPr>
                <w:rFonts w:ascii="Times New Roman" w:hAnsi="Times New Roman" w:cs="Times New Roman"/>
                <w:szCs w:val="24"/>
                <w:lang w:eastAsia="en-IN"/>
              </w:rPr>
            </w:pPr>
            <w:r w:rsidRPr="00BA1C8E">
              <w:rPr>
                <w:rFonts w:ascii="Times New Roman" w:hAnsi="Times New Roman" w:cs="Times New Roman"/>
                <w:szCs w:val="24"/>
                <w:lang w:eastAsia="en-IN"/>
              </w:rPr>
              <w:t>0.05</w:t>
            </w:r>
          </w:p>
        </w:tc>
        <w:tc>
          <w:tcPr>
            <w:tcW w:w="1302" w:type="dxa"/>
            <w:tcBorders>
              <w:top w:val="nil"/>
              <w:left w:val="nil"/>
              <w:bottom w:val="single" w:sz="4" w:space="0" w:color="auto"/>
              <w:right w:val="single" w:sz="4" w:space="0" w:color="auto"/>
            </w:tcBorders>
            <w:shd w:val="clear" w:color="000000" w:fill="FFFFFF"/>
            <w:vAlign w:val="center"/>
            <w:hideMark/>
          </w:tcPr>
          <w:p w14:paraId="70F80463" w14:textId="77777777" w:rsidR="00CB79AE" w:rsidRPr="00BA1C8E" w:rsidRDefault="00CB79AE" w:rsidP="00B77C0B">
            <w:pPr>
              <w:pStyle w:val="NoSpacing"/>
              <w:rPr>
                <w:rFonts w:ascii="Times New Roman" w:hAnsi="Times New Roman" w:cs="Times New Roman"/>
                <w:szCs w:val="24"/>
                <w:lang w:eastAsia="en-IN"/>
              </w:rPr>
            </w:pPr>
            <w:r w:rsidRPr="00BA1C8E">
              <w:rPr>
                <w:rFonts w:ascii="Times New Roman" w:hAnsi="Times New Roman" w:cs="Times New Roman"/>
                <w:szCs w:val="24"/>
                <w:lang w:eastAsia="en-IN"/>
              </w:rPr>
              <w:t>0.64</w:t>
            </w:r>
          </w:p>
        </w:tc>
        <w:tc>
          <w:tcPr>
            <w:tcW w:w="1274" w:type="dxa"/>
            <w:tcBorders>
              <w:top w:val="nil"/>
              <w:left w:val="nil"/>
              <w:bottom w:val="single" w:sz="4" w:space="0" w:color="auto"/>
              <w:right w:val="single" w:sz="4" w:space="0" w:color="auto"/>
            </w:tcBorders>
            <w:shd w:val="clear" w:color="000000" w:fill="FFFFFF"/>
            <w:vAlign w:val="center"/>
            <w:hideMark/>
          </w:tcPr>
          <w:p w14:paraId="75CD2B4B" w14:textId="77777777" w:rsidR="00CB79AE" w:rsidRPr="00BA1C8E" w:rsidRDefault="00CB79AE" w:rsidP="00B77C0B">
            <w:pPr>
              <w:pStyle w:val="NoSpacing"/>
              <w:rPr>
                <w:rFonts w:ascii="Times New Roman" w:hAnsi="Times New Roman" w:cs="Times New Roman"/>
                <w:szCs w:val="24"/>
                <w:lang w:eastAsia="en-IN"/>
              </w:rPr>
            </w:pPr>
            <w:r w:rsidRPr="00BA1C8E">
              <w:rPr>
                <w:rFonts w:ascii="Times New Roman" w:hAnsi="Times New Roman" w:cs="Times New Roman"/>
                <w:szCs w:val="24"/>
                <w:lang w:eastAsia="en-IN"/>
              </w:rPr>
              <w:t>18.81</w:t>
            </w:r>
          </w:p>
        </w:tc>
      </w:tr>
      <w:tr w:rsidR="00CB79AE" w:rsidRPr="00BA1C8E" w14:paraId="7EFCF3BC" w14:textId="77777777" w:rsidTr="005A7AAF">
        <w:trPr>
          <w:trHeight w:val="20"/>
        </w:trPr>
        <w:tc>
          <w:tcPr>
            <w:tcW w:w="1920" w:type="dxa"/>
            <w:tcBorders>
              <w:top w:val="nil"/>
              <w:left w:val="single" w:sz="4" w:space="0" w:color="auto"/>
              <w:bottom w:val="single" w:sz="4" w:space="0" w:color="auto"/>
              <w:right w:val="single" w:sz="4" w:space="0" w:color="auto"/>
            </w:tcBorders>
            <w:shd w:val="clear" w:color="000000" w:fill="FFFFFF"/>
            <w:vAlign w:val="center"/>
            <w:hideMark/>
          </w:tcPr>
          <w:p w14:paraId="178AFCA1" w14:textId="77777777" w:rsidR="00CB79AE" w:rsidRPr="00BA1C8E" w:rsidRDefault="00CB79AE" w:rsidP="00B77C0B">
            <w:pPr>
              <w:pStyle w:val="NoSpacing"/>
              <w:rPr>
                <w:rFonts w:ascii="Times New Roman" w:hAnsi="Times New Roman" w:cs="Times New Roman"/>
                <w:szCs w:val="24"/>
                <w:lang w:eastAsia="en-IN"/>
              </w:rPr>
            </w:pPr>
            <w:r w:rsidRPr="00BA1C8E">
              <w:rPr>
                <w:rFonts w:ascii="Times New Roman" w:hAnsi="Times New Roman" w:cs="Times New Roman"/>
                <w:szCs w:val="24"/>
                <w:lang w:eastAsia="en-IN"/>
              </w:rPr>
              <w:t>Gujarat</w:t>
            </w:r>
          </w:p>
        </w:tc>
        <w:tc>
          <w:tcPr>
            <w:tcW w:w="1619" w:type="dxa"/>
            <w:tcBorders>
              <w:top w:val="nil"/>
              <w:left w:val="nil"/>
              <w:bottom w:val="single" w:sz="4" w:space="0" w:color="auto"/>
              <w:right w:val="single" w:sz="4" w:space="0" w:color="auto"/>
            </w:tcBorders>
            <w:shd w:val="clear" w:color="000000" w:fill="FFFFFF"/>
            <w:vAlign w:val="center"/>
            <w:hideMark/>
          </w:tcPr>
          <w:p w14:paraId="4A0A7CA9" w14:textId="77777777" w:rsidR="00CB79AE" w:rsidRPr="00BA1C8E" w:rsidRDefault="00CB79AE" w:rsidP="00B77C0B">
            <w:pPr>
              <w:pStyle w:val="NoSpacing"/>
              <w:rPr>
                <w:rFonts w:ascii="Times New Roman" w:hAnsi="Times New Roman" w:cs="Times New Roman"/>
                <w:szCs w:val="24"/>
                <w:lang w:eastAsia="en-IN"/>
              </w:rPr>
            </w:pPr>
            <w:r w:rsidRPr="00BA1C8E">
              <w:rPr>
                <w:rFonts w:ascii="Times New Roman" w:hAnsi="Times New Roman" w:cs="Times New Roman"/>
                <w:szCs w:val="24"/>
                <w:lang w:eastAsia="en-IN"/>
              </w:rPr>
              <w:t>31-03-1968</w:t>
            </w:r>
          </w:p>
        </w:tc>
        <w:tc>
          <w:tcPr>
            <w:tcW w:w="1527" w:type="dxa"/>
            <w:tcBorders>
              <w:top w:val="nil"/>
              <w:left w:val="nil"/>
              <w:bottom w:val="single" w:sz="4" w:space="0" w:color="auto"/>
              <w:right w:val="single" w:sz="4" w:space="0" w:color="auto"/>
            </w:tcBorders>
            <w:shd w:val="clear" w:color="000000" w:fill="FFFFFF"/>
            <w:vAlign w:val="center"/>
            <w:hideMark/>
          </w:tcPr>
          <w:p w14:paraId="0F5D46E0" w14:textId="77777777" w:rsidR="00CB79AE" w:rsidRPr="00BA1C8E" w:rsidRDefault="00CB79AE" w:rsidP="00B77C0B">
            <w:pPr>
              <w:pStyle w:val="NoSpacing"/>
              <w:rPr>
                <w:rFonts w:ascii="Times New Roman" w:hAnsi="Times New Roman" w:cs="Times New Roman"/>
                <w:szCs w:val="24"/>
                <w:lang w:eastAsia="en-IN"/>
              </w:rPr>
            </w:pPr>
            <w:r w:rsidRPr="00BA1C8E">
              <w:rPr>
                <w:rFonts w:ascii="Times New Roman" w:hAnsi="Times New Roman" w:cs="Times New Roman"/>
                <w:szCs w:val="24"/>
                <w:lang w:eastAsia="en-IN"/>
              </w:rPr>
              <w:t>..</w:t>
            </w:r>
          </w:p>
        </w:tc>
        <w:tc>
          <w:tcPr>
            <w:tcW w:w="1442" w:type="dxa"/>
            <w:tcBorders>
              <w:top w:val="nil"/>
              <w:left w:val="nil"/>
              <w:bottom w:val="single" w:sz="4" w:space="0" w:color="auto"/>
              <w:right w:val="single" w:sz="4" w:space="0" w:color="auto"/>
            </w:tcBorders>
            <w:shd w:val="clear" w:color="000000" w:fill="FFFFFF"/>
            <w:vAlign w:val="center"/>
            <w:hideMark/>
          </w:tcPr>
          <w:p w14:paraId="0874ACEF" w14:textId="77777777" w:rsidR="00CB79AE" w:rsidRPr="00BA1C8E" w:rsidRDefault="00CB79AE" w:rsidP="00B77C0B">
            <w:pPr>
              <w:pStyle w:val="NoSpacing"/>
              <w:rPr>
                <w:rFonts w:ascii="Times New Roman" w:hAnsi="Times New Roman" w:cs="Times New Roman"/>
                <w:szCs w:val="24"/>
                <w:lang w:eastAsia="en-IN"/>
              </w:rPr>
            </w:pPr>
            <w:r w:rsidRPr="00BA1C8E">
              <w:rPr>
                <w:rFonts w:ascii="Times New Roman" w:hAnsi="Times New Roman" w:cs="Times New Roman"/>
                <w:szCs w:val="24"/>
                <w:lang w:eastAsia="en-IN"/>
              </w:rPr>
              <w:t>3.07</w:t>
            </w:r>
          </w:p>
        </w:tc>
        <w:tc>
          <w:tcPr>
            <w:tcW w:w="1341" w:type="dxa"/>
            <w:tcBorders>
              <w:top w:val="nil"/>
              <w:left w:val="nil"/>
              <w:bottom w:val="single" w:sz="4" w:space="0" w:color="auto"/>
              <w:right w:val="single" w:sz="4" w:space="0" w:color="auto"/>
            </w:tcBorders>
            <w:shd w:val="clear" w:color="000000" w:fill="FFFFFF"/>
            <w:vAlign w:val="center"/>
            <w:hideMark/>
          </w:tcPr>
          <w:p w14:paraId="7F1B1115" w14:textId="77777777" w:rsidR="00CB79AE" w:rsidRPr="00BA1C8E" w:rsidRDefault="00CB79AE" w:rsidP="00B77C0B">
            <w:pPr>
              <w:pStyle w:val="NoSpacing"/>
              <w:rPr>
                <w:rFonts w:ascii="Times New Roman" w:hAnsi="Times New Roman" w:cs="Times New Roman"/>
                <w:szCs w:val="24"/>
                <w:lang w:eastAsia="en-IN"/>
              </w:rPr>
            </w:pPr>
            <w:r w:rsidRPr="00BA1C8E">
              <w:rPr>
                <w:rFonts w:ascii="Times New Roman" w:hAnsi="Times New Roman" w:cs="Times New Roman"/>
                <w:szCs w:val="24"/>
                <w:lang w:eastAsia="en-IN"/>
              </w:rPr>
              <w:t>0.09</w:t>
            </w:r>
          </w:p>
        </w:tc>
        <w:tc>
          <w:tcPr>
            <w:tcW w:w="1381" w:type="dxa"/>
            <w:tcBorders>
              <w:top w:val="nil"/>
              <w:left w:val="nil"/>
              <w:bottom w:val="single" w:sz="4" w:space="0" w:color="auto"/>
              <w:right w:val="single" w:sz="4" w:space="0" w:color="auto"/>
            </w:tcBorders>
            <w:shd w:val="clear" w:color="000000" w:fill="FFFFFF"/>
            <w:vAlign w:val="center"/>
            <w:hideMark/>
          </w:tcPr>
          <w:p w14:paraId="4C6B3EAD" w14:textId="77777777" w:rsidR="00CB79AE" w:rsidRPr="00BA1C8E" w:rsidRDefault="00CB79AE" w:rsidP="00B77C0B">
            <w:pPr>
              <w:pStyle w:val="NoSpacing"/>
              <w:rPr>
                <w:rFonts w:ascii="Times New Roman" w:hAnsi="Times New Roman" w:cs="Times New Roman"/>
                <w:szCs w:val="24"/>
                <w:lang w:eastAsia="en-IN"/>
              </w:rPr>
            </w:pPr>
            <w:r w:rsidRPr="00BA1C8E">
              <w:rPr>
                <w:rFonts w:ascii="Times New Roman" w:hAnsi="Times New Roman" w:cs="Times New Roman"/>
                <w:szCs w:val="24"/>
                <w:lang w:eastAsia="en-IN"/>
              </w:rPr>
              <w:t>2.33</w:t>
            </w:r>
          </w:p>
        </w:tc>
        <w:tc>
          <w:tcPr>
            <w:tcW w:w="2201" w:type="dxa"/>
            <w:tcBorders>
              <w:top w:val="nil"/>
              <w:left w:val="nil"/>
              <w:bottom w:val="single" w:sz="4" w:space="0" w:color="auto"/>
              <w:right w:val="single" w:sz="4" w:space="0" w:color="auto"/>
            </w:tcBorders>
            <w:shd w:val="clear" w:color="000000" w:fill="FFFFFF"/>
            <w:vAlign w:val="center"/>
            <w:hideMark/>
          </w:tcPr>
          <w:p w14:paraId="495049FD" w14:textId="77777777" w:rsidR="00CB79AE" w:rsidRPr="00BA1C8E" w:rsidRDefault="00CB79AE" w:rsidP="00B77C0B">
            <w:pPr>
              <w:pStyle w:val="NoSpacing"/>
              <w:rPr>
                <w:rFonts w:ascii="Times New Roman" w:hAnsi="Times New Roman" w:cs="Times New Roman"/>
                <w:szCs w:val="24"/>
                <w:lang w:eastAsia="en-IN"/>
              </w:rPr>
            </w:pPr>
            <w:r w:rsidRPr="00BA1C8E">
              <w:rPr>
                <w:rFonts w:ascii="Times New Roman" w:hAnsi="Times New Roman" w:cs="Times New Roman"/>
                <w:szCs w:val="24"/>
                <w:lang w:eastAsia="en-IN"/>
              </w:rPr>
              <w:t>N.A.</w:t>
            </w:r>
          </w:p>
        </w:tc>
        <w:tc>
          <w:tcPr>
            <w:tcW w:w="1302" w:type="dxa"/>
            <w:tcBorders>
              <w:top w:val="nil"/>
              <w:left w:val="nil"/>
              <w:bottom w:val="single" w:sz="4" w:space="0" w:color="auto"/>
              <w:right w:val="single" w:sz="4" w:space="0" w:color="auto"/>
            </w:tcBorders>
            <w:shd w:val="clear" w:color="000000" w:fill="FFFFFF"/>
            <w:vAlign w:val="center"/>
            <w:hideMark/>
          </w:tcPr>
          <w:p w14:paraId="28335244" w14:textId="77777777" w:rsidR="00CB79AE" w:rsidRPr="00BA1C8E" w:rsidRDefault="00CB79AE" w:rsidP="00B77C0B">
            <w:pPr>
              <w:pStyle w:val="NoSpacing"/>
              <w:rPr>
                <w:rFonts w:ascii="Times New Roman" w:hAnsi="Times New Roman" w:cs="Times New Roman"/>
                <w:szCs w:val="24"/>
                <w:lang w:eastAsia="en-IN"/>
              </w:rPr>
            </w:pPr>
            <w:r w:rsidRPr="00BA1C8E">
              <w:rPr>
                <w:rFonts w:ascii="Times New Roman" w:hAnsi="Times New Roman" w:cs="Times New Roman"/>
                <w:szCs w:val="24"/>
                <w:lang w:eastAsia="en-IN"/>
              </w:rPr>
              <w:t>N.A.</w:t>
            </w:r>
          </w:p>
        </w:tc>
        <w:tc>
          <w:tcPr>
            <w:tcW w:w="1274" w:type="dxa"/>
            <w:tcBorders>
              <w:top w:val="nil"/>
              <w:left w:val="nil"/>
              <w:bottom w:val="single" w:sz="4" w:space="0" w:color="auto"/>
              <w:right w:val="single" w:sz="4" w:space="0" w:color="auto"/>
            </w:tcBorders>
            <w:shd w:val="clear" w:color="000000" w:fill="FFFFFF"/>
            <w:vAlign w:val="center"/>
            <w:hideMark/>
          </w:tcPr>
          <w:p w14:paraId="53E7CEFF" w14:textId="77777777" w:rsidR="00CB79AE" w:rsidRPr="00BA1C8E" w:rsidRDefault="00CB79AE" w:rsidP="00B77C0B">
            <w:pPr>
              <w:pStyle w:val="NoSpacing"/>
              <w:rPr>
                <w:rFonts w:ascii="Times New Roman" w:hAnsi="Times New Roman" w:cs="Times New Roman"/>
                <w:szCs w:val="24"/>
                <w:lang w:eastAsia="en-IN"/>
              </w:rPr>
            </w:pPr>
            <w:r w:rsidRPr="00BA1C8E">
              <w:rPr>
                <w:rFonts w:ascii="Times New Roman" w:hAnsi="Times New Roman" w:cs="Times New Roman"/>
                <w:szCs w:val="24"/>
                <w:lang w:eastAsia="en-IN"/>
              </w:rPr>
              <w:t>5.49</w:t>
            </w:r>
          </w:p>
        </w:tc>
      </w:tr>
      <w:tr w:rsidR="00CB79AE" w:rsidRPr="00BA1C8E" w14:paraId="427110C3" w14:textId="77777777" w:rsidTr="005A7AAF">
        <w:trPr>
          <w:trHeight w:val="20"/>
        </w:trPr>
        <w:tc>
          <w:tcPr>
            <w:tcW w:w="1920" w:type="dxa"/>
            <w:tcBorders>
              <w:top w:val="nil"/>
              <w:left w:val="single" w:sz="4" w:space="0" w:color="auto"/>
              <w:bottom w:val="single" w:sz="4" w:space="0" w:color="auto"/>
              <w:right w:val="single" w:sz="4" w:space="0" w:color="auto"/>
            </w:tcBorders>
            <w:shd w:val="clear" w:color="000000" w:fill="FFFFFF"/>
            <w:vAlign w:val="center"/>
            <w:hideMark/>
          </w:tcPr>
          <w:p w14:paraId="491F711A" w14:textId="77777777" w:rsidR="00CB79AE" w:rsidRPr="00BA1C8E" w:rsidRDefault="00CB79AE" w:rsidP="00B77C0B">
            <w:pPr>
              <w:pStyle w:val="NoSpacing"/>
              <w:rPr>
                <w:rFonts w:ascii="Times New Roman" w:hAnsi="Times New Roman" w:cs="Times New Roman"/>
                <w:szCs w:val="24"/>
                <w:lang w:eastAsia="en-IN"/>
              </w:rPr>
            </w:pPr>
            <w:r w:rsidRPr="00BA1C8E">
              <w:rPr>
                <w:rFonts w:ascii="Times New Roman" w:hAnsi="Times New Roman" w:cs="Times New Roman"/>
                <w:szCs w:val="24"/>
                <w:lang w:eastAsia="en-IN"/>
              </w:rPr>
              <w:t>Haryana</w:t>
            </w:r>
          </w:p>
        </w:tc>
        <w:tc>
          <w:tcPr>
            <w:tcW w:w="1619" w:type="dxa"/>
            <w:tcBorders>
              <w:top w:val="nil"/>
              <w:left w:val="nil"/>
              <w:bottom w:val="single" w:sz="4" w:space="0" w:color="auto"/>
              <w:right w:val="single" w:sz="4" w:space="0" w:color="auto"/>
            </w:tcBorders>
            <w:shd w:val="clear" w:color="000000" w:fill="FFFFFF"/>
            <w:vAlign w:val="center"/>
            <w:hideMark/>
          </w:tcPr>
          <w:p w14:paraId="5642CB62" w14:textId="77777777" w:rsidR="00CB79AE" w:rsidRPr="00BA1C8E" w:rsidRDefault="00CB79AE" w:rsidP="00B77C0B">
            <w:pPr>
              <w:pStyle w:val="NoSpacing"/>
              <w:rPr>
                <w:rFonts w:ascii="Times New Roman" w:hAnsi="Times New Roman" w:cs="Times New Roman"/>
                <w:szCs w:val="24"/>
                <w:lang w:eastAsia="en-IN"/>
              </w:rPr>
            </w:pPr>
            <w:r w:rsidRPr="00BA1C8E">
              <w:rPr>
                <w:rFonts w:ascii="Times New Roman" w:hAnsi="Times New Roman" w:cs="Times New Roman"/>
                <w:szCs w:val="24"/>
                <w:lang w:eastAsia="en-IN"/>
              </w:rPr>
              <w:t>31-03-1968</w:t>
            </w:r>
          </w:p>
        </w:tc>
        <w:tc>
          <w:tcPr>
            <w:tcW w:w="1527" w:type="dxa"/>
            <w:tcBorders>
              <w:top w:val="nil"/>
              <w:left w:val="nil"/>
              <w:bottom w:val="single" w:sz="4" w:space="0" w:color="auto"/>
              <w:right w:val="single" w:sz="4" w:space="0" w:color="auto"/>
            </w:tcBorders>
            <w:shd w:val="clear" w:color="000000" w:fill="FFFFFF"/>
            <w:vAlign w:val="center"/>
            <w:hideMark/>
          </w:tcPr>
          <w:p w14:paraId="5B815FBE" w14:textId="77777777" w:rsidR="00CB79AE" w:rsidRPr="00BA1C8E" w:rsidRDefault="00CB79AE" w:rsidP="00B77C0B">
            <w:pPr>
              <w:pStyle w:val="NoSpacing"/>
              <w:rPr>
                <w:rFonts w:ascii="Times New Roman" w:hAnsi="Times New Roman" w:cs="Times New Roman"/>
                <w:szCs w:val="24"/>
                <w:lang w:eastAsia="en-IN"/>
              </w:rPr>
            </w:pPr>
            <w:r w:rsidRPr="00BA1C8E">
              <w:rPr>
                <w:rFonts w:ascii="Times New Roman" w:hAnsi="Times New Roman" w:cs="Times New Roman"/>
                <w:szCs w:val="24"/>
                <w:lang w:eastAsia="en-IN"/>
              </w:rPr>
              <w:t>..</w:t>
            </w:r>
          </w:p>
        </w:tc>
        <w:tc>
          <w:tcPr>
            <w:tcW w:w="1442" w:type="dxa"/>
            <w:tcBorders>
              <w:top w:val="nil"/>
              <w:left w:val="nil"/>
              <w:bottom w:val="single" w:sz="4" w:space="0" w:color="auto"/>
              <w:right w:val="single" w:sz="4" w:space="0" w:color="auto"/>
            </w:tcBorders>
            <w:shd w:val="clear" w:color="000000" w:fill="FFFFFF"/>
            <w:vAlign w:val="center"/>
            <w:hideMark/>
          </w:tcPr>
          <w:p w14:paraId="0D42E081" w14:textId="77777777" w:rsidR="00CB79AE" w:rsidRPr="00BA1C8E" w:rsidRDefault="00CB79AE" w:rsidP="00B77C0B">
            <w:pPr>
              <w:pStyle w:val="NoSpacing"/>
              <w:rPr>
                <w:rFonts w:ascii="Times New Roman" w:hAnsi="Times New Roman" w:cs="Times New Roman"/>
                <w:szCs w:val="24"/>
                <w:lang w:eastAsia="en-IN"/>
              </w:rPr>
            </w:pPr>
            <w:r w:rsidRPr="00BA1C8E">
              <w:rPr>
                <w:rFonts w:ascii="Times New Roman" w:hAnsi="Times New Roman" w:cs="Times New Roman"/>
                <w:szCs w:val="24"/>
                <w:lang w:eastAsia="en-IN"/>
              </w:rPr>
              <w:t>0.34</w:t>
            </w:r>
          </w:p>
        </w:tc>
        <w:tc>
          <w:tcPr>
            <w:tcW w:w="1341" w:type="dxa"/>
            <w:tcBorders>
              <w:top w:val="nil"/>
              <w:left w:val="nil"/>
              <w:bottom w:val="single" w:sz="4" w:space="0" w:color="auto"/>
              <w:right w:val="single" w:sz="4" w:space="0" w:color="auto"/>
            </w:tcBorders>
            <w:shd w:val="clear" w:color="000000" w:fill="FFFFFF"/>
            <w:vAlign w:val="center"/>
            <w:hideMark/>
          </w:tcPr>
          <w:p w14:paraId="59AB7E97" w14:textId="77777777" w:rsidR="00CB79AE" w:rsidRPr="00BA1C8E" w:rsidRDefault="00CB79AE" w:rsidP="00B77C0B">
            <w:pPr>
              <w:pStyle w:val="NoSpacing"/>
              <w:rPr>
                <w:rFonts w:ascii="Times New Roman" w:hAnsi="Times New Roman" w:cs="Times New Roman"/>
                <w:szCs w:val="24"/>
                <w:lang w:eastAsia="en-IN"/>
              </w:rPr>
            </w:pPr>
            <w:r w:rsidRPr="00BA1C8E">
              <w:rPr>
                <w:rFonts w:ascii="Times New Roman" w:hAnsi="Times New Roman" w:cs="Times New Roman"/>
                <w:szCs w:val="24"/>
                <w:lang w:eastAsia="en-IN"/>
              </w:rPr>
              <w:t>N.A.</w:t>
            </w:r>
          </w:p>
        </w:tc>
        <w:tc>
          <w:tcPr>
            <w:tcW w:w="1381" w:type="dxa"/>
            <w:tcBorders>
              <w:top w:val="nil"/>
              <w:left w:val="nil"/>
              <w:bottom w:val="single" w:sz="4" w:space="0" w:color="auto"/>
              <w:right w:val="single" w:sz="4" w:space="0" w:color="auto"/>
            </w:tcBorders>
            <w:shd w:val="clear" w:color="000000" w:fill="FFFFFF"/>
            <w:vAlign w:val="center"/>
            <w:hideMark/>
          </w:tcPr>
          <w:p w14:paraId="23245CDF" w14:textId="77777777" w:rsidR="00CB79AE" w:rsidRPr="00BA1C8E" w:rsidRDefault="00CB79AE" w:rsidP="00B77C0B">
            <w:pPr>
              <w:pStyle w:val="NoSpacing"/>
              <w:rPr>
                <w:rFonts w:ascii="Times New Roman" w:hAnsi="Times New Roman" w:cs="Times New Roman"/>
                <w:szCs w:val="24"/>
                <w:lang w:eastAsia="en-IN"/>
              </w:rPr>
            </w:pPr>
            <w:r w:rsidRPr="00BA1C8E">
              <w:rPr>
                <w:rFonts w:ascii="Times New Roman" w:hAnsi="Times New Roman" w:cs="Times New Roman"/>
                <w:szCs w:val="24"/>
                <w:lang w:eastAsia="en-IN"/>
              </w:rPr>
              <w:t>0.09</w:t>
            </w:r>
          </w:p>
        </w:tc>
        <w:tc>
          <w:tcPr>
            <w:tcW w:w="2201" w:type="dxa"/>
            <w:tcBorders>
              <w:top w:val="nil"/>
              <w:left w:val="nil"/>
              <w:bottom w:val="single" w:sz="4" w:space="0" w:color="auto"/>
              <w:right w:val="single" w:sz="4" w:space="0" w:color="auto"/>
            </w:tcBorders>
            <w:shd w:val="clear" w:color="000000" w:fill="FFFFFF"/>
            <w:vAlign w:val="center"/>
            <w:hideMark/>
          </w:tcPr>
          <w:p w14:paraId="450B8DB6" w14:textId="77777777" w:rsidR="00CB79AE" w:rsidRPr="00BA1C8E" w:rsidRDefault="00CB79AE" w:rsidP="00B77C0B">
            <w:pPr>
              <w:pStyle w:val="NoSpacing"/>
              <w:rPr>
                <w:rFonts w:ascii="Times New Roman" w:hAnsi="Times New Roman" w:cs="Times New Roman"/>
                <w:szCs w:val="24"/>
                <w:lang w:eastAsia="en-IN"/>
              </w:rPr>
            </w:pPr>
            <w:r w:rsidRPr="00BA1C8E">
              <w:rPr>
                <w:rFonts w:ascii="Times New Roman" w:hAnsi="Times New Roman" w:cs="Times New Roman"/>
                <w:szCs w:val="24"/>
                <w:lang w:eastAsia="en-IN"/>
              </w:rPr>
              <w:t>N.A.</w:t>
            </w:r>
          </w:p>
        </w:tc>
        <w:tc>
          <w:tcPr>
            <w:tcW w:w="1302" w:type="dxa"/>
            <w:tcBorders>
              <w:top w:val="nil"/>
              <w:left w:val="nil"/>
              <w:bottom w:val="single" w:sz="4" w:space="0" w:color="auto"/>
              <w:right w:val="single" w:sz="4" w:space="0" w:color="auto"/>
            </w:tcBorders>
            <w:shd w:val="clear" w:color="000000" w:fill="FFFFFF"/>
            <w:vAlign w:val="center"/>
            <w:hideMark/>
          </w:tcPr>
          <w:p w14:paraId="67484985" w14:textId="77777777" w:rsidR="00CB79AE" w:rsidRPr="00BA1C8E" w:rsidRDefault="00CB79AE" w:rsidP="00B77C0B">
            <w:pPr>
              <w:pStyle w:val="NoSpacing"/>
              <w:rPr>
                <w:rFonts w:ascii="Times New Roman" w:hAnsi="Times New Roman" w:cs="Times New Roman"/>
                <w:szCs w:val="24"/>
                <w:lang w:eastAsia="en-IN"/>
              </w:rPr>
            </w:pPr>
            <w:r w:rsidRPr="00BA1C8E">
              <w:rPr>
                <w:rFonts w:ascii="Times New Roman" w:hAnsi="Times New Roman" w:cs="Times New Roman"/>
                <w:szCs w:val="24"/>
                <w:lang w:eastAsia="en-IN"/>
              </w:rPr>
              <w:t>N.A.</w:t>
            </w:r>
          </w:p>
        </w:tc>
        <w:tc>
          <w:tcPr>
            <w:tcW w:w="1274" w:type="dxa"/>
            <w:tcBorders>
              <w:top w:val="nil"/>
              <w:left w:val="nil"/>
              <w:bottom w:val="single" w:sz="4" w:space="0" w:color="auto"/>
              <w:right w:val="single" w:sz="4" w:space="0" w:color="auto"/>
            </w:tcBorders>
            <w:shd w:val="clear" w:color="000000" w:fill="FFFFFF"/>
            <w:vAlign w:val="center"/>
            <w:hideMark/>
          </w:tcPr>
          <w:p w14:paraId="5B395B51" w14:textId="77777777" w:rsidR="00CB79AE" w:rsidRPr="00BA1C8E" w:rsidRDefault="00CB79AE" w:rsidP="00B77C0B">
            <w:pPr>
              <w:pStyle w:val="NoSpacing"/>
              <w:rPr>
                <w:rFonts w:ascii="Times New Roman" w:hAnsi="Times New Roman" w:cs="Times New Roman"/>
                <w:szCs w:val="24"/>
                <w:lang w:eastAsia="en-IN"/>
              </w:rPr>
            </w:pPr>
            <w:r w:rsidRPr="00BA1C8E">
              <w:rPr>
                <w:rFonts w:ascii="Times New Roman" w:hAnsi="Times New Roman" w:cs="Times New Roman"/>
                <w:szCs w:val="24"/>
                <w:lang w:eastAsia="en-IN"/>
              </w:rPr>
              <w:t>0.43</w:t>
            </w:r>
          </w:p>
        </w:tc>
      </w:tr>
      <w:tr w:rsidR="00CB79AE" w:rsidRPr="00BA1C8E" w14:paraId="7EE323EC" w14:textId="77777777" w:rsidTr="005A7AAF">
        <w:trPr>
          <w:trHeight w:val="20"/>
        </w:trPr>
        <w:tc>
          <w:tcPr>
            <w:tcW w:w="1920" w:type="dxa"/>
            <w:tcBorders>
              <w:top w:val="nil"/>
              <w:left w:val="single" w:sz="4" w:space="0" w:color="auto"/>
              <w:bottom w:val="single" w:sz="4" w:space="0" w:color="auto"/>
              <w:right w:val="single" w:sz="4" w:space="0" w:color="auto"/>
            </w:tcBorders>
            <w:shd w:val="clear" w:color="000000" w:fill="FFFFFF"/>
            <w:vAlign w:val="center"/>
            <w:hideMark/>
          </w:tcPr>
          <w:p w14:paraId="069CD69F" w14:textId="77777777" w:rsidR="00CB79AE" w:rsidRPr="00BA1C8E" w:rsidRDefault="00CB79AE" w:rsidP="00B77C0B">
            <w:pPr>
              <w:pStyle w:val="NoSpacing"/>
              <w:rPr>
                <w:rFonts w:ascii="Times New Roman" w:hAnsi="Times New Roman" w:cs="Times New Roman"/>
                <w:szCs w:val="24"/>
                <w:lang w:eastAsia="en-IN"/>
              </w:rPr>
            </w:pPr>
            <w:r w:rsidRPr="00BA1C8E">
              <w:rPr>
                <w:rFonts w:ascii="Times New Roman" w:hAnsi="Times New Roman" w:cs="Times New Roman"/>
                <w:szCs w:val="24"/>
                <w:lang w:eastAsia="en-IN"/>
              </w:rPr>
              <w:t>Jammu and Kashmir</w:t>
            </w:r>
          </w:p>
        </w:tc>
        <w:tc>
          <w:tcPr>
            <w:tcW w:w="1619" w:type="dxa"/>
            <w:tcBorders>
              <w:top w:val="nil"/>
              <w:left w:val="nil"/>
              <w:bottom w:val="single" w:sz="4" w:space="0" w:color="auto"/>
              <w:right w:val="single" w:sz="4" w:space="0" w:color="auto"/>
            </w:tcBorders>
            <w:shd w:val="clear" w:color="000000" w:fill="FFFFFF"/>
            <w:vAlign w:val="center"/>
            <w:hideMark/>
          </w:tcPr>
          <w:p w14:paraId="49E233B4" w14:textId="77777777" w:rsidR="00CB79AE" w:rsidRPr="00BA1C8E" w:rsidRDefault="00CB79AE" w:rsidP="00B77C0B">
            <w:pPr>
              <w:pStyle w:val="NoSpacing"/>
              <w:rPr>
                <w:rFonts w:ascii="Times New Roman" w:hAnsi="Times New Roman" w:cs="Times New Roman"/>
                <w:szCs w:val="24"/>
                <w:lang w:eastAsia="en-IN"/>
              </w:rPr>
            </w:pPr>
            <w:r w:rsidRPr="00BA1C8E">
              <w:rPr>
                <w:rFonts w:ascii="Times New Roman" w:hAnsi="Times New Roman" w:cs="Times New Roman"/>
                <w:szCs w:val="24"/>
                <w:lang w:eastAsia="en-IN"/>
              </w:rPr>
              <w:t>31-03-1969</w:t>
            </w:r>
          </w:p>
        </w:tc>
        <w:tc>
          <w:tcPr>
            <w:tcW w:w="1527" w:type="dxa"/>
            <w:tcBorders>
              <w:top w:val="nil"/>
              <w:left w:val="nil"/>
              <w:bottom w:val="single" w:sz="4" w:space="0" w:color="auto"/>
              <w:right w:val="single" w:sz="4" w:space="0" w:color="auto"/>
            </w:tcBorders>
            <w:shd w:val="clear" w:color="000000" w:fill="FFFFFF"/>
            <w:vAlign w:val="center"/>
            <w:hideMark/>
          </w:tcPr>
          <w:p w14:paraId="05E66519" w14:textId="77777777" w:rsidR="00CB79AE" w:rsidRPr="00BA1C8E" w:rsidRDefault="00CB79AE" w:rsidP="00B77C0B">
            <w:pPr>
              <w:pStyle w:val="NoSpacing"/>
              <w:rPr>
                <w:rFonts w:ascii="Times New Roman" w:hAnsi="Times New Roman" w:cs="Times New Roman"/>
                <w:szCs w:val="24"/>
                <w:lang w:eastAsia="en-IN"/>
              </w:rPr>
            </w:pPr>
            <w:r w:rsidRPr="00BA1C8E">
              <w:rPr>
                <w:rFonts w:ascii="Times New Roman" w:hAnsi="Times New Roman" w:cs="Times New Roman"/>
                <w:szCs w:val="24"/>
                <w:lang w:eastAsia="en-IN"/>
              </w:rPr>
              <w:t>..</w:t>
            </w:r>
          </w:p>
        </w:tc>
        <w:tc>
          <w:tcPr>
            <w:tcW w:w="1442" w:type="dxa"/>
            <w:tcBorders>
              <w:top w:val="nil"/>
              <w:left w:val="nil"/>
              <w:bottom w:val="single" w:sz="4" w:space="0" w:color="auto"/>
              <w:right w:val="single" w:sz="4" w:space="0" w:color="auto"/>
            </w:tcBorders>
            <w:shd w:val="clear" w:color="000000" w:fill="FFFFFF"/>
            <w:vAlign w:val="center"/>
            <w:hideMark/>
          </w:tcPr>
          <w:p w14:paraId="72C1285A" w14:textId="77777777" w:rsidR="00CB79AE" w:rsidRPr="00BA1C8E" w:rsidRDefault="00CB79AE" w:rsidP="00B77C0B">
            <w:pPr>
              <w:pStyle w:val="NoSpacing"/>
              <w:rPr>
                <w:rFonts w:ascii="Times New Roman" w:hAnsi="Times New Roman" w:cs="Times New Roman"/>
                <w:szCs w:val="24"/>
                <w:lang w:eastAsia="en-IN"/>
              </w:rPr>
            </w:pPr>
            <w:r w:rsidRPr="00BA1C8E">
              <w:rPr>
                <w:rFonts w:ascii="Times New Roman" w:hAnsi="Times New Roman" w:cs="Times New Roman"/>
                <w:szCs w:val="24"/>
                <w:lang w:eastAsia="en-IN"/>
              </w:rPr>
              <w:t>0.48</w:t>
            </w:r>
          </w:p>
        </w:tc>
        <w:tc>
          <w:tcPr>
            <w:tcW w:w="1341" w:type="dxa"/>
            <w:tcBorders>
              <w:top w:val="nil"/>
              <w:left w:val="nil"/>
              <w:bottom w:val="single" w:sz="4" w:space="0" w:color="auto"/>
              <w:right w:val="single" w:sz="4" w:space="0" w:color="auto"/>
            </w:tcBorders>
            <w:shd w:val="clear" w:color="000000" w:fill="FFFFFF"/>
            <w:vAlign w:val="center"/>
            <w:hideMark/>
          </w:tcPr>
          <w:p w14:paraId="7735EE57" w14:textId="77777777" w:rsidR="00CB79AE" w:rsidRPr="00BA1C8E" w:rsidRDefault="00CB79AE" w:rsidP="00B77C0B">
            <w:pPr>
              <w:pStyle w:val="NoSpacing"/>
              <w:rPr>
                <w:rFonts w:ascii="Times New Roman" w:hAnsi="Times New Roman" w:cs="Times New Roman"/>
                <w:szCs w:val="24"/>
                <w:lang w:eastAsia="en-IN"/>
              </w:rPr>
            </w:pPr>
            <w:r w:rsidRPr="00BA1C8E">
              <w:rPr>
                <w:rFonts w:ascii="Times New Roman" w:hAnsi="Times New Roman" w:cs="Times New Roman"/>
                <w:szCs w:val="24"/>
                <w:lang w:eastAsia="en-IN"/>
              </w:rPr>
              <w:t>N.A.</w:t>
            </w:r>
          </w:p>
        </w:tc>
        <w:tc>
          <w:tcPr>
            <w:tcW w:w="1381" w:type="dxa"/>
            <w:tcBorders>
              <w:top w:val="nil"/>
              <w:left w:val="nil"/>
              <w:bottom w:val="single" w:sz="4" w:space="0" w:color="auto"/>
              <w:right w:val="single" w:sz="4" w:space="0" w:color="auto"/>
            </w:tcBorders>
            <w:shd w:val="clear" w:color="000000" w:fill="FFFFFF"/>
            <w:vAlign w:val="center"/>
            <w:hideMark/>
          </w:tcPr>
          <w:p w14:paraId="6B05844D" w14:textId="77777777" w:rsidR="00CB79AE" w:rsidRPr="00BA1C8E" w:rsidRDefault="00CB79AE" w:rsidP="00B77C0B">
            <w:pPr>
              <w:pStyle w:val="NoSpacing"/>
              <w:rPr>
                <w:rFonts w:ascii="Times New Roman" w:hAnsi="Times New Roman" w:cs="Times New Roman"/>
                <w:szCs w:val="24"/>
                <w:lang w:eastAsia="en-IN"/>
              </w:rPr>
            </w:pPr>
            <w:r w:rsidRPr="00BA1C8E">
              <w:rPr>
                <w:rFonts w:ascii="Times New Roman" w:hAnsi="Times New Roman" w:cs="Times New Roman"/>
                <w:szCs w:val="24"/>
                <w:lang w:eastAsia="en-IN"/>
              </w:rPr>
              <w:t>0.05</w:t>
            </w:r>
          </w:p>
        </w:tc>
        <w:tc>
          <w:tcPr>
            <w:tcW w:w="2201" w:type="dxa"/>
            <w:tcBorders>
              <w:top w:val="nil"/>
              <w:left w:val="nil"/>
              <w:bottom w:val="single" w:sz="4" w:space="0" w:color="auto"/>
              <w:right w:val="single" w:sz="4" w:space="0" w:color="auto"/>
            </w:tcBorders>
            <w:shd w:val="clear" w:color="000000" w:fill="FFFFFF"/>
            <w:vAlign w:val="center"/>
            <w:hideMark/>
          </w:tcPr>
          <w:p w14:paraId="4DB17230" w14:textId="77777777" w:rsidR="00CB79AE" w:rsidRPr="00BA1C8E" w:rsidRDefault="00CB79AE" w:rsidP="00B77C0B">
            <w:pPr>
              <w:pStyle w:val="NoSpacing"/>
              <w:rPr>
                <w:rFonts w:ascii="Times New Roman" w:hAnsi="Times New Roman" w:cs="Times New Roman"/>
                <w:szCs w:val="24"/>
                <w:lang w:eastAsia="en-IN"/>
              </w:rPr>
            </w:pPr>
            <w:r w:rsidRPr="00BA1C8E">
              <w:rPr>
                <w:rFonts w:ascii="Times New Roman" w:hAnsi="Times New Roman" w:cs="Times New Roman"/>
                <w:szCs w:val="24"/>
                <w:lang w:eastAsia="en-IN"/>
              </w:rPr>
              <w:t>N.A.</w:t>
            </w:r>
          </w:p>
        </w:tc>
        <w:tc>
          <w:tcPr>
            <w:tcW w:w="1302" w:type="dxa"/>
            <w:tcBorders>
              <w:top w:val="nil"/>
              <w:left w:val="nil"/>
              <w:bottom w:val="single" w:sz="4" w:space="0" w:color="auto"/>
              <w:right w:val="single" w:sz="4" w:space="0" w:color="auto"/>
            </w:tcBorders>
            <w:shd w:val="clear" w:color="000000" w:fill="FFFFFF"/>
            <w:vAlign w:val="center"/>
            <w:hideMark/>
          </w:tcPr>
          <w:p w14:paraId="2B766ACA" w14:textId="77777777" w:rsidR="00CB79AE" w:rsidRPr="00BA1C8E" w:rsidRDefault="00CB79AE" w:rsidP="00B77C0B">
            <w:pPr>
              <w:pStyle w:val="NoSpacing"/>
              <w:rPr>
                <w:rFonts w:ascii="Times New Roman" w:hAnsi="Times New Roman" w:cs="Times New Roman"/>
                <w:szCs w:val="24"/>
                <w:lang w:eastAsia="en-IN"/>
              </w:rPr>
            </w:pPr>
            <w:r w:rsidRPr="00BA1C8E">
              <w:rPr>
                <w:rFonts w:ascii="Times New Roman" w:hAnsi="Times New Roman" w:cs="Times New Roman"/>
                <w:szCs w:val="24"/>
                <w:lang w:eastAsia="en-IN"/>
              </w:rPr>
              <w:t>N.A.</w:t>
            </w:r>
          </w:p>
        </w:tc>
        <w:tc>
          <w:tcPr>
            <w:tcW w:w="1274" w:type="dxa"/>
            <w:tcBorders>
              <w:top w:val="nil"/>
              <w:left w:val="nil"/>
              <w:bottom w:val="single" w:sz="4" w:space="0" w:color="auto"/>
              <w:right w:val="single" w:sz="4" w:space="0" w:color="auto"/>
            </w:tcBorders>
            <w:shd w:val="clear" w:color="000000" w:fill="FFFFFF"/>
            <w:vAlign w:val="center"/>
            <w:hideMark/>
          </w:tcPr>
          <w:p w14:paraId="78EB8891" w14:textId="77777777" w:rsidR="00CB79AE" w:rsidRPr="00BA1C8E" w:rsidRDefault="00CB79AE" w:rsidP="00B77C0B">
            <w:pPr>
              <w:pStyle w:val="NoSpacing"/>
              <w:rPr>
                <w:rFonts w:ascii="Times New Roman" w:hAnsi="Times New Roman" w:cs="Times New Roman"/>
                <w:szCs w:val="24"/>
                <w:lang w:eastAsia="en-IN"/>
              </w:rPr>
            </w:pPr>
            <w:r w:rsidRPr="00BA1C8E">
              <w:rPr>
                <w:rFonts w:ascii="Times New Roman" w:hAnsi="Times New Roman" w:cs="Times New Roman"/>
                <w:szCs w:val="24"/>
                <w:lang w:eastAsia="en-IN"/>
              </w:rPr>
              <w:t>0.53</w:t>
            </w:r>
          </w:p>
        </w:tc>
      </w:tr>
      <w:tr w:rsidR="00CB79AE" w:rsidRPr="00BA1C8E" w14:paraId="3A976968" w14:textId="77777777" w:rsidTr="005A7AAF">
        <w:trPr>
          <w:trHeight w:val="20"/>
        </w:trPr>
        <w:tc>
          <w:tcPr>
            <w:tcW w:w="1920" w:type="dxa"/>
            <w:tcBorders>
              <w:top w:val="nil"/>
              <w:left w:val="single" w:sz="4" w:space="0" w:color="auto"/>
              <w:bottom w:val="single" w:sz="4" w:space="0" w:color="auto"/>
              <w:right w:val="single" w:sz="4" w:space="0" w:color="auto"/>
            </w:tcBorders>
            <w:shd w:val="clear" w:color="000000" w:fill="FFFFFF"/>
            <w:vAlign w:val="center"/>
            <w:hideMark/>
          </w:tcPr>
          <w:p w14:paraId="6AE621AC" w14:textId="77777777" w:rsidR="00CB79AE" w:rsidRPr="00BA1C8E" w:rsidRDefault="00CB79AE" w:rsidP="00B77C0B">
            <w:pPr>
              <w:pStyle w:val="NoSpacing"/>
              <w:rPr>
                <w:rFonts w:ascii="Times New Roman" w:hAnsi="Times New Roman" w:cs="Times New Roman"/>
                <w:szCs w:val="24"/>
                <w:lang w:eastAsia="en-IN"/>
              </w:rPr>
            </w:pPr>
            <w:r w:rsidRPr="00BA1C8E">
              <w:rPr>
                <w:rFonts w:ascii="Times New Roman" w:hAnsi="Times New Roman" w:cs="Times New Roman"/>
                <w:szCs w:val="24"/>
                <w:lang w:eastAsia="en-IN"/>
              </w:rPr>
              <w:t>Kerala</w:t>
            </w:r>
          </w:p>
        </w:tc>
        <w:tc>
          <w:tcPr>
            <w:tcW w:w="1619" w:type="dxa"/>
            <w:tcBorders>
              <w:top w:val="nil"/>
              <w:left w:val="nil"/>
              <w:bottom w:val="single" w:sz="4" w:space="0" w:color="auto"/>
              <w:right w:val="single" w:sz="4" w:space="0" w:color="auto"/>
            </w:tcBorders>
            <w:shd w:val="clear" w:color="000000" w:fill="FFFFFF"/>
            <w:vAlign w:val="center"/>
            <w:hideMark/>
          </w:tcPr>
          <w:p w14:paraId="19A6B6F4" w14:textId="77777777" w:rsidR="00CB79AE" w:rsidRPr="00BA1C8E" w:rsidRDefault="00CB79AE" w:rsidP="00B77C0B">
            <w:pPr>
              <w:pStyle w:val="NoSpacing"/>
              <w:rPr>
                <w:rFonts w:ascii="Times New Roman" w:hAnsi="Times New Roman" w:cs="Times New Roman"/>
                <w:szCs w:val="24"/>
                <w:lang w:eastAsia="en-IN"/>
              </w:rPr>
            </w:pPr>
            <w:r w:rsidRPr="00BA1C8E">
              <w:rPr>
                <w:rFonts w:ascii="Times New Roman" w:hAnsi="Times New Roman" w:cs="Times New Roman"/>
                <w:szCs w:val="24"/>
                <w:lang w:eastAsia="en-IN"/>
              </w:rPr>
              <w:t>31-03-1969</w:t>
            </w:r>
          </w:p>
        </w:tc>
        <w:tc>
          <w:tcPr>
            <w:tcW w:w="1527" w:type="dxa"/>
            <w:tcBorders>
              <w:top w:val="nil"/>
              <w:left w:val="nil"/>
              <w:bottom w:val="single" w:sz="4" w:space="0" w:color="auto"/>
              <w:right w:val="single" w:sz="4" w:space="0" w:color="auto"/>
            </w:tcBorders>
            <w:shd w:val="clear" w:color="000000" w:fill="FFFFFF"/>
            <w:vAlign w:val="center"/>
            <w:hideMark/>
          </w:tcPr>
          <w:p w14:paraId="2BC55EAC" w14:textId="77777777" w:rsidR="00CB79AE" w:rsidRPr="00BA1C8E" w:rsidRDefault="00CB79AE" w:rsidP="00B77C0B">
            <w:pPr>
              <w:pStyle w:val="NoSpacing"/>
              <w:rPr>
                <w:rFonts w:ascii="Times New Roman" w:hAnsi="Times New Roman" w:cs="Times New Roman"/>
                <w:szCs w:val="24"/>
                <w:lang w:eastAsia="en-IN"/>
              </w:rPr>
            </w:pPr>
            <w:r w:rsidRPr="00BA1C8E">
              <w:rPr>
                <w:rFonts w:ascii="Times New Roman" w:hAnsi="Times New Roman" w:cs="Times New Roman"/>
                <w:szCs w:val="24"/>
                <w:lang w:eastAsia="en-IN"/>
              </w:rPr>
              <w:t>1.25</w:t>
            </w:r>
          </w:p>
        </w:tc>
        <w:tc>
          <w:tcPr>
            <w:tcW w:w="1442" w:type="dxa"/>
            <w:tcBorders>
              <w:top w:val="nil"/>
              <w:left w:val="nil"/>
              <w:bottom w:val="single" w:sz="4" w:space="0" w:color="auto"/>
              <w:right w:val="single" w:sz="4" w:space="0" w:color="auto"/>
            </w:tcBorders>
            <w:shd w:val="clear" w:color="000000" w:fill="FFFFFF"/>
            <w:vAlign w:val="center"/>
            <w:hideMark/>
          </w:tcPr>
          <w:p w14:paraId="4DCDB085" w14:textId="77777777" w:rsidR="00CB79AE" w:rsidRPr="00BA1C8E" w:rsidRDefault="00CB79AE" w:rsidP="00B77C0B">
            <w:pPr>
              <w:pStyle w:val="NoSpacing"/>
              <w:rPr>
                <w:rFonts w:ascii="Times New Roman" w:hAnsi="Times New Roman" w:cs="Times New Roman"/>
                <w:szCs w:val="24"/>
                <w:lang w:eastAsia="en-IN"/>
              </w:rPr>
            </w:pPr>
            <w:r w:rsidRPr="00BA1C8E">
              <w:rPr>
                <w:rFonts w:ascii="Times New Roman" w:hAnsi="Times New Roman" w:cs="Times New Roman"/>
                <w:szCs w:val="24"/>
                <w:lang w:eastAsia="en-IN"/>
              </w:rPr>
              <w:t>1.13</w:t>
            </w:r>
          </w:p>
        </w:tc>
        <w:tc>
          <w:tcPr>
            <w:tcW w:w="1341" w:type="dxa"/>
            <w:tcBorders>
              <w:top w:val="nil"/>
              <w:left w:val="nil"/>
              <w:bottom w:val="single" w:sz="4" w:space="0" w:color="auto"/>
              <w:right w:val="single" w:sz="4" w:space="0" w:color="auto"/>
            </w:tcBorders>
            <w:shd w:val="clear" w:color="000000" w:fill="FFFFFF"/>
            <w:vAlign w:val="center"/>
            <w:hideMark/>
          </w:tcPr>
          <w:p w14:paraId="66F9B575" w14:textId="77777777" w:rsidR="00CB79AE" w:rsidRPr="00BA1C8E" w:rsidRDefault="00CB79AE" w:rsidP="00B77C0B">
            <w:pPr>
              <w:pStyle w:val="NoSpacing"/>
              <w:rPr>
                <w:rFonts w:ascii="Times New Roman" w:hAnsi="Times New Roman" w:cs="Times New Roman"/>
                <w:szCs w:val="24"/>
                <w:lang w:eastAsia="en-IN"/>
              </w:rPr>
            </w:pPr>
            <w:r w:rsidRPr="00BA1C8E">
              <w:rPr>
                <w:rFonts w:ascii="Times New Roman" w:hAnsi="Times New Roman" w:cs="Times New Roman"/>
                <w:szCs w:val="24"/>
                <w:lang w:eastAsia="en-IN"/>
              </w:rPr>
              <w:t>0.6</w:t>
            </w:r>
          </w:p>
        </w:tc>
        <w:tc>
          <w:tcPr>
            <w:tcW w:w="1381" w:type="dxa"/>
            <w:tcBorders>
              <w:top w:val="nil"/>
              <w:left w:val="nil"/>
              <w:bottom w:val="single" w:sz="4" w:space="0" w:color="auto"/>
              <w:right w:val="single" w:sz="4" w:space="0" w:color="auto"/>
            </w:tcBorders>
            <w:shd w:val="clear" w:color="000000" w:fill="FFFFFF"/>
            <w:vAlign w:val="center"/>
            <w:hideMark/>
          </w:tcPr>
          <w:p w14:paraId="14B32CDD" w14:textId="77777777" w:rsidR="00CB79AE" w:rsidRPr="00BA1C8E" w:rsidRDefault="00CB79AE" w:rsidP="00B77C0B">
            <w:pPr>
              <w:pStyle w:val="NoSpacing"/>
              <w:rPr>
                <w:rFonts w:ascii="Times New Roman" w:hAnsi="Times New Roman" w:cs="Times New Roman"/>
                <w:szCs w:val="24"/>
                <w:lang w:eastAsia="en-IN"/>
              </w:rPr>
            </w:pPr>
            <w:r w:rsidRPr="00BA1C8E">
              <w:rPr>
                <w:rFonts w:ascii="Times New Roman" w:hAnsi="Times New Roman" w:cs="Times New Roman"/>
                <w:szCs w:val="24"/>
                <w:lang w:eastAsia="en-IN"/>
              </w:rPr>
              <w:t>5.25</w:t>
            </w:r>
          </w:p>
        </w:tc>
        <w:tc>
          <w:tcPr>
            <w:tcW w:w="2201" w:type="dxa"/>
            <w:tcBorders>
              <w:top w:val="nil"/>
              <w:left w:val="nil"/>
              <w:bottom w:val="single" w:sz="4" w:space="0" w:color="auto"/>
              <w:right w:val="single" w:sz="4" w:space="0" w:color="auto"/>
            </w:tcBorders>
            <w:shd w:val="clear" w:color="000000" w:fill="FFFFFF"/>
            <w:vAlign w:val="center"/>
            <w:hideMark/>
          </w:tcPr>
          <w:p w14:paraId="38CCC838" w14:textId="77777777" w:rsidR="00CB79AE" w:rsidRPr="00BA1C8E" w:rsidRDefault="00CB79AE" w:rsidP="00B77C0B">
            <w:pPr>
              <w:pStyle w:val="NoSpacing"/>
              <w:rPr>
                <w:rFonts w:ascii="Times New Roman" w:hAnsi="Times New Roman" w:cs="Times New Roman"/>
                <w:szCs w:val="24"/>
                <w:lang w:eastAsia="en-IN"/>
              </w:rPr>
            </w:pPr>
            <w:r w:rsidRPr="00BA1C8E">
              <w:rPr>
                <w:rFonts w:ascii="Times New Roman" w:hAnsi="Times New Roman" w:cs="Times New Roman"/>
                <w:szCs w:val="24"/>
                <w:lang w:eastAsia="en-IN"/>
              </w:rPr>
              <w:t>..</w:t>
            </w:r>
          </w:p>
        </w:tc>
        <w:tc>
          <w:tcPr>
            <w:tcW w:w="1302" w:type="dxa"/>
            <w:tcBorders>
              <w:top w:val="nil"/>
              <w:left w:val="nil"/>
              <w:bottom w:val="single" w:sz="4" w:space="0" w:color="auto"/>
              <w:right w:val="single" w:sz="4" w:space="0" w:color="auto"/>
            </w:tcBorders>
            <w:shd w:val="clear" w:color="000000" w:fill="FFFFFF"/>
            <w:vAlign w:val="center"/>
            <w:hideMark/>
          </w:tcPr>
          <w:p w14:paraId="2329CD15" w14:textId="77777777" w:rsidR="00CB79AE" w:rsidRPr="00BA1C8E" w:rsidRDefault="00CB79AE" w:rsidP="00B77C0B">
            <w:pPr>
              <w:pStyle w:val="NoSpacing"/>
              <w:rPr>
                <w:rFonts w:ascii="Times New Roman" w:hAnsi="Times New Roman" w:cs="Times New Roman"/>
                <w:szCs w:val="24"/>
                <w:lang w:eastAsia="en-IN"/>
              </w:rPr>
            </w:pPr>
            <w:r w:rsidRPr="00BA1C8E">
              <w:rPr>
                <w:rFonts w:ascii="Times New Roman" w:hAnsi="Times New Roman" w:cs="Times New Roman"/>
                <w:szCs w:val="24"/>
                <w:lang w:eastAsia="en-IN"/>
              </w:rPr>
              <w:t>1</w:t>
            </w:r>
          </w:p>
        </w:tc>
        <w:tc>
          <w:tcPr>
            <w:tcW w:w="1274" w:type="dxa"/>
            <w:tcBorders>
              <w:top w:val="nil"/>
              <w:left w:val="nil"/>
              <w:bottom w:val="single" w:sz="4" w:space="0" w:color="auto"/>
              <w:right w:val="single" w:sz="4" w:space="0" w:color="auto"/>
            </w:tcBorders>
            <w:shd w:val="clear" w:color="000000" w:fill="FFFFFF"/>
            <w:vAlign w:val="center"/>
            <w:hideMark/>
          </w:tcPr>
          <w:p w14:paraId="15AD7613" w14:textId="77777777" w:rsidR="00CB79AE" w:rsidRPr="00BA1C8E" w:rsidRDefault="00CB79AE" w:rsidP="00B77C0B">
            <w:pPr>
              <w:pStyle w:val="NoSpacing"/>
              <w:rPr>
                <w:rFonts w:ascii="Times New Roman" w:hAnsi="Times New Roman" w:cs="Times New Roman"/>
                <w:szCs w:val="24"/>
                <w:lang w:eastAsia="en-IN"/>
              </w:rPr>
            </w:pPr>
            <w:r w:rsidRPr="00BA1C8E">
              <w:rPr>
                <w:rFonts w:ascii="Times New Roman" w:hAnsi="Times New Roman" w:cs="Times New Roman"/>
                <w:szCs w:val="24"/>
                <w:lang w:eastAsia="en-IN"/>
              </w:rPr>
              <w:t>9.23</w:t>
            </w:r>
          </w:p>
        </w:tc>
      </w:tr>
      <w:tr w:rsidR="00CB79AE" w:rsidRPr="00BA1C8E" w14:paraId="21B47A8B" w14:textId="77777777" w:rsidTr="005A7AAF">
        <w:trPr>
          <w:trHeight w:val="20"/>
        </w:trPr>
        <w:tc>
          <w:tcPr>
            <w:tcW w:w="1920" w:type="dxa"/>
            <w:tcBorders>
              <w:top w:val="nil"/>
              <w:left w:val="single" w:sz="4" w:space="0" w:color="auto"/>
              <w:bottom w:val="single" w:sz="4" w:space="0" w:color="auto"/>
              <w:right w:val="single" w:sz="4" w:space="0" w:color="auto"/>
            </w:tcBorders>
            <w:shd w:val="clear" w:color="000000" w:fill="FFFFFF"/>
            <w:vAlign w:val="center"/>
            <w:hideMark/>
          </w:tcPr>
          <w:p w14:paraId="5DB37E97" w14:textId="77777777" w:rsidR="00CB79AE" w:rsidRPr="00BA1C8E" w:rsidRDefault="00CB79AE" w:rsidP="00B77C0B">
            <w:pPr>
              <w:pStyle w:val="NoSpacing"/>
              <w:rPr>
                <w:rFonts w:ascii="Times New Roman" w:hAnsi="Times New Roman" w:cs="Times New Roman"/>
                <w:szCs w:val="24"/>
                <w:lang w:eastAsia="en-IN"/>
              </w:rPr>
            </w:pPr>
            <w:r w:rsidRPr="00BA1C8E">
              <w:rPr>
                <w:rFonts w:ascii="Times New Roman" w:hAnsi="Times New Roman" w:cs="Times New Roman"/>
                <w:szCs w:val="24"/>
                <w:lang w:eastAsia="en-IN"/>
              </w:rPr>
              <w:t>Madhya Pradesh</w:t>
            </w:r>
          </w:p>
        </w:tc>
        <w:tc>
          <w:tcPr>
            <w:tcW w:w="1619" w:type="dxa"/>
            <w:tcBorders>
              <w:top w:val="nil"/>
              <w:left w:val="nil"/>
              <w:bottom w:val="single" w:sz="4" w:space="0" w:color="auto"/>
              <w:right w:val="single" w:sz="4" w:space="0" w:color="auto"/>
            </w:tcBorders>
            <w:shd w:val="clear" w:color="000000" w:fill="FFFFFF"/>
            <w:vAlign w:val="center"/>
            <w:hideMark/>
          </w:tcPr>
          <w:p w14:paraId="4A0C4F74" w14:textId="77777777" w:rsidR="00CB79AE" w:rsidRPr="00BA1C8E" w:rsidRDefault="00CB79AE" w:rsidP="00B77C0B">
            <w:pPr>
              <w:pStyle w:val="NoSpacing"/>
              <w:rPr>
                <w:rFonts w:ascii="Times New Roman" w:hAnsi="Times New Roman" w:cs="Times New Roman"/>
                <w:szCs w:val="24"/>
                <w:lang w:eastAsia="en-IN"/>
              </w:rPr>
            </w:pPr>
            <w:r w:rsidRPr="00BA1C8E">
              <w:rPr>
                <w:rFonts w:ascii="Times New Roman" w:hAnsi="Times New Roman" w:cs="Times New Roman"/>
                <w:szCs w:val="24"/>
                <w:lang w:eastAsia="en-IN"/>
              </w:rPr>
              <w:t>31-03-1968</w:t>
            </w:r>
          </w:p>
        </w:tc>
        <w:tc>
          <w:tcPr>
            <w:tcW w:w="1527" w:type="dxa"/>
            <w:tcBorders>
              <w:top w:val="nil"/>
              <w:left w:val="nil"/>
              <w:bottom w:val="single" w:sz="4" w:space="0" w:color="auto"/>
              <w:right w:val="single" w:sz="4" w:space="0" w:color="auto"/>
            </w:tcBorders>
            <w:shd w:val="clear" w:color="000000" w:fill="FFFFFF"/>
            <w:vAlign w:val="center"/>
            <w:hideMark/>
          </w:tcPr>
          <w:p w14:paraId="555104DC" w14:textId="77777777" w:rsidR="00CB79AE" w:rsidRPr="00BA1C8E" w:rsidRDefault="00CB79AE" w:rsidP="00B77C0B">
            <w:pPr>
              <w:pStyle w:val="NoSpacing"/>
              <w:rPr>
                <w:rFonts w:ascii="Times New Roman" w:hAnsi="Times New Roman" w:cs="Times New Roman"/>
                <w:szCs w:val="24"/>
                <w:lang w:eastAsia="en-IN"/>
              </w:rPr>
            </w:pPr>
            <w:r w:rsidRPr="00BA1C8E">
              <w:rPr>
                <w:rFonts w:ascii="Times New Roman" w:hAnsi="Times New Roman" w:cs="Times New Roman"/>
                <w:szCs w:val="24"/>
                <w:lang w:eastAsia="en-IN"/>
              </w:rPr>
              <w:t>..</w:t>
            </w:r>
          </w:p>
        </w:tc>
        <w:tc>
          <w:tcPr>
            <w:tcW w:w="1442" w:type="dxa"/>
            <w:tcBorders>
              <w:top w:val="nil"/>
              <w:left w:val="nil"/>
              <w:bottom w:val="single" w:sz="4" w:space="0" w:color="auto"/>
              <w:right w:val="single" w:sz="4" w:space="0" w:color="auto"/>
            </w:tcBorders>
            <w:shd w:val="clear" w:color="000000" w:fill="FFFFFF"/>
            <w:vAlign w:val="center"/>
            <w:hideMark/>
          </w:tcPr>
          <w:p w14:paraId="20343F18" w14:textId="77777777" w:rsidR="00CB79AE" w:rsidRPr="00BA1C8E" w:rsidRDefault="00CB79AE" w:rsidP="00B77C0B">
            <w:pPr>
              <w:pStyle w:val="NoSpacing"/>
              <w:rPr>
                <w:rFonts w:ascii="Times New Roman" w:hAnsi="Times New Roman" w:cs="Times New Roman"/>
                <w:szCs w:val="24"/>
                <w:lang w:eastAsia="en-IN"/>
              </w:rPr>
            </w:pPr>
            <w:r w:rsidRPr="00BA1C8E">
              <w:rPr>
                <w:rFonts w:ascii="Times New Roman" w:hAnsi="Times New Roman" w:cs="Times New Roman"/>
                <w:szCs w:val="24"/>
                <w:lang w:eastAsia="en-IN"/>
              </w:rPr>
              <w:t>3.77</w:t>
            </w:r>
          </w:p>
        </w:tc>
        <w:tc>
          <w:tcPr>
            <w:tcW w:w="1341" w:type="dxa"/>
            <w:tcBorders>
              <w:top w:val="nil"/>
              <w:left w:val="nil"/>
              <w:bottom w:val="single" w:sz="4" w:space="0" w:color="auto"/>
              <w:right w:val="single" w:sz="4" w:space="0" w:color="auto"/>
            </w:tcBorders>
            <w:shd w:val="clear" w:color="000000" w:fill="FFFFFF"/>
            <w:vAlign w:val="center"/>
            <w:hideMark/>
          </w:tcPr>
          <w:p w14:paraId="0F654706" w14:textId="77777777" w:rsidR="00CB79AE" w:rsidRPr="00BA1C8E" w:rsidRDefault="00CB79AE" w:rsidP="00B77C0B">
            <w:pPr>
              <w:pStyle w:val="NoSpacing"/>
              <w:rPr>
                <w:rFonts w:ascii="Times New Roman" w:hAnsi="Times New Roman" w:cs="Times New Roman"/>
                <w:szCs w:val="24"/>
                <w:lang w:eastAsia="en-IN"/>
              </w:rPr>
            </w:pPr>
            <w:r w:rsidRPr="00BA1C8E">
              <w:rPr>
                <w:rFonts w:ascii="Times New Roman" w:hAnsi="Times New Roman" w:cs="Times New Roman"/>
                <w:szCs w:val="24"/>
                <w:lang w:eastAsia="en-IN"/>
              </w:rPr>
              <w:t>1.4</w:t>
            </w:r>
          </w:p>
        </w:tc>
        <w:tc>
          <w:tcPr>
            <w:tcW w:w="1381" w:type="dxa"/>
            <w:tcBorders>
              <w:top w:val="nil"/>
              <w:left w:val="nil"/>
              <w:bottom w:val="single" w:sz="4" w:space="0" w:color="auto"/>
              <w:right w:val="single" w:sz="4" w:space="0" w:color="auto"/>
            </w:tcBorders>
            <w:shd w:val="clear" w:color="000000" w:fill="FFFFFF"/>
            <w:vAlign w:val="center"/>
            <w:hideMark/>
          </w:tcPr>
          <w:p w14:paraId="3B6279B6" w14:textId="77777777" w:rsidR="00CB79AE" w:rsidRPr="00BA1C8E" w:rsidRDefault="00CB79AE" w:rsidP="00B77C0B">
            <w:pPr>
              <w:pStyle w:val="NoSpacing"/>
              <w:rPr>
                <w:rFonts w:ascii="Times New Roman" w:hAnsi="Times New Roman" w:cs="Times New Roman"/>
                <w:szCs w:val="24"/>
                <w:lang w:eastAsia="en-IN"/>
              </w:rPr>
            </w:pPr>
            <w:r w:rsidRPr="00BA1C8E">
              <w:rPr>
                <w:rFonts w:ascii="Times New Roman" w:hAnsi="Times New Roman" w:cs="Times New Roman"/>
                <w:szCs w:val="24"/>
                <w:lang w:eastAsia="en-IN"/>
              </w:rPr>
              <w:t>2.93</w:t>
            </w:r>
          </w:p>
        </w:tc>
        <w:tc>
          <w:tcPr>
            <w:tcW w:w="2201" w:type="dxa"/>
            <w:tcBorders>
              <w:top w:val="nil"/>
              <w:left w:val="nil"/>
              <w:bottom w:val="single" w:sz="4" w:space="0" w:color="auto"/>
              <w:right w:val="single" w:sz="4" w:space="0" w:color="auto"/>
            </w:tcBorders>
            <w:shd w:val="clear" w:color="000000" w:fill="FFFFFF"/>
            <w:vAlign w:val="center"/>
            <w:hideMark/>
          </w:tcPr>
          <w:p w14:paraId="4BE40E5D" w14:textId="77777777" w:rsidR="00CB79AE" w:rsidRPr="00BA1C8E" w:rsidRDefault="00CB79AE" w:rsidP="00B77C0B">
            <w:pPr>
              <w:pStyle w:val="NoSpacing"/>
              <w:rPr>
                <w:rFonts w:ascii="Times New Roman" w:hAnsi="Times New Roman" w:cs="Times New Roman"/>
                <w:szCs w:val="24"/>
                <w:lang w:eastAsia="en-IN"/>
              </w:rPr>
            </w:pPr>
            <w:r w:rsidRPr="00BA1C8E">
              <w:rPr>
                <w:rFonts w:ascii="Times New Roman" w:hAnsi="Times New Roman" w:cs="Times New Roman"/>
                <w:szCs w:val="24"/>
                <w:lang w:eastAsia="en-IN"/>
              </w:rPr>
              <w:t>N.A.</w:t>
            </w:r>
          </w:p>
        </w:tc>
        <w:tc>
          <w:tcPr>
            <w:tcW w:w="1302" w:type="dxa"/>
            <w:tcBorders>
              <w:top w:val="nil"/>
              <w:left w:val="nil"/>
              <w:bottom w:val="single" w:sz="4" w:space="0" w:color="auto"/>
              <w:right w:val="single" w:sz="4" w:space="0" w:color="auto"/>
            </w:tcBorders>
            <w:shd w:val="clear" w:color="000000" w:fill="FFFFFF"/>
            <w:vAlign w:val="center"/>
            <w:hideMark/>
          </w:tcPr>
          <w:p w14:paraId="0707D80F" w14:textId="77777777" w:rsidR="00CB79AE" w:rsidRPr="00BA1C8E" w:rsidRDefault="00CB79AE" w:rsidP="00B77C0B">
            <w:pPr>
              <w:pStyle w:val="NoSpacing"/>
              <w:rPr>
                <w:rFonts w:ascii="Times New Roman" w:hAnsi="Times New Roman" w:cs="Times New Roman"/>
                <w:szCs w:val="24"/>
                <w:lang w:eastAsia="en-IN"/>
              </w:rPr>
            </w:pPr>
            <w:r w:rsidRPr="00BA1C8E">
              <w:rPr>
                <w:rFonts w:ascii="Times New Roman" w:hAnsi="Times New Roman" w:cs="Times New Roman"/>
                <w:szCs w:val="24"/>
                <w:lang w:eastAsia="en-IN"/>
              </w:rPr>
              <w:t>N.A.</w:t>
            </w:r>
          </w:p>
        </w:tc>
        <w:tc>
          <w:tcPr>
            <w:tcW w:w="1274" w:type="dxa"/>
            <w:tcBorders>
              <w:top w:val="nil"/>
              <w:left w:val="nil"/>
              <w:bottom w:val="single" w:sz="4" w:space="0" w:color="auto"/>
              <w:right w:val="single" w:sz="4" w:space="0" w:color="auto"/>
            </w:tcBorders>
            <w:shd w:val="clear" w:color="000000" w:fill="FFFFFF"/>
            <w:vAlign w:val="center"/>
            <w:hideMark/>
          </w:tcPr>
          <w:p w14:paraId="52F87BDC" w14:textId="77777777" w:rsidR="00CB79AE" w:rsidRPr="00BA1C8E" w:rsidRDefault="00CB79AE" w:rsidP="00B77C0B">
            <w:pPr>
              <w:pStyle w:val="NoSpacing"/>
              <w:rPr>
                <w:rFonts w:ascii="Times New Roman" w:hAnsi="Times New Roman" w:cs="Times New Roman"/>
                <w:szCs w:val="24"/>
                <w:lang w:eastAsia="en-IN"/>
              </w:rPr>
            </w:pPr>
            <w:r w:rsidRPr="00BA1C8E">
              <w:rPr>
                <w:rFonts w:ascii="Times New Roman" w:hAnsi="Times New Roman" w:cs="Times New Roman"/>
                <w:szCs w:val="24"/>
                <w:lang w:eastAsia="en-IN"/>
              </w:rPr>
              <w:t>8.1</w:t>
            </w:r>
          </w:p>
        </w:tc>
      </w:tr>
      <w:tr w:rsidR="00CB79AE" w:rsidRPr="00BA1C8E" w14:paraId="2AC0947F" w14:textId="77777777" w:rsidTr="005A7AAF">
        <w:trPr>
          <w:trHeight w:val="20"/>
        </w:trPr>
        <w:tc>
          <w:tcPr>
            <w:tcW w:w="1920" w:type="dxa"/>
            <w:tcBorders>
              <w:top w:val="nil"/>
              <w:left w:val="single" w:sz="4" w:space="0" w:color="auto"/>
              <w:bottom w:val="single" w:sz="4" w:space="0" w:color="auto"/>
              <w:right w:val="single" w:sz="4" w:space="0" w:color="auto"/>
            </w:tcBorders>
            <w:shd w:val="clear" w:color="000000" w:fill="FFFFFF"/>
            <w:vAlign w:val="center"/>
            <w:hideMark/>
          </w:tcPr>
          <w:p w14:paraId="23CDF53F" w14:textId="77777777" w:rsidR="00CB79AE" w:rsidRPr="00BA1C8E" w:rsidRDefault="00CB79AE" w:rsidP="00B77C0B">
            <w:pPr>
              <w:pStyle w:val="NoSpacing"/>
              <w:rPr>
                <w:rFonts w:ascii="Times New Roman" w:hAnsi="Times New Roman" w:cs="Times New Roman"/>
                <w:szCs w:val="24"/>
                <w:lang w:eastAsia="en-IN"/>
              </w:rPr>
            </w:pPr>
            <w:r w:rsidRPr="00BA1C8E">
              <w:rPr>
                <w:rFonts w:ascii="Times New Roman" w:hAnsi="Times New Roman" w:cs="Times New Roman"/>
                <w:szCs w:val="24"/>
                <w:lang w:eastAsia="en-IN"/>
              </w:rPr>
              <w:t>Maharashtra</w:t>
            </w:r>
          </w:p>
        </w:tc>
        <w:tc>
          <w:tcPr>
            <w:tcW w:w="1619" w:type="dxa"/>
            <w:tcBorders>
              <w:top w:val="nil"/>
              <w:left w:val="nil"/>
              <w:bottom w:val="single" w:sz="4" w:space="0" w:color="auto"/>
              <w:right w:val="single" w:sz="4" w:space="0" w:color="auto"/>
            </w:tcBorders>
            <w:shd w:val="clear" w:color="000000" w:fill="FFFFFF"/>
            <w:vAlign w:val="center"/>
            <w:hideMark/>
          </w:tcPr>
          <w:p w14:paraId="2F46480E" w14:textId="77777777" w:rsidR="00CB79AE" w:rsidRPr="00BA1C8E" w:rsidRDefault="00CB79AE" w:rsidP="00B77C0B">
            <w:pPr>
              <w:pStyle w:val="NoSpacing"/>
              <w:rPr>
                <w:rFonts w:ascii="Times New Roman" w:hAnsi="Times New Roman" w:cs="Times New Roman"/>
                <w:szCs w:val="24"/>
                <w:lang w:eastAsia="en-IN"/>
              </w:rPr>
            </w:pPr>
            <w:r w:rsidRPr="00BA1C8E">
              <w:rPr>
                <w:rFonts w:ascii="Times New Roman" w:hAnsi="Times New Roman" w:cs="Times New Roman"/>
                <w:szCs w:val="24"/>
                <w:lang w:eastAsia="en-IN"/>
              </w:rPr>
              <w:t>31-03-1968</w:t>
            </w:r>
          </w:p>
        </w:tc>
        <w:tc>
          <w:tcPr>
            <w:tcW w:w="1527" w:type="dxa"/>
            <w:tcBorders>
              <w:top w:val="nil"/>
              <w:left w:val="nil"/>
              <w:bottom w:val="single" w:sz="4" w:space="0" w:color="auto"/>
              <w:right w:val="single" w:sz="4" w:space="0" w:color="auto"/>
            </w:tcBorders>
            <w:shd w:val="clear" w:color="000000" w:fill="FFFFFF"/>
            <w:vAlign w:val="center"/>
            <w:hideMark/>
          </w:tcPr>
          <w:p w14:paraId="36471694" w14:textId="77777777" w:rsidR="00CB79AE" w:rsidRPr="00BA1C8E" w:rsidRDefault="00CB79AE" w:rsidP="00B77C0B">
            <w:pPr>
              <w:pStyle w:val="NoSpacing"/>
              <w:rPr>
                <w:rFonts w:ascii="Times New Roman" w:hAnsi="Times New Roman" w:cs="Times New Roman"/>
                <w:szCs w:val="24"/>
                <w:lang w:eastAsia="en-IN"/>
              </w:rPr>
            </w:pPr>
            <w:r w:rsidRPr="00BA1C8E">
              <w:rPr>
                <w:rFonts w:ascii="Times New Roman" w:hAnsi="Times New Roman" w:cs="Times New Roman"/>
                <w:szCs w:val="24"/>
                <w:lang w:eastAsia="en-IN"/>
              </w:rPr>
              <w:t>0.43</w:t>
            </w:r>
          </w:p>
        </w:tc>
        <w:tc>
          <w:tcPr>
            <w:tcW w:w="1442" w:type="dxa"/>
            <w:tcBorders>
              <w:top w:val="nil"/>
              <w:left w:val="nil"/>
              <w:bottom w:val="single" w:sz="4" w:space="0" w:color="auto"/>
              <w:right w:val="single" w:sz="4" w:space="0" w:color="auto"/>
            </w:tcBorders>
            <w:shd w:val="clear" w:color="000000" w:fill="FFFFFF"/>
            <w:vAlign w:val="center"/>
            <w:hideMark/>
          </w:tcPr>
          <w:p w14:paraId="603A0F45" w14:textId="77777777" w:rsidR="00CB79AE" w:rsidRPr="00BA1C8E" w:rsidRDefault="00CB79AE" w:rsidP="00B77C0B">
            <w:pPr>
              <w:pStyle w:val="NoSpacing"/>
              <w:rPr>
                <w:rFonts w:ascii="Times New Roman" w:hAnsi="Times New Roman" w:cs="Times New Roman"/>
                <w:szCs w:val="24"/>
                <w:lang w:eastAsia="en-IN"/>
              </w:rPr>
            </w:pPr>
            <w:r w:rsidRPr="00BA1C8E">
              <w:rPr>
                <w:rFonts w:ascii="Times New Roman" w:hAnsi="Times New Roman" w:cs="Times New Roman"/>
                <w:szCs w:val="24"/>
                <w:lang w:eastAsia="en-IN"/>
              </w:rPr>
              <w:t>2.21</w:t>
            </w:r>
          </w:p>
        </w:tc>
        <w:tc>
          <w:tcPr>
            <w:tcW w:w="1341" w:type="dxa"/>
            <w:tcBorders>
              <w:top w:val="nil"/>
              <w:left w:val="nil"/>
              <w:bottom w:val="single" w:sz="4" w:space="0" w:color="auto"/>
              <w:right w:val="single" w:sz="4" w:space="0" w:color="auto"/>
            </w:tcBorders>
            <w:shd w:val="clear" w:color="000000" w:fill="FFFFFF"/>
            <w:vAlign w:val="center"/>
            <w:hideMark/>
          </w:tcPr>
          <w:p w14:paraId="2E68AC4C" w14:textId="77777777" w:rsidR="00CB79AE" w:rsidRPr="00BA1C8E" w:rsidRDefault="00CB79AE" w:rsidP="00B77C0B">
            <w:pPr>
              <w:pStyle w:val="NoSpacing"/>
              <w:rPr>
                <w:rFonts w:ascii="Times New Roman" w:hAnsi="Times New Roman" w:cs="Times New Roman"/>
                <w:szCs w:val="24"/>
                <w:lang w:eastAsia="en-IN"/>
              </w:rPr>
            </w:pPr>
            <w:r w:rsidRPr="00BA1C8E">
              <w:rPr>
                <w:rFonts w:ascii="Times New Roman" w:hAnsi="Times New Roman" w:cs="Times New Roman"/>
                <w:szCs w:val="24"/>
                <w:lang w:eastAsia="en-IN"/>
              </w:rPr>
              <w:t>N.A.</w:t>
            </w:r>
          </w:p>
        </w:tc>
        <w:tc>
          <w:tcPr>
            <w:tcW w:w="1381" w:type="dxa"/>
            <w:tcBorders>
              <w:top w:val="nil"/>
              <w:left w:val="nil"/>
              <w:bottom w:val="single" w:sz="4" w:space="0" w:color="auto"/>
              <w:right w:val="single" w:sz="4" w:space="0" w:color="auto"/>
            </w:tcBorders>
            <w:shd w:val="clear" w:color="000000" w:fill="FFFFFF"/>
            <w:vAlign w:val="center"/>
            <w:hideMark/>
          </w:tcPr>
          <w:p w14:paraId="00A6BE79" w14:textId="77777777" w:rsidR="00CB79AE" w:rsidRPr="00BA1C8E" w:rsidRDefault="00CB79AE" w:rsidP="00B77C0B">
            <w:pPr>
              <w:pStyle w:val="NoSpacing"/>
              <w:rPr>
                <w:rFonts w:ascii="Times New Roman" w:hAnsi="Times New Roman" w:cs="Times New Roman"/>
                <w:szCs w:val="24"/>
                <w:lang w:eastAsia="en-IN"/>
              </w:rPr>
            </w:pPr>
            <w:r w:rsidRPr="00BA1C8E">
              <w:rPr>
                <w:rFonts w:ascii="Times New Roman" w:hAnsi="Times New Roman" w:cs="Times New Roman"/>
                <w:szCs w:val="24"/>
                <w:lang w:eastAsia="en-IN"/>
              </w:rPr>
              <w:t>14.22</w:t>
            </w:r>
          </w:p>
        </w:tc>
        <w:tc>
          <w:tcPr>
            <w:tcW w:w="2201" w:type="dxa"/>
            <w:tcBorders>
              <w:top w:val="nil"/>
              <w:left w:val="nil"/>
              <w:bottom w:val="single" w:sz="4" w:space="0" w:color="auto"/>
              <w:right w:val="single" w:sz="4" w:space="0" w:color="auto"/>
            </w:tcBorders>
            <w:shd w:val="clear" w:color="000000" w:fill="FFFFFF"/>
            <w:vAlign w:val="center"/>
            <w:hideMark/>
          </w:tcPr>
          <w:p w14:paraId="17E5D9CA" w14:textId="77777777" w:rsidR="00CB79AE" w:rsidRPr="00BA1C8E" w:rsidRDefault="00CB79AE" w:rsidP="00B77C0B">
            <w:pPr>
              <w:pStyle w:val="NoSpacing"/>
              <w:rPr>
                <w:rFonts w:ascii="Times New Roman" w:hAnsi="Times New Roman" w:cs="Times New Roman"/>
                <w:szCs w:val="24"/>
                <w:lang w:eastAsia="en-IN"/>
              </w:rPr>
            </w:pPr>
            <w:r w:rsidRPr="00BA1C8E">
              <w:rPr>
                <w:rFonts w:ascii="Times New Roman" w:hAnsi="Times New Roman" w:cs="Times New Roman"/>
                <w:szCs w:val="24"/>
                <w:lang w:eastAsia="en-IN"/>
              </w:rPr>
              <w:t>N.A.</w:t>
            </w:r>
          </w:p>
        </w:tc>
        <w:tc>
          <w:tcPr>
            <w:tcW w:w="1302" w:type="dxa"/>
            <w:tcBorders>
              <w:top w:val="nil"/>
              <w:left w:val="nil"/>
              <w:bottom w:val="single" w:sz="4" w:space="0" w:color="auto"/>
              <w:right w:val="single" w:sz="4" w:space="0" w:color="auto"/>
            </w:tcBorders>
            <w:shd w:val="clear" w:color="000000" w:fill="FFFFFF"/>
            <w:vAlign w:val="center"/>
            <w:hideMark/>
          </w:tcPr>
          <w:p w14:paraId="67E0C5D7" w14:textId="77777777" w:rsidR="00CB79AE" w:rsidRPr="00BA1C8E" w:rsidRDefault="00CB79AE" w:rsidP="00B77C0B">
            <w:pPr>
              <w:pStyle w:val="NoSpacing"/>
              <w:rPr>
                <w:rFonts w:ascii="Times New Roman" w:hAnsi="Times New Roman" w:cs="Times New Roman"/>
                <w:szCs w:val="24"/>
                <w:lang w:eastAsia="en-IN"/>
              </w:rPr>
            </w:pPr>
            <w:r w:rsidRPr="00BA1C8E">
              <w:rPr>
                <w:rFonts w:ascii="Times New Roman" w:hAnsi="Times New Roman" w:cs="Times New Roman"/>
                <w:szCs w:val="24"/>
                <w:lang w:eastAsia="en-IN"/>
              </w:rPr>
              <w:t>0.99(d)</w:t>
            </w:r>
          </w:p>
        </w:tc>
        <w:tc>
          <w:tcPr>
            <w:tcW w:w="1274" w:type="dxa"/>
            <w:tcBorders>
              <w:top w:val="nil"/>
              <w:left w:val="nil"/>
              <w:bottom w:val="single" w:sz="4" w:space="0" w:color="auto"/>
              <w:right w:val="single" w:sz="4" w:space="0" w:color="auto"/>
            </w:tcBorders>
            <w:shd w:val="clear" w:color="000000" w:fill="FFFFFF"/>
            <w:vAlign w:val="center"/>
            <w:hideMark/>
          </w:tcPr>
          <w:p w14:paraId="3512BBEF" w14:textId="77777777" w:rsidR="00CB79AE" w:rsidRPr="00BA1C8E" w:rsidRDefault="00CB79AE" w:rsidP="00B77C0B">
            <w:pPr>
              <w:pStyle w:val="NoSpacing"/>
              <w:rPr>
                <w:rFonts w:ascii="Times New Roman" w:hAnsi="Times New Roman" w:cs="Times New Roman"/>
                <w:szCs w:val="24"/>
                <w:lang w:eastAsia="en-IN"/>
              </w:rPr>
            </w:pPr>
            <w:r w:rsidRPr="00BA1C8E">
              <w:rPr>
                <w:rFonts w:ascii="Times New Roman" w:hAnsi="Times New Roman" w:cs="Times New Roman"/>
                <w:szCs w:val="24"/>
                <w:lang w:eastAsia="en-IN"/>
              </w:rPr>
              <w:t>17.85</w:t>
            </w:r>
          </w:p>
        </w:tc>
      </w:tr>
      <w:tr w:rsidR="00CB79AE" w:rsidRPr="00BA1C8E" w14:paraId="57DE1C07" w14:textId="77777777" w:rsidTr="005A7AAF">
        <w:trPr>
          <w:trHeight w:val="20"/>
        </w:trPr>
        <w:tc>
          <w:tcPr>
            <w:tcW w:w="1920" w:type="dxa"/>
            <w:tcBorders>
              <w:top w:val="nil"/>
              <w:left w:val="single" w:sz="4" w:space="0" w:color="auto"/>
              <w:bottom w:val="single" w:sz="4" w:space="0" w:color="auto"/>
              <w:right w:val="single" w:sz="4" w:space="0" w:color="auto"/>
            </w:tcBorders>
            <w:shd w:val="clear" w:color="000000" w:fill="FFFFFF"/>
            <w:vAlign w:val="center"/>
            <w:hideMark/>
          </w:tcPr>
          <w:p w14:paraId="390D895B" w14:textId="77777777" w:rsidR="00CB79AE" w:rsidRPr="00BA1C8E" w:rsidRDefault="00CB79AE" w:rsidP="00B77C0B">
            <w:pPr>
              <w:pStyle w:val="NoSpacing"/>
              <w:rPr>
                <w:rFonts w:ascii="Times New Roman" w:hAnsi="Times New Roman" w:cs="Times New Roman"/>
                <w:szCs w:val="24"/>
                <w:lang w:eastAsia="en-IN"/>
              </w:rPr>
            </w:pPr>
            <w:r w:rsidRPr="00BA1C8E">
              <w:rPr>
                <w:rFonts w:ascii="Times New Roman" w:hAnsi="Times New Roman" w:cs="Times New Roman"/>
                <w:szCs w:val="24"/>
                <w:lang w:eastAsia="en-IN"/>
              </w:rPr>
              <w:t>Mysore</w:t>
            </w:r>
          </w:p>
        </w:tc>
        <w:tc>
          <w:tcPr>
            <w:tcW w:w="1619" w:type="dxa"/>
            <w:tcBorders>
              <w:top w:val="nil"/>
              <w:left w:val="nil"/>
              <w:bottom w:val="single" w:sz="4" w:space="0" w:color="auto"/>
              <w:right w:val="single" w:sz="4" w:space="0" w:color="auto"/>
            </w:tcBorders>
            <w:shd w:val="clear" w:color="000000" w:fill="FFFFFF"/>
            <w:vAlign w:val="center"/>
            <w:hideMark/>
          </w:tcPr>
          <w:p w14:paraId="575B2AE5" w14:textId="77777777" w:rsidR="00CB79AE" w:rsidRPr="00BA1C8E" w:rsidRDefault="00CB79AE" w:rsidP="00B77C0B">
            <w:pPr>
              <w:pStyle w:val="NoSpacing"/>
              <w:rPr>
                <w:rFonts w:ascii="Times New Roman" w:hAnsi="Times New Roman" w:cs="Times New Roman"/>
                <w:szCs w:val="24"/>
                <w:lang w:eastAsia="en-IN"/>
              </w:rPr>
            </w:pPr>
            <w:r w:rsidRPr="00BA1C8E">
              <w:rPr>
                <w:rFonts w:ascii="Times New Roman" w:hAnsi="Times New Roman" w:cs="Times New Roman"/>
                <w:szCs w:val="24"/>
                <w:lang w:eastAsia="en-IN"/>
              </w:rPr>
              <w:t>31-03-1968</w:t>
            </w:r>
          </w:p>
        </w:tc>
        <w:tc>
          <w:tcPr>
            <w:tcW w:w="1527" w:type="dxa"/>
            <w:tcBorders>
              <w:top w:val="nil"/>
              <w:left w:val="nil"/>
              <w:bottom w:val="single" w:sz="4" w:space="0" w:color="auto"/>
              <w:right w:val="single" w:sz="4" w:space="0" w:color="auto"/>
            </w:tcBorders>
            <w:shd w:val="clear" w:color="000000" w:fill="FFFFFF"/>
            <w:vAlign w:val="center"/>
            <w:hideMark/>
          </w:tcPr>
          <w:p w14:paraId="5F896DEE" w14:textId="77777777" w:rsidR="00CB79AE" w:rsidRPr="00BA1C8E" w:rsidRDefault="00CB79AE" w:rsidP="00B77C0B">
            <w:pPr>
              <w:pStyle w:val="NoSpacing"/>
              <w:rPr>
                <w:rFonts w:ascii="Times New Roman" w:hAnsi="Times New Roman" w:cs="Times New Roman"/>
                <w:szCs w:val="24"/>
                <w:lang w:eastAsia="en-IN"/>
              </w:rPr>
            </w:pPr>
            <w:r w:rsidRPr="00BA1C8E">
              <w:rPr>
                <w:rFonts w:ascii="Times New Roman" w:hAnsi="Times New Roman" w:cs="Times New Roman"/>
                <w:szCs w:val="24"/>
                <w:lang w:eastAsia="en-IN"/>
              </w:rPr>
              <w:t>N.A.</w:t>
            </w:r>
          </w:p>
        </w:tc>
        <w:tc>
          <w:tcPr>
            <w:tcW w:w="1442" w:type="dxa"/>
            <w:tcBorders>
              <w:top w:val="nil"/>
              <w:left w:val="nil"/>
              <w:bottom w:val="single" w:sz="4" w:space="0" w:color="auto"/>
              <w:right w:val="single" w:sz="4" w:space="0" w:color="auto"/>
            </w:tcBorders>
            <w:shd w:val="clear" w:color="000000" w:fill="FFFFFF"/>
            <w:vAlign w:val="center"/>
            <w:hideMark/>
          </w:tcPr>
          <w:p w14:paraId="364B1C07" w14:textId="77777777" w:rsidR="00CB79AE" w:rsidRPr="00BA1C8E" w:rsidRDefault="00CB79AE" w:rsidP="00B77C0B">
            <w:pPr>
              <w:pStyle w:val="NoSpacing"/>
              <w:rPr>
                <w:rFonts w:ascii="Times New Roman" w:hAnsi="Times New Roman" w:cs="Times New Roman"/>
                <w:szCs w:val="24"/>
                <w:lang w:eastAsia="en-IN"/>
              </w:rPr>
            </w:pPr>
            <w:r w:rsidRPr="00BA1C8E">
              <w:rPr>
                <w:rFonts w:ascii="Times New Roman" w:hAnsi="Times New Roman" w:cs="Times New Roman"/>
                <w:szCs w:val="24"/>
                <w:lang w:eastAsia="en-IN"/>
              </w:rPr>
              <w:t>8.18</w:t>
            </w:r>
          </w:p>
        </w:tc>
        <w:tc>
          <w:tcPr>
            <w:tcW w:w="1341" w:type="dxa"/>
            <w:tcBorders>
              <w:top w:val="nil"/>
              <w:left w:val="nil"/>
              <w:bottom w:val="single" w:sz="4" w:space="0" w:color="auto"/>
              <w:right w:val="single" w:sz="4" w:space="0" w:color="auto"/>
            </w:tcBorders>
            <w:shd w:val="clear" w:color="000000" w:fill="FFFFFF"/>
            <w:vAlign w:val="center"/>
            <w:hideMark/>
          </w:tcPr>
          <w:p w14:paraId="7A7F06D7" w14:textId="77777777" w:rsidR="00CB79AE" w:rsidRPr="00BA1C8E" w:rsidRDefault="00CB79AE" w:rsidP="00B77C0B">
            <w:pPr>
              <w:pStyle w:val="NoSpacing"/>
              <w:rPr>
                <w:rFonts w:ascii="Times New Roman" w:hAnsi="Times New Roman" w:cs="Times New Roman"/>
                <w:szCs w:val="24"/>
                <w:lang w:eastAsia="en-IN"/>
              </w:rPr>
            </w:pPr>
            <w:r w:rsidRPr="00BA1C8E">
              <w:rPr>
                <w:rFonts w:ascii="Times New Roman" w:hAnsi="Times New Roman" w:cs="Times New Roman"/>
                <w:szCs w:val="24"/>
                <w:lang w:eastAsia="en-IN"/>
              </w:rPr>
              <w:t>0.54</w:t>
            </w:r>
          </w:p>
        </w:tc>
        <w:tc>
          <w:tcPr>
            <w:tcW w:w="1381" w:type="dxa"/>
            <w:tcBorders>
              <w:top w:val="nil"/>
              <w:left w:val="nil"/>
              <w:bottom w:val="single" w:sz="4" w:space="0" w:color="auto"/>
              <w:right w:val="single" w:sz="4" w:space="0" w:color="auto"/>
            </w:tcBorders>
            <w:shd w:val="clear" w:color="000000" w:fill="FFFFFF"/>
            <w:vAlign w:val="center"/>
            <w:hideMark/>
          </w:tcPr>
          <w:p w14:paraId="76365F30" w14:textId="77777777" w:rsidR="00CB79AE" w:rsidRPr="00BA1C8E" w:rsidRDefault="00CB79AE" w:rsidP="00B77C0B">
            <w:pPr>
              <w:pStyle w:val="NoSpacing"/>
              <w:rPr>
                <w:rFonts w:ascii="Times New Roman" w:hAnsi="Times New Roman" w:cs="Times New Roman"/>
                <w:szCs w:val="24"/>
                <w:lang w:eastAsia="en-IN"/>
              </w:rPr>
            </w:pPr>
            <w:r w:rsidRPr="00BA1C8E">
              <w:rPr>
                <w:rFonts w:ascii="Times New Roman" w:hAnsi="Times New Roman" w:cs="Times New Roman"/>
                <w:szCs w:val="24"/>
                <w:lang w:eastAsia="en-IN"/>
              </w:rPr>
              <w:t>4.13</w:t>
            </w:r>
          </w:p>
        </w:tc>
        <w:tc>
          <w:tcPr>
            <w:tcW w:w="2201" w:type="dxa"/>
            <w:tcBorders>
              <w:top w:val="nil"/>
              <w:left w:val="nil"/>
              <w:bottom w:val="single" w:sz="4" w:space="0" w:color="auto"/>
              <w:right w:val="single" w:sz="4" w:space="0" w:color="auto"/>
            </w:tcBorders>
            <w:shd w:val="clear" w:color="000000" w:fill="FFFFFF"/>
            <w:vAlign w:val="center"/>
            <w:hideMark/>
          </w:tcPr>
          <w:p w14:paraId="1EEEA2A9" w14:textId="77777777" w:rsidR="00CB79AE" w:rsidRPr="00BA1C8E" w:rsidRDefault="00CB79AE" w:rsidP="00B77C0B">
            <w:pPr>
              <w:pStyle w:val="NoSpacing"/>
              <w:rPr>
                <w:rFonts w:ascii="Times New Roman" w:hAnsi="Times New Roman" w:cs="Times New Roman"/>
                <w:szCs w:val="24"/>
                <w:lang w:eastAsia="en-IN"/>
              </w:rPr>
            </w:pPr>
            <w:r w:rsidRPr="00BA1C8E">
              <w:rPr>
                <w:rFonts w:ascii="Times New Roman" w:hAnsi="Times New Roman" w:cs="Times New Roman"/>
                <w:szCs w:val="24"/>
                <w:lang w:eastAsia="en-IN"/>
              </w:rPr>
              <w:t>0.03</w:t>
            </w:r>
          </w:p>
        </w:tc>
        <w:tc>
          <w:tcPr>
            <w:tcW w:w="1302" w:type="dxa"/>
            <w:tcBorders>
              <w:top w:val="nil"/>
              <w:left w:val="nil"/>
              <w:bottom w:val="single" w:sz="4" w:space="0" w:color="auto"/>
              <w:right w:val="single" w:sz="4" w:space="0" w:color="auto"/>
            </w:tcBorders>
            <w:shd w:val="clear" w:color="000000" w:fill="FFFFFF"/>
            <w:vAlign w:val="center"/>
            <w:hideMark/>
          </w:tcPr>
          <w:p w14:paraId="43E2E85D" w14:textId="77777777" w:rsidR="00CB79AE" w:rsidRPr="00BA1C8E" w:rsidRDefault="00CB79AE" w:rsidP="00B77C0B">
            <w:pPr>
              <w:pStyle w:val="NoSpacing"/>
              <w:rPr>
                <w:rFonts w:ascii="Times New Roman" w:hAnsi="Times New Roman" w:cs="Times New Roman"/>
                <w:szCs w:val="24"/>
                <w:lang w:eastAsia="en-IN"/>
              </w:rPr>
            </w:pPr>
            <w:r w:rsidRPr="00BA1C8E">
              <w:rPr>
                <w:rFonts w:ascii="Times New Roman" w:hAnsi="Times New Roman" w:cs="Times New Roman"/>
                <w:szCs w:val="24"/>
                <w:lang w:eastAsia="en-IN"/>
              </w:rPr>
              <w:t>N.A.</w:t>
            </w:r>
          </w:p>
        </w:tc>
        <w:tc>
          <w:tcPr>
            <w:tcW w:w="1274" w:type="dxa"/>
            <w:tcBorders>
              <w:top w:val="nil"/>
              <w:left w:val="nil"/>
              <w:bottom w:val="single" w:sz="4" w:space="0" w:color="auto"/>
              <w:right w:val="single" w:sz="4" w:space="0" w:color="auto"/>
            </w:tcBorders>
            <w:shd w:val="clear" w:color="000000" w:fill="FFFFFF"/>
            <w:vAlign w:val="center"/>
            <w:hideMark/>
          </w:tcPr>
          <w:p w14:paraId="72F90FC0" w14:textId="77777777" w:rsidR="00CB79AE" w:rsidRPr="00BA1C8E" w:rsidRDefault="00CB79AE" w:rsidP="00B77C0B">
            <w:pPr>
              <w:pStyle w:val="NoSpacing"/>
              <w:rPr>
                <w:rFonts w:ascii="Times New Roman" w:hAnsi="Times New Roman" w:cs="Times New Roman"/>
                <w:szCs w:val="24"/>
                <w:lang w:eastAsia="en-IN"/>
              </w:rPr>
            </w:pPr>
            <w:r w:rsidRPr="00BA1C8E">
              <w:rPr>
                <w:rFonts w:ascii="Times New Roman" w:hAnsi="Times New Roman" w:cs="Times New Roman"/>
                <w:szCs w:val="24"/>
                <w:lang w:eastAsia="en-IN"/>
              </w:rPr>
              <w:t>12.88</w:t>
            </w:r>
          </w:p>
        </w:tc>
      </w:tr>
      <w:tr w:rsidR="00CB79AE" w:rsidRPr="00BA1C8E" w14:paraId="14C97041" w14:textId="77777777" w:rsidTr="005A7AAF">
        <w:trPr>
          <w:trHeight w:val="20"/>
        </w:trPr>
        <w:tc>
          <w:tcPr>
            <w:tcW w:w="1920" w:type="dxa"/>
            <w:tcBorders>
              <w:top w:val="nil"/>
              <w:left w:val="single" w:sz="4" w:space="0" w:color="auto"/>
              <w:bottom w:val="single" w:sz="4" w:space="0" w:color="auto"/>
              <w:right w:val="single" w:sz="4" w:space="0" w:color="auto"/>
            </w:tcBorders>
            <w:shd w:val="clear" w:color="000000" w:fill="FFFFFF"/>
            <w:vAlign w:val="center"/>
            <w:hideMark/>
          </w:tcPr>
          <w:p w14:paraId="7EE62C4E" w14:textId="77777777" w:rsidR="00CB79AE" w:rsidRPr="00BA1C8E" w:rsidRDefault="00CB79AE" w:rsidP="00B77C0B">
            <w:pPr>
              <w:pStyle w:val="NoSpacing"/>
              <w:rPr>
                <w:rFonts w:ascii="Times New Roman" w:hAnsi="Times New Roman" w:cs="Times New Roman"/>
                <w:szCs w:val="24"/>
                <w:lang w:eastAsia="en-IN"/>
              </w:rPr>
            </w:pPr>
            <w:r w:rsidRPr="00BA1C8E">
              <w:rPr>
                <w:rFonts w:ascii="Times New Roman" w:hAnsi="Times New Roman" w:cs="Times New Roman"/>
                <w:szCs w:val="24"/>
                <w:lang w:eastAsia="en-IN"/>
              </w:rPr>
              <w:t>Orissa</w:t>
            </w:r>
          </w:p>
        </w:tc>
        <w:tc>
          <w:tcPr>
            <w:tcW w:w="1619" w:type="dxa"/>
            <w:tcBorders>
              <w:top w:val="nil"/>
              <w:left w:val="nil"/>
              <w:bottom w:val="single" w:sz="4" w:space="0" w:color="auto"/>
              <w:right w:val="single" w:sz="4" w:space="0" w:color="auto"/>
            </w:tcBorders>
            <w:shd w:val="clear" w:color="000000" w:fill="FFFFFF"/>
            <w:vAlign w:val="center"/>
            <w:hideMark/>
          </w:tcPr>
          <w:p w14:paraId="5F3E9E86" w14:textId="77777777" w:rsidR="00CB79AE" w:rsidRPr="00BA1C8E" w:rsidRDefault="00CB79AE" w:rsidP="00B77C0B">
            <w:pPr>
              <w:pStyle w:val="NoSpacing"/>
              <w:rPr>
                <w:rFonts w:ascii="Times New Roman" w:hAnsi="Times New Roman" w:cs="Times New Roman"/>
                <w:szCs w:val="24"/>
                <w:lang w:eastAsia="en-IN"/>
              </w:rPr>
            </w:pPr>
            <w:r w:rsidRPr="00BA1C8E">
              <w:rPr>
                <w:rFonts w:ascii="Times New Roman" w:hAnsi="Times New Roman" w:cs="Times New Roman"/>
                <w:szCs w:val="24"/>
                <w:lang w:eastAsia="en-IN"/>
              </w:rPr>
              <w:t>31-03-1968</w:t>
            </w:r>
          </w:p>
        </w:tc>
        <w:tc>
          <w:tcPr>
            <w:tcW w:w="1527" w:type="dxa"/>
            <w:tcBorders>
              <w:top w:val="nil"/>
              <w:left w:val="nil"/>
              <w:bottom w:val="single" w:sz="4" w:space="0" w:color="auto"/>
              <w:right w:val="single" w:sz="4" w:space="0" w:color="auto"/>
            </w:tcBorders>
            <w:shd w:val="clear" w:color="000000" w:fill="FFFFFF"/>
            <w:vAlign w:val="center"/>
            <w:hideMark/>
          </w:tcPr>
          <w:p w14:paraId="005473FE" w14:textId="77777777" w:rsidR="00CB79AE" w:rsidRPr="00BA1C8E" w:rsidRDefault="00CB79AE" w:rsidP="00B77C0B">
            <w:pPr>
              <w:pStyle w:val="NoSpacing"/>
              <w:rPr>
                <w:rFonts w:ascii="Times New Roman" w:hAnsi="Times New Roman" w:cs="Times New Roman"/>
                <w:szCs w:val="24"/>
                <w:lang w:eastAsia="en-IN"/>
              </w:rPr>
            </w:pPr>
            <w:r w:rsidRPr="00BA1C8E">
              <w:rPr>
                <w:rFonts w:ascii="Times New Roman" w:hAnsi="Times New Roman" w:cs="Times New Roman"/>
                <w:szCs w:val="24"/>
                <w:lang w:eastAsia="en-IN"/>
              </w:rPr>
              <w:t>N.A.</w:t>
            </w:r>
          </w:p>
        </w:tc>
        <w:tc>
          <w:tcPr>
            <w:tcW w:w="1442" w:type="dxa"/>
            <w:tcBorders>
              <w:top w:val="nil"/>
              <w:left w:val="nil"/>
              <w:bottom w:val="single" w:sz="4" w:space="0" w:color="auto"/>
              <w:right w:val="single" w:sz="4" w:space="0" w:color="auto"/>
            </w:tcBorders>
            <w:shd w:val="clear" w:color="000000" w:fill="FFFFFF"/>
            <w:vAlign w:val="center"/>
            <w:hideMark/>
          </w:tcPr>
          <w:p w14:paraId="42F28DAC" w14:textId="77777777" w:rsidR="00CB79AE" w:rsidRPr="00BA1C8E" w:rsidRDefault="00CB79AE" w:rsidP="00B77C0B">
            <w:pPr>
              <w:pStyle w:val="NoSpacing"/>
              <w:rPr>
                <w:rFonts w:ascii="Times New Roman" w:hAnsi="Times New Roman" w:cs="Times New Roman"/>
                <w:szCs w:val="24"/>
                <w:lang w:eastAsia="en-IN"/>
              </w:rPr>
            </w:pPr>
            <w:r w:rsidRPr="00BA1C8E">
              <w:rPr>
                <w:rFonts w:ascii="Times New Roman" w:hAnsi="Times New Roman" w:cs="Times New Roman"/>
                <w:szCs w:val="24"/>
                <w:lang w:eastAsia="en-IN"/>
              </w:rPr>
              <w:t>1.42</w:t>
            </w:r>
          </w:p>
        </w:tc>
        <w:tc>
          <w:tcPr>
            <w:tcW w:w="1341" w:type="dxa"/>
            <w:tcBorders>
              <w:top w:val="nil"/>
              <w:left w:val="nil"/>
              <w:bottom w:val="single" w:sz="4" w:space="0" w:color="auto"/>
              <w:right w:val="single" w:sz="4" w:space="0" w:color="auto"/>
            </w:tcBorders>
            <w:shd w:val="clear" w:color="000000" w:fill="FFFFFF"/>
            <w:vAlign w:val="center"/>
            <w:hideMark/>
          </w:tcPr>
          <w:p w14:paraId="6E31D461" w14:textId="77777777" w:rsidR="00CB79AE" w:rsidRPr="00BA1C8E" w:rsidRDefault="00CB79AE" w:rsidP="00B77C0B">
            <w:pPr>
              <w:pStyle w:val="NoSpacing"/>
              <w:rPr>
                <w:rFonts w:ascii="Times New Roman" w:hAnsi="Times New Roman" w:cs="Times New Roman"/>
                <w:szCs w:val="24"/>
                <w:lang w:eastAsia="en-IN"/>
              </w:rPr>
            </w:pPr>
            <w:r w:rsidRPr="00BA1C8E">
              <w:rPr>
                <w:rFonts w:ascii="Times New Roman" w:hAnsi="Times New Roman" w:cs="Times New Roman"/>
                <w:szCs w:val="24"/>
                <w:lang w:eastAsia="en-IN"/>
              </w:rPr>
              <w:t>0.08</w:t>
            </w:r>
          </w:p>
        </w:tc>
        <w:tc>
          <w:tcPr>
            <w:tcW w:w="1381" w:type="dxa"/>
            <w:tcBorders>
              <w:top w:val="nil"/>
              <w:left w:val="nil"/>
              <w:bottom w:val="single" w:sz="4" w:space="0" w:color="auto"/>
              <w:right w:val="single" w:sz="4" w:space="0" w:color="auto"/>
            </w:tcBorders>
            <w:shd w:val="clear" w:color="000000" w:fill="FFFFFF"/>
            <w:vAlign w:val="center"/>
            <w:hideMark/>
          </w:tcPr>
          <w:p w14:paraId="08AD6DC0" w14:textId="77777777" w:rsidR="00CB79AE" w:rsidRPr="00BA1C8E" w:rsidRDefault="00CB79AE" w:rsidP="00B77C0B">
            <w:pPr>
              <w:pStyle w:val="NoSpacing"/>
              <w:rPr>
                <w:rFonts w:ascii="Times New Roman" w:hAnsi="Times New Roman" w:cs="Times New Roman"/>
                <w:szCs w:val="24"/>
                <w:lang w:eastAsia="en-IN"/>
              </w:rPr>
            </w:pPr>
            <w:r w:rsidRPr="00BA1C8E">
              <w:rPr>
                <w:rFonts w:ascii="Times New Roman" w:hAnsi="Times New Roman" w:cs="Times New Roman"/>
                <w:szCs w:val="24"/>
                <w:lang w:eastAsia="en-IN"/>
              </w:rPr>
              <w:t>3.16</w:t>
            </w:r>
          </w:p>
        </w:tc>
        <w:tc>
          <w:tcPr>
            <w:tcW w:w="2201" w:type="dxa"/>
            <w:tcBorders>
              <w:top w:val="nil"/>
              <w:left w:val="nil"/>
              <w:bottom w:val="single" w:sz="4" w:space="0" w:color="auto"/>
              <w:right w:val="single" w:sz="4" w:space="0" w:color="auto"/>
            </w:tcBorders>
            <w:shd w:val="clear" w:color="000000" w:fill="FFFFFF"/>
            <w:vAlign w:val="center"/>
            <w:hideMark/>
          </w:tcPr>
          <w:p w14:paraId="0058106F" w14:textId="77777777" w:rsidR="00CB79AE" w:rsidRPr="00BA1C8E" w:rsidRDefault="00CB79AE" w:rsidP="00B77C0B">
            <w:pPr>
              <w:pStyle w:val="NoSpacing"/>
              <w:rPr>
                <w:rFonts w:ascii="Times New Roman" w:hAnsi="Times New Roman" w:cs="Times New Roman"/>
                <w:szCs w:val="24"/>
                <w:lang w:eastAsia="en-IN"/>
              </w:rPr>
            </w:pPr>
            <w:r w:rsidRPr="00BA1C8E">
              <w:rPr>
                <w:rFonts w:ascii="Times New Roman" w:hAnsi="Times New Roman" w:cs="Times New Roman"/>
                <w:szCs w:val="24"/>
                <w:lang w:eastAsia="en-IN"/>
              </w:rPr>
              <w:t>N.A.</w:t>
            </w:r>
          </w:p>
        </w:tc>
        <w:tc>
          <w:tcPr>
            <w:tcW w:w="1302" w:type="dxa"/>
            <w:tcBorders>
              <w:top w:val="nil"/>
              <w:left w:val="nil"/>
              <w:bottom w:val="single" w:sz="4" w:space="0" w:color="auto"/>
              <w:right w:val="single" w:sz="4" w:space="0" w:color="auto"/>
            </w:tcBorders>
            <w:shd w:val="clear" w:color="000000" w:fill="FFFFFF"/>
            <w:vAlign w:val="center"/>
            <w:hideMark/>
          </w:tcPr>
          <w:p w14:paraId="4D7B0FD8" w14:textId="77777777" w:rsidR="00CB79AE" w:rsidRPr="00BA1C8E" w:rsidRDefault="00CB79AE" w:rsidP="00B77C0B">
            <w:pPr>
              <w:pStyle w:val="NoSpacing"/>
              <w:rPr>
                <w:rFonts w:ascii="Times New Roman" w:hAnsi="Times New Roman" w:cs="Times New Roman"/>
                <w:szCs w:val="24"/>
                <w:lang w:eastAsia="en-IN"/>
              </w:rPr>
            </w:pPr>
            <w:r w:rsidRPr="00BA1C8E">
              <w:rPr>
                <w:rFonts w:ascii="Times New Roman" w:hAnsi="Times New Roman" w:cs="Times New Roman"/>
                <w:szCs w:val="24"/>
                <w:lang w:eastAsia="en-IN"/>
              </w:rPr>
              <w:t>N.A.</w:t>
            </w:r>
          </w:p>
        </w:tc>
        <w:tc>
          <w:tcPr>
            <w:tcW w:w="1274" w:type="dxa"/>
            <w:tcBorders>
              <w:top w:val="nil"/>
              <w:left w:val="nil"/>
              <w:bottom w:val="single" w:sz="4" w:space="0" w:color="auto"/>
              <w:right w:val="single" w:sz="4" w:space="0" w:color="auto"/>
            </w:tcBorders>
            <w:shd w:val="clear" w:color="000000" w:fill="FFFFFF"/>
            <w:vAlign w:val="center"/>
            <w:hideMark/>
          </w:tcPr>
          <w:p w14:paraId="051BC10B" w14:textId="77777777" w:rsidR="00CB79AE" w:rsidRPr="00BA1C8E" w:rsidRDefault="00CB79AE" w:rsidP="00B77C0B">
            <w:pPr>
              <w:pStyle w:val="NoSpacing"/>
              <w:rPr>
                <w:rFonts w:ascii="Times New Roman" w:hAnsi="Times New Roman" w:cs="Times New Roman"/>
                <w:szCs w:val="24"/>
                <w:lang w:eastAsia="en-IN"/>
              </w:rPr>
            </w:pPr>
            <w:r w:rsidRPr="00BA1C8E">
              <w:rPr>
                <w:rFonts w:ascii="Times New Roman" w:hAnsi="Times New Roman" w:cs="Times New Roman"/>
                <w:szCs w:val="24"/>
                <w:lang w:eastAsia="en-IN"/>
              </w:rPr>
              <w:t>4.66</w:t>
            </w:r>
          </w:p>
        </w:tc>
      </w:tr>
      <w:tr w:rsidR="00CB79AE" w:rsidRPr="00BA1C8E" w14:paraId="2E325763" w14:textId="77777777" w:rsidTr="005A7AAF">
        <w:trPr>
          <w:trHeight w:val="20"/>
        </w:trPr>
        <w:tc>
          <w:tcPr>
            <w:tcW w:w="1920" w:type="dxa"/>
            <w:tcBorders>
              <w:top w:val="nil"/>
              <w:left w:val="single" w:sz="4" w:space="0" w:color="auto"/>
              <w:bottom w:val="single" w:sz="4" w:space="0" w:color="auto"/>
              <w:right w:val="single" w:sz="4" w:space="0" w:color="auto"/>
            </w:tcBorders>
            <w:shd w:val="clear" w:color="000000" w:fill="FFFFFF"/>
            <w:vAlign w:val="center"/>
            <w:hideMark/>
          </w:tcPr>
          <w:p w14:paraId="0EE43C5E" w14:textId="77777777" w:rsidR="00CB79AE" w:rsidRPr="00BA1C8E" w:rsidRDefault="00CB79AE" w:rsidP="00B77C0B">
            <w:pPr>
              <w:pStyle w:val="NoSpacing"/>
              <w:rPr>
                <w:rFonts w:ascii="Times New Roman" w:hAnsi="Times New Roman" w:cs="Times New Roman"/>
                <w:szCs w:val="24"/>
                <w:lang w:eastAsia="en-IN"/>
              </w:rPr>
            </w:pPr>
            <w:r w:rsidRPr="00BA1C8E">
              <w:rPr>
                <w:rFonts w:ascii="Times New Roman" w:hAnsi="Times New Roman" w:cs="Times New Roman"/>
                <w:szCs w:val="24"/>
                <w:lang w:eastAsia="en-IN"/>
              </w:rPr>
              <w:t>Punjab</w:t>
            </w:r>
          </w:p>
        </w:tc>
        <w:tc>
          <w:tcPr>
            <w:tcW w:w="1619" w:type="dxa"/>
            <w:tcBorders>
              <w:top w:val="nil"/>
              <w:left w:val="nil"/>
              <w:bottom w:val="single" w:sz="4" w:space="0" w:color="auto"/>
              <w:right w:val="single" w:sz="4" w:space="0" w:color="auto"/>
            </w:tcBorders>
            <w:shd w:val="clear" w:color="000000" w:fill="FFFFFF"/>
            <w:vAlign w:val="center"/>
            <w:hideMark/>
          </w:tcPr>
          <w:p w14:paraId="64EC91F3" w14:textId="77777777" w:rsidR="00CB79AE" w:rsidRPr="00BA1C8E" w:rsidRDefault="00CB79AE" w:rsidP="00B77C0B">
            <w:pPr>
              <w:pStyle w:val="NoSpacing"/>
              <w:rPr>
                <w:rFonts w:ascii="Times New Roman" w:hAnsi="Times New Roman" w:cs="Times New Roman"/>
                <w:szCs w:val="24"/>
                <w:lang w:eastAsia="en-IN"/>
              </w:rPr>
            </w:pPr>
            <w:r w:rsidRPr="00BA1C8E">
              <w:rPr>
                <w:rFonts w:ascii="Times New Roman" w:hAnsi="Times New Roman" w:cs="Times New Roman"/>
                <w:szCs w:val="24"/>
                <w:lang w:eastAsia="en-IN"/>
              </w:rPr>
              <w:t>31-03-1969</w:t>
            </w:r>
          </w:p>
        </w:tc>
        <w:tc>
          <w:tcPr>
            <w:tcW w:w="1527" w:type="dxa"/>
            <w:tcBorders>
              <w:top w:val="nil"/>
              <w:left w:val="nil"/>
              <w:bottom w:val="single" w:sz="4" w:space="0" w:color="auto"/>
              <w:right w:val="single" w:sz="4" w:space="0" w:color="auto"/>
            </w:tcBorders>
            <w:shd w:val="clear" w:color="000000" w:fill="FFFFFF"/>
            <w:vAlign w:val="center"/>
            <w:hideMark/>
          </w:tcPr>
          <w:p w14:paraId="62A81322" w14:textId="77777777" w:rsidR="00CB79AE" w:rsidRPr="00BA1C8E" w:rsidRDefault="00CB79AE" w:rsidP="00B77C0B">
            <w:pPr>
              <w:pStyle w:val="NoSpacing"/>
              <w:rPr>
                <w:rFonts w:ascii="Times New Roman" w:hAnsi="Times New Roman" w:cs="Times New Roman"/>
                <w:szCs w:val="24"/>
                <w:lang w:eastAsia="en-IN"/>
              </w:rPr>
            </w:pPr>
            <w:r w:rsidRPr="00BA1C8E">
              <w:rPr>
                <w:rFonts w:ascii="Times New Roman" w:hAnsi="Times New Roman" w:cs="Times New Roman"/>
                <w:szCs w:val="24"/>
                <w:lang w:eastAsia="en-IN"/>
              </w:rPr>
              <w:t>..</w:t>
            </w:r>
          </w:p>
        </w:tc>
        <w:tc>
          <w:tcPr>
            <w:tcW w:w="1442" w:type="dxa"/>
            <w:tcBorders>
              <w:top w:val="nil"/>
              <w:left w:val="nil"/>
              <w:bottom w:val="single" w:sz="4" w:space="0" w:color="auto"/>
              <w:right w:val="single" w:sz="4" w:space="0" w:color="auto"/>
            </w:tcBorders>
            <w:shd w:val="clear" w:color="000000" w:fill="FFFFFF"/>
            <w:vAlign w:val="center"/>
            <w:hideMark/>
          </w:tcPr>
          <w:p w14:paraId="64F2E2DB" w14:textId="77777777" w:rsidR="00CB79AE" w:rsidRPr="00BA1C8E" w:rsidRDefault="00CB79AE" w:rsidP="00B77C0B">
            <w:pPr>
              <w:pStyle w:val="NoSpacing"/>
              <w:rPr>
                <w:rFonts w:ascii="Times New Roman" w:hAnsi="Times New Roman" w:cs="Times New Roman"/>
                <w:szCs w:val="24"/>
                <w:lang w:eastAsia="en-IN"/>
              </w:rPr>
            </w:pPr>
            <w:r w:rsidRPr="00BA1C8E">
              <w:rPr>
                <w:rFonts w:ascii="Times New Roman" w:hAnsi="Times New Roman" w:cs="Times New Roman"/>
                <w:szCs w:val="24"/>
                <w:lang w:eastAsia="en-IN"/>
              </w:rPr>
              <w:t>0.6</w:t>
            </w:r>
          </w:p>
        </w:tc>
        <w:tc>
          <w:tcPr>
            <w:tcW w:w="1341" w:type="dxa"/>
            <w:tcBorders>
              <w:top w:val="nil"/>
              <w:left w:val="nil"/>
              <w:bottom w:val="single" w:sz="4" w:space="0" w:color="auto"/>
              <w:right w:val="single" w:sz="4" w:space="0" w:color="auto"/>
            </w:tcBorders>
            <w:shd w:val="clear" w:color="000000" w:fill="FFFFFF"/>
            <w:vAlign w:val="center"/>
            <w:hideMark/>
          </w:tcPr>
          <w:p w14:paraId="54F5CDCA" w14:textId="77777777" w:rsidR="00CB79AE" w:rsidRPr="00BA1C8E" w:rsidRDefault="00CB79AE" w:rsidP="00B77C0B">
            <w:pPr>
              <w:pStyle w:val="NoSpacing"/>
              <w:rPr>
                <w:rFonts w:ascii="Times New Roman" w:hAnsi="Times New Roman" w:cs="Times New Roman"/>
                <w:szCs w:val="24"/>
                <w:lang w:eastAsia="en-IN"/>
              </w:rPr>
            </w:pPr>
            <w:r w:rsidRPr="00BA1C8E">
              <w:rPr>
                <w:rFonts w:ascii="Times New Roman" w:hAnsi="Times New Roman" w:cs="Times New Roman"/>
                <w:szCs w:val="24"/>
                <w:lang w:eastAsia="en-IN"/>
              </w:rPr>
              <w:t>0.1</w:t>
            </w:r>
          </w:p>
        </w:tc>
        <w:tc>
          <w:tcPr>
            <w:tcW w:w="1381" w:type="dxa"/>
            <w:tcBorders>
              <w:top w:val="nil"/>
              <w:left w:val="nil"/>
              <w:bottom w:val="single" w:sz="4" w:space="0" w:color="auto"/>
              <w:right w:val="single" w:sz="4" w:space="0" w:color="auto"/>
            </w:tcBorders>
            <w:shd w:val="clear" w:color="000000" w:fill="FFFFFF"/>
            <w:vAlign w:val="center"/>
            <w:hideMark/>
          </w:tcPr>
          <w:p w14:paraId="74E49D3D" w14:textId="77777777" w:rsidR="00CB79AE" w:rsidRPr="00BA1C8E" w:rsidRDefault="00CB79AE" w:rsidP="00B77C0B">
            <w:pPr>
              <w:pStyle w:val="NoSpacing"/>
              <w:rPr>
                <w:rFonts w:ascii="Times New Roman" w:hAnsi="Times New Roman" w:cs="Times New Roman"/>
                <w:szCs w:val="24"/>
                <w:lang w:eastAsia="en-IN"/>
              </w:rPr>
            </w:pPr>
            <w:r w:rsidRPr="00BA1C8E">
              <w:rPr>
                <w:rFonts w:ascii="Times New Roman" w:hAnsi="Times New Roman" w:cs="Times New Roman"/>
                <w:szCs w:val="24"/>
                <w:lang w:eastAsia="en-IN"/>
              </w:rPr>
              <w:t>0.45</w:t>
            </w:r>
          </w:p>
        </w:tc>
        <w:tc>
          <w:tcPr>
            <w:tcW w:w="2201" w:type="dxa"/>
            <w:tcBorders>
              <w:top w:val="nil"/>
              <w:left w:val="nil"/>
              <w:bottom w:val="single" w:sz="4" w:space="0" w:color="auto"/>
              <w:right w:val="single" w:sz="4" w:space="0" w:color="auto"/>
            </w:tcBorders>
            <w:shd w:val="clear" w:color="000000" w:fill="FFFFFF"/>
            <w:vAlign w:val="center"/>
            <w:hideMark/>
          </w:tcPr>
          <w:p w14:paraId="01712BB8" w14:textId="77777777" w:rsidR="00CB79AE" w:rsidRPr="00BA1C8E" w:rsidRDefault="00CB79AE" w:rsidP="00B77C0B">
            <w:pPr>
              <w:pStyle w:val="NoSpacing"/>
              <w:rPr>
                <w:rFonts w:ascii="Times New Roman" w:hAnsi="Times New Roman" w:cs="Times New Roman"/>
                <w:szCs w:val="24"/>
                <w:lang w:eastAsia="en-IN"/>
              </w:rPr>
            </w:pPr>
            <w:r w:rsidRPr="00BA1C8E">
              <w:rPr>
                <w:rFonts w:ascii="Times New Roman" w:hAnsi="Times New Roman" w:cs="Times New Roman"/>
                <w:szCs w:val="24"/>
                <w:lang w:eastAsia="en-IN"/>
              </w:rPr>
              <w:t>Neg.</w:t>
            </w:r>
          </w:p>
        </w:tc>
        <w:tc>
          <w:tcPr>
            <w:tcW w:w="1302" w:type="dxa"/>
            <w:tcBorders>
              <w:top w:val="nil"/>
              <w:left w:val="nil"/>
              <w:bottom w:val="single" w:sz="4" w:space="0" w:color="auto"/>
              <w:right w:val="single" w:sz="4" w:space="0" w:color="auto"/>
            </w:tcBorders>
            <w:shd w:val="clear" w:color="000000" w:fill="FFFFFF"/>
            <w:vAlign w:val="center"/>
            <w:hideMark/>
          </w:tcPr>
          <w:p w14:paraId="6DA6DD60" w14:textId="77777777" w:rsidR="00CB79AE" w:rsidRPr="00BA1C8E" w:rsidRDefault="00CB79AE" w:rsidP="00B77C0B">
            <w:pPr>
              <w:pStyle w:val="NoSpacing"/>
              <w:rPr>
                <w:rFonts w:ascii="Times New Roman" w:hAnsi="Times New Roman" w:cs="Times New Roman"/>
                <w:szCs w:val="24"/>
                <w:lang w:eastAsia="en-IN"/>
              </w:rPr>
            </w:pPr>
            <w:r w:rsidRPr="00BA1C8E">
              <w:rPr>
                <w:rFonts w:ascii="Times New Roman" w:hAnsi="Times New Roman" w:cs="Times New Roman"/>
                <w:szCs w:val="24"/>
                <w:lang w:eastAsia="en-IN"/>
              </w:rPr>
              <w:t>0.3</w:t>
            </w:r>
          </w:p>
        </w:tc>
        <w:tc>
          <w:tcPr>
            <w:tcW w:w="1274" w:type="dxa"/>
            <w:tcBorders>
              <w:top w:val="nil"/>
              <w:left w:val="nil"/>
              <w:bottom w:val="single" w:sz="4" w:space="0" w:color="auto"/>
              <w:right w:val="single" w:sz="4" w:space="0" w:color="auto"/>
            </w:tcBorders>
            <w:shd w:val="clear" w:color="000000" w:fill="FFFFFF"/>
            <w:vAlign w:val="center"/>
            <w:hideMark/>
          </w:tcPr>
          <w:p w14:paraId="35879A2C" w14:textId="77777777" w:rsidR="00CB79AE" w:rsidRPr="00BA1C8E" w:rsidRDefault="00CB79AE" w:rsidP="00B77C0B">
            <w:pPr>
              <w:pStyle w:val="NoSpacing"/>
              <w:rPr>
                <w:rFonts w:ascii="Times New Roman" w:hAnsi="Times New Roman" w:cs="Times New Roman"/>
                <w:szCs w:val="24"/>
                <w:lang w:eastAsia="en-IN"/>
              </w:rPr>
            </w:pPr>
            <w:r w:rsidRPr="00BA1C8E">
              <w:rPr>
                <w:rFonts w:ascii="Times New Roman" w:hAnsi="Times New Roman" w:cs="Times New Roman"/>
                <w:szCs w:val="24"/>
                <w:lang w:eastAsia="en-IN"/>
              </w:rPr>
              <w:t>1.45</w:t>
            </w:r>
          </w:p>
        </w:tc>
      </w:tr>
      <w:tr w:rsidR="00CB79AE" w:rsidRPr="00BA1C8E" w14:paraId="530BCE5C" w14:textId="77777777" w:rsidTr="005A7AAF">
        <w:trPr>
          <w:trHeight w:val="20"/>
        </w:trPr>
        <w:tc>
          <w:tcPr>
            <w:tcW w:w="1920" w:type="dxa"/>
            <w:tcBorders>
              <w:top w:val="nil"/>
              <w:left w:val="single" w:sz="4" w:space="0" w:color="auto"/>
              <w:bottom w:val="single" w:sz="4" w:space="0" w:color="auto"/>
              <w:right w:val="single" w:sz="4" w:space="0" w:color="auto"/>
            </w:tcBorders>
            <w:shd w:val="clear" w:color="000000" w:fill="FFFFFF"/>
            <w:vAlign w:val="center"/>
            <w:hideMark/>
          </w:tcPr>
          <w:p w14:paraId="5C4F3CCA" w14:textId="77777777" w:rsidR="00CB79AE" w:rsidRPr="00BA1C8E" w:rsidRDefault="00CB79AE" w:rsidP="00B77C0B">
            <w:pPr>
              <w:pStyle w:val="NoSpacing"/>
              <w:rPr>
                <w:rFonts w:ascii="Times New Roman" w:hAnsi="Times New Roman" w:cs="Times New Roman"/>
                <w:szCs w:val="24"/>
                <w:lang w:eastAsia="en-IN"/>
              </w:rPr>
            </w:pPr>
            <w:r w:rsidRPr="00BA1C8E">
              <w:rPr>
                <w:rFonts w:ascii="Times New Roman" w:hAnsi="Times New Roman" w:cs="Times New Roman"/>
                <w:szCs w:val="24"/>
                <w:lang w:eastAsia="en-IN"/>
              </w:rPr>
              <w:t>Rajasthan</w:t>
            </w:r>
          </w:p>
        </w:tc>
        <w:tc>
          <w:tcPr>
            <w:tcW w:w="1619" w:type="dxa"/>
            <w:tcBorders>
              <w:top w:val="nil"/>
              <w:left w:val="nil"/>
              <w:bottom w:val="single" w:sz="4" w:space="0" w:color="auto"/>
              <w:right w:val="single" w:sz="4" w:space="0" w:color="auto"/>
            </w:tcBorders>
            <w:shd w:val="clear" w:color="000000" w:fill="FFFFFF"/>
            <w:vAlign w:val="center"/>
            <w:hideMark/>
          </w:tcPr>
          <w:p w14:paraId="66DC0AB1" w14:textId="77777777" w:rsidR="00CB79AE" w:rsidRPr="00BA1C8E" w:rsidRDefault="00CB79AE" w:rsidP="00B77C0B">
            <w:pPr>
              <w:pStyle w:val="NoSpacing"/>
              <w:rPr>
                <w:rFonts w:ascii="Times New Roman" w:hAnsi="Times New Roman" w:cs="Times New Roman"/>
                <w:szCs w:val="24"/>
                <w:lang w:eastAsia="en-IN"/>
              </w:rPr>
            </w:pPr>
            <w:r w:rsidRPr="00BA1C8E">
              <w:rPr>
                <w:rFonts w:ascii="Times New Roman" w:hAnsi="Times New Roman" w:cs="Times New Roman"/>
                <w:szCs w:val="24"/>
                <w:lang w:eastAsia="en-IN"/>
              </w:rPr>
              <w:t>31-03-1968</w:t>
            </w:r>
          </w:p>
        </w:tc>
        <w:tc>
          <w:tcPr>
            <w:tcW w:w="1527" w:type="dxa"/>
            <w:tcBorders>
              <w:top w:val="nil"/>
              <w:left w:val="nil"/>
              <w:bottom w:val="single" w:sz="4" w:space="0" w:color="auto"/>
              <w:right w:val="single" w:sz="4" w:space="0" w:color="auto"/>
            </w:tcBorders>
            <w:shd w:val="clear" w:color="000000" w:fill="FFFFFF"/>
            <w:vAlign w:val="center"/>
            <w:hideMark/>
          </w:tcPr>
          <w:p w14:paraId="22930510" w14:textId="77777777" w:rsidR="00CB79AE" w:rsidRPr="00BA1C8E" w:rsidRDefault="00CB79AE" w:rsidP="00B77C0B">
            <w:pPr>
              <w:pStyle w:val="NoSpacing"/>
              <w:rPr>
                <w:rFonts w:ascii="Times New Roman" w:hAnsi="Times New Roman" w:cs="Times New Roman"/>
                <w:szCs w:val="24"/>
                <w:lang w:eastAsia="en-IN"/>
              </w:rPr>
            </w:pPr>
            <w:r w:rsidRPr="00BA1C8E">
              <w:rPr>
                <w:rFonts w:ascii="Times New Roman" w:hAnsi="Times New Roman" w:cs="Times New Roman"/>
                <w:szCs w:val="24"/>
                <w:lang w:eastAsia="en-IN"/>
              </w:rPr>
              <w:t>N.A.</w:t>
            </w:r>
          </w:p>
        </w:tc>
        <w:tc>
          <w:tcPr>
            <w:tcW w:w="1442" w:type="dxa"/>
            <w:tcBorders>
              <w:top w:val="nil"/>
              <w:left w:val="nil"/>
              <w:bottom w:val="single" w:sz="4" w:space="0" w:color="auto"/>
              <w:right w:val="single" w:sz="4" w:space="0" w:color="auto"/>
            </w:tcBorders>
            <w:shd w:val="clear" w:color="000000" w:fill="FFFFFF"/>
            <w:vAlign w:val="center"/>
            <w:hideMark/>
          </w:tcPr>
          <w:p w14:paraId="7D360BB4" w14:textId="77777777" w:rsidR="00CB79AE" w:rsidRPr="00BA1C8E" w:rsidRDefault="00CB79AE" w:rsidP="00B77C0B">
            <w:pPr>
              <w:pStyle w:val="NoSpacing"/>
              <w:rPr>
                <w:rFonts w:ascii="Times New Roman" w:hAnsi="Times New Roman" w:cs="Times New Roman"/>
                <w:szCs w:val="24"/>
                <w:lang w:eastAsia="en-IN"/>
              </w:rPr>
            </w:pPr>
            <w:r w:rsidRPr="00BA1C8E">
              <w:rPr>
                <w:rFonts w:ascii="Times New Roman" w:hAnsi="Times New Roman" w:cs="Times New Roman"/>
                <w:szCs w:val="24"/>
                <w:lang w:eastAsia="en-IN"/>
              </w:rPr>
              <w:t>5.5</w:t>
            </w:r>
          </w:p>
        </w:tc>
        <w:tc>
          <w:tcPr>
            <w:tcW w:w="1341" w:type="dxa"/>
            <w:tcBorders>
              <w:top w:val="nil"/>
              <w:left w:val="nil"/>
              <w:bottom w:val="single" w:sz="4" w:space="0" w:color="auto"/>
              <w:right w:val="single" w:sz="4" w:space="0" w:color="auto"/>
            </w:tcBorders>
            <w:shd w:val="clear" w:color="000000" w:fill="FFFFFF"/>
            <w:vAlign w:val="center"/>
            <w:hideMark/>
          </w:tcPr>
          <w:p w14:paraId="1D6BF0E1" w14:textId="77777777" w:rsidR="00CB79AE" w:rsidRPr="00BA1C8E" w:rsidRDefault="00CB79AE" w:rsidP="00B77C0B">
            <w:pPr>
              <w:pStyle w:val="NoSpacing"/>
              <w:rPr>
                <w:rFonts w:ascii="Times New Roman" w:hAnsi="Times New Roman" w:cs="Times New Roman"/>
                <w:szCs w:val="24"/>
                <w:lang w:eastAsia="en-IN"/>
              </w:rPr>
            </w:pPr>
            <w:r w:rsidRPr="00BA1C8E">
              <w:rPr>
                <w:rFonts w:ascii="Times New Roman" w:hAnsi="Times New Roman" w:cs="Times New Roman"/>
                <w:szCs w:val="24"/>
                <w:lang w:eastAsia="en-IN"/>
              </w:rPr>
              <w:t>0.68</w:t>
            </w:r>
          </w:p>
        </w:tc>
        <w:tc>
          <w:tcPr>
            <w:tcW w:w="1381" w:type="dxa"/>
            <w:tcBorders>
              <w:top w:val="nil"/>
              <w:left w:val="nil"/>
              <w:bottom w:val="single" w:sz="4" w:space="0" w:color="auto"/>
              <w:right w:val="single" w:sz="4" w:space="0" w:color="auto"/>
            </w:tcBorders>
            <w:shd w:val="clear" w:color="000000" w:fill="FFFFFF"/>
            <w:vAlign w:val="center"/>
            <w:hideMark/>
          </w:tcPr>
          <w:p w14:paraId="51049E36" w14:textId="77777777" w:rsidR="00CB79AE" w:rsidRPr="00BA1C8E" w:rsidRDefault="00CB79AE" w:rsidP="00B77C0B">
            <w:pPr>
              <w:pStyle w:val="NoSpacing"/>
              <w:rPr>
                <w:rFonts w:ascii="Times New Roman" w:hAnsi="Times New Roman" w:cs="Times New Roman"/>
                <w:szCs w:val="24"/>
                <w:lang w:eastAsia="en-IN"/>
              </w:rPr>
            </w:pPr>
            <w:r w:rsidRPr="00BA1C8E">
              <w:rPr>
                <w:rFonts w:ascii="Times New Roman" w:hAnsi="Times New Roman" w:cs="Times New Roman"/>
                <w:szCs w:val="24"/>
                <w:lang w:eastAsia="en-IN"/>
              </w:rPr>
              <w:t>2.39</w:t>
            </w:r>
          </w:p>
        </w:tc>
        <w:tc>
          <w:tcPr>
            <w:tcW w:w="2201" w:type="dxa"/>
            <w:tcBorders>
              <w:top w:val="nil"/>
              <w:left w:val="nil"/>
              <w:bottom w:val="single" w:sz="4" w:space="0" w:color="auto"/>
              <w:right w:val="single" w:sz="4" w:space="0" w:color="auto"/>
            </w:tcBorders>
            <w:shd w:val="clear" w:color="000000" w:fill="FFFFFF"/>
            <w:vAlign w:val="center"/>
            <w:hideMark/>
          </w:tcPr>
          <w:p w14:paraId="3936597B" w14:textId="77777777" w:rsidR="00CB79AE" w:rsidRPr="00BA1C8E" w:rsidRDefault="00CB79AE" w:rsidP="00B77C0B">
            <w:pPr>
              <w:pStyle w:val="NoSpacing"/>
              <w:rPr>
                <w:rFonts w:ascii="Times New Roman" w:hAnsi="Times New Roman" w:cs="Times New Roman"/>
                <w:szCs w:val="24"/>
                <w:lang w:eastAsia="en-IN"/>
              </w:rPr>
            </w:pPr>
            <w:r w:rsidRPr="00BA1C8E">
              <w:rPr>
                <w:rFonts w:ascii="Times New Roman" w:hAnsi="Times New Roman" w:cs="Times New Roman"/>
                <w:szCs w:val="24"/>
                <w:lang w:eastAsia="en-IN"/>
              </w:rPr>
              <w:t>0.01</w:t>
            </w:r>
          </w:p>
        </w:tc>
        <w:tc>
          <w:tcPr>
            <w:tcW w:w="1302" w:type="dxa"/>
            <w:tcBorders>
              <w:top w:val="nil"/>
              <w:left w:val="nil"/>
              <w:bottom w:val="single" w:sz="4" w:space="0" w:color="auto"/>
              <w:right w:val="single" w:sz="4" w:space="0" w:color="auto"/>
            </w:tcBorders>
            <w:shd w:val="clear" w:color="000000" w:fill="FFFFFF"/>
            <w:vAlign w:val="center"/>
            <w:hideMark/>
          </w:tcPr>
          <w:p w14:paraId="751391AE" w14:textId="77777777" w:rsidR="00CB79AE" w:rsidRPr="00BA1C8E" w:rsidRDefault="00CB79AE" w:rsidP="00B77C0B">
            <w:pPr>
              <w:pStyle w:val="NoSpacing"/>
              <w:rPr>
                <w:rFonts w:ascii="Times New Roman" w:hAnsi="Times New Roman" w:cs="Times New Roman"/>
                <w:szCs w:val="24"/>
                <w:lang w:eastAsia="en-IN"/>
              </w:rPr>
            </w:pPr>
            <w:r w:rsidRPr="00BA1C8E">
              <w:rPr>
                <w:rFonts w:ascii="Times New Roman" w:hAnsi="Times New Roman" w:cs="Times New Roman"/>
                <w:szCs w:val="24"/>
                <w:lang w:eastAsia="en-IN"/>
              </w:rPr>
              <w:t>0.54</w:t>
            </w:r>
          </w:p>
        </w:tc>
        <w:tc>
          <w:tcPr>
            <w:tcW w:w="1274" w:type="dxa"/>
            <w:tcBorders>
              <w:top w:val="nil"/>
              <w:left w:val="nil"/>
              <w:bottom w:val="single" w:sz="4" w:space="0" w:color="auto"/>
              <w:right w:val="single" w:sz="4" w:space="0" w:color="auto"/>
            </w:tcBorders>
            <w:shd w:val="clear" w:color="000000" w:fill="FFFFFF"/>
            <w:vAlign w:val="center"/>
            <w:hideMark/>
          </w:tcPr>
          <w:p w14:paraId="0AC8C3CA" w14:textId="77777777" w:rsidR="00CB79AE" w:rsidRPr="00BA1C8E" w:rsidRDefault="00CB79AE" w:rsidP="00B77C0B">
            <w:pPr>
              <w:pStyle w:val="NoSpacing"/>
              <w:rPr>
                <w:rFonts w:ascii="Times New Roman" w:hAnsi="Times New Roman" w:cs="Times New Roman"/>
                <w:szCs w:val="24"/>
                <w:lang w:eastAsia="en-IN"/>
              </w:rPr>
            </w:pPr>
            <w:r w:rsidRPr="00BA1C8E">
              <w:rPr>
                <w:rFonts w:ascii="Times New Roman" w:hAnsi="Times New Roman" w:cs="Times New Roman"/>
                <w:szCs w:val="24"/>
                <w:lang w:eastAsia="en-IN"/>
              </w:rPr>
              <w:t>9.12</w:t>
            </w:r>
          </w:p>
        </w:tc>
      </w:tr>
      <w:tr w:rsidR="00CB79AE" w:rsidRPr="00BA1C8E" w14:paraId="41666BF3" w14:textId="77777777" w:rsidTr="005A7AAF">
        <w:trPr>
          <w:trHeight w:val="20"/>
        </w:trPr>
        <w:tc>
          <w:tcPr>
            <w:tcW w:w="1920" w:type="dxa"/>
            <w:tcBorders>
              <w:top w:val="nil"/>
              <w:left w:val="single" w:sz="4" w:space="0" w:color="auto"/>
              <w:bottom w:val="single" w:sz="4" w:space="0" w:color="auto"/>
              <w:right w:val="single" w:sz="4" w:space="0" w:color="auto"/>
            </w:tcBorders>
            <w:shd w:val="clear" w:color="000000" w:fill="FFFFFF"/>
            <w:vAlign w:val="center"/>
            <w:hideMark/>
          </w:tcPr>
          <w:p w14:paraId="06F87F2F" w14:textId="77777777" w:rsidR="00CB79AE" w:rsidRPr="00BA1C8E" w:rsidRDefault="00CB79AE" w:rsidP="00B77C0B">
            <w:pPr>
              <w:pStyle w:val="NoSpacing"/>
              <w:rPr>
                <w:rFonts w:ascii="Times New Roman" w:hAnsi="Times New Roman" w:cs="Times New Roman"/>
                <w:szCs w:val="24"/>
                <w:lang w:eastAsia="en-IN"/>
              </w:rPr>
            </w:pPr>
            <w:r w:rsidRPr="00BA1C8E">
              <w:rPr>
                <w:rFonts w:ascii="Times New Roman" w:hAnsi="Times New Roman" w:cs="Times New Roman"/>
                <w:szCs w:val="24"/>
                <w:lang w:eastAsia="en-IN"/>
              </w:rPr>
              <w:t>Tamil Nadu</w:t>
            </w:r>
          </w:p>
        </w:tc>
        <w:tc>
          <w:tcPr>
            <w:tcW w:w="1619" w:type="dxa"/>
            <w:tcBorders>
              <w:top w:val="nil"/>
              <w:left w:val="nil"/>
              <w:bottom w:val="single" w:sz="4" w:space="0" w:color="auto"/>
              <w:right w:val="single" w:sz="4" w:space="0" w:color="auto"/>
            </w:tcBorders>
            <w:shd w:val="clear" w:color="000000" w:fill="FFFFFF"/>
            <w:vAlign w:val="center"/>
            <w:hideMark/>
          </w:tcPr>
          <w:p w14:paraId="0633E6CC" w14:textId="77777777" w:rsidR="00CB79AE" w:rsidRPr="00BA1C8E" w:rsidRDefault="00CB79AE" w:rsidP="00B77C0B">
            <w:pPr>
              <w:pStyle w:val="NoSpacing"/>
              <w:rPr>
                <w:rFonts w:ascii="Times New Roman" w:hAnsi="Times New Roman" w:cs="Times New Roman"/>
                <w:szCs w:val="24"/>
                <w:lang w:eastAsia="en-IN"/>
              </w:rPr>
            </w:pPr>
            <w:r w:rsidRPr="00BA1C8E">
              <w:rPr>
                <w:rFonts w:ascii="Times New Roman" w:hAnsi="Times New Roman" w:cs="Times New Roman"/>
                <w:szCs w:val="24"/>
                <w:lang w:eastAsia="en-IN"/>
              </w:rPr>
              <w:t>31-03-1969</w:t>
            </w:r>
          </w:p>
        </w:tc>
        <w:tc>
          <w:tcPr>
            <w:tcW w:w="1527" w:type="dxa"/>
            <w:tcBorders>
              <w:top w:val="nil"/>
              <w:left w:val="nil"/>
              <w:bottom w:val="single" w:sz="4" w:space="0" w:color="auto"/>
              <w:right w:val="single" w:sz="4" w:space="0" w:color="auto"/>
            </w:tcBorders>
            <w:shd w:val="clear" w:color="000000" w:fill="FFFFFF"/>
            <w:vAlign w:val="center"/>
            <w:hideMark/>
          </w:tcPr>
          <w:p w14:paraId="1029E6D8" w14:textId="77777777" w:rsidR="00CB79AE" w:rsidRPr="00BA1C8E" w:rsidRDefault="00CB79AE" w:rsidP="00B77C0B">
            <w:pPr>
              <w:pStyle w:val="NoSpacing"/>
              <w:rPr>
                <w:rFonts w:ascii="Times New Roman" w:hAnsi="Times New Roman" w:cs="Times New Roman"/>
                <w:szCs w:val="24"/>
                <w:lang w:eastAsia="en-IN"/>
              </w:rPr>
            </w:pPr>
            <w:r w:rsidRPr="00BA1C8E">
              <w:rPr>
                <w:rFonts w:ascii="Times New Roman" w:hAnsi="Times New Roman" w:cs="Times New Roman"/>
                <w:szCs w:val="24"/>
                <w:lang w:eastAsia="en-IN"/>
              </w:rPr>
              <w:t>0.4</w:t>
            </w:r>
          </w:p>
        </w:tc>
        <w:tc>
          <w:tcPr>
            <w:tcW w:w="1442" w:type="dxa"/>
            <w:tcBorders>
              <w:top w:val="nil"/>
              <w:left w:val="nil"/>
              <w:bottom w:val="single" w:sz="4" w:space="0" w:color="auto"/>
              <w:right w:val="single" w:sz="4" w:space="0" w:color="auto"/>
            </w:tcBorders>
            <w:shd w:val="clear" w:color="000000" w:fill="FFFFFF"/>
            <w:vAlign w:val="center"/>
            <w:hideMark/>
          </w:tcPr>
          <w:p w14:paraId="3289B1EE" w14:textId="77777777" w:rsidR="00CB79AE" w:rsidRPr="00BA1C8E" w:rsidRDefault="00CB79AE" w:rsidP="00B77C0B">
            <w:pPr>
              <w:pStyle w:val="NoSpacing"/>
              <w:rPr>
                <w:rFonts w:ascii="Times New Roman" w:hAnsi="Times New Roman" w:cs="Times New Roman"/>
                <w:szCs w:val="24"/>
                <w:lang w:eastAsia="en-IN"/>
              </w:rPr>
            </w:pPr>
            <w:r w:rsidRPr="00BA1C8E">
              <w:rPr>
                <w:rFonts w:ascii="Times New Roman" w:hAnsi="Times New Roman" w:cs="Times New Roman"/>
                <w:szCs w:val="24"/>
                <w:lang w:eastAsia="en-IN"/>
              </w:rPr>
              <w:t>2.56</w:t>
            </w:r>
          </w:p>
        </w:tc>
        <w:tc>
          <w:tcPr>
            <w:tcW w:w="1341" w:type="dxa"/>
            <w:tcBorders>
              <w:top w:val="nil"/>
              <w:left w:val="nil"/>
              <w:bottom w:val="single" w:sz="4" w:space="0" w:color="auto"/>
              <w:right w:val="single" w:sz="4" w:space="0" w:color="auto"/>
            </w:tcBorders>
            <w:shd w:val="clear" w:color="000000" w:fill="FFFFFF"/>
            <w:vAlign w:val="center"/>
            <w:hideMark/>
          </w:tcPr>
          <w:p w14:paraId="677BB98C" w14:textId="77777777" w:rsidR="00CB79AE" w:rsidRPr="00BA1C8E" w:rsidRDefault="00CB79AE" w:rsidP="00B77C0B">
            <w:pPr>
              <w:pStyle w:val="NoSpacing"/>
              <w:rPr>
                <w:rFonts w:ascii="Times New Roman" w:hAnsi="Times New Roman" w:cs="Times New Roman"/>
                <w:szCs w:val="24"/>
                <w:lang w:eastAsia="en-IN"/>
              </w:rPr>
            </w:pPr>
            <w:r w:rsidRPr="00BA1C8E">
              <w:rPr>
                <w:rFonts w:ascii="Times New Roman" w:hAnsi="Times New Roman" w:cs="Times New Roman"/>
                <w:szCs w:val="24"/>
                <w:lang w:eastAsia="en-IN"/>
              </w:rPr>
              <w:t>N.A.</w:t>
            </w:r>
          </w:p>
        </w:tc>
        <w:tc>
          <w:tcPr>
            <w:tcW w:w="1381" w:type="dxa"/>
            <w:tcBorders>
              <w:top w:val="nil"/>
              <w:left w:val="nil"/>
              <w:bottom w:val="single" w:sz="4" w:space="0" w:color="auto"/>
              <w:right w:val="single" w:sz="4" w:space="0" w:color="auto"/>
            </w:tcBorders>
            <w:shd w:val="clear" w:color="000000" w:fill="FFFFFF"/>
            <w:vAlign w:val="center"/>
            <w:hideMark/>
          </w:tcPr>
          <w:p w14:paraId="108A11A5" w14:textId="77777777" w:rsidR="00CB79AE" w:rsidRPr="00BA1C8E" w:rsidRDefault="00CB79AE" w:rsidP="00B77C0B">
            <w:pPr>
              <w:pStyle w:val="NoSpacing"/>
              <w:rPr>
                <w:rFonts w:ascii="Times New Roman" w:hAnsi="Times New Roman" w:cs="Times New Roman"/>
                <w:szCs w:val="24"/>
                <w:lang w:eastAsia="en-IN"/>
              </w:rPr>
            </w:pPr>
            <w:r w:rsidRPr="00BA1C8E">
              <w:rPr>
                <w:rFonts w:ascii="Times New Roman" w:hAnsi="Times New Roman" w:cs="Times New Roman"/>
                <w:szCs w:val="24"/>
                <w:lang w:eastAsia="en-IN"/>
              </w:rPr>
              <w:t>7.28</w:t>
            </w:r>
          </w:p>
        </w:tc>
        <w:tc>
          <w:tcPr>
            <w:tcW w:w="2201" w:type="dxa"/>
            <w:tcBorders>
              <w:top w:val="nil"/>
              <w:left w:val="nil"/>
              <w:bottom w:val="single" w:sz="4" w:space="0" w:color="auto"/>
              <w:right w:val="single" w:sz="4" w:space="0" w:color="auto"/>
            </w:tcBorders>
            <w:shd w:val="clear" w:color="000000" w:fill="FFFFFF"/>
            <w:vAlign w:val="center"/>
            <w:hideMark/>
          </w:tcPr>
          <w:p w14:paraId="1BD39BFE" w14:textId="77777777" w:rsidR="00CB79AE" w:rsidRPr="00BA1C8E" w:rsidRDefault="00CB79AE" w:rsidP="00B77C0B">
            <w:pPr>
              <w:pStyle w:val="NoSpacing"/>
              <w:rPr>
                <w:rFonts w:ascii="Times New Roman" w:hAnsi="Times New Roman" w:cs="Times New Roman"/>
                <w:szCs w:val="24"/>
                <w:lang w:eastAsia="en-IN"/>
              </w:rPr>
            </w:pPr>
            <w:r w:rsidRPr="00BA1C8E">
              <w:rPr>
                <w:rFonts w:ascii="Times New Roman" w:hAnsi="Times New Roman" w:cs="Times New Roman"/>
                <w:szCs w:val="24"/>
                <w:lang w:eastAsia="en-IN"/>
              </w:rPr>
              <w:t>0.05</w:t>
            </w:r>
          </w:p>
        </w:tc>
        <w:tc>
          <w:tcPr>
            <w:tcW w:w="1302" w:type="dxa"/>
            <w:tcBorders>
              <w:top w:val="nil"/>
              <w:left w:val="nil"/>
              <w:bottom w:val="single" w:sz="4" w:space="0" w:color="auto"/>
              <w:right w:val="single" w:sz="4" w:space="0" w:color="auto"/>
            </w:tcBorders>
            <w:shd w:val="clear" w:color="000000" w:fill="FFFFFF"/>
            <w:vAlign w:val="center"/>
            <w:hideMark/>
          </w:tcPr>
          <w:p w14:paraId="201429D4" w14:textId="77777777" w:rsidR="00CB79AE" w:rsidRPr="00BA1C8E" w:rsidRDefault="00CB79AE" w:rsidP="00B77C0B">
            <w:pPr>
              <w:pStyle w:val="NoSpacing"/>
              <w:rPr>
                <w:rFonts w:ascii="Times New Roman" w:hAnsi="Times New Roman" w:cs="Times New Roman"/>
                <w:szCs w:val="24"/>
                <w:lang w:eastAsia="en-IN"/>
              </w:rPr>
            </w:pPr>
            <w:r w:rsidRPr="00BA1C8E">
              <w:rPr>
                <w:rFonts w:ascii="Times New Roman" w:hAnsi="Times New Roman" w:cs="Times New Roman"/>
                <w:szCs w:val="24"/>
                <w:lang w:eastAsia="en-IN"/>
              </w:rPr>
              <w:t>N.A.</w:t>
            </w:r>
          </w:p>
        </w:tc>
        <w:tc>
          <w:tcPr>
            <w:tcW w:w="1274" w:type="dxa"/>
            <w:tcBorders>
              <w:top w:val="nil"/>
              <w:left w:val="nil"/>
              <w:bottom w:val="single" w:sz="4" w:space="0" w:color="auto"/>
              <w:right w:val="single" w:sz="4" w:space="0" w:color="auto"/>
            </w:tcBorders>
            <w:shd w:val="clear" w:color="000000" w:fill="FFFFFF"/>
            <w:vAlign w:val="center"/>
            <w:hideMark/>
          </w:tcPr>
          <w:p w14:paraId="40957997" w14:textId="77777777" w:rsidR="00CB79AE" w:rsidRPr="00BA1C8E" w:rsidRDefault="00CB79AE" w:rsidP="00B77C0B">
            <w:pPr>
              <w:pStyle w:val="NoSpacing"/>
              <w:rPr>
                <w:rFonts w:ascii="Times New Roman" w:hAnsi="Times New Roman" w:cs="Times New Roman"/>
                <w:szCs w:val="24"/>
                <w:lang w:eastAsia="en-IN"/>
              </w:rPr>
            </w:pPr>
            <w:r w:rsidRPr="00BA1C8E">
              <w:rPr>
                <w:rFonts w:ascii="Times New Roman" w:hAnsi="Times New Roman" w:cs="Times New Roman"/>
                <w:szCs w:val="24"/>
                <w:lang w:eastAsia="en-IN"/>
              </w:rPr>
              <w:t>10.29</w:t>
            </w:r>
          </w:p>
        </w:tc>
      </w:tr>
      <w:tr w:rsidR="00CB79AE" w:rsidRPr="00BA1C8E" w14:paraId="5355AE89" w14:textId="77777777" w:rsidTr="005A7AAF">
        <w:trPr>
          <w:trHeight w:val="20"/>
        </w:trPr>
        <w:tc>
          <w:tcPr>
            <w:tcW w:w="1920" w:type="dxa"/>
            <w:tcBorders>
              <w:top w:val="nil"/>
              <w:left w:val="single" w:sz="4" w:space="0" w:color="auto"/>
              <w:bottom w:val="single" w:sz="4" w:space="0" w:color="auto"/>
              <w:right w:val="single" w:sz="4" w:space="0" w:color="auto"/>
            </w:tcBorders>
            <w:shd w:val="clear" w:color="000000" w:fill="FFFFFF"/>
            <w:vAlign w:val="center"/>
            <w:hideMark/>
          </w:tcPr>
          <w:p w14:paraId="114817CE" w14:textId="77777777" w:rsidR="00CB79AE" w:rsidRPr="00BA1C8E" w:rsidRDefault="00CB79AE" w:rsidP="00B77C0B">
            <w:pPr>
              <w:pStyle w:val="NoSpacing"/>
              <w:rPr>
                <w:rFonts w:ascii="Times New Roman" w:hAnsi="Times New Roman" w:cs="Times New Roman"/>
                <w:szCs w:val="24"/>
                <w:lang w:eastAsia="en-IN"/>
              </w:rPr>
            </w:pPr>
            <w:r w:rsidRPr="00BA1C8E">
              <w:rPr>
                <w:rFonts w:ascii="Times New Roman" w:hAnsi="Times New Roman" w:cs="Times New Roman"/>
                <w:szCs w:val="24"/>
                <w:lang w:eastAsia="en-IN"/>
              </w:rPr>
              <w:t>Uttar Pradesh</w:t>
            </w:r>
          </w:p>
        </w:tc>
        <w:tc>
          <w:tcPr>
            <w:tcW w:w="1619" w:type="dxa"/>
            <w:tcBorders>
              <w:top w:val="nil"/>
              <w:left w:val="nil"/>
              <w:bottom w:val="single" w:sz="4" w:space="0" w:color="auto"/>
              <w:right w:val="single" w:sz="4" w:space="0" w:color="auto"/>
            </w:tcBorders>
            <w:shd w:val="clear" w:color="000000" w:fill="FFFFFF"/>
            <w:vAlign w:val="center"/>
            <w:hideMark/>
          </w:tcPr>
          <w:p w14:paraId="15C5FB1A" w14:textId="77777777" w:rsidR="00CB79AE" w:rsidRPr="00BA1C8E" w:rsidRDefault="00CB79AE" w:rsidP="00B77C0B">
            <w:pPr>
              <w:pStyle w:val="NoSpacing"/>
              <w:rPr>
                <w:rFonts w:ascii="Times New Roman" w:hAnsi="Times New Roman" w:cs="Times New Roman"/>
                <w:szCs w:val="24"/>
                <w:lang w:eastAsia="en-IN"/>
              </w:rPr>
            </w:pPr>
            <w:r w:rsidRPr="00BA1C8E">
              <w:rPr>
                <w:rFonts w:ascii="Times New Roman" w:hAnsi="Times New Roman" w:cs="Times New Roman"/>
                <w:szCs w:val="24"/>
                <w:lang w:eastAsia="en-IN"/>
              </w:rPr>
              <w:t>31-03-1969</w:t>
            </w:r>
          </w:p>
        </w:tc>
        <w:tc>
          <w:tcPr>
            <w:tcW w:w="1527" w:type="dxa"/>
            <w:tcBorders>
              <w:top w:val="nil"/>
              <w:left w:val="nil"/>
              <w:bottom w:val="single" w:sz="4" w:space="0" w:color="auto"/>
              <w:right w:val="single" w:sz="4" w:space="0" w:color="auto"/>
            </w:tcBorders>
            <w:shd w:val="clear" w:color="000000" w:fill="FFFFFF"/>
            <w:vAlign w:val="center"/>
            <w:hideMark/>
          </w:tcPr>
          <w:p w14:paraId="673ECFF0" w14:textId="77777777" w:rsidR="00CB79AE" w:rsidRPr="00BA1C8E" w:rsidRDefault="00CB79AE" w:rsidP="00B77C0B">
            <w:pPr>
              <w:pStyle w:val="NoSpacing"/>
              <w:rPr>
                <w:rFonts w:ascii="Times New Roman" w:hAnsi="Times New Roman" w:cs="Times New Roman"/>
                <w:szCs w:val="24"/>
                <w:lang w:eastAsia="en-IN"/>
              </w:rPr>
            </w:pPr>
            <w:r w:rsidRPr="00BA1C8E">
              <w:rPr>
                <w:rFonts w:ascii="Times New Roman" w:hAnsi="Times New Roman" w:cs="Times New Roman"/>
                <w:szCs w:val="24"/>
                <w:lang w:eastAsia="en-IN"/>
              </w:rPr>
              <w:t>0.78</w:t>
            </w:r>
          </w:p>
        </w:tc>
        <w:tc>
          <w:tcPr>
            <w:tcW w:w="1442" w:type="dxa"/>
            <w:tcBorders>
              <w:top w:val="nil"/>
              <w:left w:val="nil"/>
              <w:bottom w:val="single" w:sz="4" w:space="0" w:color="auto"/>
              <w:right w:val="single" w:sz="4" w:space="0" w:color="auto"/>
            </w:tcBorders>
            <w:shd w:val="clear" w:color="000000" w:fill="FFFFFF"/>
            <w:vAlign w:val="center"/>
            <w:hideMark/>
          </w:tcPr>
          <w:p w14:paraId="6FBC0C91" w14:textId="77777777" w:rsidR="00CB79AE" w:rsidRPr="00BA1C8E" w:rsidRDefault="00CB79AE" w:rsidP="00B77C0B">
            <w:pPr>
              <w:pStyle w:val="NoSpacing"/>
              <w:rPr>
                <w:rFonts w:ascii="Times New Roman" w:hAnsi="Times New Roman" w:cs="Times New Roman"/>
                <w:szCs w:val="24"/>
                <w:lang w:eastAsia="en-IN"/>
              </w:rPr>
            </w:pPr>
            <w:r w:rsidRPr="00BA1C8E">
              <w:rPr>
                <w:rFonts w:ascii="Times New Roman" w:hAnsi="Times New Roman" w:cs="Times New Roman"/>
                <w:szCs w:val="24"/>
                <w:lang w:eastAsia="en-IN"/>
              </w:rPr>
              <w:t>9.04(e)</w:t>
            </w:r>
          </w:p>
        </w:tc>
        <w:tc>
          <w:tcPr>
            <w:tcW w:w="1341" w:type="dxa"/>
            <w:tcBorders>
              <w:top w:val="nil"/>
              <w:left w:val="nil"/>
              <w:bottom w:val="single" w:sz="4" w:space="0" w:color="auto"/>
              <w:right w:val="single" w:sz="4" w:space="0" w:color="auto"/>
            </w:tcBorders>
            <w:shd w:val="clear" w:color="000000" w:fill="FFFFFF"/>
            <w:vAlign w:val="center"/>
            <w:hideMark/>
          </w:tcPr>
          <w:p w14:paraId="1C3B0379" w14:textId="77777777" w:rsidR="00CB79AE" w:rsidRPr="00BA1C8E" w:rsidRDefault="00CB79AE" w:rsidP="00B77C0B">
            <w:pPr>
              <w:pStyle w:val="NoSpacing"/>
              <w:rPr>
                <w:rFonts w:ascii="Times New Roman" w:hAnsi="Times New Roman" w:cs="Times New Roman"/>
                <w:szCs w:val="24"/>
                <w:lang w:eastAsia="en-IN"/>
              </w:rPr>
            </w:pPr>
            <w:r w:rsidRPr="00BA1C8E">
              <w:rPr>
                <w:rFonts w:ascii="Times New Roman" w:hAnsi="Times New Roman" w:cs="Times New Roman"/>
                <w:szCs w:val="24"/>
                <w:lang w:eastAsia="en-IN"/>
              </w:rPr>
              <w:t>0.35(f)</w:t>
            </w:r>
          </w:p>
        </w:tc>
        <w:tc>
          <w:tcPr>
            <w:tcW w:w="1381" w:type="dxa"/>
            <w:tcBorders>
              <w:top w:val="nil"/>
              <w:left w:val="nil"/>
              <w:bottom w:val="single" w:sz="4" w:space="0" w:color="auto"/>
              <w:right w:val="single" w:sz="4" w:space="0" w:color="auto"/>
            </w:tcBorders>
            <w:shd w:val="clear" w:color="000000" w:fill="FFFFFF"/>
            <w:vAlign w:val="center"/>
            <w:hideMark/>
          </w:tcPr>
          <w:p w14:paraId="1F0108E8" w14:textId="77777777" w:rsidR="00CB79AE" w:rsidRPr="00BA1C8E" w:rsidRDefault="00CB79AE" w:rsidP="00B77C0B">
            <w:pPr>
              <w:pStyle w:val="NoSpacing"/>
              <w:rPr>
                <w:rFonts w:ascii="Times New Roman" w:hAnsi="Times New Roman" w:cs="Times New Roman"/>
                <w:szCs w:val="24"/>
                <w:lang w:eastAsia="en-IN"/>
              </w:rPr>
            </w:pPr>
            <w:r w:rsidRPr="00BA1C8E">
              <w:rPr>
                <w:rFonts w:ascii="Times New Roman" w:hAnsi="Times New Roman" w:cs="Times New Roman"/>
                <w:szCs w:val="24"/>
                <w:lang w:eastAsia="en-IN"/>
              </w:rPr>
              <w:t>16.87(f)</w:t>
            </w:r>
          </w:p>
        </w:tc>
        <w:tc>
          <w:tcPr>
            <w:tcW w:w="2201" w:type="dxa"/>
            <w:tcBorders>
              <w:top w:val="nil"/>
              <w:left w:val="nil"/>
              <w:bottom w:val="single" w:sz="4" w:space="0" w:color="auto"/>
              <w:right w:val="single" w:sz="4" w:space="0" w:color="auto"/>
            </w:tcBorders>
            <w:shd w:val="clear" w:color="000000" w:fill="FFFFFF"/>
            <w:vAlign w:val="center"/>
            <w:hideMark/>
          </w:tcPr>
          <w:p w14:paraId="05BF7EDB" w14:textId="77777777" w:rsidR="00CB79AE" w:rsidRPr="00BA1C8E" w:rsidRDefault="00CB79AE" w:rsidP="00B77C0B">
            <w:pPr>
              <w:pStyle w:val="NoSpacing"/>
              <w:rPr>
                <w:rFonts w:ascii="Times New Roman" w:hAnsi="Times New Roman" w:cs="Times New Roman"/>
                <w:szCs w:val="24"/>
                <w:lang w:eastAsia="en-IN"/>
              </w:rPr>
            </w:pPr>
            <w:r w:rsidRPr="00BA1C8E">
              <w:rPr>
                <w:rFonts w:ascii="Times New Roman" w:hAnsi="Times New Roman" w:cs="Times New Roman"/>
                <w:szCs w:val="24"/>
                <w:lang w:eastAsia="en-IN"/>
              </w:rPr>
              <w:t>Neg.</w:t>
            </w:r>
          </w:p>
        </w:tc>
        <w:tc>
          <w:tcPr>
            <w:tcW w:w="1302" w:type="dxa"/>
            <w:tcBorders>
              <w:top w:val="nil"/>
              <w:left w:val="nil"/>
              <w:bottom w:val="single" w:sz="4" w:space="0" w:color="auto"/>
              <w:right w:val="single" w:sz="4" w:space="0" w:color="auto"/>
            </w:tcBorders>
            <w:shd w:val="clear" w:color="000000" w:fill="FFFFFF"/>
            <w:vAlign w:val="center"/>
            <w:hideMark/>
          </w:tcPr>
          <w:p w14:paraId="1E72517B" w14:textId="77777777" w:rsidR="00CB79AE" w:rsidRPr="00BA1C8E" w:rsidRDefault="00CB79AE" w:rsidP="00B77C0B">
            <w:pPr>
              <w:pStyle w:val="NoSpacing"/>
              <w:rPr>
                <w:rFonts w:ascii="Times New Roman" w:hAnsi="Times New Roman" w:cs="Times New Roman"/>
                <w:szCs w:val="24"/>
                <w:lang w:eastAsia="en-IN"/>
              </w:rPr>
            </w:pPr>
            <w:r w:rsidRPr="00BA1C8E">
              <w:rPr>
                <w:rFonts w:ascii="Times New Roman" w:hAnsi="Times New Roman" w:cs="Times New Roman"/>
                <w:szCs w:val="24"/>
                <w:lang w:eastAsia="en-IN"/>
              </w:rPr>
              <w:t>1.72(d)</w:t>
            </w:r>
          </w:p>
        </w:tc>
        <w:tc>
          <w:tcPr>
            <w:tcW w:w="1274" w:type="dxa"/>
            <w:tcBorders>
              <w:top w:val="nil"/>
              <w:left w:val="nil"/>
              <w:bottom w:val="single" w:sz="4" w:space="0" w:color="auto"/>
              <w:right w:val="single" w:sz="4" w:space="0" w:color="auto"/>
            </w:tcBorders>
            <w:shd w:val="clear" w:color="000000" w:fill="FFFFFF"/>
            <w:vAlign w:val="center"/>
            <w:hideMark/>
          </w:tcPr>
          <w:p w14:paraId="22AC9ED2" w14:textId="77777777" w:rsidR="00CB79AE" w:rsidRPr="00BA1C8E" w:rsidRDefault="00CB79AE" w:rsidP="00B77C0B">
            <w:pPr>
              <w:pStyle w:val="NoSpacing"/>
              <w:rPr>
                <w:rFonts w:ascii="Times New Roman" w:hAnsi="Times New Roman" w:cs="Times New Roman"/>
                <w:szCs w:val="24"/>
                <w:lang w:eastAsia="en-IN"/>
              </w:rPr>
            </w:pPr>
            <w:r w:rsidRPr="00BA1C8E">
              <w:rPr>
                <w:rFonts w:ascii="Times New Roman" w:hAnsi="Times New Roman" w:cs="Times New Roman"/>
                <w:szCs w:val="24"/>
                <w:lang w:eastAsia="en-IN"/>
              </w:rPr>
              <w:t>28.76</w:t>
            </w:r>
          </w:p>
        </w:tc>
      </w:tr>
      <w:tr w:rsidR="00CB79AE" w:rsidRPr="00BA1C8E" w14:paraId="2E089094" w14:textId="77777777" w:rsidTr="005A7AAF">
        <w:trPr>
          <w:trHeight w:val="20"/>
        </w:trPr>
        <w:tc>
          <w:tcPr>
            <w:tcW w:w="1920" w:type="dxa"/>
            <w:tcBorders>
              <w:top w:val="nil"/>
              <w:left w:val="single" w:sz="4" w:space="0" w:color="auto"/>
              <w:bottom w:val="single" w:sz="4" w:space="0" w:color="auto"/>
              <w:right w:val="single" w:sz="4" w:space="0" w:color="auto"/>
            </w:tcBorders>
            <w:shd w:val="clear" w:color="000000" w:fill="FFFFFF"/>
            <w:vAlign w:val="center"/>
            <w:hideMark/>
          </w:tcPr>
          <w:p w14:paraId="1915AC37" w14:textId="77777777" w:rsidR="00CB79AE" w:rsidRPr="00BA1C8E" w:rsidRDefault="00CB79AE" w:rsidP="00B77C0B">
            <w:pPr>
              <w:pStyle w:val="NoSpacing"/>
              <w:rPr>
                <w:rFonts w:ascii="Times New Roman" w:hAnsi="Times New Roman" w:cs="Times New Roman"/>
                <w:szCs w:val="24"/>
                <w:lang w:eastAsia="en-IN"/>
              </w:rPr>
            </w:pPr>
            <w:r w:rsidRPr="00BA1C8E">
              <w:rPr>
                <w:rFonts w:ascii="Times New Roman" w:hAnsi="Times New Roman" w:cs="Times New Roman"/>
                <w:szCs w:val="24"/>
                <w:lang w:eastAsia="en-IN"/>
              </w:rPr>
              <w:t>West Bengal</w:t>
            </w:r>
          </w:p>
        </w:tc>
        <w:tc>
          <w:tcPr>
            <w:tcW w:w="1619" w:type="dxa"/>
            <w:tcBorders>
              <w:top w:val="nil"/>
              <w:left w:val="nil"/>
              <w:bottom w:val="single" w:sz="4" w:space="0" w:color="auto"/>
              <w:right w:val="single" w:sz="4" w:space="0" w:color="auto"/>
            </w:tcBorders>
            <w:shd w:val="clear" w:color="000000" w:fill="FFFFFF"/>
            <w:vAlign w:val="center"/>
            <w:hideMark/>
          </w:tcPr>
          <w:p w14:paraId="6F7C89C7" w14:textId="77777777" w:rsidR="00CB79AE" w:rsidRPr="00BA1C8E" w:rsidRDefault="00CB79AE" w:rsidP="00B77C0B">
            <w:pPr>
              <w:pStyle w:val="NoSpacing"/>
              <w:rPr>
                <w:rFonts w:ascii="Times New Roman" w:hAnsi="Times New Roman" w:cs="Times New Roman"/>
                <w:szCs w:val="24"/>
                <w:lang w:eastAsia="en-IN"/>
              </w:rPr>
            </w:pPr>
            <w:r w:rsidRPr="00BA1C8E">
              <w:rPr>
                <w:rFonts w:ascii="Times New Roman" w:hAnsi="Times New Roman" w:cs="Times New Roman"/>
                <w:szCs w:val="24"/>
                <w:lang w:eastAsia="en-IN"/>
              </w:rPr>
              <w:t>31-03-1969</w:t>
            </w:r>
          </w:p>
        </w:tc>
        <w:tc>
          <w:tcPr>
            <w:tcW w:w="1527" w:type="dxa"/>
            <w:tcBorders>
              <w:top w:val="nil"/>
              <w:left w:val="nil"/>
              <w:bottom w:val="single" w:sz="4" w:space="0" w:color="auto"/>
              <w:right w:val="single" w:sz="4" w:space="0" w:color="auto"/>
            </w:tcBorders>
            <w:shd w:val="clear" w:color="000000" w:fill="FFFFFF"/>
            <w:vAlign w:val="center"/>
            <w:hideMark/>
          </w:tcPr>
          <w:p w14:paraId="17BE824B" w14:textId="77777777" w:rsidR="00CB79AE" w:rsidRPr="00BA1C8E" w:rsidRDefault="00CB79AE" w:rsidP="00B77C0B">
            <w:pPr>
              <w:pStyle w:val="NoSpacing"/>
              <w:rPr>
                <w:rFonts w:ascii="Times New Roman" w:hAnsi="Times New Roman" w:cs="Times New Roman"/>
                <w:szCs w:val="24"/>
                <w:lang w:eastAsia="en-IN"/>
              </w:rPr>
            </w:pPr>
            <w:r w:rsidRPr="00BA1C8E">
              <w:rPr>
                <w:rFonts w:ascii="Times New Roman" w:hAnsi="Times New Roman" w:cs="Times New Roman"/>
                <w:szCs w:val="24"/>
                <w:lang w:eastAsia="en-IN"/>
              </w:rPr>
              <w:t>1.33(f)</w:t>
            </w:r>
          </w:p>
        </w:tc>
        <w:tc>
          <w:tcPr>
            <w:tcW w:w="1442" w:type="dxa"/>
            <w:tcBorders>
              <w:top w:val="nil"/>
              <w:left w:val="nil"/>
              <w:bottom w:val="single" w:sz="4" w:space="0" w:color="auto"/>
              <w:right w:val="single" w:sz="4" w:space="0" w:color="auto"/>
            </w:tcBorders>
            <w:shd w:val="clear" w:color="000000" w:fill="FFFFFF"/>
            <w:vAlign w:val="center"/>
            <w:hideMark/>
          </w:tcPr>
          <w:p w14:paraId="02993969" w14:textId="77777777" w:rsidR="00CB79AE" w:rsidRPr="00BA1C8E" w:rsidRDefault="00CB79AE" w:rsidP="00B77C0B">
            <w:pPr>
              <w:pStyle w:val="NoSpacing"/>
              <w:rPr>
                <w:rFonts w:ascii="Times New Roman" w:hAnsi="Times New Roman" w:cs="Times New Roman"/>
                <w:szCs w:val="24"/>
                <w:lang w:eastAsia="en-IN"/>
              </w:rPr>
            </w:pPr>
            <w:r w:rsidRPr="00BA1C8E">
              <w:rPr>
                <w:rFonts w:ascii="Times New Roman" w:hAnsi="Times New Roman" w:cs="Times New Roman"/>
                <w:szCs w:val="24"/>
                <w:lang w:eastAsia="en-IN"/>
              </w:rPr>
              <w:t>3.94</w:t>
            </w:r>
          </w:p>
        </w:tc>
        <w:tc>
          <w:tcPr>
            <w:tcW w:w="1341" w:type="dxa"/>
            <w:tcBorders>
              <w:top w:val="nil"/>
              <w:left w:val="nil"/>
              <w:bottom w:val="single" w:sz="4" w:space="0" w:color="auto"/>
              <w:right w:val="single" w:sz="4" w:space="0" w:color="auto"/>
            </w:tcBorders>
            <w:shd w:val="clear" w:color="000000" w:fill="FFFFFF"/>
            <w:vAlign w:val="center"/>
            <w:hideMark/>
          </w:tcPr>
          <w:p w14:paraId="4B3C3388" w14:textId="77777777" w:rsidR="00CB79AE" w:rsidRPr="00BA1C8E" w:rsidRDefault="00CB79AE" w:rsidP="00B77C0B">
            <w:pPr>
              <w:pStyle w:val="NoSpacing"/>
              <w:rPr>
                <w:rFonts w:ascii="Times New Roman" w:hAnsi="Times New Roman" w:cs="Times New Roman"/>
                <w:szCs w:val="24"/>
                <w:lang w:eastAsia="en-IN"/>
              </w:rPr>
            </w:pPr>
            <w:r w:rsidRPr="00BA1C8E">
              <w:rPr>
                <w:rFonts w:ascii="Times New Roman" w:hAnsi="Times New Roman" w:cs="Times New Roman"/>
                <w:szCs w:val="24"/>
                <w:lang w:eastAsia="en-IN"/>
              </w:rPr>
              <w:t>N.A.</w:t>
            </w:r>
          </w:p>
        </w:tc>
        <w:tc>
          <w:tcPr>
            <w:tcW w:w="1381" w:type="dxa"/>
            <w:tcBorders>
              <w:top w:val="nil"/>
              <w:left w:val="nil"/>
              <w:bottom w:val="single" w:sz="4" w:space="0" w:color="auto"/>
              <w:right w:val="single" w:sz="4" w:space="0" w:color="auto"/>
            </w:tcBorders>
            <w:shd w:val="clear" w:color="000000" w:fill="FFFFFF"/>
            <w:vAlign w:val="center"/>
            <w:hideMark/>
          </w:tcPr>
          <w:p w14:paraId="5F91BFB3" w14:textId="77777777" w:rsidR="00CB79AE" w:rsidRPr="00BA1C8E" w:rsidRDefault="00CB79AE" w:rsidP="00B77C0B">
            <w:pPr>
              <w:pStyle w:val="NoSpacing"/>
              <w:rPr>
                <w:rFonts w:ascii="Times New Roman" w:hAnsi="Times New Roman" w:cs="Times New Roman"/>
                <w:szCs w:val="24"/>
                <w:lang w:eastAsia="en-IN"/>
              </w:rPr>
            </w:pPr>
            <w:r w:rsidRPr="00BA1C8E">
              <w:rPr>
                <w:rFonts w:ascii="Times New Roman" w:hAnsi="Times New Roman" w:cs="Times New Roman"/>
                <w:szCs w:val="24"/>
                <w:lang w:eastAsia="en-IN"/>
              </w:rPr>
              <w:t>22</w:t>
            </w:r>
          </w:p>
        </w:tc>
        <w:tc>
          <w:tcPr>
            <w:tcW w:w="2201" w:type="dxa"/>
            <w:tcBorders>
              <w:top w:val="nil"/>
              <w:left w:val="nil"/>
              <w:bottom w:val="single" w:sz="4" w:space="0" w:color="auto"/>
              <w:right w:val="single" w:sz="4" w:space="0" w:color="auto"/>
            </w:tcBorders>
            <w:shd w:val="clear" w:color="000000" w:fill="FFFFFF"/>
            <w:vAlign w:val="center"/>
            <w:hideMark/>
          </w:tcPr>
          <w:p w14:paraId="757417F5" w14:textId="77777777" w:rsidR="00CB79AE" w:rsidRPr="00BA1C8E" w:rsidRDefault="00CB79AE" w:rsidP="00B77C0B">
            <w:pPr>
              <w:pStyle w:val="NoSpacing"/>
              <w:rPr>
                <w:rFonts w:ascii="Times New Roman" w:hAnsi="Times New Roman" w:cs="Times New Roman"/>
                <w:szCs w:val="24"/>
                <w:lang w:eastAsia="en-IN"/>
              </w:rPr>
            </w:pPr>
            <w:r w:rsidRPr="00BA1C8E">
              <w:rPr>
                <w:rFonts w:ascii="Times New Roman" w:hAnsi="Times New Roman" w:cs="Times New Roman"/>
                <w:szCs w:val="24"/>
                <w:lang w:eastAsia="en-IN"/>
              </w:rPr>
              <w:t>N.A.</w:t>
            </w:r>
          </w:p>
        </w:tc>
        <w:tc>
          <w:tcPr>
            <w:tcW w:w="1302" w:type="dxa"/>
            <w:tcBorders>
              <w:top w:val="nil"/>
              <w:left w:val="nil"/>
              <w:bottom w:val="single" w:sz="4" w:space="0" w:color="auto"/>
              <w:right w:val="single" w:sz="4" w:space="0" w:color="auto"/>
            </w:tcBorders>
            <w:shd w:val="clear" w:color="000000" w:fill="FFFFFF"/>
            <w:vAlign w:val="center"/>
            <w:hideMark/>
          </w:tcPr>
          <w:p w14:paraId="01C7FB5B" w14:textId="77777777" w:rsidR="00CB79AE" w:rsidRPr="00BA1C8E" w:rsidRDefault="00CB79AE" w:rsidP="00B77C0B">
            <w:pPr>
              <w:pStyle w:val="NoSpacing"/>
              <w:rPr>
                <w:rFonts w:ascii="Times New Roman" w:hAnsi="Times New Roman" w:cs="Times New Roman"/>
                <w:szCs w:val="24"/>
                <w:lang w:eastAsia="en-IN"/>
              </w:rPr>
            </w:pPr>
            <w:r w:rsidRPr="00BA1C8E">
              <w:rPr>
                <w:rFonts w:ascii="Times New Roman" w:hAnsi="Times New Roman" w:cs="Times New Roman"/>
                <w:szCs w:val="24"/>
                <w:lang w:eastAsia="en-IN"/>
              </w:rPr>
              <w:t>1.17(g)</w:t>
            </w:r>
          </w:p>
        </w:tc>
        <w:tc>
          <w:tcPr>
            <w:tcW w:w="1274" w:type="dxa"/>
            <w:tcBorders>
              <w:top w:val="nil"/>
              <w:left w:val="nil"/>
              <w:bottom w:val="single" w:sz="4" w:space="0" w:color="auto"/>
              <w:right w:val="single" w:sz="4" w:space="0" w:color="auto"/>
            </w:tcBorders>
            <w:shd w:val="clear" w:color="000000" w:fill="FFFFFF"/>
            <w:vAlign w:val="center"/>
            <w:hideMark/>
          </w:tcPr>
          <w:p w14:paraId="70029484" w14:textId="77777777" w:rsidR="00CB79AE" w:rsidRPr="00BA1C8E" w:rsidRDefault="00CB79AE" w:rsidP="00B77C0B">
            <w:pPr>
              <w:pStyle w:val="NoSpacing"/>
              <w:rPr>
                <w:rFonts w:ascii="Times New Roman" w:hAnsi="Times New Roman" w:cs="Times New Roman"/>
                <w:szCs w:val="24"/>
                <w:lang w:eastAsia="en-IN"/>
              </w:rPr>
            </w:pPr>
            <w:r w:rsidRPr="00BA1C8E">
              <w:rPr>
                <w:rFonts w:ascii="Times New Roman" w:hAnsi="Times New Roman" w:cs="Times New Roman"/>
                <w:szCs w:val="24"/>
                <w:lang w:eastAsia="en-IN"/>
              </w:rPr>
              <w:t>28.44</w:t>
            </w:r>
          </w:p>
        </w:tc>
      </w:tr>
      <w:tr w:rsidR="00CB79AE" w:rsidRPr="00BA1C8E" w14:paraId="5ED71C66" w14:textId="77777777" w:rsidTr="005A7AAF">
        <w:trPr>
          <w:trHeight w:val="20"/>
        </w:trPr>
        <w:tc>
          <w:tcPr>
            <w:tcW w:w="1920" w:type="dxa"/>
            <w:tcBorders>
              <w:top w:val="nil"/>
              <w:left w:val="single" w:sz="4" w:space="0" w:color="auto"/>
              <w:bottom w:val="single" w:sz="4" w:space="0" w:color="auto"/>
              <w:right w:val="single" w:sz="4" w:space="0" w:color="auto"/>
            </w:tcBorders>
            <w:shd w:val="clear" w:color="000000" w:fill="FFFFFF"/>
            <w:vAlign w:val="center"/>
            <w:hideMark/>
          </w:tcPr>
          <w:p w14:paraId="199F5BA7" w14:textId="77777777" w:rsidR="00CB79AE" w:rsidRPr="00BA1C8E" w:rsidRDefault="00CB79AE" w:rsidP="00B77C0B">
            <w:pPr>
              <w:pStyle w:val="NoSpacing"/>
              <w:rPr>
                <w:rFonts w:ascii="Times New Roman" w:hAnsi="Times New Roman" w:cs="Times New Roman"/>
                <w:szCs w:val="24"/>
                <w:lang w:eastAsia="en-IN"/>
              </w:rPr>
            </w:pPr>
            <w:r w:rsidRPr="00BA1C8E">
              <w:rPr>
                <w:rFonts w:ascii="Times New Roman" w:hAnsi="Times New Roman" w:cs="Times New Roman"/>
                <w:szCs w:val="24"/>
                <w:lang w:eastAsia="en-IN"/>
              </w:rPr>
              <w:t>TOTAL</w:t>
            </w:r>
          </w:p>
        </w:tc>
        <w:tc>
          <w:tcPr>
            <w:tcW w:w="1619" w:type="dxa"/>
            <w:tcBorders>
              <w:top w:val="nil"/>
              <w:left w:val="nil"/>
              <w:bottom w:val="single" w:sz="4" w:space="0" w:color="auto"/>
              <w:right w:val="single" w:sz="4" w:space="0" w:color="auto"/>
            </w:tcBorders>
            <w:shd w:val="clear" w:color="000000" w:fill="FFFFFF"/>
            <w:vAlign w:val="center"/>
            <w:hideMark/>
          </w:tcPr>
          <w:p w14:paraId="118BE000" w14:textId="77777777" w:rsidR="00CB79AE" w:rsidRPr="00BA1C8E" w:rsidRDefault="00CB79AE" w:rsidP="00B77C0B">
            <w:pPr>
              <w:pStyle w:val="NoSpacing"/>
              <w:rPr>
                <w:rFonts w:ascii="Times New Roman" w:hAnsi="Times New Roman" w:cs="Times New Roman"/>
                <w:szCs w:val="24"/>
                <w:lang w:eastAsia="en-IN"/>
              </w:rPr>
            </w:pPr>
            <w:r w:rsidRPr="00BA1C8E">
              <w:rPr>
                <w:rFonts w:ascii="Times New Roman" w:hAnsi="Times New Roman" w:cs="Times New Roman"/>
                <w:szCs w:val="24"/>
                <w:lang w:eastAsia="en-IN"/>
              </w:rPr>
              <w:t> </w:t>
            </w:r>
          </w:p>
        </w:tc>
        <w:tc>
          <w:tcPr>
            <w:tcW w:w="1527" w:type="dxa"/>
            <w:tcBorders>
              <w:top w:val="nil"/>
              <w:left w:val="nil"/>
              <w:bottom w:val="single" w:sz="4" w:space="0" w:color="auto"/>
              <w:right w:val="single" w:sz="4" w:space="0" w:color="auto"/>
            </w:tcBorders>
            <w:shd w:val="clear" w:color="000000" w:fill="FFFFFF"/>
            <w:vAlign w:val="center"/>
            <w:hideMark/>
          </w:tcPr>
          <w:p w14:paraId="3E1D1AAB" w14:textId="77777777" w:rsidR="00CB79AE" w:rsidRPr="00BA1C8E" w:rsidRDefault="00CB79AE" w:rsidP="00B77C0B">
            <w:pPr>
              <w:pStyle w:val="NoSpacing"/>
              <w:rPr>
                <w:rFonts w:ascii="Times New Roman" w:hAnsi="Times New Roman" w:cs="Times New Roman"/>
                <w:szCs w:val="24"/>
                <w:lang w:eastAsia="en-IN"/>
              </w:rPr>
            </w:pPr>
            <w:r w:rsidRPr="00BA1C8E">
              <w:rPr>
                <w:rFonts w:ascii="Times New Roman" w:hAnsi="Times New Roman" w:cs="Times New Roman"/>
                <w:szCs w:val="24"/>
                <w:lang w:eastAsia="en-IN"/>
              </w:rPr>
              <w:t>5.64</w:t>
            </w:r>
          </w:p>
        </w:tc>
        <w:tc>
          <w:tcPr>
            <w:tcW w:w="1442" w:type="dxa"/>
            <w:tcBorders>
              <w:top w:val="nil"/>
              <w:left w:val="nil"/>
              <w:bottom w:val="single" w:sz="4" w:space="0" w:color="auto"/>
              <w:right w:val="single" w:sz="4" w:space="0" w:color="auto"/>
            </w:tcBorders>
            <w:shd w:val="clear" w:color="000000" w:fill="FFFFFF"/>
            <w:vAlign w:val="center"/>
            <w:hideMark/>
          </w:tcPr>
          <w:p w14:paraId="7D94F493" w14:textId="77777777" w:rsidR="00CB79AE" w:rsidRPr="00BA1C8E" w:rsidRDefault="00CB79AE" w:rsidP="00B77C0B">
            <w:pPr>
              <w:pStyle w:val="NoSpacing"/>
              <w:rPr>
                <w:rFonts w:ascii="Times New Roman" w:hAnsi="Times New Roman" w:cs="Times New Roman"/>
                <w:szCs w:val="24"/>
                <w:lang w:eastAsia="en-IN"/>
              </w:rPr>
            </w:pPr>
            <w:r w:rsidRPr="00BA1C8E">
              <w:rPr>
                <w:rFonts w:ascii="Times New Roman" w:hAnsi="Times New Roman" w:cs="Times New Roman"/>
                <w:szCs w:val="24"/>
                <w:lang w:eastAsia="en-IN"/>
              </w:rPr>
              <w:t>68.49</w:t>
            </w:r>
          </w:p>
        </w:tc>
        <w:tc>
          <w:tcPr>
            <w:tcW w:w="1341" w:type="dxa"/>
            <w:tcBorders>
              <w:top w:val="nil"/>
              <w:left w:val="nil"/>
              <w:bottom w:val="single" w:sz="4" w:space="0" w:color="auto"/>
              <w:right w:val="single" w:sz="4" w:space="0" w:color="auto"/>
            </w:tcBorders>
            <w:shd w:val="clear" w:color="000000" w:fill="FFFFFF"/>
            <w:vAlign w:val="center"/>
            <w:hideMark/>
          </w:tcPr>
          <w:p w14:paraId="56779F2A" w14:textId="77777777" w:rsidR="00CB79AE" w:rsidRPr="00BA1C8E" w:rsidRDefault="00CB79AE" w:rsidP="00B77C0B">
            <w:pPr>
              <w:pStyle w:val="NoSpacing"/>
              <w:rPr>
                <w:rFonts w:ascii="Times New Roman" w:hAnsi="Times New Roman" w:cs="Times New Roman"/>
                <w:szCs w:val="24"/>
                <w:lang w:eastAsia="en-IN"/>
              </w:rPr>
            </w:pPr>
            <w:r w:rsidRPr="00BA1C8E">
              <w:rPr>
                <w:rFonts w:ascii="Times New Roman" w:hAnsi="Times New Roman" w:cs="Times New Roman"/>
                <w:szCs w:val="24"/>
                <w:lang w:eastAsia="en-IN"/>
              </w:rPr>
              <w:t>8.31</w:t>
            </w:r>
          </w:p>
        </w:tc>
        <w:tc>
          <w:tcPr>
            <w:tcW w:w="1381" w:type="dxa"/>
            <w:tcBorders>
              <w:top w:val="nil"/>
              <w:left w:val="nil"/>
              <w:bottom w:val="single" w:sz="4" w:space="0" w:color="auto"/>
              <w:right w:val="single" w:sz="4" w:space="0" w:color="auto"/>
            </w:tcBorders>
            <w:shd w:val="clear" w:color="000000" w:fill="FFFFFF"/>
            <w:vAlign w:val="center"/>
            <w:hideMark/>
          </w:tcPr>
          <w:p w14:paraId="46220086" w14:textId="77777777" w:rsidR="00CB79AE" w:rsidRPr="00BA1C8E" w:rsidRDefault="00CB79AE" w:rsidP="00B77C0B">
            <w:pPr>
              <w:pStyle w:val="NoSpacing"/>
              <w:rPr>
                <w:rFonts w:ascii="Times New Roman" w:hAnsi="Times New Roman" w:cs="Times New Roman"/>
                <w:szCs w:val="24"/>
                <w:lang w:eastAsia="en-IN"/>
              </w:rPr>
            </w:pPr>
            <w:r w:rsidRPr="00BA1C8E">
              <w:rPr>
                <w:rFonts w:ascii="Times New Roman" w:hAnsi="Times New Roman" w:cs="Times New Roman"/>
                <w:szCs w:val="24"/>
                <w:lang w:eastAsia="en-IN"/>
              </w:rPr>
              <w:t>95.09</w:t>
            </w:r>
          </w:p>
        </w:tc>
        <w:tc>
          <w:tcPr>
            <w:tcW w:w="2201" w:type="dxa"/>
            <w:tcBorders>
              <w:top w:val="nil"/>
              <w:left w:val="nil"/>
              <w:bottom w:val="single" w:sz="4" w:space="0" w:color="auto"/>
              <w:right w:val="single" w:sz="4" w:space="0" w:color="auto"/>
            </w:tcBorders>
            <w:shd w:val="clear" w:color="000000" w:fill="FFFFFF"/>
            <w:vAlign w:val="center"/>
            <w:hideMark/>
          </w:tcPr>
          <w:p w14:paraId="217AEE99" w14:textId="77777777" w:rsidR="00CB79AE" w:rsidRPr="00BA1C8E" w:rsidRDefault="00CB79AE" w:rsidP="00B77C0B">
            <w:pPr>
              <w:pStyle w:val="NoSpacing"/>
              <w:rPr>
                <w:rFonts w:ascii="Times New Roman" w:hAnsi="Times New Roman" w:cs="Times New Roman"/>
                <w:szCs w:val="24"/>
                <w:lang w:eastAsia="en-IN"/>
              </w:rPr>
            </w:pPr>
            <w:r w:rsidRPr="00BA1C8E">
              <w:rPr>
                <w:rFonts w:ascii="Times New Roman" w:hAnsi="Times New Roman" w:cs="Times New Roman"/>
                <w:szCs w:val="24"/>
                <w:lang w:eastAsia="en-IN"/>
              </w:rPr>
              <w:t>0.23</w:t>
            </w:r>
          </w:p>
        </w:tc>
        <w:tc>
          <w:tcPr>
            <w:tcW w:w="1302" w:type="dxa"/>
            <w:tcBorders>
              <w:top w:val="nil"/>
              <w:left w:val="nil"/>
              <w:bottom w:val="single" w:sz="4" w:space="0" w:color="auto"/>
              <w:right w:val="single" w:sz="4" w:space="0" w:color="auto"/>
            </w:tcBorders>
            <w:shd w:val="clear" w:color="000000" w:fill="FFFFFF"/>
            <w:vAlign w:val="center"/>
            <w:hideMark/>
          </w:tcPr>
          <w:p w14:paraId="042015DD" w14:textId="77777777" w:rsidR="00CB79AE" w:rsidRPr="00BA1C8E" w:rsidRDefault="00CB79AE" w:rsidP="00B77C0B">
            <w:pPr>
              <w:pStyle w:val="NoSpacing"/>
              <w:rPr>
                <w:rFonts w:ascii="Times New Roman" w:hAnsi="Times New Roman" w:cs="Times New Roman"/>
                <w:szCs w:val="24"/>
                <w:lang w:eastAsia="en-IN"/>
              </w:rPr>
            </w:pPr>
            <w:r w:rsidRPr="00BA1C8E">
              <w:rPr>
                <w:rFonts w:ascii="Times New Roman" w:hAnsi="Times New Roman" w:cs="Times New Roman"/>
                <w:szCs w:val="24"/>
                <w:lang w:eastAsia="en-IN"/>
              </w:rPr>
              <w:t>8.02</w:t>
            </w:r>
          </w:p>
        </w:tc>
        <w:tc>
          <w:tcPr>
            <w:tcW w:w="1274" w:type="dxa"/>
            <w:tcBorders>
              <w:top w:val="nil"/>
              <w:left w:val="nil"/>
              <w:bottom w:val="single" w:sz="4" w:space="0" w:color="auto"/>
              <w:right w:val="single" w:sz="4" w:space="0" w:color="auto"/>
            </w:tcBorders>
            <w:shd w:val="clear" w:color="000000" w:fill="FFFFFF"/>
            <w:vAlign w:val="center"/>
            <w:hideMark/>
          </w:tcPr>
          <w:p w14:paraId="5DF36E30" w14:textId="77777777" w:rsidR="00CB79AE" w:rsidRPr="00BA1C8E" w:rsidRDefault="00CB79AE" w:rsidP="00B77C0B">
            <w:pPr>
              <w:pStyle w:val="NoSpacing"/>
              <w:rPr>
                <w:rFonts w:ascii="Times New Roman" w:hAnsi="Times New Roman" w:cs="Times New Roman"/>
                <w:szCs w:val="24"/>
                <w:lang w:eastAsia="en-IN"/>
              </w:rPr>
            </w:pPr>
            <w:r w:rsidRPr="00BA1C8E">
              <w:rPr>
                <w:rFonts w:ascii="Times New Roman" w:hAnsi="Times New Roman" w:cs="Times New Roman"/>
                <w:szCs w:val="24"/>
                <w:lang w:eastAsia="en-IN"/>
              </w:rPr>
              <w:t>185.78</w:t>
            </w:r>
          </w:p>
        </w:tc>
      </w:tr>
    </w:tbl>
    <w:p w14:paraId="4F20B50A" w14:textId="77777777" w:rsidR="00CB79AE" w:rsidRPr="007245B0" w:rsidRDefault="00CB79AE" w:rsidP="00BA1C8E">
      <w:pPr>
        <w:pStyle w:val="Sources"/>
      </w:pPr>
      <w:r w:rsidRPr="007245B0">
        <w:t>(a) As at the end of the agricultural year.</w:t>
      </w:r>
    </w:p>
    <w:p w14:paraId="34CE2377" w14:textId="77777777" w:rsidR="00CB79AE" w:rsidRPr="007245B0" w:rsidRDefault="00CB79AE" w:rsidP="00BA1C8E">
      <w:pPr>
        <w:pStyle w:val="Sources"/>
      </w:pPr>
      <w:r w:rsidRPr="007245B0">
        <w:t>(b) Includes Rs. 8.26 crores pertaining to 1967-68.</w:t>
      </w:r>
    </w:p>
    <w:p w14:paraId="6333561C" w14:textId="77777777" w:rsidR="00CB79AE" w:rsidRPr="007245B0" w:rsidRDefault="00CB79AE" w:rsidP="00BA1C8E">
      <w:pPr>
        <w:pStyle w:val="Sources"/>
      </w:pPr>
      <w:r w:rsidRPr="007245B0">
        <w:t>(c) As supplied by the State Government to the Fifth Planning Commission.</w:t>
      </w:r>
    </w:p>
    <w:p w14:paraId="437B4DC2" w14:textId="77777777" w:rsidR="00CB79AE" w:rsidRPr="007245B0" w:rsidRDefault="00CB79AE" w:rsidP="00BA1C8E">
      <w:pPr>
        <w:pStyle w:val="Sources"/>
      </w:pPr>
      <w:r w:rsidRPr="007245B0">
        <w:t>(d) Relates to sugarcane cess and tax on purchase of sugarcane.</w:t>
      </w:r>
    </w:p>
    <w:p w14:paraId="6C62E04B" w14:textId="77777777" w:rsidR="00CB79AE" w:rsidRPr="007245B0" w:rsidRDefault="00CB79AE" w:rsidP="00BA1C8E">
      <w:pPr>
        <w:pStyle w:val="Sources"/>
      </w:pPr>
      <w:r w:rsidRPr="007245B0">
        <w:t>(e) Includes Rs. 2.68 crores in respect of consolidation fee.</w:t>
      </w:r>
    </w:p>
    <w:p w14:paraId="28438EC4" w14:textId="77777777" w:rsidR="00CB79AE" w:rsidRPr="007245B0" w:rsidRDefault="00CB79AE" w:rsidP="00BA1C8E">
      <w:pPr>
        <w:pStyle w:val="Sources"/>
      </w:pPr>
      <w:r w:rsidRPr="007245B0">
        <w:t>(f) Relates to 1967-68 end.</w:t>
      </w:r>
    </w:p>
    <w:p w14:paraId="42C8AFDF" w14:textId="77777777" w:rsidR="00CB79AE" w:rsidRPr="007245B0" w:rsidRDefault="00CB79AE" w:rsidP="00BA1C8E">
      <w:pPr>
        <w:pStyle w:val="Sources"/>
      </w:pPr>
      <w:r w:rsidRPr="007245B0">
        <w:t>(g) This is in respect of tax on raw jute.</w:t>
      </w:r>
    </w:p>
    <w:p w14:paraId="04232900" w14:textId="77777777" w:rsidR="00CB79AE" w:rsidRPr="007245B0" w:rsidRDefault="00CB79AE" w:rsidP="00CB79AE">
      <w:pPr>
        <w:rPr>
          <w:rFonts w:ascii="Times New Roman" w:hAnsi="Times New Roman" w:cs="Times New Roman"/>
        </w:rPr>
        <w:sectPr w:rsidR="00CB79AE" w:rsidRPr="007245B0" w:rsidSect="00CB79AE">
          <w:pgSz w:w="16838" w:h="11906" w:orient="landscape"/>
          <w:pgMar w:top="284" w:right="425" w:bottom="1440" w:left="1440" w:header="709" w:footer="709" w:gutter="0"/>
          <w:cols w:space="708"/>
          <w:docGrid w:linePitch="360"/>
        </w:sectPr>
      </w:pPr>
    </w:p>
    <w:p w14:paraId="624ADAA4" w14:textId="3DB7CABC" w:rsidR="00CE7183" w:rsidRPr="00CE7183" w:rsidRDefault="00574BCE" w:rsidP="00CE7183">
      <w:pPr>
        <w:pStyle w:val="Heading4"/>
        <w:rPr>
          <w:rStyle w:val="Heading4Char"/>
          <w:b/>
          <w:bCs/>
        </w:rPr>
      </w:pPr>
      <w:bookmarkStart w:id="84" w:name="_Toc220949698"/>
      <w:bookmarkStart w:id="85" w:name="_Toc221114298"/>
      <w:bookmarkStart w:id="86" w:name="_Toc221115321"/>
      <w:r>
        <w:rPr>
          <w:rStyle w:val="Heading4Char"/>
          <w:b/>
          <w:bCs/>
        </w:rPr>
        <w:lastRenderedPageBreak/>
        <w:t>Table</w:t>
      </w:r>
      <w:r w:rsidR="00CE4C34" w:rsidRPr="00CE7183">
        <w:rPr>
          <w:rStyle w:val="Heading4Char"/>
          <w:b/>
          <w:bCs/>
        </w:rPr>
        <w:t xml:space="preserve"> 18: Percentage of land revenue arrears to the total demand</w:t>
      </w:r>
      <w:bookmarkEnd w:id="84"/>
      <w:bookmarkEnd w:id="85"/>
      <w:bookmarkEnd w:id="86"/>
    </w:p>
    <w:p w14:paraId="393709D2" w14:textId="6CB2AF73" w:rsidR="00CE4C34" w:rsidRPr="007245B0" w:rsidRDefault="00CE4C34" w:rsidP="00CE7183">
      <w:pPr>
        <w:jc w:val="right"/>
        <w:rPr>
          <w:rFonts w:ascii="Times New Roman" w:hAnsi="Times New Roman" w:cs="Times New Roman"/>
        </w:rPr>
      </w:pPr>
      <w:r w:rsidRPr="007245B0">
        <w:rPr>
          <w:rFonts w:ascii="Times New Roman" w:hAnsi="Times New Roman" w:cs="Times New Roman"/>
          <w:i/>
          <w:iCs/>
        </w:rPr>
        <w:t>(Percentages)</w:t>
      </w:r>
    </w:p>
    <w:tbl>
      <w:tblPr>
        <w:tblW w:w="10551" w:type="dxa"/>
        <w:tblLook w:val="04A0" w:firstRow="1" w:lastRow="0" w:firstColumn="1" w:lastColumn="0" w:noHBand="0" w:noVBand="1"/>
      </w:tblPr>
      <w:tblGrid>
        <w:gridCol w:w="3063"/>
        <w:gridCol w:w="1839"/>
        <w:gridCol w:w="1841"/>
        <w:gridCol w:w="1841"/>
        <w:gridCol w:w="1967"/>
      </w:tblGrid>
      <w:tr w:rsidR="00CE4C34" w:rsidRPr="00CE7183" w14:paraId="236D3A96" w14:textId="77777777" w:rsidTr="00B77C0B">
        <w:trPr>
          <w:trHeight w:val="301"/>
        </w:trPr>
        <w:tc>
          <w:tcPr>
            <w:tcW w:w="306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F80964F" w14:textId="77777777" w:rsidR="00CE4C34" w:rsidRPr="00CE7183" w:rsidRDefault="00CE4C34" w:rsidP="00B77C0B">
            <w:pPr>
              <w:spacing w:after="0" w:line="240" w:lineRule="auto"/>
              <w:ind w:firstLineChars="100" w:firstLine="241"/>
              <w:rPr>
                <w:rFonts w:ascii="Times New Roman" w:eastAsia="Times New Roman" w:hAnsi="Times New Roman" w:cs="Times New Roman"/>
                <w:b/>
                <w:bCs/>
                <w:color w:val="1A1C1E"/>
                <w:kern w:val="0"/>
                <w:szCs w:val="24"/>
                <w:lang w:eastAsia="en-IN"/>
                <w14:ligatures w14:val="none"/>
              </w:rPr>
            </w:pPr>
            <w:r w:rsidRPr="00CE7183">
              <w:rPr>
                <w:rFonts w:ascii="Times New Roman" w:eastAsia="Times New Roman" w:hAnsi="Times New Roman" w:cs="Times New Roman"/>
                <w:b/>
                <w:bCs/>
                <w:color w:val="1A1C1E"/>
                <w:kern w:val="0"/>
                <w:szCs w:val="24"/>
                <w:lang w:eastAsia="en-IN"/>
                <w14:ligatures w14:val="none"/>
              </w:rPr>
              <w:t>States</w:t>
            </w:r>
          </w:p>
        </w:tc>
        <w:tc>
          <w:tcPr>
            <w:tcW w:w="1839" w:type="dxa"/>
            <w:tcBorders>
              <w:top w:val="single" w:sz="4" w:space="0" w:color="auto"/>
              <w:left w:val="nil"/>
              <w:bottom w:val="single" w:sz="4" w:space="0" w:color="auto"/>
              <w:right w:val="single" w:sz="4" w:space="0" w:color="auto"/>
            </w:tcBorders>
            <w:shd w:val="clear" w:color="000000" w:fill="FFFFFF"/>
            <w:vAlign w:val="center"/>
            <w:hideMark/>
          </w:tcPr>
          <w:p w14:paraId="53130015" w14:textId="77777777" w:rsidR="00CE4C34" w:rsidRPr="00CE7183" w:rsidRDefault="00CE4C34" w:rsidP="00B77C0B">
            <w:pPr>
              <w:spacing w:after="0" w:line="240" w:lineRule="auto"/>
              <w:ind w:firstLineChars="100" w:firstLine="241"/>
              <w:rPr>
                <w:rFonts w:ascii="Times New Roman" w:eastAsia="Times New Roman" w:hAnsi="Times New Roman" w:cs="Times New Roman"/>
                <w:b/>
                <w:bCs/>
                <w:color w:val="1A1C1E"/>
                <w:kern w:val="0"/>
                <w:szCs w:val="24"/>
                <w:lang w:eastAsia="en-IN"/>
                <w14:ligatures w14:val="none"/>
              </w:rPr>
            </w:pPr>
            <w:r w:rsidRPr="00CE7183">
              <w:rPr>
                <w:rFonts w:ascii="Times New Roman" w:eastAsia="Times New Roman" w:hAnsi="Times New Roman" w:cs="Times New Roman"/>
                <w:b/>
                <w:bCs/>
                <w:color w:val="1A1C1E"/>
                <w:kern w:val="0"/>
                <w:szCs w:val="24"/>
                <w:lang w:eastAsia="en-IN"/>
                <w14:ligatures w14:val="none"/>
              </w:rPr>
              <w:t>1964-65</w:t>
            </w:r>
          </w:p>
        </w:tc>
        <w:tc>
          <w:tcPr>
            <w:tcW w:w="1841" w:type="dxa"/>
            <w:tcBorders>
              <w:top w:val="single" w:sz="4" w:space="0" w:color="auto"/>
              <w:left w:val="nil"/>
              <w:bottom w:val="single" w:sz="4" w:space="0" w:color="auto"/>
              <w:right w:val="single" w:sz="4" w:space="0" w:color="auto"/>
            </w:tcBorders>
            <w:shd w:val="clear" w:color="000000" w:fill="FFFFFF"/>
            <w:vAlign w:val="center"/>
            <w:hideMark/>
          </w:tcPr>
          <w:p w14:paraId="1AF705FD" w14:textId="77777777" w:rsidR="00CE4C34" w:rsidRPr="00CE7183" w:rsidRDefault="00CE4C34" w:rsidP="00B77C0B">
            <w:pPr>
              <w:spacing w:after="0" w:line="240" w:lineRule="auto"/>
              <w:ind w:firstLineChars="100" w:firstLine="241"/>
              <w:rPr>
                <w:rFonts w:ascii="Times New Roman" w:eastAsia="Times New Roman" w:hAnsi="Times New Roman" w:cs="Times New Roman"/>
                <w:b/>
                <w:bCs/>
                <w:color w:val="1A1C1E"/>
                <w:kern w:val="0"/>
                <w:szCs w:val="24"/>
                <w:lang w:eastAsia="en-IN"/>
                <w14:ligatures w14:val="none"/>
              </w:rPr>
            </w:pPr>
            <w:r w:rsidRPr="00CE7183">
              <w:rPr>
                <w:rFonts w:ascii="Times New Roman" w:eastAsia="Times New Roman" w:hAnsi="Times New Roman" w:cs="Times New Roman"/>
                <w:b/>
                <w:bCs/>
                <w:color w:val="1A1C1E"/>
                <w:kern w:val="0"/>
                <w:szCs w:val="24"/>
                <w:lang w:eastAsia="en-IN"/>
                <w14:ligatures w14:val="none"/>
              </w:rPr>
              <w:t>1965-66</w:t>
            </w:r>
          </w:p>
        </w:tc>
        <w:tc>
          <w:tcPr>
            <w:tcW w:w="1841" w:type="dxa"/>
            <w:tcBorders>
              <w:top w:val="single" w:sz="4" w:space="0" w:color="auto"/>
              <w:left w:val="nil"/>
              <w:bottom w:val="single" w:sz="4" w:space="0" w:color="auto"/>
              <w:right w:val="single" w:sz="4" w:space="0" w:color="auto"/>
            </w:tcBorders>
            <w:shd w:val="clear" w:color="000000" w:fill="FFFFFF"/>
            <w:vAlign w:val="center"/>
            <w:hideMark/>
          </w:tcPr>
          <w:p w14:paraId="11AD8504" w14:textId="77777777" w:rsidR="00CE4C34" w:rsidRPr="00CE7183" w:rsidRDefault="00CE4C34" w:rsidP="00B77C0B">
            <w:pPr>
              <w:spacing w:after="0" w:line="240" w:lineRule="auto"/>
              <w:ind w:firstLineChars="100" w:firstLine="241"/>
              <w:rPr>
                <w:rFonts w:ascii="Times New Roman" w:eastAsia="Times New Roman" w:hAnsi="Times New Roman" w:cs="Times New Roman"/>
                <w:b/>
                <w:bCs/>
                <w:color w:val="1A1C1E"/>
                <w:kern w:val="0"/>
                <w:szCs w:val="24"/>
                <w:lang w:eastAsia="en-IN"/>
                <w14:ligatures w14:val="none"/>
              </w:rPr>
            </w:pPr>
            <w:r w:rsidRPr="00CE7183">
              <w:rPr>
                <w:rFonts w:ascii="Times New Roman" w:eastAsia="Times New Roman" w:hAnsi="Times New Roman" w:cs="Times New Roman"/>
                <w:b/>
                <w:bCs/>
                <w:color w:val="1A1C1E"/>
                <w:kern w:val="0"/>
                <w:szCs w:val="24"/>
                <w:lang w:eastAsia="en-IN"/>
                <w14:ligatures w14:val="none"/>
              </w:rPr>
              <w:t>1966-67</w:t>
            </w:r>
          </w:p>
        </w:tc>
        <w:tc>
          <w:tcPr>
            <w:tcW w:w="1967" w:type="dxa"/>
            <w:tcBorders>
              <w:top w:val="single" w:sz="4" w:space="0" w:color="auto"/>
              <w:left w:val="nil"/>
              <w:bottom w:val="single" w:sz="4" w:space="0" w:color="auto"/>
              <w:right w:val="single" w:sz="4" w:space="0" w:color="auto"/>
            </w:tcBorders>
            <w:shd w:val="clear" w:color="000000" w:fill="FFFFFF"/>
            <w:vAlign w:val="center"/>
            <w:hideMark/>
          </w:tcPr>
          <w:p w14:paraId="48D4B694" w14:textId="77777777" w:rsidR="00CE4C34" w:rsidRPr="00CE7183" w:rsidRDefault="00CE4C34" w:rsidP="00B77C0B">
            <w:pPr>
              <w:spacing w:after="0" w:line="240" w:lineRule="auto"/>
              <w:ind w:firstLineChars="100" w:firstLine="241"/>
              <w:rPr>
                <w:rFonts w:ascii="Times New Roman" w:eastAsia="Times New Roman" w:hAnsi="Times New Roman" w:cs="Times New Roman"/>
                <w:b/>
                <w:bCs/>
                <w:color w:val="1A1C1E"/>
                <w:kern w:val="0"/>
                <w:szCs w:val="24"/>
                <w:lang w:eastAsia="en-IN"/>
                <w14:ligatures w14:val="none"/>
              </w:rPr>
            </w:pPr>
            <w:r w:rsidRPr="00CE7183">
              <w:rPr>
                <w:rFonts w:ascii="Times New Roman" w:eastAsia="Times New Roman" w:hAnsi="Times New Roman" w:cs="Times New Roman"/>
                <w:b/>
                <w:bCs/>
                <w:color w:val="1A1C1E"/>
                <w:kern w:val="0"/>
                <w:szCs w:val="24"/>
                <w:lang w:eastAsia="en-IN"/>
                <w14:ligatures w14:val="none"/>
              </w:rPr>
              <w:t>1967-68</w:t>
            </w:r>
          </w:p>
        </w:tc>
      </w:tr>
      <w:tr w:rsidR="00CE4C34" w:rsidRPr="00CE7183" w14:paraId="7C42CFA0" w14:textId="77777777" w:rsidTr="00B77C0B">
        <w:trPr>
          <w:trHeight w:val="301"/>
        </w:trPr>
        <w:tc>
          <w:tcPr>
            <w:tcW w:w="3063" w:type="dxa"/>
            <w:tcBorders>
              <w:top w:val="nil"/>
              <w:left w:val="single" w:sz="4" w:space="0" w:color="auto"/>
              <w:bottom w:val="single" w:sz="4" w:space="0" w:color="auto"/>
              <w:right w:val="single" w:sz="4" w:space="0" w:color="auto"/>
            </w:tcBorders>
            <w:shd w:val="clear" w:color="000000" w:fill="FFFFFF"/>
            <w:vAlign w:val="center"/>
            <w:hideMark/>
          </w:tcPr>
          <w:p w14:paraId="306D58C5" w14:textId="77777777" w:rsidR="00CE4C34" w:rsidRPr="00CE7183" w:rsidRDefault="00CE4C34" w:rsidP="00B77C0B">
            <w:pPr>
              <w:spacing w:after="0" w:line="240" w:lineRule="auto"/>
              <w:jc w:val="center"/>
              <w:rPr>
                <w:rFonts w:ascii="Times New Roman" w:eastAsia="Times New Roman" w:hAnsi="Times New Roman" w:cs="Times New Roman"/>
                <w:b/>
                <w:bCs/>
                <w:color w:val="1A1C1E"/>
                <w:kern w:val="0"/>
                <w:szCs w:val="24"/>
                <w:lang w:eastAsia="en-IN"/>
                <w14:ligatures w14:val="none"/>
              </w:rPr>
            </w:pPr>
            <w:r w:rsidRPr="00CE7183">
              <w:rPr>
                <w:rFonts w:ascii="Times New Roman" w:eastAsia="Times New Roman" w:hAnsi="Times New Roman" w:cs="Times New Roman"/>
                <w:b/>
                <w:bCs/>
                <w:color w:val="1A1C1E"/>
                <w:kern w:val="0"/>
                <w:szCs w:val="24"/>
                <w:lang w:eastAsia="en-IN"/>
                <w14:ligatures w14:val="none"/>
              </w:rPr>
              <w:t>1</w:t>
            </w:r>
          </w:p>
        </w:tc>
        <w:tc>
          <w:tcPr>
            <w:tcW w:w="1839" w:type="dxa"/>
            <w:tcBorders>
              <w:top w:val="nil"/>
              <w:left w:val="nil"/>
              <w:bottom w:val="single" w:sz="4" w:space="0" w:color="auto"/>
              <w:right w:val="single" w:sz="4" w:space="0" w:color="auto"/>
            </w:tcBorders>
            <w:shd w:val="clear" w:color="000000" w:fill="FFFFFF"/>
            <w:vAlign w:val="center"/>
            <w:hideMark/>
          </w:tcPr>
          <w:p w14:paraId="6DF353F5" w14:textId="77777777" w:rsidR="00CE4C34" w:rsidRPr="00CE7183" w:rsidRDefault="00CE4C34" w:rsidP="00B77C0B">
            <w:pPr>
              <w:spacing w:after="0" w:line="240" w:lineRule="auto"/>
              <w:jc w:val="center"/>
              <w:rPr>
                <w:rFonts w:ascii="Times New Roman" w:eastAsia="Times New Roman" w:hAnsi="Times New Roman" w:cs="Times New Roman"/>
                <w:b/>
                <w:bCs/>
                <w:color w:val="1A1C1E"/>
                <w:kern w:val="0"/>
                <w:szCs w:val="24"/>
                <w:lang w:eastAsia="en-IN"/>
                <w14:ligatures w14:val="none"/>
              </w:rPr>
            </w:pPr>
            <w:r w:rsidRPr="00CE7183">
              <w:rPr>
                <w:rFonts w:ascii="Times New Roman" w:eastAsia="Times New Roman" w:hAnsi="Times New Roman" w:cs="Times New Roman"/>
                <w:b/>
                <w:bCs/>
                <w:color w:val="1A1C1E"/>
                <w:kern w:val="0"/>
                <w:szCs w:val="24"/>
                <w:lang w:eastAsia="en-IN"/>
                <w14:ligatures w14:val="none"/>
              </w:rPr>
              <w:t>2</w:t>
            </w:r>
          </w:p>
        </w:tc>
        <w:tc>
          <w:tcPr>
            <w:tcW w:w="1841" w:type="dxa"/>
            <w:tcBorders>
              <w:top w:val="nil"/>
              <w:left w:val="nil"/>
              <w:bottom w:val="single" w:sz="4" w:space="0" w:color="auto"/>
              <w:right w:val="single" w:sz="4" w:space="0" w:color="auto"/>
            </w:tcBorders>
            <w:shd w:val="clear" w:color="000000" w:fill="FFFFFF"/>
            <w:vAlign w:val="center"/>
            <w:hideMark/>
          </w:tcPr>
          <w:p w14:paraId="2AE8C867" w14:textId="77777777" w:rsidR="00CE4C34" w:rsidRPr="00CE7183" w:rsidRDefault="00CE4C34" w:rsidP="00B77C0B">
            <w:pPr>
              <w:spacing w:after="0" w:line="240" w:lineRule="auto"/>
              <w:jc w:val="center"/>
              <w:rPr>
                <w:rFonts w:ascii="Times New Roman" w:eastAsia="Times New Roman" w:hAnsi="Times New Roman" w:cs="Times New Roman"/>
                <w:b/>
                <w:bCs/>
                <w:color w:val="1A1C1E"/>
                <w:kern w:val="0"/>
                <w:szCs w:val="24"/>
                <w:lang w:eastAsia="en-IN"/>
                <w14:ligatures w14:val="none"/>
              </w:rPr>
            </w:pPr>
            <w:r w:rsidRPr="00CE7183">
              <w:rPr>
                <w:rFonts w:ascii="Times New Roman" w:eastAsia="Times New Roman" w:hAnsi="Times New Roman" w:cs="Times New Roman"/>
                <w:b/>
                <w:bCs/>
                <w:color w:val="1A1C1E"/>
                <w:kern w:val="0"/>
                <w:szCs w:val="24"/>
                <w:lang w:eastAsia="en-IN"/>
                <w14:ligatures w14:val="none"/>
              </w:rPr>
              <w:t>3</w:t>
            </w:r>
          </w:p>
        </w:tc>
        <w:tc>
          <w:tcPr>
            <w:tcW w:w="1841" w:type="dxa"/>
            <w:tcBorders>
              <w:top w:val="nil"/>
              <w:left w:val="nil"/>
              <w:bottom w:val="single" w:sz="4" w:space="0" w:color="auto"/>
              <w:right w:val="single" w:sz="4" w:space="0" w:color="auto"/>
            </w:tcBorders>
            <w:shd w:val="clear" w:color="000000" w:fill="FFFFFF"/>
            <w:vAlign w:val="center"/>
            <w:hideMark/>
          </w:tcPr>
          <w:p w14:paraId="3F5CEE8F" w14:textId="77777777" w:rsidR="00CE4C34" w:rsidRPr="00CE7183" w:rsidRDefault="00CE4C34" w:rsidP="00B77C0B">
            <w:pPr>
              <w:spacing w:after="0" w:line="240" w:lineRule="auto"/>
              <w:jc w:val="center"/>
              <w:rPr>
                <w:rFonts w:ascii="Times New Roman" w:eastAsia="Times New Roman" w:hAnsi="Times New Roman" w:cs="Times New Roman"/>
                <w:b/>
                <w:bCs/>
                <w:color w:val="1A1C1E"/>
                <w:kern w:val="0"/>
                <w:szCs w:val="24"/>
                <w:lang w:eastAsia="en-IN"/>
                <w14:ligatures w14:val="none"/>
              </w:rPr>
            </w:pPr>
            <w:r w:rsidRPr="00CE7183">
              <w:rPr>
                <w:rFonts w:ascii="Times New Roman" w:eastAsia="Times New Roman" w:hAnsi="Times New Roman" w:cs="Times New Roman"/>
                <w:b/>
                <w:bCs/>
                <w:color w:val="1A1C1E"/>
                <w:kern w:val="0"/>
                <w:szCs w:val="24"/>
                <w:lang w:eastAsia="en-IN"/>
                <w14:ligatures w14:val="none"/>
              </w:rPr>
              <w:t>4</w:t>
            </w:r>
          </w:p>
        </w:tc>
        <w:tc>
          <w:tcPr>
            <w:tcW w:w="1967" w:type="dxa"/>
            <w:tcBorders>
              <w:top w:val="nil"/>
              <w:left w:val="nil"/>
              <w:bottom w:val="single" w:sz="4" w:space="0" w:color="auto"/>
              <w:right w:val="single" w:sz="4" w:space="0" w:color="auto"/>
            </w:tcBorders>
            <w:shd w:val="clear" w:color="000000" w:fill="FFFFFF"/>
            <w:vAlign w:val="center"/>
            <w:hideMark/>
          </w:tcPr>
          <w:p w14:paraId="6B38C74D" w14:textId="77777777" w:rsidR="00CE4C34" w:rsidRPr="00CE7183" w:rsidRDefault="00CE4C34" w:rsidP="00B77C0B">
            <w:pPr>
              <w:spacing w:after="0" w:line="240" w:lineRule="auto"/>
              <w:jc w:val="center"/>
              <w:rPr>
                <w:rFonts w:ascii="Times New Roman" w:eastAsia="Times New Roman" w:hAnsi="Times New Roman" w:cs="Times New Roman"/>
                <w:b/>
                <w:bCs/>
                <w:color w:val="1A1C1E"/>
                <w:kern w:val="0"/>
                <w:szCs w:val="24"/>
                <w:lang w:eastAsia="en-IN"/>
                <w14:ligatures w14:val="none"/>
              </w:rPr>
            </w:pPr>
            <w:r w:rsidRPr="00CE7183">
              <w:rPr>
                <w:rFonts w:ascii="Times New Roman" w:eastAsia="Times New Roman" w:hAnsi="Times New Roman" w:cs="Times New Roman"/>
                <w:b/>
                <w:bCs/>
                <w:color w:val="1A1C1E"/>
                <w:kern w:val="0"/>
                <w:szCs w:val="24"/>
                <w:lang w:eastAsia="en-IN"/>
                <w14:ligatures w14:val="none"/>
              </w:rPr>
              <w:t>5</w:t>
            </w:r>
          </w:p>
        </w:tc>
      </w:tr>
      <w:tr w:rsidR="00CE4C34" w:rsidRPr="00CE7183" w14:paraId="72F6F8A2" w14:textId="77777777" w:rsidTr="00B77C0B">
        <w:trPr>
          <w:trHeight w:val="572"/>
        </w:trPr>
        <w:tc>
          <w:tcPr>
            <w:tcW w:w="3063" w:type="dxa"/>
            <w:tcBorders>
              <w:top w:val="nil"/>
              <w:left w:val="single" w:sz="4" w:space="0" w:color="auto"/>
              <w:bottom w:val="single" w:sz="4" w:space="0" w:color="auto"/>
              <w:right w:val="single" w:sz="4" w:space="0" w:color="auto"/>
            </w:tcBorders>
            <w:shd w:val="clear" w:color="000000" w:fill="FFFFFF"/>
            <w:vAlign w:val="center"/>
            <w:hideMark/>
          </w:tcPr>
          <w:p w14:paraId="2A243AAB" w14:textId="77777777" w:rsidR="00CE4C34" w:rsidRPr="00CE7183" w:rsidRDefault="00CE4C34" w:rsidP="00B77C0B">
            <w:pPr>
              <w:spacing w:after="0" w:line="240" w:lineRule="auto"/>
              <w:ind w:firstLineChars="100" w:firstLine="240"/>
              <w:rPr>
                <w:rFonts w:ascii="Times New Roman" w:eastAsia="Times New Roman" w:hAnsi="Times New Roman" w:cs="Times New Roman"/>
                <w:color w:val="1A1C1E"/>
                <w:kern w:val="0"/>
                <w:szCs w:val="24"/>
                <w:lang w:eastAsia="en-IN"/>
                <w14:ligatures w14:val="none"/>
              </w:rPr>
            </w:pPr>
            <w:r w:rsidRPr="00CE7183">
              <w:rPr>
                <w:rFonts w:ascii="Times New Roman" w:eastAsia="Times New Roman" w:hAnsi="Times New Roman" w:cs="Times New Roman"/>
                <w:color w:val="1A1C1E"/>
                <w:kern w:val="0"/>
                <w:szCs w:val="24"/>
                <w:lang w:eastAsia="en-IN"/>
                <w14:ligatures w14:val="none"/>
              </w:rPr>
              <w:t>Andhra Pradesh</w:t>
            </w:r>
          </w:p>
        </w:tc>
        <w:tc>
          <w:tcPr>
            <w:tcW w:w="1839" w:type="dxa"/>
            <w:tcBorders>
              <w:top w:val="nil"/>
              <w:left w:val="nil"/>
              <w:bottom w:val="single" w:sz="4" w:space="0" w:color="auto"/>
              <w:right w:val="single" w:sz="4" w:space="0" w:color="auto"/>
            </w:tcBorders>
            <w:shd w:val="clear" w:color="000000" w:fill="FFFFFF"/>
            <w:vAlign w:val="center"/>
            <w:hideMark/>
          </w:tcPr>
          <w:p w14:paraId="4AEB6A3E" w14:textId="77777777" w:rsidR="00CE4C34" w:rsidRPr="00CE7183" w:rsidRDefault="00CE4C34" w:rsidP="00B77C0B">
            <w:pPr>
              <w:spacing w:after="0" w:line="240" w:lineRule="auto"/>
              <w:ind w:firstLineChars="100" w:firstLine="240"/>
              <w:rPr>
                <w:rFonts w:ascii="Times New Roman" w:eastAsia="Times New Roman" w:hAnsi="Times New Roman" w:cs="Times New Roman"/>
                <w:color w:val="1A1C1E"/>
                <w:kern w:val="0"/>
                <w:szCs w:val="24"/>
                <w:lang w:eastAsia="en-IN"/>
                <w14:ligatures w14:val="none"/>
              </w:rPr>
            </w:pPr>
            <w:r w:rsidRPr="00CE7183">
              <w:rPr>
                <w:rFonts w:ascii="Times New Roman" w:eastAsia="Times New Roman" w:hAnsi="Times New Roman" w:cs="Times New Roman"/>
                <w:color w:val="1A1C1E"/>
                <w:kern w:val="0"/>
                <w:szCs w:val="24"/>
                <w:lang w:eastAsia="en-IN"/>
                <w14:ligatures w14:val="none"/>
              </w:rPr>
              <w:t>27.44</w:t>
            </w:r>
          </w:p>
        </w:tc>
        <w:tc>
          <w:tcPr>
            <w:tcW w:w="1841" w:type="dxa"/>
            <w:tcBorders>
              <w:top w:val="nil"/>
              <w:left w:val="nil"/>
              <w:bottom w:val="single" w:sz="4" w:space="0" w:color="auto"/>
              <w:right w:val="single" w:sz="4" w:space="0" w:color="auto"/>
            </w:tcBorders>
            <w:shd w:val="clear" w:color="000000" w:fill="FFFFFF"/>
            <w:vAlign w:val="center"/>
            <w:hideMark/>
          </w:tcPr>
          <w:p w14:paraId="4457A83C" w14:textId="77777777" w:rsidR="00CE4C34" w:rsidRPr="00CE7183" w:rsidRDefault="00CE4C34" w:rsidP="00B77C0B">
            <w:pPr>
              <w:spacing w:after="0" w:line="240" w:lineRule="auto"/>
              <w:ind w:firstLineChars="100" w:firstLine="240"/>
              <w:rPr>
                <w:rFonts w:ascii="Times New Roman" w:eastAsia="Times New Roman" w:hAnsi="Times New Roman" w:cs="Times New Roman"/>
                <w:color w:val="1A1C1E"/>
                <w:kern w:val="0"/>
                <w:szCs w:val="24"/>
                <w:lang w:eastAsia="en-IN"/>
                <w14:ligatures w14:val="none"/>
              </w:rPr>
            </w:pPr>
            <w:r w:rsidRPr="00CE7183">
              <w:rPr>
                <w:rFonts w:ascii="Times New Roman" w:eastAsia="Times New Roman" w:hAnsi="Times New Roman" w:cs="Times New Roman"/>
                <w:color w:val="1A1C1E"/>
                <w:kern w:val="0"/>
                <w:szCs w:val="24"/>
                <w:lang w:eastAsia="en-IN"/>
                <w14:ligatures w14:val="none"/>
              </w:rPr>
              <w:t>26.11</w:t>
            </w:r>
          </w:p>
        </w:tc>
        <w:tc>
          <w:tcPr>
            <w:tcW w:w="1841" w:type="dxa"/>
            <w:tcBorders>
              <w:top w:val="nil"/>
              <w:left w:val="nil"/>
              <w:bottom w:val="single" w:sz="4" w:space="0" w:color="auto"/>
              <w:right w:val="single" w:sz="4" w:space="0" w:color="auto"/>
            </w:tcBorders>
            <w:shd w:val="clear" w:color="000000" w:fill="FFFFFF"/>
            <w:vAlign w:val="center"/>
            <w:hideMark/>
          </w:tcPr>
          <w:p w14:paraId="71DDEC39" w14:textId="77777777" w:rsidR="00CE4C34" w:rsidRPr="00CE7183" w:rsidRDefault="00CE4C34" w:rsidP="00B77C0B">
            <w:pPr>
              <w:spacing w:after="0" w:line="240" w:lineRule="auto"/>
              <w:ind w:firstLineChars="100" w:firstLine="240"/>
              <w:rPr>
                <w:rFonts w:ascii="Times New Roman" w:eastAsia="Times New Roman" w:hAnsi="Times New Roman" w:cs="Times New Roman"/>
                <w:color w:val="1A1C1E"/>
                <w:kern w:val="0"/>
                <w:szCs w:val="24"/>
                <w:lang w:eastAsia="en-IN"/>
                <w14:ligatures w14:val="none"/>
              </w:rPr>
            </w:pPr>
            <w:r w:rsidRPr="00CE7183">
              <w:rPr>
                <w:rFonts w:ascii="Times New Roman" w:eastAsia="Times New Roman" w:hAnsi="Times New Roman" w:cs="Times New Roman"/>
                <w:color w:val="1A1C1E"/>
                <w:kern w:val="0"/>
                <w:szCs w:val="24"/>
                <w:lang w:eastAsia="en-IN"/>
                <w14:ligatures w14:val="none"/>
              </w:rPr>
              <w:t>19.01</w:t>
            </w:r>
          </w:p>
        </w:tc>
        <w:tc>
          <w:tcPr>
            <w:tcW w:w="1967" w:type="dxa"/>
            <w:tcBorders>
              <w:top w:val="nil"/>
              <w:left w:val="nil"/>
              <w:bottom w:val="single" w:sz="4" w:space="0" w:color="auto"/>
              <w:right w:val="single" w:sz="4" w:space="0" w:color="auto"/>
            </w:tcBorders>
            <w:shd w:val="clear" w:color="000000" w:fill="FFFFFF"/>
            <w:vAlign w:val="center"/>
            <w:hideMark/>
          </w:tcPr>
          <w:p w14:paraId="69BC2C28" w14:textId="77777777" w:rsidR="00CE4C34" w:rsidRPr="00CE7183" w:rsidRDefault="00CE4C34" w:rsidP="00B77C0B">
            <w:pPr>
              <w:spacing w:after="0" w:line="240" w:lineRule="auto"/>
              <w:ind w:firstLineChars="100" w:firstLine="240"/>
              <w:rPr>
                <w:rFonts w:ascii="Times New Roman" w:eastAsia="Times New Roman" w:hAnsi="Times New Roman" w:cs="Times New Roman"/>
                <w:color w:val="1A1C1E"/>
                <w:kern w:val="0"/>
                <w:szCs w:val="24"/>
                <w:lang w:eastAsia="en-IN"/>
                <w14:ligatures w14:val="none"/>
              </w:rPr>
            </w:pPr>
            <w:r w:rsidRPr="00CE7183">
              <w:rPr>
                <w:rFonts w:ascii="Times New Roman" w:eastAsia="Times New Roman" w:hAnsi="Times New Roman" w:cs="Times New Roman"/>
                <w:color w:val="1A1C1E"/>
                <w:kern w:val="0"/>
                <w:szCs w:val="24"/>
                <w:lang w:eastAsia="en-IN"/>
                <w14:ligatures w14:val="none"/>
              </w:rPr>
              <w:t>57.41</w:t>
            </w:r>
          </w:p>
        </w:tc>
      </w:tr>
      <w:tr w:rsidR="00CE4C34" w:rsidRPr="00CE7183" w14:paraId="3C52EF05" w14:textId="77777777" w:rsidTr="00B77C0B">
        <w:trPr>
          <w:trHeight w:val="301"/>
        </w:trPr>
        <w:tc>
          <w:tcPr>
            <w:tcW w:w="3063" w:type="dxa"/>
            <w:tcBorders>
              <w:top w:val="nil"/>
              <w:left w:val="single" w:sz="4" w:space="0" w:color="auto"/>
              <w:bottom w:val="single" w:sz="4" w:space="0" w:color="auto"/>
              <w:right w:val="single" w:sz="4" w:space="0" w:color="auto"/>
            </w:tcBorders>
            <w:shd w:val="clear" w:color="000000" w:fill="FFFFFF"/>
            <w:vAlign w:val="center"/>
            <w:hideMark/>
          </w:tcPr>
          <w:p w14:paraId="07AD5398" w14:textId="77777777" w:rsidR="00CE4C34" w:rsidRPr="00CE7183" w:rsidRDefault="00CE4C34" w:rsidP="00B77C0B">
            <w:pPr>
              <w:spacing w:after="0" w:line="240" w:lineRule="auto"/>
              <w:ind w:firstLineChars="100" w:firstLine="240"/>
              <w:rPr>
                <w:rFonts w:ascii="Times New Roman" w:eastAsia="Times New Roman" w:hAnsi="Times New Roman" w:cs="Times New Roman"/>
                <w:color w:val="1A1C1E"/>
                <w:kern w:val="0"/>
                <w:szCs w:val="24"/>
                <w:lang w:eastAsia="en-IN"/>
                <w14:ligatures w14:val="none"/>
              </w:rPr>
            </w:pPr>
            <w:r w:rsidRPr="00CE7183">
              <w:rPr>
                <w:rFonts w:ascii="Times New Roman" w:eastAsia="Times New Roman" w:hAnsi="Times New Roman" w:cs="Times New Roman"/>
                <w:color w:val="1A1C1E"/>
                <w:kern w:val="0"/>
                <w:szCs w:val="24"/>
                <w:lang w:eastAsia="en-IN"/>
                <w14:ligatures w14:val="none"/>
              </w:rPr>
              <w:t>Assam</w:t>
            </w:r>
          </w:p>
        </w:tc>
        <w:tc>
          <w:tcPr>
            <w:tcW w:w="1839" w:type="dxa"/>
            <w:tcBorders>
              <w:top w:val="nil"/>
              <w:left w:val="nil"/>
              <w:bottom w:val="single" w:sz="4" w:space="0" w:color="auto"/>
              <w:right w:val="single" w:sz="4" w:space="0" w:color="auto"/>
            </w:tcBorders>
            <w:shd w:val="clear" w:color="000000" w:fill="FFFFFF"/>
            <w:vAlign w:val="center"/>
            <w:hideMark/>
          </w:tcPr>
          <w:p w14:paraId="1F6CA1B2" w14:textId="77777777" w:rsidR="00CE4C34" w:rsidRPr="00CE7183" w:rsidRDefault="00CE4C34" w:rsidP="00B77C0B">
            <w:pPr>
              <w:spacing w:after="0" w:line="240" w:lineRule="auto"/>
              <w:ind w:firstLineChars="100" w:firstLine="240"/>
              <w:rPr>
                <w:rFonts w:ascii="Times New Roman" w:eastAsia="Times New Roman" w:hAnsi="Times New Roman" w:cs="Times New Roman"/>
                <w:color w:val="1A1C1E"/>
                <w:kern w:val="0"/>
                <w:szCs w:val="24"/>
                <w:lang w:eastAsia="en-IN"/>
                <w14:ligatures w14:val="none"/>
              </w:rPr>
            </w:pPr>
            <w:r w:rsidRPr="00CE7183">
              <w:rPr>
                <w:rFonts w:ascii="Times New Roman" w:eastAsia="Times New Roman" w:hAnsi="Times New Roman" w:cs="Times New Roman"/>
                <w:color w:val="1A1C1E"/>
                <w:kern w:val="0"/>
                <w:szCs w:val="24"/>
                <w:lang w:eastAsia="en-IN"/>
                <w14:ligatures w14:val="none"/>
              </w:rPr>
              <w:t>61.58</w:t>
            </w:r>
          </w:p>
        </w:tc>
        <w:tc>
          <w:tcPr>
            <w:tcW w:w="1841" w:type="dxa"/>
            <w:tcBorders>
              <w:top w:val="nil"/>
              <w:left w:val="nil"/>
              <w:bottom w:val="single" w:sz="4" w:space="0" w:color="auto"/>
              <w:right w:val="single" w:sz="4" w:space="0" w:color="auto"/>
            </w:tcBorders>
            <w:shd w:val="clear" w:color="000000" w:fill="FFFFFF"/>
            <w:vAlign w:val="center"/>
            <w:hideMark/>
          </w:tcPr>
          <w:p w14:paraId="2583FB56" w14:textId="77777777" w:rsidR="00CE4C34" w:rsidRPr="00CE7183" w:rsidRDefault="00CE4C34" w:rsidP="00B77C0B">
            <w:pPr>
              <w:spacing w:after="0" w:line="240" w:lineRule="auto"/>
              <w:ind w:firstLineChars="100" w:firstLine="240"/>
              <w:rPr>
                <w:rFonts w:ascii="Times New Roman" w:eastAsia="Times New Roman" w:hAnsi="Times New Roman" w:cs="Times New Roman"/>
                <w:color w:val="1A1C1E"/>
                <w:kern w:val="0"/>
                <w:szCs w:val="24"/>
                <w:lang w:eastAsia="en-IN"/>
                <w14:ligatures w14:val="none"/>
              </w:rPr>
            </w:pPr>
            <w:r w:rsidRPr="00CE7183">
              <w:rPr>
                <w:rFonts w:ascii="Times New Roman" w:eastAsia="Times New Roman" w:hAnsi="Times New Roman" w:cs="Times New Roman"/>
                <w:color w:val="1A1C1E"/>
                <w:kern w:val="0"/>
                <w:szCs w:val="24"/>
                <w:lang w:eastAsia="en-IN"/>
                <w14:ligatures w14:val="none"/>
              </w:rPr>
              <w:t>47.42</w:t>
            </w:r>
          </w:p>
        </w:tc>
        <w:tc>
          <w:tcPr>
            <w:tcW w:w="1841" w:type="dxa"/>
            <w:tcBorders>
              <w:top w:val="nil"/>
              <w:left w:val="nil"/>
              <w:bottom w:val="single" w:sz="4" w:space="0" w:color="auto"/>
              <w:right w:val="single" w:sz="4" w:space="0" w:color="auto"/>
            </w:tcBorders>
            <w:shd w:val="clear" w:color="000000" w:fill="FFFFFF"/>
            <w:vAlign w:val="center"/>
            <w:hideMark/>
          </w:tcPr>
          <w:p w14:paraId="534DEBA1" w14:textId="77777777" w:rsidR="00CE4C34" w:rsidRPr="00CE7183" w:rsidRDefault="00CE4C34" w:rsidP="00B77C0B">
            <w:pPr>
              <w:spacing w:after="0" w:line="240" w:lineRule="auto"/>
              <w:ind w:firstLineChars="100" w:firstLine="240"/>
              <w:rPr>
                <w:rFonts w:ascii="Times New Roman" w:eastAsia="Times New Roman" w:hAnsi="Times New Roman" w:cs="Times New Roman"/>
                <w:color w:val="1A1C1E"/>
                <w:kern w:val="0"/>
                <w:szCs w:val="24"/>
                <w:lang w:eastAsia="en-IN"/>
                <w14:ligatures w14:val="none"/>
              </w:rPr>
            </w:pPr>
            <w:r w:rsidRPr="00CE7183">
              <w:rPr>
                <w:rFonts w:ascii="Times New Roman" w:eastAsia="Times New Roman" w:hAnsi="Times New Roman" w:cs="Times New Roman"/>
                <w:color w:val="1A1C1E"/>
                <w:kern w:val="0"/>
                <w:szCs w:val="24"/>
                <w:lang w:eastAsia="en-IN"/>
                <w14:ligatures w14:val="none"/>
              </w:rPr>
              <w:t>55.27</w:t>
            </w:r>
          </w:p>
        </w:tc>
        <w:tc>
          <w:tcPr>
            <w:tcW w:w="1967" w:type="dxa"/>
            <w:tcBorders>
              <w:top w:val="nil"/>
              <w:left w:val="nil"/>
              <w:bottom w:val="single" w:sz="4" w:space="0" w:color="auto"/>
              <w:right w:val="single" w:sz="4" w:space="0" w:color="auto"/>
            </w:tcBorders>
            <w:shd w:val="clear" w:color="000000" w:fill="FFFFFF"/>
            <w:vAlign w:val="center"/>
            <w:hideMark/>
          </w:tcPr>
          <w:p w14:paraId="6F557413" w14:textId="77777777" w:rsidR="00CE4C34" w:rsidRPr="00CE7183" w:rsidRDefault="00CE4C34" w:rsidP="00B77C0B">
            <w:pPr>
              <w:spacing w:after="0" w:line="240" w:lineRule="auto"/>
              <w:ind w:firstLineChars="100" w:firstLine="240"/>
              <w:rPr>
                <w:rFonts w:ascii="Times New Roman" w:eastAsia="Times New Roman" w:hAnsi="Times New Roman" w:cs="Times New Roman"/>
                <w:color w:val="1A1C1E"/>
                <w:kern w:val="0"/>
                <w:szCs w:val="24"/>
                <w:lang w:eastAsia="en-IN"/>
                <w14:ligatures w14:val="none"/>
              </w:rPr>
            </w:pPr>
            <w:r w:rsidRPr="00CE7183">
              <w:rPr>
                <w:rFonts w:ascii="Times New Roman" w:eastAsia="Times New Roman" w:hAnsi="Times New Roman" w:cs="Times New Roman"/>
                <w:color w:val="1A1C1E"/>
                <w:kern w:val="0"/>
                <w:szCs w:val="24"/>
                <w:lang w:eastAsia="en-IN"/>
                <w14:ligatures w14:val="none"/>
              </w:rPr>
              <w:t>N.A.</w:t>
            </w:r>
          </w:p>
        </w:tc>
      </w:tr>
      <w:tr w:rsidR="00CE4C34" w:rsidRPr="00CE7183" w14:paraId="65C3D5C0" w14:textId="77777777" w:rsidTr="00B77C0B">
        <w:trPr>
          <w:trHeight w:val="301"/>
        </w:trPr>
        <w:tc>
          <w:tcPr>
            <w:tcW w:w="3063" w:type="dxa"/>
            <w:tcBorders>
              <w:top w:val="nil"/>
              <w:left w:val="single" w:sz="4" w:space="0" w:color="auto"/>
              <w:bottom w:val="single" w:sz="4" w:space="0" w:color="auto"/>
              <w:right w:val="single" w:sz="4" w:space="0" w:color="auto"/>
            </w:tcBorders>
            <w:shd w:val="clear" w:color="000000" w:fill="FFFFFF"/>
            <w:vAlign w:val="center"/>
            <w:hideMark/>
          </w:tcPr>
          <w:p w14:paraId="54A85EDE" w14:textId="77777777" w:rsidR="00CE4C34" w:rsidRPr="00CE7183" w:rsidRDefault="00CE4C34" w:rsidP="00B77C0B">
            <w:pPr>
              <w:spacing w:after="0" w:line="240" w:lineRule="auto"/>
              <w:ind w:firstLineChars="100" w:firstLine="240"/>
              <w:rPr>
                <w:rFonts w:ascii="Times New Roman" w:eastAsia="Times New Roman" w:hAnsi="Times New Roman" w:cs="Times New Roman"/>
                <w:color w:val="1A1C1E"/>
                <w:kern w:val="0"/>
                <w:szCs w:val="24"/>
                <w:lang w:eastAsia="en-IN"/>
                <w14:ligatures w14:val="none"/>
              </w:rPr>
            </w:pPr>
            <w:r w:rsidRPr="00CE7183">
              <w:rPr>
                <w:rFonts w:ascii="Times New Roman" w:eastAsia="Times New Roman" w:hAnsi="Times New Roman" w:cs="Times New Roman"/>
                <w:color w:val="1A1C1E"/>
                <w:kern w:val="0"/>
                <w:szCs w:val="24"/>
                <w:lang w:eastAsia="en-IN"/>
                <w14:ligatures w14:val="none"/>
              </w:rPr>
              <w:t>Bihar</w:t>
            </w:r>
          </w:p>
        </w:tc>
        <w:tc>
          <w:tcPr>
            <w:tcW w:w="1839" w:type="dxa"/>
            <w:tcBorders>
              <w:top w:val="nil"/>
              <w:left w:val="nil"/>
              <w:bottom w:val="single" w:sz="4" w:space="0" w:color="auto"/>
              <w:right w:val="single" w:sz="4" w:space="0" w:color="auto"/>
            </w:tcBorders>
            <w:shd w:val="clear" w:color="000000" w:fill="FFFFFF"/>
            <w:vAlign w:val="center"/>
            <w:hideMark/>
          </w:tcPr>
          <w:p w14:paraId="5A4C527F" w14:textId="77777777" w:rsidR="00CE4C34" w:rsidRPr="00CE7183" w:rsidRDefault="00CE4C34" w:rsidP="00B77C0B">
            <w:pPr>
              <w:spacing w:after="0" w:line="240" w:lineRule="auto"/>
              <w:ind w:firstLineChars="100" w:firstLine="240"/>
              <w:rPr>
                <w:rFonts w:ascii="Times New Roman" w:eastAsia="Times New Roman" w:hAnsi="Times New Roman" w:cs="Times New Roman"/>
                <w:color w:val="1A1C1E"/>
                <w:kern w:val="0"/>
                <w:szCs w:val="24"/>
                <w:lang w:eastAsia="en-IN"/>
                <w14:ligatures w14:val="none"/>
              </w:rPr>
            </w:pPr>
            <w:r w:rsidRPr="00CE7183">
              <w:rPr>
                <w:rFonts w:ascii="Times New Roman" w:eastAsia="Times New Roman" w:hAnsi="Times New Roman" w:cs="Times New Roman"/>
                <w:color w:val="1A1C1E"/>
                <w:kern w:val="0"/>
                <w:szCs w:val="24"/>
                <w:lang w:eastAsia="en-IN"/>
                <w14:ligatures w14:val="none"/>
              </w:rPr>
              <w:t>29.13</w:t>
            </w:r>
          </w:p>
        </w:tc>
        <w:tc>
          <w:tcPr>
            <w:tcW w:w="1841" w:type="dxa"/>
            <w:tcBorders>
              <w:top w:val="nil"/>
              <w:left w:val="nil"/>
              <w:bottom w:val="single" w:sz="4" w:space="0" w:color="auto"/>
              <w:right w:val="single" w:sz="4" w:space="0" w:color="auto"/>
            </w:tcBorders>
            <w:shd w:val="clear" w:color="000000" w:fill="FFFFFF"/>
            <w:vAlign w:val="center"/>
            <w:hideMark/>
          </w:tcPr>
          <w:p w14:paraId="3D05C8E6" w14:textId="77777777" w:rsidR="00CE4C34" w:rsidRPr="00CE7183" w:rsidRDefault="00CE4C34" w:rsidP="00B77C0B">
            <w:pPr>
              <w:spacing w:after="0" w:line="240" w:lineRule="auto"/>
              <w:ind w:firstLineChars="100" w:firstLine="240"/>
              <w:rPr>
                <w:rFonts w:ascii="Times New Roman" w:eastAsia="Times New Roman" w:hAnsi="Times New Roman" w:cs="Times New Roman"/>
                <w:color w:val="1A1C1E"/>
                <w:kern w:val="0"/>
                <w:szCs w:val="24"/>
                <w:lang w:eastAsia="en-IN"/>
                <w14:ligatures w14:val="none"/>
              </w:rPr>
            </w:pPr>
            <w:r w:rsidRPr="00CE7183">
              <w:rPr>
                <w:rFonts w:ascii="Times New Roman" w:eastAsia="Times New Roman" w:hAnsi="Times New Roman" w:cs="Times New Roman"/>
                <w:color w:val="1A1C1E"/>
                <w:kern w:val="0"/>
                <w:szCs w:val="24"/>
                <w:lang w:eastAsia="en-IN"/>
                <w14:ligatures w14:val="none"/>
              </w:rPr>
              <w:t>31.22</w:t>
            </w:r>
          </w:p>
        </w:tc>
        <w:tc>
          <w:tcPr>
            <w:tcW w:w="1841" w:type="dxa"/>
            <w:tcBorders>
              <w:top w:val="nil"/>
              <w:left w:val="nil"/>
              <w:bottom w:val="single" w:sz="4" w:space="0" w:color="auto"/>
              <w:right w:val="single" w:sz="4" w:space="0" w:color="auto"/>
            </w:tcBorders>
            <w:shd w:val="clear" w:color="000000" w:fill="FFFFFF"/>
            <w:vAlign w:val="center"/>
            <w:hideMark/>
          </w:tcPr>
          <w:p w14:paraId="21F8F593" w14:textId="77777777" w:rsidR="00CE4C34" w:rsidRPr="00CE7183" w:rsidRDefault="00CE4C34" w:rsidP="00B77C0B">
            <w:pPr>
              <w:spacing w:after="0" w:line="240" w:lineRule="auto"/>
              <w:ind w:firstLineChars="100" w:firstLine="240"/>
              <w:rPr>
                <w:rFonts w:ascii="Times New Roman" w:eastAsia="Times New Roman" w:hAnsi="Times New Roman" w:cs="Times New Roman"/>
                <w:color w:val="1A1C1E"/>
                <w:kern w:val="0"/>
                <w:szCs w:val="24"/>
                <w:lang w:eastAsia="en-IN"/>
                <w14:ligatures w14:val="none"/>
              </w:rPr>
            </w:pPr>
            <w:r w:rsidRPr="00CE7183">
              <w:rPr>
                <w:rFonts w:ascii="Times New Roman" w:eastAsia="Times New Roman" w:hAnsi="Times New Roman" w:cs="Times New Roman"/>
                <w:color w:val="1A1C1E"/>
                <w:kern w:val="0"/>
                <w:szCs w:val="24"/>
                <w:lang w:eastAsia="en-IN"/>
                <w14:ligatures w14:val="none"/>
              </w:rPr>
              <w:t>66.77</w:t>
            </w:r>
          </w:p>
        </w:tc>
        <w:tc>
          <w:tcPr>
            <w:tcW w:w="1967" w:type="dxa"/>
            <w:tcBorders>
              <w:top w:val="nil"/>
              <w:left w:val="nil"/>
              <w:bottom w:val="single" w:sz="4" w:space="0" w:color="auto"/>
              <w:right w:val="single" w:sz="4" w:space="0" w:color="auto"/>
            </w:tcBorders>
            <w:shd w:val="clear" w:color="000000" w:fill="FFFFFF"/>
            <w:vAlign w:val="center"/>
            <w:hideMark/>
          </w:tcPr>
          <w:p w14:paraId="66F1CFF5" w14:textId="77777777" w:rsidR="00CE4C34" w:rsidRPr="00CE7183" w:rsidRDefault="00CE4C34" w:rsidP="00B77C0B">
            <w:pPr>
              <w:spacing w:after="0" w:line="240" w:lineRule="auto"/>
              <w:ind w:firstLineChars="100" w:firstLine="240"/>
              <w:rPr>
                <w:rFonts w:ascii="Times New Roman" w:eastAsia="Times New Roman" w:hAnsi="Times New Roman" w:cs="Times New Roman"/>
                <w:color w:val="1A1C1E"/>
                <w:kern w:val="0"/>
                <w:szCs w:val="24"/>
                <w:lang w:eastAsia="en-IN"/>
                <w14:ligatures w14:val="none"/>
              </w:rPr>
            </w:pPr>
            <w:r w:rsidRPr="00CE7183">
              <w:rPr>
                <w:rFonts w:ascii="Times New Roman" w:eastAsia="Times New Roman" w:hAnsi="Times New Roman" w:cs="Times New Roman"/>
                <w:color w:val="1A1C1E"/>
                <w:kern w:val="0"/>
                <w:szCs w:val="24"/>
                <w:lang w:eastAsia="en-IN"/>
                <w14:ligatures w14:val="none"/>
              </w:rPr>
              <w:t>85.44</w:t>
            </w:r>
          </w:p>
        </w:tc>
      </w:tr>
      <w:tr w:rsidR="00CE4C34" w:rsidRPr="00CE7183" w14:paraId="72A80D40" w14:textId="77777777" w:rsidTr="00B77C0B">
        <w:trPr>
          <w:trHeight w:val="301"/>
        </w:trPr>
        <w:tc>
          <w:tcPr>
            <w:tcW w:w="3063" w:type="dxa"/>
            <w:tcBorders>
              <w:top w:val="nil"/>
              <w:left w:val="single" w:sz="4" w:space="0" w:color="auto"/>
              <w:bottom w:val="single" w:sz="4" w:space="0" w:color="auto"/>
              <w:right w:val="single" w:sz="4" w:space="0" w:color="auto"/>
            </w:tcBorders>
            <w:shd w:val="clear" w:color="000000" w:fill="FFFFFF"/>
            <w:vAlign w:val="center"/>
            <w:hideMark/>
          </w:tcPr>
          <w:p w14:paraId="24EC083C" w14:textId="77777777" w:rsidR="00CE4C34" w:rsidRPr="00CE7183" w:rsidRDefault="00CE4C34" w:rsidP="00B77C0B">
            <w:pPr>
              <w:spacing w:after="0" w:line="240" w:lineRule="auto"/>
              <w:ind w:firstLineChars="100" w:firstLine="240"/>
              <w:rPr>
                <w:rFonts w:ascii="Times New Roman" w:eastAsia="Times New Roman" w:hAnsi="Times New Roman" w:cs="Times New Roman"/>
                <w:color w:val="1A1C1E"/>
                <w:kern w:val="0"/>
                <w:szCs w:val="24"/>
                <w:lang w:eastAsia="en-IN"/>
                <w14:ligatures w14:val="none"/>
              </w:rPr>
            </w:pPr>
            <w:r w:rsidRPr="00CE7183">
              <w:rPr>
                <w:rFonts w:ascii="Times New Roman" w:eastAsia="Times New Roman" w:hAnsi="Times New Roman" w:cs="Times New Roman"/>
                <w:color w:val="1A1C1E"/>
                <w:kern w:val="0"/>
                <w:szCs w:val="24"/>
                <w:lang w:eastAsia="en-IN"/>
                <w14:ligatures w14:val="none"/>
              </w:rPr>
              <w:t>Gujarat</w:t>
            </w:r>
          </w:p>
        </w:tc>
        <w:tc>
          <w:tcPr>
            <w:tcW w:w="1839" w:type="dxa"/>
            <w:tcBorders>
              <w:top w:val="nil"/>
              <w:left w:val="nil"/>
              <w:bottom w:val="single" w:sz="4" w:space="0" w:color="auto"/>
              <w:right w:val="single" w:sz="4" w:space="0" w:color="auto"/>
            </w:tcBorders>
            <w:shd w:val="clear" w:color="000000" w:fill="FFFFFF"/>
            <w:vAlign w:val="center"/>
            <w:hideMark/>
          </w:tcPr>
          <w:p w14:paraId="0E04A557" w14:textId="77777777" w:rsidR="00CE4C34" w:rsidRPr="00CE7183" w:rsidRDefault="00CE4C34" w:rsidP="00B77C0B">
            <w:pPr>
              <w:spacing w:after="0" w:line="240" w:lineRule="auto"/>
              <w:ind w:firstLineChars="100" w:firstLine="240"/>
              <w:rPr>
                <w:rFonts w:ascii="Times New Roman" w:eastAsia="Times New Roman" w:hAnsi="Times New Roman" w:cs="Times New Roman"/>
                <w:color w:val="1A1C1E"/>
                <w:kern w:val="0"/>
                <w:szCs w:val="24"/>
                <w:lang w:eastAsia="en-IN"/>
                <w14:ligatures w14:val="none"/>
              </w:rPr>
            </w:pPr>
            <w:r w:rsidRPr="00CE7183">
              <w:rPr>
                <w:rFonts w:ascii="Times New Roman" w:eastAsia="Times New Roman" w:hAnsi="Times New Roman" w:cs="Times New Roman"/>
                <w:color w:val="1A1C1E"/>
                <w:kern w:val="0"/>
                <w:szCs w:val="24"/>
                <w:lang w:eastAsia="en-IN"/>
                <w14:ligatures w14:val="none"/>
              </w:rPr>
              <w:t>33.89</w:t>
            </w:r>
          </w:p>
        </w:tc>
        <w:tc>
          <w:tcPr>
            <w:tcW w:w="1841" w:type="dxa"/>
            <w:tcBorders>
              <w:top w:val="nil"/>
              <w:left w:val="nil"/>
              <w:bottom w:val="single" w:sz="4" w:space="0" w:color="auto"/>
              <w:right w:val="single" w:sz="4" w:space="0" w:color="auto"/>
            </w:tcBorders>
            <w:shd w:val="clear" w:color="000000" w:fill="FFFFFF"/>
            <w:vAlign w:val="center"/>
            <w:hideMark/>
          </w:tcPr>
          <w:p w14:paraId="6347AF47" w14:textId="77777777" w:rsidR="00CE4C34" w:rsidRPr="00CE7183" w:rsidRDefault="00CE4C34" w:rsidP="00B77C0B">
            <w:pPr>
              <w:spacing w:after="0" w:line="240" w:lineRule="auto"/>
              <w:ind w:firstLineChars="100" w:firstLine="240"/>
              <w:rPr>
                <w:rFonts w:ascii="Times New Roman" w:eastAsia="Times New Roman" w:hAnsi="Times New Roman" w:cs="Times New Roman"/>
                <w:color w:val="1A1C1E"/>
                <w:kern w:val="0"/>
                <w:szCs w:val="24"/>
                <w:lang w:eastAsia="en-IN"/>
                <w14:ligatures w14:val="none"/>
              </w:rPr>
            </w:pPr>
            <w:r w:rsidRPr="00CE7183">
              <w:rPr>
                <w:rFonts w:ascii="Times New Roman" w:eastAsia="Times New Roman" w:hAnsi="Times New Roman" w:cs="Times New Roman"/>
                <w:color w:val="1A1C1E"/>
                <w:kern w:val="0"/>
                <w:szCs w:val="24"/>
                <w:lang w:eastAsia="en-IN"/>
                <w14:ligatures w14:val="none"/>
              </w:rPr>
              <w:t>37.36</w:t>
            </w:r>
          </w:p>
        </w:tc>
        <w:tc>
          <w:tcPr>
            <w:tcW w:w="1841" w:type="dxa"/>
            <w:tcBorders>
              <w:top w:val="nil"/>
              <w:left w:val="nil"/>
              <w:bottom w:val="single" w:sz="4" w:space="0" w:color="auto"/>
              <w:right w:val="single" w:sz="4" w:space="0" w:color="auto"/>
            </w:tcBorders>
            <w:shd w:val="clear" w:color="000000" w:fill="FFFFFF"/>
            <w:vAlign w:val="center"/>
            <w:hideMark/>
          </w:tcPr>
          <w:p w14:paraId="501C2B3B" w14:textId="77777777" w:rsidR="00CE4C34" w:rsidRPr="00CE7183" w:rsidRDefault="00CE4C34" w:rsidP="00B77C0B">
            <w:pPr>
              <w:spacing w:after="0" w:line="240" w:lineRule="auto"/>
              <w:ind w:firstLineChars="100" w:firstLine="240"/>
              <w:rPr>
                <w:rFonts w:ascii="Times New Roman" w:eastAsia="Times New Roman" w:hAnsi="Times New Roman" w:cs="Times New Roman"/>
                <w:color w:val="1A1C1E"/>
                <w:kern w:val="0"/>
                <w:szCs w:val="24"/>
                <w:lang w:eastAsia="en-IN"/>
                <w14:ligatures w14:val="none"/>
              </w:rPr>
            </w:pPr>
            <w:r w:rsidRPr="00CE7183">
              <w:rPr>
                <w:rFonts w:ascii="Times New Roman" w:eastAsia="Times New Roman" w:hAnsi="Times New Roman" w:cs="Times New Roman"/>
                <w:color w:val="1A1C1E"/>
                <w:kern w:val="0"/>
                <w:szCs w:val="24"/>
                <w:lang w:eastAsia="en-IN"/>
                <w14:ligatures w14:val="none"/>
              </w:rPr>
              <w:t>31.4</w:t>
            </w:r>
          </w:p>
        </w:tc>
        <w:tc>
          <w:tcPr>
            <w:tcW w:w="1967" w:type="dxa"/>
            <w:tcBorders>
              <w:top w:val="nil"/>
              <w:left w:val="nil"/>
              <w:bottom w:val="single" w:sz="4" w:space="0" w:color="auto"/>
              <w:right w:val="single" w:sz="4" w:space="0" w:color="auto"/>
            </w:tcBorders>
            <w:shd w:val="clear" w:color="000000" w:fill="FFFFFF"/>
            <w:vAlign w:val="center"/>
            <w:hideMark/>
          </w:tcPr>
          <w:p w14:paraId="63B35A9C" w14:textId="77777777" w:rsidR="00CE4C34" w:rsidRPr="00CE7183" w:rsidRDefault="00CE4C34" w:rsidP="00B77C0B">
            <w:pPr>
              <w:spacing w:after="0" w:line="240" w:lineRule="auto"/>
              <w:ind w:firstLineChars="100" w:firstLine="240"/>
              <w:rPr>
                <w:rFonts w:ascii="Times New Roman" w:eastAsia="Times New Roman" w:hAnsi="Times New Roman" w:cs="Times New Roman"/>
                <w:color w:val="1A1C1E"/>
                <w:kern w:val="0"/>
                <w:szCs w:val="24"/>
                <w:lang w:eastAsia="en-IN"/>
                <w14:ligatures w14:val="none"/>
              </w:rPr>
            </w:pPr>
            <w:r w:rsidRPr="00CE7183">
              <w:rPr>
                <w:rFonts w:ascii="Times New Roman" w:eastAsia="Times New Roman" w:hAnsi="Times New Roman" w:cs="Times New Roman"/>
                <w:color w:val="1A1C1E"/>
                <w:kern w:val="0"/>
                <w:szCs w:val="24"/>
                <w:lang w:eastAsia="en-IN"/>
                <w14:ligatures w14:val="none"/>
              </w:rPr>
              <w:t>N.A.</w:t>
            </w:r>
          </w:p>
        </w:tc>
      </w:tr>
      <w:tr w:rsidR="00CE4C34" w:rsidRPr="00CE7183" w14:paraId="33824BC7" w14:textId="77777777" w:rsidTr="00B77C0B">
        <w:trPr>
          <w:trHeight w:val="301"/>
        </w:trPr>
        <w:tc>
          <w:tcPr>
            <w:tcW w:w="3063" w:type="dxa"/>
            <w:tcBorders>
              <w:top w:val="nil"/>
              <w:left w:val="single" w:sz="4" w:space="0" w:color="auto"/>
              <w:bottom w:val="single" w:sz="4" w:space="0" w:color="auto"/>
              <w:right w:val="single" w:sz="4" w:space="0" w:color="auto"/>
            </w:tcBorders>
            <w:shd w:val="clear" w:color="000000" w:fill="FFFFFF"/>
            <w:vAlign w:val="center"/>
            <w:hideMark/>
          </w:tcPr>
          <w:p w14:paraId="341156BF" w14:textId="77777777" w:rsidR="00CE4C34" w:rsidRPr="00CE7183" w:rsidRDefault="00CE4C34" w:rsidP="00B77C0B">
            <w:pPr>
              <w:spacing w:after="0" w:line="240" w:lineRule="auto"/>
              <w:ind w:firstLineChars="100" w:firstLine="240"/>
              <w:rPr>
                <w:rFonts w:ascii="Times New Roman" w:eastAsia="Times New Roman" w:hAnsi="Times New Roman" w:cs="Times New Roman"/>
                <w:color w:val="1A1C1E"/>
                <w:kern w:val="0"/>
                <w:szCs w:val="24"/>
                <w:lang w:eastAsia="en-IN"/>
                <w14:ligatures w14:val="none"/>
              </w:rPr>
            </w:pPr>
            <w:r w:rsidRPr="00CE7183">
              <w:rPr>
                <w:rFonts w:ascii="Times New Roman" w:eastAsia="Times New Roman" w:hAnsi="Times New Roman" w:cs="Times New Roman"/>
                <w:color w:val="1A1C1E"/>
                <w:kern w:val="0"/>
                <w:szCs w:val="24"/>
                <w:lang w:eastAsia="en-IN"/>
                <w14:ligatures w14:val="none"/>
              </w:rPr>
              <w:t>Haryana</w:t>
            </w:r>
          </w:p>
        </w:tc>
        <w:tc>
          <w:tcPr>
            <w:tcW w:w="1839" w:type="dxa"/>
            <w:tcBorders>
              <w:top w:val="nil"/>
              <w:left w:val="nil"/>
              <w:bottom w:val="single" w:sz="4" w:space="0" w:color="auto"/>
              <w:right w:val="single" w:sz="4" w:space="0" w:color="auto"/>
            </w:tcBorders>
            <w:shd w:val="clear" w:color="000000" w:fill="FFFFFF"/>
            <w:vAlign w:val="center"/>
            <w:hideMark/>
          </w:tcPr>
          <w:p w14:paraId="1839B907" w14:textId="77777777" w:rsidR="00CE4C34" w:rsidRPr="00CE7183" w:rsidRDefault="00CE4C34" w:rsidP="00B77C0B">
            <w:pPr>
              <w:spacing w:after="0" w:line="240" w:lineRule="auto"/>
              <w:ind w:firstLineChars="100" w:firstLine="240"/>
              <w:rPr>
                <w:rFonts w:ascii="Times New Roman" w:eastAsia="Times New Roman" w:hAnsi="Times New Roman" w:cs="Times New Roman"/>
                <w:color w:val="1A1C1E"/>
                <w:kern w:val="0"/>
                <w:szCs w:val="24"/>
                <w:lang w:eastAsia="en-IN"/>
                <w14:ligatures w14:val="none"/>
              </w:rPr>
            </w:pPr>
            <w:r w:rsidRPr="00CE7183">
              <w:rPr>
                <w:rFonts w:ascii="Times New Roman" w:eastAsia="Times New Roman" w:hAnsi="Times New Roman" w:cs="Times New Roman"/>
                <w:color w:val="1A1C1E"/>
                <w:kern w:val="0"/>
                <w:szCs w:val="24"/>
                <w:lang w:eastAsia="en-IN"/>
                <w14:ligatures w14:val="none"/>
              </w:rPr>
              <w:t>..</w:t>
            </w:r>
          </w:p>
        </w:tc>
        <w:tc>
          <w:tcPr>
            <w:tcW w:w="1841" w:type="dxa"/>
            <w:tcBorders>
              <w:top w:val="nil"/>
              <w:left w:val="nil"/>
              <w:bottom w:val="single" w:sz="4" w:space="0" w:color="auto"/>
              <w:right w:val="single" w:sz="4" w:space="0" w:color="auto"/>
            </w:tcBorders>
            <w:shd w:val="clear" w:color="000000" w:fill="FFFFFF"/>
            <w:vAlign w:val="center"/>
            <w:hideMark/>
          </w:tcPr>
          <w:p w14:paraId="797BFAA3" w14:textId="77777777" w:rsidR="00CE4C34" w:rsidRPr="00CE7183" w:rsidRDefault="00CE4C34" w:rsidP="00B77C0B">
            <w:pPr>
              <w:spacing w:after="0" w:line="240" w:lineRule="auto"/>
              <w:ind w:firstLineChars="100" w:firstLine="240"/>
              <w:rPr>
                <w:rFonts w:ascii="Times New Roman" w:eastAsia="Times New Roman" w:hAnsi="Times New Roman" w:cs="Times New Roman"/>
                <w:color w:val="1A1C1E"/>
                <w:kern w:val="0"/>
                <w:szCs w:val="24"/>
                <w:lang w:eastAsia="en-IN"/>
                <w14:ligatures w14:val="none"/>
              </w:rPr>
            </w:pPr>
            <w:r w:rsidRPr="00CE7183">
              <w:rPr>
                <w:rFonts w:ascii="Times New Roman" w:eastAsia="Times New Roman" w:hAnsi="Times New Roman" w:cs="Times New Roman"/>
                <w:color w:val="1A1C1E"/>
                <w:kern w:val="0"/>
                <w:szCs w:val="24"/>
                <w:lang w:eastAsia="en-IN"/>
                <w14:ligatures w14:val="none"/>
              </w:rPr>
              <w:t>..</w:t>
            </w:r>
          </w:p>
        </w:tc>
        <w:tc>
          <w:tcPr>
            <w:tcW w:w="1841" w:type="dxa"/>
            <w:tcBorders>
              <w:top w:val="nil"/>
              <w:left w:val="nil"/>
              <w:bottom w:val="single" w:sz="4" w:space="0" w:color="auto"/>
              <w:right w:val="single" w:sz="4" w:space="0" w:color="auto"/>
            </w:tcBorders>
            <w:shd w:val="clear" w:color="000000" w:fill="FFFFFF"/>
            <w:vAlign w:val="center"/>
            <w:hideMark/>
          </w:tcPr>
          <w:p w14:paraId="244B28CA" w14:textId="77777777" w:rsidR="00CE4C34" w:rsidRPr="00CE7183" w:rsidRDefault="00CE4C34" w:rsidP="00B77C0B">
            <w:pPr>
              <w:spacing w:after="0" w:line="240" w:lineRule="auto"/>
              <w:ind w:firstLineChars="100" w:firstLine="240"/>
              <w:rPr>
                <w:rFonts w:ascii="Times New Roman" w:eastAsia="Times New Roman" w:hAnsi="Times New Roman" w:cs="Times New Roman"/>
                <w:color w:val="1A1C1E"/>
                <w:kern w:val="0"/>
                <w:szCs w:val="24"/>
                <w:lang w:eastAsia="en-IN"/>
                <w14:ligatures w14:val="none"/>
              </w:rPr>
            </w:pPr>
            <w:r w:rsidRPr="00CE7183">
              <w:rPr>
                <w:rFonts w:ascii="Times New Roman" w:eastAsia="Times New Roman" w:hAnsi="Times New Roman" w:cs="Times New Roman"/>
                <w:color w:val="1A1C1E"/>
                <w:kern w:val="0"/>
                <w:szCs w:val="24"/>
                <w:lang w:eastAsia="en-IN"/>
                <w14:ligatures w14:val="none"/>
              </w:rPr>
              <w:t>30.09</w:t>
            </w:r>
          </w:p>
        </w:tc>
        <w:tc>
          <w:tcPr>
            <w:tcW w:w="1967" w:type="dxa"/>
            <w:tcBorders>
              <w:top w:val="nil"/>
              <w:left w:val="nil"/>
              <w:bottom w:val="single" w:sz="4" w:space="0" w:color="auto"/>
              <w:right w:val="single" w:sz="4" w:space="0" w:color="auto"/>
            </w:tcBorders>
            <w:shd w:val="clear" w:color="000000" w:fill="FFFFFF"/>
            <w:vAlign w:val="center"/>
            <w:hideMark/>
          </w:tcPr>
          <w:p w14:paraId="7268A4AC" w14:textId="77777777" w:rsidR="00CE4C34" w:rsidRPr="00CE7183" w:rsidRDefault="00CE4C34" w:rsidP="00B77C0B">
            <w:pPr>
              <w:spacing w:after="0" w:line="240" w:lineRule="auto"/>
              <w:ind w:firstLineChars="100" w:firstLine="240"/>
              <w:rPr>
                <w:rFonts w:ascii="Times New Roman" w:eastAsia="Times New Roman" w:hAnsi="Times New Roman" w:cs="Times New Roman"/>
                <w:color w:val="1A1C1E"/>
                <w:kern w:val="0"/>
                <w:szCs w:val="24"/>
                <w:lang w:eastAsia="en-IN"/>
                <w14:ligatures w14:val="none"/>
              </w:rPr>
            </w:pPr>
            <w:r w:rsidRPr="00CE7183">
              <w:rPr>
                <w:rFonts w:ascii="Times New Roman" w:eastAsia="Times New Roman" w:hAnsi="Times New Roman" w:cs="Times New Roman"/>
                <w:color w:val="1A1C1E"/>
                <w:kern w:val="0"/>
                <w:szCs w:val="24"/>
                <w:lang w:eastAsia="en-IN"/>
                <w14:ligatures w14:val="none"/>
              </w:rPr>
              <w:t>17.8</w:t>
            </w:r>
          </w:p>
        </w:tc>
      </w:tr>
      <w:tr w:rsidR="00CE4C34" w:rsidRPr="00CE7183" w14:paraId="4D8B84B2" w14:textId="77777777" w:rsidTr="00B77C0B">
        <w:trPr>
          <w:trHeight w:val="572"/>
        </w:trPr>
        <w:tc>
          <w:tcPr>
            <w:tcW w:w="3063" w:type="dxa"/>
            <w:tcBorders>
              <w:top w:val="nil"/>
              <w:left w:val="single" w:sz="4" w:space="0" w:color="auto"/>
              <w:bottom w:val="single" w:sz="4" w:space="0" w:color="auto"/>
              <w:right w:val="single" w:sz="4" w:space="0" w:color="auto"/>
            </w:tcBorders>
            <w:shd w:val="clear" w:color="000000" w:fill="FFFFFF"/>
            <w:vAlign w:val="center"/>
            <w:hideMark/>
          </w:tcPr>
          <w:p w14:paraId="28A1DD59" w14:textId="77777777" w:rsidR="00CE4C34" w:rsidRPr="00CE7183" w:rsidRDefault="00CE4C34" w:rsidP="00B77C0B">
            <w:pPr>
              <w:spacing w:after="0" w:line="240" w:lineRule="auto"/>
              <w:ind w:firstLineChars="100" w:firstLine="240"/>
              <w:rPr>
                <w:rFonts w:ascii="Times New Roman" w:eastAsia="Times New Roman" w:hAnsi="Times New Roman" w:cs="Times New Roman"/>
                <w:color w:val="1A1C1E"/>
                <w:kern w:val="0"/>
                <w:szCs w:val="24"/>
                <w:lang w:eastAsia="en-IN"/>
                <w14:ligatures w14:val="none"/>
              </w:rPr>
            </w:pPr>
            <w:r w:rsidRPr="00CE7183">
              <w:rPr>
                <w:rFonts w:ascii="Times New Roman" w:eastAsia="Times New Roman" w:hAnsi="Times New Roman" w:cs="Times New Roman"/>
                <w:color w:val="1A1C1E"/>
                <w:kern w:val="0"/>
                <w:szCs w:val="24"/>
                <w:lang w:eastAsia="en-IN"/>
                <w14:ligatures w14:val="none"/>
              </w:rPr>
              <w:t>Jammu &amp; Kashmir</w:t>
            </w:r>
          </w:p>
        </w:tc>
        <w:tc>
          <w:tcPr>
            <w:tcW w:w="1839" w:type="dxa"/>
            <w:tcBorders>
              <w:top w:val="nil"/>
              <w:left w:val="nil"/>
              <w:bottom w:val="single" w:sz="4" w:space="0" w:color="auto"/>
              <w:right w:val="single" w:sz="4" w:space="0" w:color="auto"/>
            </w:tcBorders>
            <w:shd w:val="clear" w:color="000000" w:fill="FFFFFF"/>
            <w:vAlign w:val="center"/>
            <w:hideMark/>
          </w:tcPr>
          <w:p w14:paraId="64B560D1" w14:textId="77777777" w:rsidR="00CE4C34" w:rsidRPr="00CE7183" w:rsidRDefault="00CE4C34" w:rsidP="00B77C0B">
            <w:pPr>
              <w:spacing w:after="0" w:line="240" w:lineRule="auto"/>
              <w:ind w:firstLineChars="100" w:firstLine="240"/>
              <w:rPr>
                <w:rFonts w:ascii="Times New Roman" w:eastAsia="Times New Roman" w:hAnsi="Times New Roman" w:cs="Times New Roman"/>
                <w:color w:val="1A1C1E"/>
                <w:kern w:val="0"/>
                <w:szCs w:val="24"/>
                <w:lang w:eastAsia="en-IN"/>
                <w14:ligatures w14:val="none"/>
              </w:rPr>
            </w:pPr>
            <w:r w:rsidRPr="00CE7183">
              <w:rPr>
                <w:rFonts w:ascii="Times New Roman" w:eastAsia="Times New Roman" w:hAnsi="Times New Roman" w:cs="Times New Roman"/>
                <w:color w:val="1A1C1E"/>
                <w:kern w:val="0"/>
                <w:szCs w:val="24"/>
                <w:lang w:eastAsia="en-IN"/>
                <w14:ligatures w14:val="none"/>
              </w:rPr>
              <w:t>29.47</w:t>
            </w:r>
          </w:p>
        </w:tc>
        <w:tc>
          <w:tcPr>
            <w:tcW w:w="1841" w:type="dxa"/>
            <w:tcBorders>
              <w:top w:val="nil"/>
              <w:left w:val="nil"/>
              <w:bottom w:val="single" w:sz="4" w:space="0" w:color="auto"/>
              <w:right w:val="single" w:sz="4" w:space="0" w:color="auto"/>
            </w:tcBorders>
            <w:shd w:val="clear" w:color="000000" w:fill="FFFFFF"/>
            <w:vAlign w:val="center"/>
            <w:hideMark/>
          </w:tcPr>
          <w:p w14:paraId="1D5028B1" w14:textId="77777777" w:rsidR="00CE4C34" w:rsidRPr="00CE7183" w:rsidRDefault="00CE4C34" w:rsidP="00B77C0B">
            <w:pPr>
              <w:spacing w:after="0" w:line="240" w:lineRule="auto"/>
              <w:ind w:firstLineChars="100" w:firstLine="240"/>
              <w:rPr>
                <w:rFonts w:ascii="Times New Roman" w:eastAsia="Times New Roman" w:hAnsi="Times New Roman" w:cs="Times New Roman"/>
                <w:color w:val="1A1C1E"/>
                <w:kern w:val="0"/>
                <w:szCs w:val="24"/>
                <w:lang w:eastAsia="en-IN"/>
                <w14:ligatures w14:val="none"/>
              </w:rPr>
            </w:pPr>
            <w:r w:rsidRPr="00CE7183">
              <w:rPr>
                <w:rFonts w:ascii="Times New Roman" w:eastAsia="Times New Roman" w:hAnsi="Times New Roman" w:cs="Times New Roman"/>
                <w:color w:val="1A1C1E"/>
                <w:kern w:val="0"/>
                <w:szCs w:val="24"/>
                <w:lang w:eastAsia="en-IN"/>
                <w14:ligatures w14:val="none"/>
              </w:rPr>
              <w:t>53.93</w:t>
            </w:r>
          </w:p>
        </w:tc>
        <w:tc>
          <w:tcPr>
            <w:tcW w:w="1841" w:type="dxa"/>
            <w:tcBorders>
              <w:top w:val="nil"/>
              <w:left w:val="nil"/>
              <w:bottom w:val="single" w:sz="4" w:space="0" w:color="auto"/>
              <w:right w:val="single" w:sz="4" w:space="0" w:color="auto"/>
            </w:tcBorders>
            <w:shd w:val="clear" w:color="000000" w:fill="FFFFFF"/>
            <w:vAlign w:val="center"/>
            <w:hideMark/>
          </w:tcPr>
          <w:p w14:paraId="2735BDF5" w14:textId="77777777" w:rsidR="00CE4C34" w:rsidRPr="00CE7183" w:rsidRDefault="00CE4C34" w:rsidP="00B77C0B">
            <w:pPr>
              <w:spacing w:after="0" w:line="240" w:lineRule="auto"/>
              <w:ind w:firstLineChars="100" w:firstLine="240"/>
              <w:rPr>
                <w:rFonts w:ascii="Times New Roman" w:eastAsia="Times New Roman" w:hAnsi="Times New Roman" w:cs="Times New Roman"/>
                <w:color w:val="1A1C1E"/>
                <w:kern w:val="0"/>
                <w:szCs w:val="24"/>
                <w:lang w:eastAsia="en-IN"/>
                <w14:ligatures w14:val="none"/>
              </w:rPr>
            </w:pPr>
            <w:r w:rsidRPr="00CE7183">
              <w:rPr>
                <w:rFonts w:ascii="Times New Roman" w:eastAsia="Times New Roman" w:hAnsi="Times New Roman" w:cs="Times New Roman"/>
                <w:color w:val="1A1C1E"/>
                <w:kern w:val="0"/>
                <w:szCs w:val="24"/>
                <w:lang w:eastAsia="en-IN"/>
                <w14:ligatures w14:val="none"/>
              </w:rPr>
              <w:t>64.22</w:t>
            </w:r>
          </w:p>
        </w:tc>
        <w:tc>
          <w:tcPr>
            <w:tcW w:w="1967" w:type="dxa"/>
            <w:tcBorders>
              <w:top w:val="nil"/>
              <w:left w:val="nil"/>
              <w:bottom w:val="single" w:sz="4" w:space="0" w:color="auto"/>
              <w:right w:val="single" w:sz="4" w:space="0" w:color="auto"/>
            </w:tcBorders>
            <w:shd w:val="clear" w:color="000000" w:fill="FFFFFF"/>
            <w:vAlign w:val="center"/>
            <w:hideMark/>
          </w:tcPr>
          <w:p w14:paraId="53C5278F" w14:textId="77777777" w:rsidR="00CE4C34" w:rsidRPr="00CE7183" w:rsidRDefault="00CE4C34" w:rsidP="00B77C0B">
            <w:pPr>
              <w:spacing w:after="0" w:line="240" w:lineRule="auto"/>
              <w:ind w:firstLineChars="100" w:firstLine="240"/>
              <w:rPr>
                <w:rFonts w:ascii="Times New Roman" w:eastAsia="Times New Roman" w:hAnsi="Times New Roman" w:cs="Times New Roman"/>
                <w:color w:val="1A1C1E"/>
                <w:kern w:val="0"/>
                <w:szCs w:val="24"/>
                <w:lang w:eastAsia="en-IN"/>
                <w14:ligatures w14:val="none"/>
              </w:rPr>
            </w:pPr>
            <w:r w:rsidRPr="00CE7183">
              <w:rPr>
                <w:rFonts w:ascii="Times New Roman" w:eastAsia="Times New Roman" w:hAnsi="Times New Roman" w:cs="Times New Roman"/>
                <w:color w:val="1A1C1E"/>
                <w:kern w:val="0"/>
                <w:szCs w:val="24"/>
                <w:lang w:eastAsia="en-IN"/>
                <w14:ligatures w14:val="none"/>
              </w:rPr>
              <w:t>N.A.</w:t>
            </w:r>
          </w:p>
        </w:tc>
      </w:tr>
      <w:tr w:rsidR="00CE4C34" w:rsidRPr="00CE7183" w14:paraId="0F0C82A2" w14:textId="77777777" w:rsidTr="00B77C0B">
        <w:trPr>
          <w:trHeight w:val="301"/>
        </w:trPr>
        <w:tc>
          <w:tcPr>
            <w:tcW w:w="3063" w:type="dxa"/>
            <w:tcBorders>
              <w:top w:val="nil"/>
              <w:left w:val="single" w:sz="4" w:space="0" w:color="auto"/>
              <w:bottom w:val="single" w:sz="4" w:space="0" w:color="auto"/>
              <w:right w:val="single" w:sz="4" w:space="0" w:color="auto"/>
            </w:tcBorders>
            <w:shd w:val="clear" w:color="000000" w:fill="FFFFFF"/>
            <w:vAlign w:val="center"/>
            <w:hideMark/>
          </w:tcPr>
          <w:p w14:paraId="7C6E8224" w14:textId="77777777" w:rsidR="00CE4C34" w:rsidRPr="00CE7183" w:rsidRDefault="00CE4C34" w:rsidP="00B77C0B">
            <w:pPr>
              <w:spacing w:after="0" w:line="240" w:lineRule="auto"/>
              <w:ind w:firstLineChars="100" w:firstLine="240"/>
              <w:rPr>
                <w:rFonts w:ascii="Times New Roman" w:eastAsia="Times New Roman" w:hAnsi="Times New Roman" w:cs="Times New Roman"/>
                <w:color w:val="1A1C1E"/>
                <w:kern w:val="0"/>
                <w:szCs w:val="24"/>
                <w:lang w:eastAsia="en-IN"/>
                <w14:ligatures w14:val="none"/>
              </w:rPr>
            </w:pPr>
            <w:r w:rsidRPr="00CE7183">
              <w:rPr>
                <w:rFonts w:ascii="Times New Roman" w:eastAsia="Times New Roman" w:hAnsi="Times New Roman" w:cs="Times New Roman"/>
                <w:color w:val="1A1C1E"/>
                <w:kern w:val="0"/>
                <w:szCs w:val="24"/>
                <w:lang w:eastAsia="en-IN"/>
                <w14:ligatures w14:val="none"/>
              </w:rPr>
              <w:t>Kerala</w:t>
            </w:r>
          </w:p>
        </w:tc>
        <w:tc>
          <w:tcPr>
            <w:tcW w:w="1839" w:type="dxa"/>
            <w:tcBorders>
              <w:top w:val="nil"/>
              <w:left w:val="nil"/>
              <w:bottom w:val="single" w:sz="4" w:space="0" w:color="auto"/>
              <w:right w:val="single" w:sz="4" w:space="0" w:color="auto"/>
            </w:tcBorders>
            <w:shd w:val="clear" w:color="000000" w:fill="FFFFFF"/>
            <w:vAlign w:val="center"/>
            <w:hideMark/>
          </w:tcPr>
          <w:p w14:paraId="3683AB58" w14:textId="77777777" w:rsidR="00CE4C34" w:rsidRPr="00CE7183" w:rsidRDefault="00CE4C34" w:rsidP="00B77C0B">
            <w:pPr>
              <w:spacing w:after="0" w:line="240" w:lineRule="auto"/>
              <w:ind w:firstLineChars="100" w:firstLine="240"/>
              <w:rPr>
                <w:rFonts w:ascii="Times New Roman" w:eastAsia="Times New Roman" w:hAnsi="Times New Roman" w:cs="Times New Roman"/>
                <w:color w:val="1A1C1E"/>
                <w:kern w:val="0"/>
                <w:szCs w:val="24"/>
                <w:lang w:eastAsia="en-IN"/>
                <w14:ligatures w14:val="none"/>
              </w:rPr>
            </w:pPr>
            <w:r w:rsidRPr="00CE7183">
              <w:rPr>
                <w:rFonts w:ascii="Times New Roman" w:eastAsia="Times New Roman" w:hAnsi="Times New Roman" w:cs="Times New Roman"/>
                <w:color w:val="1A1C1E"/>
                <w:kern w:val="0"/>
                <w:szCs w:val="24"/>
                <w:lang w:eastAsia="en-IN"/>
                <w14:ligatures w14:val="none"/>
              </w:rPr>
              <w:t>35.61</w:t>
            </w:r>
          </w:p>
        </w:tc>
        <w:tc>
          <w:tcPr>
            <w:tcW w:w="1841" w:type="dxa"/>
            <w:tcBorders>
              <w:top w:val="nil"/>
              <w:left w:val="nil"/>
              <w:bottom w:val="single" w:sz="4" w:space="0" w:color="auto"/>
              <w:right w:val="single" w:sz="4" w:space="0" w:color="auto"/>
            </w:tcBorders>
            <w:shd w:val="clear" w:color="000000" w:fill="FFFFFF"/>
            <w:vAlign w:val="center"/>
            <w:hideMark/>
          </w:tcPr>
          <w:p w14:paraId="74512A01" w14:textId="77777777" w:rsidR="00CE4C34" w:rsidRPr="00CE7183" w:rsidRDefault="00CE4C34" w:rsidP="00B77C0B">
            <w:pPr>
              <w:spacing w:after="0" w:line="240" w:lineRule="auto"/>
              <w:ind w:firstLineChars="100" w:firstLine="240"/>
              <w:rPr>
                <w:rFonts w:ascii="Times New Roman" w:eastAsia="Times New Roman" w:hAnsi="Times New Roman" w:cs="Times New Roman"/>
                <w:color w:val="1A1C1E"/>
                <w:kern w:val="0"/>
                <w:szCs w:val="24"/>
                <w:lang w:eastAsia="en-IN"/>
                <w14:ligatures w14:val="none"/>
              </w:rPr>
            </w:pPr>
            <w:r w:rsidRPr="00CE7183">
              <w:rPr>
                <w:rFonts w:ascii="Times New Roman" w:eastAsia="Times New Roman" w:hAnsi="Times New Roman" w:cs="Times New Roman"/>
                <w:color w:val="1A1C1E"/>
                <w:kern w:val="0"/>
                <w:szCs w:val="24"/>
                <w:lang w:eastAsia="en-IN"/>
                <w14:ligatures w14:val="none"/>
              </w:rPr>
              <w:t>7.54</w:t>
            </w:r>
          </w:p>
        </w:tc>
        <w:tc>
          <w:tcPr>
            <w:tcW w:w="1841" w:type="dxa"/>
            <w:tcBorders>
              <w:top w:val="nil"/>
              <w:left w:val="nil"/>
              <w:bottom w:val="single" w:sz="4" w:space="0" w:color="auto"/>
              <w:right w:val="single" w:sz="4" w:space="0" w:color="auto"/>
            </w:tcBorders>
            <w:shd w:val="clear" w:color="000000" w:fill="FFFFFF"/>
            <w:vAlign w:val="center"/>
            <w:hideMark/>
          </w:tcPr>
          <w:p w14:paraId="68C55CCD" w14:textId="77777777" w:rsidR="00CE4C34" w:rsidRPr="00CE7183" w:rsidRDefault="00CE4C34" w:rsidP="00B77C0B">
            <w:pPr>
              <w:spacing w:after="0" w:line="240" w:lineRule="auto"/>
              <w:ind w:firstLineChars="100" w:firstLine="240"/>
              <w:rPr>
                <w:rFonts w:ascii="Times New Roman" w:eastAsia="Times New Roman" w:hAnsi="Times New Roman" w:cs="Times New Roman"/>
                <w:color w:val="1A1C1E"/>
                <w:kern w:val="0"/>
                <w:szCs w:val="24"/>
                <w:lang w:eastAsia="en-IN"/>
                <w14:ligatures w14:val="none"/>
              </w:rPr>
            </w:pPr>
            <w:r w:rsidRPr="00CE7183">
              <w:rPr>
                <w:rFonts w:ascii="Times New Roman" w:eastAsia="Times New Roman" w:hAnsi="Times New Roman" w:cs="Times New Roman"/>
                <w:color w:val="1A1C1E"/>
                <w:kern w:val="0"/>
                <w:szCs w:val="24"/>
                <w:lang w:eastAsia="en-IN"/>
                <w14:ligatures w14:val="none"/>
              </w:rPr>
              <w:t>9.81</w:t>
            </w:r>
          </w:p>
        </w:tc>
        <w:tc>
          <w:tcPr>
            <w:tcW w:w="1967" w:type="dxa"/>
            <w:tcBorders>
              <w:top w:val="nil"/>
              <w:left w:val="nil"/>
              <w:bottom w:val="single" w:sz="4" w:space="0" w:color="auto"/>
              <w:right w:val="single" w:sz="4" w:space="0" w:color="auto"/>
            </w:tcBorders>
            <w:shd w:val="clear" w:color="000000" w:fill="FFFFFF"/>
            <w:vAlign w:val="center"/>
            <w:hideMark/>
          </w:tcPr>
          <w:p w14:paraId="768608CC" w14:textId="77777777" w:rsidR="00CE4C34" w:rsidRPr="00CE7183" w:rsidRDefault="00CE4C34" w:rsidP="00B77C0B">
            <w:pPr>
              <w:spacing w:after="0" w:line="240" w:lineRule="auto"/>
              <w:ind w:firstLineChars="100" w:firstLine="240"/>
              <w:rPr>
                <w:rFonts w:ascii="Times New Roman" w:eastAsia="Times New Roman" w:hAnsi="Times New Roman" w:cs="Times New Roman"/>
                <w:color w:val="1A1C1E"/>
                <w:kern w:val="0"/>
                <w:szCs w:val="24"/>
                <w:lang w:eastAsia="en-IN"/>
                <w14:ligatures w14:val="none"/>
              </w:rPr>
            </w:pPr>
            <w:r w:rsidRPr="00CE7183">
              <w:rPr>
                <w:rFonts w:ascii="Times New Roman" w:eastAsia="Times New Roman" w:hAnsi="Times New Roman" w:cs="Times New Roman"/>
                <w:color w:val="1A1C1E"/>
                <w:kern w:val="0"/>
                <w:szCs w:val="24"/>
                <w:lang w:eastAsia="en-IN"/>
                <w14:ligatures w14:val="none"/>
              </w:rPr>
              <w:t>16.47</w:t>
            </w:r>
          </w:p>
        </w:tc>
      </w:tr>
      <w:tr w:rsidR="00CE4C34" w:rsidRPr="00CE7183" w14:paraId="76A6DB4F" w14:textId="77777777" w:rsidTr="00B77C0B">
        <w:trPr>
          <w:trHeight w:val="572"/>
        </w:trPr>
        <w:tc>
          <w:tcPr>
            <w:tcW w:w="3063" w:type="dxa"/>
            <w:tcBorders>
              <w:top w:val="nil"/>
              <w:left w:val="single" w:sz="4" w:space="0" w:color="auto"/>
              <w:bottom w:val="single" w:sz="4" w:space="0" w:color="auto"/>
              <w:right w:val="single" w:sz="4" w:space="0" w:color="auto"/>
            </w:tcBorders>
            <w:shd w:val="clear" w:color="000000" w:fill="FFFFFF"/>
            <w:vAlign w:val="center"/>
            <w:hideMark/>
          </w:tcPr>
          <w:p w14:paraId="6DFC3287" w14:textId="77777777" w:rsidR="00CE4C34" w:rsidRPr="00CE7183" w:rsidRDefault="00CE4C34" w:rsidP="00B77C0B">
            <w:pPr>
              <w:spacing w:after="0" w:line="240" w:lineRule="auto"/>
              <w:ind w:firstLineChars="100" w:firstLine="240"/>
              <w:rPr>
                <w:rFonts w:ascii="Times New Roman" w:eastAsia="Times New Roman" w:hAnsi="Times New Roman" w:cs="Times New Roman"/>
                <w:color w:val="1A1C1E"/>
                <w:kern w:val="0"/>
                <w:szCs w:val="24"/>
                <w:lang w:eastAsia="en-IN"/>
                <w14:ligatures w14:val="none"/>
              </w:rPr>
            </w:pPr>
            <w:r w:rsidRPr="00CE7183">
              <w:rPr>
                <w:rFonts w:ascii="Times New Roman" w:eastAsia="Times New Roman" w:hAnsi="Times New Roman" w:cs="Times New Roman"/>
                <w:color w:val="1A1C1E"/>
                <w:kern w:val="0"/>
                <w:szCs w:val="24"/>
                <w:lang w:eastAsia="en-IN"/>
                <w14:ligatures w14:val="none"/>
              </w:rPr>
              <w:t>Madhya Pradesh</w:t>
            </w:r>
          </w:p>
        </w:tc>
        <w:tc>
          <w:tcPr>
            <w:tcW w:w="1839" w:type="dxa"/>
            <w:tcBorders>
              <w:top w:val="nil"/>
              <w:left w:val="nil"/>
              <w:bottom w:val="single" w:sz="4" w:space="0" w:color="auto"/>
              <w:right w:val="single" w:sz="4" w:space="0" w:color="auto"/>
            </w:tcBorders>
            <w:shd w:val="clear" w:color="000000" w:fill="FFFFFF"/>
            <w:vAlign w:val="center"/>
            <w:hideMark/>
          </w:tcPr>
          <w:p w14:paraId="7F2B4F4A" w14:textId="77777777" w:rsidR="00CE4C34" w:rsidRPr="00CE7183" w:rsidRDefault="00CE4C34" w:rsidP="00B77C0B">
            <w:pPr>
              <w:spacing w:after="0" w:line="240" w:lineRule="auto"/>
              <w:ind w:firstLineChars="100" w:firstLine="240"/>
              <w:rPr>
                <w:rFonts w:ascii="Times New Roman" w:eastAsia="Times New Roman" w:hAnsi="Times New Roman" w:cs="Times New Roman"/>
                <w:color w:val="1A1C1E"/>
                <w:kern w:val="0"/>
                <w:szCs w:val="24"/>
                <w:lang w:eastAsia="en-IN"/>
                <w14:ligatures w14:val="none"/>
              </w:rPr>
            </w:pPr>
            <w:r w:rsidRPr="00CE7183">
              <w:rPr>
                <w:rFonts w:ascii="Times New Roman" w:eastAsia="Times New Roman" w:hAnsi="Times New Roman" w:cs="Times New Roman"/>
                <w:color w:val="1A1C1E"/>
                <w:kern w:val="0"/>
                <w:szCs w:val="24"/>
                <w:lang w:eastAsia="en-IN"/>
                <w14:ligatures w14:val="none"/>
              </w:rPr>
              <w:t>13.29</w:t>
            </w:r>
          </w:p>
        </w:tc>
        <w:tc>
          <w:tcPr>
            <w:tcW w:w="1841" w:type="dxa"/>
            <w:tcBorders>
              <w:top w:val="nil"/>
              <w:left w:val="nil"/>
              <w:bottom w:val="single" w:sz="4" w:space="0" w:color="auto"/>
              <w:right w:val="single" w:sz="4" w:space="0" w:color="auto"/>
            </w:tcBorders>
            <w:shd w:val="clear" w:color="000000" w:fill="FFFFFF"/>
            <w:vAlign w:val="center"/>
            <w:hideMark/>
          </w:tcPr>
          <w:p w14:paraId="3B8DB99A" w14:textId="77777777" w:rsidR="00CE4C34" w:rsidRPr="00CE7183" w:rsidRDefault="00CE4C34" w:rsidP="00B77C0B">
            <w:pPr>
              <w:spacing w:after="0" w:line="240" w:lineRule="auto"/>
              <w:ind w:firstLineChars="100" w:firstLine="240"/>
              <w:rPr>
                <w:rFonts w:ascii="Times New Roman" w:eastAsia="Times New Roman" w:hAnsi="Times New Roman" w:cs="Times New Roman"/>
                <w:color w:val="1A1C1E"/>
                <w:kern w:val="0"/>
                <w:szCs w:val="24"/>
                <w:lang w:eastAsia="en-IN"/>
                <w14:ligatures w14:val="none"/>
              </w:rPr>
            </w:pPr>
            <w:r w:rsidRPr="00CE7183">
              <w:rPr>
                <w:rFonts w:ascii="Times New Roman" w:eastAsia="Times New Roman" w:hAnsi="Times New Roman" w:cs="Times New Roman"/>
                <w:color w:val="1A1C1E"/>
                <w:kern w:val="0"/>
                <w:szCs w:val="24"/>
                <w:lang w:eastAsia="en-IN"/>
                <w14:ligatures w14:val="none"/>
              </w:rPr>
              <w:t>20.07</w:t>
            </w:r>
          </w:p>
        </w:tc>
        <w:tc>
          <w:tcPr>
            <w:tcW w:w="1841" w:type="dxa"/>
            <w:tcBorders>
              <w:top w:val="nil"/>
              <w:left w:val="nil"/>
              <w:bottom w:val="single" w:sz="4" w:space="0" w:color="auto"/>
              <w:right w:val="single" w:sz="4" w:space="0" w:color="auto"/>
            </w:tcBorders>
            <w:shd w:val="clear" w:color="000000" w:fill="FFFFFF"/>
            <w:vAlign w:val="center"/>
            <w:hideMark/>
          </w:tcPr>
          <w:p w14:paraId="47161C31" w14:textId="77777777" w:rsidR="00CE4C34" w:rsidRPr="00CE7183" w:rsidRDefault="00CE4C34" w:rsidP="00B77C0B">
            <w:pPr>
              <w:spacing w:after="0" w:line="240" w:lineRule="auto"/>
              <w:ind w:firstLineChars="100" w:firstLine="240"/>
              <w:rPr>
                <w:rFonts w:ascii="Times New Roman" w:eastAsia="Times New Roman" w:hAnsi="Times New Roman" w:cs="Times New Roman"/>
                <w:color w:val="1A1C1E"/>
                <w:kern w:val="0"/>
                <w:szCs w:val="24"/>
                <w:lang w:eastAsia="en-IN"/>
                <w14:ligatures w14:val="none"/>
              </w:rPr>
            </w:pPr>
            <w:r w:rsidRPr="00CE7183">
              <w:rPr>
                <w:rFonts w:ascii="Times New Roman" w:eastAsia="Times New Roman" w:hAnsi="Times New Roman" w:cs="Times New Roman"/>
                <w:color w:val="1A1C1E"/>
                <w:kern w:val="0"/>
                <w:szCs w:val="24"/>
                <w:lang w:eastAsia="en-IN"/>
                <w14:ligatures w14:val="none"/>
              </w:rPr>
              <w:t>40.25</w:t>
            </w:r>
          </w:p>
        </w:tc>
        <w:tc>
          <w:tcPr>
            <w:tcW w:w="1967" w:type="dxa"/>
            <w:tcBorders>
              <w:top w:val="nil"/>
              <w:left w:val="nil"/>
              <w:bottom w:val="single" w:sz="4" w:space="0" w:color="auto"/>
              <w:right w:val="single" w:sz="4" w:space="0" w:color="auto"/>
            </w:tcBorders>
            <w:shd w:val="clear" w:color="000000" w:fill="FFFFFF"/>
            <w:vAlign w:val="center"/>
            <w:hideMark/>
          </w:tcPr>
          <w:p w14:paraId="36445613" w14:textId="77777777" w:rsidR="00CE4C34" w:rsidRPr="00CE7183" w:rsidRDefault="00CE4C34" w:rsidP="00B77C0B">
            <w:pPr>
              <w:spacing w:after="0" w:line="240" w:lineRule="auto"/>
              <w:ind w:firstLineChars="100" w:firstLine="240"/>
              <w:rPr>
                <w:rFonts w:ascii="Times New Roman" w:eastAsia="Times New Roman" w:hAnsi="Times New Roman" w:cs="Times New Roman"/>
                <w:color w:val="1A1C1E"/>
                <w:kern w:val="0"/>
                <w:szCs w:val="24"/>
                <w:lang w:eastAsia="en-IN"/>
                <w14:ligatures w14:val="none"/>
              </w:rPr>
            </w:pPr>
            <w:r w:rsidRPr="00CE7183">
              <w:rPr>
                <w:rFonts w:ascii="Times New Roman" w:eastAsia="Times New Roman" w:hAnsi="Times New Roman" w:cs="Times New Roman"/>
                <w:color w:val="1A1C1E"/>
                <w:kern w:val="0"/>
                <w:szCs w:val="24"/>
                <w:lang w:eastAsia="en-IN"/>
                <w14:ligatures w14:val="none"/>
              </w:rPr>
              <w:t>37.78</w:t>
            </w:r>
          </w:p>
        </w:tc>
      </w:tr>
      <w:tr w:rsidR="00CE4C34" w:rsidRPr="00CE7183" w14:paraId="628E8ED4" w14:textId="77777777" w:rsidTr="00B77C0B">
        <w:trPr>
          <w:trHeight w:val="301"/>
        </w:trPr>
        <w:tc>
          <w:tcPr>
            <w:tcW w:w="3063" w:type="dxa"/>
            <w:tcBorders>
              <w:top w:val="nil"/>
              <w:left w:val="single" w:sz="4" w:space="0" w:color="auto"/>
              <w:bottom w:val="single" w:sz="4" w:space="0" w:color="auto"/>
              <w:right w:val="single" w:sz="4" w:space="0" w:color="auto"/>
            </w:tcBorders>
            <w:shd w:val="clear" w:color="000000" w:fill="FFFFFF"/>
            <w:vAlign w:val="center"/>
            <w:hideMark/>
          </w:tcPr>
          <w:p w14:paraId="7A385FAE" w14:textId="77777777" w:rsidR="00CE4C34" w:rsidRPr="00CE7183" w:rsidRDefault="00CE4C34" w:rsidP="00B77C0B">
            <w:pPr>
              <w:spacing w:after="0" w:line="240" w:lineRule="auto"/>
              <w:ind w:firstLineChars="100" w:firstLine="240"/>
              <w:rPr>
                <w:rFonts w:ascii="Times New Roman" w:eastAsia="Times New Roman" w:hAnsi="Times New Roman" w:cs="Times New Roman"/>
                <w:color w:val="1A1C1E"/>
                <w:kern w:val="0"/>
                <w:szCs w:val="24"/>
                <w:lang w:eastAsia="en-IN"/>
                <w14:ligatures w14:val="none"/>
              </w:rPr>
            </w:pPr>
            <w:r w:rsidRPr="00CE7183">
              <w:rPr>
                <w:rFonts w:ascii="Times New Roman" w:eastAsia="Times New Roman" w:hAnsi="Times New Roman" w:cs="Times New Roman"/>
                <w:color w:val="1A1C1E"/>
                <w:kern w:val="0"/>
                <w:szCs w:val="24"/>
                <w:lang w:eastAsia="en-IN"/>
                <w14:ligatures w14:val="none"/>
              </w:rPr>
              <w:t>Maharashtra</w:t>
            </w:r>
          </w:p>
        </w:tc>
        <w:tc>
          <w:tcPr>
            <w:tcW w:w="1839" w:type="dxa"/>
            <w:tcBorders>
              <w:top w:val="nil"/>
              <w:left w:val="nil"/>
              <w:bottom w:val="single" w:sz="4" w:space="0" w:color="auto"/>
              <w:right w:val="single" w:sz="4" w:space="0" w:color="auto"/>
            </w:tcBorders>
            <w:shd w:val="clear" w:color="000000" w:fill="FFFFFF"/>
            <w:vAlign w:val="center"/>
            <w:hideMark/>
          </w:tcPr>
          <w:p w14:paraId="5FBB8B52" w14:textId="77777777" w:rsidR="00CE4C34" w:rsidRPr="00CE7183" w:rsidRDefault="00CE4C34" w:rsidP="00B77C0B">
            <w:pPr>
              <w:spacing w:after="0" w:line="240" w:lineRule="auto"/>
              <w:ind w:firstLineChars="100" w:firstLine="240"/>
              <w:rPr>
                <w:rFonts w:ascii="Times New Roman" w:eastAsia="Times New Roman" w:hAnsi="Times New Roman" w:cs="Times New Roman"/>
                <w:color w:val="1A1C1E"/>
                <w:kern w:val="0"/>
                <w:szCs w:val="24"/>
                <w:lang w:eastAsia="en-IN"/>
                <w14:ligatures w14:val="none"/>
              </w:rPr>
            </w:pPr>
            <w:r w:rsidRPr="00CE7183">
              <w:rPr>
                <w:rFonts w:ascii="Times New Roman" w:eastAsia="Times New Roman" w:hAnsi="Times New Roman" w:cs="Times New Roman"/>
                <w:color w:val="1A1C1E"/>
                <w:kern w:val="0"/>
                <w:szCs w:val="24"/>
                <w:lang w:eastAsia="en-IN"/>
                <w14:ligatures w14:val="none"/>
              </w:rPr>
              <w:t>17.99</w:t>
            </w:r>
          </w:p>
        </w:tc>
        <w:tc>
          <w:tcPr>
            <w:tcW w:w="1841" w:type="dxa"/>
            <w:tcBorders>
              <w:top w:val="nil"/>
              <w:left w:val="nil"/>
              <w:bottom w:val="single" w:sz="4" w:space="0" w:color="auto"/>
              <w:right w:val="single" w:sz="4" w:space="0" w:color="auto"/>
            </w:tcBorders>
            <w:shd w:val="clear" w:color="000000" w:fill="FFFFFF"/>
            <w:vAlign w:val="center"/>
            <w:hideMark/>
          </w:tcPr>
          <w:p w14:paraId="38DCC565" w14:textId="77777777" w:rsidR="00CE4C34" w:rsidRPr="00CE7183" w:rsidRDefault="00CE4C34" w:rsidP="00B77C0B">
            <w:pPr>
              <w:spacing w:after="0" w:line="240" w:lineRule="auto"/>
              <w:ind w:firstLineChars="100" w:firstLine="240"/>
              <w:rPr>
                <w:rFonts w:ascii="Times New Roman" w:eastAsia="Times New Roman" w:hAnsi="Times New Roman" w:cs="Times New Roman"/>
                <w:color w:val="1A1C1E"/>
                <w:kern w:val="0"/>
                <w:szCs w:val="24"/>
                <w:lang w:eastAsia="en-IN"/>
                <w14:ligatures w14:val="none"/>
              </w:rPr>
            </w:pPr>
            <w:r w:rsidRPr="00CE7183">
              <w:rPr>
                <w:rFonts w:ascii="Times New Roman" w:eastAsia="Times New Roman" w:hAnsi="Times New Roman" w:cs="Times New Roman"/>
                <w:color w:val="1A1C1E"/>
                <w:kern w:val="0"/>
                <w:szCs w:val="24"/>
                <w:lang w:eastAsia="en-IN"/>
                <w14:ligatures w14:val="none"/>
              </w:rPr>
              <w:t>37.51</w:t>
            </w:r>
          </w:p>
        </w:tc>
        <w:tc>
          <w:tcPr>
            <w:tcW w:w="1841" w:type="dxa"/>
            <w:tcBorders>
              <w:top w:val="nil"/>
              <w:left w:val="nil"/>
              <w:bottom w:val="single" w:sz="4" w:space="0" w:color="auto"/>
              <w:right w:val="single" w:sz="4" w:space="0" w:color="auto"/>
            </w:tcBorders>
            <w:shd w:val="clear" w:color="000000" w:fill="FFFFFF"/>
            <w:vAlign w:val="center"/>
            <w:hideMark/>
          </w:tcPr>
          <w:p w14:paraId="088D9028" w14:textId="77777777" w:rsidR="00CE4C34" w:rsidRPr="00CE7183" w:rsidRDefault="00CE4C34" w:rsidP="00B77C0B">
            <w:pPr>
              <w:spacing w:after="0" w:line="240" w:lineRule="auto"/>
              <w:ind w:firstLineChars="100" w:firstLine="240"/>
              <w:rPr>
                <w:rFonts w:ascii="Times New Roman" w:eastAsia="Times New Roman" w:hAnsi="Times New Roman" w:cs="Times New Roman"/>
                <w:color w:val="1A1C1E"/>
                <w:kern w:val="0"/>
                <w:szCs w:val="24"/>
                <w:lang w:eastAsia="en-IN"/>
                <w14:ligatures w14:val="none"/>
              </w:rPr>
            </w:pPr>
            <w:r w:rsidRPr="00CE7183">
              <w:rPr>
                <w:rFonts w:ascii="Times New Roman" w:eastAsia="Times New Roman" w:hAnsi="Times New Roman" w:cs="Times New Roman"/>
                <w:color w:val="1A1C1E"/>
                <w:kern w:val="0"/>
                <w:szCs w:val="24"/>
                <w:lang w:eastAsia="en-IN"/>
                <w14:ligatures w14:val="none"/>
              </w:rPr>
              <w:t>27.93</w:t>
            </w:r>
          </w:p>
        </w:tc>
        <w:tc>
          <w:tcPr>
            <w:tcW w:w="1967" w:type="dxa"/>
            <w:tcBorders>
              <w:top w:val="nil"/>
              <w:left w:val="nil"/>
              <w:bottom w:val="single" w:sz="4" w:space="0" w:color="auto"/>
              <w:right w:val="single" w:sz="4" w:space="0" w:color="auto"/>
            </w:tcBorders>
            <w:shd w:val="clear" w:color="000000" w:fill="FFFFFF"/>
            <w:vAlign w:val="center"/>
            <w:hideMark/>
          </w:tcPr>
          <w:p w14:paraId="39E0078D" w14:textId="77777777" w:rsidR="00CE4C34" w:rsidRPr="00CE7183" w:rsidRDefault="00CE4C34" w:rsidP="00B77C0B">
            <w:pPr>
              <w:spacing w:after="0" w:line="240" w:lineRule="auto"/>
              <w:ind w:firstLineChars="100" w:firstLine="240"/>
              <w:rPr>
                <w:rFonts w:ascii="Times New Roman" w:eastAsia="Times New Roman" w:hAnsi="Times New Roman" w:cs="Times New Roman"/>
                <w:color w:val="1A1C1E"/>
                <w:kern w:val="0"/>
                <w:szCs w:val="24"/>
                <w:lang w:eastAsia="en-IN"/>
                <w14:ligatures w14:val="none"/>
              </w:rPr>
            </w:pPr>
            <w:r w:rsidRPr="00CE7183">
              <w:rPr>
                <w:rFonts w:ascii="Times New Roman" w:eastAsia="Times New Roman" w:hAnsi="Times New Roman" w:cs="Times New Roman"/>
                <w:color w:val="1A1C1E"/>
                <w:kern w:val="0"/>
                <w:szCs w:val="24"/>
                <w:lang w:eastAsia="en-IN"/>
                <w14:ligatures w14:val="none"/>
              </w:rPr>
              <w:t>N.A.</w:t>
            </w:r>
          </w:p>
        </w:tc>
      </w:tr>
      <w:tr w:rsidR="00CE4C34" w:rsidRPr="00CE7183" w14:paraId="3F76F1E1" w14:textId="77777777" w:rsidTr="00B77C0B">
        <w:trPr>
          <w:trHeight w:val="301"/>
        </w:trPr>
        <w:tc>
          <w:tcPr>
            <w:tcW w:w="3063" w:type="dxa"/>
            <w:tcBorders>
              <w:top w:val="nil"/>
              <w:left w:val="single" w:sz="4" w:space="0" w:color="auto"/>
              <w:bottom w:val="single" w:sz="4" w:space="0" w:color="auto"/>
              <w:right w:val="single" w:sz="4" w:space="0" w:color="auto"/>
            </w:tcBorders>
            <w:shd w:val="clear" w:color="000000" w:fill="FFFFFF"/>
            <w:vAlign w:val="center"/>
            <w:hideMark/>
          </w:tcPr>
          <w:p w14:paraId="120A365B" w14:textId="77777777" w:rsidR="00CE4C34" w:rsidRPr="00CE7183" w:rsidRDefault="00CE4C34" w:rsidP="00B77C0B">
            <w:pPr>
              <w:spacing w:after="0" w:line="240" w:lineRule="auto"/>
              <w:ind w:firstLineChars="100" w:firstLine="240"/>
              <w:rPr>
                <w:rFonts w:ascii="Times New Roman" w:eastAsia="Times New Roman" w:hAnsi="Times New Roman" w:cs="Times New Roman"/>
                <w:color w:val="1A1C1E"/>
                <w:kern w:val="0"/>
                <w:szCs w:val="24"/>
                <w:lang w:eastAsia="en-IN"/>
                <w14:ligatures w14:val="none"/>
              </w:rPr>
            </w:pPr>
            <w:r w:rsidRPr="00CE7183">
              <w:rPr>
                <w:rFonts w:ascii="Times New Roman" w:eastAsia="Times New Roman" w:hAnsi="Times New Roman" w:cs="Times New Roman"/>
                <w:color w:val="1A1C1E"/>
                <w:kern w:val="0"/>
                <w:szCs w:val="24"/>
                <w:lang w:eastAsia="en-IN"/>
                <w14:ligatures w14:val="none"/>
              </w:rPr>
              <w:t>Mysore</w:t>
            </w:r>
          </w:p>
        </w:tc>
        <w:tc>
          <w:tcPr>
            <w:tcW w:w="1839" w:type="dxa"/>
            <w:tcBorders>
              <w:top w:val="nil"/>
              <w:left w:val="nil"/>
              <w:bottom w:val="single" w:sz="4" w:space="0" w:color="auto"/>
              <w:right w:val="single" w:sz="4" w:space="0" w:color="auto"/>
            </w:tcBorders>
            <w:shd w:val="clear" w:color="000000" w:fill="FFFFFF"/>
            <w:vAlign w:val="center"/>
            <w:hideMark/>
          </w:tcPr>
          <w:p w14:paraId="2CD404A5" w14:textId="77777777" w:rsidR="00CE4C34" w:rsidRPr="00CE7183" w:rsidRDefault="00CE4C34" w:rsidP="00B77C0B">
            <w:pPr>
              <w:spacing w:after="0" w:line="240" w:lineRule="auto"/>
              <w:ind w:firstLineChars="100" w:firstLine="240"/>
              <w:rPr>
                <w:rFonts w:ascii="Times New Roman" w:eastAsia="Times New Roman" w:hAnsi="Times New Roman" w:cs="Times New Roman"/>
                <w:color w:val="1A1C1E"/>
                <w:kern w:val="0"/>
                <w:szCs w:val="24"/>
                <w:lang w:eastAsia="en-IN"/>
                <w14:ligatures w14:val="none"/>
              </w:rPr>
            </w:pPr>
            <w:r w:rsidRPr="00CE7183">
              <w:rPr>
                <w:rFonts w:ascii="Times New Roman" w:eastAsia="Times New Roman" w:hAnsi="Times New Roman" w:cs="Times New Roman"/>
                <w:color w:val="1A1C1E"/>
                <w:kern w:val="0"/>
                <w:szCs w:val="24"/>
                <w:lang w:eastAsia="en-IN"/>
                <w14:ligatures w14:val="none"/>
              </w:rPr>
              <w:t>39.81</w:t>
            </w:r>
          </w:p>
        </w:tc>
        <w:tc>
          <w:tcPr>
            <w:tcW w:w="1841" w:type="dxa"/>
            <w:tcBorders>
              <w:top w:val="nil"/>
              <w:left w:val="nil"/>
              <w:bottom w:val="single" w:sz="4" w:space="0" w:color="auto"/>
              <w:right w:val="single" w:sz="4" w:space="0" w:color="auto"/>
            </w:tcBorders>
            <w:shd w:val="clear" w:color="000000" w:fill="FFFFFF"/>
            <w:vAlign w:val="center"/>
            <w:hideMark/>
          </w:tcPr>
          <w:p w14:paraId="5CC301A3" w14:textId="77777777" w:rsidR="00CE4C34" w:rsidRPr="00CE7183" w:rsidRDefault="00CE4C34" w:rsidP="00B77C0B">
            <w:pPr>
              <w:spacing w:after="0" w:line="240" w:lineRule="auto"/>
              <w:ind w:firstLineChars="100" w:firstLine="240"/>
              <w:rPr>
                <w:rFonts w:ascii="Times New Roman" w:eastAsia="Times New Roman" w:hAnsi="Times New Roman" w:cs="Times New Roman"/>
                <w:color w:val="1A1C1E"/>
                <w:kern w:val="0"/>
                <w:szCs w:val="24"/>
                <w:lang w:eastAsia="en-IN"/>
                <w14:ligatures w14:val="none"/>
              </w:rPr>
            </w:pPr>
            <w:r w:rsidRPr="00CE7183">
              <w:rPr>
                <w:rFonts w:ascii="Times New Roman" w:eastAsia="Times New Roman" w:hAnsi="Times New Roman" w:cs="Times New Roman"/>
                <w:color w:val="1A1C1E"/>
                <w:kern w:val="0"/>
                <w:szCs w:val="24"/>
                <w:lang w:eastAsia="en-IN"/>
                <w14:ligatures w14:val="none"/>
              </w:rPr>
              <w:t>61.34</w:t>
            </w:r>
          </w:p>
        </w:tc>
        <w:tc>
          <w:tcPr>
            <w:tcW w:w="1841" w:type="dxa"/>
            <w:tcBorders>
              <w:top w:val="nil"/>
              <w:left w:val="nil"/>
              <w:bottom w:val="single" w:sz="4" w:space="0" w:color="auto"/>
              <w:right w:val="single" w:sz="4" w:space="0" w:color="auto"/>
            </w:tcBorders>
            <w:shd w:val="clear" w:color="000000" w:fill="FFFFFF"/>
            <w:vAlign w:val="center"/>
            <w:hideMark/>
          </w:tcPr>
          <w:p w14:paraId="40229FEF" w14:textId="77777777" w:rsidR="00CE4C34" w:rsidRPr="00CE7183" w:rsidRDefault="00CE4C34" w:rsidP="00B77C0B">
            <w:pPr>
              <w:spacing w:after="0" w:line="240" w:lineRule="auto"/>
              <w:ind w:firstLineChars="100" w:firstLine="240"/>
              <w:rPr>
                <w:rFonts w:ascii="Times New Roman" w:eastAsia="Times New Roman" w:hAnsi="Times New Roman" w:cs="Times New Roman"/>
                <w:color w:val="1A1C1E"/>
                <w:kern w:val="0"/>
                <w:szCs w:val="24"/>
                <w:lang w:eastAsia="en-IN"/>
                <w14:ligatures w14:val="none"/>
              </w:rPr>
            </w:pPr>
            <w:r w:rsidRPr="00CE7183">
              <w:rPr>
                <w:rFonts w:ascii="Times New Roman" w:eastAsia="Times New Roman" w:hAnsi="Times New Roman" w:cs="Times New Roman"/>
                <w:color w:val="1A1C1E"/>
                <w:kern w:val="0"/>
                <w:szCs w:val="24"/>
                <w:lang w:eastAsia="en-IN"/>
                <w14:ligatures w14:val="none"/>
              </w:rPr>
              <w:t>68.1</w:t>
            </w:r>
          </w:p>
        </w:tc>
        <w:tc>
          <w:tcPr>
            <w:tcW w:w="1967" w:type="dxa"/>
            <w:tcBorders>
              <w:top w:val="nil"/>
              <w:left w:val="nil"/>
              <w:bottom w:val="single" w:sz="4" w:space="0" w:color="auto"/>
              <w:right w:val="single" w:sz="4" w:space="0" w:color="auto"/>
            </w:tcBorders>
            <w:shd w:val="clear" w:color="000000" w:fill="FFFFFF"/>
            <w:vAlign w:val="center"/>
            <w:hideMark/>
          </w:tcPr>
          <w:p w14:paraId="0B5E65E0" w14:textId="77777777" w:rsidR="00CE4C34" w:rsidRPr="00CE7183" w:rsidRDefault="00CE4C34" w:rsidP="00B77C0B">
            <w:pPr>
              <w:spacing w:after="0" w:line="240" w:lineRule="auto"/>
              <w:ind w:firstLineChars="100" w:firstLine="240"/>
              <w:rPr>
                <w:rFonts w:ascii="Times New Roman" w:eastAsia="Times New Roman" w:hAnsi="Times New Roman" w:cs="Times New Roman"/>
                <w:color w:val="1A1C1E"/>
                <w:kern w:val="0"/>
                <w:szCs w:val="24"/>
                <w:lang w:eastAsia="en-IN"/>
                <w14:ligatures w14:val="none"/>
              </w:rPr>
            </w:pPr>
            <w:r w:rsidRPr="00CE7183">
              <w:rPr>
                <w:rFonts w:ascii="Times New Roman" w:eastAsia="Times New Roman" w:hAnsi="Times New Roman" w:cs="Times New Roman"/>
                <w:color w:val="1A1C1E"/>
                <w:kern w:val="0"/>
                <w:szCs w:val="24"/>
                <w:lang w:eastAsia="en-IN"/>
                <w14:ligatures w14:val="none"/>
              </w:rPr>
              <w:t>67.77</w:t>
            </w:r>
          </w:p>
        </w:tc>
      </w:tr>
      <w:tr w:rsidR="00CE4C34" w:rsidRPr="00CE7183" w14:paraId="7D286258" w14:textId="77777777" w:rsidTr="00B77C0B">
        <w:trPr>
          <w:trHeight w:val="301"/>
        </w:trPr>
        <w:tc>
          <w:tcPr>
            <w:tcW w:w="3063" w:type="dxa"/>
            <w:tcBorders>
              <w:top w:val="nil"/>
              <w:left w:val="single" w:sz="4" w:space="0" w:color="auto"/>
              <w:bottom w:val="single" w:sz="4" w:space="0" w:color="auto"/>
              <w:right w:val="single" w:sz="4" w:space="0" w:color="auto"/>
            </w:tcBorders>
            <w:shd w:val="clear" w:color="000000" w:fill="FFFFFF"/>
            <w:vAlign w:val="center"/>
            <w:hideMark/>
          </w:tcPr>
          <w:p w14:paraId="512A24B8" w14:textId="77777777" w:rsidR="00CE4C34" w:rsidRPr="00CE7183" w:rsidRDefault="00CE4C34" w:rsidP="00B77C0B">
            <w:pPr>
              <w:spacing w:after="0" w:line="240" w:lineRule="auto"/>
              <w:ind w:firstLineChars="100" w:firstLine="240"/>
              <w:rPr>
                <w:rFonts w:ascii="Times New Roman" w:eastAsia="Times New Roman" w:hAnsi="Times New Roman" w:cs="Times New Roman"/>
                <w:color w:val="1A1C1E"/>
                <w:kern w:val="0"/>
                <w:szCs w:val="24"/>
                <w:lang w:eastAsia="en-IN"/>
                <w14:ligatures w14:val="none"/>
              </w:rPr>
            </w:pPr>
            <w:r w:rsidRPr="00CE7183">
              <w:rPr>
                <w:rFonts w:ascii="Times New Roman" w:eastAsia="Times New Roman" w:hAnsi="Times New Roman" w:cs="Times New Roman"/>
                <w:color w:val="1A1C1E"/>
                <w:kern w:val="0"/>
                <w:szCs w:val="24"/>
                <w:lang w:eastAsia="en-IN"/>
                <w14:ligatures w14:val="none"/>
              </w:rPr>
              <w:t>Nagaland</w:t>
            </w:r>
          </w:p>
        </w:tc>
        <w:tc>
          <w:tcPr>
            <w:tcW w:w="1839" w:type="dxa"/>
            <w:tcBorders>
              <w:top w:val="nil"/>
              <w:left w:val="nil"/>
              <w:bottom w:val="single" w:sz="4" w:space="0" w:color="auto"/>
              <w:right w:val="single" w:sz="4" w:space="0" w:color="auto"/>
            </w:tcBorders>
            <w:shd w:val="clear" w:color="000000" w:fill="FFFFFF"/>
            <w:vAlign w:val="center"/>
            <w:hideMark/>
          </w:tcPr>
          <w:p w14:paraId="58CF9AD5" w14:textId="77777777" w:rsidR="00CE4C34" w:rsidRPr="00CE7183" w:rsidRDefault="00CE4C34" w:rsidP="00B77C0B">
            <w:pPr>
              <w:spacing w:after="0" w:line="240" w:lineRule="auto"/>
              <w:ind w:firstLineChars="100" w:firstLine="240"/>
              <w:rPr>
                <w:rFonts w:ascii="Times New Roman" w:eastAsia="Times New Roman" w:hAnsi="Times New Roman" w:cs="Times New Roman"/>
                <w:color w:val="1A1C1E"/>
                <w:kern w:val="0"/>
                <w:szCs w:val="24"/>
                <w:lang w:eastAsia="en-IN"/>
                <w14:ligatures w14:val="none"/>
              </w:rPr>
            </w:pPr>
            <w:r w:rsidRPr="00CE7183">
              <w:rPr>
                <w:rFonts w:ascii="Times New Roman" w:eastAsia="Times New Roman" w:hAnsi="Times New Roman" w:cs="Times New Roman"/>
                <w:color w:val="1A1C1E"/>
                <w:kern w:val="0"/>
                <w:szCs w:val="24"/>
                <w:lang w:eastAsia="en-IN"/>
                <w14:ligatures w14:val="none"/>
              </w:rPr>
              <w:t>..</w:t>
            </w:r>
          </w:p>
        </w:tc>
        <w:tc>
          <w:tcPr>
            <w:tcW w:w="1841" w:type="dxa"/>
            <w:tcBorders>
              <w:top w:val="nil"/>
              <w:left w:val="nil"/>
              <w:bottom w:val="single" w:sz="4" w:space="0" w:color="auto"/>
              <w:right w:val="single" w:sz="4" w:space="0" w:color="auto"/>
            </w:tcBorders>
            <w:shd w:val="clear" w:color="000000" w:fill="FFFFFF"/>
            <w:vAlign w:val="center"/>
            <w:hideMark/>
          </w:tcPr>
          <w:p w14:paraId="2F73BE1D" w14:textId="77777777" w:rsidR="00CE4C34" w:rsidRPr="00CE7183" w:rsidRDefault="00CE4C34" w:rsidP="00B77C0B">
            <w:pPr>
              <w:spacing w:after="0" w:line="240" w:lineRule="auto"/>
              <w:ind w:firstLineChars="100" w:firstLine="240"/>
              <w:rPr>
                <w:rFonts w:ascii="Times New Roman" w:eastAsia="Times New Roman" w:hAnsi="Times New Roman" w:cs="Times New Roman"/>
                <w:color w:val="1A1C1E"/>
                <w:kern w:val="0"/>
                <w:szCs w:val="24"/>
                <w:lang w:eastAsia="en-IN"/>
                <w14:ligatures w14:val="none"/>
              </w:rPr>
            </w:pPr>
            <w:r w:rsidRPr="00CE7183">
              <w:rPr>
                <w:rFonts w:ascii="Times New Roman" w:eastAsia="Times New Roman" w:hAnsi="Times New Roman" w:cs="Times New Roman"/>
                <w:color w:val="1A1C1E"/>
                <w:kern w:val="0"/>
                <w:szCs w:val="24"/>
                <w:lang w:eastAsia="en-IN"/>
                <w14:ligatures w14:val="none"/>
              </w:rPr>
              <w:t>..</w:t>
            </w:r>
          </w:p>
        </w:tc>
        <w:tc>
          <w:tcPr>
            <w:tcW w:w="1841" w:type="dxa"/>
            <w:tcBorders>
              <w:top w:val="nil"/>
              <w:left w:val="nil"/>
              <w:bottom w:val="single" w:sz="4" w:space="0" w:color="auto"/>
              <w:right w:val="single" w:sz="4" w:space="0" w:color="auto"/>
            </w:tcBorders>
            <w:shd w:val="clear" w:color="000000" w:fill="FFFFFF"/>
            <w:vAlign w:val="center"/>
            <w:hideMark/>
          </w:tcPr>
          <w:p w14:paraId="0651251F" w14:textId="77777777" w:rsidR="00CE4C34" w:rsidRPr="00CE7183" w:rsidRDefault="00CE4C34" w:rsidP="00B77C0B">
            <w:pPr>
              <w:spacing w:after="0" w:line="240" w:lineRule="auto"/>
              <w:ind w:firstLineChars="100" w:firstLine="240"/>
              <w:rPr>
                <w:rFonts w:ascii="Times New Roman" w:eastAsia="Times New Roman" w:hAnsi="Times New Roman" w:cs="Times New Roman"/>
                <w:color w:val="1A1C1E"/>
                <w:kern w:val="0"/>
                <w:szCs w:val="24"/>
                <w:lang w:eastAsia="en-IN"/>
                <w14:ligatures w14:val="none"/>
              </w:rPr>
            </w:pPr>
            <w:r w:rsidRPr="00CE7183">
              <w:rPr>
                <w:rFonts w:ascii="Times New Roman" w:eastAsia="Times New Roman" w:hAnsi="Times New Roman" w:cs="Times New Roman"/>
                <w:color w:val="1A1C1E"/>
                <w:kern w:val="0"/>
                <w:szCs w:val="24"/>
                <w:lang w:eastAsia="en-IN"/>
                <w14:ligatures w14:val="none"/>
              </w:rPr>
              <w:t>..</w:t>
            </w:r>
          </w:p>
        </w:tc>
        <w:tc>
          <w:tcPr>
            <w:tcW w:w="1967" w:type="dxa"/>
            <w:tcBorders>
              <w:top w:val="nil"/>
              <w:left w:val="nil"/>
              <w:bottom w:val="single" w:sz="4" w:space="0" w:color="auto"/>
              <w:right w:val="single" w:sz="4" w:space="0" w:color="auto"/>
            </w:tcBorders>
            <w:shd w:val="clear" w:color="000000" w:fill="FFFFFF"/>
            <w:vAlign w:val="center"/>
            <w:hideMark/>
          </w:tcPr>
          <w:p w14:paraId="7209CDC8" w14:textId="77777777" w:rsidR="00CE4C34" w:rsidRPr="00CE7183" w:rsidRDefault="00CE4C34" w:rsidP="00B77C0B">
            <w:pPr>
              <w:spacing w:after="0" w:line="240" w:lineRule="auto"/>
              <w:ind w:firstLineChars="100" w:firstLine="240"/>
              <w:rPr>
                <w:rFonts w:ascii="Times New Roman" w:eastAsia="Times New Roman" w:hAnsi="Times New Roman" w:cs="Times New Roman"/>
                <w:color w:val="1A1C1E"/>
                <w:kern w:val="0"/>
                <w:szCs w:val="24"/>
                <w:lang w:eastAsia="en-IN"/>
                <w14:ligatures w14:val="none"/>
              </w:rPr>
            </w:pPr>
            <w:r w:rsidRPr="00CE7183">
              <w:rPr>
                <w:rFonts w:ascii="Times New Roman" w:eastAsia="Times New Roman" w:hAnsi="Times New Roman" w:cs="Times New Roman"/>
                <w:color w:val="1A1C1E"/>
                <w:kern w:val="0"/>
                <w:szCs w:val="24"/>
                <w:lang w:eastAsia="en-IN"/>
                <w14:ligatures w14:val="none"/>
              </w:rPr>
              <w:t>..</w:t>
            </w:r>
          </w:p>
        </w:tc>
      </w:tr>
      <w:tr w:rsidR="00CE4C34" w:rsidRPr="00CE7183" w14:paraId="396E5E21" w14:textId="77777777" w:rsidTr="00B77C0B">
        <w:trPr>
          <w:trHeight w:val="301"/>
        </w:trPr>
        <w:tc>
          <w:tcPr>
            <w:tcW w:w="3063" w:type="dxa"/>
            <w:tcBorders>
              <w:top w:val="nil"/>
              <w:left w:val="single" w:sz="4" w:space="0" w:color="auto"/>
              <w:bottom w:val="single" w:sz="4" w:space="0" w:color="auto"/>
              <w:right w:val="single" w:sz="4" w:space="0" w:color="auto"/>
            </w:tcBorders>
            <w:shd w:val="clear" w:color="000000" w:fill="FFFFFF"/>
            <w:vAlign w:val="center"/>
            <w:hideMark/>
          </w:tcPr>
          <w:p w14:paraId="1151D15E" w14:textId="77777777" w:rsidR="00CE4C34" w:rsidRPr="00CE7183" w:rsidRDefault="00CE4C34" w:rsidP="00B77C0B">
            <w:pPr>
              <w:spacing w:after="0" w:line="240" w:lineRule="auto"/>
              <w:ind w:firstLineChars="100" w:firstLine="240"/>
              <w:rPr>
                <w:rFonts w:ascii="Times New Roman" w:eastAsia="Times New Roman" w:hAnsi="Times New Roman" w:cs="Times New Roman"/>
                <w:color w:val="1A1C1E"/>
                <w:kern w:val="0"/>
                <w:szCs w:val="24"/>
                <w:lang w:eastAsia="en-IN"/>
                <w14:ligatures w14:val="none"/>
              </w:rPr>
            </w:pPr>
            <w:r w:rsidRPr="00CE7183">
              <w:rPr>
                <w:rFonts w:ascii="Times New Roman" w:eastAsia="Times New Roman" w:hAnsi="Times New Roman" w:cs="Times New Roman"/>
                <w:color w:val="1A1C1E"/>
                <w:kern w:val="0"/>
                <w:szCs w:val="24"/>
                <w:lang w:eastAsia="en-IN"/>
                <w14:ligatures w14:val="none"/>
              </w:rPr>
              <w:t>Orissa</w:t>
            </w:r>
          </w:p>
        </w:tc>
        <w:tc>
          <w:tcPr>
            <w:tcW w:w="1839" w:type="dxa"/>
            <w:tcBorders>
              <w:top w:val="nil"/>
              <w:left w:val="nil"/>
              <w:bottom w:val="single" w:sz="4" w:space="0" w:color="auto"/>
              <w:right w:val="single" w:sz="4" w:space="0" w:color="auto"/>
            </w:tcBorders>
            <w:shd w:val="clear" w:color="000000" w:fill="FFFFFF"/>
            <w:vAlign w:val="center"/>
            <w:hideMark/>
          </w:tcPr>
          <w:p w14:paraId="0AD9BF52" w14:textId="77777777" w:rsidR="00CE4C34" w:rsidRPr="00CE7183" w:rsidRDefault="00CE4C34" w:rsidP="00B77C0B">
            <w:pPr>
              <w:spacing w:after="0" w:line="240" w:lineRule="auto"/>
              <w:ind w:firstLineChars="100" w:firstLine="240"/>
              <w:rPr>
                <w:rFonts w:ascii="Times New Roman" w:eastAsia="Times New Roman" w:hAnsi="Times New Roman" w:cs="Times New Roman"/>
                <w:color w:val="1A1C1E"/>
                <w:kern w:val="0"/>
                <w:szCs w:val="24"/>
                <w:lang w:eastAsia="en-IN"/>
                <w14:ligatures w14:val="none"/>
              </w:rPr>
            </w:pPr>
            <w:r w:rsidRPr="00CE7183">
              <w:rPr>
                <w:rFonts w:ascii="Times New Roman" w:eastAsia="Times New Roman" w:hAnsi="Times New Roman" w:cs="Times New Roman"/>
                <w:color w:val="1A1C1E"/>
                <w:kern w:val="0"/>
                <w:szCs w:val="24"/>
                <w:lang w:eastAsia="en-IN"/>
                <w14:ligatures w14:val="none"/>
              </w:rPr>
              <w:t>28.62</w:t>
            </w:r>
          </w:p>
        </w:tc>
        <w:tc>
          <w:tcPr>
            <w:tcW w:w="1841" w:type="dxa"/>
            <w:tcBorders>
              <w:top w:val="nil"/>
              <w:left w:val="nil"/>
              <w:bottom w:val="single" w:sz="4" w:space="0" w:color="auto"/>
              <w:right w:val="single" w:sz="4" w:space="0" w:color="auto"/>
            </w:tcBorders>
            <w:shd w:val="clear" w:color="000000" w:fill="FFFFFF"/>
            <w:vAlign w:val="center"/>
            <w:hideMark/>
          </w:tcPr>
          <w:p w14:paraId="5E8D5ACB" w14:textId="77777777" w:rsidR="00CE4C34" w:rsidRPr="00CE7183" w:rsidRDefault="00CE4C34" w:rsidP="00B77C0B">
            <w:pPr>
              <w:spacing w:after="0" w:line="240" w:lineRule="auto"/>
              <w:ind w:firstLineChars="100" w:firstLine="240"/>
              <w:rPr>
                <w:rFonts w:ascii="Times New Roman" w:eastAsia="Times New Roman" w:hAnsi="Times New Roman" w:cs="Times New Roman"/>
                <w:color w:val="1A1C1E"/>
                <w:kern w:val="0"/>
                <w:szCs w:val="24"/>
                <w:lang w:eastAsia="en-IN"/>
                <w14:ligatures w14:val="none"/>
              </w:rPr>
            </w:pPr>
            <w:r w:rsidRPr="00CE7183">
              <w:rPr>
                <w:rFonts w:ascii="Times New Roman" w:eastAsia="Times New Roman" w:hAnsi="Times New Roman" w:cs="Times New Roman"/>
                <w:color w:val="1A1C1E"/>
                <w:kern w:val="0"/>
                <w:szCs w:val="24"/>
                <w:lang w:eastAsia="en-IN"/>
                <w14:ligatures w14:val="none"/>
              </w:rPr>
              <w:t>37.64</w:t>
            </w:r>
          </w:p>
        </w:tc>
        <w:tc>
          <w:tcPr>
            <w:tcW w:w="1841" w:type="dxa"/>
            <w:tcBorders>
              <w:top w:val="nil"/>
              <w:left w:val="nil"/>
              <w:bottom w:val="single" w:sz="4" w:space="0" w:color="auto"/>
              <w:right w:val="single" w:sz="4" w:space="0" w:color="auto"/>
            </w:tcBorders>
            <w:shd w:val="clear" w:color="000000" w:fill="FFFFFF"/>
            <w:vAlign w:val="center"/>
            <w:hideMark/>
          </w:tcPr>
          <w:p w14:paraId="6FE10BD0" w14:textId="77777777" w:rsidR="00CE4C34" w:rsidRPr="00CE7183" w:rsidRDefault="00CE4C34" w:rsidP="00B77C0B">
            <w:pPr>
              <w:spacing w:after="0" w:line="240" w:lineRule="auto"/>
              <w:ind w:firstLineChars="100" w:firstLine="240"/>
              <w:rPr>
                <w:rFonts w:ascii="Times New Roman" w:eastAsia="Times New Roman" w:hAnsi="Times New Roman" w:cs="Times New Roman"/>
                <w:color w:val="1A1C1E"/>
                <w:kern w:val="0"/>
                <w:szCs w:val="24"/>
                <w:lang w:eastAsia="en-IN"/>
                <w14:ligatures w14:val="none"/>
              </w:rPr>
            </w:pPr>
            <w:r w:rsidRPr="00CE7183">
              <w:rPr>
                <w:rFonts w:ascii="Times New Roman" w:eastAsia="Times New Roman" w:hAnsi="Times New Roman" w:cs="Times New Roman"/>
                <w:color w:val="1A1C1E"/>
                <w:kern w:val="0"/>
                <w:szCs w:val="24"/>
                <w:lang w:eastAsia="en-IN"/>
                <w14:ligatures w14:val="none"/>
              </w:rPr>
              <w:t>52.85</w:t>
            </w:r>
          </w:p>
        </w:tc>
        <w:tc>
          <w:tcPr>
            <w:tcW w:w="1967" w:type="dxa"/>
            <w:tcBorders>
              <w:top w:val="nil"/>
              <w:left w:val="nil"/>
              <w:bottom w:val="single" w:sz="4" w:space="0" w:color="auto"/>
              <w:right w:val="single" w:sz="4" w:space="0" w:color="auto"/>
            </w:tcBorders>
            <w:shd w:val="clear" w:color="000000" w:fill="FFFFFF"/>
            <w:vAlign w:val="center"/>
            <w:hideMark/>
          </w:tcPr>
          <w:p w14:paraId="278F243F" w14:textId="77777777" w:rsidR="00CE4C34" w:rsidRPr="00CE7183" w:rsidRDefault="00CE4C34" w:rsidP="00B77C0B">
            <w:pPr>
              <w:spacing w:after="0" w:line="240" w:lineRule="auto"/>
              <w:ind w:firstLineChars="100" w:firstLine="240"/>
              <w:rPr>
                <w:rFonts w:ascii="Times New Roman" w:eastAsia="Times New Roman" w:hAnsi="Times New Roman" w:cs="Times New Roman"/>
                <w:color w:val="1A1C1E"/>
                <w:kern w:val="0"/>
                <w:szCs w:val="24"/>
                <w:lang w:eastAsia="en-IN"/>
                <w14:ligatures w14:val="none"/>
              </w:rPr>
            </w:pPr>
            <w:r w:rsidRPr="00CE7183">
              <w:rPr>
                <w:rFonts w:ascii="Times New Roman" w:eastAsia="Times New Roman" w:hAnsi="Times New Roman" w:cs="Times New Roman"/>
                <w:color w:val="1A1C1E"/>
                <w:kern w:val="0"/>
                <w:szCs w:val="24"/>
                <w:lang w:eastAsia="en-IN"/>
                <w14:ligatures w14:val="none"/>
              </w:rPr>
              <w:t>66.36</w:t>
            </w:r>
          </w:p>
        </w:tc>
      </w:tr>
      <w:tr w:rsidR="00CE4C34" w:rsidRPr="00CE7183" w14:paraId="0A8D672D" w14:textId="77777777" w:rsidTr="00B77C0B">
        <w:trPr>
          <w:trHeight w:val="301"/>
        </w:trPr>
        <w:tc>
          <w:tcPr>
            <w:tcW w:w="3063" w:type="dxa"/>
            <w:tcBorders>
              <w:top w:val="nil"/>
              <w:left w:val="single" w:sz="4" w:space="0" w:color="auto"/>
              <w:bottom w:val="single" w:sz="4" w:space="0" w:color="auto"/>
              <w:right w:val="single" w:sz="4" w:space="0" w:color="auto"/>
            </w:tcBorders>
            <w:shd w:val="clear" w:color="000000" w:fill="FFFFFF"/>
            <w:vAlign w:val="center"/>
            <w:hideMark/>
          </w:tcPr>
          <w:p w14:paraId="5A1DD847" w14:textId="77777777" w:rsidR="00CE4C34" w:rsidRPr="00CE7183" w:rsidRDefault="00CE4C34" w:rsidP="00B77C0B">
            <w:pPr>
              <w:spacing w:after="0" w:line="240" w:lineRule="auto"/>
              <w:ind w:firstLineChars="100" w:firstLine="240"/>
              <w:rPr>
                <w:rFonts w:ascii="Times New Roman" w:eastAsia="Times New Roman" w:hAnsi="Times New Roman" w:cs="Times New Roman"/>
                <w:color w:val="1A1C1E"/>
                <w:kern w:val="0"/>
                <w:szCs w:val="24"/>
                <w:lang w:eastAsia="en-IN"/>
                <w14:ligatures w14:val="none"/>
              </w:rPr>
            </w:pPr>
            <w:r w:rsidRPr="00CE7183">
              <w:rPr>
                <w:rFonts w:ascii="Times New Roman" w:eastAsia="Times New Roman" w:hAnsi="Times New Roman" w:cs="Times New Roman"/>
                <w:color w:val="1A1C1E"/>
                <w:kern w:val="0"/>
                <w:szCs w:val="24"/>
                <w:lang w:eastAsia="en-IN"/>
                <w14:ligatures w14:val="none"/>
              </w:rPr>
              <w:t>Punjab</w:t>
            </w:r>
          </w:p>
        </w:tc>
        <w:tc>
          <w:tcPr>
            <w:tcW w:w="1839" w:type="dxa"/>
            <w:tcBorders>
              <w:top w:val="nil"/>
              <w:left w:val="nil"/>
              <w:bottom w:val="single" w:sz="4" w:space="0" w:color="auto"/>
              <w:right w:val="single" w:sz="4" w:space="0" w:color="auto"/>
            </w:tcBorders>
            <w:shd w:val="clear" w:color="000000" w:fill="FFFFFF"/>
            <w:vAlign w:val="center"/>
            <w:hideMark/>
          </w:tcPr>
          <w:p w14:paraId="45FEEFCA" w14:textId="77777777" w:rsidR="00CE4C34" w:rsidRPr="00CE7183" w:rsidRDefault="00CE4C34" w:rsidP="00B77C0B">
            <w:pPr>
              <w:spacing w:after="0" w:line="240" w:lineRule="auto"/>
              <w:ind w:firstLineChars="100" w:firstLine="240"/>
              <w:rPr>
                <w:rFonts w:ascii="Times New Roman" w:eastAsia="Times New Roman" w:hAnsi="Times New Roman" w:cs="Times New Roman"/>
                <w:color w:val="1A1C1E"/>
                <w:kern w:val="0"/>
                <w:szCs w:val="24"/>
                <w:lang w:eastAsia="en-IN"/>
                <w14:ligatures w14:val="none"/>
              </w:rPr>
            </w:pPr>
            <w:r w:rsidRPr="00CE7183">
              <w:rPr>
                <w:rFonts w:ascii="Times New Roman" w:eastAsia="Times New Roman" w:hAnsi="Times New Roman" w:cs="Times New Roman"/>
                <w:color w:val="1A1C1E"/>
                <w:kern w:val="0"/>
                <w:szCs w:val="24"/>
                <w:lang w:eastAsia="en-IN"/>
                <w14:ligatures w14:val="none"/>
              </w:rPr>
              <w:t>12.09</w:t>
            </w:r>
          </w:p>
        </w:tc>
        <w:tc>
          <w:tcPr>
            <w:tcW w:w="1841" w:type="dxa"/>
            <w:tcBorders>
              <w:top w:val="nil"/>
              <w:left w:val="nil"/>
              <w:bottom w:val="single" w:sz="4" w:space="0" w:color="auto"/>
              <w:right w:val="single" w:sz="4" w:space="0" w:color="auto"/>
            </w:tcBorders>
            <w:shd w:val="clear" w:color="000000" w:fill="FFFFFF"/>
            <w:vAlign w:val="center"/>
            <w:hideMark/>
          </w:tcPr>
          <w:p w14:paraId="6041E39C" w14:textId="77777777" w:rsidR="00CE4C34" w:rsidRPr="00CE7183" w:rsidRDefault="00CE4C34" w:rsidP="00B77C0B">
            <w:pPr>
              <w:spacing w:after="0" w:line="240" w:lineRule="auto"/>
              <w:ind w:firstLineChars="100" w:firstLine="240"/>
              <w:rPr>
                <w:rFonts w:ascii="Times New Roman" w:eastAsia="Times New Roman" w:hAnsi="Times New Roman" w:cs="Times New Roman"/>
                <w:color w:val="1A1C1E"/>
                <w:kern w:val="0"/>
                <w:szCs w:val="24"/>
                <w:lang w:eastAsia="en-IN"/>
                <w14:ligatures w14:val="none"/>
              </w:rPr>
            </w:pPr>
            <w:r w:rsidRPr="00CE7183">
              <w:rPr>
                <w:rFonts w:ascii="Times New Roman" w:eastAsia="Times New Roman" w:hAnsi="Times New Roman" w:cs="Times New Roman"/>
                <w:color w:val="1A1C1E"/>
                <w:kern w:val="0"/>
                <w:szCs w:val="24"/>
                <w:lang w:eastAsia="en-IN"/>
                <w14:ligatures w14:val="none"/>
              </w:rPr>
              <w:t>9.76</w:t>
            </w:r>
          </w:p>
        </w:tc>
        <w:tc>
          <w:tcPr>
            <w:tcW w:w="1841" w:type="dxa"/>
            <w:tcBorders>
              <w:top w:val="nil"/>
              <w:left w:val="nil"/>
              <w:bottom w:val="single" w:sz="4" w:space="0" w:color="auto"/>
              <w:right w:val="single" w:sz="4" w:space="0" w:color="auto"/>
            </w:tcBorders>
            <w:shd w:val="clear" w:color="000000" w:fill="FFFFFF"/>
            <w:vAlign w:val="center"/>
            <w:hideMark/>
          </w:tcPr>
          <w:p w14:paraId="5AC5BF99" w14:textId="77777777" w:rsidR="00CE4C34" w:rsidRPr="00CE7183" w:rsidRDefault="00CE4C34" w:rsidP="00B77C0B">
            <w:pPr>
              <w:spacing w:after="0" w:line="240" w:lineRule="auto"/>
              <w:ind w:firstLineChars="100" w:firstLine="240"/>
              <w:rPr>
                <w:rFonts w:ascii="Times New Roman" w:eastAsia="Times New Roman" w:hAnsi="Times New Roman" w:cs="Times New Roman"/>
                <w:color w:val="1A1C1E"/>
                <w:kern w:val="0"/>
                <w:szCs w:val="24"/>
                <w:lang w:eastAsia="en-IN"/>
                <w14:ligatures w14:val="none"/>
              </w:rPr>
            </w:pPr>
            <w:r w:rsidRPr="00CE7183">
              <w:rPr>
                <w:rFonts w:ascii="Times New Roman" w:eastAsia="Times New Roman" w:hAnsi="Times New Roman" w:cs="Times New Roman"/>
                <w:color w:val="1A1C1E"/>
                <w:kern w:val="0"/>
                <w:szCs w:val="24"/>
                <w:lang w:eastAsia="en-IN"/>
                <w14:ligatures w14:val="none"/>
              </w:rPr>
              <w:t>9.97</w:t>
            </w:r>
          </w:p>
        </w:tc>
        <w:tc>
          <w:tcPr>
            <w:tcW w:w="1967" w:type="dxa"/>
            <w:tcBorders>
              <w:top w:val="nil"/>
              <w:left w:val="nil"/>
              <w:bottom w:val="single" w:sz="4" w:space="0" w:color="auto"/>
              <w:right w:val="single" w:sz="4" w:space="0" w:color="auto"/>
            </w:tcBorders>
            <w:shd w:val="clear" w:color="000000" w:fill="FFFFFF"/>
            <w:vAlign w:val="center"/>
            <w:hideMark/>
          </w:tcPr>
          <w:p w14:paraId="6F5427F2" w14:textId="77777777" w:rsidR="00CE4C34" w:rsidRPr="00CE7183" w:rsidRDefault="00CE4C34" w:rsidP="00B77C0B">
            <w:pPr>
              <w:spacing w:after="0" w:line="240" w:lineRule="auto"/>
              <w:ind w:firstLineChars="100" w:firstLine="240"/>
              <w:rPr>
                <w:rFonts w:ascii="Times New Roman" w:eastAsia="Times New Roman" w:hAnsi="Times New Roman" w:cs="Times New Roman"/>
                <w:color w:val="1A1C1E"/>
                <w:kern w:val="0"/>
                <w:szCs w:val="24"/>
                <w:lang w:eastAsia="en-IN"/>
                <w14:ligatures w14:val="none"/>
              </w:rPr>
            </w:pPr>
            <w:r w:rsidRPr="00CE7183">
              <w:rPr>
                <w:rFonts w:ascii="Times New Roman" w:eastAsia="Times New Roman" w:hAnsi="Times New Roman" w:cs="Times New Roman"/>
                <w:color w:val="1A1C1E"/>
                <w:kern w:val="0"/>
                <w:szCs w:val="24"/>
                <w:lang w:eastAsia="en-IN"/>
                <w14:ligatures w14:val="none"/>
              </w:rPr>
              <w:t>27.55</w:t>
            </w:r>
          </w:p>
        </w:tc>
      </w:tr>
      <w:tr w:rsidR="00CE4C34" w:rsidRPr="00CE7183" w14:paraId="124FF4B6" w14:textId="77777777" w:rsidTr="00B77C0B">
        <w:trPr>
          <w:trHeight w:val="301"/>
        </w:trPr>
        <w:tc>
          <w:tcPr>
            <w:tcW w:w="3063" w:type="dxa"/>
            <w:tcBorders>
              <w:top w:val="nil"/>
              <w:left w:val="single" w:sz="4" w:space="0" w:color="auto"/>
              <w:bottom w:val="single" w:sz="4" w:space="0" w:color="auto"/>
              <w:right w:val="single" w:sz="4" w:space="0" w:color="auto"/>
            </w:tcBorders>
            <w:shd w:val="clear" w:color="000000" w:fill="FFFFFF"/>
            <w:vAlign w:val="center"/>
            <w:hideMark/>
          </w:tcPr>
          <w:p w14:paraId="6DBBF15A" w14:textId="77777777" w:rsidR="00CE4C34" w:rsidRPr="00CE7183" w:rsidRDefault="00CE4C34" w:rsidP="00B77C0B">
            <w:pPr>
              <w:spacing w:after="0" w:line="240" w:lineRule="auto"/>
              <w:ind w:firstLineChars="100" w:firstLine="240"/>
              <w:rPr>
                <w:rFonts w:ascii="Times New Roman" w:eastAsia="Times New Roman" w:hAnsi="Times New Roman" w:cs="Times New Roman"/>
                <w:color w:val="1A1C1E"/>
                <w:kern w:val="0"/>
                <w:szCs w:val="24"/>
                <w:lang w:eastAsia="en-IN"/>
                <w14:ligatures w14:val="none"/>
              </w:rPr>
            </w:pPr>
            <w:r w:rsidRPr="00CE7183">
              <w:rPr>
                <w:rFonts w:ascii="Times New Roman" w:eastAsia="Times New Roman" w:hAnsi="Times New Roman" w:cs="Times New Roman"/>
                <w:color w:val="1A1C1E"/>
                <w:kern w:val="0"/>
                <w:szCs w:val="24"/>
                <w:lang w:eastAsia="en-IN"/>
                <w14:ligatures w14:val="none"/>
              </w:rPr>
              <w:t>Rajasthan</w:t>
            </w:r>
          </w:p>
        </w:tc>
        <w:tc>
          <w:tcPr>
            <w:tcW w:w="1839" w:type="dxa"/>
            <w:tcBorders>
              <w:top w:val="nil"/>
              <w:left w:val="nil"/>
              <w:bottom w:val="single" w:sz="4" w:space="0" w:color="auto"/>
              <w:right w:val="single" w:sz="4" w:space="0" w:color="auto"/>
            </w:tcBorders>
            <w:shd w:val="clear" w:color="000000" w:fill="FFFFFF"/>
            <w:vAlign w:val="center"/>
            <w:hideMark/>
          </w:tcPr>
          <w:p w14:paraId="5E26F8E3" w14:textId="77777777" w:rsidR="00CE4C34" w:rsidRPr="00CE7183" w:rsidRDefault="00CE4C34" w:rsidP="00B77C0B">
            <w:pPr>
              <w:spacing w:after="0" w:line="240" w:lineRule="auto"/>
              <w:ind w:firstLineChars="100" w:firstLine="240"/>
              <w:rPr>
                <w:rFonts w:ascii="Times New Roman" w:eastAsia="Times New Roman" w:hAnsi="Times New Roman" w:cs="Times New Roman"/>
                <w:color w:val="1A1C1E"/>
                <w:kern w:val="0"/>
                <w:szCs w:val="24"/>
                <w:lang w:eastAsia="en-IN"/>
                <w14:ligatures w14:val="none"/>
              </w:rPr>
            </w:pPr>
            <w:r w:rsidRPr="00CE7183">
              <w:rPr>
                <w:rFonts w:ascii="Times New Roman" w:eastAsia="Times New Roman" w:hAnsi="Times New Roman" w:cs="Times New Roman"/>
                <w:color w:val="1A1C1E"/>
                <w:kern w:val="0"/>
                <w:szCs w:val="24"/>
                <w:lang w:eastAsia="en-IN"/>
                <w14:ligatures w14:val="none"/>
              </w:rPr>
              <w:t>32.91</w:t>
            </w:r>
          </w:p>
        </w:tc>
        <w:tc>
          <w:tcPr>
            <w:tcW w:w="1841" w:type="dxa"/>
            <w:tcBorders>
              <w:top w:val="nil"/>
              <w:left w:val="nil"/>
              <w:bottom w:val="single" w:sz="4" w:space="0" w:color="auto"/>
              <w:right w:val="single" w:sz="4" w:space="0" w:color="auto"/>
            </w:tcBorders>
            <w:shd w:val="clear" w:color="000000" w:fill="FFFFFF"/>
            <w:vAlign w:val="center"/>
            <w:hideMark/>
          </w:tcPr>
          <w:p w14:paraId="18270B96" w14:textId="77777777" w:rsidR="00CE4C34" w:rsidRPr="00CE7183" w:rsidRDefault="00CE4C34" w:rsidP="00B77C0B">
            <w:pPr>
              <w:spacing w:after="0" w:line="240" w:lineRule="auto"/>
              <w:ind w:firstLineChars="100" w:firstLine="240"/>
              <w:rPr>
                <w:rFonts w:ascii="Times New Roman" w:eastAsia="Times New Roman" w:hAnsi="Times New Roman" w:cs="Times New Roman"/>
                <w:color w:val="1A1C1E"/>
                <w:kern w:val="0"/>
                <w:szCs w:val="24"/>
                <w:lang w:eastAsia="en-IN"/>
                <w14:ligatures w14:val="none"/>
              </w:rPr>
            </w:pPr>
            <w:r w:rsidRPr="00CE7183">
              <w:rPr>
                <w:rFonts w:ascii="Times New Roman" w:eastAsia="Times New Roman" w:hAnsi="Times New Roman" w:cs="Times New Roman"/>
                <w:color w:val="1A1C1E"/>
                <w:kern w:val="0"/>
                <w:szCs w:val="24"/>
                <w:lang w:eastAsia="en-IN"/>
                <w14:ligatures w14:val="none"/>
              </w:rPr>
              <w:t>51.08</w:t>
            </w:r>
          </w:p>
        </w:tc>
        <w:tc>
          <w:tcPr>
            <w:tcW w:w="1841" w:type="dxa"/>
            <w:tcBorders>
              <w:top w:val="nil"/>
              <w:left w:val="nil"/>
              <w:bottom w:val="single" w:sz="4" w:space="0" w:color="auto"/>
              <w:right w:val="single" w:sz="4" w:space="0" w:color="auto"/>
            </w:tcBorders>
            <w:shd w:val="clear" w:color="000000" w:fill="FFFFFF"/>
            <w:vAlign w:val="center"/>
            <w:hideMark/>
          </w:tcPr>
          <w:p w14:paraId="2CF43B48" w14:textId="77777777" w:rsidR="00CE4C34" w:rsidRPr="00CE7183" w:rsidRDefault="00CE4C34" w:rsidP="00B77C0B">
            <w:pPr>
              <w:spacing w:after="0" w:line="240" w:lineRule="auto"/>
              <w:ind w:firstLineChars="100" w:firstLine="240"/>
              <w:rPr>
                <w:rFonts w:ascii="Times New Roman" w:eastAsia="Times New Roman" w:hAnsi="Times New Roman" w:cs="Times New Roman"/>
                <w:color w:val="1A1C1E"/>
                <w:kern w:val="0"/>
                <w:szCs w:val="24"/>
                <w:lang w:eastAsia="en-IN"/>
                <w14:ligatures w14:val="none"/>
              </w:rPr>
            </w:pPr>
            <w:r w:rsidRPr="00CE7183">
              <w:rPr>
                <w:rFonts w:ascii="Times New Roman" w:eastAsia="Times New Roman" w:hAnsi="Times New Roman" w:cs="Times New Roman"/>
                <w:color w:val="1A1C1E"/>
                <w:kern w:val="0"/>
                <w:szCs w:val="24"/>
                <w:lang w:eastAsia="en-IN"/>
                <w14:ligatures w14:val="none"/>
              </w:rPr>
              <w:t>51.44</w:t>
            </w:r>
          </w:p>
        </w:tc>
        <w:tc>
          <w:tcPr>
            <w:tcW w:w="1967" w:type="dxa"/>
            <w:tcBorders>
              <w:top w:val="nil"/>
              <w:left w:val="nil"/>
              <w:bottom w:val="single" w:sz="4" w:space="0" w:color="auto"/>
              <w:right w:val="single" w:sz="4" w:space="0" w:color="auto"/>
            </w:tcBorders>
            <w:shd w:val="clear" w:color="000000" w:fill="FFFFFF"/>
            <w:vAlign w:val="center"/>
            <w:hideMark/>
          </w:tcPr>
          <w:p w14:paraId="3092FF11" w14:textId="77777777" w:rsidR="00CE4C34" w:rsidRPr="00CE7183" w:rsidRDefault="00CE4C34" w:rsidP="00B77C0B">
            <w:pPr>
              <w:spacing w:after="0" w:line="240" w:lineRule="auto"/>
              <w:ind w:firstLineChars="100" w:firstLine="240"/>
              <w:rPr>
                <w:rFonts w:ascii="Times New Roman" w:eastAsia="Times New Roman" w:hAnsi="Times New Roman" w:cs="Times New Roman"/>
                <w:color w:val="1A1C1E"/>
                <w:kern w:val="0"/>
                <w:szCs w:val="24"/>
                <w:lang w:eastAsia="en-IN"/>
                <w14:ligatures w14:val="none"/>
              </w:rPr>
            </w:pPr>
            <w:r w:rsidRPr="00CE7183">
              <w:rPr>
                <w:rFonts w:ascii="Times New Roman" w:eastAsia="Times New Roman" w:hAnsi="Times New Roman" w:cs="Times New Roman"/>
                <w:color w:val="1A1C1E"/>
                <w:kern w:val="0"/>
                <w:szCs w:val="24"/>
                <w:lang w:eastAsia="en-IN"/>
                <w14:ligatures w14:val="none"/>
              </w:rPr>
              <w:t>33.27</w:t>
            </w:r>
          </w:p>
        </w:tc>
      </w:tr>
      <w:tr w:rsidR="00CE4C34" w:rsidRPr="00CE7183" w14:paraId="1113BFC8" w14:textId="77777777" w:rsidTr="00B77C0B">
        <w:trPr>
          <w:trHeight w:val="301"/>
        </w:trPr>
        <w:tc>
          <w:tcPr>
            <w:tcW w:w="3063" w:type="dxa"/>
            <w:tcBorders>
              <w:top w:val="nil"/>
              <w:left w:val="single" w:sz="4" w:space="0" w:color="auto"/>
              <w:bottom w:val="single" w:sz="4" w:space="0" w:color="auto"/>
              <w:right w:val="single" w:sz="4" w:space="0" w:color="auto"/>
            </w:tcBorders>
            <w:shd w:val="clear" w:color="000000" w:fill="FFFFFF"/>
            <w:vAlign w:val="center"/>
            <w:hideMark/>
          </w:tcPr>
          <w:p w14:paraId="206BB32D" w14:textId="77777777" w:rsidR="00CE4C34" w:rsidRPr="00CE7183" w:rsidRDefault="00CE4C34" w:rsidP="00B77C0B">
            <w:pPr>
              <w:spacing w:after="0" w:line="240" w:lineRule="auto"/>
              <w:ind w:firstLineChars="100" w:firstLine="240"/>
              <w:rPr>
                <w:rFonts w:ascii="Times New Roman" w:eastAsia="Times New Roman" w:hAnsi="Times New Roman" w:cs="Times New Roman"/>
                <w:color w:val="1A1C1E"/>
                <w:kern w:val="0"/>
                <w:szCs w:val="24"/>
                <w:lang w:eastAsia="en-IN"/>
                <w14:ligatures w14:val="none"/>
              </w:rPr>
            </w:pPr>
            <w:r w:rsidRPr="00CE7183">
              <w:rPr>
                <w:rFonts w:ascii="Times New Roman" w:eastAsia="Times New Roman" w:hAnsi="Times New Roman" w:cs="Times New Roman"/>
                <w:color w:val="1A1C1E"/>
                <w:kern w:val="0"/>
                <w:szCs w:val="24"/>
                <w:lang w:eastAsia="en-IN"/>
                <w14:ligatures w14:val="none"/>
              </w:rPr>
              <w:t>Tamil Nadu</w:t>
            </w:r>
          </w:p>
        </w:tc>
        <w:tc>
          <w:tcPr>
            <w:tcW w:w="1839" w:type="dxa"/>
            <w:tcBorders>
              <w:top w:val="nil"/>
              <w:left w:val="nil"/>
              <w:bottom w:val="single" w:sz="4" w:space="0" w:color="auto"/>
              <w:right w:val="single" w:sz="4" w:space="0" w:color="auto"/>
            </w:tcBorders>
            <w:shd w:val="clear" w:color="000000" w:fill="FFFFFF"/>
            <w:vAlign w:val="center"/>
            <w:hideMark/>
          </w:tcPr>
          <w:p w14:paraId="5EC57CA5" w14:textId="77777777" w:rsidR="00CE4C34" w:rsidRPr="00CE7183" w:rsidRDefault="00CE4C34" w:rsidP="00B77C0B">
            <w:pPr>
              <w:spacing w:after="0" w:line="240" w:lineRule="auto"/>
              <w:ind w:firstLineChars="100" w:firstLine="240"/>
              <w:rPr>
                <w:rFonts w:ascii="Times New Roman" w:eastAsia="Times New Roman" w:hAnsi="Times New Roman" w:cs="Times New Roman"/>
                <w:color w:val="1A1C1E"/>
                <w:kern w:val="0"/>
                <w:szCs w:val="24"/>
                <w:lang w:eastAsia="en-IN"/>
                <w14:ligatures w14:val="none"/>
              </w:rPr>
            </w:pPr>
            <w:r w:rsidRPr="00CE7183">
              <w:rPr>
                <w:rFonts w:ascii="Times New Roman" w:eastAsia="Times New Roman" w:hAnsi="Times New Roman" w:cs="Times New Roman"/>
                <w:color w:val="1A1C1E"/>
                <w:kern w:val="0"/>
                <w:szCs w:val="24"/>
                <w:lang w:eastAsia="en-IN"/>
                <w14:ligatures w14:val="none"/>
              </w:rPr>
              <w:t>13.79</w:t>
            </w:r>
          </w:p>
        </w:tc>
        <w:tc>
          <w:tcPr>
            <w:tcW w:w="1841" w:type="dxa"/>
            <w:tcBorders>
              <w:top w:val="nil"/>
              <w:left w:val="nil"/>
              <w:bottom w:val="single" w:sz="4" w:space="0" w:color="auto"/>
              <w:right w:val="single" w:sz="4" w:space="0" w:color="auto"/>
            </w:tcBorders>
            <w:shd w:val="clear" w:color="000000" w:fill="FFFFFF"/>
            <w:vAlign w:val="center"/>
            <w:hideMark/>
          </w:tcPr>
          <w:p w14:paraId="594BA1BA" w14:textId="77777777" w:rsidR="00CE4C34" w:rsidRPr="00CE7183" w:rsidRDefault="00CE4C34" w:rsidP="00B77C0B">
            <w:pPr>
              <w:spacing w:after="0" w:line="240" w:lineRule="auto"/>
              <w:ind w:firstLineChars="100" w:firstLine="240"/>
              <w:rPr>
                <w:rFonts w:ascii="Times New Roman" w:eastAsia="Times New Roman" w:hAnsi="Times New Roman" w:cs="Times New Roman"/>
                <w:color w:val="1A1C1E"/>
                <w:kern w:val="0"/>
                <w:szCs w:val="24"/>
                <w:lang w:eastAsia="en-IN"/>
                <w14:ligatures w14:val="none"/>
              </w:rPr>
            </w:pPr>
            <w:r w:rsidRPr="00CE7183">
              <w:rPr>
                <w:rFonts w:ascii="Times New Roman" w:eastAsia="Times New Roman" w:hAnsi="Times New Roman" w:cs="Times New Roman"/>
                <w:color w:val="1A1C1E"/>
                <w:kern w:val="0"/>
                <w:szCs w:val="24"/>
                <w:lang w:eastAsia="en-IN"/>
                <w14:ligatures w14:val="none"/>
              </w:rPr>
              <w:t>13.13</w:t>
            </w:r>
          </w:p>
        </w:tc>
        <w:tc>
          <w:tcPr>
            <w:tcW w:w="1841" w:type="dxa"/>
            <w:tcBorders>
              <w:top w:val="nil"/>
              <w:left w:val="nil"/>
              <w:bottom w:val="single" w:sz="4" w:space="0" w:color="auto"/>
              <w:right w:val="single" w:sz="4" w:space="0" w:color="auto"/>
            </w:tcBorders>
            <w:shd w:val="clear" w:color="000000" w:fill="FFFFFF"/>
            <w:vAlign w:val="center"/>
            <w:hideMark/>
          </w:tcPr>
          <w:p w14:paraId="458849F7" w14:textId="77777777" w:rsidR="00CE4C34" w:rsidRPr="00CE7183" w:rsidRDefault="00CE4C34" w:rsidP="00B77C0B">
            <w:pPr>
              <w:spacing w:after="0" w:line="240" w:lineRule="auto"/>
              <w:ind w:firstLineChars="100" w:firstLine="240"/>
              <w:rPr>
                <w:rFonts w:ascii="Times New Roman" w:eastAsia="Times New Roman" w:hAnsi="Times New Roman" w:cs="Times New Roman"/>
                <w:color w:val="1A1C1E"/>
                <w:kern w:val="0"/>
                <w:szCs w:val="24"/>
                <w:lang w:eastAsia="en-IN"/>
                <w14:ligatures w14:val="none"/>
              </w:rPr>
            </w:pPr>
            <w:r w:rsidRPr="00CE7183">
              <w:rPr>
                <w:rFonts w:ascii="Times New Roman" w:eastAsia="Times New Roman" w:hAnsi="Times New Roman" w:cs="Times New Roman"/>
                <w:color w:val="1A1C1E"/>
                <w:kern w:val="0"/>
                <w:szCs w:val="24"/>
                <w:lang w:eastAsia="en-IN"/>
                <w14:ligatures w14:val="none"/>
              </w:rPr>
              <w:t>16.91</w:t>
            </w:r>
          </w:p>
        </w:tc>
        <w:tc>
          <w:tcPr>
            <w:tcW w:w="1967" w:type="dxa"/>
            <w:tcBorders>
              <w:top w:val="nil"/>
              <w:left w:val="nil"/>
              <w:bottom w:val="single" w:sz="4" w:space="0" w:color="auto"/>
              <w:right w:val="single" w:sz="4" w:space="0" w:color="auto"/>
            </w:tcBorders>
            <w:shd w:val="clear" w:color="000000" w:fill="FFFFFF"/>
            <w:vAlign w:val="center"/>
            <w:hideMark/>
          </w:tcPr>
          <w:p w14:paraId="188A6A11" w14:textId="77777777" w:rsidR="00CE4C34" w:rsidRPr="00CE7183" w:rsidRDefault="00CE4C34" w:rsidP="00B77C0B">
            <w:pPr>
              <w:spacing w:after="0" w:line="240" w:lineRule="auto"/>
              <w:ind w:firstLineChars="100" w:firstLine="240"/>
              <w:rPr>
                <w:rFonts w:ascii="Times New Roman" w:eastAsia="Times New Roman" w:hAnsi="Times New Roman" w:cs="Times New Roman"/>
                <w:color w:val="1A1C1E"/>
                <w:kern w:val="0"/>
                <w:szCs w:val="24"/>
                <w:lang w:eastAsia="en-IN"/>
                <w14:ligatures w14:val="none"/>
              </w:rPr>
            </w:pPr>
            <w:r w:rsidRPr="00CE7183">
              <w:rPr>
                <w:rFonts w:ascii="Times New Roman" w:eastAsia="Times New Roman" w:hAnsi="Times New Roman" w:cs="Times New Roman"/>
                <w:color w:val="1A1C1E"/>
                <w:kern w:val="0"/>
                <w:szCs w:val="24"/>
                <w:lang w:eastAsia="en-IN"/>
                <w14:ligatures w14:val="none"/>
              </w:rPr>
              <w:t>19.38</w:t>
            </w:r>
          </w:p>
        </w:tc>
      </w:tr>
      <w:tr w:rsidR="00CE4C34" w:rsidRPr="00CE7183" w14:paraId="0ED4DDB2" w14:textId="77777777" w:rsidTr="00B77C0B">
        <w:trPr>
          <w:trHeight w:val="301"/>
        </w:trPr>
        <w:tc>
          <w:tcPr>
            <w:tcW w:w="3063" w:type="dxa"/>
            <w:tcBorders>
              <w:top w:val="nil"/>
              <w:left w:val="single" w:sz="4" w:space="0" w:color="auto"/>
              <w:bottom w:val="single" w:sz="4" w:space="0" w:color="auto"/>
              <w:right w:val="single" w:sz="4" w:space="0" w:color="auto"/>
            </w:tcBorders>
            <w:shd w:val="clear" w:color="000000" w:fill="FFFFFF"/>
            <w:vAlign w:val="center"/>
            <w:hideMark/>
          </w:tcPr>
          <w:p w14:paraId="3DB11893" w14:textId="77777777" w:rsidR="00CE4C34" w:rsidRPr="00CE7183" w:rsidRDefault="00CE4C34" w:rsidP="00B77C0B">
            <w:pPr>
              <w:spacing w:after="0" w:line="240" w:lineRule="auto"/>
              <w:ind w:firstLineChars="100" w:firstLine="240"/>
              <w:rPr>
                <w:rFonts w:ascii="Times New Roman" w:eastAsia="Times New Roman" w:hAnsi="Times New Roman" w:cs="Times New Roman"/>
                <w:color w:val="1A1C1E"/>
                <w:kern w:val="0"/>
                <w:szCs w:val="24"/>
                <w:lang w:eastAsia="en-IN"/>
                <w14:ligatures w14:val="none"/>
              </w:rPr>
            </w:pPr>
            <w:r w:rsidRPr="00CE7183">
              <w:rPr>
                <w:rFonts w:ascii="Times New Roman" w:eastAsia="Times New Roman" w:hAnsi="Times New Roman" w:cs="Times New Roman"/>
                <w:color w:val="1A1C1E"/>
                <w:kern w:val="0"/>
                <w:szCs w:val="24"/>
                <w:lang w:eastAsia="en-IN"/>
                <w14:ligatures w14:val="none"/>
              </w:rPr>
              <w:t>Uttar Pradesh</w:t>
            </w:r>
          </w:p>
        </w:tc>
        <w:tc>
          <w:tcPr>
            <w:tcW w:w="1839" w:type="dxa"/>
            <w:tcBorders>
              <w:top w:val="nil"/>
              <w:left w:val="nil"/>
              <w:bottom w:val="single" w:sz="4" w:space="0" w:color="auto"/>
              <w:right w:val="single" w:sz="4" w:space="0" w:color="auto"/>
            </w:tcBorders>
            <w:shd w:val="clear" w:color="000000" w:fill="FFFFFF"/>
            <w:vAlign w:val="center"/>
            <w:hideMark/>
          </w:tcPr>
          <w:p w14:paraId="4E088CBA" w14:textId="77777777" w:rsidR="00CE4C34" w:rsidRPr="00CE7183" w:rsidRDefault="00CE4C34" w:rsidP="00B77C0B">
            <w:pPr>
              <w:spacing w:after="0" w:line="240" w:lineRule="auto"/>
              <w:ind w:firstLineChars="100" w:firstLine="240"/>
              <w:rPr>
                <w:rFonts w:ascii="Times New Roman" w:eastAsia="Times New Roman" w:hAnsi="Times New Roman" w:cs="Times New Roman"/>
                <w:color w:val="1A1C1E"/>
                <w:kern w:val="0"/>
                <w:szCs w:val="24"/>
                <w:lang w:eastAsia="en-IN"/>
                <w14:ligatures w14:val="none"/>
              </w:rPr>
            </w:pPr>
            <w:r w:rsidRPr="00CE7183">
              <w:rPr>
                <w:rFonts w:ascii="Times New Roman" w:eastAsia="Times New Roman" w:hAnsi="Times New Roman" w:cs="Times New Roman"/>
                <w:color w:val="1A1C1E"/>
                <w:kern w:val="0"/>
                <w:szCs w:val="24"/>
                <w:lang w:eastAsia="en-IN"/>
                <w14:ligatures w14:val="none"/>
              </w:rPr>
              <w:t>9.43</w:t>
            </w:r>
          </w:p>
        </w:tc>
        <w:tc>
          <w:tcPr>
            <w:tcW w:w="1841" w:type="dxa"/>
            <w:tcBorders>
              <w:top w:val="nil"/>
              <w:left w:val="nil"/>
              <w:bottom w:val="single" w:sz="4" w:space="0" w:color="auto"/>
              <w:right w:val="single" w:sz="4" w:space="0" w:color="auto"/>
            </w:tcBorders>
            <w:shd w:val="clear" w:color="000000" w:fill="FFFFFF"/>
            <w:vAlign w:val="center"/>
            <w:hideMark/>
          </w:tcPr>
          <w:p w14:paraId="390BA6CB" w14:textId="77777777" w:rsidR="00CE4C34" w:rsidRPr="00CE7183" w:rsidRDefault="00CE4C34" w:rsidP="00B77C0B">
            <w:pPr>
              <w:spacing w:after="0" w:line="240" w:lineRule="auto"/>
              <w:ind w:firstLineChars="100" w:firstLine="240"/>
              <w:rPr>
                <w:rFonts w:ascii="Times New Roman" w:eastAsia="Times New Roman" w:hAnsi="Times New Roman" w:cs="Times New Roman"/>
                <w:color w:val="1A1C1E"/>
                <w:kern w:val="0"/>
                <w:szCs w:val="24"/>
                <w:lang w:eastAsia="en-IN"/>
                <w14:ligatures w14:val="none"/>
              </w:rPr>
            </w:pPr>
            <w:r w:rsidRPr="00CE7183">
              <w:rPr>
                <w:rFonts w:ascii="Times New Roman" w:eastAsia="Times New Roman" w:hAnsi="Times New Roman" w:cs="Times New Roman"/>
                <w:color w:val="1A1C1E"/>
                <w:kern w:val="0"/>
                <w:szCs w:val="24"/>
                <w:lang w:eastAsia="en-IN"/>
                <w14:ligatures w14:val="none"/>
              </w:rPr>
              <w:t>11.38</w:t>
            </w:r>
          </w:p>
        </w:tc>
        <w:tc>
          <w:tcPr>
            <w:tcW w:w="1841" w:type="dxa"/>
            <w:tcBorders>
              <w:top w:val="nil"/>
              <w:left w:val="nil"/>
              <w:bottom w:val="single" w:sz="4" w:space="0" w:color="auto"/>
              <w:right w:val="single" w:sz="4" w:space="0" w:color="auto"/>
            </w:tcBorders>
            <w:shd w:val="clear" w:color="000000" w:fill="FFFFFF"/>
            <w:vAlign w:val="center"/>
            <w:hideMark/>
          </w:tcPr>
          <w:p w14:paraId="0F0A90D1" w14:textId="77777777" w:rsidR="00CE4C34" w:rsidRPr="00CE7183" w:rsidRDefault="00CE4C34" w:rsidP="00B77C0B">
            <w:pPr>
              <w:spacing w:after="0" w:line="240" w:lineRule="auto"/>
              <w:ind w:firstLineChars="100" w:firstLine="240"/>
              <w:rPr>
                <w:rFonts w:ascii="Times New Roman" w:eastAsia="Times New Roman" w:hAnsi="Times New Roman" w:cs="Times New Roman"/>
                <w:color w:val="1A1C1E"/>
                <w:kern w:val="0"/>
                <w:szCs w:val="24"/>
                <w:lang w:eastAsia="en-IN"/>
                <w14:ligatures w14:val="none"/>
              </w:rPr>
            </w:pPr>
            <w:r w:rsidRPr="00CE7183">
              <w:rPr>
                <w:rFonts w:ascii="Times New Roman" w:eastAsia="Times New Roman" w:hAnsi="Times New Roman" w:cs="Times New Roman"/>
                <w:color w:val="1A1C1E"/>
                <w:kern w:val="0"/>
                <w:szCs w:val="24"/>
                <w:lang w:eastAsia="en-IN"/>
                <w14:ligatures w14:val="none"/>
              </w:rPr>
              <w:t>32.1</w:t>
            </w:r>
          </w:p>
        </w:tc>
        <w:tc>
          <w:tcPr>
            <w:tcW w:w="1967" w:type="dxa"/>
            <w:tcBorders>
              <w:top w:val="nil"/>
              <w:left w:val="nil"/>
              <w:bottom w:val="single" w:sz="4" w:space="0" w:color="auto"/>
              <w:right w:val="single" w:sz="4" w:space="0" w:color="auto"/>
            </w:tcBorders>
            <w:shd w:val="clear" w:color="000000" w:fill="FFFFFF"/>
            <w:vAlign w:val="center"/>
            <w:hideMark/>
          </w:tcPr>
          <w:p w14:paraId="236257F3" w14:textId="77777777" w:rsidR="00CE4C34" w:rsidRPr="00CE7183" w:rsidRDefault="00CE4C34" w:rsidP="00B77C0B">
            <w:pPr>
              <w:spacing w:after="0" w:line="240" w:lineRule="auto"/>
              <w:ind w:firstLineChars="100" w:firstLine="240"/>
              <w:rPr>
                <w:rFonts w:ascii="Times New Roman" w:eastAsia="Times New Roman" w:hAnsi="Times New Roman" w:cs="Times New Roman"/>
                <w:color w:val="1A1C1E"/>
                <w:kern w:val="0"/>
                <w:szCs w:val="24"/>
                <w:lang w:eastAsia="en-IN"/>
                <w14:ligatures w14:val="none"/>
              </w:rPr>
            </w:pPr>
            <w:r w:rsidRPr="00CE7183">
              <w:rPr>
                <w:rFonts w:ascii="Times New Roman" w:eastAsia="Times New Roman" w:hAnsi="Times New Roman" w:cs="Times New Roman"/>
                <w:color w:val="1A1C1E"/>
                <w:kern w:val="0"/>
                <w:szCs w:val="24"/>
                <w:lang w:eastAsia="en-IN"/>
                <w14:ligatures w14:val="none"/>
              </w:rPr>
              <w:t>21.24</w:t>
            </w:r>
          </w:p>
        </w:tc>
      </w:tr>
      <w:tr w:rsidR="00CE4C34" w:rsidRPr="00CE7183" w14:paraId="47664768" w14:textId="77777777" w:rsidTr="00B77C0B">
        <w:trPr>
          <w:trHeight w:val="301"/>
        </w:trPr>
        <w:tc>
          <w:tcPr>
            <w:tcW w:w="3063" w:type="dxa"/>
            <w:tcBorders>
              <w:top w:val="nil"/>
              <w:left w:val="single" w:sz="4" w:space="0" w:color="auto"/>
              <w:bottom w:val="single" w:sz="4" w:space="0" w:color="auto"/>
              <w:right w:val="single" w:sz="4" w:space="0" w:color="auto"/>
            </w:tcBorders>
            <w:shd w:val="clear" w:color="000000" w:fill="FFFFFF"/>
            <w:vAlign w:val="center"/>
            <w:hideMark/>
          </w:tcPr>
          <w:p w14:paraId="1749B608" w14:textId="77777777" w:rsidR="00CE4C34" w:rsidRPr="00CE7183" w:rsidRDefault="00CE4C34" w:rsidP="00B77C0B">
            <w:pPr>
              <w:spacing w:after="0" w:line="240" w:lineRule="auto"/>
              <w:ind w:firstLineChars="100" w:firstLine="240"/>
              <w:rPr>
                <w:rFonts w:ascii="Times New Roman" w:eastAsia="Times New Roman" w:hAnsi="Times New Roman" w:cs="Times New Roman"/>
                <w:color w:val="1A1C1E"/>
                <w:kern w:val="0"/>
                <w:szCs w:val="24"/>
                <w:lang w:eastAsia="en-IN"/>
                <w14:ligatures w14:val="none"/>
              </w:rPr>
            </w:pPr>
            <w:r w:rsidRPr="00CE7183">
              <w:rPr>
                <w:rFonts w:ascii="Times New Roman" w:eastAsia="Times New Roman" w:hAnsi="Times New Roman" w:cs="Times New Roman"/>
                <w:color w:val="1A1C1E"/>
                <w:kern w:val="0"/>
                <w:szCs w:val="24"/>
                <w:lang w:eastAsia="en-IN"/>
                <w14:ligatures w14:val="none"/>
              </w:rPr>
              <w:t>West Bengal</w:t>
            </w:r>
          </w:p>
        </w:tc>
        <w:tc>
          <w:tcPr>
            <w:tcW w:w="1839" w:type="dxa"/>
            <w:tcBorders>
              <w:top w:val="nil"/>
              <w:left w:val="nil"/>
              <w:bottom w:val="single" w:sz="4" w:space="0" w:color="auto"/>
              <w:right w:val="single" w:sz="4" w:space="0" w:color="auto"/>
            </w:tcBorders>
            <w:shd w:val="clear" w:color="000000" w:fill="FFFFFF"/>
            <w:vAlign w:val="center"/>
            <w:hideMark/>
          </w:tcPr>
          <w:p w14:paraId="01D90583" w14:textId="77777777" w:rsidR="00CE4C34" w:rsidRPr="00CE7183" w:rsidRDefault="00CE4C34" w:rsidP="00B77C0B">
            <w:pPr>
              <w:spacing w:after="0" w:line="240" w:lineRule="auto"/>
              <w:ind w:firstLineChars="100" w:firstLine="240"/>
              <w:rPr>
                <w:rFonts w:ascii="Times New Roman" w:eastAsia="Times New Roman" w:hAnsi="Times New Roman" w:cs="Times New Roman"/>
                <w:color w:val="1A1C1E"/>
                <w:kern w:val="0"/>
                <w:szCs w:val="24"/>
                <w:lang w:eastAsia="en-IN"/>
                <w14:ligatures w14:val="none"/>
              </w:rPr>
            </w:pPr>
            <w:r w:rsidRPr="00CE7183">
              <w:rPr>
                <w:rFonts w:ascii="Times New Roman" w:eastAsia="Times New Roman" w:hAnsi="Times New Roman" w:cs="Times New Roman"/>
                <w:color w:val="1A1C1E"/>
                <w:kern w:val="0"/>
                <w:szCs w:val="24"/>
                <w:lang w:eastAsia="en-IN"/>
                <w14:ligatures w14:val="none"/>
              </w:rPr>
              <w:t>32.47</w:t>
            </w:r>
          </w:p>
        </w:tc>
        <w:tc>
          <w:tcPr>
            <w:tcW w:w="1841" w:type="dxa"/>
            <w:tcBorders>
              <w:top w:val="nil"/>
              <w:left w:val="nil"/>
              <w:bottom w:val="single" w:sz="4" w:space="0" w:color="auto"/>
              <w:right w:val="single" w:sz="4" w:space="0" w:color="auto"/>
            </w:tcBorders>
            <w:shd w:val="clear" w:color="000000" w:fill="FFFFFF"/>
            <w:vAlign w:val="center"/>
            <w:hideMark/>
          </w:tcPr>
          <w:p w14:paraId="7DB51354" w14:textId="77777777" w:rsidR="00CE4C34" w:rsidRPr="00CE7183" w:rsidRDefault="00CE4C34" w:rsidP="00B77C0B">
            <w:pPr>
              <w:spacing w:after="0" w:line="240" w:lineRule="auto"/>
              <w:ind w:firstLineChars="100" w:firstLine="240"/>
              <w:rPr>
                <w:rFonts w:ascii="Times New Roman" w:eastAsia="Times New Roman" w:hAnsi="Times New Roman" w:cs="Times New Roman"/>
                <w:color w:val="1A1C1E"/>
                <w:kern w:val="0"/>
                <w:szCs w:val="24"/>
                <w:lang w:eastAsia="en-IN"/>
                <w14:ligatures w14:val="none"/>
              </w:rPr>
            </w:pPr>
            <w:r w:rsidRPr="00CE7183">
              <w:rPr>
                <w:rFonts w:ascii="Times New Roman" w:eastAsia="Times New Roman" w:hAnsi="Times New Roman" w:cs="Times New Roman"/>
                <w:color w:val="1A1C1E"/>
                <w:kern w:val="0"/>
                <w:szCs w:val="24"/>
                <w:lang w:eastAsia="en-IN"/>
                <w14:ligatures w14:val="none"/>
              </w:rPr>
              <w:t>41.99</w:t>
            </w:r>
          </w:p>
        </w:tc>
        <w:tc>
          <w:tcPr>
            <w:tcW w:w="1841" w:type="dxa"/>
            <w:tcBorders>
              <w:top w:val="nil"/>
              <w:left w:val="nil"/>
              <w:bottom w:val="single" w:sz="4" w:space="0" w:color="auto"/>
              <w:right w:val="single" w:sz="4" w:space="0" w:color="auto"/>
            </w:tcBorders>
            <w:shd w:val="clear" w:color="000000" w:fill="FFFFFF"/>
            <w:vAlign w:val="center"/>
            <w:hideMark/>
          </w:tcPr>
          <w:p w14:paraId="26B38C2F" w14:textId="77777777" w:rsidR="00CE4C34" w:rsidRPr="00CE7183" w:rsidRDefault="00CE4C34" w:rsidP="00B77C0B">
            <w:pPr>
              <w:spacing w:after="0" w:line="240" w:lineRule="auto"/>
              <w:ind w:firstLineChars="100" w:firstLine="240"/>
              <w:rPr>
                <w:rFonts w:ascii="Times New Roman" w:eastAsia="Times New Roman" w:hAnsi="Times New Roman" w:cs="Times New Roman"/>
                <w:color w:val="1A1C1E"/>
                <w:kern w:val="0"/>
                <w:szCs w:val="24"/>
                <w:lang w:eastAsia="en-IN"/>
                <w14:ligatures w14:val="none"/>
              </w:rPr>
            </w:pPr>
            <w:r w:rsidRPr="00CE7183">
              <w:rPr>
                <w:rFonts w:ascii="Times New Roman" w:eastAsia="Times New Roman" w:hAnsi="Times New Roman" w:cs="Times New Roman"/>
                <w:color w:val="1A1C1E"/>
                <w:kern w:val="0"/>
                <w:szCs w:val="24"/>
                <w:lang w:eastAsia="en-IN"/>
                <w14:ligatures w14:val="none"/>
              </w:rPr>
              <w:t>40.3</w:t>
            </w:r>
          </w:p>
        </w:tc>
        <w:tc>
          <w:tcPr>
            <w:tcW w:w="1967" w:type="dxa"/>
            <w:tcBorders>
              <w:top w:val="nil"/>
              <w:left w:val="nil"/>
              <w:bottom w:val="single" w:sz="4" w:space="0" w:color="auto"/>
              <w:right w:val="single" w:sz="4" w:space="0" w:color="auto"/>
            </w:tcBorders>
            <w:shd w:val="clear" w:color="000000" w:fill="FFFFFF"/>
            <w:vAlign w:val="center"/>
            <w:hideMark/>
          </w:tcPr>
          <w:p w14:paraId="5115ABA2" w14:textId="77777777" w:rsidR="00CE4C34" w:rsidRPr="00CE7183" w:rsidRDefault="00CE4C34" w:rsidP="00B77C0B">
            <w:pPr>
              <w:spacing w:after="0" w:line="240" w:lineRule="auto"/>
              <w:ind w:firstLineChars="100" w:firstLine="240"/>
              <w:rPr>
                <w:rFonts w:ascii="Times New Roman" w:eastAsia="Times New Roman" w:hAnsi="Times New Roman" w:cs="Times New Roman"/>
                <w:color w:val="1A1C1E"/>
                <w:kern w:val="0"/>
                <w:szCs w:val="24"/>
                <w:lang w:eastAsia="en-IN"/>
                <w14:ligatures w14:val="none"/>
              </w:rPr>
            </w:pPr>
            <w:r w:rsidRPr="00CE7183">
              <w:rPr>
                <w:rFonts w:ascii="Times New Roman" w:eastAsia="Times New Roman" w:hAnsi="Times New Roman" w:cs="Times New Roman"/>
                <w:color w:val="1A1C1E"/>
                <w:kern w:val="0"/>
                <w:szCs w:val="24"/>
                <w:lang w:eastAsia="en-IN"/>
                <w14:ligatures w14:val="none"/>
              </w:rPr>
              <w:t>N.A.</w:t>
            </w:r>
          </w:p>
        </w:tc>
      </w:tr>
      <w:tr w:rsidR="00CE4C34" w:rsidRPr="00CE7183" w14:paraId="60DD6070" w14:textId="77777777" w:rsidTr="00B77C0B">
        <w:trPr>
          <w:trHeight w:val="301"/>
        </w:trPr>
        <w:tc>
          <w:tcPr>
            <w:tcW w:w="3063" w:type="dxa"/>
            <w:tcBorders>
              <w:top w:val="nil"/>
              <w:left w:val="single" w:sz="4" w:space="0" w:color="auto"/>
              <w:bottom w:val="single" w:sz="4" w:space="0" w:color="auto"/>
              <w:right w:val="single" w:sz="4" w:space="0" w:color="auto"/>
            </w:tcBorders>
            <w:shd w:val="clear" w:color="000000" w:fill="FFFFFF"/>
            <w:vAlign w:val="center"/>
            <w:hideMark/>
          </w:tcPr>
          <w:p w14:paraId="39CE4DA7" w14:textId="77777777" w:rsidR="00CE4C34" w:rsidRPr="00CE7183" w:rsidRDefault="00CE4C34" w:rsidP="00B77C0B">
            <w:pPr>
              <w:spacing w:after="0" w:line="240" w:lineRule="auto"/>
              <w:ind w:firstLineChars="100" w:firstLine="241"/>
              <w:rPr>
                <w:rFonts w:ascii="Times New Roman" w:eastAsia="Times New Roman" w:hAnsi="Times New Roman" w:cs="Times New Roman"/>
                <w:b/>
                <w:bCs/>
                <w:color w:val="1A1C1E"/>
                <w:kern w:val="0"/>
                <w:szCs w:val="24"/>
                <w:lang w:eastAsia="en-IN"/>
                <w14:ligatures w14:val="none"/>
              </w:rPr>
            </w:pPr>
            <w:r w:rsidRPr="00CE7183">
              <w:rPr>
                <w:rFonts w:ascii="Times New Roman" w:eastAsia="Times New Roman" w:hAnsi="Times New Roman" w:cs="Times New Roman"/>
                <w:b/>
                <w:bCs/>
                <w:color w:val="1A1C1E"/>
                <w:kern w:val="0"/>
                <w:szCs w:val="24"/>
                <w:lang w:eastAsia="en-IN"/>
                <w14:ligatures w14:val="none"/>
              </w:rPr>
              <w:t>TOTAL</w:t>
            </w:r>
          </w:p>
        </w:tc>
        <w:tc>
          <w:tcPr>
            <w:tcW w:w="1839" w:type="dxa"/>
            <w:tcBorders>
              <w:top w:val="nil"/>
              <w:left w:val="nil"/>
              <w:bottom w:val="single" w:sz="4" w:space="0" w:color="auto"/>
              <w:right w:val="single" w:sz="4" w:space="0" w:color="auto"/>
            </w:tcBorders>
            <w:shd w:val="clear" w:color="000000" w:fill="FFFFFF"/>
            <w:vAlign w:val="center"/>
            <w:hideMark/>
          </w:tcPr>
          <w:p w14:paraId="3A85D696" w14:textId="77777777" w:rsidR="00CE4C34" w:rsidRPr="00CE7183" w:rsidRDefault="00CE4C34" w:rsidP="00B77C0B">
            <w:pPr>
              <w:spacing w:after="0" w:line="240" w:lineRule="auto"/>
              <w:ind w:firstLineChars="100" w:firstLine="241"/>
              <w:rPr>
                <w:rFonts w:ascii="Times New Roman" w:eastAsia="Times New Roman" w:hAnsi="Times New Roman" w:cs="Times New Roman"/>
                <w:b/>
                <w:bCs/>
                <w:color w:val="1A1C1E"/>
                <w:kern w:val="0"/>
                <w:szCs w:val="24"/>
                <w:lang w:eastAsia="en-IN"/>
                <w14:ligatures w14:val="none"/>
              </w:rPr>
            </w:pPr>
            <w:r w:rsidRPr="00CE7183">
              <w:rPr>
                <w:rFonts w:ascii="Times New Roman" w:eastAsia="Times New Roman" w:hAnsi="Times New Roman" w:cs="Times New Roman"/>
                <w:b/>
                <w:bCs/>
                <w:color w:val="1A1C1E"/>
                <w:kern w:val="0"/>
                <w:szCs w:val="24"/>
                <w:lang w:eastAsia="en-IN"/>
                <w14:ligatures w14:val="none"/>
              </w:rPr>
              <w:t>25.18</w:t>
            </w:r>
          </w:p>
        </w:tc>
        <w:tc>
          <w:tcPr>
            <w:tcW w:w="1841" w:type="dxa"/>
            <w:tcBorders>
              <w:top w:val="nil"/>
              <w:left w:val="nil"/>
              <w:bottom w:val="single" w:sz="4" w:space="0" w:color="auto"/>
              <w:right w:val="single" w:sz="4" w:space="0" w:color="auto"/>
            </w:tcBorders>
            <w:shd w:val="clear" w:color="000000" w:fill="FFFFFF"/>
            <w:vAlign w:val="center"/>
            <w:hideMark/>
          </w:tcPr>
          <w:p w14:paraId="3B8606F1" w14:textId="77777777" w:rsidR="00CE4C34" w:rsidRPr="00CE7183" w:rsidRDefault="00CE4C34" w:rsidP="00B77C0B">
            <w:pPr>
              <w:spacing w:after="0" w:line="240" w:lineRule="auto"/>
              <w:ind w:firstLineChars="100" w:firstLine="241"/>
              <w:rPr>
                <w:rFonts w:ascii="Times New Roman" w:eastAsia="Times New Roman" w:hAnsi="Times New Roman" w:cs="Times New Roman"/>
                <w:b/>
                <w:bCs/>
                <w:color w:val="1A1C1E"/>
                <w:kern w:val="0"/>
                <w:szCs w:val="24"/>
                <w:lang w:eastAsia="en-IN"/>
                <w14:ligatures w14:val="none"/>
              </w:rPr>
            </w:pPr>
            <w:r w:rsidRPr="00CE7183">
              <w:rPr>
                <w:rFonts w:ascii="Times New Roman" w:eastAsia="Times New Roman" w:hAnsi="Times New Roman" w:cs="Times New Roman"/>
                <w:b/>
                <w:bCs/>
                <w:color w:val="1A1C1E"/>
                <w:kern w:val="0"/>
                <w:szCs w:val="24"/>
                <w:lang w:eastAsia="en-IN"/>
                <w14:ligatures w14:val="none"/>
              </w:rPr>
              <w:t>29.67</w:t>
            </w:r>
          </w:p>
        </w:tc>
        <w:tc>
          <w:tcPr>
            <w:tcW w:w="1841" w:type="dxa"/>
            <w:tcBorders>
              <w:top w:val="nil"/>
              <w:left w:val="nil"/>
              <w:bottom w:val="single" w:sz="4" w:space="0" w:color="auto"/>
              <w:right w:val="single" w:sz="4" w:space="0" w:color="auto"/>
            </w:tcBorders>
            <w:shd w:val="clear" w:color="000000" w:fill="FFFFFF"/>
            <w:vAlign w:val="center"/>
            <w:hideMark/>
          </w:tcPr>
          <w:p w14:paraId="1FC52C36" w14:textId="77777777" w:rsidR="00CE4C34" w:rsidRPr="00CE7183" w:rsidRDefault="00CE4C34" w:rsidP="00B77C0B">
            <w:pPr>
              <w:spacing w:after="0" w:line="240" w:lineRule="auto"/>
              <w:ind w:firstLineChars="100" w:firstLine="241"/>
              <w:rPr>
                <w:rFonts w:ascii="Times New Roman" w:eastAsia="Times New Roman" w:hAnsi="Times New Roman" w:cs="Times New Roman"/>
                <w:b/>
                <w:bCs/>
                <w:color w:val="1A1C1E"/>
                <w:kern w:val="0"/>
                <w:szCs w:val="24"/>
                <w:lang w:eastAsia="en-IN"/>
                <w14:ligatures w14:val="none"/>
              </w:rPr>
            </w:pPr>
            <w:r w:rsidRPr="00CE7183">
              <w:rPr>
                <w:rFonts w:ascii="Times New Roman" w:eastAsia="Times New Roman" w:hAnsi="Times New Roman" w:cs="Times New Roman"/>
                <w:b/>
                <w:bCs/>
                <w:color w:val="1A1C1E"/>
                <w:kern w:val="0"/>
                <w:szCs w:val="24"/>
                <w:lang w:eastAsia="en-IN"/>
                <w14:ligatures w14:val="none"/>
              </w:rPr>
              <w:t>38.21</w:t>
            </w:r>
          </w:p>
        </w:tc>
        <w:tc>
          <w:tcPr>
            <w:tcW w:w="1967" w:type="dxa"/>
            <w:tcBorders>
              <w:top w:val="nil"/>
              <w:left w:val="nil"/>
              <w:bottom w:val="single" w:sz="4" w:space="0" w:color="auto"/>
              <w:right w:val="single" w:sz="4" w:space="0" w:color="auto"/>
            </w:tcBorders>
            <w:shd w:val="clear" w:color="000000" w:fill="FFFFFF"/>
            <w:vAlign w:val="center"/>
            <w:hideMark/>
          </w:tcPr>
          <w:p w14:paraId="6A3DD33B" w14:textId="77777777" w:rsidR="00CE4C34" w:rsidRPr="00CE7183" w:rsidRDefault="00CE4C34" w:rsidP="00B77C0B">
            <w:pPr>
              <w:spacing w:after="0" w:line="240" w:lineRule="auto"/>
              <w:ind w:firstLineChars="100" w:firstLine="241"/>
              <w:rPr>
                <w:rFonts w:ascii="Times New Roman" w:eastAsia="Times New Roman" w:hAnsi="Times New Roman" w:cs="Times New Roman"/>
                <w:b/>
                <w:bCs/>
                <w:color w:val="1A1C1E"/>
                <w:kern w:val="0"/>
                <w:szCs w:val="24"/>
                <w:lang w:eastAsia="en-IN"/>
                <w14:ligatures w14:val="none"/>
              </w:rPr>
            </w:pPr>
            <w:r w:rsidRPr="00CE7183">
              <w:rPr>
                <w:rFonts w:ascii="Times New Roman" w:eastAsia="Times New Roman" w:hAnsi="Times New Roman" w:cs="Times New Roman"/>
                <w:b/>
                <w:bCs/>
                <w:color w:val="1A1C1E"/>
                <w:kern w:val="0"/>
                <w:szCs w:val="24"/>
                <w:lang w:eastAsia="en-IN"/>
                <w14:ligatures w14:val="none"/>
              </w:rPr>
              <w:t>43.62*</w:t>
            </w:r>
          </w:p>
        </w:tc>
      </w:tr>
    </w:tbl>
    <w:p w14:paraId="27C99902" w14:textId="77777777" w:rsidR="00CE4C34" w:rsidRPr="007245B0" w:rsidRDefault="00CE4C34" w:rsidP="00CE7183">
      <w:pPr>
        <w:pStyle w:val="Sources"/>
      </w:pPr>
      <w:r w:rsidRPr="007245B0">
        <w:rPr>
          <w:b/>
          <w:bCs/>
        </w:rPr>
        <w:t>*</w:t>
      </w:r>
      <w:r w:rsidRPr="007245B0">
        <w:t> This does not include Assam, Gujarat, Jammu and Kashmir, Maharashtra and West Bengal; information in respect of these States is not available.</w:t>
      </w:r>
    </w:p>
    <w:p w14:paraId="7BFF9FEA" w14:textId="77777777" w:rsidR="00CE4C34" w:rsidRPr="007245B0" w:rsidRDefault="00CE4C34" w:rsidP="00CE7183">
      <w:pPr>
        <w:pStyle w:val="Sources"/>
      </w:pPr>
      <w:r w:rsidRPr="007245B0">
        <w:rPr>
          <w:i/>
          <w:iCs/>
        </w:rPr>
        <w:t>Source:</w:t>
      </w:r>
      <w:r w:rsidRPr="007245B0">
        <w:t> Material received from the State Governments.</w:t>
      </w:r>
    </w:p>
    <w:p w14:paraId="58B7C606" w14:textId="254FD3AE" w:rsidR="00CE4C34" w:rsidRPr="007245B0" w:rsidRDefault="00CE4C34">
      <w:pPr>
        <w:rPr>
          <w:rFonts w:ascii="Times New Roman" w:hAnsi="Times New Roman" w:cs="Times New Roman"/>
          <w:b/>
          <w:bCs/>
        </w:rPr>
      </w:pPr>
      <w:r w:rsidRPr="007245B0">
        <w:rPr>
          <w:rFonts w:ascii="Times New Roman" w:hAnsi="Times New Roman" w:cs="Times New Roman"/>
          <w:b/>
          <w:bCs/>
        </w:rPr>
        <w:br w:type="page"/>
      </w:r>
    </w:p>
    <w:p w14:paraId="626471C7" w14:textId="67C640FE" w:rsidR="00CE7183" w:rsidRDefault="00574BCE" w:rsidP="00CE7183">
      <w:pPr>
        <w:pStyle w:val="Heading4"/>
      </w:pPr>
      <w:bookmarkStart w:id="87" w:name="_Toc220949699"/>
      <w:bookmarkStart w:id="88" w:name="_Toc221114299"/>
      <w:bookmarkStart w:id="89" w:name="_Toc221115322"/>
      <w:r>
        <w:lastRenderedPageBreak/>
        <w:t>Table</w:t>
      </w:r>
      <w:r w:rsidR="00CE4C34" w:rsidRPr="007245B0">
        <w:t xml:space="preserve"> 19: Percentage of Sales Tax arrears to the total demand</w:t>
      </w:r>
      <w:bookmarkEnd w:id="87"/>
      <w:bookmarkEnd w:id="88"/>
      <w:bookmarkEnd w:id="89"/>
    </w:p>
    <w:p w14:paraId="490C3986" w14:textId="426DD408" w:rsidR="00CE4C34" w:rsidRPr="007245B0" w:rsidRDefault="00CE4C34" w:rsidP="00CE7183">
      <w:pPr>
        <w:jc w:val="right"/>
        <w:rPr>
          <w:rFonts w:ascii="Times New Roman" w:hAnsi="Times New Roman" w:cs="Times New Roman"/>
          <w:i/>
          <w:iCs/>
        </w:rPr>
      </w:pPr>
      <w:r w:rsidRPr="007245B0">
        <w:rPr>
          <w:rFonts w:ascii="Times New Roman" w:hAnsi="Times New Roman" w:cs="Times New Roman"/>
          <w:i/>
          <w:iCs/>
        </w:rPr>
        <w:t>(Percentage)</w:t>
      </w:r>
    </w:p>
    <w:tbl>
      <w:tblPr>
        <w:tblW w:w="10579" w:type="dxa"/>
        <w:tblLook w:val="04A0" w:firstRow="1" w:lastRow="0" w:firstColumn="1" w:lastColumn="0" w:noHBand="0" w:noVBand="1"/>
      </w:tblPr>
      <w:tblGrid>
        <w:gridCol w:w="3071"/>
        <w:gridCol w:w="1844"/>
        <w:gridCol w:w="1846"/>
        <w:gridCol w:w="1846"/>
        <w:gridCol w:w="1972"/>
      </w:tblGrid>
      <w:tr w:rsidR="00CE4C34" w:rsidRPr="00CE7183" w14:paraId="0198D283" w14:textId="77777777" w:rsidTr="00B77C0B">
        <w:trPr>
          <w:trHeight w:val="313"/>
        </w:trPr>
        <w:tc>
          <w:tcPr>
            <w:tcW w:w="307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5079787" w14:textId="77777777" w:rsidR="00CE4C34" w:rsidRPr="00CE7183" w:rsidRDefault="00CE4C34" w:rsidP="00B77C0B">
            <w:pPr>
              <w:spacing w:after="0" w:line="240" w:lineRule="auto"/>
              <w:ind w:firstLineChars="100" w:firstLine="241"/>
              <w:rPr>
                <w:rFonts w:ascii="Times New Roman" w:eastAsia="Times New Roman" w:hAnsi="Times New Roman" w:cs="Times New Roman"/>
                <w:b/>
                <w:bCs/>
                <w:color w:val="1A1C1E"/>
                <w:kern w:val="0"/>
                <w:szCs w:val="24"/>
                <w:lang w:eastAsia="en-IN"/>
                <w14:ligatures w14:val="none"/>
              </w:rPr>
            </w:pPr>
            <w:r w:rsidRPr="00CE7183">
              <w:rPr>
                <w:rFonts w:ascii="Times New Roman" w:eastAsia="Times New Roman" w:hAnsi="Times New Roman" w:cs="Times New Roman"/>
                <w:b/>
                <w:bCs/>
                <w:color w:val="1A1C1E"/>
                <w:kern w:val="0"/>
                <w:szCs w:val="24"/>
                <w:lang w:eastAsia="en-IN"/>
                <w14:ligatures w14:val="none"/>
              </w:rPr>
              <w:t>States</w:t>
            </w:r>
          </w:p>
        </w:tc>
        <w:tc>
          <w:tcPr>
            <w:tcW w:w="1844" w:type="dxa"/>
            <w:tcBorders>
              <w:top w:val="single" w:sz="4" w:space="0" w:color="auto"/>
              <w:left w:val="nil"/>
              <w:bottom w:val="single" w:sz="4" w:space="0" w:color="auto"/>
              <w:right w:val="single" w:sz="4" w:space="0" w:color="auto"/>
            </w:tcBorders>
            <w:shd w:val="clear" w:color="000000" w:fill="FFFFFF"/>
            <w:vAlign w:val="center"/>
            <w:hideMark/>
          </w:tcPr>
          <w:p w14:paraId="3F4D0BAE" w14:textId="77777777" w:rsidR="00CE4C34" w:rsidRPr="00CE7183" w:rsidRDefault="00CE4C34" w:rsidP="00B77C0B">
            <w:pPr>
              <w:spacing w:after="0" w:line="240" w:lineRule="auto"/>
              <w:ind w:firstLineChars="100" w:firstLine="241"/>
              <w:rPr>
                <w:rFonts w:ascii="Times New Roman" w:eastAsia="Times New Roman" w:hAnsi="Times New Roman" w:cs="Times New Roman"/>
                <w:b/>
                <w:bCs/>
                <w:color w:val="1A1C1E"/>
                <w:kern w:val="0"/>
                <w:szCs w:val="24"/>
                <w:lang w:eastAsia="en-IN"/>
                <w14:ligatures w14:val="none"/>
              </w:rPr>
            </w:pPr>
            <w:r w:rsidRPr="00CE7183">
              <w:rPr>
                <w:rFonts w:ascii="Times New Roman" w:eastAsia="Times New Roman" w:hAnsi="Times New Roman" w:cs="Times New Roman"/>
                <w:b/>
                <w:bCs/>
                <w:color w:val="1A1C1E"/>
                <w:kern w:val="0"/>
                <w:szCs w:val="24"/>
                <w:lang w:eastAsia="en-IN"/>
                <w14:ligatures w14:val="none"/>
              </w:rPr>
              <w:t>1964-65</w:t>
            </w:r>
          </w:p>
        </w:tc>
        <w:tc>
          <w:tcPr>
            <w:tcW w:w="1846" w:type="dxa"/>
            <w:tcBorders>
              <w:top w:val="single" w:sz="4" w:space="0" w:color="auto"/>
              <w:left w:val="nil"/>
              <w:bottom w:val="single" w:sz="4" w:space="0" w:color="auto"/>
              <w:right w:val="single" w:sz="4" w:space="0" w:color="auto"/>
            </w:tcBorders>
            <w:shd w:val="clear" w:color="000000" w:fill="FFFFFF"/>
            <w:vAlign w:val="center"/>
            <w:hideMark/>
          </w:tcPr>
          <w:p w14:paraId="09C5F2F2" w14:textId="77777777" w:rsidR="00CE4C34" w:rsidRPr="00CE7183" w:rsidRDefault="00CE4C34" w:rsidP="00B77C0B">
            <w:pPr>
              <w:spacing w:after="0" w:line="240" w:lineRule="auto"/>
              <w:ind w:firstLineChars="100" w:firstLine="241"/>
              <w:rPr>
                <w:rFonts w:ascii="Times New Roman" w:eastAsia="Times New Roman" w:hAnsi="Times New Roman" w:cs="Times New Roman"/>
                <w:b/>
                <w:bCs/>
                <w:color w:val="1A1C1E"/>
                <w:kern w:val="0"/>
                <w:szCs w:val="24"/>
                <w:lang w:eastAsia="en-IN"/>
                <w14:ligatures w14:val="none"/>
              </w:rPr>
            </w:pPr>
            <w:r w:rsidRPr="00CE7183">
              <w:rPr>
                <w:rFonts w:ascii="Times New Roman" w:eastAsia="Times New Roman" w:hAnsi="Times New Roman" w:cs="Times New Roman"/>
                <w:b/>
                <w:bCs/>
                <w:color w:val="1A1C1E"/>
                <w:kern w:val="0"/>
                <w:szCs w:val="24"/>
                <w:lang w:eastAsia="en-IN"/>
                <w14:ligatures w14:val="none"/>
              </w:rPr>
              <w:t>1965-66</w:t>
            </w:r>
          </w:p>
        </w:tc>
        <w:tc>
          <w:tcPr>
            <w:tcW w:w="1846" w:type="dxa"/>
            <w:tcBorders>
              <w:top w:val="single" w:sz="4" w:space="0" w:color="auto"/>
              <w:left w:val="nil"/>
              <w:bottom w:val="single" w:sz="4" w:space="0" w:color="auto"/>
              <w:right w:val="single" w:sz="4" w:space="0" w:color="auto"/>
            </w:tcBorders>
            <w:shd w:val="clear" w:color="000000" w:fill="FFFFFF"/>
            <w:vAlign w:val="center"/>
            <w:hideMark/>
          </w:tcPr>
          <w:p w14:paraId="0A05F480" w14:textId="77777777" w:rsidR="00CE4C34" w:rsidRPr="00CE7183" w:rsidRDefault="00CE4C34" w:rsidP="00B77C0B">
            <w:pPr>
              <w:spacing w:after="0" w:line="240" w:lineRule="auto"/>
              <w:ind w:firstLineChars="100" w:firstLine="241"/>
              <w:rPr>
                <w:rFonts w:ascii="Times New Roman" w:eastAsia="Times New Roman" w:hAnsi="Times New Roman" w:cs="Times New Roman"/>
                <w:b/>
                <w:bCs/>
                <w:color w:val="1A1C1E"/>
                <w:kern w:val="0"/>
                <w:szCs w:val="24"/>
                <w:lang w:eastAsia="en-IN"/>
                <w14:ligatures w14:val="none"/>
              </w:rPr>
            </w:pPr>
            <w:r w:rsidRPr="00CE7183">
              <w:rPr>
                <w:rFonts w:ascii="Times New Roman" w:eastAsia="Times New Roman" w:hAnsi="Times New Roman" w:cs="Times New Roman"/>
                <w:b/>
                <w:bCs/>
                <w:color w:val="1A1C1E"/>
                <w:kern w:val="0"/>
                <w:szCs w:val="24"/>
                <w:lang w:eastAsia="en-IN"/>
                <w14:ligatures w14:val="none"/>
              </w:rPr>
              <w:t>1966-67</w:t>
            </w:r>
          </w:p>
        </w:tc>
        <w:tc>
          <w:tcPr>
            <w:tcW w:w="1972" w:type="dxa"/>
            <w:tcBorders>
              <w:top w:val="single" w:sz="4" w:space="0" w:color="auto"/>
              <w:left w:val="nil"/>
              <w:bottom w:val="single" w:sz="4" w:space="0" w:color="auto"/>
              <w:right w:val="single" w:sz="4" w:space="0" w:color="auto"/>
            </w:tcBorders>
            <w:shd w:val="clear" w:color="000000" w:fill="FFFFFF"/>
            <w:vAlign w:val="center"/>
            <w:hideMark/>
          </w:tcPr>
          <w:p w14:paraId="21818A06" w14:textId="77777777" w:rsidR="00CE4C34" w:rsidRPr="00CE7183" w:rsidRDefault="00CE4C34" w:rsidP="00B77C0B">
            <w:pPr>
              <w:spacing w:after="0" w:line="240" w:lineRule="auto"/>
              <w:ind w:firstLineChars="100" w:firstLine="241"/>
              <w:rPr>
                <w:rFonts w:ascii="Times New Roman" w:eastAsia="Times New Roman" w:hAnsi="Times New Roman" w:cs="Times New Roman"/>
                <w:b/>
                <w:bCs/>
                <w:color w:val="1A1C1E"/>
                <w:kern w:val="0"/>
                <w:szCs w:val="24"/>
                <w:lang w:eastAsia="en-IN"/>
                <w14:ligatures w14:val="none"/>
              </w:rPr>
            </w:pPr>
            <w:r w:rsidRPr="00CE7183">
              <w:rPr>
                <w:rFonts w:ascii="Times New Roman" w:eastAsia="Times New Roman" w:hAnsi="Times New Roman" w:cs="Times New Roman"/>
                <w:b/>
                <w:bCs/>
                <w:color w:val="1A1C1E"/>
                <w:kern w:val="0"/>
                <w:szCs w:val="24"/>
                <w:lang w:eastAsia="en-IN"/>
                <w14:ligatures w14:val="none"/>
              </w:rPr>
              <w:t>1967-68</w:t>
            </w:r>
          </w:p>
        </w:tc>
      </w:tr>
      <w:tr w:rsidR="00CE4C34" w:rsidRPr="00CE7183" w14:paraId="66D2B9C8" w14:textId="77777777" w:rsidTr="00B77C0B">
        <w:trPr>
          <w:trHeight w:val="313"/>
        </w:trPr>
        <w:tc>
          <w:tcPr>
            <w:tcW w:w="3071" w:type="dxa"/>
            <w:tcBorders>
              <w:top w:val="nil"/>
              <w:left w:val="single" w:sz="4" w:space="0" w:color="auto"/>
              <w:bottom w:val="single" w:sz="4" w:space="0" w:color="auto"/>
              <w:right w:val="single" w:sz="4" w:space="0" w:color="auto"/>
            </w:tcBorders>
            <w:shd w:val="clear" w:color="000000" w:fill="FFFFFF"/>
            <w:vAlign w:val="center"/>
            <w:hideMark/>
          </w:tcPr>
          <w:p w14:paraId="5ED0A642" w14:textId="77777777" w:rsidR="00CE4C34" w:rsidRPr="00CE7183" w:rsidRDefault="00CE4C34" w:rsidP="00B77C0B">
            <w:pPr>
              <w:spacing w:after="0" w:line="240" w:lineRule="auto"/>
              <w:jc w:val="center"/>
              <w:rPr>
                <w:rFonts w:ascii="Times New Roman" w:eastAsia="Times New Roman" w:hAnsi="Times New Roman" w:cs="Times New Roman"/>
                <w:b/>
                <w:bCs/>
                <w:color w:val="1A1C1E"/>
                <w:kern w:val="0"/>
                <w:szCs w:val="24"/>
                <w:lang w:eastAsia="en-IN"/>
                <w14:ligatures w14:val="none"/>
              </w:rPr>
            </w:pPr>
            <w:r w:rsidRPr="00CE7183">
              <w:rPr>
                <w:rFonts w:ascii="Times New Roman" w:eastAsia="Times New Roman" w:hAnsi="Times New Roman" w:cs="Times New Roman"/>
                <w:b/>
                <w:bCs/>
                <w:color w:val="1A1C1E"/>
                <w:kern w:val="0"/>
                <w:szCs w:val="24"/>
                <w:lang w:eastAsia="en-IN"/>
                <w14:ligatures w14:val="none"/>
              </w:rPr>
              <w:t>1</w:t>
            </w:r>
          </w:p>
        </w:tc>
        <w:tc>
          <w:tcPr>
            <w:tcW w:w="1844" w:type="dxa"/>
            <w:tcBorders>
              <w:top w:val="nil"/>
              <w:left w:val="nil"/>
              <w:bottom w:val="single" w:sz="4" w:space="0" w:color="auto"/>
              <w:right w:val="single" w:sz="4" w:space="0" w:color="auto"/>
            </w:tcBorders>
            <w:shd w:val="clear" w:color="000000" w:fill="FFFFFF"/>
            <w:vAlign w:val="center"/>
            <w:hideMark/>
          </w:tcPr>
          <w:p w14:paraId="05871470" w14:textId="77777777" w:rsidR="00CE4C34" w:rsidRPr="00CE7183" w:rsidRDefault="00CE4C34" w:rsidP="00B77C0B">
            <w:pPr>
              <w:spacing w:after="0" w:line="240" w:lineRule="auto"/>
              <w:jc w:val="center"/>
              <w:rPr>
                <w:rFonts w:ascii="Times New Roman" w:eastAsia="Times New Roman" w:hAnsi="Times New Roman" w:cs="Times New Roman"/>
                <w:b/>
                <w:bCs/>
                <w:color w:val="1A1C1E"/>
                <w:kern w:val="0"/>
                <w:szCs w:val="24"/>
                <w:lang w:eastAsia="en-IN"/>
                <w14:ligatures w14:val="none"/>
              </w:rPr>
            </w:pPr>
            <w:r w:rsidRPr="00CE7183">
              <w:rPr>
                <w:rFonts w:ascii="Times New Roman" w:eastAsia="Times New Roman" w:hAnsi="Times New Roman" w:cs="Times New Roman"/>
                <w:b/>
                <w:bCs/>
                <w:color w:val="1A1C1E"/>
                <w:kern w:val="0"/>
                <w:szCs w:val="24"/>
                <w:lang w:eastAsia="en-IN"/>
                <w14:ligatures w14:val="none"/>
              </w:rPr>
              <w:t>2</w:t>
            </w:r>
          </w:p>
        </w:tc>
        <w:tc>
          <w:tcPr>
            <w:tcW w:w="1846" w:type="dxa"/>
            <w:tcBorders>
              <w:top w:val="nil"/>
              <w:left w:val="nil"/>
              <w:bottom w:val="single" w:sz="4" w:space="0" w:color="auto"/>
              <w:right w:val="single" w:sz="4" w:space="0" w:color="auto"/>
            </w:tcBorders>
            <w:shd w:val="clear" w:color="000000" w:fill="FFFFFF"/>
            <w:vAlign w:val="center"/>
            <w:hideMark/>
          </w:tcPr>
          <w:p w14:paraId="2A27BF31" w14:textId="77777777" w:rsidR="00CE4C34" w:rsidRPr="00CE7183" w:rsidRDefault="00CE4C34" w:rsidP="00B77C0B">
            <w:pPr>
              <w:spacing w:after="0" w:line="240" w:lineRule="auto"/>
              <w:jc w:val="center"/>
              <w:rPr>
                <w:rFonts w:ascii="Times New Roman" w:eastAsia="Times New Roman" w:hAnsi="Times New Roman" w:cs="Times New Roman"/>
                <w:b/>
                <w:bCs/>
                <w:color w:val="1A1C1E"/>
                <w:kern w:val="0"/>
                <w:szCs w:val="24"/>
                <w:lang w:eastAsia="en-IN"/>
                <w14:ligatures w14:val="none"/>
              </w:rPr>
            </w:pPr>
            <w:r w:rsidRPr="00CE7183">
              <w:rPr>
                <w:rFonts w:ascii="Times New Roman" w:eastAsia="Times New Roman" w:hAnsi="Times New Roman" w:cs="Times New Roman"/>
                <w:b/>
                <w:bCs/>
                <w:color w:val="1A1C1E"/>
                <w:kern w:val="0"/>
                <w:szCs w:val="24"/>
                <w:lang w:eastAsia="en-IN"/>
                <w14:ligatures w14:val="none"/>
              </w:rPr>
              <w:t>3</w:t>
            </w:r>
          </w:p>
        </w:tc>
        <w:tc>
          <w:tcPr>
            <w:tcW w:w="1846" w:type="dxa"/>
            <w:tcBorders>
              <w:top w:val="nil"/>
              <w:left w:val="nil"/>
              <w:bottom w:val="single" w:sz="4" w:space="0" w:color="auto"/>
              <w:right w:val="single" w:sz="4" w:space="0" w:color="auto"/>
            </w:tcBorders>
            <w:shd w:val="clear" w:color="000000" w:fill="FFFFFF"/>
            <w:vAlign w:val="center"/>
            <w:hideMark/>
          </w:tcPr>
          <w:p w14:paraId="51DE7E9C" w14:textId="77777777" w:rsidR="00CE4C34" w:rsidRPr="00CE7183" w:rsidRDefault="00CE4C34" w:rsidP="00B77C0B">
            <w:pPr>
              <w:spacing w:after="0" w:line="240" w:lineRule="auto"/>
              <w:jc w:val="center"/>
              <w:rPr>
                <w:rFonts w:ascii="Times New Roman" w:eastAsia="Times New Roman" w:hAnsi="Times New Roman" w:cs="Times New Roman"/>
                <w:b/>
                <w:bCs/>
                <w:color w:val="1A1C1E"/>
                <w:kern w:val="0"/>
                <w:szCs w:val="24"/>
                <w:lang w:eastAsia="en-IN"/>
                <w14:ligatures w14:val="none"/>
              </w:rPr>
            </w:pPr>
            <w:r w:rsidRPr="00CE7183">
              <w:rPr>
                <w:rFonts w:ascii="Times New Roman" w:eastAsia="Times New Roman" w:hAnsi="Times New Roman" w:cs="Times New Roman"/>
                <w:b/>
                <w:bCs/>
                <w:color w:val="1A1C1E"/>
                <w:kern w:val="0"/>
                <w:szCs w:val="24"/>
                <w:lang w:eastAsia="en-IN"/>
                <w14:ligatures w14:val="none"/>
              </w:rPr>
              <w:t>4</w:t>
            </w:r>
          </w:p>
        </w:tc>
        <w:tc>
          <w:tcPr>
            <w:tcW w:w="1972" w:type="dxa"/>
            <w:tcBorders>
              <w:top w:val="nil"/>
              <w:left w:val="nil"/>
              <w:bottom w:val="single" w:sz="4" w:space="0" w:color="auto"/>
              <w:right w:val="single" w:sz="4" w:space="0" w:color="auto"/>
            </w:tcBorders>
            <w:shd w:val="clear" w:color="000000" w:fill="FFFFFF"/>
            <w:vAlign w:val="center"/>
            <w:hideMark/>
          </w:tcPr>
          <w:p w14:paraId="5FAC0F45" w14:textId="77777777" w:rsidR="00CE4C34" w:rsidRPr="00CE7183" w:rsidRDefault="00CE4C34" w:rsidP="00B77C0B">
            <w:pPr>
              <w:spacing w:after="0" w:line="240" w:lineRule="auto"/>
              <w:jc w:val="center"/>
              <w:rPr>
                <w:rFonts w:ascii="Times New Roman" w:eastAsia="Times New Roman" w:hAnsi="Times New Roman" w:cs="Times New Roman"/>
                <w:b/>
                <w:bCs/>
                <w:color w:val="1A1C1E"/>
                <w:kern w:val="0"/>
                <w:szCs w:val="24"/>
                <w:lang w:eastAsia="en-IN"/>
                <w14:ligatures w14:val="none"/>
              </w:rPr>
            </w:pPr>
            <w:r w:rsidRPr="00CE7183">
              <w:rPr>
                <w:rFonts w:ascii="Times New Roman" w:eastAsia="Times New Roman" w:hAnsi="Times New Roman" w:cs="Times New Roman"/>
                <w:b/>
                <w:bCs/>
                <w:color w:val="1A1C1E"/>
                <w:kern w:val="0"/>
                <w:szCs w:val="24"/>
                <w:lang w:eastAsia="en-IN"/>
                <w14:ligatures w14:val="none"/>
              </w:rPr>
              <w:t>5</w:t>
            </w:r>
          </w:p>
        </w:tc>
      </w:tr>
      <w:tr w:rsidR="00CE4C34" w:rsidRPr="00CE7183" w14:paraId="46C4B701" w14:textId="77777777" w:rsidTr="00B77C0B">
        <w:trPr>
          <w:trHeight w:val="596"/>
        </w:trPr>
        <w:tc>
          <w:tcPr>
            <w:tcW w:w="3071" w:type="dxa"/>
            <w:tcBorders>
              <w:top w:val="nil"/>
              <w:left w:val="single" w:sz="4" w:space="0" w:color="auto"/>
              <w:bottom w:val="single" w:sz="4" w:space="0" w:color="auto"/>
              <w:right w:val="single" w:sz="4" w:space="0" w:color="auto"/>
            </w:tcBorders>
            <w:shd w:val="clear" w:color="000000" w:fill="FFFFFF"/>
            <w:vAlign w:val="center"/>
            <w:hideMark/>
          </w:tcPr>
          <w:p w14:paraId="3D2E2731" w14:textId="77777777" w:rsidR="00CE4C34" w:rsidRPr="00CE7183" w:rsidRDefault="00CE4C34" w:rsidP="00B77C0B">
            <w:pPr>
              <w:spacing w:after="0" w:line="240" w:lineRule="auto"/>
              <w:ind w:firstLineChars="100" w:firstLine="240"/>
              <w:rPr>
                <w:rFonts w:ascii="Times New Roman" w:eastAsia="Times New Roman" w:hAnsi="Times New Roman" w:cs="Times New Roman"/>
                <w:color w:val="1A1C1E"/>
                <w:kern w:val="0"/>
                <w:szCs w:val="24"/>
                <w:lang w:eastAsia="en-IN"/>
                <w14:ligatures w14:val="none"/>
              </w:rPr>
            </w:pPr>
            <w:r w:rsidRPr="00CE7183">
              <w:rPr>
                <w:rFonts w:ascii="Times New Roman" w:eastAsia="Times New Roman" w:hAnsi="Times New Roman" w:cs="Times New Roman"/>
                <w:color w:val="1A1C1E"/>
                <w:kern w:val="0"/>
                <w:szCs w:val="24"/>
                <w:lang w:eastAsia="en-IN"/>
                <w14:ligatures w14:val="none"/>
              </w:rPr>
              <w:t>Andhra Pradesh</w:t>
            </w:r>
          </w:p>
        </w:tc>
        <w:tc>
          <w:tcPr>
            <w:tcW w:w="1844" w:type="dxa"/>
            <w:tcBorders>
              <w:top w:val="nil"/>
              <w:left w:val="nil"/>
              <w:bottom w:val="single" w:sz="4" w:space="0" w:color="auto"/>
              <w:right w:val="single" w:sz="4" w:space="0" w:color="auto"/>
            </w:tcBorders>
            <w:shd w:val="clear" w:color="000000" w:fill="FFFFFF"/>
            <w:vAlign w:val="center"/>
            <w:hideMark/>
          </w:tcPr>
          <w:p w14:paraId="2EA24E1B" w14:textId="77777777" w:rsidR="00CE4C34" w:rsidRPr="00CE7183" w:rsidRDefault="00CE4C34" w:rsidP="00B77C0B">
            <w:pPr>
              <w:spacing w:after="0" w:line="240" w:lineRule="auto"/>
              <w:ind w:firstLineChars="100" w:firstLine="240"/>
              <w:rPr>
                <w:rFonts w:ascii="Times New Roman" w:eastAsia="Times New Roman" w:hAnsi="Times New Roman" w:cs="Times New Roman"/>
                <w:color w:val="1A1C1E"/>
                <w:kern w:val="0"/>
                <w:szCs w:val="24"/>
                <w:lang w:eastAsia="en-IN"/>
                <w14:ligatures w14:val="none"/>
              </w:rPr>
            </w:pPr>
            <w:r w:rsidRPr="00CE7183">
              <w:rPr>
                <w:rFonts w:ascii="Times New Roman" w:eastAsia="Times New Roman" w:hAnsi="Times New Roman" w:cs="Times New Roman"/>
                <w:color w:val="1A1C1E"/>
                <w:kern w:val="0"/>
                <w:szCs w:val="24"/>
                <w:lang w:eastAsia="en-IN"/>
                <w14:ligatures w14:val="none"/>
              </w:rPr>
              <w:t>13.82</w:t>
            </w:r>
          </w:p>
        </w:tc>
        <w:tc>
          <w:tcPr>
            <w:tcW w:w="1846" w:type="dxa"/>
            <w:tcBorders>
              <w:top w:val="nil"/>
              <w:left w:val="nil"/>
              <w:bottom w:val="single" w:sz="4" w:space="0" w:color="auto"/>
              <w:right w:val="single" w:sz="4" w:space="0" w:color="auto"/>
            </w:tcBorders>
            <w:shd w:val="clear" w:color="000000" w:fill="FFFFFF"/>
            <w:vAlign w:val="center"/>
            <w:hideMark/>
          </w:tcPr>
          <w:p w14:paraId="239B2A57" w14:textId="77777777" w:rsidR="00CE4C34" w:rsidRPr="00CE7183" w:rsidRDefault="00CE4C34" w:rsidP="00B77C0B">
            <w:pPr>
              <w:spacing w:after="0" w:line="240" w:lineRule="auto"/>
              <w:ind w:firstLineChars="100" w:firstLine="240"/>
              <w:rPr>
                <w:rFonts w:ascii="Times New Roman" w:eastAsia="Times New Roman" w:hAnsi="Times New Roman" w:cs="Times New Roman"/>
                <w:color w:val="1A1C1E"/>
                <w:kern w:val="0"/>
                <w:szCs w:val="24"/>
                <w:lang w:eastAsia="en-IN"/>
                <w14:ligatures w14:val="none"/>
              </w:rPr>
            </w:pPr>
            <w:r w:rsidRPr="00CE7183">
              <w:rPr>
                <w:rFonts w:ascii="Times New Roman" w:eastAsia="Times New Roman" w:hAnsi="Times New Roman" w:cs="Times New Roman"/>
                <w:color w:val="1A1C1E"/>
                <w:kern w:val="0"/>
                <w:szCs w:val="24"/>
                <w:lang w:eastAsia="en-IN"/>
                <w14:ligatures w14:val="none"/>
              </w:rPr>
              <w:t>13.49</w:t>
            </w:r>
          </w:p>
        </w:tc>
        <w:tc>
          <w:tcPr>
            <w:tcW w:w="1846" w:type="dxa"/>
            <w:tcBorders>
              <w:top w:val="nil"/>
              <w:left w:val="nil"/>
              <w:bottom w:val="single" w:sz="4" w:space="0" w:color="auto"/>
              <w:right w:val="single" w:sz="4" w:space="0" w:color="auto"/>
            </w:tcBorders>
            <w:shd w:val="clear" w:color="000000" w:fill="FFFFFF"/>
            <w:vAlign w:val="center"/>
            <w:hideMark/>
          </w:tcPr>
          <w:p w14:paraId="12B41EDB" w14:textId="77777777" w:rsidR="00CE4C34" w:rsidRPr="00CE7183" w:rsidRDefault="00CE4C34" w:rsidP="00B77C0B">
            <w:pPr>
              <w:spacing w:after="0" w:line="240" w:lineRule="auto"/>
              <w:ind w:firstLineChars="100" w:firstLine="240"/>
              <w:rPr>
                <w:rFonts w:ascii="Times New Roman" w:eastAsia="Times New Roman" w:hAnsi="Times New Roman" w:cs="Times New Roman"/>
                <w:color w:val="1A1C1E"/>
                <w:kern w:val="0"/>
                <w:szCs w:val="24"/>
                <w:lang w:eastAsia="en-IN"/>
                <w14:ligatures w14:val="none"/>
              </w:rPr>
            </w:pPr>
            <w:r w:rsidRPr="00CE7183">
              <w:rPr>
                <w:rFonts w:ascii="Times New Roman" w:eastAsia="Times New Roman" w:hAnsi="Times New Roman" w:cs="Times New Roman"/>
                <w:color w:val="1A1C1E"/>
                <w:kern w:val="0"/>
                <w:szCs w:val="24"/>
                <w:lang w:eastAsia="en-IN"/>
                <w14:ligatures w14:val="none"/>
              </w:rPr>
              <w:t>11.17</w:t>
            </w:r>
          </w:p>
        </w:tc>
        <w:tc>
          <w:tcPr>
            <w:tcW w:w="1972" w:type="dxa"/>
            <w:tcBorders>
              <w:top w:val="nil"/>
              <w:left w:val="nil"/>
              <w:bottom w:val="single" w:sz="4" w:space="0" w:color="auto"/>
              <w:right w:val="single" w:sz="4" w:space="0" w:color="auto"/>
            </w:tcBorders>
            <w:shd w:val="clear" w:color="000000" w:fill="FFFFFF"/>
            <w:vAlign w:val="center"/>
            <w:hideMark/>
          </w:tcPr>
          <w:p w14:paraId="23106378" w14:textId="31C366F2" w:rsidR="00CE4C34" w:rsidRPr="00CE7183" w:rsidRDefault="00CE4C34" w:rsidP="00B77C0B">
            <w:pPr>
              <w:spacing w:after="0" w:line="240" w:lineRule="auto"/>
              <w:ind w:firstLineChars="100" w:firstLine="240"/>
              <w:rPr>
                <w:rFonts w:ascii="Times New Roman" w:eastAsia="Times New Roman" w:hAnsi="Times New Roman" w:cs="Times New Roman"/>
                <w:color w:val="1A1C1E"/>
                <w:kern w:val="0"/>
                <w:szCs w:val="24"/>
                <w:lang w:eastAsia="en-IN"/>
                <w14:ligatures w14:val="none"/>
              </w:rPr>
            </w:pPr>
            <w:r w:rsidRPr="00CE7183">
              <w:rPr>
                <w:rFonts w:ascii="Times New Roman" w:eastAsia="Times New Roman" w:hAnsi="Times New Roman" w:cs="Times New Roman"/>
                <w:color w:val="1A1C1E"/>
                <w:kern w:val="0"/>
                <w:szCs w:val="24"/>
                <w:lang w:eastAsia="en-IN"/>
                <w14:ligatures w14:val="none"/>
              </w:rPr>
              <w:t>10.2</w:t>
            </w:r>
            <w:r w:rsidR="00B34D24">
              <w:rPr>
                <w:rFonts w:ascii="Times New Roman" w:eastAsia="Times New Roman" w:hAnsi="Times New Roman" w:cs="Times New Roman"/>
                <w:color w:val="1A1C1E"/>
                <w:kern w:val="0"/>
                <w:szCs w:val="24"/>
                <w:lang w:eastAsia="en-IN"/>
                <w14:ligatures w14:val="none"/>
              </w:rPr>
              <w:t>0</w:t>
            </w:r>
          </w:p>
        </w:tc>
      </w:tr>
      <w:tr w:rsidR="00CE4C34" w:rsidRPr="00CE7183" w14:paraId="23A462C9" w14:textId="77777777" w:rsidTr="00B77C0B">
        <w:trPr>
          <w:trHeight w:val="313"/>
        </w:trPr>
        <w:tc>
          <w:tcPr>
            <w:tcW w:w="3071" w:type="dxa"/>
            <w:tcBorders>
              <w:top w:val="nil"/>
              <w:left w:val="single" w:sz="4" w:space="0" w:color="auto"/>
              <w:bottom w:val="single" w:sz="4" w:space="0" w:color="auto"/>
              <w:right w:val="single" w:sz="4" w:space="0" w:color="auto"/>
            </w:tcBorders>
            <w:shd w:val="clear" w:color="000000" w:fill="FFFFFF"/>
            <w:vAlign w:val="center"/>
            <w:hideMark/>
          </w:tcPr>
          <w:p w14:paraId="03AD74FD" w14:textId="77777777" w:rsidR="00CE4C34" w:rsidRPr="00CE7183" w:rsidRDefault="00CE4C34" w:rsidP="00B77C0B">
            <w:pPr>
              <w:spacing w:after="0" w:line="240" w:lineRule="auto"/>
              <w:ind w:firstLineChars="100" w:firstLine="240"/>
              <w:rPr>
                <w:rFonts w:ascii="Times New Roman" w:eastAsia="Times New Roman" w:hAnsi="Times New Roman" w:cs="Times New Roman"/>
                <w:color w:val="1A1C1E"/>
                <w:kern w:val="0"/>
                <w:szCs w:val="24"/>
                <w:lang w:eastAsia="en-IN"/>
                <w14:ligatures w14:val="none"/>
              </w:rPr>
            </w:pPr>
            <w:r w:rsidRPr="00CE7183">
              <w:rPr>
                <w:rFonts w:ascii="Times New Roman" w:eastAsia="Times New Roman" w:hAnsi="Times New Roman" w:cs="Times New Roman"/>
                <w:color w:val="1A1C1E"/>
                <w:kern w:val="0"/>
                <w:szCs w:val="24"/>
                <w:lang w:eastAsia="en-IN"/>
                <w14:ligatures w14:val="none"/>
              </w:rPr>
              <w:t>Assam</w:t>
            </w:r>
          </w:p>
        </w:tc>
        <w:tc>
          <w:tcPr>
            <w:tcW w:w="1844" w:type="dxa"/>
            <w:tcBorders>
              <w:top w:val="nil"/>
              <w:left w:val="nil"/>
              <w:bottom w:val="single" w:sz="4" w:space="0" w:color="auto"/>
              <w:right w:val="single" w:sz="4" w:space="0" w:color="auto"/>
            </w:tcBorders>
            <w:shd w:val="clear" w:color="000000" w:fill="FFFFFF"/>
            <w:vAlign w:val="center"/>
            <w:hideMark/>
          </w:tcPr>
          <w:p w14:paraId="306DB64C" w14:textId="77777777" w:rsidR="00CE4C34" w:rsidRPr="00CE7183" w:rsidRDefault="00CE4C34" w:rsidP="00B77C0B">
            <w:pPr>
              <w:spacing w:after="0" w:line="240" w:lineRule="auto"/>
              <w:ind w:firstLineChars="100" w:firstLine="240"/>
              <w:rPr>
                <w:rFonts w:ascii="Times New Roman" w:eastAsia="Times New Roman" w:hAnsi="Times New Roman" w:cs="Times New Roman"/>
                <w:color w:val="1A1C1E"/>
                <w:kern w:val="0"/>
                <w:szCs w:val="24"/>
                <w:lang w:eastAsia="en-IN"/>
                <w14:ligatures w14:val="none"/>
              </w:rPr>
            </w:pPr>
            <w:r w:rsidRPr="00CE7183">
              <w:rPr>
                <w:rFonts w:ascii="Times New Roman" w:eastAsia="Times New Roman" w:hAnsi="Times New Roman" w:cs="Times New Roman"/>
                <w:color w:val="1A1C1E"/>
                <w:kern w:val="0"/>
                <w:szCs w:val="24"/>
                <w:lang w:eastAsia="en-IN"/>
                <w14:ligatures w14:val="none"/>
              </w:rPr>
              <w:t>9.35</w:t>
            </w:r>
          </w:p>
        </w:tc>
        <w:tc>
          <w:tcPr>
            <w:tcW w:w="1846" w:type="dxa"/>
            <w:tcBorders>
              <w:top w:val="nil"/>
              <w:left w:val="nil"/>
              <w:bottom w:val="single" w:sz="4" w:space="0" w:color="auto"/>
              <w:right w:val="single" w:sz="4" w:space="0" w:color="auto"/>
            </w:tcBorders>
            <w:shd w:val="clear" w:color="000000" w:fill="FFFFFF"/>
            <w:vAlign w:val="center"/>
            <w:hideMark/>
          </w:tcPr>
          <w:p w14:paraId="7BF757C6" w14:textId="77777777" w:rsidR="00CE4C34" w:rsidRPr="00CE7183" w:rsidRDefault="00CE4C34" w:rsidP="00B77C0B">
            <w:pPr>
              <w:spacing w:after="0" w:line="240" w:lineRule="auto"/>
              <w:ind w:firstLineChars="100" w:firstLine="240"/>
              <w:rPr>
                <w:rFonts w:ascii="Times New Roman" w:eastAsia="Times New Roman" w:hAnsi="Times New Roman" w:cs="Times New Roman"/>
                <w:color w:val="1A1C1E"/>
                <w:kern w:val="0"/>
                <w:szCs w:val="24"/>
                <w:lang w:eastAsia="en-IN"/>
                <w14:ligatures w14:val="none"/>
              </w:rPr>
            </w:pPr>
            <w:r w:rsidRPr="00CE7183">
              <w:rPr>
                <w:rFonts w:ascii="Times New Roman" w:eastAsia="Times New Roman" w:hAnsi="Times New Roman" w:cs="Times New Roman"/>
                <w:color w:val="1A1C1E"/>
                <w:kern w:val="0"/>
                <w:szCs w:val="24"/>
                <w:lang w:eastAsia="en-IN"/>
                <w14:ligatures w14:val="none"/>
              </w:rPr>
              <w:t>10.15</w:t>
            </w:r>
          </w:p>
        </w:tc>
        <w:tc>
          <w:tcPr>
            <w:tcW w:w="1846" w:type="dxa"/>
            <w:tcBorders>
              <w:top w:val="nil"/>
              <w:left w:val="nil"/>
              <w:bottom w:val="single" w:sz="4" w:space="0" w:color="auto"/>
              <w:right w:val="single" w:sz="4" w:space="0" w:color="auto"/>
            </w:tcBorders>
            <w:shd w:val="clear" w:color="000000" w:fill="FFFFFF"/>
            <w:vAlign w:val="center"/>
            <w:hideMark/>
          </w:tcPr>
          <w:p w14:paraId="5AEF42C9" w14:textId="77777777" w:rsidR="00CE4C34" w:rsidRPr="00CE7183" w:rsidRDefault="00CE4C34" w:rsidP="00B77C0B">
            <w:pPr>
              <w:spacing w:after="0" w:line="240" w:lineRule="auto"/>
              <w:ind w:firstLineChars="100" w:firstLine="240"/>
              <w:rPr>
                <w:rFonts w:ascii="Times New Roman" w:eastAsia="Times New Roman" w:hAnsi="Times New Roman" w:cs="Times New Roman"/>
                <w:color w:val="1A1C1E"/>
                <w:kern w:val="0"/>
                <w:szCs w:val="24"/>
                <w:lang w:eastAsia="en-IN"/>
                <w14:ligatures w14:val="none"/>
              </w:rPr>
            </w:pPr>
            <w:r w:rsidRPr="00CE7183">
              <w:rPr>
                <w:rFonts w:ascii="Times New Roman" w:eastAsia="Times New Roman" w:hAnsi="Times New Roman" w:cs="Times New Roman"/>
                <w:color w:val="1A1C1E"/>
                <w:kern w:val="0"/>
                <w:szCs w:val="24"/>
                <w:lang w:eastAsia="en-IN"/>
                <w14:ligatures w14:val="none"/>
              </w:rPr>
              <w:t>13.15</w:t>
            </w:r>
          </w:p>
        </w:tc>
        <w:tc>
          <w:tcPr>
            <w:tcW w:w="1972" w:type="dxa"/>
            <w:tcBorders>
              <w:top w:val="nil"/>
              <w:left w:val="nil"/>
              <w:bottom w:val="single" w:sz="4" w:space="0" w:color="auto"/>
              <w:right w:val="single" w:sz="4" w:space="0" w:color="auto"/>
            </w:tcBorders>
            <w:shd w:val="clear" w:color="000000" w:fill="FFFFFF"/>
            <w:vAlign w:val="center"/>
            <w:hideMark/>
          </w:tcPr>
          <w:p w14:paraId="27E1FC9A" w14:textId="77777777" w:rsidR="00CE4C34" w:rsidRPr="00CE7183" w:rsidRDefault="00CE4C34" w:rsidP="00B77C0B">
            <w:pPr>
              <w:spacing w:after="0" w:line="240" w:lineRule="auto"/>
              <w:ind w:firstLineChars="100" w:firstLine="240"/>
              <w:rPr>
                <w:rFonts w:ascii="Times New Roman" w:eastAsia="Times New Roman" w:hAnsi="Times New Roman" w:cs="Times New Roman"/>
                <w:color w:val="1A1C1E"/>
                <w:kern w:val="0"/>
                <w:szCs w:val="24"/>
                <w:lang w:eastAsia="en-IN"/>
                <w14:ligatures w14:val="none"/>
              </w:rPr>
            </w:pPr>
            <w:r w:rsidRPr="00CE7183">
              <w:rPr>
                <w:rFonts w:ascii="Times New Roman" w:eastAsia="Times New Roman" w:hAnsi="Times New Roman" w:cs="Times New Roman"/>
                <w:color w:val="1A1C1E"/>
                <w:kern w:val="0"/>
                <w:szCs w:val="24"/>
                <w:lang w:eastAsia="en-IN"/>
                <w14:ligatures w14:val="none"/>
              </w:rPr>
              <w:t>N.A.</w:t>
            </w:r>
          </w:p>
        </w:tc>
      </w:tr>
      <w:tr w:rsidR="00CE4C34" w:rsidRPr="00CE7183" w14:paraId="27F96DDD" w14:textId="77777777" w:rsidTr="00B77C0B">
        <w:trPr>
          <w:trHeight w:val="313"/>
        </w:trPr>
        <w:tc>
          <w:tcPr>
            <w:tcW w:w="3071" w:type="dxa"/>
            <w:tcBorders>
              <w:top w:val="nil"/>
              <w:left w:val="single" w:sz="4" w:space="0" w:color="auto"/>
              <w:bottom w:val="single" w:sz="4" w:space="0" w:color="auto"/>
              <w:right w:val="single" w:sz="4" w:space="0" w:color="auto"/>
            </w:tcBorders>
            <w:shd w:val="clear" w:color="000000" w:fill="FFFFFF"/>
            <w:vAlign w:val="center"/>
            <w:hideMark/>
          </w:tcPr>
          <w:p w14:paraId="746E6D64" w14:textId="77777777" w:rsidR="00CE4C34" w:rsidRPr="00CE7183" w:rsidRDefault="00CE4C34" w:rsidP="00B77C0B">
            <w:pPr>
              <w:spacing w:after="0" w:line="240" w:lineRule="auto"/>
              <w:ind w:firstLineChars="100" w:firstLine="240"/>
              <w:rPr>
                <w:rFonts w:ascii="Times New Roman" w:eastAsia="Times New Roman" w:hAnsi="Times New Roman" w:cs="Times New Roman"/>
                <w:color w:val="1A1C1E"/>
                <w:kern w:val="0"/>
                <w:szCs w:val="24"/>
                <w:lang w:eastAsia="en-IN"/>
                <w14:ligatures w14:val="none"/>
              </w:rPr>
            </w:pPr>
            <w:r w:rsidRPr="00CE7183">
              <w:rPr>
                <w:rFonts w:ascii="Times New Roman" w:eastAsia="Times New Roman" w:hAnsi="Times New Roman" w:cs="Times New Roman"/>
                <w:color w:val="1A1C1E"/>
                <w:kern w:val="0"/>
                <w:szCs w:val="24"/>
                <w:lang w:eastAsia="en-IN"/>
                <w14:ligatures w14:val="none"/>
              </w:rPr>
              <w:t>Bihar</w:t>
            </w:r>
          </w:p>
        </w:tc>
        <w:tc>
          <w:tcPr>
            <w:tcW w:w="1844" w:type="dxa"/>
            <w:tcBorders>
              <w:top w:val="nil"/>
              <w:left w:val="nil"/>
              <w:bottom w:val="single" w:sz="4" w:space="0" w:color="auto"/>
              <w:right w:val="single" w:sz="4" w:space="0" w:color="auto"/>
            </w:tcBorders>
            <w:shd w:val="clear" w:color="000000" w:fill="FFFFFF"/>
            <w:vAlign w:val="center"/>
            <w:hideMark/>
          </w:tcPr>
          <w:p w14:paraId="4B679442" w14:textId="77777777" w:rsidR="00CE4C34" w:rsidRPr="00CE7183" w:rsidRDefault="00CE4C34" w:rsidP="00B77C0B">
            <w:pPr>
              <w:spacing w:after="0" w:line="240" w:lineRule="auto"/>
              <w:ind w:firstLineChars="100" w:firstLine="240"/>
              <w:rPr>
                <w:rFonts w:ascii="Times New Roman" w:eastAsia="Times New Roman" w:hAnsi="Times New Roman" w:cs="Times New Roman"/>
                <w:color w:val="1A1C1E"/>
                <w:kern w:val="0"/>
                <w:szCs w:val="24"/>
                <w:lang w:eastAsia="en-IN"/>
                <w14:ligatures w14:val="none"/>
              </w:rPr>
            </w:pPr>
            <w:r w:rsidRPr="00CE7183">
              <w:rPr>
                <w:rFonts w:ascii="Times New Roman" w:eastAsia="Times New Roman" w:hAnsi="Times New Roman" w:cs="Times New Roman"/>
                <w:color w:val="1A1C1E"/>
                <w:kern w:val="0"/>
                <w:szCs w:val="24"/>
                <w:lang w:eastAsia="en-IN"/>
                <w14:ligatures w14:val="none"/>
              </w:rPr>
              <w:t>23.22</w:t>
            </w:r>
          </w:p>
        </w:tc>
        <w:tc>
          <w:tcPr>
            <w:tcW w:w="1846" w:type="dxa"/>
            <w:tcBorders>
              <w:top w:val="nil"/>
              <w:left w:val="nil"/>
              <w:bottom w:val="single" w:sz="4" w:space="0" w:color="auto"/>
              <w:right w:val="single" w:sz="4" w:space="0" w:color="auto"/>
            </w:tcBorders>
            <w:shd w:val="clear" w:color="000000" w:fill="FFFFFF"/>
            <w:vAlign w:val="center"/>
            <w:hideMark/>
          </w:tcPr>
          <w:p w14:paraId="5FAF766D" w14:textId="77777777" w:rsidR="00CE4C34" w:rsidRPr="00CE7183" w:rsidRDefault="00CE4C34" w:rsidP="00B77C0B">
            <w:pPr>
              <w:spacing w:after="0" w:line="240" w:lineRule="auto"/>
              <w:ind w:firstLineChars="100" w:firstLine="240"/>
              <w:rPr>
                <w:rFonts w:ascii="Times New Roman" w:eastAsia="Times New Roman" w:hAnsi="Times New Roman" w:cs="Times New Roman"/>
                <w:color w:val="1A1C1E"/>
                <w:kern w:val="0"/>
                <w:szCs w:val="24"/>
                <w:lang w:eastAsia="en-IN"/>
                <w14:ligatures w14:val="none"/>
              </w:rPr>
            </w:pPr>
            <w:r w:rsidRPr="00CE7183">
              <w:rPr>
                <w:rFonts w:ascii="Times New Roman" w:eastAsia="Times New Roman" w:hAnsi="Times New Roman" w:cs="Times New Roman"/>
                <w:color w:val="1A1C1E"/>
                <w:kern w:val="0"/>
                <w:szCs w:val="24"/>
                <w:lang w:eastAsia="en-IN"/>
                <w14:ligatures w14:val="none"/>
              </w:rPr>
              <w:t>22.98</w:t>
            </w:r>
          </w:p>
        </w:tc>
        <w:tc>
          <w:tcPr>
            <w:tcW w:w="1846" w:type="dxa"/>
            <w:tcBorders>
              <w:top w:val="nil"/>
              <w:left w:val="nil"/>
              <w:bottom w:val="single" w:sz="4" w:space="0" w:color="auto"/>
              <w:right w:val="single" w:sz="4" w:space="0" w:color="auto"/>
            </w:tcBorders>
            <w:shd w:val="clear" w:color="000000" w:fill="FFFFFF"/>
            <w:vAlign w:val="center"/>
            <w:hideMark/>
          </w:tcPr>
          <w:p w14:paraId="695F1441" w14:textId="7431006C" w:rsidR="00CE4C34" w:rsidRPr="00CE7183" w:rsidRDefault="00CE4C34" w:rsidP="00B77C0B">
            <w:pPr>
              <w:spacing w:after="0" w:line="240" w:lineRule="auto"/>
              <w:ind w:firstLineChars="100" w:firstLine="240"/>
              <w:rPr>
                <w:rFonts w:ascii="Times New Roman" w:eastAsia="Times New Roman" w:hAnsi="Times New Roman" w:cs="Times New Roman"/>
                <w:color w:val="1A1C1E"/>
                <w:kern w:val="0"/>
                <w:szCs w:val="24"/>
                <w:lang w:eastAsia="en-IN"/>
                <w14:ligatures w14:val="none"/>
              </w:rPr>
            </w:pPr>
            <w:r w:rsidRPr="00CE7183">
              <w:rPr>
                <w:rFonts w:ascii="Times New Roman" w:eastAsia="Times New Roman" w:hAnsi="Times New Roman" w:cs="Times New Roman"/>
                <w:color w:val="1A1C1E"/>
                <w:kern w:val="0"/>
                <w:szCs w:val="24"/>
                <w:lang w:eastAsia="en-IN"/>
                <w14:ligatures w14:val="none"/>
              </w:rPr>
              <w:t>24</w:t>
            </w:r>
            <w:r w:rsidR="00B34D24">
              <w:rPr>
                <w:rFonts w:ascii="Times New Roman" w:eastAsia="Times New Roman" w:hAnsi="Times New Roman" w:cs="Times New Roman"/>
                <w:color w:val="1A1C1E"/>
                <w:kern w:val="0"/>
                <w:szCs w:val="24"/>
                <w:lang w:eastAsia="en-IN"/>
                <w14:ligatures w14:val="none"/>
              </w:rPr>
              <w:t>.00</w:t>
            </w:r>
          </w:p>
        </w:tc>
        <w:tc>
          <w:tcPr>
            <w:tcW w:w="1972" w:type="dxa"/>
            <w:tcBorders>
              <w:top w:val="nil"/>
              <w:left w:val="nil"/>
              <w:bottom w:val="single" w:sz="4" w:space="0" w:color="auto"/>
              <w:right w:val="single" w:sz="4" w:space="0" w:color="auto"/>
            </w:tcBorders>
            <w:shd w:val="clear" w:color="000000" w:fill="FFFFFF"/>
            <w:vAlign w:val="center"/>
            <w:hideMark/>
          </w:tcPr>
          <w:p w14:paraId="7F98E796" w14:textId="77777777" w:rsidR="00CE4C34" w:rsidRPr="00CE7183" w:rsidRDefault="00CE4C34" w:rsidP="00B77C0B">
            <w:pPr>
              <w:spacing w:after="0" w:line="240" w:lineRule="auto"/>
              <w:ind w:firstLineChars="100" w:firstLine="240"/>
              <w:rPr>
                <w:rFonts w:ascii="Times New Roman" w:eastAsia="Times New Roman" w:hAnsi="Times New Roman" w:cs="Times New Roman"/>
                <w:color w:val="1A1C1E"/>
                <w:kern w:val="0"/>
                <w:szCs w:val="24"/>
                <w:lang w:eastAsia="en-IN"/>
                <w14:ligatures w14:val="none"/>
              </w:rPr>
            </w:pPr>
            <w:r w:rsidRPr="00CE7183">
              <w:rPr>
                <w:rFonts w:ascii="Times New Roman" w:eastAsia="Times New Roman" w:hAnsi="Times New Roman" w:cs="Times New Roman"/>
                <w:color w:val="1A1C1E"/>
                <w:kern w:val="0"/>
                <w:szCs w:val="24"/>
                <w:lang w:eastAsia="en-IN"/>
                <w14:ligatures w14:val="none"/>
              </w:rPr>
              <w:t>21.64</w:t>
            </w:r>
          </w:p>
        </w:tc>
      </w:tr>
      <w:tr w:rsidR="00CE4C34" w:rsidRPr="00CE7183" w14:paraId="4B1E6777" w14:textId="77777777" w:rsidTr="00B77C0B">
        <w:trPr>
          <w:trHeight w:val="313"/>
        </w:trPr>
        <w:tc>
          <w:tcPr>
            <w:tcW w:w="3071" w:type="dxa"/>
            <w:tcBorders>
              <w:top w:val="nil"/>
              <w:left w:val="single" w:sz="4" w:space="0" w:color="auto"/>
              <w:bottom w:val="single" w:sz="4" w:space="0" w:color="auto"/>
              <w:right w:val="single" w:sz="4" w:space="0" w:color="auto"/>
            </w:tcBorders>
            <w:shd w:val="clear" w:color="000000" w:fill="FFFFFF"/>
            <w:vAlign w:val="center"/>
            <w:hideMark/>
          </w:tcPr>
          <w:p w14:paraId="26F8813E" w14:textId="77777777" w:rsidR="00CE4C34" w:rsidRPr="00CE7183" w:rsidRDefault="00CE4C34" w:rsidP="00B77C0B">
            <w:pPr>
              <w:spacing w:after="0" w:line="240" w:lineRule="auto"/>
              <w:ind w:firstLineChars="100" w:firstLine="240"/>
              <w:rPr>
                <w:rFonts w:ascii="Times New Roman" w:eastAsia="Times New Roman" w:hAnsi="Times New Roman" w:cs="Times New Roman"/>
                <w:color w:val="1A1C1E"/>
                <w:kern w:val="0"/>
                <w:szCs w:val="24"/>
                <w:lang w:eastAsia="en-IN"/>
                <w14:ligatures w14:val="none"/>
              </w:rPr>
            </w:pPr>
            <w:r w:rsidRPr="00CE7183">
              <w:rPr>
                <w:rFonts w:ascii="Times New Roman" w:eastAsia="Times New Roman" w:hAnsi="Times New Roman" w:cs="Times New Roman"/>
                <w:color w:val="1A1C1E"/>
                <w:kern w:val="0"/>
                <w:szCs w:val="24"/>
                <w:lang w:eastAsia="en-IN"/>
                <w14:ligatures w14:val="none"/>
              </w:rPr>
              <w:t>Gujarat</w:t>
            </w:r>
          </w:p>
        </w:tc>
        <w:tc>
          <w:tcPr>
            <w:tcW w:w="1844" w:type="dxa"/>
            <w:tcBorders>
              <w:top w:val="nil"/>
              <w:left w:val="nil"/>
              <w:bottom w:val="single" w:sz="4" w:space="0" w:color="auto"/>
              <w:right w:val="single" w:sz="4" w:space="0" w:color="auto"/>
            </w:tcBorders>
            <w:shd w:val="clear" w:color="000000" w:fill="FFFFFF"/>
            <w:vAlign w:val="center"/>
            <w:hideMark/>
          </w:tcPr>
          <w:p w14:paraId="2682E5B7" w14:textId="77777777" w:rsidR="00CE4C34" w:rsidRPr="00CE7183" w:rsidRDefault="00CE4C34" w:rsidP="00B77C0B">
            <w:pPr>
              <w:spacing w:after="0" w:line="240" w:lineRule="auto"/>
              <w:ind w:firstLineChars="100" w:firstLine="240"/>
              <w:rPr>
                <w:rFonts w:ascii="Times New Roman" w:eastAsia="Times New Roman" w:hAnsi="Times New Roman" w:cs="Times New Roman"/>
                <w:color w:val="1A1C1E"/>
                <w:kern w:val="0"/>
                <w:szCs w:val="24"/>
                <w:lang w:eastAsia="en-IN"/>
                <w14:ligatures w14:val="none"/>
              </w:rPr>
            </w:pPr>
            <w:r w:rsidRPr="00CE7183">
              <w:rPr>
                <w:rFonts w:ascii="Times New Roman" w:eastAsia="Times New Roman" w:hAnsi="Times New Roman" w:cs="Times New Roman"/>
                <w:color w:val="1A1C1E"/>
                <w:kern w:val="0"/>
                <w:szCs w:val="24"/>
                <w:lang w:eastAsia="en-IN"/>
                <w14:ligatures w14:val="none"/>
              </w:rPr>
              <w:t>6.09</w:t>
            </w:r>
          </w:p>
        </w:tc>
        <w:tc>
          <w:tcPr>
            <w:tcW w:w="1846" w:type="dxa"/>
            <w:tcBorders>
              <w:top w:val="nil"/>
              <w:left w:val="nil"/>
              <w:bottom w:val="single" w:sz="4" w:space="0" w:color="auto"/>
              <w:right w:val="single" w:sz="4" w:space="0" w:color="auto"/>
            </w:tcBorders>
            <w:shd w:val="clear" w:color="000000" w:fill="FFFFFF"/>
            <w:vAlign w:val="center"/>
            <w:hideMark/>
          </w:tcPr>
          <w:p w14:paraId="06B36E2F" w14:textId="77777777" w:rsidR="00CE4C34" w:rsidRPr="00CE7183" w:rsidRDefault="00CE4C34" w:rsidP="00B77C0B">
            <w:pPr>
              <w:spacing w:after="0" w:line="240" w:lineRule="auto"/>
              <w:ind w:firstLineChars="100" w:firstLine="240"/>
              <w:rPr>
                <w:rFonts w:ascii="Times New Roman" w:eastAsia="Times New Roman" w:hAnsi="Times New Roman" w:cs="Times New Roman"/>
                <w:color w:val="1A1C1E"/>
                <w:kern w:val="0"/>
                <w:szCs w:val="24"/>
                <w:lang w:eastAsia="en-IN"/>
                <w14:ligatures w14:val="none"/>
              </w:rPr>
            </w:pPr>
            <w:r w:rsidRPr="00CE7183">
              <w:rPr>
                <w:rFonts w:ascii="Times New Roman" w:eastAsia="Times New Roman" w:hAnsi="Times New Roman" w:cs="Times New Roman"/>
                <w:color w:val="1A1C1E"/>
                <w:kern w:val="0"/>
                <w:szCs w:val="24"/>
                <w:lang w:eastAsia="en-IN"/>
                <w14:ligatures w14:val="none"/>
              </w:rPr>
              <w:t>6.23</w:t>
            </w:r>
          </w:p>
        </w:tc>
        <w:tc>
          <w:tcPr>
            <w:tcW w:w="1846" w:type="dxa"/>
            <w:tcBorders>
              <w:top w:val="nil"/>
              <w:left w:val="nil"/>
              <w:bottom w:val="single" w:sz="4" w:space="0" w:color="auto"/>
              <w:right w:val="single" w:sz="4" w:space="0" w:color="auto"/>
            </w:tcBorders>
            <w:shd w:val="clear" w:color="000000" w:fill="FFFFFF"/>
            <w:vAlign w:val="center"/>
            <w:hideMark/>
          </w:tcPr>
          <w:p w14:paraId="2C96A63D" w14:textId="77777777" w:rsidR="00CE4C34" w:rsidRPr="00CE7183" w:rsidRDefault="00CE4C34" w:rsidP="00B77C0B">
            <w:pPr>
              <w:spacing w:after="0" w:line="240" w:lineRule="auto"/>
              <w:ind w:firstLineChars="100" w:firstLine="240"/>
              <w:rPr>
                <w:rFonts w:ascii="Times New Roman" w:eastAsia="Times New Roman" w:hAnsi="Times New Roman" w:cs="Times New Roman"/>
                <w:color w:val="1A1C1E"/>
                <w:kern w:val="0"/>
                <w:szCs w:val="24"/>
                <w:lang w:eastAsia="en-IN"/>
                <w14:ligatures w14:val="none"/>
              </w:rPr>
            </w:pPr>
            <w:r w:rsidRPr="00CE7183">
              <w:rPr>
                <w:rFonts w:ascii="Times New Roman" w:eastAsia="Times New Roman" w:hAnsi="Times New Roman" w:cs="Times New Roman"/>
                <w:color w:val="1A1C1E"/>
                <w:kern w:val="0"/>
                <w:szCs w:val="24"/>
                <w:lang w:eastAsia="en-IN"/>
                <w14:ligatures w14:val="none"/>
              </w:rPr>
              <w:t>5.37</w:t>
            </w:r>
          </w:p>
        </w:tc>
        <w:tc>
          <w:tcPr>
            <w:tcW w:w="1972" w:type="dxa"/>
            <w:tcBorders>
              <w:top w:val="nil"/>
              <w:left w:val="nil"/>
              <w:bottom w:val="single" w:sz="4" w:space="0" w:color="auto"/>
              <w:right w:val="single" w:sz="4" w:space="0" w:color="auto"/>
            </w:tcBorders>
            <w:shd w:val="clear" w:color="000000" w:fill="FFFFFF"/>
            <w:vAlign w:val="center"/>
            <w:hideMark/>
          </w:tcPr>
          <w:p w14:paraId="2A744F99" w14:textId="77777777" w:rsidR="00CE4C34" w:rsidRPr="00CE7183" w:rsidRDefault="00CE4C34" w:rsidP="00B77C0B">
            <w:pPr>
              <w:spacing w:after="0" w:line="240" w:lineRule="auto"/>
              <w:ind w:firstLineChars="100" w:firstLine="240"/>
              <w:rPr>
                <w:rFonts w:ascii="Times New Roman" w:eastAsia="Times New Roman" w:hAnsi="Times New Roman" w:cs="Times New Roman"/>
                <w:color w:val="1A1C1E"/>
                <w:kern w:val="0"/>
                <w:szCs w:val="24"/>
                <w:lang w:eastAsia="en-IN"/>
                <w14:ligatures w14:val="none"/>
              </w:rPr>
            </w:pPr>
            <w:r w:rsidRPr="00CE7183">
              <w:rPr>
                <w:rFonts w:ascii="Times New Roman" w:eastAsia="Times New Roman" w:hAnsi="Times New Roman" w:cs="Times New Roman"/>
                <w:color w:val="1A1C1E"/>
                <w:kern w:val="0"/>
                <w:szCs w:val="24"/>
                <w:lang w:eastAsia="en-IN"/>
                <w14:ligatures w14:val="none"/>
              </w:rPr>
              <w:t>N.A.</w:t>
            </w:r>
          </w:p>
        </w:tc>
      </w:tr>
      <w:tr w:rsidR="00CE4C34" w:rsidRPr="00CE7183" w14:paraId="4BDED5B7" w14:textId="77777777" w:rsidTr="00B77C0B">
        <w:trPr>
          <w:trHeight w:val="313"/>
        </w:trPr>
        <w:tc>
          <w:tcPr>
            <w:tcW w:w="3071" w:type="dxa"/>
            <w:tcBorders>
              <w:top w:val="nil"/>
              <w:left w:val="single" w:sz="4" w:space="0" w:color="auto"/>
              <w:bottom w:val="single" w:sz="4" w:space="0" w:color="auto"/>
              <w:right w:val="single" w:sz="4" w:space="0" w:color="auto"/>
            </w:tcBorders>
            <w:shd w:val="clear" w:color="000000" w:fill="FFFFFF"/>
            <w:vAlign w:val="center"/>
            <w:hideMark/>
          </w:tcPr>
          <w:p w14:paraId="687413A0" w14:textId="77777777" w:rsidR="00CE4C34" w:rsidRPr="00CE7183" w:rsidRDefault="00CE4C34" w:rsidP="00B77C0B">
            <w:pPr>
              <w:spacing w:after="0" w:line="240" w:lineRule="auto"/>
              <w:ind w:firstLineChars="100" w:firstLine="240"/>
              <w:rPr>
                <w:rFonts w:ascii="Times New Roman" w:eastAsia="Times New Roman" w:hAnsi="Times New Roman" w:cs="Times New Roman"/>
                <w:color w:val="1A1C1E"/>
                <w:kern w:val="0"/>
                <w:szCs w:val="24"/>
                <w:lang w:eastAsia="en-IN"/>
                <w14:ligatures w14:val="none"/>
              </w:rPr>
            </w:pPr>
            <w:r w:rsidRPr="00CE7183">
              <w:rPr>
                <w:rFonts w:ascii="Times New Roman" w:eastAsia="Times New Roman" w:hAnsi="Times New Roman" w:cs="Times New Roman"/>
                <w:color w:val="1A1C1E"/>
                <w:kern w:val="0"/>
                <w:szCs w:val="24"/>
                <w:lang w:eastAsia="en-IN"/>
                <w14:ligatures w14:val="none"/>
              </w:rPr>
              <w:t>Haryana</w:t>
            </w:r>
          </w:p>
        </w:tc>
        <w:tc>
          <w:tcPr>
            <w:tcW w:w="1844" w:type="dxa"/>
            <w:tcBorders>
              <w:top w:val="nil"/>
              <w:left w:val="nil"/>
              <w:bottom w:val="single" w:sz="4" w:space="0" w:color="auto"/>
              <w:right w:val="single" w:sz="4" w:space="0" w:color="auto"/>
            </w:tcBorders>
            <w:shd w:val="clear" w:color="000000" w:fill="FFFFFF"/>
            <w:vAlign w:val="center"/>
            <w:hideMark/>
          </w:tcPr>
          <w:p w14:paraId="4821C155" w14:textId="77777777" w:rsidR="00CE4C34" w:rsidRPr="00CE7183" w:rsidRDefault="00CE4C34" w:rsidP="00B77C0B">
            <w:pPr>
              <w:spacing w:after="0" w:line="240" w:lineRule="auto"/>
              <w:ind w:firstLineChars="100" w:firstLine="240"/>
              <w:rPr>
                <w:rFonts w:ascii="Times New Roman" w:eastAsia="Times New Roman" w:hAnsi="Times New Roman" w:cs="Times New Roman"/>
                <w:color w:val="1A1C1E"/>
                <w:kern w:val="0"/>
                <w:szCs w:val="24"/>
                <w:lang w:eastAsia="en-IN"/>
                <w14:ligatures w14:val="none"/>
              </w:rPr>
            </w:pPr>
            <w:r w:rsidRPr="00CE7183">
              <w:rPr>
                <w:rFonts w:ascii="Times New Roman" w:eastAsia="Times New Roman" w:hAnsi="Times New Roman" w:cs="Times New Roman"/>
                <w:color w:val="1A1C1E"/>
                <w:kern w:val="0"/>
                <w:szCs w:val="24"/>
                <w:lang w:eastAsia="en-IN"/>
                <w14:ligatures w14:val="none"/>
              </w:rPr>
              <w:t>..</w:t>
            </w:r>
          </w:p>
        </w:tc>
        <w:tc>
          <w:tcPr>
            <w:tcW w:w="1846" w:type="dxa"/>
            <w:tcBorders>
              <w:top w:val="nil"/>
              <w:left w:val="nil"/>
              <w:bottom w:val="single" w:sz="4" w:space="0" w:color="auto"/>
              <w:right w:val="single" w:sz="4" w:space="0" w:color="auto"/>
            </w:tcBorders>
            <w:shd w:val="clear" w:color="000000" w:fill="FFFFFF"/>
            <w:vAlign w:val="center"/>
            <w:hideMark/>
          </w:tcPr>
          <w:p w14:paraId="5202BC69" w14:textId="77777777" w:rsidR="00CE4C34" w:rsidRPr="00CE7183" w:rsidRDefault="00CE4C34" w:rsidP="00B77C0B">
            <w:pPr>
              <w:spacing w:after="0" w:line="240" w:lineRule="auto"/>
              <w:ind w:firstLineChars="100" w:firstLine="240"/>
              <w:rPr>
                <w:rFonts w:ascii="Times New Roman" w:eastAsia="Times New Roman" w:hAnsi="Times New Roman" w:cs="Times New Roman"/>
                <w:color w:val="1A1C1E"/>
                <w:kern w:val="0"/>
                <w:szCs w:val="24"/>
                <w:lang w:eastAsia="en-IN"/>
                <w14:ligatures w14:val="none"/>
              </w:rPr>
            </w:pPr>
            <w:r w:rsidRPr="00CE7183">
              <w:rPr>
                <w:rFonts w:ascii="Times New Roman" w:eastAsia="Times New Roman" w:hAnsi="Times New Roman" w:cs="Times New Roman"/>
                <w:color w:val="1A1C1E"/>
                <w:kern w:val="0"/>
                <w:szCs w:val="24"/>
                <w:lang w:eastAsia="en-IN"/>
                <w14:ligatures w14:val="none"/>
              </w:rPr>
              <w:t>..</w:t>
            </w:r>
          </w:p>
        </w:tc>
        <w:tc>
          <w:tcPr>
            <w:tcW w:w="1846" w:type="dxa"/>
            <w:tcBorders>
              <w:top w:val="nil"/>
              <w:left w:val="nil"/>
              <w:bottom w:val="single" w:sz="4" w:space="0" w:color="auto"/>
              <w:right w:val="single" w:sz="4" w:space="0" w:color="auto"/>
            </w:tcBorders>
            <w:shd w:val="clear" w:color="000000" w:fill="FFFFFF"/>
            <w:vAlign w:val="center"/>
            <w:hideMark/>
          </w:tcPr>
          <w:p w14:paraId="4E02DC83" w14:textId="77777777" w:rsidR="00CE4C34" w:rsidRPr="00CE7183" w:rsidRDefault="00CE4C34" w:rsidP="00B77C0B">
            <w:pPr>
              <w:spacing w:after="0" w:line="240" w:lineRule="auto"/>
              <w:ind w:firstLineChars="100" w:firstLine="240"/>
              <w:rPr>
                <w:rFonts w:ascii="Times New Roman" w:eastAsia="Times New Roman" w:hAnsi="Times New Roman" w:cs="Times New Roman"/>
                <w:color w:val="1A1C1E"/>
                <w:kern w:val="0"/>
                <w:szCs w:val="24"/>
                <w:lang w:eastAsia="en-IN"/>
                <w14:ligatures w14:val="none"/>
              </w:rPr>
            </w:pPr>
            <w:r w:rsidRPr="00CE7183">
              <w:rPr>
                <w:rFonts w:ascii="Times New Roman" w:eastAsia="Times New Roman" w:hAnsi="Times New Roman" w:cs="Times New Roman"/>
                <w:color w:val="1A1C1E"/>
                <w:kern w:val="0"/>
                <w:szCs w:val="24"/>
                <w:lang w:eastAsia="en-IN"/>
                <w14:ligatures w14:val="none"/>
              </w:rPr>
              <w:t>5.39</w:t>
            </w:r>
          </w:p>
        </w:tc>
        <w:tc>
          <w:tcPr>
            <w:tcW w:w="1972" w:type="dxa"/>
            <w:tcBorders>
              <w:top w:val="nil"/>
              <w:left w:val="nil"/>
              <w:bottom w:val="single" w:sz="4" w:space="0" w:color="auto"/>
              <w:right w:val="single" w:sz="4" w:space="0" w:color="auto"/>
            </w:tcBorders>
            <w:shd w:val="clear" w:color="000000" w:fill="FFFFFF"/>
            <w:vAlign w:val="center"/>
            <w:hideMark/>
          </w:tcPr>
          <w:p w14:paraId="5ED27BA8" w14:textId="77777777" w:rsidR="00CE4C34" w:rsidRPr="00CE7183" w:rsidRDefault="00CE4C34" w:rsidP="00B77C0B">
            <w:pPr>
              <w:spacing w:after="0" w:line="240" w:lineRule="auto"/>
              <w:ind w:firstLineChars="100" w:firstLine="240"/>
              <w:rPr>
                <w:rFonts w:ascii="Times New Roman" w:eastAsia="Times New Roman" w:hAnsi="Times New Roman" w:cs="Times New Roman"/>
                <w:color w:val="1A1C1E"/>
                <w:kern w:val="0"/>
                <w:szCs w:val="24"/>
                <w:lang w:eastAsia="en-IN"/>
                <w14:ligatures w14:val="none"/>
              </w:rPr>
            </w:pPr>
            <w:r w:rsidRPr="00CE7183">
              <w:rPr>
                <w:rFonts w:ascii="Times New Roman" w:eastAsia="Times New Roman" w:hAnsi="Times New Roman" w:cs="Times New Roman"/>
                <w:color w:val="1A1C1E"/>
                <w:kern w:val="0"/>
                <w:szCs w:val="24"/>
                <w:lang w:eastAsia="en-IN"/>
                <w14:ligatures w14:val="none"/>
              </w:rPr>
              <w:t>0.91</w:t>
            </w:r>
          </w:p>
        </w:tc>
      </w:tr>
      <w:tr w:rsidR="00CE4C34" w:rsidRPr="00CE7183" w14:paraId="7CEC668E" w14:textId="77777777" w:rsidTr="00B77C0B">
        <w:trPr>
          <w:trHeight w:val="596"/>
        </w:trPr>
        <w:tc>
          <w:tcPr>
            <w:tcW w:w="3071" w:type="dxa"/>
            <w:tcBorders>
              <w:top w:val="nil"/>
              <w:left w:val="single" w:sz="4" w:space="0" w:color="auto"/>
              <w:bottom w:val="single" w:sz="4" w:space="0" w:color="auto"/>
              <w:right w:val="single" w:sz="4" w:space="0" w:color="auto"/>
            </w:tcBorders>
            <w:shd w:val="clear" w:color="000000" w:fill="FFFFFF"/>
            <w:vAlign w:val="center"/>
            <w:hideMark/>
          </w:tcPr>
          <w:p w14:paraId="3EB9A6B8" w14:textId="77777777" w:rsidR="00CE4C34" w:rsidRPr="00CE7183" w:rsidRDefault="00CE4C34" w:rsidP="00B77C0B">
            <w:pPr>
              <w:spacing w:after="0" w:line="240" w:lineRule="auto"/>
              <w:ind w:firstLineChars="100" w:firstLine="240"/>
              <w:rPr>
                <w:rFonts w:ascii="Times New Roman" w:eastAsia="Times New Roman" w:hAnsi="Times New Roman" w:cs="Times New Roman"/>
                <w:color w:val="1A1C1E"/>
                <w:kern w:val="0"/>
                <w:szCs w:val="24"/>
                <w:lang w:eastAsia="en-IN"/>
                <w14:ligatures w14:val="none"/>
              </w:rPr>
            </w:pPr>
            <w:r w:rsidRPr="00CE7183">
              <w:rPr>
                <w:rFonts w:ascii="Times New Roman" w:eastAsia="Times New Roman" w:hAnsi="Times New Roman" w:cs="Times New Roman"/>
                <w:color w:val="1A1C1E"/>
                <w:kern w:val="0"/>
                <w:szCs w:val="24"/>
                <w:lang w:eastAsia="en-IN"/>
                <w14:ligatures w14:val="none"/>
              </w:rPr>
              <w:t>Jammu &amp; Kashmir</w:t>
            </w:r>
          </w:p>
        </w:tc>
        <w:tc>
          <w:tcPr>
            <w:tcW w:w="1844" w:type="dxa"/>
            <w:tcBorders>
              <w:top w:val="nil"/>
              <w:left w:val="nil"/>
              <w:bottom w:val="single" w:sz="4" w:space="0" w:color="auto"/>
              <w:right w:val="single" w:sz="4" w:space="0" w:color="auto"/>
            </w:tcBorders>
            <w:shd w:val="clear" w:color="000000" w:fill="FFFFFF"/>
            <w:vAlign w:val="center"/>
            <w:hideMark/>
          </w:tcPr>
          <w:p w14:paraId="733DC77E" w14:textId="77777777" w:rsidR="00CE4C34" w:rsidRPr="00CE7183" w:rsidRDefault="00CE4C34" w:rsidP="00B77C0B">
            <w:pPr>
              <w:spacing w:after="0" w:line="240" w:lineRule="auto"/>
              <w:ind w:firstLineChars="100" w:firstLine="240"/>
              <w:rPr>
                <w:rFonts w:ascii="Times New Roman" w:eastAsia="Times New Roman" w:hAnsi="Times New Roman" w:cs="Times New Roman"/>
                <w:color w:val="1A1C1E"/>
                <w:kern w:val="0"/>
                <w:szCs w:val="24"/>
                <w:lang w:eastAsia="en-IN"/>
                <w14:ligatures w14:val="none"/>
              </w:rPr>
            </w:pPr>
            <w:r w:rsidRPr="00CE7183">
              <w:rPr>
                <w:rFonts w:ascii="Times New Roman" w:eastAsia="Times New Roman" w:hAnsi="Times New Roman" w:cs="Times New Roman"/>
                <w:color w:val="1A1C1E"/>
                <w:kern w:val="0"/>
                <w:szCs w:val="24"/>
                <w:lang w:eastAsia="en-IN"/>
                <w14:ligatures w14:val="none"/>
              </w:rPr>
              <w:t>2.33</w:t>
            </w:r>
          </w:p>
        </w:tc>
        <w:tc>
          <w:tcPr>
            <w:tcW w:w="1846" w:type="dxa"/>
            <w:tcBorders>
              <w:top w:val="nil"/>
              <w:left w:val="nil"/>
              <w:bottom w:val="single" w:sz="4" w:space="0" w:color="auto"/>
              <w:right w:val="single" w:sz="4" w:space="0" w:color="auto"/>
            </w:tcBorders>
            <w:shd w:val="clear" w:color="000000" w:fill="FFFFFF"/>
            <w:vAlign w:val="center"/>
            <w:hideMark/>
          </w:tcPr>
          <w:p w14:paraId="241B2722" w14:textId="77777777" w:rsidR="00CE4C34" w:rsidRPr="00CE7183" w:rsidRDefault="00CE4C34" w:rsidP="00B77C0B">
            <w:pPr>
              <w:spacing w:after="0" w:line="240" w:lineRule="auto"/>
              <w:ind w:firstLineChars="100" w:firstLine="240"/>
              <w:rPr>
                <w:rFonts w:ascii="Times New Roman" w:eastAsia="Times New Roman" w:hAnsi="Times New Roman" w:cs="Times New Roman"/>
                <w:color w:val="1A1C1E"/>
                <w:kern w:val="0"/>
                <w:szCs w:val="24"/>
                <w:lang w:eastAsia="en-IN"/>
                <w14:ligatures w14:val="none"/>
              </w:rPr>
            </w:pPr>
            <w:r w:rsidRPr="00CE7183">
              <w:rPr>
                <w:rFonts w:ascii="Times New Roman" w:eastAsia="Times New Roman" w:hAnsi="Times New Roman" w:cs="Times New Roman"/>
                <w:color w:val="1A1C1E"/>
                <w:kern w:val="0"/>
                <w:szCs w:val="24"/>
                <w:lang w:eastAsia="en-IN"/>
                <w14:ligatures w14:val="none"/>
              </w:rPr>
              <w:t>10.59</w:t>
            </w:r>
          </w:p>
        </w:tc>
        <w:tc>
          <w:tcPr>
            <w:tcW w:w="1846" w:type="dxa"/>
            <w:tcBorders>
              <w:top w:val="nil"/>
              <w:left w:val="nil"/>
              <w:bottom w:val="single" w:sz="4" w:space="0" w:color="auto"/>
              <w:right w:val="single" w:sz="4" w:space="0" w:color="auto"/>
            </w:tcBorders>
            <w:shd w:val="clear" w:color="000000" w:fill="FFFFFF"/>
            <w:vAlign w:val="center"/>
            <w:hideMark/>
          </w:tcPr>
          <w:p w14:paraId="40B90EA8" w14:textId="77777777" w:rsidR="00CE4C34" w:rsidRPr="00CE7183" w:rsidRDefault="00CE4C34" w:rsidP="00B77C0B">
            <w:pPr>
              <w:spacing w:after="0" w:line="240" w:lineRule="auto"/>
              <w:ind w:firstLineChars="100" w:firstLine="240"/>
              <w:rPr>
                <w:rFonts w:ascii="Times New Roman" w:eastAsia="Times New Roman" w:hAnsi="Times New Roman" w:cs="Times New Roman"/>
                <w:color w:val="1A1C1E"/>
                <w:kern w:val="0"/>
                <w:szCs w:val="24"/>
                <w:lang w:eastAsia="en-IN"/>
                <w14:ligatures w14:val="none"/>
              </w:rPr>
            </w:pPr>
            <w:r w:rsidRPr="00CE7183">
              <w:rPr>
                <w:rFonts w:ascii="Times New Roman" w:eastAsia="Times New Roman" w:hAnsi="Times New Roman" w:cs="Times New Roman"/>
                <w:color w:val="1A1C1E"/>
                <w:kern w:val="0"/>
                <w:szCs w:val="24"/>
                <w:lang w:eastAsia="en-IN"/>
                <w14:ligatures w14:val="none"/>
              </w:rPr>
              <w:t>9.17</w:t>
            </w:r>
          </w:p>
        </w:tc>
        <w:tc>
          <w:tcPr>
            <w:tcW w:w="1972" w:type="dxa"/>
            <w:tcBorders>
              <w:top w:val="nil"/>
              <w:left w:val="nil"/>
              <w:bottom w:val="single" w:sz="4" w:space="0" w:color="auto"/>
              <w:right w:val="single" w:sz="4" w:space="0" w:color="auto"/>
            </w:tcBorders>
            <w:shd w:val="clear" w:color="000000" w:fill="FFFFFF"/>
            <w:vAlign w:val="center"/>
            <w:hideMark/>
          </w:tcPr>
          <w:p w14:paraId="16740B91" w14:textId="77777777" w:rsidR="00CE4C34" w:rsidRPr="00CE7183" w:rsidRDefault="00CE4C34" w:rsidP="00B77C0B">
            <w:pPr>
              <w:spacing w:after="0" w:line="240" w:lineRule="auto"/>
              <w:ind w:firstLineChars="100" w:firstLine="240"/>
              <w:rPr>
                <w:rFonts w:ascii="Times New Roman" w:eastAsia="Times New Roman" w:hAnsi="Times New Roman" w:cs="Times New Roman"/>
                <w:color w:val="1A1C1E"/>
                <w:kern w:val="0"/>
                <w:szCs w:val="24"/>
                <w:lang w:eastAsia="en-IN"/>
                <w14:ligatures w14:val="none"/>
              </w:rPr>
            </w:pPr>
            <w:r w:rsidRPr="00CE7183">
              <w:rPr>
                <w:rFonts w:ascii="Times New Roman" w:eastAsia="Times New Roman" w:hAnsi="Times New Roman" w:cs="Times New Roman"/>
                <w:color w:val="1A1C1E"/>
                <w:kern w:val="0"/>
                <w:szCs w:val="24"/>
                <w:lang w:eastAsia="en-IN"/>
                <w14:ligatures w14:val="none"/>
              </w:rPr>
              <w:t>N.A.</w:t>
            </w:r>
          </w:p>
        </w:tc>
      </w:tr>
      <w:tr w:rsidR="00CE4C34" w:rsidRPr="00CE7183" w14:paraId="7EFC0232" w14:textId="77777777" w:rsidTr="00B77C0B">
        <w:trPr>
          <w:trHeight w:val="313"/>
        </w:trPr>
        <w:tc>
          <w:tcPr>
            <w:tcW w:w="3071" w:type="dxa"/>
            <w:tcBorders>
              <w:top w:val="nil"/>
              <w:left w:val="single" w:sz="4" w:space="0" w:color="auto"/>
              <w:bottom w:val="single" w:sz="4" w:space="0" w:color="auto"/>
              <w:right w:val="single" w:sz="4" w:space="0" w:color="auto"/>
            </w:tcBorders>
            <w:shd w:val="clear" w:color="000000" w:fill="FFFFFF"/>
            <w:vAlign w:val="center"/>
            <w:hideMark/>
          </w:tcPr>
          <w:p w14:paraId="14274E39" w14:textId="77777777" w:rsidR="00CE4C34" w:rsidRPr="00CE7183" w:rsidRDefault="00CE4C34" w:rsidP="00B77C0B">
            <w:pPr>
              <w:spacing w:after="0" w:line="240" w:lineRule="auto"/>
              <w:ind w:firstLineChars="100" w:firstLine="240"/>
              <w:rPr>
                <w:rFonts w:ascii="Times New Roman" w:eastAsia="Times New Roman" w:hAnsi="Times New Roman" w:cs="Times New Roman"/>
                <w:color w:val="1A1C1E"/>
                <w:kern w:val="0"/>
                <w:szCs w:val="24"/>
                <w:lang w:eastAsia="en-IN"/>
                <w14:ligatures w14:val="none"/>
              </w:rPr>
            </w:pPr>
            <w:r w:rsidRPr="00CE7183">
              <w:rPr>
                <w:rFonts w:ascii="Times New Roman" w:eastAsia="Times New Roman" w:hAnsi="Times New Roman" w:cs="Times New Roman"/>
                <w:color w:val="1A1C1E"/>
                <w:kern w:val="0"/>
                <w:szCs w:val="24"/>
                <w:lang w:eastAsia="en-IN"/>
                <w14:ligatures w14:val="none"/>
              </w:rPr>
              <w:t>Kerala</w:t>
            </w:r>
          </w:p>
        </w:tc>
        <w:tc>
          <w:tcPr>
            <w:tcW w:w="1844" w:type="dxa"/>
            <w:tcBorders>
              <w:top w:val="nil"/>
              <w:left w:val="nil"/>
              <w:bottom w:val="single" w:sz="4" w:space="0" w:color="auto"/>
              <w:right w:val="single" w:sz="4" w:space="0" w:color="auto"/>
            </w:tcBorders>
            <w:shd w:val="clear" w:color="000000" w:fill="FFFFFF"/>
            <w:vAlign w:val="center"/>
            <w:hideMark/>
          </w:tcPr>
          <w:p w14:paraId="42F0A544" w14:textId="77777777" w:rsidR="00CE4C34" w:rsidRPr="00CE7183" w:rsidRDefault="00CE4C34" w:rsidP="00B77C0B">
            <w:pPr>
              <w:spacing w:after="0" w:line="240" w:lineRule="auto"/>
              <w:ind w:firstLineChars="100" w:firstLine="240"/>
              <w:rPr>
                <w:rFonts w:ascii="Times New Roman" w:eastAsia="Times New Roman" w:hAnsi="Times New Roman" w:cs="Times New Roman"/>
                <w:color w:val="1A1C1E"/>
                <w:kern w:val="0"/>
                <w:szCs w:val="24"/>
                <w:lang w:eastAsia="en-IN"/>
                <w14:ligatures w14:val="none"/>
              </w:rPr>
            </w:pPr>
            <w:r w:rsidRPr="00CE7183">
              <w:rPr>
                <w:rFonts w:ascii="Times New Roman" w:eastAsia="Times New Roman" w:hAnsi="Times New Roman" w:cs="Times New Roman"/>
                <w:color w:val="1A1C1E"/>
                <w:kern w:val="0"/>
                <w:szCs w:val="24"/>
                <w:lang w:eastAsia="en-IN"/>
                <w14:ligatures w14:val="none"/>
              </w:rPr>
              <w:t>18.01</w:t>
            </w:r>
          </w:p>
        </w:tc>
        <w:tc>
          <w:tcPr>
            <w:tcW w:w="1846" w:type="dxa"/>
            <w:tcBorders>
              <w:top w:val="nil"/>
              <w:left w:val="nil"/>
              <w:bottom w:val="single" w:sz="4" w:space="0" w:color="auto"/>
              <w:right w:val="single" w:sz="4" w:space="0" w:color="auto"/>
            </w:tcBorders>
            <w:shd w:val="clear" w:color="000000" w:fill="FFFFFF"/>
            <w:vAlign w:val="center"/>
            <w:hideMark/>
          </w:tcPr>
          <w:p w14:paraId="25010343" w14:textId="77777777" w:rsidR="00CE4C34" w:rsidRPr="00CE7183" w:rsidRDefault="00CE4C34" w:rsidP="00B77C0B">
            <w:pPr>
              <w:spacing w:after="0" w:line="240" w:lineRule="auto"/>
              <w:ind w:firstLineChars="100" w:firstLine="240"/>
              <w:rPr>
                <w:rFonts w:ascii="Times New Roman" w:eastAsia="Times New Roman" w:hAnsi="Times New Roman" w:cs="Times New Roman"/>
                <w:color w:val="1A1C1E"/>
                <w:kern w:val="0"/>
                <w:szCs w:val="24"/>
                <w:lang w:eastAsia="en-IN"/>
                <w14:ligatures w14:val="none"/>
              </w:rPr>
            </w:pPr>
            <w:r w:rsidRPr="00CE7183">
              <w:rPr>
                <w:rFonts w:ascii="Times New Roman" w:eastAsia="Times New Roman" w:hAnsi="Times New Roman" w:cs="Times New Roman"/>
                <w:color w:val="1A1C1E"/>
                <w:kern w:val="0"/>
                <w:szCs w:val="24"/>
                <w:lang w:eastAsia="en-IN"/>
                <w14:ligatures w14:val="none"/>
              </w:rPr>
              <w:t>18.92</w:t>
            </w:r>
          </w:p>
        </w:tc>
        <w:tc>
          <w:tcPr>
            <w:tcW w:w="1846" w:type="dxa"/>
            <w:tcBorders>
              <w:top w:val="nil"/>
              <w:left w:val="nil"/>
              <w:bottom w:val="single" w:sz="4" w:space="0" w:color="auto"/>
              <w:right w:val="single" w:sz="4" w:space="0" w:color="auto"/>
            </w:tcBorders>
            <w:shd w:val="clear" w:color="000000" w:fill="FFFFFF"/>
            <w:vAlign w:val="center"/>
            <w:hideMark/>
          </w:tcPr>
          <w:p w14:paraId="32E6E7D9" w14:textId="77777777" w:rsidR="00CE4C34" w:rsidRPr="00CE7183" w:rsidRDefault="00CE4C34" w:rsidP="00B77C0B">
            <w:pPr>
              <w:spacing w:after="0" w:line="240" w:lineRule="auto"/>
              <w:ind w:firstLineChars="100" w:firstLine="240"/>
              <w:rPr>
                <w:rFonts w:ascii="Times New Roman" w:eastAsia="Times New Roman" w:hAnsi="Times New Roman" w:cs="Times New Roman"/>
                <w:color w:val="1A1C1E"/>
                <w:kern w:val="0"/>
                <w:szCs w:val="24"/>
                <w:lang w:eastAsia="en-IN"/>
                <w14:ligatures w14:val="none"/>
              </w:rPr>
            </w:pPr>
            <w:r w:rsidRPr="00CE7183">
              <w:rPr>
                <w:rFonts w:ascii="Times New Roman" w:eastAsia="Times New Roman" w:hAnsi="Times New Roman" w:cs="Times New Roman"/>
                <w:color w:val="1A1C1E"/>
                <w:kern w:val="0"/>
                <w:szCs w:val="24"/>
                <w:lang w:eastAsia="en-IN"/>
                <w14:ligatures w14:val="none"/>
              </w:rPr>
              <w:t>16.76</w:t>
            </w:r>
          </w:p>
        </w:tc>
        <w:tc>
          <w:tcPr>
            <w:tcW w:w="1972" w:type="dxa"/>
            <w:tcBorders>
              <w:top w:val="nil"/>
              <w:left w:val="nil"/>
              <w:bottom w:val="single" w:sz="4" w:space="0" w:color="auto"/>
              <w:right w:val="single" w:sz="4" w:space="0" w:color="auto"/>
            </w:tcBorders>
            <w:shd w:val="clear" w:color="000000" w:fill="FFFFFF"/>
            <w:vAlign w:val="center"/>
            <w:hideMark/>
          </w:tcPr>
          <w:p w14:paraId="5F5946BF" w14:textId="77777777" w:rsidR="00CE4C34" w:rsidRPr="00CE7183" w:rsidRDefault="00CE4C34" w:rsidP="00B77C0B">
            <w:pPr>
              <w:spacing w:after="0" w:line="240" w:lineRule="auto"/>
              <w:ind w:firstLineChars="100" w:firstLine="240"/>
              <w:rPr>
                <w:rFonts w:ascii="Times New Roman" w:eastAsia="Times New Roman" w:hAnsi="Times New Roman" w:cs="Times New Roman"/>
                <w:color w:val="1A1C1E"/>
                <w:kern w:val="0"/>
                <w:szCs w:val="24"/>
                <w:lang w:eastAsia="en-IN"/>
                <w14:ligatures w14:val="none"/>
              </w:rPr>
            </w:pPr>
            <w:r w:rsidRPr="00CE7183">
              <w:rPr>
                <w:rFonts w:ascii="Times New Roman" w:eastAsia="Times New Roman" w:hAnsi="Times New Roman" w:cs="Times New Roman"/>
                <w:color w:val="1A1C1E"/>
                <w:kern w:val="0"/>
                <w:szCs w:val="24"/>
                <w:lang w:eastAsia="en-IN"/>
                <w14:ligatures w14:val="none"/>
              </w:rPr>
              <w:t>20.43</w:t>
            </w:r>
          </w:p>
        </w:tc>
      </w:tr>
      <w:tr w:rsidR="00CE4C34" w:rsidRPr="00CE7183" w14:paraId="39DDA341" w14:textId="77777777" w:rsidTr="00B77C0B">
        <w:trPr>
          <w:trHeight w:val="596"/>
        </w:trPr>
        <w:tc>
          <w:tcPr>
            <w:tcW w:w="3071" w:type="dxa"/>
            <w:tcBorders>
              <w:top w:val="nil"/>
              <w:left w:val="single" w:sz="4" w:space="0" w:color="auto"/>
              <w:bottom w:val="single" w:sz="4" w:space="0" w:color="auto"/>
              <w:right w:val="single" w:sz="4" w:space="0" w:color="auto"/>
            </w:tcBorders>
            <w:shd w:val="clear" w:color="000000" w:fill="FFFFFF"/>
            <w:vAlign w:val="center"/>
            <w:hideMark/>
          </w:tcPr>
          <w:p w14:paraId="24ED3F30" w14:textId="77777777" w:rsidR="00CE4C34" w:rsidRPr="00CE7183" w:rsidRDefault="00CE4C34" w:rsidP="00B77C0B">
            <w:pPr>
              <w:spacing w:after="0" w:line="240" w:lineRule="auto"/>
              <w:ind w:firstLineChars="100" w:firstLine="240"/>
              <w:rPr>
                <w:rFonts w:ascii="Times New Roman" w:eastAsia="Times New Roman" w:hAnsi="Times New Roman" w:cs="Times New Roman"/>
                <w:color w:val="1A1C1E"/>
                <w:kern w:val="0"/>
                <w:szCs w:val="24"/>
                <w:lang w:eastAsia="en-IN"/>
                <w14:ligatures w14:val="none"/>
              </w:rPr>
            </w:pPr>
            <w:r w:rsidRPr="00CE7183">
              <w:rPr>
                <w:rFonts w:ascii="Times New Roman" w:eastAsia="Times New Roman" w:hAnsi="Times New Roman" w:cs="Times New Roman"/>
                <w:color w:val="1A1C1E"/>
                <w:kern w:val="0"/>
                <w:szCs w:val="24"/>
                <w:lang w:eastAsia="en-IN"/>
                <w14:ligatures w14:val="none"/>
              </w:rPr>
              <w:t>Madhya Pradesh</w:t>
            </w:r>
          </w:p>
        </w:tc>
        <w:tc>
          <w:tcPr>
            <w:tcW w:w="1844" w:type="dxa"/>
            <w:tcBorders>
              <w:top w:val="nil"/>
              <w:left w:val="nil"/>
              <w:bottom w:val="single" w:sz="4" w:space="0" w:color="auto"/>
              <w:right w:val="single" w:sz="4" w:space="0" w:color="auto"/>
            </w:tcBorders>
            <w:shd w:val="clear" w:color="000000" w:fill="FFFFFF"/>
            <w:vAlign w:val="center"/>
            <w:hideMark/>
          </w:tcPr>
          <w:p w14:paraId="3C9DD434" w14:textId="77777777" w:rsidR="00CE4C34" w:rsidRPr="00CE7183" w:rsidRDefault="00CE4C34" w:rsidP="00B77C0B">
            <w:pPr>
              <w:spacing w:after="0" w:line="240" w:lineRule="auto"/>
              <w:ind w:firstLineChars="100" w:firstLine="240"/>
              <w:rPr>
                <w:rFonts w:ascii="Times New Roman" w:eastAsia="Times New Roman" w:hAnsi="Times New Roman" w:cs="Times New Roman"/>
                <w:color w:val="1A1C1E"/>
                <w:kern w:val="0"/>
                <w:szCs w:val="24"/>
                <w:lang w:eastAsia="en-IN"/>
                <w14:ligatures w14:val="none"/>
              </w:rPr>
            </w:pPr>
            <w:r w:rsidRPr="00CE7183">
              <w:rPr>
                <w:rFonts w:ascii="Times New Roman" w:eastAsia="Times New Roman" w:hAnsi="Times New Roman" w:cs="Times New Roman"/>
                <w:color w:val="1A1C1E"/>
                <w:kern w:val="0"/>
                <w:szCs w:val="24"/>
                <w:lang w:eastAsia="en-IN"/>
                <w14:ligatures w14:val="none"/>
              </w:rPr>
              <w:t>10.54</w:t>
            </w:r>
          </w:p>
        </w:tc>
        <w:tc>
          <w:tcPr>
            <w:tcW w:w="1846" w:type="dxa"/>
            <w:tcBorders>
              <w:top w:val="nil"/>
              <w:left w:val="nil"/>
              <w:bottom w:val="single" w:sz="4" w:space="0" w:color="auto"/>
              <w:right w:val="single" w:sz="4" w:space="0" w:color="auto"/>
            </w:tcBorders>
            <w:shd w:val="clear" w:color="000000" w:fill="FFFFFF"/>
            <w:vAlign w:val="center"/>
            <w:hideMark/>
          </w:tcPr>
          <w:p w14:paraId="0DE29879" w14:textId="16EA3429" w:rsidR="00CE4C34" w:rsidRPr="00CE7183" w:rsidRDefault="00CE4C34" w:rsidP="00B77C0B">
            <w:pPr>
              <w:spacing w:after="0" w:line="240" w:lineRule="auto"/>
              <w:ind w:firstLineChars="100" w:firstLine="240"/>
              <w:rPr>
                <w:rFonts w:ascii="Times New Roman" w:eastAsia="Times New Roman" w:hAnsi="Times New Roman" w:cs="Times New Roman"/>
                <w:color w:val="1A1C1E"/>
                <w:kern w:val="0"/>
                <w:szCs w:val="24"/>
                <w:lang w:eastAsia="en-IN"/>
                <w14:ligatures w14:val="none"/>
              </w:rPr>
            </w:pPr>
            <w:r w:rsidRPr="00CE7183">
              <w:rPr>
                <w:rFonts w:ascii="Times New Roman" w:eastAsia="Times New Roman" w:hAnsi="Times New Roman" w:cs="Times New Roman"/>
                <w:color w:val="1A1C1E"/>
                <w:kern w:val="0"/>
                <w:szCs w:val="24"/>
                <w:lang w:eastAsia="en-IN"/>
                <w14:ligatures w14:val="none"/>
              </w:rPr>
              <w:t>9.6</w:t>
            </w:r>
            <w:r w:rsidR="00B34D24">
              <w:rPr>
                <w:rFonts w:ascii="Times New Roman" w:eastAsia="Times New Roman" w:hAnsi="Times New Roman" w:cs="Times New Roman"/>
                <w:color w:val="1A1C1E"/>
                <w:kern w:val="0"/>
                <w:szCs w:val="24"/>
                <w:lang w:eastAsia="en-IN"/>
                <w14:ligatures w14:val="none"/>
              </w:rPr>
              <w:t>0</w:t>
            </w:r>
          </w:p>
        </w:tc>
        <w:tc>
          <w:tcPr>
            <w:tcW w:w="1846" w:type="dxa"/>
            <w:tcBorders>
              <w:top w:val="nil"/>
              <w:left w:val="nil"/>
              <w:bottom w:val="single" w:sz="4" w:space="0" w:color="auto"/>
              <w:right w:val="single" w:sz="4" w:space="0" w:color="auto"/>
            </w:tcBorders>
            <w:shd w:val="clear" w:color="000000" w:fill="FFFFFF"/>
            <w:vAlign w:val="center"/>
            <w:hideMark/>
          </w:tcPr>
          <w:p w14:paraId="49001BAB" w14:textId="77777777" w:rsidR="00CE4C34" w:rsidRPr="00CE7183" w:rsidRDefault="00CE4C34" w:rsidP="00B77C0B">
            <w:pPr>
              <w:spacing w:after="0" w:line="240" w:lineRule="auto"/>
              <w:ind w:firstLineChars="100" w:firstLine="240"/>
              <w:rPr>
                <w:rFonts w:ascii="Times New Roman" w:eastAsia="Times New Roman" w:hAnsi="Times New Roman" w:cs="Times New Roman"/>
                <w:color w:val="1A1C1E"/>
                <w:kern w:val="0"/>
                <w:szCs w:val="24"/>
                <w:lang w:eastAsia="en-IN"/>
                <w14:ligatures w14:val="none"/>
              </w:rPr>
            </w:pPr>
            <w:r w:rsidRPr="00CE7183">
              <w:rPr>
                <w:rFonts w:ascii="Times New Roman" w:eastAsia="Times New Roman" w:hAnsi="Times New Roman" w:cs="Times New Roman"/>
                <w:color w:val="1A1C1E"/>
                <w:kern w:val="0"/>
                <w:szCs w:val="24"/>
                <w:lang w:eastAsia="en-IN"/>
                <w14:ligatures w14:val="none"/>
              </w:rPr>
              <w:t>8.89</w:t>
            </w:r>
          </w:p>
        </w:tc>
        <w:tc>
          <w:tcPr>
            <w:tcW w:w="1972" w:type="dxa"/>
            <w:tcBorders>
              <w:top w:val="nil"/>
              <w:left w:val="nil"/>
              <w:bottom w:val="single" w:sz="4" w:space="0" w:color="auto"/>
              <w:right w:val="single" w:sz="4" w:space="0" w:color="auto"/>
            </w:tcBorders>
            <w:shd w:val="clear" w:color="000000" w:fill="FFFFFF"/>
            <w:vAlign w:val="center"/>
            <w:hideMark/>
          </w:tcPr>
          <w:p w14:paraId="2432546D" w14:textId="77777777" w:rsidR="00CE4C34" w:rsidRPr="00CE7183" w:rsidRDefault="00CE4C34" w:rsidP="00B77C0B">
            <w:pPr>
              <w:spacing w:after="0" w:line="240" w:lineRule="auto"/>
              <w:ind w:firstLineChars="100" w:firstLine="240"/>
              <w:rPr>
                <w:rFonts w:ascii="Times New Roman" w:eastAsia="Times New Roman" w:hAnsi="Times New Roman" w:cs="Times New Roman"/>
                <w:color w:val="1A1C1E"/>
                <w:kern w:val="0"/>
                <w:szCs w:val="24"/>
                <w:lang w:eastAsia="en-IN"/>
                <w14:ligatures w14:val="none"/>
              </w:rPr>
            </w:pPr>
            <w:r w:rsidRPr="00CE7183">
              <w:rPr>
                <w:rFonts w:ascii="Times New Roman" w:eastAsia="Times New Roman" w:hAnsi="Times New Roman" w:cs="Times New Roman"/>
                <w:color w:val="1A1C1E"/>
                <w:kern w:val="0"/>
                <w:szCs w:val="24"/>
                <w:lang w:eastAsia="en-IN"/>
                <w14:ligatures w14:val="none"/>
              </w:rPr>
              <w:t>9.42</w:t>
            </w:r>
          </w:p>
        </w:tc>
      </w:tr>
      <w:tr w:rsidR="00CE4C34" w:rsidRPr="00CE7183" w14:paraId="13F26CD3" w14:textId="77777777" w:rsidTr="00B77C0B">
        <w:trPr>
          <w:trHeight w:val="313"/>
        </w:trPr>
        <w:tc>
          <w:tcPr>
            <w:tcW w:w="3071" w:type="dxa"/>
            <w:tcBorders>
              <w:top w:val="nil"/>
              <w:left w:val="single" w:sz="4" w:space="0" w:color="auto"/>
              <w:bottom w:val="single" w:sz="4" w:space="0" w:color="auto"/>
              <w:right w:val="single" w:sz="4" w:space="0" w:color="auto"/>
            </w:tcBorders>
            <w:shd w:val="clear" w:color="000000" w:fill="FFFFFF"/>
            <w:vAlign w:val="center"/>
            <w:hideMark/>
          </w:tcPr>
          <w:p w14:paraId="06CCBD4C" w14:textId="77777777" w:rsidR="00CE4C34" w:rsidRPr="00CE7183" w:rsidRDefault="00CE4C34" w:rsidP="00B77C0B">
            <w:pPr>
              <w:spacing w:after="0" w:line="240" w:lineRule="auto"/>
              <w:ind w:firstLineChars="100" w:firstLine="240"/>
              <w:rPr>
                <w:rFonts w:ascii="Times New Roman" w:eastAsia="Times New Roman" w:hAnsi="Times New Roman" w:cs="Times New Roman"/>
                <w:color w:val="1A1C1E"/>
                <w:kern w:val="0"/>
                <w:szCs w:val="24"/>
                <w:lang w:eastAsia="en-IN"/>
                <w14:ligatures w14:val="none"/>
              </w:rPr>
            </w:pPr>
            <w:r w:rsidRPr="00CE7183">
              <w:rPr>
                <w:rFonts w:ascii="Times New Roman" w:eastAsia="Times New Roman" w:hAnsi="Times New Roman" w:cs="Times New Roman"/>
                <w:color w:val="1A1C1E"/>
                <w:kern w:val="0"/>
                <w:szCs w:val="24"/>
                <w:lang w:eastAsia="en-IN"/>
                <w14:ligatures w14:val="none"/>
              </w:rPr>
              <w:t>Maharashtra</w:t>
            </w:r>
          </w:p>
        </w:tc>
        <w:tc>
          <w:tcPr>
            <w:tcW w:w="1844" w:type="dxa"/>
            <w:tcBorders>
              <w:top w:val="nil"/>
              <w:left w:val="nil"/>
              <w:bottom w:val="single" w:sz="4" w:space="0" w:color="auto"/>
              <w:right w:val="single" w:sz="4" w:space="0" w:color="auto"/>
            </w:tcBorders>
            <w:shd w:val="clear" w:color="000000" w:fill="FFFFFF"/>
            <w:vAlign w:val="center"/>
            <w:hideMark/>
          </w:tcPr>
          <w:p w14:paraId="7786C76D" w14:textId="77777777" w:rsidR="00CE4C34" w:rsidRPr="00CE7183" w:rsidRDefault="00CE4C34" w:rsidP="00B77C0B">
            <w:pPr>
              <w:spacing w:after="0" w:line="240" w:lineRule="auto"/>
              <w:ind w:firstLineChars="100" w:firstLine="240"/>
              <w:rPr>
                <w:rFonts w:ascii="Times New Roman" w:eastAsia="Times New Roman" w:hAnsi="Times New Roman" w:cs="Times New Roman"/>
                <w:color w:val="1A1C1E"/>
                <w:kern w:val="0"/>
                <w:szCs w:val="24"/>
                <w:lang w:eastAsia="en-IN"/>
                <w14:ligatures w14:val="none"/>
              </w:rPr>
            </w:pPr>
            <w:r w:rsidRPr="00CE7183">
              <w:rPr>
                <w:rFonts w:ascii="Times New Roman" w:eastAsia="Times New Roman" w:hAnsi="Times New Roman" w:cs="Times New Roman"/>
                <w:color w:val="1A1C1E"/>
                <w:kern w:val="0"/>
                <w:szCs w:val="24"/>
                <w:lang w:eastAsia="en-IN"/>
                <w14:ligatures w14:val="none"/>
              </w:rPr>
              <w:t>12.86</w:t>
            </w:r>
          </w:p>
        </w:tc>
        <w:tc>
          <w:tcPr>
            <w:tcW w:w="1846" w:type="dxa"/>
            <w:tcBorders>
              <w:top w:val="nil"/>
              <w:left w:val="nil"/>
              <w:bottom w:val="single" w:sz="4" w:space="0" w:color="auto"/>
              <w:right w:val="single" w:sz="4" w:space="0" w:color="auto"/>
            </w:tcBorders>
            <w:shd w:val="clear" w:color="000000" w:fill="FFFFFF"/>
            <w:vAlign w:val="center"/>
            <w:hideMark/>
          </w:tcPr>
          <w:p w14:paraId="089D90FE" w14:textId="77777777" w:rsidR="00CE4C34" w:rsidRPr="00CE7183" w:rsidRDefault="00CE4C34" w:rsidP="00B77C0B">
            <w:pPr>
              <w:spacing w:after="0" w:line="240" w:lineRule="auto"/>
              <w:ind w:firstLineChars="100" w:firstLine="240"/>
              <w:rPr>
                <w:rFonts w:ascii="Times New Roman" w:eastAsia="Times New Roman" w:hAnsi="Times New Roman" w:cs="Times New Roman"/>
                <w:color w:val="1A1C1E"/>
                <w:kern w:val="0"/>
                <w:szCs w:val="24"/>
                <w:lang w:eastAsia="en-IN"/>
                <w14:ligatures w14:val="none"/>
              </w:rPr>
            </w:pPr>
            <w:r w:rsidRPr="00CE7183">
              <w:rPr>
                <w:rFonts w:ascii="Times New Roman" w:eastAsia="Times New Roman" w:hAnsi="Times New Roman" w:cs="Times New Roman"/>
                <w:color w:val="1A1C1E"/>
                <w:kern w:val="0"/>
                <w:szCs w:val="24"/>
                <w:lang w:eastAsia="en-IN"/>
                <w14:ligatures w14:val="none"/>
              </w:rPr>
              <w:t>12.27</w:t>
            </w:r>
          </w:p>
        </w:tc>
        <w:tc>
          <w:tcPr>
            <w:tcW w:w="1846" w:type="dxa"/>
            <w:tcBorders>
              <w:top w:val="nil"/>
              <w:left w:val="nil"/>
              <w:bottom w:val="single" w:sz="4" w:space="0" w:color="auto"/>
              <w:right w:val="single" w:sz="4" w:space="0" w:color="auto"/>
            </w:tcBorders>
            <w:shd w:val="clear" w:color="000000" w:fill="FFFFFF"/>
            <w:vAlign w:val="center"/>
            <w:hideMark/>
          </w:tcPr>
          <w:p w14:paraId="1FD0256F" w14:textId="77777777" w:rsidR="00CE4C34" w:rsidRPr="00CE7183" w:rsidRDefault="00CE4C34" w:rsidP="00B77C0B">
            <w:pPr>
              <w:spacing w:after="0" w:line="240" w:lineRule="auto"/>
              <w:ind w:firstLineChars="100" w:firstLine="240"/>
              <w:rPr>
                <w:rFonts w:ascii="Times New Roman" w:eastAsia="Times New Roman" w:hAnsi="Times New Roman" w:cs="Times New Roman"/>
                <w:color w:val="1A1C1E"/>
                <w:kern w:val="0"/>
                <w:szCs w:val="24"/>
                <w:lang w:eastAsia="en-IN"/>
                <w14:ligatures w14:val="none"/>
              </w:rPr>
            </w:pPr>
            <w:r w:rsidRPr="00CE7183">
              <w:rPr>
                <w:rFonts w:ascii="Times New Roman" w:eastAsia="Times New Roman" w:hAnsi="Times New Roman" w:cs="Times New Roman"/>
                <w:color w:val="1A1C1E"/>
                <w:kern w:val="0"/>
                <w:szCs w:val="24"/>
                <w:lang w:eastAsia="en-IN"/>
                <w14:ligatures w14:val="none"/>
              </w:rPr>
              <w:t>10.75</w:t>
            </w:r>
          </w:p>
        </w:tc>
        <w:tc>
          <w:tcPr>
            <w:tcW w:w="1972" w:type="dxa"/>
            <w:tcBorders>
              <w:top w:val="nil"/>
              <w:left w:val="nil"/>
              <w:bottom w:val="single" w:sz="4" w:space="0" w:color="auto"/>
              <w:right w:val="single" w:sz="4" w:space="0" w:color="auto"/>
            </w:tcBorders>
            <w:shd w:val="clear" w:color="000000" w:fill="FFFFFF"/>
            <w:vAlign w:val="center"/>
            <w:hideMark/>
          </w:tcPr>
          <w:p w14:paraId="0F38DFE7" w14:textId="77777777" w:rsidR="00CE4C34" w:rsidRPr="00CE7183" w:rsidRDefault="00CE4C34" w:rsidP="00B77C0B">
            <w:pPr>
              <w:spacing w:after="0" w:line="240" w:lineRule="auto"/>
              <w:ind w:firstLineChars="100" w:firstLine="240"/>
              <w:rPr>
                <w:rFonts w:ascii="Times New Roman" w:eastAsia="Times New Roman" w:hAnsi="Times New Roman" w:cs="Times New Roman"/>
                <w:color w:val="1A1C1E"/>
                <w:kern w:val="0"/>
                <w:szCs w:val="24"/>
                <w:lang w:eastAsia="en-IN"/>
                <w14:ligatures w14:val="none"/>
              </w:rPr>
            </w:pPr>
            <w:r w:rsidRPr="00CE7183">
              <w:rPr>
                <w:rFonts w:ascii="Times New Roman" w:eastAsia="Times New Roman" w:hAnsi="Times New Roman" w:cs="Times New Roman"/>
                <w:color w:val="1A1C1E"/>
                <w:kern w:val="0"/>
                <w:szCs w:val="24"/>
                <w:lang w:eastAsia="en-IN"/>
                <w14:ligatures w14:val="none"/>
              </w:rPr>
              <w:t>N.A.</w:t>
            </w:r>
          </w:p>
        </w:tc>
      </w:tr>
      <w:tr w:rsidR="00CE4C34" w:rsidRPr="00CE7183" w14:paraId="13F50877" w14:textId="77777777" w:rsidTr="00B77C0B">
        <w:trPr>
          <w:trHeight w:val="313"/>
        </w:trPr>
        <w:tc>
          <w:tcPr>
            <w:tcW w:w="3071" w:type="dxa"/>
            <w:tcBorders>
              <w:top w:val="nil"/>
              <w:left w:val="single" w:sz="4" w:space="0" w:color="auto"/>
              <w:bottom w:val="single" w:sz="4" w:space="0" w:color="auto"/>
              <w:right w:val="single" w:sz="4" w:space="0" w:color="auto"/>
            </w:tcBorders>
            <w:shd w:val="clear" w:color="000000" w:fill="FFFFFF"/>
            <w:vAlign w:val="center"/>
            <w:hideMark/>
          </w:tcPr>
          <w:p w14:paraId="56458E34" w14:textId="77777777" w:rsidR="00CE4C34" w:rsidRPr="00CE7183" w:rsidRDefault="00CE4C34" w:rsidP="00B77C0B">
            <w:pPr>
              <w:spacing w:after="0" w:line="240" w:lineRule="auto"/>
              <w:ind w:firstLineChars="100" w:firstLine="240"/>
              <w:rPr>
                <w:rFonts w:ascii="Times New Roman" w:eastAsia="Times New Roman" w:hAnsi="Times New Roman" w:cs="Times New Roman"/>
                <w:color w:val="1A1C1E"/>
                <w:kern w:val="0"/>
                <w:szCs w:val="24"/>
                <w:lang w:eastAsia="en-IN"/>
                <w14:ligatures w14:val="none"/>
              </w:rPr>
            </w:pPr>
            <w:r w:rsidRPr="00CE7183">
              <w:rPr>
                <w:rFonts w:ascii="Times New Roman" w:eastAsia="Times New Roman" w:hAnsi="Times New Roman" w:cs="Times New Roman"/>
                <w:color w:val="1A1C1E"/>
                <w:kern w:val="0"/>
                <w:szCs w:val="24"/>
                <w:lang w:eastAsia="en-IN"/>
                <w14:ligatures w14:val="none"/>
              </w:rPr>
              <w:t>Mysore</w:t>
            </w:r>
          </w:p>
        </w:tc>
        <w:tc>
          <w:tcPr>
            <w:tcW w:w="1844" w:type="dxa"/>
            <w:tcBorders>
              <w:top w:val="nil"/>
              <w:left w:val="nil"/>
              <w:bottom w:val="single" w:sz="4" w:space="0" w:color="auto"/>
              <w:right w:val="single" w:sz="4" w:space="0" w:color="auto"/>
            </w:tcBorders>
            <w:shd w:val="clear" w:color="000000" w:fill="FFFFFF"/>
            <w:vAlign w:val="center"/>
            <w:hideMark/>
          </w:tcPr>
          <w:p w14:paraId="456D3988" w14:textId="77777777" w:rsidR="00CE4C34" w:rsidRPr="00CE7183" w:rsidRDefault="00CE4C34" w:rsidP="00B77C0B">
            <w:pPr>
              <w:spacing w:after="0" w:line="240" w:lineRule="auto"/>
              <w:ind w:firstLineChars="100" w:firstLine="240"/>
              <w:rPr>
                <w:rFonts w:ascii="Times New Roman" w:eastAsia="Times New Roman" w:hAnsi="Times New Roman" w:cs="Times New Roman"/>
                <w:color w:val="1A1C1E"/>
                <w:kern w:val="0"/>
                <w:szCs w:val="24"/>
                <w:lang w:eastAsia="en-IN"/>
                <w14:ligatures w14:val="none"/>
              </w:rPr>
            </w:pPr>
            <w:r w:rsidRPr="00CE7183">
              <w:rPr>
                <w:rFonts w:ascii="Times New Roman" w:eastAsia="Times New Roman" w:hAnsi="Times New Roman" w:cs="Times New Roman"/>
                <w:color w:val="1A1C1E"/>
                <w:kern w:val="0"/>
                <w:szCs w:val="24"/>
                <w:lang w:eastAsia="en-IN"/>
                <w14:ligatures w14:val="none"/>
              </w:rPr>
              <w:t>12.13</w:t>
            </w:r>
          </w:p>
        </w:tc>
        <w:tc>
          <w:tcPr>
            <w:tcW w:w="1846" w:type="dxa"/>
            <w:tcBorders>
              <w:top w:val="nil"/>
              <w:left w:val="nil"/>
              <w:bottom w:val="single" w:sz="4" w:space="0" w:color="auto"/>
              <w:right w:val="single" w:sz="4" w:space="0" w:color="auto"/>
            </w:tcBorders>
            <w:shd w:val="clear" w:color="000000" w:fill="FFFFFF"/>
            <w:vAlign w:val="center"/>
            <w:hideMark/>
          </w:tcPr>
          <w:p w14:paraId="0A44EBAE" w14:textId="77777777" w:rsidR="00CE4C34" w:rsidRPr="00CE7183" w:rsidRDefault="00CE4C34" w:rsidP="00B77C0B">
            <w:pPr>
              <w:spacing w:after="0" w:line="240" w:lineRule="auto"/>
              <w:ind w:firstLineChars="100" w:firstLine="240"/>
              <w:rPr>
                <w:rFonts w:ascii="Times New Roman" w:eastAsia="Times New Roman" w:hAnsi="Times New Roman" w:cs="Times New Roman"/>
                <w:color w:val="1A1C1E"/>
                <w:kern w:val="0"/>
                <w:szCs w:val="24"/>
                <w:lang w:eastAsia="en-IN"/>
                <w14:ligatures w14:val="none"/>
              </w:rPr>
            </w:pPr>
            <w:r w:rsidRPr="00CE7183">
              <w:rPr>
                <w:rFonts w:ascii="Times New Roman" w:eastAsia="Times New Roman" w:hAnsi="Times New Roman" w:cs="Times New Roman"/>
                <w:color w:val="1A1C1E"/>
                <w:kern w:val="0"/>
                <w:szCs w:val="24"/>
                <w:lang w:eastAsia="en-IN"/>
                <w14:ligatures w14:val="none"/>
              </w:rPr>
              <w:t>12.05</w:t>
            </w:r>
          </w:p>
        </w:tc>
        <w:tc>
          <w:tcPr>
            <w:tcW w:w="1846" w:type="dxa"/>
            <w:tcBorders>
              <w:top w:val="nil"/>
              <w:left w:val="nil"/>
              <w:bottom w:val="single" w:sz="4" w:space="0" w:color="auto"/>
              <w:right w:val="single" w:sz="4" w:space="0" w:color="auto"/>
            </w:tcBorders>
            <w:shd w:val="clear" w:color="000000" w:fill="FFFFFF"/>
            <w:vAlign w:val="center"/>
            <w:hideMark/>
          </w:tcPr>
          <w:p w14:paraId="11121A73" w14:textId="77777777" w:rsidR="00CE4C34" w:rsidRPr="00CE7183" w:rsidRDefault="00CE4C34" w:rsidP="00B77C0B">
            <w:pPr>
              <w:spacing w:after="0" w:line="240" w:lineRule="auto"/>
              <w:ind w:firstLineChars="100" w:firstLine="240"/>
              <w:rPr>
                <w:rFonts w:ascii="Times New Roman" w:eastAsia="Times New Roman" w:hAnsi="Times New Roman" w:cs="Times New Roman"/>
                <w:color w:val="1A1C1E"/>
                <w:kern w:val="0"/>
                <w:szCs w:val="24"/>
                <w:lang w:eastAsia="en-IN"/>
                <w14:ligatures w14:val="none"/>
              </w:rPr>
            </w:pPr>
            <w:r w:rsidRPr="00CE7183">
              <w:rPr>
                <w:rFonts w:ascii="Times New Roman" w:eastAsia="Times New Roman" w:hAnsi="Times New Roman" w:cs="Times New Roman"/>
                <w:color w:val="1A1C1E"/>
                <w:kern w:val="0"/>
                <w:szCs w:val="24"/>
                <w:lang w:eastAsia="en-IN"/>
                <w14:ligatures w14:val="none"/>
              </w:rPr>
              <w:t>12.44</w:t>
            </w:r>
          </w:p>
        </w:tc>
        <w:tc>
          <w:tcPr>
            <w:tcW w:w="1972" w:type="dxa"/>
            <w:tcBorders>
              <w:top w:val="nil"/>
              <w:left w:val="nil"/>
              <w:bottom w:val="single" w:sz="4" w:space="0" w:color="auto"/>
              <w:right w:val="single" w:sz="4" w:space="0" w:color="auto"/>
            </w:tcBorders>
            <w:shd w:val="clear" w:color="000000" w:fill="FFFFFF"/>
            <w:vAlign w:val="center"/>
            <w:hideMark/>
          </w:tcPr>
          <w:p w14:paraId="7E8D7601" w14:textId="31DFC55D" w:rsidR="00CE4C34" w:rsidRPr="00CE7183" w:rsidRDefault="00CE4C34" w:rsidP="00B77C0B">
            <w:pPr>
              <w:spacing w:after="0" w:line="240" w:lineRule="auto"/>
              <w:ind w:firstLineChars="100" w:firstLine="240"/>
              <w:rPr>
                <w:rFonts w:ascii="Times New Roman" w:eastAsia="Times New Roman" w:hAnsi="Times New Roman" w:cs="Times New Roman"/>
                <w:color w:val="1A1C1E"/>
                <w:kern w:val="0"/>
                <w:szCs w:val="24"/>
                <w:lang w:eastAsia="en-IN"/>
                <w14:ligatures w14:val="none"/>
              </w:rPr>
            </w:pPr>
            <w:r w:rsidRPr="00CE7183">
              <w:rPr>
                <w:rFonts w:ascii="Times New Roman" w:eastAsia="Times New Roman" w:hAnsi="Times New Roman" w:cs="Times New Roman"/>
                <w:color w:val="1A1C1E"/>
                <w:kern w:val="0"/>
                <w:szCs w:val="24"/>
                <w:lang w:eastAsia="en-IN"/>
                <w14:ligatures w14:val="none"/>
              </w:rPr>
              <w:t>17.3</w:t>
            </w:r>
            <w:r w:rsidR="00B34D24">
              <w:rPr>
                <w:rFonts w:ascii="Times New Roman" w:eastAsia="Times New Roman" w:hAnsi="Times New Roman" w:cs="Times New Roman"/>
                <w:color w:val="1A1C1E"/>
                <w:kern w:val="0"/>
                <w:szCs w:val="24"/>
                <w:lang w:eastAsia="en-IN"/>
                <w14:ligatures w14:val="none"/>
              </w:rPr>
              <w:t>0</w:t>
            </w:r>
          </w:p>
        </w:tc>
      </w:tr>
      <w:tr w:rsidR="00CE4C34" w:rsidRPr="00CE7183" w14:paraId="66689558" w14:textId="77777777" w:rsidTr="00B77C0B">
        <w:trPr>
          <w:trHeight w:val="313"/>
        </w:trPr>
        <w:tc>
          <w:tcPr>
            <w:tcW w:w="3071" w:type="dxa"/>
            <w:tcBorders>
              <w:top w:val="nil"/>
              <w:left w:val="single" w:sz="4" w:space="0" w:color="auto"/>
              <w:bottom w:val="single" w:sz="4" w:space="0" w:color="auto"/>
              <w:right w:val="single" w:sz="4" w:space="0" w:color="auto"/>
            </w:tcBorders>
            <w:shd w:val="clear" w:color="000000" w:fill="FFFFFF"/>
            <w:vAlign w:val="center"/>
            <w:hideMark/>
          </w:tcPr>
          <w:p w14:paraId="3A5279B3" w14:textId="77777777" w:rsidR="00CE4C34" w:rsidRPr="00CE7183" w:rsidRDefault="00CE4C34" w:rsidP="00B77C0B">
            <w:pPr>
              <w:spacing w:after="0" w:line="240" w:lineRule="auto"/>
              <w:ind w:firstLineChars="100" w:firstLine="240"/>
              <w:rPr>
                <w:rFonts w:ascii="Times New Roman" w:eastAsia="Times New Roman" w:hAnsi="Times New Roman" w:cs="Times New Roman"/>
                <w:color w:val="1A1C1E"/>
                <w:kern w:val="0"/>
                <w:szCs w:val="24"/>
                <w:lang w:eastAsia="en-IN"/>
                <w14:ligatures w14:val="none"/>
              </w:rPr>
            </w:pPr>
            <w:r w:rsidRPr="00CE7183">
              <w:rPr>
                <w:rFonts w:ascii="Times New Roman" w:eastAsia="Times New Roman" w:hAnsi="Times New Roman" w:cs="Times New Roman"/>
                <w:color w:val="1A1C1E"/>
                <w:kern w:val="0"/>
                <w:szCs w:val="24"/>
                <w:lang w:eastAsia="en-IN"/>
                <w14:ligatures w14:val="none"/>
              </w:rPr>
              <w:t>Nagaland</w:t>
            </w:r>
          </w:p>
        </w:tc>
        <w:tc>
          <w:tcPr>
            <w:tcW w:w="1844" w:type="dxa"/>
            <w:tcBorders>
              <w:top w:val="nil"/>
              <w:left w:val="nil"/>
              <w:bottom w:val="single" w:sz="4" w:space="0" w:color="auto"/>
              <w:right w:val="single" w:sz="4" w:space="0" w:color="auto"/>
            </w:tcBorders>
            <w:shd w:val="clear" w:color="000000" w:fill="FFFFFF"/>
            <w:vAlign w:val="center"/>
            <w:hideMark/>
          </w:tcPr>
          <w:p w14:paraId="091391E9" w14:textId="77777777" w:rsidR="00CE4C34" w:rsidRPr="00CE7183" w:rsidRDefault="00CE4C34" w:rsidP="00B77C0B">
            <w:pPr>
              <w:spacing w:after="0" w:line="240" w:lineRule="auto"/>
              <w:ind w:firstLineChars="100" w:firstLine="240"/>
              <w:rPr>
                <w:rFonts w:ascii="Times New Roman" w:eastAsia="Times New Roman" w:hAnsi="Times New Roman" w:cs="Times New Roman"/>
                <w:color w:val="1A1C1E"/>
                <w:kern w:val="0"/>
                <w:szCs w:val="24"/>
                <w:lang w:eastAsia="en-IN"/>
                <w14:ligatures w14:val="none"/>
              </w:rPr>
            </w:pPr>
            <w:r w:rsidRPr="00CE7183">
              <w:rPr>
                <w:rFonts w:ascii="Times New Roman" w:eastAsia="Times New Roman" w:hAnsi="Times New Roman" w:cs="Times New Roman"/>
                <w:color w:val="1A1C1E"/>
                <w:kern w:val="0"/>
                <w:szCs w:val="24"/>
                <w:lang w:eastAsia="en-IN"/>
                <w14:ligatures w14:val="none"/>
              </w:rPr>
              <w:t>..</w:t>
            </w:r>
          </w:p>
        </w:tc>
        <w:tc>
          <w:tcPr>
            <w:tcW w:w="1846" w:type="dxa"/>
            <w:tcBorders>
              <w:top w:val="nil"/>
              <w:left w:val="nil"/>
              <w:bottom w:val="single" w:sz="4" w:space="0" w:color="auto"/>
              <w:right w:val="single" w:sz="4" w:space="0" w:color="auto"/>
            </w:tcBorders>
            <w:shd w:val="clear" w:color="000000" w:fill="FFFFFF"/>
            <w:vAlign w:val="center"/>
            <w:hideMark/>
          </w:tcPr>
          <w:p w14:paraId="4ED14EDE" w14:textId="77777777" w:rsidR="00CE4C34" w:rsidRPr="00CE7183" w:rsidRDefault="00CE4C34" w:rsidP="00B77C0B">
            <w:pPr>
              <w:spacing w:after="0" w:line="240" w:lineRule="auto"/>
              <w:ind w:firstLineChars="100" w:firstLine="240"/>
              <w:rPr>
                <w:rFonts w:ascii="Times New Roman" w:eastAsia="Times New Roman" w:hAnsi="Times New Roman" w:cs="Times New Roman"/>
                <w:color w:val="1A1C1E"/>
                <w:kern w:val="0"/>
                <w:szCs w:val="24"/>
                <w:lang w:eastAsia="en-IN"/>
                <w14:ligatures w14:val="none"/>
              </w:rPr>
            </w:pPr>
            <w:r w:rsidRPr="00CE7183">
              <w:rPr>
                <w:rFonts w:ascii="Times New Roman" w:eastAsia="Times New Roman" w:hAnsi="Times New Roman" w:cs="Times New Roman"/>
                <w:color w:val="1A1C1E"/>
                <w:kern w:val="0"/>
                <w:szCs w:val="24"/>
                <w:lang w:eastAsia="en-IN"/>
                <w14:ligatures w14:val="none"/>
              </w:rPr>
              <w:t>..</w:t>
            </w:r>
          </w:p>
        </w:tc>
        <w:tc>
          <w:tcPr>
            <w:tcW w:w="1846" w:type="dxa"/>
            <w:tcBorders>
              <w:top w:val="nil"/>
              <w:left w:val="nil"/>
              <w:bottom w:val="single" w:sz="4" w:space="0" w:color="auto"/>
              <w:right w:val="single" w:sz="4" w:space="0" w:color="auto"/>
            </w:tcBorders>
            <w:shd w:val="clear" w:color="000000" w:fill="FFFFFF"/>
            <w:vAlign w:val="center"/>
            <w:hideMark/>
          </w:tcPr>
          <w:p w14:paraId="4ECB6F77" w14:textId="77777777" w:rsidR="00CE4C34" w:rsidRPr="00CE7183" w:rsidRDefault="00CE4C34" w:rsidP="00B77C0B">
            <w:pPr>
              <w:spacing w:after="0" w:line="240" w:lineRule="auto"/>
              <w:ind w:firstLineChars="100" w:firstLine="240"/>
              <w:rPr>
                <w:rFonts w:ascii="Times New Roman" w:eastAsia="Times New Roman" w:hAnsi="Times New Roman" w:cs="Times New Roman"/>
                <w:color w:val="1A1C1E"/>
                <w:kern w:val="0"/>
                <w:szCs w:val="24"/>
                <w:lang w:eastAsia="en-IN"/>
                <w14:ligatures w14:val="none"/>
              </w:rPr>
            </w:pPr>
            <w:r w:rsidRPr="00CE7183">
              <w:rPr>
                <w:rFonts w:ascii="Times New Roman" w:eastAsia="Times New Roman" w:hAnsi="Times New Roman" w:cs="Times New Roman"/>
                <w:color w:val="1A1C1E"/>
                <w:kern w:val="0"/>
                <w:szCs w:val="24"/>
                <w:lang w:eastAsia="en-IN"/>
                <w14:ligatures w14:val="none"/>
              </w:rPr>
              <w:t>..</w:t>
            </w:r>
          </w:p>
        </w:tc>
        <w:tc>
          <w:tcPr>
            <w:tcW w:w="1972" w:type="dxa"/>
            <w:tcBorders>
              <w:top w:val="nil"/>
              <w:left w:val="nil"/>
              <w:bottom w:val="single" w:sz="4" w:space="0" w:color="auto"/>
              <w:right w:val="single" w:sz="4" w:space="0" w:color="auto"/>
            </w:tcBorders>
            <w:shd w:val="clear" w:color="000000" w:fill="FFFFFF"/>
            <w:vAlign w:val="center"/>
            <w:hideMark/>
          </w:tcPr>
          <w:p w14:paraId="6D8019BF" w14:textId="77777777" w:rsidR="00CE4C34" w:rsidRPr="00CE7183" w:rsidRDefault="00CE4C34" w:rsidP="00B77C0B">
            <w:pPr>
              <w:spacing w:after="0" w:line="240" w:lineRule="auto"/>
              <w:ind w:firstLineChars="100" w:firstLine="240"/>
              <w:rPr>
                <w:rFonts w:ascii="Times New Roman" w:eastAsia="Times New Roman" w:hAnsi="Times New Roman" w:cs="Times New Roman"/>
                <w:color w:val="1A1C1E"/>
                <w:kern w:val="0"/>
                <w:szCs w:val="24"/>
                <w:lang w:eastAsia="en-IN"/>
                <w14:ligatures w14:val="none"/>
              </w:rPr>
            </w:pPr>
            <w:r w:rsidRPr="00CE7183">
              <w:rPr>
                <w:rFonts w:ascii="Times New Roman" w:eastAsia="Times New Roman" w:hAnsi="Times New Roman" w:cs="Times New Roman"/>
                <w:color w:val="1A1C1E"/>
                <w:kern w:val="0"/>
                <w:szCs w:val="24"/>
                <w:lang w:eastAsia="en-IN"/>
                <w14:ligatures w14:val="none"/>
              </w:rPr>
              <w:t>..</w:t>
            </w:r>
          </w:p>
        </w:tc>
      </w:tr>
      <w:tr w:rsidR="00CE4C34" w:rsidRPr="00CE7183" w14:paraId="7939E065" w14:textId="77777777" w:rsidTr="00B77C0B">
        <w:trPr>
          <w:trHeight w:val="313"/>
        </w:trPr>
        <w:tc>
          <w:tcPr>
            <w:tcW w:w="3071" w:type="dxa"/>
            <w:tcBorders>
              <w:top w:val="nil"/>
              <w:left w:val="single" w:sz="4" w:space="0" w:color="auto"/>
              <w:bottom w:val="single" w:sz="4" w:space="0" w:color="auto"/>
              <w:right w:val="single" w:sz="4" w:space="0" w:color="auto"/>
            </w:tcBorders>
            <w:shd w:val="clear" w:color="000000" w:fill="FFFFFF"/>
            <w:vAlign w:val="center"/>
            <w:hideMark/>
          </w:tcPr>
          <w:p w14:paraId="55362C9B" w14:textId="77777777" w:rsidR="00CE4C34" w:rsidRPr="00CE7183" w:rsidRDefault="00CE4C34" w:rsidP="00B77C0B">
            <w:pPr>
              <w:spacing w:after="0" w:line="240" w:lineRule="auto"/>
              <w:ind w:firstLineChars="100" w:firstLine="240"/>
              <w:rPr>
                <w:rFonts w:ascii="Times New Roman" w:eastAsia="Times New Roman" w:hAnsi="Times New Roman" w:cs="Times New Roman"/>
                <w:color w:val="1A1C1E"/>
                <w:kern w:val="0"/>
                <w:szCs w:val="24"/>
                <w:lang w:eastAsia="en-IN"/>
                <w14:ligatures w14:val="none"/>
              </w:rPr>
            </w:pPr>
            <w:r w:rsidRPr="00CE7183">
              <w:rPr>
                <w:rFonts w:ascii="Times New Roman" w:eastAsia="Times New Roman" w:hAnsi="Times New Roman" w:cs="Times New Roman"/>
                <w:color w:val="1A1C1E"/>
                <w:kern w:val="0"/>
                <w:szCs w:val="24"/>
                <w:lang w:eastAsia="en-IN"/>
                <w14:ligatures w14:val="none"/>
              </w:rPr>
              <w:t>Orissa</w:t>
            </w:r>
          </w:p>
        </w:tc>
        <w:tc>
          <w:tcPr>
            <w:tcW w:w="1844" w:type="dxa"/>
            <w:tcBorders>
              <w:top w:val="nil"/>
              <w:left w:val="nil"/>
              <w:bottom w:val="single" w:sz="4" w:space="0" w:color="auto"/>
              <w:right w:val="single" w:sz="4" w:space="0" w:color="auto"/>
            </w:tcBorders>
            <w:shd w:val="clear" w:color="000000" w:fill="FFFFFF"/>
            <w:vAlign w:val="center"/>
            <w:hideMark/>
          </w:tcPr>
          <w:p w14:paraId="1A5A15C5" w14:textId="77777777" w:rsidR="00CE4C34" w:rsidRPr="00CE7183" w:rsidRDefault="00CE4C34" w:rsidP="00B77C0B">
            <w:pPr>
              <w:spacing w:after="0" w:line="240" w:lineRule="auto"/>
              <w:ind w:firstLineChars="100" w:firstLine="240"/>
              <w:rPr>
                <w:rFonts w:ascii="Times New Roman" w:eastAsia="Times New Roman" w:hAnsi="Times New Roman" w:cs="Times New Roman"/>
                <w:color w:val="1A1C1E"/>
                <w:kern w:val="0"/>
                <w:szCs w:val="24"/>
                <w:lang w:eastAsia="en-IN"/>
                <w14:ligatures w14:val="none"/>
              </w:rPr>
            </w:pPr>
            <w:r w:rsidRPr="00CE7183">
              <w:rPr>
                <w:rFonts w:ascii="Times New Roman" w:eastAsia="Times New Roman" w:hAnsi="Times New Roman" w:cs="Times New Roman"/>
                <w:color w:val="1A1C1E"/>
                <w:kern w:val="0"/>
                <w:szCs w:val="24"/>
                <w:lang w:eastAsia="en-IN"/>
                <w14:ligatures w14:val="none"/>
              </w:rPr>
              <w:t>22.73</w:t>
            </w:r>
          </w:p>
        </w:tc>
        <w:tc>
          <w:tcPr>
            <w:tcW w:w="1846" w:type="dxa"/>
            <w:tcBorders>
              <w:top w:val="nil"/>
              <w:left w:val="nil"/>
              <w:bottom w:val="single" w:sz="4" w:space="0" w:color="auto"/>
              <w:right w:val="single" w:sz="4" w:space="0" w:color="auto"/>
            </w:tcBorders>
            <w:shd w:val="clear" w:color="000000" w:fill="FFFFFF"/>
            <w:vAlign w:val="center"/>
            <w:hideMark/>
          </w:tcPr>
          <w:p w14:paraId="0D01E9C8" w14:textId="77777777" w:rsidR="00CE4C34" w:rsidRPr="00CE7183" w:rsidRDefault="00CE4C34" w:rsidP="00B77C0B">
            <w:pPr>
              <w:spacing w:after="0" w:line="240" w:lineRule="auto"/>
              <w:ind w:firstLineChars="100" w:firstLine="240"/>
              <w:rPr>
                <w:rFonts w:ascii="Times New Roman" w:eastAsia="Times New Roman" w:hAnsi="Times New Roman" w:cs="Times New Roman"/>
                <w:color w:val="1A1C1E"/>
                <w:kern w:val="0"/>
                <w:szCs w:val="24"/>
                <w:lang w:eastAsia="en-IN"/>
                <w14:ligatures w14:val="none"/>
              </w:rPr>
            </w:pPr>
            <w:r w:rsidRPr="00CE7183">
              <w:rPr>
                <w:rFonts w:ascii="Times New Roman" w:eastAsia="Times New Roman" w:hAnsi="Times New Roman" w:cs="Times New Roman"/>
                <w:color w:val="1A1C1E"/>
                <w:kern w:val="0"/>
                <w:szCs w:val="24"/>
                <w:lang w:eastAsia="en-IN"/>
                <w14:ligatures w14:val="none"/>
              </w:rPr>
              <w:t>22.04</w:t>
            </w:r>
          </w:p>
        </w:tc>
        <w:tc>
          <w:tcPr>
            <w:tcW w:w="1846" w:type="dxa"/>
            <w:tcBorders>
              <w:top w:val="nil"/>
              <w:left w:val="nil"/>
              <w:bottom w:val="single" w:sz="4" w:space="0" w:color="auto"/>
              <w:right w:val="single" w:sz="4" w:space="0" w:color="auto"/>
            </w:tcBorders>
            <w:shd w:val="clear" w:color="000000" w:fill="FFFFFF"/>
            <w:vAlign w:val="center"/>
            <w:hideMark/>
          </w:tcPr>
          <w:p w14:paraId="1D724E83" w14:textId="77777777" w:rsidR="00CE4C34" w:rsidRPr="00CE7183" w:rsidRDefault="00CE4C34" w:rsidP="00B77C0B">
            <w:pPr>
              <w:spacing w:after="0" w:line="240" w:lineRule="auto"/>
              <w:ind w:firstLineChars="100" w:firstLine="240"/>
              <w:rPr>
                <w:rFonts w:ascii="Times New Roman" w:eastAsia="Times New Roman" w:hAnsi="Times New Roman" w:cs="Times New Roman"/>
                <w:color w:val="1A1C1E"/>
                <w:kern w:val="0"/>
                <w:szCs w:val="24"/>
                <w:lang w:eastAsia="en-IN"/>
                <w14:ligatures w14:val="none"/>
              </w:rPr>
            </w:pPr>
            <w:r w:rsidRPr="00CE7183">
              <w:rPr>
                <w:rFonts w:ascii="Times New Roman" w:eastAsia="Times New Roman" w:hAnsi="Times New Roman" w:cs="Times New Roman"/>
                <w:color w:val="1A1C1E"/>
                <w:kern w:val="0"/>
                <w:szCs w:val="24"/>
                <w:lang w:eastAsia="en-IN"/>
                <w14:ligatures w14:val="none"/>
              </w:rPr>
              <w:t>23.53</w:t>
            </w:r>
          </w:p>
        </w:tc>
        <w:tc>
          <w:tcPr>
            <w:tcW w:w="1972" w:type="dxa"/>
            <w:tcBorders>
              <w:top w:val="nil"/>
              <w:left w:val="nil"/>
              <w:bottom w:val="single" w:sz="4" w:space="0" w:color="auto"/>
              <w:right w:val="single" w:sz="4" w:space="0" w:color="auto"/>
            </w:tcBorders>
            <w:shd w:val="clear" w:color="000000" w:fill="FFFFFF"/>
            <w:vAlign w:val="center"/>
            <w:hideMark/>
          </w:tcPr>
          <w:p w14:paraId="453ABB8D" w14:textId="77777777" w:rsidR="00CE4C34" w:rsidRPr="00CE7183" w:rsidRDefault="00CE4C34" w:rsidP="00B77C0B">
            <w:pPr>
              <w:spacing w:after="0" w:line="240" w:lineRule="auto"/>
              <w:ind w:firstLineChars="100" w:firstLine="240"/>
              <w:rPr>
                <w:rFonts w:ascii="Times New Roman" w:eastAsia="Times New Roman" w:hAnsi="Times New Roman" w:cs="Times New Roman"/>
                <w:color w:val="1A1C1E"/>
                <w:kern w:val="0"/>
                <w:szCs w:val="24"/>
                <w:lang w:eastAsia="en-IN"/>
                <w14:ligatures w14:val="none"/>
              </w:rPr>
            </w:pPr>
            <w:r w:rsidRPr="00CE7183">
              <w:rPr>
                <w:rFonts w:ascii="Times New Roman" w:eastAsia="Times New Roman" w:hAnsi="Times New Roman" w:cs="Times New Roman"/>
                <w:color w:val="1A1C1E"/>
                <w:kern w:val="0"/>
                <w:szCs w:val="24"/>
                <w:lang w:eastAsia="en-IN"/>
                <w14:ligatures w14:val="none"/>
              </w:rPr>
              <w:t>21.21</w:t>
            </w:r>
          </w:p>
        </w:tc>
      </w:tr>
      <w:tr w:rsidR="00CE4C34" w:rsidRPr="00CE7183" w14:paraId="6C26C71F" w14:textId="77777777" w:rsidTr="00B77C0B">
        <w:trPr>
          <w:trHeight w:val="313"/>
        </w:trPr>
        <w:tc>
          <w:tcPr>
            <w:tcW w:w="3071" w:type="dxa"/>
            <w:tcBorders>
              <w:top w:val="nil"/>
              <w:left w:val="single" w:sz="4" w:space="0" w:color="auto"/>
              <w:bottom w:val="single" w:sz="4" w:space="0" w:color="auto"/>
              <w:right w:val="single" w:sz="4" w:space="0" w:color="auto"/>
            </w:tcBorders>
            <w:shd w:val="clear" w:color="000000" w:fill="FFFFFF"/>
            <w:vAlign w:val="center"/>
            <w:hideMark/>
          </w:tcPr>
          <w:p w14:paraId="3C626A2B" w14:textId="77777777" w:rsidR="00CE4C34" w:rsidRPr="00CE7183" w:rsidRDefault="00CE4C34" w:rsidP="00B77C0B">
            <w:pPr>
              <w:spacing w:after="0" w:line="240" w:lineRule="auto"/>
              <w:ind w:firstLineChars="100" w:firstLine="240"/>
              <w:rPr>
                <w:rFonts w:ascii="Times New Roman" w:eastAsia="Times New Roman" w:hAnsi="Times New Roman" w:cs="Times New Roman"/>
                <w:color w:val="1A1C1E"/>
                <w:kern w:val="0"/>
                <w:szCs w:val="24"/>
                <w:lang w:eastAsia="en-IN"/>
                <w14:ligatures w14:val="none"/>
              </w:rPr>
            </w:pPr>
            <w:r w:rsidRPr="00CE7183">
              <w:rPr>
                <w:rFonts w:ascii="Times New Roman" w:eastAsia="Times New Roman" w:hAnsi="Times New Roman" w:cs="Times New Roman"/>
                <w:color w:val="1A1C1E"/>
                <w:kern w:val="0"/>
                <w:szCs w:val="24"/>
                <w:lang w:eastAsia="en-IN"/>
                <w14:ligatures w14:val="none"/>
              </w:rPr>
              <w:t>Punjab</w:t>
            </w:r>
          </w:p>
        </w:tc>
        <w:tc>
          <w:tcPr>
            <w:tcW w:w="1844" w:type="dxa"/>
            <w:tcBorders>
              <w:top w:val="nil"/>
              <w:left w:val="nil"/>
              <w:bottom w:val="single" w:sz="4" w:space="0" w:color="auto"/>
              <w:right w:val="single" w:sz="4" w:space="0" w:color="auto"/>
            </w:tcBorders>
            <w:shd w:val="clear" w:color="000000" w:fill="FFFFFF"/>
            <w:vAlign w:val="center"/>
            <w:hideMark/>
          </w:tcPr>
          <w:p w14:paraId="268FC79E" w14:textId="77777777" w:rsidR="00CE4C34" w:rsidRPr="00CE7183" w:rsidRDefault="00CE4C34" w:rsidP="00B77C0B">
            <w:pPr>
              <w:spacing w:after="0" w:line="240" w:lineRule="auto"/>
              <w:ind w:firstLineChars="100" w:firstLine="240"/>
              <w:rPr>
                <w:rFonts w:ascii="Times New Roman" w:eastAsia="Times New Roman" w:hAnsi="Times New Roman" w:cs="Times New Roman"/>
                <w:color w:val="1A1C1E"/>
                <w:kern w:val="0"/>
                <w:szCs w:val="24"/>
                <w:lang w:eastAsia="en-IN"/>
                <w14:ligatures w14:val="none"/>
              </w:rPr>
            </w:pPr>
            <w:r w:rsidRPr="00CE7183">
              <w:rPr>
                <w:rFonts w:ascii="Times New Roman" w:eastAsia="Times New Roman" w:hAnsi="Times New Roman" w:cs="Times New Roman"/>
                <w:color w:val="1A1C1E"/>
                <w:kern w:val="0"/>
                <w:szCs w:val="24"/>
                <w:lang w:eastAsia="en-IN"/>
                <w14:ligatures w14:val="none"/>
              </w:rPr>
              <w:t>3.09</w:t>
            </w:r>
          </w:p>
        </w:tc>
        <w:tc>
          <w:tcPr>
            <w:tcW w:w="1846" w:type="dxa"/>
            <w:tcBorders>
              <w:top w:val="nil"/>
              <w:left w:val="nil"/>
              <w:bottom w:val="single" w:sz="4" w:space="0" w:color="auto"/>
              <w:right w:val="single" w:sz="4" w:space="0" w:color="auto"/>
            </w:tcBorders>
            <w:shd w:val="clear" w:color="000000" w:fill="FFFFFF"/>
            <w:vAlign w:val="center"/>
            <w:hideMark/>
          </w:tcPr>
          <w:p w14:paraId="74E9C3A0" w14:textId="70A34AA9" w:rsidR="00CE4C34" w:rsidRPr="00CE7183" w:rsidRDefault="00CE4C34" w:rsidP="00B77C0B">
            <w:pPr>
              <w:spacing w:after="0" w:line="240" w:lineRule="auto"/>
              <w:ind w:firstLineChars="100" w:firstLine="240"/>
              <w:rPr>
                <w:rFonts w:ascii="Times New Roman" w:eastAsia="Times New Roman" w:hAnsi="Times New Roman" w:cs="Times New Roman"/>
                <w:color w:val="1A1C1E"/>
                <w:kern w:val="0"/>
                <w:szCs w:val="24"/>
                <w:lang w:eastAsia="en-IN"/>
                <w14:ligatures w14:val="none"/>
              </w:rPr>
            </w:pPr>
            <w:r w:rsidRPr="00CE7183">
              <w:rPr>
                <w:rFonts w:ascii="Times New Roman" w:eastAsia="Times New Roman" w:hAnsi="Times New Roman" w:cs="Times New Roman"/>
                <w:color w:val="1A1C1E"/>
                <w:kern w:val="0"/>
                <w:szCs w:val="24"/>
                <w:lang w:eastAsia="en-IN"/>
                <w14:ligatures w14:val="none"/>
              </w:rPr>
              <w:t>3.7</w:t>
            </w:r>
            <w:r w:rsidR="00B34D24">
              <w:rPr>
                <w:rFonts w:ascii="Times New Roman" w:eastAsia="Times New Roman" w:hAnsi="Times New Roman" w:cs="Times New Roman"/>
                <w:color w:val="1A1C1E"/>
                <w:kern w:val="0"/>
                <w:szCs w:val="24"/>
                <w:lang w:eastAsia="en-IN"/>
                <w14:ligatures w14:val="none"/>
              </w:rPr>
              <w:t>0</w:t>
            </w:r>
          </w:p>
        </w:tc>
        <w:tc>
          <w:tcPr>
            <w:tcW w:w="1846" w:type="dxa"/>
            <w:tcBorders>
              <w:top w:val="nil"/>
              <w:left w:val="nil"/>
              <w:bottom w:val="single" w:sz="4" w:space="0" w:color="auto"/>
              <w:right w:val="single" w:sz="4" w:space="0" w:color="auto"/>
            </w:tcBorders>
            <w:shd w:val="clear" w:color="000000" w:fill="FFFFFF"/>
            <w:vAlign w:val="center"/>
            <w:hideMark/>
          </w:tcPr>
          <w:p w14:paraId="4702B90D" w14:textId="77777777" w:rsidR="00CE4C34" w:rsidRPr="00CE7183" w:rsidRDefault="00CE4C34" w:rsidP="00B77C0B">
            <w:pPr>
              <w:spacing w:after="0" w:line="240" w:lineRule="auto"/>
              <w:ind w:firstLineChars="100" w:firstLine="240"/>
              <w:rPr>
                <w:rFonts w:ascii="Times New Roman" w:eastAsia="Times New Roman" w:hAnsi="Times New Roman" w:cs="Times New Roman"/>
                <w:color w:val="1A1C1E"/>
                <w:kern w:val="0"/>
                <w:szCs w:val="24"/>
                <w:lang w:eastAsia="en-IN"/>
                <w14:ligatures w14:val="none"/>
              </w:rPr>
            </w:pPr>
            <w:r w:rsidRPr="00CE7183">
              <w:rPr>
                <w:rFonts w:ascii="Times New Roman" w:eastAsia="Times New Roman" w:hAnsi="Times New Roman" w:cs="Times New Roman"/>
                <w:color w:val="1A1C1E"/>
                <w:kern w:val="0"/>
                <w:szCs w:val="24"/>
                <w:lang w:eastAsia="en-IN"/>
                <w14:ligatures w14:val="none"/>
              </w:rPr>
              <w:t>3.76</w:t>
            </w:r>
          </w:p>
        </w:tc>
        <w:tc>
          <w:tcPr>
            <w:tcW w:w="1972" w:type="dxa"/>
            <w:tcBorders>
              <w:top w:val="nil"/>
              <w:left w:val="nil"/>
              <w:bottom w:val="single" w:sz="4" w:space="0" w:color="auto"/>
              <w:right w:val="single" w:sz="4" w:space="0" w:color="auto"/>
            </w:tcBorders>
            <w:shd w:val="clear" w:color="000000" w:fill="FFFFFF"/>
            <w:vAlign w:val="center"/>
            <w:hideMark/>
          </w:tcPr>
          <w:p w14:paraId="4E81FF2A" w14:textId="77777777" w:rsidR="00CE4C34" w:rsidRPr="00CE7183" w:rsidRDefault="00CE4C34" w:rsidP="00B77C0B">
            <w:pPr>
              <w:spacing w:after="0" w:line="240" w:lineRule="auto"/>
              <w:ind w:firstLineChars="100" w:firstLine="240"/>
              <w:rPr>
                <w:rFonts w:ascii="Times New Roman" w:eastAsia="Times New Roman" w:hAnsi="Times New Roman" w:cs="Times New Roman"/>
                <w:color w:val="1A1C1E"/>
                <w:kern w:val="0"/>
                <w:szCs w:val="24"/>
                <w:lang w:eastAsia="en-IN"/>
                <w14:ligatures w14:val="none"/>
              </w:rPr>
            </w:pPr>
            <w:r w:rsidRPr="00CE7183">
              <w:rPr>
                <w:rFonts w:ascii="Times New Roman" w:eastAsia="Times New Roman" w:hAnsi="Times New Roman" w:cs="Times New Roman"/>
                <w:color w:val="1A1C1E"/>
                <w:kern w:val="0"/>
                <w:szCs w:val="24"/>
                <w:lang w:eastAsia="en-IN"/>
                <w14:ligatures w14:val="none"/>
              </w:rPr>
              <w:t>2.45</w:t>
            </w:r>
          </w:p>
        </w:tc>
      </w:tr>
      <w:tr w:rsidR="00CE4C34" w:rsidRPr="00CE7183" w14:paraId="65C0F80C" w14:textId="77777777" w:rsidTr="00B77C0B">
        <w:trPr>
          <w:trHeight w:val="313"/>
        </w:trPr>
        <w:tc>
          <w:tcPr>
            <w:tcW w:w="3071" w:type="dxa"/>
            <w:tcBorders>
              <w:top w:val="nil"/>
              <w:left w:val="single" w:sz="4" w:space="0" w:color="auto"/>
              <w:bottom w:val="single" w:sz="4" w:space="0" w:color="auto"/>
              <w:right w:val="single" w:sz="4" w:space="0" w:color="auto"/>
            </w:tcBorders>
            <w:shd w:val="clear" w:color="000000" w:fill="FFFFFF"/>
            <w:vAlign w:val="center"/>
            <w:hideMark/>
          </w:tcPr>
          <w:p w14:paraId="26B1DA70" w14:textId="77777777" w:rsidR="00CE4C34" w:rsidRPr="00CE7183" w:rsidRDefault="00CE4C34" w:rsidP="00B77C0B">
            <w:pPr>
              <w:spacing w:after="0" w:line="240" w:lineRule="auto"/>
              <w:ind w:firstLineChars="100" w:firstLine="240"/>
              <w:rPr>
                <w:rFonts w:ascii="Times New Roman" w:eastAsia="Times New Roman" w:hAnsi="Times New Roman" w:cs="Times New Roman"/>
                <w:color w:val="1A1C1E"/>
                <w:kern w:val="0"/>
                <w:szCs w:val="24"/>
                <w:lang w:eastAsia="en-IN"/>
                <w14:ligatures w14:val="none"/>
              </w:rPr>
            </w:pPr>
            <w:r w:rsidRPr="00CE7183">
              <w:rPr>
                <w:rFonts w:ascii="Times New Roman" w:eastAsia="Times New Roman" w:hAnsi="Times New Roman" w:cs="Times New Roman"/>
                <w:color w:val="1A1C1E"/>
                <w:kern w:val="0"/>
                <w:szCs w:val="24"/>
                <w:lang w:eastAsia="en-IN"/>
                <w14:ligatures w14:val="none"/>
              </w:rPr>
              <w:t>Rajasthan</w:t>
            </w:r>
          </w:p>
        </w:tc>
        <w:tc>
          <w:tcPr>
            <w:tcW w:w="1844" w:type="dxa"/>
            <w:tcBorders>
              <w:top w:val="nil"/>
              <w:left w:val="nil"/>
              <w:bottom w:val="single" w:sz="4" w:space="0" w:color="auto"/>
              <w:right w:val="single" w:sz="4" w:space="0" w:color="auto"/>
            </w:tcBorders>
            <w:shd w:val="clear" w:color="000000" w:fill="FFFFFF"/>
            <w:vAlign w:val="center"/>
            <w:hideMark/>
          </w:tcPr>
          <w:p w14:paraId="1015BD01" w14:textId="77777777" w:rsidR="00CE4C34" w:rsidRPr="00CE7183" w:rsidRDefault="00CE4C34" w:rsidP="00B77C0B">
            <w:pPr>
              <w:spacing w:after="0" w:line="240" w:lineRule="auto"/>
              <w:ind w:firstLineChars="100" w:firstLine="240"/>
              <w:rPr>
                <w:rFonts w:ascii="Times New Roman" w:eastAsia="Times New Roman" w:hAnsi="Times New Roman" w:cs="Times New Roman"/>
                <w:color w:val="1A1C1E"/>
                <w:kern w:val="0"/>
                <w:szCs w:val="24"/>
                <w:lang w:eastAsia="en-IN"/>
                <w14:ligatures w14:val="none"/>
              </w:rPr>
            </w:pPr>
            <w:r w:rsidRPr="00CE7183">
              <w:rPr>
                <w:rFonts w:ascii="Times New Roman" w:eastAsia="Times New Roman" w:hAnsi="Times New Roman" w:cs="Times New Roman"/>
                <w:color w:val="1A1C1E"/>
                <w:kern w:val="0"/>
                <w:szCs w:val="24"/>
                <w:lang w:eastAsia="en-IN"/>
                <w14:ligatures w14:val="none"/>
              </w:rPr>
              <w:t>7.58</w:t>
            </w:r>
          </w:p>
        </w:tc>
        <w:tc>
          <w:tcPr>
            <w:tcW w:w="1846" w:type="dxa"/>
            <w:tcBorders>
              <w:top w:val="nil"/>
              <w:left w:val="nil"/>
              <w:bottom w:val="single" w:sz="4" w:space="0" w:color="auto"/>
              <w:right w:val="single" w:sz="4" w:space="0" w:color="auto"/>
            </w:tcBorders>
            <w:shd w:val="clear" w:color="000000" w:fill="FFFFFF"/>
            <w:vAlign w:val="center"/>
            <w:hideMark/>
          </w:tcPr>
          <w:p w14:paraId="2D007953" w14:textId="77777777" w:rsidR="00CE4C34" w:rsidRPr="00CE7183" w:rsidRDefault="00CE4C34" w:rsidP="00B77C0B">
            <w:pPr>
              <w:spacing w:after="0" w:line="240" w:lineRule="auto"/>
              <w:ind w:firstLineChars="100" w:firstLine="240"/>
              <w:rPr>
                <w:rFonts w:ascii="Times New Roman" w:eastAsia="Times New Roman" w:hAnsi="Times New Roman" w:cs="Times New Roman"/>
                <w:color w:val="1A1C1E"/>
                <w:kern w:val="0"/>
                <w:szCs w:val="24"/>
                <w:lang w:eastAsia="en-IN"/>
                <w14:ligatures w14:val="none"/>
              </w:rPr>
            </w:pPr>
            <w:r w:rsidRPr="00CE7183">
              <w:rPr>
                <w:rFonts w:ascii="Times New Roman" w:eastAsia="Times New Roman" w:hAnsi="Times New Roman" w:cs="Times New Roman"/>
                <w:color w:val="1A1C1E"/>
                <w:kern w:val="0"/>
                <w:szCs w:val="24"/>
                <w:lang w:eastAsia="en-IN"/>
                <w14:ligatures w14:val="none"/>
              </w:rPr>
              <w:t>8.76</w:t>
            </w:r>
          </w:p>
        </w:tc>
        <w:tc>
          <w:tcPr>
            <w:tcW w:w="1846" w:type="dxa"/>
            <w:tcBorders>
              <w:top w:val="nil"/>
              <w:left w:val="nil"/>
              <w:bottom w:val="single" w:sz="4" w:space="0" w:color="auto"/>
              <w:right w:val="single" w:sz="4" w:space="0" w:color="auto"/>
            </w:tcBorders>
            <w:shd w:val="clear" w:color="000000" w:fill="FFFFFF"/>
            <w:vAlign w:val="center"/>
            <w:hideMark/>
          </w:tcPr>
          <w:p w14:paraId="063B3435" w14:textId="77777777" w:rsidR="00CE4C34" w:rsidRPr="00CE7183" w:rsidRDefault="00CE4C34" w:rsidP="00B77C0B">
            <w:pPr>
              <w:spacing w:after="0" w:line="240" w:lineRule="auto"/>
              <w:ind w:firstLineChars="100" w:firstLine="240"/>
              <w:rPr>
                <w:rFonts w:ascii="Times New Roman" w:eastAsia="Times New Roman" w:hAnsi="Times New Roman" w:cs="Times New Roman"/>
                <w:color w:val="1A1C1E"/>
                <w:kern w:val="0"/>
                <w:szCs w:val="24"/>
                <w:lang w:eastAsia="en-IN"/>
                <w14:ligatures w14:val="none"/>
              </w:rPr>
            </w:pPr>
            <w:r w:rsidRPr="00CE7183">
              <w:rPr>
                <w:rFonts w:ascii="Times New Roman" w:eastAsia="Times New Roman" w:hAnsi="Times New Roman" w:cs="Times New Roman"/>
                <w:color w:val="1A1C1E"/>
                <w:kern w:val="0"/>
                <w:szCs w:val="24"/>
                <w:lang w:eastAsia="en-IN"/>
                <w14:ligatures w14:val="none"/>
              </w:rPr>
              <w:t>11.62</w:t>
            </w:r>
          </w:p>
        </w:tc>
        <w:tc>
          <w:tcPr>
            <w:tcW w:w="1972" w:type="dxa"/>
            <w:tcBorders>
              <w:top w:val="nil"/>
              <w:left w:val="nil"/>
              <w:bottom w:val="single" w:sz="4" w:space="0" w:color="auto"/>
              <w:right w:val="single" w:sz="4" w:space="0" w:color="auto"/>
            </w:tcBorders>
            <w:shd w:val="clear" w:color="000000" w:fill="FFFFFF"/>
            <w:vAlign w:val="center"/>
            <w:hideMark/>
          </w:tcPr>
          <w:p w14:paraId="284E7A92" w14:textId="77777777" w:rsidR="00CE4C34" w:rsidRPr="00CE7183" w:rsidRDefault="00CE4C34" w:rsidP="00B77C0B">
            <w:pPr>
              <w:spacing w:after="0" w:line="240" w:lineRule="auto"/>
              <w:ind w:firstLineChars="100" w:firstLine="240"/>
              <w:rPr>
                <w:rFonts w:ascii="Times New Roman" w:eastAsia="Times New Roman" w:hAnsi="Times New Roman" w:cs="Times New Roman"/>
                <w:color w:val="1A1C1E"/>
                <w:kern w:val="0"/>
                <w:szCs w:val="24"/>
                <w:lang w:eastAsia="en-IN"/>
                <w14:ligatures w14:val="none"/>
              </w:rPr>
            </w:pPr>
            <w:r w:rsidRPr="00CE7183">
              <w:rPr>
                <w:rFonts w:ascii="Times New Roman" w:eastAsia="Times New Roman" w:hAnsi="Times New Roman" w:cs="Times New Roman"/>
                <w:color w:val="1A1C1E"/>
                <w:kern w:val="0"/>
                <w:szCs w:val="24"/>
                <w:lang w:eastAsia="en-IN"/>
                <w14:ligatures w14:val="none"/>
              </w:rPr>
              <w:t>10.69</w:t>
            </w:r>
          </w:p>
        </w:tc>
      </w:tr>
      <w:tr w:rsidR="00CE4C34" w:rsidRPr="00CE7183" w14:paraId="4C383B7E" w14:textId="77777777" w:rsidTr="00B77C0B">
        <w:trPr>
          <w:trHeight w:val="313"/>
        </w:trPr>
        <w:tc>
          <w:tcPr>
            <w:tcW w:w="3071" w:type="dxa"/>
            <w:tcBorders>
              <w:top w:val="nil"/>
              <w:left w:val="single" w:sz="4" w:space="0" w:color="auto"/>
              <w:bottom w:val="single" w:sz="4" w:space="0" w:color="auto"/>
              <w:right w:val="single" w:sz="4" w:space="0" w:color="auto"/>
            </w:tcBorders>
            <w:shd w:val="clear" w:color="000000" w:fill="FFFFFF"/>
            <w:vAlign w:val="center"/>
            <w:hideMark/>
          </w:tcPr>
          <w:p w14:paraId="36F8C95D" w14:textId="77777777" w:rsidR="00CE4C34" w:rsidRPr="00CE7183" w:rsidRDefault="00CE4C34" w:rsidP="00B77C0B">
            <w:pPr>
              <w:spacing w:after="0" w:line="240" w:lineRule="auto"/>
              <w:ind w:firstLineChars="100" w:firstLine="240"/>
              <w:rPr>
                <w:rFonts w:ascii="Times New Roman" w:eastAsia="Times New Roman" w:hAnsi="Times New Roman" w:cs="Times New Roman"/>
                <w:color w:val="1A1C1E"/>
                <w:kern w:val="0"/>
                <w:szCs w:val="24"/>
                <w:lang w:eastAsia="en-IN"/>
                <w14:ligatures w14:val="none"/>
              </w:rPr>
            </w:pPr>
            <w:r w:rsidRPr="00CE7183">
              <w:rPr>
                <w:rFonts w:ascii="Times New Roman" w:eastAsia="Times New Roman" w:hAnsi="Times New Roman" w:cs="Times New Roman"/>
                <w:color w:val="1A1C1E"/>
                <w:kern w:val="0"/>
                <w:szCs w:val="24"/>
                <w:lang w:eastAsia="en-IN"/>
                <w14:ligatures w14:val="none"/>
              </w:rPr>
              <w:t>Tamil Nadu</w:t>
            </w:r>
          </w:p>
        </w:tc>
        <w:tc>
          <w:tcPr>
            <w:tcW w:w="1844" w:type="dxa"/>
            <w:tcBorders>
              <w:top w:val="nil"/>
              <w:left w:val="nil"/>
              <w:bottom w:val="single" w:sz="4" w:space="0" w:color="auto"/>
              <w:right w:val="single" w:sz="4" w:space="0" w:color="auto"/>
            </w:tcBorders>
            <w:shd w:val="clear" w:color="000000" w:fill="FFFFFF"/>
            <w:vAlign w:val="center"/>
            <w:hideMark/>
          </w:tcPr>
          <w:p w14:paraId="0151C8EF" w14:textId="77777777" w:rsidR="00CE4C34" w:rsidRPr="00CE7183" w:rsidRDefault="00CE4C34" w:rsidP="00B77C0B">
            <w:pPr>
              <w:spacing w:after="0" w:line="240" w:lineRule="auto"/>
              <w:ind w:firstLineChars="100" w:firstLine="240"/>
              <w:rPr>
                <w:rFonts w:ascii="Times New Roman" w:eastAsia="Times New Roman" w:hAnsi="Times New Roman" w:cs="Times New Roman"/>
                <w:color w:val="1A1C1E"/>
                <w:kern w:val="0"/>
                <w:szCs w:val="24"/>
                <w:lang w:eastAsia="en-IN"/>
                <w14:ligatures w14:val="none"/>
              </w:rPr>
            </w:pPr>
            <w:r w:rsidRPr="00CE7183">
              <w:rPr>
                <w:rFonts w:ascii="Times New Roman" w:eastAsia="Times New Roman" w:hAnsi="Times New Roman" w:cs="Times New Roman"/>
                <w:color w:val="1A1C1E"/>
                <w:kern w:val="0"/>
                <w:szCs w:val="24"/>
                <w:lang w:eastAsia="en-IN"/>
                <w14:ligatures w14:val="none"/>
              </w:rPr>
              <w:t>13.63</w:t>
            </w:r>
          </w:p>
        </w:tc>
        <w:tc>
          <w:tcPr>
            <w:tcW w:w="1846" w:type="dxa"/>
            <w:tcBorders>
              <w:top w:val="nil"/>
              <w:left w:val="nil"/>
              <w:bottom w:val="single" w:sz="4" w:space="0" w:color="auto"/>
              <w:right w:val="single" w:sz="4" w:space="0" w:color="auto"/>
            </w:tcBorders>
            <w:shd w:val="clear" w:color="000000" w:fill="FFFFFF"/>
            <w:vAlign w:val="center"/>
            <w:hideMark/>
          </w:tcPr>
          <w:p w14:paraId="39962BA0" w14:textId="77777777" w:rsidR="00CE4C34" w:rsidRPr="00CE7183" w:rsidRDefault="00CE4C34" w:rsidP="00B77C0B">
            <w:pPr>
              <w:spacing w:after="0" w:line="240" w:lineRule="auto"/>
              <w:ind w:firstLineChars="100" w:firstLine="240"/>
              <w:rPr>
                <w:rFonts w:ascii="Times New Roman" w:eastAsia="Times New Roman" w:hAnsi="Times New Roman" w:cs="Times New Roman"/>
                <w:color w:val="1A1C1E"/>
                <w:kern w:val="0"/>
                <w:szCs w:val="24"/>
                <w:lang w:eastAsia="en-IN"/>
                <w14:ligatures w14:val="none"/>
              </w:rPr>
            </w:pPr>
            <w:r w:rsidRPr="00CE7183">
              <w:rPr>
                <w:rFonts w:ascii="Times New Roman" w:eastAsia="Times New Roman" w:hAnsi="Times New Roman" w:cs="Times New Roman"/>
                <w:color w:val="1A1C1E"/>
                <w:kern w:val="0"/>
                <w:szCs w:val="24"/>
                <w:lang w:eastAsia="en-IN"/>
                <w14:ligatures w14:val="none"/>
              </w:rPr>
              <w:t>15.57</w:t>
            </w:r>
          </w:p>
        </w:tc>
        <w:tc>
          <w:tcPr>
            <w:tcW w:w="1846" w:type="dxa"/>
            <w:tcBorders>
              <w:top w:val="nil"/>
              <w:left w:val="nil"/>
              <w:bottom w:val="single" w:sz="4" w:space="0" w:color="auto"/>
              <w:right w:val="single" w:sz="4" w:space="0" w:color="auto"/>
            </w:tcBorders>
            <w:shd w:val="clear" w:color="000000" w:fill="FFFFFF"/>
            <w:vAlign w:val="center"/>
            <w:hideMark/>
          </w:tcPr>
          <w:p w14:paraId="511478CF" w14:textId="77777777" w:rsidR="00CE4C34" w:rsidRPr="00CE7183" w:rsidRDefault="00CE4C34" w:rsidP="00B77C0B">
            <w:pPr>
              <w:spacing w:after="0" w:line="240" w:lineRule="auto"/>
              <w:ind w:firstLineChars="100" w:firstLine="240"/>
              <w:rPr>
                <w:rFonts w:ascii="Times New Roman" w:eastAsia="Times New Roman" w:hAnsi="Times New Roman" w:cs="Times New Roman"/>
                <w:color w:val="1A1C1E"/>
                <w:kern w:val="0"/>
                <w:szCs w:val="24"/>
                <w:lang w:eastAsia="en-IN"/>
                <w14:ligatures w14:val="none"/>
              </w:rPr>
            </w:pPr>
            <w:r w:rsidRPr="00CE7183">
              <w:rPr>
                <w:rFonts w:ascii="Times New Roman" w:eastAsia="Times New Roman" w:hAnsi="Times New Roman" w:cs="Times New Roman"/>
                <w:color w:val="1A1C1E"/>
                <w:kern w:val="0"/>
                <w:szCs w:val="24"/>
                <w:lang w:eastAsia="en-IN"/>
                <w14:ligatures w14:val="none"/>
              </w:rPr>
              <w:t>14.86</w:t>
            </w:r>
          </w:p>
        </w:tc>
        <w:tc>
          <w:tcPr>
            <w:tcW w:w="1972" w:type="dxa"/>
            <w:tcBorders>
              <w:top w:val="nil"/>
              <w:left w:val="nil"/>
              <w:bottom w:val="single" w:sz="4" w:space="0" w:color="auto"/>
              <w:right w:val="single" w:sz="4" w:space="0" w:color="auto"/>
            </w:tcBorders>
            <w:shd w:val="clear" w:color="000000" w:fill="FFFFFF"/>
            <w:vAlign w:val="center"/>
            <w:hideMark/>
          </w:tcPr>
          <w:p w14:paraId="196B80C8" w14:textId="77777777" w:rsidR="00CE4C34" w:rsidRPr="00CE7183" w:rsidRDefault="00CE4C34" w:rsidP="00B77C0B">
            <w:pPr>
              <w:spacing w:after="0" w:line="240" w:lineRule="auto"/>
              <w:ind w:firstLineChars="100" w:firstLine="240"/>
              <w:rPr>
                <w:rFonts w:ascii="Times New Roman" w:eastAsia="Times New Roman" w:hAnsi="Times New Roman" w:cs="Times New Roman"/>
                <w:color w:val="1A1C1E"/>
                <w:kern w:val="0"/>
                <w:szCs w:val="24"/>
                <w:lang w:eastAsia="en-IN"/>
                <w14:ligatures w14:val="none"/>
              </w:rPr>
            </w:pPr>
            <w:r w:rsidRPr="00CE7183">
              <w:rPr>
                <w:rFonts w:ascii="Times New Roman" w:eastAsia="Times New Roman" w:hAnsi="Times New Roman" w:cs="Times New Roman"/>
                <w:color w:val="1A1C1E"/>
                <w:kern w:val="0"/>
                <w:szCs w:val="24"/>
                <w:lang w:eastAsia="en-IN"/>
                <w14:ligatures w14:val="none"/>
              </w:rPr>
              <w:t>13.22</w:t>
            </w:r>
          </w:p>
        </w:tc>
      </w:tr>
      <w:tr w:rsidR="00CE4C34" w:rsidRPr="00CE7183" w14:paraId="5672D73B" w14:textId="77777777" w:rsidTr="00B77C0B">
        <w:trPr>
          <w:trHeight w:val="313"/>
        </w:trPr>
        <w:tc>
          <w:tcPr>
            <w:tcW w:w="3071" w:type="dxa"/>
            <w:tcBorders>
              <w:top w:val="nil"/>
              <w:left w:val="single" w:sz="4" w:space="0" w:color="auto"/>
              <w:bottom w:val="single" w:sz="4" w:space="0" w:color="auto"/>
              <w:right w:val="single" w:sz="4" w:space="0" w:color="auto"/>
            </w:tcBorders>
            <w:shd w:val="clear" w:color="000000" w:fill="FFFFFF"/>
            <w:vAlign w:val="center"/>
            <w:hideMark/>
          </w:tcPr>
          <w:p w14:paraId="244F2B83" w14:textId="77777777" w:rsidR="00CE4C34" w:rsidRPr="00CE7183" w:rsidRDefault="00CE4C34" w:rsidP="00B77C0B">
            <w:pPr>
              <w:spacing w:after="0" w:line="240" w:lineRule="auto"/>
              <w:ind w:firstLineChars="100" w:firstLine="240"/>
              <w:rPr>
                <w:rFonts w:ascii="Times New Roman" w:eastAsia="Times New Roman" w:hAnsi="Times New Roman" w:cs="Times New Roman"/>
                <w:color w:val="1A1C1E"/>
                <w:kern w:val="0"/>
                <w:szCs w:val="24"/>
                <w:lang w:eastAsia="en-IN"/>
                <w14:ligatures w14:val="none"/>
              </w:rPr>
            </w:pPr>
            <w:r w:rsidRPr="00CE7183">
              <w:rPr>
                <w:rFonts w:ascii="Times New Roman" w:eastAsia="Times New Roman" w:hAnsi="Times New Roman" w:cs="Times New Roman"/>
                <w:color w:val="1A1C1E"/>
                <w:kern w:val="0"/>
                <w:szCs w:val="24"/>
                <w:lang w:eastAsia="en-IN"/>
                <w14:ligatures w14:val="none"/>
              </w:rPr>
              <w:t>Uttar Pradesh</w:t>
            </w:r>
          </w:p>
        </w:tc>
        <w:tc>
          <w:tcPr>
            <w:tcW w:w="1844" w:type="dxa"/>
            <w:tcBorders>
              <w:top w:val="nil"/>
              <w:left w:val="nil"/>
              <w:bottom w:val="single" w:sz="4" w:space="0" w:color="auto"/>
              <w:right w:val="single" w:sz="4" w:space="0" w:color="auto"/>
            </w:tcBorders>
            <w:shd w:val="clear" w:color="000000" w:fill="FFFFFF"/>
            <w:vAlign w:val="center"/>
            <w:hideMark/>
          </w:tcPr>
          <w:p w14:paraId="0C451929" w14:textId="77777777" w:rsidR="00CE4C34" w:rsidRPr="00CE7183" w:rsidRDefault="00CE4C34" w:rsidP="00B77C0B">
            <w:pPr>
              <w:spacing w:after="0" w:line="240" w:lineRule="auto"/>
              <w:ind w:firstLineChars="100" w:firstLine="240"/>
              <w:rPr>
                <w:rFonts w:ascii="Times New Roman" w:eastAsia="Times New Roman" w:hAnsi="Times New Roman" w:cs="Times New Roman"/>
                <w:color w:val="1A1C1E"/>
                <w:kern w:val="0"/>
                <w:szCs w:val="24"/>
                <w:lang w:eastAsia="en-IN"/>
                <w14:ligatures w14:val="none"/>
              </w:rPr>
            </w:pPr>
            <w:r w:rsidRPr="00CE7183">
              <w:rPr>
                <w:rFonts w:ascii="Times New Roman" w:eastAsia="Times New Roman" w:hAnsi="Times New Roman" w:cs="Times New Roman"/>
                <w:color w:val="1A1C1E"/>
                <w:kern w:val="0"/>
                <w:szCs w:val="24"/>
                <w:lang w:eastAsia="en-IN"/>
                <w14:ligatures w14:val="none"/>
              </w:rPr>
              <w:t>35.96</w:t>
            </w:r>
          </w:p>
        </w:tc>
        <w:tc>
          <w:tcPr>
            <w:tcW w:w="1846" w:type="dxa"/>
            <w:tcBorders>
              <w:top w:val="nil"/>
              <w:left w:val="nil"/>
              <w:bottom w:val="single" w:sz="4" w:space="0" w:color="auto"/>
              <w:right w:val="single" w:sz="4" w:space="0" w:color="auto"/>
            </w:tcBorders>
            <w:shd w:val="clear" w:color="000000" w:fill="FFFFFF"/>
            <w:vAlign w:val="center"/>
            <w:hideMark/>
          </w:tcPr>
          <w:p w14:paraId="51E2E1D5" w14:textId="77777777" w:rsidR="00CE4C34" w:rsidRPr="00CE7183" w:rsidRDefault="00CE4C34" w:rsidP="00B77C0B">
            <w:pPr>
              <w:spacing w:after="0" w:line="240" w:lineRule="auto"/>
              <w:ind w:firstLineChars="100" w:firstLine="240"/>
              <w:rPr>
                <w:rFonts w:ascii="Times New Roman" w:eastAsia="Times New Roman" w:hAnsi="Times New Roman" w:cs="Times New Roman"/>
                <w:color w:val="1A1C1E"/>
                <w:kern w:val="0"/>
                <w:szCs w:val="24"/>
                <w:lang w:eastAsia="en-IN"/>
                <w14:ligatures w14:val="none"/>
              </w:rPr>
            </w:pPr>
            <w:r w:rsidRPr="00CE7183">
              <w:rPr>
                <w:rFonts w:ascii="Times New Roman" w:eastAsia="Times New Roman" w:hAnsi="Times New Roman" w:cs="Times New Roman"/>
                <w:color w:val="1A1C1E"/>
                <w:kern w:val="0"/>
                <w:szCs w:val="24"/>
                <w:lang w:eastAsia="en-IN"/>
                <w14:ligatures w14:val="none"/>
              </w:rPr>
              <w:t>32.84</w:t>
            </w:r>
          </w:p>
        </w:tc>
        <w:tc>
          <w:tcPr>
            <w:tcW w:w="1846" w:type="dxa"/>
            <w:tcBorders>
              <w:top w:val="nil"/>
              <w:left w:val="nil"/>
              <w:bottom w:val="single" w:sz="4" w:space="0" w:color="auto"/>
              <w:right w:val="single" w:sz="4" w:space="0" w:color="auto"/>
            </w:tcBorders>
            <w:shd w:val="clear" w:color="000000" w:fill="FFFFFF"/>
            <w:vAlign w:val="center"/>
            <w:hideMark/>
          </w:tcPr>
          <w:p w14:paraId="07FE7B1A" w14:textId="77777777" w:rsidR="00CE4C34" w:rsidRPr="00CE7183" w:rsidRDefault="00CE4C34" w:rsidP="00B77C0B">
            <w:pPr>
              <w:spacing w:after="0" w:line="240" w:lineRule="auto"/>
              <w:ind w:firstLineChars="100" w:firstLine="240"/>
              <w:rPr>
                <w:rFonts w:ascii="Times New Roman" w:eastAsia="Times New Roman" w:hAnsi="Times New Roman" w:cs="Times New Roman"/>
                <w:color w:val="1A1C1E"/>
                <w:kern w:val="0"/>
                <w:szCs w:val="24"/>
                <w:lang w:eastAsia="en-IN"/>
                <w14:ligatures w14:val="none"/>
              </w:rPr>
            </w:pPr>
            <w:r w:rsidRPr="00CE7183">
              <w:rPr>
                <w:rFonts w:ascii="Times New Roman" w:eastAsia="Times New Roman" w:hAnsi="Times New Roman" w:cs="Times New Roman"/>
                <w:color w:val="1A1C1E"/>
                <w:kern w:val="0"/>
                <w:szCs w:val="24"/>
                <w:lang w:eastAsia="en-IN"/>
                <w14:ligatures w14:val="none"/>
              </w:rPr>
              <w:t>29.96</w:t>
            </w:r>
          </w:p>
        </w:tc>
        <w:tc>
          <w:tcPr>
            <w:tcW w:w="1972" w:type="dxa"/>
            <w:tcBorders>
              <w:top w:val="nil"/>
              <w:left w:val="nil"/>
              <w:bottom w:val="single" w:sz="4" w:space="0" w:color="auto"/>
              <w:right w:val="single" w:sz="4" w:space="0" w:color="auto"/>
            </w:tcBorders>
            <w:shd w:val="clear" w:color="000000" w:fill="FFFFFF"/>
            <w:vAlign w:val="center"/>
            <w:hideMark/>
          </w:tcPr>
          <w:p w14:paraId="48C55C4D" w14:textId="77777777" w:rsidR="00CE4C34" w:rsidRPr="00CE7183" w:rsidRDefault="00CE4C34" w:rsidP="00B77C0B">
            <w:pPr>
              <w:spacing w:after="0" w:line="240" w:lineRule="auto"/>
              <w:ind w:firstLineChars="100" w:firstLine="240"/>
              <w:rPr>
                <w:rFonts w:ascii="Times New Roman" w:eastAsia="Times New Roman" w:hAnsi="Times New Roman" w:cs="Times New Roman"/>
                <w:color w:val="1A1C1E"/>
                <w:kern w:val="0"/>
                <w:szCs w:val="24"/>
                <w:lang w:eastAsia="en-IN"/>
                <w14:ligatures w14:val="none"/>
              </w:rPr>
            </w:pPr>
            <w:r w:rsidRPr="00CE7183">
              <w:rPr>
                <w:rFonts w:ascii="Times New Roman" w:eastAsia="Times New Roman" w:hAnsi="Times New Roman" w:cs="Times New Roman"/>
                <w:color w:val="1A1C1E"/>
                <w:kern w:val="0"/>
                <w:szCs w:val="24"/>
                <w:lang w:eastAsia="en-IN"/>
                <w14:ligatures w14:val="none"/>
              </w:rPr>
              <w:t>28.72</w:t>
            </w:r>
          </w:p>
        </w:tc>
      </w:tr>
      <w:tr w:rsidR="00CE4C34" w:rsidRPr="00CE7183" w14:paraId="35F8A2DA" w14:textId="77777777" w:rsidTr="00B77C0B">
        <w:trPr>
          <w:trHeight w:val="313"/>
        </w:trPr>
        <w:tc>
          <w:tcPr>
            <w:tcW w:w="3071" w:type="dxa"/>
            <w:tcBorders>
              <w:top w:val="nil"/>
              <w:left w:val="single" w:sz="4" w:space="0" w:color="auto"/>
              <w:bottom w:val="single" w:sz="4" w:space="0" w:color="auto"/>
              <w:right w:val="single" w:sz="4" w:space="0" w:color="auto"/>
            </w:tcBorders>
            <w:shd w:val="clear" w:color="000000" w:fill="FFFFFF"/>
            <w:vAlign w:val="center"/>
            <w:hideMark/>
          </w:tcPr>
          <w:p w14:paraId="0EB7C36F" w14:textId="77777777" w:rsidR="00CE4C34" w:rsidRPr="00CE7183" w:rsidRDefault="00CE4C34" w:rsidP="00B77C0B">
            <w:pPr>
              <w:spacing w:after="0" w:line="240" w:lineRule="auto"/>
              <w:ind w:firstLineChars="100" w:firstLine="240"/>
              <w:rPr>
                <w:rFonts w:ascii="Times New Roman" w:eastAsia="Times New Roman" w:hAnsi="Times New Roman" w:cs="Times New Roman"/>
                <w:color w:val="1A1C1E"/>
                <w:kern w:val="0"/>
                <w:szCs w:val="24"/>
                <w:lang w:eastAsia="en-IN"/>
                <w14:ligatures w14:val="none"/>
              </w:rPr>
            </w:pPr>
            <w:r w:rsidRPr="00CE7183">
              <w:rPr>
                <w:rFonts w:ascii="Times New Roman" w:eastAsia="Times New Roman" w:hAnsi="Times New Roman" w:cs="Times New Roman"/>
                <w:color w:val="1A1C1E"/>
                <w:kern w:val="0"/>
                <w:szCs w:val="24"/>
                <w:lang w:eastAsia="en-IN"/>
                <w14:ligatures w14:val="none"/>
              </w:rPr>
              <w:t>West Bengal</w:t>
            </w:r>
          </w:p>
        </w:tc>
        <w:tc>
          <w:tcPr>
            <w:tcW w:w="1844" w:type="dxa"/>
            <w:tcBorders>
              <w:top w:val="nil"/>
              <w:left w:val="nil"/>
              <w:bottom w:val="single" w:sz="4" w:space="0" w:color="auto"/>
              <w:right w:val="single" w:sz="4" w:space="0" w:color="auto"/>
            </w:tcBorders>
            <w:shd w:val="clear" w:color="000000" w:fill="FFFFFF"/>
            <w:vAlign w:val="center"/>
            <w:hideMark/>
          </w:tcPr>
          <w:p w14:paraId="3AD13A5D" w14:textId="43743958" w:rsidR="00CE4C34" w:rsidRPr="00CE7183" w:rsidRDefault="00CE4C34" w:rsidP="00B77C0B">
            <w:pPr>
              <w:spacing w:after="0" w:line="240" w:lineRule="auto"/>
              <w:ind w:firstLineChars="100" w:firstLine="240"/>
              <w:rPr>
                <w:rFonts w:ascii="Times New Roman" w:eastAsia="Times New Roman" w:hAnsi="Times New Roman" w:cs="Times New Roman"/>
                <w:color w:val="1A1C1E"/>
                <w:kern w:val="0"/>
                <w:szCs w:val="24"/>
                <w:lang w:eastAsia="en-IN"/>
                <w14:ligatures w14:val="none"/>
              </w:rPr>
            </w:pPr>
            <w:r w:rsidRPr="00CE7183">
              <w:rPr>
                <w:rFonts w:ascii="Times New Roman" w:eastAsia="Times New Roman" w:hAnsi="Times New Roman" w:cs="Times New Roman"/>
                <w:color w:val="1A1C1E"/>
                <w:kern w:val="0"/>
                <w:szCs w:val="24"/>
                <w:lang w:eastAsia="en-IN"/>
                <w14:ligatures w14:val="none"/>
              </w:rPr>
              <w:t>28.4</w:t>
            </w:r>
            <w:r w:rsidR="00B34D24">
              <w:rPr>
                <w:rFonts w:ascii="Times New Roman" w:eastAsia="Times New Roman" w:hAnsi="Times New Roman" w:cs="Times New Roman"/>
                <w:color w:val="1A1C1E"/>
                <w:kern w:val="0"/>
                <w:szCs w:val="24"/>
                <w:lang w:eastAsia="en-IN"/>
                <w14:ligatures w14:val="none"/>
              </w:rPr>
              <w:t>0</w:t>
            </w:r>
          </w:p>
        </w:tc>
        <w:tc>
          <w:tcPr>
            <w:tcW w:w="1846" w:type="dxa"/>
            <w:tcBorders>
              <w:top w:val="nil"/>
              <w:left w:val="nil"/>
              <w:bottom w:val="single" w:sz="4" w:space="0" w:color="auto"/>
              <w:right w:val="single" w:sz="4" w:space="0" w:color="auto"/>
            </w:tcBorders>
            <w:shd w:val="clear" w:color="000000" w:fill="FFFFFF"/>
            <w:vAlign w:val="center"/>
            <w:hideMark/>
          </w:tcPr>
          <w:p w14:paraId="07B8CEBE" w14:textId="77777777" w:rsidR="00CE4C34" w:rsidRPr="00CE7183" w:rsidRDefault="00CE4C34" w:rsidP="00B77C0B">
            <w:pPr>
              <w:spacing w:after="0" w:line="240" w:lineRule="auto"/>
              <w:ind w:firstLineChars="100" w:firstLine="240"/>
              <w:rPr>
                <w:rFonts w:ascii="Times New Roman" w:eastAsia="Times New Roman" w:hAnsi="Times New Roman" w:cs="Times New Roman"/>
                <w:color w:val="1A1C1E"/>
                <w:kern w:val="0"/>
                <w:szCs w:val="24"/>
                <w:lang w:eastAsia="en-IN"/>
                <w14:ligatures w14:val="none"/>
              </w:rPr>
            </w:pPr>
            <w:r w:rsidRPr="00CE7183">
              <w:rPr>
                <w:rFonts w:ascii="Times New Roman" w:eastAsia="Times New Roman" w:hAnsi="Times New Roman" w:cs="Times New Roman"/>
                <w:color w:val="1A1C1E"/>
                <w:kern w:val="0"/>
                <w:szCs w:val="24"/>
                <w:lang w:eastAsia="en-IN"/>
                <w14:ligatures w14:val="none"/>
              </w:rPr>
              <w:t>25.64</w:t>
            </w:r>
          </w:p>
        </w:tc>
        <w:tc>
          <w:tcPr>
            <w:tcW w:w="1846" w:type="dxa"/>
            <w:tcBorders>
              <w:top w:val="nil"/>
              <w:left w:val="nil"/>
              <w:bottom w:val="single" w:sz="4" w:space="0" w:color="auto"/>
              <w:right w:val="single" w:sz="4" w:space="0" w:color="auto"/>
            </w:tcBorders>
            <w:shd w:val="clear" w:color="000000" w:fill="FFFFFF"/>
            <w:vAlign w:val="center"/>
            <w:hideMark/>
          </w:tcPr>
          <w:p w14:paraId="57DFF10A" w14:textId="77777777" w:rsidR="00CE4C34" w:rsidRPr="00CE7183" w:rsidRDefault="00CE4C34" w:rsidP="00B77C0B">
            <w:pPr>
              <w:spacing w:after="0" w:line="240" w:lineRule="auto"/>
              <w:ind w:firstLineChars="100" w:firstLine="240"/>
              <w:rPr>
                <w:rFonts w:ascii="Times New Roman" w:eastAsia="Times New Roman" w:hAnsi="Times New Roman" w:cs="Times New Roman"/>
                <w:color w:val="1A1C1E"/>
                <w:kern w:val="0"/>
                <w:szCs w:val="24"/>
                <w:lang w:eastAsia="en-IN"/>
                <w14:ligatures w14:val="none"/>
              </w:rPr>
            </w:pPr>
            <w:r w:rsidRPr="00CE7183">
              <w:rPr>
                <w:rFonts w:ascii="Times New Roman" w:eastAsia="Times New Roman" w:hAnsi="Times New Roman" w:cs="Times New Roman"/>
                <w:color w:val="1A1C1E"/>
                <w:kern w:val="0"/>
                <w:szCs w:val="24"/>
                <w:lang w:eastAsia="en-IN"/>
                <w14:ligatures w14:val="none"/>
              </w:rPr>
              <w:t>25.64</w:t>
            </w:r>
          </w:p>
        </w:tc>
        <w:tc>
          <w:tcPr>
            <w:tcW w:w="1972" w:type="dxa"/>
            <w:tcBorders>
              <w:top w:val="nil"/>
              <w:left w:val="nil"/>
              <w:bottom w:val="single" w:sz="4" w:space="0" w:color="auto"/>
              <w:right w:val="single" w:sz="4" w:space="0" w:color="auto"/>
            </w:tcBorders>
            <w:shd w:val="clear" w:color="000000" w:fill="FFFFFF"/>
            <w:vAlign w:val="center"/>
            <w:hideMark/>
          </w:tcPr>
          <w:p w14:paraId="452EF84E" w14:textId="77777777" w:rsidR="00CE4C34" w:rsidRPr="00CE7183" w:rsidRDefault="00CE4C34" w:rsidP="00B77C0B">
            <w:pPr>
              <w:spacing w:after="0" w:line="240" w:lineRule="auto"/>
              <w:ind w:firstLineChars="100" w:firstLine="240"/>
              <w:rPr>
                <w:rFonts w:ascii="Times New Roman" w:eastAsia="Times New Roman" w:hAnsi="Times New Roman" w:cs="Times New Roman"/>
                <w:color w:val="1A1C1E"/>
                <w:kern w:val="0"/>
                <w:szCs w:val="24"/>
                <w:lang w:eastAsia="en-IN"/>
                <w14:ligatures w14:val="none"/>
              </w:rPr>
            </w:pPr>
            <w:r w:rsidRPr="00CE7183">
              <w:rPr>
                <w:rFonts w:ascii="Times New Roman" w:eastAsia="Times New Roman" w:hAnsi="Times New Roman" w:cs="Times New Roman"/>
                <w:color w:val="1A1C1E"/>
                <w:kern w:val="0"/>
                <w:szCs w:val="24"/>
                <w:lang w:eastAsia="en-IN"/>
                <w14:ligatures w14:val="none"/>
              </w:rPr>
              <w:t>28.78</w:t>
            </w:r>
          </w:p>
        </w:tc>
      </w:tr>
      <w:tr w:rsidR="00CE4C34" w:rsidRPr="00CE7183" w14:paraId="65FB3007" w14:textId="77777777" w:rsidTr="00B77C0B">
        <w:trPr>
          <w:trHeight w:val="313"/>
        </w:trPr>
        <w:tc>
          <w:tcPr>
            <w:tcW w:w="3071" w:type="dxa"/>
            <w:tcBorders>
              <w:top w:val="nil"/>
              <w:left w:val="single" w:sz="4" w:space="0" w:color="auto"/>
              <w:bottom w:val="single" w:sz="4" w:space="0" w:color="auto"/>
              <w:right w:val="single" w:sz="4" w:space="0" w:color="auto"/>
            </w:tcBorders>
            <w:shd w:val="clear" w:color="000000" w:fill="FFFFFF"/>
            <w:vAlign w:val="center"/>
            <w:hideMark/>
          </w:tcPr>
          <w:p w14:paraId="1E8C48DC" w14:textId="77777777" w:rsidR="00CE4C34" w:rsidRPr="00CE7183" w:rsidRDefault="00CE4C34" w:rsidP="00B77C0B">
            <w:pPr>
              <w:spacing w:after="0" w:line="240" w:lineRule="auto"/>
              <w:ind w:firstLineChars="100" w:firstLine="241"/>
              <w:rPr>
                <w:rFonts w:ascii="Times New Roman" w:eastAsia="Times New Roman" w:hAnsi="Times New Roman" w:cs="Times New Roman"/>
                <w:b/>
                <w:bCs/>
                <w:color w:val="1A1C1E"/>
                <w:kern w:val="0"/>
                <w:szCs w:val="24"/>
                <w:lang w:eastAsia="en-IN"/>
                <w14:ligatures w14:val="none"/>
              </w:rPr>
            </w:pPr>
            <w:r w:rsidRPr="00CE7183">
              <w:rPr>
                <w:rFonts w:ascii="Times New Roman" w:eastAsia="Times New Roman" w:hAnsi="Times New Roman" w:cs="Times New Roman"/>
                <w:b/>
                <w:bCs/>
                <w:color w:val="1A1C1E"/>
                <w:kern w:val="0"/>
                <w:szCs w:val="24"/>
                <w:lang w:eastAsia="en-IN"/>
                <w14:ligatures w14:val="none"/>
              </w:rPr>
              <w:t>TOTAL</w:t>
            </w:r>
          </w:p>
        </w:tc>
        <w:tc>
          <w:tcPr>
            <w:tcW w:w="1844" w:type="dxa"/>
            <w:tcBorders>
              <w:top w:val="nil"/>
              <w:left w:val="nil"/>
              <w:bottom w:val="single" w:sz="4" w:space="0" w:color="auto"/>
              <w:right w:val="single" w:sz="4" w:space="0" w:color="auto"/>
            </w:tcBorders>
            <w:shd w:val="clear" w:color="000000" w:fill="FFFFFF"/>
            <w:vAlign w:val="center"/>
            <w:hideMark/>
          </w:tcPr>
          <w:p w14:paraId="06D3D43A" w14:textId="77777777" w:rsidR="00CE4C34" w:rsidRPr="00CE7183" w:rsidRDefault="00CE4C34" w:rsidP="00B77C0B">
            <w:pPr>
              <w:spacing w:after="0" w:line="240" w:lineRule="auto"/>
              <w:ind w:firstLineChars="100" w:firstLine="241"/>
              <w:rPr>
                <w:rFonts w:ascii="Times New Roman" w:eastAsia="Times New Roman" w:hAnsi="Times New Roman" w:cs="Times New Roman"/>
                <w:b/>
                <w:bCs/>
                <w:color w:val="1A1C1E"/>
                <w:kern w:val="0"/>
                <w:szCs w:val="24"/>
                <w:lang w:eastAsia="en-IN"/>
                <w14:ligatures w14:val="none"/>
              </w:rPr>
            </w:pPr>
            <w:r w:rsidRPr="00CE7183">
              <w:rPr>
                <w:rFonts w:ascii="Times New Roman" w:eastAsia="Times New Roman" w:hAnsi="Times New Roman" w:cs="Times New Roman"/>
                <w:b/>
                <w:bCs/>
                <w:color w:val="1A1C1E"/>
                <w:kern w:val="0"/>
                <w:szCs w:val="24"/>
                <w:lang w:eastAsia="en-IN"/>
                <w14:ligatures w14:val="none"/>
              </w:rPr>
              <w:t>17.14</w:t>
            </w:r>
          </w:p>
        </w:tc>
        <w:tc>
          <w:tcPr>
            <w:tcW w:w="1846" w:type="dxa"/>
            <w:tcBorders>
              <w:top w:val="nil"/>
              <w:left w:val="nil"/>
              <w:bottom w:val="single" w:sz="4" w:space="0" w:color="auto"/>
              <w:right w:val="single" w:sz="4" w:space="0" w:color="auto"/>
            </w:tcBorders>
            <w:shd w:val="clear" w:color="000000" w:fill="FFFFFF"/>
            <w:vAlign w:val="center"/>
            <w:hideMark/>
          </w:tcPr>
          <w:p w14:paraId="0781604F" w14:textId="77777777" w:rsidR="00CE4C34" w:rsidRPr="00CE7183" w:rsidRDefault="00CE4C34" w:rsidP="00B77C0B">
            <w:pPr>
              <w:spacing w:after="0" w:line="240" w:lineRule="auto"/>
              <w:ind w:firstLineChars="100" w:firstLine="241"/>
              <w:rPr>
                <w:rFonts w:ascii="Times New Roman" w:eastAsia="Times New Roman" w:hAnsi="Times New Roman" w:cs="Times New Roman"/>
                <w:b/>
                <w:bCs/>
                <w:color w:val="1A1C1E"/>
                <w:kern w:val="0"/>
                <w:szCs w:val="24"/>
                <w:lang w:eastAsia="en-IN"/>
                <w14:ligatures w14:val="none"/>
              </w:rPr>
            </w:pPr>
            <w:r w:rsidRPr="00CE7183">
              <w:rPr>
                <w:rFonts w:ascii="Times New Roman" w:eastAsia="Times New Roman" w:hAnsi="Times New Roman" w:cs="Times New Roman"/>
                <w:b/>
                <w:bCs/>
                <w:color w:val="1A1C1E"/>
                <w:kern w:val="0"/>
                <w:szCs w:val="24"/>
                <w:lang w:eastAsia="en-IN"/>
                <w14:ligatures w14:val="none"/>
              </w:rPr>
              <w:t>16.56</w:t>
            </w:r>
          </w:p>
        </w:tc>
        <w:tc>
          <w:tcPr>
            <w:tcW w:w="1846" w:type="dxa"/>
            <w:tcBorders>
              <w:top w:val="nil"/>
              <w:left w:val="nil"/>
              <w:bottom w:val="single" w:sz="4" w:space="0" w:color="auto"/>
              <w:right w:val="single" w:sz="4" w:space="0" w:color="auto"/>
            </w:tcBorders>
            <w:shd w:val="clear" w:color="000000" w:fill="FFFFFF"/>
            <w:vAlign w:val="center"/>
            <w:hideMark/>
          </w:tcPr>
          <w:p w14:paraId="095862C3" w14:textId="77777777" w:rsidR="00CE4C34" w:rsidRPr="00CE7183" w:rsidRDefault="00CE4C34" w:rsidP="00B77C0B">
            <w:pPr>
              <w:spacing w:after="0" w:line="240" w:lineRule="auto"/>
              <w:ind w:firstLineChars="100" w:firstLine="241"/>
              <w:rPr>
                <w:rFonts w:ascii="Times New Roman" w:eastAsia="Times New Roman" w:hAnsi="Times New Roman" w:cs="Times New Roman"/>
                <w:b/>
                <w:bCs/>
                <w:color w:val="1A1C1E"/>
                <w:kern w:val="0"/>
                <w:szCs w:val="24"/>
                <w:lang w:eastAsia="en-IN"/>
                <w14:ligatures w14:val="none"/>
              </w:rPr>
            </w:pPr>
            <w:r w:rsidRPr="00CE7183">
              <w:rPr>
                <w:rFonts w:ascii="Times New Roman" w:eastAsia="Times New Roman" w:hAnsi="Times New Roman" w:cs="Times New Roman"/>
                <w:b/>
                <w:bCs/>
                <w:color w:val="1A1C1E"/>
                <w:kern w:val="0"/>
                <w:szCs w:val="24"/>
                <w:lang w:eastAsia="en-IN"/>
                <w14:ligatures w14:val="none"/>
              </w:rPr>
              <w:t>15.73</w:t>
            </w:r>
          </w:p>
        </w:tc>
        <w:tc>
          <w:tcPr>
            <w:tcW w:w="1972" w:type="dxa"/>
            <w:tcBorders>
              <w:top w:val="nil"/>
              <w:left w:val="nil"/>
              <w:bottom w:val="single" w:sz="4" w:space="0" w:color="auto"/>
              <w:right w:val="single" w:sz="4" w:space="0" w:color="auto"/>
            </w:tcBorders>
            <w:shd w:val="clear" w:color="000000" w:fill="FFFFFF"/>
            <w:vAlign w:val="center"/>
            <w:hideMark/>
          </w:tcPr>
          <w:p w14:paraId="1ED17ED3" w14:textId="77777777" w:rsidR="00CE4C34" w:rsidRPr="00CE7183" w:rsidRDefault="00CE4C34" w:rsidP="00B77C0B">
            <w:pPr>
              <w:spacing w:after="0" w:line="240" w:lineRule="auto"/>
              <w:ind w:firstLineChars="100" w:firstLine="241"/>
              <w:rPr>
                <w:rFonts w:ascii="Times New Roman" w:eastAsia="Times New Roman" w:hAnsi="Times New Roman" w:cs="Times New Roman"/>
                <w:b/>
                <w:bCs/>
                <w:color w:val="1A1C1E"/>
                <w:kern w:val="0"/>
                <w:szCs w:val="24"/>
                <w:lang w:eastAsia="en-IN"/>
                <w14:ligatures w14:val="none"/>
              </w:rPr>
            </w:pPr>
            <w:r w:rsidRPr="00CE7183">
              <w:rPr>
                <w:rFonts w:ascii="Times New Roman" w:eastAsia="Times New Roman" w:hAnsi="Times New Roman" w:cs="Times New Roman"/>
                <w:b/>
                <w:bCs/>
                <w:color w:val="1A1C1E"/>
                <w:kern w:val="0"/>
                <w:szCs w:val="24"/>
                <w:lang w:eastAsia="en-IN"/>
                <w14:ligatures w14:val="none"/>
              </w:rPr>
              <w:t>18.53*</w:t>
            </w:r>
          </w:p>
        </w:tc>
      </w:tr>
    </w:tbl>
    <w:p w14:paraId="5827CEE8" w14:textId="77777777" w:rsidR="00CE4C34" w:rsidRPr="007245B0" w:rsidRDefault="00CE4C34" w:rsidP="00CE7183">
      <w:pPr>
        <w:pStyle w:val="Sources"/>
      </w:pPr>
      <w:r w:rsidRPr="007245B0">
        <w:rPr>
          <w:b/>
          <w:bCs/>
        </w:rPr>
        <w:t>*</w:t>
      </w:r>
      <w:r w:rsidRPr="007245B0">
        <w:t> This does not include Assam, Gujarat, Jammu &amp; Kashmir and Maharashtra, information in regard to these States is not available.</w:t>
      </w:r>
    </w:p>
    <w:p w14:paraId="0A396CEE" w14:textId="77777777" w:rsidR="00CE4C34" w:rsidRPr="007245B0" w:rsidRDefault="00CE4C34" w:rsidP="00CE7183">
      <w:pPr>
        <w:pStyle w:val="Sources"/>
      </w:pPr>
      <w:r w:rsidRPr="007245B0">
        <w:rPr>
          <w:i/>
          <w:iCs/>
        </w:rPr>
        <w:t>Source:</w:t>
      </w:r>
      <w:r w:rsidRPr="007245B0">
        <w:t> Material received from the State Governments.</w:t>
      </w:r>
    </w:p>
    <w:p w14:paraId="08B7829C" w14:textId="34E1E186" w:rsidR="00F61814" w:rsidRPr="007245B0" w:rsidRDefault="00F61814" w:rsidP="00E51E56">
      <w:pPr>
        <w:rPr>
          <w:rFonts w:ascii="Times New Roman" w:hAnsi="Times New Roman" w:cs="Times New Roman"/>
          <w:b/>
          <w:bCs/>
        </w:rPr>
        <w:sectPr w:rsidR="00F61814" w:rsidRPr="007245B0" w:rsidSect="00E51E56">
          <w:pgSz w:w="12240" w:h="15840"/>
          <w:pgMar w:top="992" w:right="1440" w:bottom="1440" w:left="1440" w:header="720" w:footer="720" w:gutter="0"/>
          <w:cols w:space="720"/>
        </w:sectPr>
      </w:pPr>
    </w:p>
    <w:p w14:paraId="6BB4C08B" w14:textId="2E29E307" w:rsidR="00F61814" w:rsidRPr="00A8668B" w:rsidRDefault="00574BCE" w:rsidP="00A8668B">
      <w:pPr>
        <w:pStyle w:val="Heading4"/>
      </w:pPr>
      <w:bookmarkStart w:id="90" w:name="_Toc220949700"/>
      <w:bookmarkStart w:id="91" w:name="_Toc221114300"/>
      <w:bookmarkStart w:id="92" w:name="_Toc221115323"/>
      <w:r>
        <w:lastRenderedPageBreak/>
        <w:t>Table</w:t>
      </w:r>
      <w:r w:rsidR="00FC26AB" w:rsidRPr="00FC26AB">
        <w:t xml:space="preserve"> </w:t>
      </w:r>
      <w:r w:rsidR="004377B8" w:rsidRPr="00FC26AB">
        <w:t>20</w:t>
      </w:r>
      <w:r>
        <w:t>:</w:t>
      </w:r>
      <w:r w:rsidR="00F61814" w:rsidRPr="00FC26AB">
        <w:t xml:space="preserve"> Rates of </w:t>
      </w:r>
      <w:r w:rsidR="00FC26AB" w:rsidRPr="00FC26AB">
        <w:t xml:space="preserve">General </w:t>
      </w:r>
      <w:r w:rsidR="00F61814" w:rsidRPr="00FC26AB">
        <w:t xml:space="preserve">Sales Tax on </w:t>
      </w:r>
      <w:r w:rsidR="00FC26AB" w:rsidRPr="00FC26AB">
        <w:t>Important</w:t>
      </w:r>
      <w:r w:rsidR="00F61814" w:rsidRPr="00FC26AB">
        <w:t xml:space="preserve"> Commodities</w:t>
      </w:r>
      <w:bookmarkEnd w:id="90"/>
      <w:r w:rsidR="00A8668B">
        <w:t xml:space="preserve"> </w:t>
      </w:r>
      <w:r w:rsidR="00A8668B">
        <w:br/>
      </w:r>
      <w:r w:rsidR="00F61814" w:rsidRPr="00FC26AB">
        <w:t>(In terms of percentage of the value)</w:t>
      </w:r>
      <w:bookmarkEnd w:id="91"/>
      <w:bookmarkEnd w:id="92"/>
    </w:p>
    <w:tbl>
      <w:tblPr>
        <w:tblW w:w="15326" w:type="dxa"/>
        <w:jc w:val="center"/>
        <w:tblLook w:val="04A0" w:firstRow="1" w:lastRow="0" w:firstColumn="1" w:lastColumn="0" w:noHBand="0" w:noVBand="1"/>
      </w:tblPr>
      <w:tblGrid>
        <w:gridCol w:w="1801"/>
        <w:gridCol w:w="842"/>
        <w:gridCol w:w="706"/>
        <w:gridCol w:w="616"/>
        <w:gridCol w:w="756"/>
        <w:gridCol w:w="1355"/>
        <w:gridCol w:w="916"/>
        <w:gridCol w:w="696"/>
        <w:gridCol w:w="831"/>
        <w:gridCol w:w="1175"/>
        <w:gridCol w:w="766"/>
        <w:gridCol w:w="700"/>
        <w:gridCol w:w="736"/>
        <w:gridCol w:w="1004"/>
        <w:gridCol w:w="866"/>
        <w:gridCol w:w="830"/>
        <w:gridCol w:w="730"/>
      </w:tblGrid>
      <w:tr w:rsidR="00D75175" w:rsidRPr="00FC26AB" w14:paraId="25C40374" w14:textId="77777777" w:rsidTr="00FC26AB">
        <w:trPr>
          <w:trHeight w:val="20"/>
          <w:jc w:val="center"/>
        </w:trPr>
        <w:tc>
          <w:tcPr>
            <w:tcW w:w="180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04B8617" w14:textId="2E01BE96" w:rsidR="00F61814" w:rsidRPr="00FC26AB" w:rsidRDefault="00F61814" w:rsidP="00B77C0B">
            <w:pPr>
              <w:pStyle w:val="NoSpacing"/>
              <w:rPr>
                <w:rFonts w:ascii="Times New Roman" w:hAnsi="Times New Roman" w:cs="Times New Roman"/>
                <w:sz w:val="18"/>
                <w:szCs w:val="18"/>
                <w:lang w:eastAsia="en-IN"/>
              </w:rPr>
            </w:pPr>
            <w:r w:rsidRPr="00FC26AB">
              <w:rPr>
                <w:rFonts w:ascii="Times New Roman" w:hAnsi="Times New Roman" w:cs="Times New Roman"/>
                <w:sz w:val="18"/>
                <w:szCs w:val="18"/>
                <w:lang w:eastAsia="en-IN"/>
              </w:rPr>
              <w:t>Commodities</w:t>
            </w:r>
          </w:p>
        </w:tc>
        <w:tc>
          <w:tcPr>
            <w:tcW w:w="842" w:type="dxa"/>
            <w:tcBorders>
              <w:top w:val="single" w:sz="4" w:space="0" w:color="auto"/>
              <w:left w:val="nil"/>
              <w:bottom w:val="single" w:sz="4" w:space="0" w:color="auto"/>
              <w:right w:val="single" w:sz="4" w:space="0" w:color="auto"/>
            </w:tcBorders>
            <w:shd w:val="clear" w:color="000000" w:fill="FFFFFF"/>
            <w:vAlign w:val="center"/>
            <w:hideMark/>
          </w:tcPr>
          <w:p w14:paraId="3C63E1EB" w14:textId="77777777" w:rsidR="00F61814" w:rsidRPr="00FC26AB" w:rsidRDefault="00F61814" w:rsidP="00B77C0B">
            <w:pPr>
              <w:pStyle w:val="NoSpacing"/>
              <w:rPr>
                <w:rFonts w:ascii="Times New Roman" w:hAnsi="Times New Roman" w:cs="Times New Roman"/>
                <w:sz w:val="18"/>
                <w:szCs w:val="18"/>
                <w:lang w:eastAsia="en-IN"/>
              </w:rPr>
            </w:pPr>
            <w:r w:rsidRPr="00FC26AB">
              <w:rPr>
                <w:rFonts w:ascii="Times New Roman" w:hAnsi="Times New Roman" w:cs="Times New Roman"/>
                <w:sz w:val="18"/>
                <w:szCs w:val="18"/>
                <w:lang w:eastAsia="en-IN"/>
              </w:rPr>
              <w:t>Andhra Pradesh</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14:paraId="5EDECBBC" w14:textId="77777777" w:rsidR="00F61814" w:rsidRPr="00FC26AB" w:rsidRDefault="00F61814" w:rsidP="00B77C0B">
            <w:pPr>
              <w:pStyle w:val="NoSpacing"/>
              <w:rPr>
                <w:rFonts w:ascii="Times New Roman" w:hAnsi="Times New Roman" w:cs="Times New Roman"/>
                <w:sz w:val="18"/>
                <w:szCs w:val="18"/>
                <w:lang w:eastAsia="en-IN"/>
              </w:rPr>
            </w:pPr>
            <w:r w:rsidRPr="00FC26AB">
              <w:rPr>
                <w:rFonts w:ascii="Times New Roman" w:hAnsi="Times New Roman" w:cs="Times New Roman"/>
                <w:sz w:val="18"/>
                <w:szCs w:val="18"/>
                <w:lang w:eastAsia="en-IN"/>
              </w:rPr>
              <w:t>Assam</w:t>
            </w:r>
          </w:p>
        </w:tc>
        <w:tc>
          <w:tcPr>
            <w:tcW w:w="616" w:type="dxa"/>
            <w:tcBorders>
              <w:top w:val="single" w:sz="4" w:space="0" w:color="auto"/>
              <w:left w:val="nil"/>
              <w:bottom w:val="single" w:sz="4" w:space="0" w:color="auto"/>
              <w:right w:val="single" w:sz="4" w:space="0" w:color="auto"/>
            </w:tcBorders>
            <w:shd w:val="clear" w:color="000000" w:fill="FFFFFF"/>
            <w:vAlign w:val="center"/>
            <w:hideMark/>
          </w:tcPr>
          <w:p w14:paraId="243AE38F" w14:textId="77777777" w:rsidR="00F61814" w:rsidRPr="00FC26AB" w:rsidRDefault="00F61814" w:rsidP="00B77C0B">
            <w:pPr>
              <w:pStyle w:val="NoSpacing"/>
              <w:rPr>
                <w:rFonts w:ascii="Times New Roman" w:hAnsi="Times New Roman" w:cs="Times New Roman"/>
                <w:sz w:val="18"/>
                <w:szCs w:val="18"/>
                <w:lang w:eastAsia="en-IN"/>
              </w:rPr>
            </w:pPr>
            <w:r w:rsidRPr="00FC26AB">
              <w:rPr>
                <w:rFonts w:ascii="Times New Roman" w:hAnsi="Times New Roman" w:cs="Times New Roman"/>
                <w:sz w:val="18"/>
                <w:szCs w:val="18"/>
                <w:lang w:eastAsia="en-IN"/>
              </w:rPr>
              <w:t>Bihar</w:t>
            </w:r>
          </w:p>
        </w:tc>
        <w:tc>
          <w:tcPr>
            <w:tcW w:w="756" w:type="dxa"/>
            <w:tcBorders>
              <w:top w:val="single" w:sz="4" w:space="0" w:color="auto"/>
              <w:left w:val="nil"/>
              <w:bottom w:val="single" w:sz="4" w:space="0" w:color="auto"/>
              <w:right w:val="single" w:sz="4" w:space="0" w:color="auto"/>
            </w:tcBorders>
            <w:shd w:val="clear" w:color="000000" w:fill="FFFFFF"/>
            <w:vAlign w:val="center"/>
            <w:hideMark/>
          </w:tcPr>
          <w:p w14:paraId="0238ACE2" w14:textId="77777777" w:rsidR="00F61814" w:rsidRPr="00FC26AB" w:rsidRDefault="00F61814" w:rsidP="00B77C0B">
            <w:pPr>
              <w:pStyle w:val="NoSpacing"/>
              <w:rPr>
                <w:rFonts w:ascii="Times New Roman" w:hAnsi="Times New Roman" w:cs="Times New Roman"/>
                <w:sz w:val="18"/>
                <w:szCs w:val="18"/>
                <w:lang w:eastAsia="en-IN"/>
              </w:rPr>
            </w:pPr>
            <w:r w:rsidRPr="00FC26AB">
              <w:rPr>
                <w:rFonts w:ascii="Times New Roman" w:hAnsi="Times New Roman" w:cs="Times New Roman"/>
                <w:sz w:val="18"/>
                <w:szCs w:val="18"/>
                <w:lang w:eastAsia="en-IN"/>
              </w:rPr>
              <w:t>Gujarat</w:t>
            </w:r>
          </w:p>
        </w:tc>
        <w:tc>
          <w:tcPr>
            <w:tcW w:w="1355" w:type="dxa"/>
            <w:tcBorders>
              <w:top w:val="single" w:sz="4" w:space="0" w:color="auto"/>
              <w:left w:val="nil"/>
              <w:bottom w:val="single" w:sz="4" w:space="0" w:color="auto"/>
              <w:right w:val="single" w:sz="4" w:space="0" w:color="auto"/>
            </w:tcBorders>
            <w:shd w:val="clear" w:color="000000" w:fill="FFFFFF"/>
            <w:vAlign w:val="center"/>
            <w:hideMark/>
          </w:tcPr>
          <w:p w14:paraId="534D1BF6" w14:textId="77777777" w:rsidR="00F61814" w:rsidRPr="00FC26AB" w:rsidRDefault="00F61814" w:rsidP="00B77C0B">
            <w:pPr>
              <w:pStyle w:val="NoSpacing"/>
              <w:rPr>
                <w:rFonts w:ascii="Times New Roman" w:hAnsi="Times New Roman" w:cs="Times New Roman"/>
                <w:sz w:val="18"/>
                <w:szCs w:val="18"/>
                <w:lang w:eastAsia="en-IN"/>
              </w:rPr>
            </w:pPr>
            <w:r w:rsidRPr="00FC26AB">
              <w:rPr>
                <w:rFonts w:ascii="Times New Roman" w:hAnsi="Times New Roman" w:cs="Times New Roman"/>
                <w:sz w:val="18"/>
                <w:szCs w:val="18"/>
                <w:lang w:eastAsia="en-IN"/>
              </w:rPr>
              <w:t>Haryana</w:t>
            </w:r>
          </w:p>
        </w:tc>
        <w:tc>
          <w:tcPr>
            <w:tcW w:w="916" w:type="dxa"/>
            <w:tcBorders>
              <w:top w:val="single" w:sz="4" w:space="0" w:color="auto"/>
              <w:left w:val="nil"/>
              <w:bottom w:val="single" w:sz="4" w:space="0" w:color="auto"/>
              <w:right w:val="single" w:sz="4" w:space="0" w:color="auto"/>
            </w:tcBorders>
            <w:shd w:val="clear" w:color="000000" w:fill="FFFFFF"/>
            <w:vAlign w:val="center"/>
            <w:hideMark/>
          </w:tcPr>
          <w:p w14:paraId="50369F9C" w14:textId="77777777" w:rsidR="00F61814" w:rsidRPr="00FC26AB" w:rsidRDefault="00F61814" w:rsidP="00B77C0B">
            <w:pPr>
              <w:pStyle w:val="NoSpacing"/>
              <w:rPr>
                <w:rFonts w:ascii="Times New Roman" w:hAnsi="Times New Roman" w:cs="Times New Roman"/>
                <w:sz w:val="18"/>
                <w:szCs w:val="18"/>
                <w:lang w:eastAsia="en-IN"/>
              </w:rPr>
            </w:pPr>
            <w:r w:rsidRPr="00FC26AB">
              <w:rPr>
                <w:rFonts w:ascii="Times New Roman" w:hAnsi="Times New Roman" w:cs="Times New Roman"/>
                <w:sz w:val="18"/>
                <w:szCs w:val="18"/>
                <w:lang w:eastAsia="en-IN"/>
              </w:rPr>
              <w:t>Jammu &amp; Kashmir</w:t>
            </w:r>
          </w:p>
        </w:tc>
        <w:tc>
          <w:tcPr>
            <w:tcW w:w="696" w:type="dxa"/>
            <w:tcBorders>
              <w:top w:val="single" w:sz="4" w:space="0" w:color="auto"/>
              <w:left w:val="nil"/>
              <w:bottom w:val="single" w:sz="4" w:space="0" w:color="auto"/>
              <w:right w:val="single" w:sz="4" w:space="0" w:color="auto"/>
            </w:tcBorders>
            <w:shd w:val="clear" w:color="000000" w:fill="FFFFFF"/>
            <w:vAlign w:val="center"/>
            <w:hideMark/>
          </w:tcPr>
          <w:p w14:paraId="5A95FC16" w14:textId="77777777" w:rsidR="00F61814" w:rsidRPr="00FC26AB" w:rsidRDefault="00F61814" w:rsidP="00B77C0B">
            <w:pPr>
              <w:pStyle w:val="NoSpacing"/>
              <w:rPr>
                <w:rFonts w:ascii="Times New Roman" w:hAnsi="Times New Roman" w:cs="Times New Roman"/>
                <w:sz w:val="18"/>
                <w:szCs w:val="18"/>
                <w:lang w:eastAsia="en-IN"/>
              </w:rPr>
            </w:pPr>
            <w:r w:rsidRPr="00FC26AB">
              <w:rPr>
                <w:rFonts w:ascii="Times New Roman" w:hAnsi="Times New Roman" w:cs="Times New Roman"/>
                <w:sz w:val="18"/>
                <w:szCs w:val="18"/>
                <w:lang w:eastAsia="en-IN"/>
              </w:rPr>
              <w:t>Kerala</w:t>
            </w:r>
          </w:p>
        </w:tc>
        <w:tc>
          <w:tcPr>
            <w:tcW w:w="831" w:type="dxa"/>
            <w:tcBorders>
              <w:top w:val="single" w:sz="4" w:space="0" w:color="auto"/>
              <w:left w:val="nil"/>
              <w:bottom w:val="single" w:sz="4" w:space="0" w:color="auto"/>
              <w:right w:val="single" w:sz="4" w:space="0" w:color="auto"/>
            </w:tcBorders>
            <w:shd w:val="clear" w:color="000000" w:fill="FFFFFF"/>
            <w:vAlign w:val="center"/>
            <w:hideMark/>
          </w:tcPr>
          <w:p w14:paraId="46F4BEB8" w14:textId="77777777" w:rsidR="00F61814" w:rsidRPr="00FC26AB" w:rsidRDefault="00F61814" w:rsidP="00B77C0B">
            <w:pPr>
              <w:pStyle w:val="NoSpacing"/>
              <w:rPr>
                <w:rFonts w:ascii="Times New Roman" w:hAnsi="Times New Roman" w:cs="Times New Roman"/>
                <w:sz w:val="18"/>
                <w:szCs w:val="18"/>
                <w:lang w:eastAsia="en-IN"/>
              </w:rPr>
            </w:pPr>
            <w:r w:rsidRPr="00FC26AB">
              <w:rPr>
                <w:rFonts w:ascii="Times New Roman" w:hAnsi="Times New Roman" w:cs="Times New Roman"/>
                <w:sz w:val="18"/>
                <w:szCs w:val="18"/>
                <w:lang w:eastAsia="en-IN"/>
              </w:rPr>
              <w:t>Madhya Pradesh</w:t>
            </w:r>
          </w:p>
        </w:tc>
        <w:tc>
          <w:tcPr>
            <w:tcW w:w="1175" w:type="dxa"/>
            <w:tcBorders>
              <w:top w:val="single" w:sz="4" w:space="0" w:color="auto"/>
              <w:left w:val="nil"/>
              <w:bottom w:val="single" w:sz="4" w:space="0" w:color="auto"/>
              <w:right w:val="single" w:sz="4" w:space="0" w:color="auto"/>
            </w:tcBorders>
            <w:shd w:val="clear" w:color="000000" w:fill="FFFFFF"/>
            <w:vAlign w:val="center"/>
            <w:hideMark/>
          </w:tcPr>
          <w:p w14:paraId="364573CF" w14:textId="77777777" w:rsidR="00F61814" w:rsidRPr="00FC26AB" w:rsidRDefault="00F61814" w:rsidP="00B77C0B">
            <w:pPr>
              <w:pStyle w:val="NoSpacing"/>
              <w:rPr>
                <w:rFonts w:ascii="Times New Roman" w:hAnsi="Times New Roman" w:cs="Times New Roman"/>
                <w:sz w:val="18"/>
                <w:szCs w:val="18"/>
                <w:lang w:eastAsia="en-IN"/>
              </w:rPr>
            </w:pPr>
            <w:r w:rsidRPr="00FC26AB">
              <w:rPr>
                <w:rFonts w:ascii="Times New Roman" w:hAnsi="Times New Roman" w:cs="Times New Roman"/>
                <w:sz w:val="18"/>
                <w:szCs w:val="18"/>
                <w:lang w:eastAsia="en-IN"/>
              </w:rPr>
              <w:t>Maharashtra</w:t>
            </w:r>
          </w:p>
        </w:tc>
        <w:tc>
          <w:tcPr>
            <w:tcW w:w="766" w:type="dxa"/>
            <w:tcBorders>
              <w:top w:val="single" w:sz="4" w:space="0" w:color="auto"/>
              <w:left w:val="nil"/>
              <w:bottom w:val="single" w:sz="4" w:space="0" w:color="auto"/>
              <w:right w:val="single" w:sz="4" w:space="0" w:color="auto"/>
            </w:tcBorders>
            <w:shd w:val="clear" w:color="000000" w:fill="FFFFFF"/>
            <w:vAlign w:val="center"/>
            <w:hideMark/>
          </w:tcPr>
          <w:p w14:paraId="2178934F" w14:textId="77777777" w:rsidR="00F61814" w:rsidRPr="00FC26AB" w:rsidRDefault="00F61814" w:rsidP="00B77C0B">
            <w:pPr>
              <w:pStyle w:val="NoSpacing"/>
              <w:rPr>
                <w:rFonts w:ascii="Times New Roman" w:hAnsi="Times New Roman" w:cs="Times New Roman"/>
                <w:sz w:val="18"/>
                <w:szCs w:val="18"/>
                <w:lang w:eastAsia="en-IN"/>
              </w:rPr>
            </w:pPr>
            <w:r w:rsidRPr="00FC26AB">
              <w:rPr>
                <w:rFonts w:ascii="Times New Roman" w:hAnsi="Times New Roman" w:cs="Times New Roman"/>
                <w:sz w:val="18"/>
                <w:szCs w:val="18"/>
                <w:lang w:eastAsia="en-IN"/>
              </w:rPr>
              <w:t>Mysore</w:t>
            </w:r>
          </w:p>
        </w:tc>
        <w:tc>
          <w:tcPr>
            <w:tcW w:w="700" w:type="dxa"/>
            <w:tcBorders>
              <w:top w:val="single" w:sz="4" w:space="0" w:color="auto"/>
              <w:left w:val="nil"/>
              <w:bottom w:val="single" w:sz="4" w:space="0" w:color="auto"/>
              <w:right w:val="single" w:sz="4" w:space="0" w:color="auto"/>
            </w:tcBorders>
            <w:shd w:val="clear" w:color="000000" w:fill="FFFFFF"/>
            <w:vAlign w:val="center"/>
            <w:hideMark/>
          </w:tcPr>
          <w:p w14:paraId="29B7FFA3" w14:textId="77777777" w:rsidR="00F61814" w:rsidRPr="00FC26AB" w:rsidRDefault="00F61814" w:rsidP="00B77C0B">
            <w:pPr>
              <w:pStyle w:val="NoSpacing"/>
              <w:rPr>
                <w:rFonts w:ascii="Times New Roman" w:hAnsi="Times New Roman" w:cs="Times New Roman"/>
                <w:sz w:val="18"/>
                <w:szCs w:val="18"/>
                <w:lang w:eastAsia="en-IN"/>
              </w:rPr>
            </w:pPr>
            <w:r w:rsidRPr="00FC26AB">
              <w:rPr>
                <w:rFonts w:ascii="Times New Roman" w:hAnsi="Times New Roman" w:cs="Times New Roman"/>
                <w:sz w:val="18"/>
                <w:szCs w:val="18"/>
                <w:lang w:eastAsia="en-IN"/>
              </w:rPr>
              <w:t>Orissa</w:t>
            </w:r>
          </w:p>
        </w:tc>
        <w:tc>
          <w:tcPr>
            <w:tcW w:w="736" w:type="dxa"/>
            <w:tcBorders>
              <w:top w:val="single" w:sz="4" w:space="0" w:color="auto"/>
              <w:left w:val="nil"/>
              <w:bottom w:val="single" w:sz="4" w:space="0" w:color="auto"/>
              <w:right w:val="single" w:sz="4" w:space="0" w:color="auto"/>
            </w:tcBorders>
            <w:shd w:val="clear" w:color="000000" w:fill="FFFFFF"/>
            <w:vAlign w:val="center"/>
            <w:hideMark/>
          </w:tcPr>
          <w:p w14:paraId="12D6E410" w14:textId="77777777" w:rsidR="00F61814" w:rsidRPr="00FC26AB" w:rsidRDefault="00F61814" w:rsidP="00B77C0B">
            <w:pPr>
              <w:pStyle w:val="NoSpacing"/>
              <w:rPr>
                <w:rFonts w:ascii="Times New Roman" w:hAnsi="Times New Roman" w:cs="Times New Roman"/>
                <w:sz w:val="18"/>
                <w:szCs w:val="18"/>
                <w:lang w:eastAsia="en-IN"/>
              </w:rPr>
            </w:pPr>
            <w:r w:rsidRPr="00FC26AB">
              <w:rPr>
                <w:rFonts w:ascii="Times New Roman" w:hAnsi="Times New Roman" w:cs="Times New Roman"/>
                <w:sz w:val="18"/>
                <w:szCs w:val="18"/>
                <w:lang w:eastAsia="en-IN"/>
              </w:rPr>
              <w:t>Punjab</w:t>
            </w:r>
          </w:p>
        </w:tc>
        <w:tc>
          <w:tcPr>
            <w:tcW w:w="1004" w:type="dxa"/>
            <w:tcBorders>
              <w:top w:val="single" w:sz="4" w:space="0" w:color="auto"/>
              <w:left w:val="nil"/>
              <w:bottom w:val="single" w:sz="4" w:space="0" w:color="auto"/>
              <w:right w:val="single" w:sz="4" w:space="0" w:color="auto"/>
            </w:tcBorders>
            <w:shd w:val="clear" w:color="000000" w:fill="FFFFFF"/>
            <w:vAlign w:val="center"/>
            <w:hideMark/>
          </w:tcPr>
          <w:p w14:paraId="58F7F71A" w14:textId="77777777" w:rsidR="00F61814" w:rsidRPr="00FC26AB" w:rsidRDefault="00F61814" w:rsidP="00B77C0B">
            <w:pPr>
              <w:pStyle w:val="NoSpacing"/>
              <w:rPr>
                <w:rFonts w:ascii="Times New Roman" w:hAnsi="Times New Roman" w:cs="Times New Roman"/>
                <w:sz w:val="18"/>
                <w:szCs w:val="18"/>
                <w:lang w:eastAsia="en-IN"/>
              </w:rPr>
            </w:pPr>
            <w:r w:rsidRPr="00FC26AB">
              <w:rPr>
                <w:rFonts w:ascii="Times New Roman" w:hAnsi="Times New Roman" w:cs="Times New Roman"/>
                <w:sz w:val="18"/>
                <w:szCs w:val="18"/>
                <w:lang w:eastAsia="en-IN"/>
              </w:rPr>
              <w:t>Rajasthan</w:t>
            </w:r>
          </w:p>
        </w:tc>
        <w:tc>
          <w:tcPr>
            <w:tcW w:w="866" w:type="dxa"/>
            <w:tcBorders>
              <w:top w:val="single" w:sz="4" w:space="0" w:color="auto"/>
              <w:left w:val="nil"/>
              <w:bottom w:val="single" w:sz="4" w:space="0" w:color="auto"/>
              <w:right w:val="single" w:sz="4" w:space="0" w:color="auto"/>
            </w:tcBorders>
            <w:shd w:val="clear" w:color="000000" w:fill="FFFFFF"/>
            <w:vAlign w:val="center"/>
            <w:hideMark/>
          </w:tcPr>
          <w:p w14:paraId="3BCF909D" w14:textId="77777777" w:rsidR="00F61814" w:rsidRPr="00FC26AB" w:rsidRDefault="00F61814" w:rsidP="00B77C0B">
            <w:pPr>
              <w:pStyle w:val="NoSpacing"/>
              <w:rPr>
                <w:rFonts w:ascii="Times New Roman" w:hAnsi="Times New Roman" w:cs="Times New Roman"/>
                <w:sz w:val="18"/>
                <w:szCs w:val="18"/>
                <w:lang w:eastAsia="en-IN"/>
              </w:rPr>
            </w:pPr>
            <w:r w:rsidRPr="00FC26AB">
              <w:rPr>
                <w:rFonts w:ascii="Times New Roman" w:hAnsi="Times New Roman" w:cs="Times New Roman"/>
                <w:sz w:val="18"/>
                <w:szCs w:val="18"/>
                <w:lang w:eastAsia="en-IN"/>
              </w:rPr>
              <w:t>Tamil Nadu</w:t>
            </w:r>
          </w:p>
        </w:tc>
        <w:tc>
          <w:tcPr>
            <w:tcW w:w="830" w:type="dxa"/>
            <w:tcBorders>
              <w:top w:val="single" w:sz="4" w:space="0" w:color="auto"/>
              <w:left w:val="nil"/>
              <w:bottom w:val="single" w:sz="4" w:space="0" w:color="auto"/>
              <w:right w:val="single" w:sz="4" w:space="0" w:color="auto"/>
            </w:tcBorders>
            <w:shd w:val="clear" w:color="000000" w:fill="FFFFFF"/>
            <w:vAlign w:val="center"/>
            <w:hideMark/>
          </w:tcPr>
          <w:p w14:paraId="24EBADA7" w14:textId="77777777" w:rsidR="00F61814" w:rsidRPr="00FC26AB" w:rsidRDefault="00F61814" w:rsidP="00B77C0B">
            <w:pPr>
              <w:pStyle w:val="NoSpacing"/>
              <w:rPr>
                <w:rFonts w:ascii="Times New Roman" w:hAnsi="Times New Roman" w:cs="Times New Roman"/>
                <w:sz w:val="18"/>
                <w:szCs w:val="18"/>
                <w:lang w:eastAsia="en-IN"/>
              </w:rPr>
            </w:pPr>
            <w:r w:rsidRPr="00FC26AB">
              <w:rPr>
                <w:rFonts w:ascii="Times New Roman" w:hAnsi="Times New Roman" w:cs="Times New Roman"/>
                <w:sz w:val="18"/>
                <w:szCs w:val="18"/>
                <w:lang w:eastAsia="en-IN"/>
              </w:rPr>
              <w:t>Uttar Pradesh</w:t>
            </w:r>
          </w:p>
        </w:tc>
        <w:tc>
          <w:tcPr>
            <w:tcW w:w="730" w:type="dxa"/>
            <w:tcBorders>
              <w:top w:val="single" w:sz="4" w:space="0" w:color="auto"/>
              <w:left w:val="nil"/>
              <w:bottom w:val="single" w:sz="4" w:space="0" w:color="auto"/>
              <w:right w:val="single" w:sz="4" w:space="0" w:color="auto"/>
            </w:tcBorders>
            <w:shd w:val="clear" w:color="000000" w:fill="FFFFFF"/>
            <w:vAlign w:val="center"/>
            <w:hideMark/>
          </w:tcPr>
          <w:p w14:paraId="0071B89D" w14:textId="77777777" w:rsidR="00F61814" w:rsidRPr="00FC26AB" w:rsidRDefault="00F61814" w:rsidP="00B77C0B">
            <w:pPr>
              <w:pStyle w:val="NoSpacing"/>
              <w:rPr>
                <w:rFonts w:ascii="Times New Roman" w:hAnsi="Times New Roman" w:cs="Times New Roman"/>
                <w:sz w:val="18"/>
                <w:szCs w:val="18"/>
                <w:lang w:eastAsia="en-IN"/>
              </w:rPr>
            </w:pPr>
            <w:r w:rsidRPr="00FC26AB">
              <w:rPr>
                <w:rFonts w:ascii="Times New Roman" w:hAnsi="Times New Roman" w:cs="Times New Roman"/>
                <w:sz w:val="18"/>
                <w:szCs w:val="18"/>
                <w:lang w:eastAsia="en-IN"/>
              </w:rPr>
              <w:t>West Bengal</w:t>
            </w:r>
          </w:p>
        </w:tc>
      </w:tr>
      <w:tr w:rsidR="00D75175" w:rsidRPr="00FC26AB" w14:paraId="4BC087FA" w14:textId="77777777" w:rsidTr="00FC26AB">
        <w:trPr>
          <w:trHeight w:val="20"/>
          <w:jc w:val="center"/>
        </w:trPr>
        <w:tc>
          <w:tcPr>
            <w:tcW w:w="1801" w:type="dxa"/>
            <w:tcBorders>
              <w:top w:val="nil"/>
              <w:left w:val="single" w:sz="4" w:space="0" w:color="auto"/>
              <w:bottom w:val="single" w:sz="4" w:space="0" w:color="auto"/>
              <w:right w:val="single" w:sz="4" w:space="0" w:color="auto"/>
            </w:tcBorders>
            <w:shd w:val="clear" w:color="000000" w:fill="FFFFFF"/>
            <w:vAlign w:val="center"/>
            <w:hideMark/>
          </w:tcPr>
          <w:p w14:paraId="6BC53741" w14:textId="77777777" w:rsidR="00F61814" w:rsidRPr="00FC26AB" w:rsidRDefault="00F61814" w:rsidP="00B77C0B">
            <w:pPr>
              <w:pStyle w:val="NoSpacing"/>
              <w:rPr>
                <w:rFonts w:ascii="Times New Roman" w:hAnsi="Times New Roman" w:cs="Times New Roman"/>
                <w:sz w:val="18"/>
                <w:szCs w:val="18"/>
                <w:lang w:eastAsia="en-IN"/>
              </w:rPr>
            </w:pPr>
            <w:r w:rsidRPr="00FC26AB">
              <w:rPr>
                <w:rFonts w:ascii="Times New Roman" w:hAnsi="Times New Roman" w:cs="Times New Roman"/>
                <w:sz w:val="18"/>
                <w:szCs w:val="18"/>
                <w:lang w:eastAsia="en-IN"/>
              </w:rPr>
              <w:t>1</w:t>
            </w:r>
          </w:p>
        </w:tc>
        <w:tc>
          <w:tcPr>
            <w:tcW w:w="842" w:type="dxa"/>
            <w:tcBorders>
              <w:top w:val="nil"/>
              <w:left w:val="nil"/>
              <w:bottom w:val="single" w:sz="4" w:space="0" w:color="auto"/>
              <w:right w:val="single" w:sz="4" w:space="0" w:color="auto"/>
            </w:tcBorders>
            <w:shd w:val="clear" w:color="000000" w:fill="FFFFFF"/>
            <w:vAlign w:val="center"/>
            <w:hideMark/>
          </w:tcPr>
          <w:p w14:paraId="07E5B436" w14:textId="77777777" w:rsidR="00F61814" w:rsidRPr="00FC26AB" w:rsidRDefault="00F61814" w:rsidP="00B77C0B">
            <w:pPr>
              <w:pStyle w:val="NoSpacing"/>
              <w:rPr>
                <w:rFonts w:ascii="Times New Roman" w:hAnsi="Times New Roman" w:cs="Times New Roman"/>
                <w:sz w:val="18"/>
                <w:szCs w:val="18"/>
                <w:lang w:eastAsia="en-IN"/>
              </w:rPr>
            </w:pPr>
            <w:r w:rsidRPr="00FC26AB">
              <w:rPr>
                <w:rFonts w:ascii="Times New Roman" w:hAnsi="Times New Roman" w:cs="Times New Roman"/>
                <w:sz w:val="18"/>
                <w:szCs w:val="18"/>
                <w:lang w:eastAsia="en-IN"/>
              </w:rPr>
              <w:t>2</w:t>
            </w:r>
          </w:p>
        </w:tc>
        <w:tc>
          <w:tcPr>
            <w:tcW w:w="706" w:type="dxa"/>
            <w:tcBorders>
              <w:top w:val="nil"/>
              <w:left w:val="nil"/>
              <w:bottom w:val="single" w:sz="4" w:space="0" w:color="auto"/>
              <w:right w:val="single" w:sz="4" w:space="0" w:color="auto"/>
            </w:tcBorders>
            <w:shd w:val="clear" w:color="000000" w:fill="FFFFFF"/>
            <w:vAlign w:val="center"/>
            <w:hideMark/>
          </w:tcPr>
          <w:p w14:paraId="123F3397" w14:textId="77777777" w:rsidR="00F61814" w:rsidRPr="00FC26AB" w:rsidRDefault="00F61814" w:rsidP="00B77C0B">
            <w:pPr>
              <w:pStyle w:val="NoSpacing"/>
              <w:rPr>
                <w:rFonts w:ascii="Times New Roman" w:hAnsi="Times New Roman" w:cs="Times New Roman"/>
                <w:sz w:val="18"/>
                <w:szCs w:val="18"/>
                <w:lang w:eastAsia="en-IN"/>
              </w:rPr>
            </w:pPr>
            <w:r w:rsidRPr="00FC26AB">
              <w:rPr>
                <w:rFonts w:ascii="Times New Roman" w:hAnsi="Times New Roman" w:cs="Times New Roman"/>
                <w:sz w:val="18"/>
                <w:szCs w:val="18"/>
                <w:lang w:eastAsia="en-IN"/>
              </w:rPr>
              <w:t>3</w:t>
            </w:r>
          </w:p>
        </w:tc>
        <w:tc>
          <w:tcPr>
            <w:tcW w:w="616" w:type="dxa"/>
            <w:tcBorders>
              <w:top w:val="nil"/>
              <w:left w:val="nil"/>
              <w:bottom w:val="single" w:sz="4" w:space="0" w:color="auto"/>
              <w:right w:val="single" w:sz="4" w:space="0" w:color="auto"/>
            </w:tcBorders>
            <w:shd w:val="clear" w:color="000000" w:fill="FFFFFF"/>
            <w:vAlign w:val="center"/>
            <w:hideMark/>
          </w:tcPr>
          <w:p w14:paraId="1DAAF5A2" w14:textId="77777777" w:rsidR="00F61814" w:rsidRPr="00FC26AB" w:rsidRDefault="00F61814" w:rsidP="00B77C0B">
            <w:pPr>
              <w:pStyle w:val="NoSpacing"/>
              <w:rPr>
                <w:rFonts w:ascii="Times New Roman" w:hAnsi="Times New Roman" w:cs="Times New Roman"/>
                <w:sz w:val="18"/>
                <w:szCs w:val="18"/>
                <w:lang w:eastAsia="en-IN"/>
              </w:rPr>
            </w:pPr>
            <w:r w:rsidRPr="00FC26AB">
              <w:rPr>
                <w:rFonts w:ascii="Times New Roman" w:hAnsi="Times New Roman" w:cs="Times New Roman"/>
                <w:sz w:val="18"/>
                <w:szCs w:val="18"/>
                <w:lang w:eastAsia="en-IN"/>
              </w:rPr>
              <w:t>4</w:t>
            </w:r>
          </w:p>
        </w:tc>
        <w:tc>
          <w:tcPr>
            <w:tcW w:w="756" w:type="dxa"/>
            <w:tcBorders>
              <w:top w:val="nil"/>
              <w:left w:val="nil"/>
              <w:bottom w:val="single" w:sz="4" w:space="0" w:color="auto"/>
              <w:right w:val="single" w:sz="4" w:space="0" w:color="auto"/>
            </w:tcBorders>
            <w:shd w:val="clear" w:color="000000" w:fill="FFFFFF"/>
            <w:vAlign w:val="center"/>
            <w:hideMark/>
          </w:tcPr>
          <w:p w14:paraId="429E1028" w14:textId="77777777" w:rsidR="00F61814" w:rsidRPr="00FC26AB" w:rsidRDefault="00F61814" w:rsidP="00B77C0B">
            <w:pPr>
              <w:pStyle w:val="NoSpacing"/>
              <w:rPr>
                <w:rFonts w:ascii="Times New Roman" w:hAnsi="Times New Roman" w:cs="Times New Roman"/>
                <w:sz w:val="18"/>
                <w:szCs w:val="18"/>
                <w:lang w:eastAsia="en-IN"/>
              </w:rPr>
            </w:pPr>
            <w:r w:rsidRPr="00FC26AB">
              <w:rPr>
                <w:rFonts w:ascii="Times New Roman" w:hAnsi="Times New Roman" w:cs="Times New Roman"/>
                <w:sz w:val="18"/>
                <w:szCs w:val="18"/>
                <w:lang w:eastAsia="en-IN"/>
              </w:rPr>
              <w:t>5</w:t>
            </w:r>
          </w:p>
        </w:tc>
        <w:tc>
          <w:tcPr>
            <w:tcW w:w="1355" w:type="dxa"/>
            <w:tcBorders>
              <w:top w:val="nil"/>
              <w:left w:val="nil"/>
              <w:bottom w:val="single" w:sz="4" w:space="0" w:color="auto"/>
              <w:right w:val="single" w:sz="4" w:space="0" w:color="auto"/>
            </w:tcBorders>
            <w:shd w:val="clear" w:color="000000" w:fill="FFFFFF"/>
            <w:vAlign w:val="center"/>
            <w:hideMark/>
          </w:tcPr>
          <w:p w14:paraId="44DEB33C" w14:textId="77777777" w:rsidR="00F61814" w:rsidRPr="00FC26AB" w:rsidRDefault="00F61814" w:rsidP="00B77C0B">
            <w:pPr>
              <w:pStyle w:val="NoSpacing"/>
              <w:rPr>
                <w:rFonts w:ascii="Times New Roman" w:hAnsi="Times New Roman" w:cs="Times New Roman"/>
                <w:sz w:val="18"/>
                <w:szCs w:val="18"/>
                <w:lang w:eastAsia="en-IN"/>
              </w:rPr>
            </w:pPr>
            <w:r w:rsidRPr="00FC26AB">
              <w:rPr>
                <w:rFonts w:ascii="Times New Roman" w:hAnsi="Times New Roman" w:cs="Times New Roman"/>
                <w:sz w:val="18"/>
                <w:szCs w:val="18"/>
                <w:lang w:eastAsia="en-IN"/>
              </w:rPr>
              <w:t>6</w:t>
            </w:r>
          </w:p>
        </w:tc>
        <w:tc>
          <w:tcPr>
            <w:tcW w:w="916" w:type="dxa"/>
            <w:tcBorders>
              <w:top w:val="nil"/>
              <w:left w:val="nil"/>
              <w:bottom w:val="single" w:sz="4" w:space="0" w:color="auto"/>
              <w:right w:val="single" w:sz="4" w:space="0" w:color="auto"/>
            </w:tcBorders>
            <w:shd w:val="clear" w:color="000000" w:fill="FFFFFF"/>
            <w:vAlign w:val="center"/>
            <w:hideMark/>
          </w:tcPr>
          <w:p w14:paraId="2E8EE36F" w14:textId="77777777" w:rsidR="00F61814" w:rsidRPr="00FC26AB" w:rsidRDefault="00F61814" w:rsidP="00B77C0B">
            <w:pPr>
              <w:pStyle w:val="NoSpacing"/>
              <w:rPr>
                <w:rFonts w:ascii="Times New Roman" w:hAnsi="Times New Roman" w:cs="Times New Roman"/>
                <w:sz w:val="18"/>
                <w:szCs w:val="18"/>
                <w:lang w:eastAsia="en-IN"/>
              </w:rPr>
            </w:pPr>
            <w:r w:rsidRPr="00FC26AB">
              <w:rPr>
                <w:rFonts w:ascii="Times New Roman" w:hAnsi="Times New Roman" w:cs="Times New Roman"/>
                <w:sz w:val="18"/>
                <w:szCs w:val="18"/>
                <w:lang w:eastAsia="en-IN"/>
              </w:rPr>
              <w:t>7</w:t>
            </w:r>
          </w:p>
        </w:tc>
        <w:tc>
          <w:tcPr>
            <w:tcW w:w="696" w:type="dxa"/>
            <w:tcBorders>
              <w:top w:val="nil"/>
              <w:left w:val="nil"/>
              <w:bottom w:val="single" w:sz="4" w:space="0" w:color="auto"/>
              <w:right w:val="single" w:sz="4" w:space="0" w:color="auto"/>
            </w:tcBorders>
            <w:shd w:val="clear" w:color="000000" w:fill="FFFFFF"/>
            <w:vAlign w:val="center"/>
            <w:hideMark/>
          </w:tcPr>
          <w:p w14:paraId="3AB7DC9C" w14:textId="77777777" w:rsidR="00F61814" w:rsidRPr="00FC26AB" w:rsidRDefault="00F61814" w:rsidP="00B77C0B">
            <w:pPr>
              <w:pStyle w:val="NoSpacing"/>
              <w:rPr>
                <w:rFonts w:ascii="Times New Roman" w:hAnsi="Times New Roman" w:cs="Times New Roman"/>
                <w:sz w:val="18"/>
                <w:szCs w:val="18"/>
                <w:lang w:eastAsia="en-IN"/>
              </w:rPr>
            </w:pPr>
            <w:r w:rsidRPr="00FC26AB">
              <w:rPr>
                <w:rFonts w:ascii="Times New Roman" w:hAnsi="Times New Roman" w:cs="Times New Roman"/>
                <w:sz w:val="18"/>
                <w:szCs w:val="18"/>
                <w:lang w:eastAsia="en-IN"/>
              </w:rPr>
              <w:t>8</w:t>
            </w:r>
          </w:p>
        </w:tc>
        <w:tc>
          <w:tcPr>
            <w:tcW w:w="831" w:type="dxa"/>
            <w:tcBorders>
              <w:top w:val="nil"/>
              <w:left w:val="nil"/>
              <w:bottom w:val="single" w:sz="4" w:space="0" w:color="auto"/>
              <w:right w:val="single" w:sz="4" w:space="0" w:color="auto"/>
            </w:tcBorders>
            <w:shd w:val="clear" w:color="000000" w:fill="FFFFFF"/>
            <w:vAlign w:val="center"/>
            <w:hideMark/>
          </w:tcPr>
          <w:p w14:paraId="3A972ADB" w14:textId="77777777" w:rsidR="00F61814" w:rsidRPr="00FC26AB" w:rsidRDefault="00F61814" w:rsidP="00B77C0B">
            <w:pPr>
              <w:pStyle w:val="NoSpacing"/>
              <w:rPr>
                <w:rFonts w:ascii="Times New Roman" w:hAnsi="Times New Roman" w:cs="Times New Roman"/>
                <w:sz w:val="18"/>
                <w:szCs w:val="18"/>
                <w:lang w:eastAsia="en-IN"/>
              </w:rPr>
            </w:pPr>
            <w:r w:rsidRPr="00FC26AB">
              <w:rPr>
                <w:rFonts w:ascii="Times New Roman" w:hAnsi="Times New Roman" w:cs="Times New Roman"/>
                <w:sz w:val="18"/>
                <w:szCs w:val="18"/>
                <w:lang w:eastAsia="en-IN"/>
              </w:rPr>
              <w:t>9</w:t>
            </w:r>
          </w:p>
        </w:tc>
        <w:tc>
          <w:tcPr>
            <w:tcW w:w="1175" w:type="dxa"/>
            <w:tcBorders>
              <w:top w:val="nil"/>
              <w:left w:val="nil"/>
              <w:bottom w:val="single" w:sz="4" w:space="0" w:color="auto"/>
              <w:right w:val="single" w:sz="4" w:space="0" w:color="auto"/>
            </w:tcBorders>
            <w:shd w:val="clear" w:color="000000" w:fill="FFFFFF"/>
            <w:vAlign w:val="center"/>
            <w:hideMark/>
          </w:tcPr>
          <w:p w14:paraId="5453F9C3" w14:textId="77777777" w:rsidR="00F61814" w:rsidRPr="00FC26AB" w:rsidRDefault="00F61814" w:rsidP="00B77C0B">
            <w:pPr>
              <w:pStyle w:val="NoSpacing"/>
              <w:rPr>
                <w:rFonts w:ascii="Times New Roman" w:hAnsi="Times New Roman" w:cs="Times New Roman"/>
                <w:sz w:val="18"/>
                <w:szCs w:val="18"/>
                <w:lang w:eastAsia="en-IN"/>
              </w:rPr>
            </w:pPr>
            <w:r w:rsidRPr="00FC26AB">
              <w:rPr>
                <w:rFonts w:ascii="Times New Roman" w:hAnsi="Times New Roman" w:cs="Times New Roman"/>
                <w:sz w:val="18"/>
                <w:szCs w:val="18"/>
                <w:lang w:eastAsia="en-IN"/>
              </w:rPr>
              <w:t>10</w:t>
            </w:r>
          </w:p>
        </w:tc>
        <w:tc>
          <w:tcPr>
            <w:tcW w:w="766" w:type="dxa"/>
            <w:tcBorders>
              <w:top w:val="nil"/>
              <w:left w:val="nil"/>
              <w:bottom w:val="single" w:sz="4" w:space="0" w:color="auto"/>
              <w:right w:val="single" w:sz="4" w:space="0" w:color="auto"/>
            </w:tcBorders>
            <w:shd w:val="clear" w:color="000000" w:fill="FFFFFF"/>
            <w:vAlign w:val="center"/>
            <w:hideMark/>
          </w:tcPr>
          <w:p w14:paraId="34A17E64" w14:textId="77777777" w:rsidR="00F61814" w:rsidRPr="00FC26AB" w:rsidRDefault="00F61814" w:rsidP="00B77C0B">
            <w:pPr>
              <w:pStyle w:val="NoSpacing"/>
              <w:rPr>
                <w:rFonts w:ascii="Times New Roman" w:hAnsi="Times New Roman" w:cs="Times New Roman"/>
                <w:sz w:val="18"/>
                <w:szCs w:val="18"/>
                <w:lang w:eastAsia="en-IN"/>
              </w:rPr>
            </w:pPr>
            <w:r w:rsidRPr="00FC26AB">
              <w:rPr>
                <w:rFonts w:ascii="Times New Roman" w:hAnsi="Times New Roman" w:cs="Times New Roman"/>
                <w:sz w:val="18"/>
                <w:szCs w:val="18"/>
                <w:lang w:eastAsia="en-IN"/>
              </w:rPr>
              <w:t>11</w:t>
            </w:r>
          </w:p>
        </w:tc>
        <w:tc>
          <w:tcPr>
            <w:tcW w:w="700" w:type="dxa"/>
            <w:tcBorders>
              <w:top w:val="nil"/>
              <w:left w:val="nil"/>
              <w:bottom w:val="single" w:sz="4" w:space="0" w:color="auto"/>
              <w:right w:val="single" w:sz="4" w:space="0" w:color="auto"/>
            </w:tcBorders>
            <w:shd w:val="clear" w:color="000000" w:fill="FFFFFF"/>
            <w:vAlign w:val="center"/>
            <w:hideMark/>
          </w:tcPr>
          <w:p w14:paraId="327A7FEC" w14:textId="77777777" w:rsidR="00F61814" w:rsidRPr="00FC26AB" w:rsidRDefault="00F61814" w:rsidP="00B77C0B">
            <w:pPr>
              <w:pStyle w:val="NoSpacing"/>
              <w:rPr>
                <w:rFonts w:ascii="Times New Roman" w:hAnsi="Times New Roman" w:cs="Times New Roman"/>
                <w:sz w:val="18"/>
                <w:szCs w:val="18"/>
                <w:lang w:eastAsia="en-IN"/>
              </w:rPr>
            </w:pPr>
            <w:r w:rsidRPr="00FC26AB">
              <w:rPr>
                <w:rFonts w:ascii="Times New Roman" w:hAnsi="Times New Roman" w:cs="Times New Roman"/>
                <w:sz w:val="18"/>
                <w:szCs w:val="18"/>
                <w:lang w:eastAsia="en-IN"/>
              </w:rPr>
              <w:t>12</w:t>
            </w:r>
          </w:p>
        </w:tc>
        <w:tc>
          <w:tcPr>
            <w:tcW w:w="736" w:type="dxa"/>
            <w:tcBorders>
              <w:top w:val="nil"/>
              <w:left w:val="nil"/>
              <w:bottom w:val="single" w:sz="4" w:space="0" w:color="auto"/>
              <w:right w:val="single" w:sz="4" w:space="0" w:color="auto"/>
            </w:tcBorders>
            <w:shd w:val="clear" w:color="000000" w:fill="FFFFFF"/>
            <w:vAlign w:val="center"/>
            <w:hideMark/>
          </w:tcPr>
          <w:p w14:paraId="208A400D" w14:textId="77777777" w:rsidR="00F61814" w:rsidRPr="00FC26AB" w:rsidRDefault="00F61814" w:rsidP="00B77C0B">
            <w:pPr>
              <w:pStyle w:val="NoSpacing"/>
              <w:rPr>
                <w:rFonts w:ascii="Times New Roman" w:hAnsi="Times New Roman" w:cs="Times New Roman"/>
                <w:sz w:val="18"/>
                <w:szCs w:val="18"/>
                <w:lang w:eastAsia="en-IN"/>
              </w:rPr>
            </w:pPr>
            <w:r w:rsidRPr="00FC26AB">
              <w:rPr>
                <w:rFonts w:ascii="Times New Roman" w:hAnsi="Times New Roman" w:cs="Times New Roman"/>
                <w:sz w:val="18"/>
                <w:szCs w:val="18"/>
                <w:lang w:eastAsia="en-IN"/>
              </w:rPr>
              <w:t>13</w:t>
            </w:r>
          </w:p>
        </w:tc>
        <w:tc>
          <w:tcPr>
            <w:tcW w:w="1004" w:type="dxa"/>
            <w:tcBorders>
              <w:top w:val="nil"/>
              <w:left w:val="nil"/>
              <w:bottom w:val="single" w:sz="4" w:space="0" w:color="auto"/>
              <w:right w:val="single" w:sz="4" w:space="0" w:color="auto"/>
            </w:tcBorders>
            <w:shd w:val="clear" w:color="000000" w:fill="FFFFFF"/>
            <w:vAlign w:val="center"/>
            <w:hideMark/>
          </w:tcPr>
          <w:p w14:paraId="72C7F8DA" w14:textId="77777777" w:rsidR="00F61814" w:rsidRPr="00FC26AB" w:rsidRDefault="00F61814" w:rsidP="00B77C0B">
            <w:pPr>
              <w:pStyle w:val="NoSpacing"/>
              <w:rPr>
                <w:rFonts w:ascii="Times New Roman" w:hAnsi="Times New Roman" w:cs="Times New Roman"/>
                <w:sz w:val="18"/>
                <w:szCs w:val="18"/>
                <w:lang w:eastAsia="en-IN"/>
              </w:rPr>
            </w:pPr>
            <w:r w:rsidRPr="00FC26AB">
              <w:rPr>
                <w:rFonts w:ascii="Times New Roman" w:hAnsi="Times New Roman" w:cs="Times New Roman"/>
                <w:sz w:val="18"/>
                <w:szCs w:val="18"/>
                <w:lang w:eastAsia="en-IN"/>
              </w:rPr>
              <w:t>14</w:t>
            </w:r>
          </w:p>
        </w:tc>
        <w:tc>
          <w:tcPr>
            <w:tcW w:w="866" w:type="dxa"/>
            <w:tcBorders>
              <w:top w:val="nil"/>
              <w:left w:val="nil"/>
              <w:bottom w:val="single" w:sz="4" w:space="0" w:color="auto"/>
              <w:right w:val="single" w:sz="4" w:space="0" w:color="auto"/>
            </w:tcBorders>
            <w:shd w:val="clear" w:color="000000" w:fill="FFFFFF"/>
            <w:vAlign w:val="center"/>
            <w:hideMark/>
          </w:tcPr>
          <w:p w14:paraId="7CA2C3FE" w14:textId="77777777" w:rsidR="00F61814" w:rsidRPr="00FC26AB" w:rsidRDefault="00F61814" w:rsidP="00B77C0B">
            <w:pPr>
              <w:pStyle w:val="NoSpacing"/>
              <w:rPr>
                <w:rFonts w:ascii="Times New Roman" w:hAnsi="Times New Roman" w:cs="Times New Roman"/>
                <w:sz w:val="18"/>
                <w:szCs w:val="18"/>
                <w:lang w:eastAsia="en-IN"/>
              </w:rPr>
            </w:pPr>
            <w:r w:rsidRPr="00FC26AB">
              <w:rPr>
                <w:rFonts w:ascii="Times New Roman" w:hAnsi="Times New Roman" w:cs="Times New Roman"/>
                <w:sz w:val="18"/>
                <w:szCs w:val="18"/>
                <w:lang w:eastAsia="en-IN"/>
              </w:rPr>
              <w:t>15</w:t>
            </w:r>
          </w:p>
        </w:tc>
        <w:tc>
          <w:tcPr>
            <w:tcW w:w="830" w:type="dxa"/>
            <w:tcBorders>
              <w:top w:val="nil"/>
              <w:left w:val="nil"/>
              <w:bottom w:val="single" w:sz="4" w:space="0" w:color="auto"/>
              <w:right w:val="single" w:sz="4" w:space="0" w:color="auto"/>
            </w:tcBorders>
            <w:shd w:val="clear" w:color="000000" w:fill="FFFFFF"/>
            <w:vAlign w:val="center"/>
            <w:hideMark/>
          </w:tcPr>
          <w:p w14:paraId="0B45F0C5" w14:textId="77777777" w:rsidR="00F61814" w:rsidRPr="00FC26AB" w:rsidRDefault="00F61814" w:rsidP="00B77C0B">
            <w:pPr>
              <w:pStyle w:val="NoSpacing"/>
              <w:rPr>
                <w:rFonts w:ascii="Times New Roman" w:hAnsi="Times New Roman" w:cs="Times New Roman"/>
                <w:sz w:val="18"/>
                <w:szCs w:val="18"/>
                <w:lang w:eastAsia="en-IN"/>
              </w:rPr>
            </w:pPr>
            <w:r w:rsidRPr="00FC26AB">
              <w:rPr>
                <w:rFonts w:ascii="Times New Roman" w:hAnsi="Times New Roman" w:cs="Times New Roman"/>
                <w:sz w:val="18"/>
                <w:szCs w:val="18"/>
                <w:lang w:eastAsia="en-IN"/>
              </w:rPr>
              <w:t>16</w:t>
            </w:r>
          </w:p>
        </w:tc>
        <w:tc>
          <w:tcPr>
            <w:tcW w:w="730" w:type="dxa"/>
            <w:tcBorders>
              <w:top w:val="nil"/>
              <w:left w:val="nil"/>
              <w:bottom w:val="single" w:sz="4" w:space="0" w:color="auto"/>
              <w:right w:val="single" w:sz="4" w:space="0" w:color="auto"/>
            </w:tcBorders>
            <w:shd w:val="clear" w:color="000000" w:fill="FFFFFF"/>
            <w:vAlign w:val="center"/>
            <w:hideMark/>
          </w:tcPr>
          <w:p w14:paraId="15327509" w14:textId="77777777" w:rsidR="00F61814" w:rsidRPr="00FC26AB" w:rsidRDefault="00F61814" w:rsidP="00B77C0B">
            <w:pPr>
              <w:pStyle w:val="NoSpacing"/>
              <w:rPr>
                <w:rFonts w:ascii="Times New Roman" w:hAnsi="Times New Roman" w:cs="Times New Roman"/>
                <w:sz w:val="18"/>
                <w:szCs w:val="18"/>
                <w:lang w:eastAsia="en-IN"/>
              </w:rPr>
            </w:pPr>
            <w:r w:rsidRPr="00FC26AB">
              <w:rPr>
                <w:rFonts w:ascii="Times New Roman" w:hAnsi="Times New Roman" w:cs="Times New Roman"/>
                <w:sz w:val="18"/>
                <w:szCs w:val="18"/>
                <w:lang w:eastAsia="en-IN"/>
              </w:rPr>
              <w:t>17</w:t>
            </w:r>
          </w:p>
        </w:tc>
      </w:tr>
      <w:tr w:rsidR="00D75175" w:rsidRPr="00FC26AB" w14:paraId="668C6C49" w14:textId="77777777" w:rsidTr="00FC26AB">
        <w:trPr>
          <w:trHeight w:val="20"/>
          <w:jc w:val="center"/>
        </w:trPr>
        <w:tc>
          <w:tcPr>
            <w:tcW w:w="1801" w:type="dxa"/>
            <w:tcBorders>
              <w:top w:val="nil"/>
              <w:left w:val="single" w:sz="4" w:space="0" w:color="auto"/>
              <w:bottom w:val="single" w:sz="4" w:space="0" w:color="auto"/>
              <w:right w:val="single" w:sz="4" w:space="0" w:color="auto"/>
            </w:tcBorders>
            <w:shd w:val="clear" w:color="000000" w:fill="FFFFFF"/>
            <w:vAlign w:val="center"/>
            <w:hideMark/>
          </w:tcPr>
          <w:p w14:paraId="342D5405" w14:textId="77777777" w:rsidR="00F61814" w:rsidRPr="00FC26AB" w:rsidRDefault="00F61814" w:rsidP="00B77C0B">
            <w:pPr>
              <w:pStyle w:val="NoSpacing"/>
              <w:rPr>
                <w:rFonts w:ascii="Times New Roman" w:hAnsi="Times New Roman" w:cs="Times New Roman"/>
                <w:sz w:val="18"/>
                <w:szCs w:val="18"/>
                <w:lang w:eastAsia="en-IN"/>
              </w:rPr>
            </w:pPr>
            <w:r w:rsidRPr="00FC26AB">
              <w:rPr>
                <w:rFonts w:ascii="Times New Roman" w:hAnsi="Times New Roman" w:cs="Times New Roman"/>
                <w:sz w:val="18"/>
                <w:szCs w:val="18"/>
                <w:lang w:eastAsia="en-IN"/>
              </w:rPr>
              <w:t>1.Cement</w:t>
            </w:r>
          </w:p>
        </w:tc>
        <w:tc>
          <w:tcPr>
            <w:tcW w:w="842" w:type="dxa"/>
            <w:tcBorders>
              <w:top w:val="nil"/>
              <w:left w:val="nil"/>
              <w:bottom w:val="single" w:sz="4" w:space="0" w:color="auto"/>
              <w:right w:val="single" w:sz="4" w:space="0" w:color="auto"/>
            </w:tcBorders>
            <w:shd w:val="clear" w:color="000000" w:fill="FFFFFF"/>
            <w:vAlign w:val="center"/>
            <w:hideMark/>
          </w:tcPr>
          <w:p w14:paraId="49FD0142" w14:textId="77777777" w:rsidR="00F61814" w:rsidRPr="00FC26AB" w:rsidRDefault="00F61814" w:rsidP="00B77C0B">
            <w:pPr>
              <w:pStyle w:val="NoSpacing"/>
              <w:rPr>
                <w:rFonts w:ascii="Times New Roman" w:hAnsi="Times New Roman" w:cs="Times New Roman"/>
                <w:sz w:val="18"/>
                <w:szCs w:val="18"/>
                <w:lang w:eastAsia="en-IN"/>
              </w:rPr>
            </w:pPr>
            <w:r w:rsidRPr="00FC26AB">
              <w:rPr>
                <w:rFonts w:ascii="Times New Roman" w:hAnsi="Times New Roman" w:cs="Times New Roman"/>
                <w:sz w:val="18"/>
                <w:szCs w:val="18"/>
                <w:lang w:eastAsia="en-IN"/>
              </w:rPr>
              <w:t>5</w:t>
            </w:r>
          </w:p>
        </w:tc>
        <w:tc>
          <w:tcPr>
            <w:tcW w:w="706" w:type="dxa"/>
            <w:tcBorders>
              <w:top w:val="nil"/>
              <w:left w:val="nil"/>
              <w:bottom w:val="single" w:sz="4" w:space="0" w:color="auto"/>
              <w:right w:val="single" w:sz="4" w:space="0" w:color="auto"/>
            </w:tcBorders>
            <w:shd w:val="clear" w:color="000000" w:fill="FFFFFF"/>
            <w:vAlign w:val="center"/>
            <w:hideMark/>
          </w:tcPr>
          <w:p w14:paraId="0A2618B9" w14:textId="77777777" w:rsidR="00F61814" w:rsidRPr="00FC26AB" w:rsidRDefault="00F61814" w:rsidP="00B77C0B">
            <w:pPr>
              <w:pStyle w:val="NoSpacing"/>
              <w:rPr>
                <w:rFonts w:ascii="Times New Roman" w:hAnsi="Times New Roman" w:cs="Times New Roman"/>
                <w:sz w:val="18"/>
                <w:szCs w:val="18"/>
                <w:lang w:eastAsia="en-IN"/>
              </w:rPr>
            </w:pPr>
            <w:r w:rsidRPr="00FC26AB">
              <w:rPr>
                <w:rFonts w:ascii="Times New Roman" w:hAnsi="Times New Roman" w:cs="Times New Roman"/>
                <w:sz w:val="18"/>
                <w:szCs w:val="18"/>
                <w:lang w:eastAsia="en-IN"/>
              </w:rPr>
              <w:t>6</w:t>
            </w:r>
          </w:p>
        </w:tc>
        <w:tc>
          <w:tcPr>
            <w:tcW w:w="616" w:type="dxa"/>
            <w:tcBorders>
              <w:top w:val="nil"/>
              <w:left w:val="nil"/>
              <w:bottom w:val="single" w:sz="4" w:space="0" w:color="auto"/>
              <w:right w:val="single" w:sz="4" w:space="0" w:color="auto"/>
            </w:tcBorders>
            <w:shd w:val="clear" w:color="000000" w:fill="FFFFFF"/>
            <w:vAlign w:val="center"/>
            <w:hideMark/>
          </w:tcPr>
          <w:p w14:paraId="728F1937" w14:textId="77777777" w:rsidR="00F61814" w:rsidRPr="00FC26AB" w:rsidRDefault="00F61814" w:rsidP="00B77C0B">
            <w:pPr>
              <w:pStyle w:val="NoSpacing"/>
              <w:rPr>
                <w:rFonts w:ascii="Times New Roman" w:hAnsi="Times New Roman" w:cs="Times New Roman"/>
                <w:sz w:val="18"/>
                <w:szCs w:val="18"/>
                <w:lang w:eastAsia="en-IN"/>
              </w:rPr>
            </w:pPr>
            <w:r w:rsidRPr="00FC26AB">
              <w:rPr>
                <w:rFonts w:ascii="Times New Roman" w:hAnsi="Times New Roman" w:cs="Times New Roman"/>
                <w:sz w:val="18"/>
                <w:szCs w:val="18"/>
                <w:lang w:eastAsia="en-IN"/>
              </w:rPr>
              <w:t>7</w:t>
            </w:r>
          </w:p>
        </w:tc>
        <w:tc>
          <w:tcPr>
            <w:tcW w:w="756" w:type="dxa"/>
            <w:tcBorders>
              <w:top w:val="nil"/>
              <w:left w:val="nil"/>
              <w:bottom w:val="single" w:sz="4" w:space="0" w:color="auto"/>
              <w:right w:val="single" w:sz="4" w:space="0" w:color="auto"/>
            </w:tcBorders>
            <w:shd w:val="clear" w:color="000000" w:fill="FFFFFF"/>
            <w:vAlign w:val="center"/>
            <w:hideMark/>
          </w:tcPr>
          <w:p w14:paraId="76C75308" w14:textId="77777777" w:rsidR="00F61814" w:rsidRPr="00FC26AB" w:rsidRDefault="00F61814" w:rsidP="00B77C0B">
            <w:pPr>
              <w:pStyle w:val="NoSpacing"/>
              <w:rPr>
                <w:rFonts w:ascii="Times New Roman" w:hAnsi="Times New Roman" w:cs="Times New Roman"/>
                <w:sz w:val="18"/>
                <w:szCs w:val="18"/>
                <w:lang w:eastAsia="en-IN"/>
              </w:rPr>
            </w:pPr>
            <w:r w:rsidRPr="00FC26AB">
              <w:rPr>
                <w:rFonts w:ascii="Times New Roman" w:hAnsi="Times New Roman" w:cs="Times New Roman"/>
                <w:sz w:val="18"/>
                <w:szCs w:val="18"/>
                <w:lang w:eastAsia="en-IN"/>
              </w:rPr>
              <w:t>7</w:t>
            </w:r>
          </w:p>
        </w:tc>
        <w:tc>
          <w:tcPr>
            <w:tcW w:w="1355" w:type="dxa"/>
            <w:tcBorders>
              <w:top w:val="nil"/>
              <w:left w:val="nil"/>
              <w:bottom w:val="single" w:sz="4" w:space="0" w:color="auto"/>
              <w:right w:val="single" w:sz="4" w:space="0" w:color="auto"/>
            </w:tcBorders>
            <w:shd w:val="clear" w:color="000000" w:fill="FFFFFF"/>
            <w:vAlign w:val="center"/>
            <w:hideMark/>
          </w:tcPr>
          <w:p w14:paraId="57C94414" w14:textId="77777777" w:rsidR="00F61814" w:rsidRPr="00FC26AB" w:rsidRDefault="00F61814" w:rsidP="00B77C0B">
            <w:pPr>
              <w:pStyle w:val="NoSpacing"/>
              <w:rPr>
                <w:rFonts w:ascii="Times New Roman" w:hAnsi="Times New Roman" w:cs="Times New Roman"/>
                <w:sz w:val="18"/>
                <w:szCs w:val="18"/>
                <w:lang w:eastAsia="en-IN"/>
              </w:rPr>
            </w:pPr>
            <w:r w:rsidRPr="00FC26AB">
              <w:rPr>
                <w:rFonts w:ascii="Times New Roman" w:hAnsi="Times New Roman" w:cs="Times New Roman"/>
                <w:sz w:val="18"/>
                <w:szCs w:val="18"/>
                <w:lang w:eastAsia="en-IN"/>
              </w:rPr>
              <w:t>6</w:t>
            </w:r>
          </w:p>
        </w:tc>
        <w:tc>
          <w:tcPr>
            <w:tcW w:w="916" w:type="dxa"/>
            <w:tcBorders>
              <w:top w:val="nil"/>
              <w:left w:val="nil"/>
              <w:bottom w:val="single" w:sz="4" w:space="0" w:color="auto"/>
              <w:right w:val="single" w:sz="4" w:space="0" w:color="auto"/>
            </w:tcBorders>
            <w:shd w:val="clear" w:color="000000" w:fill="FFFFFF"/>
            <w:vAlign w:val="center"/>
            <w:hideMark/>
          </w:tcPr>
          <w:p w14:paraId="5F459BF0" w14:textId="77777777" w:rsidR="00F61814" w:rsidRPr="00FC26AB" w:rsidRDefault="00F61814" w:rsidP="00B77C0B">
            <w:pPr>
              <w:pStyle w:val="NoSpacing"/>
              <w:rPr>
                <w:rFonts w:ascii="Times New Roman" w:hAnsi="Times New Roman" w:cs="Times New Roman"/>
                <w:sz w:val="18"/>
                <w:szCs w:val="18"/>
                <w:lang w:eastAsia="en-IN"/>
              </w:rPr>
            </w:pPr>
            <w:r w:rsidRPr="00FC26AB">
              <w:rPr>
                <w:rFonts w:ascii="Times New Roman" w:hAnsi="Times New Roman" w:cs="Times New Roman"/>
                <w:sz w:val="18"/>
                <w:szCs w:val="18"/>
                <w:lang w:eastAsia="en-IN"/>
              </w:rPr>
              <w:t>7</w:t>
            </w:r>
          </w:p>
        </w:tc>
        <w:tc>
          <w:tcPr>
            <w:tcW w:w="696" w:type="dxa"/>
            <w:tcBorders>
              <w:top w:val="nil"/>
              <w:left w:val="nil"/>
              <w:bottom w:val="single" w:sz="4" w:space="0" w:color="auto"/>
              <w:right w:val="single" w:sz="4" w:space="0" w:color="auto"/>
            </w:tcBorders>
            <w:shd w:val="clear" w:color="000000" w:fill="FFFFFF"/>
            <w:vAlign w:val="center"/>
            <w:hideMark/>
          </w:tcPr>
          <w:p w14:paraId="0C7C3CE1" w14:textId="77777777" w:rsidR="00F61814" w:rsidRPr="00FC26AB" w:rsidRDefault="00F61814" w:rsidP="00B77C0B">
            <w:pPr>
              <w:pStyle w:val="NoSpacing"/>
              <w:rPr>
                <w:rFonts w:ascii="Times New Roman" w:hAnsi="Times New Roman" w:cs="Times New Roman"/>
                <w:sz w:val="18"/>
                <w:szCs w:val="18"/>
                <w:lang w:eastAsia="en-IN"/>
              </w:rPr>
            </w:pPr>
            <w:r w:rsidRPr="00FC26AB">
              <w:rPr>
                <w:rFonts w:ascii="Times New Roman" w:hAnsi="Times New Roman" w:cs="Times New Roman"/>
                <w:sz w:val="18"/>
                <w:szCs w:val="18"/>
                <w:lang w:eastAsia="en-IN"/>
              </w:rPr>
              <w:t>7</w:t>
            </w:r>
          </w:p>
        </w:tc>
        <w:tc>
          <w:tcPr>
            <w:tcW w:w="831" w:type="dxa"/>
            <w:tcBorders>
              <w:top w:val="nil"/>
              <w:left w:val="nil"/>
              <w:bottom w:val="single" w:sz="4" w:space="0" w:color="auto"/>
              <w:right w:val="single" w:sz="4" w:space="0" w:color="auto"/>
            </w:tcBorders>
            <w:shd w:val="clear" w:color="000000" w:fill="FFFFFF"/>
            <w:vAlign w:val="center"/>
            <w:hideMark/>
          </w:tcPr>
          <w:p w14:paraId="15382C6D" w14:textId="77777777" w:rsidR="00F61814" w:rsidRPr="00FC26AB" w:rsidRDefault="00F61814" w:rsidP="00B77C0B">
            <w:pPr>
              <w:pStyle w:val="NoSpacing"/>
              <w:rPr>
                <w:rFonts w:ascii="Times New Roman" w:hAnsi="Times New Roman" w:cs="Times New Roman"/>
                <w:sz w:val="18"/>
                <w:szCs w:val="18"/>
                <w:lang w:eastAsia="en-IN"/>
              </w:rPr>
            </w:pPr>
            <w:r w:rsidRPr="00FC26AB">
              <w:rPr>
                <w:rFonts w:ascii="Times New Roman" w:hAnsi="Times New Roman" w:cs="Times New Roman"/>
                <w:sz w:val="18"/>
                <w:szCs w:val="18"/>
                <w:lang w:eastAsia="en-IN"/>
              </w:rPr>
              <w:t>7</w:t>
            </w:r>
          </w:p>
        </w:tc>
        <w:tc>
          <w:tcPr>
            <w:tcW w:w="1175" w:type="dxa"/>
            <w:tcBorders>
              <w:top w:val="nil"/>
              <w:left w:val="nil"/>
              <w:bottom w:val="single" w:sz="4" w:space="0" w:color="auto"/>
              <w:right w:val="single" w:sz="4" w:space="0" w:color="auto"/>
            </w:tcBorders>
            <w:shd w:val="clear" w:color="000000" w:fill="FFFFFF"/>
            <w:vAlign w:val="center"/>
            <w:hideMark/>
          </w:tcPr>
          <w:p w14:paraId="270D1D47" w14:textId="77777777" w:rsidR="00F61814" w:rsidRPr="00FC26AB" w:rsidRDefault="00F61814" w:rsidP="00B77C0B">
            <w:pPr>
              <w:pStyle w:val="NoSpacing"/>
              <w:rPr>
                <w:rFonts w:ascii="Times New Roman" w:hAnsi="Times New Roman" w:cs="Times New Roman"/>
                <w:sz w:val="18"/>
                <w:szCs w:val="18"/>
                <w:lang w:eastAsia="en-IN"/>
              </w:rPr>
            </w:pPr>
            <w:r w:rsidRPr="00FC26AB">
              <w:rPr>
                <w:rFonts w:ascii="Times New Roman" w:hAnsi="Times New Roman" w:cs="Times New Roman"/>
                <w:sz w:val="18"/>
                <w:szCs w:val="18"/>
                <w:lang w:eastAsia="en-IN"/>
              </w:rPr>
              <w:t>6</w:t>
            </w:r>
          </w:p>
        </w:tc>
        <w:tc>
          <w:tcPr>
            <w:tcW w:w="766" w:type="dxa"/>
            <w:tcBorders>
              <w:top w:val="nil"/>
              <w:left w:val="nil"/>
              <w:bottom w:val="single" w:sz="4" w:space="0" w:color="auto"/>
              <w:right w:val="single" w:sz="4" w:space="0" w:color="auto"/>
            </w:tcBorders>
            <w:shd w:val="clear" w:color="000000" w:fill="FFFFFF"/>
            <w:vAlign w:val="center"/>
            <w:hideMark/>
          </w:tcPr>
          <w:p w14:paraId="3D28F1CD" w14:textId="77777777" w:rsidR="00F61814" w:rsidRPr="00FC26AB" w:rsidRDefault="00F61814" w:rsidP="00B77C0B">
            <w:pPr>
              <w:pStyle w:val="NoSpacing"/>
              <w:rPr>
                <w:rFonts w:ascii="Times New Roman" w:hAnsi="Times New Roman" w:cs="Times New Roman"/>
                <w:sz w:val="18"/>
                <w:szCs w:val="18"/>
                <w:lang w:eastAsia="en-IN"/>
              </w:rPr>
            </w:pPr>
            <w:r w:rsidRPr="00FC26AB">
              <w:rPr>
                <w:rFonts w:ascii="Times New Roman" w:hAnsi="Times New Roman" w:cs="Times New Roman"/>
                <w:sz w:val="18"/>
                <w:szCs w:val="18"/>
                <w:lang w:eastAsia="en-IN"/>
              </w:rPr>
              <w:t>6½</w:t>
            </w:r>
          </w:p>
        </w:tc>
        <w:tc>
          <w:tcPr>
            <w:tcW w:w="700" w:type="dxa"/>
            <w:tcBorders>
              <w:top w:val="nil"/>
              <w:left w:val="nil"/>
              <w:bottom w:val="single" w:sz="4" w:space="0" w:color="auto"/>
              <w:right w:val="single" w:sz="4" w:space="0" w:color="auto"/>
            </w:tcBorders>
            <w:shd w:val="clear" w:color="000000" w:fill="FFFFFF"/>
            <w:vAlign w:val="center"/>
            <w:hideMark/>
          </w:tcPr>
          <w:p w14:paraId="66D12A79" w14:textId="77777777" w:rsidR="00F61814" w:rsidRPr="00FC26AB" w:rsidRDefault="00F61814" w:rsidP="00B77C0B">
            <w:pPr>
              <w:pStyle w:val="NoSpacing"/>
              <w:rPr>
                <w:rFonts w:ascii="Times New Roman" w:hAnsi="Times New Roman" w:cs="Times New Roman"/>
                <w:sz w:val="18"/>
                <w:szCs w:val="18"/>
                <w:lang w:eastAsia="en-IN"/>
              </w:rPr>
            </w:pPr>
            <w:r w:rsidRPr="00FC26AB">
              <w:rPr>
                <w:rFonts w:ascii="Times New Roman" w:hAnsi="Times New Roman" w:cs="Times New Roman"/>
                <w:sz w:val="18"/>
                <w:szCs w:val="18"/>
                <w:lang w:eastAsia="en-IN"/>
              </w:rPr>
              <w:t>5</w:t>
            </w:r>
          </w:p>
        </w:tc>
        <w:tc>
          <w:tcPr>
            <w:tcW w:w="736" w:type="dxa"/>
            <w:tcBorders>
              <w:top w:val="nil"/>
              <w:left w:val="nil"/>
              <w:bottom w:val="single" w:sz="4" w:space="0" w:color="auto"/>
              <w:right w:val="single" w:sz="4" w:space="0" w:color="auto"/>
            </w:tcBorders>
            <w:shd w:val="clear" w:color="000000" w:fill="FFFFFF"/>
            <w:vAlign w:val="center"/>
            <w:hideMark/>
          </w:tcPr>
          <w:p w14:paraId="01575E78" w14:textId="77777777" w:rsidR="00F61814" w:rsidRPr="00FC26AB" w:rsidRDefault="00F61814" w:rsidP="00B77C0B">
            <w:pPr>
              <w:pStyle w:val="NoSpacing"/>
              <w:rPr>
                <w:rFonts w:ascii="Times New Roman" w:hAnsi="Times New Roman" w:cs="Times New Roman"/>
                <w:sz w:val="18"/>
                <w:szCs w:val="18"/>
                <w:lang w:eastAsia="en-IN"/>
              </w:rPr>
            </w:pPr>
            <w:r w:rsidRPr="00FC26AB">
              <w:rPr>
                <w:rFonts w:ascii="Times New Roman" w:hAnsi="Times New Roman" w:cs="Times New Roman"/>
                <w:sz w:val="18"/>
                <w:szCs w:val="18"/>
                <w:lang w:eastAsia="en-IN"/>
              </w:rPr>
              <w:t>6</w:t>
            </w:r>
          </w:p>
        </w:tc>
        <w:tc>
          <w:tcPr>
            <w:tcW w:w="1004" w:type="dxa"/>
            <w:tcBorders>
              <w:top w:val="nil"/>
              <w:left w:val="nil"/>
              <w:bottom w:val="single" w:sz="4" w:space="0" w:color="auto"/>
              <w:right w:val="single" w:sz="4" w:space="0" w:color="auto"/>
            </w:tcBorders>
            <w:shd w:val="clear" w:color="000000" w:fill="FFFFFF"/>
            <w:vAlign w:val="center"/>
            <w:hideMark/>
          </w:tcPr>
          <w:p w14:paraId="0FCFD466" w14:textId="77777777" w:rsidR="00F61814" w:rsidRPr="00FC26AB" w:rsidRDefault="00F61814" w:rsidP="00B77C0B">
            <w:pPr>
              <w:pStyle w:val="NoSpacing"/>
              <w:rPr>
                <w:rFonts w:ascii="Times New Roman" w:hAnsi="Times New Roman" w:cs="Times New Roman"/>
                <w:sz w:val="18"/>
                <w:szCs w:val="18"/>
                <w:lang w:eastAsia="en-IN"/>
              </w:rPr>
            </w:pPr>
            <w:r w:rsidRPr="00FC26AB">
              <w:rPr>
                <w:rFonts w:ascii="Times New Roman" w:hAnsi="Times New Roman" w:cs="Times New Roman"/>
                <w:sz w:val="18"/>
                <w:szCs w:val="18"/>
                <w:lang w:eastAsia="en-IN"/>
              </w:rPr>
              <w:t>10</w:t>
            </w:r>
          </w:p>
        </w:tc>
        <w:tc>
          <w:tcPr>
            <w:tcW w:w="866" w:type="dxa"/>
            <w:tcBorders>
              <w:top w:val="nil"/>
              <w:left w:val="nil"/>
              <w:bottom w:val="single" w:sz="4" w:space="0" w:color="auto"/>
              <w:right w:val="single" w:sz="4" w:space="0" w:color="auto"/>
            </w:tcBorders>
            <w:shd w:val="clear" w:color="000000" w:fill="FFFFFF"/>
            <w:vAlign w:val="center"/>
            <w:hideMark/>
          </w:tcPr>
          <w:p w14:paraId="33140661" w14:textId="77777777" w:rsidR="00F61814" w:rsidRPr="00FC26AB" w:rsidRDefault="00F61814" w:rsidP="00B77C0B">
            <w:pPr>
              <w:pStyle w:val="NoSpacing"/>
              <w:rPr>
                <w:rFonts w:ascii="Times New Roman" w:hAnsi="Times New Roman" w:cs="Times New Roman"/>
                <w:sz w:val="18"/>
                <w:szCs w:val="18"/>
                <w:lang w:eastAsia="en-IN"/>
              </w:rPr>
            </w:pPr>
            <w:r w:rsidRPr="00FC26AB">
              <w:rPr>
                <w:rFonts w:ascii="Times New Roman" w:hAnsi="Times New Roman" w:cs="Times New Roman"/>
                <w:sz w:val="18"/>
                <w:szCs w:val="18"/>
                <w:lang w:eastAsia="en-IN"/>
              </w:rPr>
              <w:t>6</w:t>
            </w:r>
          </w:p>
        </w:tc>
        <w:tc>
          <w:tcPr>
            <w:tcW w:w="830" w:type="dxa"/>
            <w:tcBorders>
              <w:top w:val="nil"/>
              <w:left w:val="nil"/>
              <w:bottom w:val="single" w:sz="4" w:space="0" w:color="auto"/>
              <w:right w:val="single" w:sz="4" w:space="0" w:color="auto"/>
            </w:tcBorders>
            <w:shd w:val="clear" w:color="000000" w:fill="FFFFFF"/>
            <w:vAlign w:val="center"/>
            <w:hideMark/>
          </w:tcPr>
          <w:p w14:paraId="2245747F" w14:textId="77777777" w:rsidR="00F61814" w:rsidRPr="00FC26AB" w:rsidRDefault="00F61814" w:rsidP="00B77C0B">
            <w:pPr>
              <w:pStyle w:val="NoSpacing"/>
              <w:rPr>
                <w:rFonts w:ascii="Times New Roman" w:hAnsi="Times New Roman" w:cs="Times New Roman"/>
                <w:sz w:val="18"/>
                <w:szCs w:val="18"/>
                <w:lang w:eastAsia="en-IN"/>
              </w:rPr>
            </w:pPr>
            <w:r w:rsidRPr="00FC26AB">
              <w:rPr>
                <w:rFonts w:ascii="Times New Roman" w:hAnsi="Times New Roman" w:cs="Times New Roman"/>
                <w:sz w:val="18"/>
                <w:szCs w:val="18"/>
                <w:lang w:eastAsia="en-IN"/>
              </w:rPr>
              <w:t>7</w:t>
            </w:r>
          </w:p>
        </w:tc>
        <w:tc>
          <w:tcPr>
            <w:tcW w:w="730" w:type="dxa"/>
            <w:tcBorders>
              <w:top w:val="nil"/>
              <w:left w:val="nil"/>
              <w:bottom w:val="single" w:sz="4" w:space="0" w:color="auto"/>
              <w:right w:val="single" w:sz="4" w:space="0" w:color="auto"/>
            </w:tcBorders>
            <w:shd w:val="clear" w:color="000000" w:fill="FFFFFF"/>
            <w:vAlign w:val="center"/>
            <w:hideMark/>
          </w:tcPr>
          <w:p w14:paraId="5D92DF46" w14:textId="77777777" w:rsidR="00F61814" w:rsidRPr="00FC26AB" w:rsidRDefault="00F61814" w:rsidP="00B77C0B">
            <w:pPr>
              <w:pStyle w:val="NoSpacing"/>
              <w:rPr>
                <w:rFonts w:ascii="Times New Roman" w:hAnsi="Times New Roman" w:cs="Times New Roman"/>
                <w:sz w:val="18"/>
                <w:szCs w:val="18"/>
                <w:lang w:eastAsia="en-IN"/>
              </w:rPr>
            </w:pPr>
            <w:r w:rsidRPr="00FC26AB">
              <w:rPr>
                <w:rFonts w:ascii="Times New Roman" w:hAnsi="Times New Roman" w:cs="Times New Roman"/>
                <w:sz w:val="18"/>
                <w:szCs w:val="18"/>
                <w:lang w:eastAsia="en-IN"/>
              </w:rPr>
              <w:t>NA</w:t>
            </w:r>
          </w:p>
        </w:tc>
      </w:tr>
      <w:tr w:rsidR="00FC26AB" w:rsidRPr="00FC26AB" w14:paraId="004C885C" w14:textId="77777777" w:rsidTr="00FC26AB">
        <w:trPr>
          <w:trHeight w:val="20"/>
          <w:jc w:val="center"/>
        </w:trPr>
        <w:tc>
          <w:tcPr>
            <w:tcW w:w="1801" w:type="dxa"/>
            <w:tcBorders>
              <w:top w:val="nil"/>
              <w:left w:val="single" w:sz="4" w:space="0" w:color="auto"/>
              <w:bottom w:val="single" w:sz="4" w:space="0" w:color="auto"/>
              <w:right w:val="single" w:sz="4" w:space="0" w:color="auto"/>
            </w:tcBorders>
            <w:shd w:val="clear" w:color="000000" w:fill="FFFFFF"/>
            <w:vAlign w:val="center"/>
            <w:hideMark/>
          </w:tcPr>
          <w:p w14:paraId="34232B99" w14:textId="77777777" w:rsidR="00FC26AB" w:rsidRPr="00FC26AB" w:rsidRDefault="00FC26AB" w:rsidP="00B77C0B">
            <w:pPr>
              <w:pStyle w:val="NoSpacing"/>
              <w:rPr>
                <w:rFonts w:ascii="Times New Roman" w:hAnsi="Times New Roman" w:cs="Times New Roman"/>
                <w:sz w:val="18"/>
                <w:szCs w:val="18"/>
                <w:lang w:eastAsia="en-IN"/>
              </w:rPr>
            </w:pPr>
            <w:r w:rsidRPr="00FC26AB">
              <w:rPr>
                <w:rFonts w:ascii="Times New Roman" w:hAnsi="Times New Roman" w:cs="Times New Roman"/>
                <w:sz w:val="18"/>
                <w:szCs w:val="18"/>
                <w:lang w:eastAsia="en-IN"/>
              </w:rPr>
              <w:t>2.Foodgrains</w:t>
            </w:r>
          </w:p>
        </w:tc>
        <w:tc>
          <w:tcPr>
            <w:tcW w:w="842" w:type="dxa"/>
            <w:tcBorders>
              <w:top w:val="nil"/>
              <w:left w:val="nil"/>
              <w:bottom w:val="single" w:sz="4" w:space="0" w:color="auto"/>
              <w:right w:val="single" w:sz="4" w:space="0" w:color="auto"/>
            </w:tcBorders>
            <w:shd w:val="clear" w:color="000000" w:fill="FFFFFF"/>
            <w:vAlign w:val="center"/>
            <w:hideMark/>
          </w:tcPr>
          <w:p w14:paraId="444C68D2" w14:textId="77777777" w:rsidR="00FC26AB" w:rsidRPr="00FC26AB" w:rsidRDefault="00FC26AB" w:rsidP="00B77C0B">
            <w:pPr>
              <w:pStyle w:val="NoSpacing"/>
              <w:rPr>
                <w:rFonts w:ascii="Times New Roman" w:hAnsi="Times New Roman" w:cs="Times New Roman"/>
                <w:sz w:val="18"/>
                <w:szCs w:val="18"/>
                <w:lang w:eastAsia="en-IN"/>
              </w:rPr>
            </w:pPr>
            <w:r w:rsidRPr="00FC26AB">
              <w:rPr>
                <w:rFonts w:ascii="Times New Roman" w:hAnsi="Times New Roman" w:cs="Times New Roman"/>
                <w:sz w:val="18"/>
                <w:szCs w:val="18"/>
                <w:lang w:eastAsia="en-IN"/>
              </w:rPr>
              <w:t>Rice 6*</w:t>
            </w:r>
          </w:p>
          <w:p w14:paraId="425E0AC5" w14:textId="77777777" w:rsidR="00FC26AB" w:rsidRPr="00FC26AB" w:rsidRDefault="00FC26AB" w:rsidP="00B77C0B">
            <w:pPr>
              <w:pStyle w:val="NoSpacing"/>
              <w:rPr>
                <w:rFonts w:ascii="Times New Roman" w:hAnsi="Times New Roman" w:cs="Times New Roman"/>
                <w:sz w:val="18"/>
                <w:szCs w:val="18"/>
                <w:lang w:eastAsia="en-IN"/>
              </w:rPr>
            </w:pPr>
            <w:r w:rsidRPr="00FC26AB">
              <w:rPr>
                <w:rFonts w:ascii="Times New Roman" w:hAnsi="Times New Roman" w:cs="Times New Roman"/>
                <w:sz w:val="18"/>
                <w:szCs w:val="18"/>
                <w:lang w:eastAsia="en-IN"/>
              </w:rPr>
              <w:t>Jowar 2</w:t>
            </w:r>
          </w:p>
        </w:tc>
        <w:tc>
          <w:tcPr>
            <w:tcW w:w="706" w:type="dxa"/>
            <w:tcBorders>
              <w:top w:val="nil"/>
              <w:left w:val="nil"/>
              <w:bottom w:val="single" w:sz="4" w:space="0" w:color="auto"/>
              <w:right w:val="single" w:sz="4" w:space="0" w:color="auto"/>
            </w:tcBorders>
            <w:shd w:val="clear" w:color="000000" w:fill="FFFFFF"/>
            <w:vAlign w:val="center"/>
            <w:hideMark/>
          </w:tcPr>
          <w:p w14:paraId="2CCFF02C" w14:textId="77777777" w:rsidR="00FC26AB" w:rsidRPr="00FC26AB" w:rsidRDefault="00FC26AB" w:rsidP="00B77C0B">
            <w:pPr>
              <w:pStyle w:val="NoSpacing"/>
              <w:rPr>
                <w:rFonts w:ascii="Times New Roman" w:hAnsi="Times New Roman" w:cs="Times New Roman"/>
                <w:sz w:val="18"/>
                <w:szCs w:val="18"/>
                <w:lang w:eastAsia="en-IN"/>
              </w:rPr>
            </w:pPr>
            <w:r w:rsidRPr="00FC26AB">
              <w:rPr>
                <w:rFonts w:ascii="Times New Roman" w:hAnsi="Times New Roman" w:cs="Times New Roman"/>
                <w:sz w:val="18"/>
                <w:szCs w:val="18"/>
                <w:lang w:eastAsia="en-IN"/>
              </w:rPr>
              <w:t>NA</w:t>
            </w:r>
          </w:p>
        </w:tc>
        <w:tc>
          <w:tcPr>
            <w:tcW w:w="616" w:type="dxa"/>
            <w:tcBorders>
              <w:top w:val="nil"/>
              <w:left w:val="nil"/>
              <w:bottom w:val="single" w:sz="4" w:space="0" w:color="auto"/>
              <w:right w:val="single" w:sz="4" w:space="0" w:color="auto"/>
            </w:tcBorders>
            <w:shd w:val="clear" w:color="000000" w:fill="FFFFFF"/>
            <w:vAlign w:val="center"/>
            <w:hideMark/>
          </w:tcPr>
          <w:p w14:paraId="403DA233" w14:textId="77777777" w:rsidR="00FC26AB" w:rsidRPr="00FC26AB" w:rsidRDefault="00FC26AB" w:rsidP="00B77C0B">
            <w:pPr>
              <w:pStyle w:val="NoSpacing"/>
              <w:rPr>
                <w:rFonts w:ascii="Times New Roman" w:hAnsi="Times New Roman" w:cs="Times New Roman"/>
                <w:sz w:val="18"/>
                <w:szCs w:val="18"/>
                <w:lang w:eastAsia="en-IN"/>
              </w:rPr>
            </w:pPr>
            <w:r w:rsidRPr="00FC26AB">
              <w:rPr>
                <w:rFonts w:ascii="Times New Roman" w:hAnsi="Times New Roman" w:cs="Times New Roman"/>
                <w:sz w:val="18"/>
                <w:szCs w:val="18"/>
                <w:lang w:eastAsia="en-IN"/>
              </w:rPr>
              <w:t>NA</w:t>
            </w:r>
          </w:p>
        </w:tc>
        <w:tc>
          <w:tcPr>
            <w:tcW w:w="756" w:type="dxa"/>
            <w:tcBorders>
              <w:top w:val="nil"/>
              <w:left w:val="nil"/>
              <w:bottom w:val="single" w:sz="4" w:space="0" w:color="auto"/>
              <w:right w:val="single" w:sz="4" w:space="0" w:color="auto"/>
            </w:tcBorders>
            <w:shd w:val="clear" w:color="000000" w:fill="FFFFFF"/>
            <w:vAlign w:val="center"/>
            <w:hideMark/>
          </w:tcPr>
          <w:p w14:paraId="17844CAE" w14:textId="77777777" w:rsidR="00FC26AB" w:rsidRPr="00FC26AB" w:rsidRDefault="00FC26AB" w:rsidP="00B77C0B">
            <w:pPr>
              <w:pStyle w:val="NoSpacing"/>
              <w:rPr>
                <w:rFonts w:ascii="Times New Roman" w:hAnsi="Times New Roman" w:cs="Times New Roman"/>
                <w:sz w:val="18"/>
                <w:szCs w:val="18"/>
                <w:lang w:eastAsia="en-IN"/>
              </w:rPr>
            </w:pPr>
            <w:r w:rsidRPr="00FC26AB">
              <w:rPr>
                <w:rFonts w:ascii="Times New Roman" w:hAnsi="Times New Roman" w:cs="Times New Roman"/>
                <w:sz w:val="18"/>
                <w:szCs w:val="18"/>
                <w:lang w:eastAsia="en-IN"/>
              </w:rPr>
              <w:t>NA</w:t>
            </w:r>
          </w:p>
        </w:tc>
        <w:tc>
          <w:tcPr>
            <w:tcW w:w="1355" w:type="dxa"/>
            <w:tcBorders>
              <w:top w:val="nil"/>
              <w:left w:val="nil"/>
              <w:bottom w:val="single" w:sz="4" w:space="0" w:color="auto"/>
              <w:right w:val="single" w:sz="4" w:space="0" w:color="auto"/>
            </w:tcBorders>
            <w:shd w:val="clear" w:color="000000" w:fill="FFFFFF"/>
            <w:vAlign w:val="center"/>
            <w:hideMark/>
          </w:tcPr>
          <w:p w14:paraId="1D7BBA7C" w14:textId="77777777" w:rsidR="00FC26AB" w:rsidRPr="00FC26AB" w:rsidRDefault="00FC26AB" w:rsidP="00B77C0B">
            <w:pPr>
              <w:pStyle w:val="NoSpacing"/>
              <w:rPr>
                <w:rFonts w:ascii="Times New Roman" w:hAnsi="Times New Roman" w:cs="Times New Roman"/>
                <w:sz w:val="18"/>
                <w:szCs w:val="18"/>
                <w:lang w:eastAsia="en-IN"/>
              </w:rPr>
            </w:pPr>
            <w:r w:rsidRPr="00FC26AB">
              <w:rPr>
                <w:rFonts w:ascii="Times New Roman" w:hAnsi="Times New Roman" w:cs="Times New Roman"/>
                <w:sz w:val="18"/>
                <w:szCs w:val="18"/>
                <w:lang w:eastAsia="en-IN"/>
              </w:rPr>
              <w:t>Wheat</w:t>
            </w:r>
          </w:p>
          <w:p w14:paraId="1D6FDE5E" w14:textId="0CFE6235" w:rsidR="00FC26AB" w:rsidRPr="00FC26AB" w:rsidRDefault="00FC26AB" w:rsidP="00B77C0B">
            <w:pPr>
              <w:pStyle w:val="NoSpacing"/>
              <w:rPr>
                <w:rFonts w:ascii="Times New Roman" w:hAnsi="Times New Roman" w:cs="Times New Roman"/>
                <w:sz w:val="18"/>
                <w:szCs w:val="18"/>
                <w:lang w:eastAsia="en-IN"/>
              </w:rPr>
            </w:pPr>
            <w:r w:rsidRPr="00FC26AB">
              <w:rPr>
                <w:rFonts w:ascii="Times New Roman" w:hAnsi="Times New Roman" w:cs="Times New Roman"/>
                <w:sz w:val="18"/>
                <w:szCs w:val="18"/>
                <w:lang w:eastAsia="en-IN"/>
              </w:rPr>
              <w:t xml:space="preserve">Maize, Flour:       </w:t>
            </w:r>
            <w:r w:rsidRPr="00FC26AB">
              <w:rPr>
                <w:rFonts w:ascii="Times New Roman" w:hAnsi="Times New Roman" w:cs="Times New Roman"/>
                <w:sz w:val="18"/>
                <w:szCs w:val="18"/>
                <w:lang w:eastAsia="en-IN"/>
              </w:rPr>
              <w:br/>
              <w:t xml:space="preserve">1½ </w:t>
            </w:r>
          </w:p>
        </w:tc>
        <w:tc>
          <w:tcPr>
            <w:tcW w:w="916" w:type="dxa"/>
            <w:tcBorders>
              <w:top w:val="nil"/>
              <w:left w:val="nil"/>
              <w:bottom w:val="single" w:sz="4" w:space="0" w:color="auto"/>
              <w:right w:val="single" w:sz="4" w:space="0" w:color="auto"/>
            </w:tcBorders>
            <w:shd w:val="clear" w:color="000000" w:fill="FFFFFF"/>
            <w:vAlign w:val="center"/>
          </w:tcPr>
          <w:p w14:paraId="6BC585CD" w14:textId="14A510F5" w:rsidR="00FC26AB" w:rsidRPr="00FC26AB" w:rsidRDefault="00FC26AB" w:rsidP="00B77C0B">
            <w:pPr>
              <w:pStyle w:val="NoSpacing"/>
              <w:rPr>
                <w:rFonts w:ascii="Times New Roman" w:hAnsi="Times New Roman" w:cs="Times New Roman"/>
                <w:sz w:val="18"/>
                <w:szCs w:val="18"/>
                <w:lang w:eastAsia="en-IN"/>
              </w:rPr>
            </w:pPr>
            <w:r w:rsidRPr="00FC26AB">
              <w:rPr>
                <w:rFonts w:ascii="Times New Roman" w:hAnsi="Times New Roman" w:cs="Times New Roman"/>
                <w:sz w:val="18"/>
                <w:szCs w:val="18"/>
                <w:lang w:eastAsia="en-IN"/>
              </w:rPr>
              <w:t xml:space="preserve">exempted                         </w:t>
            </w:r>
          </w:p>
        </w:tc>
        <w:tc>
          <w:tcPr>
            <w:tcW w:w="696" w:type="dxa"/>
            <w:tcBorders>
              <w:top w:val="nil"/>
              <w:left w:val="nil"/>
              <w:bottom w:val="single" w:sz="4" w:space="0" w:color="auto"/>
              <w:right w:val="single" w:sz="4" w:space="0" w:color="auto"/>
            </w:tcBorders>
            <w:shd w:val="clear" w:color="000000" w:fill="FFFFFF"/>
            <w:vAlign w:val="center"/>
            <w:hideMark/>
          </w:tcPr>
          <w:p w14:paraId="13AB07E1" w14:textId="77777777" w:rsidR="00FC26AB" w:rsidRPr="00FC26AB" w:rsidRDefault="00FC26AB" w:rsidP="00B77C0B">
            <w:pPr>
              <w:pStyle w:val="NoSpacing"/>
              <w:rPr>
                <w:rFonts w:ascii="Times New Roman" w:hAnsi="Times New Roman" w:cs="Times New Roman"/>
                <w:sz w:val="18"/>
                <w:szCs w:val="18"/>
                <w:lang w:eastAsia="en-IN"/>
              </w:rPr>
            </w:pPr>
            <w:r w:rsidRPr="00FC26AB">
              <w:rPr>
                <w:rFonts w:ascii="Times New Roman" w:hAnsi="Times New Roman" w:cs="Times New Roman"/>
                <w:sz w:val="18"/>
                <w:szCs w:val="18"/>
                <w:lang w:eastAsia="en-IN"/>
              </w:rPr>
              <w:t>1</w:t>
            </w:r>
          </w:p>
        </w:tc>
        <w:tc>
          <w:tcPr>
            <w:tcW w:w="831" w:type="dxa"/>
            <w:tcBorders>
              <w:top w:val="nil"/>
              <w:left w:val="nil"/>
              <w:bottom w:val="single" w:sz="4" w:space="0" w:color="auto"/>
              <w:right w:val="single" w:sz="4" w:space="0" w:color="auto"/>
            </w:tcBorders>
            <w:shd w:val="clear" w:color="000000" w:fill="FFFFFF"/>
            <w:vAlign w:val="center"/>
            <w:hideMark/>
          </w:tcPr>
          <w:p w14:paraId="235A06B3" w14:textId="77777777" w:rsidR="00FC26AB" w:rsidRPr="00FC26AB" w:rsidRDefault="00FC26AB" w:rsidP="00B77C0B">
            <w:pPr>
              <w:pStyle w:val="NoSpacing"/>
              <w:rPr>
                <w:rFonts w:ascii="Times New Roman" w:hAnsi="Times New Roman" w:cs="Times New Roman"/>
                <w:sz w:val="18"/>
                <w:szCs w:val="18"/>
                <w:lang w:eastAsia="en-IN"/>
              </w:rPr>
            </w:pPr>
            <w:r w:rsidRPr="00FC26AB">
              <w:rPr>
                <w:rFonts w:ascii="Times New Roman" w:hAnsi="Times New Roman" w:cs="Times New Roman"/>
                <w:sz w:val="18"/>
                <w:szCs w:val="18"/>
                <w:lang w:eastAsia="en-IN"/>
              </w:rPr>
              <w:t>2</w:t>
            </w:r>
          </w:p>
        </w:tc>
        <w:tc>
          <w:tcPr>
            <w:tcW w:w="1175" w:type="dxa"/>
            <w:tcBorders>
              <w:top w:val="nil"/>
              <w:left w:val="nil"/>
              <w:bottom w:val="single" w:sz="4" w:space="0" w:color="auto"/>
              <w:right w:val="single" w:sz="4" w:space="0" w:color="auto"/>
            </w:tcBorders>
            <w:shd w:val="clear" w:color="000000" w:fill="FFFFFF"/>
            <w:vAlign w:val="center"/>
            <w:hideMark/>
          </w:tcPr>
          <w:p w14:paraId="4FBFD133" w14:textId="77777777" w:rsidR="00FC26AB" w:rsidRPr="00FC26AB" w:rsidRDefault="00FC26AB" w:rsidP="00B77C0B">
            <w:pPr>
              <w:pStyle w:val="NoSpacing"/>
              <w:rPr>
                <w:rFonts w:ascii="Times New Roman" w:hAnsi="Times New Roman" w:cs="Times New Roman"/>
                <w:sz w:val="18"/>
                <w:szCs w:val="18"/>
                <w:lang w:eastAsia="en-IN"/>
              </w:rPr>
            </w:pPr>
            <w:r w:rsidRPr="00FC26AB">
              <w:rPr>
                <w:rFonts w:ascii="Times New Roman" w:hAnsi="Times New Roman" w:cs="Times New Roman"/>
                <w:sz w:val="18"/>
                <w:szCs w:val="18"/>
                <w:lang w:eastAsia="en-IN"/>
              </w:rPr>
              <w:t>NA</w:t>
            </w:r>
          </w:p>
        </w:tc>
        <w:tc>
          <w:tcPr>
            <w:tcW w:w="766" w:type="dxa"/>
            <w:tcBorders>
              <w:top w:val="nil"/>
              <w:left w:val="nil"/>
              <w:bottom w:val="single" w:sz="4" w:space="0" w:color="auto"/>
              <w:right w:val="single" w:sz="4" w:space="0" w:color="auto"/>
            </w:tcBorders>
            <w:shd w:val="clear" w:color="000000" w:fill="FFFFFF"/>
            <w:vAlign w:val="center"/>
            <w:hideMark/>
          </w:tcPr>
          <w:p w14:paraId="0CC97902" w14:textId="77777777" w:rsidR="00FC26AB" w:rsidRPr="00FC26AB" w:rsidRDefault="00FC26AB" w:rsidP="00B77C0B">
            <w:pPr>
              <w:pStyle w:val="NoSpacing"/>
              <w:rPr>
                <w:rFonts w:ascii="Times New Roman" w:hAnsi="Times New Roman" w:cs="Times New Roman"/>
                <w:sz w:val="18"/>
                <w:szCs w:val="18"/>
                <w:lang w:eastAsia="en-IN"/>
              </w:rPr>
            </w:pPr>
            <w:r w:rsidRPr="00FC26AB">
              <w:rPr>
                <w:rFonts w:ascii="Times New Roman" w:hAnsi="Times New Roman" w:cs="Times New Roman"/>
                <w:sz w:val="18"/>
                <w:szCs w:val="18"/>
                <w:lang w:eastAsia="en-IN"/>
              </w:rPr>
              <w:t>1½ MP</w:t>
            </w:r>
          </w:p>
        </w:tc>
        <w:tc>
          <w:tcPr>
            <w:tcW w:w="700" w:type="dxa"/>
            <w:tcBorders>
              <w:top w:val="nil"/>
              <w:left w:val="nil"/>
              <w:bottom w:val="single" w:sz="4" w:space="0" w:color="auto"/>
              <w:right w:val="single" w:sz="4" w:space="0" w:color="auto"/>
            </w:tcBorders>
            <w:shd w:val="clear" w:color="000000" w:fill="FFFFFF"/>
            <w:vAlign w:val="center"/>
            <w:hideMark/>
          </w:tcPr>
          <w:p w14:paraId="2833EF49" w14:textId="77777777" w:rsidR="00FC26AB" w:rsidRPr="00FC26AB" w:rsidRDefault="00FC26AB" w:rsidP="00B77C0B">
            <w:pPr>
              <w:pStyle w:val="NoSpacing"/>
              <w:rPr>
                <w:rFonts w:ascii="Times New Roman" w:hAnsi="Times New Roman" w:cs="Times New Roman"/>
                <w:sz w:val="18"/>
                <w:szCs w:val="18"/>
                <w:lang w:eastAsia="en-IN"/>
              </w:rPr>
            </w:pPr>
            <w:r w:rsidRPr="00FC26AB">
              <w:rPr>
                <w:rFonts w:ascii="Times New Roman" w:hAnsi="Times New Roman" w:cs="Times New Roman"/>
                <w:sz w:val="18"/>
                <w:szCs w:val="18"/>
                <w:lang w:eastAsia="en-IN"/>
              </w:rPr>
              <w:t>..</w:t>
            </w:r>
          </w:p>
        </w:tc>
        <w:tc>
          <w:tcPr>
            <w:tcW w:w="736" w:type="dxa"/>
            <w:tcBorders>
              <w:top w:val="nil"/>
              <w:left w:val="nil"/>
              <w:bottom w:val="single" w:sz="4" w:space="0" w:color="auto"/>
              <w:right w:val="single" w:sz="4" w:space="0" w:color="auto"/>
            </w:tcBorders>
            <w:shd w:val="clear" w:color="000000" w:fill="FFFFFF"/>
            <w:vAlign w:val="center"/>
            <w:hideMark/>
          </w:tcPr>
          <w:p w14:paraId="6B6F87C7" w14:textId="77777777" w:rsidR="00FC26AB" w:rsidRPr="00FC26AB" w:rsidRDefault="00FC26AB" w:rsidP="00B77C0B">
            <w:pPr>
              <w:pStyle w:val="NoSpacing"/>
              <w:rPr>
                <w:rFonts w:ascii="Times New Roman" w:hAnsi="Times New Roman" w:cs="Times New Roman"/>
                <w:sz w:val="18"/>
                <w:szCs w:val="18"/>
                <w:lang w:eastAsia="en-IN"/>
              </w:rPr>
            </w:pPr>
            <w:r w:rsidRPr="00FC26AB">
              <w:rPr>
                <w:rFonts w:ascii="Times New Roman" w:hAnsi="Times New Roman" w:cs="Times New Roman"/>
                <w:sz w:val="18"/>
                <w:szCs w:val="18"/>
                <w:lang w:eastAsia="en-IN"/>
              </w:rPr>
              <w:t>Wheat</w:t>
            </w:r>
          </w:p>
          <w:p w14:paraId="30B8C957" w14:textId="77777777" w:rsidR="00FC26AB" w:rsidRPr="00FC26AB" w:rsidRDefault="00FC26AB" w:rsidP="00B77C0B">
            <w:pPr>
              <w:pStyle w:val="NoSpacing"/>
              <w:rPr>
                <w:rFonts w:ascii="Times New Roman" w:hAnsi="Times New Roman" w:cs="Times New Roman"/>
                <w:sz w:val="18"/>
                <w:szCs w:val="18"/>
                <w:lang w:eastAsia="en-IN"/>
              </w:rPr>
            </w:pPr>
            <w:r w:rsidRPr="00FC26AB">
              <w:rPr>
                <w:rFonts w:ascii="Times New Roman" w:hAnsi="Times New Roman" w:cs="Times New Roman"/>
                <w:sz w:val="18"/>
                <w:szCs w:val="18"/>
                <w:lang w:eastAsia="en-IN"/>
              </w:rPr>
              <w:t>Maize, Flour: 1½</w:t>
            </w:r>
          </w:p>
        </w:tc>
        <w:tc>
          <w:tcPr>
            <w:tcW w:w="1004" w:type="dxa"/>
            <w:tcBorders>
              <w:top w:val="nil"/>
              <w:left w:val="nil"/>
              <w:bottom w:val="single" w:sz="4" w:space="0" w:color="auto"/>
              <w:right w:val="single" w:sz="4" w:space="0" w:color="auto"/>
            </w:tcBorders>
            <w:shd w:val="clear" w:color="000000" w:fill="FFFFFF"/>
            <w:vAlign w:val="center"/>
            <w:hideMark/>
          </w:tcPr>
          <w:p w14:paraId="3C10E5BF" w14:textId="594C6431" w:rsidR="00FC26AB" w:rsidRPr="00FC26AB" w:rsidRDefault="00FC26AB" w:rsidP="00B77C0B">
            <w:pPr>
              <w:pStyle w:val="NoSpacing"/>
              <w:rPr>
                <w:rFonts w:ascii="Times New Roman" w:hAnsi="Times New Roman" w:cs="Times New Roman"/>
                <w:sz w:val="18"/>
                <w:szCs w:val="18"/>
                <w:lang w:eastAsia="en-IN"/>
              </w:rPr>
            </w:pPr>
            <w:r w:rsidRPr="00FC26AB">
              <w:rPr>
                <w:rFonts w:ascii="Times New Roman" w:hAnsi="Times New Roman" w:cs="Times New Roman"/>
                <w:sz w:val="18"/>
                <w:szCs w:val="18"/>
                <w:lang w:eastAsia="en-IN"/>
              </w:rPr>
              <w:t>Bajra, Jowar, Maize: 1 Others: 2</w:t>
            </w:r>
          </w:p>
        </w:tc>
        <w:tc>
          <w:tcPr>
            <w:tcW w:w="866" w:type="dxa"/>
            <w:tcBorders>
              <w:top w:val="nil"/>
              <w:left w:val="nil"/>
              <w:bottom w:val="single" w:sz="4" w:space="0" w:color="auto"/>
              <w:right w:val="single" w:sz="4" w:space="0" w:color="auto"/>
            </w:tcBorders>
            <w:shd w:val="clear" w:color="000000" w:fill="FFFFFF"/>
            <w:vAlign w:val="center"/>
            <w:hideMark/>
          </w:tcPr>
          <w:p w14:paraId="6F4AB3BD" w14:textId="77777777" w:rsidR="00FC26AB" w:rsidRPr="00FC26AB" w:rsidRDefault="00FC26AB" w:rsidP="00B77C0B">
            <w:pPr>
              <w:pStyle w:val="NoSpacing"/>
              <w:rPr>
                <w:rFonts w:ascii="Times New Roman" w:hAnsi="Times New Roman" w:cs="Times New Roman"/>
                <w:sz w:val="18"/>
                <w:szCs w:val="18"/>
                <w:lang w:eastAsia="en-IN"/>
              </w:rPr>
            </w:pPr>
            <w:r w:rsidRPr="00FC26AB">
              <w:rPr>
                <w:rFonts w:ascii="Times New Roman" w:hAnsi="Times New Roman" w:cs="Times New Roman"/>
                <w:sz w:val="18"/>
                <w:szCs w:val="18"/>
                <w:lang w:eastAsia="en-IN"/>
              </w:rPr>
              <w:t>NA</w:t>
            </w:r>
          </w:p>
        </w:tc>
        <w:tc>
          <w:tcPr>
            <w:tcW w:w="830" w:type="dxa"/>
            <w:tcBorders>
              <w:top w:val="nil"/>
              <w:left w:val="nil"/>
              <w:bottom w:val="single" w:sz="4" w:space="0" w:color="auto"/>
              <w:right w:val="single" w:sz="4" w:space="0" w:color="auto"/>
            </w:tcBorders>
            <w:shd w:val="clear" w:color="000000" w:fill="FFFFFF"/>
            <w:vAlign w:val="center"/>
            <w:hideMark/>
          </w:tcPr>
          <w:p w14:paraId="1FDE5452" w14:textId="77777777" w:rsidR="00FC26AB" w:rsidRPr="00FC26AB" w:rsidRDefault="00FC26AB" w:rsidP="00B77C0B">
            <w:pPr>
              <w:pStyle w:val="NoSpacing"/>
              <w:rPr>
                <w:rFonts w:ascii="Times New Roman" w:hAnsi="Times New Roman" w:cs="Times New Roman"/>
                <w:sz w:val="18"/>
                <w:szCs w:val="18"/>
                <w:lang w:eastAsia="en-IN"/>
              </w:rPr>
            </w:pPr>
            <w:r w:rsidRPr="00FC26AB">
              <w:rPr>
                <w:rFonts w:ascii="Times New Roman" w:hAnsi="Times New Roman" w:cs="Times New Roman"/>
                <w:sz w:val="18"/>
                <w:szCs w:val="18"/>
                <w:lang w:eastAsia="en-IN"/>
              </w:rPr>
              <w:t>1.5</w:t>
            </w:r>
          </w:p>
        </w:tc>
        <w:tc>
          <w:tcPr>
            <w:tcW w:w="730" w:type="dxa"/>
            <w:tcBorders>
              <w:top w:val="nil"/>
              <w:left w:val="nil"/>
              <w:bottom w:val="single" w:sz="4" w:space="0" w:color="auto"/>
              <w:right w:val="single" w:sz="4" w:space="0" w:color="auto"/>
            </w:tcBorders>
            <w:shd w:val="clear" w:color="000000" w:fill="FFFFFF"/>
            <w:vAlign w:val="center"/>
            <w:hideMark/>
          </w:tcPr>
          <w:p w14:paraId="2F558E9A" w14:textId="77777777" w:rsidR="00FC26AB" w:rsidRPr="00FC26AB" w:rsidRDefault="00FC26AB" w:rsidP="00B77C0B">
            <w:pPr>
              <w:pStyle w:val="NoSpacing"/>
              <w:rPr>
                <w:rFonts w:ascii="Times New Roman" w:hAnsi="Times New Roman" w:cs="Times New Roman"/>
                <w:sz w:val="18"/>
                <w:szCs w:val="18"/>
                <w:lang w:eastAsia="en-IN"/>
              </w:rPr>
            </w:pPr>
            <w:r w:rsidRPr="00FC26AB">
              <w:rPr>
                <w:rFonts w:ascii="Times New Roman" w:hAnsi="Times New Roman" w:cs="Times New Roman"/>
                <w:sz w:val="18"/>
                <w:szCs w:val="18"/>
                <w:lang w:eastAsia="en-IN"/>
              </w:rPr>
              <w:t>NA</w:t>
            </w:r>
          </w:p>
        </w:tc>
      </w:tr>
      <w:tr w:rsidR="00D75175" w:rsidRPr="00FC26AB" w14:paraId="7990180E" w14:textId="77777777" w:rsidTr="00FC26AB">
        <w:trPr>
          <w:trHeight w:val="20"/>
          <w:jc w:val="center"/>
        </w:trPr>
        <w:tc>
          <w:tcPr>
            <w:tcW w:w="1801" w:type="dxa"/>
            <w:tcBorders>
              <w:top w:val="nil"/>
              <w:left w:val="single" w:sz="4" w:space="0" w:color="auto"/>
              <w:bottom w:val="single" w:sz="4" w:space="0" w:color="auto"/>
              <w:right w:val="single" w:sz="4" w:space="0" w:color="auto"/>
            </w:tcBorders>
            <w:shd w:val="clear" w:color="000000" w:fill="FFFFFF"/>
            <w:vAlign w:val="center"/>
            <w:hideMark/>
          </w:tcPr>
          <w:p w14:paraId="1317DFCE" w14:textId="77777777" w:rsidR="00F61814" w:rsidRPr="00FC26AB" w:rsidRDefault="00F61814" w:rsidP="00B77C0B">
            <w:pPr>
              <w:pStyle w:val="NoSpacing"/>
              <w:rPr>
                <w:rFonts w:ascii="Times New Roman" w:hAnsi="Times New Roman" w:cs="Times New Roman"/>
                <w:sz w:val="18"/>
                <w:szCs w:val="18"/>
                <w:lang w:eastAsia="en-IN"/>
              </w:rPr>
            </w:pPr>
            <w:r w:rsidRPr="00FC26AB">
              <w:rPr>
                <w:rFonts w:ascii="Times New Roman" w:hAnsi="Times New Roman" w:cs="Times New Roman"/>
                <w:sz w:val="18"/>
                <w:szCs w:val="18"/>
                <w:lang w:eastAsia="en-IN"/>
              </w:rPr>
              <w:t>3.Kerosene</w:t>
            </w:r>
          </w:p>
        </w:tc>
        <w:tc>
          <w:tcPr>
            <w:tcW w:w="842" w:type="dxa"/>
            <w:tcBorders>
              <w:top w:val="nil"/>
              <w:left w:val="nil"/>
              <w:bottom w:val="single" w:sz="4" w:space="0" w:color="auto"/>
              <w:right w:val="single" w:sz="4" w:space="0" w:color="auto"/>
            </w:tcBorders>
            <w:shd w:val="clear" w:color="000000" w:fill="FFFFFF"/>
            <w:vAlign w:val="center"/>
            <w:hideMark/>
          </w:tcPr>
          <w:p w14:paraId="15F1A606" w14:textId="77777777" w:rsidR="00F61814" w:rsidRPr="00FC26AB" w:rsidRDefault="00F61814" w:rsidP="00B77C0B">
            <w:pPr>
              <w:pStyle w:val="NoSpacing"/>
              <w:rPr>
                <w:rFonts w:ascii="Times New Roman" w:hAnsi="Times New Roman" w:cs="Times New Roman"/>
                <w:sz w:val="18"/>
                <w:szCs w:val="18"/>
                <w:lang w:eastAsia="en-IN"/>
              </w:rPr>
            </w:pPr>
            <w:r w:rsidRPr="00FC26AB">
              <w:rPr>
                <w:rFonts w:ascii="Times New Roman" w:hAnsi="Times New Roman" w:cs="Times New Roman"/>
                <w:sz w:val="18"/>
                <w:szCs w:val="18"/>
                <w:lang w:eastAsia="en-IN"/>
              </w:rPr>
              <w:t>3</w:t>
            </w:r>
          </w:p>
        </w:tc>
        <w:tc>
          <w:tcPr>
            <w:tcW w:w="706" w:type="dxa"/>
            <w:tcBorders>
              <w:top w:val="nil"/>
              <w:left w:val="nil"/>
              <w:bottom w:val="single" w:sz="4" w:space="0" w:color="auto"/>
              <w:right w:val="single" w:sz="4" w:space="0" w:color="auto"/>
            </w:tcBorders>
            <w:shd w:val="clear" w:color="000000" w:fill="FFFFFF"/>
            <w:vAlign w:val="center"/>
            <w:hideMark/>
          </w:tcPr>
          <w:p w14:paraId="727B0142" w14:textId="77777777" w:rsidR="00F61814" w:rsidRPr="00FC26AB" w:rsidRDefault="00F61814" w:rsidP="00B77C0B">
            <w:pPr>
              <w:pStyle w:val="NoSpacing"/>
              <w:rPr>
                <w:rFonts w:ascii="Times New Roman" w:hAnsi="Times New Roman" w:cs="Times New Roman"/>
                <w:sz w:val="18"/>
                <w:szCs w:val="18"/>
                <w:lang w:eastAsia="en-IN"/>
              </w:rPr>
            </w:pPr>
            <w:r w:rsidRPr="00FC26AB">
              <w:rPr>
                <w:rFonts w:ascii="Times New Roman" w:hAnsi="Times New Roman" w:cs="Times New Roman"/>
                <w:sz w:val="18"/>
                <w:szCs w:val="18"/>
                <w:lang w:eastAsia="en-IN"/>
              </w:rPr>
              <w:t>NA</w:t>
            </w:r>
          </w:p>
        </w:tc>
        <w:tc>
          <w:tcPr>
            <w:tcW w:w="616" w:type="dxa"/>
            <w:tcBorders>
              <w:top w:val="nil"/>
              <w:left w:val="nil"/>
              <w:bottom w:val="single" w:sz="4" w:space="0" w:color="auto"/>
              <w:right w:val="single" w:sz="4" w:space="0" w:color="auto"/>
            </w:tcBorders>
            <w:shd w:val="clear" w:color="000000" w:fill="FFFFFF"/>
            <w:vAlign w:val="center"/>
            <w:hideMark/>
          </w:tcPr>
          <w:p w14:paraId="73EC4581" w14:textId="77777777" w:rsidR="00F61814" w:rsidRPr="00FC26AB" w:rsidRDefault="00F61814" w:rsidP="00B77C0B">
            <w:pPr>
              <w:pStyle w:val="NoSpacing"/>
              <w:rPr>
                <w:rFonts w:ascii="Times New Roman" w:hAnsi="Times New Roman" w:cs="Times New Roman"/>
                <w:sz w:val="18"/>
                <w:szCs w:val="18"/>
                <w:lang w:eastAsia="en-IN"/>
              </w:rPr>
            </w:pPr>
            <w:r w:rsidRPr="00FC26AB">
              <w:rPr>
                <w:rFonts w:ascii="Times New Roman" w:hAnsi="Times New Roman" w:cs="Times New Roman"/>
                <w:sz w:val="18"/>
                <w:szCs w:val="18"/>
                <w:lang w:eastAsia="en-IN"/>
              </w:rPr>
              <w:t>4</w:t>
            </w:r>
          </w:p>
        </w:tc>
        <w:tc>
          <w:tcPr>
            <w:tcW w:w="756" w:type="dxa"/>
            <w:tcBorders>
              <w:top w:val="nil"/>
              <w:left w:val="nil"/>
              <w:bottom w:val="single" w:sz="4" w:space="0" w:color="auto"/>
              <w:right w:val="single" w:sz="4" w:space="0" w:color="auto"/>
            </w:tcBorders>
            <w:shd w:val="clear" w:color="000000" w:fill="FFFFFF"/>
            <w:vAlign w:val="center"/>
            <w:hideMark/>
          </w:tcPr>
          <w:p w14:paraId="4A3353EF" w14:textId="77777777" w:rsidR="00F61814" w:rsidRPr="00FC26AB" w:rsidRDefault="00F61814" w:rsidP="00B77C0B">
            <w:pPr>
              <w:pStyle w:val="NoSpacing"/>
              <w:rPr>
                <w:rFonts w:ascii="Times New Roman" w:hAnsi="Times New Roman" w:cs="Times New Roman"/>
                <w:sz w:val="18"/>
                <w:szCs w:val="18"/>
                <w:lang w:eastAsia="en-IN"/>
              </w:rPr>
            </w:pPr>
            <w:r w:rsidRPr="00FC26AB">
              <w:rPr>
                <w:rFonts w:ascii="Times New Roman" w:hAnsi="Times New Roman" w:cs="Times New Roman"/>
                <w:sz w:val="18"/>
                <w:szCs w:val="18"/>
                <w:lang w:eastAsia="en-IN"/>
              </w:rPr>
              <w:t>3</w:t>
            </w:r>
          </w:p>
        </w:tc>
        <w:tc>
          <w:tcPr>
            <w:tcW w:w="1355" w:type="dxa"/>
            <w:tcBorders>
              <w:top w:val="nil"/>
              <w:left w:val="nil"/>
              <w:bottom w:val="single" w:sz="4" w:space="0" w:color="auto"/>
              <w:right w:val="single" w:sz="4" w:space="0" w:color="auto"/>
            </w:tcBorders>
            <w:shd w:val="clear" w:color="000000" w:fill="FFFFFF"/>
            <w:vAlign w:val="center"/>
            <w:hideMark/>
          </w:tcPr>
          <w:p w14:paraId="2E27CB39" w14:textId="77777777" w:rsidR="00F61814" w:rsidRPr="00FC26AB" w:rsidRDefault="00F61814" w:rsidP="00B77C0B">
            <w:pPr>
              <w:pStyle w:val="NoSpacing"/>
              <w:rPr>
                <w:rFonts w:ascii="Times New Roman" w:hAnsi="Times New Roman" w:cs="Times New Roman"/>
                <w:sz w:val="18"/>
                <w:szCs w:val="18"/>
                <w:lang w:eastAsia="en-IN"/>
              </w:rPr>
            </w:pPr>
            <w:r w:rsidRPr="00FC26AB">
              <w:rPr>
                <w:rFonts w:ascii="Times New Roman" w:hAnsi="Times New Roman" w:cs="Times New Roman"/>
                <w:sz w:val="18"/>
                <w:szCs w:val="18"/>
                <w:lang w:eastAsia="en-IN"/>
              </w:rPr>
              <w:t>NA</w:t>
            </w:r>
          </w:p>
        </w:tc>
        <w:tc>
          <w:tcPr>
            <w:tcW w:w="916" w:type="dxa"/>
            <w:tcBorders>
              <w:top w:val="nil"/>
              <w:left w:val="nil"/>
              <w:bottom w:val="single" w:sz="4" w:space="0" w:color="auto"/>
              <w:right w:val="single" w:sz="4" w:space="0" w:color="auto"/>
            </w:tcBorders>
            <w:shd w:val="clear" w:color="000000" w:fill="FFFFFF"/>
            <w:vAlign w:val="center"/>
            <w:hideMark/>
          </w:tcPr>
          <w:p w14:paraId="47AC038D" w14:textId="77777777" w:rsidR="00F61814" w:rsidRPr="00FC26AB" w:rsidRDefault="00F61814" w:rsidP="00B77C0B">
            <w:pPr>
              <w:pStyle w:val="NoSpacing"/>
              <w:rPr>
                <w:rFonts w:ascii="Times New Roman" w:hAnsi="Times New Roman" w:cs="Times New Roman"/>
                <w:sz w:val="18"/>
                <w:szCs w:val="18"/>
                <w:lang w:eastAsia="en-IN"/>
              </w:rPr>
            </w:pPr>
            <w:r w:rsidRPr="00FC26AB">
              <w:rPr>
                <w:rFonts w:ascii="Times New Roman" w:hAnsi="Times New Roman" w:cs="Times New Roman"/>
                <w:sz w:val="18"/>
                <w:szCs w:val="18"/>
                <w:lang w:eastAsia="en-IN"/>
              </w:rPr>
              <w:t>exempted</w:t>
            </w:r>
          </w:p>
        </w:tc>
        <w:tc>
          <w:tcPr>
            <w:tcW w:w="696" w:type="dxa"/>
            <w:tcBorders>
              <w:top w:val="nil"/>
              <w:left w:val="nil"/>
              <w:bottom w:val="single" w:sz="4" w:space="0" w:color="auto"/>
              <w:right w:val="single" w:sz="4" w:space="0" w:color="auto"/>
            </w:tcBorders>
            <w:shd w:val="clear" w:color="000000" w:fill="FFFFFF"/>
            <w:vAlign w:val="center"/>
            <w:hideMark/>
          </w:tcPr>
          <w:p w14:paraId="2D111AC1" w14:textId="77777777" w:rsidR="00F61814" w:rsidRPr="00FC26AB" w:rsidRDefault="00F61814" w:rsidP="00B77C0B">
            <w:pPr>
              <w:pStyle w:val="NoSpacing"/>
              <w:rPr>
                <w:rFonts w:ascii="Times New Roman" w:hAnsi="Times New Roman" w:cs="Times New Roman"/>
                <w:sz w:val="18"/>
                <w:szCs w:val="18"/>
                <w:lang w:eastAsia="en-IN"/>
              </w:rPr>
            </w:pPr>
            <w:r w:rsidRPr="00FC26AB">
              <w:rPr>
                <w:rFonts w:ascii="Times New Roman" w:hAnsi="Times New Roman" w:cs="Times New Roman"/>
                <w:sz w:val="18"/>
                <w:szCs w:val="18"/>
                <w:lang w:eastAsia="en-IN"/>
              </w:rPr>
              <w:t>4</w:t>
            </w:r>
          </w:p>
        </w:tc>
        <w:tc>
          <w:tcPr>
            <w:tcW w:w="831" w:type="dxa"/>
            <w:tcBorders>
              <w:top w:val="nil"/>
              <w:left w:val="nil"/>
              <w:bottom w:val="single" w:sz="4" w:space="0" w:color="auto"/>
              <w:right w:val="single" w:sz="4" w:space="0" w:color="auto"/>
            </w:tcBorders>
            <w:shd w:val="clear" w:color="000000" w:fill="FFFFFF"/>
            <w:vAlign w:val="center"/>
            <w:hideMark/>
          </w:tcPr>
          <w:p w14:paraId="043C327D" w14:textId="77777777" w:rsidR="00F61814" w:rsidRPr="00FC26AB" w:rsidRDefault="00F61814" w:rsidP="00B77C0B">
            <w:pPr>
              <w:pStyle w:val="NoSpacing"/>
              <w:rPr>
                <w:rFonts w:ascii="Times New Roman" w:hAnsi="Times New Roman" w:cs="Times New Roman"/>
                <w:sz w:val="18"/>
                <w:szCs w:val="18"/>
                <w:lang w:eastAsia="en-IN"/>
              </w:rPr>
            </w:pPr>
            <w:r w:rsidRPr="00FC26AB">
              <w:rPr>
                <w:rFonts w:ascii="Times New Roman" w:hAnsi="Times New Roman" w:cs="Times New Roman"/>
                <w:sz w:val="18"/>
                <w:szCs w:val="18"/>
                <w:lang w:eastAsia="en-IN"/>
              </w:rPr>
              <w:t>7</w:t>
            </w:r>
          </w:p>
        </w:tc>
        <w:tc>
          <w:tcPr>
            <w:tcW w:w="1175" w:type="dxa"/>
            <w:tcBorders>
              <w:top w:val="nil"/>
              <w:left w:val="nil"/>
              <w:bottom w:val="single" w:sz="4" w:space="0" w:color="auto"/>
              <w:right w:val="single" w:sz="4" w:space="0" w:color="auto"/>
            </w:tcBorders>
            <w:shd w:val="clear" w:color="000000" w:fill="FFFFFF"/>
            <w:vAlign w:val="center"/>
            <w:hideMark/>
          </w:tcPr>
          <w:p w14:paraId="146986C2" w14:textId="77777777" w:rsidR="00F61814" w:rsidRPr="00FC26AB" w:rsidRDefault="00F61814" w:rsidP="00B77C0B">
            <w:pPr>
              <w:pStyle w:val="NoSpacing"/>
              <w:rPr>
                <w:rFonts w:ascii="Times New Roman" w:hAnsi="Times New Roman" w:cs="Times New Roman"/>
                <w:sz w:val="18"/>
                <w:szCs w:val="18"/>
                <w:lang w:eastAsia="en-IN"/>
              </w:rPr>
            </w:pPr>
            <w:r w:rsidRPr="00FC26AB">
              <w:rPr>
                <w:rFonts w:ascii="Times New Roman" w:hAnsi="Times New Roman" w:cs="Times New Roman"/>
                <w:sz w:val="18"/>
                <w:szCs w:val="18"/>
                <w:lang w:eastAsia="en-IN"/>
              </w:rPr>
              <w:t>2</w:t>
            </w:r>
          </w:p>
        </w:tc>
        <w:tc>
          <w:tcPr>
            <w:tcW w:w="766" w:type="dxa"/>
            <w:tcBorders>
              <w:top w:val="nil"/>
              <w:left w:val="nil"/>
              <w:bottom w:val="single" w:sz="4" w:space="0" w:color="auto"/>
              <w:right w:val="single" w:sz="4" w:space="0" w:color="auto"/>
            </w:tcBorders>
            <w:shd w:val="clear" w:color="000000" w:fill="FFFFFF"/>
            <w:vAlign w:val="center"/>
            <w:hideMark/>
          </w:tcPr>
          <w:p w14:paraId="2F636D6F" w14:textId="77777777" w:rsidR="00F61814" w:rsidRPr="00FC26AB" w:rsidRDefault="00F61814" w:rsidP="00B77C0B">
            <w:pPr>
              <w:pStyle w:val="NoSpacing"/>
              <w:rPr>
                <w:rFonts w:ascii="Times New Roman" w:hAnsi="Times New Roman" w:cs="Times New Roman"/>
                <w:sz w:val="18"/>
                <w:szCs w:val="18"/>
                <w:lang w:eastAsia="en-IN"/>
              </w:rPr>
            </w:pPr>
            <w:r w:rsidRPr="00FC26AB">
              <w:rPr>
                <w:rFonts w:ascii="Times New Roman" w:hAnsi="Times New Roman" w:cs="Times New Roman"/>
                <w:sz w:val="18"/>
                <w:szCs w:val="18"/>
                <w:lang w:eastAsia="en-IN"/>
              </w:rPr>
              <w:t>4</w:t>
            </w:r>
          </w:p>
        </w:tc>
        <w:tc>
          <w:tcPr>
            <w:tcW w:w="700" w:type="dxa"/>
            <w:tcBorders>
              <w:top w:val="nil"/>
              <w:left w:val="nil"/>
              <w:bottom w:val="single" w:sz="4" w:space="0" w:color="auto"/>
              <w:right w:val="single" w:sz="4" w:space="0" w:color="auto"/>
            </w:tcBorders>
            <w:shd w:val="clear" w:color="000000" w:fill="FFFFFF"/>
            <w:vAlign w:val="center"/>
            <w:hideMark/>
          </w:tcPr>
          <w:p w14:paraId="146A1491" w14:textId="77777777" w:rsidR="00F61814" w:rsidRPr="00FC26AB" w:rsidRDefault="00F61814" w:rsidP="00B77C0B">
            <w:pPr>
              <w:pStyle w:val="NoSpacing"/>
              <w:rPr>
                <w:rFonts w:ascii="Times New Roman" w:hAnsi="Times New Roman" w:cs="Times New Roman"/>
                <w:sz w:val="18"/>
                <w:szCs w:val="18"/>
                <w:lang w:eastAsia="en-IN"/>
              </w:rPr>
            </w:pPr>
            <w:r w:rsidRPr="00FC26AB">
              <w:rPr>
                <w:rFonts w:ascii="Times New Roman" w:hAnsi="Times New Roman" w:cs="Times New Roman"/>
                <w:sz w:val="18"/>
                <w:szCs w:val="18"/>
                <w:lang w:eastAsia="en-IN"/>
              </w:rPr>
              <w:t>1 &amp; 5†</w:t>
            </w:r>
          </w:p>
        </w:tc>
        <w:tc>
          <w:tcPr>
            <w:tcW w:w="736" w:type="dxa"/>
            <w:tcBorders>
              <w:top w:val="nil"/>
              <w:left w:val="nil"/>
              <w:bottom w:val="single" w:sz="4" w:space="0" w:color="auto"/>
              <w:right w:val="single" w:sz="4" w:space="0" w:color="auto"/>
            </w:tcBorders>
            <w:shd w:val="clear" w:color="000000" w:fill="FFFFFF"/>
            <w:vAlign w:val="center"/>
            <w:hideMark/>
          </w:tcPr>
          <w:p w14:paraId="44A3BEF7" w14:textId="77777777" w:rsidR="00F61814" w:rsidRPr="00FC26AB" w:rsidRDefault="00F61814" w:rsidP="00B77C0B">
            <w:pPr>
              <w:pStyle w:val="NoSpacing"/>
              <w:rPr>
                <w:rFonts w:ascii="Times New Roman" w:hAnsi="Times New Roman" w:cs="Times New Roman"/>
                <w:sz w:val="18"/>
                <w:szCs w:val="18"/>
                <w:lang w:eastAsia="en-IN"/>
              </w:rPr>
            </w:pPr>
            <w:r w:rsidRPr="00FC26AB">
              <w:rPr>
                <w:rFonts w:ascii="Times New Roman" w:hAnsi="Times New Roman" w:cs="Times New Roman"/>
                <w:sz w:val="18"/>
                <w:szCs w:val="18"/>
                <w:lang w:eastAsia="en-IN"/>
              </w:rPr>
              <w:t>NA</w:t>
            </w:r>
          </w:p>
        </w:tc>
        <w:tc>
          <w:tcPr>
            <w:tcW w:w="1004" w:type="dxa"/>
            <w:tcBorders>
              <w:top w:val="nil"/>
              <w:left w:val="nil"/>
              <w:bottom w:val="single" w:sz="4" w:space="0" w:color="auto"/>
              <w:right w:val="single" w:sz="4" w:space="0" w:color="auto"/>
            </w:tcBorders>
            <w:shd w:val="clear" w:color="000000" w:fill="FFFFFF"/>
            <w:vAlign w:val="center"/>
            <w:hideMark/>
          </w:tcPr>
          <w:p w14:paraId="58E1DDB9" w14:textId="77777777" w:rsidR="00F61814" w:rsidRPr="00FC26AB" w:rsidRDefault="00F61814" w:rsidP="00B77C0B">
            <w:pPr>
              <w:pStyle w:val="NoSpacing"/>
              <w:rPr>
                <w:rFonts w:ascii="Times New Roman" w:hAnsi="Times New Roman" w:cs="Times New Roman"/>
                <w:sz w:val="18"/>
                <w:szCs w:val="18"/>
                <w:lang w:eastAsia="en-IN"/>
              </w:rPr>
            </w:pPr>
            <w:r w:rsidRPr="00FC26AB">
              <w:rPr>
                <w:rFonts w:ascii="Times New Roman" w:hAnsi="Times New Roman" w:cs="Times New Roman"/>
                <w:sz w:val="18"/>
                <w:szCs w:val="18"/>
                <w:lang w:eastAsia="en-IN"/>
              </w:rPr>
              <w:t>7</w:t>
            </w:r>
          </w:p>
        </w:tc>
        <w:tc>
          <w:tcPr>
            <w:tcW w:w="866" w:type="dxa"/>
            <w:tcBorders>
              <w:top w:val="nil"/>
              <w:left w:val="nil"/>
              <w:bottom w:val="single" w:sz="4" w:space="0" w:color="auto"/>
              <w:right w:val="single" w:sz="4" w:space="0" w:color="auto"/>
            </w:tcBorders>
            <w:shd w:val="clear" w:color="000000" w:fill="FFFFFF"/>
            <w:vAlign w:val="center"/>
            <w:hideMark/>
          </w:tcPr>
          <w:p w14:paraId="6C03F3CC" w14:textId="77777777" w:rsidR="00F61814" w:rsidRPr="00FC26AB" w:rsidRDefault="00F61814" w:rsidP="00B77C0B">
            <w:pPr>
              <w:pStyle w:val="NoSpacing"/>
              <w:rPr>
                <w:rFonts w:ascii="Times New Roman" w:hAnsi="Times New Roman" w:cs="Times New Roman"/>
                <w:sz w:val="18"/>
                <w:szCs w:val="18"/>
                <w:lang w:eastAsia="en-IN"/>
              </w:rPr>
            </w:pPr>
            <w:r w:rsidRPr="00FC26AB">
              <w:rPr>
                <w:rFonts w:ascii="Times New Roman" w:hAnsi="Times New Roman" w:cs="Times New Roman"/>
                <w:sz w:val="18"/>
                <w:szCs w:val="18"/>
                <w:lang w:eastAsia="en-IN"/>
              </w:rPr>
              <w:t>5½</w:t>
            </w:r>
          </w:p>
        </w:tc>
        <w:tc>
          <w:tcPr>
            <w:tcW w:w="830" w:type="dxa"/>
            <w:tcBorders>
              <w:top w:val="nil"/>
              <w:left w:val="nil"/>
              <w:bottom w:val="single" w:sz="4" w:space="0" w:color="auto"/>
              <w:right w:val="single" w:sz="4" w:space="0" w:color="auto"/>
            </w:tcBorders>
            <w:shd w:val="clear" w:color="000000" w:fill="FFFFFF"/>
            <w:vAlign w:val="center"/>
            <w:hideMark/>
          </w:tcPr>
          <w:p w14:paraId="6EACC108" w14:textId="77777777" w:rsidR="00F61814" w:rsidRPr="00FC26AB" w:rsidRDefault="00F61814" w:rsidP="00B77C0B">
            <w:pPr>
              <w:pStyle w:val="NoSpacing"/>
              <w:rPr>
                <w:rFonts w:ascii="Times New Roman" w:hAnsi="Times New Roman" w:cs="Times New Roman"/>
                <w:sz w:val="18"/>
                <w:szCs w:val="18"/>
                <w:lang w:eastAsia="en-IN"/>
              </w:rPr>
            </w:pPr>
            <w:r w:rsidRPr="00FC26AB">
              <w:rPr>
                <w:rFonts w:ascii="Times New Roman" w:hAnsi="Times New Roman" w:cs="Times New Roman"/>
                <w:sz w:val="18"/>
                <w:szCs w:val="18"/>
                <w:lang w:eastAsia="en-IN"/>
              </w:rPr>
              <w:t>7</w:t>
            </w:r>
          </w:p>
        </w:tc>
        <w:tc>
          <w:tcPr>
            <w:tcW w:w="730" w:type="dxa"/>
            <w:tcBorders>
              <w:top w:val="nil"/>
              <w:left w:val="nil"/>
              <w:bottom w:val="single" w:sz="4" w:space="0" w:color="auto"/>
              <w:right w:val="single" w:sz="4" w:space="0" w:color="auto"/>
            </w:tcBorders>
            <w:shd w:val="clear" w:color="000000" w:fill="FFFFFF"/>
            <w:vAlign w:val="center"/>
            <w:hideMark/>
          </w:tcPr>
          <w:p w14:paraId="74764DB5" w14:textId="77777777" w:rsidR="00F61814" w:rsidRPr="00FC26AB" w:rsidRDefault="00F61814" w:rsidP="00B77C0B">
            <w:pPr>
              <w:pStyle w:val="NoSpacing"/>
              <w:rPr>
                <w:rFonts w:ascii="Times New Roman" w:hAnsi="Times New Roman" w:cs="Times New Roman"/>
                <w:sz w:val="18"/>
                <w:szCs w:val="18"/>
                <w:lang w:eastAsia="en-IN"/>
              </w:rPr>
            </w:pPr>
            <w:r w:rsidRPr="00FC26AB">
              <w:rPr>
                <w:rFonts w:ascii="Times New Roman" w:hAnsi="Times New Roman" w:cs="Times New Roman"/>
                <w:sz w:val="18"/>
                <w:szCs w:val="18"/>
                <w:lang w:eastAsia="en-IN"/>
              </w:rPr>
              <w:t>NA</w:t>
            </w:r>
          </w:p>
        </w:tc>
      </w:tr>
      <w:tr w:rsidR="00D75175" w:rsidRPr="00FC26AB" w14:paraId="6A0D1B18" w14:textId="77777777" w:rsidTr="00FC26AB">
        <w:trPr>
          <w:trHeight w:val="20"/>
          <w:jc w:val="center"/>
        </w:trPr>
        <w:tc>
          <w:tcPr>
            <w:tcW w:w="1801" w:type="dxa"/>
            <w:tcBorders>
              <w:top w:val="nil"/>
              <w:left w:val="single" w:sz="4" w:space="0" w:color="auto"/>
              <w:bottom w:val="single" w:sz="4" w:space="0" w:color="auto"/>
              <w:right w:val="single" w:sz="4" w:space="0" w:color="auto"/>
            </w:tcBorders>
            <w:shd w:val="clear" w:color="000000" w:fill="FFFFFF"/>
            <w:vAlign w:val="center"/>
            <w:hideMark/>
          </w:tcPr>
          <w:p w14:paraId="27F7C24E" w14:textId="77777777" w:rsidR="00F61814" w:rsidRPr="00FC26AB" w:rsidRDefault="00F61814" w:rsidP="00B77C0B">
            <w:pPr>
              <w:pStyle w:val="NoSpacing"/>
              <w:rPr>
                <w:rFonts w:ascii="Times New Roman" w:hAnsi="Times New Roman" w:cs="Times New Roman"/>
                <w:sz w:val="18"/>
                <w:szCs w:val="18"/>
                <w:lang w:eastAsia="en-IN"/>
              </w:rPr>
            </w:pPr>
            <w:r w:rsidRPr="00FC26AB">
              <w:rPr>
                <w:rFonts w:ascii="Times New Roman" w:hAnsi="Times New Roman" w:cs="Times New Roman"/>
                <w:sz w:val="18"/>
                <w:szCs w:val="18"/>
                <w:lang w:eastAsia="en-IN"/>
              </w:rPr>
              <w:t>4.Safety matches</w:t>
            </w:r>
          </w:p>
        </w:tc>
        <w:tc>
          <w:tcPr>
            <w:tcW w:w="842" w:type="dxa"/>
            <w:tcBorders>
              <w:top w:val="nil"/>
              <w:left w:val="nil"/>
              <w:bottom w:val="single" w:sz="4" w:space="0" w:color="auto"/>
              <w:right w:val="single" w:sz="4" w:space="0" w:color="auto"/>
            </w:tcBorders>
            <w:shd w:val="clear" w:color="000000" w:fill="FFFFFF"/>
            <w:vAlign w:val="center"/>
            <w:hideMark/>
          </w:tcPr>
          <w:p w14:paraId="66E5EF7E" w14:textId="77777777" w:rsidR="00F61814" w:rsidRPr="00FC26AB" w:rsidRDefault="00F61814" w:rsidP="00B77C0B">
            <w:pPr>
              <w:pStyle w:val="NoSpacing"/>
              <w:rPr>
                <w:rFonts w:ascii="Times New Roman" w:hAnsi="Times New Roman" w:cs="Times New Roman"/>
                <w:sz w:val="18"/>
                <w:szCs w:val="18"/>
                <w:lang w:eastAsia="en-IN"/>
              </w:rPr>
            </w:pPr>
            <w:r w:rsidRPr="00FC26AB">
              <w:rPr>
                <w:rFonts w:ascii="Times New Roman" w:hAnsi="Times New Roman" w:cs="Times New Roman"/>
                <w:sz w:val="18"/>
                <w:szCs w:val="18"/>
                <w:lang w:eastAsia="en-IN"/>
              </w:rPr>
              <w:t>5</w:t>
            </w:r>
          </w:p>
        </w:tc>
        <w:tc>
          <w:tcPr>
            <w:tcW w:w="706" w:type="dxa"/>
            <w:tcBorders>
              <w:top w:val="nil"/>
              <w:left w:val="nil"/>
              <w:bottom w:val="single" w:sz="4" w:space="0" w:color="auto"/>
              <w:right w:val="single" w:sz="4" w:space="0" w:color="auto"/>
            </w:tcBorders>
            <w:shd w:val="clear" w:color="000000" w:fill="FFFFFF"/>
            <w:vAlign w:val="center"/>
            <w:hideMark/>
          </w:tcPr>
          <w:p w14:paraId="1E21A7B7" w14:textId="77777777" w:rsidR="00F61814" w:rsidRPr="00FC26AB" w:rsidRDefault="00F61814" w:rsidP="00B77C0B">
            <w:pPr>
              <w:pStyle w:val="NoSpacing"/>
              <w:rPr>
                <w:rFonts w:ascii="Times New Roman" w:hAnsi="Times New Roman" w:cs="Times New Roman"/>
                <w:sz w:val="18"/>
                <w:szCs w:val="18"/>
                <w:lang w:eastAsia="en-IN"/>
              </w:rPr>
            </w:pPr>
            <w:r w:rsidRPr="00FC26AB">
              <w:rPr>
                <w:rFonts w:ascii="Times New Roman" w:hAnsi="Times New Roman" w:cs="Times New Roman"/>
                <w:sz w:val="18"/>
                <w:szCs w:val="18"/>
                <w:lang w:eastAsia="en-IN"/>
              </w:rPr>
              <w:t>NA</w:t>
            </w:r>
          </w:p>
        </w:tc>
        <w:tc>
          <w:tcPr>
            <w:tcW w:w="616" w:type="dxa"/>
            <w:tcBorders>
              <w:top w:val="nil"/>
              <w:left w:val="nil"/>
              <w:bottom w:val="single" w:sz="4" w:space="0" w:color="auto"/>
              <w:right w:val="single" w:sz="4" w:space="0" w:color="auto"/>
            </w:tcBorders>
            <w:shd w:val="clear" w:color="000000" w:fill="FFFFFF"/>
            <w:vAlign w:val="center"/>
            <w:hideMark/>
          </w:tcPr>
          <w:p w14:paraId="0C2BE363" w14:textId="77777777" w:rsidR="00F61814" w:rsidRPr="00FC26AB" w:rsidRDefault="00F61814" w:rsidP="00B77C0B">
            <w:pPr>
              <w:pStyle w:val="NoSpacing"/>
              <w:rPr>
                <w:rFonts w:ascii="Times New Roman" w:hAnsi="Times New Roman" w:cs="Times New Roman"/>
                <w:sz w:val="18"/>
                <w:szCs w:val="18"/>
                <w:lang w:eastAsia="en-IN"/>
              </w:rPr>
            </w:pPr>
            <w:r w:rsidRPr="00FC26AB">
              <w:rPr>
                <w:rFonts w:ascii="Times New Roman" w:hAnsi="Times New Roman" w:cs="Times New Roman"/>
                <w:sz w:val="18"/>
                <w:szCs w:val="18"/>
                <w:lang w:eastAsia="en-IN"/>
              </w:rPr>
              <w:t>7</w:t>
            </w:r>
          </w:p>
        </w:tc>
        <w:tc>
          <w:tcPr>
            <w:tcW w:w="756" w:type="dxa"/>
            <w:tcBorders>
              <w:top w:val="nil"/>
              <w:left w:val="nil"/>
              <w:bottom w:val="single" w:sz="4" w:space="0" w:color="auto"/>
              <w:right w:val="single" w:sz="4" w:space="0" w:color="auto"/>
            </w:tcBorders>
            <w:shd w:val="clear" w:color="000000" w:fill="FFFFFF"/>
            <w:vAlign w:val="center"/>
            <w:hideMark/>
          </w:tcPr>
          <w:p w14:paraId="0ABF0085" w14:textId="77777777" w:rsidR="00F61814" w:rsidRPr="00FC26AB" w:rsidRDefault="00F61814" w:rsidP="00B77C0B">
            <w:pPr>
              <w:pStyle w:val="NoSpacing"/>
              <w:rPr>
                <w:rFonts w:ascii="Times New Roman" w:hAnsi="Times New Roman" w:cs="Times New Roman"/>
                <w:sz w:val="18"/>
                <w:szCs w:val="18"/>
                <w:lang w:eastAsia="en-IN"/>
              </w:rPr>
            </w:pPr>
            <w:r w:rsidRPr="00FC26AB">
              <w:rPr>
                <w:rFonts w:ascii="Times New Roman" w:hAnsi="Times New Roman" w:cs="Times New Roman"/>
                <w:sz w:val="18"/>
                <w:szCs w:val="18"/>
                <w:lang w:eastAsia="en-IN"/>
              </w:rPr>
              <w:t>3</w:t>
            </w:r>
          </w:p>
        </w:tc>
        <w:tc>
          <w:tcPr>
            <w:tcW w:w="1355" w:type="dxa"/>
            <w:tcBorders>
              <w:top w:val="nil"/>
              <w:left w:val="nil"/>
              <w:bottom w:val="single" w:sz="4" w:space="0" w:color="auto"/>
              <w:right w:val="single" w:sz="4" w:space="0" w:color="auto"/>
            </w:tcBorders>
            <w:shd w:val="clear" w:color="000000" w:fill="FFFFFF"/>
            <w:vAlign w:val="center"/>
            <w:hideMark/>
          </w:tcPr>
          <w:p w14:paraId="5C83A098" w14:textId="77777777" w:rsidR="00F61814" w:rsidRPr="00FC26AB" w:rsidRDefault="00F61814" w:rsidP="00B77C0B">
            <w:pPr>
              <w:pStyle w:val="NoSpacing"/>
              <w:rPr>
                <w:rFonts w:ascii="Times New Roman" w:hAnsi="Times New Roman" w:cs="Times New Roman"/>
                <w:sz w:val="18"/>
                <w:szCs w:val="18"/>
                <w:lang w:eastAsia="en-IN"/>
              </w:rPr>
            </w:pPr>
            <w:r w:rsidRPr="00FC26AB">
              <w:rPr>
                <w:rFonts w:ascii="Times New Roman" w:hAnsi="Times New Roman" w:cs="Times New Roman"/>
                <w:sz w:val="18"/>
                <w:szCs w:val="18"/>
                <w:lang w:eastAsia="en-IN"/>
              </w:rPr>
              <w:t>6</w:t>
            </w:r>
          </w:p>
        </w:tc>
        <w:tc>
          <w:tcPr>
            <w:tcW w:w="916" w:type="dxa"/>
            <w:tcBorders>
              <w:top w:val="nil"/>
              <w:left w:val="nil"/>
              <w:bottom w:val="single" w:sz="4" w:space="0" w:color="auto"/>
              <w:right w:val="single" w:sz="4" w:space="0" w:color="auto"/>
            </w:tcBorders>
            <w:shd w:val="clear" w:color="000000" w:fill="FFFFFF"/>
            <w:vAlign w:val="center"/>
            <w:hideMark/>
          </w:tcPr>
          <w:p w14:paraId="40B4BC7D" w14:textId="77777777" w:rsidR="00F61814" w:rsidRPr="00FC26AB" w:rsidRDefault="00F61814" w:rsidP="00B77C0B">
            <w:pPr>
              <w:pStyle w:val="NoSpacing"/>
              <w:rPr>
                <w:rFonts w:ascii="Times New Roman" w:hAnsi="Times New Roman" w:cs="Times New Roman"/>
                <w:sz w:val="18"/>
                <w:szCs w:val="18"/>
                <w:lang w:eastAsia="en-IN"/>
              </w:rPr>
            </w:pPr>
            <w:r w:rsidRPr="00FC26AB">
              <w:rPr>
                <w:rFonts w:ascii="Times New Roman" w:hAnsi="Times New Roman" w:cs="Times New Roman"/>
                <w:sz w:val="18"/>
                <w:szCs w:val="18"/>
                <w:lang w:eastAsia="en-IN"/>
              </w:rPr>
              <w:t>exempted</w:t>
            </w:r>
          </w:p>
        </w:tc>
        <w:tc>
          <w:tcPr>
            <w:tcW w:w="696" w:type="dxa"/>
            <w:tcBorders>
              <w:top w:val="nil"/>
              <w:left w:val="nil"/>
              <w:bottom w:val="single" w:sz="4" w:space="0" w:color="auto"/>
              <w:right w:val="single" w:sz="4" w:space="0" w:color="auto"/>
            </w:tcBorders>
            <w:shd w:val="clear" w:color="000000" w:fill="FFFFFF"/>
            <w:vAlign w:val="center"/>
            <w:hideMark/>
          </w:tcPr>
          <w:p w14:paraId="70AFD602" w14:textId="77777777" w:rsidR="00F61814" w:rsidRPr="00FC26AB" w:rsidRDefault="00F61814" w:rsidP="00B77C0B">
            <w:pPr>
              <w:pStyle w:val="NoSpacing"/>
              <w:rPr>
                <w:rFonts w:ascii="Times New Roman" w:hAnsi="Times New Roman" w:cs="Times New Roman"/>
                <w:sz w:val="18"/>
                <w:szCs w:val="18"/>
                <w:lang w:eastAsia="en-IN"/>
              </w:rPr>
            </w:pPr>
            <w:r w:rsidRPr="00FC26AB">
              <w:rPr>
                <w:rFonts w:ascii="Times New Roman" w:hAnsi="Times New Roman" w:cs="Times New Roman"/>
                <w:sz w:val="18"/>
                <w:szCs w:val="18"/>
                <w:lang w:eastAsia="en-IN"/>
              </w:rPr>
              <w:t>2</w:t>
            </w:r>
          </w:p>
        </w:tc>
        <w:tc>
          <w:tcPr>
            <w:tcW w:w="831" w:type="dxa"/>
            <w:tcBorders>
              <w:top w:val="nil"/>
              <w:left w:val="nil"/>
              <w:bottom w:val="single" w:sz="4" w:space="0" w:color="auto"/>
              <w:right w:val="single" w:sz="4" w:space="0" w:color="auto"/>
            </w:tcBorders>
            <w:shd w:val="clear" w:color="000000" w:fill="FFFFFF"/>
            <w:vAlign w:val="center"/>
            <w:hideMark/>
          </w:tcPr>
          <w:p w14:paraId="24B1F953" w14:textId="77777777" w:rsidR="00F61814" w:rsidRPr="00FC26AB" w:rsidRDefault="00F61814" w:rsidP="00B77C0B">
            <w:pPr>
              <w:pStyle w:val="NoSpacing"/>
              <w:rPr>
                <w:rFonts w:ascii="Times New Roman" w:hAnsi="Times New Roman" w:cs="Times New Roman"/>
                <w:sz w:val="18"/>
                <w:szCs w:val="18"/>
                <w:lang w:eastAsia="en-IN"/>
              </w:rPr>
            </w:pPr>
            <w:r w:rsidRPr="00FC26AB">
              <w:rPr>
                <w:rFonts w:ascii="Times New Roman" w:hAnsi="Times New Roman" w:cs="Times New Roman"/>
                <w:sz w:val="18"/>
                <w:szCs w:val="18"/>
                <w:lang w:eastAsia="en-IN"/>
              </w:rPr>
              <w:t>7</w:t>
            </w:r>
          </w:p>
        </w:tc>
        <w:tc>
          <w:tcPr>
            <w:tcW w:w="1175" w:type="dxa"/>
            <w:tcBorders>
              <w:top w:val="nil"/>
              <w:left w:val="nil"/>
              <w:bottom w:val="single" w:sz="4" w:space="0" w:color="auto"/>
              <w:right w:val="single" w:sz="4" w:space="0" w:color="auto"/>
            </w:tcBorders>
            <w:shd w:val="clear" w:color="000000" w:fill="FFFFFF"/>
            <w:vAlign w:val="center"/>
            <w:hideMark/>
          </w:tcPr>
          <w:p w14:paraId="5AB69C86" w14:textId="77777777" w:rsidR="00F61814" w:rsidRPr="00FC26AB" w:rsidRDefault="00F61814" w:rsidP="00B77C0B">
            <w:pPr>
              <w:pStyle w:val="NoSpacing"/>
              <w:rPr>
                <w:rFonts w:ascii="Times New Roman" w:hAnsi="Times New Roman" w:cs="Times New Roman"/>
                <w:sz w:val="18"/>
                <w:szCs w:val="18"/>
                <w:lang w:eastAsia="en-IN"/>
              </w:rPr>
            </w:pPr>
            <w:r w:rsidRPr="00FC26AB">
              <w:rPr>
                <w:rFonts w:ascii="Times New Roman" w:hAnsi="Times New Roman" w:cs="Times New Roman"/>
                <w:sz w:val="18"/>
                <w:szCs w:val="18"/>
                <w:lang w:eastAsia="en-IN"/>
              </w:rPr>
              <w:t>2</w:t>
            </w:r>
          </w:p>
        </w:tc>
        <w:tc>
          <w:tcPr>
            <w:tcW w:w="766" w:type="dxa"/>
            <w:tcBorders>
              <w:top w:val="nil"/>
              <w:left w:val="nil"/>
              <w:bottom w:val="single" w:sz="4" w:space="0" w:color="auto"/>
              <w:right w:val="single" w:sz="4" w:space="0" w:color="auto"/>
            </w:tcBorders>
            <w:shd w:val="clear" w:color="000000" w:fill="FFFFFF"/>
            <w:vAlign w:val="center"/>
            <w:hideMark/>
          </w:tcPr>
          <w:p w14:paraId="2A9FA370" w14:textId="77777777" w:rsidR="00F61814" w:rsidRPr="00FC26AB" w:rsidRDefault="00F61814" w:rsidP="00B77C0B">
            <w:pPr>
              <w:pStyle w:val="NoSpacing"/>
              <w:rPr>
                <w:rFonts w:ascii="Times New Roman" w:hAnsi="Times New Roman" w:cs="Times New Roman"/>
                <w:sz w:val="18"/>
                <w:szCs w:val="18"/>
                <w:lang w:eastAsia="en-IN"/>
              </w:rPr>
            </w:pPr>
            <w:r w:rsidRPr="00FC26AB">
              <w:rPr>
                <w:rFonts w:ascii="Times New Roman" w:hAnsi="Times New Roman" w:cs="Times New Roman"/>
                <w:sz w:val="18"/>
                <w:szCs w:val="18"/>
                <w:lang w:eastAsia="en-IN"/>
              </w:rPr>
              <w:t>3 MP</w:t>
            </w:r>
          </w:p>
        </w:tc>
        <w:tc>
          <w:tcPr>
            <w:tcW w:w="700" w:type="dxa"/>
            <w:tcBorders>
              <w:top w:val="nil"/>
              <w:left w:val="nil"/>
              <w:bottom w:val="single" w:sz="4" w:space="0" w:color="auto"/>
              <w:right w:val="single" w:sz="4" w:space="0" w:color="auto"/>
            </w:tcBorders>
            <w:shd w:val="clear" w:color="000000" w:fill="FFFFFF"/>
            <w:vAlign w:val="center"/>
            <w:hideMark/>
          </w:tcPr>
          <w:p w14:paraId="494DC299" w14:textId="77777777" w:rsidR="00F61814" w:rsidRPr="00FC26AB" w:rsidRDefault="00F61814" w:rsidP="00B77C0B">
            <w:pPr>
              <w:pStyle w:val="NoSpacing"/>
              <w:rPr>
                <w:rFonts w:ascii="Times New Roman" w:hAnsi="Times New Roman" w:cs="Times New Roman"/>
                <w:sz w:val="18"/>
                <w:szCs w:val="18"/>
                <w:lang w:eastAsia="en-IN"/>
              </w:rPr>
            </w:pPr>
            <w:r w:rsidRPr="00FC26AB">
              <w:rPr>
                <w:rFonts w:ascii="Times New Roman" w:hAnsi="Times New Roman" w:cs="Times New Roman"/>
                <w:sz w:val="18"/>
                <w:szCs w:val="18"/>
                <w:lang w:eastAsia="en-IN"/>
              </w:rPr>
              <w:t>3</w:t>
            </w:r>
          </w:p>
        </w:tc>
        <w:tc>
          <w:tcPr>
            <w:tcW w:w="736" w:type="dxa"/>
            <w:tcBorders>
              <w:top w:val="nil"/>
              <w:left w:val="nil"/>
              <w:bottom w:val="single" w:sz="4" w:space="0" w:color="auto"/>
              <w:right w:val="single" w:sz="4" w:space="0" w:color="auto"/>
            </w:tcBorders>
            <w:shd w:val="clear" w:color="000000" w:fill="FFFFFF"/>
            <w:vAlign w:val="center"/>
            <w:hideMark/>
          </w:tcPr>
          <w:p w14:paraId="472F494A" w14:textId="77777777" w:rsidR="00F61814" w:rsidRPr="00FC26AB" w:rsidRDefault="00F61814" w:rsidP="00B77C0B">
            <w:pPr>
              <w:pStyle w:val="NoSpacing"/>
              <w:rPr>
                <w:rFonts w:ascii="Times New Roman" w:hAnsi="Times New Roman" w:cs="Times New Roman"/>
                <w:sz w:val="18"/>
                <w:szCs w:val="18"/>
                <w:lang w:eastAsia="en-IN"/>
              </w:rPr>
            </w:pPr>
            <w:r w:rsidRPr="00FC26AB">
              <w:rPr>
                <w:rFonts w:ascii="Times New Roman" w:hAnsi="Times New Roman" w:cs="Times New Roman"/>
                <w:sz w:val="18"/>
                <w:szCs w:val="18"/>
                <w:lang w:eastAsia="en-IN"/>
              </w:rPr>
              <w:t>6</w:t>
            </w:r>
          </w:p>
        </w:tc>
        <w:tc>
          <w:tcPr>
            <w:tcW w:w="1004" w:type="dxa"/>
            <w:tcBorders>
              <w:top w:val="nil"/>
              <w:left w:val="nil"/>
              <w:bottom w:val="single" w:sz="4" w:space="0" w:color="auto"/>
              <w:right w:val="single" w:sz="4" w:space="0" w:color="auto"/>
            </w:tcBorders>
            <w:shd w:val="clear" w:color="000000" w:fill="FFFFFF"/>
            <w:vAlign w:val="center"/>
            <w:hideMark/>
          </w:tcPr>
          <w:p w14:paraId="7C1B7053" w14:textId="77777777" w:rsidR="00F61814" w:rsidRPr="00FC26AB" w:rsidRDefault="00F61814" w:rsidP="00B77C0B">
            <w:pPr>
              <w:pStyle w:val="NoSpacing"/>
              <w:rPr>
                <w:rFonts w:ascii="Times New Roman" w:hAnsi="Times New Roman" w:cs="Times New Roman"/>
                <w:sz w:val="18"/>
                <w:szCs w:val="18"/>
                <w:lang w:eastAsia="en-IN"/>
              </w:rPr>
            </w:pPr>
            <w:r w:rsidRPr="00FC26AB">
              <w:rPr>
                <w:rFonts w:ascii="Times New Roman" w:hAnsi="Times New Roman" w:cs="Times New Roman"/>
                <w:sz w:val="18"/>
                <w:szCs w:val="18"/>
                <w:lang w:eastAsia="en-IN"/>
              </w:rPr>
              <w:t>7</w:t>
            </w:r>
          </w:p>
        </w:tc>
        <w:tc>
          <w:tcPr>
            <w:tcW w:w="866" w:type="dxa"/>
            <w:tcBorders>
              <w:top w:val="nil"/>
              <w:left w:val="nil"/>
              <w:bottom w:val="single" w:sz="4" w:space="0" w:color="auto"/>
              <w:right w:val="single" w:sz="4" w:space="0" w:color="auto"/>
            </w:tcBorders>
            <w:shd w:val="clear" w:color="000000" w:fill="FFFFFF"/>
            <w:vAlign w:val="center"/>
            <w:hideMark/>
          </w:tcPr>
          <w:p w14:paraId="43B11531" w14:textId="77777777" w:rsidR="00F61814" w:rsidRPr="00FC26AB" w:rsidRDefault="00F61814" w:rsidP="00B77C0B">
            <w:pPr>
              <w:pStyle w:val="NoSpacing"/>
              <w:rPr>
                <w:rFonts w:ascii="Times New Roman" w:hAnsi="Times New Roman" w:cs="Times New Roman"/>
                <w:sz w:val="18"/>
                <w:szCs w:val="18"/>
                <w:lang w:eastAsia="en-IN"/>
              </w:rPr>
            </w:pPr>
            <w:r w:rsidRPr="00FC26AB">
              <w:rPr>
                <w:rFonts w:ascii="Times New Roman" w:hAnsi="Times New Roman" w:cs="Times New Roman"/>
                <w:sz w:val="18"/>
                <w:szCs w:val="18"/>
                <w:lang w:eastAsia="en-IN"/>
              </w:rPr>
              <w:t>3</w:t>
            </w:r>
          </w:p>
        </w:tc>
        <w:tc>
          <w:tcPr>
            <w:tcW w:w="830" w:type="dxa"/>
            <w:tcBorders>
              <w:top w:val="nil"/>
              <w:left w:val="nil"/>
              <w:bottom w:val="single" w:sz="4" w:space="0" w:color="auto"/>
              <w:right w:val="single" w:sz="4" w:space="0" w:color="auto"/>
            </w:tcBorders>
            <w:shd w:val="clear" w:color="000000" w:fill="FFFFFF"/>
            <w:vAlign w:val="center"/>
            <w:hideMark/>
          </w:tcPr>
          <w:p w14:paraId="7B86C826" w14:textId="77777777" w:rsidR="00F61814" w:rsidRPr="00FC26AB" w:rsidRDefault="00F61814" w:rsidP="00B77C0B">
            <w:pPr>
              <w:pStyle w:val="NoSpacing"/>
              <w:rPr>
                <w:rFonts w:ascii="Times New Roman" w:hAnsi="Times New Roman" w:cs="Times New Roman"/>
                <w:sz w:val="18"/>
                <w:szCs w:val="18"/>
                <w:lang w:eastAsia="en-IN"/>
              </w:rPr>
            </w:pPr>
            <w:r w:rsidRPr="00FC26AB">
              <w:rPr>
                <w:rFonts w:ascii="Times New Roman" w:hAnsi="Times New Roman" w:cs="Times New Roman"/>
                <w:sz w:val="18"/>
                <w:szCs w:val="18"/>
                <w:lang w:eastAsia="en-IN"/>
              </w:rPr>
              <w:t>7</w:t>
            </w:r>
          </w:p>
        </w:tc>
        <w:tc>
          <w:tcPr>
            <w:tcW w:w="730" w:type="dxa"/>
            <w:tcBorders>
              <w:top w:val="nil"/>
              <w:left w:val="nil"/>
              <w:bottom w:val="single" w:sz="4" w:space="0" w:color="auto"/>
              <w:right w:val="single" w:sz="4" w:space="0" w:color="auto"/>
            </w:tcBorders>
            <w:shd w:val="clear" w:color="000000" w:fill="FFFFFF"/>
            <w:vAlign w:val="center"/>
            <w:hideMark/>
          </w:tcPr>
          <w:p w14:paraId="7CB9415A" w14:textId="77777777" w:rsidR="00F61814" w:rsidRPr="00FC26AB" w:rsidRDefault="00F61814" w:rsidP="00B77C0B">
            <w:pPr>
              <w:pStyle w:val="NoSpacing"/>
              <w:rPr>
                <w:rFonts w:ascii="Times New Roman" w:hAnsi="Times New Roman" w:cs="Times New Roman"/>
                <w:sz w:val="18"/>
                <w:szCs w:val="18"/>
                <w:lang w:eastAsia="en-IN"/>
              </w:rPr>
            </w:pPr>
            <w:r w:rsidRPr="00FC26AB">
              <w:rPr>
                <w:rFonts w:ascii="Times New Roman" w:hAnsi="Times New Roman" w:cs="Times New Roman"/>
                <w:sz w:val="18"/>
                <w:szCs w:val="18"/>
                <w:lang w:eastAsia="en-IN"/>
              </w:rPr>
              <w:t>5</w:t>
            </w:r>
          </w:p>
        </w:tc>
      </w:tr>
      <w:tr w:rsidR="00D75175" w:rsidRPr="00FC26AB" w14:paraId="144986EF" w14:textId="77777777" w:rsidTr="00FC26AB">
        <w:trPr>
          <w:trHeight w:val="20"/>
          <w:jc w:val="center"/>
        </w:trPr>
        <w:tc>
          <w:tcPr>
            <w:tcW w:w="1801" w:type="dxa"/>
            <w:tcBorders>
              <w:top w:val="nil"/>
              <w:left w:val="single" w:sz="4" w:space="0" w:color="auto"/>
              <w:bottom w:val="single" w:sz="4" w:space="0" w:color="auto"/>
              <w:right w:val="single" w:sz="4" w:space="0" w:color="auto"/>
            </w:tcBorders>
            <w:shd w:val="clear" w:color="000000" w:fill="FFFFFF"/>
            <w:vAlign w:val="center"/>
            <w:hideMark/>
          </w:tcPr>
          <w:p w14:paraId="13D55C3C" w14:textId="77777777" w:rsidR="00F61814" w:rsidRPr="00FC26AB" w:rsidRDefault="00F61814" w:rsidP="00B77C0B">
            <w:pPr>
              <w:pStyle w:val="NoSpacing"/>
              <w:rPr>
                <w:rFonts w:ascii="Times New Roman" w:hAnsi="Times New Roman" w:cs="Times New Roman"/>
                <w:sz w:val="18"/>
                <w:szCs w:val="18"/>
                <w:lang w:eastAsia="en-IN"/>
              </w:rPr>
            </w:pPr>
            <w:r w:rsidRPr="00FC26AB">
              <w:rPr>
                <w:rFonts w:ascii="Times New Roman" w:hAnsi="Times New Roman" w:cs="Times New Roman"/>
                <w:sz w:val="18"/>
                <w:szCs w:val="18"/>
                <w:lang w:eastAsia="en-IN"/>
              </w:rPr>
              <w:t>5.Vanaspati</w:t>
            </w:r>
          </w:p>
        </w:tc>
        <w:tc>
          <w:tcPr>
            <w:tcW w:w="842" w:type="dxa"/>
            <w:tcBorders>
              <w:top w:val="nil"/>
              <w:left w:val="nil"/>
              <w:bottom w:val="single" w:sz="4" w:space="0" w:color="auto"/>
              <w:right w:val="single" w:sz="4" w:space="0" w:color="auto"/>
            </w:tcBorders>
            <w:shd w:val="clear" w:color="000000" w:fill="FFFFFF"/>
            <w:vAlign w:val="center"/>
            <w:hideMark/>
          </w:tcPr>
          <w:p w14:paraId="7B402E94" w14:textId="77777777" w:rsidR="00F61814" w:rsidRPr="00FC26AB" w:rsidRDefault="00F61814" w:rsidP="00B77C0B">
            <w:pPr>
              <w:pStyle w:val="NoSpacing"/>
              <w:rPr>
                <w:rFonts w:ascii="Times New Roman" w:hAnsi="Times New Roman" w:cs="Times New Roman"/>
                <w:sz w:val="18"/>
                <w:szCs w:val="18"/>
                <w:lang w:eastAsia="en-IN"/>
              </w:rPr>
            </w:pPr>
            <w:r w:rsidRPr="00FC26AB">
              <w:rPr>
                <w:rFonts w:ascii="Times New Roman" w:hAnsi="Times New Roman" w:cs="Times New Roman"/>
                <w:sz w:val="18"/>
                <w:szCs w:val="18"/>
                <w:lang w:eastAsia="en-IN"/>
              </w:rPr>
              <w:t>5</w:t>
            </w:r>
          </w:p>
        </w:tc>
        <w:tc>
          <w:tcPr>
            <w:tcW w:w="706" w:type="dxa"/>
            <w:tcBorders>
              <w:top w:val="nil"/>
              <w:left w:val="nil"/>
              <w:bottom w:val="single" w:sz="4" w:space="0" w:color="auto"/>
              <w:right w:val="single" w:sz="4" w:space="0" w:color="auto"/>
            </w:tcBorders>
            <w:shd w:val="clear" w:color="000000" w:fill="FFFFFF"/>
            <w:vAlign w:val="center"/>
            <w:hideMark/>
          </w:tcPr>
          <w:p w14:paraId="6847DA3A" w14:textId="77777777" w:rsidR="00F61814" w:rsidRPr="00FC26AB" w:rsidRDefault="00F61814" w:rsidP="00B77C0B">
            <w:pPr>
              <w:pStyle w:val="NoSpacing"/>
              <w:rPr>
                <w:rFonts w:ascii="Times New Roman" w:hAnsi="Times New Roman" w:cs="Times New Roman"/>
                <w:sz w:val="18"/>
                <w:szCs w:val="18"/>
                <w:lang w:eastAsia="en-IN"/>
              </w:rPr>
            </w:pPr>
            <w:r w:rsidRPr="00FC26AB">
              <w:rPr>
                <w:rFonts w:ascii="Times New Roman" w:hAnsi="Times New Roman" w:cs="Times New Roman"/>
                <w:sz w:val="18"/>
                <w:szCs w:val="18"/>
                <w:lang w:eastAsia="en-IN"/>
              </w:rPr>
              <w:t>6</w:t>
            </w:r>
          </w:p>
        </w:tc>
        <w:tc>
          <w:tcPr>
            <w:tcW w:w="616" w:type="dxa"/>
            <w:tcBorders>
              <w:top w:val="nil"/>
              <w:left w:val="nil"/>
              <w:bottom w:val="single" w:sz="4" w:space="0" w:color="auto"/>
              <w:right w:val="single" w:sz="4" w:space="0" w:color="auto"/>
            </w:tcBorders>
            <w:shd w:val="clear" w:color="000000" w:fill="FFFFFF"/>
            <w:vAlign w:val="center"/>
            <w:hideMark/>
          </w:tcPr>
          <w:p w14:paraId="278BC3A8" w14:textId="77777777" w:rsidR="00F61814" w:rsidRPr="00FC26AB" w:rsidRDefault="00F61814" w:rsidP="00B77C0B">
            <w:pPr>
              <w:pStyle w:val="NoSpacing"/>
              <w:rPr>
                <w:rFonts w:ascii="Times New Roman" w:hAnsi="Times New Roman" w:cs="Times New Roman"/>
                <w:sz w:val="18"/>
                <w:szCs w:val="18"/>
                <w:lang w:eastAsia="en-IN"/>
              </w:rPr>
            </w:pPr>
            <w:r w:rsidRPr="00FC26AB">
              <w:rPr>
                <w:rFonts w:ascii="Times New Roman" w:hAnsi="Times New Roman" w:cs="Times New Roman"/>
                <w:sz w:val="18"/>
                <w:szCs w:val="18"/>
                <w:lang w:eastAsia="en-IN"/>
              </w:rPr>
              <w:t>5</w:t>
            </w:r>
          </w:p>
        </w:tc>
        <w:tc>
          <w:tcPr>
            <w:tcW w:w="756" w:type="dxa"/>
            <w:tcBorders>
              <w:top w:val="nil"/>
              <w:left w:val="nil"/>
              <w:bottom w:val="single" w:sz="4" w:space="0" w:color="auto"/>
              <w:right w:val="single" w:sz="4" w:space="0" w:color="auto"/>
            </w:tcBorders>
            <w:shd w:val="clear" w:color="000000" w:fill="FFFFFF"/>
            <w:vAlign w:val="center"/>
            <w:hideMark/>
          </w:tcPr>
          <w:p w14:paraId="37DDBCAE" w14:textId="77777777" w:rsidR="00F61814" w:rsidRPr="00FC26AB" w:rsidRDefault="00F61814" w:rsidP="00B77C0B">
            <w:pPr>
              <w:pStyle w:val="NoSpacing"/>
              <w:rPr>
                <w:rFonts w:ascii="Times New Roman" w:hAnsi="Times New Roman" w:cs="Times New Roman"/>
                <w:sz w:val="18"/>
                <w:szCs w:val="18"/>
                <w:lang w:eastAsia="en-IN"/>
              </w:rPr>
            </w:pPr>
            <w:r w:rsidRPr="00FC26AB">
              <w:rPr>
                <w:rFonts w:ascii="Times New Roman" w:hAnsi="Times New Roman" w:cs="Times New Roman"/>
                <w:sz w:val="18"/>
                <w:szCs w:val="18"/>
                <w:lang w:eastAsia="en-IN"/>
              </w:rPr>
              <w:t>8</w:t>
            </w:r>
          </w:p>
        </w:tc>
        <w:tc>
          <w:tcPr>
            <w:tcW w:w="1355" w:type="dxa"/>
            <w:tcBorders>
              <w:top w:val="nil"/>
              <w:left w:val="nil"/>
              <w:bottom w:val="single" w:sz="4" w:space="0" w:color="auto"/>
              <w:right w:val="single" w:sz="4" w:space="0" w:color="auto"/>
            </w:tcBorders>
            <w:shd w:val="clear" w:color="000000" w:fill="FFFFFF"/>
            <w:vAlign w:val="center"/>
            <w:hideMark/>
          </w:tcPr>
          <w:p w14:paraId="509C1EF9" w14:textId="77777777" w:rsidR="00F61814" w:rsidRPr="00FC26AB" w:rsidRDefault="00F61814" w:rsidP="00B77C0B">
            <w:pPr>
              <w:pStyle w:val="NoSpacing"/>
              <w:rPr>
                <w:rFonts w:ascii="Times New Roman" w:hAnsi="Times New Roman" w:cs="Times New Roman"/>
                <w:sz w:val="18"/>
                <w:szCs w:val="18"/>
                <w:lang w:eastAsia="en-IN"/>
              </w:rPr>
            </w:pPr>
            <w:r w:rsidRPr="00FC26AB">
              <w:rPr>
                <w:rFonts w:ascii="Times New Roman" w:hAnsi="Times New Roman" w:cs="Times New Roman"/>
                <w:sz w:val="18"/>
                <w:szCs w:val="18"/>
                <w:lang w:eastAsia="en-IN"/>
              </w:rPr>
              <w:t>6</w:t>
            </w:r>
          </w:p>
        </w:tc>
        <w:tc>
          <w:tcPr>
            <w:tcW w:w="916" w:type="dxa"/>
            <w:tcBorders>
              <w:top w:val="nil"/>
              <w:left w:val="nil"/>
              <w:bottom w:val="single" w:sz="4" w:space="0" w:color="auto"/>
              <w:right w:val="single" w:sz="4" w:space="0" w:color="auto"/>
            </w:tcBorders>
            <w:shd w:val="clear" w:color="000000" w:fill="FFFFFF"/>
            <w:vAlign w:val="center"/>
            <w:hideMark/>
          </w:tcPr>
          <w:p w14:paraId="105D2667" w14:textId="77777777" w:rsidR="00F61814" w:rsidRPr="00FC26AB" w:rsidRDefault="00F61814" w:rsidP="00B77C0B">
            <w:pPr>
              <w:pStyle w:val="NoSpacing"/>
              <w:rPr>
                <w:rFonts w:ascii="Times New Roman" w:hAnsi="Times New Roman" w:cs="Times New Roman"/>
                <w:sz w:val="18"/>
                <w:szCs w:val="18"/>
                <w:lang w:eastAsia="en-IN"/>
              </w:rPr>
            </w:pPr>
            <w:r w:rsidRPr="00FC26AB">
              <w:rPr>
                <w:rFonts w:ascii="Times New Roman" w:hAnsi="Times New Roman" w:cs="Times New Roman"/>
                <w:sz w:val="18"/>
                <w:szCs w:val="18"/>
                <w:lang w:eastAsia="en-IN"/>
              </w:rPr>
              <w:t>7</w:t>
            </w:r>
          </w:p>
        </w:tc>
        <w:tc>
          <w:tcPr>
            <w:tcW w:w="696" w:type="dxa"/>
            <w:tcBorders>
              <w:top w:val="nil"/>
              <w:left w:val="nil"/>
              <w:bottom w:val="single" w:sz="4" w:space="0" w:color="auto"/>
              <w:right w:val="single" w:sz="4" w:space="0" w:color="auto"/>
            </w:tcBorders>
            <w:shd w:val="clear" w:color="000000" w:fill="FFFFFF"/>
            <w:vAlign w:val="center"/>
            <w:hideMark/>
          </w:tcPr>
          <w:p w14:paraId="6096FF21" w14:textId="77777777" w:rsidR="00F61814" w:rsidRPr="00FC26AB" w:rsidRDefault="00F61814" w:rsidP="00B77C0B">
            <w:pPr>
              <w:pStyle w:val="NoSpacing"/>
              <w:rPr>
                <w:rFonts w:ascii="Times New Roman" w:hAnsi="Times New Roman" w:cs="Times New Roman"/>
                <w:sz w:val="18"/>
                <w:szCs w:val="18"/>
                <w:lang w:eastAsia="en-IN"/>
              </w:rPr>
            </w:pPr>
            <w:r w:rsidRPr="00FC26AB">
              <w:rPr>
                <w:rFonts w:ascii="Times New Roman" w:hAnsi="Times New Roman" w:cs="Times New Roman"/>
                <w:sz w:val="18"/>
                <w:szCs w:val="18"/>
                <w:lang w:eastAsia="en-IN"/>
              </w:rPr>
              <w:t>6</w:t>
            </w:r>
          </w:p>
        </w:tc>
        <w:tc>
          <w:tcPr>
            <w:tcW w:w="831" w:type="dxa"/>
            <w:tcBorders>
              <w:top w:val="nil"/>
              <w:left w:val="nil"/>
              <w:bottom w:val="single" w:sz="4" w:space="0" w:color="auto"/>
              <w:right w:val="single" w:sz="4" w:space="0" w:color="auto"/>
            </w:tcBorders>
            <w:shd w:val="clear" w:color="000000" w:fill="FFFFFF"/>
            <w:vAlign w:val="center"/>
            <w:hideMark/>
          </w:tcPr>
          <w:p w14:paraId="1BC67A4B" w14:textId="77777777" w:rsidR="00F61814" w:rsidRPr="00FC26AB" w:rsidRDefault="00F61814" w:rsidP="00B77C0B">
            <w:pPr>
              <w:pStyle w:val="NoSpacing"/>
              <w:rPr>
                <w:rFonts w:ascii="Times New Roman" w:hAnsi="Times New Roman" w:cs="Times New Roman"/>
                <w:sz w:val="18"/>
                <w:szCs w:val="18"/>
                <w:lang w:eastAsia="en-IN"/>
              </w:rPr>
            </w:pPr>
            <w:r w:rsidRPr="00FC26AB">
              <w:rPr>
                <w:rFonts w:ascii="Times New Roman" w:hAnsi="Times New Roman" w:cs="Times New Roman"/>
                <w:sz w:val="18"/>
                <w:szCs w:val="18"/>
                <w:lang w:eastAsia="en-IN"/>
              </w:rPr>
              <w:t>7</w:t>
            </w:r>
          </w:p>
        </w:tc>
        <w:tc>
          <w:tcPr>
            <w:tcW w:w="1175" w:type="dxa"/>
            <w:tcBorders>
              <w:top w:val="nil"/>
              <w:left w:val="nil"/>
              <w:bottom w:val="single" w:sz="4" w:space="0" w:color="auto"/>
              <w:right w:val="single" w:sz="4" w:space="0" w:color="auto"/>
            </w:tcBorders>
            <w:shd w:val="clear" w:color="000000" w:fill="FFFFFF"/>
            <w:vAlign w:val="center"/>
            <w:hideMark/>
          </w:tcPr>
          <w:p w14:paraId="284E58E7" w14:textId="77777777" w:rsidR="00F61814" w:rsidRPr="00FC26AB" w:rsidRDefault="00F61814" w:rsidP="00B77C0B">
            <w:pPr>
              <w:pStyle w:val="NoSpacing"/>
              <w:rPr>
                <w:rFonts w:ascii="Times New Roman" w:hAnsi="Times New Roman" w:cs="Times New Roman"/>
                <w:sz w:val="18"/>
                <w:szCs w:val="18"/>
                <w:lang w:eastAsia="en-IN"/>
              </w:rPr>
            </w:pPr>
            <w:r w:rsidRPr="00FC26AB">
              <w:rPr>
                <w:rFonts w:ascii="Times New Roman" w:hAnsi="Times New Roman" w:cs="Times New Roman"/>
                <w:sz w:val="18"/>
                <w:szCs w:val="18"/>
                <w:lang w:eastAsia="en-IN"/>
              </w:rPr>
              <w:t>3</w:t>
            </w:r>
          </w:p>
        </w:tc>
        <w:tc>
          <w:tcPr>
            <w:tcW w:w="766" w:type="dxa"/>
            <w:tcBorders>
              <w:top w:val="nil"/>
              <w:left w:val="nil"/>
              <w:bottom w:val="single" w:sz="4" w:space="0" w:color="auto"/>
              <w:right w:val="single" w:sz="4" w:space="0" w:color="auto"/>
            </w:tcBorders>
            <w:shd w:val="clear" w:color="000000" w:fill="FFFFFF"/>
            <w:vAlign w:val="center"/>
            <w:hideMark/>
          </w:tcPr>
          <w:p w14:paraId="60B55E99" w14:textId="77777777" w:rsidR="00F61814" w:rsidRPr="00FC26AB" w:rsidRDefault="00F61814" w:rsidP="00B77C0B">
            <w:pPr>
              <w:pStyle w:val="NoSpacing"/>
              <w:rPr>
                <w:rFonts w:ascii="Times New Roman" w:hAnsi="Times New Roman" w:cs="Times New Roman"/>
                <w:sz w:val="18"/>
                <w:szCs w:val="18"/>
                <w:lang w:eastAsia="en-IN"/>
              </w:rPr>
            </w:pPr>
            <w:r w:rsidRPr="00FC26AB">
              <w:rPr>
                <w:rFonts w:ascii="Times New Roman" w:hAnsi="Times New Roman" w:cs="Times New Roman"/>
                <w:sz w:val="18"/>
                <w:szCs w:val="18"/>
                <w:lang w:eastAsia="en-IN"/>
              </w:rPr>
              <w:t>6½</w:t>
            </w:r>
          </w:p>
        </w:tc>
        <w:tc>
          <w:tcPr>
            <w:tcW w:w="700" w:type="dxa"/>
            <w:tcBorders>
              <w:top w:val="nil"/>
              <w:left w:val="nil"/>
              <w:bottom w:val="single" w:sz="4" w:space="0" w:color="auto"/>
              <w:right w:val="single" w:sz="4" w:space="0" w:color="auto"/>
            </w:tcBorders>
            <w:shd w:val="clear" w:color="000000" w:fill="FFFFFF"/>
            <w:vAlign w:val="center"/>
            <w:hideMark/>
          </w:tcPr>
          <w:p w14:paraId="28FAF4C4" w14:textId="77777777" w:rsidR="00F61814" w:rsidRPr="00FC26AB" w:rsidRDefault="00F61814" w:rsidP="00B77C0B">
            <w:pPr>
              <w:pStyle w:val="NoSpacing"/>
              <w:rPr>
                <w:rFonts w:ascii="Times New Roman" w:hAnsi="Times New Roman" w:cs="Times New Roman"/>
                <w:sz w:val="18"/>
                <w:szCs w:val="18"/>
                <w:lang w:eastAsia="en-IN"/>
              </w:rPr>
            </w:pPr>
            <w:r w:rsidRPr="00FC26AB">
              <w:rPr>
                <w:rFonts w:ascii="Times New Roman" w:hAnsi="Times New Roman" w:cs="Times New Roman"/>
                <w:sz w:val="18"/>
                <w:szCs w:val="18"/>
                <w:lang w:eastAsia="en-IN"/>
              </w:rPr>
              <w:t>5</w:t>
            </w:r>
          </w:p>
        </w:tc>
        <w:tc>
          <w:tcPr>
            <w:tcW w:w="736" w:type="dxa"/>
            <w:tcBorders>
              <w:top w:val="nil"/>
              <w:left w:val="nil"/>
              <w:bottom w:val="single" w:sz="4" w:space="0" w:color="auto"/>
              <w:right w:val="single" w:sz="4" w:space="0" w:color="auto"/>
            </w:tcBorders>
            <w:shd w:val="clear" w:color="000000" w:fill="FFFFFF"/>
            <w:vAlign w:val="center"/>
            <w:hideMark/>
          </w:tcPr>
          <w:p w14:paraId="3E8CCD3C" w14:textId="77777777" w:rsidR="00F61814" w:rsidRPr="00FC26AB" w:rsidRDefault="00F61814" w:rsidP="00B77C0B">
            <w:pPr>
              <w:pStyle w:val="NoSpacing"/>
              <w:rPr>
                <w:rFonts w:ascii="Times New Roman" w:hAnsi="Times New Roman" w:cs="Times New Roman"/>
                <w:sz w:val="18"/>
                <w:szCs w:val="18"/>
                <w:lang w:eastAsia="en-IN"/>
              </w:rPr>
            </w:pPr>
            <w:r w:rsidRPr="00FC26AB">
              <w:rPr>
                <w:rFonts w:ascii="Times New Roman" w:hAnsi="Times New Roman" w:cs="Times New Roman"/>
                <w:sz w:val="18"/>
                <w:szCs w:val="18"/>
                <w:lang w:eastAsia="en-IN"/>
              </w:rPr>
              <w:t>6</w:t>
            </w:r>
          </w:p>
        </w:tc>
        <w:tc>
          <w:tcPr>
            <w:tcW w:w="1004" w:type="dxa"/>
            <w:tcBorders>
              <w:top w:val="nil"/>
              <w:left w:val="nil"/>
              <w:bottom w:val="single" w:sz="4" w:space="0" w:color="auto"/>
              <w:right w:val="single" w:sz="4" w:space="0" w:color="auto"/>
            </w:tcBorders>
            <w:shd w:val="clear" w:color="000000" w:fill="FFFFFF"/>
            <w:vAlign w:val="center"/>
            <w:hideMark/>
          </w:tcPr>
          <w:p w14:paraId="3AAA3BF5" w14:textId="77777777" w:rsidR="00F61814" w:rsidRPr="00FC26AB" w:rsidRDefault="00F61814" w:rsidP="00B77C0B">
            <w:pPr>
              <w:pStyle w:val="NoSpacing"/>
              <w:rPr>
                <w:rFonts w:ascii="Times New Roman" w:hAnsi="Times New Roman" w:cs="Times New Roman"/>
                <w:sz w:val="18"/>
                <w:szCs w:val="18"/>
                <w:lang w:eastAsia="en-IN"/>
              </w:rPr>
            </w:pPr>
            <w:r w:rsidRPr="00FC26AB">
              <w:rPr>
                <w:rFonts w:ascii="Times New Roman" w:hAnsi="Times New Roman" w:cs="Times New Roman"/>
                <w:sz w:val="18"/>
                <w:szCs w:val="18"/>
                <w:lang w:eastAsia="en-IN"/>
              </w:rPr>
              <w:t>10</w:t>
            </w:r>
          </w:p>
        </w:tc>
        <w:tc>
          <w:tcPr>
            <w:tcW w:w="866" w:type="dxa"/>
            <w:tcBorders>
              <w:top w:val="nil"/>
              <w:left w:val="nil"/>
              <w:bottom w:val="single" w:sz="4" w:space="0" w:color="auto"/>
              <w:right w:val="single" w:sz="4" w:space="0" w:color="auto"/>
            </w:tcBorders>
            <w:shd w:val="clear" w:color="000000" w:fill="FFFFFF"/>
            <w:vAlign w:val="center"/>
            <w:hideMark/>
          </w:tcPr>
          <w:p w14:paraId="2FCAF295" w14:textId="77777777" w:rsidR="00F61814" w:rsidRPr="00FC26AB" w:rsidRDefault="00F61814" w:rsidP="00B77C0B">
            <w:pPr>
              <w:pStyle w:val="NoSpacing"/>
              <w:rPr>
                <w:rFonts w:ascii="Times New Roman" w:hAnsi="Times New Roman" w:cs="Times New Roman"/>
                <w:sz w:val="18"/>
                <w:szCs w:val="18"/>
                <w:lang w:eastAsia="en-IN"/>
              </w:rPr>
            </w:pPr>
            <w:r w:rsidRPr="00FC26AB">
              <w:rPr>
                <w:rFonts w:ascii="Times New Roman" w:hAnsi="Times New Roman" w:cs="Times New Roman"/>
                <w:sz w:val="18"/>
                <w:szCs w:val="18"/>
                <w:lang w:eastAsia="en-IN"/>
              </w:rPr>
              <w:t>7</w:t>
            </w:r>
          </w:p>
        </w:tc>
        <w:tc>
          <w:tcPr>
            <w:tcW w:w="830" w:type="dxa"/>
            <w:tcBorders>
              <w:top w:val="nil"/>
              <w:left w:val="nil"/>
              <w:bottom w:val="single" w:sz="4" w:space="0" w:color="auto"/>
              <w:right w:val="single" w:sz="4" w:space="0" w:color="auto"/>
            </w:tcBorders>
            <w:shd w:val="clear" w:color="000000" w:fill="FFFFFF"/>
            <w:vAlign w:val="center"/>
            <w:hideMark/>
          </w:tcPr>
          <w:p w14:paraId="17C90A09" w14:textId="77777777" w:rsidR="00F61814" w:rsidRPr="00FC26AB" w:rsidRDefault="00F61814" w:rsidP="00B77C0B">
            <w:pPr>
              <w:pStyle w:val="NoSpacing"/>
              <w:rPr>
                <w:rFonts w:ascii="Times New Roman" w:hAnsi="Times New Roman" w:cs="Times New Roman"/>
                <w:sz w:val="18"/>
                <w:szCs w:val="18"/>
                <w:lang w:eastAsia="en-IN"/>
              </w:rPr>
            </w:pPr>
            <w:r w:rsidRPr="00FC26AB">
              <w:rPr>
                <w:rFonts w:ascii="Times New Roman" w:hAnsi="Times New Roman" w:cs="Times New Roman"/>
                <w:sz w:val="18"/>
                <w:szCs w:val="18"/>
                <w:lang w:eastAsia="en-IN"/>
              </w:rPr>
              <w:t>7</w:t>
            </w:r>
          </w:p>
        </w:tc>
        <w:tc>
          <w:tcPr>
            <w:tcW w:w="730" w:type="dxa"/>
            <w:tcBorders>
              <w:top w:val="nil"/>
              <w:left w:val="nil"/>
              <w:bottom w:val="single" w:sz="4" w:space="0" w:color="auto"/>
              <w:right w:val="single" w:sz="4" w:space="0" w:color="auto"/>
            </w:tcBorders>
            <w:shd w:val="clear" w:color="000000" w:fill="FFFFFF"/>
            <w:vAlign w:val="center"/>
            <w:hideMark/>
          </w:tcPr>
          <w:p w14:paraId="1692AED3" w14:textId="77777777" w:rsidR="00F61814" w:rsidRPr="00FC26AB" w:rsidRDefault="00F61814" w:rsidP="00B77C0B">
            <w:pPr>
              <w:pStyle w:val="NoSpacing"/>
              <w:rPr>
                <w:rFonts w:ascii="Times New Roman" w:hAnsi="Times New Roman" w:cs="Times New Roman"/>
                <w:sz w:val="18"/>
                <w:szCs w:val="18"/>
                <w:lang w:eastAsia="en-IN"/>
              </w:rPr>
            </w:pPr>
            <w:r w:rsidRPr="00FC26AB">
              <w:rPr>
                <w:rFonts w:ascii="Times New Roman" w:hAnsi="Times New Roman" w:cs="Times New Roman"/>
                <w:sz w:val="18"/>
                <w:szCs w:val="18"/>
                <w:lang w:eastAsia="en-IN"/>
              </w:rPr>
              <w:t>5</w:t>
            </w:r>
          </w:p>
        </w:tc>
      </w:tr>
      <w:tr w:rsidR="00D75175" w:rsidRPr="00FC26AB" w14:paraId="5B481764" w14:textId="77777777" w:rsidTr="00FC26AB">
        <w:trPr>
          <w:trHeight w:val="20"/>
          <w:jc w:val="center"/>
        </w:trPr>
        <w:tc>
          <w:tcPr>
            <w:tcW w:w="1801" w:type="dxa"/>
            <w:tcBorders>
              <w:top w:val="nil"/>
              <w:left w:val="single" w:sz="4" w:space="0" w:color="auto"/>
              <w:bottom w:val="single" w:sz="4" w:space="0" w:color="auto"/>
              <w:right w:val="single" w:sz="4" w:space="0" w:color="auto"/>
            </w:tcBorders>
            <w:shd w:val="clear" w:color="000000" w:fill="FFFFFF"/>
            <w:vAlign w:val="center"/>
            <w:hideMark/>
          </w:tcPr>
          <w:p w14:paraId="63CA2DBA" w14:textId="77777777" w:rsidR="00F61814" w:rsidRPr="00FC26AB" w:rsidRDefault="00F61814" w:rsidP="00B77C0B">
            <w:pPr>
              <w:pStyle w:val="NoSpacing"/>
              <w:rPr>
                <w:rFonts w:ascii="Times New Roman" w:hAnsi="Times New Roman" w:cs="Times New Roman"/>
                <w:sz w:val="18"/>
                <w:szCs w:val="18"/>
                <w:lang w:eastAsia="en-IN"/>
              </w:rPr>
            </w:pPr>
            <w:r w:rsidRPr="00FC26AB">
              <w:rPr>
                <w:rFonts w:ascii="Times New Roman" w:hAnsi="Times New Roman" w:cs="Times New Roman"/>
                <w:sz w:val="18"/>
                <w:szCs w:val="18"/>
                <w:lang w:eastAsia="en-IN"/>
              </w:rPr>
              <w:t>6.Motor vehicles, parts and accessories</w:t>
            </w:r>
          </w:p>
        </w:tc>
        <w:tc>
          <w:tcPr>
            <w:tcW w:w="842" w:type="dxa"/>
            <w:tcBorders>
              <w:top w:val="nil"/>
              <w:left w:val="nil"/>
              <w:bottom w:val="single" w:sz="4" w:space="0" w:color="auto"/>
              <w:right w:val="single" w:sz="4" w:space="0" w:color="auto"/>
            </w:tcBorders>
            <w:shd w:val="clear" w:color="000000" w:fill="FFFFFF"/>
            <w:vAlign w:val="center"/>
            <w:hideMark/>
          </w:tcPr>
          <w:p w14:paraId="5E492D88" w14:textId="77777777" w:rsidR="00F61814" w:rsidRPr="00FC26AB" w:rsidRDefault="00F61814" w:rsidP="00B77C0B">
            <w:pPr>
              <w:pStyle w:val="NoSpacing"/>
              <w:rPr>
                <w:rFonts w:ascii="Times New Roman" w:hAnsi="Times New Roman" w:cs="Times New Roman"/>
                <w:sz w:val="18"/>
                <w:szCs w:val="18"/>
                <w:lang w:eastAsia="en-IN"/>
              </w:rPr>
            </w:pPr>
            <w:r w:rsidRPr="00FC26AB">
              <w:rPr>
                <w:rFonts w:ascii="Times New Roman" w:hAnsi="Times New Roman" w:cs="Times New Roman"/>
                <w:sz w:val="18"/>
                <w:szCs w:val="18"/>
                <w:lang w:eastAsia="en-IN"/>
              </w:rPr>
              <w:t>10</w:t>
            </w:r>
          </w:p>
        </w:tc>
        <w:tc>
          <w:tcPr>
            <w:tcW w:w="706" w:type="dxa"/>
            <w:tcBorders>
              <w:top w:val="nil"/>
              <w:left w:val="nil"/>
              <w:bottom w:val="single" w:sz="4" w:space="0" w:color="auto"/>
              <w:right w:val="single" w:sz="4" w:space="0" w:color="auto"/>
            </w:tcBorders>
            <w:shd w:val="clear" w:color="000000" w:fill="FFFFFF"/>
            <w:vAlign w:val="center"/>
            <w:hideMark/>
          </w:tcPr>
          <w:p w14:paraId="3864A900" w14:textId="77777777" w:rsidR="00F61814" w:rsidRPr="00FC26AB" w:rsidRDefault="00F61814" w:rsidP="00B77C0B">
            <w:pPr>
              <w:pStyle w:val="NoSpacing"/>
              <w:rPr>
                <w:rFonts w:ascii="Times New Roman" w:hAnsi="Times New Roman" w:cs="Times New Roman"/>
                <w:sz w:val="18"/>
                <w:szCs w:val="18"/>
                <w:lang w:eastAsia="en-IN"/>
              </w:rPr>
            </w:pPr>
            <w:r w:rsidRPr="00FC26AB">
              <w:rPr>
                <w:rFonts w:ascii="Times New Roman" w:hAnsi="Times New Roman" w:cs="Times New Roman"/>
                <w:sz w:val="18"/>
                <w:szCs w:val="18"/>
                <w:lang w:eastAsia="en-IN"/>
              </w:rPr>
              <w:t>12</w:t>
            </w:r>
          </w:p>
        </w:tc>
        <w:tc>
          <w:tcPr>
            <w:tcW w:w="616" w:type="dxa"/>
            <w:tcBorders>
              <w:top w:val="nil"/>
              <w:left w:val="nil"/>
              <w:bottom w:val="single" w:sz="4" w:space="0" w:color="auto"/>
              <w:right w:val="single" w:sz="4" w:space="0" w:color="auto"/>
            </w:tcBorders>
            <w:shd w:val="clear" w:color="000000" w:fill="FFFFFF"/>
            <w:vAlign w:val="center"/>
            <w:hideMark/>
          </w:tcPr>
          <w:p w14:paraId="08B442BD" w14:textId="77777777" w:rsidR="00F61814" w:rsidRPr="00FC26AB" w:rsidRDefault="00F61814" w:rsidP="00B77C0B">
            <w:pPr>
              <w:pStyle w:val="NoSpacing"/>
              <w:rPr>
                <w:rFonts w:ascii="Times New Roman" w:hAnsi="Times New Roman" w:cs="Times New Roman"/>
                <w:sz w:val="18"/>
                <w:szCs w:val="18"/>
                <w:lang w:eastAsia="en-IN"/>
              </w:rPr>
            </w:pPr>
            <w:r w:rsidRPr="00FC26AB">
              <w:rPr>
                <w:rFonts w:ascii="Times New Roman" w:hAnsi="Times New Roman" w:cs="Times New Roman"/>
                <w:sz w:val="18"/>
                <w:szCs w:val="18"/>
                <w:lang w:eastAsia="en-IN"/>
              </w:rPr>
              <w:t>10</w:t>
            </w:r>
          </w:p>
        </w:tc>
        <w:tc>
          <w:tcPr>
            <w:tcW w:w="756" w:type="dxa"/>
            <w:tcBorders>
              <w:top w:val="nil"/>
              <w:left w:val="nil"/>
              <w:bottom w:val="single" w:sz="4" w:space="0" w:color="auto"/>
              <w:right w:val="single" w:sz="4" w:space="0" w:color="auto"/>
            </w:tcBorders>
            <w:shd w:val="clear" w:color="000000" w:fill="FFFFFF"/>
            <w:vAlign w:val="center"/>
            <w:hideMark/>
          </w:tcPr>
          <w:p w14:paraId="0671090E" w14:textId="77777777" w:rsidR="00F61814" w:rsidRPr="00FC26AB" w:rsidRDefault="00F61814" w:rsidP="00B77C0B">
            <w:pPr>
              <w:pStyle w:val="NoSpacing"/>
              <w:rPr>
                <w:rFonts w:ascii="Times New Roman" w:hAnsi="Times New Roman" w:cs="Times New Roman"/>
                <w:sz w:val="18"/>
                <w:szCs w:val="18"/>
                <w:lang w:eastAsia="en-IN"/>
              </w:rPr>
            </w:pPr>
            <w:r w:rsidRPr="00FC26AB">
              <w:rPr>
                <w:rFonts w:ascii="Times New Roman" w:hAnsi="Times New Roman" w:cs="Times New Roman"/>
                <w:sz w:val="18"/>
                <w:szCs w:val="18"/>
                <w:lang w:eastAsia="en-IN"/>
              </w:rPr>
              <w:t>10</w:t>
            </w:r>
          </w:p>
        </w:tc>
        <w:tc>
          <w:tcPr>
            <w:tcW w:w="1355" w:type="dxa"/>
            <w:tcBorders>
              <w:top w:val="nil"/>
              <w:left w:val="nil"/>
              <w:bottom w:val="single" w:sz="4" w:space="0" w:color="auto"/>
              <w:right w:val="single" w:sz="4" w:space="0" w:color="auto"/>
            </w:tcBorders>
            <w:shd w:val="clear" w:color="000000" w:fill="FFFFFF"/>
            <w:vAlign w:val="center"/>
            <w:hideMark/>
          </w:tcPr>
          <w:p w14:paraId="397520FF" w14:textId="77777777" w:rsidR="00F61814" w:rsidRPr="00FC26AB" w:rsidRDefault="00F61814" w:rsidP="00B77C0B">
            <w:pPr>
              <w:pStyle w:val="NoSpacing"/>
              <w:rPr>
                <w:rFonts w:ascii="Times New Roman" w:hAnsi="Times New Roman" w:cs="Times New Roman"/>
                <w:sz w:val="18"/>
                <w:szCs w:val="18"/>
                <w:lang w:eastAsia="en-IN"/>
              </w:rPr>
            </w:pPr>
            <w:r w:rsidRPr="00FC26AB">
              <w:rPr>
                <w:rFonts w:ascii="Times New Roman" w:hAnsi="Times New Roman" w:cs="Times New Roman"/>
                <w:sz w:val="18"/>
                <w:szCs w:val="18"/>
                <w:lang w:eastAsia="en-IN"/>
              </w:rPr>
              <w:t>10</w:t>
            </w:r>
          </w:p>
        </w:tc>
        <w:tc>
          <w:tcPr>
            <w:tcW w:w="916" w:type="dxa"/>
            <w:tcBorders>
              <w:top w:val="nil"/>
              <w:left w:val="nil"/>
              <w:bottom w:val="single" w:sz="4" w:space="0" w:color="auto"/>
              <w:right w:val="single" w:sz="4" w:space="0" w:color="auto"/>
            </w:tcBorders>
            <w:shd w:val="clear" w:color="000000" w:fill="FFFFFF"/>
            <w:vAlign w:val="center"/>
            <w:hideMark/>
          </w:tcPr>
          <w:p w14:paraId="5D7FB857" w14:textId="77777777" w:rsidR="00F61814" w:rsidRPr="00FC26AB" w:rsidRDefault="00F61814" w:rsidP="00B77C0B">
            <w:pPr>
              <w:pStyle w:val="NoSpacing"/>
              <w:rPr>
                <w:rFonts w:ascii="Times New Roman" w:hAnsi="Times New Roman" w:cs="Times New Roman"/>
                <w:sz w:val="18"/>
                <w:szCs w:val="18"/>
                <w:lang w:eastAsia="en-IN"/>
              </w:rPr>
            </w:pPr>
            <w:r w:rsidRPr="00FC26AB">
              <w:rPr>
                <w:rFonts w:ascii="Times New Roman" w:hAnsi="Times New Roman" w:cs="Times New Roman"/>
                <w:sz w:val="18"/>
                <w:szCs w:val="18"/>
                <w:lang w:eastAsia="en-IN"/>
              </w:rPr>
              <w:t>10</w:t>
            </w:r>
          </w:p>
        </w:tc>
        <w:tc>
          <w:tcPr>
            <w:tcW w:w="696" w:type="dxa"/>
            <w:tcBorders>
              <w:top w:val="nil"/>
              <w:left w:val="nil"/>
              <w:bottom w:val="single" w:sz="4" w:space="0" w:color="auto"/>
              <w:right w:val="single" w:sz="4" w:space="0" w:color="auto"/>
            </w:tcBorders>
            <w:shd w:val="clear" w:color="000000" w:fill="FFFFFF"/>
            <w:vAlign w:val="center"/>
            <w:hideMark/>
          </w:tcPr>
          <w:p w14:paraId="07CFDC6B" w14:textId="77777777" w:rsidR="00F61814" w:rsidRPr="00FC26AB" w:rsidRDefault="00F61814" w:rsidP="00B77C0B">
            <w:pPr>
              <w:pStyle w:val="NoSpacing"/>
              <w:rPr>
                <w:rFonts w:ascii="Times New Roman" w:hAnsi="Times New Roman" w:cs="Times New Roman"/>
                <w:sz w:val="18"/>
                <w:szCs w:val="18"/>
                <w:lang w:eastAsia="en-IN"/>
              </w:rPr>
            </w:pPr>
            <w:r w:rsidRPr="00FC26AB">
              <w:rPr>
                <w:rFonts w:ascii="Times New Roman" w:hAnsi="Times New Roman" w:cs="Times New Roman"/>
                <w:sz w:val="18"/>
                <w:szCs w:val="18"/>
                <w:lang w:eastAsia="en-IN"/>
              </w:rPr>
              <w:t>12</w:t>
            </w:r>
          </w:p>
        </w:tc>
        <w:tc>
          <w:tcPr>
            <w:tcW w:w="831" w:type="dxa"/>
            <w:tcBorders>
              <w:top w:val="nil"/>
              <w:left w:val="nil"/>
              <w:bottom w:val="single" w:sz="4" w:space="0" w:color="auto"/>
              <w:right w:val="single" w:sz="4" w:space="0" w:color="auto"/>
            </w:tcBorders>
            <w:shd w:val="clear" w:color="000000" w:fill="FFFFFF"/>
            <w:vAlign w:val="center"/>
            <w:hideMark/>
          </w:tcPr>
          <w:p w14:paraId="4C479D2F" w14:textId="77777777" w:rsidR="00F61814" w:rsidRPr="00FC26AB" w:rsidRDefault="00F61814" w:rsidP="00B77C0B">
            <w:pPr>
              <w:pStyle w:val="NoSpacing"/>
              <w:rPr>
                <w:rFonts w:ascii="Times New Roman" w:hAnsi="Times New Roman" w:cs="Times New Roman"/>
                <w:sz w:val="18"/>
                <w:szCs w:val="18"/>
                <w:lang w:eastAsia="en-IN"/>
              </w:rPr>
            </w:pPr>
            <w:r w:rsidRPr="00FC26AB">
              <w:rPr>
                <w:rFonts w:ascii="Times New Roman" w:hAnsi="Times New Roman" w:cs="Times New Roman"/>
                <w:sz w:val="18"/>
                <w:szCs w:val="18"/>
                <w:lang w:eastAsia="en-IN"/>
              </w:rPr>
              <w:t>11</w:t>
            </w:r>
          </w:p>
        </w:tc>
        <w:tc>
          <w:tcPr>
            <w:tcW w:w="1175" w:type="dxa"/>
            <w:tcBorders>
              <w:top w:val="nil"/>
              <w:left w:val="nil"/>
              <w:bottom w:val="single" w:sz="4" w:space="0" w:color="auto"/>
              <w:right w:val="single" w:sz="4" w:space="0" w:color="auto"/>
            </w:tcBorders>
            <w:shd w:val="clear" w:color="000000" w:fill="FFFFFF"/>
            <w:vAlign w:val="center"/>
            <w:hideMark/>
          </w:tcPr>
          <w:p w14:paraId="7265E345" w14:textId="77777777" w:rsidR="00F61814" w:rsidRPr="00FC26AB" w:rsidRDefault="00F61814" w:rsidP="00B77C0B">
            <w:pPr>
              <w:pStyle w:val="NoSpacing"/>
              <w:rPr>
                <w:rFonts w:ascii="Times New Roman" w:hAnsi="Times New Roman" w:cs="Times New Roman"/>
                <w:sz w:val="18"/>
                <w:szCs w:val="18"/>
                <w:lang w:eastAsia="en-IN"/>
              </w:rPr>
            </w:pPr>
            <w:r w:rsidRPr="00FC26AB">
              <w:rPr>
                <w:rFonts w:ascii="Times New Roman" w:hAnsi="Times New Roman" w:cs="Times New Roman"/>
                <w:sz w:val="18"/>
                <w:szCs w:val="18"/>
                <w:lang w:eastAsia="en-IN"/>
              </w:rPr>
              <w:t>11</w:t>
            </w:r>
          </w:p>
        </w:tc>
        <w:tc>
          <w:tcPr>
            <w:tcW w:w="766" w:type="dxa"/>
            <w:tcBorders>
              <w:top w:val="nil"/>
              <w:left w:val="nil"/>
              <w:bottom w:val="single" w:sz="4" w:space="0" w:color="auto"/>
              <w:right w:val="single" w:sz="4" w:space="0" w:color="auto"/>
            </w:tcBorders>
            <w:shd w:val="clear" w:color="000000" w:fill="FFFFFF"/>
            <w:vAlign w:val="center"/>
            <w:hideMark/>
          </w:tcPr>
          <w:p w14:paraId="49CCCE0B" w14:textId="77777777" w:rsidR="00F61814" w:rsidRPr="00FC26AB" w:rsidRDefault="00F61814" w:rsidP="00B77C0B">
            <w:pPr>
              <w:pStyle w:val="NoSpacing"/>
              <w:rPr>
                <w:rFonts w:ascii="Times New Roman" w:hAnsi="Times New Roman" w:cs="Times New Roman"/>
                <w:sz w:val="18"/>
                <w:szCs w:val="18"/>
                <w:lang w:eastAsia="en-IN"/>
              </w:rPr>
            </w:pPr>
            <w:r w:rsidRPr="00FC26AB">
              <w:rPr>
                <w:rFonts w:ascii="Times New Roman" w:hAnsi="Times New Roman" w:cs="Times New Roman"/>
                <w:sz w:val="18"/>
                <w:szCs w:val="18"/>
                <w:lang w:eastAsia="en-IN"/>
              </w:rPr>
              <w:t>11</w:t>
            </w:r>
          </w:p>
        </w:tc>
        <w:tc>
          <w:tcPr>
            <w:tcW w:w="700" w:type="dxa"/>
            <w:tcBorders>
              <w:top w:val="nil"/>
              <w:left w:val="nil"/>
              <w:bottom w:val="single" w:sz="4" w:space="0" w:color="auto"/>
              <w:right w:val="single" w:sz="4" w:space="0" w:color="auto"/>
            </w:tcBorders>
            <w:shd w:val="clear" w:color="000000" w:fill="FFFFFF"/>
            <w:vAlign w:val="center"/>
            <w:hideMark/>
          </w:tcPr>
          <w:p w14:paraId="51095F20" w14:textId="77777777" w:rsidR="00F61814" w:rsidRPr="00FC26AB" w:rsidRDefault="00F61814" w:rsidP="00B77C0B">
            <w:pPr>
              <w:pStyle w:val="NoSpacing"/>
              <w:rPr>
                <w:rFonts w:ascii="Times New Roman" w:hAnsi="Times New Roman" w:cs="Times New Roman"/>
                <w:sz w:val="18"/>
                <w:szCs w:val="18"/>
                <w:lang w:eastAsia="en-IN"/>
              </w:rPr>
            </w:pPr>
            <w:r w:rsidRPr="00FC26AB">
              <w:rPr>
                <w:rFonts w:ascii="Times New Roman" w:hAnsi="Times New Roman" w:cs="Times New Roman"/>
                <w:sz w:val="18"/>
                <w:szCs w:val="18"/>
                <w:lang w:eastAsia="en-IN"/>
              </w:rPr>
              <w:t>10</w:t>
            </w:r>
          </w:p>
        </w:tc>
        <w:tc>
          <w:tcPr>
            <w:tcW w:w="736" w:type="dxa"/>
            <w:tcBorders>
              <w:top w:val="nil"/>
              <w:left w:val="nil"/>
              <w:bottom w:val="single" w:sz="4" w:space="0" w:color="auto"/>
              <w:right w:val="single" w:sz="4" w:space="0" w:color="auto"/>
            </w:tcBorders>
            <w:shd w:val="clear" w:color="000000" w:fill="FFFFFF"/>
            <w:vAlign w:val="center"/>
            <w:hideMark/>
          </w:tcPr>
          <w:p w14:paraId="6F933460" w14:textId="77777777" w:rsidR="00F61814" w:rsidRPr="00FC26AB" w:rsidRDefault="00F61814" w:rsidP="00B77C0B">
            <w:pPr>
              <w:pStyle w:val="NoSpacing"/>
              <w:rPr>
                <w:rFonts w:ascii="Times New Roman" w:hAnsi="Times New Roman" w:cs="Times New Roman"/>
                <w:sz w:val="18"/>
                <w:szCs w:val="18"/>
                <w:lang w:eastAsia="en-IN"/>
              </w:rPr>
            </w:pPr>
            <w:r w:rsidRPr="00FC26AB">
              <w:rPr>
                <w:rFonts w:ascii="Times New Roman" w:hAnsi="Times New Roman" w:cs="Times New Roman"/>
                <w:sz w:val="18"/>
                <w:szCs w:val="18"/>
                <w:lang w:eastAsia="en-IN"/>
              </w:rPr>
              <w:t>10</w:t>
            </w:r>
          </w:p>
        </w:tc>
        <w:tc>
          <w:tcPr>
            <w:tcW w:w="1004" w:type="dxa"/>
            <w:tcBorders>
              <w:top w:val="nil"/>
              <w:left w:val="nil"/>
              <w:bottom w:val="single" w:sz="4" w:space="0" w:color="auto"/>
              <w:right w:val="single" w:sz="4" w:space="0" w:color="auto"/>
            </w:tcBorders>
            <w:shd w:val="clear" w:color="000000" w:fill="FFFFFF"/>
            <w:vAlign w:val="center"/>
            <w:hideMark/>
          </w:tcPr>
          <w:p w14:paraId="7D4D3A56" w14:textId="77777777" w:rsidR="00F61814" w:rsidRPr="00FC26AB" w:rsidRDefault="00F61814" w:rsidP="00B77C0B">
            <w:pPr>
              <w:pStyle w:val="NoSpacing"/>
              <w:rPr>
                <w:rFonts w:ascii="Times New Roman" w:hAnsi="Times New Roman" w:cs="Times New Roman"/>
                <w:sz w:val="18"/>
                <w:szCs w:val="18"/>
                <w:lang w:eastAsia="en-IN"/>
              </w:rPr>
            </w:pPr>
            <w:r w:rsidRPr="00FC26AB">
              <w:rPr>
                <w:rFonts w:ascii="Times New Roman" w:hAnsi="Times New Roman" w:cs="Times New Roman"/>
                <w:sz w:val="18"/>
                <w:szCs w:val="18"/>
                <w:lang w:eastAsia="en-IN"/>
              </w:rPr>
              <w:t>10</w:t>
            </w:r>
          </w:p>
        </w:tc>
        <w:tc>
          <w:tcPr>
            <w:tcW w:w="866" w:type="dxa"/>
            <w:tcBorders>
              <w:top w:val="nil"/>
              <w:left w:val="nil"/>
              <w:bottom w:val="single" w:sz="4" w:space="0" w:color="auto"/>
              <w:right w:val="single" w:sz="4" w:space="0" w:color="auto"/>
            </w:tcBorders>
            <w:shd w:val="clear" w:color="000000" w:fill="FFFFFF"/>
            <w:vAlign w:val="center"/>
            <w:hideMark/>
          </w:tcPr>
          <w:p w14:paraId="16C3F200" w14:textId="77777777" w:rsidR="00F61814" w:rsidRPr="00FC26AB" w:rsidRDefault="00F61814" w:rsidP="00B77C0B">
            <w:pPr>
              <w:pStyle w:val="NoSpacing"/>
              <w:rPr>
                <w:rFonts w:ascii="Times New Roman" w:hAnsi="Times New Roman" w:cs="Times New Roman"/>
                <w:sz w:val="18"/>
                <w:szCs w:val="18"/>
                <w:lang w:eastAsia="en-IN"/>
              </w:rPr>
            </w:pPr>
            <w:r w:rsidRPr="00FC26AB">
              <w:rPr>
                <w:rFonts w:ascii="Times New Roman" w:hAnsi="Times New Roman" w:cs="Times New Roman"/>
                <w:sz w:val="18"/>
                <w:szCs w:val="18"/>
                <w:lang w:eastAsia="en-IN"/>
              </w:rPr>
              <w:t>12</w:t>
            </w:r>
          </w:p>
        </w:tc>
        <w:tc>
          <w:tcPr>
            <w:tcW w:w="830" w:type="dxa"/>
            <w:tcBorders>
              <w:top w:val="nil"/>
              <w:left w:val="nil"/>
              <w:bottom w:val="single" w:sz="4" w:space="0" w:color="auto"/>
              <w:right w:val="single" w:sz="4" w:space="0" w:color="auto"/>
            </w:tcBorders>
            <w:shd w:val="clear" w:color="000000" w:fill="FFFFFF"/>
            <w:vAlign w:val="center"/>
            <w:hideMark/>
          </w:tcPr>
          <w:p w14:paraId="7627AE1B" w14:textId="77777777" w:rsidR="00F61814" w:rsidRPr="00FC26AB" w:rsidRDefault="00F61814" w:rsidP="00B77C0B">
            <w:pPr>
              <w:pStyle w:val="NoSpacing"/>
              <w:rPr>
                <w:rFonts w:ascii="Times New Roman" w:hAnsi="Times New Roman" w:cs="Times New Roman"/>
                <w:sz w:val="18"/>
                <w:szCs w:val="18"/>
                <w:lang w:eastAsia="en-IN"/>
              </w:rPr>
            </w:pPr>
            <w:r w:rsidRPr="00FC26AB">
              <w:rPr>
                <w:rFonts w:ascii="Times New Roman" w:hAnsi="Times New Roman" w:cs="Times New Roman"/>
                <w:sz w:val="18"/>
                <w:szCs w:val="18"/>
                <w:lang w:eastAsia="en-IN"/>
              </w:rPr>
              <w:t>10</w:t>
            </w:r>
          </w:p>
        </w:tc>
        <w:tc>
          <w:tcPr>
            <w:tcW w:w="730" w:type="dxa"/>
            <w:tcBorders>
              <w:top w:val="nil"/>
              <w:left w:val="nil"/>
              <w:bottom w:val="single" w:sz="4" w:space="0" w:color="auto"/>
              <w:right w:val="single" w:sz="4" w:space="0" w:color="auto"/>
            </w:tcBorders>
            <w:shd w:val="clear" w:color="000000" w:fill="FFFFFF"/>
            <w:vAlign w:val="center"/>
            <w:hideMark/>
          </w:tcPr>
          <w:p w14:paraId="6B4F4648" w14:textId="77777777" w:rsidR="00F61814" w:rsidRPr="00FC26AB" w:rsidRDefault="00F61814" w:rsidP="00B77C0B">
            <w:pPr>
              <w:pStyle w:val="NoSpacing"/>
              <w:rPr>
                <w:rFonts w:ascii="Times New Roman" w:hAnsi="Times New Roman" w:cs="Times New Roman"/>
                <w:sz w:val="18"/>
                <w:szCs w:val="18"/>
                <w:lang w:eastAsia="en-IN"/>
              </w:rPr>
            </w:pPr>
            <w:r w:rsidRPr="00FC26AB">
              <w:rPr>
                <w:rFonts w:ascii="Times New Roman" w:hAnsi="Times New Roman" w:cs="Times New Roman"/>
                <w:sz w:val="18"/>
                <w:szCs w:val="18"/>
                <w:lang w:eastAsia="en-IN"/>
              </w:rPr>
              <w:t>12</w:t>
            </w:r>
          </w:p>
        </w:tc>
      </w:tr>
      <w:tr w:rsidR="00D75175" w:rsidRPr="00FC26AB" w14:paraId="74409986" w14:textId="77777777" w:rsidTr="00FC26AB">
        <w:trPr>
          <w:trHeight w:val="20"/>
          <w:jc w:val="center"/>
        </w:trPr>
        <w:tc>
          <w:tcPr>
            <w:tcW w:w="1801" w:type="dxa"/>
            <w:tcBorders>
              <w:top w:val="nil"/>
              <w:left w:val="single" w:sz="4" w:space="0" w:color="auto"/>
              <w:bottom w:val="single" w:sz="4" w:space="0" w:color="auto"/>
              <w:right w:val="single" w:sz="4" w:space="0" w:color="auto"/>
            </w:tcBorders>
            <w:shd w:val="clear" w:color="000000" w:fill="FFFFFF"/>
            <w:vAlign w:val="center"/>
            <w:hideMark/>
          </w:tcPr>
          <w:p w14:paraId="77B62C12" w14:textId="77777777" w:rsidR="00F61814" w:rsidRPr="00FC26AB" w:rsidRDefault="00F61814" w:rsidP="00B77C0B">
            <w:pPr>
              <w:pStyle w:val="NoSpacing"/>
              <w:rPr>
                <w:rFonts w:ascii="Times New Roman" w:hAnsi="Times New Roman" w:cs="Times New Roman"/>
                <w:sz w:val="18"/>
                <w:szCs w:val="18"/>
                <w:lang w:eastAsia="en-IN"/>
              </w:rPr>
            </w:pPr>
            <w:r w:rsidRPr="00FC26AB">
              <w:rPr>
                <w:rFonts w:ascii="Times New Roman" w:hAnsi="Times New Roman" w:cs="Times New Roman"/>
                <w:sz w:val="18"/>
                <w:szCs w:val="18"/>
                <w:lang w:eastAsia="en-IN"/>
              </w:rPr>
              <w:t>7.Tyres and Tubes</w:t>
            </w:r>
          </w:p>
        </w:tc>
        <w:tc>
          <w:tcPr>
            <w:tcW w:w="842" w:type="dxa"/>
            <w:tcBorders>
              <w:top w:val="nil"/>
              <w:left w:val="nil"/>
              <w:bottom w:val="single" w:sz="4" w:space="0" w:color="auto"/>
              <w:right w:val="single" w:sz="4" w:space="0" w:color="auto"/>
            </w:tcBorders>
            <w:shd w:val="clear" w:color="000000" w:fill="FFFFFF"/>
            <w:vAlign w:val="center"/>
            <w:hideMark/>
          </w:tcPr>
          <w:p w14:paraId="22C59917" w14:textId="77777777" w:rsidR="00F61814" w:rsidRPr="00FC26AB" w:rsidRDefault="00F61814" w:rsidP="00B77C0B">
            <w:pPr>
              <w:pStyle w:val="NoSpacing"/>
              <w:rPr>
                <w:rFonts w:ascii="Times New Roman" w:hAnsi="Times New Roman" w:cs="Times New Roman"/>
                <w:sz w:val="18"/>
                <w:szCs w:val="18"/>
                <w:lang w:eastAsia="en-IN"/>
              </w:rPr>
            </w:pPr>
            <w:r w:rsidRPr="00FC26AB">
              <w:rPr>
                <w:rFonts w:ascii="Times New Roman" w:hAnsi="Times New Roman" w:cs="Times New Roman"/>
                <w:sz w:val="18"/>
                <w:szCs w:val="18"/>
                <w:lang w:eastAsia="en-IN"/>
              </w:rPr>
              <w:t>10</w:t>
            </w:r>
          </w:p>
        </w:tc>
        <w:tc>
          <w:tcPr>
            <w:tcW w:w="706" w:type="dxa"/>
            <w:tcBorders>
              <w:top w:val="nil"/>
              <w:left w:val="nil"/>
              <w:bottom w:val="single" w:sz="4" w:space="0" w:color="auto"/>
              <w:right w:val="single" w:sz="4" w:space="0" w:color="auto"/>
            </w:tcBorders>
            <w:shd w:val="clear" w:color="000000" w:fill="FFFFFF"/>
            <w:vAlign w:val="center"/>
            <w:hideMark/>
          </w:tcPr>
          <w:p w14:paraId="118EC639" w14:textId="77777777" w:rsidR="00F61814" w:rsidRPr="00FC26AB" w:rsidRDefault="00F61814" w:rsidP="00B77C0B">
            <w:pPr>
              <w:pStyle w:val="NoSpacing"/>
              <w:rPr>
                <w:rFonts w:ascii="Times New Roman" w:hAnsi="Times New Roman" w:cs="Times New Roman"/>
                <w:sz w:val="18"/>
                <w:szCs w:val="18"/>
                <w:lang w:eastAsia="en-IN"/>
              </w:rPr>
            </w:pPr>
            <w:r w:rsidRPr="00FC26AB">
              <w:rPr>
                <w:rFonts w:ascii="Times New Roman" w:hAnsi="Times New Roman" w:cs="Times New Roman"/>
                <w:sz w:val="18"/>
                <w:szCs w:val="18"/>
                <w:lang w:eastAsia="en-IN"/>
              </w:rPr>
              <w:t>12</w:t>
            </w:r>
          </w:p>
        </w:tc>
        <w:tc>
          <w:tcPr>
            <w:tcW w:w="616" w:type="dxa"/>
            <w:tcBorders>
              <w:top w:val="nil"/>
              <w:left w:val="nil"/>
              <w:bottom w:val="single" w:sz="4" w:space="0" w:color="auto"/>
              <w:right w:val="single" w:sz="4" w:space="0" w:color="auto"/>
            </w:tcBorders>
            <w:shd w:val="clear" w:color="000000" w:fill="FFFFFF"/>
            <w:vAlign w:val="center"/>
            <w:hideMark/>
          </w:tcPr>
          <w:p w14:paraId="2D573B65" w14:textId="77777777" w:rsidR="00F61814" w:rsidRPr="00FC26AB" w:rsidRDefault="00F61814" w:rsidP="00B77C0B">
            <w:pPr>
              <w:pStyle w:val="NoSpacing"/>
              <w:rPr>
                <w:rFonts w:ascii="Times New Roman" w:hAnsi="Times New Roman" w:cs="Times New Roman"/>
                <w:sz w:val="18"/>
                <w:szCs w:val="18"/>
                <w:lang w:eastAsia="en-IN"/>
              </w:rPr>
            </w:pPr>
            <w:r w:rsidRPr="00FC26AB">
              <w:rPr>
                <w:rFonts w:ascii="Times New Roman" w:hAnsi="Times New Roman" w:cs="Times New Roman"/>
                <w:sz w:val="18"/>
                <w:szCs w:val="18"/>
                <w:lang w:eastAsia="en-IN"/>
              </w:rPr>
              <w:t>10</w:t>
            </w:r>
          </w:p>
        </w:tc>
        <w:tc>
          <w:tcPr>
            <w:tcW w:w="756" w:type="dxa"/>
            <w:tcBorders>
              <w:top w:val="nil"/>
              <w:left w:val="nil"/>
              <w:bottom w:val="single" w:sz="4" w:space="0" w:color="auto"/>
              <w:right w:val="single" w:sz="4" w:space="0" w:color="auto"/>
            </w:tcBorders>
            <w:shd w:val="clear" w:color="000000" w:fill="FFFFFF"/>
            <w:vAlign w:val="center"/>
            <w:hideMark/>
          </w:tcPr>
          <w:p w14:paraId="068E5E7F" w14:textId="77777777" w:rsidR="00F61814" w:rsidRPr="00FC26AB" w:rsidRDefault="00F61814" w:rsidP="00B77C0B">
            <w:pPr>
              <w:pStyle w:val="NoSpacing"/>
              <w:rPr>
                <w:rFonts w:ascii="Times New Roman" w:hAnsi="Times New Roman" w:cs="Times New Roman"/>
                <w:sz w:val="18"/>
                <w:szCs w:val="18"/>
                <w:lang w:eastAsia="en-IN"/>
              </w:rPr>
            </w:pPr>
            <w:r w:rsidRPr="00FC26AB">
              <w:rPr>
                <w:rFonts w:ascii="Times New Roman" w:hAnsi="Times New Roman" w:cs="Times New Roman"/>
                <w:sz w:val="18"/>
                <w:szCs w:val="18"/>
                <w:lang w:eastAsia="en-IN"/>
              </w:rPr>
              <w:t>Car: 10</w:t>
            </w:r>
          </w:p>
          <w:p w14:paraId="1ECBE895" w14:textId="77777777" w:rsidR="00F61814" w:rsidRPr="00FC26AB" w:rsidRDefault="00F61814" w:rsidP="00B77C0B">
            <w:pPr>
              <w:pStyle w:val="NoSpacing"/>
              <w:rPr>
                <w:rFonts w:ascii="Times New Roman" w:hAnsi="Times New Roman" w:cs="Times New Roman"/>
                <w:sz w:val="18"/>
                <w:szCs w:val="18"/>
                <w:lang w:eastAsia="en-IN"/>
              </w:rPr>
            </w:pPr>
            <w:r w:rsidRPr="00FC26AB">
              <w:rPr>
                <w:rFonts w:ascii="Times New Roman" w:hAnsi="Times New Roman" w:cs="Times New Roman"/>
                <w:sz w:val="18"/>
                <w:szCs w:val="18"/>
                <w:lang w:eastAsia="en-IN"/>
              </w:rPr>
              <w:t>Cycle: 7</w:t>
            </w:r>
          </w:p>
        </w:tc>
        <w:tc>
          <w:tcPr>
            <w:tcW w:w="1355" w:type="dxa"/>
            <w:tcBorders>
              <w:top w:val="nil"/>
              <w:left w:val="nil"/>
              <w:bottom w:val="single" w:sz="4" w:space="0" w:color="auto"/>
              <w:right w:val="single" w:sz="4" w:space="0" w:color="auto"/>
            </w:tcBorders>
            <w:shd w:val="clear" w:color="000000" w:fill="FFFFFF"/>
            <w:vAlign w:val="center"/>
            <w:hideMark/>
          </w:tcPr>
          <w:p w14:paraId="0FA669AF" w14:textId="77777777" w:rsidR="00F61814" w:rsidRPr="00FC26AB" w:rsidRDefault="00F61814" w:rsidP="00B77C0B">
            <w:pPr>
              <w:pStyle w:val="NoSpacing"/>
              <w:rPr>
                <w:rFonts w:ascii="Times New Roman" w:hAnsi="Times New Roman" w:cs="Times New Roman"/>
                <w:sz w:val="18"/>
                <w:szCs w:val="18"/>
                <w:lang w:eastAsia="en-IN"/>
              </w:rPr>
            </w:pPr>
            <w:r w:rsidRPr="00FC26AB">
              <w:rPr>
                <w:rFonts w:ascii="Times New Roman" w:hAnsi="Times New Roman" w:cs="Times New Roman"/>
                <w:sz w:val="18"/>
                <w:szCs w:val="18"/>
                <w:lang w:eastAsia="en-IN"/>
              </w:rPr>
              <w:t>10</w:t>
            </w:r>
          </w:p>
        </w:tc>
        <w:tc>
          <w:tcPr>
            <w:tcW w:w="916" w:type="dxa"/>
            <w:tcBorders>
              <w:top w:val="nil"/>
              <w:left w:val="nil"/>
              <w:bottom w:val="single" w:sz="4" w:space="0" w:color="auto"/>
              <w:right w:val="single" w:sz="4" w:space="0" w:color="auto"/>
            </w:tcBorders>
            <w:shd w:val="clear" w:color="000000" w:fill="FFFFFF"/>
            <w:vAlign w:val="center"/>
            <w:hideMark/>
          </w:tcPr>
          <w:p w14:paraId="7E3111F9" w14:textId="77777777" w:rsidR="00F61814" w:rsidRPr="00FC26AB" w:rsidRDefault="00F61814" w:rsidP="00B77C0B">
            <w:pPr>
              <w:pStyle w:val="NoSpacing"/>
              <w:rPr>
                <w:rFonts w:ascii="Times New Roman" w:hAnsi="Times New Roman" w:cs="Times New Roman"/>
                <w:sz w:val="18"/>
                <w:szCs w:val="18"/>
                <w:lang w:eastAsia="en-IN"/>
              </w:rPr>
            </w:pPr>
            <w:r w:rsidRPr="00FC26AB">
              <w:rPr>
                <w:rFonts w:ascii="Times New Roman" w:hAnsi="Times New Roman" w:cs="Times New Roman"/>
                <w:sz w:val="18"/>
                <w:szCs w:val="18"/>
                <w:lang w:eastAsia="en-IN"/>
              </w:rPr>
              <w:t>8</w:t>
            </w:r>
          </w:p>
        </w:tc>
        <w:tc>
          <w:tcPr>
            <w:tcW w:w="696" w:type="dxa"/>
            <w:tcBorders>
              <w:top w:val="nil"/>
              <w:left w:val="nil"/>
              <w:bottom w:val="single" w:sz="4" w:space="0" w:color="auto"/>
              <w:right w:val="single" w:sz="4" w:space="0" w:color="auto"/>
            </w:tcBorders>
            <w:shd w:val="clear" w:color="000000" w:fill="FFFFFF"/>
            <w:vAlign w:val="center"/>
            <w:hideMark/>
          </w:tcPr>
          <w:p w14:paraId="3B8B6E86" w14:textId="77777777" w:rsidR="00F61814" w:rsidRPr="00FC26AB" w:rsidRDefault="00F61814" w:rsidP="00B77C0B">
            <w:pPr>
              <w:pStyle w:val="NoSpacing"/>
              <w:rPr>
                <w:rFonts w:ascii="Times New Roman" w:hAnsi="Times New Roman" w:cs="Times New Roman"/>
                <w:sz w:val="18"/>
                <w:szCs w:val="18"/>
                <w:lang w:eastAsia="en-IN"/>
              </w:rPr>
            </w:pPr>
            <w:r w:rsidRPr="00FC26AB">
              <w:rPr>
                <w:rFonts w:ascii="Times New Roman" w:hAnsi="Times New Roman" w:cs="Times New Roman"/>
                <w:sz w:val="18"/>
                <w:szCs w:val="18"/>
                <w:lang w:eastAsia="en-IN"/>
              </w:rPr>
              <w:t>Car: 12</w:t>
            </w:r>
          </w:p>
          <w:p w14:paraId="6F1BE843" w14:textId="77777777" w:rsidR="00F61814" w:rsidRPr="00FC26AB" w:rsidRDefault="00F61814" w:rsidP="00B77C0B">
            <w:pPr>
              <w:pStyle w:val="NoSpacing"/>
              <w:rPr>
                <w:rFonts w:ascii="Times New Roman" w:hAnsi="Times New Roman" w:cs="Times New Roman"/>
                <w:sz w:val="18"/>
                <w:szCs w:val="18"/>
                <w:lang w:eastAsia="en-IN"/>
              </w:rPr>
            </w:pPr>
            <w:r w:rsidRPr="00FC26AB">
              <w:rPr>
                <w:rFonts w:ascii="Times New Roman" w:hAnsi="Times New Roman" w:cs="Times New Roman"/>
                <w:sz w:val="18"/>
                <w:szCs w:val="18"/>
                <w:lang w:eastAsia="en-IN"/>
              </w:rPr>
              <w:t>Cycle: 5</w:t>
            </w:r>
          </w:p>
        </w:tc>
        <w:tc>
          <w:tcPr>
            <w:tcW w:w="831" w:type="dxa"/>
            <w:tcBorders>
              <w:top w:val="nil"/>
              <w:left w:val="nil"/>
              <w:bottom w:val="single" w:sz="4" w:space="0" w:color="auto"/>
              <w:right w:val="single" w:sz="4" w:space="0" w:color="auto"/>
            </w:tcBorders>
            <w:shd w:val="clear" w:color="000000" w:fill="FFFFFF"/>
            <w:vAlign w:val="center"/>
            <w:hideMark/>
          </w:tcPr>
          <w:p w14:paraId="1CAA4D86" w14:textId="77777777" w:rsidR="00F61814" w:rsidRPr="00FC26AB" w:rsidRDefault="00F61814" w:rsidP="00B77C0B">
            <w:pPr>
              <w:pStyle w:val="NoSpacing"/>
              <w:rPr>
                <w:rFonts w:ascii="Times New Roman" w:hAnsi="Times New Roman" w:cs="Times New Roman"/>
                <w:sz w:val="18"/>
                <w:szCs w:val="18"/>
                <w:lang w:eastAsia="en-IN"/>
              </w:rPr>
            </w:pPr>
            <w:r w:rsidRPr="00FC26AB">
              <w:rPr>
                <w:rFonts w:ascii="Times New Roman" w:hAnsi="Times New Roman" w:cs="Times New Roman"/>
                <w:sz w:val="18"/>
                <w:szCs w:val="18"/>
                <w:lang w:eastAsia="en-IN"/>
              </w:rPr>
              <w:t>11</w:t>
            </w:r>
          </w:p>
        </w:tc>
        <w:tc>
          <w:tcPr>
            <w:tcW w:w="1175" w:type="dxa"/>
            <w:tcBorders>
              <w:top w:val="nil"/>
              <w:left w:val="nil"/>
              <w:bottom w:val="single" w:sz="4" w:space="0" w:color="auto"/>
              <w:right w:val="single" w:sz="4" w:space="0" w:color="auto"/>
            </w:tcBorders>
            <w:shd w:val="clear" w:color="000000" w:fill="FFFFFF"/>
            <w:vAlign w:val="center"/>
            <w:hideMark/>
          </w:tcPr>
          <w:p w14:paraId="4C6CD8D5" w14:textId="77777777" w:rsidR="00F61814" w:rsidRPr="00FC26AB" w:rsidRDefault="00F61814" w:rsidP="00B77C0B">
            <w:pPr>
              <w:pStyle w:val="NoSpacing"/>
              <w:rPr>
                <w:rFonts w:ascii="Times New Roman" w:hAnsi="Times New Roman" w:cs="Times New Roman"/>
                <w:sz w:val="18"/>
                <w:szCs w:val="18"/>
                <w:lang w:eastAsia="en-IN"/>
              </w:rPr>
            </w:pPr>
            <w:r w:rsidRPr="00FC26AB">
              <w:rPr>
                <w:rFonts w:ascii="Times New Roman" w:hAnsi="Times New Roman" w:cs="Times New Roman"/>
                <w:sz w:val="18"/>
                <w:szCs w:val="18"/>
                <w:lang w:eastAsia="en-IN"/>
              </w:rPr>
              <w:t>Car: 11</w:t>
            </w:r>
          </w:p>
          <w:p w14:paraId="06C74457" w14:textId="77777777" w:rsidR="00F61814" w:rsidRPr="00FC26AB" w:rsidRDefault="00F61814" w:rsidP="00B77C0B">
            <w:pPr>
              <w:pStyle w:val="NoSpacing"/>
              <w:rPr>
                <w:rFonts w:ascii="Times New Roman" w:hAnsi="Times New Roman" w:cs="Times New Roman"/>
                <w:sz w:val="18"/>
                <w:szCs w:val="18"/>
                <w:lang w:eastAsia="en-IN"/>
              </w:rPr>
            </w:pPr>
            <w:r w:rsidRPr="00FC26AB">
              <w:rPr>
                <w:rFonts w:ascii="Times New Roman" w:hAnsi="Times New Roman" w:cs="Times New Roman"/>
                <w:sz w:val="18"/>
                <w:szCs w:val="18"/>
                <w:lang w:eastAsia="en-IN"/>
              </w:rPr>
              <w:t>Cycle: 7</w:t>
            </w:r>
          </w:p>
        </w:tc>
        <w:tc>
          <w:tcPr>
            <w:tcW w:w="766" w:type="dxa"/>
            <w:tcBorders>
              <w:top w:val="nil"/>
              <w:left w:val="nil"/>
              <w:bottom w:val="single" w:sz="4" w:space="0" w:color="auto"/>
              <w:right w:val="single" w:sz="4" w:space="0" w:color="auto"/>
            </w:tcBorders>
            <w:shd w:val="clear" w:color="000000" w:fill="FFFFFF"/>
            <w:vAlign w:val="center"/>
            <w:hideMark/>
          </w:tcPr>
          <w:p w14:paraId="259572BB" w14:textId="77777777" w:rsidR="00F61814" w:rsidRPr="00FC26AB" w:rsidRDefault="00F61814" w:rsidP="00B77C0B">
            <w:pPr>
              <w:pStyle w:val="NoSpacing"/>
              <w:rPr>
                <w:rFonts w:ascii="Times New Roman" w:hAnsi="Times New Roman" w:cs="Times New Roman"/>
                <w:sz w:val="18"/>
                <w:szCs w:val="18"/>
                <w:lang w:eastAsia="en-IN"/>
              </w:rPr>
            </w:pPr>
            <w:r w:rsidRPr="00FC26AB">
              <w:rPr>
                <w:rFonts w:ascii="Times New Roman" w:hAnsi="Times New Roman" w:cs="Times New Roman"/>
                <w:sz w:val="18"/>
                <w:szCs w:val="18"/>
                <w:lang w:eastAsia="en-IN"/>
              </w:rPr>
              <w:t>11</w:t>
            </w:r>
          </w:p>
        </w:tc>
        <w:tc>
          <w:tcPr>
            <w:tcW w:w="700" w:type="dxa"/>
            <w:tcBorders>
              <w:top w:val="nil"/>
              <w:left w:val="nil"/>
              <w:bottom w:val="single" w:sz="4" w:space="0" w:color="auto"/>
              <w:right w:val="single" w:sz="4" w:space="0" w:color="auto"/>
            </w:tcBorders>
            <w:shd w:val="clear" w:color="000000" w:fill="FFFFFF"/>
            <w:vAlign w:val="center"/>
            <w:hideMark/>
          </w:tcPr>
          <w:p w14:paraId="715F4174" w14:textId="77777777" w:rsidR="00F61814" w:rsidRPr="00FC26AB" w:rsidRDefault="00F61814" w:rsidP="00B77C0B">
            <w:pPr>
              <w:pStyle w:val="NoSpacing"/>
              <w:rPr>
                <w:rFonts w:ascii="Times New Roman" w:hAnsi="Times New Roman" w:cs="Times New Roman"/>
                <w:sz w:val="18"/>
                <w:szCs w:val="18"/>
                <w:lang w:eastAsia="en-IN"/>
              </w:rPr>
            </w:pPr>
            <w:r w:rsidRPr="00FC26AB">
              <w:rPr>
                <w:rFonts w:ascii="Times New Roman" w:hAnsi="Times New Roman" w:cs="Times New Roman"/>
                <w:sz w:val="18"/>
                <w:szCs w:val="18"/>
                <w:lang w:eastAsia="en-IN"/>
              </w:rPr>
              <w:t>7</w:t>
            </w:r>
          </w:p>
        </w:tc>
        <w:tc>
          <w:tcPr>
            <w:tcW w:w="736" w:type="dxa"/>
            <w:tcBorders>
              <w:top w:val="nil"/>
              <w:left w:val="nil"/>
              <w:bottom w:val="single" w:sz="4" w:space="0" w:color="auto"/>
              <w:right w:val="single" w:sz="4" w:space="0" w:color="auto"/>
            </w:tcBorders>
            <w:shd w:val="clear" w:color="000000" w:fill="FFFFFF"/>
            <w:vAlign w:val="center"/>
            <w:hideMark/>
          </w:tcPr>
          <w:p w14:paraId="6E5EF0F4" w14:textId="77777777" w:rsidR="00F61814" w:rsidRPr="00FC26AB" w:rsidRDefault="00F61814" w:rsidP="00B77C0B">
            <w:pPr>
              <w:pStyle w:val="NoSpacing"/>
              <w:rPr>
                <w:rFonts w:ascii="Times New Roman" w:hAnsi="Times New Roman" w:cs="Times New Roman"/>
                <w:sz w:val="18"/>
                <w:szCs w:val="18"/>
                <w:lang w:eastAsia="en-IN"/>
              </w:rPr>
            </w:pPr>
            <w:r w:rsidRPr="00FC26AB">
              <w:rPr>
                <w:rFonts w:ascii="Times New Roman" w:hAnsi="Times New Roman" w:cs="Times New Roman"/>
                <w:sz w:val="18"/>
                <w:szCs w:val="18"/>
                <w:lang w:eastAsia="en-IN"/>
              </w:rPr>
              <w:t>10</w:t>
            </w:r>
          </w:p>
        </w:tc>
        <w:tc>
          <w:tcPr>
            <w:tcW w:w="1004" w:type="dxa"/>
            <w:tcBorders>
              <w:top w:val="nil"/>
              <w:left w:val="nil"/>
              <w:bottom w:val="single" w:sz="4" w:space="0" w:color="auto"/>
              <w:right w:val="single" w:sz="4" w:space="0" w:color="auto"/>
            </w:tcBorders>
            <w:shd w:val="clear" w:color="000000" w:fill="FFFFFF"/>
            <w:vAlign w:val="center"/>
            <w:hideMark/>
          </w:tcPr>
          <w:p w14:paraId="4B4EBD8C" w14:textId="77777777" w:rsidR="00F61814" w:rsidRPr="00FC26AB" w:rsidRDefault="00F61814" w:rsidP="00B77C0B">
            <w:pPr>
              <w:pStyle w:val="NoSpacing"/>
              <w:rPr>
                <w:rFonts w:ascii="Times New Roman" w:hAnsi="Times New Roman" w:cs="Times New Roman"/>
                <w:sz w:val="18"/>
                <w:szCs w:val="18"/>
                <w:lang w:eastAsia="en-IN"/>
              </w:rPr>
            </w:pPr>
            <w:r w:rsidRPr="00FC26AB">
              <w:rPr>
                <w:rFonts w:ascii="Times New Roman" w:hAnsi="Times New Roman" w:cs="Times New Roman"/>
                <w:sz w:val="18"/>
                <w:szCs w:val="18"/>
                <w:lang w:eastAsia="en-IN"/>
              </w:rPr>
              <w:t>Car: 10</w:t>
            </w:r>
          </w:p>
          <w:p w14:paraId="26CA75E8" w14:textId="77777777" w:rsidR="00F61814" w:rsidRPr="00FC26AB" w:rsidRDefault="00F61814" w:rsidP="00B77C0B">
            <w:pPr>
              <w:pStyle w:val="NoSpacing"/>
              <w:rPr>
                <w:rFonts w:ascii="Times New Roman" w:hAnsi="Times New Roman" w:cs="Times New Roman"/>
                <w:sz w:val="18"/>
                <w:szCs w:val="18"/>
                <w:lang w:eastAsia="en-IN"/>
              </w:rPr>
            </w:pPr>
            <w:r w:rsidRPr="00FC26AB">
              <w:rPr>
                <w:rFonts w:ascii="Times New Roman" w:hAnsi="Times New Roman" w:cs="Times New Roman"/>
                <w:sz w:val="18"/>
                <w:szCs w:val="18"/>
                <w:lang w:eastAsia="en-IN"/>
              </w:rPr>
              <w:t>Cycle &amp; Tractor: 7</w:t>
            </w:r>
          </w:p>
        </w:tc>
        <w:tc>
          <w:tcPr>
            <w:tcW w:w="866" w:type="dxa"/>
            <w:tcBorders>
              <w:top w:val="nil"/>
              <w:left w:val="nil"/>
              <w:bottom w:val="single" w:sz="4" w:space="0" w:color="auto"/>
              <w:right w:val="single" w:sz="4" w:space="0" w:color="auto"/>
            </w:tcBorders>
            <w:shd w:val="clear" w:color="000000" w:fill="FFFFFF"/>
            <w:vAlign w:val="center"/>
            <w:hideMark/>
          </w:tcPr>
          <w:p w14:paraId="401A1B26" w14:textId="410725E6" w:rsidR="00F61814" w:rsidRPr="00FC26AB" w:rsidRDefault="00F61814" w:rsidP="00B77C0B">
            <w:pPr>
              <w:pStyle w:val="NoSpacing"/>
              <w:rPr>
                <w:rFonts w:ascii="Times New Roman" w:hAnsi="Times New Roman" w:cs="Times New Roman"/>
                <w:sz w:val="18"/>
                <w:szCs w:val="18"/>
                <w:lang w:eastAsia="en-IN"/>
              </w:rPr>
            </w:pPr>
            <w:r w:rsidRPr="00FC26AB">
              <w:rPr>
                <w:rFonts w:ascii="Times New Roman" w:hAnsi="Times New Roman" w:cs="Times New Roman"/>
                <w:sz w:val="18"/>
                <w:szCs w:val="18"/>
                <w:lang w:eastAsia="en-IN"/>
              </w:rPr>
              <w:t>Motor vehicle: 12</w:t>
            </w:r>
          </w:p>
          <w:p w14:paraId="449060CA" w14:textId="31D7DB5C" w:rsidR="00F61814" w:rsidRPr="00FC26AB" w:rsidRDefault="00F61814" w:rsidP="00B77C0B">
            <w:pPr>
              <w:pStyle w:val="NoSpacing"/>
              <w:rPr>
                <w:rFonts w:ascii="Times New Roman" w:hAnsi="Times New Roman" w:cs="Times New Roman"/>
                <w:sz w:val="18"/>
                <w:szCs w:val="18"/>
                <w:lang w:eastAsia="en-IN"/>
              </w:rPr>
            </w:pPr>
            <w:r w:rsidRPr="00FC26AB">
              <w:rPr>
                <w:rFonts w:ascii="Times New Roman" w:hAnsi="Times New Roman" w:cs="Times New Roman"/>
                <w:sz w:val="18"/>
                <w:szCs w:val="18"/>
                <w:lang w:eastAsia="en-IN"/>
              </w:rPr>
              <w:t>Tractor: 7</w:t>
            </w:r>
          </w:p>
        </w:tc>
        <w:tc>
          <w:tcPr>
            <w:tcW w:w="830" w:type="dxa"/>
            <w:tcBorders>
              <w:top w:val="nil"/>
              <w:left w:val="nil"/>
              <w:bottom w:val="single" w:sz="4" w:space="0" w:color="auto"/>
              <w:right w:val="single" w:sz="4" w:space="0" w:color="auto"/>
            </w:tcBorders>
            <w:shd w:val="clear" w:color="000000" w:fill="FFFFFF"/>
            <w:vAlign w:val="center"/>
            <w:hideMark/>
          </w:tcPr>
          <w:p w14:paraId="71DDF301" w14:textId="77777777" w:rsidR="00F61814" w:rsidRPr="00FC26AB" w:rsidRDefault="00F61814" w:rsidP="00B77C0B">
            <w:pPr>
              <w:pStyle w:val="NoSpacing"/>
              <w:rPr>
                <w:rFonts w:ascii="Times New Roman" w:hAnsi="Times New Roman" w:cs="Times New Roman"/>
                <w:sz w:val="18"/>
                <w:szCs w:val="18"/>
                <w:lang w:eastAsia="en-IN"/>
              </w:rPr>
            </w:pPr>
            <w:r w:rsidRPr="00FC26AB">
              <w:rPr>
                <w:rFonts w:ascii="Times New Roman" w:hAnsi="Times New Roman" w:cs="Times New Roman"/>
                <w:sz w:val="18"/>
                <w:szCs w:val="18"/>
                <w:lang w:eastAsia="en-IN"/>
              </w:rPr>
              <w:t>7</w:t>
            </w:r>
          </w:p>
        </w:tc>
        <w:tc>
          <w:tcPr>
            <w:tcW w:w="730" w:type="dxa"/>
            <w:tcBorders>
              <w:top w:val="nil"/>
              <w:left w:val="nil"/>
              <w:bottom w:val="single" w:sz="4" w:space="0" w:color="auto"/>
              <w:right w:val="single" w:sz="4" w:space="0" w:color="auto"/>
            </w:tcBorders>
            <w:shd w:val="clear" w:color="000000" w:fill="FFFFFF"/>
            <w:vAlign w:val="center"/>
            <w:hideMark/>
          </w:tcPr>
          <w:p w14:paraId="6AC07475" w14:textId="77777777" w:rsidR="00F61814" w:rsidRPr="00FC26AB" w:rsidRDefault="00F61814" w:rsidP="00B77C0B">
            <w:pPr>
              <w:pStyle w:val="NoSpacing"/>
              <w:rPr>
                <w:rFonts w:ascii="Times New Roman" w:hAnsi="Times New Roman" w:cs="Times New Roman"/>
                <w:sz w:val="18"/>
                <w:szCs w:val="18"/>
                <w:lang w:eastAsia="en-IN"/>
              </w:rPr>
            </w:pPr>
            <w:r w:rsidRPr="00FC26AB">
              <w:rPr>
                <w:rFonts w:ascii="Times New Roman" w:hAnsi="Times New Roman" w:cs="Times New Roman"/>
                <w:sz w:val="18"/>
                <w:szCs w:val="18"/>
                <w:lang w:eastAsia="en-IN"/>
              </w:rPr>
              <w:t>10</w:t>
            </w:r>
          </w:p>
        </w:tc>
      </w:tr>
      <w:tr w:rsidR="00D75175" w:rsidRPr="00FC26AB" w14:paraId="1D84C52C" w14:textId="77777777" w:rsidTr="00FC26AB">
        <w:trPr>
          <w:trHeight w:val="20"/>
          <w:jc w:val="center"/>
        </w:trPr>
        <w:tc>
          <w:tcPr>
            <w:tcW w:w="1801" w:type="dxa"/>
            <w:tcBorders>
              <w:top w:val="nil"/>
              <w:left w:val="single" w:sz="4" w:space="0" w:color="auto"/>
              <w:bottom w:val="single" w:sz="4" w:space="0" w:color="auto"/>
              <w:right w:val="single" w:sz="4" w:space="0" w:color="auto"/>
            </w:tcBorders>
            <w:shd w:val="clear" w:color="000000" w:fill="FFFFFF"/>
            <w:vAlign w:val="center"/>
            <w:hideMark/>
          </w:tcPr>
          <w:p w14:paraId="6D4E8E88" w14:textId="77777777" w:rsidR="00F61814" w:rsidRPr="00FC26AB" w:rsidRDefault="00F61814" w:rsidP="00B77C0B">
            <w:pPr>
              <w:pStyle w:val="NoSpacing"/>
              <w:rPr>
                <w:rFonts w:ascii="Times New Roman" w:hAnsi="Times New Roman" w:cs="Times New Roman"/>
                <w:sz w:val="18"/>
                <w:szCs w:val="18"/>
                <w:lang w:eastAsia="en-IN"/>
              </w:rPr>
            </w:pPr>
            <w:r w:rsidRPr="00FC26AB">
              <w:rPr>
                <w:rFonts w:ascii="Times New Roman" w:hAnsi="Times New Roman" w:cs="Times New Roman"/>
                <w:sz w:val="18"/>
                <w:szCs w:val="18"/>
                <w:lang w:eastAsia="en-IN"/>
              </w:rPr>
              <w:t>8.Electric fans</w:t>
            </w:r>
          </w:p>
        </w:tc>
        <w:tc>
          <w:tcPr>
            <w:tcW w:w="842" w:type="dxa"/>
            <w:tcBorders>
              <w:top w:val="nil"/>
              <w:left w:val="nil"/>
              <w:bottom w:val="single" w:sz="4" w:space="0" w:color="auto"/>
              <w:right w:val="single" w:sz="4" w:space="0" w:color="auto"/>
            </w:tcBorders>
            <w:shd w:val="clear" w:color="000000" w:fill="FFFFFF"/>
            <w:vAlign w:val="center"/>
            <w:hideMark/>
          </w:tcPr>
          <w:p w14:paraId="79BEE420" w14:textId="77777777" w:rsidR="00F61814" w:rsidRPr="00FC26AB" w:rsidRDefault="00F61814" w:rsidP="00B77C0B">
            <w:pPr>
              <w:pStyle w:val="NoSpacing"/>
              <w:rPr>
                <w:rFonts w:ascii="Times New Roman" w:hAnsi="Times New Roman" w:cs="Times New Roman"/>
                <w:sz w:val="18"/>
                <w:szCs w:val="18"/>
                <w:lang w:eastAsia="en-IN"/>
              </w:rPr>
            </w:pPr>
            <w:r w:rsidRPr="00FC26AB">
              <w:rPr>
                <w:rFonts w:ascii="Times New Roman" w:hAnsi="Times New Roman" w:cs="Times New Roman"/>
                <w:sz w:val="18"/>
                <w:szCs w:val="18"/>
                <w:lang w:eastAsia="en-IN"/>
              </w:rPr>
              <w:t>7</w:t>
            </w:r>
          </w:p>
        </w:tc>
        <w:tc>
          <w:tcPr>
            <w:tcW w:w="706" w:type="dxa"/>
            <w:tcBorders>
              <w:top w:val="nil"/>
              <w:left w:val="nil"/>
              <w:bottom w:val="single" w:sz="4" w:space="0" w:color="auto"/>
              <w:right w:val="single" w:sz="4" w:space="0" w:color="auto"/>
            </w:tcBorders>
            <w:shd w:val="clear" w:color="000000" w:fill="FFFFFF"/>
            <w:vAlign w:val="center"/>
            <w:hideMark/>
          </w:tcPr>
          <w:p w14:paraId="2B428F0C" w14:textId="77777777" w:rsidR="00F61814" w:rsidRPr="00FC26AB" w:rsidRDefault="00F61814" w:rsidP="00B77C0B">
            <w:pPr>
              <w:pStyle w:val="NoSpacing"/>
              <w:rPr>
                <w:rFonts w:ascii="Times New Roman" w:hAnsi="Times New Roman" w:cs="Times New Roman"/>
                <w:sz w:val="18"/>
                <w:szCs w:val="18"/>
                <w:lang w:eastAsia="en-IN"/>
              </w:rPr>
            </w:pPr>
            <w:r w:rsidRPr="00FC26AB">
              <w:rPr>
                <w:rFonts w:ascii="Times New Roman" w:hAnsi="Times New Roman" w:cs="Times New Roman"/>
                <w:sz w:val="18"/>
                <w:szCs w:val="18"/>
                <w:lang w:eastAsia="en-IN"/>
              </w:rPr>
              <w:t>7</w:t>
            </w:r>
          </w:p>
        </w:tc>
        <w:tc>
          <w:tcPr>
            <w:tcW w:w="616" w:type="dxa"/>
            <w:tcBorders>
              <w:top w:val="nil"/>
              <w:left w:val="nil"/>
              <w:bottom w:val="single" w:sz="4" w:space="0" w:color="auto"/>
              <w:right w:val="single" w:sz="4" w:space="0" w:color="auto"/>
            </w:tcBorders>
            <w:shd w:val="clear" w:color="000000" w:fill="FFFFFF"/>
            <w:vAlign w:val="center"/>
            <w:hideMark/>
          </w:tcPr>
          <w:p w14:paraId="337676BC" w14:textId="77777777" w:rsidR="00F61814" w:rsidRPr="00FC26AB" w:rsidRDefault="00F61814" w:rsidP="00B77C0B">
            <w:pPr>
              <w:pStyle w:val="NoSpacing"/>
              <w:rPr>
                <w:rFonts w:ascii="Times New Roman" w:hAnsi="Times New Roman" w:cs="Times New Roman"/>
                <w:sz w:val="18"/>
                <w:szCs w:val="18"/>
                <w:lang w:eastAsia="en-IN"/>
              </w:rPr>
            </w:pPr>
            <w:r w:rsidRPr="00FC26AB">
              <w:rPr>
                <w:rFonts w:ascii="Times New Roman" w:hAnsi="Times New Roman" w:cs="Times New Roman"/>
                <w:sz w:val="18"/>
                <w:szCs w:val="18"/>
                <w:lang w:eastAsia="en-IN"/>
              </w:rPr>
              <w:t>10</w:t>
            </w:r>
          </w:p>
        </w:tc>
        <w:tc>
          <w:tcPr>
            <w:tcW w:w="756" w:type="dxa"/>
            <w:tcBorders>
              <w:top w:val="nil"/>
              <w:left w:val="nil"/>
              <w:bottom w:val="single" w:sz="4" w:space="0" w:color="auto"/>
              <w:right w:val="single" w:sz="4" w:space="0" w:color="auto"/>
            </w:tcBorders>
            <w:shd w:val="clear" w:color="000000" w:fill="FFFFFF"/>
            <w:vAlign w:val="center"/>
            <w:hideMark/>
          </w:tcPr>
          <w:p w14:paraId="62B5C6B0" w14:textId="77777777" w:rsidR="00F61814" w:rsidRPr="00FC26AB" w:rsidRDefault="00F61814" w:rsidP="00B77C0B">
            <w:pPr>
              <w:pStyle w:val="NoSpacing"/>
              <w:rPr>
                <w:rFonts w:ascii="Times New Roman" w:hAnsi="Times New Roman" w:cs="Times New Roman"/>
                <w:sz w:val="18"/>
                <w:szCs w:val="18"/>
                <w:lang w:eastAsia="en-IN"/>
              </w:rPr>
            </w:pPr>
            <w:r w:rsidRPr="00FC26AB">
              <w:rPr>
                <w:rFonts w:ascii="Times New Roman" w:hAnsi="Times New Roman" w:cs="Times New Roman"/>
                <w:sz w:val="18"/>
                <w:szCs w:val="18"/>
                <w:lang w:eastAsia="en-IN"/>
              </w:rPr>
              <w:t>10</w:t>
            </w:r>
          </w:p>
        </w:tc>
        <w:tc>
          <w:tcPr>
            <w:tcW w:w="1355" w:type="dxa"/>
            <w:tcBorders>
              <w:top w:val="nil"/>
              <w:left w:val="nil"/>
              <w:bottom w:val="single" w:sz="4" w:space="0" w:color="auto"/>
              <w:right w:val="single" w:sz="4" w:space="0" w:color="auto"/>
            </w:tcBorders>
            <w:shd w:val="clear" w:color="000000" w:fill="FFFFFF"/>
            <w:vAlign w:val="center"/>
            <w:hideMark/>
          </w:tcPr>
          <w:p w14:paraId="72943736" w14:textId="77777777" w:rsidR="00F61814" w:rsidRPr="00FC26AB" w:rsidRDefault="00F61814" w:rsidP="00B77C0B">
            <w:pPr>
              <w:pStyle w:val="NoSpacing"/>
              <w:rPr>
                <w:rFonts w:ascii="Times New Roman" w:hAnsi="Times New Roman" w:cs="Times New Roman"/>
                <w:sz w:val="18"/>
                <w:szCs w:val="18"/>
                <w:lang w:eastAsia="en-IN"/>
              </w:rPr>
            </w:pPr>
            <w:r w:rsidRPr="00FC26AB">
              <w:rPr>
                <w:rFonts w:ascii="Times New Roman" w:hAnsi="Times New Roman" w:cs="Times New Roman"/>
                <w:sz w:val="18"/>
                <w:szCs w:val="18"/>
                <w:lang w:eastAsia="en-IN"/>
              </w:rPr>
              <w:t>10</w:t>
            </w:r>
          </w:p>
        </w:tc>
        <w:tc>
          <w:tcPr>
            <w:tcW w:w="916" w:type="dxa"/>
            <w:tcBorders>
              <w:top w:val="nil"/>
              <w:left w:val="nil"/>
              <w:bottom w:val="single" w:sz="4" w:space="0" w:color="auto"/>
              <w:right w:val="single" w:sz="4" w:space="0" w:color="auto"/>
            </w:tcBorders>
            <w:shd w:val="clear" w:color="000000" w:fill="FFFFFF"/>
            <w:vAlign w:val="center"/>
            <w:hideMark/>
          </w:tcPr>
          <w:p w14:paraId="3B16F453" w14:textId="77777777" w:rsidR="00F61814" w:rsidRPr="00FC26AB" w:rsidRDefault="00F61814" w:rsidP="00B77C0B">
            <w:pPr>
              <w:pStyle w:val="NoSpacing"/>
              <w:rPr>
                <w:rFonts w:ascii="Times New Roman" w:hAnsi="Times New Roman" w:cs="Times New Roman"/>
                <w:sz w:val="18"/>
                <w:szCs w:val="18"/>
                <w:lang w:eastAsia="en-IN"/>
              </w:rPr>
            </w:pPr>
            <w:r w:rsidRPr="00FC26AB">
              <w:rPr>
                <w:rFonts w:ascii="Times New Roman" w:hAnsi="Times New Roman" w:cs="Times New Roman"/>
                <w:sz w:val="18"/>
                <w:szCs w:val="18"/>
                <w:lang w:eastAsia="en-IN"/>
              </w:rPr>
              <w:t>10</w:t>
            </w:r>
          </w:p>
        </w:tc>
        <w:tc>
          <w:tcPr>
            <w:tcW w:w="696" w:type="dxa"/>
            <w:tcBorders>
              <w:top w:val="nil"/>
              <w:left w:val="nil"/>
              <w:bottom w:val="single" w:sz="4" w:space="0" w:color="auto"/>
              <w:right w:val="single" w:sz="4" w:space="0" w:color="auto"/>
            </w:tcBorders>
            <w:shd w:val="clear" w:color="000000" w:fill="FFFFFF"/>
            <w:vAlign w:val="center"/>
            <w:hideMark/>
          </w:tcPr>
          <w:p w14:paraId="7AA7E898" w14:textId="77777777" w:rsidR="00F61814" w:rsidRPr="00FC26AB" w:rsidRDefault="00F61814" w:rsidP="00B77C0B">
            <w:pPr>
              <w:pStyle w:val="NoSpacing"/>
              <w:rPr>
                <w:rFonts w:ascii="Times New Roman" w:hAnsi="Times New Roman" w:cs="Times New Roman"/>
                <w:sz w:val="18"/>
                <w:szCs w:val="18"/>
                <w:lang w:eastAsia="en-IN"/>
              </w:rPr>
            </w:pPr>
            <w:r w:rsidRPr="00FC26AB">
              <w:rPr>
                <w:rFonts w:ascii="Times New Roman" w:hAnsi="Times New Roman" w:cs="Times New Roman"/>
                <w:sz w:val="18"/>
                <w:szCs w:val="18"/>
                <w:lang w:eastAsia="en-IN"/>
              </w:rPr>
              <w:t>7</w:t>
            </w:r>
          </w:p>
        </w:tc>
        <w:tc>
          <w:tcPr>
            <w:tcW w:w="831" w:type="dxa"/>
            <w:tcBorders>
              <w:top w:val="nil"/>
              <w:left w:val="nil"/>
              <w:bottom w:val="single" w:sz="4" w:space="0" w:color="auto"/>
              <w:right w:val="single" w:sz="4" w:space="0" w:color="auto"/>
            </w:tcBorders>
            <w:shd w:val="clear" w:color="000000" w:fill="FFFFFF"/>
            <w:vAlign w:val="center"/>
            <w:hideMark/>
          </w:tcPr>
          <w:p w14:paraId="16930442" w14:textId="77777777" w:rsidR="00F61814" w:rsidRPr="00FC26AB" w:rsidRDefault="00F61814" w:rsidP="00B77C0B">
            <w:pPr>
              <w:pStyle w:val="NoSpacing"/>
              <w:rPr>
                <w:rFonts w:ascii="Times New Roman" w:hAnsi="Times New Roman" w:cs="Times New Roman"/>
                <w:sz w:val="18"/>
                <w:szCs w:val="18"/>
                <w:lang w:eastAsia="en-IN"/>
              </w:rPr>
            </w:pPr>
            <w:r w:rsidRPr="00FC26AB">
              <w:rPr>
                <w:rFonts w:ascii="Times New Roman" w:hAnsi="Times New Roman" w:cs="Times New Roman"/>
                <w:sz w:val="18"/>
                <w:szCs w:val="18"/>
                <w:lang w:eastAsia="en-IN"/>
              </w:rPr>
              <w:t>11</w:t>
            </w:r>
          </w:p>
        </w:tc>
        <w:tc>
          <w:tcPr>
            <w:tcW w:w="1175" w:type="dxa"/>
            <w:tcBorders>
              <w:top w:val="nil"/>
              <w:left w:val="nil"/>
              <w:bottom w:val="single" w:sz="4" w:space="0" w:color="auto"/>
              <w:right w:val="single" w:sz="4" w:space="0" w:color="auto"/>
            </w:tcBorders>
            <w:shd w:val="clear" w:color="000000" w:fill="FFFFFF"/>
            <w:vAlign w:val="center"/>
            <w:hideMark/>
          </w:tcPr>
          <w:p w14:paraId="21172754" w14:textId="77777777" w:rsidR="00F61814" w:rsidRPr="00FC26AB" w:rsidRDefault="00F61814" w:rsidP="00B77C0B">
            <w:pPr>
              <w:pStyle w:val="NoSpacing"/>
              <w:rPr>
                <w:rFonts w:ascii="Times New Roman" w:hAnsi="Times New Roman" w:cs="Times New Roman"/>
                <w:sz w:val="18"/>
                <w:szCs w:val="18"/>
                <w:lang w:eastAsia="en-IN"/>
              </w:rPr>
            </w:pPr>
            <w:r w:rsidRPr="00FC26AB">
              <w:rPr>
                <w:rFonts w:ascii="Times New Roman" w:hAnsi="Times New Roman" w:cs="Times New Roman"/>
                <w:sz w:val="18"/>
                <w:szCs w:val="18"/>
                <w:lang w:eastAsia="en-IN"/>
              </w:rPr>
              <w:t>11</w:t>
            </w:r>
          </w:p>
        </w:tc>
        <w:tc>
          <w:tcPr>
            <w:tcW w:w="766" w:type="dxa"/>
            <w:tcBorders>
              <w:top w:val="nil"/>
              <w:left w:val="nil"/>
              <w:bottom w:val="single" w:sz="4" w:space="0" w:color="auto"/>
              <w:right w:val="single" w:sz="4" w:space="0" w:color="auto"/>
            </w:tcBorders>
            <w:shd w:val="clear" w:color="000000" w:fill="FFFFFF"/>
            <w:vAlign w:val="center"/>
            <w:hideMark/>
          </w:tcPr>
          <w:p w14:paraId="104C82B5" w14:textId="77777777" w:rsidR="00F61814" w:rsidRPr="00FC26AB" w:rsidRDefault="00F61814" w:rsidP="00B77C0B">
            <w:pPr>
              <w:pStyle w:val="NoSpacing"/>
              <w:rPr>
                <w:rFonts w:ascii="Times New Roman" w:hAnsi="Times New Roman" w:cs="Times New Roman"/>
                <w:sz w:val="18"/>
                <w:szCs w:val="18"/>
                <w:lang w:eastAsia="en-IN"/>
              </w:rPr>
            </w:pPr>
            <w:r w:rsidRPr="00FC26AB">
              <w:rPr>
                <w:rFonts w:ascii="Times New Roman" w:hAnsi="Times New Roman" w:cs="Times New Roman"/>
                <w:sz w:val="18"/>
                <w:szCs w:val="18"/>
                <w:lang w:eastAsia="en-IN"/>
              </w:rPr>
              <w:t>6½</w:t>
            </w:r>
          </w:p>
        </w:tc>
        <w:tc>
          <w:tcPr>
            <w:tcW w:w="700" w:type="dxa"/>
            <w:tcBorders>
              <w:top w:val="nil"/>
              <w:left w:val="nil"/>
              <w:bottom w:val="single" w:sz="4" w:space="0" w:color="auto"/>
              <w:right w:val="single" w:sz="4" w:space="0" w:color="auto"/>
            </w:tcBorders>
            <w:shd w:val="clear" w:color="000000" w:fill="FFFFFF"/>
            <w:vAlign w:val="center"/>
            <w:hideMark/>
          </w:tcPr>
          <w:p w14:paraId="623F0E47" w14:textId="77777777" w:rsidR="00F61814" w:rsidRPr="00FC26AB" w:rsidRDefault="00F61814" w:rsidP="00B77C0B">
            <w:pPr>
              <w:pStyle w:val="NoSpacing"/>
              <w:rPr>
                <w:rFonts w:ascii="Times New Roman" w:hAnsi="Times New Roman" w:cs="Times New Roman"/>
                <w:sz w:val="18"/>
                <w:szCs w:val="18"/>
                <w:lang w:eastAsia="en-IN"/>
              </w:rPr>
            </w:pPr>
            <w:r w:rsidRPr="00FC26AB">
              <w:rPr>
                <w:rFonts w:ascii="Times New Roman" w:hAnsi="Times New Roman" w:cs="Times New Roman"/>
                <w:sz w:val="18"/>
                <w:szCs w:val="18"/>
                <w:lang w:eastAsia="en-IN"/>
              </w:rPr>
              <w:t>7</w:t>
            </w:r>
          </w:p>
        </w:tc>
        <w:tc>
          <w:tcPr>
            <w:tcW w:w="736" w:type="dxa"/>
            <w:tcBorders>
              <w:top w:val="nil"/>
              <w:left w:val="nil"/>
              <w:bottom w:val="single" w:sz="4" w:space="0" w:color="auto"/>
              <w:right w:val="single" w:sz="4" w:space="0" w:color="auto"/>
            </w:tcBorders>
            <w:shd w:val="clear" w:color="000000" w:fill="FFFFFF"/>
            <w:vAlign w:val="center"/>
            <w:hideMark/>
          </w:tcPr>
          <w:p w14:paraId="2813A04C" w14:textId="77777777" w:rsidR="00F61814" w:rsidRPr="00FC26AB" w:rsidRDefault="00F61814" w:rsidP="00B77C0B">
            <w:pPr>
              <w:pStyle w:val="NoSpacing"/>
              <w:rPr>
                <w:rFonts w:ascii="Times New Roman" w:hAnsi="Times New Roman" w:cs="Times New Roman"/>
                <w:sz w:val="18"/>
                <w:szCs w:val="18"/>
                <w:lang w:eastAsia="en-IN"/>
              </w:rPr>
            </w:pPr>
            <w:r w:rsidRPr="00FC26AB">
              <w:rPr>
                <w:rFonts w:ascii="Times New Roman" w:hAnsi="Times New Roman" w:cs="Times New Roman"/>
                <w:sz w:val="18"/>
                <w:szCs w:val="18"/>
                <w:lang w:eastAsia="en-IN"/>
              </w:rPr>
              <w:t>10</w:t>
            </w:r>
          </w:p>
        </w:tc>
        <w:tc>
          <w:tcPr>
            <w:tcW w:w="1004" w:type="dxa"/>
            <w:tcBorders>
              <w:top w:val="nil"/>
              <w:left w:val="nil"/>
              <w:bottom w:val="single" w:sz="4" w:space="0" w:color="auto"/>
              <w:right w:val="single" w:sz="4" w:space="0" w:color="auto"/>
            </w:tcBorders>
            <w:shd w:val="clear" w:color="000000" w:fill="FFFFFF"/>
            <w:vAlign w:val="center"/>
            <w:hideMark/>
          </w:tcPr>
          <w:p w14:paraId="13F949AC" w14:textId="77777777" w:rsidR="00F61814" w:rsidRPr="00FC26AB" w:rsidRDefault="00F61814" w:rsidP="00B77C0B">
            <w:pPr>
              <w:pStyle w:val="NoSpacing"/>
              <w:rPr>
                <w:rFonts w:ascii="Times New Roman" w:hAnsi="Times New Roman" w:cs="Times New Roman"/>
                <w:sz w:val="18"/>
                <w:szCs w:val="18"/>
                <w:lang w:eastAsia="en-IN"/>
              </w:rPr>
            </w:pPr>
            <w:r w:rsidRPr="00FC26AB">
              <w:rPr>
                <w:rFonts w:ascii="Times New Roman" w:hAnsi="Times New Roman" w:cs="Times New Roman"/>
                <w:sz w:val="18"/>
                <w:szCs w:val="18"/>
                <w:lang w:eastAsia="en-IN"/>
              </w:rPr>
              <w:t>10</w:t>
            </w:r>
          </w:p>
        </w:tc>
        <w:tc>
          <w:tcPr>
            <w:tcW w:w="866" w:type="dxa"/>
            <w:tcBorders>
              <w:top w:val="nil"/>
              <w:left w:val="nil"/>
              <w:bottom w:val="single" w:sz="4" w:space="0" w:color="auto"/>
              <w:right w:val="single" w:sz="4" w:space="0" w:color="auto"/>
            </w:tcBorders>
            <w:shd w:val="clear" w:color="000000" w:fill="FFFFFF"/>
            <w:vAlign w:val="center"/>
            <w:hideMark/>
          </w:tcPr>
          <w:p w14:paraId="5D8BF897" w14:textId="77777777" w:rsidR="00F61814" w:rsidRPr="00FC26AB" w:rsidRDefault="00F61814" w:rsidP="00B77C0B">
            <w:pPr>
              <w:pStyle w:val="NoSpacing"/>
              <w:rPr>
                <w:rFonts w:ascii="Times New Roman" w:hAnsi="Times New Roman" w:cs="Times New Roman"/>
                <w:sz w:val="18"/>
                <w:szCs w:val="18"/>
                <w:lang w:eastAsia="en-IN"/>
              </w:rPr>
            </w:pPr>
            <w:r w:rsidRPr="00FC26AB">
              <w:rPr>
                <w:rFonts w:ascii="Times New Roman" w:hAnsi="Times New Roman" w:cs="Times New Roman"/>
                <w:sz w:val="18"/>
                <w:szCs w:val="18"/>
                <w:lang w:eastAsia="en-IN"/>
              </w:rPr>
              <w:t>7</w:t>
            </w:r>
          </w:p>
        </w:tc>
        <w:tc>
          <w:tcPr>
            <w:tcW w:w="830" w:type="dxa"/>
            <w:tcBorders>
              <w:top w:val="nil"/>
              <w:left w:val="nil"/>
              <w:bottom w:val="single" w:sz="4" w:space="0" w:color="auto"/>
              <w:right w:val="single" w:sz="4" w:space="0" w:color="auto"/>
            </w:tcBorders>
            <w:shd w:val="clear" w:color="000000" w:fill="FFFFFF"/>
            <w:vAlign w:val="center"/>
            <w:hideMark/>
          </w:tcPr>
          <w:p w14:paraId="5DCCA008" w14:textId="77777777" w:rsidR="00F61814" w:rsidRPr="00FC26AB" w:rsidRDefault="00F61814" w:rsidP="00B77C0B">
            <w:pPr>
              <w:pStyle w:val="NoSpacing"/>
              <w:rPr>
                <w:rFonts w:ascii="Times New Roman" w:hAnsi="Times New Roman" w:cs="Times New Roman"/>
                <w:sz w:val="18"/>
                <w:szCs w:val="18"/>
                <w:lang w:eastAsia="en-IN"/>
              </w:rPr>
            </w:pPr>
            <w:r w:rsidRPr="00FC26AB">
              <w:rPr>
                <w:rFonts w:ascii="Times New Roman" w:hAnsi="Times New Roman" w:cs="Times New Roman"/>
                <w:sz w:val="18"/>
                <w:szCs w:val="18"/>
                <w:lang w:eastAsia="en-IN"/>
              </w:rPr>
              <w:t>10</w:t>
            </w:r>
          </w:p>
        </w:tc>
        <w:tc>
          <w:tcPr>
            <w:tcW w:w="730" w:type="dxa"/>
            <w:tcBorders>
              <w:top w:val="nil"/>
              <w:left w:val="nil"/>
              <w:bottom w:val="single" w:sz="4" w:space="0" w:color="auto"/>
              <w:right w:val="single" w:sz="4" w:space="0" w:color="auto"/>
            </w:tcBorders>
            <w:shd w:val="clear" w:color="000000" w:fill="FFFFFF"/>
            <w:vAlign w:val="center"/>
            <w:hideMark/>
          </w:tcPr>
          <w:p w14:paraId="0E243152" w14:textId="77777777" w:rsidR="00F61814" w:rsidRPr="00FC26AB" w:rsidRDefault="00F61814" w:rsidP="00B77C0B">
            <w:pPr>
              <w:pStyle w:val="NoSpacing"/>
              <w:rPr>
                <w:rFonts w:ascii="Times New Roman" w:hAnsi="Times New Roman" w:cs="Times New Roman"/>
                <w:sz w:val="18"/>
                <w:szCs w:val="18"/>
                <w:lang w:eastAsia="en-IN"/>
              </w:rPr>
            </w:pPr>
            <w:r w:rsidRPr="00FC26AB">
              <w:rPr>
                <w:rFonts w:ascii="Times New Roman" w:hAnsi="Times New Roman" w:cs="Times New Roman"/>
                <w:sz w:val="18"/>
                <w:szCs w:val="18"/>
                <w:lang w:eastAsia="en-IN"/>
              </w:rPr>
              <w:t>NA</w:t>
            </w:r>
          </w:p>
        </w:tc>
      </w:tr>
      <w:tr w:rsidR="00D75175" w:rsidRPr="00FC26AB" w14:paraId="2BB7CF59" w14:textId="77777777" w:rsidTr="00FC26AB">
        <w:trPr>
          <w:trHeight w:val="20"/>
          <w:jc w:val="center"/>
        </w:trPr>
        <w:tc>
          <w:tcPr>
            <w:tcW w:w="1801" w:type="dxa"/>
            <w:tcBorders>
              <w:top w:val="nil"/>
              <w:left w:val="single" w:sz="4" w:space="0" w:color="auto"/>
              <w:bottom w:val="single" w:sz="4" w:space="0" w:color="auto"/>
              <w:right w:val="single" w:sz="4" w:space="0" w:color="auto"/>
            </w:tcBorders>
            <w:shd w:val="clear" w:color="000000" w:fill="FFFFFF"/>
            <w:vAlign w:val="center"/>
            <w:hideMark/>
          </w:tcPr>
          <w:p w14:paraId="098CED2C" w14:textId="77777777" w:rsidR="00F61814" w:rsidRPr="00FC26AB" w:rsidRDefault="00F61814" w:rsidP="00B77C0B">
            <w:pPr>
              <w:pStyle w:val="NoSpacing"/>
              <w:rPr>
                <w:rFonts w:ascii="Times New Roman" w:hAnsi="Times New Roman" w:cs="Times New Roman"/>
                <w:sz w:val="18"/>
                <w:szCs w:val="18"/>
                <w:lang w:eastAsia="en-IN"/>
              </w:rPr>
            </w:pPr>
            <w:r w:rsidRPr="00FC26AB">
              <w:rPr>
                <w:rFonts w:ascii="Times New Roman" w:hAnsi="Times New Roman" w:cs="Times New Roman"/>
                <w:sz w:val="18"/>
                <w:szCs w:val="18"/>
                <w:lang w:eastAsia="en-IN"/>
              </w:rPr>
              <w:t>9.Wireless instruments, Radio, etc.</w:t>
            </w:r>
          </w:p>
        </w:tc>
        <w:tc>
          <w:tcPr>
            <w:tcW w:w="842" w:type="dxa"/>
            <w:tcBorders>
              <w:top w:val="nil"/>
              <w:left w:val="nil"/>
              <w:bottom w:val="single" w:sz="4" w:space="0" w:color="auto"/>
              <w:right w:val="single" w:sz="4" w:space="0" w:color="auto"/>
            </w:tcBorders>
            <w:shd w:val="clear" w:color="000000" w:fill="FFFFFF"/>
            <w:vAlign w:val="center"/>
            <w:hideMark/>
          </w:tcPr>
          <w:p w14:paraId="7E736FB2" w14:textId="77777777" w:rsidR="00F61814" w:rsidRPr="00FC26AB" w:rsidRDefault="00F61814" w:rsidP="00B77C0B">
            <w:pPr>
              <w:pStyle w:val="NoSpacing"/>
              <w:rPr>
                <w:rFonts w:ascii="Times New Roman" w:hAnsi="Times New Roman" w:cs="Times New Roman"/>
                <w:sz w:val="18"/>
                <w:szCs w:val="18"/>
                <w:lang w:eastAsia="en-IN"/>
              </w:rPr>
            </w:pPr>
            <w:r w:rsidRPr="00FC26AB">
              <w:rPr>
                <w:rFonts w:ascii="Times New Roman" w:hAnsi="Times New Roman" w:cs="Times New Roman"/>
                <w:sz w:val="18"/>
                <w:szCs w:val="18"/>
                <w:lang w:eastAsia="en-IN"/>
              </w:rPr>
              <w:t>10</w:t>
            </w:r>
          </w:p>
        </w:tc>
        <w:tc>
          <w:tcPr>
            <w:tcW w:w="706" w:type="dxa"/>
            <w:tcBorders>
              <w:top w:val="nil"/>
              <w:left w:val="nil"/>
              <w:bottom w:val="single" w:sz="4" w:space="0" w:color="auto"/>
              <w:right w:val="single" w:sz="4" w:space="0" w:color="auto"/>
            </w:tcBorders>
            <w:shd w:val="clear" w:color="000000" w:fill="FFFFFF"/>
            <w:vAlign w:val="center"/>
            <w:hideMark/>
          </w:tcPr>
          <w:p w14:paraId="2D910124" w14:textId="77777777" w:rsidR="00F61814" w:rsidRPr="00FC26AB" w:rsidRDefault="00F61814" w:rsidP="00B77C0B">
            <w:pPr>
              <w:pStyle w:val="NoSpacing"/>
              <w:rPr>
                <w:rFonts w:ascii="Times New Roman" w:hAnsi="Times New Roman" w:cs="Times New Roman"/>
                <w:sz w:val="18"/>
                <w:szCs w:val="18"/>
                <w:lang w:eastAsia="en-IN"/>
              </w:rPr>
            </w:pPr>
            <w:r w:rsidRPr="00FC26AB">
              <w:rPr>
                <w:rFonts w:ascii="Times New Roman" w:hAnsi="Times New Roman" w:cs="Times New Roman"/>
                <w:sz w:val="18"/>
                <w:szCs w:val="18"/>
                <w:lang w:eastAsia="en-IN"/>
              </w:rPr>
              <w:t>12</w:t>
            </w:r>
          </w:p>
        </w:tc>
        <w:tc>
          <w:tcPr>
            <w:tcW w:w="616" w:type="dxa"/>
            <w:tcBorders>
              <w:top w:val="nil"/>
              <w:left w:val="nil"/>
              <w:bottom w:val="single" w:sz="4" w:space="0" w:color="auto"/>
              <w:right w:val="single" w:sz="4" w:space="0" w:color="auto"/>
            </w:tcBorders>
            <w:shd w:val="clear" w:color="000000" w:fill="FFFFFF"/>
            <w:vAlign w:val="center"/>
            <w:hideMark/>
          </w:tcPr>
          <w:p w14:paraId="2EE59720" w14:textId="77777777" w:rsidR="00F61814" w:rsidRPr="00FC26AB" w:rsidRDefault="00F61814" w:rsidP="00B77C0B">
            <w:pPr>
              <w:pStyle w:val="NoSpacing"/>
              <w:rPr>
                <w:rFonts w:ascii="Times New Roman" w:hAnsi="Times New Roman" w:cs="Times New Roman"/>
                <w:sz w:val="18"/>
                <w:szCs w:val="18"/>
                <w:lang w:eastAsia="en-IN"/>
              </w:rPr>
            </w:pPr>
            <w:r w:rsidRPr="00FC26AB">
              <w:rPr>
                <w:rFonts w:ascii="Times New Roman" w:hAnsi="Times New Roman" w:cs="Times New Roman"/>
                <w:sz w:val="18"/>
                <w:szCs w:val="18"/>
                <w:lang w:eastAsia="en-IN"/>
              </w:rPr>
              <w:t>10</w:t>
            </w:r>
          </w:p>
        </w:tc>
        <w:tc>
          <w:tcPr>
            <w:tcW w:w="756" w:type="dxa"/>
            <w:tcBorders>
              <w:top w:val="nil"/>
              <w:left w:val="nil"/>
              <w:bottom w:val="single" w:sz="4" w:space="0" w:color="auto"/>
              <w:right w:val="single" w:sz="4" w:space="0" w:color="auto"/>
            </w:tcBorders>
            <w:shd w:val="clear" w:color="000000" w:fill="FFFFFF"/>
            <w:vAlign w:val="center"/>
            <w:hideMark/>
          </w:tcPr>
          <w:p w14:paraId="38E36052" w14:textId="77777777" w:rsidR="00F61814" w:rsidRPr="00FC26AB" w:rsidRDefault="00F61814" w:rsidP="00B77C0B">
            <w:pPr>
              <w:pStyle w:val="NoSpacing"/>
              <w:rPr>
                <w:rFonts w:ascii="Times New Roman" w:hAnsi="Times New Roman" w:cs="Times New Roman"/>
                <w:sz w:val="18"/>
                <w:szCs w:val="18"/>
                <w:lang w:eastAsia="en-IN"/>
              </w:rPr>
            </w:pPr>
            <w:r w:rsidRPr="00FC26AB">
              <w:rPr>
                <w:rFonts w:ascii="Times New Roman" w:hAnsi="Times New Roman" w:cs="Times New Roman"/>
                <w:sz w:val="18"/>
                <w:szCs w:val="18"/>
                <w:lang w:eastAsia="en-IN"/>
              </w:rPr>
              <w:t>10</w:t>
            </w:r>
          </w:p>
        </w:tc>
        <w:tc>
          <w:tcPr>
            <w:tcW w:w="1355" w:type="dxa"/>
            <w:tcBorders>
              <w:top w:val="nil"/>
              <w:left w:val="nil"/>
              <w:bottom w:val="single" w:sz="4" w:space="0" w:color="auto"/>
              <w:right w:val="single" w:sz="4" w:space="0" w:color="auto"/>
            </w:tcBorders>
            <w:shd w:val="clear" w:color="000000" w:fill="FFFFFF"/>
            <w:vAlign w:val="center"/>
            <w:hideMark/>
          </w:tcPr>
          <w:p w14:paraId="05F2FE63" w14:textId="77777777" w:rsidR="00F61814" w:rsidRPr="00FC26AB" w:rsidRDefault="00F61814" w:rsidP="00B77C0B">
            <w:pPr>
              <w:pStyle w:val="NoSpacing"/>
              <w:rPr>
                <w:rFonts w:ascii="Times New Roman" w:hAnsi="Times New Roman" w:cs="Times New Roman"/>
                <w:sz w:val="18"/>
                <w:szCs w:val="18"/>
                <w:lang w:eastAsia="en-IN"/>
              </w:rPr>
            </w:pPr>
            <w:r w:rsidRPr="00FC26AB">
              <w:rPr>
                <w:rFonts w:ascii="Times New Roman" w:hAnsi="Times New Roman" w:cs="Times New Roman"/>
                <w:sz w:val="18"/>
                <w:szCs w:val="18"/>
                <w:lang w:eastAsia="en-IN"/>
              </w:rPr>
              <w:t>10</w:t>
            </w:r>
          </w:p>
        </w:tc>
        <w:tc>
          <w:tcPr>
            <w:tcW w:w="916" w:type="dxa"/>
            <w:tcBorders>
              <w:top w:val="nil"/>
              <w:left w:val="nil"/>
              <w:bottom w:val="single" w:sz="4" w:space="0" w:color="auto"/>
              <w:right w:val="single" w:sz="4" w:space="0" w:color="auto"/>
            </w:tcBorders>
            <w:shd w:val="clear" w:color="000000" w:fill="FFFFFF"/>
            <w:vAlign w:val="center"/>
            <w:hideMark/>
          </w:tcPr>
          <w:p w14:paraId="5615D236" w14:textId="77777777" w:rsidR="00F61814" w:rsidRPr="00FC26AB" w:rsidRDefault="00F61814" w:rsidP="00B77C0B">
            <w:pPr>
              <w:pStyle w:val="NoSpacing"/>
              <w:rPr>
                <w:rFonts w:ascii="Times New Roman" w:hAnsi="Times New Roman" w:cs="Times New Roman"/>
                <w:sz w:val="18"/>
                <w:szCs w:val="18"/>
                <w:lang w:eastAsia="en-IN"/>
              </w:rPr>
            </w:pPr>
            <w:r w:rsidRPr="00FC26AB">
              <w:rPr>
                <w:rFonts w:ascii="Times New Roman" w:hAnsi="Times New Roman" w:cs="Times New Roman"/>
                <w:sz w:val="18"/>
                <w:szCs w:val="18"/>
                <w:lang w:eastAsia="en-IN"/>
              </w:rPr>
              <w:t>10</w:t>
            </w:r>
          </w:p>
        </w:tc>
        <w:tc>
          <w:tcPr>
            <w:tcW w:w="696" w:type="dxa"/>
            <w:tcBorders>
              <w:top w:val="nil"/>
              <w:left w:val="nil"/>
              <w:bottom w:val="single" w:sz="4" w:space="0" w:color="auto"/>
              <w:right w:val="single" w:sz="4" w:space="0" w:color="auto"/>
            </w:tcBorders>
            <w:shd w:val="clear" w:color="000000" w:fill="FFFFFF"/>
            <w:vAlign w:val="center"/>
            <w:hideMark/>
          </w:tcPr>
          <w:p w14:paraId="1E2E4EF1" w14:textId="77777777" w:rsidR="00F61814" w:rsidRPr="00FC26AB" w:rsidRDefault="00F61814" w:rsidP="00B77C0B">
            <w:pPr>
              <w:pStyle w:val="NoSpacing"/>
              <w:rPr>
                <w:rFonts w:ascii="Times New Roman" w:hAnsi="Times New Roman" w:cs="Times New Roman"/>
                <w:sz w:val="18"/>
                <w:szCs w:val="18"/>
                <w:lang w:eastAsia="en-IN"/>
              </w:rPr>
            </w:pPr>
            <w:r w:rsidRPr="00FC26AB">
              <w:rPr>
                <w:rFonts w:ascii="Times New Roman" w:hAnsi="Times New Roman" w:cs="Times New Roman"/>
                <w:sz w:val="18"/>
                <w:szCs w:val="18"/>
                <w:lang w:eastAsia="en-IN"/>
              </w:rPr>
              <w:t>12</w:t>
            </w:r>
          </w:p>
        </w:tc>
        <w:tc>
          <w:tcPr>
            <w:tcW w:w="831" w:type="dxa"/>
            <w:tcBorders>
              <w:top w:val="nil"/>
              <w:left w:val="nil"/>
              <w:bottom w:val="single" w:sz="4" w:space="0" w:color="auto"/>
              <w:right w:val="single" w:sz="4" w:space="0" w:color="auto"/>
            </w:tcBorders>
            <w:shd w:val="clear" w:color="000000" w:fill="FFFFFF"/>
            <w:vAlign w:val="center"/>
            <w:hideMark/>
          </w:tcPr>
          <w:p w14:paraId="7197278C" w14:textId="77777777" w:rsidR="00F61814" w:rsidRPr="00FC26AB" w:rsidRDefault="00F61814" w:rsidP="00B77C0B">
            <w:pPr>
              <w:pStyle w:val="NoSpacing"/>
              <w:rPr>
                <w:rFonts w:ascii="Times New Roman" w:hAnsi="Times New Roman" w:cs="Times New Roman"/>
                <w:sz w:val="18"/>
                <w:szCs w:val="18"/>
                <w:lang w:eastAsia="en-IN"/>
              </w:rPr>
            </w:pPr>
            <w:r w:rsidRPr="00FC26AB">
              <w:rPr>
                <w:rFonts w:ascii="Times New Roman" w:hAnsi="Times New Roman" w:cs="Times New Roman"/>
                <w:sz w:val="18"/>
                <w:szCs w:val="18"/>
                <w:lang w:eastAsia="en-IN"/>
              </w:rPr>
              <w:t>11</w:t>
            </w:r>
          </w:p>
        </w:tc>
        <w:tc>
          <w:tcPr>
            <w:tcW w:w="1175" w:type="dxa"/>
            <w:tcBorders>
              <w:top w:val="nil"/>
              <w:left w:val="nil"/>
              <w:bottom w:val="single" w:sz="4" w:space="0" w:color="auto"/>
              <w:right w:val="single" w:sz="4" w:space="0" w:color="auto"/>
            </w:tcBorders>
            <w:shd w:val="clear" w:color="000000" w:fill="FFFFFF"/>
            <w:vAlign w:val="center"/>
            <w:hideMark/>
          </w:tcPr>
          <w:p w14:paraId="4ED5284F" w14:textId="77777777" w:rsidR="00F61814" w:rsidRPr="00FC26AB" w:rsidRDefault="00F61814" w:rsidP="00B77C0B">
            <w:pPr>
              <w:pStyle w:val="NoSpacing"/>
              <w:rPr>
                <w:rFonts w:ascii="Times New Roman" w:hAnsi="Times New Roman" w:cs="Times New Roman"/>
                <w:sz w:val="18"/>
                <w:szCs w:val="18"/>
                <w:lang w:eastAsia="en-IN"/>
              </w:rPr>
            </w:pPr>
            <w:r w:rsidRPr="00FC26AB">
              <w:rPr>
                <w:rFonts w:ascii="Times New Roman" w:hAnsi="Times New Roman" w:cs="Times New Roman"/>
                <w:sz w:val="18"/>
                <w:szCs w:val="18"/>
                <w:lang w:eastAsia="en-IN"/>
              </w:rPr>
              <w:t>12</w:t>
            </w:r>
          </w:p>
        </w:tc>
        <w:tc>
          <w:tcPr>
            <w:tcW w:w="766" w:type="dxa"/>
            <w:tcBorders>
              <w:top w:val="nil"/>
              <w:left w:val="nil"/>
              <w:bottom w:val="single" w:sz="4" w:space="0" w:color="auto"/>
              <w:right w:val="single" w:sz="4" w:space="0" w:color="auto"/>
            </w:tcBorders>
            <w:shd w:val="clear" w:color="000000" w:fill="FFFFFF"/>
            <w:vAlign w:val="center"/>
            <w:hideMark/>
          </w:tcPr>
          <w:p w14:paraId="627841AD" w14:textId="77777777" w:rsidR="00F61814" w:rsidRPr="00FC26AB" w:rsidRDefault="00F61814" w:rsidP="00B77C0B">
            <w:pPr>
              <w:pStyle w:val="NoSpacing"/>
              <w:rPr>
                <w:rFonts w:ascii="Times New Roman" w:hAnsi="Times New Roman" w:cs="Times New Roman"/>
                <w:sz w:val="18"/>
                <w:szCs w:val="18"/>
                <w:lang w:eastAsia="en-IN"/>
              </w:rPr>
            </w:pPr>
            <w:r w:rsidRPr="00FC26AB">
              <w:rPr>
                <w:rFonts w:ascii="Times New Roman" w:hAnsi="Times New Roman" w:cs="Times New Roman"/>
                <w:sz w:val="18"/>
                <w:szCs w:val="18"/>
                <w:lang w:eastAsia="en-IN"/>
              </w:rPr>
              <w:t>11</w:t>
            </w:r>
          </w:p>
        </w:tc>
        <w:tc>
          <w:tcPr>
            <w:tcW w:w="700" w:type="dxa"/>
            <w:tcBorders>
              <w:top w:val="nil"/>
              <w:left w:val="nil"/>
              <w:bottom w:val="single" w:sz="4" w:space="0" w:color="auto"/>
              <w:right w:val="single" w:sz="4" w:space="0" w:color="auto"/>
            </w:tcBorders>
            <w:shd w:val="clear" w:color="000000" w:fill="FFFFFF"/>
            <w:vAlign w:val="center"/>
            <w:hideMark/>
          </w:tcPr>
          <w:p w14:paraId="3A7C8807" w14:textId="77777777" w:rsidR="00F61814" w:rsidRPr="00FC26AB" w:rsidRDefault="00F61814" w:rsidP="00B77C0B">
            <w:pPr>
              <w:pStyle w:val="NoSpacing"/>
              <w:rPr>
                <w:rFonts w:ascii="Times New Roman" w:hAnsi="Times New Roman" w:cs="Times New Roman"/>
                <w:sz w:val="18"/>
                <w:szCs w:val="18"/>
                <w:lang w:eastAsia="en-IN"/>
              </w:rPr>
            </w:pPr>
            <w:r w:rsidRPr="00FC26AB">
              <w:rPr>
                <w:rFonts w:ascii="Times New Roman" w:hAnsi="Times New Roman" w:cs="Times New Roman"/>
                <w:sz w:val="18"/>
                <w:szCs w:val="18"/>
                <w:lang w:eastAsia="en-IN"/>
              </w:rPr>
              <w:t>10</w:t>
            </w:r>
          </w:p>
        </w:tc>
        <w:tc>
          <w:tcPr>
            <w:tcW w:w="736" w:type="dxa"/>
            <w:tcBorders>
              <w:top w:val="nil"/>
              <w:left w:val="nil"/>
              <w:bottom w:val="single" w:sz="4" w:space="0" w:color="auto"/>
              <w:right w:val="single" w:sz="4" w:space="0" w:color="auto"/>
            </w:tcBorders>
            <w:shd w:val="clear" w:color="000000" w:fill="FFFFFF"/>
            <w:vAlign w:val="center"/>
            <w:hideMark/>
          </w:tcPr>
          <w:p w14:paraId="567B49E3" w14:textId="77777777" w:rsidR="00F61814" w:rsidRPr="00FC26AB" w:rsidRDefault="00F61814" w:rsidP="00B77C0B">
            <w:pPr>
              <w:pStyle w:val="NoSpacing"/>
              <w:rPr>
                <w:rFonts w:ascii="Times New Roman" w:hAnsi="Times New Roman" w:cs="Times New Roman"/>
                <w:sz w:val="18"/>
                <w:szCs w:val="18"/>
                <w:lang w:eastAsia="en-IN"/>
              </w:rPr>
            </w:pPr>
            <w:r w:rsidRPr="00FC26AB">
              <w:rPr>
                <w:rFonts w:ascii="Times New Roman" w:hAnsi="Times New Roman" w:cs="Times New Roman"/>
                <w:sz w:val="18"/>
                <w:szCs w:val="18"/>
                <w:lang w:eastAsia="en-IN"/>
              </w:rPr>
              <w:t>10</w:t>
            </w:r>
          </w:p>
        </w:tc>
        <w:tc>
          <w:tcPr>
            <w:tcW w:w="1004" w:type="dxa"/>
            <w:tcBorders>
              <w:top w:val="nil"/>
              <w:left w:val="nil"/>
              <w:bottom w:val="single" w:sz="4" w:space="0" w:color="auto"/>
              <w:right w:val="single" w:sz="4" w:space="0" w:color="auto"/>
            </w:tcBorders>
            <w:shd w:val="clear" w:color="000000" w:fill="FFFFFF"/>
            <w:vAlign w:val="center"/>
            <w:hideMark/>
          </w:tcPr>
          <w:p w14:paraId="52CE5F08" w14:textId="77777777" w:rsidR="00F61814" w:rsidRPr="00FC26AB" w:rsidRDefault="00F61814" w:rsidP="00B77C0B">
            <w:pPr>
              <w:pStyle w:val="NoSpacing"/>
              <w:rPr>
                <w:rFonts w:ascii="Times New Roman" w:hAnsi="Times New Roman" w:cs="Times New Roman"/>
                <w:sz w:val="18"/>
                <w:szCs w:val="18"/>
                <w:lang w:eastAsia="en-IN"/>
              </w:rPr>
            </w:pPr>
            <w:r w:rsidRPr="00FC26AB">
              <w:rPr>
                <w:rFonts w:ascii="Times New Roman" w:hAnsi="Times New Roman" w:cs="Times New Roman"/>
                <w:sz w:val="18"/>
                <w:szCs w:val="18"/>
                <w:lang w:eastAsia="en-IN"/>
              </w:rPr>
              <w:t>12</w:t>
            </w:r>
          </w:p>
        </w:tc>
        <w:tc>
          <w:tcPr>
            <w:tcW w:w="866" w:type="dxa"/>
            <w:tcBorders>
              <w:top w:val="nil"/>
              <w:left w:val="nil"/>
              <w:bottom w:val="single" w:sz="4" w:space="0" w:color="auto"/>
              <w:right w:val="single" w:sz="4" w:space="0" w:color="auto"/>
            </w:tcBorders>
            <w:shd w:val="clear" w:color="000000" w:fill="FFFFFF"/>
            <w:vAlign w:val="center"/>
            <w:hideMark/>
          </w:tcPr>
          <w:p w14:paraId="5220A061" w14:textId="77777777" w:rsidR="00F61814" w:rsidRPr="00FC26AB" w:rsidRDefault="00F61814" w:rsidP="00B77C0B">
            <w:pPr>
              <w:pStyle w:val="NoSpacing"/>
              <w:rPr>
                <w:rFonts w:ascii="Times New Roman" w:hAnsi="Times New Roman" w:cs="Times New Roman"/>
                <w:sz w:val="18"/>
                <w:szCs w:val="18"/>
                <w:lang w:eastAsia="en-IN"/>
              </w:rPr>
            </w:pPr>
            <w:r w:rsidRPr="00FC26AB">
              <w:rPr>
                <w:rFonts w:ascii="Times New Roman" w:hAnsi="Times New Roman" w:cs="Times New Roman"/>
                <w:sz w:val="18"/>
                <w:szCs w:val="18"/>
                <w:lang w:eastAsia="en-IN"/>
              </w:rPr>
              <w:t>12</w:t>
            </w:r>
          </w:p>
        </w:tc>
        <w:tc>
          <w:tcPr>
            <w:tcW w:w="830" w:type="dxa"/>
            <w:tcBorders>
              <w:top w:val="nil"/>
              <w:left w:val="nil"/>
              <w:bottom w:val="single" w:sz="4" w:space="0" w:color="auto"/>
              <w:right w:val="single" w:sz="4" w:space="0" w:color="auto"/>
            </w:tcBorders>
            <w:shd w:val="clear" w:color="000000" w:fill="FFFFFF"/>
            <w:vAlign w:val="center"/>
            <w:hideMark/>
          </w:tcPr>
          <w:p w14:paraId="48B58759" w14:textId="77777777" w:rsidR="00F61814" w:rsidRPr="00FC26AB" w:rsidRDefault="00F61814" w:rsidP="00B77C0B">
            <w:pPr>
              <w:pStyle w:val="NoSpacing"/>
              <w:rPr>
                <w:rFonts w:ascii="Times New Roman" w:hAnsi="Times New Roman" w:cs="Times New Roman"/>
                <w:sz w:val="18"/>
                <w:szCs w:val="18"/>
                <w:lang w:eastAsia="en-IN"/>
              </w:rPr>
            </w:pPr>
            <w:r w:rsidRPr="00FC26AB">
              <w:rPr>
                <w:rFonts w:ascii="Times New Roman" w:hAnsi="Times New Roman" w:cs="Times New Roman"/>
                <w:sz w:val="18"/>
                <w:szCs w:val="18"/>
                <w:lang w:eastAsia="en-IN"/>
              </w:rPr>
              <w:t>10</w:t>
            </w:r>
          </w:p>
        </w:tc>
        <w:tc>
          <w:tcPr>
            <w:tcW w:w="730" w:type="dxa"/>
            <w:tcBorders>
              <w:top w:val="nil"/>
              <w:left w:val="nil"/>
              <w:bottom w:val="single" w:sz="4" w:space="0" w:color="auto"/>
              <w:right w:val="single" w:sz="4" w:space="0" w:color="auto"/>
            </w:tcBorders>
            <w:shd w:val="clear" w:color="000000" w:fill="FFFFFF"/>
            <w:vAlign w:val="center"/>
            <w:hideMark/>
          </w:tcPr>
          <w:p w14:paraId="77164090" w14:textId="77777777" w:rsidR="00F61814" w:rsidRPr="00FC26AB" w:rsidRDefault="00F61814" w:rsidP="00B77C0B">
            <w:pPr>
              <w:pStyle w:val="NoSpacing"/>
              <w:rPr>
                <w:rFonts w:ascii="Times New Roman" w:hAnsi="Times New Roman" w:cs="Times New Roman"/>
                <w:sz w:val="18"/>
                <w:szCs w:val="18"/>
                <w:lang w:eastAsia="en-IN"/>
              </w:rPr>
            </w:pPr>
            <w:r w:rsidRPr="00FC26AB">
              <w:rPr>
                <w:rFonts w:ascii="Times New Roman" w:hAnsi="Times New Roman" w:cs="Times New Roman"/>
                <w:sz w:val="18"/>
                <w:szCs w:val="18"/>
                <w:lang w:eastAsia="en-IN"/>
              </w:rPr>
              <w:t>12</w:t>
            </w:r>
          </w:p>
        </w:tc>
      </w:tr>
      <w:tr w:rsidR="00D75175" w:rsidRPr="00FC26AB" w14:paraId="2B6AFB0C" w14:textId="77777777" w:rsidTr="00FC26AB">
        <w:trPr>
          <w:trHeight w:val="20"/>
          <w:jc w:val="center"/>
        </w:trPr>
        <w:tc>
          <w:tcPr>
            <w:tcW w:w="1801" w:type="dxa"/>
            <w:tcBorders>
              <w:top w:val="nil"/>
              <w:left w:val="single" w:sz="4" w:space="0" w:color="auto"/>
              <w:bottom w:val="single" w:sz="4" w:space="0" w:color="auto"/>
              <w:right w:val="single" w:sz="4" w:space="0" w:color="auto"/>
            </w:tcBorders>
            <w:shd w:val="clear" w:color="000000" w:fill="FFFFFF"/>
            <w:vAlign w:val="center"/>
            <w:hideMark/>
          </w:tcPr>
          <w:p w14:paraId="459A46B3" w14:textId="77777777" w:rsidR="00F61814" w:rsidRPr="00FC26AB" w:rsidRDefault="00F61814" w:rsidP="00B77C0B">
            <w:pPr>
              <w:pStyle w:val="NoSpacing"/>
              <w:rPr>
                <w:rFonts w:ascii="Times New Roman" w:hAnsi="Times New Roman" w:cs="Times New Roman"/>
                <w:sz w:val="18"/>
                <w:szCs w:val="18"/>
                <w:lang w:eastAsia="en-IN"/>
              </w:rPr>
            </w:pPr>
            <w:r w:rsidRPr="00FC26AB">
              <w:rPr>
                <w:rFonts w:ascii="Times New Roman" w:hAnsi="Times New Roman" w:cs="Times New Roman"/>
                <w:sz w:val="18"/>
                <w:szCs w:val="18"/>
                <w:lang w:eastAsia="en-IN"/>
              </w:rPr>
              <w:t>10.Refrigerators &amp; air conditioning plants &amp; component parts</w:t>
            </w:r>
          </w:p>
        </w:tc>
        <w:tc>
          <w:tcPr>
            <w:tcW w:w="842" w:type="dxa"/>
            <w:tcBorders>
              <w:top w:val="nil"/>
              <w:left w:val="nil"/>
              <w:bottom w:val="single" w:sz="4" w:space="0" w:color="auto"/>
              <w:right w:val="single" w:sz="4" w:space="0" w:color="auto"/>
            </w:tcBorders>
            <w:shd w:val="clear" w:color="000000" w:fill="FFFFFF"/>
            <w:vAlign w:val="center"/>
            <w:hideMark/>
          </w:tcPr>
          <w:p w14:paraId="4A9711CD" w14:textId="77777777" w:rsidR="00F61814" w:rsidRPr="00FC26AB" w:rsidRDefault="00F61814" w:rsidP="00B77C0B">
            <w:pPr>
              <w:pStyle w:val="NoSpacing"/>
              <w:rPr>
                <w:rFonts w:ascii="Times New Roman" w:hAnsi="Times New Roman" w:cs="Times New Roman"/>
                <w:sz w:val="18"/>
                <w:szCs w:val="18"/>
                <w:lang w:eastAsia="en-IN"/>
              </w:rPr>
            </w:pPr>
            <w:r w:rsidRPr="00FC26AB">
              <w:rPr>
                <w:rFonts w:ascii="Times New Roman" w:hAnsi="Times New Roman" w:cs="Times New Roman"/>
                <w:sz w:val="18"/>
                <w:szCs w:val="18"/>
                <w:lang w:eastAsia="en-IN"/>
              </w:rPr>
              <w:t>10</w:t>
            </w:r>
          </w:p>
        </w:tc>
        <w:tc>
          <w:tcPr>
            <w:tcW w:w="706" w:type="dxa"/>
            <w:tcBorders>
              <w:top w:val="nil"/>
              <w:left w:val="nil"/>
              <w:bottom w:val="single" w:sz="4" w:space="0" w:color="auto"/>
              <w:right w:val="single" w:sz="4" w:space="0" w:color="auto"/>
            </w:tcBorders>
            <w:shd w:val="clear" w:color="000000" w:fill="FFFFFF"/>
            <w:vAlign w:val="center"/>
            <w:hideMark/>
          </w:tcPr>
          <w:p w14:paraId="2092B7F9" w14:textId="77777777" w:rsidR="00F61814" w:rsidRPr="00FC26AB" w:rsidRDefault="00F61814" w:rsidP="00B77C0B">
            <w:pPr>
              <w:pStyle w:val="NoSpacing"/>
              <w:rPr>
                <w:rFonts w:ascii="Times New Roman" w:hAnsi="Times New Roman" w:cs="Times New Roman"/>
                <w:sz w:val="18"/>
                <w:szCs w:val="18"/>
                <w:lang w:eastAsia="en-IN"/>
              </w:rPr>
            </w:pPr>
            <w:r w:rsidRPr="00FC26AB">
              <w:rPr>
                <w:rFonts w:ascii="Times New Roman" w:hAnsi="Times New Roman" w:cs="Times New Roman"/>
                <w:sz w:val="18"/>
                <w:szCs w:val="18"/>
                <w:lang w:eastAsia="en-IN"/>
              </w:rPr>
              <w:t>12</w:t>
            </w:r>
          </w:p>
        </w:tc>
        <w:tc>
          <w:tcPr>
            <w:tcW w:w="616" w:type="dxa"/>
            <w:tcBorders>
              <w:top w:val="nil"/>
              <w:left w:val="nil"/>
              <w:bottom w:val="single" w:sz="4" w:space="0" w:color="auto"/>
              <w:right w:val="single" w:sz="4" w:space="0" w:color="auto"/>
            </w:tcBorders>
            <w:shd w:val="clear" w:color="000000" w:fill="FFFFFF"/>
            <w:vAlign w:val="center"/>
            <w:hideMark/>
          </w:tcPr>
          <w:p w14:paraId="37A87E69" w14:textId="77777777" w:rsidR="00F61814" w:rsidRPr="00FC26AB" w:rsidRDefault="00F61814" w:rsidP="00B77C0B">
            <w:pPr>
              <w:pStyle w:val="NoSpacing"/>
              <w:rPr>
                <w:rFonts w:ascii="Times New Roman" w:hAnsi="Times New Roman" w:cs="Times New Roman"/>
                <w:sz w:val="18"/>
                <w:szCs w:val="18"/>
                <w:lang w:eastAsia="en-IN"/>
              </w:rPr>
            </w:pPr>
            <w:r w:rsidRPr="00FC26AB">
              <w:rPr>
                <w:rFonts w:ascii="Times New Roman" w:hAnsi="Times New Roman" w:cs="Times New Roman"/>
                <w:sz w:val="18"/>
                <w:szCs w:val="18"/>
                <w:lang w:eastAsia="en-IN"/>
              </w:rPr>
              <w:t>10</w:t>
            </w:r>
          </w:p>
        </w:tc>
        <w:tc>
          <w:tcPr>
            <w:tcW w:w="756" w:type="dxa"/>
            <w:tcBorders>
              <w:top w:val="nil"/>
              <w:left w:val="nil"/>
              <w:bottom w:val="single" w:sz="4" w:space="0" w:color="auto"/>
              <w:right w:val="single" w:sz="4" w:space="0" w:color="auto"/>
            </w:tcBorders>
            <w:shd w:val="clear" w:color="000000" w:fill="FFFFFF"/>
            <w:vAlign w:val="center"/>
            <w:hideMark/>
          </w:tcPr>
          <w:p w14:paraId="56064966" w14:textId="77777777" w:rsidR="00F61814" w:rsidRPr="00FC26AB" w:rsidRDefault="00F61814" w:rsidP="00B77C0B">
            <w:pPr>
              <w:pStyle w:val="NoSpacing"/>
              <w:rPr>
                <w:rFonts w:ascii="Times New Roman" w:hAnsi="Times New Roman" w:cs="Times New Roman"/>
                <w:sz w:val="18"/>
                <w:szCs w:val="18"/>
                <w:lang w:eastAsia="en-IN"/>
              </w:rPr>
            </w:pPr>
            <w:r w:rsidRPr="00FC26AB">
              <w:rPr>
                <w:rFonts w:ascii="Times New Roman" w:hAnsi="Times New Roman" w:cs="Times New Roman"/>
                <w:sz w:val="18"/>
                <w:szCs w:val="18"/>
                <w:lang w:eastAsia="en-IN"/>
              </w:rPr>
              <w:t>10</w:t>
            </w:r>
          </w:p>
        </w:tc>
        <w:tc>
          <w:tcPr>
            <w:tcW w:w="1355" w:type="dxa"/>
            <w:tcBorders>
              <w:top w:val="nil"/>
              <w:left w:val="nil"/>
              <w:bottom w:val="single" w:sz="4" w:space="0" w:color="auto"/>
              <w:right w:val="single" w:sz="4" w:space="0" w:color="auto"/>
            </w:tcBorders>
            <w:shd w:val="clear" w:color="000000" w:fill="FFFFFF"/>
            <w:vAlign w:val="center"/>
            <w:hideMark/>
          </w:tcPr>
          <w:p w14:paraId="4A3AC44B" w14:textId="77777777" w:rsidR="00F61814" w:rsidRPr="00FC26AB" w:rsidRDefault="00F61814" w:rsidP="00B77C0B">
            <w:pPr>
              <w:pStyle w:val="NoSpacing"/>
              <w:rPr>
                <w:rFonts w:ascii="Times New Roman" w:hAnsi="Times New Roman" w:cs="Times New Roman"/>
                <w:sz w:val="18"/>
                <w:szCs w:val="18"/>
                <w:lang w:eastAsia="en-IN"/>
              </w:rPr>
            </w:pPr>
            <w:r w:rsidRPr="00FC26AB">
              <w:rPr>
                <w:rFonts w:ascii="Times New Roman" w:hAnsi="Times New Roman" w:cs="Times New Roman"/>
                <w:sz w:val="18"/>
                <w:szCs w:val="18"/>
                <w:lang w:eastAsia="en-IN"/>
              </w:rPr>
              <w:t>10</w:t>
            </w:r>
          </w:p>
        </w:tc>
        <w:tc>
          <w:tcPr>
            <w:tcW w:w="916" w:type="dxa"/>
            <w:tcBorders>
              <w:top w:val="nil"/>
              <w:left w:val="nil"/>
              <w:bottom w:val="single" w:sz="4" w:space="0" w:color="auto"/>
              <w:right w:val="single" w:sz="4" w:space="0" w:color="auto"/>
            </w:tcBorders>
            <w:shd w:val="clear" w:color="000000" w:fill="FFFFFF"/>
            <w:vAlign w:val="center"/>
            <w:hideMark/>
          </w:tcPr>
          <w:p w14:paraId="4B893CD9" w14:textId="77777777" w:rsidR="00F61814" w:rsidRPr="00FC26AB" w:rsidRDefault="00F61814" w:rsidP="00B77C0B">
            <w:pPr>
              <w:pStyle w:val="NoSpacing"/>
              <w:rPr>
                <w:rFonts w:ascii="Times New Roman" w:hAnsi="Times New Roman" w:cs="Times New Roman"/>
                <w:sz w:val="18"/>
                <w:szCs w:val="18"/>
                <w:lang w:eastAsia="en-IN"/>
              </w:rPr>
            </w:pPr>
            <w:r w:rsidRPr="00FC26AB">
              <w:rPr>
                <w:rFonts w:ascii="Times New Roman" w:hAnsi="Times New Roman" w:cs="Times New Roman"/>
                <w:sz w:val="18"/>
                <w:szCs w:val="18"/>
                <w:lang w:eastAsia="en-IN"/>
              </w:rPr>
              <w:t>10</w:t>
            </w:r>
          </w:p>
        </w:tc>
        <w:tc>
          <w:tcPr>
            <w:tcW w:w="696" w:type="dxa"/>
            <w:tcBorders>
              <w:top w:val="nil"/>
              <w:left w:val="nil"/>
              <w:bottom w:val="single" w:sz="4" w:space="0" w:color="auto"/>
              <w:right w:val="single" w:sz="4" w:space="0" w:color="auto"/>
            </w:tcBorders>
            <w:shd w:val="clear" w:color="000000" w:fill="FFFFFF"/>
            <w:vAlign w:val="center"/>
            <w:hideMark/>
          </w:tcPr>
          <w:p w14:paraId="6AF0353C" w14:textId="77777777" w:rsidR="00F61814" w:rsidRPr="00FC26AB" w:rsidRDefault="00F61814" w:rsidP="00B77C0B">
            <w:pPr>
              <w:pStyle w:val="NoSpacing"/>
              <w:rPr>
                <w:rFonts w:ascii="Times New Roman" w:hAnsi="Times New Roman" w:cs="Times New Roman"/>
                <w:sz w:val="18"/>
                <w:szCs w:val="18"/>
                <w:lang w:eastAsia="en-IN"/>
              </w:rPr>
            </w:pPr>
            <w:r w:rsidRPr="00FC26AB">
              <w:rPr>
                <w:rFonts w:ascii="Times New Roman" w:hAnsi="Times New Roman" w:cs="Times New Roman"/>
                <w:sz w:val="18"/>
                <w:szCs w:val="18"/>
                <w:lang w:eastAsia="en-IN"/>
              </w:rPr>
              <w:t>12</w:t>
            </w:r>
          </w:p>
        </w:tc>
        <w:tc>
          <w:tcPr>
            <w:tcW w:w="831" w:type="dxa"/>
            <w:tcBorders>
              <w:top w:val="nil"/>
              <w:left w:val="nil"/>
              <w:bottom w:val="single" w:sz="4" w:space="0" w:color="auto"/>
              <w:right w:val="single" w:sz="4" w:space="0" w:color="auto"/>
            </w:tcBorders>
            <w:shd w:val="clear" w:color="000000" w:fill="FFFFFF"/>
            <w:vAlign w:val="center"/>
            <w:hideMark/>
          </w:tcPr>
          <w:p w14:paraId="1C3727EC" w14:textId="77777777" w:rsidR="00F61814" w:rsidRPr="00FC26AB" w:rsidRDefault="00F61814" w:rsidP="00B77C0B">
            <w:pPr>
              <w:pStyle w:val="NoSpacing"/>
              <w:rPr>
                <w:rFonts w:ascii="Times New Roman" w:hAnsi="Times New Roman" w:cs="Times New Roman"/>
                <w:sz w:val="18"/>
                <w:szCs w:val="18"/>
                <w:lang w:eastAsia="en-IN"/>
              </w:rPr>
            </w:pPr>
            <w:r w:rsidRPr="00FC26AB">
              <w:rPr>
                <w:rFonts w:ascii="Times New Roman" w:hAnsi="Times New Roman" w:cs="Times New Roman"/>
                <w:sz w:val="18"/>
                <w:szCs w:val="18"/>
                <w:lang w:eastAsia="en-IN"/>
              </w:rPr>
              <w:t>11</w:t>
            </w:r>
          </w:p>
        </w:tc>
        <w:tc>
          <w:tcPr>
            <w:tcW w:w="1175" w:type="dxa"/>
            <w:tcBorders>
              <w:top w:val="nil"/>
              <w:left w:val="nil"/>
              <w:bottom w:val="single" w:sz="4" w:space="0" w:color="auto"/>
              <w:right w:val="single" w:sz="4" w:space="0" w:color="auto"/>
            </w:tcBorders>
            <w:shd w:val="clear" w:color="000000" w:fill="FFFFFF"/>
            <w:vAlign w:val="center"/>
            <w:hideMark/>
          </w:tcPr>
          <w:p w14:paraId="0B035C95" w14:textId="77777777" w:rsidR="00F61814" w:rsidRPr="00FC26AB" w:rsidRDefault="00F61814" w:rsidP="00B77C0B">
            <w:pPr>
              <w:pStyle w:val="NoSpacing"/>
              <w:rPr>
                <w:rFonts w:ascii="Times New Roman" w:hAnsi="Times New Roman" w:cs="Times New Roman"/>
                <w:sz w:val="18"/>
                <w:szCs w:val="18"/>
                <w:lang w:eastAsia="en-IN"/>
              </w:rPr>
            </w:pPr>
            <w:r w:rsidRPr="00FC26AB">
              <w:rPr>
                <w:rFonts w:ascii="Times New Roman" w:hAnsi="Times New Roman" w:cs="Times New Roman"/>
                <w:sz w:val="18"/>
                <w:szCs w:val="18"/>
                <w:lang w:eastAsia="en-IN"/>
              </w:rPr>
              <w:t>12</w:t>
            </w:r>
          </w:p>
        </w:tc>
        <w:tc>
          <w:tcPr>
            <w:tcW w:w="766" w:type="dxa"/>
            <w:tcBorders>
              <w:top w:val="nil"/>
              <w:left w:val="nil"/>
              <w:bottom w:val="single" w:sz="4" w:space="0" w:color="auto"/>
              <w:right w:val="single" w:sz="4" w:space="0" w:color="auto"/>
            </w:tcBorders>
            <w:shd w:val="clear" w:color="000000" w:fill="FFFFFF"/>
            <w:vAlign w:val="center"/>
            <w:hideMark/>
          </w:tcPr>
          <w:p w14:paraId="1B037D6C" w14:textId="77777777" w:rsidR="00F61814" w:rsidRPr="00FC26AB" w:rsidRDefault="00F61814" w:rsidP="00B77C0B">
            <w:pPr>
              <w:pStyle w:val="NoSpacing"/>
              <w:rPr>
                <w:rFonts w:ascii="Times New Roman" w:hAnsi="Times New Roman" w:cs="Times New Roman"/>
                <w:sz w:val="18"/>
                <w:szCs w:val="18"/>
                <w:lang w:eastAsia="en-IN"/>
              </w:rPr>
            </w:pPr>
            <w:r w:rsidRPr="00FC26AB">
              <w:rPr>
                <w:rFonts w:ascii="Times New Roman" w:hAnsi="Times New Roman" w:cs="Times New Roman"/>
                <w:sz w:val="18"/>
                <w:szCs w:val="18"/>
                <w:lang w:eastAsia="en-IN"/>
              </w:rPr>
              <w:t>11</w:t>
            </w:r>
          </w:p>
        </w:tc>
        <w:tc>
          <w:tcPr>
            <w:tcW w:w="700" w:type="dxa"/>
            <w:tcBorders>
              <w:top w:val="nil"/>
              <w:left w:val="nil"/>
              <w:bottom w:val="single" w:sz="4" w:space="0" w:color="auto"/>
              <w:right w:val="single" w:sz="4" w:space="0" w:color="auto"/>
            </w:tcBorders>
            <w:shd w:val="clear" w:color="000000" w:fill="FFFFFF"/>
            <w:vAlign w:val="center"/>
            <w:hideMark/>
          </w:tcPr>
          <w:p w14:paraId="6FEF6209" w14:textId="77777777" w:rsidR="00F61814" w:rsidRPr="00FC26AB" w:rsidRDefault="00F61814" w:rsidP="00B77C0B">
            <w:pPr>
              <w:pStyle w:val="NoSpacing"/>
              <w:rPr>
                <w:rFonts w:ascii="Times New Roman" w:hAnsi="Times New Roman" w:cs="Times New Roman"/>
                <w:sz w:val="18"/>
                <w:szCs w:val="18"/>
                <w:lang w:eastAsia="en-IN"/>
              </w:rPr>
            </w:pPr>
            <w:r w:rsidRPr="00FC26AB">
              <w:rPr>
                <w:rFonts w:ascii="Times New Roman" w:hAnsi="Times New Roman" w:cs="Times New Roman"/>
                <w:sz w:val="18"/>
                <w:szCs w:val="18"/>
                <w:lang w:eastAsia="en-IN"/>
              </w:rPr>
              <w:t>10</w:t>
            </w:r>
          </w:p>
        </w:tc>
        <w:tc>
          <w:tcPr>
            <w:tcW w:w="736" w:type="dxa"/>
            <w:tcBorders>
              <w:top w:val="nil"/>
              <w:left w:val="nil"/>
              <w:bottom w:val="single" w:sz="4" w:space="0" w:color="auto"/>
              <w:right w:val="single" w:sz="4" w:space="0" w:color="auto"/>
            </w:tcBorders>
            <w:shd w:val="clear" w:color="000000" w:fill="FFFFFF"/>
            <w:vAlign w:val="center"/>
            <w:hideMark/>
          </w:tcPr>
          <w:p w14:paraId="4D90F040" w14:textId="77777777" w:rsidR="00F61814" w:rsidRPr="00FC26AB" w:rsidRDefault="00F61814" w:rsidP="00B77C0B">
            <w:pPr>
              <w:pStyle w:val="NoSpacing"/>
              <w:rPr>
                <w:rFonts w:ascii="Times New Roman" w:hAnsi="Times New Roman" w:cs="Times New Roman"/>
                <w:sz w:val="18"/>
                <w:szCs w:val="18"/>
                <w:lang w:eastAsia="en-IN"/>
              </w:rPr>
            </w:pPr>
            <w:r w:rsidRPr="00FC26AB">
              <w:rPr>
                <w:rFonts w:ascii="Times New Roman" w:hAnsi="Times New Roman" w:cs="Times New Roman"/>
                <w:sz w:val="18"/>
                <w:szCs w:val="18"/>
                <w:lang w:eastAsia="en-IN"/>
              </w:rPr>
              <w:t>10</w:t>
            </w:r>
          </w:p>
        </w:tc>
        <w:tc>
          <w:tcPr>
            <w:tcW w:w="1004" w:type="dxa"/>
            <w:tcBorders>
              <w:top w:val="nil"/>
              <w:left w:val="nil"/>
              <w:bottom w:val="single" w:sz="4" w:space="0" w:color="auto"/>
              <w:right w:val="single" w:sz="4" w:space="0" w:color="auto"/>
            </w:tcBorders>
            <w:shd w:val="clear" w:color="000000" w:fill="FFFFFF"/>
            <w:vAlign w:val="center"/>
            <w:hideMark/>
          </w:tcPr>
          <w:p w14:paraId="4C5DA031" w14:textId="77777777" w:rsidR="00F61814" w:rsidRPr="00FC26AB" w:rsidRDefault="00F61814" w:rsidP="00B77C0B">
            <w:pPr>
              <w:pStyle w:val="NoSpacing"/>
              <w:rPr>
                <w:rFonts w:ascii="Times New Roman" w:hAnsi="Times New Roman" w:cs="Times New Roman"/>
                <w:sz w:val="18"/>
                <w:szCs w:val="18"/>
                <w:lang w:eastAsia="en-IN"/>
              </w:rPr>
            </w:pPr>
            <w:r w:rsidRPr="00FC26AB">
              <w:rPr>
                <w:rFonts w:ascii="Times New Roman" w:hAnsi="Times New Roman" w:cs="Times New Roman"/>
                <w:sz w:val="18"/>
                <w:szCs w:val="18"/>
                <w:lang w:eastAsia="en-IN"/>
              </w:rPr>
              <w:t>15</w:t>
            </w:r>
          </w:p>
        </w:tc>
        <w:tc>
          <w:tcPr>
            <w:tcW w:w="866" w:type="dxa"/>
            <w:tcBorders>
              <w:top w:val="nil"/>
              <w:left w:val="nil"/>
              <w:bottom w:val="single" w:sz="4" w:space="0" w:color="auto"/>
              <w:right w:val="single" w:sz="4" w:space="0" w:color="auto"/>
            </w:tcBorders>
            <w:shd w:val="clear" w:color="000000" w:fill="FFFFFF"/>
            <w:vAlign w:val="center"/>
            <w:hideMark/>
          </w:tcPr>
          <w:p w14:paraId="3ED74294" w14:textId="77777777" w:rsidR="00F61814" w:rsidRPr="00FC26AB" w:rsidRDefault="00F61814" w:rsidP="00B77C0B">
            <w:pPr>
              <w:pStyle w:val="NoSpacing"/>
              <w:rPr>
                <w:rFonts w:ascii="Times New Roman" w:hAnsi="Times New Roman" w:cs="Times New Roman"/>
                <w:sz w:val="18"/>
                <w:szCs w:val="18"/>
                <w:lang w:eastAsia="en-IN"/>
              </w:rPr>
            </w:pPr>
            <w:r w:rsidRPr="00FC26AB">
              <w:rPr>
                <w:rFonts w:ascii="Times New Roman" w:hAnsi="Times New Roman" w:cs="Times New Roman"/>
                <w:sz w:val="18"/>
                <w:szCs w:val="18"/>
                <w:lang w:eastAsia="en-IN"/>
              </w:rPr>
              <w:t>12</w:t>
            </w:r>
          </w:p>
        </w:tc>
        <w:tc>
          <w:tcPr>
            <w:tcW w:w="830" w:type="dxa"/>
            <w:tcBorders>
              <w:top w:val="nil"/>
              <w:left w:val="nil"/>
              <w:bottom w:val="single" w:sz="4" w:space="0" w:color="auto"/>
              <w:right w:val="single" w:sz="4" w:space="0" w:color="auto"/>
            </w:tcBorders>
            <w:shd w:val="clear" w:color="000000" w:fill="FFFFFF"/>
            <w:vAlign w:val="center"/>
            <w:hideMark/>
          </w:tcPr>
          <w:p w14:paraId="63220C3E" w14:textId="77777777" w:rsidR="00F61814" w:rsidRPr="00FC26AB" w:rsidRDefault="00F61814" w:rsidP="00B77C0B">
            <w:pPr>
              <w:pStyle w:val="NoSpacing"/>
              <w:rPr>
                <w:rFonts w:ascii="Times New Roman" w:hAnsi="Times New Roman" w:cs="Times New Roman"/>
                <w:sz w:val="18"/>
                <w:szCs w:val="18"/>
                <w:lang w:eastAsia="en-IN"/>
              </w:rPr>
            </w:pPr>
            <w:r w:rsidRPr="00FC26AB">
              <w:rPr>
                <w:rFonts w:ascii="Times New Roman" w:hAnsi="Times New Roman" w:cs="Times New Roman"/>
                <w:sz w:val="18"/>
                <w:szCs w:val="18"/>
                <w:lang w:eastAsia="en-IN"/>
              </w:rPr>
              <w:t>10</w:t>
            </w:r>
          </w:p>
        </w:tc>
        <w:tc>
          <w:tcPr>
            <w:tcW w:w="730" w:type="dxa"/>
            <w:tcBorders>
              <w:top w:val="nil"/>
              <w:left w:val="nil"/>
              <w:bottom w:val="single" w:sz="4" w:space="0" w:color="auto"/>
              <w:right w:val="single" w:sz="4" w:space="0" w:color="auto"/>
            </w:tcBorders>
            <w:shd w:val="clear" w:color="000000" w:fill="FFFFFF"/>
            <w:vAlign w:val="center"/>
            <w:hideMark/>
          </w:tcPr>
          <w:p w14:paraId="2C3C969E" w14:textId="77777777" w:rsidR="00F61814" w:rsidRPr="00FC26AB" w:rsidRDefault="00F61814" w:rsidP="00B77C0B">
            <w:pPr>
              <w:pStyle w:val="NoSpacing"/>
              <w:rPr>
                <w:rFonts w:ascii="Times New Roman" w:hAnsi="Times New Roman" w:cs="Times New Roman"/>
                <w:sz w:val="18"/>
                <w:szCs w:val="18"/>
                <w:lang w:eastAsia="en-IN"/>
              </w:rPr>
            </w:pPr>
            <w:r w:rsidRPr="00FC26AB">
              <w:rPr>
                <w:rFonts w:ascii="Times New Roman" w:hAnsi="Times New Roman" w:cs="Times New Roman"/>
                <w:sz w:val="18"/>
                <w:szCs w:val="18"/>
                <w:lang w:eastAsia="en-IN"/>
              </w:rPr>
              <w:t>12</w:t>
            </w:r>
          </w:p>
        </w:tc>
      </w:tr>
      <w:tr w:rsidR="00D75175" w:rsidRPr="00FC26AB" w14:paraId="05D24FFA" w14:textId="77777777" w:rsidTr="00FC26AB">
        <w:trPr>
          <w:trHeight w:val="20"/>
          <w:jc w:val="center"/>
        </w:trPr>
        <w:tc>
          <w:tcPr>
            <w:tcW w:w="1801" w:type="dxa"/>
            <w:tcBorders>
              <w:top w:val="nil"/>
              <w:left w:val="single" w:sz="4" w:space="0" w:color="auto"/>
              <w:bottom w:val="single" w:sz="4" w:space="0" w:color="auto"/>
              <w:right w:val="single" w:sz="4" w:space="0" w:color="auto"/>
            </w:tcBorders>
            <w:shd w:val="clear" w:color="000000" w:fill="FFFFFF"/>
            <w:vAlign w:val="center"/>
            <w:hideMark/>
          </w:tcPr>
          <w:p w14:paraId="422DD86C" w14:textId="77777777" w:rsidR="00F61814" w:rsidRPr="00FC26AB" w:rsidRDefault="00F61814" w:rsidP="00B77C0B">
            <w:pPr>
              <w:pStyle w:val="NoSpacing"/>
              <w:rPr>
                <w:rFonts w:ascii="Times New Roman" w:hAnsi="Times New Roman" w:cs="Times New Roman"/>
                <w:sz w:val="18"/>
                <w:szCs w:val="18"/>
                <w:lang w:eastAsia="en-IN"/>
              </w:rPr>
            </w:pPr>
            <w:r w:rsidRPr="00FC26AB">
              <w:rPr>
                <w:rFonts w:ascii="Times New Roman" w:hAnsi="Times New Roman" w:cs="Times New Roman"/>
                <w:sz w:val="18"/>
                <w:szCs w:val="18"/>
                <w:lang w:eastAsia="en-IN"/>
              </w:rPr>
              <w:t>11.Paper</w:t>
            </w:r>
          </w:p>
        </w:tc>
        <w:tc>
          <w:tcPr>
            <w:tcW w:w="842" w:type="dxa"/>
            <w:tcBorders>
              <w:top w:val="nil"/>
              <w:left w:val="nil"/>
              <w:bottom w:val="single" w:sz="4" w:space="0" w:color="auto"/>
              <w:right w:val="single" w:sz="4" w:space="0" w:color="auto"/>
            </w:tcBorders>
            <w:shd w:val="clear" w:color="000000" w:fill="FFFFFF"/>
            <w:vAlign w:val="center"/>
            <w:hideMark/>
          </w:tcPr>
          <w:p w14:paraId="73D471A3" w14:textId="77777777" w:rsidR="00F61814" w:rsidRPr="00FC26AB" w:rsidRDefault="00F61814" w:rsidP="00B77C0B">
            <w:pPr>
              <w:pStyle w:val="NoSpacing"/>
              <w:rPr>
                <w:rFonts w:ascii="Times New Roman" w:hAnsi="Times New Roman" w:cs="Times New Roman"/>
                <w:sz w:val="18"/>
                <w:szCs w:val="18"/>
                <w:lang w:eastAsia="en-IN"/>
              </w:rPr>
            </w:pPr>
            <w:r w:rsidRPr="00FC26AB">
              <w:rPr>
                <w:rFonts w:ascii="Times New Roman" w:hAnsi="Times New Roman" w:cs="Times New Roman"/>
                <w:sz w:val="18"/>
                <w:szCs w:val="18"/>
                <w:lang w:eastAsia="en-IN"/>
              </w:rPr>
              <w:t>..</w:t>
            </w:r>
          </w:p>
        </w:tc>
        <w:tc>
          <w:tcPr>
            <w:tcW w:w="706" w:type="dxa"/>
            <w:tcBorders>
              <w:top w:val="nil"/>
              <w:left w:val="nil"/>
              <w:bottom w:val="single" w:sz="4" w:space="0" w:color="auto"/>
              <w:right w:val="single" w:sz="4" w:space="0" w:color="auto"/>
            </w:tcBorders>
            <w:shd w:val="clear" w:color="000000" w:fill="FFFFFF"/>
            <w:vAlign w:val="center"/>
            <w:hideMark/>
          </w:tcPr>
          <w:p w14:paraId="38186237" w14:textId="77777777" w:rsidR="00F61814" w:rsidRPr="00FC26AB" w:rsidRDefault="00F61814" w:rsidP="00B77C0B">
            <w:pPr>
              <w:pStyle w:val="NoSpacing"/>
              <w:rPr>
                <w:rFonts w:ascii="Times New Roman" w:hAnsi="Times New Roman" w:cs="Times New Roman"/>
                <w:sz w:val="18"/>
                <w:szCs w:val="18"/>
                <w:lang w:eastAsia="en-IN"/>
              </w:rPr>
            </w:pPr>
            <w:r w:rsidRPr="00FC26AB">
              <w:rPr>
                <w:rFonts w:ascii="Times New Roman" w:hAnsi="Times New Roman" w:cs="Times New Roman"/>
                <w:sz w:val="18"/>
                <w:szCs w:val="18"/>
                <w:lang w:eastAsia="en-IN"/>
              </w:rPr>
              <w:t>NA</w:t>
            </w:r>
          </w:p>
        </w:tc>
        <w:tc>
          <w:tcPr>
            <w:tcW w:w="616" w:type="dxa"/>
            <w:tcBorders>
              <w:top w:val="nil"/>
              <w:left w:val="nil"/>
              <w:bottom w:val="single" w:sz="4" w:space="0" w:color="auto"/>
              <w:right w:val="single" w:sz="4" w:space="0" w:color="auto"/>
            </w:tcBorders>
            <w:shd w:val="clear" w:color="000000" w:fill="FFFFFF"/>
            <w:vAlign w:val="center"/>
            <w:hideMark/>
          </w:tcPr>
          <w:p w14:paraId="1A7CB651" w14:textId="77777777" w:rsidR="00F61814" w:rsidRPr="00FC26AB" w:rsidRDefault="00F61814" w:rsidP="00B77C0B">
            <w:pPr>
              <w:pStyle w:val="NoSpacing"/>
              <w:rPr>
                <w:rFonts w:ascii="Times New Roman" w:hAnsi="Times New Roman" w:cs="Times New Roman"/>
                <w:sz w:val="18"/>
                <w:szCs w:val="18"/>
                <w:lang w:eastAsia="en-IN"/>
              </w:rPr>
            </w:pPr>
            <w:r w:rsidRPr="00FC26AB">
              <w:rPr>
                <w:rFonts w:ascii="Times New Roman" w:hAnsi="Times New Roman" w:cs="Times New Roman"/>
                <w:sz w:val="18"/>
                <w:szCs w:val="18"/>
                <w:lang w:eastAsia="en-IN"/>
              </w:rPr>
              <w:t>7</w:t>
            </w:r>
          </w:p>
        </w:tc>
        <w:tc>
          <w:tcPr>
            <w:tcW w:w="756" w:type="dxa"/>
            <w:tcBorders>
              <w:top w:val="nil"/>
              <w:left w:val="nil"/>
              <w:bottom w:val="single" w:sz="4" w:space="0" w:color="auto"/>
              <w:right w:val="single" w:sz="4" w:space="0" w:color="auto"/>
            </w:tcBorders>
            <w:shd w:val="clear" w:color="000000" w:fill="FFFFFF"/>
            <w:vAlign w:val="center"/>
            <w:hideMark/>
          </w:tcPr>
          <w:p w14:paraId="3D6B0F34" w14:textId="77777777" w:rsidR="00F61814" w:rsidRPr="00FC26AB" w:rsidRDefault="00F61814" w:rsidP="00B77C0B">
            <w:pPr>
              <w:pStyle w:val="NoSpacing"/>
              <w:rPr>
                <w:rFonts w:ascii="Times New Roman" w:hAnsi="Times New Roman" w:cs="Times New Roman"/>
                <w:sz w:val="18"/>
                <w:szCs w:val="18"/>
                <w:lang w:eastAsia="en-IN"/>
              </w:rPr>
            </w:pPr>
            <w:r w:rsidRPr="00FC26AB">
              <w:rPr>
                <w:rFonts w:ascii="Times New Roman" w:hAnsi="Times New Roman" w:cs="Times New Roman"/>
                <w:sz w:val="18"/>
                <w:szCs w:val="18"/>
                <w:lang w:eastAsia="en-IN"/>
              </w:rPr>
              <w:t>5</w:t>
            </w:r>
          </w:p>
        </w:tc>
        <w:tc>
          <w:tcPr>
            <w:tcW w:w="1355" w:type="dxa"/>
            <w:tcBorders>
              <w:top w:val="nil"/>
              <w:left w:val="nil"/>
              <w:bottom w:val="single" w:sz="4" w:space="0" w:color="auto"/>
              <w:right w:val="single" w:sz="4" w:space="0" w:color="auto"/>
            </w:tcBorders>
            <w:shd w:val="clear" w:color="000000" w:fill="FFFFFF"/>
            <w:vAlign w:val="center"/>
            <w:hideMark/>
          </w:tcPr>
          <w:p w14:paraId="4F330632" w14:textId="77777777" w:rsidR="00F61814" w:rsidRPr="00FC26AB" w:rsidRDefault="00F61814" w:rsidP="00B77C0B">
            <w:pPr>
              <w:pStyle w:val="NoSpacing"/>
              <w:rPr>
                <w:rFonts w:ascii="Times New Roman" w:hAnsi="Times New Roman" w:cs="Times New Roman"/>
                <w:sz w:val="18"/>
                <w:szCs w:val="18"/>
                <w:lang w:eastAsia="en-IN"/>
              </w:rPr>
            </w:pPr>
            <w:r w:rsidRPr="00FC26AB">
              <w:rPr>
                <w:rFonts w:ascii="Times New Roman" w:hAnsi="Times New Roman" w:cs="Times New Roman"/>
                <w:sz w:val="18"/>
                <w:szCs w:val="18"/>
                <w:lang w:eastAsia="en-IN"/>
              </w:rPr>
              <w:t>6</w:t>
            </w:r>
          </w:p>
        </w:tc>
        <w:tc>
          <w:tcPr>
            <w:tcW w:w="916" w:type="dxa"/>
            <w:tcBorders>
              <w:top w:val="nil"/>
              <w:left w:val="nil"/>
              <w:bottom w:val="single" w:sz="4" w:space="0" w:color="auto"/>
              <w:right w:val="single" w:sz="4" w:space="0" w:color="auto"/>
            </w:tcBorders>
            <w:shd w:val="clear" w:color="000000" w:fill="FFFFFF"/>
            <w:vAlign w:val="center"/>
            <w:hideMark/>
          </w:tcPr>
          <w:p w14:paraId="738190DD" w14:textId="77777777" w:rsidR="00F61814" w:rsidRPr="00FC26AB" w:rsidRDefault="00F61814" w:rsidP="00B77C0B">
            <w:pPr>
              <w:pStyle w:val="NoSpacing"/>
              <w:rPr>
                <w:rFonts w:ascii="Times New Roman" w:hAnsi="Times New Roman" w:cs="Times New Roman"/>
                <w:sz w:val="18"/>
                <w:szCs w:val="18"/>
                <w:lang w:eastAsia="en-IN"/>
              </w:rPr>
            </w:pPr>
            <w:r w:rsidRPr="00FC26AB">
              <w:rPr>
                <w:rFonts w:ascii="Times New Roman" w:hAnsi="Times New Roman" w:cs="Times New Roman"/>
                <w:sz w:val="18"/>
                <w:szCs w:val="18"/>
                <w:lang w:eastAsia="en-IN"/>
              </w:rPr>
              <w:t>exempted</w:t>
            </w:r>
          </w:p>
        </w:tc>
        <w:tc>
          <w:tcPr>
            <w:tcW w:w="696" w:type="dxa"/>
            <w:tcBorders>
              <w:top w:val="nil"/>
              <w:left w:val="nil"/>
              <w:bottom w:val="single" w:sz="4" w:space="0" w:color="auto"/>
              <w:right w:val="single" w:sz="4" w:space="0" w:color="auto"/>
            </w:tcBorders>
            <w:shd w:val="clear" w:color="000000" w:fill="FFFFFF"/>
            <w:vAlign w:val="center"/>
            <w:hideMark/>
          </w:tcPr>
          <w:p w14:paraId="4C9F7348" w14:textId="77777777" w:rsidR="00F61814" w:rsidRPr="00FC26AB" w:rsidRDefault="00F61814" w:rsidP="00B77C0B">
            <w:pPr>
              <w:pStyle w:val="NoSpacing"/>
              <w:rPr>
                <w:rFonts w:ascii="Times New Roman" w:hAnsi="Times New Roman" w:cs="Times New Roman"/>
                <w:sz w:val="18"/>
                <w:szCs w:val="18"/>
                <w:lang w:eastAsia="en-IN"/>
              </w:rPr>
            </w:pPr>
            <w:r w:rsidRPr="00FC26AB">
              <w:rPr>
                <w:rFonts w:ascii="Times New Roman" w:hAnsi="Times New Roman" w:cs="Times New Roman"/>
                <w:sz w:val="18"/>
                <w:szCs w:val="18"/>
                <w:lang w:eastAsia="en-IN"/>
              </w:rPr>
              <w:t>5</w:t>
            </w:r>
          </w:p>
        </w:tc>
        <w:tc>
          <w:tcPr>
            <w:tcW w:w="831" w:type="dxa"/>
            <w:tcBorders>
              <w:top w:val="nil"/>
              <w:left w:val="nil"/>
              <w:bottom w:val="single" w:sz="4" w:space="0" w:color="auto"/>
              <w:right w:val="single" w:sz="4" w:space="0" w:color="auto"/>
            </w:tcBorders>
            <w:shd w:val="clear" w:color="000000" w:fill="FFFFFF"/>
            <w:vAlign w:val="center"/>
            <w:hideMark/>
          </w:tcPr>
          <w:p w14:paraId="1C167AE2" w14:textId="77777777" w:rsidR="00F61814" w:rsidRPr="00FC26AB" w:rsidRDefault="00F61814" w:rsidP="00B77C0B">
            <w:pPr>
              <w:pStyle w:val="NoSpacing"/>
              <w:rPr>
                <w:rFonts w:ascii="Times New Roman" w:hAnsi="Times New Roman" w:cs="Times New Roman"/>
                <w:sz w:val="18"/>
                <w:szCs w:val="18"/>
                <w:lang w:eastAsia="en-IN"/>
              </w:rPr>
            </w:pPr>
            <w:r w:rsidRPr="00FC26AB">
              <w:rPr>
                <w:rFonts w:ascii="Times New Roman" w:hAnsi="Times New Roman" w:cs="Times New Roman"/>
                <w:sz w:val="18"/>
                <w:szCs w:val="18"/>
                <w:lang w:eastAsia="en-IN"/>
              </w:rPr>
              <w:t>7</w:t>
            </w:r>
          </w:p>
        </w:tc>
        <w:tc>
          <w:tcPr>
            <w:tcW w:w="1175" w:type="dxa"/>
            <w:tcBorders>
              <w:top w:val="nil"/>
              <w:left w:val="nil"/>
              <w:bottom w:val="single" w:sz="4" w:space="0" w:color="auto"/>
              <w:right w:val="single" w:sz="4" w:space="0" w:color="auto"/>
            </w:tcBorders>
            <w:shd w:val="clear" w:color="000000" w:fill="FFFFFF"/>
            <w:vAlign w:val="center"/>
            <w:hideMark/>
          </w:tcPr>
          <w:p w14:paraId="2574EEE5" w14:textId="77777777" w:rsidR="00F61814" w:rsidRPr="00FC26AB" w:rsidRDefault="00F61814" w:rsidP="00B77C0B">
            <w:pPr>
              <w:pStyle w:val="NoSpacing"/>
              <w:rPr>
                <w:rFonts w:ascii="Times New Roman" w:hAnsi="Times New Roman" w:cs="Times New Roman"/>
                <w:sz w:val="18"/>
                <w:szCs w:val="18"/>
                <w:lang w:eastAsia="en-IN"/>
              </w:rPr>
            </w:pPr>
            <w:r w:rsidRPr="00FC26AB">
              <w:rPr>
                <w:rFonts w:ascii="Times New Roman" w:hAnsi="Times New Roman" w:cs="Times New Roman"/>
                <w:sz w:val="18"/>
                <w:szCs w:val="18"/>
                <w:lang w:eastAsia="en-IN"/>
              </w:rPr>
              <w:t>5</w:t>
            </w:r>
          </w:p>
        </w:tc>
        <w:tc>
          <w:tcPr>
            <w:tcW w:w="766" w:type="dxa"/>
            <w:tcBorders>
              <w:top w:val="nil"/>
              <w:left w:val="nil"/>
              <w:bottom w:val="single" w:sz="4" w:space="0" w:color="auto"/>
              <w:right w:val="single" w:sz="4" w:space="0" w:color="auto"/>
            </w:tcBorders>
            <w:shd w:val="clear" w:color="000000" w:fill="FFFFFF"/>
            <w:vAlign w:val="center"/>
            <w:hideMark/>
          </w:tcPr>
          <w:p w14:paraId="11FD82EA" w14:textId="77777777" w:rsidR="00F61814" w:rsidRPr="00FC26AB" w:rsidRDefault="00F61814" w:rsidP="00B77C0B">
            <w:pPr>
              <w:pStyle w:val="NoSpacing"/>
              <w:rPr>
                <w:rFonts w:ascii="Times New Roman" w:hAnsi="Times New Roman" w:cs="Times New Roman"/>
                <w:sz w:val="18"/>
                <w:szCs w:val="18"/>
                <w:lang w:eastAsia="en-IN"/>
              </w:rPr>
            </w:pPr>
            <w:r w:rsidRPr="00FC26AB">
              <w:rPr>
                <w:rFonts w:ascii="Times New Roman" w:hAnsi="Times New Roman" w:cs="Times New Roman"/>
                <w:sz w:val="18"/>
                <w:szCs w:val="18"/>
                <w:lang w:eastAsia="en-IN"/>
              </w:rPr>
              <w:t>NA</w:t>
            </w:r>
          </w:p>
        </w:tc>
        <w:tc>
          <w:tcPr>
            <w:tcW w:w="700" w:type="dxa"/>
            <w:tcBorders>
              <w:top w:val="nil"/>
              <w:left w:val="nil"/>
              <w:bottom w:val="single" w:sz="4" w:space="0" w:color="auto"/>
              <w:right w:val="single" w:sz="4" w:space="0" w:color="auto"/>
            </w:tcBorders>
            <w:shd w:val="clear" w:color="000000" w:fill="FFFFFF"/>
            <w:vAlign w:val="center"/>
            <w:hideMark/>
          </w:tcPr>
          <w:p w14:paraId="4593F591" w14:textId="77777777" w:rsidR="00F61814" w:rsidRPr="00FC26AB" w:rsidRDefault="00F61814" w:rsidP="00B77C0B">
            <w:pPr>
              <w:pStyle w:val="NoSpacing"/>
              <w:rPr>
                <w:rFonts w:ascii="Times New Roman" w:hAnsi="Times New Roman" w:cs="Times New Roman"/>
                <w:sz w:val="18"/>
                <w:szCs w:val="18"/>
                <w:lang w:eastAsia="en-IN"/>
              </w:rPr>
            </w:pPr>
            <w:r w:rsidRPr="00FC26AB">
              <w:rPr>
                <w:rFonts w:ascii="Times New Roman" w:hAnsi="Times New Roman" w:cs="Times New Roman"/>
                <w:sz w:val="18"/>
                <w:szCs w:val="18"/>
                <w:lang w:eastAsia="en-IN"/>
              </w:rPr>
              <w:t>7</w:t>
            </w:r>
          </w:p>
        </w:tc>
        <w:tc>
          <w:tcPr>
            <w:tcW w:w="736" w:type="dxa"/>
            <w:tcBorders>
              <w:top w:val="nil"/>
              <w:left w:val="nil"/>
              <w:bottom w:val="single" w:sz="4" w:space="0" w:color="auto"/>
              <w:right w:val="single" w:sz="4" w:space="0" w:color="auto"/>
            </w:tcBorders>
            <w:shd w:val="clear" w:color="000000" w:fill="FFFFFF"/>
            <w:vAlign w:val="center"/>
            <w:hideMark/>
          </w:tcPr>
          <w:p w14:paraId="58409C1B" w14:textId="77777777" w:rsidR="00F61814" w:rsidRPr="00FC26AB" w:rsidRDefault="00F61814" w:rsidP="00B77C0B">
            <w:pPr>
              <w:pStyle w:val="NoSpacing"/>
              <w:rPr>
                <w:rFonts w:ascii="Times New Roman" w:hAnsi="Times New Roman" w:cs="Times New Roman"/>
                <w:sz w:val="18"/>
                <w:szCs w:val="18"/>
                <w:lang w:eastAsia="en-IN"/>
              </w:rPr>
            </w:pPr>
            <w:r w:rsidRPr="00FC26AB">
              <w:rPr>
                <w:rFonts w:ascii="Times New Roman" w:hAnsi="Times New Roman" w:cs="Times New Roman"/>
                <w:sz w:val="18"/>
                <w:szCs w:val="18"/>
                <w:lang w:eastAsia="en-IN"/>
              </w:rPr>
              <w:t>6</w:t>
            </w:r>
          </w:p>
        </w:tc>
        <w:tc>
          <w:tcPr>
            <w:tcW w:w="1004" w:type="dxa"/>
            <w:tcBorders>
              <w:top w:val="nil"/>
              <w:left w:val="nil"/>
              <w:bottom w:val="single" w:sz="4" w:space="0" w:color="auto"/>
              <w:right w:val="single" w:sz="4" w:space="0" w:color="auto"/>
            </w:tcBorders>
            <w:shd w:val="clear" w:color="000000" w:fill="FFFFFF"/>
            <w:vAlign w:val="center"/>
            <w:hideMark/>
          </w:tcPr>
          <w:p w14:paraId="41B1AF3F" w14:textId="77777777" w:rsidR="00F61814" w:rsidRPr="00FC26AB" w:rsidRDefault="00F61814" w:rsidP="00B77C0B">
            <w:pPr>
              <w:pStyle w:val="NoSpacing"/>
              <w:rPr>
                <w:rFonts w:ascii="Times New Roman" w:hAnsi="Times New Roman" w:cs="Times New Roman"/>
                <w:sz w:val="18"/>
                <w:szCs w:val="18"/>
                <w:lang w:eastAsia="en-IN"/>
              </w:rPr>
            </w:pPr>
            <w:r w:rsidRPr="00FC26AB">
              <w:rPr>
                <w:rFonts w:ascii="Times New Roman" w:hAnsi="Times New Roman" w:cs="Times New Roman"/>
                <w:sz w:val="18"/>
                <w:szCs w:val="18"/>
                <w:lang w:eastAsia="en-IN"/>
              </w:rPr>
              <w:t>6</w:t>
            </w:r>
          </w:p>
        </w:tc>
        <w:tc>
          <w:tcPr>
            <w:tcW w:w="866" w:type="dxa"/>
            <w:tcBorders>
              <w:top w:val="nil"/>
              <w:left w:val="nil"/>
              <w:bottom w:val="single" w:sz="4" w:space="0" w:color="auto"/>
              <w:right w:val="single" w:sz="4" w:space="0" w:color="auto"/>
            </w:tcBorders>
            <w:shd w:val="clear" w:color="000000" w:fill="FFFFFF"/>
            <w:vAlign w:val="center"/>
            <w:hideMark/>
          </w:tcPr>
          <w:p w14:paraId="589CCBE4" w14:textId="77777777" w:rsidR="00F61814" w:rsidRPr="00FC26AB" w:rsidRDefault="00F61814" w:rsidP="00B77C0B">
            <w:pPr>
              <w:pStyle w:val="NoSpacing"/>
              <w:rPr>
                <w:rFonts w:ascii="Times New Roman" w:hAnsi="Times New Roman" w:cs="Times New Roman"/>
                <w:sz w:val="18"/>
                <w:szCs w:val="18"/>
                <w:lang w:eastAsia="en-IN"/>
              </w:rPr>
            </w:pPr>
            <w:r w:rsidRPr="00FC26AB">
              <w:rPr>
                <w:rFonts w:ascii="Times New Roman" w:hAnsi="Times New Roman" w:cs="Times New Roman"/>
                <w:sz w:val="18"/>
                <w:szCs w:val="18"/>
                <w:lang w:eastAsia="en-IN"/>
              </w:rPr>
              <w:t>3</w:t>
            </w:r>
          </w:p>
        </w:tc>
        <w:tc>
          <w:tcPr>
            <w:tcW w:w="830" w:type="dxa"/>
            <w:tcBorders>
              <w:top w:val="nil"/>
              <w:left w:val="nil"/>
              <w:bottom w:val="single" w:sz="4" w:space="0" w:color="auto"/>
              <w:right w:val="single" w:sz="4" w:space="0" w:color="auto"/>
            </w:tcBorders>
            <w:shd w:val="clear" w:color="000000" w:fill="FFFFFF"/>
            <w:vAlign w:val="center"/>
            <w:hideMark/>
          </w:tcPr>
          <w:p w14:paraId="1246D906" w14:textId="77777777" w:rsidR="00F61814" w:rsidRPr="00FC26AB" w:rsidRDefault="00F61814" w:rsidP="00B77C0B">
            <w:pPr>
              <w:pStyle w:val="NoSpacing"/>
              <w:rPr>
                <w:rFonts w:ascii="Times New Roman" w:hAnsi="Times New Roman" w:cs="Times New Roman"/>
                <w:sz w:val="18"/>
                <w:szCs w:val="18"/>
                <w:lang w:eastAsia="en-IN"/>
              </w:rPr>
            </w:pPr>
            <w:r w:rsidRPr="00FC26AB">
              <w:rPr>
                <w:rFonts w:ascii="Times New Roman" w:hAnsi="Times New Roman" w:cs="Times New Roman"/>
                <w:sz w:val="18"/>
                <w:szCs w:val="18"/>
                <w:lang w:eastAsia="en-IN"/>
              </w:rPr>
              <w:t>6</w:t>
            </w:r>
          </w:p>
        </w:tc>
        <w:tc>
          <w:tcPr>
            <w:tcW w:w="730" w:type="dxa"/>
            <w:tcBorders>
              <w:top w:val="nil"/>
              <w:left w:val="nil"/>
              <w:bottom w:val="single" w:sz="4" w:space="0" w:color="auto"/>
              <w:right w:val="single" w:sz="4" w:space="0" w:color="auto"/>
            </w:tcBorders>
            <w:shd w:val="clear" w:color="000000" w:fill="FFFFFF"/>
            <w:vAlign w:val="center"/>
            <w:hideMark/>
          </w:tcPr>
          <w:p w14:paraId="430083EF" w14:textId="77777777" w:rsidR="00F61814" w:rsidRPr="00FC26AB" w:rsidRDefault="00F61814" w:rsidP="00B77C0B">
            <w:pPr>
              <w:pStyle w:val="NoSpacing"/>
              <w:rPr>
                <w:rFonts w:ascii="Times New Roman" w:hAnsi="Times New Roman" w:cs="Times New Roman"/>
                <w:sz w:val="18"/>
                <w:szCs w:val="18"/>
                <w:lang w:eastAsia="en-IN"/>
              </w:rPr>
            </w:pPr>
            <w:r w:rsidRPr="00FC26AB">
              <w:rPr>
                <w:rFonts w:ascii="Times New Roman" w:hAnsi="Times New Roman" w:cs="Times New Roman"/>
                <w:sz w:val="18"/>
                <w:szCs w:val="18"/>
                <w:lang w:eastAsia="en-IN"/>
              </w:rPr>
              <w:t>5</w:t>
            </w:r>
          </w:p>
        </w:tc>
      </w:tr>
      <w:tr w:rsidR="00D75175" w:rsidRPr="00FC26AB" w14:paraId="72E5761C" w14:textId="77777777" w:rsidTr="00FC26AB">
        <w:trPr>
          <w:trHeight w:val="20"/>
          <w:jc w:val="center"/>
        </w:trPr>
        <w:tc>
          <w:tcPr>
            <w:tcW w:w="1801" w:type="dxa"/>
            <w:tcBorders>
              <w:top w:val="nil"/>
              <w:left w:val="single" w:sz="4" w:space="0" w:color="auto"/>
              <w:bottom w:val="single" w:sz="4" w:space="0" w:color="auto"/>
              <w:right w:val="single" w:sz="4" w:space="0" w:color="auto"/>
            </w:tcBorders>
            <w:shd w:val="clear" w:color="000000" w:fill="FFFFFF"/>
            <w:vAlign w:val="center"/>
            <w:hideMark/>
          </w:tcPr>
          <w:p w14:paraId="7052EFBA" w14:textId="77777777" w:rsidR="00F61814" w:rsidRPr="00FC26AB" w:rsidRDefault="00F61814" w:rsidP="00B77C0B">
            <w:pPr>
              <w:pStyle w:val="NoSpacing"/>
              <w:rPr>
                <w:rFonts w:ascii="Times New Roman" w:hAnsi="Times New Roman" w:cs="Times New Roman"/>
                <w:sz w:val="18"/>
                <w:szCs w:val="18"/>
                <w:lang w:eastAsia="en-IN"/>
              </w:rPr>
            </w:pPr>
            <w:r w:rsidRPr="00FC26AB">
              <w:rPr>
                <w:rFonts w:ascii="Times New Roman" w:hAnsi="Times New Roman" w:cs="Times New Roman"/>
                <w:sz w:val="18"/>
                <w:szCs w:val="18"/>
                <w:lang w:eastAsia="en-IN"/>
              </w:rPr>
              <w:t>12.Cotton yarn</w:t>
            </w:r>
          </w:p>
        </w:tc>
        <w:tc>
          <w:tcPr>
            <w:tcW w:w="842" w:type="dxa"/>
            <w:tcBorders>
              <w:top w:val="nil"/>
              <w:left w:val="nil"/>
              <w:bottom w:val="single" w:sz="4" w:space="0" w:color="auto"/>
              <w:right w:val="single" w:sz="4" w:space="0" w:color="auto"/>
            </w:tcBorders>
            <w:shd w:val="clear" w:color="000000" w:fill="FFFFFF"/>
            <w:vAlign w:val="center"/>
            <w:hideMark/>
          </w:tcPr>
          <w:p w14:paraId="38C39E78" w14:textId="77777777" w:rsidR="00F61814" w:rsidRPr="00FC26AB" w:rsidRDefault="00F61814" w:rsidP="00B77C0B">
            <w:pPr>
              <w:pStyle w:val="NoSpacing"/>
              <w:rPr>
                <w:rFonts w:ascii="Times New Roman" w:hAnsi="Times New Roman" w:cs="Times New Roman"/>
                <w:sz w:val="18"/>
                <w:szCs w:val="18"/>
                <w:lang w:eastAsia="en-IN"/>
              </w:rPr>
            </w:pPr>
            <w:r w:rsidRPr="00FC26AB">
              <w:rPr>
                <w:rFonts w:ascii="Times New Roman" w:hAnsi="Times New Roman" w:cs="Times New Roman"/>
                <w:sz w:val="18"/>
                <w:szCs w:val="18"/>
                <w:lang w:eastAsia="en-IN"/>
              </w:rPr>
              <w:t>½</w:t>
            </w:r>
          </w:p>
        </w:tc>
        <w:tc>
          <w:tcPr>
            <w:tcW w:w="706" w:type="dxa"/>
            <w:tcBorders>
              <w:top w:val="nil"/>
              <w:left w:val="nil"/>
              <w:bottom w:val="single" w:sz="4" w:space="0" w:color="auto"/>
              <w:right w:val="single" w:sz="4" w:space="0" w:color="auto"/>
            </w:tcBorders>
            <w:shd w:val="clear" w:color="000000" w:fill="FFFFFF"/>
            <w:vAlign w:val="center"/>
            <w:hideMark/>
          </w:tcPr>
          <w:p w14:paraId="43A32AA6" w14:textId="77777777" w:rsidR="00F61814" w:rsidRPr="00FC26AB" w:rsidRDefault="00F61814" w:rsidP="00B77C0B">
            <w:pPr>
              <w:pStyle w:val="NoSpacing"/>
              <w:rPr>
                <w:rFonts w:ascii="Times New Roman" w:hAnsi="Times New Roman" w:cs="Times New Roman"/>
                <w:sz w:val="18"/>
                <w:szCs w:val="18"/>
                <w:lang w:eastAsia="en-IN"/>
              </w:rPr>
            </w:pPr>
            <w:r w:rsidRPr="00FC26AB">
              <w:rPr>
                <w:rFonts w:ascii="Times New Roman" w:hAnsi="Times New Roman" w:cs="Times New Roman"/>
                <w:sz w:val="18"/>
                <w:szCs w:val="18"/>
                <w:lang w:eastAsia="en-IN"/>
              </w:rPr>
              <w:t>NA</w:t>
            </w:r>
          </w:p>
        </w:tc>
        <w:tc>
          <w:tcPr>
            <w:tcW w:w="616" w:type="dxa"/>
            <w:tcBorders>
              <w:top w:val="nil"/>
              <w:left w:val="nil"/>
              <w:bottom w:val="single" w:sz="4" w:space="0" w:color="auto"/>
              <w:right w:val="single" w:sz="4" w:space="0" w:color="auto"/>
            </w:tcBorders>
            <w:shd w:val="clear" w:color="000000" w:fill="FFFFFF"/>
            <w:vAlign w:val="center"/>
            <w:hideMark/>
          </w:tcPr>
          <w:p w14:paraId="65A7FFF7" w14:textId="77777777" w:rsidR="00F61814" w:rsidRPr="00FC26AB" w:rsidRDefault="00F61814" w:rsidP="00B77C0B">
            <w:pPr>
              <w:pStyle w:val="NoSpacing"/>
              <w:rPr>
                <w:rFonts w:ascii="Times New Roman" w:hAnsi="Times New Roman" w:cs="Times New Roman"/>
                <w:sz w:val="18"/>
                <w:szCs w:val="18"/>
                <w:lang w:eastAsia="en-IN"/>
              </w:rPr>
            </w:pPr>
            <w:r w:rsidRPr="00FC26AB">
              <w:rPr>
                <w:rFonts w:ascii="Times New Roman" w:hAnsi="Times New Roman" w:cs="Times New Roman"/>
                <w:sz w:val="18"/>
                <w:szCs w:val="18"/>
                <w:lang w:eastAsia="en-IN"/>
              </w:rPr>
              <w:t>..</w:t>
            </w:r>
          </w:p>
        </w:tc>
        <w:tc>
          <w:tcPr>
            <w:tcW w:w="756" w:type="dxa"/>
            <w:tcBorders>
              <w:top w:val="nil"/>
              <w:left w:val="nil"/>
              <w:bottom w:val="single" w:sz="4" w:space="0" w:color="auto"/>
              <w:right w:val="single" w:sz="4" w:space="0" w:color="auto"/>
            </w:tcBorders>
            <w:shd w:val="clear" w:color="000000" w:fill="FFFFFF"/>
            <w:vAlign w:val="center"/>
            <w:hideMark/>
          </w:tcPr>
          <w:p w14:paraId="79138284" w14:textId="77777777" w:rsidR="00F61814" w:rsidRPr="00FC26AB" w:rsidRDefault="00F61814" w:rsidP="00B77C0B">
            <w:pPr>
              <w:pStyle w:val="NoSpacing"/>
              <w:rPr>
                <w:rFonts w:ascii="Times New Roman" w:hAnsi="Times New Roman" w:cs="Times New Roman"/>
                <w:sz w:val="18"/>
                <w:szCs w:val="18"/>
                <w:lang w:eastAsia="en-IN"/>
              </w:rPr>
            </w:pPr>
            <w:r w:rsidRPr="00FC26AB">
              <w:rPr>
                <w:rFonts w:ascii="Times New Roman" w:hAnsi="Times New Roman" w:cs="Times New Roman"/>
                <w:sz w:val="18"/>
                <w:szCs w:val="18"/>
                <w:lang w:eastAsia="en-IN"/>
              </w:rPr>
              <w:t>3</w:t>
            </w:r>
          </w:p>
        </w:tc>
        <w:tc>
          <w:tcPr>
            <w:tcW w:w="1355" w:type="dxa"/>
            <w:tcBorders>
              <w:top w:val="nil"/>
              <w:left w:val="nil"/>
              <w:bottom w:val="single" w:sz="4" w:space="0" w:color="auto"/>
              <w:right w:val="single" w:sz="4" w:space="0" w:color="auto"/>
            </w:tcBorders>
            <w:shd w:val="clear" w:color="000000" w:fill="FFFFFF"/>
            <w:vAlign w:val="center"/>
            <w:hideMark/>
          </w:tcPr>
          <w:p w14:paraId="7C82EF58" w14:textId="77777777" w:rsidR="00F61814" w:rsidRPr="00FC26AB" w:rsidRDefault="00F61814" w:rsidP="00B77C0B">
            <w:pPr>
              <w:pStyle w:val="NoSpacing"/>
              <w:rPr>
                <w:rFonts w:ascii="Times New Roman" w:hAnsi="Times New Roman" w:cs="Times New Roman"/>
                <w:sz w:val="18"/>
                <w:szCs w:val="18"/>
                <w:lang w:eastAsia="en-IN"/>
              </w:rPr>
            </w:pPr>
            <w:r w:rsidRPr="00FC26AB">
              <w:rPr>
                <w:rFonts w:ascii="Times New Roman" w:hAnsi="Times New Roman" w:cs="Times New Roman"/>
                <w:sz w:val="18"/>
                <w:szCs w:val="18"/>
                <w:lang w:eastAsia="en-IN"/>
              </w:rPr>
              <w:t>3</w:t>
            </w:r>
          </w:p>
        </w:tc>
        <w:tc>
          <w:tcPr>
            <w:tcW w:w="916" w:type="dxa"/>
            <w:tcBorders>
              <w:top w:val="nil"/>
              <w:left w:val="nil"/>
              <w:bottom w:val="single" w:sz="4" w:space="0" w:color="auto"/>
              <w:right w:val="single" w:sz="4" w:space="0" w:color="auto"/>
            </w:tcBorders>
            <w:shd w:val="clear" w:color="000000" w:fill="FFFFFF"/>
            <w:vAlign w:val="center"/>
            <w:hideMark/>
          </w:tcPr>
          <w:p w14:paraId="46250AAA" w14:textId="77777777" w:rsidR="00F61814" w:rsidRPr="00FC26AB" w:rsidRDefault="00F61814" w:rsidP="00B77C0B">
            <w:pPr>
              <w:pStyle w:val="NoSpacing"/>
              <w:rPr>
                <w:rFonts w:ascii="Times New Roman" w:hAnsi="Times New Roman" w:cs="Times New Roman"/>
                <w:sz w:val="18"/>
                <w:szCs w:val="18"/>
                <w:lang w:eastAsia="en-IN"/>
              </w:rPr>
            </w:pPr>
            <w:r w:rsidRPr="00FC26AB">
              <w:rPr>
                <w:rFonts w:ascii="Times New Roman" w:hAnsi="Times New Roman" w:cs="Times New Roman"/>
                <w:sz w:val="18"/>
                <w:szCs w:val="18"/>
                <w:lang w:eastAsia="en-IN"/>
              </w:rPr>
              <w:t>exempted</w:t>
            </w:r>
          </w:p>
        </w:tc>
        <w:tc>
          <w:tcPr>
            <w:tcW w:w="696" w:type="dxa"/>
            <w:tcBorders>
              <w:top w:val="nil"/>
              <w:left w:val="nil"/>
              <w:bottom w:val="single" w:sz="4" w:space="0" w:color="auto"/>
              <w:right w:val="single" w:sz="4" w:space="0" w:color="auto"/>
            </w:tcBorders>
            <w:shd w:val="clear" w:color="000000" w:fill="FFFFFF"/>
            <w:vAlign w:val="center"/>
            <w:hideMark/>
          </w:tcPr>
          <w:p w14:paraId="1616F3CD" w14:textId="77777777" w:rsidR="00F61814" w:rsidRPr="00FC26AB" w:rsidRDefault="00F61814" w:rsidP="00B77C0B">
            <w:pPr>
              <w:pStyle w:val="NoSpacing"/>
              <w:rPr>
                <w:rFonts w:ascii="Times New Roman" w:hAnsi="Times New Roman" w:cs="Times New Roman"/>
                <w:sz w:val="18"/>
                <w:szCs w:val="18"/>
                <w:lang w:eastAsia="en-IN"/>
              </w:rPr>
            </w:pPr>
            <w:r w:rsidRPr="00FC26AB">
              <w:rPr>
                <w:rFonts w:ascii="Times New Roman" w:hAnsi="Times New Roman" w:cs="Times New Roman"/>
                <w:sz w:val="18"/>
                <w:szCs w:val="18"/>
                <w:lang w:eastAsia="en-IN"/>
              </w:rPr>
              <w:t>1</w:t>
            </w:r>
          </w:p>
        </w:tc>
        <w:tc>
          <w:tcPr>
            <w:tcW w:w="831" w:type="dxa"/>
            <w:tcBorders>
              <w:top w:val="nil"/>
              <w:left w:val="nil"/>
              <w:bottom w:val="single" w:sz="4" w:space="0" w:color="auto"/>
              <w:right w:val="single" w:sz="4" w:space="0" w:color="auto"/>
            </w:tcBorders>
            <w:shd w:val="clear" w:color="000000" w:fill="FFFFFF"/>
            <w:vAlign w:val="center"/>
            <w:hideMark/>
          </w:tcPr>
          <w:p w14:paraId="0993C35D" w14:textId="77777777" w:rsidR="00F61814" w:rsidRPr="00FC26AB" w:rsidRDefault="00F61814" w:rsidP="00B77C0B">
            <w:pPr>
              <w:pStyle w:val="NoSpacing"/>
              <w:rPr>
                <w:rFonts w:ascii="Times New Roman" w:hAnsi="Times New Roman" w:cs="Times New Roman"/>
                <w:sz w:val="18"/>
                <w:szCs w:val="18"/>
                <w:lang w:eastAsia="en-IN"/>
              </w:rPr>
            </w:pPr>
            <w:r w:rsidRPr="00FC26AB">
              <w:rPr>
                <w:rFonts w:ascii="Times New Roman" w:hAnsi="Times New Roman" w:cs="Times New Roman"/>
                <w:sz w:val="18"/>
                <w:szCs w:val="18"/>
                <w:lang w:eastAsia="en-IN"/>
              </w:rPr>
              <w:t>1</w:t>
            </w:r>
          </w:p>
        </w:tc>
        <w:tc>
          <w:tcPr>
            <w:tcW w:w="1175" w:type="dxa"/>
            <w:tcBorders>
              <w:top w:val="nil"/>
              <w:left w:val="nil"/>
              <w:bottom w:val="single" w:sz="4" w:space="0" w:color="auto"/>
              <w:right w:val="single" w:sz="4" w:space="0" w:color="auto"/>
            </w:tcBorders>
            <w:shd w:val="clear" w:color="000000" w:fill="FFFFFF"/>
            <w:vAlign w:val="center"/>
            <w:hideMark/>
          </w:tcPr>
          <w:p w14:paraId="04BA69A1" w14:textId="77777777" w:rsidR="00F61814" w:rsidRPr="00FC26AB" w:rsidRDefault="00F61814" w:rsidP="00B77C0B">
            <w:pPr>
              <w:pStyle w:val="NoSpacing"/>
              <w:rPr>
                <w:rFonts w:ascii="Times New Roman" w:hAnsi="Times New Roman" w:cs="Times New Roman"/>
                <w:sz w:val="18"/>
                <w:szCs w:val="18"/>
                <w:lang w:eastAsia="en-IN"/>
              </w:rPr>
            </w:pPr>
            <w:r w:rsidRPr="00FC26AB">
              <w:rPr>
                <w:rFonts w:ascii="Times New Roman" w:hAnsi="Times New Roman" w:cs="Times New Roman"/>
                <w:sz w:val="18"/>
                <w:szCs w:val="18"/>
                <w:lang w:eastAsia="en-IN"/>
              </w:rPr>
              <w:t>3</w:t>
            </w:r>
          </w:p>
        </w:tc>
        <w:tc>
          <w:tcPr>
            <w:tcW w:w="766" w:type="dxa"/>
            <w:tcBorders>
              <w:top w:val="nil"/>
              <w:left w:val="nil"/>
              <w:bottom w:val="single" w:sz="4" w:space="0" w:color="auto"/>
              <w:right w:val="single" w:sz="4" w:space="0" w:color="auto"/>
            </w:tcBorders>
            <w:shd w:val="clear" w:color="000000" w:fill="FFFFFF"/>
            <w:vAlign w:val="center"/>
            <w:hideMark/>
          </w:tcPr>
          <w:p w14:paraId="7E730AB8" w14:textId="77777777" w:rsidR="00F61814" w:rsidRPr="00FC26AB" w:rsidRDefault="00F61814" w:rsidP="00B77C0B">
            <w:pPr>
              <w:pStyle w:val="NoSpacing"/>
              <w:rPr>
                <w:rFonts w:ascii="Times New Roman" w:hAnsi="Times New Roman" w:cs="Times New Roman"/>
                <w:sz w:val="18"/>
                <w:szCs w:val="18"/>
                <w:lang w:eastAsia="en-IN"/>
              </w:rPr>
            </w:pPr>
            <w:r w:rsidRPr="00FC26AB">
              <w:rPr>
                <w:rFonts w:ascii="Times New Roman" w:hAnsi="Times New Roman" w:cs="Times New Roman"/>
                <w:sz w:val="18"/>
                <w:szCs w:val="18"/>
                <w:lang w:eastAsia="en-IN"/>
              </w:rPr>
              <w:t>1</w:t>
            </w:r>
          </w:p>
        </w:tc>
        <w:tc>
          <w:tcPr>
            <w:tcW w:w="700" w:type="dxa"/>
            <w:tcBorders>
              <w:top w:val="nil"/>
              <w:left w:val="nil"/>
              <w:bottom w:val="single" w:sz="4" w:space="0" w:color="auto"/>
              <w:right w:val="single" w:sz="4" w:space="0" w:color="auto"/>
            </w:tcBorders>
            <w:shd w:val="clear" w:color="000000" w:fill="FFFFFF"/>
            <w:vAlign w:val="center"/>
            <w:hideMark/>
          </w:tcPr>
          <w:p w14:paraId="1E6F2EC1" w14:textId="77777777" w:rsidR="00F61814" w:rsidRPr="00FC26AB" w:rsidRDefault="00F61814" w:rsidP="00B77C0B">
            <w:pPr>
              <w:pStyle w:val="NoSpacing"/>
              <w:rPr>
                <w:rFonts w:ascii="Times New Roman" w:hAnsi="Times New Roman" w:cs="Times New Roman"/>
                <w:sz w:val="18"/>
                <w:szCs w:val="18"/>
                <w:lang w:eastAsia="en-IN"/>
              </w:rPr>
            </w:pPr>
            <w:r w:rsidRPr="00FC26AB">
              <w:rPr>
                <w:rFonts w:ascii="Times New Roman" w:hAnsi="Times New Roman" w:cs="Times New Roman"/>
                <w:sz w:val="18"/>
                <w:szCs w:val="18"/>
                <w:lang w:eastAsia="en-IN"/>
              </w:rPr>
              <w:t>2</w:t>
            </w:r>
          </w:p>
        </w:tc>
        <w:tc>
          <w:tcPr>
            <w:tcW w:w="736" w:type="dxa"/>
            <w:tcBorders>
              <w:top w:val="nil"/>
              <w:left w:val="nil"/>
              <w:bottom w:val="single" w:sz="4" w:space="0" w:color="auto"/>
              <w:right w:val="single" w:sz="4" w:space="0" w:color="auto"/>
            </w:tcBorders>
            <w:shd w:val="clear" w:color="000000" w:fill="FFFFFF"/>
            <w:vAlign w:val="center"/>
            <w:hideMark/>
          </w:tcPr>
          <w:p w14:paraId="2A6169F9" w14:textId="77777777" w:rsidR="00F61814" w:rsidRPr="00FC26AB" w:rsidRDefault="00F61814" w:rsidP="00B77C0B">
            <w:pPr>
              <w:pStyle w:val="NoSpacing"/>
              <w:rPr>
                <w:rFonts w:ascii="Times New Roman" w:hAnsi="Times New Roman" w:cs="Times New Roman"/>
                <w:sz w:val="18"/>
                <w:szCs w:val="18"/>
                <w:lang w:eastAsia="en-IN"/>
              </w:rPr>
            </w:pPr>
            <w:r w:rsidRPr="00FC26AB">
              <w:rPr>
                <w:rFonts w:ascii="Times New Roman" w:hAnsi="Times New Roman" w:cs="Times New Roman"/>
                <w:sz w:val="18"/>
                <w:szCs w:val="18"/>
                <w:lang w:eastAsia="en-IN"/>
              </w:rPr>
              <w:t>3</w:t>
            </w:r>
          </w:p>
        </w:tc>
        <w:tc>
          <w:tcPr>
            <w:tcW w:w="1004" w:type="dxa"/>
            <w:tcBorders>
              <w:top w:val="nil"/>
              <w:left w:val="nil"/>
              <w:bottom w:val="single" w:sz="4" w:space="0" w:color="auto"/>
              <w:right w:val="single" w:sz="4" w:space="0" w:color="auto"/>
            </w:tcBorders>
            <w:shd w:val="clear" w:color="000000" w:fill="FFFFFF"/>
            <w:vAlign w:val="center"/>
            <w:hideMark/>
          </w:tcPr>
          <w:p w14:paraId="762B3059" w14:textId="77777777" w:rsidR="00F61814" w:rsidRPr="00FC26AB" w:rsidRDefault="00F61814" w:rsidP="00B77C0B">
            <w:pPr>
              <w:pStyle w:val="NoSpacing"/>
              <w:rPr>
                <w:rFonts w:ascii="Times New Roman" w:hAnsi="Times New Roman" w:cs="Times New Roman"/>
                <w:sz w:val="18"/>
                <w:szCs w:val="18"/>
                <w:lang w:eastAsia="en-IN"/>
              </w:rPr>
            </w:pPr>
            <w:r w:rsidRPr="00FC26AB">
              <w:rPr>
                <w:rFonts w:ascii="Times New Roman" w:hAnsi="Times New Roman" w:cs="Times New Roman"/>
                <w:sz w:val="18"/>
                <w:szCs w:val="18"/>
                <w:lang w:eastAsia="en-IN"/>
              </w:rPr>
              <w:t>2</w:t>
            </w:r>
          </w:p>
        </w:tc>
        <w:tc>
          <w:tcPr>
            <w:tcW w:w="866" w:type="dxa"/>
            <w:tcBorders>
              <w:top w:val="nil"/>
              <w:left w:val="nil"/>
              <w:bottom w:val="single" w:sz="4" w:space="0" w:color="auto"/>
              <w:right w:val="single" w:sz="4" w:space="0" w:color="auto"/>
            </w:tcBorders>
            <w:shd w:val="clear" w:color="000000" w:fill="FFFFFF"/>
            <w:vAlign w:val="center"/>
            <w:hideMark/>
          </w:tcPr>
          <w:p w14:paraId="71EABDB1" w14:textId="77777777" w:rsidR="00F61814" w:rsidRPr="00FC26AB" w:rsidRDefault="00F61814" w:rsidP="00B77C0B">
            <w:pPr>
              <w:pStyle w:val="NoSpacing"/>
              <w:rPr>
                <w:rFonts w:ascii="Times New Roman" w:hAnsi="Times New Roman" w:cs="Times New Roman"/>
                <w:sz w:val="18"/>
                <w:szCs w:val="18"/>
                <w:lang w:eastAsia="en-IN"/>
              </w:rPr>
            </w:pPr>
            <w:r w:rsidRPr="00FC26AB">
              <w:rPr>
                <w:rFonts w:ascii="Times New Roman" w:hAnsi="Times New Roman" w:cs="Times New Roman"/>
                <w:sz w:val="18"/>
                <w:szCs w:val="18"/>
                <w:lang w:eastAsia="en-IN"/>
              </w:rPr>
              <w:t>2</w:t>
            </w:r>
          </w:p>
        </w:tc>
        <w:tc>
          <w:tcPr>
            <w:tcW w:w="830" w:type="dxa"/>
            <w:tcBorders>
              <w:top w:val="nil"/>
              <w:left w:val="nil"/>
              <w:bottom w:val="single" w:sz="4" w:space="0" w:color="auto"/>
              <w:right w:val="single" w:sz="4" w:space="0" w:color="auto"/>
            </w:tcBorders>
            <w:shd w:val="clear" w:color="000000" w:fill="FFFFFF"/>
            <w:vAlign w:val="center"/>
            <w:hideMark/>
          </w:tcPr>
          <w:p w14:paraId="557C16C7" w14:textId="77777777" w:rsidR="00F61814" w:rsidRPr="00FC26AB" w:rsidRDefault="00F61814" w:rsidP="00B77C0B">
            <w:pPr>
              <w:pStyle w:val="NoSpacing"/>
              <w:rPr>
                <w:rFonts w:ascii="Times New Roman" w:hAnsi="Times New Roman" w:cs="Times New Roman"/>
                <w:sz w:val="18"/>
                <w:szCs w:val="18"/>
                <w:lang w:eastAsia="en-IN"/>
              </w:rPr>
            </w:pPr>
            <w:r w:rsidRPr="00FC26AB">
              <w:rPr>
                <w:rFonts w:ascii="Times New Roman" w:hAnsi="Times New Roman" w:cs="Times New Roman"/>
                <w:sz w:val="18"/>
                <w:szCs w:val="18"/>
                <w:lang w:eastAsia="en-IN"/>
              </w:rPr>
              <w:t>2</w:t>
            </w:r>
          </w:p>
        </w:tc>
        <w:tc>
          <w:tcPr>
            <w:tcW w:w="730" w:type="dxa"/>
            <w:tcBorders>
              <w:top w:val="nil"/>
              <w:left w:val="nil"/>
              <w:bottom w:val="single" w:sz="4" w:space="0" w:color="auto"/>
              <w:right w:val="single" w:sz="4" w:space="0" w:color="auto"/>
            </w:tcBorders>
            <w:shd w:val="clear" w:color="000000" w:fill="FFFFFF"/>
            <w:vAlign w:val="center"/>
            <w:hideMark/>
          </w:tcPr>
          <w:p w14:paraId="1482A44A" w14:textId="77777777" w:rsidR="00F61814" w:rsidRPr="00FC26AB" w:rsidRDefault="00F61814" w:rsidP="00B77C0B">
            <w:pPr>
              <w:pStyle w:val="NoSpacing"/>
              <w:rPr>
                <w:rFonts w:ascii="Times New Roman" w:hAnsi="Times New Roman" w:cs="Times New Roman"/>
                <w:sz w:val="18"/>
                <w:szCs w:val="18"/>
                <w:lang w:eastAsia="en-IN"/>
              </w:rPr>
            </w:pPr>
            <w:r w:rsidRPr="00FC26AB">
              <w:rPr>
                <w:rFonts w:ascii="Times New Roman" w:hAnsi="Times New Roman" w:cs="Times New Roman"/>
                <w:sz w:val="18"/>
                <w:szCs w:val="18"/>
                <w:lang w:eastAsia="en-IN"/>
              </w:rPr>
              <w:t>3</w:t>
            </w:r>
          </w:p>
        </w:tc>
      </w:tr>
      <w:tr w:rsidR="00D75175" w:rsidRPr="00FC26AB" w14:paraId="7F5E881A" w14:textId="77777777" w:rsidTr="00FC26AB">
        <w:trPr>
          <w:trHeight w:val="20"/>
          <w:jc w:val="center"/>
        </w:trPr>
        <w:tc>
          <w:tcPr>
            <w:tcW w:w="1801" w:type="dxa"/>
            <w:tcBorders>
              <w:top w:val="nil"/>
              <w:left w:val="single" w:sz="4" w:space="0" w:color="auto"/>
              <w:bottom w:val="single" w:sz="4" w:space="0" w:color="auto"/>
              <w:right w:val="single" w:sz="4" w:space="0" w:color="auto"/>
            </w:tcBorders>
            <w:shd w:val="clear" w:color="000000" w:fill="FFFFFF"/>
            <w:vAlign w:val="center"/>
            <w:hideMark/>
          </w:tcPr>
          <w:p w14:paraId="67F0F818" w14:textId="77777777" w:rsidR="00F61814" w:rsidRPr="00FC26AB" w:rsidRDefault="00F61814" w:rsidP="00B77C0B">
            <w:pPr>
              <w:pStyle w:val="NoSpacing"/>
              <w:rPr>
                <w:rFonts w:ascii="Times New Roman" w:hAnsi="Times New Roman" w:cs="Times New Roman"/>
                <w:sz w:val="18"/>
                <w:szCs w:val="18"/>
                <w:lang w:eastAsia="en-IN"/>
              </w:rPr>
            </w:pPr>
            <w:r w:rsidRPr="00FC26AB">
              <w:rPr>
                <w:rFonts w:ascii="Times New Roman" w:hAnsi="Times New Roman" w:cs="Times New Roman"/>
                <w:sz w:val="18"/>
                <w:szCs w:val="18"/>
                <w:lang w:eastAsia="en-IN"/>
              </w:rPr>
              <w:t>13.Leather goods other than foot-wear</w:t>
            </w:r>
          </w:p>
        </w:tc>
        <w:tc>
          <w:tcPr>
            <w:tcW w:w="842" w:type="dxa"/>
            <w:tcBorders>
              <w:top w:val="nil"/>
              <w:left w:val="nil"/>
              <w:bottom w:val="single" w:sz="4" w:space="0" w:color="auto"/>
              <w:right w:val="single" w:sz="4" w:space="0" w:color="auto"/>
            </w:tcBorders>
            <w:shd w:val="clear" w:color="000000" w:fill="FFFFFF"/>
            <w:vAlign w:val="center"/>
            <w:hideMark/>
          </w:tcPr>
          <w:p w14:paraId="226AAE87" w14:textId="77777777" w:rsidR="00F61814" w:rsidRPr="00FC26AB" w:rsidRDefault="00F61814" w:rsidP="00B77C0B">
            <w:pPr>
              <w:pStyle w:val="NoSpacing"/>
              <w:rPr>
                <w:rFonts w:ascii="Times New Roman" w:hAnsi="Times New Roman" w:cs="Times New Roman"/>
                <w:sz w:val="18"/>
                <w:szCs w:val="18"/>
                <w:lang w:eastAsia="en-IN"/>
              </w:rPr>
            </w:pPr>
            <w:r w:rsidRPr="00FC26AB">
              <w:rPr>
                <w:rFonts w:ascii="Times New Roman" w:hAnsi="Times New Roman" w:cs="Times New Roman"/>
                <w:sz w:val="18"/>
                <w:szCs w:val="18"/>
                <w:lang w:eastAsia="en-IN"/>
              </w:rPr>
              <w:t>3 MP</w:t>
            </w:r>
          </w:p>
        </w:tc>
        <w:tc>
          <w:tcPr>
            <w:tcW w:w="706" w:type="dxa"/>
            <w:tcBorders>
              <w:top w:val="nil"/>
              <w:left w:val="nil"/>
              <w:bottom w:val="single" w:sz="4" w:space="0" w:color="auto"/>
              <w:right w:val="single" w:sz="4" w:space="0" w:color="auto"/>
            </w:tcBorders>
            <w:shd w:val="clear" w:color="000000" w:fill="FFFFFF"/>
            <w:vAlign w:val="center"/>
            <w:hideMark/>
          </w:tcPr>
          <w:p w14:paraId="71B6238B" w14:textId="77777777" w:rsidR="00F61814" w:rsidRPr="00FC26AB" w:rsidRDefault="00F61814" w:rsidP="00B77C0B">
            <w:pPr>
              <w:pStyle w:val="NoSpacing"/>
              <w:rPr>
                <w:rFonts w:ascii="Times New Roman" w:hAnsi="Times New Roman" w:cs="Times New Roman"/>
                <w:sz w:val="18"/>
                <w:szCs w:val="18"/>
                <w:lang w:eastAsia="en-IN"/>
              </w:rPr>
            </w:pPr>
            <w:r w:rsidRPr="00FC26AB">
              <w:rPr>
                <w:rFonts w:ascii="Times New Roman" w:hAnsi="Times New Roman" w:cs="Times New Roman"/>
                <w:sz w:val="18"/>
                <w:szCs w:val="18"/>
                <w:lang w:eastAsia="en-IN"/>
              </w:rPr>
              <w:t>6</w:t>
            </w:r>
          </w:p>
        </w:tc>
        <w:tc>
          <w:tcPr>
            <w:tcW w:w="616" w:type="dxa"/>
            <w:tcBorders>
              <w:top w:val="nil"/>
              <w:left w:val="nil"/>
              <w:bottom w:val="single" w:sz="4" w:space="0" w:color="auto"/>
              <w:right w:val="single" w:sz="4" w:space="0" w:color="auto"/>
            </w:tcBorders>
            <w:shd w:val="clear" w:color="000000" w:fill="FFFFFF"/>
            <w:vAlign w:val="center"/>
            <w:hideMark/>
          </w:tcPr>
          <w:p w14:paraId="737E75AB" w14:textId="77777777" w:rsidR="00F61814" w:rsidRPr="00FC26AB" w:rsidRDefault="00F61814" w:rsidP="00B77C0B">
            <w:pPr>
              <w:pStyle w:val="NoSpacing"/>
              <w:rPr>
                <w:rFonts w:ascii="Times New Roman" w:hAnsi="Times New Roman" w:cs="Times New Roman"/>
                <w:sz w:val="18"/>
                <w:szCs w:val="18"/>
                <w:lang w:eastAsia="en-IN"/>
              </w:rPr>
            </w:pPr>
            <w:r w:rsidRPr="00FC26AB">
              <w:rPr>
                <w:rFonts w:ascii="Times New Roman" w:hAnsi="Times New Roman" w:cs="Times New Roman"/>
                <w:sz w:val="18"/>
                <w:szCs w:val="18"/>
                <w:lang w:eastAsia="en-IN"/>
              </w:rPr>
              <w:t>NA</w:t>
            </w:r>
          </w:p>
        </w:tc>
        <w:tc>
          <w:tcPr>
            <w:tcW w:w="756" w:type="dxa"/>
            <w:tcBorders>
              <w:top w:val="nil"/>
              <w:left w:val="nil"/>
              <w:bottom w:val="single" w:sz="4" w:space="0" w:color="auto"/>
              <w:right w:val="single" w:sz="4" w:space="0" w:color="auto"/>
            </w:tcBorders>
            <w:shd w:val="clear" w:color="000000" w:fill="FFFFFF"/>
            <w:vAlign w:val="center"/>
            <w:hideMark/>
          </w:tcPr>
          <w:p w14:paraId="557509CC" w14:textId="77777777" w:rsidR="00F61814" w:rsidRPr="00FC26AB" w:rsidRDefault="00F61814" w:rsidP="00B77C0B">
            <w:pPr>
              <w:pStyle w:val="NoSpacing"/>
              <w:rPr>
                <w:rFonts w:ascii="Times New Roman" w:hAnsi="Times New Roman" w:cs="Times New Roman"/>
                <w:sz w:val="18"/>
                <w:szCs w:val="18"/>
                <w:lang w:eastAsia="en-IN"/>
              </w:rPr>
            </w:pPr>
            <w:r w:rsidRPr="00FC26AB">
              <w:rPr>
                <w:rFonts w:ascii="Times New Roman" w:hAnsi="Times New Roman" w:cs="Times New Roman"/>
                <w:sz w:val="18"/>
                <w:szCs w:val="18"/>
                <w:lang w:eastAsia="en-IN"/>
              </w:rPr>
              <w:t>8</w:t>
            </w:r>
          </w:p>
        </w:tc>
        <w:tc>
          <w:tcPr>
            <w:tcW w:w="1355" w:type="dxa"/>
            <w:tcBorders>
              <w:top w:val="nil"/>
              <w:left w:val="nil"/>
              <w:bottom w:val="single" w:sz="4" w:space="0" w:color="auto"/>
              <w:right w:val="single" w:sz="4" w:space="0" w:color="auto"/>
            </w:tcBorders>
            <w:shd w:val="clear" w:color="000000" w:fill="FFFFFF"/>
            <w:vAlign w:val="center"/>
            <w:hideMark/>
          </w:tcPr>
          <w:p w14:paraId="0605A783" w14:textId="77777777" w:rsidR="00F61814" w:rsidRPr="00FC26AB" w:rsidRDefault="00F61814" w:rsidP="00B77C0B">
            <w:pPr>
              <w:pStyle w:val="NoSpacing"/>
              <w:rPr>
                <w:rFonts w:ascii="Times New Roman" w:hAnsi="Times New Roman" w:cs="Times New Roman"/>
                <w:sz w:val="18"/>
                <w:szCs w:val="18"/>
                <w:lang w:eastAsia="en-IN"/>
              </w:rPr>
            </w:pPr>
            <w:r w:rsidRPr="00FC26AB">
              <w:rPr>
                <w:rFonts w:ascii="Times New Roman" w:hAnsi="Times New Roman" w:cs="Times New Roman"/>
                <w:sz w:val="18"/>
                <w:szCs w:val="18"/>
                <w:lang w:eastAsia="en-IN"/>
              </w:rPr>
              <w:t>8</w:t>
            </w:r>
          </w:p>
        </w:tc>
        <w:tc>
          <w:tcPr>
            <w:tcW w:w="916" w:type="dxa"/>
            <w:tcBorders>
              <w:top w:val="nil"/>
              <w:left w:val="nil"/>
              <w:bottom w:val="single" w:sz="4" w:space="0" w:color="auto"/>
              <w:right w:val="single" w:sz="4" w:space="0" w:color="auto"/>
            </w:tcBorders>
            <w:shd w:val="clear" w:color="000000" w:fill="FFFFFF"/>
            <w:vAlign w:val="center"/>
            <w:hideMark/>
          </w:tcPr>
          <w:p w14:paraId="21F7FC3F" w14:textId="77777777" w:rsidR="00F61814" w:rsidRPr="00FC26AB" w:rsidRDefault="00F61814" w:rsidP="00B77C0B">
            <w:pPr>
              <w:pStyle w:val="NoSpacing"/>
              <w:rPr>
                <w:rFonts w:ascii="Times New Roman" w:hAnsi="Times New Roman" w:cs="Times New Roman"/>
                <w:sz w:val="18"/>
                <w:szCs w:val="18"/>
                <w:lang w:eastAsia="en-IN"/>
              </w:rPr>
            </w:pPr>
            <w:r w:rsidRPr="00FC26AB">
              <w:rPr>
                <w:rFonts w:ascii="Times New Roman" w:hAnsi="Times New Roman" w:cs="Times New Roman"/>
                <w:sz w:val="18"/>
                <w:szCs w:val="18"/>
                <w:lang w:eastAsia="en-IN"/>
              </w:rPr>
              <w:t>10</w:t>
            </w:r>
          </w:p>
        </w:tc>
        <w:tc>
          <w:tcPr>
            <w:tcW w:w="696" w:type="dxa"/>
            <w:tcBorders>
              <w:top w:val="nil"/>
              <w:left w:val="nil"/>
              <w:bottom w:val="single" w:sz="4" w:space="0" w:color="auto"/>
              <w:right w:val="single" w:sz="4" w:space="0" w:color="auto"/>
            </w:tcBorders>
            <w:shd w:val="clear" w:color="000000" w:fill="FFFFFF"/>
            <w:vAlign w:val="center"/>
            <w:hideMark/>
          </w:tcPr>
          <w:p w14:paraId="4194C472" w14:textId="77777777" w:rsidR="00F61814" w:rsidRPr="00FC26AB" w:rsidRDefault="00F61814" w:rsidP="00B77C0B">
            <w:pPr>
              <w:pStyle w:val="NoSpacing"/>
              <w:rPr>
                <w:rFonts w:ascii="Times New Roman" w:hAnsi="Times New Roman" w:cs="Times New Roman"/>
                <w:sz w:val="18"/>
                <w:szCs w:val="18"/>
                <w:lang w:eastAsia="en-IN"/>
              </w:rPr>
            </w:pPr>
            <w:r w:rsidRPr="00FC26AB">
              <w:rPr>
                <w:rFonts w:ascii="Times New Roman" w:hAnsi="Times New Roman" w:cs="Times New Roman"/>
                <w:sz w:val="18"/>
                <w:szCs w:val="18"/>
                <w:lang w:eastAsia="en-IN"/>
              </w:rPr>
              <w:t>5</w:t>
            </w:r>
          </w:p>
        </w:tc>
        <w:tc>
          <w:tcPr>
            <w:tcW w:w="831" w:type="dxa"/>
            <w:tcBorders>
              <w:top w:val="nil"/>
              <w:left w:val="nil"/>
              <w:bottom w:val="single" w:sz="4" w:space="0" w:color="auto"/>
              <w:right w:val="single" w:sz="4" w:space="0" w:color="auto"/>
            </w:tcBorders>
            <w:shd w:val="clear" w:color="000000" w:fill="FFFFFF"/>
            <w:vAlign w:val="center"/>
            <w:hideMark/>
          </w:tcPr>
          <w:p w14:paraId="03410ECD" w14:textId="77777777" w:rsidR="00F61814" w:rsidRPr="00FC26AB" w:rsidRDefault="00F61814" w:rsidP="00B77C0B">
            <w:pPr>
              <w:pStyle w:val="NoSpacing"/>
              <w:rPr>
                <w:rFonts w:ascii="Times New Roman" w:hAnsi="Times New Roman" w:cs="Times New Roman"/>
                <w:sz w:val="18"/>
                <w:szCs w:val="18"/>
                <w:lang w:eastAsia="en-IN"/>
              </w:rPr>
            </w:pPr>
            <w:r w:rsidRPr="00FC26AB">
              <w:rPr>
                <w:rFonts w:ascii="Times New Roman" w:hAnsi="Times New Roman" w:cs="Times New Roman"/>
                <w:sz w:val="18"/>
                <w:szCs w:val="18"/>
                <w:lang w:eastAsia="en-IN"/>
              </w:rPr>
              <w:t>7</w:t>
            </w:r>
          </w:p>
        </w:tc>
        <w:tc>
          <w:tcPr>
            <w:tcW w:w="1175" w:type="dxa"/>
            <w:tcBorders>
              <w:top w:val="nil"/>
              <w:left w:val="nil"/>
              <w:bottom w:val="single" w:sz="4" w:space="0" w:color="auto"/>
              <w:right w:val="single" w:sz="4" w:space="0" w:color="auto"/>
            </w:tcBorders>
            <w:shd w:val="clear" w:color="000000" w:fill="FFFFFF"/>
            <w:vAlign w:val="center"/>
            <w:hideMark/>
          </w:tcPr>
          <w:p w14:paraId="71E18997" w14:textId="77777777" w:rsidR="00F61814" w:rsidRPr="00FC26AB" w:rsidRDefault="00F61814" w:rsidP="00B77C0B">
            <w:pPr>
              <w:pStyle w:val="NoSpacing"/>
              <w:rPr>
                <w:rFonts w:ascii="Times New Roman" w:hAnsi="Times New Roman" w:cs="Times New Roman"/>
                <w:sz w:val="18"/>
                <w:szCs w:val="18"/>
                <w:lang w:eastAsia="en-IN"/>
              </w:rPr>
            </w:pPr>
            <w:r w:rsidRPr="00FC26AB">
              <w:rPr>
                <w:rFonts w:ascii="Times New Roman" w:hAnsi="Times New Roman" w:cs="Times New Roman"/>
                <w:sz w:val="18"/>
                <w:szCs w:val="18"/>
                <w:lang w:eastAsia="en-IN"/>
              </w:rPr>
              <w:t>8</w:t>
            </w:r>
          </w:p>
        </w:tc>
        <w:tc>
          <w:tcPr>
            <w:tcW w:w="766" w:type="dxa"/>
            <w:tcBorders>
              <w:top w:val="nil"/>
              <w:left w:val="nil"/>
              <w:bottom w:val="single" w:sz="4" w:space="0" w:color="auto"/>
              <w:right w:val="single" w:sz="4" w:space="0" w:color="auto"/>
            </w:tcBorders>
            <w:shd w:val="clear" w:color="000000" w:fill="FFFFFF"/>
            <w:vAlign w:val="center"/>
            <w:hideMark/>
          </w:tcPr>
          <w:p w14:paraId="74684BC2" w14:textId="77777777" w:rsidR="00F61814" w:rsidRPr="00FC26AB" w:rsidRDefault="00F61814" w:rsidP="00B77C0B">
            <w:pPr>
              <w:pStyle w:val="NoSpacing"/>
              <w:rPr>
                <w:rFonts w:ascii="Times New Roman" w:hAnsi="Times New Roman" w:cs="Times New Roman"/>
                <w:sz w:val="18"/>
                <w:szCs w:val="18"/>
                <w:lang w:eastAsia="en-IN"/>
              </w:rPr>
            </w:pPr>
            <w:r w:rsidRPr="00FC26AB">
              <w:rPr>
                <w:rFonts w:ascii="Times New Roman" w:hAnsi="Times New Roman" w:cs="Times New Roman"/>
                <w:sz w:val="18"/>
                <w:szCs w:val="18"/>
                <w:lang w:eastAsia="en-IN"/>
              </w:rPr>
              <w:t>5½</w:t>
            </w:r>
          </w:p>
        </w:tc>
        <w:tc>
          <w:tcPr>
            <w:tcW w:w="700" w:type="dxa"/>
            <w:tcBorders>
              <w:top w:val="nil"/>
              <w:left w:val="nil"/>
              <w:bottom w:val="single" w:sz="4" w:space="0" w:color="auto"/>
              <w:right w:val="single" w:sz="4" w:space="0" w:color="auto"/>
            </w:tcBorders>
            <w:shd w:val="clear" w:color="000000" w:fill="FFFFFF"/>
            <w:vAlign w:val="center"/>
            <w:hideMark/>
          </w:tcPr>
          <w:p w14:paraId="602F4397" w14:textId="77777777" w:rsidR="00F61814" w:rsidRPr="00FC26AB" w:rsidRDefault="00F61814" w:rsidP="00B77C0B">
            <w:pPr>
              <w:pStyle w:val="NoSpacing"/>
              <w:rPr>
                <w:rFonts w:ascii="Times New Roman" w:hAnsi="Times New Roman" w:cs="Times New Roman"/>
                <w:sz w:val="18"/>
                <w:szCs w:val="18"/>
                <w:lang w:eastAsia="en-IN"/>
              </w:rPr>
            </w:pPr>
            <w:r w:rsidRPr="00FC26AB">
              <w:rPr>
                <w:rFonts w:ascii="Times New Roman" w:hAnsi="Times New Roman" w:cs="Times New Roman"/>
                <w:sz w:val="18"/>
                <w:szCs w:val="18"/>
                <w:lang w:eastAsia="en-IN"/>
              </w:rPr>
              <w:t>5</w:t>
            </w:r>
          </w:p>
        </w:tc>
        <w:tc>
          <w:tcPr>
            <w:tcW w:w="736" w:type="dxa"/>
            <w:tcBorders>
              <w:top w:val="nil"/>
              <w:left w:val="nil"/>
              <w:bottom w:val="single" w:sz="4" w:space="0" w:color="auto"/>
              <w:right w:val="single" w:sz="4" w:space="0" w:color="auto"/>
            </w:tcBorders>
            <w:shd w:val="clear" w:color="000000" w:fill="FFFFFF"/>
            <w:vAlign w:val="center"/>
            <w:hideMark/>
          </w:tcPr>
          <w:p w14:paraId="1040EA46" w14:textId="77777777" w:rsidR="00F61814" w:rsidRPr="00FC26AB" w:rsidRDefault="00F61814" w:rsidP="00B77C0B">
            <w:pPr>
              <w:pStyle w:val="NoSpacing"/>
              <w:rPr>
                <w:rFonts w:ascii="Times New Roman" w:hAnsi="Times New Roman" w:cs="Times New Roman"/>
                <w:sz w:val="18"/>
                <w:szCs w:val="18"/>
                <w:lang w:eastAsia="en-IN"/>
              </w:rPr>
            </w:pPr>
            <w:r w:rsidRPr="00FC26AB">
              <w:rPr>
                <w:rFonts w:ascii="Times New Roman" w:hAnsi="Times New Roman" w:cs="Times New Roman"/>
                <w:sz w:val="18"/>
                <w:szCs w:val="18"/>
                <w:lang w:eastAsia="en-IN"/>
              </w:rPr>
              <w:t>6</w:t>
            </w:r>
          </w:p>
        </w:tc>
        <w:tc>
          <w:tcPr>
            <w:tcW w:w="1004" w:type="dxa"/>
            <w:tcBorders>
              <w:top w:val="nil"/>
              <w:left w:val="nil"/>
              <w:bottom w:val="single" w:sz="4" w:space="0" w:color="auto"/>
              <w:right w:val="single" w:sz="4" w:space="0" w:color="auto"/>
            </w:tcBorders>
            <w:shd w:val="clear" w:color="000000" w:fill="FFFFFF"/>
            <w:vAlign w:val="center"/>
            <w:hideMark/>
          </w:tcPr>
          <w:p w14:paraId="256840EB" w14:textId="77777777" w:rsidR="00F61814" w:rsidRPr="00FC26AB" w:rsidRDefault="00F61814" w:rsidP="00B77C0B">
            <w:pPr>
              <w:pStyle w:val="NoSpacing"/>
              <w:rPr>
                <w:rFonts w:ascii="Times New Roman" w:hAnsi="Times New Roman" w:cs="Times New Roman"/>
                <w:sz w:val="18"/>
                <w:szCs w:val="18"/>
                <w:lang w:eastAsia="en-IN"/>
              </w:rPr>
            </w:pPr>
            <w:r w:rsidRPr="00FC26AB">
              <w:rPr>
                <w:rFonts w:ascii="Times New Roman" w:hAnsi="Times New Roman" w:cs="Times New Roman"/>
                <w:sz w:val="18"/>
                <w:szCs w:val="18"/>
                <w:lang w:eastAsia="en-IN"/>
              </w:rPr>
              <w:t>7</w:t>
            </w:r>
          </w:p>
        </w:tc>
        <w:tc>
          <w:tcPr>
            <w:tcW w:w="866" w:type="dxa"/>
            <w:tcBorders>
              <w:top w:val="nil"/>
              <w:left w:val="nil"/>
              <w:bottom w:val="single" w:sz="4" w:space="0" w:color="auto"/>
              <w:right w:val="single" w:sz="4" w:space="0" w:color="auto"/>
            </w:tcBorders>
            <w:shd w:val="clear" w:color="000000" w:fill="FFFFFF"/>
            <w:vAlign w:val="center"/>
            <w:hideMark/>
          </w:tcPr>
          <w:p w14:paraId="2B8F47C5" w14:textId="77777777" w:rsidR="00F61814" w:rsidRPr="00FC26AB" w:rsidRDefault="00F61814" w:rsidP="00B77C0B">
            <w:pPr>
              <w:pStyle w:val="NoSpacing"/>
              <w:rPr>
                <w:rFonts w:ascii="Times New Roman" w:hAnsi="Times New Roman" w:cs="Times New Roman"/>
                <w:sz w:val="18"/>
                <w:szCs w:val="18"/>
                <w:lang w:eastAsia="en-IN"/>
              </w:rPr>
            </w:pPr>
            <w:r w:rsidRPr="00FC26AB">
              <w:rPr>
                <w:rFonts w:ascii="Times New Roman" w:hAnsi="Times New Roman" w:cs="Times New Roman"/>
                <w:sz w:val="18"/>
                <w:szCs w:val="18"/>
                <w:lang w:eastAsia="en-IN"/>
              </w:rPr>
              <w:t>3</w:t>
            </w:r>
          </w:p>
        </w:tc>
        <w:tc>
          <w:tcPr>
            <w:tcW w:w="830" w:type="dxa"/>
            <w:tcBorders>
              <w:top w:val="nil"/>
              <w:left w:val="nil"/>
              <w:bottom w:val="single" w:sz="4" w:space="0" w:color="auto"/>
              <w:right w:val="single" w:sz="4" w:space="0" w:color="auto"/>
            </w:tcBorders>
            <w:shd w:val="clear" w:color="000000" w:fill="FFFFFF"/>
            <w:vAlign w:val="center"/>
            <w:hideMark/>
          </w:tcPr>
          <w:p w14:paraId="32C12696" w14:textId="77777777" w:rsidR="00F61814" w:rsidRPr="00FC26AB" w:rsidRDefault="00F61814" w:rsidP="00B77C0B">
            <w:pPr>
              <w:pStyle w:val="NoSpacing"/>
              <w:rPr>
                <w:rFonts w:ascii="Times New Roman" w:hAnsi="Times New Roman" w:cs="Times New Roman"/>
                <w:sz w:val="18"/>
                <w:szCs w:val="18"/>
                <w:lang w:eastAsia="en-IN"/>
              </w:rPr>
            </w:pPr>
            <w:r w:rsidRPr="00FC26AB">
              <w:rPr>
                <w:rFonts w:ascii="Times New Roman" w:hAnsi="Times New Roman" w:cs="Times New Roman"/>
                <w:sz w:val="18"/>
                <w:szCs w:val="18"/>
                <w:lang w:eastAsia="en-IN"/>
              </w:rPr>
              <w:t>3</w:t>
            </w:r>
          </w:p>
        </w:tc>
        <w:tc>
          <w:tcPr>
            <w:tcW w:w="730" w:type="dxa"/>
            <w:tcBorders>
              <w:top w:val="nil"/>
              <w:left w:val="nil"/>
              <w:bottom w:val="single" w:sz="4" w:space="0" w:color="auto"/>
              <w:right w:val="single" w:sz="4" w:space="0" w:color="auto"/>
            </w:tcBorders>
            <w:shd w:val="clear" w:color="000000" w:fill="FFFFFF"/>
            <w:vAlign w:val="center"/>
            <w:hideMark/>
          </w:tcPr>
          <w:p w14:paraId="36F2100D" w14:textId="77777777" w:rsidR="00F61814" w:rsidRPr="00FC26AB" w:rsidRDefault="00F61814" w:rsidP="00B77C0B">
            <w:pPr>
              <w:pStyle w:val="NoSpacing"/>
              <w:rPr>
                <w:rFonts w:ascii="Times New Roman" w:hAnsi="Times New Roman" w:cs="Times New Roman"/>
                <w:sz w:val="18"/>
                <w:szCs w:val="18"/>
                <w:lang w:eastAsia="en-IN"/>
              </w:rPr>
            </w:pPr>
            <w:r w:rsidRPr="00FC26AB">
              <w:rPr>
                <w:rFonts w:ascii="Times New Roman" w:hAnsi="Times New Roman" w:cs="Times New Roman"/>
                <w:sz w:val="18"/>
                <w:szCs w:val="18"/>
                <w:lang w:eastAsia="en-IN"/>
              </w:rPr>
              <w:t>NA</w:t>
            </w:r>
          </w:p>
        </w:tc>
      </w:tr>
      <w:tr w:rsidR="00D75175" w:rsidRPr="00FC26AB" w14:paraId="228A57A7" w14:textId="77777777" w:rsidTr="00FC26AB">
        <w:trPr>
          <w:trHeight w:val="20"/>
          <w:jc w:val="center"/>
        </w:trPr>
        <w:tc>
          <w:tcPr>
            <w:tcW w:w="1801" w:type="dxa"/>
            <w:tcBorders>
              <w:top w:val="nil"/>
              <w:left w:val="single" w:sz="4" w:space="0" w:color="auto"/>
              <w:bottom w:val="single" w:sz="4" w:space="0" w:color="auto"/>
              <w:right w:val="single" w:sz="4" w:space="0" w:color="auto"/>
            </w:tcBorders>
            <w:shd w:val="clear" w:color="000000" w:fill="FFFFFF"/>
            <w:vAlign w:val="center"/>
            <w:hideMark/>
          </w:tcPr>
          <w:p w14:paraId="6898554A" w14:textId="77777777" w:rsidR="00F61814" w:rsidRPr="00FC26AB" w:rsidRDefault="00F61814" w:rsidP="00B77C0B">
            <w:pPr>
              <w:pStyle w:val="NoSpacing"/>
              <w:rPr>
                <w:rFonts w:ascii="Times New Roman" w:hAnsi="Times New Roman" w:cs="Times New Roman"/>
                <w:sz w:val="18"/>
                <w:szCs w:val="18"/>
                <w:lang w:eastAsia="en-IN"/>
              </w:rPr>
            </w:pPr>
            <w:r w:rsidRPr="00FC26AB">
              <w:rPr>
                <w:rFonts w:ascii="Times New Roman" w:hAnsi="Times New Roman" w:cs="Times New Roman"/>
                <w:sz w:val="18"/>
                <w:szCs w:val="18"/>
                <w:lang w:eastAsia="en-IN"/>
              </w:rPr>
              <w:t>14.Tea</w:t>
            </w:r>
          </w:p>
        </w:tc>
        <w:tc>
          <w:tcPr>
            <w:tcW w:w="842" w:type="dxa"/>
            <w:tcBorders>
              <w:top w:val="nil"/>
              <w:left w:val="nil"/>
              <w:bottom w:val="single" w:sz="4" w:space="0" w:color="auto"/>
              <w:right w:val="single" w:sz="4" w:space="0" w:color="auto"/>
            </w:tcBorders>
            <w:shd w:val="clear" w:color="000000" w:fill="FFFFFF"/>
            <w:vAlign w:val="center"/>
            <w:hideMark/>
          </w:tcPr>
          <w:p w14:paraId="370CDDDC" w14:textId="77777777" w:rsidR="00F61814" w:rsidRPr="00FC26AB" w:rsidRDefault="00F61814" w:rsidP="00B77C0B">
            <w:pPr>
              <w:pStyle w:val="NoSpacing"/>
              <w:rPr>
                <w:rFonts w:ascii="Times New Roman" w:hAnsi="Times New Roman" w:cs="Times New Roman"/>
                <w:sz w:val="18"/>
                <w:szCs w:val="18"/>
                <w:lang w:eastAsia="en-IN"/>
              </w:rPr>
            </w:pPr>
            <w:r w:rsidRPr="00FC26AB">
              <w:rPr>
                <w:rFonts w:ascii="Times New Roman" w:hAnsi="Times New Roman" w:cs="Times New Roman"/>
                <w:sz w:val="18"/>
                <w:szCs w:val="18"/>
                <w:lang w:eastAsia="en-IN"/>
              </w:rPr>
              <w:t>4</w:t>
            </w:r>
          </w:p>
        </w:tc>
        <w:tc>
          <w:tcPr>
            <w:tcW w:w="706" w:type="dxa"/>
            <w:tcBorders>
              <w:top w:val="nil"/>
              <w:left w:val="nil"/>
              <w:bottom w:val="single" w:sz="4" w:space="0" w:color="auto"/>
              <w:right w:val="single" w:sz="4" w:space="0" w:color="auto"/>
            </w:tcBorders>
            <w:shd w:val="clear" w:color="000000" w:fill="FFFFFF"/>
            <w:vAlign w:val="center"/>
            <w:hideMark/>
          </w:tcPr>
          <w:p w14:paraId="03A822EF" w14:textId="77777777" w:rsidR="00F61814" w:rsidRPr="00FC26AB" w:rsidRDefault="00F61814" w:rsidP="00B77C0B">
            <w:pPr>
              <w:pStyle w:val="NoSpacing"/>
              <w:rPr>
                <w:rFonts w:ascii="Times New Roman" w:hAnsi="Times New Roman" w:cs="Times New Roman"/>
                <w:sz w:val="18"/>
                <w:szCs w:val="18"/>
                <w:lang w:eastAsia="en-IN"/>
              </w:rPr>
            </w:pPr>
            <w:r w:rsidRPr="00FC26AB">
              <w:rPr>
                <w:rFonts w:ascii="Times New Roman" w:hAnsi="Times New Roman" w:cs="Times New Roman"/>
                <w:sz w:val="18"/>
                <w:szCs w:val="18"/>
                <w:lang w:eastAsia="en-IN"/>
              </w:rPr>
              <w:t>NA</w:t>
            </w:r>
          </w:p>
        </w:tc>
        <w:tc>
          <w:tcPr>
            <w:tcW w:w="616" w:type="dxa"/>
            <w:tcBorders>
              <w:top w:val="nil"/>
              <w:left w:val="nil"/>
              <w:bottom w:val="single" w:sz="4" w:space="0" w:color="auto"/>
              <w:right w:val="single" w:sz="4" w:space="0" w:color="auto"/>
            </w:tcBorders>
            <w:shd w:val="clear" w:color="000000" w:fill="FFFFFF"/>
            <w:vAlign w:val="center"/>
            <w:hideMark/>
          </w:tcPr>
          <w:p w14:paraId="6450CE6A" w14:textId="77777777" w:rsidR="00F61814" w:rsidRPr="00FC26AB" w:rsidRDefault="00F61814" w:rsidP="00B77C0B">
            <w:pPr>
              <w:pStyle w:val="NoSpacing"/>
              <w:rPr>
                <w:rFonts w:ascii="Times New Roman" w:hAnsi="Times New Roman" w:cs="Times New Roman"/>
                <w:sz w:val="18"/>
                <w:szCs w:val="18"/>
                <w:lang w:eastAsia="en-IN"/>
              </w:rPr>
            </w:pPr>
            <w:r w:rsidRPr="00FC26AB">
              <w:rPr>
                <w:rFonts w:ascii="Times New Roman" w:hAnsi="Times New Roman" w:cs="Times New Roman"/>
                <w:sz w:val="18"/>
                <w:szCs w:val="18"/>
                <w:lang w:eastAsia="en-IN"/>
              </w:rPr>
              <w:t>7</w:t>
            </w:r>
          </w:p>
        </w:tc>
        <w:tc>
          <w:tcPr>
            <w:tcW w:w="756" w:type="dxa"/>
            <w:tcBorders>
              <w:top w:val="nil"/>
              <w:left w:val="nil"/>
              <w:bottom w:val="single" w:sz="4" w:space="0" w:color="auto"/>
              <w:right w:val="single" w:sz="4" w:space="0" w:color="auto"/>
            </w:tcBorders>
            <w:shd w:val="clear" w:color="000000" w:fill="FFFFFF"/>
            <w:vAlign w:val="center"/>
            <w:hideMark/>
          </w:tcPr>
          <w:p w14:paraId="0B0B9D11" w14:textId="77777777" w:rsidR="00F61814" w:rsidRPr="00FC26AB" w:rsidRDefault="00F61814" w:rsidP="00B77C0B">
            <w:pPr>
              <w:pStyle w:val="NoSpacing"/>
              <w:rPr>
                <w:rFonts w:ascii="Times New Roman" w:hAnsi="Times New Roman" w:cs="Times New Roman"/>
                <w:sz w:val="18"/>
                <w:szCs w:val="18"/>
                <w:lang w:eastAsia="en-IN"/>
              </w:rPr>
            </w:pPr>
            <w:r w:rsidRPr="00FC26AB">
              <w:rPr>
                <w:rFonts w:ascii="Times New Roman" w:hAnsi="Times New Roman" w:cs="Times New Roman"/>
                <w:sz w:val="18"/>
                <w:szCs w:val="18"/>
                <w:lang w:eastAsia="en-IN"/>
              </w:rPr>
              <w:t>8</w:t>
            </w:r>
          </w:p>
        </w:tc>
        <w:tc>
          <w:tcPr>
            <w:tcW w:w="1355" w:type="dxa"/>
            <w:tcBorders>
              <w:top w:val="nil"/>
              <w:left w:val="nil"/>
              <w:bottom w:val="single" w:sz="4" w:space="0" w:color="auto"/>
              <w:right w:val="single" w:sz="4" w:space="0" w:color="auto"/>
            </w:tcBorders>
            <w:shd w:val="clear" w:color="000000" w:fill="FFFFFF"/>
            <w:vAlign w:val="center"/>
            <w:hideMark/>
          </w:tcPr>
          <w:p w14:paraId="57953F82" w14:textId="77777777" w:rsidR="00F61814" w:rsidRPr="00FC26AB" w:rsidRDefault="00F61814" w:rsidP="00B77C0B">
            <w:pPr>
              <w:pStyle w:val="NoSpacing"/>
              <w:rPr>
                <w:rFonts w:ascii="Times New Roman" w:hAnsi="Times New Roman" w:cs="Times New Roman"/>
                <w:sz w:val="18"/>
                <w:szCs w:val="18"/>
                <w:lang w:eastAsia="en-IN"/>
              </w:rPr>
            </w:pPr>
            <w:r w:rsidRPr="00FC26AB">
              <w:rPr>
                <w:rFonts w:ascii="Times New Roman" w:hAnsi="Times New Roman" w:cs="Times New Roman"/>
                <w:sz w:val="18"/>
                <w:szCs w:val="18"/>
                <w:lang w:eastAsia="en-IN"/>
              </w:rPr>
              <w:t>NA</w:t>
            </w:r>
          </w:p>
        </w:tc>
        <w:tc>
          <w:tcPr>
            <w:tcW w:w="916" w:type="dxa"/>
            <w:tcBorders>
              <w:top w:val="nil"/>
              <w:left w:val="nil"/>
              <w:bottom w:val="single" w:sz="4" w:space="0" w:color="auto"/>
              <w:right w:val="single" w:sz="4" w:space="0" w:color="auto"/>
            </w:tcBorders>
            <w:shd w:val="clear" w:color="000000" w:fill="FFFFFF"/>
            <w:vAlign w:val="center"/>
            <w:hideMark/>
          </w:tcPr>
          <w:p w14:paraId="13B2501F" w14:textId="77777777" w:rsidR="00F61814" w:rsidRPr="00FC26AB" w:rsidRDefault="00F61814" w:rsidP="00B77C0B">
            <w:pPr>
              <w:pStyle w:val="NoSpacing"/>
              <w:rPr>
                <w:rFonts w:ascii="Times New Roman" w:hAnsi="Times New Roman" w:cs="Times New Roman"/>
                <w:sz w:val="18"/>
                <w:szCs w:val="18"/>
                <w:lang w:eastAsia="en-IN"/>
              </w:rPr>
            </w:pPr>
            <w:r w:rsidRPr="00FC26AB">
              <w:rPr>
                <w:rFonts w:ascii="Times New Roman" w:hAnsi="Times New Roman" w:cs="Times New Roman"/>
                <w:sz w:val="18"/>
                <w:szCs w:val="18"/>
                <w:lang w:eastAsia="en-IN"/>
              </w:rPr>
              <w:t>2</w:t>
            </w:r>
          </w:p>
        </w:tc>
        <w:tc>
          <w:tcPr>
            <w:tcW w:w="696" w:type="dxa"/>
            <w:tcBorders>
              <w:top w:val="nil"/>
              <w:left w:val="nil"/>
              <w:bottom w:val="single" w:sz="4" w:space="0" w:color="auto"/>
              <w:right w:val="single" w:sz="4" w:space="0" w:color="auto"/>
            </w:tcBorders>
            <w:shd w:val="clear" w:color="000000" w:fill="FFFFFF"/>
            <w:vAlign w:val="center"/>
            <w:hideMark/>
          </w:tcPr>
          <w:p w14:paraId="3AB86C56" w14:textId="77777777" w:rsidR="00F61814" w:rsidRPr="00FC26AB" w:rsidRDefault="00F61814" w:rsidP="00B77C0B">
            <w:pPr>
              <w:pStyle w:val="NoSpacing"/>
              <w:rPr>
                <w:rFonts w:ascii="Times New Roman" w:hAnsi="Times New Roman" w:cs="Times New Roman"/>
                <w:sz w:val="18"/>
                <w:szCs w:val="18"/>
                <w:lang w:eastAsia="en-IN"/>
              </w:rPr>
            </w:pPr>
            <w:r w:rsidRPr="00FC26AB">
              <w:rPr>
                <w:rFonts w:ascii="Times New Roman" w:hAnsi="Times New Roman" w:cs="Times New Roman"/>
                <w:sz w:val="18"/>
                <w:szCs w:val="18"/>
                <w:lang w:eastAsia="en-IN"/>
              </w:rPr>
              <w:t>5</w:t>
            </w:r>
          </w:p>
        </w:tc>
        <w:tc>
          <w:tcPr>
            <w:tcW w:w="831" w:type="dxa"/>
            <w:tcBorders>
              <w:top w:val="nil"/>
              <w:left w:val="nil"/>
              <w:bottom w:val="single" w:sz="4" w:space="0" w:color="auto"/>
              <w:right w:val="single" w:sz="4" w:space="0" w:color="auto"/>
            </w:tcBorders>
            <w:shd w:val="clear" w:color="000000" w:fill="FFFFFF"/>
            <w:vAlign w:val="center"/>
            <w:hideMark/>
          </w:tcPr>
          <w:p w14:paraId="5020E620" w14:textId="77777777" w:rsidR="00F61814" w:rsidRPr="00FC26AB" w:rsidRDefault="00F61814" w:rsidP="00B77C0B">
            <w:pPr>
              <w:pStyle w:val="NoSpacing"/>
              <w:rPr>
                <w:rFonts w:ascii="Times New Roman" w:hAnsi="Times New Roman" w:cs="Times New Roman"/>
                <w:sz w:val="18"/>
                <w:szCs w:val="18"/>
                <w:lang w:eastAsia="en-IN"/>
              </w:rPr>
            </w:pPr>
            <w:r w:rsidRPr="00FC26AB">
              <w:rPr>
                <w:rFonts w:ascii="Times New Roman" w:hAnsi="Times New Roman" w:cs="Times New Roman"/>
                <w:sz w:val="18"/>
                <w:szCs w:val="18"/>
                <w:lang w:eastAsia="en-IN"/>
              </w:rPr>
              <w:t>7</w:t>
            </w:r>
          </w:p>
        </w:tc>
        <w:tc>
          <w:tcPr>
            <w:tcW w:w="1175" w:type="dxa"/>
            <w:tcBorders>
              <w:top w:val="nil"/>
              <w:left w:val="nil"/>
              <w:bottom w:val="single" w:sz="4" w:space="0" w:color="auto"/>
              <w:right w:val="single" w:sz="4" w:space="0" w:color="auto"/>
            </w:tcBorders>
            <w:shd w:val="clear" w:color="000000" w:fill="FFFFFF"/>
            <w:vAlign w:val="center"/>
            <w:hideMark/>
          </w:tcPr>
          <w:p w14:paraId="19292D06" w14:textId="77777777" w:rsidR="00F61814" w:rsidRPr="00FC26AB" w:rsidRDefault="00F61814" w:rsidP="00B77C0B">
            <w:pPr>
              <w:pStyle w:val="NoSpacing"/>
              <w:rPr>
                <w:rFonts w:ascii="Times New Roman" w:hAnsi="Times New Roman" w:cs="Times New Roman"/>
                <w:sz w:val="18"/>
                <w:szCs w:val="18"/>
                <w:lang w:eastAsia="en-IN"/>
              </w:rPr>
            </w:pPr>
            <w:r w:rsidRPr="00FC26AB">
              <w:rPr>
                <w:rFonts w:ascii="Times New Roman" w:hAnsi="Times New Roman" w:cs="Times New Roman"/>
                <w:sz w:val="18"/>
                <w:szCs w:val="18"/>
                <w:lang w:eastAsia="en-IN"/>
              </w:rPr>
              <w:t>6</w:t>
            </w:r>
          </w:p>
        </w:tc>
        <w:tc>
          <w:tcPr>
            <w:tcW w:w="766" w:type="dxa"/>
            <w:tcBorders>
              <w:top w:val="nil"/>
              <w:left w:val="nil"/>
              <w:bottom w:val="single" w:sz="4" w:space="0" w:color="auto"/>
              <w:right w:val="single" w:sz="4" w:space="0" w:color="auto"/>
            </w:tcBorders>
            <w:shd w:val="clear" w:color="000000" w:fill="FFFFFF"/>
            <w:vAlign w:val="center"/>
            <w:hideMark/>
          </w:tcPr>
          <w:p w14:paraId="5BB0F906" w14:textId="77777777" w:rsidR="00F61814" w:rsidRPr="00FC26AB" w:rsidRDefault="00F61814" w:rsidP="00B77C0B">
            <w:pPr>
              <w:pStyle w:val="NoSpacing"/>
              <w:rPr>
                <w:rFonts w:ascii="Times New Roman" w:hAnsi="Times New Roman" w:cs="Times New Roman"/>
                <w:sz w:val="18"/>
                <w:szCs w:val="18"/>
                <w:lang w:eastAsia="en-IN"/>
              </w:rPr>
            </w:pPr>
            <w:r w:rsidRPr="00FC26AB">
              <w:rPr>
                <w:rFonts w:ascii="Times New Roman" w:hAnsi="Times New Roman" w:cs="Times New Roman"/>
                <w:sz w:val="18"/>
                <w:szCs w:val="18"/>
                <w:lang w:eastAsia="en-IN"/>
              </w:rPr>
              <w:t>5½</w:t>
            </w:r>
          </w:p>
        </w:tc>
        <w:tc>
          <w:tcPr>
            <w:tcW w:w="700" w:type="dxa"/>
            <w:tcBorders>
              <w:top w:val="nil"/>
              <w:left w:val="nil"/>
              <w:bottom w:val="single" w:sz="4" w:space="0" w:color="auto"/>
              <w:right w:val="single" w:sz="4" w:space="0" w:color="auto"/>
            </w:tcBorders>
            <w:shd w:val="clear" w:color="000000" w:fill="FFFFFF"/>
            <w:vAlign w:val="center"/>
            <w:hideMark/>
          </w:tcPr>
          <w:p w14:paraId="2F4E3DB6" w14:textId="77777777" w:rsidR="00F61814" w:rsidRPr="00FC26AB" w:rsidRDefault="00F61814" w:rsidP="00B77C0B">
            <w:pPr>
              <w:pStyle w:val="NoSpacing"/>
              <w:rPr>
                <w:rFonts w:ascii="Times New Roman" w:hAnsi="Times New Roman" w:cs="Times New Roman"/>
                <w:sz w:val="18"/>
                <w:szCs w:val="18"/>
                <w:lang w:eastAsia="en-IN"/>
              </w:rPr>
            </w:pPr>
            <w:r w:rsidRPr="00FC26AB">
              <w:rPr>
                <w:rFonts w:ascii="Times New Roman" w:hAnsi="Times New Roman" w:cs="Times New Roman"/>
                <w:sz w:val="18"/>
                <w:szCs w:val="18"/>
                <w:lang w:eastAsia="en-IN"/>
              </w:rPr>
              <w:t>5</w:t>
            </w:r>
          </w:p>
        </w:tc>
        <w:tc>
          <w:tcPr>
            <w:tcW w:w="736" w:type="dxa"/>
            <w:tcBorders>
              <w:top w:val="nil"/>
              <w:left w:val="nil"/>
              <w:bottom w:val="single" w:sz="4" w:space="0" w:color="auto"/>
              <w:right w:val="single" w:sz="4" w:space="0" w:color="auto"/>
            </w:tcBorders>
            <w:shd w:val="clear" w:color="000000" w:fill="FFFFFF"/>
            <w:vAlign w:val="center"/>
            <w:hideMark/>
          </w:tcPr>
          <w:p w14:paraId="67A2437C" w14:textId="77777777" w:rsidR="00F61814" w:rsidRPr="00FC26AB" w:rsidRDefault="00F61814" w:rsidP="00B77C0B">
            <w:pPr>
              <w:pStyle w:val="NoSpacing"/>
              <w:rPr>
                <w:rFonts w:ascii="Times New Roman" w:hAnsi="Times New Roman" w:cs="Times New Roman"/>
                <w:sz w:val="18"/>
                <w:szCs w:val="18"/>
                <w:lang w:eastAsia="en-IN"/>
              </w:rPr>
            </w:pPr>
            <w:r w:rsidRPr="00FC26AB">
              <w:rPr>
                <w:rFonts w:ascii="Times New Roman" w:hAnsi="Times New Roman" w:cs="Times New Roman"/>
                <w:sz w:val="18"/>
                <w:szCs w:val="18"/>
                <w:lang w:eastAsia="en-IN"/>
              </w:rPr>
              <w:t>NA</w:t>
            </w:r>
          </w:p>
        </w:tc>
        <w:tc>
          <w:tcPr>
            <w:tcW w:w="1004" w:type="dxa"/>
            <w:tcBorders>
              <w:top w:val="nil"/>
              <w:left w:val="nil"/>
              <w:bottom w:val="single" w:sz="4" w:space="0" w:color="auto"/>
              <w:right w:val="single" w:sz="4" w:space="0" w:color="auto"/>
            </w:tcBorders>
            <w:shd w:val="clear" w:color="000000" w:fill="FFFFFF"/>
            <w:vAlign w:val="center"/>
            <w:hideMark/>
          </w:tcPr>
          <w:p w14:paraId="5703DA1E" w14:textId="77777777" w:rsidR="00F61814" w:rsidRPr="00FC26AB" w:rsidRDefault="00F61814" w:rsidP="00B77C0B">
            <w:pPr>
              <w:pStyle w:val="NoSpacing"/>
              <w:rPr>
                <w:rFonts w:ascii="Times New Roman" w:hAnsi="Times New Roman" w:cs="Times New Roman"/>
                <w:sz w:val="18"/>
                <w:szCs w:val="18"/>
                <w:lang w:eastAsia="en-IN"/>
              </w:rPr>
            </w:pPr>
            <w:r w:rsidRPr="00FC26AB">
              <w:rPr>
                <w:rFonts w:ascii="Times New Roman" w:hAnsi="Times New Roman" w:cs="Times New Roman"/>
                <w:sz w:val="18"/>
                <w:szCs w:val="18"/>
                <w:lang w:eastAsia="en-IN"/>
              </w:rPr>
              <w:t>7</w:t>
            </w:r>
          </w:p>
        </w:tc>
        <w:tc>
          <w:tcPr>
            <w:tcW w:w="866" w:type="dxa"/>
            <w:tcBorders>
              <w:top w:val="nil"/>
              <w:left w:val="nil"/>
              <w:bottom w:val="single" w:sz="4" w:space="0" w:color="auto"/>
              <w:right w:val="single" w:sz="4" w:space="0" w:color="auto"/>
            </w:tcBorders>
            <w:shd w:val="clear" w:color="000000" w:fill="FFFFFF"/>
            <w:vAlign w:val="center"/>
            <w:hideMark/>
          </w:tcPr>
          <w:p w14:paraId="49D38438" w14:textId="77777777" w:rsidR="00F61814" w:rsidRPr="00FC26AB" w:rsidRDefault="00F61814" w:rsidP="00B77C0B">
            <w:pPr>
              <w:pStyle w:val="NoSpacing"/>
              <w:rPr>
                <w:rFonts w:ascii="Times New Roman" w:hAnsi="Times New Roman" w:cs="Times New Roman"/>
                <w:sz w:val="18"/>
                <w:szCs w:val="18"/>
                <w:lang w:eastAsia="en-IN"/>
              </w:rPr>
            </w:pPr>
            <w:r w:rsidRPr="00FC26AB">
              <w:rPr>
                <w:rFonts w:ascii="Times New Roman" w:hAnsi="Times New Roman" w:cs="Times New Roman"/>
                <w:sz w:val="18"/>
                <w:szCs w:val="18"/>
                <w:lang w:eastAsia="en-IN"/>
              </w:rPr>
              <w:t>5½</w:t>
            </w:r>
          </w:p>
        </w:tc>
        <w:tc>
          <w:tcPr>
            <w:tcW w:w="830" w:type="dxa"/>
            <w:tcBorders>
              <w:top w:val="nil"/>
              <w:left w:val="nil"/>
              <w:bottom w:val="single" w:sz="4" w:space="0" w:color="auto"/>
              <w:right w:val="single" w:sz="4" w:space="0" w:color="auto"/>
            </w:tcBorders>
            <w:shd w:val="clear" w:color="000000" w:fill="FFFFFF"/>
            <w:vAlign w:val="center"/>
            <w:hideMark/>
          </w:tcPr>
          <w:p w14:paraId="52843195" w14:textId="77777777" w:rsidR="00F61814" w:rsidRPr="00FC26AB" w:rsidRDefault="00F61814" w:rsidP="00B77C0B">
            <w:pPr>
              <w:pStyle w:val="NoSpacing"/>
              <w:rPr>
                <w:rFonts w:ascii="Times New Roman" w:hAnsi="Times New Roman" w:cs="Times New Roman"/>
                <w:sz w:val="18"/>
                <w:szCs w:val="18"/>
                <w:lang w:eastAsia="en-IN"/>
              </w:rPr>
            </w:pPr>
            <w:r w:rsidRPr="00FC26AB">
              <w:rPr>
                <w:rFonts w:ascii="Times New Roman" w:hAnsi="Times New Roman" w:cs="Times New Roman"/>
                <w:sz w:val="18"/>
                <w:szCs w:val="18"/>
                <w:lang w:eastAsia="en-IN"/>
              </w:rPr>
              <w:t>7</w:t>
            </w:r>
          </w:p>
        </w:tc>
        <w:tc>
          <w:tcPr>
            <w:tcW w:w="730" w:type="dxa"/>
            <w:tcBorders>
              <w:top w:val="nil"/>
              <w:left w:val="nil"/>
              <w:bottom w:val="single" w:sz="4" w:space="0" w:color="auto"/>
              <w:right w:val="single" w:sz="4" w:space="0" w:color="auto"/>
            </w:tcBorders>
            <w:shd w:val="clear" w:color="000000" w:fill="FFFFFF"/>
            <w:vAlign w:val="center"/>
            <w:hideMark/>
          </w:tcPr>
          <w:p w14:paraId="346F07C8" w14:textId="77777777" w:rsidR="00F61814" w:rsidRPr="00FC26AB" w:rsidRDefault="00F61814" w:rsidP="00B77C0B">
            <w:pPr>
              <w:pStyle w:val="NoSpacing"/>
              <w:rPr>
                <w:rFonts w:ascii="Times New Roman" w:hAnsi="Times New Roman" w:cs="Times New Roman"/>
                <w:sz w:val="18"/>
                <w:szCs w:val="18"/>
                <w:lang w:eastAsia="en-IN"/>
              </w:rPr>
            </w:pPr>
            <w:r w:rsidRPr="00FC26AB">
              <w:rPr>
                <w:rFonts w:ascii="Times New Roman" w:hAnsi="Times New Roman" w:cs="Times New Roman"/>
                <w:sz w:val="18"/>
                <w:szCs w:val="18"/>
                <w:lang w:eastAsia="en-IN"/>
              </w:rPr>
              <w:t>NA</w:t>
            </w:r>
          </w:p>
        </w:tc>
      </w:tr>
    </w:tbl>
    <w:p w14:paraId="3ECB751E" w14:textId="77777777" w:rsidR="00F61814" w:rsidRPr="004377B8" w:rsidRDefault="00F61814" w:rsidP="00CE7183">
      <w:pPr>
        <w:pStyle w:val="Sources"/>
      </w:pPr>
      <w:r w:rsidRPr="00FC26AB">
        <w:rPr>
          <w:b/>
          <w:bCs/>
        </w:rPr>
        <w:t>*</w:t>
      </w:r>
      <w:r w:rsidRPr="00FC26AB">
        <w:t> At the point of sale by the first wholesale dealer in the State effecting the sale subject to a rebate of 2 paise in a rupee on the rice sold and consumed in the State</w:t>
      </w:r>
      <w:r w:rsidRPr="004377B8">
        <w:t>.</w:t>
      </w:r>
    </w:p>
    <w:p w14:paraId="1E58D744" w14:textId="77777777" w:rsidR="00F61814" w:rsidRPr="007245B0" w:rsidRDefault="00F61814" w:rsidP="00CE7183">
      <w:pPr>
        <w:pStyle w:val="Sources"/>
      </w:pPr>
      <w:r w:rsidRPr="004377B8">
        <w:rPr>
          <w:b/>
          <w:bCs/>
        </w:rPr>
        <w:t>†</w:t>
      </w:r>
      <w:r w:rsidRPr="004377B8">
        <w:t> Inferior 1 per cent and superior 5 per cent.</w:t>
      </w:r>
    </w:p>
    <w:p w14:paraId="0EEBDDA0" w14:textId="77777777" w:rsidR="00D75175" w:rsidRPr="007245B0" w:rsidRDefault="00D75175" w:rsidP="00E51E56">
      <w:pPr>
        <w:rPr>
          <w:rFonts w:ascii="Times New Roman" w:hAnsi="Times New Roman" w:cs="Times New Roman"/>
          <w:b/>
          <w:bCs/>
        </w:rPr>
        <w:sectPr w:rsidR="00D75175" w:rsidRPr="007245B0" w:rsidSect="00F61814">
          <w:pgSz w:w="15840" w:h="12240" w:orient="landscape"/>
          <w:pgMar w:top="1440" w:right="992" w:bottom="1440" w:left="1440" w:header="720" w:footer="720" w:gutter="0"/>
          <w:cols w:space="720"/>
        </w:sectPr>
      </w:pPr>
    </w:p>
    <w:p w14:paraId="511ED0A3" w14:textId="77777777" w:rsidR="00CE7183" w:rsidRDefault="00CE7183">
      <w:pPr>
        <w:rPr>
          <w:rFonts w:ascii="Times New Roman" w:eastAsiaTheme="majorEastAsia" w:hAnsi="Times New Roman" w:cs="Times New Roman"/>
          <w:b/>
          <w:bCs/>
        </w:rPr>
      </w:pPr>
      <w:r>
        <w:lastRenderedPageBreak/>
        <w:br w:type="page"/>
      </w:r>
    </w:p>
    <w:p w14:paraId="7D47A4FA" w14:textId="27563C9E" w:rsidR="00CE7183" w:rsidRDefault="00574BCE" w:rsidP="00CE7183">
      <w:pPr>
        <w:pStyle w:val="Heading4"/>
      </w:pPr>
      <w:bookmarkStart w:id="93" w:name="_Toc220949701"/>
      <w:bookmarkStart w:id="94" w:name="_Toc221114301"/>
      <w:bookmarkStart w:id="95" w:name="_Toc221115324"/>
      <w:r>
        <w:lastRenderedPageBreak/>
        <w:t>Table</w:t>
      </w:r>
      <w:r w:rsidR="0098240D" w:rsidRPr="007245B0">
        <w:t xml:space="preserve"> 21: Rates of Sales Tax on Motor Spirit</w:t>
      </w:r>
      <w:bookmarkEnd w:id="93"/>
      <w:bookmarkEnd w:id="94"/>
      <w:bookmarkEnd w:id="95"/>
    </w:p>
    <w:p w14:paraId="39A471D9" w14:textId="40910627" w:rsidR="0098240D" w:rsidRPr="007245B0" w:rsidRDefault="0098240D" w:rsidP="00FC26AB">
      <w:pPr>
        <w:jc w:val="right"/>
        <w:rPr>
          <w:rFonts w:ascii="Times New Roman" w:hAnsi="Times New Roman" w:cs="Times New Roman"/>
          <w:i/>
          <w:iCs/>
          <w:szCs w:val="24"/>
        </w:rPr>
      </w:pPr>
      <w:r w:rsidRPr="007245B0">
        <w:rPr>
          <w:rFonts w:ascii="Times New Roman" w:hAnsi="Times New Roman" w:cs="Times New Roman"/>
          <w:i/>
          <w:iCs/>
          <w:szCs w:val="24"/>
        </w:rPr>
        <w:t>(In terms of paise per litre)</w:t>
      </w:r>
    </w:p>
    <w:tbl>
      <w:tblPr>
        <w:tblW w:w="11251" w:type="dxa"/>
        <w:tblInd w:w="-746" w:type="dxa"/>
        <w:tblLook w:val="04A0" w:firstRow="1" w:lastRow="0" w:firstColumn="1" w:lastColumn="0" w:noHBand="0" w:noVBand="1"/>
      </w:tblPr>
      <w:tblGrid>
        <w:gridCol w:w="2508"/>
        <w:gridCol w:w="1572"/>
        <w:gridCol w:w="1389"/>
        <w:gridCol w:w="1462"/>
        <w:gridCol w:w="1958"/>
        <w:gridCol w:w="2362"/>
      </w:tblGrid>
      <w:tr w:rsidR="0098240D" w:rsidRPr="00CE7183" w14:paraId="7E2C5F14" w14:textId="77777777" w:rsidTr="0098240D">
        <w:trPr>
          <w:trHeight w:val="1166"/>
        </w:trPr>
        <w:tc>
          <w:tcPr>
            <w:tcW w:w="250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4B0697F" w14:textId="77777777" w:rsidR="0098240D" w:rsidRPr="00CE7183" w:rsidRDefault="0098240D" w:rsidP="00B77C0B">
            <w:pPr>
              <w:spacing w:after="0" w:line="240" w:lineRule="auto"/>
              <w:ind w:firstLineChars="100" w:firstLine="241"/>
              <w:rPr>
                <w:rFonts w:ascii="Times New Roman" w:eastAsia="Times New Roman" w:hAnsi="Times New Roman" w:cs="Times New Roman"/>
                <w:b/>
                <w:bCs/>
                <w:color w:val="1A1C1E"/>
                <w:kern w:val="0"/>
                <w:szCs w:val="24"/>
                <w:lang w:eastAsia="en-IN"/>
                <w14:ligatures w14:val="none"/>
              </w:rPr>
            </w:pPr>
            <w:r w:rsidRPr="00CE7183">
              <w:rPr>
                <w:rFonts w:ascii="Times New Roman" w:eastAsia="Times New Roman" w:hAnsi="Times New Roman" w:cs="Times New Roman"/>
                <w:b/>
                <w:bCs/>
                <w:color w:val="1A1C1E"/>
                <w:kern w:val="0"/>
                <w:szCs w:val="24"/>
                <w:lang w:eastAsia="en-IN"/>
                <w14:ligatures w14:val="none"/>
              </w:rPr>
              <w:t>States</w:t>
            </w:r>
          </w:p>
        </w:tc>
        <w:tc>
          <w:tcPr>
            <w:tcW w:w="1572" w:type="dxa"/>
            <w:tcBorders>
              <w:top w:val="single" w:sz="4" w:space="0" w:color="auto"/>
              <w:left w:val="nil"/>
              <w:bottom w:val="single" w:sz="4" w:space="0" w:color="auto"/>
              <w:right w:val="single" w:sz="4" w:space="0" w:color="auto"/>
            </w:tcBorders>
            <w:shd w:val="clear" w:color="000000" w:fill="FFFFFF"/>
            <w:vAlign w:val="center"/>
            <w:hideMark/>
          </w:tcPr>
          <w:p w14:paraId="2ECC1AE8" w14:textId="77777777" w:rsidR="0098240D" w:rsidRPr="00CE7183" w:rsidRDefault="0098240D" w:rsidP="00CE7183">
            <w:pPr>
              <w:spacing w:after="0" w:line="240" w:lineRule="auto"/>
              <w:ind w:firstLineChars="100" w:firstLine="241"/>
              <w:jc w:val="center"/>
              <w:rPr>
                <w:rFonts w:ascii="Times New Roman" w:eastAsia="Times New Roman" w:hAnsi="Times New Roman" w:cs="Times New Roman"/>
                <w:b/>
                <w:bCs/>
                <w:color w:val="1A1C1E"/>
                <w:kern w:val="0"/>
                <w:szCs w:val="24"/>
                <w:lang w:eastAsia="en-IN"/>
                <w14:ligatures w14:val="none"/>
              </w:rPr>
            </w:pPr>
            <w:r w:rsidRPr="00CE7183">
              <w:rPr>
                <w:rFonts w:ascii="Times New Roman" w:eastAsia="Times New Roman" w:hAnsi="Times New Roman" w:cs="Times New Roman"/>
                <w:b/>
                <w:bCs/>
                <w:color w:val="1A1C1E"/>
                <w:kern w:val="0"/>
                <w:szCs w:val="24"/>
                <w:lang w:eastAsia="en-IN"/>
                <w14:ligatures w14:val="none"/>
              </w:rPr>
              <w:t>Motor Spirit</w:t>
            </w:r>
          </w:p>
        </w:tc>
        <w:tc>
          <w:tcPr>
            <w:tcW w:w="1389" w:type="dxa"/>
            <w:tcBorders>
              <w:top w:val="single" w:sz="4" w:space="0" w:color="auto"/>
              <w:left w:val="nil"/>
              <w:bottom w:val="single" w:sz="4" w:space="0" w:color="auto"/>
              <w:right w:val="single" w:sz="4" w:space="0" w:color="auto"/>
            </w:tcBorders>
            <w:shd w:val="clear" w:color="000000" w:fill="FFFFFF"/>
            <w:vAlign w:val="center"/>
            <w:hideMark/>
          </w:tcPr>
          <w:p w14:paraId="6731142A" w14:textId="77777777" w:rsidR="0098240D" w:rsidRPr="00CE7183" w:rsidRDefault="0098240D" w:rsidP="00CE7183">
            <w:pPr>
              <w:spacing w:after="0" w:line="240" w:lineRule="auto"/>
              <w:ind w:firstLineChars="100" w:firstLine="241"/>
              <w:jc w:val="center"/>
              <w:rPr>
                <w:rFonts w:ascii="Times New Roman" w:eastAsia="Times New Roman" w:hAnsi="Times New Roman" w:cs="Times New Roman"/>
                <w:b/>
                <w:bCs/>
                <w:color w:val="1A1C1E"/>
                <w:kern w:val="0"/>
                <w:szCs w:val="24"/>
                <w:lang w:eastAsia="en-IN"/>
                <w14:ligatures w14:val="none"/>
              </w:rPr>
            </w:pPr>
            <w:r w:rsidRPr="00CE7183">
              <w:rPr>
                <w:rFonts w:ascii="Times New Roman" w:eastAsia="Times New Roman" w:hAnsi="Times New Roman" w:cs="Times New Roman"/>
                <w:b/>
                <w:bCs/>
                <w:color w:val="1A1C1E"/>
                <w:kern w:val="0"/>
                <w:szCs w:val="24"/>
                <w:lang w:eastAsia="en-IN"/>
                <w14:ligatures w14:val="none"/>
              </w:rPr>
              <w:t>High Speed Diesel Oil</w:t>
            </w:r>
          </w:p>
        </w:tc>
        <w:tc>
          <w:tcPr>
            <w:tcW w:w="1462" w:type="dxa"/>
            <w:tcBorders>
              <w:top w:val="single" w:sz="4" w:space="0" w:color="auto"/>
              <w:left w:val="nil"/>
              <w:bottom w:val="single" w:sz="4" w:space="0" w:color="auto"/>
              <w:right w:val="single" w:sz="4" w:space="0" w:color="auto"/>
            </w:tcBorders>
            <w:shd w:val="clear" w:color="000000" w:fill="FFFFFF"/>
            <w:vAlign w:val="center"/>
            <w:hideMark/>
          </w:tcPr>
          <w:p w14:paraId="60DF7FF3" w14:textId="77777777" w:rsidR="0098240D" w:rsidRPr="00CE7183" w:rsidRDefault="0098240D" w:rsidP="00CE7183">
            <w:pPr>
              <w:spacing w:after="0" w:line="240" w:lineRule="auto"/>
              <w:ind w:firstLineChars="100" w:firstLine="241"/>
              <w:jc w:val="center"/>
              <w:rPr>
                <w:rFonts w:ascii="Times New Roman" w:eastAsia="Times New Roman" w:hAnsi="Times New Roman" w:cs="Times New Roman"/>
                <w:b/>
                <w:bCs/>
                <w:color w:val="1A1C1E"/>
                <w:kern w:val="0"/>
                <w:szCs w:val="24"/>
                <w:lang w:eastAsia="en-IN"/>
                <w14:ligatures w14:val="none"/>
              </w:rPr>
            </w:pPr>
            <w:r w:rsidRPr="00CE7183">
              <w:rPr>
                <w:rFonts w:ascii="Times New Roman" w:eastAsia="Times New Roman" w:hAnsi="Times New Roman" w:cs="Times New Roman"/>
                <w:b/>
                <w:bCs/>
                <w:color w:val="1A1C1E"/>
                <w:kern w:val="0"/>
                <w:szCs w:val="24"/>
                <w:lang w:eastAsia="en-IN"/>
                <w14:ligatures w14:val="none"/>
              </w:rPr>
              <w:t>Light Diesel Oil</w:t>
            </w:r>
          </w:p>
        </w:tc>
        <w:tc>
          <w:tcPr>
            <w:tcW w:w="1958" w:type="dxa"/>
            <w:tcBorders>
              <w:top w:val="single" w:sz="4" w:space="0" w:color="auto"/>
              <w:left w:val="nil"/>
              <w:bottom w:val="single" w:sz="4" w:space="0" w:color="auto"/>
              <w:right w:val="single" w:sz="4" w:space="0" w:color="auto"/>
            </w:tcBorders>
            <w:shd w:val="clear" w:color="000000" w:fill="FFFFFF"/>
            <w:vAlign w:val="center"/>
            <w:hideMark/>
          </w:tcPr>
          <w:p w14:paraId="793C6E4E" w14:textId="77777777" w:rsidR="0098240D" w:rsidRPr="00CE7183" w:rsidRDefault="0098240D" w:rsidP="00CE7183">
            <w:pPr>
              <w:spacing w:after="0" w:line="240" w:lineRule="auto"/>
              <w:ind w:firstLineChars="100" w:firstLine="241"/>
              <w:jc w:val="center"/>
              <w:rPr>
                <w:rFonts w:ascii="Times New Roman" w:eastAsia="Times New Roman" w:hAnsi="Times New Roman" w:cs="Times New Roman"/>
                <w:b/>
                <w:bCs/>
                <w:color w:val="1A1C1E"/>
                <w:kern w:val="0"/>
                <w:szCs w:val="24"/>
                <w:lang w:eastAsia="en-IN"/>
                <w14:ligatures w14:val="none"/>
              </w:rPr>
            </w:pPr>
            <w:r w:rsidRPr="00CE7183">
              <w:rPr>
                <w:rFonts w:ascii="Times New Roman" w:eastAsia="Times New Roman" w:hAnsi="Times New Roman" w:cs="Times New Roman"/>
                <w:b/>
                <w:bCs/>
                <w:color w:val="1A1C1E"/>
                <w:kern w:val="0"/>
                <w:szCs w:val="24"/>
                <w:lang w:eastAsia="en-IN"/>
                <w14:ligatures w14:val="none"/>
              </w:rPr>
              <w:t>Aviation Spirit</w:t>
            </w:r>
          </w:p>
        </w:tc>
        <w:tc>
          <w:tcPr>
            <w:tcW w:w="2362" w:type="dxa"/>
            <w:tcBorders>
              <w:top w:val="single" w:sz="4" w:space="0" w:color="auto"/>
              <w:left w:val="nil"/>
              <w:bottom w:val="single" w:sz="4" w:space="0" w:color="auto"/>
              <w:right w:val="single" w:sz="4" w:space="0" w:color="auto"/>
            </w:tcBorders>
            <w:shd w:val="clear" w:color="000000" w:fill="FFFFFF"/>
            <w:vAlign w:val="center"/>
            <w:hideMark/>
          </w:tcPr>
          <w:p w14:paraId="1E60AF28" w14:textId="77777777" w:rsidR="0098240D" w:rsidRPr="00CE7183" w:rsidRDefault="0098240D" w:rsidP="00CE7183">
            <w:pPr>
              <w:spacing w:after="0" w:line="240" w:lineRule="auto"/>
              <w:ind w:firstLineChars="100" w:firstLine="241"/>
              <w:jc w:val="center"/>
              <w:rPr>
                <w:rFonts w:ascii="Times New Roman" w:eastAsia="Times New Roman" w:hAnsi="Times New Roman" w:cs="Times New Roman"/>
                <w:b/>
                <w:bCs/>
                <w:color w:val="1A1C1E"/>
                <w:kern w:val="0"/>
                <w:szCs w:val="24"/>
                <w:lang w:eastAsia="en-IN"/>
                <w14:ligatures w14:val="none"/>
              </w:rPr>
            </w:pPr>
            <w:r w:rsidRPr="00CE7183">
              <w:rPr>
                <w:rFonts w:ascii="Times New Roman" w:eastAsia="Times New Roman" w:hAnsi="Times New Roman" w:cs="Times New Roman"/>
                <w:b/>
                <w:bCs/>
                <w:color w:val="1A1C1E"/>
                <w:kern w:val="0"/>
                <w:szCs w:val="24"/>
                <w:lang w:eastAsia="en-IN"/>
                <w14:ligatures w14:val="none"/>
              </w:rPr>
              <w:t>Vaporising Oil</w:t>
            </w:r>
          </w:p>
        </w:tc>
      </w:tr>
      <w:tr w:rsidR="0098240D" w:rsidRPr="00CE7183" w14:paraId="49F90B9F" w14:textId="77777777" w:rsidTr="0098240D">
        <w:trPr>
          <w:trHeight w:val="232"/>
        </w:trPr>
        <w:tc>
          <w:tcPr>
            <w:tcW w:w="2508" w:type="dxa"/>
            <w:tcBorders>
              <w:top w:val="nil"/>
              <w:left w:val="single" w:sz="4" w:space="0" w:color="auto"/>
              <w:bottom w:val="single" w:sz="4" w:space="0" w:color="auto"/>
              <w:right w:val="single" w:sz="4" w:space="0" w:color="auto"/>
            </w:tcBorders>
            <w:shd w:val="clear" w:color="000000" w:fill="FFFFFF"/>
            <w:vAlign w:val="center"/>
            <w:hideMark/>
          </w:tcPr>
          <w:p w14:paraId="07488266" w14:textId="77777777" w:rsidR="0098240D" w:rsidRPr="00CE7183" w:rsidRDefault="0098240D" w:rsidP="00B77C0B">
            <w:pPr>
              <w:spacing w:after="0" w:line="240" w:lineRule="auto"/>
              <w:jc w:val="center"/>
              <w:rPr>
                <w:rFonts w:ascii="Times New Roman" w:eastAsia="Times New Roman" w:hAnsi="Times New Roman" w:cs="Times New Roman"/>
                <w:b/>
                <w:bCs/>
                <w:color w:val="1A1C1E"/>
                <w:kern w:val="0"/>
                <w:szCs w:val="24"/>
                <w:lang w:eastAsia="en-IN"/>
                <w14:ligatures w14:val="none"/>
              </w:rPr>
            </w:pPr>
            <w:r w:rsidRPr="00CE7183">
              <w:rPr>
                <w:rFonts w:ascii="Times New Roman" w:eastAsia="Times New Roman" w:hAnsi="Times New Roman" w:cs="Times New Roman"/>
                <w:b/>
                <w:bCs/>
                <w:color w:val="1A1C1E"/>
                <w:kern w:val="0"/>
                <w:szCs w:val="24"/>
                <w:lang w:eastAsia="en-IN"/>
                <w14:ligatures w14:val="none"/>
              </w:rPr>
              <w:t>1</w:t>
            </w:r>
          </w:p>
        </w:tc>
        <w:tc>
          <w:tcPr>
            <w:tcW w:w="1572" w:type="dxa"/>
            <w:tcBorders>
              <w:top w:val="nil"/>
              <w:left w:val="nil"/>
              <w:bottom w:val="single" w:sz="4" w:space="0" w:color="auto"/>
              <w:right w:val="single" w:sz="4" w:space="0" w:color="auto"/>
            </w:tcBorders>
            <w:shd w:val="clear" w:color="000000" w:fill="FFFFFF"/>
            <w:vAlign w:val="center"/>
            <w:hideMark/>
          </w:tcPr>
          <w:p w14:paraId="03BF278C" w14:textId="77777777" w:rsidR="0098240D" w:rsidRPr="00CE7183" w:rsidRDefault="0098240D" w:rsidP="00CE7183">
            <w:pPr>
              <w:spacing w:after="0" w:line="240" w:lineRule="auto"/>
              <w:jc w:val="center"/>
              <w:rPr>
                <w:rFonts w:ascii="Times New Roman" w:eastAsia="Times New Roman" w:hAnsi="Times New Roman" w:cs="Times New Roman"/>
                <w:b/>
                <w:bCs/>
                <w:color w:val="1A1C1E"/>
                <w:kern w:val="0"/>
                <w:szCs w:val="24"/>
                <w:lang w:eastAsia="en-IN"/>
                <w14:ligatures w14:val="none"/>
              </w:rPr>
            </w:pPr>
            <w:r w:rsidRPr="00CE7183">
              <w:rPr>
                <w:rFonts w:ascii="Times New Roman" w:eastAsia="Times New Roman" w:hAnsi="Times New Roman" w:cs="Times New Roman"/>
                <w:b/>
                <w:bCs/>
                <w:color w:val="1A1C1E"/>
                <w:kern w:val="0"/>
                <w:szCs w:val="24"/>
                <w:lang w:eastAsia="en-IN"/>
                <w14:ligatures w14:val="none"/>
              </w:rPr>
              <w:t>2</w:t>
            </w:r>
          </w:p>
        </w:tc>
        <w:tc>
          <w:tcPr>
            <w:tcW w:w="1389" w:type="dxa"/>
            <w:tcBorders>
              <w:top w:val="nil"/>
              <w:left w:val="nil"/>
              <w:bottom w:val="single" w:sz="4" w:space="0" w:color="auto"/>
              <w:right w:val="single" w:sz="4" w:space="0" w:color="auto"/>
            </w:tcBorders>
            <w:shd w:val="clear" w:color="000000" w:fill="FFFFFF"/>
            <w:vAlign w:val="center"/>
            <w:hideMark/>
          </w:tcPr>
          <w:p w14:paraId="575CEAF1" w14:textId="77777777" w:rsidR="0098240D" w:rsidRPr="00CE7183" w:rsidRDefault="0098240D" w:rsidP="00CE7183">
            <w:pPr>
              <w:spacing w:after="0" w:line="240" w:lineRule="auto"/>
              <w:jc w:val="center"/>
              <w:rPr>
                <w:rFonts w:ascii="Times New Roman" w:eastAsia="Times New Roman" w:hAnsi="Times New Roman" w:cs="Times New Roman"/>
                <w:b/>
                <w:bCs/>
                <w:color w:val="1A1C1E"/>
                <w:kern w:val="0"/>
                <w:szCs w:val="24"/>
                <w:lang w:eastAsia="en-IN"/>
                <w14:ligatures w14:val="none"/>
              </w:rPr>
            </w:pPr>
            <w:r w:rsidRPr="00CE7183">
              <w:rPr>
                <w:rFonts w:ascii="Times New Roman" w:eastAsia="Times New Roman" w:hAnsi="Times New Roman" w:cs="Times New Roman"/>
                <w:b/>
                <w:bCs/>
                <w:color w:val="1A1C1E"/>
                <w:kern w:val="0"/>
                <w:szCs w:val="24"/>
                <w:lang w:eastAsia="en-IN"/>
                <w14:ligatures w14:val="none"/>
              </w:rPr>
              <w:t>3</w:t>
            </w:r>
          </w:p>
        </w:tc>
        <w:tc>
          <w:tcPr>
            <w:tcW w:w="1462" w:type="dxa"/>
            <w:tcBorders>
              <w:top w:val="nil"/>
              <w:left w:val="nil"/>
              <w:bottom w:val="single" w:sz="4" w:space="0" w:color="auto"/>
              <w:right w:val="single" w:sz="4" w:space="0" w:color="auto"/>
            </w:tcBorders>
            <w:shd w:val="clear" w:color="000000" w:fill="FFFFFF"/>
            <w:vAlign w:val="center"/>
            <w:hideMark/>
          </w:tcPr>
          <w:p w14:paraId="22AE0B86" w14:textId="77777777" w:rsidR="0098240D" w:rsidRPr="00CE7183" w:rsidRDefault="0098240D" w:rsidP="00CE7183">
            <w:pPr>
              <w:spacing w:after="0" w:line="240" w:lineRule="auto"/>
              <w:jc w:val="center"/>
              <w:rPr>
                <w:rFonts w:ascii="Times New Roman" w:eastAsia="Times New Roman" w:hAnsi="Times New Roman" w:cs="Times New Roman"/>
                <w:b/>
                <w:bCs/>
                <w:color w:val="1A1C1E"/>
                <w:kern w:val="0"/>
                <w:szCs w:val="24"/>
                <w:lang w:eastAsia="en-IN"/>
                <w14:ligatures w14:val="none"/>
              </w:rPr>
            </w:pPr>
            <w:r w:rsidRPr="00CE7183">
              <w:rPr>
                <w:rFonts w:ascii="Times New Roman" w:eastAsia="Times New Roman" w:hAnsi="Times New Roman" w:cs="Times New Roman"/>
                <w:b/>
                <w:bCs/>
                <w:color w:val="1A1C1E"/>
                <w:kern w:val="0"/>
                <w:szCs w:val="24"/>
                <w:lang w:eastAsia="en-IN"/>
                <w14:ligatures w14:val="none"/>
              </w:rPr>
              <w:t>4</w:t>
            </w:r>
          </w:p>
        </w:tc>
        <w:tc>
          <w:tcPr>
            <w:tcW w:w="1958" w:type="dxa"/>
            <w:tcBorders>
              <w:top w:val="nil"/>
              <w:left w:val="nil"/>
              <w:bottom w:val="single" w:sz="4" w:space="0" w:color="auto"/>
              <w:right w:val="single" w:sz="4" w:space="0" w:color="auto"/>
            </w:tcBorders>
            <w:shd w:val="clear" w:color="000000" w:fill="FFFFFF"/>
            <w:vAlign w:val="center"/>
            <w:hideMark/>
          </w:tcPr>
          <w:p w14:paraId="09FCE3B5" w14:textId="77777777" w:rsidR="0098240D" w:rsidRPr="00CE7183" w:rsidRDefault="0098240D" w:rsidP="00CE7183">
            <w:pPr>
              <w:spacing w:after="0" w:line="240" w:lineRule="auto"/>
              <w:jc w:val="center"/>
              <w:rPr>
                <w:rFonts w:ascii="Times New Roman" w:eastAsia="Times New Roman" w:hAnsi="Times New Roman" w:cs="Times New Roman"/>
                <w:b/>
                <w:bCs/>
                <w:color w:val="1A1C1E"/>
                <w:kern w:val="0"/>
                <w:szCs w:val="24"/>
                <w:lang w:eastAsia="en-IN"/>
                <w14:ligatures w14:val="none"/>
              </w:rPr>
            </w:pPr>
            <w:r w:rsidRPr="00CE7183">
              <w:rPr>
                <w:rFonts w:ascii="Times New Roman" w:eastAsia="Times New Roman" w:hAnsi="Times New Roman" w:cs="Times New Roman"/>
                <w:b/>
                <w:bCs/>
                <w:color w:val="1A1C1E"/>
                <w:kern w:val="0"/>
                <w:szCs w:val="24"/>
                <w:lang w:eastAsia="en-IN"/>
                <w14:ligatures w14:val="none"/>
              </w:rPr>
              <w:t>5</w:t>
            </w:r>
          </w:p>
        </w:tc>
        <w:tc>
          <w:tcPr>
            <w:tcW w:w="2362" w:type="dxa"/>
            <w:tcBorders>
              <w:top w:val="nil"/>
              <w:left w:val="nil"/>
              <w:bottom w:val="single" w:sz="4" w:space="0" w:color="auto"/>
              <w:right w:val="single" w:sz="4" w:space="0" w:color="auto"/>
            </w:tcBorders>
            <w:shd w:val="clear" w:color="000000" w:fill="FFFFFF"/>
            <w:vAlign w:val="center"/>
            <w:hideMark/>
          </w:tcPr>
          <w:p w14:paraId="45B849EE" w14:textId="77777777" w:rsidR="0098240D" w:rsidRPr="00CE7183" w:rsidRDefault="0098240D" w:rsidP="00CE7183">
            <w:pPr>
              <w:spacing w:after="0" w:line="240" w:lineRule="auto"/>
              <w:jc w:val="center"/>
              <w:rPr>
                <w:rFonts w:ascii="Times New Roman" w:eastAsia="Times New Roman" w:hAnsi="Times New Roman" w:cs="Times New Roman"/>
                <w:b/>
                <w:bCs/>
                <w:color w:val="1A1C1E"/>
                <w:kern w:val="0"/>
                <w:szCs w:val="24"/>
                <w:lang w:eastAsia="en-IN"/>
                <w14:ligatures w14:val="none"/>
              </w:rPr>
            </w:pPr>
            <w:r w:rsidRPr="00CE7183">
              <w:rPr>
                <w:rFonts w:ascii="Times New Roman" w:eastAsia="Times New Roman" w:hAnsi="Times New Roman" w:cs="Times New Roman"/>
                <w:b/>
                <w:bCs/>
                <w:color w:val="1A1C1E"/>
                <w:kern w:val="0"/>
                <w:szCs w:val="24"/>
                <w:lang w:eastAsia="en-IN"/>
                <w14:ligatures w14:val="none"/>
              </w:rPr>
              <w:t>6</w:t>
            </w:r>
          </w:p>
        </w:tc>
      </w:tr>
      <w:tr w:rsidR="0098240D" w:rsidRPr="00CE7183" w14:paraId="57A2A456" w14:textId="77777777" w:rsidTr="0098240D">
        <w:trPr>
          <w:trHeight w:val="442"/>
        </w:trPr>
        <w:tc>
          <w:tcPr>
            <w:tcW w:w="2508" w:type="dxa"/>
            <w:tcBorders>
              <w:top w:val="nil"/>
              <w:left w:val="single" w:sz="4" w:space="0" w:color="auto"/>
              <w:bottom w:val="single" w:sz="4" w:space="0" w:color="auto"/>
              <w:right w:val="single" w:sz="4" w:space="0" w:color="auto"/>
            </w:tcBorders>
            <w:shd w:val="clear" w:color="000000" w:fill="FFFFFF"/>
            <w:vAlign w:val="center"/>
            <w:hideMark/>
          </w:tcPr>
          <w:p w14:paraId="723FBCA2" w14:textId="77777777" w:rsidR="0098240D" w:rsidRPr="00CE7183" w:rsidRDefault="0098240D" w:rsidP="00B77C0B">
            <w:pPr>
              <w:spacing w:after="0" w:line="240" w:lineRule="auto"/>
              <w:ind w:firstLineChars="100" w:firstLine="240"/>
              <w:rPr>
                <w:rFonts w:ascii="Times New Roman" w:eastAsia="Times New Roman" w:hAnsi="Times New Roman" w:cs="Times New Roman"/>
                <w:color w:val="1A1C1E"/>
                <w:kern w:val="0"/>
                <w:szCs w:val="24"/>
                <w:lang w:eastAsia="en-IN"/>
                <w14:ligatures w14:val="none"/>
              </w:rPr>
            </w:pPr>
            <w:r w:rsidRPr="00CE7183">
              <w:rPr>
                <w:rFonts w:ascii="Times New Roman" w:eastAsia="Times New Roman" w:hAnsi="Times New Roman" w:cs="Times New Roman"/>
                <w:color w:val="1A1C1E"/>
                <w:kern w:val="0"/>
                <w:szCs w:val="24"/>
                <w:lang w:eastAsia="en-IN"/>
                <w14:ligatures w14:val="none"/>
              </w:rPr>
              <w:t>Andhra Pradesh</w:t>
            </w:r>
          </w:p>
        </w:tc>
        <w:tc>
          <w:tcPr>
            <w:tcW w:w="1572" w:type="dxa"/>
            <w:tcBorders>
              <w:top w:val="nil"/>
              <w:left w:val="nil"/>
              <w:bottom w:val="single" w:sz="4" w:space="0" w:color="auto"/>
              <w:right w:val="single" w:sz="4" w:space="0" w:color="auto"/>
            </w:tcBorders>
            <w:shd w:val="clear" w:color="000000" w:fill="FFFFFF"/>
            <w:vAlign w:val="center"/>
            <w:hideMark/>
          </w:tcPr>
          <w:p w14:paraId="123485F2" w14:textId="77777777" w:rsidR="0098240D" w:rsidRPr="00CE7183" w:rsidRDefault="0098240D" w:rsidP="00CE7183">
            <w:pPr>
              <w:spacing w:after="0" w:line="240" w:lineRule="auto"/>
              <w:ind w:firstLineChars="100" w:firstLine="240"/>
              <w:jc w:val="center"/>
              <w:rPr>
                <w:rFonts w:ascii="Times New Roman" w:eastAsia="Times New Roman" w:hAnsi="Times New Roman" w:cs="Times New Roman"/>
                <w:color w:val="1A1C1E"/>
                <w:kern w:val="0"/>
                <w:szCs w:val="24"/>
                <w:lang w:eastAsia="en-IN"/>
                <w14:ligatures w14:val="none"/>
              </w:rPr>
            </w:pPr>
            <w:r w:rsidRPr="00CE7183">
              <w:rPr>
                <w:rFonts w:ascii="Times New Roman" w:eastAsia="Times New Roman" w:hAnsi="Times New Roman" w:cs="Times New Roman"/>
                <w:color w:val="1A1C1E"/>
                <w:kern w:val="0"/>
                <w:szCs w:val="24"/>
                <w:lang w:eastAsia="en-IN"/>
                <w14:ligatures w14:val="none"/>
              </w:rPr>
              <w:t>11</w:t>
            </w:r>
          </w:p>
        </w:tc>
        <w:tc>
          <w:tcPr>
            <w:tcW w:w="1389" w:type="dxa"/>
            <w:tcBorders>
              <w:top w:val="nil"/>
              <w:left w:val="nil"/>
              <w:bottom w:val="single" w:sz="4" w:space="0" w:color="auto"/>
              <w:right w:val="single" w:sz="4" w:space="0" w:color="auto"/>
            </w:tcBorders>
            <w:shd w:val="clear" w:color="000000" w:fill="FFFFFF"/>
            <w:vAlign w:val="center"/>
            <w:hideMark/>
          </w:tcPr>
          <w:p w14:paraId="04034865" w14:textId="77777777" w:rsidR="0098240D" w:rsidRPr="00CE7183" w:rsidRDefault="0098240D" w:rsidP="00CE7183">
            <w:pPr>
              <w:spacing w:after="0" w:line="240" w:lineRule="auto"/>
              <w:ind w:firstLineChars="100" w:firstLine="240"/>
              <w:jc w:val="center"/>
              <w:rPr>
                <w:rFonts w:ascii="Times New Roman" w:eastAsia="Times New Roman" w:hAnsi="Times New Roman" w:cs="Times New Roman"/>
                <w:color w:val="1A1C1E"/>
                <w:kern w:val="0"/>
                <w:szCs w:val="24"/>
                <w:lang w:eastAsia="en-IN"/>
                <w14:ligatures w14:val="none"/>
              </w:rPr>
            </w:pPr>
            <w:r w:rsidRPr="00CE7183">
              <w:rPr>
                <w:rFonts w:ascii="Times New Roman" w:eastAsia="Times New Roman" w:hAnsi="Times New Roman" w:cs="Times New Roman"/>
                <w:color w:val="1A1C1E"/>
                <w:kern w:val="0"/>
                <w:szCs w:val="24"/>
                <w:lang w:eastAsia="en-IN"/>
                <w14:ligatures w14:val="none"/>
              </w:rPr>
              <w:t>10</w:t>
            </w:r>
          </w:p>
        </w:tc>
        <w:tc>
          <w:tcPr>
            <w:tcW w:w="1462" w:type="dxa"/>
            <w:tcBorders>
              <w:top w:val="nil"/>
              <w:left w:val="nil"/>
              <w:bottom w:val="single" w:sz="4" w:space="0" w:color="auto"/>
              <w:right w:val="single" w:sz="4" w:space="0" w:color="auto"/>
            </w:tcBorders>
            <w:shd w:val="clear" w:color="000000" w:fill="FFFFFF"/>
            <w:vAlign w:val="center"/>
            <w:hideMark/>
          </w:tcPr>
          <w:p w14:paraId="0CFCF601" w14:textId="77777777" w:rsidR="0098240D" w:rsidRPr="00CE7183" w:rsidRDefault="0098240D" w:rsidP="00CE7183">
            <w:pPr>
              <w:spacing w:after="0" w:line="240" w:lineRule="auto"/>
              <w:ind w:firstLineChars="100" w:firstLine="240"/>
              <w:jc w:val="center"/>
              <w:rPr>
                <w:rFonts w:ascii="Times New Roman" w:eastAsia="Times New Roman" w:hAnsi="Times New Roman" w:cs="Times New Roman"/>
                <w:color w:val="1A1C1E"/>
                <w:kern w:val="0"/>
                <w:szCs w:val="24"/>
                <w:lang w:eastAsia="en-IN"/>
                <w14:ligatures w14:val="none"/>
              </w:rPr>
            </w:pPr>
            <w:r w:rsidRPr="00CE7183">
              <w:rPr>
                <w:rFonts w:ascii="Times New Roman" w:eastAsia="Times New Roman" w:hAnsi="Times New Roman" w:cs="Times New Roman"/>
                <w:color w:val="1A1C1E"/>
                <w:kern w:val="0"/>
                <w:szCs w:val="24"/>
                <w:lang w:eastAsia="en-IN"/>
                <w14:ligatures w14:val="none"/>
              </w:rPr>
              <w:t>10</w:t>
            </w:r>
          </w:p>
        </w:tc>
        <w:tc>
          <w:tcPr>
            <w:tcW w:w="1958" w:type="dxa"/>
            <w:tcBorders>
              <w:top w:val="nil"/>
              <w:left w:val="nil"/>
              <w:bottom w:val="single" w:sz="4" w:space="0" w:color="auto"/>
              <w:right w:val="single" w:sz="4" w:space="0" w:color="auto"/>
            </w:tcBorders>
            <w:shd w:val="clear" w:color="000000" w:fill="FFFFFF"/>
            <w:vAlign w:val="center"/>
            <w:hideMark/>
          </w:tcPr>
          <w:p w14:paraId="5F763763" w14:textId="77777777" w:rsidR="0098240D" w:rsidRPr="00CE7183" w:rsidRDefault="0098240D" w:rsidP="00CE7183">
            <w:pPr>
              <w:spacing w:after="0" w:line="240" w:lineRule="auto"/>
              <w:ind w:firstLineChars="100" w:firstLine="240"/>
              <w:jc w:val="center"/>
              <w:rPr>
                <w:rFonts w:ascii="Times New Roman" w:eastAsia="Times New Roman" w:hAnsi="Times New Roman" w:cs="Times New Roman"/>
                <w:color w:val="1A1C1E"/>
                <w:kern w:val="0"/>
                <w:szCs w:val="24"/>
                <w:lang w:eastAsia="en-IN"/>
                <w14:ligatures w14:val="none"/>
              </w:rPr>
            </w:pPr>
            <w:r w:rsidRPr="00CE7183">
              <w:rPr>
                <w:rFonts w:ascii="Times New Roman" w:eastAsia="Times New Roman" w:hAnsi="Times New Roman" w:cs="Times New Roman"/>
                <w:color w:val="1A1C1E"/>
                <w:kern w:val="0"/>
                <w:szCs w:val="24"/>
                <w:lang w:eastAsia="en-IN"/>
                <w14:ligatures w14:val="none"/>
              </w:rPr>
              <w:t>10(g)</w:t>
            </w:r>
          </w:p>
        </w:tc>
        <w:tc>
          <w:tcPr>
            <w:tcW w:w="2362" w:type="dxa"/>
            <w:tcBorders>
              <w:top w:val="nil"/>
              <w:left w:val="nil"/>
              <w:bottom w:val="single" w:sz="4" w:space="0" w:color="auto"/>
              <w:right w:val="single" w:sz="4" w:space="0" w:color="auto"/>
            </w:tcBorders>
            <w:shd w:val="clear" w:color="000000" w:fill="FFFFFF"/>
            <w:vAlign w:val="center"/>
            <w:hideMark/>
          </w:tcPr>
          <w:p w14:paraId="5537C58D" w14:textId="77777777" w:rsidR="0098240D" w:rsidRPr="00CE7183" w:rsidRDefault="0098240D" w:rsidP="00CE7183">
            <w:pPr>
              <w:spacing w:after="0" w:line="240" w:lineRule="auto"/>
              <w:ind w:firstLineChars="100" w:firstLine="240"/>
              <w:jc w:val="center"/>
              <w:rPr>
                <w:rFonts w:ascii="Times New Roman" w:eastAsia="Times New Roman" w:hAnsi="Times New Roman" w:cs="Times New Roman"/>
                <w:color w:val="1A1C1E"/>
                <w:kern w:val="0"/>
                <w:szCs w:val="24"/>
                <w:lang w:eastAsia="en-IN"/>
                <w14:ligatures w14:val="none"/>
              </w:rPr>
            </w:pPr>
            <w:r w:rsidRPr="00CE7183">
              <w:rPr>
                <w:rFonts w:ascii="Times New Roman" w:eastAsia="Times New Roman" w:hAnsi="Times New Roman" w:cs="Times New Roman"/>
                <w:color w:val="1A1C1E"/>
                <w:kern w:val="0"/>
                <w:szCs w:val="24"/>
                <w:lang w:eastAsia="en-IN"/>
                <w14:ligatures w14:val="none"/>
              </w:rPr>
              <w:t>N.A.</w:t>
            </w:r>
          </w:p>
        </w:tc>
      </w:tr>
      <w:tr w:rsidR="0098240D" w:rsidRPr="00CE7183" w14:paraId="4B5B358B" w14:textId="77777777" w:rsidTr="0098240D">
        <w:trPr>
          <w:trHeight w:val="232"/>
        </w:trPr>
        <w:tc>
          <w:tcPr>
            <w:tcW w:w="2508" w:type="dxa"/>
            <w:tcBorders>
              <w:top w:val="nil"/>
              <w:left w:val="single" w:sz="4" w:space="0" w:color="auto"/>
              <w:bottom w:val="single" w:sz="4" w:space="0" w:color="auto"/>
              <w:right w:val="single" w:sz="4" w:space="0" w:color="auto"/>
            </w:tcBorders>
            <w:shd w:val="clear" w:color="000000" w:fill="FFFFFF"/>
            <w:vAlign w:val="center"/>
            <w:hideMark/>
          </w:tcPr>
          <w:p w14:paraId="15876996" w14:textId="77777777" w:rsidR="0098240D" w:rsidRPr="00CE7183" w:rsidRDefault="0098240D" w:rsidP="00B77C0B">
            <w:pPr>
              <w:spacing w:after="0" w:line="240" w:lineRule="auto"/>
              <w:ind w:firstLineChars="100" w:firstLine="240"/>
              <w:rPr>
                <w:rFonts w:ascii="Times New Roman" w:eastAsia="Times New Roman" w:hAnsi="Times New Roman" w:cs="Times New Roman"/>
                <w:color w:val="1A1C1E"/>
                <w:kern w:val="0"/>
                <w:szCs w:val="24"/>
                <w:lang w:eastAsia="en-IN"/>
                <w14:ligatures w14:val="none"/>
              </w:rPr>
            </w:pPr>
            <w:r w:rsidRPr="00CE7183">
              <w:rPr>
                <w:rFonts w:ascii="Times New Roman" w:eastAsia="Times New Roman" w:hAnsi="Times New Roman" w:cs="Times New Roman"/>
                <w:color w:val="1A1C1E"/>
                <w:kern w:val="0"/>
                <w:szCs w:val="24"/>
                <w:lang w:eastAsia="en-IN"/>
                <w14:ligatures w14:val="none"/>
              </w:rPr>
              <w:t>Assam</w:t>
            </w:r>
          </w:p>
        </w:tc>
        <w:tc>
          <w:tcPr>
            <w:tcW w:w="1572" w:type="dxa"/>
            <w:tcBorders>
              <w:top w:val="nil"/>
              <w:left w:val="nil"/>
              <w:bottom w:val="single" w:sz="4" w:space="0" w:color="auto"/>
              <w:right w:val="single" w:sz="4" w:space="0" w:color="auto"/>
            </w:tcBorders>
            <w:shd w:val="clear" w:color="000000" w:fill="FFFFFF"/>
            <w:vAlign w:val="center"/>
            <w:hideMark/>
          </w:tcPr>
          <w:p w14:paraId="06EA5A04" w14:textId="77777777" w:rsidR="0098240D" w:rsidRPr="00CE7183" w:rsidRDefault="0098240D" w:rsidP="00CE7183">
            <w:pPr>
              <w:spacing w:after="0" w:line="240" w:lineRule="auto"/>
              <w:ind w:firstLineChars="100" w:firstLine="240"/>
              <w:jc w:val="center"/>
              <w:rPr>
                <w:rFonts w:ascii="Times New Roman" w:eastAsia="Times New Roman" w:hAnsi="Times New Roman" w:cs="Times New Roman"/>
                <w:color w:val="1A1C1E"/>
                <w:kern w:val="0"/>
                <w:szCs w:val="24"/>
                <w:lang w:eastAsia="en-IN"/>
                <w14:ligatures w14:val="none"/>
              </w:rPr>
            </w:pPr>
            <w:r w:rsidRPr="00CE7183">
              <w:rPr>
                <w:rFonts w:ascii="Times New Roman" w:eastAsia="Times New Roman" w:hAnsi="Times New Roman" w:cs="Times New Roman"/>
                <w:color w:val="1A1C1E"/>
                <w:kern w:val="0"/>
                <w:szCs w:val="24"/>
                <w:lang w:eastAsia="en-IN"/>
                <w14:ligatures w14:val="none"/>
              </w:rPr>
              <w:t>15(e)</w:t>
            </w:r>
          </w:p>
        </w:tc>
        <w:tc>
          <w:tcPr>
            <w:tcW w:w="1389" w:type="dxa"/>
            <w:tcBorders>
              <w:top w:val="nil"/>
              <w:left w:val="nil"/>
              <w:bottom w:val="single" w:sz="4" w:space="0" w:color="auto"/>
              <w:right w:val="single" w:sz="4" w:space="0" w:color="auto"/>
            </w:tcBorders>
            <w:shd w:val="clear" w:color="000000" w:fill="FFFFFF"/>
            <w:vAlign w:val="center"/>
            <w:hideMark/>
          </w:tcPr>
          <w:p w14:paraId="678BF99B" w14:textId="77777777" w:rsidR="0098240D" w:rsidRPr="00CE7183" w:rsidRDefault="0098240D" w:rsidP="00CE7183">
            <w:pPr>
              <w:spacing w:after="0" w:line="240" w:lineRule="auto"/>
              <w:ind w:firstLineChars="100" w:firstLine="240"/>
              <w:jc w:val="center"/>
              <w:rPr>
                <w:rFonts w:ascii="Times New Roman" w:eastAsia="Times New Roman" w:hAnsi="Times New Roman" w:cs="Times New Roman"/>
                <w:color w:val="1A1C1E"/>
                <w:kern w:val="0"/>
                <w:szCs w:val="24"/>
                <w:lang w:eastAsia="en-IN"/>
                <w14:ligatures w14:val="none"/>
              </w:rPr>
            </w:pPr>
            <w:r w:rsidRPr="00CE7183">
              <w:rPr>
                <w:rFonts w:ascii="Times New Roman" w:eastAsia="Times New Roman" w:hAnsi="Times New Roman" w:cs="Times New Roman"/>
                <w:color w:val="1A1C1E"/>
                <w:kern w:val="0"/>
                <w:szCs w:val="24"/>
                <w:lang w:eastAsia="en-IN"/>
                <w14:ligatures w14:val="none"/>
              </w:rPr>
              <w:t>11</w:t>
            </w:r>
          </w:p>
        </w:tc>
        <w:tc>
          <w:tcPr>
            <w:tcW w:w="1462" w:type="dxa"/>
            <w:tcBorders>
              <w:top w:val="nil"/>
              <w:left w:val="nil"/>
              <w:bottom w:val="single" w:sz="4" w:space="0" w:color="auto"/>
              <w:right w:val="single" w:sz="4" w:space="0" w:color="auto"/>
            </w:tcBorders>
            <w:shd w:val="clear" w:color="000000" w:fill="FFFFFF"/>
            <w:vAlign w:val="center"/>
            <w:hideMark/>
          </w:tcPr>
          <w:p w14:paraId="7FF3AB50" w14:textId="77777777" w:rsidR="0098240D" w:rsidRPr="00CE7183" w:rsidRDefault="0098240D" w:rsidP="00CE7183">
            <w:pPr>
              <w:spacing w:after="0" w:line="240" w:lineRule="auto"/>
              <w:ind w:firstLineChars="100" w:firstLine="240"/>
              <w:jc w:val="center"/>
              <w:rPr>
                <w:rFonts w:ascii="Times New Roman" w:eastAsia="Times New Roman" w:hAnsi="Times New Roman" w:cs="Times New Roman"/>
                <w:color w:val="1A1C1E"/>
                <w:kern w:val="0"/>
                <w:szCs w:val="24"/>
                <w:lang w:eastAsia="en-IN"/>
                <w14:ligatures w14:val="none"/>
              </w:rPr>
            </w:pPr>
            <w:r w:rsidRPr="00CE7183">
              <w:rPr>
                <w:rFonts w:ascii="Times New Roman" w:eastAsia="Times New Roman" w:hAnsi="Times New Roman" w:cs="Times New Roman"/>
                <w:color w:val="1A1C1E"/>
                <w:kern w:val="0"/>
                <w:szCs w:val="24"/>
                <w:lang w:eastAsia="en-IN"/>
                <w14:ligatures w14:val="none"/>
              </w:rPr>
              <w:t>11</w:t>
            </w:r>
          </w:p>
        </w:tc>
        <w:tc>
          <w:tcPr>
            <w:tcW w:w="1958" w:type="dxa"/>
            <w:tcBorders>
              <w:top w:val="nil"/>
              <w:left w:val="nil"/>
              <w:bottom w:val="single" w:sz="4" w:space="0" w:color="auto"/>
              <w:right w:val="single" w:sz="4" w:space="0" w:color="auto"/>
            </w:tcBorders>
            <w:shd w:val="clear" w:color="000000" w:fill="FFFFFF"/>
            <w:vAlign w:val="center"/>
            <w:hideMark/>
          </w:tcPr>
          <w:p w14:paraId="42000D81" w14:textId="77777777" w:rsidR="0098240D" w:rsidRPr="00CE7183" w:rsidRDefault="0098240D" w:rsidP="00CE7183">
            <w:pPr>
              <w:spacing w:after="0" w:line="240" w:lineRule="auto"/>
              <w:ind w:firstLineChars="100" w:firstLine="240"/>
              <w:jc w:val="center"/>
              <w:rPr>
                <w:rFonts w:ascii="Times New Roman" w:eastAsia="Times New Roman" w:hAnsi="Times New Roman" w:cs="Times New Roman"/>
                <w:color w:val="1A1C1E"/>
                <w:kern w:val="0"/>
                <w:szCs w:val="24"/>
                <w:lang w:eastAsia="en-IN"/>
                <w14:ligatures w14:val="none"/>
              </w:rPr>
            </w:pPr>
            <w:r w:rsidRPr="00CE7183">
              <w:rPr>
                <w:rFonts w:ascii="Times New Roman" w:eastAsia="Times New Roman" w:hAnsi="Times New Roman" w:cs="Times New Roman"/>
                <w:color w:val="1A1C1E"/>
                <w:kern w:val="0"/>
                <w:szCs w:val="24"/>
                <w:lang w:eastAsia="en-IN"/>
                <w14:ligatures w14:val="none"/>
              </w:rPr>
              <w:t>N.A.</w:t>
            </w:r>
          </w:p>
        </w:tc>
        <w:tc>
          <w:tcPr>
            <w:tcW w:w="2362" w:type="dxa"/>
            <w:tcBorders>
              <w:top w:val="nil"/>
              <w:left w:val="nil"/>
              <w:bottom w:val="single" w:sz="4" w:space="0" w:color="auto"/>
              <w:right w:val="single" w:sz="4" w:space="0" w:color="auto"/>
            </w:tcBorders>
            <w:shd w:val="clear" w:color="000000" w:fill="FFFFFF"/>
            <w:vAlign w:val="center"/>
            <w:hideMark/>
          </w:tcPr>
          <w:p w14:paraId="1712E801" w14:textId="77777777" w:rsidR="0098240D" w:rsidRPr="00CE7183" w:rsidRDefault="0098240D" w:rsidP="00CE7183">
            <w:pPr>
              <w:spacing w:after="0" w:line="240" w:lineRule="auto"/>
              <w:ind w:firstLineChars="100" w:firstLine="240"/>
              <w:jc w:val="center"/>
              <w:rPr>
                <w:rFonts w:ascii="Times New Roman" w:eastAsia="Times New Roman" w:hAnsi="Times New Roman" w:cs="Times New Roman"/>
                <w:color w:val="1A1C1E"/>
                <w:kern w:val="0"/>
                <w:szCs w:val="24"/>
                <w:lang w:eastAsia="en-IN"/>
                <w14:ligatures w14:val="none"/>
              </w:rPr>
            </w:pPr>
            <w:r w:rsidRPr="00CE7183">
              <w:rPr>
                <w:rFonts w:ascii="Times New Roman" w:eastAsia="Times New Roman" w:hAnsi="Times New Roman" w:cs="Times New Roman"/>
                <w:color w:val="1A1C1E"/>
                <w:kern w:val="0"/>
                <w:szCs w:val="24"/>
                <w:lang w:eastAsia="en-IN"/>
                <w14:ligatures w14:val="none"/>
              </w:rPr>
              <w:t>N.A.</w:t>
            </w:r>
          </w:p>
        </w:tc>
      </w:tr>
      <w:tr w:rsidR="0098240D" w:rsidRPr="00CE7183" w14:paraId="1F78D3B1" w14:textId="77777777" w:rsidTr="0098240D">
        <w:trPr>
          <w:trHeight w:val="232"/>
        </w:trPr>
        <w:tc>
          <w:tcPr>
            <w:tcW w:w="2508" w:type="dxa"/>
            <w:tcBorders>
              <w:top w:val="nil"/>
              <w:left w:val="single" w:sz="4" w:space="0" w:color="auto"/>
              <w:bottom w:val="single" w:sz="4" w:space="0" w:color="auto"/>
              <w:right w:val="single" w:sz="4" w:space="0" w:color="auto"/>
            </w:tcBorders>
            <w:shd w:val="clear" w:color="000000" w:fill="FFFFFF"/>
            <w:vAlign w:val="center"/>
            <w:hideMark/>
          </w:tcPr>
          <w:p w14:paraId="052204C5" w14:textId="77777777" w:rsidR="0098240D" w:rsidRPr="00CE7183" w:rsidRDefault="0098240D" w:rsidP="00B77C0B">
            <w:pPr>
              <w:spacing w:after="0" w:line="240" w:lineRule="auto"/>
              <w:ind w:firstLineChars="100" w:firstLine="240"/>
              <w:rPr>
                <w:rFonts w:ascii="Times New Roman" w:eastAsia="Times New Roman" w:hAnsi="Times New Roman" w:cs="Times New Roman"/>
                <w:color w:val="1A1C1E"/>
                <w:kern w:val="0"/>
                <w:szCs w:val="24"/>
                <w:lang w:eastAsia="en-IN"/>
                <w14:ligatures w14:val="none"/>
              </w:rPr>
            </w:pPr>
            <w:r w:rsidRPr="00CE7183">
              <w:rPr>
                <w:rFonts w:ascii="Times New Roman" w:eastAsia="Times New Roman" w:hAnsi="Times New Roman" w:cs="Times New Roman"/>
                <w:color w:val="1A1C1E"/>
                <w:kern w:val="0"/>
                <w:szCs w:val="24"/>
                <w:lang w:eastAsia="en-IN"/>
                <w14:ligatures w14:val="none"/>
              </w:rPr>
              <w:t>Bihar</w:t>
            </w:r>
          </w:p>
        </w:tc>
        <w:tc>
          <w:tcPr>
            <w:tcW w:w="1572" w:type="dxa"/>
            <w:tcBorders>
              <w:top w:val="nil"/>
              <w:left w:val="nil"/>
              <w:bottom w:val="single" w:sz="4" w:space="0" w:color="auto"/>
              <w:right w:val="single" w:sz="4" w:space="0" w:color="auto"/>
            </w:tcBorders>
            <w:shd w:val="clear" w:color="000000" w:fill="FFFFFF"/>
            <w:vAlign w:val="center"/>
            <w:hideMark/>
          </w:tcPr>
          <w:p w14:paraId="051DA2EE" w14:textId="77777777" w:rsidR="0098240D" w:rsidRPr="00CE7183" w:rsidRDefault="0098240D" w:rsidP="00CE7183">
            <w:pPr>
              <w:spacing w:after="0" w:line="240" w:lineRule="auto"/>
              <w:ind w:firstLineChars="100" w:firstLine="240"/>
              <w:jc w:val="center"/>
              <w:rPr>
                <w:rFonts w:ascii="Times New Roman" w:eastAsia="Times New Roman" w:hAnsi="Times New Roman" w:cs="Times New Roman"/>
                <w:color w:val="1A1C1E"/>
                <w:kern w:val="0"/>
                <w:szCs w:val="24"/>
                <w:lang w:eastAsia="en-IN"/>
                <w14:ligatures w14:val="none"/>
              </w:rPr>
            </w:pPr>
            <w:r w:rsidRPr="00CE7183">
              <w:rPr>
                <w:rFonts w:ascii="Times New Roman" w:eastAsia="Times New Roman" w:hAnsi="Times New Roman" w:cs="Times New Roman"/>
                <w:color w:val="1A1C1E"/>
                <w:kern w:val="0"/>
                <w:szCs w:val="24"/>
                <w:lang w:eastAsia="en-IN"/>
                <w14:ligatures w14:val="none"/>
              </w:rPr>
              <w:t>12</w:t>
            </w:r>
          </w:p>
        </w:tc>
        <w:tc>
          <w:tcPr>
            <w:tcW w:w="1389" w:type="dxa"/>
            <w:tcBorders>
              <w:top w:val="nil"/>
              <w:left w:val="nil"/>
              <w:bottom w:val="single" w:sz="4" w:space="0" w:color="auto"/>
              <w:right w:val="single" w:sz="4" w:space="0" w:color="auto"/>
            </w:tcBorders>
            <w:shd w:val="clear" w:color="000000" w:fill="FFFFFF"/>
            <w:vAlign w:val="center"/>
            <w:hideMark/>
          </w:tcPr>
          <w:p w14:paraId="5D004220" w14:textId="77777777" w:rsidR="0098240D" w:rsidRPr="00CE7183" w:rsidRDefault="0098240D" w:rsidP="00CE7183">
            <w:pPr>
              <w:spacing w:after="0" w:line="240" w:lineRule="auto"/>
              <w:ind w:firstLineChars="100" w:firstLine="240"/>
              <w:jc w:val="center"/>
              <w:rPr>
                <w:rFonts w:ascii="Times New Roman" w:eastAsia="Times New Roman" w:hAnsi="Times New Roman" w:cs="Times New Roman"/>
                <w:color w:val="1A1C1E"/>
                <w:kern w:val="0"/>
                <w:szCs w:val="24"/>
                <w:lang w:eastAsia="en-IN"/>
                <w14:ligatures w14:val="none"/>
              </w:rPr>
            </w:pPr>
            <w:r w:rsidRPr="00CE7183">
              <w:rPr>
                <w:rFonts w:ascii="Times New Roman" w:eastAsia="Times New Roman" w:hAnsi="Times New Roman" w:cs="Times New Roman"/>
                <w:color w:val="1A1C1E"/>
                <w:kern w:val="0"/>
                <w:szCs w:val="24"/>
                <w:lang w:eastAsia="en-IN"/>
                <w14:ligatures w14:val="none"/>
              </w:rPr>
              <w:t>N.A.</w:t>
            </w:r>
          </w:p>
        </w:tc>
        <w:tc>
          <w:tcPr>
            <w:tcW w:w="1462" w:type="dxa"/>
            <w:tcBorders>
              <w:top w:val="nil"/>
              <w:left w:val="nil"/>
              <w:bottom w:val="single" w:sz="4" w:space="0" w:color="auto"/>
              <w:right w:val="single" w:sz="4" w:space="0" w:color="auto"/>
            </w:tcBorders>
            <w:shd w:val="clear" w:color="000000" w:fill="FFFFFF"/>
            <w:vAlign w:val="center"/>
            <w:hideMark/>
          </w:tcPr>
          <w:p w14:paraId="6DF5B245" w14:textId="77777777" w:rsidR="0098240D" w:rsidRPr="00CE7183" w:rsidRDefault="0098240D" w:rsidP="00CE7183">
            <w:pPr>
              <w:spacing w:after="0" w:line="240" w:lineRule="auto"/>
              <w:ind w:firstLineChars="100" w:firstLine="240"/>
              <w:jc w:val="center"/>
              <w:rPr>
                <w:rFonts w:ascii="Times New Roman" w:eastAsia="Times New Roman" w:hAnsi="Times New Roman" w:cs="Times New Roman"/>
                <w:color w:val="1A1C1E"/>
                <w:kern w:val="0"/>
                <w:szCs w:val="24"/>
                <w:lang w:eastAsia="en-IN"/>
                <w14:ligatures w14:val="none"/>
              </w:rPr>
            </w:pPr>
            <w:r w:rsidRPr="00CE7183">
              <w:rPr>
                <w:rFonts w:ascii="Times New Roman" w:eastAsia="Times New Roman" w:hAnsi="Times New Roman" w:cs="Times New Roman"/>
                <w:color w:val="1A1C1E"/>
                <w:kern w:val="0"/>
                <w:szCs w:val="24"/>
                <w:lang w:eastAsia="en-IN"/>
                <w14:ligatures w14:val="none"/>
              </w:rPr>
              <w:t>5(a)</w:t>
            </w:r>
          </w:p>
        </w:tc>
        <w:tc>
          <w:tcPr>
            <w:tcW w:w="1958" w:type="dxa"/>
            <w:tcBorders>
              <w:top w:val="nil"/>
              <w:left w:val="nil"/>
              <w:bottom w:val="single" w:sz="4" w:space="0" w:color="auto"/>
              <w:right w:val="single" w:sz="4" w:space="0" w:color="auto"/>
            </w:tcBorders>
            <w:shd w:val="clear" w:color="000000" w:fill="FFFFFF"/>
            <w:vAlign w:val="center"/>
            <w:hideMark/>
          </w:tcPr>
          <w:p w14:paraId="05C4E972" w14:textId="77777777" w:rsidR="0098240D" w:rsidRPr="00CE7183" w:rsidRDefault="0098240D" w:rsidP="00CE7183">
            <w:pPr>
              <w:spacing w:after="0" w:line="240" w:lineRule="auto"/>
              <w:ind w:firstLineChars="100" w:firstLine="240"/>
              <w:jc w:val="center"/>
              <w:rPr>
                <w:rFonts w:ascii="Times New Roman" w:eastAsia="Times New Roman" w:hAnsi="Times New Roman" w:cs="Times New Roman"/>
                <w:color w:val="1A1C1E"/>
                <w:kern w:val="0"/>
                <w:szCs w:val="24"/>
                <w:lang w:eastAsia="en-IN"/>
                <w14:ligatures w14:val="none"/>
              </w:rPr>
            </w:pPr>
            <w:r w:rsidRPr="00CE7183">
              <w:rPr>
                <w:rFonts w:ascii="Times New Roman" w:eastAsia="Times New Roman" w:hAnsi="Times New Roman" w:cs="Times New Roman"/>
                <w:color w:val="1A1C1E"/>
                <w:kern w:val="0"/>
                <w:szCs w:val="24"/>
                <w:lang w:eastAsia="en-IN"/>
                <w14:ligatures w14:val="none"/>
              </w:rPr>
              <w:t>N.A.</w:t>
            </w:r>
          </w:p>
        </w:tc>
        <w:tc>
          <w:tcPr>
            <w:tcW w:w="2362" w:type="dxa"/>
            <w:tcBorders>
              <w:top w:val="nil"/>
              <w:left w:val="nil"/>
              <w:bottom w:val="single" w:sz="4" w:space="0" w:color="auto"/>
              <w:right w:val="single" w:sz="4" w:space="0" w:color="auto"/>
            </w:tcBorders>
            <w:shd w:val="clear" w:color="000000" w:fill="FFFFFF"/>
            <w:vAlign w:val="center"/>
            <w:hideMark/>
          </w:tcPr>
          <w:p w14:paraId="6E3C6EF0" w14:textId="77777777" w:rsidR="0098240D" w:rsidRPr="00CE7183" w:rsidRDefault="0098240D" w:rsidP="00CE7183">
            <w:pPr>
              <w:spacing w:after="0" w:line="240" w:lineRule="auto"/>
              <w:ind w:firstLineChars="100" w:firstLine="240"/>
              <w:jc w:val="center"/>
              <w:rPr>
                <w:rFonts w:ascii="Times New Roman" w:eastAsia="Times New Roman" w:hAnsi="Times New Roman" w:cs="Times New Roman"/>
                <w:color w:val="1A1C1E"/>
                <w:kern w:val="0"/>
                <w:szCs w:val="24"/>
                <w:lang w:eastAsia="en-IN"/>
                <w14:ligatures w14:val="none"/>
              </w:rPr>
            </w:pPr>
            <w:r w:rsidRPr="00CE7183">
              <w:rPr>
                <w:rFonts w:ascii="Times New Roman" w:eastAsia="Times New Roman" w:hAnsi="Times New Roman" w:cs="Times New Roman"/>
                <w:color w:val="1A1C1E"/>
                <w:kern w:val="0"/>
                <w:szCs w:val="24"/>
                <w:lang w:eastAsia="en-IN"/>
                <w14:ligatures w14:val="none"/>
              </w:rPr>
              <w:t>9</w:t>
            </w:r>
          </w:p>
        </w:tc>
      </w:tr>
      <w:tr w:rsidR="0098240D" w:rsidRPr="00CE7183" w14:paraId="715E80B8" w14:textId="77777777" w:rsidTr="0098240D">
        <w:trPr>
          <w:trHeight w:val="361"/>
        </w:trPr>
        <w:tc>
          <w:tcPr>
            <w:tcW w:w="2508" w:type="dxa"/>
            <w:tcBorders>
              <w:top w:val="nil"/>
              <w:left w:val="single" w:sz="4" w:space="0" w:color="auto"/>
              <w:bottom w:val="single" w:sz="4" w:space="0" w:color="auto"/>
              <w:right w:val="single" w:sz="4" w:space="0" w:color="auto"/>
            </w:tcBorders>
            <w:shd w:val="clear" w:color="000000" w:fill="FFFFFF"/>
            <w:vAlign w:val="center"/>
            <w:hideMark/>
          </w:tcPr>
          <w:p w14:paraId="795DF35B" w14:textId="77777777" w:rsidR="0098240D" w:rsidRPr="00CE7183" w:rsidRDefault="0098240D" w:rsidP="00B77C0B">
            <w:pPr>
              <w:spacing w:after="0" w:line="240" w:lineRule="auto"/>
              <w:ind w:firstLineChars="100" w:firstLine="240"/>
              <w:rPr>
                <w:rFonts w:ascii="Times New Roman" w:eastAsia="Times New Roman" w:hAnsi="Times New Roman" w:cs="Times New Roman"/>
                <w:color w:val="1A1C1E"/>
                <w:kern w:val="0"/>
                <w:szCs w:val="24"/>
                <w:lang w:eastAsia="en-IN"/>
                <w14:ligatures w14:val="none"/>
              </w:rPr>
            </w:pPr>
            <w:r w:rsidRPr="00CE7183">
              <w:rPr>
                <w:rFonts w:ascii="Times New Roman" w:eastAsia="Times New Roman" w:hAnsi="Times New Roman" w:cs="Times New Roman"/>
                <w:color w:val="1A1C1E"/>
                <w:kern w:val="0"/>
                <w:szCs w:val="24"/>
                <w:lang w:eastAsia="en-IN"/>
                <w14:ligatures w14:val="none"/>
              </w:rPr>
              <w:t>Gujarat</w:t>
            </w:r>
          </w:p>
        </w:tc>
        <w:tc>
          <w:tcPr>
            <w:tcW w:w="1572" w:type="dxa"/>
            <w:tcBorders>
              <w:top w:val="nil"/>
              <w:left w:val="nil"/>
              <w:bottom w:val="single" w:sz="4" w:space="0" w:color="auto"/>
              <w:right w:val="single" w:sz="4" w:space="0" w:color="auto"/>
            </w:tcBorders>
            <w:shd w:val="clear" w:color="000000" w:fill="FFFFFF"/>
            <w:vAlign w:val="center"/>
            <w:hideMark/>
          </w:tcPr>
          <w:p w14:paraId="244DE3E5" w14:textId="77777777" w:rsidR="0098240D" w:rsidRPr="00CE7183" w:rsidRDefault="0098240D" w:rsidP="00CE7183">
            <w:pPr>
              <w:spacing w:after="0" w:line="240" w:lineRule="auto"/>
              <w:ind w:firstLineChars="100" w:firstLine="240"/>
              <w:jc w:val="center"/>
              <w:rPr>
                <w:rFonts w:ascii="Times New Roman" w:eastAsia="Times New Roman" w:hAnsi="Times New Roman" w:cs="Times New Roman"/>
                <w:color w:val="1A1C1E"/>
                <w:kern w:val="0"/>
                <w:szCs w:val="24"/>
                <w:lang w:eastAsia="en-IN"/>
                <w14:ligatures w14:val="none"/>
              </w:rPr>
            </w:pPr>
            <w:r w:rsidRPr="00CE7183">
              <w:rPr>
                <w:rFonts w:ascii="Times New Roman" w:eastAsia="Times New Roman" w:hAnsi="Times New Roman" w:cs="Times New Roman"/>
                <w:color w:val="1A1C1E"/>
                <w:kern w:val="0"/>
                <w:szCs w:val="24"/>
                <w:lang w:eastAsia="en-IN"/>
                <w14:ligatures w14:val="none"/>
              </w:rPr>
              <w:t>12</w:t>
            </w:r>
          </w:p>
        </w:tc>
        <w:tc>
          <w:tcPr>
            <w:tcW w:w="1389" w:type="dxa"/>
            <w:tcBorders>
              <w:top w:val="nil"/>
              <w:left w:val="nil"/>
              <w:bottom w:val="single" w:sz="4" w:space="0" w:color="auto"/>
              <w:right w:val="single" w:sz="4" w:space="0" w:color="auto"/>
            </w:tcBorders>
            <w:shd w:val="clear" w:color="000000" w:fill="FFFFFF"/>
            <w:vAlign w:val="center"/>
            <w:hideMark/>
          </w:tcPr>
          <w:p w14:paraId="5B2C8927" w14:textId="77777777" w:rsidR="0098240D" w:rsidRPr="00CE7183" w:rsidRDefault="0098240D" w:rsidP="00CE7183">
            <w:pPr>
              <w:spacing w:after="0" w:line="240" w:lineRule="auto"/>
              <w:ind w:firstLineChars="100" w:firstLine="240"/>
              <w:jc w:val="center"/>
              <w:rPr>
                <w:rFonts w:ascii="Times New Roman" w:eastAsia="Times New Roman" w:hAnsi="Times New Roman" w:cs="Times New Roman"/>
                <w:color w:val="1A1C1E"/>
                <w:kern w:val="0"/>
                <w:szCs w:val="24"/>
                <w:lang w:eastAsia="en-IN"/>
                <w14:ligatures w14:val="none"/>
              </w:rPr>
            </w:pPr>
            <w:r w:rsidRPr="00CE7183">
              <w:rPr>
                <w:rFonts w:ascii="Times New Roman" w:eastAsia="Times New Roman" w:hAnsi="Times New Roman" w:cs="Times New Roman"/>
                <w:color w:val="1A1C1E"/>
                <w:kern w:val="0"/>
                <w:szCs w:val="24"/>
                <w:lang w:eastAsia="en-IN"/>
                <w14:ligatures w14:val="none"/>
              </w:rPr>
              <w:t>5</w:t>
            </w:r>
          </w:p>
        </w:tc>
        <w:tc>
          <w:tcPr>
            <w:tcW w:w="1462" w:type="dxa"/>
            <w:tcBorders>
              <w:top w:val="nil"/>
              <w:left w:val="nil"/>
              <w:bottom w:val="single" w:sz="4" w:space="0" w:color="auto"/>
              <w:right w:val="single" w:sz="4" w:space="0" w:color="auto"/>
            </w:tcBorders>
            <w:shd w:val="clear" w:color="000000" w:fill="FFFFFF"/>
            <w:vAlign w:val="center"/>
            <w:hideMark/>
          </w:tcPr>
          <w:p w14:paraId="56968983" w14:textId="77777777" w:rsidR="0098240D" w:rsidRPr="00CE7183" w:rsidRDefault="0098240D" w:rsidP="00CE7183">
            <w:pPr>
              <w:spacing w:after="0" w:line="240" w:lineRule="auto"/>
              <w:ind w:firstLineChars="100" w:firstLine="240"/>
              <w:jc w:val="center"/>
              <w:rPr>
                <w:rFonts w:ascii="Times New Roman" w:eastAsia="Times New Roman" w:hAnsi="Times New Roman" w:cs="Times New Roman"/>
                <w:color w:val="1A1C1E"/>
                <w:kern w:val="0"/>
                <w:szCs w:val="24"/>
                <w:lang w:eastAsia="en-IN"/>
                <w14:ligatures w14:val="none"/>
              </w:rPr>
            </w:pPr>
            <w:r w:rsidRPr="00CE7183">
              <w:rPr>
                <w:rFonts w:ascii="Times New Roman" w:eastAsia="Times New Roman" w:hAnsi="Times New Roman" w:cs="Times New Roman"/>
                <w:color w:val="1A1C1E"/>
                <w:kern w:val="0"/>
                <w:szCs w:val="24"/>
                <w:lang w:eastAsia="en-IN"/>
                <w14:ligatures w14:val="none"/>
              </w:rPr>
              <w:t>N.A.</w:t>
            </w:r>
          </w:p>
        </w:tc>
        <w:tc>
          <w:tcPr>
            <w:tcW w:w="1958" w:type="dxa"/>
            <w:tcBorders>
              <w:top w:val="nil"/>
              <w:left w:val="nil"/>
              <w:bottom w:val="single" w:sz="4" w:space="0" w:color="auto"/>
              <w:right w:val="single" w:sz="4" w:space="0" w:color="auto"/>
            </w:tcBorders>
            <w:shd w:val="clear" w:color="000000" w:fill="FFFFFF"/>
            <w:vAlign w:val="center"/>
            <w:hideMark/>
          </w:tcPr>
          <w:p w14:paraId="68265974" w14:textId="77777777" w:rsidR="0098240D" w:rsidRPr="00CE7183" w:rsidRDefault="0098240D" w:rsidP="00CE7183">
            <w:pPr>
              <w:spacing w:after="0" w:line="240" w:lineRule="auto"/>
              <w:ind w:firstLineChars="100" w:firstLine="240"/>
              <w:jc w:val="center"/>
              <w:rPr>
                <w:rFonts w:ascii="Times New Roman" w:eastAsia="Times New Roman" w:hAnsi="Times New Roman" w:cs="Times New Roman"/>
                <w:color w:val="1A1C1E"/>
                <w:kern w:val="0"/>
                <w:szCs w:val="24"/>
                <w:lang w:eastAsia="en-IN"/>
                <w14:ligatures w14:val="none"/>
              </w:rPr>
            </w:pPr>
            <w:r w:rsidRPr="00CE7183">
              <w:rPr>
                <w:rFonts w:ascii="Times New Roman" w:eastAsia="Times New Roman" w:hAnsi="Times New Roman" w:cs="Times New Roman"/>
                <w:color w:val="1A1C1E"/>
                <w:kern w:val="0"/>
                <w:szCs w:val="24"/>
                <w:lang w:eastAsia="en-IN"/>
                <w14:ligatures w14:val="none"/>
              </w:rPr>
              <w:t>5</w:t>
            </w:r>
          </w:p>
        </w:tc>
        <w:tc>
          <w:tcPr>
            <w:tcW w:w="2362" w:type="dxa"/>
            <w:tcBorders>
              <w:top w:val="nil"/>
              <w:left w:val="nil"/>
              <w:bottom w:val="single" w:sz="4" w:space="0" w:color="auto"/>
              <w:right w:val="single" w:sz="4" w:space="0" w:color="auto"/>
            </w:tcBorders>
            <w:shd w:val="clear" w:color="000000" w:fill="FFFFFF"/>
            <w:vAlign w:val="center"/>
            <w:hideMark/>
          </w:tcPr>
          <w:p w14:paraId="2242A271" w14:textId="77777777" w:rsidR="0098240D" w:rsidRPr="00CE7183" w:rsidRDefault="0098240D" w:rsidP="00CE7183">
            <w:pPr>
              <w:spacing w:after="0" w:line="240" w:lineRule="auto"/>
              <w:ind w:firstLineChars="100" w:firstLine="240"/>
              <w:jc w:val="center"/>
              <w:rPr>
                <w:rFonts w:ascii="Times New Roman" w:eastAsia="Times New Roman" w:hAnsi="Times New Roman" w:cs="Times New Roman"/>
                <w:color w:val="1A1C1E"/>
                <w:kern w:val="0"/>
                <w:szCs w:val="24"/>
                <w:lang w:eastAsia="en-IN"/>
                <w14:ligatures w14:val="none"/>
              </w:rPr>
            </w:pPr>
            <w:r w:rsidRPr="00CE7183">
              <w:rPr>
                <w:rFonts w:ascii="Times New Roman" w:eastAsia="Times New Roman" w:hAnsi="Times New Roman" w:cs="Times New Roman"/>
                <w:color w:val="1A1C1E"/>
                <w:kern w:val="0"/>
                <w:szCs w:val="24"/>
                <w:lang w:eastAsia="en-IN"/>
                <w14:ligatures w14:val="none"/>
              </w:rPr>
              <w:t>3</w:t>
            </w:r>
          </w:p>
        </w:tc>
      </w:tr>
      <w:tr w:rsidR="0098240D" w:rsidRPr="00CE7183" w14:paraId="2DD86710" w14:textId="77777777" w:rsidTr="0098240D">
        <w:trPr>
          <w:trHeight w:val="279"/>
        </w:trPr>
        <w:tc>
          <w:tcPr>
            <w:tcW w:w="2508" w:type="dxa"/>
            <w:tcBorders>
              <w:top w:val="nil"/>
              <w:left w:val="single" w:sz="4" w:space="0" w:color="auto"/>
              <w:bottom w:val="single" w:sz="4" w:space="0" w:color="auto"/>
              <w:right w:val="single" w:sz="4" w:space="0" w:color="auto"/>
            </w:tcBorders>
            <w:shd w:val="clear" w:color="000000" w:fill="FFFFFF"/>
            <w:vAlign w:val="center"/>
            <w:hideMark/>
          </w:tcPr>
          <w:p w14:paraId="517D1179" w14:textId="77777777" w:rsidR="0098240D" w:rsidRPr="00CE7183" w:rsidRDefault="0098240D" w:rsidP="00B77C0B">
            <w:pPr>
              <w:spacing w:after="0" w:line="240" w:lineRule="auto"/>
              <w:ind w:firstLineChars="100" w:firstLine="240"/>
              <w:rPr>
                <w:rFonts w:ascii="Times New Roman" w:eastAsia="Times New Roman" w:hAnsi="Times New Roman" w:cs="Times New Roman"/>
                <w:color w:val="1A1C1E"/>
                <w:kern w:val="0"/>
                <w:szCs w:val="24"/>
                <w:lang w:eastAsia="en-IN"/>
                <w14:ligatures w14:val="none"/>
              </w:rPr>
            </w:pPr>
            <w:r w:rsidRPr="00CE7183">
              <w:rPr>
                <w:rFonts w:ascii="Times New Roman" w:eastAsia="Times New Roman" w:hAnsi="Times New Roman" w:cs="Times New Roman"/>
                <w:color w:val="1A1C1E"/>
                <w:kern w:val="0"/>
                <w:szCs w:val="24"/>
                <w:lang w:eastAsia="en-IN"/>
                <w14:ligatures w14:val="none"/>
              </w:rPr>
              <w:t>Haryana</w:t>
            </w:r>
          </w:p>
        </w:tc>
        <w:tc>
          <w:tcPr>
            <w:tcW w:w="1572" w:type="dxa"/>
            <w:tcBorders>
              <w:top w:val="nil"/>
              <w:left w:val="nil"/>
              <w:bottom w:val="single" w:sz="4" w:space="0" w:color="auto"/>
              <w:right w:val="single" w:sz="4" w:space="0" w:color="auto"/>
            </w:tcBorders>
            <w:shd w:val="clear" w:color="000000" w:fill="FFFFFF"/>
            <w:vAlign w:val="center"/>
            <w:hideMark/>
          </w:tcPr>
          <w:p w14:paraId="461427E6" w14:textId="77777777" w:rsidR="0098240D" w:rsidRPr="00CE7183" w:rsidRDefault="0098240D" w:rsidP="00CE7183">
            <w:pPr>
              <w:spacing w:after="0" w:line="240" w:lineRule="auto"/>
              <w:ind w:firstLineChars="100" w:firstLine="240"/>
              <w:jc w:val="center"/>
              <w:rPr>
                <w:rFonts w:ascii="Times New Roman" w:eastAsia="Times New Roman" w:hAnsi="Times New Roman" w:cs="Times New Roman"/>
                <w:color w:val="1A1C1E"/>
                <w:kern w:val="0"/>
                <w:szCs w:val="24"/>
                <w:lang w:eastAsia="en-IN"/>
                <w14:ligatures w14:val="none"/>
              </w:rPr>
            </w:pPr>
            <w:r w:rsidRPr="00CE7183">
              <w:rPr>
                <w:rFonts w:ascii="Times New Roman" w:eastAsia="Times New Roman" w:hAnsi="Times New Roman" w:cs="Times New Roman"/>
                <w:color w:val="1A1C1E"/>
                <w:kern w:val="0"/>
                <w:szCs w:val="24"/>
                <w:lang w:eastAsia="en-IN"/>
                <w14:ligatures w14:val="none"/>
              </w:rPr>
              <w:t>6</w:t>
            </w:r>
          </w:p>
        </w:tc>
        <w:tc>
          <w:tcPr>
            <w:tcW w:w="1389" w:type="dxa"/>
            <w:tcBorders>
              <w:top w:val="nil"/>
              <w:left w:val="nil"/>
              <w:bottom w:val="single" w:sz="4" w:space="0" w:color="auto"/>
              <w:right w:val="single" w:sz="4" w:space="0" w:color="auto"/>
            </w:tcBorders>
            <w:shd w:val="clear" w:color="000000" w:fill="FFFFFF"/>
            <w:vAlign w:val="center"/>
            <w:hideMark/>
          </w:tcPr>
          <w:p w14:paraId="0E4B6D56" w14:textId="77777777" w:rsidR="0098240D" w:rsidRPr="00CE7183" w:rsidRDefault="0098240D" w:rsidP="00CE7183">
            <w:pPr>
              <w:spacing w:after="0" w:line="240" w:lineRule="auto"/>
              <w:ind w:firstLineChars="100" w:firstLine="240"/>
              <w:jc w:val="center"/>
              <w:rPr>
                <w:rFonts w:ascii="Times New Roman" w:eastAsia="Times New Roman" w:hAnsi="Times New Roman" w:cs="Times New Roman"/>
                <w:color w:val="1A1C1E"/>
                <w:kern w:val="0"/>
                <w:szCs w:val="24"/>
                <w:lang w:eastAsia="en-IN"/>
                <w14:ligatures w14:val="none"/>
              </w:rPr>
            </w:pPr>
            <w:r w:rsidRPr="00CE7183">
              <w:rPr>
                <w:rFonts w:ascii="Times New Roman" w:eastAsia="Times New Roman" w:hAnsi="Times New Roman" w:cs="Times New Roman"/>
                <w:color w:val="1A1C1E"/>
                <w:kern w:val="0"/>
                <w:szCs w:val="24"/>
                <w:lang w:eastAsia="en-IN"/>
                <w14:ligatures w14:val="none"/>
              </w:rPr>
              <w:t>6</w:t>
            </w:r>
          </w:p>
        </w:tc>
        <w:tc>
          <w:tcPr>
            <w:tcW w:w="1462" w:type="dxa"/>
            <w:tcBorders>
              <w:top w:val="nil"/>
              <w:left w:val="nil"/>
              <w:bottom w:val="single" w:sz="4" w:space="0" w:color="auto"/>
              <w:right w:val="single" w:sz="4" w:space="0" w:color="auto"/>
            </w:tcBorders>
            <w:shd w:val="clear" w:color="000000" w:fill="FFFFFF"/>
            <w:vAlign w:val="center"/>
            <w:hideMark/>
          </w:tcPr>
          <w:p w14:paraId="7EAE3A5B" w14:textId="77777777" w:rsidR="0098240D" w:rsidRPr="00CE7183" w:rsidRDefault="0098240D" w:rsidP="00CE7183">
            <w:pPr>
              <w:spacing w:after="0" w:line="240" w:lineRule="auto"/>
              <w:ind w:firstLineChars="100" w:firstLine="240"/>
              <w:jc w:val="center"/>
              <w:rPr>
                <w:rFonts w:ascii="Times New Roman" w:eastAsia="Times New Roman" w:hAnsi="Times New Roman" w:cs="Times New Roman"/>
                <w:color w:val="1A1C1E"/>
                <w:kern w:val="0"/>
                <w:szCs w:val="24"/>
                <w:lang w:eastAsia="en-IN"/>
                <w14:ligatures w14:val="none"/>
              </w:rPr>
            </w:pPr>
            <w:r w:rsidRPr="00CE7183">
              <w:rPr>
                <w:rFonts w:ascii="Times New Roman" w:eastAsia="Times New Roman" w:hAnsi="Times New Roman" w:cs="Times New Roman"/>
                <w:color w:val="1A1C1E"/>
                <w:kern w:val="0"/>
                <w:szCs w:val="24"/>
                <w:lang w:eastAsia="en-IN"/>
                <w14:ligatures w14:val="none"/>
              </w:rPr>
              <w:t>6</w:t>
            </w:r>
          </w:p>
        </w:tc>
        <w:tc>
          <w:tcPr>
            <w:tcW w:w="1958" w:type="dxa"/>
            <w:tcBorders>
              <w:top w:val="nil"/>
              <w:left w:val="nil"/>
              <w:bottom w:val="single" w:sz="4" w:space="0" w:color="auto"/>
              <w:right w:val="single" w:sz="4" w:space="0" w:color="auto"/>
            </w:tcBorders>
            <w:shd w:val="clear" w:color="000000" w:fill="FFFFFF"/>
            <w:vAlign w:val="center"/>
            <w:hideMark/>
          </w:tcPr>
          <w:p w14:paraId="7D01A526" w14:textId="77777777" w:rsidR="0098240D" w:rsidRPr="00CE7183" w:rsidRDefault="0098240D" w:rsidP="00CE7183">
            <w:pPr>
              <w:spacing w:after="0" w:line="240" w:lineRule="auto"/>
              <w:ind w:firstLineChars="100" w:firstLine="240"/>
              <w:jc w:val="center"/>
              <w:rPr>
                <w:rFonts w:ascii="Times New Roman" w:eastAsia="Times New Roman" w:hAnsi="Times New Roman" w:cs="Times New Roman"/>
                <w:color w:val="1A1C1E"/>
                <w:kern w:val="0"/>
                <w:szCs w:val="24"/>
                <w:lang w:eastAsia="en-IN"/>
                <w14:ligatures w14:val="none"/>
              </w:rPr>
            </w:pPr>
            <w:r w:rsidRPr="00CE7183">
              <w:rPr>
                <w:rFonts w:ascii="Times New Roman" w:eastAsia="Times New Roman" w:hAnsi="Times New Roman" w:cs="Times New Roman"/>
                <w:color w:val="1A1C1E"/>
                <w:kern w:val="0"/>
                <w:szCs w:val="24"/>
                <w:lang w:eastAsia="en-IN"/>
                <w14:ligatures w14:val="none"/>
              </w:rPr>
              <w:t>6</w:t>
            </w:r>
          </w:p>
        </w:tc>
        <w:tc>
          <w:tcPr>
            <w:tcW w:w="2362" w:type="dxa"/>
            <w:tcBorders>
              <w:top w:val="nil"/>
              <w:left w:val="nil"/>
              <w:bottom w:val="single" w:sz="4" w:space="0" w:color="auto"/>
              <w:right w:val="single" w:sz="4" w:space="0" w:color="auto"/>
            </w:tcBorders>
            <w:shd w:val="clear" w:color="000000" w:fill="FFFFFF"/>
            <w:vAlign w:val="center"/>
            <w:hideMark/>
          </w:tcPr>
          <w:p w14:paraId="432998D1" w14:textId="77777777" w:rsidR="0098240D" w:rsidRPr="00CE7183" w:rsidRDefault="0098240D" w:rsidP="00CE7183">
            <w:pPr>
              <w:spacing w:after="0" w:line="240" w:lineRule="auto"/>
              <w:ind w:firstLineChars="100" w:firstLine="240"/>
              <w:jc w:val="center"/>
              <w:rPr>
                <w:rFonts w:ascii="Times New Roman" w:eastAsia="Times New Roman" w:hAnsi="Times New Roman" w:cs="Times New Roman"/>
                <w:color w:val="1A1C1E"/>
                <w:kern w:val="0"/>
                <w:szCs w:val="24"/>
                <w:lang w:eastAsia="en-IN"/>
                <w14:ligatures w14:val="none"/>
              </w:rPr>
            </w:pPr>
            <w:r w:rsidRPr="00CE7183">
              <w:rPr>
                <w:rFonts w:ascii="Times New Roman" w:eastAsia="Times New Roman" w:hAnsi="Times New Roman" w:cs="Times New Roman"/>
                <w:color w:val="1A1C1E"/>
                <w:kern w:val="0"/>
                <w:szCs w:val="24"/>
                <w:lang w:eastAsia="en-IN"/>
                <w14:ligatures w14:val="none"/>
              </w:rPr>
              <w:t>6</w:t>
            </w:r>
          </w:p>
        </w:tc>
      </w:tr>
      <w:tr w:rsidR="0098240D" w:rsidRPr="00CE7183" w14:paraId="103150D8" w14:textId="77777777" w:rsidTr="0098240D">
        <w:trPr>
          <w:trHeight w:val="466"/>
        </w:trPr>
        <w:tc>
          <w:tcPr>
            <w:tcW w:w="2508" w:type="dxa"/>
            <w:tcBorders>
              <w:top w:val="nil"/>
              <w:left w:val="single" w:sz="4" w:space="0" w:color="auto"/>
              <w:bottom w:val="single" w:sz="4" w:space="0" w:color="auto"/>
              <w:right w:val="single" w:sz="4" w:space="0" w:color="auto"/>
            </w:tcBorders>
            <w:shd w:val="clear" w:color="000000" w:fill="FFFFFF"/>
            <w:vAlign w:val="center"/>
            <w:hideMark/>
          </w:tcPr>
          <w:p w14:paraId="61F6A22F" w14:textId="77777777" w:rsidR="0098240D" w:rsidRPr="00CE7183" w:rsidRDefault="0098240D" w:rsidP="00B77C0B">
            <w:pPr>
              <w:spacing w:after="0" w:line="240" w:lineRule="auto"/>
              <w:ind w:firstLineChars="100" w:firstLine="240"/>
              <w:rPr>
                <w:rFonts w:ascii="Times New Roman" w:eastAsia="Times New Roman" w:hAnsi="Times New Roman" w:cs="Times New Roman"/>
                <w:color w:val="1A1C1E"/>
                <w:kern w:val="0"/>
                <w:szCs w:val="24"/>
                <w:lang w:eastAsia="en-IN"/>
                <w14:ligatures w14:val="none"/>
              </w:rPr>
            </w:pPr>
            <w:r w:rsidRPr="00CE7183">
              <w:rPr>
                <w:rFonts w:ascii="Times New Roman" w:eastAsia="Times New Roman" w:hAnsi="Times New Roman" w:cs="Times New Roman"/>
                <w:color w:val="1A1C1E"/>
                <w:kern w:val="0"/>
                <w:szCs w:val="24"/>
                <w:lang w:eastAsia="en-IN"/>
                <w14:ligatures w14:val="none"/>
              </w:rPr>
              <w:t>Jammu &amp; Kashmir</w:t>
            </w:r>
          </w:p>
        </w:tc>
        <w:tc>
          <w:tcPr>
            <w:tcW w:w="1572" w:type="dxa"/>
            <w:tcBorders>
              <w:top w:val="nil"/>
              <w:left w:val="nil"/>
              <w:bottom w:val="single" w:sz="4" w:space="0" w:color="auto"/>
              <w:right w:val="single" w:sz="4" w:space="0" w:color="auto"/>
            </w:tcBorders>
            <w:shd w:val="clear" w:color="000000" w:fill="FFFFFF"/>
            <w:vAlign w:val="center"/>
            <w:hideMark/>
          </w:tcPr>
          <w:p w14:paraId="4DB8C8F4" w14:textId="77777777" w:rsidR="0098240D" w:rsidRPr="00CE7183" w:rsidRDefault="0098240D" w:rsidP="00CE7183">
            <w:pPr>
              <w:spacing w:after="0" w:line="240" w:lineRule="auto"/>
              <w:ind w:firstLineChars="100" w:firstLine="240"/>
              <w:jc w:val="center"/>
              <w:rPr>
                <w:rFonts w:ascii="Times New Roman" w:eastAsia="Times New Roman" w:hAnsi="Times New Roman" w:cs="Times New Roman"/>
                <w:color w:val="1A1C1E"/>
                <w:kern w:val="0"/>
                <w:szCs w:val="24"/>
                <w:lang w:eastAsia="en-IN"/>
                <w14:ligatures w14:val="none"/>
              </w:rPr>
            </w:pPr>
            <w:r w:rsidRPr="00CE7183">
              <w:rPr>
                <w:rFonts w:ascii="Times New Roman" w:eastAsia="Times New Roman" w:hAnsi="Times New Roman" w:cs="Times New Roman"/>
                <w:color w:val="1A1C1E"/>
                <w:kern w:val="0"/>
                <w:szCs w:val="24"/>
                <w:lang w:eastAsia="en-IN"/>
                <w14:ligatures w14:val="none"/>
              </w:rPr>
              <w:t>10</w:t>
            </w:r>
          </w:p>
        </w:tc>
        <w:tc>
          <w:tcPr>
            <w:tcW w:w="1389" w:type="dxa"/>
            <w:tcBorders>
              <w:top w:val="nil"/>
              <w:left w:val="nil"/>
              <w:bottom w:val="single" w:sz="4" w:space="0" w:color="auto"/>
              <w:right w:val="single" w:sz="4" w:space="0" w:color="auto"/>
            </w:tcBorders>
            <w:shd w:val="clear" w:color="000000" w:fill="FFFFFF"/>
            <w:vAlign w:val="center"/>
            <w:hideMark/>
          </w:tcPr>
          <w:p w14:paraId="4502175A" w14:textId="77777777" w:rsidR="0098240D" w:rsidRPr="00CE7183" w:rsidRDefault="0098240D" w:rsidP="00CE7183">
            <w:pPr>
              <w:spacing w:after="0" w:line="240" w:lineRule="auto"/>
              <w:ind w:firstLineChars="100" w:firstLine="240"/>
              <w:jc w:val="center"/>
              <w:rPr>
                <w:rFonts w:ascii="Times New Roman" w:eastAsia="Times New Roman" w:hAnsi="Times New Roman" w:cs="Times New Roman"/>
                <w:color w:val="1A1C1E"/>
                <w:kern w:val="0"/>
                <w:szCs w:val="24"/>
                <w:lang w:eastAsia="en-IN"/>
                <w14:ligatures w14:val="none"/>
              </w:rPr>
            </w:pPr>
            <w:r w:rsidRPr="00CE7183">
              <w:rPr>
                <w:rFonts w:ascii="Times New Roman" w:eastAsia="Times New Roman" w:hAnsi="Times New Roman" w:cs="Times New Roman"/>
                <w:color w:val="1A1C1E"/>
                <w:kern w:val="0"/>
                <w:szCs w:val="24"/>
                <w:lang w:eastAsia="en-IN"/>
                <w14:ligatures w14:val="none"/>
              </w:rPr>
              <w:t>10</w:t>
            </w:r>
          </w:p>
        </w:tc>
        <w:tc>
          <w:tcPr>
            <w:tcW w:w="1462" w:type="dxa"/>
            <w:tcBorders>
              <w:top w:val="nil"/>
              <w:left w:val="nil"/>
              <w:bottom w:val="single" w:sz="4" w:space="0" w:color="auto"/>
              <w:right w:val="single" w:sz="4" w:space="0" w:color="auto"/>
            </w:tcBorders>
            <w:shd w:val="clear" w:color="000000" w:fill="FFFFFF"/>
            <w:vAlign w:val="center"/>
            <w:hideMark/>
          </w:tcPr>
          <w:p w14:paraId="7C46A1F2" w14:textId="77777777" w:rsidR="0098240D" w:rsidRPr="00CE7183" w:rsidRDefault="0098240D" w:rsidP="00CE7183">
            <w:pPr>
              <w:spacing w:after="0" w:line="240" w:lineRule="auto"/>
              <w:ind w:firstLineChars="100" w:firstLine="240"/>
              <w:jc w:val="center"/>
              <w:rPr>
                <w:rFonts w:ascii="Times New Roman" w:eastAsia="Times New Roman" w:hAnsi="Times New Roman" w:cs="Times New Roman"/>
                <w:color w:val="1A1C1E"/>
                <w:kern w:val="0"/>
                <w:szCs w:val="24"/>
                <w:lang w:eastAsia="en-IN"/>
                <w14:ligatures w14:val="none"/>
              </w:rPr>
            </w:pPr>
            <w:r w:rsidRPr="00CE7183">
              <w:rPr>
                <w:rFonts w:ascii="Times New Roman" w:eastAsia="Times New Roman" w:hAnsi="Times New Roman" w:cs="Times New Roman"/>
                <w:color w:val="1A1C1E"/>
                <w:kern w:val="0"/>
                <w:szCs w:val="24"/>
                <w:lang w:eastAsia="en-IN"/>
                <w14:ligatures w14:val="none"/>
              </w:rPr>
              <w:t>10</w:t>
            </w:r>
          </w:p>
        </w:tc>
        <w:tc>
          <w:tcPr>
            <w:tcW w:w="1958" w:type="dxa"/>
            <w:tcBorders>
              <w:top w:val="nil"/>
              <w:left w:val="nil"/>
              <w:bottom w:val="single" w:sz="4" w:space="0" w:color="auto"/>
              <w:right w:val="single" w:sz="4" w:space="0" w:color="auto"/>
            </w:tcBorders>
            <w:shd w:val="clear" w:color="000000" w:fill="FFFFFF"/>
            <w:vAlign w:val="center"/>
            <w:hideMark/>
          </w:tcPr>
          <w:p w14:paraId="3CBFC157" w14:textId="77777777" w:rsidR="0098240D" w:rsidRPr="00CE7183" w:rsidRDefault="0098240D" w:rsidP="00CE7183">
            <w:pPr>
              <w:spacing w:after="0" w:line="240" w:lineRule="auto"/>
              <w:ind w:firstLineChars="100" w:firstLine="240"/>
              <w:jc w:val="center"/>
              <w:rPr>
                <w:rFonts w:ascii="Times New Roman" w:eastAsia="Times New Roman" w:hAnsi="Times New Roman" w:cs="Times New Roman"/>
                <w:color w:val="1A1C1E"/>
                <w:kern w:val="0"/>
                <w:szCs w:val="24"/>
                <w:lang w:eastAsia="en-IN"/>
                <w14:ligatures w14:val="none"/>
              </w:rPr>
            </w:pPr>
            <w:r w:rsidRPr="00CE7183">
              <w:rPr>
                <w:rFonts w:ascii="Times New Roman" w:eastAsia="Times New Roman" w:hAnsi="Times New Roman" w:cs="Times New Roman"/>
                <w:color w:val="1A1C1E"/>
                <w:kern w:val="0"/>
                <w:szCs w:val="24"/>
                <w:lang w:eastAsia="en-IN"/>
                <w14:ligatures w14:val="none"/>
              </w:rPr>
              <w:t>10</w:t>
            </w:r>
          </w:p>
        </w:tc>
        <w:tc>
          <w:tcPr>
            <w:tcW w:w="2362" w:type="dxa"/>
            <w:tcBorders>
              <w:top w:val="nil"/>
              <w:left w:val="nil"/>
              <w:bottom w:val="single" w:sz="4" w:space="0" w:color="auto"/>
              <w:right w:val="single" w:sz="4" w:space="0" w:color="auto"/>
            </w:tcBorders>
            <w:shd w:val="clear" w:color="000000" w:fill="FFFFFF"/>
            <w:vAlign w:val="center"/>
            <w:hideMark/>
          </w:tcPr>
          <w:p w14:paraId="23690D56" w14:textId="77777777" w:rsidR="0098240D" w:rsidRPr="00CE7183" w:rsidRDefault="0098240D" w:rsidP="00CE7183">
            <w:pPr>
              <w:spacing w:after="0" w:line="240" w:lineRule="auto"/>
              <w:ind w:firstLineChars="100" w:firstLine="240"/>
              <w:jc w:val="center"/>
              <w:rPr>
                <w:rFonts w:ascii="Times New Roman" w:eastAsia="Times New Roman" w:hAnsi="Times New Roman" w:cs="Times New Roman"/>
                <w:color w:val="1A1C1E"/>
                <w:kern w:val="0"/>
                <w:szCs w:val="24"/>
                <w:lang w:eastAsia="en-IN"/>
                <w14:ligatures w14:val="none"/>
              </w:rPr>
            </w:pPr>
            <w:r w:rsidRPr="00CE7183">
              <w:rPr>
                <w:rFonts w:ascii="Times New Roman" w:eastAsia="Times New Roman" w:hAnsi="Times New Roman" w:cs="Times New Roman"/>
                <w:color w:val="1A1C1E"/>
                <w:kern w:val="0"/>
                <w:szCs w:val="24"/>
                <w:lang w:eastAsia="en-IN"/>
                <w14:ligatures w14:val="none"/>
              </w:rPr>
              <w:t>N.A.</w:t>
            </w:r>
          </w:p>
        </w:tc>
      </w:tr>
      <w:tr w:rsidR="0098240D" w:rsidRPr="00CE7183" w14:paraId="22CCF18D" w14:textId="77777777" w:rsidTr="0098240D">
        <w:trPr>
          <w:trHeight w:val="361"/>
        </w:trPr>
        <w:tc>
          <w:tcPr>
            <w:tcW w:w="2508" w:type="dxa"/>
            <w:tcBorders>
              <w:top w:val="nil"/>
              <w:left w:val="single" w:sz="4" w:space="0" w:color="auto"/>
              <w:bottom w:val="single" w:sz="4" w:space="0" w:color="auto"/>
              <w:right w:val="single" w:sz="4" w:space="0" w:color="auto"/>
            </w:tcBorders>
            <w:shd w:val="clear" w:color="000000" w:fill="FFFFFF"/>
            <w:vAlign w:val="center"/>
            <w:hideMark/>
          </w:tcPr>
          <w:p w14:paraId="4EF73593" w14:textId="77777777" w:rsidR="0098240D" w:rsidRPr="00CE7183" w:rsidRDefault="0098240D" w:rsidP="00B77C0B">
            <w:pPr>
              <w:spacing w:after="0" w:line="240" w:lineRule="auto"/>
              <w:ind w:firstLineChars="100" w:firstLine="240"/>
              <w:rPr>
                <w:rFonts w:ascii="Times New Roman" w:eastAsia="Times New Roman" w:hAnsi="Times New Roman" w:cs="Times New Roman"/>
                <w:color w:val="1A1C1E"/>
                <w:kern w:val="0"/>
                <w:szCs w:val="24"/>
                <w:lang w:eastAsia="en-IN"/>
                <w14:ligatures w14:val="none"/>
              </w:rPr>
            </w:pPr>
            <w:r w:rsidRPr="00CE7183">
              <w:rPr>
                <w:rFonts w:ascii="Times New Roman" w:eastAsia="Times New Roman" w:hAnsi="Times New Roman" w:cs="Times New Roman"/>
                <w:color w:val="1A1C1E"/>
                <w:kern w:val="0"/>
                <w:szCs w:val="24"/>
                <w:lang w:eastAsia="en-IN"/>
                <w14:ligatures w14:val="none"/>
              </w:rPr>
              <w:t>Kerala</w:t>
            </w:r>
          </w:p>
        </w:tc>
        <w:tc>
          <w:tcPr>
            <w:tcW w:w="1572" w:type="dxa"/>
            <w:tcBorders>
              <w:top w:val="nil"/>
              <w:left w:val="nil"/>
              <w:bottom w:val="single" w:sz="4" w:space="0" w:color="auto"/>
              <w:right w:val="single" w:sz="4" w:space="0" w:color="auto"/>
            </w:tcBorders>
            <w:shd w:val="clear" w:color="000000" w:fill="FFFFFF"/>
            <w:vAlign w:val="center"/>
            <w:hideMark/>
          </w:tcPr>
          <w:p w14:paraId="7CCF30B3" w14:textId="77777777" w:rsidR="0098240D" w:rsidRPr="00CE7183" w:rsidRDefault="0098240D" w:rsidP="00CE7183">
            <w:pPr>
              <w:spacing w:after="0" w:line="240" w:lineRule="auto"/>
              <w:ind w:firstLineChars="100" w:firstLine="240"/>
              <w:jc w:val="center"/>
              <w:rPr>
                <w:rFonts w:ascii="Times New Roman" w:eastAsia="Times New Roman" w:hAnsi="Times New Roman" w:cs="Times New Roman"/>
                <w:color w:val="1A1C1E"/>
                <w:kern w:val="0"/>
                <w:szCs w:val="24"/>
                <w:lang w:eastAsia="en-IN"/>
                <w14:ligatures w14:val="none"/>
              </w:rPr>
            </w:pPr>
            <w:r w:rsidRPr="00CE7183">
              <w:rPr>
                <w:rFonts w:ascii="Times New Roman" w:eastAsia="Times New Roman" w:hAnsi="Times New Roman" w:cs="Times New Roman"/>
                <w:color w:val="1A1C1E"/>
                <w:kern w:val="0"/>
                <w:szCs w:val="24"/>
                <w:lang w:eastAsia="en-IN"/>
                <w14:ligatures w14:val="none"/>
              </w:rPr>
              <w:t>20(b)</w:t>
            </w:r>
          </w:p>
        </w:tc>
        <w:tc>
          <w:tcPr>
            <w:tcW w:w="1389" w:type="dxa"/>
            <w:tcBorders>
              <w:top w:val="nil"/>
              <w:left w:val="nil"/>
              <w:bottom w:val="single" w:sz="4" w:space="0" w:color="auto"/>
              <w:right w:val="single" w:sz="4" w:space="0" w:color="auto"/>
            </w:tcBorders>
            <w:shd w:val="clear" w:color="000000" w:fill="FFFFFF"/>
            <w:vAlign w:val="center"/>
            <w:hideMark/>
          </w:tcPr>
          <w:p w14:paraId="338C3D3D" w14:textId="77777777" w:rsidR="0098240D" w:rsidRPr="00CE7183" w:rsidRDefault="0098240D" w:rsidP="00CE7183">
            <w:pPr>
              <w:spacing w:after="0" w:line="240" w:lineRule="auto"/>
              <w:ind w:firstLineChars="100" w:firstLine="240"/>
              <w:jc w:val="center"/>
              <w:rPr>
                <w:rFonts w:ascii="Times New Roman" w:eastAsia="Times New Roman" w:hAnsi="Times New Roman" w:cs="Times New Roman"/>
                <w:color w:val="1A1C1E"/>
                <w:kern w:val="0"/>
                <w:szCs w:val="24"/>
                <w:lang w:eastAsia="en-IN"/>
                <w14:ligatures w14:val="none"/>
              </w:rPr>
            </w:pPr>
            <w:r w:rsidRPr="00CE7183">
              <w:rPr>
                <w:rFonts w:ascii="Times New Roman" w:eastAsia="Times New Roman" w:hAnsi="Times New Roman" w:cs="Times New Roman"/>
                <w:color w:val="1A1C1E"/>
                <w:kern w:val="0"/>
                <w:szCs w:val="24"/>
                <w:lang w:eastAsia="en-IN"/>
                <w14:ligatures w14:val="none"/>
              </w:rPr>
              <w:t>N.A.</w:t>
            </w:r>
          </w:p>
        </w:tc>
        <w:tc>
          <w:tcPr>
            <w:tcW w:w="1462" w:type="dxa"/>
            <w:tcBorders>
              <w:top w:val="nil"/>
              <w:left w:val="nil"/>
              <w:bottom w:val="single" w:sz="4" w:space="0" w:color="auto"/>
              <w:right w:val="single" w:sz="4" w:space="0" w:color="auto"/>
            </w:tcBorders>
            <w:shd w:val="clear" w:color="000000" w:fill="FFFFFF"/>
            <w:vAlign w:val="center"/>
            <w:hideMark/>
          </w:tcPr>
          <w:p w14:paraId="26160A87" w14:textId="77777777" w:rsidR="0098240D" w:rsidRPr="00CE7183" w:rsidRDefault="0098240D" w:rsidP="00CE7183">
            <w:pPr>
              <w:spacing w:after="0" w:line="240" w:lineRule="auto"/>
              <w:ind w:firstLineChars="100" w:firstLine="240"/>
              <w:jc w:val="center"/>
              <w:rPr>
                <w:rFonts w:ascii="Times New Roman" w:eastAsia="Times New Roman" w:hAnsi="Times New Roman" w:cs="Times New Roman"/>
                <w:color w:val="1A1C1E"/>
                <w:kern w:val="0"/>
                <w:szCs w:val="24"/>
                <w:lang w:eastAsia="en-IN"/>
                <w14:ligatures w14:val="none"/>
              </w:rPr>
            </w:pPr>
            <w:r w:rsidRPr="00CE7183">
              <w:rPr>
                <w:rFonts w:ascii="Times New Roman" w:eastAsia="Times New Roman" w:hAnsi="Times New Roman" w:cs="Times New Roman"/>
                <w:color w:val="1A1C1E"/>
                <w:kern w:val="0"/>
                <w:szCs w:val="24"/>
                <w:lang w:eastAsia="en-IN"/>
                <w14:ligatures w14:val="none"/>
              </w:rPr>
              <w:t>N.A.</w:t>
            </w:r>
          </w:p>
        </w:tc>
        <w:tc>
          <w:tcPr>
            <w:tcW w:w="1958" w:type="dxa"/>
            <w:tcBorders>
              <w:top w:val="nil"/>
              <w:left w:val="nil"/>
              <w:bottom w:val="single" w:sz="4" w:space="0" w:color="auto"/>
              <w:right w:val="single" w:sz="4" w:space="0" w:color="auto"/>
            </w:tcBorders>
            <w:shd w:val="clear" w:color="000000" w:fill="FFFFFF"/>
            <w:vAlign w:val="center"/>
            <w:hideMark/>
          </w:tcPr>
          <w:p w14:paraId="369EADD1" w14:textId="77777777" w:rsidR="0098240D" w:rsidRPr="00CE7183" w:rsidRDefault="0098240D" w:rsidP="00CE7183">
            <w:pPr>
              <w:spacing w:after="0" w:line="240" w:lineRule="auto"/>
              <w:ind w:firstLineChars="100" w:firstLine="240"/>
              <w:jc w:val="center"/>
              <w:rPr>
                <w:rFonts w:ascii="Times New Roman" w:eastAsia="Times New Roman" w:hAnsi="Times New Roman" w:cs="Times New Roman"/>
                <w:color w:val="1A1C1E"/>
                <w:kern w:val="0"/>
                <w:szCs w:val="24"/>
                <w:lang w:eastAsia="en-IN"/>
                <w14:ligatures w14:val="none"/>
              </w:rPr>
            </w:pPr>
            <w:r w:rsidRPr="00CE7183">
              <w:rPr>
                <w:rFonts w:ascii="Times New Roman" w:eastAsia="Times New Roman" w:hAnsi="Times New Roman" w:cs="Times New Roman"/>
                <w:color w:val="1A1C1E"/>
                <w:kern w:val="0"/>
                <w:szCs w:val="24"/>
                <w:lang w:eastAsia="en-IN"/>
                <w14:ligatures w14:val="none"/>
              </w:rPr>
              <w:t>12</w:t>
            </w:r>
          </w:p>
        </w:tc>
        <w:tc>
          <w:tcPr>
            <w:tcW w:w="2362" w:type="dxa"/>
            <w:tcBorders>
              <w:top w:val="nil"/>
              <w:left w:val="nil"/>
              <w:bottom w:val="single" w:sz="4" w:space="0" w:color="auto"/>
              <w:right w:val="single" w:sz="4" w:space="0" w:color="auto"/>
            </w:tcBorders>
            <w:shd w:val="clear" w:color="000000" w:fill="FFFFFF"/>
            <w:vAlign w:val="center"/>
            <w:hideMark/>
          </w:tcPr>
          <w:p w14:paraId="007EFD6D" w14:textId="77777777" w:rsidR="0098240D" w:rsidRPr="00CE7183" w:rsidRDefault="0098240D" w:rsidP="00CE7183">
            <w:pPr>
              <w:spacing w:after="0" w:line="240" w:lineRule="auto"/>
              <w:ind w:firstLineChars="100" w:firstLine="240"/>
              <w:jc w:val="center"/>
              <w:rPr>
                <w:rFonts w:ascii="Times New Roman" w:eastAsia="Times New Roman" w:hAnsi="Times New Roman" w:cs="Times New Roman"/>
                <w:color w:val="1A1C1E"/>
                <w:kern w:val="0"/>
                <w:szCs w:val="24"/>
                <w:lang w:eastAsia="en-IN"/>
                <w14:ligatures w14:val="none"/>
              </w:rPr>
            </w:pPr>
            <w:r w:rsidRPr="00CE7183">
              <w:rPr>
                <w:rFonts w:ascii="Times New Roman" w:eastAsia="Times New Roman" w:hAnsi="Times New Roman" w:cs="Times New Roman"/>
                <w:color w:val="1A1C1E"/>
                <w:kern w:val="0"/>
                <w:szCs w:val="24"/>
                <w:lang w:eastAsia="en-IN"/>
                <w14:ligatures w14:val="none"/>
              </w:rPr>
              <w:t>N.A.</w:t>
            </w:r>
          </w:p>
        </w:tc>
      </w:tr>
      <w:tr w:rsidR="0098240D" w:rsidRPr="00CE7183" w14:paraId="17102BD7" w14:textId="77777777" w:rsidTr="0098240D">
        <w:trPr>
          <w:trHeight w:val="442"/>
        </w:trPr>
        <w:tc>
          <w:tcPr>
            <w:tcW w:w="2508" w:type="dxa"/>
            <w:tcBorders>
              <w:top w:val="nil"/>
              <w:left w:val="single" w:sz="4" w:space="0" w:color="auto"/>
              <w:bottom w:val="single" w:sz="4" w:space="0" w:color="auto"/>
              <w:right w:val="single" w:sz="4" w:space="0" w:color="auto"/>
            </w:tcBorders>
            <w:shd w:val="clear" w:color="000000" w:fill="FFFFFF"/>
            <w:vAlign w:val="center"/>
            <w:hideMark/>
          </w:tcPr>
          <w:p w14:paraId="2B5B757B" w14:textId="77777777" w:rsidR="0098240D" w:rsidRPr="00CE7183" w:rsidRDefault="0098240D" w:rsidP="00B77C0B">
            <w:pPr>
              <w:spacing w:after="0" w:line="240" w:lineRule="auto"/>
              <w:ind w:firstLineChars="100" w:firstLine="240"/>
              <w:rPr>
                <w:rFonts w:ascii="Times New Roman" w:eastAsia="Times New Roman" w:hAnsi="Times New Roman" w:cs="Times New Roman"/>
                <w:color w:val="1A1C1E"/>
                <w:kern w:val="0"/>
                <w:szCs w:val="24"/>
                <w:lang w:eastAsia="en-IN"/>
                <w14:ligatures w14:val="none"/>
              </w:rPr>
            </w:pPr>
            <w:r w:rsidRPr="00CE7183">
              <w:rPr>
                <w:rFonts w:ascii="Times New Roman" w:eastAsia="Times New Roman" w:hAnsi="Times New Roman" w:cs="Times New Roman"/>
                <w:color w:val="1A1C1E"/>
                <w:kern w:val="0"/>
                <w:szCs w:val="24"/>
                <w:lang w:eastAsia="en-IN"/>
                <w14:ligatures w14:val="none"/>
              </w:rPr>
              <w:t>Madhya Pradesh</w:t>
            </w:r>
          </w:p>
        </w:tc>
        <w:tc>
          <w:tcPr>
            <w:tcW w:w="1572" w:type="dxa"/>
            <w:tcBorders>
              <w:top w:val="nil"/>
              <w:left w:val="nil"/>
              <w:bottom w:val="single" w:sz="4" w:space="0" w:color="auto"/>
              <w:right w:val="single" w:sz="4" w:space="0" w:color="auto"/>
            </w:tcBorders>
            <w:shd w:val="clear" w:color="000000" w:fill="FFFFFF"/>
            <w:vAlign w:val="center"/>
            <w:hideMark/>
          </w:tcPr>
          <w:p w14:paraId="6EB6CB0E" w14:textId="77777777" w:rsidR="0098240D" w:rsidRPr="00CE7183" w:rsidRDefault="0098240D" w:rsidP="00CE7183">
            <w:pPr>
              <w:spacing w:after="0" w:line="240" w:lineRule="auto"/>
              <w:ind w:firstLineChars="100" w:firstLine="240"/>
              <w:jc w:val="center"/>
              <w:rPr>
                <w:rFonts w:ascii="Times New Roman" w:eastAsia="Times New Roman" w:hAnsi="Times New Roman" w:cs="Times New Roman"/>
                <w:color w:val="1A1C1E"/>
                <w:kern w:val="0"/>
                <w:szCs w:val="24"/>
                <w:lang w:eastAsia="en-IN"/>
                <w14:ligatures w14:val="none"/>
              </w:rPr>
            </w:pPr>
            <w:r w:rsidRPr="00CE7183">
              <w:rPr>
                <w:rFonts w:ascii="Times New Roman" w:eastAsia="Times New Roman" w:hAnsi="Times New Roman" w:cs="Times New Roman"/>
                <w:color w:val="1A1C1E"/>
                <w:kern w:val="0"/>
                <w:szCs w:val="24"/>
                <w:lang w:eastAsia="en-IN"/>
                <w14:ligatures w14:val="none"/>
              </w:rPr>
              <w:t>12(h)</w:t>
            </w:r>
          </w:p>
        </w:tc>
        <w:tc>
          <w:tcPr>
            <w:tcW w:w="1389" w:type="dxa"/>
            <w:tcBorders>
              <w:top w:val="nil"/>
              <w:left w:val="nil"/>
              <w:bottom w:val="single" w:sz="4" w:space="0" w:color="auto"/>
              <w:right w:val="single" w:sz="4" w:space="0" w:color="auto"/>
            </w:tcBorders>
            <w:shd w:val="clear" w:color="000000" w:fill="FFFFFF"/>
            <w:vAlign w:val="center"/>
            <w:hideMark/>
          </w:tcPr>
          <w:p w14:paraId="7598D8B3" w14:textId="77777777" w:rsidR="0098240D" w:rsidRPr="00CE7183" w:rsidRDefault="0098240D" w:rsidP="00CE7183">
            <w:pPr>
              <w:spacing w:after="0" w:line="240" w:lineRule="auto"/>
              <w:ind w:firstLineChars="100" w:firstLine="240"/>
              <w:jc w:val="center"/>
              <w:rPr>
                <w:rFonts w:ascii="Times New Roman" w:eastAsia="Times New Roman" w:hAnsi="Times New Roman" w:cs="Times New Roman"/>
                <w:color w:val="1A1C1E"/>
                <w:kern w:val="0"/>
                <w:szCs w:val="24"/>
                <w:lang w:eastAsia="en-IN"/>
                <w14:ligatures w14:val="none"/>
              </w:rPr>
            </w:pPr>
            <w:r w:rsidRPr="00CE7183">
              <w:rPr>
                <w:rFonts w:ascii="Times New Roman" w:eastAsia="Times New Roman" w:hAnsi="Times New Roman" w:cs="Times New Roman"/>
                <w:color w:val="1A1C1E"/>
                <w:kern w:val="0"/>
                <w:szCs w:val="24"/>
                <w:lang w:eastAsia="en-IN"/>
                <w14:ligatures w14:val="none"/>
              </w:rPr>
              <w:t>7</w:t>
            </w:r>
          </w:p>
        </w:tc>
        <w:tc>
          <w:tcPr>
            <w:tcW w:w="1462" w:type="dxa"/>
            <w:tcBorders>
              <w:top w:val="nil"/>
              <w:left w:val="nil"/>
              <w:bottom w:val="single" w:sz="4" w:space="0" w:color="auto"/>
              <w:right w:val="single" w:sz="4" w:space="0" w:color="auto"/>
            </w:tcBorders>
            <w:shd w:val="clear" w:color="000000" w:fill="FFFFFF"/>
            <w:vAlign w:val="center"/>
            <w:hideMark/>
          </w:tcPr>
          <w:p w14:paraId="03BE2FF6" w14:textId="77777777" w:rsidR="0098240D" w:rsidRPr="00CE7183" w:rsidRDefault="0098240D" w:rsidP="00CE7183">
            <w:pPr>
              <w:spacing w:after="0" w:line="240" w:lineRule="auto"/>
              <w:ind w:firstLineChars="100" w:firstLine="240"/>
              <w:jc w:val="center"/>
              <w:rPr>
                <w:rFonts w:ascii="Times New Roman" w:eastAsia="Times New Roman" w:hAnsi="Times New Roman" w:cs="Times New Roman"/>
                <w:color w:val="1A1C1E"/>
                <w:kern w:val="0"/>
                <w:szCs w:val="24"/>
                <w:lang w:eastAsia="en-IN"/>
                <w14:ligatures w14:val="none"/>
              </w:rPr>
            </w:pPr>
            <w:r w:rsidRPr="00CE7183">
              <w:rPr>
                <w:rFonts w:ascii="Times New Roman" w:eastAsia="Times New Roman" w:hAnsi="Times New Roman" w:cs="Times New Roman"/>
                <w:color w:val="1A1C1E"/>
                <w:kern w:val="0"/>
                <w:szCs w:val="24"/>
                <w:lang w:eastAsia="en-IN"/>
                <w14:ligatures w14:val="none"/>
              </w:rPr>
              <w:t>7</w:t>
            </w:r>
          </w:p>
        </w:tc>
        <w:tc>
          <w:tcPr>
            <w:tcW w:w="1958" w:type="dxa"/>
            <w:tcBorders>
              <w:top w:val="nil"/>
              <w:left w:val="nil"/>
              <w:bottom w:val="single" w:sz="4" w:space="0" w:color="auto"/>
              <w:right w:val="single" w:sz="4" w:space="0" w:color="auto"/>
            </w:tcBorders>
            <w:shd w:val="clear" w:color="000000" w:fill="FFFFFF"/>
            <w:vAlign w:val="center"/>
            <w:hideMark/>
          </w:tcPr>
          <w:p w14:paraId="32429742" w14:textId="77777777" w:rsidR="0098240D" w:rsidRPr="00CE7183" w:rsidRDefault="0098240D" w:rsidP="00CE7183">
            <w:pPr>
              <w:spacing w:after="0" w:line="240" w:lineRule="auto"/>
              <w:ind w:firstLineChars="100" w:firstLine="240"/>
              <w:jc w:val="center"/>
              <w:rPr>
                <w:rFonts w:ascii="Times New Roman" w:eastAsia="Times New Roman" w:hAnsi="Times New Roman" w:cs="Times New Roman"/>
                <w:color w:val="1A1C1E"/>
                <w:kern w:val="0"/>
                <w:szCs w:val="24"/>
                <w:lang w:eastAsia="en-IN"/>
                <w14:ligatures w14:val="none"/>
              </w:rPr>
            </w:pPr>
            <w:r w:rsidRPr="00CE7183">
              <w:rPr>
                <w:rFonts w:ascii="Times New Roman" w:eastAsia="Times New Roman" w:hAnsi="Times New Roman" w:cs="Times New Roman"/>
                <w:color w:val="1A1C1E"/>
                <w:kern w:val="0"/>
                <w:szCs w:val="24"/>
                <w:lang w:eastAsia="en-IN"/>
                <w14:ligatures w14:val="none"/>
              </w:rPr>
              <w:t>5(i)</w:t>
            </w:r>
          </w:p>
        </w:tc>
        <w:tc>
          <w:tcPr>
            <w:tcW w:w="2362" w:type="dxa"/>
            <w:tcBorders>
              <w:top w:val="nil"/>
              <w:left w:val="nil"/>
              <w:bottom w:val="single" w:sz="4" w:space="0" w:color="auto"/>
              <w:right w:val="single" w:sz="4" w:space="0" w:color="auto"/>
            </w:tcBorders>
            <w:shd w:val="clear" w:color="000000" w:fill="FFFFFF"/>
            <w:vAlign w:val="center"/>
            <w:hideMark/>
          </w:tcPr>
          <w:p w14:paraId="3FB17CDE" w14:textId="77777777" w:rsidR="0098240D" w:rsidRPr="00CE7183" w:rsidRDefault="0098240D" w:rsidP="00CE7183">
            <w:pPr>
              <w:spacing w:after="0" w:line="240" w:lineRule="auto"/>
              <w:ind w:firstLineChars="100" w:firstLine="240"/>
              <w:jc w:val="center"/>
              <w:rPr>
                <w:rFonts w:ascii="Times New Roman" w:eastAsia="Times New Roman" w:hAnsi="Times New Roman" w:cs="Times New Roman"/>
                <w:color w:val="1A1C1E"/>
                <w:kern w:val="0"/>
                <w:szCs w:val="24"/>
                <w:lang w:eastAsia="en-IN"/>
                <w14:ligatures w14:val="none"/>
              </w:rPr>
            </w:pPr>
            <w:r w:rsidRPr="00CE7183">
              <w:rPr>
                <w:rFonts w:ascii="Times New Roman" w:eastAsia="Times New Roman" w:hAnsi="Times New Roman" w:cs="Times New Roman"/>
                <w:color w:val="1A1C1E"/>
                <w:kern w:val="0"/>
                <w:szCs w:val="24"/>
                <w:lang w:eastAsia="en-IN"/>
                <w14:ligatures w14:val="none"/>
              </w:rPr>
              <w:t>N.A.</w:t>
            </w:r>
          </w:p>
        </w:tc>
      </w:tr>
      <w:tr w:rsidR="0098240D" w:rsidRPr="00CE7183" w14:paraId="45FA6547" w14:textId="77777777" w:rsidTr="0098240D">
        <w:trPr>
          <w:trHeight w:val="466"/>
        </w:trPr>
        <w:tc>
          <w:tcPr>
            <w:tcW w:w="2508" w:type="dxa"/>
            <w:tcBorders>
              <w:top w:val="nil"/>
              <w:left w:val="single" w:sz="4" w:space="0" w:color="auto"/>
              <w:bottom w:val="single" w:sz="4" w:space="0" w:color="auto"/>
              <w:right w:val="single" w:sz="4" w:space="0" w:color="auto"/>
            </w:tcBorders>
            <w:shd w:val="clear" w:color="000000" w:fill="FFFFFF"/>
            <w:vAlign w:val="center"/>
            <w:hideMark/>
          </w:tcPr>
          <w:p w14:paraId="626E8CC1" w14:textId="77777777" w:rsidR="0098240D" w:rsidRPr="00CE7183" w:rsidRDefault="0098240D" w:rsidP="00B77C0B">
            <w:pPr>
              <w:spacing w:after="0" w:line="240" w:lineRule="auto"/>
              <w:ind w:firstLineChars="100" w:firstLine="240"/>
              <w:rPr>
                <w:rFonts w:ascii="Times New Roman" w:eastAsia="Times New Roman" w:hAnsi="Times New Roman" w:cs="Times New Roman"/>
                <w:color w:val="1A1C1E"/>
                <w:kern w:val="0"/>
                <w:szCs w:val="24"/>
                <w:lang w:eastAsia="en-IN"/>
                <w14:ligatures w14:val="none"/>
              </w:rPr>
            </w:pPr>
            <w:r w:rsidRPr="00CE7183">
              <w:rPr>
                <w:rFonts w:ascii="Times New Roman" w:eastAsia="Times New Roman" w:hAnsi="Times New Roman" w:cs="Times New Roman"/>
                <w:color w:val="1A1C1E"/>
                <w:kern w:val="0"/>
                <w:szCs w:val="24"/>
                <w:lang w:eastAsia="en-IN"/>
                <w14:ligatures w14:val="none"/>
              </w:rPr>
              <w:t>Maharashtra</w:t>
            </w:r>
          </w:p>
        </w:tc>
        <w:tc>
          <w:tcPr>
            <w:tcW w:w="1572" w:type="dxa"/>
            <w:tcBorders>
              <w:top w:val="nil"/>
              <w:left w:val="nil"/>
              <w:bottom w:val="single" w:sz="4" w:space="0" w:color="auto"/>
              <w:right w:val="single" w:sz="4" w:space="0" w:color="auto"/>
            </w:tcBorders>
            <w:shd w:val="clear" w:color="000000" w:fill="FFFFFF"/>
            <w:vAlign w:val="center"/>
            <w:hideMark/>
          </w:tcPr>
          <w:p w14:paraId="461AA40D" w14:textId="77777777" w:rsidR="0098240D" w:rsidRPr="00CE7183" w:rsidRDefault="0098240D" w:rsidP="00CE7183">
            <w:pPr>
              <w:spacing w:after="0" w:line="240" w:lineRule="auto"/>
              <w:ind w:firstLineChars="100" w:firstLine="240"/>
              <w:jc w:val="center"/>
              <w:rPr>
                <w:rFonts w:ascii="Times New Roman" w:eastAsia="Times New Roman" w:hAnsi="Times New Roman" w:cs="Times New Roman"/>
                <w:color w:val="1A1C1E"/>
                <w:kern w:val="0"/>
                <w:szCs w:val="24"/>
                <w:lang w:eastAsia="en-IN"/>
                <w14:ligatures w14:val="none"/>
              </w:rPr>
            </w:pPr>
            <w:r w:rsidRPr="00CE7183">
              <w:rPr>
                <w:rFonts w:ascii="Times New Roman" w:eastAsia="Times New Roman" w:hAnsi="Times New Roman" w:cs="Times New Roman"/>
                <w:color w:val="1A1C1E"/>
                <w:kern w:val="0"/>
                <w:szCs w:val="24"/>
                <w:lang w:eastAsia="en-IN"/>
                <w14:ligatures w14:val="none"/>
              </w:rPr>
              <w:t>11</w:t>
            </w:r>
          </w:p>
        </w:tc>
        <w:tc>
          <w:tcPr>
            <w:tcW w:w="1389" w:type="dxa"/>
            <w:tcBorders>
              <w:top w:val="nil"/>
              <w:left w:val="nil"/>
              <w:bottom w:val="single" w:sz="4" w:space="0" w:color="auto"/>
              <w:right w:val="single" w:sz="4" w:space="0" w:color="auto"/>
            </w:tcBorders>
            <w:shd w:val="clear" w:color="000000" w:fill="FFFFFF"/>
            <w:vAlign w:val="center"/>
            <w:hideMark/>
          </w:tcPr>
          <w:p w14:paraId="07145BB2" w14:textId="77777777" w:rsidR="0098240D" w:rsidRPr="00CE7183" w:rsidRDefault="0098240D" w:rsidP="00CE7183">
            <w:pPr>
              <w:spacing w:after="0" w:line="240" w:lineRule="auto"/>
              <w:ind w:firstLineChars="100" w:firstLine="240"/>
              <w:jc w:val="center"/>
              <w:rPr>
                <w:rFonts w:ascii="Times New Roman" w:eastAsia="Times New Roman" w:hAnsi="Times New Roman" w:cs="Times New Roman"/>
                <w:color w:val="1A1C1E"/>
                <w:kern w:val="0"/>
                <w:szCs w:val="24"/>
                <w:lang w:eastAsia="en-IN"/>
                <w14:ligatures w14:val="none"/>
              </w:rPr>
            </w:pPr>
            <w:r w:rsidRPr="00CE7183">
              <w:rPr>
                <w:rFonts w:ascii="Times New Roman" w:eastAsia="Times New Roman" w:hAnsi="Times New Roman" w:cs="Times New Roman"/>
                <w:color w:val="1A1C1E"/>
                <w:kern w:val="0"/>
                <w:szCs w:val="24"/>
                <w:lang w:eastAsia="en-IN"/>
                <w14:ligatures w14:val="none"/>
              </w:rPr>
              <w:t>6</w:t>
            </w:r>
          </w:p>
        </w:tc>
        <w:tc>
          <w:tcPr>
            <w:tcW w:w="1462" w:type="dxa"/>
            <w:tcBorders>
              <w:top w:val="nil"/>
              <w:left w:val="nil"/>
              <w:bottom w:val="single" w:sz="4" w:space="0" w:color="auto"/>
              <w:right w:val="single" w:sz="4" w:space="0" w:color="auto"/>
            </w:tcBorders>
            <w:shd w:val="clear" w:color="000000" w:fill="FFFFFF"/>
            <w:vAlign w:val="center"/>
            <w:hideMark/>
          </w:tcPr>
          <w:p w14:paraId="330E6E64" w14:textId="77777777" w:rsidR="0098240D" w:rsidRPr="00CE7183" w:rsidRDefault="0098240D" w:rsidP="00CE7183">
            <w:pPr>
              <w:spacing w:after="0" w:line="240" w:lineRule="auto"/>
              <w:ind w:firstLineChars="100" w:firstLine="240"/>
              <w:jc w:val="center"/>
              <w:rPr>
                <w:rFonts w:ascii="Times New Roman" w:eastAsia="Times New Roman" w:hAnsi="Times New Roman" w:cs="Times New Roman"/>
                <w:color w:val="1A1C1E"/>
                <w:kern w:val="0"/>
                <w:szCs w:val="24"/>
                <w:lang w:eastAsia="en-IN"/>
                <w14:ligatures w14:val="none"/>
              </w:rPr>
            </w:pPr>
            <w:r w:rsidRPr="00CE7183">
              <w:rPr>
                <w:rFonts w:ascii="Times New Roman" w:eastAsia="Times New Roman" w:hAnsi="Times New Roman" w:cs="Times New Roman"/>
                <w:color w:val="1A1C1E"/>
                <w:kern w:val="0"/>
                <w:szCs w:val="24"/>
                <w:lang w:eastAsia="en-IN"/>
                <w14:ligatures w14:val="none"/>
              </w:rPr>
              <w:t>11</w:t>
            </w:r>
          </w:p>
        </w:tc>
        <w:tc>
          <w:tcPr>
            <w:tcW w:w="1958" w:type="dxa"/>
            <w:tcBorders>
              <w:top w:val="nil"/>
              <w:left w:val="nil"/>
              <w:bottom w:val="single" w:sz="4" w:space="0" w:color="auto"/>
              <w:right w:val="single" w:sz="4" w:space="0" w:color="auto"/>
            </w:tcBorders>
            <w:shd w:val="clear" w:color="000000" w:fill="FFFFFF"/>
            <w:vAlign w:val="center"/>
            <w:hideMark/>
          </w:tcPr>
          <w:p w14:paraId="4BADCB0B" w14:textId="77777777" w:rsidR="0098240D" w:rsidRPr="00CE7183" w:rsidRDefault="0098240D" w:rsidP="00CE7183">
            <w:pPr>
              <w:spacing w:after="0" w:line="240" w:lineRule="auto"/>
              <w:ind w:firstLineChars="100" w:firstLine="240"/>
              <w:jc w:val="center"/>
              <w:rPr>
                <w:rFonts w:ascii="Times New Roman" w:eastAsia="Times New Roman" w:hAnsi="Times New Roman" w:cs="Times New Roman"/>
                <w:color w:val="1A1C1E"/>
                <w:kern w:val="0"/>
                <w:szCs w:val="24"/>
                <w:lang w:eastAsia="en-IN"/>
                <w14:ligatures w14:val="none"/>
              </w:rPr>
            </w:pPr>
            <w:r w:rsidRPr="00CE7183">
              <w:rPr>
                <w:rFonts w:ascii="Times New Roman" w:eastAsia="Times New Roman" w:hAnsi="Times New Roman" w:cs="Times New Roman"/>
                <w:color w:val="1A1C1E"/>
                <w:kern w:val="0"/>
                <w:szCs w:val="24"/>
                <w:lang w:eastAsia="en-IN"/>
                <w14:ligatures w14:val="none"/>
              </w:rPr>
              <w:t>5</w:t>
            </w:r>
          </w:p>
        </w:tc>
        <w:tc>
          <w:tcPr>
            <w:tcW w:w="2362" w:type="dxa"/>
            <w:tcBorders>
              <w:top w:val="nil"/>
              <w:left w:val="nil"/>
              <w:bottom w:val="single" w:sz="4" w:space="0" w:color="auto"/>
              <w:right w:val="single" w:sz="4" w:space="0" w:color="auto"/>
            </w:tcBorders>
            <w:shd w:val="clear" w:color="000000" w:fill="FFFFFF"/>
            <w:vAlign w:val="center"/>
            <w:hideMark/>
          </w:tcPr>
          <w:p w14:paraId="6553413B" w14:textId="77777777" w:rsidR="0098240D" w:rsidRPr="00CE7183" w:rsidRDefault="0098240D" w:rsidP="00CE7183">
            <w:pPr>
              <w:spacing w:after="0" w:line="240" w:lineRule="auto"/>
              <w:ind w:firstLineChars="100" w:firstLine="240"/>
              <w:jc w:val="center"/>
              <w:rPr>
                <w:rFonts w:ascii="Times New Roman" w:eastAsia="Times New Roman" w:hAnsi="Times New Roman" w:cs="Times New Roman"/>
                <w:color w:val="1A1C1E"/>
                <w:kern w:val="0"/>
                <w:szCs w:val="24"/>
                <w:lang w:eastAsia="en-IN"/>
                <w14:ligatures w14:val="none"/>
              </w:rPr>
            </w:pPr>
            <w:r w:rsidRPr="00CE7183">
              <w:rPr>
                <w:rFonts w:ascii="Times New Roman" w:eastAsia="Times New Roman" w:hAnsi="Times New Roman" w:cs="Times New Roman"/>
                <w:color w:val="1A1C1E"/>
                <w:kern w:val="0"/>
                <w:szCs w:val="24"/>
                <w:lang w:eastAsia="en-IN"/>
                <w14:ligatures w14:val="none"/>
              </w:rPr>
              <w:t>3</w:t>
            </w:r>
          </w:p>
        </w:tc>
      </w:tr>
      <w:tr w:rsidR="0098240D" w:rsidRPr="00CE7183" w14:paraId="34245EC1" w14:textId="77777777" w:rsidTr="0098240D">
        <w:trPr>
          <w:trHeight w:val="337"/>
        </w:trPr>
        <w:tc>
          <w:tcPr>
            <w:tcW w:w="2508" w:type="dxa"/>
            <w:tcBorders>
              <w:top w:val="nil"/>
              <w:left w:val="single" w:sz="4" w:space="0" w:color="auto"/>
              <w:bottom w:val="single" w:sz="4" w:space="0" w:color="auto"/>
              <w:right w:val="single" w:sz="4" w:space="0" w:color="auto"/>
            </w:tcBorders>
            <w:shd w:val="clear" w:color="000000" w:fill="FFFFFF"/>
            <w:vAlign w:val="center"/>
            <w:hideMark/>
          </w:tcPr>
          <w:p w14:paraId="320C1D66" w14:textId="77777777" w:rsidR="0098240D" w:rsidRPr="00CE7183" w:rsidRDefault="0098240D" w:rsidP="00B77C0B">
            <w:pPr>
              <w:spacing w:after="0" w:line="240" w:lineRule="auto"/>
              <w:ind w:firstLineChars="100" w:firstLine="240"/>
              <w:rPr>
                <w:rFonts w:ascii="Times New Roman" w:eastAsia="Times New Roman" w:hAnsi="Times New Roman" w:cs="Times New Roman"/>
                <w:color w:val="1A1C1E"/>
                <w:kern w:val="0"/>
                <w:szCs w:val="24"/>
                <w:lang w:eastAsia="en-IN"/>
                <w14:ligatures w14:val="none"/>
              </w:rPr>
            </w:pPr>
            <w:r w:rsidRPr="00CE7183">
              <w:rPr>
                <w:rFonts w:ascii="Times New Roman" w:eastAsia="Times New Roman" w:hAnsi="Times New Roman" w:cs="Times New Roman"/>
                <w:color w:val="1A1C1E"/>
                <w:kern w:val="0"/>
                <w:szCs w:val="24"/>
                <w:lang w:eastAsia="en-IN"/>
                <w14:ligatures w14:val="none"/>
              </w:rPr>
              <w:t>Mysore</w:t>
            </w:r>
          </w:p>
        </w:tc>
        <w:tc>
          <w:tcPr>
            <w:tcW w:w="1572" w:type="dxa"/>
            <w:tcBorders>
              <w:top w:val="nil"/>
              <w:left w:val="nil"/>
              <w:bottom w:val="single" w:sz="4" w:space="0" w:color="auto"/>
              <w:right w:val="single" w:sz="4" w:space="0" w:color="auto"/>
            </w:tcBorders>
            <w:shd w:val="clear" w:color="000000" w:fill="FFFFFF"/>
            <w:vAlign w:val="center"/>
            <w:hideMark/>
          </w:tcPr>
          <w:p w14:paraId="15D0AC45" w14:textId="77777777" w:rsidR="0098240D" w:rsidRPr="00CE7183" w:rsidRDefault="0098240D" w:rsidP="00CE7183">
            <w:pPr>
              <w:spacing w:after="0" w:line="240" w:lineRule="auto"/>
              <w:ind w:firstLineChars="100" w:firstLine="240"/>
              <w:jc w:val="center"/>
              <w:rPr>
                <w:rFonts w:ascii="Times New Roman" w:eastAsia="Times New Roman" w:hAnsi="Times New Roman" w:cs="Times New Roman"/>
                <w:color w:val="1A1C1E"/>
                <w:kern w:val="0"/>
                <w:szCs w:val="24"/>
                <w:lang w:eastAsia="en-IN"/>
                <w14:ligatures w14:val="none"/>
              </w:rPr>
            </w:pPr>
            <w:r w:rsidRPr="00CE7183">
              <w:rPr>
                <w:rFonts w:ascii="Times New Roman" w:eastAsia="Times New Roman" w:hAnsi="Times New Roman" w:cs="Times New Roman"/>
                <w:color w:val="1A1C1E"/>
                <w:kern w:val="0"/>
                <w:szCs w:val="24"/>
                <w:lang w:eastAsia="en-IN"/>
                <w14:ligatures w14:val="none"/>
              </w:rPr>
              <w:t>9(d)</w:t>
            </w:r>
          </w:p>
        </w:tc>
        <w:tc>
          <w:tcPr>
            <w:tcW w:w="1389" w:type="dxa"/>
            <w:tcBorders>
              <w:top w:val="nil"/>
              <w:left w:val="nil"/>
              <w:bottom w:val="single" w:sz="4" w:space="0" w:color="auto"/>
              <w:right w:val="single" w:sz="4" w:space="0" w:color="auto"/>
            </w:tcBorders>
            <w:shd w:val="clear" w:color="000000" w:fill="FFFFFF"/>
            <w:vAlign w:val="center"/>
            <w:hideMark/>
          </w:tcPr>
          <w:p w14:paraId="016DA139" w14:textId="77777777" w:rsidR="0098240D" w:rsidRPr="00CE7183" w:rsidRDefault="0098240D" w:rsidP="00CE7183">
            <w:pPr>
              <w:spacing w:after="0" w:line="240" w:lineRule="auto"/>
              <w:ind w:firstLineChars="100" w:firstLine="240"/>
              <w:jc w:val="center"/>
              <w:rPr>
                <w:rFonts w:ascii="Times New Roman" w:eastAsia="Times New Roman" w:hAnsi="Times New Roman" w:cs="Times New Roman"/>
                <w:color w:val="1A1C1E"/>
                <w:kern w:val="0"/>
                <w:szCs w:val="24"/>
                <w:lang w:eastAsia="en-IN"/>
                <w14:ligatures w14:val="none"/>
              </w:rPr>
            </w:pPr>
            <w:r w:rsidRPr="00CE7183">
              <w:rPr>
                <w:rFonts w:ascii="Times New Roman" w:eastAsia="Times New Roman" w:hAnsi="Times New Roman" w:cs="Times New Roman"/>
                <w:color w:val="1A1C1E"/>
                <w:kern w:val="0"/>
                <w:szCs w:val="24"/>
                <w:lang w:eastAsia="en-IN"/>
                <w14:ligatures w14:val="none"/>
              </w:rPr>
              <w:t>8</w:t>
            </w:r>
          </w:p>
        </w:tc>
        <w:tc>
          <w:tcPr>
            <w:tcW w:w="1462" w:type="dxa"/>
            <w:tcBorders>
              <w:top w:val="nil"/>
              <w:left w:val="nil"/>
              <w:bottom w:val="single" w:sz="4" w:space="0" w:color="auto"/>
              <w:right w:val="single" w:sz="4" w:space="0" w:color="auto"/>
            </w:tcBorders>
            <w:shd w:val="clear" w:color="000000" w:fill="FFFFFF"/>
            <w:vAlign w:val="center"/>
            <w:hideMark/>
          </w:tcPr>
          <w:p w14:paraId="65CEA620" w14:textId="77777777" w:rsidR="0098240D" w:rsidRPr="00CE7183" w:rsidRDefault="0098240D" w:rsidP="00CE7183">
            <w:pPr>
              <w:spacing w:after="0" w:line="240" w:lineRule="auto"/>
              <w:ind w:firstLineChars="100" w:firstLine="240"/>
              <w:jc w:val="center"/>
              <w:rPr>
                <w:rFonts w:ascii="Times New Roman" w:eastAsia="Times New Roman" w:hAnsi="Times New Roman" w:cs="Times New Roman"/>
                <w:color w:val="1A1C1E"/>
                <w:kern w:val="0"/>
                <w:szCs w:val="24"/>
                <w:lang w:eastAsia="en-IN"/>
                <w14:ligatures w14:val="none"/>
              </w:rPr>
            </w:pPr>
            <w:r w:rsidRPr="00CE7183">
              <w:rPr>
                <w:rFonts w:ascii="Times New Roman" w:eastAsia="Times New Roman" w:hAnsi="Times New Roman" w:cs="Times New Roman"/>
                <w:color w:val="1A1C1E"/>
                <w:kern w:val="0"/>
                <w:szCs w:val="24"/>
                <w:lang w:eastAsia="en-IN"/>
                <w14:ligatures w14:val="none"/>
              </w:rPr>
              <w:t>8</w:t>
            </w:r>
          </w:p>
        </w:tc>
        <w:tc>
          <w:tcPr>
            <w:tcW w:w="1958" w:type="dxa"/>
            <w:tcBorders>
              <w:top w:val="nil"/>
              <w:left w:val="nil"/>
              <w:bottom w:val="single" w:sz="4" w:space="0" w:color="auto"/>
              <w:right w:val="single" w:sz="4" w:space="0" w:color="auto"/>
            </w:tcBorders>
            <w:shd w:val="clear" w:color="000000" w:fill="FFFFFF"/>
            <w:vAlign w:val="center"/>
            <w:hideMark/>
          </w:tcPr>
          <w:p w14:paraId="43C81016" w14:textId="77777777" w:rsidR="0098240D" w:rsidRPr="00CE7183" w:rsidRDefault="0098240D" w:rsidP="00CE7183">
            <w:pPr>
              <w:spacing w:after="0" w:line="240" w:lineRule="auto"/>
              <w:ind w:firstLineChars="100" w:firstLine="240"/>
              <w:jc w:val="center"/>
              <w:rPr>
                <w:rFonts w:ascii="Times New Roman" w:eastAsia="Times New Roman" w:hAnsi="Times New Roman" w:cs="Times New Roman"/>
                <w:color w:val="1A1C1E"/>
                <w:kern w:val="0"/>
                <w:szCs w:val="24"/>
                <w:lang w:eastAsia="en-IN"/>
                <w14:ligatures w14:val="none"/>
              </w:rPr>
            </w:pPr>
            <w:r w:rsidRPr="00CE7183">
              <w:rPr>
                <w:rFonts w:ascii="Times New Roman" w:eastAsia="Times New Roman" w:hAnsi="Times New Roman" w:cs="Times New Roman"/>
                <w:color w:val="1A1C1E"/>
                <w:kern w:val="0"/>
                <w:szCs w:val="24"/>
                <w:lang w:eastAsia="en-IN"/>
                <w14:ligatures w14:val="none"/>
              </w:rPr>
              <w:t>8</w:t>
            </w:r>
          </w:p>
        </w:tc>
        <w:tc>
          <w:tcPr>
            <w:tcW w:w="2362" w:type="dxa"/>
            <w:tcBorders>
              <w:top w:val="nil"/>
              <w:left w:val="nil"/>
              <w:bottom w:val="single" w:sz="4" w:space="0" w:color="auto"/>
              <w:right w:val="single" w:sz="4" w:space="0" w:color="auto"/>
            </w:tcBorders>
            <w:shd w:val="clear" w:color="000000" w:fill="FFFFFF"/>
            <w:vAlign w:val="center"/>
            <w:hideMark/>
          </w:tcPr>
          <w:p w14:paraId="6D1E07F6" w14:textId="77777777" w:rsidR="0098240D" w:rsidRPr="00CE7183" w:rsidRDefault="0098240D" w:rsidP="00CE7183">
            <w:pPr>
              <w:spacing w:after="0" w:line="240" w:lineRule="auto"/>
              <w:ind w:firstLineChars="100" w:firstLine="240"/>
              <w:jc w:val="center"/>
              <w:rPr>
                <w:rFonts w:ascii="Times New Roman" w:eastAsia="Times New Roman" w:hAnsi="Times New Roman" w:cs="Times New Roman"/>
                <w:color w:val="1A1C1E"/>
                <w:kern w:val="0"/>
                <w:szCs w:val="24"/>
                <w:lang w:eastAsia="en-IN"/>
                <w14:ligatures w14:val="none"/>
              </w:rPr>
            </w:pPr>
            <w:r w:rsidRPr="00CE7183">
              <w:rPr>
                <w:rFonts w:ascii="Times New Roman" w:eastAsia="Times New Roman" w:hAnsi="Times New Roman" w:cs="Times New Roman"/>
                <w:color w:val="1A1C1E"/>
                <w:kern w:val="0"/>
                <w:szCs w:val="24"/>
                <w:lang w:eastAsia="en-IN"/>
                <w14:ligatures w14:val="none"/>
              </w:rPr>
              <w:t>8</w:t>
            </w:r>
          </w:p>
        </w:tc>
      </w:tr>
      <w:tr w:rsidR="0098240D" w:rsidRPr="00CE7183" w14:paraId="2C70E111" w14:textId="77777777" w:rsidTr="0098240D">
        <w:trPr>
          <w:trHeight w:val="303"/>
        </w:trPr>
        <w:tc>
          <w:tcPr>
            <w:tcW w:w="2508" w:type="dxa"/>
            <w:tcBorders>
              <w:top w:val="nil"/>
              <w:left w:val="single" w:sz="4" w:space="0" w:color="auto"/>
              <w:bottom w:val="single" w:sz="4" w:space="0" w:color="auto"/>
              <w:right w:val="single" w:sz="4" w:space="0" w:color="auto"/>
            </w:tcBorders>
            <w:shd w:val="clear" w:color="000000" w:fill="FFFFFF"/>
            <w:vAlign w:val="center"/>
            <w:hideMark/>
          </w:tcPr>
          <w:p w14:paraId="7253EBA6" w14:textId="77777777" w:rsidR="0098240D" w:rsidRPr="00CE7183" w:rsidRDefault="0098240D" w:rsidP="00B77C0B">
            <w:pPr>
              <w:spacing w:after="0" w:line="240" w:lineRule="auto"/>
              <w:ind w:firstLineChars="100" w:firstLine="240"/>
              <w:rPr>
                <w:rFonts w:ascii="Times New Roman" w:eastAsia="Times New Roman" w:hAnsi="Times New Roman" w:cs="Times New Roman"/>
                <w:color w:val="1A1C1E"/>
                <w:kern w:val="0"/>
                <w:szCs w:val="24"/>
                <w:lang w:eastAsia="en-IN"/>
                <w14:ligatures w14:val="none"/>
              </w:rPr>
            </w:pPr>
            <w:r w:rsidRPr="00CE7183">
              <w:rPr>
                <w:rFonts w:ascii="Times New Roman" w:eastAsia="Times New Roman" w:hAnsi="Times New Roman" w:cs="Times New Roman"/>
                <w:color w:val="1A1C1E"/>
                <w:kern w:val="0"/>
                <w:szCs w:val="24"/>
                <w:lang w:eastAsia="en-IN"/>
                <w14:ligatures w14:val="none"/>
              </w:rPr>
              <w:t>Nagaland</w:t>
            </w:r>
          </w:p>
        </w:tc>
        <w:tc>
          <w:tcPr>
            <w:tcW w:w="1572" w:type="dxa"/>
            <w:tcBorders>
              <w:top w:val="nil"/>
              <w:left w:val="nil"/>
              <w:bottom w:val="single" w:sz="4" w:space="0" w:color="auto"/>
              <w:right w:val="single" w:sz="4" w:space="0" w:color="auto"/>
            </w:tcBorders>
            <w:shd w:val="clear" w:color="000000" w:fill="FFFFFF"/>
            <w:vAlign w:val="center"/>
            <w:hideMark/>
          </w:tcPr>
          <w:p w14:paraId="188441D5" w14:textId="77777777" w:rsidR="0098240D" w:rsidRPr="00CE7183" w:rsidRDefault="0098240D" w:rsidP="00CE7183">
            <w:pPr>
              <w:spacing w:after="0" w:line="240" w:lineRule="auto"/>
              <w:ind w:firstLineChars="100" w:firstLine="240"/>
              <w:jc w:val="center"/>
              <w:rPr>
                <w:rFonts w:ascii="Times New Roman" w:eastAsia="Times New Roman" w:hAnsi="Times New Roman" w:cs="Times New Roman"/>
                <w:color w:val="1A1C1E"/>
                <w:kern w:val="0"/>
                <w:szCs w:val="24"/>
                <w:lang w:eastAsia="en-IN"/>
                <w14:ligatures w14:val="none"/>
              </w:rPr>
            </w:pPr>
            <w:r w:rsidRPr="00CE7183">
              <w:rPr>
                <w:rFonts w:ascii="Times New Roman" w:eastAsia="Times New Roman" w:hAnsi="Times New Roman" w:cs="Times New Roman"/>
                <w:color w:val="1A1C1E"/>
                <w:kern w:val="0"/>
                <w:szCs w:val="24"/>
                <w:lang w:eastAsia="en-IN"/>
                <w14:ligatures w14:val="none"/>
              </w:rPr>
              <w:t>N.A.</w:t>
            </w:r>
          </w:p>
        </w:tc>
        <w:tc>
          <w:tcPr>
            <w:tcW w:w="1389" w:type="dxa"/>
            <w:tcBorders>
              <w:top w:val="nil"/>
              <w:left w:val="nil"/>
              <w:bottom w:val="single" w:sz="4" w:space="0" w:color="auto"/>
              <w:right w:val="single" w:sz="4" w:space="0" w:color="auto"/>
            </w:tcBorders>
            <w:shd w:val="clear" w:color="000000" w:fill="FFFFFF"/>
            <w:vAlign w:val="center"/>
            <w:hideMark/>
          </w:tcPr>
          <w:p w14:paraId="24DE4C0B" w14:textId="77777777" w:rsidR="0098240D" w:rsidRPr="00CE7183" w:rsidRDefault="0098240D" w:rsidP="00CE7183">
            <w:pPr>
              <w:spacing w:after="0" w:line="240" w:lineRule="auto"/>
              <w:ind w:firstLineChars="100" w:firstLine="240"/>
              <w:jc w:val="center"/>
              <w:rPr>
                <w:rFonts w:ascii="Times New Roman" w:eastAsia="Times New Roman" w:hAnsi="Times New Roman" w:cs="Times New Roman"/>
                <w:color w:val="1A1C1E"/>
                <w:kern w:val="0"/>
                <w:szCs w:val="24"/>
                <w:lang w:eastAsia="en-IN"/>
                <w14:ligatures w14:val="none"/>
              </w:rPr>
            </w:pPr>
            <w:r w:rsidRPr="00CE7183">
              <w:rPr>
                <w:rFonts w:ascii="Times New Roman" w:eastAsia="Times New Roman" w:hAnsi="Times New Roman" w:cs="Times New Roman"/>
                <w:color w:val="1A1C1E"/>
                <w:kern w:val="0"/>
                <w:szCs w:val="24"/>
                <w:lang w:eastAsia="en-IN"/>
                <w14:ligatures w14:val="none"/>
              </w:rPr>
              <w:t>N.A.</w:t>
            </w:r>
          </w:p>
        </w:tc>
        <w:tc>
          <w:tcPr>
            <w:tcW w:w="1462" w:type="dxa"/>
            <w:tcBorders>
              <w:top w:val="nil"/>
              <w:left w:val="nil"/>
              <w:bottom w:val="single" w:sz="4" w:space="0" w:color="auto"/>
              <w:right w:val="single" w:sz="4" w:space="0" w:color="auto"/>
            </w:tcBorders>
            <w:shd w:val="clear" w:color="000000" w:fill="FFFFFF"/>
            <w:vAlign w:val="center"/>
            <w:hideMark/>
          </w:tcPr>
          <w:p w14:paraId="7F17F64B" w14:textId="77777777" w:rsidR="0098240D" w:rsidRPr="00CE7183" w:rsidRDefault="0098240D" w:rsidP="00CE7183">
            <w:pPr>
              <w:spacing w:after="0" w:line="240" w:lineRule="auto"/>
              <w:ind w:firstLineChars="100" w:firstLine="240"/>
              <w:jc w:val="center"/>
              <w:rPr>
                <w:rFonts w:ascii="Times New Roman" w:eastAsia="Times New Roman" w:hAnsi="Times New Roman" w:cs="Times New Roman"/>
                <w:color w:val="1A1C1E"/>
                <w:kern w:val="0"/>
                <w:szCs w:val="24"/>
                <w:lang w:eastAsia="en-IN"/>
                <w14:ligatures w14:val="none"/>
              </w:rPr>
            </w:pPr>
            <w:r w:rsidRPr="00CE7183">
              <w:rPr>
                <w:rFonts w:ascii="Times New Roman" w:eastAsia="Times New Roman" w:hAnsi="Times New Roman" w:cs="Times New Roman"/>
                <w:color w:val="1A1C1E"/>
                <w:kern w:val="0"/>
                <w:szCs w:val="24"/>
                <w:lang w:eastAsia="en-IN"/>
                <w14:ligatures w14:val="none"/>
              </w:rPr>
              <w:t>N.A.</w:t>
            </w:r>
          </w:p>
        </w:tc>
        <w:tc>
          <w:tcPr>
            <w:tcW w:w="1958" w:type="dxa"/>
            <w:tcBorders>
              <w:top w:val="nil"/>
              <w:left w:val="nil"/>
              <w:bottom w:val="single" w:sz="4" w:space="0" w:color="auto"/>
              <w:right w:val="single" w:sz="4" w:space="0" w:color="auto"/>
            </w:tcBorders>
            <w:shd w:val="clear" w:color="000000" w:fill="FFFFFF"/>
            <w:vAlign w:val="center"/>
            <w:hideMark/>
          </w:tcPr>
          <w:p w14:paraId="55509335" w14:textId="77777777" w:rsidR="0098240D" w:rsidRPr="00CE7183" w:rsidRDefault="0098240D" w:rsidP="00CE7183">
            <w:pPr>
              <w:spacing w:after="0" w:line="240" w:lineRule="auto"/>
              <w:ind w:firstLineChars="100" w:firstLine="240"/>
              <w:jc w:val="center"/>
              <w:rPr>
                <w:rFonts w:ascii="Times New Roman" w:eastAsia="Times New Roman" w:hAnsi="Times New Roman" w:cs="Times New Roman"/>
                <w:color w:val="1A1C1E"/>
                <w:kern w:val="0"/>
                <w:szCs w:val="24"/>
                <w:lang w:eastAsia="en-IN"/>
                <w14:ligatures w14:val="none"/>
              </w:rPr>
            </w:pPr>
            <w:r w:rsidRPr="00CE7183">
              <w:rPr>
                <w:rFonts w:ascii="Times New Roman" w:eastAsia="Times New Roman" w:hAnsi="Times New Roman" w:cs="Times New Roman"/>
                <w:color w:val="1A1C1E"/>
                <w:kern w:val="0"/>
                <w:szCs w:val="24"/>
                <w:lang w:eastAsia="en-IN"/>
                <w14:ligatures w14:val="none"/>
              </w:rPr>
              <w:t>N.A.</w:t>
            </w:r>
          </w:p>
        </w:tc>
        <w:tc>
          <w:tcPr>
            <w:tcW w:w="2362" w:type="dxa"/>
            <w:tcBorders>
              <w:top w:val="nil"/>
              <w:left w:val="nil"/>
              <w:bottom w:val="single" w:sz="4" w:space="0" w:color="auto"/>
              <w:right w:val="single" w:sz="4" w:space="0" w:color="auto"/>
            </w:tcBorders>
            <w:shd w:val="clear" w:color="000000" w:fill="FFFFFF"/>
            <w:vAlign w:val="center"/>
            <w:hideMark/>
          </w:tcPr>
          <w:p w14:paraId="0F2C2AC1" w14:textId="77777777" w:rsidR="0098240D" w:rsidRPr="00CE7183" w:rsidRDefault="0098240D" w:rsidP="00CE7183">
            <w:pPr>
              <w:spacing w:after="0" w:line="240" w:lineRule="auto"/>
              <w:ind w:firstLineChars="100" w:firstLine="240"/>
              <w:jc w:val="center"/>
              <w:rPr>
                <w:rFonts w:ascii="Times New Roman" w:eastAsia="Times New Roman" w:hAnsi="Times New Roman" w:cs="Times New Roman"/>
                <w:color w:val="1A1C1E"/>
                <w:kern w:val="0"/>
                <w:szCs w:val="24"/>
                <w:lang w:eastAsia="en-IN"/>
                <w14:ligatures w14:val="none"/>
              </w:rPr>
            </w:pPr>
            <w:r w:rsidRPr="00CE7183">
              <w:rPr>
                <w:rFonts w:ascii="Times New Roman" w:eastAsia="Times New Roman" w:hAnsi="Times New Roman" w:cs="Times New Roman"/>
                <w:color w:val="1A1C1E"/>
                <w:kern w:val="0"/>
                <w:szCs w:val="24"/>
                <w:lang w:eastAsia="en-IN"/>
                <w14:ligatures w14:val="none"/>
              </w:rPr>
              <w:t>N.A.</w:t>
            </w:r>
          </w:p>
        </w:tc>
      </w:tr>
      <w:tr w:rsidR="0098240D" w:rsidRPr="00CE7183" w14:paraId="3A7E7C5B" w14:textId="77777777" w:rsidTr="0098240D">
        <w:trPr>
          <w:trHeight w:val="232"/>
        </w:trPr>
        <w:tc>
          <w:tcPr>
            <w:tcW w:w="2508" w:type="dxa"/>
            <w:tcBorders>
              <w:top w:val="nil"/>
              <w:left w:val="single" w:sz="4" w:space="0" w:color="auto"/>
              <w:bottom w:val="single" w:sz="4" w:space="0" w:color="auto"/>
              <w:right w:val="single" w:sz="4" w:space="0" w:color="auto"/>
            </w:tcBorders>
            <w:shd w:val="clear" w:color="000000" w:fill="FFFFFF"/>
            <w:vAlign w:val="center"/>
            <w:hideMark/>
          </w:tcPr>
          <w:p w14:paraId="01771070" w14:textId="77777777" w:rsidR="0098240D" w:rsidRPr="00CE7183" w:rsidRDefault="0098240D" w:rsidP="00B77C0B">
            <w:pPr>
              <w:spacing w:after="0" w:line="240" w:lineRule="auto"/>
              <w:ind w:firstLineChars="100" w:firstLine="240"/>
              <w:rPr>
                <w:rFonts w:ascii="Times New Roman" w:eastAsia="Times New Roman" w:hAnsi="Times New Roman" w:cs="Times New Roman"/>
                <w:color w:val="1A1C1E"/>
                <w:kern w:val="0"/>
                <w:szCs w:val="24"/>
                <w:lang w:eastAsia="en-IN"/>
                <w14:ligatures w14:val="none"/>
              </w:rPr>
            </w:pPr>
            <w:r w:rsidRPr="00CE7183">
              <w:rPr>
                <w:rFonts w:ascii="Times New Roman" w:eastAsia="Times New Roman" w:hAnsi="Times New Roman" w:cs="Times New Roman"/>
                <w:color w:val="1A1C1E"/>
                <w:kern w:val="0"/>
                <w:szCs w:val="24"/>
                <w:lang w:eastAsia="en-IN"/>
                <w14:ligatures w14:val="none"/>
              </w:rPr>
              <w:t>Orissa</w:t>
            </w:r>
          </w:p>
        </w:tc>
        <w:tc>
          <w:tcPr>
            <w:tcW w:w="1572" w:type="dxa"/>
            <w:tcBorders>
              <w:top w:val="nil"/>
              <w:left w:val="nil"/>
              <w:bottom w:val="single" w:sz="4" w:space="0" w:color="auto"/>
              <w:right w:val="single" w:sz="4" w:space="0" w:color="auto"/>
            </w:tcBorders>
            <w:shd w:val="clear" w:color="000000" w:fill="FFFFFF"/>
            <w:vAlign w:val="center"/>
            <w:hideMark/>
          </w:tcPr>
          <w:p w14:paraId="4FBE4232" w14:textId="77777777" w:rsidR="0098240D" w:rsidRPr="00CE7183" w:rsidRDefault="0098240D" w:rsidP="00CE7183">
            <w:pPr>
              <w:spacing w:after="0" w:line="240" w:lineRule="auto"/>
              <w:ind w:firstLineChars="100" w:firstLine="240"/>
              <w:jc w:val="center"/>
              <w:rPr>
                <w:rFonts w:ascii="Times New Roman" w:eastAsia="Times New Roman" w:hAnsi="Times New Roman" w:cs="Times New Roman"/>
                <w:color w:val="1A1C1E"/>
                <w:kern w:val="0"/>
                <w:szCs w:val="24"/>
                <w:lang w:eastAsia="en-IN"/>
                <w14:ligatures w14:val="none"/>
              </w:rPr>
            </w:pPr>
            <w:r w:rsidRPr="00CE7183">
              <w:rPr>
                <w:rFonts w:ascii="Times New Roman" w:eastAsia="Times New Roman" w:hAnsi="Times New Roman" w:cs="Times New Roman"/>
                <w:color w:val="1A1C1E"/>
                <w:kern w:val="0"/>
                <w:szCs w:val="24"/>
                <w:lang w:eastAsia="en-IN"/>
                <w14:ligatures w14:val="none"/>
              </w:rPr>
              <w:t>12</w:t>
            </w:r>
          </w:p>
        </w:tc>
        <w:tc>
          <w:tcPr>
            <w:tcW w:w="1389" w:type="dxa"/>
            <w:tcBorders>
              <w:top w:val="nil"/>
              <w:left w:val="nil"/>
              <w:bottom w:val="single" w:sz="4" w:space="0" w:color="auto"/>
              <w:right w:val="single" w:sz="4" w:space="0" w:color="auto"/>
            </w:tcBorders>
            <w:shd w:val="clear" w:color="000000" w:fill="FFFFFF"/>
            <w:vAlign w:val="center"/>
            <w:hideMark/>
          </w:tcPr>
          <w:p w14:paraId="50FE6A21" w14:textId="77777777" w:rsidR="0098240D" w:rsidRPr="00CE7183" w:rsidRDefault="0098240D" w:rsidP="00CE7183">
            <w:pPr>
              <w:spacing w:after="0" w:line="240" w:lineRule="auto"/>
              <w:ind w:firstLineChars="100" w:firstLine="240"/>
              <w:jc w:val="center"/>
              <w:rPr>
                <w:rFonts w:ascii="Times New Roman" w:eastAsia="Times New Roman" w:hAnsi="Times New Roman" w:cs="Times New Roman"/>
                <w:color w:val="1A1C1E"/>
                <w:kern w:val="0"/>
                <w:szCs w:val="24"/>
                <w:lang w:eastAsia="en-IN"/>
                <w14:ligatures w14:val="none"/>
              </w:rPr>
            </w:pPr>
            <w:r w:rsidRPr="00CE7183">
              <w:rPr>
                <w:rFonts w:ascii="Times New Roman" w:eastAsia="Times New Roman" w:hAnsi="Times New Roman" w:cs="Times New Roman"/>
                <w:color w:val="1A1C1E"/>
                <w:kern w:val="0"/>
                <w:szCs w:val="24"/>
                <w:lang w:eastAsia="en-IN"/>
                <w14:ligatures w14:val="none"/>
              </w:rPr>
              <w:t>9</w:t>
            </w:r>
          </w:p>
        </w:tc>
        <w:tc>
          <w:tcPr>
            <w:tcW w:w="1462" w:type="dxa"/>
            <w:tcBorders>
              <w:top w:val="nil"/>
              <w:left w:val="nil"/>
              <w:bottom w:val="single" w:sz="4" w:space="0" w:color="auto"/>
              <w:right w:val="single" w:sz="4" w:space="0" w:color="auto"/>
            </w:tcBorders>
            <w:shd w:val="clear" w:color="000000" w:fill="FFFFFF"/>
            <w:vAlign w:val="center"/>
            <w:hideMark/>
          </w:tcPr>
          <w:p w14:paraId="4B3A63DB" w14:textId="77777777" w:rsidR="0098240D" w:rsidRPr="00CE7183" w:rsidRDefault="0098240D" w:rsidP="00CE7183">
            <w:pPr>
              <w:spacing w:after="0" w:line="240" w:lineRule="auto"/>
              <w:ind w:firstLineChars="100" w:firstLine="240"/>
              <w:jc w:val="center"/>
              <w:rPr>
                <w:rFonts w:ascii="Times New Roman" w:eastAsia="Times New Roman" w:hAnsi="Times New Roman" w:cs="Times New Roman"/>
                <w:color w:val="1A1C1E"/>
                <w:kern w:val="0"/>
                <w:szCs w:val="24"/>
                <w:lang w:eastAsia="en-IN"/>
                <w14:ligatures w14:val="none"/>
              </w:rPr>
            </w:pPr>
            <w:r w:rsidRPr="00CE7183">
              <w:rPr>
                <w:rFonts w:ascii="Times New Roman" w:eastAsia="Times New Roman" w:hAnsi="Times New Roman" w:cs="Times New Roman"/>
                <w:color w:val="1A1C1E"/>
                <w:kern w:val="0"/>
                <w:szCs w:val="24"/>
                <w:lang w:eastAsia="en-IN"/>
                <w14:ligatures w14:val="none"/>
              </w:rPr>
              <w:t>9</w:t>
            </w:r>
          </w:p>
        </w:tc>
        <w:tc>
          <w:tcPr>
            <w:tcW w:w="1958" w:type="dxa"/>
            <w:tcBorders>
              <w:top w:val="nil"/>
              <w:left w:val="nil"/>
              <w:bottom w:val="single" w:sz="4" w:space="0" w:color="auto"/>
              <w:right w:val="single" w:sz="4" w:space="0" w:color="auto"/>
            </w:tcBorders>
            <w:shd w:val="clear" w:color="000000" w:fill="FFFFFF"/>
            <w:vAlign w:val="center"/>
            <w:hideMark/>
          </w:tcPr>
          <w:p w14:paraId="1A15A9AB" w14:textId="77777777" w:rsidR="0098240D" w:rsidRPr="00CE7183" w:rsidRDefault="0098240D" w:rsidP="00CE7183">
            <w:pPr>
              <w:spacing w:after="0" w:line="240" w:lineRule="auto"/>
              <w:ind w:firstLineChars="100" w:firstLine="240"/>
              <w:jc w:val="center"/>
              <w:rPr>
                <w:rFonts w:ascii="Times New Roman" w:eastAsia="Times New Roman" w:hAnsi="Times New Roman" w:cs="Times New Roman"/>
                <w:color w:val="1A1C1E"/>
                <w:kern w:val="0"/>
                <w:szCs w:val="24"/>
                <w:lang w:eastAsia="en-IN"/>
                <w14:ligatures w14:val="none"/>
              </w:rPr>
            </w:pPr>
            <w:r w:rsidRPr="00CE7183">
              <w:rPr>
                <w:rFonts w:ascii="Times New Roman" w:eastAsia="Times New Roman" w:hAnsi="Times New Roman" w:cs="Times New Roman"/>
                <w:color w:val="1A1C1E"/>
                <w:kern w:val="0"/>
                <w:szCs w:val="24"/>
                <w:lang w:eastAsia="en-IN"/>
                <w14:ligatures w14:val="none"/>
              </w:rPr>
              <w:t>5</w:t>
            </w:r>
          </w:p>
        </w:tc>
        <w:tc>
          <w:tcPr>
            <w:tcW w:w="2362" w:type="dxa"/>
            <w:tcBorders>
              <w:top w:val="nil"/>
              <w:left w:val="nil"/>
              <w:bottom w:val="single" w:sz="4" w:space="0" w:color="auto"/>
              <w:right w:val="single" w:sz="4" w:space="0" w:color="auto"/>
            </w:tcBorders>
            <w:shd w:val="clear" w:color="000000" w:fill="FFFFFF"/>
            <w:vAlign w:val="center"/>
            <w:hideMark/>
          </w:tcPr>
          <w:p w14:paraId="4C1AC82E" w14:textId="77777777" w:rsidR="0098240D" w:rsidRPr="00CE7183" w:rsidRDefault="0098240D" w:rsidP="00CE7183">
            <w:pPr>
              <w:spacing w:after="0" w:line="240" w:lineRule="auto"/>
              <w:ind w:firstLineChars="100" w:firstLine="240"/>
              <w:jc w:val="center"/>
              <w:rPr>
                <w:rFonts w:ascii="Times New Roman" w:eastAsia="Times New Roman" w:hAnsi="Times New Roman" w:cs="Times New Roman"/>
                <w:color w:val="1A1C1E"/>
                <w:kern w:val="0"/>
                <w:szCs w:val="24"/>
                <w:lang w:eastAsia="en-IN"/>
                <w14:ligatures w14:val="none"/>
              </w:rPr>
            </w:pPr>
            <w:r w:rsidRPr="00CE7183">
              <w:rPr>
                <w:rFonts w:ascii="Times New Roman" w:eastAsia="Times New Roman" w:hAnsi="Times New Roman" w:cs="Times New Roman"/>
                <w:color w:val="1A1C1E"/>
                <w:kern w:val="0"/>
                <w:szCs w:val="24"/>
                <w:lang w:eastAsia="en-IN"/>
                <w14:ligatures w14:val="none"/>
              </w:rPr>
              <w:t>N.A.</w:t>
            </w:r>
          </w:p>
        </w:tc>
      </w:tr>
      <w:tr w:rsidR="0098240D" w:rsidRPr="00CE7183" w14:paraId="5645AA98" w14:textId="77777777" w:rsidTr="0098240D">
        <w:trPr>
          <w:trHeight w:val="466"/>
        </w:trPr>
        <w:tc>
          <w:tcPr>
            <w:tcW w:w="2508" w:type="dxa"/>
            <w:tcBorders>
              <w:top w:val="nil"/>
              <w:left w:val="single" w:sz="4" w:space="0" w:color="auto"/>
              <w:bottom w:val="single" w:sz="4" w:space="0" w:color="auto"/>
              <w:right w:val="single" w:sz="4" w:space="0" w:color="auto"/>
            </w:tcBorders>
            <w:shd w:val="clear" w:color="000000" w:fill="FFFFFF"/>
            <w:vAlign w:val="center"/>
            <w:hideMark/>
          </w:tcPr>
          <w:p w14:paraId="21757B43" w14:textId="77777777" w:rsidR="0098240D" w:rsidRPr="00CE7183" w:rsidRDefault="0098240D" w:rsidP="00B77C0B">
            <w:pPr>
              <w:spacing w:after="0" w:line="240" w:lineRule="auto"/>
              <w:ind w:firstLineChars="100" w:firstLine="240"/>
              <w:rPr>
                <w:rFonts w:ascii="Times New Roman" w:eastAsia="Times New Roman" w:hAnsi="Times New Roman" w:cs="Times New Roman"/>
                <w:color w:val="1A1C1E"/>
                <w:kern w:val="0"/>
                <w:szCs w:val="24"/>
                <w:lang w:eastAsia="en-IN"/>
                <w14:ligatures w14:val="none"/>
              </w:rPr>
            </w:pPr>
            <w:r w:rsidRPr="00CE7183">
              <w:rPr>
                <w:rFonts w:ascii="Times New Roman" w:eastAsia="Times New Roman" w:hAnsi="Times New Roman" w:cs="Times New Roman"/>
                <w:color w:val="1A1C1E"/>
                <w:kern w:val="0"/>
                <w:szCs w:val="24"/>
                <w:lang w:eastAsia="en-IN"/>
                <w14:ligatures w14:val="none"/>
              </w:rPr>
              <w:t>Punjab</w:t>
            </w:r>
          </w:p>
        </w:tc>
        <w:tc>
          <w:tcPr>
            <w:tcW w:w="1572" w:type="dxa"/>
            <w:tcBorders>
              <w:top w:val="nil"/>
              <w:left w:val="nil"/>
              <w:bottom w:val="single" w:sz="4" w:space="0" w:color="auto"/>
              <w:right w:val="single" w:sz="4" w:space="0" w:color="auto"/>
            </w:tcBorders>
            <w:shd w:val="clear" w:color="000000" w:fill="FFFFFF"/>
            <w:vAlign w:val="center"/>
            <w:hideMark/>
          </w:tcPr>
          <w:p w14:paraId="330688C4" w14:textId="77777777" w:rsidR="0098240D" w:rsidRPr="00CE7183" w:rsidRDefault="0098240D" w:rsidP="00CE7183">
            <w:pPr>
              <w:spacing w:after="0" w:line="240" w:lineRule="auto"/>
              <w:ind w:firstLineChars="100" w:firstLine="240"/>
              <w:jc w:val="center"/>
              <w:rPr>
                <w:rFonts w:ascii="Times New Roman" w:eastAsia="Times New Roman" w:hAnsi="Times New Roman" w:cs="Times New Roman"/>
                <w:color w:val="1A1C1E"/>
                <w:kern w:val="0"/>
                <w:szCs w:val="24"/>
                <w:lang w:eastAsia="en-IN"/>
                <w14:ligatures w14:val="none"/>
              </w:rPr>
            </w:pPr>
            <w:r w:rsidRPr="00CE7183">
              <w:rPr>
                <w:rFonts w:ascii="Times New Roman" w:eastAsia="Times New Roman" w:hAnsi="Times New Roman" w:cs="Times New Roman"/>
                <w:color w:val="1A1C1E"/>
                <w:kern w:val="0"/>
                <w:szCs w:val="24"/>
                <w:lang w:eastAsia="en-IN"/>
                <w14:ligatures w14:val="none"/>
              </w:rPr>
              <w:t>7</w:t>
            </w:r>
          </w:p>
        </w:tc>
        <w:tc>
          <w:tcPr>
            <w:tcW w:w="1389" w:type="dxa"/>
            <w:tcBorders>
              <w:top w:val="nil"/>
              <w:left w:val="nil"/>
              <w:bottom w:val="single" w:sz="4" w:space="0" w:color="auto"/>
              <w:right w:val="single" w:sz="4" w:space="0" w:color="auto"/>
            </w:tcBorders>
            <w:shd w:val="clear" w:color="000000" w:fill="FFFFFF"/>
            <w:vAlign w:val="center"/>
            <w:hideMark/>
          </w:tcPr>
          <w:p w14:paraId="1CB98F5D" w14:textId="77777777" w:rsidR="0098240D" w:rsidRPr="00CE7183" w:rsidRDefault="0098240D" w:rsidP="00CE7183">
            <w:pPr>
              <w:spacing w:after="0" w:line="240" w:lineRule="auto"/>
              <w:ind w:firstLineChars="100" w:firstLine="240"/>
              <w:jc w:val="center"/>
              <w:rPr>
                <w:rFonts w:ascii="Times New Roman" w:eastAsia="Times New Roman" w:hAnsi="Times New Roman" w:cs="Times New Roman"/>
                <w:color w:val="1A1C1E"/>
                <w:kern w:val="0"/>
                <w:szCs w:val="24"/>
                <w:lang w:eastAsia="en-IN"/>
                <w14:ligatures w14:val="none"/>
              </w:rPr>
            </w:pPr>
            <w:r w:rsidRPr="00CE7183">
              <w:rPr>
                <w:rFonts w:ascii="Times New Roman" w:eastAsia="Times New Roman" w:hAnsi="Times New Roman" w:cs="Times New Roman"/>
                <w:color w:val="1A1C1E"/>
                <w:kern w:val="0"/>
                <w:szCs w:val="24"/>
                <w:lang w:eastAsia="en-IN"/>
                <w14:ligatures w14:val="none"/>
              </w:rPr>
              <w:t>7</w:t>
            </w:r>
          </w:p>
        </w:tc>
        <w:tc>
          <w:tcPr>
            <w:tcW w:w="1462" w:type="dxa"/>
            <w:tcBorders>
              <w:top w:val="nil"/>
              <w:left w:val="nil"/>
              <w:bottom w:val="single" w:sz="4" w:space="0" w:color="auto"/>
              <w:right w:val="single" w:sz="4" w:space="0" w:color="auto"/>
            </w:tcBorders>
            <w:shd w:val="clear" w:color="000000" w:fill="FFFFFF"/>
            <w:vAlign w:val="center"/>
            <w:hideMark/>
          </w:tcPr>
          <w:p w14:paraId="15BD9331" w14:textId="77777777" w:rsidR="0098240D" w:rsidRPr="00CE7183" w:rsidRDefault="0098240D" w:rsidP="00CE7183">
            <w:pPr>
              <w:spacing w:after="0" w:line="240" w:lineRule="auto"/>
              <w:ind w:firstLineChars="100" w:firstLine="240"/>
              <w:jc w:val="center"/>
              <w:rPr>
                <w:rFonts w:ascii="Times New Roman" w:eastAsia="Times New Roman" w:hAnsi="Times New Roman" w:cs="Times New Roman"/>
                <w:color w:val="1A1C1E"/>
                <w:kern w:val="0"/>
                <w:szCs w:val="24"/>
                <w:lang w:eastAsia="en-IN"/>
                <w14:ligatures w14:val="none"/>
              </w:rPr>
            </w:pPr>
            <w:r w:rsidRPr="00CE7183">
              <w:rPr>
                <w:rFonts w:ascii="Times New Roman" w:eastAsia="Times New Roman" w:hAnsi="Times New Roman" w:cs="Times New Roman"/>
                <w:color w:val="1A1C1E"/>
                <w:kern w:val="0"/>
                <w:szCs w:val="24"/>
                <w:lang w:eastAsia="en-IN"/>
                <w14:ligatures w14:val="none"/>
              </w:rPr>
              <w:t>7</w:t>
            </w:r>
          </w:p>
        </w:tc>
        <w:tc>
          <w:tcPr>
            <w:tcW w:w="1958" w:type="dxa"/>
            <w:tcBorders>
              <w:top w:val="nil"/>
              <w:left w:val="nil"/>
              <w:bottom w:val="single" w:sz="4" w:space="0" w:color="auto"/>
              <w:right w:val="single" w:sz="4" w:space="0" w:color="auto"/>
            </w:tcBorders>
            <w:shd w:val="clear" w:color="000000" w:fill="FFFFFF"/>
            <w:vAlign w:val="center"/>
            <w:hideMark/>
          </w:tcPr>
          <w:p w14:paraId="24C47F51" w14:textId="77777777" w:rsidR="0098240D" w:rsidRPr="00CE7183" w:rsidRDefault="0098240D" w:rsidP="00CE7183">
            <w:pPr>
              <w:spacing w:after="0" w:line="240" w:lineRule="auto"/>
              <w:ind w:firstLineChars="100" w:firstLine="240"/>
              <w:jc w:val="center"/>
              <w:rPr>
                <w:rFonts w:ascii="Times New Roman" w:eastAsia="Times New Roman" w:hAnsi="Times New Roman" w:cs="Times New Roman"/>
                <w:color w:val="1A1C1E"/>
                <w:kern w:val="0"/>
                <w:szCs w:val="24"/>
                <w:lang w:eastAsia="en-IN"/>
                <w14:ligatures w14:val="none"/>
              </w:rPr>
            </w:pPr>
            <w:r w:rsidRPr="00CE7183">
              <w:rPr>
                <w:rFonts w:ascii="Times New Roman" w:eastAsia="Times New Roman" w:hAnsi="Times New Roman" w:cs="Times New Roman"/>
                <w:color w:val="1A1C1E"/>
                <w:kern w:val="0"/>
                <w:szCs w:val="24"/>
                <w:lang w:eastAsia="en-IN"/>
                <w14:ligatures w14:val="none"/>
              </w:rPr>
              <w:t>7</w:t>
            </w:r>
          </w:p>
        </w:tc>
        <w:tc>
          <w:tcPr>
            <w:tcW w:w="2362" w:type="dxa"/>
            <w:tcBorders>
              <w:top w:val="nil"/>
              <w:left w:val="nil"/>
              <w:bottom w:val="single" w:sz="4" w:space="0" w:color="auto"/>
              <w:right w:val="single" w:sz="4" w:space="0" w:color="auto"/>
            </w:tcBorders>
            <w:shd w:val="clear" w:color="000000" w:fill="FFFFFF"/>
            <w:vAlign w:val="center"/>
            <w:hideMark/>
          </w:tcPr>
          <w:p w14:paraId="215508F7" w14:textId="77777777" w:rsidR="0098240D" w:rsidRPr="00CE7183" w:rsidRDefault="0098240D" w:rsidP="00CE7183">
            <w:pPr>
              <w:spacing w:after="0" w:line="240" w:lineRule="auto"/>
              <w:ind w:firstLineChars="100" w:firstLine="240"/>
              <w:jc w:val="center"/>
              <w:rPr>
                <w:rFonts w:ascii="Times New Roman" w:eastAsia="Times New Roman" w:hAnsi="Times New Roman" w:cs="Times New Roman"/>
                <w:color w:val="1A1C1E"/>
                <w:kern w:val="0"/>
                <w:szCs w:val="24"/>
                <w:lang w:eastAsia="en-IN"/>
                <w14:ligatures w14:val="none"/>
              </w:rPr>
            </w:pPr>
            <w:r w:rsidRPr="00CE7183">
              <w:rPr>
                <w:rFonts w:ascii="Times New Roman" w:eastAsia="Times New Roman" w:hAnsi="Times New Roman" w:cs="Times New Roman"/>
                <w:color w:val="1A1C1E"/>
                <w:kern w:val="0"/>
                <w:szCs w:val="24"/>
                <w:lang w:eastAsia="en-IN"/>
                <w14:ligatures w14:val="none"/>
              </w:rPr>
              <w:t>7</w:t>
            </w:r>
          </w:p>
        </w:tc>
      </w:tr>
      <w:tr w:rsidR="0098240D" w:rsidRPr="00CE7183" w14:paraId="129C03CF" w14:textId="77777777" w:rsidTr="0098240D">
        <w:trPr>
          <w:trHeight w:val="337"/>
        </w:trPr>
        <w:tc>
          <w:tcPr>
            <w:tcW w:w="2508" w:type="dxa"/>
            <w:tcBorders>
              <w:top w:val="nil"/>
              <w:left w:val="single" w:sz="4" w:space="0" w:color="auto"/>
              <w:bottom w:val="single" w:sz="4" w:space="0" w:color="auto"/>
              <w:right w:val="single" w:sz="4" w:space="0" w:color="auto"/>
            </w:tcBorders>
            <w:shd w:val="clear" w:color="000000" w:fill="FFFFFF"/>
            <w:vAlign w:val="center"/>
            <w:hideMark/>
          </w:tcPr>
          <w:p w14:paraId="49AE7245" w14:textId="77777777" w:rsidR="0098240D" w:rsidRPr="00CE7183" w:rsidRDefault="0098240D" w:rsidP="00B77C0B">
            <w:pPr>
              <w:spacing w:after="0" w:line="240" w:lineRule="auto"/>
              <w:ind w:firstLineChars="100" w:firstLine="240"/>
              <w:rPr>
                <w:rFonts w:ascii="Times New Roman" w:eastAsia="Times New Roman" w:hAnsi="Times New Roman" w:cs="Times New Roman"/>
                <w:color w:val="1A1C1E"/>
                <w:kern w:val="0"/>
                <w:szCs w:val="24"/>
                <w:lang w:eastAsia="en-IN"/>
                <w14:ligatures w14:val="none"/>
              </w:rPr>
            </w:pPr>
            <w:r w:rsidRPr="00CE7183">
              <w:rPr>
                <w:rFonts w:ascii="Times New Roman" w:eastAsia="Times New Roman" w:hAnsi="Times New Roman" w:cs="Times New Roman"/>
                <w:color w:val="1A1C1E"/>
                <w:kern w:val="0"/>
                <w:szCs w:val="24"/>
                <w:lang w:eastAsia="en-IN"/>
                <w14:ligatures w14:val="none"/>
              </w:rPr>
              <w:t>Rajasthan</w:t>
            </w:r>
          </w:p>
        </w:tc>
        <w:tc>
          <w:tcPr>
            <w:tcW w:w="1572" w:type="dxa"/>
            <w:tcBorders>
              <w:top w:val="nil"/>
              <w:left w:val="nil"/>
              <w:bottom w:val="single" w:sz="4" w:space="0" w:color="auto"/>
              <w:right w:val="single" w:sz="4" w:space="0" w:color="auto"/>
            </w:tcBorders>
            <w:shd w:val="clear" w:color="000000" w:fill="FFFFFF"/>
            <w:vAlign w:val="center"/>
            <w:hideMark/>
          </w:tcPr>
          <w:p w14:paraId="44628DDE" w14:textId="77777777" w:rsidR="0098240D" w:rsidRPr="00CE7183" w:rsidRDefault="0098240D" w:rsidP="00CE7183">
            <w:pPr>
              <w:spacing w:after="0" w:line="240" w:lineRule="auto"/>
              <w:ind w:firstLineChars="100" w:firstLine="240"/>
              <w:jc w:val="center"/>
              <w:rPr>
                <w:rFonts w:ascii="Times New Roman" w:eastAsia="Times New Roman" w:hAnsi="Times New Roman" w:cs="Times New Roman"/>
                <w:color w:val="1A1C1E"/>
                <w:kern w:val="0"/>
                <w:szCs w:val="24"/>
                <w:lang w:eastAsia="en-IN"/>
                <w14:ligatures w14:val="none"/>
              </w:rPr>
            </w:pPr>
            <w:r w:rsidRPr="00CE7183">
              <w:rPr>
                <w:rFonts w:ascii="Times New Roman" w:eastAsia="Times New Roman" w:hAnsi="Times New Roman" w:cs="Times New Roman"/>
                <w:color w:val="1A1C1E"/>
                <w:kern w:val="0"/>
                <w:szCs w:val="24"/>
                <w:lang w:eastAsia="en-IN"/>
                <w14:ligatures w14:val="none"/>
              </w:rPr>
              <w:t>12</w:t>
            </w:r>
          </w:p>
        </w:tc>
        <w:tc>
          <w:tcPr>
            <w:tcW w:w="1389" w:type="dxa"/>
            <w:tcBorders>
              <w:top w:val="nil"/>
              <w:left w:val="nil"/>
              <w:bottom w:val="single" w:sz="4" w:space="0" w:color="auto"/>
              <w:right w:val="single" w:sz="4" w:space="0" w:color="auto"/>
            </w:tcBorders>
            <w:shd w:val="clear" w:color="000000" w:fill="FFFFFF"/>
            <w:vAlign w:val="center"/>
            <w:hideMark/>
          </w:tcPr>
          <w:p w14:paraId="13E95E75" w14:textId="77777777" w:rsidR="0098240D" w:rsidRPr="00CE7183" w:rsidRDefault="0098240D" w:rsidP="00CE7183">
            <w:pPr>
              <w:spacing w:after="0" w:line="240" w:lineRule="auto"/>
              <w:ind w:firstLineChars="100" w:firstLine="240"/>
              <w:jc w:val="center"/>
              <w:rPr>
                <w:rFonts w:ascii="Times New Roman" w:eastAsia="Times New Roman" w:hAnsi="Times New Roman" w:cs="Times New Roman"/>
                <w:color w:val="1A1C1E"/>
                <w:kern w:val="0"/>
                <w:szCs w:val="24"/>
                <w:lang w:eastAsia="en-IN"/>
                <w14:ligatures w14:val="none"/>
              </w:rPr>
            </w:pPr>
            <w:r w:rsidRPr="00CE7183">
              <w:rPr>
                <w:rFonts w:ascii="Times New Roman" w:eastAsia="Times New Roman" w:hAnsi="Times New Roman" w:cs="Times New Roman"/>
                <w:color w:val="1A1C1E"/>
                <w:kern w:val="0"/>
                <w:szCs w:val="24"/>
                <w:lang w:eastAsia="en-IN"/>
                <w14:ligatures w14:val="none"/>
              </w:rPr>
              <w:t>7</w:t>
            </w:r>
          </w:p>
        </w:tc>
        <w:tc>
          <w:tcPr>
            <w:tcW w:w="1462" w:type="dxa"/>
            <w:tcBorders>
              <w:top w:val="nil"/>
              <w:left w:val="nil"/>
              <w:bottom w:val="single" w:sz="4" w:space="0" w:color="auto"/>
              <w:right w:val="single" w:sz="4" w:space="0" w:color="auto"/>
            </w:tcBorders>
            <w:shd w:val="clear" w:color="000000" w:fill="FFFFFF"/>
            <w:vAlign w:val="center"/>
            <w:hideMark/>
          </w:tcPr>
          <w:p w14:paraId="7AD97C0D" w14:textId="77777777" w:rsidR="0098240D" w:rsidRPr="00CE7183" w:rsidRDefault="0098240D" w:rsidP="00CE7183">
            <w:pPr>
              <w:spacing w:after="0" w:line="240" w:lineRule="auto"/>
              <w:ind w:firstLineChars="100" w:firstLine="240"/>
              <w:jc w:val="center"/>
              <w:rPr>
                <w:rFonts w:ascii="Times New Roman" w:eastAsia="Times New Roman" w:hAnsi="Times New Roman" w:cs="Times New Roman"/>
                <w:color w:val="1A1C1E"/>
                <w:kern w:val="0"/>
                <w:szCs w:val="24"/>
                <w:lang w:eastAsia="en-IN"/>
                <w14:ligatures w14:val="none"/>
              </w:rPr>
            </w:pPr>
            <w:r w:rsidRPr="00CE7183">
              <w:rPr>
                <w:rFonts w:ascii="Times New Roman" w:eastAsia="Times New Roman" w:hAnsi="Times New Roman" w:cs="Times New Roman"/>
                <w:color w:val="1A1C1E"/>
                <w:kern w:val="0"/>
                <w:szCs w:val="24"/>
                <w:lang w:eastAsia="en-IN"/>
                <w14:ligatures w14:val="none"/>
              </w:rPr>
              <w:t>7</w:t>
            </w:r>
          </w:p>
        </w:tc>
        <w:tc>
          <w:tcPr>
            <w:tcW w:w="1958" w:type="dxa"/>
            <w:tcBorders>
              <w:top w:val="nil"/>
              <w:left w:val="nil"/>
              <w:bottom w:val="single" w:sz="4" w:space="0" w:color="auto"/>
              <w:right w:val="single" w:sz="4" w:space="0" w:color="auto"/>
            </w:tcBorders>
            <w:shd w:val="clear" w:color="000000" w:fill="FFFFFF"/>
            <w:vAlign w:val="center"/>
            <w:hideMark/>
          </w:tcPr>
          <w:p w14:paraId="0478FEDB" w14:textId="77777777" w:rsidR="0098240D" w:rsidRPr="00CE7183" w:rsidRDefault="0098240D" w:rsidP="00CE7183">
            <w:pPr>
              <w:spacing w:after="0" w:line="240" w:lineRule="auto"/>
              <w:ind w:firstLineChars="100" w:firstLine="240"/>
              <w:jc w:val="center"/>
              <w:rPr>
                <w:rFonts w:ascii="Times New Roman" w:eastAsia="Times New Roman" w:hAnsi="Times New Roman" w:cs="Times New Roman"/>
                <w:color w:val="1A1C1E"/>
                <w:kern w:val="0"/>
                <w:szCs w:val="24"/>
                <w:lang w:eastAsia="en-IN"/>
                <w14:ligatures w14:val="none"/>
              </w:rPr>
            </w:pPr>
            <w:r w:rsidRPr="00CE7183">
              <w:rPr>
                <w:rFonts w:ascii="Times New Roman" w:eastAsia="Times New Roman" w:hAnsi="Times New Roman" w:cs="Times New Roman"/>
                <w:color w:val="1A1C1E"/>
                <w:kern w:val="0"/>
                <w:szCs w:val="24"/>
                <w:lang w:eastAsia="en-IN"/>
                <w14:ligatures w14:val="none"/>
              </w:rPr>
              <w:t>8</w:t>
            </w:r>
          </w:p>
        </w:tc>
        <w:tc>
          <w:tcPr>
            <w:tcW w:w="2362" w:type="dxa"/>
            <w:tcBorders>
              <w:top w:val="nil"/>
              <w:left w:val="nil"/>
              <w:bottom w:val="single" w:sz="4" w:space="0" w:color="auto"/>
              <w:right w:val="single" w:sz="4" w:space="0" w:color="auto"/>
            </w:tcBorders>
            <w:shd w:val="clear" w:color="000000" w:fill="FFFFFF"/>
            <w:vAlign w:val="center"/>
            <w:hideMark/>
          </w:tcPr>
          <w:p w14:paraId="30D5BC0D" w14:textId="77777777" w:rsidR="0098240D" w:rsidRPr="00CE7183" w:rsidRDefault="0098240D" w:rsidP="00CE7183">
            <w:pPr>
              <w:spacing w:after="0" w:line="240" w:lineRule="auto"/>
              <w:ind w:firstLineChars="100" w:firstLine="240"/>
              <w:jc w:val="center"/>
              <w:rPr>
                <w:rFonts w:ascii="Times New Roman" w:eastAsia="Times New Roman" w:hAnsi="Times New Roman" w:cs="Times New Roman"/>
                <w:color w:val="1A1C1E"/>
                <w:kern w:val="0"/>
                <w:szCs w:val="24"/>
                <w:lang w:eastAsia="en-IN"/>
                <w14:ligatures w14:val="none"/>
              </w:rPr>
            </w:pPr>
            <w:r w:rsidRPr="00CE7183">
              <w:rPr>
                <w:rFonts w:ascii="Times New Roman" w:eastAsia="Times New Roman" w:hAnsi="Times New Roman" w:cs="Times New Roman"/>
                <w:color w:val="1A1C1E"/>
                <w:kern w:val="0"/>
                <w:szCs w:val="24"/>
                <w:lang w:eastAsia="en-IN"/>
                <w14:ligatures w14:val="none"/>
              </w:rPr>
              <w:t>N.A.</w:t>
            </w:r>
          </w:p>
        </w:tc>
      </w:tr>
      <w:tr w:rsidR="0098240D" w:rsidRPr="00CE7183" w14:paraId="6ACD81F3" w14:textId="77777777" w:rsidTr="0098240D">
        <w:trPr>
          <w:trHeight w:val="232"/>
        </w:trPr>
        <w:tc>
          <w:tcPr>
            <w:tcW w:w="2508" w:type="dxa"/>
            <w:tcBorders>
              <w:top w:val="nil"/>
              <w:left w:val="single" w:sz="4" w:space="0" w:color="auto"/>
              <w:bottom w:val="single" w:sz="4" w:space="0" w:color="auto"/>
              <w:right w:val="single" w:sz="4" w:space="0" w:color="auto"/>
            </w:tcBorders>
            <w:shd w:val="clear" w:color="000000" w:fill="FFFFFF"/>
            <w:vAlign w:val="center"/>
            <w:hideMark/>
          </w:tcPr>
          <w:p w14:paraId="064AE1D0" w14:textId="77777777" w:rsidR="0098240D" w:rsidRPr="00CE7183" w:rsidRDefault="0098240D" w:rsidP="00B77C0B">
            <w:pPr>
              <w:spacing w:after="0" w:line="240" w:lineRule="auto"/>
              <w:ind w:firstLineChars="100" w:firstLine="240"/>
              <w:rPr>
                <w:rFonts w:ascii="Times New Roman" w:eastAsia="Times New Roman" w:hAnsi="Times New Roman" w:cs="Times New Roman"/>
                <w:color w:val="1A1C1E"/>
                <w:kern w:val="0"/>
                <w:szCs w:val="24"/>
                <w:lang w:eastAsia="en-IN"/>
                <w14:ligatures w14:val="none"/>
              </w:rPr>
            </w:pPr>
            <w:r w:rsidRPr="00CE7183">
              <w:rPr>
                <w:rFonts w:ascii="Times New Roman" w:eastAsia="Times New Roman" w:hAnsi="Times New Roman" w:cs="Times New Roman"/>
                <w:color w:val="1A1C1E"/>
                <w:kern w:val="0"/>
                <w:szCs w:val="24"/>
                <w:lang w:eastAsia="en-IN"/>
                <w14:ligatures w14:val="none"/>
              </w:rPr>
              <w:t>Tamil Nadu</w:t>
            </w:r>
          </w:p>
        </w:tc>
        <w:tc>
          <w:tcPr>
            <w:tcW w:w="1572" w:type="dxa"/>
            <w:tcBorders>
              <w:top w:val="nil"/>
              <w:left w:val="nil"/>
              <w:bottom w:val="single" w:sz="4" w:space="0" w:color="auto"/>
              <w:right w:val="single" w:sz="4" w:space="0" w:color="auto"/>
            </w:tcBorders>
            <w:shd w:val="clear" w:color="000000" w:fill="FFFFFF"/>
            <w:vAlign w:val="center"/>
            <w:hideMark/>
          </w:tcPr>
          <w:p w14:paraId="01C5923A" w14:textId="77777777" w:rsidR="0098240D" w:rsidRPr="00CE7183" w:rsidRDefault="0098240D" w:rsidP="00CE7183">
            <w:pPr>
              <w:spacing w:after="0" w:line="240" w:lineRule="auto"/>
              <w:ind w:firstLineChars="100" w:firstLine="240"/>
              <w:jc w:val="center"/>
              <w:rPr>
                <w:rFonts w:ascii="Times New Roman" w:eastAsia="Times New Roman" w:hAnsi="Times New Roman" w:cs="Times New Roman"/>
                <w:color w:val="1A1C1E"/>
                <w:kern w:val="0"/>
                <w:szCs w:val="24"/>
                <w:lang w:eastAsia="en-IN"/>
                <w14:ligatures w14:val="none"/>
              </w:rPr>
            </w:pPr>
            <w:r w:rsidRPr="00CE7183">
              <w:rPr>
                <w:rFonts w:ascii="Times New Roman" w:eastAsia="Times New Roman" w:hAnsi="Times New Roman" w:cs="Times New Roman"/>
                <w:color w:val="1A1C1E"/>
                <w:kern w:val="0"/>
                <w:szCs w:val="24"/>
                <w:lang w:eastAsia="en-IN"/>
                <w14:ligatures w14:val="none"/>
              </w:rPr>
              <w:t>10(c)</w:t>
            </w:r>
          </w:p>
        </w:tc>
        <w:tc>
          <w:tcPr>
            <w:tcW w:w="1389" w:type="dxa"/>
            <w:tcBorders>
              <w:top w:val="nil"/>
              <w:left w:val="nil"/>
              <w:bottom w:val="single" w:sz="4" w:space="0" w:color="auto"/>
              <w:right w:val="single" w:sz="4" w:space="0" w:color="auto"/>
            </w:tcBorders>
            <w:shd w:val="clear" w:color="000000" w:fill="FFFFFF"/>
            <w:vAlign w:val="center"/>
            <w:hideMark/>
          </w:tcPr>
          <w:p w14:paraId="13876E40" w14:textId="77777777" w:rsidR="0098240D" w:rsidRPr="00CE7183" w:rsidRDefault="0098240D" w:rsidP="00CE7183">
            <w:pPr>
              <w:spacing w:after="0" w:line="240" w:lineRule="auto"/>
              <w:ind w:firstLineChars="100" w:firstLine="240"/>
              <w:jc w:val="center"/>
              <w:rPr>
                <w:rFonts w:ascii="Times New Roman" w:eastAsia="Times New Roman" w:hAnsi="Times New Roman" w:cs="Times New Roman"/>
                <w:color w:val="1A1C1E"/>
                <w:kern w:val="0"/>
                <w:szCs w:val="24"/>
                <w:lang w:eastAsia="en-IN"/>
                <w14:ligatures w14:val="none"/>
              </w:rPr>
            </w:pPr>
            <w:r w:rsidRPr="00CE7183">
              <w:rPr>
                <w:rFonts w:ascii="Times New Roman" w:eastAsia="Times New Roman" w:hAnsi="Times New Roman" w:cs="Times New Roman"/>
                <w:color w:val="1A1C1E"/>
                <w:kern w:val="0"/>
                <w:szCs w:val="24"/>
                <w:lang w:eastAsia="en-IN"/>
                <w14:ligatures w14:val="none"/>
              </w:rPr>
              <w:t>10</w:t>
            </w:r>
          </w:p>
        </w:tc>
        <w:tc>
          <w:tcPr>
            <w:tcW w:w="1462" w:type="dxa"/>
            <w:tcBorders>
              <w:top w:val="nil"/>
              <w:left w:val="nil"/>
              <w:bottom w:val="single" w:sz="4" w:space="0" w:color="auto"/>
              <w:right w:val="single" w:sz="4" w:space="0" w:color="auto"/>
            </w:tcBorders>
            <w:shd w:val="clear" w:color="000000" w:fill="FFFFFF"/>
            <w:vAlign w:val="center"/>
            <w:hideMark/>
          </w:tcPr>
          <w:p w14:paraId="4D9D430D" w14:textId="77777777" w:rsidR="0098240D" w:rsidRPr="00CE7183" w:rsidRDefault="0098240D" w:rsidP="00CE7183">
            <w:pPr>
              <w:spacing w:after="0" w:line="240" w:lineRule="auto"/>
              <w:ind w:firstLineChars="100" w:firstLine="240"/>
              <w:jc w:val="center"/>
              <w:rPr>
                <w:rFonts w:ascii="Times New Roman" w:eastAsia="Times New Roman" w:hAnsi="Times New Roman" w:cs="Times New Roman"/>
                <w:color w:val="1A1C1E"/>
                <w:kern w:val="0"/>
                <w:szCs w:val="24"/>
                <w:lang w:eastAsia="en-IN"/>
                <w14:ligatures w14:val="none"/>
              </w:rPr>
            </w:pPr>
            <w:r w:rsidRPr="00CE7183">
              <w:rPr>
                <w:rFonts w:ascii="Times New Roman" w:eastAsia="Times New Roman" w:hAnsi="Times New Roman" w:cs="Times New Roman"/>
                <w:color w:val="1A1C1E"/>
                <w:kern w:val="0"/>
                <w:szCs w:val="24"/>
                <w:lang w:eastAsia="en-IN"/>
                <w14:ligatures w14:val="none"/>
              </w:rPr>
              <w:t>10</w:t>
            </w:r>
          </w:p>
        </w:tc>
        <w:tc>
          <w:tcPr>
            <w:tcW w:w="1958" w:type="dxa"/>
            <w:tcBorders>
              <w:top w:val="nil"/>
              <w:left w:val="nil"/>
              <w:bottom w:val="single" w:sz="4" w:space="0" w:color="auto"/>
              <w:right w:val="single" w:sz="4" w:space="0" w:color="auto"/>
            </w:tcBorders>
            <w:shd w:val="clear" w:color="000000" w:fill="FFFFFF"/>
            <w:vAlign w:val="center"/>
            <w:hideMark/>
          </w:tcPr>
          <w:p w14:paraId="2522243D" w14:textId="77777777" w:rsidR="0098240D" w:rsidRPr="00CE7183" w:rsidRDefault="0098240D" w:rsidP="00CE7183">
            <w:pPr>
              <w:spacing w:after="0" w:line="240" w:lineRule="auto"/>
              <w:ind w:firstLineChars="100" w:firstLine="240"/>
              <w:jc w:val="center"/>
              <w:rPr>
                <w:rFonts w:ascii="Times New Roman" w:eastAsia="Times New Roman" w:hAnsi="Times New Roman" w:cs="Times New Roman"/>
                <w:color w:val="1A1C1E"/>
                <w:kern w:val="0"/>
                <w:szCs w:val="24"/>
                <w:lang w:eastAsia="en-IN"/>
                <w14:ligatures w14:val="none"/>
              </w:rPr>
            </w:pPr>
            <w:r w:rsidRPr="00CE7183">
              <w:rPr>
                <w:rFonts w:ascii="Times New Roman" w:eastAsia="Times New Roman" w:hAnsi="Times New Roman" w:cs="Times New Roman"/>
                <w:color w:val="1A1C1E"/>
                <w:kern w:val="0"/>
                <w:szCs w:val="24"/>
                <w:lang w:eastAsia="en-IN"/>
                <w14:ligatures w14:val="none"/>
              </w:rPr>
              <w:t>10</w:t>
            </w:r>
          </w:p>
        </w:tc>
        <w:tc>
          <w:tcPr>
            <w:tcW w:w="2362" w:type="dxa"/>
            <w:tcBorders>
              <w:top w:val="nil"/>
              <w:left w:val="nil"/>
              <w:bottom w:val="single" w:sz="4" w:space="0" w:color="auto"/>
              <w:right w:val="single" w:sz="4" w:space="0" w:color="auto"/>
            </w:tcBorders>
            <w:shd w:val="clear" w:color="000000" w:fill="FFFFFF"/>
            <w:vAlign w:val="center"/>
            <w:hideMark/>
          </w:tcPr>
          <w:p w14:paraId="29D4FBD2" w14:textId="77777777" w:rsidR="0098240D" w:rsidRPr="00CE7183" w:rsidRDefault="0098240D" w:rsidP="00CE7183">
            <w:pPr>
              <w:spacing w:after="0" w:line="240" w:lineRule="auto"/>
              <w:ind w:firstLineChars="100" w:firstLine="240"/>
              <w:jc w:val="center"/>
              <w:rPr>
                <w:rFonts w:ascii="Times New Roman" w:eastAsia="Times New Roman" w:hAnsi="Times New Roman" w:cs="Times New Roman"/>
                <w:color w:val="1A1C1E"/>
                <w:kern w:val="0"/>
                <w:szCs w:val="24"/>
                <w:lang w:eastAsia="en-IN"/>
                <w14:ligatures w14:val="none"/>
              </w:rPr>
            </w:pPr>
            <w:r w:rsidRPr="00CE7183">
              <w:rPr>
                <w:rFonts w:ascii="Times New Roman" w:eastAsia="Times New Roman" w:hAnsi="Times New Roman" w:cs="Times New Roman"/>
                <w:color w:val="1A1C1E"/>
                <w:kern w:val="0"/>
                <w:szCs w:val="24"/>
                <w:lang w:eastAsia="en-IN"/>
                <w14:ligatures w14:val="none"/>
              </w:rPr>
              <w:t>2</w:t>
            </w:r>
          </w:p>
        </w:tc>
      </w:tr>
      <w:tr w:rsidR="0098240D" w:rsidRPr="00CE7183" w14:paraId="6337A53F" w14:textId="77777777" w:rsidTr="0098240D">
        <w:trPr>
          <w:trHeight w:val="442"/>
        </w:trPr>
        <w:tc>
          <w:tcPr>
            <w:tcW w:w="2508" w:type="dxa"/>
            <w:tcBorders>
              <w:top w:val="nil"/>
              <w:left w:val="single" w:sz="4" w:space="0" w:color="auto"/>
              <w:bottom w:val="single" w:sz="4" w:space="0" w:color="auto"/>
              <w:right w:val="single" w:sz="4" w:space="0" w:color="auto"/>
            </w:tcBorders>
            <w:shd w:val="clear" w:color="000000" w:fill="FFFFFF"/>
            <w:vAlign w:val="center"/>
            <w:hideMark/>
          </w:tcPr>
          <w:p w14:paraId="68FF3F3C" w14:textId="77777777" w:rsidR="0098240D" w:rsidRPr="00CE7183" w:rsidRDefault="0098240D" w:rsidP="00B77C0B">
            <w:pPr>
              <w:spacing w:after="0" w:line="240" w:lineRule="auto"/>
              <w:ind w:firstLineChars="100" w:firstLine="240"/>
              <w:rPr>
                <w:rFonts w:ascii="Times New Roman" w:eastAsia="Times New Roman" w:hAnsi="Times New Roman" w:cs="Times New Roman"/>
                <w:color w:val="1A1C1E"/>
                <w:kern w:val="0"/>
                <w:szCs w:val="24"/>
                <w:lang w:eastAsia="en-IN"/>
                <w14:ligatures w14:val="none"/>
              </w:rPr>
            </w:pPr>
            <w:r w:rsidRPr="00CE7183">
              <w:rPr>
                <w:rFonts w:ascii="Times New Roman" w:eastAsia="Times New Roman" w:hAnsi="Times New Roman" w:cs="Times New Roman"/>
                <w:color w:val="1A1C1E"/>
                <w:kern w:val="0"/>
                <w:szCs w:val="24"/>
                <w:lang w:eastAsia="en-IN"/>
                <w14:ligatures w14:val="none"/>
              </w:rPr>
              <w:t>Uttar Pradesh</w:t>
            </w:r>
          </w:p>
        </w:tc>
        <w:tc>
          <w:tcPr>
            <w:tcW w:w="1572" w:type="dxa"/>
            <w:tcBorders>
              <w:top w:val="nil"/>
              <w:left w:val="nil"/>
              <w:bottom w:val="single" w:sz="4" w:space="0" w:color="auto"/>
              <w:right w:val="single" w:sz="4" w:space="0" w:color="auto"/>
            </w:tcBorders>
            <w:shd w:val="clear" w:color="000000" w:fill="FFFFFF"/>
            <w:vAlign w:val="center"/>
            <w:hideMark/>
          </w:tcPr>
          <w:p w14:paraId="2329D9A9" w14:textId="77777777" w:rsidR="0098240D" w:rsidRPr="00CE7183" w:rsidRDefault="0098240D" w:rsidP="00CE7183">
            <w:pPr>
              <w:spacing w:after="0" w:line="240" w:lineRule="auto"/>
              <w:ind w:firstLineChars="100" w:firstLine="240"/>
              <w:jc w:val="center"/>
              <w:rPr>
                <w:rFonts w:ascii="Times New Roman" w:eastAsia="Times New Roman" w:hAnsi="Times New Roman" w:cs="Times New Roman"/>
                <w:color w:val="1A1C1E"/>
                <w:kern w:val="0"/>
                <w:szCs w:val="24"/>
                <w:lang w:eastAsia="en-IN"/>
                <w14:ligatures w14:val="none"/>
              </w:rPr>
            </w:pPr>
            <w:r w:rsidRPr="00CE7183">
              <w:rPr>
                <w:rFonts w:ascii="Times New Roman" w:eastAsia="Times New Roman" w:hAnsi="Times New Roman" w:cs="Times New Roman"/>
                <w:color w:val="1A1C1E"/>
                <w:kern w:val="0"/>
                <w:szCs w:val="24"/>
                <w:lang w:eastAsia="en-IN"/>
                <w14:ligatures w14:val="none"/>
              </w:rPr>
              <w:t>9</w:t>
            </w:r>
          </w:p>
        </w:tc>
        <w:tc>
          <w:tcPr>
            <w:tcW w:w="1389" w:type="dxa"/>
            <w:tcBorders>
              <w:top w:val="nil"/>
              <w:left w:val="nil"/>
              <w:bottom w:val="single" w:sz="4" w:space="0" w:color="auto"/>
              <w:right w:val="single" w:sz="4" w:space="0" w:color="auto"/>
            </w:tcBorders>
            <w:shd w:val="clear" w:color="000000" w:fill="FFFFFF"/>
            <w:vAlign w:val="center"/>
            <w:hideMark/>
          </w:tcPr>
          <w:p w14:paraId="178FDB59" w14:textId="77777777" w:rsidR="0098240D" w:rsidRPr="00CE7183" w:rsidRDefault="0098240D" w:rsidP="00CE7183">
            <w:pPr>
              <w:spacing w:after="0" w:line="240" w:lineRule="auto"/>
              <w:ind w:firstLineChars="100" w:firstLine="240"/>
              <w:jc w:val="center"/>
              <w:rPr>
                <w:rFonts w:ascii="Times New Roman" w:eastAsia="Times New Roman" w:hAnsi="Times New Roman" w:cs="Times New Roman"/>
                <w:color w:val="1A1C1E"/>
                <w:kern w:val="0"/>
                <w:szCs w:val="24"/>
                <w:lang w:eastAsia="en-IN"/>
                <w14:ligatures w14:val="none"/>
              </w:rPr>
            </w:pPr>
            <w:r w:rsidRPr="00CE7183">
              <w:rPr>
                <w:rFonts w:ascii="Times New Roman" w:eastAsia="Times New Roman" w:hAnsi="Times New Roman" w:cs="Times New Roman"/>
                <w:color w:val="1A1C1E"/>
                <w:kern w:val="0"/>
                <w:szCs w:val="24"/>
                <w:lang w:eastAsia="en-IN"/>
                <w14:ligatures w14:val="none"/>
              </w:rPr>
              <w:t>7</w:t>
            </w:r>
          </w:p>
        </w:tc>
        <w:tc>
          <w:tcPr>
            <w:tcW w:w="1462" w:type="dxa"/>
            <w:tcBorders>
              <w:top w:val="nil"/>
              <w:left w:val="nil"/>
              <w:bottom w:val="single" w:sz="4" w:space="0" w:color="auto"/>
              <w:right w:val="single" w:sz="4" w:space="0" w:color="auto"/>
            </w:tcBorders>
            <w:shd w:val="clear" w:color="000000" w:fill="FFFFFF"/>
            <w:vAlign w:val="center"/>
            <w:hideMark/>
          </w:tcPr>
          <w:p w14:paraId="04DEAC98" w14:textId="77777777" w:rsidR="0098240D" w:rsidRPr="00CE7183" w:rsidRDefault="0098240D" w:rsidP="00CE7183">
            <w:pPr>
              <w:spacing w:after="0" w:line="240" w:lineRule="auto"/>
              <w:ind w:firstLineChars="100" w:firstLine="240"/>
              <w:jc w:val="center"/>
              <w:rPr>
                <w:rFonts w:ascii="Times New Roman" w:eastAsia="Times New Roman" w:hAnsi="Times New Roman" w:cs="Times New Roman"/>
                <w:color w:val="1A1C1E"/>
                <w:kern w:val="0"/>
                <w:szCs w:val="24"/>
                <w:lang w:eastAsia="en-IN"/>
                <w14:ligatures w14:val="none"/>
              </w:rPr>
            </w:pPr>
            <w:r w:rsidRPr="00CE7183">
              <w:rPr>
                <w:rFonts w:ascii="Times New Roman" w:eastAsia="Times New Roman" w:hAnsi="Times New Roman" w:cs="Times New Roman"/>
                <w:color w:val="1A1C1E"/>
                <w:kern w:val="0"/>
                <w:szCs w:val="24"/>
                <w:lang w:eastAsia="en-IN"/>
                <w14:ligatures w14:val="none"/>
              </w:rPr>
              <w:t>7</w:t>
            </w:r>
          </w:p>
        </w:tc>
        <w:tc>
          <w:tcPr>
            <w:tcW w:w="1958" w:type="dxa"/>
            <w:tcBorders>
              <w:top w:val="nil"/>
              <w:left w:val="nil"/>
              <w:bottom w:val="single" w:sz="4" w:space="0" w:color="auto"/>
              <w:right w:val="single" w:sz="4" w:space="0" w:color="auto"/>
            </w:tcBorders>
            <w:shd w:val="clear" w:color="000000" w:fill="FFFFFF"/>
            <w:vAlign w:val="center"/>
            <w:hideMark/>
          </w:tcPr>
          <w:p w14:paraId="6D8FECBA" w14:textId="77777777" w:rsidR="0098240D" w:rsidRPr="00CE7183" w:rsidRDefault="0098240D" w:rsidP="00CE7183">
            <w:pPr>
              <w:spacing w:after="0" w:line="240" w:lineRule="auto"/>
              <w:ind w:firstLineChars="100" w:firstLine="240"/>
              <w:jc w:val="center"/>
              <w:rPr>
                <w:rFonts w:ascii="Times New Roman" w:eastAsia="Times New Roman" w:hAnsi="Times New Roman" w:cs="Times New Roman"/>
                <w:color w:val="1A1C1E"/>
                <w:kern w:val="0"/>
                <w:szCs w:val="24"/>
                <w:lang w:eastAsia="en-IN"/>
                <w14:ligatures w14:val="none"/>
              </w:rPr>
            </w:pPr>
            <w:r w:rsidRPr="00CE7183">
              <w:rPr>
                <w:rFonts w:ascii="Times New Roman" w:eastAsia="Times New Roman" w:hAnsi="Times New Roman" w:cs="Times New Roman"/>
                <w:color w:val="1A1C1E"/>
                <w:kern w:val="0"/>
                <w:szCs w:val="24"/>
                <w:lang w:eastAsia="en-IN"/>
                <w14:ligatures w14:val="none"/>
              </w:rPr>
              <w:t>N.A.</w:t>
            </w:r>
          </w:p>
        </w:tc>
        <w:tc>
          <w:tcPr>
            <w:tcW w:w="2362" w:type="dxa"/>
            <w:tcBorders>
              <w:top w:val="nil"/>
              <w:left w:val="nil"/>
              <w:bottom w:val="single" w:sz="4" w:space="0" w:color="auto"/>
              <w:right w:val="single" w:sz="4" w:space="0" w:color="auto"/>
            </w:tcBorders>
            <w:shd w:val="clear" w:color="000000" w:fill="FFFFFF"/>
            <w:vAlign w:val="center"/>
            <w:hideMark/>
          </w:tcPr>
          <w:p w14:paraId="45798D89" w14:textId="77777777" w:rsidR="0098240D" w:rsidRPr="00CE7183" w:rsidRDefault="0098240D" w:rsidP="00CE7183">
            <w:pPr>
              <w:spacing w:after="0" w:line="240" w:lineRule="auto"/>
              <w:ind w:firstLineChars="100" w:firstLine="240"/>
              <w:jc w:val="center"/>
              <w:rPr>
                <w:rFonts w:ascii="Times New Roman" w:eastAsia="Times New Roman" w:hAnsi="Times New Roman" w:cs="Times New Roman"/>
                <w:color w:val="1A1C1E"/>
                <w:kern w:val="0"/>
                <w:szCs w:val="24"/>
                <w:lang w:eastAsia="en-IN"/>
                <w14:ligatures w14:val="none"/>
              </w:rPr>
            </w:pPr>
            <w:r w:rsidRPr="00CE7183">
              <w:rPr>
                <w:rFonts w:ascii="Times New Roman" w:eastAsia="Times New Roman" w:hAnsi="Times New Roman" w:cs="Times New Roman"/>
                <w:color w:val="1A1C1E"/>
                <w:kern w:val="0"/>
                <w:szCs w:val="24"/>
                <w:lang w:eastAsia="en-IN"/>
                <w14:ligatures w14:val="none"/>
              </w:rPr>
              <w:t>N.A.</w:t>
            </w:r>
          </w:p>
        </w:tc>
      </w:tr>
      <w:tr w:rsidR="0098240D" w:rsidRPr="00CE7183" w14:paraId="12E7EB49" w14:textId="77777777" w:rsidTr="0098240D">
        <w:trPr>
          <w:trHeight w:val="232"/>
        </w:trPr>
        <w:tc>
          <w:tcPr>
            <w:tcW w:w="2508" w:type="dxa"/>
            <w:tcBorders>
              <w:top w:val="nil"/>
              <w:left w:val="single" w:sz="4" w:space="0" w:color="auto"/>
              <w:bottom w:val="single" w:sz="4" w:space="0" w:color="auto"/>
              <w:right w:val="single" w:sz="4" w:space="0" w:color="auto"/>
            </w:tcBorders>
            <w:shd w:val="clear" w:color="000000" w:fill="FFFFFF"/>
            <w:vAlign w:val="center"/>
            <w:hideMark/>
          </w:tcPr>
          <w:p w14:paraId="68CB51FA" w14:textId="77777777" w:rsidR="0098240D" w:rsidRPr="00CE7183" w:rsidRDefault="0098240D" w:rsidP="00B77C0B">
            <w:pPr>
              <w:spacing w:after="0" w:line="240" w:lineRule="auto"/>
              <w:ind w:firstLineChars="100" w:firstLine="240"/>
              <w:rPr>
                <w:rFonts w:ascii="Times New Roman" w:eastAsia="Times New Roman" w:hAnsi="Times New Roman" w:cs="Times New Roman"/>
                <w:color w:val="1A1C1E"/>
                <w:kern w:val="0"/>
                <w:szCs w:val="24"/>
                <w:lang w:eastAsia="en-IN"/>
                <w14:ligatures w14:val="none"/>
              </w:rPr>
            </w:pPr>
            <w:r w:rsidRPr="00CE7183">
              <w:rPr>
                <w:rFonts w:ascii="Times New Roman" w:eastAsia="Times New Roman" w:hAnsi="Times New Roman" w:cs="Times New Roman"/>
                <w:color w:val="1A1C1E"/>
                <w:kern w:val="0"/>
                <w:szCs w:val="24"/>
                <w:lang w:eastAsia="en-IN"/>
                <w14:ligatures w14:val="none"/>
              </w:rPr>
              <w:t>West Bengal</w:t>
            </w:r>
          </w:p>
        </w:tc>
        <w:tc>
          <w:tcPr>
            <w:tcW w:w="1572" w:type="dxa"/>
            <w:tcBorders>
              <w:top w:val="nil"/>
              <w:left w:val="nil"/>
              <w:bottom w:val="single" w:sz="4" w:space="0" w:color="auto"/>
              <w:right w:val="single" w:sz="4" w:space="0" w:color="auto"/>
            </w:tcBorders>
            <w:shd w:val="clear" w:color="000000" w:fill="FFFFFF"/>
            <w:vAlign w:val="center"/>
            <w:hideMark/>
          </w:tcPr>
          <w:p w14:paraId="5B14D9D5" w14:textId="77777777" w:rsidR="0098240D" w:rsidRPr="00CE7183" w:rsidRDefault="0098240D" w:rsidP="00CE7183">
            <w:pPr>
              <w:spacing w:after="0" w:line="240" w:lineRule="auto"/>
              <w:ind w:firstLineChars="100" w:firstLine="240"/>
              <w:jc w:val="center"/>
              <w:rPr>
                <w:rFonts w:ascii="Times New Roman" w:eastAsia="Times New Roman" w:hAnsi="Times New Roman" w:cs="Times New Roman"/>
                <w:color w:val="1A1C1E"/>
                <w:kern w:val="0"/>
                <w:szCs w:val="24"/>
                <w:lang w:eastAsia="en-IN"/>
                <w14:ligatures w14:val="none"/>
              </w:rPr>
            </w:pPr>
            <w:r w:rsidRPr="00CE7183">
              <w:rPr>
                <w:rFonts w:ascii="Times New Roman" w:eastAsia="Times New Roman" w:hAnsi="Times New Roman" w:cs="Times New Roman"/>
                <w:color w:val="1A1C1E"/>
                <w:kern w:val="0"/>
                <w:szCs w:val="24"/>
                <w:lang w:eastAsia="en-IN"/>
                <w14:ligatures w14:val="none"/>
              </w:rPr>
              <w:t>9(f)</w:t>
            </w:r>
          </w:p>
        </w:tc>
        <w:tc>
          <w:tcPr>
            <w:tcW w:w="1389" w:type="dxa"/>
            <w:tcBorders>
              <w:top w:val="nil"/>
              <w:left w:val="nil"/>
              <w:bottom w:val="single" w:sz="4" w:space="0" w:color="auto"/>
              <w:right w:val="single" w:sz="4" w:space="0" w:color="auto"/>
            </w:tcBorders>
            <w:shd w:val="clear" w:color="000000" w:fill="FFFFFF"/>
            <w:vAlign w:val="center"/>
            <w:hideMark/>
          </w:tcPr>
          <w:p w14:paraId="49F59D71" w14:textId="77777777" w:rsidR="0098240D" w:rsidRPr="00CE7183" w:rsidRDefault="0098240D" w:rsidP="00CE7183">
            <w:pPr>
              <w:spacing w:after="0" w:line="240" w:lineRule="auto"/>
              <w:ind w:firstLineChars="100" w:firstLine="240"/>
              <w:jc w:val="center"/>
              <w:rPr>
                <w:rFonts w:ascii="Times New Roman" w:eastAsia="Times New Roman" w:hAnsi="Times New Roman" w:cs="Times New Roman"/>
                <w:color w:val="1A1C1E"/>
                <w:kern w:val="0"/>
                <w:szCs w:val="24"/>
                <w:lang w:eastAsia="en-IN"/>
                <w14:ligatures w14:val="none"/>
              </w:rPr>
            </w:pPr>
            <w:r w:rsidRPr="00CE7183">
              <w:rPr>
                <w:rFonts w:ascii="Times New Roman" w:eastAsia="Times New Roman" w:hAnsi="Times New Roman" w:cs="Times New Roman"/>
                <w:color w:val="1A1C1E"/>
                <w:kern w:val="0"/>
                <w:szCs w:val="24"/>
                <w:lang w:eastAsia="en-IN"/>
                <w14:ligatures w14:val="none"/>
              </w:rPr>
              <w:t>N.A.</w:t>
            </w:r>
          </w:p>
        </w:tc>
        <w:tc>
          <w:tcPr>
            <w:tcW w:w="1462" w:type="dxa"/>
            <w:tcBorders>
              <w:top w:val="nil"/>
              <w:left w:val="nil"/>
              <w:bottom w:val="single" w:sz="4" w:space="0" w:color="auto"/>
              <w:right w:val="single" w:sz="4" w:space="0" w:color="auto"/>
            </w:tcBorders>
            <w:shd w:val="clear" w:color="000000" w:fill="FFFFFF"/>
            <w:vAlign w:val="center"/>
            <w:hideMark/>
          </w:tcPr>
          <w:p w14:paraId="6EA5C274" w14:textId="77777777" w:rsidR="0098240D" w:rsidRPr="00CE7183" w:rsidRDefault="0098240D" w:rsidP="00CE7183">
            <w:pPr>
              <w:spacing w:after="0" w:line="240" w:lineRule="auto"/>
              <w:ind w:firstLineChars="100" w:firstLine="240"/>
              <w:jc w:val="center"/>
              <w:rPr>
                <w:rFonts w:ascii="Times New Roman" w:eastAsia="Times New Roman" w:hAnsi="Times New Roman" w:cs="Times New Roman"/>
                <w:color w:val="1A1C1E"/>
                <w:kern w:val="0"/>
                <w:szCs w:val="24"/>
                <w:lang w:eastAsia="en-IN"/>
                <w14:ligatures w14:val="none"/>
              </w:rPr>
            </w:pPr>
            <w:r w:rsidRPr="00CE7183">
              <w:rPr>
                <w:rFonts w:ascii="Times New Roman" w:eastAsia="Times New Roman" w:hAnsi="Times New Roman" w:cs="Times New Roman"/>
                <w:color w:val="1A1C1E"/>
                <w:kern w:val="0"/>
                <w:szCs w:val="24"/>
                <w:lang w:eastAsia="en-IN"/>
                <w14:ligatures w14:val="none"/>
              </w:rPr>
              <w:t>N.A.</w:t>
            </w:r>
          </w:p>
        </w:tc>
        <w:tc>
          <w:tcPr>
            <w:tcW w:w="1958" w:type="dxa"/>
            <w:tcBorders>
              <w:top w:val="nil"/>
              <w:left w:val="nil"/>
              <w:bottom w:val="single" w:sz="4" w:space="0" w:color="auto"/>
              <w:right w:val="single" w:sz="4" w:space="0" w:color="auto"/>
            </w:tcBorders>
            <w:shd w:val="clear" w:color="000000" w:fill="FFFFFF"/>
            <w:vAlign w:val="center"/>
            <w:hideMark/>
          </w:tcPr>
          <w:p w14:paraId="6821C424" w14:textId="77777777" w:rsidR="0098240D" w:rsidRPr="00CE7183" w:rsidRDefault="0098240D" w:rsidP="00CE7183">
            <w:pPr>
              <w:spacing w:after="0" w:line="240" w:lineRule="auto"/>
              <w:ind w:firstLineChars="100" w:firstLine="240"/>
              <w:jc w:val="center"/>
              <w:rPr>
                <w:rFonts w:ascii="Times New Roman" w:eastAsia="Times New Roman" w:hAnsi="Times New Roman" w:cs="Times New Roman"/>
                <w:color w:val="1A1C1E"/>
                <w:kern w:val="0"/>
                <w:szCs w:val="24"/>
                <w:lang w:eastAsia="en-IN"/>
                <w14:ligatures w14:val="none"/>
              </w:rPr>
            </w:pPr>
            <w:r w:rsidRPr="00CE7183">
              <w:rPr>
                <w:rFonts w:ascii="Times New Roman" w:eastAsia="Times New Roman" w:hAnsi="Times New Roman" w:cs="Times New Roman"/>
                <w:color w:val="1A1C1E"/>
                <w:kern w:val="0"/>
                <w:szCs w:val="24"/>
                <w:lang w:eastAsia="en-IN"/>
                <w14:ligatures w14:val="none"/>
              </w:rPr>
              <w:t>N.A.</w:t>
            </w:r>
          </w:p>
        </w:tc>
        <w:tc>
          <w:tcPr>
            <w:tcW w:w="2362" w:type="dxa"/>
            <w:tcBorders>
              <w:top w:val="nil"/>
              <w:left w:val="nil"/>
              <w:bottom w:val="single" w:sz="4" w:space="0" w:color="auto"/>
              <w:right w:val="single" w:sz="4" w:space="0" w:color="auto"/>
            </w:tcBorders>
            <w:shd w:val="clear" w:color="000000" w:fill="FFFFFF"/>
            <w:vAlign w:val="center"/>
            <w:hideMark/>
          </w:tcPr>
          <w:p w14:paraId="726E7769" w14:textId="77777777" w:rsidR="0098240D" w:rsidRPr="00CE7183" w:rsidRDefault="0098240D" w:rsidP="00CE7183">
            <w:pPr>
              <w:spacing w:after="0" w:line="240" w:lineRule="auto"/>
              <w:ind w:firstLineChars="100" w:firstLine="240"/>
              <w:jc w:val="center"/>
              <w:rPr>
                <w:rFonts w:ascii="Times New Roman" w:eastAsia="Times New Roman" w:hAnsi="Times New Roman" w:cs="Times New Roman"/>
                <w:color w:val="1A1C1E"/>
                <w:kern w:val="0"/>
                <w:szCs w:val="24"/>
                <w:lang w:eastAsia="en-IN"/>
                <w14:ligatures w14:val="none"/>
              </w:rPr>
            </w:pPr>
            <w:r w:rsidRPr="00CE7183">
              <w:rPr>
                <w:rFonts w:ascii="Times New Roman" w:eastAsia="Times New Roman" w:hAnsi="Times New Roman" w:cs="Times New Roman"/>
                <w:color w:val="1A1C1E"/>
                <w:kern w:val="0"/>
                <w:szCs w:val="24"/>
                <w:lang w:eastAsia="en-IN"/>
                <w14:ligatures w14:val="none"/>
              </w:rPr>
              <w:t>N.A.</w:t>
            </w:r>
          </w:p>
        </w:tc>
      </w:tr>
    </w:tbl>
    <w:p w14:paraId="663A17F9" w14:textId="77777777" w:rsidR="0098240D" w:rsidRPr="007245B0" w:rsidRDefault="0098240D" w:rsidP="0098240D">
      <w:pPr>
        <w:spacing w:after="0"/>
        <w:rPr>
          <w:rFonts w:ascii="Times New Roman" w:hAnsi="Times New Roman" w:cs="Times New Roman"/>
          <w:szCs w:val="24"/>
        </w:rPr>
      </w:pPr>
    </w:p>
    <w:p w14:paraId="5DB69E19" w14:textId="77777777" w:rsidR="0098240D" w:rsidRPr="007245B0" w:rsidRDefault="0098240D" w:rsidP="00CE7183">
      <w:pPr>
        <w:pStyle w:val="Sources"/>
      </w:pPr>
      <w:r w:rsidRPr="007245B0">
        <w:t>Source: Information supplied by State Governments to the Fifth Finance Commission.</w:t>
      </w:r>
    </w:p>
    <w:p w14:paraId="41DBFB79" w14:textId="77777777" w:rsidR="0098240D" w:rsidRPr="007245B0" w:rsidRDefault="0098240D" w:rsidP="00CE7183">
      <w:pPr>
        <w:pStyle w:val="Sources"/>
      </w:pPr>
      <w:r w:rsidRPr="007245B0">
        <w:t>(a) Diesel oil N.O.S.</w:t>
      </w:r>
    </w:p>
    <w:p w14:paraId="2F4B3B5B" w14:textId="77777777" w:rsidR="0098240D" w:rsidRPr="007245B0" w:rsidRDefault="0098240D" w:rsidP="00CE7183">
      <w:pPr>
        <w:pStyle w:val="Sources"/>
      </w:pPr>
      <w:r w:rsidRPr="007245B0">
        <w:t>(b) At the point of first sale on motor spirit other than petrol. Petrol is liable to tax at 15 per cent at the point of first sale.</w:t>
      </w:r>
    </w:p>
    <w:p w14:paraId="7430E933" w14:textId="77777777" w:rsidR="0098240D" w:rsidRPr="007245B0" w:rsidRDefault="0098240D" w:rsidP="00CE7183">
      <w:pPr>
        <w:pStyle w:val="Sources"/>
      </w:pPr>
      <w:r w:rsidRPr="007245B0">
        <w:t>(c) Motor spirit other than petrol and diesel or aviation fuel is 2 paise per litre.</w:t>
      </w:r>
    </w:p>
    <w:p w14:paraId="136F2CE3" w14:textId="77777777" w:rsidR="0098240D" w:rsidRPr="007245B0" w:rsidRDefault="0098240D" w:rsidP="00CE7183">
      <w:pPr>
        <w:pStyle w:val="Sources"/>
      </w:pPr>
      <w:r w:rsidRPr="007245B0">
        <w:t>(d) Motor spirit other than petrol 8 paise per litre.</w:t>
      </w:r>
    </w:p>
    <w:p w14:paraId="2B19AE8C" w14:textId="77777777" w:rsidR="0098240D" w:rsidRPr="007245B0" w:rsidRDefault="0098240D" w:rsidP="00CE7183">
      <w:pPr>
        <w:pStyle w:val="Sources"/>
      </w:pPr>
      <w:r w:rsidRPr="007245B0">
        <w:t>(e) Except for diesel oil and internal combustion oil other than petrol.</w:t>
      </w:r>
    </w:p>
    <w:p w14:paraId="1349FF8A" w14:textId="2B9EDD74" w:rsidR="0098240D" w:rsidRPr="007245B0" w:rsidRDefault="0098240D" w:rsidP="00CE7183">
      <w:pPr>
        <w:pStyle w:val="Sources"/>
      </w:pPr>
      <w:r w:rsidRPr="007245B0">
        <w:t>(</w:t>
      </w:r>
      <w:r w:rsidR="00FC26AB">
        <w:t>f</w:t>
      </w:r>
      <w:r w:rsidRPr="007245B0">
        <w:t>)</w:t>
      </w:r>
      <w:r w:rsidR="00FC26AB">
        <w:t xml:space="preserve"> </w:t>
      </w:r>
      <w:r w:rsidRPr="007245B0">
        <w:t>On motor spirit which has a flashing point at or above 24 4 degrees centi-grade. On other motor spirit    12 paise per litre.</w:t>
      </w:r>
    </w:p>
    <w:p w14:paraId="18DCF9F9" w14:textId="77777777" w:rsidR="0098240D" w:rsidRPr="007245B0" w:rsidRDefault="0098240D" w:rsidP="00CE7183">
      <w:pPr>
        <w:pStyle w:val="Sources"/>
      </w:pPr>
      <w:r w:rsidRPr="007245B0">
        <w:t xml:space="preserve">(g)Aviation turbine fuel at 6 paise per litre. </w:t>
      </w:r>
    </w:p>
    <w:p w14:paraId="706E78B5" w14:textId="77777777" w:rsidR="0098240D" w:rsidRPr="007245B0" w:rsidRDefault="0098240D" w:rsidP="00CE7183">
      <w:pPr>
        <w:pStyle w:val="Sources"/>
      </w:pPr>
      <w:r w:rsidRPr="007245B0">
        <w:t xml:space="preserve">(h)Motor spirit other than petrol, diesel oil, aviation spirit and aviation turbine fuel is 7 paise per litre. </w:t>
      </w:r>
    </w:p>
    <w:p w14:paraId="59199AE2" w14:textId="77777777" w:rsidR="0098240D" w:rsidRPr="007245B0" w:rsidRDefault="0098240D" w:rsidP="00CE7183">
      <w:pPr>
        <w:pStyle w:val="Sources"/>
      </w:pPr>
      <w:r w:rsidRPr="007245B0">
        <w:t>(i) 5 paise per litre for turbine fuel also.</w:t>
      </w:r>
    </w:p>
    <w:p w14:paraId="05A2718F" w14:textId="75C26975" w:rsidR="0098240D" w:rsidRPr="007245B0" w:rsidRDefault="0098240D">
      <w:pPr>
        <w:rPr>
          <w:rFonts w:ascii="Times New Roman" w:hAnsi="Times New Roman" w:cs="Times New Roman"/>
          <w:b/>
          <w:bCs/>
        </w:rPr>
      </w:pPr>
      <w:r w:rsidRPr="007245B0">
        <w:rPr>
          <w:rFonts w:ascii="Times New Roman" w:hAnsi="Times New Roman" w:cs="Times New Roman"/>
          <w:b/>
          <w:bCs/>
        </w:rPr>
        <w:br w:type="page"/>
      </w:r>
    </w:p>
    <w:p w14:paraId="65856C2C" w14:textId="77777777" w:rsidR="0098240D" w:rsidRPr="007245B0" w:rsidRDefault="0098240D" w:rsidP="00E51E56">
      <w:pPr>
        <w:rPr>
          <w:rFonts w:ascii="Times New Roman" w:hAnsi="Times New Roman" w:cs="Times New Roman"/>
          <w:b/>
          <w:bCs/>
        </w:rPr>
        <w:sectPr w:rsidR="0098240D" w:rsidRPr="007245B0" w:rsidSect="00D75175">
          <w:pgSz w:w="12240" w:h="15840"/>
          <w:pgMar w:top="992" w:right="1440" w:bottom="1440" w:left="1440" w:header="720" w:footer="720" w:gutter="0"/>
          <w:cols w:space="720"/>
        </w:sectPr>
      </w:pPr>
    </w:p>
    <w:p w14:paraId="586F09BC" w14:textId="77777777" w:rsidR="00D67840" w:rsidRDefault="00D67840">
      <w:pPr>
        <w:rPr>
          <w:rFonts w:ascii="Times New Roman" w:eastAsiaTheme="majorEastAsia" w:hAnsi="Times New Roman" w:cs="Times New Roman"/>
          <w:b/>
          <w:bCs/>
        </w:rPr>
      </w:pPr>
      <w:r>
        <w:lastRenderedPageBreak/>
        <w:br w:type="page"/>
      </w:r>
    </w:p>
    <w:p w14:paraId="4ACDFB4E" w14:textId="314700C9" w:rsidR="00CE7183" w:rsidRPr="00D97953" w:rsidRDefault="00574BCE" w:rsidP="00CE7183">
      <w:pPr>
        <w:pStyle w:val="Heading4"/>
      </w:pPr>
      <w:bookmarkStart w:id="96" w:name="_Toc220949702"/>
      <w:bookmarkStart w:id="97" w:name="_Toc221114302"/>
      <w:bookmarkStart w:id="98" w:name="_Toc221115325"/>
      <w:r>
        <w:lastRenderedPageBreak/>
        <w:t>Table</w:t>
      </w:r>
      <w:r w:rsidR="0098240D" w:rsidRPr="00D97953">
        <w:t xml:space="preserve"> 22: Average Rates of Electricity Supply and Electricity Duty</w:t>
      </w:r>
      <w:bookmarkEnd w:id="96"/>
      <w:bookmarkEnd w:id="97"/>
      <w:bookmarkEnd w:id="98"/>
    </w:p>
    <w:p w14:paraId="181163BF" w14:textId="4ED56006" w:rsidR="0098240D" w:rsidRPr="00D97953" w:rsidRDefault="0098240D" w:rsidP="00CE7183">
      <w:pPr>
        <w:spacing w:after="0"/>
        <w:jc w:val="right"/>
        <w:rPr>
          <w:rFonts w:ascii="Times New Roman" w:hAnsi="Times New Roman" w:cs="Times New Roman"/>
          <w:i/>
          <w:iCs/>
          <w:szCs w:val="24"/>
        </w:rPr>
      </w:pPr>
      <w:r w:rsidRPr="00D97953">
        <w:rPr>
          <w:rFonts w:ascii="Times New Roman" w:hAnsi="Times New Roman" w:cs="Times New Roman"/>
          <w:i/>
          <w:iCs/>
          <w:szCs w:val="24"/>
        </w:rPr>
        <w:t>(Latest available information</w:t>
      </w:r>
      <w:r w:rsidR="00FC26AB" w:rsidRPr="00D97953">
        <w:rPr>
          <w:rFonts w:ascii="Times New Roman" w:hAnsi="Times New Roman" w:cs="Times New Roman"/>
          <w:i/>
          <w:iCs/>
          <w:szCs w:val="24"/>
        </w:rPr>
        <w:t xml:space="preserve">)                                                                        </w:t>
      </w:r>
      <w:r w:rsidR="00D97953" w:rsidRPr="00D97953">
        <w:rPr>
          <w:rFonts w:ascii="Times New Roman" w:hAnsi="Times New Roman" w:cs="Times New Roman"/>
          <w:i/>
          <w:iCs/>
          <w:szCs w:val="24"/>
        </w:rPr>
        <w:tab/>
        <w:t>(</w:t>
      </w:r>
      <w:r w:rsidRPr="00D97953">
        <w:rPr>
          <w:rFonts w:ascii="Times New Roman" w:hAnsi="Times New Roman" w:cs="Times New Roman"/>
          <w:i/>
          <w:iCs/>
          <w:szCs w:val="24"/>
        </w:rPr>
        <w:t>Paise)</w:t>
      </w:r>
    </w:p>
    <w:tbl>
      <w:tblPr>
        <w:tblW w:w="14502" w:type="dxa"/>
        <w:jc w:val="center"/>
        <w:tblLook w:val="04A0" w:firstRow="1" w:lastRow="0" w:firstColumn="1" w:lastColumn="0" w:noHBand="0" w:noVBand="1"/>
      </w:tblPr>
      <w:tblGrid>
        <w:gridCol w:w="2464"/>
        <w:gridCol w:w="608"/>
        <w:gridCol w:w="948"/>
        <w:gridCol w:w="612"/>
        <w:gridCol w:w="1728"/>
        <w:gridCol w:w="948"/>
        <w:gridCol w:w="613"/>
        <w:gridCol w:w="1728"/>
        <w:gridCol w:w="948"/>
        <w:gridCol w:w="612"/>
        <w:gridCol w:w="1728"/>
        <w:gridCol w:w="948"/>
        <w:gridCol w:w="608"/>
        <w:gridCol w:w="9"/>
      </w:tblGrid>
      <w:tr w:rsidR="00EF3F11" w:rsidRPr="00D97953" w14:paraId="003F71B8" w14:textId="77777777" w:rsidTr="00D97953">
        <w:trPr>
          <w:trHeight w:val="20"/>
          <w:jc w:val="center"/>
        </w:trPr>
        <w:tc>
          <w:tcPr>
            <w:tcW w:w="14502" w:type="dxa"/>
            <w:gridSpan w:val="14"/>
            <w:tcBorders>
              <w:top w:val="single" w:sz="4" w:space="0" w:color="auto"/>
              <w:left w:val="single" w:sz="4" w:space="0" w:color="auto"/>
              <w:bottom w:val="single" w:sz="4" w:space="0" w:color="auto"/>
              <w:right w:val="single" w:sz="4" w:space="0" w:color="auto"/>
            </w:tcBorders>
            <w:noWrap/>
            <w:vAlign w:val="center"/>
            <w:hideMark/>
          </w:tcPr>
          <w:p w14:paraId="7C2A5D05" w14:textId="77777777" w:rsidR="00EF3F11" w:rsidRPr="00D97953" w:rsidRDefault="00EF3F11" w:rsidP="00EF3F11">
            <w:pPr>
              <w:spacing w:after="0" w:line="240" w:lineRule="auto"/>
              <w:jc w:val="center"/>
              <w:rPr>
                <w:rFonts w:ascii="Times New Roman" w:eastAsia="Times New Roman" w:hAnsi="Times New Roman" w:cs="Times New Roman"/>
                <w:b/>
                <w:bCs/>
                <w:color w:val="000000"/>
                <w:kern w:val="0"/>
                <w:sz w:val="16"/>
                <w:szCs w:val="16"/>
                <w:lang w:eastAsia="en-IN"/>
                <w14:ligatures w14:val="none"/>
              </w:rPr>
            </w:pPr>
            <w:r w:rsidRPr="00D97953">
              <w:rPr>
                <w:rFonts w:ascii="Times New Roman" w:eastAsia="Times New Roman" w:hAnsi="Times New Roman" w:cs="Times New Roman"/>
                <w:b/>
                <w:bCs/>
                <w:color w:val="000000"/>
                <w:kern w:val="0"/>
                <w:sz w:val="16"/>
                <w:szCs w:val="16"/>
                <w:lang w:eastAsia="en-IN"/>
                <w14:ligatures w14:val="none"/>
              </w:rPr>
              <w:t>Average Rate P/Kwh</w:t>
            </w:r>
          </w:p>
        </w:tc>
      </w:tr>
      <w:tr w:rsidR="00EF3F11" w:rsidRPr="00D97953" w14:paraId="4348785D" w14:textId="77777777" w:rsidTr="00D97953">
        <w:trPr>
          <w:trHeight w:val="20"/>
          <w:jc w:val="center"/>
        </w:trPr>
        <w:tc>
          <w:tcPr>
            <w:tcW w:w="7921" w:type="dxa"/>
            <w:gridSpan w:val="7"/>
            <w:tcBorders>
              <w:top w:val="single" w:sz="4" w:space="0" w:color="auto"/>
              <w:left w:val="single" w:sz="4" w:space="0" w:color="auto"/>
              <w:bottom w:val="single" w:sz="4" w:space="0" w:color="auto"/>
              <w:right w:val="single" w:sz="4" w:space="0" w:color="auto"/>
            </w:tcBorders>
            <w:noWrap/>
            <w:vAlign w:val="center"/>
            <w:hideMark/>
          </w:tcPr>
          <w:p w14:paraId="12884974" w14:textId="77777777" w:rsidR="00EF3F11" w:rsidRPr="00D97953" w:rsidRDefault="00EF3F11" w:rsidP="00EF3F11">
            <w:pPr>
              <w:spacing w:after="0" w:line="240" w:lineRule="auto"/>
              <w:jc w:val="center"/>
              <w:rPr>
                <w:rFonts w:ascii="Times New Roman" w:eastAsia="Times New Roman" w:hAnsi="Times New Roman" w:cs="Times New Roman"/>
                <w:b/>
                <w:bCs/>
                <w:color w:val="000000"/>
                <w:kern w:val="0"/>
                <w:sz w:val="16"/>
                <w:szCs w:val="16"/>
                <w:lang w:eastAsia="en-IN"/>
                <w14:ligatures w14:val="none"/>
              </w:rPr>
            </w:pPr>
            <w:r w:rsidRPr="00D97953">
              <w:rPr>
                <w:rFonts w:ascii="Times New Roman" w:eastAsia="Times New Roman" w:hAnsi="Times New Roman" w:cs="Times New Roman"/>
                <w:b/>
                <w:bCs/>
                <w:color w:val="000000"/>
                <w:kern w:val="0"/>
                <w:sz w:val="16"/>
                <w:szCs w:val="16"/>
                <w:lang w:eastAsia="en-IN"/>
                <w14:ligatures w14:val="none"/>
              </w:rPr>
              <w:t>Domestic</w:t>
            </w:r>
          </w:p>
        </w:tc>
        <w:tc>
          <w:tcPr>
            <w:tcW w:w="6580" w:type="dxa"/>
            <w:gridSpan w:val="7"/>
            <w:tcBorders>
              <w:top w:val="single" w:sz="4" w:space="0" w:color="auto"/>
              <w:left w:val="nil"/>
              <w:bottom w:val="single" w:sz="4" w:space="0" w:color="auto"/>
              <w:right w:val="single" w:sz="4" w:space="0" w:color="auto"/>
            </w:tcBorders>
            <w:noWrap/>
            <w:vAlign w:val="center"/>
            <w:hideMark/>
          </w:tcPr>
          <w:p w14:paraId="11769586" w14:textId="77777777" w:rsidR="00EF3F11" w:rsidRPr="00D97953" w:rsidRDefault="00EF3F11" w:rsidP="00EF3F11">
            <w:pPr>
              <w:spacing w:after="0" w:line="240" w:lineRule="auto"/>
              <w:jc w:val="center"/>
              <w:rPr>
                <w:rFonts w:ascii="Times New Roman" w:eastAsia="Times New Roman" w:hAnsi="Times New Roman" w:cs="Times New Roman"/>
                <w:b/>
                <w:bCs/>
                <w:color w:val="000000"/>
                <w:kern w:val="0"/>
                <w:sz w:val="16"/>
                <w:szCs w:val="16"/>
                <w:lang w:eastAsia="en-IN"/>
                <w14:ligatures w14:val="none"/>
              </w:rPr>
            </w:pPr>
            <w:r w:rsidRPr="00D97953">
              <w:rPr>
                <w:rFonts w:ascii="Times New Roman" w:eastAsia="Times New Roman" w:hAnsi="Times New Roman" w:cs="Times New Roman"/>
                <w:b/>
                <w:bCs/>
                <w:color w:val="000000"/>
                <w:kern w:val="0"/>
                <w:sz w:val="16"/>
                <w:szCs w:val="16"/>
                <w:lang w:eastAsia="en-IN"/>
                <w14:ligatures w14:val="none"/>
              </w:rPr>
              <w:t>COMMERICAL</w:t>
            </w:r>
          </w:p>
        </w:tc>
      </w:tr>
      <w:tr w:rsidR="00EF3F11" w:rsidRPr="00D97953" w14:paraId="63BD537F" w14:textId="77777777" w:rsidTr="00D97953">
        <w:trPr>
          <w:trHeight w:val="20"/>
          <w:jc w:val="center"/>
        </w:trPr>
        <w:tc>
          <w:tcPr>
            <w:tcW w:w="2464" w:type="dxa"/>
            <w:tcBorders>
              <w:top w:val="nil"/>
              <w:left w:val="single" w:sz="4" w:space="0" w:color="auto"/>
              <w:bottom w:val="single" w:sz="4" w:space="0" w:color="auto"/>
              <w:right w:val="single" w:sz="4" w:space="0" w:color="auto"/>
            </w:tcBorders>
            <w:noWrap/>
            <w:vAlign w:val="center"/>
            <w:hideMark/>
          </w:tcPr>
          <w:p w14:paraId="4E3E62E6" w14:textId="77777777" w:rsidR="00EF3F11" w:rsidRPr="00D97953" w:rsidRDefault="00EF3F11" w:rsidP="00EF3F11">
            <w:pPr>
              <w:spacing w:after="0" w:line="240" w:lineRule="auto"/>
              <w:rPr>
                <w:rFonts w:ascii="Aptos" w:eastAsia="Times New Roman" w:hAnsi="Aptos" w:cs="Times New Roman"/>
                <w:b/>
                <w:bCs/>
                <w:color w:val="000000"/>
                <w:kern w:val="0"/>
                <w:sz w:val="16"/>
                <w:szCs w:val="16"/>
                <w:lang w:eastAsia="en-IN"/>
                <w14:ligatures w14:val="none"/>
              </w:rPr>
            </w:pPr>
            <w:r w:rsidRPr="00D97953">
              <w:rPr>
                <w:rFonts w:ascii="Aptos" w:eastAsia="Times New Roman" w:hAnsi="Aptos" w:cs="Times New Roman"/>
                <w:b/>
                <w:bCs/>
                <w:color w:val="000000"/>
                <w:kern w:val="0"/>
                <w:sz w:val="16"/>
                <w:szCs w:val="16"/>
                <w:lang w:eastAsia="en-IN"/>
                <w14:ligatures w14:val="none"/>
              </w:rPr>
              <w:t> </w:t>
            </w:r>
          </w:p>
        </w:tc>
        <w:tc>
          <w:tcPr>
            <w:tcW w:w="2168" w:type="dxa"/>
            <w:gridSpan w:val="3"/>
            <w:tcBorders>
              <w:top w:val="single" w:sz="4" w:space="0" w:color="auto"/>
              <w:left w:val="nil"/>
              <w:bottom w:val="single" w:sz="4" w:space="0" w:color="auto"/>
              <w:right w:val="single" w:sz="4" w:space="0" w:color="auto"/>
            </w:tcBorders>
            <w:noWrap/>
            <w:vAlign w:val="center"/>
            <w:hideMark/>
          </w:tcPr>
          <w:p w14:paraId="4A64E699" w14:textId="77777777" w:rsidR="00EF3F11" w:rsidRPr="00D97953" w:rsidRDefault="00EF3F11" w:rsidP="00EF3F11">
            <w:pPr>
              <w:spacing w:after="0" w:line="240" w:lineRule="auto"/>
              <w:jc w:val="center"/>
              <w:rPr>
                <w:rFonts w:ascii="Times New Roman" w:eastAsia="Times New Roman" w:hAnsi="Times New Roman" w:cs="Times New Roman"/>
                <w:b/>
                <w:bCs/>
                <w:color w:val="000000"/>
                <w:kern w:val="0"/>
                <w:sz w:val="16"/>
                <w:szCs w:val="16"/>
                <w:lang w:eastAsia="en-IN"/>
                <w14:ligatures w14:val="none"/>
              </w:rPr>
            </w:pPr>
            <w:r w:rsidRPr="00D97953">
              <w:rPr>
                <w:rFonts w:ascii="Times New Roman" w:eastAsia="Times New Roman" w:hAnsi="Times New Roman" w:cs="Times New Roman"/>
                <w:b/>
                <w:bCs/>
                <w:color w:val="000000"/>
                <w:kern w:val="0"/>
                <w:sz w:val="16"/>
                <w:szCs w:val="16"/>
                <w:lang w:eastAsia="en-IN"/>
                <w14:ligatures w14:val="none"/>
              </w:rPr>
              <w:t>Lighting (20 kwh/month)</w:t>
            </w:r>
          </w:p>
        </w:tc>
        <w:tc>
          <w:tcPr>
            <w:tcW w:w="3289" w:type="dxa"/>
            <w:gridSpan w:val="3"/>
            <w:tcBorders>
              <w:top w:val="single" w:sz="4" w:space="0" w:color="auto"/>
              <w:left w:val="nil"/>
              <w:bottom w:val="single" w:sz="4" w:space="0" w:color="auto"/>
              <w:right w:val="single" w:sz="4" w:space="0" w:color="auto"/>
            </w:tcBorders>
            <w:noWrap/>
            <w:vAlign w:val="center"/>
            <w:hideMark/>
          </w:tcPr>
          <w:p w14:paraId="1BEF5BA5" w14:textId="77777777" w:rsidR="00EF3F11" w:rsidRPr="00D97953" w:rsidRDefault="00EF3F11" w:rsidP="00EF3F11">
            <w:pPr>
              <w:spacing w:after="0" w:line="240" w:lineRule="auto"/>
              <w:jc w:val="center"/>
              <w:rPr>
                <w:rFonts w:ascii="Times New Roman" w:eastAsia="Times New Roman" w:hAnsi="Times New Roman" w:cs="Times New Roman"/>
                <w:b/>
                <w:bCs/>
                <w:color w:val="000000"/>
                <w:kern w:val="0"/>
                <w:sz w:val="16"/>
                <w:szCs w:val="16"/>
                <w:lang w:eastAsia="en-IN"/>
                <w14:ligatures w14:val="none"/>
              </w:rPr>
            </w:pPr>
            <w:r w:rsidRPr="00D97953">
              <w:rPr>
                <w:rFonts w:ascii="Times New Roman" w:eastAsia="Times New Roman" w:hAnsi="Times New Roman" w:cs="Times New Roman"/>
                <w:b/>
                <w:bCs/>
                <w:color w:val="000000"/>
                <w:kern w:val="0"/>
                <w:sz w:val="16"/>
                <w:szCs w:val="16"/>
                <w:lang w:eastAsia="en-IN"/>
                <w14:ligatures w14:val="none"/>
              </w:rPr>
              <w:t>Heating (100 kwh/month)</w:t>
            </w:r>
          </w:p>
        </w:tc>
        <w:tc>
          <w:tcPr>
            <w:tcW w:w="3288" w:type="dxa"/>
            <w:gridSpan w:val="3"/>
            <w:tcBorders>
              <w:top w:val="single" w:sz="4" w:space="0" w:color="auto"/>
              <w:left w:val="nil"/>
              <w:bottom w:val="single" w:sz="4" w:space="0" w:color="auto"/>
              <w:right w:val="single" w:sz="4" w:space="0" w:color="auto"/>
            </w:tcBorders>
            <w:noWrap/>
            <w:vAlign w:val="center"/>
            <w:hideMark/>
          </w:tcPr>
          <w:p w14:paraId="489B772C" w14:textId="77777777" w:rsidR="00EF3F11" w:rsidRPr="00D97953" w:rsidRDefault="00EF3F11" w:rsidP="00EF3F11">
            <w:pPr>
              <w:spacing w:after="0" w:line="240" w:lineRule="auto"/>
              <w:jc w:val="center"/>
              <w:rPr>
                <w:rFonts w:ascii="Times New Roman" w:eastAsia="Times New Roman" w:hAnsi="Times New Roman" w:cs="Times New Roman"/>
                <w:b/>
                <w:bCs/>
                <w:color w:val="000000"/>
                <w:kern w:val="0"/>
                <w:sz w:val="16"/>
                <w:szCs w:val="16"/>
                <w:lang w:eastAsia="en-IN"/>
                <w14:ligatures w14:val="none"/>
              </w:rPr>
            </w:pPr>
            <w:r w:rsidRPr="00D97953">
              <w:rPr>
                <w:rFonts w:ascii="Times New Roman" w:eastAsia="Times New Roman" w:hAnsi="Times New Roman" w:cs="Times New Roman"/>
                <w:b/>
                <w:bCs/>
                <w:color w:val="000000"/>
                <w:kern w:val="0"/>
                <w:sz w:val="16"/>
                <w:szCs w:val="16"/>
                <w:lang w:eastAsia="en-IN"/>
                <w14:ligatures w14:val="none"/>
              </w:rPr>
              <w:t>Lighting (100 kwh/month)</w:t>
            </w:r>
          </w:p>
        </w:tc>
        <w:tc>
          <w:tcPr>
            <w:tcW w:w="3292" w:type="dxa"/>
            <w:gridSpan w:val="4"/>
            <w:tcBorders>
              <w:top w:val="single" w:sz="4" w:space="0" w:color="auto"/>
              <w:left w:val="nil"/>
              <w:bottom w:val="single" w:sz="4" w:space="0" w:color="auto"/>
              <w:right w:val="single" w:sz="4" w:space="0" w:color="auto"/>
            </w:tcBorders>
            <w:noWrap/>
            <w:vAlign w:val="center"/>
            <w:hideMark/>
          </w:tcPr>
          <w:p w14:paraId="0F37AF99" w14:textId="77777777" w:rsidR="00EF3F11" w:rsidRPr="00D97953" w:rsidRDefault="00EF3F11" w:rsidP="00EF3F11">
            <w:pPr>
              <w:spacing w:after="0" w:line="240" w:lineRule="auto"/>
              <w:jc w:val="center"/>
              <w:rPr>
                <w:rFonts w:ascii="Times New Roman" w:eastAsia="Times New Roman" w:hAnsi="Times New Roman" w:cs="Times New Roman"/>
                <w:b/>
                <w:bCs/>
                <w:color w:val="000000"/>
                <w:kern w:val="0"/>
                <w:sz w:val="16"/>
                <w:szCs w:val="16"/>
                <w:lang w:eastAsia="en-IN"/>
                <w14:ligatures w14:val="none"/>
              </w:rPr>
            </w:pPr>
            <w:r w:rsidRPr="00D97953">
              <w:rPr>
                <w:rFonts w:ascii="Times New Roman" w:eastAsia="Times New Roman" w:hAnsi="Times New Roman" w:cs="Times New Roman"/>
                <w:b/>
                <w:bCs/>
                <w:color w:val="000000"/>
                <w:kern w:val="0"/>
                <w:sz w:val="16"/>
                <w:szCs w:val="16"/>
                <w:lang w:eastAsia="en-IN"/>
                <w14:ligatures w14:val="none"/>
              </w:rPr>
              <w:t>Heating (200 kwh/month)</w:t>
            </w:r>
          </w:p>
        </w:tc>
      </w:tr>
      <w:tr w:rsidR="00EF3F11" w:rsidRPr="00D97953" w14:paraId="2BBF76D9" w14:textId="77777777" w:rsidTr="00D97953">
        <w:trPr>
          <w:gridAfter w:val="1"/>
          <w:wAfter w:w="15" w:type="dxa"/>
          <w:trHeight w:val="20"/>
          <w:jc w:val="center"/>
        </w:trPr>
        <w:tc>
          <w:tcPr>
            <w:tcW w:w="2464" w:type="dxa"/>
            <w:tcBorders>
              <w:top w:val="nil"/>
              <w:left w:val="single" w:sz="4" w:space="0" w:color="auto"/>
              <w:bottom w:val="single" w:sz="4" w:space="0" w:color="auto"/>
              <w:right w:val="single" w:sz="4" w:space="0" w:color="auto"/>
            </w:tcBorders>
            <w:noWrap/>
            <w:vAlign w:val="center"/>
            <w:hideMark/>
          </w:tcPr>
          <w:p w14:paraId="71390B39" w14:textId="77777777" w:rsidR="00EF3F11" w:rsidRPr="00D97953" w:rsidRDefault="00EF3F11" w:rsidP="00EF3F11">
            <w:pPr>
              <w:spacing w:after="0" w:line="240" w:lineRule="auto"/>
              <w:rPr>
                <w:rFonts w:ascii="Aptos" w:eastAsia="Times New Roman" w:hAnsi="Aptos" w:cs="Times New Roman"/>
                <w:b/>
                <w:bCs/>
                <w:color w:val="000000"/>
                <w:kern w:val="0"/>
                <w:sz w:val="16"/>
                <w:szCs w:val="16"/>
                <w:lang w:eastAsia="en-IN"/>
                <w14:ligatures w14:val="none"/>
              </w:rPr>
            </w:pPr>
            <w:r w:rsidRPr="00D97953">
              <w:rPr>
                <w:rFonts w:ascii="Aptos" w:eastAsia="Times New Roman" w:hAnsi="Aptos" w:cs="Times New Roman"/>
                <w:b/>
                <w:bCs/>
                <w:color w:val="000000"/>
                <w:kern w:val="0"/>
                <w:sz w:val="16"/>
                <w:szCs w:val="16"/>
                <w:lang w:eastAsia="en-IN"/>
                <w14:ligatures w14:val="none"/>
              </w:rPr>
              <w:t> </w:t>
            </w:r>
          </w:p>
        </w:tc>
        <w:tc>
          <w:tcPr>
            <w:tcW w:w="608" w:type="dxa"/>
            <w:tcBorders>
              <w:top w:val="nil"/>
              <w:left w:val="nil"/>
              <w:bottom w:val="single" w:sz="4" w:space="0" w:color="auto"/>
              <w:right w:val="single" w:sz="4" w:space="0" w:color="auto"/>
            </w:tcBorders>
            <w:noWrap/>
            <w:vAlign w:val="center"/>
            <w:hideMark/>
          </w:tcPr>
          <w:p w14:paraId="34706C9D" w14:textId="77777777" w:rsidR="00EF3F11" w:rsidRPr="00D97953" w:rsidRDefault="00EF3F11" w:rsidP="00EF3F11">
            <w:pPr>
              <w:spacing w:after="0" w:line="240" w:lineRule="auto"/>
              <w:jc w:val="center"/>
              <w:rPr>
                <w:rFonts w:ascii="Times New Roman" w:eastAsia="Times New Roman" w:hAnsi="Times New Roman" w:cs="Times New Roman"/>
                <w:b/>
                <w:bCs/>
                <w:color w:val="000000"/>
                <w:kern w:val="0"/>
                <w:sz w:val="16"/>
                <w:szCs w:val="16"/>
                <w:lang w:eastAsia="en-IN"/>
                <w14:ligatures w14:val="none"/>
              </w:rPr>
            </w:pPr>
            <w:r w:rsidRPr="00D97953">
              <w:rPr>
                <w:rFonts w:ascii="Times New Roman" w:eastAsia="Times New Roman" w:hAnsi="Times New Roman" w:cs="Times New Roman"/>
                <w:b/>
                <w:bCs/>
                <w:color w:val="000000"/>
                <w:kern w:val="0"/>
                <w:sz w:val="16"/>
                <w:szCs w:val="16"/>
                <w:lang w:eastAsia="en-IN"/>
                <w14:ligatures w14:val="none"/>
              </w:rPr>
              <w:t>Rate</w:t>
            </w:r>
          </w:p>
        </w:tc>
        <w:tc>
          <w:tcPr>
            <w:tcW w:w="948" w:type="dxa"/>
            <w:tcBorders>
              <w:top w:val="nil"/>
              <w:left w:val="nil"/>
              <w:bottom w:val="single" w:sz="4" w:space="0" w:color="auto"/>
              <w:right w:val="single" w:sz="4" w:space="0" w:color="auto"/>
            </w:tcBorders>
            <w:noWrap/>
            <w:vAlign w:val="center"/>
            <w:hideMark/>
          </w:tcPr>
          <w:p w14:paraId="580393E2" w14:textId="77777777" w:rsidR="00EF3F11" w:rsidRPr="00D97953" w:rsidRDefault="00EF3F11" w:rsidP="00EF3F11">
            <w:pPr>
              <w:spacing w:after="0" w:line="240" w:lineRule="auto"/>
              <w:jc w:val="center"/>
              <w:rPr>
                <w:rFonts w:ascii="Times New Roman" w:eastAsia="Times New Roman" w:hAnsi="Times New Roman" w:cs="Times New Roman"/>
                <w:b/>
                <w:bCs/>
                <w:color w:val="000000"/>
                <w:kern w:val="0"/>
                <w:sz w:val="16"/>
                <w:szCs w:val="16"/>
                <w:lang w:eastAsia="en-IN"/>
                <w14:ligatures w14:val="none"/>
              </w:rPr>
            </w:pPr>
            <w:r w:rsidRPr="00D97953">
              <w:rPr>
                <w:rFonts w:ascii="Times New Roman" w:eastAsia="Times New Roman" w:hAnsi="Times New Roman" w:cs="Times New Roman"/>
                <w:b/>
                <w:bCs/>
                <w:color w:val="000000"/>
                <w:kern w:val="0"/>
                <w:sz w:val="16"/>
                <w:szCs w:val="16"/>
                <w:lang w:eastAsia="en-IN"/>
                <w14:ligatures w14:val="none"/>
              </w:rPr>
              <w:t>Duty/Tax</w:t>
            </w:r>
          </w:p>
        </w:tc>
        <w:tc>
          <w:tcPr>
            <w:tcW w:w="610" w:type="dxa"/>
            <w:tcBorders>
              <w:top w:val="nil"/>
              <w:left w:val="nil"/>
              <w:bottom w:val="single" w:sz="4" w:space="0" w:color="auto"/>
              <w:right w:val="single" w:sz="4" w:space="0" w:color="auto"/>
            </w:tcBorders>
            <w:noWrap/>
            <w:vAlign w:val="center"/>
            <w:hideMark/>
          </w:tcPr>
          <w:p w14:paraId="1C4D1E92" w14:textId="77777777" w:rsidR="00EF3F11" w:rsidRPr="00D97953" w:rsidRDefault="00EF3F11" w:rsidP="00EF3F11">
            <w:pPr>
              <w:spacing w:after="0" w:line="240" w:lineRule="auto"/>
              <w:jc w:val="center"/>
              <w:rPr>
                <w:rFonts w:ascii="Times New Roman" w:eastAsia="Times New Roman" w:hAnsi="Times New Roman" w:cs="Times New Roman"/>
                <w:b/>
                <w:bCs/>
                <w:color w:val="000000"/>
                <w:kern w:val="0"/>
                <w:sz w:val="16"/>
                <w:szCs w:val="16"/>
                <w:lang w:eastAsia="en-IN"/>
                <w14:ligatures w14:val="none"/>
              </w:rPr>
            </w:pPr>
            <w:r w:rsidRPr="00D97953">
              <w:rPr>
                <w:rFonts w:ascii="Times New Roman" w:eastAsia="Times New Roman" w:hAnsi="Times New Roman" w:cs="Times New Roman"/>
                <w:b/>
                <w:bCs/>
                <w:color w:val="000000"/>
                <w:kern w:val="0"/>
                <w:sz w:val="16"/>
                <w:szCs w:val="16"/>
                <w:lang w:eastAsia="en-IN"/>
                <w14:ligatures w14:val="none"/>
              </w:rPr>
              <w:t>Total</w:t>
            </w:r>
          </w:p>
        </w:tc>
        <w:tc>
          <w:tcPr>
            <w:tcW w:w="1728" w:type="dxa"/>
            <w:tcBorders>
              <w:top w:val="nil"/>
              <w:left w:val="nil"/>
              <w:bottom w:val="single" w:sz="4" w:space="0" w:color="auto"/>
              <w:right w:val="single" w:sz="4" w:space="0" w:color="auto"/>
            </w:tcBorders>
            <w:noWrap/>
            <w:vAlign w:val="center"/>
            <w:hideMark/>
          </w:tcPr>
          <w:p w14:paraId="559A75DE" w14:textId="77777777" w:rsidR="00EF3F11" w:rsidRPr="00D97953" w:rsidRDefault="00EF3F11" w:rsidP="00EF3F11">
            <w:pPr>
              <w:spacing w:after="0" w:line="240" w:lineRule="auto"/>
              <w:jc w:val="center"/>
              <w:rPr>
                <w:rFonts w:ascii="Times New Roman" w:eastAsia="Times New Roman" w:hAnsi="Times New Roman" w:cs="Times New Roman"/>
                <w:b/>
                <w:bCs/>
                <w:color w:val="000000"/>
                <w:kern w:val="0"/>
                <w:sz w:val="16"/>
                <w:szCs w:val="16"/>
                <w:lang w:eastAsia="en-IN"/>
                <w14:ligatures w14:val="none"/>
              </w:rPr>
            </w:pPr>
            <w:r w:rsidRPr="00D97953">
              <w:rPr>
                <w:rFonts w:ascii="Times New Roman" w:eastAsia="Times New Roman" w:hAnsi="Times New Roman" w:cs="Times New Roman"/>
                <w:b/>
                <w:bCs/>
                <w:color w:val="000000"/>
                <w:kern w:val="0"/>
                <w:sz w:val="16"/>
                <w:szCs w:val="16"/>
                <w:lang w:eastAsia="en-IN"/>
                <w14:ligatures w14:val="none"/>
              </w:rPr>
              <w:t>Rate</w:t>
            </w:r>
          </w:p>
        </w:tc>
        <w:tc>
          <w:tcPr>
            <w:tcW w:w="948" w:type="dxa"/>
            <w:tcBorders>
              <w:top w:val="nil"/>
              <w:left w:val="nil"/>
              <w:bottom w:val="single" w:sz="4" w:space="0" w:color="auto"/>
              <w:right w:val="single" w:sz="4" w:space="0" w:color="auto"/>
            </w:tcBorders>
            <w:noWrap/>
            <w:vAlign w:val="center"/>
            <w:hideMark/>
          </w:tcPr>
          <w:p w14:paraId="21A8B3A5" w14:textId="77777777" w:rsidR="00EF3F11" w:rsidRPr="00D97953" w:rsidRDefault="00EF3F11" w:rsidP="00EF3F11">
            <w:pPr>
              <w:spacing w:after="0" w:line="240" w:lineRule="auto"/>
              <w:jc w:val="center"/>
              <w:rPr>
                <w:rFonts w:ascii="Times New Roman" w:eastAsia="Times New Roman" w:hAnsi="Times New Roman" w:cs="Times New Roman"/>
                <w:b/>
                <w:bCs/>
                <w:color w:val="000000"/>
                <w:kern w:val="0"/>
                <w:sz w:val="16"/>
                <w:szCs w:val="16"/>
                <w:lang w:eastAsia="en-IN"/>
                <w14:ligatures w14:val="none"/>
              </w:rPr>
            </w:pPr>
            <w:r w:rsidRPr="00D97953">
              <w:rPr>
                <w:rFonts w:ascii="Times New Roman" w:eastAsia="Times New Roman" w:hAnsi="Times New Roman" w:cs="Times New Roman"/>
                <w:b/>
                <w:bCs/>
                <w:color w:val="000000"/>
                <w:kern w:val="0"/>
                <w:sz w:val="16"/>
                <w:szCs w:val="16"/>
                <w:lang w:eastAsia="en-IN"/>
                <w14:ligatures w14:val="none"/>
              </w:rPr>
              <w:t>Duty/Tax</w:t>
            </w:r>
          </w:p>
        </w:tc>
        <w:tc>
          <w:tcPr>
            <w:tcW w:w="611" w:type="dxa"/>
            <w:tcBorders>
              <w:top w:val="nil"/>
              <w:left w:val="nil"/>
              <w:bottom w:val="single" w:sz="4" w:space="0" w:color="auto"/>
              <w:right w:val="single" w:sz="4" w:space="0" w:color="auto"/>
            </w:tcBorders>
            <w:noWrap/>
            <w:vAlign w:val="center"/>
            <w:hideMark/>
          </w:tcPr>
          <w:p w14:paraId="60008D4B" w14:textId="77777777" w:rsidR="00EF3F11" w:rsidRPr="00D97953" w:rsidRDefault="00EF3F11" w:rsidP="00EF3F11">
            <w:pPr>
              <w:spacing w:after="0" w:line="240" w:lineRule="auto"/>
              <w:jc w:val="center"/>
              <w:rPr>
                <w:rFonts w:ascii="Times New Roman" w:eastAsia="Times New Roman" w:hAnsi="Times New Roman" w:cs="Times New Roman"/>
                <w:b/>
                <w:bCs/>
                <w:color w:val="000000"/>
                <w:kern w:val="0"/>
                <w:sz w:val="16"/>
                <w:szCs w:val="16"/>
                <w:lang w:eastAsia="en-IN"/>
                <w14:ligatures w14:val="none"/>
              </w:rPr>
            </w:pPr>
            <w:r w:rsidRPr="00D97953">
              <w:rPr>
                <w:rFonts w:ascii="Times New Roman" w:eastAsia="Times New Roman" w:hAnsi="Times New Roman" w:cs="Times New Roman"/>
                <w:b/>
                <w:bCs/>
                <w:color w:val="000000"/>
                <w:kern w:val="0"/>
                <w:sz w:val="16"/>
                <w:szCs w:val="16"/>
                <w:lang w:eastAsia="en-IN"/>
                <w14:ligatures w14:val="none"/>
              </w:rPr>
              <w:t>Total</w:t>
            </w:r>
          </w:p>
        </w:tc>
        <w:tc>
          <w:tcPr>
            <w:tcW w:w="1728" w:type="dxa"/>
            <w:tcBorders>
              <w:top w:val="nil"/>
              <w:left w:val="nil"/>
              <w:bottom w:val="single" w:sz="4" w:space="0" w:color="auto"/>
              <w:right w:val="single" w:sz="4" w:space="0" w:color="auto"/>
            </w:tcBorders>
            <w:noWrap/>
            <w:vAlign w:val="center"/>
            <w:hideMark/>
          </w:tcPr>
          <w:p w14:paraId="1039539C" w14:textId="77777777" w:rsidR="00EF3F11" w:rsidRPr="00D97953" w:rsidRDefault="00EF3F11" w:rsidP="00EF3F11">
            <w:pPr>
              <w:spacing w:after="0" w:line="240" w:lineRule="auto"/>
              <w:jc w:val="center"/>
              <w:rPr>
                <w:rFonts w:ascii="Times New Roman" w:eastAsia="Times New Roman" w:hAnsi="Times New Roman" w:cs="Times New Roman"/>
                <w:b/>
                <w:bCs/>
                <w:color w:val="000000"/>
                <w:kern w:val="0"/>
                <w:sz w:val="16"/>
                <w:szCs w:val="16"/>
                <w:lang w:eastAsia="en-IN"/>
                <w14:ligatures w14:val="none"/>
              </w:rPr>
            </w:pPr>
            <w:r w:rsidRPr="00D97953">
              <w:rPr>
                <w:rFonts w:ascii="Times New Roman" w:eastAsia="Times New Roman" w:hAnsi="Times New Roman" w:cs="Times New Roman"/>
                <w:b/>
                <w:bCs/>
                <w:color w:val="000000"/>
                <w:kern w:val="0"/>
                <w:sz w:val="16"/>
                <w:szCs w:val="16"/>
                <w:lang w:eastAsia="en-IN"/>
                <w14:ligatures w14:val="none"/>
              </w:rPr>
              <w:t>Rate</w:t>
            </w:r>
          </w:p>
        </w:tc>
        <w:tc>
          <w:tcPr>
            <w:tcW w:w="948" w:type="dxa"/>
            <w:tcBorders>
              <w:top w:val="nil"/>
              <w:left w:val="nil"/>
              <w:bottom w:val="single" w:sz="4" w:space="0" w:color="auto"/>
              <w:right w:val="single" w:sz="4" w:space="0" w:color="auto"/>
            </w:tcBorders>
            <w:noWrap/>
            <w:vAlign w:val="center"/>
            <w:hideMark/>
          </w:tcPr>
          <w:p w14:paraId="02494797" w14:textId="77777777" w:rsidR="00EF3F11" w:rsidRPr="00D97953" w:rsidRDefault="00EF3F11" w:rsidP="00EF3F11">
            <w:pPr>
              <w:spacing w:after="0" w:line="240" w:lineRule="auto"/>
              <w:jc w:val="center"/>
              <w:rPr>
                <w:rFonts w:ascii="Times New Roman" w:eastAsia="Times New Roman" w:hAnsi="Times New Roman" w:cs="Times New Roman"/>
                <w:b/>
                <w:bCs/>
                <w:color w:val="000000"/>
                <w:kern w:val="0"/>
                <w:sz w:val="16"/>
                <w:szCs w:val="16"/>
                <w:lang w:eastAsia="en-IN"/>
                <w14:ligatures w14:val="none"/>
              </w:rPr>
            </w:pPr>
            <w:r w:rsidRPr="00D97953">
              <w:rPr>
                <w:rFonts w:ascii="Times New Roman" w:eastAsia="Times New Roman" w:hAnsi="Times New Roman" w:cs="Times New Roman"/>
                <w:b/>
                <w:bCs/>
                <w:color w:val="000000"/>
                <w:kern w:val="0"/>
                <w:sz w:val="16"/>
                <w:szCs w:val="16"/>
                <w:lang w:eastAsia="en-IN"/>
                <w14:ligatures w14:val="none"/>
              </w:rPr>
              <w:t>Duty/Tax</w:t>
            </w:r>
          </w:p>
        </w:tc>
        <w:tc>
          <w:tcPr>
            <w:tcW w:w="610" w:type="dxa"/>
            <w:tcBorders>
              <w:top w:val="nil"/>
              <w:left w:val="nil"/>
              <w:bottom w:val="single" w:sz="4" w:space="0" w:color="auto"/>
              <w:right w:val="single" w:sz="4" w:space="0" w:color="auto"/>
            </w:tcBorders>
            <w:noWrap/>
            <w:vAlign w:val="center"/>
            <w:hideMark/>
          </w:tcPr>
          <w:p w14:paraId="504C1D02" w14:textId="77777777" w:rsidR="00EF3F11" w:rsidRPr="00D97953" w:rsidRDefault="00EF3F11" w:rsidP="00EF3F11">
            <w:pPr>
              <w:spacing w:after="0" w:line="240" w:lineRule="auto"/>
              <w:jc w:val="center"/>
              <w:rPr>
                <w:rFonts w:ascii="Times New Roman" w:eastAsia="Times New Roman" w:hAnsi="Times New Roman" w:cs="Times New Roman"/>
                <w:b/>
                <w:bCs/>
                <w:color w:val="000000"/>
                <w:kern w:val="0"/>
                <w:sz w:val="16"/>
                <w:szCs w:val="16"/>
                <w:lang w:eastAsia="en-IN"/>
                <w14:ligatures w14:val="none"/>
              </w:rPr>
            </w:pPr>
            <w:r w:rsidRPr="00D97953">
              <w:rPr>
                <w:rFonts w:ascii="Times New Roman" w:eastAsia="Times New Roman" w:hAnsi="Times New Roman" w:cs="Times New Roman"/>
                <w:b/>
                <w:bCs/>
                <w:color w:val="000000"/>
                <w:kern w:val="0"/>
                <w:sz w:val="16"/>
                <w:szCs w:val="16"/>
                <w:lang w:eastAsia="en-IN"/>
                <w14:ligatures w14:val="none"/>
              </w:rPr>
              <w:t>Total</w:t>
            </w:r>
          </w:p>
        </w:tc>
        <w:tc>
          <w:tcPr>
            <w:tcW w:w="1728" w:type="dxa"/>
            <w:tcBorders>
              <w:top w:val="nil"/>
              <w:left w:val="nil"/>
              <w:bottom w:val="single" w:sz="4" w:space="0" w:color="auto"/>
              <w:right w:val="single" w:sz="4" w:space="0" w:color="auto"/>
            </w:tcBorders>
            <w:noWrap/>
            <w:vAlign w:val="center"/>
            <w:hideMark/>
          </w:tcPr>
          <w:p w14:paraId="1301B591" w14:textId="77777777" w:rsidR="00EF3F11" w:rsidRPr="00D97953" w:rsidRDefault="00EF3F11" w:rsidP="00EF3F11">
            <w:pPr>
              <w:spacing w:after="0" w:line="240" w:lineRule="auto"/>
              <w:jc w:val="center"/>
              <w:rPr>
                <w:rFonts w:ascii="Times New Roman" w:eastAsia="Times New Roman" w:hAnsi="Times New Roman" w:cs="Times New Roman"/>
                <w:b/>
                <w:bCs/>
                <w:color w:val="000000"/>
                <w:kern w:val="0"/>
                <w:sz w:val="16"/>
                <w:szCs w:val="16"/>
                <w:lang w:eastAsia="en-IN"/>
                <w14:ligatures w14:val="none"/>
              </w:rPr>
            </w:pPr>
            <w:r w:rsidRPr="00D97953">
              <w:rPr>
                <w:rFonts w:ascii="Times New Roman" w:eastAsia="Times New Roman" w:hAnsi="Times New Roman" w:cs="Times New Roman"/>
                <w:b/>
                <w:bCs/>
                <w:color w:val="000000"/>
                <w:kern w:val="0"/>
                <w:sz w:val="16"/>
                <w:szCs w:val="16"/>
                <w:lang w:eastAsia="en-IN"/>
                <w14:ligatures w14:val="none"/>
              </w:rPr>
              <w:t>Rate</w:t>
            </w:r>
          </w:p>
        </w:tc>
        <w:tc>
          <w:tcPr>
            <w:tcW w:w="948" w:type="dxa"/>
            <w:tcBorders>
              <w:top w:val="nil"/>
              <w:left w:val="nil"/>
              <w:bottom w:val="single" w:sz="4" w:space="0" w:color="auto"/>
              <w:right w:val="single" w:sz="4" w:space="0" w:color="auto"/>
            </w:tcBorders>
            <w:noWrap/>
            <w:vAlign w:val="center"/>
            <w:hideMark/>
          </w:tcPr>
          <w:p w14:paraId="439F2C01" w14:textId="77777777" w:rsidR="00EF3F11" w:rsidRPr="00D97953" w:rsidRDefault="00EF3F11" w:rsidP="00EF3F11">
            <w:pPr>
              <w:spacing w:after="0" w:line="240" w:lineRule="auto"/>
              <w:jc w:val="center"/>
              <w:rPr>
                <w:rFonts w:ascii="Times New Roman" w:eastAsia="Times New Roman" w:hAnsi="Times New Roman" w:cs="Times New Roman"/>
                <w:b/>
                <w:bCs/>
                <w:color w:val="000000"/>
                <w:kern w:val="0"/>
                <w:sz w:val="16"/>
                <w:szCs w:val="16"/>
                <w:lang w:eastAsia="en-IN"/>
                <w14:ligatures w14:val="none"/>
              </w:rPr>
            </w:pPr>
            <w:r w:rsidRPr="00D97953">
              <w:rPr>
                <w:rFonts w:ascii="Times New Roman" w:eastAsia="Times New Roman" w:hAnsi="Times New Roman" w:cs="Times New Roman"/>
                <w:b/>
                <w:bCs/>
                <w:color w:val="000000"/>
                <w:kern w:val="0"/>
                <w:sz w:val="16"/>
                <w:szCs w:val="16"/>
                <w:lang w:eastAsia="en-IN"/>
                <w14:ligatures w14:val="none"/>
              </w:rPr>
              <w:t>Duty/Tax</w:t>
            </w:r>
          </w:p>
        </w:tc>
        <w:tc>
          <w:tcPr>
            <w:tcW w:w="608" w:type="dxa"/>
            <w:tcBorders>
              <w:top w:val="nil"/>
              <w:left w:val="nil"/>
              <w:bottom w:val="single" w:sz="4" w:space="0" w:color="auto"/>
              <w:right w:val="single" w:sz="4" w:space="0" w:color="auto"/>
            </w:tcBorders>
            <w:noWrap/>
            <w:vAlign w:val="center"/>
            <w:hideMark/>
          </w:tcPr>
          <w:p w14:paraId="4C680245" w14:textId="77777777" w:rsidR="00EF3F11" w:rsidRPr="00D97953" w:rsidRDefault="00EF3F11" w:rsidP="00EF3F11">
            <w:pPr>
              <w:spacing w:after="0" w:line="240" w:lineRule="auto"/>
              <w:jc w:val="center"/>
              <w:rPr>
                <w:rFonts w:ascii="Times New Roman" w:eastAsia="Times New Roman" w:hAnsi="Times New Roman" w:cs="Times New Roman"/>
                <w:b/>
                <w:bCs/>
                <w:color w:val="000000"/>
                <w:kern w:val="0"/>
                <w:sz w:val="16"/>
                <w:szCs w:val="16"/>
                <w:lang w:eastAsia="en-IN"/>
                <w14:ligatures w14:val="none"/>
              </w:rPr>
            </w:pPr>
            <w:r w:rsidRPr="00D97953">
              <w:rPr>
                <w:rFonts w:ascii="Times New Roman" w:eastAsia="Times New Roman" w:hAnsi="Times New Roman" w:cs="Times New Roman"/>
                <w:b/>
                <w:bCs/>
                <w:color w:val="000000"/>
                <w:kern w:val="0"/>
                <w:sz w:val="16"/>
                <w:szCs w:val="16"/>
                <w:lang w:eastAsia="en-IN"/>
                <w14:ligatures w14:val="none"/>
              </w:rPr>
              <w:t>Total</w:t>
            </w:r>
          </w:p>
        </w:tc>
      </w:tr>
      <w:tr w:rsidR="00EF3F11" w:rsidRPr="00D97953" w14:paraId="1DE19294" w14:textId="77777777" w:rsidTr="00D97953">
        <w:trPr>
          <w:gridAfter w:val="1"/>
          <w:wAfter w:w="15" w:type="dxa"/>
          <w:trHeight w:val="20"/>
          <w:jc w:val="center"/>
        </w:trPr>
        <w:tc>
          <w:tcPr>
            <w:tcW w:w="2464" w:type="dxa"/>
            <w:tcBorders>
              <w:top w:val="nil"/>
              <w:left w:val="single" w:sz="4" w:space="0" w:color="auto"/>
              <w:bottom w:val="single" w:sz="4" w:space="0" w:color="auto"/>
              <w:right w:val="single" w:sz="4" w:space="0" w:color="auto"/>
            </w:tcBorders>
            <w:noWrap/>
            <w:vAlign w:val="center"/>
            <w:hideMark/>
          </w:tcPr>
          <w:p w14:paraId="6B3F290A" w14:textId="77777777" w:rsidR="00EF3F11" w:rsidRPr="00D97953" w:rsidRDefault="00EF3F11" w:rsidP="00EF3F11">
            <w:pPr>
              <w:spacing w:after="0" w:line="240" w:lineRule="auto"/>
              <w:jc w:val="center"/>
              <w:rPr>
                <w:rFonts w:ascii="Times New Roman" w:eastAsia="Times New Roman" w:hAnsi="Times New Roman" w:cs="Times New Roman"/>
                <w:b/>
                <w:bCs/>
                <w:color w:val="000000"/>
                <w:kern w:val="0"/>
                <w:sz w:val="16"/>
                <w:szCs w:val="16"/>
                <w:lang w:eastAsia="en-IN"/>
                <w14:ligatures w14:val="none"/>
              </w:rPr>
            </w:pPr>
            <w:r w:rsidRPr="00D97953">
              <w:rPr>
                <w:rFonts w:ascii="Times New Roman" w:eastAsia="Times New Roman" w:hAnsi="Times New Roman" w:cs="Times New Roman"/>
                <w:b/>
                <w:bCs/>
                <w:color w:val="000000"/>
                <w:kern w:val="0"/>
                <w:sz w:val="16"/>
                <w:szCs w:val="16"/>
                <w:lang w:eastAsia="en-IN"/>
                <w14:ligatures w14:val="none"/>
              </w:rPr>
              <w:t>1</w:t>
            </w:r>
          </w:p>
        </w:tc>
        <w:tc>
          <w:tcPr>
            <w:tcW w:w="608" w:type="dxa"/>
            <w:tcBorders>
              <w:top w:val="nil"/>
              <w:left w:val="nil"/>
              <w:bottom w:val="single" w:sz="4" w:space="0" w:color="auto"/>
              <w:right w:val="single" w:sz="4" w:space="0" w:color="auto"/>
            </w:tcBorders>
            <w:noWrap/>
            <w:vAlign w:val="center"/>
            <w:hideMark/>
          </w:tcPr>
          <w:p w14:paraId="71164609" w14:textId="77777777" w:rsidR="00EF3F11" w:rsidRPr="00D97953" w:rsidRDefault="00EF3F11" w:rsidP="00EF3F11">
            <w:pPr>
              <w:spacing w:after="0" w:line="240" w:lineRule="auto"/>
              <w:jc w:val="center"/>
              <w:rPr>
                <w:rFonts w:ascii="Times New Roman" w:eastAsia="Times New Roman" w:hAnsi="Times New Roman" w:cs="Times New Roman"/>
                <w:b/>
                <w:bCs/>
                <w:color w:val="000000"/>
                <w:kern w:val="0"/>
                <w:sz w:val="16"/>
                <w:szCs w:val="16"/>
                <w:lang w:eastAsia="en-IN"/>
                <w14:ligatures w14:val="none"/>
              </w:rPr>
            </w:pPr>
            <w:r w:rsidRPr="00D97953">
              <w:rPr>
                <w:rFonts w:ascii="Times New Roman" w:eastAsia="Times New Roman" w:hAnsi="Times New Roman" w:cs="Times New Roman"/>
                <w:b/>
                <w:bCs/>
                <w:color w:val="000000"/>
                <w:kern w:val="0"/>
                <w:sz w:val="16"/>
                <w:szCs w:val="16"/>
                <w:lang w:eastAsia="en-IN"/>
                <w14:ligatures w14:val="none"/>
              </w:rPr>
              <w:t>2</w:t>
            </w:r>
          </w:p>
        </w:tc>
        <w:tc>
          <w:tcPr>
            <w:tcW w:w="948" w:type="dxa"/>
            <w:tcBorders>
              <w:top w:val="nil"/>
              <w:left w:val="nil"/>
              <w:bottom w:val="single" w:sz="4" w:space="0" w:color="auto"/>
              <w:right w:val="single" w:sz="4" w:space="0" w:color="auto"/>
            </w:tcBorders>
            <w:noWrap/>
            <w:vAlign w:val="center"/>
            <w:hideMark/>
          </w:tcPr>
          <w:p w14:paraId="7E89CC90" w14:textId="77777777" w:rsidR="00EF3F11" w:rsidRPr="00D97953" w:rsidRDefault="00EF3F11" w:rsidP="00EF3F11">
            <w:pPr>
              <w:spacing w:after="0" w:line="240" w:lineRule="auto"/>
              <w:jc w:val="center"/>
              <w:rPr>
                <w:rFonts w:ascii="Times New Roman" w:eastAsia="Times New Roman" w:hAnsi="Times New Roman" w:cs="Times New Roman"/>
                <w:b/>
                <w:bCs/>
                <w:color w:val="000000"/>
                <w:kern w:val="0"/>
                <w:sz w:val="16"/>
                <w:szCs w:val="16"/>
                <w:lang w:eastAsia="en-IN"/>
                <w14:ligatures w14:val="none"/>
              </w:rPr>
            </w:pPr>
            <w:r w:rsidRPr="00D97953">
              <w:rPr>
                <w:rFonts w:ascii="Times New Roman" w:eastAsia="Times New Roman" w:hAnsi="Times New Roman" w:cs="Times New Roman"/>
                <w:b/>
                <w:bCs/>
                <w:color w:val="000000"/>
                <w:kern w:val="0"/>
                <w:sz w:val="16"/>
                <w:szCs w:val="16"/>
                <w:lang w:eastAsia="en-IN"/>
                <w14:ligatures w14:val="none"/>
              </w:rPr>
              <w:t>3</w:t>
            </w:r>
          </w:p>
        </w:tc>
        <w:tc>
          <w:tcPr>
            <w:tcW w:w="610" w:type="dxa"/>
            <w:tcBorders>
              <w:top w:val="nil"/>
              <w:left w:val="nil"/>
              <w:bottom w:val="single" w:sz="4" w:space="0" w:color="auto"/>
              <w:right w:val="single" w:sz="4" w:space="0" w:color="auto"/>
            </w:tcBorders>
            <w:noWrap/>
            <w:vAlign w:val="center"/>
            <w:hideMark/>
          </w:tcPr>
          <w:p w14:paraId="0779B5EA" w14:textId="77777777" w:rsidR="00EF3F11" w:rsidRPr="00D97953" w:rsidRDefault="00EF3F11" w:rsidP="00EF3F11">
            <w:pPr>
              <w:spacing w:after="0" w:line="240" w:lineRule="auto"/>
              <w:jc w:val="center"/>
              <w:rPr>
                <w:rFonts w:ascii="Times New Roman" w:eastAsia="Times New Roman" w:hAnsi="Times New Roman" w:cs="Times New Roman"/>
                <w:b/>
                <w:bCs/>
                <w:color w:val="000000"/>
                <w:kern w:val="0"/>
                <w:sz w:val="16"/>
                <w:szCs w:val="16"/>
                <w:lang w:eastAsia="en-IN"/>
                <w14:ligatures w14:val="none"/>
              </w:rPr>
            </w:pPr>
            <w:r w:rsidRPr="00D97953">
              <w:rPr>
                <w:rFonts w:ascii="Times New Roman" w:eastAsia="Times New Roman" w:hAnsi="Times New Roman" w:cs="Times New Roman"/>
                <w:b/>
                <w:bCs/>
                <w:color w:val="000000"/>
                <w:kern w:val="0"/>
                <w:sz w:val="16"/>
                <w:szCs w:val="16"/>
                <w:lang w:eastAsia="en-IN"/>
                <w14:ligatures w14:val="none"/>
              </w:rPr>
              <w:t>4</w:t>
            </w:r>
          </w:p>
        </w:tc>
        <w:tc>
          <w:tcPr>
            <w:tcW w:w="1728" w:type="dxa"/>
            <w:tcBorders>
              <w:top w:val="nil"/>
              <w:left w:val="nil"/>
              <w:bottom w:val="single" w:sz="4" w:space="0" w:color="auto"/>
              <w:right w:val="single" w:sz="4" w:space="0" w:color="auto"/>
            </w:tcBorders>
            <w:noWrap/>
            <w:vAlign w:val="center"/>
            <w:hideMark/>
          </w:tcPr>
          <w:p w14:paraId="63448063" w14:textId="77777777" w:rsidR="00EF3F11" w:rsidRPr="00D97953" w:rsidRDefault="00EF3F11" w:rsidP="00EF3F11">
            <w:pPr>
              <w:spacing w:after="0" w:line="240" w:lineRule="auto"/>
              <w:jc w:val="center"/>
              <w:rPr>
                <w:rFonts w:ascii="Times New Roman" w:eastAsia="Times New Roman" w:hAnsi="Times New Roman" w:cs="Times New Roman"/>
                <w:b/>
                <w:bCs/>
                <w:color w:val="000000"/>
                <w:kern w:val="0"/>
                <w:sz w:val="16"/>
                <w:szCs w:val="16"/>
                <w:lang w:eastAsia="en-IN"/>
                <w14:ligatures w14:val="none"/>
              </w:rPr>
            </w:pPr>
            <w:r w:rsidRPr="00D97953">
              <w:rPr>
                <w:rFonts w:ascii="Times New Roman" w:eastAsia="Times New Roman" w:hAnsi="Times New Roman" w:cs="Times New Roman"/>
                <w:b/>
                <w:bCs/>
                <w:color w:val="000000"/>
                <w:kern w:val="0"/>
                <w:sz w:val="16"/>
                <w:szCs w:val="16"/>
                <w:lang w:eastAsia="en-IN"/>
                <w14:ligatures w14:val="none"/>
              </w:rPr>
              <w:t>5</w:t>
            </w:r>
          </w:p>
        </w:tc>
        <w:tc>
          <w:tcPr>
            <w:tcW w:w="948" w:type="dxa"/>
            <w:tcBorders>
              <w:top w:val="nil"/>
              <w:left w:val="nil"/>
              <w:bottom w:val="single" w:sz="4" w:space="0" w:color="auto"/>
              <w:right w:val="single" w:sz="4" w:space="0" w:color="auto"/>
            </w:tcBorders>
            <w:noWrap/>
            <w:vAlign w:val="center"/>
            <w:hideMark/>
          </w:tcPr>
          <w:p w14:paraId="55FE4083" w14:textId="77777777" w:rsidR="00EF3F11" w:rsidRPr="00D97953" w:rsidRDefault="00EF3F11" w:rsidP="00EF3F11">
            <w:pPr>
              <w:spacing w:after="0" w:line="240" w:lineRule="auto"/>
              <w:jc w:val="center"/>
              <w:rPr>
                <w:rFonts w:ascii="Times New Roman" w:eastAsia="Times New Roman" w:hAnsi="Times New Roman" w:cs="Times New Roman"/>
                <w:b/>
                <w:bCs/>
                <w:color w:val="000000"/>
                <w:kern w:val="0"/>
                <w:sz w:val="16"/>
                <w:szCs w:val="16"/>
                <w:lang w:eastAsia="en-IN"/>
                <w14:ligatures w14:val="none"/>
              </w:rPr>
            </w:pPr>
            <w:r w:rsidRPr="00D97953">
              <w:rPr>
                <w:rFonts w:ascii="Times New Roman" w:eastAsia="Times New Roman" w:hAnsi="Times New Roman" w:cs="Times New Roman"/>
                <w:b/>
                <w:bCs/>
                <w:color w:val="000000"/>
                <w:kern w:val="0"/>
                <w:sz w:val="16"/>
                <w:szCs w:val="16"/>
                <w:lang w:eastAsia="en-IN"/>
                <w14:ligatures w14:val="none"/>
              </w:rPr>
              <w:t>6</w:t>
            </w:r>
          </w:p>
        </w:tc>
        <w:tc>
          <w:tcPr>
            <w:tcW w:w="611" w:type="dxa"/>
            <w:tcBorders>
              <w:top w:val="nil"/>
              <w:left w:val="nil"/>
              <w:bottom w:val="single" w:sz="4" w:space="0" w:color="auto"/>
              <w:right w:val="single" w:sz="4" w:space="0" w:color="auto"/>
            </w:tcBorders>
            <w:noWrap/>
            <w:vAlign w:val="center"/>
            <w:hideMark/>
          </w:tcPr>
          <w:p w14:paraId="15FDC6AC" w14:textId="77777777" w:rsidR="00EF3F11" w:rsidRPr="00D97953" w:rsidRDefault="00EF3F11" w:rsidP="00EF3F11">
            <w:pPr>
              <w:spacing w:after="0" w:line="240" w:lineRule="auto"/>
              <w:jc w:val="center"/>
              <w:rPr>
                <w:rFonts w:ascii="Times New Roman" w:eastAsia="Times New Roman" w:hAnsi="Times New Roman" w:cs="Times New Roman"/>
                <w:b/>
                <w:bCs/>
                <w:color w:val="000000"/>
                <w:kern w:val="0"/>
                <w:sz w:val="16"/>
                <w:szCs w:val="16"/>
                <w:lang w:eastAsia="en-IN"/>
                <w14:ligatures w14:val="none"/>
              </w:rPr>
            </w:pPr>
            <w:r w:rsidRPr="00D97953">
              <w:rPr>
                <w:rFonts w:ascii="Times New Roman" w:eastAsia="Times New Roman" w:hAnsi="Times New Roman" w:cs="Times New Roman"/>
                <w:b/>
                <w:bCs/>
                <w:color w:val="000000"/>
                <w:kern w:val="0"/>
                <w:sz w:val="16"/>
                <w:szCs w:val="16"/>
                <w:lang w:eastAsia="en-IN"/>
                <w14:ligatures w14:val="none"/>
              </w:rPr>
              <w:t>7</w:t>
            </w:r>
          </w:p>
        </w:tc>
        <w:tc>
          <w:tcPr>
            <w:tcW w:w="1728" w:type="dxa"/>
            <w:tcBorders>
              <w:top w:val="nil"/>
              <w:left w:val="nil"/>
              <w:bottom w:val="single" w:sz="4" w:space="0" w:color="auto"/>
              <w:right w:val="single" w:sz="4" w:space="0" w:color="auto"/>
            </w:tcBorders>
            <w:noWrap/>
            <w:vAlign w:val="center"/>
            <w:hideMark/>
          </w:tcPr>
          <w:p w14:paraId="43BB693C" w14:textId="77777777" w:rsidR="00EF3F11" w:rsidRPr="00D97953" w:rsidRDefault="00EF3F11" w:rsidP="00EF3F11">
            <w:pPr>
              <w:spacing w:after="0" w:line="240" w:lineRule="auto"/>
              <w:jc w:val="center"/>
              <w:rPr>
                <w:rFonts w:ascii="Times New Roman" w:eastAsia="Times New Roman" w:hAnsi="Times New Roman" w:cs="Times New Roman"/>
                <w:b/>
                <w:bCs/>
                <w:color w:val="000000"/>
                <w:kern w:val="0"/>
                <w:sz w:val="16"/>
                <w:szCs w:val="16"/>
                <w:lang w:eastAsia="en-IN"/>
                <w14:ligatures w14:val="none"/>
              </w:rPr>
            </w:pPr>
            <w:r w:rsidRPr="00D97953">
              <w:rPr>
                <w:rFonts w:ascii="Times New Roman" w:eastAsia="Times New Roman" w:hAnsi="Times New Roman" w:cs="Times New Roman"/>
                <w:b/>
                <w:bCs/>
                <w:color w:val="000000"/>
                <w:kern w:val="0"/>
                <w:sz w:val="16"/>
                <w:szCs w:val="16"/>
                <w:lang w:eastAsia="en-IN"/>
                <w14:ligatures w14:val="none"/>
              </w:rPr>
              <w:t>8</w:t>
            </w:r>
          </w:p>
        </w:tc>
        <w:tc>
          <w:tcPr>
            <w:tcW w:w="948" w:type="dxa"/>
            <w:tcBorders>
              <w:top w:val="nil"/>
              <w:left w:val="nil"/>
              <w:bottom w:val="single" w:sz="4" w:space="0" w:color="auto"/>
              <w:right w:val="single" w:sz="4" w:space="0" w:color="auto"/>
            </w:tcBorders>
            <w:noWrap/>
            <w:vAlign w:val="center"/>
            <w:hideMark/>
          </w:tcPr>
          <w:p w14:paraId="07C0F7D8" w14:textId="77777777" w:rsidR="00EF3F11" w:rsidRPr="00D97953" w:rsidRDefault="00EF3F11" w:rsidP="00EF3F11">
            <w:pPr>
              <w:spacing w:after="0" w:line="240" w:lineRule="auto"/>
              <w:jc w:val="center"/>
              <w:rPr>
                <w:rFonts w:ascii="Times New Roman" w:eastAsia="Times New Roman" w:hAnsi="Times New Roman" w:cs="Times New Roman"/>
                <w:b/>
                <w:bCs/>
                <w:color w:val="000000"/>
                <w:kern w:val="0"/>
                <w:sz w:val="16"/>
                <w:szCs w:val="16"/>
                <w:lang w:eastAsia="en-IN"/>
                <w14:ligatures w14:val="none"/>
              </w:rPr>
            </w:pPr>
            <w:r w:rsidRPr="00D97953">
              <w:rPr>
                <w:rFonts w:ascii="Times New Roman" w:eastAsia="Times New Roman" w:hAnsi="Times New Roman" w:cs="Times New Roman"/>
                <w:b/>
                <w:bCs/>
                <w:color w:val="000000"/>
                <w:kern w:val="0"/>
                <w:sz w:val="16"/>
                <w:szCs w:val="16"/>
                <w:lang w:eastAsia="en-IN"/>
                <w14:ligatures w14:val="none"/>
              </w:rPr>
              <w:t>9</w:t>
            </w:r>
          </w:p>
        </w:tc>
        <w:tc>
          <w:tcPr>
            <w:tcW w:w="610" w:type="dxa"/>
            <w:tcBorders>
              <w:top w:val="nil"/>
              <w:left w:val="nil"/>
              <w:bottom w:val="single" w:sz="4" w:space="0" w:color="auto"/>
              <w:right w:val="single" w:sz="4" w:space="0" w:color="auto"/>
            </w:tcBorders>
            <w:noWrap/>
            <w:vAlign w:val="center"/>
            <w:hideMark/>
          </w:tcPr>
          <w:p w14:paraId="10F0D32B" w14:textId="77777777" w:rsidR="00EF3F11" w:rsidRPr="00D97953" w:rsidRDefault="00EF3F11" w:rsidP="00EF3F11">
            <w:pPr>
              <w:spacing w:after="0" w:line="240" w:lineRule="auto"/>
              <w:jc w:val="center"/>
              <w:rPr>
                <w:rFonts w:ascii="Times New Roman" w:eastAsia="Times New Roman" w:hAnsi="Times New Roman" w:cs="Times New Roman"/>
                <w:b/>
                <w:bCs/>
                <w:color w:val="000000"/>
                <w:kern w:val="0"/>
                <w:sz w:val="16"/>
                <w:szCs w:val="16"/>
                <w:lang w:eastAsia="en-IN"/>
                <w14:ligatures w14:val="none"/>
              </w:rPr>
            </w:pPr>
            <w:r w:rsidRPr="00D97953">
              <w:rPr>
                <w:rFonts w:ascii="Times New Roman" w:eastAsia="Times New Roman" w:hAnsi="Times New Roman" w:cs="Times New Roman"/>
                <w:b/>
                <w:bCs/>
                <w:color w:val="000000"/>
                <w:kern w:val="0"/>
                <w:sz w:val="16"/>
                <w:szCs w:val="16"/>
                <w:lang w:eastAsia="en-IN"/>
                <w14:ligatures w14:val="none"/>
              </w:rPr>
              <w:t>10</w:t>
            </w:r>
          </w:p>
        </w:tc>
        <w:tc>
          <w:tcPr>
            <w:tcW w:w="1728" w:type="dxa"/>
            <w:tcBorders>
              <w:top w:val="nil"/>
              <w:left w:val="nil"/>
              <w:bottom w:val="single" w:sz="4" w:space="0" w:color="auto"/>
              <w:right w:val="single" w:sz="4" w:space="0" w:color="auto"/>
            </w:tcBorders>
            <w:noWrap/>
            <w:vAlign w:val="center"/>
            <w:hideMark/>
          </w:tcPr>
          <w:p w14:paraId="01E1C6DB" w14:textId="77777777" w:rsidR="00EF3F11" w:rsidRPr="00D97953" w:rsidRDefault="00EF3F11" w:rsidP="00EF3F11">
            <w:pPr>
              <w:spacing w:after="0" w:line="240" w:lineRule="auto"/>
              <w:jc w:val="center"/>
              <w:rPr>
                <w:rFonts w:ascii="Times New Roman" w:eastAsia="Times New Roman" w:hAnsi="Times New Roman" w:cs="Times New Roman"/>
                <w:b/>
                <w:bCs/>
                <w:color w:val="000000"/>
                <w:kern w:val="0"/>
                <w:sz w:val="16"/>
                <w:szCs w:val="16"/>
                <w:lang w:eastAsia="en-IN"/>
                <w14:ligatures w14:val="none"/>
              </w:rPr>
            </w:pPr>
            <w:r w:rsidRPr="00D97953">
              <w:rPr>
                <w:rFonts w:ascii="Times New Roman" w:eastAsia="Times New Roman" w:hAnsi="Times New Roman" w:cs="Times New Roman"/>
                <w:b/>
                <w:bCs/>
                <w:color w:val="000000"/>
                <w:kern w:val="0"/>
                <w:sz w:val="16"/>
                <w:szCs w:val="16"/>
                <w:lang w:eastAsia="en-IN"/>
                <w14:ligatures w14:val="none"/>
              </w:rPr>
              <w:t>11</w:t>
            </w:r>
          </w:p>
        </w:tc>
        <w:tc>
          <w:tcPr>
            <w:tcW w:w="948" w:type="dxa"/>
            <w:tcBorders>
              <w:top w:val="nil"/>
              <w:left w:val="nil"/>
              <w:bottom w:val="single" w:sz="4" w:space="0" w:color="auto"/>
              <w:right w:val="single" w:sz="4" w:space="0" w:color="auto"/>
            </w:tcBorders>
            <w:noWrap/>
            <w:vAlign w:val="center"/>
            <w:hideMark/>
          </w:tcPr>
          <w:p w14:paraId="4D9675CE" w14:textId="77777777" w:rsidR="00EF3F11" w:rsidRPr="00D97953" w:rsidRDefault="00EF3F11" w:rsidP="00EF3F11">
            <w:pPr>
              <w:spacing w:after="0" w:line="240" w:lineRule="auto"/>
              <w:jc w:val="center"/>
              <w:rPr>
                <w:rFonts w:ascii="Times New Roman" w:eastAsia="Times New Roman" w:hAnsi="Times New Roman" w:cs="Times New Roman"/>
                <w:b/>
                <w:bCs/>
                <w:color w:val="000000"/>
                <w:kern w:val="0"/>
                <w:sz w:val="16"/>
                <w:szCs w:val="16"/>
                <w:lang w:eastAsia="en-IN"/>
                <w14:ligatures w14:val="none"/>
              </w:rPr>
            </w:pPr>
            <w:r w:rsidRPr="00D97953">
              <w:rPr>
                <w:rFonts w:ascii="Times New Roman" w:eastAsia="Times New Roman" w:hAnsi="Times New Roman" w:cs="Times New Roman"/>
                <w:b/>
                <w:bCs/>
                <w:color w:val="000000"/>
                <w:kern w:val="0"/>
                <w:sz w:val="16"/>
                <w:szCs w:val="16"/>
                <w:lang w:eastAsia="en-IN"/>
                <w14:ligatures w14:val="none"/>
              </w:rPr>
              <w:t>12</w:t>
            </w:r>
          </w:p>
        </w:tc>
        <w:tc>
          <w:tcPr>
            <w:tcW w:w="608" w:type="dxa"/>
            <w:tcBorders>
              <w:top w:val="nil"/>
              <w:left w:val="nil"/>
              <w:bottom w:val="single" w:sz="4" w:space="0" w:color="auto"/>
              <w:right w:val="single" w:sz="4" w:space="0" w:color="auto"/>
            </w:tcBorders>
            <w:noWrap/>
            <w:vAlign w:val="center"/>
            <w:hideMark/>
          </w:tcPr>
          <w:p w14:paraId="20324D29" w14:textId="77777777" w:rsidR="00EF3F11" w:rsidRPr="00D97953" w:rsidRDefault="00EF3F11" w:rsidP="00EF3F11">
            <w:pPr>
              <w:spacing w:after="0" w:line="240" w:lineRule="auto"/>
              <w:jc w:val="center"/>
              <w:rPr>
                <w:rFonts w:ascii="Times New Roman" w:eastAsia="Times New Roman" w:hAnsi="Times New Roman" w:cs="Times New Roman"/>
                <w:b/>
                <w:bCs/>
                <w:color w:val="000000"/>
                <w:kern w:val="0"/>
                <w:sz w:val="16"/>
                <w:szCs w:val="16"/>
                <w:lang w:eastAsia="en-IN"/>
                <w14:ligatures w14:val="none"/>
              </w:rPr>
            </w:pPr>
            <w:r w:rsidRPr="00D97953">
              <w:rPr>
                <w:rFonts w:ascii="Times New Roman" w:eastAsia="Times New Roman" w:hAnsi="Times New Roman" w:cs="Times New Roman"/>
                <w:b/>
                <w:bCs/>
                <w:color w:val="000000"/>
                <w:kern w:val="0"/>
                <w:sz w:val="16"/>
                <w:szCs w:val="16"/>
                <w:lang w:eastAsia="en-IN"/>
                <w14:ligatures w14:val="none"/>
              </w:rPr>
              <w:t>13</w:t>
            </w:r>
          </w:p>
        </w:tc>
      </w:tr>
      <w:tr w:rsidR="00EF3F11" w:rsidRPr="00D97953" w14:paraId="20B50D83" w14:textId="77777777" w:rsidTr="00D97953">
        <w:trPr>
          <w:gridAfter w:val="1"/>
          <w:wAfter w:w="15" w:type="dxa"/>
          <w:trHeight w:val="20"/>
          <w:jc w:val="center"/>
        </w:trPr>
        <w:tc>
          <w:tcPr>
            <w:tcW w:w="2464" w:type="dxa"/>
            <w:tcBorders>
              <w:top w:val="nil"/>
              <w:left w:val="single" w:sz="4" w:space="0" w:color="auto"/>
              <w:bottom w:val="single" w:sz="4" w:space="0" w:color="auto"/>
              <w:right w:val="single" w:sz="4" w:space="0" w:color="auto"/>
            </w:tcBorders>
            <w:noWrap/>
            <w:vAlign w:val="center"/>
            <w:hideMark/>
          </w:tcPr>
          <w:p w14:paraId="3DC9230A" w14:textId="77777777" w:rsidR="00EF3F11" w:rsidRPr="00D97953" w:rsidRDefault="00EF3F11" w:rsidP="00EF3F11">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D97953">
              <w:rPr>
                <w:rFonts w:ascii="Times New Roman" w:eastAsia="Times New Roman" w:hAnsi="Times New Roman" w:cs="Times New Roman"/>
                <w:color w:val="000000"/>
                <w:kern w:val="0"/>
                <w:sz w:val="16"/>
                <w:szCs w:val="16"/>
                <w:lang w:eastAsia="en-IN"/>
                <w14:ligatures w14:val="none"/>
              </w:rPr>
              <w:t>1. Andhra Pradesh</w:t>
            </w:r>
          </w:p>
        </w:tc>
        <w:tc>
          <w:tcPr>
            <w:tcW w:w="608" w:type="dxa"/>
            <w:tcBorders>
              <w:top w:val="nil"/>
              <w:left w:val="nil"/>
              <w:bottom w:val="single" w:sz="4" w:space="0" w:color="auto"/>
              <w:right w:val="single" w:sz="4" w:space="0" w:color="auto"/>
            </w:tcBorders>
            <w:noWrap/>
            <w:vAlign w:val="center"/>
            <w:hideMark/>
          </w:tcPr>
          <w:p w14:paraId="68520754" w14:textId="77777777" w:rsidR="00EF3F11" w:rsidRPr="00D97953" w:rsidRDefault="00EF3F11" w:rsidP="00EF3F11">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D97953">
              <w:rPr>
                <w:rFonts w:ascii="Times New Roman" w:eastAsia="Times New Roman" w:hAnsi="Times New Roman" w:cs="Times New Roman"/>
                <w:color w:val="000000"/>
                <w:kern w:val="0"/>
                <w:sz w:val="16"/>
                <w:szCs w:val="16"/>
                <w:lang w:eastAsia="en-IN"/>
                <w14:ligatures w14:val="none"/>
              </w:rPr>
              <w:t>33.00</w:t>
            </w:r>
          </w:p>
        </w:tc>
        <w:tc>
          <w:tcPr>
            <w:tcW w:w="948" w:type="dxa"/>
            <w:tcBorders>
              <w:top w:val="nil"/>
              <w:left w:val="nil"/>
              <w:bottom w:val="single" w:sz="4" w:space="0" w:color="auto"/>
              <w:right w:val="single" w:sz="4" w:space="0" w:color="auto"/>
            </w:tcBorders>
            <w:noWrap/>
            <w:vAlign w:val="center"/>
            <w:hideMark/>
          </w:tcPr>
          <w:p w14:paraId="2DF01368" w14:textId="77777777" w:rsidR="00EF3F11" w:rsidRPr="00D97953" w:rsidRDefault="00EF3F11" w:rsidP="00EF3F11">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D97953">
              <w:rPr>
                <w:rFonts w:ascii="Times New Roman" w:eastAsia="Times New Roman" w:hAnsi="Times New Roman" w:cs="Times New Roman"/>
                <w:color w:val="000000"/>
                <w:kern w:val="0"/>
                <w:sz w:val="16"/>
                <w:szCs w:val="16"/>
                <w:lang w:eastAsia="en-IN"/>
                <w14:ligatures w14:val="none"/>
              </w:rPr>
              <w:t>No Duty</w:t>
            </w:r>
          </w:p>
        </w:tc>
        <w:tc>
          <w:tcPr>
            <w:tcW w:w="610" w:type="dxa"/>
            <w:tcBorders>
              <w:top w:val="nil"/>
              <w:left w:val="nil"/>
              <w:bottom w:val="single" w:sz="4" w:space="0" w:color="auto"/>
              <w:right w:val="single" w:sz="4" w:space="0" w:color="auto"/>
            </w:tcBorders>
            <w:noWrap/>
            <w:vAlign w:val="center"/>
            <w:hideMark/>
          </w:tcPr>
          <w:p w14:paraId="6E255A37" w14:textId="77777777" w:rsidR="00EF3F11" w:rsidRPr="00D97953" w:rsidRDefault="00EF3F11" w:rsidP="00EF3F11">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D97953">
              <w:rPr>
                <w:rFonts w:ascii="Times New Roman" w:eastAsia="Times New Roman" w:hAnsi="Times New Roman" w:cs="Times New Roman"/>
                <w:color w:val="000000"/>
                <w:kern w:val="0"/>
                <w:sz w:val="16"/>
                <w:szCs w:val="16"/>
                <w:lang w:eastAsia="en-IN"/>
                <w14:ligatures w14:val="none"/>
              </w:rPr>
              <w:t>33.00</w:t>
            </w:r>
          </w:p>
        </w:tc>
        <w:tc>
          <w:tcPr>
            <w:tcW w:w="1728" w:type="dxa"/>
            <w:tcBorders>
              <w:top w:val="nil"/>
              <w:left w:val="nil"/>
              <w:bottom w:val="single" w:sz="4" w:space="0" w:color="auto"/>
              <w:right w:val="single" w:sz="4" w:space="0" w:color="auto"/>
            </w:tcBorders>
            <w:noWrap/>
            <w:vAlign w:val="center"/>
            <w:hideMark/>
          </w:tcPr>
          <w:p w14:paraId="2A02DD3A" w14:textId="77777777" w:rsidR="00EF3F11" w:rsidRPr="00D97953" w:rsidRDefault="00EF3F11" w:rsidP="00EF3F11">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D97953">
              <w:rPr>
                <w:rFonts w:ascii="Times New Roman" w:eastAsia="Times New Roman" w:hAnsi="Times New Roman" w:cs="Times New Roman"/>
                <w:color w:val="000000"/>
                <w:kern w:val="0"/>
                <w:sz w:val="16"/>
                <w:szCs w:val="16"/>
                <w:lang w:eastAsia="en-IN"/>
                <w14:ligatures w14:val="none"/>
              </w:rPr>
              <w:t>19.80</w:t>
            </w:r>
          </w:p>
        </w:tc>
        <w:tc>
          <w:tcPr>
            <w:tcW w:w="948" w:type="dxa"/>
            <w:tcBorders>
              <w:top w:val="nil"/>
              <w:left w:val="nil"/>
              <w:bottom w:val="single" w:sz="4" w:space="0" w:color="auto"/>
              <w:right w:val="single" w:sz="4" w:space="0" w:color="auto"/>
            </w:tcBorders>
            <w:noWrap/>
            <w:vAlign w:val="center"/>
            <w:hideMark/>
          </w:tcPr>
          <w:p w14:paraId="4AEDCD9D" w14:textId="77777777" w:rsidR="00EF3F11" w:rsidRPr="00D97953" w:rsidRDefault="00EF3F11" w:rsidP="00EF3F11">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D97953">
              <w:rPr>
                <w:rFonts w:ascii="Times New Roman" w:eastAsia="Times New Roman" w:hAnsi="Times New Roman" w:cs="Times New Roman"/>
                <w:color w:val="000000"/>
                <w:kern w:val="0"/>
                <w:sz w:val="16"/>
                <w:szCs w:val="16"/>
                <w:lang w:eastAsia="en-IN"/>
                <w14:ligatures w14:val="none"/>
              </w:rPr>
              <w:t>No Duty</w:t>
            </w:r>
          </w:p>
        </w:tc>
        <w:tc>
          <w:tcPr>
            <w:tcW w:w="611" w:type="dxa"/>
            <w:tcBorders>
              <w:top w:val="nil"/>
              <w:left w:val="nil"/>
              <w:bottom w:val="single" w:sz="4" w:space="0" w:color="auto"/>
              <w:right w:val="single" w:sz="4" w:space="0" w:color="auto"/>
            </w:tcBorders>
            <w:noWrap/>
            <w:vAlign w:val="center"/>
            <w:hideMark/>
          </w:tcPr>
          <w:p w14:paraId="1FF5EE2F" w14:textId="77777777" w:rsidR="00EF3F11" w:rsidRPr="00D97953" w:rsidRDefault="00EF3F11" w:rsidP="00EF3F11">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D97953">
              <w:rPr>
                <w:rFonts w:ascii="Times New Roman" w:eastAsia="Times New Roman" w:hAnsi="Times New Roman" w:cs="Times New Roman"/>
                <w:color w:val="000000"/>
                <w:kern w:val="0"/>
                <w:sz w:val="16"/>
                <w:szCs w:val="16"/>
                <w:lang w:eastAsia="en-IN"/>
                <w14:ligatures w14:val="none"/>
              </w:rPr>
              <w:t>19.80</w:t>
            </w:r>
          </w:p>
        </w:tc>
        <w:tc>
          <w:tcPr>
            <w:tcW w:w="1728" w:type="dxa"/>
            <w:tcBorders>
              <w:top w:val="nil"/>
              <w:left w:val="nil"/>
              <w:bottom w:val="single" w:sz="4" w:space="0" w:color="auto"/>
              <w:right w:val="single" w:sz="4" w:space="0" w:color="auto"/>
            </w:tcBorders>
            <w:noWrap/>
            <w:vAlign w:val="center"/>
            <w:hideMark/>
          </w:tcPr>
          <w:p w14:paraId="38BF3500" w14:textId="77777777" w:rsidR="00EF3F11" w:rsidRPr="00D97953" w:rsidRDefault="00EF3F11" w:rsidP="00EF3F11">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D97953">
              <w:rPr>
                <w:rFonts w:ascii="Times New Roman" w:eastAsia="Times New Roman" w:hAnsi="Times New Roman" w:cs="Times New Roman"/>
                <w:color w:val="000000"/>
                <w:kern w:val="0"/>
                <w:sz w:val="16"/>
                <w:szCs w:val="16"/>
                <w:lang w:eastAsia="en-IN"/>
                <w14:ligatures w14:val="none"/>
              </w:rPr>
              <w:t>45.00</w:t>
            </w:r>
          </w:p>
        </w:tc>
        <w:tc>
          <w:tcPr>
            <w:tcW w:w="948" w:type="dxa"/>
            <w:tcBorders>
              <w:top w:val="nil"/>
              <w:left w:val="nil"/>
              <w:bottom w:val="single" w:sz="4" w:space="0" w:color="auto"/>
              <w:right w:val="single" w:sz="4" w:space="0" w:color="auto"/>
            </w:tcBorders>
            <w:noWrap/>
            <w:vAlign w:val="center"/>
            <w:hideMark/>
          </w:tcPr>
          <w:p w14:paraId="1A61161F" w14:textId="77777777" w:rsidR="00EF3F11" w:rsidRPr="00D97953" w:rsidRDefault="00EF3F11" w:rsidP="00EF3F11">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D97953">
              <w:rPr>
                <w:rFonts w:ascii="Times New Roman" w:eastAsia="Times New Roman" w:hAnsi="Times New Roman" w:cs="Times New Roman"/>
                <w:color w:val="000000"/>
                <w:kern w:val="0"/>
                <w:sz w:val="16"/>
                <w:szCs w:val="16"/>
                <w:lang w:eastAsia="en-IN"/>
                <w14:ligatures w14:val="none"/>
              </w:rPr>
              <w:t>..</w:t>
            </w:r>
          </w:p>
        </w:tc>
        <w:tc>
          <w:tcPr>
            <w:tcW w:w="610" w:type="dxa"/>
            <w:tcBorders>
              <w:top w:val="nil"/>
              <w:left w:val="nil"/>
              <w:bottom w:val="single" w:sz="4" w:space="0" w:color="auto"/>
              <w:right w:val="single" w:sz="4" w:space="0" w:color="auto"/>
            </w:tcBorders>
            <w:noWrap/>
            <w:vAlign w:val="center"/>
            <w:hideMark/>
          </w:tcPr>
          <w:p w14:paraId="199A63ED" w14:textId="77777777" w:rsidR="00EF3F11" w:rsidRPr="00D97953" w:rsidRDefault="00EF3F11" w:rsidP="00EF3F11">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D97953">
              <w:rPr>
                <w:rFonts w:ascii="Times New Roman" w:eastAsia="Times New Roman" w:hAnsi="Times New Roman" w:cs="Times New Roman"/>
                <w:color w:val="000000"/>
                <w:kern w:val="0"/>
                <w:sz w:val="16"/>
                <w:szCs w:val="16"/>
                <w:lang w:eastAsia="en-IN"/>
                <w14:ligatures w14:val="none"/>
              </w:rPr>
              <w:t>45.00</w:t>
            </w:r>
          </w:p>
        </w:tc>
        <w:tc>
          <w:tcPr>
            <w:tcW w:w="1728" w:type="dxa"/>
            <w:tcBorders>
              <w:top w:val="nil"/>
              <w:left w:val="nil"/>
              <w:bottom w:val="single" w:sz="4" w:space="0" w:color="auto"/>
              <w:right w:val="single" w:sz="4" w:space="0" w:color="auto"/>
            </w:tcBorders>
            <w:noWrap/>
            <w:vAlign w:val="center"/>
            <w:hideMark/>
          </w:tcPr>
          <w:p w14:paraId="52F84B92" w14:textId="77777777" w:rsidR="00EF3F11" w:rsidRPr="00D97953" w:rsidRDefault="00EF3F11" w:rsidP="00EF3F11">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D97953">
              <w:rPr>
                <w:rFonts w:ascii="Times New Roman" w:eastAsia="Times New Roman" w:hAnsi="Times New Roman" w:cs="Times New Roman"/>
                <w:color w:val="000000"/>
                <w:kern w:val="0"/>
                <w:sz w:val="16"/>
                <w:szCs w:val="16"/>
                <w:lang w:eastAsia="en-IN"/>
                <w14:ligatures w14:val="none"/>
              </w:rPr>
              <w:t>45.00</w:t>
            </w:r>
          </w:p>
        </w:tc>
        <w:tc>
          <w:tcPr>
            <w:tcW w:w="948" w:type="dxa"/>
            <w:tcBorders>
              <w:top w:val="nil"/>
              <w:left w:val="nil"/>
              <w:bottom w:val="single" w:sz="4" w:space="0" w:color="auto"/>
              <w:right w:val="single" w:sz="4" w:space="0" w:color="auto"/>
            </w:tcBorders>
            <w:noWrap/>
            <w:vAlign w:val="center"/>
            <w:hideMark/>
          </w:tcPr>
          <w:p w14:paraId="1A77FD07" w14:textId="77777777" w:rsidR="00EF3F11" w:rsidRPr="00D97953" w:rsidRDefault="00EF3F11" w:rsidP="00EF3F11">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D97953">
              <w:rPr>
                <w:rFonts w:ascii="Times New Roman" w:eastAsia="Times New Roman" w:hAnsi="Times New Roman" w:cs="Times New Roman"/>
                <w:color w:val="000000"/>
                <w:kern w:val="0"/>
                <w:sz w:val="16"/>
                <w:szCs w:val="16"/>
                <w:lang w:eastAsia="en-IN"/>
                <w14:ligatures w14:val="none"/>
              </w:rPr>
              <w:t>..</w:t>
            </w:r>
          </w:p>
        </w:tc>
        <w:tc>
          <w:tcPr>
            <w:tcW w:w="608" w:type="dxa"/>
            <w:tcBorders>
              <w:top w:val="nil"/>
              <w:left w:val="nil"/>
              <w:bottom w:val="single" w:sz="4" w:space="0" w:color="auto"/>
              <w:right w:val="single" w:sz="4" w:space="0" w:color="auto"/>
            </w:tcBorders>
            <w:noWrap/>
            <w:vAlign w:val="center"/>
            <w:hideMark/>
          </w:tcPr>
          <w:p w14:paraId="0832B8FB" w14:textId="77777777" w:rsidR="00EF3F11" w:rsidRPr="00D97953" w:rsidRDefault="00EF3F11" w:rsidP="00EF3F11">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D97953">
              <w:rPr>
                <w:rFonts w:ascii="Times New Roman" w:eastAsia="Times New Roman" w:hAnsi="Times New Roman" w:cs="Times New Roman"/>
                <w:color w:val="000000"/>
                <w:kern w:val="0"/>
                <w:sz w:val="16"/>
                <w:szCs w:val="16"/>
                <w:lang w:eastAsia="en-IN"/>
                <w14:ligatures w14:val="none"/>
              </w:rPr>
              <w:t>45.00</w:t>
            </w:r>
          </w:p>
        </w:tc>
      </w:tr>
      <w:tr w:rsidR="00EF3F11" w:rsidRPr="00D97953" w14:paraId="442267AA" w14:textId="77777777" w:rsidTr="00D97953">
        <w:trPr>
          <w:gridAfter w:val="1"/>
          <w:wAfter w:w="15" w:type="dxa"/>
          <w:trHeight w:val="20"/>
          <w:jc w:val="center"/>
        </w:trPr>
        <w:tc>
          <w:tcPr>
            <w:tcW w:w="2464" w:type="dxa"/>
            <w:tcBorders>
              <w:top w:val="nil"/>
              <w:left w:val="single" w:sz="4" w:space="0" w:color="auto"/>
              <w:bottom w:val="single" w:sz="4" w:space="0" w:color="auto"/>
              <w:right w:val="single" w:sz="4" w:space="0" w:color="auto"/>
            </w:tcBorders>
            <w:noWrap/>
            <w:vAlign w:val="center"/>
            <w:hideMark/>
          </w:tcPr>
          <w:p w14:paraId="5CD42BE3" w14:textId="77777777" w:rsidR="00EF3F11" w:rsidRPr="00D97953" w:rsidRDefault="00EF3F11" w:rsidP="00EF3F11">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D97953">
              <w:rPr>
                <w:rFonts w:ascii="Times New Roman" w:eastAsia="Times New Roman" w:hAnsi="Times New Roman" w:cs="Times New Roman"/>
                <w:color w:val="000000"/>
                <w:kern w:val="0"/>
                <w:sz w:val="16"/>
                <w:szCs w:val="16"/>
                <w:lang w:eastAsia="en-IN"/>
                <w14:ligatures w14:val="none"/>
              </w:rPr>
              <w:t>2. Assam</w:t>
            </w:r>
          </w:p>
        </w:tc>
        <w:tc>
          <w:tcPr>
            <w:tcW w:w="608" w:type="dxa"/>
            <w:tcBorders>
              <w:top w:val="nil"/>
              <w:left w:val="nil"/>
              <w:bottom w:val="single" w:sz="4" w:space="0" w:color="auto"/>
              <w:right w:val="single" w:sz="4" w:space="0" w:color="auto"/>
            </w:tcBorders>
            <w:noWrap/>
            <w:vAlign w:val="center"/>
            <w:hideMark/>
          </w:tcPr>
          <w:p w14:paraId="52A48060" w14:textId="77777777" w:rsidR="00EF3F11" w:rsidRPr="00D97953" w:rsidRDefault="00EF3F11" w:rsidP="00EF3F11">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D97953">
              <w:rPr>
                <w:rFonts w:ascii="Times New Roman" w:eastAsia="Times New Roman" w:hAnsi="Times New Roman" w:cs="Times New Roman"/>
                <w:color w:val="000000"/>
                <w:kern w:val="0"/>
                <w:sz w:val="16"/>
                <w:szCs w:val="16"/>
                <w:lang w:eastAsia="en-IN"/>
                <w14:ligatures w14:val="none"/>
              </w:rPr>
              <w:t>37.00</w:t>
            </w:r>
          </w:p>
        </w:tc>
        <w:tc>
          <w:tcPr>
            <w:tcW w:w="948" w:type="dxa"/>
            <w:tcBorders>
              <w:top w:val="nil"/>
              <w:left w:val="nil"/>
              <w:bottom w:val="single" w:sz="4" w:space="0" w:color="auto"/>
              <w:right w:val="single" w:sz="4" w:space="0" w:color="auto"/>
            </w:tcBorders>
            <w:noWrap/>
            <w:vAlign w:val="center"/>
            <w:hideMark/>
          </w:tcPr>
          <w:p w14:paraId="0BDDC5B5" w14:textId="77777777" w:rsidR="00EF3F11" w:rsidRPr="00D97953" w:rsidRDefault="00EF3F11" w:rsidP="00EF3F11">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D97953">
              <w:rPr>
                <w:rFonts w:ascii="Times New Roman" w:eastAsia="Times New Roman" w:hAnsi="Times New Roman" w:cs="Times New Roman"/>
                <w:color w:val="000000"/>
                <w:kern w:val="0"/>
                <w:sz w:val="16"/>
                <w:szCs w:val="16"/>
                <w:lang w:eastAsia="en-IN"/>
                <w14:ligatures w14:val="none"/>
              </w:rPr>
              <w:t>2.00</w:t>
            </w:r>
          </w:p>
        </w:tc>
        <w:tc>
          <w:tcPr>
            <w:tcW w:w="610" w:type="dxa"/>
            <w:tcBorders>
              <w:top w:val="nil"/>
              <w:left w:val="nil"/>
              <w:bottom w:val="single" w:sz="4" w:space="0" w:color="auto"/>
              <w:right w:val="single" w:sz="4" w:space="0" w:color="auto"/>
            </w:tcBorders>
            <w:noWrap/>
            <w:vAlign w:val="center"/>
            <w:hideMark/>
          </w:tcPr>
          <w:p w14:paraId="55F67AA2" w14:textId="77777777" w:rsidR="00EF3F11" w:rsidRPr="00D97953" w:rsidRDefault="00EF3F11" w:rsidP="00EF3F11">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D97953">
              <w:rPr>
                <w:rFonts w:ascii="Times New Roman" w:eastAsia="Times New Roman" w:hAnsi="Times New Roman" w:cs="Times New Roman"/>
                <w:color w:val="000000"/>
                <w:kern w:val="0"/>
                <w:sz w:val="16"/>
                <w:szCs w:val="16"/>
                <w:lang w:eastAsia="en-IN"/>
                <w14:ligatures w14:val="none"/>
              </w:rPr>
              <w:t>39.00</w:t>
            </w:r>
          </w:p>
        </w:tc>
        <w:tc>
          <w:tcPr>
            <w:tcW w:w="1728" w:type="dxa"/>
            <w:tcBorders>
              <w:top w:val="nil"/>
              <w:left w:val="nil"/>
              <w:bottom w:val="single" w:sz="4" w:space="0" w:color="auto"/>
              <w:right w:val="single" w:sz="4" w:space="0" w:color="auto"/>
            </w:tcBorders>
            <w:noWrap/>
            <w:vAlign w:val="center"/>
            <w:hideMark/>
          </w:tcPr>
          <w:p w14:paraId="6BCB766F" w14:textId="77777777" w:rsidR="00EF3F11" w:rsidRPr="00D97953" w:rsidRDefault="00EF3F11" w:rsidP="00EF3F11">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D97953">
              <w:rPr>
                <w:rFonts w:ascii="Times New Roman" w:eastAsia="Times New Roman" w:hAnsi="Times New Roman" w:cs="Times New Roman"/>
                <w:color w:val="000000"/>
                <w:kern w:val="0"/>
                <w:sz w:val="16"/>
                <w:szCs w:val="16"/>
                <w:lang w:eastAsia="en-IN"/>
                <w14:ligatures w14:val="none"/>
              </w:rPr>
              <w:t>18.00</w:t>
            </w:r>
          </w:p>
        </w:tc>
        <w:tc>
          <w:tcPr>
            <w:tcW w:w="948" w:type="dxa"/>
            <w:tcBorders>
              <w:top w:val="nil"/>
              <w:left w:val="nil"/>
              <w:bottom w:val="single" w:sz="4" w:space="0" w:color="auto"/>
              <w:right w:val="single" w:sz="4" w:space="0" w:color="auto"/>
            </w:tcBorders>
            <w:noWrap/>
            <w:vAlign w:val="center"/>
            <w:hideMark/>
          </w:tcPr>
          <w:p w14:paraId="778B7B81" w14:textId="77777777" w:rsidR="00EF3F11" w:rsidRPr="00D97953" w:rsidRDefault="00EF3F11" w:rsidP="00EF3F11">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D97953">
              <w:rPr>
                <w:rFonts w:ascii="Times New Roman" w:eastAsia="Times New Roman" w:hAnsi="Times New Roman" w:cs="Times New Roman"/>
                <w:color w:val="000000"/>
                <w:kern w:val="0"/>
                <w:sz w:val="16"/>
                <w:szCs w:val="16"/>
                <w:lang w:eastAsia="en-IN"/>
                <w14:ligatures w14:val="none"/>
              </w:rPr>
              <w:t>2.00</w:t>
            </w:r>
          </w:p>
        </w:tc>
        <w:tc>
          <w:tcPr>
            <w:tcW w:w="611" w:type="dxa"/>
            <w:tcBorders>
              <w:top w:val="nil"/>
              <w:left w:val="nil"/>
              <w:bottom w:val="single" w:sz="4" w:space="0" w:color="auto"/>
              <w:right w:val="single" w:sz="4" w:space="0" w:color="auto"/>
            </w:tcBorders>
            <w:noWrap/>
            <w:vAlign w:val="center"/>
            <w:hideMark/>
          </w:tcPr>
          <w:p w14:paraId="3D0DF561" w14:textId="77777777" w:rsidR="00EF3F11" w:rsidRPr="00D97953" w:rsidRDefault="00EF3F11" w:rsidP="00EF3F11">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D97953">
              <w:rPr>
                <w:rFonts w:ascii="Times New Roman" w:eastAsia="Times New Roman" w:hAnsi="Times New Roman" w:cs="Times New Roman"/>
                <w:color w:val="000000"/>
                <w:kern w:val="0"/>
                <w:sz w:val="16"/>
                <w:szCs w:val="16"/>
                <w:lang w:eastAsia="en-IN"/>
                <w14:ligatures w14:val="none"/>
              </w:rPr>
              <w:t>20.00</w:t>
            </w:r>
          </w:p>
        </w:tc>
        <w:tc>
          <w:tcPr>
            <w:tcW w:w="1728" w:type="dxa"/>
            <w:tcBorders>
              <w:top w:val="nil"/>
              <w:left w:val="nil"/>
              <w:bottom w:val="single" w:sz="4" w:space="0" w:color="auto"/>
              <w:right w:val="single" w:sz="4" w:space="0" w:color="auto"/>
            </w:tcBorders>
            <w:noWrap/>
            <w:vAlign w:val="center"/>
            <w:hideMark/>
          </w:tcPr>
          <w:p w14:paraId="5B8B6B45" w14:textId="77777777" w:rsidR="00EF3F11" w:rsidRPr="00D97953" w:rsidRDefault="00EF3F11" w:rsidP="00EF3F11">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D97953">
              <w:rPr>
                <w:rFonts w:ascii="Times New Roman" w:eastAsia="Times New Roman" w:hAnsi="Times New Roman" w:cs="Times New Roman"/>
                <w:color w:val="000000"/>
                <w:kern w:val="0"/>
                <w:sz w:val="16"/>
                <w:szCs w:val="16"/>
                <w:lang w:eastAsia="en-IN"/>
                <w14:ligatures w14:val="none"/>
              </w:rPr>
              <w:t>35.40</w:t>
            </w:r>
          </w:p>
        </w:tc>
        <w:tc>
          <w:tcPr>
            <w:tcW w:w="948" w:type="dxa"/>
            <w:tcBorders>
              <w:top w:val="nil"/>
              <w:left w:val="nil"/>
              <w:bottom w:val="single" w:sz="4" w:space="0" w:color="auto"/>
              <w:right w:val="single" w:sz="4" w:space="0" w:color="auto"/>
            </w:tcBorders>
            <w:noWrap/>
            <w:vAlign w:val="center"/>
            <w:hideMark/>
          </w:tcPr>
          <w:p w14:paraId="0E9F1887" w14:textId="77777777" w:rsidR="00EF3F11" w:rsidRPr="00D97953" w:rsidRDefault="00EF3F11" w:rsidP="00EF3F11">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D97953">
              <w:rPr>
                <w:rFonts w:ascii="Times New Roman" w:eastAsia="Times New Roman" w:hAnsi="Times New Roman" w:cs="Times New Roman"/>
                <w:color w:val="000000"/>
                <w:kern w:val="0"/>
                <w:sz w:val="16"/>
                <w:szCs w:val="16"/>
                <w:lang w:eastAsia="en-IN"/>
                <w14:ligatures w14:val="none"/>
              </w:rPr>
              <w:t>2.00</w:t>
            </w:r>
          </w:p>
        </w:tc>
        <w:tc>
          <w:tcPr>
            <w:tcW w:w="610" w:type="dxa"/>
            <w:tcBorders>
              <w:top w:val="nil"/>
              <w:left w:val="nil"/>
              <w:bottom w:val="single" w:sz="4" w:space="0" w:color="auto"/>
              <w:right w:val="single" w:sz="4" w:space="0" w:color="auto"/>
            </w:tcBorders>
            <w:noWrap/>
            <w:vAlign w:val="center"/>
            <w:hideMark/>
          </w:tcPr>
          <w:p w14:paraId="087C9A16" w14:textId="77777777" w:rsidR="00EF3F11" w:rsidRPr="00D97953" w:rsidRDefault="00EF3F11" w:rsidP="00EF3F11">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D97953">
              <w:rPr>
                <w:rFonts w:ascii="Times New Roman" w:eastAsia="Times New Roman" w:hAnsi="Times New Roman" w:cs="Times New Roman"/>
                <w:color w:val="000000"/>
                <w:kern w:val="0"/>
                <w:sz w:val="16"/>
                <w:szCs w:val="16"/>
                <w:lang w:eastAsia="en-IN"/>
                <w14:ligatures w14:val="none"/>
              </w:rPr>
              <w:t>37.40</w:t>
            </w:r>
          </w:p>
        </w:tc>
        <w:tc>
          <w:tcPr>
            <w:tcW w:w="1728" w:type="dxa"/>
            <w:tcBorders>
              <w:top w:val="nil"/>
              <w:left w:val="nil"/>
              <w:bottom w:val="single" w:sz="4" w:space="0" w:color="auto"/>
              <w:right w:val="single" w:sz="4" w:space="0" w:color="auto"/>
            </w:tcBorders>
            <w:noWrap/>
            <w:vAlign w:val="center"/>
            <w:hideMark/>
          </w:tcPr>
          <w:p w14:paraId="2F2FE375" w14:textId="77777777" w:rsidR="00EF3F11" w:rsidRPr="00D97953" w:rsidRDefault="00EF3F11" w:rsidP="00EF3F11">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D97953">
              <w:rPr>
                <w:rFonts w:ascii="Times New Roman" w:eastAsia="Times New Roman" w:hAnsi="Times New Roman" w:cs="Times New Roman"/>
                <w:color w:val="000000"/>
                <w:kern w:val="0"/>
                <w:sz w:val="16"/>
                <w:szCs w:val="16"/>
                <w:lang w:eastAsia="en-IN"/>
                <w14:ligatures w14:val="none"/>
              </w:rPr>
              <w:t>22.00</w:t>
            </w:r>
          </w:p>
        </w:tc>
        <w:tc>
          <w:tcPr>
            <w:tcW w:w="948" w:type="dxa"/>
            <w:tcBorders>
              <w:top w:val="nil"/>
              <w:left w:val="nil"/>
              <w:bottom w:val="single" w:sz="4" w:space="0" w:color="auto"/>
              <w:right w:val="single" w:sz="4" w:space="0" w:color="auto"/>
            </w:tcBorders>
            <w:noWrap/>
            <w:vAlign w:val="center"/>
            <w:hideMark/>
          </w:tcPr>
          <w:p w14:paraId="5B35D273" w14:textId="77777777" w:rsidR="00EF3F11" w:rsidRPr="00D97953" w:rsidRDefault="00EF3F11" w:rsidP="00EF3F11">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D97953">
              <w:rPr>
                <w:rFonts w:ascii="Times New Roman" w:eastAsia="Times New Roman" w:hAnsi="Times New Roman" w:cs="Times New Roman"/>
                <w:color w:val="000000"/>
                <w:kern w:val="0"/>
                <w:sz w:val="16"/>
                <w:szCs w:val="16"/>
                <w:lang w:eastAsia="en-IN"/>
                <w14:ligatures w14:val="none"/>
              </w:rPr>
              <w:t>2.00</w:t>
            </w:r>
          </w:p>
        </w:tc>
        <w:tc>
          <w:tcPr>
            <w:tcW w:w="608" w:type="dxa"/>
            <w:tcBorders>
              <w:top w:val="nil"/>
              <w:left w:val="nil"/>
              <w:bottom w:val="single" w:sz="4" w:space="0" w:color="auto"/>
              <w:right w:val="single" w:sz="4" w:space="0" w:color="auto"/>
            </w:tcBorders>
            <w:noWrap/>
            <w:vAlign w:val="center"/>
            <w:hideMark/>
          </w:tcPr>
          <w:p w14:paraId="3AD7628A" w14:textId="77777777" w:rsidR="00EF3F11" w:rsidRPr="00D97953" w:rsidRDefault="00EF3F11" w:rsidP="00EF3F11">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D97953">
              <w:rPr>
                <w:rFonts w:ascii="Times New Roman" w:eastAsia="Times New Roman" w:hAnsi="Times New Roman" w:cs="Times New Roman"/>
                <w:color w:val="000000"/>
                <w:kern w:val="0"/>
                <w:sz w:val="16"/>
                <w:szCs w:val="16"/>
                <w:lang w:eastAsia="en-IN"/>
                <w14:ligatures w14:val="none"/>
              </w:rPr>
              <w:t>24.00</w:t>
            </w:r>
          </w:p>
        </w:tc>
      </w:tr>
      <w:tr w:rsidR="00EF3F11" w:rsidRPr="00D97953" w14:paraId="499C8DC2" w14:textId="77777777" w:rsidTr="00D97953">
        <w:trPr>
          <w:gridAfter w:val="1"/>
          <w:wAfter w:w="15" w:type="dxa"/>
          <w:trHeight w:val="20"/>
          <w:jc w:val="center"/>
        </w:trPr>
        <w:tc>
          <w:tcPr>
            <w:tcW w:w="2464" w:type="dxa"/>
            <w:tcBorders>
              <w:top w:val="nil"/>
              <w:left w:val="single" w:sz="4" w:space="0" w:color="auto"/>
              <w:bottom w:val="single" w:sz="4" w:space="0" w:color="auto"/>
              <w:right w:val="single" w:sz="4" w:space="0" w:color="auto"/>
            </w:tcBorders>
            <w:noWrap/>
            <w:vAlign w:val="center"/>
            <w:hideMark/>
          </w:tcPr>
          <w:p w14:paraId="76EFC197" w14:textId="77777777" w:rsidR="00EF3F11" w:rsidRPr="00D97953" w:rsidRDefault="00EF3F11" w:rsidP="00EF3F11">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D97953">
              <w:rPr>
                <w:rFonts w:ascii="Times New Roman" w:eastAsia="Times New Roman" w:hAnsi="Times New Roman" w:cs="Times New Roman"/>
                <w:color w:val="000000"/>
                <w:kern w:val="0"/>
                <w:sz w:val="16"/>
                <w:szCs w:val="16"/>
                <w:lang w:eastAsia="en-IN"/>
                <w14:ligatures w14:val="none"/>
              </w:rPr>
              <w:t>3. Bihar</w:t>
            </w:r>
          </w:p>
        </w:tc>
        <w:tc>
          <w:tcPr>
            <w:tcW w:w="608" w:type="dxa"/>
            <w:tcBorders>
              <w:top w:val="nil"/>
              <w:left w:val="nil"/>
              <w:bottom w:val="single" w:sz="4" w:space="0" w:color="auto"/>
              <w:right w:val="single" w:sz="4" w:space="0" w:color="auto"/>
            </w:tcBorders>
            <w:noWrap/>
            <w:vAlign w:val="center"/>
            <w:hideMark/>
          </w:tcPr>
          <w:p w14:paraId="66E2C014" w14:textId="77777777" w:rsidR="00EF3F11" w:rsidRPr="00D97953" w:rsidRDefault="00EF3F11" w:rsidP="00EF3F11">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D97953">
              <w:rPr>
                <w:rFonts w:ascii="Times New Roman" w:eastAsia="Times New Roman" w:hAnsi="Times New Roman" w:cs="Times New Roman"/>
                <w:color w:val="000000"/>
                <w:kern w:val="0"/>
                <w:sz w:val="16"/>
                <w:szCs w:val="16"/>
                <w:lang w:eastAsia="en-IN"/>
                <w14:ligatures w14:val="none"/>
              </w:rPr>
              <w:t>37.50</w:t>
            </w:r>
          </w:p>
        </w:tc>
        <w:tc>
          <w:tcPr>
            <w:tcW w:w="948" w:type="dxa"/>
            <w:tcBorders>
              <w:top w:val="nil"/>
              <w:left w:val="nil"/>
              <w:bottom w:val="single" w:sz="4" w:space="0" w:color="auto"/>
              <w:right w:val="single" w:sz="4" w:space="0" w:color="auto"/>
            </w:tcBorders>
            <w:noWrap/>
            <w:vAlign w:val="center"/>
            <w:hideMark/>
          </w:tcPr>
          <w:p w14:paraId="23EFB3C8" w14:textId="77777777" w:rsidR="00EF3F11" w:rsidRPr="00D97953" w:rsidRDefault="00EF3F11" w:rsidP="00EF3F11">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D97953">
              <w:rPr>
                <w:rFonts w:ascii="Times New Roman" w:eastAsia="Times New Roman" w:hAnsi="Times New Roman" w:cs="Times New Roman"/>
                <w:color w:val="000000"/>
                <w:kern w:val="0"/>
                <w:sz w:val="16"/>
                <w:szCs w:val="16"/>
                <w:lang w:eastAsia="en-IN"/>
                <w14:ligatures w14:val="none"/>
              </w:rPr>
              <w:t>6.00</w:t>
            </w:r>
          </w:p>
        </w:tc>
        <w:tc>
          <w:tcPr>
            <w:tcW w:w="610" w:type="dxa"/>
            <w:tcBorders>
              <w:top w:val="nil"/>
              <w:left w:val="nil"/>
              <w:bottom w:val="single" w:sz="4" w:space="0" w:color="auto"/>
              <w:right w:val="single" w:sz="4" w:space="0" w:color="auto"/>
            </w:tcBorders>
            <w:noWrap/>
            <w:vAlign w:val="center"/>
            <w:hideMark/>
          </w:tcPr>
          <w:p w14:paraId="3DD0C471" w14:textId="77777777" w:rsidR="00EF3F11" w:rsidRPr="00D97953" w:rsidRDefault="00EF3F11" w:rsidP="00EF3F11">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D97953">
              <w:rPr>
                <w:rFonts w:ascii="Times New Roman" w:eastAsia="Times New Roman" w:hAnsi="Times New Roman" w:cs="Times New Roman"/>
                <w:color w:val="000000"/>
                <w:kern w:val="0"/>
                <w:sz w:val="16"/>
                <w:szCs w:val="16"/>
                <w:lang w:eastAsia="en-IN"/>
                <w14:ligatures w14:val="none"/>
              </w:rPr>
              <w:t>43.50</w:t>
            </w:r>
          </w:p>
        </w:tc>
        <w:tc>
          <w:tcPr>
            <w:tcW w:w="1728" w:type="dxa"/>
            <w:tcBorders>
              <w:top w:val="nil"/>
              <w:left w:val="nil"/>
              <w:bottom w:val="single" w:sz="4" w:space="0" w:color="auto"/>
              <w:right w:val="single" w:sz="4" w:space="0" w:color="auto"/>
            </w:tcBorders>
            <w:noWrap/>
            <w:vAlign w:val="center"/>
            <w:hideMark/>
          </w:tcPr>
          <w:p w14:paraId="0D0CF327" w14:textId="77777777" w:rsidR="00EF3F11" w:rsidRPr="00D97953" w:rsidRDefault="00EF3F11" w:rsidP="00EF3F11">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D97953">
              <w:rPr>
                <w:rFonts w:ascii="Times New Roman" w:eastAsia="Times New Roman" w:hAnsi="Times New Roman" w:cs="Times New Roman"/>
                <w:color w:val="000000"/>
                <w:kern w:val="0"/>
                <w:sz w:val="16"/>
                <w:szCs w:val="16"/>
                <w:lang w:eastAsia="en-IN"/>
                <w14:ligatures w14:val="none"/>
              </w:rPr>
              <w:t>30.00</w:t>
            </w:r>
          </w:p>
        </w:tc>
        <w:tc>
          <w:tcPr>
            <w:tcW w:w="948" w:type="dxa"/>
            <w:tcBorders>
              <w:top w:val="nil"/>
              <w:left w:val="nil"/>
              <w:bottom w:val="single" w:sz="4" w:space="0" w:color="auto"/>
              <w:right w:val="single" w:sz="4" w:space="0" w:color="auto"/>
            </w:tcBorders>
            <w:noWrap/>
            <w:vAlign w:val="center"/>
            <w:hideMark/>
          </w:tcPr>
          <w:p w14:paraId="44D8D950" w14:textId="77777777" w:rsidR="00EF3F11" w:rsidRPr="00D97953" w:rsidRDefault="00EF3F11" w:rsidP="00EF3F11">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D97953">
              <w:rPr>
                <w:rFonts w:ascii="Times New Roman" w:eastAsia="Times New Roman" w:hAnsi="Times New Roman" w:cs="Times New Roman"/>
                <w:color w:val="000000"/>
                <w:kern w:val="0"/>
                <w:sz w:val="16"/>
                <w:szCs w:val="16"/>
                <w:lang w:eastAsia="en-IN"/>
                <w14:ligatures w14:val="none"/>
              </w:rPr>
              <w:t>6.00</w:t>
            </w:r>
          </w:p>
        </w:tc>
        <w:tc>
          <w:tcPr>
            <w:tcW w:w="611" w:type="dxa"/>
            <w:tcBorders>
              <w:top w:val="nil"/>
              <w:left w:val="nil"/>
              <w:bottom w:val="single" w:sz="4" w:space="0" w:color="auto"/>
              <w:right w:val="single" w:sz="4" w:space="0" w:color="auto"/>
            </w:tcBorders>
            <w:noWrap/>
            <w:vAlign w:val="center"/>
            <w:hideMark/>
          </w:tcPr>
          <w:p w14:paraId="4E15AA1A" w14:textId="77777777" w:rsidR="00EF3F11" w:rsidRPr="00D97953" w:rsidRDefault="00EF3F11" w:rsidP="00EF3F11">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D97953">
              <w:rPr>
                <w:rFonts w:ascii="Times New Roman" w:eastAsia="Times New Roman" w:hAnsi="Times New Roman" w:cs="Times New Roman"/>
                <w:color w:val="000000"/>
                <w:kern w:val="0"/>
                <w:sz w:val="16"/>
                <w:szCs w:val="16"/>
                <w:lang w:eastAsia="en-IN"/>
                <w14:ligatures w14:val="none"/>
              </w:rPr>
              <w:t>36.00</w:t>
            </w:r>
          </w:p>
        </w:tc>
        <w:tc>
          <w:tcPr>
            <w:tcW w:w="1728" w:type="dxa"/>
            <w:tcBorders>
              <w:top w:val="nil"/>
              <w:left w:val="nil"/>
              <w:bottom w:val="single" w:sz="4" w:space="0" w:color="auto"/>
              <w:right w:val="single" w:sz="4" w:space="0" w:color="auto"/>
            </w:tcBorders>
            <w:noWrap/>
            <w:vAlign w:val="center"/>
            <w:hideMark/>
          </w:tcPr>
          <w:p w14:paraId="302B91B2" w14:textId="77777777" w:rsidR="00EF3F11" w:rsidRPr="00D97953" w:rsidRDefault="00EF3F11" w:rsidP="00EF3F11">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D97953">
              <w:rPr>
                <w:rFonts w:ascii="Times New Roman" w:eastAsia="Times New Roman" w:hAnsi="Times New Roman" w:cs="Times New Roman"/>
                <w:color w:val="000000"/>
                <w:kern w:val="0"/>
                <w:sz w:val="16"/>
                <w:szCs w:val="16"/>
                <w:lang w:eastAsia="en-IN"/>
                <w14:ligatures w14:val="none"/>
              </w:rPr>
              <w:t>32.00</w:t>
            </w:r>
          </w:p>
        </w:tc>
        <w:tc>
          <w:tcPr>
            <w:tcW w:w="948" w:type="dxa"/>
            <w:tcBorders>
              <w:top w:val="nil"/>
              <w:left w:val="nil"/>
              <w:bottom w:val="single" w:sz="4" w:space="0" w:color="auto"/>
              <w:right w:val="single" w:sz="4" w:space="0" w:color="auto"/>
            </w:tcBorders>
            <w:noWrap/>
            <w:vAlign w:val="center"/>
            <w:hideMark/>
          </w:tcPr>
          <w:p w14:paraId="128122DF" w14:textId="77777777" w:rsidR="00EF3F11" w:rsidRPr="00D97953" w:rsidRDefault="00EF3F11" w:rsidP="00EF3F11">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D97953">
              <w:rPr>
                <w:rFonts w:ascii="Times New Roman" w:eastAsia="Times New Roman" w:hAnsi="Times New Roman" w:cs="Times New Roman"/>
                <w:color w:val="000000"/>
                <w:kern w:val="0"/>
                <w:sz w:val="16"/>
                <w:szCs w:val="16"/>
                <w:lang w:eastAsia="en-IN"/>
                <w14:ligatures w14:val="none"/>
              </w:rPr>
              <w:t>6.00</w:t>
            </w:r>
          </w:p>
        </w:tc>
        <w:tc>
          <w:tcPr>
            <w:tcW w:w="610" w:type="dxa"/>
            <w:tcBorders>
              <w:top w:val="nil"/>
              <w:left w:val="nil"/>
              <w:bottom w:val="single" w:sz="4" w:space="0" w:color="auto"/>
              <w:right w:val="single" w:sz="4" w:space="0" w:color="auto"/>
            </w:tcBorders>
            <w:noWrap/>
            <w:vAlign w:val="center"/>
            <w:hideMark/>
          </w:tcPr>
          <w:p w14:paraId="7F238A3E" w14:textId="77777777" w:rsidR="00EF3F11" w:rsidRPr="00D97953" w:rsidRDefault="00EF3F11" w:rsidP="00EF3F11">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D97953">
              <w:rPr>
                <w:rFonts w:ascii="Times New Roman" w:eastAsia="Times New Roman" w:hAnsi="Times New Roman" w:cs="Times New Roman"/>
                <w:color w:val="000000"/>
                <w:kern w:val="0"/>
                <w:sz w:val="16"/>
                <w:szCs w:val="16"/>
                <w:lang w:eastAsia="en-IN"/>
                <w14:ligatures w14:val="none"/>
              </w:rPr>
              <w:t>38.00</w:t>
            </w:r>
          </w:p>
        </w:tc>
        <w:tc>
          <w:tcPr>
            <w:tcW w:w="1728" w:type="dxa"/>
            <w:tcBorders>
              <w:top w:val="nil"/>
              <w:left w:val="nil"/>
              <w:bottom w:val="single" w:sz="4" w:space="0" w:color="auto"/>
              <w:right w:val="single" w:sz="4" w:space="0" w:color="auto"/>
            </w:tcBorders>
            <w:noWrap/>
            <w:vAlign w:val="center"/>
            <w:hideMark/>
          </w:tcPr>
          <w:p w14:paraId="117B666F" w14:textId="77777777" w:rsidR="00EF3F11" w:rsidRPr="00D97953" w:rsidRDefault="00EF3F11" w:rsidP="00EF3F11">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D97953">
              <w:rPr>
                <w:rFonts w:ascii="Times New Roman" w:eastAsia="Times New Roman" w:hAnsi="Times New Roman" w:cs="Times New Roman"/>
                <w:color w:val="000000"/>
                <w:kern w:val="0"/>
                <w:sz w:val="16"/>
                <w:szCs w:val="16"/>
                <w:lang w:eastAsia="en-IN"/>
                <w14:ligatures w14:val="none"/>
              </w:rPr>
              <w:t>30.00</w:t>
            </w:r>
          </w:p>
        </w:tc>
        <w:tc>
          <w:tcPr>
            <w:tcW w:w="948" w:type="dxa"/>
            <w:tcBorders>
              <w:top w:val="nil"/>
              <w:left w:val="nil"/>
              <w:bottom w:val="single" w:sz="4" w:space="0" w:color="auto"/>
              <w:right w:val="single" w:sz="4" w:space="0" w:color="auto"/>
            </w:tcBorders>
            <w:noWrap/>
            <w:vAlign w:val="center"/>
            <w:hideMark/>
          </w:tcPr>
          <w:p w14:paraId="4615782E" w14:textId="77777777" w:rsidR="00EF3F11" w:rsidRPr="00D97953" w:rsidRDefault="00EF3F11" w:rsidP="00EF3F11">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D97953">
              <w:rPr>
                <w:rFonts w:ascii="Times New Roman" w:eastAsia="Times New Roman" w:hAnsi="Times New Roman" w:cs="Times New Roman"/>
                <w:color w:val="000000"/>
                <w:kern w:val="0"/>
                <w:sz w:val="16"/>
                <w:szCs w:val="16"/>
                <w:lang w:eastAsia="en-IN"/>
                <w14:ligatures w14:val="none"/>
              </w:rPr>
              <w:t>6.00</w:t>
            </w:r>
          </w:p>
        </w:tc>
        <w:tc>
          <w:tcPr>
            <w:tcW w:w="608" w:type="dxa"/>
            <w:tcBorders>
              <w:top w:val="nil"/>
              <w:left w:val="nil"/>
              <w:bottom w:val="single" w:sz="4" w:space="0" w:color="auto"/>
              <w:right w:val="single" w:sz="4" w:space="0" w:color="auto"/>
            </w:tcBorders>
            <w:noWrap/>
            <w:vAlign w:val="center"/>
            <w:hideMark/>
          </w:tcPr>
          <w:p w14:paraId="40B05DF8" w14:textId="77777777" w:rsidR="00EF3F11" w:rsidRPr="00D97953" w:rsidRDefault="00EF3F11" w:rsidP="00EF3F11">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D97953">
              <w:rPr>
                <w:rFonts w:ascii="Times New Roman" w:eastAsia="Times New Roman" w:hAnsi="Times New Roman" w:cs="Times New Roman"/>
                <w:color w:val="000000"/>
                <w:kern w:val="0"/>
                <w:sz w:val="16"/>
                <w:szCs w:val="16"/>
                <w:lang w:eastAsia="en-IN"/>
                <w14:ligatures w14:val="none"/>
              </w:rPr>
              <w:t>36.00</w:t>
            </w:r>
          </w:p>
        </w:tc>
      </w:tr>
      <w:tr w:rsidR="00EF3F11" w:rsidRPr="00D97953" w14:paraId="22AE26E2" w14:textId="77777777" w:rsidTr="00D97953">
        <w:trPr>
          <w:gridAfter w:val="1"/>
          <w:wAfter w:w="15" w:type="dxa"/>
          <w:trHeight w:val="20"/>
          <w:jc w:val="center"/>
        </w:trPr>
        <w:tc>
          <w:tcPr>
            <w:tcW w:w="2464" w:type="dxa"/>
            <w:tcBorders>
              <w:top w:val="nil"/>
              <w:left w:val="single" w:sz="4" w:space="0" w:color="auto"/>
              <w:bottom w:val="single" w:sz="4" w:space="0" w:color="auto"/>
              <w:right w:val="single" w:sz="4" w:space="0" w:color="auto"/>
            </w:tcBorders>
            <w:noWrap/>
            <w:vAlign w:val="center"/>
            <w:hideMark/>
          </w:tcPr>
          <w:p w14:paraId="15F7186E" w14:textId="77777777" w:rsidR="00EF3F11" w:rsidRPr="00D97953" w:rsidRDefault="00EF3F11" w:rsidP="00EF3F11">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D97953">
              <w:rPr>
                <w:rFonts w:ascii="Times New Roman" w:eastAsia="Times New Roman" w:hAnsi="Times New Roman" w:cs="Times New Roman"/>
                <w:color w:val="000000"/>
                <w:kern w:val="0"/>
                <w:sz w:val="16"/>
                <w:szCs w:val="16"/>
                <w:lang w:eastAsia="en-IN"/>
                <w14:ligatures w14:val="none"/>
              </w:rPr>
              <w:t>4. Gujarat</w:t>
            </w:r>
          </w:p>
        </w:tc>
        <w:tc>
          <w:tcPr>
            <w:tcW w:w="608" w:type="dxa"/>
            <w:tcBorders>
              <w:top w:val="nil"/>
              <w:left w:val="nil"/>
              <w:bottom w:val="single" w:sz="4" w:space="0" w:color="auto"/>
              <w:right w:val="single" w:sz="4" w:space="0" w:color="auto"/>
            </w:tcBorders>
            <w:noWrap/>
            <w:vAlign w:val="center"/>
            <w:hideMark/>
          </w:tcPr>
          <w:p w14:paraId="4370FC57" w14:textId="77777777" w:rsidR="00EF3F11" w:rsidRPr="00D97953" w:rsidRDefault="00EF3F11" w:rsidP="00EF3F11">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D97953">
              <w:rPr>
                <w:rFonts w:ascii="Times New Roman" w:eastAsia="Times New Roman" w:hAnsi="Times New Roman" w:cs="Times New Roman"/>
                <w:color w:val="000000"/>
                <w:kern w:val="0"/>
                <w:sz w:val="16"/>
                <w:szCs w:val="16"/>
                <w:lang w:eastAsia="en-IN"/>
                <w14:ligatures w14:val="none"/>
              </w:rPr>
              <w:t>30.07</w:t>
            </w:r>
          </w:p>
        </w:tc>
        <w:tc>
          <w:tcPr>
            <w:tcW w:w="948" w:type="dxa"/>
            <w:tcBorders>
              <w:top w:val="nil"/>
              <w:left w:val="nil"/>
              <w:bottom w:val="single" w:sz="4" w:space="0" w:color="auto"/>
              <w:right w:val="single" w:sz="4" w:space="0" w:color="auto"/>
            </w:tcBorders>
            <w:noWrap/>
            <w:vAlign w:val="center"/>
            <w:hideMark/>
          </w:tcPr>
          <w:p w14:paraId="608D8147" w14:textId="77777777" w:rsidR="00EF3F11" w:rsidRPr="00D97953" w:rsidRDefault="00EF3F11" w:rsidP="00EF3F11">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D97953">
              <w:rPr>
                <w:rFonts w:ascii="Times New Roman" w:eastAsia="Times New Roman" w:hAnsi="Times New Roman" w:cs="Times New Roman"/>
                <w:color w:val="000000"/>
                <w:kern w:val="0"/>
                <w:sz w:val="16"/>
                <w:szCs w:val="16"/>
                <w:lang w:eastAsia="en-IN"/>
                <w14:ligatures w14:val="none"/>
              </w:rPr>
              <w:t>6.00</w:t>
            </w:r>
          </w:p>
        </w:tc>
        <w:tc>
          <w:tcPr>
            <w:tcW w:w="610" w:type="dxa"/>
            <w:tcBorders>
              <w:top w:val="nil"/>
              <w:left w:val="nil"/>
              <w:bottom w:val="single" w:sz="4" w:space="0" w:color="auto"/>
              <w:right w:val="single" w:sz="4" w:space="0" w:color="auto"/>
            </w:tcBorders>
            <w:noWrap/>
            <w:vAlign w:val="center"/>
            <w:hideMark/>
          </w:tcPr>
          <w:p w14:paraId="2FA55B4F" w14:textId="77777777" w:rsidR="00EF3F11" w:rsidRPr="00D97953" w:rsidRDefault="00EF3F11" w:rsidP="00EF3F11">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D97953">
              <w:rPr>
                <w:rFonts w:ascii="Times New Roman" w:eastAsia="Times New Roman" w:hAnsi="Times New Roman" w:cs="Times New Roman"/>
                <w:color w:val="000000"/>
                <w:kern w:val="0"/>
                <w:sz w:val="16"/>
                <w:szCs w:val="16"/>
                <w:lang w:eastAsia="en-IN"/>
                <w14:ligatures w14:val="none"/>
              </w:rPr>
              <w:t>36.07</w:t>
            </w:r>
          </w:p>
        </w:tc>
        <w:tc>
          <w:tcPr>
            <w:tcW w:w="1728" w:type="dxa"/>
            <w:tcBorders>
              <w:top w:val="nil"/>
              <w:left w:val="nil"/>
              <w:bottom w:val="single" w:sz="4" w:space="0" w:color="auto"/>
              <w:right w:val="single" w:sz="4" w:space="0" w:color="auto"/>
            </w:tcBorders>
            <w:noWrap/>
            <w:vAlign w:val="center"/>
            <w:hideMark/>
          </w:tcPr>
          <w:p w14:paraId="75ACA95B" w14:textId="77777777" w:rsidR="00EF3F11" w:rsidRPr="00D97953" w:rsidRDefault="00EF3F11" w:rsidP="00EF3F11">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D97953">
              <w:rPr>
                <w:rFonts w:ascii="Times New Roman" w:eastAsia="Times New Roman" w:hAnsi="Times New Roman" w:cs="Times New Roman"/>
                <w:color w:val="000000"/>
                <w:kern w:val="0"/>
                <w:sz w:val="16"/>
                <w:szCs w:val="16"/>
                <w:lang w:eastAsia="en-IN"/>
                <w14:ligatures w14:val="none"/>
              </w:rPr>
              <w:t>14.55</w:t>
            </w:r>
          </w:p>
        </w:tc>
        <w:tc>
          <w:tcPr>
            <w:tcW w:w="948" w:type="dxa"/>
            <w:tcBorders>
              <w:top w:val="nil"/>
              <w:left w:val="nil"/>
              <w:bottom w:val="single" w:sz="4" w:space="0" w:color="auto"/>
              <w:right w:val="single" w:sz="4" w:space="0" w:color="auto"/>
            </w:tcBorders>
            <w:noWrap/>
            <w:vAlign w:val="center"/>
            <w:hideMark/>
          </w:tcPr>
          <w:p w14:paraId="7BEA0915" w14:textId="77777777" w:rsidR="00EF3F11" w:rsidRPr="00D97953" w:rsidRDefault="00EF3F11" w:rsidP="00EF3F11">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D97953">
              <w:rPr>
                <w:rFonts w:ascii="Times New Roman" w:eastAsia="Times New Roman" w:hAnsi="Times New Roman" w:cs="Times New Roman"/>
                <w:color w:val="000000"/>
                <w:kern w:val="0"/>
                <w:sz w:val="16"/>
                <w:szCs w:val="16"/>
                <w:lang w:eastAsia="en-IN"/>
                <w14:ligatures w14:val="none"/>
              </w:rPr>
              <w:t>10.00</w:t>
            </w:r>
          </w:p>
        </w:tc>
        <w:tc>
          <w:tcPr>
            <w:tcW w:w="611" w:type="dxa"/>
            <w:tcBorders>
              <w:top w:val="nil"/>
              <w:left w:val="nil"/>
              <w:bottom w:val="single" w:sz="4" w:space="0" w:color="auto"/>
              <w:right w:val="single" w:sz="4" w:space="0" w:color="auto"/>
            </w:tcBorders>
            <w:noWrap/>
            <w:vAlign w:val="center"/>
            <w:hideMark/>
          </w:tcPr>
          <w:p w14:paraId="5C6B62BD" w14:textId="77777777" w:rsidR="00EF3F11" w:rsidRPr="00D97953" w:rsidRDefault="00EF3F11" w:rsidP="00EF3F11">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D97953">
              <w:rPr>
                <w:rFonts w:ascii="Times New Roman" w:eastAsia="Times New Roman" w:hAnsi="Times New Roman" w:cs="Times New Roman"/>
                <w:color w:val="000000"/>
                <w:kern w:val="0"/>
                <w:sz w:val="16"/>
                <w:szCs w:val="16"/>
                <w:lang w:eastAsia="en-IN"/>
                <w14:ligatures w14:val="none"/>
              </w:rPr>
              <w:t>24.55</w:t>
            </w:r>
          </w:p>
        </w:tc>
        <w:tc>
          <w:tcPr>
            <w:tcW w:w="1728" w:type="dxa"/>
            <w:tcBorders>
              <w:top w:val="nil"/>
              <w:left w:val="nil"/>
              <w:bottom w:val="single" w:sz="4" w:space="0" w:color="auto"/>
              <w:right w:val="single" w:sz="4" w:space="0" w:color="auto"/>
            </w:tcBorders>
            <w:noWrap/>
            <w:vAlign w:val="center"/>
            <w:hideMark/>
          </w:tcPr>
          <w:p w14:paraId="1EB7CD18" w14:textId="77777777" w:rsidR="00EF3F11" w:rsidRPr="00D97953" w:rsidRDefault="00EF3F11" w:rsidP="00EF3F11">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D97953">
              <w:rPr>
                <w:rFonts w:ascii="Times New Roman" w:eastAsia="Times New Roman" w:hAnsi="Times New Roman" w:cs="Times New Roman"/>
                <w:color w:val="000000"/>
                <w:kern w:val="0"/>
                <w:sz w:val="16"/>
                <w:szCs w:val="16"/>
                <w:lang w:eastAsia="en-IN"/>
                <w14:ligatures w14:val="none"/>
              </w:rPr>
              <w:t>30.07</w:t>
            </w:r>
          </w:p>
        </w:tc>
        <w:tc>
          <w:tcPr>
            <w:tcW w:w="948" w:type="dxa"/>
            <w:tcBorders>
              <w:top w:val="nil"/>
              <w:left w:val="nil"/>
              <w:bottom w:val="single" w:sz="4" w:space="0" w:color="auto"/>
              <w:right w:val="single" w:sz="4" w:space="0" w:color="auto"/>
            </w:tcBorders>
            <w:noWrap/>
            <w:vAlign w:val="center"/>
            <w:hideMark/>
          </w:tcPr>
          <w:p w14:paraId="0C43E2CB" w14:textId="77777777" w:rsidR="00EF3F11" w:rsidRPr="00D97953" w:rsidRDefault="00EF3F11" w:rsidP="00EF3F11">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D97953">
              <w:rPr>
                <w:rFonts w:ascii="Times New Roman" w:eastAsia="Times New Roman" w:hAnsi="Times New Roman" w:cs="Times New Roman"/>
                <w:color w:val="000000"/>
                <w:kern w:val="0"/>
                <w:sz w:val="16"/>
                <w:szCs w:val="16"/>
                <w:lang w:eastAsia="en-IN"/>
                <w14:ligatures w14:val="none"/>
              </w:rPr>
              <w:t>10.00</w:t>
            </w:r>
          </w:p>
        </w:tc>
        <w:tc>
          <w:tcPr>
            <w:tcW w:w="610" w:type="dxa"/>
            <w:tcBorders>
              <w:top w:val="nil"/>
              <w:left w:val="nil"/>
              <w:bottom w:val="single" w:sz="4" w:space="0" w:color="auto"/>
              <w:right w:val="single" w:sz="4" w:space="0" w:color="auto"/>
            </w:tcBorders>
            <w:noWrap/>
            <w:vAlign w:val="center"/>
            <w:hideMark/>
          </w:tcPr>
          <w:p w14:paraId="23604DC1" w14:textId="77777777" w:rsidR="00EF3F11" w:rsidRPr="00D97953" w:rsidRDefault="00EF3F11" w:rsidP="00EF3F11">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D97953">
              <w:rPr>
                <w:rFonts w:ascii="Times New Roman" w:eastAsia="Times New Roman" w:hAnsi="Times New Roman" w:cs="Times New Roman"/>
                <w:color w:val="000000"/>
                <w:kern w:val="0"/>
                <w:sz w:val="16"/>
                <w:szCs w:val="16"/>
                <w:lang w:eastAsia="en-IN"/>
                <w14:ligatures w14:val="none"/>
              </w:rPr>
              <w:t>40.07</w:t>
            </w:r>
          </w:p>
        </w:tc>
        <w:tc>
          <w:tcPr>
            <w:tcW w:w="1728" w:type="dxa"/>
            <w:tcBorders>
              <w:top w:val="nil"/>
              <w:left w:val="nil"/>
              <w:bottom w:val="single" w:sz="4" w:space="0" w:color="auto"/>
              <w:right w:val="single" w:sz="4" w:space="0" w:color="auto"/>
            </w:tcBorders>
            <w:noWrap/>
            <w:vAlign w:val="center"/>
            <w:hideMark/>
          </w:tcPr>
          <w:p w14:paraId="4093ADF2" w14:textId="77777777" w:rsidR="00EF3F11" w:rsidRPr="00D97953" w:rsidRDefault="00EF3F11" w:rsidP="00EF3F11">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D97953">
              <w:rPr>
                <w:rFonts w:ascii="Times New Roman" w:eastAsia="Times New Roman" w:hAnsi="Times New Roman" w:cs="Times New Roman"/>
                <w:color w:val="000000"/>
                <w:kern w:val="0"/>
                <w:sz w:val="16"/>
                <w:szCs w:val="16"/>
                <w:lang w:eastAsia="en-IN"/>
                <w14:ligatures w14:val="none"/>
              </w:rPr>
              <w:t>14.55</w:t>
            </w:r>
          </w:p>
        </w:tc>
        <w:tc>
          <w:tcPr>
            <w:tcW w:w="948" w:type="dxa"/>
            <w:tcBorders>
              <w:top w:val="nil"/>
              <w:left w:val="nil"/>
              <w:bottom w:val="single" w:sz="4" w:space="0" w:color="auto"/>
              <w:right w:val="single" w:sz="4" w:space="0" w:color="auto"/>
            </w:tcBorders>
            <w:noWrap/>
            <w:vAlign w:val="center"/>
            <w:hideMark/>
          </w:tcPr>
          <w:p w14:paraId="7C84E5AB" w14:textId="77777777" w:rsidR="00EF3F11" w:rsidRPr="00D97953" w:rsidRDefault="00EF3F11" w:rsidP="00EF3F11">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D97953">
              <w:rPr>
                <w:rFonts w:ascii="Times New Roman" w:eastAsia="Times New Roman" w:hAnsi="Times New Roman" w:cs="Times New Roman"/>
                <w:color w:val="000000"/>
                <w:kern w:val="0"/>
                <w:sz w:val="16"/>
                <w:szCs w:val="16"/>
                <w:lang w:eastAsia="en-IN"/>
                <w14:ligatures w14:val="none"/>
              </w:rPr>
              <w:t>10.00</w:t>
            </w:r>
          </w:p>
        </w:tc>
        <w:tc>
          <w:tcPr>
            <w:tcW w:w="608" w:type="dxa"/>
            <w:tcBorders>
              <w:top w:val="nil"/>
              <w:left w:val="nil"/>
              <w:bottom w:val="single" w:sz="4" w:space="0" w:color="auto"/>
              <w:right w:val="single" w:sz="4" w:space="0" w:color="auto"/>
            </w:tcBorders>
            <w:noWrap/>
            <w:vAlign w:val="center"/>
            <w:hideMark/>
          </w:tcPr>
          <w:p w14:paraId="116BB946" w14:textId="77777777" w:rsidR="00EF3F11" w:rsidRPr="00D97953" w:rsidRDefault="00EF3F11" w:rsidP="00EF3F11">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D97953">
              <w:rPr>
                <w:rFonts w:ascii="Times New Roman" w:eastAsia="Times New Roman" w:hAnsi="Times New Roman" w:cs="Times New Roman"/>
                <w:color w:val="000000"/>
                <w:kern w:val="0"/>
                <w:sz w:val="16"/>
                <w:szCs w:val="16"/>
                <w:lang w:eastAsia="en-IN"/>
                <w14:ligatures w14:val="none"/>
              </w:rPr>
              <w:t>24.55</w:t>
            </w:r>
          </w:p>
        </w:tc>
      </w:tr>
      <w:tr w:rsidR="00EF3F11" w:rsidRPr="00D97953" w14:paraId="39EB0073" w14:textId="77777777" w:rsidTr="00D97953">
        <w:trPr>
          <w:gridAfter w:val="1"/>
          <w:wAfter w:w="15" w:type="dxa"/>
          <w:trHeight w:val="20"/>
          <w:jc w:val="center"/>
        </w:trPr>
        <w:tc>
          <w:tcPr>
            <w:tcW w:w="2464" w:type="dxa"/>
            <w:tcBorders>
              <w:top w:val="nil"/>
              <w:left w:val="single" w:sz="4" w:space="0" w:color="auto"/>
              <w:bottom w:val="single" w:sz="4" w:space="0" w:color="auto"/>
              <w:right w:val="single" w:sz="4" w:space="0" w:color="auto"/>
            </w:tcBorders>
            <w:noWrap/>
            <w:vAlign w:val="center"/>
            <w:hideMark/>
          </w:tcPr>
          <w:p w14:paraId="0E166D11" w14:textId="77777777" w:rsidR="00EF3F11" w:rsidRPr="00D97953" w:rsidRDefault="00EF3F11" w:rsidP="00EF3F11">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D97953">
              <w:rPr>
                <w:rFonts w:ascii="Times New Roman" w:eastAsia="Times New Roman" w:hAnsi="Times New Roman" w:cs="Times New Roman"/>
                <w:color w:val="000000"/>
                <w:kern w:val="0"/>
                <w:sz w:val="16"/>
                <w:szCs w:val="16"/>
                <w:lang w:eastAsia="en-IN"/>
                <w14:ligatures w14:val="none"/>
              </w:rPr>
              <w:t>5. Haryana</w:t>
            </w:r>
          </w:p>
        </w:tc>
        <w:tc>
          <w:tcPr>
            <w:tcW w:w="608" w:type="dxa"/>
            <w:tcBorders>
              <w:top w:val="nil"/>
              <w:left w:val="nil"/>
              <w:bottom w:val="single" w:sz="4" w:space="0" w:color="auto"/>
              <w:right w:val="single" w:sz="4" w:space="0" w:color="auto"/>
            </w:tcBorders>
            <w:noWrap/>
            <w:vAlign w:val="center"/>
            <w:hideMark/>
          </w:tcPr>
          <w:p w14:paraId="0D62EB2A" w14:textId="77777777" w:rsidR="00EF3F11" w:rsidRPr="00D97953" w:rsidRDefault="00EF3F11" w:rsidP="00EF3F11">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D97953">
              <w:rPr>
                <w:rFonts w:ascii="Times New Roman" w:eastAsia="Times New Roman" w:hAnsi="Times New Roman" w:cs="Times New Roman"/>
                <w:color w:val="000000"/>
                <w:kern w:val="0"/>
                <w:sz w:val="16"/>
                <w:szCs w:val="16"/>
                <w:lang w:eastAsia="en-IN"/>
                <w14:ligatures w14:val="none"/>
              </w:rPr>
              <w:t>26.56</w:t>
            </w:r>
          </w:p>
        </w:tc>
        <w:tc>
          <w:tcPr>
            <w:tcW w:w="948" w:type="dxa"/>
            <w:tcBorders>
              <w:top w:val="nil"/>
              <w:left w:val="nil"/>
              <w:bottom w:val="single" w:sz="4" w:space="0" w:color="auto"/>
              <w:right w:val="single" w:sz="4" w:space="0" w:color="auto"/>
            </w:tcBorders>
            <w:noWrap/>
            <w:vAlign w:val="center"/>
            <w:hideMark/>
          </w:tcPr>
          <w:p w14:paraId="26E45066" w14:textId="77777777" w:rsidR="00EF3F11" w:rsidRPr="00D97953" w:rsidRDefault="00EF3F11" w:rsidP="00EF3F11">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D97953">
              <w:rPr>
                <w:rFonts w:ascii="Times New Roman" w:eastAsia="Times New Roman" w:hAnsi="Times New Roman" w:cs="Times New Roman"/>
                <w:color w:val="000000"/>
                <w:kern w:val="0"/>
                <w:sz w:val="16"/>
                <w:szCs w:val="16"/>
                <w:lang w:eastAsia="en-IN"/>
                <w14:ligatures w14:val="none"/>
              </w:rPr>
              <w:t>6.63</w:t>
            </w:r>
          </w:p>
        </w:tc>
        <w:tc>
          <w:tcPr>
            <w:tcW w:w="610" w:type="dxa"/>
            <w:tcBorders>
              <w:top w:val="nil"/>
              <w:left w:val="nil"/>
              <w:bottom w:val="single" w:sz="4" w:space="0" w:color="auto"/>
              <w:right w:val="single" w:sz="4" w:space="0" w:color="auto"/>
            </w:tcBorders>
            <w:noWrap/>
            <w:vAlign w:val="center"/>
            <w:hideMark/>
          </w:tcPr>
          <w:p w14:paraId="1FED1DFE" w14:textId="77777777" w:rsidR="00EF3F11" w:rsidRPr="00D97953" w:rsidRDefault="00EF3F11" w:rsidP="00EF3F11">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D97953">
              <w:rPr>
                <w:rFonts w:ascii="Times New Roman" w:eastAsia="Times New Roman" w:hAnsi="Times New Roman" w:cs="Times New Roman"/>
                <w:color w:val="000000"/>
                <w:kern w:val="0"/>
                <w:sz w:val="16"/>
                <w:szCs w:val="16"/>
                <w:lang w:eastAsia="en-IN"/>
                <w14:ligatures w14:val="none"/>
              </w:rPr>
              <w:t>33.19</w:t>
            </w:r>
          </w:p>
        </w:tc>
        <w:tc>
          <w:tcPr>
            <w:tcW w:w="1728" w:type="dxa"/>
            <w:tcBorders>
              <w:top w:val="nil"/>
              <w:left w:val="nil"/>
              <w:bottom w:val="single" w:sz="4" w:space="0" w:color="auto"/>
              <w:right w:val="single" w:sz="4" w:space="0" w:color="auto"/>
            </w:tcBorders>
            <w:noWrap/>
            <w:vAlign w:val="center"/>
            <w:hideMark/>
          </w:tcPr>
          <w:p w14:paraId="66A450F1" w14:textId="77777777" w:rsidR="00EF3F11" w:rsidRPr="00D97953" w:rsidRDefault="00EF3F11" w:rsidP="00EF3F11">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D97953">
              <w:rPr>
                <w:rFonts w:ascii="Times New Roman" w:eastAsia="Times New Roman" w:hAnsi="Times New Roman" w:cs="Times New Roman"/>
                <w:color w:val="000000"/>
                <w:kern w:val="0"/>
                <w:sz w:val="16"/>
                <w:szCs w:val="16"/>
                <w:lang w:eastAsia="en-IN"/>
                <w14:ligatures w14:val="none"/>
              </w:rPr>
              <w:t>11.56</w:t>
            </w:r>
          </w:p>
        </w:tc>
        <w:tc>
          <w:tcPr>
            <w:tcW w:w="948" w:type="dxa"/>
            <w:tcBorders>
              <w:top w:val="nil"/>
              <w:left w:val="nil"/>
              <w:bottom w:val="single" w:sz="4" w:space="0" w:color="auto"/>
              <w:right w:val="single" w:sz="4" w:space="0" w:color="auto"/>
            </w:tcBorders>
            <w:noWrap/>
            <w:vAlign w:val="center"/>
            <w:hideMark/>
          </w:tcPr>
          <w:p w14:paraId="48C22C2E" w14:textId="77777777" w:rsidR="00EF3F11" w:rsidRPr="00D97953" w:rsidRDefault="00EF3F11" w:rsidP="00EF3F11">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D97953">
              <w:rPr>
                <w:rFonts w:ascii="Times New Roman" w:eastAsia="Times New Roman" w:hAnsi="Times New Roman" w:cs="Times New Roman"/>
                <w:color w:val="000000"/>
                <w:kern w:val="0"/>
                <w:sz w:val="16"/>
                <w:szCs w:val="16"/>
                <w:lang w:eastAsia="en-IN"/>
                <w14:ligatures w14:val="none"/>
              </w:rPr>
              <w:t>10.08</w:t>
            </w:r>
          </w:p>
        </w:tc>
        <w:tc>
          <w:tcPr>
            <w:tcW w:w="611" w:type="dxa"/>
            <w:tcBorders>
              <w:top w:val="nil"/>
              <w:left w:val="nil"/>
              <w:bottom w:val="single" w:sz="4" w:space="0" w:color="auto"/>
              <w:right w:val="single" w:sz="4" w:space="0" w:color="auto"/>
            </w:tcBorders>
            <w:noWrap/>
            <w:vAlign w:val="center"/>
            <w:hideMark/>
          </w:tcPr>
          <w:p w14:paraId="5C25B980" w14:textId="77777777" w:rsidR="00EF3F11" w:rsidRPr="00D97953" w:rsidRDefault="00EF3F11" w:rsidP="00EF3F11">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D97953">
              <w:rPr>
                <w:rFonts w:ascii="Times New Roman" w:eastAsia="Times New Roman" w:hAnsi="Times New Roman" w:cs="Times New Roman"/>
                <w:color w:val="000000"/>
                <w:kern w:val="0"/>
                <w:sz w:val="16"/>
                <w:szCs w:val="16"/>
                <w:lang w:eastAsia="en-IN"/>
                <w14:ligatures w14:val="none"/>
              </w:rPr>
              <w:t>21.64</w:t>
            </w:r>
          </w:p>
        </w:tc>
        <w:tc>
          <w:tcPr>
            <w:tcW w:w="1728" w:type="dxa"/>
            <w:tcBorders>
              <w:top w:val="nil"/>
              <w:left w:val="nil"/>
              <w:bottom w:val="single" w:sz="4" w:space="0" w:color="auto"/>
              <w:right w:val="single" w:sz="4" w:space="0" w:color="auto"/>
            </w:tcBorders>
            <w:noWrap/>
            <w:vAlign w:val="center"/>
            <w:hideMark/>
          </w:tcPr>
          <w:p w14:paraId="2E4A46B5" w14:textId="77777777" w:rsidR="00EF3F11" w:rsidRPr="00D97953" w:rsidRDefault="00EF3F11" w:rsidP="00EF3F11">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D97953">
              <w:rPr>
                <w:rFonts w:ascii="Times New Roman" w:eastAsia="Times New Roman" w:hAnsi="Times New Roman" w:cs="Times New Roman"/>
                <w:color w:val="000000"/>
                <w:kern w:val="0"/>
                <w:sz w:val="16"/>
                <w:szCs w:val="16"/>
                <w:lang w:eastAsia="en-IN"/>
                <w14:ligatures w14:val="none"/>
              </w:rPr>
              <w:t>17.50</w:t>
            </w:r>
          </w:p>
        </w:tc>
        <w:tc>
          <w:tcPr>
            <w:tcW w:w="948" w:type="dxa"/>
            <w:tcBorders>
              <w:top w:val="nil"/>
              <w:left w:val="nil"/>
              <w:bottom w:val="single" w:sz="4" w:space="0" w:color="auto"/>
              <w:right w:val="single" w:sz="4" w:space="0" w:color="auto"/>
            </w:tcBorders>
            <w:noWrap/>
            <w:vAlign w:val="center"/>
            <w:hideMark/>
          </w:tcPr>
          <w:p w14:paraId="7287541C" w14:textId="77777777" w:rsidR="00EF3F11" w:rsidRPr="00D97953" w:rsidRDefault="00EF3F11" w:rsidP="00EF3F11">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D97953">
              <w:rPr>
                <w:rFonts w:ascii="Times New Roman" w:eastAsia="Times New Roman" w:hAnsi="Times New Roman" w:cs="Times New Roman"/>
                <w:color w:val="000000"/>
                <w:kern w:val="0"/>
                <w:sz w:val="16"/>
                <w:szCs w:val="16"/>
                <w:lang w:eastAsia="en-IN"/>
                <w14:ligatures w14:val="none"/>
              </w:rPr>
              <w:t>11.37</w:t>
            </w:r>
          </w:p>
        </w:tc>
        <w:tc>
          <w:tcPr>
            <w:tcW w:w="610" w:type="dxa"/>
            <w:tcBorders>
              <w:top w:val="nil"/>
              <w:left w:val="nil"/>
              <w:bottom w:val="single" w:sz="4" w:space="0" w:color="auto"/>
              <w:right w:val="single" w:sz="4" w:space="0" w:color="auto"/>
            </w:tcBorders>
            <w:noWrap/>
            <w:vAlign w:val="center"/>
            <w:hideMark/>
          </w:tcPr>
          <w:p w14:paraId="4CB2A584" w14:textId="77777777" w:rsidR="00EF3F11" w:rsidRPr="00D97953" w:rsidRDefault="00EF3F11" w:rsidP="00EF3F11">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D97953">
              <w:rPr>
                <w:rFonts w:ascii="Times New Roman" w:eastAsia="Times New Roman" w:hAnsi="Times New Roman" w:cs="Times New Roman"/>
                <w:color w:val="000000"/>
                <w:kern w:val="0"/>
                <w:sz w:val="16"/>
                <w:szCs w:val="16"/>
                <w:lang w:eastAsia="en-IN"/>
                <w14:ligatures w14:val="none"/>
              </w:rPr>
              <w:t>28.87</w:t>
            </w:r>
          </w:p>
        </w:tc>
        <w:tc>
          <w:tcPr>
            <w:tcW w:w="1728" w:type="dxa"/>
            <w:tcBorders>
              <w:top w:val="nil"/>
              <w:left w:val="nil"/>
              <w:bottom w:val="single" w:sz="4" w:space="0" w:color="auto"/>
              <w:right w:val="single" w:sz="4" w:space="0" w:color="auto"/>
            </w:tcBorders>
            <w:noWrap/>
            <w:vAlign w:val="center"/>
            <w:hideMark/>
          </w:tcPr>
          <w:p w14:paraId="7C848FCB" w14:textId="77777777" w:rsidR="00EF3F11" w:rsidRPr="00D97953" w:rsidRDefault="00EF3F11" w:rsidP="00EF3F11">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D97953">
              <w:rPr>
                <w:rFonts w:ascii="Times New Roman" w:eastAsia="Times New Roman" w:hAnsi="Times New Roman" w:cs="Times New Roman"/>
                <w:color w:val="000000"/>
                <w:kern w:val="0"/>
                <w:sz w:val="16"/>
                <w:szCs w:val="16"/>
                <w:lang w:eastAsia="en-IN"/>
                <w14:ligatures w14:val="none"/>
              </w:rPr>
              <w:t>13.44</w:t>
            </w:r>
          </w:p>
        </w:tc>
        <w:tc>
          <w:tcPr>
            <w:tcW w:w="948" w:type="dxa"/>
            <w:tcBorders>
              <w:top w:val="nil"/>
              <w:left w:val="nil"/>
              <w:bottom w:val="single" w:sz="4" w:space="0" w:color="auto"/>
              <w:right w:val="single" w:sz="4" w:space="0" w:color="auto"/>
            </w:tcBorders>
            <w:noWrap/>
            <w:vAlign w:val="center"/>
            <w:hideMark/>
          </w:tcPr>
          <w:p w14:paraId="048D4C98" w14:textId="77777777" w:rsidR="00EF3F11" w:rsidRPr="00D97953" w:rsidRDefault="00EF3F11" w:rsidP="00EF3F11">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D97953">
              <w:rPr>
                <w:rFonts w:ascii="Times New Roman" w:eastAsia="Times New Roman" w:hAnsi="Times New Roman" w:cs="Times New Roman"/>
                <w:color w:val="000000"/>
                <w:kern w:val="0"/>
                <w:sz w:val="16"/>
                <w:szCs w:val="16"/>
                <w:lang w:eastAsia="en-IN"/>
                <w14:ligatures w14:val="none"/>
              </w:rPr>
              <w:t>10.00</w:t>
            </w:r>
          </w:p>
        </w:tc>
        <w:tc>
          <w:tcPr>
            <w:tcW w:w="608" w:type="dxa"/>
            <w:tcBorders>
              <w:top w:val="nil"/>
              <w:left w:val="nil"/>
              <w:bottom w:val="single" w:sz="4" w:space="0" w:color="auto"/>
              <w:right w:val="single" w:sz="4" w:space="0" w:color="auto"/>
            </w:tcBorders>
            <w:noWrap/>
            <w:vAlign w:val="center"/>
            <w:hideMark/>
          </w:tcPr>
          <w:p w14:paraId="3BC021C9" w14:textId="77777777" w:rsidR="00EF3F11" w:rsidRPr="00D97953" w:rsidRDefault="00EF3F11" w:rsidP="00EF3F11">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D97953">
              <w:rPr>
                <w:rFonts w:ascii="Times New Roman" w:eastAsia="Times New Roman" w:hAnsi="Times New Roman" w:cs="Times New Roman"/>
                <w:color w:val="000000"/>
                <w:kern w:val="0"/>
                <w:sz w:val="16"/>
                <w:szCs w:val="16"/>
                <w:lang w:eastAsia="en-IN"/>
                <w14:ligatures w14:val="none"/>
              </w:rPr>
              <w:t>23.44</w:t>
            </w:r>
          </w:p>
        </w:tc>
      </w:tr>
      <w:tr w:rsidR="00EF3F11" w:rsidRPr="00D97953" w14:paraId="2A79BBDE" w14:textId="77777777" w:rsidTr="00D97953">
        <w:trPr>
          <w:gridAfter w:val="1"/>
          <w:wAfter w:w="15" w:type="dxa"/>
          <w:trHeight w:val="20"/>
          <w:jc w:val="center"/>
        </w:trPr>
        <w:tc>
          <w:tcPr>
            <w:tcW w:w="2464" w:type="dxa"/>
            <w:tcBorders>
              <w:top w:val="nil"/>
              <w:left w:val="single" w:sz="4" w:space="0" w:color="auto"/>
              <w:bottom w:val="single" w:sz="4" w:space="0" w:color="auto"/>
              <w:right w:val="single" w:sz="4" w:space="0" w:color="auto"/>
            </w:tcBorders>
            <w:noWrap/>
            <w:vAlign w:val="center"/>
            <w:hideMark/>
          </w:tcPr>
          <w:p w14:paraId="077D1B17" w14:textId="77777777" w:rsidR="00EF3F11" w:rsidRPr="00D97953" w:rsidRDefault="00EF3F11" w:rsidP="00EF3F11">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D97953">
              <w:rPr>
                <w:rFonts w:ascii="Times New Roman" w:eastAsia="Times New Roman" w:hAnsi="Times New Roman" w:cs="Times New Roman"/>
                <w:color w:val="000000"/>
                <w:kern w:val="0"/>
                <w:sz w:val="16"/>
                <w:szCs w:val="16"/>
                <w:lang w:eastAsia="en-IN"/>
                <w14:ligatures w14:val="none"/>
              </w:rPr>
              <w:t>6. Jammu &amp; Kashmir:</w:t>
            </w:r>
          </w:p>
        </w:tc>
        <w:tc>
          <w:tcPr>
            <w:tcW w:w="608" w:type="dxa"/>
            <w:tcBorders>
              <w:top w:val="nil"/>
              <w:left w:val="nil"/>
              <w:bottom w:val="single" w:sz="4" w:space="0" w:color="auto"/>
              <w:right w:val="single" w:sz="4" w:space="0" w:color="auto"/>
            </w:tcBorders>
            <w:noWrap/>
            <w:vAlign w:val="center"/>
            <w:hideMark/>
          </w:tcPr>
          <w:p w14:paraId="6584F6A1" w14:textId="77777777" w:rsidR="00EF3F11" w:rsidRPr="00D97953" w:rsidRDefault="00EF3F11" w:rsidP="00EF3F11">
            <w:pPr>
              <w:spacing w:after="0" w:line="240" w:lineRule="auto"/>
              <w:rPr>
                <w:rFonts w:ascii="Aptos" w:eastAsia="Times New Roman" w:hAnsi="Aptos" w:cs="Times New Roman"/>
                <w:color w:val="000000"/>
                <w:kern w:val="0"/>
                <w:sz w:val="16"/>
                <w:szCs w:val="16"/>
                <w:lang w:eastAsia="en-IN"/>
                <w14:ligatures w14:val="none"/>
              </w:rPr>
            </w:pPr>
            <w:r w:rsidRPr="00D97953">
              <w:rPr>
                <w:rFonts w:ascii="Aptos" w:eastAsia="Times New Roman" w:hAnsi="Aptos" w:cs="Times New Roman"/>
                <w:color w:val="000000"/>
                <w:kern w:val="0"/>
                <w:sz w:val="16"/>
                <w:szCs w:val="16"/>
                <w:lang w:eastAsia="en-IN"/>
                <w14:ligatures w14:val="none"/>
              </w:rPr>
              <w:t> </w:t>
            </w:r>
          </w:p>
        </w:tc>
        <w:tc>
          <w:tcPr>
            <w:tcW w:w="948" w:type="dxa"/>
            <w:tcBorders>
              <w:top w:val="nil"/>
              <w:left w:val="nil"/>
              <w:bottom w:val="single" w:sz="4" w:space="0" w:color="auto"/>
              <w:right w:val="single" w:sz="4" w:space="0" w:color="auto"/>
            </w:tcBorders>
            <w:noWrap/>
            <w:vAlign w:val="center"/>
            <w:hideMark/>
          </w:tcPr>
          <w:p w14:paraId="38F65DF3" w14:textId="77777777" w:rsidR="00EF3F11" w:rsidRPr="00D97953" w:rsidRDefault="00EF3F11" w:rsidP="00EF3F11">
            <w:pPr>
              <w:spacing w:after="0" w:line="240" w:lineRule="auto"/>
              <w:rPr>
                <w:rFonts w:ascii="Aptos" w:eastAsia="Times New Roman" w:hAnsi="Aptos" w:cs="Times New Roman"/>
                <w:color w:val="000000"/>
                <w:kern w:val="0"/>
                <w:sz w:val="16"/>
                <w:szCs w:val="16"/>
                <w:lang w:eastAsia="en-IN"/>
                <w14:ligatures w14:val="none"/>
              </w:rPr>
            </w:pPr>
            <w:r w:rsidRPr="00D97953">
              <w:rPr>
                <w:rFonts w:ascii="Aptos" w:eastAsia="Times New Roman" w:hAnsi="Aptos" w:cs="Times New Roman"/>
                <w:color w:val="000000"/>
                <w:kern w:val="0"/>
                <w:sz w:val="16"/>
                <w:szCs w:val="16"/>
                <w:lang w:eastAsia="en-IN"/>
                <w14:ligatures w14:val="none"/>
              </w:rPr>
              <w:t> </w:t>
            </w:r>
          </w:p>
        </w:tc>
        <w:tc>
          <w:tcPr>
            <w:tcW w:w="610" w:type="dxa"/>
            <w:tcBorders>
              <w:top w:val="nil"/>
              <w:left w:val="nil"/>
              <w:bottom w:val="single" w:sz="4" w:space="0" w:color="auto"/>
              <w:right w:val="single" w:sz="4" w:space="0" w:color="auto"/>
            </w:tcBorders>
            <w:noWrap/>
            <w:vAlign w:val="center"/>
            <w:hideMark/>
          </w:tcPr>
          <w:p w14:paraId="5E7EF67D" w14:textId="77777777" w:rsidR="00EF3F11" w:rsidRPr="00D97953" w:rsidRDefault="00EF3F11" w:rsidP="00EF3F11">
            <w:pPr>
              <w:spacing w:after="0" w:line="240" w:lineRule="auto"/>
              <w:rPr>
                <w:rFonts w:ascii="Aptos" w:eastAsia="Times New Roman" w:hAnsi="Aptos" w:cs="Times New Roman"/>
                <w:color w:val="000000"/>
                <w:kern w:val="0"/>
                <w:sz w:val="16"/>
                <w:szCs w:val="16"/>
                <w:lang w:eastAsia="en-IN"/>
                <w14:ligatures w14:val="none"/>
              </w:rPr>
            </w:pPr>
            <w:r w:rsidRPr="00D97953">
              <w:rPr>
                <w:rFonts w:ascii="Aptos" w:eastAsia="Times New Roman" w:hAnsi="Aptos" w:cs="Times New Roman"/>
                <w:color w:val="000000"/>
                <w:kern w:val="0"/>
                <w:sz w:val="16"/>
                <w:szCs w:val="16"/>
                <w:lang w:eastAsia="en-IN"/>
                <w14:ligatures w14:val="none"/>
              </w:rPr>
              <w:t> </w:t>
            </w:r>
          </w:p>
        </w:tc>
        <w:tc>
          <w:tcPr>
            <w:tcW w:w="1728" w:type="dxa"/>
            <w:tcBorders>
              <w:top w:val="nil"/>
              <w:left w:val="nil"/>
              <w:bottom w:val="single" w:sz="4" w:space="0" w:color="auto"/>
              <w:right w:val="single" w:sz="4" w:space="0" w:color="auto"/>
            </w:tcBorders>
            <w:noWrap/>
            <w:vAlign w:val="center"/>
            <w:hideMark/>
          </w:tcPr>
          <w:p w14:paraId="47C2F0A0" w14:textId="77777777" w:rsidR="00EF3F11" w:rsidRPr="00D97953" w:rsidRDefault="00EF3F11" w:rsidP="00EF3F11">
            <w:pPr>
              <w:spacing w:after="0" w:line="240" w:lineRule="auto"/>
              <w:rPr>
                <w:rFonts w:ascii="Aptos" w:eastAsia="Times New Roman" w:hAnsi="Aptos" w:cs="Times New Roman"/>
                <w:color w:val="000000"/>
                <w:kern w:val="0"/>
                <w:sz w:val="16"/>
                <w:szCs w:val="16"/>
                <w:lang w:eastAsia="en-IN"/>
                <w14:ligatures w14:val="none"/>
              </w:rPr>
            </w:pPr>
            <w:r w:rsidRPr="00D97953">
              <w:rPr>
                <w:rFonts w:ascii="Aptos" w:eastAsia="Times New Roman" w:hAnsi="Aptos" w:cs="Times New Roman"/>
                <w:color w:val="000000"/>
                <w:kern w:val="0"/>
                <w:sz w:val="16"/>
                <w:szCs w:val="16"/>
                <w:lang w:eastAsia="en-IN"/>
                <w14:ligatures w14:val="none"/>
              </w:rPr>
              <w:t> </w:t>
            </w:r>
          </w:p>
        </w:tc>
        <w:tc>
          <w:tcPr>
            <w:tcW w:w="948" w:type="dxa"/>
            <w:tcBorders>
              <w:top w:val="nil"/>
              <w:left w:val="nil"/>
              <w:bottom w:val="single" w:sz="4" w:space="0" w:color="auto"/>
              <w:right w:val="single" w:sz="4" w:space="0" w:color="auto"/>
            </w:tcBorders>
            <w:noWrap/>
            <w:vAlign w:val="center"/>
            <w:hideMark/>
          </w:tcPr>
          <w:p w14:paraId="1C961473" w14:textId="77777777" w:rsidR="00EF3F11" w:rsidRPr="00D97953" w:rsidRDefault="00EF3F11" w:rsidP="00EF3F11">
            <w:pPr>
              <w:spacing w:after="0" w:line="240" w:lineRule="auto"/>
              <w:rPr>
                <w:rFonts w:ascii="Aptos" w:eastAsia="Times New Roman" w:hAnsi="Aptos" w:cs="Times New Roman"/>
                <w:color w:val="000000"/>
                <w:kern w:val="0"/>
                <w:sz w:val="16"/>
                <w:szCs w:val="16"/>
                <w:lang w:eastAsia="en-IN"/>
                <w14:ligatures w14:val="none"/>
              </w:rPr>
            </w:pPr>
            <w:r w:rsidRPr="00D97953">
              <w:rPr>
                <w:rFonts w:ascii="Aptos" w:eastAsia="Times New Roman" w:hAnsi="Aptos" w:cs="Times New Roman"/>
                <w:color w:val="000000"/>
                <w:kern w:val="0"/>
                <w:sz w:val="16"/>
                <w:szCs w:val="16"/>
                <w:lang w:eastAsia="en-IN"/>
                <w14:ligatures w14:val="none"/>
              </w:rPr>
              <w:t> </w:t>
            </w:r>
          </w:p>
        </w:tc>
        <w:tc>
          <w:tcPr>
            <w:tcW w:w="611" w:type="dxa"/>
            <w:tcBorders>
              <w:top w:val="nil"/>
              <w:left w:val="nil"/>
              <w:bottom w:val="single" w:sz="4" w:space="0" w:color="auto"/>
              <w:right w:val="single" w:sz="4" w:space="0" w:color="auto"/>
            </w:tcBorders>
            <w:noWrap/>
            <w:vAlign w:val="center"/>
            <w:hideMark/>
          </w:tcPr>
          <w:p w14:paraId="449B4FF3" w14:textId="77777777" w:rsidR="00EF3F11" w:rsidRPr="00D97953" w:rsidRDefault="00EF3F11" w:rsidP="00EF3F11">
            <w:pPr>
              <w:spacing w:after="0" w:line="240" w:lineRule="auto"/>
              <w:rPr>
                <w:rFonts w:ascii="Aptos" w:eastAsia="Times New Roman" w:hAnsi="Aptos" w:cs="Times New Roman"/>
                <w:color w:val="000000"/>
                <w:kern w:val="0"/>
                <w:sz w:val="16"/>
                <w:szCs w:val="16"/>
                <w:lang w:eastAsia="en-IN"/>
                <w14:ligatures w14:val="none"/>
              </w:rPr>
            </w:pPr>
            <w:r w:rsidRPr="00D97953">
              <w:rPr>
                <w:rFonts w:ascii="Aptos" w:eastAsia="Times New Roman" w:hAnsi="Aptos" w:cs="Times New Roman"/>
                <w:color w:val="000000"/>
                <w:kern w:val="0"/>
                <w:sz w:val="16"/>
                <w:szCs w:val="16"/>
                <w:lang w:eastAsia="en-IN"/>
                <w14:ligatures w14:val="none"/>
              </w:rPr>
              <w:t> </w:t>
            </w:r>
          </w:p>
        </w:tc>
        <w:tc>
          <w:tcPr>
            <w:tcW w:w="1728" w:type="dxa"/>
            <w:tcBorders>
              <w:top w:val="nil"/>
              <w:left w:val="nil"/>
              <w:bottom w:val="single" w:sz="4" w:space="0" w:color="auto"/>
              <w:right w:val="single" w:sz="4" w:space="0" w:color="auto"/>
            </w:tcBorders>
            <w:noWrap/>
            <w:vAlign w:val="center"/>
            <w:hideMark/>
          </w:tcPr>
          <w:p w14:paraId="155704C2" w14:textId="77777777" w:rsidR="00EF3F11" w:rsidRPr="00D97953" w:rsidRDefault="00EF3F11" w:rsidP="00EF3F11">
            <w:pPr>
              <w:spacing w:after="0" w:line="240" w:lineRule="auto"/>
              <w:rPr>
                <w:rFonts w:ascii="Aptos" w:eastAsia="Times New Roman" w:hAnsi="Aptos" w:cs="Times New Roman"/>
                <w:color w:val="000000"/>
                <w:kern w:val="0"/>
                <w:sz w:val="16"/>
                <w:szCs w:val="16"/>
                <w:lang w:eastAsia="en-IN"/>
                <w14:ligatures w14:val="none"/>
              </w:rPr>
            </w:pPr>
            <w:r w:rsidRPr="00D97953">
              <w:rPr>
                <w:rFonts w:ascii="Aptos" w:eastAsia="Times New Roman" w:hAnsi="Aptos" w:cs="Times New Roman"/>
                <w:color w:val="000000"/>
                <w:kern w:val="0"/>
                <w:sz w:val="16"/>
                <w:szCs w:val="16"/>
                <w:lang w:eastAsia="en-IN"/>
                <w14:ligatures w14:val="none"/>
              </w:rPr>
              <w:t> </w:t>
            </w:r>
          </w:p>
        </w:tc>
        <w:tc>
          <w:tcPr>
            <w:tcW w:w="948" w:type="dxa"/>
            <w:tcBorders>
              <w:top w:val="nil"/>
              <w:left w:val="nil"/>
              <w:bottom w:val="single" w:sz="4" w:space="0" w:color="auto"/>
              <w:right w:val="single" w:sz="4" w:space="0" w:color="auto"/>
            </w:tcBorders>
            <w:noWrap/>
            <w:vAlign w:val="center"/>
            <w:hideMark/>
          </w:tcPr>
          <w:p w14:paraId="465E3408" w14:textId="77777777" w:rsidR="00EF3F11" w:rsidRPr="00D97953" w:rsidRDefault="00EF3F11" w:rsidP="00EF3F11">
            <w:pPr>
              <w:spacing w:after="0" w:line="240" w:lineRule="auto"/>
              <w:rPr>
                <w:rFonts w:ascii="Aptos" w:eastAsia="Times New Roman" w:hAnsi="Aptos" w:cs="Times New Roman"/>
                <w:color w:val="000000"/>
                <w:kern w:val="0"/>
                <w:sz w:val="16"/>
                <w:szCs w:val="16"/>
                <w:lang w:eastAsia="en-IN"/>
                <w14:ligatures w14:val="none"/>
              </w:rPr>
            </w:pPr>
            <w:r w:rsidRPr="00D97953">
              <w:rPr>
                <w:rFonts w:ascii="Aptos" w:eastAsia="Times New Roman" w:hAnsi="Aptos" w:cs="Times New Roman"/>
                <w:color w:val="000000"/>
                <w:kern w:val="0"/>
                <w:sz w:val="16"/>
                <w:szCs w:val="16"/>
                <w:lang w:eastAsia="en-IN"/>
                <w14:ligatures w14:val="none"/>
              </w:rPr>
              <w:t> </w:t>
            </w:r>
          </w:p>
        </w:tc>
        <w:tc>
          <w:tcPr>
            <w:tcW w:w="610" w:type="dxa"/>
            <w:tcBorders>
              <w:top w:val="nil"/>
              <w:left w:val="nil"/>
              <w:bottom w:val="single" w:sz="4" w:space="0" w:color="auto"/>
              <w:right w:val="single" w:sz="4" w:space="0" w:color="auto"/>
            </w:tcBorders>
            <w:noWrap/>
            <w:vAlign w:val="center"/>
            <w:hideMark/>
          </w:tcPr>
          <w:p w14:paraId="26FF0188" w14:textId="77777777" w:rsidR="00EF3F11" w:rsidRPr="00D97953" w:rsidRDefault="00EF3F11" w:rsidP="00EF3F11">
            <w:pPr>
              <w:spacing w:after="0" w:line="240" w:lineRule="auto"/>
              <w:rPr>
                <w:rFonts w:ascii="Aptos" w:eastAsia="Times New Roman" w:hAnsi="Aptos" w:cs="Times New Roman"/>
                <w:color w:val="000000"/>
                <w:kern w:val="0"/>
                <w:sz w:val="16"/>
                <w:szCs w:val="16"/>
                <w:lang w:eastAsia="en-IN"/>
                <w14:ligatures w14:val="none"/>
              </w:rPr>
            </w:pPr>
            <w:r w:rsidRPr="00D97953">
              <w:rPr>
                <w:rFonts w:ascii="Aptos" w:eastAsia="Times New Roman" w:hAnsi="Aptos" w:cs="Times New Roman"/>
                <w:color w:val="000000"/>
                <w:kern w:val="0"/>
                <w:sz w:val="16"/>
                <w:szCs w:val="16"/>
                <w:lang w:eastAsia="en-IN"/>
                <w14:ligatures w14:val="none"/>
              </w:rPr>
              <w:t> </w:t>
            </w:r>
          </w:p>
        </w:tc>
        <w:tc>
          <w:tcPr>
            <w:tcW w:w="1728" w:type="dxa"/>
            <w:tcBorders>
              <w:top w:val="nil"/>
              <w:left w:val="nil"/>
              <w:bottom w:val="single" w:sz="4" w:space="0" w:color="auto"/>
              <w:right w:val="single" w:sz="4" w:space="0" w:color="auto"/>
            </w:tcBorders>
            <w:noWrap/>
            <w:vAlign w:val="center"/>
            <w:hideMark/>
          </w:tcPr>
          <w:p w14:paraId="1FEA8418" w14:textId="77777777" w:rsidR="00EF3F11" w:rsidRPr="00D97953" w:rsidRDefault="00EF3F11" w:rsidP="00EF3F11">
            <w:pPr>
              <w:spacing w:after="0" w:line="240" w:lineRule="auto"/>
              <w:rPr>
                <w:rFonts w:ascii="Aptos" w:eastAsia="Times New Roman" w:hAnsi="Aptos" w:cs="Times New Roman"/>
                <w:color w:val="000000"/>
                <w:kern w:val="0"/>
                <w:sz w:val="16"/>
                <w:szCs w:val="16"/>
                <w:lang w:eastAsia="en-IN"/>
                <w14:ligatures w14:val="none"/>
              </w:rPr>
            </w:pPr>
            <w:r w:rsidRPr="00D97953">
              <w:rPr>
                <w:rFonts w:ascii="Aptos" w:eastAsia="Times New Roman" w:hAnsi="Aptos" w:cs="Times New Roman"/>
                <w:color w:val="000000"/>
                <w:kern w:val="0"/>
                <w:sz w:val="16"/>
                <w:szCs w:val="16"/>
                <w:lang w:eastAsia="en-IN"/>
                <w14:ligatures w14:val="none"/>
              </w:rPr>
              <w:t> </w:t>
            </w:r>
          </w:p>
        </w:tc>
        <w:tc>
          <w:tcPr>
            <w:tcW w:w="948" w:type="dxa"/>
            <w:tcBorders>
              <w:top w:val="nil"/>
              <w:left w:val="nil"/>
              <w:bottom w:val="single" w:sz="4" w:space="0" w:color="auto"/>
              <w:right w:val="single" w:sz="4" w:space="0" w:color="auto"/>
            </w:tcBorders>
            <w:noWrap/>
            <w:vAlign w:val="center"/>
            <w:hideMark/>
          </w:tcPr>
          <w:p w14:paraId="02DA3D5A" w14:textId="77777777" w:rsidR="00EF3F11" w:rsidRPr="00D97953" w:rsidRDefault="00EF3F11" w:rsidP="00EF3F11">
            <w:pPr>
              <w:spacing w:after="0" w:line="240" w:lineRule="auto"/>
              <w:rPr>
                <w:rFonts w:ascii="Aptos" w:eastAsia="Times New Roman" w:hAnsi="Aptos" w:cs="Times New Roman"/>
                <w:color w:val="000000"/>
                <w:kern w:val="0"/>
                <w:sz w:val="16"/>
                <w:szCs w:val="16"/>
                <w:lang w:eastAsia="en-IN"/>
                <w14:ligatures w14:val="none"/>
              </w:rPr>
            </w:pPr>
            <w:r w:rsidRPr="00D97953">
              <w:rPr>
                <w:rFonts w:ascii="Aptos" w:eastAsia="Times New Roman" w:hAnsi="Aptos" w:cs="Times New Roman"/>
                <w:color w:val="000000"/>
                <w:kern w:val="0"/>
                <w:sz w:val="16"/>
                <w:szCs w:val="16"/>
                <w:lang w:eastAsia="en-IN"/>
                <w14:ligatures w14:val="none"/>
              </w:rPr>
              <w:t> </w:t>
            </w:r>
          </w:p>
        </w:tc>
        <w:tc>
          <w:tcPr>
            <w:tcW w:w="608" w:type="dxa"/>
            <w:tcBorders>
              <w:top w:val="nil"/>
              <w:left w:val="nil"/>
              <w:bottom w:val="single" w:sz="4" w:space="0" w:color="auto"/>
              <w:right w:val="single" w:sz="4" w:space="0" w:color="auto"/>
            </w:tcBorders>
            <w:noWrap/>
            <w:vAlign w:val="center"/>
            <w:hideMark/>
          </w:tcPr>
          <w:p w14:paraId="097054C1" w14:textId="77777777" w:rsidR="00EF3F11" w:rsidRPr="00D97953" w:rsidRDefault="00EF3F11" w:rsidP="00EF3F11">
            <w:pPr>
              <w:spacing w:after="0" w:line="240" w:lineRule="auto"/>
              <w:rPr>
                <w:rFonts w:ascii="Aptos" w:eastAsia="Times New Roman" w:hAnsi="Aptos" w:cs="Times New Roman"/>
                <w:color w:val="000000"/>
                <w:kern w:val="0"/>
                <w:sz w:val="16"/>
                <w:szCs w:val="16"/>
                <w:lang w:eastAsia="en-IN"/>
                <w14:ligatures w14:val="none"/>
              </w:rPr>
            </w:pPr>
            <w:r w:rsidRPr="00D97953">
              <w:rPr>
                <w:rFonts w:ascii="Aptos" w:eastAsia="Times New Roman" w:hAnsi="Aptos" w:cs="Times New Roman"/>
                <w:color w:val="000000"/>
                <w:kern w:val="0"/>
                <w:sz w:val="16"/>
                <w:szCs w:val="16"/>
                <w:lang w:eastAsia="en-IN"/>
                <w14:ligatures w14:val="none"/>
              </w:rPr>
              <w:t> </w:t>
            </w:r>
          </w:p>
        </w:tc>
      </w:tr>
      <w:tr w:rsidR="00EF3F11" w:rsidRPr="00D97953" w14:paraId="4BF33759" w14:textId="77777777" w:rsidTr="00D97953">
        <w:trPr>
          <w:gridAfter w:val="1"/>
          <w:wAfter w:w="15" w:type="dxa"/>
          <w:trHeight w:val="20"/>
          <w:jc w:val="center"/>
        </w:trPr>
        <w:tc>
          <w:tcPr>
            <w:tcW w:w="2464" w:type="dxa"/>
            <w:tcBorders>
              <w:top w:val="nil"/>
              <w:left w:val="single" w:sz="4" w:space="0" w:color="auto"/>
              <w:bottom w:val="single" w:sz="4" w:space="0" w:color="auto"/>
              <w:right w:val="single" w:sz="4" w:space="0" w:color="auto"/>
            </w:tcBorders>
            <w:noWrap/>
            <w:vAlign w:val="center"/>
            <w:hideMark/>
          </w:tcPr>
          <w:p w14:paraId="1B28F9C9" w14:textId="77777777" w:rsidR="00EF3F11" w:rsidRPr="00D97953" w:rsidRDefault="00EF3F11" w:rsidP="00EF3F11">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D97953">
              <w:rPr>
                <w:rFonts w:ascii="Times New Roman" w:eastAsia="Times New Roman" w:hAnsi="Times New Roman" w:cs="Times New Roman"/>
                <w:color w:val="000000"/>
                <w:kern w:val="0"/>
                <w:sz w:val="16"/>
                <w:szCs w:val="16"/>
                <w:lang w:eastAsia="en-IN"/>
                <w14:ligatures w14:val="none"/>
              </w:rPr>
              <w:t>(a) Jammu</w:t>
            </w:r>
          </w:p>
        </w:tc>
        <w:tc>
          <w:tcPr>
            <w:tcW w:w="608" w:type="dxa"/>
            <w:vMerge w:val="restart"/>
            <w:tcBorders>
              <w:top w:val="nil"/>
              <w:left w:val="single" w:sz="4" w:space="0" w:color="auto"/>
              <w:bottom w:val="single" w:sz="4" w:space="0" w:color="000000"/>
              <w:right w:val="single" w:sz="4" w:space="0" w:color="auto"/>
            </w:tcBorders>
            <w:noWrap/>
            <w:vAlign w:val="center"/>
            <w:hideMark/>
          </w:tcPr>
          <w:p w14:paraId="0E034819" w14:textId="77777777" w:rsidR="00EF3F11" w:rsidRPr="00D97953" w:rsidRDefault="00EF3F11" w:rsidP="00EF3F11">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D97953">
              <w:rPr>
                <w:rFonts w:ascii="Times New Roman" w:eastAsia="Times New Roman" w:hAnsi="Times New Roman" w:cs="Times New Roman"/>
                <w:color w:val="000000"/>
                <w:kern w:val="0"/>
                <w:sz w:val="16"/>
                <w:szCs w:val="16"/>
                <w:lang w:eastAsia="en-IN"/>
                <w14:ligatures w14:val="none"/>
              </w:rPr>
              <w:t>25.00</w:t>
            </w:r>
          </w:p>
        </w:tc>
        <w:tc>
          <w:tcPr>
            <w:tcW w:w="948" w:type="dxa"/>
            <w:vMerge w:val="restart"/>
            <w:tcBorders>
              <w:top w:val="nil"/>
              <w:left w:val="single" w:sz="4" w:space="0" w:color="auto"/>
              <w:bottom w:val="single" w:sz="4" w:space="0" w:color="000000"/>
              <w:right w:val="single" w:sz="4" w:space="0" w:color="auto"/>
            </w:tcBorders>
            <w:noWrap/>
            <w:vAlign w:val="center"/>
            <w:hideMark/>
          </w:tcPr>
          <w:p w14:paraId="2EF1A3C6" w14:textId="77777777" w:rsidR="00EF3F11" w:rsidRPr="00D97953" w:rsidRDefault="00EF3F11" w:rsidP="00EF3F11">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D97953">
              <w:rPr>
                <w:rFonts w:ascii="Times New Roman" w:eastAsia="Times New Roman" w:hAnsi="Times New Roman" w:cs="Times New Roman"/>
                <w:color w:val="000000"/>
                <w:kern w:val="0"/>
                <w:sz w:val="16"/>
                <w:szCs w:val="16"/>
                <w:lang w:eastAsia="en-IN"/>
                <w14:ligatures w14:val="none"/>
              </w:rPr>
              <w:t>1.56</w:t>
            </w:r>
          </w:p>
        </w:tc>
        <w:tc>
          <w:tcPr>
            <w:tcW w:w="610" w:type="dxa"/>
            <w:vMerge w:val="restart"/>
            <w:tcBorders>
              <w:top w:val="nil"/>
              <w:left w:val="single" w:sz="4" w:space="0" w:color="auto"/>
              <w:bottom w:val="single" w:sz="4" w:space="0" w:color="000000"/>
              <w:right w:val="single" w:sz="4" w:space="0" w:color="auto"/>
            </w:tcBorders>
            <w:noWrap/>
            <w:vAlign w:val="center"/>
            <w:hideMark/>
          </w:tcPr>
          <w:p w14:paraId="0724C1B8" w14:textId="77777777" w:rsidR="00EF3F11" w:rsidRPr="00D97953" w:rsidRDefault="00EF3F11" w:rsidP="00EF3F11">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D97953">
              <w:rPr>
                <w:rFonts w:ascii="Times New Roman" w:eastAsia="Times New Roman" w:hAnsi="Times New Roman" w:cs="Times New Roman"/>
                <w:color w:val="000000"/>
                <w:kern w:val="0"/>
                <w:sz w:val="16"/>
                <w:szCs w:val="16"/>
                <w:lang w:eastAsia="en-IN"/>
                <w14:ligatures w14:val="none"/>
              </w:rPr>
              <w:t>26.56</w:t>
            </w:r>
          </w:p>
        </w:tc>
        <w:tc>
          <w:tcPr>
            <w:tcW w:w="1728" w:type="dxa"/>
            <w:vMerge w:val="restart"/>
            <w:tcBorders>
              <w:top w:val="nil"/>
              <w:left w:val="single" w:sz="4" w:space="0" w:color="auto"/>
              <w:bottom w:val="single" w:sz="4" w:space="0" w:color="000000"/>
              <w:right w:val="single" w:sz="4" w:space="0" w:color="auto"/>
            </w:tcBorders>
            <w:noWrap/>
            <w:vAlign w:val="center"/>
            <w:hideMark/>
          </w:tcPr>
          <w:p w14:paraId="28285AB4" w14:textId="77777777" w:rsidR="00EF3F11" w:rsidRPr="00D97953" w:rsidRDefault="00EF3F11" w:rsidP="00EF3F11">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D97953">
              <w:rPr>
                <w:rFonts w:ascii="Times New Roman" w:eastAsia="Times New Roman" w:hAnsi="Times New Roman" w:cs="Times New Roman"/>
                <w:color w:val="000000"/>
                <w:kern w:val="0"/>
                <w:sz w:val="16"/>
                <w:szCs w:val="16"/>
                <w:lang w:eastAsia="en-IN"/>
                <w14:ligatures w14:val="none"/>
              </w:rPr>
              <w:t>16.70</w:t>
            </w:r>
          </w:p>
        </w:tc>
        <w:tc>
          <w:tcPr>
            <w:tcW w:w="948" w:type="dxa"/>
            <w:vMerge w:val="restart"/>
            <w:tcBorders>
              <w:top w:val="nil"/>
              <w:left w:val="single" w:sz="4" w:space="0" w:color="auto"/>
              <w:bottom w:val="single" w:sz="4" w:space="0" w:color="000000"/>
              <w:right w:val="single" w:sz="4" w:space="0" w:color="auto"/>
            </w:tcBorders>
            <w:noWrap/>
            <w:vAlign w:val="center"/>
            <w:hideMark/>
          </w:tcPr>
          <w:p w14:paraId="2F2C8156" w14:textId="77777777" w:rsidR="00EF3F11" w:rsidRPr="00D97953" w:rsidRDefault="00EF3F11" w:rsidP="00EF3F11">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D97953">
              <w:rPr>
                <w:rFonts w:ascii="Times New Roman" w:eastAsia="Times New Roman" w:hAnsi="Times New Roman" w:cs="Times New Roman"/>
                <w:color w:val="000000"/>
                <w:kern w:val="0"/>
                <w:sz w:val="16"/>
                <w:szCs w:val="16"/>
                <w:lang w:eastAsia="en-IN"/>
                <w14:ligatures w14:val="none"/>
              </w:rPr>
              <w:t>1.48</w:t>
            </w:r>
          </w:p>
        </w:tc>
        <w:tc>
          <w:tcPr>
            <w:tcW w:w="611" w:type="dxa"/>
            <w:vMerge w:val="restart"/>
            <w:tcBorders>
              <w:top w:val="nil"/>
              <w:left w:val="single" w:sz="4" w:space="0" w:color="auto"/>
              <w:bottom w:val="single" w:sz="4" w:space="0" w:color="000000"/>
              <w:right w:val="single" w:sz="4" w:space="0" w:color="auto"/>
            </w:tcBorders>
            <w:noWrap/>
            <w:vAlign w:val="center"/>
            <w:hideMark/>
          </w:tcPr>
          <w:p w14:paraId="596A80D4" w14:textId="77777777" w:rsidR="00EF3F11" w:rsidRPr="00D97953" w:rsidRDefault="00EF3F11" w:rsidP="00EF3F11">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D97953">
              <w:rPr>
                <w:rFonts w:ascii="Times New Roman" w:eastAsia="Times New Roman" w:hAnsi="Times New Roman" w:cs="Times New Roman"/>
                <w:color w:val="000000"/>
                <w:kern w:val="0"/>
                <w:sz w:val="16"/>
                <w:szCs w:val="16"/>
                <w:lang w:eastAsia="en-IN"/>
                <w14:ligatures w14:val="none"/>
              </w:rPr>
              <w:t>18.18</w:t>
            </w:r>
          </w:p>
        </w:tc>
        <w:tc>
          <w:tcPr>
            <w:tcW w:w="1728" w:type="dxa"/>
            <w:vMerge w:val="restart"/>
            <w:tcBorders>
              <w:top w:val="nil"/>
              <w:left w:val="single" w:sz="4" w:space="0" w:color="auto"/>
              <w:bottom w:val="single" w:sz="4" w:space="0" w:color="000000"/>
              <w:right w:val="single" w:sz="4" w:space="0" w:color="auto"/>
            </w:tcBorders>
            <w:noWrap/>
            <w:vAlign w:val="center"/>
            <w:hideMark/>
          </w:tcPr>
          <w:p w14:paraId="65DD34E2" w14:textId="77777777" w:rsidR="00EF3F11" w:rsidRPr="00D97953" w:rsidRDefault="00EF3F11" w:rsidP="00EF3F11">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D97953">
              <w:rPr>
                <w:rFonts w:ascii="Times New Roman" w:eastAsia="Times New Roman" w:hAnsi="Times New Roman" w:cs="Times New Roman"/>
                <w:color w:val="000000"/>
                <w:kern w:val="0"/>
                <w:sz w:val="16"/>
                <w:szCs w:val="16"/>
                <w:lang w:eastAsia="en-IN"/>
                <w14:ligatures w14:val="none"/>
              </w:rPr>
              <w:t>25.00</w:t>
            </w:r>
          </w:p>
        </w:tc>
        <w:tc>
          <w:tcPr>
            <w:tcW w:w="948" w:type="dxa"/>
            <w:vMerge w:val="restart"/>
            <w:tcBorders>
              <w:top w:val="nil"/>
              <w:left w:val="single" w:sz="4" w:space="0" w:color="auto"/>
              <w:bottom w:val="single" w:sz="4" w:space="0" w:color="000000"/>
              <w:right w:val="single" w:sz="4" w:space="0" w:color="auto"/>
            </w:tcBorders>
            <w:noWrap/>
            <w:vAlign w:val="center"/>
            <w:hideMark/>
          </w:tcPr>
          <w:p w14:paraId="7242A335" w14:textId="77777777" w:rsidR="00EF3F11" w:rsidRPr="00D97953" w:rsidRDefault="00EF3F11" w:rsidP="00EF3F11">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D97953">
              <w:rPr>
                <w:rFonts w:ascii="Times New Roman" w:eastAsia="Times New Roman" w:hAnsi="Times New Roman" w:cs="Times New Roman"/>
                <w:color w:val="000000"/>
                <w:kern w:val="0"/>
                <w:sz w:val="16"/>
                <w:szCs w:val="16"/>
                <w:lang w:eastAsia="en-IN"/>
                <w14:ligatures w14:val="none"/>
              </w:rPr>
              <w:t>2.31</w:t>
            </w:r>
          </w:p>
        </w:tc>
        <w:tc>
          <w:tcPr>
            <w:tcW w:w="610" w:type="dxa"/>
            <w:vMerge w:val="restart"/>
            <w:tcBorders>
              <w:top w:val="nil"/>
              <w:left w:val="single" w:sz="4" w:space="0" w:color="auto"/>
              <w:bottom w:val="single" w:sz="4" w:space="0" w:color="000000"/>
              <w:right w:val="single" w:sz="4" w:space="0" w:color="auto"/>
            </w:tcBorders>
            <w:noWrap/>
            <w:vAlign w:val="center"/>
            <w:hideMark/>
          </w:tcPr>
          <w:p w14:paraId="017C11AF" w14:textId="77777777" w:rsidR="00EF3F11" w:rsidRPr="00D97953" w:rsidRDefault="00EF3F11" w:rsidP="00EF3F11">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D97953">
              <w:rPr>
                <w:rFonts w:ascii="Times New Roman" w:eastAsia="Times New Roman" w:hAnsi="Times New Roman" w:cs="Times New Roman"/>
                <w:color w:val="000000"/>
                <w:kern w:val="0"/>
                <w:sz w:val="16"/>
                <w:szCs w:val="16"/>
                <w:lang w:eastAsia="en-IN"/>
                <w14:ligatures w14:val="none"/>
              </w:rPr>
              <w:t>27.31</w:t>
            </w:r>
          </w:p>
        </w:tc>
        <w:tc>
          <w:tcPr>
            <w:tcW w:w="1728" w:type="dxa"/>
            <w:vMerge w:val="restart"/>
            <w:tcBorders>
              <w:top w:val="nil"/>
              <w:left w:val="single" w:sz="4" w:space="0" w:color="auto"/>
              <w:bottom w:val="single" w:sz="4" w:space="0" w:color="000000"/>
              <w:right w:val="single" w:sz="4" w:space="0" w:color="auto"/>
            </w:tcBorders>
            <w:noWrap/>
            <w:vAlign w:val="center"/>
            <w:hideMark/>
          </w:tcPr>
          <w:p w14:paraId="0FBF0992" w14:textId="77777777" w:rsidR="00EF3F11" w:rsidRPr="00D97953" w:rsidRDefault="00EF3F11" w:rsidP="00EF3F11">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D97953">
              <w:rPr>
                <w:rFonts w:ascii="Times New Roman" w:eastAsia="Times New Roman" w:hAnsi="Times New Roman" w:cs="Times New Roman"/>
                <w:color w:val="000000"/>
                <w:kern w:val="0"/>
                <w:sz w:val="16"/>
                <w:szCs w:val="16"/>
                <w:lang w:eastAsia="en-IN"/>
                <w14:ligatures w14:val="none"/>
              </w:rPr>
              <w:t>25.00</w:t>
            </w:r>
          </w:p>
        </w:tc>
        <w:tc>
          <w:tcPr>
            <w:tcW w:w="948" w:type="dxa"/>
            <w:vMerge w:val="restart"/>
            <w:tcBorders>
              <w:top w:val="nil"/>
              <w:left w:val="single" w:sz="4" w:space="0" w:color="auto"/>
              <w:bottom w:val="single" w:sz="4" w:space="0" w:color="000000"/>
              <w:right w:val="single" w:sz="4" w:space="0" w:color="auto"/>
            </w:tcBorders>
            <w:noWrap/>
            <w:vAlign w:val="center"/>
            <w:hideMark/>
          </w:tcPr>
          <w:p w14:paraId="2EDED2D9" w14:textId="77777777" w:rsidR="00EF3F11" w:rsidRPr="00D97953" w:rsidRDefault="00EF3F11" w:rsidP="00EF3F11">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D97953">
              <w:rPr>
                <w:rFonts w:ascii="Times New Roman" w:eastAsia="Times New Roman" w:hAnsi="Times New Roman" w:cs="Times New Roman"/>
                <w:color w:val="000000"/>
                <w:kern w:val="0"/>
                <w:sz w:val="16"/>
                <w:szCs w:val="16"/>
                <w:lang w:eastAsia="en-IN"/>
                <w14:ligatures w14:val="none"/>
              </w:rPr>
              <w:t>2.31</w:t>
            </w:r>
          </w:p>
        </w:tc>
        <w:tc>
          <w:tcPr>
            <w:tcW w:w="608" w:type="dxa"/>
            <w:vMerge w:val="restart"/>
            <w:tcBorders>
              <w:top w:val="nil"/>
              <w:left w:val="single" w:sz="4" w:space="0" w:color="auto"/>
              <w:bottom w:val="single" w:sz="4" w:space="0" w:color="000000"/>
              <w:right w:val="single" w:sz="4" w:space="0" w:color="auto"/>
            </w:tcBorders>
            <w:noWrap/>
            <w:vAlign w:val="center"/>
            <w:hideMark/>
          </w:tcPr>
          <w:p w14:paraId="354BA5A3" w14:textId="77777777" w:rsidR="00EF3F11" w:rsidRPr="00D97953" w:rsidRDefault="00EF3F11" w:rsidP="00EF3F11">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D97953">
              <w:rPr>
                <w:rFonts w:ascii="Times New Roman" w:eastAsia="Times New Roman" w:hAnsi="Times New Roman" w:cs="Times New Roman"/>
                <w:color w:val="000000"/>
                <w:kern w:val="0"/>
                <w:sz w:val="16"/>
                <w:szCs w:val="16"/>
                <w:lang w:eastAsia="en-IN"/>
                <w14:ligatures w14:val="none"/>
              </w:rPr>
              <w:t>27.31</w:t>
            </w:r>
          </w:p>
        </w:tc>
      </w:tr>
      <w:tr w:rsidR="00EF3F11" w:rsidRPr="00D97953" w14:paraId="4AA0CBC6" w14:textId="77777777" w:rsidTr="00D97953">
        <w:trPr>
          <w:gridAfter w:val="1"/>
          <w:wAfter w:w="15" w:type="dxa"/>
          <w:trHeight w:val="20"/>
          <w:jc w:val="center"/>
        </w:trPr>
        <w:tc>
          <w:tcPr>
            <w:tcW w:w="2464" w:type="dxa"/>
            <w:tcBorders>
              <w:top w:val="nil"/>
              <w:left w:val="single" w:sz="4" w:space="0" w:color="auto"/>
              <w:bottom w:val="single" w:sz="4" w:space="0" w:color="auto"/>
              <w:right w:val="single" w:sz="4" w:space="0" w:color="auto"/>
            </w:tcBorders>
            <w:noWrap/>
            <w:vAlign w:val="center"/>
            <w:hideMark/>
          </w:tcPr>
          <w:p w14:paraId="4C9F36BF" w14:textId="77777777" w:rsidR="00EF3F11" w:rsidRPr="00D97953" w:rsidRDefault="00EF3F11" w:rsidP="00EF3F11">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D97953">
              <w:rPr>
                <w:rFonts w:ascii="Times New Roman" w:eastAsia="Times New Roman" w:hAnsi="Times New Roman" w:cs="Times New Roman"/>
                <w:color w:val="000000"/>
                <w:kern w:val="0"/>
                <w:sz w:val="16"/>
                <w:szCs w:val="16"/>
                <w:lang w:eastAsia="en-IN"/>
                <w14:ligatures w14:val="none"/>
              </w:rPr>
              <w:t>(b) Kashmir</w:t>
            </w:r>
          </w:p>
        </w:tc>
        <w:tc>
          <w:tcPr>
            <w:tcW w:w="608" w:type="dxa"/>
            <w:vMerge/>
            <w:tcBorders>
              <w:top w:val="nil"/>
              <w:left w:val="single" w:sz="4" w:space="0" w:color="auto"/>
              <w:bottom w:val="single" w:sz="4" w:space="0" w:color="000000"/>
              <w:right w:val="single" w:sz="4" w:space="0" w:color="auto"/>
            </w:tcBorders>
            <w:vAlign w:val="center"/>
            <w:hideMark/>
          </w:tcPr>
          <w:p w14:paraId="130424A4" w14:textId="77777777" w:rsidR="00EF3F11" w:rsidRPr="00D97953" w:rsidRDefault="00EF3F11" w:rsidP="00EF3F11">
            <w:pPr>
              <w:spacing w:after="0" w:line="240" w:lineRule="auto"/>
              <w:rPr>
                <w:rFonts w:ascii="Times New Roman" w:eastAsia="Times New Roman" w:hAnsi="Times New Roman" w:cs="Times New Roman"/>
                <w:color w:val="000000"/>
                <w:kern w:val="0"/>
                <w:sz w:val="16"/>
                <w:szCs w:val="16"/>
                <w:lang w:eastAsia="en-IN"/>
                <w14:ligatures w14:val="none"/>
              </w:rPr>
            </w:pPr>
          </w:p>
        </w:tc>
        <w:tc>
          <w:tcPr>
            <w:tcW w:w="948" w:type="dxa"/>
            <w:vMerge/>
            <w:tcBorders>
              <w:top w:val="nil"/>
              <w:left w:val="single" w:sz="4" w:space="0" w:color="auto"/>
              <w:bottom w:val="single" w:sz="4" w:space="0" w:color="000000"/>
              <w:right w:val="single" w:sz="4" w:space="0" w:color="auto"/>
            </w:tcBorders>
            <w:vAlign w:val="center"/>
            <w:hideMark/>
          </w:tcPr>
          <w:p w14:paraId="20FE6698" w14:textId="77777777" w:rsidR="00EF3F11" w:rsidRPr="00D97953" w:rsidRDefault="00EF3F11" w:rsidP="00EF3F11">
            <w:pPr>
              <w:spacing w:after="0" w:line="240" w:lineRule="auto"/>
              <w:rPr>
                <w:rFonts w:ascii="Times New Roman" w:eastAsia="Times New Roman" w:hAnsi="Times New Roman" w:cs="Times New Roman"/>
                <w:color w:val="000000"/>
                <w:kern w:val="0"/>
                <w:sz w:val="16"/>
                <w:szCs w:val="16"/>
                <w:lang w:eastAsia="en-IN"/>
                <w14:ligatures w14:val="none"/>
              </w:rPr>
            </w:pPr>
          </w:p>
        </w:tc>
        <w:tc>
          <w:tcPr>
            <w:tcW w:w="610" w:type="dxa"/>
            <w:vMerge/>
            <w:tcBorders>
              <w:top w:val="nil"/>
              <w:left w:val="single" w:sz="4" w:space="0" w:color="auto"/>
              <w:bottom w:val="single" w:sz="4" w:space="0" w:color="000000"/>
              <w:right w:val="single" w:sz="4" w:space="0" w:color="auto"/>
            </w:tcBorders>
            <w:vAlign w:val="center"/>
            <w:hideMark/>
          </w:tcPr>
          <w:p w14:paraId="5AB2A5D7" w14:textId="77777777" w:rsidR="00EF3F11" w:rsidRPr="00D97953" w:rsidRDefault="00EF3F11" w:rsidP="00EF3F11">
            <w:pPr>
              <w:spacing w:after="0" w:line="240" w:lineRule="auto"/>
              <w:rPr>
                <w:rFonts w:ascii="Times New Roman" w:eastAsia="Times New Roman" w:hAnsi="Times New Roman" w:cs="Times New Roman"/>
                <w:color w:val="000000"/>
                <w:kern w:val="0"/>
                <w:sz w:val="16"/>
                <w:szCs w:val="16"/>
                <w:lang w:eastAsia="en-IN"/>
                <w14:ligatures w14:val="none"/>
              </w:rPr>
            </w:pPr>
          </w:p>
        </w:tc>
        <w:tc>
          <w:tcPr>
            <w:tcW w:w="1728" w:type="dxa"/>
            <w:vMerge/>
            <w:tcBorders>
              <w:top w:val="nil"/>
              <w:left w:val="single" w:sz="4" w:space="0" w:color="auto"/>
              <w:bottom w:val="single" w:sz="4" w:space="0" w:color="000000"/>
              <w:right w:val="single" w:sz="4" w:space="0" w:color="auto"/>
            </w:tcBorders>
            <w:vAlign w:val="center"/>
            <w:hideMark/>
          </w:tcPr>
          <w:p w14:paraId="12911408" w14:textId="77777777" w:rsidR="00EF3F11" w:rsidRPr="00D97953" w:rsidRDefault="00EF3F11" w:rsidP="00EF3F11">
            <w:pPr>
              <w:spacing w:after="0" w:line="240" w:lineRule="auto"/>
              <w:rPr>
                <w:rFonts w:ascii="Times New Roman" w:eastAsia="Times New Roman" w:hAnsi="Times New Roman" w:cs="Times New Roman"/>
                <w:color w:val="000000"/>
                <w:kern w:val="0"/>
                <w:sz w:val="16"/>
                <w:szCs w:val="16"/>
                <w:lang w:eastAsia="en-IN"/>
                <w14:ligatures w14:val="none"/>
              </w:rPr>
            </w:pPr>
          </w:p>
        </w:tc>
        <w:tc>
          <w:tcPr>
            <w:tcW w:w="948" w:type="dxa"/>
            <w:vMerge/>
            <w:tcBorders>
              <w:top w:val="nil"/>
              <w:left w:val="single" w:sz="4" w:space="0" w:color="auto"/>
              <w:bottom w:val="single" w:sz="4" w:space="0" w:color="000000"/>
              <w:right w:val="single" w:sz="4" w:space="0" w:color="auto"/>
            </w:tcBorders>
            <w:vAlign w:val="center"/>
            <w:hideMark/>
          </w:tcPr>
          <w:p w14:paraId="62BA3219" w14:textId="77777777" w:rsidR="00EF3F11" w:rsidRPr="00D97953" w:rsidRDefault="00EF3F11" w:rsidP="00EF3F11">
            <w:pPr>
              <w:spacing w:after="0" w:line="240" w:lineRule="auto"/>
              <w:rPr>
                <w:rFonts w:ascii="Times New Roman" w:eastAsia="Times New Roman" w:hAnsi="Times New Roman" w:cs="Times New Roman"/>
                <w:color w:val="000000"/>
                <w:kern w:val="0"/>
                <w:sz w:val="16"/>
                <w:szCs w:val="16"/>
                <w:lang w:eastAsia="en-IN"/>
                <w14:ligatures w14:val="none"/>
              </w:rPr>
            </w:pPr>
          </w:p>
        </w:tc>
        <w:tc>
          <w:tcPr>
            <w:tcW w:w="611" w:type="dxa"/>
            <w:vMerge/>
            <w:tcBorders>
              <w:top w:val="nil"/>
              <w:left w:val="single" w:sz="4" w:space="0" w:color="auto"/>
              <w:bottom w:val="single" w:sz="4" w:space="0" w:color="000000"/>
              <w:right w:val="single" w:sz="4" w:space="0" w:color="auto"/>
            </w:tcBorders>
            <w:vAlign w:val="center"/>
            <w:hideMark/>
          </w:tcPr>
          <w:p w14:paraId="1C20D5F5" w14:textId="77777777" w:rsidR="00EF3F11" w:rsidRPr="00D97953" w:rsidRDefault="00EF3F11" w:rsidP="00EF3F11">
            <w:pPr>
              <w:spacing w:after="0" w:line="240" w:lineRule="auto"/>
              <w:rPr>
                <w:rFonts w:ascii="Times New Roman" w:eastAsia="Times New Roman" w:hAnsi="Times New Roman" w:cs="Times New Roman"/>
                <w:color w:val="000000"/>
                <w:kern w:val="0"/>
                <w:sz w:val="16"/>
                <w:szCs w:val="16"/>
                <w:lang w:eastAsia="en-IN"/>
                <w14:ligatures w14:val="none"/>
              </w:rPr>
            </w:pPr>
          </w:p>
        </w:tc>
        <w:tc>
          <w:tcPr>
            <w:tcW w:w="1728" w:type="dxa"/>
            <w:vMerge/>
            <w:tcBorders>
              <w:top w:val="nil"/>
              <w:left w:val="single" w:sz="4" w:space="0" w:color="auto"/>
              <w:bottom w:val="single" w:sz="4" w:space="0" w:color="000000"/>
              <w:right w:val="single" w:sz="4" w:space="0" w:color="auto"/>
            </w:tcBorders>
            <w:vAlign w:val="center"/>
            <w:hideMark/>
          </w:tcPr>
          <w:p w14:paraId="32BCC88F" w14:textId="77777777" w:rsidR="00EF3F11" w:rsidRPr="00D97953" w:rsidRDefault="00EF3F11" w:rsidP="00EF3F11">
            <w:pPr>
              <w:spacing w:after="0" w:line="240" w:lineRule="auto"/>
              <w:rPr>
                <w:rFonts w:ascii="Times New Roman" w:eastAsia="Times New Roman" w:hAnsi="Times New Roman" w:cs="Times New Roman"/>
                <w:color w:val="000000"/>
                <w:kern w:val="0"/>
                <w:sz w:val="16"/>
                <w:szCs w:val="16"/>
                <w:lang w:eastAsia="en-IN"/>
                <w14:ligatures w14:val="none"/>
              </w:rPr>
            </w:pPr>
          </w:p>
        </w:tc>
        <w:tc>
          <w:tcPr>
            <w:tcW w:w="948" w:type="dxa"/>
            <w:vMerge/>
            <w:tcBorders>
              <w:top w:val="nil"/>
              <w:left w:val="single" w:sz="4" w:space="0" w:color="auto"/>
              <w:bottom w:val="single" w:sz="4" w:space="0" w:color="000000"/>
              <w:right w:val="single" w:sz="4" w:space="0" w:color="auto"/>
            </w:tcBorders>
            <w:vAlign w:val="center"/>
            <w:hideMark/>
          </w:tcPr>
          <w:p w14:paraId="0F66E467" w14:textId="77777777" w:rsidR="00EF3F11" w:rsidRPr="00D97953" w:rsidRDefault="00EF3F11" w:rsidP="00EF3F11">
            <w:pPr>
              <w:spacing w:after="0" w:line="240" w:lineRule="auto"/>
              <w:rPr>
                <w:rFonts w:ascii="Times New Roman" w:eastAsia="Times New Roman" w:hAnsi="Times New Roman" w:cs="Times New Roman"/>
                <w:color w:val="000000"/>
                <w:kern w:val="0"/>
                <w:sz w:val="16"/>
                <w:szCs w:val="16"/>
                <w:lang w:eastAsia="en-IN"/>
                <w14:ligatures w14:val="none"/>
              </w:rPr>
            </w:pPr>
          </w:p>
        </w:tc>
        <w:tc>
          <w:tcPr>
            <w:tcW w:w="610" w:type="dxa"/>
            <w:vMerge/>
            <w:tcBorders>
              <w:top w:val="nil"/>
              <w:left w:val="single" w:sz="4" w:space="0" w:color="auto"/>
              <w:bottom w:val="single" w:sz="4" w:space="0" w:color="000000"/>
              <w:right w:val="single" w:sz="4" w:space="0" w:color="auto"/>
            </w:tcBorders>
            <w:vAlign w:val="center"/>
            <w:hideMark/>
          </w:tcPr>
          <w:p w14:paraId="7954FDB6" w14:textId="77777777" w:rsidR="00EF3F11" w:rsidRPr="00D97953" w:rsidRDefault="00EF3F11" w:rsidP="00EF3F11">
            <w:pPr>
              <w:spacing w:after="0" w:line="240" w:lineRule="auto"/>
              <w:rPr>
                <w:rFonts w:ascii="Times New Roman" w:eastAsia="Times New Roman" w:hAnsi="Times New Roman" w:cs="Times New Roman"/>
                <w:color w:val="000000"/>
                <w:kern w:val="0"/>
                <w:sz w:val="16"/>
                <w:szCs w:val="16"/>
                <w:lang w:eastAsia="en-IN"/>
                <w14:ligatures w14:val="none"/>
              </w:rPr>
            </w:pPr>
          </w:p>
        </w:tc>
        <w:tc>
          <w:tcPr>
            <w:tcW w:w="1728" w:type="dxa"/>
            <w:vMerge/>
            <w:tcBorders>
              <w:top w:val="nil"/>
              <w:left w:val="single" w:sz="4" w:space="0" w:color="auto"/>
              <w:bottom w:val="single" w:sz="4" w:space="0" w:color="000000"/>
              <w:right w:val="single" w:sz="4" w:space="0" w:color="auto"/>
            </w:tcBorders>
            <w:vAlign w:val="center"/>
            <w:hideMark/>
          </w:tcPr>
          <w:p w14:paraId="4C961518" w14:textId="77777777" w:rsidR="00EF3F11" w:rsidRPr="00D97953" w:rsidRDefault="00EF3F11" w:rsidP="00EF3F11">
            <w:pPr>
              <w:spacing w:after="0" w:line="240" w:lineRule="auto"/>
              <w:rPr>
                <w:rFonts w:ascii="Times New Roman" w:eastAsia="Times New Roman" w:hAnsi="Times New Roman" w:cs="Times New Roman"/>
                <w:color w:val="000000"/>
                <w:kern w:val="0"/>
                <w:sz w:val="16"/>
                <w:szCs w:val="16"/>
                <w:lang w:eastAsia="en-IN"/>
                <w14:ligatures w14:val="none"/>
              </w:rPr>
            </w:pPr>
          </w:p>
        </w:tc>
        <w:tc>
          <w:tcPr>
            <w:tcW w:w="948" w:type="dxa"/>
            <w:vMerge/>
            <w:tcBorders>
              <w:top w:val="nil"/>
              <w:left w:val="single" w:sz="4" w:space="0" w:color="auto"/>
              <w:bottom w:val="single" w:sz="4" w:space="0" w:color="000000"/>
              <w:right w:val="single" w:sz="4" w:space="0" w:color="auto"/>
            </w:tcBorders>
            <w:vAlign w:val="center"/>
            <w:hideMark/>
          </w:tcPr>
          <w:p w14:paraId="34B41BCD" w14:textId="77777777" w:rsidR="00EF3F11" w:rsidRPr="00D97953" w:rsidRDefault="00EF3F11" w:rsidP="00EF3F11">
            <w:pPr>
              <w:spacing w:after="0" w:line="240" w:lineRule="auto"/>
              <w:rPr>
                <w:rFonts w:ascii="Times New Roman" w:eastAsia="Times New Roman" w:hAnsi="Times New Roman" w:cs="Times New Roman"/>
                <w:color w:val="000000"/>
                <w:kern w:val="0"/>
                <w:sz w:val="16"/>
                <w:szCs w:val="16"/>
                <w:lang w:eastAsia="en-IN"/>
                <w14:ligatures w14:val="none"/>
              </w:rPr>
            </w:pPr>
          </w:p>
        </w:tc>
        <w:tc>
          <w:tcPr>
            <w:tcW w:w="608" w:type="dxa"/>
            <w:vMerge/>
            <w:tcBorders>
              <w:top w:val="nil"/>
              <w:left w:val="single" w:sz="4" w:space="0" w:color="auto"/>
              <w:bottom w:val="single" w:sz="4" w:space="0" w:color="000000"/>
              <w:right w:val="single" w:sz="4" w:space="0" w:color="auto"/>
            </w:tcBorders>
            <w:vAlign w:val="center"/>
            <w:hideMark/>
          </w:tcPr>
          <w:p w14:paraId="7C9B5864" w14:textId="77777777" w:rsidR="00EF3F11" w:rsidRPr="00D97953" w:rsidRDefault="00EF3F11" w:rsidP="00EF3F11">
            <w:pPr>
              <w:spacing w:after="0" w:line="240" w:lineRule="auto"/>
              <w:rPr>
                <w:rFonts w:ascii="Times New Roman" w:eastAsia="Times New Roman" w:hAnsi="Times New Roman" w:cs="Times New Roman"/>
                <w:color w:val="000000"/>
                <w:kern w:val="0"/>
                <w:sz w:val="16"/>
                <w:szCs w:val="16"/>
                <w:lang w:eastAsia="en-IN"/>
                <w14:ligatures w14:val="none"/>
              </w:rPr>
            </w:pPr>
          </w:p>
        </w:tc>
      </w:tr>
      <w:tr w:rsidR="00EF3F11" w:rsidRPr="00D97953" w14:paraId="708B5A8A" w14:textId="77777777" w:rsidTr="00D97953">
        <w:trPr>
          <w:gridAfter w:val="1"/>
          <w:wAfter w:w="15" w:type="dxa"/>
          <w:trHeight w:val="20"/>
          <w:jc w:val="center"/>
        </w:trPr>
        <w:tc>
          <w:tcPr>
            <w:tcW w:w="2464" w:type="dxa"/>
            <w:tcBorders>
              <w:top w:val="nil"/>
              <w:left w:val="single" w:sz="4" w:space="0" w:color="auto"/>
              <w:bottom w:val="single" w:sz="4" w:space="0" w:color="auto"/>
              <w:right w:val="single" w:sz="4" w:space="0" w:color="auto"/>
            </w:tcBorders>
            <w:noWrap/>
            <w:vAlign w:val="center"/>
            <w:hideMark/>
          </w:tcPr>
          <w:p w14:paraId="15B639FB" w14:textId="77777777" w:rsidR="00EF3F11" w:rsidRPr="00D97953" w:rsidRDefault="00EF3F11" w:rsidP="00EF3F11">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D97953">
              <w:rPr>
                <w:rFonts w:ascii="Times New Roman" w:eastAsia="Times New Roman" w:hAnsi="Times New Roman" w:cs="Times New Roman"/>
                <w:color w:val="000000"/>
                <w:kern w:val="0"/>
                <w:sz w:val="16"/>
                <w:szCs w:val="16"/>
                <w:lang w:eastAsia="en-IN"/>
                <w14:ligatures w14:val="none"/>
              </w:rPr>
              <w:t>7. Kerala</w:t>
            </w:r>
          </w:p>
        </w:tc>
        <w:tc>
          <w:tcPr>
            <w:tcW w:w="608" w:type="dxa"/>
            <w:tcBorders>
              <w:top w:val="nil"/>
              <w:left w:val="nil"/>
              <w:bottom w:val="single" w:sz="4" w:space="0" w:color="auto"/>
              <w:right w:val="single" w:sz="4" w:space="0" w:color="auto"/>
            </w:tcBorders>
            <w:noWrap/>
            <w:vAlign w:val="center"/>
            <w:hideMark/>
          </w:tcPr>
          <w:p w14:paraId="0ADB1DDD" w14:textId="77777777" w:rsidR="00EF3F11" w:rsidRPr="00D97953" w:rsidRDefault="00EF3F11" w:rsidP="00EF3F11">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D97953">
              <w:rPr>
                <w:rFonts w:ascii="Times New Roman" w:eastAsia="Times New Roman" w:hAnsi="Times New Roman" w:cs="Times New Roman"/>
                <w:color w:val="000000"/>
                <w:kern w:val="0"/>
                <w:sz w:val="16"/>
                <w:szCs w:val="16"/>
                <w:lang w:eastAsia="en-IN"/>
                <w14:ligatures w14:val="none"/>
              </w:rPr>
              <w:t>30.00</w:t>
            </w:r>
          </w:p>
        </w:tc>
        <w:tc>
          <w:tcPr>
            <w:tcW w:w="948" w:type="dxa"/>
            <w:tcBorders>
              <w:top w:val="nil"/>
              <w:left w:val="nil"/>
              <w:bottom w:val="single" w:sz="4" w:space="0" w:color="auto"/>
              <w:right w:val="single" w:sz="4" w:space="0" w:color="auto"/>
            </w:tcBorders>
            <w:noWrap/>
            <w:vAlign w:val="center"/>
            <w:hideMark/>
          </w:tcPr>
          <w:p w14:paraId="13156C4C" w14:textId="77777777" w:rsidR="00EF3F11" w:rsidRPr="00D97953" w:rsidRDefault="00EF3F11" w:rsidP="00EF3F11">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D97953">
              <w:rPr>
                <w:rFonts w:ascii="Times New Roman" w:eastAsia="Times New Roman" w:hAnsi="Times New Roman" w:cs="Times New Roman"/>
                <w:color w:val="000000"/>
                <w:kern w:val="0"/>
                <w:sz w:val="16"/>
                <w:szCs w:val="16"/>
                <w:lang w:eastAsia="en-IN"/>
                <w14:ligatures w14:val="none"/>
              </w:rPr>
              <w:t>3.00</w:t>
            </w:r>
          </w:p>
        </w:tc>
        <w:tc>
          <w:tcPr>
            <w:tcW w:w="610" w:type="dxa"/>
            <w:tcBorders>
              <w:top w:val="nil"/>
              <w:left w:val="nil"/>
              <w:bottom w:val="single" w:sz="4" w:space="0" w:color="auto"/>
              <w:right w:val="single" w:sz="4" w:space="0" w:color="auto"/>
            </w:tcBorders>
            <w:noWrap/>
            <w:vAlign w:val="center"/>
            <w:hideMark/>
          </w:tcPr>
          <w:p w14:paraId="37E85E40" w14:textId="77777777" w:rsidR="00EF3F11" w:rsidRPr="00D97953" w:rsidRDefault="00EF3F11" w:rsidP="00EF3F11">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D97953">
              <w:rPr>
                <w:rFonts w:ascii="Times New Roman" w:eastAsia="Times New Roman" w:hAnsi="Times New Roman" w:cs="Times New Roman"/>
                <w:color w:val="000000"/>
                <w:kern w:val="0"/>
                <w:sz w:val="16"/>
                <w:szCs w:val="16"/>
                <w:lang w:eastAsia="en-IN"/>
                <w14:ligatures w14:val="none"/>
              </w:rPr>
              <w:t>33.00</w:t>
            </w:r>
          </w:p>
        </w:tc>
        <w:tc>
          <w:tcPr>
            <w:tcW w:w="1728" w:type="dxa"/>
            <w:tcBorders>
              <w:top w:val="nil"/>
              <w:left w:val="nil"/>
              <w:bottom w:val="single" w:sz="4" w:space="0" w:color="auto"/>
              <w:right w:val="single" w:sz="4" w:space="0" w:color="auto"/>
            </w:tcBorders>
            <w:noWrap/>
            <w:vAlign w:val="center"/>
            <w:hideMark/>
          </w:tcPr>
          <w:p w14:paraId="68749164" w14:textId="77777777" w:rsidR="00EF3F11" w:rsidRPr="00D97953" w:rsidRDefault="00EF3F11" w:rsidP="00EF3F11">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D97953">
              <w:rPr>
                <w:rFonts w:ascii="Times New Roman" w:eastAsia="Times New Roman" w:hAnsi="Times New Roman" w:cs="Times New Roman"/>
                <w:color w:val="000000"/>
                <w:kern w:val="0"/>
                <w:sz w:val="16"/>
                <w:szCs w:val="16"/>
                <w:lang w:eastAsia="en-IN"/>
                <w14:ligatures w14:val="none"/>
              </w:rPr>
              <w:t>15.00</w:t>
            </w:r>
          </w:p>
        </w:tc>
        <w:tc>
          <w:tcPr>
            <w:tcW w:w="948" w:type="dxa"/>
            <w:tcBorders>
              <w:top w:val="nil"/>
              <w:left w:val="nil"/>
              <w:bottom w:val="single" w:sz="4" w:space="0" w:color="auto"/>
              <w:right w:val="single" w:sz="4" w:space="0" w:color="auto"/>
            </w:tcBorders>
            <w:noWrap/>
            <w:vAlign w:val="center"/>
            <w:hideMark/>
          </w:tcPr>
          <w:p w14:paraId="5AFAA8DB" w14:textId="77777777" w:rsidR="00EF3F11" w:rsidRPr="00D97953" w:rsidRDefault="00EF3F11" w:rsidP="00EF3F11">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D97953">
              <w:rPr>
                <w:rFonts w:ascii="Times New Roman" w:eastAsia="Times New Roman" w:hAnsi="Times New Roman" w:cs="Times New Roman"/>
                <w:color w:val="000000"/>
                <w:kern w:val="0"/>
                <w:sz w:val="16"/>
                <w:szCs w:val="16"/>
                <w:lang w:eastAsia="en-IN"/>
                <w14:ligatures w14:val="none"/>
              </w:rPr>
              <w:t>1.50</w:t>
            </w:r>
          </w:p>
        </w:tc>
        <w:tc>
          <w:tcPr>
            <w:tcW w:w="611" w:type="dxa"/>
            <w:tcBorders>
              <w:top w:val="nil"/>
              <w:left w:val="nil"/>
              <w:bottom w:val="single" w:sz="4" w:space="0" w:color="auto"/>
              <w:right w:val="single" w:sz="4" w:space="0" w:color="auto"/>
            </w:tcBorders>
            <w:noWrap/>
            <w:vAlign w:val="center"/>
            <w:hideMark/>
          </w:tcPr>
          <w:p w14:paraId="5D2CB93E" w14:textId="77777777" w:rsidR="00EF3F11" w:rsidRPr="00D97953" w:rsidRDefault="00EF3F11" w:rsidP="00EF3F11">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D97953">
              <w:rPr>
                <w:rFonts w:ascii="Times New Roman" w:eastAsia="Times New Roman" w:hAnsi="Times New Roman" w:cs="Times New Roman"/>
                <w:color w:val="000000"/>
                <w:kern w:val="0"/>
                <w:sz w:val="16"/>
                <w:szCs w:val="16"/>
                <w:lang w:eastAsia="en-IN"/>
                <w14:ligatures w14:val="none"/>
              </w:rPr>
              <w:t>16.50</w:t>
            </w:r>
          </w:p>
        </w:tc>
        <w:tc>
          <w:tcPr>
            <w:tcW w:w="1728" w:type="dxa"/>
            <w:tcBorders>
              <w:top w:val="nil"/>
              <w:left w:val="nil"/>
              <w:bottom w:val="single" w:sz="4" w:space="0" w:color="auto"/>
              <w:right w:val="single" w:sz="4" w:space="0" w:color="auto"/>
            </w:tcBorders>
            <w:noWrap/>
            <w:vAlign w:val="center"/>
            <w:hideMark/>
          </w:tcPr>
          <w:p w14:paraId="17CB57A4" w14:textId="77777777" w:rsidR="00EF3F11" w:rsidRPr="00D97953" w:rsidRDefault="00EF3F11" w:rsidP="00EF3F11">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D97953">
              <w:rPr>
                <w:rFonts w:ascii="Times New Roman" w:eastAsia="Times New Roman" w:hAnsi="Times New Roman" w:cs="Times New Roman"/>
                <w:color w:val="000000"/>
                <w:kern w:val="0"/>
                <w:sz w:val="16"/>
                <w:szCs w:val="16"/>
                <w:lang w:eastAsia="en-IN"/>
                <w14:ligatures w14:val="none"/>
              </w:rPr>
              <w:t>34.00</w:t>
            </w:r>
          </w:p>
        </w:tc>
        <w:tc>
          <w:tcPr>
            <w:tcW w:w="948" w:type="dxa"/>
            <w:tcBorders>
              <w:top w:val="nil"/>
              <w:left w:val="nil"/>
              <w:bottom w:val="single" w:sz="4" w:space="0" w:color="auto"/>
              <w:right w:val="single" w:sz="4" w:space="0" w:color="auto"/>
            </w:tcBorders>
            <w:noWrap/>
            <w:vAlign w:val="center"/>
            <w:hideMark/>
          </w:tcPr>
          <w:p w14:paraId="6EEDF96E" w14:textId="77777777" w:rsidR="00EF3F11" w:rsidRPr="00D97953" w:rsidRDefault="00EF3F11" w:rsidP="00EF3F11">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D97953">
              <w:rPr>
                <w:rFonts w:ascii="Times New Roman" w:eastAsia="Times New Roman" w:hAnsi="Times New Roman" w:cs="Times New Roman"/>
                <w:color w:val="000000"/>
                <w:kern w:val="0"/>
                <w:sz w:val="16"/>
                <w:szCs w:val="16"/>
                <w:lang w:eastAsia="en-IN"/>
                <w14:ligatures w14:val="none"/>
              </w:rPr>
              <w:t>3.40</w:t>
            </w:r>
          </w:p>
        </w:tc>
        <w:tc>
          <w:tcPr>
            <w:tcW w:w="610" w:type="dxa"/>
            <w:tcBorders>
              <w:top w:val="nil"/>
              <w:left w:val="nil"/>
              <w:bottom w:val="single" w:sz="4" w:space="0" w:color="auto"/>
              <w:right w:val="single" w:sz="4" w:space="0" w:color="auto"/>
            </w:tcBorders>
            <w:noWrap/>
            <w:vAlign w:val="center"/>
            <w:hideMark/>
          </w:tcPr>
          <w:p w14:paraId="3A86DC69" w14:textId="77777777" w:rsidR="00EF3F11" w:rsidRPr="00D97953" w:rsidRDefault="00EF3F11" w:rsidP="00EF3F11">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D97953">
              <w:rPr>
                <w:rFonts w:ascii="Times New Roman" w:eastAsia="Times New Roman" w:hAnsi="Times New Roman" w:cs="Times New Roman"/>
                <w:color w:val="000000"/>
                <w:kern w:val="0"/>
                <w:sz w:val="16"/>
                <w:szCs w:val="16"/>
                <w:lang w:eastAsia="en-IN"/>
                <w14:ligatures w14:val="none"/>
              </w:rPr>
              <w:t>37.40</w:t>
            </w:r>
          </w:p>
        </w:tc>
        <w:tc>
          <w:tcPr>
            <w:tcW w:w="1728" w:type="dxa"/>
            <w:tcBorders>
              <w:top w:val="nil"/>
              <w:left w:val="nil"/>
              <w:bottom w:val="single" w:sz="4" w:space="0" w:color="auto"/>
              <w:right w:val="single" w:sz="4" w:space="0" w:color="auto"/>
            </w:tcBorders>
            <w:noWrap/>
            <w:vAlign w:val="center"/>
            <w:hideMark/>
          </w:tcPr>
          <w:p w14:paraId="62C26DE7" w14:textId="77777777" w:rsidR="00EF3F11" w:rsidRPr="00D97953" w:rsidRDefault="00EF3F11" w:rsidP="00EF3F11">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D97953">
              <w:rPr>
                <w:rFonts w:ascii="Times New Roman" w:eastAsia="Times New Roman" w:hAnsi="Times New Roman" w:cs="Times New Roman"/>
                <w:color w:val="000000"/>
                <w:kern w:val="0"/>
                <w:sz w:val="16"/>
                <w:szCs w:val="16"/>
                <w:lang w:eastAsia="en-IN"/>
                <w14:ligatures w14:val="none"/>
              </w:rPr>
              <w:t>21.00</w:t>
            </w:r>
          </w:p>
        </w:tc>
        <w:tc>
          <w:tcPr>
            <w:tcW w:w="948" w:type="dxa"/>
            <w:tcBorders>
              <w:top w:val="nil"/>
              <w:left w:val="nil"/>
              <w:bottom w:val="single" w:sz="4" w:space="0" w:color="auto"/>
              <w:right w:val="single" w:sz="4" w:space="0" w:color="auto"/>
            </w:tcBorders>
            <w:noWrap/>
            <w:vAlign w:val="center"/>
            <w:hideMark/>
          </w:tcPr>
          <w:p w14:paraId="57FF14E0" w14:textId="77777777" w:rsidR="00EF3F11" w:rsidRPr="00D97953" w:rsidRDefault="00EF3F11" w:rsidP="00EF3F11">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D97953">
              <w:rPr>
                <w:rFonts w:ascii="Times New Roman" w:eastAsia="Times New Roman" w:hAnsi="Times New Roman" w:cs="Times New Roman"/>
                <w:color w:val="000000"/>
                <w:kern w:val="0"/>
                <w:sz w:val="16"/>
                <w:szCs w:val="16"/>
                <w:lang w:eastAsia="en-IN"/>
                <w14:ligatures w14:val="none"/>
              </w:rPr>
              <w:t>2.10</w:t>
            </w:r>
          </w:p>
        </w:tc>
        <w:tc>
          <w:tcPr>
            <w:tcW w:w="608" w:type="dxa"/>
            <w:tcBorders>
              <w:top w:val="nil"/>
              <w:left w:val="nil"/>
              <w:bottom w:val="single" w:sz="4" w:space="0" w:color="auto"/>
              <w:right w:val="single" w:sz="4" w:space="0" w:color="auto"/>
            </w:tcBorders>
            <w:noWrap/>
            <w:vAlign w:val="center"/>
            <w:hideMark/>
          </w:tcPr>
          <w:p w14:paraId="6FD0CD08" w14:textId="77777777" w:rsidR="00EF3F11" w:rsidRPr="00D97953" w:rsidRDefault="00EF3F11" w:rsidP="00EF3F11">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D97953">
              <w:rPr>
                <w:rFonts w:ascii="Times New Roman" w:eastAsia="Times New Roman" w:hAnsi="Times New Roman" w:cs="Times New Roman"/>
                <w:color w:val="000000"/>
                <w:kern w:val="0"/>
                <w:sz w:val="16"/>
                <w:szCs w:val="16"/>
                <w:lang w:eastAsia="en-IN"/>
                <w14:ligatures w14:val="none"/>
              </w:rPr>
              <w:t>23.10</w:t>
            </w:r>
          </w:p>
        </w:tc>
      </w:tr>
      <w:tr w:rsidR="00EF3F11" w:rsidRPr="00D97953" w14:paraId="63D490E5" w14:textId="77777777" w:rsidTr="00D97953">
        <w:trPr>
          <w:gridAfter w:val="1"/>
          <w:wAfter w:w="15" w:type="dxa"/>
          <w:trHeight w:val="20"/>
          <w:jc w:val="center"/>
        </w:trPr>
        <w:tc>
          <w:tcPr>
            <w:tcW w:w="2464" w:type="dxa"/>
            <w:tcBorders>
              <w:top w:val="nil"/>
              <w:left w:val="single" w:sz="4" w:space="0" w:color="auto"/>
              <w:bottom w:val="single" w:sz="4" w:space="0" w:color="auto"/>
              <w:right w:val="single" w:sz="4" w:space="0" w:color="auto"/>
            </w:tcBorders>
            <w:noWrap/>
            <w:vAlign w:val="center"/>
            <w:hideMark/>
          </w:tcPr>
          <w:p w14:paraId="2D1D5060" w14:textId="77777777" w:rsidR="00EF3F11" w:rsidRPr="00D97953" w:rsidRDefault="00EF3F11" w:rsidP="00EF3F11">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D97953">
              <w:rPr>
                <w:rFonts w:ascii="Times New Roman" w:eastAsia="Times New Roman" w:hAnsi="Times New Roman" w:cs="Times New Roman"/>
                <w:color w:val="000000"/>
                <w:kern w:val="0"/>
                <w:sz w:val="16"/>
                <w:szCs w:val="16"/>
                <w:lang w:eastAsia="en-IN"/>
                <w14:ligatures w14:val="none"/>
              </w:rPr>
              <w:t>8. Madhya Pradesh:</w:t>
            </w:r>
          </w:p>
        </w:tc>
        <w:tc>
          <w:tcPr>
            <w:tcW w:w="608" w:type="dxa"/>
            <w:tcBorders>
              <w:top w:val="nil"/>
              <w:left w:val="nil"/>
              <w:bottom w:val="single" w:sz="4" w:space="0" w:color="auto"/>
              <w:right w:val="single" w:sz="4" w:space="0" w:color="auto"/>
            </w:tcBorders>
            <w:noWrap/>
            <w:vAlign w:val="center"/>
            <w:hideMark/>
          </w:tcPr>
          <w:p w14:paraId="58A1509C" w14:textId="77777777" w:rsidR="00EF3F11" w:rsidRPr="00D97953" w:rsidRDefault="00EF3F11" w:rsidP="00EF3F11">
            <w:pPr>
              <w:spacing w:after="0" w:line="240" w:lineRule="auto"/>
              <w:rPr>
                <w:rFonts w:ascii="Aptos" w:eastAsia="Times New Roman" w:hAnsi="Aptos" w:cs="Times New Roman"/>
                <w:color w:val="000000"/>
                <w:kern w:val="0"/>
                <w:sz w:val="16"/>
                <w:szCs w:val="16"/>
                <w:lang w:eastAsia="en-IN"/>
                <w14:ligatures w14:val="none"/>
              </w:rPr>
            </w:pPr>
            <w:r w:rsidRPr="00D97953">
              <w:rPr>
                <w:rFonts w:ascii="Aptos" w:eastAsia="Times New Roman" w:hAnsi="Aptos" w:cs="Times New Roman"/>
                <w:color w:val="000000"/>
                <w:kern w:val="0"/>
                <w:sz w:val="16"/>
                <w:szCs w:val="16"/>
                <w:lang w:eastAsia="en-IN"/>
                <w14:ligatures w14:val="none"/>
              </w:rPr>
              <w:t> </w:t>
            </w:r>
          </w:p>
        </w:tc>
        <w:tc>
          <w:tcPr>
            <w:tcW w:w="948" w:type="dxa"/>
            <w:tcBorders>
              <w:top w:val="nil"/>
              <w:left w:val="nil"/>
              <w:bottom w:val="single" w:sz="4" w:space="0" w:color="auto"/>
              <w:right w:val="single" w:sz="4" w:space="0" w:color="auto"/>
            </w:tcBorders>
            <w:noWrap/>
            <w:vAlign w:val="center"/>
            <w:hideMark/>
          </w:tcPr>
          <w:p w14:paraId="3F9E536D" w14:textId="77777777" w:rsidR="00EF3F11" w:rsidRPr="00D97953" w:rsidRDefault="00EF3F11" w:rsidP="00EF3F11">
            <w:pPr>
              <w:spacing w:after="0" w:line="240" w:lineRule="auto"/>
              <w:rPr>
                <w:rFonts w:ascii="Aptos" w:eastAsia="Times New Roman" w:hAnsi="Aptos" w:cs="Times New Roman"/>
                <w:color w:val="000000"/>
                <w:kern w:val="0"/>
                <w:sz w:val="16"/>
                <w:szCs w:val="16"/>
                <w:lang w:eastAsia="en-IN"/>
                <w14:ligatures w14:val="none"/>
              </w:rPr>
            </w:pPr>
            <w:r w:rsidRPr="00D97953">
              <w:rPr>
                <w:rFonts w:ascii="Aptos" w:eastAsia="Times New Roman" w:hAnsi="Aptos" w:cs="Times New Roman"/>
                <w:color w:val="000000"/>
                <w:kern w:val="0"/>
                <w:sz w:val="16"/>
                <w:szCs w:val="16"/>
                <w:lang w:eastAsia="en-IN"/>
                <w14:ligatures w14:val="none"/>
              </w:rPr>
              <w:t> </w:t>
            </w:r>
          </w:p>
        </w:tc>
        <w:tc>
          <w:tcPr>
            <w:tcW w:w="610" w:type="dxa"/>
            <w:tcBorders>
              <w:top w:val="nil"/>
              <w:left w:val="nil"/>
              <w:bottom w:val="single" w:sz="4" w:space="0" w:color="auto"/>
              <w:right w:val="single" w:sz="4" w:space="0" w:color="auto"/>
            </w:tcBorders>
            <w:noWrap/>
            <w:vAlign w:val="center"/>
            <w:hideMark/>
          </w:tcPr>
          <w:p w14:paraId="37F365DF" w14:textId="77777777" w:rsidR="00EF3F11" w:rsidRPr="00D97953" w:rsidRDefault="00EF3F11" w:rsidP="00EF3F11">
            <w:pPr>
              <w:spacing w:after="0" w:line="240" w:lineRule="auto"/>
              <w:rPr>
                <w:rFonts w:ascii="Aptos" w:eastAsia="Times New Roman" w:hAnsi="Aptos" w:cs="Times New Roman"/>
                <w:color w:val="000000"/>
                <w:kern w:val="0"/>
                <w:sz w:val="16"/>
                <w:szCs w:val="16"/>
                <w:lang w:eastAsia="en-IN"/>
                <w14:ligatures w14:val="none"/>
              </w:rPr>
            </w:pPr>
            <w:r w:rsidRPr="00D97953">
              <w:rPr>
                <w:rFonts w:ascii="Aptos" w:eastAsia="Times New Roman" w:hAnsi="Aptos" w:cs="Times New Roman"/>
                <w:color w:val="000000"/>
                <w:kern w:val="0"/>
                <w:sz w:val="16"/>
                <w:szCs w:val="16"/>
                <w:lang w:eastAsia="en-IN"/>
                <w14:ligatures w14:val="none"/>
              </w:rPr>
              <w:t> </w:t>
            </w:r>
          </w:p>
        </w:tc>
        <w:tc>
          <w:tcPr>
            <w:tcW w:w="1728" w:type="dxa"/>
            <w:tcBorders>
              <w:top w:val="nil"/>
              <w:left w:val="nil"/>
              <w:bottom w:val="single" w:sz="4" w:space="0" w:color="auto"/>
              <w:right w:val="single" w:sz="4" w:space="0" w:color="auto"/>
            </w:tcBorders>
            <w:noWrap/>
            <w:vAlign w:val="center"/>
            <w:hideMark/>
          </w:tcPr>
          <w:p w14:paraId="0F97FDB9" w14:textId="77777777" w:rsidR="00EF3F11" w:rsidRPr="00D97953" w:rsidRDefault="00EF3F11" w:rsidP="00EF3F11">
            <w:pPr>
              <w:spacing w:after="0" w:line="240" w:lineRule="auto"/>
              <w:rPr>
                <w:rFonts w:ascii="Aptos" w:eastAsia="Times New Roman" w:hAnsi="Aptos" w:cs="Times New Roman"/>
                <w:color w:val="000000"/>
                <w:kern w:val="0"/>
                <w:sz w:val="16"/>
                <w:szCs w:val="16"/>
                <w:lang w:eastAsia="en-IN"/>
                <w14:ligatures w14:val="none"/>
              </w:rPr>
            </w:pPr>
            <w:r w:rsidRPr="00D97953">
              <w:rPr>
                <w:rFonts w:ascii="Aptos" w:eastAsia="Times New Roman" w:hAnsi="Aptos" w:cs="Times New Roman"/>
                <w:color w:val="000000"/>
                <w:kern w:val="0"/>
                <w:sz w:val="16"/>
                <w:szCs w:val="16"/>
                <w:lang w:eastAsia="en-IN"/>
                <w14:ligatures w14:val="none"/>
              </w:rPr>
              <w:t> </w:t>
            </w:r>
          </w:p>
        </w:tc>
        <w:tc>
          <w:tcPr>
            <w:tcW w:w="948" w:type="dxa"/>
            <w:tcBorders>
              <w:top w:val="nil"/>
              <w:left w:val="nil"/>
              <w:bottom w:val="single" w:sz="4" w:space="0" w:color="auto"/>
              <w:right w:val="single" w:sz="4" w:space="0" w:color="auto"/>
            </w:tcBorders>
            <w:noWrap/>
            <w:vAlign w:val="center"/>
            <w:hideMark/>
          </w:tcPr>
          <w:p w14:paraId="54ED5049" w14:textId="77777777" w:rsidR="00EF3F11" w:rsidRPr="00D97953" w:rsidRDefault="00EF3F11" w:rsidP="00EF3F11">
            <w:pPr>
              <w:spacing w:after="0" w:line="240" w:lineRule="auto"/>
              <w:rPr>
                <w:rFonts w:ascii="Aptos" w:eastAsia="Times New Roman" w:hAnsi="Aptos" w:cs="Times New Roman"/>
                <w:color w:val="000000"/>
                <w:kern w:val="0"/>
                <w:sz w:val="16"/>
                <w:szCs w:val="16"/>
                <w:lang w:eastAsia="en-IN"/>
                <w14:ligatures w14:val="none"/>
              </w:rPr>
            </w:pPr>
            <w:r w:rsidRPr="00D97953">
              <w:rPr>
                <w:rFonts w:ascii="Aptos" w:eastAsia="Times New Roman" w:hAnsi="Aptos" w:cs="Times New Roman"/>
                <w:color w:val="000000"/>
                <w:kern w:val="0"/>
                <w:sz w:val="16"/>
                <w:szCs w:val="16"/>
                <w:lang w:eastAsia="en-IN"/>
                <w14:ligatures w14:val="none"/>
              </w:rPr>
              <w:t> </w:t>
            </w:r>
          </w:p>
        </w:tc>
        <w:tc>
          <w:tcPr>
            <w:tcW w:w="611" w:type="dxa"/>
            <w:tcBorders>
              <w:top w:val="nil"/>
              <w:left w:val="nil"/>
              <w:bottom w:val="single" w:sz="4" w:space="0" w:color="auto"/>
              <w:right w:val="single" w:sz="4" w:space="0" w:color="auto"/>
            </w:tcBorders>
            <w:noWrap/>
            <w:vAlign w:val="center"/>
            <w:hideMark/>
          </w:tcPr>
          <w:p w14:paraId="2F2DF58F" w14:textId="77777777" w:rsidR="00EF3F11" w:rsidRPr="00D97953" w:rsidRDefault="00EF3F11" w:rsidP="00EF3F11">
            <w:pPr>
              <w:spacing w:after="0" w:line="240" w:lineRule="auto"/>
              <w:rPr>
                <w:rFonts w:ascii="Aptos" w:eastAsia="Times New Roman" w:hAnsi="Aptos" w:cs="Times New Roman"/>
                <w:color w:val="000000"/>
                <w:kern w:val="0"/>
                <w:sz w:val="16"/>
                <w:szCs w:val="16"/>
                <w:lang w:eastAsia="en-IN"/>
                <w14:ligatures w14:val="none"/>
              </w:rPr>
            </w:pPr>
            <w:r w:rsidRPr="00D97953">
              <w:rPr>
                <w:rFonts w:ascii="Aptos" w:eastAsia="Times New Roman" w:hAnsi="Aptos" w:cs="Times New Roman"/>
                <w:color w:val="000000"/>
                <w:kern w:val="0"/>
                <w:sz w:val="16"/>
                <w:szCs w:val="16"/>
                <w:lang w:eastAsia="en-IN"/>
                <w14:ligatures w14:val="none"/>
              </w:rPr>
              <w:t> </w:t>
            </w:r>
          </w:p>
        </w:tc>
        <w:tc>
          <w:tcPr>
            <w:tcW w:w="1728" w:type="dxa"/>
            <w:tcBorders>
              <w:top w:val="nil"/>
              <w:left w:val="nil"/>
              <w:bottom w:val="single" w:sz="4" w:space="0" w:color="auto"/>
              <w:right w:val="single" w:sz="4" w:space="0" w:color="auto"/>
            </w:tcBorders>
            <w:noWrap/>
            <w:vAlign w:val="center"/>
            <w:hideMark/>
          </w:tcPr>
          <w:p w14:paraId="11323E27" w14:textId="77777777" w:rsidR="00EF3F11" w:rsidRPr="00D97953" w:rsidRDefault="00EF3F11" w:rsidP="00EF3F11">
            <w:pPr>
              <w:spacing w:after="0" w:line="240" w:lineRule="auto"/>
              <w:rPr>
                <w:rFonts w:ascii="Aptos" w:eastAsia="Times New Roman" w:hAnsi="Aptos" w:cs="Times New Roman"/>
                <w:color w:val="000000"/>
                <w:kern w:val="0"/>
                <w:sz w:val="16"/>
                <w:szCs w:val="16"/>
                <w:lang w:eastAsia="en-IN"/>
                <w14:ligatures w14:val="none"/>
              </w:rPr>
            </w:pPr>
            <w:r w:rsidRPr="00D97953">
              <w:rPr>
                <w:rFonts w:ascii="Aptos" w:eastAsia="Times New Roman" w:hAnsi="Aptos" w:cs="Times New Roman"/>
                <w:color w:val="000000"/>
                <w:kern w:val="0"/>
                <w:sz w:val="16"/>
                <w:szCs w:val="16"/>
                <w:lang w:eastAsia="en-IN"/>
                <w14:ligatures w14:val="none"/>
              </w:rPr>
              <w:t> </w:t>
            </w:r>
          </w:p>
        </w:tc>
        <w:tc>
          <w:tcPr>
            <w:tcW w:w="948" w:type="dxa"/>
            <w:tcBorders>
              <w:top w:val="nil"/>
              <w:left w:val="nil"/>
              <w:bottom w:val="single" w:sz="4" w:space="0" w:color="auto"/>
              <w:right w:val="single" w:sz="4" w:space="0" w:color="auto"/>
            </w:tcBorders>
            <w:noWrap/>
            <w:vAlign w:val="center"/>
            <w:hideMark/>
          </w:tcPr>
          <w:p w14:paraId="4F87116B" w14:textId="77777777" w:rsidR="00EF3F11" w:rsidRPr="00D97953" w:rsidRDefault="00EF3F11" w:rsidP="00EF3F11">
            <w:pPr>
              <w:spacing w:after="0" w:line="240" w:lineRule="auto"/>
              <w:rPr>
                <w:rFonts w:ascii="Aptos" w:eastAsia="Times New Roman" w:hAnsi="Aptos" w:cs="Times New Roman"/>
                <w:color w:val="000000"/>
                <w:kern w:val="0"/>
                <w:sz w:val="16"/>
                <w:szCs w:val="16"/>
                <w:lang w:eastAsia="en-IN"/>
                <w14:ligatures w14:val="none"/>
              </w:rPr>
            </w:pPr>
            <w:r w:rsidRPr="00D97953">
              <w:rPr>
                <w:rFonts w:ascii="Aptos" w:eastAsia="Times New Roman" w:hAnsi="Aptos" w:cs="Times New Roman"/>
                <w:color w:val="000000"/>
                <w:kern w:val="0"/>
                <w:sz w:val="16"/>
                <w:szCs w:val="16"/>
                <w:lang w:eastAsia="en-IN"/>
                <w14:ligatures w14:val="none"/>
              </w:rPr>
              <w:t> </w:t>
            </w:r>
          </w:p>
        </w:tc>
        <w:tc>
          <w:tcPr>
            <w:tcW w:w="610" w:type="dxa"/>
            <w:tcBorders>
              <w:top w:val="nil"/>
              <w:left w:val="nil"/>
              <w:bottom w:val="single" w:sz="4" w:space="0" w:color="auto"/>
              <w:right w:val="single" w:sz="4" w:space="0" w:color="auto"/>
            </w:tcBorders>
            <w:noWrap/>
            <w:vAlign w:val="center"/>
            <w:hideMark/>
          </w:tcPr>
          <w:p w14:paraId="0BB41901" w14:textId="77777777" w:rsidR="00EF3F11" w:rsidRPr="00D97953" w:rsidRDefault="00EF3F11" w:rsidP="00EF3F11">
            <w:pPr>
              <w:spacing w:after="0" w:line="240" w:lineRule="auto"/>
              <w:rPr>
                <w:rFonts w:ascii="Aptos" w:eastAsia="Times New Roman" w:hAnsi="Aptos" w:cs="Times New Roman"/>
                <w:color w:val="000000"/>
                <w:kern w:val="0"/>
                <w:sz w:val="16"/>
                <w:szCs w:val="16"/>
                <w:lang w:eastAsia="en-IN"/>
                <w14:ligatures w14:val="none"/>
              </w:rPr>
            </w:pPr>
            <w:r w:rsidRPr="00D97953">
              <w:rPr>
                <w:rFonts w:ascii="Aptos" w:eastAsia="Times New Roman" w:hAnsi="Aptos" w:cs="Times New Roman"/>
                <w:color w:val="000000"/>
                <w:kern w:val="0"/>
                <w:sz w:val="16"/>
                <w:szCs w:val="16"/>
                <w:lang w:eastAsia="en-IN"/>
                <w14:ligatures w14:val="none"/>
              </w:rPr>
              <w:t> </w:t>
            </w:r>
          </w:p>
        </w:tc>
        <w:tc>
          <w:tcPr>
            <w:tcW w:w="1728" w:type="dxa"/>
            <w:tcBorders>
              <w:top w:val="nil"/>
              <w:left w:val="nil"/>
              <w:bottom w:val="single" w:sz="4" w:space="0" w:color="auto"/>
              <w:right w:val="single" w:sz="4" w:space="0" w:color="auto"/>
            </w:tcBorders>
            <w:noWrap/>
            <w:vAlign w:val="center"/>
            <w:hideMark/>
          </w:tcPr>
          <w:p w14:paraId="172FFAC1" w14:textId="77777777" w:rsidR="00EF3F11" w:rsidRPr="00D97953" w:rsidRDefault="00EF3F11" w:rsidP="00EF3F11">
            <w:pPr>
              <w:spacing w:after="0" w:line="240" w:lineRule="auto"/>
              <w:rPr>
                <w:rFonts w:ascii="Aptos" w:eastAsia="Times New Roman" w:hAnsi="Aptos" w:cs="Times New Roman"/>
                <w:color w:val="000000"/>
                <w:kern w:val="0"/>
                <w:sz w:val="16"/>
                <w:szCs w:val="16"/>
                <w:lang w:eastAsia="en-IN"/>
                <w14:ligatures w14:val="none"/>
              </w:rPr>
            </w:pPr>
            <w:r w:rsidRPr="00D97953">
              <w:rPr>
                <w:rFonts w:ascii="Aptos" w:eastAsia="Times New Roman" w:hAnsi="Aptos" w:cs="Times New Roman"/>
                <w:color w:val="000000"/>
                <w:kern w:val="0"/>
                <w:sz w:val="16"/>
                <w:szCs w:val="16"/>
                <w:lang w:eastAsia="en-IN"/>
                <w14:ligatures w14:val="none"/>
              </w:rPr>
              <w:t> </w:t>
            </w:r>
          </w:p>
        </w:tc>
        <w:tc>
          <w:tcPr>
            <w:tcW w:w="948" w:type="dxa"/>
            <w:tcBorders>
              <w:top w:val="nil"/>
              <w:left w:val="nil"/>
              <w:bottom w:val="single" w:sz="4" w:space="0" w:color="auto"/>
              <w:right w:val="single" w:sz="4" w:space="0" w:color="auto"/>
            </w:tcBorders>
            <w:noWrap/>
            <w:vAlign w:val="center"/>
            <w:hideMark/>
          </w:tcPr>
          <w:p w14:paraId="26B38B37" w14:textId="77777777" w:rsidR="00EF3F11" w:rsidRPr="00D97953" w:rsidRDefault="00EF3F11" w:rsidP="00EF3F11">
            <w:pPr>
              <w:spacing w:after="0" w:line="240" w:lineRule="auto"/>
              <w:rPr>
                <w:rFonts w:ascii="Aptos" w:eastAsia="Times New Roman" w:hAnsi="Aptos" w:cs="Times New Roman"/>
                <w:color w:val="000000"/>
                <w:kern w:val="0"/>
                <w:sz w:val="16"/>
                <w:szCs w:val="16"/>
                <w:lang w:eastAsia="en-IN"/>
                <w14:ligatures w14:val="none"/>
              </w:rPr>
            </w:pPr>
            <w:r w:rsidRPr="00D97953">
              <w:rPr>
                <w:rFonts w:ascii="Aptos" w:eastAsia="Times New Roman" w:hAnsi="Aptos" w:cs="Times New Roman"/>
                <w:color w:val="000000"/>
                <w:kern w:val="0"/>
                <w:sz w:val="16"/>
                <w:szCs w:val="16"/>
                <w:lang w:eastAsia="en-IN"/>
                <w14:ligatures w14:val="none"/>
              </w:rPr>
              <w:t> </w:t>
            </w:r>
          </w:p>
        </w:tc>
        <w:tc>
          <w:tcPr>
            <w:tcW w:w="608" w:type="dxa"/>
            <w:tcBorders>
              <w:top w:val="nil"/>
              <w:left w:val="nil"/>
              <w:bottom w:val="single" w:sz="4" w:space="0" w:color="auto"/>
              <w:right w:val="single" w:sz="4" w:space="0" w:color="auto"/>
            </w:tcBorders>
            <w:noWrap/>
            <w:vAlign w:val="center"/>
            <w:hideMark/>
          </w:tcPr>
          <w:p w14:paraId="50F0934C" w14:textId="77777777" w:rsidR="00EF3F11" w:rsidRPr="00D97953" w:rsidRDefault="00EF3F11" w:rsidP="00EF3F11">
            <w:pPr>
              <w:spacing w:after="0" w:line="240" w:lineRule="auto"/>
              <w:rPr>
                <w:rFonts w:ascii="Aptos" w:eastAsia="Times New Roman" w:hAnsi="Aptos" w:cs="Times New Roman"/>
                <w:color w:val="000000"/>
                <w:kern w:val="0"/>
                <w:sz w:val="16"/>
                <w:szCs w:val="16"/>
                <w:lang w:eastAsia="en-IN"/>
                <w14:ligatures w14:val="none"/>
              </w:rPr>
            </w:pPr>
            <w:r w:rsidRPr="00D97953">
              <w:rPr>
                <w:rFonts w:ascii="Aptos" w:eastAsia="Times New Roman" w:hAnsi="Aptos" w:cs="Times New Roman"/>
                <w:color w:val="000000"/>
                <w:kern w:val="0"/>
                <w:sz w:val="16"/>
                <w:szCs w:val="16"/>
                <w:lang w:eastAsia="en-IN"/>
                <w14:ligatures w14:val="none"/>
              </w:rPr>
              <w:t> </w:t>
            </w:r>
          </w:p>
        </w:tc>
      </w:tr>
      <w:tr w:rsidR="00EF3F11" w:rsidRPr="00D97953" w14:paraId="46933DC6" w14:textId="77777777" w:rsidTr="00D97953">
        <w:trPr>
          <w:gridAfter w:val="1"/>
          <w:wAfter w:w="15" w:type="dxa"/>
          <w:trHeight w:val="20"/>
          <w:jc w:val="center"/>
        </w:trPr>
        <w:tc>
          <w:tcPr>
            <w:tcW w:w="2464" w:type="dxa"/>
            <w:tcBorders>
              <w:top w:val="nil"/>
              <w:left w:val="single" w:sz="4" w:space="0" w:color="auto"/>
              <w:bottom w:val="single" w:sz="4" w:space="0" w:color="auto"/>
              <w:right w:val="single" w:sz="4" w:space="0" w:color="auto"/>
            </w:tcBorders>
            <w:noWrap/>
            <w:vAlign w:val="center"/>
            <w:hideMark/>
          </w:tcPr>
          <w:p w14:paraId="6CC7842B" w14:textId="77777777" w:rsidR="00EF3F11" w:rsidRPr="00D97953" w:rsidRDefault="00EF3F11" w:rsidP="00EF3F11">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D97953">
              <w:rPr>
                <w:rFonts w:ascii="Times New Roman" w:eastAsia="Times New Roman" w:hAnsi="Times New Roman" w:cs="Times New Roman"/>
                <w:color w:val="000000"/>
                <w:kern w:val="0"/>
                <w:sz w:val="16"/>
                <w:szCs w:val="16"/>
                <w:lang w:eastAsia="en-IN"/>
                <w14:ligatures w14:val="none"/>
              </w:rPr>
              <w:t>(a) Chambal</w:t>
            </w:r>
          </w:p>
        </w:tc>
        <w:tc>
          <w:tcPr>
            <w:tcW w:w="608" w:type="dxa"/>
            <w:vMerge w:val="restart"/>
            <w:tcBorders>
              <w:top w:val="nil"/>
              <w:left w:val="single" w:sz="4" w:space="0" w:color="auto"/>
              <w:bottom w:val="single" w:sz="4" w:space="0" w:color="000000"/>
              <w:right w:val="single" w:sz="4" w:space="0" w:color="auto"/>
            </w:tcBorders>
            <w:noWrap/>
            <w:vAlign w:val="center"/>
            <w:hideMark/>
          </w:tcPr>
          <w:p w14:paraId="3D2663CD" w14:textId="77777777" w:rsidR="00EF3F11" w:rsidRPr="00D97953" w:rsidRDefault="00EF3F11" w:rsidP="00EF3F11">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D97953">
              <w:rPr>
                <w:rFonts w:ascii="Times New Roman" w:eastAsia="Times New Roman" w:hAnsi="Times New Roman" w:cs="Times New Roman"/>
                <w:color w:val="000000"/>
                <w:kern w:val="0"/>
                <w:sz w:val="16"/>
                <w:szCs w:val="16"/>
                <w:lang w:eastAsia="en-IN"/>
                <w14:ligatures w14:val="none"/>
              </w:rPr>
              <w:t>28.00</w:t>
            </w:r>
          </w:p>
        </w:tc>
        <w:tc>
          <w:tcPr>
            <w:tcW w:w="948" w:type="dxa"/>
            <w:vMerge w:val="restart"/>
            <w:tcBorders>
              <w:top w:val="nil"/>
              <w:left w:val="single" w:sz="4" w:space="0" w:color="auto"/>
              <w:bottom w:val="single" w:sz="4" w:space="0" w:color="000000"/>
              <w:right w:val="single" w:sz="4" w:space="0" w:color="auto"/>
            </w:tcBorders>
            <w:noWrap/>
            <w:vAlign w:val="center"/>
            <w:hideMark/>
          </w:tcPr>
          <w:p w14:paraId="04CF84D2" w14:textId="77777777" w:rsidR="00EF3F11" w:rsidRPr="00D97953" w:rsidRDefault="00EF3F11" w:rsidP="00EF3F11">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D97953">
              <w:rPr>
                <w:rFonts w:ascii="Times New Roman" w:eastAsia="Times New Roman" w:hAnsi="Times New Roman" w:cs="Times New Roman"/>
                <w:color w:val="000000"/>
                <w:kern w:val="0"/>
                <w:sz w:val="16"/>
                <w:szCs w:val="16"/>
                <w:lang w:eastAsia="en-IN"/>
                <w14:ligatures w14:val="none"/>
              </w:rPr>
              <w:t>6.00</w:t>
            </w:r>
          </w:p>
        </w:tc>
        <w:tc>
          <w:tcPr>
            <w:tcW w:w="610" w:type="dxa"/>
            <w:vMerge w:val="restart"/>
            <w:tcBorders>
              <w:top w:val="nil"/>
              <w:left w:val="single" w:sz="4" w:space="0" w:color="auto"/>
              <w:bottom w:val="single" w:sz="4" w:space="0" w:color="000000"/>
              <w:right w:val="single" w:sz="4" w:space="0" w:color="auto"/>
            </w:tcBorders>
            <w:noWrap/>
            <w:vAlign w:val="center"/>
            <w:hideMark/>
          </w:tcPr>
          <w:p w14:paraId="28271B7F" w14:textId="77777777" w:rsidR="00EF3F11" w:rsidRPr="00D97953" w:rsidRDefault="00EF3F11" w:rsidP="00EF3F11">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D97953">
              <w:rPr>
                <w:rFonts w:ascii="Times New Roman" w:eastAsia="Times New Roman" w:hAnsi="Times New Roman" w:cs="Times New Roman"/>
                <w:color w:val="000000"/>
                <w:kern w:val="0"/>
                <w:sz w:val="16"/>
                <w:szCs w:val="16"/>
                <w:lang w:eastAsia="en-IN"/>
                <w14:ligatures w14:val="none"/>
              </w:rPr>
              <w:t>34.00</w:t>
            </w:r>
          </w:p>
        </w:tc>
        <w:tc>
          <w:tcPr>
            <w:tcW w:w="1728" w:type="dxa"/>
            <w:vMerge w:val="restart"/>
            <w:tcBorders>
              <w:top w:val="nil"/>
              <w:left w:val="single" w:sz="4" w:space="0" w:color="auto"/>
              <w:bottom w:val="single" w:sz="4" w:space="0" w:color="000000"/>
              <w:right w:val="single" w:sz="4" w:space="0" w:color="auto"/>
            </w:tcBorders>
            <w:noWrap/>
            <w:vAlign w:val="center"/>
            <w:hideMark/>
          </w:tcPr>
          <w:p w14:paraId="7F569B3E" w14:textId="77777777" w:rsidR="00EF3F11" w:rsidRPr="00D97953" w:rsidRDefault="00EF3F11" w:rsidP="00EF3F11">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D97953">
              <w:rPr>
                <w:rFonts w:ascii="Times New Roman" w:eastAsia="Times New Roman" w:hAnsi="Times New Roman" w:cs="Times New Roman"/>
                <w:color w:val="000000"/>
                <w:kern w:val="0"/>
                <w:sz w:val="16"/>
                <w:szCs w:val="16"/>
                <w:lang w:eastAsia="en-IN"/>
                <w14:ligatures w14:val="none"/>
              </w:rPr>
              <w:t>13.00</w:t>
            </w:r>
          </w:p>
        </w:tc>
        <w:tc>
          <w:tcPr>
            <w:tcW w:w="948" w:type="dxa"/>
            <w:vMerge w:val="restart"/>
            <w:tcBorders>
              <w:top w:val="nil"/>
              <w:left w:val="single" w:sz="4" w:space="0" w:color="auto"/>
              <w:bottom w:val="single" w:sz="4" w:space="0" w:color="000000"/>
              <w:right w:val="single" w:sz="4" w:space="0" w:color="auto"/>
            </w:tcBorders>
            <w:noWrap/>
            <w:vAlign w:val="center"/>
            <w:hideMark/>
          </w:tcPr>
          <w:p w14:paraId="388E9DFF" w14:textId="77777777" w:rsidR="00EF3F11" w:rsidRPr="00D97953" w:rsidRDefault="00EF3F11" w:rsidP="00EF3F11">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D97953">
              <w:rPr>
                <w:rFonts w:ascii="Times New Roman" w:eastAsia="Times New Roman" w:hAnsi="Times New Roman" w:cs="Times New Roman"/>
                <w:color w:val="000000"/>
                <w:kern w:val="0"/>
                <w:sz w:val="16"/>
                <w:szCs w:val="16"/>
                <w:lang w:eastAsia="en-IN"/>
                <w14:ligatures w14:val="none"/>
              </w:rPr>
              <w:t>1.00</w:t>
            </w:r>
          </w:p>
        </w:tc>
        <w:tc>
          <w:tcPr>
            <w:tcW w:w="611" w:type="dxa"/>
            <w:vMerge w:val="restart"/>
            <w:tcBorders>
              <w:top w:val="nil"/>
              <w:left w:val="single" w:sz="4" w:space="0" w:color="auto"/>
              <w:bottom w:val="single" w:sz="4" w:space="0" w:color="000000"/>
              <w:right w:val="single" w:sz="4" w:space="0" w:color="auto"/>
            </w:tcBorders>
            <w:noWrap/>
            <w:vAlign w:val="center"/>
            <w:hideMark/>
          </w:tcPr>
          <w:p w14:paraId="52501EDF" w14:textId="77777777" w:rsidR="00EF3F11" w:rsidRPr="00D97953" w:rsidRDefault="00EF3F11" w:rsidP="00EF3F11">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D97953">
              <w:rPr>
                <w:rFonts w:ascii="Times New Roman" w:eastAsia="Times New Roman" w:hAnsi="Times New Roman" w:cs="Times New Roman"/>
                <w:color w:val="000000"/>
                <w:kern w:val="0"/>
                <w:sz w:val="16"/>
                <w:szCs w:val="16"/>
                <w:lang w:eastAsia="en-IN"/>
                <w14:ligatures w14:val="none"/>
              </w:rPr>
              <w:t>14.00</w:t>
            </w:r>
          </w:p>
        </w:tc>
        <w:tc>
          <w:tcPr>
            <w:tcW w:w="1728" w:type="dxa"/>
            <w:vMerge w:val="restart"/>
            <w:tcBorders>
              <w:top w:val="nil"/>
              <w:left w:val="single" w:sz="4" w:space="0" w:color="auto"/>
              <w:bottom w:val="single" w:sz="4" w:space="0" w:color="000000"/>
              <w:right w:val="single" w:sz="4" w:space="0" w:color="auto"/>
            </w:tcBorders>
            <w:noWrap/>
            <w:vAlign w:val="center"/>
            <w:hideMark/>
          </w:tcPr>
          <w:p w14:paraId="66BD25AE" w14:textId="77777777" w:rsidR="00EF3F11" w:rsidRPr="00D97953" w:rsidRDefault="00EF3F11" w:rsidP="00EF3F11">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D97953">
              <w:rPr>
                <w:rFonts w:ascii="Times New Roman" w:eastAsia="Times New Roman" w:hAnsi="Times New Roman" w:cs="Times New Roman"/>
                <w:color w:val="000000"/>
                <w:kern w:val="0"/>
                <w:sz w:val="16"/>
                <w:szCs w:val="16"/>
                <w:lang w:eastAsia="en-IN"/>
                <w14:ligatures w14:val="none"/>
              </w:rPr>
              <w:t>28.00</w:t>
            </w:r>
          </w:p>
        </w:tc>
        <w:tc>
          <w:tcPr>
            <w:tcW w:w="948" w:type="dxa"/>
            <w:vMerge w:val="restart"/>
            <w:tcBorders>
              <w:top w:val="nil"/>
              <w:left w:val="single" w:sz="4" w:space="0" w:color="auto"/>
              <w:bottom w:val="single" w:sz="4" w:space="0" w:color="000000"/>
              <w:right w:val="single" w:sz="4" w:space="0" w:color="auto"/>
            </w:tcBorders>
            <w:noWrap/>
            <w:vAlign w:val="center"/>
            <w:hideMark/>
          </w:tcPr>
          <w:p w14:paraId="015B67CB" w14:textId="77777777" w:rsidR="00EF3F11" w:rsidRPr="00D97953" w:rsidRDefault="00EF3F11" w:rsidP="00EF3F11">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D97953">
              <w:rPr>
                <w:rFonts w:ascii="Times New Roman" w:eastAsia="Times New Roman" w:hAnsi="Times New Roman" w:cs="Times New Roman"/>
                <w:color w:val="000000"/>
                <w:kern w:val="0"/>
                <w:sz w:val="16"/>
                <w:szCs w:val="16"/>
                <w:lang w:eastAsia="en-IN"/>
                <w14:ligatures w14:val="none"/>
              </w:rPr>
              <w:t>6.00</w:t>
            </w:r>
          </w:p>
        </w:tc>
        <w:tc>
          <w:tcPr>
            <w:tcW w:w="610" w:type="dxa"/>
            <w:vMerge w:val="restart"/>
            <w:tcBorders>
              <w:top w:val="nil"/>
              <w:left w:val="single" w:sz="4" w:space="0" w:color="auto"/>
              <w:bottom w:val="single" w:sz="4" w:space="0" w:color="000000"/>
              <w:right w:val="single" w:sz="4" w:space="0" w:color="auto"/>
            </w:tcBorders>
            <w:noWrap/>
            <w:vAlign w:val="center"/>
            <w:hideMark/>
          </w:tcPr>
          <w:p w14:paraId="2AA99995" w14:textId="77777777" w:rsidR="00EF3F11" w:rsidRPr="00D97953" w:rsidRDefault="00EF3F11" w:rsidP="00EF3F11">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D97953">
              <w:rPr>
                <w:rFonts w:ascii="Times New Roman" w:eastAsia="Times New Roman" w:hAnsi="Times New Roman" w:cs="Times New Roman"/>
                <w:color w:val="000000"/>
                <w:kern w:val="0"/>
                <w:sz w:val="16"/>
                <w:szCs w:val="16"/>
                <w:lang w:eastAsia="en-IN"/>
                <w14:ligatures w14:val="none"/>
              </w:rPr>
              <w:t>34.00</w:t>
            </w:r>
          </w:p>
        </w:tc>
        <w:tc>
          <w:tcPr>
            <w:tcW w:w="1728" w:type="dxa"/>
            <w:vMerge w:val="restart"/>
            <w:tcBorders>
              <w:top w:val="nil"/>
              <w:left w:val="single" w:sz="4" w:space="0" w:color="auto"/>
              <w:bottom w:val="single" w:sz="4" w:space="0" w:color="000000"/>
              <w:right w:val="single" w:sz="4" w:space="0" w:color="auto"/>
            </w:tcBorders>
            <w:noWrap/>
            <w:vAlign w:val="center"/>
            <w:hideMark/>
          </w:tcPr>
          <w:p w14:paraId="4775C3DE" w14:textId="77777777" w:rsidR="00EF3F11" w:rsidRPr="00D97953" w:rsidRDefault="00EF3F11" w:rsidP="00EF3F11">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D97953">
              <w:rPr>
                <w:rFonts w:ascii="Times New Roman" w:eastAsia="Times New Roman" w:hAnsi="Times New Roman" w:cs="Times New Roman"/>
                <w:color w:val="000000"/>
                <w:kern w:val="0"/>
                <w:sz w:val="16"/>
                <w:szCs w:val="16"/>
                <w:lang w:eastAsia="en-IN"/>
                <w14:ligatures w14:val="none"/>
              </w:rPr>
              <w:t>13.00</w:t>
            </w:r>
          </w:p>
        </w:tc>
        <w:tc>
          <w:tcPr>
            <w:tcW w:w="948" w:type="dxa"/>
            <w:vMerge w:val="restart"/>
            <w:tcBorders>
              <w:top w:val="nil"/>
              <w:left w:val="single" w:sz="4" w:space="0" w:color="auto"/>
              <w:bottom w:val="single" w:sz="4" w:space="0" w:color="000000"/>
              <w:right w:val="single" w:sz="4" w:space="0" w:color="auto"/>
            </w:tcBorders>
            <w:noWrap/>
            <w:vAlign w:val="center"/>
            <w:hideMark/>
          </w:tcPr>
          <w:p w14:paraId="0BE7FFB8" w14:textId="77777777" w:rsidR="00EF3F11" w:rsidRPr="00D97953" w:rsidRDefault="00EF3F11" w:rsidP="00EF3F11">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D97953">
              <w:rPr>
                <w:rFonts w:ascii="Times New Roman" w:eastAsia="Times New Roman" w:hAnsi="Times New Roman" w:cs="Times New Roman"/>
                <w:color w:val="000000"/>
                <w:kern w:val="0"/>
                <w:sz w:val="16"/>
                <w:szCs w:val="16"/>
                <w:lang w:eastAsia="en-IN"/>
                <w14:ligatures w14:val="none"/>
              </w:rPr>
              <w:t>1.00</w:t>
            </w:r>
          </w:p>
        </w:tc>
        <w:tc>
          <w:tcPr>
            <w:tcW w:w="608" w:type="dxa"/>
            <w:vMerge w:val="restart"/>
            <w:tcBorders>
              <w:top w:val="nil"/>
              <w:left w:val="single" w:sz="4" w:space="0" w:color="auto"/>
              <w:bottom w:val="single" w:sz="4" w:space="0" w:color="000000"/>
              <w:right w:val="single" w:sz="4" w:space="0" w:color="auto"/>
            </w:tcBorders>
            <w:noWrap/>
            <w:vAlign w:val="center"/>
            <w:hideMark/>
          </w:tcPr>
          <w:p w14:paraId="5E49EC64" w14:textId="77777777" w:rsidR="00EF3F11" w:rsidRPr="00D97953" w:rsidRDefault="00EF3F11" w:rsidP="00EF3F11">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D97953">
              <w:rPr>
                <w:rFonts w:ascii="Times New Roman" w:eastAsia="Times New Roman" w:hAnsi="Times New Roman" w:cs="Times New Roman"/>
                <w:color w:val="000000"/>
                <w:kern w:val="0"/>
                <w:sz w:val="16"/>
                <w:szCs w:val="16"/>
                <w:lang w:eastAsia="en-IN"/>
                <w14:ligatures w14:val="none"/>
              </w:rPr>
              <w:t>14.00</w:t>
            </w:r>
          </w:p>
        </w:tc>
      </w:tr>
      <w:tr w:rsidR="00EF3F11" w:rsidRPr="00D97953" w14:paraId="7E14DBD8" w14:textId="77777777" w:rsidTr="00D97953">
        <w:trPr>
          <w:gridAfter w:val="1"/>
          <w:wAfter w:w="15" w:type="dxa"/>
          <w:trHeight w:val="20"/>
          <w:jc w:val="center"/>
        </w:trPr>
        <w:tc>
          <w:tcPr>
            <w:tcW w:w="2464" w:type="dxa"/>
            <w:tcBorders>
              <w:top w:val="nil"/>
              <w:left w:val="single" w:sz="4" w:space="0" w:color="auto"/>
              <w:bottom w:val="single" w:sz="4" w:space="0" w:color="auto"/>
              <w:right w:val="single" w:sz="4" w:space="0" w:color="auto"/>
            </w:tcBorders>
            <w:noWrap/>
            <w:vAlign w:val="center"/>
            <w:hideMark/>
          </w:tcPr>
          <w:p w14:paraId="19B5B285" w14:textId="77777777" w:rsidR="00EF3F11" w:rsidRPr="00D97953" w:rsidRDefault="00EF3F11" w:rsidP="00EF3F11">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D97953">
              <w:rPr>
                <w:rFonts w:ascii="Times New Roman" w:eastAsia="Times New Roman" w:hAnsi="Times New Roman" w:cs="Times New Roman"/>
                <w:color w:val="000000"/>
                <w:kern w:val="0"/>
                <w:sz w:val="16"/>
                <w:szCs w:val="16"/>
                <w:lang w:eastAsia="en-IN"/>
                <w14:ligatures w14:val="none"/>
              </w:rPr>
              <w:t>(b) Korba-Amarkantak</w:t>
            </w:r>
          </w:p>
        </w:tc>
        <w:tc>
          <w:tcPr>
            <w:tcW w:w="608" w:type="dxa"/>
            <w:vMerge/>
            <w:tcBorders>
              <w:top w:val="nil"/>
              <w:left w:val="single" w:sz="4" w:space="0" w:color="auto"/>
              <w:bottom w:val="single" w:sz="4" w:space="0" w:color="000000"/>
              <w:right w:val="single" w:sz="4" w:space="0" w:color="auto"/>
            </w:tcBorders>
            <w:vAlign w:val="center"/>
            <w:hideMark/>
          </w:tcPr>
          <w:p w14:paraId="6A8E46C5" w14:textId="77777777" w:rsidR="00EF3F11" w:rsidRPr="00D97953" w:rsidRDefault="00EF3F11" w:rsidP="00EF3F11">
            <w:pPr>
              <w:spacing w:after="0" w:line="240" w:lineRule="auto"/>
              <w:rPr>
                <w:rFonts w:ascii="Times New Roman" w:eastAsia="Times New Roman" w:hAnsi="Times New Roman" w:cs="Times New Roman"/>
                <w:color w:val="000000"/>
                <w:kern w:val="0"/>
                <w:sz w:val="16"/>
                <w:szCs w:val="16"/>
                <w:lang w:eastAsia="en-IN"/>
                <w14:ligatures w14:val="none"/>
              </w:rPr>
            </w:pPr>
          </w:p>
        </w:tc>
        <w:tc>
          <w:tcPr>
            <w:tcW w:w="948" w:type="dxa"/>
            <w:vMerge/>
            <w:tcBorders>
              <w:top w:val="nil"/>
              <w:left w:val="single" w:sz="4" w:space="0" w:color="auto"/>
              <w:bottom w:val="single" w:sz="4" w:space="0" w:color="000000"/>
              <w:right w:val="single" w:sz="4" w:space="0" w:color="auto"/>
            </w:tcBorders>
            <w:vAlign w:val="center"/>
            <w:hideMark/>
          </w:tcPr>
          <w:p w14:paraId="6F3DE515" w14:textId="77777777" w:rsidR="00EF3F11" w:rsidRPr="00D97953" w:rsidRDefault="00EF3F11" w:rsidP="00EF3F11">
            <w:pPr>
              <w:spacing w:after="0" w:line="240" w:lineRule="auto"/>
              <w:rPr>
                <w:rFonts w:ascii="Times New Roman" w:eastAsia="Times New Roman" w:hAnsi="Times New Roman" w:cs="Times New Roman"/>
                <w:color w:val="000000"/>
                <w:kern w:val="0"/>
                <w:sz w:val="16"/>
                <w:szCs w:val="16"/>
                <w:lang w:eastAsia="en-IN"/>
                <w14:ligatures w14:val="none"/>
              </w:rPr>
            </w:pPr>
          </w:p>
        </w:tc>
        <w:tc>
          <w:tcPr>
            <w:tcW w:w="610" w:type="dxa"/>
            <w:vMerge/>
            <w:tcBorders>
              <w:top w:val="nil"/>
              <w:left w:val="single" w:sz="4" w:space="0" w:color="auto"/>
              <w:bottom w:val="single" w:sz="4" w:space="0" w:color="000000"/>
              <w:right w:val="single" w:sz="4" w:space="0" w:color="auto"/>
            </w:tcBorders>
            <w:vAlign w:val="center"/>
            <w:hideMark/>
          </w:tcPr>
          <w:p w14:paraId="348A3796" w14:textId="77777777" w:rsidR="00EF3F11" w:rsidRPr="00D97953" w:rsidRDefault="00EF3F11" w:rsidP="00EF3F11">
            <w:pPr>
              <w:spacing w:after="0" w:line="240" w:lineRule="auto"/>
              <w:rPr>
                <w:rFonts w:ascii="Times New Roman" w:eastAsia="Times New Roman" w:hAnsi="Times New Roman" w:cs="Times New Roman"/>
                <w:color w:val="000000"/>
                <w:kern w:val="0"/>
                <w:sz w:val="16"/>
                <w:szCs w:val="16"/>
                <w:lang w:eastAsia="en-IN"/>
                <w14:ligatures w14:val="none"/>
              </w:rPr>
            </w:pPr>
          </w:p>
        </w:tc>
        <w:tc>
          <w:tcPr>
            <w:tcW w:w="1728" w:type="dxa"/>
            <w:vMerge/>
            <w:tcBorders>
              <w:top w:val="nil"/>
              <w:left w:val="single" w:sz="4" w:space="0" w:color="auto"/>
              <w:bottom w:val="single" w:sz="4" w:space="0" w:color="000000"/>
              <w:right w:val="single" w:sz="4" w:space="0" w:color="auto"/>
            </w:tcBorders>
            <w:vAlign w:val="center"/>
            <w:hideMark/>
          </w:tcPr>
          <w:p w14:paraId="35835121" w14:textId="77777777" w:rsidR="00EF3F11" w:rsidRPr="00D97953" w:rsidRDefault="00EF3F11" w:rsidP="00EF3F11">
            <w:pPr>
              <w:spacing w:after="0" w:line="240" w:lineRule="auto"/>
              <w:rPr>
                <w:rFonts w:ascii="Times New Roman" w:eastAsia="Times New Roman" w:hAnsi="Times New Roman" w:cs="Times New Roman"/>
                <w:color w:val="000000"/>
                <w:kern w:val="0"/>
                <w:sz w:val="16"/>
                <w:szCs w:val="16"/>
                <w:lang w:eastAsia="en-IN"/>
                <w14:ligatures w14:val="none"/>
              </w:rPr>
            </w:pPr>
          </w:p>
        </w:tc>
        <w:tc>
          <w:tcPr>
            <w:tcW w:w="948" w:type="dxa"/>
            <w:vMerge/>
            <w:tcBorders>
              <w:top w:val="nil"/>
              <w:left w:val="single" w:sz="4" w:space="0" w:color="auto"/>
              <w:bottom w:val="single" w:sz="4" w:space="0" w:color="000000"/>
              <w:right w:val="single" w:sz="4" w:space="0" w:color="auto"/>
            </w:tcBorders>
            <w:vAlign w:val="center"/>
            <w:hideMark/>
          </w:tcPr>
          <w:p w14:paraId="09CC3E73" w14:textId="77777777" w:rsidR="00EF3F11" w:rsidRPr="00D97953" w:rsidRDefault="00EF3F11" w:rsidP="00EF3F11">
            <w:pPr>
              <w:spacing w:after="0" w:line="240" w:lineRule="auto"/>
              <w:rPr>
                <w:rFonts w:ascii="Times New Roman" w:eastAsia="Times New Roman" w:hAnsi="Times New Roman" w:cs="Times New Roman"/>
                <w:color w:val="000000"/>
                <w:kern w:val="0"/>
                <w:sz w:val="16"/>
                <w:szCs w:val="16"/>
                <w:lang w:eastAsia="en-IN"/>
                <w14:ligatures w14:val="none"/>
              </w:rPr>
            </w:pPr>
          </w:p>
        </w:tc>
        <w:tc>
          <w:tcPr>
            <w:tcW w:w="611" w:type="dxa"/>
            <w:vMerge/>
            <w:tcBorders>
              <w:top w:val="nil"/>
              <w:left w:val="single" w:sz="4" w:space="0" w:color="auto"/>
              <w:bottom w:val="single" w:sz="4" w:space="0" w:color="000000"/>
              <w:right w:val="single" w:sz="4" w:space="0" w:color="auto"/>
            </w:tcBorders>
            <w:vAlign w:val="center"/>
            <w:hideMark/>
          </w:tcPr>
          <w:p w14:paraId="7B8484FC" w14:textId="77777777" w:rsidR="00EF3F11" w:rsidRPr="00D97953" w:rsidRDefault="00EF3F11" w:rsidP="00EF3F11">
            <w:pPr>
              <w:spacing w:after="0" w:line="240" w:lineRule="auto"/>
              <w:rPr>
                <w:rFonts w:ascii="Times New Roman" w:eastAsia="Times New Roman" w:hAnsi="Times New Roman" w:cs="Times New Roman"/>
                <w:color w:val="000000"/>
                <w:kern w:val="0"/>
                <w:sz w:val="16"/>
                <w:szCs w:val="16"/>
                <w:lang w:eastAsia="en-IN"/>
                <w14:ligatures w14:val="none"/>
              </w:rPr>
            </w:pPr>
          </w:p>
        </w:tc>
        <w:tc>
          <w:tcPr>
            <w:tcW w:w="1728" w:type="dxa"/>
            <w:vMerge/>
            <w:tcBorders>
              <w:top w:val="nil"/>
              <w:left w:val="single" w:sz="4" w:space="0" w:color="auto"/>
              <w:bottom w:val="single" w:sz="4" w:space="0" w:color="000000"/>
              <w:right w:val="single" w:sz="4" w:space="0" w:color="auto"/>
            </w:tcBorders>
            <w:vAlign w:val="center"/>
            <w:hideMark/>
          </w:tcPr>
          <w:p w14:paraId="25EEB521" w14:textId="77777777" w:rsidR="00EF3F11" w:rsidRPr="00D97953" w:rsidRDefault="00EF3F11" w:rsidP="00EF3F11">
            <w:pPr>
              <w:spacing w:after="0" w:line="240" w:lineRule="auto"/>
              <w:rPr>
                <w:rFonts w:ascii="Times New Roman" w:eastAsia="Times New Roman" w:hAnsi="Times New Roman" w:cs="Times New Roman"/>
                <w:color w:val="000000"/>
                <w:kern w:val="0"/>
                <w:sz w:val="16"/>
                <w:szCs w:val="16"/>
                <w:lang w:eastAsia="en-IN"/>
                <w14:ligatures w14:val="none"/>
              </w:rPr>
            </w:pPr>
          </w:p>
        </w:tc>
        <w:tc>
          <w:tcPr>
            <w:tcW w:w="948" w:type="dxa"/>
            <w:vMerge/>
            <w:tcBorders>
              <w:top w:val="nil"/>
              <w:left w:val="single" w:sz="4" w:space="0" w:color="auto"/>
              <w:bottom w:val="single" w:sz="4" w:space="0" w:color="000000"/>
              <w:right w:val="single" w:sz="4" w:space="0" w:color="auto"/>
            </w:tcBorders>
            <w:vAlign w:val="center"/>
            <w:hideMark/>
          </w:tcPr>
          <w:p w14:paraId="51A776F3" w14:textId="77777777" w:rsidR="00EF3F11" w:rsidRPr="00D97953" w:rsidRDefault="00EF3F11" w:rsidP="00EF3F11">
            <w:pPr>
              <w:spacing w:after="0" w:line="240" w:lineRule="auto"/>
              <w:rPr>
                <w:rFonts w:ascii="Times New Roman" w:eastAsia="Times New Roman" w:hAnsi="Times New Roman" w:cs="Times New Roman"/>
                <w:color w:val="000000"/>
                <w:kern w:val="0"/>
                <w:sz w:val="16"/>
                <w:szCs w:val="16"/>
                <w:lang w:eastAsia="en-IN"/>
                <w14:ligatures w14:val="none"/>
              </w:rPr>
            </w:pPr>
          </w:p>
        </w:tc>
        <w:tc>
          <w:tcPr>
            <w:tcW w:w="610" w:type="dxa"/>
            <w:vMerge/>
            <w:tcBorders>
              <w:top w:val="nil"/>
              <w:left w:val="single" w:sz="4" w:space="0" w:color="auto"/>
              <w:bottom w:val="single" w:sz="4" w:space="0" w:color="000000"/>
              <w:right w:val="single" w:sz="4" w:space="0" w:color="auto"/>
            </w:tcBorders>
            <w:vAlign w:val="center"/>
            <w:hideMark/>
          </w:tcPr>
          <w:p w14:paraId="208B1874" w14:textId="77777777" w:rsidR="00EF3F11" w:rsidRPr="00D97953" w:rsidRDefault="00EF3F11" w:rsidP="00EF3F11">
            <w:pPr>
              <w:spacing w:after="0" w:line="240" w:lineRule="auto"/>
              <w:rPr>
                <w:rFonts w:ascii="Times New Roman" w:eastAsia="Times New Roman" w:hAnsi="Times New Roman" w:cs="Times New Roman"/>
                <w:color w:val="000000"/>
                <w:kern w:val="0"/>
                <w:sz w:val="16"/>
                <w:szCs w:val="16"/>
                <w:lang w:eastAsia="en-IN"/>
                <w14:ligatures w14:val="none"/>
              </w:rPr>
            </w:pPr>
          </w:p>
        </w:tc>
        <w:tc>
          <w:tcPr>
            <w:tcW w:w="1728" w:type="dxa"/>
            <w:vMerge/>
            <w:tcBorders>
              <w:top w:val="nil"/>
              <w:left w:val="single" w:sz="4" w:space="0" w:color="auto"/>
              <w:bottom w:val="single" w:sz="4" w:space="0" w:color="000000"/>
              <w:right w:val="single" w:sz="4" w:space="0" w:color="auto"/>
            </w:tcBorders>
            <w:vAlign w:val="center"/>
            <w:hideMark/>
          </w:tcPr>
          <w:p w14:paraId="1335DB42" w14:textId="77777777" w:rsidR="00EF3F11" w:rsidRPr="00D97953" w:rsidRDefault="00EF3F11" w:rsidP="00EF3F11">
            <w:pPr>
              <w:spacing w:after="0" w:line="240" w:lineRule="auto"/>
              <w:rPr>
                <w:rFonts w:ascii="Times New Roman" w:eastAsia="Times New Roman" w:hAnsi="Times New Roman" w:cs="Times New Roman"/>
                <w:color w:val="000000"/>
                <w:kern w:val="0"/>
                <w:sz w:val="16"/>
                <w:szCs w:val="16"/>
                <w:lang w:eastAsia="en-IN"/>
                <w14:ligatures w14:val="none"/>
              </w:rPr>
            </w:pPr>
          </w:p>
        </w:tc>
        <w:tc>
          <w:tcPr>
            <w:tcW w:w="948" w:type="dxa"/>
            <w:vMerge/>
            <w:tcBorders>
              <w:top w:val="nil"/>
              <w:left w:val="single" w:sz="4" w:space="0" w:color="auto"/>
              <w:bottom w:val="single" w:sz="4" w:space="0" w:color="000000"/>
              <w:right w:val="single" w:sz="4" w:space="0" w:color="auto"/>
            </w:tcBorders>
            <w:vAlign w:val="center"/>
            <w:hideMark/>
          </w:tcPr>
          <w:p w14:paraId="14292089" w14:textId="77777777" w:rsidR="00EF3F11" w:rsidRPr="00D97953" w:rsidRDefault="00EF3F11" w:rsidP="00EF3F11">
            <w:pPr>
              <w:spacing w:after="0" w:line="240" w:lineRule="auto"/>
              <w:rPr>
                <w:rFonts w:ascii="Times New Roman" w:eastAsia="Times New Roman" w:hAnsi="Times New Roman" w:cs="Times New Roman"/>
                <w:color w:val="000000"/>
                <w:kern w:val="0"/>
                <w:sz w:val="16"/>
                <w:szCs w:val="16"/>
                <w:lang w:eastAsia="en-IN"/>
                <w14:ligatures w14:val="none"/>
              </w:rPr>
            </w:pPr>
          </w:p>
        </w:tc>
        <w:tc>
          <w:tcPr>
            <w:tcW w:w="608" w:type="dxa"/>
            <w:vMerge/>
            <w:tcBorders>
              <w:top w:val="nil"/>
              <w:left w:val="single" w:sz="4" w:space="0" w:color="auto"/>
              <w:bottom w:val="single" w:sz="4" w:space="0" w:color="000000"/>
              <w:right w:val="single" w:sz="4" w:space="0" w:color="auto"/>
            </w:tcBorders>
            <w:vAlign w:val="center"/>
            <w:hideMark/>
          </w:tcPr>
          <w:p w14:paraId="08D1EC08" w14:textId="77777777" w:rsidR="00EF3F11" w:rsidRPr="00D97953" w:rsidRDefault="00EF3F11" w:rsidP="00EF3F11">
            <w:pPr>
              <w:spacing w:after="0" w:line="240" w:lineRule="auto"/>
              <w:rPr>
                <w:rFonts w:ascii="Times New Roman" w:eastAsia="Times New Roman" w:hAnsi="Times New Roman" w:cs="Times New Roman"/>
                <w:color w:val="000000"/>
                <w:kern w:val="0"/>
                <w:sz w:val="16"/>
                <w:szCs w:val="16"/>
                <w:lang w:eastAsia="en-IN"/>
                <w14:ligatures w14:val="none"/>
              </w:rPr>
            </w:pPr>
          </w:p>
        </w:tc>
      </w:tr>
      <w:tr w:rsidR="00EF3F11" w:rsidRPr="00D97953" w14:paraId="1893A116" w14:textId="77777777" w:rsidTr="00D97953">
        <w:trPr>
          <w:gridAfter w:val="1"/>
          <w:wAfter w:w="15" w:type="dxa"/>
          <w:trHeight w:val="20"/>
          <w:jc w:val="center"/>
        </w:trPr>
        <w:tc>
          <w:tcPr>
            <w:tcW w:w="2464" w:type="dxa"/>
            <w:tcBorders>
              <w:top w:val="nil"/>
              <w:left w:val="single" w:sz="4" w:space="0" w:color="auto"/>
              <w:bottom w:val="single" w:sz="4" w:space="0" w:color="auto"/>
              <w:right w:val="single" w:sz="4" w:space="0" w:color="auto"/>
            </w:tcBorders>
            <w:noWrap/>
            <w:vAlign w:val="center"/>
            <w:hideMark/>
          </w:tcPr>
          <w:p w14:paraId="0142E954" w14:textId="77777777" w:rsidR="00EF3F11" w:rsidRPr="00D97953" w:rsidRDefault="00EF3F11" w:rsidP="00EF3F11">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D97953">
              <w:rPr>
                <w:rFonts w:ascii="Times New Roman" w:eastAsia="Times New Roman" w:hAnsi="Times New Roman" w:cs="Times New Roman"/>
                <w:color w:val="000000"/>
                <w:kern w:val="0"/>
                <w:sz w:val="16"/>
                <w:szCs w:val="16"/>
                <w:lang w:eastAsia="en-IN"/>
                <w14:ligatures w14:val="none"/>
              </w:rPr>
              <w:t>(c) Southern Grid</w:t>
            </w:r>
          </w:p>
        </w:tc>
        <w:tc>
          <w:tcPr>
            <w:tcW w:w="608" w:type="dxa"/>
            <w:tcBorders>
              <w:top w:val="nil"/>
              <w:left w:val="nil"/>
              <w:bottom w:val="single" w:sz="4" w:space="0" w:color="auto"/>
              <w:right w:val="single" w:sz="4" w:space="0" w:color="auto"/>
            </w:tcBorders>
            <w:noWrap/>
            <w:vAlign w:val="center"/>
            <w:hideMark/>
          </w:tcPr>
          <w:p w14:paraId="7EFDF8BB" w14:textId="77777777" w:rsidR="00EF3F11" w:rsidRPr="00D97953" w:rsidRDefault="00EF3F11" w:rsidP="00EF3F11">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D97953">
              <w:rPr>
                <w:rFonts w:ascii="Times New Roman" w:eastAsia="Times New Roman" w:hAnsi="Times New Roman" w:cs="Times New Roman"/>
                <w:color w:val="000000"/>
                <w:kern w:val="0"/>
                <w:sz w:val="16"/>
                <w:szCs w:val="16"/>
                <w:lang w:eastAsia="en-IN"/>
                <w14:ligatures w14:val="none"/>
              </w:rPr>
              <w:t>28.13</w:t>
            </w:r>
          </w:p>
        </w:tc>
        <w:tc>
          <w:tcPr>
            <w:tcW w:w="948" w:type="dxa"/>
            <w:tcBorders>
              <w:top w:val="nil"/>
              <w:left w:val="nil"/>
              <w:bottom w:val="single" w:sz="4" w:space="0" w:color="auto"/>
              <w:right w:val="single" w:sz="4" w:space="0" w:color="auto"/>
            </w:tcBorders>
            <w:noWrap/>
            <w:vAlign w:val="center"/>
            <w:hideMark/>
          </w:tcPr>
          <w:p w14:paraId="703C0722" w14:textId="77777777" w:rsidR="00EF3F11" w:rsidRPr="00D97953" w:rsidRDefault="00EF3F11" w:rsidP="00EF3F11">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D97953">
              <w:rPr>
                <w:rFonts w:ascii="Times New Roman" w:eastAsia="Times New Roman" w:hAnsi="Times New Roman" w:cs="Times New Roman"/>
                <w:color w:val="000000"/>
                <w:kern w:val="0"/>
                <w:sz w:val="16"/>
                <w:szCs w:val="16"/>
                <w:lang w:eastAsia="en-IN"/>
                <w14:ligatures w14:val="none"/>
              </w:rPr>
              <w:t>6.00</w:t>
            </w:r>
          </w:p>
        </w:tc>
        <w:tc>
          <w:tcPr>
            <w:tcW w:w="610" w:type="dxa"/>
            <w:tcBorders>
              <w:top w:val="nil"/>
              <w:left w:val="nil"/>
              <w:bottom w:val="single" w:sz="4" w:space="0" w:color="auto"/>
              <w:right w:val="single" w:sz="4" w:space="0" w:color="auto"/>
            </w:tcBorders>
            <w:noWrap/>
            <w:vAlign w:val="center"/>
            <w:hideMark/>
          </w:tcPr>
          <w:p w14:paraId="49EA89A1" w14:textId="77777777" w:rsidR="00EF3F11" w:rsidRPr="00D97953" w:rsidRDefault="00EF3F11" w:rsidP="00EF3F11">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D97953">
              <w:rPr>
                <w:rFonts w:ascii="Times New Roman" w:eastAsia="Times New Roman" w:hAnsi="Times New Roman" w:cs="Times New Roman"/>
                <w:color w:val="000000"/>
                <w:kern w:val="0"/>
                <w:sz w:val="16"/>
                <w:szCs w:val="16"/>
                <w:lang w:eastAsia="en-IN"/>
                <w14:ligatures w14:val="none"/>
              </w:rPr>
              <w:t>34.13</w:t>
            </w:r>
          </w:p>
        </w:tc>
        <w:tc>
          <w:tcPr>
            <w:tcW w:w="1728" w:type="dxa"/>
            <w:tcBorders>
              <w:top w:val="nil"/>
              <w:left w:val="nil"/>
              <w:bottom w:val="single" w:sz="4" w:space="0" w:color="auto"/>
              <w:right w:val="single" w:sz="4" w:space="0" w:color="auto"/>
            </w:tcBorders>
            <w:noWrap/>
            <w:vAlign w:val="center"/>
            <w:hideMark/>
          </w:tcPr>
          <w:p w14:paraId="45AEBD14" w14:textId="77777777" w:rsidR="00EF3F11" w:rsidRPr="00D97953" w:rsidRDefault="00EF3F11" w:rsidP="00EF3F11">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D97953">
              <w:rPr>
                <w:rFonts w:ascii="Times New Roman" w:eastAsia="Times New Roman" w:hAnsi="Times New Roman" w:cs="Times New Roman"/>
                <w:color w:val="000000"/>
                <w:kern w:val="0"/>
                <w:sz w:val="16"/>
                <w:szCs w:val="16"/>
                <w:lang w:eastAsia="en-IN"/>
                <w14:ligatures w14:val="none"/>
              </w:rPr>
              <w:t>13.00</w:t>
            </w:r>
          </w:p>
        </w:tc>
        <w:tc>
          <w:tcPr>
            <w:tcW w:w="948" w:type="dxa"/>
            <w:tcBorders>
              <w:top w:val="nil"/>
              <w:left w:val="nil"/>
              <w:bottom w:val="single" w:sz="4" w:space="0" w:color="auto"/>
              <w:right w:val="single" w:sz="4" w:space="0" w:color="auto"/>
            </w:tcBorders>
            <w:noWrap/>
            <w:vAlign w:val="center"/>
            <w:hideMark/>
          </w:tcPr>
          <w:p w14:paraId="5B988F11" w14:textId="77777777" w:rsidR="00EF3F11" w:rsidRPr="00D97953" w:rsidRDefault="00EF3F11" w:rsidP="00EF3F11">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D97953">
              <w:rPr>
                <w:rFonts w:ascii="Times New Roman" w:eastAsia="Times New Roman" w:hAnsi="Times New Roman" w:cs="Times New Roman"/>
                <w:color w:val="000000"/>
                <w:kern w:val="0"/>
                <w:sz w:val="16"/>
                <w:szCs w:val="16"/>
                <w:lang w:eastAsia="en-IN"/>
                <w14:ligatures w14:val="none"/>
              </w:rPr>
              <w:t>1.00</w:t>
            </w:r>
          </w:p>
        </w:tc>
        <w:tc>
          <w:tcPr>
            <w:tcW w:w="611" w:type="dxa"/>
            <w:tcBorders>
              <w:top w:val="nil"/>
              <w:left w:val="nil"/>
              <w:bottom w:val="single" w:sz="4" w:space="0" w:color="auto"/>
              <w:right w:val="single" w:sz="4" w:space="0" w:color="auto"/>
            </w:tcBorders>
            <w:noWrap/>
            <w:vAlign w:val="center"/>
            <w:hideMark/>
          </w:tcPr>
          <w:p w14:paraId="06B5611C" w14:textId="77777777" w:rsidR="00EF3F11" w:rsidRPr="00D97953" w:rsidRDefault="00EF3F11" w:rsidP="00EF3F11">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D97953">
              <w:rPr>
                <w:rFonts w:ascii="Times New Roman" w:eastAsia="Times New Roman" w:hAnsi="Times New Roman" w:cs="Times New Roman"/>
                <w:color w:val="000000"/>
                <w:kern w:val="0"/>
                <w:sz w:val="16"/>
                <w:szCs w:val="16"/>
                <w:lang w:eastAsia="en-IN"/>
                <w14:ligatures w14:val="none"/>
              </w:rPr>
              <w:t>14.00</w:t>
            </w:r>
          </w:p>
        </w:tc>
        <w:tc>
          <w:tcPr>
            <w:tcW w:w="1728" w:type="dxa"/>
            <w:tcBorders>
              <w:top w:val="nil"/>
              <w:left w:val="nil"/>
              <w:bottom w:val="single" w:sz="4" w:space="0" w:color="auto"/>
              <w:right w:val="single" w:sz="4" w:space="0" w:color="auto"/>
            </w:tcBorders>
            <w:noWrap/>
            <w:vAlign w:val="center"/>
            <w:hideMark/>
          </w:tcPr>
          <w:p w14:paraId="775B3228" w14:textId="77777777" w:rsidR="00EF3F11" w:rsidRPr="00D97953" w:rsidRDefault="00EF3F11" w:rsidP="00EF3F11">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D97953">
              <w:rPr>
                <w:rFonts w:ascii="Times New Roman" w:eastAsia="Times New Roman" w:hAnsi="Times New Roman" w:cs="Times New Roman"/>
                <w:color w:val="000000"/>
                <w:kern w:val="0"/>
                <w:sz w:val="16"/>
                <w:szCs w:val="16"/>
                <w:lang w:eastAsia="en-IN"/>
                <w14:ligatures w14:val="none"/>
              </w:rPr>
              <w:t>25.88</w:t>
            </w:r>
          </w:p>
        </w:tc>
        <w:tc>
          <w:tcPr>
            <w:tcW w:w="948" w:type="dxa"/>
            <w:tcBorders>
              <w:top w:val="nil"/>
              <w:left w:val="nil"/>
              <w:bottom w:val="single" w:sz="4" w:space="0" w:color="auto"/>
              <w:right w:val="single" w:sz="4" w:space="0" w:color="auto"/>
            </w:tcBorders>
            <w:noWrap/>
            <w:vAlign w:val="center"/>
            <w:hideMark/>
          </w:tcPr>
          <w:p w14:paraId="00A01136" w14:textId="77777777" w:rsidR="00EF3F11" w:rsidRPr="00D97953" w:rsidRDefault="00EF3F11" w:rsidP="00EF3F11">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D97953">
              <w:rPr>
                <w:rFonts w:ascii="Times New Roman" w:eastAsia="Times New Roman" w:hAnsi="Times New Roman" w:cs="Times New Roman"/>
                <w:color w:val="000000"/>
                <w:kern w:val="0"/>
                <w:sz w:val="16"/>
                <w:szCs w:val="16"/>
                <w:lang w:eastAsia="en-IN"/>
                <w14:ligatures w14:val="none"/>
              </w:rPr>
              <w:t>6.00</w:t>
            </w:r>
          </w:p>
        </w:tc>
        <w:tc>
          <w:tcPr>
            <w:tcW w:w="610" w:type="dxa"/>
            <w:tcBorders>
              <w:top w:val="nil"/>
              <w:left w:val="nil"/>
              <w:bottom w:val="single" w:sz="4" w:space="0" w:color="auto"/>
              <w:right w:val="single" w:sz="4" w:space="0" w:color="auto"/>
            </w:tcBorders>
            <w:noWrap/>
            <w:vAlign w:val="center"/>
            <w:hideMark/>
          </w:tcPr>
          <w:p w14:paraId="17C0EEA8" w14:textId="77777777" w:rsidR="00EF3F11" w:rsidRPr="00D97953" w:rsidRDefault="00EF3F11" w:rsidP="00EF3F11">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D97953">
              <w:rPr>
                <w:rFonts w:ascii="Times New Roman" w:eastAsia="Times New Roman" w:hAnsi="Times New Roman" w:cs="Times New Roman"/>
                <w:color w:val="000000"/>
                <w:kern w:val="0"/>
                <w:sz w:val="16"/>
                <w:szCs w:val="16"/>
                <w:lang w:eastAsia="en-IN"/>
                <w14:ligatures w14:val="none"/>
              </w:rPr>
              <w:t>31.88</w:t>
            </w:r>
          </w:p>
        </w:tc>
        <w:tc>
          <w:tcPr>
            <w:tcW w:w="1728" w:type="dxa"/>
            <w:tcBorders>
              <w:top w:val="nil"/>
              <w:left w:val="nil"/>
              <w:bottom w:val="single" w:sz="4" w:space="0" w:color="auto"/>
              <w:right w:val="single" w:sz="4" w:space="0" w:color="auto"/>
            </w:tcBorders>
            <w:noWrap/>
            <w:vAlign w:val="center"/>
            <w:hideMark/>
          </w:tcPr>
          <w:p w14:paraId="5F9052AF" w14:textId="77777777" w:rsidR="00EF3F11" w:rsidRPr="00D97953" w:rsidRDefault="00EF3F11" w:rsidP="00EF3F11">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D97953">
              <w:rPr>
                <w:rFonts w:ascii="Times New Roman" w:eastAsia="Times New Roman" w:hAnsi="Times New Roman" w:cs="Times New Roman"/>
                <w:color w:val="000000"/>
                <w:kern w:val="0"/>
                <w:sz w:val="16"/>
                <w:szCs w:val="16"/>
                <w:lang w:eastAsia="en-IN"/>
                <w14:ligatures w14:val="none"/>
              </w:rPr>
              <w:t>13.00</w:t>
            </w:r>
          </w:p>
        </w:tc>
        <w:tc>
          <w:tcPr>
            <w:tcW w:w="948" w:type="dxa"/>
            <w:tcBorders>
              <w:top w:val="nil"/>
              <w:left w:val="nil"/>
              <w:bottom w:val="single" w:sz="4" w:space="0" w:color="auto"/>
              <w:right w:val="single" w:sz="4" w:space="0" w:color="auto"/>
            </w:tcBorders>
            <w:noWrap/>
            <w:vAlign w:val="center"/>
            <w:hideMark/>
          </w:tcPr>
          <w:p w14:paraId="3EC0FCFF" w14:textId="77777777" w:rsidR="00EF3F11" w:rsidRPr="00D97953" w:rsidRDefault="00EF3F11" w:rsidP="00EF3F11">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D97953">
              <w:rPr>
                <w:rFonts w:ascii="Times New Roman" w:eastAsia="Times New Roman" w:hAnsi="Times New Roman" w:cs="Times New Roman"/>
                <w:color w:val="000000"/>
                <w:kern w:val="0"/>
                <w:sz w:val="16"/>
                <w:szCs w:val="16"/>
                <w:lang w:eastAsia="en-IN"/>
                <w14:ligatures w14:val="none"/>
              </w:rPr>
              <w:t>1.00</w:t>
            </w:r>
          </w:p>
        </w:tc>
        <w:tc>
          <w:tcPr>
            <w:tcW w:w="608" w:type="dxa"/>
            <w:tcBorders>
              <w:top w:val="nil"/>
              <w:left w:val="nil"/>
              <w:bottom w:val="single" w:sz="4" w:space="0" w:color="auto"/>
              <w:right w:val="single" w:sz="4" w:space="0" w:color="auto"/>
            </w:tcBorders>
            <w:noWrap/>
            <w:vAlign w:val="center"/>
            <w:hideMark/>
          </w:tcPr>
          <w:p w14:paraId="0CB696B6" w14:textId="77777777" w:rsidR="00EF3F11" w:rsidRPr="00D97953" w:rsidRDefault="00EF3F11" w:rsidP="00EF3F11">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D97953">
              <w:rPr>
                <w:rFonts w:ascii="Times New Roman" w:eastAsia="Times New Roman" w:hAnsi="Times New Roman" w:cs="Times New Roman"/>
                <w:color w:val="000000"/>
                <w:kern w:val="0"/>
                <w:sz w:val="16"/>
                <w:szCs w:val="16"/>
                <w:lang w:eastAsia="en-IN"/>
                <w14:ligatures w14:val="none"/>
              </w:rPr>
              <w:t>14.00</w:t>
            </w:r>
          </w:p>
        </w:tc>
      </w:tr>
      <w:tr w:rsidR="00EF3F11" w:rsidRPr="00D97953" w14:paraId="3C2B1D46" w14:textId="77777777" w:rsidTr="00D97953">
        <w:trPr>
          <w:gridAfter w:val="1"/>
          <w:wAfter w:w="15" w:type="dxa"/>
          <w:trHeight w:val="20"/>
          <w:jc w:val="center"/>
        </w:trPr>
        <w:tc>
          <w:tcPr>
            <w:tcW w:w="2464" w:type="dxa"/>
            <w:tcBorders>
              <w:top w:val="nil"/>
              <w:left w:val="single" w:sz="4" w:space="0" w:color="auto"/>
              <w:bottom w:val="single" w:sz="4" w:space="0" w:color="auto"/>
              <w:right w:val="single" w:sz="4" w:space="0" w:color="auto"/>
            </w:tcBorders>
            <w:noWrap/>
            <w:vAlign w:val="center"/>
            <w:hideMark/>
          </w:tcPr>
          <w:p w14:paraId="72977A5E" w14:textId="77777777" w:rsidR="00EF3F11" w:rsidRPr="00D97953" w:rsidRDefault="00EF3F11" w:rsidP="00EF3F11">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D97953">
              <w:rPr>
                <w:rFonts w:ascii="Times New Roman" w:eastAsia="Times New Roman" w:hAnsi="Times New Roman" w:cs="Times New Roman"/>
                <w:color w:val="000000"/>
                <w:kern w:val="0"/>
                <w:sz w:val="16"/>
                <w:szCs w:val="16"/>
                <w:lang w:eastAsia="en-IN"/>
                <w14:ligatures w14:val="none"/>
              </w:rPr>
              <w:t>(d) Diesel</w:t>
            </w:r>
          </w:p>
        </w:tc>
        <w:tc>
          <w:tcPr>
            <w:tcW w:w="608" w:type="dxa"/>
            <w:tcBorders>
              <w:top w:val="nil"/>
              <w:left w:val="nil"/>
              <w:bottom w:val="single" w:sz="4" w:space="0" w:color="auto"/>
              <w:right w:val="single" w:sz="4" w:space="0" w:color="auto"/>
            </w:tcBorders>
            <w:noWrap/>
            <w:vAlign w:val="center"/>
            <w:hideMark/>
          </w:tcPr>
          <w:p w14:paraId="383E5CE3" w14:textId="77777777" w:rsidR="00EF3F11" w:rsidRPr="00D97953" w:rsidRDefault="00EF3F11" w:rsidP="00EF3F11">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D97953">
              <w:rPr>
                <w:rFonts w:ascii="Times New Roman" w:eastAsia="Times New Roman" w:hAnsi="Times New Roman" w:cs="Times New Roman"/>
                <w:color w:val="000000"/>
                <w:kern w:val="0"/>
                <w:sz w:val="16"/>
                <w:szCs w:val="16"/>
                <w:lang w:eastAsia="en-IN"/>
                <w14:ligatures w14:val="none"/>
              </w:rPr>
              <w:t>44.00</w:t>
            </w:r>
          </w:p>
        </w:tc>
        <w:tc>
          <w:tcPr>
            <w:tcW w:w="948" w:type="dxa"/>
            <w:tcBorders>
              <w:top w:val="nil"/>
              <w:left w:val="nil"/>
              <w:bottom w:val="single" w:sz="4" w:space="0" w:color="auto"/>
              <w:right w:val="single" w:sz="4" w:space="0" w:color="auto"/>
            </w:tcBorders>
            <w:noWrap/>
            <w:vAlign w:val="center"/>
            <w:hideMark/>
          </w:tcPr>
          <w:p w14:paraId="4B7E4A4E" w14:textId="77777777" w:rsidR="00EF3F11" w:rsidRPr="00D97953" w:rsidRDefault="00EF3F11" w:rsidP="00EF3F11">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D97953">
              <w:rPr>
                <w:rFonts w:ascii="Times New Roman" w:eastAsia="Times New Roman" w:hAnsi="Times New Roman" w:cs="Times New Roman"/>
                <w:color w:val="000000"/>
                <w:kern w:val="0"/>
                <w:sz w:val="16"/>
                <w:szCs w:val="16"/>
                <w:lang w:eastAsia="en-IN"/>
                <w14:ligatures w14:val="none"/>
              </w:rPr>
              <w:t>6.00</w:t>
            </w:r>
          </w:p>
        </w:tc>
        <w:tc>
          <w:tcPr>
            <w:tcW w:w="610" w:type="dxa"/>
            <w:tcBorders>
              <w:top w:val="nil"/>
              <w:left w:val="nil"/>
              <w:bottom w:val="single" w:sz="4" w:space="0" w:color="auto"/>
              <w:right w:val="single" w:sz="4" w:space="0" w:color="auto"/>
            </w:tcBorders>
            <w:noWrap/>
            <w:vAlign w:val="center"/>
            <w:hideMark/>
          </w:tcPr>
          <w:p w14:paraId="46F56402" w14:textId="77777777" w:rsidR="00EF3F11" w:rsidRPr="00D97953" w:rsidRDefault="00EF3F11" w:rsidP="00EF3F11">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D97953">
              <w:rPr>
                <w:rFonts w:ascii="Times New Roman" w:eastAsia="Times New Roman" w:hAnsi="Times New Roman" w:cs="Times New Roman"/>
                <w:color w:val="000000"/>
                <w:kern w:val="0"/>
                <w:sz w:val="16"/>
                <w:szCs w:val="16"/>
                <w:lang w:eastAsia="en-IN"/>
                <w14:ligatures w14:val="none"/>
              </w:rPr>
              <w:t>50.00</w:t>
            </w:r>
          </w:p>
        </w:tc>
        <w:tc>
          <w:tcPr>
            <w:tcW w:w="1728" w:type="dxa"/>
            <w:tcBorders>
              <w:top w:val="nil"/>
              <w:left w:val="nil"/>
              <w:bottom w:val="single" w:sz="4" w:space="0" w:color="auto"/>
              <w:right w:val="single" w:sz="4" w:space="0" w:color="auto"/>
            </w:tcBorders>
            <w:noWrap/>
            <w:vAlign w:val="center"/>
            <w:hideMark/>
          </w:tcPr>
          <w:p w14:paraId="4F0A7A1E" w14:textId="77777777" w:rsidR="00EF3F11" w:rsidRPr="00D97953" w:rsidRDefault="00EF3F11" w:rsidP="00EF3F11">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D97953">
              <w:rPr>
                <w:rFonts w:ascii="Times New Roman" w:eastAsia="Times New Roman" w:hAnsi="Times New Roman" w:cs="Times New Roman"/>
                <w:color w:val="000000"/>
                <w:kern w:val="0"/>
                <w:sz w:val="16"/>
                <w:szCs w:val="16"/>
                <w:lang w:eastAsia="en-IN"/>
                <w14:ligatures w14:val="none"/>
              </w:rPr>
              <w:t>19.00</w:t>
            </w:r>
          </w:p>
        </w:tc>
        <w:tc>
          <w:tcPr>
            <w:tcW w:w="948" w:type="dxa"/>
            <w:tcBorders>
              <w:top w:val="nil"/>
              <w:left w:val="nil"/>
              <w:bottom w:val="single" w:sz="4" w:space="0" w:color="auto"/>
              <w:right w:val="single" w:sz="4" w:space="0" w:color="auto"/>
            </w:tcBorders>
            <w:noWrap/>
            <w:vAlign w:val="center"/>
            <w:hideMark/>
          </w:tcPr>
          <w:p w14:paraId="5FFB9F1F" w14:textId="77777777" w:rsidR="00EF3F11" w:rsidRPr="00D97953" w:rsidRDefault="00EF3F11" w:rsidP="00EF3F11">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D97953">
              <w:rPr>
                <w:rFonts w:ascii="Times New Roman" w:eastAsia="Times New Roman" w:hAnsi="Times New Roman" w:cs="Times New Roman"/>
                <w:color w:val="000000"/>
                <w:kern w:val="0"/>
                <w:sz w:val="16"/>
                <w:szCs w:val="16"/>
                <w:lang w:eastAsia="en-IN"/>
                <w14:ligatures w14:val="none"/>
              </w:rPr>
              <w:t>1.00</w:t>
            </w:r>
          </w:p>
        </w:tc>
        <w:tc>
          <w:tcPr>
            <w:tcW w:w="611" w:type="dxa"/>
            <w:tcBorders>
              <w:top w:val="nil"/>
              <w:left w:val="nil"/>
              <w:bottom w:val="single" w:sz="4" w:space="0" w:color="auto"/>
              <w:right w:val="single" w:sz="4" w:space="0" w:color="auto"/>
            </w:tcBorders>
            <w:noWrap/>
            <w:vAlign w:val="center"/>
            <w:hideMark/>
          </w:tcPr>
          <w:p w14:paraId="53145A60" w14:textId="77777777" w:rsidR="00EF3F11" w:rsidRPr="00D97953" w:rsidRDefault="00EF3F11" w:rsidP="00EF3F11">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D97953">
              <w:rPr>
                <w:rFonts w:ascii="Times New Roman" w:eastAsia="Times New Roman" w:hAnsi="Times New Roman" w:cs="Times New Roman"/>
                <w:color w:val="000000"/>
                <w:kern w:val="0"/>
                <w:sz w:val="16"/>
                <w:szCs w:val="16"/>
                <w:lang w:eastAsia="en-IN"/>
                <w14:ligatures w14:val="none"/>
              </w:rPr>
              <w:t>20.00</w:t>
            </w:r>
          </w:p>
        </w:tc>
        <w:tc>
          <w:tcPr>
            <w:tcW w:w="1728" w:type="dxa"/>
            <w:tcBorders>
              <w:top w:val="nil"/>
              <w:left w:val="nil"/>
              <w:bottom w:val="single" w:sz="4" w:space="0" w:color="auto"/>
              <w:right w:val="single" w:sz="4" w:space="0" w:color="auto"/>
            </w:tcBorders>
            <w:noWrap/>
            <w:vAlign w:val="center"/>
            <w:hideMark/>
          </w:tcPr>
          <w:p w14:paraId="4EDC0737" w14:textId="77777777" w:rsidR="00EF3F11" w:rsidRPr="00D97953" w:rsidRDefault="00EF3F11" w:rsidP="00EF3F11">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D97953">
              <w:rPr>
                <w:rFonts w:ascii="Times New Roman" w:eastAsia="Times New Roman" w:hAnsi="Times New Roman" w:cs="Times New Roman"/>
                <w:color w:val="000000"/>
                <w:kern w:val="0"/>
                <w:sz w:val="16"/>
                <w:szCs w:val="16"/>
                <w:lang w:eastAsia="en-IN"/>
                <w14:ligatures w14:val="none"/>
              </w:rPr>
              <w:t>44.00</w:t>
            </w:r>
          </w:p>
        </w:tc>
        <w:tc>
          <w:tcPr>
            <w:tcW w:w="948" w:type="dxa"/>
            <w:tcBorders>
              <w:top w:val="nil"/>
              <w:left w:val="nil"/>
              <w:bottom w:val="single" w:sz="4" w:space="0" w:color="auto"/>
              <w:right w:val="single" w:sz="4" w:space="0" w:color="auto"/>
            </w:tcBorders>
            <w:noWrap/>
            <w:vAlign w:val="center"/>
            <w:hideMark/>
          </w:tcPr>
          <w:p w14:paraId="6A0DA9DC" w14:textId="77777777" w:rsidR="00EF3F11" w:rsidRPr="00D97953" w:rsidRDefault="00EF3F11" w:rsidP="00EF3F11">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D97953">
              <w:rPr>
                <w:rFonts w:ascii="Times New Roman" w:eastAsia="Times New Roman" w:hAnsi="Times New Roman" w:cs="Times New Roman"/>
                <w:color w:val="000000"/>
                <w:kern w:val="0"/>
                <w:sz w:val="16"/>
                <w:szCs w:val="16"/>
                <w:lang w:eastAsia="en-IN"/>
                <w14:ligatures w14:val="none"/>
              </w:rPr>
              <w:t>6.00</w:t>
            </w:r>
          </w:p>
        </w:tc>
        <w:tc>
          <w:tcPr>
            <w:tcW w:w="610" w:type="dxa"/>
            <w:tcBorders>
              <w:top w:val="nil"/>
              <w:left w:val="nil"/>
              <w:bottom w:val="single" w:sz="4" w:space="0" w:color="auto"/>
              <w:right w:val="single" w:sz="4" w:space="0" w:color="auto"/>
            </w:tcBorders>
            <w:noWrap/>
            <w:vAlign w:val="center"/>
            <w:hideMark/>
          </w:tcPr>
          <w:p w14:paraId="293A57CE" w14:textId="77777777" w:rsidR="00EF3F11" w:rsidRPr="00D97953" w:rsidRDefault="00EF3F11" w:rsidP="00EF3F11">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D97953">
              <w:rPr>
                <w:rFonts w:ascii="Times New Roman" w:eastAsia="Times New Roman" w:hAnsi="Times New Roman" w:cs="Times New Roman"/>
                <w:color w:val="000000"/>
                <w:kern w:val="0"/>
                <w:sz w:val="16"/>
                <w:szCs w:val="16"/>
                <w:lang w:eastAsia="en-IN"/>
                <w14:ligatures w14:val="none"/>
              </w:rPr>
              <w:t>50.00</w:t>
            </w:r>
          </w:p>
        </w:tc>
        <w:tc>
          <w:tcPr>
            <w:tcW w:w="1728" w:type="dxa"/>
            <w:tcBorders>
              <w:top w:val="nil"/>
              <w:left w:val="nil"/>
              <w:bottom w:val="single" w:sz="4" w:space="0" w:color="auto"/>
              <w:right w:val="single" w:sz="4" w:space="0" w:color="auto"/>
            </w:tcBorders>
            <w:noWrap/>
            <w:vAlign w:val="center"/>
            <w:hideMark/>
          </w:tcPr>
          <w:p w14:paraId="3E474F7B" w14:textId="77777777" w:rsidR="00EF3F11" w:rsidRPr="00D97953" w:rsidRDefault="00EF3F11" w:rsidP="00EF3F11">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D97953">
              <w:rPr>
                <w:rFonts w:ascii="Times New Roman" w:eastAsia="Times New Roman" w:hAnsi="Times New Roman" w:cs="Times New Roman"/>
                <w:color w:val="000000"/>
                <w:kern w:val="0"/>
                <w:sz w:val="16"/>
                <w:szCs w:val="16"/>
                <w:lang w:eastAsia="en-IN"/>
                <w14:ligatures w14:val="none"/>
              </w:rPr>
              <w:t>19.00</w:t>
            </w:r>
          </w:p>
        </w:tc>
        <w:tc>
          <w:tcPr>
            <w:tcW w:w="948" w:type="dxa"/>
            <w:tcBorders>
              <w:top w:val="nil"/>
              <w:left w:val="nil"/>
              <w:bottom w:val="single" w:sz="4" w:space="0" w:color="auto"/>
              <w:right w:val="single" w:sz="4" w:space="0" w:color="auto"/>
            </w:tcBorders>
            <w:noWrap/>
            <w:vAlign w:val="center"/>
            <w:hideMark/>
          </w:tcPr>
          <w:p w14:paraId="50C0ECC3" w14:textId="77777777" w:rsidR="00EF3F11" w:rsidRPr="00D97953" w:rsidRDefault="00EF3F11" w:rsidP="00EF3F11">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D97953">
              <w:rPr>
                <w:rFonts w:ascii="Times New Roman" w:eastAsia="Times New Roman" w:hAnsi="Times New Roman" w:cs="Times New Roman"/>
                <w:color w:val="000000"/>
                <w:kern w:val="0"/>
                <w:sz w:val="16"/>
                <w:szCs w:val="16"/>
                <w:lang w:eastAsia="en-IN"/>
                <w14:ligatures w14:val="none"/>
              </w:rPr>
              <w:t>1.00</w:t>
            </w:r>
          </w:p>
        </w:tc>
        <w:tc>
          <w:tcPr>
            <w:tcW w:w="608" w:type="dxa"/>
            <w:tcBorders>
              <w:top w:val="nil"/>
              <w:left w:val="nil"/>
              <w:bottom w:val="single" w:sz="4" w:space="0" w:color="auto"/>
              <w:right w:val="single" w:sz="4" w:space="0" w:color="auto"/>
            </w:tcBorders>
            <w:noWrap/>
            <w:vAlign w:val="center"/>
            <w:hideMark/>
          </w:tcPr>
          <w:p w14:paraId="1447CED5" w14:textId="77777777" w:rsidR="00EF3F11" w:rsidRPr="00D97953" w:rsidRDefault="00EF3F11" w:rsidP="00EF3F11">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D97953">
              <w:rPr>
                <w:rFonts w:ascii="Times New Roman" w:eastAsia="Times New Roman" w:hAnsi="Times New Roman" w:cs="Times New Roman"/>
                <w:color w:val="000000"/>
                <w:kern w:val="0"/>
                <w:sz w:val="16"/>
                <w:szCs w:val="16"/>
                <w:lang w:eastAsia="en-IN"/>
                <w14:ligatures w14:val="none"/>
              </w:rPr>
              <w:t>20.00</w:t>
            </w:r>
          </w:p>
        </w:tc>
      </w:tr>
      <w:tr w:rsidR="00EF3F11" w:rsidRPr="00D97953" w14:paraId="5D3C2DD3" w14:textId="77777777" w:rsidTr="00D97953">
        <w:trPr>
          <w:gridAfter w:val="1"/>
          <w:wAfter w:w="15" w:type="dxa"/>
          <w:trHeight w:val="20"/>
          <w:jc w:val="center"/>
        </w:trPr>
        <w:tc>
          <w:tcPr>
            <w:tcW w:w="2464" w:type="dxa"/>
            <w:tcBorders>
              <w:top w:val="nil"/>
              <w:left w:val="single" w:sz="4" w:space="0" w:color="auto"/>
              <w:bottom w:val="single" w:sz="4" w:space="0" w:color="auto"/>
              <w:right w:val="single" w:sz="4" w:space="0" w:color="auto"/>
            </w:tcBorders>
            <w:noWrap/>
            <w:vAlign w:val="center"/>
            <w:hideMark/>
          </w:tcPr>
          <w:p w14:paraId="5D0ED567" w14:textId="77777777" w:rsidR="00EF3F11" w:rsidRPr="00D97953" w:rsidRDefault="00EF3F11" w:rsidP="00EF3F11">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D97953">
              <w:rPr>
                <w:rFonts w:ascii="Times New Roman" w:eastAsia="Times New Roman" w:hAnsi="Times New Roman" w:cs="Times New Roman"/>
                <w:color w:val="000000"/>
                <w:kern w:val="0"/>
                <w:sz w:val="16"/>
                <w:szCs w:val="16"/>
                <w:lang w:eastAsia="en-IN"/>
                <w14:ligatures w14:val="none"/>
              </w:rPr>
              <w:t>9. Maharashtra:</w:t>
            </w:r>
          </w:p>
        </w:tc>
        <w:tc>
          <w:tcPr>
            <w:tcW w:w="608" w:type="dxa"/>
            <w:tcBorders>
              <w:top w:val="nil"/>
              <w:left w:val="nil"/>
              <w:bottom w:val="single" w:sz="4" w:space="0" w:color="auto"/>
              <w:right w:val="single" w:sz="4" w:space="0" w:color="auto"/>
            </w:tcBorders>
            <w:noWrap/>
            <w:vAlign w:val="center"/>
            <w:hideMark/>
          </w:tcPr>
          <w:p w14:paraId="1D1DBB7E" w14:textId="77777777" w:rsidR="00EF3F11" w:rsidRPr="00D97953" w:rsidRDefault="00EF3F11" w:rsidP="00EF3F11">
            <w:pPr>
              <w:spacing w:after="0" w:line="240" w:lineRule="auto"/>
              <w:rPr>
                <w:rFonts w:ascii="Aptos" w:eastAsia="Times New Roman" w:hAnsi="Aptos" w:cs="Times New Roman"/>
                <w:color w:val="000000"/>
                <w:kern w:val="0"/>
                <w:sz w:val="16"/>
                <w:szCs w:val="16"/>
                <w:lang w:eastAsia="en-IN"/>
                <w14:ligatures w14:val="none"/>
              </w:rPr>
            </w:pPr>
            <w:r w:rsidRPr="00D97953">
              <w:rPr>
                <w:rFonts w:ascii="Aptos" w:eastAsia="Times New Roman" w:hAnsi="Aptos" w:cs="Times New Roman"/>
                <w:color w:val="000000"/>
                <w:kern w:val="0"/>
                <w:sz w:val="16"/>
                <w:szCs w:val="16"/>
                <w:lang w:eastAsia="en-IN"/>
                <w14:ligatures w14:val="none"/>
              </w:rPr>
              <w:t> </w:t>
            </w:r>
          </w:p>
        </w:tc>
        <w:tc>
          <w:tcPr>
            <w:tcW w:w="948" w:type="dxa"/>
            <w:tcBorders>
              <w:top w:val="nil"/>
              <w:left w:val="nil"/>
              <w:bottom w:val="single" w:sz="4" w:space="0" w:color="auto"/>
              <w:right w:val="single" w:sz="4" w:space="0" w:color="auto"/>
            </w:tcBorders>
            <w:noWrap/>
            <w:vAlign w:val="center"/>
            <w:hideMark/>
          </w:tcPr>
          <w:p w14:paraId="18AE99E8" w14:textId="77777777" w:rsidR="00EF3F11" w:rsidRPr="00D97953" w:rsidRDefault="00EF3F11" w:rsidP="00EF3F11">
            <w:pPr>
              <w:spacing w:after="0" w:line="240" w:lineRule="auto"/>
              <w:rPr>
                <w:rFonts w:ascii="Aptos" w:eastAsia="Times New Roman" w:hAnsi="Aptos" w:cs="Times New Roman"/>
                <w:color w:val="000000"/>
                <w:kern w:val="0"/>
                <w:sz w:val="16"/>
                <w:szCs w:val="16"/>
                <w:lang w:eastAsia="en-IN"/>
                <w14:ligatures w14:val="none"/>
              </w:rPr>
            </w:pPr>
            <w:r w:rsidRPr="00D97953">
              <w:rPr>
                <w:rFonts w:ascii="Aptos" w:eastAsia="Times New Roman" w:hAnsi="Aptos" w:cs="Times New Roman"/>
                <w:color w:val="000000"/>
                <w:kern w:val="0"/>
                <w:sz w:val="16"/>
                <w:szCs w:val="16"/>
                <w:lang w:eastAsia="en-IN"/>
                <w14:ligatures w14:val="none"/>
              </w:rPr>
              <w:t> </w:t>
            </w:r>
          </w:p>
        </w:tc>
        <w:tc>
          <w:tcPr>
            <w:tcW w:w="610" w:type="dxa"/>
            <w:tcBorders>
              <w:top w:val="nil"/>
              <w:left w:val="nil"/>
              <w:bottom w:val="single" w:sz="4" w:space="0" w:color="auto"/>
              <w:right w:val="single" w:sz="4" w:space="0" w:color="auto"/>
            </w:tcBorders>
            <w:noWrap/>
            <w:vAlign w:val="center"/>
            <w:hideMark/>
          </w:tcPr>
          <w:p w14:paraId="7D53178B" w14:textId="77777777" w:rsidR="00EF3F11" w:rsidRPr="00D97953" w:rsidRDefault="00EF3F11" w:rsidP="00EF3F11">
            <w:pPr>
              <w:spacing w:after="0" w:line="240" w:lineRule="auto"/>
              <w:rPr>
                <w:rFonts w:ascii="Aptos" w:eastAsia="Times New Roman" w:hAnsi="Aptos" w:cs="Times New Roman"/>
                <w:color w:val="000000"/>
                <w:kern w:val="0"/>
                <w:sz w:val="16"/>
                <w:szCs w:val="16"/>
                <w:lang w:eastAsia="en-IN"/>
                <w14:ligatures w14:val="none"/>
              </w:rPr>
            </w:pPr>
            <w:r w:rsidRPr="00D97953">
              <w:rPr>
                <w:rFonts w:ascii="Aptos" w:eastAsia="Times New Roman" w:hAnsi="Aptos" w:cs="Times New Roman"/>
                <w:color w:val="000000"/>
                <w:kern w:val="0"/>
                <w:sz w:val="16"/>
                <w:szCs w:val="16"/>
                <w:lang w:eastAsia="en-IN"/>
                <w14:ligatures w14:val="none"/>
              </w:rPr>
              <w:t> </w:t>
            </w:r>
          </w:p>
        </w:tc>
        <w:tc>
          <w:tcPr>
            <w:tcW w:w="1728" w:type="dxa"/>
            <w:tcBorders>
              <w:top w:val="nil"/>
              <w:left w:val="nil"/>
              <w:bottom w:val="single" w:sz="4" w:space="0" w:color="auto"/>
              <w:right w:val="single" w:sz="4" w:space="0" w:color="auto"/>
            </w:tcBorders>
            <w:noWrap/>
            <w:vAlign w:val="center"/>
            <w:hideMark/>
          </w:tcPr>
          <w:p w14:paraId="77BB2D86" w14:textId="77777777" w:rsidR="00EF3F11" w:rsidRPr="00D97953" w:rsidRDefault="00EF3F11" w:rsidP="00EF3F11">
            <w:pPr>
              <w:spacing w:after="0" w:line="240" w:lineRule="auto"/>
              <w:rPr>
                <w:rFonts w:ascii="Aptos" w:eastAsia="Times New Roman" w:hAnsi="Aptos" w:cs="Times New Roman"/>
                <w:color w:val="000000"/>
                <w:kern w:val="0"/>
                <w:sz w:val="16"/>
                <w:szCs w:val="16"/>
                <w:lang w:eastAsia="en-IN"/>
                <w14:ligatures w14:val="none"/>
              </w:rPr>
            </w:pPr>
            <w:r w:rsidRPr="00D97953">
              <w:rPr>
                <w:rFonts w:ascii="Aptos" w:eastAsia="Times New Roman" w:hAnsi="Aptos" w:cs="Times New Roman"/>
                <w:color w:val="000000"/>
                <w:kern w:val="0"/>
                <w:sz w:val="16"/>
                <w:szCs w:val="16"/>
                <w:lang w:eastAsia="en-IN"/>
                <w14:ligatures w14:val="none"/>
              </w:rPr>
              <w:t> </w:t>
            </w:r>
          </w:p>
        </w:tc>
        <w:tc>
          <w:tcPr>
            <w:tcW w:w="948" w:type="dxa"/>
            <w:tcBorders>
              <w:top w:val="nil"/>
              <w:left w:val="nil"/>
              <w:bottom w:val="single" w:sz="4" w:space="0" w:color="auto"/>
              <w:right w:val="single" w:sz="4" w:space="0" w:color="auto"/>
            </w:tcBorders>
            <w:noWrap/>
            <w:vAlign w:val="center"/>
            <w:hideMark/>
          </w:tcPr>
          <w:p w14:paraId="62CE5B99" w14:textId="77777777" w:rsidR="00EF3F11" w:rsidRPr="00D97953" w:rsidRDefault="00EF3F11" w:rsidP="00EF3F11">
            <w:pPr>
              <w:spacing w:after="0" w:line="240" w:lineRule="auto"/>
              <w:rPr>
                <w:rFonts w:ascii="Aptos" w:eastAsia="Times New Roman" w:hAnsi="Aptos" w:cs="Times New Roman"/>
                <w:color w:val="000000"/>
                <w:kern w:val="0"/>
                <w:sz w:val="16"/>
                <w:szCs w:val="16"/>
                <w:lang w:eastAsia="en-IN"/>
                <w14:ligatures w14:val="none"/>
              </w:rPr>
            </w:pPr>
            <w:r w:rsidRPr="00D97953">
              <w:rPr>
                <w:rFonts w:ascii="Aptos" w:eastAsia="Times New Roman" w:hAnsi="Aptos" w:cs="Times New Roman"/>
                <w:color w:val="000000"/>
                <w:kern w:val="0"/>
                <w:sz w:val="16"/>
                <w:szCs w:val="16"/>
                <w:lang w:eastAsia="en-IN"/>
                <w14:ligatures w14:val="none"/>
              </w:rPr>
              <w:t> </w:t>
            </w:r>
          </w:p>
        </w:tc>
        <w:tc>
          <w:tcPr>
            <w:tcW w:w="611" w:type="dxa"/>
            <w:tcBorders>
              <w:top w:val="nil"/>
              <w:left w:val="nil"/>
              <w:bottom w:val="single" w:sz="4" w:space="0" w:color="auto"/>
              <w:right w:val="single" w:sz="4" w:space="0" w:color="auto"/>
            </w:tcBorders>
            <w:noWrap/>
            <w:vAlign w:val="center"/>
            <w:hideMark/>
          </w:tcPr>
          <w:p w14:paraId="219CE868" w14:textId="77777777" w:rsidR="00EF3F11" w:rsidRPr="00D97953" w:rsidRDefault="00EF3F11" w:rsidP="00EF3F11">
            <w:pPr>
              <w:spacing w:after="0" w:line="240" w:lineRule="auto"/>
              <w:rPr>
                <w:rFonts w:ascii="Aptos" w:eastAsia="Times New Roman" w:hAnsi="Aptos" w:cs="Times New Roman"/>
                <w:color w:val="000000"/>
                <w:kern w:val="0"/>
                <w:sz w:val="16"/>
                <w:szCs w:val="16"/>
                <w:lang w:eastAsia="en-IN"/>
                <w14:ligatures w14:val="none"/>
              </w:rPr>
            </w:pPr>
            <w:r w:rsidRPr="00D97953">
              <w:rPr>
                <w:rFonts w:ascii="Aptos" w:eastAsia="Times New Roman" w:hAnsi="Aptos" w:cs="Times New Roman"/>
                <w:color w:val="000000"/>
                <w:kern w:val="0"/>
                <w:sz w:val="16"/>
                <w:szCs w:val="16"/>
                <w:lang w:eastAsia="en-IN"/>
                <w14:ligatures w14:val="none"/>
              </w:rPr>
              <w:t> </w:t>
            </w:r>
          </w:p>
        </w:tc>
        <w:tc>
          <w:tcPr>
            <w:tcW w:w="1728" w:type="dxa"/>
            <w:tcBorders>
              <w:top w:val="nil"/>
              <w:left w:val="nil"/>
              <w:bottom w:val="single" w:sz="4" w:space="0" w:color="auto"/>
              <w:right w:val="single" w:sz="4" w:space="0" w:color="auto"/>
            </w:tcBorders>
            <w:noWrap/>
            <w:vAlign w:val="center"/>
            <w:hideMark/>
          </w:tcPr>
          <w:p w14:paraId="1B8C9FDF" w14:textId="77777777" w:rsidR="00EF3F11" w:rsidRPr="00D97953" w:rsidRDefault="00EF3F11" w:rsidP="00EF3F11">
            <w:pPr>
              <w:spacing w:after="0" w:line="240" w:lineRule="auto"/>
              <w:rPr>
                <w:rFonts w:ascii="Aptos" w:eastAsia="Times New Roman" w:hAnsi="Aptos" w:cs="Times New Roman"/>
                <w:color w:val="000000"/>
                <w:kern w:val="0"/>
                <w:sz w:val="16"/>
                <w:szCs w:val="16"/>
                <w:lang w:eastAsia="en-IN"/>
                <w14:ligatures w14:val="none"/>
              </w:rPr>
            </w:pPr>
            <w:r w:rsidRPr="00D97953">
              <w:rPr>
                <w:rFonts w:ascii="Aptos" w:eastAsia="Times New Roman" w:hAnsi="Aptos" w:cs="Times New Roman"/>
                <w:color w:val="000000"/>
                <w:kern w:val="0"/>
                <w:sz w:val="16"/>
                <w:szCs w:val="16"/>
                <w:lang w:eastAsia="en-IN"/>
                <w14:ligatures w14:val="none"/>
              </w:rPr>
              <w:t> </w:t>
            </w:r>
          </w:p>
        </w:tc>
        <w:tc>
          <w:tcPr>
            <w:tcW w:w="948" w:type="dxa"/>
            <w:tcBorders>
              <w:top w:val="nil"/>
              <w:left w:val="nil"/>
              <w:bottom w:val="single" w:sz="4" w:space="0" w:color="auto"/>
              <w:right w:val="single" w:sz="4" w:space="0" w:color="auto"/>
            </w:tcBorders>
            <w:noWrap/>
            <w:vAlign w:val="center"/>
            <w:hideMark/>
          </w:tcPr>
          <w:p w14:paraId="7CDDE96D" w14:textId="77777777" w:rsidR="00EF3F11" w:rsidRPr="00D97953" w:rsidRDefault="00EF3F11" w:rsidP="00EF3F11">
            <w:pPr>
              <w:spacing w:after="0" w:line="240" w:lineRule="auto"/>
              <w:rPr>
                <w:rFonts w:ascii="Aptos" w:eastAsia="Times New Roman" w:hAnsi="Aptos" w:cs="Times New Roman"/>
                <w:color w:val="000000"/>
                <w:kern w:val="0"/>
                <w:sz w:val="16"/>
                <w:szCs w:val="16"/>
                <w:lang w:eastAsia="en-IN"/>
                <w14:ligatures w14:val="none"/>
              </w:rPr>
            </w:pPr>
            <w:r w:rsidRPr="00D97953">
              <w:rPr>
                <w:rFonts w:ascii="Aptos" w:eastAsia="Times New Roman" w:hAnsi="Aptos" w:cs="Times New Roman"/>
                <w:color w:val="000000"/>
                <w:kern w:val="0"/>
                <w:sz w:val="16"/>
                <w:szCs w:val="16"/>
                <w:lang w:eastAsia="en-IN"/>
                <w14:ligatures w14:val="none"/>
              </w:rPr>
              <w:t> </w:t>
            </w:r>
          </w:p>
        </w:tc>
        <w:tc>
          <w:tcPr>
            <w:tcW w:w="610" w:type="dxa"/>
            <w:tcBorders>
              <w:top w:val="nil"/>
              <w:left w:val="nil"/>
              <w:bottom w:val="single" w:sz="4" w:space="0" w:color="auto"/>
              <w:right w:val="single" w:sz="4" w:space="0" w:color="auto"/>
            </w:tcBorders>
            <w:noWrap/>
            <w:vAlign w:val="center"/>
            <w:hideMark/>
          </w:tcPr>
          <w:p w14:paraId="6850FC5F" w14:textId="77777777" w:rsidR="00EF3F11" w:rsidRPr="00D97953" w:rsidRDefault="00EF3F11" w:rsidP="00EF3F11">
            <w:pPr>
              <w:spacing w:after="0" w:line="240" w:lineRule="auto"/>
              <w:rPr>
                <w:rFonts w:ascii="Aptos" w:eastAsia="Times New Roman" w:hAnsi="Aptos" w:cs="Times New Roman"/>
                <w:color w:val="000000"/>
                <w:kern w:val="0"/>
                <w:sz w:val="16"/>
                <w:szCs w:val="16"/>
                <w:lang w:eastAsia="en-IN"/>
                <w14:ligatures w14:val="none"/>
              </w:rPr>
            </w:pPr>
            <w:r w:rsidRPr="00D97953">
              <w:rPr>
                <w:rFonts w:ascii="Aptos" w:eastAsia="Times New Roman" w:hAnsi="Aptos" w:cs="Times New Roman"/>
                <w:color w:val="000000"/>
                <w:kern w:val="0"/>
                <w:sz w:val="16"/>
                <w:szCs w:val="16"/>
                <w:lang w:eastAsia="en-IN"/>
                <w14:ligatures w14:val="none"/>
              </w:rPr>
              <w:t> </w:t>
            </w:r>
          </w:p>
        </w:tc>
        <w:tc>
          <w:tcPr>
            <w:tcW w:w="1728" w:type="dxa"/>
            <w:tcBorders>
              <w:top w:val="nil"/>
              <w:left w:val="nil"/>
              <w:bottom w:val="single" w:sz="4" w:space="0" w:color="auto"/>
              <w:right w:val="single" w:sz="4" w:space="0" w:color="auto"/>
            </w:tcBorders>
            <w:noWrap/>
            <w:vAlign w:val="center"/>
            <w:hideMark/>
          </w:tcPr>
          <w:p w14:paraId="05EEB96F" w14:textId="77777777" w:rsidR="00EF3F11" w:rsidRPr="00D97953" w:rsidRDefault="00EF3F11" w:rsidP="00EF3F11">
            <w:pPr>
              <w:spacing w:after="0" w:line="240" w:lineRule="auto"/>
              <w:rPr>
                <w:rFonts w:ascii="Aptos" w:eastAsia="Times New Roman" w:hAnsi="Aptos" w:cs="Times New Roman"/>
                <w:color w:val="000000"/>
                <w:kern w:val="0"/>
                <w:sz w:val="16"/>
                <w:szCs w:val="16"/>
                <w:lang w:eastAsia="en-IN"/>
                <w14:ligatures w14:val="none"/>
              </w:rPr>
            </w:pPr>
            <w:r w:rsidRPr="00D97953">
              <w:rPr>
                <w:rFonts w:ascii="Aptos" w:eastAsia="Times New Roman" w:hAnsi="Aptos" w:cs="Times New Roman"/>
                <w:color w:val="000000"/>
                <w:kern w:val="0"/>
                <w:sz w:val="16"/>
                <w:szCs w:val="16"/>
                <w:lang w:eastAsia="en-IN"/>
                <w14:ligatures w14:val="none"/>
              </w:rPr>
              <w:t> </w:t>
            </w:r>
          </w:p>
        </w:tc>
        <w:tc>
          <w:tcPr>
            <w:tcW w:w="948" w:type="dxa"/>
            <w:tcBorders>
              <w:top w:val="nil"/>
              <w:left w:val="nil"/>
              <w:bottom w:val="single" w:sz="4" w:space="0" w:color="auto"/>
              <w:right w:val="single" w:sz="4" w:space="0" w:color="auto"/>
            </w:tcBorders>
            <w:noWrap/>
            <w:vAlign w:val="center"/>
            <w:hideMark/>
          </w:tcPr>
          <w:p w14:paraId="324C8089" w14:textId="77777777" w:rsidR="00EF3F11" w:rsidRPr="00D97953" w:rsidRDefault="00EF3F11" w:rsidP="00EF3F11">
            <w:pPr>
              <w:spacing w:after="0" w:line="240" w:lineRule="auto"/>
              <w:rPr>
                <w:rFonts w:ascii="Aptos" w:eastAsia="Times New Roman" w:hAnsi="Aptos" w:cs="Times New Roman"/>
                <w:color w:val="000000"/>
                <w:kern w:val="0"/>
                <w:sz w:val="16"/>
                <w:szCs w:val="16"/>
                <w:lang w:eastAsia="en-IN"/>
                <w14:ligatures w14:val="none"/>
              </w:rPr>
            </w:pPr>
            <w:r w:rsidRPr="00D97953">
              <w:rPr>
                <w:rFonts w:ascii="Aptos" w:eastAsia="Times New Roman" w:hAnsi="Aptos" w:cs="Times New Roman"/>
                <w:color w:val="000000"/>
                <w:kern w:val="0"/>
                <w:sz w:val="16"/>
                <w:szCs w:val="16"/>
                <w:lang w:eastAsia="en-IN"/>
                <w14:ligatures w14:val="none"/>
              </w:rPr>
              <w:t> </w:t>
            </w:r>
          </w:p>
        </w:tc>
        <w:tc>
          <w:tcPr>
            <w:tcW w:w="608" w:type="dxa"/>
            <w:tcBorders>
              <w:top w:val="nil"/>
              <w:left w:val="nil"/>
              <w:bottom w:val="single" w:sz="4" w:space="0" w:color="auto"/>
              <w:right w:val="single" w:sz="4" w:space="0" w:color="auto"/>
            </w:tcBorders>
            <w:noWrap/>
            <w:vAlign w:val="center"/>
            <w:hideMark/>
          </w:tcPr>
          <w:p w14:paraId="3BEBDDDD" w14:textId="77777777" w:rsidR="00EF3F11" w:rsidRPr="00D97953" w:rsidRDefault="00EF3F11" w:rsidP="00EF3F11">
            <w:pPr>
              <w:spacing w:after="0" w:line="240" w:lineRule="auto"/>
              <w:rPr>
                <w:rFonts w:ascii="Aptos" w:eastAsia="Times New Roman" w:hAnsi="Aptos" w:cs="Times New Roman"/>
                <w:color w:val="000000"/>
                <w:kern w:val="0"/>
                <w:sz w:val="16"/>
                <w:szCs w:val="16"/>
                <w:lang w:eastAsia="en-IN"/>
                <w14:ligatures w14:val="none"/>
              </w:rPr>
            </w:pPr>
            <w:r w:rsidRPr="00D97953">
              <w:rPr>
                <w:rFonts w:ascii="Aptos" w:eastAsia="Times New Roman" w:hAnsi="Aptos" w:cs="Times New Roman"/>
                <w:color w:val="000000"/>
                <w:kern w:val="0"/>
                <w:sz w:val="16"/>
                <w:szCs w:val="16"/>
                <w:lang w:eastAsia="en-IN"/>
                <w14:ligatures w14:val="none"/>
              </w:rPr>
              <w:t> </w:t>
            </w:r>
          </w:p>
        </w:tc>
      </w:tr>
      <w:tr w:rsidR="00EF3F11" w:rsidRPr="00D97953" w14:paraId="279E8935" w14:textId="77777777" w:rsidTr="00D97953">
        <w:trPr>
          <w:gridAfter w:val="1"/>
          <w:wAfter w:w="15" w:type="dxa"/>
          <w:trHeight w:val="20"/>
          <w:jc w:val="center"/>
        </w:trPr>
        <w:tc>
          <w:tcPr>
            <w:tcW w:w="2464" w:type="dxa"/>
            <w:tcBorders>
              <w:top w:val="nil"/>
              <w:left w:val="single" w:sz="4" w:space="0" w:color="auto"/>
              <w:bottom w:val="single" w:sz="4" w:space="0" w:color="auto"/>
              <w:right w:val="single" w:sz="4" w:space="0" w:color="auto"/>
            </w:tcBorders>
            <w:noWrap/>
            <w:vAlign w:val="center"/>
            <w:hideMark/>
          </w:tcPr>
          <w:p w14:paraId="68B6D982" w14:textId="77777777" w:rsidR="00EF3F11" w:rsidRPr="00D97953" w:rsidRDefault="00EF3F11" w:rsidP="00EF3F11">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D97953">
              <w:rPr>
                <w:rFonts w:ascii="Times New Roman" w:eastAsia="Times New Roman" w:hAnsi="Times New Roman" w:cs="Times New Roman"/>
                <w:color w:val="000000"/>
                <w:kern w:val="0"/>
                <w:sz w:val="16"/>
                <w:szCs w:val="16"/>
                <w:lang w:eastAsia="en-IN"/>
                <w14:ligatures w14:val="none"/>
              </w:rPr>
              <w:t>(a) Hydro</w:t>
            </w:r>
          </w:p>
        </w:tc>
        <w:tc>
          <w:tcPr>
            <w:tcW w:w="608" w:type="dxa"/>
            <w:vMerge w:val="restart"/>
            <w:tcBorders>
              <w:top w:val="nil"/>
              <w:left w:val="single" w:sz="4" w:space="0" w:color="auto"/>
              <w:bottom w:val="single" w:sz="4" w:space="0" w:color="000000"/>
              <w:right w:val="single" w:sz="4" w:space="0" w:color="auto"/>
            </w:tcBorders>
            <w:noWrap/>
            <w:vAlign w:val="center"/>
            <w:hideMark/>
          </w:tcPr>
          <w:p w14:paraId="49C3329B" w14:textId="77777777" w:rsidR="00EF3F11" w:rsidRPr="00D97953" w:rsidRDefault="00EF3F11" w:rsidP="00EF3F11">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D97953">
              <w:rPr>
                <w:rFonts w:ascii="Times New Roman" w:eastAsia="Times New Roman" w:hAnsi="Times New Roman" w:cs="Times New Roman"/>
                <w:color w:val="000000"/>
                <w:kern w:val="0"/>
                <w:sz w:val="16"/>
                <w:szCs w:val="16"/>
                <w:lang w:eastAsia="en-IN"/>
                <w14:ligatures w14:val="none"/>
              </w:rPr>
              <w:t>31.00</w:t>
            </w:r>
          </w:p>
        </w:tc>
        <w:tc>
          <w:tcPr>
            <w:tcW w:w="948" w:type="dxa"/>
            <w:vMerge w:val="restart"/>
            <w:tcBorders>
              <w:top w:val="nil"/>
              <w:left w:val="single" w:sz="4" w:space="0" w:color="auto"/>
              <w:bottom w:val="single" w:sz="4" w:space="0" w:color="000000"/>
              <w:right w:val="single" w:sz="4" w:space="0" w:color="auto"/>
            </w:tcBorders>
            <w:noWrap/>
            <w:vAlign w:val="center"/>
            <w:hideMark/>
          </w:tcPr>
          <w:p w14:paraId="6079511A" w14:textId="77777777" w:rsidR="00EF3F11" w:rsidRPr="00D97953" w:rsidRDefault="00EF3F11" w:rsidP="00EF3F11">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D97953">
              <w:rPr>
                <w:rFonts w:ascii="Times New Roman" w:eastAsia="Times New Roman" w:hAnsi="Times New Roman" w:cs="Times New Roman"/>
                <w:color w:val="000000"/>
                <w:kern w:val="0"/>
                <w:sz w:val="16"/>
                <w:szCs w:val="16"/>
                <w:lang w:eastAsia="en-IN"/>
                <w14:ligatures w14:val="none"/>
              </w:rPr>
              <w:t>5.00</w:t>
            </w:r>
          </w:p>
        </w:tc>
        <w:tc>
          <w:tcPr>
            <w:tcW w:w="610" w:type="dxa"/>
            <w:vMerge w:val="restart"/>
            <w:tcBorders>
              <w:top w:val="nil"/>
              <w:left w:val="single" w:sz="4" w:space="0" w:color="auto"/>
              <w:bottom w:val="single" w:sz="4" w:space="0" w:color="000000"/>
              <w:right w:val="single" w:sz="4" w:space="0" w:color="auto"/>
            </w:tcBorders>
            <w:noWrap/>
            <w:vAlign w:val="center"/>
            <w:hideMark/>
          </w:tcPr>
          <w:p w14:paraId="292948C2" w14:textId="77777777" w:rsidR="00EF3F11" w:rsidRPr="00D97953" w:rsidRDefault="00EF3F11" w:rsidP="00EF3F11">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D97953">
              <w:rPr>
                <w:rFonts w:ascii="Times New Roman" w:eastAsia="Times New Roman" w:hAnsi="Times New Roman" w:cs="Times New Roman"/>
                <w:color w:val="000000"/>
                <w:kern w:val="0"/>
                <w:sz w:val="16"/>
                <w:szCs w:val="16"/>
                <w:lang w:eastAsia="en-IN"/>
                <w14:ligatures w14:val="none"/>
              </w:rPr>
              <w:t>36.00</w:t>
            </w:r>
          </w:p>
        </w:tc>
        <w:tc>
          <w:tcPr>
            <w:tcW w:w="1728" w:type="dxa"/>
            <w:vMerge w:val="restart"/>
            <w:tcBorders>
              <w:top w:val="nil"/>
              <w:left w:val="single" w:sz="4" w:space="0" w:color="auto"/>
              <w:bottom w:val="single" w:sz="4" w:space="0" w:color="000000"/>
              <w:right w:val="single" w:sz="4" w:space="0" w:color="auto"/>
            </w:tcBorders>
            <w:noWrap/>
            <w:vAlign w:val="center"/>
            <w:hideMark/>
          </w:tcPr>
          <w:p w14:paraId="2FD90D0D" w14:textId="77777777" w:rsidR="00EF3F11" w:rsidRPr="00D97953" w:rsidRDefault="00EF3F11" w:rsidP="00EF3F11">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D97953">
              <w:rPr>
                <w:rFonts w:ascii="Times New Roman" w:eastAsia="Times New Roman" w:hAnsi="Times New Roman" w:cs="Times New Roman"/>
                <w:color w:val="000000"/>
                <w:kern w:val="0"/>
                <w:sz w:val="16"/>
                <w:szCs w:val="16"/>
                <w:lang w:eastAsia="en-IN"/>
                <w14:ligatures w14:val="none"/>
              </w:rPr>
              <w:t>13.20</w:t>
            </w:r>
          </w:p>
        </w:tc>
        <w:tc>
          <w:tcPr>
            <w:tcW w:w="948" w:type="dxa"/>
            <w:vMerge w:val="restart"/>
            <w:tcBorders>
              <w:top w:val="nil"/>
              <w:left w:val="single" w:sz="4" w:space="0" w:color="auto"/>
              <w:bottom w:val="single" w:sz="4" w:space="0" w:color="000000"/>
              <w:right w:val="single" w:sz="4" w:space="0" w:color="auto"/>
            </w:tcBorders>
            <w:noWrap/>
            <w:vAlign w:val="center"/>
            <w:hideMark/>
          </w:tcPr>
          <w:p w14:paraId="34D665A5" w14:textId="77777777" w:rsidR="00EF3F11" w:rsidRPr="00D97953" w:rsidRDefault="00EF3F11" w:rsidP="00EF3F11">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D97953">
              <w:rPr>
                <w:rFonts w:ascii="Times New Roman" w:eastAsia="Times New Roman" w:hAnsi="Times New Roman" w:cs="Times New Roman"/>
                <w:color w:val="000000"/>
                <w:kern w:val="0"/>
                <w:sz w:val="16"/>
                <w:szCs w:val="16"/>
                <w:lang w:eastAsia="en-IN"/>
                <w14:ligatures w14:val="none"/>
              </w:rPr>
              <w:t>4.50</w:t>
            </w:r>
          </w:p>
        </w:tc>
        <w:tc>
          <w:tcPr>
            <w:tcW w:w="611" w:type="dxa"/>
            <w:vMerge w:val="restart"/>
            <w:tcBorders>
              <w:top w:val="nil"/>
              <w:left w:val="single" w:sz="4" w:space="0" w:color="auto"/>
              <w:bottom w:val="single" w:sz="4" w:space="0" w:color="000000"/>
              <w:right w:val="single" w:sz="4" w:space="0" w:color="auto"/>
            </w:tcBorders>
            <w:noWrap/>
            <w:vAlign w:val="center"/>
            <w:hideMark/>
          </w:tcPr>
          <w:p w14:paraId="20062E14" w14:textId="77777777" w:rsidR="00EF3F11" w:rsidRPr="00D97953" w:rsidRDefault="00EF3F11" w:rsidP="00EF3F11">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D97953">
              <w:rPr>
                <w:rFonts w:ascii="Times New Roman" w:eastAsia="Times New Roman" w:hAnsi="Times New Roman" w:cs="Times New Roman"/>
                <w:color w:val="000000"/>
                <w:kern w:val="0"/>
                <w:sz w:val="16"/>
                <w:szCs w:val="16"/>
                <w:lang w:eastAsia="en-IN"/>
                <w14:ligatures w14:val="none"/>
              </w:rPr>
              <w:t>17.70</w:t>
            </w:r>
          </w:p>
        </w:tc>
        <w:tc>
          <w:tcPr>
            <w:tcW w:w="1728" w:type="dxa"/>
            <w:vMerge w:val="restart"/>
            <w:tcBorders>
              <w:top w:val="nil"/>
              <w:left w:val="single" w:sz="4" w:space="0" w:color="auto"/>
              <w:bottom w:val="single" w:sz="4" w:space="0" w:color="000000"/>
              <w:right w:val="single" w:sz="4" w:space="0" w:color="auto"/>
            </w:tcBorders>
            <w:noWrap/>
            <w:vAlign w:val="center"/>
            <w:hideMark/>
          </w:tcPr>
          <w:p w14:paraId="28228584" w14:textId="77777777" w:rsidR="00EF3F11" w:rsidRPr="00D97953" w:rsidRDefault="00EF3F11" w:rsidP="00EF3F11">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D97953">
              <w:rPr>
                <w:rFonts w:ascii="Times New Roman" w:eastAsia="Times New Roman" w:hAnsi="Times New Roman" w:cs="Times New Roman"/>
                <w:color w:val="000000"/>
                <w:kern w:val="0"/>
                <w:sz w:val="16"/>
                <w:szCs w:val="16"/>
                <w:lang w:eastAsia="en-IN"/>
                <w14:ligatures w14:val="none"/>
              </w:rPr>
              <w:t>26.80</w:t>
            </w:r>
          </w:p>
        </w:tc>
        <w:tc>
          <w:tcPr>
            <w:tcW w:w="948" w:type="dxa"/>
            <w:vMerge w:val="restart"/>
            <w:tcBorders>
              <w:top w:val="nil"/>
              <w:left w:val="single" w:sz="4" w:space="0" w:color="auto"/>
              <w:bottom w:val="single" w:sz="4" w:space="0" w:color="000000"/>
              <w:right w:val="single" w:sz="4" w:space="0" w:color="auto"/>
            </w:tcBorders>
            <w:noWrap/>
            <w:vAlign w:val="center"/>
            <w:hideMark/>
          </w:tcPr>
          <w:p w14:paraId="4F68E109" w14:textId="77777777" w:rsidR="00EF3F11" w:rsidRPr="00D97953" w:rsidRDefault="00EF3F11" w:rsidP="00EF3F11">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D97953">
              <w:rPr>
                <w:rFonts w:ascii="Times New Roman" w:eastAsia="Times New Roman" w:hAnsi="Times New Roman" w:cs="Times New Roman"/>
                <w:color w:val="000000"/>
                <w:kern w:val="0"/>
                <w:sz w:val="16"/>
                <w:szCs w:val="16"/>
                <w:lang w:eastAsia="en-IN"/>
                <w14:ligatures w14:val="none"/>
              </w:rPr>
              <w:t>10.00</w:t>
            </w:r>
          </w:p>
        </w:tc>
        <w:tc>
          <w:tcPr>
            <w:tcW w:w="610" w:type="dxa"/>
            <w:vMerge w:val="restart"/>
            <w:tcBorders>
              <w:top w:val="nil"/>
              <w:left w:val="single" w:sz="4" w:space="0" w:color="auto"/>
              <w:bottom w:val="single" w:sz="4" w:space="0" w:color="000000"/>
              <w:right w:val="single" w:sz="4" w:space="0" w:color="auto"/>
            </w:tcBorders>
            <w:noWrap/>
            <w:vAlign w:val="center"/>
            <w:hideMark/>
          </w:tcPr>
          <w:p w14:paraId="058DE612" w14:textId="77777777" w:rsidR="00EF3F11" w:rsidRPr="00D97953" w:rsidRDefault="00EF3F11" w:rsidP="00EF3F11">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D97953">
              <w:rPr>
                <w:rFonts w:ascii="Times New Roman" w:eastAsia="Times New Roman" w:hAnsi="Times New Roman" w:cs="Times New Roman"/>
                <w:color w:val="000000"/>
                <w:kern w:val="0"/>
                <w:sz w:val="16"/>
                <w:szCs w:val="16"/>
                <w:lang w:eastAsia="en-IN"/>
                <w14:ligatures w14:val="none"/>
              </w:rPr>
              <w:t>36.80</w:t>
            </w:r>
          </w:p>
        </w:tc>
        <w:tc>
          <w:tcPr>
            <w:tcW w:w="1728" w:type="dxa"/>
            <w:vMerge w:val="restart"/>
            <w:tcBorders>
              <w:top w:val="nil"/>
              <w:left w:val="single" w:sz="4" w:space="0" w:color="auto"/>
              <w:bottom w:val="single" w:sz="4" w:space="0" w:color="000000"/>
              <w:right w:val="single" w:sz="4" w:space="0" w:color="auto"/>
            </w:tcBorders>
            <w:noWrap/>
            <w:vAlign w:val="center"/>
            <w:hideMark/>
          </w:tcPr>
          <w:p w14:paraId="2FC0052D" w14:textId="77777777" w:rsidR="00EF3F11" w:rsidRPr="00D97953" w:rsidRDefault="00EF3F11" w:rsidP="00EF3F11">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D97953">
              <w:rPr>
                <w:rFonts w:ascii="Times New Roman" w:eastAsia="Times New Roman" w:hAnsi="Times New Roman" w:cs="Times New Roman"/>
                <w:color w:val="000000"/>
                <w:kern w:val="0"/>
                <w:sz w:val="16"/>
                <w:szCs w:val="16"/>
                <w:lang w:eastAsia="en-IN"/>
                <w14:ligatures w14:val="none"/>
              </w:rPr>
              <w:t>13.20</w:t>
            </w:r>
          </w:p>
        </w:tc>
        <w:tc>
          <w:tcPr>
            <w:tcW w:w="948" w:type="dxa"/>
            <w:vMerge w:val="restart"/>
            <w:tcBorders>
              <w:top w:val="nil"/>
              <w:left w:val="single" w:sz="4" w:space="0" w:color="auto"/>
              <w:bottom w:val="single" w:sz="4" w:space="0" w:color="000000"/>
              <w:right w:val="single" w:sz="4" w:space="0" w:color="auto"/>
            </w:tcBorders>
            <w:noWrap/>
            <w:vAlign w:val="center"/>
            <w:hideMark/>
          </w:tcPr>
          <w:p w14:paraId="74935182" w14:textId="77777777" w:rsidR="00EF3F11" w:rsidRPr="00D97953" w:rsidRDefault="00EF3F11" w:rsidP="00EF3F11">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D97953">
              <w:rPr>
                <w:rFonts w:ascii="Times New Roman" w:eastAsia="Times New Roman" w:hAnsi="Times New Roman" w:cs="Times New Roman"/>
                <w:color w:val="000000"/>
                <w:kern w:val="0"/>
                <w:sz w:val="16"/>
                <w:szCs w:val="16"/>
                <w:lang w:eastAsia="en-IN"/>
                <w14:ligatures w14:val="none"/>
              </w:rPr>
              <w:t>10.00</w:t>
            </w:r>
          </w:p>
        </w:tc>
        <w:tc>
          <w:tcPr>
            <w:tcW w:w="608" w:type="dxa"/>
            <w:vMerge w:val="restart"/>
            <w:tcBorders>
              <w:top w:val="nil"/>
              <w:left w:val="single" w:sz="4" w:space="0" w:color="auto"/>
              <w:bottom w:val="single" w:sz="4" w:space="0" w:color="000000"/>
              <w:right w:val="single" w:sz="4" w:space="0" w:color="auto"/>
            </w:tcBorders>
            <w:noWrap/>
            <w:vAlign w:val="center"/>
            <w:hideMark/>
          </w:tcPr>
          <w:p w14:paraId="52AAD0FA" w14:textId="77777777" w:rsidR="00EF3F11" w:rsidRPr="00D97953" w:rsidRDefault="00EF3F11" w:rsidP="00EF3F11">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D97953">
              <w:rPr>
                <w:rFonts w:ascii="Times New Roman" w:eastAsia="Times New Roman" w:hAnsi="Times New Roman" w:cs="Times New Roman"/>
                <w:color w:val="000000"/>
                <w:kern w:val="0"/>
                <w:sz w:val="16"/>
                <w:szCs w:val="16"/>
                <w:lang w:eastAsia="en-IN"/>
                <w14:ligatures w14:val="none"/>
              </w:rPr>
              <w:t>23.20</w:t>
            </w:r>
          </w:p>
        </w:tc>
      </w:tr>
      <w:tr w:rsidR="00EF3F11" w:rsidRPr="00D97953" w14:paraId="39C2A9CA" w14:textId="77777777" w:rsidTr="00D97953">
        <w:trPr>
          <w:gridAfter w:val="1"/>
          <w:wAfter w:w="15" w:type="dxa"/>
          <w:trHeight w:val="20"/>
          <w:jc w:val="center"/>
        </w:trPr>
        <w:tc>
          <w:tcPr>
            <w:tcW w:w="2464" w:type="dxa"/>
            <w:tcBorders>
              <w:top w:val="nil"/>
              <w:left w:val="single" w:sz="4" w:space="0" w:color="auto"/>
              <w:bottom w:val="single" w:sz="4" w:space="0" w:color="auto"/>
              <w:right w:val="single" w:sz="4" w:space="0" w:color="auto"/>
            </w:tcBorders>
            <w:noWrap/>
            <w:vAlign w:val="center"/>
            <w:hideMark/>
          </w:tcPr>
          <w:p w14:paraId="08027A38" w14:textId="77777777" w:rsidR="00EF3F11" w:rsidRPr="00D97953" w:rsidRDefault="00EF3F11" w:rsidP="00EF3F11">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D97953">
              <w:rPr>
                <w:rFonts w:ascii="Times New Roman" w:eastAsia="Times New Roman" w:hAnsi="Times New Roman" w:cs="Times New Roman"/>
                <w:color w:val="000000"/>
                <w:kern w:val="0"/>
                <w:sz w:val="16"/>
                <w:szCs w:val="16"/>
                <w:lang w:eastAsia="en-IN"/>
                <w14:ligatures w14:val="none"/>
              </w:rPr>
              <w:t>(b) Steam</w:t>
            </w:r>
          </w:p>
        </w:tc>
        <w:tc>
          <w:tcPr>
            <w:tcW w:w="608" w:type="dxa"/>
            <w:vMerge/>
            <w:tcBorders>
              <w:top w:val="nil"/>
              <w:left w:val="single" w:sz="4" w:space="0" w:color="auto"/>
              <w:bottom w:val="single" w:sz="4" w:space="0" w:color="000000"/>
              <w:right w:val="single" w:sz="4" w:space="0" w:color="auto"/>
            </w:tcBorders>
            <w:vAlign w:val="center"/>
            <w:hideMark/>
          </w:tcPr>
          <w:p w14:paraId="62176027" w14:textId="77777777" w:rsidR="00EF3F11" w:rsidRPr="00D97953" w:rsidRDefault="00EF3F11" w:rsidP="00EF3F11">
            <w:pPr>
              <w:spacing w:after="0" w:line="240" w:lineRule="auto"/>
              <w:rPr>
                <w:rFonts w:ascii="Times New Roman" w:eastAsia="Times New Roman" w:hAnsi="Times New Roman" w:cs="Times New Roman"/>
                <w:color w:val="000000"/>
                <w:kern w:val="0"/>
                <w:sz w:val="16"/>
                <w:szCs w:val="16"/>
                <w:lang w:eastAsia="en-IN"/>
                <w14:ligatures w14:val="none"/>
              </w:rPr>
            </w:pPr>
          </w:p>
        </w:tc>
        <w:tc>
          <w:tcPr>
            <w:tcW w:w="948" w:type="dxa"/>
            <w:vMerge/>
            <w:tcBorders>
              <w:top w:val="nil"/>
              <w:left w:val="single" w:sz="4" w:space="0" w:color="auto"/>
              <w:bottom w:val="single" w:sz="4" w:space="0" w:color="000000"/>
              <w:right w:val="single" w:sz="4" w:space="0" w:color="auto"/>
            </w:tcBorders>
            <w:vAlign w:val="center"/>
            <w:hideMark/>
          </w:tcPr>
          <w:p w14:paraId="35D09FA5" w14:textId="77777777" w:rsidR="00EF3F11" w:rsidRPr="00D97953" w:rsidRDefault="00EF3F11" w:rsidP="00EF3F11">
            <w:pPr>
              <w:spacing w:after="0" w:line="240" w:lineRule="auto"/>
              <w:rPr>
                <w:rFonts w:ascii="Times New Roman" w:eastAsia="Times New Roman" w:hAnsi="Times New Roman" w:cs="Times New Roman"/>
                <w:color w:val="000000"/>
                <w:kern w:val="0"/>
                <w:sz w:val="16"/>
                <w:szCs w:val="16"/>
                <w:lang w:eastAsia="en-IN"/>
                <w14:ligatures w14:val="none"/>
              </w:rPr>
            </w:pPr>
          </w:p>
        </w:tc>
        <w:tc>
          <w:tcPr>
            <w:tcW w:w="610" w:type="dxa"/>
            <w:vMerge/>
            <w:tcBorders>
              <w:top w:val="nil"/>
              <w:left w:val="single" w:sz="4" w:space="0" w:color="auto"/>
              <w:bottom w:val="single" w:sz="4" w:space="0" w:color="000000"/>
              <w:right w:val="single" w:sz="4" w:space="0" w:color="auto"/>
            </w:tcBorders>
            <w:vAlign w:val="center"/>
            <w:hideMark/>
          </w:tcPr>
          <w:p w14:paraId="1F8950DD" w14:textId="77777777" w:rsidR="00EF3F11" w:rsidRPr="00D97953" w:rsidRDefault="00EF3F11" w:rsidP="00EF3F11">
            <w:pPr>
              <w:spacing w:after="0" w:line="240" w:lineRule="auto"/>
              <w:rPr>
                <w:rFonts w:ascii="Times New Roman" w:eastAsia="Times New Roman" w:hAnsi="Times New Roman" w:cs="Times New Roman"/>
                <w:color w:val="000000"/>
                <w:kern w:val="0"/>
                <w:sz w:val="16"/>
                <w:szCs w:val="16"/>
                <w:lang w:eastAsia="en-IN"/>
                <w14:ligatures w14:val="none"/>
              </w:rPr>
            </w:pPr>
          </w:p>
        </w:tc>
        <w:tc>
          <w:tcPr>
            <w:tcW w:w="1728" w:type="dxa"/>
            <w:vMerge/>
            <w:tcBorders>
              <w:top w:val="nil"/>
              <w:left w:val="single" w:sz="4" w:space="0" w:color="auto"/>
              <w:bottom w:val="single" w:sz="4" w:space="0" w:color="000000"/>
              <w:right w:val="single" w:sz="4" w:space="0" w:color="auto"/>
            </w:tcBorders>
            <w:vAlign w:val="center"/>
            <w:hideMark/>
          </w:tcPr>
          <w:p w14:paraId="71EFF28B" w14:textId="77777777" w:rsidR="00EF3F11" w:rsidRPr="00D97953" w:rsidRDefault="00EF3F11" w:rsidP="00EF3F11">
            <w:pPr>
              <w:spacing w:after="0" w:line="240" w:lineRule="auto"/>
              <w:rPr>
                <w:rFonts w:ascii="Times New Roman" w:eastAsia="Times New Roman" w:hAnsi="Times New Roman" w:cs="Times New Roman"/>
                <w:color w:val="000000"/>
                <w:kern w:val="0"/>
                <w:sz w:val="16"/>
                <w:szCs w:val="16"/>
                <w:lang w:eastAsia="en-IN"/>
                <w14:ligatures w14:val="none"/>
              </w:rPr>
            </w:pPr>
          </w:p>
        </w:tc>
        <w:tc>
          <w:tcPr>
            <w:tcW w:w="948" w:type="dxa"/>
            <w:vMerge/>
            <w:tcBorders>
              <w:top w:val="nil"/>
              <w:left w:val="single" w:sz="4" w:space="0" w:color="auto"/>
              <w:bottom w:val="single" w:sz="4" w:space="0" w:color="000000"/>
              <w:right w:val="single" w:sz="4" w:space="0" w:color="auto"/>
            </w:tcBorders>
            <w:vAlign w:val="center"/>
            <w:hideMark/>
          </w:tcPr>
          <w:p w14:paraId="1D38AA8C" w14:textId="77777777" w:rsidR="00EF3F11" w:rsidRPr="00D97953" w:rsidRDefault="00EF3F11" w:rsidP="00EF3F11">
            <w:pPr>
              <w:spacing w:after="0" w:line="240" w:lineRule="auto"/>
              <w:rPr>
                <w:rFonts w:ascii="Times New Roman" w:eastAsia="Times New Roman" w:hAnsi="Times New Roman" w:cs="Times New Roman"/>
                <w:color w:val="000000"/>
                <w:kern w:val="0"/>
                <w:sz w:val="16"/>
                <w:szCs w:val="16"/>
                <w:lang w:eastAsia="en-IN"/>
                <w14:ligatures w14:val="none"/>
              </w:rPr>
            </w:pPr>
          </w:p>
        </w:tc>
        <w:tc>
          <w:tcPr>
            <w:tcW w:w="611" w:type="dxa"/>
            <w:vMerge/>
            <w:tcBorders>
              <w:top w:val="nil"/>
              <w:left w:val="single" w:sz="4" w:space="0" w:color="auto"/>
              <w:bottom w:val="single" w:sz="4" w:space="0" w:color="000000"/>
              <w:right w:val="single" w:sz="4" w:space="0" w:color="auto"/>
            </w:tcBorders>
            <w:vAlign w:val="center"/>
            <w:hideMark/>
          </w:tcPr>
          <w:p w14:paraId="21F36DA4" w14:textId="77777777" w:rsidR="00EF3F11" w:rsidRPr="00D97953" w:rsidRDefault="00EF3F11" w:rsidP="00EF3F11">
            <w:pPr>
              <w:spacing w:after="0" w:line="240" w:lineRule="auto"/>
              <w:rPr>
                <w:rFonts w:ascii="Times New Roman" w:eastAsia="Times New Roman" w:hAnsi="Times New Roman" w:cs="Times New Roman"/>
                <w:color w:val="000000"/>
                <w:kern w:val="0"/>
                <w:sz w:val="16"/>
                <w:szCs w:val="16"/>
                <w:lang w:eastAsia="en-IN"/>
                <w14:ligatures w14:val="none"/>
              </w:rPr>
            </w:pPr>
          </w:p>
        </w:tc>
        <w:tc>
          <w:tcPr>
            <w:tcW w:w="1728" w:type="dxa"/>
            <w:vMerge/>
            <w:tcBorders>
              <w:top w:val="nil"/>
              <w:left w:val="single" w:sz="4" w:space="0" w:color="auto"/>
              <w:bottom w:val="single" w:sz="4" w:space="0" w:color="000000"/>
              <w:right w:val="single" w:sz="4" w:space="0" w:color="auto"/>
            </w:tcBorders>
            <w:vAlign w:val="center"/>
            <w:hideMark/>
          </w:tcPr>
          <w:p w14:paraId="12C1E993" w14:textId="77777777" w:rsidR="00EF3F11" w:rsidRPr="00D97953" w:rsidRDefault="00EF3F11" w:rsidP="00EF3F11">
            <w:pPr>
              <w:spacing w:after="0" w:line="240" w:lineRule="auto"/>
              <w:rPr>
                <w:rFonts w:ascii="Times New Roman" w:eastAsia="Times New Roman" w:hAnsi="Times New Roman" w:cs="Times New Roman"/>
                <w:color w:val="000000"/>
                <w:kern w:val="0"/>
                <w:sz w:val="16"/>
                <w:szCs w:val="16"/>
                <w:lang w:eastAsia="en-IN"/>
                <w14:ligatures w14:val="none"/>
              </w:rPr>
            </w:pPr>
          </w:p>
        </w:tc>
        <w:tc>
          <w:tcPr>
            <w:tcW w:w="948" w:type="dxa"/>
            <w:vMerge/>
            <w:tcBorders>
              <w:top w:val="nil"/>
              <w:left w:val="single" w:sz="4" w:space="0" w:color="auto"/>
              <w:bottom w:val="single" w:sz="4" w:space="0" w:color="000000"/>
              <w:right w:val="single" w:sz="4" w:space="0" w:color="auto"/>
            </w:tcBorders>
            <w:vAlign w:val="center"/>
            <w:hideMark/>
          </w:tcPr>
          <w:p w14:paraId="342A5A56" w14:textId="77777777" w:rsidR="00EF3F11" w:rsidRPr="00D97953" w:rsidRDefault="00EF3F11" w:rsidP="00EF3F11">
            <w:pPr>
              <w:spacing w:after="0" w:line="240" w:lineRule="auto"/>
              <w:rPr>
                <w:rFonts w:ascii="Times New Roman" w:eastAsia="Times New Roman" w:hAnsi="Times New Roman" w:cs="Times New Roman"/>
                <w:color w:val="000000"/>
                <w:kern w:val="0"/>
                <w:sz w:val="16"/>
                <w:szCs w:val="16"/>
                <w:lang w:eastAsia="en-IN"/>
                <w14:ligatures w14:val="none"/>
              </w:rPr>
            </w:pPr>
          </w:p>
        </w:tc>
        <w:tc>
          <w:tcPr>
            <w:tcW w:w="610" w:type="dxa"/>
            <w:vMerge/>
            <w:tcBorders>
              <w:top w:val="nil"/>
              <w:left w:val="single" w:sz="4" w:space="0" w:color="auto"/>
              <w:bottom w:val="single" w:sz="4" w:space="0" w:color="000000"/>
              <w:right w:val="single" w:sz="4" w:space="0" w:color="auto"/>
            </w:tcBorders>
            <w:vAlign w:val="center"/>
            <w:hideMark/>
          </w:tcPr>
          <w:p w14:paraId="57D855FB" w14:textId="77777777" w:rsidR="00EF3F11" w:rsidRPr="00D97953" w:rsidRDefault="00EF3F11" w:rsidP="00EF3F11">
            <w:pPr>
              <w:spacing w:after="0" w:line="240" w:lineRule="auto"/>
              <w:rPr>
                <w:rFonts w:ascii="Times New Roman" w:eastAsia="Times New Roman" w:hAnsi="Times New Roman" w:cs="Times New Roman"/>
                <w:color w:val="000000"/>
                <w:kern w:val="0"/>
                <w:sz w:val="16"/>
                <w:szCs w:val="16"/>
                <w:lang w:eastAsia="en-IN"/>
                <w14:ligatures w14:val="none"/>
              </w:rPr>
            </w:pPr>
          </w:p>
        </w:tc>
        <w:tc>
          <w:tcPr>
            <w:tcW w:w="1728" w:type="dxa"/>
            <w:vMerge/>
            <w:tcBorders>
              <w:top w:val="nil"/>
              <w:left w:val="single" w:sz="4" w:space="0" w:color="auto"/>
              <w:bottom w:val="single" w:sz="4" w:space="0" w:color="000000"/>
              <w:right w:val="single" w:sz="4" w:space="0" w:color="auto"/>
            </w:tcBorders>
            <w:vAlign w:val="center"/>
            <w:hideMark/>
          </w:tcPr>
          <w:p w14:paraId="216755A1" w14:textId="77777777" w:rsidR="00EF3F11" w:rsidRPr="00D97953" w:rsidRDefault="00EF3F11" w:rsidP="00EF3F11">
            <w:pPr>
              <w:spacing w:after="0" w:line="240" w:lineRule="auto"/>
              <w:rPr>
                <w:rFonts w:ascii="Times New Roman" w:eastAsia="Times New Roman" w:hAnsi="Times New Roman" w:cs="Times New Roman"/>
                <w:color w:val="000000"/>
                <w:kern w:val="0"/>
                <w:sz w:val="16"/>
                <w:szCs w:val="16"/>
                <w:lang w:eastAsia="en-IN"/>
                <w14:ligatures w14:val="none"/>
              </w:rPr>
            </w:pPr>
          </w:p>
        </w:tc>
        <w:tc>
          <w:tcPr>
            <w:tcW w:w="948" w:type="dxa"/>
            <w:vMerge/>
            <w:tcBorders>
              <w:top w:val="nil"/>
              <w:left w:val="single" w:sz="4" w:space="0" w:color="auto"/>
              <w:bottom w:val="single" w:sz="4" w:space="0" w:color="000000"/>
              <w:right w:val="single" w:sz="4" w:space="0" w:color="auto"/>
            </w:tcBorders>
            <w:vAlign w:val="center"/>
            <w:hideMark/>
          </w:tcPr>
          <w:p w14:paraId="144CB3FE" w14:textId="77777777" w:rsidR="00EF3F11" w:rsidRPr="00D97953" w:rsidRDefault="00EF3F11" w:rsidP="00EF3F11">
            <w:pPr>
              <w:spacing w:after="0" w:line="240" w:lineRule="auto"/>
              <w:rPr>
                <w:rFonts w:ascii="Times New Roman" w:eastAsia="Times New Roman" w:hAnsi="Times New Roman" w:cs="Times New Roman"/>
                <w:color w:val="000000"/>
                <w:kern w:val="0"/>
                <w:sz w:val="16"/>
                <w:szCs w:val="16"/>
                <w:lang w:eastAsia="en-IN"/>
                <w14:ligatures w14:val="none"/>
              </w:rPr>
            </w:pPr>
          </w:p>
        </w:tc>
        <w:tc>
          <w:tcPr>
            <w:tcW w:w="608" w:type="dxa"/>
            <w:vMerge/>
            <w:tcBorders>
              <w:top w:val="nil"/>
              <w:left w:val="single" w:sz="4" w:space="0" w:color="auto"/>
              <w:bottom w:val="single" w:sz="4" w:space="0" w:color="000000"/>
              <w:right w:val="single" w:sz="4" w:space="0" w:color="auto"/>
            </w:tcBorders>
            <w:vAlign w:val="center"/>
            <w:hideMark/>
          </w:tcPr>
          <w:p w14:paraId="5DA1DB15" w14:textId="77777777" w:rsidR="00EF3F11" w:rsidRPr="00D97953" w:rsidRDefault="00EF3F11" w:rsidP="00EF3F11">
            <w:pPr>
              <w:spacing w:after="0" w:line="240" w:lineRule="auto"/>
              <w:rPr>
                <w:rFonts w:ascii="Times New Roman" w:eastAsia="Times New Roman" w:hAnsi="Times New Roman" w:cs="Times New Roman"/>
                <w:color w:val="000000"/>
                <w:kern w:val="0"/>
                <w:sz w:val="16"/>
                <w:szCs w:val="16"/>
                <w:lang w:eastAsia="en-IN"/>
                <w14:ligatures w14:val="none"/>
              </w:rPr>
            </w:pPr>
          </w:p>
        </w:tc>
      </w:tr>
      <w:tr w:rsidR="00EF3F11" w:rsidRPr="00D97953" w14:paraId="7F7C4E47" w14:textId="77777777" w:rsidTr="00D97953">
        <w:trPr>
          <w:gridAfter w:val="1"/>
          <w:wAfter w:w="15" w:type="dxa"/>
          <w:trHeight w:val="20"/>
          <w:jc w:val="center"/>
        </w:trPr>
        <w:tc>
          <w:tcPr>
            <w:tcW w:w="2464" w:type="dxa"/>
            <w:tcBorders>
              <w:top w:val="nil"/>
              <w:left w:val="single" w:sz="4" w:space="0" w:color="auto"/>
              <w:bottom w:val="single" w:sz="4" w:space="0" w:color="auto"/>
              <w:right w:val="single" w:sz="4" w:space="0" w:color="auto"/>
            </w:tcBorders>
            <w:noWrap/>
            <w:vAlign w:val="center"/>
            <w:hideMark/>
          </w:tcPr>
          <w:p w14:paraId="7BF87D8D" w14:textId="77777777" w:rsidR="00EF3F11" w:rsidRPr="00D97953" w:rsidRDefault="00EF3F11" w:rsidP="00EF3F11">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D97953">
              <w:rPr>
                <w:rFonts w:ascii="Times New Roman" w:eastAsia="Times New Roman" w:hAnsi="Times New Roman" w:cs="Times New Roman"/>
                <w:color w:val="000000"/>
                <w:kern w:val="0"/>
                <w:sz w:val="16"/>
                <w:szCs w:val="16"/>
                <w:lang w:eastAsia="en-IN"/>
                <w14:ligatures w14:val="none"/>
              </w:rPr>
              <w:t>10. Mysore</w:t>
            </w:r>
          </w:p>
        </w:tc>
        <w:tc>
          <w:tcPr>
            <w:tcW w:w="608" w:type="dxa"/>
            <w:tcBorders>
              <w:top w:val="nil"/>
              <w:left w:val="nil"/>
              <w:bottom w:val="single" w:sz="4" w:space="0" w:color="auto"/>
              <w:right w:val="single" w:sz="4" w:space="0" w:color="auto"/>
            </w:tcBorders>
            <w:noWrap/>
            <w:vAlign w:val="center"/>
            <w:hideMark/>
          </w:tcPr>
          <w:p w14:paraId="06F57BE5" w14:textId="77777777" w:rsidR="00EF3F11" w:rsidRPr="00D97953" w:rsidRDefault="00EF3F11" w:rsidP="00EF3F11">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D97953">
              <w:rPr>
                <w:rFonts w:ascii="Times New Roman" w:eastAsia="Times New Roman" w:hAnsi="Times New Roman" w:cs="Times New Roman"/>
                <w:color w:val="000000"/>
                <w:kern w:val="0"/>
                <w:sz w:val="16"/>
                <w:szCs w:val="16"/>
                <w:lang w:eastAsia="en-IN"/>
                <w14:ligatures w14:val="none"/>
              </w:rPr>
              <w:t>26.00</w:t>
            </w:r>
          </w:p>
        </w:tc>
        <w:tc>
          <w:tcPr>
            <w:tcW w:w="948" w:type="dxa"/>
            <w:tcBorders>
              <w:top w:val="nil"/>
              <w:left w:val="nil"/>
              <w:bottom w:val="single" w:sz="4" w:space="0" w:color="auto"/>
              <w:right w:val="single" w:sz="4" w:space="0" w:color="auto"/>
            </w:tcBorders>
            <w:noWrap/>
            <w:vAlign w:val="center"/>
            <w:hideMark/>
          </w:tcPr>
          <w:p w14:paraId="129EA270" w14:textId="77777777" w:rsidR="00EF3F11" w:rsidRPr="00D97953" w:rsidRDefault="00EF3F11" w:rsidP="00EF3F11">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D97953">
              <w:rPr>
                <w:rFonts w:ascii="Times New Roman" w:eastAsia="Times New Roman" w:hAnsi="Times New Roman" w:cs="Times New Roman"/>
                <w:color w:val="000000"/>
                <w:kern w:val="0"/>
                <w:sz w:val="16"/>
                <w:szCs w:val="16"/>
                <w:lang w:eastAsia="en-IN"/>
                <w14:ligatures w14:val="none"/>
              </w:rPr>
              <w:t>3.00</w:t>
            </w:r>
          </w:p>
        </w:tc>
        <w:tc>
          <w:tcPr>
            <w:tcW w:w="610" w:type="dxa"/>
            <w:tcBorders>
              <w:top w:val="nil"/>
              <w:left w:val="nil"/>
              <w:bottom w:val="single" w:sz="4" w:space="0" w:color="auto"/>
              <w:right w:val="single" w:sz="4" w:space="0" w:color="auto"/>
            </w:tcBorders>
            <w:noWrap/>
            <w:vAlign w:val="center"/>
            <w:hideMark/>
          </w:tcPr>
          <w:p w14:paraId="6ACA5689" w14:textId="77777777" w:rsidR="00EF3F11" w:rsidRPr="00D97953" w:rsidRDefault="00EF3F11" w:rsidP="00EF3F11">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D97953">
              <w:rPr>
                <w:rFonts w:ascii="Times New Roman" w:eastAsia="Times New Roman" w:hAnsi="Times New Roman" w:cs="Times New Roman"/>
                <w:color w:val="000000"/>
                <w:kern w:val="0"/>
                <w:sz w:val="16"/>
                <w:szCs w:val="16"/>
                <w:lang w:eastAsia="en-IN"/>
                <w14:ligatures w14:val="none"/>
              </w:rPr>
              <w:t>29.00</w:t>
            </w:r>
          </w:p>
        </w:tc>
        <w:tc>
          <w:tcPr>
            <w:tcW w:w="1728" w:type="dxa"/>
            <w:tcBorders>
              <w:top w:val="nil"/>
              <w:left w:val="nil"/>
              <w:bottom w:val="single" w:sz="4" w:space="0" w:color="auto"/>
              <w:right w:val="single" w:sz="4" w:space="0" w:color="auto"/>
            </w:tcBorders>
            <w:noWrap/>
            <w:vAlign w:val="center"/>
            <w:hideMark/>
          </w:tcPr>
          <w:p w14:paraId="6F66BA48" w14:textId="77777777" w:rsidR="00EF3F11" w:rsidRPr="00D97953" w:rsidRDefault="00EF3F11" w:rsidP="00EF3F11">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D97953">
              <w:rPr>
                <w:rFonts w:ascii="Times New Roman" w:eastAsia="Times New Roman" w:hAnsi="Times New Roman" w:cs="Times New Roman"/>
                <w:color w:val="000000"/>
                <w:kern w:val="0"/>
                <w:sz w:val="16"/>
                <w:szCs w:val="16"/>
                <w:lang w:eastAsia="en-IN"/>
                <w14:ligatures w14:val="none"/>
              </w:rPr>
              <w:t>6.80</w:t>
            </w:r>
          </w:p>
        </w:tc>
        <w:tc>
          <w:tcPr>
            <w:tcW w:w="948" w:type="dxa"/>
            <w:tcBorders>
              <w:top w:val="nil"/>
              <w:left w:val="nil"/>
              <w:bottom w:val="single" w:sz="4" w:space="0" w:color="auto"/>
              <w:right w:val="single" w:sz="4" w:space="0" w:color="auto"/>
            </w:tcBorders>
            <w:noWrap/>
            <w:vAlign w:val="center"/>
            <w:hideMark/>
          </w:tcPr>
          <w:p w14:paraId="53054761" w14:textId="77777777" w:rsidR="00EF3F11" w:rsidRPr="00D97953" w:rsidRDefault="00EF3F11" w:rsidP="00EF3F11">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D97953">
              <w:rPr>
                <w:rFonts w:ascii="Times New Roman" w:eastAsia="Times New Roman" w:hAnsi="Times New Roman" w:cs="Times New Roman"/>
                <w:color w:val="000000"/>
                <w:kern w:val="0"/>
                <w:sz w:val="16"/>
                <w:szCs w:val="16"/>
                <w:lang w:eastAsia="en-IN"/>
                <w14:ligatures w14:val="none"/>
              </w:rPr>
              <w:t>3.00</w:t>
            </w:r>
          </w:p>
        </w:tc>
        <w:tc>
          <w:tcPr>
            <w:tcW w:w="611" w:type="dxa"/>
            <w:tcBorders>
              <w:top w:val="nil"/>
              <w:left w:val="nil"/>
              <w:bottom w:val="single" w:sz="4" w:space="0" w:color="auto"/>
              <w:right w:val="single" w:sz="4" w:space="0" w:color="auto"/>
            </w:tcBorders>
            <w:noWrap/>
            <w:vAlign w:val="center"/>
            <w:hideMark/>
          </w:tcPr>
          <w:p w14:paraId="0C902B62" w14:textId="77777777" w:rsidR="00EF3F11" w:rsidRPr="00D97953" w:rsidRDefault="00EF3F11" w:rsidP="00EF3F11">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D97953">
              <w:rPr>
                <w:rFonts w:ascii="Times New Roman" w:eastAsia="Times New Roman" w:hAnsi="Times New Roman" w:cs="Times New Roman"/>
                <w:color w:val="000000"/>
                <w:kern w:val="0"/>
                <w:sz w:val="16"/>
                <w:szCs w:val="16"/>
                <w:lang w:eastAsia="en-IN"/>
                <w14:ligatures w14:val="none"/>
              </w:rPr>
              <w:t>9.80</w:t>
            </w:r>
          </w:p>
        </w:tc>
        <w:tc>
          <w:tcPr>
            <w:tcW w:w="1728" w:type="dxa"/>
            <w:tcBorders>
              <w:top w:val="nil"/>
              <w:left w:val="nil"/>
              <w:bottom w:val="single" w:sz="4" w:space="0" w:color="auto"/>
              <w:right w:val="single" w:sz="4" w:space="0" w:color="auto"/>
            </w:tcBorders>
            <w:noWrap/>
            <w:vAlign w:val="center"/>
            <w:hideMark/>
          </w:tcPr>
          <w:p w14:paraId="11DD0B99" w14:textId="77777777" w:rsidR="00EF3F11" w:rsidRPr="00D97953" w:rsidRDefault="00EF3F11" w:rsidP="00EF3F11">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D97953">
              <w:rPr>
                <w:rFonts w:ascii="Times New Roman" w:eastAsia="Times New Roman" w:hAnsi="Times New Roman" w:cs="Times New Roman"/>
                <w:color w:val="000000"/>
                <w:kern w:val="0"/>
                <w:sz w:val="16"/>
                <w:szCs w:val="16"/>
                <w:lang w:eastAsia="en-IN"/>
                <w14:ligatures w14:val="none"/>
              </w:rPr>
              <w:t>30.00</w:t>
            </w:r>
          </w:p>
        </w:tc>
        <w:tc>
          <w:tcPr>
            <w:tcW w:w="948" w:type="dxa"/>
            <w:tcBorders>
              <w:top w:val="nil"/>
              <w:left w:val="nil"/>
              <w:bottom w:val="single" w:sz="4" w:space="0" w:color="auto"/>
              <w:right w:val="single" w:sz="4" w:space="0" w:color="auto"/>
            </w:tcBorders>
            <w:noWrap/>
            <w:vAlign w:val="center"/>
            <w:hideMark/>
          </w:tcPr>
          <w:p w14:paraId="68129A83" w14:textId="77777777" w:rsidR="00EF3F11" w:rsidRPr="00D97953" w:rsidRDefault="00EF3F11" w:rsidP="00EF3F11">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D97953">
              <w:rPr>
                <w:rFonts w:ascii="Times New Roman" w:eastAsia="Times New Roman" w:hAnsi="Times New Roman" w:cs="Times New Roman"/>
                <w:color w:val="000000"/>
                <w:kern w:val="0"/>
                <w:sz w:val="16"/>
                <w:szCs w:val="16"/>
                <w:lang w:eastAsia="en-IN"/>
                <w14:ligatures w14:val="none"/>
              </w:rPr>
              <w:t>3.00</w:t>
            </w:r>
          </w:p>
        </w:tc>
        <w:tc>
          <w:tcPr>
            <w:tcW w:w="610" w:type="dxa"/>
            <w:tcBorders>
              <w:top w:val="nil"/>
              <w:left w:val="nil"/>
              <w:bottom w:val="single" w:sz="4" w:space="0" w:color="auto"/>
              <w:right w:val="single" w:sz="4" w:space="0" w:color="auto"/>
            </w:tcBorders>
            <w:noWrap/>
            <w:vAlign w:val="center"/>
            <w:hideMark/>
          </w:tcPr>
          <w:p w14:paraId="2CBE7AB1" w14:textId="77777777" w:rsidR="00EF3F11" w:rsidRPr="00D97953" w:rsidRDefault="00EF3F11" w:rsidP="00EF3F11">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D97953">
              <w:rPr>
                <w:rFonts w:ascii="Times New Roman" w:eastAsia="Times New Roman" w:hAnsi="Times New Roman" w:cs="Times New Roman"/>
                <w:color w:val="000000"/>
                <w:kern w:val="0"/>
                <w:sz w:val="16"/>
                <w:szCs w:val="16"/>
                <w:lang w:eastAsia="en-IN"/>
                <w14:ligatures w14:val="none"/>
              </w:rPr>
              <w:t>33.00</w:t>
            </w:r>
          </w:p>
        </w:tc>
        <w:tc>
          <w:tcPr>
            <w:tcW w:w="1728" w:type="dxa"/>
            <w:tcBorders>
              <w:top w:val="nil"/>
              <w:left w:val="nil"/>
              <w:bottom w:val="single" w:sz="4" w:space="0" w:color="auto"/>
              <w:right w:val="single" w:sz="4" w:space="0" w:color="auto"/>
            </w:tcBorders>
            <w:noWrap/>
            <w:vAlign w:val="center"/>
            <w:hideMark/>
          </w:tcPr>
          <w:p w14:paraId="2275AFBF" w14:textId="77777777" w:rsidR="00EF3F11" w:rsidRPr="00D97953" w:rsidRDefault="00EF3F11" w:rsidP="00EF3F11">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D97953">
              <w:rPr>
                <w:rFonts w:ascii="Times New Roman" w:eastAsia="Times New Roman" w:hAnsi="Times New Roman" w:cs="Times New Roman"/>
                <w:color w:val="000000"/>
                <w:kern w:val="0"/>
                <w:sz w:val="16"/>
                <w:szCs w:val="16"/>
                <w:lang w:eastAsia="en-IN"/>
                <w14:ligatures w14:val="none"/>
              </w:rPr>
              <w:t>10.00</w:t>
            </w:r>
          </w:p>
        </w:tc>
        <w:tc>
          <w:tcPr>
            <w:tcW w:w="948" w:type="dxa"/>
            <w:tcBorders>
              <w:top w:val="nil"/>
              <w:left w:val="nil"/>
              <w:bottom w:val="single" w:sz="4" w:space="0" w:color="auto"/>
              <w:right w:val="single" w:sz="4" w:space="0" w:color="auto"/>
            </w:tcBorders>
            <w:noWrap/>
            <w:vAlign w:val="center"/>
            <w:hideMark/>
          </w:tcPr>
          <w:p w14:paraId="17E3E4E4" w14:textId="77777777" w:rsidR="00EF3F11" w:rsidRPr="00D97953" w:rsidRDefault="00EF3F11" w:rsidP="00EF3F11">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D97953">
              <w:rPr>
                <w:rFonts w:ascii="Times New Roman" w:eastAsia="Times New Roman" w:hAnsi="Times New Roman" w:cs="Times New Roman"/>
                <w:color w:val="000000"/>
                <w:kern w:val="0"/>
                <w:sz w:val="16"/>
                <w:szCs w:val="16"/>
                <w:lang w:eastAsia="en-IN"/>
                <w14:ligatures w14:val="none"/>
              </w:rPr>
              <w:t>3.00</w:t>
            </w:r>
          </w:p>
        </w:tc>
        <w:tc>
          <w:tcPr>
            <w:tcW w:w="608" w:type="dxa"/>
            <w:tcBorders>
              <w:top w:val="nil"/>
              <w:left w:val="nil"/>
              <w:bottom w:val="single" w:sz="4" w:space="0" w:color="auto"/>
              <w:right w:val="single" w:sz="4" w:space="0" w:color="auto"/>
            </w:tcBorders>
            <w:noWrap/>
            <w:vAlign w:val="center"/>
            <w:hideMark/>
          </w:tcPr>
          <w:p w14:paraId="1CD0C2A4" w14:textId="77777777" w:rsidR="00EF3F11" w:rsidRPr="00D97953" w:rsidRDefault="00EF3F11" w:rsidP="00EF3F11">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D97953">
              <w:rPr>
                <w:rFonts w:ascii="Times New Roman" w:eastAsia="Times New Roman" w:hAnsi="Times New Roman" w:cs="Times New Roman"/>
                <w:color w:val="000000"/>
                <w:kern w:val="0"/>
                <w:sz w:val="16"/>
                <w:szCs w:val="16"/>
                <w:lang w:eastAsia="en-IN"/>
                <w14:ligatures w14:val="none"/>
              </w:rPr>
              <w:t>13.00</w:t>
            </w:r>
          </w:p>
        </w:tc>
      </w:tr>
      <w:tr w:rsidR="00EF3F11" w:rsidRPr="00D97953" w14:paraId="3F03105B" w14:textId="77777777" w:rsidTr="00D97953">
        <w:trPr>
          <w:gridAfter w:val="1"/>
          <w:wAfter w:w="15" w:type="dxa"/>
          <w:trHeight w:val="20"/>
          <w:jc w:val="center"/>
        </w:trPr>
        <w:tc>
          <w:tcPr>
            <w:tcW w:w="2464" w:type="dxa"/>
            <w:tcBorders>
              <w:top w:val="nil"/>
              <w:left w:val="single" w:sz="4" w:space="0" w:color="auto"/>
              <w:bottom w:val="single" w:sz="4" w:space="0" w:color="auto"/>
              <w:right w:val="single" w:sz="4" w:space="0" w:color="auto"/>
            </w:tcBorders>
            <w:noWrap/>
            <w:vAlign w:val="center"/>
            <w:hideMark/>
          </w:tcPr>
          <w:p w14:paraId="5ED3F353" w14:textId="77777777" w:rsidR="00EF3F11" w:rsidRPr="00D97953" w:rsidRDefault="00EF3F11" w:rsidP="00EF3F11">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D97953">
              <w:rPr>
                <w:rFonts w:ascii="Times New Roman" w:eastAsia="Times New Roman" w:hAnsi="Times New Roman" w:cs="Times New Roman"/>
                <w:color w:val="000000"/>
                <w:kern w:val="0"/>
                <w:sz w:val="16"/>
                <w:szCs w:val="16"/>
                <w:lang w:eastAsia="en-IN"/>
                <w14:ligatures w14:val="none"/>
              </w:rPr>
              <w:t>11. Nagaland:</w:t>
            </w:r>
          </w:p>
        </w:tc>
        <w:tc>
          <w:tcPr>
            <w:tcW w:w="608" w:type="dxa"/>
            <w:tcBorders>
              <w:top w:val="nil"/>
              <w:left w:val="nil"/>
              <w:bottom w:val="single" w:sz="4" w:space="0" w:color="auto"/>
              <w:right w:val="single" w:sz="4" w:space="0" w:color="auto"/>
            </w:tcBorders>
            <w:noWrap/>
            <w:vAlign w:val="center"/>
            <w:hideMark/>
          </w:tcPr>
          <w:p w14:paraId="042AA8F9" w14:textId="77777777" w:rsidR="00EF3F11" w:rsidRPr="00D97953" w:rsidRDefault="00EF3F11" w:rsidP="00EF3F11">
            <w:pPr>
              <w:spacing w:after="0" w:line="240" w:lineRule="auto"/>
              <w:rPr>
                <w:rFonts w:ascii="Aptos" w:eastAsia="Times New Roman" w:hAnsi="Aptos" w:cs="Times New Roman"/>
                <w:color w:val="000000"/>
                <w:kern w:val="0"/>
                <w:sz w:val="16"/>
                <w:szCs w:val="16"/>
                <w:lang w:eastAsia="en-IN"/>
                <w14:ligatures w14:val="none"/>
              </w:rPr>
            </w:pPr>
            <w:r w:rsidRPr="00D97953">
              <w:rPr>
                <w:rFonts w:ascii="Aptos" w:eastAsia="Times New Roman" w:hAnsi="Aptos" w:cs="Times New Roman"/>
                <w:color w:val="000000"/>
                <w:kern w:val="0"/>
                <w:sz w:val="16"/>
                <w:szCs w:val="16"/>
                <w:lang w:eastAsia="en-IN"/>
                <w14:ligatures w14:val="none"/>
              </w:rPr>
              <w:t> </w:t>
            </w:r>
          </w:p>
        </w:tc>
        <w:tc>
          <w:tcPr>
            <w:tcW w:w="948" w:type="dxa"/>
            <w:tcBorders>
              <w:top w:val="nil"/>
              <w:left w:val="nil"/>
              <w:bottom w:val="single" w:sz="4" w:space="0" w:color="auto"/>
              <w:right w:val="single" w:sz="4" w:space="0" w:color="auto"/>
            </w:tcBorders>
            <w:noWrap/>
            <w:vAlign w:val="center"/>
            <w:hideMark/>
          </w:tcPr>
          <w:p w14:paraId="73A1088F" w14:textId="77777777" w:rsidR="00EF3F11" w:rsidRPr="00D97953" w:rsidRDefault="00EF3F11" w:rsidP="00EF3F11">
            <w:pPr>
              <w:spacing w:after="0" w:line="240" w:lineRule="auto"/>
              <w:rPr>
                <w:rFonts w:ascii="Aptos" w:eastAsia="Times New Roman" w:hAnsi="Aptos" w:cs="Times New Roman"/>
                <w:color w:val="000000"/>
                <w:kern w:val="0"/>
                <w:sz w:val="16"/>
                <w:szCs w:val="16"/>
                <w:lang w:eastAsia="en-IN"/>
                <w14:ligatures w14:val="none"/>
              </w:rPr>
            </w:pPr>
            <w:r w:rsidRPr="00D97953">
              <w:rPr>
                <w:rFonts w:ascii="Aptos" w:eastAsia="Times New Roman" w:hAnsi="Aptos" w:cs="Times New Roman"/>
                <w:color w:val="000000"/>
                <w:kern w:val="0"/>
                <w:sz w:val="16"/>
                <w:szCs w:val="16"/>
                <w:lang w:eastAsia="en-IN"/>
                <w14:ligatures w14:val="none"/>
              </w:rPr>
              <w:t> </w:t>
            </w:r>
          </w:p>
        </w:tc>
        <w:tc>
          <w:tcPr>
            <w:tcW w:w="610" w:type="dxa"/>
            <w:tcBorders>
              <w:top w:val="nil"/>
              <w:left w:val="nil"/>
              <w:bottom w:val="single" w:sz="4" w:space="0" w:color="auto"/>
              <w:right w:val="single" w:sz="4" w:space="0" w:color="auto"/>
            </w:tcBorders>
            <w:noWrap/>
            <w:vAlign w:val="center"/>
            <w:hideMark/>
          </w:tcPr>
          <w:p w14:paraId="03D24752" w14:textId="77777777" w:rsidR="00EF3F11" w:rsidRPr="00D97953" w:rsidRDefault="00EF3F11" w:rsidP="00EF3F11">
            <w:pPr>
              <w:spacing w:after="0" w:line="240" w:lineRule="auto"/>
              <w:rPr>
                <w:rFonts w:ascii="Aptos" w:eastAsia="Times New Roman" w:hAnsi="Aptos" w:cs="Times New Roman"/>
                <w:color w:val="000000"/>
                <w:kern w:val="0"/>
                <w:sz w:val="16"/>
                <w:szCs w:val="16"/>
                <w:lang w:eastAsia="en-IN"/>
                <w14:ligatures w14:val="none"/>
              </w:rPr>
            </w:pPr>
            <w:r w:rsidRPr="00D97953">
              <w:rPr>
                <w:rFonts w:ascii="Aptos" w:eastAsia="Times New Roman" w:hAnsi="Aptos" w:cs="Times New Roman"/>
                <w:color w:val="000000"/>
                <w:kern w:val="0"/>
                <w:sz w:val="16"/>
                <w:szCs w:val="16"/>
                <w:lang w:eastAsia="en-IN"/>
                <w14:ligatures w14:val="none"/>
              </w:rPr>
              <w:t> </w:t>
            </w:r>
          </w:p>
        </w:tc>
        <w:tc>
          <w:tcPr>
            <w:tcW w:w="1728" w:type="dxa"/>
            <w:tcBorders>
              <w:top w:val="nil"/>
              <w:left w:val="nil"/>
              <w:bottom w:val="single" w:sz="4" w:space="0" w:color="auto"/>
              <w:right w:val="single" w:sz="4" w:space="0" w:color="auto"/>
            </w:tcBorders>
            <w:noWrap/>
            <w:vAlign w:val="center"/>
            <w:hideMark/>
          </w:tcPr>
          <w:p w14:paraId="3506C186" w14:textId="77777777" w:rsidR="00EF3F11" w:rsidRPr="00D97953" w:rsidRDefault="00EF3F11" w:rsidP="00EF3F11">
            <w:pPr>
              <w:spacing w:after="0" w:line="240" w:lineRule="auto"/>
              <w:rPr>
                <w:rFonts w:ascii="Aptos" w:eastAsia="Times New Roman" w:hAnsi="Aptos" w:cs="Times New Roman"/>
                <w:color w:val="000000"/>
                <w:kern w:val="0"/>
                <w:sz w:val="16"/>
                <w:szCs w:val="16"/>
                <w:lang w:eastAsia="en-IN"/>
                <w14:ligatures w14:val="none"/>
              </w:rPr>
            </w:pPr>
            <w:r w:rsidRPr="00D97953">
              <w:rPr>
                <w:rFonts w:ascii="Aptos" w:eastAsia="Times New Roman" w:hAnsi="Aptos" w:cs="Times New Roman"/>
                <w:color w:val="000000"/>
                <w:kern w:val="0"/>
                <w:sz w:val="16"/>
                <w:szCs w:val="16"/>
                <w:lang w:eastAsia="en-IN"/>
                <w14:ligatures w14:val="none"/>
              </w:rPr>
              <w:t> </w:t>
            </w:r>
          </w:p>
        </w:tc>
        <w:tc>
          <w:tcPr>
            <w:tcW w:w="948" w:type="dxa"/>
            <w:tcBorders>
              <w:top w:val="nil"/>
              <w:left w:val="nil"/>
              <w:bottom w:val="single" w:sz="4" w:space="0" w:color="auto"/>
              <w:right w:val="single" w:sz="4" w:space="0" w:color="auto"/>
            </w:tcBorders>
            <w:noWrap/>
            <w:vAlign w:val="center"/>
            <w:hideMark/>
          </w:tcPr>
          <w:p w14:paraId="5F3AF603" w14:textId="77777777" w:rsidR="00EF3F11" w:rsidRPr="00D97953" w:rsidRDefault="00EF3F11" w:rsidP="00EF3F11">
            <w:pPr>
              <w:spacing w:after="0" w:line="240" w:lineRule="auto"/>
              <w:rPr>
                <w:rFonts w:ascii="Aptos" w:eastAsia="Times New Roman" w:hAnsi="Aptos" w:cs="Times New Roman"/>
                <w:color w:val="000000"/>
                <w:kern w:val="0"/>
                <w:sz w:val="16"/>
                <w:szCs w:val="16"/>
                <w:lang w:eastAsia="en-IN"/>
                <w14:ligatures w14:val="none"/>
              </w:rPr>
            </w:pPr>
            <w:r w:rsidRPr="00D97953">
              <w:rPr>
                <w:rFonts w:ascii="Aptos" w:eastAsia="Times New Roman" w:hAnsi="Aptos" w:cs="Times New Roman"/>
                <w:color w:val="000000"/>
                <w:kern w:val="0"/>
                <w:sz w:val="16"/>
                <w:szCs w:val="16"/>
                <w:lang w:eastAsia="en-IN"/>
                <w14:ligatures w14:val="none"/>
              </w:rPr>
              <w:t> </w:t>
            </w:r>
          </w:p>
        </w:tc>
        <w:tc>
          <w:tcPr>
            <w:tcW w:w="611" w:type="dxa"/>
            <w:tcBorders>
              <w:top w:val="nil"/>
              <w:left w:val="nil"/>
              <w:bottom w:val="single" w:sz="4" w:space="0" w:color="auto"/>
              <w:right w:val="single" w:sz="4" w:space="0" w:color="auto"/>
            </w:tcBorders>
            <w:noWrap/>
            <w:vAlign w:val="center"/>
            <w:hideMark/>
          </w:tcPr>
          <w:p w14:paraId="73FCC41A" w14:textId="77777777" w:rsidR="00EF3F11" w:rsidRPr="00D97953" w:rsidRDefault="00EF3F11" w:rsidP="00EF3F11">
            <w:pPr>
              <w:spacing w:after="0" w:line="240" w:lineRule="auto"/>
              <w:rPr>
                <w:rFonts w:ascii="Aptos" w:eastAsia="Times New Roman" w:hAnsi="Aptos" w:cs="Times New Roman"/>
                <w:color w:val="000000"/>
                <w:kern w:val="0"/>
                <w:sz w:val="16"/>
                <w:szCs w:val="16"/>
                <w:lang w:eastAsia="en-IN"/>
                <w14:ligatures w14:val="none"/>
              </w:rPr>
            </w:pPr>
            <w:r w:rsidRPr="00D97953">
              <w:rPr>
                <w:rFonts w:ascii="Aptos" w:eastAsia="Times New Roman" w:hAnsi="Aptos" w:cs="Times New Roman"/>
                <w:color w:val="000000"/>
                <w:kern w:val="0"/>
                <w:sz w:val="16"/>
                <w:szCs w:val="16"/>
                <w:lang w:eastAsia="en-IN"/>
                <w14:ligatures w14:val="none"/>
              </w:rPr>
              <w:t> </w:t>
            </w:r>
          </w:p>
        </w:tc>
        <w:tc>
          <w:tcPr>
            <w:tcW w:w="1728" w:type="dxa"/>
            <w:tcBorders>
              <w:top w:val="nil"/>
              <w:left w:val="nil"/>
              <w:bottom w:val="single" w:sz="4" w:space="0" w:color="auto"/>
              <w:right w:val="single" w:sz="4" w:space="0" w:color="auto"/>
            </w:tcBorders>
            <w:noWrap/>
            <w:vAlign w:val="center"/>
            <w:hideMark/>
          </w:tcPr>
          <w:p w14:paraId="42FC12AE" w14:textId="77777777" w:rsidR="00EF3F11" w:rsidRPr="00D97953" w:rsidRDefault="00EF3F11" w:rsidP="00EF3F11">
            <w:pPr>
              <w:spacing w:after="0" w:line="240" w:lineRule="auto"/>
              <w:rPr>
                <w:rFonts w:ascii="Aptos" w:eastAsia="Times New Roman" w:hAnsi="Aptos" w:cs="Times New Roman"/>
                <w:color w:val="000000"/>
                <w:kern w:val="0"/>
                <w:sz w:val="16"/>
                <w:szCs w:val="16"/>
                <w:lang w:eastAsia="en-IN"/>
                <w14:ligatures w14:val="none"/>
              </w:rPr>
            </w:pPr>
            <w:r w:rsidRPr="00D97953">
              <w:rPr>
                <w:rFonts w:ascii="Aptos" w:eastAsia="Times New Roman" w:hAnsi="Aptos" w:cs="Times New Roman"/>
                <w:color w:val="000000"/>
                <w:kern w:val="0"/>
                <w:sz w:val="16"/>
                <w:szCs w:val="16"/>
                <w:lang w:eastAsia="en-IN"/>
                <w14:ligatures w14:val="none"/>
              </w:rPr>
              <w:t> </w:t>
            </w:r>
          </w:p>
        </w:tc>
        <w:tc>
          <w:tcPr>
            <w:tcW w:w="948" w:type="dxa"/>
            <w:tcBorders>
              <w:top w:val="nil"/>
              <w:left w:val="nil"/>
              <w:bottom w:val="single" w:sz="4" w:space="0" w:color="auto"/>
              <w:right w:val="single" w:sz="4" w:space="0" w:color="auto"/>
            </w:tcBorders>
            <w:noWrap/>
            <w:vAlign w:val="center"/>
            <w:hideMark/>
          </w:tcPr>
          <w:p w14:paraId="5B657327" w14:textId="77777777" w:rsidR="00EF3F11" w:rsidRPr="00D97953" w:rsidRDefault="00EF3F11" w:rsidP="00EF3F11">
            <w:pPr>
              <w:spacing w:after="0" w:line="240" w:lineRule="auto"/>
              <w:rPr>
                <w:rFonts w:ascii="Aptos" w:eastAsia="Times New Roman" w:hAnsi="Aptos" w:cs="Times New Roman"/>
                <w:color w:val="000000"/>
                <w:kern w:val="0"/>
                <w:sz w:val="16"/>
                <w:szCs w:val="16"/>
                <w:lang w:eastAsia="en-IN"/>
                <w14:ligatures w14:val="none"/>
              </w:rPr>
            </w:pPr>
            <w:r w:rsidRPr="00D97953">
              <w:rPr>
                <w:rFonts w:ascii="Aptos" w:eastAsia="Times New Roman" w:hAnsi="Aptos" w:cs="Times New Roman"/>
                <w:color w:val="000000"/>
                <w:kern w:val="0"/>
                <w:sz w:val="16"/>
                <w:szCs w:val="16"/>
                <w:lang w:eastAsia="en-IN"/>
                <w14:ligatures w14:val="none"/>
              </w:rPr>
              <w:t> </w:t>
            </w:r>
          </w:p>
        </w:tc>
        <w:tc>
          <w:tcPr>
            <w:tcW w:w="610" w:type="dxa"/>
            <w:tcBorders>
              <w:top w:val="nil"/>
              <w:left w:val="nil"/>
              <w:bottom w:val="single" w:sz="4" w:space="0" w:color="auto"/>
              <w:right w:val="single" w:sz="4" w:space="0" w:color="auto"/>
            </w:tcBorders>
            <w:noWrap/>
            <w:vAlign w:val="center"/>
            <w:hideMark/>
          </w:tcPr>
          <w:p w14:paraId="5DFF861E" w14:textId="77777777" w:rsidR="00EF3F11" w:rsidRPr="00D97953" w:rsidRDefault="00EF3F11" w:rsidP="00EF3F11">
            <w:pPr>
              <w:spacing w:after="0" w:line="240" w:lineRule="auto"/>
              <w:rPr>
                <w:rFonts w:ascii="Aptos" w:eastAsia="Times New Roman" w:hAnsi="Aptos" w:cs="Times New Roman"/>
                <w:color w:val="000000"/>
                <w:kern w:val="0"/>
                <w:sz w:val="16"/>
                <w:szCs w:val="16"/>
                <w:lang w:eastAsia="en-IN"/>
                <w14:ligatures w14:val="none"/>
              </w:rPr>
            </w:pPr>
            <w:r w:rsidRPr="00D97953">
              <w:rPr>
                <w:rFonts w:ascii="Aptos" w:eastAsia="Times New Roman" w:hAnsi="Aptos" w:cs="Times New Roman"/>
                <w:color w:val="000000"/>
                <w:kern w:val="0"/>
                <w:sz w:val="16"/>
                <w:szCs w:val="16"/>
                <w:lang w:eastAsia="en-IN"/>
                <w14:ligatures w14:val="none"/>
              </w:rPr>
              <w:t> </w:t>
            </w:r>
          </w:p>
        </w:tc>
        <w:tc>
          <w:tcPr>
            <w:tcW w:w="1728" w:type="dxa"/>
            <w:tcBorders>
              <w:top w:val="nil"/>
              <w:left w:val="nil"/>
              <w:bottom w:val="single" w:sz="4" w:space="0" w:color="auto"/>
              <w:right w:val="single" w:sz="4" w:space="0" w:color="auto"/>
            </w:tcBorders>
            <w:noWrap/>
            <w:vAlign w:val="center"/>
            <w:hideMark/>
          </w:tcPr>
          <w:p w14:paraId="2EC91CC5" w14:textId="77777777" w:rsidR="00EF3F11" w:rsidRPr="00D97953" w:rsidRDefault="00EF3F11" w:rsidP="00EF3F11">
            <w:pPr>
              <w:spacing w:after="0" w:line="240" w:lineRule="auto"/>
              <w:rPr>
                <w:rFonts w:ascii="Aptos" w:eastAsia="Times New Roman" w:hAnsi="Aptos" w:cs="Times New Roman"/>
                <w:color w:val="000000"/>
                <w:kern w:val="0"/>
                <w:sz w:val="16"/>
                <w:szCs w:val="16"/>
                <w:lang w:eastAsia="en-IN"/>
                <w14:ligatures w14:val="none"/>
              </w:rPr>
            </w:pPr>
            <w:r w:rsidRPr="00D97953">
              <w:rPr>
                <w:rFonts w:ascii="Aptos" w:eastAsia="Times New Roman" w:hAnsi="Aptos" w:cs="Times New Roman"/>
                <w:color w:val="000000"/>
                <w:kern w:val="0"/>
                <w:sz w:val="16"/>
                <w:szCs w:val="16"/>
                <w:lang w:eastAsia="en-IN"/>
                <w14:ligatures w14:val="none"/>
              </w:rPr>
              <w:t> </w:t>
            </w:r>
          </w:p>
        </w:tc>
        <w:tc>
          <w:tcPr>
            <w:tcW w:w="948" w:type="dxa"/>
            <w:tcBorders>
              <w:top w:val="nil"/>
              <w:left w:val="nil"/>
              <w:bottom w:val="single" w:sz="4" w:space="0" w:color="auto"/>
              <w:right w:val="single" w:sz="4" w:space="0" w:color="auto"/>
            </w:tcBorders>
            <w:noWrap/>
            <w:vAlign w:val="center"/>
            <w:hideMark/>
          </w:tcPr>
          <w:p w14:paraId="74616C4F" w14:textId="77777777" w:rsidR="00EF3F11" w:rsidRPr="00D97953" w:rsidRDefault="00EF3F11" w:rsidP="00EF3F11">
            <w:pPr>
              <w:spacing w:after="0" w:line="240" w:lineRule="auto"/>
              <w:rPr>
                <w:rFonts w:ascii="Aptos" w:eastAsia="Times New Roman" w:hAnsi="Aptos" w:cs="Times New Roman"/>
                <w:color w:val="000000"/>
                <w:kern w:val="0"/>
                <w:sz w:val="16"/>
                <w:szCs w:val="16"/>
                <w:lang w:eastAsia="en-IN"/>
                <w14:ligatures w14:val="none"/>
              </w:rPr>
            </w:pPr>
            <w:r w:rsidRPr="00D97953">
              <w:rPr>
                <w:rFonts w:ascii="Aptos" w:eastAsia="Times New Roman" w:hAnsi="Aptos" w:cs="Times New Roman"/>
                <w:color w:val="000000"/>
                <w:kern w:val="0"/>
                <w:sz w:val="16"/>
                <w:szCs w:val="16"/>
                <w:lang w:eastAsia="en-IN"/>
                <w14:ligatures w14:val="none"/>
              </w:rPr>
              <w:t> </w:t>
            </w:r>
          </w:p>
        </w:tc>
        <w:tc>
          <w:tcPr>
            <w:tcW w:w="608" w:type="dxa"/>
            <w:tcBorders>
              <w:top w:val="nil"/>
              <w:left w:val="nil"/>
              <w:bottom w:val="single" w:sz="4" w:space="0" w:color="auto"/>
              <w:right w:val="single" w:sz="4" w:space="0" w:color="auto"/>
            </w:tcBorders>
            <w:noWrap/>
            <w:vAlign w:val="center"/>
            <w:hideMark/>
          </w:tcPr>
          <w:p w14:paraId="5884FC1F" w14:textId="77777777" w:rsidR="00EF3F11" w:rsidRPr="00D97953" w:rsidRDefault="00EF3F11" w:rsidP="00EF3F11">
            <w:pPr>
              <w:spacing w:after="0" w:line="240" w:lineRule="auto"/>
              <w:rPr>
                <w:rFonts w:ascii="Aptos" w:eastAsia="Times New Roman" w:hAnsi="Aptos" w:cs="Times New Roman"/>
                <w:color w:val="000000"/>
                <w:kern w:val="0"/>
                <w:sz w:val="16"/>
                <w:szCs w:val="16"/>
                <w:lang w:eastAsia="en-IN"/>
                <w14:ligatures w14:val="none"/>
              </w:rPr>
            </w:pPr>
            <w:r w:rsidRPr="00D97953">
              <w:rPr>
                <w:rFonts w:ascii="Aptos" w:eastAsia="Times New Roman" w:hAnsi="Aptos" w:cs="Times New Roman"/>
                <w:color w:val="000000"/>
                <w:kern w:val="0"/>
                <w:sz w:val="16"/>
                <w:szCs w:val="16"/>
                <w:lang w:eastAsia="en-IN"/>
                <w14:ligatures w14:val="none"/>
              </w:rPr>
              <w:t> </w:t>
            </w:r>
          </w:p>
        </w:tc>
      </w:tr>
      <w:tr w:rsidR="00EF3F11" w:rsidRPr="00D97953" w14:paraId="3C9694DF" w14:textId="77777777" w:rsidTr="00D97953">
        <w:trPr>
          <w:gridAfter w:val="1"/>
          <w:wAfter w:w="15" w:type="dxa"/>
          <w:trHeight w:val="20"/>
          <w:jc w:val="center"/>
        </w:trPr>
        <w:tc>
          <w:tcPr>
            <w:tcW w:w="2464" w:type="dxa"/>
            <w:tcBorders>
              <w:top w:val="nil"/>
              <w:left w:val="single" w:sz="4" w:space="0" w:color="auto"/>
              <w:bottom w:val="single" w:sz="4" w:space="0" w:color="auto"/>
              <w:right w:val="single" w:sz="4" w:space="0" w:color="auto"/>
            </w:tcBorders>
            <w:noWrap/>
            <w:vAlign w:val="center"/>
            <w:hideMark/>
          </w:tcPr>
          <w:p w14:paraId="73973E5C" w14:textId="77777777" w:rsidR="00EF3F11" w:rsidRPr="00D97953" w:rsidRDefault="00EF3F11" w:rsidP="00EF3F11">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D97953">
              <w:rPr>
                <w:rFonts w:ascii="Times New Roman" w:eastAsia="Times New Roman" w:hAnsi="Times New Roman" w:cs="Times New Roman"/>
                <w:color w:val="000000"/>
                <w:kern w:val="0"/>
                <w:sz w:val="16"/>
                <w:szCs w:val="16"/>
                <w:lang w:eastAsia="en-IN"/>
                <w14:ligatures w14:val="none"/>
              </w:rPr>
              <w:t>(a) Kohima, Dimapur etc.</w:t>
            </w:r>
          </w:p>
        </w:tc>
        <w:tc>
          <w:tcPr>
            <w:tcW w:w="608" w:type="dxa"/>
            <w:tcBorders>
              <w:top w:val="nil"/>
              <w:left w:val="nil"/>
              <w:bottom w:val="single" w:sz="4" w:space="0" w:color="auto"/>
              <w:right w:val="single" w:sz="4" w:space="0" w:color="auto"/>
            </w:tcBorders>
            <w:noWrap/>
            <w:vAlign w:val="center"/>
            <w:hideMark/>
          </w:tcPr>
          <w:p w14:paraId="0C4049C9" w14:textId="77777777" w:rsidR="00EF3F11" w:rsidRPr="00D97953" w:rsidRDefault="00EF3F11" w:rsidP="00EF3F11">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D97953">
              <w:rPr>
                <w:rFonts w:ascii="Times New Roman" w:eastAsia="Times New Roman" w:hAnsi="Times New Roman" w:cs="Times New Roman"/>
                <w:color w:val="000000"/>
                <w:kern w:val="0"/>
                <w:sz w:val="16"/>
                <w:szCs w:val="16"/>
                <w:lang w:eastAsia="en-IN"/>
                <w14:ligatures w14:val="none"/>
              </w:rPr>
              <w:t>60.00</w:t>
            </w:r>
          </w:p>
        </w:tc>
        <w:tc>
          <w:tcPr>
            <w:tcW w:w="948" w:type="dxa"/>
            <w:tcBorders>
              <w:top w:val="nil"/>
              <w:left w:val="nil"/>
              <w:bottom w:val="single" w:sz="4" w:space="0" w:color="auto"/>
              <w:right w:val="single" w:sz="4" w:space="0" w:color="auto"/>
            </w:tcBorders>
            <w:noWrap/>
            <w:vAlign w:val="center"/>
            <w:hideMark/>
          </w:tcPr>
          <w:p w14:paraId="195B48F6" w14:textId="77777777" w:rsidR="00EF3F11" w:rsidRPr="00D97953" w:rsidRDefault="00EF3F11" w:rsidP="00EF3F11">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D97953">
              <w:rPr>
                <w:rFonts w:ascii="Times New Roman" w:eastAsia="Times New Roman" w:hAnsi="Times New Roman" w:cs="Times New Roman"/>
                <w:color w:val="000000"/>
                <w:kern w:val="0"/>
                <w:sz w:val="16"/>
                <w:szCs w:val="16"/>
                <w:lang w:eastAsia="en-IN"/>
                <w14:ligatures w14:val="none"/>
              </w:rPr>
              <w:t>..</w:t>
            </w:r>
          </w:p>
        </w:tc>
        <w:tc>
          <w:tcPr>
            <w:tcW w:w="610" w:type="dxa"/>
            <w:tcBorders>
              <w:top w:val="nil"/>
              <w:left w:val="nil"/>
              <w:bottom w:val="single" w:sz="4" w:space="0" w:color="auto"/>
              <w:right w:val="single" w:sz="4" w:space="0" w:color="auto"/>
            </w:tcBorders>
            <w:noWrap/>
            <w:vAlign w:val="center"/>
            <w:hideMark/>
          </w:tcPr>
          <w:p w14:paraId="5E0ACDE5" w14:textId="77777777" w:rsidR="00EF3F11" w:rsidRPr="00D97953" w:rsidRDefault="00EF3F11" w:rsidP="00EF3F11">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D97953">
              <w:rPr>
                <w:rFonts w:ascii="Times New Roman" w:eastAsia="Times New Roman" w:hAnsi="Times New Roman" w:cs="Times New Roman"/>
                <w:color w:val="000000"/>
                <w:kern w:val="0"/>
                <w:sz w:val="16"/>
                <w:szCs w:val="16"/>
                <w:lang w:eastAsia="en-IN"/>
                <w14:ligatures w14:val="none"/>
              </w:rPr>
              <w:t>60.00</w:t>
            </w:r>
          </w:p>
        </w:tc>
        <w:tc>
          <w:tcPr>
            <w:tcW w:w="1728" w:type="dxa"/>
            <w:tcBorders>
              <w:top w:val="nil"/>
              <w:left w:val="nil"/>
              <w:bottom w:val="single" w:sz="4" w:space="0" w:color="auto"/>
              <w:right w:val="single" w:sz="4" w:space="0" w:color="auto"/>
            </w:tcBorders>
            <w:noWrap/>
            <w:vAlign w:val="center"/>
            <w:hideMark/>
          </w:tcPr>
          <w:p w14:paraId="5F89C3CC" w14:textId="77777777" w:rsidR="00EF3F11" w:rsidRPr="00D97953" w:rsidRDefault="00EF3F11" w:rsidP="00EF3F11">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D97953">
              <w:rPr>
                <w:rFonts w:ascii="Times New Roman" w:eastAsia="Times New Roman" w:hAnsi="Times New Roman" w:cs="Times New Roman"/>
                <w:color w:val="000000"/>
                <w:kern w:val="0"/>
                <w:sz w:val="16"/>
                <w:szCs w:val="16"/>
                <w:lang w:eastAsia="en-IN"/>
                <w14:ligatures w14:val="none"/>
              </w:rPr>
              <w:t>20.00</w:t>
            </w:r>
          </w:p>
        </w:tc>
        <w:tc>
          <w:tcPr>
            <w:tcW w:w="948" w:type="dxa"/>
            <w:tcBorders>
              <w:top w:val="nil"/>
              <w:left w:val="nil"/>
              <w:bottom w:val="single" w:sz="4" w:space="0" w:color="auto"/>
              <w:right w:val="single" w:sz="4" w:space="0" w:color="auto"/>
            </w:tcBorders>
            <w:noWrap/>
            <w:vAlign w:val="center"/>
            <w:hideMark/>
          </w:tcPr>
          <w:p w14:paraId="432961BE" w14:textId="77777777" w:rsidR="00EF3F11" w:rsidRPr="00D97953" w:rsidRDefault="00EF3F11" w:rsidP="00EF3F11">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D97953">
              <w:rPr>
                <w:rFonts w:ascii="Times New Roman" w:eastAsia="Times New Roman" w:hAnsi="Times New Roman" w:cs="Times New Roman"/>
                <w:color w:val="000000"/>
                <w:kern w:val="0"/>
                <w:sz w:val="16"/>
                <w:szCs w:val="16"/>
                <w:lang w:eastAsia="en-IN"/>
                <w14:ligatures w14:val="none"/>
              </w:rPr>
              <w:t>..</w:t>
            </w:r>
          </w:p>
        </w:tc>
        <w:tc>
          <w:tcPr>
            <w:tcW w:w="611" w:type="dxa"/>
            <w:tcBorders>
              <w:top w:val="nil"/>
              <w:left w:val="nil"/>
              <w:bottom w:val="single" w:sz="4" w:space="0" w:color="auto"/>
              <w:right w:val="single" w:sz="4" w:space="0" w:color="auto"/>
            </w:tcBorders>
            <w:noWrap/>
            <w:vAlign w:val="center"/>
            <w:hideMark/>
          </w:tcPr>
          <w:p w14:paraId="2597A0CC" w14:textId="77777777" w:rsidR="00EF3F11" w:rsidRPr="00D97953" w:rsidRDefault="00EF3F11" w:rsidP="00EF3F11">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D97953">
              <w:rPr>
                <w:rFonts w:ascii="Times New Roman" w:eastAsia="Times New Roman" w:hAnsi="Times New Roman" w:cs="Times New Roman"/>
                <w:color w:val="000000"/>
                <w:kern w:val="0"/>
                <w:sz w:val="16"/>
                <w:szCs w:val="16"/>
                <w:lang w:eastAsia="en-IN"/>
                <w14:ligatures w14:val="none"/>
              </w:rPr>
              <w:t>20.00</w:t>
            </w:r>
          </w:p>
        </w:tc>
        <w:tc>
          <w:tcPr>
            <w:tcW w:w="1728" w:type="dxa"/>
            <w:tcBorders>
              <w:top w:val="nil"/>
              <w:left w:val="nil"/>
              <w:bottom w:val="single" w:sz="4" w:space="0" w:color="auto"/>
              <w:right w:val="single" w:sz="4" w:space="0" w:color="auto"/>
            </w:tcBorders>
            <w:noWrap/>
            <w:vAlign w:val="center"/>
            <w:hideMark/>
          </w:tcPr>
          <w:p w14:paraId="450085BB" w14:textId="77777777" w:rsidR="00EF3F11" w:rsidRPr="00D97953" w:rsidRDefault="00EF3F11" w:rsidP="00EF3F11">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D97953">
              <w:rPr>
                <w:rFonts w:ascii="Times New Roman" w:eastAsia="Times New Roman" w:hAnsi="Times New Roman" w:cs="Times New Roman"/>
                <w:color w:val="000000"/>
                <w:kern w:val="0"/>
                <w:sz w:val="16"/>
                <w:szCs w:val="16"/>
                <w:lang w:eastAsia="en-IN"/>
                <w14:ligatures w14:val="none"/>
              </w:rPr>
              <w:t>60.00</w:t>
            </w:r>
          </w:p>
        </w:tc>
        <w:tc>
          <w:tcPr>
            <w:tcW w:w="948" w:type="dxa"/>
            <w:tcBorders>
              <w:top w:val="nil"/>
              <w:left w:val="nil"/>
              <w:bottom w:val="single" w:sz="4" w:space="0" w:color="auto"/>
              <w:right w:val="single" w:sz="4" w:space="0" w:color="auto"/>
            </w:tcBorders>
            <w:noWrap/>
            <w:vAlign w:val="center"/>
            <w:hideMark/>
          </w:tcPr>
          <w:p w14:paraId="401725AF" w14:textId="77777777" w:rsidR="00EF3F11" w:rsidRPr="00D97953" w:rsidRDefault="00EF3F11" w:rsidP="00EF3F11">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D97953">
              <w:rPr>
                <w:rFonts w:ascii="Times New Roman" w:eastAsia="Times New Roman" w:hAnsi="Times New Roman" w:cs="Times New Roman"/>
                <w:color w:val="000000"/>
                <w:kern w:val="0"/>
                <w:sz w:val="16"/>
                <w:szCs w:val="16"/>
                <w:lang w:eastAsia="en-IN"/>
                <w14:ligatures w14:val="none"/>
              </w:rPr>
              <w:t>..</w:t>
            </w:r>
          </w:p>
        </w:tc>
        <w:tc>
          <w:tcPr>
            <w:tcW w:w="610" w:type="dxa"/>
            <w:tcBorders>
              <w:top w:val="nil"/>
              <w:left w:val="nil"/>
              <w:bottom w:val="single" w:sz="4" w:space="0" w:color="auto"/>
              <w:right w:val="single" w:sz="4" w:space="0" w:color="auto"/>
            </w:tcBorders>
            <w:noWrap/>
            <w:vAlign w:val="center"/>
            <w:hideMark/>
          </w:tcPr>
          <w:p w14:paraId="530D80BE" w14:textId="77777777" w:rsidR="00EF3F11" w:rsidRPr="00D97953" w:rsidRDefault="00EF3F11" w:rsidP="00EF3F11">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D97953">
              <w:rPr>
                <w:rFonts w:ascii="Times New Roman" w:eastAsia="Times New Roman" w:hAnsi="Times New Roman" w:cs="Times New Roman"/>
                <w:color w:val="000000"/>
                <w:kern w:val="0"/>
                <w:sz w:val="16"/>
                <w:szCs w:val="16"/>
                <w:lang w:eastAsia="en-IN"/>
                <w14:ligatures w14:val="none"/>
              </w:rPr>
              <w:t>60.00</w:t>
            </w:r>
          </w:p>
        </w:tc>
        <w:tc>
          <w:tcPr>
            <w:tcW w:w="1728" w:type="dxa"/>
            <w:tcBorders>
              <w:top w:val="nil"/>
              <w:left w:val="nil"/>
              <w:bottom w:val="single" w:sz="4" w:space="0" w:color="auto"/>
              <w:right w:val="single" w:sz="4" w:space="0" w:color="auto"/>
            </w:tcBorders>
            <w:noWrap/>
            <w:vAlign w:val="center"/>
            <w:hideMark/>
          </w:tcPr>
          <w:p w14:paraId="4810CE84" w14:textId="77777777" w:rsidR="00EF3F11" w:rsidRPr="00D97953" w:rsidRDefault="00EF3F11" w:rsidP="00EF3F11">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D97953">
              <w:rPr>
                <w:rFonts w:ascii="Times New Roman" w:eastAsia="Times New Roman" w:hAnsi="Times New Roman" w:cs="Times New Roman"/>
                <w:color w:val="000000"/>
                <w:kern w:val="0"/>
                <w:sz w:val="16"/>
                <w:szCs w:val="16"/>
                <w:lang w:eastAsia="en-IN"/>
                <w14:ligatures w14:val="none"/>
              </w:rPr>
              <w:t>20.00</w:t>
            </w:r>
          </w:p>
        </w:tc>
        <w:tc>
          <w:tcPr>
            <w:tcW w:w="948" w:type="dxa"/>
            <w:tcBorders>
              <w:top w:val="nil"/>
              <w:left w:val="nil"/>
              <w:bottom w:val="single" w:sz="4" w:space="0" w:color="auto"/>
              <w:right w:val="single" w:sz="4" w:space="0" w:color="auto"/>
            </w:tcBorders>
            <w:noWrap/>
            <w:vAlign w:val="center"/>
            <w:hideMark/>
          </w:tcPr>
          <w:p w14:paraId="47CF8175" w14:textId="77777777" w:rsidR="00EF3F11" w:rsidRPr="00D97953" w:rsidRDefault="00EF3F11" w:rsidP="00EF3F11">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D97953">
              <w:rPr>
                <w:rFonts w:ascii="Times New Roman" w:eastAsia="Times New Roman" w:hAnsi="Times New Roman" w:cs="Times New Roman"/>
                <w:color w:val="000000"/>
                <w:kern w:val="0"/>
                <w:sz w:val="16"/>
                <w:szCs w:val="16"/>
                <w:lang w:eastAsia="en-IN"/>
                <w14:ligatures w14:val="none"/>
              </w:rPr>
              <w:t>..</w:t>
            </w:r>
          </w:p>
        </w:tc>
        <w:tc>
          <w:tcPr>
            <w:tcW w:w="608" w:type="dxa"/>
            <w:tcBorders>
              <w:top w:val="nil"/>
              <w:left w:val="nil"/>
              <w:bottom w:val="single" w:sz="4" w:space="0" w:color="auto"/>
              <w:right w:val="single" w:sz="4" w:space="0" w:color="auto"/>
            </w:tcBorders>
            <w:noWrap/>
            <w:vAlign w:val="center"/>
            <w:hideMark/>
          </w:tcPr>
          <w:p w14:paraId="7EA647BB" w14:textId="77777777" w:rsidR="00EF3F11" w:rsidRPr="00D97953" w:rsidRDefault="00EF3F11" w:rsidP="00EF3F11">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D97953">
              <w:rPr>
                <w:rFonts w:ascii="Times New Roman" w:eastAsia="Times New Roman" w:hAnsi="Times New Roman" w:cs="Times New Roman"/>
                <w:color w:val="000000"/>
                <w:kern w:val="0"/>
                <w:sz w:val="16"/>
                <w:szCs w:val="16"/>
                <w:lang w:eastAsia="en-IN"/>
                <w14:ligatures w14:val="none"/>
              </w:rPr>
              <w:t>20.00</w:t>
            </w:r>
          </w:p>
        </w:tc>
      </w:tr>
      <w:tr w:rsidR="00EF3F11" w:rsidRPr="00D97953" w14:paraId="552151A2" w14:textId="77777777" w:rsidTr="00D97953">
        <w:trPr>
          <w:gridAfter w:val="1"/>
          <w:wAfter w:w="15" w:type="dxa"/>
          <w:trHeight w:val="20"/>
          <w:jc w:val="center"/>
        </w:trPr>
        <w:tc>
          <w:tcPr>
            <w:tcW w:w="2464" w:type="dxa"/>
            <w:tcBorders>
              <w:top w:val="nil"/>
              <w:left w:val="single" w:sz="4" w:space="0" w:color="auto"/>
              <w:bottom w:val="single" w:sz="4" w:space="0" w:color="auto"/>
              <w:right w:val="single" w:sz="4" w:space="0" w:color="auto"/>
            </w:tcBorders>
            <w:noWrap/>
            <w:vAlign w:val="center"/>
            <w:hideMark/>
          </w:tcPr>
          <w:p w14:paraId="77DA0EC4" w14:textId="77777777" w:rsidR="00EF3F11" w:rsidRPr="00D97953" w:rsidRDefault="00EF3F11" w:rsidP="00EF3F11">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D97953">
              <w:rPr>
                <w:rFonts w:ascii="Times New Roman" w:eastAsia="Times New Roman" w:hAnsi="Times New Roman" w:cs="Times New Roman"/>
                <w:color w:val="000000"/>
                <w:kern w:val="0"/>
                <w:sz w:val="16"/>
                <w:szCs w:val="16"/>
                <w:lang w:eastAsia="en-IN"/>
                <w14:ligatures w14:val="none"/>
              </w:rPr>
              <w:t>(b) Rest</w:t>
            </w:r>
          </w:p>
        </w:tc>
        <w:tc>
          <w:tcPr>
            <w:tcW w:w="608" w:type="dxa"/>
            <w:tcBorders>
              <w:top w:val="nil"/>
              <w:left w:val="nil"/>
              <w:bottom w:val="single" w:sz="4" w:space="0" w:color="auto"/>
              <w:right w:val="single" w:sz="4" w:space="0" w:color="auto"/>
            </w:tcBorders>
            <w:noWrap/>
            <w:vAlign w:val="center"/>
            <w:hideMark/>
          </w:tcPr>
          <w:p w14:paraId="03757AA8" w14:textId="77777777" w:rsidR="00EF3F11" w:rsidRPr="00D97953" w:rsidRDefault="00EF3F11" w:rsidP="00EF3F11">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D97953">
              <w:rPr>
                <w:rFonts w:ascii="Times New Roman" w:eastAsia="Times New Roman" w:hAnsi="Times New Roman" w:cs="Times New Roman"/>
                <w:color w:val="000000"/>
                <w:kern w:val="0"/>
                <w:sz w:val="16"/>
                <w:szCs w:val="16"/>
                <w:lang w:eastAsia="en-IN"/>
                <w14:ligatures w14:val="none"/>
              </w:rPr>
              <w:t>70.00</w:t>
            </w:r>
          </w:p>
        </w:tc>
        <w:tc>
          <w:tcPr>
            <w:tcW w:w="948" w:type="dxa"/>
            <w:tcBorders>
              <w:top w:val="nil"/>
              <w:left w:val="nil"/>
              <w:bottom w:val="single" w:sz="4" w:space="0" w:color="auto"/>
              <w:right w:val="single" w:sz="4" w:space="0" w:color="auto"/>
            </w:tcBorders>
            <w:noWrap/>
            <w:vAlign w:val="center"/>
            <w:hideMark/>
          </w:tcPr>
          <w:p w14:paraId="4CEF1F7A" w14:textId="77777777" w:rsidR="00EF3F11" w:rsidRPr="00D97953" w:rsidRDefault="00EF3F11" w:rsidP="00EF3F11">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D97953">
              <w:rPr>
                <w:rFonts w:ascii="Times New Roman" w:eastAsia="Times New Roman" w:hAnsi="Times New Roman" w:cs="Times New Roman"/>
                <w:color w:val="000000"/>
                <w:kern w:val="0"/>
                <w:sz w:val="16"/>
                <w:szCs w:val="16"/>
                <w:lang w:eastAsia="en-IN"/>
                <w14:ligatures w14:val="none"/>
              </w:rPr>
              <w:t>..</w:t>
            </w:r>
          </w:p>
        </w:tc>
        <w:tc>
          <w:tcPr>
            <w:tcW w:w="610" w:type="dxa"/>
            <w:tcBorders>
              <w:top w:val="nil"/>
              <w:left w:val="nil"/>
              <w:bottom w:val="single" w:sz="4" w:space="0" w:color="auto"/>
              <w:right w:val="single" w:sz="4" w:space="0" w:color="auto"/>
            </w:tcBorders>
            <w:noWrap/>
            <w:vAlign w:val="center"/>
            <w:hideMark/>
          </w:tcPr>
          <w:p w14:paraId="0C9757C0" w14:textId="77777777" w:rsidR="00EF3F11" w:rsidRPr="00D97953" w:rsidRDefault="00EF3F11" w:rsidP="00EF3F11">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D97953">
              <w:rPr>
                <w:rFonts w:ascii="Times New Roman" w:eastAsia="Times New Roman" w:hAnsi="Times New Roman" w:cs="Times New Roman"/>
                <w:color w:val="000000"/>
                <w:kern w:val="0"/>
                <w:sz w:val="16"/>
                <w:szCs w:val="16"/>
                <w:lang w:eastAsia="en-IN"/>
                <w14:ligatures w14:val="none"/>
              </w:rPr>
              <w:t>70.00</w:t>
            </w:r>
          </w:p>
        </w:tc>
        <w:tc>
          <w:tcPr>
            <w:tcW w:w="1728" w:type="dxa"/>
            <w:tcBorders>
              <w:top w:val="nil"/>
              <w:left w:val="nil"/>
              <w:bottom w:val="single" w:sz="4" w:space="0" w:color="auto"/>
              <w:right w:val="single" w:sz="4" w:space="0" w:color="auto"/>
            </w:tcBorders>
            <w:noWrap/>
            <w:vAlign w:val="center"/>
            <w:hideMark/>
          </w:tcPr>
          <w:p w14:paraId="250E1EB8" w14:textId="77777777" w:rsidR="00EF3F11" w:rsidRPr="00D97953" w:rsidRDefault="00EF3F11" w:rsidP="00EF3F11">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D97953">
              <w:rPr>
                <w:rFonts w:ascii="Times New Roman" w:eastAsia="Times New Roman" w:hAnsi="Times New Roman" w:cs="Times New Roman"/>
                <w:color w:val="000000"/>
                <w:kern w:val="0"/>
                <w:sz w:val="16"/>
                <w:szCs w:val="16"/>
                <w:lang w:eastAsia="en-IN"/>
                <w14:ligatures w14:val="none"/>
              </w:rPr>
              <w:t>20.00</w:t>
            </w:r>
          </w:p>
        </w:tc>
        <w:tc>
          <w:tcPr>
            <w:tcW w:w="948" w:type="dxa"/>
            <w:tcBorders>
              <w:top w:val="nil"/>
              <w:left w:val="nil"/>
              <w:bottom w:val="single" w:sz="4" w:space="0" w:color="auto"/>
              <w:right w:val="single" w:sz="4" w:space="0" w:color="auto"/>
            </w:tcBorders>
            <w:noWrap/>
            <w:vAlign w:val="center"/>
            <w:hideMark/>
          </w:tcPr>
          <w:p w14:paraId="29BD34A3" w14:textId="77777777" w:rsidR="00EF3F11" w:rsidRPr="00D97953" w:rsidRDefault="00EF3F11" w:rsidP="00EF3F11">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D97953">
              <w:rPr>
                <w:rFonts w:ascii="Times New Roman" w:eastAsia="Times New Roman" w:hAnsi="Times New Roman" w:cs="Times New Roman"/>
                <w:color w:val="000000"/>
                <w:kern w:val="0"/>
                <w:sz w:val="16"/>
                <w:szCs w:val="16"/>
                <w:lang w:eastAsia="en-IN"/>
                <w14:ligatures w14:val="none"/>
              </w:rPr>
              <w:t>..</w:t>
            </w:r>
          </w:p>
        </w:tc>
        <w:tc>
          <w:tcPr>
            <w:tcW w:w="611" w:type="dxa"/>
            <w:tcBorders>
              <w:top w:val="nil"/>
              <w:left w:val="nil"/>
              <w:bottom w:val="single" w:sz="4" w:space="0" w:color="auto"/>
              <w:right w:val="single" w:sz="4" w:space="0" w:color="auto"/>
            </w:tcBorders>
            <w:noWrap/>
            <w:vAlign w:val="center"/>
            <w:hideMark/>
          </w:tcPr>
          <w:p w14:paraId="5A99291B" w14:textId="77777777" w:rsidR="00EF3F11" w:rsidRPr="00D97953" w:rsidRDefault="00EF3F11" w:rsidP="00EF3F11">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D97953">
              <w:rPr>
                <w:rFonts w:ascii="Times New Roman" w:eastAsia="Times New Roman" w:hAnsi="Times New Roman" w:cs="Times New Roman"/>
                <w:color w:val="000000"/>
                <w:kern w:val="0"/>
                <w:sz w:val="16"/>
                <w:szCs w:val="16"/>
                <w:lang w:eastAsia="en-IN"/>
                <w14:ligatures w14:val="none"/>
              </w:rPr>
              <w:t>20.00</w:t>
            </w:r>
          </w:p>
        </w:tc>
        <w:tc>
          <w:tcPr>
            <w:tcW w:w="1728" w:type="dxa"/>
            <w:tcBorders>
              <w:top w:val="nil"/>
              <w:left w:val="nil"/>
              <w:bottom w:val="single" w:sz="4" w:space="0" w:color="auto"/>
              <w:right w:val="single" w:sz="4" w:space="0" w:color="auto"/>
            </w:tcBorders>
            <w:noWrap/>
            <w:vAlign w:val="center"/>
            <w:hideMark/>
          </w:tcPr>
          <w:p w14:paraId="40CACD1F" w14:textId="77777777" w:rsidR="00EF3F11" w:rsidRPr="00D97953" w:rsidRDefault="00EF3F11" w:rsidP="00EF3F11">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D97953">
              <w:rPr>
                <w:rFonts w:ascii="Times New Roman" w:eastAsia="Times New Roman" w:hAnsi="Times New Roman" w:cs="Times New Roman"/>
                <w:color w:val="000000"/>
                <w:kern w:val="0"/>
                <w:sz w:val="16"/>
                <w:szCs w:val="16"/>
                <w:lang w:eastAsia="en-IN"/>
                <w14:ligatures w14:val="none"/>
              </w:rPr>
              <w:t>70.00</w:t>
            </w:r>
          </w:p>
        </w:tc>
        <w:tc>
          <w:tcPr>
            <w:tcW w:w="948" w:type="dxa"/>
            <w:tcBorders>
              <w:top w:val="nil"/>
              <w:left w:val="nil"/>
              <w:bottom w:val="single" w:sz="4" w:space="0" w:color="auto"/>
              <w:right w:val="single" w:sz="4" w:space="0" w:color="auto"/>
            </w:tcBorders>
            <w:noWrap/>
            <w:vAlign w:val="center"/>
            <w:hideMark/>
          </w:tcPr>
          <w:p w14:paraId="3F2BEFB6" w14:textId="77777777" w:rsidR="00EF3F11" w:rsidRPr="00D97953" w:rsidRDefault="00EF3F11" w:rsidP="00EF3F11">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D97953">
              <w:rPr>
                <w:rFonts w:ascii="Times New Roman" w:eastAsia="Times New Roman" w:hAnsi="Times New Roman" w:cs="Times New Roman"/>
                <w:color w:val="000000"/>
                <w:kern w:val="0"/>
                <w:sz w:val="16"/>
                <w:szCs w:val="16"/>
                <w:lang w:eastAsia="en-IN"/>
                <w14:ligatures w14:val="none"/>
              </w:rPr>
              <w:t>..</w:t>
            </w:r>
          </w:p>
        </w:tc>
        <w:tc>
          <w:tcPr>
            <w:tcW w:w="610" w:type="dxa"/>
            <w:tcBorders>
              <w:top w:val="nil"/>
              <w:left w:val="nil"/>
              <w:bottom w:val="single" w:sz="4" w:space="0" w:color="auto"/>
              <w:right w:val="single" w:sz="4" w:space="0" w:color="auto"/>
            </w:tcBorders>
            <w:noWrap/>
            <w:vAlign w:val="center"/>
            <w:hideMark/>
          </w:tcPr>
          <w:p w14:paraId="1397DD9B" w14:textId="77777777" w:rsidR="00EF3F11" w:rsidRPr="00D97953" w:rsidRDefault="00EF3F11" w:rsidP="00EF3F11">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D97953">
              <w:rPr>
                <w:rFonts w:ascii="Times New Roman" w:eastAsia="Times New Roman" w:hAnsi="Times New Roman" w:cs="Times New Roman"/>
                <w:color w:val="000000"/>
                <w:kern w:val="0"/>
                <w:sz w:val="16"/>
                <w:szCs w:val="16"/>
                <w:lang w:eastAsia="en-IN"/>
                <w14:ligatures w14:val="none"/>
              </w:rPr>
              <w:t>70.00</w:t>
            </w:r>
          </w:p>
        </w:tc>
        <w:tc>
          <w:tcPr>
            <w:tcW w:w="1728" w:type="dxa"/>
            <w:tcBorders>
              <w:top w:val="nil"/>
              <w:left w:val="nil"/>
              <w:bottom w:val="single" w:sz="4" w:space="0" w:color="auto"/>
              <w:right w:val="single" w:sz="4" w:space="0" w:color="auto"/>
            </w:tcBorders>
            <w:noWrap/>
            <w:vAlign w:val="center"/>
            <w:hideMark/>
          </w:tcPr>
          <w:p w14:paraId="441D3789" w14:textId="77777777" w:rsidR="00EF3F11" w:rsidRPr="00D97953" w:rsidRDefault="00EF3F11" w:rsidP="00EF3F11">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D97953">
              <w:rPr>
                <w:rFonts w:ascii="Times New Roman" w:eastAsia="Times New Roman" w:hAnsi="Times New Roman" w:cs="Times New Roman"/>
                <w:color w:val="000000"/>
                <w:kern w:val="0"/>
                <w:sz w:val="16"/>
                <w:szCs w:val="16"/>
                <w:lang w:eastAsia="en-IN"/>
                <w14:ligatures w14:val="none"/>
              </w:rPr>
              <w:t>20.00</w:t>
            </w:r>
          </w:p>
        </w:tc>
        <w:tc>
          <w:tcPr>
            <w:tcW w:w="948" w:type="dxa"/>
            <w:tcBorders>
              <w:top w:val="nil"/>
              <w:left w:val="nil"/>
              <w:bottom w:val="single" w:sz="4" w:space="0" w:color="auto"/>
              <w:right w:val="single" w:sz="4" w:space="0" w:color="auto"/>
            </w:tcBorders>
            <w:noWrap/>
            <w:vAlign w:val="center"/>
            <w:hideMark/>
          </w:tcPr>
          <w:p w14:paraId="2FE84D66" w14:textId="77777777" w:rsidR="00EF3F11" w:rsidRPr="00D97953" w:rsidRDefault="00EF3F11" w:rsidP="00EF3F11">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D97953">
              <w:rPr>
                <w:rFonts w:ascii="Times New Roman" w:eastAsia="Times New Roman" w:hAnsi="Times New Roman" w:cs="Times New Roman"/>
                <w:color w:val="000000"/>
                <w:kern w:val="0"/>
                <w:sz w:val="16"/>
                <w:szCs w:val="16"/>
                <w:lang w:eastAsia="en-IN"/>
                <w14:ligatures w14:val="none"/>
              </w:rPr>
              <w:t>..</w:t>
            </w:r>
          </w:p>
        </w:tc>
        <w:tc>
          <w:tcPr>
            <w:tcW w:w="608" w:type="dxa"/>
            <w:tcBorders>
              <w:top w:val="nil"/>
              <w:left w:val="nil"/>
              <w:bottom w:val="single" w:sz="4" w:space="0" w:color="auto"/>
              <w:right w:val="single" w:sz="4" w:space="0" w:color="auto"/>
            </w:tcBorders>
            <w:noWrap/>
            <w:vAlign w:val="center"/>
            <w:hideMark/>
          </w:tcPr>
          <w:p w14:paraId="7DEE1898" w14:textId="77777777" w:rsidR="00EF3F11" w:rsidRPr="00D97953" w:rsidRDefault="00EF3F11" w:rsidP="00EF3F11">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D97953">
              <w:rPr>
                <w:rFonts w:ascii="Times New Roman" w:eastAsia="Times New Roman" w:hAnsi="Times New Roman" w:cs="Times New Roman"/>
                <w:color w:val="000000"/>
                <w:kern w:val="0"/>
                <w:sz w:val="16"/>
                <w:szCs w:val="16"/>
                <w:lang w:eastAsia="en-IN"/>
                <w14:ligatures w14:val="none"/>
              </w:rPr>
              <w:t>20.00</w:t>
            </w:r>
          </w:p>
        </w:tc>
      </w:tr>
      <w:tr w:rsidR="00EF3F11" w:rsidRPr="00D97953" w14:paraId="3D92A82D" w14:textId="77777777" w:rsidTr="00D97953">
        <w:trPr>
          <w:gridAfter w:val="1"/>
          <w:wAfter w:w="15" w:type="dxa"/>
          <w:trHeight w:val="20"/>
          <w:jc w:val="center"/>
        </w:trPr>
        <w:tc>
          <w:tcPr>
            <w:tcW w:w="2464" w:type="dxa"/>
            <w:tcBorders>
              <w:top w:val="nil"/>
              <w:left w:val="single" w:sz="4" w:space="0" w:color="auto"/>
              <w:bottom w:val="single" w:sz="4" w:space="0" w:color="auto"/>
              <w:right w:val="single" w:sz="4" w:space="0" w:color="auto"/>
            </w:tcBorders>
            <w:noWrap/>
            <w:vAlign w:val="center"/>
            <w:hideMark/>
          </w:tcPr>
          <w:p w14:paraId="7A45A5E4" w14:textId="77777777" w:rsidR="00EF3F11" w:rsidRPr="00D97953" w:rsidRDefault="00EF3F11" w:rsidP="00EF3F11">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D97953">
              <w:rPr>
                <w:rFonts w:ascii="Times New Roman" w:eastAsia="Times New Roman" w:hAnsi="Times New Roman" w:cs="Times New Roman"/>
                <w:color w:val="000000"/>
                <w:kern w:val="0"/>
                <w:sz w:val="16"/>
                <w:szCs w:val="16"/>
                <w:lang w:eastAsia="en-IN"/>
                <w14:ligatures w14:val="none"/>
              </w:rPr>
              <w:t>12. Orissa</w:t>
            </w:r>
          </w:p>
        </w:tc>
        <w:tc>
          <w:tcPr>
            <w:tcW w:w="608" w:type="dxa"/>
            <w:tcBorders>
              <w:top w:val="nil"/>
              <w:left w:val="nil"/>
              <w:bottom w:val="single" w:sz="4" w:space="0" w:color="auto"/>
              <w:right w:val="single" w:sz="4" w:space="0" w:color="auto"/>
            </w:tcBorders>
            <w:noWrap/>
            <w:vAlign w:val="center"/>
            <w:hideMark/>
          </w:tcPr>
          <w:p w14:paraId="5CFA0733" w14:textId="77777777" w:rsidR="00EF3F11" w:rsidRPr="00D97953" w:rsidRDefault="00EF3F11" w:rsidP="00EF3F11">
            <w:pPr>
              <w:spacing w:after="0" w:line="240" w:lineRule="auto"/>
              <w:rPr>
                <w:rFonts w:ascii="Aptos" w:eastAsia="Times New Roman" w:hAnsi="Aptos" w:cs="Times New Roman"/>
                <w:color w:val="000000"/>
                <w:kern w:val="0"/>
                <w:sz w:val="16"/>
                <w:szCs w:val="16"/>
                <w:lang w:eastAsia="en-IN"/>
                <w14:ligatures w14:val="none"/>
              </w:rPr>
            </w:pPr>
            <w:r w:rsidRPr="00D97953">
              <w:rPr>
                <w:rFonts w:ascii="Aptos" w:eastAsia="Times New Roman" w:hAnsi="Aptos" w:cs="Times New Roman"/>
                <w:color w:val="000000"/>
                <w:kern w:val="0"/>
                <w:sz w:val="16"/>
                <w:szCs w:val="16"/>
                <w:lang w:eastAsia="en-IN"/>
                <w14:ligatures w14:val="none"/>
              </w:rPr>
              <w:t> </w:t>
            </w:r>
          </w:p>
        </w:tc>
        <w:tc>
          <w:tcPr>
            <w:tcW w:w="948" w:type="dxa"/>
            <w:tcBorders>
              <w:top w:val="nil"/>
              <w:left w:val="nil"/>
              <w:bottom w:val="single" w:sz="4" w:space="0" w:color="auto"/>
              <w:right w:val="single" w:sz="4" w:space="0" w:color="auto"/>
            </w:tcBorders>
            <w:noWrap/>
            <w:vAlign w:val="center"/>
            <w:hideMark/>
          </w:tcPr>
          <w:p w14:paraId="7EF3149A" w14:textId="77777777" w:rsidR="00EF3F11" w:rsidRPr="00D97953" w:rsidRDefault="00EF3F11" w:rsidP="00EF3F11">
            <w:pPr>
              <w:spacing w:after="0" w:line="240" w:lineRule="auto"/>
              <w:rPr>
                <w:rFonts w:ascii="Aptos" w:eastAsia="Times New Roman" w:hAnsi="Aptos" w:cs="Times New Roman"/>
                <w:color w:val="000000"/>
                <w:kern w:val="0"/>
                <w:sz w:val="16"/>
                <w:szCs w:val="16"/>
                <w:lang w:eastAsia="en-IN"/>
                <w14:ligatures w14:val="none"/>
              </w:rPr>
            </w:pPr>
            <w:r w:rsidRPr="00D97953">
              <w:rPr>
                <w:rFonts w:ascii="Aptos" w:eastAsia="Times New Roman" w:hAnsi="Aptos" w:cs="Times New Roman"/>
                <w:color w:val="000000"/>
                <w:kern w:val="0"/>
                <w:sz w:val="16"/>
                <w:szCs w:val="16"/>
                <w:lang w:eastAsia="en-IN"/>
                <w14:ligatures w14:val="none"/>
              </w:rPr>
              <w:t> </w:t>
            </w:r>
          </w:p>
        </w:tc>
        <w:tc>
          <w:tcPr>
            <w:tcW w:w="610" w:type="dxa"/>
            <w:tcBorders>
              <w:top w:val="nil"/>
              <w:left w:val="nil"/>
              <w:bottom w:val="single" w:sz="4" w:space="0" w:color="auto"/>
              <w:right w:val="single" w:sz="4" w:space="0" w:color="auto"/>
            </w:tcBorders>
            <w:noWrap/>
            <w:vAlign w:val="center"/>
            <w:hideMark/>
          </w:tcPr>
          <w:p w14:paraId="4E6A596C" w14:textId="77777777" w:rsidR="00EF3F11" w:rsidRPr="00D97953" w:rsidRDefault="00EF3F11" w:rsidP="00EF3F11">
            <w:pPr>
              <w:spacing w:after="0" w:line="240" w:lineRule="auto"/>
              <w:rPr>
                <w:rFonts w:ascii="Aptos" w:eastAsia="Times New Roman" w:hAnsi="Aptos" w:cs="Times New Roman"/>
                <w:color w:val="000000"/>
                <w:kern w:val="0"/>
                <w:sz w:val="16"/>
                <w:szCs w:val="16"/>
                <w:lang w:eastAsia="en-IN"/>
                <w14:ligatures w14:val="none"/>
              </w:rPr>
            </w:pPr>
            <w:r w:rsidRPr="00D97953">
              <w:rPr>
                <w:rFonts w:ascii="Aptos" w:eastAsia="Times New Roman" w:hAnsi="Aptos" w:cs="Times New Roman"/>
                <w:color w:val="000000"/>
                <w:kern w:val="0"/>
                <w:sz w:val="16"/>
                <w:szCs w:val="16"/>
                <w:lang w:eastAsia="en-IN"/>
                <w14:ligatures w14:val="none"/>
              </w:rPr>
              <w:t> </w:t>
            </w:r>
          </w:p>
        </w:tc>
        <w:tc>
          <w:tcPr>
            <w:tcW w:w="1728" w:type="dxa"/>
            <w:tcBorders>
              <w:top w:val="nil"/>
              <w:left w:val="nil"/>
              <w:bottom w:val="single" w:sz="4" w:space="0" w:color="auto"/>
              <w:right w:val="single" w:sz="4" w:space="0" w:color="auto"/>
            </w:tcBorders>
            <w:noWrap/>
            <w:vAlign w:val="center"/>
            <w:hideMark/>
          </w:tcPr>
          <w:p w14:paraId="60F55947" w14:textId="77777777" w:rsidR="00EF3F11" w:rsidRPr="00D97953" w:rsidRDefault="00EF3F11" w:rsidP="00EF3F11">
            <w:pPr>
              <w:spacing w:after="0" w:line="240" w:lineRule="auto"/>
              <w:rPr>
                <w:rFonts w:ascii="Aptos" w:eastAsia="Times New Roman" w:hAnsi="Aptos" w:cs="Times New Roman"/>
                <w:color w:val="000000"/>
                <w:kern w:val="0"/>
                <w:sz w:val="16"/>
                <w:szCs w:val="16"/>
                <w:lang w:eastAsia="en-IN"/>
                <w14:ligatures w14:val="none"/>
              </w:rPr>
            </w:pPr>
            <w:r w:rsidRPr="00D97953">
              <w:rPr>
                <w:rFonts w:ascii="Aptos" w:eastAsia="Times New Roman" w:hAnsi="Aptos" w:cs="Times New Roman"/>
                <w:color w:val="000000"/>
                <w:kern w:val="0"/>
                <w:sz w:val="16"/>
                <w:szCs w:val="16"/>
                <w:lang w:eastAsia="en-IN"/>
                <w14:ligatures w14:val="none"/>
              </w:rPr>
              <w:t> </w:t>
            </w:r>
          </w:p>
        </w:tc>
        <w:tc>
          <w:tcPr>
            <w:tcW w:w="948" w:type="dxa"/>
            <w:tcBorders>
              <w:top w:val="nil"/>
              <w:left w:val="nil"/>
              <w:bottom w:val="single" w:sz="4" w:space="0" w:color="auto"/>
              <w:right w:val="single" w:sz="4" w:space="0" w:color="auto"/>
            </w:tcBorders>
            <w:noWrap/>
            <w:vAlign w:val="center"/>
            <w:hideMark/>
          </w:tcPr>
          <w:p w14:paraId="3F6ED8DA" w14:textId="77777777" w:rsidR="00EF3F11" w:rsidRPr="00D97953" w:rsidRDefault="00EF3F11" w:rsidP="00EF3F11">
            <w:pPr>
              <w:spacing w:after="0" w:line="240" w:lineRule="auto"/>
              <w:rPr>
                <w:rFonts w:ascii="Aptos" w:eastAsia="Times New Roman" w:hAnsi="Aptos" w:cs="Times New Roman"/>
                <w:color w:val="000000"/>
                <w:kern w:val="0"/>
                <w:sz w:val="16"/>
                <w:szCs w:val="16"/>
                <w:lang w:eastAsia="en-IN"/>
                <w14:ligatures w14:val="none"/>
              </w:rPr>
            </w:pPr>
            <w:r w:rsidRPr="00D97953">
              <w:rPr>
                <w:rFonts w:ascii="Aptos" w:eastAsia="Times New Roman" w:hAnsi="Aptos" w:cs="Times New Roman"/>
                <w:color w:val="000000"/>
                <w:kern w:val="0"/>
                <w:sz w:val="16"/>
                <w:szCs w:val="16"/>
                <w:lang w:eastAsia="en-IN"/>
                <w14:ligatures w14:val="none"/>
              </w:rPr>
              <w:t> </w:t>
            </w:r>
          </w:p>
        </w:tc>
        <w:tc>
          <w:tcPr>
            <w:tcW w:w="611" w:type="dxa"/>
            <w:tcBorders>
              <w:top w:val="nil"/>
              <w:left w:val="nil"/>
              <w:bottom w:val="single" w:sz="4" w:space="0" w:color="auto"/>
              <w:right w:val="single" w:sz="4" w:space="0" w:color="auto"/>
            </w:tcBorders>
            <w:noWrap/>
            <w:vAlign w:val="center"/>
            <w:hideMark/>
          </w:tcPr>
          <w:p w14:paraId="1A81F7CB" w14:textId="77777777" w:rsidR="00EF3F11" w:rsidRPr="00D97953" w:rsidRDefault="00EF3F11" w:rsidP="00EF3F11">
            <w:pPr>
              <w:spacing w:after="0" w:line="240" w:lineRule="auto"/>
              <w:rPr>
                <w:rFonts w:ascii="Aptos" w:eastAsia="Times New Roman" w:hAnsi="Aptos" w:cs="Times New Roman"/>
                <w:color w:val="000000"/>
                <w:kern w:val="0"/>
                <w:sz w:val="16"/>
                <w:szCs w:val="16"/>
                <w:lang w:eastAsia="en-IN"/>
                <w14:ligatures w14:val="none"/>
              </w:rPr>
            </w:pPr>
            <w:r w:rsidRPr="00D97953">
              <w:rPr>
                <w:rFonts w:ascii="Aptos" w:eastAsia="Times New Roman" w:hAnsi="Aptos" w:cs="Times New Roman"/>
                <w:color w:val="000000"/>
                <w:kern w:val="0"/>
                <w:sz w:val="16"/>
                <w:szCs w:val="16"/>
                <w:lang w:eastAsia="en-IN"/>
                <w14:ligatures w14:val="none"/>
              </w:rPr>
              <w:t> </w:t>
            </w:r>
          </w:p>
        </w:tc>
        <w:tc>
          <w:tcPr>
            <w:tcW w:w="1728" w:type="dxa"/>
            <w:tcBorders>
              <w:top w:val="nil"/>
              <w:left w:val="nil"/>
              <w:bottom w:val="single" w:sz="4" w:space="0" w:color="auto"/>
              <w:right w:val="single" w:sz="4" w:space="0" w:color="auto"/>
            </w:tcBorders>
            <w:noWrap/>
            <w:vAlign w:val="center"/>
            <w:hideMark/>
          </w:tcPr>
          <w:p w14:paraId="070BDCFF" w14:textId="77777777" w:rsidR="00EF3F11" w:rsidRPr="00D97953" w:rsidRDefault="00EF3F11" w:rsidP="00EF3F11">
            <w:pPr>
              <w:spacing w:after="0" w:line="240" w:lineRule="auto"/>
              <w:rPr>
                <w:rFonts w:ascii="Aptos" w:eastAsia="Times New Roman" w:hAnsi="Aptos" w:cs="Times New Roman"/>
                <w:color w:val="000000"/>
                <w:kern w:val="0"/>
                <w:sz w:val="16"/>
                <w:szCs w:val="16"/>
                <w:lang w:eastAsia="en-IN"/>
                <w14:ligatures w14:val="none"/>
              </w:rPr>
            </w:pPr>
            <w:r w:rsidRPr="00D97953">
              <w:rPr>
                <w:rFonts w:ascii="Aptos" w:eastAsia="Times New Roman" w:hAnsi="Aptos" w:cs="Times New Roman"/>
                <w:color w:val="000000"/>
                <w:kern w:val="0"/>
                <w:sz w:val="16"/>
                <w:szCs w:val="16"/>
                <w:lang w:eastAsia="en-IN"/>
                <w14:ligatures w14:val="none"/>
              </w:rPr>
              <w:t> </w:t>
            </w:r>
          </w:p>
        </w:tc>
        <w:tc>
          <w:tcPr>
            <w:tcW w:w="948" w:type="dxa"/>
            <w:tcBorders>
              <w:top w:val="nil"/>
              <w:left w:val="nil"/>
              <w:bottom w:val="single" w:sz="4" w:space="0" w:color="auto"/>
              <w:right w:val="single" w:sz="4" w:space="0" w:color="auto"/>
            </w:tcBorders>
            <w:noWrap/>
            <w:vAlign w:val="center"/>
            <w:hideMark/>
          </w:tcPr>
          <w:p w14:paraId="6D29E997" w14:textId="77777777" w:rsidR="00EF3F11" w:rsidRPr="00D97953" w:rsidRDefault="00EF3F11" w:rsidP="00EF3F11">
            <w:pPr>
              <w:spacing w:after="0" w:line="240" w:lineRule="auto"/>
              <w:rPr>
                <w:rFonts w:ascii="Aptos" w:eastAsia="Times New Roman" w:hAnsi="Aptos" w:cs="Times New Roman"/>
                <w:color w:val="000000"/>
                <w:kern w:val="0"/>
                <w:sz w:val="16"/>
                <w:szCs w:val="16"/>
                <w:lang w:eastAsia="en-IN"/>
                <w14:ligatures w14:val="none"/>
              </w:rPr>
            </w:pPr>
            <w:r w:rsidRPr="00D97953">
              <w:rPr>
                <w:rFonts w:ascii="Aptos" w:eastAsia="Times New Roman" w:hAnsi="Aptos" w:cs="Times New Roman"/>
                <w:color w:val="000000"/>
                <w:kern w:val="0"/>
                <w:sz w:val="16"/>
                <w:szCs w:val="16"/>
                <w:lang w:eastAsia="en-IN"/>
                <w14:ligatures w14:val="none"/>
              </w:rPr>
              <w:t> </w:t>
            </w:r>
          </w:p>
        </w:tc>
        <w:tc>
          <w:tcPr>
            <w:tcW w:w="610" w:type="dxa"/>
            <w:tcBorders>
              <w:top w:val="nil"/>
              <w:left w:val="nil"/>
              <w:bottom w:val="single" w:sz="4" w:space="0" w:color="auto"/>
              <w:right w:val="single" w:sz="4" w:space="0" w:color="auto"/>
            </w:tcBorders>
            <w:noWrap/>
            <w:vAlign w:val="center"/>
            <w:hideMark/>
          </w:tcPr>
          <w:p w14:paraId="7BF34694" w14:textId="77777777" w:rsidR="00EF3F11" w:rsidRPr="00D97953" w:rsidRDefault="00EF3F11" w:rsidP="00EF3F11">
            <w:pPr>
              <w:spacing w:after="0" w:line="240" w:lineRule="auto"/>
              <w:rPr>
                <w:rFonts w:ascii="Aptos" w:eastAsia="Times New Roman" w:hAnsi="Aptos" w:cs="Times New Roman"/>
                <w:color w:val="000000"/>
                <w:kern w:val="0"/>
                <w:sz w:val="16"/>
                <w:szCs w:val="16"/>
                <w:lang w:eastAsia="en-IN"/>
                <w14:ligatures w14:val="none"/>
              </w:rPr>
            </w:pPr>
            <w:r w:rsidRPr="00D97953">
              <w:rPr>
                <w:rFonts w:ascii="Aptos" w:eastAsia="Times New Roman" w:hAnsi="Aptos" w:cs="Times New Roman"/>
                <w:color w:val="000000"/>
                <w:kern w:val="0"/>
                <w:sz w:val="16"/>
                <w:szCs w:val="16"/>
                <w:lang w:eastAsia="en-IN"/>
                <w14:ligatures w14:val="none"/>
              </w:rPr>
              <w:t> </w:t>
            </w:r>
          </w:p>
        </w:tc>
        <w:tc>
          <w:tcPr>
            <w:tcW w:w="1728" w:type="dxa"/>
            <w:tcBorders>
              <w:top w:val="nil"/>
              <w:left w:val="nil"/>
              <w:bottom w:val="single" w:sz="4" w:space="0" w:color="auto"/>
              <w:right w:val="single" w:sz="4" w:space="0" w:color="auto"/>
            </w:tcBorders>
            <w:noWrap/>
            <w:vAlign w:val="center"/>
            <w:hideMark/>
          </w:tcPr>
          <w:p w14:paraId="3EE79E5E" w14:textId="77777777" w:rsidR="00EF3F11" w:rsidRPr="00D97953" w:rsidRDefault="00EF3F11" w:rsidP="00EF3F11">
            <w:pPr>
              <w:spacing w:after="0" w:line="240" w:lineRule="auto"/>
              <w:rPr>
                <w:rFonts w:ascii="Aptos" w:eastAsia="Times New Roman" w:hAnsi="Aptos" w:cs="Times New Roman"/>
                <w:color w:val="000000"/>
                <w:kern w:val="0"/>
                <w:sz w:val="16"/>
                <w:szCs w:val="16"/>
                <w:lang w:eastAsia="en-IN"/>
                <w14:ligatures w14:val="none"/>
              </w:rPr>
            </w:pPr>
            <w:r w:rsidRPr="00D97953">
              <w:rPr>
                <w:rFonts w:ascii="Aptos" w:eastAsia="Times New Roman" w:hAnsi="Aptos" w:cs="Times New Roman"/>
                <w:color w:val="000000"/>
                <w:kern w:val="0"/>
                <w:sz w:val="16"/>
                <w:szCs w:val="16"/>
                <w:lang w:eastAsia="en-IN"/>
                <w14:ligatures w14:val="none"/>
              </w:rPr>
              <w:t> </w:t>
            </w:r>
          </w:p>
        </w:tc>
        <w:tc>
          <w:tcPr>
            <w:tcW w:w="948" w:type="dxa"/>
            <w:tcBorders>
              <w:top w:val="nil"/>
              <w:left w:val="nil"/>
              <w:bottom w:val="single" w:sz="4" w:space="0" w:color="auto"/>
              <w:right w:val="single" w:sz="4" w:space="0" w:color="auto"/>
            </w:tcBorders>
            <w:noWrap/>
            <w:vAlign w:val="center"/>
            <w:hideMark/>
          </w:tcPr>
          <w:p w14:paraId="56B346B3" w14:textId="77777777" w:rsidR="00EF3F11" w:rsidRPr="00D97953" w:rsidRDefault="00EF3F11" w:rsidP="00EF3F11">
            <w:pPr>
              <w:spacing w:after="0" w:line="240" w:lineRule="auto"/>
              <w:rPr>
                <w:rFonts w:ascii="Aptos" w:eastAsia="Times New Roman" w:hAnsi="Aptos" w:cs="Times New Roman"/>
                <w:color w:val="000000"/>
                <w:kern w:val="0"/>
                <w:sz w:val="16"/>
                <w:szCs w:val="16"/>
                <w:lang w:eastAsia="en-IN"/>
                <w14:ligatures w14:val="none"/>
              </w:rPr>
            </w:pPr>
            <w:r w:rsidRPr="00D97953">
              <w:rPr>
                <w:rFonts w:ascii="Aptos" w:eastAsia="Times New Roman" w:hAnsi="Aptos" w:cs="Times New Roman"/>
                <w:color w:val="000000"/>
                <w:kern w:val="0"/>
                <w:sz w:val="16"/>
                <w:szCs w:val="16"/>
                <w:lang w:eastAsia="en-IN"/>
                <w14:ligatures w14:val="none"/>
              </w:rPr>
              <w:t> </w:t>
            </w:r>
          </w:p>
        </w:tc>
        <w:tc>
          <w:tcPr>
            <w:tcW w:w="608" w:type="dxa"/>
            <w:tcBorders>
              <w:top w:val="nil"/>
              <w:left w:val="nil"/>
              <w:bottom w:val="single" w:sz="4" w:space="0" w:color="auto"/>
              <w:right w:val="single" w:sz="4" w:space="0" w:color="auto"/>
            </w:tcBorders>
            <w:noWrap/>
            <w:vAlign w:val="center"/>
            <w:hideMark/>
          </w:tcPr>
          <w:p w14:paraId="36AC36F7" w14:textId="77777777" w:rsidR="00EF3F11" w:rsidRPr="00D97953" w:rsidRDefault="00EF3F11" w:rsidP="00EF3F11">
            <w:pPr>
              <w:spacing w:after="0" w:line="240" w:lineRule="auto"/>
              <w:rPr>
                <w:rFonts w:ascii="Aptos" w:eastAsia="Times New Roman" w:hAnsi="Aptos" w:cs="Times New Roman"/>
                <w:color w:val="000000"/>
                <w:kern w:val="0"/>
                <w:sz w:val="16"/>
                <w:szCs w:val="16"/>
                <w:lang w:eastAsia="en-IN"/>
                <w14:ligatures w14:val="none"/>
              </w:rPr>
            </w:pPr>
            <w:r w:rsidRPr="00D97953">
              <w:rPr>
                <w:rFonts w:ascii="Aptos" w:eastAsia="Times New Roman" w:hAnsi="Aptos" w:cs="Times New Roman"/>
                <w:color w:val="000000"/>
                <w:kern w:val="0"/>
                <w:sz w:val="16"/>
                <w:szCs w:val="16"/>
                <w:lang w:eastAsia="en-IN"/>
                <w14:ligatures w14:val="none"/>
              </w:rPr>
              <w:t> </w:t>
            </w:r>
          </w:p>
        </w:tc>
      </w:tr>
      <w:tr w:rsidR="00EF3F11" w:rsidRPr="00D97953" w14:paraId="25B58BBA" w14:textId="77777777" w:rsidTr="00D97953">
        <w:trPr>
          <w:gridAfter w:val="1"/>
          <w:wAfter w:w="15" w:type="dxa"/>
          <w:trHeight w:val="20"/>
          <w:jc w:val="center"/>
        </w:trPr>
        <w:tc>
          <w:tcPr>
            <w:tcW w:w="2464" w:type="dxa"/>
            <w:tcBorders>
              <w:top w:val="nil"/>
              <w:left w:val="single" w:sz="4" w:space="0" w:color="auto"/>
              <w:bottom w:val="single" w:sz="4" w:space="0" w:color="auto"/>
              <w:right w:val="single" w:sz="4" w:space="0" w:color="auto"/>
            </w:tcBorders>
            <w:noWrap/>
            <w:vAlign w:val="center"/>
            <w:hideMark/>
          </w:tcPr>
          <w:p w14:paraId="3E4AADF9" w14:textId="77777777" w:rsidR="00EF3F11" w:rsidRPr="00D97953" w:rsidRDefault="00EF3F11" w:rsidP="00EF3F11">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D97953">
              <w:rPr>
                <w:rFonts w:ascii="Times New Roman" w:eastAsia="Times New Roman" w:hAnsi="Times New Roman" w:cs="Times New Roman"/>
                <w:color w:val="000000"/>
                <w:kern w:val="0"/>
                <w:sz w:val="16"/>
                <w:szCs w:val="16"/>
                <w:lang w:eastAsia="en-IN"/>
                <w14:ligatures w14:val="none"/>
              </w:rPr>
              <w:t>(a) Hydro</w:t>
            </w:r>
          </w:p>
        </w:tc>
        <w:tc>
          <w:tcPr>
            <w:tcW w:w="608" w:type="dxa"/>
            <w:tcBorders>
              <w:top w:val="nil"/>
              <w:left w:val="nil"/>
              <w:bottom w:val="single" w:sz="4" w:space="0" w:color="auto"/>
              <w:right w:val="single" w:sz="4" w:space="0" w:color="auto"/>
            </w:tcBorders>
            <w:noWrap/>
            <w:vAlign w:val="center"/>
            <w:hideMark/>
          </w:tcPr>
          <w:p w14:paraId="52010B50" w14:textId="77777777" w:rsidR="00EF3F11" w:rsidRPr="00D97953" w:rsidRDefault="00EF3F11" w:rsidP="00EF3F11">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D97953">
              <w:rPr>
                <w:rFonts w:ascii="Times New Roman" w:eastAsia="Times New Roman" w:hAnsi="Times New Roman" w:cs="Times New Roman"/>
                <w:color w:val="000000"/>
                <w:kern w:val="0"/>
                <w:sz w:val="16"/>
                <w:szCs w:val="16"/>
                <w:lang w:eastAsia="en-IN"/>
                <w14:ligatures w14:val="none"/>
              </w:rPr>
              <w:t>25.00</w:t>
            </w:r>
          </w:p>
        </w:tc>
        <w:tc>
          <w:tcPr>
            <w:tcW w:w="948" w:type="dxa"/>
            <w:tcBorders>
              <w:top w:val="nil"/>
              <w:left w:val="nil"/>
              <w:bottom w:val="single" w:sz="4" w:space="0" w:color="auto"/>
              <w:right w:val="single" w:sz="4" w:space="0" w:color="auto"/>
            </w:tcBorders>
            <w:noWrap/>
            <w:vAlign w:val="center"/>
            <w:hideMark/>
          </w:tcPr>
          <w:p w14:paraId="0D1BDE72" w14:textId="77777777" w:rsidR="00EF3F11" w:rsidRPr="00D97953" w:rsidRDefault="00EF3F11" w:rsidP="00EF3F11">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D97953">
              <w:rPr>
                <w:rFonts w:ascii="Times New Roman" w:eastAsia="Times New Roman" w:hAnsi="Times New Roman" w:cs="Times New Roman"/>
                <w:color w:val="000000"/>
                <w:kern w:val="0"/>
                <w:sz w:val="16"/>
                <w:szCs w:val="16"/>
                <w:lang w:eastAsia="en-IN"/>
                <w14:ligatures w14:val="none"/>
              </w:rPr>
              <w:t>3.75</w:t>
            </w:r>
          </w:p>
        </w:tc>
        <w:tc>
          <w:tcPr>
            <w:tcW w:w="610" w:type="dxa"/>
            <w:tcBorders>
              <w:top w:val="nil"/>
              <w:left w:val="nil"/>
              <w:bottom w:val="single" w:sz="4" w:space="0" w:color="auto"/>
              <w:right w:val="single" w:sz="4" w:space="0" w:color="auto"/>
            </w:tcBorders>
            <w:noWrap/>
            <w:vAlign w:val="center"/>
            <w:hideMark/>
          </w:tcPr>
          <w:p w14:paraId="013181DA" w14:textId="77777777" w:rsidR="00EF3F11" w:rsidRPr="00D97953" w:rsidRDefault="00EF3F11" w:rsidP="00EF3F11">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D97953">
              <w:rPr>
                <w:rFonts w:ascii="Times New Roman" w:eastAsia="Times New Roman" w:hAnsi="Times New Roman" w:cs="Times New Roman"/>
                <w:color w:val="000000"/>
                <w:kern w:val="0"/>
                <w:sz w:val="16"/>
                <w:szCs w:val="16"/>
                <w:lang w:eastAsia="en-IN"/>
                <w14:ligatures w14:val="none"/>
              </w:rPr>
              <w:t>28.75</w:t>
            </w:r>
          </w:p>
        </w:tc>
        <w:tc>
          <w:tcPr>
            <w:tcW w:w="1728" w:type="dxa"/>
            <w:tcBorders>
              <w:top w:val="nil"/>
              <w:left w:val="nil"/>
              <w:bottom w:val="single" w:sz="4" w:space="0" w:color="auto"/>
              <w:right w:val="single" w:sz="4" w:space="0" w:color="auto"/>
            </w:tcBorders>
            <w:noWrap/>
            <w:vAlign w:val="center"/>
            <w:hideMark/>
          </w:tcPr>
          <w:p w14:paraId="634F31C7" w14:textId="77777777" w:rsidR="00EF3F11" w:rsidRPr="00D97953" w:rsidRDefault="00EF3F11" w:rsidP="00EF3F11">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D97953">
              <w:rPr>
                <w:rFonts w:ascii="Times New Roman" w:eastAsia="Times New Roman" w:hAnsi="Times New Roman" w:cs="Times New Roman"/>
                <w:color w:val="000000"/>
                <w:kern w:val="0"/>
                <w:sz w:val="16"/>
                <w:szCs w:val="16"/>
                <w:lang w:eastAsia="en-IN"/>
                <w14:ligatures w14:val="none"/>
              </w:rPr>
              <w:t>13.00</w:t>
            </w:r>
          </w:p>
        </w:tc>
        <w:tc>
          <w:tcPr>
            <w:tcW w:w="948" w:type="dxa"/>
            <w:tcBorders>
              <w:top w:val="nil"/>
              <w:left w:val="nil"/>
              <w:bottom w:val="single" w:sz="4" w:space="0" w:color="auto"/>
              <w:right w:val="single" w:sz="4" w:space="0" w:color="auto"/>
            </w:tcBorders>
            <w:noWrap/>
            <w:vAlign w:val="center"/>
            <w:hideMark/>
          </w:tcPr>
          <w:p w14:paraId="7035983A" w14:textId="77777777" w:rsidR="00EF3F11" w:rsidRPr="00D97953" w:rsidRDefault="00EF3F11" w:rsidP="00EF3F11">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D97953">
              <w:rPr>
                <w:rFonts w:ascii="Times New Roman" w:eastAsia="Times New Roman" w:hAnsi="Times New Roman" w:cs="Times New Roman"/>
                <w:color w:val="000000"/>
                <w:kern w:val="0"/>
                <w:sz w:val="16"/>
                <w:szCs w:val="16"/>
                <w:lang w:eastAsia="en-IN"/>
                <w14:ligatures w14:val="none"/>
              </w:rPr>
              <w:t>1.95</w:t>
            </w:r>
          </w:p>
        </w:tc>
        <w:tc>
          <w:tcPr>
            <w:tcW w:w="611" w:type="dxa"/>
            <w:tcBorders>
              <w:top w:val="nil"/>
              <w:left w:val="nil"/>
              <w:bottom w:val="single" w:sz="4" w:space="0" w:color="auto"/>
              <w:right w:val="single" w:sz="4" w:space="0" w:color="auto"/>
            </w:tcBorders>
            <w:noWrap/>
            <w:vAlign w:val="center"/>
            <w:hideMark/>
          </w:tcPr>
          <w:p w14:paraId="531DD4D1" w14:textId="77777777" w:rsidR="00EF3F11" w:rsidRPr="00D97953" w:rsidRDefault="00EF3F11" w:rsidP="00EF3F11">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D97953">
              <w:rPr>
                <w:rFonts w:ascii="Times New Roman" w:eastAsia="Times New Roman" w:hAnsi="Times New Roman" w:cs="Times New Roman"/>
                <w:color w:val="000000"/>
                <w:kern w:val="0"/>
                <w:sz w:val="16"/>
                <w:szCs w:val="16"/>
                <w:lang w:eastAsia="en-IN"/>
                <w14:ligatures w14:val="none"/>
              </w:rPr>
              <w:t>14.95</w:t>
            </w:r>
          </w:p>
        </w:tc>
        <w:tc>
          <w:tcPr>
            <w:tcW w:w="1728" w:type="dxa"/>
            <w:tcBorders>
              <w:top w:val="nil"/>
              <w:left w:val="nil"/>
              <w:bottom w:val="single" w:sz="4" w:space="0" w:color="auto"/>
              <w:right w:val="single" w:sz="4" w:space="0" w:color="auto"/>
            </w:tcBorders>
            <w:noWrap/>
            <w:vAlign w:val="center"/>
            <w:hideMark/>
          </w:tcPr>
          <w:p w14:paraId="3A7A378F" w14:textId="77777777" w:rsidR="00EF3F11" w:rsidRPr="00D97953" w:rsidRDefault="00EF3F11" w:rsidP="00EF3F11">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D97953">
              <w:rPr>
                <w:rFonts w:ascii="Times New Roman" w:eastAsia="Times New Roman" w:hAnsi="Times New Roman" w:cs="Times New Roman"/>
                <w:color w:val="000000"/>
                <w:kern w:val="0"/>
                <w:sz w:val="16"/>
                <w:szCs w:val="16"/>
                <w:lang w:eastAsia="en-IN"/>
                <w14:ligatures w14:val="none"/>
              </w:rPr>
              <w:t>20.80</w:t>
            </w:r>
          </w:p>
        </w:tc>
        <w:tc>
          <w:tcPr>
            <w:tcW w:w="948" w:type="dxa"/>
            <w:tcBorders>
              <w:top w:val="nil"/>
              <w:left w:val="nil"/>
              <w:bottom w:val="single" w:sz="4" w:space="0" w:color="auto"/>
              <w:right w:val="single" w:sz="4" w:space="0" w:color="auto"/>
            </w:tcBorders>
            <w:noWrap/>
            <w:vAlign w:val="center"/>
            <w:hideMark/>
          </w:tcPr>
          <w:p w14:paraId="7DB2366C" w14:textId="77777777" w:rsidR="00EF3F11" w:rsidRPr="00D97953" w:rsidRDefault="00EF3F11" w:rsidP="00EF3F11">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D97953">
              <w:rPr>
                <w:rFonts w:ascii="Times New Roman" w:eastAsia="Times New Roman" w:hAnsi="Times New Roman" w:cs="Times New Roman"/>
                <w:color w:val="000000"/>
                <w:kern w:val="0"/>
                <w:sz w:val="16"/>
                <w:szCs w:val="16"/>
                <w:lang w:eastAsia="en-IN"/>
                <w14:ligatures w14:val="none"/>
              </w:rPr>
              <w:t>3.12</w:t>
            </w:r>
          </w:p>
        </w:tc>
        <w:tc>
          <w:tcPr>
            <w:tcW w:w="610" w:type="dxa"/>
            <w:tcBorders>
              <w:top w:val="nil"/>
              <w:left w:val="nil"/>
              <w:bottom w:val="single" w:sz="4" w:space="0" w:color="auto"/>
              <w:right w:val="single" w:sz="4" w:space="0" w:color="auto"/>
            </w:tcBorders>
            <w:noWrap/>
            <w:vAlign w:val="center"/>
            <w:hideMark/>
          </w:tcPr>
          <w:p w14:paraId="38DEC665" w14:textId="77777777" w:rsidR="00EF3F11" w:rsidRPr="00D97953" w:rsidRDefault="00EF3F11" w:rsidP="00EF3F11">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D97953">
              <w:rPr>
                <w:rFonts w:ascii="Times New Roman" w:eastAsia="Times New Roman" w:hAnsi="Times New Roman" w:cs="Times New Roman"/>
                <w:color w:val="000000"/>
                <w:kern w:val="0"/>
                <w:sz w:val="16"/>
                <w:szCs w:val="16"/>
                <w:lang w:eastAsia="en-IN"/>
                <w14:ligatures w14:val="none"/>
              </w:rPr>
              <w:t>23.92</w:t>
            </w:r>
          </w:p>
        </w:tc>
        <w:tc>
          <w:tcPr>
            <w:tcW w:w="1728" w:type="dxa"/>
            <w:tcBorders>
              <w:top w:val="nil"/>
              <w:left w:val="nil"/>
              <w:bottom w:val="single" w:sz="4" w:space="0" w:color="auto"/>
              <w:right w:val="single" w:sz="4" w:space="0" w:color="auto"/>
            </w:tcBorders>
            <w:noWrap/>
            <w:vAlign w:val="center"/>
            <w:hideMark/>
          </w:tcPr>
          <w:p w14:paraId="556DDF97" w14:textId="77777777" w:rsidR="00EF3F11" w:rsidRPr="00D97953" w:rsidRDefault="00EF3F11" w:rsidP="00EF3F11">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D97953">
              <w:rPr>
                <w:rFonts w:ascii="Times New Roman" w:eastAsia="Times New Roman" w:hAnsi="Times New Roman" w:cs="Times New Roman"/>
                <w:color w:val="000000"/>
                <w:kern w:val="0"/>
                <w:sz w:val="16"/>
                <w:szCs w:val="16"/>
                <w:lang w:eastAsia="en-IN"/>
                <w14:ligatures w14:val="none"/>
              </w:rPr>
              <w:t>19.90</w:t>
            </w:r>
          </w:p>
        </w:tc>
        <w:tc>
          <w:tcPr>
            <w:tcW w:w="948" w:type="dxa"/>
            <w:tcBorders>
              <w:top w:val="nil"/>
              <w:left w:val="nil"/>
              <w:bottom w:val="single" w:sz="4" w:space="0" w:color="auto"/>
              <w:right w:val="single" w:sz="4" w:space="0" w:color="auto"/>
            </w:tcBorders>
            <w:noWrap/>
            <w:vAlign w:val="center"/>
            <w:hideMark/>
          </w:tcPr>
          <w:p w14:paraId="732787F5" w14:textId="77777777" w:rsidR="00EF3F11" w:rsidRPr="00D97953" w:rsidRDefault="00EF3F11" w:rsidP="00EF3F11">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D97953">
              <w:rPr>
                <w:rFonts w:ascii="Times New Roman" w:eastAsia="Times New Roman" w:hAnsi="Times New Roman" w:cs="Times New Roman"/>
                <w:color w:val="000000"/>
                <w:kern w:val="0"/>
                <w:sz w:val="16"/>
                <w:szCs w:val="16"/>
                <w:lang w:eastAsia="en-IN"/>
                <w14:ligatures w14:val="none"/>
              </w:rPr>
              <w:t>2.99</w:t>
            </w:r>
          </w:p>
        </w:tc>
        <w:tc>
          <w:tcPr>
            <w:tcW w:w="608" w:type="dxa"/>
            <w:tcBorders>
              <w:top w:val="nil"/>
              <w:left w:val="nil"/>
              <w:bottom w:val="single" w:sz="4" w:space="0" w:color="auto"/>
              <w:right w:val="single" w:sz="4" w:space="0" w:color="auto"/>
            </w:tcBorders>
            <w:noWrap/>
            <w:vAlign w:val="center"/>
            <w:hideMark/>
          </w:tcPr>
          <w:p w14:paraId="4E97B59E" w14:textId="77777777" w:rsidR="00EF3F11" w:rsidRPr="00D97953" w:rsidRDefault="00EF3F11" w:rsidP="00EF3F11">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D97953">
              <w:rPr>
                <w:rFonts w:ascii="Times New Roman" w:eastAsia="Times New Roman" w:hAnsi="Times New Roman" w:cs="Times New Roman"/>
                <w:color w:val="000000"/>
                <w:kern w:val="0"/>
                <w:sz w:val="16"/>
                <w:szCs w:val="16"/>
                <w:lang w:eastAsia="en-IN"/>
                <w14:ligatures w14:val="none"/>
              </w:rPr>
              <w:t>22.89</w:t>
            </w:r>
          </w:p>
        </w:tc>
      </w:tr>
      <w:tr w:rsidR="00EF3F11" w:rsidRPr="00D97953" w14:paraId="23617C1A" w14:textId="77777777" w:rsidTr="00D97953">
        <w:trPr>
          <w:gridAfter w:val="1"/>
          <w:wAfter w:w="15" w:type="dxa"/>
          <w:trHeight w:val="20"/>
          <w:jc w:val="center"/>
        </w:trPr>
        <w:tc>
          <w:tcPr>
            <w:tcW w:w="2464" w:type="dxa"/>
            <w:tcBorders>
              <w:top w:val="nil"/>
              <w:left w:val="single" w:sz="4" w:space="0" w:color="auto"/>
              <w:bottom w:val="single" w:sz="4" w:space="0" w:color="auto"/>
              <w:right w:val="single" w:sz="4" w:space="0" w:color="auto"/>
            </w:tcBorders>
            <w:noWrap/>
            <w:vAlign w:val="center"/>
            <w:hideMark/>
          </w:tcPr>
          <w:p w14:paraId="40BE3676" w14:textId="77777777" w:rsidR="00EF3F11" w:rsidRPr="00D97953" w:rsidRDefault="00EF3F11" w:rsidP="00EF3F11">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D97953">
              <w:rPr>
                <w:rFonts w:ascii="Times New Roman" w:eastAsia="Times New Roman" w:hAnsi="Times New Roman" w:cs="Times New Roman"/>
                <w:color w:val="000000"/>
                <w:kern w:val="0"/>
                <w:sz w:val="16"/>
                <w:szCs w:val="16"/>
                <w:lang w:eastAsia="en-IN"/>
                <w14:ligatures w14:val="none"/>
              </w:rPr>
              <w:t>(b) Diesel</w:t>
            </w:r>
          </w:p>
        </w:tc>
        <w:tc>
          <w:tcPr>
            <w:tcW w:w="608" w:type="dxa"/>
            <w:tcBorders>
              <w:top w:val="nil"/>
              <w:left w:val="nil"/>
              <w:bottom w:val="single" w:sz="4" w:space="0" w:color="auto"/>
              <w:right w:val="single" w:sz="4" w:space="0" w:color="auto"/>
            </w:tcBorders>
            <w:noWrap/>
            <w:vAlign w:val="center"/>
            <w:hideMark/>
          </w:tcPr>
          <w:p w14:paraId="5C3C292D" w14:textId="77777777" w:rsidR="00EF3F11" w:rsidRPr="00D97953" w:rsidRDefault="00EF3F11" w:rsidP="00EF3F11">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D97953">
              <w:rPr>
                <w:rFonts w:ascii="Times New Roman" w:eastAsia="Times New Roman" w:hAnsi="Times New Roman" w:cs="Times New Roman"/>
                <w:color w:val="000000"/>
                <w:kern w:val="0"/>
                <w:sz w:val="16"/>
                <w:szCs w:val="16"/>
                <w:lang w:eastAsia="en-IN"/>
                <w14:ligatures w14:val="none"/>
              </w:rPr>
              <w:t>50.00</w:t>
            </w:r>
          </w:p>
        </w:tc>
        <w:tc>
          <w:tcPr>
            <w:tcW w:w="948" w:type="dxa"/>
            <w:tcBorders>
              <w:top w:val="nil"/>
              <w:left w:val="nil"/>
              <w:bottom w:val="single" w:sz="4" w:space="0" w:color="auto"/>
              <w:right w:val="single" w:sz="4" w:space="0" w:color="auto"/>
            </w:tcBorders>
            <w:noWrap/>
            <w:vAlign w:val="center"/>
            <w:hideMark/>
          </w:tcPr>
          <w:p w14:paraId="0B049B29" w14:textId="77777777" w:rsidR="00EF3F11" w:rsidRPr="00D97953" w:rsidRDefault="00EF3F11" w:rsidP="00EF3F11">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D97953">
              <w:rPr>
                <w:rFonts w:ascii="Times New Roman" w:eastAsia="Times New Roman" w:hAnsi="Times New Roman" w:cs="Times New Roman"/>
                <w:color w:val="000000"/>
                <w:kern w:val="0"/>
                <w:sz w:val="16"/>
                <w:szCs w:val="16"/>
                <w:lang w:eastAsia="en-IN"/>
                <w14:ligatures w14:val="none"/>
              </w:rPr>
              <w:t>6.00</w:t>
            </w:r>
          </w:p>
        </w:tc>
        <w:tc>
          <w:tcPr>
            <w:tcW w:w="610" w:type="dxa"/>
            <w:tcBorders>
              <w:top w:val="nil"/>
              <w:left w:val="nil"/>
              <w:bottom w:val="single" w:sz="4" w:space="0" w:color="auto"/>
              <w:right w:val="single" w:sz="4" w:space="0" w:color="auto"/>
            </w:tcBorders>
            <w:noWrap/>
            <w:vAlign w:val="center"/>
            <w:hideMark/>
          </w:tcPr>
          <w:p w14:paraId="4AC13861" w14:textId="77777777" w:rsidR="00EF3F11" w:rsidRPr="00D97953" w:rsidRDefault="00EF3F11" w:rsidP="00EF3F11">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D97953">
              <w:rPr>
                <w:rFonts w:ascii="Times New Roman" w:eastAsia="Times New Roman" w:hAnsi="Times New Roman" w:cs="Times New Roman"/>
                <w:color w:val="000000"/>
                <w:kern w:val="0"/>
                <w:sz w:val="16"/>
                <w:szCs w:val="16"/>
                <w:lang w:eastAsia="en-IN"/>
                <w14:ligatures w14:val="none"/>
              </w:rPr>
              <w:t>56.00</w:t>
            </w:r>
          </w:p>
        </w:tc>
        <w:tc>
          <w:tcPr>
            <w:tcW w:w="1728" w:type="dxa"/>
            <w:tcBorders>
              <w:top w:val="nil"/>
              <w:left w:val="nil"/>
              <w:bottom w:val="single" w:sz="4" w:space="0" w:color="auto"/>
              <w:right w:val="single" w:sz="4" w:space="0" w:color="auto"/>
            </w:tcBorders>
            <w:noWrap/>
            <w:vAlign w:val="center"/>
            <w:hideMark/>
          </w:tcPr>
          <w:p w14:paraId="719CBBD3" w14:textId="77777777" w:rsidR="00EF3F11" w:rsidRPr="00D97953" w:rsidRDefault="00EF3F11" w:rsidP="00EF3F11">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D97953">
              <w:rPr>
                <w:rFonts w:ascii="Times New Roman" w:eastAsia="Times New Roman" w:hAnsi="Times New Roman" w:cs="Times New Roman"/>
                <w:color w:val="000000"/>
                <w:kern w:val="0"/>
                <w:sz w:val="16"/>
                <w:szCs w:val="16"/>
                <w:lang w:eastAsia="en-IN"/>
                <w14:ligatures w14:val="none"/>
              </w:rPr>
              <w:t>31.00</w:t>
            </w:r>
          </w:p>
        </w:tc>
        <w:tc>
          <w:tcPr>
            <w:tcW w:w="948" w:type="dxa"/>
            <w:tcBorders>
              <w:top w:val="nil"/>
              <w:left w:val="nil"/>
              <w:bottom w:val="single" w:sz="4" w:space="0" w:color="auto"/>
              <w:right w:val="single" w:sz="4" w:space="0" w:color="auto"/>
            </w:tcBorders>
            <w:noWrap/>
            <w:vAlign w:val="center"/>
            <w:hideMark/>
          </w:tcPr>
          <w:p w14:paraId="24DE7EA5" w14:textId="77777777" w:rsidR="00EF3F11" w:rsidRPr="00D97953" w:rsidRDefault="00EF3F11" w:rsidP="00EF3F11">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D97953">
              <w:rPr>
                <w:rFonts w:ascii="Times New Roman" w:eastAsia="Times New Roman" w:hAnsi="Times New Roman" w:cs="Times New Roman"/>
                <w:color w:val="000000"/>
                <w:kern w:val="0"/>
                <w:sz w:val="16"/>
                <w:szCs w:val="16"/>
                <w:lang w:eastAsia="en-IN"/>
                <w14:ligatures w14:val="none"/>
              </w:rPr>
              <w:t>4.65</w:t>
            </w:r>
          </w:p>
        </w:tc>
        <w:tc>
          <w:tcPr>
            <w:tcW w:w="611" w:type="dxa"/>
            <w:tcBorders>
              <w:top w:val="nil"/>
              <w:left w:val="nil"/>
              <w:bottom w:val="single" w:sz="4" w:space="0" w:color="auto"/>
              <w:right w:val="single" w:sz="4" w:space="0" w:color="auto"/>
            </w:tcBorders>
            <w:noWrap/>
            <w:vAlign w:val="center"/>
            <w:hideMark/>
          </w:tcPr>
          <w:p w14:paraId="06AD567D" w14:textId="77777777" w:rsidR="00EF3F11" w:rsidRPr="00D97953" w:rsidRDefault="00EF3F11" w:rsidP="00EF3F11">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D97953">
              <w:rPr>
                <w:rFonts w:ascii="Times New Roman" w:eastAsia="Times New Roman" w:hAnsi="Times New Roman" w:cs="Times New Roman"/>
                <w:color w:val="000000"/>
                <w:kern w:val="0"/>
                <w:sz w:val="16"/>
                <w:szCs w:val="16"/>
                <w:lang w:eastAsia="en-IN"/>
                <w14:ligatures w14:val="none"/>
              </w:rPr>
              <w:t>35.65</w:t>
            </w:r>
          </w:p>
        </w:tc>
        <w:tc>
          <w:tcPr>
            <w:tcW w:w="1728" w:type="dxa"/>
            <w:tcBorders>
              <w:top w:val="nil"/>
              <w:left w:val="nil"/>
              <w:bottom w:val="single" w:sz="4" w:space="0" w:color="auto"/>
              <w:right w:val="single" w:sz="4" w:space="0" w:color="auto"/>
            </w:tcBorders>
            <w:noWrap/>
            <w:vAlign w:val="center"/>
            <w:hideMark/>
          </w:tcPr>
          <w:p w14:paraId="42DBA505" w14:textId="77777777" w:rsidR="00EF3F11" w:rsidRPr="00D97953" w:rsidRDefault="00EF3F11" w:rsidP="00EF3F11">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D97953">
              <w:rPr>
                <w:rFonts w:ascii="Times New Roman" w:eastAsia="Times New Roman" w:hAnsi="Times New Roman" w:cs="Times New Roman"/>
                <w:color w:val="000000"/>
                <w:kern w:val="0"/>
                <w:sz w:val="16"/>
                <w:szCs w:val="16"/>
                <w:lang w:eastAsia="en-IN"/>
                <w14:ligatures w14:val="none"/>
              </w:rPr>
              <w:t>44.00</w:t>
            </w:r>
          </w:p>
        </w:tc>
        <w:tc>
          <w:tcPr>
            <w:tcW w:w="948" w:type="dxa"/>
            <w:tcBorders>
              <w:top w:val="nil"/>
              <w:left w:val="nil"/>
              <w:bottom w:val="single" w:sz="4" w:space="0" w:color="auto"/>
              <w:right w:val="single" w:sz="4" w:space="0" w:color="auto"/>
            </w:tcBorders>
            <w:noWrap/>
            <w:vAlign w:val="center"/>
            <w:hideMark/>
          </w:tcPr>
          <w:p w14:paraId="7F567FB6" w14:textId="77777777" w:rsidR="00EF3F11" w:rsidRPr="00D97953" w:rsidRDefault="00EF3F11" w:rsidP="00EF3F11">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D97953">
              <w:rPr>
                <w:rFonts w:ascii="Times New Roman" w:eastAsia="Times New Roman" w:hAnsi="Times New Roman" w:cs="Times New Roman"/>
                <w:color w:val="000000"/>
                <w:kern w:val="0"/>
                <w:sz w:val="16"/>
                <w:szCs w:val="16"/>
                <w:lang w:eastAsia="en-IN"/>
                <w14:ligatures w14:val="none"/>
              </w:rPr>
              <w:t>6.00</w:t>
            </w:r>
          </w:p>
        </w:tc>
        <w:tc>
          <w:tcPr>
            <w:tcW w:w="610" w:type="dxa"/>
            <w:tcBorders>
              <w:top w:val="nil"/>
              <w:left w:val="nil"/>
              <w:bottom w:val="single" w:sz="4" w:space="0" w:color="auto"/>
              <w:right w:val="single" w:sz="4" w:space="0" w:color="auto"/>
            </w:tcBorders>
            <w:noWrap/>
            <w:vAlign w:val="center"/>
            <w:hideMark/>
          </w:tcPr>
          <w:p w14:paraId="346E7396" w14:textId="77777777" w:rsidR="00EF3F11" w:rsidRPr="00D97953" w:rsidRDefault="00EF3F11" w:rsidP="00EF3F11">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D97953">
              <w:rPr>
                <w:rFonts w:ascii="Times New Roman" w:eastAsia="Times New Roman" w:hAnsi="Times New Roman" w:cs="Times New Roman"/>
                <w:color w:val="000000"/>
                <w:kern w:val="0"/>
                <w:sz w:val="16"/>
                <w:szCs w:val="16"/>
                <w:lang w:eastAsia="en-IN"/>
                <w14:ligatures w14:val="none"/>
              </w:rPr>
              <w:t>50.00</w:t>
            </w:r>
          </w:p>
        </w:tc>
        <w:tc>
          <w:tcPr>
            <w:tcW w:w="1728" w:type="dxa"/>
            <w:tcBorders>
              <w:top w:val="nil"/>
              <w:left w:val="nil"/>
              <w:bottom w:val="single" w:sz="4" w:space="0" w:color="auto"/>
              <w:right w:val="single" w:sz="4" w:space="0" w:color="auto"/>
            </w:tcBorders>
            <w:noWrap/>
            <w:vAlign w:val="center"/>
            <w:hideMark/>
          </w:tcPr>
          <w:p w14:paraId="0C550EBF" w14:textId="77777777" w:rsidR="00EF3F11" w:rsidRPr="00D97953" w:rsidRDefault="00EF3F11" w:rsidP="00EF3F11">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D97953">
              <w:rPr>
                <w:rFonts w:ascii="Times New Roman" w:eastAsia="Times New Roman" w:hAnsi="Times New Roman" w:cs="Times New Roman"/>
                <w:color w:val="000000"/>
                <w:kern w:val="0"/>
                <w:sz w:val="16"/>
                <w:szCs w:val="16"/>
                <w:lang w:eastAsia="en-IN"/>
                <w14:ligatures w14:val="none"/>
              </w:rPr>
              <w:t>44.00</w:t>
            </w:r>
          </w:p>
        </w:tc>
        <w:tc>
          <w:tcPr>
            <w:tcW w:w="948" w:type="dxa"/>
            <w:tcBorders>
              <w:top w:val="nil"/>
              <w:left w:val="nil"/>
              <w:bottom w:val="single" w:sz="4" w:space="0" w:color="auto"/>
              <w:right w:val="single" w:sz="4" w:space="0" w:color="auto"/>
            </w:tcBorders>
            <w:noWrap/>
            <w:vAlign w:val="center"/>
            <w:hideMark/>
          </w:tcPr>
          <w:p w14:paraId="36237347" w14:textId="77777777" w:rsidR="00EF3F11" w:rsidRPr="00D97953" w:rsidRDefault="00EF3F11" w:rsidP="00EF3F11">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D97953">
              <w:rPr>
                <w:rFonts w:ascii="Times New Roman" w:eastAsia="Times New Roman" w:hAnsi="Times New Roman" w:cs="Times New Roman"/>
                <w:color w:val="000000"/>
                <w:kern w:val="0"/>
                <w:sz w:val="16"/>
                <w:szCs w:val="16"/>
                <w:lang w:eastAsia="en-IN"/>
                <w14:ligatures w14:val="none"/>
              </w:rPr>
              <w:t>6.00</w:t>
            </w:r>
          </w:p>
        </w:tc>
        <w:tc>
          <w:tcPr>
            <w:tcW w:w="608" w:type="dxa"/>
            <w:tcBorders>
              <w:top w:val="nil"/>
              <w:left w:val="nil"/>
              <w:bottom w:val="single" w:sz="4" w:space="0" w:color="auto"/>
              <w:right w:val="single" w:sz="4" w:space="0" w:color="auto"/>
            </w:tcBorders>
            <w:noWrap/>
            <w:vAlign w:val="center"/>
            <w:hideMark/>
          </w:tcPr>
          <w:p w14:paraId="090A45FC" w14:textId="77777777" w:rsidR="00EF3F11" w:rsidRPr="00D97953" w:rsidRDefault="00EF3F11" w:rsidP="00EF3F11">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D97953">
              <w:rPr>
                <w:rFonts w:ascii="Times New Roman" w:eastAsia="Times New Roman" w:hAnsi="Times New Roman" w:cs="Times New Roman"/>
                <w:color w:val="000000"/>
                <w:kern w:val="0"/>
                <w:sz w:val="16"/>
                <w:szCs w:val="16"/>
                <w:lang w:eastAsia="en-IN"/>
                <w14:ligatures w14:val="none"/>
              </w:rPr>
              <w:t>50.00</w:t>
            </w:r>
          </w:p>
        </w:tc>
      </w:tr>
      <w:tr w:rsidR="00EF3F11" w:rsidRPr="00D97953" w14:paraId="6DC5B8F0" w14:textId="77777777" w:rsidTr="00D97953">
        <w:trPr>
          <w:gridAfter w:val="1"/>
          <w:wAfter w:w="15" w:type="dxa"/>
          <w:trHeight w:val="20"/>
          <w:jc w:val="center"/>
        </w:trPr>
        <w:tc>
          <w:tcPr>
            <w:tcW w:w="2464" w:type="dxa"/>
            <w:tcBorders>
              <w:top w:val="nil"/>
              <w:left w:val="single" w:sz="4" w:space="0" w:color="auto"/>
              <w:bottom w:val="single" w:sz="4" w:space="0" w:color="auto"/>
              <w:right w:val="single" w:sz="4" w:space="0" w:color="auto"/>
            </w:tcBorders>
            <w:noWrap/>
            <w:vAlign w:val="center"/>
            <w:hideMark/>
          </w:tcPr>
          <w:p w14:paraId="6DE2C669" w14:textId="77777777" w:rsidR="00EF3F11" w:rsidRPr="00D97953" w:rsidRDefault="00EF3F11" w:rsidP="00EF3F11">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D97953">
              <w:rPr>
                <w:rFonts w:ascii="Times New Roman" w:eastAsia="Times New Roman" w:hAnsi="Times New Roman" w:cs="Times New Roman"/>
                <w:color w:val="000000"/>
                <w:kern w:val="0"/>
                <w:sz w:val="16"/>
                <w:szCs w:val="16"/>
                <w:lang w:eastAsia="en-IN"/>
                <w14:ligatures w14:val="none"/>
              </w:rPr>
              <w:t>13. Punjab</w:t>
            </w:r>
          </w:p>
        </w:tc>
        <w:tc>
          <w:tcPr>
            <w:tcW w:w="608" w:type="dxa"/>
            <w:tcBorders>
              <w:top w:val="nil"/>
              <w:left w:val="nil"/>
              <w:bottom w:val="single" w:sz="4" w:space="0" w:color="auto"/>
              <w:right w:val="single" w:sz="4" w:space="0" w:color="auto"/>
            </w:tcBorders>
            <w:noWrap/>
            <w:vAlign w:val="center"/>
            <w:hideMark/>
          </w:tcPr>
          <w:p w14:paraId="2FE2A999" w14:textId="77777777" w:rsidR="00EF3F11" w:rsidRPr="00D97953" w:rsidRDefault="00EF3F11" w:rsidP="00EF3F11">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D97953">
              <w:rPr>
                <w:rFonts w:ascii="Times New Roman" w:eastAsia="Times New Roman" w:hAnsi="Times New Roman" w:cs="Times New Roman"/>
                <w:color w:val="000000"/>
                <w:kern w:val="0"/>
                <w:sz w:val="16"/>
                <w:szCs w:val="16"/>
                <w:lang w:eastAsia="en-IN"/>
                <w14:ligatures w14:val="none"/>
              </w:rPr>
              <w:t>26.56</w:t>
            </w:r>
          </w:p>
        </w:tc>
        <w:tc>
          <w:tcPr>
            <w:tcW w:w="948" w:type="dxa"/>
            <w:tcBorders>
              <w:top w:val="nil"/>
              <w:left w:val="nil"/>
              <w:bottom w:val="single" w:sz="4" w:space="0" w:color="auto"/>
              <w:right w:val="single" w:sz="4" w:space="0" w:color="auto"/>
            </w:tcBorders>
            <w:noWrap/>
            <w:vAlign w:val="center"/>
            <w:hideMark/>
          </w:tcPr>
          <w:p w14:paraId="25912B60" w14:textId="77777777" w:rsidR="00EF3F11" w:rsidRPr="00D97953" w:rsidRDefault="00EF3F11" w:rsidP="00EF3F11">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D97953">
              <w:rPr>
                <w:rFonts w:ascii="Times New Roman" w:eastAsia="Times New Roman" w:hAnsi="Times New Roman" w:cs="Times New Roman"/>
                <w:color w:val="000000"/>
                <w:kern w:val="0"/>
                <w:sz w:val="16"/>
                <w:szCs w:val="16"/>
                <w:lang w:eastAsia="en-IN"/>
                <w14:ligatures w14:val="none"/>
              </w:rPr>
              <w:t>6.63</w:t>
            </w:r>
          </w:p>
        </w:tc>
        <w:tc>
          <w:tcPr>
            <w:tcW w:w="610" w:type="dxa"/>
            <w:tcBorders>
              <w:top w:val="nil"/>
              <w:left w:val="nil"/>
              <w:bottom w:val="single" w:sz="4" w:space="0" w:color="auto"/>
              <w:right w:val="single" w:sz="4" w:space="0" w:color="auto"/>
            </w:tcBorders>
            <w:noWrap/>
            <w:vAlign w:val="center"/>
            <w:hideMark/>
          </w:tcPr>
          <w:p w14:paraId="4D39BEB7" w14:textId="77777777" w:rsidR="00EF3F11" w:rsidRPr="00D97953" w:rsidRDefault="00EF3F11" w:rsidP="00EF3F11">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D97953">
              <w:rPr>
                <w:rFonts w:ascii="Times New Roman" w:eastAsia="Times New Roman" w:hAnsi="Times New Roman" w:cs="Times New Roman"/>
                <w:color w:val="000000"/>
                <w:kern w:val="0"/>
                <w:sz w:val="16"/>
                <w:szCs w:val="16"/>
                <w:lang w:eastAsia="en-IN"/>
                <w14:ligatures w14:val="none"/>
              </w:rPr>
              <w:t>33.19</w:t>
            </w:r>
          </w:p>
        </w:tc>
        <w:tc>
          <w:tcPr>
            <w:tcW w:w="1728" w:type="dxa"/>
            <w:tcBorders>
              <w:top w:val="nil"/>
              <w:left w:val="nil"/>
              <w:bottom w:val="single" w:sz="4" w:space="0" w:color="auto"/>
              <w:right w:val="single" w:sz="4" w:space="0" w:color="auto"/>
            </w:tcBorders>
            <w:noWrap/>
            <w:vAlign w:val="center"/>
            <w:hideMark/>
          </w:tcPr>
          <w:p w14:paraId="3B565F34" w14:textId="77777777" w:rsidR="00EF3F11" w:rsidRPr="00D97953" w:rsidRDefault="00EF3F11" w:rsidP="00EF3F11">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D97953">
              <w:rPr>
                <w:rFonts w:ascii="Times New Roman" w:eastAsia="Times New Roman" w:hAnsi="Times New Roman" w:cs="Times New Roman"/>
                <w:color w:val="000000"/>
                <w:kern w:val="0"/>
                <w:sz w:val="16"/>
                <w:szCs w:val="16"/>
                <w:lang w:eastAsia="en-IN"/>
                <w14:ligatures w14:val="none"/>
              </w:rPr>
              <w:t>11.56</w:t>
            </w:r>
          </w:p>
        </w:tc>
        <w:tc>
          <w:tcPr>
            <w:tcW w:w="948" w:type="dxa"/>
            <w:tcBorders>
              <w:top w:val="nil"/>
              <w:left w:val="nil"/>
              <w:bottom w:val="single" w:sz="4" w:space="0" w:color="auto"/>
              <w:right w:val="single" w:sz="4" w:space="0" w:color="auto"/>
            </w:tcBorders>
            <w:noWrap/>
            <w:vAlign w:val="center"/>
            <w:hideMark/>
          </w:tcPr>
          <w:p w14:paraId="7B8F16DE" w14:textId="77777777" w:rsidR="00EF3F11" w:rsidRPr="00D97953" w:rsidRDefault="00EF3F11" w:rsidP="00EF3F11">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D97953">
              <w:rPr>
                <w:rFonts w:ascii="Times New Roman" w:eastAsia="Times New Roman" w:hAnsi="Times New Roman" w:cs="Times New Roman"/>
                <w:color w:val="000000"/>
                <w:kern w:val="0"/>
                <w:sz w:val="16"/>
                <w:szCs w:val="16"/>
                <w:lang w:eastAsia="en-IN"/>
                <w14:ligatures w14:val="none"/>
              </w:rPr>
              <w:t>10.08</w:t>
            </w:r>
          </w:p>
        </w:tc>
        <w:tc>
          <w:tcPr>
            <w:tcW w:w="611" w:type="dxa"/>
            <w:tcBorders>
              <w:top w:val="nil"/>
              <w:left w:val="nil"/>
              <w:bottom w:val="single" w:sz="4" w:space="0" w:color="auto"/>
              <w:right w:val="single" w:sz="4" w:space="0" w:color="auto"/>
            </w:tcBorders>
            <w:noWrap/>
            <w:vAlign w:val="center"/>
            <w:hideMark/>
          </w:tcPr>
          <w:p w14:paraId="3B6D3FB4" w14:textId="77777777" w:rsidR="00EF3F11" w:rsidRPr="00D97953" w:rsidRDefault="00EF3F11" w:rsidP="00EF3F11">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D97953">
              <w:rPr>
                <w:rFonts w:ascii="Times New Roman" w:eastAsia="Times New Roman" w:hAnsi="Times New Roman" w:cs="Times New Roman"/>
                <w:color w:val="000000"/>
                <w:kern w:val="0"/>
                <w:sz w:val="16"/>
                <w:szCs w:val="16"/>
                <w:lang w:eastAsia="en-IN"/>
                <w14:ligatures w14:val="none"/>
              </w:rPr>
              <w:t>21.64</w:t>
            </w:r>
          </w:p>
        </w:tc>
        <w:tc>
          <w:tcPr>
            <w:tcW w:w="1728" w:type="dxa"/>
            <w:tcBorders>
              <w:top w:val="nil"/>
              <w:left w:val="nil"/>
              <w:bottom w:val="single" w:sz="4" w:space="0" w:color="auto"/>
              <w:right w:val="single" w:sz="4" w:space="0" w:color="auto"/>
            </w:tcBorders>
            <w:noWrap/>
            <w:vAlign w:val="center"/>
            <w:hideMark/>
          </w:tcPr>
          <w:p w14:paraId="6931BC5F" w14:textId="77777777" w:rsidR="00EF3F11" w:rsidRPr="00D97953" w:rsidRDefault="00EF3F11" w:rsidP="00EF3F11">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D97953">
              <w:rPr>
                <w:rFonts w:ascii="Times New Roman" w:eastAsia="Times New Roman" w:hAnsi="Times New Roman" w:cs="Times New Roman"/>
                <w:color w:val="000000"/>
                <w:kern w:val="0"/>
                <w:sz w:val="16"/>
                <w:szCs w:val="16"/>
                <w:lang w:eastAsia="en-IN"/>
                <w14:ligatures w14:val="none"/>
              </w:rPr>
              <w:t>17.50</w:t>
            </w:r>
          </w:p>
        </w:tc>
        <w:tc>
          <w:tcPr>
            <w:tcW w:w="948" w:type="dxa"/>
            <w:tcBorders>
              <w:top w:val="nil"/>
              <w:left w:val="nil"/>
              <w:bottom w:val="single" w:sz="4" w:space="0" w:color="auto"/>
              <w:right w:val="single" w:sz="4" w:space="0" w:color="auto"/>
            </w:tcBorders>
            <w:noWrap/>
            <w:vAlign w:val="center"/>
            <w:hideMark/>
          </w:tcPr>
          <w:p w14:paraId="34147C80" w14:textId="77777777" w:rsidR="00EF3F11" w:rsidRPr="00D97953" w:rsidRDefault="00EF3F11" w:rsidP="00EF3F11">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D97953">
              <w:rPr>
                <w:rFonts w:ascii="Times New Roman" w:eastAsia="Times New Roman" w:hAnsi="Times New Roman" w:cs="Times New Roman"/>
                <w:color w:val="000000"/>
                <w:kern w:val="0"/>
                <w:sz w:val="16"/>
                <w:szCs w:val="16"/>
                <w:lang w:eastAsia="en-IN"/>
                <w14:ligatures w14:val="none"/>
              </w:rPr>
              <w:t>11.37</w:t>
            </w:r>
          </w:p>
        </w:tc>
        <w:tc>
          <w:tcPr>
            <w:tcW w:w="610" w:type="dxa"/>
            <w:tcBorders>
              <w:top w:val="nil"/>
              <w:left w:val="nil"/>
              <w:bottom w:val="single" w:sz="4" w:space="0" w:color="auto"/>
              <w:right w:val="single" w:sz="4" w:space="0" w:color="auto"/>
            </w:tcBorders>
            <w:noWrap/>
            <w:vAlign w:val="center"/>
            <w:hideMark/>
          </w:tcPr>
          <w:p w14:paraId="10F91B3C" w14:textId="77777777" w:rsidR="00EF3F11" w:rsidRPr="00D97953" w:rsidRDefault="00EF3F11" w:rsidP="00EF3F11">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D97953">
              <w:rPr>
                <w:rFonts w:ascii="Times New Roman" w:eastAsia="Times New Roman" w:hAnsi="Times New Roman" w:cs="Times New Roman"/>
                <w:color w:val="000000"/>
                <w:kern w:val="0"/>
                <w:sz w:val="16"/>
                <w:szCs w:val="16"/>
                <w:lang w:eastAsia="en-IN"/>
                <w14:ligatures w14:val="none"/>
              </w:rPr>
              <w:t>28.87</w:t>
            </w:r>
          </w:p>
        </w:tc>
        <w:tc>
          <w:tcPr>
            <w:tcW w:w="1728" w:type="dxa"/>
            <w:tcBorders>
              <w:top w:val="nil"/>
              <w:left w:val="nil"/>
              <w:bottom w:val="single" w:sz="4" w:space="0" w:color="auto"/>
              <w:right w:val="single" w:sz="4" w:space="0" w:color="auto"/>
            </w:tcBorders>
            <w:noWrap/>
            <w:vAlign w:val="center"/>
            <w:hideMark/>
          </w:tcPr>
          <w:p w14:paraId="3F969361" w14:textId="77777777" w:rsidR="00EF3F11" w:rsidRPr="00D97953" w:rsidRDefault="00EF3F11" w:rsidP="00EF3F11">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D97953">
              <w:rPr>
                <w:rFonts w:ascii="Times New Roman" w:eastAsia="Times New Roman" w:hAnsi="Times New Roman" w:cs="Times New Roman"/>
                <w:color w:val="000000"/>
                <w:kern w:val="0"/>
                <w:sz w:val="16"/>
                <w:szCs w:val="16"/>
                <w:lang w:eastAsia="en-IN"/>
                <w14:ligatures w14:val="none"/>
              </w:rPr>
              <w:t>13.44</w:t>
            </w:r>
          </w:p>
        </w:tc>
        <w:tc>
          <w:tcPr>
            <w:tcW w:w="948" w:type="dxa"/>
            <w:tcBorders>
              <w:top w:val="nil"/>
              <w:left w:val="nil"/>
              <w:bottom w:val="single" w:sz="4" w:space="0" w:color="auto"/>
              <w:right w:val="single" w:sz="4" w:space="0" w:color="auto"/>
            </w:tcBorders>
            <w:noWrap/>
            <w:vAlign w:val="center"/>
            <w:hideMark/>
          </w:tcPr>
          <w:p w14:paraId="0EA0CE20" w14:textId="77777777" w:rsidR="00EF3F11" w:rsidRPr="00D97953" w:rsidRDefault="00EF3F11" w:rsidP="00EF3F11">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D97953">
              <w:rPr>
                <w:rFonts w:ascii="Times New Roman" w:eastAsia="Times New Roman" w:hAnsi="Times New Roman" w:cs="Times New Roman"/>
                <w:color w:val="000000"/>
                <w:kern w:val="0"/>
                <w:sz w:val="16"/>
                <w:szCs w:val="16"/>
                <w:lang w:eastAsia="en-IN"/>
                <w14:ligatures w14:val="none"/>
              </w:rPr>
              <w:t>10.00</w:t>
            </w:r>
          </w:p>
        </w:tc>
        <w:tc>
          <w:tcPr>
            <w:tcW w:w="608" w:type="dxa"/>
            <w:tcBorders>
              <w:top w:val="nil"/>
              <w:left w:val="nil"/>
              <w:bottom w:val="single" w:sz="4" w:space="0" w:color="auto"/>
              <w:right w:val="single" w:sz="4" w:space="0" w:color="auto"/>
            </w:tcBorders>
            <w:noWrap/>
            <w:vAlign w:val="center"/>
            <w:hideMark/>
          </w:tcPr>
          <w:p w14:paraId="4A106BF4" w14:textId="77777777" w:rsidR="00EF3F11" w:rsidRPr="00D97953" w:rsidRDefault="00EF3F11" w:rsidP="00EF3F11">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D97953">
              <w:rPr>
                <w:rFonts w:ascii="Times New Roman" w:eastAsia="Times New Roman" w:hAnsi="Times New Roman" w:cs="Times New Roman"/>
                <w:color w:val="000000"/>
                <w:kern w:val="0"/>
                <w:sz w:val="16"/>
                <w:szCs w:val="16"/>
                <w:lang w:eastAsia="en-IN"/>
                <w14:ligatures w14:val="none"/>
              </w:rPr>
              <w:t>23.44</w:t>
            </w:r>
          </w:p>
        </w:tc>
      </w:tr>
      <w:tr w:rsidR="00EF3F11" w:rsidRPr="00D97953" w14:paraId="2908F117" w14:textId="77777777" w:rsidTr="00D97953">
        <w:trPr>
          <w:gridAfter w:val="1"/>
          <w:wAfter w:w="15" w:type="dxa"/>
          <w:trHeight w:val="20"/>
          <w:jc w:val="center"/>
        </w:trPr>
        <w:tc>
          <w:tcPr>
            <w:tcW w:w="2464" w:type="dxa"/>
            <w:tcBorders>
              <w:top w:val="nil"/>
              <w:left w:val="single" w:sz="4" w:space="0" w:color="auto"/>
              <w:bottom w:val="single" w:sz="4" w:space="0" w:color="auto"/>
              <w:right w:val="single" w:sz="4" w:space="0" w:color="auto"/>
            </w:tcBorders>
            <w:noWrap/>
            <w:vAlign w:val="center"/>
            <w:hideMark/>
          </w:tcPr>
          <w:p w14:paraId="5554C31A" w14:textId="77777777" w:rsidR="00EF3F11" w:rsidRPr="00D97953" w:rsidRDefault="00EF3F11" w:rsidP="00EF3F11">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D97953">
              <w:rPr>
                <w:rFonts w:ascii="Times New Roman" w:eastAsia="Times New Roman" w:hAnsi="Times New Roman" w:cs="Times New Roman"/>
                <w:color w:val="000000"/>
                <w:kern w:val="0"/>
                <w:sz w:val="16"/>
                <w:szCs w:val="16"/>
                <w:lang w:eastAsia="en-IN"/>
                <w14:ligatures w14:val="none"/>
              </w:rPr>
              <w:t>14. Rajasthan:</w:t>
            </w:r>
          </w:p>
        </w:tc>
        <w:tc>
          <w:tcPr>
            <w:tcW w:w="608" w:type="dxa"/>
            <w:tcBorders>
              <w:top w:val="nil"/>
              <w:left w:val="nil"/>
              <w:bottom w:val="single" w:sz="4" w:space="0" w:color="auto"/>
              <w:right w:val="single" w:sz="4" w:space="0" w:color="auto"/>
            </w:tcBorders>
            <w:noWrap/>
            <w:vAlign w:val="center"/>
            <w:hideMark/>
          </w:tcPr>
          <w:p w14:paraId="2FCD9649" w14:textId="77777777" w:rsidR="00EF3F11" w:rsidRPr="00D97953" w:rsidRDefault="00EF3F11" w:rsidP="00EF3F11">
            <w:pPr>
              <w:spacing w:after="0" w:line="240" w:lineRule="auto"/>
              <w:rPr>
                <w:rFonts w:ascii="Aptos" w:eastAsia="Times New Roman" w:hAnsi="Aptos" w:cs="Times New Roman"/>
                <w:color w:val="000000"/>
                <w:kern w:val="0"/>
                <w:sz w:val="16"/>
                <w:szCs w:val="16"/>
                <w:lang w:eastAsia="en-IN"/>
                <w14:ligatures w14:val="none"/>
              </w:rPr>
            </w:pPr>
            <w:r w:rsidRPr="00D97953">
              <w:rPr>
                <w:rFonts w:ascii="Aptos" w:eastAsia="Times New Roman" w:hAnsi="Aptos" w:cs="Times New Roman"/>
                <w:color w:val="000000"/>
                <w:kern w:val="0"/>
                <w:sz w:val="16"/>
                <w:szCs w:val="16"/>
                <w:lang w:eastAsia="en-IN"/>
                <w14:ligatures w14:val="none"/>
              </w:rPr>
              <w:t> </w:t>
            </w:r>
          </w:p>
        </w:tc>
        <w:tc>
          <w:tcPr>
            <w:tcW w:w="948" w:type="dxa"/>
            <w:tcBorders>
              <w:top w:val="nil"/>
              <w:left w:val="nil"/>
              <w:bottom w:val="single" w:sz="4" w:space="0" w:color="auto"/>
              <w:right w:val="single" w:sz="4" w:space="0" w:color="auto"/>
            </w:tcBorders>
            <w:noWrap/>
            <w:vAlign w:val="center"/>
            <w:hideMark/>
          </w:tcPr>
          <w:p w14:paraId="7D0B4030" w14:textId="77777777" w:rsidR="00EF3F11" w:rsidRPr="00D97953" w:rsidRDefault="00EF3F11" w:rsidP="00EF3F11">
            <w:pPr>
              <w:spacing w:after="0" w:line="240" w:lineRule="auto"/>
              <w:rPr>
                <w:rFonts w:ascii="Aptos" w:eastAsia="Times New Roman" w:hAnsi="Aptos" w:cs="Times New Roman"/>
                <w:color w:val="000000"/>
                <w:kern w:val="0"/>
                <w:sz w:val="16"/>
                <w:szCs w:val="16"/>
                <w:lang w:eastAsia="en-IN"/>
                <w14:ligatures w14:val="none"/>
              </w:rPr>
            </w:pPr>
            <w:r w:rsidRPr="00D97953">
              <w:rPr>
                <w:rFonts w:ascii="Aptos" w:eastAsia="Times New Roman" w:hAnsi="Aptos" w:cs="Times New Roman"/>
                <w:color w:val="000000"/>
                <w:kern w:val="0"/>
                <w:sz w:val="16"/>
                <w:szCs w:val="16"/>
                <w:lang w:eastAsia="en-IN"/>
                <w14:ligatures w14:val="none"/>
              </w:rPr>
              <w:t> </w:t>
            </w:r>
          </w:p>
        </w:tc>
        <w:tc>
          <w:tcPr>
            <w:tcW w:w="610" w:type="dxa"/>
            <w:tcBorders>
              <w:top w:val="nil"/>
              <w:left w:val="nil"/>
              <w:bottom w:val="single" w:sz="4" w:space="0" w:color="auto"/>
              <w:right w:val="single" w:sz="4" w:space="0" w:color="auto"/>
            </w:tcBorders>
            <w:noWrap/>
            <w:vAlign w:val="center"/>
            <w:hideMark/>
          </w:tcPr>
          <w:p w14:paraId="33AA7131" w14:textId="77777777" w:rsidR="00EF3F11" w:rsidRPr="00D97953" w:rsidRDefault="00EF3F11" w:rsidP="00EF3F11">
            <w:pPr>
              <w:spacing w:after="0" w:line="240" w:lineRule="auto"/>
              <w:rPr>
                <w:rFonts w:ascii="Aptos" w:eastAsia="Times New Roman" w:hAnsi="Aptos" w:cs="Times New Roman"/>
                <w:color w:val="000000"/>
                <w:kern w:val="0"/>
                <w:sz w:val="16"/>
                <w:szCs w:val="16"/>
                <w:lang w:eastAsia="en-IN"/>
                <w14:ligatures w14:val="none"/>
              </w:rPr>
            </w:pPr>
            <w:r w:rsidRPr="00D97953">
              <w:rPr>
                <w:rFonts w:ascii="Aptos" w:eastAsia="Times New Roman" w:hAnsi="Aptos" w:cs="Times New Roman"/>
                <w:color w:val="000000"/>
                <w:kern w:val="0"/>
                <w:sz w:val="16"/>
                <w:szCs w:val="16"/>
                <w:lang w:eastAsia="en-IN"/>
                <w14:ligatures w14:val="none"/>
              </w:rPr>
              <w:t> </w:t>
            </w:r>
          </w:p>
        </w:tc>
        <w:tc>
          <w:tcPr>
            <w:tcW w:w="1728" w:type="dxa"/>
            <w:tcBorders>
              <w:top w:val="nil"/>
              <w:left w:val="nil"/>
              <w:bottom w:val="single" w:sz="4" w:space="0" w:color="auto"/>
              <w:right w:val="single" w:sz="4" w:space="0" w:color="auto"/>
            </w:tcBorders>
            <w:noWrap/>
            <w:vAlign w:val="center"/>
            <w:hideMark/>
          </w:tcPr>
          <w:p w14:paraId="2CC5331A" w14:textId="77777777" w:rsidR="00EF3F11" w:rsidRPr="00D97953" w:rsidRDefault="00EF3F11" w:rsidP="00EF3F11">
            <w:pPr>
              <w:spacing w:after="0" w:line="240" w:lineRule="auto"/>
              <w:rPr>
                <w:rFonts w:ascii="Aptos" w:eastAsia="Times New Roman" w:hAnsi="Aptos" w:cs="Times New Roman"/>
                <w:color w:val="000000"/>
                <w:kern w:val="0"/>
                <w:sz w:val="16"/>
                <w:szCs w:val="16"/>
                <w:lang w:eastAsia="en-IN"/>
                <w14:ligatures w14:val="none"/>
              </w:rPr>
            </w:pPr>
            <w:r w:rsidRPr="00D97953">
              <w:rPr>
                <w:rFonts w:ascii="Aptos" w:eastAsia="Times New Roman" w:hAnsi="Aptos" w:cs="Times New Roman"/>
                <w:color w:val="000000"/>
                <w:kern w:val="0"/>
                <w:sz w:val="16"/>
                <w:szCs w:val="16"/>
                <w:lang w:eastAsia="en-IN"/>
                <w14:ligatures w14:val="none"/>
              </w:rPr>
              <w:t> </w:t>
            </w:r>
          </w:p>
        </w:tc>
        <w:tc>
          <w:tcPr>
            <w:tcW w:w="948" w:type="dxa"/>
            <w:tcBorders>
              <w:top w:val="nil"/>
              <w:left w:val="nil"/>
              <w:bottom w:val="single" w:sz="4" w:space="0" w:color="auto"/>
              <w:right w:val="single" w:sz="4" w:space="0" w:color="auto"/>
            </w:tcBorders>
            <w:noWrap/>
            <w:vAlign w:val="center"/>
            <w:hideMark/>
          </w:tcPr>
          <w:p w14:paraId="24463F2B" w14:textId="77777777" w:rsidR="00EF3F11" w:rsidRPr="00D97953" w:rsidRDefault="00EF3F11" w:rsidP="00EF3F11">
            <w:pPr>
              <w:spacing w:after="0" w:line="240" w:lineRule="auto"/>
              <w:rPr>
                <w:rFonts w:ascii="Aptos" w:eastAsia="Times New Roman" w:hAnsi="Aptos" w:cs="Times New Roman"/>
                <w:color w:val="000000"/>
                <w:kern w:val="0"/>
                <w:sz w:val="16"/>
                <w:szCs w:val="16"/>
                <w:lang w:eastAsia="en-IN"/>
                <w14:ligatures w14:val="none"/>
              </w:rPr>
            </w:pPr>
            <w:r w:rsidRPr="00D97953">
              <w:rPr>
                <w:rFonts w:ascii="Aptos" w:eastAsia="Times New Roman" w:hAnsi="Aptos" w:cs="Times New Roman"/>
                <w:color w:val="000000"/>
                <w:kern w:val="0"/>
                <w:sz w:val="16"/>
                <w:szCs w:val="16"/>
                <w:lang w:eastAsia="en-IN"/>
                <w14:ligatures w14:val="none"/>
              </w:rPr>
              <w:t> </w:t>
            </w:r>
          </w:p>
        </w:tc>
        <w:tc>
          <w:tcPr>
            <w:tcW w:w="611" w:type="dxa"/>
            <w:tcBorders>
              <w:top w:val="nil"/>
              <w:left w:val="nil"/>
              <w:bottom w:val="single" w:sz="4" w:space="0" w:color="auto"/>
              <w:right w:val="single" w:sz="4" w:space="0" w:color="auto"/>
            </w:tcBorders>
            <w:noWrap/>
            <w:vAlign w:val="center"/>
            <w:hideMark/>
          </w:tcPr>
          <w:p w14:paraId="35F21C7A" w14:textId="77777777" w:rsidR="00EF3F11" w:rsidRPr="00D97953" w:rsidRDefault="00EF3F11" w:rsidP="00EF3F11">
            <w:pPr>
              <w:spacing w:after="0" w:line="240" w:lineRule="auto"/>
              <w:rPr>
                <w:rFonts w:ascii="Aptos" w:eastAsia="Times New Roman" w:hAnsi="Aptos" w:cs="Times New Roman"/>
                <w:color w:val="000000"/>
                <w:kern w:val="0"/>
                <w:sz w:val="16"/>
                <w:szCs w:val="16"/>
                <w:lang w:eastAsia="en-IN"/>
                <w14:ligatures w14:val="none"/>
              </w:rPr>
            </w:pPr>
            <w:r w:rsidRPr="00D97953">
              <w:rPr>
                <w:rFonts w:ascii="Aptos" w:eastAsia="Times New Roman" w:hAnsi="Aptos" w:cs="Times New Roman"/>
                <w:color w:val="000000"/>
                <w:kern w:val="0"/>
                <w:sz w:val="16"/>
                <w:szCs w:val="16"/>
                <w:lang w:eastAsia="en-IN"/>
                <w14:ligatures w14:val="none"/>
              </w:rPr>
              <w:t> </w:t>
            </w:r>
          </w:p>
        </w:tc>
        <w:tc>
          <w:tcPr>
            <w:tcW w:w="1728" w:type="dxa"/>
            <w:tcBorders>
              <w:top w:val="nil"/>
              <w:left w:val="nil"/>
              <w:bottom w:val="single" w:sz="4" w:space="0" w:color="auto"/>
              <w:right w:val="single" w:sz="4" w:space="0" w:color="auto"/>
            </w:tcBorders>
            <w:noWrap/>
            <w:vAlign w:val="center"/>
            <w:hideMark/>
          </w:tcPr>
          <w:p w14:paraId="243B5594" w14:textId="77777777" w:rsidR="00EF3F11" w:rsidRPr="00D97953" w:rsidRDefault="00EF3F11" w:rsidP="00EF3F11">
            <w:pPr>
              <w:spacing w:after="0" w:line="240" w:lineRule="auto"/>
              <w:rPr>
                <w:rFonts w:ascii="Aptos" w:eastAsia="Times New Roman" w:hAnsi="Aptos" w:cs="Times New Roman"/>
                <w:color w:val="000000"/>
                <w:kern w:val="0"/>
                <w:sz w:val="16"/>
                <w:szCs w:val="16"/>
                <w:lang w:eastAsia="en-IN"/>
                <w14:ligatures w14:val="none"/>
              </w:rPr>
            </w:pPr>
            <w:r w:rsidRPr="00D97953">
              <w:rPr>
                <w:rFonts w:ascii="Aptos" w:eastAsia="Times New Roman" w:hAnsi="Aptos" w:cs="Times New Roman"/>
                <w:color w:val="000000"/>
                <w:kern w:val="0"/>
                <w:sz w:val="16"/>
                <w:szCs w:val="16"/>
                <w:lang w:eastAsia="en-IN"/>
                <w14:ligatures w14:val="none"/>
              </w:rPr>
              <w:t> </w:t>
            </w:r>
          </w:p>
        </w:tc>
        <w:tc>
          <w:tcPr>
            <w:tcW w:w="948" w:type="dxa"/>
            <w:tcBorders>
              <w:top w:val="nil"/>
              <w:left w:val="nil"/>
              <w:bottom w:val="single" w:sz="4" w:space="0" w:color="auto"/>
              <w:right w:val="single" w:sz="4" w:space="0" w:color="auto"/>
            </w:tcBorders>
            <w:noWrap/>
            <w:vAlign w:val="center"/>
            <w:hideMark/>
          </w:tcPr>
          <w:p w14:paraId="134EDFC4" w14:textId="77777777" w:rsidR="00EF3F11" w:rsidRPr="00D97953" w:rsidRDefault="00EF3F11" w:rsidP="00EF3F11">
            <w:pPr>
              <w:spacing w:after="0" w:line="240" w:lineRule="auto"/>
              <w:rPr>
                <w:rFonts w:ascii="Aptos" w:eastAsia="Times New Roman" w:hAnsi="Aptos" w:cs="Times New Roman"/>
                <w:color w:val="000000"/>
                <w:kern w:val="0"/>
                <w:sz w:val="16"/>
                <w:szCs w:val="16"/>
                <w:lang w:eastAsia="en-IN"/>
                <w14:ligatures w14:val="none"/>
              </w:rPr>
            </w:pPr>
            <w:r w:rsidRPr="00D97953">
              <w:rPr>
                <w:rFonts w:ascii="Aptos" w:eastAsia="Times New Roman" w:hAnsi="Aptos" w:cs="Times New Roman"/>
                <w:color w:val="000000"/>
                <w:kern w:val="0"/>
                <w:sz w:val="16"/>
                <w:szCs w:val="16"/>
                <w:lang w:eastAsia="en-IN"/>
                <w14:ligatures w14:val="none"/>
              </w:rPr>
              <w:t> </w:t>
            </w:r>
          </w:p>
        </w:tc>
        <w:tc>
          <w:tcPr>
            <w:tcW w:w="610" w:type="dxa"/>
            <w:tcBorders>
              <w:top w:val="nil"/>
              <w:left w:val="nil"/>
              <w:bottom w:val="single" w:sz="4" w:space="0" w:color="auto"/>
              <w:right w:val="single" w:sz="4" w:space="0" w:color="auto"/>
            </w:tcBorders>
            <w:noWrap/>
            <w:vAlign w:val="center"/>
            <w:hideMark/>
          </w:tcPr>
          <w:p w14:paraId="53EB233D" w14:textId="77777777" w:rsidR="00EF3F11" w:rsidRPr="00D97953" w:rsidRDefault="00EF3F11" w:rsidP="00EF3F11">
            <w:pPr>
              <w:spacing w:after="0" w:line="240" w:lineRule="auto"/>
              <w:rPr>
                <w:rFonts w:ascii="Aptos" w:eastAsia="Times New Roman" w:hAnsi="Aptos" w:cs="Times New Roman"/>
                <w:color w:val="000000"/>
                <w:kern w:val="0"/>
                <w:sz w:val="16"/>
                <w:szCs w:val="16"/>
                <w:lang w:eastAsia="en-IN"/>
                <w14:ligatures w14:val="none"/>
              </w:rPr>
            </w:pPr>
            <w:r w:rsidRPr="00D97953">
              <w:rPr>
                <w:rFonts w:ascii="Aptos" w:eastAsia="Times New Roman" w:hAnsi="Aptos" w:cs="Times New Roman"/>
                <w:color w:val="000000"/>
                <w:kern w:val="0"/>
                <w:sz w:val="16"/>
                <w:szCs w:val="16"/>
                <w:lang w:eastAsia="en-IN"/>
                <w14:ligatures w14:val="none"/>
              </w:rPr>
              <w:t> </w:t>
            </w:r>
          </w:p>
        </w:tc>
        <w:tc>
          <w:tcPr>
            <w:tcW w:w="1728" w:type="dxa"/>
            <w:tcBorders>
              <w:top w:val="nil"/>
              <w:left w:val="nil"/>
              <w:bottom w:val="single" w:sz="4" w:space="0" w:color="auto"/>
              <w:right w:val="single" w:sz="4" w:space="0" w:color="auto"/>
            </w:tcBorders>
            <w:noWrap/>
            <w:vAlign w:val="center"/>
            <w:hideMark/>
          </w:tcPr>
          <w:p w14:paraId="7EB3CE79" w14:textId="77777777" w:rsidR="00EF3F11" w:rsidRPr="00D97953" w:rsidRDefault="00EF3F11" w:rsidP="00EF3F11">
            <w:pPr>
              <w:spacing w:after="0" w:line="240" w:lineRule="auto"/>
              <w:rPr>
                <w:rFonts w:ascii="Aptos" w:eastAsia="Times New Roman" w:hAnsi="Aptos" w:cs="Times New Roman"/>
                <w:color w:val="000000"/>
                <w:kern w:val="0"/>
                <w:sz w:val="16"/>
                <w:szCs w:val="16"/>
                <w:lang w:eastAsia="en-IN"/>
                <w14:ligatures w14:val="none"/>
              </w:rPr>
            </w:pPr>
            <w:r w:rsidRPr="00D97953">
              <w:rPr>
                <w:rFonts w:ascii="Aptos" w:eastAsia="Times New Roman" w:hAnsi="Aptos" w:cs="Times New Roman"/>
                <w:color w:val="000000"/>
                <w:kern w:val="0"/>
                <w:sz w:val="16"/>
                <w:szCs w:val="16"/>
                <w:lang w:eastAsia="en-IN"/>
                <w14:ligatures w14:val="none"/>
              </w:rPr>
              <w:t> </w:t>
            </w:r>
          </w:p>
        </w:tc>
        <w:tc>
          <w:tcPr>
            <w:tcW w:w="948" w:type="dxa"/>
            <w:tcBorders>
              <w:top w:val="nil"/>
              <w:left w:val="nil"/>
              <w:bottom w:val="single" w:sz="4" w:space="0" w:color="auto"/>
              <w:right w:val="single" w:sz="4" w:space="0" w:color="auto"/>
            </w:tcBorders>
            <w:noWrap/>
            <w:vAlign w:val="center"/>
            <w:hideMark/>
          </w:tcPr>
          <w:p w14:paraId="5304E6B3" w14:textId="77777777" w:rsidR="00EF3F11" w:rsidRPr="00D97953" w:rsidRDefault="00EF3F11" w:rsidP="00EF3F11">
            <w:pPr>
              <w:spacing w:after="0" w:line="240" w:lineRule="auto"/>
              <w:rPr>
                <w:rFonts w:ascii="Aptos" w:eastAsia="Times New Roman" w:hAnsi="Aptos" w:cs="Times New Roman"/>
                <w:color w:val="000000"/>
                <w:kern w:val="0"/>
                <w:sz w:val="16"/>
                <w:szCs w:val="16"/>
                <w:lang w:eastAsia="en-IN"/>
                <w14:ligatures w14:val="none"/>
              </w:rPr>
            </w:pPr>
            <w:r w:rsidRPr="00D97953">
              <w:rPr>
                <w:rFonts w:ascii="Aptos" w:eastAsia="Times New Roman" w:hAnsi="Aptos" w:cs="Times New Roman"/>
                <w:color w:val="000000"/>
                <w:kern w:val="0"/>
                <w:sz w:val="16"/>
                <w:szCs w:val="16"/>
                <w:lang w:eastAsia="en-IN"/>
                <w14:ligatures w14:val="none"/>
              </w:rPr>
              <w:t> </w:t>
            </w:r>
          </w:p>
        </w:tc>
        <w:tc>
          <w:tcPr>
            <w:tcW w:w="608" w:type="dxa"/>
            <w:tcBorders>
              <w:top w:val="nil"/>
              <w:left w:val="nil"/>
              <w:bottom w:val="single" w:sz="4" w:space="0" w:color="auto"/>
              <w:right w:val="single" w:sz="4" w:space="0" w:color="auto"/>
            </w:tcBorders>
            <w:noWrap/>
            <w:vAlign w:val="center"/>
            <w:hideMark/>
          </w:tcPr>
          <w:p w14:paraId="7E134CD8" w14:textId="77777777" w:rsidR="00EF3F11" w:rsidRPr="00D97953" w:rsidRDefault="00EF3F11" w:rsidP="00EF3F11">
            <w:pPr>
              <w:spacing w:after="0" w:line="240" w:lineRule="auto"/>
              <w:rPr>
                <w:rFonts w:ascii="Aptos" w:eastAsia="Times New Roman" w:hAnsi="Aptos" w:cs="Times New Roman"/>
                <w:color w:val="000000"/>
                <w:kern w:val="0"/>
                <w:sz w:val="16"/>
                <w:szCs w:val="16"/>
                <w:lang w:eastAsia="en-IN"/>
                <w14:ligatures w14:val="none"/>
              </w:rPr>
            </w:pPr>
            <w:r w:rsidRPr="00D97953">
              <w:rPr>
                <w:rFonts w:ascii="Aptos" w:eastAsia="Times New Roman" w:hAnsi="Aptos" w:cs="Times New Roman"/>
                <w:color w:val="000000"/>
                <w:kern w:val="0"/>
                <w:sz w:val="16"/>
                <w:szCs w:val="16"/>
                <w:lang w:eastAsia="en-IN"/>
                <w14:ligatures w14:val="none"/>
              </w:rPr>
              <w:t> </w:t>
            </w:r>
          </w:p>
        </w:tc>
      </w:tr>
      <w:tr w:rsidR="00EF3F11" w:rsidRPr="00D97953" w14:paraId="3E1734F2" w14:textId="77777777" w:rsidTr="00D97953">
        <w:trPr>
          <w:gridAfter w:val="1"/>
          <w:wAfter w:w="15" w:type="dxa"/>
          <w:trHeight w:val="20"/>
          <w:jc w:val="center"/>
        </w:trPr>
        <w:tc>
          <w:tcPr>
            <w:tcW w:w="2464" w:type="dxa"/>
            <w:tcBorders>
              <w:top w:val="nil"/>
              <w:left w:val="single" w:sz="4" w:space="0" w:color="auto"/>
              <w:bottom w:val="single" w:sz="4" w:space="0" w:color="auto"/>
              <w:right w:val="single" w:sz="4" w:space="0" w:color="auto"/>
            </w:tcBorders>
            <w:noWrap/>
            <w:vAlign w:val="center"/>
            <w:hideMark/>
          </w:tcPr>
          <w:p w14:paraId="5715C257" w14:textId="77777777" w:rsidR="00EF3F11" w:rsidRPr="00D97953" w:rsidRDefault="00EF3F11" w:rsidP="00EF3F11">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D97953">
              <w:rPr>
                <w:rFonts w:ascii="Times New Roman" w:eastAsia="Times New Roman" w:hAnsi="Times New Roman" w:cs="Times New Roman"/>
                <w:color w:val="000000"/>
                <w:kern w:val="0"/>
                <w:sz w:val="16"/>
                <w:szCs w:val="16"/>
                <w:lang w:eastAsia="en-IN"/>
                <w14:ligatures w14:val="none"/>
              </w:rPr>
              <w:t>(a) Hydro and Steam</w:t>
            </w:r>
          </w:p>
        </w:tc>
        <w:tc>
          <w:tcPr>
            <w:tcW w:w="608" w:type="dxa"/>
            <w:tcBorders>
              <w:top w:val="nil"/>
              <w:left w:val="nil"/>
              <w:bottom w:val="single" w:sz="4" w:space="0" w:color="auto"/>
              <w:right w:val="single" w:sz="4" w:space="0" w:color="auto"/>
            </w:tcBorders>
            <w:noWrap/>
            <w:vAlign w:val="center"/>
            <w:hideMark/>
          </w:tcPr>
          <w:p w14:paraId="78CD6C47" w14:textId="77777777" w:rsidR="00EF3F11" w:rsidRPr="00D97953" w:rsidRDefault="00EF3F11" w:rsidP="00EF3F11">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D97953">
              <w:rPr>
                <w:rFonts w:ascii="Times New Roman" w:eastAsia="Times New Roman" w:hAnsi="Times New Roman" w:cs="Times New Roman"/>
                <w:color w:val="000000"/>
                <w:kern w:val="0"/>
                <w:sz w:val="16"/>
                <w:szCs w:val="16"/>
                <w:lang w:eastAsia="en-IN"/>
                <w14:ligatures w14:val="none"/>
              </w:rPr>
              <w:t>37.00</w:t>
            </w:r>
          </w:p>
        </w:tc>
        <w:tc>
          <w:tcPr>
            <w:tcW w:w="948" w:type="dxa"/>
            <w:tcBorders>
              <w:top w:val="nil"/>
              <w:left w:val="nil"/>
              <w:bottom w:val="single" w:sz="4" w:space="0" w:color="auto"/>
              <w:right w:val="single" w:sz="4" w:space="0" w:color="auto"/>
            </w:tcBorders>
            <w:noWrap/>
            <w:vAlign w:val="center"/>
            <w:hideMark/>
          </w:tcPr>
          <w:p w14:paraId="7BBFD67A" w14:textId="77777777" w:rsidR="00EF3F11" w:rsidRPr="00D97953" w:rsidRDefault="00EF3F11" w:rsidP="00EF3F11">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D97953">
              <w:rPr>
                <w:rFonts w:ascii="Times New Roman" w:eastAsia="Times New Roman" w:hAnsi="Times New Roman" w:cs="Times New Roman"/>
                <w:color w:val="000000"/>
                <w:kern w:val="0"/>
                <w:sz w:val="16"/>
                <w:szCs w:val="16"/>
                <w:lang w:eastAsia="en-IN"/>
                <w14:ligatures w14:val="none"/>
              </w:rPr>
              <w:t>5.00</w:t>
            </w:r>
          </w:p>
        </w:tc>
        <w:tc>
          <w:tcPr>
            <w:tcW w:w="610" w:type="dxa"/>
            <w:tcBorders>
              <w:top w:val="nil"/>
              <w:left w:val="nil"/>
              <w:bottom w:val="single" w:sz="4" w:space="0" w:color="auto"/>
              <w:right w:val="single" w:sz="4" w:space="0" w:color="auto"/>
            </w:tcBorders>
            <w:noWrap/>
            <w:vAlign w:val="center"/>
            <w:hideMark/>
          </w:tcPr>
          <w:p w14:paraId="0993FBBD" w14:textId="77777777" w:rsidR="00EF3F11" w:rsidRPr="00D97953" w:rsidRDefault="00EF3F11" w:rsidP="00EF3F11">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D97953">
              <w:rPr>
                <w:rFonts w:ascii="Times New Roman" w:eastAsia="Times New Roman" w:hAnsi="Times New Roman" w:cs="Times New Roman"/>
                <w:color w:val="000000"/>
                <w:kern w:val="0"/>
                <w:sz w:val="16"/>
                <w:szCs w:val="16"/>
                <w:lang w:eastAsia="en-IN"/>
                <w14:ligatures w14:val="none"/>
              </w:rPr>
              <w:t>42.00</w:t>
            </w:r>
          </w:p>
        </w:tc>
        <w:tc>
          <w:tcPr>
            <w:tcW w:w="1728" w:type="dxa"/>
            <w:tcBorders>
              <w:top w:val="nil"/>
              <w:left w:val="nil"/>
              <w:bottom w:val="single" w:sz="4" w:space="0" w:color="auto"/>
              <w:right w:val="single" w:sz="4" w:space="0" w:color="auto"/>
            </w:tcBorders>
            <w:noWrap/>
            <w:vAlign w:val="center"/>
            <w:hideMark/>
          </w:tcPr>
          <w:p w14:paraId="0D2D270E" w14:textId="77777777" w:rsidR="00EF3F11" w:rsidRPr="00D97953" w:rsidRDefault="00EF3F11" w:rsidP="00EF3F11">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D97953">
              <w:rPr>
                <w:rFonts w:ascii="Times New Roman" w:eastAsia="Times New Roman" w:hAnsi="Times New Roman" w:cs="Times New Roman"/>
                <w:color w:val="000000"/>
                <w:kern w:val="0"/>
                <w:sz w:val="16"/>
                <w:szCs w:val="16"/>
                <w:lang w:eastAsia="en-IN"/>
                <w14:ligatures w14:val="none"/>
              </w:rPr>
              <w:t>22.00</w:t>
            </w:r>
          </w:p>
        </w:tc>
        <w:tc>
          <w:tcPr>
            <w:tcW w:w="948" w:type="dxa"/>
            <w:tcBorders>
              <w:top w:val="nil"/>
              <w:left w:val="nil"/>
              <w:bottom w:val="single" w:sz="4" w:space="0" w:color="auto"/>
              <w:right w:val="single" w:sz="4" w:space="0" w:color="auto"/>
            </w:tcBorders>
            <w:noWrap/>
            <w:vAlign w:val="center"/>
            <w:hideMark/>
          </w:tcPr>
          <w:p w14:paraId="183FE9B4" w14:textId="77777777" w:rsidR="00EF3F11" w:rsidRPr="00D97953" w:rsidRDefault="00EF3F11" w:rsidP="00EF3F11">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D97953">
              <w:rPr>
                <w:rFonts w:ascii="Times New Roman" w:eastAsia="Times New Roman" w:hAnsi="Times New Roman" w:cs="Times New Roman"/>
                <w:color w:val="000000"/>
                <w:kern w:val="0"/>
                <w:sz w:val="16"/>
                <w:szCs w:val="16"/>
                <w:lang w:eastAsia="en-IN"/>
                <w14:ligatures w14:val="none"/>
              </w:rPr>
              <w:t>5.00</w:t>
            </w:r>
          </w:p>
        </w:tc>
        <w:tc>
          <w:tcPr>
            <w:tcW w:w="611" w:type="dxa"/>
            <w:tcBorders>
              <w:top w:val="nil"/>
              <w:left w:val="nil"/>
              <w:bottom w:val="single" w:sz="4" w:space="0" w:color="auto"/>
              <w:right w:val="single" w:sz="4" w:space="0" w:color="auto"/>
            </w:tcBorders>
            <w:noWrap/>
            <w:vAlign w:val="center"/>
            <w:hideMark/>
          </w:tcPr>
          <w:p w14:paraId="66F558E8" w14:textId="77777777" w:rsidR="00EF3F11" w:rsidRPr="00D97953" w:rsidRDefault="00EF3F11" w:rsidP="00EF3F11">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D97953">
              <w:rPr>
                <w:rFonts w:ascii="Times New Roman" w:eastAsia="Times New Roman" w:hAnsi="Times New Roman" w:cs="Times New Roman"/>
                <w:color w:val="000000"/>
                <w:kern w:val="0"/>
                <w:sz w:val="16"/>
                <w:szCs w:val="16"/>
                <w:lang w:eastAsia="en-IN"/>
                <w14:ligatures w14:val="none"/>
              </w:rPr>
              <w:t>27.00</w:t>
            </w:r>
          </w:p>
        </w:tc>
        <w:tc>
          <w:tcPr>
            <w:tcW w:w="1728" w:type="dxa"/>
            <w:tcBorders>
              <w:top w:val="nil"/>
              <w:left w:val="nil"/>
              <w:bottom w:val="single" w:sz="4" w:space="0" w:color="auto"/>
              <w:right w:val="single" w:sz="4" w:space="0" w:color="auto"/>
            </w:tcBorders>
            <w:noWrap/>
            <w:vAlign w:val="center"/>
            <w:hideMark/>
          </w:tcPr>
          <w:p w14:paraId="6D60B729" w14:textId="77777777" w:rsidR="00EF3F11" w:rsidRPr="00D97953" w:rsidRDefault="00EF3F11" w:rsidP="00EF3F11">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D97953">
              <w:rPr>
                <w:rFonts w:ascii="Times New Roman" w:eastAsia="Times New Roman" w:hAnsi="Times New Roman" w:cs="Times New Roman"/>
                <w:color w:val="000000"/>
                <w:kern w:val="0"/>
                <w:sz w:val="16"/>
                <w:szCs w:val="16"/>
                <w:lang w:eastAsia="en-IN"/>
                <w14:ligatures w14:val="none"/>
              </w:rPr>
              <w:t>40.00</w:t>
            </w:r>
          </w:p>
        </w:tc>
        <w:tc>
          <w:tcPr>
            <w:tcW w:w="948" w:type="dxa"/>
            <w:tcBorders>
              <w:top w:val="nil"/>
              <w:left w:val="nil"/>
              <w:bottom w:val="single" w:sz="4" w:space="0" w:color="auto"/>
              <w:right w:val="single" w:sz="4" w:space="0" w:color="auto"/>
            </w:tcBorders>
            <w:noWrap/>
            <w:vAlign w:val="center"/>
            <w:hideMark/>
          </w:tcPr>
          <w:p w14:paraId="325F9BE7" w14:textId="77777777" w:rsidR="00EF3F11" w:rsidRPr="00D97953" w:rsidRDefault="00EF3F11" w:rsidP="00EF3F11">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D97953">
              <w:rPr>
                <w:rFonts w:ascii="Times New Roman" w:eastAsia="Times New Roman" w:hAnsi="Times New Roman" w:cs="Times New Roman"/>
                <w:color w:val="000000"/>
                <w:kern w:val="0"/>
                <w:sz w:val="16"/>
                <w:szCs w:val="16"/>
                <w:lang w:eastAsia="en-IN"/>
                <w14:ligatures w14:val="none"/>
              </w:rPr>
              <w:t>5.00</w:t>
            </w:r>
          </w:p>
        </w:tc>
        <w:tc>
          <w:tcPr>
            <w:tcW w:w="610" w:type="dxa"/>
            <w:tcBorders>
              <w:top w:val="nil"/>
              <w:left w:val="nil"/>
              <w:bottom w:val="single" w:sz="4" w:space="0" w:color="auto"/>
              <w:right w:val="single" w:sz="4" w:space="0" w:color="auto"/>
            </w:tcBorders>
            <w:noWrap/>
            <w:vAlign w:val="center"/>
            <w:hideMark/>
          </w:tcPr>
          <w:p w14:paraId="18ECB813" w14:textId="77777777" w:rsidR="00EF3F11" w:rsidRPr="00D97953" w:rsidRDefault="00EF3F11" w:rsidP="00EF3F11">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D97953">
              <w:rPr>
                <w:rFonts w:ascii="Times New Roman" w:eastAsia="Times New Roman" w:hAnsi="Times New Roman" w:cs="Times New Roman"/>
                <w:color w:val="000000"/>
                <w:kern w:val="0"/>
                <w:sz w:val="16"/>
                <w:szCs w:val="16"/>
                <w:lang w:eastAsia="en-IN"/>
                <w14:ligatures w14:val="none"/>
              </w:rPr>
              <w:t>45.00</w:t>
            </w:r>
          </w:p>
        </w:tc>
        <w:tc>
          <w:tcPr>
            <w:tcW w:w="1728" w:type="dxa"/>
            <w:tcBorders>
              <w:top w:val="nil"/>
              <w:left w:val="nil"/>
              <w:bottom w:val="single" w:sz="4" w:space="0" w:color="auto"/>
              <w:right w:val="single" w:sz="4" w:space="0" w:color="auto"/>
            </w:tcBorders>
            <w:noWrap/>
            <w:vAlign w:val="center"/>
            <w:hideMark/>
          </w:tcPr>
          <w:p w14:paraId="4C5E6B7F" w14:textId="77777777" w:rsidR="00EF3F11" w:rsidRPr="00D97953" w:rsidRDefault="00EF3F11" w:rsidP="00EF3F11">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D97953">
              <w:rPr>
                <w:rFonts w:ascii="Times New Roman" w:eastAsia="Times New Roman" w:hAnsi="Times New Roman" w:cs="Times New Roman"/>
                <w:color w:val="000000"/>
                <w:kern w:val="0"/>
                <w:sz w:val="16"/>
                <w:szCs w:val="16"/>
                <w:lang w:eastAsia="en-IN"/>
                <w14:ligatures w14:val="none"/>
              </w:rPr>
              <w:t>22.00</w:t>
            </w:r>
          </w:p>
        </w:tc>
        <w:tc>
          <w:tcPr>
            <w:tcW w:w="948" w:type="dxa"/>
            <w:tcBorders>
              <w:top w:val="nil"/>
              <w:left w:val="nil"/>
              <w:bottom w:val="single" w:sz="4" w:space="0" w:color="auto"/>
              <w:right w:val="single" w:sz="4" w:space="0" w:color="auto"/>
            </w:tcBorders>
            <w:noWrap/>
            <w:vAlign w:val="center"/>
            <w:hideMark/>
          </w:tcPr>
          <w:p w14:paraId="5D4EC29F" w14:textId="77777777" w:rsidR="00EF3F11" w:rsidRPr="00D97953" w:rsidRDefault="00EF3F11" w:rsidP="00EF3F11">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D97953">
              <w:rPr>
                <w:rFonts w:ascii="Times New Roman" w:eastAsia="Times New Roman" w:hAnsi="Times New Roman" w:cs="Times New Roman"/>
                <w:color w:val="000000"/>
                <w:kern w:val="0"/>
                <w:sz w:val="16"/>
                <w:szCs w:val="16"/>
                <w:lang w:eastAsia="en-IN"/>
                <w14:ligatures w14:val="none"/>
              </w:rPr>
              <w:t>5.00</w:t>
            </w:r>
          </w:p>
        </w:tc>
        <w:tc>
          <w:tcPr>
            <w:tcW w:w="608" w:type="dxa"/>
            <w:tcBorders>
              <w:top w:val="nil"/>
              <w:left w:val="nil"/>
              <w:bottom w:val="single" w:sz="4" w:space="0" w:color="auto"/>
              <w:right w:val="single" w:sz="4" w:space="0" w:color="auto"/>
            </w:tcBorders>
            <w:noWrap/>
            <w:vAlign w:val="center"/>
            <w:hideMark/>
          </w:tcPr>
          <w:p w14:paraId="318D45A6" w14:textId="77777777" w:rsidR="00EF3F11" w:rsidRPr="00D97953" w:rsidRDefault="00EF3F11" w:rsidP="00EF3F11">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D97953">
              <w:rPr>
                <w:rFonts w:ascii="Times New Roman" w:eastAsia="Times New Roman" w:hAnsi="Times New Roman" w:cs="Times New Roman"/>
                <w:color w:val="000000"/>
                <w:kern w:val="0"/>
                <w:sz w:val="16"/>
                <w:szCs w:val="16"/>
                <w:lang w:eastAsia="en-IN"/>
                <w14:ligatures w14:val="none"/>
              </w:rPr>
              <w:t>27.00</w:t>
            </w:r>
          </w:p>
        </w:tc>
      </w:tr>
      <w:tr w:rsidR="00EF3F11" w:rsidRPr="00D97953" w14:paraId="33D95658" w14:textId="77777777" w:rsidTr="00D97953">
        <w:trPr>
          <w:gridAfter w:val="1"/>
          <w:wAfter w:w="15" w:type="dxa"/>
          <w:trHeight w:val="20"/>
          <w:jc w:val="center"/>
        </w:trPr>
        <w:tc>
          <w:tcPr>
            <w:tcW w:w="2464" w:type="dxa"/>
            <w:tcBorders>
              <w:top w:val="nil"/>
              <w:left w:val="single" w:sz="4" w:space="0" w:color="auto"/>
              <w:bottom w:val="single" w:sz="4" w:space="0" w:color="auto"/>
              <w:right w:val="single" w:sz="4" w:space="0" w:color="auto"/>
            </w:tcBorders>
            <w:noWrap/>
            <w:vAlign w:val="center"/>
            <w:hideMark/>
          </w:tcPr>
          <w:p w14:paraId="1B56F2EB" w14:textId="77777777" w:rsidR="00EF3F11" w:rsidRPr="00D97953" w:rsidRDefault="00EF3F11" w:rsidP="00EF3F11">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D97953">
              <w:rPr>
                <w:rFonts w:ascii="Times New Roman" w:eastAsia="Times New Roman" w:hAnsi="Times New Roman" w:cs="Times New Roman"/>
                <w:color w:val="000000"/>
                <w:kern w:val="0"/>
                <w:sz w:val="16"/>
                <w:szCs w:val="16"/>
                <w:lang w:eastAsia="en-IN"/>
                <w14:ligatures w14:val="none"/>
              </w:rPr>
              <w:t>(b) Diesel</w:t>
            </w:r>
          </w:p>
        </w:tc>
        <w:tc>
          <w:tcPr>
            <w:tcW w:w="608" w:type="dxa"/>
            <w:tcBorders>
              <w:top w:val="nil"/>
              <w:left w:val="nil"/>
              <w:bottom w:val="single" w:sz="4" w:space="0" w:color="auto"/>
              <w:right w:val="single" w:sz="4" w:space="0" w:color="auto"/>
            </w:tcBorders>
            <w:noWrap/>
            <w:vAlign w:val="center"/>
            <w:hideMark/>
          </w:tcPr>
          <w:p w14:paraId="71B1F464" w14:textId="77777777" w:rsidR="00EF3F11" w:rsidRPr="00D97953" w:rsidRDefault="00EF3F11" w:rsidP="00EF3F11">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D97953">
              <w:rPr>
                <w:rFonts w:ascii="Times New Roman" w:eastAsia="Times New Roman" w:hAnsi="Times New Roman" w:cs="Times New Roman"/>
                <w:color w:val="000000"/>
                <w:kern w:val="0"/>
                <w:sz w:val="16"/>
                <w:szCs w:val="16"/>
                <w:lang w:eastAsia="en-IN"/>
                <w14:ligatures w14:val="none"/>
              </w:rPr>
              <w:t>50.00</w:t>
            </w:r>
          </w:p>
        </w:tc>
        <w:tc>
          <w:tcPr>
            <w:tcW w:w="948" w:type="dxa"/>
            <w:tcBorders>
              <w:top w:val="nil"/>
              <w:left w:val="nil"/>
              <w:bottom w:val="single" w:sz="4" w:space="0" w:color="auto"/>
              <w:right w:val="single" w:sz="4" w:space="0" w:color="auto"/>
            </w:tcBorders>
            <w:noWrap/>
            <w:vAlign w:val="center"/>
            <w:hideMark/>
          </w:tcPr>
          <w:p w14:paraId="52F9840F" w14:textId="77777777" w:rsidR="00EF3F11" w:rsidRPr="00D97953" w:rsidRDefault="00EF3F11" w:rsidP="00EF3F11">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D97953">
              <w:rPr>
                <w:rFonts w:ascii="Times New Roman" w:eastAsia="Times New Roman" w:hAnsi="Times New Roman" w:cs="Times New Roman"/>
                <w:color w:val="000000"/>
                <w:kern w:val="0"/>
                <w:sz w:val="16"/>
                <w:szCs w:val="16"/>
                <w:lang w:eastAsia="en-IN"/>
                <w14:ligatures w14:val="none"/>
              </w:rPr>
              <w:t>5.00</w:t>
            </w:r>
          </w:p>
        </w:tc>
        <w:tc>
          <w:tcPr>
            <w:tcW w:w="610" w:type="dxa"/>
            <w:tcBorders>
              <w:top w:val="nil"/>
              <w:left w:val="nil"/>
              <w:bottom w:val="single" w:sz="4" w:space="0" w:color="auto"/>
              <w:right w:val="single" w:sz="4" w:space="0" w:color="auto"/>
            </w:tcBorders>
            <w:noWrap/>
            <w:vAlign w:val="center"/>
            <w:hideMark/>
          </w:tcPr>
          <w:p w14:paraId="494C044C" w14:textId="77777777" w:rsidR="00EF3F11" w:rsidRPr="00D97953" w:rsidRDefault="00EF3F11" w:rsidP="00EF3F11">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D97953">
              <w:rPr>
                <w:rFonts w:ascii="Times New Roman" w:eastAsia="Times New Roman" w:hAnsi="Times New Roman" w:cs="Times New Roman"/>
                <w:color w:val="000000"/>
                <w:kern w:val="0"/>
                <w:sz w:val="16"/>
                <w:szCs w:val="16"/>
                <w:lang w:eastAsia="en-IN"/>
                <w14:ligatures w14:val="none"/>
              </w:rPr>
              <w:t>55.00</w:t>
            </w:r>
          </w:p>
        </w:tc>
        <w:tc>
          <w:tcPr>
            <w:tcW w:w="1728" w:type="dxa"/>
            <w:tcBorders>
              <w:top w:val="nil"/>
              <w:left w:val="nil"/>
              <w:bottom w:val="single" w:sz="4" w:space="0" w:color="auto"/>
              <w:right w:val="single" w:sz="4" w:space="0" w:color="auto"/>
            </w:tcBorders>
            <w:noWrap/>
            <w:vAlign w:val="center"/>
            <w:hideMark/>
          </w:tcPr>
          <w:p w14:paraId="044DB114" w14:textId="77777777" w:rsidR="00EF3F11" w:rsidRPr="00D97953" w:rsidRDefault="00EF3F11" w:rsidP="00EF3F11">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D97953">
              <w:rPr>
                <w:rFonts w:ascii="Times New Roman" w:eastAsia="Times New Roman" w:hAnsi="Times New Roman" w:cs="Times New Roman"/>
                <w:color w:val="000000"/>
                <w:kern w:val="0"/>
                <w:sz w:val="16"/>
                <w:szCs w:val="16"/>
                <w:lang w:eastAsia="en-IN"/>
                <w14:ligatures w14:val="none"/>
              </w:rPr>
              <w:t>28.00</w:t>
            </w:r>
          </w:p>
        </w:tc>
        <w:tc>
          <w:tcPr>
            <w:tcW w:w="948" w:type="dxa"/>
            <w:tcBorders>
              <w:top w:val="nil"/>
              <w:left w:val="nil"/>
              <w:bottom w:val="single" w:sz="4" w:space="0" w:color="auto"/>
              <w:right w:val="single" w:sz="4" w:space="0" w:color="auto"/>
            </w:tcBorders>
            <w:noWrap/>
            <w:vAlign w:val="center"/>
            <w:hideMark/>
          </w:tcPr>
          <w:p w14:paraId="338EFB19" w14:textId="77777777" w:rsidR="00EF3F11" w:rsidRPr="00D97953" w:rsidRDefault="00EF3F11" w:rsidP="00EF3F11">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D97953">
              <w:rPr>
                <w:rFonts w:ascii="Times New Roman" w:eastAsia="Times New Roman" w:hAnsi="Times New Roman" w:cs="Times New Roman"/>
                <w:color w:val="000000"/>
                <w:kern w:val="0"/>
                <w:sz w:val="16"/>
                <w:szCs w:val="16"/>
                <w:lang w:eastAsia="en-IN"/>
                <w14:ligatures w14:val="none"/>
              </w:rPr>
              <w:t>3.00</w:t>
            </w:r>
          </w:p>
        </w:tc>
        <w:tc>
          <w:tcPr>
            <w:tcW w:w="611" w:type="dxa"/>
            <w:tcBorders>
              <w:top w:val="nil"/>
              <w:left w:val="nil"/>
              <w:bottom w:val="single" w:sz="4" w:space="0" w:color="auto"/>
              <w:right w:val="single" w:sz="4" w:space="0" w:color="auto"/>
            </w:tcBorders>
            <w:noWrap/>
            <w:vAlign w:val="center"/>
            <w:hideMark/>
          </w:tcPr>
          <w:p w14:paraId="0F43B5B7" w14:textId="77777777" w:rsidR="00EF3F11" w:rsidRPr="00D97953" w:rsidRDefault="00EF3F11" w:rsidP="00EF3F11">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D97953">
              <w:rPr>
                <w:rFonts w:ascii="Times New Roman" w:eastAsia="Times New Roman" w:hAnsi="Times New Roman" w:cs="Times New Roman"/>
                <w:color w:val="000000"/>
                <w:kern w:val="0"/>
                <w:sz w:val="16"/>
                <w:szCs w:val="16"/>
                <w:lang w:eastAsia="en-IN"/>
                <w14:ligatures w14:val="none"/>
              </w:rPr>
              <w:t>31.00</w:t>
            </w:r>
          </w:p>
        </w:tc>
        <w:tc>
          <w:tcPr>
            <w:tcW w:w="1728" w:type="dxa"/>
            <w:tcBorders>
              <w:top w:val="nil"/>
              <w:left w:val="nil"/>
              <w:bottom w:val="single" w:sz="4" w:space="0" w:color="auto"/>
              <w:right w:val="single" w:sz="4" w:space="0" w:color="auto"/>
            </w:tcBorders>
            <w:noWrap/>
            <w:vAlign w:val="center"/>
            <w:hideMark/>
          </w:tcPr>
          <w:p w14:paraId="339EF9D5" w14:textId="77777777" w:rsidR="00EF3F11" w:rsidRPr="00D97953" w:rsidRDefault="00EF3F11" w:rsidP="00EF3F11">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D97953">
              <w:rPr>
                <w:rFonts w:ascii="Times New Roman" w:eastAsia="Times New Roman" w:hAnsi="Times New Roman" w:cs="Times New Roman"/>
                <w:color w:val="000000"/>
                <w:kern w:val="0"/>
                <w:sz w:val="16"/>
                <w:szCs w:val="16"/>
                <w:lang w:eastAsia="en-IN"/>
                <w14:ligatures w14:val="none"/>
              </w:rPr>
              <w:t>53.00</w:t>
            </w:r>
          </w:p>
        </w:tc>
        <w:tc>
          <w:tcPr>
            <w:tcW w:w="948" w:type="dxa"/>
            <w:tcBorders>
              <w:top w:val="nil"/>
              <w:left w:val="nil"/>
              <w:bottom w:val="single" w:sz="4" w:space="0" w:color="auto"/>
              <w:right w:val="single" w:sz="4" w:space="0" w:color="auto"/>
            </w:tcBorders>
            <w:noWrap/>
            <w:vAlign w:val="center"/>
            <w:hideMark/>
          </w:tcPr>
          <w:p w14:paraId="74E33DBD" w14:textId="77777777" w:rsidR="00EF3F11" w:rsidRPr="00D97953" w:rsidRDefault="00EF3F11" w:rsidP="00EF3F11">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D97953">
              <w:rPr>
                <w:rFonts w:ascii="Times New Roman" w:eastAsia="Times New Roman" w:hAnsi="Times New Roman" w:cs="Times New Roman"/>
                <w:color w:val="000000"/>
                <w:kern w:val="0"/>
                <w:sz w:val="16"/>
                <w:szCs w:val="16"/>
                <w:lang w:eastAsia="en-IN"/>
                <w14:ligatures w14:val="none"/>
              </w:rPr>
              <w:t>5.00</w:t>
            </w:r>
          </w:p>
        </w:tc>
        <w:tc>
          <w:tcPr>
            <w:tcW w:w="610" w:type="dxa"/>
            <w:tcBorders>
              <w:top w:val="nil"/>
              <w:left w:val="nil"/>
              <w:bottom w:val="single" w:sz="4" w:space="0" w:color="auto"/>
              <w:right w:val="single" w:sz="4" w:space="0" w:color="auto"/>
            </w:tcBorders>
            <w:noWrap/>
            <w:vAlign w:val="center"/>
            <w:hideMark/>
          </w:tcPr>
          <w:p w14:paraId="4CC461F0" w14:textId="77777777" w:rsidR="00EF3F11" w:rsidRPr="00D97953" w:rsidRDefault="00EF3F11" w:rsidP="00EF3F11">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D97953">
              <w:rPr>
                <w:rFonts w:ascii="Times New Roman" w:eastAsia="Times New Roman" w:hAnsi="Times New Roman" w:cs="Times New Roman"/>
                <w:color w:val="000000"/>
                <w:kern w:val="0"/>
                <w:sz w:val="16"/>
                <w:szCs w:val="16"/>
                <w:lang w:eastAsia="en-IN"/>
                <w14:ligatures w14:val="none"/>
              </w:rPr>
              <w:t>58.00</w:t>
            </w:r>
          </w:p>
        </w:tc>
        <w:tc>
          <w:tcPr>
            <w:tcW w:w="1728" w:type="dxa"/>
            <w:tcBorders>
              <w:top w:val="nil"/>
              <w:left w:val="nil"/>
              <w:bottom w:val="single" w:sz="4" w:space="0" w:color="auto"/>
              <w:right w:val="single" w:sz="4" w:space="0" w:color="auto"/>
            </w:tcBorders>
            <w:noWrap/>
            <w:vAlign w:val="center"/>
            <w:hideMark/>
          </w:tcPr>
          <w:p w14:paraId="24EE0BC8" w14:textId="77777777" w:rsidR="00EF3F11" w:rsidRPr="00D97953" w:rsidRDefault="00EF3F11" w:rsidP="00EF3F11">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D97953">
              <w:rPr>
                <w:rFonts w:ascii="Times New Roman" w:eastAsia="Times New Roman" w:hAnsi="Times New Roman" w:cs="Times New Roman"/>
                <w:color w:val="000000"/>
                <w:kern w:val="0"/>
                <w:sz w:val="16"/>
                <w:szCs w:val="16"/>
                <w:lang w:eastAsia="en-IN"/>
                <w14:ligatures w14:val="none"/>
              </w:rPr>
              <w:t>28.00</w:t>
            </w:r>
          </w:p>
        </w:tc>
        <w:tc>
          <w:tcPr>
            <w:tcW w:w="948" w:type="dxa"/>
            <w:tcBorders>
              <w:top w:val="nil"/>
              <w:left w:val="nil"/>
              <w:bottom w:val="single" w:sz="4" w:space="0" w:color="auto"/>
              <w:right w:val="single" w:sz="4" w:space="0" w:color="auto"/>
            </w:tcBorders>
            <w:noWrap/>
            <w:vAlign w:val="center"/>
            <w:hideMark/>
          </w:tcPr>
          <w:p w14:paraId="5B46B818" w14:textId="77777777" w:rsidR="00EF3F11" w:rsidRPr="00D97953" w:rsidRDefault="00EF3F11" w:rsidP="00EF3F11">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D97953">
              <w:rPr>
                <w:rFonts w:ascii="Times New Roman" w:eastAsia="Times New Roman" w:hAnsi="Times New Roman" w:cs="Times New Roman"/>
                <w:color w:val="000000"/>
                <w:kern w:val="0"/>
                <w:sz w:val="16"/>
                <w:szCs w:val="16"/>
                <w:lang w:eastAsia="en-IN"/>
                <w14:ligatures w14:val="none"/>
              </w:rPr>
              <w:t>3.00</w:t>
            </w:r>
          </w:p>
        </w:tc>
        <w:tc>
          <w:tcPr>
            <w:tcW w:w="608" w:type="dxa"/>
            <w:tcBorders>
              <w:top w:val="nil"/>
              <w:left w:val="nil"/>
              <w:bottom w:val="single" w:sz="4" w:space="0" w:color="auto"/>
              <w:right w:val="single" w:sz="4" w:space="0" w:color="auto"/>
            </w:tcBorders>
            <w:noWrap/>
            <w:vAlign w:val="center"/>
            <w:hideMark/>
          </w:tcPr>
          <w:p w14:paraId="431152A6" w14:textId="77777777" w:rsidR="00EF3F11" w:rsidRPr="00D97953" w:rsidRDefault="00EF3F11" w:rsidP="00EF3F11">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D97953">
              <w:rPr>
                <w:rFonts w:ascii="Times New Roman" w:eastAsia="Times New Roman" w:hAnsi="Times New Roman" w:cs="Times New Roman"/>
                <w:color w:val="000000"/>
                <w:kern w:val="0"/>
                <w:sz w:val="16"/>
                <w:szCs w:val="16"/>
                <w:lang w:eastAsia="en-IN"/>
                <w14:ligatures w14:val="none"/>
              </w:rPr>
              <w:t>31.00</w:t>
            </w:r>
          </w:p>
        </w:tc>
      </w:tr>
      <w:tr w:rsidR="00EF3F11" w:rsidRPr="00D97953" w14:paraId="319923F7" w14:textId="77777777" w:rsidTr="00D97953">
        <w:trPr>
          <w:gridAfter w:val="1"/>
          <w:wAfter w:w="15" w:type="dxa"/>
          <w:trHeight w:val="20"/>
          <w:jc w:val="center"/>
        </w:trPr>
        <w:tc>
          <w:tcPr>
            <w:tcW w:w="2464" w:type="dxa"/>
            <w:tcBorders>
              <w:top w:val="nil"/>
              <w:left w:val="single" w:sz="4" w:space="0" w:color="auto"/>
              <w:bottom w:val="single" w:sz="4" w:space="0" w:color="auto"/>
              <w:right w:val="single" w:sz="4" w:space="0" w:color="auto"/>
            </w:tcBorders>
            <w:noWrap/>
            <w:vAlign w:val="center"/>
            <w:hideMark/>
          </w:tcPr>
          <w:p w14:paraId="33D23E4B" w14:textId="77777777" w:rsidR="00EF3F11" w:rsidRPr="00D97953" w:rsidRDefault="00EF3F11" w:rsidP="00EF3F11">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D97953">
              <w:rPr>
                <w:rFonts w:ascii="Times New Roman" w:eastAsia="Times New Roman" w:hAnsi="Times New Roman" w:cs="Times New Roman"/>
                <w:color w:val="000000"/>
                <w:kern w:val="0"/>
                <w:sz w:val="16"/>
                <w:szCs w:val="16"/>
                <w:lang w:eastAsia="en-IN"/>
                <w14:ligatures w14:val="none"/>
              </w:rPr>
              <w:t>15. Tamil Nadu:</w:t>
            </w:r>
          </w:p>
        </w:tc>
        <w:tc>
          <w:tcPr>
            <w:tcW w:w="608" w:type="dxa"/>
            <w:tcBorders>
              <w:top w:val="nil"/>
              <w:left w:val="nil"/>
              <w:bottom w:val="single" w:sz="4" w:space="0" w:color="auto"/>
              <w:right w:val="single" w:sz="4" w:space="0" w:color="auto"/>
            </w:tcBorders>
            <w:noWrap/>
            <w:vAlign w:val="center"/>
            <w:hideMark/>
          </w:tcPr>
          <w:p w14:paraId="23AC924C" w14:textId="77777777" w:rsidR="00EF3F11" w:rsidRPr="00D97953" w:rsidRDefault="00EF3F11" w:rsidP="00EF3F11">
            <w:pPr>
              <w:spacing w:after="0" w:line="240" w:lineRule="auto"/>
              <w:rPr>
                <w:rFonts w:ascii="Aptos" w:eastAsia="Times New Roman" w:hAnsi="Aptos" w:cs="Times New Roman"/>
                <w:color w:val="000000"/>
                <w:kern w:val="0"/>
                <w:sz w:val="16"/>
                <w:szCs w:val="16"/>
                <w:lang w:eastAsia="en-IN"/>
                <w14:ligatures w14:val="none"/>
              </w:rPr>
            </w:pPr>
            <w:r w:rsidRPr="00D97953">
              <w:rPr>
                <w:rFonts w:ascii="Aptos" w:eastAsia="Times New Roman" w:hAnsi="Aptos" w:cs="Times New Roman"/>
                <w:color w:val="000000"/>
                <w:kern w:val="0"/>
                <w:sz w:val="16"/>
                <w:szCs w:val="16"/>
                <w:lang w:eastAsia="en-IN"/>
                <w14:ligatures w14:val="none"/>
              </w:rPr>
              <w:t> </w:t>
            </w:r>
          </w:p>
        </w:tc>
        <w:tc>
          <w:tcPr>
            <w:tcW w:w="948" w:type="dxa"/>
            <w:tcBorders>
              <w:top w:val="nil"/>
              <w:left w:val="nil"/>
              <w:bottom w:val="single" w:sz="4" w:space="0" w:color="auto"/>
              <w:right w:val="single" w:sz="4" w:space="0" w:color="auto"/>
            </w:tcBorders>
            <w:noWrap/>
            <w:vAlign w:val="center"/>
            <w:hideMark/>
          </w:tcPr>
          <w:p w14:paraId="2E75394A" w14:textId="77777777" w:rsidR="00EF3F11" w:rsidRPr="00D97953" w:rsidRDefault="00EF3F11" w:rsidP="00EF3F11">
            <w:pPr>
              <w:spacing w:after="0" w:line="240" w:lineRule="auto"/>
              <w:rPr>
                <w:rFonts w:ascii="Aptos" w:eastAsia="Times New Roman" w:hAnsi="Aptos" w:cs="Times New Roman"/>
                <w:color w:val="000000"/>
                <w:kern w:val="0"/>
                <w:sz w:val="16"/>
                <w:szCs w:val="16"/>
                <w:lang w:eastAsia="en-IN"/>
                <w14:ligatures w14:val="none"/>
              </w:rPr>
            </w:pPr>
            <w:r w:rsidRPr="00D97953">
              <w:rPr>
                <w:rFonts w:ascii="Aptos" w:eastAsia="Times New Roman" w:hAnsi="Aptos" w:cs="Times New Roman"/>
                <w:color w:val="000000"/>
                <w:kern w:val="0"/>
                <w:sz w:val="16"/>
                <w:szCs w:val="16"/>
                <w:lang w:eastAsia="en-IN"/>
                <w14:ligatures w14:val="none"/>
              </w:rPr>
              <w:t> </w:t>
            </w:r>
          </w:p>
        </w:tc>
        <w:tc>
          <w:tcPr>
            <w:tcW w:w="610" w:type="dxa"/>
            <w:tcBorders>
              <w:top w:val="nil"/>
              <w:left w:val="nil"/>
              <w:bottom w:val="single" w:sz="4" w:space="0" w:color="auto"/>
              <w:right w:val="single" w:sz="4" w:space="0" w:color="auto"/>
            </w:tcBorders>
            <w:noWrap/>
            <w:vAlign w:val="center"/>
            <w:hideMark/>
          </w:tcPr>
          <w:p w14:paraId="622390E4" w14:textId="77777777" w:rsidR="00EF3F11" w:rsidRPr="00D97953" w:rsidRDefault="00EF3F11" w:rsidP="00EF3F11">
            <w:pPr>
              <w:spacing w:after="0" w:line="240" w:lineRule="auto"/>
              <w:rPr>
                <w:rFonts w:ascii="Aptos" w:eastAsia="Times New Roman" w:hAnsi="Aptos" w:cs="Times New Roman"/>
                <w:color w:val="000000"/>
                <w:kern w:val="0"/>
                <w:sz w:val="16"/>
                <w:szCs w:val="16"/>
                <w:lang w:eastAsia="en-IN"/>
                <w14:ligatures w14:val="none"/>
              </w:rPr>
            </w:pPr>
            <w:r w:rsidRPr="00D97953">
              <w:rPr>
                <w:rFonts w:ascii="Aptos" w:eastAsia="Times New Roman" w:hAnsi="Aptos" w:cs="Times New Roman"/>
                <w:color w:val="000000"/>
                <w:kern w:val="0"/>
                <w:sz w:val="16"/>
                <w:szCs w:val="16"/>
                <w:lang w:eastAsia="en-IN"/>
                <w14:ligatures w14:val="none"/>
              </w:rPr>
              <w:t> </w:t>
            </w:r>
          </w:p>
        </w:tc>
        <w:tc>
          <w:tcPr>
            <w:tcW w:w="1728" w:type="dxa"/>
            <w:tcBorders>
              <w:top w:val="nil"/>
              <w:left w:val="nil"/>
              <w:bottom w:val="single" w:sz="4" w:space="0" w:color="auto"/>
              <w:right w:val="single" w:sz="4" w:space="0" w:color="auto"/>
            </w:tcBorders>
            <w:noWrap/>
            <w:vAlign w:val="center"/>
            <w:hideMark/>
          </w:tcPr>
          <w:p w14:paraId="097A5FD6" w14:textId="77777777" w:rsidR="00EF3F11" w:rsidRPr="00D97953" w:rsidRDefault="00EF3F11" w:rsidP="00EF3F11">
            <w:pPr>
              <w:spacing w:after="0" w:line="240" w:lineRule="auto"/>
              <w:rPr>
                <w:rFonts w:ascii="Aptos" w:eastAsia="Times New Roman" w:hAnsi="Aptos" w:cs="Times New Roman"/>
                <w:color w:val="000000"/>
                <w:kern w:val="0"/>
                <w:sz w:val="16"/>
                <w:szCs w:val="16"/>
                <w:lang w:eastAsia="en-IN"/>
                <w14:ligatures w14:val="none"/>
              </w:rPr>
            </w:pPr>
            <w:r w:rsidRPr="00D97953">
              <w:rPr>
                <w:rFonts w:ascii="Aptos" w:eastAsia="Times New Roman" w:hAnsi="Aptos" w:cs="Times New Roman"/>
                <w:color w:val="000000"/>
                <w:kern w:val="0"/>
                <w:sz w:val="16"/>
                <w:szCs w:val="16"/>
                <w:lang w:eastAsia="en-IN"/>
                <w14:ligatures w14:val="none"/>
              </w:rPr>
              <w:t> </w:t>
            </w:r>
          </w:p>
        </w:tc>
        <w:tc>
          <w:tcPr>
            <w:tcW w:w="948" w:type="dxa"/>
            <w:tcBorders>
              <w:top w:val="nil"/>
              <w:left w:val="nil"/>
              <w:bottom w:val="single" w:sz="4" w:space="0" w:color="auto"/>
              <w:right w:val="single" w:sz="4" w:space="0" w:color="auto"/>
            </w:tcBorders>
            <w:noWrap/>
            <w:vAlign w:val="center"/>
            <w:hideMark/>
          </w:tcPr>
          <w:p w14:paraId="36BB4286" w14:textId="77777777" w:rsidR="00EF3F11" w:rsidRPr="00D97953" w:rsidRDefault="00EF3F11" w:rsidP="00EF3F11">
            <w:pPr>
              <w:spacing w:after="0" w:line="240" w:lineRule="auto"/>
              <w:rPr>
                <w:rFonts w:ascii="Aptos" w:eastAsia="Times New Roman" w:hAnsi="Aptos" w:cs="Times New Roman"/>
                <w:color w:val="000000"/>
                <w:kern w:val="0"/>
                <w:sz w:val="16"/>
                <w:szCs w:val="16"/>
                <w:lang w:eastAsia="en-IN"/>
                <w14:ligatures w14:val="none"/>
              </w:rPr>
            </w:pPr>
            <w:r w:rsidRPr="00D97953">
              <w:rPr>
                <w:rFonts w:ascii="Aptos" w:eastAsia="Times New Roman" w:hAnsi="Aptos" w:cs="Times New Roman"/>
                <w:color w:val="000000"/>
                <w:kern w:val="0"/>
                <w:sz w:val="16"/>
                <w:szCs w:val="16"/>
                <w:lang w:eastAsia="en-IN"/>
                <w14:ligatures w14:val="none"/>
              </w:rPr>
              <w:t> </w:t>
            </w:r>
          </w:p>
        </w:tc>
        <w:tc>
          <w:tcPr>
            <w:tcW w:w="611" w:type="dxa"/>
            <w:tcBorders>
              <w:top w:val="nil"/>
              <w:left w:val="nil"/>
              <w:bottom w:val="single" w:sz="4" w:space="0" w:color="auto"/>
              <w:right w:val="single" w:sz="4" w:space="0" w:color="auto"/>
            </w:tcBorders>
            <w:noWrap/>
            <w:vAlign w:val="center"/>
            <w:hideMark/>
          </w:tcPr>
          <w:p w14:paraId="48F3E7D8" w14:textId="77777777" w:rsidR="00EF3F11" w:rsidRPr="00D97953" w:rsidRDefault="00EF3F11" w:rsidP="00EF3F11">
            <w:pPr>
              <w:spacing w:after="0" w:line="240" w:lineRule="auto"/>
              <w:rPr>
                <w:rFonts w:ascii="Aptos" w:eastAsia="Times New Roman" w:hAnsi="Aptos" w:cs="Times New Roman"/>
                <w:color w:val="000000"/>
                <w:kern w:val="0"/>
                <w:sz w:val="16"/>
                <w:szCs w:val="16"/>
                <w:lang w:eastAsia="en-IN"/>
                <w14:ligatures w14:val="none"/>
              </w:rPr>
            </w:pPr>
            <w:r w:rsidRPr="00D97953">
              <w:rPr>
                <w:rFonts w:ascii="Aptos" w:eastAsia="Times New Roman" w:hAnsi="Aptos" w:cs="Times New Roman"/>
                <w:color w:val="000000"/>
                <w:kern w:val="0"/>
                <w:sz w:val="16"/>
                <w:szCs w:val="16"/>
                <w:lang w:eastAsia="en-IN"/>
                <w14:ligatures w14:val="none"/>
              </w:rPr>
              <w:t> </w:t>
            </w:r>
          </w:p>
        </w:tc>
        <w:tc>
          <w:tcPr>
            <w:tcW w:w="1728" w:type="dxa"/>
            <w:tcBorders>
              <w:top w:val="nil"/>
              <w:left w:val="nil"/>
              <w:bottom w:val="single" w:sz="4" w:space="0" w:color="auto"/>
              <w:right w:val="single" w:sz="4" w:space="0" w:color="auto"/>
            </w:tcBorders>
            <w:noWrap/>
            <w:vAlign w:val="center"/>
            <w:hideMark/>
          </w:tcPr>
          <w:p w14:paraId="50122927" w14:textId="77777777" w:rsidR="00EF3F11" w:rsidRPr="00D97953" w:rsidRDefault="00EF3F11" w:rsidP="00EF3F11">
            <w:pPr>
              <w:spacing w:after="0" w:line="240" w:lineRule="auto"/>
              <w:rPr>
                <w:rFonts w:ascii="Aptos" w:eastAsia="Times New Roman" w:hAnsi="Aptos" w:cs="Times New Roman"/>
                <w:color w:val="000000"/>
                <w:kern w:val="0"/>
                <w:sz w:val="16"/>
                <w:szCs w:val="16"/>
                <w:lang w:eastAsia="en-IN"/>
                <w14:ligatures w14:val="none"/>
              </w:rPr>
            </w:pPr>
            <w:r w:rsidRPr="00D97953">
              <w:rPr>
                <w:rFonts w:ascii="Aptos" w:eastAsia="Times New Roman" w:hAnsi="Aptos" w:cs="Times New Roman"/>
                <w:color w:val="000000"/>
                <w:kern w:val="0"/>
                <w:sz w:val="16"/>
                <w:szCs w:val="16"/>
                <w:lang w:eastAsia="en-IN"/>
                <w14:ligatures w14:val="none"/>
              </w:rPr>
              <w:t> </w:t>
            </w:r>
          </w:p>
        </w:tc>
        <w:tc>
          <w:tcPr>
            <w:tcW w:w="948" w:type="dxa"/>
            <w:tcBorders>
              <w:top w:val="nil"/>
              <w:left w:val="nil"/>
              <w:bottom w:val="single" w:sz="4" w:space="0" w:color="auto"/>
              <w:right w:val="single" w:sz="4" w:space="0" w:color="auto"/>
            </w:tcBorders>
            <w:noWrap/>
            <w:vAlign w:val="center"/>
            <w:hideMark/>
          </w:tcPr>
          <w:p w14:paraId="63C19548" w14:textId="77777777" w:rsidR="00EF3F11" w:rsidRPr="00D97953" w:rsidRDefault="00EF3F11" w:rsidP="00EF3F11">
            <w:pPr>
              <w:spacing w:after="0" w:line="240" w:lineRule="auto"/>
              <w:rPr>
                <w:rFonts w:ascii="Aptos" w:eastAsia="Times New Roman" w:hAnsi="Aptos" w:cs="Times New Roman"/>
                <w:color w:val="000000"/>
                <w:kern w:val="0"/>
                <w:sz w:val="16"/>
                <w:szCs w:val="16"/>
                <w:lang w:eastAsia="en-IN"/>
                <w14:ligatures w14:val="none"/>
              </w:rPr>
            </w:pPr>
            <w:r w:rsidRPr="00D97953">
              <w:rPr>
                <w:rFonts w:ascii="Aptos" w:eastAsia="Times New Roman" w:hAnsi="Aptos" w:cs="Times New Roman"/>
                <w:color w:val="000000"/>
                <w:kern w:val="0"/>
                <w:sz w:val="16"/>
                <w:szCs w:val="16"/>
                <w:lang w:eastAsia="en-IN"/>
                <w14:ligatures w14:val="none"/>
              </w:rPr>
              <w:t> </w:t>
            </w:r>
          </w:p>
        </w:tc>
        <w:tc>
          <w:tcPr>
            <w:tcW w:w="610" w:type="dxa"/>
            <w:tcBorders>
              <w:top w:val="nil"/>
              <w:left w:val="nil"/>
              <w:bottom w:val="single" w:sz="4" w:space="0" w:color="auto"/>
              <w:right w:val="single" w:sz="4" w:space="0" w:color="auto"/>
            </w:tcBorders>
            <w:noWrap/>
            <w:vAlign w:val="center"/>
            <w:hideMark/>
          </w:tcPr>
          <w:p w14:paraId="1488DC60" w14:textId="77777777" w:rsidR="00EF3F11" w:rsidRPr="00D97953" w:rsidRDefault="00EF3F11" w:rsidP="00EF3F11">
            <w:pPr>
              <w:spacing w:after="0" w:line="240" w:lineRule="auto"/>
              <w:rPr>
                <w:rFonts w:ascii="Aptos" w:eastAsia="Times New Roman" w:hAnsi="Aptos" w:cs="Times New Roman"/>
                <w:color w:val="000000"/>
                <w:kern w:val="0"/>
                <w:sz w:val="16"/>
                <w:szCs w:val="16"/>
                <w:lang w:eastAsia="en-IN"/>
                <w14:ligatures w14:val="none"/>
              </w:rPr>
            </w:pPr>
            <w:r w:rsidRPr="00D97953">
              <w:rPr>
                <w:rFonts w:ascii="Aptos" w:eastAsia="Times New Roman" w:hAnsi="Aptos" w:cs="Times New Roman"/>
                <w:color w:val="000000"/>
                <w:kern w:val="0"/>
                <w:sz w:val="16"/>
                <w:szCs w:val="16"/>
                <w:lang w:eastAsia="en-IN"/>
                <w14:ligatures w14:val="none"/>
              </w:rPr>
              <w:t> </w:t>
            </w:r>
          </w:p>
        </w:tc>
        <w:tc>
          <w:tcPr>
            <w:tcW w:w="1728" w:type="dxa"/>
            <w:tcBorders>
              <w:top w:val="nil"/>
              <w:left w:val="nil"/>
              <w:bottom w:val="single" w:sz="4" w:space="0" w:color="auto"/>
              <w:right w:val="single" w:sz="4" w:space="0" w:color="auto"/>
            </w:tcBorders>
            <w:noWrap/>
            <w:vAlign w:val="center"/>
            <w:hideMark/>
          </w:tcPr>
          <w:p w14:paraId="617B13F5" w14:textId="77777777" w:rsidR="00EF3F11" w:rsidRPr="00D97953" w:rsidRDefault="00EF3F11" w:rsidP="00EF3F11">
            <w:pPr>
              <w:spacing w:after="0" w:line="240" w:lineRule="auto"/>
              <w:rPr>
                <w:rFonts w:ascii="Aptos" w:eastAsia="Times New Roman" w:hAnsi="Aptos" w:cs="Times New Roman"/>
                <w:color w:val="000000"/>
                <w:kern w:val="0"/>
                <w:sz w:val="16"/>
                <w:szCs w:val="16"/>
                <w:lang w:eastAsia="en-IN"/>
                <w14:ligatures w14:val="none"/>
              </w:rPr>
            </w:pPr>
            <w:r w:rsidRPr="00D97953">
              <w:rPr>
                <w:rFonts w:ascii="Aptos" w:eastAsia="Times New Roman" w:hAnsi="Aptos" w:cs="Times New Roman"/>
                <w:color w:val="000000"/>
                <w:kern w:val="0"/>
                <w:sz w:val="16"/>
                <w:szCs w:val="16"/>
                <w:lang w:eastAsia="en-IN"/>
                <w14:ligatures w14:val="none"/>
              </w:rPr>
              <w:t> </w:t>
            </w:r>
          </w:p>
        </w:tc>
        <w:tc>
          <w:tcPr>
            <w:tcW w:w="948" w:type="dxa"/>
            <w:tcBorders>
              <w:top w:val="nil"/>
              <w:left w:val="nil"/>
              <w:bottom w:val="single" w:sz="4" w:space="0" w:color="auto"/>
              <w:right w:val="single" w:sz="4" w:space="0" w:color="auto"/>
            </w:tcBorders>
            <w:noWrap/>
            <w:vAlign w:val="center"/>
            <w:hideMark/>
          </w:tcPr>
          <w:p w14:paraId="49B989FA" w14:textId="77777777" w:rsidR="00EF3F11" w:rsidRPr="00D97953" w:rsidRDefault="00EF3F11" w:rsidP="00EF3F11">
            <w:pPr>
              <w:spacing w:after="0" w:line="240" w:lineRule="auto"/>
              <w:rPr>
                <w:rFonts w:ascii="Aptos" w:eastAsia="Times New Roman" w:hAnsi="Aptos" w:cs="Times New Roman"/>
                <w:color w:val="000000"/>
                <w:kern w:val="0"/>
                <w:sz w:val="16"/>
                <w:szCs w:val="16"/>
                <w:lang w:eastAsia="en-IN"/>
                <w14:ligatures w14:val="none"/>
              </w:rPr>
            </w:pPr>
            <w:r w:rsidRPr="00D97953">
              <w:rPr>
                <w:rFonts w:ascii="Aptos" w:eastAsia="Times New Roman" w:hAnsi="Aptos" w:cs="Times New Roman"/>
                <w:color w:val="000000"/>
                <w:kern w:val="0"/>
                <w:sz w:val="16"/>
                <w:szCs w:val="16"/>
                <w:lang w:eastAsia="en-IN"/>
                <w14:ligatures w14:val="none"/>
              </w:rPr>
              <w:t> </w:t>
            </w:r>
          </w:p>
        </w:tc>
        <w:tc>
          <w:tcPr>
            <w:tcW w:w="608" w:type="dxa"/>
            <w:tcBorders>
              <w:top w:val="nil"/>
              <w:left w:val="nil"/>
              <w:bottom w:val="single" w:sz="4" w:space="0" w:color="auto"/>
              <w:right w:val="single" w:sz="4" w:space="0" w:color="auto"/>
            </w:tcBorders>
            <w:noWrap/>
            <w:vAlign w:val="center"/>
            <w:hideMark/>
          </w:tcPr>
          <w:p w14:paraId="6DEF0BD7" w14:textId="77777777" w:rsidR="00EF3F11" w:rsidRPr="00D97953" w:rsidRDefault="00EF3F11" w:rsidP="00EF3F11">
            <w:pPr>
              <w:spacing w:after="0" w:line="240" w:lineRule="auto"/>
              <w:rPr>
                <w:rFonts w:ascii="Aptos" w:eastAsia="Times New Roman" w:hAnsi="Aptos" w:cs="Times New Roman"/>
                <w:color w:val="000000"/>
                <w:kern w:val="0"/>
                <w:sz w:val="16"/>
                <w:szCs w:val="16"/>
                <w:lang w:eastAsia="en-IN"/>
                <w14:ligatures w14:val="none"/>
              </w:rPr>
            </w:pPr>
            <w:r w:rsidRPr="00D97953">
              <w:rPr>
                <w:rFonts w:ascii="Aptos" w:eastAsia="Times New Roman" w:hAnsi="Aptos" w:cs="Times New Roman"/>
                <w:color w:val="000000"/>
                <w:kern w:val="0"/>
                <w:sz w:val="16"/>
                <w:szCs w:val="16"/>
                <w:lang w:eastAsia="en-IN"/>
                <w14:ligatures w14:val="none"/>
              </w:rPr>
              <w:t> </w:t>
            </w:r>
          </w:p>
        </w:tc>
      </w:tr>
      <w:tr w:rsidR="00EF3F11" w:rsidRPr="00D97953" w14:paraId="5AA08DE6" w14:textId="77777777" w:rsidTr="00D97953">
        <w:trPr>
          <w:gridAfter w:val="1"/>
          <w:wAfter w:w="15" w:type="dxa"/>
          <w:trHeight w:val="20"/>
          <w:jc w:val="center"/>
        </w:trPr>
        <w:tc>
          <w:tcPr>
            <w:tcW w:w="2464" w:type="dxa"/>
            <w:tcBorders>
              <w:top w:val="nil"/>
              <w:left w:val="single" w:sz="4" w:space="0" w:color="auto"/>
              <w:bottom w:val="single" w:sz="4" w:space="0" w:color="auto"/>
              <w:right w:val="single" w:sz="4" w:space="0" w:color="auto"/>
            </w:tcBorders>
            <w:noWrap/>
            <w:vAlign w:val="center"/>
            <w:hideMark/>
          </w:tcPr>
          <w:p w14:paraId="5B058535" w14:textId="77777777" w:rsidR="00EF3F11" w:rsidRPr="00D97953" w:rsidRDefault="00EF3F11" w:rsidP="00EF3F11">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D97953">
              <w:rPr>
                <w:rFonts w:ascii="Times New Roman" w:eastAsia="Times New Roman" w:hAnsi="Times New Roman" w:cs="Times New Roman"/>
                <w:color w:val="000000"/>
                <w:kern w:val="0"/>
                <w:sz w:val="16"/>
                <w:szCs w:val="16"/>
                <w:lang w:eastAsia="en-IN"/>
                <w14:ligatures w14:val="none"/>
              </w:rPr>
              <w:t>(a) Madras Thermal</w:t>
            </w:r>
          </w:p>
        </w:tc>
        <w:tc>
          <w:tcPr>
            <w:tcW w:w="608" w:type="dxa"/>
            <w:vMerge w:val="restart"/>
            <w:tcBorders>
              <w:top w:val="nil"/>
              <w:left w:val="single" w:sz="4" w:space="0" w:color="auto"/>
              <w:bottom w:val="single" w:sz="4" w:space="0" w:color="000000"/>
              <w:right w:val="single" w:sz="4" w:space="0" w:color="auto"/>
            </w:tcBorders>
            <w:noWrap/>
            <w:vAlign w:val="center"/>
            <w:hideMark/>
          </w:tcPr>
          <w:p w14:paraId="7DD43138" w14:textId="77777777" w:rsidR="00EF3F11" w:rsidRPr="00D97953" w:rsidRDefault="00EF3F11" w:rsidP="00EF3F11">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D97953">
              <w:rPr>
                <w:rFonts w:ascii="Times New Roman" w:eastAsia="Times New Roman" w:hAnsi="Times New Roman" w:cs="Times New Roman"/>
                <w:color w:val="000000"/>
                <w:kern w:val="0"/>
                <w:sz w:val="16"/>
                <w:szCs w:val="16"/>
                <w:lang w:eastAsia="en-IN"/>
                <w14:ligatures w14:val="none"/>
              </w:rPr>
              <w:t>32.00</w:t>
            </w:r>
          </w:p>
        </w:tc>
        <w:tc>
          <w:tcPr>
            <w:tcW w:w="948" w:type="dxa"/>
            <w:vMerge w:val="restart"/>
            <w:tcBorders>
              <w:top w:val="nil"/>
              <w:left w:val="single" w:sz="4" w:space="0" w:color="auto"/>
              <w:bottom w:val="single" w:sz="4" w:space="0" w:color="000000"/>
              <w:right w:val="single" w:sz="4" w:space="0" w:color="auto"/>
            </w:tcBorders>
            <w:noWrap/>
            <w:vAlign w:val="center"/>
            <w:hideMark/>
          </w:tcPr>
          <w:p w14:paraId="507131EC" w14:textId="77777777" w:rsidR="00EF3F11" w:rsidRPr="00D97953" w:rsidRDefault="00EF3F11" w:rsidP="00EF3F11">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D97953">
              <w:rPr>
                <w:rFonts w:ascii="Times New Roman" w:eastAsia="Times New Roman" w:hAnsi="Times New Roman" w:cs="Times New Roman"/>
                <w:color w:val="000000"/>
                <w:kern w:val="0"/>
                <w:sz w:val="16"/>
                <w:szCs w:val="16"/>
                <w:lang w:eastAsia="en-IN"/>
                <w14:ligatures w14:val="none"/>
              </w:rPr>
              <w:t>3.20</w:t>
            </w:r>
          </w:p>
        </w:tc>
        <w:tc>
          <w:tcPr>
            <w:tcW w:w="610" w:type="dxa"/>
            <w:vMerge w:val="restart"/>
            <w:tcBorders>
              <w:top w:val="nil"/>
              <w:left w:val="single" w:sz="4" w:space="0" w:color="auto"/>
              <w:bottom w:val="single" w:sz="4" w:space="0" w:color="000000"/>
              <w:right w:val="single" w:sz="4" w:space="0" w:color="auto"/>
            </w:tcBorders>
            <w:noWrap/>
            <w:vAlign w:val="center"/>
            <w:hideMark/>
          </w:tcPr>
          <w:p w14:paraId="2194F8E3" w14:textId="77777777" w:rsidR="00EF3F11" w:rsidRPr="00D97953" w:rsidRDefault="00EF3F11" w:rsidP="00EF3F11">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D97953">
              <w:rPr>
                <w:rFonts w:ascii="Times New Roman" w:eastAsia="Times New Roman" w:hAnsi="Times New Roman" w:cs="Times New Roman"/>
                <w:color w:val="000000"/>
                <w:kern w:val="0"/>
                <w:sz w:val="16"/>
                <w:szCs w:val="16"/>
                <w:lang w:eastAsia="en-IN"/>
                <w14:ligatures w14:val="none"/>
              </w:rPr>
              <w:t>35.20</w:t>
            </w:r>
          </w:p>
        </w:tc>
        <w:tc>
          <w:tcPr>
            <w:tcW w:w="1728" w:type="dxa"/>
            <w:vMerge w:val="restart"/>
            <w:tcBorders>
              <w:top w:val="nil"/>
              <w:left w:val="single" w:sz="4" w:space="0" w:color="auto"/>
              <w:bottom w:val="single" w:sz="4" w:space="0" w:color="000000"/>
              <w:right w:val="single" w:sz="4" w:space="0" w:color="auto"/>
            </w:tcBorders>
            <w:noWrap/>
            <w:vAlign w:val="center"/>
            <w:hideMark/>
          </w:tcPr>
          <w:p w14:paraId="6B1CE13F" w14:textId="77777777" w:rsidR="00EF3F11" w:rsidRPr="00D97953" w:rsidRDefault="00EF3F11" w:rsidP="00EF3F11">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D97953">
              <w:rPr>
                <w:rFonts w:ascii="Times New Roman" w:eastAsia="Times New Roman" w:hAnsi="Times New Roman" w:cs="Times New Roman"/>
                <w:color w:val="000000"/>
                <w:kern w:val="0"/>
                <w:sz w:val="16"/>
                <w:szCs w:val="16"/>
                <w:lang w:eastAsia="en-IN"/>
                <w14:ligatures w14:val="none"/>
              </w:rPr>
              <w:t>12.00 (S.C.: 1.80)</w:t>
            </w:r>
          </w:p>
        </w:tc>
        <w:tc>
          <w:tcPr>
            <w:tcW w:w="948" w:type="dxa"/>
            <w:vMerge w:val="restart"/>
            <w:tcBorders>
              <w:top w:val="nil"/>
              <w:left w:val="single" w:sz="4" w:space="0" w:color="auto"/>
              <w:bottom w:val="single" w:sz="4" w:space="0" w:color="000000"/>
              <w:right w:val="single" w:sz="4" w:space="0" w:color="auto"/>
            </w:tcBorders>
            <w:noWrap/>
            <w:vAlign w:val="center"/>
            <w:hideMark/>
          </w:tcPr>
          <w:p w14:paraId="4DFA2459" w14:textId="77777777" w:rsidR="00EF3F11" w:rsidRPr="00D97953" w:rsidRDefault="00EF3F11" w:rsidP="00EF3F11">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D97953">
              <w:rPr>
                <w:rFonts w:ascii="Times New Roman" w:eastAsia="Times New Roman" w:hAnsi="Times New Roman" w:cs="Times New Roman"/>
                <w:color w:val="000000"/>
                <w:kern w:val="0"/>
                <w:sz w:val="16"/>
                <w:szCs w:val="16"/>
                <w:lang w:eastAsia="en-IN"/>
                <w14:ligatures w14:val="none"/>
              </w:rPr>
              <w:t>2.40</w:t>
            </w:r>
          </w:p>
        </w:tc>
        <w:tc>
          <w:tcPr>
            <w:tcW w:w="611" w:type="dxa"/>
            <w:vMerge w:val="restart"/>
            <w:tcBorders>
              <w:top w:val="nil"/>
              <w:left w:val="single" w:sz="4" w:space="0" w:color="auto"/>
              <w:bottom w:val="single" w:sz="4" w:space="0" w:color="000000"/>
              <w:right w:val="single" w:sz="4" w:space="0" w:color="auto"/>
            </w:tcBorders>
            <w:noWrap/>
            <w:vAlign w:val="center"/>
            <w:hideMark/>
          </w:tcPr>
          <w:p w14:paraId="10514AEB" w14:textId="77777777" w:rsidR="00EF3F11" w:rsidRPr="00D97953" w:rsidRDefault="00EF3F11" w:rsidP="00EF3F11">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D97953">
              <w:rPr>
                <w:rFonts w:ascii="Times New Roman" w:eastAsia="Times New Roman" w:hAnsi="Times New Roman" w:cs="Times New Roman"/>
                <w:color w:val="000000"/>
                <w:kern w:val="0"/>
                <w:sz w:val="16"/>
                <w:szCs w:val="16"/>
                <w:lang w:eastAsia="en-IN"/>
                <w14:ligatures w14:val="none"/>
              </w:rPr>
              <w:t>16.20</w:t>
            </w:r>
          </w:p>
        </w:tc>
        <w:tc>
          <w:tcPr>
            <w:tcW w:w="1728" w:type="dxa"/>
            <w:vMerge w:val="restart"/>
            <w:tcBorders>
              <w:top w:val="nil"/>
              <w:left w:val="single" w:sz="4" w:space="0" w:color="auto"/>
              <w:bottom w:val="single" w:sz="4" w:space="0" w:color="000000"/>
              <w:right w:val="single" w:sz="4" w:space="0" w:color="auto"/>
            </w:tcBorders>
            <w:noWrap/>
            <w:vAlign w:val="center"/>
            <w:hideMark/>
          </w:tcPr>
          <w:p w14:paraId="19B3D205" w14:textId="77777777" w:rsidR="00EF3F11" w:rsidRPr="00D97953" w:rsidRDefault="00EF3F11" w:rsidP="00EF3F11">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D97953">
              <w:rPr>
                <w:rFonts w:ascii="Times New Roman" w:eastAsia="Times New Roman" w:hAnsi="Times New Roman" w:cs="Times New Roman"/>
                <w:color w:val="000000"/>
                <w:kern w:val="0"/>
                <w:sz w:val="16"/>
                <w:szCs w:val="16"/>
                <w:lang w:eastAsia="en-IN"/>
                <w14:ligatures w14:val="none"/>
              </w:rPr>
              <w:t>34.00 (S.C.: 2.55)</w:t>
            </w:r>
          </w:p>
        </w:tc>
        <w:tc>
          <w:tcPr>
            <w:tcW w:w="948" w:type="dxa"/>
            <w:vMerge w:val="restart"/>
            <w:tcBorders>
              <w:top w:val="nil"/>
              <w:left w:val="single" w:sz="4" w:space="0" w:color="auto"/>
              <w:bottom w:val="single" w:sz="4" w:space="0" w:color="000000"/>
              <w:right w:val="single" w:sz="4" w:space="0" w:color="auto"/>
            </w:tcBorders>
            <w:noWrap/>
            <w:vAlign w:val="center"/>
            <w:hideMark/>
          </w:tcPr>
          <w:p w14:paraId="228CC995" w14:textId="77777777" w:rsidR="00EF3F11" w:rsidRPr="00D97953" w:rsidRDefault="00EF3F11" w:rsidP="00EF3F11">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D97953">
              <w:rPr>
                <w:rFonts w:ascii="Times New Roman" w:eastAsia="Times New Roman" w:hAnsi="Times New Roman" w:cs="Times New Roman"/>
                <w:color w:val="000000"/>
                <w:kern w:val="0"/>
                <w:sz w:val="16"/>
                <w:szCs w:val="16"/>
                <w:lang w:eastAsia="en-IN"/>
                <w14:ligatures w14:val="none"/>
              </w:rPr>
              <w:t>6.80</w:t>
            </w:r>
          </w:p>
        </w:tc>
        <w:tc>
          <w:tcPr>
            <w:tcW w:w="610" w:type="dxa"/>
            <w:vMerge w:val="restart"/>
            <w:tcBorders>
              <w:top w:val="nil"/>
              <w:left w:val="single" w:sz="4" w:space="0" w:color="auto"/>
              <w:bottom w:val="single" w:sz="4" w:space="0" w:color="000000"/>
              <w:right w:val="single" w:sz="4" w:space="0" w:color="auto"/>
            </w:tcBorders>
            <w:noWrap/>
            <w:vAlign w:val="center"/>
            <w:hideMark/>
          </w:tcPr>
          <w:p w14:paraId="0E1E22B6" w14:textId="77777777" w:rsidR="00EF3F11" w:rsidRPr="00D97953" w:rsidRDefault="00EF3F11" w:rsidP="00EF3F11">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D97953">
              <w:rPr>
                <w:rFonts w:ascii="Times New Roman" w:eastAsia="Times New Roman" w:hAnsi="Times New Roman" w:cs="Times New Roman"/>
                <w:color w:val="000000"/>
                <w:kern w:val="0"/>
                <w:sz w:val="16"/>
                <w:szCs w:val="16"/>
                <w:lang w:eastAsia="en-IN"/>
                <w14:ligatures w14:val="none"/>
              </w:rPr>
              <w:t>43.35</w:t>
            </w:r>
          </w:p>
        </w:tc>
        <w:tc>
          <w:tcPr>
            <w:tcW w:w="1728" w:type="dxa"/>
            <w:vMerge w:val="restart"/>
            <w:tcBorders>
              <w:top w:val="nil"/>
              <w:left w:val="single" w:sz="4" w:space="0" w:color="auto"/>
              <w:bottom w:val="single" w:sz="4" w:space="0" w:color="000000"/>
              <w:right w:val="single" w:sz="4" w:space="0" w:color="auto"/>
            </w:tcBorders>
            <w:noWrap/>
            <w:vAlign w:val="center"/>
            <w:hideMark/>
          </w:tcPr>
          <w:p w14:paraId="352661D5" w14:textId="77777777" w:rsidR="00EF3F11" w:rsidRPr="00D97953" w:rsidRDefault="00EF3F11" w:rsidP="00EF3F11">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D97953">
              <w:rPr>
                <w:rFonts w:ascii="Times New Roman" w:eastAsia="Times New Roman" w:hAnsi="Times New Roman" w:cs="Times New Roman"/>
                <w:color w:val="000000"/>
                <w:kern w:val="0"/>
                <w:sz w:val="16"/>
                <w:szCs w:val="16"/>
                <w:lang w:eastAsia="en-IN"/>
                <w14:ligatures w14:val="none"/>
              </w:rPr>
              <w:t>12.00 (S.C.: 1.80)</w:t>
            </w:r>
          </w:p>
        </w:tc>
        <w:tc>
          <w:tcPr>
            <w:tcW w:w="948" w:type="dxa"/>
            <w:vMerge w:val="restart"/>
            <w:tcBorders>
              <w:top w:val="nil"/>
              <w:left w:val="single" w:sz="4" w:space="0" w:color="auto"/>
              <w:bottom w:val="single" w:sz="4" w:space="0" w:color="000000"/>
              <w:right w:val="single" w:sz="4" w:space="0" w:color="auto"/>
            </w:tcBorders>
            <w:noWrap/>
            <w:vAlign w:val="center"/>
            <w:hideMark/>
          </w:tcPr>
          <w:p w14:paraId="1C83E752" w14:textId="77777777" w:rsidR="00EF3F11" w:rsidRPr="00D97953" w:rsidRDefault="00EF3F11" w:rsidP="00EF3F11">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D97953">
              <w:rPr>
                <w:rFonts w:ascii="Times New Roman" w:eastAsia="Times New Roman" w:hAnsi="Times New Roman" w:cs="Times New Roman"/>
                <w:color w:val="000000"/>
                <w:kern w:val="0"/>
                <w:sz w:val="16"/>
                <w:szCs w:val="16"/>
                <w:lang w:eastAsia="en-IN"/>
                <w14:ligatures w14:val="none"/>
              </w:rPr>
              <w:t>2.40</w:t>
            </w:r>
          </w:p>
        </w:tc>
        <w:tc>
          <w:tcPr>
            <w:tcW w:w="608" w:type="dxa"/>
            <w:vMerge w:val="restart"/>
            <w:tcBorders>
              <w:top w:val="nil"/>
              <w:left w:val="single" w:sz="4" w:space="0" w:color="auto"/>
              <w:bottom w:val="single" w:sz="4" w:space="0" w:color="000000"/>
              <w:right w:val="single" w:sz="4" w:space="0" w:color="auto"/>
            </w:tcBorders>
            <w:noWrap/>
            <w:vAlign w:val="center"/>
            <w:hideMark/>
          </w:tcPr>
          <w:p w14:paraId="0B4DFE72" w14:textId="77777777" w:rsidR="00EF3F11" w:rsidRPr="00D97953" w:rsidRDefault="00EF3F11" w:rsidP="00EF3F11">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D97953">
              <w:rPr>
                <w:rFonts w:ascii="Times New Roman" w:eastAsia="Times New Roman" w:hAnsi="Times New Roman" w:cs="Times New Roman"/>
                <w:color w:val="000000"/>
                <w:kern w:val="0"/>
                <w:sz w:val="16"/>
                <w:szCs w:val="16"/>
                <w:lang w:eastAsia="en-IN"/>
                <w14:ligatures w14:val="none"/>
              </w:rPr>
              <w:t>16.20</w:t>
            </w:r>
          </w:p>
        </w:tc>
      </w:tr>
      <w:tr w:rsidR="00EF3F11" w:rsidRPr="00D97953" w14:paraId="07BFB587" w14:textId="77777777" w:rsidTr="00D97953">
        <w:trPr>
          <w:gridAfter w:val="1"/>
          <w:wAfter w:w="15" w:type="dxa"/>
          <w:trHeight w:val="20"/>
          <w:jc w:val="center"/>
        </w:trPr>
        <w:tc>
          <w:tcPr>
            <w:tcW w:w="2464" w:type="dxa"/>
            <w:tcBorders>
              <w:top w:val="nil"/>
              <w:left w:val="single" w:sz="4" w:space="0" w:color="auto"/>
              <w:bottom w:val="single" w:sz="4" w:space="0" w:color="auto"/>
              <w:right w:val="single" w:sz="4" w:space="0" w:color="auto"/>
            </w:tcBorders>
            <w:noWrap/>
            <w:vAlign w:val="center"/>
            <w:hideMark/>
          </w:tcPr>
          <w:p w14:paraId="5C70A0F2" w14:textId="77777777" w:rsidR="00EF3F11" w:rsidRPr="00D97953" w:rsidRDefault="00EF3F11" w:rsidP="00EF3F11">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D97953">
              <w:rPr>
                <w:rFonts w:ascii="Times New Roman" w:eastAsia="Times New Roman" w:hAnsi="Times New Roman" w:cs="Times New Roman"/>
                <w:color w:val="000000"/>
                <w:kern w:val="0"/>
                <w:sz w:val="16"/>
                <w:szCs w:val="16"/>
                <w:lang w:eastAsia="en-IN"/>
                <w14:ligatures w14:val="none"/>
              </w:rPr>
              <w:t>(b) Rest</w:t>
            </w:r>
          </w:p>
        </w:tc>
        <w:tc>
          <w:tcPr>
            <w:tcW w:w="608" w:type="dxa"/>
            <w:vMerge/>
            <w:tcBorders>
              <w:top w:val="nil"/>
              <w:left w:val="single" w:sz="4" w:space="0" w:color="auto"/>
              <w:bottom w:val="single" w:sz="4" w:space="0" w:color="000000"/>
              <w:right w:val="single" w:sz="4" w:space="0" w:color="auto"/>
            </w:tcBorders>
            <w:vAlign w:val="center"/>
            <w:hideMark/>
          </w:tcPr>
          <w:p w14:paraId="67DB4F6F" w14:textId="77777777" w:rsidR="00EF3F11" w:rsidRPr="00D97953" w:rsidRDefault="00EF3F11" w:rsidP="00EF3F11">
            <w:pPr>
              <w:spacing w:after="0" w:line="240" w:lineRule="auto"/>
              <w:rPr>
                <w:rFonts w:ascii="Times New Roman" w:eastAsia="Times New Roman" w:hAnsi="Times New Roman" w:cs="Times New Roman"/>
                <w:color w:val="000000"/>
                <w:kern w:val="0"/>
                <w:sz w:val="16"/>
                <w:szCs w:val="16"/>
                <w:lang w:eastAsia="en-IN"/>
                <w14:ligatures w14:val="none"/>
              </w:rPr>
            </w:pPr>
          </w:p>
        </w:tc>
        <w:tc>
          <w:tcPr>
            <w:tcW w:w="948" w:type="dxa"/>
            <w:vMerge/>
            <w:tcBorders>
              <w:top w:val="nil"/>
              <w:left w:val="single" w:sz="4" w:space="0" w:color="auto"/>
              <w:bottom w:val="single" w:sz="4" w:space="0" w:color="000000"/>
              <w:right w:val="single" w:sz="4" w:space="0" w:color="auto"/>
            </w:tcBorders>
            <w:vAlign w:val="center"/>
            <w:hideMark/>
          </w:tcPr>
          <w:p w14:paraId="63834843" w14:textId="77777777" w:rsidR="00EF3F11" w:rsidRPr="00D97953" w:rsidRDefault="00EF3F11" w:rsidP="00EF3F11">
            <w:pPr>
              <w:spacing w:after="0" w:line="240" w:lineRule="auto"/>
              <w:rPr>
                <w:rFonts w:ascii="Times New Roman" w:eastAsia="Times New Roman" w:hAnsi="Times New Roman" w:cs="Times New Roman"/>
                <w:color w:val="000000"/>
                <w:kern w:val="0"/>
                <w:sz w:val="16"/>
                <w:szCs w:val="16"/>
                <w:lang w:eastAsia="en-IN"/>
                <w14:ligatures w14:val="none"/>
              </w:rPr>
            </w:pPr>
          </w:p>
        </w:tc>
        <w:tc>
          <w:tcPr>
            <w:tcW w:w="610" w:type="dxa"/>
            <w:vMerge/>
            <w:tcBorders>
              <w:top w:val="nil"/>
              <w:left w:val="single" w:sz="4" w:space="0" w:color="auto"/>
              <w:bottom w:val="single" w:sz="4" w:space="0" w:color="000000"/>
              <w:right w:val="single" w:sz="4" w:space="0" w:color="auto"/>
            </w:tcBorders>
            <w:vAlign w:val="center"/>
            <w:hideMark/>
          </w:tcPr>
          <w:p w14:paraId="3E78249B" w14:textId="77777777" w:rsidR="00EF3F11" w:rsidRPr="00D97953" w:rsidRDefault="00EF3F11" w:rsidP="00EF3F11">
            <w:pPr>
              <w:spacing w:after="0" w:line="240" w:lineRule="auto"/>
              <w:rPr>
                <w:rFonts w:ascii="Times New Roman" w:eastAsia="Times New Roman" w:hAnsi="Times New Roman" w:cs="Times New Roman"/>
                <w:color w:val="000000"/>
                <w:kern w:val="0"/>
                <w:sz w:val="16"/>
                <w:szCs w:val="16"/>
                <w:lang w:eastAsia="en-IN"/>
                <w14:ligatures w14:val="none"/>
              </w:rPr>
            </w:pPr>
          </w:p>
        </w:tc>
        <w:tc>
          <w:tcPr>
            <w:tcW w:w="1728" w:type="dxa"/>
            <w:vMerge/>
            <w:tcBorders>
              <w:top w:val="nil"/>
              <w:left w:val="single" w:sz="4" w:space="0" w:color="auto"/>
              <w:bottom w:val="single" w:sz="4" w:space="0" w:color="000000"/>
              <w:right w:val="single" w:sz="4" w:space="0" w:color="auto"/>
            </w:tcBorders>
            <w:vAlign w:val="center"/>
            <w:hideMark/>
          </w:tcPr>
          <w:p w14:paraId="2221283A" w14:textId="77777777" w:rsidR="00EF3F11" w:rsidRPr="00D97953" w:rsidRDefault="00EF3F11" w:rsidP="00EF3F11">
            <w:pPr>
              <w:spacing w:after="0" w:line="240" w:lineRule="auto"/>
              <w:rPr>
                <w:rFonts w:ascii="Times New Roman" w:eastAsia="Times New Roman" w:hAnsi="Times New Roman" w:cs="Times New Roman"/>
                <w:color w:val="000000"/>
                <w:kern w:val="0"/>
                <w:sz w:val="16"/>
                <w:szCs w:val="16"/>
                <w:lang w:eastAsia="en-IN"/>
                <w14:ligatures w14:val="none"/>
              </w:rPr>
            </w:pPr>
          </w:p>
        </w:tc>
        <w:tc>
          <w:tcPr>
            <w:tcW w:w="948" w:type="dxa"/>
            <w:vMerge/>
            <w:tcBorders>
              <w:top w:val="nil"/>
              <w:left w:val="single" w:sz="4" w:space="0" w:color="auto"/>
              <w:bottom w:val="single" w:sz="4" w:space="0" w:color="000000"/>
              <w:right w:val="single" w:sz="4" w:space="0" w:color="auto"/>
            </w:tcBorders>
            <w:vAlign w:val="center"/>
            <w:hideMark/>
          </w:tcPr>
          <w:p w14:paraId="6D10EB58" w14:textId="77777777" w:rsidR="00EF3F11" w:rsidRPr="00D97953" w:rsidRDefault="00EF3F11" w:rsidP="00EF3F11">
            <w:pPr>
              <w:spacing w:after="0" w:line="240" w:lineRule="auto"/>
              <w:rPr>
                <w:rFonts w:ascii="Times New Roman" w:eastAsia="Times New Roman" w:hAnsi="Times New Roman" w:cs="Times New Roman"/>
                <w:color w:val="000000"/>
                <w:kern w:val="0"/>
                <w:sz w:val="16"/>
                <w:szCs w:val="16"/>
                <w:lang w:eastAsia="en-IN"/>
                <w14:ligatures w14:val="none"/>
              </w:rPr>
            </w:pPr>
          </w:p>
        </w:tc>
        <w:tc>
          <w:tcPr>
            <w:tcW w:w="611" w:type="dxa"/>
            <w:vMerge/>
            <w:tcBorders>
              <w:top w:val="nil"/>
              <w:left w:val="single" w:sz="4" w:space="0" w:color="auto"/>
              <w:bottom w:val="single" w:sz="4" w:space="0" w:color="000000"/>
              <w:right w:val="single" w:sz="4" w:space="0" w:color="auto"/>
            </w:tcBorders>
            <w:vAlign w:val="center"/>
            <w:hideMark/>
          </w:tcPr>
          <w:p w14:paraId="3D218A9A" w14:textId="77777777" w:rsidR="00EF3F11" w:rsidRPr="00D97953" w:rsidRDefault="00EF3F11" w:rsidP="00EF3F11">
            <w:pPr>
              <w:spacing w:after="0" w:line="240" w:lineRule="auto"/>
              <w:rPr>
                <w:rFonts w:ascii="Times New Roman" w:eastAsia="Times New Roman" w:hAnsi="Times New Roman" w:cs="Times New Roman"/>
                <w:color w:val="000000"/>
                <w:kern w:val="0"/>
                <w:sz w:val="16"/>
                <w:szCs w:val="16"/>
                <w:lang w:eastAsia="en-IN"/>
                <w14:ligatures w14:val="none"/>
              </w:rPr>
            </w:pPr>
          </w:p>
        </w:tc>
        <w:tc>
          <w:tcPr>
            <w:tcW w:w="1728" w:type="dxa"/>
            <w:vMerge/>
            <w:tcBorders>
              <w:top w:val="nil"/>
              <w:left w:val="single" w:sz="4" w:space="0" w:color="auto"/>
              <w:bottom w:val="single" w:sz="4" w:space="0" w:color="000000"/>
              <w:right w:val="single" w:sz="4" w:space="0" w:color="auto"/>
            </w:tcBorders>
            <w:vAlign w:val="center"/>
            <w:hideMark/>
          </w:tcPr>
          <w:p w14:paraId="4ACF04B2" w14:textId="77777777" w:rsidR="00EF3F11" w:rsidRPr="00D97953" w:rsidRDefault="00EF3F11" w:rsidP="00EF3F11">
            <w:pPr>
              <w:spacing w:after="0" w:line="240" w:lineRule="auto"/>
              <w:rPr>
                <w:rFonts w:ascii="Times New Roman" w:eastAsia="Times New Roman" w:hAnsi="Times New Roman" w:cs="Times New Roman"/>
                <w:color w:val="000000"/>
                <w:kern w:val="0"/>
                <w:sz w:val="16"/>
                <w:szCs w:val="16"/>
                <w:lang w:eastAsia="en-IN"/>
                <w14:ligatures w14:val="none"/>
              </w:rPr>
            </w:pPr>
          </w:p>
        </w:tc>
        <w:tc>
          <w:tcPr>
            <w:tcW w:w="948" w:type="dxa"/>
            <w:vMerge/>
            <w:tcBorders>
              <w:top w:val="nil"/>
              <w:left w:val="single" w:sz="4" w:space="0" w:color="auto"/>
              <w:bottom w:val="single" w:sz="4" w:space="0" w:color="000000"/>
              <w:right w:val="single" w:sz="4" w:space="0" w:color="auto"/>
            </w:tcBorders>
            <w:vAlign w:val="center"/>
            <w:hideMark/>
          </w:tcPr>
          <w:p w14:paraId="02F3F6D6" w14:textId="77777777" w:rsidR="00EF3F11" w:rsidRPr="00D97953" w:rsidRDefault="00EF3F11" w:rsidP="00EF3F11">
            <w:pPr>
              <w:spacing w:after="0" w:line="240" w:lineRule="auto"/>
              <w:rPr>
                <w:rFonts w:ascii="Times New Roman" w:eastAsia="Times New Roman" w:hAnsi="Times New Roman" w:cs="Times New Roman"/>
                <w:color w:val="000000"/>
                <w:kern w:val="0"/>
                <w:sz w:val="16"/>
                <w:szCs w:val="16"/>
                <w:lang w:eastAsia="en-IN"/>
                <w14:ligatures w14:val="none"/>
              </w:rPr>
            </w:pPr>
          </w:p>
        </w:tc>
        <w:tc>
          <w:tcPr>
            <w:tcW w:w="610" w:type="dxa"/>
            <w:vMerge/>
            <w:tcBorders>
              <w:top w:val="nil"/>
              <w:left w:val="single" w:sz="4" w:space="0" w:color="auto"/>
              <w:bottom w:val="single" w:sz="4" w:space="0" w:color="000000"/>
              <w:right w:val="single" w:sz="4" w:space="0" w:color="auto"/>
            </w:tcBorders>
            <w:vAlign w:val="center"/>
            <w:hideMark/>
          </w:tcPr>
          <w:p w14:paraId="64511EDF" w14:textId="77777777" w:rsidR="00EF3F11" w:rsidRPr="00D97953" w:rsidRDefault="00EF3F11" w:rsidP="00EF3F11">
            <w:pPr>
              <w:spacing w:after="0" w:line="240" w:lineRule="auto"/>
              <w:rPr>
                <w:rFonts w:ascii="Times New Roman" w:eastAsia="Times New Roman" w:hAnsi="Times New Roman" w:cs="Times New Roman"/>
                <w:color w:val="000000"/>
                <w:kern w:val="0"/>
                <w:sz w:val="16"/>
                <w:szCs w:val="16"/>
                <w:lang w:eastAsia="en-IN"/>
                <w14:ligatures w14:val="none"/>
              </w:rPr>
            </w:pPr>
          </w:p>
        </w:tc>
        <w:tc>
          <w:tcPr>
            <w:tcW w:w="1728" w:type="dxa"/>
            <w:vMerge/>
            <w:tcBorders>
              <w:top w:val="nil"/>
              <w:left w:val="single" w:sz="4" w:space="0" w:color="auto"/>
              <w:bottom w:val="single" w:sz="4" w:space="0" w:color="000000"/>
              <w:right w:val="single" w:sz="4" w:space="0" w:color="auto"/>
            </w:tcBorders>
            <w:vAlign w:val="center"/>
            <w:hideMark/>
          </w:tcPr>
          <w:p w14:paraId="171A3486" w14:textId="77777777" w:rsidR="00EF3F11" w:rsidRPr="00D97953" w:rsidRDefault="00EF3F11" w:rsidP="00EF3F11">
            <w:pPr>
              <w:spacing w:after="0" w:line="240" w:lineRule="auto"/>
              <w:rPr>
                <w:rFonts w:ascii="Times New Roman" w:eastAsia="Times New Roman" w:hAnsi="Times New Roman" w:cs="Times New Roman"/>
                <w:color w:val="000000"/>
                <w:kern w:val="0"/>
                <w:sz w:val="16"/>
                <w:szCs w:val="16"/>
                <w:lang w:eastAsia="en-IN"/>
                <w14:ligatures w14:val="none"/>
              </w:rPr>
            </w:pPr>
          </w:p>
        </w:tc>
        <w:tc>
          <w:tcPr>
            <w:tcW w:w="948" w:type="dxa"/>
            <w:vMerge/>
            <w:tcBorders>
              <w:top w:val="nil"/>
              <w:left w:val="single" w:sz="4" w:space="0" w:color="auto"/>
              <w:bottom w:val="single" w:sz="4" w:space="0" w:color="000000"/>
              <w:right w:val="single" w:sz="4" w:space="0" w:color="auto"/>
            </w:tcBorders>
            <w:vAlign w:val="center"/>
            <w:hideMark/>
          </w:tcPr>
          <w:p w14:paraId="635DA52F" w14:textId="77777777" w:rsidR="00EF3F11" w:rsidRPr="00D97953" w:rsidRDefault="00EF3F11" w:rsidP="00EF3F11">
            <w:pPr>
              <w:spacing w:after="0" w:line="240" w:lineRule="auto"/>
              <w:rPr>
                <w:rFonts w:ascii="Times New Roman" w:eastAsia="Times New Roman" w:hAnsi="Times New Roman" w:cs="Times New Roman"/>
                <w:color w:val="000000"/>
                <w:kern w:val="0"/>
                <w:sz w:val="16"/>
                <w:szCs w:val="16"/>
                <w:lang w:eastAsia="en-IN"/>
                <w14:ligatures w14:val="none"/>
              </w:rPr>
            </w:pPr>
          </w:p>
        </w:tc>
        <w:tc>
          <w:tcPr>
            <w:tcW w:w="608" w:type="dxa"/>
            <w:vMerge/>
            <w:tcBorders>
              <w:top w:val="nil"/>
              <w:left w:val="single" w:sz="4" w:space="0" w:color="auto"/>
              <w:bottom w:val="single" w:sz="4" w:space="0" w:color="000000"/>
              <w:right w:val="single" w:sz="4" w:space="0" w:color="auto"/>
            </w:tcBorders>
            <w:vAlign w:val="center"/>
            <w:hideMark/>
          </w:tcPr>
          <w:p w14:paraId="1A96F83C" w14:textId="77777777" w:rsidR="00EF3F11" w:rsidRPr="00D97953" w:rsidRDefault="00EF3F11" w:rsidP="00EF3F11">
            <w:pPr>
              <w:spacing w:after="0" w:line="240" w:lineRule="auto"/>
              <w:rPr>
                <w:rFonts w:ascii="Times New Roman" w:eastAsia="Times New Roman" w:hAnsi="Times New Roman" w:cs="Times New Roman"/>
                <w:color w:val="000000"/>
                <w:kern w:val="0"/>
                <w:sz w:val="16"/>
                <w:szCs w:val="16"/>
                <w:lang w:eastAsia="en-IN"/>
                <w14:ligatures w14:val="none"/>
              </w:rPr>
            </w:pPr>
          </w:p>
        </w:tc>
      </w:tr>
      <w:tr w:rsidR="00EF3F11" w:rsidRPr="00D97953" w14:paraId="764912BE" w14:textId="77777777" w:rsidTr="00D97953">
        <w:trPr>
          <w:gridAfter w:val="1"/>
          <w:wAfter w:w="15" w:type="dxa"/>
          <w:trHeight w:val="20"/>
          <w:jc w:val="center"/>
        </w:trPr>
        <w:tc>
          <w:tcPr>
            <w:tcW w:w="2464" w:type="dxa"/>
            <w:tcBorders>
              <w:top w:val="nil"/>
              <w:left w:val="single" w:sz="4" w:space="0" w:color="auto"/>
              <w:bottom w:val="single" w:sz="4" w:space="0" w:color="auto"/>
              <w:right w:val="single" w:sz="4" w:space="0" w:color="auto"/>
            </w:tcBorders>
            <w:noWrap/>
            <w:vAlign w:val="center"/>
            <w:hideMark/>
          </w:tcPr>
          <w:p w14:paraId="60A3B609" w14:textId="77777777" w:rsidR="00EF3F11" w:rsidRPr="00D97953" w:rsidRDefault="00EF3F11" w:rsidP="00EF3F11">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D97953">
              <w:rPr>
                <w:rFonts w:ascii="Times New Roman" w:eastAsia="Times New Roman" w:hAnsi="Times New Roman" w:cs="Times New Roman"/>
                <w:color w:val="000000"/>
                <w:kern w:val="0"/>
                <w:sz w:val="16"/>
                <w:szCs w:val="16"/>
                <w:lang w:eastAsia="en-IN"/>
                <w14:ligatures w14:val="none"/>
              </w:rPr>
              <w:t>16. Uttar Pradesh:</w:t>
            </w:r>
          </w:p>
        </w:tc>
        <w:tc>
          <w:tcPr>
            <w:tcW w:w="608" w:type="dxa"/>
            <w:tcBorders>
              <w:top w:val="nil"/>
              <w:left w:val="nil"/>
              <w:bottom w:val="single" w:sz="4" w:space="0" w:color="auto"/>
              <w:right w:val="single" w:sz="4" w:space="0" w:color="auto"/>
            </w:tcBorders>
            <w:noWrap/>
            <w:vAlign w:val="center"/>
            <w:hideMark/>
          </w:tcPr>
          <w:p w14:paraId="038B67BE" w14:textId="77777777" w:rsidR="00EF3F11" w:rsidRPr="00D97953" w:rsidRDefault="00EF3F11" w:rsidP="00EF3F11">
            <w:pPr>
              <w:spacing w:after="0" w:line="240" w:lineRule="auto"/>
              <w:rPr>
                <w:rFonts w:ascii="Aptos" w:eastAsia="Times New Roman" w:hAnsi="Aptos" w:cs="Times New Roman"/>
                <w:color w:val="000000"/>
                <w:kern w:val="0"/>
                <w:sz w:val="16"/>
                <w:szCs w:val="16"/>
                <w:lang w:eastAsia="en-IN"/>
                <w14:ligatures w14:val="none"/>
              </w:rPr>
            </w:pPr>
            <w:r w:rsidRPr="00D97953">
              <w:rPr>
                <w:rFonts w:ascii="Aptos" w:eastAsia="Times New Roman" w:hAnsi="Aptos" w:cs="Times New Roman"/>
                <w:color w:val="000000"/>
                <w:kern w:val="0"/>
                <w:sz w:val="16"/>
                <w:szCs w:val="16"/>
                <w:lang w:eastAsia="en-IN"/>
                <w14:ligatures w14:val="none"/>
              </w:rPr>
              <w:t> </w:t>
            </w:r>
          </w:p>
        </w:tc>
        <w:tc>
          <w:tcPr>
            <w:tcW w:w="948" w:type="dxa"/>
            <w:tcBorders>
              <w:top w:val="nil"/>
              <w:left w:val="nil"/>
              <w:bottom w:val="single" w:sz="4" w:space="0" w:color="auto"/>
              <w:right w:val="single" w:sz="4" w:space="0" w:color="auto"/>
            </w:tcBorders>
            <w:noWrap/>
            <w:vAlign w:val="center"/>
            <w:hideMark/>
          </w:tcPr>
          <w:p w14:paraId="161789CA" w14:textId="77777777" w:rsidR="00EF3F11" w:rsidRPr="00D97953" w:rsidRDefault="00EF3F11" w:rsidP="00EF3F11">
            <w:pPr>
              <w:spacing w:after="0" w:line="240" w:lineRule="auto"/>
              <w:rPr>
                <w:rFonts w:ascii="Aptos" w:eastAsia="Times New Roman" w:hAnsi="Aptos" w:cs="Times New Roman"/>
                <w:color w:val="000000"/>
                <w:kern w:val="0"/>
                <w:sz w:val="16"/>
                <w:szCs w:val="16"/>
                <w:lang w:eastAsia="en-IN"/>
                <w14:ligatures w14:val="none"/>
              </w:rPr>
            </w:pPr>
            <w:r w:rsidRPr="00D97953">
              <w:rPr>
                <w:rFonts w:ascii="Aptos" w:eastAsia="Times New Roman" w:hAnsi="Aptos" w:cs="Times New Roman"/>
                <w:color w:val="000000"/>
                <w:kern w:val="0"/>
                <w:sz w:val="16"/>
                <w:szCs w:val="16"/>
                <w:lang w:eastAsia="en-IN"/>
                <w14:ligatures w14:val="none"/>
              </w:rPr>
              <w:t> </w:t>
            </w:r>
          </w:p>
        </w:tc>
        <w:tc>
          <w:tcPr>
            <w:tcW w:w="610" w:type="dxa"/>
            <w:tcBorders>
              <w:top w:val="nil"/>
              <w:left w:val="nil"/>
              <w:bottom w:val="single" w:sz="4" w:space="0" w:color="auto"/>
              <w:right w:val="single" w:sz="4" w:space="0" w:color="auto"/>
            </w:tcBorders>
            <w:noWrap/>
            <w:vAlign w:val="center"/>
            <w:hideMark/>
          </w:tcPr>
          <w:p w14:paraId="200DD2D7" w14:textId="77777777" w:rsidR="00EF3F11" w:rsidRPr="00D97953" w:rsidRDefault="00EF3F11" w:rsidP="00EF3F11">
            <w:pPr>
              <w:spacing w:after="0" w:line="240" w:lineRule="auto"/>
              <w:rPr>
                <w:rFonts w:ascii="Aptos" w:eastAsia="Times New Roman" w:hAnsi="Aptos" w:cs="Times New Roman"/>
                <w:color w:val="000000"/>
                <w:kern w:val="0"/>
                <w:sz w:val="16"/>
                <w:szCs w:val="16"/>
                <w:lang w:eastAsia="en-IN"/>
                <w14:ligatures w14:val="none"/>
              </w:rPr>
            </w:pPr>
            <w:r w:rsidRPr="00D97953">
              <w:rPr>
                <w:rFonts w:ascii="Aptos" w:eastAsia="Times New Roman" w:hAnsi="Aptos" w:cs="Times New Roman"/>
                <w:color w:val="000000"/>
                <w:kern w:val="0"/>
                <w:sz w:val="16"/>
                <w:szCs w:val="16"/>
                <w:lang w:eastAsia="en-IN"/>
                <w14:ligatures w14:val="none"/>
              </w:rPr>
              <w:t> </w:t>
            </w:r>
          </w:p>
        </w:tc>
        <w:tc>
          <w:tcPr>
            <w:tcW w:w="1728" w:type="dxa"/>
            <w:tcBorders>
              <w:top w:val="nil"/>
              <w:left w:val="nil"/>
              <w:bottom w:val="single" w:sz="4" w:space="0" w:color="auto"/>
              <w:right w:val="single" w:sz="4" w:space="0" w:color="auto"/>
            </w:tcBorders>
            <w:noWrap/>
            <w:vAlign w:val="center"/>
            <w:hideMark/>
          </w:tcPr>
          <w:p w14:paraId="4D5E4E62" w14:textId="77777777" w:rsidR="00EF3F11" w:rsidRPr="00D97953" w:rsidRDefault="00EF3F11" w:rsidP="00EF3F11">
            <w:pPr>
              <w:spacing w:after="0" w:line="240" w:lineRule="auto"/>
              <w:rPr>
                <w:rFonts w:ascii="Aptos" w:eastAsia="Times New Roman" w:hAnsi="Aptos" w:cs="Times New Roman"/>
                <w:color w:val="000000"/>
                <w:kern w:val="0"/>
                <w:sz w:val="16"/>
                <w:szCs w:val="16"/>
                <w:lang w:eastAsia="en-IN"/>
                <w14:ligatures w14:val="none"/>
              </w:rPr>
            </w:pPr>
            <w:r w:rsidRPr="00D97953">
              <w:rPr>
                <w:rFonts w:ascii="Aptos" w:eastAsia="Times New Roman" w:hAnsi="Aptos" w:cs="Times New Roman"/>
                <w:color w:val="000000"/>
                <w:kern w:val="0"/>
                <w:sz w:val="16"/>
                <w:szCs w:val="16"/>
                <w:lang w:eastAsia="en-IN"/>
                <w14:ligatures w14:val="none"/>
              </w:rPr>
              <w:t> </w:t>
            </w:r>
          </w:p>
        </w:tc>
        <w:tc>
          <w:tcPr>
            <w:tcW w:w="948" w:type="dxa"/>
            <w:tcBorders>
              <w:top w:val="nil"/>
              <w:left w:val="nil"/>
              <w:bottom w:val="single" w:sz="4" w:space="0" w:color="auto"/>
              <w:right w:val="single" w:sz="4" w:space="0" w:color="auto"/>
            </w:tcBorders>
            <w:noWrap/>
            <w:vAlign w:val="center"/>
            <w:hideMark/>
          </w:tcPr>
          <w:p w14:paraId="35F1DBFF" w14:textId="77777777" w:rsidR="00EF3F11" w:rsidRPr="00D97953" w:rsidRDefault="00EF3F11" w:rsidP="00EF3F11">
            <w:pPr>
              <w:spacing w:after="0" w:line="240" w:lineRule="auto"/>
              <w:rPr>
                <w:rFonts w:ascii="Aptos" w:eastAsia="Times New Roman" w:hAnsi="Aptos" w:cs="Times New Roman"/>
                <w:color w:val="000000"/>
                <w:kern w:val="0"/>
                <w:sz w:val="16"/>
                <w:szCs w:val="16"/>
                <w:lang w:eastAsia="en-IN"/>
                <w14:ligatures w14:val="none"/>
              </w:rPr>
            </w:pPr>
            <w:r w:rsidRPr="00D97953">
              <w:rPr>
                <w:rFonts w:ascii="Aptos" w:eastAsia="Times New Roman" w:hAnsi="Aptos" w:cs="Times New Roman"/>
                <w:color w:val="000000"/>
                <w:kern w:val="0"/>
                <w:sz w:val="16"/>
                <w:szCs w:val="16"/>
                <w:lang w:eastAsia="en-IN"/>
                <w14:ligatures w14:val="none"/>
              </w:rPr>
              <w:t> </w:t>
            </w:r>
          </w:p>
        </w:tc>
        <w:tc>
          <w:tcPr>
            <w:tcW w:w="611" w:type="dxa"/>
            <w:tcBorders>
              <w:top w:val="nil"/>
              <w:left w:val="nil"/>
              <w:bottom w:val="single" w:sz="4" w:space="0" w:color="auto"/>
              <w:right w:val="single" w:sz="4" w:space="0" w:color="auto"/>
            </w:tcBorders>
            <w:noWrap/>
            <w:vAlign w:val="center"/>
            <w:hideMark/>
          </w:tcPr>
          <w:p w14:paraId="1A9189AD" w14:textId="77777777" w:rsidR="00EF3F11" w:rsidRPr="00D97953" w:rsidRDefault="00EF3F11" w:rsidP="00EF3F11">
            <w:pPr>
              <w:spacing w:after="0" w:line="240" w:lineRule="auto"/>
              <w:rPr>
                <w:rFonts w:ascii="Aptos" w:eastAsia="Times New Roman" w:hAnsi="Aptos" w:cs="Times New Roman"/>
                <w:color w:val="000000"/>
                <w:kern w:val="0"/>
                <w:sz w:val="16"/>
                <w:szCs w:val="16"/>
                <w:lang w:eastAsia="en-IN"/>
                <w14:ligatures w14:val="none"/>
              </w:rPr>
            </w:pPr>
            <w:r w:rsidRPr="00D97953">
              <w:rPr>
                <w:rFonts w:ascii="Aptos" w:eastAsia="Times New Roman" w:hAnsi="Aptos" w:cs="Times New Roman"/>
                <w:color w:val="000000"/>
                <w:kern w:val="0"/>
                <w:sz w:val="16"/>
                <w:szCs w:val="16"/>
                <w:lang w:eastAsia="en-IN"/>
                <w14:ligatures w14:val="none"/>
              </w:rPr>
              <w:t> </w:t>
            </w:r>
          </w:p>
        </w:tc>
        <w:tc>
          <w:tcPr>
            <w:tcW w:w="1728" w:type="dxa"/>
            <w:tcBorders>
              <w:top w:val="nil"/>
              <w:left w:val="nil"/>
              <w:bottom w:val="single" w:sz="4" w:space="0" w:color="auto"/>
              <w:right w:val="single" w:sz="4" w:space="0" w:color="auto"/>
            </w:tcBorders>
            <w:noWrap/>
            <w:vAlign w:val="center"/>
            <w:hideMark/>
          </w:tcPr>
          <w:p w14:paraId="5C5B62A0" w14:textId="77777777" w:rsidR="00EF3F11" w:rsidRPr="00D97953" w:rsidRDefault="00EF3F11" w:rsidP="00EF3F11">
            <w:pPr>
              <w:spacing w:after="0" w:line="240" w:lineRule="auto"/>
              <w:rPr>
                <w:rFonts w:ascii="Aptos" w:eastAsia="Times New Roman" w:hAnsi="Aptos" w:cs="Times New Roman"/>
                <w:color w:val="000000"/>
                <w:kern w:val="0"/>
                <w:sz w:val="16"/>
                <w:szCs w:val="16"/>
                <w:lang w:eastAsia="en-IN"/>
                <w14:ligatures w14:val="none"/>
              </w:rPr>
            </w:pPr>
            <w:r w:rsidRPr="00D97953">
              <w:rPr>
                <w:rFonts w:ascii="Aptos" w:eastAsia="Times New Roman" w:hAnsi="Aptos" w:cs="Times New Roman"/>
                <w:color w:val="000000"/>
                <w:kern w:val="0"/>
                <w:sz w:val="16"/>
                <w:szCs w:val="16"/>
                <w:lang w:eastAsia="en-IN"/>
                <w14:ligatures w14:val="none"/>
              </w:rPr>
              <w:t> </w:t>
            </w:r>
          </w:p>
        </w:tc>
        <w:tc>
          <w:tcPr>
            <w:tcW w:w="948" w:type="dxa"/>
            <w:tcBorders>
              <w:top w:val="nil"/>
              <w:left w:val="nil"/>
              <w:bottom w:val="single" w:sz="4" w:space="0" w:color="auto"/>
              <w:right w:val="single" w:sz="4" w:space="0" w:color="auto"/>
            </w:tcBorders>
            <w:noWrap/>
            <w:vAlign w:val="center"/>
            <w:hideMark/>
          </w:tcPr>
          <w:p w14:paraId="38E3777B" w14:textId="77777777" w:rsidR="00EF3F11" w:rsidRPr="00D97953" w:rsidRDefault="00EF3F11" w:rsidP="00EF3F11">
            <w:pPr>
              <w:spacing w:after="0" w:line="240" w:lineRule="auto"/>
              <w:rPr>
                <w:rFonts w:ascii="Aptos" w:eastAsia="Times New Roman" w:hAnsi="Aptos" w:cs="Times New Roman"/>
                <w:color w:val="000000"/>
                <w:kern w:val="0"/>
                <w:sz w:val="16"/>
                <w:szCs w:val="16"/>
                <w:lang w:eastAsia="en-IN"/>
                <w14:ligatures w14:val="none"/>
              </w:rPr>
            </w:pPr>
            <w:r w:rsidRPr="00D97953">
              <w:rPr>
                <w:rFonts w:ascii="Aptos" w:eastAsia="Times New Roman" w:hAnsi="Aptos" w:cs="Times New Roman"/>
                <w:color w:val="000000"/>
                <w:kern w:val="0"/>
                <w:sz w:val="16"/>
                <w:szCs w:val="16"/>
                <w:lang w:eastAsia="en-IN"/>
                <w14:ligatures w14:val="none"/>
              </w:rPr>
              <w:t> </w:t>
            </w:r>
          </w:p>
        </w:tc>
        <w:tc>
          <w:tcPr>
            <w:tcW w:w="610" w:type="dxa"/>
            <w:tcBorders>
              <w:top w:val="nil"/>
              <w:left w:val="nil"/>
              <w:bottom w:val="single" w:sz="4" w:space="0" w:color="auto"/>
              <w:right w:val="single" w:sz="4" w:space="0" w:color="auto"/>
            </w:tcBorders>
            <w:noWrap/>
            <w:vAlign w:val="center"/>
            <w:hideMark/>
          </w:tcPr>
          <w:p w14:paraId="096B7DFB" w14:textId="77777777" w:rsidR="00EF3F11" w:rsidRPr="00D97953" w:rsidRDefault="00EF3F11" w:rsidP="00EF3F11">
            <w:pPr>
              <w:spacing w:after="0" w:line="240" w:lineRule="auto"/>
              <w:rPr>
                <w:rFonts w:ascii="Aptos" w:eastAsia="Times New Roman" w:hAnsi="Aptos" w:cs="Times New Roman"/>
                <w:color w:val="000000"/>
                <w:kern w:val="0"/>
                <w:sz w:val="16"/>
                <w:szCs w:val="16"/>
                <w:lang w:eastAsia="en-IN"/>
                <w14:ligatures w14:val="none"/>
              </w:rPr>
            </w:pPr>
            <w:r w:rsidRPr="00D97953">
              <w:rPr>
                <w:rFonts w:ascii="Aptos" w:eastAsia="Times New Roman" w:hAnsi="Aptos" w:cs="Times New Roman"/>
                <w:color w:val="000000"/>
                <w:kern w:val="0"/>
                <w:sz w:val="16"/>
                <w:szCs w:val="16"/>
                <w:lang w:eastAsia="en-IN"/>
                <w14:ligatures w14:val="none"/>
              </w:rPr>
              <w:t> </w:t>
            </w:r>
          </w:p>
        </w:tc>
        <w:tc>
          <w:tcPr>
            <w:tcW w:w="1728" w:type="dxa"/>
            <w:tcBorders>
              <w:top w:val="nil"/>
              <w:left w:val="nil"/>
              <w:bottom w:val="single" w:sz="4" w:space="0" w:color="auto"/>
              <w:right w:val="single" w:sz="4" w:space="0" w:color="auto"/>
            </w:tcBorders>
            <w:noWrap/>
            <w:vAlign w:val="center"/>
            <w:hideMark/>
          </w:tcPr>
          <w:p w14:paraId="7BCCC6EB" w14:textId="77777777" w:rsidR="00EF3F11" w:rsidRPr="00D97953" w:rsidRDefault="00EF3F11" w:rsidP="00EF3F11">
            <w:pPr>
              <w:spacing w:after="0" w:line="240" w:lineRule="auto"/>
              <w:rPr>
                <w:rFonts w:ascii="Aptos" w:eastAsia="Times New Roman" w:hAnsi="Aptos" w:cs="Times New Roman"/>
                <w:color w:val="000000"/>
                <w:kern w:val="0"/>
                <w:sz w:val="16"/>
                <w:szCs w:val="16"/>
                <w:lang w:eastAsia="en-IN"/>
                <w14:ligatures w14:val="none"/>
              </w:rPr>
            </w:pPr>
            <w:r w:rsidRPr="00D97953">
              <w:rPr>
                <w:rFonts w:ascii="Aptos" w:eastAsia="Times New Roman" w:hAnsi="Aptos" w:cs="Times New Roman"/>
                <w:color w:val="000000"/>
                <w:kern w:val="0"/>
                <w:sz w:val="16"/>
                <w:szCs w:val="16"/>
                <w:lang w:eastAsia="en-IN"/>
                <w14:ligatures w14:val="none"/>
              </w:rPr>
              <w:t> </w:t>
            </w:r>
          </w:p>
        </w:tc>
        <w:tc>
          <w:tcPr>
            <w:tcW w:w="948" w:type="dxa"/>
            <w:tcBorders>
              <w:top w:val="nil"/>
              <w:left w:val="nil"/>
              <w:bottom w:val="single" w:sz="4" w:space="0" w:color="auto"/>
              <w:right w:val="single" w:sz="4" w:space="0" w:color="auto"/>
            </w:tcBorders>
            <w:noWrap/>
            <w:vAlign w:val="center"/>
            <w:hideMark/>
          </w:tcPr>
          <w:p w14:paraId="79F8232C" w14:textId="77777777" w:rsidR="00EF3F11" w:rsidRPr="00D97953" w:rsidRDefault="00EF3F11" w:rsidP="00EF3F11">
            <w:pPr>
              <w:spacing w:after="0" w:line="240" w:lineRule="auto"/>
              <w:rPr>
                <w:rFonts w:ascii="Aptos" w:eastAsia="Times New Roman" w:hAnsi="Aptos" w:cs="Times New Roman"/>
                <w:color w:val="000000"/>
                <w:kern w:val="0"/>
                <w:sz w:val="16"/>
                <w:szCs w:val="16"/>
                <w:lang w:eastAsia="en-IN"/>
                <w14:ligatures w14:val="none"/>
              </w:rPr>
            </w:pPr>
            <w:r w:rsidRPr="00D97953">
              <w:rPr>
                <w:rFonts w:ascii="Aptos" w:eastAsia="Times New Roman" w:hAnsi="Aptos" w:cs="Times New Roman"/>
                <w:color w:val="000000"/>
                <w:kern w:val="0"/>
                <w:sz w:val="16"/>
                <w:szCs w:val="16"/>
                <w:lang w:eastAsia="en-IN"/>
                <w14:ligatures w14:val="none"/>
              </w:rPr>
              <w:t> </w:t>
            </w:r>
          </w:p>
        </w:tc>
        <w:tc>
          <w:tcPr>
            <w:tcW w:w="608" w:type="dxa"/>
            <w:tcBorders>
              <w:top w:val="nil"/>
              <w:left w:val="nil"/>
              <w:bottom w:val="single" w:sz="4" w:space="0" w:color="auto"/>
              <w:right w:val="single" w:sz="4" w:space="0" w:color="auto"/>
            </w:tcBorders>
            <w:noWrap/>
            <w:vAlign w:val="center"/>
            <w:hideMark/>
          </w:tcPr>
          <w:p w14:paraId="3F6A4E4A" w14:textId="77777777" w:rsidR="00EF3F11" w:rsidRPr="00D97953" w:rsidRDefault="00EF3F11" w:rsidP="00EF3F11">
            <w:pPr>
              <w:spacing w:after="0" w:line="240" w:lineRule="auto"/>
              <w:rPr>
                <w:rFonts w:ascii="Aptos" w:eastAsia="Times New Roman" w:hAnsi="Aptos" w:cs="Times New Roman"/>
                <w:color w:val="000000"/>
                <w:kern w:val="0"/>
                <w:sz w:val="16"/>
                <w:szCs w:val="16"/>
                <w:lang w:eastAsia="en-IN"/>
                <w14:ligatures w14:val="none"/>
              </w:rPr>
            </w:pPr>
            <w:r w:rsidRPr="00D97953">
              <w:rPr>
                <w:rFonts w:ascii="Aptos" w:eastAsia="Times New Roman" w:hAnsi="Aptos" w:cs="Times New Roman"/>
                <w:color w:val="000000"/>
                <w:kern w:val="0"/>
                <w:sz w:val="16"/>
                <w:szCs w:val="16"/>
                <w:lang w:eastAsia="en-IN"/>
                <w14:ligatures w14:val="none"/>
              </w:rPr>
              <w:t> </w:t>
            </w:r>
          </w:p>
        </w:tc>
      </w:tr>
      <w:tr w:rsidR="00EF3F11" w:rsidRPr="00D97953" w14:paraId="4CCB9565" w14:textId="77777777" w:rsidTr="00D97953">
        <w:trPr>
          <w:gridAfter w:val="1"/>
          <w:wAfter w:w="15" w:type="dxa"/>
          <w:trHeight w:val="20"/>
          <w:jc w:val="center"/>
        </w:trPr>
        <w:tc>
          <w:tcPr>
            <w:tcW w:w="2464" w:type="dxa"/>
            <w:tcBorders>
              <w:top w:val="nil"/>
              <w:left w:val="single" w:sz="4" w:space="0" w:color="auto"/>
              <w:bottom w:val="single" w:sz="4" w:space="0" w:color="auto"/>
              <w:right w:val="single" w:sz="4" w:space="0" w:color="auto"/>
            </w:tcBorders>
            <w:noWrap/>
            <w:vAlign w:val="center"/>
            <w:hideMark/>
          </w:tcPr>
          <w:p w14:paraId="6C60EF25" w14:textId="77777777" w:rsidR="00EF3F11" w:rsidRPr="00D97953" w:rsidRDefault="00EF3F11" w:rsidP="00EF3F11">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D97953">
              <w:rPr>
                <w:rFonts w:ascii="Times New Roman" w:eastAsia="Times New Roman" w:hAnsi="Times New Roman" w:cs="Times New Roman"/>
                <w:color w:val="000000"/>
                <w:kern w:val="0"/>
                <w:sz w:val="16"/>
                <w:szCs w:val="16"/>
                <w:lang w:eastAsia="en-IN"/>
                <w14:ligatures w14:val="none"/>
              </w:rPr>
              <w:t>(a) Ganga Sarda</w:t>
            </w:r>
          </w:p>
        </w:tc>
        <w:tc>
          <w:tcPr>
            <w:tcW w:w="608" w:type="dxa"/>
            <w:vMerge w:val="restart"/>
            <w:tcBorders>
              <w:top w:val="nil"/>
              <w:left w:val="single" w:sz="4" w:space="0" w:color="auto"/>
              <w:bottom w:val="single" w:sz="4" w:space="0" w:color="000000"/>
              <w:right w:val="single" w:sz="4" w:space="0" w:color="auto"/>
            </w:tcBorders>
            <w:noWrap/>
            <w:vAlign w:val="center"/>
            <w:hideMark/>
          </w:tcPr>
          <w:p w14:paraId="5DC33C7A" w14:textId="77777777" w:rsidR="00EF3F11" w:rsidRPr="00D97953" w:rsidRDefault="00EF3F11" w:rsidP="00EF3F11">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D97953">
              <w:rPr>
                <w:rFonts w:ascii="Times New Roman" w:eastAsia="Times New Roman" w:hAnsi="Times New Roman" w:cs="Times New Roman"/>
                <w:color w:val="000000"/>
                <w:kern w:val="0"/>
                <w:sz w:val="16"/>
                <w:szCs w:val="16"/>
                <w:lang w:eastAsia="en-IN"/>
                <w14:ligatures w14:val="none"/>
              </w:rPr>
              <w:t>35.00</w:t>
            </w:r>
          </w:p>
        </w:tc>
        <w:tc>
          <w:tcPr>
            <w:tcW w:w="948" w:type="dxa"/>
            <w:vMerge w:val="restart"/>
            <w:tcBorders>
              <w:top w:val="nil"/>
              <w:left w:val="single" w:sz="4" w:space="0" w:color="auto"/>
              <w:bottom w:val="single" w:sz="4" w:space="0" w:color="000000"/>
              <w:right w:val="single" w:sz="4" w:space="0" w:color="auto"/>
            </w:tcBorders>
            <w:noWrap/>
            <w:vAlign w:val="center"/>
            <w:hideMark/>
          </w:tcPr>
          <w:p w14:paraId="25F3ECAA" w14:textId="77777777" w:rsidR="00EF3F11" w:rsidRPr="00D97953" w:rsidRDefault="00EF3F11" w:rsidP="00EF3F11">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D97953">
              <w:rPr>
                <w:rFonts w:ascii="Times New Roman" w:eastAsia="Times New Roman" w:hAnsi="Times New Roman" w:cs="Times New Roman"/>
                <w:color w:val="000000"/>
                <w:kern w:val="0"/>
                <w:sz w:val="16"/>
                <w:szCs w:val="16"/>
                <w:lang w:eastAsia="en-IN"/>
                <w14:ligatures w14:val="none"/>
              </w:rPr>
              <w:t>2.00</w:t>
            </w:r>
          </w:p>
        </w:tc>
        <w:tc>
          <w:tcPr>
            <w:tcW w:w="610" w:type="dxa"/>
            <w:vMerge w:val="restart"/>
            <w:tcBorders>
              <w:top w:val="nil"/>
              <w:left w:val="single" w:sz="4" w:space="0" w:color="auto"/>
              <w:bottom w:val="single" w:sz="4" w:space="0" w:color="000000"/>
              <w:right w:val="single" w:sz="4" w:space="0" w:color="auto"/>
            </w:tcBorders>
            <w:noWrap/>
            <w:vAlign w:val="center"/>
            <w:hideMark/>
          </w:tcPr>
          <w:p w14:paraId="19CAEF28" w14:textId="77777777" w:rsidR="00EF3F11" w:rsidRPr="00D97953" w:rsidRDefault="00EF3F11" w:rsidP="00EF3F11">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D97953">
              <w:rPr>
                <w:rFonts w:ascii="Times New Roman" w:eastAsia="Times New Roman" w:hAnsi="Times New Roman" w:cs="Times New Roman"/>
                <w:color w:val="000000"/>
                <w:kern w:val="0"/>
                <w:sz w:val="16"/>
                <w:szCs w:val="16"/>
                <w:lang w:eastAsia="en-IN"/>
                <w14:ligatures w14:val="none"/>
              </w:rPr>
              <w:t>37.00</w:t>
            </w:r>
          </w:p>
        </w:tc>
        <w:tc>
          <w:tcPr>
            <w:tcW w:w="1728" w:type="dxa"/>
            <w:vMerge w:val="restart"/>
            <w:tcBorders>
              <w:top w:val="nil"/>
              <w:left w:val="single" w:sz="4" w:space="0" w:color="auto"/>
              <w:bottom w:val="single" w:sz="4" w:space="0" w:color="000000"/>
              <w:right w:val="single" w:sz="4" w:space="0" w:color="auto"/>
            </w:tcBorders>
            <w:noWrap/>
            <w:vAlign w:val="center"/>
            <w:hideMark/>
          </w:tcPr>
          <w:p w14:paraId="19458A41" w14:textId="77777777" w:rsidR="00EF3F11" w:rsidRPr="00D97953" w:rsidRDefault="00EF3F11" w:rsidP="00EF3F11">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D97953">
              <w:rPr>
                <w:rFonts w:ascii="Times New Roman" w:eastAsia="Times New Roman" w:hAnsi="Times New Roman" w:cs="Times New Roman"/>
                <w:color w:val="000000"/>
                <w:kern w:val="0"/>
                <w:sz w:val="16"/>
                <w:szCs w:val="16"/>
                <w:lang w:eastAsia="en-IN"/>
                <w14:ligatures w14:val="none"/>
              </w:rPr>
              <w:t>22.80</w:t>
            </w:r>
          </w:p>
        </w:tc>
        <w:tc>
          <w:tcPr>
            <w:tcW w:w="948" w:type="dxa"/>
            <w:vMerge w:val="restart"/>
            <w:tcBorders>
              <w:top w:val="nil"/>
              <w:left w:val="single" w:sz="4" w:space="0" w:color="auto"/>
              <w:bottom w:val="single" w:sz="4" w:space="0" w:color="000000"/>
              <w:right w:val="single" w:sz="4" w:space="0" w:color="auto"/>
            </w:tcBorders>
            <w:noWrap/>
            <w:vAlign w:val="center"/>
            <w:hideMark/>
          </w:tcPr>
          <w:p w14:paraId="1BD5A659" w14:textId="77777777" w:rsidR="00EF3F11" w:rsidRPr="00D97953" w:rsidRDefault="00EF3F11" w:rsidP="00EF3F11">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D97953">
              <w:rPr>
                <w:rFonts w:ascii="Times New Roman" w:eastAsia="Times New Roman" w:hAnsi="Times New Roman" w:cs="Times New Roman"/>
                <w:color w:val="000000"/>
                <w:kern w:val="0"/>
                <w:sz w:val="16"/>
                <w:szCs w:val="16"/>
                <w:lang w:eastAsia="en-IN"/>
                <w14:ligatures w14:val="none"/>
              </w:rPr>
              <w:t>5.70</w:t>
            </w:r>
          </w:p>
        </w:tc>
        <w:tc>
          <w:tcPr>
            <w:tcW w:w="611" w:type="dxa"/>
            <w:vMerge w:val="restart"/>
            <w:tcBorders>
              <w:top w:val="nil"/>
              <w:left w:val="single" w:sz="4" w:space="0" w:color="auto"/>
              <w:bottom w:val="single" w:sz="4" w:space="0" w:color="000000"/>
              <w:right w:val="single" w:sz="4" w:space="0" w:color="auto"/>
            </w:tcBorders>
            <w:noWrap/>
            <w:vAlign w:val="center"/>
            <w:hideMark/>
          </w:tcPr>
          <w:p w14:paraId="6E5B69CA" w14:textId="77777777" w:rsidR="00EF3F11" w:rsidRPr="00D97953" w:rsidRDefault="00EF3F11" w:rsidP="00EF3F11">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D97953">
              <w:rPr>
                <w:rFonts w:ascii="Times New Roman" w:eastAsia="Times New Roman" w:hAnsi="Times New Roman" w:cs="Times New Roman"/>
                <w:color w:val="000000"/>
                <w:kern w:val="0"/>
                <w:sz w:val="16"/>
                <w:szCs w:val="16"/>
                <w:lang w:eastAsia="en-IN"/>
                <w14:ligatures w14:val="none"/>
              </w:rPr>
              <w:t>28.50</w:t>
            </w:r>
          </w:p>
        </w:tc>
        <w:tc>
          <w:tcPr>
            <w:tcW w:w="1728" w:type="dxa"/>
            <w:vMerge w:val="restart"/>
            <w:tcBorders>
              <w:top w:val="nil"/>
              <w:left w:val="single" w:sz="4" w:space="0" w:color="auto"/>
              <w:bottom w:val="single" w:sz="4" w:space="0" w:color="000000"/>
              <w:right w:val="single" w:sz="4" w:space="0" w:color="auto"/>
            </w:tcBorders>
            <w:noWrap/>
            <w:vAlign w:val="center"/>
            <w:hideMark/>
          </w:tcPr>
          <w:p w14:paraId="43F652D5" w14:textId="77777777" w:rsidR="00EF3F11" w:rsidRPr="00D97953" w:rsidRDefault="00EF3F11" w:rsidP="00EF3F11">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D97953">
              <w:rPr>
                <w:rFonts w:ascii="Times New Roman" w:eastAsia="Times New Roman" w:hAnsi="Times New Roman" w:cs="Times New Roman"/>
                <w:color w:val="000000"/>
                <w:kern w:val="0"/>
                <w:sz w:val="16"/>
                <w:szCs w:val="16"/>
                <w:lang w:eastAsia="en-IN"/>
                <w14:ligatures w14:val="none"/>
              </w:rPr>
              <w:t>35.00</w:t>
            </w:r>
          </w:p>
        </w:tc>
        <w:tc>
          <w:tcPr>
            <w:tcW w:w="948" w:type="dxa"/>
            <w:vMerge w:val="restart"/>
            <w:tcBorders>
              <w:top w:val="nil"/>
              <w:left w:val="single" w:sz="4" w:space="0" w:color="auto"/>
              <w:bottom w:val="single" w:sz="4" w:space="0" w:color="000000"/>
              <w:right w:val="single" w:sz="4" w:space="0" w:color="auto"/>
            </w:tcBorders>
            <w:noWrap/>
            <w:vAlign w:val="center"/>
            <w:hideMark/>
          </w:tcPr>
          <w:p w14:paraId="5BD4974F" w14:textId="77777777" w:rsidR="00EF3F11" w:rsidRPr="00D97953" w:rsidRDefault="00EF3F11" w:rsidP="00EF3F11">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D97953">
              <w:rPr>
                <w:rFonts w:ascii="Times New Roman" w:eastAsia="Times New Roman" w:hAnsi="Times New Roman" w:cs="Times New Roman"/>
                <w:color w:val="000000"/>
                <w:kern w:val="0"/>
                <w:sz w:val="16"/>
                <w:szCs w:val="16"/>
                <w:lang w:eastAsia="en-IN"/>
                <w14:ligatures w14:val="none"/>
              </w:rPr>
              <w:t>2.00</w:t>
            </w:r>
          </w:p>
        </w:tc>
        <w:tc>
          <w:tcPr>
            <w:tcW w:w="610" w:type="dxa"/>
            <w:vMerge w:val="restart"/>
            <w:tcBorders>
              <w:top w:val="nil"/>
              <w:left w:val="single" w:sz="4" w:space="0" w:color="auto"/>
              <w:bottom w:val="single" w:sz="4" w:space="0" w:color="000000"/>
              <w:right w:val="single" w:sz="4" w:space="0" w:color="auto"/>
            </w:tcBorders>
            <w:noWrap/>
            <w:vAlign w:val="center"/>
            <w:hideMark/>
          </w:tcPr>
          <w:p w14:paraId="05BD9B0D" w14:textId="77777777" w:rsidR="00EF3F11" w:rsidRPr="00D97953" w:rsidRDefault="00EF3F11" w:rsidP="00EF3F11">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D97953">
              <w:rPr>
                <w:rFonts w:ascii="Times New Roman" w:eastAsia="Times New Roman" w:hAnsi="Times New Roman" w:cs="Times New Roman"/>
                <w:color w:val="000000"/>
                <w:kern w:val="0"/>
                <w:sz w:val="16"/>
                <w:szCs w:val="16"/>
                <w:lang w:eastAsia="en-IN"/>
                <w14:ligatures w14:val="none"/>
              </w:rPr>
              <w:t>37.00</w:t>
            </w:r>
          </w:p>
        </w:tc>
        <w:tc>
          <w:tcPr>
            <w:tcW w:w="1728" w:type="dxa"/>
            <w:vMerge w:val="restart"/>
            <w:tcBorders>
              <w:top w:val="nil"/>
              <w:left w:val="single" w:sz="4" w:space="0" w:color="auto"/>
              <w:bottom w:val="single" w:sz="4" w:space="0" w:color="000000"/>
              <w:right w:val="single" w:sz="4" w:space="0" w:color="auto"/>
            </w:tcBorders>
            <w:noWrap/>
            <w:vAlign w:val="center"/>
            <w:hideMark/>
          </w:tcPr>
          <w:p w14:paraId="55F20408" w14:textId="77777777" w:rsidR="00EF3F11" w:rsidRPr="00D97953" w:rsidRDefault="00EF3F11" w:rsidP="00EF3F11">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D97953">
              <w:rPr>
                <w:rFonts w:ascii="Times New Roman" w:eastAsia="Times New Roman" w:hAnsi="Times New Roman" w:cs="Times New Roman"/>
                <w:color w:val="000000"/>
                <w:kern w:val="0"/>
                <w:sz w:val="16"/>
                <w:szCs w:val="16"/>
                <w:lang w:eastAsia="en-IN"/>
                <w14:ligatures w14:val="none"/>
              </w:rPr>
              <w:t>22.80</w:t>
            </w:r>
          </w:p>
        </w:tc>
        <w:tc>
          <w:tcPr>
            <w:tcW w:w="948" w:type="dxa"/>
            <w:vMerge w:val="restart"/>
            <w:tcBorders>
              <w:top w:val="nil"/>
              <w:left w:val="single" w:sz="4" w:space="0" w:color="auto"/>
              <w:bottom w:val="single" w:sz="4" w:space="0" w:color="000000"/>
              <w:right w:val="single" w:sz="4" w:space="0" w:color="auto"/>
            </w:tcBorders>
            <w:noWrap/>
            <w:vAlign w:val="center"/>
            <w:hideMark/>
          </w:tcPr>
          <w:p w14:paraId="40919D98" w14:textId="77777777" w:rsidR="00EF3F11" w:rsidRPr="00D97953" w:rsidRDefault="00EF3F11" w:rsidP="00EF3F11">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D97953">
              <w:rPr>
                <w:rFonts w:ascii="Times New Roman" w:eastAsia="Times New Roman" w:hAnsi="Times New Roman" w:cs="Times New Roman"/>
                <w:color w:val="000000"/>
                <w:kern w:val="0"/>
                <w:sz w:val="16"/>
                <w:szCs w:val="16"/>
                <w:lang w:eastAsia="en-IN"/>
                <w14:ligatures w14:val="none"/>
              </w:rPr>
              <w:t>5.70</w:t>
            </w:r>
          </w:p>
        </w:tc>
        <w:tc>
          <w:tcPr>
            <w:tcW w:w="608" w:type="dxa"/>
            <w:vMerge w:val="restart"/>
            <w:tcBorders>
              <w:top w:val="nil"/>
              <w:left w:val="single" w:sz="4" w:space="0" w:color="auto"/>
              <w:bottom w:val="single" w:sz="4" w:space="0" w:color="000000"/>
              <w:right w:val="single" w:sz="4" w:space="0" w:color="auto"/>
            </w:tcBorders>
            <w:noWrap/>
            <w:vAlign w:val="center"/>
            <w:hideMark/>
          </w:tcPr>
          <w:p w14:paraId="2D579F45" w14:textId="77777777" w:rsidR="00EF3F11" w:rsidRPr="00D97953" w:rsidRDefault="00EF3F11" w:rsidP="00EF3F11">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D97953">
              <w:rPr>
                <w:rFonts w:ascii="Times New Roman" w:eastAsia="Times New Roman" w:hAnsi="Times New Roman" w:cs="Times New Roman"/>
                <w:color w:val="000000"/>
                <w:kern w:val="0"/>
                <w:sz w:val="16"/>
                <w:szCs w:val="16"/>
                <w:lang w:eastAsia="en-IN"/>
                <w14:ligatures w14:val="none"/>
              </w:rPr>
              <w:t>28.50</w:t>
            </w:r>
          </w:p>
        </w:tc>
      </w:tr>
      <w:tr w:rsidR="00EF3F11" w:rsidRPr="00D97953" w14:paraId="737F8438" w14:textId="77777777" w:rsidTr="00D97953">
        <w:trPr>
          <w:gridAfter w:val="1"/>
          <w:wAfter w:w="15" w:type="dxa"/>
          <w:trHeight w:val="20"/>
          <w:jc w:val="center"/>
        </w:trPr>
        <w:tc>
          <w:tcPr>
            <w:tcW w:w="2464" w:type="dxa"/>
            <w:tcBorders>
              <w:top w:val="nil"/>
              <w:left w:val="single" w:sz="4" w:space="0" w:color="auto"/>
              <w:bottom w:val="single" w:sz="4" w:space="0" w:color="auto"/>
              <w:right w:val="single" w:sz="4" w:space="0" w:color="auto"/>
            </w:tcBorders>
            <w:noWrap/>
            <w:vAlign w:val="center"/>
            <w:hideMark/>
          </w:tcPr>
          <w:p w14:paraId="392F28B2" w14:textId="77777777" w:rsidR="00EF3F11" w:rsidRPr="00D97953" w:rsidRDefault="00EF3F11" w:rsidP="00EF3F11">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D97953">
              <w:rPr>
                <w:rFonts w:ascii="Times New Roman" w:eastAsia="Times New Roman" w:hAnsi="Times New Roman" w:cs="Times New Roman"/>
                <w:color w:val="000000"/>
                <w:kern w:val="0"/>
                <w:sz w:val="16"/>
                <w:szCs w:val="16"/>
                <w:lang w:eastAsia="en-IN"/>
                <w14:ligatures w14:val="none"/>
              </w:rPr>
              <w:t>(b) Matatila</w:t>
            </w:r>
          </w:p>
        </w:tc>
        <w:tc>
          <w:tcPr>
            <w:tcW w:w="608" w:type="dxa"/>
            <w:vMerge/>
            <w:tcBorders>
              <w:top w:val="nil"/>
              <w:left w:val="single" w:sz="4" w:space="0" w:color="auto"/>
              <w:bottom w:val="single" w:sz="4" w:space="0" w:color="000000"/>
              <w:right w:val="single" w:sz="4" w:space="0" w:color="auto"/>
            </w:tcBorders>
            <w:vAlign w:val="center"/>
            <w:hideMark/>
          </w:tcPr>
          <w:p w14:paraId="613908CF" w14:textId="77777777" w:rsidR="00EF3F11" w:rsidRPr="00D97953" w:rsidRDefault="00EF3F11" w:rsidP="00EF3F11">
            <w:pPr>
              <w:spacing w:after="0" w:line="240" w:lineRule="auto"/>
              <w:rPr>
                <w:rFonts w:ascii="Times New Roman" w:eastAsia="Times New Roman" w:hAnsi="Times New Roman" w:cs="Times New Roman"/>
                <w:color w:val="000000"/>
                <w:kern w:val="0"/>
                <w:sz w:val="16"/>
                <w:szCs w:val="16"/>
                <w:lang w:eastAsia="en-IN"/>
                <w14:ligatures w14:val="none"/>
              </w:rPr>
            </w:pPr>
          </w:p>
        </w:tc>
        <w:tc>
          <w:tcPr>
            <w:tcW w:w="948" w:type="dxa"/>
            <w:vMerge/>
            <w:tcBorders>
              <w:top w:val="nil"/>
              <w:left w:val="single" w:sz="4" w:space="0" w:color="auto"/>
              <w:bottom w:val="single" w:sz="4" w:space="0" w:color="000000"/>
              <w:right w:val="single" w:sz="4" w:space="0" w:color="auto"/>
            </w:tcBorders>
            <w:vAlign w:val="center"/>
            <w:hideMark/>
          </w:tcPr>
          <w:p w14:paraId="6413C65D" w14:textId="77777777" w:rsidR="00EF3F11" w:rsidRPr="00D97953" w:rsidRDefault="00EF3F11" w:rsidP="00EF3F11">
            <w:pPr>
              <w:spacing w:after="0" w:line="240" w:lineRule="auto"/>
              <w:rPr>
                <w:rFonts w:ascii="Times New Roman" w:eastAsia="Times New Roman" w:hAnsi="Times New Roman" w:cs="Times New Roman"/>
                <w:color w:val="000000"/>
                <w:kern w:val="0"/>
                <w:sz w:val="16"/>
                <w:szCs w:val="16"/>
                <w:lang w:eastAsia="en-IN"/>
                <w14:ligatures w14:val="none"/>
              </w:rPr>
            </w:pPr>
          </w:p>
        </w:tc>
        <w:tc>
          <w:tcPr>
            <w:tcW w:w="610" w:type="dxa"/>
            <w:vMerge/>
            <w:tcBorders>
              <w:top w:val="nil"/>
              <w:left w:val="single" w:sz="4" w:space="0" w:color="auto"/>
              <w:bottom w:val="single" w:sz="4" w:space="0" w:color="000000"/>
              <w:right w:val="single" w:sz="4" w:space="0" w:color="auto"/>
            </w:tcBorders>
            <w:vAlign w:val="center"/>
            <w:hideMark/>
          </w:tcPr>
          <w:p w14:paraId="65ADBD77" w14:textId="77777777" w:rsidR="00EF3F11" w:rsidRPr="00D97953" w:rsidRDefault="00EF3F11" w:rsidP="00EF3F11">
            <w:pPr>
              <w:spacing w:after="0" w:line="240" w:lineRule="auto"/>
              <w:rPr>
                <w:rFonts w:ascii="Times New Roman" w:eastAsia="Times New Roman" w:hAnsi="Times New Roman" w:cs="Times New Roman"/>
                <w:color w:val="000000"/>
                <w:kern w:val="0"/>
                <w:sz w:val="16"/>
                <w:szCs w:val="16"/>
                <w:lang w:eastAsia="en-IN"/>
                <w14:ligatures w14:val="none"/>
              </w:rPr>
            </w:pPr>
          </w:p>
        </w:tc>
        <w:tc>
          <w:tcPr>
            <w:tcW w:w="1728" w:type="dxa"/>
            <w:vMerge/>
            <w:tcBorders>
              <w:top w:val="nil"/>
              <w:left w:val="single" w:sz="4" w:space="0" w:color="auto"/>
              <w:bottom w:val="single" w:sz="4" w:space="0" w:color="000000"/>
              <w:right w:val="single" w:sz="4" w:space="0" w:color="auto"/>
            </w:tcBorders>
            <w:vAlign w:val="center"/>
            <w:hideMark/>
          </w:tcPr>
          <w:p w14:paraId="554A7CB5" w14:textId="77777777" w:rsidR="00EF3F11" w:rsidRPr="00D97953" w:rsidRDefault="00EF3F11" w:rsidP="00EF3F11">
            <w:pPr>
              <w:spacing w:after="0" w:line="240" w:lineRule="auto"/>
              <w:rPr>
                <w:rFonts w:ascii="Times New Roman" w:eastAsia="Times New Roman" w:hAnsi="Times New Roman" w:cs="Times New Roman"/>
                <w:color w:val="000000"/>
                <w:kern w:val="0"/>
                <w:sz w:val="16"/>
                <w:szCs w:val="16"/>
                <w:lang w:eastAsia="en-IN"/>
                <w14:ligatures w14:val="none"/>
              </w:rPr>
            </w:pPr>
          </w:p>
        </w:tc>
        <w:tc>
          <w:tcPr>
            <w:tcW w:w="948" w:type="dxa"/>
            <w:vMerge/>
            <w:tcBorders>
              <w:top w:val="nil"/>
              <w:left w:val="single" w:sz="4" w:space="0" w:color="auto"/>
              <w:bottom w:val="single" w:sz="4" w:space="0" w:color="000000"/>
              <w:right w:val="single" w:sz="4" w:space="0" w:color="auto"/>
            </w:tcBorders>
            <w:vAlign w:val="center"/>
            <w:hideMark/>
          </w:tcPr>
          <w:p w14:paraId="259F1CF9" w14:textId="77777777" w:rsidR="00EF3F11" w:rsidRPr="00D97953" w:rsidRDefault="00EF3F11" w:rsidP="00EF3F11">
            <w:pPr>
              <w:spacing w:after="0" w:line="240" w:lineRule="auto"/>
              <w:rPr>
                <w:rFonts w:ascii="Times New Roman" w:eastAsia="Times New Roman" w:hAnsi="Times New Roman" w:cs="Times New Roman"/>
                <w:color w:val="000000"/>
                <w:kern w:val="0"/>
                <w:sz w:val="16"/>
                <w:szCs w:val="16"/>
                <w:lang w:eastAsia="en-IN"/>
                <w14:ligatures w14:val="none"/>
              </w:rPr>
            </w:pPr>
          </w:p>
        </w:tc>
        <w:tc>
          <w:tcPr>
            <w:tcW w:w="611" w:type="dxa"/>
            <w:vMerge/>
            <w:tcBorders>
              <w:top w:val="nil"/>
              <w:left w:val="single" w:sz="4" w:space="0" w:color="auto"/>
              <w:bottom w:val="single" w:sz="4" w:space="0" w:color="000000"/>
              <w:right w:val="single" w:sz="4" w:space="0" w:color="auto"/>
            </w:tcBorders>
            <w:vAlign w:val="center"/>
            <w:hideMark/>
          </w:tcPr>
          <w:p w14:paraId="6427418A" w14:textId="77777777" w:rsidR="00EF3F11" w:rsidRPr="00D97953" w:rsidRDefault="00EF3F11" w:rsidP="00EF3F11">
            <w:pPr>
              <w:spacing w:after="0" w:line="240" w:lineRule="auto"/>
              <w:rPr>
                <w:rFonts w:ascii="Times New Roman" w:eastAsia="Times New Roman" w:hAnsi="Times New Roman" w:cs="Times New Roman"/>
                <w:color w:val="000000"/>
                <w:kern w:val="0"/>
                <w:sz w:val="16"/>
                <w:szCs w:val="16"/>
                <w:lang w:eastAsia="en-IN"/>
                <w14:ligatures w14:val="none"/>
              </w:rPr>
            </w:pPr>
          </w:p>
        </w:tc>
        <w:tc>
          <w:tcPr>
            <w:tcW w:w="1728" w:type="dxa"/>
            <w:vMerge/>
            <w:tcBorders>
              <w:top w:val="nil"/>
              <w:left w:val="single" w:sz="4" w:space="0" w:color="auto"/>
              <w:bottom w:val="single" w:sz="4" w:space="0" w:color="000000"/>
              <w:right w:val="single" w:sz="4" w:space="0" w:color="auto"/>
            </w:tcBorders>
            <w:vAlign w:val="center"/>
            <w:hideMark/>
          </w:tcPr>
          <w:p w14:paraId="510A371B" w14:textId="77777777" w:rsidR="00EF3F11" w:rsidRPr="00D97953" w:rsidRDefault="00EF3F11" w:rsidP="00EF3F11">
            <w:pPr>
              <w:spacing w:after="0" w:line="240" w:lineRule="auto"/>
              <w:rPr>
                <w:rFonts w:ascii="Times New Roman" w:eastAsia="Times New Roman" w:hAnsi="Times New Roman" w:cs="Times New Roman"/>
                <w:color w:val="000000"/>
                <w:kern w:val="0"/>
                <w:sz w:val="16"/>
                <w:szCs w:val="16"/>
                <w:lang w:eastAsia="en-IN"/>
                <w14:ligatures w14:val="none"/>
              </w:rPr>
            </w:pPr>
          </w:p>
        </w:tc>
        <w:tc>
          <w:tcPr>
            <w:tcW w:w="948" w:type="dxa"/>
            <w:vMerge/>
            <w:tcBorders>
              <w:top w:val="nil"/>
              <w:left w:val="single" w:sz="4" w:space="0" w:color="auto"/>
              <w:bottom w:val="single" w:sz="4" w:space="0" w:color="000000"/>
              <w:right w:val="single" w:sz="4" w:space="0" w:color="auto"/>
            </w:tcBorders>
            <w:vAlign w:val="center"/>
            <w:hideMark/>
          </w:tcPr>
          <w:p w14:paraId="0FF0D6D6" w14:textId="77777777" w:rsidR="00EF3F11" w:rsidRPr="00D97953" w:rsidRDefault="00EF3F11" w:rsidP="00EF3F11">
            <w:pPr>
              <w:spacing w:after="0" w:line="240" w:lineRule="auto"/>
              <w:rPr>
                <w:rFonts w:ascii="Times New Roman" w:eastAsia="Times New Roman" w:hAnsi="Times New Roman" w:cs="Times New Roman"/>
                <w:color w:val="000000"/>
                <w:kern w:val="0"/>
                <w:sz w:val="16"/>
                <w:szCs w:val="16"/>
                <w:lang w:eastAsia="en-IN"/>
                <w14:ligatures w14:val="none"/>
              </w:rPr>
            </w:pPr>
          </w:p>
        </w:tc>
        <w:tc>
          <w:tcPr>
            <w:tcW w:w="610" w:type="dxa"/>
            <w:vMerge/>
            <w:tcBorders>
              <w:top w:val="nil"/>
              <w:left w:val="single" w:sz="4" w:space="0" w:color="auto"/>
              <w:bottom w:val="single" w:sz="4" w:space="0" w:color="000000"/>
              <w:right w:val="single" w:sz="4" w:space="0" w:color="auto"/>
            </w:tcBorders>
            <w:vAlign w:val="center"/>
            <w:hideMark/>
          </w:tcPr>
          <w:p w14:paraId="256E82EC" w14:textId="77777777" w:rsidR="00EF3F11" w:rsidRPr="00D97953" w:rsidRDefault="00EF3F11" w:rsidP="00EF3F11">
            <w:pPr>
              <w:spacing w:after="0" w:line="240" w:lineRule="auto"/>
              <w:rPr>
                <w:rFonts w:ascii="Times New Roman" w:eastAsia="Times New Roman" w:hAnsi="Times New Roman" w:cs="Times New Roman"/>
                <w:color w:val="000000"/>
                <w:kern w:val="0"/>
                <w:sz w:val="16"/>
                <w:szCs w:val="16"/>
                <w:lang w:eastAsia="en-IN"/>
                <w14:ligatures w14:val="none"/>
              </w:rPr>
            </w:pPr>
          </w:p>
        </w:tc>
        <w:tc>
          <w:tcPr>
            <w:tcW w:w="1728" w:type="dxa"/>
            <w:vMerge/>
            <w:tcBorders>
              <w:top w:val="nil"/>
              <w:left w:val="single" w:sz="4" w:space="0" w:color="auto"/>
              <w:bottom w:val="single" w:sz="4" w:space="0" w:color="000000"/>
              <w:right w:val="single" w:sz="4" w:space="0" w:color="auto"/>
            </w:tcBorders>
            <w:vAlign w:val="center"/>
            <w:hideMark/>
          </w:tcPr>
          <w:p w14:paraId="1BA14D89" w14:textId="77777777" w:rsidR="00EF3F11" w:rsidRPr="00D97953" w:rsidRDefault="00EF3F11" w:rsidP="00EF3F11">
            <w:pPr>
              <w:spacing w:after="0" w:line="240" w:lineRule="auto"/>
              <w:rPr>
                <w:rFonts w:ascii="Times New Roman" w:eastAsia="Times New Roman" w:hAnsi="Times New Roman" w:cs="Times New Roman"/>
                <w:color w:val="000000"/>
                <w:kern w:val="0"/>
                <w:sz w:val="16"/>
                <w:szCs w:val="16"/>
                <w:lang w:eastAsia="en-IN"/>
                <w14:ligatures w14:val="none"/>
              </w:rPr>
            </w:pPr>
          </w:p>
        </w:tc>
        <w:tc>
          <w:tcPr>
            <w:tcW w:w="948" w:type="dxa"/>
            <w:vMerge/>
            <w:tcBorders>
              <w:top w:val="nil"/>
              <w:left w:val="single" w:sz="4" w:space="0" w:color="auto"/>
              <w:bottom w:val="single" w:sz="4" w:space="0" w:color="000000"/>
              <w:right w:val="single" w:sz="4" w:space="0" w:color="auto"/>
            </w:tcBorders>
            <w:vAlign w:val="center"/>
            <w:hideMark/>
          </w:tcPr>
          <w:p w14:paraId="16284448" w14:textId="77777777" w:rsidR="00EF3F11" w:rsidRPr="00D97953" w:rsidRDefault="00EF3F11" w:rsidP="00EF3F11">
            <w:pPr>
              <w:spacing w:after="0" w:line="240" w:lineRule="auto"/>
              <w:rPr>
                <w:rFonts w:ascii="Times New Roman" w:eastAsia="Times New Roman" w:hAnsi="Times New Roman" w:cs="Times New Roman"/>
                <w:color w:val="000000"/>
                <w:kern w:val="0"/>
                <w:sz w:val="16"/>
                <w:szCs w:val="16"/>
                <w:lang w:eastAsia="en-IN"/>
                <w14:ligatures w14:val="none"/>
              </w:rPr>
            </w:pPr>
          </w:p>
        </w:tc>
        <w:tc>
          <w:tcPr>
            <w:tcW w:w="608" w:type="dxa"/>
            <w:vMerge/>
            <w:tcBorders>
              <w:top w:val="nil"/>
              <w:left w:val="single" w:sz="4" w:space="0" w:color="auto"/>
              <w:bottom w:val="single" w:sz="4" w:space="0" w:color="000000"/>
              <w:right w:val="single" w:sz="4" w:space="0" w:color="auto"/>
            </w:tcBorders>
            <w:vAlign w:val="center"/>
            <w:hideMark/>
          </w:tcPr>
          <w:p w14:paraId="21D04AE3" w14:textId="77777777" w:rsidR="00EF3F11" w:rsidRPr="00D97953" w:rsidRDefault="00EF3F11" w:rsidP="00EF3F11">
            <w:pPr>
              <w:spacing w:after="0" w:line="240" w:lineRule="auto"/>
              <w:rPr>
                <w:rFonts w:ascii="Times New Roman" w:eastAsia="Times New Roman" w:hAnsi="Times New Roman" w:cs="Times New Roman"/>
                <w:color w:val="000000"/>
                <w:kern w:val="0"/>
                <w:sz w:val="16"/>
                <w:szCs w:val="16"/>
                <w:lang w:eastAsia="en-IN"/>
                <w14:ligatures w14:val="none"/>
              </w:rPr>
            </w:pPr>
          </w:p>
        </w:tc>
      </w:tr>
      <w:tr w:rsidR="00EF3F11" w:rsidRPr="00D97953" w14:paraId="23EDD021" w14:textId="77777777" w:rsidTr="00D97953">
        <w:trPr>
          <w:gridAfter w:val="1"/>
          <w:wAfter w:w="15" w:type="dxa"/>
          <w:trHeight w:val="20"/>
          <w:jc w:val="center"/>
        </w:trPr>
        <w:tc>
          <w:tcPr>
            <w:tcW w:w="2464" w:type="dxa"/>
            <w:tcBorders>
              <w:top w:val="nil"/>
              <w:left w:val="single" w:sz="4" w:space="0" w:color="auto"/>
              <w:bottom w:val="single" w:sz="4" w:space="0" w:color="auto"/>
              <w:right w:val="single" w:sz="4" w:space="0" w:color="auto"/>
            </w:tcBorders>
            <w:noWrap/>
            <w:vAlign w:val="center"/>
            <w:hideMark/>
          </w:tcPr>
          <w:p w14:paraId="7E005818" w14:textId="77777777" w:rsidR="00EF3F11" w:rsidRPr="00D97953" w:rsidRDefault="00EF3F11" w:rsidP="00EF3F11">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D97953">
              <w:rPr>
                <w:rFonts w:ascii="Times New Roman" w:eastAsia="Times New Roman" w:hAnsi="Times New Roman" w:cs="Times New Roman"/>
                <w:color w:val="000000"/>
                <w:kern w:val="0"/>
                <w:sz w:val="16"/>
                <w:szCs w:val="16"/>
                <w:lang w:eastAsia="en-IN"/>
                <w14:ligatures w14:val="none"/>
              </w:rPr>
              <w:t>(c) Rihand</w:t>
            </w:r>
          </w:p>
        </w:tc>
        <w:tc>
          <w:tcPr>
            <w:tcW w:w="608" w:type="dxa"/>
            <w:vMerge/>
            <w:tcBorders>
              <w:top w:val="nil"/>
              <w:left w:val="single" w:sz="4" w:space="0" w:color="auto"/>
              <w:bottom w:val="single" w:sz="4" w:space="0" w:color="000000"/>
              <w:right w:val="single" w:sz="4" w:space="0" w:color="auto"/>
            </w:tcBorders>
            <w:vAlign w:val="center"/>
            <w:hideMark/>
          </w:tcPr>
          <w:p w14:paraId="6E408561" w14:textId="77777777" w:rsidR="00EF3F11" w:rsidRPr="00D97953" w:rsidRDefault="00EF3F11" w:rsidP="00EF3F11">
            <w:pPr>
              <w:spacing w:after="0" w:line="240" w:lineRule="auto"/>
              <w:rPr>
                <w:rFonts w:ascii="Times New Roman" w:eastAsia="Times New Roman" w:hAnsi="Times New Roman" w:cs="Times New Roman"/>
                <w:color w:val="000000"/>
                <w:kern w:val="0"/>
                <w:sz w:val="16"/>
                <w:szCs w:val="16"/>
                <w:lang w:eastAsia="en-IN"/>
                <w14:ligatures w14:val="none"/>
              </w:rPr>
            </w:pPr>
          </w:p>
        </w:tc>
        <w:tc>
          <w:tcPr>
            <w:tcW w:w="948" w:type="dxa"/>
            <w:vMerge/>
            <w:tcBorders>
              <w:top w:val="nil"/>
              <w:left w:val="single" w:sz="4" w:space="0" w:color="auto"/>
              <w:bottom w:val="single" w:sz="4" w:space="0" w:color="000000"/>
              <w:right w:val="single" w:sz="4" w:space="0" w:color="auto"/>
            </w:tcBorders>
            <w:vAlign w:val="center"/>
            <w:hideMark/>
          </w:tcPr>
          <w:p w14:paraId="3C49D366" w14:textId="77777777" w:rsidR="00EF3F11" w:rsidRPr="00D97953" w:rsidRDefault="00EF3F11" w:rsidP="00EF3F11">
            <w:pPr>
              <w:spacing w:after="0" w:line="240" w:lineRule="auto"/>
              <w:rPr>
                <w:rFonts w:ascii="Times New Roman" w:eastAsia="Times New Roman" w:hAnsi="Times New Roman" w:cs="Times New Roman"/>
                <w:color w:val="000000"/>
                <w:kern w:val="0"/>
                <w:sz w:val="16"/>
                <w:szCs w:val="16"/>
                <w:lang w:eastAsia="en-IN"/>
                <w14:ligatures w14:val="none"/>
              </w:rPr>
            </w:pPr>
          </w:p>
        </w:tc>
        <w:tc>
          <w:tcPr>
            <w:tcW w:w="610" w:type="dxa"/>
            <w:vMerge/>
            <w:tcBorders>
              <w:top w:val="nil"/>
              <w:left w:val="single" w:sz="4" w:space="0" w:color="auto"/>
              <w:bottom w:val="single" w:sz="4" w:space="0" w:color="000000"/>
              <w:right w:val="single" w:sz="4" w:space="0" w:color="auto"/>
            </w:tcBorders>
            <w:vAlign w:val="center"/>
            <w:hideMark/>
          </w:tcPr>
          <w:p w14:paraId="773FBEF3" w14:textId="77777777" w:rsidR="00EF3F11" w:rsidRPr="00D97953" w:rsidRDefault="00EF3F11" w:rsidP="00EF3F11">
            <w:pPr>
              <w:spacing w:after="0" w:line="240" w:lineRule="auto"/>
              <w:rPr>
                <w:rFonts w:ascii="Times New Roman" w:eastAsia="Times New Roman" w:hAnsi="Times New Roman" w:cs="Times New Roman"/>
                <w:color w:val="000000"/>
                <w:kern w:val="0"/>
                <w:sz w:val="16"/>
                <w:szCs w:val="16"/>
                <w:lang w:eastAsia="en-IN"/>
                <w14:ligatures w14:val="none"/>
              </w:rPr>
            </w:pPr>
          </w:p>
        </w:tc>
        <w:tc>
          <w:tcPr>
            <w:tcW w:w="1728" w:type="dxa"/>
            <w:vMerge/>
            <w:tcBorders>
              <w:top w:val="nil"/>
              <w:left w:val="single" w:sz="4" w:space="0" w:color="auto"/>
              <w:bottom w:val="single" w:sz="4" w:space="0" w:color="000000"/>
              <w:right w:val="single" w:sz="4" w:space="0" w:color="auto"/>
            </w:tcBorders>
            <w:vAlign w:val="center"/>
            <w:hideMark/>
          </w:tcPr>
          <w:p w14:paraId="638D7ABE" w14:textId="77777777" w:rsidR="00EF3F11" w:rsidRPr="00D97953" w:rsidRDefault="00EF3F11" w:rsidP="00EF3F11">
            <w:pPr>
              <w:spacing w:after="0" w:line="240" w:lineRule="auto"/>
              <w:rPr>
                <w:rFonts w:ascii="Times New Roman" w:eastAsia="Times New Roman" w:hAnsi="Times New Roman" w:cs="Times New Roman"/>
                <w:color w:val="000000"/>
                <w:kern w:val="0"/>
                <w:sz w:val="16"/>
                <w:szCs w:val="16"/>
                <w:lang w:eastAsia="en-IN"/>
                <w14:ligatures w14:val="none"/>
              </w:rPr>
            </w:pPr>
          </w:p>
        </w:tc>
        <w:tc>
          <w:tcPr>
            <w:tcW w:w="948" w:type="dxa"/>
            <w:vMerge/>
            <w:tcBorders>
              <w:top w:val="nil"/>
              <w:left w:val="single" w:sz="4" w:space="0" w:color="auto"/>
              <w:bottom w:val="single" w:sz="4" w:space="0" w:color="000000"/>
              <w:right w:val="single" w:sz="4" w:space="0" w:color="auto"/>
            </w:tcBorders>
            <w:vAlign w:val="center"/>
            <w:hideMark/>
          </w:tcPr>
          <w:p w14:paraId="45AABEA3" w14:textId="77777777" w:rsidR="00EF3F11" w:rsidRPr="00D97953" w:rsidRDefault="00EF3F11" w:rsidP="00EF3F11">
            <w:pPr>
              <w:spacing w:after="0" w:line="240" w:lineRule="auto"/>
              <w:rPr>
                <w:rFonts w:ascii="Times New Roman" w:eastAsia="Times New Roman" w:hAnsi="Times New Roman" w:cs="Times New Roman"/>
                <w:color w:val="000000"/>
                <w:kern w:val="0"/>
                <w:sz w:val="16"/>
                <w:szCs w:val="16"/>
                <w:lang w:eastAsia="en-IN"/>
                <w14:ligatures w14:val="none"/>
              </w:rPr>
            </w:pPr>
          </w:p>
        </w:tc>
        <w:tc>
          <w:tcPr>
            <w:tcW w:w="611" w:type="dxa"/>
            <w:vMerge/>
            <w:tcBorders>
              <w:top w:val="nil"/>
              <w:left w:val="single" w:sz="4" w:space="0" w:color="auto"/>
              <w:bottom w:val="single" w:sz="4" w:space="0" w:color="000000"/>
              <w:right w:val="single" w:sz="4" w:space="0" w:color="auto"/>
            </w:tcBorders>
            <w:vAlign w:val="center"/>
            <w:hideMark/>
          </w:tcPr>
          <w:p w14:paraId="42605778" w14:textId="77777777" w:rsidR="00EF3F11" w:rsidRPr="00D97953" w:rsidRDefault="00EF3F11" w:rsidP="00EF3F11">
            <w:pPr>
              <w:spacing w:after="0" w:line="240" w:lineRule="auto"/>
              <w:rPr>
                <w:rFonts w:ascii="Times New Roman" w:eastAsia="Times New Roman" w:hAnsi="Times New Roman" w:cs="Times New Roman"/>
                <w:color w:val="000000"/>
                <w:kern w:val="0"/>
                <w:sz w:val="16"/>
                <w:szCs w:val="16"/>
                <w:lang w:eastAsia="en-IN"/>
                <w14:ligatures w14:val="none"/>
              </w:rPr>
            </w:pPr>
          </w:p>
        </w:tc>
        <w:tc>
          <w:tcPr>
            <w:tcW w:w="1728" w:type="dxa"/>
            <w:vMerge/>
            <w:tcBorders>
              <w:top w:val="nil"/>
              <w:left w:val="single" w:sz="4" w:space="0" w:color="auto"/>
              <w:bottom w:val="single" w:sz="4" w:space="0" w:color="000000"/>
              <w:right w:val="single" w:sz="4" w:space="0" w:color="auto"/>
            </w:tcBorders>
            <w:vAlign w:val="center"/>
            <w:hideMark/>
          </w:tcPr>
          <w:p w14:paraId="050871C9" w14:textId="77777777" w:rsidR="00EF3F11" w:rsidRPr="00D97953" w:rsidRDefault="00EF3F11" w:rsidP="00EF3F11">
            <w:pPr>
              <w:spacing w:after="0" w:line="240" w:lineRule="auto"/>
              <w:rPr>
                <w:rFonts w:ascii="Times New Roman" w:eastAsia="Times New Roman" w:hAnsi="Times New Roman" w:cs="Times New Roman"/>
                <w:color w:val="000000"/>
                <w:kern w:val="0"/>
                <w:sz w:val="16"/>
                <w:szCs w:val="16"/>
                <w:lang w:eastAsia="en-IN"/>
                <w14:ligatures w14:val="none"/>
              </w:rPr>
            </w:pPr>
          </w:p>
        </w:tc>
        <w:tc>
          <w:tcPr>
            <w:tcW w:w="948" w:type="dxa"/>
            <w:vMerge/>
            <w:tcBorders>
              <w:top w:val="nil"/>
              <w:left w:val="single" w:sz="4" w:space="0" w:color="auto"/>
              <w:bottom w:val="single" w:sz="4" w:space="0" w:color="000000"/>
              <w:right w:val="single" w:sz="4" w:space="0" w:color="auto"/>
            </w:tcBorders>
            <w:vAlign w:val="center"/>
            <w:hideMark/>
          </w:tcPr>
          <w:p w14:paraId="3001E1AB" w14:textId="77777777" w:rsidR="00EF3F11" w:rsidRPr="00D97953" w:rsidRDefault="00EF3F11" w:rsidP="00EF3F11">
            <w:pPr>
              <w:spacing w:after="0" w:line="240" w:lineRule="auto"/>
              <w:rPr>
                <w:rFonts w:ascii="Times New Roman" w:eastAsia="Times New Roman" w:hAnsi="Times New Roman" w:cs="Times New Roman"/>
                <w:color w:val="000000"/>
                <w:kern w:val="0"/>
                <w:sz w:val="16"/>
                <w:szCs w:val="16"/>
                <w:lang w:eastAsia="en-IN"/>
                <w14:ligatures w14:val="none"/>
              </w:rPr>
            </w:pPr>
          </w:p>
        </w:tc>
        <w:tc>
          <w:tcPr>
            <w:tcW w:w="610" w:type="dxa"/>
            <w:vMerge/>
            <w:tcBorders>
              <w:top w:val="nil"/>
              <w:left w:val="single" w:sz="4" w:space="0" w:color="auto"/>
              <w:bottom w:val="single" w:sz="4" w:space="0" w:color="000000"/>
              <w:right w:val="single" w:sz="4" w:space="0" w:color="auto"/>
            </w:tcBorders>
            <w:vAlign w:val="center"/>
            <w:hideMark/>
          </w:tcPr>
          <w:p w14:paraId="533B390F" w14:textId="77777777" w:rsidR="00EF3F11" w:rsidRPr="00D97953" w:rsidRDefault="00EF3F11" w:rsidP="00EF3F11">
            <w:pPr>
              <w:spacing w:after="0" w:line="240" w:lineRule="auto"/>
              <w:rPr>
                <w:rFonts w:ascii="Times New Roman" w:eastAsia="Times New Roman" w:hAnsi="Times New Roman" w:cs="Times New Roman"/>
                <w:color w:val="000000"/>
                <w:kern w:val="0"/>
                <w:sz w:val="16"/>
                <w:szCs w:val="16"/>
                <w:lang w:eastAsia="en-IN"/>
                <w14:ligatures w14:val="none"/>
              </w:rPr>
            </w:pPr>
          </w:p>
        </w:tc>
        <w:tc>
          <w:tcPr>
            <w:tcW w:w="1728" w:type="dxa"/>
            <w:vMerge/>
            <w:tcBorders>
              <w:top w:val="nil"/>
              <w:left w:val="single" w:sz="4" w:space="0" w:color="auto"/>
              <w:bottom w:val="single" w:sz="4" w:space="0" w:color="000000"/>
              <w:right w:val="single" w:sz="4" w:space="0" w:color="auto"/>
            </w:tcBorders>
            <w:vAlign w:val="center"/>
            <w:hideMark/>
          </w:tcPr>
          <w:p w14:paraId="2208C96C" w14:textId="77777777" w:rsidR="00EF3F11" w:rsidRPr="00D97953" w:rsidRDefault="00EF3F11" w:rsidP="00EF3F11">
            <w:pPr>
              <w:spacing w:after="0" w:line="240" w:lineRule="auto"/>
              <w:rPr>
                <w:rFonts w:ascii="Times New Roman" w:eastAsia="Times New Roman" w:hAnsi="Times New Roman" w:cs="Times New Roman"/>
                <w:color w:val="000000"/>
                <w:kern w:val="0"/>
                <w:sz w:val="16"/>
                <w:szCs w:val="16"/>
                <w:lang w:eastAsia="en-IN"/>
                <w14:ligatures w14:val="none"/>
              </w:rPr>
            </w:pPr>
          </w:p>
        </w:tc>
        <w:tc>
          <w:tcPr>
            <w:tcW w:w="948" w:type="dxa"/>
            <w:vMerge/>
            <w:tcBorders>
              <w:top w:val="nil"/>
              <w:left w:val="single" w:sz="4" w:space="0" w:color="auto"/>
              <w:bottom w:val="single" w:sz="4" w:space="0" w:color="000000"/>
              <w:right w:val="single" w:sz="4" w:space="0" w:color="auto"/>
            </w:tcBorders>
            <w:vAlign w:val="center"/>
            <w:hideMark/>
          </w:tcPr>
          <w:p w14:paraId="4623E6F6" w14:textId="77777777" w:rsidR="00EF3F11" w:rsidRPr="00D97953" w:rsidRDefault="00EF3F11" w:rsidP="00EF3F11">
            <w:pPr>
              <w:spacing w:after="0" w:line="240" w:lineRule="auto"/>
              <w:rPr>
                <w:rFonts w:ascii="Times New Roman" w:eastAsia="Times New Roman" w:hAnsi="Times New Roman" w:cs="Times New Roman"/>
                <w:color w:val="000000"/>
                <w:kern w:val="0"/>
                <w:sz w:val="16"/>
                <w:szCs w:val="16"/>
                <w:lang w:eastAsia="en-IN"/>
                <w14:ligatures w14:val="none"/>
              </w:rPr>
            </w:pPr>
          </w:p>
        </w:tc>
        <w:tc>
          <w:tcPr>
            <w:tcW w:w="608" w:type="dxa"/>
            <w:vMerge/>
            <w:tcBorders>
              <w:top w:val="nil"/>
              <w:left w:val="single" w:sz="4" w:space="0" w:color="auto"/>
              <w:bottom w:val="single" w:sz="4" w:space="0" w:color="000000"/>
              <w:right w:val="single" w:sz="4" w:space="0" w:color="auto"/>
            </w:tcBorders>
            <w:vAlign w:val="center"/>
            <w:hideMark/>
          </w:tcPr>
          <w:p w14:paraId="6A604414" w14:textId="77777777" w:rsidR="00EF3F11" w:rsidRPr="00D97953" w:rsidRDefault="00EF3F11" w:rsidP="00EF3F11">
            <w:pPr>
              <w:spacing w:after="0" w:line="240" w:lineRule="auto"/>
              <w:rPr>
                <w:rFonts w:ascii="Times New Roman" w:eastAsia="Times New Roman" w:hAnsi="Times New Roman" w:cs="Times New Roman"/>
                <w:color w:val="000000"/>
                <w:kern w:val="0"/>
                <w:sz w:val="16"/>
                <w:szCs w:val="16"/>
                <w:lang w:eastAsia="en-IN"/>
                <w14:ligatures w14:val="none"/>
              </w:rPr>
            </w:pPr>
          </w:p>
        </w:tc>
      </w:tr>
      <w:tr w:rsidR="00EF3F11" w:rsidRPr="00D97953" w14:paraId="2286D320" w14:textId="77777777" w:rsidTr="00D97953">
        <w:trPr>
          <w:gridAfter w:val="1"/>
          <w:wAfter w:w="15" w:type="dxa"/>
          <w:trHeight w:val="20"/>
          <w:jc w:val="center"/>
        </w:trPr>
        <w:tc>
          <w:tcPr>
            <w:tcW w:w="2464" w:type="dxa"/>
            <w:tcBorders>
              <w:top w:val="nil"/>
              <w:left w:val="single" w:sz="4" w:space="0" w:color="auto"/>
              <w:bottom w:val="single" w:sz="4" w:space="0" w:color="auto"/>
              <w:right w:val="single" w:sz="4" w:space="0" w:color="auto"/>
            </w:tcBorders>
            <w:noWrap/>
            <w:vAlign w:val="center"/>
            <w:hideMark/>
          </w:tcPr>
          <w:p w14:paraId="75564A97" w14:textId="77777777" w:rsidR="00EF3F11" w:rsidRPr="00D97953" w:rsidRDefault="00EF3F11" w:rsidP="00EF3F11">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D97953">
              <w:rPr>
                <w:rFonts w:ascii="Times New Roman" w:eastAsia="Times New Roman" w:hAnsi="Times New Roman" w:cs="Times New Roman"/>
                <w:color w:val="000000"/>
                <w:kern w:val="0"/>
                <w:sz w:val="16"/>
                <w:szCs w:val="16"/>
                <w:lang w:eastAsia="en-IN"/>
                <w14:ligatures w14:val="none"/>
              </w:rPr>
              <w:t>(d) Eastern Area</w:t>
            </w:r>
          </w:p>
        </w:tc>
        <w:tc>
          <w:tcPr>
            <w:tcW w:w="608" w:type="dxa"/>
            <w:tcBorders>
              <w:top w:val="nil"/>
              <w:left w:val="nil"/>
              <w:bottom w:val="single" w:sz="4" w:space="0" w:color="auto"/>
              <w:right w:val="single" w:sz="4" w:space="0" w:color="auto"/>
            </w:tcBorders>
            <w:noWrap/>
            <w:vAlign w:val="center"/>
            <w:hideMark/>
          </w:tcPr>
          <w:p w14:paraId="0A788370" w14:textId="77777777" w:rsidR="00EF3F11" w:rsidRPr="00D97953" w:rsidRDefault="00EF3F11" w:rsidP="00EF3F11">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D97953">
              <w:rPr>
                <w:rFonts w:ascii="Times New Roman" w:eastAsia="Times New Roman" w:hAnsi="Times New Roman" w:cs="Times New Roman"/>
                <w:color w:val="000000"/>
                <w:kern w:val="0"/>
                <w:sz w:val="16"/>
                <w:szCs w:val="16"/>
                <w:lang w:eastAsia="en-IN"/>
                <w14:ligatures w14:val="none"/>
              </w:rPr>
              <w:t>37.50</w:t>
            </w:r>
          </w:p>
        </w:tc>
        <w:tc>
          <w:tcPr>
            <w:tcW w:w="948" w:type="dxa"/>
            <w:tcBorders>
              <w:top w:val="nil"/>
              <w:left w:val="nil"/>
              <w:bottom w:val="single" w:sz="4" w:space="0" w:color="auto"/>
              <w:right w:val="single" w:sz="4" w:space="0" w:color="auto"/>
            </w:tcBorders>
            <w:noWrap/>
            <w:vAlign w:val="center"/>
            <w:hideMark/>
          </w:tcPr>
          <w:p w14:paraId="4C570779" w14:textId="77777777" w:rsidR="00EF3F11" w:rsidRPr="00D97953" w:rsidRDefault="00EF3F11" w:rsidP="00EF3F11">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D97953">
              <w:rPr>
                <w:rFonts w:ascii="Times New Roman" w:eastAsia="Times New Roman" w:hAnsi="Times New Roman" w:cs="Times New Roman"/>
                <w:color w:val="000000"/>
                <w:kern w:val="0"/>
                <w:sz w:val="16"/>
                <w:szCs w:val="16"/>
                <w:lang w:eastAsia="en-IN"/>
                <w14:ligatures w14:val="none"/>
              </w:rPr>
              <w:t>..</w:t>
            </w:r>
          </w:p>
        </w:tc>
        <w:tc>
          <w:tcPr>
            <w:tcW w:w="610" w:type="dxa"/>
            <w:tcBorders>
              <w:top w:val="nil"/>
              <w:left w:val="nil"/>
              <w:bottom w:val="single" w:sz="4" w:space="0" w:color="auto"/>
              <w:right w:val="single" w:sz="4" w:space="0" w:color="auto"/>
            </w:tcBorders>
            <w:noWrap/>
            <w:vAlign w:val="center"/>
            <w:hideMark/>
          </w:tcPr>
          <w:p w14:paraId="41C6981B" w14:textId="77777777" w:rsidR="00EF3F11" w:rsidRPr="00D97953" w:rsidRDefault="00EF3F11" w:rsidP="00EF3F11">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D97953">
              <w:rPr>
                <w:rFonts w:ascii="Times New Roman" w:eastAsia="Times New Roman" w:hAnsi="Times New Roman" w:cs="Times New Roman"/>
                <w:color w:val="000000"/>
                <w:kern w:val="0"/>
                <w:sz w:val="16"/>
                <w:szCs w:val="16"/>
                <w:lang w:eastAsia="en-IN"/>
                <w14:ligatures w14:val="none"/>
              </w:rPr>
              <w:t>37.50</w:t>
            </w:r>
          </w:p>
        </w:tc>
        <w:tc>
          <w:tcPr>
            <w:tcW w:w="1728" w:type="dxa"/>
            <w:tcBorders>
              <w:top w:val="nil"/>
              <w:left w:val="nil"/>
              <w:bottom w:val="single" w:sz="4" w:space="0" w:color="auto"/>
              <w:right w:val="single" w:sz="4" w:space="0" w:color="auto"/>
            </w:tcBorders>
            <w:noWrap/>
            <w:vAlign w:val="center"/>
            <w:hideMark/>
          </w:tcPr>
          <w:p w14:paraId="7AC613E7" w14:textId="77777777" w:rsidR="00EF3F11" w:rsidRPr="00D97953" w:rsidRDefault="00EF3F11" w:rsidP="00EF3F11">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D97953">
              <w:rPr>
                <w:rFonts w:ascii="Times New Roman" w:eastAsia="Times New Roman" w:hAnsi="Times New Roman" w:cs="Times New Roman"/>
                <w:color w:val="000000"/>
                <w:kern w:val="0"/>
                <w:sz w:val="16"/>
                <w:szCs w:val="16"/>
                <w:lang w:eastAsia="en-IN"/>
                <w14:ligatures w14:val="none"/>
              </w:rPr>
              <w:t>30.00</w:t>
            </w:r>
          </w:p>
        </w:tc>
        <w:tc>
          <w:tcPr>
            <w:tcW w:w="948" w:type="dxa"/>
            <w:tcBorders>
              <w:top w:val="nil"/>
              <w:left w:val="nil"/>
              <w:bottom w:val="single" w:sz="4" w:space="0" w:color="auto"/>
              <w:right w:val="single" w:sz="4" w:space="0" w:color="auto"/>
            </w:tcBorders>
            <w:noWrap/>
            <w:vAlign w:val="center"/>
            <w:hideMark/>
          </w:tcPr>
          <w:p w14:paraId="1BF68BCB" w14:textId="77777777" w:rsidR="00EF3F11" w:rsidRPr="00D97953" w:rsidRDefault="00EF3F11" w:rsidP="00EF3F11">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D97953">
              <w:rPr>
                <w:rFonts w:ascii="Times New Roman" w:eastAsia="Times New Roman" w:hAnsi="Times New Roman" w:cs="Times New Roman"/>
                <w:color w:val="000000"/>
                <w:kern w:val="0"/>
                <w:sz w:val="16"/>
                <w:szCs w:val="16"/>
                <w:lang w:eastAsia="en-IN"/>
                <w14:ligatures w14:val="none"/>
              </w:rPr>
              <w:t>7.00</w:t>
            </w:r>
          </w:p>
        </w:tc>
        <w:tc>
          <w:tcPr>
            <w:tcW w:w="611" w:type="dxa"/>
            <w:tcBorders>
              <w:top w:val="nil"/>
              <w:left w:val="nil"/>
              <w:bottom w:val="single" w:sz="4" w:space="0" w:color="auto"/>
              <w:right w:val="single" w:sz="4" w:space="0" w:color="auto"/>
            </w:tcBorders>
            <w:noWrap/>
            <w:vAlign w:val="center"/>
            <w:hideMark/>
          </w:tcPr>
          <w:p w14:paraId="5C5D9C6C" w14:textId="77777777" w:rsidR="00EF3F11" w:rsidRPr="00D97953" w:rsidRDefault="00EF3F11" w:rsidP="00EF3F11">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D97953">
              <w:rPr>
                <w:rFonts w:ascii="Times New Roman" w:eastAsia="Times New Roman" w:hAnsi="Times New Roman" w:cs="Times New Roman"/>
                <w:color w:val="000000"/>
                <w:kern w:val="0"/>
                <w:sz w:val="16"/>
                <w:szCs w:val="16"/>
                <w:lang w:eastAsia="en-IN"/>
                <w14:ligatures w14:val="none"/>
              </w:rPr>
              <w:t>37.00</w:t>
            </w:r>
          </w:p>
        </w:tc>
        <w:tc>
          <w:tcPr>
            <w:tcW w:w="1728" w:type="dxa"/>
            <w:tcBorders>
              <w:top w:val="nil"/>
              <w:left w:val="nil"/>
              <w:bottom w:val="single" w:sz="4" w:space="0" w:color="auto"/>
              <w:right w:val="single" w:sz="4" w:space="0" w:color="auto"/>
            </w:tcBorders>
            <w:noWrap/>
            <w:vAlign w:val="center"/>
            <w:hideMark/>
          </w:tcPr>
          <w:p w14:paraId="0E46C57C" w14:textId="77777777" w:rsidR="00EF3F11" w:rsidRPr="00D97953" w:rsidRDefault="00EF3F11" w:rsidP="00EF3F11">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D97953">
              <w:rPr>
                <w:rFonts w:ascii="Times New Roman" w:eastAsia="Times New Roman" w:hAnsi="Times New Roman" w:cs="Times New Roman"/>
                <w:color w:val="000000"/>
                <w:kern w:val="0"/>
                <w:sz w:val="16"/>
                <w:szCs w:val="16"/>
                <w:lang w:eastAsia="en-IN"/>
                <w14:ligatures w14:val="none"/>
              </w:rPr>
              <w:t>37.50</w:t>
            </w:r>
          </w:p>
        </w:tc>
        <w:tc>
          <w:tcPr>
            <w:tcW w:w="948" w:type="dxa"/>
            <w:tcBorders>
              <w:top w:val="nil"/>
              <w:left w:val="nil"/>
              <w:bottom w:val="single" w:sz="4" w:space="0" w:color="auto"/>
              <w:right w:val="single" w:sz="4" w:space="0" w:color="auto"/>
            </w:tcBorders>
            <w:noWrap/>
            <w:vAlign w:val="center"/>
            <w:hideMark/>
          </w:tcPr>
          <w:p w14:paraId="4C12EF40" w14:textId="77777777" w:rsidR="00EF3F11" w:rsidRPr="00D97953" w:rsidRDefault="00EF3F11" w:rsidP="00EF3F11">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D97953">
              <w:rPr>
                <w:rFonts w:ascii="Times New Roman" w:eastAsia="Times New Roman" w:hAnsi="Times New Roman" w:cs="Times New Roman"/>
                <w:color w:val="000000"/>
                <w:kern w:val="0"/>
                <w:sz w:val="16"/>
                <w:szCs w:val="16"/>
                <w:lang w:eastAsia="en-IN"/>
                <w14:ligatures w14:val="none"/>
              </w:rPr>
              <w:t>..</w:t>
            </w:r>
          </w:p>
        </w:tc>
        <w:tc>
          <w:tcPr>
            <w:tcW w:w="610" w:type="dxa"/>
            <w:tcBorders>
              <w:top w:val="nil"/>
              <w:left w:val="nil"/>
              <w:bottom w:val="single" w:sz="4" w:space="0" w:color="auto"/>
              <w:right w:val="single" w:sz="4" w:space="0" w:color="auto"/>
            </w:tcBorders>
            <w:noWrap/>
            <w:vAlign w:val="center"/>
            <w:hideMark/>
          </w:tcPr>
          <w:p w14:paraId="0D7155DA" w14:textId="77777777" w:rsidR="00EF3F11" w:rsidRPr="00D97953" w:rsidRDefault="00EF3F11" w:rsidP="00EF3F11">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D97953">
              <w:rPr>
                <w:rFonts w:ascii="Times New Roman" w:eastAsia="Times New Roman" w:hAnsi="Times New Roman" w:cs="Times New Roman"/>
                <w:color w:val="000000"/>
                <w:kern w:val="0"/>
                <w:sz w:val="16"/>
                <w:szCs w:val="16"/>
                <w:lang w:eastAsia="en-IN"/>
                <w14:ligatures w14:val="none"/>
              </w:rPr>
              <w:t>37.50</w:t>
            </w:r>
          </w:p>
        </w:tc>
        <w:tc>
          <w:tcPr>
            <w:tcW w:w="1728" w:type="dxa"/>
            <w:tcBorders>
              <w:top w:val="nil"/>
              <w:left w:val="nil"/>
              <w:bottom w:val="single" w:sz="4" w:space="0" w:color="auto"/>
              <w:right w:val="single" w:sz="4" w:space="0" w:color="auto"/>
            </w:tcBorders>
            <w:noWrap/>
            <w:vAlign w:val="center"/>
            <w:hideMark/>
          </w:tcPr>
          <w:p w14:paraId="4FF73960" w14:textId="77777777" w:rsidR="00EF3F11" w:rsidRPr="00D97953" w:rsidRDefault="00EF3F11" w:rsidP="00EF3F11">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D97953">
              <w:rPr>
                <w:rFonts w:ascii="Times New Roman" w:eastAsia="Times New Roman" w:hAnsi="Times New Roman" w:cs="Times New Roman"/>
                <w:color w:val="000000"/>
                <w:kern w:val="0"/>
                <w:sz w:val="16"/>
                <w:szCs w:val="16"/>
                <w:lang w:eastAsia="en-IN"/>
                <w14:ligatures w14:val="none"/>
              </w:rPr>
              <w:t>30.00</w:t>
            </w:r>
          </w:p>
        </w:tc>
        <w:tc>
          <w:tcPr>
            <w:tcW w:w="948" w:type="dxa"/>
            <w:tcBorders>
              <w:top w:val="nil"/>
              <w:left w:val="nil"/>
              <w:bottom w:val="single" w:sz="4" w:space="0" w:color="auto"/>
              <w:right w:val="single" w:sz="4" w:space="0" w:color="auto"/>
            </w:tcBorders>
            <w:noWrap/>
            <w:vAlign w:val="center"/>
            <w:hideMark/>
          </w:tcPr>
          <w:p w14:paraId="5A610605" w14:textId="77777777" w:rsidR="00EF3F11" w:rsidRPr="00D97953" w:rsidRDefault="00EF3F11" w:rsidP="00EF3F11">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D97953">
              <w:rPr>
                <w:rFonts w:ascii="Times New Roman" w:eastAsia="Times New Roman" w:hAnsi="Times New Roman" w:cs="Times New Roman"/>
                <w:color w:val="000000"/>
                <w:kern w:val="0"/>
                <w:sz w:val="16"/>
                <w:szCs w:val="16"/>
                <w:lang w:eastAsia="en-IN"/>
                <w14:ligatures w14:val="none"/>
              </w:rPr>
              <w:t>7.50</w:t>
            </w:r>
          </w:p>
        </w:tc>
        <w:tc>
          <w:tcPr>
            <w:tcW w:w="608" w:type="dxa"/>
            <w:tcBorders>
              <w:top w:val="nil"/>
              <w:left w:val="nil"/>
              <w:bottom w:val="single" w:sz="4" w:space="0" w:color="auto"/>
              <w:right w:val="single" w:sz="4" w:space="0" w:color="auto"/>
            </w:tcBorders>
            <w:noWrap/>
            <w:vAlign w:val="center"/>
            <w:hideMark/>
          </w:tcPr>
          <w:p w14:paraId="5730C81B" w14:textId="77777777" w:rsidR="00EF3F11" w:rsidRPr="00D97953" w:rsidRDefault="00EF3F11" w:rsidP="00EF3F11">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D97953">
              <w:rPr>
                <w:rFonts w:ascii="Times New Roman" w:eastAsia="Times New Roman" w:hAnsi="Times New Roman" w:cs="Times New Roman"/>
                <w:color w:val="000000"/>
                <w:kern w:val="0"/>
                <w:sz w:val="16"/>
                <w:szCs w:val="16"/>
                <w:lang w:eastAsia="en-IN"/>
                <w14:ligatures w14:val="none"/>
              </w:rPr>
              <w:t>37.00</w:t>
            </w:r>
          </w:p>
        </w:tc>
      </w:tr>
      <w:tr w:rsidR="00EF3F11" w:rsidRPr="00D97953" w14:paraId="10CDEDAA" w14:textId="77777777" w:rsidTr="00D97953">
        <w:trPr>
          <w:gridAfter w:val="1"/>
          <w:wAfter w:w="15" w:type="dxa"/>
          <w:trHeight w:val="20"/>
          <w:jc w:val="center"/>
        </w:trPr>
        <w:tc>
          <w:tcPr>
            <w:tcW w:w="2464" w:type="dxa"/>
            <w:tcBorders>
              <w:top w:val="nil"/>
              <w:left w:val="single" w:sz="4" w:space="0" w:color="auto"/>
              <w:bottom w:val="single" w:sz="4" w:space="0" w:color="auto"/>
              <w:right w:val="single" w:sz="4" w:space="0" w:color="auto"/>
            </w:tcBorders>
            <w:noWrap/>
            <w:vAlign w:val="center"/>
            <w:hideMark/>
          </w:tcPr>
          <w:p w14:paraId="295E431A" w14:textId="77777777" w:rsidR="00EF3F11" w:rsidRPr="00D97953" w:rsidRDefault="00EF3F11" w:rsidP="00EF3F11">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D97953">
              <w:rPr>
                <w:rFonts w:ascii="Times New Roman" w:eastAsia="Times New Roman" w:hAnsi="Times New Roman" w:cs="Times New Roman"/>
                <w:color w:val="000000"/>
                <w:kern w:val="0"/>
                <w:sz w:val="16"/>
                <w:szCs w:val="16"/>
                <w:lang w:eastAsia="en-IN"/>
                <w14:ligatures w14:val="none"/>
              </w:rPr>
              <w:t>(e) Kanpur</w:t>
            </w:r>
          </w:p>
        </w:tc>
        <w:tc>
          <w:tcPr>
            <w:tcW w:w="608" w:type="dxa"/>
            <w:tcBorders>
              <w:top w:val="nil"/>
              <w:left w:val="nil"/>
              <w:bottom w:val="single" w:sz="4" w:space="0" w:color="auto"/>
              <w:right w:val="single" w:sz="4" w:space="0" w:color="auto"/>
            </w:tcBorders>
            <w:noWrap/>
            <w:vAlign w:val="center"/>
            <w:hideMark/>
          </w:tcPr>
          <w:p w14:paraId="2040F312" w14:textId="77777777" w:rsidR="00EF3F11" w:rsidRPr="00D97953" w:rsidRDefault="00EF3F11" w:rsidP="00EF3F11">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D97953">
              <w:rPr>
                <w:rFonts w:ascii="Times New Roman" w:eastAsia="Times New Roman" w:hAnsi="Times New Roman" w:cs="Times New Roman"/>
                <w:color w:val="000000"/>
                <w:kern w:val="0"/>
                <w:sz w:val="16"/>
                <w:szCs w:val="16"/>
                <w:lang w:eastAsia="en-IN"/>
                <w14:ligatures w14:val="none"/>
              </w:rPr>
              <w:t>25.00</w:t>
            </w:r>
          </w:p>
        </w:tc>
        <w:tc>
          <w:tcPr>
            <w:tcW w:w="948" w:type="dxa"/>
            <w:tcBorders>
              <w:top w:val="nil"/>
              <w:left w:val="nil"/>
              <w:bottom w:val="single" w:sz="4" w:space="0" w:color="auto"/>
              <w:right w:val="single" w:sz="4" w:space="0" w:color="auto"/>
            </w:tcBorders>
            <w:noWrap/>
            <w:vAlign w:val="center"/>
            <w:hideMark/>
          </w:tcPr>
          <w:p w14:paraId="76B9BCF9" w14:textId="77777777" w:rsidR="00EF3F11" w:rsidRPr="00D97953" w:rsidRDefault="00EF3F11" w:rsidP="00EF3F11">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D97953">
              <w:rPr>
                <w:rFonts w:ascii="Times New Roman" w:eastAsia="Times New Roman" w:hAnsi="Times New Roman" w:cs="Times New Roman"/>
                <w:color w:val="000000"/>
                <w:kern w:val="0"/>
                <w:sz w:val="16"/>
                <w:szCs w:val="16"/>
                <w:lang w:eastAsia="en-IN"/>
                <w14:ligatures w14:val="none"/>
              </w:rPr>
              <w:t>6.25</w:t>
            </w:r>
          </w:p>
        </w:tc>
        <w:tc>
          <w:tcPr>
            <w:tcW w:w="610" w:type="dxa"/>
            <w:tcBorders>
              <w:top w:val="nil"/>
              <w:left w:val="nil"/>
              <w:bottom w:val="single" w:sz="4" w:space="0" w:color="auto"/>
              <w:right w:val="single" w:sz="4" w:space="0" w:color="auto"/>
            </w:tcBorders>
            <w:noWrap/>
            <w:vAlign w:val="center"/>
            <w:hideMark/>
          </w:tcPr>
          <w:p w14:paraId="4E938894" w14:textId="77777777" w:rsidR="00EF3F11" w:rsidRPr="00D97953" w:rsidRDefault="00EF3F11" w:rsidP="00EF3F11">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D97953">
              <w:rPr>
                <w:rFonts w:ascii="Times New Roman" w:eastAsia="Times New Roman" w:hAnsi="Times New Roman" w:cs="Times New Roman"/>
                <w:color w:val="000000"/>
                <w:kern w:val="0"/>
                <w:sz w:val="16"/>
                <w:szCs w:val="16"/>
                <w:lang w:eastAsia="en-IN"/>
                <w14:ligatures w14:val="none"/>
              </w:rPr>
              <w:t>31.25</w:t>
            </w:r>
          </w:p>
        </w:tc>
        <w:tc>
          <w:tcPr>
            <w:tcW w:w="1728" w:type="dxa"/>
            <w:tcBorders>
              <w:top w:val="nil"/>
              <w:left w:val="nil"/>
              <w:bottom w:val="single" w:sz="4" w:space="0" w:color="auto"/>
              <w:right w:val="single" w:sz="4" w:space="0" w:color="auto"/>
            </w:tcBorders>
            <w:noWrap/>
            <w:vAlign w:val="center"/>
            <w:hideMark/>
          </w:tcPr>
          <w:p w14:paraId="0CEB73CE" w14:textId="77777777" w:rsidR="00EF3F11" w:rsidRPr="00D97953" w:rsidRDefault="00EF3F11" w:rsidP="00EF3F11">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D97953">
              <w:rPr>
                <w:rFonts w:ascii="Times New Roman" w:eastAsia="Times New Roman" w:hAnsi="Times New Roman" w:cs="Times New Roman"/>
                <w:color w:val="000000"/>
                <w:kern w:val="0"/>
                <w:sz w:val="16"/>
                <w:szCs w:val="16"/>
                <w:lang w:eastAsia="en-IN"/>
                <w14:ligatures w14:val="none"/>
              </w:rPr>
              <w:t>20.00</w:t>
            </w:r>
          </w:p>
        </w:tc>
        <w:tc>
          <w:tcPr>
            <w:tcW w:w="948" w:type="dxa"/>
            <w:tcBorders>
              <w:top w:val="nil"/>
              <w:left w:val="nil"/>
              <w:bottom w:val="single" w:sz="4" w:space="0" w:color="auto"/>
              <w:right w:val="single" w:sz="4" w:space="0" w:color="auto"/>
            </w:tcBorders>
            <w:noWrap/>
            <w:vAlign w:val="center"/>
            <w:hideMark/>
          </w:tcPr>
          <w:p w14:paraId="3FC657BD" w14:textId="77777777" w:rsidR="00EF3F11" w:rsidRPr="00D97953" w:rsidRDefault="00EF3F11" w:rsidP="00EF3F11">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D97953">
              <w:rPr>
                <w:rFonts w:ascii="Times New Roman" w:eastAsia="Times New Roman" w:hAnsi="Times New Roman" w:cs="Times New Roman"/>
                <w:color w:val="000000"/>
                <w:kern w:val="0"/>
                <w:sz w:val="16"/>
                <w:szCs w:val="16"/>
                <w:lang w:eastAsia="en-IN"/>
                <w14:ligatures w14:val="none"/>
              </w:rPr>
              <w:t>5.00</w:t>
            </w:r>
          </w:p>
        </w:tc>
        <w:tc>
          <w:tcPr>
            <w:tcW w:w="611" w:type="dxa"/>
            <w:tcBorders>
              <w:top w:val="nil"/>
              <w:left w:val="nil"/>
              <w:bottom w:val="single" w:sz="4" w:space="0" w:color="auto"/>
              <w:right w:val="single" w:sz="4" w:space="0" w:color="auto"/>
            </w:tcBorders>
            <w:noWrap/>
            <w:vAlign w:val="center"/>
            <w:hideMark/>
          </w:tcPr>
          <w:p w14:paraId="3720C673" w14:textId="77777777" w:rsidR="00EF3F11" w:rsidRPr="00D97953" w:rsidRDefault="00EF3F11" w:rsidP="00EF3F11">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D97953">
              <w:rPr>
                <w:rFonts w:ascii="Times New Roman" w:eastAsia="Times New Roman" w:hAnsi="Times New Roman" w:cs="Times New Roman"/>
                <w:color w:val="000000"/>
                <w:kern w:val="0"/>
                <w:sz w:val="16"/>
                <w:szCs w:val="16"/>
                <w:lang w:eastAsia="en-IN"/>
                <w14:ligatures w14:val="none"/>
              </w:rPr>
              <w:t>25.00</w:t>
            </w:r>
          </w:p>
        </w:tc>
        <w:tc>
          <w:tcPr>
            <w:tcW w:w="1728" w:type="dxa"/>
            <w:tcBorders>
              <w:top w:val="nil"/>
              <w:left w:val="nil"/>
              <w:bottom w:val="single" w:sz="4" w:space="0" w:color="auto"/>
              <w:right w:val="single" w:sz="4" w:space="0" w:color="auto"/>
            </w:tcBorders>
            <w:noWrap/>
            <w:vAlign w:val="center"/>
            <w:hideMark/>
          </w:tcPr>
          <w:p w14:paraId="7F6A0CFB" w14:textId="77777777" w:rsidR="00EF3F11" w:rsidRPr="00D97953" w:rsidRDefault="00EF3F11" w:rsidP="00EF3F11">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D97953">
              <w:rPr>
                <w:rFonts w:ascii="Times New Roman" w:eastAsia="Times New Roman" w:hAnsi="Times New Roman" w:cs="Times New Roman"/>
                <w:color w:val="000000"/>
                <w:kern w:val="0"/>
                <w:sz w:val="16"/>
                <w:szCs w:val="16"/>
                <w:lang w:eastAsia="en-IN"/>
                <w14:ligatures w14:val="none"/>
              </w:rPr>
              <w:t>25.00</w:t>
            </w:r>
          </w:p>
        </w:tc>
        <w:tc>
          <w:tcPr>
            <w:tcW w:w="948" w:type="dxa"/>
            <w:tcBorders>
              <w:top w:val="nil"/>
              <w:left w:val="nil"/>
              <w:bottom w:val="single" w:sz="4" w:space="0" w:color="auto"/>
              <w:right w:val="single" w:sz="4" w:space="0" w:color="auto"/>
            </w:tcBorders>
            <w:noWrap/>
            <w:vAlign w:val="center"/>
            <w:hideMark/>
          </w:tcPr>
          <w:p w14:paraId="2280E5E8" w14:textId="77777777" w:rsidR="00EF3F11" w:rsidRPr="00D97953" w:rsidRDefault="00EF3F11" w:rsidP="00EF3F11">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D97953">
              <w:rPr>
                <w:rFonts w:ascii="Times New Roman" w:eastAsia="Times New Roman" w:hAnsi="Times New Roman" w:cs="Times New Roman"/>
                <w:color w:val="000000"/>
                <w:kern w:val="0"/>
                <w:sz w:val="16"/>
                <w:szCs w:val="16"/>
                <w:lang w:eastAsia="en-IN"/>
                <w14:ligatures w14:val="none"/>
              </w:rPr>
              <w:t>6.25</w:t>
            </w:r>
          </w:p>
        </w:tc>
        <w:tc>
          <w:tcPr>
            <w:tcW w:w="610" w:type="dxa"/>
            <w:tcBorders>
              <w:top w:val="nil"/>
              <w:left w:val="nil"/>
              <w:bottom w:val="single" w:sz="4" w:space="0" w:color="auto"/>
              <w:right w:val="single" w:sz="4" w:space="0" w:color="auto"/>
            </w:tcBorders>
            <w:noWrap/>
            <w:vAlign w:val="center"/>
            <w:hideMark/>
          </w:tcPr>
          <w:p w14:paraId="4600BE56" w14:textId="77777777" w:rsidR="00EF3F11" w:rsidRPr="00D97953" w:rsidRDefault="00EF3F11" w:rsidP="00EF3F11">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D97953">
              <w:rPr>
                <w:rFonts w:ascii="Times New Roman" w:eastAsia="Times New Roman" w:hAnsi="Times New Roman" w:cs="Times New Roman"/>
                <w:color w:val="000000"/>
                <w:kern w:val="0"/>
                <w:sz w:val="16"/>
                <w:szCs w:val="16"/>
                <w:lang w:eastAsia="en-IN"/>
                <w14:ligatures w14:val="none"/>
              </w:rPr>
              <w:t>31.25</w:t>
            </w:r>
          </w:p>
        </w:tc>
        <w:tc>
          <w:tcPr>
            <w:tcW w:w="1728" w:type="dxa"/>
            <w:tcBorders>
              <w:top w:val="nil"/>
              <w:left w:val="nil"/>
              <w:bottom w:val="single" w:sz="4" w:space="0" w:color="auto"/>
              <w:right w:val="single" w:sz="4" w:space="0" w:color="auto"/>
            </w:tcBorders>
            <w:noWrap/>
            <w:vAlign w:val="center"/>
            <w:hideMark/>
          </w:tcPr>
          <w:p w14:paraId="2592C6E8" w14:textId="77777777" w:rsidR="00EF3F11" w:rsidRPr="00D97953" w:rsidRDefault="00EF3F11" w:rsidP="00EF3F11">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D97953">
              <w:rPr>
                <w:rFonts w:ascii="Times New Roman" w:eastAsia="Times New Roman" w:hAnsi="Times New Roman" w:cs="Times New Roman"/>
                <w:color w:val="000000"/>
                <w:kern w:val="0"/>
                <w:sz w:val="16"/>
                <w:szCs w:val="16"/>
                <w:lang w:eastAsia="en-IN"/>
                <w14:ligatures w14:val="none"/>
              </w:rPr>
              <w:t>20.00</w:t>
            </w:r>
          </w:p>
        </w:tc>
        <w:tc>
          <w:tcPr>
            <w:tcW w:w="948" w:type="dxa"/>
            <w:tcBorders>
              <w:top w:val="nil"/>
              <w:left w:val="nil"/>
              <w:bottom w:val="single" w:sz="4" w:space="0" w:color="auto"/>
              <w:right w:val="single" w:sz="4" w:space="0" w:color="auto"/>
            </w:tcBorders>
            <w:noWrap/>
            <w:vAlign w:val="center"/>
            <w:hideMark/>
          </w:tcPr>
          <w:p w14:paraId="0AE567B5" w14:textId="77777777" w:rsidR="00EF3F11" w:rsidRPr="00D97953" w:rsidRDefault="00EF3F11" w:rsidP="00EF3F11">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D97953">
              <w:rPr>
                <w:rFonts w:ascii="Times New Roman" w:eastAsia="Times New Roman" w:hAnsi="Times New Roman" w:cs="Times New Roman"/>
                <w:color w:val="000000"/>
                <w:kern w:val="0"/>
                <w:sz w:val="16"/>
                <w:szCs w:val="16"/>
                <w:lang w:eastAsia="en-IN"/>
                <w14:ligatures w14:val="none"/>
              </w:rPr>
              <w:t>5.00</w:t>
            </w:r>
          </w:p>
        </w:tc>
        <w:tc>
          <w:tcPr>
            <w:tcW w:w="608" w:type="dxa"/>
            <w:tcBorders>
              <w:top w:val="nil"/>
              <w:left w:val="nil"/>
              <w:bottom w:val="single" w:sz="4" w:space="0" w:color="auto"/>
              <w:right w:val="single" w:sz="4" w:space="0" w:color="auto"/>
            </w:tcBorders>
            <w:noWrap/>
            <w:vAlign w:val="center"/>
            <w:hideMark/>
          </w:tcPr>
          <w:p w14:paraId="1DC851CA" w14:textId="77777777" w:rsidR="00EF3F11" w:rsidRPr="00D97953" w:rsidRDefault="00EF3F11" w:rsidP="00EF3F11">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D97953">
              <w:rPr>
                <w:rFonts w:ascii="Times New Roman" w:eastAsia="Times New Roman" w:hAnsi="Times New Roman" w:cs="Times New Roman"/>
                <w:color w:val="000000"/>
                <w:kern w:val="0"/>
                <w:sz w:val="16"/>
                <w:szCs w:val="16"/>
                <w:lang w:eastAsia="en-IN"/>
                <w14:ligatures w14:val="none"/>
              </w:rPr>
              <w:t>25.00</w:t>
            </w:r>
          </w:p>
        </w:tc>
      </w:tr>
      <w:tr w:rsidR="00EF3F11" w:rsidRPr="00D97953" w14:paraId="34C8D115" w14:textId="77777777" w:rsidTr="00D97953">
        <w:trPr>
          <w:gridAfter w:val="1"/>
          <w:wAfter w:w="15" w:type="dxa"/>
          <w:trHeight w:val="20"/>
          <w:jc w:val="center"/>
        </w:trPr>
        <w:tc>
          <w:tcPr>
            <w:tcW w:w="2464" w:type="dxa"/>
            <w:tcBorders>
              <w:top w:val="nil"/>
              <w:left w:val="single" w:sz="4" w:space="0" w:color="auto"/>
              <w:bottom w:val="single" w:sz="4" w:space="0" w:color="auto"/>
              <w:right w:val="single" w:sz="4" w:space="0" w:color="auto"/>
            </w:tcBorders>
            <w:noWrap/>
            <w:vAlign w:val="center"/>
            <w:hideMark/>
          </w:tcPr>
          <w:p w14:paraId="47234FAD" w14:textId="77777777" w:rsidR="00EF3F11" w:rsidRPr="00D97953" w:rsidRDefault="00EF3F11" w:rsidP="00EF3F11">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D97953">
              <w:rPr>
                <w:rFonts w:ascii="Times New Roman" w:eastAsia="Times New Roman" w:hAnsi="Times New Roman" w:cs="Times New Roman"/>
                <w:color w:val="000000"/>
                <w:kern w:val="0"/>
                <w:sz w:val="16"/>
                <w:szCs w:val="16"/>
                <w:lang w:eastAsia="en-IN"/>
                <w14:ligatures w14:val="none"/>
              </w:rPr>
              <w:t>(f) Diesel</w:t>
            </w:r>
          </w:p>
        </w:tc>
        <w:tc>
          <w:tcPr>
            <w:tcW w:w="608" w:type="dxa"/>
            <w:tcBorders>
              <w:top w:val="nil"/>
              <w:left w:val="nil"/>
              <w:bottom w:val="single" w:sz="4" w:space="0" w:color="auto"/>
              <w:right w:val="single" w:sz="4" w:space="0" w:color="auto"/>
            </w:tcBorders>
            <w:noWrap/>
            <w:vAlign w:val="center"/>
            <w:hideMark/>
          </w:tcPr>
          <w:p w14:paraId="30B46D2D" w14:textId="77777777" w:rsidR="00EF3F11" w:rsidRPr="00D97953" w:rsidRDefault="00EF3F11" w:rsidP="00EF3F11">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D97953">
              <w:rPr>
                <w:rFonts w:ascii="Times New Roman" w:eastAsia="Times New Roman" w:hAnsi="Times New Roman" w:cs="Times New Roman"/>
                <w:color w:val="000000"/>
                <w:kern w:val="0"/>
                <w:sz w:val="16"/>
                <w:szCs w:val="16"/>
                <w:lang w:eastAsia="en-IN"/>
                <w14:ligatures w14:val="none"/>
              </w:rPr>
              <w:t>50.00</w:t>
            </w:r>
          </w:p>
        </w:tc>
        <w:tc>
          <w:tcPr>
            <w:tcW w:w="948" w:type="dxa"/>
            <w:tcBorders>
              <w:top w:val="nil"/>
              <w:left w:val="nil"/>
              <w:bottom w:val="single" w:sz="4" w:space="0" w:color="auto"/>
              <w:right w:val="single" w:sz="4" w:space="0" w:color="auto"/>
            </w:tcBorders>
            <w:noWrap/>
            <w:vAlign w:val="center"/>
            <w:hideMark/>
          </w:tcPr>
          <w:p w14:paraId="14CD1C36" w14:textId="77777777" w:rsidR="00EF3F11" w:rsidRPr="00D97953" w:rsidRDefault="00EF3F11" w:rsidP="00EF3F11">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D97953">
              <w:rPr>
                <w:rFonts w:ascii="Times New Roman" w:eastAsia="Times New Roman" w:hAnsi="Times New Roman" w:cs="Times New Roman"/>
                <w:color w:val="000000"/>
                <w:kern w:val="0"/>
                <w:sz w:val="16"/>
                <w:szCs w:val="16"/>
                <w:lang w:eastAsia="en-IN"/>
                <w14:ligatures w14:val="none"/>
              </w:rPr>
              <w:t>..</w:t>
            </w:r>
          </w:p>
        </w:tc>
        <w:tc>
          <w:tcPr>
            <w:tcW w:w="610" w:type="dxa"/>
            <w:tcBorders>
              <w:top w:val="nil"/>
              <w:left w:val="nil"/>
              <w:bottom w:val="single" w:sz="4" w:space="0" w:color="auto"/>
              <w:right w:val="single" w:sz="4" w:space="0" w:color="auto"/>
            </w:tcBorders>
            <w:noWrap/>
            <w:vAlign w:val="center"/>
            <w:hideMark/>
          </w:tcPr>
          <w:p w14:paraId="1BBFF453" w14:textId="77777777" w:rsidR="00EF3F11" w:rsidRPr="00D97953" w:rsidRDefault="00EF3F11" w:rsidP="00EF3F11">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D97953">
              <w:rPr>
                <w:rFonts w:ascii="Times New Roman" w:eastAsia="Times New Roman" w:hAnsi="Times New Roman" w:cs="Times New Roman"/>
                <w:color w:val="000000"/>
                <w:kern w:val="0"/>
                <w:sz w:val="16"/>
                <w:szCs w:val="16"/>
                <w:lang w:eastAsia="en-IN"/>
                <w14:ligatures w14:val="none"/>
              </w:rPr>
              <w:t>50.00</w:t>
            </w:r>
          </w:p>
        </w:tc>
        <w:tc>
          <w:tcPr>
            <w:tcW w:w="1728" w:type="dxa"/>
            <w:tcBorders>
              <w:top w:val="nil"/>
              <w:left w:val="nil"/>
              <w:bottom w:val="single" w:sz="4" w:space="0" w:color="auto"/>
              <w:right w:val="single" w:sz="4" w:space="0" w:color="auto"/>
            </w:tcBorders>
            <w:noWrap/>
            <w:vAlign w:val="center"/>
            <w:hideMark/>
          </w:tcPr>
          <w:p w14:paraId="2E0CCA2D" w14:textId="77777777" w:rsidR="00EF3F11" w:rsidRPr="00D97953" w:rsidRDefault="00EF3F11" w:rsidP="00EF3F11">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D97953">
              <w:rPr>
                <w:rFonts w:ascii="Times New Roman" w:eastAsia="Times New Roman" w:hAnsi="Times New Roman" w:cs="Times New Roman"/>
                <w:color w:val="000000"/>
                <w:kern w:val="0"/>
                <w:sz w:val="16"/>
                <w:szCs w:val="16"/>
                <w:lang w:eastAsia="en-IN"/>
                <w14:ligatures w14:val="none"/>
              </w:rPr>
              <w:t>30.00</w:t>
            </w:r>
          </w:p>
        </w:tc>
        <w:tc>
          <w:tcPr>
            <w:tcW w:w="948" w:type="dxa"/>
            <w:tcBorders>
              <w:top w:val="nil"/>
              <w:left w:val="nil"/>
              <w:bottom w:val="single" w:sz="4" w:space="0" w:color="auto"/>
              <w:right w:val="single" w:sz="4" w:space="0" w:color="auto"/>
            </w:tcBorders>
            <w:noWrap/>
            <w:vAlign w:val="center"/>
            <w:hideMark/>
          </w:tcPr>
          <w:p w14:paraId="3BB4F8C3" w14:textId="77777777" w:rsidR="00EF3F11" w:rsidRPr="00D97953" w:rsidRDefault="00EF3F11" w:rsidP="00EF3F11">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D97953">
              <w:rPr>
                <w:rFonts w:ascii="Times New Roman" w:eastAsia="Times New Roman" w:hAnsi="Times New Roman" w:cs="Times New Roman"/>
                <w:color w:val="000000"/>
                <w:kern w:val="0"/>
                <w:sz w:val="16"/>
                <w:szCs w:val="16"/>
                <w:lang w:eastAsia="en-IN"/>
                <w14:ligatures w14:val="none"/>
              </w:rPr>
              <w:t>7.00</w:t>
            </w:r>
          </w:p>
        </w:tc>
        <w:tc>
          <w:tcPr>
            <w:tcW w:w="611" w:type="dxa"/>
            <w:tcBorders>
              <w:top w:val="nil"/>
              <w:left w:val="nil"/>
              <w:bottom w:val="single" w:sz="4" w:space="0" w:color="auto"/>
              <w:right w:val="single" w:sz="4" w:space="0" w:color="auto"/>
            </w:tcBorders>
            <w:noWrap/>
            <w:vAlign w:val="center"/>
            <w:hideMark/>
          </w:tcPr>
          <w:p w14:paraId="28B83791" w14:textId="77777777" w:rsidR="00EF3F11" w:rsidRPr="00D97953" w:rsidRDefault="00EF3F11" w:rsidP="00EF3F11">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D97953">
              <w:rPr>
                <w:rFonts w:ascii="Times New Roman" w:eastAsia="Times New Roman" w:hAnsi="Times New Roman" w:cs="Times New Roman"/>
                <w:color w:val="000000"/>
                <w:kern w:val="0"/>
                <w:sz w:val="16"/>
                <w:szCs w:val="16"/>
                <w:lang w:eastAsia="en-IN"/>
                <w14:ligatures w14:val="none"/>
              </w:rPr>
              <w:t>37.00</w:t>
            </w:r>
          </w:p>
        </w:tc>
        <w:tc>
          <w:tcPr>
            <w:tcW w:w="1728" w:type="dxa"/>
            <w:tcBorders>
              <w:top w:val="nil"/>
              <w:left w:val="nil"/>
              <w:bottom w:val="single" w:sz="4" w:space="0" w:color="auto"/>
              <w:right w:val="single" w:sz="4" w:space="0" w:color="auto"/>
            </w:tcBorders>
            <w:noWrap/>
            <w:vAlign w:val="center"/>
            <w:hideMark/>
          </w:tcPr>
          <w:p w14:paraId="3E3890A4" w14:textId="77777777" w:rsidR="00EF3F11" w:rsidRPr="00D97953" w:rsidRDefault="00EF3F11" w:rsidP="00EF3F11">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D97953">
              <w:rPr>
                <w:rFonts w:ascii="Times New Roman" w:eastAsia="Times New Roman" w:hAnsi="Times New Roman" w:cs="Times New Roman"/>
                <w:color w:val="000000"/>
                <w:kern w:val="0"/>
                <w:sz w:val="16"/>
                <w:szCs w:val="16"/>
                <w:lang w:eastAsia="en-IN"/>
                <w14:ligatures w14:val="none"/>
              </w:rPr>
              <w:t>50.00</w:t>
            </w:r>
          </w:p>
        </w:tc>
        <w:tc>
          <w:tcPr>
            <w:tcW w:w="948" w:type="dxa"/>
            <w:tcBorders>
              <w:top w:val="nil"/>
              <w:left w:val="nil"/>
              <w:bottom w:val="single" w:sz="4" w:space="0" w:color="auto"/>
              <w:right w:val="single" w:sz="4" w:space="0" w:color="auto"/>
            </w:tcBorders>
            <w:noWrap/>
            <w:vAlign w:val="center"/>
            <w:hideMark/>
          </w:tcPr>
          <w:p w14:paraId="1B11AAB0" w14:textId="77777777" w:rsidR="00EF3F11" w:rsidRPr="00D97953" w:rsidRDefault="00EF3F11" w:rsidP="00EF3F11">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D97953">
              <w:rPr>
                <w:rFonts w:ascii="Times New Roman" w:eastAsia="Times New Roman" w:hAnsi="Times New Roman" w:cs="Times New Roman"/>
                <w:color w:val="000000"/>
                <w:kern w:val="0"/>
                <w:sz w:val="16"/>
                <w:szCs w:val="16"/>
                <w:lang w:eastAsia="en-IN"/>
                <w14:ligatures w14:val="none"/>
              </w:rPr>
              <w:t>..</w:t>
            </w:r>
          </w:p>
        </w:tc>
        <w:tc>
          <w:tcPr>
            <w:tcW w:w="610" w:type="dxa"/>
            <w:tcBorders>
              <w:top w:val="nil"/>
              <w:left w:val="nil"/>
              <w:bottom w:val="single" w:sz="4" w:space="0" w:color="auto"/>
              <w:right w:val="single" w:sz="4" w:space="0" w:color="auto"/>
            </w:tcBorders>
            <w:noWrap/>
            <w:vAlign w:val="center"/>
            <w:hideMark/>
          </w:tcPr>
          <w:p w14:paraId="0FCDE3E1" w14:textId="77777777" w:rsidR="00EF3F11" w:rsidRPr="00D97953" w:rsidRDefault="00EF3F11" w:rsidP="00EF3F11">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D97953">
              <w:rPr>
                <w:rFonts w:ascii="Times New Roman" w:eastAsia="Times New Roman" w:hAnsi="Times New Roman" w:cs="Times New Roman"/>
                <w:color w:val="000000"/>
                <w:kern w:val="0"/>
                <w:sz w:val="16"/>
                <w:szCs w:val="16"/>
                <w:lang w:eastAsia="en-IN"/>
                <w14:ligatures w14:val="none"/>
              </w:rPr>
              <w:t>50.00</w:t>
            </w:r>
          </w:p>
        </w:tc>
        <w:tc>
          <w:tcPr>
            <w:tcW w:w="1728" w:type="dxa"/>
            <w:tcBorders>
              <w:top w:val="nil"/>
              <w:left w:val="nil"/>
              <w:bottom w:val="single" w:sz="4" w:space="0" w:color="auto"/>
              <w:right w:val="single" w:sz="4" w:space="0" w:color="auto"/>
            </w:tcBorders>
            <w:noWrap/>
            <w:vAlign w:val="center"/>
            <w:hideMark/>
          </w:tcPr>
          <w:p w14:paraId="68ABDC38" w14:textId="77777777" w:rsidR="00EF3F11" w:rsidRPr="00D97953" w:rsidRDefault="00EF3F11" w:rsidP="00EF3F11">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D97953">
              <w:rPr>
                <w:rFonts w:ascii="Times New Roman" w:eastAsia="Times New Roman" w:hAnsi="Times New Roman" w:cs="Times New Roman"/>
                <w:color w:val="000000"/>
                <w:kern w:val="0"/>
                <w:sz w:val="16"/>
                <w:szCs w:val="16"/>
                <w:lang w:eastAsia="en-IN"/>
                <w14:ligatures w14:val="none"/>
              </w:rPr>
              <w:t>50.00</w:t>
            </w:r>
          </w:p>
        </w:tc>
        <w:tc>
          <w:tcPr>
            <w:tcW w:w="948" w:type="dxa"/>
            <w:tcBorders>
              <w:top w:val="nil"/>
              <w:left w:val="nil"/>
              <w:bottom w:val="single" w:sz="4" w:space="0" w:color="auto"/>
              <w:right w:val="single" w:sz="4" w:space="0" w:color="auto"/>
            </w:tcBorders>
            <w:noWrap/>
            <w:vAlign w:val="center"/>
            <w:hideMark/>
          </w:tcPr>
          <w:p w14:paraId="242C3400" w14:textId="77777777" w:rsidR="00EF3F11" w:rsidRPr="00D97953" w:rsidRDefault="00EF3F11" w:rsidP="00EF3F11">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D97953">
              <w:rPr>
                <w:rFonts w:ascii="Times New Roman" w:eastAsia="Times New Roman" w:hAnsi="Times New Roman" w:cs="Times New Roman"/>
                <w:color w:val="000000"/>
                <w:kern w:val="0"/>
                <w:sz w:val="16"/>
                <w:szCs w:val="16"/>
                <w:lang w:eastAsia="en-IN"/>
                <w14:ligatures w14:val="none"/>
              </w:rPr>
              <w:t>..</w:t>
            </w:r>
          </w:p>
        </w:tc>
        <w:tc>
          <w:tcPr>
            <w:tcW w:w="608" w:type="dxa"/>
            <w:tcBorders>
              <w:top w:val="nil"/>
              <w:left w:val="nil"/>
              <w:bottom w:val="single" w:sz="4" w:space="0" w:color="auto"/>
              <w:right w:val="single" w:sz="4" w:space="0" w:color="auto"/>
            </w:tcBorders>
            <w:noWrap/>
            <w:vAlign w:val="center"/>
            <w:hideMark/>
          </w:tcPr>
          <w:p w14:paraId="4ED3ADCE" w14:textId="77777777" w:rsidR="00EF3F11" w:rsidRPr="00D97953" w:rsidRDefault="00EF3F11" w:rsidP="00EF3F11">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D97953">
              <w:rPr>
                <w:rFonts w:ascii="Times New Roman" w:eastAsia="Times New Roman" w:hAnsi="Times New Roman" w:cs="Times New Roman"/>
                <w:color w:val="000000"/>
                <w:kern w:val="0"/>
                <w:sz w:val="16"/>
                <w:szCs w:val="16"/>
                <w:lang w:eastAsia="en-IN"/>
                <w14:ligatures w14:val="none"/>
              </w:rPr>
              <w:t>50.00</w:t>
            </w:r>
          </w:p>
        </w:tc>
      </w:tr>
      <w:tr w:rsidR="00EF3F11" w:rsidRPr="00D97953" w14:paraId="3D9F8513" w14:textId="77777777" w:rsidTr="00D97953">
        <w:trPr>
          <w:gridAfter w:val="1"/>
          <w:wAfter w:w="15" w:type="dxa"/>
          <w:trHeight w:val="20"/>
          <w:jc w:val="center"/>
        </w:trPr>
        <w:tc>
          <w:tcPr>
            <w:tcW w:w="2464" w:type="dxa"/>
            <w:tcBorders>
              <w:top w:val="nil"/>
              <w:left w:val="single" w:sz="4" w:space="0" w:color="auto"/>
              <w:bottom w:val="single" w:sz="4" w:space="0" w:color="auto"/>
              <w:right w:val="single" w:sz="4" w:space="0" w:color="auto"/>
            </w:tcBorders>
            <w:noWrap/>
            <w:vAlign w:val="center"/>
            <w:hideMark/>
          </w:tcPr>
          <w:p w14:paraId="1709DD69" w14:textId="77777777" w:rsidR="00EF3F11" w:rsidRPr="00D97953" w:rsidRDefault="00EF3F11" w:rsidP="00EF3F11">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D97953">
              <w:rPr>
                <w:rFonts w:ascii="Times New Roman" w:eastAsia="Times New Roman" w:hAnsi="Times New Roman" w:cs="Times New Roman"/>
                <w:color w:val="000000"/>
                <w:kern w:val="0"/>
                <w:sz w:val="16"/>
                <w:szCs w:val="16"/>
                <w:lang w:eastAsia="en-IN"/>
                <w14:ligatures w14:val="none"/>
              </w:rPr>
              <w:t>17. West Bengal</w:t>
            </w:r>
          </w:p>
        </w:tc>
        <w:tc>
          <w:tcPr>
            <w:tcW w:w="608" w:type="dxa"/>
            <w:tcBorders>
              <w:top w:val="nil"/>
              <w:left w:val="nil"/>
              <w:bottom w:val="single" w:sz="4" w:space="0" w:color="auto"/>
              <w:right w:val="single" w:sz="4" w:space="0" w:color="auto"/>
            </w:tcBorders>
            <w:noWrap/>
            <w:vAlign w:val="center"/>
            <w:hideMark/>
          </w:tcPr>
          <w:p w14:paraId="707FC342" w14:textId="77777777" w:rsidR="00EF3F11" w:rsidRPr="00D97953" w:rsidRDefault="00EF3F11" w:rsidP="00EF3F11">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D97953">
              <w:rPr>
                <w:rFonts w:ascii="Times New Roman" w:eastAsia="Times New Roman" w:hAnsi="Times New Roman" w:cs="Times New Roman"/>
                <w:color w:val="000000"/>
                <w:kern w:val="0"/>
                <w:sz w:val="16"/>
                <w:szCs w:val="16"/>
                <w:lang w:eastAsia="en-IN"/>
                <w14:ligatures w14:val="none"/>
              </w:rPr>
              <w:t>36.00</w:t>
            </w:r>
          </w:p>
        </w:tc>
        <w:tc>
          <w:tcPr>
            <w:tcW w:w="948" w:type="dxa"/>
            <w:tcBorders>
              <w:top w:val="nil"/>
              <w:left w:val="nil"/>
              <w:bottom w:val="single" w:sz="4" w:space="0" w:color="auto"/>
              <w:right w:val="single" w:sz="4" w:space="0" w:color="auto"/>
            </w:tcBorders>
            <w:noWrap/>
            <w:vAlign w:val="center"/>
            <w:hideMark/>
          </w:tcPr>
          <w:p w14:paraId="7072AB11" w14:textId="77777777" w:rsidR="00EF3F11" w:rsidRPr="00D97953" w:rsidRDefault="00EF3F11" w:rsidP="00EF3F11">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D97953">
              <w:rPr>
                <w:rFonts w:ascii="Times New Roman" w:eastAsia="Times New Roman" w:hAnsi="Times New Roman" w:cs="Times New Roman"/>
                <w:color w:val="000000"/>
                <w:kern w:val="0"/>
                <w:sz w:val="16"/>
                <w:szCs w:val="16"/>
                <w:lang w:eastAsia="en-IN"/>
                <w14:ligatures w14:val="none"/>
              </w:rPr>
              <w:t>3.00</w:t>
            </w:r>
          </w:p>
        </w:tc>
        <w:tc>
          <w:tcPr>
            <w:tcW w:w="610" w:type="dxa"/>
            <w:tcBorders>
              <w:top w:val="nil"/>
              <w:left w:val="nil"/>
              <w:bottom w:val="single" w:sz="4" w:space="0" w:color="auto"/>
              <w:right w:val="single" w:sz="4" w:space="0" w:color="auto"/>
            </w:tcBorders>
            <w:noWrap/>
            <w:vAlign w:val="center"/>
            <w:hideMark/>
          </w:tcPr>
          <w:p w14:paraId="7A19A12F" w14:textId="77777777" w:rsidR="00EF3F11" w:rsidRPr="00D97953" w:rsidRDefault="00EF3F11" w:rsidP="00EF3F11">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D97953">
              <w:rPr>
                <w:rFonts w:ascii="Times New Roman" w:eastAsia="Times New Roman" w:hAnsi="Times New Roman" w:cs="Times New Roman"/>
                <w:color w:val="000000"/>
                <w:kern w:val="0"/>
                <w:sz w:val="16"/>
                <w:szCs w:val="16"/>
                <w:lang w:eastAsia="en-IN"/>
                <w14:ligatures w14:val="none"/>
              </w:rPr>
              <w:t>39.00</w:t>
            </w:r>
          </w:p>
        </w:tc>
        <w:tc>
          <w:tcPr>
            <w:tcW w:w="1728" w:type="dxa"/>
            <w:tcBorders>
              <w:top w:val="nil"/>
              <w:left w:val="nil"/>
              <w:bottom w:val="single" w:sz="4" w:space="0" w:color="auto"/>
              <w:right w:val="single" w:sz="4" w:space="0" w:color="auto"/>
            </w:tcBorders>
            <w:noWrap/>
            <w:vAlign w:val="center"/>
            <w:hideMark/>
          </w:tcPr>
          <w:p w14:paraId="44498B93" w14:textId="77777777" w:rsidR="00EF3F11" w:rsidRPr="00D97953" w:rsidRDefault="00EF3F11" w:rsidP="00EF3F11">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D97953">
              <w:rPr>
                <w:rFonts w:ascii="Times New Roman" w:eastAsia="Times New Roman" w:hAnsi="Times New Roman" w:cs="Times New Roman"/>
                <w:color w:val="000000"/>
                <w:kern w:val="0"/>
                <w:sz w:val="16"/>
                <w:szCs w:val="16"/>
                <w:lang w:eastAsia="en-IN"/>
                <w14:ligatures w14:val="none"/>
              </w:rPr>
              <w:t>13.00</w:t>
            </w:r>
          </w:p>
        </w:tc>
        <w:tc>
          <w:tcPr>
            <w:tcW w:w="948" w:type="dxa"/>
            <w:tcBorders>
              <w:top w:val="nil"/>
              <w:left w:val="nil"/>
              <w:bottom w:val="single" w:sz="4" w:space="0" w:color="auto"/>
              <w:right w:val="single" w:sz="4" w:space="0" w:color="auto"/>
            </w:tcBorders>
            <w:noWrap/>
            <w:vAlign w:val="center"/>
            <w:hideMark/>
          </w:tcPr>
          <w:p w14:paraId="547C57D9" w14:textId="77777777" w:rsidR="00EF3F11" w:rsidRPr="00D97953" w:rsidRDefault="00EF3F11" w:rsidP="00EF3F11">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D97953">
              <w:rPr>
                <w:rFonts w:ascii="Times New Roman" w:eastAsia="Times New Roman" w:hAnsi="Times New Roman" w:cs="Times New Roman"/>
                <w:color w:val="000000"/>
                <w:kern w:val="0"/>
                <w:sz w:val="16"/>
                <w:szCs w:val="16"/>
                <w:lang w:eastAsia="en-IN"/>
                <w14:ligatures w14:val="none"/>
              </w:rPr>
              <w:t>1.00</w:t>
            </w:r>
          </w:p>
        </w:tc>
        <w:tc>
          <w:tcPr>
            <w:tcW w:w="611" w:type="dxa"/>
            <w:tcBorders>
              <w:top w:val="nil"/>
              <w:left w:val="nil"/>
              <w:bottom w:val="single" w:sz="4" w:space="0" w:color="auto"/>
              <w:right w:val="single" w:sz="4" w:space="0" w:color="auto"/>
            </w:tcBorders>
            <w:noWrap/>
            <w:vAlign w:val="center"/>
            <w:hideMark/>
          </w:tcPr>
          <w:p w14:paraId="41430AAE" w14:textId="77777777" w:rsidR="00EF3F11" w:rsidRPr="00D97953" w:rsidRDefault="00EF3F11" w:rsidP="00EF3F11">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D97953">
              <w:rPr>
                <w:rFonts w:ascii="Times New Roman" w:eastAsia="Times New Roman" w:hAnsi="Times New Roman" w:cs="Times New Roman"/>
                <w:color w:val="000000"/>
                <w:kern w:val="0"/>
                <w:sz w:val="16"/>
                <w:szCs w:val="16"/>
                <w:lang w:eastAsia="en-IN"/>
                <w14:ligatures w14:val="none"/>
              </w:rPr>
              <w:t>14.00</w:t>
            </w:r>
          </w:p>
        </w:tc>
        <w:tc>
          <w:tcPr>
            <w:tcW w:w="1728" w:type="dxa"/>
            <w:tcBorders>
              <w:top w:val="nil"/>
              <w:left w:val="nil"/>
              <w:bottom w:val="single" w:sz="4" w:space="0" w:color="auto"/>
              <w:right w:val="single" w:sz="4" w:space="0" w:color="auto"/>
            </w:tcBorders>
            <w:noWrap/>
            <w:vAlign w:val="center"/>
            <w:hideMark/>
          </w:tcPr>
          <w:p w14:paraId="43FD8FCD" w14:textId="77777777" w:rsidR="00EF3F11" w:rsidRPr="00D97953" w:rsidRDefault="00EF3F11" w:rsidP="00EF3F11">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D97953">
              <w:rPr>
                <w:rFonts w:ascii="Times New Roman" w:eastAsia="Times New Roman" w:hAnsi="Times New Roman" w:cs="Times New Roman"/>
                <w:color w:val="000000"/>
                <w:kern w:val="0"/>
                <w:sz w:val="16"/>
                <w:szCs w:val="16"/>
                <w:lang w:eastAsia="en-IN"/>
                <w14:ligatures w14:val="none"/>
              </w:rPr>
              <w:t>36.00</w:t>
            </w:r>
          </w:p>
        </w:tc>
        <w:tc>
          <w:tcPr>
            <w:tcW w:w="948" w:type="dxa"/>
            <w:tcBorders>
              <w:top w:val="nil"/>
              <w:left w:val="nil"/>
              <w:bottom w:val="single" w:sz="4" w:space="0" w:color="auto"/>
              <w:right w:val="single" w:sz="4" w:space="0" w:color="auto"/>
            </w:tcBorders>
            <w:noWrap/>
            <w:vAlign w:val="center"/>
            <w:hideMark/>
          </w:tcPr>
          <w:p w14:paraId="71827619" w14:textId="77777777" w:rsidR="00EF3F11" w:rsidRPr="00D97953" w:rsidRDefault="00EF3F11" w:rsidP="00EF3F11">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D97953">
              <w:rPr>
                <w:rFonts w:ascii="Times New Roman" w:eastAsia="Times New Roman" w:hAnsi="Times New Roman" w:cs="Times New Roman"/>
                <w:color w:val="000000"/>
                <w:kern w:val="0"/>
                <w:sz w:val="16"/>
                <w:szCs w:val="16"/>
                <w:lang w:eastAsia="en-IN"/>
                <w14:ligatures w14:val="none"/>
              </w:rPr>
              <w:t>3.00</w:t>
            </w:r>
          </w:p>
        </w:tc>
        <w:tc>
          <w:tcPr>
            <w:tcW w:w="610" w:type="dxa"/>
            <w:tcBorders>
              <w:top w:val="nil"/>
              <w:left w:val="nil"/>
              <w:bottom w:val="single" w:sz="4" w:space="0" w:color="auto"/>
              <w:right w:val="single" w:sz="4" w:space="0" w:color="auto"/>
            </w:tcBorders>
            <w:noWrap/>
            <w:vAlign w:val="center"/>
            <w:hideMark/>
          </w:tcPr>
          <w:p w14:paraId="34F999FD" w14:textId="77777777" w:rsidR="00EF3F11" w:rsidRPr="00D97953" w:rsidRDefault="00EF3F11" w:rsidP="00EF3F11">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D97953">
              <w:rPr>
                <w:rFonts w:ascii="Times New Roman" w:eastAsia="Times New Roman" w:hAnsi="Times New Roman" w:cs="Times New Roman"/>
                <w:color w:val="000000"/>
                <w:kern w:val="0"/>
                <w:sz w:val="16"/>
                <w:szCs w:val="16"/>
                <w:lang w:eastAsia="en-IN"/>
                <w14:ligatures w14:val="none"/>
              </w:rPr>
              <w:t>39.00</w:t>
            </w:r>
          </w:p>
        </w:tc>
        <w:tc>
          <w:tcPr>
            <w:tcW w:w="1728" w:type="dxa"/>
            <w:tcBorders>
              <w:top w:val="nil"/>
              <w:left w:val="nil"/>
              <w:bottom w:val="single" w:sz="4" w:space="0" w:color="auto"/>
              <w:right w:val="single" w:sz="4" w:space="0" w:color="auto"/>
            </w:tcBorders>
            <w:noWrap/>
            <w:vAlign w:val="center"/>
            <w:hideMark/>
          </w:tcPr>
          <w:p w14:paraId="669550F4" w14:textId="77777777" w:rsidR="00EF3F11" w:rsidRPr="00D97953" w:rsidRDefault="00EF3F11" w:rsidP="00EF3F11">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D97953">
              <w:rPr>
                <w:rFonts w:ascii="Times New Roman" w:eastAsia="Times New Roman" w:hAnsi="Times New Roman" w:cs="Times New Roman"/>
                <w:color w:val="000000"/>
                <w:kern w:val="0"/>
                <w:sz w:val="16"/>
                <w:szCs w:val="16"/>
                <w:lang w:eastAsia="en-IN"/>
                <w14:ligatures w14:val="none"/>
              </w:rPr>
              <w:t>13.00</w:t>
            </w:r>
          </w:p>
        </w:tc>
        <w:tc>
          <w:tcPr>
            <w:tcW w:w="948" w:type="dxa"/>
            <w:tcBorders>
              <w:top w:val="nil"/>
              <w:left w:val="nil"/>
              <w:bottom w:val="single" w:sz="4" w:space="0" w:color="auto"/>
              <w:right w:val="single" w:sz="4" w:space="0" w:color="auto"/>
            </w:tcBorders>
            <w:noWrap/>
            <w:vAlign w:val="center"/>
            <w:hideMark/>
          </w:tcPr>
          <w:p w14:paraId="094F9CE0" w14:textId="77777777" w:rsidR="00EF3F11" w:rsidRPr="00D97953" w:rsidRDefault="00EF3F11" w:rsidP="00EF3F11">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D97953">
              <w:rPr>
                <w:rFonts w:ascii="Times New Roman" w:eastAsia="Times New Roman" w:hAnsi="Times New Roman" w:cs="Times New Roman"/>
                <w:color w:val="000000"/>
                <w:kern w:val="0"/>
                <w:sz w:val="16"/>
                <w:szCs w:val="16"/>
                <w:lang w:eastAsia="en-IN"/>
                <w14:ligatures w14:val="none"/>
              </w:rPr>
              <w:t>1.00</w:t>
            </w:r>
          </w:p>
        </w:tc>
        <w:tc>
          <w:tcPr>
            <w:tcW w:w="608" w:type="dxa"/>
            <w:tcBorders>
              <w:top w:val="nil"/>
              <w:left w:val="nil"/>
              <w:bottom w:val="single" w:sz="4" w:space="0" w:color="auto"/>
              <w:right w:val="single" w:sz="4" w:space="0" w:color="auto"/>
            </w:tcBorders>
            <w:noWrap/>
            <w:vAlign w:val="center"/>
            <w:hideMark/>
          </w:tcPr>
          <w:p w14:paraId="4E41F6FF" w14:textId="77777777" w:rsidR="00EF3F11" w:rsidRPr="00D97953" w:rsidRDefault="00EF3F11" w:rsidP="00EF3F11">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D97953">
              <w:rPr>
                <w:rFonts w:ascii="Times New Roman" w:eastAsia="Times New Roman" w:hAnsi="Times New Roman" w:cs="Times New Roman"/>
                <w:color w:val="000000"/>
                <w:kern w:val="0"/>
                <w:sz w:val="16"/>
                <w:szCs w:val="16"/>
                <w:lang w:eastAsia="en-IN"/>
                <w14:ligatures w14:val="none"/>
              </w:rPr>
              <w:t>14.00</w:t>
            </w:r>
          </w:p>
        </w:tc>
      </w:tr>
    </w:tbl>
    <w:p w14:paraId="7F2D4034" w14:textId="77777777" w:rsidR="00EF3F11" w:rsidRDefault="00EF3F11" w:rsidP="00CE7183">
      <w:pPr>
        <w:spacing w:after="0"/>
        <w:jc w:val="right"/>
        <w:rPr>
          <w:rFonts w:ascii="Times New Roman" w:hAnsi="Times New Roman" w:cs="Times New Roman"/>
          <w:i/>
          <w:iCs/>
          <w:szCs w:val="24"/>
          <w:highlight w:val="yellow"/>
        </w:rPr>
      </w:pPr>
    </w:p>
    <w:p w14:paraId="0C75D33A" w14:textId="77777777" w:rsidR="00EF3F11" w:rsidRDefault="00EF3F11" w:rsidP="00CE7183">
      <w:pPr>
        <w:spacing w:after="0"/>
        <w:jc w:val="right"/>
        <w:rPr>
          <w:rFonts w:ascii="Times New Roman" w:hAnsi="Times New Roman" w:cs="Times New Roman"/>
          <w:i/>
          <w:iCs/>
          <w:szCs w:val="24"/>
          <w:highlight w:val="yellow"/>
        </w:rPr>
      </w:pPr>
    </w:p>
    <w:p w14:paraId="4F457FD6" w14:textId="77777777" w:rsidR="00EF3F11" w:rsidRPr="004C5F87" w:rsidRDefault="00EF3F11" w:rsidP="00CE7183">
      <w:pPr>
        <w:spacing w:after="0"/>
        <w:jc w:val="right"/>
        <w:rPr>
          <w:rFonts w:ascii="Times New Roman" w:hAnsi="Times New Roman" w:cs="Times New Roman"/>
          <w:i/>
          <w:iCs/>
          <w:szCs w:val="24"/>
          <w:highlight w:val="yellow"/>
        </w:rPr>
      </w:pPr>
    </w:p>
    <w:p w14:paraId="7DE9B1A9" w14:textId="1A9F29F0" w:rsidR="00DE7403" w:rsidRPr="00FC26AB" w:rsidRDefault="00DE7403" w:rsidP="00DE7403">
      <w:pPr>
        <w:tabs>
          <w:tab w:val="left" w:pos="2108"/>
        </w:tabs>
        <w:rPr>
          <w:rFonts w:ascii="Times New Roman" w:hAnsi="Times New Roman" w:cs="Times New Roman"/>
          <w:b/>
          <w:bCs/>
        </w:rPr>
      </w:pPr>
      <w:r w:rsidRPr="00FC26AB">
        <w:rPr>
          <w:rFonts w:ascii="Times New Roman" w:hAnsi="Times New Roman" w:cs="Times New Roman"/>
          <w:b/>
          <w:bCs/>
        </w:rPr>
        <w:tab/>
      </w:r>
    </w:p>
    <w:p w14:paraId="2C978E6D" w14:textId="757E6B6B" w:rsidR="00787C93" w:rsidRPr="00A8668B" w:rsidRDefault="00574BCE" w:rsidP="00A8668B">
      <w:pPr>
        <w:jc w:val="center"/>
        <w:rPr>
          <w:rFonts w:ascii="Times New Roman" w:hAnsi="Times New Roman" w:cs="Times New Roman"/>
          <w:b/>
          <w:bCs/>
        </w:rPr>
      </w:pPr>
      <w:bookmarkStart w:id="99" w:name="_Toc220949703"/>
      <w:r w:rsidRPr="00A8668B">
        <w:rPr>
          <w:rFonts w:ascii="Times New Roman" w:hAnsi="Times New Roman" w:cs="Times New Roman"/>
          <w:b/>
          <w:bCs/>
        </w:rPr>
        <w:lastRenderedPageBreak/>
        <w:t>Table</w:t>
      </w:r>
      <w:r w:rsidR="00787C93" w:rsidRPr="00A8668B">
        <w:rPr>
          <w:rFonts w:ascii="Times New Roman" w:hAnsi="Times New Roman" w:cs="Times New Roman"/>
          <w:b/>
          <w:bCs/>
        </w:rPr>
        <w:t xml:space="preserve"> 22: Average Rates of Electricity Supply and Electricity Duty - Contd.</w:t>
      </w:r>
      <w:bookmarkEnd w:id="99"/>
    </w:p>
    <w:tbl>
      <w:tblPr>
        <w:tblW w:w="14212" w:type="dxa"/>
        <w:jc w:val="center"/>
        <w:tblLook w:val="04A0" w:firstRow="1" w:lastRow="0" w:firstColumn="1" w:lastColumn="0" w:noHBand="0" w:noVBand="1"/>
      </w:tblPr>
      <w:tblGrid>
        <w:gridCol w:w="1842"/>
        <w:gridCol w:w="851"/>
        <w:gridCol w:w="992"/>
        <w:gridCol w:w="581"/>
        <w:gridCol w:w="992"/>
        <w:gridCol w:w="865"/>
        <w:gridCol w:w="709"/>
        <w:gridCol w:w="708"/>
        <w:gridCol w:w="865"/>
        <w:gridCol w:w="581"/>
        <w:gridCol w:w="1004"/>
        <w:gridCol w:w="865"/>
        <w:gridCol w:w="995"/>
        <w:gridCol w:w="916"/>
        <w:gridCol w:w="865"/>
        <w:gridCol w:w="581"/>
      </w:tblGrid>
      <w:tr w:rsidR="005A319E" w:rsidRPr="005A319E" w14:paraId="410701BD" w14:textId="77777777" w:rsidTr="00D67840">
        <w:trPr>
          <w:trHeight w:val="22"/>
          <w:jc w:val="center"/>
        </w:trPr>
        <w:tc>
          <w:tcPr>
            <w:tcW w:w="1842" w:type="dxa"/>
            <w:tcBorders>
              <w:top w:val="single" w:sz="4" w:space="0" w:color="auto"/>
              <w:left w:val="single" w:sz="4" w:space="0" w:color="auto"/>
              <w:bottom w:val="single" w:sz="4" w:space="0" w:color="auto"/>
              <w:right w:val="single" w:sz="4" w:space="0" w:color="auto"/>
            </w:tcBorders>
            <w:noWrap/>
            <w:vAlign w:val="center"/>
            <w:hideMark/>
          </w:tcPr>
          <w:p w14:paraId="056981E1" w14:textId="6F3E6064" w:rsidR="005A319E" w:rsidRPr="005A319E" w:rsidRDefault="005A319E" w:rsidP="005A319E">
            <w:pPr>
              <w:spacing w:after="0" w:line="240" w:lineRule="auto"/>
              <w:jc w:val="center"/>
              <w:rPr>
                <w:rFonts w:ascii="Times New Roman" w:eastAsia="Times New Roman" w:hAnsi="Times New Roman" w:cs="Times New Roman"/>
                <w:b/>
                <w:bCs/>
                <w:color w:val="000000"/>
                <w:kern w:val="0"/>
                <w:sz w:val="16"/>
                <w:szCs w:val="16"/>
                <w:lang w:eastAsia="en-IN"/>
                <w14:ligatures w14:val="none"/>
              </w:rPr>
            </w:pPr>
          </w:p>
        </w:tc>
        <w:tc>
          <w:tcPr>
            <w:tcW w:w="12370" w:type="dxa"/>
            <w:gridSpan w:val="15"/>
            <w:tcBorders>
              <w:top w:val="single" w:sz="4" w:space="0" w:color="auto"/>
              <w:left w:val="nil"/>
              <w:bottom w:val="single" w:sz="4" w:space="0" w:color="auto"/>
              <w:right w:val="single" w:sz="4" w:space="0" w:color="auto"/>
            </w:tcBorders>
            <w:noWrap/>
            <w:vAlign w:val="center"/>
            <w:hideMark/>
          </w:tcPr>
          <w:p w14:paraId="3BA8425F" w14:textId="77777777" w:rsidR="005A319E" w:rsidRPr="005A319E" w:rsidRDefault="005A319E" w:rsidP="005A319E">
            <w:pPr>
              <w:spacing w:after="0" w:line="240" w:lineRule="auto"/>
              <w:jc w:val="center"/>
              <w:rPr>
                <w:rFonts w:ascii="Times New Roman" w:eastAsia="Times New Roman" w:hAnsi="Times New Roman" w:cs="Times New Roman"/>
                <w:b/>
                <w:bCs/>
                <w:color w:val="000000"/>
                <w:kern w:val="0"/>
                <w:sz w:val="16"/>
                <w:szCs w:val="16"/>
                <w:lang w:eastAsia="en-IN"/>
                <w14:ligatures w14:val="none"/>
              </w:rPr>
            </w:pPr>
            <w:r w:rsidRPr="005A319E">
              <w:rPr>
                <w:rFonts w:ascii="Times New Roman" w:eastAsia="Times New Roman" w:hAnsi="Times New Roman" w:cs="Times New Roman"/>
                <w:b/>
                <w:bCs/>
                <w:color w:val="000000"/>
                <w:kern w:val="0"/>
                <w:sz w:val="16"/>
                <w:szCs w:val="16"/>
                <w:lang w:eastAsia="en-IN"/>
                <w14:ligatures w14:val="none"/>
              </w:rPr>
              <w:t>Average Rate (P/Kwh)</w:t>
            </w:r>
          </w:p>
        </w:tc>
      </w:tr>
      <w:tr w:rsidR="005A319E" w:rsidRPr="005A319E" w14:paraId="479F92C9" w14:textId="77777777" w:rsidTr="00D67840">
        <w:trPr>
          <w:trHeight w:val="22"/>
          <w:jc w:val="center"/>
        </w:trPr>
        <w:tc>
          <w:tcPr>
            <w:tcW w:w="1842" w:type="dxa"/>
            <w:tcBorders>
              <w:top w:val="nil"/>
              <w:left w:val="single" w:sz="4" w:space="0" w:color="auto"/>
              <w:bottom w:val="single" w:sz="4" w:space="0" w:color="auto"/>
              <w:right w:val="single" w:sz="4" w:space="0" w:color="auto"/>
            </w:tcBorders>
            <w:noWrap/>
            <w:vAlign w:val="center"/>
            <w:hideMark/>
          </w:tcPr>
          <w:p w14:paraId="44DA9796" w14:textId="4704D76F" w:rsidR="005A319E" w:rsidRPr="005A319E" w:rsidRDefault="005A319E" w:rsidP="005A319E">
            <w:pPr>
              <w:spacing w:after="0" w:line="240" w:lineRule="auto"/>
              <w:jc w:val="center"/>
              <w:rPr>
                <w:rFonts w:ascii="Times New Roman" w:eastAsia="Times New Roman" w:hAnsi="Times New Roman" w:cs="Times New Roman"/>
                <w:b/>
                <w:bCs/>
                <w:color w:val="000000"/>
                <w:kern w:val="0"/>
                <w:sz w:val="16"/>
                <w:szCs w:val="16"/>
                <w:lang w:eastAsia="en-IN"/>
                <w14:ligatures w14:val="none"/>
              </w:rPr>
            </w:pPr>
          </w:p>
        </w:tc>
        <w:tc>
          <w:tcPr>
            <w:tcW w:w="2424" w:type="dxa"/>
            <w:gridSpan w:val="3"/>
            <w:tcBorders>
              <w:top w:val="single" w:sz="4" w:space="0" w:color="auto"/>
              <w:left w:val="nil"/>
              <w:bottom w:val="single" w:sz="4" w:space="0" w:color="auto"/>
              <w:right w:val="single" w:sz="4" w:space="0" w:color="auto"/>
            </w:tcBorders>
            <w:noWrap/>
            <w:vAlign w:val="center"/>
            <w:hideMark/>
          </w:tcPr>
          <w:p w14:paraId="10F62CDD" w14:textId="77777777" w:rsidR="005A319E" w:rsidRPr="005A319E" w:rsidRDefault="005A319E" w:rsidP="005A319E">
            <w:pPr>
              <w:spacing w:after="0" w:line="240" w:lineRule="auto"/>
              <w:jc w:val="center"/>
              <w:rPr>
                <w:rFonts w:ascii="Times New Roman" w:eastAsia="Times New Roman" w:hAnsi="Times New Roman" w:cs="Times New Roman"/>
                <w:b/>
                <w:bCs/>
                <w:color w:val="000000"/>
                <w:kern w:val="0"/>
                <w:sz w:val="16"/>
                <w:szCs w:val="16"/>
                <w:lang w:eastAsia="en-IN"/>
                <w14:ligatures w14:val="none"/>
              </w:rPr>
            </w:pPr>
            <w:r w:rsidRPr="005A319E">
              <w:rPr>
                <w:rFonts w:ascii="Times New Roman" w:eastAsia="Times New Roman" w:hAnsi="Times New Roman" w:cs="Times New Roman"/>
                <w:b/>
                <w:bCs/>
                <w:color w:val="000000"/>
                <w:kern w:val="0"/>
                <w:sz w:val="16"/>
                <w:szCs w:val="16"/>
                <w:lang w:eastAsia="en-IN"/>
                <w14:ligatures w14:val="none"/>
              </w:rPr>
              <w:t>Agricultural to H.P. 15% L.F.(817 kwh/month</w:t>
            </w:r>
          </w:p>
        </w:tc>
        <w:tc>
          <w:tcPr>
            <w:tcW w:w="2566" w:type="dxa"/>
            <w:gridSpan w:val="3"/>
            <w:tcBorders>
              <w:top w:val="single" w:sz="4" w:space="0" w:color="auto"/>
              <w:left w:val="nil"/>
              <w:bottom w:val="single" w:sz="4" w:space="0" w:color="auto"/>
              <w:right w:val="single" w:sz="4" w:space="0" w:color="auto"/>
            </w:tcBorders>
            <w:noWrap/>
            <w:vAlign w:val="center"/>
            <w:hideMark/>
          </w:tcPr>
          <w:p w14:paraId="4F23C5D1" w14:textId="77777777" w:rsidR="005A319E" w:rsidRPr="005A319E" w:rsidRDefault="005A319E" w:rsidP="005A319E">
            <w:pPr>
              <w:spacing w:after="0" w:line="240" w:lineRule="auto"/>
              <w:jc w:val="center"/>
              <w:rPr>
                <w:rFonts w:ascii="Times New Roman" w:eastAsia="Times New Roman" w:hAnsi="Times New Roman" w:cs="Times New Roman"/>
                <w:b/>
                <w:bCs/>
                <w:color w:val="000000"/>
                <w:kern w:val="0"/>
                <w:sz w:val="16"/>
                <w:szCs w:val="16"/>
                <w:lang w:eastAsia="en-IN"/>
                <w14:ligatures w14:val="none"/>
              </w:rPr>
            </w:pPr>
            <w:r w:rsidRPr="005A319E">
              <w:rPr>
                <w:rFonts w:ascii="Times New Roman" w:eastAsia="Times New Roman" w:hAnsi="Times New Roman" w:cs="Times New Roman"/>
                <w:b/>
                <w:bCs/>
                <w:color w:val="000000"/>
                <w:kern w:val="0"/>
                <w:sz w:val="16"/>
                <w:szCs w:val="16"/>
                <w:lang w:eastAsia="en-IN"/>
                <w14:ligatures w14:val="none"/>
              </w:rPr>
              <w:t>Small Industry (10 Kw 20% L.F.)</w:t>
            </w:r>
          </w:p>
        </w:tc>
        <w:tc>
          <w:tcPr>
            <w:tcW w:w="2154" w:type="dxa"/>
            <w:gridSpan w:val="3"/>
            <w:tcBorders>
              <w:top w:val="single" w:sz="4" w:space="0" w:color="auto"/>
              <w:left w:val="nil"/>
              <w:bottom w:val="single" w:sz="4" w:space="0" w:color="auto"/>
              <w:right w:val="single" w:sz="4" w:space="0" w:color="auto"/>
            </w:tcBorders>
            <w:noWrap/>
            <w:vAlign w:val="center"/>
            <w:hideMark/>
          </w:tcPr>
          <w:p w14:paraId="2A68D139" w14:textId="77777777" w:rsidR="005A319E" w:rsidRPr="005A319E" w:rsidRDefault="005A319E" w:rsidP="005A319E">
            <w:pPr>
              <w:spacing w:after="0" w:line="240" w:lineRule="auto"/>
              <w:jc w:val="center"/>
              <w:rPr>
                <w:rFonts w:ascii="Times New Roman" w:eastAsia="Times New Roman" w:hAnsi="Times New Roman" w:cs="Times New Roman"/>
                <w:b/>
                <w:bCs/>
                <w:color w:val="000000"/>
                <w:kern w:val="0"/>
                <w:sz w:val="16"/>
                <w:szCs w:val="16"/>
                <w:lang w:eastAsia="en-IN"/>
                <w14:ligatures w14:val="none"/>
              </w:rPr>
            </w:pPr>
            <w:r w:rsidRPr="005A319E">
              <w:rPr>
                <w:rFonts w:ascii="Times New Roman" w:eastAsia="Times New Roman" w:hAnsi="Times New Roman" w:cs="Times New Roman"/>
                <w:b/>
                <w:bCs/>
                <w:color w:val="000000"/>
                <w:kern w:val="0"/>
                <w:sz w:val="16"/>
                <w:szCs w:val="16"/>
                <w:lang w:eastAsia="en-IN"/>
                <w14:ligatures w14:val="none"/>
              </w:rPr>
              <w:t>Medium Industry (50 Kw 30% L.F.)</w:t>
            </w:r>
          </w:p>
        </w:tc>
        <w:tc>
          <w:tcPr>
            <w:tcW w:w="2864" w:type="dxa"/>
            <w:gridSpan w:val="3"/>
            <w:tcBorders>
              <w:top w:val="single" w:sz="4" w:space="0" w:color="auto"/>
              <w:left w:val="nil"/>
              <w:bottom w:val="single" w:sz="4" w:space="0" w:color="auto"/>
              <w:right w:val="single" w:sz="4" w:space="0" w:color="auto"/>
            </w:tcBorders>
            <w:noWrap/>
            <w:vAlign w:val="center"/>
            <w:hideMark/>
          </w:tcPr>
          <w:p w14:paraId="122F3992" w14:textId="77777777" w:rsidR="005A319E" w:rsidRPr="005A319E" w:rsidRDefault="005A319E" w:rsidP="005A319E">
            <w:pPr>
              <w:spacing w:after="0" w:line="240" w:lineRule="auto"/>
              <w:jc w:val="center"/>
              <w:rPr>
                <w:rFonts w:ascii="Times New Roman" w:eastAsia="Times New Roman" w:hAnsi="Times New Roman" w:cs="Times New Roman"/>
                <w:b/>
                <w:bCs/>
                <w:color w:val="000000"/>
                <w:kern w:val="0"/>
                <w:sz w:val="16"/>
                <w:szCs w:val="16"/>
                <w:lang w:eastAsia="en-IN"/>
                <w14:ligatures w14:val="none"/>
              </w:rPr>
            </w:pPr>
            <w:r w:rsidRPr="005A319E">
              <w:rPr>
                <w:rFonts w:ascii="Times New Roman" w:eastAsia="Times New Roman" w:hAnsi="Times New Roman" w:cs="Times New Roman"/>
                <w:b/>
                <w:bCs/>
                <w:color w:val="000000"/>
                <w:kern w:val="0"/>
                <w:sz w:val="16"/>
                <w:szCs w:val="16"/>
                <w:lang w:eastAsia="en-IN"/>
                <w14:ligatures w14:val="none"/>
              </w:rPr>
              <w:t>Large Industry I 250 Kw 40% LF (73,000 Kwh/month)</w:t>
            </w:r>
          </w:p>
        </w:tc>
        <w:tc>
          <w:tcPr>
            <w:tcW w:w="2362" w:type="dxa"/>
            <w:gridSpan w:val="3"/>
            <w:tcBorders>
              <w:top w:val="single" w:sz="4" w:space="0" w:color="auto"/>
              <w:left w:val="nil"/>
              <w:bottom w:val="single" w:sz="4" w:space="0" w:color="auto"/>
              <w:right w:val="single" w:sz="4" w:space="0" w:color="auto"/>
            </w:tcBorders>
            <w:noWrap/>
            <w:vAlign w:val="center"/>
            <w:hideMark/>
          </w:tcPr>
          <w:p w14:paraId="38C062EB" w14:textId="77777777" w:rsidR="005A319E" w:rsidRPr="005A319E" w:rsidRDefault="005A319E" w:rsidP="005A319E">
            <w:pPr>
              <w:spacing w:after="0" w:line="240" w:lineRule="auto"/>
              <w:jc w:val="center"/>
              <w:rPr>
                <w:rFonts w:ascii="Times New Roman" w:eastAsia="Times New Roman" w:hAnsi="Times New Roman" w:cs="Times New Roman"/>
                <w:b/>
                <w:bCs/>
                <w:color w:val="000000"/>
                <w:kern w:val="0"/>
                <w:sz w:val="16"/>
                <w:szCs w:val="16"/>
                <w:lang w:eastAsia="en-IN"/>
                <w14:ligatures w14:val="none"/>
              </w:rPr>
            </w:pPr>
            <w:r w:rsidRPr="005A319E">
              <w:rPr>
                <w:rFonts w:ascii="Times New Roman" w:eastAsia="Times New Roman" w:hAnsi="Times New Roman" w:cs="Times New Roman"/>
                <w:b/>
                <w:bCs/>
                <w:color w:val="000000"/>
                <w:kern w:val="0"/>
                <w:sz w:val="16"/>
                <w:szCs w:val="16"/>
                <w:lang w:eastAsia="en-IN"/>
                <w14:ligatures w14:val="none"/>
              </w:rPr>
              <w:t>Large Industry II 1000Kw 50% LF (365,000 Kwh/month)</w:t>
            </w:r>
          </w:p>
        </w:tc>
      </w:tr>
      <w:tr w:rsidR="005A319E" w:rsidRPr="005A319E" w14:paraId="18405C24" w14:textId="77777777" w:rsidTr="00D67840">
        <w:trPr>
          <w:trHeight w:val="22"/>
          <w:jc w:val="center"/>
        </w:trPr>
        <w:tc>
          <w:tcPr>
            <w:tcW w:w="1842" w:type="dxa"/>
            <w:tcBorders>
              <w:top w:val="nil"/>
              <w:left w:val="single" w:sz="4" w:space="0" w:color="auto"/>
              <w:bottom w:val="single" w:sz="4" w:space="0" w:color="auto"/>
              <w:right w:val="single" w:sz="4" w:space="0" w:color="auto"/>
            </w:tcBorders>
            <w:noWrap/>
            <w:vAlign w:val="center"/>
            <w:hideMark/>
          </w:tcPr>
          <w:p w14:paraId="4FCEF273" w14:textId="1FC9A7F3" w:rsidR="005A319E" w:rsidRPr="005A319E" w:rsidRDefault="005A319E" w:rsidP="005A319E">
            <w:pPr>
              <w:spacing w:after="0" w:line="240" w:lineRule="auto"/>
              <w:jc w:val="center"/>
              <w:rPr>
                <w:rFonts w:ascii="Times New Roman" w:eastAsia="Times New Roman" w:hAnsi="Times New Roman" w:cs="Times New Roman"/>
                <w:b/>
                <w:bCs/>
                <w:color w:val="000000"/>
                <w:kern w:val="0"/>
                <w:sz w:val="16"/>
                <w:szCs w:val="16"/>
                <w:lang w:eastAsia="en-IN"/>
                <w14:ligatures w14:val="none"/>
              </w:rPr>
            </w:pPr>
          </w:p>
        </w:tc>
        <w:tc>
          <w:tcPr>
            <w:tcW w:w="851" w:type="dxa"/>
            <w:tcBorders>
              <w:top w:val="nil"/>
              <w:left w:val="nil"/>
              <w:bottom w:val="single" w:sz="4" w:space="0" w:color="auto"/>
              <w:right w:val="single" w:sz="4" w:space="0" w:color="auto"/>
            </w:tcBorders>
            <w:noWrap/>
            <w:vAlign w:val="center"/>
            <w:hideMark/>
          </w:tcPr>
          <w:p w14:paraId="5137FFEA" w14:textId="77777777" w:rsidR="005A319E" w:rsidRPr="005A319E" w:rsidRDefault="005A319E" w:rsidP="005A319E">
            <w:pPr>
              <w:spacing w:after="0" w:line="240" w:lineRule="auto"/>
              <w:jc w:val="center"/>
              <w:rPr>
                <w:rFonts w:ascii="Times New Roman" w:eastAsia="Times New Roman" w:hAnsi="Times New Roman" w:cs="Times New Roman"/>
                <w:b/>
                <w:bCs/>
                <w:color w:val="000000"/>
                <w:kern w:val="0"/>
                <w:sz w:val="16"/>
                <w:szCs w:val="16"/>
                <w:lang w:eastAsia="en-IN"/>
                <w14:ligatures w14:val="none"/>
              </w:rPr>
            </w:pPr>
            <w:r w:rsidRPr="005A319E">
              <w:rPr>
                <w:rFonts w:ascii="Times New Roman" w:eastAsia="Times New Roman" w:hAnsi="Times New Roman" w:cs="Times New Roman"/>
                <w:b/>
                <w:bCs/>
                <w:color w:val="000000"/>
                <w:kern w:val="0"/>
                <w:sz w:val="16"/>
                <w:szCs w:val="16"/>
                <w:lang w:eastAsia="en-IN"/>
                <w14:ligatures w14:val="none"/>
              </w:rPr>
              <w:t>Rate</w:t>
            </w:r>
          </w:p>
        </w:tc>
        <w:tc>
          <w:tcPr>
            <w:tcW w:w="992" w:type="dxa"/>
            <w:tcBorders>
              <w:top w:val="nil"/>
              <w:left w:val="nil"/>
              <w:bottom w:val="single" w:sz="4" w:space="0" w:color="auto"/>
              <w:right w:val="single" w:sz="4" w:space="0" w:color="auto"/>
            </w:tcBorders>
            <w:noWrap/>
            <w:vAlign w:val="center"/>
            <w:hideMark/>
          </w:tcPr>
          <w:p w14:paraId="6C61A18D" w14:textId="77777777" w:rsidR="005A319E" w:rsidRPr="005A319E" w:rsidRDefault="005A319E" w:rsidP="005A319E">
            <w:pPr>
              <w:spacing w:after="0" w:line="240" w:lineRule="auto"/>
              <w:jc w:val="center"/>
              <w:rPr>
                <w:rFonts w:ascii="Times New Roman" w:eastAsia="Times New Roman" w:hAnsi="Times New Roman" w:cs="Times New Roman"/>
                <w:b/>
                <w:bCs/>
                <w:color w:val="000000"/>
                <w:kern w:val="0"/>
                <w:sz w:val="16"/>
                <w:szCs w:val="16"/>
                <w:lang w:eastAsia="en-IN"/>
                <w14:ligatures w14:val="none"/>
              </w:rPr>
            </w:pPr>
            <w:r w:rsidRPr="005A319E">
              <w:rPr>
                <w:rFonts w:ascii="Times New Roman" w:eastAsia="Times New Roman" w:hAnsi="Times New Roman" w:cs="Times New Roman"/>
                <w:b/>
                <w:bCs/>
                <w:color w:val="000000"/>
                <w:kern w:val="0"/>
                <w:sz w:val="16"/>
                <w:szCs w:val="16"/>
                <w:lang w:eastAsia="en-IN"/>
                <w14:ligatures w14:val="none"/>
              </w:rPr>
              <w:t>Duty/Tax</w:t>
            </w:r>
          </w:p>
        </w:tc>
        <w:tc>
          <w:tcPr>
            <w:tcW w:w="581" w:type="dxa"/>
            <w:tcBorders>
              <w:top w:val="nil"/>
              <w:left w:val="nil"/>
              <w:bottom w:val="single" w:sz="4" w:space="0" w:color="auto"/>
              <w:right w:val="single" w:sz="4" w:space="0" w:color="auto"/>
            </w:tcBorders>
            <w:noWrap/>
            <w:vAlign w:val="center"/>
            <w:hideMark/>
          </w:tcPr>
          <w:p w14:paraId="787F8D7D" w14:textId="77777777" w:rsidR="005A319E" w:rsidRPr="005A319E" w:rsidRDefault="005A319E" w:rsidP="005A319E">
            <w:pPr>
              <w:spacing w:after="0" w:line="240" w:lineRule="auto"/>
              <w:jc w:val="center"/>
              <w:rPr>
                <w:rFonts w:ascii="Times New Roman" w:eastAsia="Times New Roman" w:hAnsi="Times New Roman" w:cs="Times New Roman"/>
                <w:b/>
                <w:bCs/>
                <w:color w:val="000000"/>
                <w:kern w:val="0"/>
                <w:sz w:val="16"/>
                <w:szCs w:val="16"/>
                <w:lang w:eastAsia="en-IN"/>
                <w14:ligatures w14:val="none"/>
              </w:rPr>
            </w:pPr>
            <w:r w:rsidRPr="005A319E">
              <w:rPr>
                <w:rFonts w:ascii="Times New Roman" w:eastAsia="Times New Roman" w:hAnsi="Times New Roman" w:cs="Times New Roman"/>
                <w:b/>
                <w:bCs/>
                <w:color w:val="000000"/>
                <w:kern w:val="0"/>
                <w:sz w:val="16"/>
                <w:szCs w:val="16"/>
                <w:lang w:eastAsia="en-IN"/>
                <w14:ligatures w14:val="none"/>
              </w:rPr>
              <w:t>Total</w:t>
            </w:r>
          </w:p>
        </w:tc>
        <w:tc>
          <w:tcPr>
            <w:tcW w:w="992" w:type="dxa"/>
            <w:tcBorders>
              <w:top w:val="nil"/>
              <w:left w:val="nil"/>
              <w:bottom w:val="single" w:sz="4" w:space="0" w:color="auto"/>
              <w:right w:val="single" w:sz="4" w:space="0" w:color="auto"/>
            </w:tcBorders>
            <w:noWrap/>
            <w:vAlign w:val="center"/>
            <w:hideMark/>
          </w:tcPr>
          <w:p w14:paraId="5063EA92" w14:textId="77777777" w:rsidR="005A319E" w:rsidRPr="005A319E" w:rsidRDefault="005A319E" w:rsidP="005A319E">
            <w:pPr>
              <w:spacing w:after="0" w:line="240" w:lineRule="auto"/>
              <w:jc w:val="center"/>
              <w:rPr>
                <w:rFonts w:ascii="Times New Roman" w:eastAsia="Times New Roman" w:hAnsi="Times New Roman" w:cs="Times New Roman"/>
                <w:b/>
                <w:bCs/>
                <w:color w:val="000000"/>
                <w:kern w:val="0"/>
                <w:sz w:val="16"/>
                <w:szCs w:val="16"/>
                <w:lang w:eastAsia="en-IN"/>
                <w14:ligatures w14:val="none"/>
              </w:rPr>
            </w:pPr>
            <w:r w:rsidRPr="005A319E">
              <w:rPr>
                <w:rFonts w:ascii="Times New Roman" w:eastAsia="Times New Roman" w:hAnsi="Times New Roman" w:cs="Times New Roman"/>
                <w:b/>
                <w:bCs/>
                <w:color w:val="000000"/>
                <w:kern w:val="0"/>
                <w:sz w:val="16"/>
                <w:szCs w:val="16"/>
                <w:lang w:eastAsia="en-IN"/>
                <w14:ligatures w14:val="none"/>
              </w:rPr>
              <w:t>Rate</w:t>
            </w:r>
          </w:p>
        </w:tc>
        <w:tc>
          <w:tcPr>
            <w:tcW w:w="865" w:type="dxa"/>
            <w:tcBorders>
              <w:top w:val="nil"/>
              <w:left w:val="nil"/>
              <w:bottom w:val="single" w:sz="4" w:space="0" w:color="auto"/>
              <w:right w:val="single" w:sz="4" w:space="0" w:color="auto"/>
            </w:tcBorders>
            <w:noWrap/>
            <w:vAlign w:val="center"/>
            <w:hideMark/>
          </w:tcPr>
          <w:p w14:paraId="242ACE1D" w14:textId="77777777" w:rsidR="005A319E" w:rsidRPr="005A319E" w:rsidRDefault="005A319E" w:rsidP="005A319E">
            <w:pPr>
              <w:spacing w:after="0" w:line="240" w:lineRule="auto"/>
              <w:jc w:val="center"/>
              <w:rPr>
                <w:rFonts w:ascii="Times New Roman" w:eastAsia="Times New Roman" w:hAnsi="Times New Roman" w:cs="Times New Roman"/>
                <w:b/>
                <w:bCs/>
                <w:color w:val="000000"/>
                <w:kern w:val="0"/>
                <w:sz w:val="16"/>
                <w:szCs w:val="16"/>
                <w:lang w:eastAsia="en-IN"/>
                <w14:ligatures w14:val="none"/>
              </w:rPr>
            </w:pPr>
            <w:r w:rsidRPr="005A319E">
              <w:rPr>
                <w:rFonts w:ascii="Times New Roman" w:eastAsia="Times New Roman" w:hAnsi="Times New Roman" w:cs="Times New Roman"/>
                <w:b/>
                <w:bCs/>
                <w:color w:val="000000"/>
                <w:kern w:val="0"/>
                <w:sz w:val="16"/>
                <w:szCs w:val="16"/>
                <w:lang w:eastAsia="en-IN"/>
                <w14:ligatures w14:val="none"/>
              </w:rPr>
              <w:t>Duty/Tax</w:t>
            </w:r>
          </w:p>
        </w:tc>
        <w:tc>
          <w:tcPr>
            <w:tcW w:w="709" w:type="dxa"/>
            <w:tcBorders>
              <w:top w:val="nil"/>
              <w:left w:val="nil"/>
              <w:bottom w:val="single" w:sz="4" w:space="0" w:color="auto"/>
              <w:right w:val="single" w:sz="4" w:space="0" w:color="auto"/>
            </w:tcBorders>
            <w:noWrap/>
            <w:vAlign w:val="center"/>
            <w:hideMark/>
          </w:tcPr>
          <w:p w14:paraId="1931F7AB" w14:textId="77777777" w:rsidR="005A319E" w:rsidRPr="005A319E" w:rsidRDefault="005A319E" w:rsidP="005A319E">
            <w:pPr>
              <w:spacing w:after="0" w:line="240" w:lineRule="auto"/>
              <w:jc w:val="center"/>
              <w:rPr>
                <w:rFonts w:ascii="Times New Roman" w:eastAsia="Times New Roman" w:hAnsi="Times New Roman" w:cs="Times New Roman"/>
                <w:b/>
                <w:bCs/>
                <w:color w:val="000000"/>
                <w:kern w:val="0"/>
                <w:sz w:val="16"/>
                <w:szCs w:val="16"/>
                <w:lang w:eastAsia="en-IN"/>
                <w14:ligatures w14:val="none"/>
              </w:rPr>
            </w:pPr>
            <w:r w:rsidRPr="005A319E">
              <w:rPr>
                <w:rFonts w:ascii="Times New Roman" w:eastAsia="Times New Roman" w:hAnsi="Times New Roman" w:cs="Times New Roman"/>
                <w:b/>
                <w:bCs/>
                <w:color w:val="000000"/>
                <w:kern w:val="0"/>
                <w:sz w:val="16"/>
                <w:szCs w:val="16"/>
                <w:lang w:eastAsia="en-IN"/>
                <w14:ligatures w14:val="none"/>
              </w:rPr>
              <w:t>Total</w:t>
            </w:r>
          </w:p>
        </w:tc>
        <w:tc>
          <w:tcPr>
            <w:tcW w:w="708" w:type="dxa"/>
            <w:tcBorders>
              <w:top w:val="nil"/>
              <w:left w:val="nil"/>
              <w:bottom w:val="single" w:sz="4" w:space="0" w:color="auto"/>
              <w:right w:val="single" w:sz="4" w:space="0" w:color="auto"/>
            </w:tcBorders>
            <w:noWrap/>
            <w:vAlign w:val="center"/>
            <w:hideMark/>
          </w:tcPr>
          <w:p w14:paraId="2CF71963" w14:textId="77777777" w:rsidR="005A319E" w:rsidRPr="005A319E" w:rsidRDefault="005A319E" w:rsidP="005A319E">
            <w:pPr>
              <w:spacing w:after="0" w:line="240" w:lineRule="auto"/>
              <w:jc w:val="center"/>
              <w:rPr>
                <w:rFonts w:ascii="Times New Roman" w:eastAsia="Times New Roman" w:hAnsi="Times New Roman" w:cs="Times New Roman"/>
                <w:b/>
                <w:bCs/>
                <w:color w:val="000000"/>
                <w:kern w:val="0"/>
                <w:sz w:val="16"/>
                <w:szCs w:val="16"/>
                <w:lang w:eastAsia="en-IN"/>
                <w14:ligatures w14:val="none"/>
              </w:rPr>
            </w:pPr>
            <w:r w:rsidRPr="005A319E">
              <w:rPr>
                <w:rFonts w:ascii="Times New Roman" w:eastAsia="Times New Roman" w:hAnsi="Times New Roman" w:cs="Times New Roman"/>
                <w:b/>
                <w:bCs/>
                <w:color w:val="000000"/>
                <w:kern w:val="0"/>
                <w:sz w:val="16"/>
                <w:szCs w:val="16"/>
                <w:lang w:eastAsia="en-IN"/>
                <w14:ligatures w14:val="none"/>
              </w:rPr>
              <w:t>Rate</w:t>
            </w:r>
          </w:p>
        </w:tc>
        <w:tc>
          <w:tcPr>
            <w:tcW w:w="865" w:type="dxa"/>
            <w:tcBorders>
              <w:top w:val="nil"/>
              <w:left w:val="nil"/>
              <w:bottom w:val="single" w:sz="4" w:space="0" w:color="auto"/>
              <w:right w:val="single" w:sz="4" w:space="0" w:color="auto"/>
            </w:tcBorders>
            <w:noWrap/>
            <w:vAlign w:val="center"/>
            <w:hideMark/>
          </w:tcPr>
          <w:p w14:paraId="1E95C2A2" w14:textId="77777777" w:rsidR="005A319E" w:rsidRPr="005A319E" w:rsidRDefault="005A319E" w:rsidP="005A319E">
            <w:pPr>
              <w:spacing w:after="0" w:line="240" w:lineRule="auto"/>
              <w:jc w:val="center"/>
              <w:rPr>
                <w:rFonts w:ascii="Times New Roman" w:eastAsia="Times New Roman" w:hAnsi="Times New Roman" w:cs="Times New Roman"/>
                <w:b/>
                <w:bCs/>
                <w:color w:val="000000"/>
                <w:kern w:val="0"/>
                <w:sz w:val="16"/>
                <w:szCs w:val="16"/>
                <w:lang w:eastAsia="en-IN"/>
                <w14:ligatures w14:val="none"/>
              </w:rPr>
            </w:pPr>
            <w:r w:rsidRPr="005A319E">
              <w:rPr>
                <w:rFonts w:ascii="Times New Roman" w:eastAsia="Times New Roman" w:hAnsi="Times New Roman" w:cs="Times New Roman"/>
                <w:b/>
                <w:bCs/>
                <w:color w:val="000000"/>
                <w:kern w:val="0"/>
                <w:sz w:val="16"/>
                <w:szCs w:val="16"/>
                <w:lang w:eastAsia="en-IN"/>
                <w14:ligatures w14:val="none"/>
              </w:rPr>
              <w:t>Duty/Tax</w:t>
            </w:r>
          </w:p>
        </w:tc>
        <w:tc>
          <w:tcPr>
            <w:tcW w:w="581" w:type="dxa"/>
            <w:tcBorders>
              <w:top w:val="nil"/>
              <w:left w:val="nil"/>
              <w:bottom w:val="single" w:sz="4" w:space="0" w:color="auto"/>
              <w:right w:val="single" w:sz="4" w:space="0" w:color="auto"/>
            </w:tcBorders>
            <w:noWrap/>
            <w:vAlign w:val="center"/>
            <w:hideMark/>
          </w:tcPr>
          <w:p w14:paraId="72588841" w14:textId="77777777" w:rsidR="005A319E" w:rsidRPr="005A319E" w:rsidRDefault="005A319E" w:rsidP="005A319E">
            <w:pPr>
              <w:spacing w:after="0" w:line="240" w:lineRule="auto"/>
              <w:jc w:val="center"/>
              <w:rPr>
                <w:rFonts w:ascii="Times New Roman" w:eastAsia="Times New Roman" w:hAnsi="Times New Roman" w:cs="Times New Roman"/>
                <w:b/>
                <w:bCs/>
                <w:color w:val="000000"/>
                <w:kern w:val="0"/>
                <w:sz w:val="16"/>
                <w:szCs w:val="16"/>
                <w:lang w:eastAsia="en-IN"/>
                <w14:ligatures w14:val="none"/>
              </w:rPr>
            </w:pPr>
            <w:r w:rsidRPr="005A319E">
              <w:rPr>
                <w:rFonts w:ascii="Times New Roman" w:eastAsia="Times New Roman" w:hAnsi="Times New Roman" w:cs="Times New Roman"/>
                <w:b/>
                <w:bCs/>
                <w:color w:val="000000"/>
                <w:kern w:val="0"/>
                <w:sz w:val="16"/>
                <w:szCs w:val="16"/>
                <w:lang w:eastAsia="en-IN"/>
                <w14:ligatures w14:val="none"/>
              </w:rPr>
              <w:t>Total</w:t>
            </w:r>
          </w:p>
        </w:tc>
        <w:tc>
          <w:tcPr>
            <w:tcW w:w="1004" w:type="dxa"/>
            <w:tcBorders>
              <w:top w:val="nil"/>
              <w:left w:val="nil"/>
              <w:bottom w:val="single" w:sz="4" w:space="0" w:color="auto"/>
              <w:right w:val="single" w:sz="4" w:space="0" w:color="auto"/>
            </w:tcBorders>
            <w:noWrap/>
            <w:vAlign w:val="center"/>
            <w:hideMark/>
          </w:tcPr>
          <w:p w14:paraId="497029C9" w14:textId="77777777" w:rsidR="005A319E" w:rsidRPr="005A319E" w:rsidRDefault="005A319E" w:rsidP="005A319E">
            <w:pPr>
              <w:spacing w:after="0" w:line="240" w:lineRule="auto"/>
              <w:jc w:val="center"/>
              <w:rPr>
                <w:rFonts w:ascii="Times New Roman" w:eastAsia="Times New Roman" w:hAnsi="Times New Roman" w:cs="Times New Roman"/>
                <w:b/>
                <w:bCs/>
                <w:color w:val="000000"/>
                <w:kern w:val="0"/>
                <w:sz w:val="16"/>
                <w:szCs w:val="16"/>
                <w:lang w:eastAsia="en-IN"/>
                <w14:ligatures w14:val="none"/>
              </w:rPr>
            </w:pPr>
            <w:r w:rsidRPr="005A319E">
              <w:rPr>
                <w:rFonts w:ascii="Times New Roman" w:eastAsia="Times New Roman" w:hAnsi="Times New Roman" w:cs="Times New Roman"/>
                <w:b/>
                <w:bCs/>
                <w:color w:val="000000"/>
                <w:kern w:val="0"/>
                <w:sz w:val="16"/>
                <w:szCs w:val="16"/>
                <w:lang w:eastAsia="en-IN"/>
                <w14:ligatures w14:val="none"/>
              </w:rPr>
              <w:t>Rate</w:t>
            </w:r>
          </w:p>
        </w:tc>
        <w:tc>
          <w:tcPr>
            <w:tcW w:w="865" w:type="dxa"/>
            <w:tcBorders>
              <w:top w:val="nil"/>
              <w:left w:val="nil"/>
              <w:bottom w:val="single" w:sz="4" w:space="0" w:color="auto"/>
              <w:right w:val="single" w:sz="4" w:space="0" w:color="auto"/>
            </w:tcBorders>
            <w:noWrap/>
            <w:vAlign w:val="center"/>
            <w:hideMark/>
          </w:tcPr>
          <w:p w14:paraId="6EFFEDBE" w14:textId="77777777" w:rsidR="005A319E" w:rsidRPr="005A319E" w:rsidRDefault="005A319E" w:rsidP="005A319E">
            <w:pPr>
              <w:spacing w:after="0" w:line="240" w:lineRule="auto"/>
              <w:jc w:val="center"/>
              <w:rPr>
                <w:rFonts w:ascii="Times New Roman" w:eastAsia="Times New Roman" w:hAnsi="Times New Roman" w:cs="Times New Roman"/>
                <w:b/>
                <w:bCs/>
                <w:color w:val="000000"/>
                <w:kern w:val="0"/>
                <w:sz w:val="16"/>
                <w:szCs w:val="16"/>
                <w:lang w:eastAsia="en-IN"/>
                <w14:ligatures w14:val="none"/>
              </w:rPr>
            </w:pPr>
            <w:r w:rsidRPr="005A319E">
              <w:rPr>
                <w:rFonts w:ascii="Times New Roman" w:eastAsia="Times New Roman" w:hAnsi="Times New Roman" w:cs="Times New Roman"/>
                <w:b/>
                <w:bCs/>
                <w:color w:val="000000"/>
                <w:kern w:val="0"/>
                <w:sz w:val="16"/>
                <w:szCs w:val="16"/>
                <w:lang w:eastAsia="en-IN"/>
                <w14:ligatures w14:val="none"/>
              </w:rPr>
              <w:t>Duty/Tax</w:t>
            </w:r>
          </w:p>
        </w:tc>
        <w:tc>
          <w:tcPr>
            <w:tcW w:w="995" w:type="dxa"/>
            <w:tcBorders>
              <w:top w:val="nil"/>
              <w:left w:val="nil"/>
              <w:bottom w:val="single" w:sz="4" w:space="0" w:color="auto"/>
              <w:right w:val="single" w:sz="4" w:space="0" w:color="auto"/>
            </w:tcBorders>
            <w:noWrap/>
            <w:vAlign w:val="center"/>
            <w:hideMark/>
          </w:tcPr>
          <w:p w14:paraId="6B50772D" w14:textId="77777777" w:rsidR="005A319E" w:rsidRPr="005A319E" w:rsidRDefault="005A319E" w:rsidP="005A319E">
            <w:pPr>
              <w:spacing w:after="0" w:line="240" w:lineRule="auto"/>
              <w:jc w:val="center"/>
              <w:rPr>
                <w:rFonts w:ascii="Times New Roman" w:eastAsia="Times New Roman" w:hAnsi="Times New Roman" w:cs="Times New Roman"/>
                <w:b/>
                <w:bCs/>
                <w:color w:val="000000"/>
                <w:kern w:val="0"/>
                <w:sz w:val="16"/>
                <w:szCs w:val="16"/>
                <w:lang w:eastAsia="en-IN"/>
                <w14:ligatures w14:val="none"/>
              </w:rPr>
            </w:pPr>
            <w:r w:rsidRPr="005A319E">
              <w:rPr>
                <w:rFonts w:ascii="Times New Roman" w:eastAsia="Times New Roman" w:hAnsi="Times New Roman" w:cs="Times New Roman"/>
                <w:b/>
                <w:bCs/>
                <w:color w:val="000000"/>
                <w:kern w:val="0"/>
                <w:sz w:val="16"/>
                <w:szCs w:val="16"/>
                <w:lang w:eastAsia="en-IN"/>
                <w14:ligatures w14:val="none"/>
              </w:rPr>
              <w:t>Total</w:t>
            </w:r>
          </w:p>
        </w:tc>
        <w:tc>
          <w:tcPr>
            <w:tcW w:w="916" w:type="dxa"/>
            <w:tcBorders>
              <w:top w:val="nil"/>
              <w:left w:val="nil"/>
              <w:bottom w:val="single" w:sz="4" w:space="0" w:color="auto"/>
              <w:right w:val="single" w:sz="4" w:space="0" w:color="auto"/>
            </w:tcBorders>
            <w:noWrap/>
            <w:vAlign w:val="center"/>
            <w:hideMark/>
          </w:tcPr>
          <w:p w14:paraId="08F8DB95" w14:textId="77777777" w:rsidR="005A319E" w:rsidRPr="005A319E" w:rsidRDefault="005A319E" w:rsidP="005A319E">
            <w:pPr>
              <w:spacing w:after="0" w:line="240" w:lineRule="auto"/>
              <w:jc w:val="center"/>
              <w:rPr>
                <w:rFonts w:ascii="Times New Roman" w:eastAsia="Times New Roman" w:hAnsi="Times New Roman" w:cs="Times New Roman"/>
                <w:b/>
                <w:bCs/>
                <w:color w:val="000000"/>
                <w:kern w:val="0"/>
                <w:sz w:val="16"/>
                <w:szCs w:val="16"/>
                <w:lang w:eastAsia="en-IN"/>
                <w14:ligatures w14:val="none"/>
              </w:rPr>
            </w:pPr>
            <w:r w:rsidRPr="005A319E">
              <w:rPr>
                <w:rFonts w:ascii="Times New Roman" w:eastAsia="Times New Roman" w:hAnsi="Times New Roman" w:cs="Times New Roman"/>
                <w:b/>
                <w:bCs/>
                <w:color w:val="000000"/>
                <w:kern w:val="0"/>
                <w:sz w:val="16"/>
                <w:szCs w:val="16"/>
                <w:lang w:eastAsia="en-IN"/>
                <w14:ligatures w14:val="none"/>
              </w:rPr>
              <w:t>Rate</w:t>
            </w:r>
          </w:p>
        </w:tc>
        <w:tc>
          <w:tcPr>
            <w:tcW w:w="865" w:type="dxa"/>
            <w:tcBorders>
              <w:top w:val="nil"/>
              <w:left w:val="nil"/>
              <w:bottom w:val="single" w:sz="4" w:space="0" w:color="auto"/>
              <w:right w:val="single" w:sz="4" w:space="0" w:color="auto"/>
            </w:tcBorders>
            <w:noWrap/>
            <w:vAlign w:val="center"/>
            <w:hideMark/>
          </w:tcPr>
          <w:p w14:paraId="4E0C9BB3" w14:textId="77777777" w:rsidR="005A319E" w:rsidRPr="005A319E" w:rsidRDefault="005A319E" w:rsidP="005A319E">
            <w:pPr>
              <w:spacing w:after="0" w:line="240" w:lineRule="auto"/>
              <w:jc w:val="center"/>
              <w:rPr>
                <w:rFonts w:ascii="Times New Roman" w:eastAsia="Times New Roman" w:hAnsi="Times New Roman" w:cs="Times New Roman"/>
                <w:b/>
                <w:bCs/>
                <w:color w:val="000000"/>
                <w:kern w:val="0"/>
                <w:sz w:val="16"/>
                <w:szCs w:val="16"/>
                <w:lang w:eastAsia="en-IN"/>
                <w14:ligatures w14:val="none"/>
              </w:rPr>
            </w:pPr>
            <w:r w:rsidRPr="005A319E">
              <w:rPr>
                <w:rFonts w:ascii="Times New Roman" w:eastAsia="Times New Roman" w:hAnsi="Times New Roman" w:cs="Times New Roman"/>
                <w:b/>
                <w:bCs/>
                <w:color w:val="000000"/>
                <w:kern w:val="0"/>
                <w:sz w:val="16"/>
                <w:szCs w:val="16"/>
                <w:lang w:eastAsia="en-IN"/>
                <w14:ligatures w14:val="none"/>
              </w:rPr>
              <w:t>Duty/Tax</w:t>
            </w:r>
          </w:p>
        </w:tc>
        <w:tc>
          <w:tcPr>
            <w:tcW w:w="581" w:type="dxa"/>
            <w:tcBorders>
              <w:top w:val="nil"/>
              <w:left w:val="nil"/>
              <w:bottom w:val="single" w:sz="4" w:space="0" w:color="auto"/>
              <w:right w:val="single" w:sz="4" w:space="0" w:color="auto"/>
            </w:tcBorders>
            <w:noWrap/>
            <w:vAlign w:val="center"/>
            <w:hideMark/>
          </w:tcPr>
          <w:p w14:paraId="54BE012F" w14:textId="77777777" w:rsidR="005A319E" w:rsidRPr="005A319E" w:rsidRDefault="005A319E" w:rsidP="005A319E">
            <w:pPr>
              <w:spacing w:after="0" w:line="240" w:lineRule="auto"/>
              <w:jc w:val="center"/>
              <w:rPr>
                <w:rFonts w:ascii="Times New Roman" w:eastAsia="Times New Roman" w:hAnsi="Times New Roman" w:cs="Times New Roman"/>
                <w:b/>
                <w:bCs/>
                <w:color w:val="000000"/>
                <w:kern w:val="0"/>
                <w:sz w:val="16"/>
                <w:szCs w:val="16"/>
                <w:lang w:eastAsia="en-IN"/>
                <w14:ligatures w14:val="none"/>
              </w:rPr>
            </w:pPr>
            <w:r w:rsidRPr="005A319E">
              <w:rPr>
                <w:rFonts w:ascii="Times New Roman" w:eastAsia="Times New Roman" w:hAnsi="Times New Roman" w:cs="Times New Roman"/>
                <w:b/>
                <w:bCs/>
                <w:color w:val="000000"/>
                <w:kern w:val="0"/>
                <w:sz w:val="16"/>
                <w:szCs w:val="16"/>
                <w:lang w:eastAsia="en-IN"/>
                <w14:ligatures w14:val="none"/>
              </w:rPr>
              <w:t>Total</w:t>
            </w:r>
          </w:p>
        </w:tc>
      </w:tr>
      <w:tr w:rsidR="005A319E" w:rsidRPr="005A319E" w14:paraId="07E98208" w14:textId="77777777" w:rsidTr="00D67840">
        <w:trPr>
          <w:trHeight w:val="22"/>
          <w:jc w:val="center"/>
        </w:trPr>
        <w:tc>
          <w:tcPr>
            <w:tcW w:w="1842" w:type="dxa"/>
            <w:tcBorders>
              <w:top w:val="nil"/>
              <w:left w:val="single" w:sz="4" w:space="0" w:color="auto"/>
              <w:bottom w:val="single" w:sz="4" w:space="0" w:color="auto"/>
              <w:right w:val="single" w:sz="4" w:space="0" w:color="auto"/>
            </w:tcBorders>
            <w:noWrap/>
            <w:vAlign w:val="center"/>
            <w:hideMark/>
          </w:tcPr>
          <w:p w14:paraId="781B926A" w14:textId="77777777" w:rsidR="005A319E" w:rsidRPr="005A319E" w:rsidRDefault="005A319E" w:rsidP="005A319E">
            <w:pPr>
              <w:spacing w:after="0" w:line="240" w:lineRule="auto"/>
              <w:jc w:val="center"/>
              <w:rPr>
                <w:rFonts w:ascii="Times New Roman" w:eastAsia="Times New Roman" w:hAnsi="Times New Roman" w:cs="Times New Roman"/>
                <w:b/>
                <w:bCs/>
                <w:color w:val="000000"/>
                <w:kern w:val="0"/>
                <w:sz w:val="16"/>
                <w:szCs w:val="16"/>
                <w:lang w:eastAsia="en-IN"/>
                <w14:ligatures w14:val="none"/>
              </w:rPr>
            </w:pPr>
            <w:r w:rsidRPr="005A319E">
              <w:rPr>
                <w:rFonts w:ascii="Times New Roman" w:eastAsia="Times New Roman" w:hAnsi="Times New Roman" w:cs="Times New Roman"/>
                <w:b/>
                <w:bCs/>
                <w:color w:val="000000"/>
                <w:kern w:val="0"/>
                <w:sz w:val="16"/>
                <w:szCs w:val="16"/>
                <w:lang w:eastAsia="en-IN"/>
                <w14:ligatures w14:val="none"/>
              </w:rPr>
              <w:t>1</w:t>
            </w:r>
          </w:p>
        </w:tc>
        <w:tc>
          <w:tcPr>
            <w:tcW w:w="851" w:type="dxa"/>
            <w:tcBorders>
              <w:top w:val="nil"/>
              <w:left w:val="nil"/>
              <w:bottom w:val="single" w:sz="4" w:space="0" w:color="auto"/>
              <w:right w:val="single" w:sz="4" w:space="0" w:color="auto"/>
            </w:tcBorders>
            <w:noWrap/>
            <w:vAlign w:val="center"/>
            <w:hideMark/>
          </w:tcPr>
          <w:p w14:paraId="54CCD555" w14:textId="77777777" w:rsidR="005A319E" w:rsidRPr="005A319E" w:rsidRDefault="005A319E" w:rsidP="005A319E">
            <w:pPr>
              <w:spacing w:after="0" w:line="240" w:lineRule="auto"/>
              <w:jc w:val="center"/>
              <w:rPr>
                <w:rFonts w:ascii="Times New Roman" w:eastAsia="Times New Roman" w:hAnsi="Times New Roman" w:cs="Times New Roman"/>
                <w:b/>
                <w:bCs/>
                <w:color w:val="000000"/>
                <w:kern w:val="0"/>
                <w:sz w:val="16"/>
                <w:szCs w:val="16"/>
                <w:lang w:eastAsia="en-IN"/>
                <w14:ligatures w14:val="none"/>
              </w:rPr>
            </w:pPr>
            <w:r w:rsidRPr="005A319E">
              <w:rPr>
                <w:rFonts w:ascii="Times New Roman" w:eastAsia="Times New Roman" w:hAnsi="Times New Roman" w:cs="Times New Roman"/>
                <w:b/>
                <w:bCs/>
                <w:color w:val="000000"/>
                <w:kern w:val="0"/>
                <w:sz w:val="16"/>
                <w:szCs w:val="16"/>
                <w:lang w:eastAsia="en-IN"/>
                <w14:ligatures w14:val="none"/>
              </w:rPr>
              <w:t>14</w:t>
            </w:r>
          </w:p>
        </w:tc>
        <w:tc>
          <w:tcPr>
            <w:tcW w:w="992" w:type="dxa"/>
            <w:tcBorders>
              <w:top w:val="nil"/>
              <w:left w:val="nil"/>
              <w:bottom w:val="single" w:sz="4" w:space="0" w:color="auto"/>
              <w:right w:val="single" w:sz="4" w:space="0" w:color="auto"/>
            </w:tcBorders>
            <w:noWrap/>
            <w:vAlign w:val="center"/>
            <w:hideMark/>
          </w:tcPr>
          <w:p w14:paraId="5120FC37" w14:textId="77777777" w:rsidR="005A319E" w:rsidRPr="005A319E" w:rsidRDefault="005A319E" w:rsidP="005A319E">
            <w:pPr>
              <w:spacing w:after="0" w:line="240" w:lineRule="auto"/>
              <w:jc w:val="center"/>
              <w:rPr>
                <w:rFonts w:ascii="Times New Roman" w:eastAsia="Times New Roman" w:hAnsi="Times New Roman" w:cs="Times New Roman"/>
                <w:b/>
                <w:bCs/>
                <w:color w:val="000000"/>
                <w:kern w:val="0"/>
                <w:sz w:val="16"/>
                <w:szCs w:val="16"/>
                <w:lang w:eastAsia="en-IN"/>
                <w14:ligatures w14:val="none"/>
              </w:rPr>
            </w:pPr>
            <w:r w:rsidRPr="005A319E">
              <w:rPr>
                <w:rFonts w:ascii="Times New Roman" w:eastAsia="Times New Roman" w:hAnsi="Times New Roman" w:cs="Times New Roman"/>
                <w:b/>
                <w:bCs/>
                <w:color w:val="000000"/>
                <w:kern w:val="0"/>
                <w:sz w:val="16"/>
                <w:szCs w:val="16"/>
                <w:lang w:eastAsia="en-IN"/>
                <w14:ligatures w14:val="none"/>
              </w:rPr>
              <w:t>15</w:t>
            </w:r>
          </w:p>
        </w:tc>
        <w:tc>
          <w:tcPr>
            <w:tcW w:w="581" w:type="dxa"/>
            <w:tcBorders>
              <w:top w:val="nil"/>
              <w:left w:val="nil"/>
              <w:bottom w:val="single" w:sz="4" w:space="0" w:color="auto"/>
              <w:right w:val="single" w:sz="4" w:space="0" w:color="auto"/>
            </w:tcBorders>
            <w:noWrap/>
            <w:vAlign w:val="center"/>
            <w:hideMark/>
          </w:tcPr>
          <w:p w14:paraId="797897C1" w14:textId="77777777" w:rsidR="005A319E" w:rsidRPr="005A319E" w:rsidRDefault="005A319E" w:rsidP="005A319E">
            <w:pPr>
              <w:spacing w:after="0" w:line="240" w:lineRule="auto"/>
              <w:jc w:val="center"/>
              <w:rPr>
                <w:rFonts w:ascii="Times New Roman" w:eastAsia="Times New Roman" w:hAnsi="Times New Roman" w:cs="Times New Roman"/>
                <w:b/>
                <w:bCs/>
                <w:color w:val="000000"/>
                <w:kern w:val="0"/>
                <w:sz w:val="16"/>
                <w:szCs w:val="16"/>
                <w:lang w:eastAsia="en-IN"/>
                <w14:ligatures w14:val="none"/>
              </w:rPr>
            </w:pPr>
            <w:r w:rsidRPr="005A319E">
              <w:rPr>
                <w:rFonts w:ascii="Times New Roman" w:eastAsia="Times New Roman" w:hAnsi="Times New Roman" w:cs="Times New Roman"/>
                <w:b/>
                <w:bCs/>
                <w:color w:val="000000"/>
                <w:kern w:val="0"/>
                <w:sz w:val="16"/>
                <w:szCs w:val="16"/>
                <w:lang w:eastAsia="en-IN"/>
                <w14:ligatures w14:val="none"/>
              </w:rPr>
              <w:t>16</w:t>
            </w:r>
          </w:p>
        </w:tc>
        <w:tc>
          <w:tcPr>
            <w:tcW w:w="992" w:type="dxa"/>
            <w:tcBorders>
              <w:top w:val="nil"/>
              <w:left w:val="nil"/>
              <w:bottom w:val="single" w:sz="4" w:space="0" w:color="auto"/>
              <w:right w:val="single" w:sz="4" w:space="0" w:color="auto"/>
            </w:tcBorders>
            <w:noWrap/>
            <w:vAlign w:val="center"/>
            <w:hideMark/>
          </w:tcPr>
          <w:p w14:paraId="2262B5C9" w14:textId="77777777" w:rsidR="005A319E" w:rsidRPr="005A319E" w:rsidRDefault="005A319E" w:rsidP="005A319E">
            <w:pPr>
              <w:spacing w:after="0" w:line="240" w:lineRule="auto"/>
              <w:jc w:val="center"/>
              <w:rPr>
                <w:rFonts w:ascii="Times New Roman" w:eastAsia="Times New Roman" w:hAnsi="Times New Roman" w:cs="Times New Roman"/>
                <w:b/>
                <w:bCs/>
                <w:color w:val="000000"/>
                <w:kern w:val="0"/>
                <w:sz w:val="16"/>
                <w:szCs w:val="16"/>
                <w:lang w:eastAsia="en-IN"/>
                <w14:ligatures w14:val="none"/>
              </w:rPr>
            </w:pPr>
            <w:r w:rsidRPr="005A319E">
              <w:rPr>
                <w:rFonts w:ascii="Times New Roman" w:eastAsia="Times New Roman" w:hAnsi="Times New Roman" w:cs="Times New Roman"/>
                <w:b/>
                <w:bCs/>
                <w:color w:val="000000"/>
                <w:kern w:val="0"/>
                <w:sz w:val="16"/>
                <w:szCs w:val="16"/>
                <w:lang w:eastAsia="en-IN"/>
                <w14:ligatures w14:val="none"/>
              </w:rPr>
              <w:t>17</w:t>
            </w:r>
          </w:p>
        </w:tc>
        <w:tc>
          <w:tcPr>
            <w:tcW w:w="865" w:type="dxa"/>
            <w:tcBorders>
              <w:top w:val="nil"/>
              <w:left w:val="nil"/>
              <w:bottom w:val="single" w:sz="4" w:space="0" w:color="auto"/>
              <w:right w:val="single" w:sz="4" w:space="0" w:color="auto"/>
            </w:tcBorders>
            <w:noWrap/>
            <w:vAlign w:val="center"/>
            <w:hideMark/>
          </w:tcPr>
          <w:p w14:paraId="3FE49E6F" w14:textId="77777777" w:rsidR="005A319E" w:rsidRPr="005A319E" w:rsidRDefault="005A319E" w:rsidP="005A319E">
            <w:pPr>
              <w:spacing w:after="0" w:line="240" w:lineRule="auto"/>
              <w:jc w:val="center"/>
              <w:rPr>
                <w:rFonts w:ascii="Times New Roman" w:eastAsia="Times New Roman" w:hAnsi="Times New Roman" w:cs="Times New Roman"/>
                <w:b/>
                <w:bCs/>
                <w:color w:val="000000"/>
                <w:kern w:val="0"/>
                <w:sz w:val="16"/>
                <w:szCs w:val="16"/>
                <w:lang w:eastAsia="en-IN"/>
                <w14:ligatures w14:val="none"/>
              </w:rPr>
            </w:pPr>
            <w:r w:rsidRPr="005A319E">
              <w:rPr>
                <w:rFonts w:ascii="Times New Roman" w:eastAsia="Times New Roman" w:hAnsi="Times New Roman" w:cs="Times New Roman"/>
                <w:b/>
                <w:bCs/>
                <w:color w:val="000000"/>
                <w:kern w:val="0"/>
                <w:sz w:val="16"/>
                <w:szCs w:val="16"/>
                <w:lang w:eastAsia="en-IN"/>
                <w14:ligatures w14:val="none"/>
              </w:rPr>
              <w:t>18</w:t>
            </w:r>
          </w:p>
        </w:tc>
        <w:tc>
          <w:tcPr>
            <w:tcW w:w="709" w:type="dxa"/>
            <w:tcBorders>
              <w:top w:val="nil"/>
              <w:left w:val="nil"/>
              <w:bottom w:val="single" w:sz="4" w:space="0" w:color="auto"/>
              <w:right w:val="single" w:sz="4" w:space="0" w:color="auto"/>
            </w:tcBorders>
            <w:noWrap/>
            <w:vAlign w:val="center"/>
            <w:hideMark/>
          </w:tcPr>
          <w:p w14:paraId="409EEDED" w14:textId="77777777" w:rsidR="005A319E" w:rsidRPr="005A319E" w:rsidRDefault="005A319E" w:rsidP="005A319E">
            <w:pPr>
              <w:spacing w:after="0" w:line="240" w:lineRule="auto"/>
              <w:jc w:val="center"/>
              <w:rPr>
                <w:rFonts w:ascii="Times New Roman" w:eastAsia="Times New Roman" w:hAnsi="Times New Roman" w:cs="Times New Roman"/>
                <w:b/>
                <w:bCs/>
                <w:color w:val="000000"/>
                <w:kern w:val="0"/>
                <w:sz w:val="16"/>
                <w:szCs w:val="16"/>
                <w:lang w:eastAsia="en-IN"/>
                <w14:ligatures w14:val="none"/>
              </w:rPr>
            </w:pPr>
            <w:r w:rsidRPr="005A319E">
              <w:rPr>
                <w:rFonts w:ascii="Times New Roman" w:eastAsia="Times New Roman" w:hAnsi="Times New Roman" w:cs="Times New Roman"/>
                <w:b/>
                <w:bCs/>
                <w:color w:val="000000"/>
                <w:kern w:val="0"/>
                <w:sz w:val="16"/>
                <w:szCs w:val="16"/>
                <w:lang w:eastAsia="en-IN"/>
                <w14:ligatures w14:val="none"/>
              </w:rPr>
              <w:t>19</w:t>
            </w:r>
          </w:p>
        </w:tc>
        <w:tc>
          <w:tcPr>
            <w:tcW w:w="708" w:type="dxa"/>
            <w:tcBorders>
              <w:top w:val="nil"/>
              <w:left w:val="nil"/>
              <w:bottom w:val="single" w:sz="4" w:space="0" w:color="auto"/>
              <w:right w:val="single" w:sz="4" w:space="0" w:color="auto"/>
            </w:tcBorders>
            <w:noWrap/>
            <w:vAlign w:val="center"/>
            <w:hideMark/>
          </w:tcPr>
          <w:p w14:paraId="2C1A82A1" w14:textId="77777777" w:rsidR="005A319E" w:rsidRPr="005A319E" w:rsidRDefault="005A319E" w:rsidP="005A319E">
            <w:pPr>
              <w:spacing w:after="0" w:line="240" w:lineRule="auto"/>
              <w:jc w:val="center"/>
              <w:rPr>
                <w:rFonts w:ascii="Times New Roman" w:eastAsia="Times New Roman" w:hAnsi="Times New Roman" w:cs="Times New Roman"/>
                <w:b/>
                <w:bCs/>
                <w:color w:val="000000"/>
                <w:kern w:val="0"/>
                <w:sz w:val="16"/>
                <w:szCs w:val="16"/>
                <w:lang w:eastAsia="en-IN"/>
                <w14:ligatures w14:val="none"/>
              </w:rPr>
            </w:pPr>
            <w:r w:rsidRPr="005A319E">
              <w:rPr>
                <w:rFonts w:ascii="Times New Roman" w:eastAsia="Times New Roman" w:hAnsi="Times New Roman" w:cs="Times New Roman"/>
                <w:b/>
                <w:bCs/>
                <w:color w:val="000000"/>
                <w:kern w:val="0"/>
                <w:sz w:val="16"/>
                <w:szCs w:val="16"/>
                <w:lang w:eastAsia="en-IN"/>
                <w14:ligatures w14:val="none"/>
              </w:rPr>
              <w:t>20</w:t>
            </w:r>
          </w:p>
        </w:tc>
        <w:tc>
          <w:tcPr>
            <w:tcW w:w="865" w:type="dxa"/>
            <w:tcBorders>
              <w:top w:val="nil"/>
              <w:left w:val="nil"/>
              <w:bottom w:val="single" w:sz="4" w:space="0" w:color="auto"/>
              <w:right w:val="single" w:sz="4" w:space="0" w:color="auto"/>
            </w:tcBorders>
            <w:noWrap/>
            <w:vAlign w:val="center"/>
            <w:hideMark/>
          </w:tcPr>
          <w:p w14:paraId="101212B0" w14:textId="77777777" w:rsidR="005A319E" w:rsidRPr="005A319E" w:rsidRDefault="005A319E" w:rsidP="005A319E">
            <w:pPr>
              <w:spacing w:after="0" w:line="240" w:lineRule="auto"/>
              <w:jc w:val="center"/>
              <w:rPr>
                <w:rFonts w:ascii="Times New Roman" w:eastAsia="Times New Roman" w:hAnsi="Times New Roman" w:cs="Times New Roman"/>
                <w:b/>
                <w:bCs/>
                <w:color w:val="000000"/>
                <w:kern w:val="0"/>
                <w:sz w:val="16"/>
                <w:szCs w:val="16"/>
                <w:lang w:eastAsia="en-IN"/>
                <w14:ligatures w14:val="none"/>
              </w:rPr>
            </w:pPr>
            <w:r w:rsidRPr="005A319E">
              <w:rPr>
                <w:rFonts w:ascii="Times New Roman" w:eastAsia="Times New Roman" w:hAnsi="Times New Roman" w:cs="Times New Roman"/>
                <w:b/>
                <w:bCs/>
                <w:color w:val="000000"/>
                <w:kern w:val="0"/>
                <w:sz w:val="16"/>
                <w:szCs w:val="16"/>
                <w:lang w:eastAsia="en-IN"/>
                <w14:ligatures w14:val="none"/>
              </w:rPr>
              <w:t>21</w:t>
            </w:r>
          </w:p>
        </w:tc>
        <w:tc>
          <w:tcPr>
            <w:tcW w:w="581" w:type="dxa"/>
            <w:tcBorders>
              <w:top w:val="nil"/>
              <w:left w:val="nil"/>
              <w:bottom w:val="single" w:sz="4" w:space="0" w:color="auto"/>
              <w:right w:val="single" w:sz="4" w:space="0" w:color="auto"/>
            </w:tcBorders>
            <w:noWrap/>
            <w:vAlign w:val="center"/>
            <w:hideMark/>
          </w:tcPr>
          <w:p w14:paraId="2063A642" w14:textId="77777777" w:rsidR="005A319E" w:rsidRPr="005A319E" w:rsidRDefault="005A319E" w:rsidP="005A319E">
            <w:pPr>
              <w:spacing w:after="0" w:line="240" w:lineRule="auto"/>
              <w:jc w:val="center"/>
              <w:rPr>
                <w:rFonts w:ascii="Times New Roman" w:eastAsia="Times New Roman" w:hAnsi="Times New Roman" w:cs="Times New Roman"/>
                <w:b/>
                <w:bCs/>
                <w:color w:val="000000"/>
                <w:kern w:val="0"/>
                <w:sz w:val="16"/>
                <w:szCs w:val="16"/>
                <w:lang w:eastAsia="en-IN"/>
                <w14:ligatures w14:val="none"/>
              </w:rPr>
            </w:pPr>
            <w:r w:rsidRPr="005A319E">
              <w:rPr>
                <w:rFonts w:ascii="Times New Roman" w:eastAsia="Times New Roman" w:hAnsi="Times New Roman" w:cs="Times New Roman"/>
                <w:b/>
                <w:bCs/>
                <w:color w:val="000000"/>
                <w:kern w:val="0"/>
                <w:sz w:val="16"/>
                <w:szCs w:val="16"/>
                <w:lang w:eastAsia="en-IN"/>
                <w14:ligatures w14:val="none"/>
              </w:rPr>
              <w:t>22</w:t>
            </w:r>
          </w:p>
        </w:tc>
        <w:tc>
          <w:tcPr>
            <w:tcW w:w="1004" w:type="dxa"/>
            <w:tcBorders>
              <w:top w:val="nil"/>
              <w:left w:val="nil"/>
              <w:bottom w:val="single" w:sz="4" w:space="0" w:color="auto"/>
              <w:right w:val="single" w:sz="4" w:space="0" w:color="auto"/>
            </w:tcBorders>
            <w:noWrap/>
            <w:vAlign w:val="center"/>
            <w:hideMark/>
          </w:tcPr>
          <w:p w14:paraId="29EDEDEC" w14:textId="77777777" w:rsidR="005A319E" w:rsidRPr="005A319E" w:rsidRDefault="005A319E" w:rsidP="005A319E">
            <w:pPr>
              <w:spacing w:after="0" w:line="240" w:lineRule="auto"/>
              <w:jc w:val="center"/>
              <w:rPr>
                <w:rFonts w:ascii="Times New Roman" w:eastAsia="Times New Roman" w:hAnsi="Times New Roman" w:cs="Times New Roman"/>
                <w:b/>
                <w:bCs/>
                <w:color w:val="000000"/>
                <w:kern w:val="0"/>
                <w:sz w:val="16"/>
                <w:szCs w:val="16"/>
                <w:lang w:eastAsia="en-IN"/>
                <w14:ligatures w14:val="none"/>
              </w:rPr>
            </w:pPr>
            <w:r w:rsidRPr="005A319E">
              <w:rPr>
                <w:rFonts w:ascii="Times New Roman" w:eastAsia="Times New Roman" w:hAnsi="Times New Roman" w:cs="Times New Roman"/>
                <w:b/>
                <w:bCs/>
                <w:color w:val="000000"/>
                <w:kern w:val="0"/>
                <w:sz w:val="16"/>
                <w:szCs w:val="16"/>
                <w:lang w:eastAsia="en-IN"/>
                <w14:ligatures w14:val="none"/>
              </w:rPr>
              <w:t>23</w:t>
            </w:r>
          </w:p>
        </w:tc>
        <w:tc>
          <w:tcPr>
            <w:tcW w:w="865" w:type="dxa"/>
            <w:tcBorders>
              <w:top w:val="nil"/>
              <w:left w:val="nil"/>
              <w:bottom w:val="single" w:sz="4" w:space="0" w:color="auto"/>
              <w:right w:val="single" w:sz="4" w:space="0" w:color="auto"/>
            </w:tcBorders>
            <w:noWrap/>
            <w:vAlign w:val="center"/>
            <w:hideMark/>
          </w:tcPr>
          <w:p w14:paraId="27CD3633" w14:textId="77777777" w:rsidR="005A319E" w:rsidRPr="005A319E" w:rsidRDefault="005A319E" w:rsidP="005A319E">
            <w:pPr>
              <w:spacing w:after="0" w:line="240" w:lineRule="auto"/>
              <w:jc w:val="center"/>
              <w:rPr>
                <w:rFonts w:ascii="Times New Roman" w:eastAsia="Times New Roman" w:hAnsi="Times New Roman" w:cs="Times New Roman"/>
                <w:b/>
                <w:bCs/>
                <w:color w:val="000000"/>
                <w:kern w:val="0"/>
                <w:sz w:val="16"/>
                <w:szCs w:val="16"/>
                <w:lang w:eastAsia="en-IN"/>
                <w14:ligatures w14:val="none"/>
              </w:rPr>
            </w:pPr>
            <w:r w:rsidRPr="005A319E">
              <w:rPr>
                <w:rFonts w:ascii="Times New Roman" w:eastAsia="Times New Roman" w:hAnsi="Times New Roman" w:cs="Times New Roman"/>
                <w:b/>
                <w:bCs/>
                <w:color w:val="000000"/>
                <w:kern w:val="0"/>
                <w:sz w:val="16"/>
                <w:szCs w:val="16"/>
                <w:lang w:eastAsia="en-IN"/>
                <w14:ligatures w14:val="none"/>
              </w:rPr>
              <w:t>24</w:t>
            </w:r>
          </w:p>
        </w:tc>
        <w:tc>
          <w:tcPr>
            <w:tcW w:w="995" w:type="dxa"/>
            <w:tcBorders>
              <w:top w:val="nil"/>
              <w:left w:val="nil"/>
              <w:bottom w:val="single" w:sz="4" w:space="0" w:color="auto"/>
              <w:right w:val="single" w:sz="4" w:space="0" w:color="auto"/>
            </w:tcBorders>
            <w:noWrap/>
            <w:vAlign w:val="center"/>
            <w:hideMark/>
          </w:tcPr>
          <w:p w14:paraId="06A5169A" w14:textId="77777777" w:rsidR="005A319E" w:rsidRPr="005A319E" w:rsidRDefault="005A319E" w:rsidP="005A319E">
            <w:pPr>
              <w:spacing w:after="0" w:line="240" w:lineRule="auto"/>
              <w:jc w:val="center"/>
              <w:rPr>
                <w:rFonts w:ascii="Times New Roman" w:eastAsia="Times New Roman" w:hAnsi="Times New Roman" w:cs="Times New Roman"/>
                <w:b/>
                <w:bCs/>
                <w:color w:val="000000"/>
                <w:kern w:val="0"/>
                <w:sz w:val="16"/>
                <w:szCs w:val="16"/>
                <w:lang w:eastAsia="en-IN"/>
                <w14:ligatures w14:val="none"/>
              </w:rPr>
            </w:pPr>
            <w:r w:rsidRPr="005A319E">
              <w:rPr>
                <w:rFonts w:ascii="Times New Roman" w:eastAsia="Times New Roman" w:hAnsi="Times New Roman" w:cs="Times New Roman"/>
                <w:b/>
                <w:bCs/>
                <w:color w:val="000000"/>
                <w:kern w:val="0"/>
                <w:sz w:val="16"/>
                <w:szCs w:val="16"/>
                <w:lang w:eastAsia="en-IN"/>
                <w14:ligatures w14:val="none"/>
              </w:rPr>
              <w:t>25</w:t>
            </w:r>
          </w:p>
        </w:tc>
        <w:tc>
          <w:tcPr>
            <w:tcW w:w="916" w:type="dxa"/>
            <w:tcBorders>
              <w:top w:val="nil"/>
              <w:left w:val="nil"/>
              <w:bottom w:val="single" w:sz="4" w:space="0" w:color="auto"/>
              <w:right w:val="single" w:sz="4" w:space="0" w:color="auto"/>
            </w:tcBorders>
            <w:noWrap/>
            <w:vAlign w:val="center"/>
            <w:hideMark/>
          </w:tcPr>
          <w:p w14:paraId="0660BDC8" w14:textId="77777777" w:rsidR="005A319E" w:rsidRPr="005A319E" w:rsidRDefault="005A319E" w:rsidP="005A319E">
            <w:pPr>
              <w:spacing w:after="0" w:line="240" w:lineRule="auto"/>
              <w:jc w:val="center"/>
              <w:rPr>
                <w:rFonts w:ascii="Times New Roman" w:eastAsia="Times New Roman" w:hAnsi="Times New Roman" w:cs="Times New Roman"/>
                <w:b/>
                <w:bCs/>
                <w:color w:val="000000"/>
                <w:kern w:val="0"/>
                <w:sz w:val="16"/>
                <w:szCs w:val="16"/>
                <w:lang w:eastAsia="en-IN"/>
                <w14:ligatures w14:val="none"/>
              </w:rPr>
            </w:pPr>
            <w:r w:rsidRPr="005A319E">
              <w:rPr>
                <w:rFonts w:ascii="Times New Roman" w:eastAsia="Times New Roman" w:hAnsi="Times New Roman" w:cs="Times New Roman"/>
                <w:b/>
                <w:bCs/>
                <w:color w:val="000000"/>
                <w:kern w:val="0"/>
                <w:sz w:val="16"/>
                <w:szCs w:val="16"/>
                <w:lang w:eastAsia="en-IN"/>
                <w14:ligatures w14:val="none"/>
              </w:rPr>
              <w:t>26</w:t>
            </w:r>
          </w:p>
        </w:tc>
        <w:tc>
          <w:tcPr>
            <w:tcW w:w="865" w:type="dxa"/>
            <w:tcBorders>
              <w:top w:val="nil"/>
              <w:left w:val="nil"/>
              <w:bottom w:val="single" w:sz="4" w:space="0" w:color="auto"/>
              <w:right w:val="single" w:sz="4" w:space="0" w:color="auto"/>
            </w:tcBorders>
            <w:noWrap/>
            <w:vAlign w:val="center"/>
            <w:hideMark/>
          </w:tcPr>
          <w:p w14:paraId="485D5F19" w14:textId="77777777" w:rsidR="005A319E" w:rsidRPr="005A319E" w:rsidRDefault="005A319E" w:rsidP="005A319E">
            <w:pPr>
              <w:spacing w:after="0" w:line="240" w:lineRule="auto"/>
              <w:jc w:val="center"/>
              <w:rPr>
                <w:rFonts w:ascii="Times New Roman" w:eastAsia="Times New Roman" w:hAnsi="Times New Roman" w:cs="Times New Roman"/>
                <w:b/>
                <w:bCs/>
                <w:color w:val="000000"/>
                <w:kern w:val="0"/>
                <w:sz w:val="16"/>
                <w:szCs w:val="16"/>
                <w:lang w:eastAsia="en-IN"/>
                <w14:ligatures w14:val="none"/>
              </w:rPr>
            </w:pPr>
            <w:r w:rsidRPr="005A319E">
              <w:rPr>
                <w:rFonts w:ascii="Times New Roman" w:eastAsia="Times New Roman" w:hAnsi="Times New Roman" w:cs="Times New Roman"/>
                <w:b/>
                <w:bCs/>
                <w:color w:val="000000"/>
                <w:kern w:val="0"/>
                <w:sz w:val="16"/>
                <w:szCs w:val="16"/>
                <w:lang w:eastAsia="en-IN"/>
                <w14:ligatures w14:val="none"/>
              </w:rPr>
              <w:t>27</w:t>
            </w:r>
          </w:p>
        </w:tc>
        <w:tc>
          <w:tcPr>
            <w:tcW w:w="581" w:type="dxa"/>
            <w:tcBorders>
              <w:top w:val="nil"/>
              <w:left w:val="nil"/>
              <w:bottom w:val="single" w:sz="4" w:space="0" w:color="auto"/>
              <w:right w:val="single" w:sz="4" w:space="0" w:color="auto"/>
            </w:tcBorders>
            <w:noWrap/>
            <w:vAlign w:val="center"/>
            <w:hideMark/>
          </w:tcPr>
          <w:p w14:paraId="411619D3" w14:textId="77777777" w:rsidR="005A319E" w:rsidRPr="005A319E" w:rsidRDefault="005A319E" w:rsidP="005A319E">
            <w:pPr>
              <w:spacing w:after="0" w:line="240" w:lineRule="auto"/>
              <w:jc w:val="center"/>
              <w:rPr>
                <w:rFonts w:ascii="Times New Roman" w:eastAsia="Times New Roman" w:hAnsi="Times New Roman" w:cs="Times New Roman"/>
                <w:b/>
                <w:bCs/>
                <w:color w:val="000000"/>
                <w:kern w:val="0"/>
                <w:sz w:val="16"/>
                <w:szCs w:val="16"/>
                <w:lang w:eastAsia="en-IN"/>
                <w14:ligatures w14:val="none"/>
              </w:rPr>
            </w:pPr>
            <w:r w:rsidRPr="005A319E">
              <w:rPr>
                <w:rFonts w:ascii="Times New Roman" w:eastAsia="Times New Roman" w:hAnsi="Times New Roman" w:cs="Times New Roman"/>
                <w:b/>
                <w:bCs/>
                <w:color w:val="000000"/>
                <w:kern w:val="0"/>
                <w:sz w:val="16"/>
                <w:szCs w:val="16"/>
                <w:lang w:eastAsia="en-IN"/>
                <w14:ligatures w14:val="none"/>
              </w:rPr>
              <w:t>28</w:t>
            </w:r>
          </w:p>
        </w:tc>
      </w:tr>
      <w:tr w:rsidR="005A319E" w:rsidRPr="005A319E" w14:paraId="36B1F1D0" w14:textId="77777777" w:rsidTr="00D67840">
        <w:trPr>
          <w:trHeight w:val="22"/>
          <w:jc w:val="center"/>
        </w:trPr>
        <w:tc>
          <w:tcPr>
            <w:tcW w:w="1842" w:type="dxa"/>
            <w:tcBorders>
              <w:top w:val="nil"/>
              <w:left w:val="single" w:sz="4" w:space="0" w:color="auto"/>
              <w:bottom w:val="single" w:sz="4" w:space="0" w:color="auto"/>
              <w:right w:val="single" w:sz="4" w:space="0" w:color="auto"/>
            </w:tcBorders>
            <w:noWrap/>
            <w:vAlign w:val="center"/>
            <w:hideMark/>
          </w:tcPr>
          <w:p w14:paraId="242E203C" w14:textId="77777777" w:rsidR="005A319E" w:rsidRPr="005A319E" w:rsidRDefault="005A319E" w:rsidP="005A319E">
            <w:pPr>
              <w:spacing w:after="0" w:line="240" w:lineRule="auto"/>
              <w:rPr>
                <w:rFonts w:ascii="Times New Roman" w:eastAsia="Times New Roman" w:hAnsi="Times New Roman" w:cs="Times New Roman"/>
                <w:color w:val="000000"/>
                <w:kern w:val="0"/>
                <w:sz w:val="16"/>
                <w:szCs w:val="16"/>
                <w:lang w:eastAsia="en-IN"/>
                <w14:ligatures w14:val="none"/>
              </w:rPr>
            </w:pPr>
            <w:r w:rsidRPr="005A319E">
              <w:rPr>
                <w:rFonts w:ascii="Times New Roman" w:eastAsia="Times New Roman" w:hAnsi="Times New Roman" w:cs="Times New Roman"/>
                <w:color w:val="000000"/>
                <w:kern w:val="0"/>
                <w:sz w:val="16"/>
                <w:szCs w:val="16"/>
                <w:lang w:eastAsia="en-IN"/>
                <w14:ligatures w14:val="none"/>
              </w:rPr>
              <w:t> </w:t>
            </w:r>
          </w:p>
        </w:tc>
        <w:tc>
          <w:tcPr>
            <w:tcW w:w="851" w:type="dxa"/>
            <w:tcBorders>
              <w:top w:val="nil"/>
              <w:left w:val="nil"/>
              <w:bottom w:val="single" w:sz="4" w:space="0" w:color="auto"/>
              <w:right w:val="single" w:sz="4" w:space="0" w:color="auto"/>
            </w:tcBorders>
            <w:noWrap/>
            <w:vAlign w:val="center"/>
            <w:hideMark/>
          </w:tcPr>
          <w:p w14:paraId="18976189" w14:textId="77777777" w:rsidR="005A319E" w:rsidRPr="005A319E" w:rsidRDefault="005A319E" w:rsidP="005A319E">
            <w:pPr>
              <w:spacing w:after="0" w:line="240" w:lineRule="auto"/>
              <w:rPr>
                <w:rFonts w:ascii="Times New Roman" w:eastAsia="Times New Roman" w:hAnsi="Times New Roman" w:cs="Times New Roman"/>
                <w:color w:val="000000"/>
                <w:kern w:val="0"/>
                <w:sz w:val="16"/>
                <w:szCs w:val="16"/>
                <w:lang w:eastAsia="en-IN"/>
                <w14:ligatures w14:val="none"/>
              </w:rPr>
            </w:pPr>
            <w:r w:rsidRPr="005A319E">
              <w:rPr>
                <w:rFonts w:ascii="Times New Roman" w:eastAsia="Times New Roman" w:hAnsi="Times New Roman" w:cs="Times New Roman"/>
                <w:color w:val="000000"/>
                <w:kern w:val="0"/>
                <w:sz w:val="16"/>
                <w:szCs w:val="16"/>
                <w:lang w:eastAsia="en-IN"/>
                <w14:ligatures w14:val="none"/>
              </w:rPr>
              <w:t> </w:t>
            </w:r>
          </w:p>
        </w:tc>
        <w:tc>
          <w:tcPr>
            <w:tcW w:w="992" w:type="dxa"/>
            <w:tcBorders>
              <w:top w:val="nil"/>
              <w:left w:val="nil"/>
              <w:bottom w:val="single" w:sz="4" w:space="0" w:color="auto"/>
              <w:right w:val="single" w:sz="4" w:space="0" w:color="auto"/>
            </w:tcBorders>
            <w:noWrap/>
            <w:vAlign w:val="center"/>
            <w:hideMark/>
          </w:tcPr>
          <w:p w14:paraId="0285800B" w14:textId="77777777" w:rsidR="005A319E" w:rsidRPr="005A319E" w:rsidRDefault="005A319E" w:rsidP="005A319E">
            <w:pPr>
              <w:spacing w:after="0" w:line="240" w:lineRule="auto"/>
              <w:rPr>
                <w:rFonts w:ascii="Times New Roman" w:eastAsia="Times New Roman" w:hAnsi="Times New Roman" w:cs="Times New Roman"/>
                <w:color w:val="000000"/>
                <w:kern w:val="0"/>
                <w:sz w:val="16"/>
                <w:szCs w:val="16"/>
                <w:lang w:eastAsia="en-IN"/>
                <w14:ligatures w14:val="none"/>
              </w:rPr>
            </w:pPr>
            <w:r w:rsidRPr="005A319E">
              <w:rPr>
                <w:rFonts w:ascii="Times New Roman" w:eastAsia="Times New Roman" w:hAnsi="Times New Roman" w:cs="Times New Roman"/>
                <w:color w:val="000000"/>
                <w:kern w:val="0"/>
                <w:sz w:val="16"/>
                <w:szCs w:val="16"/>
                <w:lang w:eastAsia="en-IN"/>
                <w14:ligatures w14:val="none"/>
              </w:rPr>
              <w:t> </w:t>
            </w:r>
          </w:p>
        </w:tc>
        <w:tc>
          <w:tcPr>
            <w:tcW w:w="581" w:type="dxa"/>
            <w:tcBorders>
              <w:top w:val="nil"/>
              <w:left w:val="nil"/>
              <w:bottom w:val="single" w:sz="4" w:space="0" w:color="auto"/>
              <w:right w:val="single" w:sz="4" w:space="0" w:color="auto"/>
            </w:tcBorders>
            <w:noWrap/>
            <w:vAlign w:val="center"/>
            <w:hideMark/>
          </w:tcPr>
          <w:p w14:paraId="568DCD1C" w14:textId="77777777" w:rsidR="005A319E" w:rsidRPr="005A319E" w:rsidRDefault="005A319E" w:rsidP="005A319E">
            <w:pPr>
              <w:spacing w:after="0" w:line="240" w:lineRule="auto"/>
              <w:rPr>
                <w:rFonts w:ascii="Times New Roman" w:eastAsia="Times New Roman" w:hAnsi="Times New Roman" w:cs="Times New Roman"/>
                <w:color w:val="000000"/>
                <w:kern w:val="0"/>
                <w:sz w:val="16"/>
                <w:szCs w:val="16"/>
                <w:lang w:eastAsia="en-IN"/>
                <w14:ligatures w14:val="none"/>
              </w:rPr>
            </w:pPr>
            <w:r w:rsidRPr="005A319E">
              <w:rPr>
                <w:rFonts w:ascii="Times New Roman" w:eastAsia="Times New Roman" w:hAnsi="Times New Roman" w:cs="Times New Roman"/>
                <w:color w:val="000000"/>
                <w:kern w:val="0"/>
                <w:sz w:val="16"/>
                <w:szCs w:val="16"/>
                <w:lang w:eastAsia="en-IN"/>
                <w14:ligatures w14:val="none"/>
              </w:rPr>
              <w:t> </w:t>
            </w:r>
          </w:p>
        </w:tc>
        <w:tc>
          <w:tcPr>
            <w:tcW w:w="992" w:type="dxa"/>
            <w:tcBorders>
              <w:top w:val="nil"/>
              <w:left w:val="nil"/>
              <w:bottom w:val="single" w:sz="4" w:space="0" w:color="auto"/>
              <w:right w:val="single" w:sz="4" w:space="0" w:color="auto"/>
            </w:tcBorders>
            <w:noWrap/>
            <w:vAlign w:val="center"/>
            <w:hideMark/>
          </w:tcPr>
          <w:p w14:paraId="19027DF9" w14:textId="77777777" w:rsidR="005A319E" w:rsidRPr="005A319E" w:rsidRDefault="005A319E" w:rsidP="005A319E">
            <w:pPr>
              <w:spacing w:after="0" w:line="240" w:lineRule="auto"/>
              <w:rPr>
                <w:rFonts w:ascii="Times New Roman" w:eastAsia="Times New Roman" w:hAnsi="Times New Roman" w:cs="Times New Roman"/>
                <w:color w:val="000000"/>
                <w:kern w:val="0"/>
                <w:sz w:val="16"/>
                <w:szCs w:val="16"/>
                <w:lang w:eastAsia="en-IN"/>
                <w14:ligatures w14:val="none"/>
              </w:rPr>
            </w:pPr>
            <w:r w:rsidRPr="005A319E">
              <w:rPr>
                <w:rFonts w:ascii="Times New Roman" w:eastAsia="Times New Roman" w:hAnsi="Times New Roman" w:cs="Times New Roman"/>
                <w:color w:val="000000"/>
                <w:kern w:val="0"/>
                <w:sz w:val="16"/>
                <w:szCs w:val="16"/>
                <w:lang w:eastAsia="en-IN"/>
                <w14:ligatures w14:val="none"/>
              </w:rPr>
              <w:t> </w:t>
            </w:r>
          </w:p>
        </w:tc>
        <w:tc>
          <w:tcPr>
            <w:tcW w:w="865" w:type="dxa"/>
            <w:tcBorders>
              <w:top w:val="nil"/>
              <w:left w:val="nil"/>
              <w:bottom w:val="single" w:sz="4" w:space="0" w:color="auto"/>
              <w:right w:val="single" w:sz="4" w:space="0" w:color="auto"/>
            </w:tcBorders>
            <w:noWrap/>
            <w:vAlign w:val="center"/>
            <w:hideMark/>
          </w:tcPr>
          <w:p w14:paraId="0FA778ED" w14:textId="77777777" w:rsidR="005A319E" w:rsidRPr="005A319E" w:rsidRDefault="005A319E" w:rsidP="005A319E">
            <w:pPr>
              <w:spacing w:after="0" w:line="240" w:lineRule="auto"/>
              <w:rPr>
                <w:rFonts w:ascii="Times New Roman" w:eastAsia="Times New Roman" w:hAnsi="Times New Roman" w:cs="Times New Roman"/>
                <w:color w:val="000000"/>
                <w:kern w:val="0"/>
                <w:sz w:val="16"/>
                <w:szCs w:val="16"/>
                <w:lang w:eastAsia="en-IN"/>
                <w14:ligatures w14:val="none"/>
              </w:rPr>
            </w:pPr>
            <w:r w:rsidRPr="005A319E">
              <w:rPr>
                <w:rFonts w:ascii="Times New Roman" w:eastAsia="Times New Roman" w:hAnsi="Times New Roman" w:cs="Times New Roman"/>
                <w:color w:val="000000"/>
                <w:kern w:val="0"/>
                <w:sz w:val="16"/>
                <w:szCs w:val="16"/>
                <w:lang w:eastAsia="en-IN"/>
                <w14:ligatures w14:val="none"/>
              </w:rPr>
              <w:t> </w:t>
            </w:r>
          </w:p>
        </w:tc>
        <w:tc>
          <w:tcPr>
            <w:tcW w:w="709" w:type="dxa"/>
            <w:tcBorders>
              <w:top w:val="nil"/>
              <w:left w:val="nil"/>
              <w:bottom w:val="single" w:sz="4" w:space="0" w:color="auto"/>
              <w:right w:val="single" w:sz="4" w:space="0" w:color="auto"/>
            </w:tcBorders>
            <w:noWrap/>
            <w:vAlign w:val="center"/>
            <w:hideMark/>
          </w:tcPr>
          <w:p w14:paraId="26D6C9CE" w14:textId="77777777" w:rsidR="005A319E" w:rsidRPr="005A319E" w:rsidRDefault="005A319E" w:rsidP="005A319E">
            <w:pPr>
              <w:spacing w:after="0" w:line="240" w:lineRule="auto"/>
              <w:rPr>
                <w:rFonts w:ascii="Times New Roman" w:eastAsia="Times New Roman" w:hAnsi="Times New Roman" w:cs="Times New Roman"/>
                <w:color w:val="000000"/>
                <w:kern w:val="0"/>
                <w:sz w:val="16"/>
                <w:szCs w:val="16"/>
                <w:lang w:eastAsia="en-IN"/>
                <w14:ligatures w14:val="none"/>
              </w:rPr>
            </w:pPr>
            <w:r w:rsidRPr="005A319E">
              <w:rPr>
                <w:rFonts w:ascii="Times New Roman" w:eastAsia="Times New Roman" w:hAnsi="Times New Roman" w:cs="Times New Roman"/>
                <w:color w:val="000000"/>
                <w:kern w:val="0"/>
                <w:sz w:val="16"/>
                <w:szCs w:val="16"/>
                <w:lang w:eastAsia="en-IN"/>
                <w14:ligatures w14:val="none"/>
              </w:rPr>
              <w:t> </w:t>
            </w:r>
          </w:p>
        </w:tc>
        <w:tc>
          <w:tcPr>
            <w:tcW w:w="708" w:type="dxa"/>
            <w:tcBorders>
              <w:top w:val="nil"/>
              <w:left w:val="nil"/>
              <w:bottom w:val="single" w:sz="4" w:space="0" w:color="auto"/>
              <w:right w:val="single" w:sz="4" w:space="0" w:color="auto"/>
            </w:tcBorders>
            <w:noWrap/>
            <w:vAlign w:val="center"/>
            <w:hideMark/>
          </w:tcPr>
          <w:p w14:paraId="1908B609" w14:textId="77777777" w:rsidR="005A319E" w:rsidRPr="005A319E" w:rsidRDefault="005A319E" w:rsidP="005A319E">
            <w:pPr>
              <w:spacing w:after="0" w:line="240" w:lineRule="auto"/>
              <w:rPr>
                <w:rFonts w:ascii="Times New Roman" w:eastAsia="Times New Roman" w:hAnsi="Times New Roman" w:cs="Times New Roman"/>
                <w:color w:val="000000"/>
                <w:kern w:val="0"/>
                <w:sz w:val="16"/>
                <w:szCs w:val="16"/>
                <w:lang w:eastAsia="en-IN"/>
                <w14:ligatures w14:val="none"/>
              </w:rPr>
            </w:pPr>
            <w:r w:rsidRPr="005A319E">
              <w:rPr>
                <w:rFonts w:ascii="Times New Roman" w:eastAsia="Times New Roman" w:hAnsi="Times New Roman" w:cs="Times New Roman"/>
                <w:color w:val="000000"/>
                <w:kern w:val="0"/>
                <w:sz w:val="16"/>
                <w:szCs w:val="16"/>
                <w:lang w:eastAsia="en-IN"/>
                <w14:ligatures w14:val="none"/>
              </w:rPr>
              <w:t> </w:t>
            </w:r>
          </w:p>
        </w:tc>
        <w:tc>
          <w:tcPr>
            <w:tcW w:w="865" w:type="dxa"/>
            <w:tcBorders>
              <w:top w:val="nil"/>
              <w:left w:val="nil"/>
              <w:bottom w:val="single" w:sz="4" w:space="0" w:color="auto"/>
              <w:right w:val="single" w:sz="4" w:space="0" w:color="auto"/>
            </w:tcBorders>
            <w:noWrap/>
            <w:vAlign w:val="center"/>
            <w:hideMark/>
          </w:tcPr>
          <w:p w14:paraId="7E3C34B5" w14:textId="77777777" w:rsidR="005A319E" w:rsidRPr="005A319E" w:rsidRDefault="005A319E" w:rsidP="005A319E">
            <w:pPr>
              <w:spacing w:after="0" w:line="240" w:lineRule="auto"/>
              <w:rPr>
                <w:rFonts w:ascii="Times New Roman" w:eastAsia="Times New Roman" w:hAnsi="Times New Roman" w:cs="Times New Roman"/>
                <w:color w:val="000000"/>
                <w:kern w:val="0"/>
                <w:sz w:val="16"/>
                <w:szCs w:val="16"/>
                <w:lang w:eastAsia="en-IN"/>
                <w14:ligatures w14:val="none"/>
              </w:rPr>
            </w:pPr>
            <w:r w:rsidRPr="005A319E">
              <w:rPr>
                <w:rFonts w:ascii="Times New Roman" w:eastAsia="Times New Roman" w:hAnsi="Times New Roman" w:cs="Times New Roman"/>
                <w:color w:val="000000"/>
                <w:kern w:val="0"/>
                <w:sz w:val="16"/>
                <w:szCs w:val="16"/>
                <w:lang w:eastAsia="en-IN"/>
                <w14:ligatures w14:val="none"/>
              </w:rPr>
              <w:t> </w:t>
            </w:r>
          </w:p>
        </w:tc>
        <w:tc>
          <w:tcPr>
            <w:tcW w:w="581" w:type="dxa"/>
            <w:tcBorders>
              <w:top w:val="nil"/>
              <w:left w:val="nil"/>
              <w:bottom w:val="single" w:sz="4" w:space="0" w:color="auto"/>
              <w:right w:val="single" w:sz="4" w:space="0" w:color="auto"/>
            </w:tcBorders>
            <w:noWrap/>
            <w:vAlign w:val="center"/>
            <w:hideMark/>
          </w:tcPr>
          <w:p w14:paraId="66BF01DB" w14:textId="77777777" w:rsidR="005A319E" w:rsidRPr="005A319E" w:rsidRDefault="005A319E" w:rsidP="005A319E">
            <w:pPr>
              <w:spacing w:after="0" w:line="240" w:lineRule="auto"/>
              <w:rPr>
                <w:rFonts w:ascii="Times New Roman" w:eastAsia="Times New Roman" w:hAnsi="Times New Roman" w:cs="Times New Roman"/>
                <w:color w:val="000000"/>
                <w:kern w:val="0"/>
                <w:sz w:val="16"/>
                <w:szCs w:val="16"/>
                <w:lang w:eastAsia="en-IN"/>
                <w14:ligatures w14:val="none"/>
              </w:rPr>
            </w:pPr>
            <w:r w:rsidRPr="005A319E">
              <w:rPr>
                <w:rFonts w:ascii="Times New Roman" w:eastAsia="Times New Roman" w:hAnsi="Times New Roman" w:cs="Times New Roman"/>
                <w:color w:val="000000"/>
                <w:kern w:val="0"/>
                <w:sz w:val="16"/>
                <w:szCs w:val="16"/>
                <w:lang w:eastAsia="en-IN"/>
                <w14:ligatures w14:val="none"/>
              </w:rPr>
              <w:t> </w:t>
            </w:r>
          </w:p>
        </w:tc>
        <w:tc>
          <w:tcPr>
            <w:tcW w:w="1004" w:type="dxa"/>
            <w:tcBorders>
              <w:top w:val="nil"/>
              <w:left w:val="nil"/>
              <w:bottom w:val="single" w:sz="4" w:space="0" w:color="auto"/>
              <w:right w:val="single" w:sz="4" w:space="0" w:color="auto"/>
            </w:tcBorders>
            <w:noWrap/>
            <w:vAlign w:val="center"/>
            <w:hideMark/>
          </w:tcPr>
          <w:p w14:paraId="48B7235F" w14:textId="77777777" w:rsidR="005A319E" w:rsidRPr="005A319E" w:rsidRDefault="005A319E" w:rsidP="005A319E">
            <w:pPr>
              <w:spacing w:after="0" w:line="240" w:lineRule="auto"/>
              <w:rPr>
                <w:rFonts w:ascii="Times New Roman" w:eastAsia="Times New Roman" w:hAnsi="Times New Roman" w:cs="Times New Roman"/>
                <w:color w:val="000000"/>
                <w:kern w:val="0"/>
                <w:sz w:val="16"/>
                <w:szCs w:val="16"/>
                <w:lang w:eastAsia="en-IN"/>
                <w14:ligatures w14:val="none"/>
              </w:rPr>
            </w:pPr>
            <w:r w:rsidRPr="005A319E">
              <w:rPr>
                <w:rFonts w:ascii="Times New Roman" w:eastAsia="Times New Roman" w:hAnsi="Times New Roman" w:cs="Times New Roman"/>
                <w:color w:val="000000"/>
                <w:kern w:val="0"/>
                <w:sz w:val="16"/>
                <w:szCs w:val="16"/>
                <w:lang w:eastAsia="en-IN"/>
                <w14:ligatures w14:val="none"/>
              </w:rPr>
              <w:t> </w:t>
            </w:r>
          </w:p>
        </w:tc>
        <w:tc>
          <w:tcPr>
            <w:tcW w:w="865" w:type="dxa"/>
            <w:tcBorders>
              <w:top w:val="nil"/>
              <w:left w:val="nil"/>
              <w:bottom w:val="single" w:sz="4" w:space="0" w:color="auto"/>
              <w:right w:val="single" w:sz="4" w:space="0" w:color="auto"/>
            </w:tcBorders>
            <w:noWrap/>
            <w:vAlign w:val="center"/>
            <w:hideMark/>
          </w:tcPr>
          <w:p w14:paraId="34D4D42C" w14:textId="77777777" w:rsidR="005A319E" w:rsidRPr="005A319E" w:rsidRDefault="005A319E" w:rsidP="005A319E">
            <w:pPr>
              <w:spacing w:after="0" w:line="240" w:lineRule="auto"/>
              <w:rPr>
                <w:rFonts w:ascii="Times New Roman" w:eastAsia="Times New Roman" w:hAnsi="Times New Roman" w:cs="Times New Roman"/>
                <w:color w:val="000000"/>
                <w:kern w:val="0"/>
                <w:sz w:val="16"/>
                <w:szCs w:val="16"/>
                <w:lang w:eastAsia="en-IN"/>
                <w14:ligatures w14:val="none"/>
              </w:rPr>
            </w:pPr>
            <w:r w:rsidRPr="005A319E">
              <w:rPr>
                <w:rFonts w:ascii="Times New Roman" w:eastAsia="Times New Roman" w:hAnsi="Times New Roman" w:cs="Times New Roman"/>
                <w:color w:val="000000"/>
                <w:kern w:val="0"/>
                <w:sz w:val="16"/>
                <w:szCs w:val="16"/>
                <w:lang w:eastAsia="en-IN"/>
                <w14:ligatures w14:val="none"/>
              </w:rPr>
              <w:t> </w:t>
            </w:r>
          </w:p>
        </w:tc>
        <w:tc>
          <w:tcPr>
            <w:tcW w:w="995" w:type="dxa"/>
            <w:tcBorders>
              <w:top w:val="nil"/>
              <w:left w:val="nil"/>
              <w:bottom w:val="single" w:sz="4" w:space="0" w:color="auto"/>
              <w:right w:val="single" w:sz="4" w:space="0" w:color="auto"/>
            </w:tcBorders>
            <w:noWrap/>
            <w:vAlign w:val="center"/>
            <w:hideMark/>
          </w:tcPr>
          <w:p w14:paraId="63DC5B99" w14:textId="77777777" w:rsidR="005A319E" w:rsidRPr="005A319E" w:rsidRDefault="005A319E" w:rsidP="005A319E">
            <w:pPr>
              <w:spacing w:after="0" w:line="240" w:lineRule="auto"/>
              <w:rPr>
                <w:rFonts w:ascii="Times New Roman" w:eastAsia="Times New Roman" w:hAnsi="Times New Roman" w:cs="Times New Roman"/>
                <w:color w:val="000000"/>
                <w:kern w:val="0"/>
                <w:sz w:val="16"/>
                <w:szCs w:val="16"/>
                <w:lang w:eastAsia="en-IN"/>
                <w14:ligatures w14:val="none"/>
              </w:rPr>
            </w:pPr>
            <w:r w:rsidRPr="005A319E">
              <w:rPr>
                <w:rFonts w:ascii="Times New Roman" w:eastAsia="Times New Roman" w:hAnsi="Times New Roman" w:cs="Times New Roman"/>
                <w:color w:val="000000"/>
                <w:kern w:val="0"/>
                <w:sz w:val="16"/>
                <w:szCs w:val="16"/>
                <w:lang w:eastAsia="en-IN"/>
                <w14:ligatures w14:val="none"/>
              </w:rPr>
              <w:t> </w:t>
            </w:r>
          </w:p>
        </w:tc>
        <w:tc>
          <w:tcPr>
            <w:tcW w:w="916" w:type="dxa"/>
            <w:tcBorders>
              <w:top w:val="nil"/>
              <w:left w:val="nil"/>
              <w:bottom w:val="single" w:sz="4" w:space="0" w:color="auto"/>
              <w:right w:val="single" w:sz="4" w:space="0" w:color="auto"/>
            </w:tcBorders>
            <w:noWrap/>
            <w:vAlign w:val="center"/>
            <w:hideMark/>
          </w:tcPr>
          <w:p w14:paraId="17B2DE97" w14:textId="77777777" w:rsidR="005A319E" w:rsidRPr="005A319E" w:rsidRDefault="005A319E" w:rsidP="005A319E">
            <w:pPr>
              <w:spacing w:after="0" w:line="240" w:lineRule="auto"/>
              <w:rPr>
                <w:rFonts w:ascii="Times New Roman" w:eastAsia="Times New Roman" w:hAnsi="Times New Roman" w:cs="Times New Roman"/>
                <w:color w:val="000000"/>
                <w:kern w:val="0"/>
                <w:sz w:val="16"/>
                <w:szCs w:val="16"/>
                <w:lang w:eastAsia="en-IN"/>
                <w14:ligatures w14:val="none"/>
              </w:rPr>
            </w:pPr>
            <w:r w:rsidRPr="005A319E">
              <w:rPr>
                <w:rFonts w:ascii="Times New Roman" w:eastAsia="Times New Roman" w:hAnsi="Times New Roman" w:cs="Times New Roman"/>
                <w:color w:val="000000"/>
                <w:kern w:val="0"/>
                <w:sz w:val="16"/>
                <w:szCs w:val="16"/>
                <w:lang w:eastAsia="en-IN"/>
                <w14:ligatures w14:val="none"/>
              </w:rPr>
              <w:t> </w:t>
            </w:r>
          </w:p>
        </w:tc>
        <w:tc>
          <w:tcPr>
            <w:tcW w:w="865" w:type="dxa"/>
            <w:tcBorders>
              <w:top w:val="nil"/>
              <w:left w:val="nil"/>
              <w:bottom w:val="single" w:sz="4" w:space="0" w:color="auto"/>
              <w:right w:val="single" w:sz="4" w:space="0" w:color="auto"/>
            </w:tcBorders>
            <w:noWrap/>
            <w:vAlign w:val="center"/>
            <w:hideMark/>
          </w:tcPr>
          <w:p w14:paraId="441210CF" w14:textId="77777777" w:rsidR="005A319E" w:rsidRPr="005A319E" w:rsidRDefault="005A319E" w:rsidP="005A319E">
            <w:pPr>
              <w:spacing w:after="0" w:line="240" w:lineRule="auto"/>
              <w:rPr>
                <w:rFonts w:ascii="Times New Roman" w:eastAsia="Times New Roman" w:hAnsi="Times New Roman" w:cs="Times New Roman"/>
                <w:color w:val="000000"/>
                <w:kern w:val="0"/>
                <w:sz w:val="16"/>
                <w:szCs w:val="16"/>
                <w:lang w:eastAsia="en-IN"/>
                <w14:ligatures w14:val="none"/>
              </w:rPr>
            </w:pPr>
            <w:r w:rsidRPr="005A319E">
              <w:rPr>
                <w:rFonts w:ascii="Times New Roman" w:eastAsia="Times New Roman" w:hAnsi="Times New Roman" w:cs="Times New Roman"/>
                <w:color w:val="000000"/>
                <w:kern w:val="0"/>
                <w:sz w:val="16"/>
                <w:szCs w:val="16"/>
                <w:lang w:eastAsia="en-IN"/>
                <w14:ligatures w14:val="none"/>
              </w:rPr>
              <w:t> </w:t>
            </w:r>
          </w:p>
        </w:tc>
        <w:tc>
          <w:tcPr>
            <w:tcW w:w="581" w:type="dxa"/>
            <w:tcBorders>
              <w:top w:val="nil"/>
              <w:left w:val="nil"/>
              <w:bottom w:val="single" w:sz="4" w:space="0" w:color="auto"/>
              <w:right w:val="single" w:sz="4" w:space="0" w:color="auto"/>
            </w:tcBorders>
            <w:noWrap/>
            <w:vAlign w:val="center"/>
            <w:hideMark/>
          </w:tcPr>
          <w:p w14:paraId="041BB9C2" w14:textId="77777777" w:rsidR="005A319E" w:rsidRPr="005A319E" w:rsidRDefault="005A319E" w:rsidP="005A319E">
            <w:pPr>
              <w:spacing w:after="0" w:line="240" w:lineRule="auto"/>
              <w:rPr>
                <w:rFonts w:ascii="Times New Roman" w:eastAsia="Times New Roman" w:hAnsi="Times New Roman" w:cs="Times New Roman"/>
                <w:color w:val="000000"/>
                <w:kern w:val="0"/>
                <w:sz w:val="16"/>
                <w:szCs w:val="16"/>
                <w:lang w:eastAsia="en-IN"/>
                <w14:ligatures w14:val="none"/>
              </w:rPr>
            </w:pPr>
            <w:r w:rsidRPr="005A319E">
              <w:rPr>
                <w:rFonts w:ascii="Times New Roman" w:eastAsia="Times New Roman" w:hAnsi="Times New Roman" w:cs="Times New Roman"/>
                <w:color w:val="000000"/>
                <w:kern w:val="0"/>
                <w:sz w:val="16"/>
                <w:szCs w:val="16"/>
                <w:lang w:eastAsia="en-IN"/>
                <w14:ligatures w14:val="none"/>
              </w:rPr>
              <w:t> </w:t>
            </w:r>
          </w:p>
        </w:tc>
      </w:tr>
      <w:tr w:rsidR="005A319E" w:rsidRPr="005A319E" w14:paraId="5C1E4126" w14:textId="77777777" w:rsidTr="00D67840">
        <w:trPr>
          <w:trHeight w:val="22"/>
          <w:jc w:val="center"/>
        </w:trPr>
        <w:tc>
          <w:tcPr>
            <w:tcW w:w="1842" w:type="dxa"/>
            <w:tcBorders>
              <w:top w:val="nil"/>
              <w:left w:val="single" w:sz="4" w:space="0" w:color="auto"/>
              <w:bottom w:val="single" w:sz="4" w:space="0" w:color="auto"/>
              <w:right w:val="single" w:sz="4" w:space="0" w:color="auto"/>
            </w:tcBorders>
            <w:noWrap/>
            <w:vAlign w:val="center"/>
            <w:hideMark/>
          </w:tcPr>
          <w:p w14:paraId="63968417" w14:textId="77777777" w:rsidR="005A319E" w:rsidRPr="005A319E" w:rsidRDefault="005A319E" w:rsidP="005A319E">
            <w:pPr>
              <w:spacing w:after="0" w:line="240" w:lineRule="auto"/>
              <w:rPr>
                <w:rFonts w:ascii="Times New Roman" w:eastAsia="Times New Roman" w:hAnsi="Times New Roman" w:cs="Times New Roman"/>
                <w:color w:val="000000"/>
                <w:kern w:val="0"/>
                <w:sz w:val="16"/>
                <w:szCs w:val="16"/>
                <w:lang w:eastAsia="en-IN"/>
                <w14:ligatures w14:val="none"/>
              </w:rPr>
            </w:pPr>
            <w:r w:rsidRPr="005A319E">
              <w:rPr>
                <w:rFonts w:ascii="Times New Roman" w:eastAsia="Times New Roman" w:hAnsi="Times New Roman" w:cs="Times New Roman"/>
                <w:color w:val="000000"/>
                <w:kern w:val="0"/>
                <w:sz w:val="16"/>
                <w:szCs w:val="16"/>
                <w:lang w:eastAsia="en-IN"/>
                <w14:ligatures w14:val="none"/>
              </w:rPr>
              <w:t>1. Andhra Pradesh</w:t>
            </w:r>
          </w:p>
        </w:tc>
        <w:tc>
          <w:tcPr>
            <w:tcW w:w="851" w:type="dxa"/>
            <w:tcBorders>
              <w:top w:val="nil"/>
              <w:left w:val="nil"/>
              <w:bottom w:val="single" w:sz="4" w:space="0" w:color="auto"/>
              <w:right w:val="single" w:sz="4" w:space="0" w:color="auto"/>
            </w:tcBorders>
            <w:noWrap/>
            <w:vAlign w:val="center"/>
            <w:hideMark/>
          </w:tcPr>
          <w:p w14:paraId="205643CB" w14:textId="77777777" w:rsidR="005A319E" w:rsidRPr="005A319E" w:rsidRDefault="005A319E" w:rsidP="005A319E">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5A319E">
              <w:rPr>
                <w:rFonts w:ascii="Times New Roman" w:eastAsia="Times New Roman" w:hAnsi="Times New Roman" w:cs="Times New Roman"/>
                <w:color w:val="000000"/>
                <w:kern w:val="0"/>
                <w:sz w:val="16"/>
                <w:szCs w:val="16"/>
                <w:lang w:eastAsia="en-IN"/>
                <w14:ligatures w14:val="none"/>
              </w:rPr>
              <w:t>12.00</w:t>
            </w:r>
          </w:p>
        </w:tc>
        <w:tc>
          <w:tcPr>
            <w:tcW w:w="992" w:type="dxa"/>
            <w:tcBorders>
              <w:top w:val="nil"/>
              <w:left w:val="nil"/>
              <w:bottom w:val="single" w:sz="4" w:space="0" w:color="auto"/>
              <w:right w:val="single" w:sz="4" w:space="0" w:color="auto"/>
            </w:tcBorders>
            <w:noWrap/>
            <w:vAlign w:val="center"/>
            <w:hideMark/>
          </w:tcPr>
          <w:p w14:paraId="287389A1" w14:textId="77777777" w:rsidR="005A319E" w:rsidRPr="005A319E" w:rsidRDefault="005A319E" w:rsidP="005A319E">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5A319E">
              <w:rPr>
                <w:rFonts w:ascii="Times New Roman" w:eastAsia="Times New Roman" w:hAnsi="Times New Roman" w:cs="Times New Roman"/>
                <w:color w:val="000000"/>
                <w:kern w:val="0"/>
                <w:sz w:val="16"/>
                <w:szCs w:val="16"/>
                <w:lang w:eastAsia="en-IN"/>
                <w14:ligatures w14:val="none"/>
              </w:rPr>
              <w:t>-</w:t>
            </w:r>
          </w:p>
        </w:tc>
        <w:tc>
          <w:tcPr>
            <w:tcW w:w="581" w:type="dxa"/>
            <w:tcBorders>
              <w:top w:val="nil"/>
              <w:left w:val="nil"/>
              <w:bottom w:val="single" w:sz="4" w:space="0" w:color="auto"/>
              <w:right w:val="single" w:sz="4" w:space="0" w:color="auto"/>
            </w:tcBorders>
            <w:noWrap/>
            <w:vAlign w:val="center"/>
            <w:hideMark/>
          </w:tcPr>
          <w:p w14:paraId="7373B8E1" w14:textId="77777777" w:rsidR="005A319E" w:rsidRPr="005A319E" w:rsidRDefault="005A319E" w:rsidP="005A319E">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5A319E">
              <w:rPr>
                <w:rFonts w:ascii="Times New Roman" w:eastAsia="Times New Roman" w:hAnsi="Times New Roman" w:cs="Times New Roman"/>
                <w:color w:val="000000"/>
                <w:kern w:val="0"/>
                <w:sz w:val="16"/>
                <w:szCs w:val="16"/>
                <w:lang w:eastAsia="en-IN"/>
                <w14:ligatures w14:val="none"/>
              </w:rPr>
              <w:t>12.00</w:t>
            </w:r>
          </w:p>
        </w:tc>
        <w:tc>
          <w:tcPr>
            <w:tcW w:w="992" w:type="dxa"/>
            <w:tcBorders>
              <w:top w:val="nil"/>
              <w:left w:val="nil"/>
              <w:bottom w:val="single" w:sz="4" w:space="0" w:color="auto"/>
              <w:right w:val="single" w:sz="4" w:space="0" w:color="auto"/>
            </w:tcBorders>
            <w:noWrap/>
            <w:vAlign w:val="center"/>
            <w:hideMark/>
          </w:tcPr>
          <w:p w14:paraId="3988964F" w14:textId="77777777" w:rsidR="005A319E" w:rsidRPr="005A319E" w:rsidRDefault="005A319E" w:rsidP="005A319E">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5A319E">
              <w:rPr>
                <w:rFonts w:ascii="Times New Roman" w:eastAsia="Times New Roman" w:hAnsi="Times New Roman" w:cs="Times New Roman"/>
                <w:color w:val="000000"/>
                <w:kern w:val="0"/>
                <w:sz w:val="16"/>
                <w:szCs w:val="16"/>
                <w:lang w:eastAsia="en-IN"/>
                <w14:ligatures w14:val="none"/>
              </w:rPr>
              <w:t>20.54</w:t>
            </w:r>
          </w:p>
        </w:tc>
        <w:tc>
          <w:tcPr>
            <w:tcW w:w="865" w:type="dxa"/>
            <w:tcBorders>
              <w:top w:val="nil"/>
              <w:left w:val="nil"/>
              <w:bottom w:val="single" w:sz="4" w:space="0" w:color="auto"/>
              <w:right w:val="single" w:sz="4" w:space="0" w:color="auto"/>
            </w:tcBorders>
            <w:noWrap/>
            <w:vAlign w:val="center"/>
            <w:hideMark/>
          </w:tcPr>
          <w:p w14:paraId="47FB373B" w14:textId="77777777" w:rsidR="005A319E" w:rsidRPr="005A319E" w:rsidRDefault="005A319E" w:rsidP="005A319E">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5A319E">
              <w:rPr>
                <w:rFonts w:ascii="Times New Roman" w:eastAsia="Times New Roman" w:hAnsi="Times New Roman" w:cs="Times New Roman"/>
                <w:color w:val="000000"/>
                <w:kern w:val="0"/>
                <w:sz w:val="16"/>
                <w:szCs w:val="16"/>
                <w:lang w:eastAsia="en-IN"/>
                <w14:ligatures w14:val="none"/>
              </w:rPr>
              <w:t>..</w:t>
            </w:r>
          </w:p>
        </w:tc>
        <w:tc>
          <w:tcPr>
            <w:tcW w:w="709" w:type="dxa"/>
            <w:tcBorders>
              <w:top w:val="nil"/>
              <w:left w:val="nil"/>
              <w:bottom w:val="single" w:sz="4" w:space="0" w:color="auto"/>
              <w:right w:val="single" w:sz="4" w:space="0" w:color="auto"/>
            </w:tcBorders>
            <w:noWrap/>
            <w:vAlign w:val="center"/>
            <w:hideMark/>
          </w:tcPr>
          <w:p w14:paraId="0B82A6CE" w14:textId="77777777" w:rsidR="005A319E" w:rsidRPr="005A319E" w:rsidRDefault="005A319E" w:rsidP="005A319E">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5A319E">
              <w:rPr>
                <w:rFonts w:ascii="Times New Roman" w:eastAsia="Times New Roman" w:hAnsi="Times New Roman" w:cs="Times New Roman"/>
                <w:color w:val="000000"/>
                <w:kern w:val="0"/>
                <w:sz w:val="16"/>
                <w:szCs w:val="16"/>
                <w:lang w:eastAsia="en-IN"/>
                <w14:ligatures w14:val="none"/>
              </w:rPr>
              <w:t>20.54</w:t>
            </w:r>
          </w:p>
        </w:tc>
        <w:tc>
          <w:tcPr>
            <w:tcW w:w="708" w:type="dxa"/>
            <w:tcBorders>
              <w:top w:val="nil"/>
              <w:left w:val="nil"/>
              <w:bottom w:val="single" w:sz="4" w:space="0" w:color="auto"/>
              <w:right w:val="single" w:sz="4" w:space="0" w:color="auto"/>
            </w:tcBorders>
            <w:noWrap/>
            <w:vAlign w:val="center"/>
            <w:hideMark/>
          </w:tcPr>
          <w:p w14:paraId="2E45F48B" w14:textId="77777777" w:rsidR="005A319E" w:rsidRPr="005A319E" w:rsidRDefault="005A319E" w:rsidP="005A319E">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5A319E">
              <w:rPr>
                <w:rFonts w:ascii="Times New Roman" w:eastAsia="Times New Roman" w:hAnsi="Times New Roman" w:cs="Times New Roman"/>
                <w:color w:val="000000"/>
                <w:kern w:val="0"/>
                <w:sz w:val="16"/>
                <w:szCs w:val="16"/>
                <w:lang w:eastAsia="en-IN"/>
                <w14:ligatures w14:val="none"/>
              </w:rPr>
              <w:t>18.27</w:t>
            </w:r>
          </w:p>
        </w:tc>
        <w:tc>
          <w:tcPr>
            <w:tcW w:w="865" w:type="dxa"/>
            <w:tcBorders>
              <w:top w:val="nil"/>
              <w:left w:val="nil"/>
              <w:bottom w:val="single" w:sz="4" w:space="0" w:color="auto"/>
              <w:right w:val="single" w:sz="4" w:space="0" w:color="auto"/>
            </w:tcBorders>
            <w:noWrap/>
            <w:vAlign w:val="center"/>
            <w:hideMark/>
          </w:tcPr>
          <w:p w14:paraId="4CC34BD1" w14:textId="77777777" w:rsidR="005A319E" w:rsidRPr="005A319E" w:rsidRDefault="005A319E" w:rsidP="005A319E">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5A319E">
              <w:rPr>
                <w:rFonts w:ascii="Times New Roman" w:eastAsia="Times New Roman" w:hAnsi="Times New Roman" w:cs="Times New Roman"/>
                <w:color w:val="000000"/>
                <w:kern w:val="0"/>
                <w:sz w:val="16"/>
                <w:szCs w:val="16"/>
                <w:lang w:eastAsia="en-IN"/>
                <w14:ligatures w14:val="none"/>
              </w:rPr>
              <w:t>..</w:t>
            </w:r>
          </w:p>
        </w:tc>
        <w:tc>
          <w:tcPr>
            <w:tcW w:w="581" w:type="dxa"/>
            <w:tcBorders>
              <w:top w:val="nil"/>
              <w:left w:val="nil"/>
              <w:bottom w:val="single" w:sz="4" w:space="0" w:color="auto"/>
              <w:right w:val="single" w:sz="4" w:space="0" w:color="auto"/>
            </w:tcBorders>
            <w:noWrap/>
            <w:vAlign w:val="center"/>
            <w:hideMark/>
          </w:tcPr>
          <w:p w14:paraId="7B406A29" w14:textId="77777777" w:rsidR="005A319E" w:rsidRPr="005A319E" w:rsidRDefault="005A319E" w:rsidP="005A319E">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5A319E">
              <w:rPr>
                <w:rFonts w:ascii="Times New Roman" w:eastAsia="Times New Roman" w:hAnsi="Times New Roman" w:cs="Times New Roman"/>
                <w:color w:val="000000"/>
                <w:kern w:val="0"/>
                <w:sz w:val="16"/>
                <w:szCs w:val="16"/>
                <w:lang w:eastAsia="en-IN"/>
                <w14:ligatures w14:val="none"/>
              </w:rPr>
              <w:t>18.27</w:t>
            </w:r>
          </w:p>
        </w:tc>
        <w:tc>
          <w:tcPr>
            <w:tcW w:w="1004" w:type="dxa"/>
            <w:tcBorders>
              <w:top w:val="nil"/>
              <w:left w:val="nil"/>
              <w:bottom w:val="single" w:sz="4" w:space="0" w:color="auto"/>
              <w:right w:val="single" w:sz="4" w:space="0" w:color="auto"/>
            </w:tcBorders>
            <w:noWrap/>
            <w:vAlign w:val="center"/>
            <w:hideMark/>
          </w:tcPr>
          <w:p w14:paraId="7135B3E8" w14:textId="77777777" w:rsidR="005A319E" w:rsidRPr="005A319E" w:rsidRDefault="005A319E" w:rsidP="005A319E">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5A319E">
              <w:rPr>
                <w:rFonts w:ascii="Times New Roman" w:eastAsia="Times New Roman" w:hAnsi="Times New Roman" w:cs="Times New Roman"/>
                <w:color w:val="000000"/>
                <w:kern w:val="0"/>
                <w:sz w:val="16"/>
                <w:szCs w:val="16"/>
                <w:lang w:eastAsia="en-IN"/>
                <w14:ligatures w14:val="none"/>
              </w:rPr>
              <w:t>15.08</w:t>
            </w:r>
          </w:p>
        </w:tc>
        <w:tc>
          <w:tcPr>
            <w:tcW w:w="865" w:type="dxa"/>
            <w:tcBorders>
              <w:top w:val="nil"/>
              <w:left w:val="nil"/>
              <w:bottom w:val="single" w:sz="4" w:space="0" w:color="auto"/>
              <w:right w:val="single" w:sz="4" w:space="0" w:color="auto"/>
            </w:tcBorders>
            <w:noWrap/>
            <w:vAlign w:val="center"/>
            <w:hideMark/>
          </w:tcPr>
          <w:p w14:paraId="3443C5CA" w14:textId="77777777" w:rsidR="005A319E" w:rsidRPr="005A319E" w:rsidRDefault="005A319E" w:rsidP="005A319E">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5A319E">
              <w:rPr>
                <w:rFonts w:ascii="Times New Roman" w:eastAsia="Times New Roman" w:hAnsi="Times New Roman" w:cs="Times New Roman"/>
                <w:color w:val="000000"/>
                <w:kern w:val="0"/>
                <w:sz w:val="16"/>
                <w:szCs w:val="16"/>
                <w:lang w:eastAsia="en-IN"/>
                <w14:ligatures w14:val="none"/>
              </w:rPr>
              <w:t>-</w:t>
            </w:r>
          </w:p>
        </w:tc>
        <w:tc>
          <w:tcPr>
            <w:tcW w:w="995" w:type="dxa"/>
            <w:tcBorders>
              <w:top w:val="nil"/>
              <w:left w:val="nil"/>
              <w:bottom w:val="single" w:sz="4" w:space="0" w:color="auto"/>
              <w:right w:val="single" w:sz="4" w:space="0" w:color="auto"/>
            </w:tcBorders>
            <w:noWrap/>
            <w:vAlign w:val="center"/>
            <w:hideMark/>
          </w:tcPr>
          <w:p w14:paraId="2707AFA0" w14:textId="77777777" w:rsidR="005A319E" w:rsidRPr="005A319E" w:rsidRDefault="005A319E" w:rsidP="005A319E">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5A319E">
              <w:rPr>
                <w:rFonts w:ascii="Times New Roman" w:eastAsia="Times New Roman" w:hAnsi="Times New Roman" w:cs="Times New Roman"/>
                <w:color w:val="000000"/>
                <w:kern w:val="0"/>
                <w:sz w:val="16"/>
                <w:szCs w:val="16"/>
                <w:lang w:eastAsia="en-IN"/>
                <w14:ligatures w14:val="none"/>
              </w:rPr>
              <w:t>15.08</w:t>
            </w:r>
          </w:p>
        </w:tc>
        <w:tc>
          <w:tcPr>
            <w:tcW w:w="916" w:type="dxa"/>
            <w:tcBorders>
              <w:top w:val="nil"/>
              <w:left w:val="nil"/>
              <w:bottom w:val="single" w:sz="4" w:space="0" w:color="auto"/>
              <w:right w:val="single" w:sz="4" w:space="0" w:color="auto"/>
            </w:tcBorders>
            <w:noWrap/>
            <w:vAlign w:val="center"/>
            <w:hideMark/>
          </w:tcPr>
          <w:p w14:paraId="6CE94D69" w14:textId="77777777" w:rsidR="005A319E" w:rsidRPr="005A319E" w:rsidRDefault="005A319E" w:rsidP="005A319E">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5A319E">
              <w:rPr>
                <w:rFonts w:ascii="Times New Roman" w:eastAsia="Times New Roman" w:hAnsi="Times New Roman" w:cs="Times New Roman"/>
                <w:color w:val="000000"/>
                <w:kern w:val="0"/>
                <w:sz w:val="16"/>
                <w:szCs w:val="16"/>
                <w:lang w:eastAsia="en-IN"/>
                <w14:ligatures w14:val="none"/>
              </w:rPr>
              <w:t>13.35</w:t>
            </w:r>
          </w:p>
        </w:tc>
        <w:tc>
          <w:tcPr>
            <w:tcW w:w="865" w:type="dxa"/>
            <w:tcBorders>
              <w:top w:val="nil"/>
              <w:left w:val="nil"/>
              <w:bottom w:val="single" w:sz="4" w:space="0" w:color="auto"/>
              <w:right w:val="single" w:sz="4" w:space="0" w:color="auto"/>
            </w:tcBorders>
            <w:noWrap/>
            <w:vAlign w:val="center"/>
            <w:hideMark/>
          </w:tcPr>
          <w:p w14:paraId="4D4BAF80" w14:textId="77777777" w:rsidR="005A319E" w:rsidRPr="005A319E" w:rsidRDefault="005A319E" w:rsidP="005A319E">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5A319E">
              <w:rPr>
                <w:rFonts w:ascii="Times New Roman" w:eastAsia="Times New Roman" w:hAnsi="Times New Roman" w:cs="Times New Roman"/>
                <w:color w:val="000000"/>
                <w:kern w:val="0"/>
                <w:sz w:val="16"/>
                <w:szCs w:val="16"/>
                <w:lang w:eastAsia="en-IN"/>
                <w14:ligatures w14:val="none"/>
              </w:rPr>
              <w:t>-</w:t>
            </w:r>
          </w:p>
        </w:tc>
        <w:tc>
          <w:tcPr>
            <w:tcW w:w="581" w:type="dxa"/>
            <w:tcBorders>
              <w:top w:val="nil"/>
              <w:left w:val="nil"/>
              <w:bottom w:val="single" w:sz="4" w:space="0" w:color="auto"/>
              <w:right w:val="single" w:sz="4" w:space="0" w:color="auto"/>
            </w:tcBorders>
            <w:noWrap/>
            <w:vAlign w:val="center"/>
            <w:hideMark/>
          </w:tcPr>
          <w:p w14:paraId="6B98B32A" w14:textId="77777777" w:rsidR="005A319E" w:rsidRPr="005A319E" w:rsidRDefault="005A319E" w:rsidP="005A319E">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5A319E">
              <w:rPr>
                <w:rFonts w:ascii="Times New Roman" w:eastAsia="Times New Roman" w:hAnsi="Times New Roman" w:cs="Times New Roman"/>
                <w:color w:val="000000"/>
                <w:kern w:val="0"/>
                <w:sz w:val="16"/>
                <w:szCs w:val="16"/>
                <w:lang w:eastAsia="en-IN"/>
                <w14:ligatures w14:val="none"/>
              </w:rPr>
              <w:t>13.35</w:t>
            </w:r>
          </w:p>
        </w:tc>
      </w:tr>
      <w:tr w:rsidR="005A319E" w:rsidRPr="005A319E" w14:paraId="2A145E11" w14:textId="77777777" w:rsidTr="00D67840">
        <w:trPr>
          <w:trHeight w:val="22"/>
          <w:jc w:val="center"/>
        </w:trPr>
        <w:tc>
          <w:tcPr>
            <w:tcW w:w="1842" w:type="dxa"/>
            <w:tcBorders>
              <w:top w:val="nil"/>
              <w:left w:val="single" w:sz="4" w:space="0" w:color="auto"/>
              <w:bottom w:val="single" w:sz="4" w:space="0" w:color="auto"/>
              <w:right w:val="single" w:sz="4" w:space="0" w:color="auto"/>
            </w:tcBorders>
            <w:noWrap/>
            <w:vAlign w:val="center"/>
            <w:hideMark/>
          </w:tcPr>
          <w:p w14:paraId="0FB6486B" w14:textId="77777777" w:rsidR="005A319E" w:rsidRPr="005A319E" w:rsidRDefault="005A319E" w:rsidP="005A319E">
            <w:pPr>
              <w:spacing w:after="0" w:line="240" w:lineRule="auto"/>
              <w:rPr>
                <w:rFonts w:ascii="Times New Roman" w:eastAsia="Times New Roman" w:hAnsi="Times New Roman" w:cs="Times New Roman"/>
                <w:color w:val="000000"/>
                <w:kern w:val="0"/>
                <w:sz w:val="16"/>
                <w:szCs w:val="16"/>
                <w:lang w:eastAsia="en-IN"/>
                <w14:ligatures w14:val="none"/>
              </w:rPr>
            </w:pPr>
            <w:r w:rsidRPr="005A319E">
              <w:rPr>
                <w:rFonts w:ascii="Times New Roman" w:eastAsia="Times New Roman" w:hAnsi="Times New Roman" w:cs="Times New Roman"/>
                <w:color w:val="000000"/>
                <w:kern w:val="0"/>
                <w:sz w:val="16"/>
                <w:szCs w:val="16"/>
                <w:lang w:eastAsia="en-IN"/>
                <w14:ligatures w14:val="none"/>
              </w:rPr>
              <w:t>2. Assam</w:t>
            </w:r>
          </w:p>
        </w:tc>
        <w:tc>
          <w:tcPr>
            <w:tcW w:w="851" w:type="dxa"/>
            <w:tcBorders>
              <w:top w:val="nil"/>
              <w:left w:val="nil"/>
              <w:bottom w:val="single" w:sz="4" w:space="0" w:color="auto"/>
              <w:right w:val="single" w:sz="4" w:space="0" w:color="auto"/>
            </w:tcBorders>
            <w:noWrap/>
            <w:vAlign w:val="center"/>
            <w:hideMark/>
          </w:tcPr>
          <w:p w14:paraId="5F04DCC7" w14:textId="77777777" w:rsidR="005A319E" w:rsidRPr="005A319E" w:rsidRDefault="005A319E" w:rsidP="005A319E">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5A319E">
              <w:rPr>
                <w:rFonts w:ascii="Times New Roman" w:eastAsia="Times New Roman" w:hAnsi="Times New Roman" w:cs="Times New Roman"/>
                <w:color w:val="000000"/>
                <w:kern w:val="0"/>
                <w:sz w:val="16"/>
                <w:szCs w:val="16"/>
                <w:lang w:eastAsia="en-IN"/>
                <w14:ligatures w14:val="none"/>
              </w:rPr>
              <w:t>14.00</w:t>
            </w:r>
          </w:p>
        </w:tc>
        <w:tc>
          <w:tcPr>
            <w:tcW w:w="992" w:type="dxa"/>
            <w:tcBorders>
              <w:top w:val="nil"/>
              <w:left w:val="nil"/>
              <w:bottom w:val="single" w:sz="4" w:space="0" w:color="auto"/>
              <w:right w:val="single" w:sz="4" w:space="0" w:color="auto"/>
            </w:tcBorders>
            <w:noWrap/>
            <w:vAlign w:val="center"/>
            <w:hideMark/>
          </w:tcPr>
          <w:p w14:paraId="5896A911" w14:textId="77777777" w:rsidR="005A319E" w:rsidRPr="005A319E" w:rsidRDefault="005A319E" w:rsidP="005A319E">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5A319E">
              <w:rPr>
                <w:rFonts w:ascii="Times New Roman" w:eastAsia="Times New Roman" w:hAnsi="Times New Roman" w:cs="Times New Roman"/>
                <w:color w:val="000000"/>
                <w:kern w:val="0"/>
                <w:sz w:val="16"/>
                <w:szCs w:val="16"/>
                <w:lang w:eastAsia="en-IN"/>
                <w14:ligatures w14:val="none"/>
              </w:rPr>
              <w:t>2.00</w:t>
            </w:r>
          </w:p>
        </w:tc>
        <w:tc>
          <w:tcPr>
            <w:tcW w:w="581" w:type="dxa"/>
            <w:tcBorders>
              <w:top w:val="nil"/>
              <w:left w:val="nil"/>
              <w:bottom w:val="single" w:sz="4" w:space="0" w:color="auto"/>
              <w:right w:val="single" w:sz="4" w:space="0" w:color="auto"/>
            </w:tcBorders>
            <w:noWrap/>
            <w:vAlign w:val="center"/>
            <w:hideMark/>
          </w:tcPr>
          <w:p w14:paraId="26E0C4CC" w14:textId="77777777" w:rsidR="005A319E" w:rsidRPr="005A319E" w:rsidRDefault="005A319E" w:rsidP="005A319E">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5A319E">
              <w:rPr>
                <w:rFonts w:ascii="Times New Roman" w:eastAsia="Times New Roman" w:hAnsi="Times New Roman" w:cs="Times New Roman"/>
                <w:color w:val="000000"/>
                <w:kern w:val="0"/>
                <w:sz w:val="16"/>
                <w:szCs w:val="16"/>
                <w:lang w:eastAsia="en-IN"/>
                <w14:ligatures w14:val="none"/>
              </w:rPr>
              <w:t>16.00</w:t>
            </w:r>
          </w:p>
        </w:tc>
        <w:tc>
          <w:tcPr>
            <w:tcW w:w="992" w:type="dxa"/>
            <w:tcBorders>
              <w:top w:val="nil"/>
              <w:left w:val="nil"/>
              <w:bottom w:val="single" w:sz="4" w:space="0" w:color="auto"/>
              <w:right w:val="single" w:sz="4" w:space="0" w:color="auto"/>
            </w:tcBorders>
            <w:noWrap/>
            <w:vAlign w:val="center"/>
            <w:hideMark/>
          </w:tcPr>
          <w:p w14:paraId="17EA94DD" w14:textId="77777777" w:rsidR="005A319E" w:rsidRPr="005A319E" w:rsidRDefault="005A319E" w:rsidP="005A319E">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5A319E">
              <w:rPr>
                <w:rFonts w:ascii="Times New Roman" w:eastAsia="Times New Roman" w:hAnsi="Times New Roman" w:cs="Times New Roman"/>
                <w:color w:val="000000"/>
                <w:kern w:val="0"/>
                <w:sz w:val="16"/>
                <w:szCs w:val="16"/>
                <w:lang w:eastAsia="en-IN"/>
                <w14:ligatures w14:val="none"/>
              </w:rPr>
              <w:t>16.00</w:t>
            </w:r>
          </w:p>
        </w:tc>
        <w:tc>
          <w:tcPr>
            <w:tcW w:w="865" w:type="dxa"/>
            <w:tcBorders>
              <w:top w:val="nil"/>
              <w:left w:val="nil"/>
              <w:bottom w:val="single" w:sz="4" w:space="0" w:color="auto"/>
              <w:right w:val="single" w:sz="4" w:space="0" w:color="auto"/>
            </w:tcBorders>
            <w:noWrap/>
            <w:vAlign w:val="center"/>
            <w:hideMark/>
          </w:tcPr>
          <w:p w14:paraId="1D5D9218" w14:textId="77777777" w:rsidR="005A319E" w:rsidRPr="005A319E" w:rsidRDefault="005A319E" w:rsidP="005A319E">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5A319E">
              <w:rPr>
                <w:rFonts w:ascii="Times New Roman" w:eastAsia="Times New Roman" w:hAnsi="Times New Roman" w:cs="Times New Roman"/>
                <w:color w:val="000000"/>
                <w:kern w:val="0"/>
                <w:sz w:val="16"/>
                <w:szCs w:val="16"/>
                <w:lang w:eastAsia="en-IN"/>
                <w14:ligatures w14:val="none"/>
              </w:rPr>
              <w:t>1.00</w:t>
            </w:r>
          </w:p>
        </w:tc>
        <w:tc>
          <w:tcPr>
            <w:tcW w:w="709" w:type="dxa"/>
            <w:tcBorders>
              <w:top w:val="nil"/>
              <w:left w:val="nil"/>
              <w:bottom w:val="single" w:sz="4" w:space="0" w:color="auto"/>
              <w:right w:val="single" w:sz="4" w:space="0" w:color="auto"/>
            </w:tcBorders>
            <w:noWrap/>
            <w:vAlign w:val="center"/>
            <w:hideMark/>
          </w:tcPr>
          <w:p w14:paraId="29BA51DA" w14:textId="77777777" w:rsidR="005A319E" w:rsidRPr="005A319E" w:rsidRDefault="005A319E" w:rsidP="005A319E">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5A319E">
              <w:rPr>
                <w:rFonts w:ascii="Times New Roman" w:eastAsia="Times New Roman" w:hAnsi="Times New Roman" w:cs="Times New Roman"/>
                <w:color w:val="000000"/>
                <w:kern w:val="0"/>
                <w:sz w:val="16"/>
                <w:szCs w:val="16"/>
                <w:lang w:eastAsia="en-IN"/>
                <w14:ligatures w14:val="none"/>
              </w:rPr>
              <w:t>17.00</w:t>
            </w:r>
          </w:p>
        </w:tc>
        <w:tc>
          <w:tcPr>
            <w:tcW w:w="708" w:type="dxa"/>
            <w:tcBorders>
              <w:top w:val="nil"/>
              <w:left w:val="nil"/>
              <w:bottom w:val="single" w:sz="4" w:space="0" w:color="auto"/>
              <w:right w:val="single" w:sz="4" w:space="0" w:color="auto"/>
            </w:tcBorders>
            <w:noWrap/>
            <w:vAlign w:val="center"/>
            <w:hideMark/>
          </w:tcPr>
          <w:p w14:paraId="6BE2D556" w14:textId="77777777" w:rsidR="005A319E" w:rsidRPr="005A319E" w:rsidRDefault="005A319E" w:rsidP="005A319E">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5A319E">
              <w:rPr>
                <w:rFonts w:ascii="Times New Roman" w:eastAsia="Times New Roman" w:hAnsi="Times New Roman" w:cs="Times New Roman"/>
                <w:color w:val="000000"/>
                <w:kern w:val="0"/>
                <w:sz w:val="16"/>
                <w:szCs w:val="16"/>
                <w:lang w:eastAsia="en-IN"/>
                <w14:ligatures w14:val="none"/>
              </w:rPr>
              <w:t>14.37</w:t>
            </w:r>
          </w:p>
        </w:tc>
        <w:tc>
          <w:tcPr>
            <w:tcW w:w="865" w:type="dxa"/>
            <w:tcBorders>
              <w:top w:val="nil"/>
              <w:left w:val="nil"/>
              <w:bottom w:val="single" w:sz="4" w:space="0" w:color="auto"/>
              <w:right w:val="single" w:sz="4" w:space="0" w:color="auto"/>
            </w:tcBorders>
            <w:noWrap/>
            <w:vAlign w:val="center"/>
            <w:hideMark/>
          </w:tcPr>
          <w:p w14:paraId="781F2678" w14:textId="77777777" w:rsidR="005A319E" w:rsidRPr="005A319E" w:rsidRDefault="005A319E" w:rsidP="005A319E">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5A319E">
              <w:rPr>
                <w:rFonts w:ascii="Times New Roman" w:eastAsia="Times New Roman" w:hAnsi="Times New Roman" w:cs="Times New Roman"/>
                <w:color w:val="000000"/>
                <w:kern w:val="0"/>
                <w:sz w:val="16"/>
                <w:szCs w:val="16"/>
                <w:lang w:eastAsia="en-IN"/>
                <w14:ligatures w14:val="none"/>
              </w:rPr>
              <w:t>1.00</w:t>
            </w:r>
          </w:p>
        </w:tc>
        <w:tc>
          <w:tcPr>
            <w:tcW w:w="581" w:type="dxa"/>
            <w:tcBorders>
              <w:top w:val="nil"/>
              <w:left w:val="nil"/>
              <w:bottom w:val="single" w:sz="4" w:space="0" w:color="auto"/>
              <w:right w:val="single" w:sz="4" w:space="0" w:color="auto"/>
            </w:tcBorders>
            <w:noWrap/>
            <w:vAlign w:val="center"/>
            <w:hideMark/>
          </w:tcPr>
          <w:p w14:paraId="5E13CEE4" w14:textId="77777777" w:rsidR="005A319E" w:rsidRPr="005A319E" w:rsidRDefault="005A319E" w:rsidP="005A319E">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5A319E">
              <w:rPr>
                <w:rFonts w:ascii="Times New Roman" w:eastAsia="Times New Roman" w:hAnsi="Times New Roman" w:cs="Times New Roman"/>
                <w:color w:val="000000"/>
                <w:kern w:val="0"/>
                <w:sz w:val="16"/>
                <w:szCs w:val="16"/>
                <w:lang w:eastAsia="en-IN"/>
                <w14:ligatures w14:val="none"/>
              </w:rPr>
              <w:t>15.37</w:t>
            </w:r>
          </w:p>
        </w:tc>
        <w:tc>
          <w:tcPr>
            <w:tcW w:w="1004" w:type="dxa"/>
            <w:tcBorders>
              <w:top w:val="nil"/>
              <w:left w:val="nil"/>
              <w:bottom w:val="single" w:sz="4" w:space="0" w:color="auto"/>
              <w:right w:val="single" w:sz="4" w:space="0" w:color="auto"/>
            </w:tcBorders>
            <w:noWrap/>
            <w:vAlign w:val="center"/>
            <w:hideMark/>
          </w:tcPr>
          <w:p w14:paraId="38F4E010" w14:textId="77777777" w:rsidR="005A319E" w:rsidRPr="005A319E" w:rsidRDefault="005A319E" w:rsidP="005A319E">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5A319E">
              <w:rPr>
                <w:rFonts w:ascii="Times New Roman" w:eastAsia="Times New Roman" w:hAnsi="Times New Roman" w:cs="Times New Roman"/>
                <w:color w:val="000000"/>
                <w:kern w:val="0"/>
                <w:sz w:val="16"/>
                <w:szCs w:val="16"/>
                <w:lang w:eastAsia="en-IN"/>
                <w14:ligatures w14:val="none"/>
              </w:rPr>
              <w:t>11.21</w:t>
            </w:r>
          </w:p>
        </w:tc>
        <w:tc>
          <w:tcPr>
            <w:tcW w:w="865" w:type="dxa"/>
            <w:tcBorders>
              <w:top w:val="nil"/>
              <w:left w:val="nil"/>
              <w:bottom w:val="single" w:sz="4" w:space="0" w:color="auto"/>
              <w:right w:val="single" w:sz="4" w:space="0" w:color="auto"/>
            </w:tcBorders>
            <w:noWrap/>
            <w:vAlign w:val="center"/>
            <w:hideMark/>
          </w:tcPr>
          <w:p w14:paraId="25449A7C" w14:textId="77777777" w:rsidR="005A319E" w:rsidRPr="005A319E" w:rsidRDefault="005A319E" w:rsidP="005A319E">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5A319E">
              <w:rPr>
                <w:rFonts w:ascii="Times New Roman" w:eastAsia="Times New Roman" w:hAnsi="Times New Roman" w:cs="Times New Roman"/>
                <w:color w:val="000000"/>
                <w:kern w:val="0"/>
                <w:sz w:val="16"/>
                <w:szCs w:val="16"/>
                <w:lang w:eastAsia="en-IN"/>
                <w14:ligatures w14:val="none"/>
              </w:rPr>
              <w:t>0.38</w:t>
            </w:r>
          </w:p>
        </w:tc>
        <w:tc>
          <w:tcPr>
            <w:tcW w:w="995" w:type="dxa"/>
            <w:tcBorders>
              <w:top w:val="nil"/>
              <w:left w:val="nil"/>
              <w:bottom w:val="single" w:sz="4" w:space="0" w:color="auto"/>
              <w:right w:val="single" w:sz="4" w:space="0" w:color="auto"/>
            </w:tcBorders>
            <w:noWrap/>
            <w:vAlign w:val="center"/>
            <w:hideMark/>
          </w:tcPr>
          <w:p w14:paraId="53E74443" w14:textId="77777777" w:rsidR="005A319E" w:rsidRPr="005A319E" w:rsidRDefault="005A319E" w:rsidP="005A319E">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5A319E">
              <w:rPr>
                <w:rFonts w:ascii="Times New Roman" w:eastAsia="Times New Roman" w:hAnsi="Times New Roman" w:cs="Times New Roman"/>
                <w:color w:val="000000"/>
                <w:kern w:val="0"/>
                <w:sz w:val="16"/>
                <w:szCs w:val="16"/>
                <w:lang w:eastAsia="en-IN"/>
                <w14:ligatures w14:val="none"/>
              </w:rPr>
              <w:t>11.59</w:t>
            </w:r>
          </w:p>
        </w:tc>
        <w:tc>
          <w:tcPr>
            <w:tcW w:w="916" w:type="dxa"/>
            <w:tcBorders>
              <w:top w:val="nil"/>
              <w:left w:val="nil"/>
              <w:bottom w:val="single" w:sz="4" w:space="0" w:color="auto"/>
              <w:right w:val="single" w:sz="4" w:space="0" w:color="auto"/>
            </w:tcBorders>
            <w:noWrap/>
            <w:vAlign w:val="center"/>
            <w:hideMark/>
          </w:tcPr>
          <w:p w14:paraId="6A32A789" w14:textId="77777777" w:rsidR="005A319E" w:rsidRPr="005A319E" w:rsidRDefault="005A319E" w:rsidP="005A319E">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5A319E">
              <w:rPr>
                <w:rFonts w:ascii="Times New Roman" w:eastAsia="Times New Roman" w:hAnsi="Times New Roman" w:cs="Times New Roman"/>
                <w:color w:val="000000"/>
                <w:kern w:val="0"/>
                <w:sz w:val="16"/>
                <w:szCs w:val="16"/>
                <w:lang w:eastAsia="en-IN"/>
                <w14:ligatures w14:val="none"/>
              </w:rPr>
              <w:t>8.90</w:t>
            </w:r>
          </w:p>
        </w:tc>
        <w:tc>
          <w:tcPr>
            <w:tcW w:w="865" w:type="dxa"/>
            <w:tcBorders>
              <w:top w:val="nil"/>
              <w:left w:val="nil"/>
              <w:bottom w:val="single" w:sz="4" w:space="0" w:color="auto"/>
              <w:right w:val="single" w:sz="4" w:space="0" w:color="auto"/>
            </w:tcBorders>
            <w:noWrap/>
            <w:vAlign w:val="center"/>
            <w:hideMark/>
          </w:tcPr>
          <w:p w14:paraId="345233DF" w14:textId="77777777" w:rsidR="005A319E" w:rsidRPr="005A319E" w:rsidRDefault="005A319E" w:rsidP="005A319E">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5A319E">
              <w:rPr>
                <w:rFonts w:ascii="Times New Roman" w:eastAsia="Times New Roman" w:hAnsi="Times New Roman" w:cs="Times New Roman"/>
                <w:color w:val="000000"/>
                <w:kern w:val="0"/>
                <w:sz w:val="16"/>
                <w:szCs w:val="16"/>
                <w:lang w:eastAsia="en-IN"/>
                <w14:ligatures w14:val="none"/>
              </w:rPr>
              <w:t>0.08</w:t>
            </w:r>
          </w:p>
        </w:tc>
        <w:tc>
          <w:tcPr>
            <w:tcW w:w="581" w:type="dxa"/>
            <w:tcBorders>
              <w:top w:val="nil"/>
              <w:left w:val="nil"/>
              <w:bottom w:val="single" w:sz="4" w:space="0" w:color="auto"/>
              <w:right w:val="single" w:sz="4" w:space="0" w:color="auto"/>
            </w:tcBorders>
            <w:noWrap/>
            <w:vAlign w:val="center"/>
            <w:hideMark/>
          </w:tcPr>
          <w:p w14:paraId="509CCA94" w14:textId="77777777" w:rsidR="005A319E" w:rsidRPr="005A319E" w:rsidRDefault="005A319E" w:rsidP="005A319E">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5A319E">
              <w:rPr>
                <w:rFonts w:ascii="Times New Roman" w:eastAsia="Times New Roman" w:hAnsi="Times New Roman" w:cs="Times New Roman"/>
                <w:color w:val="000000"/>
                <w:kern w:val="0"/>
                <w:sz w:val="16"/>
                <w:szCs w:val="16"/>
                <w:lang w:eastAsia="en-IN"/>
                <w14:ligatures w14:val="none"/>
              </w:rPr>
              <w:t>8.98</w:t>
            </w:r>
          </w:p>
        </w:tc>
      </w:tr>
      <w:tr w:rsidR="005A319E" w:rsidRPr="005A319E" w14:paraId="1994BDFC" w14:textId="77777777" w:rsidTr="00D67840">
        <w:trPr>
          <w:trHeight w:val="22"/>
          <w:jc w:val="center"/>
        </w:trPr>
        <w:tc>
          <w:tcPr>
            <w:tcW w:w="1842" w:type="dxa"/>
            <w:tcBorders>
              <w:top w:val="nil"/>
              <w:left w:val="single" w:sz="4" w:space="0" w:color="auto"/>
              <w:bottom w:val="single" w:sz="4" w:space="0" w:color="auto"/>
              <w:right w:val="single" w:sz="4" w:space="0" w:color="auto"/>
            </w:tcBorders>
            <w:noWrap/>
            <w:vAlign w:val="center"/>
            <w:hideMark/>
          </w:tcPr>
          <w:p w14:paraId="6A6984E5" w14:textId="77777777" w:rsidR="005A319E" w:rsidRPr="005A319E" w:rsidRDefault="005A319E" w:rsidP="005A319E">
            <w:pPr>
              <w:spacing w:after="0" w:line="240" w:lineRule="auto"/>
              <w:rPr>
                <w:rFonts w:ascii="Times New Roman" w:eastAsia="Times New Roman" w:hAnsi="Times New Roman" w:cs="Times New Roman"/>
                <w:color w:val="000000"/>
                <w:kern w:val="0"/>
                <w:sz w:val="16"/>
                <w:szCs w:val="16"/>
                <w:lang w:eastAsia="en-IN"/>
                <w14:ligatures w14:val="none"/>
              </w:rPr>
            </w:pPr>
            <w:r w:rsidRPr="005A319E">
              <w:rPr>
                <w:rFonts w:ascii="Times New Roman" w:eastAsia="Times New Roman" w:hAnsi="Times New Roman" w:cs="Times New Roman"/>
                <w:color w:val="000000"/>
                <w:kern w:val="0"/>
                <w:sz w:val="16"/>
                <w:szCs w:val="16"/>
                <w:lang w:eastAsia="en-IN"/>
                <w14:ligatures w14:val="none"/>
              </w:rPr>
              <w:t>3. Bihar</w:t>
            </w:r>
          </w:p>
        </w:tc>
        <w:tc>
          <w:tcPr>
            <w:tcW w:w="851" w:type="dxa"/>
            <w:tcBorders>
              <w:top w:val="nil"/>
              <w:left w:val="nil"/>
              <w:bottom w:val="single" w:sz="4" w:space="0" w:color="auto"/>
              <w:right w:val="single" w:sz="4" w:space="0" w:color="auto"/>
            </w:tcBorders>
            <w:noWrap/>
            <w:vAlign w:val="center"/>
            <w:hideMark/>
          </w:tcPr>
          <w:p w14:paraId="6D1C3369" w14:textId="77777777" w:rsidR="005A319E" w:rsidRPr="005A319E" w:rsidRDefault="005A319E" w:rsidP="005A319E">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5A319E">
              <w:rPr>
                <w:rFonts w:ascii="Times New Roman" w:eastAsia="Times New Roman" w:hAnsi="Times New Roman" w:cs="Times New Roman"/>
                <w:color w:val="000000"/>
                <w:kern w:val="0"/>
                <w:sz w:val="16"/>
                <w:szCs w:val="16"/>
                <w:lang w:eastAsia="en-IN"/>
                <w14:ligatures w14:val="none"/>
              </w:rPr>
              <w:t>15.00</w:t>
            </w:r>
          </w:p>
        </w:tc>
        <w:tc>
          <w:tcPr>
            <w:tcW w:w="992" w:type="dxa"/>
            <w:tcBorders>
              <w:top w:val="nil"/>
              <w:left w:val="nil"/>
              <w:bottom w:val="single" w:sz="4" w:space="0" w:color="auto"/>
              <w:right w:val="single" w:sz="4" w:space="0" w:color="auto"/>
            </w:tcBorders>
            <w:noWrap/>
            <w:vAlign w:val="center"/>
            <w:hideMark/>
          </w:tcPr>
          <w:p w14:paraId="6DED2466" w14:textId="77777777" w:rsidR="005A319E" w:rsidRPr="005A319E" w:rsidRDefault="005A319E" w:rsidP="005A319E">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5A319E">
              <w:rPr>
                <w:rFonts w:ascii="Times New Roman" w:eastAsia="Times New Roman" w:hAnsi="Times New Roman" w:cs="Times New Roman"/>
                <w:color w:val="000000"/>
                <w:kern w:val="0"/>
                <w:sz w:val="16"/>
                <w:szCs w:val="16"/>
                <w:lang w:eastAsia="en-IN"/>
                <w14:ligatures w14:val="none"/>
              </w:rPr>
              <w:t>1.10</w:t>
            </w:r>
          </w:p>
        </w:tc>
        <w:tc>
          <w:tcPr>
            <w:tcW w:w="581" w:type="dxa"/>
            <w:tcBorders>
              <w:top w:val="nil"/>
              <w:left w:val="nil"/>
              <w:bottom w:val="single" w:sz="4" w:space="0" w:color="auto"/>
              <w:right w:val="single" w:sz="4" w:space="0" w:color="auto"/>
            </w:tcBorders>
            <w:noWrap/>
            <w:vAlign w:val="center"/>
            <w:hideMark/>
          </w:tcPr>
          <w:p w14:paraId="3D9A5491" w14:textId="77777777" w:rsidR="005A319E" w:rsidRPr="005A319E" w:rsidRDefault="005A319E" w:rsidP="005A319E">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5A319E">
              <w:rPr>
                <w:rFonts w:ascii="Times New Roman" w:eastAsia="Times New Roman" w:hAnsi="Times New Roman" w:cs="Times New Roman"/>
                <w:color w:val="000000"/>
                <w:kern w:val="0"/>
                <w:sz w:val="16"/>
                <w:szCs w:val="16"/>
                <w:lang w:eastAsia="en-IN"/>
                <w14:ligatures w14:val="none"/>
              </w:rPr>
              <w:t>16.00</w:t>
            </w:r>
          </w:p>
        </w:tc>
        <w:tc>
          <w:tcPr>
            <w:tcW w:w="992" w:type="dxa"/>
            <w:tcBorders>
              <w:top w:val="nil"/>
              <w:left w:val="nil"/>
              <w:bottom w:val="single" w:sz="4" w:space="0" w:color="auto"/>
              <w:right w:val="single" w:sz="4" w:space="0" w:color="auto"/>
            </w:tcBorders>
            <w:noWrap/>
            <w:vAlign w:val="center"/>
            <w:hideMark/>
          </w:tcPr>
          <w:p w14:paraId="64AB0DB9" w14:textId="77777777" w:rsidR="005A319E" w:rsidRPr="005A319E" w:rsidRDefault="005A319E" w:rsidP="005A319E">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5A319E">
              <w:rPr>
                <w:rFonts w:ascii="Times New Roman" w:eastAsia="Times New Roman" w:hAnsi="Times New Roman" w:cs="Times New Roman"/>
                <w:color w:val="000000"/>
                <w:kern w:val="0"/>
                <w:sz w:val="16"/>
                <w:szCs w:val="16"/>
                <w:lang w:eastAsia="en-IN"/>
                <w14:ligatures w14:val="none"/>
              </w:rPr>
              <w:t>18.00</w:t>
            </w:r>
          </w:p>
        </w:tc>
        <w:tc>
          <w:tcPr>
            <w:tcW w:w="865" w:type="dxa"/>
            <w:tcBorders>
              <w:top w:val="nil"/>
              <w:left w:val="nil"/>
              <w:bottom w:val="single" w:sz="4" w:space="0" w:color="auto"/>
              <w:right w:val="single" w:sz="4" w:space="0" w:color="auto"/>
            </w:tcBorders>
            <w:noWrap/>
            <w:vAlign w:val="center"/>
            <w:hideMark/>
          </w:tcPr>
          <w:p w14:paraId="113A6440" w14:textId="77777777" w:rsidR="005A319E" w:rsidRPr="005A319E" w:rsidRDefault="005A319E" w:rsidP="005A319E">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5A319E">
              <w:rPr>
                <w:rFonts w:ascii="Times New Roman" w:eastAsia="Times New Roman" w:hAnsi="Times New Roman" w:cs="Times New Roman"/>
                <w:color w:val="000000"/>
                <w:kern w:val="0"/>
                <w:sz w:val="16"/>
                <w:szCs w:val="16"/>
                <w:lang w:eastAsia="en-IN"/>
                <w14:ligatures w14:val="none"/>
              </w:rPr>
              <w:t>1.00</w:t>
            </w:r>
          </w:p>
        </w:tc>
        <w:tc>
          <w:tcPr>
            <w:tcW w:w="709" w:type="dxa"/>
            <w:tcBorders>
              <w:top w:val="nil"/>
              <w:left w:val="nil"/>
              <w:bottom w:val="single" w:sz="4" w:space="0" w:color="auto"/>
              <w:right w:val="single" w:sz="4" w:space="0" w:color="auto"/>
            </w:tcBorders>
            <w:noWrap/>
            <w:vAlign w:val="center"/>
            <w:hideMark/>
          </w:tcPr>
          <w:p w14:paraId="0824B043" w14:textId="77777777" w:rsidR="005A319E" w:rsidRPr="005A319E" w:rsidRDefault="005A319E" w:rsidP="005A319E">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5A319E">
              <w:rPr>
                <w:rFonts w:ascii="Times New Roman" w:eastAsia="Times New Roman" w:hAnsi="Times New Roman" w:cs="Times New Roman"/>
                <w:color w:val="000000"/>
                <w:kern w:val="0"/>
                <w:sz w:val="16"/>
                <w:szCs w:val="16"/>
                <w:lang w:eastAsia="en-IN"/>
                <w14:ligatures w14:val="none"/>
              </w:rPr>
              <w:t>19.00</w:t>
            </w:r>
          </w:p>
        </w:tc>
        <w:tc>
          <w:tcPr>
            <w:tcW w:w="708" w:type="dxa"/>
            <w:tcBorders>
              <w:top w:val="nil"/>
              <w:left w:val="nil"/>
              <w:bottom w:val="single" w:sz="4" w:space="0" w:color="auto"/>
              <w:right w:val="single" w:sz="4" w:space="0" w:color="auto"/>
            </w:tcBorders>
            <w:noWrap/>
            <w:vAlign w:val="center"/>
            <w:hideMark/>
          </w:tcPr>
          <w:p w14:paraId="028AB8FC" w14:textId="77777777" w:rsidR="005A319E" w:rsidRPr="005A319E" w:rsidRDefault="005A319E" w:rsidP="005A319E">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5A319E">
              <w:rPr>
                <w:rFonts w:ascii="Times New Roman" w:eastAsia="Times New Roman" w:hAnsi="Times New Roman" w:cs="Times New Roman"/>
                <w:color w:val="000000"/>
                <w:kern w:val="0"/>
                <w:sz w:val="16"/>
                <w:szCs w:val="16"/>
                <w:lang w:eastAsia="en-IN"/>
                <w14:ligatures w14:val="none"/>
              </w:rPr>
              <w:t>17.66</w:t>
            </w:r>
          </w:p>
        </w:tc>
        <w:tc>
          <w:tcPr>
            <w:tcW w:w="865" w:type="dxa"/>
            <w:tcBorders>
              <w:top w:val="nil"/>
              <w:left w:val="nil"/>
              <w:bottom w:val="single" w:sz="4" w:space="0" w:color="auto"/>
              <w:right w:val="single" w:sz="4" w:space="0" w:color="auto"/>
            </w:tcBorders>
            <w:noWrap/>
            <w:vAlign w:val="center"/>
            <w:hideMark/>
          </w:tcPr>
          <w:p w14:paraId="1EE74955" w14:textId="77777777" w:rsidR="005A319E" w:rsidRPr="005A319E" w:rsidRDefault="005A319E" w:rsidP="005A319E">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5A319E">
              <w:rPr>
                <w:rFonts w:ascii="Times New Roman" w:eastAsia="Times New Roman" w:hAnsi="Times New Roman" w:cs="Times New Roman"/>
                <w:color w:val="000000"/>
                <w:kern w:val="0"/>
                <w:sz w:val="16"/>
                <w:szCs w:val="16"/>
                <w:lang w:eastAsia="en-IN"/>
                <w14:ligatures w14:val="none"/>
              </w:rPr>
              <w:t>1.00</w:t>
            </w:r>
          </w:p>
        </w:tc>
        <w:tc>
          <w:tcPr>
            <w:tcW w:w="581" w:type="dxa"/>
            <w:tcBorders>
              <w:top w:val="nil"/>
              <w:left w:val="nil"/>
              <w:bottom w:val="single" w:sz="4" w:space="0" w:color="auto"/>
              <w:right w:val="single" w:sz="4" w:space="0" w:color="auto"/>
            </w:tcBorders>
            <w:noWrap/>
            <w:vAlign w:val="center"/>
            <w:hideMark/>
          </w:tcPr>
          <w:p w14:paraId="29F4F4AF" w14:textId="77777777" w:rsidR="005A319E" w:rsidRPr="005A319E" w:rsidRDefault="005A319E" w:rsidP="005A319E">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5A319E">
              <w:rPr>
                <w:rFonts w:ascii="Times New Roman" w:eastAsia="Times New Roman" w:hAnsi="Times New Roman" w:cs="Times New Roman"/>
                <w:color w:val="000000"/>
                <w:kern w:val="0"/>
                <w:sz w:val="16"/>
                <w:szCs w:val="16"/>
                <w:lang w:eastAsia="en-IN"/>
                <w14:ligatures w14:val="none"/>
              </w:rPr>
              <w:t>18.66</w:t>
            </w:r>
          </w:p>
        </w:tc>
        <w:tc>
          <w:tcPr>
            <w:tcW w:w="1004" w:type="dxa"/>
            <w:tcBorders>
              <w:top w:val="nil"/>
              <w:left w:val="nil"/>
              <w:bottom w:val="single" w:sz="4" w:space="0" w:color="auto"/>
              <w:right w:val="single" w:sz="4" w:space="0" w:color="auto"/>
            </w:tcBorders>
            <w:noWrap/>
            <w:vAlign w:val="center"/>
            <w:hideMark/>
          </w:tcPr>
          <w:p w14:paraId="355BADE6" w14:textId="77777777" w:rsidR="005A319E" w:rsidRPr="005A319E" w:rsidRDefault="005A319E" w:rsidP="005A319E">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5A319E">
              <w:rPr>
                <w:rFonts w:ascii="Times New Roman" w:eastAsia="Times New Roman" w:hAnsi="Times New Roman" w:cs="Times New Roman"/>
                <w:color w:val="000000"/>
                <w:kern w:val="0"/>
                <w:sz w:val="16"/>
                <w:szCs w:val="16"/>
                <w:lang w:eastAsia="en-IN"/>
                <w14:ligatures w14:val="none"/>
              </w:rPr>
              <w:t>10.83</w:t>
            </w:r>
          </w:p>
        </w:tc>
        <w:tc>
          <w:tcPr>
            <w:tcW w:w="865" w:type="dxa"/>
            <w:tcBorders>
              <w:top w:val="nil"/>
              <w:left w:val="nil"/>
              <w:bottom w:val="single" w:sz="4" w:space="0" w:color="auto"/>
              <w:right w:val="single" w:sz="4" w:space="0" w:color="auto"/>
            </w:tcBorders>
            <w:noWrap/>
            <w:vAlign w:val="center"/>
            <w:hideMark/>
          </w:tcPr>
          <w:p w14:paraId="192B1F9B" w14:textId="77777777" w:rsidR="005A319E" w:rsidRPr="005A319E" w:rsidRDefault="005A319E" w:rsidP="005A319E">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5A319E">
              <w:rPr>
                <w:rFonts w:ascii="Times New Roman" w:eastAsia="Times New Roman" w:hAnsi="Times New Roman" w:cs="Times New Roman"/>
                <w:color w:val="000000"/>
                <w:kern w:val="0"/>
                <w:sz w:val="16"/>
                <w:szCs w:val="16"/>
                <w:lang w:eastAsia="en-IN"/>
                <w14:ligatures w14:val="none"/>
              </w:rPr>
              <w:t>1.00</w:t>
            </w:r>
          </w:p>
        </w:tc>
        <w:tc>
          <w:tcPr>
            <w:tcW w:w="995" w:type="dxa"/>
            <w:tcBorders>
              <w:top w:val="nil"/>
              <w:left w:val="nil"/>
              <w:bottom w:val="single" w:sz="4" w:space="0" w:color="auto"/>
              <w:right w:val="single" w:sz="4" w:space="0" w:color="auto"/>
            </w:tcBorders>
            <w:noWrap/>
            <w:vAlign w:val="center"/>
            <w:hideMark/>
          </w:tcPr>
          <w:p w14:paraId="266848FD" w14:textId="77777777" w:rsidR="005A319E" w:rsidRPr="005A319E" w:rsidRDefault="005A319E" w:rsidP="005A319E">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5A319E">
              <w:rPr>
                <w:rFonts w:ascii="Times New Roman" w:eastAsia="Times New Roman" w:hAnsi="Times New Roman" w:cs="Times New Roman"/>
                <w:color w:val="000000"/>
                <w:kern w:val="0"/>
                <w:sz w:val="16"/>
                <w:szCs w:val="16"/>
                <w:lang w:eastAsia="en-IN"/>
                <w14:ligatures w14:val="none"/>
              </w:rPr>
              <w:t>11.83</w:t>
            </w:r>
          </w:p>
        </w:tc>
        <w:tc>
          <w:tcPr>
            <w:tcW w:w="916" w:type="dxa"/>
            <w:tcBorders>
              <w:top w:val="nil"/>
              <w:left w:val="nil"/>
              <w:bottom w:val="single" w:sz="4" w:space="0" w:color="auto"/>
              <w:right w:val="single" w:sz="4" w:space="0" w:color="auto"/>
            </w:tcBorders>
            <w:noWrap/>
            <w:vAlign w:val="center"/>
            <w:hideMark/>
          </w:tcPr>
          <w:p w14:paraId="09C4D6EC" w14:textId="77777777" w:rsidR="005A319E" w:rsidRPr="005A319E" w:rsidRDefault="005A319E" w:rsidP="005A319E">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5A319E">
              <w:rPr>
                <w:rFonts w:ascii="Times New Roman" w:eastAsia="Times New Roman" w:hAnsi="Times New Roman" w:cs="Times New Roman"/>
                <w:color w:val="000000"/>
                <w:kern w:val="0"/>
                <w:sz w:val="16"/>
                <w:szCs w:val="16"/>
                <w:lang w:eastAsia="en-IN"/>
                <w14:ligatures w14:val="none"/>
              </w:rPr>
              <w:t>9.33</w:t>
            </w:r>
          </w:p>
        </w:tc>
        <w:tc>
          <w:tcPr>
            <w:tcW w:w="865" w:type="dxa"/>
            <w:tcBorders>
              <w:top w:val="nil"/>
              <w:left w:val="nil"/>
              <w:bottom w:val="single" w:sz="4" w:space="0" w:color="auto"/>
              <w:right w:val="single" w:sz="4" w:space="0" w:color="auto"/>
            </w:tcBorders>
            <w:noWrap/>
            <w:vAlign w:val="center"/>
            <w:hideMark/>
          </w:tcPr>
          <w:p w14:paraId="5F75DA5F" w14:textId="77777777" w:rsidR="005A319E" w:rsidRPr="005A319E" w:rsidRDefault="005A319E" w:rsidP="005A319E">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5A319E">
              <w:rPr>
                <w:rFonts w:ascii="Times New Roman" w:eastAsia="Times New Roman" w:hAnsi="Times New Roman" w:cs="Times New Roman"/>
                <w:color w:val="000000"/>
                <w:kern w:val="0"/>
                <w:sz w:val="16"/>
                <w:szCs w:val="16"/>
                <w:lang w:eastAsia="en-IN"/>
                <w14:ligatures w14:val="none"/>
              </w:rPr>
              <w:t>1.00</w:t>
            </w:r>
          </w:p>
        </w:tc>
        <w:tc>
          <w:tcPr>
            <w:tcW w:w="581" w:type="dxa"/>
            <w:tcBorders>
              <w:top w:val="nil"/>
              <w:left w:val="nil"/>
              <w:bottom w:val="single" w:sz="4" w:space="0" w:color="auto"/>
              <w:right w:val="single" w:sz="4" w:space="0" w:color="auto"/>
            </w:tcBorders>
            <w:noWrap/>
            <w:vAlign w:val="center"/>
            <w:hideMark/>
          </w:tcPr>
          <w:p w14:paraId="47476905" w14:textId="77777777" w:rsidR="005A319E" w:rsidRPr="005A319E" w:rsidRDefault="005A319E" w:rsidP="005A319E">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5A319E">
              <w:rPr>
                <w:rFonts w:ascii="Times New Roman" w:eastAsia="Times New Roman" w:hAnsi="Times New Roman" w:cs="Times New Roman"/>
                <w:color w:val="000000"/>
                <w:kern w:val="0"/>
                <w:sz w:val="16"/>
                <w:szCs w:val="16"/>
                <w:lang w:eastAsia="en-IN"/>
                <w14:ligatures w14:val="none"/>
              </w:rPr>
              <w:t>10.33</w:t>
            </w:r>
          </w:p>
        </w:tc>
      </w:tr>
      <w:tr w:rsidR="005A319E" w:rsidRPr="005A319E" w14:paraId="43D0247A" w14:textId="77777777" w:rsidTr="00D67840">
        <w:trPr>
          <w:trHeight w:val="22"/>
          <w:jc w:val="center"/>
        </w:trPr>
        <w:tc>
          <w:tcPr>
            <w:tcW w:w="1842" w:type="dxa"/>
            <w:tcBorders>
              <w:top w:val="nil"/>
              <w:left w:val="single" w:sz="4" w:space="0" w:color="auto"/>
              <w:bottom w:val="single" w:sz="4" w:space="0" w:color="auto"/>
              <w:right w:val="single" w:sz="4" w:space="0" w:color="auto"/>
            </w:tcBorders>
            <w:noWrap/>
            <w:vAlign w:val="center"/>
            <w:hideMark/>
          </w:tcPr>
          <w:p w14:paraId="7A4925DD" w14:textId="77777777" w:rsidR="005A319E" w:rsidRPr="005A319E" w:rsidRDefault="005A319E" w:rsidP="005A319E">
            <w:pPr>
              <w:spacing w:after="0" w:line="240" w:lineRule="auto"/>
              <w:rPr>
                <w:rFonts w:ascii="Times New Roman" w:eastAsia="Times New Roman" w:hAnsi="Times New Roman" w:cs="Times New Roman"/>
                <w:color w:val="000000"/>
                <w:kern w:val="0"/>
                <w:sz w:val="16"/>
                <w:szCs w:val="16"/>
                <w:lang w:eastAsia="en-IN"/>
                <w14:ligatures w14:val="none"/>
              </w:rPr>
            </w:pPr>
            <w:r w:rsidRPr="005A319E">
              <w:rPr>
                <w:rFonts w:ascii="Times New Roman" w:eastAsia="Times New Roman" w:hAnsi="Times New Roman" w:cs="Times New Roman"/>
                <w:color w:val="000000"/>
                <w:kern w:val="0"/>
                <w:sz w:val="16"/>
                <w:szCs w:val="16"/>
                <w:lang w:eastAsia="en-IN"/>
                <w14:ligatures w14:val="none"/>
              </w:rPr>
              <w:t>4. Gujarat</w:t>
            </w:r>
          </w:p>
        </w:tc>
        <w:tc>
          <w:tcPr>
            <w:tcW w:w="851" w:type="dxa"/>
            <w:tcBorders>
              <w:top w:val="nil"/>
              <w:left w:val="nil"/>
              <w:bottom w:val="single" w:sz="4" w:space="0" w:color="auto"/>
              <w:right w:val="single" w:sz="4" w:space="0" w:color="auto"/>
            </w:tcBorders>
            <w:noWrap/>
            <w:vAlign w:val="center"/>
            <w:hideMark/>
          </w:tcPr>
          <w:p w14:paraId="633E8DC3" w14:textId="77777777" w:rsidR="005A319E" w:rsidRPr="005A319E" w:rsidRDefault="005A319E" w:rsidP="005A319E">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5A319E">
              <w:rPr>
                <w:rFonts w:ascii="Times New Roman" w:eastAsia="Times New Roman" w:hAnsi="Times New Roman" w:cs="Times New Roman"/>
                <w:color w:val="000000"/>
                <w:kern w:val="0"/>
                <w:sz w:val="16"/>
                <w:szCs w:val="16"/>
                <w:lang w:eastAsia="en-IN"/>
                <w14:ligatures w14:val="none"/>
              </w:rPr>
              <w:t>14.31</w:t>
            </w:r>
          </w:p>
        </w:tc>
        <w:tc>
          <w:tcPr>
            <w:tcW w:w="992" w:type="dxa"/>
            <w:tcBorders>
              <w:top w:val="nil"/>
              <w:left w:val="nil"/>
              <w:bottom w:val="single" w:sz="4" w:space="0" w:color="auto"/>
              <w:right w:val="single" w:sz="4" w:space="0" w:color="auto"/>
            </w:tcBorders>
            <w:noWrap/>
            <w:vAlign w:val="center"/>
            <w:hideMark/>
          </w:tcPr>
          <w:p w14:paraId="71D1630E" w14:textId="77777777" w:rsidR="005A319E" w:rsidRPr="005A319E" w:rsidRDefault="005A319E" w:rsidP="005A319E">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5A319E">
              <w:rPr>
                <w:rFonts w:ascii="Times New Roman" w:eastAsia="Times New Roman" w:hAnsi="Times New Roman" w:cs="Times New Roman"/>
                <w:color w:val="000000"/>
                <w:kern w:val="0"/>
                <w:sz w:val="16"/>
                <w:szCs w:val="16"/>
                <w:lang w:eastAsia="en-IN"/>
                <w14:ligatures w14:val="none"/>
              </w:rPr>
              <w:t>1.20</w:t>
            </w:r>
          </w:p>
        </w:tc>
        <w:tc>
          <w:tcPr>
            <w:tcW w:w="581" w:type="dxa"/>
            <w:tcBorders>
              <w:top w:val="nil"/>
              <w:left w:val="nil"/>
              <w:bottom w:val="single" w:sz="4" w:space="0" w:color="auto"/>
              <w:right w:val="single" w:sz="4" w:space="0" w:color="auto"/>
            </w:tcBorders>
            <w:noWrap/>
            <w:vAlign w:val="center"/>
            <w:hideMark/>
          </w:tcPr>
          <w:p w14:paraId="08D1FB89" w14:textId="77777777" w:rsidR="005A319E" w:rsidRPr="005A319E" w:rsidRDefault="005A319E" w:rsidP="005A319E">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5A319E">
              <w:rPr>
                <w:rFonts w:ascii="Times New Roman" w:eastAsia="Times New Roman" w:hAnsi="Times New Roman" w:cs="Times New Roman"/>
                <w:color w:val="000000"/>
                <w:kern w:val="0"/>
                <w:sz w:val="16"/>
                <w:szCs w:val="16"/>
                <w:lang w:eastAsia="en-IN"/>
                <w14:ligatures w14:val="none"/>
              </w:rPr>
              <w:t>15.51</w:t>
            </w:r>
          </w:p>
        </w:tc>
        <w:tc>
          <w:tcPr>
            <w:tcW w:w="992" w:type="dxa"/>
            <w:tcBorders>
              <w:top w:val="nil"/>
              <w:left w:val="nil"/>
              <w:bottom w:val="single" w:sz="4" w:space="0" w:color="auto"/>
              <w:right w:val="single" w:sz="4" w:space="0" w:color="auto"/>
            </w:tcBorders>
            <w:noWrap/>
            <w:vAlign w:val="center"/>
            <w:hideMark/>
          </w:tcPr>
          <w:p w14:paraId="7AAB7C86" w14:textId="77777777" w:rsidR="005A319E" w:rsidRPr="005A319E" w:rsidRDefault="005A319E" w:rsidP="005A319E">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5A319E">
              <w:rPr>
                <w:rFonts w:ascii="Times New Roman" w:eastAsia="Times New Roman" w:hAnsi="Times New Roman" w:cs="Times New Roman"/>
                <w:color w:val="000000"/>
                <w:kern w:val="0"/>
                <w:sz w:val="16"/>
                <w:szCs w:val="16"/>
                <w:lang w:eastAsia="en-IN"/>
                <w14:ligatures w14:val="none"/>
              </w:rPr>
              <w:t>14.31</w:t>
            </w:r>
          </w:p>
        </w:tc>
        <w:tc>
          <w:tcPr>
            <w:tcW w:w="865" w:type="dxa"/>
            <w:tcBorders>
              <w:top w:val="nil"/>
              <w:left w:val="nil"/>
              <w:bottom w:val="single" w:sz="4" w:space="0" w:color="auto"/>
              <w:right w:val="single" w:sz="4" w:space="0" w:color="auto"/>
            </w:tcBorders>
            <w:noWrap/>
            <w:vAlign w:val="center"/>
            <w:hideMark/>
          </w:tcPr>
          <w:p w14:paraId="1FD52501" w14:textId="77777777" w:rsidR="005A319E" w:rsidRPr="005A319E" w:rsidRDefault="005A319E" w:rsidP="005A319E">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5A319E">
              <w:rPr>
                <w:rFonts w:ascii="Times New Roman" w:eastAsia="Times New Roman" w:hAnsi="Times New Roman" w:cs="Times New Roman"/>
                <w:color w:val="000000"/>
                <w:kern w:val="0"/>
                <w:sz w:val="16"/>
                <w:szCs w:val="16"/>
                <w:lang w:eastAsia="en-IN"/>
                <w14:ligatures w14:val="none"/>
              </w:rPr>
              <w:t>0.33</w:t>
            </w:r>
          </w:p>
        </w:tc>
        <w:tc>
          <w:tcPr>
            <w:tcW w:w="709" w:type="dxa"/>
            <w:tcBorders>
              <w:top w:val="nil"/>
              <w:left w:val="nil"/>
              <w:bottom w:val="single" w:sz="4" w:space="0" w:color="auto"/>
              <w:right w:val="single" w:sz="4" w:space="0" w:color="auto"/>
            </w:tcBorders>
            <w:noWrap/>
            <w:vAlign w:val="center"/>
            <w:hideMark/>
          </w:tcPr>
          <w:p w14:paraId="4EF968CF" w14:textId="77777777" w:rsidR="005A319E" w:rsidRPr="005A319E" w:rsidRDefault="005A319E" w:rsidP="005A319E">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5A319E">
              <w:rPr>
                <w:rFonts w:ascii="Times New Roman" w:eastAsia="Times New Roman" w:hAnsi="Times New Roman" w:cs="Times New Roman"/>
                <w:color w:val="000000"/>
                <w:kern w:val="0"/>
                <w:sz w:val="16"/>
                <w:szCs w:val="16"/>
                <w:lang w:eastAsia="en-IN"/>
                <w14:ligatures w14:val="none"/>
              </w:rPr>
              <w:t>14.64</w:t>
            </w:r>
          </w:p>
        </w:tc>
        <w:tc>
          <w:tcPr>
            <w:tcW w:w="708" w:type="dxa"/>
            <w:tcBorders>
              <w:top w:val="nil"/>
              <w:left w:val="nil"/>
              <w:bottom w:val="single" w:sz="4" w:space="0" w:color="auto"/>
              <w:right w:val="single" w:sz="4" w:space="0" w:color="auto"/>
            </w:tcBorders>
            <w:noWrap/>
            <w:vAlign w:val="center"/>
            <w:hideMark/>
          </w:tcPr>
          <w:p w14:paraId="5136B80C" w14:textId="77777777" w:rsidR="005A319E" w:rsidRPr="005A319E" w:rsidRDefault="005A319E" w:rsidP="005A319E">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5A319E">
              <w:rPr>
                <w:rFonts w:ascii="Times New Roman" w:eastAsia="Times New Roman" w:hAnsi="Times New Roman" w:cs="Times New Roman"/>
                <w:color w:val="000000"/>
                <w:kern w:val="0"/>
                <w:sz w:val="16"/>
                <w:szCs w:val="16"/>
                <w:lang w:eastAsia="en-IN"/>
                <w14:ligatures w14:val="none"/>
              </w:rPr>
              <w:t>13.42</w:t>
            </w:r>
          </w:p>
        </w:tc>
        <w:tc>
          <w:tcPr>
            <w:tcW w:w="865" w:type="dxa"/>
            <w:tcBorders>
              <w:top w:val="nil"/>
              <w:left w:val="nil"/>
              <w:bottom w:val="single" w:sz="4" w:space="0" w:color="auto"/>
              <w:right w:val="single" w:sz="4" w:space="0" w:color="auto"/>
            </w:tcBorders>
            <w:noWrap/>
            <w:vAlign w:val="center"/>
            <w:hideMark/>
          </w:tcPr>
          <w:p w14:paraId="3B3F7EF3" w14:textId="77777777" w:rsidR="005A319E" w:rsidRPr="005A319E" w:rsidRDefault="005A319E" w:rsidP="005A319E">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5A319E">
              <w:rPr>
                <w:rFonts w:ascii="Times New Roman" w:eastAsia="Times New Roman" w:hAnsi="Times New Roman" w:cs="Times New Roman"/>
                <w:color w:val="000000"/>
                <w:kern w:val="0"/>
                <w:sz w:val="16"/>
                <w:szCs w:val="16"/>
                <w:lang w:eastAsia="en-IN"/>
                <w14:ligatures w14:val="none"/>
              </w:rPr>
              <w:t>0.33</w:t>
            </w:r>
          </w:p>
        </w:tc>
        <w:tc>
          <w:tcPr>
            <w:tcW w:w="581" w:type="dxa"/>
            <w:tcBorders>
              <w:top w:val="nil"/>
              <w:left w:val="nil"/>
              <w:bottom w:val="single" w:sz="4" w:space="0" w:color="auto"/>
              <w:right w:val="single" w:sz="4" w:space="0" w:color="auto"/>
            </w:tcBorders>
            <w:noWrap/>
            <w:vAlign w:val="center"/>
            <w:hideMark/>
          </w:tcPr>
          <w:p w14:paraId="0DF5FAE9" w14:textId="77777777" w:rsidR="005A319E" w:rsidRPr="005A319E" w:rsidRDefault="005A319E" w:rsidP="005A319E">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5A319E">
              <w:rPr>
                <w:rFonts w:ascii="Times New Roman" w:eastAsia="Times New Roman" w:hAnsi="Times New Roman" w:cs="Times New Roman"/>
                <w:color w:val="000000"/>
                <w:kern w:val="0"/>
                <w:sz w:val="16"/>
                <w:szCs w:val="16"/>
                <w:lang w:eastAsia="en-IN"/>
                <w14:ligatures w14:val="none"/>
              </w:rPr>
              <w:t>13.75</w:t>
            </w:r>
          </w:p>
        </w:tc>
        <w:tc>
          <w:tcPr>
            <w:tcW w:w="1004" w:type="dxa"/>
            <w:tcBorders>
              <w:top w:val="nil"/>
              <w:left w:val="nil"/>
              <w:bottom w:val="single" w:sz="4" w:space="0" w:color="auto"/>
              <w:right w:val="single" w:sz="4" w:space="0" w:color="auto"/>
            </w:tcBorders>
            <w:noWrap/>
            <w:vAlign w:val="center"/>
            <w:hideMark/>
          </w:tcPr>
          <w:p w14:paraId="30A76CD3" w14:textId="77777777" w:rsidR="005A319E" w:rsidRPr="005A319E" w:rsidRDefault="005A319E" w:rsidP="005A319E">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5A319E">
              <w:rPr>
                <w:rFonts w:ascii="Times New Roman" w:eastAsia="Times New Roman" w:hAnsi="Times New Roman" w:cs="Times New Roman"/>
                <w:color w:val="000000"/>
                <w:kern w:val="0"/>
                <w:sz w:val="16"/>
                <w:szCs w:val="16"/>
                <w:lang w:eastAsia="en-IN"/>
                <w14:ligatures w14:val="none"/>
              </w:rPr>
              <w:t>11.46*</w:t>
            </w:r>
          </w:p>
        </w:tc>
        <w:tc>
          <w:tcPr>
            <w:tcW w:w="865" w:type="dxa"/>
            <w:tcBorders>
              <w:top w:val="nil"/>
              <w:left w:val="nil"/>
              <w:bottom w:val="single" w:sz="4" w:space="0" w:color="auto"/>
              <w:right w:val="single" w:sz="4" w:space="0" w:color="auto"/>
            </w:tcBorders>
            <w:noWrap/>
            <w:vAlign w:val="center"/>
            <w:hideMark/>
          </w:tcPr>
          <w:p w14:paraId="2206ACA0" w14:textId="77777777" w:rsidR="005A319E" w:rsidRPr="005A319E" w:rsidRDefault="005A319E" w:rsidP="005A319E">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5A319E">
              <w:rPr>
                <w:rFonts w:ascii="Times New Roman" w:eastAsia="Times New Roman" w:hAnsi="Times New Roman" w:cs="Times New Roman"/>
                <w:color w:val="000000"/>
                <w:kern w:val="0"/>
                <w:sz w:val="16"/>
                <w:szCs w:val="16"/>
                <w:lang w:eastAsia="en-IN"/>
                <w14:ligatures w14:val="none"/>
              </w:rPr>
              <w:t>1.60</w:t>
            </w:r>
          </w:p>
        </w:tc>
        <w:tc>
          <w:tcPr>
            <w:tcW w:w="995" w:type="dxa"/>
            <w:tcBorders>
              <w:top w:val="nil"/>
              <w:left w:val="nil"/>
              <w:bottom w:val="single" w:sz="4" w:space="0" w:color="auto"/>
              <w:right w:val="single" w:sz="4" w:space="0" w:color="auto"/>
            </w:tcBorders>
            <w:noWrap/>
            <w:vAlign w:val="center"/>
            <w:hideMark/>
          </w:tcPr>
          <w:p w14:paraId="75194506" w14:textId="77777777" w:rsidR="005A319E" w:rsidRPr="005A319E" w:rsidRDefault="005A319E" w:rsidP="005A319E">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5A319E">
              <w:rPr>
                <w:rFonts w:ascii="Times New Roman" w:eastAsia="Times New Roman" w:hAnsi="Times New Roman" w:cs="Times New Roman"/>
                <w:color w:val="000000"/>
                <w:kern w:val="0"/>
                <w:sz w:val="16"/>
                <w:szCs w:val="16"/>
                <w:lang w:eastAsia="en-IN"/>
                <w14:ligatures w14:val="none"/>
              </w:rPr>
              <w:t>13.06</w:t>
            </w:r>
          </w:p>
        </w:tc>
        <w:tc>
          <w:tcPr>
            <w:tcW w:w="916" w:type="dxa"/>
            <w:tcBorders>
              <w:top w:val="nil"/>
              <w:left w:val="nil"/>
              <w:bottom w:val="single" w:sz="4" w:space="0" w:color="auto"/>
              <w:right w:val="single" w:sz="4" w:space="0" w:color="auto"/>
            </w:tcBorders>
            <w:noWrap/>
            <w:vAlign w:val="center"/>
            <w:hideMark/>
          </w:tcPr>
          <w:p w14:paraId="6579DB48" w14:textId="77777777" w:rsidR="005A319E" w:rsidRPr="005A319E" w:rsidRDefault="005A319E" w:rsidP="005A319E">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5A319E">
              <w:rPr>
                <w:rFonts w:ascii="Times New Roman" w:eastAsia="Times New Roman" w:hAnsi="Times New Roman" w:cs="Times New Roman"/>
                <w:color w:val="000000"/>
                <w:kern w:val="0"/>
                <w:sz w:val="16"/>
                <w:szCs w:val="16"/>
                <w:lang w:eastAsia="en-IN"/>
                <w14:ligatures w14:val="none"/>
              </w:rPr>
              <w:t>9.65*</w:t>
            </w:r>
          </w:p>
        </w:tc>
        <w:tc>
          <w:tcPr>
            <w:tcW w:w="865" w:type="dxa"/>
            <w:tcBorders>
              <w:top w:val="nil"/>
              <w:left w:val="nil"/>
              <w:bottom w:val="single" w:sz="4" w:space="0" w:color="auto"/>
              <w:right w:val="single" w:sz="4" w:space="0" w:color="auto"/>
            </w:tcBorders>
            <w:noWrap/>
            <w:vAlign w:val="center"/>
            <w:hideMark/>
          </w:tcPr>
          <w:p w14:paraId="0EDE4CC6" w14:textId="77777777" w:rsidR="005A319E" w:rsidRPr="005A319E" w:rsidRDefault="005A319E" w:rsidP="005A319E">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5A319E">
              <w:rPr>
                <w:rFonts w:ascii="Times New Roman" w:eastAsia="Times New Roman" w:hAnsi="Times New Roman" w:cs="Times New Roman"/>
                <w:color w:val="000000"/>
                <w:kern w:val="0"/>
                <w:sz w:val="16"/>
                <w:szCs w:val="16"/>
                <w:lang w:eastAsia="en-IN"/>
                <w14:ligatures w14:val="none"/>
              </w:rPr>
              <w:t>1.60</w:t>
            </w:r>
          </w:p>
        </w:tc>
        <w:tc>
          <w:tcPr>
            <w:tcW w:w="581" w:type="dxa"/>
            <w:tcBorders>
              <w:top w:val="nil"/>
              <w:left w:val="nil"/>
              <w:bottom w:val="single" w:sz="4" w:space="0" w:color="auto"/>
              <w:right w:val="single" w:sz="4" w:space="0" w:color="auto"/>
            </w:tcBorders>
            <w:noWrap/>
            <w:vAlign w:val="center"/>
            <w:hideMark/>
          </w:tcPr>
          <w:p w14:paraId="013405D3" w14:textId="77777777" w:rsidR="005A319E" w:rsidRPr="005A319E" w:rsidRDefault="005A319E" w:rsidP="005A319E">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5A319E">
              <w:rPr>
                <w:rFonts w:ascii="Times New Roman" w:eastAsia="Times New Roman" w:hAnsi="Times New Roman" w:cs="Times New Roman"/>
                <w:color w:val="000000"/>
                <w:kern w:val="0"/>
                <w:sz w:val="16"/>
                <w:szCs w:val="16"/>
                <w:lang w:eastAsia="en-IN"/>
                <w14:ligatures w14:val="none"/>
              </w:rPr>
              <w:t>11.25</w:t>
            </w:r>
          </w:p>
        </w:tc>
      </w:tr>
      <w:tr w:rsidR="005A319E" w:rsidRPr="005A319E" w14:paraId="31855294" w14:textId="77777777" w:rsidTr="00D67840">
        <w:trPr>
          <w:trHeight w:val="22"/>
          <w:jc w:val="center"/>
        </w:trPr>
        <w:tc>
          <w:tcPr>
            <w:tcW w:w="1842" w:type="dxa"/>
            <w:tcBorders>
              <w:top w:val="nil"/>
              <w:left w:val="single" w:sz="4" w:space="0" w:color="auto"/>
              <w:bottom w:val="single" w:sz="4" w:space="0" w:color="auto"/>
              <w:right w:val="single" w:sz="4" w:space="0" w:color="auto"/>
            </w:tcBorders>
            <w:noWrap/>
            <w:vAlign w:val="center"/>
            <w:hideMark/>
          </w:tcPr>
          <w:p w14:paraId="23143856" w14:textId="77777777" w:rsidR="005A319E" w:rsidRPr="005A319E" w:rsidRDefault="005A319E" w:rsidP="005A319E">
            <w:pPr>
              <w:spacing w:after="0" w:line="240" w:lineRule="auto"/>
              <w:rPr>
                <w:rFonts w:ascii="Times New Roman" w:eastAsia="Times New Roman" w:hAnsi="Times New Roman" w:cs="Times New Roman"/>
                <w:color w:val="000000"/>
                <w:kern w:val="0"/>
                <w:sz w:val="16"/>
                <w:szCs w:val="16"/>
                <w:lang w:eastAsia="en-IN"/>
                <w14:ligatures w14:val="none"/>
              </w:rPr>
            </w:pPr>
            <w:r w:rsidRPr="005A319E">
              <w:rPr>
                <w:rFonts w:ascii="Times New Roman" w:eastAsia="Times New Roman" w:hAnsi="Times New Roman" w:cs="Times New Roman"/>
                <w:color w:val="000000"/>
                <w:kern w:val="0"/>
                <w:sz w:val="16"/>
                <w:szCs w:val="16"/>
                <w:lang w:eastAsia="en-IN"/>
                <w14:ligatures w14:val="none"/>
              </w:rPr>
              <w:t>5. Haryana</w:t>
            </w:r>
          </w:p>
        </w:tc>
        <w:tc>
          <w:tcPr>
            <w:tcW w:w="851" w:type="dxa"/>
            <w:tcBorders>
              <w:top w:val="nil"/>
              <w:left w:val="nil"/>
              <w:bottom w:val="single" w:sz="4" w:space="0" w:color="auto"/>
              <w:right w:val="single" w:sz="4" w:space="0" w:color="auto"/>
            </w:tcBorders>
            <w:noWrap/>
            <w:vAlign w:val="center"/>
            <w:hideMark/>
          </w:tcPr>
          <w:p w14:paraId="59C1FC47" w14:textId="77777777" w:rsidR="005A319E" w:rsidRPr="005A319E" w:rsidRDefault="005A319E" w:rsidP="005A319E">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5A319E">
              <w:rPr>
                <w:rFonts w:ascii="Times New Roman" w:eastAsia="Times New Roman" w:hAnsi="Times New Roman" w:cs="Times New Roman"/>
                <w:color w:val="000000"/>
                <w:kern w:val="0"/>
                <w:sz w:val="16"/>
                <w:szCs w:val="16"/>
                <w:lang w:eastAsia="en-IN"/>
                <w14:ligatures w14:val="none"/>
              </w:rPr>
              <w:t>10.60</w:t>
            </w:r>
          </w:p>
        </w:tc>
        <w:tc>
          <w:tcPr>
            <w:tcW w:w="992" w:type="dxa"/>
            <w:tcBorders>
              <w:top w:val="nil"/>
              <w:left w:val="nil"/>
              <w:bottom w:val="single" w:sz="4" w:space="0" w:color="auto"/>
              <w:right w:val="single" w:sz="4" w:space="0" w:color="auto"/>
            </w:tcBorders>
            <w:noWrap/>
            <w:vAlign w:val="center"/>
            <w:hideMark/>
          </w:tcPr>
          <w:p w14:paraId="01F8231D" w14:textId="77777777" w:rsidR="005A319E" w:rsidRPr="005A319E" w:rsidRDefault="005A319E" w:rsidP="005A319E">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5A319E">
              <w:rPr>
                <w:rFonts w:ascii="Times New Roman" w:eastAsia="Times New Roman" w:hAnsi="Times New Roman" w:cs="Times New Roman"/>
                <w:color w:val="000000"/>
                <w:kern w:val="0"/>
                <w:sz w:val="16"/>
                <w:szCs w:val="16"/>
                <w:lang w:eastAsia="en-IN"/>
                <w14:ligatures w14:val="none"/>
              </w:rPr>
              <w:t>..</w:t>
            </w:r>
          </w:p>
        </w:tc>
        <w:tc>
          <w:tcPr>
            <w:tcW w:w="581" w:type="dxa"/>
            <w:tcBorders>
              <w:top w:val="nil"/>
              <w:left w:val="nil"/>
              <w:bottom w:val="single" w:sz="4" w:space="0" w:color="auto"/>
              <w:right w:val="single" w:sz="4" w:space="0" w:color="auto"/>
            </w:tcBorders>
            <w:noWrap/>
            <w:vAlign w:val="center"/>
            <w:hideMark/>
          </w:tcPr>
          <w:p w14:paraId="2767B18E" w14:textId="77777777" w:rsidR="005A319E" w:rsidRPr="005A319E" w:rsidRDefault="005A319E" w:rsidP="005A319E">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5A319E">
              <w:rPr>
                <w:rFonts w:ascii="Times New Roman" w:eastAsia="Times New Roman" w:hAnsi="Times New Roman" w:cs="Times New Roman"/>
                <w:color w:val="000000"/>
                <w:kern w:val="0"/>
                <w:sz w:val="16"/>
                <w:szCs w:val="16"/>
                <w:lang w:eastAsia="en-IN"/>
                <w14:ligatures w14:val="none"/>
              </w:rPr>
              <w:t>10.60</w:t>
            </w:r>
          </w:p>
        </w:tc>
        <w:tc>
          <w:tcPr>
            <w:tcW w:w="992" w:type="dxa"/>
            <w:tcBorders>
              <w:top w:val="nil"/>
              <w:left w:val="nil"/>
              <w:bottom w:val="single" w:sz="4" w:space="0" w:color="auto"/>
              <w:right w:val="single" w:sz="4" w:space="0" w:color="auto"/>
            </w:tcBorders>
            <w:noWrap/>
            <w:vAlign w:val="center"/>
            <w:hideMark/>
          </w:tcPr>
          <w:p w14:paraId="501359E5" w14:textId="77777777" w:rsidR="005A319E" w:rsidRPr="005A319E" w:rsidRDefault="005A319E" w:rsidP="005A319E">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5A319E">
              <w:rPr>
                <w:rFonts w:ascii="Times New Roman" w:eastAsia="Times New Roman" w:hAnsi="Times New Roman" w:cs="Times New Roman"/>
                <w:color w:val="000000"/>
                <w:kern w:val="0"/>
                <w:sz w:val="16"/>
                <w:szCs w:val="16"/>
                <w:lang w:eastAsia="en-IN"/>
                <w14:ligatures w14:val="none"/>
              </w:rPr>
              <w:t>10.97</w:t>
            </w:r>
          </w:p>
        </w:tc>
        <w:tc>
          <w:tcPr>
            <w:tcW w:w="865" w:type="dxa"/>
            <w:tcBorders>
              <w:top w:val="nil"/>
              <w:left w:val="nil"/>
              <w:bottom w:val="single" w:sz="4" w:space="0" w:color="auto"/>
              <w:right w:val="single" w:sz="4" w:space="0" w:color="auto"/>
            </w:tcBorders>
            <w:noWrap/>
            <w:vAlign w:val="center"/>
            <w:hideMark/>
          </w:tcPr>
          <w:p w14:paraId="116C97B6" w14:textId="77777777" w:rsidR="005A319E" w:rsidRPr="005A319E" w:rsidRDefault="005A319E" w:rsidP="005A319E">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5A319E">
              <w:rPr>
                <w:rFonts w:ascii="Times New Roman" w:eastAsia="Times New Roman" w:hAnsi="Times New Roman" w:cs="Times New Roman"/>
                <w:color w:val="000000"/>
                <w:kern w:val="0"/>
                <w:sz w:val="16"/>
                <w:szCs w:val="16"/>
                <w:lang w:eastAsia="en-IN"/>
                <w14:ligatures w14:val="none"/>
              </w:rPr>
              <w:t>1.65</w:t>
            </w:r>
          </w:p>
        </w:tc>
        <w:tc>
          <w:tcPr>
            <w:tcW w:w="709" w:type="dxa"/>
            <w:tcBorders>
              <w:top w:val="nil"/>
              <w:left w:val="nil"/>
              <w:bottom w:val="single" w:sz="4" w:space="0" w:color="auto"/>
              <w:right w:val="single" w:sz="4" w:space="0" w:color="auto"/>
            </w:tcBorders>
            <w:noWrap/>
            <w:vAlign w:val="center"/>
            <w:hideMark/>
          </w:tcPr>
          <w:p w14:paraId="0E04DBB7" w14:textId="77777777" w:rsidR="005A319E" w:rsidRPr="005A319E" w:rsidRDefault="005A319E" w:rsidP="005A319E">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5A319E">
              <w:rPr>
                <w:rFonts w:ascii="Times New Roman" w:eastAsia="Times New Roman" w:hAnsi="Times New Roman" w:cs="Times New Roman"/>
                <w:color w:val="000000"/>
                <w:kern w:val="0"/>
                <w:sz w:val="16"/>
                <w:szCs w:val="16"/>
                <w:lang w:eastAsia="en-IN"/>
                <w14:ligatures w14:val="none"/>
              </w:rPr>
              <w:t>12.62</w:t>
            </w:r>
          </w:p>
        </w:tc>
        <w:tc>
          <w:tcPr>
            <w:tcW w:w="708" w:type="dxa"/>
            <w:tcBorders>
              <w:top w:val="nil"/>
              <w:left w:val="nil"/>
              <w:bottom w:val="single" w:sz="4" w:space="0" w:color="auto"/>
              <w:right w:val="single" w:sz="4" w:space="0" w:color="auto"/>
            </w:tcBorders>
            <w:noWrap/>
            <w:vAlign w:val="center"/>
            <w:hideMark/>
          </w:tcPr>
          <w:p w14:paraId="6B6DB09A" w14:textId="77777777" w:rsidR="005A319E" w:rsidRPr="005A319E" w:rsidRDefault="005A319E" w:rsidP="005A319E">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5A319E">
              <w:rPr>
                <w:rFonts w:ascii="Times New Roman" w:eastAsia="Times New Roman" w:hAnsi="Times New Roman" w:cs="Times New Roman"/>
                <w:color w:val="000000"/>
                <w:kern w:val="0"/>
                <w:sz w:val="16"/>
                <w:szCs w:val="16"/>
                <w:lang w:eastAsia="en-IN"/>
                <w14:ligatures w14:val="none"/>
              </w:rPr>
              <w:t>9.20</w:t>
            </w:r>
          </w:p>
        </w:tc>
        <w:tc>
          <w:tcPr>
            <w:tcW w:w="865" w:type="dxa"/>
            <w:tcBorders>
              <w:top w:val="nil"/>
              <w:left w:val="nil"/>
              <w:bottom w:val="single" w:sz="4" w:space="0" w:color="auto"/>
              <w:right w:val="single" w:sz="4" w:space="0" w:color="auto"/>
            </w:tcBorders>
            <w:noWrap/>
            <w:vAlign w:val="center"/>
            <w:hideMark/>
          </w:tcPr>
          <w:p w14:paraId="6A1CFBD4" w14:textId="77777777" w:rsidR="005A319E" w:rsidRPr="005A319E" w:rsidRDefault="005A319E" w:rsidP="005A319E">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5A319E">
              <w:rPr>
                <w:rFonts w:ascii="Times New Roman" w:eastAsia="Times New Roman" w:hAnsi="Times New Roman" w:cs="Times New Roman"/>
                <w:color w:val="000000"/>
                <w:kern w:val="0"/>
                <w:sz w:val="16"/>
                <w:szCs w:val="16"/>
                <w:lang w:eastAsia="en-IN"/>
                <w14:ligatures w14:val="none"/>
              </w:rPr>
              <w:t>1.84</w:t>
            </w:r>
          </w:p>
        </w:tc>
        <w:tc>
          <w:tcPr>
            <w:tcW w:w="581" w:type="dxa"/>
            <w:tcBorders>
              <w:top w:val="nil"/>
              <w:left w:val="nil"/>
              <w:bottom w:val="single" w:sz="4" w:space="0" w:color="auto"/>
              <w:right w:val="single" w:sz="4" w:space="0" w:color="auto"/>
            </w:tcBorders>
            <w:noWrap/>
            <w:vAlign w:val="center"/>
            <w:hideMark/>
          </w:tcPr>
          <w:p w14:paraId="74F5E5D4" w14:textId="77777777" w:rsidR="005A319E" w:rsidRPr="005A319E" w:rsidRDefault="005A319E" w:rsidP="005A319E">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5A319E">
              <w:rPr>
                <w:rFonts w:ascii="Times New Roman" w:eastAsia="Times New Roman" w:hAnsi="Times New Roman" w:cs="Times New Roman"/>
                <w:color w:val="000000"/>
                <w:kern w:val="0"/>
                <w:sz w:val="16"/>
                <w:szCs w:val="16"/>
                <w:lang w:eastAsia="en-IN"/>
                <w14:ligatures w14:val="none"/>
              </w:rPr>
              <w:t>11.04</w:t>
            </w:r>
          </w:p>
        </w:tc>
        <w:tc>
          <w:tcPr>
            <w:tcW w:w="1004" w:type="dxa"/>
            <w:tcBorders>
              <w:top w:val="nil"/>
              <w:left w:val="nil"/>
              <w:bottom w:val="single" w:sz="4" w:space="0" w:color="auto"/>
              <w:right w:val="single" w:sz="4" w:space="0" w:color="auto"/>
            </w:tcBorders>
            <w:noWrap/>
            <w:vAlign w:val="center"/>
            <w:hideMark/>
          </w:tcPr>
          <w:p w14:paraId="187EF2D9" w14:textId="77777777" w:rsidR="005A319E" w:rsidRPr="005A319E" w:rsidRDefault="005A319E" w:rsidP="005A319E">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5A319E">
              <w:rPr>
                <w:rFonts w:ascii="Times New Roman" w:eastAsia="Times New Roman" w:hAnsi="Times New Roman" w:cs="Times New Roman"/>
                <w:color w:val="000000"/>
                <w:kern w:val="0"/>
                <w:sz w:val="16"/>
                <w:szCs w:val="16"/>
                <w:lang w:eastAsia="en-IN"/>
                <w14:ligatures w14:val="none"/>
              </w:rPr>
              <w:t>7.62</w:t>
            </w:r>
          </w:p>
        </w:tc>
        <w:tc>
          <w:tcPr>
            <w:tcW w:w="865" w:type="dxa"/>
            <w:tcBorders>
              <w:top w:val="nil"/>
              <w:left w:val="nil"/>
              <w:bottom w:val="single" w:sz="4" w:space="0" w:color="auto"/>
              <w:right w:val="single" w:sz="4" w:space="0" w:color="auto"/>
            </w:tcBorders>
            <w:noWrap/>
            <w:vAlign w:val="center"/>
            <w:hideMark/>
          </w:tcPr>
          <w:p w14:paraId="593739FC" w14:textId="77777777" w:rsidR="005A319E" w:rsidRPr="005A319E" w:rsidRDefault="005A319E" w:rsidP="005A319E">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5A319E">
              <w:rPr>
                <w:rFonts w:ascii="Times New Roman" w:eastAsia="Times New Roman" w:hAnsi="Times New Roman" w:cs="Times New Roman"/>
                <w:color w:val="000000"/>
                <w:kern w:val="0"/>
                <w:sz w:val="16"/>
                <w:szCs w:val="16"/>
                <w:lang w:eastAsia="en-IN"/>
                <w14:ligatures w14:val="none"/>
              </w:rPr>
              <w:t>1.52</w:t>
            </w:r>
          </w:p>
        </w:tc>
        <w:tc>
          <w:tcPr>
            <w:tcW w:w="995" w:type="dxa"/>
            <w:tcBorders>
              <w:top w:val="nil"/>
              <w:left w:val="nil"/>
              <w:bottom w:val="single" w:sz="4" w:space="0" w:color="auto"/>
              <w:right w:val="single" w:sz="4" w:space="0" w:color="auto"/>
            </w:tcBorders>
            <w:noWrap/>
            <w:vAlign w:val="center"/>
            <w:hideMark/>
          </w:tcPr>
          <w:p w14:paraId="36B85981" w14:textId="77777777" w:rsidR="005A319E" w:rsidRPr="005A319E" w:rsidRDefault="005A319E" w:rsidP="005A319E">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5A319E">
              <w:rPr>
                <w:rFonts w:ascii="Times New Roman" w:eastAsia="Times New Roman" w:hAnsi="Times New Roman" w:cs="Times New Roman"/>
                <w:color w:val="000000"/>
                <w:kern w:val="0"/>
                <w:sz w:val="16"/>
                <w:szCs w:val="16"/>
                <w:lang w:eastAsia="en-IN"/>
                <w14:ligatures w14:val="none"/>
              </w:rPr>
              <w:t>9.14</w:t>
            </w:r>
          </w:p>
        </w:tc>
        <w:tc>
          <w:tcPr>
            <w:tcW w:w="916" w:type="dxa"/>
            <w:tcBorders>
              <w:top w:val="nil"/>
              <w:left w:val="nil"/>
              <w:bottom w:val="single" w:sz="4" w:space="0" w:color="auto"/>
              <w:right w:val="single" w:sz="4" w:space="0" w:color="auto"/>
            </w:tcBorders>
            <w:noWrap/>
            <w:vAlign w:val="center"/>
            <w:hideMark/>
          </w:tcPr>
          <w:p w14:paraId="594E8559" w14:textId="77777777" w:rsidR="005A319E" w:rsidRPr="005A319E" w:rsidRDefault="005A319E" w:rsidP="005A319E">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5A319E">
              <w:rPr>
                <w:rFonts w:ascii="Times New Roman" w:eastAsia="Times New Roman" w:hAnsi="Times New Roman" w:cs="Times New Roman"/>
                <w:color w:val="000000"/>
                <w:kern w:val="0"/>
                <w:sz w:val="16"/>
                <w:szCs w:val="16"/>
                <w:lang w:eastAsia="en-IN"/>
                <w14:ligatures w14:val="none"/>
              </w:rPr>
              <w:t>6.59</w:t>
            </w:r>
          </w:p>
        </w:tc>
        <w:tc>
          <w:tcPr>
            <w:tcW w:w="865" w:type="dxa"/>
            <w:tcBorders>
              <w:top w:val="nil"/>
              <w:left w:val="nil"/>
              <w:bottom w:val="single" w:sz="4" w:space="0" w:color="auto"/>
              <w:right w:val="single" w:sz="4" w:space="0" w:color="auto"/>
            </w:tcBorders>
            <w:noWrap/>
            <w:vAlign w:val="center"/>
            <w:hideMark/>
          </w:tcPr>
          <w:p w14:paraId="345E9F38" w14:textId="77777777" w:rsidR="005A319E" w:rsidRPr="005A319E" w:rsidRDefault="005A319E" w:rsidP="005A319E">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5A319E">
              <w:rPr>
                <w:rFonts w:ascii="Times New Roman" w:eastAsia="Times New Roman" w:hAnsi="Times New Roman" w:cs="Times New Roman"/>
                <w:color w:val="000000"/>
                <w:kern w:val="0"/>
                <w:sz w:val="16"/>
                <w:szCs w:val="16"/>
                <w:lang w:eastAsia="en-IN"/>
                <w14:ligatures w14:val="none"/>
              </w:rPr>
              <w:t>1.32</w:t>
            </w:r>
          </w:p>
        </w:tc>
        <w:tc>
          <w:tcPr>
            <w:tcW w:w="581" w:type="dxa"/>
            <w:tcBorders>
              <w:top w:val="nil"/>
              <w:left w:val="nil"/>
              <w:bottom w:val="single" w:sz="4" w:space="0" w:color="auto"/>
              <w:right w:val="single" w:sz="4" w:space="0" w:color="auto"/>
            </w:tcBorders>
            <w:noWrap/>
            <w:vAlign w:val="center"/>
            <w:hideMark/>
          </w:tcPr>
          <w:p w14:paraId="2D0EF2CC" w14:textId="77777777" w:rsidR="005A319E" w:rsidRPr="005A319E" w:rsidRDefault="005A319E" w:rsidP="005A319E">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5A319E">
              <w:rPr>
                <w:rFonts w:ascii="Times New Roman" w:eastAsia="Times New Roman" w:hAnsi="Times New Roman" w:cs="Times New Roman"/>
                <w:color w:val="000000"/>
                <w:kern w:val="0"/>
                <w:sz w:val="16"/>
                <w:szCs w:val="16"/>
                <w:lang w:eastAsia="en-IN"/>
                <w14:ligatures w14:val="none"/>
              </w:rPr>
              <w:t>7.91</w:t>
            </w:r>
          </w:p>
        </w:tc>
      </w:tr>
      <w:tr w:rsidR="005A319E" w:rsidRPr="005A319E" w14:paraId="76AC1CB0" w14:textId="77777777" w:rsidTr="00D67840">
        <w:trPr>
          <w:trHeight w:val="22"/>
          <w:jc w:val="center"/>
        </w:trPr>
        <w:tc>
          <w:tcPr>
            <w:tcW w:w="1842" w:type="dxa"/>
            <w:tcBorders>
              <w:top w:val="nil"/>
              <w:left w:val="single" w:sz="4" w:space="0" w:color="auto"/>
              <w:bottom w:val="single" w:sz="4" w:space="0" w:color="auto"/>
              <w:right w:val="single" w:sz="4" w:space="0" w:color="auto"/>
            </w:tcBorders>
            <w:noWrap/>
            <w:vAlign w:val="center"/>
            <w:hideMark/>
          </w:tcPr>
          <w:p w14:paraId="62BDC2C4" w14:textId="77777777" w:rsidR="005A319E" w:rsidRPr="005A319E" w:rsidRDefault="005A319E" w:rsidP="005A319E">
            <w:pPr>
              <w:spacing w:after="0" w:line="240" w:lineRule="auto"/>
              <w:rPr>
                <w:rFonts w:ascii="Times New Roman" w:eastAsia="Times New Roman" w:hAnsi="Times New Roman" w:cs="Times New Roman"/>
                <w:color w:val="000000"/>
                <w:kern w:val="0"/>
                <w:sz w:val="16"/>
                <w:szCs w:val="16"/>
                <w:lang w:eastAsia="en-IN"/>
                <w14:ligatures w14:val="none"/>
              </w:rPr>
            </w:pPr>
            <w:r w:rsidRPr="005A319E">
              <w:rPr>
                <w:rFonts w:ascii="Times New Roman" w:eastAsia="Times New Roman" w:hAnsi="Times New Roman" w:cs="Times New Roman"/>
                <w:color w:val="000000"/>
                <w:kern w:val="0"/>
                <w:sz w:val="16"/>
                <w:szCs w:val="16"/>
                <w:lang w:eastAsia="en-IN"/>
                <w14:ligatures w14:val="none"/>
              </w:rPr>
              <w:t>6. Jammu &amp; Kashmir:</w:t>
            </w:r>
          </w:p>
        </w:tc>
        <w:tc>
          <w:tcPr>
            <w:tcW w:w="851" w:type="dxa"/>
            <w:tcBorders>
              <w:top w:val="nil"/>
              <w:left w:val="nil"/>
              <w:bottom w:val="single" w:sz="4" w:space="0" w:color="auto"/>
              <w:right w:val="single" w:sz="4" w:space="0" w:color="auto"/>
            </w:tcBorders>
            <w:noWrap/>
            <w:vAlign w:val="center"/>
            <w:hideMark/>
          </w:tcPr>
          <w:p w14:paraId="24E5D297" w14:textId="77777777" w:rsidR="005A319E" w:rsidRPr="005A319E" w:rsidRDefault="005A319E" w:rsidP="005A319E">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5A319E">
              <w:rPr>
                <w:rFonts w:ascii="Times New Roman" w:eastAsia="Times New Roman" w:hAnsi="Times New Roman" w:cs="Times New Roman"/>
                <w:color w:val="000000"/>
                <w:kern w:val="0"/>
                <w:sz w:val="16"/>
                <w:szCs w:val="16"/>
                <w:lang w:eastAsia="en-IN"/>
                <w14:ligatures w14:val="none"/>
              </w:rPr>
              <w:t> </w:t>
            </w:r>
          </w:p>
        </w:tc>
        <w:tc>
          <w:tcPr>
            <w:tcW w:w="992" w:type="dxa"/>
            <w:tcBorders>
              <w:top w:val="nil"/>
              <w:left w:val="nil"/>
              <w:bottom w:val="single" w:sz="4" w:space="0" w:color="auto"/>
              <w:right w:val="single" w:sz="4" w:space="0" w:color="auto"/>
            </w:tcBorders>
            <w:noWrap/>
            <w:vAlign w:val="center"/>
            <w:hideMark/>
          </w:tcPr>
          <w:p w14:paraId="1FCCA839" w14:textId="77777777" w:rsidR="005A319E" w:rsidRPr="005A319E" w:rsidRDefault="005A319E" w:rsidP="005A319E">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5A319E">
              <w:rPr>
                <w:rFonts w:ascii="Times New Roman" w:eastAsia="Times New Roman" w:hAnsi="Times New Roman" w:cs="Times New Roman"/>
                <w:color w:val="000000"/>
                <w:kern w:val="0"/>
                <w:sz w:val="16"/>
                <w:szCs w:val="16"/>
                <w:lang w:eastAsia="en-IN"/>
                <w14:ligatures w14:val="none"/>
              </w:rPr>
              <w:t> </w:t>
            </w:r>
          </w:p>
        </w:tc>
        <w:tc>
          <w:tcPr>
            <w:tcW w:w="581" w:type="dxa"/>
            <w:tcBorders>
              <w:top w:val="nil"/>
              <w:left w:val="nil"/>
              <w:bottom w:val="single" w:sz="4" w:space="0" w:color="auto"/>
              <w:right w:val="single" w:sz="4" w:space="0" w:color="auto"/>
            </w:tcBorders>
            <w:noWrap/>
            <w:vAlign w:val="center"/>
            <w:hideMark/>
          </w:tcPr>
          <w:p w14:paraId="095E637C" w14:textId="77777777" w:rsidR="005A319E" w:rsidRPr="005A319E" w:rsidRDefault="005A319E" w:rsidP="005A319E">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5A319E">
              <w:rPr>
                <w:rFonts w:ascii="Times New Roman" w:eastAsia="Times New Roman" w:hAnsi="Times New Roman" w:cs="Times New Roman"/>
                <w:color w:val="000000"/>
                <w:kern w:val="0"/>
                <w:sz w:val="16"/>
                <w:szCs w:val="16"/>
                <w:lang w:eastAsia="en-IN"/>
                <w14:ligatures w14:val="none"/>
              </w:rPr>
              <w:t> </w:t>
            </w:r>
          </w:p>
        </w:tc>
        <w:tc>
          <w:tcPr>
            <w:tcW w:w="992" w:type="dxa"/>
            <w:tcBorders>
              <w:top w:val="nil"/>
              <w:left w:val="nil"/>
              <w:bottom w:val="single" w:sz="4" w:space="0" w:color="auto"/>
              <w:right w:val="single" w:sz="4" w:space="0" w:color="auto"/>
            </w:tcBorders>
            <w:noWrap/>
            <w:vAlign w:val="center"/>
            <w:hideMark/>
          </w:tcPr>
          <w:p w14:paraId="051B382F" w14:textId="77777777" w:rsidR="005A319E" w:rsidRPr="005A319E" w:rsidRDefault="005A319E" w:rsidP="005A319E">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5A319E">
              <w:rPr>
                <w:rFonts w:ascii="Times New Roman" w:eastAsia="Times New Roman" w:hAnsi="Times New Roman" w:cs="Times New Roman"/>
                <w:color w:val="000000"/>
                <w:kern w:val="0"/>
                <w:sz w:val="16"/>
                <w:szCs w:val="16"/>
                <w:lang w:eastAsia="en-IN"/>
                <w14:ligatures w14:val="none"/>
              </w:rPr>
              <w:t> </w:t>
            </w:r>
          </w:p>
        </w:tc>
        <w:tc>
          <w:tcPr>
            <w:tcW w:w="865" w:type="dxa"/>
            <w:tcBorders>
              <w:top w:val="nil"/>
              <w:left w:val="nil"/>
              <w:bottom w:val="single" w:sz="4" w:space="0" w:color="auto"/>
              <w:right w:val="single" w:sz="4" w:space="0" w:color="auto"/>
            </w:tcBorders>
            <w:noWrap/>
            <w:vAlign w:val="center"/>
            <w:hideMark/>
          </w:tcPr>
          <w:p w14:paraId="00471608" w14:textId="77777777" w:rsidR="005A319E" w:rsidRPr="005A319E" w:rsidRDefault="005A319E" w:rsidP="005A319E">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5A319E">
              <w:rPr>
                <w:rFonts w:ascii="Times New Roman" w:eastAsia="Times New Roman" w:hAnsi="Times New Roman" w:cs="Times New Roman"/>
                <w:color w:val="000000"/>
                <w:kern w:val="0"/>
                <w:sz w:val="16"/>
                <w:szCs w:val="16"/>
                <w:lang w:eastAsia="en-IN"/>
                <w14:ligatures w14:val="none"/>
              </w:rPr>
              <w:t> </w:t>
            </w:r>
          </w:p>
        </w:tc>
        <w:tc>
          <w:tcPr>
            <w:tcW w:w="709" w:type="dxa"/>
            <w:tcBorders>
              <w:top w:val="nil"/>
              <w:left w:val="nil"/>
              <w:bottom w:val="single" w:sz="4" w:space="0" w:color="auto"/>
              <w:right w:val="single" w:sz="4" w:space="0" w:color="auto"/>
            </w:tcBorders>
            <w:noWrap/>
            <w:vAlign w:val="center"/>
            <w:hideMark/>
          </w:tcPr>
          <w:p w14:paraId="4224D1CD" w14:textId="77777777" w:rsidR="005A319E" w:rsidRPr="005A319E" w:rsidRDefault="005A319E" w:rsidP="005A319E">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5A319E">
              <w:rPr>
                <w:rFonts w:ascii="Times New Roman" w:eastAsia="Times New Roman" w:hAnsi="Times New Roman" w:cs="Times New Roman"/>
                <w:color w:val="000000"/>
                <w:kern w:val="0"/>
                <w:sz w:val="16"/>
                <w:szCs w:val="16"/>
                <w:lang w:eastAsia="en-IN"/>
                <w14:ligatures w14:val="none"/>
              </w:rPr>
              <w:t> </w:t>
            </w:r>
          </w:p>
        </w:tc>
        <w:tc>
          <w:tcPr>
            <w:tcW w:w="708" w:type="dxa"/>
            <w:tcBorders>
              <w:top w:val="nil"/>
              <w:left w:val="nil"/>
              <w:bottom w:val="single" w:sz="4" w:space="0" w:color="auto"/>
              <w:right w:val="single" w:sz="4" w:space="0" w:color="auto"/>
            </w:tcBorders>
            <w:noWrap/>
            <w:vAlign w:val="center"/>
            <w:hideMark/>
          </w:tcPr>
          <w:p w14:paraId="1991755A" w14:textId="77777777" w:rsidR="005A319E" w:rsidRPr="005A319E" w:rsidRDefault="005A319E" w:rsidP="005A319E">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5A319E">
              <w:rPr>
                <w:rFonts w:ascii="Times New Roman" w:eastAsia="Times New Roman" w:hAnsi="Times New Roman" w:cs="Times New Roman"/>
                <w:color w:val="000000"/>
                <w:kern w:val="0"/>
                <w:sz w:val="16"/>
                <w:szCs w:val="16"/>
                <w:lang w:eastAsia="en-IN"/>
                <w14:ligatures w14:val="none"/>
              </w:rPr>
              <w:t> </w:t>
            </w:r>
          </w:p>
        </w:tc>
        <w:tc>
          <w:tcPr>
            <w:tcW w:w="865" w:type="dxa"/>
            <w:tcBorders>
              <w:top w:val="nil"/>
              <w:left w:val="nil"/>
              <w:bottom w:val="single" w:sz="4" w:space="0" w:color="auto"/>
              <w:right w:val="single" w:sz="4" w:space="0" w:color="auto"/>
            </w:tcBorders>
            <w:noWrap/>
            <w:vAlign w:val="center"/>
            <w:hideMark/>
          </w:tcPr>
          <w:p w14:paraId="7C4FB151" w14:textId="77777777" w:rsidR="005A319E" w:rsidRPr="005A319E" w:rsidRDefault="005A319E" w:rsidP="005A319E">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5A319E">
              <w:rPr>
                <w:rFonts w:ascii="Times New Roman" w:eastAsia="Times New Roman" w:hAnsi="Times New Roman" w:cs="Times New Roman"/>
                <w:color w:val="000000"/>
                <w:kern w:val="0"/>
                <w:sz w:val="16"/>
                <w:szCs w:val="16"/>
                <w:lang w:eastAsia="en-IN"/>
                <w14:ligatures w14:val="none"/>
              </w:rPr>
              <w:t> </w:t>
            </w:r>
          </w:p>
        </w:tc>
        <w:tc>
          <w:tcPr>
            <w:tcW w:w="581" w:type="dxa"/>
            <w:tcBorders>
              <w:top w:val="nil"/>
              <w:left w:val="nil"/>
              <w:bottom w:val="single" w:sz="4" w:space="0" w:color="auto"/>
              <w:right w:val="single" w:sz="4" w:space="0" w:color="auto"/>
            </w:tcBorders>
            <w:noWrap/>
            <w:vAlign w:val="center"/>
            <w:hideMark/>
          </w:tcPr>
          <w:p w14:paraId="18527666" w14:textId="77777777" w:rsidR="005A319E" w:rsidRPr="005A319E" w:rsidRDefault="005A319E" w:rsidP="005A319E">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5A319E">
              <w:rPr>
                <w:rFonts w:ascii="Times New Roman" w:eastAsia="Times New Roman" w:hAnsi="Times New Roman" w:cs="Times New Roman"/>
                <w:color w:val="000000"/>
                <w:kern w:val="0"/>
                <w:sz w:val="16"/>
                <w:szCs w:val="16"/>
                <w:lang w:eastAsia="en-IN"/>
                <w14:ligatures w14:val="none"/>
              </w:rPr>
              <w:t> </w:t>
            </w:r>
          </w:p>
        </w:tc>
        <w:tc>
          <w:tcPr>
            <w:tcW w:w="1004" w:type="dxa"/>
            <w:tcBorders>
              <w:top w:val="nil"/>
              <w:left w:val="nil"/>
              <w:bottom w:val="single" w:sz="4" w:space="0" w:color="auto"/>
              <w:right w:val="single" w:sz="4" w:space="0" w:color="auto"/>
            </w:tcBorders>
            <w:noWrap/>
            <w:vAlign w:val="center"/>
            <w:hideMark/>
          </w:tcPr>
          <w:p w14:paraId="2E94F834" w14:textId="77777777" w:rsidR="005A319E" w:rsidRPr="005A319E" w:rsidRDefault="005A319E" w:rsidP="005A319E">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5A319E">
              <w:rPr>
                <w:rFonts w:ascii="Times New Roman" w:eastAsia="Times New Roman" w:hAnsi="Times New Roman" w:cs="Times New Roman"/>
                <w:color w:val="000000"/>
                <w:kern w:val="0"/>
                <w:sz w:val="16"/>
                <w:szCs w:val="16"/>
                <w:lang w:eastAsia="en-IN"/>
                <w14:ligatures w14:val="none"/>
              </w:rPr>
              <w:t> </w:t>
            </w:r>
          </w:p>
        </w:tc>
        <w:tc>
          <w:tcPr>
            <w:tcW w:w="865" w:type="dxa"/>
            <w:tcBorders>
              <w:top w:val="nil"/>
              <w:left w:val="nil"/>
              <w:bottom w:val="single" w:sz="4" w:space="0" w:color="auto"/>
              <w:right w:val="single" w:sz="4" w:space="0" w:color="auto"/>
            </w:tcBorders>
            <w:noWrap/>
            <w:vAlign w:val="center"/>
            <w:hideMark/>
          </w:tcPr>
          <w:p w14:paraId="2402B1DE" w14:textId="77777777" w:rsidR="005A319E" w:rsidRPr="005A319E" w:rsidRDefault="005A319E" w:rsidP="005A319E">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5A319E">
              <w:rPr>
                <w:rFonts w:ascii="Times New Roman" w:eastAsia="Times New Roman" w:hAnsi="Times New Roman" w:cs="Times New Roman"/>
                <w:color w:val="000000"/>
                <w:kern w:val="0"/>
                <w:sz w:val="16"/>
                <w:szCs w:val="16"/>
                <w:lang w:eastAsia="en-IN"/>
                <w14:ligatures w14:val="none"/>
              </w:rPr>
              <w:t> </w:t>
            </w:r>
          </w:p>
        </w:tc>
        <w:tc>
          <w:tcPr>
            <w:tcW w:w="995" w:type="dxa"/>
            <w:tcBorders>
              <w:top w:val="nil"/>
              <w:left w:val="nil"/>
              <w:bottom w:val="single" w:sz="4" w:space="0" w:color="auto"/>
              <w:right w:val="single" w:sz="4" w:space="0" w:color="auto"/>
            </w:tcBorders>
            <w:noWrap/>
            <w:vAlign w:val="center"/>
            <w:hideMark/>
          </w:tcPr>
          <w:p w14:paraId="166E565C" w14:textId="77777777" w:rsidR="005A319E" w:rsidRPr="005A319E" w:rsidRDefault="005A319E" w:rsidP="005A319E">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5A319E">
              <w:rPr>
                <w:rFonts w:ascii="Times New Roman" w:eastAsia="Times New Roman" w:hAnsi="Times New Roman" w:cs="Times New Roman"/>
                <w:color w:val="000000"/>
                <w:kern w:val="0"/>
                <w:sz w:val="16"/>
                <w:szCs w:val="16"/>
                <w:lang w:eastAsia="en-IN"/>
                <w14:ligatures w14:val="none"/>
              </w:rPr>
              <w:t> </w:t>
            </w:r>
          </w:p>
        </w:tc>
        <w:tc>
          <w:tcPr>
            <w:tcW w:w="916" w:type="dxa"/>
            <w:tcBorders>
              <w:top w:val="nil"/>
              <w:left w:val="nil"/>
              <w:bottom w:val="single" w:sz="4" w:space="0" w:color="auto"/>
              <w:right w:val="single" w:sz="4" w:space="0" w:color="auto"/>
            </w:tcBorders>
            <w:noWrap/>
            <w:vAlign w:val="center"/>
            <w:hideMark/>
          </w:tcPr>
          <w:p w14:paraId="21F3D08E" w14:textId="77777777" w:rsidR="005A319E" w:rsidRPr="005A319E" w:rsidRDefault="005A319E" w:rsidP="005A319E">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5A319E">
              <w:rPr>
                <w:rFonts w:ascii="Times New Roman" w:eastAsia="Times New Roman" w:hAnsi="Times New Roman" w:cs="Times New Roman"/>
                <w:color w:val="000000"/>
                <w:kern w:val="0"/>
                <w:sz w:val="16"/>
                <w:szCs w:val="16"/>
                <w:lang w:eastAsia="en-IN"/>
                <w14:ligatures w14:val="none"/>
              </w:rPr>
              <w:t> </w:t>
            </w:r>
          </w:p>
        </w:tc>
        <w:tc>
          <w:tcPr>
            <w:tcW w:w="865" w:type="dxa"/>
            <w:tcBorders>
              <w:top w:val="nil"/>
              <w:left w:val="nil"/>
              <w:bottom w:val="single" w:sz="4" w:space="0" w:color="auto"/>
              <w:right w:val="single" w:sz="4" w:space="0" w:color="auto"/>
            </w:tcBorders>
            <w:noWrap/>
            <w:vAlign w:val="center"/>
            <w:hideMark/>
          </w:tcPr>
          <w:p w14:paraId="219495DB" w14:textId="77777777" w:rsidR="005A319E" w:rsidRPr="005A319E" w:rsidRDefault="005A319E" w:rsidP="005A319E">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5A319E">
              <w:rPr>
                <w:rFonts w:ascii="Times New Roman" w:eastAsia="Times New Roman" w:hAnsi="Times New Roman" w:cs="Times New Roman"/>
                <w:color w:val="000000"/>
                <w:kern w:val="0"/>
                <w:sz w:val="16"/>
                <w:szCs w:val="16"/>
                <w:lang w:eastAsia="en-IN"/>
                <w14:ligatures w14:val="none"/>
              </w:rPr>
              <w:t> </w:t>
            </w:r>
          </w:p>
        </w:tc>
        <w:tc>
          <w:tcPr>
            <w:tcW w:w="581" w:type="dxa"/>
            <w:tcBorders>
              <w:top w:val="nil"/>
              <w:left w:val="nil"/>
              <w:bottom w:val="single" w:sz="4" w:space="0" w:color="auto"/>
              <w:right w:val="single" w:sz="4" w:space="0" w:color="auto"/>
            </w:tcBorders>
            <w:noWrap/>
            <w:vAlign w:val="center"/>
            <w:hideMark/>
          </w:tcPr>
          <w:p w14:paraId="5C45A3DC" w14:textId="77777777" w:rsidR="005A319E" w:rsidRPr="005A319E" w:rsidRDefault="005A319E" w:rsidP="005A319E">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5A319E">
              <w:rPr>
                <w:rFonts w:ascii="Times New Roman" w:eastAsia="Times New Roman" w:hAnsi="Times New Roman" w:cs="Times New Roman"/>
                <w:color w:val="000000"/>
                <w:kern w:val="0"/>
                <w:sz w:val="16"/>
                <w:szCs w:val="16"/>
                <w:lang w:eastAsia="en-IN"/>
                <w14:ligatures w14:val="none"/>
              </w:rPr>
              <w:t> </w:t>
            </w:r>
          </w:p>
        </w:tc>
      </w:tr>
      <w:tr w:rsidR="005A319E" w:rsidRPr="005A319E" w14:paraId="559D8676" w14:textId="77777777" w:rsidTr="00D67840">
        <w:trPr>
          <w:trHeight w:val="22"/>
          <w:jc w:val="center"/>
        </w:trPr>
        <w:tc>
          <w:tcPr>
            <w:tcW w:w="1842" w:type="dxa"/>
            <w:tcBorders>
              <w:top w:val="nil"/>
              <w:left w:val="single" w:sz="4" w:space="0" w:color="auto"/>
              <w:bottom w:val="single" w:sz="4" w:space="0" w:color="auto"/>
              <w:right w:val="single" w:sz="4" w:space="0" w:color="auto"/>
            </w:tcBorders>
            <w:noWrap/>
            <w:vAlign w:val="center"/>
            <w:hideMark/>
          </w:tcPr>
          <w:p w14:paraId="43D5901C" w14:textId="77777777" w:rsidR="005A319E" w:rsidRPr="005A319E" w:rsidRDefault="005A319E" w:rsidP="005A319E">
            <w:pPr>
              <w:spacing w:after="0" w:line="240" w:lineRule="auto"/>
              <w:rPr>
                <w:rFonts w:ascii="Times New Roman" w:eastAsia="Times New Roman" w:hAnsi="Times New Roman" w:cs="Times New Roman"/>
                <w:color w:val="000000"/>
                <w:kern w:val="0"/>
                <w:sz w:val="16"/>
                <w:szCs w:val="16"/>
                <w:lang w:eastAsia="en-IN"/>
                <w14:ligatures w14:val="none"/>
              </w:rPr>
            </w:pPr>
            <w:r w:rsidRPr="005A319E">
              <w:rPr>
                <w:rFonts w:ascii="Times New Roman" w:eastAsia="Times New Roman" w:hAnsi="Times New Roman" w:cs="Times New Roman"/>
                <w:color w:val="000000"/>
                <w:kern w:val="0"/>
                <w:sz w:val="16"/>
                <w:szCs w:val="16"/>
                <w:lang w:eastAsia="en-IN"/>
                <w14:ligatures w14:val="none"/>
              </w:rPr>
              <w:t>(a) Jammu</w:t>
            </w:r>
          </w:p>
        </w:tc>
        <w:tc>
          <w:tcPr>
            <w:tcW w:w="851" w:type="dxa"/>
            <w:tcBorders>
              <w:top w:val="nil"/>
              <w:left w:val="nil"/>
              <w:bottom w:val="single" w:sz="4" w:space="0" w:color="auto"/>
              <w:right w:val="single" w:sz="4" w:space="0" w:color="auto"/>
            </w:tcBorders>
            <w:noWrap/>
            <w:vAlign w:val="center"/>
            <w:hideMark/>
          </w:tcPr>
          <w:p w14:paraId="73066BE5" w14:textId="77777777" w:rsidR="005A319E" w:rsidRPr="005A319E" w:rsidRDefault="005A319E" w:rsidP="005A319E">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5A319E">
              <w:rPr>
                <w:rFonts w:ascii="Times New Roman" w:eastAsia="Times New Roman" w:hAnsi="Times New Roman" w:cs="Times New Roman"/>
                <w:color w:val="000000"/>
                <w:kern w:val="0"/>
                <w:sz w:val="16"/>
                <w:szCs w:val="16"/>
                <w:lang w:eastAsia="en-IN"/>
                <w14:ligatures w14:val="none"/>
              </w:rPr>
              <w:t>10.90</w:t>
            </w:r>
          </w:p>
        </w:tc>
        <w:tc>
          <w:tcPr>
            <w:tcW w:w="992" w:type="dxa"/>
            <w:tcBorders>
              <w:top w:val="nil"/>
              <w:left w:val="nil"/>
              <w:bottom w:val="single" w:sz="4" w:space="0" w:color="auto"/>
              <w:right w:val="single" w:sz="4" w:space="0" w:color="auto"/>
            </w:tcBorders>
            <w:noWrap/>
            <w:vAlign w:val="center"/>
            <w:hideMark/>
          </w:tcPr>
          <w:p w14:paraId="58661558" w14:textId="77777777" w:rsidR="005A319E" w:rsidRPr="005A319E" w:rsidRDefault="005A319E" w:rsidP="005A319E">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5A319E">
              <w:rPr>
                <w:rFonts w:ascii="Times New Roman" w:eastAsia="Times New Roman" w:hAnsi="Times New Roman" w:cs="Times New Roman"/>
                <w:color w:val="000000"/>
                <w:kern w:val="0"/>
                <w:sz w:val="16"/>
                <w:szCs w:val="16"/>
                <w:lang w:eastAsia="en-IN"/>
                <w14:ligatures w14:val="none"/>
              </w:rPr>
              <w:t>1.64</w:t>
            </w:r>
          </w:p>
        </w:tc>
        <w:tc>
          <w:tcPr>
            <w:tcW w:w="581" w:type="dxa"/>
            <w:tcBorders>
              <w:top w:val="nil"/>
              <w:left w:val="nil"/>
              <w:bottom w:val="single" w:sz="4" w:space="0" w:color="auto"/>
              <w:right w:val="single" w:sz="4" w:space="0" w:color="auto"/>
            </w:tcBorders>
            <w:noWrap/>
            <w:vAlign w:val="center"/>
            <w:hideMark/>
          </w:tcPr>
          <w:p w14:paraId="5F4DB333" w14:textId="77777777" w:rsidR="005A319E" w:rsidRPr="005A319E" w:rsidRDefault="005A319E" w:rsidP="005A319E">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5A319E">
              <w:rPr>
                <w:rFonts w:ascii="Times New Roman" w:eastAsia="Times New Roman" w:hAnsi="Times New Roman" w:cs="Times New Roman"/>
                <w:color w:val="000000"/>
                <w:kern w:val="0"/>
                <w:sz w:val="16"/>
                <w:szCs w:val="16"/>
                <w:lang w:eastAsia="en-IN"/>
                <w14:ligatures w14:val="none"/>
              </w:rPr>
              <w:t>12.54</w:t>
            </w:r>
          </w:p>
        </w:tc>
        <w:tc>
          <w:tcPr>
            <w:tcW w:w="992" w:type="dxa"/>
            <w:tcBorders>
              <w:top w:val="nil"/>
              <w:left w:val="nil"/>
              <w:bottom w:val="single" w:sz="4" w:space="0" w:color="auto"/>
              <w:right w:val="single" w:sz="4" w:space="0" w:color="auto"/>
            </w:tcBorders>
            <w:noWrap/>
            <w:vAlign w:val="center"/>
            <w:hideMark/>
          </w:tcPr>
          <w:p w14:paraId="42E08A63" w14:textId="77777777" w:rsidR="005A319E" w:rsidRPr="005A319E" w:rsidRDefault="005A319E" w:rsidP="005A319E">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5A319E">
              <w:rPr>
                <w:rFonts w:ascii="Times New Roman" w:eastAsia="Times New Roman" w:hAnsi="Times New Roman" w:cs="Times New Roman"/>
                <w:color w:val="000000"/>
                <w:kern w:val="0"/>
                <w:sz w:val="16"/>
                <w:szCs w:val="16"/>
                <w:lang w:eastAsia="en-IN"/>
                <w14:ligatures w14:val="none"/>
              </w:rPr>
              <w:t>9.67</w:t>
            </w:r>
          </w:p>
        </w:tc>
        <w:tc>
          <w:tcPr>
            <w:tcW w:w="865" w:type="dxa"/>
            <w:tcBorders>
              <w:top w:val="nil"/>
              <w:left w:val="nil"/>
              <w:bottom w:val="single" w:sz="4" w:space="0" w:color="auto"/>
              <w:right w:val="single" w:sz="4" w:space="0" w:color="auto"/>
            </w:tcBorders>
            <w:noWrap/>
            <w:vAlign w:val="center"/>
            <w:hideMark/>
          </w:tcPr>
          <w:p w14:paraId="3B29D028" w14:textId="77777777" w:rsidR="005A319E" w:rsidRPr="005A319E" w:rsidRDefault="005A319E" w:rsidP="005A319E">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5A319E">
              <w:rPr>
                <w:rFonts w:ascii="Times New Roman" w:eastAsia="Times New Roman" w:hAnsi="Times New Roman" w:cs="Times New Roman"/>
                <w:color w:val="000000"/>
                <w:kern w:val="0"/>
                <w:sz w:val="16"/>
                <w:szCs w:val="16"/>
                <w:lang w:eastAsia="en-IN"/>
                <w14:ligatures w14:val="none"/>
              </w:rPr>
              <w:t>1.15</w:t>
            </w:r>
          </w:p>
        </w:tc>
        <w:tc>
          <w:tcPr>
            <w:tcW w:w="709" w:type="dxa"/>
            <w:tcBorders>
              <w:top w:val="nil"/>
              <w:left w:val="nil"/>
              <w:bottom w:val="single" w:sz="4" w:space="0" w:color="auto"/>
              <w:right w:val="single" w:sz="4" w:space="0" w:color="auto"/>
            </w:tcBorders>
            <w:noWrap/>
            <w:vAlign w:val="center"/>
            <w:hideMark/>
          </w:tcPr>
          <w:p w14:paraId="4E23605A" w14:textId="77777777" w:rsidR="005A319E" w:rsidRPr="005A319E" w:rsidRDefault="005A319E" w:rsidP="005A319E">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5A319E">
              <w:rPr>
                <w:rFonts w:ascii="Times New Roman" w:eastAsia="Times New Roman" w:hAnsi="Times New Roman" w:cs="Times New Roman"/>
                <w:color w:val="000000"/>
                <w:kern w:val="0"/>
                <w:sz w:val="16"/>
                <w:szCs w:val="16"/>
                <w:lang w:eastAsia="en-IN"/>
                <w14:ligatures w14:val="none"/>
              </w:rPr>
              <w:t>10.72</w:t>
            </w:r>
          </w:p>
        </w:tc>
        <w:tc>
          <w:tcPr>
            <w:tcW w:w="708" w:type="dxa"/>
            <w:tcBorders>
              <w:top w:val="nil"/>
              <w:left w:val="nil"/>
              <w:bottom w:val="single" w:sz="4" w:space="0" w:color="auto"/>
              <w:right w:val="single" w:sz="4" w:space="0" w:color="auto"/>
            </w:tcBorders>
            <w:noWrap/>
            <w:vAlign w:val="center"/>
            <w:hideMark/>
          </w:tcPr>
          <w:p w14:paraId="3E344406" w14:textId="77777777" w:rsidR="005A319E" w:rsidRPr="005A319E" w:rsidRDefault="005A319E" w:rsidP="005A319E">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5A319E">
              <w:rPr>
                <w:rFonts w:ascii="Times New Roman" w:eastAsia="Times New Roman" w:hAnsi="Times New Roman" w:cs="Times New Roman"/>
                <w:color w:val="000000"/>
                <w:kern w:val="0"/>
                <w:sz w:val="16"/>
                <w:szCs w:val="16"/>
                <w:lang w:eastAsia="en-IN"/>
                <w14:ligatures w14:val="none"/>
              </w:rPr>
              <w:t>8.45</w:t>
            </w:r>
          </w:p>
        </w:tc>
        <w:tc>
          <w:tcPr>
            <w:tcW w:w="865" w:type="dxa"/>
            <w:tcBorders>
              <w:top w:val="nil"/>
              <w:left w:val="nil"/>
              <w:bottom w:val="single" w:sz="4" w:space="0" w:color="auto"/>
              <w:right w:val="single" w:sz="4" w:space="0" w:color="auto"/>
            </w:tcBorders>
            <w:noWrap/>
            <w:vAlign w:val="center"/>
            <w:hideMark/>
          </w:tcPr>
          <w:p w14:paraId="76226029" w14:textId="77777777" w:rsidR="005A319E" w:rsidRPr="005A319E" w:rsidRDefault="005A319E" w:rsidP="005A319E">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5A319E">
              <w:rPr>
                <w:rFonts w:ascii="Times New Roman" w:eastAsia="Times New Roman" w:hAnsi="Times New Roman" w:cs="Times New Roman"/>
                <w:color w:val="000000"/>
                <w:kern w:val="0"/>
                <w:sz w:val="16"/>
                <w:szCs w:val="16"/>
                <w:lang w:eastAsia="en-IN"/>
                <w14:ligatures w14:val="none"/>
              </w:rPr>
              <w:t>1.27</w:t>
            </w:r>
          </w:p>
        </w:tc>
        <w:tc>
          <w:tcPr>
            <w:tcW w:w="581" w:type="dxa"/>
            <w:tcBorders>
              <w:top w:val="nil"/>
              <w:left w:val="nil"/>
              <w:bottom w:val="single" w:sz="4" w:space="0" w:color="auto"/>
              <w:right w:val="single" w:sz="4" w:space="0" w:color="auto"/>
            </w:tcBorders>
            <w:noWrap/>
            <w:vAlign w:val="center"/>
            <w:hideMark/>
          </w:tcPr>
          <w:p w14:paraId="1FCFF7C3" w14:textId="77777777" w:rsidR="005A319E" w:rsidRPr="005A319E" w:rsidRDefault="005A319E" w:rsidP="005A319E">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5A319E">
              <w:rPr>
                <w:rFonts w:ascii="Times New Roman" w:eastAsia="Times New Roman" w:hAnsi="Times New Roman" w:cs="Times New Roman"/>
                <w:color w:val="000000"/>
                <w:kern w:val="0"/>
                <w:sz w:val="16"/>
                <w:szCs w:val="16"/>
                <w:lang w:eastAsia="en-IN"/>
                <w14:ligatures w14:val="none"/>
              </w:rPr>
              <w:t>9.72</w:t>
            </w:r>
          </w:p>
        </w:tc>
        <w:tc>
          <w:tcPr>
            <w:tcW w:w="1004" w:type="dxa"/>
            <w:tcBorders>
              <w:top w:val="nil"/>
              <w:left w:val="nil"/>
              <w:bottom w:val="single" w:sz="4" w:space="0" w:color="auto"/>
              <w:right w:val="single" w:sz="4" w:space="0" w:color="auto"/>
            </w:tcBorders>
            <w:noWrap/>
            <w:vAlign w:val="center"/>
            <w:hideMark/>
          </w:tcPr>
          <w:p w14:paraId="0860B8DA" w14:textId="77777777" w:rsidR="005A319E" w:rsidRPr="005A319E" w:rsidRDefault="005A319E" w:rsidP="005A319E">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5A319E">
              <w:rPr>
                <w:rFonts w:ascii="Times New Roman" w:eastAsia="Times New Roman" w:hAnsi="Times New Roman" w:cs="Times New Roman"/>
                <w:color w:val="000000"/>
                <w:kern w:val="0"/>
                <w:sz w:val="16"/>
                <w:szCs w:val="16"/>
                <w:lang w:eastAsia="en-IN"/>
                <w14:ligatures w14:val="none"/>
              </w:rPr>
              <w:t>5.84</w:t>
            </w:r>
          </w:p>
        </w:tc>
        <w:tc>
          <w:tcPr>
            <w:tcW w:w="865" w:type="dxa"/>
            <w:tcBorders>
              <w:top w:val="nil"/>
              <w:left w:val="nil"/>
              <w:bottom w:val="single" w:sz="4" w:space="0" w:color="auto"/>
              <w:right w:val="single" w:sz="4" w:space="0" w:color="auto"/>
            </w:tcBorders>
            <w:noWrap/>
            <w:vAlign w:val="center"/>
            <w:hideMark/>
          </w:tcPr>
          <w:p w14:paraId="01A041D7" w14:textId="77777777" w:rsidR="005A319E" w:rsidRPr="005A319E" w:rsidRDefault="005A319E" w:rsidP="005A319E">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5A319E">
              <w:rPr>
                <w:rFonts w:ascii="Times New Roman" w:eastAsia="Times New Roman" w:hAnsi="Times New Roman" w:cs="Times New Roman"/>
                <w:color w:val="000000"/>
                <w:kern w:val="0"/>
                <w:sz w:val="16"/>
                <w:szCs w:val="16"/>
                <w:lang w:eastAsia="en-IN"/>
                <w14:ligatures w14:val="none"/>
              </w:rPr>
              <w:t>0.87</w:t>
            </w:r>
          </w:p>
        </w:tc>
        <w:tc>
          <w:tcPr>
            <w:tcW w:w="995" w:type="dxa"/>
            <w:tcBorders>
              <w:top w:val="nil"/>
              <w:left w:val="nil"/>
              <w:bottom w:val="single" w:sz="4" w:space="0" w:color="auto"/>
              <w:right w:val="single" w:sz="4" w:space="0" w:color="auto"/>
            </w:tcBorders>
            <w:noWrap/>
            <w:vAlign w:val="center"/>
            <w:hideMark/>
          </w:tcPr>
          <w:p w14:paraId="7C0A82E2" w14:textId="77777777" w:rsidR="005A319E" w:rsidRPr="005A319E" w:rsidRDefault="005A319E" w:rsidP="005A319E">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5A319E">
              <w:rPr>
                <w:rFonts w:ascii="Times New Roman" w:eastAsia="Times New Roman" w:hAnsi="Times New Roman" w:cs="Times New Roman"/>
                <w:color w:val="000000"/>
                <w:kern w:val="0"/>
                <w:sz w:val="16"/>
                <w:szCs w:val="16"/>
                <w:lang w:eastAsia="en-IN"/>
                <w14:ligatures w14:val="none"/>
              </w:rPr>
              <w:t>6.71</w:t>
            </w:r>
          </w:p>
        </w:tc>
        <w:tc>
          <w:tcPr>
            <w:tcW w:w="916" w:type="dxa"/>
            <w:tcBorders>
              <w:top w:val="nil"/>
              <w:left w:val="nil"/>
              <w:bottom w:val="single" w:sz="4" w:space="0" w:color="auto"/>
              <w:right w:val="single" w:sz="4" w:space="0" w:color="auto"/>
            </w:tcBorders>
            <w:noWrap/>
            <w:vAlign w:val="center"/>
            <w:hideMark/>
          </w:tcPr>
          <w:p w14:paraId="3A4C17A2" w14:textId="77777777" w:rsidR="005A319E" w:rsidRPr="005A319E" w:rsidRDefault="005A319E" w:rsidP="005A319E">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5A319E">
              <w:rPr>
                <w:rFonts w:ascii="Times New Roman" w:eastAsia="Times New Roman" w:hAnsi="Times New Roman" w:cs="Times New Roman"/>
                <w:color w:val="000000"/>
                <w:kern w:val="0"/>
                <w:sz w:val="16"/>
                <w:szCs w:val="16"/>
                <w:lang w:eastAsia="en-IN"/>
                <w14:ligatures w14:val="none"/>
              </w:rPr>
              <w:t>5.47</w:t>
            </w:r>
          </w:p>
        </w:tc>
        <w:tc>
          <w:tcPr>
            <w:tcW w:w="865" w:type="dxa"/>
            <w:tcBorders>
              <w:top w:val="nil"/>
              <w:left w:val="nil"/>
              <w:bottom w:val="single" w:sz="4" w:space="0" w:color="auto"/>
              <w:right w:val="single" w:sz="4" w:space="0" w:color="auto"/>
            </w:tcBorders>
            <w:noWrap/>
            <w:vAlign w:val="center"/>
            <w:hideMark/>
          </w:tcPr>
          <w:p w14:paraId="143366B7" w14:textId="77777777" w:rsidR="005A319E" w:rsidRPr="005A319E" w:rsidRDefault="005A319E" w:rsidP="005A319E">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5A319E">
              <w:rPr>
                <w:rFonts w:ascii="Times New Roman" w:eastAsia="Times New Roman" w:hAnsi="Times New Roman" w:cs="Times New Roman"/>
                <w:color w:val="000000"/>
                <w:kern w:val="0"/>
                <w:sz w:val="16"/>
                <w:szCs w:val="16"/>
                <w:lang w:eastAsia="en-IN"/>
                <w14:ligatures w14:val="none"/>
              </w:rPr>
              <w:t>0.82</w:t>
            </w:r>
          </w:p>
        </w:tc>
        <w:tc>
          <w:tcPr>
            <w:tcW w:w="581" w:type="dxa"/>
            <w:tcBorders>
              <w:top w:val="nil"/>
              <w:left w:val="nil"/>
              <w:bottom w:val="single" w:sz="4" w:space="0" w:color="auto"/>
              <w:right w:val="single" w:sz="4" w:space="0" w:color="auto"/>
            </w:tcBorders>
            <w:noWrap/>
            <w:vAlign w:val="center"/>
            <w:hideMark/>
          </w:tcPr>
          <w:p w14:paraId="12F82B30" w14:textId="77777777" w:rsidR="005A319E" w:rsidRPr="005A319E" w:rsidRDefault="005A319E" w:rsidP="005A319E">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5A319E">
              <w:rPr>
                <w:rFonts w:ascii="Times New Roman" w:eastAsia="Times New Roman" w:hAnsi="Times New Roman" w:cs="Times New Roman"/>
                <w:color w:val="000000"/>
                <w:kern w:val="0"/>
                <w:sz w:val="16"/>
                <w:szCs w:val="16"/>
                <w:lang w:eastAsia="en-IN"/>
                <w14:ligatures w14:val="none"/>
              </w:rPr>
              <w:t>6.29</w:t>
            </w:r>
          </w:p>
        </w:tc>
      </w:tr>
      <w:tr w:rsidR="005A319E" w:rsidRPr="005A319E" w14:paraId="08D54EF9" w14:textId="77777777" w:rsidTr="00D67840">
        <w:trPr>
          <w:trHeight w:val="22"/>
          <w:jc w:val="center"/>
        </w:trPr>
        <w:tc>
          <w:tcPr>
            <w:tcW w:w="1842" w:type="dxa"/>
            <w:tcBorders>
              <w:top w:val="nil"/>
              <w:left w:val="single" w:sz="4" w:space="0" w:color="auto"/>
              <w:bottom w:val="single" w:sz="4" w:space="0" w:color="auto"/>
              <w:right w:val="single" w:sz="4" w:space="0" w:color="auto"/>
            </w:tcBorders>
            <w:noWrap/>
            <w:vAlign w:val="center"/>
            <w:hideMark/>
          </w:tcPr>
          <w:p w14:paraId="173C3549" w14:textId="77777777" w:rsidR="005A319E" w:rsidRPr="005A319E" w:rsidRDefault="005A319E" w:rsidP="005A319E">
            <w:pPr>
              <w:spacing w:after="0" w:line="240" w:lineRule="auto"/>
              <w:rPr>
                <w:rFonts w:ascii="Times New Roman" w:eastAsia="Times New Roman" w:hAnsi="Times New Roman" w:cs="Times New Roman"/>
                <w:color w:val="000000"/>
                <w:kern w:val="0"/>
                <w:sz w:val="16"/>
                <w:szCs w:val="16"/>
                <w:lang w:eastAsia="en-IN"/>
                <w14:ligatures w14:val="none"/>
              </w:rPr>
            </w:pPr>
            <w:r w:rsidRPr="005A319E">
              <w:rPr>
                <w:rFonts w:ascii="Times New Roman" w:eastAsia="Times New Roman" w:hAnsi="Times New Roman" w:cs="Times New Roman"/>
                <w:color w:val="000000"/>
                <w:kern w:val="0"/>
                <w:sz w:val="16"/>
                <w:szCs w:val="16"/>
                <w:lang w:eastAsia="en-IN"/>
                <w14:ligatures w14:val="none"/>
              </w:rPr>
              <w:t>(b) Kashmir</w:t>
            </w:r>
          </w:p>
        </w:tc>
        <w:tc>
          <w:tcPr>
            <w:tcW w:w="851" w:type="dxa"/>
            <w:tcBorders>
              <w:top w:val="nil"/>
              <w:left w:val="nil"/>
              <w:bottom w:val="single" w:sz="4" w:space="0" w:color="auto"/>
              <w:right w:val="single" w:sz="4" w:space="0" w:color="auto"/>
            </w:tcBorders>
            <w:noWrap/>
            <w:vAlign w:val="center"/>
            <w:hideMark/>
          </w:tcPr>
          <w:p w14:paraId="7BD4F1E1" w14:textId="77777777" w:rsidR="005A319E" w:rsidRPr="005A319E" w:rsidRDefault="005A319E" w:rsidP="005A319E">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5A319E">
              <w:rPr>
                <w:rFonts w:ascii="Times New Roman" w:eastAsia="Times New Roman" w:hAnsi="Times New Roman" w:cs="Times New Roman"/>
                <w:color w:val="000000"/>
                <w:kern w:val="0"/>
                <w:sz w:val="16"/>
                <w:szCs w:val="16"/>
                <w:lang w:eastAsia="en-IN"/>
                <w14:ligatures w14:val="none"/>
              </w:rPr>
              <w:t>8.90</w:t>
            </w:r>
          </w:p>
        </w:tc>
        <w:tc>
          <w:tcPr>
            <w:tcW w:w="992" w:type="dxa"/>
            <w:tcBorders>
              <w:top w:val="nil"/>
              <w:left w:val="nil"/>
              <w:bottom w:val="single" w:sz="4" w:space="0" w:color="auto"/>
              <w:right w:val="single" w:sz="4" w:space="0" w:color="auto"/>
            </w:tcBorders>
            <w:noWrap/>
            <w:vAlign w:val="center"/>
            <w:hideMark/>
          </w:tcPr>
          <w:p w14:paraId="33504611" w14:textId="77777777" w:rsidR="005A319E" w:rsidRPr="005A319E" w:rsidRDefault="005A319E" w:rsidP="005A319E">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5A319E">
              <w:rPr>
                <w:rFonts w:ascii="Times New Roman" w:eastAsia="Times New Roman" w:hAnsi="Times New Roman" w:cs="Times New Roman"/>
                <w:color w:val="000000"/>
                <w:kern w:val="0"/>
                <w:sz w:val="16"/>
                <w:szCs w:val="16"/>
                <w:lang w:eastAsia="en-IN"/>
                <w14:ligatures w14:val="none"/>
              </w:rPr>
              <w:t>1.34</w:t>
            </w:r>
          </w:p>
        </w:tc>
        <w:tc>
          <w:tcPr>
            <w:tcW w:w="581" w:type="dxa"/>
            <w:tcBorders>
              <w:top w:val="nil"/>
              <w:left w:val="nil"/>
              <w:bottom w:val="single" w:sz="4" w:space="0" w:color="auto"/>
              <w:right w:val="single" w:sz="4" w:space="0" w:color="auto"/>
            </w:tcBorders>
            <w:noWrap/>
            <w:vAlign w:val="center"/>
            <w:hideMark/>
          </w:tcPr>
          <w:p w14:paraId="299CC16F" w14:textId="77777777" w:rsidR="005A319E" w:rsidRPr="005A319E" w:rsidRDefault="005A319E" w:rsidP="005A319E">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5A319E">
              <w:rPr>
                <w:rFonts w:ascii="Times New Roman" w:eastAsia="Times New Roman" w:hAnsi="Times New Roman" w:cs="Times New Roman"/>
                <w:color w:val="000000"/>
                <w:kern w:val="0"/>
                <w:sz w:val="16"/>
                <w:szCs w:val="16"/>
                <w:lang w:eastAsia="en-IN"/>
                <w14:ligatures w14:val="none"/>
              </w:rPr>
              <w:t>10.24</w:t>
            </w:r>
          </w:p>
        </w:tc>
        <w:tc>
          <w:tcPr>
            <w:tcW w:w="992" w:type="dxa"/>
            <w:tcBorders>
              <w:top w:val="nil"/>
              <w:left w:val="nil"/>
              <w:bottom w:val="single" w:sz="4" w:space="0" w:color="auto"/>
              <w:right w:val="single" w:sz="4" w:space="0" w:color="auto"/>
            </w:tcBorders>
            <w:noWrap/>
            <w:vAlign w:val="center"/>
            <w:hideMark/>
          </w:tcPr>
          <w:p w14:paraId="7DB58F32" w14:textId="77777777" w:rsidR="005A319E" w:rsidRPr="005A319E" w:rsidRDefault="005A319E" w:rsidP="005A319E">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5A319E">
              <w:rPr>
                <w:rFonts w:ascii="Times New Roman" w:eastAsia="Times New Roman" w:hAnsi="Times New Roman" w:cs="Times New Roman"/>
                <w:color w:val="000000"/>
                <w:kern w:val="0"/>
                <w:sz w:val="16"/>
                <w:szCs w:val="16"/>
                <w:lang w:eastAsia="en-IN"/>
                <w14:ligatures w14:val="none"/>
              </w:rPr>
              <w:t>7.67</w:t>
            </w:r>
          </w:p>
        </w:tc>
        <w:tc>
          <w:tcPr>
            <w:tcW w:w="865" w:type="dxa"/>
            <w:tcBorders>
              <w:top w:val="nil"/>
              <w:left w:val="nil"/>
              <w:bottom w:val="single" w:sz="4" w:space="0" w:color="auto"/>
              <w:right w:val="single" w:sz="4" w:space="0" w:color="auto"/>
            </w:tcBorders>
            <w:noWrap/>
            <w:vAlign w:val="center"/>
            <w:hideMark/>
          </w:tcPr>
          <w:p w14:paraId="39436321" w14:textId="77777777" w:rsidR="005A319E" w:rsidRPr="005A319E" w:rsidRDefault="005A319E" w:rsidP="005A319E">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5A319E">
              <w:rPr>
                <w:rFonts w:ascii="Times New Roman" w:eastAsia="Times New Roman" w:hAnsi="Times New Roman" w:cs="Times New Roman"/>
                <w:color w:val="000000"/>
                <w:kern w:val="0"/>
                <w:sz w:val="16"/>
                <w:szCs w:val="16"/>
                <w:lang w:eastAsia="en-IN"/>
                <w14:ligatures w14:val="none"/>
              </w:rPr>
              <w:t>1.15</w:t>
            </w:r>
          </w:p>
        </w:tc>
        <w:tc>
          <w:tcPr>
            <w:tcW w:w="709" w:type="dxa"/>
            <w:tcBorders>
              <w:top w:val="nil"/>
              <w:left w:val="nil"/>
              <w:bottom w:val="single" w:sz="4" w:space="0" w:color="auto"/>
              <w:right w:val="single" w:sz="4" w:space="0" w:color="auto"/>
            </w:tcBorders>
            <w:noWrap/>
            <w:vAlign w:val="center"/>
            <w:hideMark/>
          </w:tcPr>
          <w:p w14:paraId="693ECD77" w14:textId="77777777" w:rsidR="005A319E" w:rsidRPr="005A319E" w:rsidRDefault="005A319E" w:rsidP="005A319E">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5A319E">
              <w:rPr>
                <w:rFonts w:ascii="Times New Roman" w:eastAsia="Times New Roman" w:hAnsi="Times New Roman" w:cs="Times New Roman"/>
                <w:color w:val="000000"/>
                <w:kern w:val="0"/>
                <w:sz w:val="16"/>
                <w:szCs w:val="16"/>
                <w:lang w:eastAsia="en-IN"/>
                <w14:ligatures w14:val="none"/>
              </w:rPr>
              <w:t>7.82</w:t>
            </w:r>
          </w:p>
        </w:tc>
        <w:tc>
          <w:tcPr>
            <w:tcW w:w="708" w:type="dxa"/>
            <w:tcBorders>
              <w:top w:val="nil"/>
              <w:left w:val="nil"/>
              <w:bottom w:val="single" w:sz="4" w:space="0" w:color="auto"/>
              <w:right w:val="single" w:sz="4" w:space="0" w:color="auto"/>
            </w:tcBorders>
            <w:noWrap/>
            <w:vAlign w:val="center"/>
            <w:hideMark/>
          </w:tcPr>
          <w:p w14:paraId="295D3E53" w14:textId="77777777" w:rsidR="005A319E" w:rsidRPr="005A319E" w:rsidRDefault="005A319E" w:rsidP="005A319E">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5A319E">
              <w:rPr>
                <w:rFonts w:ascii="Times New Roman" w:eastAsia="Times New Roman" w:hAnsi="Times New Roman" w:cs="Times New Roman"/>
                <w:color w:val="000000"/>
                <w:kern w:val="0"/>
                <w:sz w:val="16"/>
                <w:szCs w:val="16"/>
                <w:lang w:eastAsia="en-IN"/>
                <w14:ligatures w14:val="none"/>
              </w:rPr>
              <w:t>6.45</w:t>
            </w:r>
          </w:p>
        </w:tc>
        <w:tc>
          <w:tcPr>
            <w:tcW w:w="865" w:type="dxa"/>
            <w:tcBorders>
              <w:top w:val="nil"/>
              <w:left w:val="nil"/>
              <w:bottom w:val="single" w:sz="4" w:space="0" w:color="auto"/>
              <w:right w:val="single" w:sz="4" w:space="0" w:color="auto"/>
            </w:tcBorders>
            <w:noWrap/>
            <w:vAlign w:val="center"/>
            <w:hideMark/>
          </w:tcPr>
          <w:p w14:paraId="792CC5CC" w14:textId="77777777" w:rsidR="005A319E" w:rsidRPr="005A319E" w:rsidRDefault="005A319E" w:rsidP="005A319E">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5A319E">
              <w:rPr>
                <w:rFonts w:ascii="Times New Roman" w:eastAsia="Times New Roman" w:hAnsi="Times New Roman" w:cs="Times New Roman"/>
                <w:color w:val="000000"/>
                <w:kern w:val="0"/>
                <w:sz w:val="16"/>
                <w:szCs w:val="16"/>
                <w:lang w:eastAsia="en-IN"/>
                <w14:ligatures w14:val="none"/>
              </w:rPr>
              <w:t>0.97</w:t>
            </w:r>
          </w:p>
        </w:tc>
        <w:tc>
          <w:tcPr>
            <w:tcW w:w="581" w:type="dxa"/>
            <w:tcBorders>
              <w:top w:val="nil"/>
              <w:left w:val="nil"/>
              <w:bottom w:val="single" w:sz="4" w:space="0" w:color="auto"/>
              <w:right w:val="single" w:sz="4" w:space="0" w:color="auto"/>
            </w:tcBorders>
            <w:noWrap/>
            <w:vAlign w:val="center"/>
            <w:hideMark/>
          </w:tcPr>
          <w:p w14:paraId="45AD2689" w14:textId="77777777" w:rsidR="005A319E" w:rsidRPr="005A319E" w:rsidRDefault="005A319E" w:rsidP="005A319E">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5A319E">
              <w:rPr>
                <w:rFonts w:ascii="Times New Roman" w:eastAsia="Times New Roman" w:hAnsi="Times New Roman" w:cs="Times New Roman"/>
                <w:color w:val="000000"/>
                <w:kern w:val="0"/>
                <w:sz w:val="16"/>
                <w:szCs w:val="16"/>
                <w:lang w:eastAsia="en-IN"/>
                <w14:ligatures w14:val="none"/>
              </w:rPr>
              <w:t>7.42</w:t>
            </w:r>
          </w:p>
        </w:tc>
        <w:tc>
          <w:tcPr>
            <w:tcW w:w="1004" w:type="dxa"/>
            <w:tcBorders>
              <w:top w:val="nil"/>
              <w:left w:val="nil"/>
              <w:bottom w:val="single" w:sz="4" w:space="0" w:color="auto"/>
              <w:right w:val="single" w:sz="4" w:space="0" w:color="auto"/>
            </w:tcBorders>
            <w:noWrap/>
            <w:vAlign w:val="center"/>
            <w:hideMark/>
          </w:tcPr>
          <w:p w14:paraId="1EAC2053" w14:textId="77777777" w:rsidR="005A319E" w:rsidRPr="005A319E" w:rsidRDefault="005A319E" w:rsidP="005A319E">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5A319E">
              <w:rPr>
                <w:rFonts w:ascii="Times New Roman" w:eastAsia="Times New Roman" w:hAnsi="Times New Roman" w:cs="Times New Roman"/>
                <w:color w:val="000000"/>
                <w:kern w:val="0"/>
                <w:sz w:val="16"/>
                <w:szCs w:val="16"/>
                <w:lang w:eastAsia="en-IN"/>
                <w14:ligatures w14:val="none"/>
              </w:rPr>
              <w:t>4.34</w:t>
            </w:r>
          </w:p>
        </w:tc>
        <w:tc>
          <w:tcPr>
            <w:tcW w:w="865" w:type="dxa"/>
            <w:tcBorders>
              <w:top w:val="nil"/>
              <w:left w:val="nil"/>
              <w:bottom w:val="single" w:sz="4" w:space="0" w:color="auto"/>
              <w:right w:val="single" w:sz="4" w:space="0" w:color="auto"/>
            </w:tcBorders>
            <w:noWrap/>
            <w:vAlign w:val="center"/>
            <w:hideMark/>
          </w:tcPr>
          <w:p w14:paraId="4C60DFBA" w14:textId="77777777" w:rsidR="005A319E" w:rsidRPr="005A319E" w:rsidRDefault="005A319E" w:rsidP="005A319E">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5A319E">
              <w:rPr>
                <w:rFonts w:ascii="Times New Roman" w:eastAsia="Times New Roman" w:hAnsi="Times New Roman" w:cs="Times New Roman"/>
                <w:color w:val="000000"/>
                <w:kern w:val="0"/>
                <w:sz w:val="16"/>
                <w:szCs w:val="16"/>
                <w:lang w:eastAsia="en-IN"/>
                <w14:ligatures w14:val="none"/>
              </w:rPr>
              <w:t>0.65</w:t>
            </w:r>
          </w:p>
        </w:tc>
        <w:tc>
          <w:tcPr>
            <w:tcW w:w="995" w:type="dxa"/>
            <w:tcBorders>
              <w:top w:val="nil"/>
              <w:left w:val="nil"/>
              <w:bottom w:val="single" w:sz="4" w:space="0" w:color="auto"/>
              <w:right w:val="single" w:sz="4" w:space="0" w:color="auto"/>
            </w:tcBorders>
            <w:noWrap/>
            <w:vAlign w:val="center"/>
            <w:hideMark/>
          </w:tcPr>
          <w:p w14:paraId="3B73B8AA" w14:textId="77777777" w:rsidR="005A319E" w:rsidRPr="005A319E" w:rsidRDefault="005A319E" w:rsidP="005A319E">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5A319E">
              <w:rPr>
                <w:rFonts w:ascii="Times New Roman" w:eastAsia="Times New Roman" w:hAnsi="Times New Roman" w:cs="Times New Roman"/>
                <w:color w:val="000000"/>
                <w:kern w:val="0"/>
                <w:sz w:val="16"/>
                <w:szCs w:val="16"/>
                <w:lang w:eastAsia="en-IN"/>
                <w14:ligatures w14:val="none"/>
              </w:rPr>
              <w:t>4.99</w:t>
            </w:r>
          </w:p>
        </w:tc>
        <w:tc>
          <w:tcPr>
            <w:tcW w:w="916" w:type="dxa"/>
            <w:tcBorders>
              <w:top w:val="nil"/>
              <w:left w:val="nil"/>
              <w:bottom w:val="single" w:sz="4" w:space="0" w:color="auto"/>
              <w:right w:val="single" w:sz="4" w:space="0" w:color="auto"/>
            </w:tcBorders>
            <w:noWrap/>
            <w:vAlign w:val="center"/>
            <w:hideMark/>
          </w:tcPr>
          <w:p w14:paraId="61802048" w14:textId="77777777" w:rsidR="005A319E" w:rsidRPr="005A319E" w:rsidRDefault="005A319E" w:rsidP="005A319E">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5A319E">
              <w:rPr>
                <w:rFonts w:ascii="Times New Roman" w:eastAsia="Times New Roman" w:hAnsi="Times New Roman" w:cs="Times New Roman"/>
                <w:color w:val="000000"/>
                <w:kern w:val="0"/>
                <w:sz w:val="16"/>
                <w:szCs w:val="16"/>
                <w:lang w:eastAsia="en-IN"/>
                <w14:ligatures w14:val="none"/>
              </w:rPr>
              <w:t>3.97</w:t>
            </w:r>
          </w:p>
        </w:tc>
        <w:tc>
          <w:tcPr>
            <w:tcW w:w="865" w:type="dxa"/>
            <w:tcBorders>
              <w:top w:val="nil"/>
              <w:left w:val="nil"/>
              <w:bottom w:val="single" w:sz="4" w:space="0" w:color="auto"/>
              <w:right w:val="single" w:sz="4" w:space="0" w:color="auto"/>
            </w:tcBorders>
            <w:noWrap/>
            <w:vAlign w:val="center"/>
            <w:hideMark/>
          </w:tcPr>
          <w:p w14:paraId="0B6351C9" w14:textId="77777777" w:rsidR="005A319E" w:rsidRPr="005A319E" w:rsidRDefault="005A319E" w:rsidP="005A319E">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5A319E">
              <w:rPr>
                <w:rFonts w:ascii="Times New Roman" w:eastAsia="Times New Roman" w:hAnsi="Times New Roman" w:cs="Times New Roman"/>
                <w:color w:val="000000"/>
                <w:kern w:val="0"/>
                <w:sz w:val="16"/>
                <w:szCs w:val="16"/>
                <w:lang w:eastAsia="en-IN"/>
                <w14:ligatures w14:val="none"/>
              </w:rPr>
              <w:t>0.60</w:t>
            </w:r>
          </w:p>
        </w:tc>
        <w:tc>
          <w:tcPr>
            <w:tcW w:w="581" w:type="dxa"/>
            <w:tcBorders>
              <w:top w:val="nil"/>
              <w:left w:val="nil"/>
              <w:bottom w:val="single" w:sz="4" w:space="0" w:color="auto"/>
              <w:right w:val="single" w:sz="4" w:space="0" w:color="auto"/>
            </w:tcBorders>
            <w:noWrap/>
            <w:vAlign w:val="center"/>
            <w:hideMark/>
          </w:tcPr>
          <w:p w14:paraId="7C454782" w14:textId="77777777" w:rsidR="005A319E" w:rsidRPr="005A319E" w:rsidRDefault="005A319E" w:rsidP="005A319E">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5A319E">
              <w:rPr>
                <w:rFonts w:ascii="Times New Roman" w:eastAsia="Times New Roman" w:hAnsi="Times New Roman" w:cs="Times New Roman"/>
                <w:color w:val="000000"/>
                <w:kern w:val="0"/>
                <w:sz w:val="16"/>
                <w:szCs w:val="16"/>
                <w:lang w:eastAsia="en-IN"/>
                <w14:ligatures w14:val="none"/>
              </w:rPr>
              <w:t>-</w:t>
            </w:r>
          </w:p>
        </w:tc>
      </w:tr>
      <w:tr w:rsidR="005A319E" w:rsidRPr="005A319E" w14:paraId="55711323" w14:textId="77777777" w:rsidTr="00D67840">
        <w:trPr>
          <w:trHeight w:val="22"/>
          <w:jc w:val="center"/>
        </w:trPr>
        <w:tc>
          <w:tcPr>
            <w:tcW w:w="1842" w:type="dxa"/>
            <w:tcBorders>
              <w:top w:val="nil"/>
              <w:left w:val="single" w:sz="4" w:space="0" w:color="auto"/>
              <w:bottom w:val="single" w:sz="4" w:space="0" w:color="auto"/>
              <w:right w:val="single" w:sz="4" w:space="0" w:color="auto"/>
            </w:tcBorders>
            <w:noWrap/>
            <w:vAlign w:val="center"/>
            <w:hideMark/>
          </w:tcPr>
          <w:p w14:paraId="7A436CF6" w14:textId="77777777" w:rsidR="005A319E" w:rsidRPr="005A319E" w:rsidRDefault="005A319E" w:rsidP="005A319E">
            <w:pPr>
              <w:spacing w:after="0" w:line="240" w:lineRule="auto"/>
              <w:rPr>
                <w:rFonts w:ascii="Times New Roman" w:eastAsia="Times New Roman" w:hAnsi="Times New Roman" w:cs="Times New Roman"/>
                <w:color w:val="000000"/>
                <w:kern w:val="0"/>
                <w:sz w:val="16"/>
                <w:szCs w:val="16"/>
                <w:lang w:eastAsia="en-IN"/>
                <w14:ligatures w14:val="none"/>
              </w:rPr>
            </w:pPr>
            <w:r w:rsidRPr="005A319E">
              <w:rPr>
                <w:rFonts w:ascii="Times New Roman" w:eastAsia="Times New Roman" w:hAnsi="Times New Roman" w:cs="Times New Roman"/>
                <w:color w:val="000000"/>
                <w:kern w:val="0"/>
                <w:sz w:val="16"/>
                <w:szCs w:val="16"/>
                <w:lang w:eastAsia="en-IN"/>
                <w14:ligatures w14:val="none"/>
              </w:rPr>
              <w:t>7. Kerala</w:t>
            </w:r>
          </w:p>
        </w:tc>
        <w:tc>
          <w:tcPr>
            <w:tcW w:w="851" w:type="dxa"/>
            <w:tcBorders>
              <w:top w:val="nil"/>
              <w:left w:val="nil"/>
              <w:bottom w:val="single" w:sz="4" w:space="0" w:color="auto"/>
              <w:right w:val="single" w:sz="4" w:space="0" w:color="auto"/>
            </w:tcBorders>
            <w:noWrap/>
            <w:vAlign w:val="center"/>
            <w:hideMark/>
          </w:tcPr>
          <w:p w14:paraId="07B816A7" w14:textId="77777777" w:rsidR="005A319E" w:rsidRPr="005A319E" w:rsidRDefault="005A319E" w:rsidP="005A319E">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5A319E">
              <w:rPr>
                <w:rFonts w:ascii="Times New Roman" w:eastAsia="Times New Roman" w:hAnsi="Times New Roman" w:cs="Times New Roman"/>
                <w:color w:val="000000"/>
                <w:kern w:val="0"/>
                <w:sz w:val="16"/>
                <w:szCs w:val="16"/>
                <w:lang w:eastAsia="en-IN"/>
                <w14:ligatures w14:val="none"/>
              </w:rPr>
              <w:t>8.00</w:t>
            </w:r>
          </w:p>
        </w:tc>
        <w:tc>
          <w:tcPr>
            <w:tcW w:w="992" w:type="dxa"/>
            <w:tcBorders>
              <w:top w:val="nil"/>
              <w:left w:val="nil"/>
              <w:bottom w:val="single" w:sz="4" w:space="0" w:color="auto"/>
              <w:right w:val="single" w:sz="4" w:space="0" w:color="auto"/>
            </w:tcBorders>
            <w:noWrap/>
            <w:vAlign w:val="center"/>
            <w:hideMark/>
          </w:tcPr>
          <w:p w14:paraId="3C49ACC1" w14:textId="77777777" w:rsidR="005A319E" w:rsidRPr="005A319E" w:rsidRDefault="005A319E" w:rsidP="005A319E">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5A319E">
              <w:rPr>
                <w:rFonts w:ascii="Times New Roman" w:eastAsia="Times New Roman" w:hAnsi="Times New Roman" w:cs="Times New Roman"/>
                <w:color w:val="000000"/>
                <w:kern w:val="0"/>
                <w:sz w:val="16"/>
                <w:szCs w:val="16"/>
                <w:lang w:eastAsia="en-IN"/>
                <w14:ligatures w14:val="none"/>
              </w:rPr>
              <w:t>0.80</w:t>
            </w:r>
          </w:p>
        </w:tc>
        <w:tc>
          <w:tcPr>
            <w:tcW w:w="581" w:type="dxa"/>
            <w:tcBorders>
              <w:top w:val="nil"/>
              <w:left w:val="nil"/>
              <w:bottom w:val="single" w:sz="4" w:space="0" w:color="auto"/>
              <w:right w:val="single" w:sz="4" w:space="0" w:color="auto"/>
            </w:tcBorders>
            <w:noWrap/>
            <w:vAlign w:val="center"/>
            <w:hideMark/>
          </w:tcPr>
          <w:p w14:paraId="717548C5" w14:textId="77777777" w:rsidR="005A319E" w:rsidRPr="005A319E" w:rsidRDefault="005A319E" w:rsidP="005A319E">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5A319E">
              <w:rPr>
                <w:rFonts w:ascii="Times New Roman" w:eastAsia="Times New Roman" w:hAnsi="Times New Roman" w:cs="Times New Roman"/>
                <w:color w:val="000000"/>
                <w:kern w:val="0"/>
                <w:sz w:val="16"/>
                <w:szCs w:val="16"/>
                <w:lang w:eastAsia="en-IN"/>
                <w14:ligatures w14:val="none"/>
              </w:rPr>
              <w:t>8.80</w:t>
            </w:r>
          </w:p>
        </w:tc>
        <w:tc>
          <w:tcPr>
            <w:tcW w:w="992" w:type="dxa"/>
            <w:tcBorders>
              <w:top w:val="nil"/>
              <w:left w:val="nil"/>
              <w:bottom w:val="single" w:sz="4" w:space="0" w:color="auto"/>
              <w:right w:val="single" w:sz="4" w:space="0" w:color="auto"/>
            </w:tcBorders>
            <w:noWrap/>
            <w:vAlign w:val="center"/>
            <w:hideMark/>
          </w:tcPr>
          <w:p w14:paraId="3B75938B" w14:textId="77777777" w:rsidR="005A319E" w:rsidRPr="005A319E" w:rsidRDefault="005A319E" w:rsidP="005A319E">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5A319E">
              <w:rPr>
                <w:rFonts w:ascii="Times New Roman" w:eastAsia="Times New Roman" w:hAnsi="Times New Roman" w:cs="Times New Roman"/>
                <w:color w:val="000000"/>
                <w:kern w:val="0"/>
                <w:sz w:val="16"/>
                <w:szCs w:val="16"/>
                <w:lang w:eastAsia="en-IN"/>
                <w14:ligatures w14:val="none"/>
              </w:rPr>
              <w:t>12.00</w:t>
            </w:r>
          </w:p>
        </w:tc>
        <w:tc>
          <w:tcPr>
            <w:tcW w:w="865" w:type="dxa"/>
            <w:tcBorders>
              <w:top w:val="nil"/>
              <w:left w:val="nil"/>
              <w:bottom w:val="single" w:sz="4" w:space="0" w:color="auto"/>
              <w:right w:val="single" w:sz="4" w:space="0" w:color="auto"/>
            </w:tcBorders>
            <w:noWrap/>
            <w:vAlign w:val="center"/>
            <w:hideMark/>
          </w:tcPr>
          <w:p w14:paraId="28AA1D94" w14:textId="77777777" w:rsidR="005A319E" w:rsidRPr="005A319E" w:rsidRDefault="005A319E" w:rsidP="005A319E">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5A319E">
              <w:rPr>
                <w:rFonts w:ascii="Times New Roman" w:eastAsia="Times New Roman" w:hAnsi="Times New Roman" w:cs="Times New Roman"/>
                <w:color w:val="000000"/>
                <w:kern w:val="0"/>
                <w:sz w:val="16"/>
                <w:szCs w:val="16"/>
                <w:lang w:eastAsia="en-IN"/>
                <w14:ligatures w14:val="none"/>
              </w:rPr>
              <w:t>1.20</w:t>
            </w:r>
          </w:p>
        </w:tc>
        <w:tc>
          <w:tcPr>
            <w:tcW w:w="709" w:type="dxa"/>
            <w:tcBorders>
              <w:top w:val="nil"/>
              <w:left w:val="nil"/>
              <w:bottom w:val="single" w:sz="4" w:space="0" w:color="auto"/>
              <w:right w:val="single" w:sz="4" w:space="0" w:color="auto"/>
            </w:tcBorders>
            <w:noWrap/>
            <w:vAlign w:val="center"/>
            <w:hideMark/>
          </w:tcPr>
          <w:p w14:paraId="213D87B1" w14:textId="77777777" w:rsidR="005A319E" w:rsidRPr="005A319E" w:rsidRDefault="005A319E" w:rsidP="005A319E">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5A319E">
              <w:rPr>
                <w:rFonts w:ascii="Times New Roman" w:eastAsia="Times New Roman" w:hAnsi="Times New Roman" w:cs="Times New Roman"/>
                <w:color w:val="000000"/>
                <w:kern w:val="0"/>
                <w:sz w:val="16"/>
                <w:szCs w:val="16"/>
                <w:lang w:eastAsia="en-IN"/>
                <w14:ligatures w14:val="none"/>
              </w:rPr>
              <w:t>13.20</w:t>
            </w:r>
          </w:p>
        </w:tc>
        <w:tc>
          <w:tcPr>
            <w:tcW w:w="708" w:type="dxa"/>
            <w:tcBorders>
              <w:top w:val="nil"/>
              <w:left w:val="nil"/>
              <w:bottom w:val="single" w:sz="4" w:space="0" w:color="auto"/>
              <w:right w:val="single" w:sz="4" w:space="0" w:color="auto"/>
            </w:tcBorders>
            <w:noWrap/>
            <w:vAlign w:val="center"/>
            <w:hideMark/>
          </w:tcPr>
          <w:p w14:paraId="508B4B5F" w14:textId="77777777" w:rsidR="005A319E" w:rsidRPr="005A319E" w:rsidRDefault="005A319E" w:rsidP="005A319E">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5A319E">
              <w:rPr>
                <w:rFonts w:ascii="Times New Roman" w:eastAsia="Times New Roman" w:hAnsi="Times New Roman" w:cs="Times New Roman"/>
                <w:color w:val="000000"/>
                <w:kern w:val="0"/>
                <w:sz w:val="16"/>
                <w:szCs w:val="16"/>
                <w:lang w:eastAsia="en-IN"/>
                <w14:ligatures w14:val="none"/>
              </w:rPr>
              <w:t>11.18</w:t>
            </w:r>
          </w:p>
        </w:tc>
        <w:tc>
          <w:tcPr>
            <w:tcW w:w="865" w:type="dxa"/>
            <w:tcBorders>
              <w:top w:val="nil"/>
              <w:left w:val="nil"/>
              <w:bottom w:val="single" w:sz="4" w:space="0" w:color="auto"/>
              <w:right w:val="single" w:sz="4" w:space="0" w:color="auto"/>
            </w:tcBorders>
            <w:noWrap/>
            <w:vAlign w:val="center"/>
            <w:hideMark/>
          </w:tcPr>
          <w:p w14:paraId="0AD74C96" w14:textId="77777777" w:rsidR="005A319E" w:rsidRPr="005A319E" w:rsidRDefault="005A319E" w:rsidP="005A319E">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5A319E">
              <w:rPr>
                <w:rFonts w:ascii="Times New Roman" w:eastAsia="Times New Roman" w:hAnsi="Times New Roman" w:cs="Times New Roman"/>
                <w:color w:val="000000"/>
                <w:kern w:val="0"/>
                <w:sz w:val="16"/>
                <w:szCs w:val="16"/>
                <w:lang w:eastAsia="en-IN"/>
                <w14:ligatures w14:val="none"/>
              </w:rPr>
              <w:t>1.12</w:t>
            </w:r>
          </w:p>
        </w:tc>
        <w:tc>
          <w:tcPr>
            <w:tcW w:w="581" w:type="dxa"/>
            <w:tcBorders>
              <w:top w:val="nil"/>
              <w:left w:val="nil"/>
              <w:bottom w:val="single" w:sz="4" w:space="0" w:color="auto"/>
              <w:right w:val="single" w:sz="4" w:space="0" w:color="auto"/>
            </w:tcBorders>
            <w:noWrap/>
            <w:vAlign w:val="center"/>
            <w:hideMark/>
          </w:tcPr>
          <w:p w14:paraId="00A1DE81" w14:textId="77777777" w:rsidR="005A319E" w:rsidRPr="005A319E" w:rsidRDefault="005A319E" w:rsidP="005A319E">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5A319E">
              <w:rPr>
                <w:rFonts w:ascii="Times New Roman" w:eastAsia="Times New Roman" w:hAnsi="Times New Roman" w:cs="Times New Roman"/>
                <w:color w:val="000000"/>
                <w:kern w:val="0"/>
                <w:sz w:val="16"/>
                <w:szCs w:val="16"/>
                <w:lang w:eastAsia="en-IN"/>
                <w14:ligatures w14:val="none"/>
              </w:rPr>
              <w:t>12.30</w:t>
            </w:r>
          </w:p>
        </w:tc>
        <w:tc>
          <w:tcPr>
            <w:tcW w:w="1004" w:type="dxa"/>
            <w:tcBorders>
              <w:top w:val="nil"/>
              <w:left w:val="nil"/>
              <w:bottom w:val="single" w:sz="4" w:space="0" w:color="auto"/>
              <w:right w:val="single" w:sz="4" w:space="0" w:color="auto"/>
            </w:tcBorders>
            <w:noWrap/>
            <w:vAlign w:val="center"/>
            <w:hideMark/>
          </w:tcPr>
          <w:p w14:paraId="5CE19D54" w14:textId="77777777" w:rsidR="005A319E" w:rsidRPr="005A319E" w:rsidRDefault="005A319E" w:rsidP="005A319E">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5A319E">
              <w:rPr>
                <w:rFonts w:ascii="Times New Roman" w:eastAsia="Times New Roman" w:hAnsi="Times New Roman" w:cs="Times New Roman"/>
                <w:color w:val="000000"/>
                <w:kern w:val="0"/>
                <w:sz w:val="16"/>
                <w:szCs w:val="16"/>
                <w:lang w:eastAsia="en-IN"/>
                <w14:ligatures w14:val="none"/>
              </w:rPr>
              <w:t>8.89</w:t>
            </w:r>
          </w:p>
        </w:tc>
        <w:tc>
          <w:tcPr>
            <w:tcW w:w="865" w:type="dxa"/>
            <w:tcBorders>
              <w:top w:val="nil"/>
              <w:left w:val="nil"/>
              <w:bottom w:val="single" w:sz="4" w:space="0" w:color="auto"/>
              <w:right w:val="single" w:sz="4" w:space="0" w:color="auto"/>
            </w:tcBorders>
            <w:noWrap/>
            <w:vAlign w:val="center"/>
            <w:hideMark/>
          </w:tcPr>
          <w:p w14:paraId="565D8EA2" w14:textId="77777777" w:rsidR="005A319E" w:rsidRPr="005A319E" w:rsidRDefault="005A319E" w:rsidP="005A319E">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5A319E">
              <w:rPr>
                <w:rFonts w:ascii="Times New Roman" w:eastAsia="Times New Roman" w:hAnsi="Times New Roman" w:cs="Times New Roman"/>
                <w:color w:val="000000"/>
                <w:kern w:val="0"/>
                <w:sz w:val="16"/>
                <w:szCs w:val="16"/>
                <w:lang w:eastAsia="en-IN"/>
                <w14:ligatures w14:val="none"/>
              </w:rPr>
              <w:t>1.78</w:t>
            </w:r>
          </w:p>
        </w:tc>
        <w:tc>
          <w:tcPr>
            <w:tcW w:w="995" w:type="dxa"/>
            <w:tcBorders>
              <w:top w:val="nil"/>
              <w:left w:val="nil"/>
              <w:bottom w:val="single" w:sz="4" w:space="0" w:color="auto"/>
              <w:right w:val="single" w:sz="4" w:space="0" w:color="auto"/>
            </w:tcBorders>
            <w:noWrap/>
            <w:vAlign w:val="center"/>
            <w:hideMark/>
          </w:tcPr>
          <w:p w14:paraId="5E35D077" w14:textId="77777777" w:rsidR="005A319E" w:rsidRPr="005A319E" w:rsidRDefault="005A319E" w:rsidP="005A319E">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5A319E">
              <w:rPr>
                <w:rFonts w:ascii="Times New Roman" w:eastAsia="Times New Roman" w:hAnsi="Times New Roman" w:cs="Times New Roman"/>
                <w:color w:val="000000"/>
                <w:kern w:val="0"/>
                <w:sz w:val="16"/>
                <w:szCs w:val="16"/>
                <w:lang w:eastAsia="en-IN"/>
                <w14:ligatures w14:val="none"/>
              </w:rPr>
              <w:t>10.67</w:t>
            </w:r>
          </w:p>
        </w:tc>
        <w:tc>
          <w:tcPr>
            <w:tcW w:w="916" w:type="dxa"/>
            <w:tcBorders>
              <w:top w:val="nil"/>
              <w:left w:val="nil"/>
              <w:bottom w:val="single" w:sz="4" w:space="0" w:color="auto"/>
              <w:right w:val="single" w:sz="4" w:space="0" w:color="auto"/>
            </w:tcBorders>
            <w:noWrap/>
            <w:vAlign w:val="center"/>
            <w:hideMark/>
          </w:tcPr>
          <w:p w14:paraId="518B497C" w14:textId="77777777" w:rsidR="005A319E" w:rsidRPr="005A319E" w:rsidRDefault="005A319E" w:rsidP="005A319E">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5A319E">
              <w:rPr>
                <w:rFonts w:ascii="Times New Roman" w:eastAsia="Times New Roman" w:hAnsi="Times New Roman" w:cs="Times New Roman"/>
                <w:color w:val="000000"/>
                <w:kern w:val="0"/>
                <w:sz w:val="16"/>
                <w:szCs w:val="16"/>
                <w:lang w:eastAsia="en-IN"/>
                <w14:ligatures w14:val="none"/>
              </w:rPr>
              <w:t>7.27</w:t>
            </w:r>
          </w:p>
        </w:tc>
        <w:tc>
          <w:tcPr>
            <w:tcW w:w="865" w:type="dxa"/>
            <w:tcBorders>
              <w:top w:val="nil"/>
              <w:left w:val="nil"/>
              <w:bottom w:val="single" w:sz="4" w:space="0" w:color="auto"/>
              <w:right w:val="single" w:sz="4" w:space="0" w:color="auto"/>
            </w:tcBorders>
            <w:noWrap/>
            <w:vAlign w:val="center"/>
            <w:hideMark/>
          </w:tcPr>
          <w:p w14:paraId="678EF53C" w14:textId="77777777" w:rsidR="005A319E" w:rsidRPr="005A319E" w:rsidRDefault="005A319E" w:rsidP="005A319E">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5A319E">
              <w:rPr>
                <w:rFonts w:ascii="Times New Roman" w:eastAsia="Times New Roman" w:hAnsi="Times New Roman" w:cs="Times New Roman"/>
                <w:color w:val="000000"/>
                <w:kern w:val="0"/>
                <w:sz w:val="16"/>
                <w:szCs w:val="16"/>
                <w:lang w:eastAsia="en-IN"/>
                <w14:ligatures w14:val="none"/>
              </w:rPr>
              <w:t>1.45</w:t>
            </w:r>
          </w:p>
        </w:tc>
        <w:tc>
          <w:tcPr>
            <w:tcW w:w="581" w:type="dxa"/>
            <w:tcBorders>
              <w:top w:val="nil"/>
              <w:left w:val="nil"/>
              <w:bottom w:val="single" w:sz="4" w:space="0" w:color="auto"/>
              <w:right w:val="single" w:sz="4" w:space="0" w:color="auto"/>
            </w:tcBorders>
            <w:noWrap/>
            <w:vAlign w:val="center"/>
            <w:hideMark/>
          </w:tcPr>
          <w:p w14:paraId="7262DACE" w14:textId="77777777" w:rsidR="005A319E" w:rsidRPr="005A319E" w:rsidRDefault="005A319E" w:rsidP="005A319E">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5A319E">
              <w:rPr>
                <w:rFonts w:ascii="Times New Roman" w:eastAsia="Times New Roman" w:hAnsi="Times New Roman" w:cs="Times New Roman"/>
                <w:color w:val="000000"/>
                <w:kern w:val="0"/>
                <w:sz w:val="16"/>
                <w:szCs w:val="16"/>
                <w:lang w:eastAsia="en-IN"/>
                <w14:ligatures w14:val="none"/>
              </w:rPr>
              <w:t>8.72</w:t>
            </w:r>
          </w:p>
        </w:tc>
      </w:tr>
      <w:tr w:rsidR="005A319E" w:rsidRPr="005A319E" w14:paraId="70D4B5E6" w14:textId="77777777" w:rsidTr="00D67840">
        <w:trPr>
          <w:trHeight w:val="22"/>
          <w:jc w:val="center"/>
        </w:trPr>
        <w:tc>
          <w:tcPr>
            <w:tcW w:w="1842" w:type="dxa"/>
            <w:tcBorders>
              <w:top w:val="nil"/>
              <w:left w:val="single" w:sz="4" w:space="0" w:color="auto"/>
              <w:bottom w:val="single" w:sz="4" w:space="0" w:color="auto"/>
              <w:right w:val="single" w:sz="4" w:space="0" w:color="auto"/>
            </w:tcBorders>
            <w:noWrap/>
            <w:vAlign w:val="center"/>
            <w:hideMark/>
          </w:tcPr>
          <w:p w14:paraId="6DF7FAC2" w14:textId="77777777" w:rsidR="005A319E" w:rsidRPr="005A319E" w:rsidRDefault="005A319E" w:rsidP="005A319E">
            <w:pPr>
              <w:spacing w:after="0" w:line="240" w:lineRule="auto"/>
              <w:rPr>
                <w:rFonts w:ascii="Times New Roman" w:eastAsia="Times New Roman" w:hAnsi="Times New Roman" w:cs="Times New Roman"/>
                <w:color w:val="000000"/>
                <w:kern w:val="0"/>
                <w:sz w:val="16"/>
                <w:szCs w:val="16"/>
                <w:lang w:eastAsia="en-IN"/>
                <w14:ligatures w14:val="none"/>
              </w:rPr>
            </w:pPr>
            <w:r w:rsidRPr="005A319E">
              <w:rPr>
                <w:rFonts w:ascii="Times New Roman" w:eastAsia="Times New Roman" w:hAnsi="Times New Roman" w:cs="Times New Roman"/>
                <w:color w:val="000000"/>
                <w:kern w:val="0"/>
                <w:sz w:val="16"/>
                <w:szCs w:val="16"/>
                <w:lang w:eastAsia="en-IN"/>
                <w14:ligatures w14:val="none"/>
              </w:rPr>
              <w:t>8. Madhya Pradesh:</w:t>
            </w:r>
          </w:p>
        </w:tc>
        <w:tc>
          <w:tcPr>
            <w:tcW w:w="851" w:type="dxa"/>
            <w:tcBorders>
              <w:top w:val="nil"/>
              <w:left w:val="nil"/>
              <w:bottom w:val="single" w:sz="4" w:space="0" w:color="auto"/>
              <w:right w:val="single" w:sz="4" w:space="0" w:color="auto"/>
            </w:tcBorders>
            <w:noWrap/>
            <w:vAlign w:val="center"/>
            <w:hideMark/>
          </w:tcPr>
          <w:p w14:paraId="5D5BC488" w14:textId="77777777" w:rsidR="005A319E" w:rsidRPr="005A319E" w:rsidRDefault="005A319E" w:rsidP="005A319E">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5A319E">
              <w:rPr>
                <w:rFonts w:ascii="Times New Roman" w:eastAsia="Times New Roman" w:hAnsi="Times New Roman" w:cs="Times New Roman"/>
                <w:color w:val="000000"/>
                <w:kern w:val="0"/>
                <w:sz w:val="16"/>
                <w:szCs w:val="16"/>
                <w:lang w:eastAsia="en-IN"/>
                <w14:ligatures w14:val="none"/>
              </w:rPr>
              <w:t> </w:t>
            </w:r>
          </w:p>
        </w:tc>
        <w:tc>
          <w:tcPr>
            <w:tcW w:w="992" w:type="dxa"/>
            <w:tcBorders>
              <w:top w:val="nil"/>
              <w:left w:val="nil"/>
              <w:bottom w:val="single" w:sz="4" w:space="0" w:color="auto"/>
              <w:right w:val="single" w:sz="4" w:space="0" w:color="auto"/>
            </w:tcBorders>
            <w:noWrap/>
            <w:vAlign w:val="center"/>
            <w:hideMark/>
          </w:tcPr>
          <w:p w14:paraId="248F9084" w14:textId="77777777" w:rsidR="005A319E" w:rsidRPr="005A319E" w:rsidRDefault="005A319E" w:rsidP="005A319E">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5A319E">
              <w:rPr>
                <w:rFonts w:ascii="Times New Roman" w:eastAsia="Times New Roman" w:hAnsi="Times New Roman" w:cs="Times New Roman"/>
                <w:color w:val="000000"/>
                <w:kern w:val="0"/>
                <w:sz w:val="16"/>
                <w:szCs w:val="16"/>
                <w:lang w:eastAsia="en-IN"/>
                <w14:ligatures w14:val="none"/>
              </w:rPr>
              <w:t> </w:t>
            </w:r>
          </w:p>
        </w:tc>
        <w:tc>
          <w:tcPr>
            <w:tcW w:w="581" w:type="dxa"/>
            <w:tcBorders>
              <w:top w:val="nil"/>
              <w:left w:val="nil"/>
              <w:bottom w:val="single" w:sz="4" w:space="0" w:color="auto"/>
              <w:right w:val="single" w:sz="4" w:space="0" w:color="auto"/>
            </w:tcBorders>
            <w:noWrap/>
            <w:vAlign w:val="center"/>
            <w:hideMark/>
          </w:tcPr>
          <w:p w14:paraId="32A7DC24" w14:textId="77777777" w:rsidR="005A319E" w:rsidRPr="005A319E" w:rsidRDefault="005A319E" w:rsidP="005A319E">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5A319E">
              <w:rPr>
                <w:rFonts w:ascii="Times New Roman" w:eastAsia="Times New Roman" w:hAnsi="Times New Roman" w:cs="Times New Roman"/>
                <w:color w:val="000000"/>
                <w:kern w:val="0"/>
                <w:sz w:val="16"/>
                <w:szCs w:val="16"/>
                <w:lang w:eastAsia="en-IN"/>
                <w14:ligatures w14:val="none"/>
              </w:rPr>
              <w:t> </w:t>
            </w:r>
          </w:p>
        </w:tc>
        <w:tc>
          <w:tcPr>
            <w:tcW w:w="992" w:type="dxa"/>
            <w:tcBorders>
              <w:top w:val="nil"/>
              <w:left w:val="nil"/>
              <w:bottom w:val="single" w:sz="4" w:space="0" w:color="auto"/>
              <w:right w:val="single" w:sz="4" w:space="0" w:color="auto"/>
            </w:tcBorders>
            <w:noWrap/>
            <w:vAlign w:val="center"/>
            <w:hideMark/>
          </w:tcPr>
          <w:p w14:paraId="6CB50FCA" w14:textId="77777777" w:rsidR="005A319E" w:rsidRPr="005A319E" w:rsidRDefault="005A319E" w:rsidP="005A319E">
            <w:pPr>
              <w:spacing w:after="0" w:line="240" w:lineRule="auto"/>
              <w:rPr>
                <w:rFonts w:ascii="Times New Roman" w:eastAsia="Times New Roman" w:hAnsi="Times New Roman" w:cs="Times New Roman"/>
                <w:color w:val="000000"/>
                <w:kern w:val="0"/>
                <w:sz w:val="16"/>
                <w:szCs w:val="16"/>
                <w:lang w:eastAsia="en-IN"/>
                <w14:ligatures w14:val="none"/>
              </w:rPr>
            </w:pPr>
            <w:r w:rsidRPr="005A319E">
              <w:rPr>
                <w:rFonts w:ascii="Times New Roman" w:eastAsia="Times New Roman" w:hAnsi="Times New Roman" w:cs="Times New Roman"/>
                <w:color w:val="000000"/>
                <w:kern w:val="0"/>
                <w:sz w:val="16"/>
                <w:szCs w:val="16"/>
                <w:lang w:eastAsia="en-IN"/>
                <w14:ligatures w14:val="none"/>
              </w:rPr>
              <w:t> </w:t>
            </w:r>
          </w:p>
        </w:tc>
        <w:tc>
          <w:tcPr>
            <w:tcW w:w="865" w:type="dxa"/>
            <w:tcBorders>
              <w:top w:val="nil"/>
              <w:left w:val="nil"/>
              <w:bottom w:val="single" w:sz="4" w:space="0" w:color="auto"/>
              <w:right w:val="single" w:sz="4" w:space="0" w:color="auto"/>
            </w:tcBorders>
            <w:noWrap/>
            <w:vAlign w:val="center"/>
            <w:hideMark/>
          </w:tcPr>
          <w:p w14:paraId="792BB9DB" w14:textId="77777777" w:rsidR="005A319E" w:rsidRPr="005A319E" w:rsidRDefault="005A319E" w:rsidP="005A319E">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5A319E">
              <w:rPr>
                <w:rFonts w:ascii="Times New Roman" w:eastAsia="Times New Roman" w:hAnsi="Times New Roman" w:cs="Times New Roman"/>
                <w:color w:val="000000"/>
                <w:kern w:val="0"/>
                <w:sz w:val="16"/>
                <w:szCs w:val="16"/>
                <w:lang w:eastAsia="en-IN"/>
                <w14:ligatures w14:val="none"/>
              </w:rPr>
              <w:t> </w:t>
            </w:r>
          </w:p>
        </w:tc>
        <w:tc>
          <w:tcPr>
            <w:tcW w:w="709" w:type="dxa"/>
            <w:tcBorders>
              <w:top w:val="nil"/>
              <w:left w:val="nil"/>
              <w:bottom w:val="single" w:sz="4" w:space="0" w:color="auto"/>
              <w:right w:val="single" w:sz="4" w:space="0" w:color="auto"/>
            </w:tcBorders>
            <w:noWrap/>
            <w:vAlign w:val="center"/>
            <w:hideMark/>
          </w:tcPr>
          <w:p w14:paraId="1D8601F8" w14:textId="77777777" w:rsidR="005A319E" w:rsidRPr="005A319E" w:rsidRDefault="005A319E" w:rsidP="005A319E">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5A319E">
              <w:rPr>
                <w:rFonts w:ascii="Times New Roman" w:eastAsia="Times New Roman" w:hAnsi="Times New Roman" w:cs="Times New Roman"/>
                <w:color w:val="000000"/>
                <w:kern w:val="0"/>
                <w:sz w:val="16"/>
                <w:szCs w:val="16"/>
                <w:lang w:eastAsia="en-IN"/>
                <w14:ligatures w14:val="none"/>
              </w:rPr>
              <w:t> </w:t>
            </w:r>
          </w:p>
        </w:tc>
        <w:tc>
          <w:tcPr>
            <w:tcW w:w="708" w:type="dxa"/>
            <w:tcBorders>
              <w:top w:val="nil"/>
              <w:left w:val="nil"/>
              <w:bottom w:val="single" w:sz="4" w:space="0" w:color="auto"/>
              <w:right w:val="single" w:sz="4" w:space="0" w:color="auto"/>
            </w:tcBorders>
            <w:noWrap/>
            <w:vAlign w:val="center"/>
            <w:hideMark/>
          </w:tcPr>
          <w:p w14:paraId="390640DD" w14:textId="77777777" w:rsidR="005A319E" w:rsidRPr="005A319E" w:rsidRDefault="005A319E" w:rsidP="005A319E">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5A319E">
              <w:rPr>
                <w:rFonts w:ascii="Times New Roman" w:eastAsia="Times New Roman" w:hAnsi="Times New Roman" w:cs="Times New Roman"/>
                <w:color w:val="000000"/>
                <w:kern w:val="0"/>
                <w:sz w:val="16"/>
                <w:szCs w:val="16"/>
                <w:lang w:eastAsia="en-IN"/>
                <w14:ligatures w14:val="none"/>
              </w:rPr>
              <w:t> </w:t>
            </w:r>
          </w:p>
        </w:tc>
        <w:tc>
          <w:tcPr>
            <w:tcW w:w="865" w:type="dxa"/>
            <w:tcBorders>
              <w:top w:val="nil"/>
              <w:left w:val="nil"/>
              <w:bottom w:val="single" w:sz="4" w:space="0" w:color="auto"/>
              <w:right w:val="single" w:sz="4" w:space="0" w:color="auto"/>
            </w:tcBorders>
            <w:noWrap/>
            <w:vAlign w:val="center"/>
            <w:hideMark/>
          </w:tcPr>
          <w:p w14:paraId="3FF339D9" w14:textId="77777777" w:rsidR="005A319E" w:rsidRPr="005A319E" w:rsidRDefault="005A319E" w:rsidP="005A319E">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5A319E">
              <w:rPr>
                <w:rFonts w:ascii="Times New Roman" w:eastAsia="Times New Roman" w:hAnsi="Times New Roman" w:cs="Times New Roman"/>
                <w:color w:val="000000"/>
                <w:kern w:val="0"/>
                <w:sz w:val="16"/>
                <w:szCs w:val="16"/>
                <w:lang w:eastAsia="en-IN"/>
                <w14:ligatures w14:val="none"/>
              </w:rPr>
              <w:t> </w:t>
            </w:r>
          </w:p>
        </w:tc>
        <w:tc>
          <w:tcPr>
            <w:tcW w:w="581" w:type="dxa"/>
            <w:tcBorders>
              <w:top w:val="nil"/>
              <w:left w:val="nil"/>
              <w:bottom w:val="single" w:sz="4" w:space="0" w:color="auto"/>
              <w:right w:val="single" w:sz="4" w:space="0" w:color="auto"/>
            </w:tcBorders>
            <w:noWrap/>
            <w:vAlign w:val="center"/>
            <w:hideMark/>
          </w:tcPr>
          <w:p w14:paraId="70FF1252" w14:textId="77777777" w:rsidR="005A319E" w:rsidRPr="005A319E" w:rsidRDefault="005A319E" w:rsidP="005A319E">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5A319E">
              <w:rPr>
                <w:rFonts w:ascii="Times New Roman" w:eastAsia="Times New Roman" w:hAnsi="Times New Roman" w:cs="Times New Roman"/>
                <w:color w:val="000000"/>
                <w:kern w:val="0"/>
                <w:sz w:val="16"/>
                <w:szCs w:val="16"/>
                <w:lang w:eastAsia="en-IN"/>
                <w14:ligatures w14:val="none"/>
              </w:rPr>
              <w:t> </w:t>
            </w:r>
          </w:p>
        </w:tc>
        <w:tc>
          <w:tcPr>
            <w:tcW w:w="1004" w:type="dxa"/>
            <w:tcBorders>
              <w:top w:val="nil"/>
              <w:left w:val="nil"/>
              <w:bottom w:val="single" w:sz="4" w:space="0" w:color="auto"/>
              <w:right w:val="single" w:sz="4" w:space="0" w:color="auto"/>
            </w:tcBorders>
            <w:noWrap/>
            <w:vAlign w:val="center"/>
            <w:hideMark/>
          </w:tcPr>
          <w:p w14:paraId="046EC17D" w14:textId="77777777" w:rsidR="005A319E" w:rsidRPr="005A319E" w:rsidRDefault="005A319E" w:rsidP="005A319E">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5A319E">
              <w:rPr>
                <w:rFonts w:ascii="Times New Roman" w:eastAsia="Times New Roman" w:hAnsi="Times New Roman" w:cs="Times New Roman"/>
                <w:color w:val="000000"/>
                <w:kern w:val="0"/>
                <w:sz w:val="16"/>
                <w:szCs w:val="16"/>
                <w:lang w:eastAsia="en-IN"/>
                <w14:ligatures w14:val="none"/>
              </w:rPr>
              <w:t> </w:t>
            </w:r>
          </w:p>
        </w:tc>
        <w:tc>
          <w:tcPr>
            <w:tcW w:w="865" w:type="dxa"/>
            <w:tcBorders>
              <w:top w:val="nil"/>
              <w:left w:val="nil"/>
              <w:bottom w:val="single" w:sz="4" w:space="0" w:color="auto"/>
              <w:right w:val="single" w:sz="4" w:space="0" w:color="auto"/>
            </w:tcBorders>
            <w:noWrap/>
            <w:vAlign w:val="center"/>
            <w:hideMark/>
          </w:tcPr>
          <w:p w14:paraId="280188E4" w14:textId="77777777" w:rsidR="005A319E" w:rsidRPr="005A319E" w:rsidRDefault="005A319E" w:rsidP="005A319E">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5A319E">
              <w:rPr>
                <w:rFonts w:ascii="Times New Roman" w:eastAsia="Times New Roman" w:hAnsi="Times New Roman" w:cs="Times New Roman"/>
                <w:color w:val="000000"/>
                <w:kern w:val="0"/>
                <w:sz w:val="16"/>
                <w:szCs w:val="16"/>
                <w:lang w:eastAsia="en-IN"/>
                <w14:ligatures w14:val="none"/>
              </w:rPr>
              <w:t> </w:t>
            </w:r>
          </w:p>
        </w:tc>
        <w:tc>
          <w:tcPr>
            <w:tcW w:w="995" w:type="dxa"/>
            <w:tcBorders>
              <w:top w:val="nil"/>
              <w:left w:val="nil"/>
              <w:bottom w:val="single" w:sz="4" w:space="0" w:color="auto"/>
              <w:right w:val="single" w:sz="4" w:space="0" w:color="auto"/>
            </w:tcBorders>
            <w:noWrap/>
            <w:vAlign w:val="center"/>
            <w:hideMark/>
          </w:tcPr>
          <w:p w14:paraId="5DED5A4F" w14:textId="77777777" w:rsidR="005A319E" w:rsidRPr="005A319E" w:rsidRDefault="005A319E" w:rsidP="005A319E">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5A319E">
              <w:rPr>
                <w:rFonts w:ascii="Times New Roman" w:eastAsia="Times New Roman" w:hAnsi="Times New Roman" w:cs="Times New Roman"/>
                <w:color w:val="000000"/>
                <w:kern w:val="0"/>
                <w:sz w:val="16"/>
                <w:szCs w:val="16"/>
                <w:lang w:eastAsia="en-IN"/>
                <w14:ligatures w14:val="none"/>
              </w:rPr>
              <w:t> </w:t>
            </w:r>
          </w:p>
        </w:tc>
        <w:tc>
          <w:tcPr>
            <w:tcW w:w="916" w:type="dxa"/>
            <w:tcBorders>
              <w:top w:val="nil"/>
              <w:left w:val="nil"/>
              <w:bottom w:val="single" w:sz="4" w:space="0" w:color="auto"/>
              <w:right w:val="single" w:sz="4" w:space="0" w:color="auto"/>
            </w:tcBorders>
            <w:noWrap/>
            <w:vAlign w:val="center"/>
            <w:hideMark/>
          </w:tcPr>
          <w:p w14:paraId="75AE6D7A" w14:textId="77777777" w:rsidR="005A319E" w:rsidRPr="005A319E" w:rsidRDefault="005A319E" w:rsidP="005A319E">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5A319E">
              <w:rPr>
                <w:rFonts w:ascii="Times New Roman" w:eastAsia="Times New Roman" w:hAnsi="Times New Roman" w:cs="Times New Roman"/>
                <w:color w:val="000000"/>
                <w:kern w:val="0"/>
                <w:sz w:val="16"/>
                <w:szCs w:val="16"/>
                <w:lang w:eastAsia="en-IN"/>
                <w14:ligatures w14:val="none"/>
              </w:rPr>
              <w:t> </w:t>
            </w:r>
          </w:p>
        </w:tc>
        <w:tc>
          <w:tcPr>
            <w:tcW w:w="865" w:type="dxa"/>
            <w:tcBorders>
              <w:top w:val="nil"/>
              <w:left w:val="nil"/>
              <w:bottom w:val="single" w:sz="4" w:space="0" w:color="auto"/>
              <w:right w:val="single" w:sz="4" w:space="0" w:color="auto"/>
            </w:tcBorders>
            <w:noWrap/>
            <w:vAlign w:val="center"/>
            <w:hideMark/>
          </w:tcPr>
          <w:p w14:paraId="3FAAC6EC" w14:textId="77777777" w:rsidR="005A319E" w:rsidRPr="005A319E" w:rsidRDefault="005A319E" w:rsidP="005A319E">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5A319E">
              <w:rPr>
                <w:rFonts w:ascii="Times New Roman" w:eastAsia="Times New Roman" w:hAnsi="Times New Roman" w:cs="Times New Roman"/>
                <w:color w:val="000000"/>
                <w:kern w:val="0"/>
                <w:sz w:val="16"/>
                <w:szCs w:val="16"/>
                <w:lang w:eastAsia="en-IN"/>
                <w14:ligatures w14:val="none"/>
              </w:rPr>
              <w:t> </w:t>
            </w:r>
          </w:p>
        </w:tc>
        <w:tc>
          <w:tcPr>
            <w:tcW w:w="581" w:type="dxa"/>
            <w:tcBorders>
              <w:top w:val="nil"/>
              <w:left w:val="nil"/>
              <w:bottom w:val="single" w:sz="4" w:space="0" w:color="auto"/>
              <w:right w:val="single" w:sz="4" w:space="0" w:color="auto"/>
            </w:tcBorders>
            <w:noWrap/>
            <w:vAlign w:val="center"/>
            <w:hideMark/>
          </w:tcPr>
          <w:p w14:paraId="159E3144" w14:textId="77777777" w:rsidR="005A319E" w:rsidRPr="005A319E" w:rsidRDefault="005A319E" w:rsidP="005A319E">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5A319E">
              <w:rPr>
                <w:rFonts w:ascii="Times New Roman" w:eastAsia="Times New Roman" w:hAnsi="Times New Roman" w:cs="Times New Roman"/>
                <w:color w:val="000000"/>
                <w:kern w:val="0"/>
                <w:sz w:val="16"/>
                <w:szCs w:val="16"/>
                <w:lang w:eastAsia="en-IN"/>
                <w14:ligatures w14:val="none"/>
              </w:rPr>
              <w:t> </w:t>
            </w:r>
          </w:p>
        </w:tc>
      </w:tr>
      <w:tr w:rsidR="005A319E" w:rsidRPr="005A319E" w14:paraId="248C9362" w14:textId="77777777" w:rsidTr="00D67840">
        <w:trPr>
          <w:trHeight w:val="22"/>
          <w:jc w:val="center"/>
        </w:trPr>
        <w:tc>
          <w:tcPr>
            <w:tcW w:w="1842" w:type="dxa"/>
            <w:tcBorders>
              <w:top w:val="nil"/>
              <w:left w:val="single" w:sz="4" w:space="0" w:color="auto"/>
              <w:bottom w:val="single" w:sz="4" w:space="0" w:color="auto"/>
              <w:right w:val="single" w:sz="4" w:space="0" w:color="auto"/>
            </w:tcBorders>
            <w:noWrap/>
            <w:vAlign w:val="center"/>
            <w:hideMark/>
          </w:tcPr>
          <w:p w14:paraId="2B531B3D" w14:textId="77777777" w:rsidR="005A319E" w:rsidRPr="005A319E" w:rsidRDefault="005A319E" w:rsidP="005A319E">
            <w:pPr>
              <w:spacing w:after="0" w:line="240" w:lineRule="auto"/>
              <w:rPr>
                <w:rFonts w:ascii="Times New Roman" w:eastAsia="Times New Roman" w:hAnsi="Times New Roman" w:cs="Times New Roman"/>
                <w:color w:val="000000"/>
                <w:kern w:val="0"/>
                <w:sz w:val="16"/>
                <w:szCs w:val="16"/>
                <w:lang w:eastAsia="en-IN"/>
                <w14:ligatures w14:val="none"/>
              </w:rPr>
            </w:pPr>
            <w:r w:rsidRPr="005A319E">
              <w:rPr>
                <w:rFonts w:ascii="Times New Roman" w:eastAsia="Times New Roman" w:hAnsi="Times New Roman" w:cs="Times New Roman"/>
                <w:color w:val="000000"/>
                <w:kern w:val="0"/>
                <w:sz w:val="16"/>
                <w:szCs w:val="16"/>
                <w:lang w:eastAsia="en-IN"/>
                <w14:ligatures w14:val="none"/>
              </w:rPr>
              <w:t>(a) Chambal</w:t>
            </w:r>
          </w:p>
        </w:tc>
        <w:tc>
          <w:tcPr>
            <w:tcW w:w="851" w:type="dxa"/>
            <w:tcBorders>
              <w:top w:val="nil"/>
              <w:left w:val="nil"/>
              <w:bottom w:val="single" w:sz="4" w:space="0" w:color="auto"/>
              <w:right w:val="single" w:sz="4" w:space="0" w:color="auto"/>
            </w:tcBorders>
            <w:noWrap/>
            <w:vAlign w:val="center"/>
            <w:hideMark/>
          </w:tcPr>
          <w:p w14:paraId="2E48AF2E" w14:textId="77777777" w:rsidR="005A319E" w:rsidRPr="005A319E" w:rsidRDefault="005A319E" w:rsidP="005A319E">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5A319E">
              <w:rPr>
                <w:rFonts w:ascii="Times New Roman" w:eastAsia="Times New Roman" w:hAnsi="Times New Roman" w:cs="Times New Roman"/>
                <w:color w:val="000000"/>
                <w:kern w:val="0"/>
                <w:sz w:val="16"/>
                <w:szCs w:val="16"/>
                <w:lang w:eastAsia="en-IN"/>
                <w14:ligatures w14:val="none"/>
              </w:rPr>
              <w:t>11.00</w:t>
            </w:r>
          </w:p>
        </w:tc>
        <w:tc>
          <w:tcPr>
            <w:tcW w:w="992" w:type="dxa"/>
            <w:tcBorders>
              <w:top w:val="nil"/>
              <w:left w:val="nil"/>
              <w:bottom w:val="single" w:sz="4" w:space="0" w:color="auto"/>
              <w:right w:val="single" w:sz="4" w:space="0" w:color="auto"/>
            </w:tcBorders>
            <w:noWrap/>
            <w:vAlign w:val="center"/>
            <w:hideMark/>
          </w:tcPr>
          <w:p w14:paraId="35753E25" w14:textId="77777777" w:rsidR="005A319E" w:rsidRPr="005A319E" w:rsidRDefault="005A319E" w:rsidP="005A319E">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5A319E">
              <w:rPr>
                <w:rFonts w:ascii="Times New Roman" w:eastAsia="Times New Roman" w:hAnsi="Times New Roman" w:cs="Times New Roman"/>
                <w:color w:val="000000"/>
                <w:kern w:val="0"/>
                <w:sz w:val="16"/>
                <w:szCs w:val="16"/>
                <w:lang w:eastAsia="en-IN"/>
                <w14:ligatures w14:val="none"/>
              </w:rPr>
              <w:t>..</w:t>
            </w:r>
          </w:p>
        </w:tc>
        <w:tc>
          <w:tcPr>
            <w:tcW w:w="581" w:type="dxa"/>
            <w:tcBorders>
              <w:top w:val="nil"/>
              <w:left w:val="nil"/>
              <w:bottom w:val="single" w:sz="4" w:space="0" w:color="auto"/>
              <w:right w:val="single" w:sz="4" w:space="0" w:color="auto"/>
            </w:tcBorders>
            <w:noWrap/>
            <w:vAlign w:val="center"/>
            <w:hideMark/>
          </w:tcPr>
          <w:p w14:paraId="6DDDE163" w14:textId="77777777" w:rsidR="005A319E" w:rsidRPr="005A319E" w:rsidRDefault="005A319E" w:rsidP="005A319E">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5A319E">
              <w:rPr>
                <w:rFonts w:ascii="Times New Roman" w:eastAsia="Times New Roman" w:hAnsi="Times New Roman" w:cs="Times New Roman"/>
                <w:color w:val="000000"/>
                <w:kern w:val="0"/>
                <w:sz w:val="16"/>
                <w:szCs w:val="16"/>
                <w:lang w:eastAsia="en-IN"/>
                <w14:ligatures w14:val="none"/>
              </w:rPr>
              <w:t>11.00</w:t>
            </w:r>
          </w:p>
        </w:tc>
        <w:tc>
          <w:tcPr>
            <w:tcW w:w="992" w:type="dxa"/>
            <w:vMerge w:val="restart"/>
            <w:tcBorders>
              <w:top w:val="nil"/>
              <w:left w:val="single" w:sz="4" w:space="0" w:color="auto"/>
              <w:bottom w:val="single" w:sz="4" w:space="0" w:color="auto"/>
              <w:right w:val="single" w:sz="4" w:space="0" w:color="auto"/>
            </w:tcBorders>
            <w:noWrap/>
            <w:vAlign w:val="center"/>
            <w:hideMark/>
          </w:tcPr>
          <w:p w14:paraId="741C8BE5" w14:textId="77777777" w:rsidR="005A319E" w:rsidRPr="005A319E" w:rsidRDefault="005A319E" w:rsidP="005A319E">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5A319E">
              <w:rPr>
                <w:rFonts w:ascii="Times New Roman" w:eastAsia="Times New Roman" w:hAnsi="Times New Roman" w:cs="Times New Roman"/>
                <w:color w:val="000000"/>
                <w:kern w:val="0"/>
                <w:sz w:val="16"/>
                <w:szCs w:val="16"/>
                <w:lang w:eastAsia="en-IN"/>
                <w14:ligatures w14:val="none"/>
              </w:rPr>
              <w:t>13.00</w:t>
            </w:r>
          </w:p>
        </w:tc>
        <w:tc>
          <w:tcPr>
            <w:tcW w:w="865" w:type="dxa"/>
            <w:vMerge w:val="restart"/>
            <w:tcBorders>
              <w:top w:val="nil"/>
              <w:left w:val="single" w:sz="4" w:space="0" w:color="auto"/>
              <w:bottom w:val="single" w:sz="4" w:space="0" w:color="auto"/>
              <w:right w:val="single" w:sz="4" w:space="0" w:color="auto"/>
            </w:tcBorders>
            <w:noWrap/>
            <w:vAlign w:val="center"/>
            <w:hideMark/>
          </w:tcPr>
          <w:p w14:paraId="062FD6FE" w14:textId="77777777" w:rsidR="005A319E" w:rsidRPr="005A319E" w:rsidRDefault="005A319E" w:rsidP="005A319E">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5A319E">
              <w:rPr>
                <w:rFonts w:ascii="Times New Roman" w:eastAsia="Times New Roman" w:hAnsi="Times New Roman" w:cs="Times New Roman"/>
                <w:color w:val="000000"/>
                <w:kern w:val="0"/>
                <w:sz w:val="16"/>
                <w:szCs w:val="16"/>
                <w:lang w:eastAsia="en-IN"/>
                <w14:ligatures w14:val="none"/>
              </w:rPr>
              <w:t>1.00</w:t>
            </w:r>
          </w:p>
        </w:tc>
        <w:tc>
          <w:tcPr>
            <w:tcW w:w="709" w:type="dxa"/>
            <w:vMerge w:val="restart"/>
            <w:tcBorders>
              <w:top w:val="nil"/>
              <w:left w:val="single" w:sz="4" w:space="0" w:color="auto"/>
              <w:bottom w:val="single" w:sz="4" w:space="0" w:color="auto"/>
              <w:right w:val="single" w:sz="4" w:space="0" w:color="auto"/>
            </w:tcBorders>
            <w:noWrap/>
            <w:vAlign w:val="center"/>
            <w:hideMark/>
          </w:tcPr>
          <w:p w14:paraId="7457790E" w14:textId="77777777" w:rsidR="005A319E" w:rsidRPr="005A319E" w:rsidRDefault="005A319E" w:rsidP="005A319E">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5A319E">
              <w:rPr>
                <w:rFonts w:ascii="Times New Roman" w:eastAsia="Times New Roman" w:hAnsi="Times New Roman" w:cs="Times New Roman"/>
                <w:color w:val="000000"/>
                <w:kern w:val="0"/>
                <w:sz w:val="16"/>
                <w:szCs w:val="16"/>
                <w:lang w:eastAsia="en-IN"/>
                <w14:ligatures w14:val="none"/>
              </w:rPr>
              <w:t>14.00</w:t>
            </w:r>
          </w:p>
        </w:tc>
        <w:tc>
          <w:tcPr>
            <w:tcW w:w="708" w:type="dxa"/>
            <w:vMerge w:val="restart"/>
            <w:tcBorders>
              <w:top w:val="nil"/>
              <w:left w:val="single" w:sz="4" w:space="0" w:color="auto"/>
              <w:bottom w:val="single" w:sz="4" w:space="0" w:color="auto"/>
              <w:right w:val="single" w:sz="4" w:space="0" w:color="auto"/>
            </w:tcBorders>
            <w:noWrap/>
            <w:vAlign w:val="center"/>
            <w:hideMark/>
          </w:tcPr>
          <w:p w14:paraId="5ACC036C" w14:textId="77777777" w:rsidR="005A319E" w:rsidRPr="005A319E" w:rsidRDefault="005A319E" w:rsidP="005A319E">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5A319E">
              <w:rPr>
                <w:rFonts w:ascii="Times New Roman" w:eastAsia="Times New Roman" w:hAnsi="Times New Roman" w:cs="Times New Roman"/>
                <w:color w:val="000000"/>
                <w:kern w:val="0"/>
                <w:sz w:val="16"/>
                <w:szCs w:val="16"/>
                <w:lang w:eastAsia="en-IN"/>
                <w14:ligatures w14:val="none"/>
              </w:rPr>
              <w:t>13.00</w:t>
            </w:r>
          </w:p>
        </w:tc>
        <w:tc>
          <w:tcPr>
            <w:tcW w:w="865" w:type="dxa"/>
            <w:vMerge w:val="restart"/>
            <w:tcBorders>
              <w:top w:val="nil"/>
              <w:left w:val="single" w:sz="4" w:space="0" w:color="auto"/>
              <w:bottom w:val="single" w:sz="4" w:space="0" w:color="auto"/>
              <w:right w:val="single" w:sz="4" w:space="0" w:color="auto"/>
            </w:tcBorders>
            <w:noWrap/>
            <w:vAlign w:val="center"/>
            <w:hideMark/>
          </w:tcPr>
          <w:p w14:paraId="5FAC3175" w14:textId="77777777" w:rsidR="005A319E" w:rsidRPr="005A319E" w:rsidRDefault="005A319E" w:rsidP="005A319E">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5A319E">
              <w:rPr>
                <w:rFonts w:ascii="Times New Roman" w:eastAsia="Times New Roman" w:hAnsi="Times New Roman" w:cs="Times New Roman"/>
                <w:color w:val="000000"/>
                <w:kern w:val="0"/>
                <w:sz w:val="16"/>
                <w:szCs w:val="16"/>
                <w:lang w:eastAsia="en-IN"/>
                <w14:ligatures w14:val="none"/>
              </w:rPr>
              <w:t>1.00</w:t>
            </w:r>
          </w:p>
        </w:tc>
        <w:tc>
          <w:tcPr>
            <w:tcW w:w="581" w:type="dxa"/>
            <w:vMerge w:val="restart"/>
            <w:tcBorders>
              <w:top w:val="nil"/>
              <w:left w:val="single" w:sz="4" w:space="0" w:color="auto"/>
              <w:bottom w:val="single" w:sz="4" w:space="0" w:color="auto"/>
              <w:right w:val="single" w:sz="4" w:space="0" w:color="auto"/>
            </w:tcBorders>
            <w:noWrap/>
            <w:vAlign w:val="center"/>
            <w:hideMark/>
          </w:tcPr>
          <w:p w14:paraId="6BF22C91" w14:textId="77777777" w:rsidR="005A319E" w:rsidRPr="005A319E" w:rsidRDefault="005A319E" w:rsidP="005A319E">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5A319E">
              <w:rPr>
                <w:rFonts w:ascii="Times New Roman" w:eastAsia="Times New Roman" w:hAnsi="Times New Roman" w:cs="Times New Roman"/>
                <w:color w:val="000000"/>
                <w:kern w:val="0"/>
                <w:sz w:val="16"/>
                <w:szCs w:val="16"/>
                <w:lang w:eastAsia="en-IN"/>
                <w14:ligatures w14:val="none"/>
              </w:rPr>
              <w:t>14.00</w:t>
            </w:r>
          </w:p>
        </w:tc>
        <w:tc>
          <w:tcPr>
            <w:tcW w:w="1004" w:type="dxa"/>
            <w:tcBorders>
              <w:top w:val="nil"/>
              <w:left w:val="nil"/>
              <w:bottom w:val="single" w:sz="4" w:space="0" w:color="auto"/>
              <w:right w:val="single" w:sz="4" w:space="0" w:color="auto"/>
            </w:tcBorders>
            <w:noWrap/>
            <w:vAlign w:val="center"/>
            <w:hideMark/>
          </w:tcPr>
          <w:p w14:paraId="44A4B96D" w14:textId="77777777" w:rsidR="005A319E" w:rsidRPr="005A319E" w:rsidRDefault="005A319E" w:rsidP="005A319E">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5A319E">
              <w:rPr>
                <w:rFonts w:ascii="Times New Roman" w:eastAsia="Times New Roman" w:hAnsi="Times New Roman" w:cs="Times New Roman"/>
                <w:color w:val="000000"/>
                <w:kern w:val="0"/>
                <w:sz w:val="16"/>
                <w:szCs w:val="16"/>
                <w:lang w:eastAsia="en-IN"/>
                <w14:ligatures w14:val="none"/>
              </w:rPr>
              <w:t>10.21</w:t>
            </w:r>
          </w:p>
        </w:tc>
        <w:tc>
          <w:tcPr>
            <w:tcW w:w="865" w:type="dxa"/>
            <w:tcBorders>
              <w:top w:val="nil"/>
              <w:left w:val="nil"/>
              <w:bottom w:val="single" w:sz="4" w:space="0" w:color="auto"/>
              <w:right w:val="single" w:sz="4" w:space="0" w:color="auto"/>
            </w:tcBorders>
            <w:noWrap/>
            <w:vAlign w:val="center"/>
            <w:hideMark/>
          </w:tcPr>
          <w:p w14:paraId="7E6A6316" w14:textId="77777777" w:rsidR="005A319E" w:rsidRPr="005A319E" w:rsidRDefault="005A319E" w:rsidP="005A319E">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5A319E">
              <w:rPr>
                <w:rFonts w:ascii="Times New Roman" w:eastAsia="Times New Roman" w:hAnsi="Times New Roman" w:cs="Times New Roman"/>
                <w:color w:val="000000"/>
                <w:kern w:val="0"/>
                <w:sz w:val="16"/>
                <w:szCs w:val="16"/>
                <w:lang w:eastAsia="en-IN"/>
                <w14:ligatures w14:val="none"/>
              </w:rPr>
              <w:t>1.00</w:t>
            </w:r>
          </w:p>
        </w:tc>
        <w:tc>
          <w:tcPr>
            <w:tcW w:w="995" w:type="dxa"/>
            <w:tcBorders>
              <w:top w:val="nil"/>
              <w:left w:val="nil"/>
              <w:bottom w:val="single" w:sz="4" w:space="0" w:color="auto"/>
              <w:right w:val="single" w:sz="4" w:space="0" w:color="auto"/>
            </w:tcBorders>
            <w:noWrap/>
            <w:vAlign w:val="center"/>
            <w:hideMark/>
          </w:tcPr>
          <w:p w14:paraId="526830B0" w14:textId="77777777" w:rsidR="005A319E" w:rsidRPr="005A319E" w:rsidRDefault="005A319E" w:rsidP="005A319E">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5A319E">
              <w:rPr>
                <w:rFonts w:ascii="Times New Roman" w:eastAsia="Times New Roman" w:hAnsi="Times New Roman" w:cs="Times New Roman"/>
                <w:color w:val="000000"/>
                <w:kern w:val="0"/>
                <w:sz w:val="16"/>
                <w:szCs w:val="16"/>
                <w:lang w:eastAsia="en-IN"/>
                <w14:ligatures w14:val="none"/>
              </w:rPr>
              <w:t>11.21</w:t>
            </w:r>
          </w:p>
        </w:tc>
        <w:tc>
          <w:tcPr>
            <w:tcW w:w="916" w:type="dxa"/>
            <w:tcBorders>
              <w:top w:val="nil"/>
              <w:left w:val="nil"/>
              <w:bottom w:val="single" w:sz="4" w:space="0" w:color="auto"/>
              <w:right w:val="single" w:sz="4" w:space="0" w:color="auto"/>
            </w:tcBorders>
            <w:noWrap/>
            <w:vAlign w:val="center"/>
            <w:hideMark/>
          </w:tcPr>
          <w:p w14:paraId="0220A6C9" w14:textId="77777777" w:rsidR="005A319E" w:rsidRPr="005A319E" w:rsidRDefault="005A319E" w:rsidP="005A319E">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5A319E">
              <w:rPr>
                <w:rFonts w:ascii="Times New Roman" w:eastAsia="Times New Roman" w:hAnsi="Times New Roman" w:cs="Times New Roman"/>
                <w:color w:val="000000"/>
                <w:kern w:val="0"/>
                <w:sz w:val="16"/>
                <w:szCs w:val="16"/>
                <w:lang w:eastAsia="en-IN"/>
                <w14:ligatures w14:val="none"/>
              </w:rPr>
              <w:t>10.54</w:t>
            </w:r>
          </w:p>
        </w:tc>
        <w:tc>
          <w:tcPr>
            <w:tcW w:w="865" w:type="dxa"/>
            <w:tcBorders>
              <w:top w:val="nil"/>
              <w:left w:val="nil"/>
              <w:bottom w:val="single" w:sz="4" w:space="0" w:color="auto"/>
              <w:right w:val="single" w:sz="4" w:space="0" w:color="auto"/>
            </w:tcBorders>
            <w:noWrap/>
            <w:vAlign w:val="center"/>
            <w:hideMark/>
          </w:tcPr>
          <w:p w14:paraId="39AB0E23" w14:textId="77777777" w:rsidR="005A319E" w:rsidRPr="005A319E" w:rsidRDefault="005A319E" w:rsidP="005A319E">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5A319E">
              <w:rPr>
                <w:rFonts w:ascii="Times New Roman" w:eastAsia="Times New Roman" w:hAnsi="Times New Roman" w:cs="Times New Roman"/>
                <w:color w:val="000000"/>
                <w:kern w:val="0"/>
                <w:sz w:val="16"/>
                <w:szCs w:val="16"/>
                <w:lang w:eastAsia="en-IN"/>
                <w14:ligatures w14:val="none"/>
              </w:rPr>
              <w:t>1.00</w:t>
            </w:r>
          </w:p>
        </w:tc>
        <w:tc>
          <w:tcPr>
            <w:tcW w:w="581" w:type="dxa"/>
            <w:tcBorders>
              <w:top w:val="nil"/>
              <w:left w:val="nil"/>
              <w:bottom w:val="single" w:sz="4" w:space="0" w:color="auto"/>
              <w:right w:val="single" w:sz="4" w:space="0" w:color="auto"/>
            </w:tcBorders>
            <w:noWrap/>
            <w:vAlign w:val="center"/>
            <w:hideMark/>
          </w:tcPr>
          <w:p w14:paraId="724A397E" w14:textId="77777777" w:rsidR="005A319E" w:rsidRPr="005A319E" w:rsidRDefault="005A319E" w:rsidP="005A319E">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5A319E">
              <w:rPr>
                <w:rFonts w:ascii="Times New Roman" w:eastAsia="Times New Roman" w:hAnsi="Times New Roman" w:cs="Times New Roman"/>
                <w:color w:val="000000"/>
                <w:kern w:val="0"/>
                <w:sz w:val="16"/>
                <w:szCs w:val="16"/>
                <w:lang w:eastAsia="en-IN"/>
                <w14:ligatures w14:val="none"/>
              </w:rPr>
              <w:t>11.54</w:t>
            </w:r>
          </w:p>
        </w:tc>
      </w:tr>
      <w:tr w:rsidR="005A319E" w:rsidRPr="005A319E" w14:paraId="0A5AAFDC" w14:textId="77777777" w:rsidTr="00D67840">
        <w:trPr>
          <w:trHeight w:val="22"/>
          <w:jc w:val="center"/>
        </w:trPr>
        <w:tc>
          <w:tcPr>
            <w:tcW w:w="1842" w:type="dxa"/>
            <w:tcBorders>
              <w:top w:val="nil"/>
              <w:left w:val="single" w:sz="4" w:space="0" w:color="auto"/>
              <w:bottom w:val="single" w:sz="4" w:space="0" w:color="auto"/>
              <w:right w:val="single" w:sz="4" w:space="0" w:color="auto"/>
            </w:tcBorders>
            <w:noWrap/>
            <w:vAlign w:val="center"/>
            <w:hideMark/>
          </w:tcPr>
          <w:p w14:paraId="3FFECCC6" w14:textId="77777777" w:rsidR="005A319E" w:rsidRPr="005A319E" w:rsidRDefault="005A319E" w:rsidP="005A319E">
            <w:pPr>
              <w:spacing w:after="0" w:line="240" w:lineRule="auto"/>
              <w:rPr>
                <w:rFonts w:ascii="Times New Roman" w:eastAsia="Times New Roman" w:hAnsi="Times New Roman" w:cs="Times New Roman"/>
                <w:color w:val="000000"/>
                <w:kern w:val="0"/>
                <w:sz w:val="16"/>
                <w:szCs w:val="16"/>
                <w:lang w:eastAsia="en-IN"/>
                <w14:ligatures w14:val="none"/>
              </w:rPr>
            </w:pPr>
            <w:r w:rsidRPr="005A319E">
              <w:rPr>
                <w:rFonts w:ascii="Times New Roman" w:eastAsia="Times New Roman" w:hAnsi="Times New Roman" w:cs="Times New Roman"/>
                <w:color w:val="000000"/>
                <w:kern w:val="0"/>
                <w:sz w:val="16"/>
                <w:szCs w:val="16"/>
                <w:lang w:eastAsia="en-IN"/>
                <w14:ligatures w14:val="none"/>
              </w:rPr>
              <w:t>(b) Korba-Amarkantak</w:t>
            </w:r>
          </w:p>
        </w:tc>
        <w:tc>
          <w:tcPr>
            <w:tcW w:w="851" w:type="dxa"/>
            <w:tcBorders>
              <w:top w:val="nil"/>
              <w:left w:val="nil"/>
              <w:bottom w:val="single" w:sz="4" w:space="0" w:color="auto"/>
              <w:right w:val="single" w:sz="4" w:space="0" w:color="auto"/>
            </w:tcBorders>
            <w:noWrap/>
            <w:vAlign w:val="center"/>
            <w:hideMark/>
          </w:tcPr>
          <w:p w14:paraId="2D02AE49" w14:textId="77777777" w:rsidR="005A319E" w:rsidRPr="005A319E" w:rsidRDefault="005A319E" w:rsidP="005A319E">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5A319E">
              <w:rPr>
                <w:rFonts w:ascii="Times New Roman" w:eastAsia="Times New Roman" w:hAnsi="Times New Roman" w:cs="Times New Roman"/>
                <w:color w:val="000000"/>
                <w:kern w:val="0"/>
                <w:sz w:val="16"/>
                <w:szCs w:val="16"/>
                <w:lang w:eastAsia="en-IN"/>
                <w14:ligatures w14:val="none"/>
              </w:rPr>
              <w:t>11.00</w:t>
            </w:r>
          </w:p>
        </w:tc>
        <w:tc>
          <w:tcPr>
            <w:tcW w:w="992" w:type="dxa"/>
            <w:tcBorders>
              <w:top w:val="nil"/>
              <w:left w:val="nil"/>
              <w:bottom w:val="single" w:sz="4" w:space="0" w:color="auto"/>
              <w:right w:val="single" w:sz="4" w:space="0" w:color="auto"/>
            </w:tcBorders>
            <w:noWrap/>
            <w:vAlign w:val="center"/>
            <w:hideMark/>
          </w:tcPr>
          <w:p w14:paraId="5AE4DEA4" w14:textId="77777777" w:rsidR="005A319E" w:rsidRPr="005A319E" w:rsidRDefault="005A319E" w:rsidP="005A319E">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5A319E">
              <w:rPr>
                <w:rFonts w:ascii="Times New Roman" w:eastAsia="Times New Roman" w:hAnsi="Times New Roman" w:cs="Times New Roman"/>
                <w:color w:val="000000"/>
                <w:kern w:val="0"/>
                <w:sz w:val="16"/>
                <w:szCs w:val="16"/>
                <w:lang w:eastAsia="en-IN"/>
                <w14:ligatures w14:val="none"/>
              </w:rPr>
              <w:t>..</w:t>
            </w:r>
          </w:p>
        </w:tc>
        <w:tc>
          <w:tcPr>
            <w:tcW w:w="581" w:type="dxa"/>
            <w:tcBorders>
              <w:top w:val="nil"/>
              <w:left w:val="nil"/>
              <w:bottom w:val="single" w:sz="4" w:space="0" w:color="auto"/>
              <w:right w:val="single" w:sz="4" w:space="0" w:color="auto"/>
            </w:tcBorders>
            <w:noWrap/>
            <w:vAlign w:val="center"/>
            <w:hideMark/>
          </w:tcPr>
          <w:p w14:paraId="193E154B" w14:textId="77777777" w:rsidR="005A319E" w:rsidRPr="005A319E" w:rsidRDefault="005A319E" w:rsidP="005A319E">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5A319E">
              <w:rPr>
                <w:rFonts w:ascii="Times New Roman" w:eastAsia="Times New Roman" w:hAnsi="Times New Roman" w:cs="Times New Roman"/>
                <w:color w:val="000000"/>
                <w:kern w:val="0"/>
                <w:sz w:val="16"/>
                <w:szCs w:val="16"/>
                <w:lang w:eastAsia="en-IN"/>
                <w14:ligatures w14:val="none"/>
              </w:rPr>
              <w:t>11.00</w:t>
            </w:r>
          </w:p>
        </w:tc>
        <w:tc>
          <w:tcPr>
            <w:tcW w:w="992" w:type="dxa"/>
            <w:vMerge/>
            <w:tcBorders>
              <w:top w:val="nil"/>
              <w:left w:val="single" w:sz="4" w:space="0" w:color="auto"/>
              <w:bottom w:val="single" w:sz="4" w:space="0" w:color="auto"/>
              <w:right w:val="single" w:sz="4" w:space="0" w:color="auto"/>
            </w:tcBorders>
            <w:vAlign w:val="center"/>
            <w:hideMark/>
          </w:tcPr>
          <w:p w14:paraId="7DC39E4E" w14:textId="77777777" w:rsidR="005A319E" w:rsidRPr="005A319E" w:rsidRDefault="005A319E" w:rsidP="005A319E">
            <w:pPr>
              <w:spacing w:after="0" w:line="240" w:lineRule="auto"/>
              <w:rPr>
                <w:rFonts w:ascii="Times New Roman" w:eastAsia="Times New Roman" w:hAnsi="Times New Roman" w:cs="Times New Roman"/>
                <w:color w:val="000000"/>
                <w:kern w:val="0"/>
                <w:sz w:val="16"/>
                <w:szCs w:val="16"/>
                <w:lang w:eastAsia="en-IN"/>
                <w14:ligatures w14:val="none"/>
              </w:rPr>
            </w:pPr>
          </w:p>
        </w:tc>
        <w:tc>
          <w:tcPr>
            <w:tcW w:w="865" w:type="dxa"/>
            <w:vMerge/>
            <w:tcBorders>
              <w:top w:val="nil"/>
              <w:left w:val="single" w:sz="4" w:space="0" w:color="auto"/>
              <w:bottom w:val="single" w:sz="4" w:space="0" w:color="auto"/>
              <w:right w:val="single" w:sz="4" w:space="0" w:color="auto"/>
            </w:tcBorders>
            <w:vAlign w:val="center"/>
            <w:hideMark/>
          </w:tcPr>
          <w:p w14:paraId="549D2227" w14:textId="77777777" w:rsidR="005A319E" w:rsidRPr="005A319E" w:rsidRDefault="005A319E" w:rsidP="005A319E">
            <w:pPr>
              <w:spacing w:after="0" w:line="240" w:lineRule="auto"/>
              <w:rPr>
                <w:rFonts w:ascii="Times New Roman" w:eastAsia="Times New Roman" w:hAnsi="Times New Roman" w:cs="Times New Roman"/>
                <w:color w:val="000000"/>
                <w:kern w:val="0"/>
                <w:sz w:val="16"/>
                <w:szCs w:val="16"/>
                <w:lang w:eastAsia="en-IN"/>
                <w14:ligatures w14:val="none"/>
              </w:rPr>
            </w:pPr>
          </w:p>
        </w:tc>
        <w:tc>
          <w:tcPr>
            <w:tcW w:w="709" w:type="dxa"/>
            <w:vMerge/>
            <w:tcBorders>
              <w:top w:val="nil"/>
              <w:left w:val="single" w:sz="4" w:space="0" w:color="auto"/>
              <w:bottom w:val="single" w:sz="4" w:space="0" w:color="auto"/>
              <w:right w:val="single" w:sz="4" w:space="0" w:color="auto"/>
            </w:tcBorders>
            <w:vAlign w:val="center"/>
            <w:hideMark/>
          </w:tcPr>
          <w:p w14:paraId="2B3409E9" w14:textId="77777777" w:rsidR="005A319E" w:rsidRPr="005A319E" w:rsidRDefault="005A319E" w:rsidP="005A319E">
            <w:pPr>
              <w:spacing w:after="0" w:line="240" w:lineRule="auto"/>
              <w:rPr>
                <w:rFonts w:ascii="Times New Roman" w:eastAsia="Times New Roman" w:hAnsi="Times New Roman" w:cs="Times New Roman"/>
                <w:color w:val="000000"/>
                <w:kern w:val="0"/>
                <w:sz w:val="16"/>
                <w:szCs w:val="16"/>
                <w:lang w:eastAsia="en-IN"/>
                <w14:ligatures w14:val="none"/>
              </w:rPr>
            </w:pPr>
          </w:p>
        </w:tc>
        <w:tc>
          <w:tcPr>
            <w:tcW w:w="708" w:type="dxa"/>
            <w:vMerge/>
            <w:tcBorders>
              <w:top w:val="nil"/>
              <w:left w:val="single" w:sz="4" w:space="0" w:color="auto"/>
              <w:bottom w:val="single" w:sz="4" w:space="0" w:color="auto"/>
              <w:right w:val="single" w:sz="4" w:space="0" w:color="auto"/>
            </w:tcBorders>
            <w:vAlign w:val="center"/>
            <w:hideMark/>
          </w:tcPr>
          <w:p w14:paraId="066CFE06" w14:textId="77777777" w:rsidR="005A319E" w:rsidRPr="005A319E" w:rsidRDefault="005A319E" w:rsidP="005A319E">
            <w:pPr>
              <w:spacing w:after="0" w:line="240" w:lineRule="auto"/>
              <w:rPr>
                <w:rFonts w:ascii="Times New Roman" w:eastAsia="Times New Roman" w:hAnsi="Times New Roman" w:cs="Times New Roman"/>
                <w:color w:val="000000"/>
                <w:kern w:val="0"/>
                <w:sz w:val="16"/>
                <w:szCs w:val="16"/>
                <w:lang w:eastAsia="en-IN"/>
                <w14:ligatures w14:val="none"/>
              </w:rPr>
            </w:pPr>
          </w:p>
        </w:tc>
        <w:tc>
          <w:tcPr>
            <w:tcW w:w="865" w:type="dxa"/>
            <w:vMerge/>
            <w:tcBorders>
              <w:top w:val="nil"/>
              <w:left w:val="single" w:sz="4" w:space="0" w:color="auto"/>
              <w:bottom w:val="single" w:sz="4" w:space="0" w:color="auto"/>
              <w:right w:val="single" w:sz="4" w:space="0" w:color="auto"/>
            </w:tcBorders>
            <w:vAlign w:val="center"/>
            <w:hideMark/>
          </w:tcPr>
          <w:p w14:paraId="1E59DF82" w14:textId="77777777" w:rsidR="005A319E" w:rsidRPr="005A319E" w:rsidRDefault="005A319E" w:rsidP="005A319E">
            <w:pPr>
              <w:spacing w:after="0" w:line="240" w:lineRule="auto"/>
              <w:rPr>
                <w:rFonts w:ascii="Times New Roman" w:eastAsia="Times New Roman" w:hAnsi="Times New Roman" w:cs="Times New Roman"/>
                <w:color w:val="000000"/>
                <w:kern w:val="0"/>
                <w:sz w:val="16"/>
                <w:szCs w:val="16"/>
                <w:lang w:eastAsia="en-IN"/>
                <w14:ligatures w14:val="none"/>
              </w:rPr>
            </w:pPr>
          </w:p>
        </w:tc>
        <w:tc>
          <w:tcPr>
            <w:tcW w:w="581" w:type="dxa"/>
            <w:vMerge/>
            <w:tcBorders>
              <w:top w:val="nil"/>
              <w:left w:val="single" w:sz="4" w:space="0" w:color="auto"/>
              <w:bottom w:val="single" w:sz="4" w:space="0" w:color="auto"/>
              <w:right w:val="single" w:sz="4" w:space="0" w:color="auto"/>
            </w:tcBorders>
            <w:vAlign w:val="center"/>
            <w:hideMark/>
          </w:tcPr>
          <w:p w14:paraId="78E041F5" w14:textId="77777777" w:rsidR="005A319E" w:rsidRPr="005A319E" w:rsidRDefault="005A319E" w:rsidP="005A319E">
            <w:pPr>
              <w:spacing w:after="0" w:line="240" w:lineRule="auto"/>
              <w:rPr>
                <w:rFonts w:ascii="Times New Roman" w:eastAsia="Times New Roman" w:hAnsi="Times New Roman" w:cs="Times New Roman"/>
                <w:color w:val="000000"/>
                <w:kern w:val="0"/>
                <w:sz w:val="16"/>
                <w:szCs w:val="16"/>
                <w:lang w:eastAsia="en-IN"/>
                <w14:ligatures w14:val="none"/>
              </w:rPr>
            </w:pPr>
          </w:p>
        </w:tc>
        <w:tc>
          <w:tcPr>
            <w:tcW w:w="1004" w:type="dxa"/>
            <w:tcBorders>
              <w:top w:val="nil"/>
              <w:left w:val="nil"/>
              <w:bottom w:val="single" w:sz="4" w:space="0" w:color="auto"/>
              <w:right w:val="single" w:sz="4" w:space="0" w:color="auto"/>
            </w:tcBorders>
            <w:noWrap/>
            <w:vAlign w:val="center"/>
            <w:hideMark/>
          </w:tcPr>
          <w:p w14:paraId="4E4F5C00" w14:textId="77777777" w:rsidR="005A319E" w:rsidRPr="005A319E" w:rsidRDefault="005A319E" w:rsidP="005A319E">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5A319E">
              <w:rPr>
                <w:rFonts w:ascii="Times New Roman" w:eastAsia="Times New Roman" w:hAnsi="Times New Roman" w:cs="Times New Roman"/>
                <w:color w:val="000000"/>
                <w:kern w:val="0"/>
                <w:sz w:val="16"/>
                <w:szCs w:val="16"/>
                <w:lang w:eastAsia="en-IN"/>
                <w14:ligatures w14:val="none"/>
              </w:rPr>
              <w:t>10.80*</w:t>
            </w:r>
          </w:p>
        </w:tc>
        <w:tc>
          <w:tcPr>
            <w:tcW w:w="865" w:type="dxa"/>
            <w:tcBorders>
              <w:top w:val="nil"/>
              <w:left w:val="nil"/>
              <w:bottom w:val="single" w:sz="4" w:space="0" w:color="auto"/>
              <w:right w:val="single" w:sz="4" w:space="0" w:color="auto"/>
            </w:tcBorders>
            <w:noWrap/>
            <w:vAlign w:val="center"/>
            <w:hideMark/>
          </w:tcPr>
          <w:p w14:paraId="5589398D" w14:textId="77777777" w:rsidR="005A319E" w:rsidRPr="005A319E" w:rsidRDefault="005A319E" w:rsidP="005A319E">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5A319E">
              <w:rPr>
                <w:rFonts w:ascii="Times New Roman" w:eastAsia="Times New Roman" w:hAnsi="Times New Roman" w:cs="Times New Roman"/>
                <w:color w:val="000000"/>
                <w:kern w:val="0"/>
                <w:sz w:val="16"/>
                <w:szCs w:val="16"/>
                <w:lang w:eastAsia="en-IN"/>
                <w14:ligatures w14:val="none"/>
              </w:rPr>
              <w:t>1.00</w:t>
            </w:r>
          </w:p>
        </w:tc>
        <w:tc>
          <w:tcPr>
            <w:tcW w:w="995" w:type="dxa"/>
            <w:tcBorders>
              <w:top w:val="nil"/>
              <w:left w:val="nil"/>
              <w:bottom w:val="single" w:sz="4" w:space="0" w:color="auto"/>
              <w:right w:val="single" w:sz="4" w:space="0" w:color="auto"/>
            </w:tcBorders>
            <w:noWrap/>
            <w:vAlign w:val="center"/>
            <w:hideMark/>
          </w:tcPr>
          <w:p w14:paraId="0C71AFFD" w14:textId="77777777" w:rsidR="005A319E" w:rsidRPr="005A319E" w:rsidRDefault="005A319E" w:rsidP="005A319E">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5A319E">
              <w:rPr>
                <w:rFonts w:ascii="Times New Roman" w:eastAsia="Times New Roman" w:hAnsi="Times New Roman" w:cs="Times New Roman"/>
                <w:color w:val="000000"/>
                <w:kern w:val="0"/>
                <w:sz w:val="16"/>
                <w:szCs w:val="16"/>
                <w:lang w:eastAsia="en-IN"/>
                <w14:ligatures w14:val="none"/>
              </w:rPr>
              <w:t>11.80</w:t>
            </w:r>
          </w:p>
        </w:tc>
        <w:tc>
          <w:tcPr>
            <w:tcW w:w="916" w:type="dxa"/>
            <w:tcBorders>
              <w:top w:val="nil"/>
              <w:left w:val="nil"/>
              <w:bottom w:val="single" w:sz="4" w:space="0" w:color="auto"/>
              <w:right w:val="single" w:sz="4" w:space="0" w:color="auto"/>
            </w:tcBorders>
            <w:noWrap/>
            <w:vAlign w:val="center"/>
            <w:hideMark/>
          </w:tcPr>
          <w:p w14:paraId="0079479E" w14:textId="77777777" w:rsidR="005A319E" w:rsidRPr="005A319E" w:rsidRDefault="005A319E" w:rsidP="005A319E">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5A319E">
              <w:rPr>
                <w:rFonts w:ascii="Times New Roman" w:eastAsia="Times New Roman" w:hAnsi="Times New Roman" w:cs="Times New Roman"/>
                <w:color w:val="000000"/>
                <w:kern w:val="0"/>
                <w:sz w:val="16"/>
                <w:szCs w:val="16"/>
                <w:lang w:eastAsia="en-IN"/>
                <w14:ligatures w14:val="none"/>
              </w:rPr>
              <w:t>9.91</w:t>
            </w:r>
          </w:p>
        </w:tc>
        <w:tc>
          <w:tcPr>
            <w:tcW w:w="865" w:type="dxa"/>
            <w:tcBorders>
              <w:top w:val="nil"/>
              <w:left w:val="nil"/>
              <w:bottom w:val="single" w:sz="4" w:space="0" w:color="auto"/>
              <w:right w:val="single" w:sz="4" w:space="0" w:color="auto"/>
            </w:tcBorders>
            <w:noWrap/>
            <w:vAlign w:val="center"/>
            <w:hideMark/>
          </w:tcPr>
          <w:p w14:paraId="47BD2F8C" w14:textId="77777777" w:rsidR="005A319E" w:rsidRPr="005A319E" w:rsidRDefault="005A319E" w:rsidP="005A319E">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5A319E">
              <w:rPr>
                <w:rFonts w:ascii="Times New Roman" w:eastAsia="Times New Roman" w:hAnsi="Times New Roman" w:cs="Times New Roman"/>
                <w:color w:val="000000"/>
                <w:kern w:val="0"/>
                <w:sz w:val="16"/>
                <w:szCs w:val="16"/>
                <w:lang w:eastAsia="en-IN"/>
                <w14:ligatures w14:val="none"/>
              </w:rPr>
              <w:t>1.00</w:t>
            </w:r>
          </w:p>
        </w:tc>
        <w:tc>
          <w:tcPr>
            <w:tcW w:w="581" w:type="dxa"/>
            <w:tcBorders>
              <w:top w:val="nil"/>
              <w:left w:val="nil"/>
              <w:bottom w:val="single" w:sz="4" w:space="0" w:color="auto"/>
              <w:right w:val="single" w:sz="4" w:space="0" w:color="auto"/>
            </w:tcBorders>
            <w:noWrap/>
            <w:vAlign w:val="center"/>
            <w:hideMark/>
          </w:tcPr>
          <w:p w14:paraId="3FD5DBB6" w14:textId="77777777" w:rsidR="005A319E" w:rsidRPr="005A319E" w:rsidRDefault="005A319E" w:rsidP="005A319E">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5A319E">
              <w:rPr>
                <w:rFonts w:ascii="Times New Roman" w:eastAsia="Times New Roman" w:hAnsi="Times New Roman" w:cs="Times New Roman"/>
                <w:color w:val="000000"/>
                <w:kern w:val="0"/>
                <w:sz w:val="16"/>
                <w:szCs w:val="16"/>
                <w:lang w:eastAsia="en-IN"/>
                <w14:ligatures w14:val="none"/>
              </w:rPr>
              <w:t>10.91</w:t>
            </w:r>
          </w:p>
        </w:tc>
      </w:tr>
      <w:tr w:rsidR="005A319E" w:rsidRPr="005A319E" w14:paraId="1CA84374" w14:textId="77777777" w:rsidTr="00D67840">
        <w:trPr>
          <w:trHeight w:val="22"/>
          <w:jc w:val="center"/>
        </w:trPr>
        <w:tc>
          <w:tcPr>
            <w:tcW w:w="1842" w:type="dxa"/>
            <w:tcBorders>
              <w:top w:val="nil"/>
              <w:left w:val="single" w:sz="4" w:space="0" w:color="auto"/>
              <w:bottom w:val="single" w:sz="4" w:space="0" w:color="auto"/>
              <w:right w:val="single" w:sz="4" w:space="0" w:color="auto"/>
            </w:tcBorders>
            <w:noWrap/>
            <w:vAlign w:val="center"/>
            <w:hideMark/>
          </w:tcPr>
          <w:p w14:paraId="54193D1F" w14:textId="77777777" w:rsidR="005A319E" w:rsidRPr="005A319E" w:rsidRDefault="005A319E" w:rsidP="005A319E">
            <w:pPr>
              <w:spacing w:after="0" w:line="240" w:lineRule="auto"/>
              <w:rPr>
                <w:rFonts w:ascii="Times New Roman" w:eastAsia="Times New Roman" w:hAnsi="Times New Roman" w:cs="Times New Roman"/>
                <w:color w:val="000000"/>
                <w:kern w:val="0"/>
                <w:sz w:val="16"/>
                <w:szCs w:val="16"/>
                <w:lang w:eastAsia="en-IN"/>
                <w14:ligatures w14:val="none"/>
              </w:rPr>
            </w:pPr>
            <w:r w:rsidRPr="005A319E">
              <w:rPr>
                <w:rFonts w:ascii="Times New Roman" w:eastAsia="Times New Roman" w:hAnsi="Times New Roman" w:cs="Times New Roman"/>
                <w:color w:val="000000"/>
                <w:kern w:val="0"/>
                <w:sz w:val="16"/>
                <w:szCs w:val="16"/>
                <w:lang w:eastAsia="en-IN"/>
                <w14:ligatures w14:val="none"/>
              </w:rPr>
              <w:t>(c) Southern Grid</w:t>
            </w:r>
          </w:p>
        </w:tc>
        <w:tc>
          <w:tcPr>
            <w:tcW w:w="851" w:type="dxa"/>
            <w:tcBorders>
              <w:top w:val="nil"/>
              <w:left w:val="nil"/>
              <w:bottom w:val="single" w:sz="4" w:space="0" w:color="auto"/>
              <w:right w:val="single" w:sz="4" w:space="0" w:color="auto"/>
            </w:tcBorders>
            <w:noWrap/>
            <w:vAlign w:val="center"/>
            <w:hideMark/>
          </w:tcPr>
          <w:p w14:paraId="674AC2EC" w14:textId="77777777" w:rsidR="005A319E" w:rsidRPr="005A319E" w:rsidRDefault="005A319E" w:rsidP="005A319E">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5A319E">
              <w:rPr>
                <w:rFonts w:ascii="Times New Roman" w:eastAsia="Times New Roman" w:hAnsi="Times New Roman" w:cs="Times New Roman"/>
                <w:color w:val="000000"/>
                <w:kern w:val="0"/>
                <w:sz w:val="16"/>
                <w:szCs w:val="16"/>
                <w:lang w:eastAsia="en-IN"/>
                <w14:ligatures w14:val="none"/>
              </w:rPr>
              <w:t>12.00</w:t>
            </w:r>
          </w:p>
        </w:tc>
        <w:tc>
          <w:tcPr>
            <w:tcW w:w="992" w:type="dxa"/>
            <w:tcBorders>
              <w:top w:val="nil"/>
              <w:left w:val="nil"/>
              <w:bottom w:val="single" w:sz="4" w:space="0" w:color="auto"/>
              <w:right w:val="single" w:sz="4" w:space="0" w:color="auto"/>
            </w:tcBorders>
            <w:noWrap/>
            <w:vAlign w:val="center"/>
            <w:hideMark/>
          </w:tcPr>
          <w:p w14:paraId="3A24D0D2" w14:textId="77777777" w:rsidR="005A319E" w:rsidRPr="005A319E" w:rsidRDefault="005A319E" w:rsidP="005A319E">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5A319E">
              <w:rPr>
                <w:rFonts w:ascii="Times New Roman" w:eastAsia="Times New Roman" w:hAnsi="Times New Roman" w:cs="Times New Roman"/>
                <w:color w:val="000000"/>
                <w:kern w:val="0"/>
                <w:sz w:val="16"/>
                <w:szCs w:val="16"/>
                <w:lang w:eastAsia="en-IN"/>
                <w14:ligatures w14:val="none"/>
              </w:rPr>
              <w:t>..</w:t>
            </w:r>
          </w:p>
        </w:tc>
        <w:tc>
          <w:tcPr>
            <w:tcW w:w="581" w:type="dxa"/>
            <w:tcBorders>
              <w:top w:val="nil"/>
              <w:left w:val="nil"/>
              <w:bottom w:val="single" w:sz="4" w:space="0" w:color="auto"/>
              <w:right w:val="single" w:sz="4" w:space="0" w:color="auto"/>
            </w:tcBorders>
            <w:noWrap/>
            <w:vAlign w:val="center"/>
            <w:hideMark/>
          </w:tcPr>
          <w:p w14:paraId="316BD026" w14:textId="77777777" w:rsidR="005A319E" w:rsidRPr="005A319E" w:rsidRDefault="005A319E" w:rsidP="005A319E">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5A319E">
              <w:rPr>
                <w:rFonts w:ascii="Times New Roman" w:eastAsia="Times New Roman" w:hAnsi="Times New Roman" w:cs="Times New Roman"/>
                <w:color w:val="000000"/>
                <w:kern w:val="0"/>
                <w:sz w:val="16"/>
                <w:szCs w:val="16"/>
                <w:lang w:eastAsia="en-IN"/>
                <w14:ligatures w14:val="none"/>
              </w:rPr>
              <w:t>12.00</w:t>
            </w:r>
          </w:p>
        </w:tc>
        <w:tc>
          <w:tcPr>
            <w:tcW w:w="992" w:type="dxa"/>
            <w:vMerge/>
            <w:tcBorders>
              <w:top w:val="nil"/>
              <w:left w:val="single" w:sz="4" w:space="0" w:color="auto"/>
              <w:bottom w:val="single" w:sz="4" w:space="0" w:color="auto"/>
              <w:right w:val="single" w:sz="4" w:space="0" w:color="auto"/>
            </w:tcBorders>
            <w:vAlign w:val="center"/>
            <w:hideMark/>
          </w:tcPr>
          <w:p w14:paraId="101CFCB4" w14:textId="77777777" w:rsidR="005A319E" w:rsidRPr="005A319E" w:rsidRDefault="005A319E" w:rsidP="005A319E">
            <w:pPr>
              <w:spacing w:after="0" w:line="240" w:lineRule="auto"/>
              <w:rPr>
                <w:rFonts w:ascii="Times New Roman" w:eastAsia="Times New Roman" w:hAnsi="Times New Roman" w:cs="Times New Roman"/>
                <w:color w:val="000000"/>
                <w:kern w:val="0"/>
                <w:sz w:val="16"/>
                <w:szCs w:val="16"/>
                <w:lang w:eastAsia="en-IN"/>
                <w14:ligatures w14:val="none"/>
              </w:rPr>
            </w:pPr>
          </w:p>
        </w:tc>
        <w:tc>
          <w:tcPr>
            <w:tcW w:w="865" w:type="dxa"/>
            <w:vMerge/>
            <w:tcBorders>
              <w:top w:val="nil"/>
              <w:left w:val="single" w:sz="4" w:space="0" w:color="auto"/>
              <w:bottom w:val="single" w:sz="4" w:space="0" w:color="auto"/>
              <w:right w:val="single" w:sz="4" w:space="0" w:color="auto"/>
            </w:tcBorders>
            <w:vAlign w:val="center"/>
            <w:hideMark/>
          </w:tcPr>
          <w:p w14:paraId="43173006" w14:textId="77777777" w:rsidR="005A319E" w:rsidRPr="005A319E" w:rsidRDefault="005A319E" w:rsidP="005A319E">
            <w:pPr>
              <w:spacing w:after="0" w:line="240" w:lineRule="auto"/>
              <w:rPr>
                <w:rFonts w:ascii="Times New Roman" w:eastAsia="Times New Roman" w:hAnsi="Times New Roman" w:cs="Times New Roman"/>
                <w:color w:val="000000"/>
                <w:kern w:val="0"/>
                <w:sz w:val="16"/>
                <w:szCs w:val="16"/>
                <w:lang w:eastAsia="en-IN"/>
                <w14:ligatures w14:val="none"/>
              </w:rPr>
            </w:pPr>
          </w:p>
        </w:tc>
        <w:tc>
          <w:tcPr>
            <w:tcW w:w="709" w:type="dxa"/>
            <w:vMerge/>
            <w:tcBorders>
              <w:top w:val="nil"/>
              <w:left w:val="single" w:sz="4" w:space="0" w:color="auto"/>
              <w:bottom w:val="single" w:sz="4" w:space="0" w:color="auto"/>
              <w:right w:val="single" w:sz="4" w:space="0" w:color="auto"/>
            </w:tcBorders>
            <w:vAlign w:val="center"/>
            <w:hideMark/>
          </w:tcPr>
          <w:p w14:paraId="6B9A3D94" w14:textId="77777777" w:rsidR="005A319E" w:rsidRPr="005A319E" w:rsidRDefault="005A319E" w:rsidP="005A319E">
            <w:pPr>
              <w:spacing w:after="0" w:line="240" w:lineRule="auto"/>
              <w:rPr>
                <w:rFonts w:ascii="Times New Roman" w:eastAsia="Times New Roman" w:hAnsi="Times New Roman" w:cs="Times New Roman"/>
                <w:color w:val="000000"/>
                <w:kern w:val="0"/>
                <w:sz w:val="16"/>
                <w:szCs w:val="16"/>
                <w:lang w:eastAsia="en-IN"/>
                <w14:ligatures w14:val="none"/>
              </w:rPr>
            </w:pPr>
          </w:p>
        </w:tc>
        <w:tc>
          <w:tcPr>
            <w:tcW w:w="708" w:type="dxa"/>
            <w:vMerge/>
            <w:tcBorders>
              <w:top w:val="nil"/>
              <w:left w:val="single" w:sz="4" w:space="0" w:color="auto"/>
              <w:bottom w:val="single" w:sz="4" w:space="0" w:color="auto"/>
              <w:right w:val="single" w:sz="4" w:space="0" w:color="auto"/>
            </w:tcBorders>
            <w:vAlign w:val="center"/>
            <w:hideMark/>
          </w:tcPr>
          <w:p w14:paraId="17394A15" w14:textId="77777777" w:rsidR="005A319E" w:rsidRPr="005A319E" w:rsidRDefault="005A319E" w:rsidP="005A319E">
            <w:pPr>
              <w:spacing w:after="0" w:line="240" w:lineRule="auto"/>
              <w:rPr>
                <w:rFonts w:ascii="Times New Roman" w:eastAsia="Times New Roman" w:hAnsi="Times New Roman" w:cs="Times New Roman"/>
                <w:color w:val="000000"/>
                <w:kern w:val="0"/>
                <w:sz w:val="16"/>
                <w:szCs w:val="16"/>
                <w:lang w:eastAsia="en-IN"/>
                <w14:ligatures w14:val="none"/>
              </w:rPr>
            </w:pPr>
          </w:p>
        </w:tc>
        <w:tc>
          <w:tcPr>
            <w:tcW w:w="865" w:type="dxa"/>
            <w:vMerge/>
            <w:tcBorders>
              <w:top w:val="nil"/>
              <w:left w:val="single" w:sz="4" w:space="0" w:color="auto"/>
              <w:bottom w:val="single" w:sz="4" w:space="0" w:color="auto"/>
              <w:right w:val="single" w:sz="4" w:space="0" w:color="auto"/>
            </w:tcBorders>
            <w:vAlign w:val="center"/>
            <w:hideMark/>
          </w:tcPr>
          <w:p w14:paraId="0BDBD017" w14:textId="77777777" w:rsidR="005A319E" w:rsidRPr="005A319E" w:rsidRDefault="005A319E" w:rsidP="005A319E">
            <w:pPr>
              <w:spacing w:after="0" w:line="240" w:lineRule="auto"/>
              <w:rPr>
                <w:rFonts w:ascii="Times New Roman" w:eastAsia="Times New Roman" w:hAnsi="Times New Roman" w:cs="Times New Roman"/>
                <w:color w:val="000000"/>
                <w:kern w:val="0"/>
                <w:sz w:val="16"/>
                <w:szCs w:val="16"/>
                <w:lang w:eastAsia="en-IN"/>
                <w14:ligatures w14:val="none"/>
              </w:rPr>
            </w:pPr>
          </w:p>
        </w:tc>
        <w:tc>
          <w:tcPr>
            <w:tcW w:w="581" w:type="dxa"/>
            <w:vMerge/>
            <w:tcBorders>
              <w:top w:val="nil"/>
              <w:left w:val="single" w:sz="4" w:space="0" w:color="auto"/>
              <w:bottom w:val="single" w:sz="4" w:space="0" w:color="auto"/>
              <w:right w:val="single" w:sz="4" w:space="0" w:color="auto"/>
            </w:tcBorders>
            <w:vAlign w:val="center"/>
            <w:hideMark/>
          </w:tcPr>
          <w:p w14:paraId="0ACAA846" w14:textId="77777777" w:rsidR="005A319E" w:rsidRPr="005A319E" w:rsidRDefault="005A319E" w:rsidP="005A319E">
            <w:pPr>
              <w:spacing w:after="0" w:line="240" w:lineRule="auto"/>
              <w:rPr>
                <w:rFonts w:ascii="Times New Roman" w:eastAsia="Times New Roman" w:hAnsi="Times New Roman" w:cs="Times New Roman"/>
                <w:color w:val="000000"/>
                <w:kern w:val="0"/>
                <w:sz w:val="16"/>
                <w:szCs w:val="16"/>
                <w:lang w:eastAsia="en-IN"/>
                <w14:ligatures w14:val="none"/>
              </w:rPr>
            </w:pPr>
          </w:p>
        </w:tc>
        <w:tc>
          <w:tcPr>
            <w:tcW w:w="1004" w:type="dxa"/>
            <w:tcBorders>
              <w:top w:val="nil"/>
              <w:left w:val="nil"/>
              <w:bottom w:val="single" w:sz="4" w:space="0" w:color="auto"/>
              <w:right w:val="single" w:sz="4" w:space="0" w:color="auto"/>
            </w:tcBorders>
            <w:noWrap/>
            <w:vAlign w:val="center"/>
            <w:hideMark/>
          </w:tcPr>
          <w:p w14:paraId="1BA63576" w14:textId="77777777" w:rsidR="005A319E" w:rsidRPr="005A319E" w:rsidRDefault="005A319E" w:rsidP="005A319E">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5A319E">
              <w:rPr>
                <w:rFonts w:ascii="Times New Roman" w:eastAsia="Times New Roman" w:hAnsi="Times New Roman" w:cs="Times New Roman"/>
                <w:color w:val="000000"/>
                <w:kern w:val="0"/>
                <w:sz w:val="16"/>
                <w:szCs w:val="16"/>
                <w:lang w:eastAsia="en-IN"/>
                <w14:ligatures w14:val="none"/>
              </w:rPr>
              <w:t>10.24*</w:t>
            </w:r>
          </w:p>
        </w:tc>
        <w:tc>
          <w:tcPr>
            <w:tcW w:w="865" w:type="dxa"/>
            <w:tcBorders>
              <w:top w:val="nil"/>
              <w:left w:val="nil"/>
              <w:bottom w:val="single" w:sz="4" w:space="0" w:color="auto"/>
              <w:right w:val="single" w:sz="4" w:space="0" w:color="auto"/>
            </w:tcBorders>
            <w:noWrap/>
            <w:vAlign w:val="center"/>
            <w:hideMark/>
          </w:tcPr>
          <w:p w14:paraId="525DB3E7" w14:textId="77777777" w:rsidR="005A319E" w:rsidRPr="005A319E" w:rsidRDefault="005A319E" w:rsidP="005A319E">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5A319E">
              <w:rPr>
                <w:rFonts w:ascii="Times New Roman" w:eastAsia="Times New Roman" w:hAnsi="Times New Roman" w:cs="Times New Roman"/>
                <w:color w:val="000000"/>
                <w:kern w:val="0"/>
                <w:sz w:val="16"/>
                <w:szCs w:val="16"/>
                <w:lang w:eastAsia="en-IN"/>
                <w14:ligatures w14:val="none"/>
              </w:rPr>
              <w:t>1.00</w:t>
            </w:r>
          </w:p>
        </w:tc>
        <w:tc>
          <w:tcPr>
            <w:tcW w:w="995" w:type="dxa"/>
            <w:tcBorders>
              <w:top w:val="nil"/>
              <w:left w:val="nil"/>
              <w:bottom w:val="single" w:sz="4" w:space="0" w:color="auto"/>
              <w:right w:val="single" w:sz="4" w:space="0" w:color="auto"/>
            </w:tcBorders>
            <w:noWrap/>
            <w:vAlign w:val="center"/>
            <w:hideMark/>
          </w:tcPr>
          <w:p w14:paraId="6FCB7C0F" w14:textId="77777777" w:rsidR="005A319E" w:rsidRPr="005A319E" w:rsidRDefault="005A319E" w:rsidP="005A319E">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5A319E">
              <w:rPr>
                <w:rFonts w:ascii="Times New Roman" w:eastAsia="Times New Roman" w:hAnsi="Times New Roman" w:cs="Times New Roman"/>
                <w:color w:val="000000"/>
                <w:kern w:val="0"/>
                <w:sz w:val="16"/>
                <w:szCs w:val="16"/>
                <w:lang w:eastAsia="en-IN"/>
                <w14:ligatures w14:val="none"/>
              </w:rPr>
              <w:t>11.24</w:t>
            </w:r>
          </w:p>
        </w:tc>
        <w:tc>
          <w:tcPr>
            <w:tcW w:w="916" w:type="dxa"/>
            <w:tcBorders>
              <w:top w:val="nil"/>
              <w:left w:val="nil"/>
              <w:bottom w:val="single" w:sz="4" w:space="0" w:color="auto"/>
              <w:right w:val="single" w:sz="4" w:space="0" w:color="auto"/>
            </w:tcBorders>
            <w:noWrap/>
            <w:vAlign w:val="center"/>
            <w:hideMark/>
          </w:tcPr>
          <w:p w14:paraId="6C632ECD" w14:textId="77777777" w:rsidR="005A319E" w:rsidRPr="005A319E" w:rsidRDefault="005A319E" w:rsidP="005A319E">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5A319E">
              <w:rPr>
                <w:rFonts w:ascii="Times New Roman" w:eastAsia="Times New Roman" w:hAnsi="Times New Roman" w:cs="Times New Roman"/>
                <w:color w:val="000000"/>
                <w:kern w:val="0"/>
                <w:sz w:val="16"/>
                <w:szCs w:val="16"/>
                <w:lang w:eastAsia="en-IN"/>
                <w14:ligatures w14:val="none"/>
              </w:rPr>
              <w:t>9.35*</w:t>
            </w:r>
          </w:p>
        </w:tc>
        <w:tc>
          <w:tcPr>
            <w:tcW w:w="865" w:type="dxa"/>
            <w:tcBorders>
              <w:top w:val="nil"/>
              <w:left w:val="nil"/>
              <w:bottom w:val="single" w:sz="4" w:space="0" w:color="auto"/>
              <w:right w:val="single" w:sz="4" w:space="0" w:color="auto"/>
            </w:tcBorders>
            <w:noWrap/>
            <w:vAlign w:val="center"/>
            <w:hideMark/>
          </w:tcPr>
          <w:p w14:paraId="34076948" w14:textId="77777777" w:rsidR="005A319E" w:rsidRPr="005A319E" w:rsidRDefault="005A319E" w:rsidP="005A319E">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5A319E">
              <w:rPr>
                <w:rFonts w:ascii="Times New Roman" w:eastAsia="Times New Roman" w:hAnsi="Times New Roman" w:cs="Times New Roman"/>
                <w:color w:val="000000"/>
                <w:kern w:val="0"/>
                <w:sz w:val="16"/>
                <w:szCs w:val="16"/>
                <w:lang w:eastAsia="en-IN"/>
                <w14:ligatures w14:val="none"/>
              </w:rPr>
              <w:t>1.00</w:t>
            </w:r>
          </w:p>
        </w:tc>
        <w:tc>
          <w:tcPr>
            <w:tcW w:w="581" w:type="dxa"/>
            <w:tcBorders>
              <w:top w:val="nil"/>
              <w:left w:val="nil"/>
              <w:bottom w:val="single" w:sz="4" w:space="0" w:color="auto"/>
              <w:right w:val="single" w:sz="4" w:space="0" w:color="auto"/>
            </w:tcBorders>
            <w:noWrap/>
            <w:vAlign w:val="center"/>
            <w:hideMark/>
          </w:tcPr>
          <w:p w14:paraId="1B5EBDE9" w14:textId="77777777" w:rsidR="005A319E" w:rsidRPr="005A319E" w:rsidRDefault="005A319E" w:rsidP="005A319E">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5A319E">
              <w:rPr>
                <w:rFonts w:ascii="Times New Roman" w:eastAsia="Times New Roman" w:hAnsi="Times New Roman" w:cs="Times New Roman"/>
                <w:color w:val="000000"/>
                <w:kern w:val="0"/>
                <w:sz w:val="16"/>
                <w:szCs w:val="16"/>
                <w:lang w:eastAsia="en-IN"/>
                <w14:ligatures w14:val="none"/>
              </w:rPr>
              <w:t>10.35</w:t>
            </w:r>
          </w:p>
        </w:tc>
      </w:tr>
      <w:tr w:rsidR="005A319E" w:rsidRPr="005A319E" w14:paraId="5A51AE24" w14:textId="77777777" w:rsidTr="00D67840">
        <w:trPr>
          <w:trHeight w:val="22"/>
          <w:jc w:val="center"/>
        </w:trPr>
        <w:tc>
          <w:tcPr>
            <w:tcW w:w="1842" w:type="dxa"/>
            <w:tcBorders>
              <w:top w:val="nil"/>
              <w:left w:val="single" w:sz="4" w:space="0" w:color="auto"/>
              <w:bottom w:val="single" w:sz="4" w:space="0" w:color="auto"/>
              <w:right w:val="single" w:sz="4" w:space="0" w:color="auto"/>
            </w:tcBorders>
            <w:noWrap/>
            <w:vAlign w:val="center"/>
            <w:hideMark/>
          </w:tcPr>
          <w:p w14:paraId="7E306844" w14:textId="77777777" w:rsidR="005A319E" w:rsidRPr="005A319E" w:rsidRDefault="005A319E" w:rsidP="005A319E">
            <w:pPr>
              <w:spacing w:after="0" w:line="240" w:lineRule="auto"/>
              <w:rPr>
                <w:rFonts w:ascii="Times New Roman" w:eastAsia="Times New Roman" w:hAnsi="Times New Roman" w:cs="Times New Roman"/>
                <w:color w:val="000000"/>
                <w:kern w:val="0"/>
                <w:sz w:val="16"/>
                <w:szCs w:val="16"/>
                <w:lang w:eastAsia="en-IN"/>
                <w14:ligatures w14:val="none"/>
              </w:rPr>
            </w:pPr>
            <w:r w:rsidRPr="005A319E">
              <w:rPr>
                <w:rFonts w:ascii="Times New Roman" w:eastAsia="Times New Roman" w:hAnsi="Times New Roman" w:cs="Times New Roman"/>
                <w:color w:val="000000"/>
                <w:kern w:val="0"/>
                <w:sz w:val="16"/>
                <w:szCs w:val="16"/>
                <w:lang w:eastAsia="en-IN"/>
                <w14:ligatures w14:val="none"/>
              </w:rPr>
              <w:t>(d) Diesel</w:t>
            </w:r>
          </w:p>
        </w:tc>
        <w:tc>
          <w:tcPr>
            <w:tcW w:w="851" w:type="dxa"/>
            <w:tcBorders>
              <w:top w:val="nil"/>
              <w:left w:val="nil"/>
              <w:bottom w:val="single" w:sz="4" w:space="0" w:color="auto"/>
              <w:right w:val="single" w:sz="4" w:space="0" w:color="auto"/>
            </w:tcBorders>
            <w:noWrap/>
            <w:vAlign w:val="center"/>
            <w:hideMark/>
          </w:tcPr>
          <w:p w14:paraId="221D0293" w14:textId="77777777" w:rsidR="005A319E" w:rsidRPr="005A319E" w:rsidRDefault="005A319E" w:rsidP="005A319E">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5A319E">
              <w:rPr>
                <w:rFonts w:ascii="Times New Roman" w:eastAsia="Times New Roman" w:hAnsi="Times New Roman" w:cs="Times New Roman"/>
                <w:color w:val="000000"/>
                <w:kern w:val="0"/>
                <w:sz w:val="16"/>
                <w:szCs w:val="16"/>
                <w:lang w:eastAsia="en-IN"/>
                <w14:ligatures w14:val="none"/>
              </w:rPr>
              <w:t>19.00</w:t>
            </w:r>
          </w:p>
        </w:tc>
        <w:tc>
          <w:tcPr>
            <w:tcW w:w="992" w:type="dxa"/>
            <w:tcBorders>
              <w:top w:val="nil"/>
              <w:left w:val="nil"/>
              <w:bottom w:val="single" w:sz="4" w:space="0" w:color="auto"/>
              <w:right w:val="single" w:sz="4" w:space="0" w:color="auto"/>
            </w:tcBorders>
            <w:noWrap/>
            <w:vAlign w:val="center"/>
            <w:hideMark/>
          </w:tcPr>
          <w:p w14:paraId="4DF87D45" w14:textId="77777777" w:rsidR="005A319E" w:rsidRPr="005A319E" w:rsidRDefault="005A319E" w:rsidP="005A319E">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5A319E">
              <w:rPr>
                <w:rFonts w:ascii="Times New Roman" w:eastAsia="Times New Roman" w:hAnsi="Times New Roman" w:cs="Times New Roman"/>
                <w:color w:val="000000"/>
                <w:kern w:val="0"/>
                <w:sz w:val="16"/>
                <w:szCs w:val="16"/>
                <w:lang w:eastAsia="en-IN"/>
                <w14:ligatures w14:val="none"/>
              </w:rPr>
              <w:t>..</w:t>
            </w:r>
          </w:p>
        </w:tc>
        <w:tc>
          <w:tcPr>
            <w:tcW w:w="581" w:type="dxa"/>
            <w:tcBorders>
              <w:top w:val="nil"/>
              <w:left w:val="nil"/>
              <w:bottom w:val="single" w:sz="4" w:space="0" w:color="auto"/>
              <w:right w:val="single" w:sz="4" w:space="0" w:color="auto"/>
            </w:tcBorders>
            <w:noWrap/>
            <w:vAlign w:val="center"/>
            <w:hideMark/>
          </w:tcPr>
          <w:p w14:paraId="50EA9EED" w14:textId="77777777" w:rsidR="005A319E" w:rsidRPr="005A319E" w:rsidRDefault="005A319E" w:rsidP="005A319E">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5A319E">
              <w:rPr>
                <w:rFonts w:ascii="Times New Roman" w:eastAsia="Times New Roman" w:hAnsi="Times New Roman" w:cs="Times New Roman"/>
                <w:color w:val="000000"/>
                <w:kern w:val="0"/>
                <w:sz w:val="16"/>
                <w:szCs w:val="16"/>
                <w:lang w:eastAsia="en-IN"/>
                <w14:ligatures w14:val="none"/>
              </w:rPr>
              <w:t>19.00</w:t>
            </w:r>
          </w:p>
        </w:tc>
        <w:tc>
          <w:tcPr>
            <w:tcW w:w="992" w:type="dxa"/>
            <w:vMerge/>
            <w:tcBorders>
              <w:top w:val="nil"/>
              <w:left w:val="single" w:sz="4" w:space="0" w:color="auto"/>
              <w:bottom w:val="single" w:sz="4" w:space="0" w:color="auto"/>
              <w:right w:val="single" w:sz="4" w:space="0" w:color="auto"/>
            </w:tcBorders>
            <w:vAlign w:val="center"/>
            <w:hideMark/>
          </w:tcPr>
          <w:p w14:paraId="53DFC24A" w14:textId="77777777" w:rsidR="005A319E" w:rsidRPr="005A319E" w:rsidRDefault="005A319E" w:rsidP="005A319E">
            <w:pPr>
              <w:spacing w:after="0" w:line="240" w:lineRule="auto"/>
              <w:rPr>
                <w:rFonts w:ascii="Times New Roman" w:eastAsia="Times New Roman" w:hAnsi="Times New Roman" w:cs="Times New Roman"/>
                <w:color w:val="000000"/>
                <w:kern w:val="0"/>
                <w:sz w:val="16"/>
                <w:szCs w:val="16"/>
                <w:lang w:eastAsia="en-IN"/>
                <w14:ligatures w14:val="none"/>
              </w:rPr>
            </w:pPr>
          </w:p>
        </w:tc>
        <w:tc>
          <w:tcPr>
            <w:tcW w:w="865" w:type="dxa"/>
            <w:vMerge/>
            <w:tcBorders>
              <w:top w:val="nil"/>
              <w:left w:val="single" w:sz="4" w:space="0" w:color="auto"/>
              <w:bottom w:val="single" w:sz="4" w:space="0" w:color="auto"/>
              <w:right w:val="single" w:sz="4" w:space="0" w:color="auto"/>
            </w:tcBorders>
            <w:vAlign w:val="center"/>
            <w:hideMark/>
          </w:tcPr>
          <w:p w14:paraId="4A2D62B4" w14:textId="77777777" w:rsidR="005A319E" w:rsidRPr="005A319E" w:rsidRDefault="005A319E" w:rsidP="005A319E">
            <w:pPr>
              <w:spacing w:after="0" w:line="240" w:lineRule="auto"/>
              <w:rPr>
                <w:rFonts w:ascii="Times New Roman" w:eastAsia="Times New Roman" w:hAnsi="Times New Roman" w:cs="Times New Roman"/>
                <w:color w:val="000000"/>
                <w:kern w:val="0"/>
                <w:sz w:val="16"/>
                <w:szCs w:val="16"/>
                <w:lang w:eastAsia="en-IN"/>
                <w14:ligatures w14:val="none"/>
              </w:rPr>
            </w:pPr>
          </w:p>
        </w:tc>
        <w:tc>
          <w:tcPr>
            <w:tcW w:w="709" w:type="dxa"/>
            <w:vMerge/>
            <w:tcBorders>
              <w:top w:val="nil"/>
              <w:left w:val="single" w:sz="4" w:space="0" w:color="auto"/>
              <w:bottom w:val="single" w:sz="4" w:space="0" w:color="auto"/>
              <w:right w:val="single" w:sz="4" w:space="0" w:color="auto"/>
            </w:tcBorders>
            <w:vAlign w:val="center"/>
            <w:hideMark/>
          </w:tcPr>
          <w:p w14:paraId="4A307AB7" w14:textId="77777777" w:rsidR="005A319E" w:rsidRPr="005A319E" w:rsidRDefault="005A319E" w:rsidP="005A319E">
            <w:pPr>
              <w:spacing w:after="0" w:line="240" w:lineRule="auto"/>
              <w:rPr>
                <w:rFonts w:ascii="Times New Roman" w:eastAsia="Times New Roman" w:hAnsi="Times New Roman" w:cs="Times New Roman"/>
                <w:color w:val="000000"/>
                <w:kern w:val="0"/>
                <w:sz w:val="16"/>
                <w:szCs w:val="16"/>
                <w:lang w:eastAsia="en-IN"/>
                <w14:ligatures w14:val="none"/>
              </w:rPr>
            </w:pPr>
          </w:p>
        </w:tc>
        <w:tc>
          <w:tcPr>
            <w:tcW w:w="708" w:type="dxa"/>
            <w:vMerge/>
            <w:tcBorders>
              <w:top w:val="nil"/>
              <w:left w:val="single" w:sz="4" w:space="0" w:color="auto"/>
              <w:bottom w:val="single" w:sz="4" w:space="0" w:color="auto"/>
              <w:right w:val="single" w:sz="4" w:space="0" w:color="auto"/>
            </w:tcBorders>
            <w:vAlign w:val="center"/>
            <w:hideMark/>
          </w:tcPr>
          <w:p w14:paraId="40E0AAD4" w14:textId="77777777" w:rsidR="005A319E" w:rsidRPr="005A319E" w:rsidRDefault="005A319E" w:rsidP="005A319E">
            <w:pPr>
              <w:spacing w:after="0" w:line="240" w:lineRule="auto"/>
              <w:rPr>
                <w:rFonts w:ascii="Times New Roman" w:eastAsia="Times New Roman" w:hAnsi="Times New Roman" w:cs="Times New Roman"/>
                <w:color w:val="000000"/>
                <w:kern w:val="0"/>
                <w:sz w:val="16"/>
                <w:szCs w:val="16"/>
                <w:lang w:eastAsia="en-IN"/>
                <w14:ligatures w14:val="none"/>
              </w:rPr>
            </w:pPr>
          </w:p>
        </w:tc>
        <w:tc>
          <w:tcPr>
            <w:tcW w:w="865" w:type="dxa"/>
            <w:vMerge/>
            <w:tcBorders>
              <w:top w:val="nil"/>
              <w:left w:val="single" w:sz="4" w:space="0" w:color="auto"/>
              <w:bottom w:val="single" w:sz="4" w:space="0" w:color="auto"/>
              <w:right w:val="single" w:sz="4" w:space="0" w:color="auto"/>
            </w:tcBorders>
            <w:vAlign w:val="center"/>
            <w:hideMark/>
          </w:tcPr>
          <w:p w14:paraId="06065385" w14:textId="77777777" w:rsidR="005A319E" w:rsidRPr="005A319E" w:rsidRDefault="005A319E" w:rsidP="005A319E">
            <w:pPr>
              <w:spacing w:after="0" w:line="240" w:lineRule="auto"/>
              <w:rPr>
                <w:rFonts w:ascii="Times New Roman" w:eastAsia="Times New Roman" w:hAnsi="Times New Roman" w:cs="Times New Roman"/>
                <w:color w:val="000000"/>
                <w:kern w:val="0"/>
                <w:sz w:val="16"/>
                <w:szCs w:val="16"/>
                <w:lang w:eastAsia="en-IN"/>
                <w14:ligatures w14:val="none"/>
              </w:rPr>
            </w:pPr>
          </w:p>
        </w:tc>
        <w:tc>
          <w:tcPr>
            <w:tcW w:w="581" w:type="dxa"/>
            <w:vMerge/>
            <w:tcBorders>
              <w:top w:val="nil"/>
              <w:left w:val="single" w:sz="4" w:space="0" w:color="auto"/>
              <w:bottom w:val="single" w:sz="4" w:space="0" w:color="auto"/>
              <w:right w:val="single" w:sz="4" w:space="0" w:color="auto"/>
            </w:tcBorders>
            <w:vAlign w:val="center"/>
            <w:hideMark/>
          </w:tcPr>
          <w:p w14:paraId="3BBEDA40" w14:textId="77777777" w:rsidR="005A319E" w:rsidRPr="005A319E" w:rsidRDefault="005A319E" w:rsidP="005A319E">
            <w:pPr>
              <w:spacing w:after="0" w:line="240" w:lineRule="auto"/>
              <w:rPr>
                <w:rFonts w:ascii="Times New Roman" w:eastAsia="Times New Roman" w:hAnsi="Times New Roman" w:cs="Times New Roman"/>
                <w:color w:val="000000"/>
                <w:kern w:val="0"/>
                <w:sz w:val="16"/>
                <w:szCs w:val="16"/>
                <w:lang w:eastAsia="en-IN"/>
                <w14:ligatures w14:val="none"/>
              </w:rPr>
            </w:pPr>
          </w:p>
        </w:tc>
        <w:tc>
          <w:tcPr>
            <w:tcW w:w="1004" w:type="dxa"/>
            <w:tcBorders>
              <w:top w:val="nil"/>
              <w:left w:val="nil"/>
              <w:bottom w:val="single" w:sz="4" w:space="0" w:color="auto"/>
              <w:right w:val="single" w:sz="4" w:space="0" w:color="auto"/>
            </w:tcBorders>
            <w:noWrap/>
            <w:vAlign w:val="center"/>
            <w:hideMark/>
          </w:tcPr>
          <w:p w14:paraId="23C7A749" w14:textId="77777777" w:rsidR="005A319E" w:rsidRPr="005A319E" w:rsidRDefault="005A319E" w:rsidP="005A319E">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5A319E">
              <w:rPr>
                <w:rFonts w:ascii="Times New Roman" w:eastAsia="Times New Roman" w:hAnsi="Times New Roman" w:cs="Times New Roman"/>
                <w:color w:val="000000"/>
                <w:kern w:val="0"/>
                <w:sz w:val="16"/>
                <w:szCs w:val="16"/>
                <w:lang w:eastAsia="en-IN"/>
                <w14:ligatures w14:val="none"/>
              </w:rPr>
              <w:t>..</w:t>
            </w:r>
          </w:p>
        </w:tc>
        <w:tc>
          <w:tcPr>
            <w:tcW w:w="865" w:type="dxa"/>
            <w:tcBorders>
              <w:top w:val="nil"/>
              <w:left w:val="nil"/>
              <w:bottom w:val="single" w:sz="4" w:space="0" w:color="auto"/>
              <w:right w:val="single" w:sz="4" w:space="0" w:color="auto"/>
            </w:tcBorders>
            <w:noWrap/>
            <w:vAlign w:val="center"/>
            <w:hideMark/>
          </w:tcPr>
          <w:p w14:paraId="3D6973C9" w14:textId="77777777" w:rsidR="005A319E" w:rsidRPr="005A319E" w:rsidRDefault="005A319E" w:rsidP="005A319E">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5A319E">
              <w:rPr>
                <w:rFonts w:ascii="Times New Roman" w:eastAsia="Times New Roman" w:hAnsi="Times New Roman" w:cs="Times New Roman"/>
                <w:color w:val="000000"/>
                <w:kern w:val="0"/>
                <w:sz w:val="16"/>
                <w:szCs w:val="16"/>
                <w:lang w:eastAsia="en-IN"/>
                <w14:ligatures w14:val="none"/>
              </w:rPr>
              <w:t>..</w:t>
            </w:r>
          </w:p>
        </w:tc>
        <w:tc>
          <w:tcPr>
            <w:tcW w:w="995" w:type="dxa"/>
            <w:tcBorders>
              <w:top w:val="nil"/>
              <w:left w:val="nil"/>
              <w:bottom w:val="single" w:sz="4" w:space="0" w:color="auto"/>
              <w:right w:val="single" w:sz="4" w:space="0" w:color="auto"/>
            </w:tcBorders>
            <w:noWrap/>
            <w:vAlign w:val="center"/>
            <w:hideMark/>
          </w:tcPr>
          <w:p w14:paraId="118BBED0" w14:textId="77777777" w:rsidR="005A319E" w:rsidRPr="005A319E" w:rsidRDefault="005A319E" w:rsidP="005A319E">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5A319E">
              <w:rPr>
                <w:rFonts w:ascii="Times New Roman" w:eastAsia="Times New Roman" w:hAnsi="Times New Roman" w:cs="Times New Roman"/>
                <w:color w:val="000000"/>
                <w:kern w:val="0"/>
                <w:sz w:val="16"/>
                <w:szCs w:val="16"/>
                <w:lang w:eastAsia="en-IN"/>
                <w14:ligatures w14:val="none"/>
              </w:rPr>
              <w:t>..</w:t>
            </w:r>
          </w:p>
        </w:tc>
        <w:tc>
          <w:tcPr>
            <w:tcW w:w="916" w:type="dxa"/>
            <w:tcBorders>
              <w:top w:val="nil"/>
              <w:left w:val="nil"/>
              <w:bottom w:val="single" w:sz="4" w:space="0" w:color="auto"/>
              <w:right w:val="single" w:sz="4" w:space="0" w:color="auto"/>
            </w:tcBorders>
            <w:noWrap/>
            <w:vAlign w:val="center"/>
            <w:hideMark/>
          </w:tcPr>
          <w:p w14:paraId="3923EE68" w14:textId="77777777" w:rsidR="005A319E" w:rsidRPr="005A319E" w:rsidRDefault="005A319E" w:rsidP="005A319E">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5A319E">
              <w:rPr>
                <w:rFonts w:ascii="Times New Roman" w:eastAsia="Times New Roman" w:hAnsi="Times New Roman" w:cs="Times New Roman"/>
                <w:color w:val="000000"/>
                <w:kern w:val="0"/>
                <w:sz w:val="16"/>
                <w:szCs w:val="16"/>
                <w:lang w:eastAsia="en-IN"/>
                <w14:ligatures w14:val="none"/>
              </w:rPr>
              <w:t>..</w:t>
            </w:r>
          </w:p>
        </w:tc>
        <w:tc>
          <w:tcPr>
            <w:tcW w:w="865" w:type="dxa"/>
            <w:tcBorders>
              <w:top w:val="nil"/>
              <w:left w:val="nil"/>
              <w:bottom w:val="single" w:sz="4" w:space="0" w:color="auto"/>
              <w:right w:val="single" w:sz="4" w:space="0" w:color="auto"/>
            </w:tcBorders>
            <w:noWrap/>
            <w:vAlign w:val="center"/>
            <w:hideMark/>
          </w:tcPr>
          <w:p w14:paraId="327DD224" w14:textId="77777777" w:rsidR="005A319E" w:rsidRPr="005A319E" w:rsidRDefault="005A319E" w:rsidP="005A319E">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5A319E">
              <w:rPr>
                <w:rFonts w:ascii="Times New Roman" w:eastAsia="Times New Roman" w:hAnsi="Times New Roman" w:cs="Times New Roman"/>
                <w:color w:val="000000"/>
                <w:kern w:val="0"/>
                <w:sz w:val="16"/>
                <w:szCs w:val="16"/>
                <w:lang w:eastAsia="en-IN"/>
                <w14:ligatures w14:val="none"/>
              </w:rPr>
              <w:t>..</w:t>
            </w:r>
          </w:p>
        </w:tc>
        <w:tc>
          <w:tcPr>
            <w:tcW w:w="581" w:type="dxa"/>
            <w:tcBorders>
              <w:top w:val="nil"/>
              <w:left w:val="nil"/>
              <w:bottom w:val="single" w:sz="4" w:space="0" w:color="auto"/>
              <w:right w:val="single" w:sz="4" w:space="0" w:color="auto"/>
            </w:tcBorders>
            <w:noWrap/>
            <w:vAlign w:val="center"/>
            <w:hideMark/>
          </w:tcPr>
          <w:p w14:paraId="1FF37810" w14:textId="77777777" w:rsidR="005A319E" w:rsidRPr="005A319E" w:rsidRDefault="005A319E" w:rsidP="005A319E">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5A319E">
              <w:rPr>
                <w:rFonts w:ascii="Times New Roman" w:eastAsia="Times New Roman" w:hAnsi="Times New Roman" w:cs="Times New Roman"/>
                <w:color w:val="000000"/>
                <w:kern w:val="0"/>
                <w:sz w:val="16"/>
                <w:szCs w:val="16"/>
                <w:lang w:eastAsia="en-IN"/>
                <w14:ligatures w14:val="none"/>
              </w:rPr>
              <w:t>..</w:t>
            </w:r>
          </w:p>
        </w:tc>
      </w:tr>
      <w:tr w:rsidR="005A319E" w:rsidRPr="005A319E" w14:paraId="7D927FCB" w14:textId="77777777" w:rsidTr="00D67840">
        <w:trPr>
          <w:trHeight w:val="22"/>
          <w:jc w:val="center"/>
        </w:trPr>
        <w:tc>
          <w:tcPr>
            <w:tcW w:w="1842" w:type="dxa"/>
            <w:tcBorders>
              <w:top w:val="nil"/>
              <w:left w:val="single" w:sz="4" w:space="0" w:color="auto"/>
              <w:bottom w:val="single" w:sz="4" w:space="0" w:color="auto"/>
              <w:right w:val="single" w:sz="4" w:space="0" w:color="auto"/>
            </w:tcBorders>
            <w:noWrap/>
            <w:vAlign w:val="center"/>
            <w:hideMark/>
          </w:tcPr>
          <w:p w14:paraId="0A927AFD" w14:textId="77777777" w:rsidR="005A319E" w:rsidRPr="005A319E" w:rsidRDefault="005A319E" w:rsidP="005A319E">
            <w:pPr>
              <w:spacing w:after="0" w:line="240" w:lineRule="auto"/>
              <w:rPr>
                <w:rFonts w:ascii="Times New Roman" w:eastAsia="Times New Roman" w:hAnsi="Times New Roman" w:cs="Times New Roman"/>
                <w:color w:val="000000"/>
                <w:kern w:val="0"/>
                <w:sz w:val="16"/>
                <w:szCs w:val="16"/>
                <w:lang w:eastAsia="en-IN"/>
                <w14:ligatures w14:val="none"/>
              </w:rPr>
            </w:pPr>
            <w:r w:rsidRPr="005A319E">
              <w:rPr>
                <w:rFonts w:ascii="Times New Roman" w:eastAsia="Times New Roman" w:hAnsi="Times New Roman" w:cs="Times New Roman"/>
                <w:color w:val="000000"/>
                <w:kern w:val="0"/>
                <w:sz w:val="16"/>
                <w:szCs w:val="16"/>
                <w:lang w:eastAsia="en-IN"/>
                <w14:ligatures w14:val="none"/>
              </w:rPr>
              <w:t>9. Maharashtra:</w:t>
            </w:r>
          </w:p>
        </w:tc>
        <w:tc>
          <w:tcPr>
            <w:tcW w:w="851" w:type="dxa"/>
            <w:tcBorders>
              <w:top w:val="nil"/>
              <w:left w:val="nil"/>
              <w:bottom w:val="single" w:sz="4" w:space="0" w:color="auto"/>
              <w:right w:val="single" w:sz="4" w:space="0" w:color="auto"/>
            </w:tcBorders>
            <w:noWrap/>
            <w:vAlign w:val="center"/>
            <w:hideMark/>
          </w:tcPr>
          <w:p w14:paraId="30850292" w14:textId="77777777" w:rsidR="005A319E" w:rsidRPr="005A319E" w:rsidRDefault="005A319E" w:rsidP="005A319E">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5A319E">
              <w:rPr>
                <w:rFonts w:ascii="Times New Roman" w:eastAsia="Times New Roman" w:hAnsi="Times New Roman" w:cs="Times New Roman"/>
                <w:color w:val="000000"/>
                <w:kern w:val="0"/>
                <w:sz w:val="16"/>
                <w:szCs w:val="16"/>
                <w:lang w:eastAsia="en-IN"/>
                <w14:ligatures w14:val="none"/>
              </w:rPr>
              <w:t> </w:t>
            </w:r>
          </w:p>
        </w:tc>
        <w:tc>
          <w:tcPr>
            <w:tcW w:w="992" w:type="dxa"/>
            <w:tcBorders>
              <w:top w:val="nil"/>
              <w:left w:val="nil"/>
              <w:bottom w:val="single" w:sz="4" w:space="0" w:color="auto"/>
              <w:right w:val="single" w:sz="4" w:space="0" w:color="auto"/>
            </w:tcBorders>
            <w:noWrap/>
            <w:vAlign w:val="center"/>
            <w:hideMark/>
          </w:tcPr>
          <w:p w14:paraId="79C05987" w14:textId="77777777" w:rsidR="005A319E" w:rsidRPr="005A319E" w:rsidRDefault="005A319E" w:rsidP="005A319E">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5A319E">
              <w:rPr>
                <w:rFonts w:ascii="Times New Roman" w:eastAsia="Times New Roman" w:hAnsi="Times New Roman" w:cs="Times New Roman"/>
                <w:color w:val="000000"/>
                <w:kern w:val="0"/>
                <w:sz w:val="16"/>
                <w:szCs w:val="16"/>
                <w:lang w:eastAsia="en-IN"/>
                <w14:ligatures w14:val="none"/>
              </w:rPr>
              <w:t> </w:t>
            </w:r>
          </w:p>
        </w:tc>
        <w:tc>
          <w:tcPr>
            <w:tcW w:w="581" w:type="dxa"/>
            <w:tcBorders>
              <w:top w:val="nil"/>
              <w:left w:val="nil"/>
              <w:bottom w:val="single" w:sz="4" w:space="0" w:color="auto"/>
              <w:right w:val="single" w:sz="4" w:space="0" w:color="auto"/>
            </w:tcBorders>
            <w:noWrap/>
            <w:vAlign w:val="center"/>
            <w:hideMark/>
          </w:tcPr>
          <w:p w14:paraId="63377C9D" w14:textId="77777777" w:rsidR="005A319E" w:rsidRPr="005A319E" w:rsidRDefault="005A319E" w:rsidP="005A319E">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5A319E">
              <w:rPr>
                <w:rFonts w:ascii="Times New Roman" w:eastAsia="Times New Roman" w:hAnsi="Times New Roman" w:cs="Times New Roman"/>
                <w:color w:val="000000"/>
                <w:kern w:val="0"/>
                <w:sz w:val="16"/>
                <w:szCs w:val="16"/>
                <w:lang w:eastAsia="en-IN"/>
                <w14:ligatures w14:val="none"/>
              </w:rPr>
              <w:t> </w:t>
            </w:r>
          </w:p>
        </w:tc>
        <w:tc>
          <w:tcPr>
            <w:tcW w:w="992" w:type="dxa"/>
            <w:tcBorders>
              <w:top w:val="nil"/>
              <w:left w:val="nil"/>
              <w:bottom w:val="single" w:sz="4" w:space="0" w:color="auto"/>
              <w:right w:val="single" w:sz="4" w:space="0" w:color="auto"/>
            </w:tcBorders>
            <w:noWrap/>
            <w:vAlign w:val="center"/>
            <w:hideMark/>
          </w:tcPr>
          <w:p w14:paraId="62B47484" w14:textId="77777777" w:rsidR="005A319E" w:rsidRPr="005A319E" w:rsidRDefault="005A319E" w:rsidP="005A319E">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5A319E">
              <w:rPr>
                <w:rFonts w:ascii="Times New Roman" w:eastAsia="Times New Roman" w:hAnsi="Times New Roman" w:cs="Times New Roman"/>
                <w:color w:val="000000"/>
                <w:kern w:val="0"/>
                <w:sz w:val="16"/>
                <w:szCs w:val="16"/>
                <w:lang w:eastAsia="en-IN"/>
                <w14:ligatures w14:val="none"/>
              </w:rPr>
              <w:t> </w:t>
            </w:r>
          </w:p>
        </w:tc>
        <w:tc>
          <w:tcPr>
            <w:tcW w:w="865" w:type="dxa"/>
            <w:tcBorders>
              <w:top w:val="nil"/>
              <w:left w:val="nil"/>
              <w:bottom w:val="single" w:sz="4" w:space="0" w:color="auto"/>
              <w:right w:val="single" w:sz="4" w:space="0" w:color="auto"/>
            </w:tcBorders>
            <w:noWrap/>
            <w:vAlign w:val="center"/>
            <w:hideMark/>
          </w:tcPr>
          <w:p w14:paraId="3FE6D1DB" w14:textId="77777777" w:rsidR="005A319E" w:rsidRPr="005A319E" w:rsidRDefault="005A319E" w:rsidP="005A319E">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5A319E">
              <w:rPr>
                <w:rFonts w:ascii="Times New Roman" w:eastAsia="Times New Roman" w:hAnsi="Times New Roman" w:cs="Times New Roman"/>
                <w:color w:val="000000"/>
                <w:kern w:val="0"/>
                <w:sz w:val="16"/>
                <w:szCs w:val="16"/>
                <w:lang w:eastAsia="en-IN"/>
                <w14:ligatures w14:val="none"/>
              </w:rPr>
              <w:t> </w:t>
            </w:r>
          </w:p>
        </w:tc>
        <w:tc>
          <w:tcPr>
            <w:tcW w:w="709" w:type="dxa"/>
            <w:tcBorders>
              <w:top w:val="nil"/>
              <w:left w:val="nil"/>
              <w:bottom w:val="single" w:sz="4" w:space="0" w:color="auto"/>
              <w:right w:val="single" w:sz="4" w:space="0" w:color="auto"/>
            </w:tcBorders>
            <w:noWrap/>
            <w:vAlign w:val="center"/>
            <w:hideMark/>
          </w:tcPr>
          <w:p w14:paraId="150D9999" w14:textId="77777777" w:rsidR="005A319E" w:rsidRPr="005A319E" w:rsidRDefault="005A319E" w:rsidP="005A319E">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5A319E">
              <w:rPr>
                <w:rFonts w:ascii="Times New Roman" w:eastAsia="Times New Roman" w:hAnsi="Times New Roman" w:cs="Times New Roman"/>
                <w:color w:val="000000"/>
                <w:kern w:val="0"/>
                <w:sz w:val="16"/>
                <w:szCs w:val="16"/>
                <w:lang w:eastAsia="en-IN"/>
                <w14:ligatures w14:val="none"/>
              </w:rPr>
              <w:t> </w:t>
            </w:r>
          </w:p>
        </w:tc>
        <w:tc>
          <w:tcPr>
            <w:tcW w:w="708" w:type="dxa"/>
            <w:tcBorders>
              <w:top w:val="nil"/>
              <w:left w:val="nil"/>
              <w:bottom w:val="single" w:sz="4" w:space="0" w:color="auto"/>
              <w:right w:val="single" w:sz="4" w:space="0" w:color="auto"/>
            </w:tcBorders>
            <w:noWrap/>
            <w:vAlign w:val="center"/>
            <w:hideMark/>
          </w:tcPr>
          <w:p w14:paraId="45CA50A8" w14:textId="77777777" w:rsidR="005A319E" w:rsidRPr="005A319E" w:rsidRDefault="005A319E" w:rsidP="005A319E">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5A319E">
              <w:rPr>
                <w:rFonts w:ascii="Times New Roman" w:eastAsia="Times New Roman" w:hAnsi="Times New Roman" w:cs="Times New Roman"/>
                <w:color w:val="000000"/>
                <w:kern w:val="0"/>
                <w:sz w:val="16"/>
                <w:szCs w:val="16"/>
                <w:lang w:eastAsia="en-IN"/>
                <w14:ligatures w14:val="none"/>
              </w:rPr>
              <w:t> </w:t>
            </w:r>
          </w:p>
        </w:tc>
        <w:tc>
          <w:tcPr>
            <w:tcW w:w="865" w:type="dxa"/>
            <w:tcBorders>
              <w:top w:val="nil"/>
              <w:left w:val="nil"/>
              <w:bottom w:val="single" w:sz="4" w:space="0" w:color="auto"/>
              <w:right w:val="single" w:sz="4" w:space="0" w:color="auto"/>
            </w:tcBorders>
            <w:noWrap/>
            <w:vAlign w:val="center"/>
            <w:hideMark/>
          </w:tcPr>
          <w:p w14:paraId="7D852135" w14:textId="77777777" w:rsidR="005A319E" w:rsidRPr="005A319E" w:rsidRDefault="005A319E" w:rsidP="005A319E">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5A319E">
              <w:rPr>
                <w:rFonts w:ascii="Times New Roman" w:eastAsia="Times New Roman" w:hAnsi="Times New Roman" w:cs="Times New Roman"/>
                <w:color w:val="000000"/>
                <w:kern w:val="0"/>
                <w:sz w:val="16"/>
                <w:szCs w:val="16"/>
                <w:lang w:eastAsia="en-IN"/>
                <w14:ligatures w14:val="none"/>
              </w:rPr>
              <w:t> </w:t>
            </w:r>
          </w:p>
        </w:tc>
        <w:tc>
          <w:tcPr>
            <w:tcW w:w="581" w:type="dxa"/>
            <w:tcBorders>
              <w:top w:val="nil"/>
              <w:left w:val="nil"/>
              <w:bottom w:val="single" w:sz="4" w:space="0" w:color="auto"/>
              <w:right w:val="single" w:sz="4" w:space="0" w:color="auto"/>
            </w:tcBorders>
            <w:noWrap/>
            <w:vAlign w:val="center"/>
            <w:hideMark/>
          </w:tcPr>
          <w:p w14:paraId="7757E8D5" w14:textId="77777777" w:rsidR="005A319E" w:rsidRPr="005A319E" w:rsidRDefault="005A319E" w:rsidP="005A319E">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5A319E">
              <w:rPr>
                <w:rFonts w:ascii="Times New Roman" w:eastAsia="Times New Roman" w:hAnsi="Times New Roman" w:cs="Times New Roman"/>
                <w:color w:val="000000"/>
                <w:kern w:val="0"/>
                <w:sz w:val="16"/>
                <w:szCs w:val="16"/>
                <w:lang w:eastAsia="en-IN"/>
                <w14:ligatures w14:val="none"/>
              </w:rPr>
              <w:t> </w:t>
            </w:r>
          </w:p>
        </w:tc>
        <w:tc>
          <w:tcPr>
            <w:tcW w:w="1004" w:type="dxa"/>
            <w:tcBorders>
              <w:top w:val="nil"/>
              <w:left w:val="nil"/>
              <w:bottom w:val="single" w:sz="4" w:space="0" w:color="auto"/>
              <w:right w:val="single" w:sz="4" w:space="0" w:color="auto"/>
            </w:tcBorders>
            <w:noWrap/>
            <w:vAlign w:val="center"/>
            <w:hideMark/>
          </w:tcPr>
          <w:p w14:paraId="028C39E1" w14:textId="77777777" w:rsidR="005A319E" w:rsidRPr="005A319E" w:rsidRDefault="005A319E" w:rsidP="005A319E">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5A319E">
              <w:rPr>
                <w:rFonts w:ascii="Times New Roman" w:eastAsia="Times New Roman" w:hAnsi="Times New Roman" w:cs="Times New Roman"/>
                <w:color w:val="000000"/>
                <w:kern w:val="0"/>
                <w:sz w:val="16"/>
                <w:szCs w:val="16"/>
                <w:lang w:eastAsia="en-IN"/>
                <w14:ligatures w14:val="none"/>
              </w:rPr>
              <w:t> </w:t>
            </w:r>
          </w:p>
        </w:tc>
        <w:tc>
          <w:tcPr>
            <w:tcW w:w="865" w:type="dxa"/>
            <w:tcBorders>
              <w:top w:val="nil"/>
              <w:left w:val="nil"/>
              <w:bottom w:val="single" w:sz="4" w:space="0" w:color="auto"/>
              <w:right w:val="single" w:sz="4" w:space="0" w:color="auto"/>
            </w:tcBorders>
            <w:noWrap/>
            <w:vAlign w:val="center"/>
            <w:hideMark/>
          </w:tcPr>
          <w:p w14:paraId="58952203" w14:textId="77777777" w:rsidR="005A319E" w:rsidRPr="005A319E" w:rsidRDefault="005A319E" w:rsidP="005A319E">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5A319E">
              <w:rPr>
                <w:rFonts w:ascii="Times New Roman" w:eastAsia="Times New Roman" w:hAnsi="Times New Roman" w:cs="Times New Roman"/>
                <w:color w:val="000000"/>
                <w:kern w:val="0"/>
                <w:sz w:val="16"/>
                <w:szCs w:val="16"/>
                <w:lang w:eastAsia="en-IN"/>
                <w14:ligatures w14:val="none"/>
              </w:rPr>
              <w:t> </w:t>
            </w:r>
          </w:p>
        </w:tc>
        <w:tc>
          <w:tcPr>
            <w:tcW w:w="995" w:type="dxa"/>
            <w:tcBorders>
              <w:top w:val="nil"/>
              <w:left w:val="nil"/>
              <w:bottom w:val="single" w:sz="4" w:space="0" w:color="auto"/>
              <w:right w:val="single" w:sz="4" w:space="0" w:color="auto"/>
            </w:tcBorders>
            <w:noWrap/>
            <w:vAlign w:val="center"/>
            <w:hideMark/>
          </w:tcPr>
          <w:p w14:paraId="6C46AC8C" w14:textId="77777777" w:rsidR="005A319E" w:rsidRPr="005A319E" w:rsidRDefault="005A319E" w:rsidP="005A319E">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5A319E">
              <w:rPr>
                <w:rFonts w:ascii="Times New Roman" w:eastAsia="Times New Roman" w:hAnsi="Times New Roman" w:cs="Times New Roman"/>
                <w:color w:val="000000"/>
                <w:kern w:val="0"/>
                <w:sz w:val="16"/>
                <w:szCs w:val="16"/>
                <w:lang w:eastAsia="en-IN"/>
                <w14:ligatures w14:val="none"/>
              </w:rPr>
              <w:t> </w:t>
            </w:r>
          </w:p>
        </w:tc>
        <w:tc>
          <w:tcPr>
            <w:tcW w:w="916" w:type="dxa"/>
            <w:tcBorders>
              <w:top w:val="nil"/>
              <w:left w:val="nil"/>
              <w:bottom w:val="single" w:sz="4" w:space="0" w:color="auto"/>
              <w:right w:val="single" w:sz="4" w:space="0" w:color="auto"/>
            </w:tcBorders>
            <w:noWrap/>
            <w:vAlign w:val="center"/>
            <w:hideMark/>
          </w:tcPr>
          <w:p w14:paraId="6E56776F" w14:textId="77777777" w:rsidR="005A319E" w:rsidRPr="005A319E" w:rsidRDefault="005A319E" w:rsidP="005A319E">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5A319E">
              <w:rPr>
                <w:rFonts w:ascii="Times New Roman" w:eastAsia="Times New Roman" w:hAnsi="Times New Roman" w:cs="Times New Roman"/>
                <w:color w:val="000000"/>
                <w:kern w:val="0"/>
                <w:sz w:val="16"/>
                <w:szCs w:val="16"/>
                <w:lang w:eastAsia="en-IN"/>
                <w14:ligatures w14:val="none"/>
              </w:rPr>
              <w:t> </w:t>
            </w:r>
          </w:p>
        </w:tc>
        <w:tc>
          <w:tcPr>
            <w:tcW w:w="865" w:type="dxa"/>
            <w:tcBorders>
              <w:top w:val="nil"/>
              <w:left w:val="nil"/>
              <w:bottom w:val="single" w:sz="4" w:space="0" w:color="auto"/>
              <w:right w:val="single" w:sz="4" w:space="0" w:color="auto"/>
            </w:tcBorders>
            <w:noWrap/>
            <w:vAlign w:val="center"/>
            <w:hideMark/>
          </w:tcPr>
          <w:p w14:paraId="0630D1D7" w14:textId="77777777" w:rsidR="005A319E" w:rsidRPr="005A319E" w:rsidRDefault="005A319E" w:rsidP="005A319E">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5A319E">
              <w:rPr>
                <w:rFonts w:ascii="Times New Roman" w:eastAsia="Times New Roman" w:hAnsi="Times New Roman" w:cs="Times New Roman"/>
                <w:color w:val="000000"/>
                <w:kern w:val="0"/>
                <w:sz w:val="16"/>
                <w:szCs w:val="16"/>
                <w:lang w:eastAsia="en-IN"/>
                <w14:ligatures w14:val="none"/>
              </w:rPr>
              <w:t> </w:t>
            </w:r>
          </w:p>
        </w:tc>
        <w:tc>
          <w:tcPr>
            <w:tcW w:w="581" w:type="dxa"/>
            <w:tcBorders>
              <w:top w:val="nil"/>
              <w:left w:val="nil"/>
              <w:bottom w:val="single" w:sz="4" w:space="0" w:color="auto"/>
              <w:right w:val="single" w:sz="4" w:space="0" w:color="auto"/>
            </w:tcBorders>
            <w:noWrap/>
            <w:vAlign w:val="center"/>
            <w:hideMark/>
          </w:tcPr>
          <w:p w14:paraId="19EEE9F8" w14:textId="77777777" w:rsidR="005A319E" w:rsidRPr="005A319E" w:rsidRDefault="005A319E" w:rsidP="005A319E">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5A319E">
              <w:rPr>
                <w:rFonts w:ascii="Times New Roman" w:eastAsia="Times New Roman" w:hAnsi="Times New Roman" w:cs="Times New Roman"/>
                <w:color w:val="000000"/>
                <w:kern w:val="0"/>
                <w:sz w:val="16"/>
                <w:szCs w:val="16"/>
                <w:lang w:eastAsia="en-IN"/>
                <w14:ligatures w14:val="none"/>
              </w:rPr>
              <w:t> </w:t>
            </w:r>
          </w:p>
        </w:tc>
      </w:tr>
      <w:tr w:rsidR="005A319E" w:rsidRPr="005A319E" w14:paraId="1EB73131" w14:textId="77777777" w:rsidTr="00D67840">
        <w:trPr>
          <w:trHeight w:val="22"/>
          <w:jc w:val="center"/>
        </w:trPr>
        <w:tc>
          <w:tcPr>
            <w:tcW w:w="1842" w:type="dxa"/>
            <w:tcBorders>
              <w:top w:val="nil"/>
              <w:left w:val="single" w:sz="4" w:space="0" w:color="auto"/>
              <w:bottom w:val="single" w:sz="4" w:space="0" w:color="auto"/>
              <w:right w:val="single" w:sz="4" w:space="0" w:color="auto"/>
            </w:tcBorders>
            <w:noWrap/>
            <w:vAlign w:val="center"/>
            <w:hideMark/>
          </w:tcPr>
          <w:p w14:paraId="783D917E" w14:textId="77777777" w:rsidR="005A319E" w:rsidRPr="005A319E" w:rsidRDefault="005A319E" w:rsidP="005A319E">
            <w:pPr>
              <w:spacing w:after="0" w:line="240" w:lineRule="auto"/>
              <w:rPr>
                <w:rFonts w:ascii="Times New Roman" w:eastAsia="Times New Roman" w:hAnsi="Times New Roman" w:cs="Times New Roman"/>
                <w:color w:val="000000"/>
                <w:kern w:val="0"/>
                <w:sz w:val="16"/>
                <w:szCs w:val="16"/>
                <w:lang w:eastAsia="en-IN"/>
                <w14:ligatures w14:val="none"/>
              </w:rPr>
            </w:pPr>
            <w:r w:rsidRPr="005A319E">
              <w:rPr>
                <w:rFonts w:ascii="Times New Roman" w:eastAsia="Times New Roman" w:hAnsi="Times New Roman" w:cs="Times New Roman"/>
                <w:color w:val="000000"/>
                <w:kern w:val="0"/>
                <w:sz w:val="16"/>
                <w:szCs w:val="16"/>
                <w:lang w:eastAsia="en-IN"/>
                <w14:ligatures w14:val="none"/>
              </w:rPr>
              <w:t>(a) Hydro</w:t>
            </w:r>
          </w:p>
        </w:tc>
        <w:tc>
          <w:tcPr>
            <w:tcW w:w="851" w:type="dxa"/>
            <w:vMerge w:val="restart"/>
            <w:tcBorders>
              <w:top w:val="nil"/>
              <w:left w:val="single" w:sz="4" w:space="0" w:color="auto"/>
              <w:bottom w:val="single" w:sz="4" w:space="0" w:color="auto"/>
              <w:right w:val="single" w:sz="4" w:space="0" w:color="auto"/>
            </w:tcBorders>
            <w:noWrap/>
            <w:vAlign w:val="center"/>
            <w:hideMark/>
          </w:tcPr>
          <w:p w14:paraId="6D038DA0" w14:textId="77777777" w:rsidR="005A319E" w:rsidRPr="005A319E" w:rsidRDefault="005A319E" w:rsidP="005A319E">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5A319E">
              <w:rPr>
                <w:rFonts w:ascii="Times New Roman" w:eastAsia="Times New Roman" w:hAnsi="Times New Roman" w:cs="Times New Roman"/>
                <w:color w:val="000000"/>
                <w:kern w:val="0"/>
                <w:sz w:val="16"/>
                <w:szCs w:val="16"/>
                <w:lang w:eastAsia="en-IN"/>
                <w14:ligatures w14:val="none"/>
              </w:rPr>
              <w:t>13.87</w:t>
            </w:r>
          </w:p>
        </w:tc>
        <w:tc>
          <w:tcPr>
            <w:tcW w:w="992" w:type="dxa"/>
            <w:vMerge w:val="restart"/>
            <w:tcBorders>
              <w:top w:val="nil"/>
              <w:left w:val="single" w:sz="4" w:space="0" w:color="auto"/>
              <w:bottom w:val="single" w:sz="4" w:space="0" w:color="auto"/>
              <w:right w:val="single" w:sz="4" w:space="0" w:color="auto"/>
            </w:tcBorders>
            <w:noWrap/>
            <w:vAlign w:val="center"/>
            <w:hideMark/>
          </w:tcPr>
          <w:p w14:paraId="3C5D20E5" w14:textId="77777777" w:rsidR="005A319E" w:rsidRPr="005A319E" w:rsidRDefault="005A319E" w:rsidP="005A319E">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5A319E">
              <w:rPr>
                <w:rFonts w:ascii="Times New Roman" w:eastAsia="Times New Roman" w:hAnsi="Times New Roman" w:cs="Times New Roman"/>
                <w:color w:val="000000"/>
                <w:kern w:val="0"/>
                <w:sz w:val="16"/>
                <w:szCs w:val="16"/>
                <w:lang w:eastAsia="en-IN"/>
                <w14:ligatures w14:val="none"/>
              </w:rPr>
              <w:t>0.80</w:t>
            </w:r>
          </w:p>
        </w:tc>
        <w:tc>
          <w:tcPr>
            <w:tcW w:w="581" w:type="dxa"/>
            <w:vMerge w:val="restart"/>
            <w:tcBorders>
              <w:top w:val="nil"/>
              <w:left w:val="single" w:sz="4" w:space="0" w:color="auto"/>
              <w:bottom w:val="single" w:sz="4" w:space="0" w:color="auto"/>
              <w:right w:val="single" w:sz="4" w:space="0" w:color="auto"/>
            </w:tcBorders>
            <w:noWrap/>
            <w:vAlign w:val="center"/>
            <w:hideMark/>
          </w:tcPr>
          <w:p w14:paraId="5BC3CF13" w14:textId="77777777" w:rsidR="005A319E" w:rsidRPr="005A319E" w:rsidRDefault="005A319E" w:rsidP="005A319E">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5A319E">
              <w:rPr>
                <w:rFonts w:ascii="Times New Roman" w:eastAsia="Times New Roman" w:hAnsi="Times New Roman" w:cs="Times New Roman"/>
                <w:color w:val="000000"/>
                <w:kern w:val="0"/>
                <w:sz w:val="16"/>
                <w:szCs w:val="16"/>
                <w:lang w:eastAsia="en-IN"/>
                <w14:ligatures w14:val="none"/>
              </w:rPr>
              <w:t>14.67</w:t>
            </w:r>
          </w:p>
        </w:tc>
        <w:tc>
          <w:tcPr>
            <w:tcW w:w="992" w:type="dxa"/>
            <w:vMerge w:val="restart"/>
            <w:tcBorders>
              <w:top w:val="nil"/>
              <w:left w:val="single" w:sz="4" w:space="0" w:color="auto"/>
              <w:bottom w:val="single" w:sz="4" w:space="0" w:color="auto"/>
              <w:right w:val="single" w:sz="4" w:space="0" w:color="auto"/>
            </w:tcBorders>
            <w:noWrap/>
            <w:vAlign w:val="center"/>
            <w:hideMark/>
          </w:tcPr>
          <w:p w14:paraId="01EBFC99" w14:textId="77777777" w:rsidR="005A319E" w:rsidRPr="005A319E" w:rsidRDefault="005A319E" w:rsidP="005A319E">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5A319E">
              <w:rPr>
                <w:rFonts w:ascii="Times New Roman" w:eastAsia="Times New Roman" w:hAnsi="Times New Roman" w:cs="Times New Roman"/>
                <w:color w:val="000000"/>
                <w:kern w:val="0"/>
                <w:sz w:val="16"/>
                <w:szCs w:val="16"/>
                <w:lang w:eastAsia="en-IN"/>
                <w14:ligatures w14:val="none"/>
              </w:rPr>
              <w:t>15.31</w:t>
            </w:r>
          </w:p>
        </w:tc>
        <w:tc>
          <w:tcPr>
            <w:tcW w:w="865" w:type="dxa"/>
            <w:vMerge w:val="restart"/>
            <w:tcBorders>
              <w:top w:val="nil"/>
              <w:left w:val="single" w:sz="4" w:space="0" w:color="auto"/>
              <w:bottom w:val="single" w:sz="4" w:space="0" w:color="auto"/>
              <w:right w:val="single" w:sz="4" w:space="0" w:color="auto"/>
            </w:tcBorders>
            <w:noWrap/>
            <w:vAlign w:val="center"/>
            <w:hideMark/>
          </w:tcPr>
          <w:p w14:paraId="55463440" w14:textId="77777777" w:rsidR="005A319E" w:rsidRPr="005A319E" w:rsidRDefault="005A319E" w:rsidP="005A319E">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5A319E">
              <w:rPr>
                <w:rFonts w:ascii="Times New Roman" w:eastAsia="Times New Roman" w:hAnsi="Times New Roman" w:cs="Times New Roman"/>
                <w:color w:val="000000"/>
                <w:kern w:val="0"/>
                <w:sz w:val="16"/>
                <w:szCs w:val="16"/>
                <w:lang w:eastAsia="en-IN"/>
                <w14:ligatures w14:val="none"/>
              </w:rPr>
              <w:t>0.80</w:t>
            </w:r>
          </w:p>
        </w:tc>
        <w:tc>
          <w:tcPr>
            <w:tcW w:w="709" w:type="dxa"/>
            <w:vMerge w:val="restart"/>
            <w:tcBorders>
              <w:top w:val="nil"/>
              <w:left w:val="single" w:sz="4" w:space="0" w:color="auto"/>
              <w:bottom w:val="single" w:sz="4" w:space="0" w:color="auto"/>
              <w:right w:val="single" w:sz="4" w:space="0" w:color="auto"/>
            </w:tcBorders>
            <w:noWrap/>
            <w:vAlign w:val="center"/>
            <w:hideMark/>
          </w:tcPr>
          <w:p w14:paraId="014F5DB6" w14:textId="77777777" w:rsidR="005A319E" w:rsidRPr="005A319E" w:rsidRDefault="005A319E" w:rsidP="005A319E">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5A319E">
              <w:rPr>
                <w:rFonts w:ascii="Times New Roman" w:eastAsia="Times New Roman" w:hAnsi="Times New Roman" w:cs="Times New Roman"/>
                <w:color w:val="000000"/>
                <w:kern w:val="0"/>
                <w:sz w:val="16"/>
                <w:szCs w:val="16"/>
                <w:lang w:eastAsia="en-IN"/>
                <w14:ligatures w14:val="none"/>
              </w:rPr>
              <w:t>16.11</w:t>
            </w:r>
          </w:p>
        </w:tc>
        <w:tc>
          <w:tcPr>
            <w:tcW w:w="708" w:type="dxa"/>
            <w:vMerge w:val="restart"/>
            <w:tcBorders>
              <w:top w:val="nil"/>
              <w:left w:val="single" w:sz="4" w:space="0" w:color="auto"/>
              <w:bottom w:val="single" w:sz="4" w:space="0" w:color="auto"/>
              <w:right w:val="single" w:sz="4" w:space="0" w:color="auto"/>
            </w:tcBorders>
            <w:noWrap/>
            <w:vAlign w:val="center"/>
            <w:hideMark/>
          </w:tcPr>
          <w:p w14:paraId="5CCACD28" w14:textId="77777777" w:rsidR="005A319E" w:rsidRPr="005A319E" w:rsidRDefault="005A319E" w:rsidP="005A319E">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5A319E">
              <w:rPr>
                <w:rFonts w:ascii="Times New Roman" w:eastAsia="Times New Roman" w:hAnsi="Times New Roman" w:cs="Times New Roman"/>
                <w:color w:val="000000"/>
                <w:kern w:val="0"/>
                <w:sz w:val="16"/>
                <w:szCs w:val="16"/>
                <w:lang w:eastAsia="en-IN"/>
                <w14:ligatures w14:val="none"/>
              </w:rPr>
              <w:t>14.97</w:t>
            </w:r>
          </w:p>
        </w:tc>
        <w:tc>
          <w:tcPr>
            <w:tcW w:w="865" w:type="dxa"/>
            <w:vMerge w:val="restart"/>
            <w:tcBorders>
              <w:top w:val="nil"/>
              <w:left w:val="single" w:sz="4" w:space="0" w:color="auto"/>
              <w:bottom w:val="single" w:sz="4" w:space="0" w:color="auto"/>
              <w:right w:val="single" w:sz="4" w:space="0" w:color="auto"/>
            </w:tcBorders>
            <w:noWrap/>
            <w:vAlign w:val="center"/>
            <w:hideMark/>
          </w:tcPr>
          <w:p w14:paraId="6B2D60A8" w14:textId="77777777" w:rsidR="005A319E" w:rsidRPr="005A319E" w:rsidRDefault="005A319E" w:rsidP="005A319E">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5A319E">
              <w:rPr>
                <w:rFonts w:ascii="Times New Roman" w:eastAsia="Times New Roman" w:hAnsi="Times New Roman" w:cs="Times New Roman"/>
                <w:color w:val="000000"/>
                <w:kern w:val="0"/>
                <w:sz w:val="16"/>
                <w:szCs w:val="16"/>
                <w:lang w:eastAsia="en-IN"/>
                <w14:ligatures w14:val="none"/>
              </w:rPr>
              <w:t>0.80</w:t>
            </w:r>
          </w:p>
        </w:tc>
        <w:tc>
          <w:tcPr>
            <w:tcW w:w="581" w:type="dxa"/>
            <w:vMerge w:val="restart"/>
            <w:tcBorders>
              <w:top w:val="nil"/>
              <w:left w:val="single" w:sz="4" w:space="0" w:color="auto"/>
              <w:bottom w:val="single" w:sz="4" w:space="0" w:color="auto"/>
              <w:right w:val="single" w:sz="4" w:space="0" w:color="auto"/>
            </w:tcBorders>
            <w:noWrap/>
            <w:vAlign w:val="center"/>
            <w:hideMark/>
          </w:tcPr>
          <w:p w14:paraId="46E1EC44" w14:textId="77777777" w:rsidR="005A319E" w:rsidRPr="005A319E" w:rsidRDefault="005A319E" w:rsidP="005A319E">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5A319E">
              <w:rPr>
                <w:rFonts w:ascii="Times New Roman" w:eastAsia="Times New Roman" w:hAnsi="Times New Roman" w:cs="Times New Roman"/>
                <w:color w:val="000000"/>
                <w:kern w:val="0"/>
                <w:sz w:val="16"/>
                <w:szCs w:val="16"/>
                <w:lang w:eastAsia="en-IN"/>
                <w14:ligatures w14:val="none"/>
              </w:rPr>
              <w:t>15.77</w:t>
            </w:r>
          </w:p>
        </w:tc>
        <w:tc>
          <w:tcPr>
            <w:tcW w:w="1004" w:type="dxa"/>
            <w:tcBorders>
              <w:top w:val="nil"/>
              <w:left w:val="nil"/>
              <w:bottom w:val="single" w:sz="4" w:space="0" w:color="auto"/>
              <w:right w:val="single" w:sz="4" w:space="0" w:color="auto"/>
            </w:tcBorders>
            <w:noWrap/>
            <w:vAlign w:val="center"/>
            <w:hideMark/>
          </w:tcPr>
          <w:p w14:paraId="6431C172" w14:textId="77777777" w:rsidR="005A319E" w:rsidRPr="005A319E" w:rsidRDefault="005A319E" w:rsidP="005A319E">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5A319E">
              <w:rPr>
                <w:rFonts w:ascii="Times New Roman" w:eastAsia="Times New Roman" w:hAnsi="Times New Roman" w:cs="Times New Roman"/>
                <w:color w:val="000000"/>
                <w:kern w:val="0"/>
                <w:sz w:val="16"/>
                <w:szCs w:val="16"/>
                <w:lang w:eastAsia="en-IN"/>
                <w14:ligatures w14:val="none"/>
              </w:rPr>
              <w:t>8.51</w:t>
            </w:r>
          </w:p>
        </w:tc>
        <w:tc>
          <w:tcPr>
            <w:tcW w:w="865" w:type="dxa"/>
            <w:tcBorders>
              <w:top w:val="nil"/>
              <w:left w:val="nil"/>
              <w:bottom w:val="single" w:sz="4" w:space="0" w:color="auto"/>
              <w:right w:val="single" w:sz="4" w:space="0" w:color="auto"/>
            </w:tcBorders>
            <w:noWrap/>
            <w:vAlign w:val="center"/>
            <w:hideMark/>
          </w:tcPr>
          <w:p w14:paraId="63D71CF6" w14:textId="77777777" w:rsidR="005A319E" w:rsidRPr="005A319E" w:rsidRDefault="005A319E" w:rsidP="005A319E">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5A319E">
              <w:rPr>
                <w:rFonts w:ascii="Times New Roman" w:eastAsia="Times New Roman" w:hAnsi="Times New Roman" w:cs="Times New Roman"/>
                <w:color w:val="000000"/>
                <w:kern w:val="0"/>
                <w:sz w:val="16"/>
                <w:szCs w:val="16"/>
                <w:lang w:eastAsia="en-IN"/>
                <w14:ligatures w14:val="none"/>
              </w:rPr>
              <w:t>1.00</w:t>
            </w:r>
          </w:p>
        </w:tc>
        <w:tc>
          <w:tcPr>
            <w:tcW w:w="995" w:type="dxa"/>
            <w:tcBorders>
              <w:top w:val="nil"/>
              <w:left w:val="nil"/>
              <w:bottom w:val="single" w:sz="4" w:space="0" w:color="auto"/>
              <w:right w:val="single" w:sz="4" w:space="0" w:color="auto"/>
            </w:tcBorders>
            <w:noWrap/>
            <w:vAlign w:val="center"/>
            <w:hideMark/>
          </w:tcPr>
          <w:p w14:paraId="4E7EEE72" w14:textId="77777777" w:rsidR="005A319E" w:rsidRPr="005A319E" w:rsidRDefault="005A319E" w:rsidP="005A319E">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5A319E">
              <w:rPr>
                <w:rFonts w:ascii="Times New Roman" w:eastAsia="Times New Roman" w:hAnsi="Times New Roman" w:cs="Times New Roman"/>
                <w:color w:val="000000"/>
                <w:kern w:val="0"/>
                <w:sz w:val="16"/>
                <w:szCs w:val="16"/>
                <w:lang w:eastAsia="en-IN"/>
                <w14:ligatures w14:val="none"/>
              </w:rPr>
              <w:t>9.51</w:t>
            </w:r>
          </w:p>
        </w:tc>
        <w:tc>
          <w:tcPr>
            <w:tcW w:w="916" w:type="dxa"/>
            <w:tcBorders>
              <w:top w:val="nil"/>
              <w:left w:val="nil"/>
              <w:bottom w:val="single" w:sz="4" w:space="0" w:color="auto"/>
              <w:right w:val="single" w:sz="4" w:space="0" w:color="auto"/>
            </w:tcBorders>
            <w:noWrap/>
            <w:vAlign w:val="center"/>
            <w:hideMark/>
          </w:tcPr>
          <w:p w14:paraId="768E6686" w14:textId="77777777" w:rsidR="005A319E" w:rsidRPr="005A319E" w:rsidRDefault="005A319E" w:rsidP="005A319E">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5A319E">
              <w:rPr>
                <w:rFonts w:ascii="Times New Roman" w:eastAsia="Times New Roman" w:hAnsi="Times New Roman" w:cs="Times New Roman"/>
                <w:color w:val="000000"/>
                <w:kern w:val="0"/>
                <w:sz w:val="16"/>
                <w:szCs w:val="16"/>
                <w:lang w:eastAsia="en-IN"/>
                <w14:ligatures w14:val="none"/>
              </w:rPr>
              <w:t>7.74</w:t>
            </w:r>
          </w:p>
        </w:tc>
        <w:tc>
          <w:tcPr>
            <w:tcW w:w="865" w:type="dxa"/>
            <w:tcBorders>
              <w:top w:val="nil"/>
              <w:left w:val="nil"/>
              <w:bottom w:val="single" w:sz="4" w:space="0" w:color="auto"/>
              <w:right w:val="single" w:sz="4" w:space="0" w:color="auto"/>
            </w:tcBorders>
            <w:noWrap/>
            <w:vAlign w:val="center"/>
            <w:hideMark/>
          </w:tcPr>
          <w:p w14:paraId="50001E16" w14:textId="77777777" w:rsidR="005A319E" w:rsidRPr="005A319E" w:rsidRDefault="005A319E" w:rsidP="005A319E">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5A319E">
              <w:rPr>
                <w:rFonts w:ascii="Times New Roman" w:eastAsia="Times New Roman" w:hAnsi="Times New Roman" w:cs="Times New Roman"/>
                <w:color w:val="000000"/>
                <w:kern w:val="0"/>
                <w:sz w:val="16"/>
                <w:szCs w:val="16"/>
                <w:lang w:eastAsia="en-IN"/>
                <w14:ligatures w14:val="none"/>
              </w:rPr>
              <w:t>1.00</w:t>
            </w:r>
          </w:p>
        </w:tc>
        <w:tc>
          <w:tcPr>
            <w:tcW w:w="581" w:type="dxa"/>
            <w:tcBorders>
              <w:top w:val="nil"/>
              <w:left w:val="nil"/>
              <w:bottom w:val="single" w:sz="4" w:space="0" w:color="auto"/>
              <w:right w:val="single" w:sz="4" w:space="0" w:color="auto"/>
            </w:tcBorders>
            <w:noWrap/>
            <w:vAlign w:val="center"/>
            <w:hideMark/>
          </w:tcPr>
          <w:p w14:paraId="2F8F1220" w14:textId="77777777" w:rsidR="005A319E" w:rsidRPr="005A319E" w:rsidRDefault="005A319E" w:rsidP="005A319E">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5A319E">
              <w:rPr>
                <w:rFonts w:ascii="Times New Roman" w:eastAsia="Times New Roman" w:hAnsi="Times New Roman" w:cs="Times New Roman"/>
                <w:color w:val="000000"/>
                <w:kern w:val="0"/>
                <w:sz w:val="16"/>
                <w:szCs w:val="16"/>
                <w:lang w:eastAsia="en-IN"/>
                <w14:ligatures w14:val="none"/>
              </w:rPr>
              <w:t>8.74</w:t>
            </w:r>
          </w:p>
        </w:tc>
      </w:tr>
      <w:tr w:rsidR="005A319E" w:rsidRPr="005A319E" w14:paraId="7869C7E8" w14:textId="77777777" w:rsidTr="00D67840">
        <w:trPr>
          <w:trHeight w:val="22"/>
          <w:jc w:val="center"/>
        </w:trPr>
        <w:tc>
          <w:tcPr>
            <w:tcW w:w="1842" w:type="dxa"/>
            <w:tcBorders>
              <w:top w:val="nil"/>
              <w:left w:val="single" w:sz="4" w:space="0" w:color="auto"/>
              <w:bottom w:val="single" w:sz="4" w:space="0" w:color="auto"/>
              <w:right w:val="single" w:sz="4" w:space="0" w:color="auto"/>
            </w:tcBorders>
            <w:noWrap/>
            <w:vAlign w:val="center"/>
            <w:hideMark/>
          </w:tcPr>
          <w:p w14:paraId="74E6D6ED" w14:textId="77777777" w:rsidR="005A319E" w:rsidRPr="005A319E" w:rsidRDefault="005A319E" w:rsidP="005A319E">
            <w:pPr>
              <w:spacing w:after="0" w:line="240" w:lineRule="auto"/>
              <w:rPr>
                <w:rFonts w:ascii="Times New Roman" w:eastAsia="Times New Roman" w:hAnsi="Times New Roman" w:cs="Times New Roman"/>
                <w:color w:val="000000"/>
                <w:kern w:val="0"/>
                <w:sz w:val="16"/>
                <w:szCs w:val="16"/>
                <w:lang w:eastAsia="en-IN"/>
                <w14:ligatures w14:val="none"/>
              </w:rPr>
            </w:pPr>
            <w:r w:rsidRPr="005A319E">
              <w:rPr>
                <w:rFonts w:ascii="Times New Roman" w:eastAsia="Times New Roman" w:hAnsi="Times New Roman" w:cs="Times New Roman"/>
                <w:color w:val="000000"/>
                <w:kern w:val="0"/>
                <w:sz w:val="16"/>
                <w:szCs w:val="16"/>
                <w:lang w:eastAsia="en-IN"/>
                <w14:ligatures w14:val="none"/>
              </w:rPr>
              <w:t>(b) Steam</w:t>
            </w:r>
          </w:p>
        </w:tc>
        <w:tc>
          <w:tcPr>
            <w:tcW w:w="851" w:type="dxa"/>
            <w:vMerge/>
            <w:tcBorders>
              <w:top w:val="nil"/>
              <w:left w:val="single" w:sz="4" w:space="0" w:color="auto"/>
              <w:bottom w:val="single" w:sz="4" w:space="0" w:color="auto"/>
              <w:right w:val="single" w:sz="4" w:space="0" w:color="auto"/>
            </w:tcBorders>
            <w:vAlign w:val="center"/>
            <w:hideMark/>
          </w:tcPr>
          <w:p w14:paraId="56D02FCB" w14:textId="77777777" w:rsidR="005A319E" w:rsidRPr="005A319E" w:rsidRDefault="005A319E" w:rsidP="005A319E">
            <w:pPr>
              <w:spacing w:after="0" w:line="240" w:lineRule="auto"/>
              <w:rPr>
                <w:rFonts w:ascii="Times New Roman" w:eastAsia="Times New Roman" w:hAnsi="Times New Roman" w:cs="Times New Roman"/>
                <w:color w:val="000000"/>
                <w:kern w:val="0"/>
                <w:sz w:val="16"/>
                <w:szCs w:val="16"/>
                <w:lang w:eastAsia="en-IN"/>
                <w14:ligatures w14:val="none"/>
              </w:rPr>
            </w:pPr>
          </w:p>
        </w:tc>
        <w:tc>
          <w:tcPr>
            <w:tcW w:w="992" w:type="dxa"/>
            <w:vMerge/>
            <w:tcBorders>
              <w:top w:val="nil"/>
              <w:left w:val="single" w:sz="4" w:space="0" w:color="auto"/>
              <w:bottom w:val="single" w:sz="4" w:space="0" w:color="auto"/>
              <w:right w:val="single" w:sz="4" w:space="0" w:color="auto"/>
            </w:tcBorders>
            <w:vAlign w:val="center"/>
            <w:hideMark/>
          </w:tcPr>
          <w:p w14:paraId="0BC65597" w14:textId="77777777" w:rsidR="005A319E" w:rsidRPr="005A319E" w:rsidRDefault="005A319E" w:rsidP="005A319E">
            <w:pPr>
              <w:spacing w:after="0" w:line="240" w:lineRule="auto"/>
              <w:rPr>
                <w:rFonts w:ascii="Times New Roman" w:eastAsia="Times New Roman" w:hAnsi="Times New Roman" w:cs="Times New Roman"/>
                <w:color w:val="000000"/>
                <w:kern w:val="0"/>
                <w:sz w:val="16"/>
                <w:szCs w:val="16"/>
                <w:lang w:eastAsia="en-IN"/>
                <w14:ligatures w14:val="none"/>
              </w:rPr>
            </w:pPr>
          </w:p>
        </w:tc>
        <w:tc>
          <w:tcPr>
            <w:tcW w:w="581" w:type="dxa"/>
            <w:vMerge/>
            <w:tcBorders>
              <w:top w:val="nil"/>
              <w:left w:val="single" w:sz="4" w:space="0" w:color="auto"/>
              <w:bottom w:val="single" w:sz="4" w:space="0" w:color="auto"/>
              <w:right w:val="single" w:sz="4" w:space="0" w:color="auto"/>
            </w:tcBorders>
            <w:vAlign w:val="center"/>
            <w:hideMark/>
          </w:tcPr>
          <w:p w14:paraId="52CE4956" w14:textId="77777777" w:rsidR="005A319E" w:rsidRPr="005A319E" w:rsidRDefault="005A319E" w:rsidP="005A319E">
            <w:pPr>
              <w:spacing w:after="0" w:line="240" w:lineRule="auto"/>
              <w:rPr>
                <w:rFonts w:ascii="Times New Roman" w:eastAsia="Times New Roman" w:hAnsi="Times New Roman" w:cs="Times New Roman"/>
                <w:color w:val="000000"/>
                <w:kern w:val="0"/>
                <w:sz w:val="16"/>
                <w:szCs w:val="16"/>
                <w:lang w:eastAsia="en-IN"/>
                <w14:ligatures w14:val="none"/>
              </w:rPr>
            </w:pPr>
          </w:p>
        </w:tc>
        <w:tc>
          <w:tcPr>
            <w:tcW w:w="992" w:type="dxa"/>
            <w:vMerge/>
            <w:tcBorders>
              <w:top w:val="nil"/>
              <w:left w:val="single" w:sz="4" w:space="0" w:color="auto"/>
              <w:bottom w:val="single" w:sz="4" w:space="0" w:color="auto"/>
              <w:right w:val="single" w:sz="4" w:space="0" w:color="auto"/>
            </w:tcBorders>
            <w:vAlign w:val="center"/>
            <w:hideMark/>
          </w:tcPr>
          <w:p w14:paraId="4EE04D05" w14:textId="77777777" w:rsidR="005A319E" w:rsidRPr="005A319E" w:rsidRDefault="005A319E" w:rsidP="005A319E">
            <w:pPr>
              <w:spacing w:after="0" w:line="240" w:lineRule="auto"/>
              <w:rPr>
                <w:rFonts w:ascii="Times New Roman" w:eastAsia="Times New Roman" w:hAnsi="Times New Roman" w:cs="Times New Roman"/>
                <w:color w:val="000000"/>
                <w:kern w:val="0"/>
                <w:sz w:val="16"/>
                <w:szCs w:val="16"/>
                <w:lang w:eastAsia="en-IN"/>
                <w14:ligatures w14:val="none"/>
              </w:rPr>
            </w:pPr>
          </w:p>
        </w:tc>
        <w:tc>
          <w:tcPr>
            <w:tcW w:w="865" w:type="dxa"/>
            <w:vMerge/>
            <w:tcBorders>
              <w:top w:val="nil"/>
              <w:left w:val="single" w:sz="4" w:space="0" w:color="auto"/>
              <w:bottom w:val="single" w:sz="4" w:space="0" w:color="auto"/>
              <w:right w:val="single" w:sz="4" w:space="0" w:color="auto"/>
            </w:tcBorders>
            <w:vAlign w:val="center"/>
            <w:hideMark/>
          </w:tcPr>
          <w:p w14:paraId="0DF79E6C" w14:textId="77777777" w:rsidR="005A319E" w:rsidRPr="005A319E" w:rsidRDefault="005A319E" w:rsidP="005A319E">
            <w:pPr>
              <w:spacing w:after="0" w:line="240" w:lineRule="auto"/>
              <w:rPr>
                <w:rFonts w:ascii="Times New Roman" w:eastAsia="Times New Roman" w:hAnsi="Times New Roman" w:cs="Times New Roman"/>
                <w:color w:val="000000"/>
                <w:kern w:val="0"/>
                <w:sz w:val="16"/>
                <w:szCs w:val="16"/>
                <w:lang w:eastAsia="en-IN"/>
                <w14:ligatures w14:val="none"/>
              </w:rPr>
            </w:pPr>
          </w:p>
        </w:tc>
        <w:tc>
          <w:tcPr>
            <w:tcW w:w="709" w:type="dxa"/>
            <w:vMerge/>
            <w:tcBorders>
              <w:top w:val="nil"/>
              <w:left w:val="single" w:sz="4" w:space="0" w:color="auto"/>
              <w:bottom w:val="single" w:sz="4" w:space="0" w:color="auto"/>
              <w:right w:val="single" w:sz="4" w:space="0" w:color="auto"/>
            </w:tcBorders>
            <w:vAlign w:val="center"/>
            <w:hideMark/>
          </w:tcPr>
          <w:p w14:paraId="6F855465" w14:textId="77777777" w:rsidR="005A319E" w:rsidRPr="005A319E" w:rsidRDefault="005A319E" w:rsidP="005A319E">
            <w:pPr>
              <w:spacing w:after="0" w:line="240" w:lineRule="auto"/>
              <w:rPr>
                <w:rFonts w:ascii="Times New Roman" w:eastAsia="Times New Roman" w:hAnsi="Times New Roman" w:cs="Times New Roman"/>
                <w:color w:val="000000"/>
                <w:kern w:val="0"/>
                <w:sz w:val="16"/>
                <w:szCs w:val="16"/>
                <w:lang w:eastAsia="en-IN"/>
                <w14:ligatures w14:val="none"/>
              </w:rPr>
            </w:pPr>
          </w:p>
        </w:tc>
        <w:tc>
          <w:tcPr>
            <w:tcW w:w="708" w:type="dxa"/>
            <w:vMerge/>
            <w:tcBorders>
              <w:top w:val="nil"/>
              <w:left w:val="single" w:sz="4" w:space="0" w:color="auto"/>
              <w:bottom w:val="single" w:sz="4" w:space="0" w:color="auto"/>
              <w:right w:val="single" w:sz="4" w:space="0" w:color="auto"/>
            </w:tcBorders>
            <w:vAlign w:val="center"/>
            <w:hideMark/>
          </w:tcPr>
          <w:p w14:paraId="6903AB9D" w14:textId="77777777" w:rsidR="005A319E" w:rsidRPr="005A319E" w:rsidRDefault="005A319E" w:rsidP="005A319E">
            <w:pPr>
              <w:spacing w:after="0" w:line="240" w:lineRule="auto"/>
              <w:rPr>
                <w:rFonts w:ascii="Times New Roman" w:eastAsia="Times New Roman" w:hAnsi="Times New Roman" w:cs="Times New Roman"/>
                <w:color w:val="000000"/>
                <w:kern w:val="0"/>
                <w:sz w:val="16"/>
                <w:szCs w:val="16"/>
                <w:lang w:eastAsia="en-IN"/>
                <w14:ligatures w14:val="none"/>
              </w:rPr>
            </w:pPr>
          </w:p>
        </w:tc>
        <w:tc>
          <w:tcPr>
            <w:tcW w:w="865" w:type="dxa"/>
            <w:vMerge/>
            <w:tcBorders>
              <w:top w:val="nil"/>
              <w:left w:val="single" w:sz="4" w:space="0" w:color="auto"/>
              <w:bottom w:val="single" w:sz="4" w:space="0" w:color="auto"/>
              <w:right w:val="single" w:sz="4" w:space="0" w:color="auto"/>
            </w:tcBorders>
            <w:vAlign w:val="center"/>
            <w:hideMark/>
          </w:tcPr>
          <w:p w14:paraId="4CDB88DD" w14:textId="77777777" w:rsidR="005A319E" w:rsidRPr="005A319E" w:rsidRDefault="005A319E" w:rsidP="005A319E">
            <w:pPr>
              <w:spacing w:after="0" w:line="240" w:lineRule="auto"/>
              <w:rPr>
                <w:rFonts w:ascii="Times New Roman" w:eastAsia="Times New Roman" w:hAnsi="Times New Roman" w:cs="Times New Roman"/>
                <w:color w:val="000000"/>
                <w:kern w:val="0"/>
                <w:sz w:val="16"/>
                <w:szCs w:val="16"/>
                <w:lang w:eastAsia="en-IN"/>
                <w14:ligatures w14:val="none"/>
              </w:rPr>
            </w:pPr>
          </w:p>
        </w:tc>
        <w:tc>
          <w:tcPr>
            <w:tcW w:w="581" w:type="dxa"/>
            <w:vMerge/>
            <w:tcBorders>
              <w:top w:val="nil"/>
              <w:left w:val="single" w:sz="4" w:space="0" w:color="auto"/>
              <w:bottom w:val="single" w:sz="4" w:space="0" w:color="auto"/>
              <w:right w:val="single" w:sz="4" w:space="0" w:color="auto"/>
            </w:tcBorders>
            <w:vAlign w:val="center"/>
            <w:hideMark/>
          </w:tcPr>
          <w:p w14:paraId="1D1E7688" w14:textId="77777777" w:rsidR="005A319E" w:rsidRPr="005A319E" w:rsidRDefault="005A319E" w:rsidP="005A319E">
            <w:pPr>
              <w:spacing w:after="0" w:line="240" w:lineRule="auto"/>
              <w:rPr>
                <w:rFonts w:ascii="Times New Roman" w:eastAsia="Times New Roman" w:hAnsi="Times New Roman" w:cs="Times New Roman"/>
                <w:color w:val="000000"/>
                <w:kern w:val="0"/>
                <w:sz w:val="16"/>
                <w:szCs w:val="16"/>
                <w:lang w:eastAsia="en-IN"/>
                <w14:ligatures w14:val="none"/>
              </w:rPr>
            </w:pPr>
          </w:p>
        </w:tc>
        <w:tc>
          <w:tcPr>
            <w:tcW w:w="1004" w:type="dxa"/>
            <w:tcBorders>
              <w:top w:val="nil"/>
              <w:left w:val="nil"/>
              <w:bottom w:val="single" w:sz="4" w:space="0" w:color="auto"/>
              <w:right w:val="single" w:sz="4" w:space="0" w:color="auto"/>
            </w:tcBorders>
            <w:noWrap/>
            <w:vAlign w:val="center"/>
            <w:hideMark/>
          </w:tcPr>
          <w:p w14:paraId="34B5F6A1" w14:textId="77777777" w:rsidR="005A319E" w:rsidRPr="005A319E" w:rsidRDefault="005A319E" w:rsidP="005A319E">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5A319E">
              <w:rPr>
                <w:rFonts w:ascii="Times New Roman" w:eastAsia="Times New Roman" w:hAnsi="Times New Roman" w:cs="Times New Roman"/>
                <w:color w:val="000000"/>
                <w:kern w:val="0"/>
                <w:sz w:val="16"/>
                <w:szCs w:val="16"/>
                <w:lang w:eastAsia="en-IN"/>
                <w14:ligatures w14:val="none"/>
              </w:rPr>
              <w:t>10.53*</w:t>
            </w:r>
          </w:p>
        </w:tc>
        <w:tc>
          <w:tcPr>
            <w:tcW w:w="865" w:type="dxa"/>
            <w:tcBorders>
              <w:top w:val="nil"/>
              <w:left w:val="nil"/>
              <w:bottom w:val="single" w:sz="4" w:space="0" w:color="auto"/>
              <w:right w:val="single" w:sz="4" w:space="0" w:color="auto"/>
            </w:tcBorders>
            <w:noWrap/>
            <w:vAlign w:val="center"/>
            <w:hideMark/>
          </w:tcPr>
          <w:p w14:paraId="43C3534F" w14:textId="77777777" w:rsidR="005A319E" w:rsidRPr="005A319E" w:rsidRDefault="005A319E" w:rsidP="005A319E">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5A319E">
              <w:rPr>
                <w:rFonts w:ascii="Times New Roman" w:eastAsia="Times New Roman" w:hAnsi="Times New Roman" w:cs="Times New Roman"/>
                <w:color w:val="000000"/>
                <w:kern w:val="0"/>
                <w:sz w:val="16"/>
                <w:szCs w:val="16"/>
                <w:lang w:eastAsia="en-IN"/>
                <w14:ligatures w14:val="none"/>
              </w:rPr>
              <w:t>1.00</w:t>
            </w:r>
          </w:p>
        </w:tc>
        <w:tc>
          <w:tcPr>
            <w:tcW w:w="995" w:type="dxa"/>
            <w:tcBorders>
              <w:top w:val="nil"/>
              <w:left w:val="nil"/>
              <w:bottom w:val="single" w:sz="4" w:space="0" w:color="auto"/>
              <w:right w:val="single" w:sz="4" w:space="0" w:color="auto"/>
            </w:tcBorders>
            <w:noWrap/>
            <w:vAlign w:val="center"/>
            <w:hideMark/>
          </w:tcPr>
          <w:p w14:paraId="375FC8DA" w14:textId="77777777" w:rsidR="005A319E" w:rsidRPr="005A319E" w:rsidRDefault="005A319E" w:rsidP="005A319E">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5A319E">
              <w:rPr>
                <w:rFonts w:ascii="Times New Roman" w:eastAsia="Times New Roman" w:hAnsi="Times New Roman" w:cs="Times New Roman"/>
                <w:color w:val="000000"/>
                <w:kern w:val="0"/>
                <w:sz w:val="16"/>
                <w:szCs w:val="16"/>
                <w:lang w:eastAsia="en-IN"/>
                <w14:ligatures w14:val="none"/>
              </w:rPr>
              <w:t>11.53</w:t>
            </w:r>
          </w:p>
        </w:tc>
        <w:tc>
          <w:tcPr>
            <w:tcW w:w="916" w:type="dxa"/>
            <w:tcBorders>
              <w:top w:val="nil"/>
              <w:left w:val="nil"/>
              <w:bottom w:val="single" w:sz="4" w:space="0" w:color="auto"/>
              <w:right w:val="single" w:sz="4" w:space="0" w:color="auto"/>
            </w:tcBorders>
            <w:noWrap/>
            <w:vAlign w:val="center"/>
            <w:hideMark/>
          </w:tcPr>
          <w:p w14:paraId="70A93426" w14:textId="77777777" w:rsidR="005A319E" w:rsidRPr="005A319E" w:rsidRDefault="005A319E" w:rsidP="005A319E">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5A319E">
              <w:rPr>
                <w:rFonts w:ascii="Times New Roman" w:eastAsia="Times New Roman" w:hAnsi="Times New Roman" w:cs="Times New Roman"/>
                <w:color w:val="000000"/>
                <w:kern w:val="0"/>
                <w:sz w:val="16"/>
                <w:szCs w:val="16"/>
                <w:lang w:eastAsia="en-IN"/>
                <w14:ligatures w14:val="none"/>
              </w:rPr>
              <w:t>8.96*</w:t>
            </w:r>
          </w:p>
        </w:tc>
        <w:tc>
          <w:tcPr>
            <w:tcW w:w="865" w:type="dxa"/>
            <w:tcBorders>
              <w:top w:val="nil"/>
              <w:left w:val="nil"/>
              <w:bottom w:val="single" w:sz="4" w:space="0" w:color="auto"/>
              <w:right w:val="single" w:sz="4" w:space="0" w:color="auto"/>
            </w:tcBorders>
            <w:noWrap/>
            <w:vAlign w:val="center"/>
            <w:hideMark/>
          </w:tcPr>
          <w:p w14:paraId="264297A8" w14:textId="77777777" w:rsidR="005A319E" w:rsidRPr="005A319E" w:rsidRDefault="005A319E" w:rsidP="005A319E">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5A319E">
              <w:rPr>
                <w:rFonts w:ascii="Times New Roman" w:eastAsia="Times New Roman" w:hAnsi="Times New Roman" w:cs="Times New Roman"/>
                <w:color w:val="000000"/>
                <w:kern w:val="0"/>
                <w:sz w:val="16"/>
                <w:szCs w:val="16"/>
                <w:lang w:eastAsia="en-IN"/>
                <w14:ligatures w14:val="none"/>
              </w:rPr>
              <w:t>1.00</w:t>
            </w:r>
          </w:p>
        </w:tc>
        <w:tc>
          <w:tcPr>
            <w:tcW w:w="581" w:type="dxa"/>
            <w:tcBorders>
              <w:top w:val="nil"/>
              <w:left w:val="nil"/>
              <w:bottom w:val="single" w:sz="4" w:space="0" w:color="auto"/>
              <w:right w:val="single" w:sz="4" w:space="0" w:color="auto"/>
            </w:tcBorders>
            <w:noWrap/>
            <w:vAlign w:val="center"/>
            <w:hideMark/>
          </w:tcPr>
          <w:p w14:paraId="63C0D9A0" w14:textId="77777777" w:rsidR="005A319E" w:rsidRPr="005A319E" w:rsidRDefault="005A319E" w:rsidP="005A319E">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5A319E">
              <w:rPr>
                <w:rFonts w:ascii="Times New Roman" w:eastAsia="Times New Roman" w:hAnsi="Times New Roman" w:cs="Times New Roman"/>
                <w:color w:val="000000"/>
                <w:kern w:val="0"/>
                <w:sz w:val="16"/>
                <w:szCs w:val="16"/>
                <w:lang w:eastAsia="en-IN"/>
                <w14:ligatures w14:val="none"/>
              </w:rPr>
              <w:t>9.96</w:t>
            </w:r>
          </w:p>
        </w:tc>
      </w:tr>
      <w:tr w:rsidR="005A319E" w:rsidRPr="005A319E" w14:paraId="6018B425" w14:textId="77777777" w:rsidTr="003719C7">
        <w:trPr>
          <w:trHeight w:val="22"/>
          <w:jc w:val="center"/>
        </w:trPr>
        <w:tc>
          <w:tcPr>
            <w:tcW w:w="1842" w:type="dxa"/>
            <w:tcBorders>
              <w:top w:val="nil"/>
              <w:left w:val="single" w:sz="4" w:space="0" w:color="auto"/>
              <w:bottom w:val="single" w:sz="4" w:space="0" w:color="auto"/>
              <w:right w:val="single" w:sz="4" w:space="0" w:color="auto"/>
            </w:tcBorders>
            <w:noWrap/>
            <w:vAlign w:val="center"/>
            <w:hideMark/>
          </w:tcPr>
          <w:p w14:paraId="0D2707FF" w14:textId="77777777" w:rsidR="005A319E" w:rsidRPr="005A319E" w:rsidRDefault="005A319E" w:rsidP="005A319E">
            <w:pPr>
              <w:spacing w:after="0" w:line="240" w:lineRule="auto"/>
              <w:rPr>
                <w:rFonts w:ascii="Times New Roman" w:eastAsia="Times New Roman" w:hAnsi="Times New Roman" w:cs="Times New Roman"/>
                <w:color w:val="000000"/>
                <w:kern w:val="0"/>
                <w:sz w:val="16"/>
                <w:szCs w:val="16"/>
                <w:lang w:eastAsia="en-IN"/>
                <w14:ligatures w14:val="none"/>
              </w:rPr>
            </w:pPr>
            <w:r w:rsidRPr="005A319E">
              <w:rPr>
                <w:rFonts w:ascii="Times New Roman" w:eastAsia="Times New Roman" w:hAnsi="Times New Roman" w:cs="Times New Roman"/>
                <w:color w:val="000000"/>
                <w:kern w:val="0"/>
                <w:sz w:val="16"/>
                <w:szCs w:val="16"/>
                <w:lang w:eastAsia="en-IN"/>
                <w14:ligatures w14:val="none"/>
              </w:rPr>
              <w:t>10. Mysore</w:t>
            </w:r>
          </w:p>
        </w:tc>
        <w:tc>
          <w:tcPr>
            <w:tcW w:w="851" w:type="dxa"/>
            <w:tcBorders>
              <w:top w:val="nil"/>
              <w:left w:val="nil"/>
              <w:bottom w:val="single" w:sz="4" w:space="0" w:color="auto"/>
              <w:right w:val="single" w:sz="4" w:space="0" w:color="auto"/>
            </w:tcBorders>
            <w:noWrap/>
            <w:vAlign w:val="center"/>
            <w:hideMark/>
          </w:tcPr>
          <w:p w14:paraId="2D6A66BA" w14:textId="77777777" w:rsidR="005A319E" w:rsidRPr="005A319E" w:rsidRDefault="005A319E" w:rsidP="005A319E">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5A319E">
              <w:rPr>
                <w:rFonts w:ascii="Times New Roman" w:eastAsia="Times New Roman" w:hAnsi="Times New Roman" w:cs="Times New Roman"/>
                <w:color w:val="000000"/>
                <w:kern w:val="0"/>
                <w:sz w:val="16"/>
                <w:szCs w:val="16"/>
                <w:lang w:eastAsia="en-IN"/>
                <w14:ligatures w14:val="none"/>
              </w:rPr>
              <w:t>10.00</w:t>
            </w:r>
          </w:p>
        </w:tc>
        <w:tc>
          <w:tcPr>
            <w:tcW w:w="992" w:type="dxa"/>
            <w:tcBorders>
              <w:top w:val="nil"/>
              <w:left w:val="nil"/>
              <w:bottom w:val="single" w:sz="4" w:space="0" w:color="auto"/>
              <w:right w:val="single" w:sz="4" w:space="0" w:color="auto"/>
            </w:tcBorders>
            <w:noWrap/>
            <w:vAlign w:val="center"/>
            <w:hideMark/>
          </w:tcPr>
          <w:p w14:paraId="65F3C409" w14:textId="77777777" w:rsidR="005A319E" w:rsidRPr="005A319E" w:rsidRDefault="005A319E" w:rsidP="005A319E">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5A319E">
              <w:rPr>
                <w:rFonts w:ascii="Times New Roman" w:eastAsia="Times New Roman" w:hAnsi="Times New Roman" w:cs="Times New Roman"/>
                <w:color w:val="000000"/>
                <w:kern w:val="0"/>
                <w:sz w:val="16"/>
                <w:szCs w:val="16"/>
                <w:lang w:eastAsia="en-IN"/>
                <w14:ligatures w14:val="none"/>
              </w:rPr>
              <w:t>1.00</w:t>
            </w:r>
          </w:p>
        </w:tc>
        <w:tc>
          <w:tcPr>
            <w:tcW w:w="581" w:type="dxa"/>
            <w:tcBorders>
              <w:top w:val="nil"/>
              <w:left w:val="nil"/>
              <w:bottom w:val="single" w:sz="4" w:space="0" w:color="auto"/>
              <w:right w:val="single" w:sz="4" w:space="0" w:color="auto"/>
            </w:tcBorders>
            <w:noWrap/>
            <w:vAlign w:val="center"/>
            <w:hideMark/>
          </w:tcPr>
          <w:p w14:paraId="53B47EA3" w14:textId="77777777" w:rsidR="005A319E" w:rsidRPr="005A319E" w:rsidRDefault="005A319E" w:rsidP="005A319E">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5A319E">
              <w:rPr>
                <w:rFonts w:ascii="Times New Roman" w:eastAsia="Times New Roman" w:hAnsi="Times New Roman" w:cs="Times New Roman"/>
                <w:color w:val="000000"/>
                <w:kern w:val="0"/>
                <w:sz w:val="16"/>
                <w:szCs w:val="16"/>
                <w:lang w:eastAsia="en-IN"/>
                <w14:ligatures w14:val="none"/>
              </w:rPr>
              <w:t>11.00</w:t>
            </w:r>
          </w:p>
        </w:tc>
        <w:tc>
          <w:tcPr>
            <w:tcW w:w="992" w:type="dxa"/>
            <w:tcBorders>
              <w:top w:val="nil"/>
              <w:left w:val="nil"/>
              <w:bottom w:val="single" w:sz="4" w:space="0" w:color="auto"/>
              <w:right w:val="single" w:sz="4" w:space="0" w:color="auto"/>
            </w:tcBorders>
            <w:noWrap/>
            <w:vAlign w:val="center"/>
            <w:hideMark/>
          </w:tcPr>
          <w:p w14:paraId="4E6B063C" w14:textId="77777777" w:rsidR="005A319E" w:rsidRPr="005A319E" w:rsidRDefault="005A319E" w:rsidP="005A319E">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5A319E">
              <w:rPr>
                <w:rFonts w:ascii="Times New Roman" w:eastAsia="Times New Roman" w:hAnsi="Times New Roman" w:cs="Times New Roman"/>
                <w:color w:val="000000"/>
                <w:kern w:val="0"/>
                <w:sz w:val="16"/>
                <w:szCs w:val="16"/>
                <w:lang w:eastAsia="en-IN"/>
                <w14:ligatures w14:val="none"/>
              </w:rPr>
              <w:t>10.00</w:t>
            </w:r>
          </w:p>
        </w:tc>
        <w:tc>
          <w:tcPr>
            <w:tcW w:w="865" w:type="dxa"/>
            <w:tcBorders>
              <w:top w:val="nil"/>
              <w:left w:val="nil"/>
              <w:bottom w:val="single" w:sz="4" w:space="0" w:color="auto"/>
              <w:right w:val="single" w:sz="4" w:space="0" w:color="auto"/>
            </w:tcBorders>
            <w:noWrap/>
            <w:vAlign w:val="center"/>
            <w:hideMark/>
          </w:tcPr>
          <w:p w14:paraId="7ADB0F86" w14:textId="77777777" w:rsidR="005A319E" w:rsidRPr="005A319E" w:rsidRDefault="005A319E" w:rsidP="005A319E">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5A319E">
              <w:rPr>
                <w:rFonts w:ascii="Times New Roman" w:eastAsia="Times New Roman" w:hAnsi="Times New Roman" w:cs="Times New Roman"/>
                <w:color w:val="000000"/>
                <w:kern w:val="0"/>
                <w:sz w:val="16"/>
                <w:szCs w:val="16"/>
                <w:lang w:eastAsia="en-IN"/>
                <w14:ligatures w14:val="none"/>
              </w:rPr>
              <w:t>3.00</w:t>
            </w:r>
          </w:p>
        </w:tc>
        <w:tc>
          <w:tcPr>
            <w:tcW w:w="709" w:type="dxa"/>
            <w:tcBorders>
              <w:top w:val="nil"/>
              <w:left w:val="nil"/>
              <w:bottom w:val="single" w:sz="4" w:space="0" w:color="auto"/>
              <w:right w:val="single" w:sz="4" w:space="0" w:color="auto"/>
            </w:tcBorders>
            <w:noWrap/>
            <w:vAlign w:val="center"/>
            <w:hideMark/>
          </w:tcPr>
          <w:p w14:paraId="40EF7ED1" w14:textId="77777777" w:rsidR="005A319E" w:rsidRPr="005A319E" w:rsidRDefault="005A319E" w:rsidP="005A319E">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5A319E">
              <w:rPr>
                <w:rFonts w:ascii="Times New Roman" w:eastAsia="Times New Roman" w:hAnsi="Times New Roman" w:cs="Times New Roman"/>
                <w:color w:val="000000"/>
                <w:kern w:val="0"/>
                <w:sz w:val="16"/>
                <w:szCs w:val="16"/>
                <w:lang w:eastAsia="en-IN"/>
                <w14:ligatures w14:val="none"/>
              </w:rPr>
              <w:t>13.00</w:t>
            </w:r>
          </w:p>
        </w:tc>
        <w:tc>
          <w:tcPr>
            <w:tcW w:w="708" w:type="dxa"/>
            <w:tcBorders>
              <w:top w:val="nil"/>
              <w:left w:val="nil"/>
              <w:bottom w:val="single" w:sz="4" w:space="0" w:color="auto"/>
              <w:right w:val="single" w:sz="4" w:space="0" w:color="auto"/>
            </w:tcBorders>
            <w:noWrap/>
            <w:vAlign w:val="center"/>
            <w:hideMark/>
          </w:tcPr>
          <w:p w14:paraId="3EE0EA92" w14:textId="77777777" w:rsidR="005A319E" w:rsidRPr="005A319E" w:rsidRDefault="005A319E" w:rsidP="005A319E">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5A319E">
              <w:rPr>
                <w:rFonts w:ascii="Times New Roman" w:eastAsia="Times New Roman" w:hAnsi="Times New Roman" w:cs="Times New Roman"/>
                <w:color w:val="000000"/>
                <w:kern w:val="0"/>
                <w:sz w:val="16"/>
                <w:szCs w:val="16"/>
                <w:lang w:eastAsia="en-IN"/>
                <w14:ligatures w14:val="none"/>
              </w:rPr>
              <w:t>9.45</w:t>
            </w:r>
          </w:p>
        </w:tc>
        <w:tc>
          <w:tcPr>
            <w:tcW w:w="865" w:type="dxa"/>
            <w:tcBorders>
              <w:top w:val="nil"/>
              <w:left w:val="nil"/>
              <w:bottom w:val="single" w:sz="4" w:space="0" w:color="auto"/>
              <w:right w:val="single" w:sz="4" w:space="0" w:color="auto"/>
            </w:tcBorders>
            <w:noWrap/>
            <w:vAlign w:val="center"/>
            <w:hideMark/>
          </w:tcPr>
          <w:p w14:paraId="5593CA4A" w14:textId="77777777" w:rsidR="005A319E" w:rsidRPr="005A319E" w:rsidRDefault="005A319E" w:rsidP="005A319E">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5A319E">
              <w:rPr>
                <w:rFonts w:ascii="Times New Roman" w:eastAsia="Times New Roman" w:hAnsi="Times New Roman" w:cs="Times New Roman"/>
                <w:color w:val="000000"/>
                <w:kern w:val="0"/>
                <w:sz w:val="16"/>
                <w:szCs w:val="16"/>
                <w:lang w:eastAsia="en-IN"/>
                <w14:ligatures w14:val="none"/>
              </w:rPr>
              <w:t>3.00</w:t>
            </w:r>
          </w:p>
        </w:tc>
        <w:tc>
          <w:tcPr>
            <w:tcW w:w="581" w:type="dxa"/>
            <w:tcBorders>
              <w:top w:val="nil"/>
              <w:left w:val="nil"/>
              <w:bottom w:val="single" w:sz="4" w:space="0" w:color="auto"/>
              <w:right w:val="single" w:sz="4" w:space="0" w:color="auto"/>
            </w:tcBorders>
            <w:noWrap/>
            <w:vAlign w:val="center"/>
            <w:hideMark/>
          </w:tcPr>
          <w:p w14:paraId="21C45E43" w14:textId="77777777" w:rsidR="005A319E" w:rsidRPr="005A319E" w:rsidRDefault="005A319E" w:rsidP="005A319E">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5A319E">
              <w:rPr>
                <w:rFonts w:ascii="Times New Roman" w:eastAsia="Times New Roman" w:hAnsi="Times New Roman" w:cs="Times New Roman"/>
                <w:color w:val="000000"/>
                <w:kern w:val="0"/>
                <w:sz w:val="16"/>
                <w:szCs w:val="16"/>
                <w:lang w:eastAsia="en-IN"/>
                <w14:ligatures w14:val="none"/>
              </w:rPr>
              <w:t>12.45</w:t>
            </w:r>
          </w:p>
        </w:tc>
        <w:tc>
          <w:tcPr>
            <w:tcW w:w="1004" w:type="dxa"/>
            <w:tcBorders>
              <w:top w:val="nil"/>
              <w:left w:val="nil"/>
              <w:bottom w:val="single" w:sz="4" w:space="0" w:color="auto"/>
              <w:right w:val="single" w:sz="4" w:space="0" w:color="auto"/>
            </w:tcBorders>
            <w:noWrap/>
            <w:vAlign w:val="center"/>
            <w:hideMark/>
          </w:tcPr>
          <w:p w14:paraId="056100F7" w14:textId="77777777" w:rsidR="005A319E" w:rsidRPr="003719C7" w:rsidRDefault="005A319E" w:rsidP="005A319E">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3719C7">
              <w:rPr>
                <w:rFonts w:ascii="Times New Roman" w:eastAsia="Times New Roman" w:hAnsi="Times New Roman" w:cs="Times New Roman"/>
                <w:color w:val="000000"/>
                <w:kern w:val="0"/>
                <w:sz w:val="16"/>
                <w:szCs w:val="16"/>
                <w:lang w:eastAsia="en-IN"/>
                <w14:ligatures w14:val="none"/>
              </w:rPr>
              <w:t>7.03</w:t>
            </w:r>
          </w:p>
        </w:tc>
        <w:tc>
          <w:tcPr>
            <w:tcW w:w="865" w:type="dxa"/>
            <w:tcBorders>
              <w:top w:val="nil"/>
              <w:left w:val="nil"/>
              <w:bottom w:val="single" w:sz="4" w:space="0" w:color="auto"/>
              <w:right w:val="single" w:sz="4" w:space="0" w:color="auto"/>
            </w:tcBorders>
            <w:noWrap/>
            <w:vAlign w:val="center"/>
            <w:hideMark/>
          </w:tcPr>
          <w:p w14:paraId="756EC849" w14:textId="77777777" w:rsidR="005A319E" w:rsidRPr="003719C7" w:rsidRDefault="005A319E" w:rsidP="005A319E">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3719C7">
              <w:rPr>
                <w:rFonts w:ascii="Times New Roman" w:eastAsia="Times New Roman" w:hAnsi="Times New Roman" w:cs="Times New Roman"/>
                <w:color w:val="000000"/>
                <w:kern w:val="0"/>
                <w:sz w:val="16"/>
                <w:szCs w:val="16"/>
                <w:lang w:eastAsia="en-IN"/>
                <w14:ligatures w14:val="none"/>
              </w:rPr>
              <w:t>1.50</w:t>
            </w:r>
          </w:p>
        </w:tc>
        <w:tc>
          <w:tcPr>
            <w:tcW w:w="995" w:type="dxa"/>
            <w:tcBorders>
              <w:top w:val="nil"/>
              <w:left w:val="nil"/>
              <w:bottom w:val="single" w:sz="4" w:space="0" w:color="auto"/>
              <w:right w:val="single" w:sz="4" w:space="0" w:color="auto"/>
            </w:tcBorders>
            <w:noWrap/>
            <w:vAlign w:val="center"/>
            <w:hideMark/>
          </w:tcPr>
          <w:p w14:paraId="3606A071" w14:textId="77777777" w:rsidR="005A319E" w:rsidRPr="003719C7" w:rsidRDefault="005A319E" w:rsidP="005A319E">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3719C7">
              <w:rPr>
                <w:rFonts w:ascii="Times New Roman" w:eastAsia="Times New Roman" w:hAnsi="Times New Roman" w:cs="Times New Roman"/>
                <w:color w:val="000000"/>
                <w:kern w:val="0"/>
                <w:sz w:val="16"/>
                <w:szCs w:val="16"/>
                <w:lang w:eastAsia="en-IN"/>
                <w14:ligatures w14:val="none"/>
              </w:rPr>
              <w:t>8.53</w:t>
            </w:r>
          </w:p>
        </w:tc>
        <w:tc>
          <w:tcPr>
            <w:tcW w:w="916" w:type="dxa"/>
            <w:tcBorders>
              <w:top w:val="nil"/>
              <w:left w:val="nil"/>
              <w:bottom w:val="single" w:sz="4" w:space="0" w:color="auto"/>
              <w:right w:val="single" w:sz="4" w:space="0" w:color="auto"/>
            </w:tcBorders>
            <w:noWrap/>
            <w:vAlign w:val="center"/>
            <w:hideMark/>
          </w:tcPr>
          <w:p w14:paraId="3745D5B6" w14:textId="77777777" w:rsidR="005A319E" w:rsidRPr="003719C7" w:rsidRDefault="005A319E" w:rsidP="005A319E">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3719C7">
              <w:rPr>
                <w:rFonts w:ascii="Times New Roman" w:eastAsia="Times New Roman" w:hAnsi="Times New Roman" w:cs="Times New Roman"/>
                <w:color w:val="000000"/>
                <w:kern w:val="0"/>
                <w:sz w:val="16"/>
                <w:szCs w:val="16"/>
                <w:lang w:eastAsia="en-IN"/>
                <w14:ligatures w14:val="none"/>
              </w:rPr>
              <w:t>5.96</w:t>
            </w:r>
          </w:p>
        </w:tc>
        <w:tc>
          <w:tcPr>
            <w:tcW w:w="865" w:type="dxa"/>
            <w:tcBorders>
              <w:top w:val="nil"/>
              <w:left w:val="nil"/>
              <w:bottom w:val="single" w:sz="4" w:space="0" w:color="auto"/>
              <w:right w:val="single" w:sz="4" w:space="0" w:color="auto"/>
            </w:tcBorders>
            <w:noWrap/>
            <w:vAlign w:val="center"/>
            <w:hideMark/>
          </w:tcPr>
          <w:p w14:paraId="0D24659C" w14:textId="77777777" w:rsidR="005A319E" w:rsidRPr="003719C7" w:rsidRDefault="005A319E" w:rsidP="005A319E">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3719C7">
              <w:rPr>
                <w:rFonts w:ascii="Times New Roman" w:eastAsia="Times New Roman" w:hAnsi="Times New Roman" w:cs="Times New Roman"/>
                <w:color w:val="000000"/>
                <w:kern w:val="0"/>
                <w:sz w:val="16"/>
                <w:szCs w:val="16"/>
                <w:lang w:eastAsia="en-IN"/>
                <w14:ligatures w14:val="none"/>
              </w:rPr>
              <w:t>1.50</w:t>
            </w:r>
          </w:p>
        </w:tc>
        <w:tc>
          <w:tcPr>
            <w:tcW w:w="581" w:type="dxa"/>
            <w:tcBorders>
              <w:top w:val="nil"/>
              <w:left w:val="nil"/>
              <w:bottom w:val="single" w:sz="4" w:space="0" w:color="auto"/>
              <w:right w:val="single" w:sz="4" w:space="0" w:color="auto"/>
            </w:tcBorders>
            <w:noWrap/>
            <w:vAlign w:val="center"/>
            <w:hideMark/>
          </w:tcPr>
          <w:p w14:paraId="485AD7E1" w14:textId="77777777" w:rsidR="005A319E" w:rsidRPr="003719C7" w:rsidRDefault="005A319E" w:rsidP="005A319E">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3719C7">
              <w:rPr>
                <w:rFonts w:ascii="Times New Roman" w:eastAsia="Times New Roman" w:hAnsi="Times New Roman" w:cs="Times New Roman"/>
                <w:color w:val="000000"/>
                <w:kern w:val="0"/>
                <w:sz w:val="16"/>
                <w:szCs w:val="16"/>
                <w:lang w:eastAsia="en-IN"/>
                <w14:ligatures w14:val="none"/>
              </w:rPr>
              <w:t>7.46</w:t>
            </w:r>
          </w:p>
        </w:tc>
      </w:tr>
      <w:tr w:rsidR="005A319E" w:rsidRPr="005A319E" w14:paraId="70D8583C" w14:textId="77777777" w:rsidTr="00D67840">
        <w:trPr>
          <w:trHeight w:val="22"/>
          <w:jc w:val="center"/>
        </w:trPr>
        <w:tc>
          <w:tcPr>
            <w:tcW w:w="1842" w:type="dxa"/>
            <w:tcBorders>
              <w:top w:val="nil"/>
              <w:left w:val="single" w:sz="4" w:space="0" w:color="auto"/>
              <w:bottom w:val="single" w:sz="4" w:space="0" w:color="auto"/>
              <w:right w:val="single" w:sz="4" w:space="0" w:color="auto"/>
            </w:tcBorders>
            <w:noWrap/>
            <w:vAlign w:val="center"/>
            <w:hideMark/>
          </w:tcPr>
          <w:p w14:paraId="2EC3CE60" w14:textId="77777777" w:rsidR="005A319E" w:rsidRPr="005A319E" w:rsidRDefault="005A319E" w:rsidP="005A319E">
            <w:pPr>
              <w:spacing w:after="0" w:line="240" w:lineRule="auto"/>
              <w:rPr>
                <w:rFonts w:ascii="Times New Roman" w:eastAsia="Times New Roman" w:hAnsi="Times New Roman" w:cs="Times New Roman"/>
                <w:color w:val="000000"/>
                <w:kern w:val="0"/>
                <w:sz w:val="16"/>
                <w:szCs w:val="16"/>
                <w:lang w:eastAsia="en-IN"/>
                <w14:ligatures w14:val="none"/>
              </w:rPr>
            </w:pPr>
            <w:r w:rsidRPr="005A319E">
              <w:rPr>
                <w:rFonts w:ascii="Times New Roman" w:eastAsia="Times New Roman" w:hAnsi="Times New Roman" w:cs="Times New Roman"/>
                <w:color w:val="000000"/>
                <w:kern w:val="0"/>
                <w:sz w:val="16"/>
                <w:szCs w:val="16"/>
                <w:lang w:eastAsia="en-IN"/>
                <w14:ligatures w14:val="none"/>
              </w:rPr>
              <w:t>11. Nagaland:</w:t>
            </w:r>
          </w:p>
        </w:tc>
        <w:tc>
          <w:tcPr>
            <w:tcW w:w="851" w:type="dxa"/>
            <w:tcBorders>
              <w:top w:val="nil"/>
              <w:left w:val="nil"/>
              <w:bottom w:val="single" w:sz="4" w:space="0" w:color="auto"/>
              <w:right w:val="single" w:sz="4" w:space="0" w:color="auto"/>
            </w:tcBorders>
            <w:noWrap/>
            <w:vAlign w:val="center"/>
            <w:hideMark/>
          </w:tcPr>
          <w:p w14:paraId="28D11809" w14:textId="77777777" w:rsidR="005A319E" w:rsidRPr="005A319E" w:rsidRDefault="005A319E" w:rsidP="005A319E">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5A319E">
              <w:rPr>
                <w:rFonts w:ascii="Times New Roman" w:eastAsia="Times New Roman" w:hAnsi="Times New Roman" w:cs="Times New Roman"/>
                <w:color w:val="000000"/>
                <w:kern w:val="0"/>
                <w:sz w:val="16"/>
                <w:szCs w:val="16"/>
                <w:lang w:eastAsia="en-IN"/>
                <w14:ligatures w14:val="none"/>
              </w:rPr>
              <w:t> </w:t>
            </w:r>
          </w:p>
        </w:tc>
        <w:tc>
          <w:tcPr>
            <w:tcW w:w="992" w:type="dxa"/>
            <w:tcBorders>
              <w:top w:val="nil"/>
              <w:left w:val="nil"/>
              <w:bottom w:val="single" w:sz="4" w:space="0" w:color="auto"/>
              <w:right w:val="single" w:sz="4" w:space="0" w:color="auto"/>
            </w:tcBorders>
            <w:noWrap/>
            <w:vAlign w:val="center"/>
            <w:hideMark/>
          </w:tcPr>
          <w:p w14:paraId="7893DEF8" w14:textId="77777777" w:rsidR="005A319E" w:rsidRPr="005A319E" w:rsidRDefault="005A319E" w:rsidP="005A319E">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5A319E">
              <w:rPr>
                <w:rFonts w:ascii="Times New Roman" w:eastAsia="Times New Roman" w:hAnsi="Times New Roman" w:cs="Times New Roman"/>
                <w:color w:val="000000"/>
                <w:kern w:val="0"/>
                <w:sz w:val="16"/>
                <w:szCs w:val="16"/>
                <w:lang w:eastAsia="en-IN"/>
                <w14:ligatures w14:val="none"/>
              </w:rPr>
              <w:t> </w:t>
            </w:r>
          </w:p>
        </w:tc>
        <w:tc>
          <w:tcPr>
            <w:tcW w:w="581" w:type="dxa"/>
            <w:tcBorders>
              <w:top w:val="nil"/>
              <w:left w:val="nil"/>
              <w:bottom w:val="single" w:sz="4" w:space="0" w:color="auto"/>
              <w:right w:val="single" w:sz="4" w:space="0" w:color="auto"/>
            </w:tcBorders>
            <w:noWrap/>
            <w:vAlign w:val="center"/>
            <w:hideMark/>
          </w:tcPr>
          <w:p w14:paraId="5BDDB7CB" w14:textId="77777777" w:rsidR="005A319E" w:rsidRPr="005A319E" w:rsidRDefault="005A319E" w:rsidP="005A319E">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5A319E">
              <w:rPr>
                <w:rFonts w:ascii="Times New Roman" w:eastAsia="Times New Roman" w:hAnsi="Times New Roman" w:cs="Times New Roman"/>
                <w:color w:val="000000"/>
                <w:kern w:val="0"/>
                <w:sz w:val="16"/>
                <w:szCs w:val="16"/>
                <w:lang w:eastAsia="en-IN"/>
                <w14:ligatures w14:val="none"/>
              </w:rPr>
              <w:t> </w:t>
            </w:r>
          </w:p>
        </w:tc>
        <w:tc>
          <w:tcPr>
            <w:tcW w:w="992" w:type="dxa"/>
            <w:tcBorders>
              <w:top w:val="nil"/>
              <w:left w:val="nil"/>
              <w:bottom w:val="single" w:sz="4" w:space="0" w:color="auto"/>
              <w:right w:val="single" w:sz="4" w:space="0" w:color="auto"/>
            </w:tcBorders>
            <w:noWrap/>
            <w:vAlign w:val="center"/>
            <w:hideMark/>
          </w:tcPr>
          <w:p w14:paraId="63E0CF92" w14:textId="77777777" w:rsidR="005A319E" w:rsidRPr="005A319E" w:rsidRDefault="005A319E" w:rsidP="005A319E">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5A319E">
              <w:rPr>
                <w:rFonts w:ascii="Times New Roman" w:eastAsia="Times New Roman" w:hAnsi="Times New Roman" w:cs="Times New Roman"/>
                <w:color w:val="000000"/>
                <w:kern w:val="0"/>
                <w:sz w:val="16"/>
                <w:szCs w:val="16"/>
                <w:lang w:eastAsia="en-IN"/>
                <w14:ligatures w14:val="none"/>
              </w:rPr>
              <w:t> </w:t>
            </w:r>
          </w:p>
        </w:tc>
        <w:tc>
          <w:tcPr>
            <w:tcW w:w="865" w:type="dxa"/>
            <w:tcBorders>
              <w:top w:val="nil"/>
              <w:left w:val="nil"/>
              <w:bottom w:val="single" w:sz="4" w:space="0" w:color="auto"/>
              <w:right w:val="single" w:sz="4" w:space="0" w:color="auto"/>
            </w:tcBorders>
            <w:noWrap/>
            <w:vAlign w:val="center"/>
            <w:hideMark/>
          </w:tcPr>
          <w:p w14:paraId="4287F24D" w14:textId="77777777" w:rsidR="005A319E" w:rsidRPr="005A319E" w:rsidRDefault="005A319E" w:rsidP="005A319E">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5A319E">
              <w:rPr>
                <w:rFonts w:ascii="Times New Roman" w:eastAsia="Times New Roman" w:hAnsi="Times New Roman" w:cs="Times New Roman"/>
                <w:color w:val="000000"/>
                <w:kern w:val="0"/>
                <w:sz w:val="16"/>
                <w:szCs w:val="16"/>
                <w:lang w:eastAsia="en-IN"/>
                <w14:ligatures w14:val="none"/>
              </w:rPr>
              <w:t> </w:t>
            </w:r>
          </w:p>
        </w:tc>
        <w:tc>
          <w:tcPr>
            <w:tcW w:w="709" w:type="dxa"/>
            <w:tcBorders>
              <w:top w:val="nil"/>
              <w:left w:val="nil"/>
              <w:bottom w:val="single" w:sz="4" w:space="0" w:color="auto"/>
              <w:right w:val="single" w:sz="4" w:space="0" w:color="auto"/>
            </w:tcBorders>
            <w:noWrap/>
            <w:vAlign w:val="center"/>
            <w:hideMark/>
          </w:tcPr>
          <w:p w14:paraId="74673AC7" w14:textId="77777777" w:rsidR="005A319E" w:rsidRPr="005A319E" w:rsidRDefault="005A319E" w:rsidP="005A319E">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5A319E">
              <w:rPr>
                <w:rFonts w:ascii="Times New Roman" w:eastAsia="Times New Roman" w:hAnsi="Times New Roman" w:cs="Times New Roman"/>
                <w:color w:val="000000"/>
                <w:kern w:val="0"/>
                <w:sz w:val="16"/>
                <w:szCs w:val="16"/>
                <w:lang w:eastAsia="en-IN"/>
                <w14:ligatures w14:val="none"/>
              </w:rPr>
              <w:t> </w:t>
            </w:r>
          </w:p>
        </w:tc>
        <w:tc>
          <w:tcPr>
            <w:tcW w:w="708" w:type="dxa"/>
            <w:tcBorders>
              <w:top w:val="nil"/>
              <w:left w:val="nil"/>
              <w:bottom w:val="single" w:sz="4" w:space="0" w:color="auto"/>
              <w:right w:val="single" w:sz="4" w:space="0" w:color="auto"/>
            </w:tcBorders>
            <w:noWrap/>
            <w:vAlign w:val="center"/>
            <w:hideMark/>
          </w:tcPr>
          <w:p w14:paraId="3746D715" w14:textId="77777777" w:rsidR="005A319E" w:rsidRPr="005A319E" w:rsidRDefault="005A319E" w:rsidP="005A319E">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5A319E">
              <w:rPr>
                <w:rFonts w:ascii="Times New Roman" w:eastAsia="Times New Roman" w:hAnsi="Times New Roman" w:cs="Times New Roman"/>
                <w:color w:val="000000"/>
                <w:kern w:val="0"/>
                <w:sz w:val="16"/>
                <w:szCs w:val="16"/>
                <w:lang w:eastAsia="en-IN"/>
                <w14:ligatures w14:val="none"/>
              </w:rPr>
              <w:t> </w:t>
            </w:r>
          </w:p>
        </w:tc>
        <w:tc>
          <w:tcPr>
            <w:tcW w:w="865" w:type="dxa"/>
            <w:tcBorders>
              <w:top w:val="nil"/>
              <w:left w:val="nil"/>
              <w:bottom w:val="single" w:sz="4" w:space="0" w:color="auto"/>
              <w:right w:val="single" w:sz="4" w:space="0" w:color="auto"/>
            </w:tcBorders>
            <w:noWrap/>
            <w:vAlign w:val="center"/>
            <w:hideMark/>
          </w:tcPr>
          <w:p w14:paraId="33B624F5" w14:textId="77777777" w:rsidR="005A319E" w:rsidRPr="005A319E" w:rsidRDefault="005A319E" w:rsidP="005A319E">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5A319E">
              <w:rPr>
                <w:rFonts w:ascii="Times New Roman" w:eastAsia="Times New Roman" w:hAnsi="Times New Roman" w:cs="Times New Roman"/>
                <w:color w:val="000000"/>
                <w:kern w:val="0"/>
                <w:sz w:val="16"/>
                <w:szCs w:val="16"/>
                <w:lang w:eastAsia="en-IN"/>
                <w14:ligatures w14:val="none"/>
              </w:rPr>
              <w:t> </w:t>
            </w:r>
          </w:p>
        </w:tc>
        <w:tc>
          <w:tcPr>
            <w:tcW w:w="581" w:type="dxa"/>
            <w:tcBorders>
              <w:top w:val="nil"/>
              <w:left w:val="nil"/>
              <w:bottom w:val="single" w:sz="4" w:space="0" w:color="auto"/>
              <w:right w:val="single" w:sz="4" w:space="0" w:color="auto"/>
            </w:tcBorders>
            <w:noWrap/>
            <w:vAlign w:val="center"/>
            <w:hideMark/>
          </w:tcPr>
          <w:p w14:paraId="6DB4AD28" w14:textId="77777777" w:rsidR="005A319E" w:rsidRPr="005A319E" w:rsidRDefault="005A319E" w:rsidP="005A319E">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5A319E">
              <w:rPr>
                <w:rFonts w:ascii="Times New Roman" w:eastAsia="Times New Roman" w:hAnsi="Times New Roman" w:cs="Times New Roman"/>
                <w:color w:val="000000"/>
                <w:kern w:val="0"/>
                <w:sz w:val="16"/>
                <w:szCs w:val="16"/>
                <w:lang w:eastAsia="en-IN"/>
                <w14:ligatures w14:val="none"/>
              </w:rPr>
              <w:t> </w:t>
            </w:r>
          </w:p>
        </w:tc>
        <w:tc>
          <w:tcPr>
            <w:tcW w:w="1004" w:type="dxa"/>
            <w:tcBorders>
              <w:top w:val="nil"/>
              <w:left w:val="nil"/>
              <w:bottom w:val="single" w:sz="4" w:space="0" w:color="auto"/>
              <w:right w:val="single" w:sz="4" w:space="0" w:color="auto"/>
            </w:tcBorders>
            <w:noWrap/>
            <w:vAlign w:val="center"/>
            <w:hideMark/>
          </w:tcPr>
          <w:p w14:paraId="4763D5C9" w14:textId="77777777" w:rsidR="005A319E" w:rsidRPr="005A319E" w:rsidRDefault="005A319E" w:rsidP="005A319E">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5A319E">
              <w:rPr>
                <w:rFonts w:ascii="Times New Roman" w:eastAsia="Times New Roman" w:hAnsi="Times New Roman" w:cs="Times New Roman"/>
                <w:color w:val="000000"/>
                <w:kern w:val="0"/>
                <w:sz w:val="16"/>
                <w:szCs w:val="16"/>
                <w:lang w:eastAsia="en-IN"/>
                <w14:ligatures w14:val="none"/>
              </w:rPr>
              <w:t> </w:t>
            </w:r>
          </w:p>
        </w:tc>
        <w:tc>
          <w:tcPr>
            <w:tcW w:w="865" w:type="dxa"/>
            <w:tcBorders>
              <w:top w:val="nil"/>
              <w:left w:val="nil"/>
              <w:bottom w:val="single" w:sz="4" w:space="0" w:color="auto"/>
              <w:right w:val="single" w:sz="4" w:space="0" w:color="auto"/>
            </w:tcBorders>
            <w:noWrap/>
            <w:vAlign w:val="center"/>
            <w:hideMark/>
          </w:tcPr>
          <w:p w14:paraId="5C0D5C68" w14:textId="77777777" w:rsidR="005A319E" w:rsidRPr="005A319E" w:rsidRDefault="005A319E" w:rsidP="005A319E">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5A319E">
              <w:rPr>
                <w:rFonts w:ascii="Times New Roman" w:eastAsia="Times New Roman" w:hAnsi="Times New Roman" w:cs="Times New Roman"/>
                <w:color w:val="000000"/>
                <w:kern w:val="0"/>
                <w:sz w:val="16"/>
                <w:szCs w:val="16"/>
                <w:lang w:eastAsia="en-IN"/>
                <w14:ligatures w14:val="none"/>
              </w:rPr>
              <w:t> </w:t>
            </w:r>
          </w:p>
        </w:tc>
        <w:tc>
          <w:tcPr>
            <w:tcW w:w="995" w:type="dxa"/>
            <w:tcBorders>
              <w:top w:val="nil"/>
              <w:left w:val="nil"/>
              <w:bottom w:val="single" w:sz="4" w:space="0" w:color="auto"/>
              <w:right w:val="single" w:sz="4" w:space="0" w:color="auto"/>
            </w:tcBorders>
            <w:noWrap/>
            <w:vAlign w:val="center"/>
            <w:hideMark/>
          </w:tcPr>
          <w:p w14:paraId="079EDA33" w14:textId="77777777" w:rsidR="005A319E" w:rsidRPr="005A319E" w:rsidRDefault="005A319E" w:rsidP="005A319E">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5A319E">
              <w:rPr>
                <w:rFonts w:ascii="Times New Roman" w:eastAsia="Times New Roman" w:hAnsi="Times New Roman" w:cs="Times New Roman"/>
                <w:color w:val="000000"/>
                <w:kern w:val="0"/>
                <w:sz w:val="16"/>
                <w:szCs w:val="16"/>
                <w:lang w:eastAsia="en-IN"/>
                <w14:ligatures w14:val="none"/>
              </w:rPr>
              <w:t> </w:t>
            </w:r>
          </w:p>
        </w:tc>
        <w:tc>
          <w:tcPr>
            <w:tcW w:w="916" w:type="dxa"/>
            <w:tcBorders>
              <w:top w:val="nil"/>
              <w:left w:val="nil"/>
              <w:bottom w:val="single" w:sz="4" w:space="0" w:color="auto"/>
              <w:right w:val="single" w:sz="4" w:space="0" w:color="auto"/>
            </w:tcBorders>
            <w:noWrap/>
            <w:vAlign w:val="center"/>
            <w:hideMark/>
          </w:tcPr>
          <w:p w14:paraId="742596E3" w14:textId="77777777" w:rsidR="005A319E" w:rsidRPr="005A319E" w:rsidRDefault="005A319E" w:rsidP="005A319E">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5A319E">
              <w:rPr>
                <w:rFonts w:ascii="Times New Roman" w:eastAsia="Times New Roman" w:hAnsi="Times New Roman" w:cs="Times New Roman"/>
                <w:color w:val="000000"/>
                <w:kern w:val="0"/>
                <w:sz w:val="16"/>
                <w:szCs w:val="16"/>
                <w:lang w:eastAsia="en-IN"/>
                <w14:ligatures w14:val="none"/>
              </w:rPr>
              <w:t> </w:t>
            </w:r>
          </w:p>
        </w:tc>
        <w:tc>
          <w:tcPr>
            <w:tcW w:w="865" w:type="dxa"/>
            <w:tcBorders>
              <w:top w:val="nil"/>
              <w:left w:val="nil"/>
              <w:bottom w:val="single" w:sz="4" w:space="0" w:color="auto"/>
              <w:right w:val="single" w:sz="4" w:space="0" w:color="auto"/>
            </w:tcBorders>
            <w:noWrap/>
            <w:vAlign w:val="center"/>
            <w:hideMark/>
          </w:tcPr>
          <w:p w14:paraId="611A83CA" w14:textId="77777777" w:rsidR="005A319E" w:rsidRPr="005A319E" w:rsidRDefault="005A319E" w:rsidP="005A319E">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5A319E">
              <w:rPr>
                <w:rFonts w:ascii="Times New Roman" w:eastAsia="Times New Roman" w:hAnsi="Times New Roman" w:cs="Times New Roman"/>
                <w:color w:val="000000"/>
                <w:kern w:val="0"/>
                <w:sz w:val="16"/>
                <w:szCs w:val="16"/>
                <w:lang w:eastAsia="en-IN"/>
                <w14:ligatures w14:val="none"/>
              </w:rPr>
              <w:t> </w:t>
            </w:r>
          </w:p>
        </w:tc>
        <w:tc>
          <w:tcPr>
            <w:tcW w:w="581" w:type="dxa"/>
            <w:tcBorders>
              <w:top w:val="nil"/>
              <w:left w:val="nil"/>
              <w:bottom w:val="single" w:sz="4" w:space="0" w:color="auto"/>
              <w:right w:val="single" w:sz="4" w:space="0" w:color="auto"/>
            </w:tcBorders>
            <w:noWrap/>
            <w:vAlign w:val="center"/>
            <w:hideMark/>
          </w:tcPr>
          <w:p w14:paraId="513ECA01" w14:textId="77777777" w:rsidR="005A319E" w:rsidRPr="005A319E" w:rsidRDefault="005A319E" w:rsidP="005A319E">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5A319E">
              <w:rPr>
                <w:rFonts w:ascii="Times New Roman" w:eastAsia="Times New Roman" w:hAnsi="Times New Roman" w:cs="Times New Roman"/>
                <w:color w:val="000000"/>
                <w:kern w:val="0"/>
                <w:sz w:val="16"/>
                <w:szCs w:val="16"/>
                <w:lang w:eastAsia="en-IN"/>
                <w14:ligatures w14:val="none"/>
              </w:rPr>
              <w:t> </w:t>
            </w:r>
          </w:p>
        </w:tc>
      </w:tr>
      <w:tr w:rsidR="005A319E" w:rsidRPr="005A319E" w14:paraId="5FDA90AC" w14:textId="77777777" w:rsidTr="00D67840">
        <w:trPr>
          <w:trHeight w:val="22"/>
          <w:jc w:val="center"/>
        </w:trPr>
        <w:tc>
          <w:tcPr>
            <w:tcW w:w="1842" w:type="dxa"/>
            <w:tcBorders>
              <w:top w:val="nil"/>
              <w:left w:val="single" w:sz="4" w:space="0" w:color="auto"/>
              <w:bottom w:val="single" w:sz="4" w:space="0" w:color="auto"/>
              <w:right w:val="single" w:sz="4" w:space="0" w:color="auto"/>
            </w:tcBorders>
            <w:noWrap/>
            <w:vAlign w:val="center"/>
            <w:hideMark/>
          </w:tcPr>
          <w:p w14:paraId="36BDE7C4" w14:textId="77777777" w:rsidR="005A319E" w:rsidRPr="005A319E" w:rsidRDefault="005A319E" w:rsidP="005A319E">
            <w:pPr>
              <w:spacing w:after="0" w:line="240" w:lineRule="auto"/>
              <w:rPr>
                <w:rFonts w:ascii="Times New Roman" w:eastAsia="Times New Roman" w:hAnsi="Times New Roman" w:cs="Times New Roman"/>
                <w:color w:val="000000"/>
                <w:kern w:val="0"/>
                <w:sz w:val="16"/>
                <w:szCs w:val="16"/>
                <w:lang w:eastAsia="en-IN"/>
                <w14:ligatures w14:val="none"/>
              </w:rPr>
            </w:pPr>
            <w:r w:rsidRPr="005A319E">
              <w:rPr>
                <w:rFonts w:ascii="Times New Roman" w:eastAsia="Times New Roman" w:hAnsi="Times New Roman" w:cs="Times New Roman"/>
                <w:color w:val="000000"/>
                <w:kern w:val="0"/>
                <w:sz w:val="16"/>
                <w:szCs w:val="16"/>
                <w:lang w:eastAsia="en-IN"/>
                <w14:ligatures w14:val="none"/>
              </w:rPr>
              <w:t>(a) Kohima, Dimapur etc.</w:t>
            </w:r>
          </w:p>
        </w:tc>
        <w:tc>
          <w:tcPr>
            <w:tcW w:w="851" w:type="dxa"/>
            <w:tcBorders>
              <w:top w:val="nil"/>
              <w:left w:val="nil"/>
              <w:bottom w:val="single" w:sz="4" w:space="0" w:color="auto"/>
              <w:right w:val="single" w:sz="4" w:space="0" w:color="auto"/>
            </w:tcBorders>
            <w:noWrap/>
            <w:vAlign w:val="center"/>
            <w:hideMark/>
          </w:tcPr>
          <w:p w14:paraId="2E710852" w14:textId="77777777" w:rsidR="005A319E" w:rsidRPr="005A319E" w:rsidRDefault="005A319E" w:rsidP="005A319E">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5A319E">
              <w:rPr>
                <w:rFonts w:ascii="Times New Roman" w:eastAsia="Times New Roman" w:hAnsi="Times New Roman" w:cs="Times New Roman"/>
                <w:color w:val="000000"/>
                <w:kern w:val="0"/>
                <w:sz w:val="16"/>
                <w:szCs w:val="16"/>
                <w:lang w:eastAsia="en-IN"/>
                <w14:ligatures w14:val="none"/>
              </w:rPr>
              <w:t>40.00</w:t>
            </w:r>
          </w:p>
        </w:tc>
        <w:tc>
          <w:tcPr>
            <w:tcW w:w="992" w:type="dxa"/>
            <w:tcBorders>
              <w:top w:val="nil"/>
              <w:left w:val="nil"/>
              <w:bottom w:val="single" w:sz="4" w:space="0" w:color="auto"/>
              <w:right w:val="single" w:sz="4" w:space="0" w:color="auto"/>
            </w:tcBorders>
            <w:noWrap/>
            <w:vAlign w:val="center"/>
            <w:hideMark/>
          </w:tcPr>
          <w:p w14:paraId="4158FB85" w14:textId="77777777" w:rsidR="005A319E" w:rsidRPr="005A319E" w:rsidRDefault="005A319E" w:rsidP="005A319E">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5A319E">
              <w:rPr>
                <w:rFonts w:ascii="Times New Roman" w:eastAsia="Times New Roman" w:hAnsi="Times New Roman" w:cs="Times New Roman"/>
                <w:color w:val="000000"/>
                <w:kern w:val="0"/>
                <w:sz w:val="16"/>
                <w:szCs w:val="16"/>
                <w:lang w:eastAsia="en-IN"/>
                <w14:ligatures w14:val="none"/>
              </w:rPr>
              <w:t>..</w:t>
            </w:r>
          </w:p>
        </w:tc>
        <w:tc>
          <w:tcPr>
            <w:tcW w:w="581" w:type="dxa"/>
            <w:tcBorders>
              <w:top w:val="nil"/>
              <w:left w:val="nil"/>
              <w:bottom w:val="single" w:sz="4" w:space="0" w:color="auto"/>
              <w:right w:val="single" w:sz="4" w:space="0" w:color="auto"/>
            </w:tcBorders>
            <w:noWrap/>
            <w:vAlign w:val="center"/>
            <w:hideMark/>
          </w:tcPr>
          <w:p w14:paraId="0DB5ECF8" w14:textId="77777777" w:rsidR="005A319E" w:rsidRPr="005A319E" w:rsidRDefault="005A319E" w:rsidP="005A319E">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5A319E">
              <w:rPr>
                <w:rFonts w:ascii="Times New Roman" w:eastAsia="Times New Roman" w:hAnsi="Times New Roman" w:cs="Times New Roman"/>
                <w:color w:val="000000"/>
                <w:kern w:val="0"/>
                <w:sz w:val="16"/>
                <w:szCs w:val="16"/>
                <w:lang w:eastAsia="en-IN"/>
                <w14:ligatures w14:val="none"/>
              </w:rPr>
              <w:t>40.00</w:t>
            </w:r>
          </w:p>
        </w:tc>
        <w:tc>
          <w:tcPr>
            <w:tcW w:w="992" w:type="dxa"/>
            <w:tcBorders>
              <w:top w:val="nil"/>
              <w:left w:val="nil"/>
              <w:bottom w:val="single" w:sz="4" w:space="0" w:color="auto"/>
              <w:right w:val="single" w:sz="4" w:space="0" w:color="auto"/>
            </w:tcBorders>
            <w:noWrap/>
            <w:vAlign w:val="center"/>
            <w:hideMark/>
          </w:tcPr>
          <w:p w14:paraId="17509CCB" w14:textId="77777777" w:rsidR="005A319E" w:rsidRPr="005A319E" w:rsidRDefault="005A319E" w:rsidP="005A319E">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5A319E">
              <w:rPr>
                <w:rFonts w:ascii="Times New Roman" w:eastAsia="Times New Roman" w:hAnsi="Times New Roman" w:cs="Times New Roman"/>
                <w:color w:val="000000"/>
                <w:kern w:val="0"/>
                <w:sz w:val="16"/>
                <w:szCs w:val="16"/>
                <w:lang w:eastAsia="en-IN"/>
                <w14:ligatures w14:val="none"/>
              </w:rPr>
              <w:t>40.00</w:t>
            </w:r>
          </w:p>
        </w:tc>
        <w:tc>
          <w:tcPr>
            <w:tcW w:w="865" w:type="dxa"/>
            <w:tcBorders>
              <w:top w:val="nil"/>
              <w:left w:val="nil"/>
              <w:bottom w:val="single" w:sz="4" w:space="0" w:color="auto"/>
              <w:right w:val="single" w:sz="4" w:space="0" w:color="auto"/>
            </w:tcBorders>
            <w:noWrap/>
            <w:vAlign w:val="center"/>
            <w:hideMark/>
          </w:tcPr>
          <w:p w14:paraId="0A9BE227" w14:textId="77777777" w:rsidR="005A319E" w:rsidRPr="005A319E" w:rsidRDefault="005A319E" w:rsidP="005A319E">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5A319E">
              <w:rPr>
                <w:rFonts w:ascii="Times New Roman" w:eastAsia="Times New Roman" w:hAnsi="Times New Roman" w:cs="Times New Roman"/>
                <w:color w:val="000000"/>
                <w:kern w:val="0"/>
                <w:sz w:val="16"/>
                <w:szCs w:val="16"/>
                <w:lang w:eastAsia="en-IN"/>
                <w14:ligatures w14:val="none"/>
              </w:rPr>
              <w:t>..</w:t>
            </w:r>
          </w:p>
        </w:tc>
        <w:tc>
          <w:tcPr>
            <w:tcW w:w="709" w:type="dxa"/>
            <w:tcBorders>
              <w:top w:val="nil"/>
              <w:left w:val="nil"/>
              <w:bottom w:val="single" w:sz="4" w:space="0" w:color="auto"/>
              <w:right w:val="single" w:sz="4" w:space="0" w:color="auto"/>
            </w:tcBorders>
            <w:noWrap/>
            <w:vAlign w:val="center"/>
            <w:hideMark/>
          </w:tcPr>
          <w:p w14:paraId="193FB3CF" w14:textId="77777777" w:rsidR="005A319E" w:rsidRPr="005A319E" w:rsidRDefault="005A319E" w:rsidP="005A319E">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5A319E">
              <w:rPr>
                <w:rFonts w:ascii="Times New Roman" w:eastAsia="Times New Roman" w:hAnsi="Times New Roman" w:cs="Times New Roman"/>
                <w:color w:val="000000"/>
                <w:kern w:val="0"/>
                <w:sz w:val="16"/>
                <w:szCs w:val="16"/>
                <w:lang w:eastAsia="en-IN"/>
                <w14:ligatures w14:val="none"/>
              </w:rPr>
              <w:t>40.00</w:t>
            </w:r>
          </w:p>
        </w:tc>
        <w:tc>
          <w:tcPr>
            <w:tcW w:w="708" w:type="dxa"/>
            <w:tcBorders>
              <w:top w:val="nil"/>
              <w:left w:val="nil"/>
              <w:bottom w:val="single" w:sz="4" w:space="0" w:color="auto"/>
              <w:right w:val="single" w:sz="4" w:space="0" w:color="auto"/>
            </w:tcBorders>
            <w:noWrap/>
            <w:vAlign w:val="center"/>
            <w:hideMark/>
          </w:tcPr>
          <w:p w14:paraId="3BE1C42C" w14:textId="77777777" w:rsidR="005A319E" w:rsidRPr="005A319E" w:rsidRDefault="005A319E" w:rsidP="005A319E">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5A319E">
              <w:rPr>
                <w:rFonts w:ascii="Times New Roman" w:eastAsia="Times New Roman" w:hAnsi="Times New Roman" w:cs="Times New Roman"/>
                <w:color w:val="000000"/>
                <w:kern w:val="0"/>
                <w:sz w:val="16"/>
                <w:szCs w:val="16"/>
                <w:lang w:eastAsia="en-IN"/>
                <w14:ligatures w14:val="none"/>
              </w:rPr>
              <w:t>40.00</w:t>
            </w:r>
          </w:p>
        </w:tc>
        <w:tc>
          <w:tcPr>
            <w:tcW w:w="865" w:type="dxa"/>
            <w:tcBorders>
              <w:top w:val="nil"/>
              <w:left w:val="nil"/>
              <w:bottom w:val="single" w:sz="4" w:space="0" w:color="auto"/>
              <w:right w:val="single" w:sz="4" w:space="0" w:color="auto"/>
            </w:tcBorders>
            <w:noWrap/>
            <w:vAlign w:val="center"/>
            <w:hideMark/>
          </w:tcPr>
          <w:p w14:paraId="5F2F99C2" w14:textId="77777777" w:rsidR="005A319E" w:rsidRPr="005A319E" w:rsidRDefault="005A319E" w:rsidP="005A319E">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5A319E">
              <w:rPr>
                <w:rFonts w:ascii="Times New Roman" w:eastAsia="Times New Roman" w:hAnsi="Times New Roman" w:cs="Times New Roman"/>
                <w:color w:val="000000"/>
                <w:kern w:val="0"/>
                <w:sz w:val="16"/>
                <w:szCs w:val="16"/>
                <w:lang w:eastAsia="en-IN"/>
                <w14:ligatures w14:val="none"/>
              </w:rPr>
              <w:t>..</w:t>
            </w:r>
          </w:p>
        </w:tc>
        <w:tc>
          <w:tcPr>
            <w:tcW w:w="581" w:type="dxa"/>
            <w:tcBorders>
              <w:top w:val="nil"/>
              <w:left w:val="nil"/>
              <w:bottom w:val="single" w:sz="4" w:space="0" w:color="auto"/>
              <w:right w:val="single" w:sz="4" w:space="0" w:color="auto"/>
            </w:tcBorders>
            <w:noWrap/>
            <w:vAlign w:val="center"/>
            <w:hideMark/>
          </w:tcPr>
          <w:p w14:paraId="402A9625" w14:textId="77777777" w:rsidR="005A319E" w:rsidRPr="005A319E" w:rsidRDefault="005A319E" w:rsidP="005A319E">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5A319E">
              <w:rPr>
                <w:rFonts w:ascii="Times New Roman" w:eastAsia="Times New Roman" w:hAnsi="Times New Roman" w:cs="Times New Roman"/>
                <w:color w:val="000000"/>
                <w:kern w:val="0"/>
                <w:sz w:val="16"/>
                <w:szCs w:val="16"/>
                <w:lang w:eastAsia="en-IN"/>
                <w14:ligatures w14:val="none"/>
              </w:rPr>
              <w:t>40.00</w:t>
            </w:r>
          </w:p>
        </w:tc>
        <w:tc>
          <w:tcPr>
            <w:tcW w:w="1004" w:type="dxa"/>
            <w:tcBorders>
              <w:top w:val="nil"/>
              <w:left w:val="nil"/>
              <w:bottom w:val="single" w:sz="4" w:space="0" w:color="auto"/>
              <w:right w:val="single" w:sz="4" w:space="0" w:color="auto"/>
            </w:tcBorders>
            <w:noWrap/>
            <w:vAlign w:val="center"/>
            <w:hideMark/>
          </w:tcPr>
          <w:p w14:paraId="3CCEEE25" w14:textId="77777777" w:rsidR="005A319E" w:rsidRPr="005A319E" w:rsidRDefault="005A319E" w:rsidP="005A319E">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5A319E">
              <w:rPr>
                <w:rFonts w:ascii="Times New Roman" w:eastAsia="Times New Roman" w:hAnsi="Times New Roman" w:cs="Times New Roman"/>
                <w:color w:val="000000"/>
                <w:kern w:val="0"/>
                <w:sz w:val="16"/>
                <w:szCs w:val="16"/>
                <w:lang w:eastAsia="en-IN"/>
                <w14:ligatures w14:val="none"/>
              </w:rPr>
              <w:t>..</w:t>
            </w:r>
          </w:p>
        </w:tc>
        <w:tc>
          <w:tcPr>
            <w:tcW w:w="865" w:type="dxa"/>
            <w:tcBorders>
              <w:top w:val="nil"/>
              <w:left w:val="nil"/>
              <w:bottom w:val="single" w:sz="4" w:space="0" w:color="auto"/>
              <w:right w:val="single" w:sz="4" w:space="0" w:color="auto"/>
            </w:tcBorders>
            <w:noWrap/>
            <w:vAlign w:val="center"/>
            <w:hideMark/>
          </w:tcPr>
          <w:p w14:paraId="6992E013" w14:textId="77777777" w:rsidR="005A319E" w:rsidRPr="005A319E" w:rsidRDefault="005A319E" w:rsidP="005A319E">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5A319E">
              <w:rPr>
                <w:rFonts w:ascii="Times New Roman" w:eastAsia="Times New Roman" w:hAnsi="Times New Roman" w:cs="Times New Roman"/>
                <w:color w:val="000000"/>
                <w:kern w:val="0"/>
                <w:sz w:val="16"/>
                <w:szCs w:val="16"/>
                <w:lang w:eastAsia="en-IN"/>
                <w14:ligatures w14:val="none"/>
              </w:rPr>
              <w:t>..</w:t>
            </w:r>
          </w:p>
        </w:tc>
        <w:tc>
          <w:tcPr>
            <w:tcW w:w="995" w:type="dxa"/>
            <w:tcBorders>
              <w:top w:val="nil"/>
              <w:left w:val="nil"/>
              <w:bottom w:val="single" w:sz="4" w:space="0" w:color="auto"/>
              <w:right w:val="single" w:sz="4" w:space="0" w:color="auto"/>
            </w:tcBorders>
            <w:noWrap/>
            <w:vAlign w:val="center"/>
            <w:hideMark/>
          </w:tcPr>
          <w:p w14:paraId="42AB228D" w14:textId="77777777" w:rsidR="005A319E" w:rsidRPr="005A319E" w:rsidRDefault="005A319E" w:rsidP="005A319E">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5A319E">
              <w:rPr>
                <w:rFonts w:ascii="Times New Roman" w:eastAsia="Times New Roman" w:hAnsi="Times New Roman" w:cs="Times New Roman"/>
                <w:color w:val="000000"/>
                <w:kern w:val="0"/>
                <w:sz w:val="16"/>
                <w:szCs w:val="16"/>
                <w:lang w:eastAsia="en-IN"/>
                <w14:ligatures w14:val="none"/>
              </w:rPr>
              <w:t>..</w:t>
            </w:r>
          </w:p>
        </w:tc>
        <w:tc>
          <w:tcPr>
            <w:tcW w:w="916" w:type="dxa"/>
            <w:tcBorders>
              <w:top w:val="nil"/>
              <w:left w:val="nil"/>
              <w:bottom w:val="single" w:sz="4" w:space="0" w:color="auto"/>
              <w:right w:val="single" w:sz="4" w:space="0" w:color="auto"/>
            </w:tcBorders>
            <w:noWrap/>
            <w:vAlign w:val="center"/>
            <w:hideMark/>
          </w:tcPr>
          <w:p w14:paraId="3A595968" w14:textId="77777777" w:rsidR="005A319E" w:rsidRPr="005A319E" w:rsidRDefault="005A319E" w:rsidP="005A319E">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5A319E">
              <w:rPr>
                <w:rFonts w:ascii="Times New Roman" w:eastAsia="Times New Roman" w:hAnsi="Times New Roman" w:cs="Times New Roman"/>
                <w:color w:val="000000"/>
                <w:kern w:val="0"/>
                <w:sz w:val="16"/>
                <w:szCs w:val="16"/>
                <w:lang w:eastAsia="en-IN"/>
                <w14:ligatures w14:val="none"/>
              </w:rPr>
              <w:t>..</w:t>
            </w:r>
          </w:p>
        </w:tc>
        <w:tc>
          <w:tcPr>
            <w:tcW w:w="865" w:type="dxa"/>
            <w:tcBorders>
              <w:top w:val="nil"/>
              <w:left w:val="nil"/>
              <w:bottom w:val="single" w:sz="4" w:space="0" w:color="auto"/>
              <w:right w:val="single" w:sz="4" w:space="0" w:color="auto"/>
            </w:tcBorders>
            <w:noWrap/>
            <w:vAlign w:val="center"/>
            <w:hideMark/>
          </w:tcPr>
          <w:p w14:paraId="10C7D0FD" w14:textId="77777777" w:rsidR="005A319E" w:rsidRPr="005A319E" w:rsidRDefault="005A319E" w:rsidP="005A319E">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5A319E">
              <w:rPr>
                <w:rFonts w:ascii="Times New Roman" w:eastAsia="Times New Roman" w:hAnsi="Times New Roman" w:cs="Times New Roman"/>
                <w:color w:val="000000"/>
                <w:kern w:val="0"/>
                <w:sz w:val="16"/>
                <w:szCs w:val="16"/>
                <w:lang w:eastAsia="en-IN"/>
                <w14:ligatures w14:val="none"/>
              </w:rPr>
              <w:t>..</w:t>
            </w:r>
          </w:p>
        </w:tc>
        <w:tc>
          <w:tcPr>
            <w:tcW w:w="581" w:type="dxa"/>
            <w:tcBorders>
              <w:top w:val="nil"/>
              <w:left w:val="nil"/>
              <w:bottom w:val="single" w:sz="4" w:space="0" w:color="auto"/>
              <w:right w:val="single" w:sz="4" w:space="0" w:color="auto"/>
            </w:tcBorders>
            <w:noWrap/>
            <w:vAlign w:val="center"/>
            <w:hideMark/>
          </w:tcPr>
          <w:p w14:paraId="5CA92418" w14:textId="77777777" w:rsidR="005A319E" w:rsidRPr="005A319E" w:rsidRDefault="005A319E" w:rsidP="005A319E">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5A319E">
              <w:rPr>
                <w:rFonts w:ascii="Times New Roman" w:eastAsia="Times New Roman" w:hAnsi="Times New Roman" w:cs="Times New Roman"/>
                <w:color w:val="000000"/>
                <w:kern w:val="0"/>
                <w:sz w:val="16"/>
                <w:szCs w:val="16"/>
                <w:lang w:eastAsia="en-IN"/>
                <w14:ligatures w14:val="none"/>
              </w:rPr>
              <w:t>..</w:t>
            </w:r>
          </w:p>
        </w:tc>
      </w:tr>
      <w:tr w:rsidR="005A319E" w:rsidRPr="005A319E" w14:paraId="6FA66AF4" w14:textId="77777777" w:rsidTr="00D67840">
        <w:trPr>
          <w:trHeight w:val="22"/>
          <w:jc w:val="center"/>
        </w:trPr>
        <w:tc>
          <w:tcPr>
            <w:tcW w:w="1842" w:type="dxa"/>
            <w:tcBorders>
              <w:top w:val="nil"/>
              <w:left w:val="single" w:sz="4" w:space="0" w:color="auto"/>
              <w:bottom w:val="single" w:sz="4" w:space="0" w:color="auto"/>
              <w:right w:val="single" w:sz="4" w:space="0" w:color="auto"/>
            </w:tcBorders>
            <w:noWrap/>
            <w:vAlign w:val="center"/>
            <w:hideMark/>
          </w:tcPr>
          <w:p w14:paraId="5EECFC29" w14:textId="77777777" w:rsidR="005A319E" w:rsidRPr="005A319E" w:rsidRDefault="005A319E" w:rsidP="005A319E">
            <w:pPr>
              <w:spacing w:after="0" w:line="240" w:lineRule="auto"/>
              <w:rPr>
                <w:rFonts w:ascii="Times New Roman" w:eastAsia="Times New Roman" w:hAnsi="Times New Roman" w:cs="Times New Roman"/>
                <w:color w:val="000000"/>
                <w:kern w:val="0"/>
                <w:sz w:val="16"/>
                <w:szCs w:val="16"/>
                <w:lang w:eastAsia="en-IN"/>
                <w14:ligatures w14:val="none"/>
              </w:rPr>
            </w:pPr>
            <w:r w:rsidRPr="005A319E">
              <w:rPr>
                <w:rFonts w:ascii="Times New Roman" w:eastAsia="Times New Roman" w:hAnsi="Times New Roman" w:cs="Times New Roman"/>
                <w:color w:val="000000"/>
                <w:kern w:val="0"/>
                <w:sz w:val="16"/>
                <w:szCs w:val="16"/>
                <w:lang w:eastAsia="en-IN"/>
                <w14:ligatures w14:val="none"/>
              </w:rPr>
              <w:t>(b) Rest</w:t>
            </w:r>
          </w:p>
        </w:tc>
        <w:tc>
          <w:tcPr>
            <w:tcW w:w="851" w:type="dxa"/>
            <w:tcBorders>
              <w:top w:val="nil"/>
              <w:left w:val="nil"/>
              <w:bottom w:val="single" w:sz="4" w:space="0" w:color="auto"/>
              <w:right w:val="single" w:sz="4" w:space="0" w:color="auto"/>
            </w:tcBorders>
            <w:noWrap/>
            <w:vAlign w:val="center"/>
            <w:hideMark/>
          </w:tcPr>
          <w:p w14:paraId="44929D64" w14:textId="77777777" w:rsidR="005A319E" w:rsidRPr="005A319E" w:rsidRDefault="005A319E" w:rsidP="005A319E">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5A319E">
              <w:rPr>
                <w:rFonts w:ascii="Times New Roman" w:eastAsia="Times New Roman" w:hAnsi="Times New Roman" w:cs="Times New Roman"/>
                <w:color w:val="000000"/>
                <w:kern w:val="0"/>
                <w:sz w:val="16"/>
                <w:szCs w:val="16"/>
                <w:lang w:eastAsia="en-IN"/>
                <w14:ligatures w14:val="none"/>
              </w:rPr>
              <w:t>50.00</w:t>
            </w:r>
          </w:p>
        </w:tc>
        <w:tc>
          <w:tcPr>
            <w:tcW w:w="992" w:type="dxa"/>
            <w:tcBorders>
              <w:top w:val="nil"/>
              <w:left w:val="nil"/>
              <w:bottom w:val="single" w:sz="4" w:space="0" w:color="auto"/>
              <w:right w:val="single" w:sz="4" w:space="0" w:color="auto"/>
            </w:tcBorders>
            <w:noWrap/>
            <w:vAlign w:val="center"/>
            <w:hideMark/>
          </w:tcPr>
          <w:p w14:paraId="47ACDFC4" w14:textId="77777777" w:rsidR="005A319E" w:rsidRPr="005A319E" w:rsidRDefault="005A319E" w:rsidP="005A319E">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5A319E">
              <w:rPr>
                <w:rFonts w:ascii="Times New Roman" w:eastAsia="Times New Roman" w:hAnsi="Times New Roman" w:cs="Times New Roman"/>
                <w:color w:val="000000"/>
                <w:kern w:val="0"/>
                <w:sz w:val="16"/>
                <w:szCs w:val="16"/>
                <w:lang w:eastAsia="en-IN"/>
                <w14:ligatures w14:val="none"/>
              </w:rPr>
              <w:t>..</w:t>
            </w:r>
          </w:p>
        </w:tc>
        <w:tc>
          <w:tcPr>
            <w:tcW w:w="581" w:type="dxa"/>
            <w:tcBorders>
              <w:top w:val="nil"/>
              <w:left w:val="nil"/>
              <w:bottom w:val="single" w:sz="4" w:space="0" w:color="auto"/>
              <w:right w:val="single" w:sz="4" w:space="0" w:color="auto"/>
            </w:tcBorders>
            <w:noWrap/>
            <w:vAlign w:val="center"/>
            <w:hideMark/>
          </w:tcPr>
          <w:p w14:paraId="4E114542" w14:textId="77777777" w:rsidR="005A319E" w:rsidRPr="005A319E" w:rsidRDefault="005A319E" w:rsidP="005A319E">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5A319E">
              <w:rPr>
                <w:rFonts w:ascii="Times New Roman" w:eastAsia="Times New Roman" w:hAnsi="Times New Roman" w:cs="Times New Roman"/>
                <w:color w:val="000000"/>
                <w:kern w:val="0"/>
                <w:sz w:val="16"/>
                <w:szCs w:val="16"/>
                <w:lang w:eastAsia="en-IN"/>
                <w14:ligatures w14:val="none"/>
              </w:rPr>
              <w:t>50.00</w:t>
            </w:r>
          </w:p>
        </w:tc>
        <w:tc>
          <w:tcPr>
            <w:tcW w:w="992" w:type="dxa"/>
            <w:tcBorders>
              <w:top w:val="nil"/>
              <w:left w:val="nil"/>
              <w:bottom w:val="single" w:sz="4" w:space="0" w:color="auto"/>
              <w:right w:val="single" w:sz="4" w:space="0" w:color="auto"/>
            </w:tcBorders>
            <w:noWrap/>
            <w:vAlign w:val="center"/>
            <w:hideMark/>
          </w:tcPr>
          <w:p w14:paraId="079AD3C4" w14:textId="77777777" w:rsidR="005A319E" w:rsidRPr="005A319E" w:rsidRDefault="005A319E" w:rsidP="005A319E">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5A319E">
              <w:rPr>
                <w:rFonts w:ascii="Times New Roman" w:eastAsia="Times New Roman" w:hAnsi="Times New Roman" w:cs="Times New Roman"/>
                <w:color w:val="000000"/>
                <w:kern w:val="0"/>
                <w:sz w:val="16"/>
                <w:szCs w:val="16"/>
                <w:lang w:eastAsia="en-IN"/>
                <w14:ligatures w14:val="none"/>
              </w:rPr>
              <w:t>50.00</w:t>
            </w:r>
          </w:p>
        </w:tc>
        <w:tc>
          <w:tcPr>
            <w:tcW w:w="865" w:type="dxa"/>
            <w:tcBorders>
              <w:top w:val="nil"/>
              <w:left w:val="nil"/>
              <w:bottom w:val="single" w:sz="4" w:space="0" w:color="auto"/>
              <w:right w:val="single" w:sz="4" w:space="0" w:color="auto"/>
            </w:tcBorders>
            <w:noWrap/>
            <w:vAlign w:val="center"/>
            <w:hideMark/>
          </w:tcPr>
          <w:p w14:paraId="59BAB110" w14:textId="77777777" w:rsidR="005A319E" w:rsidRPr="005A319E" w:rsidRDefault="005A319E" w:rsidP="005A319E">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5A319E">
              <w:rPr>
                <w:rFonts w:ascii="Times New Roman" w:eastAsia="Times New Roman" w:hAnsi="Times New Roman" w:cs="Times New Roman"/>
                <w:color w:val="000000"/>
                <w:kern w:val="0"/>
                <w:sz w:val="16"/>
                <w:szCs w:val="16"/>
                <w:lang w:eastAsia="en-IN"/>
                <w14:ligatures w14:val="none"/>
              </w:rPr>
              <w:t>..</w:t>
            </w:r>
          </w:p>
        </w:tc>
        <w:tc>
          <w:tcPr>
            <w:tcW w:w="709" w:type="dxa"/>
            <w:tcBorders>
              <w:top w:val="nil"/>
              <w:left w:val="nil"/>
              <w:bottom w:val="single" w:sz="4" w:space="0" w:color="auto"/>
              <w:right w:val="single" w:sz="4" w:space="0" w:color="auto"/>
            </w:tcBorders>
            <w:noWrap/>
            <w:vAlign w:val="center"/>
            <w:hideMark/>
          </w:tcPr>
          <w:p w14:paraId="6A2788C1" w14:textId="77777777" w:rsidR="005A319E" w:rsidRPr="005A319E" w:rsidRDefault="005A319E" w:rsidP="005A319E">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5A319E">
              <w:rPr>
                <w:rFonts w:ascii="Times New Roman" w:eastAsia="Times New Roman" w:hAnsi="Times New Roman" w:cs="Times New Roman"/>
                <w:color w:val="000000"/>
                <w:kern w:val="0"/>
                <w:sz w:val="16"/>
                <w:szCs w:val="16"/>
                <w:lang w:eastAsia="en-IN"/>
                <w14:ligatures w14:val="none"/>
              </w:rPr>
              <w:t>50.00</w:t>
            </w:r>
          </w:p>
        </w:tc>
        <w:tc>
          <w:tcPr>
            <w:tcW w:w="708" w:type="dxa"/>
            <w:tcBorders>
              <w:top w:val="nil"/>
              <w:left w:val="nil"/>
              <w:bottom w:val="single" w:sz="4" w:space="0" w:color="auto"/>
              <w:right w:val="single" w:sz="4" w:space="0" w:color="auto"/>
            </w:tcBorders>
            <w:noWrap/>
            <w:vAlign w:val="center"/>
            <w:hideMark/>
          </w:tcPr>
          <w:p w14:paraId="09B63B12" w14:textId="77777777" w:rsidR="005A319E" w:rsidRPr="005A319E" w:rsidRDefault="005A319E" w:rsidP="005A319E">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5A319E">
              <w:rPr>
                <w:rFonts w:ascii="Times New Roman" w:eastAsia="Times New Roman" w:hAnsi="Times New Roman" w:cs="Times New Roman"/>
                <w:color w:val="000000"/>
                <w:kern w:val="0"/>
                <w:sz w:val="16"/>
                <w:szCs w:val="16"/>
                <w:lang w:eastAsia="en-IN"/>
                <w14:ligatures w14:val="none"/>
              </w:rPr>
              <w:t>50.00</w:t>
            </w:r>
          </w:p>
        </w:tc>
        <w:tc>
          <w:tcPr>
            <w:tcW w:w="865" w:type="dxa"/>
            <w:tcBorders>
              <w:top w:val="nil"/>
              <w:left w:val="nil"/>
              <w:bottom w:val="single" w:sz="4" w:space="0" w:color="auto"/>
              <w:right w:val="single" w:sz="4" w:space="0" w:color="auto"/>
            </w:tcBorders>
            <w:noWrap/>
            <w:vAlign w:val="center"/>
            <w:hideMark/>
          </w:tcPr>
          <w:p w14:paraId="2F04C4AF" w14:textId="77777777" w:rsidR="005A319E" w:rsidRPr="005A319E" w:rsidRDefault="005A319E" w:rsidP="005A319E">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5A319E">
              <w:rPr>
                <w:rFonts w:ascii="Times New Roman" w:eastAsia="Times New Roman" w:hAnsi="Times New Roman" w:cs="Times New Roman"/>
                <w:color w:val="000000"/>
                <w:kern w:val="0"/>
                <w:sz w:val="16"/>
                <w:szCs w:val="16"/>
                <w:lang w:eastAsia="en-IN"/>
                <w14:ligatures w14:val="none"/>
              </w:rPr>
              <w:t>..</w:t>
            </w:r>
          </w:p>
        </w:tc>
        <w:tc>
          <w:tcPr>
            <w:tcW w:w="581" w:type="dxa"/>
            <w:tcBorders>
              <w:top w:val="nil"/>
              <w:left w:val="nil"/>
              <w:bottom w:val="single" w:sz="4" w:space="0" w:color="auto"/>
              <w:right w:val="single" w:sz="4" w:space="0" w:color="auto"/>
            </w:tcBorders>
            <w:noWrap/>
            <w:vAlign w:val="center"/>
            <w:hideMark/>
          </w:tcPr>
          <w:p w14:paraId="64FA2851" w14:textId="77777777" w:rsidR="005A319E" w:rsidRPr="005A319E" w:rsidRDefault="005A319E" w:rsidP="005A319E">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5A319E">
              <w:rPr>
                <w:rFonts w:ascii="Times New Roman" w:eastAsia="Times New Roman" w:hAnsi="Times New Roman" w:cs="Times New Roman"/>
                <w:color w:val="000000"/>
                <w:kern w:val="0"/>
                <w:sz w:val="16"/>
                <w:szCs w:val="16"/>
                <w:lang w:eastAsia="en-IN"/>
                <w14:ligatures w14:val="none"/>
              </w:rPr>
              <w:t>50.00</w:t>
            </w:r>
          </w:p>
        </w:tc>
        <w:tc>
          <w:tcPr>
            <w:tcW w:w="1004" w:type="dxa"/>
            <w:tcBorders>
              <w:top w:val="nil"/>
              <w:left w:val="nil"/>
              <w:bottom w:val="single" w:sz="4" w:space="0" w:color="auto"/>
              <w:right w:val="single" w:sz="4" w:space="0" w:color="auto"/>
            </w:tcBorders>
            <w:noWrap/>
            <w:vAlign w:val="center"/>
            <w:hideMark/>
          </w:tcPr>
          <w:p w14:paraId="6BE994D9" w14:textId="77777777" w:rsidR="005A319E" w:rsidRPr="005A319E" w:rsidRDefault="005A319E" w:rsidP="005A319E">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5A319E">
              <w:rPr>
                <w:rFonts w:ascii="Times New Roman" w:eastAsia="Times New Roman" w:hAnsi="Times New Roman" w:cs="Times New Roman"/>
                <w:color w:val="000000"/>
                <w:kern w:val="0"/>
                <w:sz w:val="16"/>
                <w:szCs w:val="16"/>
                <w:lang w:eastAsia="en-IN"/>
                <w14:ligatures w14:val="none"/>
              </w:rPr>
              <w:t>..</w:t>
            </w:r>
          </w:p>
        </w:tc>
        <w:tc>
          <w:tcPr>
            <w:tcW w:w="865" w:type="dxa"/>
            <w:tcBorders>
              <w:top w:val="nil"/>
              <w:left w:val="nil"/>
              <w:bottom w:val="single" w:sz="4" w:space="0" w:color="auto"/>
              <w:right w:val="single" w:sz="4" w:space="0" w:color="auto"/>
            </w:tcBorders>
            <w:noWrap/>
            <w:vAlign w:val="center"/>
            <w:hideMark/>
          </w:tcPr>
          <w:p w14:paraId="7B003879" w14:textId="77777777" w:rsidR="005A319E" w:rsidRPr="005A319E" w:rsidRDefault="005A319E" w:rsidP="005A319E">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5A319E">
              <w:rPr>
                <w:rFonts w:ascii="Times New Roman" w:eastAsia="Times New Roman" w:hAnsi="Times New Roman" w:cs="Times New Roman"/>
                <w:color w:val="000000"/>
                <w:kern w:val="0"/>
                <w:sz w:val="16"/>
                <w:szCs w:val="16"/>
                <w:lang w:eastAsia="en-IN"/>
                <w14:ligatures w14:val="none"/>
              </w:rPr>
              <w:t>..</w:t>
            </w:r>
          </w:p>
        </w:tc>
        <w:tc>
          <w:tcPr>
            <w:tcW w:w="995" w:type="dxa"/>
            <w:tcBorders>
              <w:top w:val="nil"/>
              <w:left w:val="nil"/>
              <w:bottom w:val="single" w:sz="4" w:space="0" w:color="auto"/>
              <w:right w:val="single" w:sz="4" w:space="0" w:color="auto"/>
            </w:tcBorders>
            <w:noWrap/>
            <w:vAlign w:val="center"/>
            <w:hideMark/>
          </w:tcPr>
          <w:p w14:paraId="52836CAC" w14:textId="77777777" w:rsidR="005A319E" w:rsidRPr="005A319E" w:rsidRDefault="005A319E" w:rsidP="005A319E">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5A319E">
              <w:rPr>
                <w:rFonts w:ascii="Times New Roman" w:eastAsia="Times New Roman" w:hAnsi="Times New Roman" w:cs="Times New Roman"/>
                <w:color w:val="000000"/>
                <w:kern w:val="0"/>
                <w:sz w:val="16"/>
                <w:szCs w:val="16"/>
                <w:lang w:eastAsia="en-IN"/>
                <w14:ligatures w14:val="none"/>
              </w:rPr>
              <w:t>..</w:t>
            </w:r>
          </w:p>
        </w:tc>
        <w:tc>
          <w:tcPr>
            <w:tcW w:w="916" w:type="dxa"/>
            <w:tcBorders>
              <w:top w:val="nil"/>
              <w:left w:val="nil"/>
              <w:bottom w:val="single" w:sz="4" w:space="0" w:color="auto"/>
              <w:right w:val="single" w:sz="4" w:space="0" w:color="auto"/>
            </w:tcBorders>
            <w:noWrap/>
            <w:vAlign w:val="center"/>
            <w:hideMark/>
          </w:tcPr>
          <w:p w14:paraId="16ECDFEC" w14:textId="77777777" w:rsidR="005A319E" w:rsidRPr="005A319E" w:rsidRDefault="005A319E" w:rsidP="005A319E">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5A319E">
              <w:rPr>
                <w:rFonts w:ascii="Times New Roman" w:eastAsia="Times New Roman" w:hAnsi="Times New Roman" w:cs="Times New Roman"/>
                <w:color w:val="000000"/>
                <w:kern w:val="0"/>
                <w:sz w:val="16"/>
                <w:szCs w:val="16"/>
                <w:lang w:eastAsia="en-IN"/>
                <w14:ligatures w14:val="none"/>
              </w:rPr>
              <w:t>..</w:t>
            </w:r>
          </w:p>
        </w:tc>
        <w:tc>
          <w:tcPr>
            <w:tcW w:w="865" w:type="dxa"/>
            <w:tcBorders>
              <w:top w:val="nil"/>
              <w:left w:val="nil"/>
              <w:bottom w:val="single" w:sz="4" w:space="0" w:color="auto"/>
              <w:right w:val="single" w:sz="4" w:space="0" w:color="auto"/>
            </w:tcBorders>
            <w:noWrap/>
            <w:vAlign w:val="center"/>
            <w:hideMark/>
          </w:tcPr>
          <w:p w14:paraId="1857279F" w14:textId="77777777" w:rsidR="005A319E" w:rsidRPr="005A319E" w:rsidRDefault="005A319E" w:rsidP="005A319E">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5A319E">
              <w:rPr>
                <w:rFonts w:ascii="Times New Roman" w:eastAsia="Times New Roman" w:hAnsi="Times New Roman" w:cs="Times New Roman"/>
                <w:color w:val="000000"/>
                <w:kern w:val="0"/>
                <w:sz w:val="16"/>
                <w:szCs w:val="16"/>
                <w:lang w:eastAsia="en-IN"/>
                <w14:ligatures w14:val="none"/>
              </w:rPr>
              <w:t>..</w:t>
            </w:r>
          </w:p>
        </w:tc>
        <w:tc>
          <w:tcPr>
            <w:tcW w:w="581" w:type="dxa"/>
            <w:tcBorders>
              <w:top w:val="nil"/>
              <w:left w:val="nil"/>
              <w:bottom w:val="single" w:sz="4" w:space="0" w:color="auto"/>
              <w:right w:val="single" w:sz="4" w:space="0" w:color="auto"/>
            </w:tcBorders>
            <w:noWrap/>
            <w:vAlign w:val="center"/>
            <w:hideMark/>
          </w:tcPr>
          <w:p w14:paraId="6297ABCB" w14:textId="77777777" w:rsidR="005A319E" w:rsidRPr="005A319E" w:rsidRDefault="005A319E" w:rsidP="005A319E">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5A319E">
              <w:rPr>
                <w:rFonts w:ascii="Times New Roman" w:eastAsia="Times New Roman" w:hAnsi="Times New Roman" w:cs="Times New Roman"/>
                <w:color w:val="000000"/>
                <w:kern w:val="0"/>
                <w:sz w:val="16"/>
                <w:szCs w:val="16"/>
                <w:lang w:eastAsia="en-IN"/>
                <w14:ligatures w14:val="none"/>
              </w:rPr>
              <w:t>..</w:t>
            </w:r>
          </w:p>
        </w:tc>
      </w:tr>
      <w:tr w:rsidR="005A319E" w:rsidRPr="005A319E" w14:paraId="45720DA0" w14:textId="77777777" w:rsidTr="00D67840">
        <w:trPr>
          <w:trHeight w:val="22"/>
          <w:jc w:val="center"/>
        </w:trPr>
        <w:tc>
          <w:tcPr>
            <w:tcW w:w="1842" w:type="dxa"/>
            <w:tcBorders>
              <w:top w:val="nil"/>
              <w:left w:val="single" w:sz="4" w:space="0" w:color="auto"/>
              <w:bottom w:val="single" w:sz="4" w:space="0" w:color="auto"/>
              <w:right w:val="single" w:sz="4" w:space="0" w:color="auto"/>
            </w:tcBorders>
            <w:noWrap/>
            <w:vAlign w:val="center"/>
            <w:hideMark/>
          </w:tcPr>
          <w:p w14:paraId="5E61F52B" w14:textId="77777777" w:rsidR="005A319E" w:rsidRPr="005A319E" w:rsidRDefault="005A319E" w:rsidP="005A319E">
            <w:pPr>
              <w:spacing w:after="0" w:line="240" w:lineRule="auto"/>
              <w:rPr>
                <w:rFonts w:ascii="Times New Roman" w:eastAsia="Times New Roman" w:hAnsi="Times New Roman" w:cs="Times New Roman"/>
                <w:color w:val="000000"/>
                <w:kern w:val="0"/>
                <w:sz w:val="16"/>
                <w:szCs w:val="16"/>
                <w:lang w:eastAsia="en-IN"/>
                <w14:ligatures w14:val="none"/>
              </w:rPr>
            </w:pPr>
            <w:r w:rsidRPr="005A319E">
              <w:rPr>
                <w:rFonts w:ascii="Times New Roman" w:eastAsia="Times New Roman" w:hAnsi="Times New Roman" w:cs="Times New Roman"/>
                <w:color w:val="000000"/>
                <w:kern w:val="0"/>
                <w:sz w:val="16"/>
                <w:szCs w:val="16"/>
                <w:lang w:eastAsia="en-IN"/>
                <w14:ligatures w14:val="none"/>
              </w:rPr>
              <w:t>12. Orissa</w:t>
            </w:r>
          </w:p>
        </w:tc>
        <w:tc>
          <w:tcPr>
            <w:tcW w:w="851" w:type="dxa"/>
            <w:tcBorders>
              <w:top w:val="nil"/>
              <w:left w:val="nil"/>
              <w:bottom w:val="single" w:sz="4" w:space="0" w:color="auto"/>
              <w:right w:val="single" w:sz="4" w:space="0" w:color="auto"/>
            </w:tcBorders>
            <w:noWrap/>
            <w:vAlign w:val="center"/>
            <w:hideMark/>
          </w:tcPr>
          <w:p w14:paraId="6F076D6D" w14:textId="77777777" w:rsidR="005A319E" w:rsidRPr="005A319E" w:rsidRDefault="005A319E" w:rsidP="005A319E">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5A319E">
              <w:rPr>
                <w:rFonts w:ascii="Times New Roman" w:eastAsia="Times New Roman" w:hAnsi="Times New Roman" w:cs="Times New Roman"/>
                <w:color w:val="000000"/>
                <w:kern w:val="0"/>
                <w:sz w:val="16"/>
                <w:szCs w:val="16"/>
                <w:lang w:eastAsia="en-IN"/>
                <w14:ligatures w14:val="none"/>
              </w:rPr>
              <w:t> </w:t>
            </w:r>
          </w:p>
        </w:tc>
        <w:tc>
          <w:tcPr>
            <w:tcW w:w="992" w:type="dxa"/>
            <w:tcBorders>
              <w:top w:val="nil"/>
              <w:left w:val="nil"/>
              <w:bottom w:val="single" w:sz="4" w:space="0" w:color="auto"/>
              <w:right w:val="single" w:sz="4" w:space="0" w:color="auto"/>
            </w:tcBorders>
            <w:noWrap/>
            <w:vAlign w:val="center"/>
            <w:hideMark/>
          </w:tcPr>
          <w:p w14:paraId="0AFDE3A4" w14:textId="77777777" w:rsidR="005A319E" w:rsidRPr="005A319E" w:rsidRDefault="005A319E" w:rsidP="005A319E">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5A319E">
              <w:rPr>
                <w:rFonts w:ascii="Times New Roman" w:eastAsia="Times New Roman" w:hAnsi="Times New Roman" w:cs="Times New Roman"/>
                <w:color w:val="000000"/>
                <w:kern w:val="0"/>
                <w:sz w:val="16"/>
                <w:szCs w:val="16"/>
                <w:lang w:eastAsia="en-IN"/>
                <w14:ligatures w14:val="none"/>
              </w:rPr>
              <w:t> </w:t>
            </w:r>
          </w:p>
        </w:tc>
        <w:tc>
          <w:tcPr>
            <w:tcW w:w="581" w:type="dxa"/>
            <w:tcBorders>
              <w:top w:val="nil"/>
              <w:left w:val="nil"/>
              <w:bottom w:val="single" w:sz="4" w:space="0" w:color="auto"/>
              <w:right w:val="single" w:sz="4" w:space="0" w:color="auto"/>
            </w:tcBorders>
            <w:noWrap/>
            <w:vAlign w:val="center"/>
            <w:hideMark/>
          </w:tcPr>
          <w:p w14:paraId="4912B390" w14:textId="77777777" w:rsidR="005A319E" w:rsidRPr="005A319E" w:rsidRDefault="005A319E" w:rsidP="005A319E">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5A319E">
              <w:rPr>
                <w:rFonts w:ascii="Times New Roman" w:eastAsia="Times New Roman" w:hAnsi="Times New Roman" w:cs="Times New Roman"/>
                <w:color w:val="000000"/>
                <w:kern w:val="0"/>
                <w:sz w:val="16"/>
                <w:szCs w:val="16"/>
                <w:lang w:eastAsia="en-IN"/>
                <w14:ligatures w14:val="none"/>
              </w:rPr>
              <w:t> </w:t>
            </w:r>
          </w:p>
        </w:tc>
        <w:tc>
          <w:tcPr>
            <w:tcW w:w="992" w:type="dxa"/>
            <w:tcBorders>
              <w:top w:val="nil"/>
              <w:left w:val="nil"/>
              <w:bottom w:val="single" w:sz="4" w:space="0" w:color="auto"/>
              <w:right w:val="single" w:sz="4" w:space="0" w:color="auto"/>
            </w:tcBorders>
            <w:noWrap/>
            <w:vAlign w:val="center"/>
            <w:hideMark/>
          </w:tcPr>
          <w:p w14:paraId="6D7F82DC" w14:textId="77777777" w:rsidR="005A319E" w:rsidRPr="005A319E" w:rsidRDefault="005A319E" w:rsidP="005A319E">
            <w:pPr>
              <w:spacing w:after="0" w:line="240" w:lineRule="auto"/>
              <w:rPr>
                <w:rFonts w:ascii="Times New Roman" w:eastAsia="Times New Roman" w:hAnsi="Times New Roman" w:cs="Times New Roman"/>
                <w:color w:val="000000"/>
                <w:kern w:val="0"/>
                <w:sz w:val="16"/>
                <w:szCs w:val="16"/>
                <w:lang w:eastAsia="en-IN"/>
                <w14:ligatures w14:val="none"/>
              </w:rPr>
            </w:pPr>
            <w:r w:rsidRPr="005A319E">
              <w:rPr>
                <w:rFonts w:ascii="Times New Roman" w:eastAsia="Times New Roman" w:hAnsi="Times New Roman" w:cs="Times New Roman"/>
                <w:color w:val="000000"/>
                <w:kern w:val="0"/>
                <w:sz w:val="16"/>
                <w:szCs w:val="16"/>
                <w:lang w:eastAsia="en-IN"/>
                <w14:ligatures w14:val="none"/>
              </w:rPr>
              <w:t> </w:t>
            </w:r>
          </w:p>
        </w:tc>
        <w:tc>
          <w:tcPr>
            <w:tcW w:w="865" w:type="dxa"/>
            <w:tcBorders>
              <w:top w:val="nil"/>
              <w:left w:val="nil"/>
              <w:bottom w:val="single" w:sz="4" w:space="0" w:color="auto"/>
              <w:right w:val="single" w:sz="4" w:space="0" w:color="auto"/>
            </w:tcBorders>
            <w:noWrap/>
            <w:vAlign w:val="center"/>
            <w:hideMark/>
          </w:tcPr>
          <w:p w14:paraId="4FCC332C" w14:textId="77777777" w:rsidR="005A319E" w:rsidRPr="005A319E" w:rsidRDefault="005A319E" w:rsidP="005A319E">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5A319E">
              <w:rPr>
                <w:rFonts w:ascii="Times New Roman" w:eastAsia="Times New Roman" w:hAnsi="Times New Roman" w:cs="Times New Roman"/>
                <w:color w:val="000000"/>
                <w:kern w:val="0"/>
                <w:sz w:val="16"/>
                <w:szCs w:val="16"/>
                <w:lang w:eastAsia="en-IN"/>
                <w14:ligatures w14:val="none"/>
              </w:rPr>
              <w:t> </w:t>
            </w:r>
          </w:p>
        </w:tc>
        <w:tc>
          <w:tcPr>
            <w:tcW w:w="709" w:type="dxa"/>
            <w:tcBorders>
              <w:top w:val="nil"/>
              <w:left w:val="nil"/>
              <w:bottom w:val="single" w:sz="4" w:space="0" w:color="auto"/>
              <w:right w:val="single" w:sz="4" w:space="0" w:color="auto"/>
            </w:tcBorders>
            <w:noWrap/>
            <w:vAlign w:val="center"/>
            <w:hideMark/>
          </w:tcPr>
          <w:p w14:paraId="67D4058F" w14:textId="77777777" w:rsidR="005A319E" w:rsidRPr="005A319E" w:rsidRDefault="005A319E" w:rsidP="005A319E">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5A319E">
              <w:rPr>
                <w:rFonts w:ascii="Times New Roman" w:eastAsia="Times New Roman" w:hAnsi="Times New Roman" w:cs="Times New Roman"/>
                <w:color w:val="000000"/>
                <w:kern w:val="0"/>
                <w:sz w:val="16"/>
                <w:szCs w:val="16"/>
                <w:lang w:eastAsia="en-IN"/>
                <w14:ligatures w14:val="none"/>
              </w:rPr>
              <w:t> </w:t>
            </w:r>
          </w:p>
        </w:tc>
        <w:tc>
          <w:tcPr>
            <w:tcW w:w="708" w:type="dxa"/>
            <w:tcBorders>
              <w:top w:val="nil"/>
              <w:left w:val="nil"/>
              <w:bottom w:val="single" w:sz="4" w:space="0" w:color="auto"/>
              <w:right w:val="single" w:sz="4" w:space="0" w:color="auto"/>
            </w:tcBorders>
            <w:noWrap/>
            <w:vAlign w:val="center"/>
            <w:hideMark/>
          </w:tcPr>
          <w:p w14:paraId="4BE63257" w14:textId="77777777" w:rsidR="005A319E" w:rsidRPr="005A319E" w:rsidRDefault="005A319E" w:rsidP="005A319E">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5A319E">
              <w:rPr>
                <w:rFonts w:ascii="Times New Roman" w:eastAsia="Times New Roman" w:hAnsi="Times New Roman" w:cs="Times New Roman"/>
                <w:color w:val="000000"/>
                <w:kern w:val="0"/>
                <w:sz w:val="16"/>
                <w:szCs w:val="16"/>
                <w:lang w:eastAsia="en-IN"/>
                <w14:ligatures w14:val="none"/>
              </w:rPr>
              <w:t> </w:t>
            </w:r>
          </w:p>
        </w:tc>
        <w:tc>
          <w:tcPr>
            <w:tcW w:w="865" w:type="dxa"/>
            <w:tcBorders>
              <w:top w:val="nil"/>
              <w:left w:val="nil"/>
              <w:bottom w:val="single" w:sz="4" w:space="0" w:color="auto"/>
              <w:right w:val="single" w:sz="4" w:space="0" w:color="auto"/>
            </w:tcBorders>
            <w:noWrap/>
            <w:vAlign w:val="center"/>
            <w:hideMark/>
          </w:tcPr>
          <w:p w14:paraId="592602F4" w14:textId="77777777" w:rsidR="005A319E" w:rsidRPr="005A319E" w:rsidRDefault="005A319E" w:rsidP="005A319E">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5A319E">
              <w:rPr>
                <w:rFonts w:ascii="Times New Roman" w:eastAsia="Times New Roman" w:hAnsi="Times New Roman" w:cs="Times New Roman"/>
                <w:color w:val="000000"/>
                <w:kern w:val="0"/>
                <w:sz w:val="16"/>
                <w:szCs w:val="16"/>
                <w:lang w:eastAsia="en-IN"/>
                <w14:ligatures w14:val="none"/>
              </w:rPr>
              <w:t> </w:t>
            </w:r>
          </w:p>
        </w:tc>
        <w:tc>
          <w:tcPr>
            <w:tcW w:w="581" w:type="dxa"/>
            <w:tcBorders>
              <w:top w:val="nil"/>
              <w:left w:val="nil"/>
              <w:bottom w:val="single" w:sz="4" w:space="0" w:color="auto"/>
              <w:right w:val="single" w:sz="4" w:space="0" w:color="auto"/>
            </w:tcBorders>
            <w:noWrap/>
            <w:vAlign w:val="center"/>
            <w:hideMark/>
          </w:tcPr>
          <w:p w14:paraId="224C3232" w14:textId="77777777" w:rsidR="005A319E" w:rsidRPr="005A319E" w:rsidRDefault="005A319E" w:rsidP="005A319E">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5A319E">
              <w:rPr>
                <w:rFonts w:ascii="Times New Roman" w:eastAsia="Times New Roman" w:hAnsi="Times New Roman" w:cs="Times New Roman"/>
                <w:color w:val="000000"/>
                <w:kern w:val="0"/>
                <w:sz w:val="16"/>
                <w:szCs w:val="16"/>
                <w:lang w:eastAsia="en-IN"/>
                <w14:ligatures w14:val="none"/>
              </w:rPr>
              <w:t> </w:t>
            </w:r>
          </w:p>
        </w:tc>
        <w:tc>
          <w:tcPr>
            <w:tcW w:w="1004" w:type="dxa"/>
            <w:tcBorders>
              <w:top w:val="nil"/>
              <w:left w:val="nil"/>
              <w:bottom w:val="single" w:sz="4" w:space="0" w:color="auto"/>
              <w:right w:val="single" w:sz="4" w:space="0" w:color="auto"/>
            </w:tcBorders>
            <w:noWrap/>
            <w:vAlign w:val="center"/>
            <w:hideMark/>
          </w:tcPr>
          <w:p w14:paraId="602E5CB0" w14:textId="77777777" w:rsidR="005A319E" w:rsidRPr="005A319E" w:rsidRDefault="005A319E" w:rsidP="005A319E">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5A319E">
              <w:rPr>
                <w:rFonts w:ascii="Times New Roman" w:eastAsia="Times New Roman" w:hAnsi="Times New Roman" w:cs="Times New Roman"/>
                <w:color w:val="000000"/>
                <w:kern w:val="0"/>
                <w:sz w:val="16"/>
                <w:szCs w:val="16"/>
                <w:lang w:eastAsia="en-IN"/>
                <w14:ligatures w14:val="none"/>
              </w:rPr>
              <w:t> </w:t>
            </w:r>
          </w:p>
        </w:tc>
        <w:tc>
          <w:tcPr>
            <w:tcW w:w="865" w:type="dxa"/>
            <w:tcBorders>
              <w:top w:val="nil"/>
              <w:left w:val="nil"/>
              <w:bottom w:val="single" w:sz="4" w:space="0" w:color="auto"/>
              <w:right w:val="single" w:sz="4" w:space="0" w:color="auto"/>
            </w:tcBorders>
            <w:noWrap/>
            <w:vAlign w:val="center"/>
            <w:hideMark/>
          </w:tcPr>
          <w:p w14:paraId="6DA6B270" w14:textId="77777777" w:rsidR="005A319E" w:rsidRPr="005A319E" w:rsidRDefault="005A319E" w:rsidP="005A319E">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5A319E">
              <w:rPr>
                <w:rFonts w:ascii="Times New Roman" w:eastAsia="Times New Roman" w:hAnsi="Times New Roman" w:cs="Times New Roman"/>
                <w:color w:val="000000"/>
                <w:kern w:val="0"/>
                <w:sz w:val="16"/>
                <w:szCs w:val="16"/>
                <w:lang w:eastAsia="en-IN"/>
                <w14:ligatures w14:val="none"/>
              </w:rPr>
              <w:t> </w:t>
            </w:r>
          </w:p>
        </w:tc>
        <w:tc>
          <w:tcPr>
            <w:tcW w:w="995" w:type="dxa"/>
            <w:tcBorders>
              <w:top w:val="nil"/>
              <w:left w:val="nil"/>
              <w:bottom w:val="single" w:sz="4" w:space="0" w:color="auto"/>
              <w:right w:val="single" w:sz="4" w:space="0" w:color="auto"/>
            </w:tcBorders>
            <w:noWrap/>
            <w:vAlign w:val="center"/>
            <w:hideMark/>
          </w:tcPr>
          <w:p w14:paraId="2F185F1C" w14:textId="77777777" w:rsidR="005A319E" w:rsidRPr="005A319E" w:rsidRDefault="005A319E" w:rsidP="005A319E">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5A319E">
              <w:rPr>
                <w:rFonts w:ascii="Times New Roman" w:eastAsia="Times New Roman" w:hAnsi="Times New Roman" w:cs="Times New Roman"/>
                <w:color w:val="000000"/>
                <w:kern w:val="0"/>
                <w:sz w:val="16"/>
                <w:szCs w:val="16"/>
                <w:lang w:eastAsia="en-IN"/>
                <w14:ligatures w14:val="none"/>
              </w:rPr>
              <w:t> </w:t>
            </w:r>
          </w:p>
        </w:tc>
        <w:tc>
          <w:tcPr>
            <w:tcW w:w="916" w:type="dxa"/>
            <w:tcBorders>
              <w:top w:val="nil"/>
              <w:left w:val="nil"/>
              <w:bottom w:val="single" w:sz="4" w:space="0" w:color="auto"/>
              <w:right w:val="single" w:sz="4" w:space="0" w:color="auto"/>
            </w:tcBorders>
            <w:noWrap/>
            <w:vAlign w:val="center"/>
            <w:hideMark/>
          </w:tcPr>
          <w:p w14:paraId="550588B7" w14:textId="77777777" w:rsidR="005A319E" w:rsidRPr="005A319E" w:rsidRDefault="005A319E" w:rsidP="005A319E">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5A319E">
              <w:rPr>
                <w:rFonts w:ascii="Times New Roman" w:eastAsia="Times New Roman" w:hAnsi="Times New Roman" w:cs="Times New Roman"/>
                <w:color w:val="000000"/>
                <w:kern w:val="0"/>
                <w:sz w:val="16"/>
                <w:szCs w:val="16"/>
                <w:lang w:eastAsia="en-IN"/>
                <w14:ligatures w14:val="none"/>
              </w:rPr>
              <w:t> </w:t>
            </w:r>
          </w:p>
        </w:tc>
        <w:tc>
          <w:tcPr>
            <w:tcW w:w="865" w:type="dxa"/>
            <w:tcBorders>
              <w:top w:val="nil"/>
              <w:left w:val="nil"/>
              <w:bottom w:val="single" w:sz="4" w:space="0" w:color="auto"/>
              <w:right w:val="single" w:sz="4" w:space="0" w:color="auto"/>
            </w:tcBorders>
            <w:noWrap/>
            <w:vAlign w:val="center"/>
            <w:hideMark/>
          </w:tcPr>
          <w:p w14:paraId="505AC2A0" w14:textId="77777777" w:rsidR="005A319E" w:rsidRPr="005A319E" w:rsidRDefault="005A319E" w:rsidP="005A319E">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5A319E">
              <w:rPr>
                <w:rFonts w:ascii="Times New Roman" w:eastAsia="Times New Roman" w:hAnsi="Times New Roman" w:cs="Times New Roman"/>
                <w:color w:val="000000"/>
                <w:kern w:val="0"/>
                <w:sz w:val="16"/>
                <w:szCs w:val="16"/>
                <w:lang w:eastAsia="en-IN"/>
                <w14:ligatures w14:val="none"/>
              </w:rPr>
              <w:t> </w:t>
            </w:r>
          </w:p>
        </w:tc>
        <w:tc>
          <w:tcPr>
            <w:tcW w:w="581" w:type="dxa"/>
            <w:tcBorders>
              <w:top w:val="nil"/>
              <w:left w:val="nil"/>
              <w:bottom w:val="single" w:sz="4" w:space="0" w:color="auto"/>
              <w:right w:val="single" w:sz="4" w:space="0" w:color="auto"/>
            </w:tcBorders>
            <w:noWrap/>
            <w:vAlign w:val="center"/>
            <w:hideMark/>
          </w:tcPr>
          <w:p w14:paraId="44E94E6A" w14:textId="77777777" w:rsidR="005A319E" w:rsidRPr="005A319E" w:rsidRDefault="005A319E" w:rsidP="005A319E">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5A319E">
              <w:rPr>
                <w:rFonts w:ascii="Times New Roman" w:eastAsia="Times New Roman" w:hAnsi="Times New Roman" w:cs="Times New Roman"/>
                <w:color w:val="000000"/>
                <w:kern w:val="0"/>
                <w:sz w:val="16"/>
                <w:szCs w:val="16"/>
                <w:lang w:eastAsia="en-IN"/>
                <w14:ligatures w14:val="none"/>
              </w:rPr>
              <w:t> </w:t>
            </w:r>
          </w:p>
        </w:tc>
      </w:tr>
      <w:tr w:rsidR="005A319E" w:rsidRPr="005A319E" w14:paraId="4C6B1CA1" w14:textId="77777777" w:rsidTr="00D67840">
        <w:trPr>
          <w:trHeight w:val="22"/>
          <w:jc w:val="center"/>
        </w:trPr>
        <w:tc>
          <w:tcPr>
            <w:tcW w:w="1842" w:type="dxa"/>
            <w:tcBorders>
              <w:top w:val="nil"/>
              <w:left w:val="single" w:sz="4" w:space="0" w:color="auto"/>
              <w:bottom w:val="single" w:sz="4" w:space="0" w:color="auto"/>
              <w:right w:val="single" w:sz="4" w:space="0" w:color="auto"/>
            </w:tcBorders>
            <w:noWrap/>
            <w:vAlign w:val="center"/>
            <w:hideMark/>
          </w:tcPr>
          <w:p w14:paraId="43819A27" w14:textId="77777777" w:rsidR="005A319E" w:rsidRPr="005A319E" w:rsidRDefault="005A319E" w:rsidP="005A319E">
            <w:pPr>
              <w:spacing w:after="0" w:line="240" w:lineRule="auto"/>
              <w:rPr>
                <w:rFonts w:ascii="Times New Roman" w:eastAsia="Times New Roman" w:hAnsi="Times New Roman" w:cs="Times New Roman"/>
                <w:color w:val="000000"/>
                <w:kern w:val="0"/>
                <w:sz w:val="16"/>
                <w:szCs w:val="16"/>
                <w:lang w:eastAsia="en-IN"/>
                <w14:ligatures w14:val="none"/>
              </w:rPr>
            </w:pPr>
            <w:r w:rsidRPr="005A319E">
              <w:rPr>
                <w:rFonts w:ascii="Times New Roman" w:eastAsia="Times New Roman" w:hAnsi="Times New Roman" w:cs="Times New Roman"/>
                <w:color w:val="000000"/>
                <w:kern w:val="0"/>
                <w:sz w:val="16"/>
                <w:szCs w:val="16"/>
                <w:lang w:eastAsia="en-IN"/>
                <w14:ligatures w14:val="none"/>
              </w:rPr>
              <w:t>(a) Hydro</w:t>
            </w:r>
          </w:p>
        </w:tc>
        <w:tc>
          <w:tcPr>
            <w:tcW w:w="851" w:type="dxa"/>
            <w:tcBorders>
              <w:top w:val="nil"/>
              <w:left w:val="nil"/>
              <w:bottom w:val="single" w:sz="4" w:space="0" w:color="auto"/>
              <w:right w:val="single" w:sz="4" w:space="0" w:color="auto"/>
            </w:tcBorders>
            <w:noWrap/>
            <w:vAlign w:val="center"/>
            <w:hideMark/>
          </w:tcPr>
          <w:p w14:paraId="5E039AA4" w14:textId="77777777" w:rsidR="005A319E" w:rsidRPr="005A319E" w:rsidRDefault="005A319E" w:rsidP="005A319E">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5A319E">
              <w:rPr>
                <w:rFonts w:ascii="Times New Roman" w:eastAsia="Times New Roman" w:hAnsi="Times New Roman" w:cs="Times New Roman"/>
                <w:color w:val="000000"/>
                <w:kern w:val="0"/>
                <w:sz w:val="16"/>
                <w:szCs w:val="16"/>
                <w:lang w:eastAsia="en-IN"/>
                <w14:ligatures w14:val="none"/>
              </w:rPr>
              <w:t>8.61</w:t>
            </w:r>
          </w:p>
        </w:tc>
        <w:tc>
          <w:tcPr>
            <w:tcW w:w="992" w:type="dxa"/>
            <w:tcBorders>
              <w:top w:val="nil"/>
              <w:left w:val="nil"/>
              <w:bottom w:val="single" w:sz="4" w:space="0" w:color="auto"/>
              <w:right w:val="single" w:sz="4" w:space="0" w:color="auto"/>
            </w:tcBorders>
            <w:noWrap/>
            <w:vAlign w:val="center"/>
            <w:hideMark/>
          </w:tcPr>
          <w:p w14:paraId="4B506290" w14:textId="77777777" w:rsidR="005A319E" w:rsidRPr="005A319E" w:rsidRDefault="005A319E" w:rsidP="005A319E">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5A319E">
              <w:rPr>
                <w:rFonts w:ascii="Times New Roman" w:eastAsia="Times New Roman" w:hAnsi="Times New Roman" w:cs="Times New Roman"/>
                <w:color w:val="000000"/>
                <w:kern w:val="0"/>
                <w:sz w:val="16"/>
                <w:szCs w:val="16"/>
                <w:lang w:eastAsia="en-IN"/>
                <w14:ligatures w14:val="none"/>
              </w:rPr>
              <w:t>1.29</w:t>
            </w:r>
          </w:p>
        </w:tc>
        <w:tc>
          <w:tcPr>
            <w:tcW w:w="581" w:type="dxa"/>
            <w:tcBorders>
              <w:top w:val="nil"/>
              <w:left w:val="nil"/>
              <w:bottom w:val="single" w:sz="4" w:space="0" w:color="auto"/>
              <w:right w:val="single" w:sz="4" w:space="0" w:color="auto"/>
            </w:tcBorders>
            <w:noWrap/>
            <w:vAlign w:val="center"/>
            <w:hideMark/>
          </w:tcPr>
          <w:p w14:paraId="65E2181C" w14:textId="77777777" w:rsidR="005A319E" w:rsidRPr="005A319E" w:rsidRDefault="005A319E" w:rsidP="005A319E">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5A319E">
              <w:rPr>
                <w:rFonts w:ascii="Times New Roman" w:eastAsia="Times New Roman" w:hAnsi="Times New Roman" w:cs="Times New Roman"/>
                <w:color w:val="000000"/>
                <w:kern w:val="0"/>
                <w:sz w:val="16"/>
                <w:szCs w:val="16"/>
                <w:lang w:eastAsia="en-IN"/>
                <w14:ligatures w14:val="none"/>
              </w:rPr>
              <w:t>9.90</w:t>
            </w:r>
          </w:p>
        </w:tc>
        <w:tc>
          <w:tcPr>
            <w:tcW w:w="992" w:type="dxa"/>
            <w:tcBorders>
              <w:top w:val="nil"/>
              <w:left w:val="nil"/>
              <w:bottom w:val="single" w:sz="4" w:space="0" w:color="auto"/>
              <w:right w:val="single" w:sz="4" w:space="0" w:color="auto"/>
            </w:tcBorders>
            <w:noWrap/>
            <w:vAlign w:val="center"/>
            <w:hideMark/>
          </w:tcPr>
          <w:p w14:paraId="2DC3D64B" w14:textId="77777777" w:rsidR="005A319E" w:rsidRPr="005A319E" w:rsidRDefault="005A319E" w:rsidP="005A319E">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5A319E">
              <w:rPr>
                <w:rFonts w:ascii="Times New Roman" w:eastAsia="Times New Roman" w:hAnsi="Times New Roman" w:cs="Times New Roman"/>
                <w:color w:val="000000"/>
                <w:kern w:val="0"/>
                <w:sz w:val="16"/>
                <w:szCs w:val="16"/>
                <w:lang w:eastAsia="en-IN"/>
                <w14:ligatures w14:val="none"/>
              </w:rPr>
              <w:t>11.00</w:t>
            </w:r>
          </w:p>
        </w:tc>
        <w:tc>
          <w:tcPr>
            <w:tcW w:w="865" w:type="dxa"/>
            <w:tcBorders>
              <w:top w:val="nil"/>
              <w:left w:val="nil"/>
              <w:bottom w:val="single" w:sz="4" w:space="0" w:color="auto"/>
              <w:right w:val="single" w:sz="4" w:space="0" w:color="auto"/>
            </w:tcBorders>
            <w:noWrap/>
            <w:vAlign w:val="center"/>
            <w:hideMark/>
          </w:tcPr>
          <w:p w14:paraId="4D00D935" w14:textId="77777777" w:rsidR="005A319E" w:rsidRPr="005A319E" w:rsidRDefault="005A319E" w:rsidP="005A319E">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5A319E">
              <w:rPr>
                <w:rFonts w:ascii="Times New Roman" w:eastAsia="Times New Roman" w:hAnsi="Times New Roman" w:cs="Times New Roman"/>
                <w:color w:val="000000"/>
                <w:kern w:val="0"/>
                <w:sz w:val="16"/>
                <w:szCs w:val="16"/>
                <w:lang w:eastAsia="en-IN"/>
                <w14:ligatures w14:val="none"/>
              </w:rPr>
              <w:t>1.65</w:t>
            </w:r>
          </w:p>
        </w:tc>
        <w:tc>
          <w:tcPr>
            <w:tcW w:w="709" w:type="dxa"/>
            <w:tcBorders>
              <w:top w:val="nil"/>
              <w:left w:val="nil"/>
              <w:bottom w:val="single" w:sz="4" w:space="0" w:color="auto"/>
              <w:right w:val="single" w:sz="4" w:space="0" w:color="auto"/>
            </w:tcBorders>
            <w:noWrap/>
            <w:vAlign w:val="center"/>
            <w:hideMark/>
          </w:tcPr>
          <w:p w14:paraId="3499978D" w14:textId="77777777" w:rsidR="005A319E" w:rsidRPr="005A319E" w:rsidRDefault="005A319E" w:rsidP="005A319E">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5A319E">
              <w:rPr>
                <w:rFonts w:ascii="Times New Roman" w:eastAsia="Times New Roman" w:hAnsi="Times New Roman" w:cs="Times New Roman"/>
                <w:color w:val="000000"/>
                <w:kern w:val="0"/>
                <w:sz w:val="16"/>
                <w:szCs w:val="16"/>
                <w:lang w:eastAsia="en-IN"/>
                <w14:ligatures w14:val="none"/>
              </w:rPr>
              <w:t>12.65</w:t>
            </w:r>
          </w:p>
        </w:tc>
        <w:tc>
          <w:tcPr>
            <w:tcW w:w="708" w:type="dxa"/>
            <w:tcBorders>
              <w:top w:val="nil"/>
              <w:left w:val="nil"/>
              <w:bottom w:val="single" w:sz="4" w:space="0" w:color="auto"/>
              <w:right w:val="single" w:sz="4" w:space="0" w:color="auto"/>
            </w:tcBorders>
            <w:noWrap/>
            <w:vAlign w:val="center"/>
            <w:hideMark/>
          </w:tcPr>
          <w:p w14:paraId="0357D923" w14:textId="77777777" w:rsidR="005A319E" w:rsidRPr="005A319E" w:rsidRDefault="005A319E" w:rsidP="005A319E">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5A319E">
              <w:rPr>
                <w:rFonts w:ascii="Times New Roman" w:eastAsia="Times New Roman" w:hAnsi="Times New Roman" w:cs="Times New Roman"/>
                <w:color w:val="000000"/>
                <w:kern w:val="0"/>
                <w:sz w:val="16"/>
                <w:szCs w:val="16"/>
                <w:lang w:eastAsia="en-IN"/>
                <w14:ligatures w14:val="none"/>
              </w:rPr>
              <w:t>11.00</w:t>
            </w:r>
          </w:p>
        </w:tc>
        <w:tc>
          <w:tcPr>
            <w:tcW w:w="865" w:type="dxa"/>
            <w:tcBorders>
              <w:top w:val="nil"/>
              <w:left w:val="nil"/>
              <w:bottom w:val="single" w:sz="4" w:space="0" w:color="auto"/>
              <w:right w:val="single" w:sz="4" w:space="0" w:color="auto"/>
            </w:tcBorders>
            <w:noWrap/>
            <w:vAlign w:val="center"/>
            <w:hideMark/>
          </w:tcPr>
          <w:p w14:paraId="5C31D02E" w14:textId="77777777" w:rsidR="005A319E" w:rsidRPr="005A319E" w:rsidRDefault="005A319E" w:rsidP="005A319E">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5A319E">
              <w:rPr>
                <w:rFonts w:ascii="Times New Roman" w:eastAsia="Times New Roman" w:hAnsi="Times New Roman" w:cs="Times New Roman"/>
                <w:color w:val="000000"/>
                <w:kern w:val="0"/>
                <w:sz w:val="16"/>
                <w:szCs w:val="16"/>
                <w:lang w:eastAsia="en-IN"/>
                <w14:ligatures w14:val="none"/>
              </w:rPr>
              <w:t>1.65</w:t>
            </w:r>
          </w:p>
        </w:tc>
        <w:tc>
          <w:tcPr>
            <w:tcW w:w="581" w:type="dxa"/>
            <w:tcBorders>
              <w:top w:val="nil"/>
              <w:left w:val="nil"/>
              <w:bottom w:val="single" w:sz="4" w:space="0" w:color="auto"/>
              <w:right w:val="single" w:sz="4" w:space="0" w:color="auto"/>
            </w:tcBorders>
            <w:noWrap/>
            <w:vAlign w:val="center"/>
            <w:hideMark/>
          </w:tcPr>
          <w:p w14:paraId="7E0C64F3" w14:textId="77777777" w:rsidR="005A319E" w:rsidRPr="005A319E" w:rsidRDefault="005A319E" w:rsidP="005A319E">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5A319E">
              <w:rPr>
                <w:rFonts w:ascii="Times New Roman" w:eastAsia="Times New Roman" w:hAnsi="Times New Roman" w:cs="Times New Roman"/>
                <w:color w:val="000000"/>
                <w:kern w:val="0"/>
                <w:sz w:val="16"/>
                <w:szCs w:val="16"/>
                <w:lang w:eastAsia="en-IN"/>
                <w14:ligatures w14:val="none"/>
              </w:rPr>
              <w:t>12.65</w:t>
            </w:r>
          </w:p>
        </w:tc>
        <w:tc>
          <w:tcPr>
            <w:tcW w:w="1004" w:type="dxa"/>
            <w:tcBorders>
              <w:top w:val="nil"/>
              <w:left w:val="nil"/>
              <w:bottom w:val="single" w:sz="4" w:space="0" w:color="auto"/>
              <w:right w:val="single" w:sz="4" w:space="0" w:color="auto"/>
            </w:tcBorders>
            <w:noWrap/>
            <w:vAlign w:val="center"/>
            <w:hideMark/>
          </w:tcPr>
          <w:p w14:paraId="3C89C23A" w14:textId="77777777" w:rsidR="005A319E" w:rsidRPr="005A319E" w:rsidRDefault="005A319E" w:rsidP="005A319E">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5A319E">
              <w:rPr>
                <w:rFonts w:ascii="Times New Roman" w:eastAsia="Times New Roman" w:hAnsi="Times New Roman" w:cs="Times New Roman"/>
                <w:color w:val="000000"/>
                <w:kern w:val="0"/>
                <w:sz w:val="16"/>
                <w:szCs w:val="16"/>
                <w:lang w:eastAsia="en-IN"/>
                <w14:ligatures w14:val="none"/>
              </w:rPr>
              <w:t>9.00</w:t>
            </w:r>
          </w:p>
        </w:tc>
        <w:tc>
          <w:tcPr>
            <w:tcW w:w="865" w:type="dxa"/>
            <w:tcBorders>
              <w:top w:val="nil"/>
              <w:left w:val="nil"/>
              <w:bottom w:val="single" w:sz="4" w:space="0" w:color="auto"/>
              <w:right w:val="single" w:sz="4" w:space="0" w:color="auto"/>
            </w:tcBorders>
            <w:noWrap/>
            <w:vAlign w:val="center"/>
            <w:hideMark/>
          </w:tcPr>
          <w:p w14:paraId="0BECFFF8" w14:textId="77777777" w:rsidR="005A319E" w:rsidRPr="005A319E" w:rsidRDefault="005A319E" w:rsidP="005A319E">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5A319E">
              <w:rPr>
                <w:rFonts w:ascii="Times New Roman" w:eastAsia="Times New Roman" w:hAnsi="Times New Roman" w:cs="Times New Roman"/>
                <w:color w:val="000000"/>
                <w:kern w:val="0"/>
                <w:sz w:val="16"/>
                <w:szCs w:val="16"/>
                <w:lang w:eastAsia="en-IN"/>
                <w14:ligatures w14:val="none"/>
              </w:rPr>
              <w:t>1.35</w:t>
            </w:r>
          </w:p>
        </w:tc>
        <w:tc>
          <w:tcPr>
            <w:tcW w:w="995" w:type="dxa"/>
            <w:tcBorders>
              <w:top w:val="nil"/>
              <w:left w:val="nil"/>
              <w:bottom w:val="single" w:sz="4" w:space="0" w:color="auto"/>
              <w:right w:val="single" w:sz="4" w:space="0" w:color="auto"/>
            </w:tcBorders>
            <w:noWrap/>
            <w:vAlign w:val="center"/>
            <w:hideMark/>
          </w:tcPr>
          <w:p w14:paraId="1E2478DB" w14:textId="77777777" w:rsidR="005A319E" w:rsidRPr="005A319E" w:rsidRDefault="005A319E" w:rsidP="005A319E">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5A319E">
              <w:rPr>
                <w:rFonts w:ascii="Times New Roman" w:eastAsia="Times New Roman" w:hAnsi="Times New Roman" w:cs="Times New Roman"/>
                <w:color w:val="000000"/>
                <w:kern w:val="0"/>
                <w:sz w:val="16"/>
                <w:szCs w:val="16"/>
                <w:lang w:eastAsia="en-IN"/>
                <w14:ligatures w14:val="none"/>
              </w:rPr>
              <w:t>10.35</w:t>
            </w:r>
          </w:p>
        </w:tc>
        <w:tc>
          <w:tcPr>
            <w:tcW w:w="916" w:type="dxa"/>
            <w:tcBorders>
              <w:top w:val="nil"/>
              <w:left w:val="nil"/>
              <w:bottom w:val="single" w:sz="4" w:space="0" w:color="auto"/>
              <w:right w:val="single" w:sz="4" w:space="0" w:color="auto"/>
            </w:tcBorders>
            <w:noWrap/>
            <w:vAlign w:val="center"/>
            <w:hideMark/>
          </w:tcPr>
          <w:p w14:paraId="783D2007" w14:textId="77777777" w:rsidR="005A319E" w:rsidRPr="005A319E" w:rsidRDefault="005A319E" w:rsidP="005A319E">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5A319E">
              <w:rPr>
                <w:rFonts w:ascii="Times New Roman" w:eastAsia="Times New Roman" w:hAnsi="Times New Roman" w:cs="Times New Roman"/>
                <w:color w:val="000000"/>
                <w:kern w:val="0"/>
                <w:sz w:val="16"/>
                <w:szCs w:val="16"/>
                <w:lang w:eastAsia="en-IN"/>
                <w14:ligatures w14:val="none"/>
              </w:rPr>
              <w:t>9.00</w:t>
            </w:r>
          </w:p>
        </w:tc>
        <w:tc>
          <w:tcPr>
            <w:tcW w:w="865" w:type="dxa"/>
            <w:tcBorders>
              <w:top w:val="nil"/>
              <w:left w:val="nil"/>
              <w:bottom w:val="single" w:sz="4" w:space="0" w:color="auto"/>
              <w:right w:val="single" w:sz="4" w:space="0" w:color="auto"/>
            </w:tcBorders>
            <w:noWrap/>
            <w:vAlign w:val="center"/>
            <w:hideMark/>
          </w:tcPr>
          <w:p w14:paraId="5C02AEC4" w14:textId="77777777" w:rsidR="005A319E" w:rsidRPr="005A319E" w:rsidRDefault="005A319E" w:rsidP="005A319E">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5A319E">
              <w:rPr>
                <w:rFonts w:ascii="Times New Roman" w:eastAsia="Times New Roman" w:hAnsi="Times New Roman" w:cs="Times New Roman"/>
                <w:color w:val="000000"/>
                <w:kern w:val="0"/>
                <w:sz w:val="16"/>
                <w:szCs w:val="16"/>
                <w:lang w:eastAsia="en-IN"/>
                <w14:ligatures w14:val="none"/>
              </w:rPr>
              <w:t>1.35</w:t>
            </w:r>
          </w:p>
        </w:tc>
        <w:tc>
          <w:tcPr>
            <w:tcW w:w="581" w:type="dxa"/>
            <w:tcBorders>
              <w:top w:val="nil"/>
              <w:left w:val="nil"/>
              <w:bottom w:val="single" w:sz="4" w:space="0" w:color="auto"/>
              <w:right w:val="single" w:sz="4" w:space="0" w:color="auto"/>
            </w:tcBorders>
            <w:noWrap/>
            <w:vAlign w:val="center"/>
            <w:hideMark/>
          </w:tcPr>
          <w:p w14:paraId="6DF789B7" w14:textId="77777777" w:rsidR="005A319E" w:rsidRPr="005A319E" w:rsidRDefault="005A319E" w:rsidP="005A319E">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5A319E">
              <w:rPr>
                <w:rFonts w:ascii="Times New Roman" w:eastAsia="Times New Roman" w:hAnsi="Times New Roman" w:cs="Times New Roman"/>
                <w:color w:val="000000"/>
                <w:kern w:val="0"/>
                <w:sz w:val="16"/>
                <w:szCs w:val="16"/>
                <w:lang w:eastAsia="en-IN"/>
                <w14:ligatures w14:val="none"/>
              </w:rPr>
              <w:t>10.35</w:t>
            </w:r>
          </w:p>
        </w:tc>
      </w:tr>
      <w:tr w:rsidR="005A319E" w:rsidRPr="005A319E" w14:paraId="1E93AB4C" w14:textId="77777777" w:rsidTr="00D67840">
        <w:trPr>
          <w:trHeight w:val="22"/>
          <w:jc w:val="center"/>
        </w:trPr>
        <w:tc>
          <w:tcPr>
            <w:tcW w:w="1842" w:type="dxa"/>
            <w:tcBorders>
              <w:top w:val="nil"/>
              <w:left w:val="single" w:sz="4" w:space="0" w:color="auto"/>
              <w:bottom w:val="single" w:sz="4" w:space="0" w:color="auto"/>
              <w:right w:val="single" w:sz="4" w:space="0" w:color="auto"/>
            </w:tcBorders>
            <w:noWrap/>
            <w:vAlign w:val="center"/>
            <w:hideMark/>
          </w:tcPr>
          <w:p w14:paraId="44361CBD" w14:textId="77777777" w:rsidR="005A319E" w:rsidRPr="005A319E" w:rsidRDefault="005A319E" w:rsidP="005A319E">
            <w:pPr>
              <w:spacing w:after="0" w:line="240" w:lineRule="auto"/>
              <w:rPr>
                <w:rFonts w:ascii="Times New Roman" w:eastAsia="Times New Roman" w:hAnsi="Times New Roman" w:cs="Times New Roman"/>
                <w:color w:val="000000"/>
                <w:kern w:val="0"/>
                <w:sz w:val="16"/>
                <w:szCs w:val="16"/>
                <w:lang w:eastAsia="en-IN"/>
                <w14:ligatures w14:val="none"/>
              </w:rPr>
            </w:pPr>
            <w:r w:rsidRPr="005A319E">
              <w:rPr>
                <w:rFonts w:ascii="Times New Roman" w:eastAsia="Times New Roman" w:hAnsi="Times New Roman" w:cs="Times New Roman"/>
                <w:color w:val="000000"/>
                <w:kern w:val="0"/>
                <w:sz w:val="16"/>
                <w:szCs w:val="16"/>
                <w:lang w:eastAsia="en-IN"/>
                <w14:ligatures w14:val="none"/>
              </w:rPr>
              <w:t>(b) Diesel</w:t>
            </w:r>
          </w:p>
        </w:tc>
        <w:tc>
          <w:tcPr>
            <w:tcW w:w="851" w:type="dxa"/>
            <w:tcBorders>
              <w:top w:val="nil"/>
              <w:left w:val="nil"/>
              <w:bottom w:val="single" w:sz="4" w:space="0" w:color="auto"/>
              <w:right w:val="single" w:sz="4" w:space="0" w:color="auto"/>
            </w:tcBorders>
            <w:noWrap/>
            <w:vAlign w:val="center"/>
            <w:hideMark/>
          </w:tcPr>
          <w:p w14:paraId="6AF946BD" w14:textId="77777777" w:rsidR="005A319E" w:rsidRPr="005A319E" w:rsidRDefault="005A319E" w:rsidP="005A319E">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5A319E">
              <w:rPr>
                <w:rFonts w:ascii="Times New Roman" w:eastAsia="Times New Roman" w:hAnsi="Times New Roman" w:cs="Times New Roman"/>
                <w:color w:val="000000"/>
                <w:kern w:val="0"/>
                <w:sz w:val="16"/>
                <w:szCs w:val="16"/>
                <w:lang w:eastAsia="en-IN"/>
                <w14:ligatures w14:val="none"/>
              </w:rPr>
              <w:t>22.00</w:t>
            </w:r>
          </w:p>
        </w:tc>
        <w:tc>
          <w:tcPr>
            <w:tcW w:w="992" w:type="dxa"/>
            <w:tcBorders>
              <w:top w:val="nil"/>
              <w:left w:val="nil"/>
              <w:bottom w:val="single" w:sz="4" w:space="0" w:color="auto"/>
              <w:right w:val="single" w:sz="4" w:space="0" w:color="auto"/>
            </w:tcBorders>
            <w:noWrap/>
            <w:vAlign w:val="center"/>
            <w:hideMark/>
          </w:tcPr>
          <w:p w14:paraId="781BB6D2" w14:textId="77777777" w:rsidR="005A319E" w:rsidRPr="005A319E" w:rsidRDefault="005A319E" w:rsidP="005A319E">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5A319E">
              <w:rPr>
                <w:rFonts w:ascii="Times New Roman" w:eastAsia="Times New Roman" w:hAnsi="Times New Roman" w:cs="Times New Roman"/>
                <w:color w:val="000000"/>
                <w:kern w:val="0"/>
                <w:sz w:val="16"/>
                <w:szCs w:val="16"/>
                <w:lang w:eastAsia="en-IN"/>
                <w14:ligatures w14:val="none"/>
              </w:rPr>
              <w:t>3.30</w:t>
            </w:r>
          </w:p>
        </w:tc>
        <w:tc>
          <w:tcPr>
            <w:tcW w:w="581" w:type="dxa"/>
            <w:tcBorders>
              <w:top w:val="nil"/>
              <w:left w:val="nil"/>
              <w:bottom w:val="single" w:sz="4" w:space="0" w:color="auto"/>
              <w:right w:val="single" w:sz="4" w:space="0" w:color="auto"/>
            </w:tcBorders>
            <w:noWrap/>
            <w:vAlign w:val="center"/>
            <w:hideMark/>
          </w:tcPr>
          <w:p w14:paraId="5A41815C" w14:textId="77777777" w:rsidR="005A319E" w:rsidRPr="005A319E" w:rsidRDefault="005A319E" w:rsidP="005A319E">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5A319E">
              <w:rPr>
                <w:rFonts w:ascii="Times New Roman" w:eastAsia="Times New Roman" w:hAnsi="Times New Roman" w:cs="Times New Roman"/>
                <w:color w:val="000000"/>
                <w:kern w:val="0"/>
                <w:sz w:val="16"/>
                <w:szCs w:val="16"/>
                <w:lang w:eastAsia="en-IN"/>
                <w14:ligatures w14:val="none"/>
              </w:rPr>
              <w:t>25.30</w:t>
            </w:r>
          </w:p>
        </w:tc>
        <w:tc>
          <w:tcPr>
            <w:tcW w:w="992" w:type="dxa"/>
            <w:tcBorders>
              <w:top w:val="nil"/>
              <w:left w:val="nil"/>
              <w:bottom w:val="single" w:sz="4" w:space="0" w:color="auto"/>
              <w:right w:val="single" w:sz="4" w:space="0" w:color="auto"/>
            </w:tcBorders>
            <w:noWrap/>
            <w:vAlign w:val="center"/>
            <w:hideMark/>
          </w:tcPr>
          <w:p w14:paraId="1E0C95FE" w14:textId="77777777" w:rsidR="005A319E" w:rsidRPr="005A319E" w:rsidRDefault="005A319E" w:rsidP="005A319E">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5A319E">
              <w:rPr>
                <w:rFonts w:ascii="Times New Roman" w:eastAsia="Times New Roman" w:hAnsi="Times New Roman" w:cs="Times New Roman"/>
                <w:color w:val="000000"/>
                <w:kern w:val="0"/>
                <w:sz w:val="16"/>
                <w:szCs w:val="16"/>
                <w:lang w:eastAsia="en-IN"/>
                <w14:ligatures w14:val="none"/>
              </w:rPr>
              <w:t>22.00</w:t>
            </w:r>
          </w:p>
        </w:tc>
        <w:tc>
          <w:tcPr>
            <w:tcW w:w="865" w:type="dxa"/>
            <w:tcBorders>
              <w:top w:val="nil"/>
              <w:left w:val="nil"/>
              <w:bottom w:val="single" w:sz="4" w:space="0" w:color="auto"/>
              <w:right w:val="single" w:sz="4" w:space="0" w:color="auto"/>
            </w:tcBorders>
            <w:noWrap/>
            <w:vAlign w:val="center"/>
            <w:hideMark/>
          </w:tcPr>
          <w:p w14:paraId="63E2F681" w14:textId="77777777" w:rsidR="005A319E" w:rsidRPr="005A319E" w:rsidRDefault="005A319E" w:rsidP="005A319E">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5A319E">
              <w:rPr>
                <w:rFonts w:ascii="Times New Roman" w:eastAsia="Times New Roman" w:hAnsi="Times New Roman" w:cs="Times New Roman"/>
                <w:color w:val="000000"/>
                <w:kern w:val="0"/>
                <w:sz w:val="16"/>
                <w:szCs w:val="16"/>
                <w:lang w:eastAsia="en-IN"/>
                <w14:ligatures w14:val="none"/>
              </w:rPr>
              <w:t>3.30</w:t>
            </w:r>
          </w:p>
        </w:tc>
        <w:tc>
          <w:tcPr>
            <w:tcW w:w="709" w:type="dxa"/>
            <w:tcBorders>
              <w:top w:val="nil"/>
              <w:left w:val="nil"/>
              <w:bottom w:val="single" w:sz="4" w:space="0" w:color="auto"/>
              <w:right w:val="single" w:sz="4" w:space="0" w:color="auto"/>
            </w:tcBorders>
            <w:noWrap/>
            <w:vAlign w:val="center"/>
            <w:hideMark/>
          </w:tcPr>
          <w:p w14:paraId="1517ACC6" w14:textId="77777777" w:rsidR="005A319E" w:rsidRPr="005A319E" w:rsidRDefault="005A319E" w:rsidP="005A319E">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5A319E">
              <w:rPr>
                <w:rFonts w:ascii="Times New Roman" w:eastAsia="Times New Roman" w:hAnsi="Times New Roman" w:cs="Times New Roman"/>
                <w:color w:val="000000"/>
                <w:kern w:val="0"/>
                <w:sz w:val="16"/>
                <w:szCs w:val="16"/>
                <w:lang w:eastAsia="en-IN"/>
                <w14:ligatures w14:val="none"/>
              </w:rPr>
              <w:t>25.30</w:t>
            </w:r>
          </w:p>
        </w:tc>
        <w:tc>
          <w:tcPr>
            <w:tcW w:w="708" w:type="dxa"/>
            <w:tcBorders>
              <w:top w:val="nil"/>
              <w:left w:val="nil"/>
              <w:bottom w:val="single" w:sz="4" w:space="0" w:color="auto"/>
              <w:right w:val="single" w:sz="4" w:space="0" w:color="auto"/>
            </w:tcBorders>
            <w:noWrap/>
            <w:vAlign w:val="center"/>
            <w:hideMark/>
          </w:tcPr>
          <w:p w14:paraId="484BEFB6" w14:textId="77777777" w:rsidR="005A319E" w:rsidRPr="005A319E" w:rsidRDefault="005A319E" w:rsidP="005A319E">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5A319E">
              <w:rPr>
                <w:rFonts w:ascii="Times New Roman" w:eastAsia="Times New Roman" w:hAnsi="Times New Roman" w:cs="Times New Roman"/>
                <w:color w:val="000000"/>
                <w:kern w:val="0"/>
                <w:sz w:val="16"/>
                <w:szCs w:val="16"/>
                <w:lang w:eastAsia="en-IN"/>
                <w14:ligatures w14:val="none"/>
              </w:rPr>
              <w:t>22.00</w:t>
            </w:r>
          </w:p>
        </w:tc>
        <w:tc>
          <w:tcPr>
            <w:tcW w:w="865" w:type="dxa"/>
            <w:tcBorders>
              <w:top w:val="nil"/>
              <w:left w:val="nil"/>
              <w:bottom w:val="single" w:sz="4" w:space="0" w:color="auto"/>
              <w:right w:val="single" w:sz="4" w:space="0" w:color="auto"/>
            </w:tcBorders>
            <w:noWrap/>
            <w:vAlign w:val="center"/>
            <w:hideMark/>
          </w:tcPr>
          <w:p w14:paraId="2437F368" w14:textId="77777777" w:rsidR="005A319E" w:rsidRPr="005A319E" w:rsidRDefault="005A319E" w:rsidP="005A319E">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5A319E">
              <w:rPr>
                <w:rFonts w:ascii="Times New Roman" w:eastAsia="Times New Roman" w:hAnsi="Times New Roman" w:cs="Times New Roman"/>
                <w:color w:val="000000"/>
                <w:kern w:val="0"/>
                <w:sz w:val="16"/>
                <w:szCs w:val="16"/>
                <w:lang w:eastAsia="en-IN"/>
                <w14:ligatures w14:val="none"/>
              </w:rPr>
              <w:t>3.30</w:t>
            </w:r>
          </w:p>
        </w:tc>
        <w:tc>
          <w:tcPr>
            <w:tcW w:w="581" w:type="dxa"/>
            <w:tcBorders>
              <w:top w:val="nil"/>
              <w:left w:val="nil"/>
              <w:bottom w:val="single" w:sz="4" w:space="0" w:color="auto"/>
              <w:right w:val="single" w:sz="4" w:space="0" w:color="auto"/>
            </w:tcBorders>
            <w:noWrap/>
            <w:vAlign w:val="center"/>
            <w:hideMark/>
          </w:tcPr>
          <w:p w14:paraId="1181B1E7" w14:textId="77777777" w:rsidR="005A319E" w:rsidRPr="005A319E" w:rsidRDefault="005A319E" w:rsidP="005A319E">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5A319E">
              <w:rPr>
                <w:rFonts w:ascii="Times New Roman" w:eastAsia="Times New Roman" w:hAnsi="Times New Roman" w:cs="Times New Roman"/>
                <w:color w:val="000000"/>
                <w:kern w:val="0"/>
                <w:sz w:val="16"/>
                <w:szCs w:val="16"/>
                <w:lang w:eastAsia="en-IN"/>
                <w14:ligatures w14:val="none"/>
              </w:rPr>
              <w:t>25.30</w:t>
            </w:r>
          </w:p>
        </w:tc>
        <w:tc>
          <w:tcPr>
            <w:tcW w:w="1004" w:type="dxa"/>
            <w:tcBorders>
              <w:top w:val="nil"/>
              <w:left w:val="nil"/>
              <w:bottom w:val="single" w:sz="4" w:space="0" w:color="auto"/>
              <w:right w:val="single" w:sz="4" w:space="0" w:color="auto"/>
            </w:tcBorders>
            <w:noWrap/>
            <w:vAlign w:val="center"/>
            <w:hideMark/>
          </w:tcPr>
          <w:p w14:paraId="3792AB95" w14:textId="77777777" w:rsidR="005A319E" w:rsidRPr="005A319E" w:rsidRDefault="005A319E" w:rsidP="005A319E">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5A319E">
              <w:rPr>
                <w:rFonts w:ascii="Times New Roman" w:eastAsia="Times New Roman" w:hAnsi="Times New Roman" w:cs="Times New Roman"/>
                <w:color w:val="000000"/>
                <w:kern w:val="0"/>
                <w:sz w:val="16"/>
                <w:szCs w:val="16"/>
                <w:lang w:eastAsia="en-IN"/>
                <w14:ligatures w14:val="none"/>
              </w:rPr>
              <w:t>..</w:t>
            </w:r>
          </w:p>
        </w:tc>
        <w:tc>
          <w:tcPr>
            <w:tcW w:w="865" w:type="dxa"/>
            <w:tcBorders>
              <w:top w:val="nil"/>
              <w:left w:val="nil"/>
              <w:bottom w:val="single" w:sz="4" w:space="0" w:color="auto"/>
              <w:right w:val="single" w:sz="4" w:space="0" w:color="auto"/>
            </w:tcBorders>
            <w:noWrap/>
            <w:vAlign w:val="center"/>
            <w:hideMark/>
          </w:tcPr>
          <w:p w14:paraId="10CD439B" w14:textId="77777777" w:rsidR="005A319E" w:rsidRPr="005A319E" w:rsidRDefault="005A319E" w:rsidP="005A319E">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5A319E">
              <w:rPr>
                <w:rFonts w:ascii="Times New Roman" w:eastAsia="Times New Roman" w:hAnsi="Times New Roman" w:cs="Times New Roman"/>
                <w:color w:val="000000"/>
                <w:kern w:val="0"/>
                <w:sz w:val="16"/>
                <w:szCs w:val="16"/>
                <w:lang w:eastAsia="en-IN"/>
                <w14:ligatures w14:val="none"/>
              </w:rPr>
              <w:t>..</w:t>
            </w:r>
          </w:p>
        </w:tc>
        <w:tc>
          <w:tcPr>
            <w:tcW w:w="995" w:type="dxa"/>
            <w:tcBorders>
              <w:top w:val="nil"/>
              <w:left w:val="nil"/>
              <w:bottom w:val="single" w:sz="4" w:space="0" w:color="auto"/>
              <w:right w:val="single" w:sz="4" w:space="0" w:color="auto"/>
            </w:tcBorders>
            <w:noWrap/>
            <w:vAlign w:val="center"/>
            <w:hideMark/>
          </w:tcPr>
          <w:p w14:paraId="2DA747EF" w14:textId="77777777" w:rsidR="005A319E" w:rsidRPr="005A319E" w:rsidRDefault="005A319E" w:rsidP="005A319E">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5A319E">
              <w:rPr>
                <w:rFonts w:ascii="Times New Roman" w:eastAsia="Times New Roman" w:hAnsi="Times New Roman" w:cs="Times New Roman"/>
                <w:color w:val="000000"/>
                <w:kern w:val="0"/>
                <w:sz w:val="16"/>
                <w:szCs w:val="16"/>
                <w:lang w:eastAsia="en-IN"/>
                <w14:ligatures w14:val="none"/>
              </w:rPr>
              <w:t>..</w:t>
            </w:r>
          </w:p>
        </w:tc>
        <w:tc>
          <w:tcPr>
            <w:tcW w:w="916" w:type="dxa"/>
            <w:tcBorders>
              <w:top w:val="nil"/>
              <w:left w:val="nil"/>
              <w:bottom w:val="single" w:sz="4" w:space="0" w:color="auto"/>
              <w:right w:val="single" w:sz="4" w:space="0" w:color="auto"/>
            </w:tcBorders>
            <w:noWrap/>
            <w:vAlign w:val="center"/>
            <w:hideMark/>
          </w:tcPr>
          <w:p w14:paraId="057F5F43" w14:textId="77777777" w:rsidR="005A319E" w:rsidRPr="005A319E" w:rsidRDefault="005A319E" w:rsidP="005A319E">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5A319E">
              <w:rPr>
                <w:rFonts w:ascii="Times New Roman" w:eastAsia="Times New Roman" w:hAnsi="Times New Roman" w:cs="Times New Roman"/>
                <w:color w:val="000000"/>
                <w:kern w:val="0"/>
                <w:sz w:val="16"/>
                <w:szCs w:val="16"/>
                <w:lang w:eastAsia="en-IN"/>
                <w14:ligatures w14:val="none"/>
              </w:rPr>
              <w:t>..</w:t>
            </w:r>
          </w:p>
        </w:tc>
        <w:tc>
          <w:tcPr>
            <w:tcW w:w="865" w:type="dxa"/>
            <w:tcBorders>
              <w:top w:val="nil"/>
              <w:left w:val="nil"/>
              <w:bottom w:val="single" w:sz="4" w:space="0" w:color="auto"/>
              <w:right w:val="single" w:sz="4" w:space="0" w:color="auto"/>
            </w:tcBorders>
            <w:noWrap/>
            <w:vAlign w:val="center"/>
            <w:hideMark/>
          </w:tcPr>
          <w:p w14:paraId="0276531A" w14:textId="77777777" w:rsidR="005A319E" w:rsidRPr="005A319E" w:rsidRDefault="005A319E" w:rsidP="005A319E">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5A319E">
              <w:rPr>
                <w:rFonts w:ascii="Times New Roman" w:eastAsia="Times New Roman" w:hAnsi="Times New Roman" w:cs="Times New Roman"/>
                <w:color w:val="000000"/>
                <w:kern w:val="0"/>
                <w:sz w:val="16"/>
                <w:szCs w:val="16"/>
                <w:lang w:eastAsia="en-IN"/>
                <w14:ligatures w14:val="none"/>
              </w:rPr>
              <w:t>..</w:t>
            </w:r>
          </w:p>
        </w:tc>
        <w:tc>
          <w:tcPr>
            <w:tcW w:w="581" w:type="dxa"/>
            <w:tcBorders>
              <w:top w:val="nil"/>
              <w:left w:val="nil"/>
              <w:bottom w:val="single" w:sz="4" w:space="0" w:color="auto"/>
              <w:right w:val="single" w:sz="4" w:space="0" w:color="auto"/>
            </w:tcBorders>
            <w:noWrap/>
            <w:vAlign w:val="center"/>
            <w:hideMark/>
          </w:tcPr>
          <w:p w14:paraId="105EC40C" w14:textId="77777777" w:rsidR="005A319E" w:rsidRPr="005A319E" w:rsidRDefault="005A319E" w:rsidP="005A319E">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5A319E">
              <w:rPr>
                <w:rFonts w:ascii="Times New Roman" w:eastAsia="Times New Roman" w:hAnsi="Times New Roman" w:cs="Times New Roman"/>
                <w:color w:val="000000"/>
                <w:kern w:val="0"/>
                <w:sz w:val="16"/>
                <w:szCs w:val="16"/>
                <w:lang w:eastAsia="en-IN"/>
                <w14:ligatures w14:val="none"/>
              </w:rPr>
              <w:t>..</w:t>
            </w:r>
          </w:p>
        </w:tc>
      </w:tr>
      <w:tr w:rsidR="005A319E" w:rsidRPr="005A319E" w14:paraId="623A803C" w14:textId="77777777" w:rsidTr="00D67840">
        <w:trPr>
          <w:trHeight w:val="22"/>
          <w:jc w:val="center"/>
        </w:trPr>
        <w:tc>
          <w:tcPr>
            <w:tcW w:w="1842" w:type="dxa"/>
            <w:tcBorders>
              <w:top w:val="nil"/>
              <w:left w:val="single" w:sz="4" w:space="0" w:color="auto"/>
              <w:bottom w:val="single" w:sz="4" w:space="0" w:color="auto"/>
              <w:right w:val="single" w:sz="4" w:space="0" w:color="auto"/>
            </w:tcBorders>
            <w:noWrap/>
            <w:vAlign w:val="center"/>
            <w:hideMark/>
          </w:tcPr>
          <w:p w14:paraId="221F502A" w14:textId="77777777" w:rsidR="005A319E" w:rsidRPr="005A319E" w:rsidRDefault="005A319E" w:rsidP="005A319E">
            <w:pPr>
              <w:spacing w:after="0" w:line="240" w:lineRule="auto"/>
              <w:rPr>
                <w:rFonts w:ascii="Times New Roman" w:eastAsia="Times New Roman" w:hAnsi="Times New Roman" w:cs="Times New Roman"/>
                <w:color w:val="000000"/>
                <w:kern w:val="0"/>
                <w:sz w:val="16"/>
                <w:szCs w:val="16"/>
                <w:lang w:eastAsia="en-IN"/>
                <w14:ligatures w14:val="none"/>
              </w:rPr>
            </w:pPr>
            <w:r w:rsidRPr="005A319E">
              <w:rPr>
                <w:rFonts w:ascii="Times New Roman" w:eastAsia="Times New Roman" w:hAnsi="Times New Roman" w:cs="Times New Roman"/>
                <w:color w:val="000000"/>
                <w:kern w:val="0"/>
                <w:sz w:val="16"/>
                <w:szCs w:val="16"/>
                <w:lang w:eastAsia="en-IN"/>
                <w14:ligatures w14:val="none"/>
              </w:rPr>
              <w:t>13. Punjab</w:t>
            </w:r>
          </w:p>
        </w:tc>
        <w:tc>
          <w:tcPr>
            <w:tcW w:w="851" w:type="dxa"/>
            <w:tcBorders>
              <w:top w:val="nil"/>
              <w:left w:val="nil"/>
              <w:bottom w:val="single" w:sz="4" w:space="0" w:color="auto"/>
              <w:right w:val="single" w:sz="4" w:space="0" w:color="auto"/>
            </w:tcBorders>
            <w:noWrap/>
            <w:vAlign w:val="center"/>
            <w:hideMark/>
          </w:tcPr>
          <w:p w14:paraId="26530EA9" w14:textId="77777777" w:rsidR="005A319E" w:rsidRPr="005A319E" w:rsidRDefault="005A319E" w:rsidP="005A319E">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5A319E">
              <w:rPr>
                <w:rFonts w:ascii="Times New Roman" w:eastAsia="Times New Roman" w:hAnsi="Times New Roman" w:cs="Times New Roman"/>
                <w:color w:val="000000"/>
                <w:kern w:val="0"/>
                <w:sz w:val="16"/>
                <w:szCs w:val="16"/>
                <w:lang w:eastAsia="en-IN"/>
                <w14:ligatures w14:val="none"/>
              </w:rPr>
              <w:t>10.60</w:t>
            </w:r>
          </w:p>
        </w:tc>
        <w:tc>
          <w:tcPr>
            <w:tcW w:w="992" w:type="dxa"/>
            <w:tcBorders>
              <w:top w:val="nil"/>
              <w:left w:val="nil"/>
              <w:bottom w:val="single" w:sz="4" w:space="0" w:color="auto"/>
              <w:right w:val="single" w:sz="4" w:space="0" w:color="auto"/>
            </w:tcBorders>
            <w:noWrap/>
            <w:vAlign w:val="center"/>
            <w:hideMark/>
          </w:tcPr>
          <w:p w14:paraId="5B663419" w14:textId="77777777" w:rsidR="005A319E" w:rsidRPr="005A319E" w:rsidRDefault="005A319E" w:rsidP="005A319E">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5A319E">
              <w:rPr>
                <w:rFonts w:ascii="Times New Roman" w:eastAsia="Times New Roman" w:hAnsi="Times New Roman" w:cs="Times New Roman"/>
                <w:color w:val="000000"/>
                <w:kern w:val="0"/>
                <w:sz w:val="16"/>
                <w:szCs w:val="16"/>
                <w:lang w:eastAsia="en-IN"/>
                <w14:ligatures w14:val="none"/>
              </w:rPr>
              <w:t>..</w:t>
            </w:r>
          </w:p>
        </w:tc>
        <w:tc>
          <w:tcPr>
            <w:tcW w:w="581" w:type="dxa"/>
            <w:tcBorders>
              <w:top w:val="nil"/>
              <w:left w:val="nil"/>
              <w:bottom w:val="single" w:sz="4" w:space="0" w:color="auto"/>
              <w:right w:val="single" w:sz="4" w:space="0" w:color="auto"/>
            </w:tcBorders>
            <w:noWrap/>
            <w:vAlign w:val="center"/>
            <w:hideMark/>
          </w:tcPr>
          <w:p w14:paraId="7AE98097" w14:textId="77777777" w:rsidR="005A319E" w:rsidRPr="005A319E" w:rsidRDefault="005A319E" w:rsidP="005A319E">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5A319E">
              <w:rPr>
                <w:rFonts w:ascii="Times New Roman" w:eastAsia="Times New Roman" w:hAnsi="Times New Roman" w:cs="Times New Roman"/>
                <w:color w:val="000000"/>
                <w:kern w:val="0"/>
                <w:sz w:val="16"/>
                <w:szCs w:val="16"/>
                <w:lang w:eastAsia="en-IN"/>
                <w14:ligatures w14:val="none"/>
              </w:rPr>
              <w:t>10.60</w:t>
            </w:r>
          </w:p>
        </w:tc>
        <w:tc>
          <w:tcPr>
            <w:tcW w:w="992" w:type="dxa"/>
            <w:tcBorders>
              <w:top w:val="nil"/>
              <w:left w:val="nil"/>
              <w:bottom w:val="single" w:sz="4" w:space="0" w:color="auto"/>
              <w:right w:val="single" w:sz="4" w:space="0" w:color="auto"/>
            </w:tcBorders>
            <w:noWrap/>
            <w:vAlign w:val="center"/>
            <w:hideMark/>
          </w:tcPr>
          <w:p w14:paraId="6AF71511" w14:textId="77777777" w:rsidR="005A319E" w:rsidRPr="005A319E" w:rsidRDefault="005A319E" w:rsidP="005A319E">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5A319E">
              <w:rPr>
                <w:rFonts w:ascii="Times New Roman" w:eastAsia="Times New Roman" w:hAnsi="Times New Roman" w:cs="Times New Roman"/>
                <w:color w:val="000000"/>
                <w:kern w:val="0"/>
                <w:sz w:val="16"/>
                <w:szCs w:val="16"/>
                <w:lang w:eastAsia="en-IN"/>
                <w14:ligatures w14:val="none"/>
              </w:rPr>
              <w:t>10.97</w:t>
            </w:r>
          </w:p>
        </w:tc>
        <w:tc>
          <w:tcPr>
            <w:tcW w:w="865" w:type="dxa"/>
            <w:tcBorders>
              <w:top w:val="nil"/>
              <w:left w:val="nil"/>
              <w:bottom w:val="single" w:sz="4" w:space="0" w:color="auto"/>
              <w:right w:val="single" w:sz="4" w:space="0" w:color="auto"/>
            </w:tcBorders>
            <w:noWrap/>
            <w:vAlign w:val="center"/>
            <w:hideMark/>
          </w:tcPr>
          <w:p w14:paraId="23F022E4" w14:textId="77777777" w:rsidR="005A319E" w:rsidRPr="005A319E" w:rsidRDefault="005A319E" w:rsidP="005A319E">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5A319E">
              <w:rPr>
                <w:rFonts w:ascii="Times New Roman" w:eastAsia="Times New Roman" w:hAnsi="Times New Roman" w:cs="Times New Roman"/>
                <w:color w:val="000000"/>
                <w:kern w:val="0"/>
                <w:sz w:val="16"/>
                <w:szCs w:val="16"/>
                <w:lang w:eastAsia="en-IN"/>
                <w14:ligatures w14:val="none"/>
              </w:rPr>
              <w:t>1.65</w:t>
            </w:r>
          </w:p>
        </w:tc>
        <w:tc>
          <w:tcPr>
            <w:tcW w:w="709" w:type="dxa"/>
            <w:tcBorders>
              <w:top w:val="nil"/>
              <w:left w:val="nil"/>
              <w:bottom w:val="single" w:sz="4" w:space="0" w:color="auto"/>
              <w:right w:val="single" w:sz="4" w:space="0" w:color="auto"/>
            </w:tcBorders>
            <w:noWrap/>
            <w:vAlign w:val="center"/>
            <w:hideMark/>
          </w:tcPr>
          <w:p w14:paraId="4E774617" w14:textId="77777777" w:rsidR="005A319E" w:rsidRPr="005A319E" w:rsidRDefault="005A319E" w:rsidP="005A319E">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5A319E">
              <w:rPr>
                <w:rFonts w:ascii="Times New Roman" w:eastAsia="Times New Roman" w:hAnsi="Times New Roman" w:cs="Times New Roman"/>
                <w:color w:val="000000"/>
                <w:kern w:val="0"/>
                <w:sz w:val="16"/>
                <w:szCs w:val="16"/>
                <w:lang w:eastAsia="en-IN"/>
                <w14:ligatures w14:val="none"/>
              </w:rPr>
              <w:t>12.62</w:t>
            </w:r>
          </w:p>
        </w:tc>
        <w:tc>
          <w:tcPr>
            <w:tcW w:w="708" w:type="dxa"/>
            <w:tcBorders>
              <w:top w:val="nil"/>
              <w:left w:val="nil"/>
              <w:bottom w:val="single" w:sz="4" w:space="0" w:color="auto"/>
              <w:right w:val="single" w:sz="4" w:space="0" w:color="auto"/>
            </w:tcBorders>
            <w:noWrap/>
            <w:vAlign w:val="center"/>
            <w:hideMark/>
          </w:tcPr>
          <w:p w14:paraId="50C8C236" w14:textId="77777777" w:rsidR="005A319E" w:rsidRPr="005A319E" w:rsidRDefault="005A319E" w:rsidP="005A319E">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5A319E">
              <w:rPr>
                <w:rFonts w:ascii="Times New Roman" w:eastAsia="Times New Roman" w:hAnsi="Times New Roman" w:cs="Times New Roman"/>
                <w:color w:val="000000"/>
                <w:kern w:val="0"/>
                <w:sz w:val="16"/>
                <w:szCs w:val="16"/>
                <w:lang w:eastAsia="en-IN"/>
                <w14:ligatures w14:val="none"/>
              </w:rPr>
              <w:t>9.20</w:t>
            </w:r>
          </w:p>
        </w:tc>
        <w:tc>
          <w:tcPr>
            <w:tcW w:w="865" w:type="dxa"/>
            <w:tcBorders>
              <w:top w:val="nil"/>
              <w:left w:val="nil"/>
              <w:bottom w:val="single" w:sz="4" w:space="0" w:color="auto"/>
              <w:right w:val="single" w:sz="4" w:space="0" w:color="auto"/>
            </w:tcBorders>
            <w:noWrap/>
            <w:vAlign w:val="center"/>
            <w:hideMark/>
          </w:tcPr>
          <w:p w14:paraId="40CF7400" w14:textId="77777777" w:rsidR="005A319E" w:rsidRPr="005A319E" w:rsidRDefault="005A319E" w:rsidP="005A319E">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5A319E">
              <w:rPr>
                <w:rFonts w:ascii="Times New Roman" w:eastAsia="Times New Roman" w:hAnsi="Times New Roman" w:cs="Times New Roman"/>
                <w:color w:val="000000"/>
                <w:kern w:val="0"/>
                <w:sz w:val="16"/>
                <w:szCs w:val="16"/>
                <w:lang w:eastAsia="en-IN"/>
                <w14:ligatures w14:val="none"/>
              </w:rPr>
              <w:t>1.84</w:t>
            </w:r>
          </w:p>
        </w:tc>
        <w:tc>
          <w:tcPr>
            <w:tcW w:w="581" w:type="dxa"/>
            <w:tcBorders>
              <w:top w:val="nil"/>
              <w:left w:val="nil"/>
              <w:bottom w:val="single" w:sz="4" w:space="0" w:color="auto"/>
              <w:right w:val="single" w:sz="4" w:space="0" w:color="auto"/>
            </w:tcBorders>
            <w:noWrap/>
            <w:vAlign w:val="center"/>
            <w:hideMark/>
          </w:tcPr>
          <w:p w14:paraId="71A1EA6E" w14:textId="77777777" w:rsidR="005A319E" w:rsidRPr="005A319E" w:rsidRDefault="005A319E" w:rsidP="005A319E">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5A319E">
              <w:rPr>
                <w:rFonts w:ascii="Times New Roman" w:eastAsia="Times New Roman" w:hAnsi="Times New Roman" w:cs="Times New Roman"/>
                <w:color w:val="000000"/>
                <w:kern w:val="0"/>
                <w:sz w:val="16"/>
                <w:szCs w:val="16"/>
                <w:lang w:eastAsia="en-IN"/>
                <w14:ligatures w14:val="none"/>
              </w:rPr>
              <w:t>11.04</w:t>
            </w:r>
          </w:p>
        </w:tc>
        <w:tc>
          <w:tcPr>
            <w:tcW w:w="1004" w:type="dxa"/>
            <w:tcBorders>
              <w:top w:val="nil"/>
              <w:left w:val="nil"/>
              <w:bottom w:val="single" w:sz="4" w:space="0" w:color="auto"/>
              <w:right w:val="single" w:sz="4" w:space="0" w:color="auto"/>
            </w:tcBorders>
            <w:noWrap/>
            <w:vAlign w:val="center"/>
            <w:hideMark/>
          </w:tcPr>
          <w:p w14:paraId="6BAB7445" w14:textId="77777777" w:rsidR="005A319E" w:rsidRPr="005A319E" w:rsidRDefault="005A319E" w:rsidP="005A319E">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5A319E">
              <w:rPr>
                <w:rFonts w:ascii="Times New Roman" w:eastAsia="Times New Roman" w:hAnsi="Times New Roman" w:cs="Times New Roman"/>
                <w:color w:val="000000"/>
                <w:kern w:val="0"/>
                <w:sz w:val="16"/>
                <w:szCs w:val="16"/>
                <w:lang w:eastAsia="en-IN"/>
                <w14:ligatures w14:val="none"/>
              </w:rPr>
              <w:t>7.62</w:t>
            </w:r>
          </w:p>
        </w:tc>
        <w:tc>
          <w:tcPr>
            <w:tcW w:w="865" w:type="dxa"/>
            <w:tcBorders>
              <w:top w:val="nil"/>
              <w:left w:val="nil"/>
              <w:bottom w:val="single" w:sz="4" w:space="0" w:color="auto"/>
              <w:right w:val="single" w:sz="4" w:space="0" w:color="auto"/>
            </w:tcBorders>
            <w:noWrap/>
            <w:vAlign w:val="center"/>
            <w:hideMark/>
          </w:tcPr>
          <w:p w14:paraId="2B987414" w14:textId="77777777" w:rsidR="005A319E" w:rsidRPr="005A319E" w:rsidRDefault="005A319E" w:rsidP="005A319E">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5A319E">
              <w:rPr>
                <w:rFonts w:ascii="Times New Roman" w:eastAsia="Times New Roman" w:hAnsi="Times New Roman" w:cs="Times New Roman"/>
                <w:color w:val="000000"/>
                <w:kern w:val="0"/>
                <w:sz w:val="16"/>
                <w:szCs w:val="16"/>
                <w:lang w:eastAsia="en-IN"/>
                <w14:ligatures w14:val="none"/>
              </w:rPr>
              <w:t>1.52</w:t>
            </w:r>
          </w:p>
        </w:tc>
        <w:tc>
          <w:tcPr>
            <w:tcW w:w="995" w:type="dxa"/>
            <w:tcBorders>
              <w:top w:val="nil"/>
              <w:left w:val="nil"/>
              <w:bottom w:val="single" w:sz="4" w:space="0" w:color="auto"/>
              <w:right w:val="single" w:sz="4" w:space="0" w:color="auto"/>
            </w:tcBorders>
            <w:noWrap/>
            <w:vAlign w:val="center"/>
            <w:hideMark/>
          </w:tcPr>
          <w:p w14:paraId="12A9E43B" w14:textId="77777777" w:rsidR="005A319E" w:rsidRPr="005A319E" w:rsidRDefault="005A319E" w:rsidP="005A319E">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5A319E">
              <w:rPr>
                <w:rFonts w:ascii="Times New Roman" w:eastAsia="Times New Roman" w:hAnsi="Times New Roman" w:cs="Times New Roman"/>
                <w:color w:val="000000"/>
                <w:kern w:val="0"/>
                <w:sz w:val="16"/>
                <w:szCs w:val="16"/>
                <w:lang w:eastAsia="en-IN"/>
                <w14:ligatures w14:val="none"/>
              </w:rPr>
              <w:t>9.14</w:t>
            </w:r>
          </w:p>
        </w:tc>
        <w:tc>
          <w:tcPr>
            <w:tcW w:w="916" w:type="dxa"/>
            <w:tcBorders>
              <w:top w:val="nil"/>
              <w:left w:val="nil"/>
              <w:bottom w:val="single" w:sz="4" w:space="0" w:color="auto"/>
              <w:right w:val="single" w:sz="4" w:space="0" w:color="auto"/>
            </w:tcBorders>
            <w:noWrap/>
            <w:vAlign w:val="center"/>
            <w:hideMark/>
          </w:tcPr>
          <w:p w14:paraId="1AA5716B" w14:textId="77777777" w:rsidR="005A319E" w:rsidRPr="005A319E" w:rsidRDefault="005A319E" w:rsidP="005A319E">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5A319E">
              <w:rPr>
                <w:rFonts w:ascii="Times New Roman" w:eastAsia="Times New Roman" w:hAnsi="Times New Roman" w:cs="Times New Roman"/>
                <w:color w:val="000000"/>
                <w:kern w:val="0"/>
                <w:sz w:val="16"/>
                <w:szCs w:val="16"/>
                <w:lang w:eastAsia="en-IN"/>
                <w14:ligatures w14:val="none"/>
              </w:rPr>
              <w:t>6.59</w:t>
            </w:r>
          </w:p>
        </w:tc>
        <w:tc>
          <w:tcPr>
            <w:tcW w:w="865" w:type="dxa"/>
            <w:tcBorders>
              <w:top w:val="nil"/>
              <w:left w:val="nil"/>
              <w:bottom w:val="single" w:sz="4" w:space="0" w:color="auto"/>
              <w:right w:val="single" w:sz="4" w:space="0" w:color="auto"/>
            </w:tcBorders>
            <w:noWrap/>
            <w:vAlign w:val="center"/>
            <w:hideMark/>
          </w:tcPr>
          <w:p w14:paraId="57FCE25F" w14:textId="77777777" w:rsidR="005A319E" w:rsidRPr="005A319E" w:rsidRDefault="005A319E" w:rsidP="005A319E">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5A319E">
              <w:rPr>
                <w:rFonts w:ascii="Times New Roman" w:eastAsia="Times New Roman" w:hAnsi="Times New Roman" w:cs="Times New Roman"/>
                <w:color w:val="000000"/>
                <w:kern w:val="0"/>
                <w:sz w:val="16"/>
                <w:szCs w:val="16"/>
                <w:lang w:eastAsia="en-IN"/>
                <w14:ligatures w14:val="none"/>
              </w:rPr>
              <w:t>1.32</w:t>
            </w:r>
          </w:p>
        </w:tc>
        <w:tc>
          <w:tcPr>
            <w:tcW w:w="581" w:type="dxa"/>
            <w:tcBorders>
              <w:top w:val="nil"/>
              <w:left w:val="nil"/>
              <w:bottom w:val="single" w:sz="4" w:space="0" w:color="auto"/>
              <w:right w:val="single" w:sz="4" w:space="0" w:color="auto"/>
            </w:tcBorders>
            <w:noWrap/>
            <w:vAlign w:val="center"/>
            <w:hideMark/>
          </w:tcPr>
          <w:p w14:paraId="1B8541D0" w14:textId="77777777" w:rsidR="005A319E" w:rsidRPr="005A319E" w:rsidRDefault="005A319E" w:rsidP="005A319E">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5A319E">
              <w:rPr>
                <w:rFonts w:ascii="Times New Roman" w:eastAsia="Times New Roman" w:hAnsi="Times New Roman" w:cs="Times New Roman"/>
                <w:color w:val="000000"/>
                <w:kern w:val="0"/>
                <w:sz w:val="16"/>
                <w:szCs w:val="16"/>
                <w:lang w:eastAsia="en-IN"/>
                <w14:ligatures w14:val="none"/>
              </w:rPr>
              <w:t>7.91</w:t>
            </w:r>
          </w:p>
        </w:tc>
      </w:tr>
      <w:tr w:rsidR="005A319E" w:rsidRPr="005A319E" w14:paraId="161FF54C" w14:textId="77777777" w:rsidTr="00D67840">
        <w:trPr>
          <w:trHeight w:val="22"/>
          <w:jc w:val="center"/>
        </w:trPr>
        <w:tc>
          <w:tcPr>
            <w:tcW w:w="1842" w:type="dxa"/>
            <w:tcBorders>
              <w:top w:val="nil"/>
              <w:left w:val="single" w:sz="4" w:space="0" w:color="auto"/>
              <w:bottom w:val="single" w:sz="4" w:space="0" w:color="auto"/>
              <w:right w:val="single" w:sz="4" w:space="0" w:color="auto"/>
            </w:tcBorders>
            <w:noWrap/>
            <w:vAlign w:val="center"/>
            <w:hideMark/>
          </w:tcPr>
          <w:p w14:paraId="7956560F" w14:textId="77777777" w:rsidR="005A319E" w:rsidRPr="005A319E" w:rsidRDefault="005A319E" w:rsidP="005A319E">
            <w:pPr>
              <w:spacing w:after="0" w:line="240" w:lineRule="auto"/>
              <w:rPr>
                <w:rFonts w:ascii="Times New Roman" w:eastAsia="Times New Roman" w:hAnsi="Times New Roman" w:cs="Times New Roman"/>
                <w:color w:val="000000"/>
                <w:kern w:val="0"/>
                <w:sz w:val="16"/>
                <w:szCs w:val="16"/>
                <w:lang w:eastAsia="en-IN"/>
                <w14:ligatures w14:val="none"/>
              </w:rPr>
            </w:pPr>
            <w:r w:rsidRPr="005A319E">
              <w:rPr>
                <w:rFonts w:ascii="Times New Roman" w:eastAsia="Times New Roman" w:hAnsi="Times New Roman" w:cs="Times New Roman"/>
                <w:color w:val="000000"/>
                <w:kern w:val="0"/>
                <w:sz w:val="16"/>
                <w:szCs w:val="16"/>
                <w:lang w:eastAsia="en-IN"/>
                <w14:ligatures w14:val="none"/>
              </w:rPr>
              <w:t>14. Rajasthan:</w:t>
            </w:r>
          </w:p>
        </w:tc>
        <w:tc>
          <w:tcPr>
            <w:tcW w:w="851" w:type="dxa"/>
            <w:tcBorders>
              <w:top w:val="nil"/>
              <w:left w:val="nil"/>
              <w:bottom w:val="single" w:sz="4" w:space="0" w:color="auto"/>
              <w:right w:val="single" w:sz="4" w:space="0" w:color="auto"/>
            </w:tcBorders>
            <w:noWrap/>
            <w:vAlign w:val="center"/>
            <w:hideMark/>
          </w:tcPr>
          <w:p w14:paraId="00307C9B" w14:textId="77777777" w:rsidR="005A319E" w:rsidRPr="005A319E" w:rsidRDefault="005A319E" w:rsidP="005A319E">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5A319E">
              <w:rPr>
                <w:rFonts w:ascii="Times New Roman" w:eastAsia="Times New Roman" w:hAnsi="Times New Roman" w:cs="Times New Roman"/>
                <w:color w:val="000000"/>
                <w:kern w:val="0"/>
                <w:sz w:val="16"/>
                <w:szCs w:val="16"/>
                <w:lang w:eastAsia="en-IN"/>
                <w14:ligatures w14:val="none"/>
              </w:rPr>
              <w:t> </w:t>
            </w:r>
          </w:p>
        </w:tc>
        <w:tc>
          <w:tcPr>
            <w:tcW w:w="992" w:type="dxa"/>
            <w:tcBorders>
              <w:top w:val="nil"/>
              <w:left w:val="nil"/>
              <w:bottom w:val="single" w:sz="4" w:space="0" w:color="auto"/>
              <w:right w:val="single" w:sz="4" w:space="0" w:color="auto"/>
            </w:tcBorders>
            <w:noWrap/>
            <w:vAlign w:val="center"/>
            <w:hideMark/>
          </w:tcPr>
          <w:p w14:paraId="5F290339" w14:textId="77777777" w:rsidR="005A319E" w:rsidRPr="005A319E" w:rsidRDefault="005A319E" w:rsidP="005A319E">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5A319E">
              <w:rPr>
                <w:rFonts w:ascii="Times New Roman" w:eastAsia="Times New Roman" w:hAnsi="Times New Roman" w:cs="Times New Roman"/>
                <w:color w:val="000000"/>
                <w:kern w:val="0"/>
                <w:sz w:val="16"/>
                <w:szCs w:val="16"/>
                <w:lang w:eastAsia="en-IN"/>
                <w14:ligatures w14:val="none"/>
              </w:rPr>
              <w:t> </w:t>
            </w:r>
          </w:p>
        </w:tc>
        <w:tc>
          <w:tcPr>
            <w:tcW w:w="581" w:type="dxa"/>
            <w:tcBorders>
              <w:top w:val="nil"/>
              <w:left w:val="nil"/>
              <w:bottom w:val="single" w:sz="4" w:space="0" w:color="auto"/>
              <w:right w:val="single" w:sz="4" w:space="0" w:color="auto"/>
            </w:tcBorders>
            <w:noWrap/>
            <w:vAlign w:val="center"/>
            <w:hideMark/>
          </w:tcPr>
          <w:p w14:paraId="436D9566" w14:textId="77777777" w:rsidR="005A319E" w:rsidRPr="005A319E" w:rsidRDefault="005A319E" w:rsidP="005A319E">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5A319E">
              <w:rPr>
                <w:rFonts w:ascii="Times New Roman" w:eastAsia="Times New Roman" w:hAnsi="Times New Roman" w:cs="Times New Roman"/>
                <w:color w:val="000000"/>
                <w:kern w:val="0"/>
                <w:sz w:val="16"/>
                <w:szCs w:val="16"/>
                <w:lang w:eastAsia="en-IN"/>
                <w14:ligatures w14:val="none"/>
              </w:rPr>
              <w:t> </w:t>
            </w:r>
          </w:p>
        </w:tc>
        <w:tc>
          <w:tcPr>
            <w:tcW w:w="992" w:type="dxa"/>
            <w:tcBorders>
              <w:top w:val="nil"/>
              <w:left w:val="nil"/>
              <w:bottom w:val="single" w:sz="4" w:space="0" w:color="auto"/>
              <w:right w:val="single" w:sz="4" w:space="0" w:color="auto"/>
            </w:tcBorders>
            <w:noWrap/>
            <w:vAlign w:val="center"/>
            <w:hideMark/>
          </w:tcPr>
          <w:p w14:paraId="5E093D4C" w14:textId="77777777" w:rsidR="005A319E" w:rsidRPr="005A319E" w:rsidRDefault="005A319E" w:rsidP="005A319E">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5A319E">
              <w:rPr>
                <w:rFonts w:ascii="Times New Roman" w:eastAsia="Times New Roman" w:hAnsi="Times New Roman" w:cs="Times New Roman"/>
                <w:color w:val="000000"/>
                <w:kern w:val="0"/>
                <w:sz w:val="16"/>
                <w:szCs w:val="16"/>
                <w:lang w:eastAsia="en-IN"/>
                <w14:ligatures w14:val="none"/>
              </w:rPr>
              <w:t> </w:t>
            </w:r>
          </w:p>
        </w:tc>
        <w:tc>
          <w:tcPr>
            <w:tcW w:w="865" w:type="dxa"/>
            <w:tcBorders>
              <w:top w:val="nil"/>
              <w:left w:val="nil"/>
              <w:bottom w:val="single" w:sz="4" w:space="0" w:color="auto"/>
              <w:right w:val="single" w:sz="4" w:space="0" w:color="auto"/>
            </w:tcBorders>
            <w:noWrap/>
            <w:vAlign w:val="center"/>
            <w:hideMark/>
          </w:tcPr>
          <w:p w14:paraId="2381853F" w14:textId="77777777" w:rsidR="005A319E" w:rsidRPr="005A319E" w:rsidRDefault="005A319E" w:rsidP="005A319E">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5A319E">
              <w:rPr>
                <w:rFonts w:ascii="Times New Roman" w:eastAsia="Times New Roman" w:hAnsi="Times New Roman" w:cs="Times New Roman"/>
                <w:color w:val="000000"/>
                <w:kern w:val="0"/>
                <w:sz w:val="16"/>
                <w:szCs w:val="16"/>
                <w:lang w:eastAsia="en-IN"/>
                <w14:ligatures w14:val="none"/>
              </w:rPr>
              <w:t> </w:t>
            </w:r>
          </w:p>
        </w:tc>
        <w:tc>
          <w:tcPr>
            <w:tcW w:w="709" w:type="dxa"/>
            <w:tcBorders>
              <w:top w:val="nil"/>
              <w:left w:val="nil"/>
              <w:bottom w:val="single" w:sz="4" w:space="0" w:color="auto"/>
              <w:right w:val="single" w:sz="4" w:space="0" w:color="auto"/>
            </w:tcBorders>
            <w:noWrap/>
            <w:vAlign w:val="center"/>
            <w:hideMark/>
          </w:tcPr>
          <w:p w14:paraId="3AE1864C" w14:textId="77777777" w:rsidR="005A319E" w:rsidRPr="005A319E" w:rsidRDefault="005A319E" w:rsidP="005A319E">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5A319E">
              <w:rPr>
                <w:rFonts w:ascii="Times New Roman" w:eastAsia="Times New Roman" w:hAnsi="Times New Roman" w:cs="Times New Roman"/>
                <w:color w:val="000000"/>
                <w:kern w:val="0"/>
                <w:sz w:val="16"/>
                <w:szCs w:val="16"/>
                <w:lang w:eastAsia="en-IN"/>
                <w14:ligatures w14:val="none"/>
              </w:rPr>
              <w:t> </w:t>
            </w:r>
          </w:p>
        </w:tc>
        <w:tc>
          <w:tcPr>
            <w:tcW w:w="708" w:type="dxa"/>
            <w:tcBorders>
              <w:top w:val="nil"/>
              <w:left w:val="nil"/>
              <w:bottom w:val="single" w:sz="4" w:space="0" w:color="auto"/>
              <w:right w:val="single" w:sz="4" w:space="0" w:color="auto"/>
            </w:tcBorders>
            <w:noWrap/>
            <w:vAlign w:val="center"/>
            <w:hideMark/>
          </w:tcPr>
          <w:p w14:paraId="78E9E53A" w14:textId="77777777" w:rsidR="005A319E" w:rsidRPr="005A319E" w:rsidRDefault="005A319E" w:rsidP="005A319E">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5A319E">
              <w:rPr>
                <w:rFonts w:ascii="Times New Roman" w:eastAsia="Times New Roman" w:hAnsi="Times New Roman" w:cs="Times New Roman"/>
                <w:color w:val="000000"/>
                <w:kern w:val="0"/>
                <w:sz w:val="16"/>
                <w:szCs w:val="16"/>
                <w:lang w:eastAsia="en-IN"/>
                <w14:ligatures w14:val="none"/>
              </w:rPr>
              <w:t> </w:t>
            </w:r>
          </w:p>
        </w:tc>
        <w:tc>
          <w:tcPr>
            <w:tcW w:w="865" w:type="dxa"/>
            <w:tcBorders>
              <w:top w:val="nil"/>
              <w:left w:val="nil"/>
              <w:bottom w:val="single" w:sz="4" w:space="0" w:color="auto"/>
              <w:right w:val="single" w:sz="4" w:space="0" w:color="auto"/>
            </w:tcBorders>
            <w:noWrap/>
            <w:vAlign w:val="center"/>
            <w:hideMark/>
          </w:tcPr>
          <w:p w14:paraId="400BD72F" w14:textId="77777777" w:rsidR="005A319E" w:rsidRPr="005A319E" w:rsidRDefault="005A319E" w:rsidP="005A319E">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5A319E">
              <w:rPr>
                <w:rFonts w:ascii="Times New Roman" w:eastAsia="Times New Roman" w:hAnsi="Times New Roman" w:cs="Times New Roman"/>
                <w:color w:val="000000"/>
                <w:kern w:val="0"/>
                <w:sz w:val="16"/>
                <w:szCs w:val="16"/>
                <w:lang w:eastAsia="en-IN"/>
                <w14:ligatures w14:val="none"/>
              </w:rPr>
              <w:t> </w:t>
            </w:r>
          </w:p>
        </w:tc>
        <w:tc>
          <w:tcPr>
            <w:tcW w:w="581" w:type="dxa"/>
            <w:tcBorders>
              <w:top w:val="nil"/>
              <w:left w:val="nil"/>
              <w:bottom w:val="single" w:sz="4" w:space="0" w:color="auto"/>
              <w:right w:val="single" w:sz="4" w:space="0" w:color="auto"/>
            </w:tcBorders>
            <w:noWrap/>
            <w:vAlign w:val="center"/>
            <w:hideMark/>
          </w:tcPr>
          <w:p w14:paraId="214AFC52" w14:textId="77777777" w:rsidR="005A319E" w:rsidRPr="005A319E" w:rsidRDefault="005A319E" w:rsidP="005A319E">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5A319E">
              <w:rPr>
                <w:rFonts w:ascii="Times New Roman" w:eastAsia="Times New Roman" w:hAnsi="Times New Roman" w:cs="Times New Roman"/>
                <w:color w:val="000000"/>
                <w:kern w:val="0"/>
                <w:sz w:val="16"/>
                <w:szCs w:val="16"/>
                <w:lang w:eastAsia="en-IN"/>
                <w14:ligatures w14:val="none"/>
              </w:rPr>
              <w:t> </w:t>
            </w:r>
          </w:p>
        </w:tc>
        <w:tc>
          <w:tcPr>
            <w:tcW w:w="1004" w:type="dxa"/>
            <w:tcBorders>
              <w:top w:val="nil"/>
              <w:left w:val="nil"/>
              <w:bottom w:val="single" w:sz="4" w:space="0" w:color="auto"/>
              <w:right w:val="single" w:sz="4" w:space="0" w:color="auto"/>
            </w:tcBorders>
            <w:noWrap/>
            <w:vAlign w:val="center"/>
            <w:hideMark/>
          </w:tcPr>
          <w:p w14:paraId="54BE8BE3" w14:textId="77777777" w:rsidR="005A319E" w:rsidRPr="005A319E" w:rsidRDefault="005A319E" w:rsidP="005A319E">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5A319E">
              <w:rPr>
                <w:rFonts w:ascii="Times New Roman" w:eastAsia="Times New Roman" w:hAnsi="Times New Roman" w:cs="Times New Roman"/>
                <w:color w:val="000000"/>
                <w:kern w:val="0"/>
                <w:sz w:val="16"/>
                <w:szCs w:val="16"/>
                <w:lang w:eastAsia="en-IN"/>
                <w14:ligatures w14:val="none"/>
              </w:rPr>
              <w:t> </w:t>
            </w:r>
          </w:p>
        </w:tc>
        <w:tc>
          <w:tcPr>
            <w:tcW w:w="865" w:type="dxa"/>
            <w:tcBorders>
              <w:top w:val="nil"/>
              <w:left w:val="nil"/>
              <w:bottom w:val="single" w:sz="4" w:space="0" w:color="auto"/>
              <w:right w:val="single" w:sz="4" w:space="0" w:color="auto"/>
            </w:tcBorders>
            <w:noWrap/>
            <w:vAlign w:val="center"/>
            <w:hideMark/>
          </w:tcPr>
          <w:p w14:paraId="2D0962DA" w14:textId="77777777" w:rsidR="005A319E" w:rsidRPr="005A319E" w:rsidRDefault="005A319E" w:rsidP="005A319E">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5A319E">
              <w:rPr>
                <w:rFonts w:ascii="Times New Roman" w:eastAsia="Times New Roman" w:hAnsi="Times New Roman" w:cs="Times New Roman"/>
                <w:color w:val="000000"/>
                <w:kern w:val="0"/>
                <w:sz w:val="16"/>
                <w:szCs w:val="16"/>
                <w:lang w:eastAsia="en-IN"/>
                <w14:ligatures w14:val="none"/>
              </w:rPr>
              <w:t> </w:t>
            </w:r>
          </w:p>
        </w:tc>
        <w:tc>
          <w:tcPr>
            <w:tcW w:w="995" w:type="dxa"/>
            <w:tcBorders>
              <w:top w:val="nil"/>
              <w:left w:val="nil"/>
              <w:bottom w:val="single" w:sz="4" w:space="0" w:color="auto"/>
              <w:right w:val="single" w:sz="4" w:space="0" w:color="auto"/>
            </w:tcBorders>
            <w:noWrap/>
            <w:vAlign w:val="center"/>
            <w:hideMark/>
          </w:tcPr>
          <w:p w14:paraId="5C220170" w14:textId="77777777" w:rsidR="005A319E" w:rsidRPr="005A319E" w:rsidRDefault="005A319E" w:rsidP="005A319E">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5A319E">
              <w:rPr>
                <w:rFonts w:ascii="Times New Roman" w:eastAsia="Times New Roman" w:hAnsi="Times New Roman" w:cs="Times New Roman"/>
                <w:color w:val="000000"/>
                <w:kern w:val="0"/>
                <w:sz w:val="16"/>
                <w:szCs w:val="16"/>
                <w:lang w:eastAsia="en-IN"/>
                <w14:ligatures w14:val="none"/>
              </w:rPr>
              <w:t> </w:t>
            </w:r>
          </w:p>
        </w:tc>
        <w:tc>
          <w:tcPr>
            <w:tcW w:w="916" w:type="dxa"/>
            <w:tcBorders>
              <w:top w:val="nil"/>
              <w:left w:val="nil"/>
              <w:bottom w:val="single" w:sz="4" w:space="0" w:color="auto"/>
              <w:right w:val="single" w:sz="4" w:space="0" w:color="auto"/>
            </w:tcBorders>
            <w:noWrap/>
            <w:vAlign w:val="center"/>
            <w:hideMark/>
          </w:tcPr>
          <w:p w14:paraId="1F9E0107" w14:textId="77777777" w:rsidR="005A319E" w:rsidRPr="005A319E" w:rsidRDefault="005A319E" w:rsidP="005A319E">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5A319E">
              <w:rPr>
                <w:rFonts w:ascii="Times New Roman" w:eastAsia="Times New Roman" w:hAnsi="Times New Roman" w:cs="Times New Roman"/>
                <w:color w:val="000000"/>
                <w:kern w:val="0"/>
                <w:sz w:val="16"/>
                <w:szCs w:val="16"/>
                <w:lang w:eastAsia="en-IN"/>
                <w14:ligatures w14:val="none"/>
              </w:rPr>
              <w:t> </w:t>
            </w:r>
          </w:p>
        </w:tc>
        <w:tc>
          <w:tcPr>
            <w:tcW w:w="865" w:type="dxa"/>
            <w:tcBorders>
              <w:top w:val="nil"/>
              <w:left w:val="nil"/>
              <w:bottom w:val="single" w:sz="4" w:space="0" w:color="auto"/>
              <w:right w:val="single" w:sz="4" w:space="0" w:color="auto"/>
            </w:tcBorders>
            <w:noWrap/>
            <w:vAlign w:val="center"/>
            <w:hideMark/>
          </w:tcPr>
          <w:p w14:paraId="0B9A2D22" w14:textId="77777777" w:rsidR="005A319E" w:rsidRPr="005A319E" w:rsidRDefault="005A319E" w:rsidP="005A319E">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5A319E">
              <w:rPr>
                <w:rFonts w:ascii="Times New Roman" w:eastAsia="Times New Roman" w:hAnsi="Times New Roman" w:cs="Times New Roman"/>
                <w:color w:val="000000"/>
                <w:kern w:val="0"/>
                <w:sz w:val="16"/>
                <w:szCs w:val="16"/>
                <w:lang w:eastAsia="en-IN"/>
                <w14:ligatures w14:val="none"/>
              </w:rPr>
              <w:t> </w:t>
            </w:r>
          </w:p>
        </w:tc>
        <w:tc>
          <w:tcPr>
            <w:tcW w:w="581" w:type="dxa"/>
            <w:tcBorders>
              <w:top w:val="nil"/>
              <w:left w:val="nil"/>
              <w:bottom w:val="single" w:sz="4" w:space="0" w:color="auto"/>
              <w:right w:val="single" w:sz="4" w:space="0" w:color="auto"/>
            </w:tcBorders>
            <w:noWrap/>
            <w:vAlign w:val="center"/>
            <w:hideMark/>
          </w:tcPr>
          <w:p w14:paraId="34C21EAF" w14:textId="77777777" w:rsidR="005A319E" w:rsidRPr="005A319E" w:rsidRDefault="005A319E" w:rsidP="005A319E">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5A319E">
              <w:rPr>
                <w:rFonts w:ascii="Times New Roman" w:eastAsia="Times New Roman" w:hAnsi="Times New Roman" w:cs="Times New Roman"/>
                <w:color w:val="000000"/>
                <w:kern w:val="0"/>
                <w:sz w:val="16"/>
                <w:szCs w:val="16"/>
                <w:lang w:eastAsia="en-IN"/>
                <w14:ligatures w14:val="none"/>
              </w:rPr>
              <w:t> </w:t>
            </w:r>
          </w:p>
        </w:tc>
      </w:tr>
      <w:tr w:rsidR="005A319E" w:rsidRPr="005A319E" w14:paraId="3F80E981" w14:textId="77777777" w:rsidTr="00D67840">
        <w:trPr>
          <w:trHeight w:val="22"/>
          <w:jc w:val="center"/>
        </w:trPr>
        <w:tc>
          <w:tcPr>
            <w:tcW w:w="1842" w:type="dxa"/>
            <w:tcBorders>
              <w:top w:val="nil"/>
              <w:left w:val="single" w:sz="4" w:space="0" w:color="auto"/>
              <w:bottom w:val="single" w:sz="4" w:space="0" w:color="auto"/>
              <w:right w:val="single" w:sz="4" w:space="0" w:color="auto"/>
            </w:tcBorders>
            <w:noWrap/>
            <w:vAlign w:val="center"/>
            <w:hideMark/>
          </w:tcPr>
          <w:p w14:paraId="6312104A" w14:textId="77777777" w:rsidR="005A319E" w:rsidRPr="005A319E" w:rsidRDefault="005A319E" w:rsidP="005A319E">
            <w:pPr>
              <w:spacing w:after="0" w:line="240" w:lineRule="auto"/>
              <w:rPr>
                <w:rFonts w:ascii="Times New Roman" w:eastAsia="Times New Roman" w:hAnsi="Times New Roman" w:cs="Times New Roman"/>
                <w:color w:val="000000"/>
                <w:kern w:val="0"/>
                <w:sz w:val="16"/>
                <w:szCs w:val="16"/>
                <w:lang w:eastAsia="en-IN"/>
                <w14:ligatures w14:val="none"/>
              </w:rPr>
            </w:pPr>
            <w:r w:rsidRPr="005A319E">
              <w:rPr>
                <w:rFonts w:ascii="Times New Roman" w:eastAsia="Times New Roman" w:hAnsi="Times New Roman" w:cs="Times New Roman"/>
                <w:color w:val="000000"/>
                <w:kern w:val="0"/>
                <w:sz w:val="16"/>
                <w:szCs w:val="16"/>
                <w:lang w:eastAsia="en-IN"/>
                <w14:ligatures w14:val="none"/>
              </w:rPr>
              <w:t>(a) Hydro and Steam</w:t>
            </w:r>
          </w:p>
        </w:tc>
        <w:tc>
          <w:tcPr>
            <w:tcW w:w="851" w:type="dxa"/>
            <w:tcBorders>
              <w:top w:val="nil"/>
              <w:left w:val="nil"/>
              <w:bottom w:val="single" w:sz="4" w:space="0" w:color="auto"/>
              <w:right w:val="single" w:sz="4" w:space="0" w:color="auto"/>
            </w:tcBorders>
            <w:noWrap/>
            <w:vAlign w:val="center"/>
            <w:hideMark/>
          </w:tcPr>
          <w:p w14:paraId="4707E31D" w14:textId="77777777" w:rsidR="005A319E" w:rsidRPr="005A319E" w:rsidRDefault="005A319E" w:rsidP="005A319E">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5A319E">
              <w:rPr>
                <w:rFonts w:ascii="Times New Roman" w:eastAsia="Times New Roman" w:hAnsi="Times New Roman" w:cs="Times New Roman"/>
                <w:color w:val="000000"/>
                <w:kern w:val="0"/>
                <w:sz w:val="16"/>
                <w:szCs w:val="16"/>
                <w:lang w:eastAsia="en-IN"/>
                <w14:ligatures w14:val="none"/>
              </w:rPr>
              <w:t>13.00</w:t>
            </w:r>
          </w:p>
        </w:tc>
        <w:tc>
          <w:tcPr>
            <w:tcW w:w="992" w:type="dxa"/>
            <w:tcBorders>
              <w:top w:val="nil"/>
              <w:left w:val="nil"/>
              <w:bottom w:val="single" w:sz="4" w:space="0" w:color="auto"/>
              <w:right w:val="single" w:sz="4" w:space="0" w:color="auto"/>
            </w:tcBorders>
            <w:noWrap/>
            <w:vAlign w:val="center"/>
            <w:hideMark/>
          </w:tcPr>
          <w:p w14:paraId="14A0AF85" w14:textId="77777777" w:rsidR="005A319E" w:rsidRPr="005A319E" w:rsidRDefault="005A319E" w:rsidP="005A319E">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5A319E">
              <w:rPr>
                <w:rFonts w:ascii="Times New Roman" w:eastAsia="Times New Roman" w:hAnsi="Times New Roman" w:cs="Times New Roman"/>
                <w:color w:val="000000"/>
                <w:kern w:val="0"/>
                <w:sz w:val="16"/>
                <w:szCs w:val="16"/>
                <w:lang w:eastAsia="en-IN"/>
                <w14:ligatures w14:val="none"/>
              </w:rPr>
              <w:t>..</w:t>
            </w:r>
          </w:p>
        </w:tc>
        <w:tc>
          <w:tcPr>
            <w:tcW w:w="581" w:type="dxa"/>
            <w:tcBorders>
              <w:top w:val="nil"/>
              <w:left w:val="nil"/>
              <w:bottom w:val="single" w:sz="4" w:space="0" w:color="auto"/>
              <w:right w:val="single" w:sz="4" w:space="0" w:color="auto"/>
            </w:tcBorders>
            <w:noWrap/>
            <w:vAlign w:val="center"/>
            <w:hideMark/>
          </w:tcPr>
          <w:p w14:paraId="737A4EF0" w14:textId="77777777" w:rsidR="005A319E" w:rsidRPr="005A319E" w:rsidRDefault="005A319E" w:rsidP="005A319E">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5A319E">
              <w:rPr>
                <w:rFonts w:ascii="Times New Roman" w:eastAsia="Times New Roman" w:hAnsi="Times New Roman" w:cs="Times New Roman"/>
                <w:color w:val="000000"/>
                <w:kern w:val="0"/>
                <w:sz w:val="16"/>
                <w:szCs w:val="16"/>
                <w:lang w:eastAsia="en-IN"/>
                <w14:ligatures w14:val="none"/>
              </w:rPr>
              <w:t>13.00</w:t>
            </w:r>
          </w:p>
        </w:tc>
        <w:tc>
          <w:tcPr>
            <w:tcW w:w="992" w:type="dxa"/>
            <w:tcBorders>
              <w:top w:val="nil"/>
              <w:left w:val="nil"/>
              <w:bottom w:val="single" w:sz="4" w:space="0" w:color="auto"/>
              <w:right w:val="single" w:sz="4" w:space="0" w:color="auto"/>
            </w:tcBorders>
            <w:noWrap/>
            <w:vAlign w:val="center"/>
            <w:hideMark/>
          </w:tcPr>
          <w:p w14:paraId="36335449" w14:textId="77777777" w:rsidR="005A319E" w:rsidRPr="005A319E" w:rsidRDefault="005A319E" w:rsidP="005A319E">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5A319E">
              <w:rPr>
                <w:rFonts w:ascii="Times New Roman" w:eastAsia="Times New Roman" w:hAnsi="Times New Roman" w:cs="Times New Roman"/>
                <w:color w:val="000000"/>
                <w:kern w:val="0"/>
                <w:sz w:val="16"/>
                <w:szCs w:val="16"/>
                <w:lang w:eastAsia="en-IN"/>
                <w14:ligatures w14:val="none"/>
              </w:rPr>
              <w:t>13.50</w:t>
            </w:r>
          </w:p>
        </w:tc>
        <w:tc>
          <w:tcPr>
            <w:tcW w:w="865" w:type="dxa"/>
            <w:tcBorders>
              <w:top w:val="nil"/>
              <w:left w:val="nil"/>
              <w:bottom w:val="single" w:sz="4" w:space="0" w:color="auto"/>
              <w:right w:val="single" w:sz="4" w:space="0" w:color="auto"/>
            </w:tcBorders>
            <w:noWrap/>
            <w:vAlign w:val="center"/>
            <w:hideMark/>
          </w:tcPr>
          <w:p w14:paraId="6A353B2D" w14:textId="77777777" w:rsidR="005A319E" w:rsidRPr="005A319E" w:rsidRDefault="005A319E" w:rsidP="005A319E">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5A319E">
              <w:rPr>
                <w:rFonts w:ascii="Times New Roman" w:eastAsia="Times New Roman" w:hAnsi="Times New Roman" w:cs="Times New Roman"/>
                <w:color w:val="000000"/>
                <w:kern w:val="0"/>
                <w:sz w:val="16"/>
                <w:szCs w:val="16"/>
                <w:lang w:eastAsia="en-IN"/>
                <w14:ligatures w14:val="none"/>
              </w:rPr>
              <w:t>1.00</w:t>
            </w:r>
          </w:p>
        </w:tc>
        <w:tc>
          <w:tcPr>
            <w:tcW w:w="709" w:type="dxa"/>
            <w:tcBorders>
              <w:top w:val="nil"/>
              <w:left w:val="nil"/>
              <w:bottom w:val="single" w:sz="4" w:space="0" w:color="auto"/>
              <w:right w:val="single" w:sz="4" w:space="0" w:color="auto"/>
            </w:tcBorders>
            <w:noWrap/>
            <w:vAlign w:val="center"/>
            <w:hideMark/>
          </w:tcPr>
          <w:p w14:paraId="172C1234" w14:textId="77777777" w:rsidR="005A319E" w:rsidRPr="005A319E" w:rsidRDefault="005A319E" w:rsidP="005A319E">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5A319E">
              <w:rPr>
                <w:rFonts w:ascii="Times New Roman" w:eastAsia="Times New Roman" w:hAnsi="Times New Roman" w:cs="Times New Roman"/>
                <w:color w:val="000000"/>
                <w:kern w:val="0"/>
                <w:sz w:val="16"/>
                <w:szCs w:val="16"/>
                <w:lang w:eastAsia="en-IN"/>
                <w14:ligatures w14:val="none"/>
              </w:rPr>
              <w:t>14.50</w:t>
            </w:r>
          </w:p>
        </w:tc>
        <w:tc>
          <w:tcPr>
            <w:tcW w:w="708" w:type="dxa"/>
            <w:tcBorders>
              <w:top w:val="nil"/>
              <w:left w:val="nil"/>
              <w:bottom w:val="single" w:sz="4" w:space="0" w:color="auto"/>
              <w:right w:val="single" w:sz="4" w:space="0" w:color="auto"/>
            </w:tcBorders>
            <w:noWrap/>
            <w:vAlign w:val="center"/>
            <w:hideMark/>
          </w:tcPr>
          <w:p w14:paraId="10C31B1A" w14:textId="77777777" w:rsidR="005A319E" w:rsidRPr="005A319E" w:rsidRDefault="005A319E" w:rsidP="005A319E">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5A319E">
              <w:rPr>
                <w:rFonts w:ascii="Times New Roman" w:eastAsia="Times New Roman" w:hAnsi="Times New Roman" w:cs="Times New Roman"/>
                <w:color w:val="000000"/>
                <w:kern w:val="0"/>
                <w:sz w:val="16"/>
                <w:szCs w:val="16"/>
                <w:lang w:eastAsia="en-IN"/>
                <w14:ligatures w14:val="none"/>
              </w:rPr>
              <w:t>13.50</w:t>
            </w:r>
          </w:p>
        </w:tc>
        <w:tc>
          <w:tcPr>
            <w:tcW w:w="865" w:type="dxa"/>
            <w:tcBorders>
              <w:top w:val="nil"/>
              <w:left w:val="nil"/>
              <w:bottom w:val="single" w:sz="4" w:space="0" w:color="auto"/>
              <w:right w:val="single" w:sz="4" w:space="0" w:color="auto"/>
            </w:tcBorders>
            <w:noWrap/>
            <w:vAlign w:val="center"/>
            <w:hideMark/>
          </w:tcPr>
          <w:p w14:paraId="27F36F7E" w14:textId="77777777" w:rsidR="005A319E" w:rsidRPr="005A319E" w:rsidRDefault="005A319E" w:rsidP="005A319E">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5A319E">
              <w:rPr>
                <w:rFonts w:ascii="Times New Roman" w:eastAsia="Times New Roman" w:hAnsi="Times New Roman" w:cs="Times New Roman"/>
                <w:color w:val="000000"/>
                <w:kern w:val="0"/>
                <w:sz w:val="16"/>
                <w:szCs w:val="16"/>
                <w:lang w:eastAsia="en-IN"/>
                <w14:ligatures w14:val="none"/>
              </w:rPr>
              <w:t>1.00</w:t>
            </w:r>
          </w:p>
        </w:tc>
        <w:tc>
          <w:tcPr>
            <w:tcW w:w="581" w:type="dxa"/>
            <w:tcBorders>
              <w:top w:val="nil"/>
              <w:left w:val="nil"/>
              <w:bottom w:val="single" w:sz="4" w:space="0" w:color="auto"/>
              <w:right w:val="single" w:sz="4" w:space="0" w:color="auto"/>
            </w:tcBorders>
            <w:noWrap/>
            <w:vAlign w:val="center"/>
            <w:hideMark/>
          </w:tcPr>
          <w:p w14:paraId="4108ED58" w14:textId="77777777" w:rsidR="005A319E" w:rsidRPr="005A319E" w:rsidRDefault="005A319E" w:rsidP="005A319E">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5A319E">
              <w:rPr>
                <w:rFonts w:ascii="Times New Roman" w:eastAsia="Times New Roman" w:hAnsi="Times New Roman" w:cs="Times New Roman"/>
                <w:color w:val="000000"/>
                <w:kern w:val="0"/>
                <w:sz w:val="16"/>
                <w:szCs w:val="16"/>
                <w:lang w:eastAsia="en-IN"/>
                <w14:ligatures w14:val="none"/>
              </w:rPr>
              <w:t>14.50</w:t>
            </w:r>
          </w:p>
        </w:tc>
        <w:tc>
          <w:tcPr>
            <w:tcW w:w="1004" w:type="dxa"/>
            <w:tcBorders>
              <w:top w:val="nil"/>
              <w:left w:val="nil"/>
              <w:bottom w:val="single" w:sz="4" w:space="0" w:color="auto"/>
              <w:right w:val="single" w:sz="4" w:space="0" w:color="auto"/>
            </w:tcBorders>
            <w:noWrap/>
            <w:vAlign w:val="center"/>
            <w:hideMark/>
          </w:tcPr>
          <w:p w14:paraId="0E862822" w14:textId="77777777" w:rsidR="005A319E" w:rsidRPr="005A319E" w:rsidRDefault="005A319E" w:rsidP="005A319E">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5A319E">
              <w:rPr>
                <w:rFonts w:ascii="Times New Roman" w:eastAsia="Times New Roman" w:hAnsi="Times New Roman" w:cs="Times New Roman"/>
                <w:color w:val="000000"/>
                <w:kern w:val="0"/>
                <w:sz w:val="16"/>
                <w:szCs w:val="16"/>
                <w:lang w:eastAsia="en-IN"/>
                <w14:ligatures w14:val="none"/>
              </w:rPr>
              <w:t>9.33*</w:t>
            </w:r>
          </w:p>
        </w:tc>
        <w:tc>
          <w:tcPr>
            <w:tcW w:w="865" w:type="dxa"/>
            <w:tcBorders>
              <w:top w:val="nil"/>
              <w:left w:val="nil"/>
              <w:bottom w:val="single" w:sz="4" w:space="0" w:color="auto"/>
              <w:right w:val="single" w:sz="4" w:space="0" w:color="auto"/>
            </w:tcBorders>
            <w:noWrap/>
            <w:vAlign w:val="center"/>
            <w:hideMark/>
          </w:tcPr>
          <w:p w14:paraId="4BBE47B0" w14:textId="77777777" w:rsidR="005A319E" w:rsidRPr="005A319E" w:rsidRDefault="005A319E" w:rsidP="005A319E">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5A319E">
              <w:rPr>
                <w:rFonts w:ascii="Times New Roman" w:eastAsia="Times New Roman" w:hAnsi="Times New Roman" w:cs="Times New Roman"/>
                <w:color w:val="000000"/>
                <w:kern w:val="0"/>
                <w:sz w:val="16"/>
                <w:szCs w:val="16"/>
                <w:lang w:eastAsia="en-IN"/>
                <w14:ligatures w14:val="none"/>
              </w:rPr>
              <w:t>1.00</w:t>
            </w:r>
          </w:p>
        </w:tc>
        <w:tc>
          <w:tcPr>
            <w:tcW w:w="995" w:type="dxa"/>
            <w:tcBorders>
              <w:top w:val="nil"/>
              <w:left w:val="nil"/>
              <w:bottom w:val="single" w:sz="4" w:space="0" w:color="auto"/>
              <w:right w:val="single" w:sz="4" w:space="0" w:color="auto"/>
            </w:tcBorders>
            <w:noWrap/>
            <w:vAlign w:val="center"/>
            <w:hideMark/>
          </w:tcPr>
          <w:p w14:paraId="5DD112A3" w14:textId="77777777" w:rsidR="005A319E" w:rsidRPr="005A319E" w:rsidRDefault="005A319E" w:rsidP="005A319E">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5A319E">
              <w:rPr>
                <w:rFonts w:ascii="Times New Roman" w:eastAsia="Times New Roman" w:hAnsi="Times New Roman" w:cs="Times New Roman"/>
                <w:color w:val="000000"/>
                <w:kern w:val="0"/>
                <w:sz w:val="16"/>
                <w:szCs w:val="16"/>
                <w:lang w:eastAsia="en-IN"/>
                <w14:ligatures w14:val="none"/>
              </w:rPr>
              <w:t>10.33</w:t>
            </w:r>
          </w:p>
        </w:tc>
        <w:tc>
          <w:tcPr>
            <w:tcW w:w="916" w:type="dxa"/>
            <w:tcBorders>
              <w:top w:val="nil"/>
              <w:left w:val="nil"/>
              <w:bottom w:val="single" w:sz="4" w:space="0" w:color="auto"/>
              <w:right w:val="single" w:sz="4" w:space="0" w:color="auto"/>
            </w:tcBorders>
            <w:noWrap/>
            <w:vAlign w:val="center"/>
            <w:hideMark/>
          </w:tcPr>
          <w:p w14:paraId="38C4E00A" w14:textId="77777777" w:rsidR="005A319E" w:rsidRPr="005A319E" w:rsidRDefault="005A319E" w:rsidP="005A319E">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5A319E">
              <w:rPr>
                <w:rFonts w:ascii="Times New Roman" w:eastAsia="Times New Roman" w:hAnsi="Times New Roman" w:cs="Times New Roman"/>
                <w:color w:val="000000"/>
                <w:kern w:val="0"/>
                <w:sz w:val="16"/>
                <w:szCs w:val="16"/>
                <w:lang w:eastAsia="en-IN"/>
                <w14:ligatures w14:val="none"/>
              </w:rPr>
              <w:t>8.87*</w:t>
            </w:r>
          </w:p>
        </w:tc>
        <w:tc>
          <w:tcPr>
            <w:tcW w:w="865" w:type="dxa"/>
            <w:tcBorders>
              <w:top w:val="nil"/>
              <w:left w:val="nil"/>
              <w:bottom w:val="single" w:sz="4" w:space="0" w:color="auto"/>
              <w:right w:val="single" w:sz="4" w:space="0" w:color="auto"/>
            </w:tcBorders>
            <w:noWrap/>
            <w:vAlign w:val="center"/>
            <w:hideMark/>
          </w:tcPr>
          <w:p w14:paraId="73D3BDE4" w14:textId="77777777" w:rsidR="005A319E" w:rsidRPr="005A319E" w:rsidRDefault="005A319E" w:rsidP="005A319E">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5A319E">
              <w:rPr>
                <w:rFonts w:ascii="Times New Roman" w:eastAsia="Times New Roman" w:hAnsi="Times New Roman" w:cs="Times New Roman"/>
                <w:color w:val="000000"/>
                <w:kern w:val="0"/>
                <w:sz w:val="16"/>
                <w:szCs w:val="16"/>
                <w:lang w:eastAsia="en-IN"/>
                <w14:ligatures w14:val="none"/>
              </w:rPr>
              <w:t>1.00</w:t>
            </w:r>
          </w:p>
        </w:tc>
        <w:tc>
          <w:tcPr>
            <w:tcW w:w="581" w:type="dxa"/>
            <w:tcBorders>
              <w:top w:val="nil"/>
              <w:left w:val="nil"/>
              <w:bottom w:val="single" w:sz="4" w:space="0" w:color="auto"/>
              <w:right w:val="single" w:sz="4" w:space="0" w:color="auto"/>
            </w:tcBorders>
            <w:noWrap/>
            <w:vAlign w:val="center"/>
            <w:hideMark/>
          </w:tcPr>
          <w:p w14:paraId="1D28C100" w14:textId="77777777" w:rsidR="005A319E" w:rsidRPr="005A319E" w:rsidRDefault="005A319E" w:rsidP="005A319E">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5A319E">
              <w:rPr>
                <w:rFonts w:ascii="Times New Roman" w:eastAsia="Times New Roman" w:hAnsi="Times New Roman" w:cs="Times New Roman"/>
                <w:color w:val="000000"/>
                <w:kern w:val="0"/>
                <w:sz w:val="16"/>
                <w:szCs w:val="16"/>
                <w:lang w:eastAsia="en-IN"/>
                <w14:ligatures w14:val="none"/>
              </w:rPr>
              <w:t>9.87</w:t>
            </w:r>
          </w:p>
        </w:tc>
      </w:tr>
      <w:tr w:rsidR="005A319E" w:rsidRPr="005A319E" w14:paraId="1A958D8C" w14:textId="77777777" w:rsidTr="00D67840">
        <w:trPr>
          <w:trHeight w:val="22"/>
          <w:jc w:val="center"/>
        </w:trPr>
        <w:tc>
          <w:tcPr>
            <w:tcW w:w="1842" w:type="dxa"/>
            <w:tcBorders>
              <w:top w:val="nil"/>
              <w:left w:val="single" w:sz="4" w:space="0" w:color="auto"/>
              <w:bottom w:val="single" w:sz="4" w:space="0" w:color="auto"/>
              <w:right w:val="single" w:sz="4" w:space="0" w:color="auto"/>
            </w:tcBorders>
            <w:noWrap/>
            <w:vAlign w:val="center"/>
            <w:hideMark/>
          </w:tcPr>
          <w:p w14:paraId="4F8ABECC" w14:textId="77777777" w:rsidR="005A319E" w:rsidRPr="005A319E" w:rsidRDefault="005A319E" w:rsidP="005A319E">
            <w:pPr>
              <w:spacing w:after="0" w:line="240" w:lineRule="auto"/>
              <w:rPr>
                <w:rFonts w:ascii="Times New Roman" w:eastAsia="Times New Roman" w:hAnsi="Times New Roman" w:cs="Times New Roman"/>
                <w:color w:val="000000"/>
                <w:kern w:val="0"/>
                <w:sz w:val="16"/>
                <w:szCs w:val="16"/>
                <w:lang w:eastAsia="en-IN"/>
                <w14:ligatures w14:val="none"/>
              </w:rPr>
            </w:pPr>
            <w:r w:rsidRPr="005A319E">
              <w:rPr>
                <w:rFonts w:ascii="Times New Roman" w:eastAsia="Times New Roman" w:hAnsi="Times New Roman" w:cs="Times New Roman"/>
                <w:color w:val="000000"/>
                <w:kern w:val="0"/>
                <w:sz w:val="16"/>
                <w:szCs w:val="16"/>
                <w:lang w:eastAsia="en-IN"/>
                <w14:ligatures w14:val="none"/>
              </w:rPr>
              <w:t>(b) Diesel</w:t>
            </w:r>
          </w:p>
        </w:tc>
        <w:tc>
          <w:tcPr>
            <w:tcW w:w="851" w:type="dxa"/>
            <w:tcBorders>
              <w:top w:val="nil"/>
              <w:left w:val="nil"/>
              <w:bottom w:val="single" w:sz="4" w:space="0" w:color="auto"/>
              <w:right w:val="single" w:sz="4" w:space="0" w:color="auto"/>
            </w:tcBorders>
            <w:noWrap/>
            <w:vAlign w:val="center"/>
            <w:hideMark/>
          </w:tcPr>
          <w:p w14:paraId="18C67626" w14:textId="77777777" w:rsidR="005A319E" w:rsidRPr="005A319E" w:rsidRDefault="005A319E" w:rsidP="005A319E">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5A319E">
              <w:rPr>
                <w:rFonts w:ascii="Times New Roman" w:eastAsia="Times New Roman" w:hAnsi="Times New Roman" w:cs="Times New Roman"/>
                <w:color w:val="000000"/>
                <w:kern w:val="0"/>
                <w:sz w:val="16"/>
                <w:szCs w:val="16"/>
                <w:lang w:eastAsia="en-IN"/>
                <w14:ligatures w14:val="none"/>
              </w:rPr>
              <w:t>13.00</w:t>
            </w:r>
          </w:p>
        </w:tc>
        <w:tc>
          <w:tcPr>
            <w:tcW w:w="992" w:type="dxa"/>
            <w:tcBorders>
              <w:top w:val="nil"/>
              <w:left w:val="nil"/>
              <w:bottom w:val="single" w:sz="4" w:space="0" w:color="auto"/>
              <w:right w:val="single" w:sz="4" w:space="0" w:color="auto"/>
            </w:tcBorders>
            <w:noWrap/>
            <w:vAlign w:val="center"/>
            <w:hideMark/>
          </w:tcPr>
          <w:p w14:paraId="10AF41B6" w14:textId="77777777" w:rsidR="005A319E" w:rsidRPr="005A319E" w:rsidRDefault="005A319E" w:rsidP="005A319E">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5A319E">
              <w:rPr>
                <w:rFonts w:ascii="Times New Roman" w:eastAsia="Times New Roman" w:hAnsi="Times New Roman" w:cs="Times New Roman"/>
                <w:color w:val="000000"/>
                <w:kern w:val="0"/>
                <w:sz w:val="16"/>
                <w:szCs w:val="16"/>
                <w:lang w:eastAsia="en-IN"/>
                <w14:ligatures w14:val="none"/>
              </w:rPr>
              <w:t>..</w:t>
            </w:r>
          </w:p>
        </w:tc>
        <w:tc>
          <w:tcPr>
            <w:tcW w:w="581" w:type="dxa"/>
            <w:tcBorders>
              <w:top w:val="nil"/>
              <w:left w:val="nil"/>
              <w:bottom w:val="single" w:sz="4" w:space="0" w:color="auto"/>
              <w:right w:val="single" w:sz="4" w:space="0" w:color="auto"/>
            </w:tcBorders>
            <w:noWrap/>
            <w:vAlign w:val="center"/>
            <w:hideMark/>
          </w:tcPr>
          <w:p w14:paraId="2E78958C" w14:textId="77777777" w:rsidR="005A319E" w:rsidRPr="005A319E" w:rsidRDefault="005A319E" w:rsidP="005A319E">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5A319E">
              <w:rPr>
                <w:rFonts w:ascii="Times New Roman" w:eastAsia="Times New Roman" w:hAnsi="Times New Roman" w:cs="Times New Roman"/>
                <w:color w:val="000000"/>
                <w:kern w:val="0"/>
                <w:sz w:val="16"/>
                <w:szCs w:val="16"/>
                <w:lang w:eastAsia="en-IN"/>
                <w14:ligatures w14:val="none"/>
              </w:rPr>
              <w:t>13.00</w:t>
            </w:r>
          </w:p>
        </w:tc>
        <w:tc>
          <w:tcPr>
            <w:tcW w:w="992" w:type="dxa"/>
            <w:tcBorders>
              <w:top w:val="nil"/>
              <w:left w:val="nil"/>
              <w:bottom w:val="single" w:sz="4" w:space="0" w:color="auto"/>
              <w:right w:val="single" w:sz="4" w:space="0" w:color="auto"/>
            </w:tcBorders>
            <w:noWrap/>
            <w:vAlign w:val="center"/>
            <w:hideMark/>
          </w:tcPr>
          <w:p w14:paraId="630DD8B3" w14:textId="77777777" w:rsidR="005A319E" w:rsidRPr="005A319E" w:rsidRDefault="005A319E" w:rsidP="005A319E">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5A319E">
              <w:rPr>
                <w:rFonts w:ascii="Times New Roman" w:eastAsia="Times New Roman" w:hAnsi="Times New Roman" w:cs="Times New Roman"/>
                <w:color w:val="000000"/>
                <w:kern w:val="0"/>
                <w:sz w:val="16"/>
                <w:szCs w:val="16"/>
                <w:lang w:eastAsia="en-IN"/>
                <w14:ligatures w14:val="none"/>
              </w:rPr>
              <w:t>26.00</w:t>
            </w:r>
          </w:p>
        </w:tc>
        <w:tc>
          <w:tcPr>
            <w:tcW w:w="865" w:type="dxa"/>
            <w:tcBorders>
              <w:top w:val="nil"/>
              <w:left w:val="nil"/>
              <w:bottom w:val="single" w:sz="4" w:space="0" w:color="auto"/>
              <w:right w:val="single" w:sz="4" w:space="0" w:color="auto"/>
            </w:tcBorders>
            <w:noWrap/>
            <w:vAlign w:val="center"/>
            <w:hideMark/>
          </w:tcPr>
          <w:p w14:paraId="253F37C0" w14:textId="77777777" w:rsidR="005A319E" w:rsidRPr="005A319E" w:rsidRDefault="005A319E" w:rsidP="005A319E">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5A319E">
              <w:rPr>
                <w:rFonts w:ascii="Times New Roman" w:eastAsia="Times New Roman" w:hAnsi="Times New Roman" w:cs="Times New Roman"/>
                <w:color w:val="000000"/>
                <w:kern w:val="0"/>
                <w:sz w:val="16"/>
                <w:szCs w:val="16"/>
                <w:lang w:eastAsia="en-IN"/>
                <w14:ligatures w14:val="none"/>
              </w:rPr>
              <w:t>1.00</w:t>
            </w:r>
          </w:p>
        </w:tc>
        <w:tc>
          <w:tcPr>
            <w:tcW w:w="709" w:type="dxa"/>
            <w:tcBorders>
              <w:top w:val="nil"/>
              <w:left w:val="nil"/>
              <w:bottom w:val="single" w:sz="4" w:space="0" w:color="auto"/>
              <w:right w:val="single" w:sz="4" w:space="0" w:color="auto"/>
            </w:tcBorders>
            <w:noWrap/>
            <w:vAlign w:val="center"/>
            <w:hideMark/>
          </w:tcPr>
          <w:p w14:paraId="054A89BC" w14:textId="77777777" w:rsidR="005A319E" w:rsidRPr="005A319E" w:rsidRDefault="005A319E" w:rsidP="005A319E">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5A319E">
              <w:rPr>
                <w:rFonts w:ascii="Times New Roman" w:eastAsia="Times New Roman" w:hAnsi="Times New Roman" w:cs="Times New Roman"/>
                <w:color w:val="000000"/>
                <w:kern w:val="0"/>
                <w:sz w:val="16"/>
                <w:szCs w:val="16"/>
                <w:lang w:eastAsia="en-IN"/>
                <w14:ligatures w14:val="none"/>
              </w:rPr>
              <w:t>27.00</w:t>
            </w:r>
          </w:p>
        </w:tc>
        <w:tc>
          <w:tcPr>
            <w:tcW w:w="708" w:type="dxa"/>
            <w:tcBorders>
              <w:top w:val="nil"/>
              <w:left w:val="nil"/>
              <w:bottom w:val="single" w:sz="4" w:space="0" w:color="auto"/>
              <w:right w:val="single" w:sz="4" w:space="0" w:color="auto"/>
            </w:tcBorders>
            <w:noWrap/>
            <w:vAlign w:val="center"/>
            <w:hideMark/>
          </w:tcPr>
          <w:p w14:paraId="1792A1A1" w14:textId="77777777" w:rsidR="005A319E" w:rsidRPr="005A319E" w:rsidRDefault="005A319E" w:rsidP="005A319E">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5A319E">
              <w:rPr>
                <w:rFonts w:ascii="Times New Roman" w:eastAsia="Times New Roman" w:hAnsi="Times New Roman" w:cs="Times New Roman"/>
                <w:color w:val="000000"/>
                <w:kern w:val="0"/>
                <w:sz w:val="16"/>
                <w:szCs w:val="16"/>
                <w:lang w:eastAsia="en-IN"/>
                <w14:ligatures w14:val="none"/>
              </w:rPr>
              <w:t>26.00</w:t>
            </w:r>
          </w:p>
        </w:tc>
        <w:tc>
          <w:tcPr>
            <w:tcW w:w="865" w:type="dxa"/>
            <w:tcBorders>
              <w:top w:val="nil"/>
              <w:left w:val="nil"/>
              <w:bottom w:val="single" w:sz="4" w:space="0" w:color="auto"/>
              <w:right w:val="single" w:sz="4" w:space="0" w:color="auto"/>
            </w:tcBorders>
            <w:noWrap/>
            <w:vAlign w:val="center"/>
            <w:hideMark/>
          </w:tcPr>
          <w:p w14:paraId="6F4F5708" w14:textId="77777777" w:rsidR="005A319E" w:rsidRPr="005A319E" w:rsidRDefault="005A319E" w:rsidP="005A319E">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5A319E">
              <w:rPr>
                <w:rFonts w:ascii="Times New Roman" w:eastAsia="Times New Roman" w:hAnsi="Times New Roman" w:cs="Times New Roman"/>
                <w:color w:val="000000"/>
                <w:kern w:val="0"/>
                <w:sz w:val="16"/>
                <w:szCs w:val="16"/>
                <w:lang w:eastAsia="en-IN"/>
                <w14:ligatures w14:val="none"/>
              </w:rPr>
              <w:t>1.00</w:t>
            </w:r>
          </w:p>
        </w:tc>
        <w:tc>
          <w:tcPr>
            <w:tcW w:w="581" w:type="dxa"/>
            <w:tcBorders>
              <w:top w:val="nil"/>
              <w:left w:val="nil"/>
              <w:bottom w:val="single" w:sz="4" w:space="0" w:color="auto"/>
              <w:right w:val="single" w:sz="4" w:space="0" w:color="auto"/>
            </w:tcBorders>
            <w:noWrap/>
            <w:vAlign w:val="center"/>
            <w:hideMark/>
          </w:tcPr>
          <w:p w14:paraId="51CABAED" w14:textId="77777777" w:rsidR="005A319E" w:rsidRPr="005A319E" w:rsidRDefault="005A319E" w:rsidP="005A319E">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5A319E">
              <w:rPr>
                <w:rFonts w:ascii="Times New Roman" w:eastAsia="Times New Roman" w:hAnsi="Times New Roman" w:cs="Times New Roman"/>
                <w:color w:val="000000"/>
                <w:kern w:val="0"/>
                <w:sz w:val="16"/>
                <w:szCs w:val="16"/>
                <w:lang w:eastAsia="en-IN"/>
                <w14:ligatures w14:val="none"/>
              </w:rPr>
              <w:t>27.00</w:t>
            </w:r>
          </w:p>
        </w:tc>
        <w:tc>
          <w:tcPr>
            <w:tcW w:w="1004" w:type="dxa"/>
            <w:tcBorders>
              <w:top w:val="nil"/>
              <w:left w:val="nil"/>
              <w:bottom w:val="single" w:sz="4" w:space="0" w:color="auto"/>
              <w:right w:val="single" w:sz="4" w:space="0" w:color="auto"/>
            </w:tcBorders>
            <w:noWrap/>
            <w:vAlign w:val="center"/>
            <w:hideMark/>
          </w:tcPr>
          <w:p w14:paraId="6971FB06" w14:textId="77777777" w:rsidR="005A319E" w:rsidRPr="005A319E" w:rsidRDefault="005A319E" w:rsidP="005A319E">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5A319E">
              <w:rPr>
                <w:rFonts w:ascii="Times New Roman" w:eastAsia="Times New Roman" w:hAnsi="Times New Roman" w:cs="Times New Roman"/>
                <w:color w:val="000000"/>
                <w:kern w:val="0"/>
                <w:sz w:val="16"/>
                <w:szCs w:val="16"/>
                <w:lang w:eastAsia="en-IN"/>
                <w14:ligatures w14:val="none"/>
              </w:rPr>
              <w:t>..</w:t>
            </w:r>
          </w:p>
        </w:tc>
        <w:tc>
          <w:tcPr>
            <w:tcW w:w="865" w:type="dxa"/>
            <w:tcBorders>
              <w:top w:val="nil"/>
              <w:left w:val="nil"/>
              <w:bottom w:val="single" w:sz="4" w:space="0" w:color="auto"/>
              <w:right w:val="single" w:sz="4" w:space="0" w:color="auto"/>
            </w:tcBorders>
            <w:noWrap/>
            <w:vAlign w:val="center"/>
            <w:hideMark/>
          </w:tcPr>
          <w:p w14:paraId="54B808B8" w14:textId="77777777" w:rsidR="005A319E" w:rsidRPr="005A319E" w:rsidRDefault="005A319E" w:rsidP="005A319E">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5A319E">
              <w:rPr>
                <w:rFonts w:ascii="Times New Roman" w:eastAsia="Times New Roman" w:hAnsi="Times New Roman" w:cs="Times New Roman"/>
                <w:color w:val="000000"/>
                <w:kern w:val="0"/>
                <w:sz w:val="16"/>
                <w:szCs w:val="16"/>
                <w:lang w:eastAsia="en-IN"/>
                <w14:ligatures w14:val="none"/>
              </w:rPr>
              <w:t>..</w:t>
            </w:r>
          </w:p>
        </w:tc>
        <w:tc>
          <w:tcPr>
            <w:tcW w:w="995" w:type="dxa"/>
            <w:tcBorders>
              <w:top w:val="nil"/>
              <w:left w:val="nil"/>
              <w:bottom w:val="single" w:sz="4" w:space="0" w:color="auto"/>
              <w:right w:val="single" w:sz="4" w:space="0" w:color="auto"/>
            </w:tcBorders>
            <w:noWrap/>
            <w:vAlign w:val="center"/>
            <w:hideMark/>
          </w:tcPr>
          <w:p w14:paraId="33335821" w14:textId="77777777" w:rsidR="005A319E" w:rsidRPr="005A319E" w:rsidRDefault="005A319E" w:rsidP="005A319E">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5A319E">
              <w:rPr>
                <w:rFonts w:ascii="Times New Roman" w:eastAsia="Times New Roman" w:hAnsi="Times New Roman" w:cs="Times New Roman"/>
                <w:color w:val="000000"/>
                <w:kern w:val="0"/>
                <w:sz w:val="16"/>
                <w:szCs w:val="16"/>
                <w:lang w:eastAsia="en-IN"/>
                <w14:ligatures w14:val="none"/>
              </w:rPr>
              <w:t>..</w:t>
            </w:r>
          </w:p>
        </w:tc>
        <w:tc>
          <w:tcPr>
            <w:tcW w:w="916" w:type="dxa"/>
            <w:tcBorders>
              <w:top w:val="nil"/>
              <w:left w:val="nil"/>
              <w:bottom w:val="single" w:sz="4" w:space="0" w:color="auto"/>
              <w:right w:val="single" w:sz="4" w:space="0" w:color="auto"/>
            </w:tcBorders>
            <w:noWrap/>
            <w:vAlign w:val="center"/>
            <w:hideMark/>
          </w:tcPr>
          <w:p w14:paraId="53C8C94C" w14:textId="77777777" w:rsidR="005A319E" w:rsidRPr="005A319E" w:rsidRDefault="005A319E" w:rsidP="005A319E">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5A319E">
              <w:rPr>
                <w:rFonts w:ascii="Times New Roman" w:eastAsia="Times New Roman" w:hAnsi="Times New Roman" w:cs="Times New Roman"/>
                <w:color w:val="000000"/>
                <w:kern w:val="0"/>
                <w:sz w:val="16"/>
                <w:szCs w:val="16"/>
                <w:lang w:eastAsia="en-IN"/>
                <w14:ligatures w14:val="none"/>
              </w:rPr>
              <w:t>..</w:t>
            </w:r>
          </w:p>
        </w:tc>
        <w:tc>
          <w:tcPr>
            <w:tcW w:w="865" w:type="dxa"/>
            <w:tcBorders>
              <w:top w:val="nil"/>
              <w:left w:val="nil"/>
              <w:bottom w:val="single" w:sz="4" w:space="0" w:color="auto"/>
              <w:right w:val="single" w:sz="4" w:space="0" w:color="auto"/>
            </w:tcBorders>
            <w:noWrap/>
            <w:vAlign w:val="center"/>
            <w:hideMark/>
          </w:tcPr>
          <w:p w14:paraId="58DF443F" w14:textId="77777777" w:rsidR="005A319E" w:rsidRPr="005A319E" w:rsidRDefault="005A319E" w:rsidP="005A319E">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5A319E">
              <w:rPr>
                <w:rFonts w:ascii="Times New Roman" w:eastAsia="Times New Roman" w:hAnsi="Times New Roman" w:cs="Times New Roman"/>
                <w:color w:val="000000"/>
                <w:kern w:val="0"/>
                <w:sz w:val="16"/>
                <w:szCs w:val="16"/>
                <w:lang w:eastAsia="en-IN"/>
                <w14:ligatures w14:val="none"/>
              </w:rPr>
              <w:t>..</w:t>
            </w:r>
          </w:p>
        </w:tc>
        <w:tc>
          <w:tcPr>
            <w:tcW w:w="581" w:type="dxa"/>
            <w:tcBorders>
              <w:top w:val="nil"/>
              <w:left w:val="nil"/>
              <w:bottom w:val="single" w:sz="4" w:space="0" w:color="auto"/>
              <w:right w:val="single" w:sz="4" w:space="0" w:color="auto"/>
            </w:tcBorders>
            <w:noWrap/>
            <w:vAlign w:val="center"/>
            <w:hideMark/>
          </w:tcPr>
          <w:p w14:paraId="084A0459" w14:textId="77777777" w:rsidR="005A319E" w:rsidRPr="005A319E" w:rsidRDefault="005A319E" w:rsidP="005A319E">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5A319E">
              <w:rPr>
                <w:rFonts w:ascii="Times New Roman" w:eastAsia="Times New Roman" w:hAnsi="Times New Roman" w:cs="Times New Roman"/>
                <w:color w:val="000000"/>
                <w:kern w:val="0"/>
                <w:sz w:val="16"/>
                <w:szCs w:val="16"/>
                <w:lang w:eastAsia="en-IN"/>
                <w14:ligatures w14:val="none"/>
              </w:rPr>
              <w:t>..</w:t>
            </w:r>
          </w:p>
        </w:tc>
      </w:tr>
      <w:tr w:rsidR="005A319E" w:rsidRPr="005A319E" w14:paraId="4EDD29C3" w14:textId="77777777" w:rsidTr="00D67840">
        <w:trPr>
          <w:trHeight w:val="22"/>
          <w:jc w:val="center"/>
        </w:trPr>
        <w:tc>
          <w:tcPr>
            <w:tcW w:w="1842" w:type="dxa"/>
            <w:tcBorders>
              <w:top w:val="nil"/>
              <w:left w:val="single" w:sz="4" w:space="0" w:color="auto"/>
              <w:bottom w:val="single" w:sz="4" w:space="0" w:color="auto"/>
              <w:right w:val="single" w:sz="4" w:space="0" w:color="auto"/>
            </w:tcBorders>
            <w:noWrap/>
            <w:vAlign w:val="center"/>
            <w:hideMark/>
          </w:tcPr>
          <w:p w14:paraId="7663E4B6" w14:textId="77777777" w:rsidR="005A319E" w:rsidRPr="005A319E" w:rsidRDefault="005A319E" w:rsidP="005A319E">
            <w:pPr>
              <w:spacing w:after="0" w:line="240" w:lineRule="auto"/>
              <w:rPr>
                <w:rFonts w:ascii="Times New Roman" w:eastAsia="Times New Roman" w:hAnsi="Times New Roman" w:cs="Times New Roman"/>
                <w:color w:val="000000"/>
                <w:kern w:val="0"/>
                <w:sz w:val="16"/>
                <w:szCs w:val="16"/>
                <w:lang w:eastAsia="en-IN"/>
                <w14:ligatures w14:val="none"/>
              </w:rPr>
            </w:pPr>
            <w:r w:rsidRPr="005A319E">
              <w:rPr>
                <w:rFonts w:ascii="Times New Roman" w:eastAsia="Times New Roman" w:hAnsi="Times New Roman" w:cs="Times New Roman"/>
                <w:color w:val="000000"/>
                <w:kern w:val="0"/>
                <w:sz w:val="16"/>
                <w:szCs w:val="16"/>
                <w:lang w:eastAsia="en-IN"/>
                <w14:ligatures w14:val="none"/>
              </w:rPr>
              <w:t>15. Tamil Nadu:</w:t>
            </w:r>
          </w:p>
        </w:tc>
        <w:tc>
          <w:tcPr>
            <w:tcW w:w="851" w:type="dxa"/>
            <w:tcBorders>
              <w:top w:val="nil"/>
              <w:left w:val="nil"/>
              <w:bottom w:val="single" w:sz="4" w:space="0" w:color="auto"/>
              <w:right w:val="single" w:sz="4" w:space="0" w:color="auto"/>
            </w:tcBorders>
            <w:noWrap/>
            <w:vAlign w:val="center"/>
            <w:hideMark/>
          </w:tcPr>
          <w:p w14:paraId="714A0470" w14:textId="77777777" w:rsidR="005A319E" w:rsidRPr="005A319E" w:rsidRDefault="005A319E" w:rsidP="005A319E">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5A319E">
              <w:rPr>
                <w:rFonts w:ascii="Times New Roman" w:eastAsia="Times New Roman" w:hAnsi="Times New Roman" w:cs="Times New Roman"/>
                <w:color w:val="000000"/>
                <w:kern w:val="0"/>
                <w:sz w:val="16"/>
                <w:szCs w:val="16"/>
                <w:lang w:eastAsia="en-IN"/>
                <w14:ligatures w14:val="none"/>
              </w:rPr>
              <w:t> </w:t>
            </w:r>
          </w:p>
        </w:tc>
        <w:tc>
          <w:tcPr>
            <w:tcW w:w="992" w:type="dxa"/>
            <w:tcBorders>
              <w:top w:val="nil"/>
              <w:left w:val="nil"/>
              <w:bottom w:val="single" w:sz="4" w:space="0" w:color="auto"/>
              <w:right w:val="single" w:sz="4" w:space="0" w:color="auto"/>
            </w:tcBorders>
            <w:noWrap/>
            <w:vAlign w:val="center"/>
            <w:hideMark/>
          </w:tcPr>
          <w:p w14:paraId="3F99334D" w14:textId="77777777" w:rsidR="005A319E" w:rsidRPr="005A319E" w:rsidRDefault="005A319E" w:rsidP="005A319E">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5A319E">
              <w:rPr>
                <w:rFonts w:ascii="Times New Roman" w:eastAsia="Times New Roman" w:hAnsi="Times New Roman" w:cs="Times New Roman"/>
                <w:color w:val="000000"/>
                <w:kern w:val="0"/>
                <w:sz w:val="16"/>
                <w:szCs w:val="16"/>
                <w:lang w:eastAsia="en-IN"/>
                <w14:ligatures w14:val="none"/>
              </w:rPr>
              <w:t> </w:t>
            </w:r>
          </w:p>
        </w:tc>
        <w:tc>
          <w:tcPr>
            <w:tcW w:w="581" w:type="dxa"/>
            <w:tcBorders>
              <w:top w:val="nil"/>
              <w:left w:val="nil"/>
              <w:bottom w:val="single" w:sz="4" w:space="0" w:color="auto"/>
              <w:right w:val="single" w:sz="4" w:space="0" w:color="auto"/>
            </w:tcBorders>
            <w:noWrap/>
            <w:vAlign w:val="center"/>
            <w:hideMark/>
          </w:tcPr>
          <w:p w14:paraId="7351D920" w14:textId="77777777" w:rsidR="005A319E" w:rsidRPr="005A319E" w:rsidRDefault="005A319E" w:rsidP="005A319E">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5A319E">
              <w:rPr>
                <w:rFonts w:ascii="Times New Roman" w:eastAsia="Times New Roman" w:hAnsi="Times New Roman" w:cs="Times New Roman"/>
                <w:color w:val="000000"/>
                <w:kern w:val="0"/>
                <w:sz w:val="16"/>
                <w:szCs w:val="16"/>
                <w:lang w:eastAsia="en-IN"/>
                <w14:ligatures w14:val="none"/>
              </w:rPr>
              <w:t> </w:t>
            </w:r>
          </w:p>
        </w:tc>
        <w:tc>
          <w:tcPr>
            <w:tcW w:w="992" w:type="dxa"/>
            <w:tcBorders>
              <w:top w:val="nil"/>
              <w:left w:val="nil"/>
              <w:bottom w:val="single" w:sz="4" w:space="0" w:color="auto"/>
              <w:right w:val="single" w:sz="4" w:space="0" w:color="auto"/>
            </w:tcBorders>
            <w:noWrap/>
            <w:vAlign w:val="center"/>
            <w:hideMark/>
          </w:tcPr>
          <w:p w14:paraId="26039DC2" w14:textId="77777777" w:rsidR="005A319E" w:rsidRPr="005A319E" w:rsidRDefault="005A319E" w:rsidP="005A319E">
            <w:pPr>
              <w:spacing w:after="0" w:line="240" w:lineRule="auto"/>
              <w:rPr>
                <w:rFonts w:ascii="Times New Roman" w:eastAsia="Times New Roman" w:hAnsi="Times New Roman" w:cs="Times New Roman"/>
                <w:color w:val="000000"/>
                <w:kern w:val="0"/>
                <w:sz w:val="16"/>
                <w:szCs w:val="16"/>
                <w:lang w:eastAsia="en-IN"/>
                <w14:ligatures w14:val="none"/>
              </w:rPr>
            </w:pPr>
            <w:r w:rsidRPr="005A319E">
              <w:rPr>
                <w:rFonts w:ascii="Times New Roman" w:eastAsia="Times New Roman" w:hAnsi="Times New Roman" w:cs="Times New Roman"/>
                <w:color w:val="000000"/>
                <w:kern w:val="0"/>
                <w:sz w:val="16"/>
                <w:szCs w:val="16"/>
                <w:lang w:eastAsia="en-IN"/>
                <w14:ligatures w14:val="none"/>
              </w:rPr>
              <w:t> </w:t>
            </w:r>
          </w:p>
        </w:tc>
        <w:tc>
          <w:tcPr>
            <w:tcW w:w="865" w:type="dxa"/>
            <w:tcBorders>
              <w:top w:val="nil"/>
              <w:left w:val="nil"/>
              <w:bottom w:val="single" w:sz="4" w:space="0" w:color="auto"/>
              <w:right w:val="single" w:sz="4" w:space="0" w:color="auto"/>
            </w:tcBorders>
            <w:noWrap/>
            <w:vAlign w:val="center"/>
            <w:hideMark/>
          </w:tcPr>
          <w:p w14:paraId="73C7DC23" w14:textId="77777777" w:rsidR="005A319E" w:rsidRPr="005A319E" w:rsidRDefault="005A319E" w:rsidP="005A319E">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5A319E">
              <w:rPr>
                <w:rFonts w:ascii="Times New Roman" w:eastAsia="Times New Roman" w:hAnsi="Times New Roman" w:cs="Times New Roman"/>
                <w:color w:val="000000"/>
                <w:kern w:val="0"/>
                <w:sz w:val="16"/>
                <w:szCs w:val="16"/>
                <w:lang w:eastAsia="en-IN"/>
                <w14:ligatures w14:val="none"/>
              </w:rPr>
              <w:t> </w:t>
            </w:r>
          </w:p>
        </w:tc>
        <w:tc>
          <w:tcPr>
            <w:tcW w:w="709" w:type="dxa"/>
            <w:tcBorders>
              <w:top w:val="nil"/>
              <w:left w:val="nil"/>
              <w:bottom w:val="single" w:sz="4" w:space="0" w:color="auto"/>
              <w:right w:val="single" w:sz="4" w:space="0" w:color="auto"/>
            </w:tcBorders>
            <w:noWrap/>
            <w:vAlign w:val="center"/>
            <w:hideMark/>
          </w:tcPr>
          <w:p w14:paraId="5555218D" w14:textId="77777777" w:rsidR="005A319E" w:rsidRPr="005A319E" w:rsidRDefault="005A319E" w:rsidP="005A319E">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5A319E">
              <w:rPr>
                <w:rFonts w:ascii="Times New Roman" w:eastAsia="Times New Roman" w:hAnsi="Times New Roman" w:cs="Times New Roman"/>
                <w:color w:val="000000"/>
                <w:kern w:val="0"/>
                <w:sz w:val="16"/>
                <w:szCs w:val="16"/>
                <w:lang w:eastAsia="en-IN"/>
                <w14:ligatures w14:val="none"/>
              </w:rPr>
              <w:t> </w:t>
            </w:r>
          </w:p>
        </w:tc>
        <w:tc>
          <w:tcPr>
            <w:tcW w:w="708" w:type="dxa"/>
            <w:tcBorders>
              <w:top w:val="nil"/>
              <w:left w:val="nil"/>
              <w:bottom w:val="single" w:sz="4" w:space="0" w:color="auto"/>
              <w:right w:val="single" w:sz="4" w:space="0" w:color="auto"/>
            </w:tcBorders>
            <w:noWrap/>
            <w:vAlign w:val="center"/>
            <w:hideMark/>
          </w:tcPr>
          <w:p w14:paraId="3DF4FB5C" w14:textId="77777777" w:rsidR="005A319E" w:rsidRPr="005A319E" w:rsidRDefault="005A319E" w:rsidP="005A319E">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5A319E">
              <w:rPr>
                <w:rFonts w:ascii="Times New Roman" w:eastAsia="Times New Roman" w:hAnsi="Times New Roman" w:cs="Times New Roman"/>
                <w:color w:val="000000"/>
                <w:kern w:val="0"/>
                <w:sz w:val="16"/>
                <w:szCs w:val="16"/>
                <w:lang w:eastAsia="en-IN"/>
                <w14:ligatures w14:val="none"/>
              </w:rPr>
              <w:t> </w:t>
            </w:r>
          </w:p>
        </w:tc>
        <w:tc>
          <w:tcPr>
            <w:tcW w:w="865" w:type="dxa"/>
            <w:tcBorders>
              <w:top w:val="nil"/>
              <w:left w:val="nil"/>
              <w:bottom w:val="single" w:sz="4" w:space="0" w:color="auto"/>
              <w:right w:val="single" w:sz="4" w:space="0" w:color="auto"/>
            </w:tcBorders>
            <w:noWrap/>
            <w:vAlign w:val="center"/>
            <w:hideMark/>
          </w:tcPr>
          <w:p w14:paraId="7A5BC9CA" w14:textId="77777777" w:rsidR="005A319E" w:rsidRPr="005A319E" w:rsidRDefault="005A319E" w:rsidP="005A319E">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5A319E">
              <w:rPr>
                <w:rFonts w:ascii="Times New Roman" w:eastAsia="Times New Roman" w:hAnsi="Times New Roman" w:cs="Times New Roman"/>
                <w:color w:val="000000"/>
                <w:kern w:val="0"/>
                <w:sz w:val="16"/>
                <w:szCs w:val="16"/>
                <w:lang w:eastAsia="en-IN"/>
                <w14:ligatures w14:val="none"/>
              </w:rPr>
              <w:t> </w:t>
            </w:r>
          </w:p>
        </w:tc>
        <w:tc>
          <w:tcPr>
            <w:tcW w:w="581" w:type="dxa"/>
            <w:tcBorders>
              <w:top w:val="nil"/>
              <w:left w:val="nil"/>
              <w:bottom w:val="single" w:sz="4" w:space="0" w:color="auto"/>
              <w:right w:val="single" w:sz="4" w:space="0" w:color="auto"/>
            </w:tcBorders>
            <w:noWrap/>
            <w:vAlign w:val="center"/>
            <w:hideMark/>
          </w:tcPr>
          <w:p w14:paraId="2E5954A0" w14:textId="77777777" w:rsidR="005A319E" w:rsidRPr="005A319E" w:rsidRDefault="005A319E" w:rsidP="005A319E">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5A319E">
              <w:rPr>
                <w:rFonts w:ascii="Times New Roman" w:eastAsia="Times New Roman" w:hAnsi="Times New Roman" w:cs="Times New Roman"/>
                <w:color w:val="000000"/>
                <w:kern w:val="0"/>
                <w:sz w:val="16"/>
                <w:szCs w:val="16"/>
                <w:lang w:eastAsia="en-IN"/>
                <w14:ligatures w14:val="none"/>
              </w:rPr>
              <w:t> </w:t>
            </w:r>
          </w:p>
        </w:tc>
        <w:tc>
          <w:tcPr>
            <w:tcW w:w="1004" w:type="dxa"/>
            <w:tcBorders>
              <w:top w:val="nil"/>
              <w:left w:val="nil"/>
              <w:bottom w:val="single" w:sz="4" w:space="0" w:color="auto"/>
              <w:right w:val="single" w:sz="4" w:space="0" w:color="auto"/>
            </w:tcBorders>
            <w:noWrap/>
            <w:vAlign w:val="center"/>
            <w:hideMark/>
          </w:tcPr>
          <w:p w14:paraId="34105CE9" w14:textId="77777777" w:rsidR="005A319E" w:rsidRPr="005A319E" w:rsidRDefault="005A319E" w:rsidP="005A319E">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5A319E">
              <w:rPr>
                <w:rFonts w:ascii="Times New Roman" w:eastAsia="Times New Roman" w:hAnsi="Times New Roman" w:cs="Times New Roman"/>
                <w:color w:val="000000"/>
                <w:kern w:val="0"/>
                <w:sz w:val="16"/>
                <w:szCs w:val="16"/>
                <w:lang w:eastAsia="en-IN"/>
                <w14:ligatures w14:val="none"/>
              </w:rPr>
              <w:t> </w:t>
            </w:r>
          </w:p>
        </w:tc>
        <w:tc>
          <w:tcPr>
            <w:tcW w:w="865" w:type="dxa"/>
            <w:tcBorders>
              <w:top w:val="nil"/>
              <w:left w:val="nil"/>
              <w:bottom w:val="single" w:sz="4" w:space="0" w:color="auto"/>
              <w:right w:val="single" w:sz="4" w:space="0" w:color="auto"/>
            </w:tcBorders>
            <w:noWrap/>
            <w:vAlign w:val="center"/>
            <w:hideMark/>
          </w:tcPr>
          <w:p w14:paraId="72C927DD" w14:textId="77777777" w:rsidR="005A319E" w:rsidRPr="005A319E" w:rsidRDefault="005A319E" w:rsidP="005A319E">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5A319E">
              <w:rPr>
                <w:rFonts w:ascii="Times New Roman" w:eastAsia="Times New Roman" w:hAnsi="Times New Roman" w:cs="Times New Roman"/>
                <w:color w:val="000000"/>
                <w:kern w:val="0"/>
                <w:sz w:val="16"/>
                <w:szCs w:val="16"/>
                <w:lang w:eastAsia="en-IN"/>
                <w14:ligatures w14:val="none"/>
              </w:rPr>
              <w:t> </w:t>
            </w:r>
          </w:p>
        </w:tc>
        <w:tc>
          <w:tcPr>
            <w:tcW w:w="995" w:type="dxa"/>
            <w:tcBorders>
              <w:top w:val="nil"/>
              <w:left w:val="nil"/>
              <w:bottom w:val="single" w:sz="4" w:space="0" w:color="auto"/>
              <w:right w:val="single" w:sz="4" w:space="0" w:color="auto"/>
            </w:tcBorders>
            <w:noWrap/>
            <w:vAlign w:val="center"/>
            <w:hideMark/>
          </w:tcPr>
          <w:p w14:paraId="2A0B4598" w14:textId="77777777" w:rsidR="005A319E" w:rsidRPr="005A319E" w:rsidRDefault="005A319E" w:rsidP="005A319E">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5A319E">
              <w:rPr>
                <w:rFonts w:ascii="Times New Roman" w:eastAsia="Times New Roman" w:hAnsi="Times New Roman" w:cs="Times New Roman"/>
                <w:color w:val="000000"/>
                <w:kern w:val="0"/>
                <w:sz w:val="16"/>
                <w:szCs w:val="16"/>
                <w:lang w:eastAsia="en-IN"/>
                <w14:ligatures w14:val="none"/>
              </w:rPr>
              <w:t> </w:t>
            </w:r>
          </w:p>
        </w:tc>
        <w:tc>
          <w:tcPr>
            <w:tcW w:w="916" w:type="dxa"/>
            <w:tcBorders>
              <w:top w:val="nil"/>
              <w:left w:val="nil"/>
              <w:bottom w:val="single" w:sz="4" w:space="0" w:color="auto"/>
              <w:right w:val="single" w:sz="4" w:space="0" w:color="auto"/>
            </w:tcBorders>
            <w:noWrap/>
            <w:vAlign w:val="center"/>
            <w:hideMark/>
          </w:tcPr>
          <w:p w14:paraId="0D7998E3" w14:textId="77777777" w:rsidR="005A319E" w:rsidRPr="005A319E" w:rsidRDefault="005A319E" w:rsidP="005A319E">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5A319E">
              <w:rPr>
                <w:rFonts w:ascii="Times New Roman" w:eastAsia="Times New Roman" w:hAnsi="Times New Roman" w:cs="Times New Roman"/>
                <w:color w:val="000000"/>
                <w:kern w:val="0"/>
                <w:sz w:val="16"/>
                <w:szCs w:val="16"/>
                <w:lang w:eastAsia="en-IN"/>
                <w14:ligatures w14:val="none"/>
              </w:rPr>
              <w:t> </w:t>
            </w:r>
          </w:p>
        </w:tc>
        <w:tc>
          <w:tcPr>
            <w:tcW w:w="865" w:type="dxa"/>
            <w:tcBorders>
              <w:top w:val="nil"/>
              <w:left w:val="nil"/>
              <w:bottom w:val="single" w:sz="4" w:space="0" w:color="auto"/>
              <w:right w:val="single" w:sz="4" w:space="0" w:color="auto"/>
            </w:tcBorders>
            <w:noWrap/>
            <w:vAlign w:val="center"/>
            <w:hideMark/>
          </w:tcPr>
          <w:p w14:paraId="0CEAE694" w14:textId="77777777" w:rsidR="005A319E" w:rsidRPr="005A319E" w:rsidRDefault="005A319E" w:rsidP="005A319E">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5A319E">
              <w:rPr>
                <w:rFonts w:ascii="Times New Roman" w:eastAsia="Times New Roman" w:hAnsi="Times New Roman" w:cs="Times New Roman"/>
                <w:color w:val="000000"/>
                <w:kern w:val="0"/>
                <w:sz w:val="16"/>
                <w:szCs w:val="16"/>
                <w:lang w:eastAsia="en-IN"/>
                <w14:ligatures w14:val="none"/>
              </w:rPr>
              <w:t> </w:t>
            </w:r>
          </w:p>
        </w:tc>
        <w:tc>
          <w:tcPr>
            <w:tcW w:w="581" w:type="dxa"/>
            <w:tcBorders>
              <w:top w:val="nil"/>
              <w:left w:val="nil"/>
              <w:bottom w:val="single" w:sz="4" w:space="0" w:color="auto"/>
              <w:right w:val="single" w:sz="4" w:space="0" w:color="auto"/>
            </w:tcBorders>
            <w:noWrap/>
            <w:vAlign w:val="center"/>
            <w:hideMark/>
          </w:tcPr>
          <w:p w14:paraId="2A9C7264" w14:textId="77777777" w:rsidR="005A319E" w:rsidRPr="005A319E" w:rsidRDefault="005A319E" w:rsidP="005A319E">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5A319E">
              <w:rPr>
                <w:rFonts w:ascii="Times New Roman" w:eastAsia="Times New Roman" w:hAnsi="Times New Roman" w:cs="Times New Roman"/>
                <w:color w:val="000000"/>
                <w:kern w:val="0"/>
                <w:sz w:val="16"/>
                <w:szCs w:val="16"/>
                <w:lang w:eastAsia="en-IN"/>
                <w14:ligatures w14:val="none"/>
              </w:rPr>
              <w:t> </w:t>
            </w:r>
          </w:p>
        </w:tc>
      </w:tr>
      <w:tr w:rsidR="005A319E" w:rsidRPr="005A319E" w14:paraId="28627EB0" w14:textId="77777777" w:rsidTr="00D67840">
        <w:trPr>
          <w:trHeight w:val="22"/>
          <w:jc w:val="center"/>
        </w:trPr>
        <w:tc>
          <w:tcPr>
            <w:tcW w:w="1842" w:type="dxa"/>
            <w:tcBorders>
              <w:top w:val="nil"/>
              <w:left w:val="single" w:sz="4" w:space="0" w:color="auto"/>
              <w:bottom w:val="single" w:sz="4" w:space="0" w:color="auto"/>
              <w:right w:val="single" w:sz="4" w:space="0" w:color="auto"/>
            </w:tcBorders>
            <w:noWrap/>
            <w:vAlign w:val="center"/>
            <w:hideMark/>
          </w:tcPr>
          <w:p w14:paraId="159809F7" w14:textId="77777777" w:rsidR="005A319E" w:rsidRPr="005A319E" w:rsidRDefault="005A319E" w:rsidP="005A319E">
            <w:pPr>
              <w:spacing w:after="0" w:line="240" w:lineRule="auto"/>
              <w:rPr>
                <w:rFonts w:ascii="Times New Roman" w:eastAsia="Times New Roman" w:hAnsi="Times New Roman" w:cs="Times New Roman"/>
                <w:color w:val="000000"/>
                <w:kern w:val="0"/>
                <w:sz w:val="16"/>
                <w:szCs w:val="16"/>
                <w:lang w:eastAsia="en-IN"/>
                <w14:ligatures w14:val="none"/>
              </w:rPr>
            </w:pPr>
            <w:r w:rsidRPr="005A319E">
              <w:rPr>
                <w:rFonts w:ascii="Times New Roman" w:eastAsia="Times New Roman" w:hAnsi="Times New Roman" w:cs="Times New Roman"/>
                <w:color w:val="000000"/>
                <w:kern w:val="0"/>
                <w:sz w:val="16"/>
                <w:szCs w:val="16"/>
                <w:lang w:eastAsia="en-IN"/>
                <w14:ligatures w14:val="none"/>
              </w:rPr>
              <w:t>(a) Madras Thermal</w:t>
            </w:r>
          </w:p>
        </w:tc>
        <w:tc>
          <w:tcPr>
            <w:tcW w:w="851" w:type="dxa"/>
            <w:vMerge w:val="restart"/>
            <w:tcBorders>
              <w:top w:val="nil"/>
              <w:left w:val="single" w:sz="4" w:space="0" w:color="auto"/>
              <w:bottom w:val="single" w:sz="4" w:space="0" w:color="auto"/>
              <w:right w:val="single" w:sz="4" w:space="0" w:color="auto"/>
            </w:tcBorders>
            <w:noWrap/>
            <w:vAlign w:val="center"/>
            <w:hideMark/>
          </w:tcPr>
          <w:p w14:paraId="04C30055" w14:textId="77777777" w:rsidR="005A319E" w:rsidRPr="005A319E" w:rsidRDefault="005A319E" w:rsidP="005A319E">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5A319E">
              <w:rPr>
                <w:rFonts w:ascii="Times New Roman" w:eastAsia="Times New Roman" w:hAnsi="Times New Roman" w:cs="Times New Roman"/>
                <w:color w:val="000000"/>
                <w:kern w:val="0"/>
                <w:sz w:val="16"/>
                <w:szCs w:val="16"/>
                <w:lang w:eastAsia="en-IN"/>
                <w14:ligatures w14:val="none"/>
              </w:rPr>
              <w:t>8.25</w:t>
            </w:r>
          </w:p>
        </w:tc>
        <w:tc>
          <w:tcPr>
            <w:tcW w:w="992" w:type="dxa"/>
            <w:vMerge w:val="restart"/>
            <w:tcBorders>
              <w:top w:val="nil"/>
              <w:left w:val="single" w:sz="4" w:space="0" w:color="auto"/>
              <w:bottom w:val="single" w:sz="4" w:space="0" w:color="auto"/>
              <w:right w:val="single" w:sz="4" w:space="0" w:color="auto"/>
            </w:tcBorders>
            <w:noWrap/>
            <w:vAlign w:val="center"/>
            <w:hideMark/>
          </w:tcPr>
          <w:p w14:paraId="47F067D0" w14:textId="77777777" w:rsidR="005A319E" w:rsidRPr="005A319E" w:rsidRDefault="005A319E" w:rsidP="005A319E">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5A319E">
              <w:rPr>
                <w:rFonts w:ascii="Times New Roman" w:eastAsia="Times New Roman" w:hAnsi="Times New Roman" w:cs="Times New Roman"/>
                <w:color w:val="000000"/>
                <w:kern w:val="0"/>
                <w:sz w:val="16"/>
                <w:szCs w:val="16"/>
                <w:lang w:eastAsia="en-IN"/>
                <w14:ligatures w14:val="none"/>
              </w:rPr>
              <w:t>1.65</w:t>
            </w:r>
          </w:p>
        </w:tc>
        <w:tc>
          <w:tcPr>
            <w:tcW w:w="581" w:type="dxa"/>
            <w:vMerge w:val="restart"/>
            <w:tcBorders>
              <w:top w:val="nil"/>
              <w:left w:val="single" w:sz="4" w:space="0" w:color="auto"/>
              <w:bottom w:val="single" w:sz="4" w:space="0" w:color="auto"/>
              <w:right w:val="single" w:sz="4" w:space="0" w:color="auto"/>
            </w:tcBorders>
            <w:noWrap/>
            <w:vAlign w:val="center"/>
            <w:hideMark/>
          </w:tcPr>
          <w:p w14:paraId="6CCB7379" w14:textId="77777777" w:rsidR="005A319E" w:rsidRPr="005A319E" w:rsidRDefault="005A319E" w:rsidP="005A319E">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5A319E">
              <w:rPr>
                <w:rFonts w:ascii="Times New Roman" w:eastAsia="Times New Roman" w:hAnsi="Times New Roman" w:cs="Times New Roman"/>
                <w:color w:val="000000"/>
                <w:kern w:val="0"/>
                <w:sz w:val="16"/>
                <w:szCs w:val="16"/>
                <w:lang w:eastAsia="en-IN"/>
                <w14:ligatures w14:val="none"/>
              </w:rPr>
              <w:t>9.90</w:t>
            </w:r>
          </w:p>
        </w:tc>
        <w:tc>
          <w:tcPr>
            <w:tcW w:w="992" w:type="dxa"/>
            <w:vMerge w:val="restart"/>
            <w:tcBorders>
              <w:top w:val="nil"/>
              <w:left w:val="single" w:sz="4" w:space="0" w:color="auto"/>
              <w:bottom w:val="single" w:sz="4" w:space="0" w:color="auto"/>
              <w:right w:val="single" w:sz="4" w:space="0" w:color="auto"/>
            </w:tcBorders>
            <w:noWrap/>
            <w:vAlign w:val="center"/>
            <w:hideMark/>
          </w:tcPr>
          <w:p w14:paraId="5419CBC9" w14:textId="77777777" w:rsidR="005A319E" w:rsidRPr="005A319E" w:rsidRDefault="005A319E" w:rsidP="005A319E">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5A319E">
              <w:rPr>
                <w:rFonts w:ascii="Times New Roman" w:eastAsia="Times New Roman" w:hAnsi="Times New Roman" w:cs="Times New Roman"/>
                <w:color w:val="000000"/>
                <w:kern w:val="0"/>
                <w:sz w:val="16"/>
                <w:szCs w:val="16"/>
                <w:lang w:eastAsia="en-IN"/>
                <w14:ligatures w14:val="none"/>
              </w:rPr>
              <w:t>12.00 (S.C.: 1.80)</w:t>
            </w:r>
          </w:p>
        </w:tc>
        <w:tc>
          <w:tcPr>
            <w:tcW w:w="865" w:type="dxa"/>
            <w:vMerge w:val="restart"/>
            <w:tcBorders>
              <w:top w:val="nil"/>
              <w:left w:val="single" w:sz="4" w:space="0" w:color="auto"/>
              <w:bottom w:val="single" w:sz="4" w:space="0" w:color="auto"/>
              <w:right w:val="single" w:sz="4" w:space="0" w:color="auto"/>
            </w:tcBorders>
            <w:noWrap/>
            <w:vAlign w:val="center"/>
            <w:hideMark/>
          </w:tcPr>
          <w:p w14:paraId="7CABCE55" w14:textId="77777777" w:rsidR="005A319E" w:rsidRPr="005A319E" w:rsidRDefault="005A319E" w:rsidP="005A319E">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5A319E">
              <w:rPr>
                <w:rFonts w:ascii="Times New Roman" w:eastAsia="Times New Roman" w:hAnsi="Times New Roman" w:cs="Times New Roman"/>
                <w:color w:val="000000"/>
                <w:kern w:val="0"/>
                <w:sz w:val="16"/>
                <w:szCs w:val="16"/>
                <w:lang w:eastAsia="en-IN"/>
                <w14:ligatures w14:val="none"/>
              </w:rPr>
              <w:t>2.40</w:t>
            </w:r>
          </w:p>
        </w:tc>
        <w:tc>
          <w:tcPr>
            <w:tcW w:w="709" w:type="dxa"/>
            <w:vMerge w:val="restart"/>
            <w:tcBorders>
              <w:top w:val="nil"/>
              <w:left w:val="single" w:sz="4" w:space="0" w:color="auto"/>
              <w:bottom w:val="single" w:sz="4" w:space="0" w:color="auto"/>
              <w:right w:val="single" w:sz="4" w:space="0" w:color="auto"/>
            </w:tcBorders>
            <w:noWrap/>
            <w:vAlign w:val="center"/>
            <w:hideMark/>
          </w:tcPr>
          <w:p w14:paraId="66179DCB" w14:textId="77777777" w:rsidR="005A319E" w:rsidRPr="005A319E" w:rsidRDefault="005A319E" w:rsidP="005A319E">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5A319E">
              <w:rPr>
                <w:rFonts w:ascii="Times New Roman" w:eastAsia="Times New Roman" w:hAnsi="Times New Roman" w:cs="Times New Roman"/>
                <w:color w:val="000000"/>
                <w:kern w:val="0"/>
                <w:sz w:val="16"/>
                <w:szCs w:val="16"/>
                <w:lang w:eastAsia="en-IN"/>
                <w14:ligatures w14:val="none"/>
              </w:rPr>
              <w:t>16.20</w:t>
            </w:r>
          </w:p>
        </w:tc>
        <w:tc>
          <w:tcPr>
            <w:tcW w:w="708" w:type="dxa"/>
            <w:vMerge w:val="restart"/>
            <w:tcBorders>
              <w:top w:val="nil"/>
              <w:left w:val="single" w:sz="4" w:space="0" w:color="auto"/>
              <w:bottom w:val="single" w:sz="4" w:space="0" w:color="auto"/>
              <w:right w:val="single" w:sz="4" w:space="0" w:color="auto"/>
            </w:tcBorders>
            <w:noWrap/>
            <w:vAlign w:val="center"/>
            <w:hideMark/>
          </w:tcPr>
          <w:p w14:paraId="330D6BF5" w14:textId="77777777" w:rsidR="005A319E" w:rsidRPr="005A319E" w:rsidRDefault="005A319E" w:rsidP="005A319E">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5A319E">
              <w:rPr>
                <w:rFonts w:ascii="Times New Roman" w:eastAsia="Times New Roman" w:hAnsi="Times New Roman" w:cs="Times New Roman"/>
                <w:color w:val="000000"/>
                <w:kern w:val="0"/>
                <w:sz w:val="16"/>
                <w:szCs w:val="16"/>
                <w:lang w:eastAsia="en-IN"/>
                <w14:ligatures w14:val="none"/>
              </w:rPr>
              <w:t>11.18 (S.C.: 1.80)</w:t>
            </w:r>
          </w:p>
        </w:tc>
        <w:tc>
          <w:tcPr>
            <w:tcW w:w="865" w:type="dxa"/>
            <w:vMerge w:val="restart"/>
            <w:tcBorders>
              <w:top w:val="nil"/>
              <w:left w:val="single" w:sz="4" w:space="0" w:color="auto"/>
              <w:bottom w:val="single" w:sz="4" w:space="0" w:color="auto"/>
              <w:right w:val="single" w:sz="4" w:space="0" w:color="auto"/>
            </w:tcBorders>
            <w:noWrap/>
            <w:vAlign w:val="center"/>
            <w:hideMark/>
          </w:tcPr>
          <w:p w14:paraId="24F36F78" w14:textId="77777777" w:rsidR="005A319E" w:rsidRPr="005A319E" w:rsidRDefault="005A319E" w:rsidP="005A319E">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5A319E">
              <w:rPr>
                <w:rFonts w:ascii="Times New Roman" w:eastAsia="Times New Roman" w:hAnsi="Times New Roman" w:cs="Times New Roman"/>
                <w:color w:val="000000"/>
                <w:kern w:val="0"/>
                <w:sz w:val="16"/>
                <w:szCs w:val="16"/>
                <w:lang w:eastAsia="en-IN"/>
                <w14:ligatures w14:val="none"/>
              </w:rPr>
              <w:t>2.24</w:t>
            </w:r>
          </w:p>
        </w:tc>
        <w:tc>
          <w:tcPr>
            <w:tcW w:w="581" w:type="dxa"/>
            <w:vMerge w:val="restart"/>
            <w:tcBorders>
              <w:top w:val="nil"/>
              <w:left w:val="single" w:sz="4" w:space="0" w:color="auto"/>
              <w:bottom w:val="single" w:sz="4" w:space="0" w:color="auto"/>
              <w:right w:val="single" w:sz="4" w:space="0" w:color="auto"/>
            </w:tcBorders>
            <w:noWrap/>
            <w:vAlign w:val="center"/>
            <w:hideMark/>
          </w:tcPr>
          <w:p w14:paraId="2A0823CA" w14:textId="77777777" w:rsidR="005A319E" w:rsidRPr="005A319E" w:rsidRDefault="005A319E" w:rsidP="005A319E">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5A319E">
              <w:rPr>
                <w:rFonts w:ascii="Times New Roman" w:eastAsia="Times New Roman" w:hAnsi="Times New Roman" w:cs="Times New Roman"/>
                <w:color w:val="000000"/>
                <w:kern w:val="0"/>
                <w:sz w:val="16"/>
                <w:szCs w:val="16"/>
                <w:lang w:eastAsia="en-IN"/>
                <w14:ligatures w14:val="none"/>
              </w:rPr>
              <w:t>15.22</w:t>
            </w:r>
          </w:p>
        </w:tc>
        <w:tc>
          <w:tcPr>
            <w:tcW w:w="1004" w:type="dxa"/>
            <w:tcBorders>
              <w:top w:val="nil"/>
              <w:left w:val="nil"/>
              <w:bottom w:val="single" w:sz="4" w:space="0" w:color="auto"/>
              <w:right w:val="single" w:sz="4" w:space="0" w:color="auto"/>
            </w:tcBorders>
            <w:noWrap/>
            <w:vAlign w:val="center"/>
            <w:hideMark/>
          </w:tcPr>
          <w:p w14:paraId="1551C404" w14:textId="77777777" w:rsidR="005A319E" w:rsidRPr="005A319E" w:rsidRDefault="005A319E" w:rsidP="005A319E">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5A319E">
              <w:rPr>
                <w:rFonts w:ascii="Times New Roman" w:eastAsia="Times New Roman" w:hAnsi="Times New Roman" w:cs="Times New Roman"/>
                <w:color w:val="000000"/>
                <w:kern w:val="0"/>
                <w:sz w:val="16"/>
                <w:szCs w:val="16"/>
                <w:lang w:eastAsia="en-IN"/>
                <w14:ligatures w14:val="none"/>
              </w:rPr>
              <w:t>17.26</w:t>
            </w:r>
          </w:p>
        </w:tc>
        <w:tc>
          <w:tcPr>
            <w:tcW w:w="865" w:type="dxa"/>
            <w:tcBorders>
              <w:top w:val="nil"/>
              <w:left w:val="nil"/>
              <w:bottom w:val="single" w:sz="4" w:space="0" w:color="auto"/>
              <w:right w:val="single" w:sz="4" w:space="0" w:color="auto"/>
            </w:tcBorders>
            <w:noWrap/>
            <w:vAlign w:val="center"/>
            <w:hideMark/>
          </w:tcPr>
          <w:p w14:paraId="7CD999CD" w14:textId="77777777" w:rsidR="005A319E" w:rsidRPr="005A319E" w:rsidRDefault="005A319E" w:rsidP="005A319E">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5A319E">
              <w:rPr>
                <w:rFonts w:ascii="Times New Roman" w:eastAsia="Times New Roman" w:hAnsi="Times New Roman" w:cs="Times New Roman"/>
                <w:color w:val="000000"/>
                <w:kern w:val="0"/>
                <w:sz w:val="16"/>
                <w:szCs w:val="16"/>
                <w:lang w:eastAsia="en-IN"/>
                <w14:ligatures w14:val="none"/>
              </w:rPr>
              <w:t>0.87</w:t>
            </w:r>
          </w:p>
        </w:tc>
        <w:tc>
          <w:tcPr>
            <w:tcW w:w="995" w:type="dxa"/>
            <w:tcBorders>
              <w:top w:val="nil"/>
              <w:left w:val="nil"/>
              <w:bottom w:val="single" w:sz="4" w:space="0" w:color="auto"/>
              <w:right w:val="single" w:sz="4" w:space="0" w:color="auto"/>
            </w:tcBorders>
            <w:noWrap/>
            <w:vAlign w:val="center"/>
            <w:hideMark/>
          </w:tcPr>
          <w:p w14:paraId="42EE5132" w14:textId="77777777" w:rsidR="005A319E" w:rsidRPr="005A319E" w:rsidRDefault="005A319E" w:rsidP="005A319E">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5A319E">
              <w:rPr>
                <w:rFonts w:ascii="Times New Roman" w:eastAsia="Times New Roman" w:hAnsi="Times New Roman" w:cs="Times New Roman"/>
                <w:color w:val="000000"/>
                <w:kern w:val="0"/>
                <w:sz w:val="16"/>
                <w:szCs w:val="16"/>
                <w:lang w:eastAsia="en-IN"/>
                <w14:ligatures w14:val="none"/>
              </w:rPr>
              <w:t>18.13</w:t>
            </w:r>
          </w:p>
        </w:tc>
        <w:tc>
          <w:tcPr>
            <w:tcW w:w="916" w:type="dxa"/>
            <w:tcBorders>
              <w:top w:val="nil"/>
              <w:left w:val="nil"/>
              <w:bottom w:val="single" w:sz="4" w:space="0" w:color="auto"/>
              <w:right w:val="single" w:sz="4" w:space="0" w:color="auto"/>
            </w:tcBorders>
            <w:noWrap/>
            <w:vAlign w:val="center"/>
            <w:hideMark/>
          </w:tcPr>
          <w:p w14:paraId="4BADD197" w14:textId="77777777" w:rsidR="005A319E" w:rsidRPr="005A319E" w:rsidRDefault="005A319E" w:rsidP="005A319E">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5A319E">
              <w:rPr>
                <w:rFonts w:ascii="Times New Roman" w:eastAsia="Times New Roman" w:hAnsi="Times New Roman" w:cs="Times New Roman"/>
                <w:color w:val="000000"/>
                <w:kern w:val="0"/>
                <w:sz w:val="16"/>
                <w:szCs w:val="16"/>
                <w:lang w:eastAsia="en-IN"/>
                <w14:ligatures w14:val="none"/>
              </w:rPr>
              <w:t>15.82</w:t>
            </w:r>
          </w:p>
        </w:tc>
        <w:tc>
          <w:tcPr>
            <w:tcW w:w="865" w:type="dxa"/>
            <w:tcBorders>
              <w:top w:val="nil"/>
              <w:left w:val="nil"/>
              <w:bottom w:val="single" w:sz="4" w:space="0" w:color="auto"/>
              <w:right w:val="single" w:sz="4" w:space="0" w:color="auto"/>
            </w:tcBorders>
            <w:noWrap/>
            <w:vAlign w:val="center"/>
            <w:hideMark/>
          </w:tcPr>
          <w:p w14:paraId="664E734E" w14:textId="77777777" w:rsidR="005A319E" w:rsidRPr="005A319E" w:rsidRDefault="005A319E" w:rsidP="005A319E">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5A319E">
              <w:rPr>
                <w:rFonts w:ascii="Times New Roman" w:eastAsia="Times New Roman" w:hAnsi="Times New Roman" w:cs="Times New Roman"/>
                <w:color w:val="000000"/>
                <w:kern w:val="0"/>
                <w:sz w:val="16"/>
                <w:szCs w:val="16"/>
                <w:lang w:eastAsia="en-IN"/>
                <w14:ligatures w14:val="none"/>
              </w:rPr>
              <w:t>0.73</w:t>
            </w:r>
          </w:p>
        </w:tc>
        <w:tc>
          <w:tcPr>
            <w:tcW w:w="581" w:type="dxa"/>
            <w:tcBorders>
              <w:top w:val="nil"/>
              <w:left w:val="nil"/>
              <w:bottom w:val="single" w:sz="4" w:space="0" w:color="auto"/>
              <w:right w:val="single" w:sz="4" w:space="0" w:color="auto"/>
            </w:tcBorders>
            <w:noWrap/>
            <w:vAlign w:val="center"/>
            <w:hideMark/>
          </w:tcPr>
          <w:p w14:paraId="6AAA754A" w14:textId="77777777" w:rsidR="005A319E" w:rsidRPr="005A319E" w:rsidRDefault="005A319E" w:rsidP="005A319E">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5A319E">
              <w:rPr>
                <w:rFonts w:ascii="Times New Roman" w:eastAsia="Times New Roman" w:hAnsi="Times New Roman" w:cs="Times New Roman"/>
                <w:color w:val="000000"/>
                <w:kern w:val="0"/>
                <w:sz w:val="16"/>
                <w:szCs w:val="16"/>
                <w:lang w:eastAsia="en-IN"/>
                <w14:ligatures w14:val="none"/>
              </w:rPr>
              <w:t>16.55</w:t>
            </w:r>
          </w:p>
        </w:tc>
      </w:tr>
      <w:tr w:rsidR="005A319E" w:rsidRPr="005A319E" w14:paraId="3FF2F3EC" w14:textId="77777777" w:rsidTr="00D67840">
        <w:trPr>
          <w:trHeight w:val="22"/>
          <w:jc w:val="center"/>
        </w:trPr>
        <w:tc>
          <w:tcPr>
            <w:tcW w:w="1842" w:type="dxa"/>
            <w:tcBorders>
              <w:top w:val="nil"/>
              <w:left w:val="single" w:sz="4" w:space="0" w:color="auto"/>
              <w:bottom w:val="single" w:sz="4" w:space="0" w:color="auto"/>
              <w:right w:val="single" w:sz="4" w:space="0" w:color="auto"/>
            </w:tcBorders>
            <w:noWrap/>
            <w:vAlign w:val="center"/>
            <w:hideMark/>
          </w:tcPr>
          <w:p w14:paraId="65A2E181" w14:textId="77777777" w:rsidR="005A319E" w:rsidRPr="005A319E" w:rsidRDefault="005A319E" w:rsidP="005A319E">
            <w:pPr>
              <w:spacing w:after="0" w:line="240" w:lineRule="auto"/>
              <w:rPr>
                <w:rFonts w:ascii="Times New Roman" w:eastAsia="Times New Roman" w:hAnsi="Times New Roman" w:cs="Times New Roman"/>
                <w:color w:val="000000"/>
                <w:kern w:val="0"/>
                <w:sz w:val="16"/>
                <w:szCs w:val="16"/>
                <w:lang w:eastAsia="en-IN"/>
                <w14:ligatures w14:val="none"/>
              </w:rPr>
            </w:pPr>
            <w:r w:rsidRPr="005A319E">
              <w:rPr>
                <w:rFonts w:ascii="Times New Roman" w:eastAsia="Times New Roman" w:hAnsi="Times New Roman" w:cs="Times New Roman"/>
                <w:color w:val="000000"/>
                <w:kern w:val="0"/>
                <w:sz w:val="16"/>
                <w:szCs w:val="16"/>
                <w:lang w:eastAsia="en-IN"/>
                <w14:ligatures w14:val="none"/>
              </w:rPr>
              <w:t>(b) Rest</w:t>
            </w:r>
          </w:p>
        </w:tc>
        <w:tc>
          <w:tcPr>
            <w:tcW w:w="851" w:type="dxa"/>
            <w:vMerge/>
            <w:tcBorders>
              <w:top w:val="nil"/>
              <w:left w:val="single" w:sz="4" w:space="0" w:color="auto"/>
              <w:bottom w:val="single" w:sz="4" w:space="0" w:color="auto"/>
              <w:right w:val="single" w:sz="4" w:space="0" w:color="auto"/>
            </w:tcBorders>
            <w:vAlign w:val="center"/>
            <w:hideMark/>
          </w:tcPr>
          <w:p w14:paraId="34B1FB37" w14:textId="77777777" w:rsidR="005A319E" w:rsidRPr="005A319E" w:rsidRDefault="005A319E" w:rsidP="005A319E">
            <w:pPr>
              <w:spacing w:after="0" w:line="240" w:lineRule="auto"/>
              <w:rPr>
                <w:rFonts w:ascii="Times New Roman" w:eastAsia="Times New Roman" w:hAnsi="Times New Roman" w:cs="Times New Roman"/>
                <w:color w:val="000000"/>
                <w:kern w:val="0"/>
                <w:sz w:val="16"/>
                <w:szCs w:val="16"/>
                <w:lang w:eastAsia="en-IN"/>
                <w14:ligatures w14:val="none"/>
              </w:rPr>
            </w:pPr>
          </w:p>
        </w:tc>
        <w:tc>
          <w:tcPr>
            <w:tcW w:w="992" w:type="dxa"/>
            <w:vMerge/>
            <w:tcBorders>
              <w:top w:val="nil"/>
              <w:left w:val="single" w:sz="4" w:space="0" w:color="auto"/>
              <w:bottom w:val="single" w:sz="4" w:space="0" w:color="auto"/>
              <w:right w:val="single" w:sz="4" w:space="0" w:color="auto"/>
            </w:tcBorders>
            <w:vAlign w:val="center"/>
            <w:hideMark/>
          </w:tcPr>
          <w:p w14:paraId="2AFF2F4B" w14:textId="77777777" w:rsidR="005A319E" w:rsidRPr="005A319E" w:rsidRDefault="005A319E" w:rsidP="005A319E">
            <w:pPr>
              <w:spacing w:after="0" w:line="240" w:lineRule="auto"/>
              <w:rPr>
                <w:rFonts w:ascii="Times New Roman" w:eastAsia="Times New Roman" w:hAnsi="Times New Roman" w:cs="Times New Roman"/>
                <w:color w:val="000000"/>
                <w:kern w:val="0"/>
                <w:sz w:val="16"/>
                <w:szCs w:val="16"/>
                <w:lang w:eastAsia="en-IN"/>
                <w14:ligatures w14:val="none"/>
              </w:rPr>
            </w:pPr>
          </w:p>
        </w:tc>
        <w:tc>
          <w:tcPr>
            <w:tcW w:w="581" w:type="dxa"/>
            <w:vMerge/>
            <w:tcBorders>
              <w:top w:val="nil"/>
              <w:left w:val="single" w:sz="4" w:space="0" w:color="auto"/>
              <w:bottom w:val="single" w:sz="4" w:space="0" w:color="auto"/>
              <w:right w:val="single" w:sz="4" w:space="0" w:color="auto"/>
            </w:tcBorders>
            <w:vAlign w:val="center"/>
            <w:hideMark/>
          </w:tcPr>
          <w:p w14:paraId="1AC62092" w14:textId="77777777" w:rsidR="005A319E" w:rsidRPr="005A319E" w:rsidRDefault="005A319E" w:rsidP="005A319E">
            <w:pPr>
              <w:spacing w:after="0" w:line="240" w:lineRule="auto"/>
              <w:rPr>
                <w:rFonts w:ascii="Times New Roman" w:eastAsia="Times New Roman" w:hAnsi="Times New Roman" w:cs="Times New Roman"/>
                <w:color w:val="000000"/>
                <w:kern w:val="0"/>
                <w:sz w:val="16"/>
                <w:szCs w:val="16"/>
                <w:lang w:eastAsia="en-IN"/>
                <w14:ligatures w14:val="none"/>
              </w:rPr>
            </w:pPr>
          </w:p>
        </w:tc>
        <w:tc>
          <w:tcPr>
            <w:tcW w:w="992" w:type="dxa"/>
            <w:vMerge/>
            <w:tcBorders>
              <w:top w:val="nil"/>
              <w:left w:val="single" w:sz="4" w:space="0" w:color="auto"/>
              <w:bottom w:val="single" w:sz="4" w:space="0" w:color="auto"/>
              <w:right w:val="single" w:sz="4" w:space="0" w:color="auto"/>
            </w:tcBorders>
            <w:vAlign w:val="center"/>
            <w:hideMark/>
          </w:tcPr>
          <w:p w14:paraId="3DDC5017" w14:textId="77777777" w:rsidR="005A319E" w:rsidRPr="005A319E" w:rsidRDefault="005A319E" w:rsidP="005A319E">
            <w:pPr>
              <w:spacing w:after="0" w:line="240" w:lineRule="auto"/>
              <w:rPr>
                <w:rFonts w:ascii="Times New Roman" w:eastAsia="Times New Roman" w:hAnsi="Times New Roman" w:cs="Times New Roman"/>
                <w:color w:val="000000"/>
                <w:kern w:val="0"/>
                <w:sz w:val="16"/>
                <w:szCs w:val="16"/>
                <w:lang w:eastAsia="en-IN"/>
                <w14:ligatures w14:val="none"/>
              </w:rPr>
            </w:pPr>
          </w:p>
        </w:tc>
        <w:tc>
          <w:tcPr>
            <w:tcW w:w="865" w:type="dxa"/>
            <w:vMerge/>
            <w:tcBorders>
              <w:top w:val="nil"/>
              <w:left w:val="single" w:sz="4" w:space="0" w:color="auto"/>
              <w:bottom w:val="single" w:sz="4" w:space="0" w:color="auto"/>
              <w:right w:val="single" w:sz="4" w:space="0" w:color="auto"/>
            </w:tcBorders>
            <w:vAlign w:val="center"/>
            <w:hideMark/>
          </w:tcPr>
          <w:p w14:paraId="47F94E08" w14:textId="77777777" w:rsidR="005A319E" w:rsidRPr="005A319E" w:rsidRDefault="005A319E" w:rsidP="005A319E">
            <w:pPr>
              <w:spacing w:after="0" w:line="240" w:lineRule="auto"/>
              <w:rPr>
                <w:rFonts w:ascii="Times New Roman" w:eastAsia="Times New Roman" w:hAnsi="Times New Roman" w:cs="Times New Roman"/>
                <w:color w:val="000000"/>
                <w:kern w:val="0"/>
                <w:sz w:val="16"/>
                <w:szCs w:val="16"/>
                <w:lang w:eastAsia="en-IN"/>
                <w14:ligatures w14:val="none"/>
              </w:rPr>
            </w:pPr>
          </w:p>
        </w:tc>
        <w:tc>
          <w:tcPr>
            <w:tcW w:w="709" w:type="dxa"/>
            <w:vMerge/>
            <w:tcBorders>
              <w:top w:val="nil"/>
              <w:left w:val="single" w:sz="4" w:space="0" w:color="auto"/>
              <w:bottom w:val="single" w:sz="4" w:space="0" w:color="auto"/>
              <w:right w:val="single" w:sz="4" w:space="0" w:color="auto"/>
            </w:tcBorders>
            <w:vAlign w:val="center"/>
            <w:hideMark/>
          </w:tcPr>
          <w:p w14:paraId="42337447" w14:textId="77777777" w:rsidR="005A319E" w:rsidRPr="005A319E" w:rsidRDefault="005A319E" w:rsidP="005A319E">
            <w:pPr>
              <w:spacing w:after="0" w:line="240" w:lineRule="auto"/>
              <w:rPr>
                <w:rFonts w:ascii="Times New Roman" w:eastAsia="Times New Roman" w:hAnsi="Times New Roman" w:cs="Times New Roman"/>
                <w:color w:val="000000"/>
                <w:kern w:val="0"/>
                <w:sz w:val="16"/>
                <w:szCs w:val="16"/>
                <w:lang w:eastAsia="en-IN"/>
                <w14:ligatures w14:val="none"/>
              </w:rPr>
            </w:pPr>
          </w:p>
        </w:tc>
        <w:tc>
          <w:tcPr>
            <w:tcW w:w="708" w:type="dxa"/>
            <w:vMerge/>
            <w:tcBorders>
              <w:top w:val="nil"/>
              <w:left w:val="single" w:sz="4" w:space="0" w:color="auto"/>
              <w:bottom w:val="single" w:sz="4" w:space="0" w:color="auto"/>
              <w:right w:val="single" w:sz="4" w:space="0" w:color="auto"/>
            </w:tcBorders>
            <w:vAlign w:val="center"/>
            <w:hideMark/>
          </w:tcPr>
          <w:p w14:paraId="4B00ACCC" w14:textId="77777777" w:rsidR="005A319E" w:rsidRPr="005A319E" w:rsidRDefault="005A319E" w:rsidP="005A319E">
            <w:pPr>
              <w:spacing w:after="0" w:line="240" w:lineRule="auto"/>
              <w:rPr>
                <w:rFonts w:ascii="Times New Roman" w:eastAsia="Times New Roman" w:hAnsi="Times New Roman" w:cs="Times New Roman"/>
                <w:color w:val="000000"/>
                <w:kern w:val="0"/>
                <w:sz w:val="16"/>
                <w:szCs w:val="16"/>
                <w:lang w:eastAsia="en-IN"/>
                <w14:ligatures w14:val="none"/>
              </w:rPr>
            </w:pPr>
          </w:p>
        </w:tc>
        <w:tc>
          <w:tcPr>
            <w:tcW w:w="865" w:type="dxa"/>
            <w:vMerge/>
            <w:tcBorders>
              <w:top w:val="nil"/>
              <w:left w:val="single" w:sz="4" w:space="0" w:color="auto"/>
              <w:bottom w:val="single" w:sz="4" w:space="0" w:color="auto"/>
              <w:right w:val="single" w:sz="4" w:space="0" w:color="auto"/>
            </w:tcBorders>
            <w:vAlign w:val="center"/>
            <w:hideMark/>
          </w:tcPr>
          <w:p w14:paraId="73F1E240" w14:textId="77777777" w:rsidR="005A319E" w:rsidRPr="005A319E" w:rsidRDefault="005A319E" w:rsidP="005A319E">
            <w:pPr>
              <w:spacing w:after="0" w:line="240" w:lineRule="auto"/>
              <w:rPr>
                <w:rFonts w:ascii="Times New Roman" w:eastAsia="Times New Roman" w:hAnsi="Times New Roman" w:cs="Times New Roman"/>
                <w:color w:val="000000"/>
                <w:kern w:val="0"/>
                <w:sz w:val="16"/>
                <w:szCs w:val="16"/>
                <w:lang w:eastAsia="en-IN"/>
                <w14:ligatures w14:val="none"/>
              </w:rPr>
            </w:pPr>
          </w:p>
        </w:tc>
        <w:tc>
          <w:tcPr>
            <w:tcW w:w="581" w:type="dxa"/>
            <w:vMerge/>
            <w:tcBorders>
              <w:top w:val="nil"/>
              <w:left w:val="single" w:sz="4" w:space="0" w:color="auto"/>
              <w:bottom w:val="single" w:sz="4" w:space="0" w:color="auto"/>
              <w:right w:val="single" w:sz="4" w:space="0" w:color="auto"/>
            </w:tcBorders>
            <w:vAlign w:val="center"/>
            <w:hideMark/>
          </w:tcPr>
          <w:p w14:paraId="2181B0C8" w14:textId="77777777" w:rsidR="005A319E" w:rsidRPr="005A319E" w:rsidRDefault="005A319E" w:rsidP="005A319E">
            <w:pPr>
              <w:spacing w:after="0" w:line="240" w:lineRule="auto"/>
              <w:rPr>
                <w:rFonts w:ascii="Times New Roman" w:eastAsia="Times New Roman" w:hAnsi="Times New Roman" w:cs="Times New Roman"/>
                <w:color w:val="000000"/>
                <w:kern w:val="0"/>
                <w:sz w:val="16"/>
                <w:szCs w:val="16"/>
                <w:lang w:eastAsia="en-IN"/>
                <w14:ligatures w14:val="none"/>
              </w:rPr>
            </w:pPr>
          </w:p>
        </w:tc>
        <w:tc>
          <w:tcPr>
            <w:tcW w:w="1004" w:type="dxa"/>
            <w:tcBorders>
              <w:top w:val="nil"/>
              <w:left w:val="nil"/>
              <w:bottom w:val="single" w:sz="4" w:space="0" w:color="auto"/>
              <w:right w:val="single" w:sz="4" w:space="0" w:color="auto"/>
            </w:tcBorders>
            <w:noWrap/>
            <w:vAlign w:val="center"/>
            <w:hideMark/>
          </w:tcPr>
          <w:p w14:paraId="0767A221" w14:textId="77777777" w:rsidR="005A319E" w:rsidRPr="005A319E" w:rsidRDefault="005A319E" w:rsidP="005A319E">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5A319E">
              <w:rPr>
                <w:rFonts w:ascii="Times New Roman" w:eastAsia="Times New Roman" w:hAnsi="Times New Roman" w:cs="Times New Roman"/>
                <w:color w:val="000000"/>
                <w:kern w:val="0"/>
                <w:sz w:val="16"/>
                <w:szCs w:val="16"/>
                <w:lang w:eastAsia="en-IN"/>
                <w14:ligatures w14:val="none"/>
              </w:rPr>
              <w:t>8.71 (S.C. 2.61)</w:t>
            </w:r>
          </w:p>
        </w:tc>
        <w:tc>
          <w:tcPr>
            <w:tcW w:w="865" w:type="dxa"/>
            <w:tcBorders>
              <w:top w:val="nil"/>
              <w:left w:val="nil"/>
              <w:bottom w:val="single" w:sz="4" w:space="0" w:color="auto"/>
              <w:right w:val="single" w:sz="4" w:space="0" w:color="auto"/>
            </w:tcBorders>
            <w:noWrap/>
            <w:vAlign w:val="center"/>
            <w:hideMark/>
          </w:tcPr>
          <w:p w14:paraId="2DC38BAE" w14:textId="77777777" w:rsidR="005A319E" w:rsidRPr="005A319E" w:rsidRDefault="005A319E" w:rsidP="005A319E">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5A319E">
              <w:rPr>
                <w:rFonts w:ascii="Times New Roman" w:eastAsia="Times New Roman" w:hAnsi="Times New Roman" w:cs="Times New Roman"/>
                <w:color w:val="000000"/>
                <w:kern w:val="0"/>
                <w:sz w:val="16"/>
                <w:szCs w:val="16"/>
                <w:lang w:eastAsia="en-IN"/>
                <w14:ligatures w14:val="none"/>
              </w:rPr>
              <w:t>3.05</w:t>
            </w:r>
          </w:p>
        </w:tc>
        <w:tc>
          <w:tcPr>
            <w:tcW w:w="995" w:type="dxa"/>
            <w:tcBorders>
              <w:top w:val="nil"/>
              <w:left w:val="nil"/>
              <w:bottom w:val="single" w:sz="4" w:space="0" w:color="auto"/>
              <w:right w:val="single" w:sz="4" w:space="0" w:color="auto"/>
            </w:tcBorders>
            <w:noWrap/>
            <w:vAlign w:val="center"/>
            <w:hideMark/>
          </w:tcPr>
          <w:p w14:paraId="41D254D3" w14:textId="77777777" w:rsidR="005A319E" w:rsidRPr="005A319E" w:rsidRDefault="005A319E" w:rsidP="005A319E">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5A319E">
              <w:rPr>
                <w:rFonts w:ascii="Times New Roman" w:eastAsia="Times New Roman" w:hAnsi="Times New Roman" w:cs="Times New Roman"/>
                <w:color w:val="000000"/>
                <w:kern w:val="0"/>
                <w:sz w:val="16"/>
                <w:szCs w:val="16"/>
                <w:lang w:eastAsia="en-IN"/>
                <w14:ligatures w14:val="none"/>
              </w:rPr>
              <w:t>14.37</w:t>
            </w:r>
          </w:p>
        </w:tc>
        <w:tc>
          <w:tcPr>
            <w:tcW w:w="916" w:type="dxa"/>
            <w:tcBorders>
              <w:top w:val="nil"/>
              <w:left w:val="nil"/>
              <w:bottom w:val="single" w:sz="4" w:space="0" w:color="auto"/>
              <w:right w:val="single" w:sz="4" w:space="0" w:color="auto"/>
            </w:tcBorders>
            <w:noWrap/>
            <w:vAlign w:val="center"/>
            <w:hideMark/>
          </w:tcPr>
          <w:p w14:paraId="3D0CE87C" w14:textId="77777777" w:rsidR="005A319E" w:rsidRPr="005A319E" w:rsidRDefault="005A319E" w:rsidP="005A319E">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5A319E">
              <w:rPr>
                <w:rFonts w:ascii="Times New Roman" w:eastAsia="Times New Roman" w:hAnsi="Times New Roman" w:cs="Times New Roman"/>
                <w:color w:val="000000"/>
                <w:kern w:val="0"/>
                <w:sz w:val="16"/>
                <w:szCs w:val="16"/>
                <w:lang w:eastAsia="en-IN"/>
                <w14:ligatures w14:val="none"/>
              </w:rPr>
              <w:t>7.27 (S.C.: 2.18)</w:t>
            </w:r>
          </w:p>
        </w:tc>
        <w:tc>
          <w:tcPr>
            <w:tcW w:w="865" w:type="dxa"/>
            <w:tcBorders>
              <w:top w:val="nil"/>
              <w:left w:val="nil"/>
              <w:bottom w:val="single" w:sz="4" w:space="0" w:color="auto"/>
              <w:right w:val="single" w:sz="4" w:space="0" w:color="auto"/>
            </w:tcBorders>
            <w:noWrap/>
            <w:vAlign w:val="center"/>
            <w:hideMark/>
          </w:tcPr>
          <w:p w14:paraId="333FC1FA" w14:textId="77777777" w:rsidR="005A319E" w:rsidRPr="005A319E" w:rsidRDefault="005A319E" w:rsidP="005A319E">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5A319E">
              <w:rPr>
                <w:rFonts w:ascii="Times New Roman" w:eastAsia="Times New Roman" w:hAnsi="Times New Roman" w:cs="Times New Roman"/>
                <w:color w:val="000000"/>
                <w:kern w:val="0"/>
                <w:sz w:val="16"/>
                <w:szCs w:val="16"/>
                <w:lang w:eastAsia="en-IN"/>
                <w14:ligatures w14:val="none"/>
              </w:rPr>
              <w:t>2.54</w:t>
            </w:r>
          </w:p>
        </w:tc>
        <w:tc>
          <w:tcPr>
            <w:tcW w:w="581" w:type="dxa"/>
            <w:tcBorders>
              <w:top w:val="nil"/>
              <w:left w:val="nil"/>
              <w:bottom w:val="single" w:sz="4" w:space="0" w:color="auto"/>
              <w:right w:val="single" w:sz="4" w:space="0" w:color="auto"/>
            </w:tcBorders>
            <w:noWrap/>
            <w:vAlign w:val="center"/>
            <w:hideMark/>
          </w:tcPr>
          <w:p w14:paraId="300160FF" w14:textId="77777777" w:rsidR="005A319E" w:rsidRPr="005A319E" w:rsidRDefault="005A319E" w:rsidP="005A319E">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5A319E">
              <w:rPr>
                <w:rFonts w:ascii="Times New Roman" w:eastAsia="Times New Roman" w:hAnsi="Times New Roman" w:cs="Times New Roman"/>
                <w:color w:val="000000"/>
                <w:kern w:val="0"/>
                <w:sz w:val="16"/>
                <w:szCs w:val="16"/>
                <w:lang w:eastAsia="en-IN"/>
                <w14:ligatures w14:val="none"/>
              </w:rPr>
              <w:t>11.99</w:t>
            </w:r>
          </w:p>
        </w:tc>
      </w:tr>
      <w:tr w:rsidR="005A319E" w:rsidRPr="005A319E" w14:paraId="6FB6FDDD" w14:textId="77777777" w:rsidTr="00D67840">
        <w:trPr>
          <w:trHeight w:val="22"/>
          <w:jc w:val="center"/>
        </w:trPr>
        <w:tc>
          <w:tcPr>
            <w:tcW w:w="1842" w:type="dxa"/>
            <w:tcBorders>
              <w:top w:val="nil"/>
              <w:left w:val="single" w:sz="4" w:space="0" w:color="auto"/>
              <w:bottom w:val="single" w:sz="4" w:space="0" w:color="auto"/>
              <w:right w:val="single" w:sz="4" w:space="0" w:color="auto"/>
            </w:tcBorders>
            <w:noWrap/>
            <w:vAlign w:val="center"/>
            <w:hideMark/>
          </w:tcPr>
          <w:p w14:paraId="6684840B" w14:textId="77777777" w:rsidR="005A319E" w:rsidRPr="005A319E" w:rsidRDefault="005A319E" w:rsidP="005A319E">
            <w:pPr>
              <w:spacing w:after="0" w:line="240" w:lineRule="auto"/>
              <w:rPr>
                <w:rFonts w:ascii="Times New Roman" w:eastAsia="Times New Roman" w:hAnsi="Times New Roman" w:cs="Times New Roman"/>
                <w:color w:val="000000"/>
                <w:kern w:val="0"/>
                <w:sz w:val="16"/>
                <w:szCs w:val="16"/>
                <w:lang w:eastAsia="en-IN"/>
                <w14:ligatures w14:val="none"/>
              </w:rPr>
            </w:pPr>
            <w:r w:rsidRPr="005A319E">
              <w:rPr>
                <w:rFonts w:ascii="Times New Roman" w:eastAsia="Times New Roman" w:hAnsi="Times New Roman" w:cs="Times New Roman"/>
                <w:color w:val="000000"/>
                <w:kern w:val="0"/>
                <w:sz w:val="16"/>
                <w:szCs w:val="16"/>
                <w:lang w:eastAsia="en-IN"/>
                <w14:ligatures w14:val="none"/>
              </w:rPr>
              <w:t>16. Uttar Pradesh:</w:t>
            </w:r>
          </w:p>
        </w:tc>
        <w:tc>
          <w:tcPr>
            <w:tcW w:w="851" w:type="dxa"/>
            <w:tcBorders>
              <w:top w:val="nil"/>
              <w:left w:val="nil"/>
              <w:bottom w:val="single" w:sz="4" w:space="0" w:color="auto"/>
              <w:right w:val="single" w:sz="4" w:space="0" w:color="auto"/>
            </w:tcBorders>
            <w:noWrap/>
            <w:vAlign w:val="center"/>
            <w:hideMark/>
          </w:tcPr>
          <w:p w14:paraId="04CA75A3" w14:textId="77777777" w:rsidR="005A319E" w:rsidRPr="005A319E" w:rsidRDefault="005A319E" w:rsidP="005A319E">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5A319E">
              <w:rPr>
                <w:rFonts w:ascii="Times New Roman" w:eastAsia="Times New Roman" w:hAnsi="Times New Roman" w:cs="Times New Roman"/>
                <w:color w:val="000000"/>
                <w:kern w:val="0"/>
                <w:sz w:val="16"/>
                <w:szCs w:val="16"/>
                <w:lang w:eastAsia="en-IN"/>
                <w14:ligatures w14:val="none"/>
              </w:rPr>
              <w:t> </w:t>
            </w:r>
          </w:p>
        </w:tc>
        <w:tc>
          <w:tcPr>
            <w:tcW w:w="992" w:type="dxa"/>
            <w:tcBorders>
              <w:top w:val="nil"/>
              <w:left w:val="nil"/>
              <w:bottom w:val="single" w:sz="4" w:space="0" w:color="auto"/>
              <w:right w:val="single" w:sz="4" w:space="0" w:color="auto"/>
            </w:tcBorders>
            <w:noWrap/>
            <w:vAlign w:val="center"/>
            <w:hideMark/>
          </w:tcPr>
          <w:p w14:paraId="660FA74F" w14:textId="77777777" w:rsidR="005A319E" w:rsidRPr="005A319E" w:rsidRDefault="005A319E" w:rsidP="005A319E">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5A319E">
              <w:rPr>
                <w:rFonts w:ascii="Times New Roman" w:eastAsia="Times New Roman" w:hAnsi="Times New Roman" w:cs="Times New Roman"/>
                <w:color w:val="000000"/>
                <w:kern w:val="0"/>
                <w:sz w:val="16"/>
                <w:szCs w:val="16"/>
                <w:lang w:eastAsia="en-IN"/>
                <w14:ligatures w14:val="none"/>
              </w:rPr>
              <w:t> </w:t>
            </w:r>
          </w:p>
        </w:tc>
        <w:tc>
          <w:tcPr>
            <w:tcW w:w="581" w:type="dxa"/>
            <w:tcBorders>
              <w:top w:val="nil"/>
              <w:left w:val="nil"/>
              <w:bottom w:val="single" w:sz="4" w:space="0" w:color="auto"/>
              <w:right w:val="single" w:sz="4" w:space="0" w:color="auto"/>
            </w:tcBorders>
            <w:noWrap/>
            <w:vAlign w:val="center"/>
            <w:hideMark/>
          </w:tcPr>
          <w:p w14:paraId="01926B47" w14:textId="77777777" w:rsidR="005A319E" w:rsidRPr="005A319E" w:rsidRDefault="005A319E" w:rsidP="005A319E">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5A319E">
              <w:rPr>
                <w:rFonts w:ascii="Times New Roman" w:eastAsia="Times New Roman" w:hAnsi="Times New Roman" w:cs="Times New Roman"/>
                <w:color w:val="000000"/>
                <w:kern w:val="0"/>
                <w:sz w:val="16"/>
                <w:szCs w:val="16"/>
                <w:lang w:eastAsia="en-IN"/>
                <w14:ligatures w14:val="none"/>
              </w:rPr>
              <w:t> </w:t>
            </w:r>
          </w:p>
        </w:tc>
        <w:tc>
          <w:tcPr>
            <w:tcW w:w="992" w:type="dxa"/>
            <w:tcBorders>
              <w:top w:val="nil"/>
              <w:left w:val="nil"/>
              <w:bottom w:val="single" w:sz="4" w:space="0" w:color="auto"/>
              <w:right w:val="single" w:sz="4" w:space="0" w:color="auto"/>
            </w:tcBorders>
            <w:noWrap/>
            <w:vAlign w:val="center"/>
            <w:hideMark/>
          </w:tcPr>
          <w:p w14:paraId="692A33A5" w14:textId="77777777" w:rsidR="005A319E" w:rsidRPr="005A319E" w:rsidRDefault="005A319E" w:rsidP="005A319E">
            <w:pPr>
              <w:spacing w:after="0" w:line="240" w:lineRule="auto"/>
              <w:rPr>
                <w:rFonts w:ascii="Times New Roman" w:eastAsia="Times New Roman" w:hAnsi="Times New Roman" w:cs="Times New Roman"/>
                <w:color w:val="000000"/>
                <w:kern w:val="0"/>
                <w:sz w:val="16"/>
                <w:szCs w:val="16"/>
                <w:lang w:eastAsia="en-IN"/>
                <w14:ligatures w14:val="none"/>
              </w:rPr>
            </w:pPr>
            <w:r w:rsidRPr="005A319E">
              <w:rPr>
                <w:rFonts w:ascii="Times New Roman" w:eastAsia="Times New Roman" w:hAnsi="Times New Roman" w:cs="Times New Roman"/>
                <w:color w:val="000000"/>
                <w:kern w:val="0"/>
                <w:sz w:val="16"/>
                <w:szCs w:val="16"/>
                <w:lang w:eastAsia="en-IN"/>
                <w14:ligatures w14:val="none"/>
              </w:rPr>
              <w:t> </w:t>
            </w:r>
          </w:p>
        </w:tc>
        <w:tc>
          <w:tcPr>
            <w:tcW w:w="865" w:type="dxa"/>
            <w:tcBorders>
              <w:top w:val="nil"/>
              <w:left w:val="nil"/>
              <w:bottom w:val="single" w:sz="4" w:space="0" w:color="auto"/>
              <w:right w:val="single" w:sz="4" w:space="0" w:color="auto"/>
            </w:tcBorders>
            <w:noWrap/>
            <w:vAlign w:val="center"/>
            <w:hideMark/>
          </w:tcPr>
          <w:p w14:paraId="130C2B45" w14:textId="77777777" w:rsidR="005A319E" w:rsidRPr="005A319E" w:rsidRDefault="005A319E" w:rsidP="005A319E">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5A319E">
              <w:rPr>
                <w:rFonts w:ascii="Times New Roman" w:eastAsia="Times New Roman" w:hAnsi="Times New Roman" w:cs="Times New Roman"/>
                <w:color w:val="000000"/>
                <w:kern w:val="0"/>
                <w:sz w:val="16"/>
                <w:szCs w:val="16"/>
                <w:lang w:eastAsia="en-IN"/>
                <w14:ligatures w14:val="none"/>
              </w:rPr>
              <w:t> </w:t>
            </w:r>
          </w:p>
        </w:tc>
        <w:tc>
          <w:tcPr>
            <w:tcW w:w="709" w:type="dxa"/>
            <w:tcBorders>
              <w:top w:val="nil"/>
              <w:left w:val="nil"/>
              <w:bottom w:val="single" w:sz="4" w:space="0" w:color="auto"/>
              <w:right w:val="single" w:sz="4" w:space="0" w:color="auto"/>
            </w:tcBorders>
            <w:noWrap/>
            <w:vAlign w:val="center"/>
            <w:hideMark/>
          </w:tcPr>
          <w:p w14:paraId="54E4AB57" w14:textId="77777777" w:rsidR="005A319E" w:rsidRPr="005A319E" w:rsidRDefault="005A319E" w:rsidP="005A319E">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5A319E">
              <w:rPr>
                <w:rFonts w:ascii="Times New Roman" w:eastAsia="Times New Roman" w:hAnsi="Times New Roman" w:cs="Times New Roman"/>
                <w:color w:val="000000"/>
                <w:kern w:val="0"/>
                <w:sz w:val="16"/>
                <w:szCs w:val="16"/>
                <w:lang w:eastAsia="en-IN"/>
                <w14:ligatures w14:val="none"/>
              </w:rPr>
              <w:t> </w:t>
            </w:r>
          </w:p>
        </w:tc>
        <w:tc>
          <w:tcPr>
            <w:tcW w:w="708" w:type="dxa"/>
            <w:tcBorders>
              <w:top w:val="nil"/>
              <w:left w:val="nil"/>
              <w:bottom w:val="single" w:sz="4" w:space="0" w:color="auto"/>
              <w:right w:val="single" w:sz="4" w:space="0" w:color="auto"/>
            </w:tcBorders>
            <w:noWrap/>
            <w:vAlign w:val="center"/>
            <w:hideMark/>
          </w:tcPr>
          <w:p w14:paraId="638E0810" w14:textId="77777777" w:rsidR="005A319E" w:rsidRPr="005A319E" w:rsidRDefault="005A319E" w:rsidP="005A319E">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5A319E">
              <w:rPr>
                <w:rFonts w:ascii="Times New Roman" w:eastAsia="Times New Roman" w:hAnsi="Times New Roman" w:cs="Times New Roman"/>
                <w:color w:val="000000"/>
                <w:kern w:val="0"/>
                <w:sz w:val="16"/>
                <w:szCs w:val="16"/>
                <w:lang w:eastAsia="en-IN"/>
                <w14:ligatures w14:val="none"/>
              </w:rPr>
              <w:t> </w:t>
            </w:r>
          </w:p>
        </w:tc>
        <w:tc>
          <w:tcPr>
            <w:tcW w:w="865" w:type="dxa"/>
            <w:tcBorders>
              <w:top w:val="nil"/>
              <w:left w:val="nil"/>
              <w:bottom w:val="single" w:sz="4" w:space="0" w:color="auto"/>
              <w:right w:val="single" w:sz="4" w:space="0" w:color="auto"/>
            </w:tcBorders>
            <w:noWrap/>
            <w:vAlign w:val="center"/>
            <w:hideMark/>
          </w:tcPr>
          <w:p w14:paraId="5AD83763" w14:textId="77777777" w:rsidR="005A319E" w:rsidRPr="005A319E" w:rsidRDefault="005A319E" w:rsidP="005A319E">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5A319E">
              <w:rPr>
                <w:rFonts w:ascii="Times New Roman" w:eastAsia="Times New Roman" w:hAnsi="Times New Roman" w:cs="Times New Roman"/>
                <w:color w:val="000000"/>
                <w:kern w:val="0"/>
                <w:sz w:val="16"/>
                <w:szCs w:val="16"/>
                <w:lang w:eastAsia="en-IN"/>
                <w14:ligatures w14:val="none"/>
              </w:rPr>
              <w:t> </w:t>
            </w:r>
          </w:p>
        </w:tc>
        <w:tc>
          <w:tcPr>
            <w:tcW w:w="581" w:type="dxa"/>
            <w:tcBorders>
              <w:top w:val="nil"/>
              <w:left w:val="nil"/>
              <w:bottom w:val="single" w:sz="4" w:space="0" w:color="auto"/>
              <w:right w:val="single" w:sz="4" w:space="0" w:color="auto"/>
            </w:tcBorders>
            <w:noWrap/>
            <w:vAlign w:val="center"/>
            <w:hideMark/>
          </w:tcPr>
          <w:p w14:paraId="33D1A82F" w14:textId="77777777" w:rsidR="005A319E" w:rsidRPr="005A319E" w:rsidRDefault="005A319E" w:rsidP="005A319E">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5A319E">
              <w:rPr>
                <w:rFonts w:ascii="Times New Roman" w:eastAsia="Times New Roman" w:hAnsi="Times New Roman" w:cs="Times New Roman"/>
                <w:color w:val="000000"/>
                <w:kern w:val="0"/>
                <w:sz w:val="16"/>
                <w:szCs w:val="16"/>
                <w:lang w:eastAsia="en-IN"/>
                <w14:ligatures w14:val="none"/>
              </w:rPr>
              <w:t> </w:t>
            </w:r>
          </w:p>
        </w:tc>
        <w:tc>
          <w:tcPr>
            <w:tcW w:w="1004" w:type="dxa"/>
            <w:tcBorders>
              <w:top w:val="nil"/>
              <w:left w:val="nil"/>
              <w:bottom w:val="single" w:sz="4" w:space="0" w:color="auto"/>
              <w:right w:val="single" w:sz="4" w:space="0" w:color="auto"/>
            </w:tcBorders>
            <w:noWrap/>
            <w:vAlign w:val="center"/>
            <w:hideMark/>
          </w:tcPr>
          <w:p w14:paraId="0D2DD70A" w14:textId="77777777" w:rsidR="005A319E" w:rsidRPr="005A319E" w:rsidRDefault="005A319E" w:rsidP="005A319E">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5A319E">
              <w:rPr>
                <w:rFonts w:ascii="Times New Roman" w:eastAsia="Times New Roman" w:hAnsi="Times New Roman" w:cs="Times New Roman"/>
                <w:color w:val="000000"/>
                <w:kern w:val="0"/>
                <w:sz w:val="16"/>
                <w:szCs w:val="16"/>
                <w:lang w:eastAsia="en-IN"/>
                <w14:ligatures w14:val="none"/>
              </w:rPr>
              <w:t> </w:t>
            </w:r>
          </w:p>
        </w:tc>
        <w:tc>
          <w:tcPr>
            <w:tcW w:w="865" w:type="dxa"/>
            <w:tcBorders>
              <w:top w:val="nil"/>
              <w:left w:val="nil"/>
              <w:bottom w:val="single" w:sz="4" w:space="0" w:color="auto"/>
              <w:right w:val="single" w:sz="4" w:space="0" w:color="auto"/>
            </w:tcBorders>
            <w:noWrap/>
            <w:vAlign w:val="center"/>
            <w:hideMark/>
          </w:tcPr>
          <w:p w14:paraId="329F4472" w14:textId="77777777" w:rsidR="005A319E" w:rsidRPr="005A319E" w:rsidRDefault="005A319E" w:rsidP="005A319E">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5A319E">
              <w:rPr>
                <w:rFonts w:ascii="Times New Roman" w:eastAsia="Times New Roman" w:hAnsi="Times New Roman" w:cs="Times New Roman"/>
                <w:color w:val="000000"/>
                <w:kern w:val="0"/>
                <w:sz w:val="16"/>
                <w:szCs w:val="16"/>
                <w:lang w:eastAsia="en-IN"/>
                <w14:ligatures w14:val="none"/>
              </w:rPr>
              <w:t> </w:t>
            </w:r>
          </w:p>
        </w:tc>
        <w:tc>
          <w:tcPr>
            <w:tcW w:w="995" w:type="dxa"/>
            <w:tcBorders>
              <w:top w:val="nil"/>
              <w:left w:val="nil"/>
              <w:bottom w:val="single" w:sz="4" w:space="0" w:color="auto"/>
              <w:right w:val="single" w:sz="4" w:space="0" w:color="auto"/>
            </w:tcBorders>
            <w:noWrap/>
            <w:vAlign w:val="center"/>
            <w:hideMark/>
          </w:tcPr>
          <w:p w14:paraId="23118A87" w14:textId="77777777" w:rsidR="005A319E" w:rsidRPr="005A319E" w:rsidRDefault="005A319E" w:rsidP="005A319E">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5A319E">
              <w:rPr>
                <w:rFonts w:ascii="Times New Roman" w:eastAsia="Times New Roman" w:hAnsi="Times New Roman" w:cs="Times New Roman"/>
                <w:color w:val="000000"/>
                <w:kern w:val="0"/>
                <w:sz w:val="16"/>
                <w:szCs w:val="16"/>
                <w:lang w:eastAsia="en-IN"/>
                <w14:ligatures w14:val="none"/>
              </w:rPr>
              <w:t> </w:t>
            </w:r>
          </w:p>
        </w:tc>
        <w:tc>
          <w:tcPr>
            <w:tcW w:w="916" w:type="dxa"/>
            <w:tcBorders>
              <w:top w:val="nil"/>
              <w:left w:val="nil"/>
              <w:bottom w:val="single" w:sz="4" w:space="0" w:color="auto"/>
              <w:right w:val="single" w:sz="4" w:space="0" w:color="auto"/>
            </w:tcBorders>
            <w:noWrap/>
            <w:vAlign w:val="center"/>
            <w:hideMark/>
          </w:tcPr>
          <w:p w14:paraId="72FC30F6" w14:textId="77777777" w:rsidR="005A319E" w:rsidRPr="005A319E" w:rsidRDefault="005A319E" w:rsidP="005A319E">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5A319E">
              <w:rPr>
                <w:rFonts w:ascii="Times New Roman" w:eastAsia="Times New Roman" w:hAnsi="Times New Roman" w:cs="Times New Roman"/>
                <w:color w:val="000000"/>
                <w:kern w:val="0"/>
                <w:sz w:val="16"/>
                <w:szCs w:val="16"/>
                <w:lang w:eastAsia="en-IN"/>
                <w14:ligatures w14:val="none"/>
              </w:rPr>
              <w:t> </w:t>
            </w:r>
          </w:p>
        </w:tc>
        <w:tc>
          <w:tcPr>
            <w:tcW w:w="865" w:type="dxa"/>
            <w:tcBorders>
              <w:top w:val="nil"/>
              <w:left w:val="nil"/>
              <w:bottom w:val="single" w:sz="4" w:space="0" w:color="auto"/>
              <w:right w:val="single" w:sz="4" w:space="0" w:color="auto"/>
            </w:tcBorders>
            <w:noWrap/>
            <w:vAlign w:val="center"/>
            <w:hideMark/>
          </w:tcPr>
          <w:p w14:paraId="4FEF37FD" w14:textId="77777777" w:rsidR="005A319E" w:rsidRPr="005A319E" w:rsidRDefault="005A319E" w:rsidP="005A319E">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5A319E">
              <w:rPr>
                <w:rFonts w:ascii="Times New Roman" w:eastAsia="Times New Roman" w:hAnsi="Times New Roman" w:cs="Times New Roman"/>
                <w:color w:val="000000"/>
                <w:kern w:val="0"/>
                <w:sz w:val="16"/>
                <w:szCs w:val="16"/>
                <w:lang w:eastAsia="en-IN"/>
                <w14:ligatures w14:val="none"/>
              </w:rPr>
              <w:t> </w:t>
            </w:r>
          </w:p>
        </w:tc>
        <w:tc>
          <w:tcPr>
            <w:tcW w:w="581" w:type="dxa"/>
            <w:tcBorders>
              <w:top w:val="nil"/>
              <w:left w:val="nil"/>
              <w:bottom w:val="single" w:sz="4" w:space="0" w:color="auto"/>
              <w:right w:val="single" w:sz="4" w:space="0" w:color="auto"/>
            </w:tcBorders>
            <w:noWrap/>
            <w:vAlign w:val="center"/>
            <w:hideMark/>
          </w:tcPr>
          <w:p w14:paraId="2743D109" w14:textId="77777777" w:rsidR="005A319E" w:rsidRPr="005A319E" w:rsidRDefault="005A319E" w:rsidP="005A319E">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5A319E">
              <w:rPr>
                <w:rFonts w:ascii="Times New Roman" w:eastAsia="Times New Roman" w:hAnsi="Times New Roman" w:cs="Times New Roman"/>
                <w:color w:val="000000"/>
                <w:kern w:val="0"/>
                <w:sz w:val="16"/>
                <w:szCs w:val="16"/>
                <w:lang w:eastAsia="en-IN"/>
                <w14:ligatures w14:val="none"/>
              </w:rPr>
              <w:t> </w:t>
            </w:r>
          </w:p>
        </w:tc>
      </w:tr>
      <w:tr w:rsidR="005A319E" w:rsidRPr="005A319E" w14:paraId="482CF15C" w14:textId="77777777" w:rsidTr="00D67840">
        <w:trPr>
          <w:trHeight w:val="22"/>
          <w:jc w:val="center"/>
        </w:trPr>
        <w:tc>
          <w:tcPr>
            <w:tcW w:w="1842" w:type="dxa"/>
            <w:tcBorders>
              <w:top w:val="nil"/>
              <w:left w:val="single" w:sz="4" w:space="0" w:color="auto"/>
              <w:bottom w:val="single" w:sz="4" w:space="0" w:color="auto"/>
              <w:right w:val="single" w:sz="4" w:space="0" w:color="auto"/>
            </w:tcBorders>
            <w:noWrap/>
            <w:vAlign w:val="center"/>
            <w:hideMark/>
          </w:tcPr>
          <w:p w14:paraId="5A35FEF2" w14:textId="77777777" w:rsidR="005A319E" w:rsidRPr="005A319E" w:rsidRDefault="005A319E" w:rsidP="005A319E">
            <w:pPr>
              <w:spacing w:after="0" w:line="240" w:lineRule="auto"/>
              <w:rPr>
                <w:rFonts w:ascii="Times New Roman" w:eastAsia="Times New Roman" w:hAnsi="Times New Roman" w:cs="Times New Roman"/>
                <w:color w:val="000000"/>
                <w:kern w:val="0"/>
                <w:sz w:val="16"/>
                <w:szCs w:val="16"/>
                <w:lang w:eastAsia="en-IN"/>
                <w14:ligatures w14:val="none"/>
              </w:rPr>
            </w:pPr>
            <w:r w:rsidRPr="005A319E">
              <w:rPr>
                <w:rFonts w:ascii="Times New Roman" w:eastAsia="Times New Roman" w:hAnsi="Times New Roman" w:cs="Times New Roman"/>
                <w:color w:val="000000"/>
                <w:kern w:val="0"/>
                <w:sz w:val="16"/>
                <w:szCs w:val="16"/>
                <w:lang w:eastAsia="en-IN"/>
                <w14:ligatures w14:val="none"/>
              </w:rPr>
              <w:t>(a) Ganga Sarda</w:t>
            </w:r>
          </w:p>
        </w:tc>
        <w:tc>
          <w:tcPr>
            <w:tcW w:w="851" w:type="dxa"/>
            <w:tcBorders>
              <w:top w:val="nil"/>
              <w:left w:val="nil"/>
              <w:bottom w:val="single" w:sz="4" w:space="0" w:color="auto"/>
              <w:right w:val="single" w:sz="4" w:space="0" w:color="auto"/>
            </w:tcBorders>
            <w:noWrap/>
            <w:vAlign w:val="center"/>
            <w:hideMark/>
          </w:tcPr>
          <w:p w14:paraId="648266E6" w14:textId="77777777" w:rsidR="005A319E" w:rsidRPr="005A319E" w:rsidRDefault="005A319E" w:rsidP="005A319E">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5A319E">
              <w:rPr>
                <w:rFonts w:ascii="Times New Roman" w:eastAsia="Times New Roman" w:hAnsi="Times New Roman" w:cs="Times New Roman"/>
                <w:color w:val="000000"/>
                <w:kern w:val="0"/>
                <w:sz w:val="16"/>
                <w:szCs w:val="16"/>
                <w:lang w:eastAsia="en-IN"/>
                <w14:ligatures w14:val="none"/>
              </w:rPr>
              <w:t>..</w:t>
            </w:r>
          </w:p>
        </w:tc>
        <w:tc>
          <w:tcPr>
            <w:tcW w:w="992" w:type="dxa"/>
            <w:tcBorders>
              <w:top w:val="nil"/>
              <w:left w:val="nil"/>
              <w:bottom w:val="single" w:sz="4" w:space="0" w:color="auto"/>
              <w:right w:val="single" w:sz="4" w:space="0" w:color="auto"/>
            </w:tcBorders>
            <w:noWrap/>
            <w:vAlign w:val="center"/>
            <w:hideMark/>
          </w:tcPr>
          <w:p w14:paraId="79B26F5A" w14:textId="77777777" w:rsidR="005A319E" w:rsidRPr="005A319E" w:rsidRDefault="005A319E" w:rsidP="005A319E">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5A319E">
              <w:rPr>
                <w:rFonts w:ascii="Times New Roman" w:eastAsia="Times New Roman" w:hAnsi="Times New Roman" w:cs="Times New Roman"/>
                <w:color w:val="000000"/>
                <w:kern w:val="0"/>
                <w:sz w:val="16"/>
                <w:szCs w:val="16"/>
                <w:lang w:eastAsia="en-IN"/>
                <w14:ligatures w14:val="none"/>
              </w:rPr>
              <w:t>..</w:t>
            </w:r>
          </w:p>
        </w:tc>
        <w:tc>
          <w:tcPr>
            <w:tcW w:w="581" w:type="dxa"/>
            <w:tcBorders>
              <w:top w:val="nil"/>
              <w:left w:val="nil"/>
              <w:bottom w:val="single" w:sz="4" w:space="0" w:color="auto"/>
              <w:right w:val="single" w:sz="4" w:space="0" w:color="auto"/>
            </w:tcBorders>
            <w:noWrap/>
            <w:vAlign w:val="center"/>
            <w:hideMark/>
          </w:tcPr>
          <w:p w14:paraId="4D66BBD1" w14:textId="77777777" w:rsidR="005A319E" w:rsidRPr="005A319E" w:rsidRDefault="005A319E" w:rsidP="005A319E">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5A319E">
              <w:rPr>
                <w:rFonts w:ascii="Times New Roman" w:eastAsia="Times New Roman" w:hAnsi="Times New Roman" w:cs="Times New Roman"/>
                <w:color w:val="000000"/>
                <w:kern w:val="0"/>
                <w:sz w:val="16"/>
                <w:szCs w:val="16"/>
                <w:lang w:eastAsia="en-IN"/>
                <w14:ligatures w14:val="none"/>
              </w:rPr>
              <w:t>..</w:t>
            </w:r>
          </w:p>
        </w:tc>
        <w:tc>
          <w:tcPr>
            <w:tcW w:w="992" w:type="dxa"/>
            <w:tcBorders>
              <w:top w:val="nil"/>
              <w:left w:val="nil"/>
              <w:bottom w:val="single" w:sz="4" w:space="0" w:color="auto"/>
              <w:right w:val="single" w:sz="4" w:space="0" w:color="auto"/>
            </w:tcBorders>
            <w:noWrap/>
            <w:vAlign w:val="center"/>
            <w:hideMark/>
          </w:tcPr>
          <w:p w14:paraId="79401EF5" w14:textId="77777777" w:rsidR="005A319E" w:rsidRPr="005A319E" w:rsidRDefault="005A319E" w:rsidP="005A319E">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5A319E">
              <w:rPr>
                <w:rFonts w:ascii="Times New Roman" w:eastAsia="Times New Roman" w:hAnsi="Times New Roman" w:cs="Times New Roman"/>
                <w:color w:val="000000"/>
                <w:kern w:val="0"/>
                <w:sz w:val="16"/>
                <w:szCs w:val="16"/>
                <w:lang w:eastAsia="en-IN"/>
                <w14:ligatures w14:val="none"/>
              </w:rPr>
              <w:t>..</w:t>
            </w:r>
          </w:p>
        </w:tc>
        <w:tc>
          <w:tcPr>
            <w:tcW w:w="865" w:type="dxa"/>
            <w:tcBorders>
              <w:top w:val="nil"/>
              <w:left w:val="nil"/>
              <w:bottom w:val="single" w:sz="4" w:space="0" w:color="auto"/>
              <w:right w:val="single" w:sz="4" w:space="0" w:color="auto"/>
            </w:tcBorders>
            <w:noWrap/>
            <w:vAlign w:val="center"/>
            <w:hideMark/>
          </w:tcPr>
          <w:p w14:paraId="2BF09BA2" w14:textId="77777777" w:rsidR="005A319E" w:rsidRPr="005A319E" w:rsidRDefault="005A319E" w:rsidP="005A319E">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5A319E">
              <w:rPr>
                <w:rFonts w:ascii="Times New Roman" w:eastAsia="Times New Roman" w:hAnsi="Times New Roman" w:cs="Times New Roman"/>
                <w:color w:val="000000"/>
                <w:kern w:val="0"/>
                <w:sz w:val="16"/>
                <w:szCs w:val="16"/>
                <w:lang w:eastAsia="en-IN"/>
                <w14:ligatures w14:val="none"/>
              </w:rPr>
              <w:t>..</w:t>
            </w:r>
          </w:p>
        </w:tc>
        <w:tc>
          <w:tcPr>
            <w:tcW w:w="709" w:type="dxa"/>
            <w:tcBorders>
              <w:top w:val="nil"/>
              <w:left w:val="nil"/>
              <w:bottom w:val="single" w:sz="4" w:space="0" w:color="auto"/>
              <w:right w:val="single" w:sz="4" w:space="0" w:color="auto"/>
            </w:tcBorders>
            <w:noWrap/>
            <w:vAlign w:val="center"/>
            <w:hideMark/>
          </w:tcPr>
          <w:p w14:paraId="488F6ECB" w14:textId="77777777" w:rsidR="005A319E" w:rsidRPr="005A319E" w:rsidRDefault="005A319E" w:rsidP="005A319E">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5A319E">
              <w:rPr>
                <w:rFonts w:ascii="Times New Roman" w:eastAsia="Times New Roman" w:hAnsi="Times New Roman" w:cs="Times New Roman"/>
                <w:color w:val="000000"/>
                <w:kern w:val="0"/>
                <w:sz w:val="16"/>
                <w:szCs w:val="16"/>
                <w:lang w:eastAsia="en-IN"/>
                <w14:ligatures w14:val="none"/>
              </w:rPr>
              <w:t>..</w:t>
            </w:r>
          </w:p>
        </w:tc>
        <w:tc>
          <w:tcPr>
            <w:tcW w:w="708" w:type="dxa"/>
            <w:tcBorders>
              <w:top w:val="nil"/>
              <w:left w:val="nil"/>
              <w:bottom w:val="single" w:sz="4" w:space="0" w:color="auto"/>
              <w:right w:val="single" w:sz="4" w:space="0" w:color="auto"/>
            </w:tcBorders>
            <w:noWrap/>
            <w:vAlign w:val="center"/>
            <w:hideMark/>
          </w:tcPr>
          <w:p w14:paraId="419A2C86" w14:textId="77777777" w:rsidR="005A319E" w:rsidRPr="005A319E" w:rsidRDefault="005A319E" w:rsidP="005A319E">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5A319E">
              <w:rPr>
                <w:rFonts w:ascii="Times New Roman" w:eastAsia="Times New Roman" w:hAnsi="Times New Roman" w:cs="Times New Roman"/>
                <w:color w:val="000000"/>
                <w:kern w:val="0"/>
                <w:sz w:val="16"/>
                <w:szCs w:val="16"/>
                <w:lang w:eastAsia="en-IN"/>
                <w14:ligatures w14:val="none"/>
              </w:rPr>
              <w:t>..</w:t>
            </w:r>
          </w:p>
        </w:tc>
        <w:tc>
          <w:tcPr>
            <w:tcW w:w="865" w:type="dxa"/>
            <w:tcBorders>
              <w:top w:val="nil"/>
              <w:left w:val="nil"/>
              <w:bottom w:val="single" w:sz="4" w:space="0" w:color="auto"/>
              <w:right w:val="single" w:sz="4" w:space="0" w:color="auto"/>
            </w:tcBorders>
            <w:noWrap/>
            <w:vAlign w:val="center"/>
            <w:hideMark/>
          </w:tcPr>
          <w:p w14:paraId="52AAF528" w14:textId="77777777" w:rsidR="005A319E" w:rsidRPr="005A319E" w:rsidRDefault="005A319E" w:rsidP="005A319E">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5A319E">
              <w:rPr>
                <w:rFonts w:ascii="Times New Roman" w:eastAsia="Times New Roman" w:hAnsi="Times New Roman" w:cs="Times New Roman"/>
                <w:color w:val="000000"/>
                <w:kern w:val="0"/>
                <w:sz w:val="16"/>
                <w:szCs w:val="16"/>
                <w:lang w:eastAsia="en-IN"/>
                <w14:ligatures w14:val="none"/>
              </w:rPr>
              <w:t>..</w:t>
            </w:r>
          </w:p>
        </w:tc>
        <w:tc>
          <w:tcPr>
            <w:tcW w:w="581" w:type="dxa"/>
            <w:tcBorders>
              <w:top w:val="nil"/>
              <w:left w:val="nil"/>
              <w:bottom w:val="single" w:sz="4" w:space="0" w:color="auto"/>
              <w:right w:val="single" w:sz="4" w:space="0" w:color="auto"/>
            </w:tcBorders>
            <w:noWrap/>
            <w:vAlign w:val="center"/>
            <w:hideMark/>
          </w:tcPr>
          <w:p w14:paraId="038BEFA1" w14:textId="77777777" w:rsidR="005A319E" w:rsidRPr="005A319E" w:rsidRDefault="005A319E" w:rsidP="005A319E">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5A319E">
              <w:rPr>
                <w:rFonts w:ascii="Times New Roman" w:eastAsia="Times New Roman" w:hAnsi="Times New Roman" w:cs="Times New Roman"/>
                <w:color w:val="000000"/>
                <w:kern w:val="0"/>
                <w:sz w:val="16"/>
                <w:szCs w:val="16"/>
                <w:lang w:eastAsia="en-IN"/>
                <w14:ligatures w14:val="none"/>
              </w:rPr>
              <w:t>..</w:t>
            </w:r>
          </w:p>
        </w:tc>
        <w:tc>
          <w:tcPr>
            <w:tcW w:w="1004" w:type="dxa"/>
            <w:tcBorders>
              <w:top w:val="nil"/>
              <w:left w:val="nil"/>
              <w:bottom w:val="single" w:sz="4" w:space="0" w:color="auto"/>
              <w:right w:val="single" w:sz="4" w:space="0" w:color="auto"/>
            </w:tcBorders>
            <w:noWrap/>
            <w:vAlign w:val="center"/>
            <w:hideMark/>
          </w:tcPr>
          <w:p w14:paraId="2A749CC7" w14:textId="77777777" w:rsidR="005A319E" w:rsidRPr="005A319E" w:rsidRDefault="005A319E" w:rsidP="005A319E">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5A319E">
              <w:rPr>
                <w:rFonts w:ascii="Times New Roman" w:eastAsia="Times New Roman" w:hAnsi="Times New Roman" w:cs="Times New Roman"/>
                <w:color w:val="000000"/>
                <w:kern w:val="0"/>
                <w:sz w:val="16"/>
                <w:szCs w:val="16"/>
                <w:lang w:eastAsia="en-IN"/>
                <w14:ligatures w14:val="none"/>
              </w:rPr>
              <w:t>11.62</w:t>
            </w:r>
          </w:p>
        </w:tc>
        <w:tc>
          <w:tcPr>
            <w:tcW w:w="865" w:type="dxa"/>
            <w:tcBorders>
              <w:top w:val="nil"/>
              <w:left w:val="nil"/>
              <w:bottom w:val="single" w:sz="4" w:space="0" w:color="auto"/>
              <w:right w:val="single" w:sz="4" w:space="0" w:color="auto"/>
            </w:tcBorders>
            <w:noWrap/>
            <w:vAlign w:val="center"/>
            <w:hideMark/>
          </w:tcPr>
          <w:p w14:paraId="56AF34FD" w14:textId="77777777" w:rsidR="005A319E" w:rsidRPr="005A319E" w:rsidRDefault="005A319E" w:rsidP="005A319E">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5A319E">
              <w:rPr>
                <w:rFonts w:ascii="Times New Roman" w:eastAsia="Times New Roman" w:hAnsi="Times New Roman" w:cs="Times New Roman"/>
                <w:color w:val="000000"/>
                <w:kern w:val="0"/>
                <w:sz w:val="16"/>
                <w:szCs w:val="16"/>
                <w:lang w:eastAsia="en-IN"/>
                <w14:ligatures w14:val="none"/>
              </w:rPr>
              <w:t>2.32</w:t>
            </w:r>
          </w:p>
        </w:tc>
        <w:tc>
          <w:tcPr>
            <w:tcW w:w="995" w:type="dxa"/>
            <w:tcBorders>
              <w:top w:val="nil"/>
              <w:left w:val="nil"/>
              <w:bottom w:val="single" w:sz="4" w:space="0" w:color="auto"/>
              <w:right w:val="single" w:sz="4" w:space="0" w:color="auto"/>
            </w:tcBorders>
            <w:noWrap/>
            <w:vAlign w:val="center"/>
            <w:hideMark/>
          </w:tcPr>
          <w:p w14:paraId="1A90BEAE" w14:textId="77777777" w:rsidR="005A319E" w:rsidRPr="005A319E" w:rsidRDefault="005A319E" w:rsidP="005A319E">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5A319E">
              <w:rPr>
                <w:rFonts w:ascii="Times New Roman" w:eastAsia="Times New Roman" w:hAnsi="Times New Roman" w:cs="Times New Roman"/>
                <w:color w:val="000000"/>
                <w:kern w:val="0"/>
                <w:sz w:val="16"/>
                <w:szCs w:val="16"/>
                <w:lang w:eastAsia="en-IN"/>
                <w14:ligatures w14:val="none"/>
              </w:rPr>
              <w:t>13.94</w:t>
            </w:r>
          </w:p>
        </w:tc>
        <w:tc>
          <w:tcPr>
            <w:tcW w:w="916" w:type="dxa"/>
            <w:tcBorders>
              <w:top w:val="nil"/>
              <w:left w:val="nil"/>
              <w:bottom w:val="single" w:sz="4" w:space="0" w:color="auto"/>
              <w:right w:val="single" w:sz="4" w:space="0" w:color="auto"/>
            </w:tcBorders>
            <w:noWrap/>
            <w:vAlign w:val="center"/>
            <w:hideMark/>
          </w:tcPr>
          <w:p w14:paraId="3DEFDAD9" w14:textId="77777777" w:rsidR="005A319E" w:rsidRPr="005A319E" w:rsidRDefault="005A319E" w:rsidP="005A319E">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5A319E">
              <w:rPr>
                <w:rFonts w:ascii="Times New Roman" w:eastAsia="Times New Roman" w:hAnsi="Times New Roman" w:cs="Times New Roman"/>
                <w:color w:val="000000"/>
                <w:kern w:val="0"/>
                <w:sz w:val="16"/>
                <w:szCs w:val="16"/>
                <w:lang w:eastAsia="en-IN"/>
                <w14:ligatures w14:val="none"/>
              </w:rPr>
              <w:t>9.85</w:t>
            </w:r>
          </w:p>
        </w:tc>
        <w:tc>
          <w:tcPr>
            <w:tcW w:w="865" w:type="dxa"/>
            <w:tcBorders>
              <w:top w:val="nil"/>
              <w:left w:val="nil"/>
              <w:bottom w:val="single" w:sz="4" w:space="0" w:color="auto"/>
              <w:right w:val="single" w:sz="4" w:space="0" w:color="auto"/>
            </w:tcBorders>
            <w:noWrap/>
            <w:vAlign w:val="center"/>
            <w:hideMark/>
          </w:tcPr>
          <w:p w14:paraId="35AB952B" w14:textId="77777777" w:rsidR="005A319E" w:rsidRPr="005A319E" w:rsidRDefault="005A319E" w:rsidP="005A319E">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5A319E">
              <w:rPr>
                <w:rFonts w:ascii="Times New Roman" w:eastAsia="Times New Roman" w:hAnsi="Times New Roman" w:cs="Times New Roman"/>
                <w:color w:val="000000"/>
                <w:kern w:val="0"/>
                <w:sz w:val="16"/>
                <w:szCs w:val="16"/>
                <w:lang w:eastAsia="en-IN"/>
                <w14:ligatures w14:val="none"/>
              </w:rPr>
              <w:t>1.97</w:t>
            </w:r>
          </w:p>
        </w:tc>
        <w:tc>
          <w:tcPr>
            <w:tcW w:w="581" w:type="dxa"/>
            <w:tcBorders>
              <w:top w:val="nil"/>
              <w:left w:val="nil"/>
              <w:bottom w:val="single" w:sz="4" w:space="0" w:color="auto"/>
              <w:right w:val="single" w:sz="4" w:space="0" w:color="auto"/>
            </w:tcBorders>
            <w:noWrap/>
            <w:vAlign w:val="center"/>
            <w:hideMark/>
          </w:tcPr>
          <w:p w14:paraId="12866066" w14:textId="77777777" w:rsidR="005A319E" w:rsidRPr="005A319E" w:rsidRDefault="005A319E" w:rsidP="005A319E">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5A319E">
              <w:rPr>
                <w:rFonts w:ascii="Times New Roman" w:eastAsia="Times New Roman" w:hAnsi="Times New Roman" w:cs="Times New Roman"/>
                <w:color w:val="000000"/>
                <w:kern w:val="0"/>
                <w:sz w:val="16"/>
                <w:szCs w:val="16"/>
                <w:lang w:eastAsia="en-IN"/>
                <w14:ligatures w14:val="none"/>
              </w:rPr>
              <w:t>11.82</w:t>
            </w:r>
          </w:p>
        </w:tc>
      </w:tr>
      <w:tr w:rsidR="005A319E" w:rsidRPr="005A319E" w14:paraId="6740901B" w14:textId="77777777" w:rsidTr="00D67840">
        <w:trPr>
          <w:trHeight w:val="22"/>
          <w:jc w:val="center"/>
        </w:trPr>
        <w:tc>
          <w:tcPr>
            <w:tcW w:w="1842" w:type="dxa"/>
            <w:tcBorders>
              <w:top w:val="nil"/>
              <w:left w:val="single" w:sz="4" w:space="0" w:color="auto"/>
              <w:bottom w:val="single" w:sz="4" w:space="0" w:color="auto"/>
              <w:right w:val="single" w:sz="4" w:space="0" w:color="auto"/>
            </w:tcBorders>
            <w:noWrap/>
            <w:vAlign w:val="center"/>
            <w:hideMark/>
          </w:tcPr>
          <w:p w14:paraId="7F343B1F" w14:textId="77777777" w:rsidR="005A319E" w:rsidRPr="005A319E" w:rsidRDefault="005A319E" w:rsidP="005A319E">
            <w:pPr>
              <w:spacing w:after="0" w:line="240" w:lineRule="auto"/>
              <w:rPr>
                <w:rFonts w:ascii="Times New Roman" w:eastAsia="Times New Roman" w:hAnsi="Times New Roman" w:cs="Times New Roman"/>
                <w:color w:val="000000"/>
                <w:kern w:val="0"/>
                <w:sz w:val="16"/>
                <w:szCs w:val="16"/>
                <w:lang w:eastAsia="en-IN"/>
                <w14:ligatures w14:val="none"/>
              </w:rPr>
            </w:pPr>
            <w:r w:rsidRPr="005A319E">
              <w:rPr>
                <w:rFonts w:ascii="Times New Roman" w:eastAsia="Times New Roman" w:hAnsi="Times New Roman" w:cs="Times New Roman"/>
                <w:color w:val="000000"/>
                <w:kern w:val="0"/>
                <w:sz w:val="16"/>
                <w:szCs w:val="16"/>
                <w:lang w:eastAsia="en-IN"/>
                <w14:ligatures w14:val="none"/>
              </w:rPr>
              <w:t>(b) Matatila</w:t>
            </w:r>
          </w:p>
        </w:tc>
        <w:tc>
          <w:tcPr>
            <w:tcW w:w="851" w:type="dxa"/>
            <w:tcBorders>
              <w:top w:val="nil"/>
              <w:left w:val="nil"/>
              <w:bottom w:val="single" w:sz="4" w:space="0" w:color="auto"/>
              <w:right w:val="single" w:sz="4" w:space="0" w:color="auto"/>
            </w:tcBorders>
            <w:noWrap/>
            <w:vAlign w:val="center"/>
            <w:hideMark/>
          </w:tcPr>
          <w:p w14:paraId="11CD1943" w14:textId="77777777" w:rsidR="005A319E" w:rsidRPr="005A319E" w:rsidRDefault="005A319E" w:rsidP="005A319E">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5A319E">
              <w:rPr>
                <w:rFonts w:ascii="Times New Roman" w:eastAsia="Times New Roman" w:hAnsi="Times New Roman" w:cs="Times New Roman"/>
                <w:color w:val="000000"/>
                <w:kern w:val="0"/>
                <w:sz w:val="16"/>
                <w:szCs w:val="16"/>
                <w:lang w:eastAsia="en-IN"/>
                <w14:ligatures w14:val="none"/>
              </w:rPr>
              <w:t>12.00</w:t>
            </w:r>
          </w:p>
        </w:tc>
        <w:tc>
          <w:tcPr>
            <w:tcW w:w="992" w:type="dxa"/>
            <w:tcBorders>
              <w:top w:val="nil"/>
              <w:left w:val="nil"/>
              <w:bottom w:val="single" w:sz="4" w:space="0" w:color="auto"/>
              <w:right w:val="single" w:sz="4" w:space="0" w:color="auto"/>
            </w:tcBorders>
            <w:noWrap/>
            <w:vAlign w:val="center"/>
            <w:hideMark/>
          </w:tcPr>
          <w:p w14:paraId="044EE2B4" w14:textId="77777777" w:rsidR="005A319E" w:rsidRPr="005A319E" w:rsidRDefault="005A319E" w:rsidP="005A319E">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5A319E">
              <w:rPr>
                <w:rFonts w:ascii="Times New Roman" w:eastAsia="Times New Roman" w:hAnsi="Times New Roman" w:cs="Times New Roman"/>
                <w:color w:val="000000"/>
                <w:kern w:val="0"/>
                <w:sz w:val="16"/>
                <w:szCs w:val="16"/>
                <w:lang w:eastAsia="en-IN"/>
                <w14:ligatures w14:val="none"/>
              </w:rPr>
              <w:t>..</w:t>
            </w:r>
          </w:p>
        </w:tc>
        <w:tc>
          <w:tcPr>
            <w:tcW w:w="581" w:type="dxa"/>
            <w:tcBorders>
              <w:top w:val="nil"/>
              <w:left w:val="nil"/>
              <w:bottom w:val="single" w:sz="4" w:space="0" w:color="auto"/>
              <w:right w:val="single" w:sz="4" w:space="0" w:color="auto"/>
            </w:tcBorders>
            <w:noWrap/>
            <w:vAlign w:val="center"/>
            <w:hideMark/>
          </w:tcPr>
          <w:p w14:paraId="615BD22E" w14:textId="77777777" w:rsidR="005A319E" w:rsidRPr="005A319E" w:rsidRDefault="005A319E" w:rsidP="005A319E">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5A319E">
              <w:rPr>
                <w:rFonts w:ascii="Times New Roman" w:eastAsia="Times New Roman" w:hAnsi="Times New Roman" w:cs="Times New Roman"/>
                <w:color w:val="000000"/>
                <w:kern w:val="0"/>
                <w:sz w:val="16"/>
                <w:szCs w:val="16"/>
                <w:lang w:eastAsia="en-IN"/>
                <w14:ligatures w14:val="none"/>
              </w:rPr>
              <w:t>12.00</w:t>
            </w:r>
          </w:p>
        </w:tc>
        <w:tc>
          <w:tcPr>
            <w:tcW w:w="992" w:type="dxa"/>
            <w:tcBorders>
              <w:top w:val="nil"/>
              <w:left w:val="nil"/>
              <w:bottom w:val="single" w:sz="4" w:space="0" w:color="auto"/>
              <w:right w:val="single" w:sz="4" w:space="0" w:color="auto"/>
            </w:tcBorders>
            <w:noWrap/>
            <w:vAlign w:val="center"/>
            <w:hideMark/>
          </w:tcPr>
          <w:p w14:paraId="1A9B10CB" w14:textId="77777777" w:rsidR="005A319E" w:rsidRPr="005A319E" w:rsidRDefault="005A319E" w:rsidP="005A319E">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5A319E">
              <w:rPr>
                <w:rFonts w:ascii="Times New Roman" w:eastAsia="Times New Roman" w:hAnsi="Times New Roman" w:cs="Times New Roman"/>
                <w:color w:val="000000"/>
                <w:kern w:val="0"/>
                <w:sz w:val="16"/>
                <w:szCs w:val="16"/>
                <w:lang w:eastAsia="en-IN"/>
                <w14:ligatures w14:val="none"/>
              </w:rPr>
              <w:t>14.40</w:t>
            </w:r>
          </w:p>
        </w:tc>
        <w:tc>
          <w:tcPr>
            <w:tcW w:w="865" w:type="dxa"/>
            <w:tcBorders>
              <w:top w:val="nil"/>
              <w:left w:val="nil"/>
              <w:bottom w:val="single" w:sz="4" w:space="0" w:color="auto"/>
              <w:right w:val="single" w:sz="4" w:space="0" w:color="auto"/>
            </w:tcBorders>
            <w:noWrap/>
            <w:vAlign w:val="center"/>
            <w:hideMark/>
          </w:tcPr>
          <w:p w14:paraId="49E00CAB" w14:textId="77777777" w:rsidR="005A319E" w:rsidRPr="005A319E" w:rsidRDefault="005A319E" w:rsidP="005A319E">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5A319E">
              <w:rPr>
                <w:rFonts w:ascii="Times New Roman" w:eastAsia="Times New Roman" w:hAnsi="Times New Roman" w:cs="Times New Roman"/>
                <w:color w:val="000000"/>
                <w:kern w:val="0"/>
                <w:sz w:val="16"/>
                <w:szCs w:val="16"/>
                <w:lang w:eastAsia="en-IN"/>
                <w14:ligatures w14:val="none"/>
              </w:rPr>
              <w:t>2.88</w:t>
            </w:r>
          </w:p>
        </w:tc>
        <w:tc>
          <w:tcPr>
            <w:tcW w:w="709" w:type="dxa"/>
            <w:tcBorders>
              <w:top w:val="nil"/>
              <w:left w:val="nil"/>
              <w:bottom w:val="single" w:sz="4" w:space="0" w:color="auto"/>
              <w:right w:val="single" w:sz="4" w:space="0" w:color="auto"/>
            </w:tcBorders>
            <w:noWrap/>
            <w:vAlign w:val="center"/>
            <w:hideMark/>
          </w:tcPr>
          <w:p w14:paraId="3352DC8E" w14:textId="77777777" w:rsidR="005A319E" w:rsidRPr="005A319E" w:rsidRDefault="005A319E" w:rsidP="005A319E">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5A319E">
              <w:rPr>
                <w:rFonts w:ascii="Times New Roman" w:eastAsia="Times New Roman" w:hAnsi="Times New Roman" w:cs="Times New Roman"/>
                <w:color w:val="000000"/>
                <w:kern w:val="0"/>
                <w:sz w:val="16"/>
                <w:szCs w:val="16"/>
                <w:lang w:eastAsia="en-IN"/>
                <w14:ligatures w14:val="none"/>
              </w:rPr>
              <w:t>17.28</w:t>
            </w:r>
          </w:p>
        </w:tc>
        <w:tc>
          <w:tcPr>
            <w:tcW w:w="708" w:type="dxa"/>
            <w:tcBorders>
              <w:top w:val="nil"/>
              <w:left w:val="nil"/>
              <w:bottom w:val="single" w:sz="4" w:space="0" w:color="auto"/>
              <w:right w:val="single" w:sz="4" w:space="0" w:color="auto"/>
            </w:tcBorders>
            <w:noWrap/>
            <w:vAlign w:val="center"/>
            <w:hideMark/>
          </w:tcPr>
          <w:p w14:paraId="0CE404A9" w14:textId="77777777" w:rsidR="005A319E" w:rsidRPr="005A319E" w:rsidRDefault="005A319E" w:rsidP="005A319E">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5A319E">
              <w:rPr>
                <w:rFonts w:ascii="Times New Roman" w:eastAsia="Times New Roman" w:hAnsi="Times New Roman" w:cs="Times New Roman"/>
                <w:color w:val="000000"/>
                <w:kern w:val="0"/>
                <w:sz w:val="16"/>
                <w:szCs w:val="16"/>
                <w:lang w:eastAsia="en-IN"/>
                <w14:ligatures w14:val="none"/>
              </w:rPr>
              <w:t>13.00</w:t>
            </w:r>
          </w:p>
        </w:tc>
        <w:tc>
          <w:tcPr>
            <w:tcW w:w="865" w:type="dxa"/>
            <w:tcBorders>
              <w:top w:val="nil"/>
              <w:left w:val="nil"/>
              <w:bottom w:val="single" w:sz="4" w:space="0" w:color="auto"/>
              <w:right w:val="single" w:sz="4" w:space="0" w:color="auto"/>
            </w:tcBorders>
            <w:noWrap/>
            <w:vAlign w:val="center"/>
            <w:hideMark/>
          </w:tcPr>
          <w:p w14:paraId="22938F67" w14:textId="77777777" w:rsidR="005A319E" w:rsidRPr="005A319E" w:rsidRDefault="005A319E" w:rsidP="005A319E">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5A319E">
              <w:rPr>
                <w:rFonts w:ascii="Times New Roman" w:eastAsia="Times New Roman" w:hAnsi="Times New Roman" w:cs="Times New Roman"/>
                <w:color w:val="000000"/>
                <w:kern w:val="0"/>
                <w:sz w:val="16"/>
                <w:szCs w:val="16"/>
                <w:lang w:eastAsia="en-IN"/>
                <w14:ligatures w14:val="none"/>
              </w:rPr>
              <w:t>2.60</w:t>
            </w:r>
          </w:p>
        </w:tc>
        <w:tc>
          <w:tcPr>
            <w:tcW w:w="581" w:type="dxa"/>
            <w:tcBorders>
              <w:top w:val="nil"/>
              <w:left w:val="nil"/>
              <w:bottom w:val="single" w:sz="4" w:space="0" w:color="auto"/>
              <w:right w:val="single" w:sz="4" w:space="0" w:color="auto"/>
            </w:tcBorders>
            <w:noWrap/>
            <w:vAlign w:val="center"/>
            <w:hideMark/>
          </w:tcPr>
          <w:p w14:paraId="11F12B40" w14:textId="77777777" w:rsidR="005A319E" w:rsidRPr="005A319E" w:rsidRDefault="005A319E" w:rsidP="005A319E">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5A319E">
              <w:rPr>
                <w:rFonts w:ascii="Times New Roman" w:eastAsia="Times New Roman" w:hAnsi="Times New Roman" w:cs="Times New Roman"/>
                <w:color w:val="000000"/>
                <w:kern w:val="0"/>
                <w:sz w:val="16"/>
                <w:szCs w:val="16"/>
                <w:lang w:eastAsia="en-IN"/>
                <w14:ligatures w14:val="none"/>
              </w:rPr>
              <w:t>15.60</w:t>
            </w:r>
          </w:p>
        </w:tc>
        <w:tc>
          <w:tcPr>
            <w:tcW w:w="1004" w:type="dxa"/>
            <w:tcBorders>
              <w:top w:val="nil"/>
              <w:left w:val="nil"/>
              <w:bottom w:val="single" w:sz="4" w:space="0" w:color="auto"/>
              <w:right w:val="single" w:sz="4" w:space="0" w:color="auto"/>
            </w:tcBorders>
            <w:noWrap/>
            <w:vAlign w:val="center"/>
            <w:hideMark/>
          </w:tcPr>
          <w:p w14:paraId="6C14FF01" w14:textId="77777777" w:rsidR="005A319E" w:rsidRPr="005A319E" w:rsidRDefault="005A319E" w:rsidP="005A319E">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5A319E">
              <w:rPr>
                <w:rFonts w:ascii="Times New Roman" w:eastAsia="Times New Roman" w:hAnsi="Times New Roman" w:cs="Times New Roman"/>
                <w:color w:val="000000"/>
                <w:kern w:val="0"/>
                <w:sz w:val="16"/>
                <w:szCs w:val="16"/>
                <w:lang w:eastAsia="en-IN"/>
                <w14:ligatures w14:val="none"/>
              </w:rPr>
              <w:t>11.24</w:t>
            </w:r>
          </w:p>
        </w:tc>
        <w:tc>
          <w:tcPr>
            <w:tcW w:w="865" w:type="dxa"/>
            <w:tcBorders>
              <w:top w:val="nil"/>
              <w:left w:val="nil"/>
              <w:bottom w:val="single" w:sz="4" w:space="0" w:color="auto"/>
              <w:right w:val="single" w:sz="4" w:space="0" w:color="auto"/>
            </w:tcBorders>
            <w:noWrap/>
            <w:vAlign w:val="center"/>
            <w:hideMark/>
          </w:tcPr>
          <w:p w14:paraId="7C87B183" w14:textId="77777777" w:rsidR="005A319E" w:rsidRPr="005A319E" w:rsidRDefault="005A319E" w:rsidP="005A319E">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5A319E">
              <w:rPr>
                <w:rFonts w:ascii="Times New Roman" w:eastAsia="Times New Roman" w:hAnsi="Times New Roman" w:cs="Times New Roman"/>
                <w:color w:val="000000"/>
                <w:kern w:val="0"/>
                <w:sz w:val="16"/>
                <w:szCs w:val="16"/>
                <w:lang w:eastAsia="en-IN"/>
                <w14:ligatures w14:val="none"/>
              </w:rPr>
              <w:t>2.25</w:t>
            </w:r>
          </w:p>
        </w:tc>
        <w:tc>
          <w:tcPr>
            <w:tcW w:w="995" w:type="dxa"/>
            <w:tcBorders>
              <w:top w:val="nil"/>
              <w:left w:val="nil"/>
              <w:bottom w:val="single" w:sz="4" w:space="0" w:color="auto"/>
              <w:right w:val="single" w:sz="4" w:space="0" w:color="auto"/>
            </w:tcBorders>
            <w:noWrap/>
            <w:vAlign w:val="center"/>
            <w:hideMark/>
          </w:tcPr>
          <w:p w14:paraId="7CB1DB02" w14:textId="77777777" w:rsidR="005A319E" w:rsidRPr="005A319E" w:rsidRDefault="005A319E" w:rsidP="005A319E">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5A319E">
              <w:rPr>
                <w:rFonts w:ascii="Times New Roman" w:eastAsia="Times New Roman" w:hAnsi="Times New Roman" w:cs="Times New Roman"/>
                <w:color w:val="000000"/>
                <w:kern w:val="0"/>
                <w:sz w:val="16"/>
                <w:szCs w:val="16"/>
                <w:lang w:eastAsia="en-IN"/>
                <w14:ligatures w14:val="none"/>
              </w:rPr>
              <w:t>13.49</w:t>
            </w:r>
          </w:p>
        </w:tc>
        <w:tc>
          <w:tcPr>
            <w:tcW w:w="916" w:type="dxa"/>
            <w:tcBorders>
              <w:top w:val="nil"/>
              <w:left w:val="nil"/>
              <w:bottom w:val="single" w:sz="4" w:space="0" w:color="auto"/>
              <w:right w:val="single" w:sz="4" w:space="0" w:color="auto"/>
            </w:tcBorders>
            <w:noWrap/>
            <w:vAlign w:val="center"/>
            <w:hideMark/>
          </w:tcPr>
          <w:p w14:paraId="4E2BD5A2" w14:textId="77777777" w:rsidR="005A319E" w:rsidRPr="005A319E" w:rsidRDefault="005A319E" w:rsidP="005A319E">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5A319E">
              <w:rPr>
                <w:rFonts w:ascii="Times New Roman" w:eastAsia="Times New Roman" w:hAnsi="Times New Roman" w:cs="Times New Roman"/>
                <w:color w:val="000000"/>
                <w:kern w:val="0"/>
                <w:sz w:val="16"/>
                <w:szCs w:val="16"/>
                <w:lang w:eastAsia="en-IN"/>
                <w14:ligatures w14:val="none"/>
              </w:rPr>
              <w:t>9.47</w:t>
            </w:r>
          </w:p>
        </w:tc>
        <w:tc>
          <w:tcPr>
            <w:tcW w:w="865" w:type="dxa"/>
            <w:tcBorders>
              <w:top w:val="nil"/>
              <w:left w:val="nil"/>
              <w:bottom w:val="single" w:sz="4" w:space="0" w:color="auto"/>
              <w:right w:val="single" w:sz="4" w:space="0" w:color="auto"/>
            </w:tcBorders>
            <w:noWrap/>
            <w:vAlign w:val="center"/>
            <w:hideMark/>
          </w:tcPr>
          <w:p w14:paraId="02AF9613" w14:textId="77777777" w:rsidR="005A319E" w:rsidRPr="005A319E" w:rsidRDefault="005A319E" w:rsidP="005A319E">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5A319E">
              <w:rPr>
                <w:rFonts w:ascii="Times New Roman" w:eastAsia="Times New Roman" w:hAnsi="Times New Roman" w:cs="Times New Roman"/>
                <w:color w:val="000000"/>
                <w:kern w:val="0"/>
                <w:sz w:val="16"/>
                <w:szCs w:val="16"/>
                <w:lang w:eastAsia="en-IN"/>
                <w14:ligatures w14:val="none"/>
              </w:rPr>
              <w:t>1.89</w:t>
            </w:r>
          </w:p>
        </w:tc>
        <w:tc>
          <w:tcPr>
            <w:tcW w:w="581" w:type="dxa"/>
            <w:tcBorders>
              <w:top w:val="nil"/>
              <w:left w:val="nil"/>
              <w:bottom w:val="single" w:sz="4" w:space="0" w:color="auto"/>
              <w:right w:val="single" w:sz="4" w:space="0" w:color="auto"/>
            </w:tcBorders>
            <w:noWrap/>
            <w:vAlign w:val="center"/>
            <w:hideMark/>
          </w:tcPr>
          <w:p w14:paraId="251D11CC" w14:textId="77777777" w:rsidR="005A319E" w:rsidRPr="005A319E" w:rsidRDefault="005A319E" w:rsidP="005A319E">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5A319E">
              <w:rPr>
                <w:rFonts w:ascii="Times New Roman" w:eastAsia="Times New Roman" w:hAnsi="Times New Roman" w:cs="Times New Roman"/>
                <w:color w:val="000000"/>
                <w:kern w:val="0"/>
                <w:sz w:val="16"/>
                <w:szCs w:val="16"/>
                <w:lang w:eastAsia="en-IN"/>
                <w14:ligatures w14:val="none"/>
              </w:rPr>
              <w:t>11.36</w:t>
            </w:r>
          </w:p>
        </w:tc>
      </w:tr>
      <w:tr w:rsidR="005A319E" w:rsidRPr="005A319E" w14:paraId="295CB570" w14:textId="77777777" w:rsidTr="00D67840">
        <w:trPr>
          <w:trHeight w:val="22"/>
          <w:jc w:val="center"/>
        </w:trPr>
        <w:tc>
          <w:tcPr>
            <w:tcW w:w="1842" w:type="dxa"/>
            <w:tcBorders>
              <w:top w:val="nil"/>
              <w:left w:val="single" w:sz="4" w:space="0" w:color="auto"/>
              <w:bottom w:val="single" w:sz="4" w:space="0" w:color="auto"/>
              <w:right w:val="single" w:sz="4" w:space="0" w:color="auto"/>
            </w:tcBorders>
            <w:noWrap/>
            <w:vAlign w:val="center"/>
            <w:hideMark/>
          </w:tcPr>
          <w:p w14:paraId="32E55A37" w14:textId="77777777" w:rsidR="005A319E" w:rsidRPr="005A319E" w:rsidRDefault="005A319E" w:rsidP="005A319E">
            <w:pPr>
              <w:spacing w:after="0" w:line="240" w:lineRule="auto"/>
              <w:rPr>
                <w:rFonts w:ascii="Times New Roman" w:eastAsia="Times New Roman" w:hAnsi="Times New Roman" w:cs="Times New Roman"/>
                <w:color w:val="000000"/>
                <w:kern w:val="0"/>
                <w:sz w:val="16"/>
                <w:szCs w:val="16"/>
                <w:lang w:eastAsia="en-IN"/>
                <w14:ligatures w14:val="none"/>
              </w:rPr>
            </w:pPr>
            <w:r w:rsidRPr="005A319E">
              <w:rPr>
                <w:rFonts w:ascii="Times New Roman" w:eastAsia="Times New Roman" w:hAnsi="Times New Roman" w:cs="Times New Roman"/>
                <w:color w:val="000000"/>
                <w:kern w:val="0"/>
                <w:sz w:val="16"/>
                <w:szCs w:val="16"/>
                <w:lang w:eastAsia="en-IN"/>
                <w14:ligatures w14:val="none"/>
              </w:rPr>
              <w:t>(c) Rihand</w:t>
            </w:r>
          </w:p>
        </w:tc>
        <w:tc>
          <w:tcPr>
            <w:tcW w:w="851" w:type="dxa"/>
            <w:tcBorders>
              <w:top w:val="nil"/>
              <w:left w:val="nil"/>
              <w:bottom w:val="single" w:sz="4" w:space="0" w:color="auto"/>
              <w:right w:val="single" w:sz="4" w:space="0" w:color="auto"/>
            </w:tcBorders>
            <w:noWrap/>
            <w:vAlign w:val="center"/>
            <w:hideMark/>
          </w:tcPr>
          <w:p w14:paraId="23C2B3DE" w14:textId="77777777" w:rsidR="005A319E" w:rsidRPr="005A319E" w:rsidRDefault="005A319E" w:rsidP="005A319E">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5A319E">
              <w:rPr>
                <w:rFonts w:ascii="Times New Roman" w:eastAsia="Times New Roman" w:hAnsi="Times New Roman" w:cs="Times New Roman"/>
                <w:color w:val="000000"/>
                <w:kern w:val="0"/>
                <w:sz w:val="16"/>
                <w:szCs w:val="16"/>
                <w:lang w:eastAsia="en-IN"/>
                <w14:ligatures w14:val="none"/>
              </w:rPr>
              <w:t>12.50</w:t>
            </w:r>
          </w:p>
        </w:tc>
        <w:tc>
          <w:tcPr>
            <w:tcW w:w="992" w:type="dxa"/>
            <w:tcBorders>
              <w:top w:val="nil"/>
              <w:left w:val="nil"/>
              <w:bottom w:val="single" w:sz="4" w:space="0" w:color="auto"/>
              <w:right w:val="single" w:sz="4" w:space="0" w:color="auto"/>
            </w:tcBorders>
            <w:noWrap/>
            <w:vAlign w:val="center"/>
            <w:hideMark/>
          </w:tcPr>
          <w:p w14:paraId="7F7B14DA" w14:textId="77777777" w:rsidR="005A319E" w:rsidRPr="005A319E" w:rsidRDefault="005A319E" w:rsidP="005A319E">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5A319E">
              <w:rPr>
                <w:rFonts w:ascii="Times New Roman" w:eastAsia="Times New Roman" w:hAnsi="Times New Roman" w:cs="Times New Roman"/>
                <w:color w:val="000000"/>
                <w:kern w:val="0"/>
                <w:sz w:val="16"/>
                <w:szCs w:val="16"/>
                <w:lang w:eastAsia="en-IN"/>
                <w14:ligatures w14:val="none"/>
              </w:rPr>
              <w:t>..</w:t>
            </w:r>
          </w:p>
        </w:tc>
        <w:tc>
          <w:tcPr>
            <w:tcW w:w="581" w:type="dxa"/>
            <w:tcBorders>
              <w:top w:val="nil"/>
              <w:left w:val="nil"/>
              <w:bottom w:val="single" w:sz="4" w:space="0" w:color="auto"/>
              <w:right w:val="single" w:sz="4" w:space="0" w:color="auto"/>
            </w:tcBorders>
            <w:noWrap/>
            <w:vAlign w:val="center"/>
            <w:hideMark/>
          </w:tcPr>
          <w:p w14:paraId="2FDBDACB" w14:textId="77777777" w:rsidR="005A319E" w:rsidRPr="005A319E" w:rsidRDefault="005A319E" w:rsidP="005A319E">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5A319E">
              <w:rPr>
                <w:rFonts w:ascii="Times New Roman" w:eastAsia="Times New Roman" w:hAnsi="Times New Roman" w:cs="Times New Roman"/>
                <w:color w:val="000000"/>
                <w:kern w:val="0"/>
                <w:sz w:val="16"/>
                <w:szCs w:val="16"/>
                <w:lang w:eastAsia="en-IN"/>
                <w14:ligatures w14:val="none"/>
              </w:rPr>
              <w:t>12.50</w:t>
            </w:r>
          </w:p>
        </w:tc>
        <w:tc>
          <w:tcPr>
            <w:tcW w:w="992" w:type="dxa"/>
            <w:tcBorders>
              <w:top w:val="nil"/>
              <w:left w:val="nil"/>
              <w:bottom w:val="single" w:sz="4" w:space="0" w:color="auto"/>
              <w:right w:val="single" w:sz="4" w:space="0" w:color="auto"/>
            </w:tcBorders>
            <w:noWrap/>
            <w:vAlign w:val="center"/>
            <w:hideMark/>
          </w:tcPr>
          <w:p w14:paraId="2065714B" w14:textId="77777777" w:rsidR="005A319E" w:rsidRPr="005A319E" w:rsidRDefault="005A319E" w:rsidP="005A319E">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5A319E">
              <w:rPr>
                <w:rFonts w:ascii="Times New Roman" w:eastAsia="Times New Roman" w:hAnsi="Times New Roman" w:cs="Times New Roman"/>
                <w:color w:val="000000"/>
                <w:kern w:val="0"/>
                <w:sz w:val="16"/>
                <w:szCs w:val="16"/>
                <w:lang w:eastAsia="en-IN"/>
                <w14:ligatures w14:val="none"/>
              </w:rPr>
              <w:t>15.00</w:t>
            </w:r>
          </w:p>
        </w:tc>
        <w:tc>
          <w:tcPr>
            <w:tcW w:w="865" w:type="dxa"/>
            <w:tcBorders>
              <w:top w:val="nil"/>
              <w:left w:val="nil"/>
              <w:bottom w:val="single" w:sz="4" w:space="0" w:color="auto"/>
              <w:right w:val="single" w:sz="4" w:space="0" w:color="auto"/>
            </w:tcBorders>
            <w:noWrap/>
            <w:vAlign w:val="center"/>
            <w:hideMark/>
          </w:tcPr>
          <w:p w14:paraId="6EB81206" w14:textId="77777777" w:rsidR="005A319E" w:rsidRPr="005A319E" w:rsidRDefault="005A319E" w:rsidP="005A319E">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5A319E">
              <w:rPr>
                <w:rFonts w:ascii="Times New Roman" w:eastAsia="Times New Roman" w:hAnsi="Times New Roman" w:cs="Times New Roman"/>
                <w:color w:val="000000"/>
                <w:kern w:val="0"/>
                <w:sz w:val="16"/>
                <w:szCs w:val="16"/>
                <w:lang w:eastAsia="en-IN"/>
                <w14:ligatures w14:val="none"/>
              </w:rPr>
              <w:t>3.00</w:t>
            </w:r>
          </w:p>
        </w:tc>
        <w:tc>
          <w:tcPr>
            <w:tcW w:w="709" w:type="dxa"/>
            <w:tcBorders>
              <w:top w:val="nil"/>
              <w:left w:val="nil"/>
              <w:bottom w:val="single" w:sz="4" w:space="0" w:color="auto"/>
              <w:right w:val="single" w:sz="4" w:space="0" w:color="auto"/>
            </w:tcBorders>
            <w:noWrap/>
            <w:vAlign w:val="center"/>
            <w:hideMark/>
          </w:tcPr>
          <w:p w14:paraId="269870D5" w14:textId="77777777" w:rsidR="005A319E" w:rsidRPr="005A319E" w:rsidRDefault="005A319E" w:rsidP="005A319E">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5A319E">
              <w:rPr>
                <w:rFonts w:ascii="Times New Roman" w:eastAsia="Times New Roman" w:hAnsi="Times New Roman" w:cs="Times New Roman"/>
                <w:color w:val="000000"/>
                <w:kern w:val="0"/>
                <w:sz w:val="16"/>
                <w:szCs w:val="16"/>
                <w:lang w:eastAsia="en-IN"/>
                <w14:ligatures w14:val="none"/>
              </w:rPr>
              <w:t>18.00</w:t>
            </w:r>
          </w:p>
        </w:tc>
        <w:tc>
          <w:tcPr>
            <w:tcW w:w="708" w:type="dxa"/>
            <w:tcBorders>
              <w:top w:val="nil"/>
              <w:left w:val="nil"/>
              <w:bottom w:val="single" w:sz="4" w:space="0" w:color="auto"/>
              <w:right w:val="single" w:sz="4" w:space="0" w:color="auto"/>
            </w:tcBorders>
            <w:noWrap/>
            <w:vAlign w:val="center"/>
            <w:hideMark/>
          </w:tcPr>
          <w:p w14:paraId="412D7093" w14:textId="77777777" w:rsidR="005A319E" w:rsidRPr="005A319E" w:rsidRDefault="005A319E" w:rsidP="005A319E">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5A319E">
              <w:rPr>
                <w:rFonts w:ascii="Times New Roman" w:eastAsia="Times New Roman" w:hAnsi="Times New Roman" w:cs="Times New Roman"/>
                <w:color w:val="000000"/>
                <w:kern w:val="0"/>
                <w:sz w:val="16"/>
                <w:szCs w:val="16"/>
                <w:lang w:eastAsia="en-IN"/>
                <w14:ligatures w14:val="none"/>
              </w:rPr>
              <w:t>14.64</w:t>
            </w:r>
          </w:p>
        </w:tc>
        <w:tc>
          <w:tcPr>
            <w:tcW w:w="865" w:type="dxa"/>
            <w:tcBorders>
              <w:top w:val="nil"/>
              <w:left w:val="nil"/>
              <w:bottom w:val="single" w:sz="4" w:space="0" w:color="auto"/>
              <w:right w:val="single" w:sz="4" w:space="0" w:color="auto"/>
            </w:tcBorders>
            <w:noWrap/>
            <w:vAlign w:val="center"/>
            <w:hideMark/>
          </w:tcPr>
          <w:p w14:paraId="07447F0A" w14:textId="77777777" w:rsidR="005A319E" w:rsidRPr="005A319E" w:rsidRDefault="005A319E" w:rsidP="005A319E">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5A319E">
              <w:rPr>
                <w:rFonts w:ascii="Times New Roman" w:eastAsia="Times New Roman" w:hAnsi="Times New Roman" w:cs="Times New Roman"/>
                <w:color w:val="000000"/>
                <w:kern w:val="0"/>
                <w:sz w:val="16"/>
                <w:szCs w:val="16"/>
                <w:lang w:eastAsia="en-IN"/>
                <w14:ligatures w14:val="none"/>
              </w:rPr>
              <w:t>2.73</w:t>
            </w:r>
          </w:p>
        </w:tc>
        <w:tc>
          <w:tcPr>
            <w:tcW w:w="581" w:type="dxa"/>
            <w:tcBorders>
              <w:top w:val="nil"/>
              <w:left w:val="nil"/>
              <w:bottom w:val="single" w:sz="4" w:space="0" w:color="auto"/>
              <w:right w:val="single" w:sz="4" w:space="0" w:color="auto"/>
            </w:tcBorders>
            <w:noWrap/>
            <w:vAlign w:val="center"/>
            <w:hideMark/>
          </w:tcPr>
          <w:p w14:paraId="69CA489F" w14:textId="77777777" w:rsidR="005A319E" w:rsidRPr="005A319E" w:rsidRDefault="005A319E" w:rsidP="005A319E">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5A319E">
              <w:rPr>
                <w:rFonts w:ascii="Times New Roman" w:eastAsia="Times New Roman" w:hAnsi="Times New Roman" w:cs="Times New Roman"/>
                <w:color w:val="000000"/>
                <w:kern w:val="0"/>
                <w:sz w:val="16"/>
                <w:szCs w:val="16"/>
                <w:lang w:eastAsia="en-IN"/>
                <w14:ligatures w14:val="none"/>
              </w:rPr>
              <w:t>16.30</w:t>
            </w:r>
          </w:p>
        </w:tc>
        <w:tc>
          <w:tcPr>
            <w:tcW w:w="1004" w:type="dxa"/>
            <w:tcBorders>
              <w:top w:val="nil"/>
              <w:left w:val="nil"/>
              <w:bottom w:val="single" w:sz="4" w:space="0" w:color="auto"/>
              <w:right w:val="single" w:sz="4" w:space="0" w:color="auto"/>
            </w:tcBorders>
            <w:noWrap/>
            <w:vAlign w:val="center"/>
            <w:hideMark/>
          </w:tcPr>
          <w:p w14:paraId="1050D920" w14:textId="77777777" w:rsidR="005A319E" w:rsidRPr="005A319E" w:rsidRDefault="005A319E" w:rsidP="005A319E">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5A319E">
              <w:rPr>
                <w:rFonts w:ascii="Times New Roman" w:eastAsia="Times New Roman" w:hAnsi="Times New Roman" w:cs="Times New Roman"/>
                <w:color w:val="000000"/>
                <w:kern w:val="0"/>
                <w:sz w:val="16"/>
                <w:szCs w:val="16"/>
                <w:lang w:eastAsia="en-IN"/>
                <w14:ligatures w14:val="none"/>
              </w:rPr>
              <w:t>10.08</w:t>
            </w:r>
          </w:p>
        </w:tc>
        <w:tc>
          <w:tcPr>
            <w:tcW w:w="865" w:type="dxa"/>
            <w:tcBorders>
              <w:top w:val="nil"/>
              <w:left w:val="nil"/>
              <w:bottom w:val="single" w:sz="4" w:space="0" w:color="auto"/>
              <w:right w:val="single" w:sz="4" w:space="0" w:color="auto"/>
            </w:tcBorders>
            <w:noWrap/>
            <w:vAlign w:val="center"/>
            <w:hideMark/>
          </w:tcPr>
          <w:p w14:paraId="08A6608B" w14:textId="77777777" w:rsidR="005A319E" w:rsidRPr="005A319E" w:rsidRDefault="005A319E" w:rsidP="005A319E">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5A319E">
              <w:rPr>
                <w:rFonts w:ascii="Times New Roman" w:eastAsia="Times New Roman" w:hAnsi="Times New Roman" w:cs="Times New Roman"/>
                <w:color w:val="000000"/>
                <w:kern w:val="0"/>
                <w:sz w:val="16"/>
                <w:szCs w:val="16"/>
                <w:lang w:eastAsia="en-IN"/>
                <w14:ligatures w14:val="none"/>
              </w:rPr>
              <w:t>2.02</w:t>
            </w:r>
          </w:p>
        </w:tc>
        <w:tc>
          <w:tcPr>
            <w:tcW w:w="995" w:type="dxa"/>
            <w:tcBorders>
              <w:top w:val="nil"/>
              <w:left w:val="nil"/>
              <w:bottom w:val="single" w:sz="4" w:space="0" w:color="auto"/>
              <w:right w:val="single" w:sz="4" w:space="0" w:color="auto"/>
            </w:tcBorders>
            <w:noWrap/>
            <w:vAlign w:val="center"/>
            <w:hideMark/>
          </w:tcPr>
          <w:p w14:paraId="71D265A5" w14:textId="77777777" w:rsidR="005A319E" w:rsidRPr="005A319E" w:rsidRDefault="005A319E" w:rsidP="005A319E">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5A319E">
              <w:rPr>
                <w:rFonts w:ascii="Times New Roman" w:eastAsia="Times New Roman" w:hAnsi="Times New Roman" w:cs="Times New Roman"/>
                <w:color w:val="000000"/>
                <w:kern w:val="0"/>
                <w:sz w:val="16"/>
                <w:szCs w:val="16"/>
                <w:lang w:eastAsia="en-IN"/>
                <w14:ligatures w14:val="none"/>
              </w:rPr>
              <w:t>12.10</w:t>
            </w:r>
          </w:p>
        </w:tc>
        <w:tc>
          <w:tcPr>
            <w:tcW w:w="916" w:type="dxa"/>
            <w:tcBorders>
              <w:top w:val="nil"/>
              <w:left w:val="nil"/>
              <w:bottom w:val="single" w:sz="4" w:space="0" w:color="auto"/>
              <w:right w:val="single" w:sz="4" w:space="0" w:color="auto"/>
            </w:tcBorders>
            <w:noWrap/>
            <w:vAlign w:val="center"/>
            <w:hideMark/>
          </w:tcPr>
          <w:p w14:paraId="2F927124" w14:textId="77777777" w:rsidR="005A319E" w:rsidRPr="005A319E" w:rsidRDefault="005A319E" w:rsidP="005A319E">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5A319E">
              <w:rPr>
                <w:rFonts w:ascii="Times New Roman" w:eastAsia="Times New Roman" w:hAnsi="Times New Roman" w:cs="Times New Roman"/>
                <w:color w:val="000000"/>
                <w:kern w:val="0"/>
                <w:sz w:val="16"/>
                <w:szCs w:val="16"/>
                <w:lang w:eastAsia="en-IN"/>
                <w14:ligatures w14:val="none"/>
              </w:rPr>
              <w:t>8.52</w:t>
            </w:r>
          </w:p>
        </w:tc>
        <w:tc>
          <w:tcPr>
            <w:tcW w:w="865" w:type="dxa"/>
            <w:tcBorders>
              <w:top w:val="nil"/>
              <w:left w:val="nil"/>
              <w:bottom w:val="single" w:sz="4" w:space="0" w:color="auto"/>
              <w:right w:val="single" w:sz="4" w:space="0" w:color="auto"/>
            </w:tcBorders>
            <w:noWrap/>
            <w:vAlign w:val="center"/>
            <w:hideMark/>
          </w:tcPr>
          <w:p w14:paraId="200B31D8" w14:textId="77777777" w:rsidR="005A319E" w:rsidRPr="005A319E" w:rsidRDefault="005A319E" w:rsidP="005A319E">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5A319E">
              <w:rPr>
                <w:rFonts w:ascii="Times New Roman" w:eastAsia="Times New Roman" w:hAnsi="Times New Roman" w:cs="Times New Roman"/>
                <w:color w:val="000000"/>
                <w:kern w:val="0"/>
                <w:sz w:val="16"/>
                <w:szCs w:val="16"/>
                <w:lang w:eastAsia="en-IN"/>
                <w14:ligatures w14:val="none"/>
              </w:rPr>
              <w:t>1.74</w:t>
            </w:r>
          </w:p>
        </w:tc>
        <w:tc>
          <w:tcPr>
            <w:tcW w:w="581" w:type="dxa"/>
            <w:tcBorders>
              <w:top w:val="nil"/>
              <w:left w:val="nil"/>
              <w:bottom w:val="single" w:sz="4" w:space="0" w:color="auto"/>
              <w:right w:val="single" w:sz="4" w:space="0" w:color="auto"/>
            </w:tcBorders>
            <w:noWrap/>
            <w:vAlign w:val="center"/>
            <w:hideMark/>
          </w:tcPr>
          <w:p w14:paraId="6883F50C" w14:textId="77777777" w:rsidR="005A319E" w:rsidRPr="005A319E" w:rsidRDefault="005A319E" w:rsidP="005A319E">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5A319E">
              <w:rPr>
                <w:rFonts w:ascii="Times New Roman" w:eastAsia="Times New Roman" w:hAnsi="Times New Roman" w:cs="Times New Roman"/>
                <w:color w:val="000000"/>
                <w:kern w:val="0"/>
                <w:sz w:val="16"/>
                <w:szCs w:val="16"/>
                <w:lang w:eastAsia="en-IN"/>
                <w14:ligatures w14:val="none"/>
              </w:rPr>
              <w:t>10.26</w:t>
            </w:r>
          </w:p>
        </w:tc>
      </w:tr>
      <w:tr w:rsidR="005A319E" w:rsidRPr="005A319E" w14:paraId="3FBF821F" w14:textId="77777777" w:rsidTr="00D67840">
        <w:trPr>
          <w:trHeight w:val="22"/>
          <w:jc w:val="center"/>
        </w:trPr>
        <w:tc>
          <w:tcPr>
            <w:tcW w:w="1842" w:type="dxa"/>
            <w:tcBorders>
              <w:top w:val="nil"/>
              <w:left w:val="single" w:sz="4" w:space="0" w:color="auto"/>
              <w:bottom w:val="single" w:sz="4" w:space="0" w:color="auto"/>
              <w:right w:val="single" w:sz="4" w:space="0" w:color="auto"/>
            </w:tcBorders>
            <w:noWrap/>
            <w:vAlign w:val="center"/>
            <w:hideMark/>
          </w:tcPr>
          <w:p w14:paraId="64A948A0" w14:textId="77777777" w:rsidR="005A319E" w:rsidRPr="005A319E" w:rsidRDefault="005A319E" w:rsidP="005A319E">
            <w:pPr>
              <w:spacing w:after="0" w:line="240" w:lineRule="auto"/>
              <w:rPr>
                <w:rFonts w:ascii="Times New Roman" w:eastAsia="Times New Roman" w:hAnsi="Times New Roman" w:cs="Times New Roman"/>
                <w:color w:val="000000"/>
                <w:kern w:val="0"/>
                <w:sz w:val="16"/>
                <w:szCs w:val="16"/>
                <w:lang w:eastAsia="en-IN"/>
                <w14:ligatures w14:val="none"/>
              </w:rPr>
            </w:pPr>
            <w:r w:rsidRPr="005A319E">
              <w:rPr>
                <w:rFonts w:ascii="Times New Roman" w:eastAsia="Times New Roman" w:hAnsi="Times New Roman" w:cs="Times New Roman"/>
                <w:color w:val="000000"/>
                <w:kern w:val="0"/>
                <w:sz w:val="16"/>
                <w:szCs w:val="16"/>
                <w:lang w:eastAsia="en-IN"/>
                <w14:ligatures w14:val="none"/>
              </w:rPr>
              <w:t>(d) Eastern Area</w:t>
            </w:r>
          </w:p>
        </w:tc>
        <w:tc>
          <w:tcPr>
            <w:tcW w:w="851" w:type="dxa"/>
            <w:tcBorders>
              <w:top w:val="nil"/>
              <w:left w:val="nil"/>
              <w:bottom w:val="single" w:sz="4" w:space="0" w:color="auto"/>
              <w:right w:val="single" w:sz="4" w:space="0" w:color="auto"/>
            </w:tcBorders>
            <w:noWrap/>
            <w:vAlign w:val="center"/>
            <w:hideMark/>
          </w:tcPr>
          <w:p w14:paraId="4D541224" w14:textId="77777777" w:rsidR="005A319E" w:rsidRPr="005A319E" w:rsidRDefault="005A319E" w:rsidP="005A319E">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5A319E">
              <w:rPr>
                <w:rFonts w:ascii="Times New Roman" w:eastAsia="Times New Roman" w:hAnsi="Times New Roman" w:cs="Times New Roman"/>
                <w:color w:val="000000"/>
                <w:kern w:val="0"/>
                <w:sz w:val="16"/>
                <w:szCs w:val="16"/>
                <w:lang w:eastAsia="en-IN"/>
                <w14:ligatures w14:val="none"/>
              </w:rPr>
              <w:t>18.75</w:t>
            </w:r>
          </w:p>
        </w:tc>
        <w:tc>
          <w:tcPr>
            <w:tcW w:w="992" w:type="dxa"/>
            <w:tcBorders>
              <w:top w:val="nil"/>
              <w:left w:val="nil"/>
              <w:bottom w:val="single" w:sz="4" w:space="0" w:color="auto"/>
              <w:right w:val="single" w:sz="4" w:space="0" w:color="auto"/>
            </w:tcBorders>
            <w:noWrap/>
            <w:vAlign w:val="center"/>
            <w:hideMark/>
          </w:tcPr>
          <w:p w14:paraId="2D48DE20" w14:textId="77777777" w:rsidR="005A319E" w:rsidRPr="005A319E" w:rsidRDefault="005A319E" w:rsidP="005A319E">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5A319E">
              <w:rPr>
                <w:rFonts w:ascii="Times New Roman" w:eastAsia="Times New Roman" w:hAnsi="Times New Roman" w:cs="Times New Roman"/>
                <w:color w:val="000000"/>
                <w:kern w:val="0"/>
                <w:sz w:val="16"/>
                <w:szCs w:val="16"/>
                <w:lang w:eastAsia="en-IN"/>
                <w14:ligatures w14:val="none"/>
              </w:rPr>
              <w:t>..</w:t>
            </w:r>
          </w:p>
        </w:tc>
        <w:tc>
          <w:tcPr>
            <w:tcW w:w="581" w:type="dxa"/>
            <w:tcBorders>
              <w:top w:val="nil"/>
              <w:left w:val="nil"/>
              <w:bottom w:val="single" w:sz="4" w:space="0" w:color="auto"/>
              <w:right w:val="single" w:sz="4" w:space="0" w:color="auto"/>
            </w:tcBorders>
            <w:noWrap/>
            <w:vAlign w:val="center"/>
            <w:hideMark/>
          </w:tcPr>
          <w:p w14:paraId="5F7E2C71" w14:textId="77777777" w:rsidR="005A319E" w:rsidRPr="005A319E" w:rsidRDefault="005A319E" w:rsidP="005A319E">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5A319E">
              <w:rPr>
                <w:rFonts w:ascii="Times New Roman" w:eastAsia="Times New Roman" w:hAnsi="Times New Roman" w:cs="Times New Roman"/>
                <w:color w:val="000000"/>
                <w:kern w:val="0"/>
                <w:sz w:val="16"/>
                <w:szCs w:val="16"/>
                <w:lang w:eastAsia="en-IN"/>
                <w14:ligatures w14:val="none"/>
              </w:rPr>
              <w:t>18.75</w:t>
            </w:r>
          </w:p>
        </w:tc>
        <w:tc>
          <w:tcPr>
            <w:tcW w:w="992" w:type="dxa"/>
            <w:tcBorders>
              <w:top w:val="nil"/>
              <w:left w:val="nil"/>
              <w:bottom w:val="single" w:sz="4" w:space="0" w:color="auto"/>
              <w:right w:val="single" w:sz="4" w:space="0" w:color="auto"/>
            </w:tcBorders>
            <w:noWrap/>
            <w:vAlign w:val="center"/>
            <w:hideMark/>
          </w:tcPr>
          <w:p w14:paraId="067BDB72" w14:textId="77777777" w:rsidR="005A319E" w:rsidRPr="005A319E" w:rsidRDefault="005A319E" w:rsidP="005A319E">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5A319E">
              <w:rPr>
                <w:rFonts w:ascii="Times New Roman" w:eastAsia="Times New Roman" w:hAnsi="Times New Roman" w:cs="Times New Roman"/>
                <w:color w:val="000000"/>
                <w:kern w:val="0"/>
                <w:sz w:val="16"/>
                <w:szCs w:val="16"/>
                <w:lang w:eastAsia="en-IN"/>
                <w14:ligatures w14:val="none"/>
              </w:rPr>
              <w:t>22.50</w:t>
            </w:r>
          </w:p>
        </w:tc>
        <w:tc>
          <w:tcPr>
            <w:tcW w:w="865" w:type="dxa"/>
            <w:tcBorders>
              <w:top w:val="nil"/>
              <w:left w:val="nil"/>
              <w:bottom w:val="single" w:sz="4" w:space="0" w:color="auto"/>
              <w:right w:val="single" w:sz="4" w:space="0" w:color="auto"/>
            </w:tcBorders>
            <w:noWrap/>
            <w:vAlign w:val="center"/>
            <w:hideMark/>
          </w:tcPr>
          <w:p w14:paraId="589E6992" w14:textId="77777777" w:rsidR="005A319E" w:rsidRPr="005A319E" w:rsidRDefault="005A319E" w:rsidP="005A319E">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5A319E">
              <w:rPr>
                <w:rFonts w:ascii="Times New Roman" w:eastAsia="Times New Roman" w:hAnsi="Times New Roman" w:cs="Times New Roman"/>
                <w:color w:val="000000"/>
                <w:kern w:val="0"/>
                <w:sz w:val="16"/>
                <w:szCs w:val="16"/>
                <w:lang w:eastAsia="en-IN"/>
                <w14:ligatures w14:val="none"/>
              </w:rPr>
              <w:t>4.50</w:t>
            </w:r>
          </w:p>
        </w:tc>
        <w:tc>
          <w:tcPr>
            <w:tcW w:w="709" w:type="dxa"/>
            <w:tcBorders>
              <w:top w:val="nil"/>
              <w:left w:val="nil"/>
              <w:bottom w:val="single" w:sz="4" w:space="0" w:color="auto"/>
              <w:right w:val="single" w:sz="4" w:space="0" w:color="auto"/>
            </w:tcBorders>
            <w:noWrap/>
            <w:vAlign w:val="center"/>
            <w:hideMark/>
          </w:tcPr>
          <w:p w14:paraId="5044F8FA" w14:textId="77777777" w:rsidR="005A319E" w:rsidRPr="005A319E" w:rsidRDefault="005A319E" w:rsidP="005A319E">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5A319E">
              <w:rPr>
                <w:rFonts w:ascii="Times New Roman" w:eastAsia="Times New Roman" w:hAnsi="Times New Roman" w:cs="Times New Roman"/>
                <w:color w:val="000000"/>
                <w:kern w:val="0"/>
                <w:sz w:val="16"/>
                <w:szCs w:val="16"/>
                <w:lang w:eastAsia="en-IN"/>
                <w14:ligatures w14:val="none"/>
              </w:rPr>
              <w:t>27.00</w:t>
            </w:r>
          </w:p>
        </w:tc>
        <w:tc>
          <w:tcPr>
            <w:tcW w:w="708" w:type="dxa"/>
            <w:tcBorders>
              <w:top w:val="nil"/>
              <w:left w:val="nil"/>
              <w:bottom w:val="single" w:sz="4" w:space="0" w:color="auto"/>
              <w:right w:val="single" w:sz="4" w:space="0" w:color="auto"/>
            </w:tcBorders>
            <w:noWrap/>
            <w:vAlign w:val="center"/>
            <w:hideMark/>
          </w:tcPr>
          <w:p w14:paraId="01108117" w14:textId="77777777" w:rsidR="005A319E" w:rsidRPr="005A319E" w:rsidRDefault="005A319E" w:rsidP="005A319E">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5A319E">
              <w:rPr>
                <w:rFonts w:ascii="Times New Roman" w:eastAsia="Times New Roman" w:hAnsi="Times New Roman" w:cs="Times New Roman"/>
                <w:color w:val="000000"/>
                <w:kern w:val="0"/>
                <w:sz w:val="16"/>
                <w:szCs w:val="16"/>
                <w:lang w:eastAsia="en-IN"/>
                <w14:ligatures w14:val="none"/>
              </w:rPr>
              <w:t>22.50</w:t>
            </w:r>
          </w:p>
        </w:tc>
        <w:tc>
          <w:tcPr>
            <w:tcW w:w="865" w:type="dxa"/>
            <w:tcBorders>
              <w:top w:val="nil"/>
              <w:left w:val="nil"/>
              <w:bottom w:val="single" w:sz="4" w:space="0" w:color="auto"/>
              <w:right w:val="single" w:sz="4" w:space="0" w:color="auto"/>
            </w:tcBorders>
            <w:noWrap/>
            <w:vAlign w:val="center"/>
            <w:hideMark/>
          </w:tcPr>
          <w:p w14:paraId="713502E7" w14:textId="77777777" w:rsidR="005A319E" w:rsidRPr="005A319E" w:rsidRDefault="005A319E" w:rsidP="005A319E">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5A319E">
              <w:rPr>
                <w:rFonts w:ascii="Times New Roman" w:eastAsia="Times New Roman" w:hAnsi="Times New Roman" w:cs="Times New Roman"/>
                <w:color w:val="000000"/>
                <w:kern w:val="0"/>
                <w:sz w:val="16"/>
                <w:szCs w:val="16"/>
                <w:lang w:eastAsia="en-IN"/>
                <w14:ligatures w14:val="none"/>
              </w:rPr>
              <w:t>4.50</w:t>
            </w:r>
          </w:p>
        </w:tc>
        <w:tc>
          <w:tcPr>
            <w:tcW w:w="581" w:type="dxa"/>
            <w:tcBorders>
              <w:top w:val="nil"/>
              <w:left w:val="nil"/>
              <w:bottom w:val="single" w:sz="4" w:space="0" w:color="auto"/>
              <w:right w:val="single" w:sz="4" w:space="0" w:color="auto"/>
            </w:tcBorders>
            <w:noWrap/>
            <w:vAlign w:val="center"/>
            <w:hideMark/>
          </w:tcPr>
          <w:p w14:paraId="19BD56ED" w14:textId="77777777" w:rsidR="005A319E" w:rsidRPr="005A319E" w:rsidRDefault="005A319E" w:rsidP="005A319E">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5A319E">
              <w:rPr>
                <w:rFonts w:ascii="Times New Roman" w:eastAsia="Times New Roman" w:hAnsi="Times New Roman" w:cs="Times New Roman"/>
                <w:color w:val="000000"/>
                <w:kern w:val="0"/>
                <w:sz w:val="16"/>
                <w:szCs w:val="16"/>
                <w:lang w:eastAsia="en-IN"/>
                <w14:ligatures w14:val="none"/>
              </w:rPr>
              <w:t>27.00</w:t>
            </w:r>
          </w:p>
        </w:tc>
        <w:tc>
          <w:tcPr>
            <w:tcW w:w="1004" w:type="dxa"/>
            <w:tcBorders>
              <w:top w:val="nil"/>
              <w:left w:val="nil"/>
              <w:bottom w:val="single" w:sz="4" w:space="0" w:color="auto"/>
              <w:right w:val="single" w:sz="4" w:space="0" w:color="auto"/>
            </w:tcBorders>
            <w:noWrap/>
            <w:vAlign w:val="center"/>
            <w:hideMark/>
          </w:tcPr>
          <w:p w14:paraId="0FBC7C9F" w14:textId="77777777" w:rsidR="005A319E" w:rsidRPr="005A319E" w:rsidRDefault="005A319E" w:rsidP="005A319E">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5A319E">
              <w:rPr>
                <w:rFonts w:ascii="Times New Roman" w:eastAsia="Times New Roman" w:hAnsi="Times New Roman" w:cs="Times New Roman"/>
                <w:color w:val="000000"/>
                <w:kern w:val="0"/>
                <w:sz w:val="16"/>
                <w:szCs w:val="16"/>
                <w:lang w:eastAsia="en-IN"/>
                <w14:ligatures w14:val="none"/>
              </w:rPr>
              <w:t>10.40</w:t>
            </w:r>
          </w:p>
        </w:tc>
        <w:tc>
          <w:tcPr>
            <w:tcW w:w="865" w:type="dxa"/>
            <w:tcBorders>
              <w:top w:val="nil"/>
              <w:left w:val="nil"/>
              <w:bottom w:val="single" w:sz="4" w:space="0" w:color="auto"/>
              <w:right w:val="single" w:sz="4" w:space="0" w:color="auto"/>
            </w:tcBorders>
            <w:noWrap/>
            <w:vAlign w:val="center"/>
            <w:hideMark/>
          </w:tcPr>
          <w:p w14:paraId="4D058DEB" w14:textId="77777777" w:rsidR="005A319E" w:rsidRPr="005A319E" w:rsidRDefault="005A319E" w:rsidP="005A319E">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5A319E">
              <w:rPr>
                <w:rFonts w:ascii="Times New Roman" w:eastAsia="Times New Roman" w:hAnsi="Times New Roman" w:cs="Times New Roman"/>
                <w:color w:val="000000"/>
                <w:kern w:val="0"/>
                <w:sz w:val="16"/>
                <w:szCs w:val="16"/>
                <w:lang w:eastAsia="en-IN"/>
                <w14:ligatures w14:val="none"/>
              </w:rPr>
              <w:t>2.08</w:t>
            </w:r>
          </w:p>
        </w:tc>
        <w:tc>
          <w:tcPr>
            <w:tcW w:w="995" w:type="dxa"/>
            <w:tcBorders>
              <w:top w:val="nil"/>
              <w:left w:val="nil"/>
              <w:bottom w:val="single" w:sz="4" w:space="0" w:color="auto"/>
              <w:right w:val="single" w:sz="4" w:space="0" w:color="auto"/>
            </w:tcBorders>
            <w:noWrap/>
            <w:vAlign w:val="center"/>
            <w:hideMark/>
          </w:tcPr>
          <w:p w14:paraId="69224603" w14:textId="77777777" w:rsidR="005A319E" w:rsidRPr="005A319E" w:rsidRDefault="005A319E" w:rsidP="005A319E">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5A319E">
              <w:rPr>
                <w:rFonts w:ascii="Times New Roman" w:eastAsia="Times New Roman" w:hAnsi="Times New Roman" w:cs="Times New Roman"/>
                <w:color w:val="000000"/>
                <w:kern w:val="0"/>
                <w:sz w:val="16"/>
                <w:szCs w:val="16"/>
                <w:lang w:eastAsia="en-IN"/>
                <w14:ligatures w14:val="none"/>
              </w:rPr>
              <w:t>12.48</w:t>
            </w:r>
          </w:p>
        </w:tc>
        <w:tc>
          <w:tcPr>
            <w:tcW w:w="916" w:type="dxa"/>
            <w:tcBorders>
              <w:top w:val="nil"/>
              <w:left w:val="nil"/>
              <w:bottom w:val="single" w:sz="4" w:space="0" w:color="auto"/>
              <w:right w:val="single" w:sz="4" w:space="0" w:color="auto"/>
            </w:tcBorders>
            <w:noWrap/>
            <w:vAlign w:val="center"/>
            <w:hideMark/>
          </w:tcPr>
          <w:p w14:paraId="62E4D288" w14:textId="77777777" w:rsidR="005A319E" w:rsidRPr="005A319E" w:rsidRDefault="005A319E" w:rsidP="005A319E">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5A319E">
              <w:rPr>
                <w:rFonts w:ascii="Times New Roman" w:eastAsia="Times New Roman" w:hAnsi="Times New Roman" w:cs="Times New Roman"/>
                <w:color w:val="000000"/>
                <w:kern w:val="0"/>
                <w:sz w:val="16"/>
                <w:szCs w:val="16"/>
                <w:lang w:eastAsia="en-IN"/>
                <w14:ligatures w14:val="none"/>
              </w:rPr>
              <w:t>8.63</w:t>
            </w:r>
          </w:p>
        </w:tc>
        <w:tc>
          <w:tcPr>
            <w:tcW w:w="865" w:type="dxa"/>
            <w:tcBorders>
              <w:top w:val="nil"/>
              <w:left w:val="nil"/>
              <w:bottom w:val="single" w:sz="4" w:space="0" w:color="auto"/>
              <w:right w:val="single" w:sz="4" w:space="0" w:color="auto"/>
            </w:tcBorders>
            <w:noWrap/>
            <w:vAlign w:val="center"/>
            <w:hideMark/>
          </w:tcPr>
          <w:p w14:paraId="7F6D8564" w14:textId="77777777" w:rsidR="005A319E" w:rsidRPr="005A319E" w:rsidRDefault="005A319E" w:rsidP="005A319E">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5A319E">
              <w:rPr>
                <w:rFonts w:ascii="Times New Roman" w:eastAsia="Times New Roman" w:hAnsi="Times New Roman" w:cs="Times New Roman"/>
                <w:color w:val="000000"/>
                <w:kern w:val="0"/>
                <w:sz w:val="16"/>
                <w:szCs w:val="16"/>
                <w:lang w:eastAsia="en-IN"/>
                <w14:ligatures w14:val="none"/>
              </w:rPr>
              <w:t>1.73</w:t>
            </w:r>
          </w:p>
        </w:tc>
        <w:tc>
          <w:tcPr>
            <w:tcW w:w="581" w:type="dxa"/>
            <w:tcBorders>
              <w:top w:val="nil"/>
              <w:left w:val="nil"/>
              <w:bottom w:val="single" w:sz="4" w:space="0" w:color="auto"/>
              <w:right w:val="single" w:sz="4" w:space="0" w:color="auto"/>
            </w:tcBorders>
            <w:noWrap/>
            <w:vAlign w:val="center"/>
            <w:hideMark/>
          </w:tcPr>
          <w:p w14:paraId="27A3534D" w14:textId="77777777" w:rsidR="005A319E" w:rsidRPr="005A319E" w:rsidRDefault="005A319E" w:rsidP="005A319E">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5A319E">
              <w:rPr>
                <w:rFonts w:ascii="Times New Roman" w:eastAsia="Times New Roman" w:hAnsi="Times New Roman" w:cs="Times New Roman"/>
                <w:color w:val="000000"/>
                <w:kern w:val="0"/>
                <w:sz w:val="16"/>
                <w:szCs w:val="16"/>
                <w:lang w:eastAsia="en-IN"/>
                <w14:ligatures w14:val="none"/>
              </w:rPr>
              <w:t>10.36</w:t>
            </w:r>
          </w:p>
        </w:tc>
      </w:tr>
      <w:tr w:rsidR="005A319E" w:rsidRPr="005A319E" w14:paraId="6EA0CA92" w14:textId="77777777" w:rsidTr="00D67840">
        <w:trPr>
          <w:trHeight w:val="22"/>
          <w:jc w:val="center"/>
        </w:trPr>
        <w:tc>
          <w:tcPr>
            <w:tcW w:w="1842" w:type="dxa"/>
            <w:tcBorders>
              <w:top w:val="nil"/>
              <w:left w:val="single" w:sz="4" w:space="0" w:color="auto"/>
              <w:bottom w:val="single" w:sz="4" w:space="0" w:color="auto"/>
              <w:right w:val="single" w:sz="4" w:space="0" w:color="auto"/>
            </w:tcBorders>
            <w:noWrap/>
            <w:vAlign w:val="center"/>
            <w:hideMark/>
          </w:tcPr>
          <w:p w14:paraId="30EFAE3D" w14:textId="77777777" w:rsidR="005A319E" w:rsidRPr="005A319E" w:rsidRDefault="005A319E" w:rsidP="005A319E">
            <w:pPr>
              <w:spacing w:after="0" w:line="240" w:lineRule="auto"/>
              <w:rPr>
                <w:rFonts w:ascii="Times New Roman" w:eastAsia="Times New Roman" w:hAnsi="Times New Roman" w:cs="Times New Roman"/>
                <w:color w:val="000000"/>
                <w:kern w:val="0"/>
                <w:sz w:val="16"/>
                <w:szCs w:val="16"/>
                <w:lang w:eastAsia="en-IN"/>
                <w14:ligatures w14:val="none"/>
              </w:rPr>
            </w:pPr>
            <w:r w:rsidRPr="005A319E">
              <w:rPr>
                <w:rFonts w:ascii="Times New Roman" w:eastAsia="Times New Roman" w:hAnsi="Times New Roman" w:cs="Times New Roman"/>
                <w:color w:val="000000"/>
                <w:kern w:val="0"/>
                <w:sz w:val="16"/>
                <w:szCs w:val="16"/>
                <w:lang w:eastAsia="en-IN"/>
                <w14:ligatures w14:val="none"/>
              </w:rPr>
              <w:t>(e) Kanpur</w:t>
            </w:r>
          </w:p>
        </w:tc>
        <w:tc>
          <w:tcPr>
            <w:tcW w:w="851" w:type="dxa"/>
            <w:tcBorders>
              <w:top w:val="nil"/>
              <w:left w:val="nil"/>
              <w:bottom w:val="single" w:sz="4" w:space="0" w:color="auto"/>
              <w:right w:val="single" w:sz="4" w:space="0" w:color="auto"/>
            </w:tcBorders>
            <w:noWrap/>
            <w:vAlign w:val="center"/>
            <w:hideMark/>
          </w:tcPr>
          <w:p w14:paraId="75FC1EDE" w14:textId="77777777" w:rsidR="005A319E" w:rsidRPr="005A319E" w:rsidRDefault="005A319E" w:rsidP="005A319E">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5A319E">
              <w:rPr>
                <w:rFonts w:ascii="Times New Roman" w:eastAsia="Times New Roman" w:hAnsi="Times New Roman" w:cs="Times New Roman"/>
                <w:color w:val="000000"/>
                <w:kern w:val="0"/>
                <w:sz w:val="16"/>
                <w:szCs w:val="16"/>
                <w:lang w:eastAsia="en-IN"/>
                <w14:ligatures w14:val="none"/>
              </w:rPr>
              <w:t>12.50</w:t>
            </w:r>
          </w:p>
        </w:tc>
        <w:tc>
          <w:tcPr>
            <w:tcW w:w="992" w:type="dxa"/>
            <w:tcBorders>
              <w:top w:val="nil"/>
              <w:left w:val="nil"/>
              <w:bottom w:val="single" w:sz="4" w:space="0" w:color="auto"/>
              <w:right w:val="single" w:sz="4" w:space="0" w:color="auto"/>
            </w:tcBorders>
            <w:noWrap/>
            <w:vAlign w:val="center"/>
            <w:hideMark/>
          </w:tcPr>
          <w:p w14:paraId="64391A24" w14:textId="77777777" w:rsidR="005A319E" w:rsidRPr="005A319E" w:rsidRDefault="005A319E" w:rsidP="005A319E">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5A319E">
              <w:rPr>
                <w:rFonts w:ascii="Times New Roman" w:eastAsia="Times New Roman" w:hAnsi="Times New Roman" w:cs="Times New Roman"/>
                <w:color w:val="000000"/>
                <w:kern w:val="0"/>
                <w:sz w:val="16"/>
                <w:szCs w:val="16"/>
                <w:lang w:eastAsia="en-IN"/>
                <w14:ligatures w14:val="none"/>
              </w:rPr>
              <w:t>..</w:t>
            </w:r>
          </w:p>
        </w:tc>
        <w:tc>
          <w:tcPr>
            <w:tcW w:w="581" w:type="dxa"/>
            <w:tcBorders>
              <w:top w:val="nil"/>
              <w:left w:val="nil"/>
              <w:bottom w:val="single" w:sz="4" w:space="0" w:color="auto"/>
              <w:right w:val="single" w:sz="4" w:space="0" w:color="auto"/>
            </w:tcBorders>
            <w:noWrap/>
            <w:vAlign w:val="center"/>
            <w:hideMark/>
          </w:tcPr>
          <w:p w14:paraId="7DACBBB4" w14:textId="77777777" w:rsidR="005A319E" w:rsidRPr="005A319E" w:rsidRDefault="005A319E" w:rsidP="005A319E">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5A319E">
              <w:rPr>
                <w:rFonts w:ascii="Times New Roman" w:eastAsia="Times New Roman" w:hAnsi="Times New Roman" w:cs="Times New Roman"/>
                <w:color w:val="000000"/>
                <w:kern w:val="0"/>
                <w:sz w:val="16"/>
                <w:szCs w:val="16"/>
                <w:lang w:eastAsia="en-IN"/>
                <w14:ligatures w14:val="none"/>
              </w:rPr>
              <w:t>12.50</w:t>
            </w:r>
          </w:p>
        </w:tc>
        <w:tc>
          <w:tcPr>
            <w:tcW w:w="992" w:type="dxa"/>
            <w:tcBorders>
              <w:top w:val="nil"/>
              <w:left w:val="nil"/>
              <w:bottom w:val="single" w:sz="4" w:space="0" w:color="auto"/>
              <w:right w:val="single" w:sz="4" w:space="0" w:color="auto"/>
            </w:tcBorders>
            <w:noWrap/>
            <w:vAlign w:val="center"/>
            <w:hideMark/>
          </w:tcPr>
          <w:p w14:paraId="66A9E66B" w14:textId="77777777" w:rsidR="005A319E" w:rsidRPr="005A319E" w:rsidRDefault="005A319E" w:rsidP="005A319E">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5A319E">
              <w:rPr>
                <w:rFonts w:ascii="Times New Roman" w:eastAsia="Times New Roman" w:hAnsi="Times New Roman" w:cs="Times New Roman"/>
                <w:color w:val="000000"/>
                <w:kern w:val="0"/>
                <w:sz w:val="16"/>
                <w:szCs w:val="16"/>
                <w:lang w:eastAsia="en-IN"/>
                <w14:ligatures w14:val="none"/>
              </w:rPr>
              <w:t>12.50</w:t>
            </w:r>
          </w:p>
        </w:tc>
        <w:tc>
          <w:tcPr>
            <w:tcW w:w="865" w:type="dxa"/>
            <w:tcBorders>
              <w:top w:val="nil"/>
              <w:left w:val="nil"/>
              <w:bottom w:val="single" w:sz="4" w:space="0" w:color="auto"/>
              <w:right w:val="single" w:sz="4" w:space="0" w:color="auto"/>
            </w:tcBorders>
            <w:noWrap/>
            <w:vAlign w:val="center"/>
            <w:hideMark/>
          </w:tcPr>
          <w:p w14:paraId="1EF984CB" w14:textId="77777777" w:rsidR="005A319E" w:rsidRPr="005A319E" w:rsidRDefault="005A319E" w:rsidP="005A319E">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5A319E">
              <w:rPr>
                <w:rFonts w:ascii="Times New Roman" w:eastAsia="Times New Roman" w:hAnsi="Times New Roman" w:cs="Times New Roman"/>
                <w:color w:val="000000"/>
                <w:kern w:val="0"/>
                <w:sz w:val="16"/>
                <w:szCs w:val="16"/>
                <w:lang w:eastAsia="en-IN"/>
                <w14:ligatures w14:val="none"/>
              </w:rPr>
              <w:t>2.50</w:t>
            </w:r>
          </w:p>
        </w:tc>
        <w:tc>
          <w:tcPr>
            <w:tcW w:w="709" w:type="dxa"/>
            <w:tcBorders>
              <w:top w:val="nil"/>
              <w:left w:val="nil"/>
              <w:bottom w:val="single" w:sz="4" w:space="0" w:color="auto"/>
              <w:right w:val="single" w:sz="4" w:space="0" w:color="auto"/>
            </w:tcBorders>
            <w:noWrap/>
            <w:vAlign w:val="center"/>
            <w:hideMark/>
          </w:tcPr>
          <w:p w14:paraId="65682521" w14:textId="77777777" w:rsidR="005A319E" w:rsidRPr="005A319E" w:rsidRDefault="005A319E" w:rsidP="005A319E">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5A319E">
              <w:rPr>
                <w:rFonts w:ascii="Times New Roman" w:eastAsia="Times New Roman" w:hAnsi="Times New Roman" w:cs="Times New Roman"/>
                <w:color w:val="000000"/>
                <w:kern w:val="0"/>
                <w:sz w:val="16"/>
                <w:szCs w:val="16"/>
                <w:lang w:eastAsia="en-IN"/>
                <w14:ligatures w14:val="none"/>
              </w:rPr>
              <w:t>15.00</w:t>
            </w:r>
          </w:p>
        </w:tc>
        <w:tc>
          <w:tcPr>
            <w:tcW w:w="708" w:type="dxa"/>
            <w:tcBorders>
              <w:top w:val="nil"/>
              <w:left w:val="nil"/>
              <w:bottom w:val="single" w:sz="4" w:space="0" w:color="auto"/>
              <w:right w:val="single" w:sz="4" w:space="0" w:color="auto"/>
            </w:tcBorders>
            <w:noWrap/>
            <w:vAlign w:val="center"/>
            <w:hideMark/>
          </w:tcPr>
          <w:p w14:paraId="67654478" w14:textId="77777777" w:rsidR="005A319E" w:rsidRPr="005A319E" w:rsidRDefault="005A319E" w:rsidP="005A319E">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5A319E">
              <w:rPr>
                <w:rFonts w:ascii="Times New Roman" w:eastAsia="Times New Roman" w:hAnsi="Times New Roman" w:cs="Times New Roman"/>
                <w:color w:val="000000"/>
                <w:kern w:val="0"/>
                <w:sz w:val="16"/>
                <w:szCs w:val="16"/>
                <w:lang w:eastAsia="en-IN"/>
                <w14:ligatures w14:val="none"/>
              </w:rPr>
              <w:t>12.50</w:t>
            </w:r>
          </w:p>
        </w:tc>
        <w:tc>
          <w:tcPr>
            <w:tcW w:w="865" w:type="dxa"/>
            <w:tcBorders>
              <w:top w:val="nil"/>
              <w:left w:val="nil"/>
              <w:bottom w:val="single" w:sz="4" w:space="0" w:color="auto"/>
              <w:right w:val="single" w:sz="4" w:space="0" w:color="auto"/>
            </w:tcBorders>
            <w:noWrap/>
            <w:vAlign w:val="center"/>
            <w:hideMark/>
          </w:tcPr>
          <w:p w14:paraId="3300957F" w14:textId="77777777" w:rsidR="005A319E" w:rsidRPr="005A319E" w:rsidRDefault="005A319E" w:rsidP="005A319E">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5A319E">
              <w:rPr>
                <w:rFonts w:ascii="Times New Roman" w:eastAsia="Times New Roman" w:hAnsi="Times New Roman" w:cs="Times New Roman"/>
                <w:color w:val="000000"/>
                <w:kern w:val="0"/>
                <w:sz w:val="16"/>
                <w:szCs w:val="16"/>
                <w:lang w:eastAsia="en-IN"/>
                <w14:ligatures w14:val="none"/>
              </w:rPr>
              <w:t>2.50</w:t>
            </w:r>
          </w:p>
        </w:tc>
        <w:tc>
          <w:tcPr>
            <w:tcW w:w="581" w:type="dxa"/>
            <w:tcBorders>
              <w:top w:val="nil"/>
              <w:left w:val="nil"/>
              <w:bottom w:val="single" w:sz="4" w:space="0" w:color="auto"/>
              <w:right w:val="single" w:sz="4" w:space="0" w:color="auto"/>
            </w:tcBorders>
            <w:noWrap/>
            <w:vAlign w:val="center"/>
            <w:hideMark/>
          </w:tcPr>
          <w:p w14:paraId="3874042D" w14:textId="77777777" w:rsidR="005A319E" w:rsidRPr="005A319E" w:rsidRDefault="005A319E" w:rsidP="005A319E">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5A319E">
              <w:rPr>
                <w:rFonts w:ascii="Times New Roman" w:eastAsia="Times New Roman" w:hAnsi="Times New Roman" w:cs="Times New Roman"/>
                <w:color w:val="000000"/>
                <w:kern w:val="0"/>
                <w:sz w:val="16"/>
                <w:szCs w:val="16"/>
                <w:lang w:eastAsia="en-IN"/>
                <w14:ligatures w14:val="none"/>
              </w:rPr>
              <w:t>15.00</w:t>
            </w:r>
          </w:p>
        </w:tc>
        <w:tc>
          <w:tcPr>
            <w:tcW w:w="1004" w:type="dxa"/>
            <w:tcBorders>
              <w:top w:val="nil"/>
              <w:left w:val="nil"/>
              <w:bottom w:val="single" w:sz="4" w:space="0" w:color="auto"/>
              <w:right w:val="single" w:sz="4" w:space="0" w:color="auto"/>
            </w:tcBorders>
            <w:noWrap/>
            <w:vAlign w:val="center"/>
            <w:hideMark/>
          </w:tcPr>
          <w:p w14:paraId="55D1006C" w14:textId="77777777" w:rsidR="005A319E" w:rsidRPr="005A319E" w:rsidRDefault="005A319E" w:rsidP="005A319E">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5A319E">
              <w:rPr>
                <w:rFonts w:ascii="Times New Roman" w:eastAsia="Times New Roman" w:hAnsi="Times New Roman" w:cs="Times New Roman"/>
                <w:color w:val="000000"/>
                <w:kern w:val="0"/>
                <w:sz w:val="16"/>
                <w:szCs w:val="16"/>
                <w:lang w:eastAsia="en-IN"/>
                <w14:ligatures w14:val="none"/>
              </w:rPr>
              <w:t>11.03</w:t>
            </w:r>
          </w:p>
        </w:tc>
        <w:tc>
          <w:tcPr>
            <w:tcW w:w="865" w:type="dxa"/>
            <w:tcBorders>
              <w:top w:val="nil"/>
              <w:left w:val="nil"/>
              <w:bottom w:val="single" w:sz="4" w:space="0" w:color="auto"/>
              <w:right w:val="single" w:sz="4" w:space="0" w:color="auto"/>
            </w:tcBorders>
            <w:noWrap/>
            <w:vAlign w:val="center"/>
            <w:hideMark/>
          </w:tcPr>
          <w:p w14:paraId="4E0A136A" w14:textId="77777777" w:rsidR="005A319E" w:rsidRPr="005A319E" w:rsidRDefault="005A319E" w:rsidP="005A319E">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5A319E">
              <w:rPr>
                <w:rFonts w:ascii="Times New Roman" w:eastAsia="Times New Roman" w:hAnsi="Times New Roman" w:cs="Times New Roman"/>
                <w:color w:val="000000"/>
                <w:kern w:val="0"/>
                <w:sz w:val="16"/>
                <w:szCs w:val="16"/>
                <w:lang w:eastAsia="en-IN"/>
                <w14:ligatures w14:val="none"/>
              </w:rPr>
              <w:t>2.21</w:t>
            </w:r>
          </w:p>
        </w:tc>
        <w:tc>
          <w:tcPr>
            <w:tcW w:w="995" w:type="dxa"/>
            <w:tcBorders>
              <w:top w:val="nil"/>
              <w:left w:val="nil"/>
              <w:bottom w:val="single" w:sz="4" w:space="0" w:color="auto"/>
              <w:right w:val="single" w:sz="4" w:space="0" w:color="auto"/>
            </w:tcBorders>
            <w:noWrap/>
            <w:vAlign w:val="center"/>
            <w:hideMark/>
          </w:tcPr>
          <w:p w14:paraId="73979DB9" w14:textId="77777777" w:rsidR="005A319E" w:rsidRPr="005A319E" w:rsidRDefault="005A319E" w:rsidP="005A319E">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5A319E">
              <w:rPr>
                <w:rFonts w:ascii="Times New Roman" w:eastAsia="Times New Roman" w:hAnsi="Times New Roman" w:cs="Times New Roman"/>
                <w:color w:val="000000"/>
                <w:kern w:val="0"/>
                <w:sz w:val="16"/>
                <w:szCs w:val="16"/>
                <w:lang w:eastAsia="en-IN"/>
                <w14:ligatures w14:val="none"/>
              </w:rPr>
              <w:t>13.24</w:t>
            </w:r>
          </w:p>
        </w:tc>
        <w:tc>
          <w:tcPr>
            <w:tcW w:w="916" w:type="dxa"/>
            <w:tcBorders>
              <w:top w:val="nil"/>
              <w:left w:val="nil"/>
              <w:bottom w:val="single" w:sz="4" w:space="0" w:color="auto"/>
              <w:right w:val="single" w:sz="4" w:space="0" w:color="auto"/>
            </w:tcBorders>
            <w:noWrap/>
            <w:vAlign w:val="center"/>
            <w:hideMark/>
          </w:tcPr>
          <w:p w14:paraId="1A8AC8B5" w14:textId="77777777" w:rsidR="005A319E" w:rsidRPr="005A319E" w:rsidRDefault="005A319E" w:rsidP="005A319E">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5A319E">
              <w:rPr>
                <w:rFonts w:ascii="Times New Roman" w:eastAsia="Times New Roman" w:hAnsi="Times New Roman" w:cs="Times New Roman"/>
                <w:color w:val="000000"/>
                <w:kern w:val="0"/>
                <w:sz w:val="16"/>
                <w:szCs w:val="16"/>
                <w:lang w:eastAsia="en-IN"/>
                <w14:ligatures w14:val="none"/>
              </w:rPr>
              <w:t>10.14</w:t>
            </w:r>
          </w:p>
        </w:tc>
        <w:tc>
          <w:tcPr>
            <w:tcW w:w="865" w:type="dxa"/>
            <w:tcBorders>
              <w:top w:val="nil"/>
              <w:left w:val="nil"/>
              <w:bottom w:val="single" w:sz="4" w:space="0" w:color="auto"/>
              <w:right w:val="single" w:sz="4" w:space="0" w:color="auto"/>
            </w:tcBorders>
            <w:noWrap/>
            <w:vAlign w:val="center"/>
            <w:hideMark/>
          </w:tcPr>
          <w:p w14:paraId="59427D07" w14:textId="77777777" w:rsidR="005A319E" w:rsidRPr="005A319E" w:rsidRDefault="005A319E" w:rsidP="005A319E">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5A319E">
              <w:rPr>
                <w:rFonts w:ascii="Times New Roman" w:eastAsia="Times New Roman" w:hAnsi="Times New Roman" w:cs="Times New Roman"/>
                <w:color w:val="000000"/>
                <w:kern w:val="0"/>
                <w:sz w:val="16"/>
                <w:szCs w:val="16"/>
                <w:lang w:eastAsia="en-IN"/>
                <w14:ligatures w14:val="none"/>
              </w:rPr>
              <w:t>2.03</w:t>
            </w:r>
          </w:p>
        </w:tc>
        <w:tc>
          <w:tcPr>
            <w:tcW w:w="581" w:type="dxa"/>
            <w:tcBorders>
              <w:top w:val="nil"/>
              <w:left w:val="nil"/>
              <w:bottom w:val="single" w:sz="4" w:space="0" w:color="auto"/>
              <w:right w:val="single" w:sz="4" w:space="0" w:color="auto"/>
            </w:tcBorders>
            <w:noWrap/>
            <w:vAlign w:val="center"/>
            <w:hideMark/>
          </w:tcPr>
          <w:p w14:paraId="66C35500" w14:textId="77777777" w:rsidR="005A319E" w:rsidRPr="005A319E" w:rsidRDefault="005A319E" w:rsidP="005A319E">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5A319E">
              <w:rPr>
                <w:rFonts w:ascii="Times New Roman" w:eastAsia="Times New Roman" w:hAnsi="Times New Roman" w:cs="Times New Roman"/>
                <w:color w:val="000000"/>
                <w:kern w:val="0"/>
                <w:sz w:val="16"/>
                <w:szCs w:val="16"/>
                <w:lang w:eastAsia="en-IN"/>
                <w14:ligatures w14:val="none"/>
              </w:rPr>
              <w:t>12.17</w:t>
            </w:r>
          </w:p>
        </w:tc>
      </w:tr>
      <w:tr w:rsidR="005A319E" w:rsidRPr="005A319E" w14:paraId="43DA0E56" w14:textId="77777777" w:rsidTr="00D67840">
        <w:trPr>
          <w:trHeight w:val="22"/>
          <w:jc w:val="center"/>
        </w:trPr>
        <w:tc>
          <w:tcPr>
            <w:tcW w:w="1842" w:type="dxa"/>
            <w:tcBorders>
              <w:top w:val="nil"/>
              <w:left w:val="single" w:sz="4" w:space="0" w:color="auto"/>
              <w:bottom w:val="single" w:sz="4" w:space="0" w:color="auto"/>
              <w:right w:val="single" w:sz="4" w:space="0" w:color="auto"/>
            </w:tcBorders>
            <w:noWrap/>
            <w:vAlign w:val="center"/>
            <w:hideMark/>
          </w:tcPr>
          <w:p w14:paraId="2988409F" w14:textId="77777777" w:rsidR="005A319E" w:rsidRPr="005A319E" w:rsidRDefault="005A319E" w:rsidP="005A319E">
            <w:pPr>
              <w:spacing w:after="0" w:line="240" w:lineRule="auto"/>
              <w:rPr>
                <w:rFonts w:ascii="Times New Roman" w:eastAsia="Times New Roman" w:hAnsi="Times New Roman" w:cs="Times New Roman"/>
                <w:color w:val="000000"/>
                <w:kern w:val="0"/>
                <w:sz w:val="16"/>
                <w:szCs w:val="16"/>
                <w:lang w:eastAsia="en-IN"/>
                <w14:ligatures w14:val="none"/>
              </w:rPr>
            </w:pPr>
            <w:r w:rsidRPr="005A319E">
              <w:rPr>
                <w:rFonts w:ascii="Times New Roman" w:eastAsia="Times New Roman" w:hAnsi="Times New Roman" w:cs="Times New Roman"/>
                <w:color w:val="000000"/>
                <w:kern w:val="0"/>
                <w:sz w:val="16"/>
                <w:szCs w:val="16"/>
                <w:lang w:eastAsia="en-IN"/>
                <w14:ligatures w14:val="none"/>
              </w:rPr>
              <w:t>(f) Diesel</w:t>
            </w:r>
          </w:p>
        </w:tc>
        <w:tc>
          <w:tcPr>
            <w:tcW w:w="851" w:type="dxa"/>
            <w:tcBorders>
              <w:top w:val="nil"/>
              <w:left w:val="nil"/>
              <w:bottom w:val="single" w:sz="4" w:space="0" w:color="auto"/>
              <w:right w:val="single" w:sz="4" w:space="0" w:color="auto"/>
            </w:tcBorders>
            <w:noWrap/>
            <w:vAlign w:val="center"/>
            <w:hideMark/>
          </w:tcPr>
          <w:p w14:paraId="6B23D7B8" w14:textId="77777777" w:rsidR="005A319E" w:rsidRPr="005A319E" w:rsidRDefault="005A319E" w:rsidP="005A319E">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5A319E">
              <w:rPr>
                <w:rFonts w:ascii="Times New Roman" w:eastAsia="Times New Roman" w:hAnsi="Times New Roman" w:cs="Times New Roman"/>
                <w:color w:val="000000"/>
                <w:kern w:val="0"/>
                <w:sz w:val="16"/>
                <w:szCs w:val="16"/>
                <w:lang w:eastAsia="en-IN"/>
                <w14:ligatures w14:val="none"/>
              </w:rPr>
              <w:t>25.00</w:t>
            </w:r>
          </w:p>
        </w:tc>
        <w:tc>
          <w:tcPr>
            <w:tcW w:w="992" w:type="dxa"/>
            <w:tcBorders>
              <w:top w:val="nil"/>
              <w:left w:val="nil"/>
              <w:bottom w:val="single" w:sz="4" w:space="0" w:color="auto"/>
              <w:right w:val="single" w:sz="4" w:space="0" w:color="auto"/>
            </w:tcBorders>
            <w:noWrap/>
            <w:vAlign w:val="center"/>
            <w:hideMark/>
          </w:tcPr>
          <w:p w14:paraId="5917A461" w14:textId="77777777" w:rsidR="005A319E" w:rsidRPr="005A319E" w:rsidRDefault="005A319E" w:rsidP="005A319E">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5A319E">
              <w:rPr>
                <w:rFonts w:ascii="Times New Roman" w:eastAsia="Times New Roman" w:hAnsi="Times New Roman" w:cs="Times New Roman"/>
                <w:color w:val="000000"/>
                <w:kern w:val="0"/>
                <w:sz w:val="16"/>
                <w:szCs w:val="16"/>
                <w:lang w:eastAsia="en-IN"/>
                <w14:ligatures w14:val="none"/>
              </w:rPr>
              <w:t>..</w:t>
            </w:r>
          </w:p>
        </w:tc>
        <w:tc>
          <w:tcPr>
            <w:tcW w:w="581" w:type="dxa"/>
            <w:tcBorders>
              <w:top w:val="nil"/>
              <w:left w:val="nil"/>
              <w:bottom w:val="single" w:sz="4" w:space="0" w:color="auto"/>
              <w:right w:val="single" w:sz="4" w:space="0" w:color="auto"/>
            </w:tcBorders>
            <w:noWrap/>
            <w:vAlign w:val="center"/>
            <w:hideMark/>
          </w:tcPr>
          <w:p w14:paraId="7B0A04DC" w14:textId="77777777" w:rsidR="005A319E" w:rsidRPr="005A319E" w:rsidRDefault="005A319E" w:rsidP="005A319E">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5A319E">
              <w:rPr>
                <w:rFonts w:ascii="Times New Roman" w:eastAsia="Times New Roman" w:hAnsi="Times New Roman" w:cs="Times New Roman"/>
                <w:color w:val="000000"/>
                <w:kern w:val="0"/>
                <w:sz w:val="16"/>
                <w:szCs w:val="16"/>
                <w:lang w:eastAsia="en-IN"/>
                <w14:ligatures w14:val="none"/>
              </w:rPr>
              <w:t>25.00</w:t>
            </w:r>
          </w:p>
        </w:tc>
        <w:tc>
          <w:tcPr>
            <w:tcW w:w="992" w:type="dxa"/>
            <w:tcBorders>
              <w:top w:val="nil"/>
              <w:left w:val="nil"/>
              <w:bottom w:val="single" w:sz="4" w:space="0" w:color="auto"/>
              <w:right w:val="single" w:sz="4" w:space="0" w:color="auto"/>
            </w:tcBorders>
            <w:noWrap/>
            <w:vAlign w:val="center"/>
            <w:hideMark/>
          </w:tcPr>
          <w:p w14:paraId="4A697424" w14:textId="77777777" w:rsidR="005A319E" w:rsidRPr="005A319E" w:rsidRDefault="005A319E" w:rsidP="005A319E">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5A319E">
              <w:rPr>
                <w:rFonts w:ascii="Times New Roman" w:eastAsia="Times New Roman" w:hAnsi="Times New Roman" w:cs="Times New Roman"/>
                <w:color w:val="000000"/>
                <w:kern w:val="0"/>
                <w:sz w:val="16"/>
                <w:szCs w:val="16"/>
                <w:lang w:eastAsia="en-IN"/>
                <w14:ligatures w14:val="none"/>
              </w:rPr>
              <w:t>30.00</w:t>
            </w:r>
          </w:p>
        </w:tc>
        <w:tc>
          <w:tcPr>
            <w:tcW w:w="865" w:type="dxa"/>
            <w:tcBorders>
              <w:top w:val="nil"/>
              <w:left w:val="nil"/>
              <w:bottom w:val="single" w:sz="4" w:space="0" w:color="auto"/>
              <w:right w:val="single" w:sz="4" w:space="0" w:color="auto"/>
            </w:tcBorders>
            <w:noWrap/>
            <w:vAlign w:val="center"/>
            <w:hideMark/>
          </w:tcPr>
          <w:p w14:paraId="4A996B9C" w14:textId="77777777" w:rsidR="005A319E" w:rsidRPr="005A319E" w:rsidRDefault="005A319E" w:rsidP="005A319E">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5A319E">
              <w:rPr>
                <w:rFonts w:ascii="Times New Roman" w:eastAsia="Times New Roman" w:hAnsi="Times New Roman" w:cs="Times New Roman"/>
                <w:color w:val="000000"/>
                <w:kern w:val="0"/>
                <w:sz w:val="16"/>
                <w:szCs w:val="16"/>
                <w:lang w:eastAsia="en-IN"/>
                <w14:ligatures w14:val="none"/>
              </w:rPr>
              <w:t>6.00</w:t>
            </w:r>
          </w:p>
        </w:tc>
        <w:tc>
          <w:tcPr>
            <w:tcW w:w="709" w:type="dxa"/>
            <w:tcBorders>
              <w:top w:val="nil"/>
              <w:left w:val="nil"/>
              <w:bottom w:val="single" w:sz="4" w:space="0" w:color="auto"/>
              <w:right w:val="single" w:sz="4" w:space="0" w:color="auto"/>
            </w:tcBorders>
            <w:noWrap/>
            <w:vAlign w:val="center"/>
            <w:hideMark/>
          </w:tcPr>
          <w:p w14:paraId="7AC2140A" w14:textId="77777777" w:rsidR="005A319E" w:rsidRPr="005A319E" w:rsidRDefault="005A319E" w:rsidP="005A319E">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5A319E">
              <w:rPr>
                <w:rFonts w:ascii="Times New Roman" w:eastAsia="Times New Roman" w:hAnsi="Times New Roman" w:cs="Times New Roman"/>
                <w:color w:val="000000"/>
                <w:kern w:val="0"/>
                <w:sz w:val="16"/>
                <w:szCs w:val="16"/>
                <w:lang w:eastAsia="en-IN"/>
                <w14:ligatures w14:val="none"/>
              </w:rPr>
              <w:t>36.00</w:t>
            </w:r>
          </w:p>
        </w:tc>
        <w:tc>
          <w:tcPr>
            <w:tcW w:w="708" w:type="dxa"/>
            <w:tcBorders>
              <w:top w:val="nil"/>
              <w:left w:val="nil"/>
              <w:bottom w:val="single" w:sz="4" w:space="0" w:color="auto"/>
              <w:right w:val="single" w:sz="4" w:space="0" w:color="auto"/>
            </w:tcBorders>
            <w:noWrap/>
            <w:vAlign w:val="center"/>
            <w:hideMark/>
          </w:tcPr>
          <w:p w14:paraId="0287B1B5" w14:textId="77777777" w:rsidR="005A319E" w:rsidRPr="005A319E" w:rsidRDefault="005A319E" w:rsidP="005A319E">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5A319E">
              <w:rPr>
                <w:rFonts w:ascii="Times New Roman" w:eastAsia="Times New Roman" w:hAnsi="Times New Roman" w:cs="Times New Roman"/>
                <w:color w:val="000000"/>
                <w:kern w:val="0"/>
                <w:sz w:val="16"/>
                <w:szCs w:val="16"/>
                <w:lang w:eastAsia="en-IN"/>
                <w14:ligatures w14:val="none"/>
              </w:rPr>
              <w:t>30.00</w:t>
            </w:r>
          </w:p>
        </w:tc>
        <w:tc>
          <w:tcPr>
            <w:tcW w:w="865" w:type="dxa"/>
            <w:tcBorders>
              <w:top w:val="nil"/>
              <w:left w:val="nil"/>
              <w:bottom w:val="single" w:sz="4" w:space="0" w:color="auto"/>
              <w:right w:val="single" w:sz="4" w:space="0" w:color="auto"/>
            </w:tcBorders>
            <w:noWrap/>
            <w:vAlign w:val="center"/>
            <w:hideMark/>
          </w:tcPr>
          <w:p w14:paraId="2AB919CA" w14:textId="77777777" w:rsidR="005A319E" w:rsidRPr="005A319E" w:rsidRDefault="005A319E" w:rsidP="005A319E">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5A319E">
              <w:rPr>
                <w:rFonts w:ascii="Times New Roman" w:eastAsia="Times New Roman" w:hAnsi="Times New Roman" w:cs="Times New Roman"/>
                <w:color w:val="000000"/>
                <w:kern w:val="0"/>
                <w:sz w:val="16"/>
                <w:szCs w:val="16"/>
                <w:lang w:eastAsia="en-IN"/>
                <w14:ligatures w14:val="none"/>
              </w:rPr>
              <w:t>6.00</w:t>
            </w:r>
          </w:p>
        </w:tc>
        <w:tc>
          <w:tcPr>
            <w:tcW w:w="581" w:type="dxa"/>
            <w:tcBorders>
              <w:top w:val="nil"/>
              <w:left w:val="nil"/>
              <w:bottom w:val="single" w:sz="4" w:space="0" w:color="auto"/>
              <w:right w:val="single" w:sz="4" w:space="0" w:color="auto"/>
            </w:tcBorders>
            <w:noWrap/>
            <w:vAlign w:val="center"/>
            <w:hideMark/>
          </w:tcPr>
          <w:p w14:paraId="1A1F143C" w14:textId="77777777" w:rsidR="005A319E" w:rsidRPr="005A319E" w:rsidRDefault="005A319E" w:rsidP="005A319E">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5A319E">
              <w:rPr>
                <w:rFonts w:ascii="Times New Roman" w:eastAsia="Times New Roman" w:hAnsi="Times New Roman" w:cs="Times New Roman"/>
                <w:color w:val="000000"/>
                <w:kern w:val="0"/>
                <w:sz w:val="16"/>
                <w:szCs w:val="16"/>
                <w:lang w:eastAsia="en-IN"/>
                <w14:ligatures w14:val="none"/>
              </w:rPr>
              <w:t>36.00</w:t>
            </w:r>
          </w:p>
        </w:tc>
        <w:tc>
          <w:tcPr>
            <w:tcW w:w="1004" w:type="dxa"/>
            <w:tcBorders>
              <w:top w:val="nil"/>
              <w:left w:val="nil"/>
              <w:bottom w:val="single" w:sz="4" w:space="0" w:color="auto"/>
              <w:right w:val="single" w:sz="4" w:space="0" w:color="auto"/>
            </w:tcBorders>
            <w:noWrap/>
            <w:vAlign w:val="center"/>
            <w:hideMark/>
          </w:tcPr>
          <w:p w14:paraId="3557EE9B" w14:textId="77777777" w:rsidR="005A319E" w:rsidRPr="005A319E" w:rsidRDefault="005A319E" w:rsidP="005A319E">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5A319E">
              <w:rPr>
                <w:rFonts w:ascii="Times New Roman" w:eastAsia="Times New Roman" w:hAnsi="Times New Roman" w:cs="Times New Roman"/>
                <w:color w:val="000000"/>
                <w:kern w:val="0"/>
                <w:sz w:val="16"/>
                <w:szCs w:val="16"/>
                <w:lang w:eastAsia="en-IN"/>
                <w14:ligatures w14:val="none"/>
              </w:rPr>
              <w:t>..</w:t>
            </w:r>
          </w:p>
        </w:tc>
        <w:tc>
          <w:tcPr>
            <w:tcW w:w="865" w:type="dxa"/>
            <w:tcBorders>
              <w:top w:val="nil"/>
              <w:left w:val="nil"/>
              <w:bottom w:val="single" w:sz="4" w:space="0" w:color="auto"/>
              <w:right w:val="single" w:sz="4" w:space="0" w:color="auto"/>
            </w:tcBorders>
            <w:noWrap/>
            <w:vAlign w:val="center"/>
            <w:hideMark/>
          </w:tcPr>
          <w:p w14:paraId="09697B9D" w14:textId="77777777" w:rsidR="005A319E" w:rsidRPr="005A319E" w:rsidRDefault="005A319E" w:rsidP="005A319E">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5A319E">
              <w:rPr>
                <w:rFonts w:ascii="Times New Roman" w:eastAsia="Times New Roman" w:hAnsi="Times New Roman" w:cs="Times New Roman"/>
                <w:color w:val="000000"/>
                <w:kern w:val="0"/>
                <w:sz w:val="16"/>
                <w:szCs w:val="16"/>
                <w:lang w:eastAsia="en-IN"/>
                <w14:ligatures w14:val="none"/>
              </w:rPr>
              <w:t>-</w:t>
            </w:r>
          </w:p>
        </w:tc>
        <w:tc>
          <w:tcPr>
            <w:tcW w:w="995" w:type="dxa"/>
            <w:tcBorders>
              <w:top w:val="nil"/>
              <w:left w:val="nil"/>
              <w:bottom w:val="single" w:sz="4" w:space="0" w:color="auto"/>
              <w:right w:val="single" w:sz="4" w:space="0" w:color="auto"/>
            </w:tcBorders>
            <w:noWrap/>
            <w:vAlign w:val="center"/>
            <w:hideMark/>
          </w:tcPr>
          <w:p w14:paraId="2EB7FE91" w14:textId="77777777" w:rsidR="005A319E" w:rsidRPr="005A319E" w:rsidRDefault="005A319E" w:rsidP="005A319E">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5A319E">
              <w:rPr>
                <w:rFonts w:ascii="Times New Roman" w:eastAsia="Times New Roman" w:hAnsi="Times New Roman" w:cs="Times New Roman"/>
                <w:color w:val="000000"/>
                <w:kern w:val="0"/>
                <w:sz w:val="16"/>
                <w:szCs w:val="16"/>
                <w:lang w:eastAsia="en-IN"/>
                <w14:ligatures w14:val="none"/>
              </w:rPr>
              <w:t>-</w:t>
            </w:r>
          </w:p>
        </w:tc>
        <w:tc>
          <w:tcPr>
            <w:tcW w:w="916" w:type="dxa"/>
            <w:tcBorders>
              <w:top w:val="nil"/>
              <w:left w:val="nil"/>
              <w:bottom w:val="single" w:sz="4" w:space="0" w:color="auto"/>
              <w:right w:val="single" w:sz="4" w:space="0" w:color="auto"/>
            </w:tcBorders>
            <w:noWrap/>
            <w:vAlign w:val="center"/>
            <w:hideMark/>
          </w:tcPr>
          <w:p w14:paraId="63ADD3EB" w14:textId="77777777" w:rsidR="005A319E" w:rsidRPr="005A319E" w:rsidRDefault="005A319E" w:rsidP="005A319E">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5A319E">
              <w:rPr>
                <w:rFonts w:ascii="Times New Roman" w:eastAsia="Times New Roman" w:hAnsi="Times New Roman" w:cs="Times New Roman"/>
                <w:color w:val="000000"/>
                <w:kern w:val="0"/>
                <w:sz w:val="16"/>
                <w:szCs w:val="16"/>
                <w:lang w:eastAsia="en-IN"/>
                <w14:ligatures w14:val="none"/>
              </w:rPr>
              <w:t>-</w:t>
            </w:r>
          </w:p>
        </w:tc>
        <w:tc>
          <w:tcPr>
            <w:tcW w:w="865" w:type="dxa"/>
            <w:tcBorders>
              <w:top w:val="nil"/>
              <w:left w:val="nil"/>
              <w:bottom w:val="single" w:sz="4" w:space="0" w:color="auto"/>
              <w:right w:val="single" w:sz="4" w:space="0" w:color="auto"/>
            </w:tcBorders>
            <w:noWrap/>
            <w:vAlign w:val="center"/>
            <w:hideMark/>
          </w:tcPr>
          <w:p w14:paraId="1EA7D702" w14:textId="77777777" w:rsidR="005A319E" w:rsidRPr="005A319E" w:rsidRDefault="005A319E" w:rsidP="005A319E">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5A319E">
              <w:rPr>
                <w:rFonts w:ascii="Times New Roman" w:eastAsia="Times New Roman" w:hAnsi="Times New Roman" w:cs="Times New Roman"/>
                <w:color w:val="000000"/>
                <w:kern w:val="0"/>
                <w:sz w:val="16"/>
                <w:szCs w:val="16"/>
                <w:lang w:eastAsia="en-IN"/>
                <w14:ligatures w14:val="none"/>
              </w:rPr>
              <w:t>-</w:t>
            </w:r>
          </w:p>
        </w:tc>
        <w:tc>
          <w:tcPr>
            <w:tcW w:w="581" w:type="dxa"/>
            <w:tcBorders>
              <w:top w:val="nil"/>
              <w:left w:val="nil"/>
              <w:bottom w:val="single" w:sz="4" w:space="0" w:color="auto"/>
              <w:right w:val="single" w:sz="4" w:space="0" w:color="auto"/>
            </w:tcBorders>
            <w:noWrap/>
            <w:vAlign w:val="center"/>
            <w:hideMark/>
          </w:tcPr>
          <w:p w14:paraId="27F02C23" w14:textId="77777777" w:rsidR="005A319E" w:rsidRPr="005A319E" w:rsidRDefault="005A319E" w:rsidP="005A319E">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5A319E">
              <w:rPr>
                <w:rFonts w:ascii="Times New Roman" w:eastAsia="Times New Roman" w:hAnsi="Times New Roman" w:cs="Times New Roman"/>
                <w:color w:val="000000"/>
                <w:kern w:val="0"/>
                <w:sz w:val="16"/>
                <w:szCs w:val="16"/>
                <w:lang w:eastAsia="en-IN"/>
                <w14:ligatures w14:val="none"/>
              </w:rPr>
              <w:t>-</w:t>
            </w:r>
          </w:p>
        </w:tc>
      </w:tr>
      <w:tr w:rsidR="005A319E" w:rsidRPr="005A319E" w14:paraId="1E7FA674" w14:textId="77777777" w:rsidTr="00D67840">
        <w:trPr>
          <w:trHeight w:val="22"/>
          <w:jc w:val="center"/>
        </w:trPr>
        <w:tc>
          <w:tcPr>
            <w:tcW w:w="1842" w:type="dxa"/>
            <w:tcBorders>
              <w:top w:val="nil"/>
              <w:left w:val="single" w:sz="4" w:space="0" w:color="auto"/>
              <w:bottom w:val="single" w:sz="4" w:space="0" w:color="auto"/>
              <w:right w:val="single" w:sz="4" w:space="0" w:color="auto"/>
            </w:tcBorders>
            <w:noWrap/>
            <w:vAlign w:val="center"/>
            <w:hideMark/>
          </w:tcPr>
          <w:p w14:paraId="1F64C7FE" w14:textId="77777777" w:rsidR="005A319E" w:rsidRPr="005A319E" w:rsidRDefault="005A319E" w:rsidP="005A319E">
            <w:pPr>
              <w:spacing w:after="0" w:line="240" w:lineRule="auto"/>
              <w:rPr>
                <w:rFonts w:ascii="Times New Roman" w:eastAsia="Times New Roman" w:hAnsi="Times New Roman" w:cs="Times New Roman"/>
                <w:color w:val="000000"/>
                <w:kern w:val="0"/>
                <w:sz w:val="16"/>
                <w:szCs w:val="16"/>
                <w:lang w:eastAsia="en-IN"/>
                <w14:ligatures w14:val="none"/>
              </w:rPr>
            </w:pPr>
            <w:r w:rsidRPr="005A319E">
              <w:rPr>
                <w:rFonts w:ascii="Times New Roman" w:eastAsia="Times New Roman" w:hAnsi="Times New Roman" w:cs="Times New Roman"/>
                <w:color w:val="000000"/>
                <w:kern w:val="0"/>
                <w:sz w:val="16"/>
                <w:szCs w:val="16"/>
                <w:lang w:eastAsia="en-IN"/>
                <w14:ligatures w14:val="none"/>
              </w:rPr>
              <w:t>17. West Bengal</w:t>
            </w:r>
          </w:p>
        </w:tc>
        <w:tc>
          <w:tcPr>
            <w:tcW w:w="851" w:type="dxa"/>
            <w:tcBorders>
              <w:top w:val="nil"/>
              <w:left w:val="nil"/>
              <w:bottom w:val="single" w:sz="4" w:space="0" w:color="auto"/>
              <w:right w:val="single" w:sz="4" w:space="0" w:color="auto"/>
            </w:tcBorders>
            <w:noWrap/>
            <w:vAlign w:val="center"/>
            <w:hideMark/>
          </w:tcPr>
          <w:p w14:paraId="78593170" w14:textId="77777777" w:rsidR="005A319E" w:rsidRPr="005A319E" w:rsidRDefault="005A319E" w:rsidP="005A319E">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5A319E">
              <w:rPr>
                <w:rFonts w:ascii="Times New Roman" w:eastAsia="Times New Roman" w:hAnsi="Times New Roman" w:cs="Times New Roman"/>
                <w:color w:val="000000"/>
                <w:kern w:val="0"/>
                <w:sz w:val="16"/>
                <w:szCs w:val="16"/>
                <w:lang w:eastAsia="en-IN"/>
                <w14:ligatures w14:val="none"/>
              </w:rPr>
              <w:t>12.00</w:t>
            </w:r>
          </w:p>
        </w:tc>
        <w:tc>
          <w:tcPr>
            <w:tcW w:w="992" w:type="dxa"/>
            <w:tcBorders>
              <w:top w:val="nil"/>
              <w:left w:val="nil"/>
              <w:bottom w:val="single" w:sz="4" w:space="0" w:color="auto"/>
              <w:right w:val="single" w:sz="4" w:space="0" w:color="auto"/>
            </w:tcBorders>
            <w:noWrap/>
            <w:vAlign w:val="center"/>
            <w:hideMark/>
          </w:tcPr>
          <w:p w14:paraId="10CA918C" w14:textId="77777777" w:rsidR="005A319E" w:rsidRPr="005A319E" w:rsidRDefault="005A319E" w:rsidP="005A319E">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5A319E">
              <w:rPr>
                <w:rFonts w:ascii="Times New Roman" w:eastAsia="Times New Roman" w:hAnsi="Times New Roman" w:cs="Times New Roman"/>
                <w:color w:val="000000"/>
                <w:kern w:val="0"/>
                <w:sz w:val="16"/>
                <w:szCs w:val="16"/>
                <w:lang w:eastAsia="en-IN"/>
                <w14:ligatures w14:val="none"/>
              </w:rPr>
              <w:t>1.00</w:t>
            </w:r>
          </w:p>
        </w:tc>
        <w:tc>
          <w:tcPr>
            <w:tcW w:w="581" w:type="dxa"/>
            <w:tcBorders>
              <w:top w:val="nil"/>
              <w:left w:val="nil"/>
              <w:bottom w:val="single" w:sz="4" w:space="0" w:color="auto"/>
              <w:right w:val="single" w:sz="4" w:space="0" w:color="auto"/>
            </w:tcBorders>
            <w:noWrap/>
            <w:vAlign w:val="center"/>
            <w:hideMark/>
          </w:tcPr>
          <w:p w14:paraId="463E6513" w14:textId="77777777" w:rsidR="005A319E" w:rsidRPr="005A319E" w:rsidRDefault="005A319E" w:rsidP="005A319E">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5A319E">
              <w:rPr>
                <w:rFonts w:ascii="Times New Roman" w:eastAsia="Times New Roman" w:hAnsi="Times New Roman" w:cs="Times New Roman"/>
                <w:color w:val="000000"/>
                <w:kern w:val="0"/>
                <w:sz w:val="16"/>
                <w:szCs w:val="16"/>
                <w:lang w:eastAsia="en-IN"/>
                <w14:ligatures w14:val="none"/>
              </w:rPr>
              <w:t>13.00</w:t>
            </w:r>
          </w:p>
        </w:tc>
        <w:tc>
          <w:tcPr>
            <w:tcW w:w="992" w:type="dxa"/>
            <w:tcBorders>
              <w:top w:val="nil"/>
              <w:left w:val="nil"/>
              <w:bottom w:val="single" w:sz="4" w:space="0" w:color="auto"/>
              <w:right w:val="single" w:sz="4" w:space="0" w:color="auto"/>
            </w:tcBorders>
            <w:noWrap/>
            <w:vAlign w:val="center"/>
            <w:hideMark/>
          </w:tcPr>
          <w:p w14:paraId="62B8731A" w14:textId="77777777" w:rsidR="005A319E" w:rsidRPr="005A319E" w:rsidRDefault="005A319E" w:rsidP="005A319E">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5A319E">
              <w:rPr>
                <w:rFonts w:ascii="Times New Roman" w:eastAsia="Times New Roman" w:hAnsi="Times New Roman" w:cs="Times New Roman"/>
                <w:color w:val="000000"/>
                <w:kern w:val="0"/>
                <w:sz w:val="16"/>
                <w:szCs w:val="16"/>
                <w:lang w:eastAsia="en-IN"/>
                <w14:ligatures w14:val="none"/>
              </w:rPr>
              <w:t>18.00</w:t>
            </w:r>
          </w:p>
        </w:tc>
        <w:tc>
          <w:tcPr>
            <w:tcW w:w="865" w:type="dxa"/>
            <w:tcBorders>
              <w:top w:val="nil"/>
              <w:left w:val="nil"/>
              <w:bottom w:val="single" w:sz="4" w:space="0" w:color="auto"/>
              <w:right w:val="single" w:sz="4" w:space="0" w:color="auto"/>
            </w:tcBorders>
            <w:noWrap/>
            <w:vAlign w:val="center"/>
            <w:hideMark/>
          </w:tcPr>
          <w:p w14:paraId="5924872F" w14:textId="77777777" w:rsidR="005A319E" w:rsidRPr="005A319E" w:rsidRDefault="005A319E" w:rsidP="005A319E">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5A319E">
              <w:rPr>
                <w:rFonts w:ascii="Times New Roman" w:eastAsia="Times New Roman" w:hAnsi="Times New Roman" w:cs="Times New Roman"/>
                <w:color w:val="000000"/>
                <w:kern w:val="0"/>
                <w:sz w:val="16"/>
                <w:szCs w:val="16"/>
                <w:lang w:eastAsia="en-IN"/>
                <w14:ligatures w14:val="none"/>
              </w:rPr>
              <w:t>1.50</w:t>
            </w:r>
          </w:p>
        </w:tc>
        <w:tc>
          <w:tcPr>
            <w:tcW w:w="709" w:type="dxa"/>
            <w:tcBorders>
              <w:top w:val="nil"/>
              <w:left w:val="nil"/>
              <w:bottom w:val="single" w:sz="4" w:space="0" w:color="auto"/>
              <w:right w:val="single" w:sz="4" w:space="0" w:color="auto"/>
            </w:tcBorders>
            <w:noWrap/>
            <w:vAlign w:val="center"/>
            <w:hideMark/>
          </w:tcPr>
          <w:p w14:paraId="6962EEA3" w14:textId="77777777" w:rsidR="005A319E" w:rsidRPr="005A319E" w:rsidRDefault="005A319E" w:rsidP="005A319E">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5A319E">
              <w:rPr>
                <w:rFonts w:ascii="Times New Roman" w:eastAsia="Times New Roman" w:hAnsi="Times New Roman" w:cs="Times New Roman"/>
                <w:color w:val="000000"/>
                <w:kern w:val="0"/>
                <w:sz w:val="16"/>
                <w:szCs w:val="16"/>
                <w:lang w:eastAsia="en-IN"/>
                <w14:ligatures w14:val="none"/>
              </w:rPr>
              <w:t>19.50</w:t>
            </w:r>
          </w:p>
        </w:tc>
        <w:tc>
          <w:tcPr>
            <w:tcW w:w="708" w:type="dxa"/>
            <w:tcBorders>
              <w:top w:val="nil"/>
              <w:left w:val="nil"/>
              <w:bottom w:val="single" w:sz="4" w:space="0" w:color="auto"/>
              <w:right w:val="single" w:sz="4" w:space="0" w:color="auto"/>
            </w:tcBorders>
            <w:noWrap/>
            <w:vAlign w:val="center"/>
            <w:hideMark/>
          </w:tcPr>
          <w:p w14:paraId="1369D7E2" w14:textId="77777777" w:rsidR="005A319E" w:rsidRPr="005A319E" w:rsidRDefault="005A319E" w:rsidP="005A319E">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5A319E">
              <w:rPr>
                <w:rFonts w:ascii="Times New Roman" w:eastAsia="Times New Roman" w:hAnsi="Times New Roman" w:cs="Times New Roman"/>
                <w:color w:val="000000"/>
                <w:kern w:val="0"/>
                <w:sz w:val="16"/>
                <w:szCs w:val="16"/>
                <w:lang w:eastAsia="en-IN"/>
                <w14:ligatures w14:val="none"/>
              </w:rPr>
              <w:t>16.30</w:t>
            </w:r>
          </w:p>
        </w:tc>
        <w:tc>
          <w:tcPr>
            <w:tcW w:w="865" w:type="dxa"/>
            <w:tcBorders>
              <w:top w:val="nil"/>
              <w:left w:val="nil"/>
              <w:bottom w:val="single" w:sz="4" w:space="0" w:color="auto"/>
              <w:right w:val="single" w:sz="4" w:space="0" w:color="auto"/>
            </w:tcBorders>
            <w:noWrap/>
            <w:vAlign w:val="center"/>
            <w:hideMark/>
          </w:tcPr>
          <w:p w14:paraId="5E8BA575" w14:textId="77777777" w:rsidR="005A319E" w:rsidRPr="005A319E" w:rsidRDefault="005A319E" w:rsidP="005A319E">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5A319E">
              <w:rPr>
                <w:rFonts w:ascii="Times New Roman" w:eastAsia="Times New Roman" w:hAnsi="Times New Roman" w:cs="Times New Roman"/>
                <w:color w:val="000000"/>
                <w:kern w:val="0"/>
                <w:sz w:val="16"/>
                <w:szCs w:val="16"/>
                <w:lang w:eastAsia="en-IN"/>
                <w14:ligatures w14:val="none"/>
              </w:rPr>
              <w:t>1.50</w:t>
            </w:r>
          </w:p>
        </w:tc>
        <w:tc>
          <w:tcPr>
            <w:tcW w:w="581" w:type="dxa"/>
            <w:tcBorders>
              <w:top w:val="nil"/>
              <w:left w:val="nil"/>
              <w:bottom w:val="single" w:sz="4" w:space="0" w:color="auto"/>
              <w:right w:val="single" w:sz="4" w:space="0" w:color="auto"/>
            </w:tcBorders>
            <w:noWrap/>
            <w:vAlign w:val="center"/>
            <w:hideMark/>
          </w:tcPr>
          <w:p w14:paraId="2E5767BA" w14:textId="77777777" w:rsidR="005A319E" w:rsidRPr="005A319E" w:rsidRDefault="005A319E" w:rsidP="005A319E">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5A319E">
              <w:rPr>
                <w:rFonts w:ascii="Times New Roman" w:eastAsia="Times New Roman" w:hAnsi="Times New Roman" w:cs="Times New Roman"/>
                <w:color w:val="000000"/>
                <w:kern w:val="0"/>
                <w:sz w:val="16"/>
                <w:szCs w:val="16"/>
                <w:lang w:eastAsia="en-IN"/>
                <w14:ligatures w14:val="none"/>
              </w:rPr>
              <w:t>17.80</w:t>
            </w:r>
          </w:p>
        </w:tc>
        <w:tc>
          <w:tcPr>
            <w:tcW w:w="1004" w:type="dxa"/>
            <w:tcBorders>
              <w:top w:val="nil"/>
              <w:left w:val="nil"/>
              <w:bottom w:val="single" w:sz="4" w:space="0" w:color="auto"/>
              <w:right w:val="single" w:sz="4" w:space="0" w:color="auto"/>
            </w:tcBorders>
            <w:noWrap/>
            <w:vAlign w:val="center"/>
            <w:hideMark/>
          </w:tcPr>
          <w:p w14:paraId="6A330576" w14:textId="77777777" w:rsidR="005A319E" w:rsidRPr="005A319E" w:rsidRDefault="005A319E" w:rsidP="005A319E">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5A319E">
              <w:rPr>
                <w:rFonts w:ascii="Times New Roman" w:eastAsia="Times New Roman" w:hAnsi="Times New Roman" w:cs="Times New Roman"/>
                <w:color w:val="000000"/>
                <w:kern w:val="0"/>
                <w:sz w:val="16"/>
                <w:szCs w:val="16"/>
                <w:lang w:eastAsia="en-IN"/>
                <w14:ligatures w14:val="none"/>
              </w:rPr>
              <w:t>12.90*</w:t>
            </w:r>
          </w:p>
        </w:tc>
        <w:tc>
          <w:tcPr>
            <w:tcW w:w="865" w:type="dxa"/>
            <w:tcBorders>
              <w:top w:val="nil"/>
              <w:left w:val="nil"/>
              <w:bottom w:val="single" w:sz="4" w:space="0" w:color="auto"/>
              <w:right w:val="single" w:sz="4" w:space="0" w:color="auto"/>
            </w:tcBorders>
            <w:noWrap/>
            <w:vAlign w:val="center"/>
            <w:hideMark/>
          </w:tcPr>
          <w:p w14:paraId="4265773A" w14:textId="77777777" w:rsidR="005A319E" w:rsidRPr="005A319E" w:rsidRDefault="005A319E" w:rsidP="005A319E">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5A319E">
              <w:rPr>
                <w:rFonts w:ascii="Times New Roman" w:eastAsia="Times New Roman" w:hAnsi="Times New Roman" w:cs="Times New Roman"/>
                <w:color w:val="000000"/>
                <w:kern w:val="0"/>
                <w:sz w:val="16"/>
                <w:szCs w:val="16"/>
                <w:lang w:eastAsia="en-IN"/>
                <w14:ligatures w14:val="none"/>
              </w:rPr>
              <w:t>1.50</w:t>
            </w:r>
          </w:p>
        </w:tc>
        <w:tc>
          <w:tcPr>
            <w:tcW w:w="995" w:type="dxa"/>
            <w:tcBorders>
              <w:top w:val="nil"/>
              <w:left w:val="nil"/>
              <w:bottom w:val="single" w:sz="4" w:space="0" w:color="auto"/>
              <w:right w:val="single" w:sz="4" w:space="0" w:color="auto"/>
            </w:tcBorders>
            <w:noWrap/>
            <w:vAlign w:val="center"/>
            <w:hideMark/>
          </w:tcPr>
          <w:p w14:paraId="499BD379" w14:textId="77777777" w:rsidR="005A319E" w:rsidRPr="005A319E" w:rsidRDefault="005A319E" w:rsidP="005A319E">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5A319E">
              <w:rPr>
                <w:rFonts w:ascii="Times New Roman" w:eastAsia="Times New Roman" w:hAnsi="Times New Roman" w:cs="Times New Roman"/>
                <w:color w:val="000000"/>
                <w:kern w:val="0"/>
                <w:sz w:val="16"/>
                <w:szCs w:val="16"/>
                <w:lang w:eastAsia="en-IN"/>
                <w14:ligatures w14:val="none"/>
              </w:rPr>
              <w:t>11.40</w:t>
            </w:r>
          </w:p>
        </w:tc>
        <w:tc>
          <w:tcPr>
            <w:tcW w:w="916" w:type="dxa"/>
            <w:tcBorders>
              <w:top w:val="nil"/>
              <w:left w:val="nil"/>
              <w:bottom w:val="single" w:sz="4" w:space="0" w:color="auto"/>
              <w:right w:val="single" w:sz="4" w:space="0" w:color="auto"/>
            </w:tcBorders>
            <w:noWrap/>
            <w:vAlign w:val="center"/>
            <w:hideMark/>
          </w:tcPr>
          <w:p w14:paraId="7A0C95E8" w14:textId="77777777" w:rsidR="005A319E" w:rsidRPr="005A319E" w:rsidRDefault="005A319E" w:rsidP="005A319E">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5A319E">
              <w:rPr>
                <w:rFonts w:ascii="Times New Roman" w:eastAsia="Times New Roman" w:hAnsi="Times New Roman" w:cs="Times New Roman"/>
                <w:color w:val="000000"/>
                <w:kern w:val="0"/>
                <w:sz w:val="16"/>
                <w:szCs w:val="16"/>
                <w:lang w:eastAsia="en-IN"/>
                <w14:ligatures w14:val="none"/>
              </w:rPr>
              <w:t>11.93*</w:t>
            </w:r>
          </w:p>
        </w:tc>
        <w:tc>
          <w:tcPr>
            <w:tcW w:w="865" w:type="dxa"/>
            <w:tcBorders>
              <w:top w:val="nil"/>
              <w:left w:val="nil"/>
              <w:bottom w:val="single" w:sz="4" w:space="0" w:color="auto"/>
              <w:right w:val="single" w:sz="4" w:space="0" w:color="auto"/>
            </w:tcBorders>
            <w:noWrap/>
            <w:vAlign w:val="center"/>
            <w:hideMark/>
          </w:tcPr>
          <w:p w14:paraId="4FDFD406" w14:textId="77777777" w:rsidR="005A319E" w:rsidRPr="005A319E" w:rsidRDefault="005A319E" w:rsidP="005A319E">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5A319E">
              <w:rPr>
                <w:rFonts w:ascii="Times New Roman" w:eastAsia="Times New Roman" w:hAnsi="Times New Roman" w:cs="Times New Roman"/>
                <w:color w:val="000000"/>
                <w:kern w:val="0"/>
                <w:sz w:val="16"/>
                <w:szCs w:val="16"/>
                <w:lang w:eastAsia="en-IN"/>
                <w14:ligatures w14:val="none"/>
              </w:rPr>
              <w:t>1.50</w:t>
            </w:r>
          </w:p>
        </w:tc>
        <w:tc>
          <w:tcPr>
            <w:tcW w:w="581" w:type="dxa"/>
            <w:tcBorders>
              <w:top w:val="nil"/>
              <w:left w:val="nil"/>
              <w:bottom w:val="single" w:sz="4" w:space="0" w:color="auto"/>
              <w:right w:val="single" w:sz="4" w:space="0" w:color="auto"/>
            </w:tcBorders>
            <w:noWrap/>
            <w:vAlign w:val="center"/>
            <w:hideMark/>
          </w:tcPr>
          <w:p w14:paraId="58D5D600" w14:textId="77777777" w:rsidR="005A319E" w:rsidRPr="005A319E" w:rsidRDefault="005A319E" w:rsidP="005A319E">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5A319E">
              <w:rPr>
                <w:rFonts w:ascii="Times New Roman" w:eastAsia="Times New Roman" w:hAnsi="Times New Roman" w:cs="Times New Roman"/>
                <w:color w:val="000000"/>
                <w:kern w:val="0"/>
                <w:sz w:val="16"/>
                <w:szCs w:val="16"/>
                <w:lang w:eastAsia="en-IN"/>
                <w14:ligatures w14:val="none"/>
              </w:rPr>
              <w:t>13.43</w:t>
            </w:r>
          </w:p>
        </w:tc>
      </w:tr>
    </w:tbl>
    <w:p w14:paraId="1338A415" w14:textId="77777777" w:rsidR="005A319E" w:rsidRDefault="005A319E" w:rsidP="005A319E"/>
    <w:p w14:paraId="0D0E8812" w14:textId="77777777" w:rsidR="005A319E" w:rsidRDefault="005A319E" w:rsidP="005A319E"/>
    <w:p w14:paraId="2C9DD57A" w14:textId="08208736" w:rsidR="00DE7403" w:rsidRPr="007245B0" w:rsidRDefault="00DE7403" w:rsidP="00DE7403">
      <w:pPr>
        <w:tabs>
          <w:tab w:val="left" w:pos="2108"/>
        </w:tabs>
        <w:rPr>
          <w:rFonts w:ascii="Times New Roman" w:hAnsi="Times New Roman" w:cs="Times New Roman"/>
        </w:rPr>
        <w:sectPr w:rsidR="00DE7403" w:rsidRPr="007245B0" w:rsidSect="00787C93">
          <w:pgSz w:w="15840" w:h="12240" w:orient="landscape"/>
          <w:pgMar w:top="1440" w:right="992" w:bottom="142" w:left="1440" w:header="720" w:footer="720" w:gutter="0"/>
          <w:cols w:space="720"/>
        </w:sectPr>
      </w:pPr>
    </w:p>
    <w:p w14:paraId="685434E2" w14:textId="77777777" w:rsidR="00A8668B" w:rsidRDefault="00574BCE" w:rsidP="00D67840">
      <w:pPr>
        <w:pStyle w:val="Heading4"/>
        <w:rPr>
          <w:rStyle w:val="Heading4Char"/>
          <w:b/>
          <w:bCs/>
        </w:rPr>
      </w:pPr>
      <w:bookmarkStart w:id="100" w:name="_Toc220949704"/>
      <w:bookmarkStart w:id="101" w:name="_Toc221114303"/>
      <w:bookmarkStart w:id="102" w:name="_Toc221115326"/>
      <w:r>
        <w:rPr>
          <w:rStyle w:val="Heading4Char"/>
          <w:b/>
          <w:bCs/>
        </w:rPr>
        <w:lastRenderedPageBreak/>
        <w:t>Table</w:t>
      </w:r>
      <w:r w:rsidR="00712DC0" w:rsidRPr="00787C93">
        <w:rPr>
          <w:rStyle w:val="Heading4Char"/>
          <w:b/>
          <w:bCs/>
        </w:rPr>
        <w:t xml:space="preserve"> 23: Water rates for Rice, Wheat and Sugarcane</w:t>
      </w:r>
      <w:bookmarkEnd w:id="101"/>
      <w:bookmarkEnd w:id="102"/>
      <w:r w:rsidR="00712DC0" w:rsidRPr="00787C93">
        <w:rPr>
          <w:rStyle w:val="Heading4Char"/>
          <w:b/>
          <w:bCs/>
        </w:rPr>
        <w:t xml:space="preserve"> </w:t>
      </w:r>
    </w:p>
    <w:p w14:paraId="2346D7CE" w14:textId="104CAB4C" w:rsidR="00787C93" w:rsidRPr="00787C93" w:rsidRDefault="00712DC0" w:rsidP="00A8668B">
      <w:pPr>
        <w:jc w:val="center"/>
        <w:rPr>
          <w:rStyle w:val="Heading4Char"/>
          <w:b w:val="0"/>
          <w:bCs w:val="0"/>
        </w:rPr>
      </w:pPr>
      <w:bookmarkStart w:id="103" w:name="_Toc221114304"/>
      <w:bookmarkStart w:id="104" w:name="_Toc221115327"/>
      <w:r w:rsidRPr="00787C93">
        <w:rPr>
          <w:rStyle w:val="Heading4Char"/>
        </w:rPr>
        <w:t>1968-69</w:t>
      </w:r>
      <w:bookmarkEnd w:id="100"/>
      <w:bookmarkEnd w:id="103"/>
      <w:bookmarkEnd w:id="104"/>
    </w:p>
    <w:p w14:paraId="5FFF4A61" w14:textId="6256494C" w:rsidR="00712DC0" w:rsidRPr="007245B0" w:rsidRDefault="00712DC0" w:rsidP="00712DC0">
      <w:pPr>
        <w:spacing w:after="0"/>
        <w:jc w:val="right"/>
        <w:rPr>
          <w:rFonts w:ascii="Times New Roman" w:hAnsi="Times New Roman" w:cs="Times New Roman"/>
          <w:i/>
          <w:iCs/>
          <w:szCs w:val="24"/>
        </w:rPr>
      </w:pPr>
      <w:r w:rsidRPr="007245B0">
        <w:rPr>
          <w:rFonts w:ascii="Times New Roman" w:hAnsi="Times New Roman" w:cs="Times New Roman"/>
          <w:i/>
          <w:iCs/>
          <w:szCs w:val="24"/>
        </w:rPr>
        <w:t>(Rs. per acre)</w:t>
      </w:r>
    </w:p>
    <w:tbl>
      <w:tblPr>
        <w:tblW w:w="10649" w:type="dxa"/>
        <w:jc w:val="center"/>
        <w:tblLook w:val="04A0" w:firstRow="1" w:lastRow="0" w:firstColumn="1" w:lastColumn="0" w:noHBand="0" w:noVBand="1"/>
      </w:tblPr>
      <w:tblGrid>
        <w:gridCol w:w="3397"/>
        <w:gridCol w:w="2444"/>
        <w:gridCol w:w="2265"/>
        <w:gridCol w:w="2543"/>
      </w:tblGrid>
      <w:tr w:rsidR="00712DC0" w:rsidRPr="00787C93" w14:paraId="7359DA2E" w14:textId="77777777" w:rsidTr="00787C93">
        <w:trPr>
          <w:trHeight w:val="338"/>
          <w:jc w:val="center"/>
        </w:trPr>
        <w:tc>
          <w:tcPr>
            <w:tcW w:w="339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FD56705" w14:textId="77777777" w:rsidR="00712DC0" w:rsidRPr="00787C93" w:rsidRDefault="00712DC0" w:rsidP="00B77C0B">
            <w:pPr>
              <w:spacing w:after="0" w:line="240" w:lineRule="auto"/>
              <w:ind w:firstLineChars="100" w:firstLine="241"/>
              <w:rPr>
                <w:rFonts w:ascii="Times New Roman" w:eastAsia="Times New Roman" w:hAnsi="Times New Roman" w:cs="Times New Roman"/>
                <w:b/>
                <w:bCs/>
                <w:color w:val="1A1C1E"/>
                <w:kern w:val="0"/>
                <w:szCs w:val="24"/>
                <w:lang w:eastAsia="en-IN"/>
                <w14:ligatures w14:val="none"/>
              </w:rPr>
            </w:pPr>
            <w:r w:rsidRPr="00787C93">
              <w:rPr>
                <w:rFonts w:ascii="Times New Roman" w:eastAsia="Times New Roman" w:hAnsi="Times New Roman" w:cs="Times New Roman"/>
                <w:b/>
                <w:bCs/>
                <w:color w:val="1A1C1E"/>
                <w:kern w:val="0"/>
                <w:szCs w:val="24"/>
                <w:lang w:eastAsia="en-IN"/>
                <w14:ligatures w14:val="none"/>
              </w:rPr>
              <w:t>States</w:t>
            </w:r>
          </w:p>
        </w:tc>
        <w:tc>
          <w:tcPr>
            <w:tcW w:w="2444" w:type="dxa"/>
            <w:tcBorders>
              <w:top w:val="single" w:sz="4" w:space="0" w:color="auto"/>
              <w:left w:val="nil"/>
              <w:bottom w:val="single" w:sz="4" w:space="0" w:color="auto"/>
              <w:right w:val="single" w:sz="4" w:space="0" w:color="auto"/>
            </w:tcBorders>
            <w:shd w:val="clear" w:color="000000" w:fill="FFFFFF"/>
            <w:vAlign w:val="center"/>
            <w:hideMark/>
          </w:tcPr>
          <w:p w14:paraId="18DE075B" w14:textId="77777777" w:rsidR="00712DC0" w:rsidRPr="00787C93" w:rsidRDefault="00712DC0" w:rsidP="00B77C0B">
            <w:pPr>
              <w:spacing w:after="0" w:line="240" w:lineRule="auto"/>
              <w:ind w:firstLineChars="100" w:firstLine="241"/>
              <w:rPr>
                <w:rFonts w:ascii="Times New Roman" w:eastAsia="Times New Roman" w:hAnsi="Times New Roman" w:cs="Times New Roman"/>
                <w:b/>
                <w:bCs/>
                <w:color w:val="1A1C1E"/>
                <w:kern w:val="0"/>
                <w:szCs w:val="24"/>
                <w:lang w:eastAsia="en-IN"/>
                <w14:ligatures w14:val="none"/>
              </w:rPr>
            </w:pPr>
            <w:r w:rsidRPr="00787C93">
              <w:rPr>
                <w:rFonts w:ascii="Times New Roman" w:eastAsia="Times New Roman" w:hAnsi="Times New Roman" w:cs="Times New Roman"/>
                <w:b/>
                <w:bCs/>
                <w:color w:val="1A1C1E"/>
                <w:kern w:val="0"/>
                <w:szCs w:val="24"/>
                <w:lang w:eastAsia="en-IN"/>
                <w14:ligatures w14:val="none"/>
              </w:rPr>
              <w:t>Rice</w:t>
            </w:r>
          </w:p>
        </w:tc>
        <w:tc>
          <w:tcPr>
            <w:tcW w:w="2265" w:type="dxa"/>
            <w:tcBorders>
              <w:top w:val="single" w:sz="4" w:space="0" w:color="auto"/>
              <w:left w:val="nil"/>
              <w:bottom w:val="single" w:sz="4" w:space="0" w:color="auto"/>
              <w:right w:val="single" w:sz="4" w:space="0" w:color="auto"/>
            </w:tcBorders>
            <w:shd w:val="clear" w:color="000000" w:fill="FFFFFF"/>
            <w:vAlign w:val="center"/>
            <w:hideMark/>
          </w:tcPr>
          <w:p w14:paraId="18CCEE0D" w14:textId="77777777" w:rsidR="00712DC0" w:rsidRPr="00787C93" w:rsidRDefault="00712DC0" w:rsidP="00B77C0B">
            <w:pPr>
              <w:spacing w:after="0" w:line="240" w:lineRule="auto"/>
              <w:ind w:firstLineChars="100" w:firstLine="241"/>
              <w:rPr>
                <w:rFonts w:ascii="Times New Roman" w:eastAsia="Times New Roman" w:hAnsi="Times New Roman" w:cs="Times New Roman"/>
                <w:b/>
                <w:bCs/>
                <w:color w:val="1A1C1E"/>
                <w:kern w:val="0"/>
                <w:szCs w:val="24"/>
                <w:lang w:eastAsia="en-IN"/>
                <w14:ligatures w14:val="none"/>
              </w:rPr>
            </w:pPr>
            <w:r w:rsidRPr="00787C93">
              <w:rPr>
                <w:rFonts w:ascii="Times New Roman" w:eastAsia="Times New Roman" w:hAnsi="Times New Roman" w:cs="Times New Roman"/>
                <w:b/>
                <w:bCs/>
                <w:color w:val="1A1C1E"/>
                <w:kern w:val="0"/>
                <w:szCs w:val="24"/>
                <w:lang w:eastAsia="en-IN"/>
                <w14:ligatures w14:val="none"/>
              </w:rPr>
              <w:t>Wheat</w:t>
            </w:r>
          </w:p>
        </w:tc>
        <w:tc>
          <w:tcPr>
            <w:tcW w:w="2543" w:type="dxa"/>
            <w:tcBorders>
              <w:top w:val="single" w:sz="4" w:space="0" w:color="auto"/>
              <w:left w:val="nil"/>
              <w:bottom w:val="single" w:sz="4" w:space="0" w:color="auto"/>
              <w:right w:val="single" w:sz="4" w:space="0" w:color="auto"/>
            </w:tcBorders>
            <w:shd w:val="clear" w:color="000000" w:fill="FFFFFF"/>
            <w:vAlign w:val="center"/>
            <w:hideMark/>
          </w:tcPr>
          <w:p w14:paraId="08D520D9" w14:textId="77777777" w:rsidR="00712DC0" w:rsidRPr="00787C93" w:rsidRDefault="00712DC0" w:rsidP="00B77C0B">
            <w:pPr>
              <w:spacing w:after="0" w:line="240" w:lineRule="auto"/>
              <w:ind w:firstLineChars="100" w:firstLine="241"/>
              <w:rPr>
                <w:rFonts w:ascii="Times New Roman" w:eastAsia="Times New Roman" w:hAnsi="Times New Roman" w:cs="Times New Roman"/>
                <w:b/>
                <w:bCs/>
                <w:color w:val="1A1C1E"/>
                <w:kern w:val="0"/>
                <w:szCs w:val="24"/>
                <w:lang w:eastAsia="en-IN"/>
                <w14:ligatures w14:val="none"/>
              </w:rPr>
            </w:pPr>
            <w:r w:rsidRPr="00787C93">
              <w:rPr>
                <w:rFonts w:ascii="Times New Roman" w:eastAsia="Times New Roman" w:hAnsi="Times New Roman" w:cs="Times New Roman"/>
                <w:b/>
                <w:bCs/>
                <w:color w:val="1A1C1E"/>
                <w:kern w:val="0"/>
                <w:szCs w:val="24"/>
                <w:lang w:eastAsia="en-IN"/>
                <w14:ligatures w14:val="none"/>
              </w:rPr>
              <w:t>Sugarcane</w:t>
            </w:r>
          </w:p>
        </w:tc>
      </w:tr>
      <w:tr w:rsidR="00712DC0" w:rsidRPr="00787C93" w14:paraId="4C63D2BF" w14:textId="77777777" w:rsidTr="00787C93">
        <w:trPr>
          <w:trHeight w:val="338"/>
          <w:jc w:val="center"/>
        </w:trPr>
        <w:tc>
          <w:tcPr>
            <w:tcW w:w="3397" w:type="dxa"/>
            <w:tcBorders>
              <w:top w:val="nil"/>
              <w:left w:val="single" w:sz="4" w:space="0" w:color="auto"/>
              <w:bottom w:val="single" w:sz="4" w:space="0" w:color="auto"/>
              <w:right w:val="single" w:sz="4" w:space="0" w:color="auto"/>
            </w:tcBorders>
            <w:shd w:val="clear" w:color="000000" w:fill="FFFFFF"/>
            <w:vAlign w:val="center"/>
            <w:hideMark/>
          </w:tcPr>
          <w:p w14:paraId="5913FD23" w14:textId="77777777" w:rsidR="00712DC0" w:rsidRPr="00787C93" w:rsidRDefault="00712DC0" w:rsidP="00B77C0B">
            <w:pPr>
              <w:spacing w:after="0" w:line="240" w:lineRule="auto"/>
              <w:jc w:val="center"/>
              <w:rPr>
                <w:rFonts w:ascii="Times New Roman" w:eastAsia="Times New Roman" w:hAnsi="Times New Roman" w:cs="Times New Roman"/>
                <w:b/>
                <w:bCs/>
                <w:color w:val="1A1C1E"/>
                <w:kern w:val="0"/>
                <w:szCs w:val="24"/>
                <w:lang w:eastAsia="en-IN"/>
                <w14:ligatures w14:val="none"/>
              </w:rPr>
            </w:pPr>
            <w:r w:rsidRPr="00787C93">
              <w:rPr>
                <w:rFonts w:ascii="Times New Roman" w:eastAsia="Times New Roman" w:hAnsi="Times New Roman" w:cs="Times New Roman"/>
                <w:b/>
                <w:bCs/>
                <w:color w:val="1A1C1E"/>
                <w:kern w:val="0"/>
                <w:szCs w:val="24"/>
                <w:lang w:eastAsia="en-IN"/>
                <w14:ligatures w14:val="none"/>
              </w:rPr>
              <w:t>1</w:t>
            </w:r>
          </w:p>
        </w:tc>
        <w:tc>
          <w:tcPr>
            <w:tcW w:w="2444" w:type="dxa"/>
            <w:tcBorders>
              <w:top w:val="nil"/>
              <w:left w:val="nil"/>
              <w:bottom w:val="single" w:sz="4" w:space="0" w:color="auto"/>
              <w:right w:val="single" w:sz="4" w:space="0" w:color="auto"/>
            </w:tcBorders>
            <w:shd w:val="clear" w:color="000000" w:fill="FFFFFF"/>
            <w:vAlign w:val="center"/>
            <w:hideMark/>
          </w:tcPr>
          <w:p w14:paraId="6EE30D3D" w14:textId="77777777" w:rsidR="00712DC0" w:rsidRPr="00787C93" w:rsidRDefault="00712DC0" w:rsidP="00B77C0B">
            <w:pPr>
              <w:spacing w:after="0" w:line="240" w:lineRule="auto"/>
              <w:jc w:val="center"/>
              <w:rPr>
                <w:rFonts w:ascii="Times New Roman" w:eastAsia="Times New Roman" w:hAnsi="Times New Roman" w:cs="Times New Roman"/>
                <w:b/>
                <w:bCs/>
                <w:color w:val="1A1C1E"/>
                <w:kern w:val="0"/>
                <w:szCs w:val="24"/>
                <w:lang w:eastAsia="en-IN"/>
                <w14:ligatures w14:val="none"/>
              </w:rPr>
            </w:pPr>
            <w:r w:rsidRPr="00787C93">
              <w:rPr>
                <w:rFonts w:ascii="Times New Roman" w:eastAsia="Times New Roman" w:hAnsi="Times New Roman" w:cs="Times New Roman"/>
                <w:b/>
                <w:bCs/>
                <w:color w:val="1A1C1E"/>
                <w:kern w:val="0"/>
                <w:szCs w:val="24"/>
                <w:lang w:eastAsia="en-IN"/>
                <w14:ligatures w14:val="none"/>
              </w:rPr>
              <w:t>2</w:t>
            </w:r>
          </w:p>
        </w:tc>
        <w:tc>
          <w:tcPr>
            <w:tcW w:w="2265" w:type="dxa"/>
            <w:tcBorders>
              <w:top w:val="nil"/>
              <w:left w:val="nil"/>
              <w:bottom w:val="single" w:sz="4" w:space="0" w:color="auto"/>
              <w:right w:val="single" w:sz="4" w:space="0" w:color="auto"/>
            </w:tcBorders>
            <w:shd w:val="clear" w:color="000000" w:fill="FFFFFF"/>
            <w:vAlign w:val="center"/>
            <w:hideMark/>
          </w:tcPr>
          <w:p w14:paraId="177FE216" w14:textId="77777777" w:rsidR="00712DC0" w:rsidRPr="00787C93" w:rsidRDefault="00712DC0" w:rsidP="00B77C0B">
            <w:pPr>
              <w:spacing w:after="0" w:line="240" w:lineRule="auto"/>
              <w:jc w:val="center"/>
              <w:rPr>
                <w:rFonts w:ascii="Times New Roman" w:eastAsia="Times New Roman" w:hAnsi="Times New Roman" w:cs="Times New Roman"/>
                <w:b/>
                <w:bCs/>
                <w:color w:val="1A1C1E"/>
                <w:kern w:val="0"/>
                <w:szCs w:val="24"/>
                <w:lang w:eastAsia="en-IN"/>
                <w14:ligatures w14:val="none"/>
              </w:rPr>
            </w:pPr>
            <w:r w:rsidRPr="00787C93">
              <w:rPr>
                <w:rFonts w:ascii="Times New Roman" w:eastAsia="Times New Roman" w:hAnsi="Times New Roman" w:cs="Times New Roman"/>
                <w:b/>
                <w:bCs/>
                <w:color w:val="1A1C1E"/>
                <w:kern w:val="0"/>
                <w:szCs w:val="24"/>
                <w:lang w:eastAsia="en-IN"/>
                <w14:ligatures w14:val="none"/>
              </w:rPr>
              <w:t>3</w:t>
            </w:r>
          </w:p>
        </w:tc>
        <w:tc>
          <w:tcPr>
            <w:tcW w:w="2543" w:type="dxa"/>
            <w:tcBorders>
              <w:top w:val="nil"/>
              <w:left w:val="nil"/>
              <w:bottom w:val="single" w:sz="4" w:space="0" w:color="auto"/>
              <w:right w:val="single" w:sz="4" w:space="0" w:color="auto"/>
            </w:tcBorders>
            <w:shd w:val="clear" w:color="000000" w:fill="FFFFFF"/>
            <w:vAlign w:val="center"/>
            <w:hideMark/>
          </w:tcPr>
          <w:p w14:paraId="20112276" w14:textId="77777777" w:rsidR="00712DC0" w:rsidRPr="00787C93" w:rsidRDefault="00712DC0" w:rsidP="00B77C0B">
            <w:pPr>
              <w:spacing w:after="0" w:line="240" w:lineRule="auto"/>
              <w:jc w:val="center"/>
              <w:rPr>
                <w:rFonts w:ascii="Times New Roman" w:eastAsia="Times New Roman" w:hAnsi="Times New Roman" w:cs="Times New Roman"/>
                <w:b/>
                <w:bCs/>
                <w:color w:val="1A1C1E"/>
                <w:kern w:val="0"/>
                <w:szCs w:val="24"/>
                <w:lang w:eastAsia="en-IN"/>
                <w14:ligatures w14:val="none"/>
              </w:rPr>
            </w:pPr>
            <w:r w:rsidRPr="00787C93">
              <w:rPr>
                <w:rFonts w:ascii="Times New Roman" w:eastAsia="Times New Roman" w:hAnsi="Times New Roman" w:cs="Times New Roman"/>
                <w:b/>
                <w:bCs/>
                <w:color w:val="1A1C1E"/>
                <w:kern w:val="0"/>
                <w:szCs w:val="24"/>
                <w:lang w:eastAsia="en-IN"/>
                <w14:ligatures w14:val="none"/>
              </w:rPr>
              <w:t>4</w:t>
            </w:r>
          </w:p>
        </w:tc>
      </w:tr>
      <w:tr w:rsidR="00712DC0" w:rsidRPr="00787C93" w14:paraId="3F44F772" w14:textId="77777777" w:rsidTr="00787C93">
        <w:trPr>
          <w:trHeight w:val="338"/>
          <w:jc w:val="center"/>
        </w:trPr>
        <w:tc>
          <w:tcPr>
            <w:tcW w:w="3397" w:type="dxa"/>
            <w:tcBorders>
              <w:top w:val="nil"/>
              <w:left w:val="single" w:sz="4" w:space="0" w:color="auto"/>
              <w:bottom w:val="single" w:sz="4" w:space="0" w:color="auto"/>
              <w:right w:val="single" w:sz="4" w:space="0" w:color="auto"/>
            </w:tcBorders>
            <w:shd w:val="clear" w:color="000000" w:fill="FFFFFF"/>
            <w:vAlign w:val="center"/>
            <w:hideMark/>
          </w:tcPr>
          <w:p w14:paraId="2C98C6F9" w14:textId="77777777" w:rsidR="00712DC0" w:rsidRPr="00787C93" w:rsidRDefault="00712DC0" w:rsidP="00B77C0B">
            <w:pPr>
              <w:spacing w:after="0" w:line="240" w:lineRule="auto"/>
              <w:ind w:firstLineChars="100" w:firstLine="240"/>
              <w:rPr>
                <w:rFonts w:ascii="Times New Roman" w:eastAsia="Times New Roman" w:hAnsi="Times New Roman" w:cs="Times New Roman"/>
                <w:color w:val="1A1C1E"/>
                <w:kern w:val="0"/>
                <w:szCs w:val="24"/>
                <w:lang w:eastAsia="en-IN"/>
                <w14:ligatures w14:val="none"/>
              </w:rPr>
            </w:pPr>
            <w:r w:rsidRPr="00787C93">
              <w:rPr>
                <w:rFonts w:ascii="Times New Roman" w:eastAsia="Times New Roman" w:hAnsi="Times New Roman" w:cs="Times New Roman"/>
                <w:color w:val="1A1C1E"/>
                <w:kern w:val="0"/>
                <w:szCs w:val="24"/>
                <w:lang w:eastAsia="en-IN"/>
                <w14:ligatures w14:val="none"/>
              </w:rPr>
              <w:t>Andhra Pradesh</w:t>
            </w:r>
          </w:p>
        </w:tc>
        <w:tc>
          <w:tcPr>
            <w:tcW w:w="2444" w:type="dxa"/>
            <w:tcBorders>
              <w:top w:val="nil"/>
              <w:left w:val="nil"/>
              <w:bottom w:val="single" w:sz="4" w:space="0" w:color="auto"/>
              <w:right w:val="single" w:sz="4" w:space="0" w:color="auto"/>
            </w:tcBorders>
            <w:shd w:val="clear" w:color="000000" w:fill="FFFFFF"/>
            <w:vAlign w:val="center"/>
            <w:hideMark/>
          </w:tcPr>
          <w:p w14:paraId="7C161346" w14:textId="77777777" w:rsidR="00712DC0" w:rsidRPr="00787C93" w:rsidRDefault="00712DC0" w:rsidP="00B77C0B">
            <w:pPr>
              <w:spacing w:after="0" w:line="240" w:lineRule="auto"/>
              <w:ind w:firstLineChars="100" w:firstLine="240"/>
              <w:rPr>
                <w:rFonts w:ascii="Times New Roman" w:eastAsia="Times New Roman" w:hAnsi="Times New Roman" w:cs="Times New Roman"/>
                <w:color w:val="1A1C1E"/>
                <w:kern w:val="0"/>
                <w:szCs w:val="24"/>
                <w:lang w:eastAsia="en-IN"/>
                <w14:ligatures w14:val="none"/>
              </w:rPr>
            </w:pPr>
            <w:r w:rsidRPr="00787C93">
              <w:rPr>
                <w:rFonts w:ascii="Times New Roman" w:eastAsia="Times New Roman" w:hAnsi="Times New Roman" w:cs="Times New Roman"/>
                <w:color w:val="1A1C1E"/>
                <w:kern w:val="0"/>
                <w:szCs w:val="24"/>
                <w:lang w:eastAsia="en-IN"/>
                <w14:ligatures w14:val="none"/>
              </w:rPr>
              <w:t>15</w:t>
            </w:r>
          </w:p>
        </w:tc>
        <w:tc>
          <w:tcPr>
            <w:tcW w:w="2265" w:type="dxa"/>
            <w:tcBorders>
              <w:top w:val="nil"/>
              <w:left w:val="nil"/>
              <w:bottom w:val="single" w:sz="4" w:space="0" w:color="auto"/>
              <w:right w:val="single" w:sz="4" w:space="0" w:color="auto"/>
            </w:tcBorders>
            <w:shd w:val="clear" w:color="000000" w:fill="FFFFFF"/>
            <w:vAlign w:val="center"/>
            <w:hideMark/>
          </w:tcPr>
          <w:p w14:paraId="75EE55F1" w14:textId="77777777" w:rsidR="00712DC0" w:rsidRPr="00787C93" w:rsidRDefault="00712DC0" w:rsidP="00B77C0B">
            <w:pPr>
              <w:spacing w:after="0" w:line="240" w:lineRule="auto"/>
              <w:ind w:firstLineChars="100" w:firstLine="240"/>
              <w:rPr>
                <w:rFonts w:ascii="Times New Roman" w:eastAsia="Times New Roman" w:hAnsi="Times New Roman" w:cs="Times New Roman"/>
                <w:color w:val="1A1C1E"/>
                <w:kern w:val="0"/>
                <w:szCs w:val="24"/>
                <w:lang w:eastAsia="en-IN"/>
                <w14:ligatures w14:val="none"/>
              </w:rPr>
            </w:pPr>
            <w:r w:rsidRPr="00787C93">
              <w:rPr>
                <w:rFonts w:ascii="Times New Roman" w:eastAsia="Times New Roman" w:hAnsi="Times New Roman" w:cs="Times New Roman"/>
                <w:color w:val="1A1C1E"/>
                <w:kern w:val="0"/>
                <w:szCs w:val="24"/>
                <w:lang w:eastAsia="en-IN"/>
                <w14:ligatures w14:val="none"/>
              </w:rPr>
              <w:t>N.A.</w:t>
            </w:r>
          </w:p>
        </w:tc>
        <w:tc>
          <w:tcPr>
            <w:tcW w:w="2543" w:type="dxa"/>
            <w:tcBorders>
              <w:top w:val="nil"/>
              <w:left w:val="nil"/>
              <w:bottom w:val="single" w:sz="4" w:space="0" w:color="auto"/>
              <w:right w:val="single" w:sz="4" w:space="0" w:color="auto"/>
            </w:tcBorders>
            <w:shd w:val="clear" w:color="000000" w:fill="FFFFFF"/>
            <w:vAlign w:val="center"/>
            <w:hideMark/>
          </w:tcPr>
          <w:p w14:paraId="536405F2" w14:textId="3281FCBF" w:rsidR="00712DC0" w:rsidRPr="00787C93" w:rsidRDefault="00712DC0" w:rsidP="00B77C0B">
            <w:pPr>
              <w:spacing w:after="0" w:line="240" w:lineRule="auto"/>
              <w:ind w:firstLineChars="100" w:firstLine="240"/>
              <w:rPr>
                <w:rFonts w:ascii="Times New Roman" w:eastAsia="Times New Roman" w:hAnsi="Times New Roman" w:cs="Times New Roman"/>
                <w:color w:val="1A1C1E"/>
                <w:kern w:val="0"/>
                <w:szCs w:val="24"/>
                <w:lang w:eastAsia="en-IN"/>
                <w14:ligatures w14:val="none"/>
              </w:rPr>
            </w:pPr>
            <w:r w:rsidRPr="00787C93">
              <w:rPr>
                <w:rFonts w:ascii="Times New Roman" w:eastAsia="Times New Roman" w:hAnsi="Times New Roman" w:cs="Times New Roman"/>
                <w:color w:val="1A1C1E"/>
                <w:kern w:val="0"/>
                <w:szCs w:val="24"/>
                <w:lang w:eastAsia="en-IN"/>
                <w14:ligatures w14:val="none"/>
              </w:rPr>
              <w:t>22.5</w:t>
            </w:r>
            <w:r w:rsidR="00FA73CC">
              <w:rPr>
                <w:rFonts w:ascii="Times New Roman" w:eastAsia="Times New Roman" w:hAnsi="Times New Roman" w:cs="Times New Roman"/>
                <w:color w:val="1A1C1E"/>
                <w:kern w:val="0"/>
                <w:szCs w:val="24"/>
                <w:lang w:eastAsia="en-IN"/>
                <w14:ligatures w14:val="none"/>
              </w:rPr>
              <w:t>0</w:t>
            </w:r>
          </w:p>
        </w:tc>
      </w:tr>
      <w:tr w:rsidR="00712DC0" w:rsidRPr="00787C93" w14:paraId="26070AD4" w14:textId="77777777" w:rsidTr="00787C93">
        <w:trPr>
          <w:trHeight w:val="338"/>
          <w:jc w:val="center"/>
        </w:trPr>
        <w:tc>
          <w:tcPr>
            <w:tcW w:w="3397" w:type="dxa"/>
            <w:tcBorders>
              <w:top w:val="nil"/>
              <w:left w:val="single" w:sz="4" w:space="0" w:color="auto"/>
              <w:bottom w:val="single" w:sz="4" w:space="0" w:color="auto"/>
              <w:right w:val="single" w:sz="4" w:space="0" w:color="auto"/>
            </w:tcBorders>
            <w:shd w:val="clear" w:color="000000" w:fill="FFFFFF"/>
            <w:vAlign w:val="center"/>
            <w:hideMark/>
          </w:tcPr>
          <w:p w14:paraId="53D5A4C8" w14:textId="77777777" w:rsidR="00712DC0" w:rsidRPr="00787C93" w:rsidRDefault="00712DC0" w:rsidP="00B77C0B">
            <w:pPr>
              <w:spacing w:after="0" w:line="240" w:lineRule="auto"/>
              <w:ind w:firstLineChars="100" w:firstLine="240"/>
              <w:rPr>
                <w:rFonts w:ascii="Times New Roman" w:eastAsia="Times New Roman" w:hAnsi="Times New Roman" w:cs="Times New Roman"/>
                <w:color w:val="1A1C1E"/>
                <w:kern w:val="0"/>
                <w:szCs w:val="24"/>
                <w:lang w:eastAsia="en-IN"/>
                <w14:ligatures w14:val="none"/>
              </w:rPr>
            </w:pPr>
            <w:r w:rsidRPr="00787C93">
              <w:rPr>
                <w:rFonts w:ascii="Times New Roman" w:eastAsia="Times New Roman" w:hAnsi="Times New Roman" w:cs="Times New Roman"/>
                <w:color w:val="1A1C1E"/>
                <w:kern w:val="0"/>
                <w:szCs w:val="24"/>
                <w:lang w:eastAsia="en-IN"/>
                <w14:ligatures w14:val="none"/>
              </w:rPr>
              <w:t>Assam</w:t>
            </w:r>
          </w:p>
        </w:tc>
        <w:tc>
          <w:tcPr>
            <w:tcW w:w="2444" w:type="dxa"/>
            <w:tcBorders>
              <w:top w:val="nil"/>
              <w:left w:val="nil"/>
              <w:bottom w:val="single" w:sz="4" w:space="0" w:color="auto"/>
              <w:right w:val="single" w:sz="4" w:space="0" w:color="auto"/>
            </w:tcBorders>
            <w:shd w:val="clear" w:color="000000" w:fill="FFFFFF"/>
            <w:vAlign w:val="center"/>
            <w:hideMark/>
          </w:tcPr>
          <w:p w14:paraId="461F7ABA" w14:textId="77777777" w:rsidR="00712DC0" w:rsidRPr="00787C93" w:rsidRDefault="00712DC0" w:rsidP="00B77C0B">
            <w:pPr>
              <w:spacing w:after="0" w:line="240" w:lineRule="auto"/>
              <w:ind w:firstLineChars="100" w:firstLine="240"/>
              <w:rPr>
                <w:rFonts w:ascii="Times New Roman" w:eastAsia="Times New Roman" w:hAnsi="Times New Roman" w:cs="Times New Roman"/>
                <w:color w:val="1A1C1E"/>
                <w:kern w:val="0"/>
                <w:szCs w:val="24"/>
                <w:lang w:eastAsia="en-IN"/>
                <w14:ligatures w14:val="none"/>
              </w:rPr>
            </w:pPr>
            <w:r w:rsidRPr="00787C93">
              <w:rPr>
                <w:rFonts w:ascii="Times New Roman" w:eastAsia="Times New Roman" w:hAnsi="Times New Roman" w:cs="Times New Roman"/>
                <w:color w:val="1A1C1E"/>
                <w:kern w:val="0"/>
                <w:szCs w:val="24"/>
                <w:lang w:eastAsia="en-IN"/>
                <w14:ligatures w14:val="none"/>
              </w:rPr>
              <w:t>N.A.</w:t>
            </w:r>
          </w:p>
        </w:tc>
        <w:tc>
          <w:tcPr>
            <w:tcW w:w="2265" w:type="dxa"/>
            <w:tcBorders>
              <w:top w:val="nil"/>
              <w:left w:val="nil"/>
              <w:bottom w:val="single" w:sz="4" w:space="0" w:color="auto"/>
              <w:right w:val="single" w:sz="4" w:space="0" w:color="auto"/>
            </w:tcBorders>
            <w:shd w:val="clear" w:color="000000" w:fill="FFFFFF"/>
            <w:vAlign w:val="center"/>
            <w:hideMark/>
          </w:tcPr>
          <w:p w14:paraId="40B404E4" w14:textId="77777777" w:rsidR="00712DC0" w:rsidRPr="00787C93" w:rsidRDefault="00712DC0" w:rsidP="00B77C0B">
            <w:pPr>
              <w:spacing w:after="0" w:line="240" w:lineRule="auto"/>
              <w:ind w:firstLineChars="100" w:firstLine="240"/>
              <w:rPr>
                <w:rFonts w:ascii="Times New Roman" w:eastAsia="Times New Roman" w:hAnsi="Times New Roman" w:cs="Times New Roman"/>
                <w:color w:val="1A1C1E"/>
                <w:kern w:val="0"/>
                <w:szCs w:val="24"/>
                <w:lang w:eastAsia="en-IN"/>
                <w14:ligatures w14:val="none"/>
              </w:rPr>
            </w:pPr>
            <w:r w:rsidRPr="00787C93">
              <w:rPr>
                <w:rFonts w:ascii="Times New Roman" w:eastAsia="Times New Roman" w:hAnsi="Times New Roman" w:cs="Times New Roman"/>
                <w:color w:val="1A1C1E"/>
                <w:kern w:val="0"/>
                <w:szCs w:val="24"/>
                <w:lang w:eastAsia="en-IN"/>
                <w14:ligatures w14:val="none"/>
              </w:rPr>
              <w:t>..</w:t>
            </w:r>
          </w:p>
        </w:tc>
        <w:tc>
          <w:tcPr>
            <w:tcW w:w="2543" w:type="dxa"/>
            <w:tcBorders>
              <w:top w:val="nil"/>
              <w:left w:val="nil"/>
              <w:bottom w:val="single" w:sz="4" w:space="0" w:color="auto"/>
              <w:right w:val="single" w:sz="4" w:space="0" w:color="auto"/>
            </w:tcBorders>
            <w:shd w:val="clear" w:color="000000" w:fill="FFFFFF"/>
            <w:vAlign w:val="center"/>
            <w:hideMark/>
          </w:tcPr>
          <w:p w14:paraId="552C7811" w14:textId="77777777" w:rsidR="00712DC0" w:rsidRPr="00787C93" w:rsidRDefault="00712DC0" w:rsidP="00B77C0B">
            <w:pPr>
              <w:spacing w:after="0" w:line="240" w:lineRule="auto"/>
              <w:ind w:firstLineChars="100" w:firstLine="240"/>
              <w:rPr>
                <w:rFonts w:ascii="Times New Roman" w:eastAsia="Times New Roman" w:hAnsi="Times New Roman" w:cs="Times New Roman"/>
                <w:color w:val="1A1C1E"/>
                <w:kern w:val="0"/>
                <w:szCs w:val="24"/>
                <w:lang w:eastAsia="en-IN"/>
                <w14:ligatures w14:val="none"/>
              </w:rPr>
            </w:pPr>
            <w:r w:rsidRPr="00787C93">
              <w:rPr>
                <w:rFonts w:ascii="Times New Roman" w:eastAsia="Times New Roman" w:hAnsi="Times New Roman" w:cs="Times New Roman"/>
                <w:color w:val="1A1C1E"/>
                <w:kern w:val="0"/>
                <w:szCs w:val="24"/>
                <w:lang w:eastAsia="en-IN"/>
                <w14:ligatures w14:val="none"/>
              </w:rPr>
              <w:t>..</w:t>
            </w:r>
          </w:p>
        </w:tc>
      </w:tr>
      <w:tr w:rsidR="00712DC0" w:rsidRPr="00787C93" w14:paraId="3B66BFB6" w14:textId="77777777" w:rsidTr="00787C93">
        <w:trPr>
          <w:trHeight w:val="338"/>
          <w:jc w:val="center"/>
        </w:trPr>
        <w:tc>
          <w:tcPr>
            <w:tcW w:w="3397" w:type="dxa"/>
            <w:tcBorders>
              <w:top w:val="nil"/>
              <w:left w:val="single" w:sz="4" w:space="0" w:color="auto"/>
              <w:bottom w:val="single" w:sz="4" w:space="0" w:color="auto"/>
              <w:right w:val="single" w:sz="4" w:space="0" w:color="auto"/>
            </w:tcBorders>
            <w:shd w:val="clear" w:color="000000" w:fill="FFFFFF"/>
            <w:vAlign w:val="center"/>
            <w:hideMark/>
          </w:tcPr>
          <w:p w14:paraId="77373B02" w14:textId="77777777" w:rsidR="00712DC0" w:rsidRPr="00787C93" w:rsidRDefault="00712DC0" w:rsidP="00B77C0B">
            <w:pPr>
              <w:spacing w:after="0" w:line="240" w:lineRule="auto"/>
              <w:ind w:firstLineChars="100" w:firstLine="240"/>
              <w:rPr>
                <w:rFonts w:ascii="Times New Roman" w:eastAsia="Times New Roman" w:hAnsi="Times New Roman" w:cs="Times New Roman"/>
                <w:color w:val="1A1C1E"/>
                <w:kern w:val="0"/>
                <w:szCs w:val="24"/>
                <w:lang w:eastAsia="en-IN"/>
                <w14:ligatures w14:val="none"/>
              </w:rPr>
            </w:pPr>
            <w:r w:rsidRPr="00787C93">
              <w:rPr>
                <w:rFonts w:ascii="Times New Roman" w:eastAsia="Times New Roman" w:hAnsi="Times New Roman" w:cs="Times New Roman"/>
                <w:color w:val="1A1C1E"/>
                <w:kern w:val="0"/>
                <w:szCs w:val="24"/>
                <w:lang w:eastAsia="en-IN"/>
                <w14:ligatures w14:val="none"/>
              </w:rPr>
              <w:t>Bihar</w:t>
            </w:r>
          </w:p>
        </w:tc>
        <w:tc>
          <w:tcPr>
            <w:tcW w:w="2444" w:type="dxa"/>
            <w:tcBorders>
              <w:top w:val="nil"/>
              <w:left w:val="nil"/>
              <w:bottom w:val="single" w:sz="4" w:space="0" w:color="auto"/>
              <w:right w:val="single" w:sz="4" w:space="0" w:color="auto"/>
            </w:tcBorders>
            <w:shd w:val="clear" w:color="000000" w:fill="FFFFFF"/>
            <w:vAlign w:val="center"/>
            <w:hideMark/>
          </w:tcPr>
          <w:p w14:paraId="1CDFAD52" w14:textId="77777777" w:rsidR="00712DC0" w:rsidRPr="00787C93" w:rsidRDefault="00712DC0" w:rsidP="00B77C0B">
            <w:pPr>
              <w:spacing w:after="0" w:line="240" w:lineRule="auto"/>
              <w:ind w:firstLineChars="100" w:firstLine="240"/>
              <w:rPr>
                <w:rFonts w:ascii="Times New Roman" w:eastAsia="Times New Roman" w:hAnsi="Times New Roman" w:cs="Times New Roman"/>
                <w:color w:val="1A1C1E"/>
                <w:kern w:val="0"/>
                <w:szCs w:val="24"/>
                <w:lang w:eastAsia="en-IN"/>
                <w14:ligatures w14:val="none"/>
              </w:rPr>
            </w:pPr>
            <w:r w:rsidRPr="00787C93">
              <w:rPr>
                <w:rFonts w:ascii="Times New Roman" w:eastAsia="Times New Roman" w:hAnsi="Times New Roman" w:cs="Times New Roman"/>
                <w:color w:val="1A1C1E"/>
                <w:kern w:val="0"/>
                <w:szCs w:val="24"/>
                <w:lang w:eastAsia="en-IN"/>
                <w14:ligatures w14:val="none"/>
              </w:rPr>
              <w:t>16</w:t>
            </w:r>
          </w:p>
        </w:tc>
        <w:tc>
          <w:tcPr>
            <w:tcW w:w="2265" w:type="dxa"/>
            <w:tcBorders>
              <w:top w:val="nil"/>
              <w:left w:val="nil"/>
              <w:bottom w:val="single" w:sz="4" w:space="0" w:color="auto"/>
              <w:right w:val="single" w:sz="4" w:space="0" w:color="auto"/>
            </w:tcBorders>
            <w:shd w:val="clear" w:color="000000" w:fill="FFFFFF"/>
            <w:vAlign w:val="center"/>
            <w:hideMark/>
          </w:tcPr>
          <w:p w14:paraId="4C08E45A" w14:textId="77777777" w:rsidR="00712DC0" w:rsidRPr="00787C93" w:rsidRDefault="00712DC0" w:rsidP="00B77C0B">
            <w:pPr>
              <w:spacing w:after="0" w:line="240" w:lineRule="auto"/>
              <w:ind w:firstLineChars="100" w:firstLine="240"/>
              <w:rPr>
                <w:rFonts w:ascii="Times New Roman" w:eastAsia="Times New Roman" w:hAnsi="Times New Roman" w:cs="Times New Roman"/>
                <w:color w:val="1A1C1E"/>
                <w:kern w:val="0"/>
                <w:szCs w:val="24"/>
                <w:lang w:eastAsia="en-IN"/>
                <w14:ligatures w14:val="none"/>
              </w:rPr>
            </w:pPr>
            <w:r w:rsidRPr="00787C93">
              <w:rPr>
                <w:rFonts w:ascii="Times New Roman" w:eastAsia="Times New Roman" w:hAnsi="Times New Roman" w:cs="Times New Roman"/>
                <w:color w:val="1A1C1E"/>
                <w:kern w:val="0"/>
                <w:szCs w:val="24"/>
                <w:lang w:eastAsia="en-IN"/>
                <w14:ligatures w14:val="none"/>
              </w:rPr>
              <w:t>9</w:t>
            </w:r>
          </w:p>
        </w:tc>
        <w:tc>
          <w:tcPr>
            <w:tcW w:w="2543" w:type="dxa"/>
            <w:tcBorders>
              <w:top w:val="nil"/>
              <w:left w:val="nil"/>
              <w:bottom w:val="single" w:sz="4" w:space="0" w:color="auto"/>
              <w:right w:val="single" w:sz="4" w:space="0" w:color="auto"/>
            </w:tcBorders>
            <w:shd w:val="clear" w:color="000000" w:fill="FFFFFF"/>
            <w:vAlign w:val="center"/>
            <w:hideMark/>
          </w:tcPr>
          <w:p w14:paraId="0C2D2811" w14:textId="77777777" w:rsidR="00712DC0" w:rsidRPr="00787C93" w:rsidRDefault="00712DC0" w:rsidP="00B77C0B">
            <w:pPr>
              <w:spacing w:after="0" w:line="240" w:lineRule="auto"/>
              <w:ind w:firstLineChars="100" w:firstLine="240"/>
              <w:rPr>
                <w:rFonts w:ascii="Times New Roman" w:eastAsia="Times New Roman" w:hAnsi="Times New Roman" w:cs="Times New Roman"/>
                <w:color w:val="1A1C1E"/>
                <w:kern w:val="0"/>
                <w:szCs w:val="24"/>
                <w:lang w:eastAsia="en-IN"/>
                <w14:ligatures w14:val="none"/>
              </w:rPr>
            </w:pPr>
            <w:r w:rsidRPr="00787C93">
              <w:rPr>
                <w:rFonts w:ascii="Times New Roman" w:eastAsia="Times New Roman" w:hAnsi="Times New Roman" w:cs="Times New Roman"/>
                <w:color w:val="1A1C1E"/>
                <w:kern w:val="0"/>
                <w:szCs w:val="24"/>
                <w:lang w:eastAsia="en-IN"/>
                <w14:ligatures w14:val="none"/>
              </w:rPr>
              <w:t>N.A.</w:t>
            </w:r>
          </w:p>
        </w:tc>
      </w:tr>
      <w:tr w:rsidR="00712DC0" w:rsidRPr="00787C93" w14:paraId="6492246B" w14:textId="77777777" w:rsidTr="00787C93">
        <w:trPr>
          <w:trHeight w:val="338"/>
          <w:jc w:val="center"/>
        </w:trPr>
        <w:tc>
          <w:tcPr>
            <w:tcW w:w="3397" w:type="dxa"/>
            <w:tcBorders>
              <w:top w:val="nil"/>
              <w:left w:val="single" w:sz="4" w:space="0" w:color="auto"/>
              <w:bottom w:val="single" w:sz="4" w:space="0" w:color="auto"/>
              <w:right w:val="single" w:sz="4" w:space="0" w:color="auto"/>
            </w:tcBorders>
            <w:shd w:val="clear" w:color="000000" w:fill="FFFFFF"/>
            <w:vAlign w:val="center"/>
            <w:hideMark/>
          </w:tcPr>
          <w:p w14:paraId="6FD5710C" w14:textId="77777777" w:rsidR="00712DC0" w:rsidRPr="00787C93" w:rsidRDefault="00712DC0" w:rsidP="00B77C0B">
            <w:pPr>
              <w:spacing w:after="0" w:line="240" w:lineRule="auto"/>
              <w:ind w:firstLineChars="100" w:firstLine="240"/>
              <w:rPr>
                <w:rFonts w:ascii="Times New Roman" w:eastAsia="Times New Roman" w:hAnsi="Times New Roman" w:cs="Times New Roman"/>
                <w:color w:val="1A1C1E"/>
                <w:kern w:val="0"/>
                <w:szCs w:val="24"/>
                <w:lang w:eastAsia="en-IN"/>
                <w14:ligatures w14:val="none"/>
              </w:rPr>
            </w:pPr>
            <w:r w:rsidRPr="00787C93">
              <w:rPr>
                <w:rFonts w:ascii="Times New Roman" w:eastAsia="Times New Roman" w:hAnsi="Times New Roman" w:cs="Times New Roman"/>
                <w:color w:val="1A1C1E"/>
                <w:kern w:val="0"/>
                <w:szCs w:val="24"/>
                <w:lang w:eastAsia="en-IN"/>
                <w14:ligatures w14:val="none"/>
              </w:rPr>
              <w:t>Gujarat</w:t>
            </w:r>
          </w:p>
        </w:tc>
        <w:tc>
          <w:tcPr>
            <w:tcW w:w="2444" w:type="dxa"/>
            <w:tcBorders>
              <w:top w:val="nil"/>
              <w:left w:val="nil"/>
              <w:bottom w:val="single" w:sz="4" w:space="0" w:color="auto"/>
              <w:right w:val="single" w:sz="4" w:space="0" w:color="auto"/>
            </w:tcBorders>
            <w:shd w:val="clear" w:color="000000" w:fill="FFFFFF"/>
            <w:vAlign w:val="center"/>
            <w:hideMark/>
          </w:tcPr>
          <w:p w14:paraId="6A5EC195" w14:textId="77777777" w:rsidR="00712DC0" w:rsidRPr="00787C93" w:rsidRDefault="00712DC0" w:rsidP="00B77C0B">
            <w:pPr>
              <w:spacing w:after="0" w:line="240" w:lineRule="auto"/>
              <w:ind w:firstLineChars="100" w:firstLine="240"/>
              <w:rPr>
                <w:rFonts w:ascii="Times New Roman" w:eastAsia="Times New Roman" w:hAnsi="Times New Roman" w:cs="Times New Roman"/>
                <w:color w:val="1A1C1E"/>
                <w:kern w:val="0"/>
                <w:szCs w:val="24"/>
                <w:lang w:eastAsia="en-IN"/>
                <w14:ligatures w14:val="none"/>
              </w:rPr>
            </w:pPr>
            <w:r w:rsidRPr="00787C93">
              <w:rPr>
                <w:rFonts w:ascii="Times New Roman" w:eastAsia="Times New Roman" w:hAnsi="Times New Roman" w:cs="Times New Roman"/>
                <w:color w:val="1A1C1E"/>
                <w:kern w:val="0"/>
                <w:szCs w:val="24"/>
                <w:lang w:eastAsia="en-IN"/>
                <w14:ligatures w14:val="none"/>
              </w:rPr>
              <w:t>18</w:t>
            </w:r>
          </w:p>
        </w:tc>
        <w:tc>
          <w:tcPr>
            <w:tcW w:w="2265" w:type="dxa"/>
            <w:tcBorders>
              <w:top w:val="nil"/>
              <w:left w:val="nil"/>
              <w:bottom w:val="single" w:sz="4" w:space="0" w:color="auto"/>
              <w:right w:val="single" w:sz="4" w:space="0" w:color="auto"/>
            </w:tcBorders>
            <w:shd w:val="clear" w:color="000000" w:fill="FFFFFF"/>
            <w:vAlign w:val="center"/>
            <w:hideMark/>
          </w:tcPr>
          <w:p w14:paraId="50356471" w14:textId="77777777" w:rsidR="00712DC0" w:rsidRPr="00787C93" w:rsidRDefault="00712DC0" w:rsidP="00B77C0B">
            <w:pPr>
              <w:spacing w:after="0" w:line="240" w:lineRule="auto"/>
              <w:ind w:firstLineChars="100" w:firstLine="240"/>
              <w:rPr>
                <w:rFonts w:ascii="Times New Roman" w:eastAsia="Times New Roman" w:hAnsi="Times New Roman" w:cs="Times New Roman"/>
                <w:color w:val="1A1C1E"/>
                <w:kern w:val="0"/>
                <w:szCs w:val="24"/>
                <w:lang w:eastAsia="en-IN"/>
                <w14:ligatures w14:val="none"/>
              </w:rPr>
            </w:pPr>
            <w:r w:rsidRPr="00787C93">
              <w:rPr>
                <w:rFonts w:ascii="Times New Roman" w:eastAsia="Times New Roman" w:hAnsi="Times New Roman" w:cs="Times New Roman"/>
                <w:color w:val="1A1C1E"/>
                <w:kern w:val="0"/>
                <w:szCs w:val="24"/>
                <w:lang w:eastAsia="en-IN"/>
                <w14:ligatures w14:val="none"/>
              </w:rPr>
              <w:t>15</w:t>
            </w:r>
          </w:p>
        </w:tc>
        <w:tc>
          <w:tcPr>
            <w:tcW w:w="2543" w:type="dxa"/>
            <w:tcBorders>
              <w:top w:val="nil"/>
              <w:left w:val="nil"/>
              <w:bottom w:val="single" w:sz="4" w:space="0" w:color="auto"/>
              <w:right w:val="single" w:sz="4" w:space="0" w:color="auto"/>
            </w:tcBorders>
            <w:shd w:val="clear" w:color="000000" w:fill="FFFFFF"/>
            <w:vAlign w:val="center"/>
            <w:hideMark/>
          </w:tcPr>
          <w:p w14:paraId="2B5B31CC" w14:textId="77777777" w:rsidR="00712DC0" w:rsidRPr="00787C93" w:rsidRDefault="00712DC0" w:rsidP="00B77C0B">
            <w:pPr>
              <w:spacing w:after="0" w:line="240" w:lineRule="auto"/>
              <w:ind w:firstLineChars="100" w:firstLine="240"/>
              <w:rPr>
                <w:rFonts w:ascii="Times New Roman" w:eastAsia="Times New Roman" w:hAnsi="Times New Roman" w:cs="Times New Roman"/>
                <w:color w:val="1A1C1E"/>
                <w:kern w:val="0"/>
                <w:szCs w:val="24"/>
                <w:lang w:eastAsia="en-IN"/>
                <w14:ligatures w14:val="none"/>
              </w:rPr>
            </w:pPr>
            <w:r w:rsidRPr="00787C93">
              <w:rPr>
                <w:rFonts w:ascii="Times New Roman" w:eastAsia="Times New Roman" w:hAnsi="Times New Roman" w:cs="Times New Roman"/>
                <w:color w:val="1A1C1E"/>
                <w:kern w:val="0"/>
                <w:szCs w:val="24"/>
                <w:lang w:eastAsia="en-IN"/>
                <w14:ligatures w14:val="none"/>
              </w:rPr>
              <w:t>120</w:t>
            </w:r>
          </w:p>
        </w:tc>
      </w:tr>
      <w:tr w:rsidR="00712DC0" w:rsidRPr="00787C93" w14:paraId="45494559" w14:textId="77777777" w:rsidTr="00787C93">
        <w:trPr>
          <w:trHeight w:val="524"/>
          <w:jc w:val="center"/>
        </w:trPr>
        <w:tc>
          <w:tcPr>
            <w:tcW w:w="3397" w:type="dxa"/>
            <w:tcBorders>
              <w:top w:val="nil"/>
              <w:left w:val="single" w:sz="4" w:space="0" w:color="auto"/>
              <w:bottom w:val="single" w:sz="4" w:space="0" w:color="auto"/>
              <w:right w:val="single" w:sz="4" w:space="0" w:color="auto"/>
            </w:tcBorders>
            <w:shd w:val="clear" w:color="000000" w:fill="FFFFFF"/>
            <w:vAlign w:val="center"/>
            <w:hideMark/>
          </w:tcPr>
          <w:p w14:paraId="558BF762" w14:textId="77777777" w:rsidR="00712DC0" w:rsidRPr="00787C93" w:rsidRDefault="00712DC0" w:rsidP="00B77C0B">
            <w:pPr>
              <w:spacing w:after="0" w:line="240" w:lineRule="auto"/>
              <w:ind w:firstLineChars="100" w:firstLine="240"/>
              <w:rPr>
                <w:rFonts w:ascii="Times New Roman" w:eastAsia="Times New Roman" w:hAnsi="Times New Roman" w:cs="Times New Roman"/>
                <w:color w:val="1A1C1E"/>
                <w:kern w:val="0"/>
                <w:szCs w:val="24"/>
                <w:lang w:eastAsia="en-IN"/>
                <w14:ligatures w14:val="none"/>
              </w:rPr>
            </w:pPr>
            <w:r w:rsidRPr="00787C93">
              <w:rPr>
                <w:rFonts w:ascii="Times New Roman" w:eastAsia="Times New Roman" w:hAnsi="Times New Roman" w:cs="Times New Roman"/>
                <w:color w:val="1A1C1E"/>
                <w:kern w:val="0"/>
                <w:szCs w:val="24"/>
                <w:lang w:eastAsia="en-IN"/>
                <w14:ligatures w14:val="none"/>
              </w:rPr>
              <w:t>Jammu &amp; Kashmir</w:t>
            </w:r>
          </w:p>
        </w:tc>
        <w:tc>
          <w:tcPr>
            <w:tcW w:w="2444" w:type="dxa"/>
            <w:tcBorders>
              <w:top w:val="nil"/>
              <w:left w:val="nil"/>
              <w:bottom w:val="single" w:sz="4" w:space="0" w:color="auto"/>
              <w:right w:val="single" w:sz="4" w:space="0" w:color="auto"/>
            </w:tcBorders>
            <w:shd w:val="clear" w:color="000000" w:fill="FFFFFF"/>
            <w:vAlign w:val="center"/>
            <w:hideMark/>
          </w:tcPr>
          <w:p w14:paraId="759E549F" w14:textId="77777777" w:rsidR="00712DC0" w:rsidRPr="00787C93" w:rsidRDefault="00712DC0" w:rsidP="00B77C0B">
            <w:pPr>
              <w:spacing w:after="0" w:line="240" w:lineRule="auto"/>
              <w:ind w:firstLineChars="100" w:firstLine="240"/>
              <w:rPr>
                <w:rFonts w:ascii="Times New Roman" w:eastAsia="Times New Roman" w:hAnsi="Times New Roman" w:cs="Times New Roman"/>
                <w:color w:val="1A1C1E"/>
                <w:kern w:val="0"/>
                <w:szCs w:val="24"/>
                <w:lang w:eastAsia="en-IN"/>
                <w14:ligatures w14:val="none"/>
              </w:rPr>
            </w:pPr>
            <w:r w:rsidRPr="00787C93">
              <w:rPr>
                <w:rFonts w:ascii="Times New Roman" w:eastAsia="Times New Roman" w:hAnsi="Times New Roman" w:cs="Times New Roman"/>
                <w:color w:val="1A1C1E"/>
                <w:kern w:val="0"/>
                <w:szCs w:val="24"/>
                <w:lang w:eastAsia="en-IN"/>
                <w14:ligatures w14:val="none"/>
              </w:rPr>
              <w:t>4.62 to 6.50</w:t>
            </w:r>
          </w:p>
        </w:tc>
        <w:tc>
          <w:tcPr>
            <w:tcW w:w="2265" w:type="dxa"/>
            <w:tcBorders>
              <w:top w:val="nil"/>
              <w:left w:val="nil"/>
              <w:bottom w:val="single" w:sz="4" w:space="0" w:color="auto"/>
              <w:right w:val="single" w:sz="4" w:space="0" w:color="auto"/>
            </w:tcBorders>
            <w:shd w:val="clear" w:color="000000" w:fill="FFFFFF"/>
            <w:vAlign w:val="center"/>
            <w:hideMark/>
          </w:tcPr>
          <w:p w14:paraId="562158CA" w14:textId="77777777" w:rsidR="00712DC0" w:rsidRPr="00787C93" w:rsidRDefault="00712DC0" w:rsidP="00B77C0B">
            <w:pPr>
              <w:spacing w:after="0" w:line="240" w:lineRule="auto"/>
              <w:ind w:firstLineChars="100" w:firstLine="240"/>
              <w:rPr>
                <w:rFonts w:ascii="Times New Roman" w:eastAsia="Times New Roman" w:hAnsi="Times New Roman" w:cs="Times New Roman"/>
                <w:color w:val="1A1C1E"/>
                <w:kern w:val="0"/>
                <w:szCs w:val="24"/>
                <w:lang w:eastAsia="en-IN"/>
                <w14:ligatures w14:val="none"/>
              </w:rPr>
            </w:pPr>
            <w:r w:rsidRPr="00787C93">
              <w:rPr>
                <w:rFonts w:ascii="Times New Roman" w:eastAsia="Times New Roman" w:hAnsi="Times New Roman" w:cs="Times New Roman"/>
                <w:color w:val="1A1C1E"/>
                <w:kern w:val="0"/>
                <w:szCs w:val="24"/>
                <w:lang w:eastAsia="en-IN"/>
                <w14:ligatures w14:val="none"/>
              </w:rPr>
              <w:t>3.50 to 4.75</w:t>
            </w:r>
          </w:p>
        </w:tc>
        <w:tc>
          <w:tcPr>
            <w:tcW w:w="2543" w:type="dxa"/>
            <w:tcBorders>
              <w:top w:val="nil"/>
              <w:left w:val="nil"/>
              <w:bottom w:val="single" w:sz="4" w:space="0" w:color="auto"/>
              <w:right w:val="single" w:sz="4" w:space="0" w:color="auto"/>
            </w:tcBorders>
            <w:shd w:val="clear" w:color="000000" w:fill="FFFFFF"/>
            <w:vAlign w:val="center"/>
            <w:hideMark/>
          </w:tcPr>
          <w:p w14:paraId="58580F21" w14:textId="77777777" w:rsidR="00712DC0" w:rsidRPr="00787C93" w:rsidRDefault="00712DC0" w:rsidP="00B77C0B">
            <w:pPr>
              <w:spacing w:after="0" w:line="240" w:lineRule="auto"/>
              <w:ind w:firstLineChars="100" w:firstLine="240"/>
              <w:rPr>
                <w:rFonts w:ascii="Times New Roman" w:eastAsia="Times New Roman" w:hAnsi="Times New Roman" w:cs="Times New Roman"/>
                <w:color w:val="1A1C1E"/>
                <w:kern w:val="0"/>
                <w:szCs w:val="24"/>
                <w:lang w:eastAsia="en-IN"/>
                <w14:ligatures w14:val="none"/>
              </w:rPr>
            </w:pPr>
            <w:r w:rsidRPr="00787C93">
              <w:rPr>
                <w:rFonts w:ascii="Times New Roman" w:eastAsia="Times New Roman" w:hAnsi="Times New Roman" w:cs="Times New Roman"/>
                <w:color w:val="1A1C1E"/>
                <w:kern w:val="0"/>
                <w:szCs w:val="24"/>
                <w:lang w:eastAsia="en-IN"/>
                <w14:ligatures w14:val="none"/>
              </w:rPr>
              <w:t>4 to 7</w:t>
            </w:r>
          </w:p>
        </w:tc>
      </w:tr>
      <w:tr w:rsidR="00712DC0" w:rsidRPr="00787C93" w14:paraId="6F278C21" w14:textId="77777777" w:rsidTr="00787C93">
        <w:trPr>
          <w:trHeight w:val="406"/>
          <w:jc w:val="center"/>
        </w:trPr>
        <w:tc>
          <w:tcPr>
            <w:tcW w:w="3397" w:type="dxa"/>
            <w:tcBorders>
              <w:top w:val="nil"/>
              <w:left w:val="single" w:sz="4" w:space="0" w:color="auto"/>
              <w:bottom w:val="single" w:sz="4" w:space="0" w:color="auto"/>
              <w:right w:val="single" w:sz="4" w:space="0" w:color="auto"/>
            </w:tcBorders>
            <w:shd w:val="clear" w:color="000000" w:fill="FFFFFF"/>
            <w:vAlign w:val="center"/>
            <w:hideMark/>
          </w:tcPr>
          <w:p w14:paraId="26F63170" w14:textId="77777777" w:rsidR="00712DC0" w:rsidRPr="00787C93" w:rsidRDefault="00712DC0" w:rsidP="00B77C0B">
            <w:pPr>
              <w:spacing w:after="0" w:line="240" w:lineRule="auto"/>
              <w:ind w:firstLineChars="100" w:firstLine="240"/>
              <w:rPr>
                <w:rFonts w:ascii="Times New Roman" w:eastAsia="Times New Roman" w:hAnsi="Times New Roman" w:cs="Times New Roman"/>
                <w:color w:val="1A1C1E"/>
                <w:kern w:val="0"/>
                <w:szCs w:val="24"/>
                <w:lang w:eastAsia="en-IN"/>
                <w14:ligatures w14:val="none"/>
              </w:rPr>
            </w:pPr>
            <w:r w:rsidRPr="00787C93">
              <w:rPr>
                <w:rFonts w:ascii="Times New Roman" w:eastAsia="Times New Roman" w:hAnsi="Times New Roman" w:cs="Times New Roman"/>
                <w:color w:val="1A1C1E"/>
                <w:kern w:val="0"/>
                <w:szCs w:val="24"/>
                <w:lang w:eastAsia="en-IN"/>
                <w14:ligatures w14:val="none"/>
              </w:rPr>
              <w:t>Kerala</w:t>
            </w:r>
          </w:p>
        </w:tc>
        <w:tc>
          <w:tcPr>
            <w:tcW w:w="2444" w:type="dxa"/>
            <w:tcBorders>
              <w:top w:val="nil"/>
              <w:left w:val="nil"/>
              <w:bottom w:val="single" w:sz="4" w:space="0" w:color="auto"/>
              <w:right w:val="single" w:sz="4" w:space="0" w:color="auto"/>
            </w:tcBorders>
            <w:shd w:val="clear" w:color="000000" w:fill="FFFFFF"/>
            <w:vAlign w:val="center"/>
            <w:hideMark/>
          </w:tcPr>
          <w:p w14:paraId="4DD361D0" w14:textId="77777777" w:rsidR="00712DC0" w:rsidRPr="00787C93" w:rsidRDefault="00712DC0" w:rsidP="00B77C0B">
            <w:pPr>
              <w:spacing w:after="0" w:line="240" w:lineRule="auto"/>
              <w:ind w:firstLineChars="100" w:firstLine="240"/>
              <w:rPr>
                <w:rFonts w:ascii="Times New Roman" w:eastAsia="Times New Roman" w:hAnsi="Times New Roman" w:cs="Times New Roman"/>
                <w:color w:val="1A1C1E"/>
                <w:kern w:val="0"/>
                <w:szCs w:val="24"/>
                <w:lang w:eastAsia="en-IN"/>
                <w14:ligatures w14:val="none"/>
              </w:rPr>
            </w:pPr>
            <w:r w:rsidRPr="00787C93">
              <w:rPr>
                <w:rFonts w:ascii="Times New Roman" w:eastAsia="Times New Roman" w:hAnsi="Times New Roman" w:cs="Times New Roman"/>
                <w:color w:val="1A1C1E"/>
                <w:kern w:val="0"/>
                <w:szCs w:val="24"/>
                <w:lang w:eastAsia="en-IN"/>
                <w14:ligatures w14:val="none"/>
              </w:rPr>
              <w:t>5 to 10</w:t>
            </w:r>
          </w:p>
        </w:tc>
        <w:tc>
          <w:tcPr>
            <w:tcW w:w="2265" w:type="dxa"/>
            <w:tcBorders>
              <w:top w:val="nil"/>
              <w:left w:val="nil"/>
              <w:bottom w:val="single" w:sz="4" w:space="0" w:color="auto"/>
              <w:right w:val="single" w:sz="4" w:space="0" w:color="auto"/>
            </w:tcBorders>
            <w:shd w:val="clear" w:color="000000" w:fill="FFFFFF"/>
            <w:vAlign w:val="center"/>
            <w:hideMark/>
          </w:tcPr>
          <w:p w14:paraId="415C5762" w14:textId="77777777" w:rsidR="00712DC0" w:rsidRPr="00787C93" w:rsidRDefault="00712DC0" w:rsidP="00B77C0B">
            <w:pPr>
              <w:spacing w:after="0" w:line="240" w:lineRule="auto"/>
              <w:ind w:firstLineChars="100" w:firstLine="240"/>
              <w:rPr>
                <w:rFonts w:ascii="Times New Roman" w:eastAsia="Times New Roman" w:hAnsi="Times New Roman" w:cs="Times New Roman"/>
                <w:color w:val="1A1C1E"/>
                <w:kern w:val="0"/>
                <w:szCs w:val="24"/>
                <w:lang w:eastAsia="en-IN"/>
                <w14:ligatures w14:val="none"/>
              </w:rPr>
            </w:pPr>
            <w:r w:rsidRPr="00787C93">
              <w:rPr>
                <w:rFonts w:ascii="Times New Roman" w:eastAsia="Times New Roman" w:hAnsi="Times New Roman" w:cs="Times New Roman"/>
                <w:color w:val="1A1C1E"/>
                <w:kern w:val="0"/>
                <w:szCs w:val="24"/>
                <w:lang w:eastAsia="en-IN"/>
                <w14:ligatures w14:val="none"/>
              </w:rPr>
              <w:t>..</w:t>
            </w:r>
          </w:p>
        </w:tc>
        <w:tc>
          <w:tcPr>
            <w:tcW w:w="2543" w:type="dxa"/>
            <w:tcBorders>
              <w:top w:val="nil"/>
              <w:left w:val="nil"/>
              <w:bottom w:val="single" w:sz="4" w:space="0" w:color="auto"/>
              <w:right w:val="single" w:sz="4" w:space="0" w:color="auto"/>
            </w:tcBorders>
            <w:shd w:val="clear" w:color="000000" w:fill="FFFFFF"/>
            <w:vAlign w:val="center"/>
            <w:hideMark/>
          </w:tcPr>
          <w:p w14:paraId="0E9116E2" w14:textId="77777777" w:rsidR="00712DC0" w:rsidRPr="00787C93" w:rsidRDefault="00712DC0" w:rsidP="00B77C0B">
            <w:pPr>
              <w:spacing w:after="0" w:line="240" w:lineRule="auto"/>
              <w:ind w:firstLineChars="100" w:firstLine="240"/>
              <w:rPr>
                <w:rFonts w:ascii="Times New Roman" w:eastAsia="Times New Roman" w:hAnsi="Times New Roman" w:cs="Times New Roman"/>
                <w:color w:val="1A1C1E"/>
                <w:kern w:val="0"/>
                <w:szCs w:val="24"/>
                <w:lang w:eastAsia="en-IN"/>
                <w14:ligatures w14:val="none"/>
              </w:rPr>
            </w:pPr>
            <w:r w:rsidRPr="00787C93">
              <w:rPr>
                <w:rFonts w:ascii="Times New Roman" w:eastAsia="Times New Roman" w:hAnsi="Times New Roman" w:cs="Times New Roman"/>
                <w:color w:val="1A1C1E"/>
                <w:kern w:val="0"/>
                <w:szCs w:val="24"/>
                <w:lang w:eastAsia="en-IN"/>
                <w14:ligatures w14:val="none"/>
              </w:rPr>
              <w:t>N.A.</w:t>
            </w:r>
          </w:p>
        </w:tc>
      </w:tr>
      <w:tr w:rsidR="00712DC0" w:rsidRPr="00787C93" w14:paraId="7AA48B52" w14:textId="77777777" w:rsidTr="00787C93">
        <w:trPr>
          <w:trHeight w:val="676"/>
          <w:jc w:val="center"/>
        </w:trPr>
        <w:tc>
          <w:tcPr>
            <w:tcW w:w="3397" w:type="dxa"/>
            <w:tcBorders>
              <w:top w:val="nil"/>
              <w:left w:val="single" w:sz="4" w:space="0" w:color="auto"/>
              <w:bottom w:val="single" w:sz="4" w:space="0" w:color="auto"/>
              <w:right w:val="single" w:sz="4" w:space="0" w:color="auto"/>
            </w:tcBorders>
            <w:shd w:val="clear" w:color="000000" w:fill="FFFFFF"/>
            <w:vAlign w:val="center"/>
            <w:hideMark/>
          </w:tcPr>
          <w:p w14:paraId="5B37B863" w14:textId="77777777" w:rsidR="00712DC0" w:rsidRPr="00787C93" w:rsidRDefault="00712DC0" w:rsidP="00B77C0B">
            <w:pPr>
              <w:spacing w:after="0" w:line="240" w:lineRule="auto"/>
              <w:ind w:firstLineChars="100" w:firstLine="240"/>
              <w:rPr>
                <w:rFonts w:ascii="Times New Roman" w:eastAsia="Times New Roman" w:hAnsi="Times New Roman" w:cs="Times New Roman"/>
                <w:color w:val="1A1C1E"/>
                <w:kern w:val="0"/>
                <w:szCs w:val="24"/>
                <w:lang w:eastAsia="en-IN"/>
                <w14:ligatures w14:val="none"/>
              </w:rPr>
            </w:pPr>
            <w:r w:rsidRPr="00787C93">
              <w:rPr>
                <w:rFonts w:ascii="Times New Roman" w:eastAsia="Times New Roman" w:hAnsi="Times New Roman" w:cs="Times New Roman"/>
                <w:color w:val="1A1C1E"/>
                <w:kern w:val="0"/>
                <w:szCs w:val="24"/>
                <w:lang w:eastAsia="en-IN"/>
                <w14:ligatures w14:val="none"/>
              </w:rPr>
              <w:t>Madhya Pradesh</w:t>
            </w:r>
          </w:p>
        </w:tc>
        <w:tc>
          <w:tcPr>
            <w:tcW w:w="2444" w:type="dxa"/>
            <w:tcBorders>
              <w:top w:val="nil"/>
              <w:left w:val="nil"/>
              <w:bottom w:val="single" w:sz="4" w:space="0" w:color="auto"/>
              <w:right w:val="single" w:sz="4" w:space="0" w:color="auto"/>
            </w:tcBorders>
            <w:shd w:val="clear" w:color="000000" w:fill="FFFFFF"/>
            <w:vAlign w:val="center"/>
            <w:hideMark/>
          </w:tcPr>
          <w:p w14:paraId="03A9851C" w14:textId="77777777" w:rsidR="00712DC0" w:rsidRPr="00787C93" w:rsidRDefault="00712DC0" w:rsidP="00B77C0B">
            <w:pPr>
              <w:spacing w:after="0" w:line="240" w:lineRule="auto"/>
              <w:ind w:firstLineChars="100" w:firstLine="240"/>
              <w:rPr>
                <w:rFonts w:ascii="Times New Roman" w:eastAsia="Times New Roman" w:hAnsi="Times New Roman" w:cs="Times New Roman"/>
                <w:color w:val="1A1C1E"/>
                <w:kern w:val="0"/>
                <w:szCs w:val="24"/>
                <w:lang w:eastAsia="en-IN"/>
                <w14:ligatures w14:val="none"/>
              </w:rPr>
            </w:pPr>
            <w:r w:rsidRPr="00787C93">
              <w:rPr>
                <w:rFonts w:ascii="Times New Roman" w:eastAsia="Times New Roman" w:hAnsi="Times New Roman" w:cs="Times New Roman"/>
                <w:color w:val="1A1C1E"/>
                <w:kern w:val="0"/>
                <w:szCs w:val="24"/>
                <w:lang w:eastAsia="en-IN"/>
                <w14:ligatures w14:val="none"/>
              </w:rPr>
              <w:t>10 to 12</w:t>
            </w:r>
          </w:p>
        </w:tc>
        <w:tc>
          <w:tcPr>
            <w:tcW w:w="2265" w:type="dxa"/>
            <w:tcBorders>
              <w:top w:val="nil"/>
              <w:left w:val="nil"/>
              <w:bottom w:val="single" w:sz="4" w:space="0" w:color="auto"/>
              <w:right w:val="single" w:sz="4" w:space="0" w:color="auto"/>
            </w:tcBorders>
            <w:shd w:val="clear" w:color="000000" w:fill="FFFFFF"/>
            <w:vAlign w:val="center"/>
            <w:hideMark/>
          </w:tcPr>
          <w:p w14:paraId="1964402B" w14:textId="77777777" w:rsidR="00712DC0" w:rsidRPr="00787C93" w:rsidRDefault="00712DC0" w:rsidP="00B77C0B">
            <w:pPr>
              <w:spacing w:after="0" w:line="240" w:lineRule="auto"/>
              <w:ind w:firstLineChars="100" w:firstLine="240"/>
              <w:rPr>
                <w:rFonts w:ascii="Times New Roman" w:eastAsia="Times New Roman" w:hAnsi="Times New Roman" w:cs="Times New Roman"/>
                <w:color w:val="1A1C1E"/>
                <w:kern w:val="0"/>
                <w:szCs w:val="24"/>
                <w:lang w:eastAsia="en-IN"/>
                <w14:ligatures w14:val="none"/>
              </w:rPr>
            </w:pPr>
            <w:r w:rsidRPr="00787C93">
              <w:rPr>
                <w:rFonts w:ascii="Times New Roman" w:eastAsia="Times New Roman" w:hAnsi="Times New Roman" w:cs="Times New Roman"/>
                <w:color w:val="1A1C1E"/>
                <w:kern w:val="0"/>
                <w:szCs w:val="24"/>
                <w:lang w:eastAsia="en-IN"/>
                <w14:ligatures w14:val="none"/>
              </w:rPr>
              <w:t>4 to 7.50</w:t>
            </w:r>
          </w:p>
        </w:tc>
        <w:tc>
          <w:tcPr>
            <w:tcW w:w="2543" w:type="dxa"/>
            <w:tcBorders>
              <w:top w:val="nil"/>
              <w:left w:val="nil"/>
              <w:bottom w:val="single" w:sz="4" w:space="0" w:color="auto"/>
              <w:right w:val="single" w:sz="4" w:space="0" w:color="auto"/>
            </w:tcBorders>
            <w:shd w:val="clear" w:color="000000" w:fill="FFFFFF"/>
            <w:vAlign w:val="center"/>
            <w:hideMark/>
          </w:tcPr>
          <w:p w14:paraId="35FE5F8E" w14:textId="77777777" w:rsidR="00712DC0" w:rsidRPr="00787C93" w:rsidRDefault="00712DC0" w:rsidP="00B77C0B">
            <w:pPr>
              <w:spacing w:after="0" w:line="240" w:lineRule="auto"/>
              <w:ind w:firstLineChars="100" w:firstLine="240"/>
              <w:rPr>
                <w:rFonts w:ascii="Times New Roman" w:eastAsia="Times New Roman" w:hAnsi="Times New Roman" w:cs="Times New Roman"/>
                <w:color w:val="1A1C1E"/>
                <w:kern w:val="0"/>
                <w:szCs w:val="24"/>
                <w:lang w:eastAsia="en-IN"/>
                <w14:ligatures w14:val="none"/>
              </w:rPr>
            </w:pPr>
            <w:r w:rsidRPr="00787C93">
              <w:rPr>
                <w:rFonts w:ascii="Times New Roman" w:eastAsia="Times New Roman" w:hAnsi="Times New Roman" w:cs="Times New Roman"/>
                <w:color w:val="1A1C1E"/>
                <w:kern w:val="0"/>
                <w:szCs w:val="24"/>
                <w:lang w:eastAsia="en-IN"/>
                <w14:ligatures w14:val="none"/>
              </w:rPr>
              <w:t>20</w:t>
            </w:r>
          </w:p>
        </w:tc>
      </w:tr>
      <w:tr w:rsidR="00712DC0" w:rsidRPr="00787C93" w14:paraId="0518FC77" w14:textId="77777777" w:rsidTr="00787C93">
        <w:trPr>
          <w:trHeight w:val="524"/>
          <w:jc w:val="center"/>
        </w:trPr>
        <w:tc>
          <w:tcPr>
            <w:tcW w:w="3397" w:type="dxa"/>
            <w:tcBorders>
              <w:top w:val="nil"/>
              <w:left w:val="single" w:sz="4" w:space="0" w:color="auto"/>
              <w:bottom w:val="single" w:sz="4" w:space="0" w:color="auto"/>
              <w:right w:val="single" w:sz="4" w:space="0" w:color="auto"/>
            </w:tcBorders>
            <w:shd w:val="clear" w:color="000000" w:fill="FFFFFF"/>
            <w:vAlign w:val="center"/>
            <w:hideMark/>
          </w:tcPr>
          <w:p w14:paraId="1581C699" w14:textId="77777777" w:rsidR="00712DC0" w:rsidRPr="00787C93" w:rsidRDefault="00712DC0" w:rsidP="00B77C0B">
            <w:pPr>
              <w:spacing w:after="0" w:line="240" w:lineRule="auto"/>
              <w:ind w:firstLineChars="100" w:firstLine="240"/>
              <w:rPr>
                <w:rFonts w:ascii="Times New Roman" w:eastAsia="Times New Roman" w:hAnsi="Times New Roman" w:cs="Times New Roman"/>
                <w:color w:val="1A1C1E"/>
                <w:kern w:val="0"/>
                <w:szCs w:val="24"/>
                <w:lang w:eastAsia="en-IN"/>
                <w14:ligatures w14:val="none"/>
              </w:rPr>
            </w:pPr>
            <w:r w:rsidRPr="00787C93">
              <w:rPr>
                <w:rFonts w:ascii="Times New Roman" w:eastAsia="Times New Roman" w:hAnsi="Times New Roman" w:cs="Times New Roman"/>
                <w:color w:val="1A1C1E"/>
                <w:kern w:val="0"/>
                <w:szCs w:val="24"/>
                <w:lang w:eastAsia="en-IN"/>
                <w14:ligatures w14:val="none"/>
              </w:rPr>
              <w:t>Maharashtra</w:t>
            </w:r>
          </w:p>
        </w:tc>
        <w:tc>
          <w:tcPr>
            <w:tcW w:w="2444" w:type="dxa"/>
            <w:tcBorders>
              <w:top w:val="nil"/>
              <w:left w:val="nil"/>
              <w:bottom w:val="single" w:sz="4" w:space="0" w:color="auto"/>
              <w:right w:val="single" w:sz="4" w:space="0" w:color="auto"/>
            </w:tcBorders>
            <w:shd w:val="clear" w:color="000000" w:fill="FFFFFF"/>
            <w:vAlign w:val="center"/>
            <w:hideMark/>
          </w:tcPr>
          <w:p w14:paraId="2EAC8E29" w14:textId="77777777" w:rsidR="00712DC0" w:rsidRPr="00787C93" w:rsidRDefault="00712DC0" w:rsidP="00B77C0B">
            <w:pPr>
              <w:spacing w:after="0" w:line="240" w:lineRule="auto"/>
              <w:ind w:firstLineChars="100" w:firstLine="240"/>
              <w:rPr>
                <w:rFonts w:ascii="Times New Roman" w:eastAsia="Times New Roman" w:hAnsi="Times New Roman" w:cs="Times New Roman"/>
                <w:color w:val="1A1C1E"/>
                <w:kern w:val="0"/>
                <w:szCs w:val="24"/>
                <w:lang w:eastAsia="en-IN"/>
                <w14:ligatures w14:val="none"/>
              </w:rPr>
            </w:pPr>
            <w:r w:rsidRPr="00787C93">
              <w:rPr>
                <w:rFonts w:ascii="Times New Roman" w:eastAsia="Times New Roman" w:hAnsi="Times New Roman" w:cs="Times New Roman"/>
                <w:color w:val="1A1C1E"/>
                <w:kern w:val="0"/>
                <w:szCs w:val="24"/>
                <w:lang w:eastAsia="en-IN"/>
                <w14:ligatures w14:val="none"/>
              </w:rPr>
              <w:t>15</w:t>
            </w:r>
          </w:p>
        </w:tc>
        <w:tc>
          <w:tcPr>
            <w:tcW w:w="2265" w:type="dxa"/>
            <w:tcBorders>
              <w:top w:val="nil"/>
              <w:left w:val="nil"/>
              <w:bottom w:val="single" w:sz="4" w:space="0" w:color="auto"/>
              <w:right w:val="single" w:sz="4" w:space="0" w:color="auto"/>
            </w:tcBorders>
            <w:shd w:val="clear" w:color="000000" w:fill="FFFFFF"/>
            <w:vAlign w:val="center"/>
            <w:hideMark/>
          </w:tcPr>
          <w:p w14:paraId="2CD685AD" w14:textId="77777777" w:rsidR="00712DC0" w:rsidRPr="00787C93" w:rsidRDefault="00712DC0" w:rsidP="00B77C0B">
            <w:pPr>
              <w:spacing w:after="0" w:line="240" w:lineRule="auto"/>
              <w:ind w:firstLineChars="100" w:firstLine="240"/>
              <w:rPr>
                <w:rFonts w:ascii="Times New Roman" w:eastAsia="Times New Roman" w:hAnsi="Times New Roman" w:cs="Times New Roman"/>
                <w:color w:val="1A1C1E"/>
                <w:kern w:val="0"/>
                <w:szCs w:val="24"/>
                <w:lang w:eastAsia="en-IN"/>
                <w14:ligatures w14:val="none"/>
              </w:rPr>
            </w:pPr>
            <w:r w:rsidRPr="00787C93">
              <w:rPr>
                <w:rFonts w:ascii="Times New Roman" w:eastAsia="Times New Roman" w:hAnsi="Times New Roman" w:cs="Times New Roman"/>
                <w:color w:val="1A1C1E"/>
                <w:kern w:val="0"/>
                <w:szCs w:val="24"/>
                <w:lang w:eastAsia="en-IN"/>
                <w14:ligatures w14:val="none"/>
              </w:rPr>
              <w:t>9</w:t>
            </w:r>
          </w:p>
        </w:tc>
        <w:tc>
          <w:tcPr>
            <w:tcW w:w="2543" w:type="dxa"/>
            <w:tcBorders>
              <w:top w:val="nil"/>
              <w:left w:val="nil"/>
              <w:bottom w:val="single" w:sz="4" w:space="0" w:color="auto"/>
              <w:right w:val="single" w:sz="4" w:space="0" w:color="auto"/>
            </w:tcBorders>
            <w:shd w:val="clear" w:color="000000" w:fill="FFFFFF"/>
            <w:vAlign w:val="center"/>
            <w:hideMark/>
          </w:tcPr>
          <w:p w14:paraId="3CD2FBF7" w14:textId="77777777" w:rsidR="00712DC0" w:rsidRPr="00787C93" w:rsidRDefault="00712DC0" w:rsidP="00B77C0B">
            <w:pPr>
              <w:spacing w:after="0" w:line="240" w:lineRule="auto"/>
              <w:ind w:firstLineChars="100" w:firstLine="240"/>
              <w:rPr>
                <w:rFonts w:ascii="Times New Roman" w:eastAsia="Times New Roman" w:hAnsi="Times New Roman" w:cs="Times New Roman"/>
                <w:color w:val="1A1C1E"/>
                <w:kern w:val="0"/>
                <w:szCs w:val="24"/>
                <w:lang w:eastAsia="en-IN"/>
                <w14:ligatures w14:val="none"/>
              </w:rPr>
            </w:pPr>
            <w:r w:rsidRPr="00787C93">
              <w:rPr>
                <w:rFonts w:ascii="Times New Roman" w:eastAsia="Times New Roman" w:hAnsi="Times New Roman" w:cs="Times New Roman"/>
                <w:color w:val="1A1C1E"/>
                <w:kern w:val="0"/>
                <w:szCs w:val="24"/>
                <w:lang w:eastAsia="en-IN"/>
                <w14:ligatures w14:val="none"/>
              </w:rPr>
              <w:t>120 to 180</w:t>
            </w:r>
          </w:p>
        </w:tc>
      </w:tr>
      <w:tr w:rsidR="00712DC0" w:rsidRPr="00787C93" w14:paraId="4A247F3B" w14:textId="77777777" w:rsidTr="00787C93">
        <w:trPr>
          <w:trHeight w:val="338"/>
          <w:jc w:val="center"/>
        </w:trPr>
        <w:tc>
          <w:tcPr>
            <w:tcW w:w="3397" w:type="dxa"/>
            <w:tcBorders>
              <w:top w:val="nil"/>
              <w:left w:val="single" w:sz="4" w:space="0" w:color="auto"/>
              <w:bottom w:val="single" w:sz="4" w:space="0" w:color="auto"/>
              <w:right w:val="single" w:sz="4" w:space="0" w:color="auto"/>
            </w:tcBorders>
            <w:shd w:val="clear" w:color="000000" w:fill="FFFFFF"/>
            <w:vAlign w:val="center"/>
            <w:hideMark/>
          </w:tcPr>
          <w:p w14:paraId="2A9A0A85" w14:textId="77777777" w:rsidR="00712DC0" w:rsidRPr="00787C93" w:rsidRDefault="00712DC0" w:rsidP="00B77C0B">
            <w:pPr>
              <w:spacing w:after="0" w:line="240" w:lineRule="auto"/>
              <w:ind w:firstLineChars="100" w:firstLine="240"/>
              <w:rPr>
                <w:rFonts w:ascii="Times New Roman" w:eastAsia="Times New Roman" w:hAnsi="Times New Roman" w:cs="Times New Roman"/>
                <w:color w:val="1A1C1E"/>
                <w:kern w:val="0"/>
                <w:szCs w:val="24"/>
                <w:lang w:eastAsia="en-IN"/>
                <w14:ligatures w14:val="none"/>
              </w:rPr>
            </w:pPr>
            <w:r w:rsidRPr="00787C93">
              <w:rPr>
                <w:rFonts w:ascii="Times New Roman" w:eastAsia="Times New Roman" w:hAnsi="Times New Roman" w:cs="Times New Roman"/>
                <w:color w:val="1A1C1E"/>
                <w:kern w:val="0"/>
                <w:szCs w:val="24"/>
                <w:lang w:eastAsia="en-IN"/>
                <w14:ligatures w14:val="none"/>
              </w:rPr>
              <w:t>Mysore</w:t>
            </w:r>
          </w:p>
        </w:tc>
        <w:tc>
          <w:tcPr>
            <w:tcW w:w="2444" w:type="dxa"/>
            <w:tcBorders>
              <w:top w:val="nil"/>
              <w:left w:val="nil"/>
              <w:bottom w:val="single" w:sz="4" w:space="0" w:color="auto"/>
              <w:right w:val="single" w:sz="4" w:space="0" w:color="auto"/>
            </w:tcBorders>
            <w:shd w:val="clear" w:color="000000" w:fill="FFFFFF"/>
            <w:vAlign w:val="center"/>
            <w:hideMark/>
          </w:tcPr>
          <w:p w14:paraId="72924703" w14:textId="77777777" w:rsidR="00712DC0" w:rsidRPr="00787C93" w:rsidRDefault="00712DC0" w:rsidP="00B77C0B">
            <w:pPr>
              <w:spacing w:after="0" w:line="240" w:lineRule="auto"/>
              <w:ind w:firstLineChars="100" w:firstLine="240"/>
              <w:rPr>
                <w:rFonts w:ascii="Times New Roman" w:eastAsia="Times New Roman" w:hAnsi="Times New Roman" w:cs="Times New Roman"/>
                <w:color w:val="1A1C1E"/>
                <w:kern w:val="0"/>
                <w:szCs w:val="24"/>
                <w:lang w:eastAsia="en-IN"/>
                <w14:ligatures w14:val="none"/>
              </w:rPr>
            </w:pPr>
            <w:r w:rsidRPr="00787C93">
              <w:rPr>
                <w:rFonts w:ascii="Times New Roman" w:eastAsia="Times New Roman" w:hAnsi="Times New Roman" w:cs="Times New Roman"/>
                <w:color w:val="1A1C1E"/>
                <w:kern w:val="0"/>
                <w:szCs w:val="24"/>
                <w:lang w:eastAsia="en-IN"/>
                <w14:ligatures w14:val="none"/>
              </w:rPr>
              <w:t>16</w:t>
            </w:r>
          </w:p>
        </w:tc>
        <w:tc>
          <w:tcPr>
            <w:tcW w:w="2265" w:type="dxa"/>
            <w:tcBorders>
              <w:top w:val="nil"/>
              <w:left w:val="nil"/>
              <w:bottom w:val="single" w:sz="4" w:space="0" w:color="auto"/>
              <w:right w:val="single" w:sz="4" w:space="0" w:color="auto"/>
            </w:tcBorders>
            <w:shd w:val="clear" w:color="000000" w:fill="FFFFFF"/>
            <w:vAlign w:val="center"/>
            <w:hideMark/>
          </w:tcPr>
          <w:p w14:paraId="70BB2EDB" w14:textId="77777777" w:rsidR="00712DC0" w:rsidRPr="00787C93" w:rsidRDefault="00712DC0" w:rsidP="00B77C0B">
            <w:pPr>
              <w:spacing w:after="0" w:line="240" w:lineRule="auto"/>
              <w:ind w:firstLineChars="100" w:firstLine="240"/>
              <w:rPr>
                <w:rFonts w:ascii="Times New Roman" w:eastAsia="Times New Roman" w:hAnsi="Times New Roman" w:cs="Times New Roman"/>
                <w:color w:val="1A1C1E"/>
                <w:kern w:val="0"/>
                <w:szCs w:val="24"/>
                <w:lang w:eastAsia="en-IN"/>
                <w14:ligatures w14:val="none"/>
              </w:rPr>
            </w:pPr>
            <w:r w:rsidRPr="00787C93">
              <w:rPr>
                <w:rFonts w:ascii="Times New Roman" w:eastAsia="Times New Roman" w:hAnsi="Times New Roman" w:cs="Times New Roman"/>
                <w:color w:val="1A1C1E"/>
                <w:kern w:val="0"/>
                <w:szCs w:val="24"/>
                <w:lang w:eastAsia="en-IN"/>
                <w14:ligatures w14:val="none"/>
              </w:rPr>
              <w:t>8</w:t>
            </w:r>
          </w:p>
        </w:tc>
        <w:tc>
          <w:tcPr>
            <w:tcW w:w="2543" w:type="dxa"/>
            <w:tcBorders>
              <w:top w:val="nil"/>
              <w:left w:val="nil"/>
              <w:bottom w:val="single" w:sz="4" w:space="0" w:color="auto"/>
              <w:right w:val="single" w:sz="4" w:space="0" w:color="auto"/>
            </w:tcBorders>
            <w:shd w:val="clear" w:color="000000" w:fill="FFFFFF"/>
            <w:vAlign w:val="center"/>
            <w:hideMark/>
          </w:tcPr>
          <w:p w14:paraId="58016FA2" w14:textId="77777777" w:rsidR="00712DC0" w:rsidRPr="00787C93" w:rsidRDefault="00712DC0" w:rsidP="00B77C0B">
            <w:pPr>
              <w:spacing w:after="0" w:line="240" w:lineRule="auto"/>
              <w:ind w:firstLineChars="100" w:firstLine="240"/>
              <w:rPr>
                <w:rFonts w:ascii="Times New Roman" w:eastAsia="Times New Roman" w:hAnsi="Times New Roman" w:cs="Times New Roman"/>
                <w:color w:val="1A1C1E"/>
                <w:kern w:val="0"/>
                <w:szCs w:val="24"/>
                <w:lang w:eastAsia="en-IN"/>
                <w14:ligatures w14:val="none"/>
              </w:rPr>
            </w:pPr>
            <w:r w:rsidRPr="00787C93">
              <w:rPr>
                <w:rFonts w:ascii="Times New Roman" w:eastAsia="Times New Roman" w:hAnsi="Times New Roman" w:cs="Times New Roman"/>
                <w:color w:val="1A1C1E"/>
                <w:kern w:val="0"/>
                <w:szCs w:val="24"/>
                <w:lang w:eastAsia="en-IN"/>
                <w14:ligatures w14:val="none"/>
              </w:rPr>
              <w:t>30 to 45</w:t>
            </w:r>
          </w:p>
        </w:tc>
      </w:tr>
      <w:tr w:rsidR="00712DC0" w:rsidRPr="00787C93" w14:paraId="5529B559" w14:textId="77777777" w:rsidTr="00787C93">
        <w:trPr>
          <w:trHeight w:val="676"/>
          <w:jc w:val="center"/>
        </w:trPr>
        <w:tc>
          <w:tcPr>
            <w:tcW w:w="3397" w:type="dxa"/>
            <w:tcBorders>
              <w:top w:val="nil"/>
              <w:left w:val="single" w:sz="4" w:space="0" w:color="auto"/>
              <w:bottom w:val="single" w:sz="4" w:space="0" w:color="auto"/>
              <w:right w:val="single" w:sz="4" w:space="0" w:color="auto"/>
            </w:tcBorders>
            <w:shd w:val="clear" w:color="000000" w:fill="FFFFFF"/>
            <w:vAlign w:val="center"/>
            <w:hideMark/>
          </w:tcPr>
          <w:p w14:paraId="7531CB0E" w14:textId="77777777" w:rsidR="00712DC0" w:rsidRPr="00787C93" w:rsidRDefault="00712DC0" w:rsidP="00B77C0B">
            <w:pPr>
              <w:spacing w:after="0" w:line="240" w:lineRule="auto"/>
              <w:ind w:firstLineChars="100" w:firstLine="240"/>
              <w:rPr>
                <w:rFonts w:ascii="Times New Roman" w:eastAsia="Times New Roman" w:hAnsi="Times New Roman" w:cs="Times New Roman"/>
                <w:color w:val="1A1C1E"/>
                <w:kern w:val="0"/>
                <w:szCs w:val="24"/>
                <w:lang w:eastAsia="en-IN"/>
                <w14:ligatures w14:val="none"/>
              </w:rPr>
            </w:pPr>
            <w:r w:rsidRPr="00787C93">
              <w:rPr>
                <w:rFonts w:ascii="Times New Roman" w:eastAsia="Times New Roman" w:hAnsi="Times New Roman" w:cs="Times New Roman"/>
                <w:color w:val="1A1C1E"/>
                <w:kern w:val="0"/>
                <w:szCs w:val="24"/>
                <w:lang w:eastAsia="en-IN"/>
                <w14:ligatures w14:val="none"/>
              </w:rPr>
              <w:t>Orissa</w:t>
            </w:r>
          </w:p>
        </w:tc>
        <w:tc>
          <w:tcPr>
            <w:tcW w:w="2444" w:type="dxa"/>
            <w:tcBorders>
              <w:top w:val="nil"/>
              <w:left w:val="nil"/>
              <w:bottom w:val="single" w:sz="4" w:space="0" w:color="auto"/>
              <w:right w:val="single" w:sz="4" w:space="0" w:color="auto"/>
            </w:tcBorders>
            <w:shd w:val="clear" w:color="000000" w:fill="FFFFFF"/>
            <w:vAlign w:val="center"/>
            <w:hideMark/>
          </w:tcPr>
          <w:p w14:paraId="1247C303" w14:textId="77777777" w:rsidR="00712DC0" w:rsidRPr="00787C93" w:rsidRDefault="00712DC0" w:rsidP="00B77C0B">
            <w:pPr>
              <w:spacing w:after="0" w:line="240" w:lineRule="auto"/>
              <w:ind w:firstLineChars="100" w:firstLine="240"/>
              <w:rPr>
                <w:rFonts w:ascii="Times New Roman" w:eastAsia="Times New Roman" w:hAnsi="Times New Roman" w:cs="Times New Roman"/>
                <w:color w:val="1A1C1E"/>
                <w:kern w:val="0"/>
                <w:szCs w:val="24"/>
                <w:lang w:eastAsia="en-IN"/>
                <w14:ligatures w14:val="none"/>
              </w:rPr>
            </w:pPr>
            <w:r w:rsidRPr="00787C93">
              <w:rPr>
                <w:rFonts w:ascii="Times New Roman" w:eastAsia="Times New Roman" w:hAnsi="Times New Roman" w:cs="Times New Roman"/>
                <w:color w:val="1A1C1E"/>
                <w:kern w:val="0"/>
                <w:szCs w:val="24"/>
                <w:lang w:eastAsia="en-IN"/>
                <w14:ligatures w14:val="none"/>
              </w:rPr>
              <w:t>20 to 30</w:t>
            </w:r>
          </w:p>
        </w:tc>
        <w:tc>
          <w:tcPr>
            <w:tcW w:w="2265" w:type="dxa"/>
            <w:tcBorders>
              <w:top w:val="nil"/>
              <w:left w:val="nil"/>
              <w:bottom w:val="single" w:sz="4" w:space="0" w:color="auto"/>
              <w:right w:val="single" w:sz="4" w:space="0" w:color="auto"/>
            </w:tcBorders>
            <w:shd w:val="clear" w:color="000000" w:fill="FFFFFF"/>
            <w:vAlign w:val="center"/>
            <w:hideMark/>
          </w:tcPr>
          <w:p w14:paraId="6611055B" w14:textId="77777777" w:rsidR="00712DC0" w:rsidRPr="00787C93" w:rsidRDefault="00712DC0" w:rsidP="00B77C0B">
            <w:pPr>
              <w:spacing w:after="0" w:line="240" w:lineRule="auto"/>
              <w:ind w:firstLineChars="100" w:firstLine="240"/>
              <w:rPr>
                <w:rFonts w:ascii="Times New Roman" w:eastAsia="Times New Roman" w:hAnsi="Times New Roman" w:cs="Times New Roman"/>
                <w:color w:val="1A1C1E"/>
                <w:kern w:val="0"/>
                <w:szCs w:val="24"/>
                <w:lang w:eastAsia="en-IN"/>
                <w14:ligatures w14:val="none"/>
              </w:rPr>
            </w:pPr>
            <w:r w:rsidRPr="00787C93">
              <w:rPr>
                <w:rFonts w:ascii="Times New Roman" w:eastAsia="Times New Roman" w:hAnsi="Times New Roman" w:cs="Times New Roman"/>
                <w:color w:val="1A1C1E"/>
                <w:kern w:val="0"/>
                <w:szCs w:val="24"/>
                <w:lang w:eastAsia="en-IN"/>
                <w14:ligatures w14:val="none"/>
              </w:rPr>
              <w:t>4 to 10</w:t>
            </w:r>
          </w:p>
        </w:tc>
        <w:tc>
          <w:tcPr>
            <w:tcW w:w="2543" w:type="dxa"/>
            <w:tcBorders>
              <w:top w:val="nil"/>
              <w:left w:val="nil"/>
              <w:bottom w:val="single" w:sz="4" w:space="0" w:color="auto"/>
              <w:right w:val="single" w:sz="4" w:space="0" w:color="auto"/>
            </w:tcBorders>
            <w:shd w:val="clear" w:color="000000" w:fill="FFFFFF"/>
            <w:vAlign w:val="center"/>
            <w:hideMark/>
          </w:tcPr>
          <w:p w14:paraId="360767E6" w14:textId="77777777" w:rsidR="00712DC0" w:rsidRPr="00787C93" w:rsidRDefault="00712DC0" w:rsidP="00B77C0B">
            <w:pPr>
              <w:spacing w:after="0" w:line="240" w:lineRule="auto"/>
              <w:ind w:firstLineChars="100" w:firstLine="240"/>
              <w:rPr>
                <w:rFonts w:ascii="Times New Roman" w:eastAsia="Times New Roman" w:hAnsi="Times New Roman" w:cs="Times New Roman"/>
                <w:color w:val="1A1C1E"/>
                <w:kern w:val="0"/>
                <w:szCs w:val="24"/>
                <w:lang w:eastAsia="en-IN"/>
                <w14:ligatures w14:val="none"/>
              </w:rPr>
            </w:pPr>
            <w:r w:rsidRPr="00787C93">
              <w:rPr>
                <w:rFonts w:ascii="Times New Roman" w:eastAsia="Times New Roman" w:hAnsi="Times New Roman" w:cs="Times New Roman"/>
                <w:color w:val="1A1C1E"/>
                <w:kern w:val="0"/>
                <w:szCs w:val="24"/>
                <w:lang w:eastAsia="en-IN"/>
                <w14:ligatures w14:val="none"/>
              </w:rPr>
              <w:t>21</w:t>
            </w:r>
          </w:p>
        </w:tc>
      </w:tr>
      <w:tr w:rsidR="00712DC0" w:rsidRPr="00787C93" w14:paraId="7772F94D" w14:textId="77777777" w:rsidTr="00787C93">
        <w:trPr>
          <w:trHeight w:val="490"/>
          <w:jc w:val="center"/>
        </w:trPr>
        <w:tc>
          <w:tcPr>
            <w:tcW w:w="3397" w:type="dxa"/>
            <w:tcBorders>
              <w:top w:val="nil"/>
              <w:left w:val="single" w:sz="4" w:space="0" w:color="auto"/>
              <w:bottom w:val="single" w:sz="4" w:space="0" w:color="auto"/>
              <w:right w:val="single" w:sz="4" w:space="0" w:color="auto"/>
            </w:tcBorders>
            <w:shd w:val="clear" w:color="000000" w:fill="FFFFFF"/>
            <w:vAlign w:val="center"/>
            <w:hideMark/>
          </w:tcPr>
          <w:p w14:paraId="3C1F0C85" w14:textId="77777777" w:rsidR="00712DC0" w:rsidRPr="00787C93" w:rsidRDefault="00712DC0" w:rsidP="00B77C0B">
            <w:pPr>
              <w:spacing w:after="0" w:line="240" w:lineRule="auto"/>
              <w:ind w:firstLineChars="100" w:firstLine="240"/>
              <w:rPr>
                <w:rFonts w:ascii="Times New Roman" w:eastAsia="Times New Roman" w:hAnsi="Times New Roman" w:cs="Times New Roman"/>
                <w:color w:val="1A1C1E"/>
                <w:kern w:val="0"/>
                <w:szCs w:val="24"/>
                <w:lang w:eastAsia="en-IN"/>
                <w14:ligatures w14:val="none"/>
              </w:rPr>
            </w:pPr>
            <w:r w:rsidRPr="00787C93">
              <w:rPr>
                <w:rFonts w:ascii="Times New Roman" w:eastAsia="Times New Roman" w:hAnsi="Times New Roman" w:cs="Times New Roman"/>
                <w:color w:val="1A1C1E"/>
                <w:kern w:val="0"/>
                <w:szCs w:val="24"/>
                <w:lang w:eastAsia="en-IN"/>
                <w14:ligatures w14:val="none"/>
              </w:rPr>
              <w:t>Punjab &amp; Haryana</w:t>
            </w:r>
          </w:p>
        </w:tc>
        <w:tc>
          <w:tcPr>
            <w:tcW w:w="2444" w:type="dxa"/>
            <w:tcBorders>
              <w:top w:val="nil"/>
              <w:left w:val="nil"/>
              <w:bottom w:val="single" w:sz="4" w:space="0" w:color="auto"/>
              <w:right w:val="single" w:sz="4" w:space="0" w:color="auto"/>
            </w:tcBorders>
            <w:shd w:val="clear" w:color="000000" w:fill="FFFFFF"/>
            <w:vAlign w:val="center"/>
            <w:hideMark/>
          </w:tcPr>
          <w:p w14:paraId="0E302775" w14:textId="77777777" w:rsidR="00712DC0" w:rsidRPr="00787C93" w:rsidRDefault="00712DC0" w:rsidP="00B77C0B">
            <w:pPr>
              <w:spacing w:after="0" w:line="240" w:lineRule="auto"/>
              <w:ind w:firstLineChars="100" w:firstLine="240"/>
              <w:rPr>
                <w:rFonts w:ascii="Times New Roman" w:eastAsia="Times New Roman" w:hAnsi="Times New Roman" w:cs="Times New Roman"/>
                <w:color w:val="1A1C1E"/>
                <w:kern w:val="0"/>
                <w:szCs w:val="24"/>
                <w:lang w:eastAsia="en-IN"/>
                <w14:ligatures w14:val="none"/>
              </w:rPr>
            </w:pPr>
            <w:r w:rsidRPr="00787C93">
              <w:rPr>
                <w:rFonts w:ascii="Times New Roman" w:eastAsia="Times New Roman" w:hAnsi="Times New Roman" w:cs="Times New Roman"/>
                <w:color w:val="1A1C1E"/>
                <w:kern w:val="0"/>
                <w:szCs w:val="24"/>
                <w:lang w:eastAsia="en-IN"/>
                <w14:ligatures w14:val="none"/>
              </w:rPr>
              <w:t>4.5 to 9.88</w:t>
            </w:r>
          </w:p>
        </w:tc>
        <w:tc>
          <w:tcPr>
            <w:tcW w:w="2265" w:type="dxa"/>
            <w:tcBorders>
              <w:top w:val="nil"/>
              <w:left w:val="nil"/>
              <w:bottom w:val="single" w:sz="4" w:space="0" w:color="auto"/>
              <w:right w:val="single" w:sz="4" w:space="0" w:color="auto"/>
            </w:tcBorders>
            <w:shd w:val="clear" w:color="000000" w:fill="FFFFFF"/>
            <w:vAlign w:val="center"/>
            <w:hideMark/>
          </w:tcPr>
          <w:p w14:paraId="68665E83" w14:textId="77777777" w:rsidR="00712DC0" w:rsidRPr="00787C93" w:rsidRDefault="00712DC0" w:rsidP="00B77C0B">
            <w:pPr>
              <w:spacing w:after="0" w:line="240" w:lineRule="auto"/>
              <w:ind w:firstLineChars="100" w:firstLine="240"/>
              <w:rPr>
                <w:rFonts w:ascii="Times New Roman" w:eastAsia="Times New Roman" w:hAnsi="Times New Roman" w:cs="Times New Roman"/>
                <w:color w:val="1A1C1E"/>
                <w:kern w:val="0"/>
                <w:szCs w:val="24"/>
                <w:lang w:eastAsia="en-IN"/>
                <w14:ligatures w14:val="none"/>
              </w:rPr>
            </w:pPr>
            <w:r w:rsidRPr="00787C93">
              <w:rPr>
                <w:rFonts w:ascii="Times New Roman" w:eastAsia="Times New Roman" w:hAnsi="Times New Roman" w:cs="Times New Roman"/>
                <w:color w:val="1A1C1E"/>
                <w:kern w:val="0"/>
                <w:szCs w:val="24"/>
                <w:lang w:eastAsia="en-IN"/>
                <w14:ligatures w14:val="none"/>
              </w:rPr>
              <w:t>2.75 to 5.84</w:t>
            </w:r>
          </w:p>
        </w:tc>
        <w:tc>
          <w:tcPr>
            <w:tcW w:w="2543" w:type="dxa"/>
            <w:tcBorders>
              <w:top w:val="nil"/>
              <w:left w:val="nil"/>
              <w:bottom w:val="single" w:sz="4" w:space="0" w:color="auto"/>
              <w:right w:val="single" w:sz="4" w:space="0" w:color="auto"/>
            </w:tcBorders>
            <w:shd w:val="clear" w:color="000000" w:fill="FFFFFF"/>
            <w:vAlign w:val="center"/>
            <w:hideMark/>
          </w:tcPr>
          <w:p w14:paraId="3A44AB78" w14:textId="77777777" w:rsidR="00712DC0" w:rsidRPr="00787C93" w:rsidRDefault="00712DC0" w:rsidP="00B77C0B">
            <w:pPr>
              <w:spacing w:after="0" w:line="240" w:lineRule="auto"/>
              <w:ind w:firstLineChars="100" w:firstLine="240"/>
              <w:rPr>
                <w:rFonts w:ascii="Times New Roman" w:eastAsia="Times New Roman" w:hAnsi="Times New Roman" w:cs="Times New Roman"/>
                <w:color w:val="1A1C1E"/>
                <w:kern w:val="0"/>
                <w:szCs w:val="24"/>
                <w:lang w:eastAsia="en-IN"/>
                <w14:ligatures w14:val="none"/>
              </w:rPr>
            </w:pPr>
            <w:r w:rsidRPr="00787C93">
              <w:rPr>
                <w:rFonts w:ascii="Times New Roman" w:eastAsia="Times New Roman" w:hAnsi="Times New Roman" w:cs="Times New Roman"/>
                <w:color w:val="1A1C1E"/>
                <w:kern w:val="0"/>
                <w:szCs w:val="24"/>
                <w:lang w:eastAsia="en-IN"/>
                <w14:ligatures w14:val="none"/>
              </w:rPr>
              <w:t>5.45 to 16.62</w:t>
            </w:r>
          </w:p>
        </w:tc>
      </w:tr>
      <w:tr w:rsidR="00712DC0" w:rsidRPr="00787C93" w14:paraId="15FF10F7" w14:textId="77777777" w:rsidTr="00787C93">
        <w:trPr>
          <w:trHeight w:val="439"/>
          <w:jc w:val="center"/>
        </w:trPr>
        <w:tc>
          <w:tcPr>
            <w:tcW w:w="3397" w:type="dxa"/>
            <w:tcBorders>
              <w:top w:val="nil"/>
              <w:left w:val="single" w:sz="4" w:space="0" w:color="auto"/>
              <w:bottom w:val="single" w:sz="4" w:space="0" w:color="auto"/>
              <w:right w:val="single" w:sz="4" w:space="0" w:color="auto"/>
            </w:tcBorders>
            <w:shd w:val="clear" w:color="000000" w:fill="FFFFFF"/>
            <w:vAlign w:val="center"/>
            <w:hideMark/>
          </w:tcPr>
          <w:p w14:paraId="10D2EF98" w14:textId="77777777" w:rsidR="00712DC0" w:rsidRPr="00787C93" w:rsidRDefault="00712DC0" w:rsidP="00B77C0B">
            <w:pPr>
              <w:spacing w:after="0" w:line="240" w:lineRule="auto"/>
              <w:ind w:firstLineChars="100" w:firstLine="240"/>
              <w:rPr>
                <w:rFonts w:ascii="Times New Roman" w:eastAsia="Times New Roman" w:hAnsi="Times New Roman" w:cs="Times New Roman"/>
                <w:color w:val="1A1C1E"/>
                <w:kern w:val="0"/>
                <w:szCs w:val="24"/>
                <w:lang w:eastAsia="en-IN"/>
                <w14:ligatures w14:val="none"/>
              </w:rPr>
            </w:pPr>
            <w:r w:rsidRPr="00787C93">
              <w:rPr>
                <w:rFonts w:ascii="Times New Roman" w:eastAsia="Times New Roman" w:hAnsi="Times New Roman" w:cs="Times New Roman"/>
                <w:color w:val="1A1C1E"/>
                <w:kern w:val="0"/>
                <w:szCs w:val="24"/>
                <w:lang w:eastAsia="en-IN"/>
                <w14:ligatures w14:val="none"/>
              </w:rPr>
              <w:t>Rajasthan</w:t>
            </w:r>
          </w:p>
        </w:tc>
        <w:tc>
          <w:tcPr>
            <w:tcW w:w="2444" w:type="dxa"/>
            <w:tcBorders>
              <w:top w:val="nil"/>
              <w:left w:val="nil"/>
              <w:bottom w:val="single" w:sz="4" w:space="0" w:color="auto"/>
              <w:right w:val="single" w:sz="4" w:space="0" w:color="auto"/>
            </w:tcBorders>
            <w:shd w:val="clear" w:color="000000" w:fill="FFFFFF"/>
            <w:vAlign w:val="center"/>
            <w:hideMark/>
          </w:tcPr>
          <w:p w14:paraId="073E4DFF" w14:textId="77777777" w:rsidR="00712DC0" w:rsidRPr="00787C93" w:rsidRDefault="00712DC0" w:rsidP="00B77C0B">
            <w:pPr>
              <w:spacing w:after="0" w:line="240" w:lineRule="auto"/>
              <w:ind w:firstLineChars="100" w:firstLine="240"/>
              <w:rPr>
                <w:rFonts w:ascii="Times New Roman" w:eastAsia="Times New Roman" w:hAnsi="Times New Roman" w:cs="Times New Roman"/>
                <w:color w:val="1A1C1E"/>
                <w:kern w:val="0"/>
                <w:szCs w:val="24"/>
                <w:lang w:eastAsia="en-IN"/>
                <w14:ligatures w14:val="none"/>
              </w:rPr>
            </w:pPr>
            <w:r w:rsidRPr="00787C93">
              <w:rPr>
                <w:rFonts w:ascii="Times New Roman" w:eastAsia="Times New Roman" w:hAnsi="Times New Roman" w:cs="Times New Roman"/>
                <w:color w:val="1A1C1E"/>
                <w:kern w:val="0"/>
                <w:szCs w:val="24"/>
                <w:lang w:eastAsia="en-IN"/>
                <w14:ligatures w14:val="none"/>
              </w:rPr>
              <w:t>8.5 to 9.0</w:t>
            </w:r>
          </w:p>
        </w:tc>
        <w:tc>
          <w:tcPr>
            <w:tcW w:w="2265" w:type="dxa"/>
            <w:tcBorders>
              <w:top w:val="nil"/>
              <w:left w:val="nil"/>
              <w:bottom w:val="single" w:sz="4" w:space="0" w:color="auto"/>
              <w:right w:val="single" w:sz="4" w:space="0" w:color="auto"/>
            </w:tcBorders>
            <w:shd w:val="clear" w:color="000000" w:fill="FFFFFF"/>
            <w:vAlign w:val="center"/>
            <w:hideMark/>
          </w:tcPr>
          <w:p w14:paraId="7C42F6D1" w14:textId="77777777" w:rsidR="00712DC0" w:rsidRPr="00787C93" w:rsidRDefault="00712DC0" w:rsidP="00B77C0B">
            <w:pPr>
              <w:spacing w:after="0" w:line="240" w:lineRule="auto"/>
              <w:ind w:firstLineChars="100" w:firstLine="240"/>
              <w:rPr>
                <w:rFonts w:ascii="Times New Roman" w:eastAsia="Times New Roman" w:hAnsi="Times New Roman" w:cs="Times New Roman"/>
                <w:color w:val="1A1C1E"/>
                <w:kern w:val="0"/>
                <w:szCs w:val="24"/>
                <w:lang w:eastAsia="en-IN"/>
                <w14:ligatures w14:val="none"/>
              </w:rPr>
            </w:pPr>
            <w:r w:rsidRPr="00787C93">
              <w:rPr>
                <w:rFonts w:ascii="Times New Roman" w:eastAsia="Times New Roman" w:hAnsi="Times New Roman" w:cs="Times New Roman"/>
                <w:color w:val="1A1C1E"/>
                <w:kern w:val="0"/>
                <w:szCs w:val="24"/>
                <w:lang w:eastAsia="en-IN"/>
                <w14:ligatures w14:val="none"/>
              </w:rPr>
              <w:t>6 to 10</w:t>
            </w:r>
          </w:p>
        </w:tc>
        <w:tc>
          <w:tcPr>
            <w:tcW w:w="2543" w:type="dxa"/>
            <w:tcBorders>
              <w:top w:val="nil"/>
              <w:left w:val="nil"/>
              <w:bottom w:val="single" w:sz="4" w:space="0" w:color="auto"/>
              <w:right w:val="single" w:sz="4" w:space="0" w:color="auto"/>
            </w:tcBorders>
            <w:shd w:val="clear" w:color="000000" w:fill="FFFFFF"/>
            <w:vAlign w:val="center"/>
            <w:hideMark/>
          </w:tcPr>
          <w:p w14:paraId="30039F32" w14:textId="77777777" w:rsidR="00712DC0" w:rsidRPr="00787C93" w:rsidRDefault="00712DC0" w:rsidP="00B77C0B">
            <w:pPr>
              <w:spacing w:after="0" w:line="240" w:lineRule="auto"/>
              <w:ind w:firstLineChars="100" w:firstLine="240"/>
              <w:rPr>
                <w:rFonts w:ascii="Times New Roman" w:eastAsia="Times New Roman" w:hAnsi="Times New Roman" w:cs="Times New Roman"/>
                <w:color w:val="1A1C1E"/>
                <w:kern w:val="0"/>
                <w:szCs w:val="24"/>
                <w:lang w:eastAsia="en-IN"/>
                <w14:ligatures w14:val="none"/>
              </w:rPr>
            </w:pPr>
            <w:r w:rsidRPr="00787C93">
              <w:rPr>
                <w:rFonts w:ascii="Times New Roman" w:eastAsia="Times New Roman" w:hAnsi="Times New Roman" w:cs="Times New Roman"/>
                <w:color w:val="1A1C1E"/>
                <w:kern w:val="0"/>
                <w:szCs w:val="24"/>
                <w:lang w:eastAsia="en-IN"/>
                <w14:ligatures w14:val="none"/>
              </w:rPr>
              <w:t>21.5 to 27</w:t>
            </w:r>
          </w:p>
        </w:tc>
      </w:tr>
      <w:tr w:rsidR="00712DC0" w:rsidRPr="00787C93" w14:paraId="36CA155C" w14:textId="77777777" w:rsidTr="00787C93">
        <w:trPr>
          <w:trHeight w:val="338"/>
          <w:jc w:val="center"/>
        </w:trPr>
        <w:tc>
          <w:tcPr>
            <w:tcW w:w="3397" w:type="dxa"/>
            <w:tcBorders>
              <w:top w:val="nil"/>
              <w:left w:val="single" w:sz="4" w:space="0" w:color="auto"/>
              <w:bottom w:val="single" w:sz="4" w:space="0" w:color="auto"/>
              <w:right w:val="single" w:sz="4" w:space="0" w:color="auto"/>
            </w:tcBorders>
            <w:shd w:val="clear" w:color="000000" w:fill="FFFFFF"/>
            <w:vAlign w:val="center"/>
            <w:hideMark/>
          </w:tcPr>
          <w:p w14:paraId="753A985D" w14:textId="77777777" w:rsidR="00712DC0" w:rsidRPr="00787C93" w:rsidRDefault="00712DC0" w:rsidP="00B77C0B">
            <w:pPr>
              <w:spacing w:after="0" w:line="240" w:lineRule="auto"/>
              <w:ind w:firstLineChars="100" w:firstLine="240"/>
              <w:rPr>
                <w:rFonts w:ascii="Times New Roman" w:eastAsia="Times New Roman" w:hAnsi="Times New Roman" w:cs="Times New Roman"/>
                <w:color w:val="1A1C1E"/>
                <w:kern w:val="0"/>
                <w:szCs w:val="24"/>
                <w:lang w:eastAsia="en-IN"/>
                <w14:ligatures w14:val="none"/>
              </w:rPr>
            </w:pPr>
            <w:r w:rsidRPr="00787C93">
              <w:rPr>
                <w:rFonts w:ascii="Times New Roman" w:eastAsia="Times New Roman" w:hAnsi="Times New Roman" w:cs="Times New Roman"/>
                <w:color w:val="1A1C1E"/>
                <w:kern w:val="0"/>
                <w:szCs w:val="24"/>
                <w:lang w:eastAsia="en-IN"/>
                <w14:ligatures w14:val="none"/>
              </w:rPr>
              <w:t>Tamil Nadu</w:t>
            </w:r>
          </w:p>
        </w:tc>
        <w:tc>
          <w:tcPr>
            <w:tcW w:w="2444" w:type="dxa"/>
            <w:tcBorders>
              <w:top w:val="nil"/>
              <w:left w:val="nil"/>
              <w:bottom w:val="single" w:sz="4" w:space="0" w:color="auto"/>
              <w:right w:val="single" w:sz="4" w:space="0" w:color="auto"/>
            </w:tcBorders>
            <w:shd w:val="clear" w:color="000000" w:fill="FFFFFF"/>
            <w:vAlign w:val="center"/>
            <w:hideMark/>
          </w:tcPr>
          <w:p w14:paraId="63F4104F" w14:textId="77777777" w:rsidR="00712DC0" w:rsidRPr="00787C93" w:rsidRDefault="00712DC0" w:rsidP="00B77C0B">
            <w:pPr>
              <w:spacing w:after="0" w:line="240" w:lineRule="auto"/>
              <w:ind w:firstLineChars="100" w:firstLine="240"/>
              <w:rPr>
                <w:rFonts w:ascii="Times New Roman" w:eastAsia="Times New Roman" w:hAnsi="Times New Roman" w:cs="Times New Roman"/>
                <w:color w:val="1A1C1E"/>
                <w:kern w:val="0"/>
                <w:szCs w:val="24"/>
                <w:lang w:eastAsia="en-IN"/>
                <w14:ligatures w14:val="none"/>
              </w:rPr>
            </w:pPr>
            <w:r w:rsidRPr="00787C93">
              <w:rPr>
                <w:rFonts w:ascii="Times New Roman" w:eastAsia="Times New Roman" w:hAnsi="Times New Roman" w:cs="Times New Roman"/>
                <w:color w:val="1A1C1E"/>
                <w:kern w:val="0"/>
                <w:szCs w:val="24"/>
                <w:lang w:eastAsia="en-IN"/>
                <w14:ligatures w14:val="none"/>
              </w:rPr>
              <w:t>3.75 to 15</w:t>
            </w:r>
          </w:p>
        </w:tc>
        <w:tc>
          <w:tcPr>
            <w:tcW w:w="2265" w:type="dxa"/>
            <w:tcBorders>
              <w:top w:val="nil"/>
              <w:left w:val="nil"/>
              <w:bottom w:val="single" w:sz="4" w:space="0" w:color="auto"/>
              <w:right w:val="single" w:sz="4" w:space="0" w:color="auto"/>
            </w:tcBorders>
            <w:shd w:val="clear" w:color="000000" w:fill="FFFFFF"/>
            <w:vAlign w:val="center"/>
            <w:hideMark/>
          </w:tcPr>
          <w:p w14:paraId="25228F87" w14:textId="77777777" w:rsidR="00712DC0" w:rsidRPr="00787C93" w:rsidRDefault="00712DC0" w:rsidP="00B77C0B">
            <w:pPr>
              <w:spacing w:after="0" w:line="240" w:lineRule="auto"/>
              <w:ind w:firstLineChars="100" w:firstLine="240"/>
              <w:rPr>
                <w:rFonts w:ascii="Times New Roman" w:eastAsia="Times New Roman" w:hAnsi="Times New Roman" w:cs="Times New Roman"/>
                <w:color w:val="1A1C1E"/>
                <w:kern w:val="0"/>
                <w:szCs w:val="24"/>
                <w:lang w:eastAsia="en-IN"/>
                <w14:ligatures w14:val="none"/>
              </w:rPr>
            </w:pPr>
            <w:r w:rsidRPr="00787C93">
              <w:rPr>
                <w:rFonts w:ascii="Times New Roman" w:eastAsia="Times New Roman" w:hAnsi="Times New Roman" w:cs="Times New Roman"/>
                <w:color w:val="1A1C1E"/>
                <w:kern w:val="0"/>
                <w:szCs w:val="24"/>
                <w:lang w:eastAsia="en-IN"/>
                <w14:ligatures w14:val="none"/>
              </w:rPr>
              <w:t>..</w:t>
            </w:r>
          </w:p>
        </w:tc>
        <w:tc>
          <w:tcPr>
            <w:tcW w:w="2543" w:type="dxa"/>
            <w:tcBorders>
              <w:top w:val="nil"/>
              <w:left w:val="nil"/>
              <w:bottom w:val="single" w:sz="4" w:space="0" w:color="auto"/>
              <w:right w:val="single" w:sz="4" w:space="0" w:color="auto"/>
            </w:tcBorders>
            <w:shd w:val="clear" w:color="000000" w:fill="FFFFFF"/>
            <w:vAlign w:val="center"/>
            <w:hideMark/>
          </w:tcPr>
          <w:p w14:paraId="39E8E5F1" w14:textId="77777777" w:rsidR="00712DC0" w:rsidRPr="00787C93" w:rsidRDefault="00712DC0" w:rsidP="00B77C0B">
            <w:pPr>
              <w:spacing w:after="0" w:line="240" w:lineRule="auto"/>
              <w:ind w:firstLineChars="100" w:firstLine="240"/>
              <w:rPr>
                <w:rFonts w:ascii="Times New Roman" w:eastAsia="Times New Roman" w:hAnsi="Times New Roman" w:cs="Times New Roman"/>
                <w:color w:val="1A1C1E"/>
                <w:kern w:val="0"/>
                <w:szCs w:val="24"/>
                <w:lang w:eastAsia="en-IN"/>
                <w14:ligatures w14:val="none"/>
              </w:rPr>
            </w:pPr>
            <w:r w:rsidRPr="00787C93">
              <w:rPr>
                <w:rFonts w:ascii="Times New Roman" w:eastAsia="Times New Roman" w:hAnsi="Times New Roman" w:cs="Times New Roman"/>
                <w:color w:val="1A1C1E"/>
                <w:kern w:val="0"/>
                <w:szCs w:val="24"/>
                <w:lang w:eastAsia="en-IN"/>
                <w14:ligatures w14:val="none"/>
              </w:rPr>
              <w:t>N.A.</w:t>
            </w:r>
          </w:p>
        </w:tc>
      </w:tr>
      <w:tr w:rsidR="00712DC0" w:rsidRPr="00787C93" w14:paraId="10663390" w14:textId="77777777" w:rsidTr="00787C93">
        <w:trPr>
          <w:trHeight w:val="676"/>
          <w:jc w:val="center"/>
        </w:trPr>
        <w:tc>
          <w:tcPr>
            <w:tcW w:w="3397" w:type="dxa"/>
            <w:tcBorders>
              <w:top w:val="nil"/>
              <w:left w:val="single" w:sz="4" w:space="0" w:color="auto"/>
              <w:bottom w:val="single" w:sz="4" w:space="0" w:color="auto"/>
              <w:right w:val="single" w:sz="4" w:space="0" w:color="auto"/>
            </w:tcBorders>
            <w:shd w:val="clear" w:color="000000" w:fill="FFFFFF"/>
            <w:vAlign w:val="center"/>
            <w:hideMark/>
          </w:tcPr>
          <w:p w14:paraId="01A236DA" w14:textId="77777777" w:rsidR="00712DC0" w:rsidRPr="00787C93" w:rsidRDefault="00712DC0" w:rsidP="00B77C0B">
            <w:pPr>
              <w:spacing w:after="0" w:line="240" w:lineRule="auto"/>
              <w:ind w:firstLineChars="100" w:firstLine="240"/>
              <w:rPr>
                <w:rFonts w:ascii="Times New Roman" w:eastAsia="Times New Roman" w:hAnsi="Times New Roman" w:cs="Times New Roman"/>
                <w:color w:val="1A1C1E"/>
                <w:kern w:val="0"/>
                <w:szCs w:val="24"/>
                <w:lang w:eastAsia="en-IN"/>
                <w14:ligatures w14:val="none"/>
              </w:rPr>
            </w:pPr>
            <w:r w:rsidRPr="00787C93">
              <w:rPr>
                <w:rFonts w:ascii="Times New Roman" w:eastAsia="Times New Roman" w:hAnsi="Times New Roman" w:cs="Times New Roman"/>
                <w:color w:val="1A1C1E"/>
                <w:kern w:val="0"/>
                <w:szCs w:val="24"/>
                <w:lang w:eastAsia="en-IN"/>
                <w14:ligatures w14:val="none"/>
              </w:rPr>
              <w:t>Uttar Pradesh</w:t>
            </w:r>
          </w:p>
        </w:tc>
        <w:tc>
          <w:tcPr>
            <w:tcW w:w="2444" w:type="dxa"/>
            <w:tcBorders>
              <w:top w:val="nil"/>
              <w:left w:val="nil"/>
              <w:bottom w:val="single" w:sz="4" w:space="0" w:color="auto"/>
              <w:right w:val="single" w:sz="4" w:space="0" w:color="auto"/>
            </w:tcBorders>
            <w:shd w:val="clear" w:color="000000" w:fill="FFFFFF"/>
            <w:vAlign w:val="center"/>
            <w:hideMark/>
          </w:tcPr>
          <w:p w14:paraId="471F0729" w14:textId="77777777" w:rsidR="00712DC0" w:rsidRPr="00787C93" w:rsidRDefault="00712DC0" w:rsidP="00B77C0B">
            <w:pPr>
              <w:spacing w:after="0" w:line="240" w:lineRule="auto"/>
              <w:ind w:firstLineChars="100" w:firstLine="240"/>
              <w:rPr>
                <w:rFonts w:ascii="Times New Roman" w:eastAsia="Times New Roman" w:hAnsi="Times New Roman" w:cs="Times New Roman"/>
                <w:color w:val="1A1C1E"/>
                <w:kern w:val="0"/>
                <w:szCs w:val="24"/>
                <w:lang w:eastAsia="en-IN"/>
                <w14:ligatures w14:val="none"/>
              </w:rPr>
            </w:pPr>
            <w:r w:rsidRPr="00787C93">
              <w:rPr>
                <w:rFonts w:ascii="Times New Roman" w:eastAsia="Times New Roman" w:hAnsi="Times New Roman" w:cs="Times New Roman"/>
                <w:color w:val="1A1C1E"/>
                <w:kern w:val="0"/>
                <w:szCs w:val="24"/>
                <w:lang w:eastAsia="en-IN"/>
                <w14:ligatures w14:val="none"/>
              </w:rPr>
              <w:t>4 to 14</w:t>
            </w:r>
          </w:p>
        </w:tc>
        <w:tc>
          <w:tcPr>
            <w:tcW w:w="2265" w:type="dxa"/>
            <w:tcBorders>
              <w:top w:val="nil"/>
              <w:left w:val="nil"/>
              <w:bottom w:val="single" w:sz="4" w:space="0" w:color="auto"/>
              <w:right w:val="single" w:sz="4" w:space="0" w:color="auto"/>
            </w:tcBorders>
            <w:shd w:val="clear" w:color="000000" w:fill="FFFFFF"/>
            <w:vAlign w:val="center"/>
            <w:hideMark/>
          </w:tcPr>
          <w:p w14:paraId="0C62920E" w14:textId="77777777" w:rsidR="00712DC0" w:rsidRPr="00787C93" w:rsidRDefault="00712DC0" w:rsidP="00B77C0B">
            <w:pPr>
              <w:spacing w:after="0" w:line="240" w:lineRule="auto"/>
              <w:ind w:firstLineChars="100" w:firstLine="240"/>
              <w:rPr>
                <w:rFonts w:ascii="Times New Roman" w:eastAsia="Times New Roman" w:hAnsi="Times New Roman" w:cs="Times New Roman"/>
                <w:color w:val="1A1C1E"/>
                <w:kern w:val="0"/>
                <w:szCs w:val="24"/>
                <w:lang w:eastAsia="en-IN"/>
                <w14:ligatures w14:val="none"/>
              </w:rPr>
            </w:pPr>
            <w:r w:rsidRPr="00787C93">
              <w:rPr>
                <w:rFonts w:ascii="Times New Roman" w:eastAsia="Times New Roman" w:hAnsi="Times New Roman" w:cs="Times New Roman"/>
                <w:color w:val="1A1C1E"/>
                <w:kern w:val="0"/>
                <w:szCs w:val="24"/>
                <w:lang w:eastAsia="en-IN"/>
                <w14:ligatures w14:val="none"/>
              </w:rPr>
              <w:t>3.75 to 12</w:t>
            </w:r>
          </w:p>
        </w:tc>
        <w:tc>
          <w:tcPr>
            <w:tcW w:w="2543" w:type="dxa"/>
            <w:tcBorders>
              <w:top w:val="nil"/>
              <w:left w:val="nil"/>
              <w:bottom w:val="single" w:sz="4" w:space="0" w:color="auto"/>
              <w:right w:val="single" w:sz="4" w:space="0" w:color="auto"/>
            </w:tcBorders>
            <w:shd w:val="clear" w:color="000000" w:fill="FFFFFF"/>
            <w:vAlign w:val="center"/>
            <w:hideMark/>
          </w:tcPr>
          <w:p w14:paraId="3C89E014" w14:textId="77777777" w:rsidR="00712DC0" w:rsidRPr="00787C93" w:rsidRDefault="00712DC0" w:rsidP="00B77C0B">
            <w:pPr>
              <w:spacing w:after="0" w:line="240" w:lineRule="auto"/>
              <w:ind w:firstLineChars="100" w:firstLine="240"/>
              <w:rPr>
                <w:rFonts w:ascii="Times New Roman" w:eastAsia="Times New Roman" w:hAnsi="Times New Roman" w:cs="Times New Roman"/>
                <w:color w:val="1A1C1E"/>
                <w:kern w:val="0"/>
                <w:szCs w:val="24"/>
                <w:lang w:eastAsia="en-IN"/>
                <w14:ligatures w14:val="none"/>
              </w:rPr>
            </w:pPr>
            <w:r w:rsidRPr="00787C93">
              <w:rPr>
                <w:rFonts w:ascii="Times New Roman" w:eastAsia="Times New Roman" w:hAnsi="Times New Roman" w:cs="Times New Roman"/>
                <w:color w:val="1A1C1E"/>
                <w:kern w:val="0"/>
                <w:szCs w:val="24"/>
                <w:lang w:eastAsia="en-IN"/>
                <w14:ligatures w14:val="none"/>
              </w:rPr>
              <w:t>6.75 to 32</w:t>
            </w:r>
          </w:p>
        </w:tc>
      </w:tr>
      <w:tr w:rsidR="00712DC0" w:rsidRPr="00787C93" w14:paraId="5BBF0FAA" w14:textId="77777777" w:rsidTr="00787C93">
        <w:trPr>
          <w:trHeight w:val="490"/>
          <w:jc w:val="center"/>
        </w:trPr>
        <w:tc>
          <w:tcPr>
            <w:tcW w:w="3397" w:type="dxa"/>
            <w:tcBorders>
              <w:top w:val="nil"/>
              <w:left w:val="single" w:sz="4" w:space="0" w:color="auto"/>
              <w:bottom w:val="single" w:sz="4" w:space="0" w:color="auto"/>
              <w:right w:val="single" w:sz="4" w:space="0" w:color="auto"/>
            </w:tcBorders>
            <w:shd w:val="clear" w:color="000000" w:fill="FFFFFF"/>
            <w:vAlign w:val="center"/>
            <w:hideMark/>
          </w:tcPr>
          <w:p w14:paraId="3BD4DC0D" w14:textId="77777777" w:rsidR="00712DC0" w:rsidRPr="00787C93" w:rsidRDefault="00712DC0" w:rsidP="00B77C0B">
            <w:pPr>
              <w:spacing w:after="0" w:line="240" w:lineRule="auto"/>
              <w:ind w:firstLineChars="100" w:firstLine="240"/>
              <w:rPr>
                <w:rFonts w:ascii="Times New Roman" w:eastAsia="Times New Roman" w:hAnsi="Times New Roman" w:cs="Times New Roman"/>
                <w:color w:val="1A1C1E"/>
                <w:kern w:val="0"/>
                <w:szCs w:val="24"/>
                <w:lang w:eastAsia="en-IN"/>
                <w14:ligatures w14:val="none"/>
              </w:rPr>
            </w:pPr>
            <w:r w:rsidRPr="00787C93">
              <w:rPr>
                <w:rFonts w:ascii="Times New Roman" w:eastAsia="Times New Roman" w:hAnsi="Times New Roman" w:cs="Times New Roman"/>
                <w:color w:val="1A1C1E"/>
                <w:kern w:val="0"/>
                <w:szCs w:val="24"/>
                <w:lang w:eastAsia="en-IN"/>
                <w14:ligatures w14:val="none"/>
              </w:rPr>
              <w:t>West Bengal</w:t>
            </w:r>
          </w:p>
        </w:tc>
        <w:tc>
          <w:tcPr>
            <w:tcW w:w="2444" w:type="dxa"/>
            <w:tcBorders>
              <w:top w:val="nil"/>
              <w:left w:val="nil"/>
              <w:bottom w:val="single" w:sz="4" w:space="0" w:color="auto"/>
              <w:right w:val="single" w:sz="4" w:space="0" w:color="auto"/>
            </w:tcBorders>
            <w:shd w:val="clear" w:color="000000" w:fill="FFFFFF"/>
            <w:vAlign w:val="center"/>
            <w:hideMark/>
          </w:tcPr>
          <w:p w14:paraId="700AB629" w14:textId="77777777" w:rsidR="00712DC0" w:rsidRPr="00787C93" w:rsidRDefault="00712DC0" w:rsidP="00B77C0B">
            <w:pPr>
              <w:spacing w:after="0" w:line="240" w:lineRule="auto"/>
              <w:ind w:firstLineChars="100" w:firstLine="240"/>
              <w:rPr>
                <w:rFonts w:ascii="Times New Roman" w:eastAsia="Times New Roman" w:hAnsi="Times New Roman" w:cs="Times New Roman"/>
                <w:color w:val="1A1C1E"/>
                <w:kern w:val="0"/>
                <w:szCs w:val="24"/>
                <w:lang w:eastAsia="en-IN"/>
                <w14:ligatures w14:val="none"/>
              </w:rPr>
            </w:pPr>
            <w:r w:rsidRPr="00787C93">
              <w:rPr>
                <w:rFonts w:ascii="Times New Roman" w:eastAsia="Times New Roman" w:hAnsi="Times New Roman" w:cs="Times New Roman"/>
                <w:color w:val="1A1C1E"/>
                <w:kern w:val="0"/>
                <w:szCs w:val="24"/>
                <w:lang w:eastAsia="en-IN"/>
                <w14:ligatures w14:val="none"/>
              </w:rPr>
              <w:t>5.50 to 12.50</w:t>
            </w:r>
          </w:p>
        </w:tc>
        <w:tc>
          <w:tcPr>
            <w:tcW w:w="2265" w:type="dxa"/>
            <w:tcBorders>
              <w:top w:val="nil"/>
              <w:left w:val="nil"/>
              <w:bottom w:val="single" w:sz="4" w:space="0" w:color="auto"/>
              <w:right w:val="single" w:sz="4" w:space="0" w:color="auto"/>
            </w:tcBorders>
            <w:shd w:val="clear" w:color="000000" w:fill="FFFFFF"/>
            <w:vAlign w:val="center"/>
            <w:hideMark/>
          </w:tcPr>
          <w:p w14:paraId="65FB421F" w14:textId="77777777" w:rsidR="00712DC0" w:rsidRPr="00787C93" w:rsidRDefault="00712DC0" w:rsidP="00B77C0B">
            <w:pPr>
              <w:spacing w:after="0" w:line="240" w:lineRule="auto"/>
              <w:ind w:firstLineChars="100" w:firstLine="240"/>
              <w:rPr>
                <w:rFonts w:ascii="Times New Roman" w:eastAsia="Times New Roman" w:hAnsi="Times New Roman" w:cs="Times New Roman"/>
                <w:color w:val="1A1C1E"/>
                <w:kern w:val="0"/>
                <w:szCs w:val="24"/>
                <w:lang w:eastAsia="en-IN"/>
                <w14:ligatures w14:val="none"/>
              </w:rPr>
            </w:pPr>
            <w:r w:rsidRPr="00787C93">
              <w:rPr>
                <w:rFonts w:ascii="Times New Roman" w:eastAsia="Times New Roman" w:hAnsi="Times New Roman" w:cs="Times New Roman"/>
                <w:color w:val="1A1C1E"/>
                <w:kern w:val="0"/>
                <w:szCs w:val="24"/>
                <w:lang w:eastAsia="en-IN"/>
                <w14:ligatures w14:val="none"/>
              </w:rPr>
              <w:t>6 to 15</w:t>
            </w:r>
          </w:p>
        </w:tc>
        <w:tc>
          <w:tcPr>
            <w:tcW w:w="2543" w:type="dxa"/>
            <w:tcBorders>
              <w:top w:val="nil"/>
              <w:left w:val="nil"/>
              <w:bottom w:val="single" w:sz="4" w:space="0" w:color="auto"/>
              <w:right w:val="single" w:sz="4" w:space="0" w:color="auto"/>
            </w:tcBorders>
            <w:shd w:val="clear" w:color="000000" w:fill="FFFFFF"/>
            <w:vAlign w:val="center"/>
            <w:hideMark/>
          </w:tcPr>
          <w:p w14:paraId="73248995" w14:textId="77777777" w:rsidR="00712DC0" w:rsidRPr="00787C93" w:rsidRDefault="00712DC0" w:rsidP="00B77C0B">
            <w:pPr>
              <w:spacing w:after="0" w:line="240" w:lineRule="auto"/>
              <w:ind w:firstLineChars="100" w:firstLine="240"/>
              <w:rPr>
                <w:rFonts w:ascii="Times New Roman" w:eastAsia="Times New Roman" w:hAnsi="Times New Roman" w:cs="Times New Roman"/>
                <w:color w:val="1A1C1E"/>
                <w:kern w:val="0"/>
                <w:szCs w:val="24"/>
                <w:lang w:eastAsia="en-IN"/>
                <w14:ligatures w14:val="none"/>
              </w:rPr>
            </w:pPr>
            <w:r w:rsidRPr="00787C93">
              <w:rPr>
                <w:rFonts w:ascii="Times New Roman" w:eastAsia="Times New Roman" w:hAnsi="Times New Roman" w:cs="Times New Roman"/>
                <w:color w:val="1A1C1E"/>
                <w:kern w:val="0"/>
                <w:szCs w:val="24"/>
                <w:lang w:eastAsia="en-IN"/>
                <w14:ligatures w14:val="none"/>
              </w:rPr>
              <w:t>9</w:t>
            </w:r>
          </w:p>
        </w:tc>
      </w:tr>
    </w:tbl>
    <w:p w14:paraId="3F4ADE3F" w14:textId="6673920A" w:rsidR="00712DC0" w:rsidRPr="007245B0" w:rsidRDefault="00712DC0" w:rsidP="00DE7403">
      <w:pPr>
        <w:rPr>
          <w:rFonts w:ascii="Times New Roman" w:hAnsi="Times New Roman" w:cs="Times New Roman"/>
        </w:rPr>
      </w:pPr>
    </w:p>
    <w:p w14:paraId="7AB685DC" w14:textId="77777777" w:rsidR="00712DC0" w:rsidRPr="007245B0" w:rsidRDefault="00712DC0">
      <w:pPr>
        <w:rPr>
          <w:rFonts w:ascii="Times New Roman" w:hAnsi="Times New Roman" w:cs="Times New Roman"/>
        </w:rPr>
      </w:pPr>
      <w:r w:rsidRPr="007245B0">
        <w:rPr>
          <w:rFonts w:ascii="Times New Roman" w:hAnsi="Times New Roman" w:cs="Times New Roman"/>
        </w:rPr>
        <w:br w:type="page"/>
      </w:r>
    </w:p>
    <w:p w14:paraId="71838095" w14:textId="0BCC887B" w:rsidR="00712DC0" w:rsidRPr="00A8668B" w:rsidRDefault="00574BCE" w:rsidP="00A8668B">
      <w:pPr>
        <w:pStyle w:val="Heading4"/>
      </w:pPr>
      <w:bookmarkStart w:id="105" w:name="_Toc220949705"/>
      <w:bookmarkStart w:id="106" w:name="_Toc221114305"/>
      <w:bookmarkStart w:id="107" w:name="_Toc221115328"/>
      <w:r>
        <w:lastRenderedPageBreak/>
        <w:t>Table</w:t>
      </w:r>
      <w:r w:rsidR="00712DC0" w:rsidRPr="007245B0">
        <w:t xml:space="preserve"> </w:t>
      </w:r>
      <w:r w:rsidR="00FA73CC" w:rsidRPr="007245B0">
        <w:t>24:</w:t>
      </w:r>
      <w:r w:rsidR="00712DC0" w:rsidRPr="007245B0">
        <w:t xml:space="preserve"> Rates of Entertainment Tax</w:t>
      </w:r>
      <w:bookmarkEnd w:id="105"/>
      <w:r w:rsidR="006935D2">
        <w:br/>
      </w:r>
      <w:r w:rsidR="00712DC0" w:rsidRPr="007245B0">
        <w:rPr>
          <w:szCs w:val="24"/>
        </w:rPr>
        <w:t>(In terms of percentage of the admission or entry ticket)</w:t>
      </w:r>
      <w:bookmarkEnd w:id="106"/>
      <w:bookmarkEnd w:id="107"/>
    </w:p>
    <w:p w14:paraId="5CE8C8F1" w14:textId="77777777" w:rsidR="00712DC0" w:rsidRPr="007245B0" w:rsidRDefault="00712DC0" w:rsidP="00712DC0">
      <w:pPr>
        <w:spacing w:after="0"/>
        <w:rPr>
          <w:rFonts w:ascii="Times New Roman" w:hAnsi="Times New Roman" w:cs="Times New Roman"/>
          <w:szCs w:val="24"/>
        </w:rPr>
      </w:pPr>
    </w:p>
    <w:p w14:paraId="53A5A8E8" w14:textId="77777777" w:rsidR="00E87606" w:rsidRDefault="00712DC0" w:rsidP="00712DC0">
      <w:pPr>
        <w:spacing w:after="0"/>
        <w:rPr>
          <w:rFonts w:ascii="Times New Roman" w:hAnsi="Times New Roman" w:cs="Times New Roman"/>
          <w:szCs w:val="24"/>
        </w:rPr>
      </w:pPr>
      <w:r w:rsidRPr="00E87606">
        <w:rPr>
          <w:rFonts w:ascii="Times New Roman" w:hAnsi="Times New Roman" w:cs="Times New Roman"/>
          <w:b/>
          <w:bCs/>
          <w:szCs w:val="24"/>
        </w:rPr>
        <w:t>Andhra Pradesh:</w:t>
      </w:r>
      <w:r w:rsidRPr="007245B0">
        <w:rPr>
          <w:rFonts w:ascii="Times New Roman" w:hAnsi="Times New Roman" w:cs="Times New Roman"/>
          <w:szCs w:val="24"/>
        </w:rPr>
        <w:br/>
        <w:t xml:space="preserve">  </w:t>
      </w:r>
      <w:r w:rsidRPr="007245B0">
        <w:rPr>
          <w:rFonts w:ascii="Times New Roman" w:hAnsi="Times New Roman" w:cs="Times New Roman"/>
          <w:szCs w:val="24"/>
        </w:rPr>
        <w:tab/>
        <w:t>(a) 35% on tickets upto Rs. 1.50;</w:t>
      </w:r>
      <w:r w:rsidRPr="007245B0">
        <w:rPr>
          <w:rFonts w:ascii="Times New Roman" w:hAnsi="Times New Roman" w:cs="Times New Roman"/>
          <w:szCs w:val="24"/>
        </w:rPr>
        <w:br/>
        <w:t xml:space="preserve"> </w:t>
      </w:r>
      <w:r w:rsidRPr="007245B0">
        <w:rPr>
          <w:rFonts w:ascii="Times New Roman" w:hAnsi="Times New Roman" w:cs="Times New Roman"/>
          <w:szCs w:val="24"/>
        </w:rPr>
        <w:tab/>
        <w:t>(b) 45% on tickets of more than Rs. 1.50;</w:t>
      </w:r>
      <w:r w:rsidRPr="007245B0">
        <w:rPr>
          <w:rFonts w:ascii="Times New Roman" w:hAnsi="Times New Roman" w:cs="Times New Roman"/>
          <w:szCs w:val="24"/>
        </w:rPr>
        <w:br/>
        <w:t xml:space="preserve"> </w:t>
      </w:r>
      <w:r w:rsidRPr="007245B0">
        <w:rPr>
          <w:rFonts w:ascii="Times New Roman" w:hAnsi="Times New Roman" w:cs="Times New Roman"/>
          <w:szCs w:val="24"/>
        </w:rPr>
        <w:tab/>
        <w:t>(c) On dramatic and music performances:</w:t>
      </w:r>
    </w:p>
    <w:p w14:paraId="6971A648" w14:textId="7586FCBF" w:rsidR="00712DC0" w:rsidRPr="007245B0" w:rsidRDefault="00712DC0" w:rsidP="00E87606">
      <w:pPr>
        <w:spacing w:after="0"/>
        <w:ind w:left="1440"/>
        <w:rPr>
          <w:rFonts w:ascii="Times New Roman" w:hAnsi="Times New Roman" w:cs="Times New Roman"/>
          <w:szCs w:val="24"/>
        </w:rPr>
      </w:pPr>
      <w:r w:rsidRPr="007245B0">
        <w:rPr>
          <w:rFonts w:ascii="Times New Roman" w:hAnsi="Times New Roman" w:cs="Times New Roman"/>
          <w:szCs w:val="24"/>
        </w:rPr>
        <w:t xml:space="preserve"> (i) 1/8th of the tickets upto Rs. 3;</w:t>
      </w:r>
      <w:r w:rsidRPr="007245B0">
        <w:rPr>
          <w:rFonts w:ascii="Times New Roman" w:hAnsi="Times New Roman" w:cs="Times New Roman"/>
          <w:szCs w:val="24"/>
        </w:rPr>
        <w:br/>
        <w:t xml:space="preserve"> (ii) 1/5th of the tickets of Rs. 3 to 5;</w:t>
      </w:r>
      <w:r w:rsidRPr="007245B0">
        <w:rPr>
          <w:rFonts w:ascii="Times New Roman" w:hAnsi="Times New Roman" w:cs="Times New Roman"/>
          <w:szCs w:val="24"/>
        </w:rPr>
        <w:br/>
        <w:t xml:space="preserve"> (iii) 1/3rd of the tickets of more than Rs. 5.</w:t>
      </w:r>
    </w:p>
    <w:p w14:paraId="28396BDA" w14:textId="77777777" w:rsidR="00712DC0" w:rsidRPr="00E87606" w:rsidRDefault="00712DC0" w:rsidP="00E87606">
      <w:pPr>
        <w:spacing w:before="240" w:after="0"/>
        <w:rPr>
          <w:rFonts w:ascii="Times New Roman" w:hAnsi="Times New Roman" w:cs="Times New Roman"/>
          <w:b/>
          <w:bCs/>
          <w:szCs w:val="24"/>
        </w:rPr>
      </w:pPr>
      <w:r w:rsidRPr="00E87606">
        <w:rPr>
          <w:rFonts w:ascii="Times New Roman" w:hAnsi="Times New Roman" w:cs="Times New Roman"/>
          <w:b/>
          <w:bCs/>
          <w:szCs w:val="24"/>
        </w:rPr>
        <w:t>Assam:</w:t>
      </w:r>
    </w:p>
    <w:p w14:paraId="4805051A" w14:textId="3DEB5294" w:rsidR="00712DC0" w:rsidRPr="007245B0" w:rsidRDefault="00712DC0" w:rsidP="00712DC0">
      <w:pPr>
        <w:spacing w:after="0"/>
        <w:ind w:left="720"/>
        <w:rPr>
          <w:rFonts w:ascii="Times New Roman" w:hAnsi="Times New Roman" w:cs="Times New Roman"/>
          <w:szCs w:val="24"/>
        </w:rPr>
      </w:pPr>
      <w:r w:rsidRPr="007245B0">
        <w:rPr>
          <w:rFonts w:ascii="Times New Roman" w:hAnsi="Times New Roman" w:cs="Times New Roman"/>
          <w:szCs w:val="24"/>
        </w:rPr>
        <w:t>(a) 25% on tickets of less than Re. 1;</w:t>
      </w:r>
      <w:r w:rsidRPr="007245B0">
        <w:rPr>
          <w:rFonts w:ascii="Times New Roman" w:hAnsi="Times New Roman" w:cs="Times New Roman"/>
          <w:szCs w:val="24"/>
        </w:rPr>
        <w:br/>
        <w:t>(b) 50% on tickets of Rs. 1 to 2;</w:t>
      </w:r>
      <w:r w:rsidRPr="007245B0">
        <w:rPr>
          <w:rFonts w:ascii="Times New Roman" w:hAnsi="Times New Roman" w:cs="Times New Roman"/>
          <w:szCs w:val="24"/>
        </w:rPr>
        <w:br/>
        <w:t>(c) 60% on tickets of more than Rs. 2;</w:t>
      </w:r>
      <w:r w:rsidRPr="007245B0">
        <w:rPr>
          <w:rFonts w:ascii="Times New Roman" w:hAnsi="Times New Roman" w:cs="Times New Roman"/>
          <w:szCs w:val="24"/>
        </w:rPr>
        <w:br/>
        <w:t>(d) 37% for race courses.</w:t>
      </w:r>
    </w:p>
    <w:p w14:paraId="6FC94822" w14:textId="77777777" w:rsidR="00712DC0" w:rsidRPr="00E87606" w:rsidRDefault="00712DC0" w:rsidP="00E87606">
      <w:pPr>
        <w:spacing w:before="240" w:after="0"/>
        <w:rPr>
          <w:rFonts w:ascii="Times New Roman" w:hAnsi="Times New Roman" w:cs="Times New Roman"/>
          <w:b/>
          <w:bCs/>
          <w:szCs w:val="24"/>
        </w:rPr>
      </w:pPr>
      <w:r w:rsidRPr="00E87606">
        <w:rPr>
          <w:rFonts w:ascii="Times New Roman" w:hAnsi="Times New Roman" w:cs="Times New Roman"/>
          <w:b/>
          <w:bCs/>
          <w:szCs w:val="24"/>
        </w:rPr>
        <w:t>Bihar:</w:t>
      </w:r>
    </w:p>
    <w:p w14:paraId="03A19456" w14:textId="17E13924" w:rsidR="00712DC0" w:rsidRPr="007245B0" w:rsidRDefault="00712DC0" w:rsidP="00712DC0">
      <w:pPr>
        <w:spacing w:after="0"/>
        <w:ind w:left="720"/>
        <w:rPr>
          <w:rFonts w:ascii="Times New Roman" w:hAnsi="Times New Roman" w:cs="Times New Roman"/>
          <w:szCs w:val="24"/>
        </w:rPr>
      </w:pPr>
      <w:r w:rsidRPr="007245B0">
        <w:rPr>
          <w:rFonts w:ascii="Times New Roman" w:hAnsi="Times New Roman" w:cs="Times New Roman"/>
          <w:szCs w:val="24"/>
        </w:rPr>
        <w:t>(a) 25% of the admission fee on circuses;</w:t>
      </w:r>
      <w:r w:rsidRPr="007245B0">
        <w:rPr>
          <w:rFonts w:ascii="Times New Roman" w:hAnsi="Times New Roman" w:cs="Times New Roman"/>
          <w:szCs w:val="24"/>
        </w:rPr>
        <w:br/>
        <w:t>(b) 75% of the admission fee on other entertainments.</w:t>
      </w:r>
    </w:p>
    <w:p w14:paraId="2D101F31" w14:textId="09657F72" w:rsidR="00712DC0" w:rsidRPr="00E87606" w:rsidRDefault="00712DC0" w:rsidP="00E87606">
      <w:pPr>
        <w:spacing w:before="240" w:after="0"/>
        <w:rPr>
          <w:rFonts w:ascii="Times New Roman" w:hAnsi="Times New Roman" w:cs="Times New Roman"/>
          <w:b/>
          <w:bCs/>
          <w:szCs w:val="24"/>
        </w:rPr>
      </w:pPr>
      <w:r w:rsidRPr="00E87606">
        <w:rPr>
          <w:rFonts w:ascii="Times New Roman" w:hAnsi="Times New Roman" w:cs="Times New Roman"/>
          <w:b/>
          <w:bCs/>
          <w:szCs w:val="24"/>
        </w:rPr>
        <w:t>Gujarat</w:t>
      </w:r>
      <w:r w:rsidR="007F4221" w:rsidRPr="00E87606">
        <w:rPr>
          <w:rStyle w:val="FootnoteReference"/>
          <w:rFonts w:ascii="Times New Roman" w:hAnsi="Times New Roman" w:cs="Times New Roman"/>
          <w:b/>
          <w:bCs/>
          <w:szCs w:val="24"/>
        </w:rPr>
        <w:footnoteReference w:id="9"/>
      </w:r>
      <w:r w:rsidRPr="00E87606">
        <w:rPr>
          <w:rFonts w:ascii="Times New Roman" w:hAnsi="Times New Roman" w:cs="Times New Roman"/>
          <w:b/>
          <w:bCs/>
          <w:szCs w:val="24"/>
        </w:rPr>
        <w:t>:</w:t>
      </w:r>
    </w:p>
    <w:p w14:paraId="68C44B35" w14:textId="5E896A4C" w:rsidR="00712DC0" w:rsidRPr="007245B0" w:rsidRDefault="00712DC0" w:rsidP="00712DC0">
      <w:pPr>
        <w:spacing w:after="0"/>
        <w:ind w:left="720"/>
        <w:rPr>
          <w:rFonts w:ascii="Times New Roman" w:hAnsi="Times New Roman" w:cs="Times New Roman"/>
          <w:szCs w:val="24"/>
        </w:rPr>
      </w:pPr>
      <w:r w:rsidRPr="007245B0">
        <w:rPr>
          <w:rFonts w:ascii="Times New Roman" w:hAnsi="Times New Roman" w:cs="Times New Roman"/>
          <w:szCs w:val="24"/>
        </w:rPr>
        <w:t>(a) 30% for tickets upto Re. 1;</w:t>
      </w:r>
      <w:r w:rsidRPr="007245B0">
        <w:rPr>
          <w:rFonts w:ascii="Times New Roman" w:hAnsi="Times New Roman" w:cs="Times New Roman"/>
          <w:szCs w:val="24"/>
        </w:rPr>
        <w:br/>
        <w:t>(b) 40% for tickets of more than Re. 1 to Rs. 2;</w:t>
      </w:r>
      <w:r w:rsidRPr="007245B0">
        <w:rPr>
          <w:rFonts w:ascii="Times New Roman" w:hAnsi="Times New Roman" w:cs="Times New Roman"/>
          <w:szCs w:val="24"/>
        </w:rPr>
        <w:br/>
        <w:t>(c) 50% for tickets of more than Rs. 2 to Rs. 3;</w:t>
      </w:r>
      <w:r w:rsidRPr="007245B0">
        <w:rPr>
          <w:rFonts w:ascii="Times New Roman" w:hAnsi="Times New Roman" w:cs="Times New Roman"/>
          <w:szCs w:val="24"/>
        </w:rPr>
        <w:br/>
        <w:t>(d) 55% for tickets of more than Rs. 3 to Rs. 3.60;</w:t>
      </w:r>
      <w:r w:rsidRPr="007245B0">
        <w:rPr>
          <w:rFonts w:ascii="Times New Roman" w:hAnsi="Times New Roman" w:cs="Times New Roman"/>
          <w:szCs w:val="24"/>
        </w:rPr>
        <w:br/>
        <w:t>(e) 60% for tickets of more than Rs. 3.60.</w:t>
      </w:r>
    </w:p>
    <w:p w14:paraId="541C6D9E" w14:textId="77777777" w:rsidR="00712DC0" w:rsidRPr="00E87606" w:rsidRDefault="00712DC0" w:rsidP="00E87606">
      <w:pPr>
        <w:spacing w:before="240" w:after="0"/>
        <w:rPr>
          <w:rFonts w:ascii="Times New Roman" w:hAnsi="Times New Roman" w:cs="Times New Roman"/>
          <w:b/>
          <w:bCs/>
          <w:szCs w:val="24"/>
        </w:rPr>
      </w:pPr>
      <w:r w:rsidRPr="00E87606">
        <w:rPr>
          <w:rFonts w:ascii="Times New Roman" w:hAnsi="Times New Roman" w:cs="Times New Roman"/>
          <w:b/>
          <w:bCs/>
          <w:szCs w:val="24"/>
        </w:rPr>
        <w:t>Haryana:</w:t>
      </w:r>
    </w:p>
    <w:p w14:paraId="4D861149" w14:textId="4D6AF4D3" w:rsidR="00712DC0" w:rsidRPr="007245B0" w:rsidRDefault="00712DC0" w:rsidP="00712DC0">
      <w:pPr>
        <w:spacing w:after="0"/>
        <w:ind w:firstLine="720"/>
        <w:rPr>
          <w:rFonts w:ascii="Times New Roman" w:hAnsi="Times New Roman" w:cs="Times New Roman"/>
          <w:szCs w:val="24"/>
        </w:rPr>
      </w:pPr>
      <w:r w:rsidRPr="007245B0">
        <w:rPr>
          <w:rFonts w:ascii="Times New Roman" w:hAnsi="Times New Roman" w:cs="Times New Roman"/>
          <w:szCs w:val="24"/>
        </w:rPr>
        <w:t>50% of the payment for admission for any entertainment.</w:t>
      </w:r>
    </w:p>
    <w:p w14:paraId="0CF12634" w14:textId="77777777" w:rsidR="00712DC0" w:rsidRPr="00E87606" w:rsidRDefault="00712DC0" w:rsidP="00E87606">
      <w:pPr>
        <w:spacing w:before="240" w:after="0"/>
        <w:rPr>
          <w:rFonts w:ascii="Times New Roman" w:hAnsi="Times New Roman" w:cs="Times New Roman"/>
          <w:b/>
          <w:bCs/>
          <w:szCs w:val="24"/>
        </w:rPr>
      </w:pPr>
      <w:r w:rsidRPr="00E87606">
        <w:rPr>
          <w:rFonts w:ascii="Times New Roman" w:hAnsi="Times New Roman" w:cs="Times New Roman"/>
          <w:b/>
          <w:bCs/>
          <w:szCs w:val="24"/>
        </w:rPr>
        <w:t>Jammu &amp; Kashmir:</w:t>
      </w:r>
    </w:p>
    <w:p w14:paraId="03D5E73A" w14:textId="4DDEC3AC" w:rsidR="00712DC0" w:rsidRPr="007245B0" w:rsidRDefault="00712DC0" w:rsidP="007F4221">
      <w:pPr>
        <w:spacing w:after="0"/>
        <w:ind w:left="720"/>
        <w:rPr>
          <w:rFonts w:ascii="Times New Roman" w:hAnsi="Times New Roman" w:cs="Times New Roman"/>
          <w:szCs w:val="24"/>
        </w:rPr>
      </w:pPr>
      <w:r w:rsidRPr="007245B0">
        <w:rPr>
          <w:rFonts w:ascii="Times New Roman" w:hAnsi="Times New Roman" w:cs="Times New Roman"/>
          <w:szCs w:val="24"/>
        </w:rPr>
        <w:t>(a) 4 to 37 paise for tickets upto Re. 1;</w:t>
      </w:r>
      <w:r w:rsidRPr="007245B0">
        <w:rPr>
          <w:rFonts w:ascii="Times New Roman" w:hAnsi="Times New Roman" w:cs="Times New Roman"/>
          <w:szCs w:val="24"/>
        </w:rPr>
        <w:br/>
        <w:t>(b) 46 to 75 paise for tickets of more than Re. 1 to Rs. 2;</w:t>
      </w:r>
      <w:r w:rsidRPr="007245B0">
        <w:rPr>
          <w:rFonts w:ascii="Times New Roman" w:hAnsi="Times New Roman" w:cs="Times New Roman"/>
          <w:szCs w:val="24"/>
        </w:rPr>
        <w:br/>
        <w:t>(c) 84 paise to Rs. 1.87 for tickets of more than Rs. 2 to Rs. 5;</w:t>
      </w:r>
      <w:r w:rsidRPr="007245B0">
        <w:rPr>
          <w:rFonts w:ascii="Times New Roman" w:hAnsi="Times New Roman" w:cs="Times New Roman"/>
          <w:szCs w:val="24"/>
        </w:rPr>
        <w:br/>
        <w:t>(d) Rs. 2.25 to Rs. 3.37 for tickets of more than Rs. 5 to 10;</w:t>
      </w:r>
      <w:r w:rsidRPr="007245B0">
        <w:rPr>
          <w:rFonts w:ascii="Times New Roman" w:hAnsi="Times New Roman" w:cs="Times New Roman"/>
          <w:szCs w:val="24"/>
        </w:rPr>
        <w:br/>
        <w:t>(e) 37 ½% for tickets of more than Rs. 1</w:t>
      </w:r>
      <w:r w:rsidR="007F4221">
        <w:rPr>
          <w:rFonts w:ascii="Times New Roman" w:hAnsi="Times New Roman" w:cs="Times New Roman"/>
          <w:szCs w:val="24"/>
        </w:rPr>
        <w:t>0.</w:t>
      </w:r>
    </w:p>
    <w:p w14:paraId="5D6752B9" w14:textId="77777777" w:rsidR="00701032" w:rsidRDefault="00712DC0" w:rsidP="00701032">
      <w:pPr>
        <w:spacing w:before="240" w:after="0"/>
        <w:rPr>
          <w:rFonts w:ascii="Times New Roman" w:hAnsi="Times New Roman" w:cs="Times New Roman"/>
          <w:b/>
          <w:bCs/>
          <w:szCs w:val="24"/>
        </w:rPr>
      </w:pPr>
      <w:r w:rsidRPr="007245B0">
        <w:rPr>
          <w:rFonts w:ascii="Times New Roman" w:hAnsi="Times New Roman" w:cs="Times New Roman"/>
          <w:b/>
          <w:bCs/>
          <w:szCs w:val="24"/>
        </w:rPr>
        <w:lastRenderedPageBreak/>
        <w:t>Kerala:</w:t>
      </w:r>
    </w:p>
    <w:p w14:paraId="4E48A865" w14:textId="5FDD759F" w:rsidR="00701032" w:rsidRDefault="00712DC0" w:rsidP="00701032">
      <w:pPr>
        <w:spacing w:after="0"/>
        <w:ind w:left="720"/>
        <w:rPr>
          <w:rFonts w:ascii="Times New Roman" w:hAnsi="Times New Roman" w:cs="Times New Roman"/>
          <w:szCs w:val="24"/>
        </w:rPr>
      </w:pPr>
      <w:r w:rsidRPr="007245B0">
        <w:rPr>
          <w:rFonts w:ascii="Times New Roman" w:hAnsi="Times New Roman" w:cs="Times New Roman"/>
          <w:szCs w:val="24"/>
        </w:rPr>
        <w:t>(a) The rates range from 10% to 25%. Specific rates are not indicated;</w:t>
      </w:r>
      <w:r w:rsidRPr="007245B0">
        <w:rPr>
          <w:rFonts w:ascii="Times New Roman" w:hAnsi="Times New Roman" w:cs="Times New Roman"/>
          <w:szCs w:val="24"/>
        </w:rPr>
        <w:br/>
        <w:t xml:space="preserve">(b) There is also an additional tax on entertainment at the rate </w:t>
      </w:r>
      <w:r w:rsidR="00D33CB1" w:rsidRPr="007245B0">
        <w:rPr>
          <w:rFonts w:ascii="Times New Roman" w:hAnsi="Times New Roman" w:cs="Times New Roman"/>
          <w:szCs w:val="24"/>
        </w:rPr>
        <w:t>of:</w:t>
      </w:r>
    </w:p>
    <w:p w14:paraId="1C1C417F" w14:textId="54710A26" w:rsidR="00712DC0" w:rsidRPr="007245B0" w:rsidRDefault="00712DC0" w:rsidP="00701032">
      <w:pPr>
        <w:spacing w:after="0"/>
        <w:ind w:left="1440"/>
        <w:rPr>
          <w:rFonts w:ascii="Times New Roman" w:hAnsi="Times New Roman" w:cs="Times New Roman"/>
          <w:szCs w:val="24"/>
        </w:rPr>
      </w:pPr>
      <w:r w:rsidRPr="007245B0">
        <w:rPr>
          <w:rFonts w:ascii="Times New Roman" w:hAnsi="Times New Roman" w:cs="Times New Roman"/>
          <w:szCs w:val="24"/>
        </w:rPr>
        <w:t>(i) 5 paise on tickets of less than 50 paise;</w:t>
      </w:r>
      <w:r w:rsidRPr="007245B0">
        <w:rPr>
          <w:rFonts w:ascii="Times New Roman" w:hAnsi="Times New Roman" w:cs="Times New Roman"/>
          <w:szCs w:val="24"/>
        </w:rPr>
        <w:br/>
        <w:t>(ii) 10 paise on tickets of more than 50 paise to Re. 1;</w:t>
      </w:r>
      <w:r w:rsidRPr="007245B0">
        <w:rPr>
          <w:rFonts w:ascii="Times New Roman" w:hAnsi="Times New Roman" w:cs="Times New Roman"/>
          <w:szCs w:val="24"/>
        </w:rPr>
        <w:br/>
        <w:t>(iii) 20 paise on tickets of more than Re. 1.</w:t>
      </w:r>
    </w:p>
    <w:p w14:paraId="03095EE9" w14:textId="77777777" w:rsidR="00712DC0" w:rsidRPr="007245B0" w:rsidRDefault="00712DC0" w:rsidP="00712DC0">
      <w:pPr>
        <w:spacing w:after="0"/>
        <w:rPr>
          <w:rFonts w:ascii="Times New Roman" w:hAnsi="Times New Roman" w:cs="Times New Roman"/>
          <w:b/>
          <w:bCs/>
          <w:szCs w:val="24"/>
        </w:rPr>
      </w:pPr>
    </w:p>
    <w:p w14:paraId="0EF7EEF5" w14:textId="77777777" w:rsidR="00701032" w:rsidRDefault="00712DC0" w:rsidP="00712DC0">
      <w:pPr>
        <w:spacing w:after="0"/>
        <w:rPr>
          <w:rFonts w:ascii="Times New Roman" w:hAnsi="Times New Roman" w:cs="Times New Roman"/>
          <w:b/>
          <w:bCs/>
          <w:szCs w:val="24"/>
        </w:rPr>
      </w:pPr>
      <w:r w:rsidRPr="007245B0">
        <w:rPr>
          <w:rFonts w:ascii="Times New Roman" w:hAnsi="Times New Roman" w:cs="Times New Roman"/>
          <w:b/>
          <w:bCs/>
          <w:szCs w:val="24"/>
        </w:rPr>
        <w:t>Madhya Pradesh:</w:t>
      </w:r>
    </w:p>
    <w:p w14:paraId="198AC5D9" w14:textId="5896EE91" w:rsidR="00712DC0" w:rsidRPr="007245B0" w:rsidRDefault="00712DC0" w:rsidP="00701032">
      <w:pPr>
        <w:spacing w:after="0"/>
        <w:ind w:left="720"/>
        <w:rPr>
          <w:rFonts w:ascii="Times New Roman" w:hAnsi="Times New Roman" w:cs="Times New Roman"/>
          <w:szCs w:val="24"/>
        </w:rPr>
      </w:pPr>
      <w:r w:rsidRPr="007245B0">
        <w:rPr>
          <w:rFonts w:ascii="Times New Roman" w:hAnsi="Times New Roman" w:cs="Times New Roman"/>
          <w:szCs w:val="24"/>
        </w:rPr>
        <w:t>33-1/3% on all entertainments, but 40% for cinema tickets of more than Rs. 1.50.</w:t>
      </w:r>
    </w:p>
    <w:p w14:paraId="7BD4C7F5" w14:textId="77777777" w:rsidR="00712DC0" w:rsidRPr="007245B0" w:rsidRDefault="00712DC0" w:rsidP="00712DC0">
      <w:pPr>
        <w:spacing w:after="0"/>
        <w:rPr>
          <w:rFonts w:ascii="Times New Roman" w:hAnsi="Times New Roman" w:cs="Times New Roman"/>
          <w:b/>
          <w:bCs/>
          <w:szCs w:val="24"/>
        </w:rPr>
      </w:pPr>
    </w:p>
    <w:p w14:paraId="26805FE5" w14:textId="77777777" w:rsidR="00701032" w:rsidRDefault="00712DC0" w:rsidP="00712DC0">
      <w:pPr>
        <w:spacing w:after="0"/>
        <w:rPr>
          <w:rFonts w:ascii="Times New Roman" w:hAnsi="Times New Roman" w:cs="Times New Roman"/>
          <w:b/>
          <w:bCs/>
          <w:szCs w:val="24"/>
        </w:rPr>
      </w:pPr>
      <w:r w:rsidRPr="007245B0">
        <w:rPr>
          <w:rFonts w:ascii="Times New Roman" w:hAnsi="Times New Roman" w:cs="Times New Roman"/>
          <w:b/>
          <w:bCs/>
          <w:szCs w:val="24"/>
        </w:rPr>
        <w:t>Maharashtra</w:t>
      </w:r>
      <w:r w:rsidR="00A85D2D">
        <w:rPr>
          <w:rStyle w:val="FootnoteReference"/>
          <w:rFonts w:ascii="Times New Roman" w:hAnsi="Times New Roman" w:cs="Times New Roman"/>
          <w:b/>
          <w:bCs/>
          <w:szCs w:val="24"/>
        </w:rPr>
        <w:footnoteReference w:id="10"/>
      </w:r>
      <w:r w:rsidRPr="007245B0">
        <w:rPr>
          <w:rFonts w:ascii="Times New Roman" w:hAnsi="Times New Roman" w:cs="Times New Roman"/>
          <w:b/>
          <w:bCs/>
          <w:szCs w:val="24"/>
        </w:rPr>
        <w:t xml:space="preserve"> :</w:t>
      </w:r>
    </w:p>
    <w:p w14:paraId="2D0806B4" w14:textId="25EB9C20" w:rsidR="00712DC0" w:rsidRPr="007245B0" w:rsidRDefault="00712DC0" w:rsidP="00701032">
      <w:pPr>
        <w:spacing w:after="0"/>
        <w:ind w:left="720"/>
        <w:rPr>
          <w:rFonts w:ascii="Times New Roman" w:hAnsi="Times New Roman" w:cs="Times New Roman"/>
          <w:szCs w:val="24"/>
        </w:rPr>
      </w:pPr>
      <w:r w:rsidRPr="007245B0">
        <w:rPr>
          <w:rFonts w:ascii="Times New Roman" w:hAnsi="Times New Roman" w:cs="Times New Roman"/>
          <w:szCs w:val="24"/>
        </w:rPr>
        <w:t>(a) 37½% on the admission fee upto Re. 1;</w:t>
      </w:r>
      <w:r w:rsidRPr="007245B0">
        <w:rPr>
          <w:rFonts w:ascii="Times New Roman" w:hAnsi="Times New Roman" w:cs="Times New Roman"/>
          <w:szCs w:val="24"/>
        </w:rPr>
        <w:br/>
        <w:t>(b) 55% on next Re. 1;</w:t>
      </w:r>
      <w:r w:rsidRPr="007245B0">
        <w:rPr>
          <w:rFonts w:ascii="Times New Roman" w:hAnsi="Times New Roman" w:cs="Times New Roman"/>
          <w:szCs w:val="24"/>
        </w:rPr>
        <w:br/>
        <w:t>(c) 65% on above Rs. 2.</w:t>
      </w:r>
    </w:p>
    <w:p w14:paraId="27F5F53E" w14:textId="77777777" w:rsidR="00712DC0" w:rsidRPr="007245B0" w:rsidRDefault="00712DC0" w:rsidP="00712DC0">
      <w:pPr>
        <w:spacing w:after="0"/>
        <w:rPr>
          <w:rFonts w:ascii="Times New Roman" w:hAnsi="Times New Roman" w:cs="Times New Roman"/>
          <w:b/>
          <w:bCs/>
          <w:szCs w:val="24"/>
        </w:rPr>
      </w:pPr>
    </w:p>
    <w:p w14:paraId="27973D4A" w14:textId="77777777" w:rsidR="00701032" w:rsidRDefault="00712DC0" w:rsidP="00712DC0">
      <w:pPr>
        <w:spacing w:after="0"/>
        <w:rPr>
          <w:rFonts w:ascii="Times New Roman" w:hAnsi="Times New Roman" w:cs="Times New Roman"/>
          <w:b/>
          <w:bCs/>
          <w:szCs w:val="24"/>
        </w:rPr>
      </w:pPr>
      <w:r w:rsidRPr="007245B0">
        <w:rPr>
          <w:rFonts w:ascii="Times New Roman" w:hAnsi="Times New Roman" w:cs="Times New Roman"/>
          <w:b/>
          <w:bCs/>
          <w:szCs w:val="24"/>
        </w:rPr>
        <w:t>Mysore:</w:t>
      </w:r>
    </w:p>
    <w:p w14:paraId="21CE1ACD" w14:textId="7017014B" w:rsidR="00712DC0" w:rsidRPr="007245B0" w:rsidRDefault="00712DC0" w:rsidP="00701032">
      <w:pPr>
        <w:spacing w:after="0"/>
        <w:ind w:left="720"/>
        <w:rPr>
          <w:rFonts w:ascii="Times New Roman" w:hAnsi="Times New Roman" w:cs="Times New Roman"/>
          <w:szCs w:val="24"/>
        </w:rPr>
      </w:pPr>
      <w:r w:rsidRPr="007245B0">
        <w:rPr>
          <w:rFonts w:ascii="Times New Roman" w:hAnsi="Times New Roman" w:cs="Times New Roman"/>
          <w:szCs w:val="24"/>
        </w:rPr>
        <w:t>(a) 20% on tickets upto Re. 0.50;</w:t>
      </w:r>
      <w:r w:rsidRPr="007245B0">
        <w:rPr>
          <w:rFonts w:ascii="Times New Roman" w:hAnsi="Times New Roman" w:cs="Times New Roman"/>
          <w:szCs w:val="24"/>
        </w:rPr>
        <w:br/>
        <w:t>(b) 25% on tickets of more than Re. 0.50 to Rs. 1.50;</w:t>
      </w:r>
      <w:r w:rsidRPr="007245B0">
        <w:rPr>
          <w:rFonts w:ascii="Times New Roman" w:hAnsi="Times New Roman" w:cs="Times New Roman"/>
          <w:szCs w:val="24"/>
        </w:rPr>
        <w:br/>
        <w:t>(c) 30% on tickets of more than Rs. 1.50 to Rs. 3;</w:t>
      </w:r>
      <w:r w:rsidRPr="007245B0">
        <w:rPr>
          <w:rFonts w:ascii="Times New Roman" w:hAnsi="Times New Roman" w:cs="Times New Roman"/>
          <w:szCs w:val="24"/>
        </w:rPr>
        <w:br/>
        <w:t>(d) 35% on tickets of more than Rs. 3.</w:t>
      </w:r>
    </w:p>
    <w:p w14:paraId="7AE6E4B0" w14:textId="77777777" w:rsidR="00712DC0" w:rsidRPr="007245B0" w:rsidRDefault="00712DC0" w:rsidP="00712DC0">
      <w:pPr>
        <w:spacing w:after="0"/>
        <w:rPr>
          <w:rFonts w:ascii="Times New Roman" w:hAnsi="Times New Roman" w:cs="Times New Roman"/>
          <w:b/>
          <w:bCs/>
          <w:szCs w:val="24"/>
        </w:rPr>
      </w:pPr>
    </w:p>
    <w:p w14:paraId="46517BC6" w14:textId="77777777" w:rsidR="00701032" w:rsidRDefault="00712DC0" w:rsidP="00712DC0">
      <w:pPr>
        <w:spacing w:after="0"/>
        <w:rPr>
          <w:rFonts w:ascii="Times New Roman" w:hAnsi="Times New Roman" w:cs="Times New Roman"/>
          <w:b/>
          <w:bCs/>
          <w:szCs w:val="24"/>
        </w:rPr>
      </w:pPr>
      <w:r w:rsidRPr="007245B0">
        <w:rPr>
          <w:rFonts w:ascii="Times New Roman" w:hAnsi="Times New Roman" w:cs="Times New Roman"/>
          <w:b/>
          <w:bCs/>
          <w:szCs w:val="24"/>
        </w:rPr>
        <w:t>Orissa:</w:t>
      </w:r>
    </w:p>
    <w:p w14:paraId="06E03950" w14:textId="3F06221D" w:rsidR="00712DC0" w:rsidRPr="007245B0" w:rsidRDefault="00712DC0" w:rsidP="00701032">
      <w:pPr>
        <w:spacing w:after="0"/>
        <w:ind w:left="720"/>
        <w:rPr>
          <w:rFonts w:ascii="Times New Roman" w:hAnsi="Times New Roman" w:cs="Times New Roman"/>
          <w:szCs w:val="24"/>
        </w:rPr>
      </w:pPr>
      <w:r w:rsidRPr="007245B0">
        <w:rPr>
          <w:rFonts w:ascii="Times New Roman" w:hAnsi="Times New Roman" w:cs="Times New Roman"/>
          <w:szCs w:val="24"/>
        </w:rPr>
        <w:t>(a) 25% on tickets upto Re. 1;</w:t>
      </w:r>
      <w:r w:rsidRPr="007245B0">
        <w:rPr>
          <w:rFonts w:ascii="Times New Roman" w:hAnsi="Times New Roman" w:cs="Times New Roman"/>
          <w:szCs w:val="24"/>
        </w:rPr>
        <w:br/>
        <w:t>(b) 40% on tickets of more than Re. 1 to Rs. 3;</w:t>
      </w:r>
      <w:r w:rsidRPr="007245B0">
        <w:rPr>
          <w:rFonts w:ascii="Times New Roman" w:hAnsi="Times New Roman" w:cs="Times New Roman"/>
          <w:szCs w:val="24"/>
        </w:rPr>
        <w:br/>
        <w:t>(c) 50% on tickets of more than Rs. 3;</w:t>
      </w:r>
      <w:r w:rsidRPr="007245B0">
        <w:rPr>
          <w:rFonts w:ascii="Times New Roman" w:hAnsi="Times New Roman" w:cs="Times New Roman"/>
          <w:szCs w:val="24"/>
        </w:rPr>
        <w:br/>
        <w:t>(d) There is also a surcharge of 25% in certain municipalities and notified areas.</w:t>
      </w:r>
    </w:p>
    <w:p w14:paraId="630371D3" w14:textId="77777777" w:rsidR="00712DC0" w:rsidRPr="007245B0" w:rsidRDefault="00712DC0" w:rsidP="00712DC0">
      <w:pPr>
        <w:spacing w:after="0"/>
        <w:rPr>
          <w:rFonts w:ascii="Times New Roman" w:hAnsi="Times New Roman" w:cs="Times New Roman"/>
          <w:b/>
          <w:bCs/>
          <w:szCs w:val="24"/>
        </w:rPr>
      </w:pPr>
    </w:p>
    <w:p w14:paraId="0529DD3B" w14:textId="77777777" w:rsidR="00701032" w:rsidRDefault="00E87606" w:rsidP="00712DC0">
      <w:pPr>
        <w:spacing w:after="0"/>
        <w:rPr>
          <w:rFonts w:ascii="Times New Roman" w:hAnsi="Times New Roman" w:cs="Times New Roman"/>
          <w:b/>
          <w:bCs/>
          <w:szCs w:val="24"/>
        </w:rPr>
      </w:pPr>
      <w:r w:rsidRPr="007245B0">
        <w:rPr>
          <w:rFonts w:ascii="Times New Roman" w:hAnsi="Times New Roman" w:cs="Times New Roman"/>
          <w:b/>
          <w:bCs/>
          <w:szCs w:val="24"/>
        </w:rPr>
        <w:t>Punjab:</w:t>
      </w:r>
    </w:p>
    <w:p w14:paraId="16329B99" w14:textId="3218E1EC" w:rsidR="00712DC0" w:rsidRPr="007245B0" w:rsidRDefault="00712DC0" w:rsidP="00701032">
      <w:pPr>
        <w:spacing w:after="0"/>
        <w:ind w:left="720"/>
        <w:rPr>
          <w:rFonts w:ascii="Times New Roman" w:hAnsi="Times New Roman" w:cs="Times New Roman"/>
          <w:szCs w:val="24"/>
        </w:rPr>
      </w:pPr>
      <w:r w:rsidRPr="007245B0">
        <w:rPr>
          <w:rFonts w:ascii="Times New Roman" w:hAnsi="Times New Roman" w:cs="Times New Roman"/>
          <w:szCs w:val="24"/>
        </w:rPr>
        <w:t>50% of the payment for admission for any entertainment.</w:t>
      </w:r>
    </w:p>
    <w:p w14:paraId="2E87FE4C" w14:textId="77777777" w:rsidR="00712DC0" w:rsidRPr="007245B0" w:rsidRDefault="00712DC0" w:rsidP="00712DC0">
      <w:pPr>
        <w:spacing w:after="0"/>
        <w:rPr>
          <w:rFonts w:ascii="Times New Roman" w:hAnsi="Times New Roman" w:cs="Times New Roman"/>
          <w:b/>
          <w:bCs/>
          <w:szCs w:val="24"/>
        </w:rPr>
      </w:pPr>
    </w:p>
    <w:p w14:paraId="350C4D5F" w14:textId="77777777" w:rsidR="00701032" w:rsidRDefault="00E87606" w:rsidP="00712DC0">
      <w:pPr>
        <w:spacing w:after="0"/>
        <w:rPr>
          <w:rFonts w:ascii="Times New Roman" w:hAnsi="Times New Roman" w:cs="Times New Roman"/>
          <w:b/>
          <w:bCs/>
          <w:szCs w:val="24"/>
        </w:rPr>
      </w:pPr>
      <w:r w:rsidRPr="007245B0">
        <w:rPr>
          <w:rFonts w:ascii="Times New Roman" w:hAnsi="Times New Roman" w:cs="Times New Roman"/>
          <w:b/>
          <w:bCs/>
          <w:szCs w:val="24"/>
        </w:rPr>
        <w:t>Rajasthan:</w:t>
      </w:r>
    </w:p>
    <w:p w14:paraId="3233688D" w14:textId="3400FD12" w:rsidR="00712DC0" w:rsidRPr="007245B0" w:rsidRDefault="00712DC0" w:rsidP="00701032">
      <w:pPr>
        <w:spacing w:after="0"/>
        <w:ind w:left="720"/>
        <w:rPr>
          <w:rFonts w:ascii="Times New Roman" w:hAnsi="Times New Roman" w:cs="Times New Roman"/>
          <w:szCs w:val="24"/>
        </w:rPr>
      </w:pPr>
      <w:r w:rsidRPr="007245B0">
        <w:rPr>
          <w:rFonts w:ascii="Times New Roman" w:hAnsi="Times New Roman" w:cs="Times New Roman"/>
          <w:szCs w:val="24"/>
        </w:rPr>
        <w:t>(a) 35% on tickets upto Re. 0.50;</w:t>
      </w:r>
      <w:r w:rsidRPr="007245B0">
        <w:rPr>
          <w:rFonts w:ascii="Times New Roman" w:hAnsi="Times New Roman" w:cs="Times New Roman"/>
          <w:szCs w:val="24"/>
        </w:rPr>
        <w:br/>
        <w:t>(b) 50% on tickets of more than Re. 0.50 to Re. 1;</w:t>
      </w:r>
      <w:r w:rsidRPr="007245B0">
        <w:rPr>
          <w:rFonts w:ascii="Times New Roman" w:hAnsi="Times New Roman" w:cs="Times New Roman"/>
          <w:szCs w:val="24"/>
        </w:rPr>
        <w:br/>
        <w:t>(c) 60% on tickets of more than Re. 1 to Rs. 2;</w:t>
      </w:r>
      <w:r w:rsidRPr="007245B0">
        <w:rPr>
          <w:rFonts w:ascii="Times New Roman" w:hAnsi="Times New Roman" w:cs="Times New Roman"/>
          <w:szCs w:val="24"/>
        </w:rPr>
        <w:br/>
        <w:t>(d) 70% on tickets of more than Rs. 2.</w:t>
      </w:r>
    </w:p>
    <w:p w14:paraId="6EC0BF47" w14:textId="77777777" w:rsidR="00712DC0" w:rsidRPr="007245B0" w:rsidRDefault="00712DC0" w:rsidP="00712DC0">
      <w:pPr>
        <w:spacing w:after="0"/>
        <w:jc w:val="center"/>
        <w:rPr>
          <w:rFonts w:ascii="Times New Roman" w:hAnsi="Times New Roman" w:cs="Times New Roman"/>
          <w:szCs w:val="24"/>
        </w:rPr>
      </w:pPr>
    </w:p>
    <w:p w14:paraId="0E081F38" w14:textId="77777777" w:rsidR="00701032" w:rsidRDefault="00712DC0" w:rsidP="00712DC0">
      <w:pPr>
        <w:spacing w:after="0"/>
        <w:rPr>
          <w:rFonts w:ascii="Times New Roman" w:hAnsi="Times New Roman" w:cs="Times New Roman"/>
          <w:b/>
          <w:bCs/>
          <w:szCs w:val="24"/>
        </w:rPr>
      </w:pPr>
      <w:r w:rsidRPr="007245B0">
        <w:rPr>
          <w:rFonts w:ascii="Times New Roman" w:hAnsi="Times New Roman" w:cs="Times New Roman"/>
          <w:b/>
          <w:bCs/>
          <w:szCs w:val="24"/>
        </w:rPr>
        <w:t>Tamil Nadu:</w:t>
      </w:r>
    </w:p>
    <w:p w14:paraId="7376E919" w14:textId="68A266E1" w:rsidR="00712DC0" w:rsidRPr="007245B0" w:rsidRDefault="00712DC0" w:rsidP="00701032">
      <w:pPr>
        <w:spacing w:after="0"/>
        <w:ind w:left="720"/>
        <w:rPr>
          <w:rFonts w:ascii="Times New Roman" w:hAnsi="Times New Roman" w:cs="Times New Roman"/>
          <w:szCs w:val="24"/>
        </w:rPr>
      </w:pPr>
      <w:r w:rsidRPr="007245B0">
        <w:rPr>
          <w:rFonts w:ascii="Times New Roman" w:hAnsi="Times New Roman" w:cs="Times New Roman"/>
          <w:szCs w:val="24"/>
        </w:rPr>
        <w:lastRenderedPageBreak/>
        <w:t>(a) 1/4th of the value of tickets upto 30 paise;</w:t>
      </w:r>
      <w:r w:rsidRPr="007245B0">
        <w:rPr>
          <w:rFonts w:ascii="Times New Roman" w:hAnsi="Times New Roman" w:cs="Times New Roman"/>
          <w:szCs w:val="24"/>
        </w:rPr>
        <w:br/>
        <w:t>(b) 1/3rd of the value of tickets of more than 30 paise and upto R. 1.50;</w:t>
      </w:r>
      <w:r w:rsidRPr="007245B0">
        <w:rPr>
          <w:rFonts w:ascii="Times New Roman" w:hAnsi="Times New Roman" w:cs="Times New Roman"/>
          <w:szCs w:val="24"/>
        </w:rPr>
        <w:br/>
        <w:t>(c) 2/5th of the ticket of more than Rs. 1.50.</w:t>
      </w:r>
    </w:p>
    <w:p w14:paraId="33D949E9" w14:textId="77777777" w:rsidR="00712DC0" w:rsidRPr="007245B0" w:rsidRDefault="00712DC0" w:rsidP="00712DC0">
      <w:pPr>
        <w:spacing w:after="0"/>
        <w:rPr>
          <w:rFonts w:ascii="Times New Roman" w:hAnsi="Times New Roman" w:cs="Times New Roman"/>
          <w:b/>
          <w:bCs/>
          <w:szCs w:val="24"/>
        </w:rPr>
      </w:pPr>
    </w:p>
    <w:p w14:paraId="2E1E2E6B" w14:textId="77777777" w:rsidR="00701032" w:rsidRDefault="00712DC0" w:rsidP="00712DC0">
      <w:pPr>
        <w:spacing w:after="0"/>
        <w:rPr>
          <w:rFonts w:ascii="Times New Roman" w:hAnsi="Times New Roman" w:cs="Times New Roman"/>
          <w:b/>
          <w:bCs/>
          <w:szCs w:val="24"/>
        </w:rPr>
      </w:pPr>
      <w:r w:rsidRPr="007245B0">
        <w:rPr>
          <w:rFonts w:ascii="Times New Roman" w:hAnsi="Times New Roman" w:cs="Times New Roman"/>
          <w:b/>
          <w:bCs/>
          <w:szCs w:val="24"/>
        </w:rPr>
        <w:t>Uttar Pradesh:</w:t>
      </w:r>
    </w:p>
    <w:p w14:paraId="31F543CA" w14:textId="56E789B9" w:rsidR="00712DC0" w:rsidRPr="007245B0" w:rsidRDefault="00712DC0" w:rsidP="00701032">
      <w:pPr>
        <w:spacing w:after="0"/>
        <w:ind w:left="720"/>
        <w:rPr>
          <w:rFonts w:ascii="Times New Roman" w:hAnsi="Times New Roman" w:cs="Times New Roman"/>
          <w:szCs w:val="24"/>
        </w:rPr>
      </w:pPr>
      <w:r w:rsidRPr="007245B0">
        <w:rPr>
          <w:rFonts w:ascii="Times New Roman" w:hAnsi="Times New Roman" w:cs="Times New Roman"/>
          <w:szCs w:val="24"/>
        </w:rPr>
        <w:t>(a) 12½% on cultural programmes;</w:t>
      </w:r>
      <w:r w:rsidRPr="007245B0">
        <w:rPr>
          <w:rFonts w:ascii="Times New Roman" w:hAnsi="Times New Roman" w:cs="Times New Roman"/>
          <w:szCs w:val="24"/>
        </w:rPr>
        <w:br/>
        <w:t>(b) 25% on circuses;</w:t>
      </w:r>
      <w:r w:rsidRPr="007245B0">
        <w:rPr>
          <w:rFonts w:ascii="Times New Roman" w:hAnsi="Times New Roman" w:cs="Times New Roman"/>
          <w:szCs w:val="24"/>
        </w:rPr>
        <w:br/>
        <w:t>(c) 60% on variety shows, skating and games;</w:t>
      </w:r>
      <w:r w:rsidRPr="007245B0">
        <w:rPr>
          <w:rFonts w:ascii="Times New Roman" w:hAnsi="Times New Roman" w:cs="Times New Roman"/>
          <w:szCs w:val="24"/>
        </w:rPr>
        <w:br/>
        <w:t>(d) 75% on cinematograph exhibitions.</w:t>
      </w:r>
    </w:p>
    <w:p w14:paraId="2936758D" w14:textId="77777777" w:rsidR="00712DC0" w:rsidRPr="007245B0" w:rsidRDefault="00712DC0" w:rsidP="00712DC0">
      <w:pPr>
        <w:spacing w:after="0"/>
        <w:rPr>
          <w:rFonts w:ascii="Times New Roman" w:hAnsi="Times New Roman" w:cs="Times New Roman"/>
          <w:b/>
          <w:bCs/>
          <w:szCs w:val="24"/>
        </w:rPr>
      </w:pPr>
    </w:p>
    <w:p w14:paraId="643117A3" w14:textId="77777777" w:rsidR="00701032" w:rsidRDefault="00712DC0" w:rsidP="00712DC0">
      <w:pPr>
        <w:spacing w:after="0"/>
        <w:rPr>
          <w:rFonts w:ascii="Times New Roman" w:hAnsi="Times New Roman" w:cs="Times New Roman"/>
          <w:b/>
          <w:bCs/>
          <w:szCs w:val="24"/>
        </w:rPr>
      </w:pPr>
      <w:r w:rsidRPr="007245B0">
        <w:rPr>
          <w:rFonts w:ascii="Times New Roman" w:hAnsi="Times New Roman" w:cs="Times New Roman"/>
          <w:b/>
          <w:bCs/>
          <w:szCs w:val="24"/>
        </w:rPr>
        <w:t>West Bengal:</w:t>
      </w:r>
    </w:p>
    <w:p w14:paraId="57B9B835" w14:textId="77777777" w:rsidR="00701032" w:rsidRDefault="00712DC0" w:rsidP="00701032">
      <w:pPr>
        <w:spacing w:after="0"/>
        <w:ind w:left="720"/>
        <w:rPr>
          <w:rFonts w:ascii="Times New Roman" w:hAnsi="Times New Roman" w:cs="Times New Roman"/>
          <w:szCs w:val="24"/>
        </w:rPr>
      </w:pPr>
      <w:r w:rsidRPr="007245B0">
        <w:rPr>
          <w:rFonts w:ascii="Times New Roman" w:hAnsi="Times New Roman" w:cs="Times New Roman"/>
          <w:szCs w:val="24"/>
        </w:rPr>
        <w:t>(a) 25% general rate for any entertainment;</w:t>
      </w:r>
      <w:r w:rsidRPr="007245B0">
        <w:rPr>
          <w:rFonts w:ascii="Times New Roman" w:hAnsi="Times New Roman" w:cs="Times New Roman"/>
          <w:szCs w:val="24"/>
        </w:rPr>
        <w:br/>
        <w:t>(b) From 5 paise to Rs. 2 for theatres, circuses and shadow plays depending on the value of tickets;</w:t>
      </w:r>
      <w:r w:rsidRPr="007245B0">
        <w:rPr>
          <w:rFonts w:ascii="Times New Roman" w:hAnsi="Times New Roman" w:cs="Times New Roman"/>
          <w:szCs w:val="24"/>
        </w:rPr>
        <w:br/>
        <w:t>(c) For cinemas:</w:t>
      </w:r>
    </w:p>
    <w:p w14:paraId="29485B8B" w14:textId="0ADCB322" w:rsidR="00712DC0" w:rsidRPr="007245B0" w:rsidRDefault="00712DC0" w:rsidP="00701032">
      <w:pPr>
        <w:spacing w:after="0"/>
        <w:ind w:left="1440"/>
        <w:rPr>
          <w:rFonts w:ascii="Times New Roman" w:hAnsi="Times New Roman" w:cs="Times New Roman"/>
          <w:szCs w:val="24"/>
        </w:rPr>
      </w:pPr>
      <w:r w:rsidRPr="007245B0">
        <w:rPr>
          <w:rFonts w:ascii="Times New Roman" w:hAnsi="Times New Roman" w:cs="Times New Roman"/>
          <w:szCs w:val="24"/>
        </w:rPr>
        <w:t>(i) Exempted upto tickets of 19 paise;</w:t>
      </w:r>
      <w:r w:rsidRPr="007245B0">
        <w:rPr>
          <w:rFonts w:ascii="Times New Roman" w:hAnsi="Times New Roman" w:cs="Times New Roman"/>
          <w:szCs w:val="24"/>
        </w:rPr>
        <w:br/>
        <w:t>(ii) 25% for tickets from paise 20 to 50;</w:t>
      </w:r>
      <w:r w:rsidRPr="007245B0">
        <w:rPr>
          <w:rFonts w:ascii="Times New Roman" w:hAnsi="Times New Roman" w:cs="Times New Roman"/>
          <w:szCs w:val="24"/>
        </w:rPr>
        <w:br/>
        <w:t>(iii) 50% for tickets of more than Re. 0.50 to Rs. 1.20;</w:t>
      </w:r>
      <w:r w:rsidRPr="007245B0">
        <w:rPr>
          <w:rFonts w:ascii="Times New Roman" w:hAnsi="Times New Roman" w:cs="Times New Roman"/>
          <w:szCs w:val="24"/>
        </w:rPr>
        <w:br/>
        <w:t>(iv) 100% on tickets of more than Rs. 2.25.</w:t>
      </w:r>
    </w:p>
    <w:p w14:paraId="57ECBB9C" w14:textId="77777777" w:rsidR="00712DC0" w:rsidRPr="007245B0" w:rsidRDefault="00712DC0" w:rsidP="00701032">
      <w:pPr>
        <w:ind w:left="720"/>
        <w:rPr>
          <w:rFonts w:ascii="Times New Roman" w:hAnsi="Times New Roman" w:cs="Times New Roman"/>
          <w:szCs w:val="24"/>
        </w:rPr>
      </w:pPr>
      <w:r w:rsidRPr="007245B0">
        <w:rPr>
          <w:rFonts w:ascii="Times New Roman" w:hAnsi="Times New Roman" w:cs="Times New Roman"/>
          <w:szCs w:val="24"/>
        </w:rPr>
        <w:br w:type="page"/>
      </w:r>
    </w:p>
    <w:p w14:paraId="3F2672A1" w14:textId="24E2FCAB" w:rsidR="00A85D2D" w:rsidRDefault="00574BCE" w:rsidP="00A85D2D">
      <w:pPr>
        <w:pStyle w:val="Heading4"/>
      </w:pPr>
      <w:bookmarkStart w:id="108" w:name="_Toc220949706"/>
      <w:bookmarkStart w:id="109" w:name="_Toc221114306"/>
      <w:bookmarkStart w:id="110" w:name="_Toc221115329"/>
      <w:r>
        <w:lastRenderedPageBreak/>
        <w:t>Table</w:t>
      </w:r>
      <w:r w:rsidR="00A56760" w:rsidRPr="007245B0">
        <w:t xml:space="preserve"> 25: Rates of Stamp Duties and Registration</w:t>
      </w:r>
      <w:bookmarkEnd w:id="108"/>
      <w:bookmarkEnd w:id="109"/>
      <w:bookmarkEnd w:id="110"/>
      <w:r w:rsidR="00A56760" w:rsidRPr="007245B0">
        <w:t xml:space="preserve"> </w:t>
      </w:r>
    </w:p>
    <w:p w14:paraId="4D277A2E" w14:textId="77777777" w:rsidR="00A85D2D" w:rsidRDefault="00A56760" w:rsidP="00A85D2D">
      <w:pPr>
        <w:spacing w:after="0"/>
        <w:jc w:val="center"/>
        <w:rPr>
          <w:rFonts w:ascii="Times New Roman" w:hAnsi="Times New Roman" w:cs="Times New Roman"/>
          <w:b/>
          <w:bCs/>
          <w:szCs w:val="24"/>
        </w:rPr>
      </w:pPr>
      <w:r w:rsidRPr="007245B0">
        <w:rPr>
          <w:rFonts w:ascii="Times New Roman" w:hAnsi="Times New Roman" w:cs="Times New Roman"/>
          <w:b/>
          <w:bCs/>
          <w:szCs w:val="24"/>
        </w:rPr>
        <w:t>(1967-68)</w:t>
      </w:r>
    </w:p>
    <w:p w14:paraId="693A131D" w14:textId="6FA5F7FC" w:rsidR="00A56760" w:rsidRPr="007245B0" w:rsidRDefault="00A56760" w:rsidP="00A85D2D">
      <w:pPr>
        <w:spacing w:after="0"/>
        <w:jc w:val="right"/>
        <w:rPr>
          <w:rFonts w:ascii="Times New Roman" w:hAnsi="Times New Roman" w:cs="Times New Roman"/>
          <w:b/>
          <w:bCs/>
          <w:szCs w:val="24"/>
        </w:rPr>
      </w:pPr>
      <w:r w:rsidRPr="007245B0">
        <w:rPr>
          <w:rFonts w:ascii="Times New Roman" w:hAnsi="Times New Roman" w:cs="Times New Roman"/>
          <w:i/>
          <w:iCs/>
          <w:szCs w:val="24"/>
        </w:rPr>
        <w:t>(Rupees)</w:t>
      </w:r>
    </w:p>
    <w:tbl>
      <w:tblPr>
        <w:tblW w:w="10615" w:type="dxa"/>
        <w:jc w:val="center"/>
        <w:tblLook w:val="04A0" w:firstRow="1" w:lastRow="0" w:firstColumn="1" w:lastColumn="0" w:noHBand="0" w:noVBand="1"/>
      </w:tblPr>
      <w:tblGrid>
        <w:gridCol w:w="2158"/>
        <w:gridCol w:w="1763"/>
        <w:gridCol w:w="2236"/>
        <w:gridCol w:w="2142"/>
        <w:gridCol w:w="2316"/>
      </w:tblGrid>
      <w:tr w:rsidR="00A56760" w:rsidRPr="00A85D2D" w14:paraId="51D00EE5" w14:textId="77777777" w:rsidTr="00A85D2D">
        <w:trPr>
          <w:trHeight w:val="2467"/>
          <w:jc w:val="center"/>
        </w:trPr>
        <w:tc>
          <w:tcPr>
            <w:tcW w:w="215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3FC37CB" w14:textId="77777777" w:rsidR="00A56760" w:rsidRPr="00A85D2D" w:rsidRDefault="00A56760" w:rsidP="00B77C0B">
            <w:pPr>
              <w:spacing w:after="0" w:line="240" w:lineRule="auto"/>
              <w:ind w:firstLineChars="100" w:firstLine="241"/>
              <w:rPr>
                <w:rFonts w:ascii="Times New Roman" w:eastAsia="Times New Roman" w:hAnsi="Times New Roman" w:cs="Times New Roman"/>
                <w:b/>
                <w:bCs/>
                <w:color w:val="1A1C1E"/>
                <w:kern w:val="0"/>
                <w:szCs w:val="24"/>
                <w:lang w:eastAsia="en-IN"/>
                <w14:ligatures w14:val="none"/>
              </w:rPr>
            </w:pPr>
            <w:r w:rsidRPr="00A85D2D">
              <w:rPr>
                <w:rFonts w:ascii="Times New Roman" w:eastAsia="Times New Roman" w:hAnsi="Times New Roman" w:cs="Times New Roman"/>
                <w:b/>
                <w:bCs/>
                <w:color w:val="1A1C1E"/>
                <w:kern w:val="0"/>
                <w:szCs w:val="24"/>
                <w:lang w:eastAsia="en-IN"/>
                <w14:ligatures w14:val="none"/>
              </w:rPr>
              <w:t>States</w:t>
            </w:r>
          </w:p>
        </w:tc>
        <w:tc>
          <w:tcPr>
            <w:tcW w:w="1763" w:type="dxa"/>
            <w:tcBorders>
              <w:top w:val="single" w:sz="4" w:space="0" w:color="auto"/>
              <w:left w:val="nil"/>
              <w:bottom w:val="single" w:sz="4" w:space="0" w:color="auto"/>
              <w:right w:val="single" w:sz="4" w:space="0" w:color="auto"/>
            </w:tcBorders>
            <w:shd w:val="clear" w:color="000000" w:fill="FFFFFF"/>
            <w:vAlign w:val="center"/>
            <w:hideMark/>
          </w:tcPr>
          <w:p w14:paraId="2DF5550B" w14:textId="2E5F74A9" w:rsidR="00A56760" w:rsidRPr="00A85D2D" w:rsidRDefault="00A56760" w:rsidP="00B77C0B">
            <w:pPr>
              <w:spacing w:after="0" w:line="240" w:lineRule="auto"/>
              <w:ind w:firstLineChars="100" w:firstLine="241"/>
              <w:rPr>
                <w:rFonts w:ascii="Times New Roman" w:eastAsia="Times New Roman" w:hAnsi="Times New Roman" w:cs="Times New Roman"/>
                <w:b/>
                <w:bCs/>
                <w:color w:val="1A1C1E"/>
                <w:kern w:val="0"/>
                <w:szCs w:val="24"/>
                <w:lang w:eastAsia="en-IN"/>
                <w14:ligatures w14:val="none"/>
              </w:rPr>
            </w:pPr>
            <w:r w:rsidRPr="00A85D2D">
              <w:rPr>
                <w:rFonts w:ascii="Times New Roman" w:eastAsia="Times New Roman" w:hAnsi="Times New Roman" w:cs="Times New Roman"/>
                <w:b/>
                <w:bCs/>
                <w:color w:val="1A1C1E"/>
                <w:kern w:val="0"/>
                <w:szCs w:val="24"/>
                <w:lang w:eastAsia="en-IN"/>
                <w14:ligatures w14:val="none"/>
              </w:rPr>
              <w:t>Stamps: Agreement relating to deposit of title deeds, pawn or pledge for Rs. 10,000</w:t>
            </w:r>
            <w:r w:rsidR="00EA234F">
              <w:rPr>
                <w:rFonts w:ascii="Times New Roman" w:eastAsia="Times New Roman" w:hAnsi="Times New Roman" w:cs="Times New Roman"/>
                <w:b/>
                <w:bCs/>
                <w:color w:val="1A1C1E"/>
                <w:kern w:val="0"/>
                <w:szCs w:val="24"/>
                <w:lang w:eastAsia="en-IN"/>
                <w14:ligatures w14:val="none"/>
              </w:rPr>
              <w:t xml:space="preserve"> when drawn singly </w:t>
            </w:r>
          </w:p>
        </w:tc>
        <w:tc>
          <w:tcPr>
            <w:tcW w:w="2236" w:type="dxa"/>
            <w:tcBorders>
              <w:top w:val="single" w:sz="4" w:space="0" w:color="auto"/>
              <w:left w:val="nil"/>
              <w:bottom w:val="single" w:sz="4" w:space="0" w:color="auto"/>
              <w:right w:val="single" w:sz="4" w:space="0" w:color="auto"/>
            </w:tcBorders>
            <w:shd w:val="clear" w:color="000000" w:fill="FFFFFF"/>
            <w:vAlign w:val="center"/>
            <w:hideMark/>
          </w:tcPr>
          <w:p w14:paraId="37CC48DC" w14:textId="4B83C616" w:rsidR="00A56760" w:rsidRPr="00A85D2D" w:rsidRDefault="00A56760" w:rsidP="00B77C0B">
            <w:pPr>
              <w:spacing w:after="0" w:line="240" w:lineRule="auto"/>
              <w:ind w:firstLineChars="100" w:firstLine="241"/>
              <w:rPr>
                <w:rFonts w:ascii="Times New Roman" w:eastAsia="Times New Roman" w:hAnsi="Times New Roman" w:cs="Times New Roman"/>
                <w:b/>
                <w:bCs/>
                <w:color w:val="1A1C1E"/>
                <w:kern w:val="0"/>
                <w:szCs w:val="24"/>
                <w:lang w:eastAsia="en-IN"/>
                <w14:ligatures w14:val="none"/>
              </w:rPr>
            </w:pPr>
            <w:r w:rsidRPr="00A85D2D">
              <w:rPr>
                <w:rFonts w:ascii="Times New Roman" w:eastAsia="Times New Roman" w:hAnsi="Times New Roman" w:cs="Times New Roman"/>
                <w:b/>
                <w:bCs/>
                <w:color w:val="1A1C1E"/>
                <w:kern w:val="0"/>
                <w:szCs w:val="24"/>
                <w:lang w:eastAsia="en-IN"/>
                <w14:ligatures w14:val="none"/>
              </w:rPr>
              <w:t>Stamps: For bonds of Rs. 1,000 (other than administration bonds,</w:t>
            </w:r>
            <w:r w:rsidR="00EA234F">
              <w:rPr>
                <w:rFonts w:ascii="Times New Roman" w:eastAsia="Times New Roman" w:hAnsi="Times New Roman" w:cs="Times New Roman"/>
                <w:b/>
                <w:bCs/>
                <w:color w:val="1A1C1E"/>
                <w:kern w:val="0"/>
                <w:szCs w:val="24"/>
                <w:lang w:eastAsia="en-IN"/>
                <w14:ligatures w14:val="none"/>
              </w:rPr>
              <w:t xml:space="preserve"> indemnity bonds and respondentia bonds)</w:t>
            </w:r>
          </w:p>
        </w:tc>
        <w:tc>
          <w:tcPr>
            <w:tcW w:w="2142" w:type="dxa"/>
            <w:tcBorders>
              <w:top w:val="single" w:sz="4" w:space="0" w:color="auto"/>
              <w:left w:val="nil"/>
              <w:bottom w:val="single" w:sz="4" w:space="0" w:color="auto"/>
              <w:right w:val="single" w:sz="4" w:space="0" w:color="auto"/>
            </w:tcBorders>
            <w:shd w:val="clear" w:color="000000" w:fill="FFFFFF"/>
            <w:vAlign w:val="center"/>
            <w:hideMark/>
          </w:tcPr>
          <w:p w14:paraId="3313ECCD" w14:textId="77777777" w:rsidR="00A56760" w:rsidRPr="00A85D2D" w:rsidRDefault="00A56760" w:rsidP="00B77C0B">
            <w:pPr>
              <w:spacing w:after="0" w:line="240" w:lineRule="auto"/>
              <w:ind w:firstLineChars="100" w:firstLine="241"/>
              <w:rPr>
                <w:rFonts w:ascii="Times New Roman" w:eastAsia="Times New Roman" w:hAnsi="Times New Roman" w:cs="Times New Roman"/>
                <w:b/>
                <w:bCs/>
                <w:color w:val="1A1C1E"/>
                <w:kern w:val="0"/>
                <w:szCs w:val="24"/>
                <w:lang w:eastAsia="en-IN"/>
                <w14:ligatures w14:val="none"/>
              </w:rPr>
            </w:pPr>
            <w:r w:rsidRPr="00A85D2D">
              <w:rPr>
                <w:rFonts w:ascii="Times New Roman" w:eastAsia="Times New Roman" w:hAnsi="Times New Roman" w:cs="Times New Roman"/>
                <w:b/>
                <w:bCs/>
                <w:color w:val="1A1C1E"/>
                <w:kern w:val="0"/>
                <w:szCs w:val="24"/>
                <w:lang w:eastAsia="en-IN"/>
                <w14:ligatures w14:val="none"/>
              </w:rPr>
              <w:t>Stamps: Conveyance with amount or value of consideration of Rs. 1,000</w:t>
            </w:r>
          </w:p>
        </w:tc>
        <w:tc>
          <w:tcPr>
            <w:tcW w:w="2316" w:type="dxa"/>
            <w:tcBorders>
              <w:top w:val="single" w:sz="4" w:space="0" w:color="auto"/>
              <w:left w:val="nil"/>
              <w:bottom w:val="single" w:sz="4" w:space="0" w:color="auto"/>
              <w:right w:val="single" w:sz="4" w:space="0" w:color="auto"/>
            </w:tcBorders>
            <w:shd w:val="clear" w:color="000000" w:fill="FFFFFF"/>
            <w:vAlign w:val="center"/>
            <w:hideMark/>
          </w:tcPr>
          <w:p w14:paraId="1E7035E3" w14:textId="77777777" w:rsidR="00A56760" w:rsidRPr="00A85D2D" w:rsidRDefault="00A56760" w:rsidP="00B77C0B">
            <w:pPr>
              <w:spacing w:after="0" w:line="240" w:lineRule="auto"/>
              <w:ind w:firstLineChars="100" w:firstLine="241"/>
              <w:rPr>
                <w:rFonts w:ascii="Times New Roman" w:eastAsia="Times New Roman" w:hAnsi="Times New Roman" w:cs="Times New Roman"/>
                <w:b/>
                <w:bCs/>
                <w:color w:val="1A1C1E"/>
                <w:kern w:val="0"/>
                <w:szCs w:val="24"/>
                <w:lang w:eastAsia="en-IN"/>
                <w14:ligatures w14:val="none"/>
              </w:rPr>
            </w:pPr>
            <w:r w:rsidRPr="00A85D2D">
              <w:rPr>
                <w:rFonts w:ascii="Times New Roman" w:eastAsia="Times New Roman" w:hAnsi="Times New Roman" w:cs="Times New Roman"/>
                <w:b/>
                <w:bCs/>
                <w:color w:val="1A1C1E"/>
                <w:kern w:val="0"/>
                <w:szCs w:val="24"/>
                <w:lang w:eastAsia="en-IN"/>
                <w14:ligatures w14:val="none"/>
              </w:rPr>
              <w:t>Registration: On documents of the value of the consideration of Rs. 1,000</w:t>
            </w:r>
          </w:p>
        </w:tc>
      </w:tr>
      <w:tr w:rsidR="00A56760" w:rsidRPr="00A85D2D" w14:paraId="635B1509" w14:textId="77777777" w:rsidTr="00A85D2D">
        <w:trPr>
          <w:trHeight w:val="265"/>
          <w:jc w:val="center"/>
        </w:trPr>
        <w:tc>
          <w:tcPr>
            <w:tcW w:w="2158" w:type="dxa"/>
            <w:tcBorders>
              <w:top w:val="nil"/>
              <w:left w:val="single" w:sz="4" w:space="0" w:color="auto"/>
              <w:bottom w:val="single" w:sz="4" w:space="0" w:color="auto"/>
              <w:right w:val="single" w:sz="4" w:space="0" w:color="auto"/>
            </w:tcBorders>
            <w:shd w:val="clear" w:color="000000" w:fill="FFFFFF"/>
            <w:vAlign w:val="center"/>
            <w:hideMark/>
          </w:tcPr>
          <w:p w14:paraId="35D84155" w14:textId="77777777" w:rsidR="00A56760" w:rsidRPr="00A85D2D" w:rsidRDefault="00A56760" w:rsidP="00B77C0B">
            <w:pPr>
              <w:spacing w:after="0" w:line="240" w:lineRule="auto"/>
              <w:ind w:firstLineChars="100" w:firstLine="240"/>
              <w:rPr>
                <w:rFonts w:ascii="Times New Roman" w:eastAsia="Times New Roman" w:hAnsi="Times New Roman" w:cs="Times New Roman"/>
                <w:color w:val="1A1C1E"/>
                <w:kern w:val="0"/>
                <w:szCs w:val="24"/>
                <w:lang w:eastAsia="en-IN"/>
                <w14:ligatures w14:val="none"/>
              </w:rPr>
            </w:pPr>
            <w:r w:rsidRPr="00A85D2D">
              <w:rPr>
                <w:rFonts w:ascii="Times New Roman" w:eastAsia="Times New Roman" w:hAnsi="Times New Roman" w:cs="Times New Roman"/>
                <w:color w:val="1A1C1E"/>
                <w:kern w:val="0"/>
                <w:szCs w:val="24"/>
                <w:lang w:eastAsia="en-IN"/>
                <w14:ligatures w14:val="none"/>
              </w:rPr>
              <w:t>Andhra Pradesh</w:t>
            </w:r>
          </w:p>
        </w:tc>
        <w:tc>
          <w:tcPr>
            <w:tcW w:w="1763" w:type="dxa"/>
            <w:tcBorders>
              <w:top w:val="nil"/>
              <w:left w:val="nil"/>
              <w:bottom w:val="single" w:sz="4" w:space="0" w:color="auto"/>
              <w:right w:val="single" w:sz="4" w:space="0" w:color="auto"/>
            </w:tcBorders>
            <w:shd w:val="clear" w:color="000000" w:fill="FFFFFF"/>
            <w:vAlign w:val="center"/>
            <w:hideMark/>
          </w:tcPr>
          <w:p w14:paraId="444F2110" w14:textId="77777777" w:rsidR="00A56760" w:rsidRPr="00A85D2D" w:rsidRDefault="00A56760" w:rsidP="00B77C0B">
            <w:pPr>
              <w:spacing w:after="0" w:line="240" w:lineRule="auto"/>
              <w:ind w:firstLineChars="100" w:firstLine="240"/>
              <w:rPr>
                <w:rFonts w:ascii="Times New Roman" w:eastAsia="Times New Roman" w:hAnsi="Times New Roman" w:cs="Times New Roman"/>
                <w:color w:val="1A1C1E"/>
                <w:kern w:val="0"/>
                <w:szCs w:val="24"/>
                <w:lang w:eastAsia="en-IN"/>
                <w14:ligatures w14:val="none"/>
              </w:rPr>
            </w:pPr>
            <w:r w:rsidRPr="00A85D2D">
              <w:rPr>
                <w:rFonts w:ascii="Times New Roman" w:eastAsia="Times New Roman" w:hAnsi="Times New Roman" w:cs="Times New Roman"/>
                <w:color w:val="1A1C1E"/>
                <w:kern w:val="0"/>
                <w:szCs w:val="24"/>
                <w:lang w:eastAsia="en-IN"/>
                <w14:ligatures w14:val="none"/>
              </w:rPr>
              <w:t>40.5</w:t>
            </w:r>
          </w:p>
        </w:tc>
        <w:tc>
          <w:tcPr>
            <w:tcW w:w="2236" w:type="dxa"/>
            <w:tcBorders>
              <w:top w:val="nil"/>
              <w:left w:val="nil"/>
              <w:bottom w:val="single" w:sz="4" w:space="0" w:color="auto"/>
              <w:right w:val="single" w:sz="4" w:space="0" w:color="auto"/>
            </w:tcBorders>
            <w:shd w:val="clear" w:color="000000" w:fill="FFFFFF"/>
            <w:vAlign w:val="center"/>
            <w:hideMark/>
          </w:tcPr>
          <w:p w14:paraId="2AB42BB8" w14:textId="77777777" w:rsidR="00A56760" w:rsidRPr="00A85D2D" w:rsidRDefault="00A56760" w:rsidP="00B77C0B">
            <w:pPr>
              <w:spacing w:after="0" w:line="240" w:lineRule="auto"/>
              <w:ind w:firstLineChars="100" w:firstLine="240"/>
              <w:rPr>
                <w:rFonts w:ascii="Times New Roman" w:eastAsia="Times New Roman" w:hAnsi="Times New Roman" w:cs="Times New Roman"/>
                <w:color w:val="1A1C1E"/>
                <w:kern w:val="0"/>
                <w:szCs w:val="24"/>
                <w:lang w:eastAsia="en-IN"/>
                <w14:ligatures w14:val="none"/>
              </w:rPr>
            </w:pPr>
            <w:r w:rsidRPr="00A85D2D">
              <w:rPr>
                <w:rFonts w:ascii="Times New Roman" w:eastAsia="Times New Roman" w:hAnsi="Times New Roman" w:cs="Times New Roman"/>
                <w:color w:val="1A1C1E"/>
                <w:kern w:val="0"/>
                <w:szCs w:val="24"/>
                <w:lang w:eastAsia="en-IN"/>
                <w14:ligatures w14:val="none"/>
              </w:rPr>
              <w:t>22.5</w:t>
            </w:r>
          </w:p>
        </w:tc>
        <w:tc>
          <w:tcPr>
            <w:tcW w:w="2142" w:type="dxa"/>
            <w:tcBorders>
              <w:top w:val="nil"/>
              <w:left w:val="nil"/>
              <w:bottom w:val="single" w:sz="4" w:space="0" w:color="auto"/>
              <w:right w:val="single" w:sz="4" w:space="0" w:color="auto"/>
            </w:tcBorders>
            <w:shd w:val="clear" w:color="000000" w:fill="FFFFFF"/>
            <w:vAlign w:val="center"/>
            <w:hideMark/>
          </w:tcPr>
          <w:p w14:paraId="5CFE0191" w14:textId="77777777" w:rsidR="00A56760" w:rsidRPr="00A85D2D" w:rsidRDefault="00A56760" w:rsidP="00B77C0B">
            <w:pPr>
              <w:spacing w:after="0" w:line="240" w:lineRule="auto"/>
              <w:ind w:firstLineChars="100" w:firstLine="240"/>
              <w:rPr>
                <w:rFonts w:ascii="Times New Roman" w:eastAsia="Times New Roman" w:hAnsi="Times New Roman" w:cs="Times New Roman"/>
                <w:color w:val="1A1C1E"/>
                <w:kern w:val="0"/>
                <w:szCs w:val="24"/>
                <w:lang w:eastAsia="en-IN"/>
                <w14:ligatures w14:val="none"/>
              </w:rPr>
            </w:pPr>
            <w:r w:rsidRPr="00A85D2D">
              <w:rPr>
                <w:rFonts w:ascii="Times New Roman" w:eastAsia="Times New Roman" w:hAnsi="Times New Roman" w:cs="Times New Roman"/>
                <w:color w:val="1A1C1E"/>
                <w:kern w:val="0"/>
                <w:szCs w:val="24"/>
                <w:lang w:eastAsia="en-IN"/>
                <w14:ligatures w14:val="none"/>
              </w:rPr>
              <w:t>45</w:t>
            </w:r>
          </w:p>
        </w:tc>
        <w:tc>
          <w:tcPr>
            <w:tcW w:w="2316" w:type="dxa"/>
            <w:tcBorders>
              <w:top w:val="nil"/>
              <w:left w:val="nil"/>
              <w:bottom w:val="single" w:sz="4" w:space="0" w:color="auto"/>
              <w:right w:val="single" w:sz="4" w:space="0" w:color="auto"/>
            </w:tcBorders>
            <w:shd w:val="clear" w:color="000000" w:fill="FFFFFF"/>
            <w:vAlign w:val="center"/>
            <w:hideMark/>
          </w:tcPr>
          <w:p w14:paraId="178EFBB5" w14:textId="77777777" w:rsidR="00A56760" w:rsidRPr="00A85D2D" w:rsidRDefault="00A56760" w:rsidP="00B77C0B">
            <w:pPr>
              <w:spacing w:after="0" w:line="240" w:lineRule="auto"/>
              <w:ind w:firstLineChars="100" w:firstLine="240"/>
              <w:rPr>
                <w:rFonts w:ascii="Times New Roman" w:eastAsia="Times New Roman" w:hAnsi="Times New Roman" w:cs="Times New Roman"/>
                <w:color w:val="1A1C1E"/>
                <w:kern w:val="0"/>
                <w:szCs w:val="24"/>
                <w:lang w:eastAsia="en-IN"/>
                <w14:ligatures w14:val="none"/>
              </w:rPr>
            </w:pPr>
            <w:r w:rsidRPr="00A85D2D">
              <w:rPr>
                <w:rFonts w:ascii="Times New Roman" w:eastAsia="Times New Roman" w:hAnsi="Times New Roman" w:cs="Times New Roman"/>
                <w:color w:val="1A1C1E"/>
                <w:kern w:val="0"/>
                <w:szCs w:val="24"/>
                <w:lang w:eastAsia="en-IN"/>
                <w14:ligatures w14:val="none"/>
              </w:rPr>
              <w:t>10</w:t>
            </w:r>
          </w:p>
        </w:tc>
      </w:tr>
      <w:tr w:rsidR="00A56760" w:rsidRPr="00A85D2D" w14:paraId="19CC00AB" w14:textId="77777777" w:rsidTr="00A85D2D">
        <w:trPr>
          <w:trHeight w:val="504"/>
          <w:jc w:val="center"/>
        </w:trPr>
        <w:tc>
          <w:tcPr>
            <w:tcW w:w="2158" w:type="dxa"/>
            <w:tcBorders>
              <w:top w:val="nil"/>
              <w:left w:val="single" w:sz="4" w:space="0" w:color="auto"/>
              <w:bottom w:val="single" w:sz="4" w:space="0" w:color="auto"/>
              <w:right w:val="single" w:sz="4" w:space="0" w:color="auto"/>
            </w:tcBorders>
            <w:shd w:val="clear" w:color="000000" w:fill="FFFFFF"/>
            <w:vAlign w:val="center"/>
            <w:hideMark/>
          </w:tcPr>
          <w:p w14:paraId="3842E2A5" w14:textId="77777777" w:rsidR="00A56760" w:rsidRPr="00A85D2D" w:rsidRDefault="00A56760" w:rsidP="00B77C0B">
            <w:pPr>
              <w:spacing w:after="0" w:line="240" w:lineRule="auto"/>
              <w:ind w:firstLineChars="100" w:firstLine="240"/>
              <w:rPr>
                <w:rFonts w:ascii="Times New Roman" w:eastAsia="Times New Roman" w:hAnsi="Times New Roman" w:cs="Times New Roman"/>
                <w:color w:val="1A1C1E"/>
                <w:kern w:val="0"/>
                <w:szCs w:val="24"/>
                <w:lang w:eastAsia="en-IN"/>
                <w14:ligatures w14:val="none"/>
              </w:rPr>
            </w:pPr>
            <w:r w:rsidRPr="00A85D2D">
              <w:rPr>
                <w:rFonts w:ascii="Times New Roman" w:eastAsia="Times New Roman" w:hAnsi="Times New Roman" w:cs="Times New Roman"/>
                <w:color w:val="1A1C1E"/>
                <w:kern w:val="0"/>
                <w:szCs w:val="24"/>
                <w:lang w:eastAsia="en-IN"/>
                <w14:ligatures w14:val="none"/>
              </w:rPr>
              <w:t>Assam</w:t>
            </w:r>
          </w:p>
        </w:tc>
        <w:tc>
          <w:tcPr>
            <w:tcW w:w="1763" w:type="dxa"/>
            <w:tcBorders>
              <w:top w:val="nil"/>
              <w:left w:val="nil"/>
              <w:bottom w:val="single" w:sz="4" w:space="0" w:color="auto"/>
              <w:right w:val="single" w:sz="4" w:space="0" w:color="auto"/>
            </w:tcBorders>
            <w:shd w:val="clear" w:color="000000" w:fill="FFFFFF"/>
            <w:vAlign w:val="center"/>
            <w:hideMark/>
          </w:tcPr>
          <w:p w14:paraId="78FDAEC0" w14:textId="77777777" w:rsidR="00A56760" w:rsidRPr="00A85D2D" w:rsidRDefault="00A56760" w:rsidP="00B77C0B">
            <w:pPr>
              <w:spacing w:after="0" w:line="240" w:lineRule="auto"/>
              <w:ind w:firstLineChars="100" w:firstLine="240"/>
              <w:rPr>
                <w:rFonts w:ascii="Times New Roman" w:eastAsia="Times New Roman" w:hAnsi="Times New Roman" w:cs="Times New Roman"/>
                <w:color w:val="1A1C1E"/>
                <w:kern w:val="0"/>
                <w:szCs w:val="24"/>
                <w:lang w:eastAsia="en-IN"/>
                <w14:ligatures w14:val="none"/>
              </w:rPr>
            </w:pPr>
            <w:r w:rsidRPr="00A85D2D">
              <w:rPr>
                <w:rFonts w:ascii="Times New Roman" w:eastAsia="Times New Roman" w:hAnsi="Times New Roman" w:cs="Times New Roman"/>
                <w:color w:val="1A1C1E"/>
                <w:kern w:val="0"/>
                <w:szCs w:val="24"/>
                <w:lang w:eastAsia="en-IN"/>
                <w14:ligatures w14:val="none"/>
              </w:rPr>
              <w:t>2.50(a) to 5.00</w:t>
            </w:r>
          </w:p>
        </w:tc>
        <w:tc>
          <w:tcPr>
            <w:tcW w:w="2236" w:type="dxa"/>
            <w:tcBorders>
              <w:top w:val="nil"/>
              <w:left w:val="nil"/>
              <w:bottom w:val="single" w:sz="4" w:space="0" w:color="auto"/>
              <w:right w:val="single" w:sz="4" w:space="0" w:color="auto"/>
            </w:tcBorders>
            <w:shd w:val="clear" w:color="000000" w:fill="FFFFFF"/>
            <w:vAlign w:val="center"/>
            <w:hideMark/>
          </w:tcPr>
          <w:p w14:paraId="372601A6" w14:textId="77777777" w:rsidR="00A56760" w:rsidRPr="00A85D2D" w:rsidRDefault="00A56760" w:rsidP="00B77C0B">
            <w:pPr>
              <w:spacing w:after="0" w:line="240" w:lineRule="auto"/>
              <w:ind w:firstLineChars="100" w:firstLine="240"/>
              <w:rPr>
                <w:rFonts w:ascii="Times New Roman" w:eastAsia="Times New Roman" w:hAnsi="Times New Roman" w:cs="Times New Roman"/>
                <w:color w:val="1A1C1E"/>
                <w:kern w:val="0"/>
                <w:szCs w:val="24"/>
                <w:lang w:eastAsia="en-IN"/>
                <w14:ligatures w14:val="none"/>
              </w:rPr>
            </w:pPr>
            <w:r w:rsidRPr="00A85D2D">
              <w:rPr>
                <w:rFonts w:ascii="Times New Roman" w:eastAsia="Times New Roman" w:hAnsi="Times New Roman" w:cs="Times New Roman"/>
                <w:color w:val="1A1C1E"/>
                <w:kern w:val="0"/>
                <w:szCs w:val="24"/>
                <w:lang w:eastAsia="en-IN"/>
                <w14:ligatures w14:val="none"/>
              </w:rPr>
              <w:t>15</w:t>
            </w:r>
          </w:p>
        </w:tc>
        <w:tc>
          <w:tcPr>
            <w:tcW w:w="2142" w:type="dxa"/>
            <w:tcBorders>
              <w:top w:val="nil"/>
              <w:left w:val="nil"/>
              <w:bottom w:val="single" w:sz="4" w:space="0" w:color="auto"/>
              <w:right w:val="single" w:sz="4" w:space="0" w:color="auto"/>
            </w:tcBorders>
            <w:shd w:val="clear" w:color="000000" w:fill="FFFFFF"/>
            <w:vAlign w:val="center"/>
            <w:hideMark/>
          </w:tcPr>
          <w:p w14:paraId="481A078F" w14:textId="77777777" w:rsidR="00A56760" w:rsidRPr="00A85D2D" w:rsidRDefault="00A56760" w:rsidP="00B77C0B">
            <w:pPr>
              <w:spacing w:after="0" w:line="240" w:lineRule="auto"/>
              <w:ind w:firstLineChars="100" w:firstLine="240"/>
              <w:rPr>
                <w:rFonts w:ascii="Times New Roman" w:eastAsia="Times New Roman" w:hAnsi="Times New Roman" w:cs="Times New Roman"/>
                <w:color w:val="1A1C1E"/>
                <w:kern w:val="0"/>
                <w:szCs w:val="24"/>
                <w:lang w:eastAsia="en-IN"/>
                <w14:ligatures w14:val="none"/>
              </w:rPr>
            </w:pPr>
            <w:r w:rsidRPr="00A85D2D">
              <w:rPr>
                <w:rFonts w:ascii="Times New Roman" w:eastAsia="Times New Roman" w:hAnsi="Times New Roman" w:cs="Times New Roman"/>
                <w:color w:val="1A1C1E"/>
                <w:kern w:val="0"/>
                <w:szCs w:val="24"/>
                <w:lang w:eastAsia="en-IN"/>
                <w14:ligatures w14:val="none"/>
              </w:rPr>
              <w:t>22.5</w:t>
            </w:r>
          </w:p>
        </w:tc>
        <w:tc>
          <w:tcPr>
            <w:tcW w:w="2316" w:type="dxa"/>
            <w:tcBorders>
              <w:top w:val="nil"/>
              <w:left w:val="nil"/>
              <w:bottom w:val="single" w:sz="4" w:space="0" w:color="auto"/>
              <w:right w:val="single" w:sz="4" w:space="0" w:color="auto"/>
            </w:tcBorders>
            <w:shd w:val="clear" w:color="000000" w:fill="FFFFFF"/>
            <w:vAlign w:val="center"/>
            <w:hideMark/>
          </w:tcPr>
          <w:p w14:paraId="29A0D304" w14:textId="77777777" w:rsidR="00A56760" w:rsidRPr="00A85D2D" w:rsidRDefault="00A56760" w:rsidP="00B77C0B">
            <w:pPr>
              <w:spacing w:after="0" w:line="240" w:lineRule="auto"/>
              <w:ind w:firstLineChars="100" w:firstLine="240"/>
              <w:rPr>
                <w:rFonts w:ascii="Times New Roman" w:eastAsia="Times New Roman" w:hAnsi="Times New Roman" w:cs="Times New Roman"/>
                <w:color w:val="1A1C1E"/>
                <w:kern w:val="0"/>
                <w:szCs w:val="24"/>
                <w:lang w:eastAsia="en-IN"/>
                <w14:ligatures w14:val="none"/>
              </w:rPr>
            </w:pPr>
            <w:r w:rsidRPr="00A85D2D">
              <w:rPr>
                <w:rFonts w:ascii="Times New Roman" w:eastAsia="Times New Roman" w:hAnsi="Times New Roman" w:cs="Times New Roman"/>
                <w:color w:val="1A1C1E"/>
                <w:kern w:val="0"/>
                <w:szCs w:val="24"/>
                <w:lang w:eastAsia="en-IN"/>
                <w14:ligatures w14:val="none"/>
              </w:rPr>
              <w:t>7.5</w:t>
            </w:r>
          </w:p>
        </w:tc>
      </w:tr>
      <w:tr w:rsidR="00A56760" w:rsidRPr="00A85D2D" w14:paraId="055CD4C0" w14:textId="77777777" w:rsidTr="00A85D2D">
        <w:trPr>
          <w:trHeight w:val="265"/>
          <w:jc w:val="center"/>
        </w:trPr>
        <w:tc>
          <w:tcPr>
            <w:tcW w:w="2158" w:type="dxa"/>
            <w:tcBorders>
              <w:top w:val="nil"/>
              <w:left w:val="single" w:sz="4" w:space="0" w:color="auto"/>
              <w:bottom w:val="single" w:sz="4" w:space="0" w:color="auto"/>
              <w:right w:val="single" w:sz="4" w:space="0" w:color="auto"/>
            </w:tcBorders>
            <w:shd w:val="clear" w:color="000000" w:fill="FFFFFF"/>
            <w:vAlign w:val="center"/>
            <w:hideMark/>
          </w:tcPr>
          <w:p w14:paraId="42426D26" w14:textId="77777777" w:rsidR="00A56760" w:rsidRPr="00A85D2D" w:rsidRDefault="00A56760" w:rsidP="00B77C0B">
            <w:pPr>
              <w:spacing w:after="0" w:line="240" w:lineRule="auto"/>
              <w:ind w:firstLineChars="100" w:firstLine="240"/>
              <w:rPr>
                <w:rFonts w:ascii="Times New Roman" w:eastAsia="Times New Roman" w:hAnsi="Times New Roman" w:cs="Times New Roman"/>
                <w:color w:val="1A1C1E"/>
                <w:kern w:val="0"/>
                <w:szCs w:val="24"/>
                <w:lang w:eastAsia="en-IN"/>
                <w14:ligatures w14:val="none"/>
              </w:rPr>
            </w:pPr>
            <w:r w:rsidRPr="00A85D2D">
              <w:rPr>
                <w:rFonts w:ascii="Times New Roman" w:eastAsia="Times New Roman" w:hAnsi="Times New Roman" w:cs="Times New Roman"/>
                <w:color w:val="1A1C1E"/>
                <w:kern w:val="0"/>
                <w:szCs w:val="24"/>
                <w:lang w:eastAsia="en-IN"/>
                <w14:ligatures w14:val="none"/>
              </w:rPr>
              <w:t>Bihar</w:t>
            </w:r>
          </w:p>
        </w:tc>
        <w:tc>
          <w:tcPr>
            <w:tcW w:w="1763" w:type="dxa"/>
            <w:tcBorders>
              <w:top w:val="nil"/>
              <w:left w:val="nil"/>
              <w:bottom w:val="single" w:sz="4" w:space="0" w:color="auto"/>
              <w:right w:val="single" w:sz="4" w:space="0" w:color="auto"/>
            </w:tcBorders>
            <w:shd w:val="clear" w:color="000000" w:fill="FFFFFF"/>
            <w:vAlign w:val="center"/>
            <w:hideMark/>
          </w:tcPr>
          <w:p w14:paraId="09621A28" w14:textId="77777777" w:rsidR="00A56760" w:rsidRPr="00A85D2D" w:rsidRDefault="00A56760" w:rsidP="00B77C0B">
            <w:pPr>
              <w:spacing w:after="0" w:line="240" w:lineRule="auto"/>
              <w:ind w:firstLineChars="100" w:firstLine="240"/>
              <w:rPr>
                <w:rFonts w:ascii="Times New Roman" w:eastAsia="Times New Roman" w:hAnsi="Times New Roman" w:cs="Times New Roman"/>
                <w:color w:val="1A1C1E"/>
                <w:kern w:val="0"/>
                <w:szCs w:val="24"/>
                <w:lang w:eastAsia="en-IN"/>
                <w14:ligatures w14:val="none"/>
              </w:rPr>
            </w:pPr>
            <w:r w:rsidRPr="00A85D2D">
              <w:rPr>
                <w:rFonts w:ascii="Times New Roman" w:eastAsia="Times New Roman" w:hAnsi="Times New Roman" w:cs="Times New Roman"/>
                <w:color w:val="1A1C1E"/>
                <w:kern w:val="0"/>
                <w:szCs w:val="24"/>
                <w:lang w:eastAsia="en-IN"/>
                <w14:ligatures w14:val="none"/>
              </w:rPr>
              <w:t>13.5</w:t>
            </w:r>
          </w:p>
        </w:tc>
        <w:tc>
          <w:tcPr>
            <w:tcW w:w="2236" w:type="dxa"/>
            <w:tcBorders>
              <w:top w:val="nil"/>
              <w:left w:val="nil"/>
              <w:bottom w:val="single" w:sz="4" w:space="0" w:color="auto"/>
              <w:right w:val="single" w:sz="4" w:space="0" w:color="auto"/>
            </w:tcBorders>
            <w:shd w:val="clear" w:color="000000" w:fill="FFFFFF"/>
            <w:vAlign w:val="center"/>
            <w:hideMark/>
          </w:tcPr>
          <w:p w14:paraId="139231B9" w14:textId="77777777" w:rsidR="00A56760" w:rsidRPr="00A85D2D" w:rsidRDefault="00A56760" w:rsidP="00B77C0B">
            <w:pPr>
              <w:spacing w:after="0" w:line="240" w:lineRule="auto"/>
              <w:ind w:firstLineChars="100" w:firstLine="240"/>
              <w:rPr>
                <w:rFonts w:ascii="Times New Roman" w:eastAsia="Times New Roman" w:hAnsi="Times New Roman" w:cs="Times New Roman"/>
                <w:color w:val="1A1C1E"/>
                <w:kern w:val="0"/>
                <w:szCs w:val="24"/>
                <w:lang w:eastAsia="en-IN"/>
                <w14:ligatures w14:val="none"/>
              </w:rPr>
            </w:pPr>
            <w:r w:rsidRPr="00A85D2D">
              <w:rPr>
                <w:rFonts w:ascii="Times New Roman" w:eastAsia="Times New Roman" w:hAnsi="Times New Roman" w:cs="Times New Roman"/>
                <w:color w:val="1A1C1E"/>
                <w:kern w:val="0"/>
                <w:szCs w:val="24"/>
                <w:lang w:eastAsia="en-IN"/>
                <w14:ligatures w14:val="none"/>
              </w:rPr>
              <w:t>7.5</w:t>
            </w:r>
          </w:p>
        </w:tc>
        <w:tc>
          <w:tcPr>
            <w:tcW w:w="2142" w:type="dxa"/>
            <w:tcBorders>
              <w:top w:val="nil"/>
              <w:left w:val="nil"/>
              <w:bottom w:val="single" w:sz="4" w:space="0" w:color="auto"/>
              <w:right w:val="single" w:sz="4" w:space="0" w:color="auto"/>
            </w:tcBorders>
            <w:shd w:val="clear" w:color="000000" w:fill="FFFFFF"/>
            <w:vAlign w:val="center"/>
            <w:hideMark/>
          </w:tcPr>
          <w:p w14:paraId="6A8A3ABB" w14:textId="77777777" w:rsidR="00A56760" w:rsidRPr="00A85D2D" w:rsidRDefault="00A56760" w:rsidP="00B77C0B">
            <w:pPr>
              <w:spacing w:after="0" w:line="240" w:lineRule="auto"/>
              <w:ind w:firstLineChars="100" w:firstLine="240"/>
              <w:rPr>
                <w:rFonts w:ascii="Times New Roman" w:eastAsia="Times New Roman" w:hAnsi="Times New Roman" w:cs="Times New Roman"/>
                <w:color w:val="1A1C1E"/>
                <w:kern w:val="0"/>
                <w:szCs w:val="24"/>
                <w:lang w:eastAsia="en-IN"/>
                <w14:ligatures w14:val="none"/>
              </w:rPr>
            </w:pPr>
            <w:r w:rsidRPr="00A85D2D">
              <w:rPr>
                <w:rFonts w:ascii="Times New Roman" w:eastAsia="Times New Roman" w:hAnsi="Times New Roman" w:cs="Times New Roman"/>
                <w:color w:val="1A1C1E"/>
                <w:kern w:val="0"/>
                <w:szCs w:val="24"/>
                <w:lang w:eastAsia="en-IN"/>
                <w14:ligatures w14:val="none"/>
              </w:rPr>
              <w:t>15</w:t>
            </w:r>
          </w:p>
        </w:tc>
        <w:tc>
          <w:tcPr>
            <w:tcW w:w="2316" w:type="dxa"/>
            <w:tcBorders>
              <w:top w:val="nil"/>
              <w:left w:val="nil"/>
              <w:bottom w:val="single" w:sz="4" w:space="0" w:color="auto"/>
              <w:right w:val="single" w:sz="4" w:space="0" w:color="auto"/>
            </w:tcBorders>
            <w:shd w:val="clear" w:color="000000" w:fill="FFFFFF"/>
            <w:vAlign w:val="center"/>
            <w:hideMark/>
          </w:tcPr>
          <w:p w14:paraId="53FBFE6F" w14:textId="77777777" w:rsidR="00A56760" w:rsidRPr="00A85D2D" w:rsidRDefault="00A56760" w:rsidP="00B77C0B">
            <w:pPr>
              <w:spacing w:after="0" w:line="240" w:lineRule="auto"/>
              <w:ind w:firstLineChars="100" w:firstLine="240"/>
              <w:rPr>
                <w:rFonts w:ascii="Times New Roman" w:eastAsia="Times New Roman" w:hAnsi="Times New Roman" w:cs="Times New Roman"/>
                <w:color w:val="1A1C1E"/>
                <w:kern w:val="0"/>
                <w:szCs w:val="24"/>
                <w:lang w:eastAsia="en-IN"/>
                <w14:ligatures w14:val="none"/>
              </w:rPr>
            </w:pPr>
            <w:r w:rsidRPr="00A85D2D">
              <w:rPr>
                <w:rFonts w:ascii="Times New Roman" w:eastAsia="Times New Roman" w:hAnsi="Times New Roman" w:cs="Times New Roman"/>
                <w:color w:val="1A1C1E"/>
                <w:kern w:val="0"/>
                <w:szCs w:val="24"/>
                <w:lang w:eastAsia="en-IN"/>
                <w14:ligatures w14:val="none"/>
              </w:rPr>
              <w:t>10</w:t>
            </w:r>
          </w:p>
        </w:tc>
      </w:tr>
      <w:tr w:rsidR="00A56760" w:rsidRPr="00A85D2D" w14:paraId="239044A8" w14:textId="77777777" w:rsidTr="00A85D2D">
        <w:trPr>
          <w:trHeight w:val="265"/>
          <w:jc w:val="center"/>
        </w:trPr>
        <w:tc>
          <w:tcPr>
            <w:tcW w:w="2158" w:type="dxa"/>
            <w:tcBorders>
              <w:top w:val="nil"/>
              <w:left w:val="single" w:sz="4" w:space="0" w:color="auto"/>
              <w:bottom w:val="single" w:sz="4" w:space="0" w:color="auto"/>
              <w:right w:val="single" w:sz="4" w:space="0" w:color="auto"/>
            </w:tcBorders>
            <w:shd w:val="clear" w:color="000000" w:fill="FFFFFF"/>
            <w:vAlign w:val="center"/>
            <w:hideMark/>
          </w:tcPr>
          <w:p w14:paraId="555A76DB" w14:textId="77777777" w:rsidR="00A56760" w:rsidRPr="00A85D2D" w:rsidRDefault="00A56760" w:rsidP="00B77C0B">
            <w:pPr>
              <w:spacing w:after="0" w:line="240" w:lineRule="auto"/>
              <w:ind w:firstLineChars="100" w:firstLine="240"/>
              <w:rPr>
                <w:rFonts w:ascii="Times New Roman" w:eastAsia="Times New Roman" w:hAnsi="Times New Roman" w:cs="Times New Roman"/>
                <w:color w:val="1A1C1E"/>
                <w:kern w:val="0"/>
                <w:szCs w:val="24"/>
                <w:lang w:eastAsia="en-IN"/>
                <w14:ligatures w14:val="none"/>
              </w:rPr>
            </w:pPr>
            <w:r w:rsidRPr="00A85D2D">
              <w:rPr>
                <w:rFonts w:ascii="Times New Roman" w:eastAsia="Times New Roman" w:hAnsi="Times New Roman" w:cs="Times New Roman"/>
                <w:color w:val="1A1C1E"/>
                <w:kern w:val="0"/>
                <w:szCs w:val="24"/>
                <w:lang w:eastAsia="en-IN"/>
                <w14:ligatures w14:val="none"/>
              </w:rPr>
              <w:t>Gujarat</w:t>
            </w:r>
          </w:p>
        </w:tc>
        <w:tc>
          <w:tcPr>
            <w:tcW w:w="1763" w:type="dxa"/>
            <w:tcBorders>
              <w:top w:val="nil"/>
              <w:left w:val="nil"/>
              <w:bottom w:val="single" w:sz="4" w:space="0" w:color="auto"/>
              <w:right w:val="single" w:sz="4" w:space="0" w:color="auto"/>
            </w:tcBorders>
            <w:shd w:val="clear" w:color="000000" w:fill="FFFFFF"/>
            <w:vAlign w:val="center"/>
            <w:hideMark/>
          </w:tcPr>
          <w:p w14:paraId="0A8E96BD" w14:textId="77777777" w:rsidR="00A56760" w:rsidRPr="00A85D2D" w:rsidRDefault="00A56760" w:rsidP="00B77C0B">
            <w:pPr>
              <w:spacing w:after="0" w:line="240" w:lineRule="auto"/>
              <w:ind w:firstLineChars="100" w:firstLine="240"/>
              <w:rPr>
                <w:rFonts w:ascii="Times New Roman" w:eastAsia="Times New Roman" w:hAnsi="Times New Roman" w:cs="Times New Roman"/>
                <w:color w:val="1A1C1E"/>
                <w:kern w:val="0"/>
                <w:szCs w:val="24"/>
                <w:lang w:eastAsia="en-IN"/>
                <w14:ligatures w14:val="none"/>
              </w:rPr>
            </w:pPr>
            <w:r w:rsidRPr="00A85D2D">
              <w:rPr>
                <w:rFonts w:ascii="Times New Roman" w:eastAsia="Times New Roman" w:hAnsi="Times New Roman" w:cs="Times New Roman"/>
                <w:color w:val="1A1C1E"/>
                <w:kern w:val="0"/>
                <w:szCs w:val="24"/>
                <w:lang w:eastAsia="en-IN"/>
                <w14:ligatures w14:val="none"/>
              </w:rPr>
              <w:t>14.85</w:t>
            </w:r>
          </w:p>
        </w:tc>
        <w:tc>
          <w:tcPr>
            <w:tcW w:w="2236" w:type="dxa"/>
            <w:tcBorders>
              <w:top w:val="nil"/>
              <w:left w:val="nil"/>
              <w:bottom w:val="single" w:sz="4" w:space="0" w:color="auto"/>
              <w:right w:val="single" w:sz="4" w:space="0" w:color="auto"/>
            </w:tcBorders>
            <w:shd w:val="clear" w:color="000000" w:fill="FFFFFF"/>
            <w:vAlign w:val="center"/>
            <w:hideMark/>
          </w:tcPr>
          <w:p w14:paraId="1B3988B6" w14:textId="77777777" w:rsidR="00A56760" w:rsidRPr="00A85D2D" w:rsidRDefault="00A56760" w:rsidP="00B77C0B">
            <w:pPr>
              <w:spacing w:after="0" w:line="240" w:lineRule="auto"/>
              <w:ind w:firstLineChars="100" w:firstLine="240"/>
              <w:rPr>
                <w:rFonts w:ascii="Times New Roman" w:eastAsia="Times New Roman" w:hAnsi="Times New Roman" w:cs="Times New Roman"/>
                <w:color w:val="1A1C1E"/>
                <w:kern w:val="0"/>
                <w:szCs w:val="24"/>
                <w:lang w:eastAsia="en-IN"/>
                <w14:ligatures w14:val="none"/>
              </w:rPr>
            </w:pPr>
            <w:r w:rsidRPr="00A85D2D">
              <w:rPr>
                <w:rFonts w:ascii="Times New Roman" w:eastAsia="Times New Roman" w:hAnsi="Times New Roman" w:cs="Times New Roman"/>
                <w:color w:val="1A1C1E"/>
                <w:kern w:val="0"/>
                <w:szCs w:val="24"/>
                <w:lang w:eastAsia="en-IN"/>
                <w14:ligatures w14:val="none"/>
              </w:rPr>
              <w:t>15</w:t>
            </w:r>
          </w:p>
        </w:tc>
        <w:tc>
          <w:tcPr>
            <w:tcW w:w="2142" w:type="dxa"/>
            <w:tcBorders>
              <w:top w:val="nil"/>
              <w:left w:val="nil"/>
              <w:bottom w:val="single" w:sz="4" w:space="0" w:color="auto"/>
              <w:right w:val="single" w:sz="4" w:space="0" w:color="auto"/>
            </w:tcBorders>
            <w:shd w:val="clear" w:color="000000" w:fill="FFFFFF"/>
            <w:vAlign w:val="center"/>
            <w:hideMark/>
          </w:tcPr>
          <w:p w14:paraId="093E5C80" w14:textId="77777777" w:rsidR="00A56760" w:rsidRPr="00A85D2D" w:rsidRDefault="00A56760" w:rsidP="00B77C0B">
            <w:pPr>
              <w:spacing w:after="0" w:line="240" w:lineRule="auto"/>
              <w:ind w:firstLineChars="100" w:firstLine="240"/>
              <w:rPr>
                <w:rFonts w:ascii="Times New Roman" w:eastAsia="Times New Roman" w:hAnsi="Times New Roman" w:cs="Times New Roman"/>
                <w:color w:val="1A1C1E"/>
                <w:kern w:val="0"/>
                <w:szCs w:val="24"/>
                <w:lang w:eastAsia="en-IN"/>
                <w14:ligatures w14:val="none"/>
              </w:rPr>
            </w:pPr>
            <w:r w:rsidRPr="00A85D2D">
              <w:rPr>
                <w:rFonts w:ascii="Times New Roman" w:eastAsia="Times New Roman" w:hAnsi="Times New Roman" w:cs="Times New Roman"/>
                <w:color w:val="1A1C1E"/>
                <w:kern w:val="0"/>
                <w:szCs w:val="24"/>
                <w:lang w:eastAsia="en-IN"/>
                <w14:ligatures w14:val="none"/>
              </w:rPr>
              <w:t>40.00(b)</w:t>
            </w:r>
          </w:p>
        </w:tc>
        <w:tc>
          <w:tcPr>
            <w:tcW w:w="2316" w:type="dxa"/>
            <w:tcBorders>
              <w:top w:val="nil"/>
              <w:left w:val="nil"/>
              <w:bottom w:val="single" w:sz="4" w:space="0" w:color="auto"/>
              <w:right w:val="single" w:sz="4" w:space="0" w:color="auto"/>
            </w:tcBorders>
            <w:shd w:val="clear" w:color="000000" w:fill="FFFFFF"/>
            <w:vAlign w:val="center"/>
            <w:hideMark/>
          </w:tcPr>
          <w:p w14:paraId="386F5EAF" w14:textId="77777777" w:rsidR="00A56760" w:rsidRPr="00A85D2D" w:rsidRDefault="00A56760" w:rsidP="00B77C0B">
            <w:pPr>
              <w:spacing w:after="0" w:line="240" w:lineRule="auto"/>
              <w:ind w:firstLineChars="100" w:firstLine="240"/>
              <w:rPr>
                <w:rFonts w:ascii="Times New Roman" w:eastAsia="Times New Roman" w:hAnsi="Times New Roman" w:cs="Times New Roman"/>
                <w:color w:val="1A1C1E"/>
                <w:kern w:val="0"/>
                <w:szCs w:val="24"/>
                <w:lang w:eastAsia="en-IN"/>
                <w14:ligatures w14:val="none"/>
              </w:rPr>
            </w:pPr>
            <w:r w:rsidRPr="00A85D2D">
              <w:rPr>
                <w:rFonts w:ascii="Times New Roman" w:eastAsia="Times New Roman" w:hAnsi="Times New Roman" w:cs="Times New Roman"/>
                <w:color w:val="1A1C1E"/>
                <w:kern w:val="0"/>
                <w:szCs w:val="24"/>
                <w:lang w:eastAsia="en-IN"/>
                <w14:ligatures w14:val="none"/>
              </w:rPr>
              <w:t>9.3</w:t>
            </w:r>
          </w:p>
        </w:tc>
      </w:tr>
      <w:tr w:rsidR="00A56760" w:rsidRPr="00A85D2D" w14:paraId="411B6AB6" w14:textId="77777777" w:rsidTr="00A85D2D">
        <w:trPr>
          <w:trHeight w:val="265"/>
          <w:jc w:val="center"/>
        </w:trPr>
        <w:tc>
          <w:tcPr>
            <w:tcW w:w="2158" w:type="dxa"/>
            <w:tcBorders>
              <w:top w:val="nil"/>
              <w:left w:val="single" w:sz="4" w:space="0" w:color="auto"/>
              <w:bottom w:val="single" w:sz="4" w:space="0" w:color="auto"/>
              <w:right w:val="single" w:sz="4" w:space="0" w:color="auto"/>
            </w:tcBorders>
            <w:shd w:val="clear" w:color="000000" w:fill="FFFFFF"/>
            <w:vAlign w:val="center"/>
            <w:hideMark/>
          </w:tcPr>
          <w:p w14:paraId="70A695C7" w14:textId="77777777" w:rsidR="00A56760" w:rsidRPr="00A85D2D" w:rsidRDefault="00A56760" w:rsidP="00B77C0B">
            <w:pPr>
              <w:spacing w:after="0" w:line="240" w:lineRule="auto"/>
              <w:ind w:firstLineChars="100" w:firstLine="240"/>
              <w:rPr>
                <w:rFonts w:ascii="Times New Roman" w:eastAsia="Times New Roman" w:hAnsi="Times New Roman" w:cs="Times New Roman"/>
                <w:color w:val="1A1C1E"/>
                <w:kern w:val="0"/>
                <w:szCs w:val="24"/>
                <w:lang w:eastAsia="en-IN"/>
                <w14:ligatures w14:val="none"/>
              </w:rPr>
            </w:pPr>
            <w:r w:rsidRPr="00A85D2D">
              <w:rPr>
                <w:rFonts w:ascii="Times New Roman" w:eastAsia="Times New Roman" w:hAnsi="Times New Roman" w:cs="Times New Roman"/>
                <w:color w:val="1A1C1E"/>
                <w:kern w:val="0"/>
                <w:szCs w:val="24"/>
                <w:lang w:eastAsia="en-IN"/>
                <w14:ligatures w14:val="none"/>
              </w:rPr>
              <w:t>Haryana</w:t>
            </w:r>
          </w:p>
        </w:tc>
        <w:tc>
          <w:tcPr>
            <w:tcW w:w="1763" w:type="dxa"/>
            <w:tcBorders>
              <w:top w:val="nil"/>
              <w:left w:val="nil"/>
              <w:bottom w:val="single" w:sz="4" w:space="0" w:color="auto"/>
              <w:right w:val="single" w:sz="4" w:space="0" w:color="auto"/>
            </w:tcBorders>
            <w:shd w:val="clear" w:color="000000" w:fill="FFFFFF"/>
            <w:vAlign w:val="center"/>
            <w:hideMark/>
          </w:tcPr>
          <w:p w14:paraId="41CCEEB3" w14:textId="77777777" w:rsidR="00A56760" w:rsidRPr="00A85D2D" w:rsidRDefault="00A56760" w:rsidP="00B77C0B">
            <w:pPr>
              <w:spacing w:after="0" w:line="240" w:lineRule="auto"/>
              <w:ind w:firstLineChars="100" w:firstLine="240"/>
              <w:rPr>
                <w:rFonts w:ascii="Times New Roman" w:eastAsia="Times New Roman" w:hAnsi="Times New Roman" w:cs="Times New Roman"/>
                <w:color w:val="1A1C1E"/>
                <w:kern w:val="0"/>
                <w:szCs w:val="24"/>
                <w:lang w:eastAsia="en-IN"/>
                <w14:ligatures w14:val="none"/>
              </w:rPr>
            </w:pPr>
            <w:r w:rsidRPr="00A85D2D">
              <w:rPr>
                <w:rFonts w:ascii="Times New Roman" w:eastAsia="Times New Roman" w:hAnsi="Times New Roman" w:cs="Times New Roman"/>
                <w:color w:val="1A1C1E"/>
                <w:kern w:val="0"/>
                <w:szCs w:val="24"/>
                <w:lang w:eastAsia="en-IN"/>
                <w14:ligatures w14:val="none"/>
              </w:rPr>
              <w:t>N.A.</w:t>
            </w:r>
          </w:p>
        </w:tc>
        <w:tc>
          <w:tcPr>
            <w:tcW w:w="2236" w:type="dxa"/>
            <w:tcBorders>
              <w:top w:val="nil"/>
              <w:left w:val="nil"/>
              <w:bottom w:val="single" w:sz="4" w:space="0" w:color="auto"/>
              <w:right w:val="single" w:sz="4" w:space="0" w:color="auto"/>
            </w:tcBorders>
            <w:shd w:val="clear" w:color="000000" w:fill="FFFFFF"/>
            <w:vAlign w:val="center"/>
            <w:hideMark/>
          </w:tcPr>
          <w:p w14:paraId="6DEE2928" w14:textId="77777777" w:rsidR="00A56760" w:rsidRPr="00A85D2D" w:rsidRDefault="00A56760" w:rsidP="00B77C0B">
            <w:pPr>
              <w:spacing w:after="0" w:line="240" w:lineRule="auto"/>
              <w:ind w:firstLineChars="100" w:firstLine="240"/>
              <w:rPr>
                <w:rFonts w:ascii="Times New Roman" w:eastAsia="Times New Roman" w:hAnsi="Times New Roman" w:cs="Times New Roman"/>
                <w:color w:val="1A1C1E"/>
                <w:kern w:val="0"/>
                <w:szCs w:val="24"/>
                <w:lang w:eastAsia="en-IN"/>
                <w14:ligatures w14:val="none"/>
              </w:rPr>
            </w:pPr>
            <w:r w:rsidRPr="00A85D2D">
              <w:rPr>
                <w:rFonts w:ascii="Times New Roman" w:eastAsia="Times New Roman" w:hAnsi="Times New Roman" w:cs="Times New Roman"/>
                <w:color w:val="1A1C1E"/>
                <w:kern w:val="0"/>
                <w:szCs w:val="24"/>
                <w:lang w:eastAsia="en-IN"/>
                <w14:ligatures w14:val="none"/>
              </w:rPr>
              <w:t>N.A.</w:t>
            </w:r>
          </w:p>
        </w:tc>
        <w:tc>
          <w:tcPr>
            <w:tcW w:w="2142" w:type="dxa"/>
            <w:tcBorders>
              <w:top w:val="nil"/>
              <w:left w:val="nil"/>
              <w:bottom w:val="single" w:sz="4" w:space="0" w:color="auto"/>
              <w:right w:val="single" w:sz="4" w:space="0" w:color="auto"/>
            </w:tcBorders>
            <w:shd w:val="clear" w:color="000000" w:fill="FFFFFF"/>
            <w:vAlign w:val="center"/>
            <w:hideMark/>
          </w:tcPr>
          <w:p w14:paraId="64ADE574" w14:textId="77777777" w:rsidR="00A56760" w:rsidRPr="00A85D2D" w:rsidRDefault="00A56760" w:rsidP="00B77C0B">
            <w:pPr>
              <w:spacing w:after="0" w:line="240" w:lineRule="auto"/>
              <w:ind w:firstLineChars="100" w:firstLine="240"/>
              <w:rPr>
                <w:rFonts w:ascii="Times New Roman" w:eastAsia="Times New Roman" w:hAnsi="Times New Roman" w:cs="Times New Roman"/>
                <w:color w:val="1A1C1E"/>
                <w:kern w:val="0"/>
                <w:szCs w:val="24"/>
                <w:lang w:eastAsia="en-IN"/>
                <w14:ligatures w14:val="none"/>
              </w:rPr>
            </w:pPr>
            <w:r w:rsidRPr="00A85D2D">
              <w:rPr>
                <w:rFonts w:ascii="Times New Roman" w:eastAsia="Times New Roman" w:hAnsi="Times New Roman" w:cs="Times New Roman"/>
                <w:color w:val="1A1C1E"/>
                <w:kern w:val="0"/>
                <w:szCs w:val="24"/>
                <w:lang w:eastAsia="en-IN"/>
                <w14:ligatures w14:val="none"/>
              </w:rPr>
              <w:t>50.00(c)</w:t>
            </w:r>
          </w:p>
        </w:tc>
        <w:tc>
          <w:tcPr>
            <w:tcW w:w="2316" w:type="dxa"/>
            <w:tcBorders>
              <w:top w:val="nil"/>
              <w:left w:val="nil"/>
              <w:bottom w:val="single" w:sz="4" w:space="0" w:color="auto"/>
              <w:right w:val="single" w:sz="4" w:space="0" w:color="auto"/>
            </w:tcBorders>
            <w:shd w:val="clear" w:color="000000" w:fill="FFFFFF"/>
            <w:vAlign w:val="center"/>
            <w:hideMark/>
          </w:tcPr>
          <w:p w14:paraId="7E489224" w14:textId="77777777" w:rsidR="00A56760" w:rsidRPr="00A85D2D" w:rsidRDefault="00A56760" w:rsidP="00B77C0B">
            <w:pPr>
              <w:spacing w:after="0" w:line="240" w:lineRule="auto"/>
              <w:ind w:firstLineChars="100" w:firstLine="240"/>
              <w:rPr>
                <w:rFonts w:ascii="Times New Roman" w:eastAsia="Times New Roman" w:hAnsi="Times New Roman" w:cs="Times New Roman"/>
                <w:color w:val="1A1C1E"/>
                <w:kern w:val="0"/>
                <w:szCs w:val="24"/>
                <w:lang w:eastAsia="en-IN"/>
                <w14:ligatures w14:val="none"/>
              </w:rPr>
            </w:pPr>
            <w:r w:rsidRPr="00A85D2D">
              <w:rPr>
                <w:rFonts w:ascii="Times New Roman" w:eastAsia="Times New Roman" w:hAnsi="Times New Roman" w:cs="Times New Roman"/>
                <w:color w:val="1A1C1E"/>
                <w:kern w:val="0"/>
                <w:szCs w:val="24"/>
                <w:lang w:eastAsia="en-IN"/>
                <w14:ligatures w14:val="none"/>
              </w:rPr>
              <w:t>21</w:t>
            </w:r>
          </w:p>
        </w:tc>
      </w:tr>
      <w:tr w:rsidR="00A56760" w:rsidRPr="00A85D2D" w14:paraId="3F2E22AB" w14:textId="77777777" w:rsidTr="00A85D2D">
        <w:trPr>
          <w:trHeight w:val="411"/>
          <w:jc w:val="center"/>
        </w:trPr>
        <w:tc>
          <w:tcPr>
            <w:tcW w:w="2158" w:type="dxa"/>
            <w:tcBorders>
              <w:top w:val="nil"/>
              <w:left w:val="single" w:sz="4" w:space="0" w:color="auto"/>
              <w:bottom w:val="single" w:sz="4" w:space="0" w:color="auto"/>
              <w:right w:val="single" w:sz="4" w:space="0" w:color="auto"/>
            </w:tcBorders>
            <w:shd w:val="clear" w:color="000000" w:fill="FFFFFF"/>
            <w:vAlign w:val="center"/>
            <w:hideMark/>
          </w:tcPr>
          <w:p w14:paraId="53D996DE" w14:textId="77777777" w:rsidR="00A56760" w:rsidRPr="00A85D2D" w:rsidRDefault="00A56760" w:rsidP="00B77C0B">
            <w:pPr>
              <w:spacing w:after="0" w:line="240" w:lineRule="auto"/>
              <w:ind w:firstLineChars="100" w:firstLine="240"/>
              <w:rPr>
                <w:rFonts w:ascii="Times New Roman" w:eastAsia="Times New Roman" w:hAnsi="Times New Roman" w:cs="Times New Roman"/>
                <w:color w:val="1A1C1E"/>
                <w:kern w:val="0"/>
                <w:szCs w:val="24"/>
                <w:lang w:eastAsia="en-IN"/>
                <w14:ligatures w14:val="none"/>
              </w:rPr>
            </w:pPr>
            <w:r w:rsidRPr="00A85D2D">
              <w:rPr>
                <w:rFonts w:ascii="Times New Roman" w:eastAsia="Times New Roman" w:hAnsi="Times New Roman" w:cs="Times New Roman"/>
                <w:color w:val="1A1C1E"/>
                <w:kern w:val="0"/>
                <w:szCs w:val="24"/>
                <w:lang w:eastAsia="en-IN"/>
                <w14:ligatures w14:val="none"/>
              </w:rPr>
              <w:t>Jammu and Kashmir</w:t>
            </w:r>
          </w:p>
        </w:tc>
        <w:tc>
          <w:tcPr>
            <w:tcW w:w="1763" w:type="dxa"/>
            <w:tcBorders>
              <w:top w:val="nil"/>
              <w:left w:val="nil"/>
              <w:bottom w:val="single" w:sz="4" w:space="0" w:color="auto"/>
              <w:right w:val="single" w:sz="4" w:space="0" w:color="auto"/>
            </w:tcBorders>
            <w:shd w:val="clear" w:color="000000" w:fill="FFFFFF"/>
            <w:vAlign w:val="center"/>
            <w:hideMark/>
          </w:tcPr>
          <w:p w14:paraId="5D7D98D1" w14:textId="77777777" w:rsidR="00A56760" w:rsidRPr="00A85D2D" w:rsidRDefault="00A56760" w:rsidP="00B77C0B">
            <w:pPr>
              <w:spacing w:after="0" w:line="240" w:lineRule="auto"/>
              <w:ind w:firstLineChars="100" w:firstLine="240"/>
              <w:rPr>
                <w:rFonts w:ascii="Times New Roman" w:eastAsia="Times New Roman" w:hAnsi="Times New Roman" w:cs="Times New Roman"/>
                <w:color w:val="1A1C1E"/>
                <w:kern w:val="0"/>
                <w:szCs w:val="24"/>
                <w:lang w:eastAsia="en-IN"/>
                <w14:ligatures w14:val="none"/>
              </w:rPr>
            </w:pPr>
            <w:r w:rsidRPr="00A85D2D">
              <w:rPr>
                <w:rFonts w:ascii="Times New Roman" w:eastAsia="Times New Roman" w:hAnsi="Times New Roman" w:cs="Times New Roman"/>
                <w:color w:val="1A1C1E"/>
                <w:kern w:val="0"/>
                <w:szCs w:val="24"/>
                <w:lang w:eastAsia="en-IN"/>
                <w14:ligatures w14:val="none"/>
              </w:rPr>
              <w:t>N.A.</w:t>
            </w:r>
          </w:p>
        </w:tc>
        <w:tc>
          <w:tcPr>
            <w:tcW w:w="2236" w:type="dxa"/>
            <w:tcBorders>
              <w:top w:val="nil"/>
              <w:left w:val="nil"/>
              <w:bottom w:val="single" w:sz="4" w:space="0" w:color="auto"/>
              <w:right w:val="single" w:sz="4" w:space="0" w:color="auto"/>
            </w:tcBorders>
            <w:shd w:val="clear" w:color="000000" w:fill="FFFFFF"/>
            <w:vAlign w:val="center"/>
            <w:hideMark/>
          </w:tcPr>
          <w:p w14:paraId="365C5F6B" w14:textId="77777777" w:rsidR="00A56760" w:rsidRPr="00A85D2D" w:rsidRDefault="00A56760" w:rsidP="00B77C0B">
            <w:pPr>
              <w:spacing w:after="0" w:line="240" w:lineRule="auto"/>
              <w:ind w:firstLineChars="100" w:firstLine="240"/>
              <w:rPr>
                <w:rFonts w:ascii="Times New Roman" w:eastAsia="Times New Roman" w:hAnsi="Times New Roman" w:cs="Times New Roman"/>
                <w:color w:val="1A1C1E"/>
                <w:kern w:val="0"/>
                <w:szCs w:val="24"/>
                <w:lang w:eastAsia="en-IN"/>
                <w14:ligatures w14:val="none"/>
              </w:rPr>
            </w:pPr>
            <w:r w:rsidRPr="00A85D2D">
              <w:rPr>
                <w:rFonts w:ascii="Times New Roman" w:eastAsia="Times New Roman" w:hAnsi="Times New Roman" w:cs="Times New Roman"/>
                <w:color w:val="1A1C1E"/>
                <w:kern w:val="0"/>
                <w:szCs w:val="24"/>
                <w:lang w:eastAsia="en-IN"/>
                <w14:ligatures w14:val="none"/>
              </w:rPr>
              <w:t>10</w:t>
            </w:r>
          </w:p>
        </w:tc>
        <w:tc>
          <w:tcPr>
            <w:tcW w:w="2142" w:type="dxa"/>
            <w:tcBorders>
              <w:top w:val="nil"/>
              <w:left w:val="nil"/>
              <w:bottom w:val="single" w:sz="4" w:space="0" w:color="auto"/>
              <w:right w:val="single" w:sz="4" w:space="0" w:color="auto"/>
            </w:tcBorders>
            <w:shd w:val="clear" w:color="000000" w:fill="FFFFFF"/>
            <w:vAlign w:val="center"/>
            <w:hideMark/>
          </w:tcPr>
          <w:p w14:paraId="10C56F61" w14:textId="77777777" w:rsidR="00A56760" w:rsidRPr="00A85D2D" w:rsidRDefault="00A56760" w:rsidP="00B77C0B">
            <w:pPr>
              <w:spacing w:after="0" w:line="240" w:lineRule="auto"/>
              <w:ind w:firstLineChars="100" w:firstLine="240"/>
              <w:rPr>
                <w:rFonts w:ascii="Times New Roman" w:eastAsia="Times New Roman" w:hAnsi="Times New Roman" w:cs="Times New Roman"/>
                <w:color w:val="1A1C1E"/>
                <w:kern w:val="0"/>
                <w:szCs w:val="24"/>
                <w:lang w:eastAsia="en-IN"/>
                <w14:ligatures w14:val="none"/>
              </w:rPr>
            </w:pPr>
            <w:r w:rsidRPr="00A85D2D">
              <w:rPr>
                <w:rFonts w:ascii="Times New Roman" w:eastAsia="Times New Roman" w:hAnsi="Times New Roman" w:cs="Times New Roman"/>
                <w:color w:val="1A1C1E"/>
                <w:kern w:val="0"/>
                <w:szCs w:val="24"/>
                <w:lang w:eastAsia="en-IN"/>
                <w14:ligatures w14:val="none"/>
              </w:rPr>
              <w:t>15</w:t>
            </w:r>
          </w:p>
        </w:tc>
        <w:tc>
          <w:tcPr>
            <w:tcW w:w="2316" w:type="dxa"/>
            <w:tcBorders>
              <w:top w:val="nil"/>
              <w:left w:val="nil"/>
              <w:bottom w:val="single" w:sz="4" w:space="0" w:color="auto"/>
              <w:right w:val="single" w:sz="4" w:space="0" w:color="auto"/>
            </w:tcBorders>
            <w:shd w:val="clear" w:color="000000" w:fill="FFFFFF"/>
            <w:vAlign w:val="center"/>
            <w:hideMark/>
          </w:tcPr>
          <w:p w14:paraId="014E981C" w14:textId="77777777" w:rsidR="00A56760" w:rsidRPr="00A85D2D" w:rsidRDefault="00A56760" w:rsidP="00B77C0B">
            <w:pPr>
              <w:spacing w:after="0" w:line="240" w:lineRule="auto"/>
              <w:ind w:firstLineChars="100" w:firstLine="240"/>
              <w:rPr>
                <w:rFonts w:ascii="Times New Roman" w:eastAsia="Times New Roman" w:hAnsi="Times New Roman" w:cs="Times New Roman"/>
                <w:color w:val="1A1C1E"/>
                <w:kern w:val="0"/>
                <w:szCs w:val="24"/>
                <w:lang w:eastAsia="en-IN"/>
                <w14:ligatures w14:val="none"/>
              </w:rPr>
            </w:pPr>
            <w:r w:rsidRPr="00A85D2D">
              <w:rPr>
                <w:rFonts w:ascii="Times New Roman" w:eastAsia="Times New Roman" w:hAnsi="Times New Roman" w:cs="Times New Roman"/>
                <w:color w:val="1A1C1E"/>
                <w:kern w:val="0"/>
                <w:szCs w:val="24"/>
                <w:lang w:eastAsia="en-IN"/>
                <w14:ligatures w14:val="none"/>
              </w:rPr>
              <w:t>30</w:t>
            </w:r>
          </w:p>
        </w:tc>
      </w:tr>
      <w:tr w:rsidR="00A56760" w:rsidRPr="00A85D2D" w14:paraId="2B37CF6A" w14:textId="77777777" w:rsidTr="00A85D2D">
        <w:trPr>
          <w:trHeight w:val="318"/>
          <w:jc w:val="center"/>
        </w:trPr>
        <w:tc>
          <w:tcPr>
            <w:tcW w:w="2158" w:type="dxa"/>
            <w:tcBorders>
              <w:top w:val="nil"/>
              <w:left w:val="single" w:sz="4" w:space="0" w:color="auto"/>
              <w:bottom w:val="single" w:sz="4" w:space="0" w:color="auto"/>
              <w:right w:val="single" w:sz="4" w:space="0" w:color="auto"/>
            </w:tcBorders>
            <w:shd w:val="clear" w:color="000000" w:fill="FFFFFF"/>
            <w:vAlign w:val="center"/>
            <w:hideMark/>
          </w:tcPr>
          <w:p w14:paraId="67F4D250" w14:textId="77777777" w:rsidR="00A56760" w:rsidRPr="00A85D2D" w:rsidRDefault="00A56760" w:rsidP="00B77C0B">
            <w:pPr>
              <w:spacing w:after="0" w:line="240" w:lineRule="auto"/>
              <w:ind w:firstLineChars="100" w:firstLine="240"/>
              <w:rPr>
                <w:rFonts w:ascii="Times New Roman" w:eastAsia="Times New Roman" w:hAnsi="Times New Roman" w:cs="Times New Roman"/>
                <w:color w:val="1A1C1E"/>
                <w:kern w:val="0"/>
                <w:szCs w:val="24"/>
                <w:lang w:eastAsia="en-IN"/>
                <w14:ligatures w14:val="none"/>
              </w:rPr>
            </w:pPr>
            <w:r w:rsidRPr="00A85D2D">
              <w:rPr>
                <w:rFonts w:ascii="Times New Roman" w:eastAsia="Times New Roman" w:hAnsi="Times New Roman" w:cs="Times New Roman"/>
                <w:color w:val="1A1C1E"/>
                <w:kern w:val="0"/>
                <w:szCs w:val="24"/>
                <w:lang w:eastAsia="en-IN"/>
                <w14:ligatures w14:val="none"/>
              </w:rPr>
              <w:t>Kerala</w:t>
            </w:r>
          </w:p>
        </w:tc>
        <w:tc>
          <w:tcPr>
            <w:tcW w:w="1763" w:type="dxa"/>
            <w:tcBorders>
              <w:top w:val="nil"/>
              <w:left w:val="nil"/>
              <w:bottom w:val="single" w:sz="4" w:space="0" w:color="auto"/>
              <w:right w:val="single" w:sz="4" w:space="0" w:color="auto"/>
            </w:tcBorders>
            <w:shd w:val="clear" w:color="000000" w:fill="FFFFFF"/>
            <w:vAlign w:val="center"/>
            <w:hideMark/>
          </w:tcPr>
          <w:p w14:paraId="36352459" w14:textId="77777777" w:rsidR="00A56760" w:rsidRPr="00A85D2D" w:rsidRDefault="00A56760" w:rsidP="00B77C0B">
            <w:pPr>
              <w:spacing w:after="0" w:line="240" w:lineRule="auto"/>
              <w:ind w:firstLineChars="100" w:firstLine="240"/>
              <w:rPr>
                <w:rFonts w:ascii="Times New Roman" w:eastAsia="Times New Roman" w:hAnsi="Times New Roman" w:cs="Times New Roman"/>
                <w:color w:val="1A1C1E"/>
                <w:kern w:val="0"/>
                <w:szCs w:val="24"/>
                <w:lang w:eastAsia="en-IN"/>
                <w14:ligatures w14:val="none"/>
              </w:rPr>
            </w:pPr>
            <w:r w:rsidRPr="00A85D2D">
              <w:rPr>
                <w:rFonts w:ascii="Times New Roman" w:eastAsia="Times New Roman" w:hAnsi="Times New Roman" w:cs="Times New Roman"/>
                <w:color w:val="1A1C1E"/>
                <w:kern w:val="0"/>
                <w:szCs w:val="24"/>
                <w:lang w:eastAsia="en-IN"/>
                <w14:ligatures w14:val="none"/>
              </w:rPr>
              <w:t>40.5</w:t>
            </w:r>
          </w:p>
        </w:tc>
        <w:tc>
          <w:tcPr>
            <w:tcW w:w="2236" w:type="dxa"/>
            <w:tcBorders>
              <w:top w:val="nil"/>
              <w:left w:val="nil"/>
              <w:bottom w:val="single" w:sz="4" w:space="0" w:color="auto"/>
              <w:right w:val="single" w:sz="4" w:space="0" w:color="auto"/>
            </w:tcBorders>
            <w:shd w:val="clear" w:color="000000" w:fill="FFFFFF"/>
            <w:vAlign w:val="center"/>
            <w:hideMark/>
          </w:tcPr>
          <w:p w14:paraId="2FC049A4" w14:textId="77777777" w:rsidR="00A56760" w:rsidRPr="00A85D2D" w:rsidRDefault="00A56760" w:rsidP="00B77C0B">
            <w:pPr>
              <w:spacing w:after="0" w:line="240" w:lineRule="auto"/>
              <w:ind w:firstLineChars="100" w:firstLine="240"/>
              <w:rPr>
                <w:rFonts w:ascii="Times New Roman" w:eastAsia="Times New Roman" w:hAnsi="Times New Roman" w:cs="Times New Roman"/>
                <w:color w:val="1A1C1E"/>
                <w:kern w:val="0"/>
                <w:szCs w:val="24"/>
                <w:lang w:eastAsia="en-IN"/>
                <w14:ligatures w14:val="none"/>
              </w:rPr>
            </w:pPr>
            <w:r w:rsidRPr="00A85D2D">
              <w:rPr>
                <w:rFonts w:ascii="Times New Roman" w:eastAsia="Times New Roman" w:hAnsi="Times New Roman" w:cs="Times New Roman"/>
                <w:color w:val="1A1C1E"/>
                <w:kern w:val="0"/>
                <w:szCs w:val="24"/>
                <w:lang w:eastAsia="en-IN"/>
                <w14:ligatures w14:val="none"/>
              </w:rPr>
              <w:t>22.5</w:t>
            </w:r>
          </w:p>
        </w:tc>
        <w:tc>
          <w:tcPr>
            <w:tcW w:w="2142" w:type="dxa"/>
            <w:tcBorders>
              <w:top w:val="nil"/>
              <w:left w:val="nil"/>
              <w:bottom w:val="single" w:sz="4" w:space="0" w:color="auto"/>
              <w:right w:val="single" w:sz="4" w:space="0" w:color="auto"/>
            </w:tcBorders>
            <w:shd w:val="clear" w:color="000000" w:fill="FFFFFF"/>
            <w:vAlign w:val="center"/>
            <w:hideMark/>
          </w:tcPr>
          <w:p w14:paraId="7ED5F436" w14:textId="77777777" w:rsidR="00A56760" w:rsidRPr="00A85D2D" w:rsidRDefault="00A56760" w:rsidP="00B77C0B">
            <w:pPr>
              <w:spacing w:after="0" w:line="240" w:lineRule="auto"/>
              <w:ind w:firstLineChars="100" w:firstLine="240"/>
              <w:rPr>
                <w:rFonts w:ascii="Times New Roman" w:eastAsia="Times New Roman" w:hAnsi="Times New Roman" w:cs="Times New Roman"/>
                <w:color w:val="1A1C1E"/>
                <w:kern w:val="0"/>
                <w:szCs w:val="24"/>
                <w:lang w:eastAsia="en-IN"/>
                <w14:ligatures w14:val="none"/>
              </w:rPr>
            </w:pPr>
            <w:r w:rsidRPr="00A85D2D">
              <w:rPr>
                <w:rFonts w:ascii="Times New Roman" w:eastAsia="Times New Roman" w:hAnsi="Times New Roman" w:cs="Times New Roman"/>
                <w:color w:val="1A1C1E"/>
                <w:kern w:val="0"/>
                <w:szCs w:val="24"/>
                <w:lang w:eastAsia="en-IN"/>
                <w14:ligatures w14:val="none"/>
              </w:rPr>
              <w:t>45.00(d)</w:t>
            </w:r>
          </w:p>
        </w:tc>
        <w:tc>
          <w:tcPr>
            <w:tcW w:w="2316" w:type="dxa"/>
            <w:tcBorders>
              <w:top w:val="nil"/>
              <w:left w:val="nil"/>
              <w:bottom w:val="single" w:sz="4" w:space="0" w:color="auto"/>
              <w:right w:val="single" w:sz="4" w:space="0" w:color="auto"/>
            </w:tcBorders>
            <w:shd w:val="clear" w:color="000000" w:fill="FFFFFF"/>
            <w:vAlign w:val="center"/>
            <w:hideMark/>
          </w:tcPr>
          <w:p w14:paraId="7106C170" w14:textId="77777777" w:rsidR="00A56760" w:rsidRPr="00A85D2D" w:rsidRDefault="00A56760" w:rsidP="00B77C0B">
            <w:pPr>
              <w:spacing w:after="0" w:line="240" w:lineRule="auto"/>
              <w:ind w:firstLineChars="100" w:firstLine="240"/>
              <w:rPr>
                <w:rFonts w:ascii="Times New Roman" w:eastAsia="Times New Roman" w:hAnsi="Times New Roman" w:cs="Times New Roman"/>
                <w:color w:val="1A1C1E"/>
                <w:kern w:val="0"/>
                <w:szCs w:val="24"/>
                <w:lang w:eastAsia="en-IN"/>
                <w14:ligatures w14:val="none"/>
              </w:rPr>
            </w:pPr>
            <w:r w:rsidRPr="00A85D2D">
              <w:rPr>
                <w:rFonts w:ascii="Times New Roman" w:eastAsia="Times New Roman" w:hAnsi="Times New Roman" w:cs="Times New Roman"/>
                <w:color w:val="1A1C1E"/>
                <w:kern w:val="0"/>
                <w:szCs w:val="24"/>
                <w:lang w:eastAsia="en-IN"/>
                <w14:ligatures w14:val="none"/>
              </w:rPr>
              <w:t>10</w:t>
            </w:r>
          </w:p>
        </w:tc>
      </w:tr>
      <w:tr w:rsidR="00A56760" w:rsidRPr="00A85D2D" w14:paraId="7A9AD014" w14:textId="77777777" w:rsidTr="00A85D2D">
        <w:trPr>
          <w:trHeight w:val="530"/>
          <w:jc w:val="center"/>
        </w:trPr>
        <w:tc>
          <w:tcPr>
            <w:tcW w:w="2158" w:type="dxa"/>
            <w:tcBorders>
              <w:top w:val="nil"/>
              <w:left w:val="single" w:sz="4" w:space="0" w:color="auto"/>
              <w:bottom w:val="single" w:sz="4" w:space="0" w:color="auto"/>
              <w:right w:val="single" w:sz="4" w:space="0" w:color="auto"/>
            </w:tcBorders>
            <w:shd w:val="clear" w:color="000000" w:fill="FFFFFF"/>
            <w:vAlign w:val="center"/>
            <w:hideMark/>
          </w:tcPr>
          <w:p w14:paraId="171CD460" w14:textId="77777777" w:rsidR="00A56760" w:rsidRPr="00A85D2D" w:rsidRDefault="00A56760" w:rsidP="00B77C0B">
            <w:pPr>
              <w:spacing w:after="0" w:line="240" w:lineRule="auto"/>
              <w:ind w:firstLineChars="100" w:firstLine="240"/>
              <w:rPr>
                <w:rFonts w:ascii="Times New Roman" w:eastAsia="Times New Roman" w:hAnsi="Times New Roman" w:cs="Times New Roman"/>
                <w:color w:val="1A1C1E"/>
                <w:kern w:val="0"/>
                <w:szCs w:val="24"/>
                <w:lang w:eastAsia="en-IN"/>
                <w14:ligatures w14:val="none"/>
              </w:rPr>
            </w:pPr>
            <w:r w:rsidRPr="00A85D2D">
              <w:rPr>
                <w:rFonts w:ascii="Times New Roman" w:eastAsia="Times New Roman" w:hAnsi="Times New Roman" w:cs="Times New Roman"/>
                <w:color w:val="1A1C1E"/>
                <w:kern w:val="0"/>
                <w:szCs w:val="24"/>
                <w:lang w:eastAsia="en-IN"/>
                <w14:ligatures w14:val="none"/>
              </w:rPr>
              <w:t>Madhya Pradesh</w:t>
            </w:r>
          </w:p>
        </w:tc>
        <w:tc>
          <w:tcPr>
            <w:tcW w:w="1763" w:type="dxa"/>
            <w:tcBorders>
              <w:top w:val="nil"/>
              <w:left w:val="nil"/>
              <w:bottom w:val="single" w:sz="4" w:space="0" w:color="auto"/>
              <w:right w:val="single" w:sz="4" w:space="0" w:color="auto"/>
            </w:tcBorders>
            <w:shd w:val="clear" w:color="000000" w:fill="FFFFFF"/>
            <w:vAlign w:val="center"/>
            <w:hideMark/>
          </w:tcPr>
          <w:p w14:paraId="480C2990" w14:textId="77777777" w:rsidR="00A56760" w:rsidRPr="00A85D2D" w:rsidRDefault="00A56760" w:rsidP="00B77C0B">
            <w:pPr>
              <w:spacing w:after="0" w:line="240" w:lineRule="auto"/>
              <w:ind w:firstLineChars="100" w:firstLine="240"/>
              <w:rPr>
                <w:rFonts w:ascii="Times New Roman" w:eastAsia="Times New Roman" w:hAnsi="Times New Roman" w:cs="Times New Roman"/>
                <w:color w:val="1A1C1E"/>
                <w:kern w:val="0"/>
                <w:szCs w:val="24"/>
                <w:lang w:eastAsia="en-IN"/>
                <w14:ligatures w14:val="none"/>
              </w:rPr>
            </w:pPr>
            <w:r w:rsidRPr="00A85D2D">
              <w:rPr>
                <w:rFonts w:ascii="Times New Roman" w:eastAsia="Times New Roman" w:hAnsi="Times New Roman" w:cs="Times New Roman"/>
                <w:color w:val="1A1C1E"/>
                <w:kern w:val="0"/>
                <w:szCs w:val="24"/>
                <w:lang w:eastAsia="en-IN"/>
                <w14:ligatures w14:val="none"/>
              </w:rPr>
              <w:t>9.00(a) and 18.00</w:t>
            </w:r>
          </w:p>
        </w:tc>
        <w:tc>
          <w:tcPr>
            <w:tcW w:w="2236" w:type="dxa"/>
            <w:tcBorders>
              <w:top w:val="nil"/>
              <w:left w:val="nil"/>
              <w:bottom w:val="single" w:sz="4" w:space="0" w:color="auto"/>
              <w:right w:val="single" w:sz="4" w:space="0" w:color="auto"/>
            </w:tcBorders>
            <w:shd w:val="clear" w:color="000000" w:fill="FFFFFF"/>
            <w:vAlign w:val="center"/>
            <w:hideMark/>
          </w:tcPr>
          <w:p w14:paraId="15A3461E" w14:textId="77777777" w:rsidR="00A56760" w:rsidRPr="00A85D2D" w:rsidRDefault="00A56760" w:rsidP="00B77C0B">
            <w:pPr>
              <w:spacing w:after="0" w:line="240" w:lineRule="auto"/>
              <w:ind w:firstLineChars="100" w:firstLine="240"/>
              <w:rPr>
                <w:rFonts w:ascii="Times New Roman" w:eastAsia="Times New Roman" w:hAnsi="Times New Roman" w:cs="Times New Roman"/>
                <w:color w:val="1A1C1E"/>
                <w:kern w:val="0"/>
                <w:szCs w:val="24"/>
                <w:lang w:eastAsia="en-IN"/>
                <w14:ligatures w14:val="none"/>
              </w:rPr>
            </w:pPr>
            <w:r w:rsidRPr="00A85D2D">
              <w:rPr>
                <w:rFonts w:ascii="Times New Roman" w:eastAsia="Times New Roman" w:hAnsi="Times New Roman" w:cs="Times New Roman"/>
                <w:color w:val="1A1C1E"/>
                <w:kern w:val="0"/>
                <w:szCs w:val="24"/>
                <w:lang w:eastAsia="en-IN"/>
                <w14:ligatures w14:val="none"/>
              </w:rPr>
              <w:t>20</w:t>
            </w:r>
          </w:p>
        </w:tc>
        <w:tc>
          <w:tcPr>
            <w:tcW w:w="2142" w:type="dxa"/>
            <w:tcBorders>
              <w:top w:val="nil"/>
              <w:left w:val="nil"/>
              <w:bottom w:val="single" w:sz="4" w:space="0" w:color="auto"/>
              <w:right w:val="single" w:sz="4" w:space="0" w:color="auto"/>
            </w:tcBorders>
            <w:shd w:val="clear" w:color="000000" w:fill="FFFFFF"/>
            <w:vAlign w:val="center"/>
            <w:hideMark/>
          </w:tcPr>
          <w:p w14:paraId="33C5A758" w14:textId="77777777" w:rsidR="00A56760" w:rsidRPr="00A85D2D" w:rsidRDefault="00A56760" w:rsidP="00B77C0B">
            <w:pPr>
              <w:spacing w:after="0" w:line="240" w:lineRule="auto"/>
              <w:ind w:firstLineChars="100" w:firstLine="240"/>
              <w:rPr>
                <w:rFonts w:ascii="Times New Roman" w:eastAsia="Times New Roman" w:hAnsi="Times New Roman" w:cs="Times New Roman"/>
                <w:color w:val="1A1C1E"/>
                <w:kern w:val="0"/>
                <w:szCs w:val="24"/>
                <w:lang w:eastAsia="en-IN"/>
                <w14:ligatures w14:val="none"/>
              </w:rPr>
            </w:pPr>
            <w:r w:rsidRPr="00A85D2D">
              <w:rPr>
                <w:rFonts w:ascii="Times New Roman" w:eastAsia="Times New Roman" w:hAnsi="Times New Roman" w:cs="Times New Roman"/>
                <w:color w:val="1A1C1E"/>
                <w:kern w:val="0"/>
                <w:szCs w:val="24"/>
                <w:lang w:eastAsia="en-IN"/>
                <w14:ligatures w14:val="none"/>
              </w:rPr>
              <w:t>35</w:t>
            </w:r>
          </w:p>
        </w:tc>
        <w:tc>
          <w:tcPr>
            <w:tcW w:w="2316" w:type="dxa"/>
            <w:tcBorders>
              <w:top w:val="nil"/>
              <w:left w:val="nil"/>
              <w:bottom w:val="single" w:sz="4" w:space="0" w:color="auto"/>
              <w:right w:val="single" w:sz="4" w:space="0" w:color="auto"/>
            </w:tcBorders>
            <w:shd w:val="clear" w:color="000000" w:fill="FFFFFF"/>
            <w:vAlign w:val="center"/>
            <w:hideMark/>
          </w:tcPr>
          <w:p w14:paraId="40B1A885" w14:textId="77777777" w:rsidR="00A56760" w:rsidRPr="00A85D2D" w:rsidRDefault="00A56760" w:rsidP="00B77C0B">
            <w:pPr>
              <w:spacing w:after="0" w:line="240" w:lineRule="auto"/>
              <w:ind w:firstLineChars="100" w:firstLine="240"/>
              <w:rPr>
                <w:rFonts w:ascii="Times New Roman" w:eastAsia="Times New Roman" w:hAnsi="Times New Roman" w:cs="Times New Roman"/>
                <w:color w:val="1A1C1E"/>
                <w:kern w:val="0"/>
                <w:szCs w:val="24"/>
                <w:lang w:eastAsia="en-IN"/>
                <w14:ligatures w14:val="none"/>
              </w:rPr>
            </w:pPr>
            <w:r w:rsidRPr="00A85D2D">
              <w:rPr>
                <w:rFonts w:ascii="Times New Roman" w:eastAsia="Times New Roman" w:hAnsi="Times New Roman" w:cs="Times New Roman"/>
                <w:color w:val="1A1C1E"/>
                <w:kern w:val="0"/>
                <w:szCs w:val="24"/>
                <w:lang w:eastAsia="en-IN"/>
                <w14:ligatures w14:val="none"/>
              </w:rPr>
              <w:t>11</w:t>
            </w:r>
          </w:p>
        </w:tc>
      </w:tr>
      <w:tr w:rsidR="00A56760" w:rsidRPr="00A85D2D" w14:paraId="7E65F35D" w14:textId="77777777" w:rsidTr="00A85D2D">
        <w:trPr>
          <w:trHeight w:val="411"/>
          <w:jc w:val="center"/>
        </w:trPr>
        <w:tc>
          <w:tcPr>
            <w:tcW w:w="2158" w:type="dxa"/>
            <w:tcBorders>
              <w:top w:val="nil"/>
              <w:left w:val="single" w:sz="4" w:space="0" w:color="auto"/>
              <w:bottom w:val="single" w:sz="4" w:space="0" w:color="auto"/>
              <w:right w:val="single" w:sz="4" w:space="0" w:color="auto"/>
            </w:tcBorders>
            <w:shd w:val="clear" w:color="000000" w:fill="FFFFFF"/>
            <w:vAlign w:val="center"/>
            <w:hideMark/>
          </w:tcPr>
          <w:p w14:paraId="202D8056" w14:textId="77777777" w:rsidR="00A56760" w:rsidRPr="00A85D2D" w:rsidRDefault="00A56760" w:rsidP="00B77C0B">
            <w:pPr>
              <w:spacing w:after="0" w:line="240" w:lineRule="auto"/>
              <w:ind w:firstLineChars="100" w:firstLine="240"/>
              <w:rPr>
                <w:rFonts w:ascii="Times New Roman" w:eastAsia="Times New Roman" w:hAnsi="Times New Roman" w:cs="Times New Roman"/>
                <w:color w:val="1A1C1E"/>
                <w:kern w:val="0"/>
                <w:szCs w:val="24"/>
                <w:lang w:eastAsia="en-IN"/>
                <w14:ligatures w14:val="none"/>
              </w:rPr>
            </w:pPr>
            <w:r w:rsidRPr="00A85D2D">
              <w:rPr>
                <w:rFonts w:ascii="Times New Roman" w:eastAsia="Times New Roman" w:hAnsi="Times New Roman" w:cs="Times New Roman"/>
                <w:color w:val="1A1C1E"/>
                <w:kern w:val="0"/>
                <w:szCs w:val="24"/>
                <w:lang w:eastAsia="en-IN"/>
                <w14:ligatures w14:val="none"/>
              </w:rPr>
              <w:t>Maharashtra</w:t>
            </w:r>
          </w:p>
        </w:tc>
        <w:tc>
          <w:tcPr>
            <w:tcW w:w="1763" w:type="dxa"/>
            <w:tcBorders>
              <w:top w:val="nil"/>
              <w:left w:val="nil"/>
              <w:bottom w:val="single" w:sz="4" w:space="0" w:color="auto"/>
              <w:right w:val="single" w:sz="4" w:space="0" w:color="auto"/>
            </w:tcBorders>
            <w:shd w:val="clear" w:color="000000" w:fill="FFFFFF"/>
            <w:vAlign w:val="center"/>
            <w:hideMark/>
          </w:tcPr>
          <w:p w14:paraId="0CA11A78" w14:textId="77777777" w:rsidR="00A56760" w:rsidRPr="00A85D2D" w:rsidRDefault="00A56760" w:rsidP="00B77C0B">
            <w:pPr>
              <w:spacing w:after="0" w:line="240" w:lineRule="auto"/>
              <w:ind w:firstLineChars="100" w:firstLine="240"/>
              <w:rPr>
                <w:rFonts w:ascii="Times New Roman" w:eastAsia="Times New Roman" w:hAnsi="Times New Roman" w:cs="Times New Roman"/>
                <w:color w:val="1A1C1E"/>
                <w:kern w:val="0"/>
                <w:szCs w:val="24"/>
                <w:lang w:eastAsia="en-IN"/>
                <w14:ligatures w14:val="none"/>
              </w:rPr>
            </w:pPr>
            <w:r w:rsidRPr="00A85D2D">
              <w:rPr>
                <w:rFonts w:ascii="Times New Roman" w:eastAsia="Times New Roman" w:hAnsi="Times New Roman" w:cs="Times New Roman"/>
                <w:color w:val="1A1C1E"/>
                <w:kern w:val="0"/>
                <w:szCs w:val="24"/>
                <w:lang w:eastAsia="en-IN"/>
                <w14:ligatures w14:val="none"/>
              </w:rPr>
              <w:t>2.75(a) and 5.50</w:t>
            </w:r>
          </w:p>
        </w:tc>
        <w:tc>
          <w:tcPr>
            <w:tcW w:w="2236" w:type="dxa"/>
            <w:tcBorders>
              <w:top w:val="nil"/>
              <w:left w:val="nil"/>
              <w:bottom w:val="single" w:sz="4" w:space="0" w:color="auto"/>
              <w:right w:val="single" w:sz="4" w:space="0" w:color="auto"/>
            </w:tcBorders>
            <w:shd w:val="clear" w:color="000000" w:fill="FFFFFF"/>
            <w:vAlign w:val="center"/>
            <w:hideMark/>
          </w:tcPr>
          <w:p w14:paraId="1B811C0D" w14:textId="77777777" w:rsidR="00A56760" w:rsidRPr="00A85D2D" w:rsidRDefault="00A56760" w:rsidP="00B77C0B">
            <w:pPr>
              <w:spacing w:after="0" w:line="240" w:lineRule="auto"/>
              <w:ind w:firstLineChars="100" w:firstLine="240"/>
              <w:rPr>
                <w:rFonts w:ascii="Times New Roman" w:eastAsia="Times New Roman" w:hAnsi="Times New Roman" w:cs="Times New Roman"/>
                <w:color w:val="1A1C1E"/>
                <w:kern w:val="0"/>
                <w:szCs w:val="24"/>
                <w:lang w:eastAsia="en-IN"/>
                <w14:ligatures w14:val="none"/>
              </w:rPr>
            </w:pPr>
            <w:r w:rsidRPr="00A85D2D">
              <w:rPr>
                <w:rFonts w:ascii="Times New Roman" w:eastAsia="Times New Roman" w:hAnsi="Times New Roman" w:cs="Times New Roman"/>
                <w:color w:val="1A1C1E"/>
                <w:kern w:val="0"/>
                <w:szCs w:val="24"/>
                <w:lang w:eastAsia="en-IN"/>
                <w14:ligatures w14:val="none"/>
              </w:rPr>
              <w:t>15</w:t>
            </w:r>
          </w:p>
        </w:tc>
        <w:tc>
          <w:tcPr>
            <w:tcW w:w="2142" w:type="dxa"/>
            <w:tcBorders>
              <w:top w:val="nil"/>
              <w:left w:val="nil"/>
              <w:bottom w:val="single" w:sz="4" w:space="0" w:color="auto"/>
              <w:right w:val="single" w:sz="4" w:space="0" w:color="auto"/>
            </w:tcBorders>
            <w:shd w:val="clear" w:color="000000" w:fill="FFFFFF"/>
            <w:vAlign w:val="center"/>
            <w:hideMark/>
          </w:tcPr>
          <w:p w14:paraId="431DE9E0" w14:textId="77777777" w:rsidR="00A56760" w:rsidRPr="00A85D2D" w:rsidRDefault="00A56760" w:rsidP="00B77C0B">
            <w:pPr>
              <w:spacing w:after="0" w:line="240" w:lineRule="auto"/>
              <w:ind w:firstLineChars="100" w:firstLine="240"/>
              <w:rPr>
                <w:rFonts w:ascii="Times New Roman" w:eastAsia="Times New Roman" w:hAnsi="Times New Roman" w:cs="Times New Roman"/>
                <w:color w:val="1A1C1E"/>
                <w:kern w:val="0"/>
                <w:szCs w:val="24"/>
                <w:lang w:eastAsia="en-IN"/>
                <w14:ligatures w14:val="none"/>
              </w:rPr>
            </w:pPr>
            <w:r w:rsidRPr="00A85D2D">
              <w:rPr>
                <w:rFonts w:ascii="Times New Roman" w:eastAsia="Times New Roman" w:hAnsi="Times New Roman" w:cs="Times New Roman"/>
                <w:color w:val="1A1C1E"/>
                <w:kern w:val="0"/>
                <w:szCs w:val="24"/>
                <w:lang w:eastAsia="en-IN"/>
                <w14:ligatures w14:val="none"/>
              </w:rPr>
              <w:t>30.00(e)</w:t>
            </w:r>
          </w:p>
        </w:tc>
        <w:tc>
          <w:tcPr>
            <w:tcW w:w="2316" w:type="dxa"/>
            <w:tcBorders>
              <w:top w:val="nil"/>
              <w:left w:val="nil"/>
              <w:bottom w:val="single" w:sz="4" w:space="0" w:color="auto"/>
              <w:right w:val="single" w:sz="4" w:space="0" w:color="auto"/>
            </w:tcBorders>
            <w:shd w:val="clear" w:color="000000" w:fill="FFFFFF"/>
            <w:vAlign w:val="center"/>
            <w:hideMark/>
          </w:tcPr>
          <w:p w14:paraId="6DA21754" w14:textId="77777777" w:rsidR="00A56760" w:rsidRPr="00A85D2D" w:rsidRDefault="00A56760" w:rsidP="00B77C0B">
            <w:pPr>
              <w:spacing w:after="0" w:line="240" w:lineRule="auto"/>
              <w:ind w:firstLineChars="100" w:firstLine="240"/>
              <w:rPr>
                <w:rFonts w:ascii="Times New Roman" w:eastAsia="Times New Roman" w:hAnsi="Times New Roman" w:cs="Times New Roman"/>
                <w:color w:val="1A1C1E"/>
                <w:kern w:val="0"/>
                <w:szCs w:val="24"/>
                <w:lang w:eastAsia="en-IN"/>
                <w14:ligatures w14:val="none"/>
              </w:rPr>
            </w:pPr>
            <w:r w:rsidRPr="00A85D2D">
              <w:rPr>
                <w:rFonts w:ascii="Times New Roman" w:eastAsia="Times New Roman" w:hAnsi="Times New Roman" w:cs="Times New Roman"/>
                <w:color w:val="1A1C1E"/>
                <w:kern w:val="0"/>
                <w:szCs w:val="24"/>
                <w:lang w:eastAsia="en-IN"/>
                <w14:ligatures w14:val="none"/>
              </w:rPr>
              <w:t>10.5</w:t>
            </w:r>
          </w:p>
        </w:tc>
      </w:tr>
      <w:tr w:rsidR="00A56760" w:rsidRPr="00A85D2D" w14:paraId="6F94C0E3" w14:textId="77777777" w:rsidTr="00A85D2D">
        <w:trPr>
          <w:trHeight w:val="265"/>
          <w:jc w:val="center"/>
        </w:trPr>
        <w:tc>
          <w:tcPr>
            <w:tcW w:w="2158" w:type="dxa"/>
            <w:tcBorders>
              <w:top w:val="nil"/>
              <w:left w:val="single" w:sz="4" w:space="0" w:color="auto"/>
              <w:bottom w:val="single" w:sz="4" w:space="0" w:color="auto"/>
              <w:right w:val="single" w:sz="4" w:space="0" w:color="auto"/>
            </w:tcBorders>
            <w:shd w:val="clear" w:color="000000" w:fill="FFFFFF"/>
            <w:vAlign w:val="center"/>
            <w:hideMark/>
          </w:tcPr>
          <w:p w14:paraId="28362EBF" w14:textId="77777777" w:rsidR="00A56760" w:rsidRPr="00A85D2D" w:rsidRDefault="00A56760" w:rsidP="00B77C0B">
            <w:pPr>
              <w:spacing w:after="0" w:line="240" w:lineRule="auto"/>
              <w:ind w:firstLineChars="100" w:firstLine="240"/>
              <w:rPr>
                <w:rFonts w:ascii="Times New Roman" w:eastAsia="Times New Roman" w:hAnsi="Times New Roman" w:cs="Times New Roman"/>
                <w:color w:val="1A1C1E"/>
                <w:kern w:val="0"/>
                <w:szCs w:val="24"/>
                <w:lang w:eastAsia="en-IN"/>
                <w14:ligatures w14:val="none"/>
              </w:rPr>
            </w:pPr>
            <w:r w:rsidRPr="00A85D2D">
              <w:rPr>
                <w:rFonts w:ascii="Times New Roman" w:eastAsia="Times New Roman" w:hAnsi="Times New Roman" w:cs="Times New Roman"/>
                <w:color w:val="1A1C1E"/>
                <w:kern w:val="0"/>
                <w:szCs w:val="24"/>
                <w:lang w:eastAsia="en-IN"/>
                <w14:ligatures w14:val="none"/>
              </w:rPr>
              <w:t>Mysore</w:t>
            </w:r>
          </w:p>
        </w:tc>
        <w:tc>
          <w:tcPr>
            <w:tcW w:w="1763" w:type="dxa"/>
            <w:tcBorders>
              <w:top w:val="nil"/>
              <w:left w:val="nil"/>
              <w:bottom w:val="single" w:sz="4" w:space="0" w:color="auto"/>
              <w:right w:val="single" w:sz="4" w:space="0" w:color="auto"/>
            </w:tcBorders>
            <w:shd w:val="clear" w:color="000000" w:fill="FFFFFF"/>
            <w:vAlign w:val="center"/>
            <w:hideMark/>
          </w:tcPr>
          <w:p w14:paraId="41AC27E2" w14:textId="77777777" w:rsidR="00A56760" w:rsidRPr="00A85D2D" w:rsidRDefault="00A56760" w:rsidP="00B77C0B">
            <w:pPr>
              <w:spacing w:after="0" w:line="240" w:lineRule="auto"/>
              <w:ind w:firstLineChars="100" w:firstLine="240"/>
              <w:rPr>
                <w:rFonts w:ascii="Times New Roman" w:eastAsia="Times New Roman" w:hAnsi="Times New Roman" w:cs="Times New Roman"/>
                <w:color w:val="1A1C1E"/>
                <w:kern w:val="0"/>
                <w:szCs w:val="24"/>
                <w:lang w:eastAsia="en-IN"/>
                <w14:ligatures w14:val="none"/>
              </w:rPr>
            </w:pPr>
            <w:r w:rsidRPr="00A85D2D">
              <w:rPr>
                <w:rFonts w:ascii="Times New Roman" w:eastAsia="Times New Roman" w:hAnsi="Times New Roman" w:cs="Times New Roman"/>
                <w:color w:val="1A1C1E"/>
                <w:kern w:val="0"/>
                <w:szCs w:val="24"/>
                <w:lang w:eastAsia="en-IN"/>
                <w14:ligatures w14:val="none"/>
              </w:rPr>
              <w:t>40.5</w:t>
            </w:r>
          </w:p>
        </w:tc>
        <w:tc>
          <w:tcPr>
            <w:tcW w:w="2236" w:type="dxa"/>
            <w:tcBorders>
              <w:top w:val="nil"/>
              <w:left w:val="nil"/>
              <w:bottom w:val="single" w:sz="4" w:space="0" w:color="auto"/>
              <w:right w:val="single" w:sz="4" w:space="0" w:color="auto"/>
            </w:tcBorders>
            <w:shd w:val="clear" w:color="000000" w:fill="FFFFFF"/>
            <w:vAlign w:val="center"/>
            <w:hideMark/>
          </w:tcPr>
          <w:p w14:paraId="0482E26C" w14:textId="77777777" w:rsidR="00A56760" w:rsidRPr="00A85D2D" w:rsidRDefault="00A56760" w:rsidP="00B77C0B">
            <w:pPr>
              <w:spacing w:after="0" w:line="240" w:lineRule="auto"/>
              <w:ind w:firstLineChars="100" w:firstLine="240"/>
              <w:rPr>
                <w:rFonts w:ascii="Times New Roman" w:eastAsia="Times New Roman" w:hAnsi="Times New Roman" w:cs="Times New Roman"/>
                <w:color w:val="1A1C1E"/>
                <w:kern w:val="0"/>
                <w:szCs w:val="24"/>
                <w:lang w:eastAsia="en-IN"/>
                <w14:ligatures w14:val="none"/>
              </w:rPr>
            </w:pPr>
            <w:r w:rsidRPr="00A85D2D">
              <w:rPr>
                <w:rFonts w:ascii="Times New Roman" w:eastAsia="Times New Roman" w:hAnsi="Times New Roman" w:cs="Times New Roman"/>
                <w:color w:val="1A1C1E"/>
                <w:kern w:val="0"/>
                <w:szCs w:val="24"/>
                <w:lang w:eastAsia="en-IN"/>
                <w14:ligatures w14:val="none"/>
              </w:rPr>
              <w:t>22.5</w:t>
            </w:r>
          </w:p>
        </w:tc>
        <w:tc>
          <w:tcPr>
            <w:tcW w:w="2142" w:type="dxa"/>
            <w:tcBorders>
              <w:top w:val="nil"/>
              <w:left w:val="nil"/>
              <w:bottom w:val="single" w:sz="4" w:space="0" w:color="auto"/>
              <w:right w:val="single" w:sz="4" w:space="0" w:color="auto"/>
            </w:tcBorders>
            <w:shd w:val="clear" w:color="000000" w:fill="FFFFFF"/>
            <w:vAlign w:val="center"/>
            <w:hideMark/>
          </w:tcPr>
          <w:p w14:paraId="2C34EA21" w14:textId="77777777" w:rsidR="00A56760" w:rsidRPr="00A85D2D" w:rsidRDefault="00A56760" w:rsidP="00B77C0B">
            <w:pPr>
              <w:spacing w:after="0" w:line="240" w:lineRule="auto"/>
              <w:ind w:firstLineChars="100" w:firstLine="240"/>
              <w:rPr>
                <w:rFonts w:ascii="Times New Roman" w:eastAsia="Times New Roman" w:hAnsi="Times New Roman" w:cs="Times New Roman"/>
                <w:color w:val="1A1C1E"/>
                <w:kern w:val="0"/>
                <w:szCs w:val="24"/>
                <w:lang w:eastAsia="en-IN"/>
                <w14:ligatures w14:val="none"/>
              </w:rPr>
            </w:pPr>
            <w:r w:rsidRPr="00A85D2D">
              <w:rPr>
                <w:rFonts w:ascii="Times New Roman" w:eastAsia="Times New Roman" w:hAnsi="Times New Roman" w:cs="Times New Roman"/>
                <w:color w:val="1A1C1E"/>
                <w:kern w:val="0"/>
                <w:szCs w:val="24"/>
                <w:lang w:eastAsia="en-IN"/>
                <w14:ligatures w14:val="none"/>
              </w:rPr>
              <w:t>45</w:t>
            </w:r>
          </w:p>
        </w:tc>
        <w:tc>
          <w:tcPr>
            <w:tcW w:w="2316" w:type="dxa"/>
            <w:tcBorders>
              <w:top w:val="nil"/>
              <w:left w:val="nil"/>
              <w:bottom w:val="single" w:sz="4" w:space="0" w:color="auto"/>
              <w:right w:val="single" w:sz="4" w:space="0" w:color="auto"/>
            </w:tcBorders>
            <w:shd w:val="clear" w:color="000000" w:fill="FFFFFF"/>
            <w:vAlign w:val="center"/>
            <w:hideMark/>
          </w:tcPr>
          <w:p w14:paraId="0506C3DE" w14:textId="77777777" w:rsidR="00A56760" w:rsidRPr="00A85D2D" w:rsidRDefault="00A56760" w:rsidP="00B77C0B">
            <w:pPr>
              <w:spacing w:after="0" w:line="240" w:lineRule="auto"/>
              <w:ind w:firstLineChars="100" w:firstLine="240"/>
              <w:rPr>
                <w:rFonts w:ascii="Times New Roman" w:eastAsia="Times New Roman" w:hAnsi="Times New Roman" w:cs="Times New Roman"/>
                <w:color w:val="1A1C1E"/>
                <w:kern w:val="0"/>
                <w:szCs w:val="24"/>
                <w:lang w:eastAsia="en-IN"/>
                <w14:ligatures w14:val="none"/>
              </w:rPr>
            </w:pPr>
            <w:r w:rsidRPr="00A85D2D">
              <w:rPr>
                <w:rFonts w:ascii="Times New Roman" w:eastAsia="Times New Roman" w:hAnsi="Times New Roman" w:cs="Times New Roman"/>
                <w:color w:val="1A1C1E"/>
                <w:kern w:val="0"/>
                <w:szCs w:val="24"/>
                <w:lang w:eastAsia="en-IN"/>
                <w14:ligatures w14:val="none"/>
              </w:rPr>
              <w:t>10</w:t>
            </w:r>
          </w:p>
        </w:tc>
      </w:tr>
      <w:tr w:rsidR="00A56760" w:rsidRPr="00A85D2D" w14:paraId="3BDEA506" w14:textId="77777777" w:rsidTr="00A85D2D">
        <w:trPr>
          <w:trHeight w:val="530"/>
          <w:jc w:val="center"/>
        </w:trPr>
        <w:tc>
          <w:tcPr>
            <w:tcW w:w="2158" w:type="dxa"/>
            <w:tcBorders>
              <w:top w:val="nil"/>
              <w:left w:val="single" w:sz="4" w:space="0" w:color="auto"/>
              <w:bottom w:val="single" w:sz="4" w:space="0" w:color="auto"/>
              <w:right w:val="single" w:sz="4" w:space="0" w:color="auto"/>
            </w:tcBorders>
            <w:shd w:val="clear" w:color="000000" w:fill="FFFFFF"/>
            <w:vAlign w:val="center"/>
            <w:hideMark/>
          </w:tcPr>
          <w:p w14:paraId="38B8A8DF" w14:textId="77777777" w:rsidR="00A56760" w:rsidRPr="00A85D2D" w:rsidRDefault="00A56760" w:rsidP="00B77C0B">
            <w:pPr>
              <w:spacing w:after="0" w:line="240" w:lineRule="auto"/>
              <w:ind w:firstLineChars="100" w:firstLine="240"/>
              <w:rPr>
                <w:rFonts w:ascii="Times New Roman" w:eastAsia="Times New Roman" w:hAnsi="Times New Roman" w:cs="Times New Roman"/>
                <w:color w:val="1A1C1E"/>
                <w:kern w:val="0"/>
                <w:szCs w:val="24"/>
                <w:lang w:eastAsia="en-IN"/>
                <w14:ligatures w14:val="none"/>
              </w:rPr>
            </w:pPr>
            <w:r w:rsidRPr="00A85D2D">
              <w:rPr>
                <w:rFonts w:ascii="Times New Roman" w:eastAsia="Times New Roman" w:hAnsi="Times New Roman" w:cs="Times New Roman"/>
                <w:color w:val="1A1C1E"/>
                <w:kern w:val="0"/>
                <w:szCs w:val="24"/>
                <w:lang w:eastAsia="en-IN"/>
                <w14:ligatures w14:val="none"/>
              </w:rPr>
              <w:t>Nagaland</w:t>
            </w:r>
          </w:p>
        </w:tc>
        <w:tc>
          <w:tcPr>
            <w:tcW w:w="1763" w:type="dxa"/>
            <w:tcBorders>
              <w:top w:val="nil"/>
              <w:left w:val="nil"/>
              <w:bottom w:val="single" w:sz="4" w:space="0" w:color="auto"/>
              <w:right w:val="single" w:sz="4" w:space="0" w:color="auto"/>
            </w:tcBorders>
            <w:shd w:val="clear" w:color="000000" w:fill="FFFFFF"/>
            <w:vAlign w:val="center"/>
            <w:hideMark/>
          </w:tcPr>
          <w:p w14:paraId="1F3335C6" w14:textId="77777777" w:rsidR="00A56760" w:rsidRPr="00A85D2D" w:rsidRDefault="00A56760" w:rsidP="00B77C0B">
            <w:pPr>
              <w:spacing w:after="0" w:line="240" w:lineRule="auto"/>
              <w:ind w:firstLineChars="100" w:firstLine="240"/>
              <w:rPr>
                <w:rFonts w:ascii="Times New Roman" w:eastAsia="Times New Roman" w:hAnsi="Times New Roman" w:cs="Times New Roman"/>
                <w:color w:val="1A1C1E"/>
                <w:kern w:val="0"/>
                <w:szCs w:val="24"/>
                <w:lang w:eastAsia="en-IN"/>
                <w14:ligatures w14:val="none"/>
              </w:rPr>
            </w:pPr>
            <w:r w:rsidRPr="00A85D2D">
              <w:rPr>
                <w:rFonts w:ascii="Times New Roman" w:eastAsia="Times New Roman" w:hAnsi="Times New Roman" w:cs="Times New Roman"/>
                <w:color w:val="1A1C1E"/>
                <w:kern w:val="0"/>
                <w:szCs w:val="24"/>
                <w:lang w:eastAsia="en-IN"/>
                <w14:ligatures w14:val="none"/>
              </w:rPr>
              <w:t>N.A.</w:t>
            </w:r>
          </w:p>
        </w:tc>
        <w:tc>
          <w:tcPr>
            <w:tcW w:w="2236" w:type="dxa"/>
            <w:tcBorders>
              <w:top w:val="nil"/>
              <w:left w:val="nil"/>
              <w:bottom w:val="single" w:sz="4" w:space="0" w:color="auto"/>
              <w:right w:val="single" w:sz="4" w:space="0" w:color="auto"/>
            </w:tcBorders>
            <w:shd w:val="clear" w:color="000000" w:fill="FFFFFF"/>
            <w:vAlign w:val="center"/>
            <w:hideMark/>
          </w:tcPr>
          <w:p w14:paraId="0AA2C0B4" w14:textId="77777777" w:rsidR="00A56760" w:rsidRPr="00A85D2D" w:rsidRDefault="00A56760" w:rsidP="00B77C0B">
            <w:pPr>
              <w:spacing w:after="0" w:line="240" w:lineRule="auto"/>
              <w:ind w:firstLineChars="100" w:firstLine="240"/>
              <w:rPr>
                <w:rFonts w:ascii="Times New Roman" w:eastAsia="Times New Roman" w:hAnsi="Times New Roman" w:cs="Times New Roman"/>
                <w:color w:val="1A1C1E"/>
                <w:kern w:val="0"/>
                <w:szCs w:val="24"/>
                <w:lang w:eastAsia="en-IN"/>
                <w14:ligatures w14:val="none"/>
              </w:rPr>
            </w:pPr>
            <w:r w:rsidRPr="00A85D2D">
              <w:rPr>
                <w:rFonts w:ascii="Times New Roman" w:eastAsia="Times New Roman" w:hAnsi="Times New Roman" w:cs="Times New Roman"/>
                <w:color w:val="1A1C1E"/>
                <w:kern w:val="0"/>
                <w:szCs w:val="24"/>
                <w:lang w:eastAsia="en-IN"/>
                <w14:ligatures w14:val="none"/>
              </w:rPr>
              <w:t>N.A.</w:t>
            </w:r>
          </w:p>
        </w:tc>
        <w:tc>
          <w:tcPr>
            <w:tcW w:w="2142" w:type="dxa"/>
            <w:tcBorders>
              <w:top w:val="nil"/>
              <w:left w:val="nil"/>
              <w:bottom w:val="single" w:sz="4" w:space="0" w:color="auto"/>
              <w:right w:val="single" w:sz="4" w:space="0" w:color="auto"/>
            </w:tcBorders>
            <w:shd w:val="clear" w:color="000000" w:fill="FFFFFF"/>
            <w:vAlign w:val="center"/>
            <w:hideMark/>
          </w:tcPr>
          <w:p w14:paraId="20C76FB7" w14:textId="77777777" w:rsidR="00A56760" w:rsidRPr="00A85D2D" w:rsidRDefault="00A56760" w:rsidP="00B77C0B">
            <w:pPr>
              <w:spacing w:after="0" w:line="240" w:lineRule="auto"/>
              <w:ind w:firstLineChars="100" w:firstLine="240"/>
              <w:rPr>
                <w:rFonts w:ascii="Times New Roman" w:eastAsia="Times New Roman" w:hAnsi="Times New Roman" w:cs="Times New Roman"/>
                <w:color w:val="1A1C1E"/>
                <w:kern w:val="0"/>
                <w:szCs w:val="24"/>
                <w:lang w:eastAsia="en-IN"/>
                <w14:ligatures w14:val="none"/>
              </w:rPr>
            </w:pPr>
            <w:r w:rsidRPr="00A85D2D">
              <w:rPr>
                <w:rFonts w:ascii="Times New Roman" w:eastAsia="Times New Roman" w:hAnsi="Times New Roman" w:cs="Times New Roman"/>
                <w:color w:val="1A1C1E"/>
                <w:kern w:val="0"/>
                <w:szCs w:val="24"/>
                <w:lang w:eastAsia="en-IN"/>
                <w14:ligatures w14:val="none"/>
              </w:rPr>
              <w:t>N.A.</w:t>
            </w:r>
          </w:p>
        </w:tc>
        <w:tc>
          <w:tcPr>
            <w:tcW w:w="2316" w:type="dxa"/>
            <w:tcBorders>
              <w:top w:val="nil"/>
              <w:left w:val="nil"/>
              <w:bottom w:val="single" w:sz="4" w:space="0" w:color="auto"/>
              <w:right w:val="single" w:sz="4" w:space="0" w:color="auto"/>
            </w:tcBorders>
            <w:shd w:val="clear" w:color="000000" w:fill="FFFFFF"/>
            <w:vAlign w:val="center"/>
            <w:hideMark/>
          </w:tcPr>
          <w:p w14:paraId="1E158D69" w14:textId="77777777" w:rsidR="00A56760" w:rsidRPr="00A85D2D" w:rsidRDefault="00A56760" w:rsidP="00B77C0B">
            <w:pPr>
              <w:spacing w:after="0" w:line="240" w:lineRule="auto"/>
              <w:ind w:firstLineChars="100" w:firstLine="240"/>
              <w:rPr>
                <w:rFonts w:ascii="Times New Roman" w:eastAsia="Times New Roman" w:hAnsi="Times New Roman" w:cs="Times New Roman"/>
                <w:color w:val="1A1C1E"/>
                <w:kern w:val="0"/>
                <w:szCs w:val="24"/>
                <w:lang w:eastAsia="en-IN"/>
                <w14:ligatures w14:val="none"/>
              </w:rPr>
            </w:pPr>
            <w:r w:rsidRPr="00A85D2D">
              <w:rPr>
                <w:rFonts w:ascii="Times New Roman" w:eastAsia="Times New Roman" w:hAnsi="Times New Roman" w:cs="Times New Roman"/>
                <w:color w:val="1A1C1E"/>
                <w:kern w:val="0"/>
                <w:szCs w:val="24"/>
                <w:lang w:eastAsia="en-IN"/>
                <w14:ligatures w14:val="none"/>
              </w:rPr>
              <w:t>N.A.</w:t>
            </w:r>
          </w:p>
        </w:tc>
      </w:tr>
      <w:tr w:rsidR="00A56760" w:rsidRPr="00A85D2D" w14:paraId="2849A85C" w14:textId="77777777" w:rsidTr="00A85D2D">
        <w:trPr>
          <w:trHeight w:val="384"/>
          <w:jc w:val="center"/>
        </w:trPr>
        <w:tc>
          <w:tcPr>
            <w:tcW w:w="2158" w:type="dxa"/>
            <w:tcBorders>
              <w:top w:val="nil"/>
              <w:left w:val="single" w:sz="4" w:space="0" w:color="auto"/>
              <w:bottom w:val="single" w:sz="4" w:space="0" w:color="auto"/>
              <w:right w:val="single" w:sz="4" w:space="0" w:color="auto"/>
            </w:tcBorders>
            <w:shd w:val="clear" w:color="000000" w:fill="FFFFFF"/>
            <w:vAlign w:val="center"/>
            <w:hideMark/>
          </w:tcPr>
          <w:p w14:paraId="676DB3A4" w14:textId="77777777" w:rsidR="00A56760" w:rsidRPr="00A85D2D" w:rsidRDefault="00A56760" w:rsidP="00B77C0B">
            <w:pPr>
              <w:spacing w:after="0" w:line="240" w:lineRule="auto"/>
              <w:ind w:firstLineChars="100" w:firstLine="240"/>
              <w:rPr>
                <w:rFonts w:ascii="Times New Roman" w:eastAsia="Times New Roman" w:hAnsi="Times New Roman" w:cs="Times New Roman"/>
                <w:color w:val="1A1C1E"/>
                <w:kern w:val="0"/>
                <w:szCs w:val="24"/>
                <w:lang w:eastAsia="en-IN"/>
                <w14:ligatures w14:val="none"/>
              </w:rPr>
            </w:pPr>
            <w:r w:rsidRPr="00A85D2D">
              <w:rPr>
                <w:rFonts w:ascii="Times New Roman" w:eastAsia="Times New Roman" w:hAnsi="Times New Roman" w:cs="Times New Roman"/>
                <w:color w:val="1A1C1E"/>
                <w:kern w:val="0"/>
                <w:szCs w:val="24"/>
                <w:lang w:eastAsia="en-IN"/>
                <w14:ligatures w14:val="none"/>
              </w:rPr>
              <w:t>Orissa</w:t>
            </w:r>
          </w:p>
        </w:tc>
        <w:tc>
          <w:tcPr>
            <w:tcW w:w="1763" w:type="dxa"/>
            <w:tcBorders>
              <w:top w:val="nil"/>
              <w:left w:val="nil"/>
              <w:bottom w:val="single" w:sz="4" w:space="0" w:color="auto"/>
              <w:right w:val="single" w:sz="4" w:space="0" w:color="auto"/>
            </w:tcBorders>
            <w:shd w:val="clear" w:color="000000" w:fill="FFFFFF"/>
            <w:vAlign w:val="center"/>
            <w:hideMark/>
          </w:tcPr>
          <w:p w14:paraId="769179F5" w14:textId="77777777" w:rsidR="00A56760" w:rsidRPr="00A85D2D" w:rsidRDefault="00A56760" w:rsidP="00B77C0B">
            <w:pPr>
              <w:spacing w:after="0" w:line="240" w:lineRule="auto"/>
              <w:ind w:firstLineChars="100" w:firstLine="240"/>
              <w:rPr>
                <w:rFonts w:ascii="Times New Roman" w:eastAsia="Times New Roman" w:hAnsi="Times New Roman" w:cs="Times New Roman"/>
                <w:color w:val="1A1C1E"/>
                <w:kern w:val="0"/>
                <w:szCs w:val="24"/>
                <w:lang w:eastAsia="en-IN"/>
                <w14:ligatures w14:val="none"/>
              </w:rPr>
            </w:pPr>
            <w:r w:rsidRPr="00A85D2D">
              <w:rPr>
                <w:rFonts w:ascii="Times New Roman" w:eastAsia="Times New Roman" w:hAnsi="Times New Roman" w:cs="Times New Roman"/>
                <w:color w:val="1A1C1E"/>
                <w:kern w:val="0"/>
                <w:szCs w:val="24"/>
                <w:lang w:eastAsia="en-IN"/>
                <w14:ligatures w14:val="none"/>
              </w:rPr>
              <w:t>25.24</w:t>
            </w:r>
          </w:p>
        </w:tc>
        <w:tc>
          <w:tcPr>
            <w:tcW w:w="2236" w:type="dxa"/>
            <w:tcBorders>
              <w:top w:val="nil"/>
              <w:left w:val="nil"/>
              <w:bottom w:val="single" w:sz="4" w:space="0" w:color="auto"/>
              <w:right w:val="single" w:sz="4" w:space="0" w:color="auto"/>
            </w:tcBorders>
            <w:shd w:val="clear" w:color="000000" w:fill="FFFFFF"/>
            <w:vAlign w:val="center"/>
            <w:hideMark/>
          </w:tcPr>
          <w:p w14:paraId="4600B4F9" w14:textId="77777777" w:rsidR="00A56760" w:rsidRPr="00A85D2D" w:rsidRDefault="00A56760" w:rsidP="00B77C0B">
            <w:pPr>
              <w:spacing w:after="0" w:line="240" w:lineRule="auto"/>
              <w:ind w:firstLineChars="100" w:firstLine="240"/>
              <w:rPr>
                <w:rFonts w:ascii="Times New Roman" w:eastAsia="Times New Roman" w:hAnsi="Times New Roman" w:cs="Times New Roman"/>
                <w:color w:val="1A1C1E"/>
                <w:kern w:val="0"/>
                <w:szCs w:val="24"/>
                <w:lang w:eastAsia="en-IN"/>
                <w14:ligatures w14:val="none"/>
              </w:rPr>
            </w:pPr>
            <w:r w:rsidRPr="00A85D2D">
              <w:rPr>
                <w:rFonts w:ascii="Times New Roman" w:eastAsia="Times New Roman" w:hAnsi="Times New Roman" w:cs="Times New Roman"/>
                <w:color w:val="1A1C1E"/>
                <w:kern w:val="0"/>
                <w:szCs w:val="24"/>
                <w:lang w:eastAsia="en-IN"/>
                <w14:ligatures w14:val="none"/>
              </w:rPr>
              <w:t>14.06</w:t>
            </w:r>
          </w:p>
        </w:tc>
        <w:tc>
          <w:tcPr>
            <w:tcW w:w="2142" w:type="dxa"/>
            <w:tcBorders>
              <w:top w:val="nil"/>
              <w:left w:val="nil"/>
              <w:bottom w:val="single" w:sz="4" w:space="0" w:color="auto"/>
              <w:right w:val="single" w:sz="4" w:space="0" w:color="auto"/>
            </w:tcBorders>
            <w:shd w:val="clear" w:color="000000" w:fill="FFFFFF"/>
            <w:vAlign w:val="center"/>
            <w:hideMark/>
          </w:tcPr>
          <w:p w14:paraId="242B8FCC" w14:textId="77777777" w:rsidR="00A56760" w:rsidRPr="00A85D2D" w:rsidRDefault="00A56760" w:rsidP="00B77C0B">
            <w:pPr>
              <w:spacing w:after="0" w:line="240" w:lineRule="auto"/>
              <w:ind w:firstLineChars="100" w:firstLine="240"/>
              <w:rPr>
                <w:rFonts w:ascii="Times New Roman" w:eastAsia="Times New Roman" w:hAnsi="Times New Roman" w:cs="Times New Roman"/>
                <w:color w:val="1A1C1E"/>
                <w:kern w:val="0"/>
                <w:szCs w:val="24"/>
                <w:lang w:eastAsia="en-IN"/>
                <w14:ligatures w14:val="none"/>
              </w:rPr>
            </w:pPr>
            <w:r w:rsidRPr="00A85D2D">
              <w:rPr>
                <w:rFonts w:ascii="Times New Roman" w:eastAsia="Times New Roman" w:hAnsi="Times New Roman" w:cs="Times New Roman"/>
                <w:color w:val="1A1C1E"/>
                <w:kern w:val="0"/>
                <w:szCs w:val="24"/>
                <w:lang w:eastAsia="en-IN"/>
                <w14:ligatures w14:val="none"/>
              </w:rPr>
              <w:t>28.13</w:t>
            </w:r>
          </w:p>
        </w:tc>
        <w:tc>
          <w:tcPr>
            <w:tcW w:w="2316" w:type="dxa"/>
            <w:tcBorders>
              <w:top w:val="nil"/>
              <w:left w:val="nil"/>
              <w:bottom w:val="single" w:sz="4" w:space="0" w:color="auto"/>
              <w:right w:val="single" w:sz="4" w:space="0" w:color="auto"/>
            </w:tcBorders>
            <w:shd w:val="clear" w:color="000000" w:fill="FFFFFF"/>
            <w:vAlign w:val="center"/>
            <w:hideMark/>
          </w:tcPr>
          <w:p w14:paraId="363848B2" w14:textId="77777777" w:rsidR="00A56760" w:rsidRPr="00A85D2D" w:rsidRDefault="00A56760" w:rsidP="00B77C0B">
            <w:pPr>
              <w:spacing w:after="0" w:line="240" w:lineRule="auto"/>
              <w:ind w:firstLineChars="100" w:firstLine="240"/>
              <w:rPr>
                <w:rFonts w:ascii="Times New Roman" w:eastAsia="Times New Roman" w:hAnsi="Times New Roman" w:cs="Times New Roman"/>
                <w:color w:val="1A1C1E"/>
                <w:kern w:val="0"/>
                <w:szCs w:val="24"/>
                <w:lang w:eastAsia="en-IN"/>
                <w14:ligatures w14:val="none"/>
              </w:rPr>
            </w:pPr>
            <w:r w:rsidRPr="00A85D2D">
              <w:rPr>
                <w:rFonts w:ascii="Times New Roman" w:eastAsia="Times New Roman" w:hAnsi="Times New Roman" w:cs="Times New Roman"/>
                <w:color w:val="1A1C1E"/>
                <w:kern w:val="0"/>
                <w:szCs w:val="24"/>
                <w:lang w:eastAsia="en-IN"/>
                <w14:ligatures w14:val="none"/>
              </w:rPr>
              <w:t>10</w:t>
            </w:r>
          </w:p>
        </w:tc>
      </w:tr>
      <w:tr w:rsidR="00A56760" w:rsidRPr="00A85D2D" w14:paraId="012D6D2F" w14:textId="77777777" w:rsidTr="00A85D2D">
        <w:trPr>
          <w:trHeight w:val="344"/>
          <w:jc w:val="center"/>
        </w:trPr>
        <w:tc>
          <w:tcPr>
            <w:tcW w:w="2158" w:type="dxa"/>
            <w:tcBorders>
              <w:top w:val="nil"/>
              <w:left w:val="single" w:sz="4" w:space="0" w:color="auto"/>
              <w:bottom w:val="single" w:sz="4" w:space="0" w:color="auto"/>
              <w:right w:val="single" w:sz="4" w:space="0" w:color="auto"/>
            </w:tcBorders>
            <w:shd w:val="clear" w:color="000000" w:fill="FFFFFF"/>
            <w:vAlign w:val="center"/>
            <w:hideMark/>
          </w:tcPr>
          <w:p w14:paraId="2CCCA724" w14:textId="77777777" w:rsidR="00A56760" w:rsidRPr="00A85D2D" w:rsidRDefault="00A56760" w:rsidP="00B77C0B">
            <w:pPr>
              <w:spacing w:after="0" w:line="240" w:lineRule="auto"/>
              <w:ind w:firstLineChars="100" w:firstLine="240"/>
              <w:rPr>
                <w:rFonts w:ascii="Times New Roman" w:eastAsia="Times New Roman" w:hAnsi="Times New Roman" w:cs="Times New Roman"/>
                <w:color w:val="1A1C1E"/>
                <w:kern w:val="0"/>
                <w:szCs w:val="24"/>
                <w:lang w:eastAsia="en-IN"/>
                <w14:ligatures w14:val="none"/>
              </w:rPr>
            </w:pPr>
            <w:r w:rsidRPr="00A85D2D">
              <w:rPr>
                <w:rFonts w:ascii="Times New Roman" w:eastAsia="Times New Roman" w:hAnsi="Times New Roman" w:cs="Times New Roman"/>
                <w:color w:val="1A1C1E"/>
                <w:kern w:val="0"/>
                <w:szCs w:val="24"/>
                <w:lang w:eastAsia="en-IN"/>
                <w14:ligatures w14:val="none"/>
              </w:rPr>
              <w:t>Punjab</w:t>
            </w:r>
          </w:p>
        </w:tc>
        <w:tc>
          <w:tcPr>
            <w:tcW w:w="1763" w:type="dxa"/>
            <w:tcBorders>
              <w:top w:val="nil"/>
              <w:left w:val="nil"/>
              <w:bottom w:val="single" w:sz="4" w:space="0" w:color="auto"/>
              <w:right w:val="single" w:sz="4" w:space="0" w:color="auto"/>
            </w:tcBorders>
            <w:shd w:val="clear" w:color="000000" w:fill="FFFFFF"/>
            <w:vAlign w:val="center"/>
            <w:hideMark/>
          </w:tcPr>
          <w:p w14:paraId="4234E220" w14:textId="77777777" w:rsidR="00A56760" w:rsidRPr="00A85D2D" w:rsidRDefault="00A56760" w:rsidP="00B77C0B">
            <w:pPr>
              <w:spacing w:after="0" w:line="240" w:lineRule="auto"/>
              <w:ind w:firstLineChars="100" w:firstLine="240"/>
              <w:rPr>
                <w:rFonts w:ascii="Times New Roman" w:eastAsia="Times New Roman" w:hAnsi="Times New Roman" w:cs="Times New Roman"/>
                <w:color w:val="1A1C1E"/>
                <w:kern w:val="0"/>
                <w:szCs w:val="24"/>
                <w:lang w:eastAsia="en-IN"/>
                <w14:ligatures w14:val="none"/>
              </w:rPr>
            </w:pPr>
            <w:r w:rsidRPr="00A85D2D">
              <w:rPr>
                <w:rFonts w:ascii="Times New Roman" w:eastAsia="Times New Roman" w:hAnsi="Times New Roman" w:cs="Times New Roman"/>
                <w:color w:val="1A1C1E"/>
                <w:kern w:val="0"/>
                <w:szCs w:val="24"/>
                <w:lang w:eastAsia="en-IN"/>
                <w14:ligatures w14:val="none"/>
              </w:rPr>
              <w:t>N.A.</w:t>
            </w:r>
          </w:p>
        </w:tc>
        <w:tc>
          <w:tcPr>
            <w:tcW w:w="2236" w:type="dxa"/>
            <w:tcBorders>
              <w:top w:val="nil"/>
              <w:left w:val="nil"/>
              <w:bottom w:val="single" w:sz="4" w:space="0" w:color="auto"/>
              <w:right w:val="single" w:sz="4" w:space="0" w:color="auto"/>
            </w:tcBorders>
            <w:shd w:val="clear" w:color="000000" w:fill="FFFFFF"/>
            <w:vAlign w:val="center"/>
            <w:hideMark/>
          </w:tcPr>
          <w:p w14:paraId="01D3BB7F" w14:textId="77777777" w:rsidR="00A56760" w:rsidRPr="00A85D2D" w:rsidRDefault="00A56760" w:rsidP="00B77C0B">
            <w:pPr>
              <w:spacing w:after="0" w:line="240" w:lineRule="auto"/>
              <w:ind w:firstLineChars="100" w:firstLine="240"/>
              <w:rPr>
                <w:rFonts w:ascii="Times New Roman" w:eastAsia="Times New Roman" w:hAnsi="Times New Roman" w:cs="Times New Roman"/>
                <w:color w:val="1A1C1E"/>
                <w:kern w:val="0"/>
                <w:szCs w:val="24"/>
                <w:lang w:eastAsia="en-IN"/>
                <w14:ligatures w14:val="none"/>
              </w:rPr>
            </w:pPr>
            <w:r w:rsidRPr="00A85D2D">
              <w:rPr>
                <w:rFonts w:ascii="Times New Roman" w:eastAsia="Times New Roman" w:hAnsi="Times New Roman" w:cs="Times New Roman"/>
                <w:color w:val="1A1C1E"/>
                <w:kern w:val="0"/>
                <w:szCs w:val="24"/>
                <w:lang w:eastAsia="en-IN"/>
                <w14:ligatures w14:val="none"/>
              </w:rPr>
              <w:t>N.A.</w:t>
            </w:r>
          </w:p>
        </w:tc>
        <w:tc>
          <w:tcPr>
            <w:tcW w:w="2142" w:type="dxa"/>
            <w:tcBorders>
              <w:top w:val="nil"/>
              <w:left w:val="nil"/>
              <w:bottom w:val="single" w:sz="4" w:space="0" w:color="auto"/>
              <w:right w:val="single" w:sz="4" w:space="0" w:color="auto"/>
            </w:tcBorders>
            <w:shd w:val="clear" w:color="000000" w:fill="FFFFFF"/>
            <w:vAlign w:val="center"/>
            <w:hideMark/>
          </w:tcPr>
          <w:p w14:paraId="32CCB0C2" w14:textId="77777777" w:rsidR="00A56760" w:rsidRPr="00A85D2D" w:rsidRDefault="00A56760" w:rsidP="00B77C0B">
            <w:pPr>
              <w:spacing w:after="0" w:line="240" w:lineRule="auto"/>
              <w:ind w:firstLineChars="100" w:firstLine="240"/>
              <w:rPr>
                <w:rFonts w:ascii="Times New Roman" w:eastAsia="Times New Roman" w:hAnsi="Times New Roman" w:cs="Times New Roman"/>
                <w:color w:val="1A1C1E"/>
                <w:kern w:val="0"/>
                <w:szCs w:val="24"/>
                <w:lang w:eastAsia="en-IN"/>
                <w14:ligatures w14:val="none"/>
              </w:rPr>
            </w:pPr>
            <w:r w:rsidRPr="00A85D2D">
              <w:rPr>
                <w:rFonts w:ascii="Times New Roman" w:eastAsia="Times New Roman" w:hAnsi="Times New Roman" w:cs="Times New Roman"/>
                <w:color w:val="1A1C1E"/>
                <w:kern w:val="0"/>
                <w:szCs w:val="24"/>
                <w:lang w:eastAsia="en-IN"/>
                <w14:ligatures w14:val="none"/>
              </w:rPr>
              <w:t>30.00(d)</w:t>
            </w:r>
          </w:p>
        </w:tc>
        <w:tc>
          <w:tcPr>
            <w:tcW w:w="2316" w:type="dxa"/>
            <w:tcBorders>
              <w:top w:val="nil"/>
              <w:left w:val="nil"/>
              <w:bottom w:val="single" w:sz="4" w:space="0" w:color="auto"/>
              <w:right w:val="single" w:sz="4" w:space="0" w:color="auto"/>
            </w:tcBorders>
            <w:shd w:val="clear" w:color="000000" w:fill="FFFFFF"/>
            <w:vAlign w:val="center"/>
            <w:hideMark/>
          </w:tcPr>
          <w:p w14:paraId="71A5D01A" w14:textId="77777777" w:rsidR="00A56760" w:rsidRPr="00A85D2D" w:rsidRDefault="00A56760" w:rsidP="00B77C0B">
            <w:pPr>
              <w:spacing w:after="0" w:line="240" w:lineRule="auto"/>
              <w:ind w:firstLineChars="100" w:firstLine="240"/>
              <w:rPr>
                <w:rFonts w:ascii="Times New Roman" w:eastAsia="Times New Roman" w:hAnsi="Times New Roman" w:cs="Times New Roman"/>
                <w:color w:val="1A1C1E"/>
                <w:kern w:val="0"/>
                <w:szCs w:val="24"/>
                <w:lang w:eastAsia="en-IN"/>
                <w14:ligatures w14:val="none"/>
              </w:rPr>
            </w:pPr>
            <w:r w:rsidRPr="00A85D2D">
              <w:rPr>
                <w:rFonts w:ascii="Times New Roman" w:eastAsia="Times New Roman" w:hAnsi="Times New Roman" w:cs="Times New Roman"/>
                <w:color w:val="1A1C1E"/>
                <w:kern w:val="0"/>
                <w:szCs w:val="24"/>
                <w:lang w:eastAsia="en-IN"/>
                <w14:ligatures w14:val="none"/>
              </w:rPr>
              <w:t>21</w:t>
            </w:r>
          </w:p>
        </w:tc>
      </w:tr>
      <w:tr w:rsidR="00A56760" w:rsidRPr="00A85D2D" w14:paraId="555808D7" w14:textId="77777777" w:rsidTr="00A85D2D">
        <w:trPr>
          <w:trHeight w:val="265"/>
          <w:jc w:val="center"/>
        </w:trPr>
        <w:tc>
          <w:tcPr>
            <w:tcW w:w="2158" w:type="dxa"/>
            <w:tcBorders>
              <w:top w:val="nil"/>
              <w:left w:val="single" w:sz="4" w:space="0" w:color="auto"/>
              <w:bottom w:val="single" w:sz="4" w:space="0" w:color="auto"/>
              <w:right w:val="single" w:sz="4" w:space="0" w:color="auto"/>
            </w:tcBorders>
            <w:shd w:val="clear" w:color="000000" w:fill="FFFFFF"/>
            <w:vAlign w:val="center"/>
            <w:hideMark/>
          </w:tcPr>
          <w:p w14:paraId="46C261BD" w14:textId="77777777" w:rsidR="00A56760" w:rsidRPr="00A85D2D" w:rsidRDefault="00A56760" w:rsidP="00B77C0B">
            <w:pPr>
              <w:spacing w:after="0" w:line="240" w:lineRule="auto"/>
              <w:ind w:firstLineChars="100" w:firstLine="240"/>
              <w:rPr>
                <w:rFonts w:ascii="Times New Roman" w:eastAsia="Times New Roman" w:hAnsi="Times New Roman" w:cs="Times New Roman"/>
                <w:color w:val="1A1C1E"/>
                <w:kern w:val="0"/>
                <w:szCs w:val="24"/>
                <w:lang w:eastAsia="en-IN"/>
                <w14:ligatures w14:val="none"/>
              </w:rPr>
            </w:pPr>
            <w:r w:rsidRPr="00A85D2D">
              <w:rPr>
                <w:rFonts w:ascii="Times New Roman" w:eastAsia="Times New Roman" w:hAnsi="Times New Roman" w:cs="Times New Roman"/>
                <w:color w:val="1A1C1E"/>
                <w:kern w:val="0"/>
                <w:szCs w:val="24"/>
                <w:lang w:eastAsia="en-IN"/>
                <w14:ligatures w14:val="none"/>
              </w:rPr>
              <w:t>Rajasthan</w:t>
            </w:r>
          </w:p>
        </w:tc>
        <w:tc>
          <w:tcPr>
            <w:tcW w:w="1763" w:type="dxa"/>
            <w:tcBorders>
              <w:top w:val="nil"/>
              <w:left w:val="nil"/>
              <w:bottom w:val="single" w:sz="4" w:space="0" w:color="auto"/>
              <w:right w:val="single" w:sz="4" w:space="0" w:color="auto"/>
            </w:tcBorders>
            <w:shd w:val="clear" w:color="000000" w:fill="FFFFFF"/>
            <w:vAlign w:val="center"/>
            <w:hideMark/>
          </w:tcPr>
          <w:p w14:paraId="2A2C7C4F" w14:textId="77777777" w:rsidR="00A56760" w:rsidRPr="00A85D2D" w:rsidRDefault="00A56760" w:rsidP="00B77C0B">
            <w:pPr>
              <w:spacing w:after="0" w:line="240" w:lineRule="auto"/>
              <w:ind w:firstLineChars="100" w:firstLine="240"/>
              <w:rPr>
                <w:rFonts w:ascii="Times New Roman" w:eastAsia="Times New Roman" w:hAnsi="Times New Roman" w:cs="Times New Roman"/>
                <w:color w:val="1A1C1E"/>
                <w:kern w:val="0"/>
                <w:szCs w:val="24"/>
                <w:lang w:eastAsia="en-IN"/>
                <w14:ligatures w14:val="none"/>
              </w:rPr>
            </w:pPr>
            <w:r w:rsidRPr="00A85D2D">
              <w:rPr>
                <w:rFonts w:ascii="Times New Roman" w:eastAsia="Times New Roman" w:hAnsi="Times New Roman" w:cs="Times New Roman"/>
                <w:color w:val="1A1C1E"/>
                <w:kern w:val="0"/>
                <w:szCs w:val="24"/>
                <w:lang w:eastAsia="en-IN"/>
                <w14:ligatures w14:val="none"/>
              </w:rPr>
              <w:t>18</w:t>
            </w:r>
          </w:p>
        </w:tc>
        <w:tc>
          <w:tcPr>
            <w:tcW w:w="2236" w:type="dxa"/>
            <w:tcBorders>
              <w:top w:val="nil"/>
              <w:left w:val="nil"/>
              <w:bottom w:val="single" w:sz="4" w:space="0" w:color="auto"/>
              <w:right w:val="single" w:sz="4" w:space="0" w:color="auto"/>
            </w:tcBorders>
            <w:shd w:val="clear" w:color="000000" w:fill="FFFFFF"/>
            <w:vAlign w:val="center"/>
            <w:hideMark/>
          </w:tcPr>
          <w:p w14:paraId="07A9B02E" w14:textId="77777777" w:rsidR="00A56760" w:rsidRPr="00A85D2D" w:rsidRDefault="00A56760" w:rsidP="00B77C0B">
            <w:pPr>
              <w:spacing w:after="0" w:line="240" w:lineRule="auto"/>
              <w:ind w:firstLineChars="100" w:firstLine="240"/>
              <w:rPr>
                <w:rFonts w:ascii="Times New Roman" w:eastAsia="Times New Roman" w:hAnsi="Times New Roman" w:cs="Times New Roman"/>
                <w:color w:val="1A1C1E"/>
                <w:kern w:val="0"/>
                <w:szCs w:val="24"/>
                <w:lang w:eastAsia="en-IN"/>
                <w14:ligatures w14:val="none"/>
              </w:rPr>
            </w:pPr>
            <w:r w:rsidRPr="00A85D2D">
              <w:rPr>
                <w:rFonts w:ascii="Times New Roman" w:eastAsia="Times New Roman" w:hAnsi="Times New Roman" w:cs="Times New Roman"/>
                <w:color w:val="1A1C1E"/>
                <w:kern w:val="0"/>
                <w:szCs w:val="24"/>
                <w:lang w:eastAsia="en-IN"/>
                <w14:ligatures w14:val="none"/>
              </w:rPr>
              <w:t>15</w:t>
            </w:r>
          </w:p>
        </w:tc>
        <w:tc>
          <w:tcPr>
            <w:tcW w:w="2142" w:type="dxa"/>
            <w:tcBorders>
              <w:top w:val="nil"/>
              <w:left w:val="nil"/>
              <w:bottom w:val="single" w:sz="4" w:space="0" w:color="auto"/>
              <w:right w:val="single" w:sz="4" w:space="0" w:color="auto"/>
            </w:tcBorders>
            <w:shd w:val="clear" w:color="000000" w:fill="FFFFFF"/>
            <w:vAlign w:val="center"/>
            <w:hideMark/>
          </w:tcPr>
          <w:p w14:paraId="13D88125" w14:textId="77777777" w:rsidR="00A56760" w:rsidRPr="00A85D2D" w:rsidRDefault="00A56760" w:rsidP="00B77C0B">
            <w:pPr>
              <w:spacing w:after="0" w:line="240" w:lineRule="auto"/>
              <w:ind w:firstLineChars="100" w:firstLine="240"/>
              <w:rPr>
                <w:rFonts w:ascii="Times New Roman" w:eastAsia="Times New Roman" w:hAnsi="Times New Roman" w:cs="Times New Roman"/>
                <w:color w:val="1A1C1E"/>
                <w:kern w:val="0"/>
                <w:szCs w:val="24"/>
                <w:lang w:eastAsia="en-IN"/>
                <w14:ligatures w14:val="none"/>
              </w:rPr>
            </w:pPr>
            <w:r w:rsidRPr="00A85D2D">
              <w:rPr>
                <w:rFonts w:ascii="Times New Roman" w:eastAsia="Times New Roman" w:hAnsi="Times New Roman" w:cs="Times New Roman"/>
                <w:color w:val="1A1C1E"/>
                <w:kern w:val="0"/>
                <w:szCs w:val="24"/>
                <w:lang w:eastAsia="en-IN"/>
                <w14:ligatures w14:val="none"/>
              </w:rPr>
              <w:t>30</w:t>
            </w:r>
          </w:p>
        </w:tc>
        <w:tc>
          <w:tcPr>
            <w:tcW w:w="2316" w:type="dxa"/>
            <w:tcBorders>
              <w:top w:val="nil"/>
              <w:left w:val="nil"/>
              <w:bottom w:val="single" w:sz="4" w:space="0" w:color="auto"/>
              <w:right w:val="single" w:sz="4" w:space="0" w:color="auto"/>
            </w:tcBorders>
            <w:shd w:val="clear" w:color="000000" w:fill="FFFFFF"/>
            <w:vAlign w:val="center"/>
            <w:hideMark/>
          </w:tcPr>
          <w:p w14:paraId="73DF3743" w14:textId="77777777" w:rsidR="00A56760" w:rsidRPr="00A85D2D" w:rsidRDefault="00A56760" w:rsidP="00B77C0B">
            <w:pPr>
              <w:spacing w:after="0" w:line="240" w:lineRule="auto"/>
              <w:ind w:firstLineChars="100" w:firstLine="240"/>
              <w:rPr>
                <w:rFonts w:ascii="Times New Roman" w:eastAsia="Times New Roman" w:hAnsi="Times New Roman" w:cs="Times New Roman"/>
                <w:color w:val="1A1C1E"/>
                <w:kern w:val="0"/>
                <w:szCs w:val="24"/>
                <w:lang w:eastAsia="en-IN"/>
                <w14:ligatures w14:val="none"/>
              </w:rPr>
            </w:pPr>
            <w:r w:rsidRPr="00A85D2D">
              <w:rPr>
                <w:rFonts w:ascii="Times New Roman" w:eastAsia="Times New Roman" w:hAnsi="Times New Roman" w:cs="Times New Roman"/>
                <w:color w:val="1A1C1E"/>
                <w:kern w:val="0"/>
                <w:szCs w:val="24"/>
                <w:lang w:eastAsia="en-IN"/>
                <w14:ligatures w14:val="none"/>
              </w:rPr>
              <w:t>12.5</w:t>
            </w:r>
          </w:p>
        </w:tc>
      </w:tr>
      <w:tr w:rsidR="00A56760" w:rsidRPr="00A85D2D" w14:paraId="1B1ACC86" w14:textId="77777777" w:rsidTr="00A85D2D">
        <w:trPr>
          <w:trHeight w:val="530"/>
          <w:jc w:val="center"/>
        </w:trPr>
        <w:tc>
          <w:tcPr>
            <w:tcW w:w="2158" w:type="dxa"/>
            <w:tcBorders>
              <w:top w:val="nil"/>
              <w:left w:val="single" w:sz="4" w:space="0" w:color="auto"/>
              <w:bottom w:val="single" w:sz="4" w:space="0" w:color="auto"/>
              <w:right w:val="single" w:sz="4" w:space="0" w:color="auto"/>
            </w:tcBorders>
            <w:shd w:val="clear" w:color="000000" w:fill="FFFFFF"/>
            <w:vAlign w:val="center"/>
            <w:hideMark/>
          </w:tcPr>
          <w:p w14:paraId="2D57F18E" w14:textId="77777777" w:rsidR="00A56760" w:rsidRPr="00A85D2D" w:rsidRDefault="00A56760" w:rsidP="00B77C0B">
            <w:pPr>
              <w:spacing w:after="0" w:line="240" w:lineRule="auto"/>
              <w:ind w:firstLineChars="100" w:firstLine="240"/>
              <w:rPr>
                <w:rFonts w:ascii="Times New Roman" w:eastAsia="Times New Roman" w:hAnsi="Times New Roman" w:cs="Times New Roman"/>
                <w:color w:val="1A1C1E"/>
                <w:kern w:val="0"/>
                <w:szCs w:val="24"/>
                <w:lang w:eastAsia="en-IN"/>
                <w14:ligatures w14:val="none"/>
              </w:rPr>
            </w:pPr>
            <w:r w:rsidRPr="00A85D2D">
              <w:rPr>
                <w:rFonts w:ascii="Times New Roman" w:eastAsia="Times New Roman" w:hAnsi="Times New Roman" w:cs="Times New Roman"/>
                <w:color w:val="1A1C1E"/>
                <w:kern w:val="0"/>
                <w:szCs w:val="24"/>
                <w:lang w:eastAsia="en-IN"/>
                <w14:ligatures w14:val="none"/>
              </w:rPr>
              <w:t>Tamil Nadu</w:t>
            </w:r>
          </w:p>
        </w:tc>
        <w:tc>
          <w:tcPr>
            <w:tcW w:w="1763" w:type="dxa"/>
            <w:tcBorders>
              <w:top w:val="nil"/>
              <w:left w:val="nil"/>
              <w:bottom w:val="single" w:sz="4" w:space="0" w:color="auto"/>
              <w:right w:val="single" w:sz="4" w:space="0" w:color="auto"/>
            </w:tcBorders>
            <w:shd w:val="clear" w:color="000000" w:fill="FFFFFF"/>
            <w:vAlign w:val="center"/>
            <w:hideMark/>
          </w:tcPr>
          <w:p w14:paraId="21DA9913" w14:textId="77777777" w:rsidR="00A56760" w:rsidRPr="00A85D2D" w:rsidRDefault="00A56760" w:rsidP="00B77C0B">
            <w:pPr>
              <w:spacing w:after="0" w:line="240" w:lineRule="auto"/>
              <w:ind w:firstLineChars="100" w:firstLine="240"/>
              <w:rPr>
                <w:rFonts w:ascii="Times New Roman" w:eastAsia="Times New Roman" w:hAnsi="Times New Roman" w:cs="Times New Roman"/>
                <w:color w:val="1A1C1E"/>
                <w:kern w:val="0"/>
                <w:szCs w:val="24"/>
                <w:lang w:eastAsia="en-IN"/>
                <w14:ligatures w14:val="none"/>
              </w:rPr>
            </w:pPr>
            <w:r w:rsidRPr="00A85D2D">
              <w:rPr>
                <w:rFonts w:ascii="Times New Roman" w:eastAsia="Times New Roman" w:hAnsi="Times New Roman" w:cs="Times New Roman"/>
                <w:color w:val="1A1C1E"/>
                <w:kern w:val="0"/>
                <w:szCs w:val="24"/>
                <w:lang w:eastAsia="en-IN"/>
                <w14:ligatures w14:val="none"/>
              </w:rPr>
              <w:t>40.5</w:t>
            </w:r>
          </w:p>
        </w:tc>
        <w:tc>
          <w:tcPr>
            <w:tcW w:w="2236" w:type="dxa"/>
            <w:tcBorders>
              <w:top w:val="nil"/>
              <w:left w:val="nil"/>
              <w:bottom w:val="single" w:sz="4" w:space="0" w:color="auto"/>
              <w:right w:val="single" w:sz="4" w:space="0" w:color="auto"/>
            </w:tcBorders>
            <w:shd w:val="clear" w:color="000000" w:fill="FFFFFF"/>
            <w:vAlign w:val="center"/>
            <w:hideMark/>
          </w:tcPr>
          <w:p w14:paraId="5A2F2220" w14:textId="77777777" w:rsidR="00A56760" w:rsidRPr="00A85D2D" w:rsidRDefault="00A56760" w:rsidP="00B77C0B">
            <w:pPr>
              <w:spacing w:after="0" w:line="240" w:lineRule="auto"/>
              <w:ind w:firstLineChars="100" w:firstLine="240"/>
              <w:rPr>
                <w:rFonts w:ascii="Times New Roman" w:eastAsia="Times New Roman" w:hAnsi="Times New Roman" w:cs="Times New Roman"/>
                <w:color w:val="1A1C1E"/>
                <w:kern w:val="0"/>
                <w:szCs w:val="24"/>
                <w:lang w:eastAsia="en-IN"/>
                <w14:ligatures w14:val="none"/>
              </w:rPr>
            </w:pPr>
            <w:r w:rsidRPr="00A85D2D">
              <w:rPr>
                <w:rFonts w:ascii="Times New Roman" w:eastAsia="Times New Roman" w:hAnsi="Times New Roman" w:cs="Times New Roman"/>
                <w:color w:val="1A1C1E"/>
                <w:kern w:val="0"/>
                <w:szCs w:val="24"/>
                <w:lang w:eastAsia="en-IN"/>
                <w14:ligatures w14:val="none"/>
              </w:rPr>
              <w:t>22.5</w:t>
            </w:r>
          </w:p>
        </w:tc>
        <w:tc>
          <w:tcPr>
            <w:tcW w:w="2142" w:type="dxa"/>
            <w:tcBorders>
              <w:top w:val="nil"/>
              <w:left w:val="nil"/>
              <w:bottom w:val="single" w:sz="4" w:space="0" w:color="auto"/>
              <w:right w:val="single" w:sz="4" w:space="0" w:color="auto"/>
            </w:tcBorders>
            <w:shd w:val="clear" w:color="000000" w:fill="FFFFFF"/>
            <w:vAlign w:val="center"/>
            <w:hideMark/>
          </w:tcPr>
          <w:p w14:paraId="5D3D169E" w14:textId="77777777" w:rsidR="00A56760" w:rsidRPr="00A85D2D" w:rsidRDefault="00A56760" w:rsidP="00B77C0B">
            <w:pPr>
              <w:spacing w:after="0" w:line="240" w:lineRule="auto"/>
              <w:ind w:firstLineChars="100" w:firstLine="240"/>
              <w:rPr>
                <w:rFonts w:ascii="Times New Roman" w:eastAsia="Times New Roman" w:hAnsi="Times New Roman" w:cs="Times New Roman"/>
                <w:color w:val="1A1C1E"/>
                <w:kern w:val="0"/>
                <w:szCs w:val="24"/>
                <w:lang w:eastAsia="en-IN"/>
                <w14:ligatures w14:val="none"/>
              </w:rPr>
            </w:pPr>
            <w:r w:rsidRPr="00A85D2D">
              <w:rPr>
                <w:rFonts w:ascii="Times New Roman" w:eastAsia="Times New Roman" w:hAnsi="Times New Roman" w:cs="Times New Roman"/>
                <w:color w:val="1A1C1E"/>
                <w:kern w:val="0"/>
                <w:szCs w:val="24"/>
                <w:lang w:eastAsia="en-IN"/>
                <w14:ligatures w14:val="none"/>
              </w:rPr>
              <w:t>45</w:t>
            </w:r>
          </w:p>
        </w:tc>
        <w:tc>
          <w:tcPr>
            <w:tcW w:w="2316" w:type="dxa"/>
            <w:tcBorders>
              <w:top w:val="nil"/>
              <w:left w:val="nil"/>
              <w:bottom w:val="single" w:sz="4" w:space="0" w:color="auto"/>
              <w:right w:val="single" w:sz="4" w:space="0" w:color="auto"/>
            </w:tcBorders>
            <w:shd w:val="clear" w:color="000000" w:fill="FFFFFF"/>
            <w:vAlign w:val="center"/>
            <w:hideMark/>
          </w:tcPr>
          <w:p w14:paraId="0B9981F2" w14:textId="77777777" w:rsidR="00A56760" w:rsidRPr="00A85D2D" w:rsidRDefault="00A56760" w:rsidP="00B77C0B">
            <w:pPr>
              <w:spacing w:after="0" w:line="240" w:lineRule="auto"/>
              <w:ind w:firstLineChars="100" w:firstLine="240"/>
              <w:rPr>
                <w:rFonts w:ascii="Times New Roman" w:eastAsia="Times New Roman" w:hAnsi="Times New Roman" w:cs="Times New Roman"/>
                <w:color w:val="1A1C1E"/>
                <w:kern w:val="0"/>
                <w:szCs w:val="24"/>
                <w:lang w:eastAsia="en-IN"/>
                <w14:ligatures w14:val="none"/>
              </w:rPr>
            </w:pPr>
            <w:r w:rsidRPr="00A85D2D">
              <w:rPr>
                <w:rFonts w:ascii="Times New Roman" w:eastAsia="Times New Roman" w:hAnsi="Times New Roman" w:cs="Times New Roman"/>
                <w:color w:val="1A1C1E"/>
                <w:kern w:val="0"/>
                <w:szCs w:val="24"/>
                <w:lang w:eastAsia="en-IN"/>
                <w14:ligatures w14:val="none"/>
              </w:rPr>
              <w:t>10</w:t>
            </w:r>
          </w:p>
        </w:tc>
      </w:tr>
      <w:tr w:rsidR="00A56760" w:rsidRPr="00A85D2D" w14:paraId="2A7435DF" w14:textId="77777777" w:rsidTr="00A85D2D">
        <w:trPr>
          <w:trHeight w:val="384"/>
          <w:jc w:val="center"/>
        </w:trPr>
        <w:tc>
          <w:tcPr>
            <w:tcW w:w="2158" w:type="dxa"/>
            <w:tcBorders>
              <w:top w:val="nil"/>
              <w:left w:val="single" w:sz="4" w:space="0" w:color="auto"/>
              <w:bottom w:val="single" w:sz="4" w:space="0" w:color="auto"/>
              <w:right w:val="single" w:sz="4" w:space="0" w:color="auto"/>
            </w:tcBorders>
            <w:shd w:val="clear" w:color="000000" w:fill="FFFFFF"/>
            <w:vAlign w:val="center"/>
            <w:hideMark/>
          </w:tcPr>
          <w:p w14:paraId="6E24FF94" w14:textId="77777777" w:rsidR="00A56760" w:rsidRPr="00A85D2D" w:rsidRDefault="00A56760" w:rsidP="00B77C0B">
            <w:pPr>
              <w:spacing w:after="0" w:line="240" w:lineRule="auto"/>
              <w:ind w:firstLineChars="100" w:firstLine="240"/>
              <w:rPr>
                <w:rFonts w:ascii="Times New Roman" w:eastAsia="Times New Roman" w:hAnsi="Times New Roman" w:cs="Times New Roman"/>
                <w:color w:val="1A1C1E"/>
                <w:kern w:val="0"/>
                <w:szCs w:val="24"/>
                <w:lang w:eastAsia="en-IN"/>
                <w14:ligatures w14:val="none"/>
              </w:rPr>
            </w:pPr>
            <w:r w:rsidRPr="00A85D2D">
              <w:rPr>
                <w:rFonts w:ascii="Times New Roman" w:eastAsia="Times New Roman" w:hAnsi="Times New Roman" w:cs="Times New Roman"/>
                <w:color w:val="1A1C1E"/>
                <w:kern w:val="0"/>
                <w:szCs w:val="24"/>
                <w:lang w:eastAsia="en-IN"/>
                <w14:ligatures w14:val="none"/>
              </w:rPr>
              <w:t>Uttar Pradesh</w:t>
            </w:r>
          </w:p>
        </w:tc>
        <w:tc>
          <w:tcPr>
            <w:tcW w:w="1763" w:type="dxa"/>
            <w:tcBorders>
              <w:top w:val="nil"/>
              <w:left w:val="nil"/>
              <w:bottom w:val="single" w:sz="4" w:space="0" w:color="auto"/>
              <w:right w:val="single" w:sz="4" w:space="0" w:color="auto"/>
            </w:tcBorders>
            <w:shd w:val="clear" w:color="000000" w:fill="FFFFFF"/>
            <w:vAlign w:val="center"/>
            <w:hideMark/>
          </w:tcPr>
          <w:p w14:paraId="1C6DB4DF" w14:textId="77777777" w:rsidR="00A56760" w:rsidRPr="00A85D2D" w:rsidRDefault="00A56760" w:rsidP="00B77C0B">
            <w:pPr>
              <w:spacing w:after="0" w:line="240" w:lineRule="auto"/>
              <w:ind w:firstLineChars="100" w:firstLine="240"/>
              <w:rPr>
                <w:rFonts w:ascii="Times New Roman" w:eastAsia="Times New Roman" w:hAnsi="Times New Roman" w:cs="Times New Roman"/>
                <w:color w:val="1A1C1E"/>
                <w:kern w:val="0"/>
                <w:szCs w:val="24"/>
                <w:lang w:eastAsia="en-IN"/>
                <w14:ligatures w14:val="none"/>
              </w:rPr>
            </w:pPr>
            <w:r w:rsidRPr="00A85D2D">
              <w:rPr>
                <w:rFonts w:ascii="Times New Roman" w:eastAsia="Times New Roman" w:hAnsi="Times New Roman" w:cs="Times New Roman"/>
                <w:color w:val="1A1C1E"/>
                <w:kern w:val="0"/>
                <w:szCs w:val="24"/>
                <w:lang w:eastAsia="en-IN"/>
                <w14:ligatures w14:val="none"/>
              </w:rPr>
              <w:t>28</w:t>
            </w:r>
          </w:p>
        </w:tc>
        <w:tc>
          <w:tcPr>
            <w:tcW w:w="2236" w:type="dxa"/>
            <w:tcBorders>
              <w:top w:val="nil"/>
              <w:left w:val="nil"/>
              <w:bottom w:val="single" w:sz="4" w:space="0" w:color="auto"/>
              <w:right w:val="single" w:sz="4" w:space="0" w:color="auto"/>
            </w:tcBorders>
            <w:shd w:val="clear" w:color="000000" w:fill="FFFFFF"/>
            <w:vAlign w:val="center"/>
            <w:hideMark/>
          </w:tcPr>
          <w:p w14:paraId="37C09C43" w14:textId="77777777" w:rsidR="00A56760" w:rsidRPr="00A85D2D" w:rsidRDefault="00A56760" w:rsidP="00B77C0B">
            <w:pPr>
              <w:spacing w:after="0" w:line="240" w:lineRule="auto"/>
              <w:ind w:firstLineChars="100" w:firstLine="240"/>
              <w:rPr>
                <w:rFonts w:ascii="Times New Roman" w:eastAsia="Times New Roman" w:hAnsi="Times New Roman" w:cs="Times New Roman"/>
                <w:color w:val="1A1C1E"/>
                <w:kern w:val="0"/>
                <w:szCs w:val="24"/>
                <w:lang w:eastAsia="en-IN"/>
                <w14:ligatures w14:val="none"/>
              </w:rPr>
            </w:pPr>
            <w:r w:rsidRPr="00A85D2D">
              <w:rPr>
                <w:rFonts w:ascii="Times New Roman" w:eastAsia="Times New Roman" w:hAnsi="Times New Roman" w:cs="Times New Roman"/>
                <w:color w:val="1A1C1E"/>
                <w:kern w:val="0"/>
                <w:szCs w:val="24"/>
                <w:lang w:eastAsia="en-IN"/>
                <w14:ligatures w14:val="none"/>
              </w:rPr>
              <w:t>N.A.</w:t>
            </w:r>
          </w:p>
        </w:tc>
        <w:tc>
          <w:tcPr>
            <w:tcW w:w="2142" w:type="dxa"/>
            <w:tcBorders>
              <w:top w:val="nil"/>
              <w:left w:val="nil"/>
              <w:bottom w:val="single" w:sz="4" w:space="0" w:color="auto"/>
              <w:right w:val="single" w:sz="4" w:space="0" w:color="auto"/>
            </w:tcBorders>
            <w:shd w:val="clear" w:color="000000" w:fill="FFFFFF"/>
            <w:vAlign w:val="center"/>
            <w:hideMark/>
          </w:tcPr>
          <w:p w14:paraId="73379A97" w14:textId="77777777" w:rsidR="00A56760" w:rsidRPr="00A85D2D" w:rsidRDefault="00A56760" w:rsidP="00B77C0B">
            <w:pPr>
              <w:spacing w:after="0" w:line="240" w:lineRule="auto"/>
              <w:ind w:firstLineChars="100" w:firstLine="240"/>
              <w:rPr>
                <w:rFonts w:ascii="Times New Roman" w:eastAsia="Times New Roman" w:hAnsi="Times New Roman" w:cs="Times New Roman"/>
                <w:color w:val="1A1C1E"/>
                <w:kern w:val="0"/>
                <w:szCs w:val="24"/>
                <w:lang w:eastAsia="en-IN"/>
                <w14:ligatures w14:val="none"/>
              </w:rPr>
            </w:pPr>
            <w:r w:rsidRPr="00A85D2D">
              <w:rPr>
                <w:rFonts w:ascii="Times New Roman" w:eastAsia="Times New Roman" w:hAnsi="Times New Roman" w:cs="Times New Roman"/>
                <w:color w:val="1A1C1E"/>
                <w:kern w:val="0"/>
                <w:szCs w:val="24"/>
                <w:lang w:eastAsia="en-IN"/>
                <w14:ligatures w14:val="none"/>
              </w:rPr>
              <w:t>N.A.</w:t>
            </w:r>
          </w:p>
        </w:tc>
        <w:tc>
          <w:tcPr>
            <w:tcW w:w="2316" w:type="dxa"/>
            <w:tcBorders>
              <w:top w:val="nil"/>
              <w:left w:val="nil"/>
              <w:bottom w:val="single" w:sz="4" w:space="0" w:color="auto"/>
              <w:right w:val="single" w:sz="4" w:space="0" w:color="auto"/>
            </w:tcBorders>
            <w:shd w:val="clear" w:color="000000" w:fill="FFFFFF"/>
            <w:vAlign w:val="center"/>
            <w:hideMark/>
          </w:tcPr>
          <w:p w14:paraId="37329468" w14:textId="77777777" w:rsidR="00A56760" w:rsidRPr="00A85D2D" w:rsidRDefault="00A56760" w:rsidP="00B77C0B">
            <w:pPr>
              <w:spacing w:after="0" w:line="240" w:lineRule="auto"/>
              <w:ind w:firstLineChars="100" w:firstLine="240"/>
              <w:rPr>
                <w:rFonts w:ascii="Times New Roman" w:eastAsia="Times New Roman" w:hAnsi="Times New Roman" w:cs="Times New Roman"/>
                <w:color w:val="1A1C1E"/>
                <w:kern w:val="0"/>
                <w:szCs w:val="24"/>
                <w:lang w:eastAsia="en-IN"/>
                <w14:ligatures w14:val="none"/>
              </w:rPr>
            </w:pPr>
            <w:r w:rsidRPr="00A85D2D">
              <w:rPr>
                <w:rFonts w:ascii="Times New Roman" w:eastAsia="Times New Roman" w:hAnsi="Times New Roman" w:cs="Times New Roman"/>
                <w:color w:val="1A1C1E"/>
                <w:kern w:val="0"/>
                <w:szCs w:val="24"/>
                <w:lang w:eastAsia="en-IN"/>
                <w14:ligatures w14:val="none"/>
              </w:rPr>
              <w:t>21</w:t>
            </w:r>
          </w:p>
        </w:tc>
      </w:tr>
      <w:tr w:rsidR="00A56760" w:rsidRPr="00A85D2D" w14:paraId="2F31F005" w14:textId="77777777" w:rsidTr="00A85D2D">
        <w:trPr>
          <w:trHeight w:val="265"/>
          <w:jc w:val="center"/>
        </w:trPr>
        <w:tc>
          <w:tcPr>
            <w:tcW w:w="2158" w:type="dxa"/>
            <w:tcBorders>
              <w:top w:val="nil"/>
              <w:left w:val="single" w:sz="4" w:space="0" w:color="auto"/>
              <w:bottom w:val="single" w:sz="4" w:space="0" w:color="auto"/>
              <w:right w:val="single" w:sz="4" w:space="0" w:color="auto"/>
            </w:tcBorders>
            <w:shd w:val="clear" w:color="000000" w:fill="FFFFFF"/>
            <w:vAlign w:val="center"/>
            <w:hideMark/>
          </w:tcPr>
          <w:p w14:paraId="4743688E" w14:textId="77777777" w:rsidR="00A56760" w:rsidRPr="00A85D2D" w:rsidRDefault="00A56760" w:rsidP="00B77C0B">
            <w:pPr>
              <w:spacing w:after="0" w:line="240" w:lineRule="auto"/>
              <w:ind w:firstLineChars="100" w:firstLine="240"/>
              <w:rPr>
                <w:rFonts w:ascii="Times New Roman" w:eastAsia="Times New Roman" w:hAnsi="Times New Roman" w:cs="Times New Roman"/>
                <w:color w:val="1A1C1E"/>
                <w:kern w:val="0"/>
                <w:szCs w:val="24"/>
                <w:lang w:eastAsia="en-IN"/>
                <w14:ligatures w14:val="none"/>
              </w:rPr>
            </w:pPr>
            <w:r w:rsidRPr="00A85D2D">
              <w:rPr>
                <w:rFonts w:ascii="Times New Roman" w:eastAsia="Times New Roman" w:hAnsi="Times New Roman" w:cs="Times New Roman"/>
                <w:color w:val="1A1C1E"/>
                <w:kern w:val="0"/>
                <w:szCs w:val="24"/>
                <w:lang w:eastAsia="en-IN"/>
                <w14:ligatures w14:val="none"/>
              </w:rPr>
              <w:t>West Bengal</w:t>
            </w:r>
          </w:p>
        </w:tc>
        <w:tc>
          <w:tcPr>
            <w:tcW w:w="1763" w:type="dxa"/>
            <w:tcBorders>
              <w:top w:val="nil"/>
              <w:left w:val="nil"/>
              <w:bottom w:val="single" w:sz="4" w:space="0" w:color="auto"/>
              <w:right w:val="single" w:sz="4" w:space="0" w:color="auto"/>
            </w:tcBorders>
            <w:shd w:val="clear" w:color="000000" w:fill="FFFFFF"/>
            <w:vAlign w:val="center"/>
            <w:hideMark/>
          </w:tcPr>
          <w:p w14:paraId="000EE070" w14:textId="77777777" w:rsidR="00A56760" w:rsidRPr="00A85D2D" w:rsidRDefault="00A56760" w:rsidP="00B77C0B">
            <w:pPr>
              <w:spacing w:after="0" w:line="240" w:lineRule="auto"/>
              <w:ind w:firstLineChars="100" w:firstLine="240"/>
              <w:rPr>
                <w:rFonts w:ascii="Times New Roman" w:eastAsia="Times New Roman" w:hAnsi="Times New Roman" w:cs="Times New Roman"/>
                <w:color w:val="1A1C1E"/>
                <w:kern w:val="0"/>
                <w:szCs w:val="24"/>
                <w:lang w:eastAsia="en-IN"/>
                <w14:ligatures w14:val="none"/>
              </w:rPr>
            </w:pPr>
            <w:r w:rsidRPr="00A85D2D">
              <w:rPr>
                <w:rFonts w:ascii="Times New Roman" w:eastAsia="Times New Roman" w:hAnsi="Times New Roman" w:cs="Times New Roman"/>
                <w:color w:val="1A1C1E"/>
                <w:kern w:val="0"/>
                <w:szCs w:val="24"/>
                <w:lang w:eastAsia="en-IN"/>
                <w14:ligatures w14:val="none"/>
              </w:rPr>
              <w:t>27.0</w:t>
            </w:r>
          </w:p>
        </w:tc>
        <w:tc>
          <w:tcPr>
            <w:tcW w:w="2236" w:type="dxa"/>
            <w:tcBorders>
              <w:top w:val="nil"/>
              <w:left w:val="nil"/>
              <w:bottom w:val="single" w:sz="4" w:space="0" w:color="auto"/>
              <w:right w:val="single" w:sz="4" w:space="0" w:color="auto"/>
            </w:tcBorders>
            <w:shd w:val="clear" w:color="000000" w:fill="FFFFFF"/>
            <w:vAlign w:val="center"/>
            <w:hideMark/>
          </w:tcPr>
          <w:p w14:paraId="55C4DBCA" w14:textId="77777777" w:rsidR="00A56760" w:rsidRPr="00A85D2D" w:rsidRDefault="00A56760" w:rsidP="00B77C0B">
            <w:pPr>
              <w:spacing w:after="0" w:line="240" w:lineRule="auto"/>
              <w:ind w:firstLineChars="100" w:firstLine="240"/>
              <w:rPr>
                <w:rFonts w:ascii="Times New Roman" w:eastAsia="Times New Roman" w:hAnsi="Times New Roman" w:cs="Times New Roman"/>
                <w:color w:val="1A1C1E"/>
                <w:kern w:val="0"/>
                <w:szCs w:val="24"/>
                <w:lang w:eastAsia="en-IN"/>
                <w14:ligatures w14:val="none"/>
              </w:rPr>
            </w:pPr>
            <w:r w:rsidRPr="00A85D2D">
              <w:rPr>
                <w:rFonts w:ascii="Times New Roman" w:eastAsia="Times New Roman" w:hAnsi="Times New Roman" w:cs="Times New Roman"/>
                <w:color w:val="1A1C1E"/>
                <w:kern w:val="0"/>
                <w:szCs w:val="24"/>
                <w:lang w:eastAsia="en-IN"/>
                <w14:ligatures w14:val="none"/>
              </w:rPr>
              <w:t>12.0</w:t>
            </w:r>
          </w:p>
        </w:tc>
        <w:tc>
          <w:tcPr>
            <w:tcW w:w="2142" w:type="dxa"/>
            <w:tcBorders>
              <w:top w:val="nil"/>
              <w:left w:val="nil"/>
              <w:bottom w:val="single" w:sz="4" w:space="0" w:color="auto"/>
              <w:right w:val="single" w:sz="4" w:space="0" w:color="auto"/>
            </w:tcBorders>
            <w:shd w:val="clear" w:color="000000" w:fill="FFFFFF"/>
            <w:vAlign w:val="center"/>
            <w:hideMark/>
          </w:tcPr>
          <w:p w14:paraId="7C30A993" w14:textId="77777777" w:rsidR="00A56760" w:rsidRPr="00A85D2D" w:rsidRDefault="00A56760" w:rsidP="00B77C0B">
            <w:pPr>
              <w:spacing w:after="0" w:line="240" w:lineRule="auto"/>
              <w:ind w:firstLineChars="100" w:firstLine="240"/>
              <w:rPr>
                <w:rFonts w:ascii="Times New Roman" w:eastAsia="Times New Roman" w:hAnsi="Times New Roman" w:cs="Times New Roman"/>
                <w:color w:val="1A1C1E"/>
                <w:kern w:val="0"/>
                <w:szCs w:val="24"/>
                <w:lang w:eastAsia="en-IN"/>
                <w14:ligatures w14:val="none"/>
              </w:rPr>
            </w:pPr>
            <w:r w:rsidRPr="00A85D2D">
              <w:rPr>
                <w:rFonts w:ascii="Times New Roman" w:eastAsia="Times New Roman" w:hAnsi="Times New Roman" w:cs="Times New Roman"/>
                <w:color w:val="1A1C1E"/>
                <w:kern w:val="0"/>
                <w:szCs w:val="24"/>
                <w:lang w:eastAsia="en-IN"/>
                <w14:ligatures w14:val="none"/>
              </w:rPr>
              <w:t>27.0</w:t>
            </w:r>
          </w:p>
        </w:tc>
        <w:tc>
          <w:tcPr>
            <w:tcW w:w="2316" w:type="dxa"/>
            <w:tcBorders>
              <w:top w:val="nil"/>
              <w:left w:val="nil"/>
              <w:bottom w:val="single" w:sz="4" w:space="0" w:color="auto"/>
              <w:right w:val="single" w:sz="4" w:space="0" w:color="auto"/>
            </w:tcBorders>
            <w:shd w:val="clear" w:color="000000" w:fill="FFFFFF"/>
            <w:vAlign w:val="center"/>
            <w:hideMark/>
          </w:tcPr>
          <w:p w14:paraId="71E66808" w14:textId="77777777" w:rsidR="00A56760" w:rsidRPr="00A85D2D" w:rsidRDefault="00A56760" w:rsidP="00B77C0B">
            <w:pPr>
              <w:spacing w:after="0" w:line="240" w:lineRule="auto"/>
              <w:ind w:firstLineChars="100" w:firstLine="240"/>
              <w:rPr>
                <w:rFonts w:ascii="Times New Roman" w:eastAsia="Times New Roman" w:hAnsi="Times New Roman" w:cs="Times New Roman"/>
                <w:color w:val="1A1C1E"/>
                <w:kern w:val="0"/>
                <w:szCs w:val="24"/>
                <w:lang w:eastAsia="en-IN"/>
                <w14:ligatures w14:val="none"/>
              </w:rPr>
            </w:pPr>
            <w:r w:rsidRPr="00A85D2D">
              <w:rPr>
                <w:rFonts w:ascii="Times New Roman" w:eastAsia="Times New Roman" w:hAnsi="Times New Roman" w:cs="Times New Roman"/>
                <w:color w:val="1A1C1E"/>
                <w:kern w:val="0"/>
                <w:szCs w:val="24"/>
                <w:lang w:eastAsia="en-IN"/>
                <w14:ligatures w14:val="none"/>
              </w:rPr>
              <w:t>15.0</w:t>
            </w:r>
          </w:p>
        </w:tc>
      </w:tr>
    </w:tbl>
    <w:p w14:paraId="6FA809E8" w14:textId="77777777" w:rsidR="00A56760" w:rsidRPr="007245B0" w:rsidRDefault="00A56760" w:rsidP="00A85D2D">
      <w:pPr>
        <w:pStyle w:val="Sources"/>
      </w:pPr>
      <w:r w:rsidRPr="007245B0">
        <w:rPr>
          <w:b/>
          <w:bCs/>
        </w:rPr>
        <w:t>(a)</w:t>
      </w:r>
      <w:r w:rsidRPr="007245B0">
        <w:t> If the loan or debt is repayable within three months from the date of agreement.</w:t>
      </w:r>
    </w:p>
    <w:p w14:paraId="1C910F08" w14:textId="77777777" w:rsidR="00A56760" w:rsidRPr="007245B0" w:rsidRDefault="00A56760" w:rsidP="00A85D2D">
      <w:pPr>
        <w:pStyle w:val="Sources"/>
      </w:pPr>
      <w:r w:rsidRPr="007245B0">
        <w:rPr>
          <w:b/>
          <w:bCs/>
        </w:rPr>
        <w:t>(b)</w:t>
      </w:r>
      <w:r w:rsidRPr="007245B0">
        <w:t> Rs. 50 to 60 for immovable property.</w:t>
      </w:r>
    </w:p>
    <w:p w14:paraId="03FA623A" w14:textId="77777777" w:rsidR="00A56760" w:rsidRPr="007245B0" w:rsidRDefault="00A56760" w:rsidP="00A85D2D">
      <w:pPr>
        <w:pStyle w:val="Sources"/>
      </w:pPr>
      <w:r w:rsidRPr="007245B0">
        <w:rPr>
          <w:b/>
          <w:bCs/>
        </w:rPr>
        <w:t>(c)</w:t>
      </w:r>
      <w:r w:rsidRPr="007245B0">
        <w:t> Rs. 100 for immovable property.</w:t>
      </w:r>
    </w:p>
    <w:p w14:paraId="37970704" w14:textId="77777777" w:rsidR="00A56760" w:rsidRPr="007245B0" w:rsidRDefault="00A56760" w:rsidP="00A85D2D">
      <w:pPr>
        <w:pStyle w:val="Sources"/>
      </w:pPr>
      <w:r w:rsidRPr="007245B0">
        <w:rPr>
          <w:b/>
          <w:bCs/>
        </w:rPr>
        <w:t>(d)</w:t>
      </w:r>
      <w:r w:rsidRPr="007245B0">
        <w:t> Rs. 60 for immovable property.</w:t>
      </w:r>
    </w:p>
    <w:p w14:paraId="37F4E3EB" w14:textId="77777777" w:rsidR="00A56760" w:rsidRPr="007245B0" w:rsidRDefault="00A56760" w:rsidP="00A85D2D">
      <w:pPr>
        <w:pStyle w:val="Sources"/>
      </w:pPr>
      <w:r w:rsidRPr="007245B0">
        <w:rPr>
          <w:b/>
          <w:bCs/>
        </w:rPr>
        <w:t>(e)</w:t>
      </w:r>
      <w:r w:rsidRPr="007245B0">
        <w:t> Rs. 50 to 100 for immovable property in urban areas.</w:t>
      </w:r>
    </w:p>
    <w:p w14:paraId="48D88271" w14:textId="77777777" w:rsidR="00A56760" w:rsidRPr="007245B0" w:rsidRDefault="00A56760" w:rsidP="00A85D2D">
      <w:pPr>
        <w:pStyle w:val="Sources"/>
      </w:pPr>
      <w:r w:rsidRPr="007245B0">
        <w:rPr>
          <w:b/>
          <w:bCs/>
        </w:rPr>
        <w:t>Source:</w:t>
      </w:r>
      <w:r w:rsidRPr="007245B0">
        <w:t> Information furnished by the State Governments to the Fifth Finance Commission.</w:t>
      </w:r>
    </w:p>
    <w:p w14:paraId="61DB40EC" w14:textId="77777777" w:rsidR="00712DC0" w:rsidRPr="007245B0" w:rsidRDefault="00712DC0" w:rsidP="00712DC0">
      <w:pPr>
        <w:spacing w:after="0"/>
        <w:rPr>
          <w:rFonts w:ascii="Times New Roman" w:hAnsi="Times New Roman" w:cs="Times New Roman"/>
          <w:szCs w:val="24"/>
        </w:rPr>
      </w:pPr>
    </w:p>
    <w:p w14:paraId="4DA05ACF" w14:textId="77777777" w:rsidR="00EB0BC0" w:rsidRPr="007245B0" w:rsidRDefault="00EB0BC0" w:rsidP="00EB0BC0">
      <w:pPr>
        <w:spacing w:after="0"/>
        <w:rPr>
          <w:rFonts w:ascii="Times New Roman" w:hAnsi="Times New Roman" w:cs="Times New Roman"/>
          <w:b/>
          <w:bCs/>
          <w:szCs w:val="24"/>
        </w:rPr>
        <w:sectPr w:rsidR="00EB0BC0" w:rsidRPr="007245B0" w:rsidSect="00DE7403">
          <w:pgSz w:w="12240" w:h="15840"/>
          <w:pgMar w:top="992" w:right="1440" w:bottom="1440" w:left="1440" w:header="720" w:footer="720" w:gutter="0"/>
          <w:cols w:space="720"/>
        </w:sectPr>
      </w:pPr>
    </w:p>
    <w:p w14:paraId="4B498298" w14:textId="77777777" w:rsidR="006935D2" w:rsidRDefault="00574BCE" w:rsidP="00A85D2D">
      <w:pPr>
        <w:pStyle w:val="Heading4"/>
      </w:pPr>
      <w:bookmarkStart w:id="111" w:name="_Toc220949707"/>
      <w:bookmarkStart w:id="112" w:name="_Toc221114307"/>
      <w:bookmarkStart w:id="113" w:name="_Toc221115330"/>
      <w:r>
        <w:lastRenderedPageBreak/>
        <w:t>Table</w:t>
      </w:r>
      <w:r w:rsidR="00EB0BC0" w:rsidRPr="00715545">
        <w:t xml:space="preserve"> 26: Rates of tax on motor vehicles</w:t>
      </w:r>
      <w:bookmarkEnd w:id="112"/>
      <w:bookmarkEnd w:id="113"/>
      <w:r w:rsidR="00EB0BC0" w:rsidRPr="00715545">
        <w:t xml:space="preserve"> </w:t>
      </w:r>
    </w:p>
    <w:p w14:paraId="459C6CA8" w14:textId="6932573C" w:rsidR="00EB0BC0" w:rsidRPr="006935D2" w:rsidRDefault="00EB0BC0" w:rsidP="006935D2">
      <w:pPr>
        <w:jc w:val="center"/>
        <w:rPr>
          <w:rFonts w:ascii="Times New Roman" w:hAnsi="Times New Roman" w:cs="Times New Roman"/>
        </w:rPr>
      </w:pPr>
      <w:r w:rsidRPr="006935D2">
        <w:rPr>
          <w:rFonts w:ascii="Times New Roman" w:hAnsi="Times New Roman" w:cs="Times New Roman"/>
        </w:rPr>
        <w:t>(annual): 1967-68</w:t>
      </w:r>
      <w:bookmarkEnd w:id="111"/>
    </w:p>
    <w:tbl>
      <w:tblPr>
        <w:tblW w:w="13001" w:type="dxa"/>
        <w:jc w:val="center"/>
        <w:tblLook w:val="04A0" w:firstRow="1" w:lastRow="0" w:firstColumn="1" w:lastColumn="0" w:noHBand="0" w:noVBand="1"/>
      </w:tblPr>
      <w:tblGrid>
        <w:gridCol w:w="1609"/>
        <w:gridCol w:w="2846"/>
        <w:gridCol w:w="3342"/>
        <w:gridCol w:w="2722"/>
        <w:gridCol w:w="2482"/>
      </w:tblGrid>
      <w:tr w:rsidR="00EB0BC0" w:rsidRPr="00715545" w14:paraId="304655BC" w14:textId="77777777" w:rsidTr="00A85D2D">
        <w:trPr>
          <w:trHeight w:val="20"/>
          <w:jc w:val="center"/>
        </w:trPr>
        <w:tc>
          <w:tcPr>
            <w:tcW w:w="160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D013204" w14:textId="33D9C1E9" w:rsidR="00A85D2D" w:rsidRPr="00715545" w:rsidRDefault="00EB0BC0" w:rsidP="00B77C0B">
            <w:pPr>
              <w:pStyle w:val="NoSpacing"/>
              <w:rPr>
                <w:rFonts w:ascii="Times New Roman" w:hAnsi="Times New Roman" w:cs="Times New Roman"/>
                <w:b/>
                <w:bCs/>
                <w:szCs w:val="24"/>
                <w:lang w:eastAsia="en-IN"/>
              </w:rPr>
            </w:pPr>
            <w:r w:rsidRPr="00715545">
              <w:rPr>
                <w:rFonts w:ascii="Times New Roman" w:hAnsi="Times New Roman" w:cs="Times New Roman"/>
                <w:b/>
                <w:bCs/>
                <w:szCs w:val="24"/>
                <w:lang w:eastAsia="en-IN"/>
              </w:rPr>
              <w:t>States</w:t>
            </w:r>
          </w:p>
        </w:tc>
        <w:tc>
          <w:tcPr>
            <w:tcW w:w="6188" w:type="dxa"/>
            <w:gridSpan w:val="2"/>
            <w:tcBorders>
              <w:top w:val="single" w:sz="4" w:space="0" w:color="auto"/>
              <w:left w:val="nil"/>
              <w:bottom w:val="single" w:sz="4" w:space="0" w:color="auto"/>
              <w:right w:val="single" w:sz="4" w:space="0" w:color="000000"/>
            </w:tcBorders>
            <w:shd w:val="clear" w:color="000000" w:fill="FFFFFF"/>
            <w:vAlign w:val="center"/>
            <w:hideMark/>
          </w:tcPr>
          <w:p w14:paraId="51E873C8" w14:textId="5C031121" w:rsidR="00EB0BC0" w:rsidRPr="00715545" w:rsidRDefault="00EB0BC0" w:rsidP="00005093">
            <w:pPr>
              <w:pStyle w:val="NoSpacing"/>
              <w:jc w:val="center"/>
              <w:rPr>
                <w:rFonts w:ascii="Times New Roman" w:hAnsi="Times New Roman" w:cs="Times New Roman"/>
                <w:b/>
                <w:bCs/>
                <w:szCs w:val="24"/>
                <w:lang w:eastAsia="en-IN"/>
              </w:rPr>
            </w:pPr>
            <w:r w:rsidRPr="00715545">
              <w:rPr>
                <w:rFonts w:ascii="Times New Roman" w:hAnsi="Times New Roman" w:cs="Times New Roman"/>
                <w:b/>
                <w:bCs/>
                <w:szCs w:val="24"/>
                <w:lang w:eastAsia="en-IN"/>
              </w:rPr>
              <w:t>Goods vehicles</w:t>
            </w:r>
          </w:p>
        </w:tc>
        <w:tc>
          <w:tcPr>
            <w:tcW w:w="2722"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14:paraId="5DAE9F90" w14:textId="77777777" w:rsidR="00EB0BC0" w:rsidRPr="00715545" w:rsidRDefault="00EB0BC0" w:rsidP="00B77C0B">
            <w:pPr>
              <w:pStyle w:val="NoSpacing"/>
              <w:rPr>
                <w:rFonts w:ascii="Times New Roman" w:hAnsi="Times New Roman" w:cs="Times New Roman"/>
                <w:b/>
                <w:bCs/>
                <w:szCs w:val="24"/>
                <w:lang w:eastAsia="en-IN"/>
              </w:rPr>
            </w:pPr>
            <w:r w:rsidRPr="00715545">
              <w:rPr>
                <w:rFonts w:ascii="Times New Roman" w:hAnsi="Times New Roman" w:cs="Times New Roman"/>
                <w:b/>
                <w:bCs/>
                <w:szCs w:val="24"/>
                <w:lang w:eastAsia="en-IN"/>
              </w:rPr>
              <w:t>Public service vehicles (highest category passenger vehicles plying for hire)</w:t>
            </w:r>
          </w:p>
        </w:tc>
        <w:tc>
          <w:tcPr>
            <w:tcW w:w="2482"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14:paraId="0F2C4456" w14:textId="77777777" w:rsidR="00EB0BC0" w:rsidRPr="00715545" w:rsidRDefault="00EB0BC0" w:rsidP="00B77C0B">
            <w:pPr>
              <w:pStyle w:val="NoSpacing"/>
              <w:rPr>
                <w:rFonts w:ascii="Times New Roman" w:hAnsi="Times New Roman" w:cs="Times New Roman"/>
                <w:b/>
                <w:bCs/>
                <w:szCs w:val="24"/>
                <w:lang w:eastAsia="en-IN"/>
              </w:rPr>
            </w:pPr>
            <w:r w:rsidRPr="00715545">
              <w:rPr>
                <w:rFonts w:ascii="Times New Roman" w:hAnsi="Times New Roman" w:cs="Times New Roman"/>
                <w:b/>
                <w:bCs/>
                <w:szCs w:val="24"/>
                <w:lang w:eastAsia="en-IN"/>
              </w:rPr>
              <w:t>Private cars with unladen weight upto 1000 Kg and kept for personal use</w:t>
            </w:r>
          </w:p>
        </w:tc>
      </w:tr>
      <w:tr w:rsidR="00EB0BC0" w:rsidRPr="00715545" w14:paraId="1DE82AEC" w14:textId="77777777" w:rsidTr="00A85D2D">
        <w:trPr>
          <w:trHeight w:val="20"/>
          <w:jc w:val="center"/>
        </w:trPr>
        <w:tc>
          <w:tcPr>
            <w:tcW w:w="1609" w:type="dxa"/>
            <w:tcBorders>
              <w:top w:val="nil"/>
              <w:left w:val="single" w:sz="4" w:space="0" w:color="auto"/>
              <w:bottom w:val="single" w:sz="4" w:space="0" w:color="auto"/>
              <w:right w:val="single" w:sz="4" w:space="0" w:color="auto"/>
            </w:tcBorders>
            <w:shd w:val="clear" w:color="000000" w:fill="FFFFFF"/>
            <w:vAlign w:val="center"/>
            <w:hideMark/>
          </w:tcPr>
          <w:p w14:paraId="1553D382" w14:textId="77777777" w:rsidR="00EB0BC0" w:rsidRPr="00715545" w:rsidRDefault="00EB0BC0" w:rsidP="00B77C0B">
            <w:pPr>
              <w:pStyle w:val="NoSpacing"/>
              <w:rPr>
                <w:rFonts w:ascii="Times New Roman" w:hAnsi="Times New Roman" w:cs="Times New Roman"/>
                <w:b/>
                <w:bCs/>
                <w:szCs w:val="24"/>
                <w:lang w:eastAsia="en-IN"/>
              </w:rPr>
            </w:pPr>
            <w:r w:rsidRPr="00715545">
              <w:rPr>
                <w:rFonts w:ascii="Times New Roman" w:hAnsi="Times New Roman" w:cs="Times New Roman"/>
                <w:b/>
                <w:bCs/>
                <w:szCs w:val="24"/>
                <w:lang w:eastAsia="en-IN"/>
              </w:rPr>
              <w:t> </w:t>
            </w:r>
          </w:p>
        </w:tc>
        <w:tc>
          <w:tcPr>
            <w:tcW w:w="2846" w:type="dxa"/>
            <w:tcBorders>
              <w:top w:val="nil"/>
              <w:left w:val="nil"/>
              <w:bottom w:val="single" w:sz="4" w:space="0" w:color="auto"/>
              <w:right w:val="single" w:sz="4" w:space="0" w:color="auto"/>
            </w:tcBorders>
            <w:shd w:val="clear" w:color="000000" w:fill="FFFFFF"/>
            <w:vAlign w:val="center"/>
            <w:hideMark/>
          </w:tcPr>
          <w:p w14:paraId="4BE5DD45" w14:textId="77777777" w:rsidR="00EB0BC0" w:rsidRPr="00715545" w:rsidRDefault="00EB0BC0" w:rsidP="00B77C0B">
            <w:pPr>
              <w:pStyle w:val="NoSpacing"/>
              <w:rPr>
                <w:rFonts w:ascii="Times New Roman" w:hAnsi="Times New Roman" w:cs="Times New Roman"/>
                <w:b/>
                <w:bCs/>
                <w:szCs w:val="24"/>
                <w:lang w:eastAsia="en-IN"/>
              </w:rPr>
            </w:pPr>
            <w:r w:rsidRPr="00715545">
              <w:rPr>
                <w:rFonts w:ascii="Times New Roman" w:hAnsi="Times New Roman" w:cs="Times New Roman"/>
                <w:b/>
                <w:bCs/>
                <w:szCs w:val="24"/>
                <w:lang w:eastAsia="en-IN"/>
              </w:rPr>
              <w:t xml:space="preserve"> Smallest category</w:t>
            </w:r>
          </w:p>
        </w:tc>
        <w:tc>
          <w:tcPr>
            <w:tcW w:w="3342" w:type="dxa"/>
            <w:tcBorders>
              <w:top w:val="nil"/>
              <w:left w:val="nil"/>
              <w:bottom w:val="single" w:sz="4" w:space="0" w:color="auto"/>
              <w:right w:val="single" w:sz="4" w:space="0" w:color="auto"/>
            </w:tcBorders>
            <w:shd w:val="clear" w:color="000000" w:fill="FFFFFF"/>
            <w:vAlign w:val="center"/>
            <w:hideMark/>
          </w:tcPr>
          <w:p w14:paraId="4C667F00" w14:textId="77777777" w:rsidR="00EB0BC0" w:rsidRPr="00715545" w:rsidRDefault="00EB0BC0" w:rsidP="00B77C0B">
            <w:pPr>
              <w:pStyle w:val="NoSpacing"/>
              <w:rPr>
                <w:rFonts w:ascii="Times New Roman" w:hAnsi="Times New Roman" w:cs="Times New Roman"/>
                <w:b/>
                <w:bCs/>
                <w:szCs w:val="24"/>
                <w:lang w:eastAsia="en-IN"/>
              </w:rPr>
            </w:pPr>
            <w:r w:rsidRPr="00715545">
              <w:rPr>
                <w:rFonts w:ascii="Times New Roman" w:hAnsi="Times New Roman" w:cs="Times New Roman"/>
                <w:b/>
                <w:bCs/>
                <w:szCs w:val="24"/>
                <w:lang w:eastAsia="en-IN"/>
              </w:rPr>
              <w:t>For vehicles of 8000 Kg laden weight</w:t>
            </w:r>
          </w:p>
        </w:tc>
        <w:tc>
          <w:tcPr>
            <w:tcW w:w="2722" w:type="dxa"/>
            <w:vMerge/>
            <w:tcBorders>
              <w:top w:val="single" w:sz="4" w:space="0" w:color="auto"/>
              <w:left w:val="single" w:sz="4" w:space="0" w:color="auto"/>
              <w:bottom w:val="single" w:sz="4" w:space="0" w:color="000000"/>
              <w:right w:val="single" w:sz="4" w:space="0" w:color="auto"/>
            </w:tcBorders>
            <w:vAlign w:val="center"/>
            <w:hideMark/>
          </w:tcPr>
          <w:p w14:paraId="13230229" w14:textId="77777777" w:rsidR="00EB0BC0" w:rsidRPr="00715545" w:rsidRDefault="00EB0BC0" w:rsidP="00B77C0B">
            <w:pPr>
              <w:pStyle w:val="NoSpacing"/>
              <w:rPr>
                <w:rFonts w:ascii="Times New Roman" w:hAnsi="Times New Roman" w:cs="Times New Roman"/>
                <w:szCs w:val="24"/>
                <w:lang w:eastAsia="en-IN"/>
              </w:rPr>
            </w:pPr>
          </w:p>
        </w:tc>
        <w:tc>
          <w:tcPr>
            <w:tcW w:w="2482" w:type="dxa"/>
            <w:vMerge/>
            <w:tcBorders>
              <w:top w:val="single" w:sz="4" w:space="0" w:color="auto"/>
              <w:left w:val="single" w:sz="4" w:space="0" w:color="auto"/>
              <w:bottom w:val="single" w:sz="4" w:space="0" w:color="000000"/>
              <w:right w:val="single" w:sz="4" w:space="0" w:color="auto"/>
            </w:tcBorders>
            <w:vAlign w:val="center"/>
            <w:hideMark/>
          </w:tcPr>
          <w:p w14:paraId="4116AC98" w14:textId="77777777" w:rsidR="00EB0BC0" w:rsidRPr="00715545" w:rsidRDefault="00EB0BC0" w:rsidP="00B77C0B">
            <w:pPr>
              <w:pStyle w:val="NoSpacing"/>
              <w:rPr>
                <w:rFonts w:ascii="Times New Roman" w:hAnsi="Times New Roman" w:cs="Times New Roman"/>
                <w:szCs w:val="24"/>
                <w:lang w:eastAsia="en-IN"/>
              </w:rPr>
            </w:pPr>
          </w:p>
        </w:tc>
      </w:tr>
      <w:tr w:rsidR="00EB0BC0" w:rsidRPr="00715545" w14:paraId="347C8BB1" w14:textId="77777777" w:rsidTr="00A85D2D">
        <w:trPr>
          <w:trHeight w:val="20"/>
          <w:jc w:val="center"/>
        </w:trPr>
        <w:tc>
          <w:tcPr>
            <w:tcW w:w="1609" w:type="dxa"/>
            <w:tcBorders>
              <w:top w:val="nil"/>
              <w:left w:val="single" w:sz="4" w:space="0" w:color="auto"/>
              <w:bottom w:val="single" w:sz="4" w:space="0" w:color="auto"/>
              <w:right w:val="single" w:sz="4" w:space="0" w:color="auto"/>
            </w:tcBorders>
            <w:shd w:val="clear" w:color="000000" w:fill="FFFFFF"/>
            <w:vAlign w:val="center"/>
            <w:hideMark/>
          </w:tcPr>
          <w:p w14:paraId="6EC36231" w14:textId="77777777" w:rsidR="00EB0BC0" w:rsidRPr="00715545" w:rsidRDefault="00EB0BC0" w:rsidP="00005093">
            <w:pPr>
              <w:pStyle w:val="NoSpacing"/>
              <w:jc w:val="center"/>
              <w:rPr>
                <w:rFonts w:ascii="Times New Roman" w:hAnsi="Times New Roman" w:cs="Times New Roman"/>
                <w:szCs w:val="24"/>
                <w:lang w:eastAsia="en-IN"/>
              </w:rPr>
            </w:pPr>
            <w:r w:rsidRPr="00715545">
              <w:rPr>
                <w:rFonts w:ascii="Times New Roman" w:hAnsi="Times New Roman" w:cs="Times New Roman"/>
                <w:szCs w:val="24"/>
                <w:lang w:eastAsia="en-IN"/>
              </w:rPr>
              <w:t>1</w:t>
            </w:r>
          </w:p>
        </w:tc>
        <w:tc>
          <w:tcPr>
            <w:tcW w:w="2846" w:type="dxa"/>
            <w:tcBorders>
              <w:top w:val="nil"/>
              <w:left w:val="nil"/>
              <w:bottom w:val="single" w:sz="4" w:space="0" w:color="auto"/>
              <w:right w:val="single" w:sz="4" w:space="0" w:color="auto"/>
            </w:tcBorders>
            <w:shd w:val="clear" w:color="000000" w:fill="FFFFFF"/>
            <w:vAlign w:val="center"/>
            <w:hideMark/>
          </w:tcPr>
          <w:p w14:paraId="589AF66C" w14:textId="77777777" w:rsidR="00EB0BC0" w:rsidRPr="00715545" w:rsidRDefault="00EB0BC0" w:rsidP="00005093">
            <w:pPr>
              <w:pStyle w:val="NoSpacing"/>
              <w:jc w:val="center"/>
              <w:rPr>
                <w:rFonts w:ascii="Times New Roman" w:hAnsi="Times New Roman" w:cs="Times New Roman"/>
                <w:szCs w:val="24"/>
                <w:lang w:eastAsia="en-IN"/>
              </w:rPr>
            </w:pPr>
            <w:r w:rsidRPr="00715545">
              <w:rPr>
                <w:rFonts w:ascii="Times New Roman" w:hAnsi="Times New Roman" w:cs="Times New Roman"/>
                <w:szCs w:val="24"/>
                <w:lang w:eastAsia="en-IN"/>
              </w:rPr>
              <w:t>2</w:t>
            </w:r>
          </w:p>
        </w:tc>
        <w:tc>
          <w:tcPr>
            <w:tcW w:w="3342" w:type="dxa"/>
            <w:tcBorders>
              <w:top w:val="nil"/>
              <w:left w:val="nil"/>
              <w:bottom w:val="single" w:sz="4" w:space="0" w:color="auto"/>
              <w:right w:val="single" w:sz="4" w:space="0" w:color="auto"/>
            </w:tcBorders>
            <w:shd w:val="clear" w:color="000000" w:fill="FFFFFF"/>
            <w:vAlign w:val="center"/>
            <w:hideMark/>
          </w:tcPr>
          <w:p w14:paraId="4BEC7A8E" w14:textId="77777777" w:rsidR="00EB0BC0" w:rsidRPr="00715545" w:rsidRDefault="00EB0BC0" w:rsidP="00005093">
            <w:pPr>
              <w:pStyle w:val="NoSpacing"/>
              <w:jc w:val="center"/>
              <w:rPr>
                <w:rFonts w:ascii="Times New Roman" w:hAnsi="Times New Roman" w:cs="Times New Roman"/>
                <w:szCs w:val="24"/>
                <w:lang w:eastAsia="en-IN"/>
              </w:rPr>
            </w:pPr>
            <w:r w:rsidRPr="00715545">
              <w:rPr>
                <w:rFonts w:ascii="Times New Roman" w:hAnsi="Times New Roman" w:cs="Times New Roman"/>
                <w:szCs w:val="24"/>
                <w:lang w:eastAsia="en-IN"/>
              </w:rPr>
              <w:t>3</w:t>
            </w:r>
          </w:p>
        </w:tc>
        <w:tc>
          <w:tcPr>
            <w:tcW w:w="2722" w:type="dxa"/>
            <w:tcBorders>
              <w:top w:val="nil"/>
              <w:left w:val="nil"/>
              <w:bottom w:val="single" w:sz="4" w:space="0" w:color="auto"/>
              <w:right w:val="single" w:sz="4" w:space="0" w:color="auto"/>
            </w:tcBorders>
            <w:shd w:val="clear" w:color="000000" w:fill="FFFFFF"/>
            <w:vAlign w:val="center"/>
            <w:hideMark/>
          </w:tcPr>
          <w:p w14:paraId="4A2673F3" w14:textId="77777777" w:rsidR="00EB0BC0" w:rsidRPr="00715545" w:rsidRDefault="00EB0BC0" w:rsidP="00005093">
            <w:pPr>
              <w:pStyle w:val="NoSpacing"/>
              <w:jc w:val="center"/>
              <w:rPr>
                <w:rFonts w:ascii="Times New Roman" w:hAnsi="Times New Roman" w:cs="Times New Roman"/>
                <w:szCs w:val="24"/>
                <w:lang w:eastAsia="en-IN"/>
              </w:rPr>
            </w:pPr>
            <w:r w:rsidRPr="00715545">
              <w:rPr>
                <w:rFonts w:ascii="Times New Roman" w:hAnsi="Times New Roman" w:cs="Times New Roman"/>
                <w:szCs w:val="24"/>
                <w:lang w:eastAsia="en-IN"/>
              </w:rPr>
              <w:t>4</w:t>
            </w:r>
          </w:p>
        </w:tc>
        <w:tc>
          <w:tcPr>
            <w:tcW w:w="2482" w:type="dxa"/>
            <w:tcBorders>
              <w:top w:val="nil"/>
              <w:left w:val="nil"/>
              <w:bottom w:val="single" w:sz="4" w:space="0" w:color="auto"/>
              <w:right w:val="single" w:sz="4" w:space="0" w:color="auto"/>
            </w:tcBorders>
            <w:shd w:val="clear" w:color="000000" w:fill="FFFFFF"/>
            <w:vAlign w:val="center"/>
            <w:hideMark/>
          </w:tcPr>
          <w:p w14:paraId="403B0D5D" w14:textId="77777777" w:rsidR="00EB0BC0" w:rsidRPr="00715545" w:rsidRDefault="00EB0BC0" w:rsidP="00005093">
            <w:pPr>
              <w:pStyle w:val="NoSpacing"/>
              <w:jc w:val="center"/>
              <w:rPr>
                <w:rFonts w:ascii="Times New Roman" w:hAnsi="Times New Roman" w:cs="Times New Roman"/>
                <w:szCs w:val="24"/>
                <w:lang w:eastAsia="en-IN"/>
              </w:rPr>
            </w:pPr>
            <w:r w:rsidRPr="00715545">
              <w:rPr>
                <w:rFonts w:ascii="Times New Roman" w:hAnsi="Times New Roman" w:cs="Times New Roman"/>
                <w:szCs w:val="24"/>
                <w:lang w:eastAsia="en-IN"/>
              </w:rPr>
              <w:t>5</w:t>
            </w:r>
          </w:p>
        </w:tc>
      </w:tr>
      <w:tr w:rsidR="00EB0BC0" w:rsidRPr="00715545" w14:paraId="000C9C90" w14:textId="77777777" w:rsidTr="00A85D2D">
        <w:trPr>
          <w:trHeight w:val="20"/>
          <w:jc w:val="center"/>
        </w:trPr>
        <w:tc>
          <w:tcPr>
            <w:tcW w:w="1609" w:type="dxa"/>
            <w:tcBorders>
              <w:top w:val="nil"/>
              <w:left w:val="single" w:sz="4" w:space="0" w:color="auto"/>
              <w:bottom w:val="single" w:sz="4" w:space="0" w:color="auto"/>
              <w:right w:val="single" w:sz="4" w:space="0" w:color="auto"/>
            </w:tcBorders>
            <w:shd w:val="clear" w:color="000000" w:fill="FFFFFF"/>
            <w:vAlign w:val="center"/>
            <w:hideMark/>
          </w:tcPr>
          <w:p w14:paraId="2907D626" w14:textId="77777777" w:rsidR="00EB0BC0" w:rsidRPr="00715545" w:rsidRDefault="00EB0BC0" w:rsidP="00B77C0B">
            <w:pPr>
              <w:pStyle w:val="NoSpacing"/>
              <w:rPr>
                <w:rFonts w:ascii="Times New Roman" w:hAnsi="Times New Roman" w:cs="Times New Roman"/>
                <w:szCs w:val="24"/>
                <w:lang w:eastAsia="en-IN"/>
              </w:rPr>
            </w:pPr>
            <w:r w:rsidRPr="00715545">
              <w:rPr>
                <w:rFonts w:ascii="Times New Roman" w:hAnsi="Times New Roman" w:cs="Times New Roman"/>
                <w:szCs w:val="24"/>
                <w:lang w:eastAsia="en-IN"/>
              </w:rPr>
              <w:t>Andhra Pradesh</w:t>
            </w:r>
          </w:p>
        </w:tc>
        <w:tc>
          <w:tcPr>
            <w:tcW w:w="2846" w:type="dxa"/>
            <w:tcBorders>
              <w:top w:val="nil"/>
              <w:left w:val="nil"/>
              <w:bottom w:val="single" w:sz="4" w:space="0" w:color="auto"/>
              <w:right w:val="single" w:sz="4" w:space="0" w:color="auto"/>
            </w:tcBorders>
            <w:shd w:val="clear" w:color="000000" w:fill="FFFFFF"/>
            <w:vAlign w:val="center"/>
            <w:hideMark/>
          </w:tcPr>
          <w:p w14:paraId="2CAF4945" w14:textId="77777777" w:rsidR="00EB0BC0" w:rsidRPr="00715545" w:rsidRDefault="00EB0BC0" w:rsidP="00B77C0B">
            <w:pPr>
              <w:pStyle w:val="NoSpacing"/>
              <w:rPr>
                <w:rFonts w:ascii="Times New Roman" w:hAnsi="Times New Roman" w:cs="Times New Roman"/>
                <w:szCs w:val="24"/>
                <w:lang w:eastAsia="en-IN"/>
              </w:rPr>
            </w:pPr>
            <w:r w:rsidRPr="00715545">
              <w:rPr>
                <w:rFonts w:ascii="Times New Roman" w:hAnsi="Times New Roman" w:cs="Times New Roman"/>
                <w:szCs w:val="24"/>
                <w:lang w:eastAsia="en-IN"/>
              </w:rPr>
              <w:t>Rs. 170 upto 300 Kg laden weight.</w:t>
            </w:r>
          </w:p>
        </w:tc>
        <w:tc>
          <w:tcPr>
            <w:tcW w:w="3342" w:type="dxa"/>
            <w:tcBorders>
              <w:top w:val="nil"/>
              <w:left w:val="nil"/>
              <w:bottom w:val="single" w:sz="4" w:space="0" w:color="auto"/>
              <w:right w:val="single" w:sz="4" w:space="0" w:color="auto"/>
            </w:tcBorders>
            <w:shd w:val="clear" w:color="000000" w:fill="FFFFFF"/>
            <w:vAlign w:val="center"/>
            <w:hideMark/>
          </w:tcPr>
          <w:p w14:paraId="5B9AB142" w14:textId="77777777" w:rsidR="00EB0BC0" w:rsidRPr="00715545" w:rsidRDefault="00EB0BC0" w:rsidP="00B77C0B">
            <w:pPr>
              <w:pStyle w:val="NoSpacing"/>
              <w:rPr>
                <w:rFonts w:ascii="Times New Roman" w:hAnsi="Times New Roman" w:cs="Times New Roman"/>
                <w:szCs w:val="24"/>
                <w:lang w:eastAsia="en-IN"/>
              </w:rPr>
            </w:pPr>
            <w:r w:rsidRPr="00715545">
              <w:rPr>
                <w:rFonts w:ascii="Times New Roman" w:hAnsi="Times New Roman" w:cs="Times New Roman"/>
                <w:szCs w:val="24"/>
                <w:lang w:eastAsia="en-IN"/>
              </w:rPr>
              <w:t>Rs. 670</w:t>
            </w:r>
          </w:p>
        </w:tc>
        <w:tc>
          <w:tcPr>
            <w:tcW w:w="2722" w:type="dxa"/>
            <w:tcBorders>
              <w:top w:val="nil"/>
              <w:left w:val="nil"/>
              <w:bottom w:val="single" w:sz="4" w:space="0" w:color="auto"/>
              <w:right w:val="single" w:sz="4" w:space="0" w:color="auto"/>
            </w:tcBorders>
            <w:shd w:val="clear" w:color="000000" w:fill="FFFFFF"/>
            <w:vAlign w:val="center"/>
            <w:hideMark/>
          </w:tcPr>
          <w:p w14:paraId="588F1EF8" w14:textId="77777777" w:rsidR="00EB0BC0" w:rsidRPr="00715545" w:rsidRDefault="00EB0BC0" w:rsidP="00B77C0B">
            <w:pPr>
              <w:pStyle w:val="NoSpacing"/>
              <w:rPr>
                <w:rFonts w:ascii="Times New Roman" w:hAnsi="Times New Roman" w:cs="Times New Roman"/>
                <w:szCs w:val="24"/>
                <w:lang w:eastAsia="en-IN"/>
              </w:rPr>
            </w:pPr>
            <w:r w:rsidRPr="00715545">
              <w:rPr>
                <w:rFonts w:ascii="Times New Roman" w:hAnsi="Times New Roman" w:cs="Times New Roman"/>
                <w:szCs w:val="24"/>
                <w:lang w:eastAsia="en-IN"/>
              </w:rPr>
              <w:t>Rs. 160 per passenger on vehicles covering distance upto 80 Km. per day.</w:t>
            </w:r>
          </w:p>
        </w:tc>
        <w:tc>
          <w:tcPr>
            <w:tcW w:w="2482" w:type="dxa"/>
            <w:tcBorders>
              <w:top w:val="nil"/>
              <w:left w:val="nil"/>
              <w:bottom w:val="single" w:sz="4" w:space="0" w:color="auto"/>
              <w:right w:val="single" w:sz="4" w:space="0" w:color="auto"/>
            </w:tcBorders>
            <w:shd w:val="clear" w:color="000000" w:fill="FFFFFF"/>
            <w:vAlign w:val="center"/>
            <w:hideMark/>
          </w:tcPr>
          <w:p w14:paraId="05A402D0" w14:textId="77777777" w:rsidR="00EB0BC0" w:rsidRPr="00715545" w:rsidRDefault="00EB0BC0" w:rsidP="00B77C0B">
            <w:pPr>
              <w:pStyle w:val="NoSpacing"/>
              <w:rPr>
                <w:rFonts w:ascii="Times New Roman" w:hAnsi="Times New Roman" w:cs="Times New Roman"/>
                <w:szCs w:val="24"/>
                <w:lang w:eastAsia="en-IN"/>
              </w:rPr>
            </w:pPr>
            <w:r w:rsidRPr="00715545">
              <w:rPr>
                <w:rFonts w:ascii="Times New Roman" w:hAnsi="Times New Roman" w:cs="Times New Roman"/>
                <w:szCs w:val="24"/>
                <w:lang w:eastAsia="en-IN"/>
              </w:rPr>
              <w:t>Rs. 180 (762 Kg to 1524 Kg)</w:t>
            </w:r>
          </w:p>
        </w:tc>
      </w:tr>
      <w:tr w:rsidR="00EB0BC0" w:rsidRPr="00715545" w14:paraId="5B4106CA" w14:textId="77777777" w:rsidTr="00A85D2D">
        <w:trPr>
          <w:trHeight w:val="20"/>
          <w:jc w:val="center"/>
        </w:trPr>
        <w:tc>
          <w:tcPr>
            <w:tcW w:w="1609" w:type="dxa"/>
            <w:tcBorders>
              <w:top w:val="nil"/>
              <w:left w:val="single" w:sz="4" w:space="0" w:color="auto"/>
              <w:bottom w:val="single" w:sz="4" w:space="0" w:color="auto"/>
              <w:right w:val="single" w:sz="4" w:space="0" w:color="auto"/>
            </w:tcBorders>
            <w:shd w:val="clear" w:color="000000" w:fill="FFFFFF"/>
            <w:vAlign w:val="center"/>
            <w:hideMark/>
          </w:tcPr>
          <w:p w14:paraId="7EDF0039" w14:textId="77777777" w:rsidR="00EB0BC0" w:rsidRPr="00715545" w:rsidRDefault="00EB0BC0" w:rsidP="00B77C0B">
            <w:pPr>
              <w:pStyle w:val="NoSpacing"/>
              <w:rPr>
                <w:rFonts w:ascii="Times New Roman" w:hAnsi="Times New Roman" w:cs="Times New Roman"/>
                <w:szCs w:val="24"/>
                <w:lang w:eastAsia="en-IN"/>
              </w:rPr>
            </w:pPr>
            <w:r w:rsidRPr="00715545">
              <w:rPr>
                <w:rFonts w:ascii="Times New Roman" w:hAnsi="Times New Roman" w:cs="Times New Roman"/>
                <w:szCs w:val="24"/>
                <w:lang w:eastAsia="en-IN"/>
              </w:rPr>
              <w:t>Assam</w:t>
            </w:r>
          </w:p>
        </w:tc>
        <w:tc>
          <w:tcPr>
            <w:tcW w:w="2846" w:type="dxa"/>
            <w:tcBorders>
              <w:top w:val="nil"/>
              <w:left w:val="nil"/>
              <w:bottom w:val="single" w:sz="4" w:space="0" w:color="auto"/>
              <w:right w:val="single" w:sz="4" w:space="0" w:color="auto"/>
            </w:tcBorders>
            <w:shd w:val="clear" w:color="000000" w:fill="FFFFFF"/>
            <w:vAlign w:val="center"/>
            <w:hideMark/>
          </w:tcPr>
          <w:p w14:paraId="4C188896" w14:textId="77777777" w:rsidR="00EB0BC0" w:rsidRPr="00715545" w:rsidRDefault="00EB0BC0" w:rsidP="00B77C0B">
            <w:pPr>
              <w:pStyle w:val="NoSpacing"/>
              <w:rPr>
                <w:rFonts w:ascii="Times New Roman" w:hAnsi="Times New Roman" w:cs="Times New Roman"/>
                <w:szCs w:val="24"/>
                <w:lang w:eastAsia="en-IN"/>
              </w:rPr>
            </w:pPr>
            <w:r w:rsidRPr="00715545">
              <w:rPr>
                <w:rFonts w:ascii="Times New Roman" w:hAnsi="Times New Roman" w:cs="Times New Roman"/>
                <w:szCs w:val="24"/>
                <w:lang w:eastAsia="en-IN"/>
              </w:rPr>
              <w:t>Rs. 420 upto 1 metric tonne</w:t>
            </w:r>
          </w:p>
        </w:tc>
        <w:tc>
          <w:tcPr>
            <w:tcW w:w="3342" w:type="dxa"/>
            <w:tcBorders>
              <w:top w:val="nil"/>
              <w:left w:val="nil"/>
              <w:bottom w:val="single" w:sz="4" w:space="0" w:color="auto"/>
              <w:right w:val="single" w:sz="4" w:space="0" w:color="auto"/>
            </w:tcBorders>
            <w:shd w:val="clear" w:color="000000" w:fill="FFFFFF"/>
            <w:vAlign w:val="center"/>
            <w:hideMark/>
          </w:tcPr>
          <w:p w14:paraId="643CD01C" w14:textId="77777777" w:rsidR="00EB0BC0" w:rsidRPr="00715545" w:rsidRDefault="00EB0BC0" w:rsidP="00B77C0B">
            <w:pPr>
              <w:pStyle w:val="NoSpacing"/>
              <w:rPr>
                <w:rFonts w:ascii="Times New Roman" w:hAnsi="Times New Roman" w:cs="Times New Roman"/>
                <w:szCs w:val="24"/>
                <w:lang w:eastAsia="en-IN"/>
              </w:rPr>
            </w:pPr>
            <w:r w:rsidRPr="00715545">
              <w:rPr>
                <w:rFonts w:ascii="Times New Roman" w:hAnsi="Times New Roman" w:cs="Times New Roman"/>
                <w:szCs w:val="24"/>
                <w:lang w:eastAsia="en-IN"/>
              </w:rPr>
              <w:t>Rs. 420 upto 1 metric tonne plus Rs. 105 for every additional ½ metric tonne.</w:t>
            </w:r>
          </w:p>
        </w:tc>
        <w:tc>
          <w:tcPr>
            <w:tcW w:w="2722" w:type="dxa"/>
            <w:tcBorders>
              <w:top w:val="nil"/>
              <w:left w:val="nil"/>
              <w:bottom w:val="single" w:sz="4" w:space="0" w:color="auto"/>
              <w:right w:val="single" w:sz="4" w:space="0" w:color="auto"/>
            </w:tcBorders>
            <w:shd w:val="clear" w:color="000000" w:fill="FFFFFF"/>
            <w:vAlign w:val="center"/>
            <w:hideMark/>
          </w:tcPr>
          <w:p w14:paraId="0C08B86A" w14:textId="77777777" w:rsidR="00EB0BC0" w:rsidRPr="00715545" w:rsidRDefault="00EB0BC0" w:rsidP="00B77C0B">
            <w:pPr>
              <w:pStyle w:val="NoSpacing"/>
              <w:rPr>
                <w:rFonts w:ascii="Times New Roman" w:hAnsi="Times New Roman" w:cs="Times New Roman"/>
                <w:szCs w:val="24"/>
                <w:lang w:eastAsia="en-IN"/>
              </w:rPr>
            </w:pPr>
            <w:r w:rsidRPr="00715545">
              <w:rPr>
                <w:rFonts w:ascii="Times New Roman" w:hAnsi="Times New Roman" w:cs="Times New Roman"/>
                <w:szCs w:val="24"/>
                <w:lang w:eastAsia="en-IN"/>
              </w:rPr>
              <w:t>For stage carriages Rs. 56 per seat.</w:t>
            </w:r>
          </w:p>
        </w:tc>
        <w:tc>
          <w:tcPr>
            <w:tcW w:w="2482" w:type="dxa"/>
            <w:tcBorders>
              <w:top w:val="nil"/>
              <w:left w:val="nil"/>
              <w:bottom w:val="single" w:sz="4" w:space="0" w:color="auto"/>
              <w:right w:val="single" w:sz="4" w:space="0" w:color="auto"/>
            </w:tcBorders>
            <w:shd w:val="clear" w:color="000000" w:fill="FFFFFF"/>
            <w:vAlign w:val="center"/>
            <w:hideMark/>
          </w:tcPr>
          <w:p w14:paraId="45975FBF" w14:textId="77777777" w:rsidR="00EB0BC0" w:rsidRPr="00715545" w:rsidRDefault="00EB0BC0" w:rsidP="00B77C0B">
            <w:pPr>
              <w:pStyle w:val="NoSpacing"/>
              <w:rPr>
                <w:rFonts w:ascii="Times New Roman" w:hAnsi="Times New Roman" w:cs="Times New Roman"/>
                <w:szCs w:val="24"/>
                <w:lang w:eastAsia="en-IN"/>
              </w:rPr>
            </w:pPr>
            <w:r w:rsidRPr="00715545">
              <w:rPr>
                <w:rFonts w:ascii="Times New Roman" w:hAnsi="Times New Roman" w:cs="Times New Roman"/>
                <w:szCs w:val="24"/>
                <w:lang w:eastAsia="en-IN"/>
              </w:rPr>
              <w:t>Rs. 135 (upto 14 HP).</w:t>
            </w:r>
          </w:p>
        </w:tc>
      </w:tr>
      <w:tr w:rsidR="00EB0BC0" w:rsidRPr="00715545" w14:paraId="6EAA9FB0" w14:textId="77777777" w:rsidTr="00A85D2D">
        <w:trPr>
          <w:trHeight w:val="20"/>
          <w:jc w:val="center"/>
        </w:trPr>
        <w:tc>
          <w:tcPr>
            <w:tcW w:w="1609" w:type="dxa"/>
            <w:tcBorders>
              <w:top w:val="nil"/>
              <w:left w:val="single" w:sz="4" w:space="0" w:color="auto"/>
              <w:bottom w:val="single" w:sz="4" w:space="0" w:color="auto"/>
              <w:right w:val="single" w:sz="4" w:space="0" w:color="auto"/>
            </w:tcBorders>
            <w:shd w:val="clear" w:color="000000" w:fill="FFFFFF"/>
            <w:vAlign w:val="center"/>
            <w:hideMark/>
          </w:tcPr>
          <w:p w14:paraId="68AE5C81" w14:textId="77777777" w:rsidR="00EB0BC0" w:rsidRPr="00715545" w:rsidRDefault="00EB0BC0" w:rsidP="00B77C0B">
            <w:pPr>
              <w:pStyle w:val="NoSpacing"/>
              <w:rPr>
                <w:rFonts w:ascii="Times New Roman" w:hAnsi="Times New Roman" w:cs="Times New Roman"/>
                <w:szCs w:val="24"/>
                <w:lang w:eastAsia="en-IN"/>
              </w:rPr>
            </w:pPr>
            <w:r w:rsidRPr="00715545">
              <w:rPr>
                <w:rFonts w:ascii="Times New Roman" w:hAnsi="Times New Roman" w:cs="Times New Roman"/>
                <w:szCs w:val="24"/>
                <w:lang w:eastAsia="en-IN"/>
              </w:rPr>
              <w:t>Bihar</w:t>
            </w:r>
          </w:p>
        </w:tc>
        <w:tc>
          <w:tcPr>
            <w:tcW w:w="2846" w:type="dxa"/>
            <w:tcBorders>
              <w:top w:val="nil"/>
              <w:left w:val="nil"/>
              <w:bottom w:val="single" w:sz="4" w:space="0" w:color="auto"/>
              <w:right w:val="single" w:sz="4" w:space="0" w:color="auto"/>
            </w:tcBorders>
            <w:shd w:val="clear" w:color="000000" w:fill="FFFFFF"/>
            <w:vAlign w:val="center"/>
            <w:hideMark/>
          </w:tcPr>
          <w:p w14:paraId="041FBB00" w14:textId="77777777" w:rsidR="00EB0BC0" w:rsidRPr="00715545" w:rsidRDefault="00EB0BC0" w:rsidP="00B77C0B">
            <w:pPr>
              <w:pStyle w:val="NoSpacing"/>
              <w:rPr>
                <w:rFonts w:ascii="Times New Roman" w:hAnsi="Times New Roman" w:cs="Times New Roman"/>
                <w:szCs w:val="24"/>
                <w:lang w:eastAsia="en-IN"/>
              </w:rPr>
            </w:pPr>
            <w:r w:rsidRPr="00715545">
              <w:rPr>
                <w:rFonts w:ascii="Times New Roman" w:hAnsi="Times New Roman" w:cs="Times New Roman"/>
                <w:szCs w:val="24"/>
                <w:lang w:eastAsia="en-IN"/>
              </w:rPr>
              <w:t>Rs. 175 upto 500 Kg laden weight for vehicles with pneumatic tyres &amp; additional 25% for vehicles with other tyres.</w:t>
            </w:r>
          </w:p>
        </w:tc>
        <w:tc>
          <w:tcPr>
            <w:tcW w:w="3342" w:type="dxa"/>
            <w:tcBorders>
              <w:top w:val="nil"/>
              <w:left w:val="nil"/>
              <w:bottom w:val="single" w:sz="4" w:space="0" w:color="auto"/>
              <w:right w:val="single" w:sz="4" w:space="0" w:color="auto"/>
            </w:tcBorders>
            <w:shd w:val="clear" w:color="000000" w:fill="FFFFFF"/>
            <w:vAlign w:val="center"/>
            <w:hideMark/>
          </w:tcPr>
          <w:p w14:paraId="5055A553" w14:textId="77777777" w:rsidR="00EB0BC0" w:rsidRPr="00715545" w:rsidRDefault="00EB0BC0" w:rsidP="00B77C0B">
            <w:pPr>
              <w:pStyle w:val="NoSpacing"/>
              <w:rPr>
                <w:rFonts w:ascii="Times New Roman" w:hAnsi="Times New Roman" w:cs="Times New Roman"/>
                <w:szCs w:val="24"/>
                <w:lang w:eastAsia="en-IN"/>
              </w:rPr>
            </w:pPr>
            <w:r w:rsidRPr="00715545">
              <w:rPr>
                <w:rFonts w:ascii="Times New Roman" w:hAnsi="Times New Roman" w:cs="Times New Roman"/>
                <w:szCs w:val="24"/>
                <w:lang w:eastAsia="en-IN"/>
              </w:rPr>
              <w:t>Rs. 975 for vehicles with pneumatic tyres and additional 25% for similar vehicles with other tyres.</w:t>
            </w:r>
          </w:p>
        </w:tc>
        <w:tc>
          <w:tcPr>
            <w:tcW w:w="2722" w:type="dxa"/>
            <w:tcBorders>
              <w:top w:val="nil"/>
              <w:left w:val="nil"/>
              <w:bottom w:val="single" w:sz="4" w:space="0" w:color="auto"/>
              <w:right w:val="single" w:sz="4" w:space="0" w:color="auto"/>
            </w:tcBorders>
            <w:shd w:val="clear" w:color="000000" w:fill="FFFFFF"/>
            <w:vAlign w:val="center"/>
            <w:hideMark/>
          </w:tcPr>
          <w:p w14:paraId="00B42F15" w14:textId="77777777" w:rsidR="00EB0BC0" w:rsidRPr="00715545" w:rsidRDefault="00EB0BC0" w:rsidP="00B77C0B">
            <w:pPr>
              <w:pStyle w:val="NoSpacing"/>
              <w:rPr>
                <w:rFonts w:ascii="Times New Roman" w:hAnsi="Times New Roman" w:cs="Times New Roman"/>
                <w:szCs w:val="24"/>
                <w:lang w:eastAsia="en-IN"/>
              </w:rPr>
            </w:pPr>
            <w:r w:rsidRPr="00715545">
              <w:rPr>
                <w:rFonts w:ascii="Times New Roman" w:hAnsi="Times New Roman" w:cs="Times New Roman"/>
                <w:szCs w:val="24"/>
                <w:lang w:eastAsia="en-IN"/>
              </w:rPr>
              <w:t>Rs. 1980 for 33 passengers plus Rs. 30 for every additional seat for vehicles with pneumatic tyres and additional 25% for vehicles with other tyres.</w:t>
            </w:r>
          </w:p>
        </w:tc>
        <w:tc>
          <w:tcPr>
            <w:tcW w:w="2482" w:type="dxa"/>
            <w:tcBorders>
              <w:top w:val="nil"/>
              <w:left w:val="nil"/>
              <w:bottom w:val="single" w:sz="4" w:space="0" w:color="auto"/>
              <w:right w:val="single" w:sz="4" w:space="0" w:color="auto"/>
            </w:tcBorders>
            <w:shd w:val="clear" w:color="000000" w:fill="FFFFFF"/>
            <w:vAlign w:val="center"/>
            <w:hideMark/>
          </w:tcPr>
          <w:p w14:paraId="1B7EE883" w14:textId="77777777" w:rsidR="00EB0BC0" w:rsidRPr="00715545" w:rsidRDefault="00EB0BC0" w:rsidP="00B77C0B">
            <w:pPr>
              <w:pStyle w:val="NoSpacing"/>
              <w:rPr>
                <w:rFonts w:ascii="Times New Roman" w:hAnsi="Times New Roman" w:cs="Times New Roman"/>
                <w:szCs w:val="24"/>
                <w:lang w:eastAsia="en-IN"/>
              </w:rPr>
            </w:pPr>
            <w:r w:rsidRPr="00715545">
              <w:rPr>
                <w:rFonts w:ascii="Times New Roman" w:hAnsi="Times New Roman" w:cs="Times New Roman"/>
                <w:szCs w:val="24"/>
                <w:lang w:eastAsia="en-IN"/>
              </w:rPr>
              <w:t>Rs. 350 for five persons plus Rs. 60 for every additional person on vehicles with pneumatic tyres. Additional 25% on vehicles with other tyres.</w:t>
            </w:r>
          </w:p>
        </w:tc>
      </w:tr>
      <w:tr w:rsidR="00EB0BC0" w:rsidRPr="00715545" w14:paraId="0707D582" w14:textId="77777777" w:rsidTr="00A85D2D">
        <w:trPr>
          <w:trHeight w:val="20"/>
          <w:jc w:val="center"/>
        </w:trPr>
        <w:tc>
          <w:tcPr>
            <w:tcW w:w="1609" w:type="dxa"/>
            <w:tcBorders>
              <w:top w:val="nil"/>
              <w:left w:val="single" w:sz="4" w:space="0" w:color="auto"/>
              <w:bottom w:val="single" w:sz="4" w:space="0" w:color="auto"/>
              <w:right w:val="single" w:sz="4" w:space="0" w:color="auto"/>
            </w:tcBorders>
            <w:shd w:val="clear" w:color="000000" w:fill="FFFFFF"/>
            <w:vAlign w:val="center"/>
            <w:hideMark/>
          </w:tcPr>
          <w:p w14:paraId="22BD0DD3" w14:textId="77777777" w:rsidR="00EB0BC0" w:rsidRPr="00715545" w:rsidRDefault="00EB0BC0" w:rsidP="00B77C0B">
            <w:pPr>
              <w:pStyle w:val="NoSpacing"/>
              <w:rPr>
                <w:rFonts w:ascii="Times New Roman" w:hAnsi="Times New Roman" w:cs="Times New Roman"/>
                <w:szCs w:val="24"/>
                <w:lang w:eastAsia="en-IN"/>
              </w:rPr>
            </w:pPr>
            <w:r w:rsidRPr="00715545">
              <w:rPr>
                <w:rFonts w:ascii="Times New Roman" w:hAnsi="Times New Roman" w:cs="Times New Roman"/>
                <w:szCs w:val="24"/>
                <w:lang w:eastAsia="en-IN"/>
              </w:rPr>
              <w:t>Gujarat</w:t>
            </w:r>
          </w:p>
        </w:tc>
        <w:tc>
          <w:tcPr>
            <w:tcW w:w="2846" w:type="dxa"/>
            <w:tcBorders>
              <w:top w:val="nil"/>
              <w:left w:val="nil"/>
              <w:bottom w:val="single" w:sz="4" w:space="0" w:color="auto"/>
              <w:right w:val="single" w:sz="4" w:space="0" w:color="auto"/>
            </w:tcBorders>
            <w:shd w:val="clear" w:color="000000" w:fill="FFFFFF"/>
            <w:vAlign w:val="center"/>
            <w:hideMark/>
          </w:tcPr>
          <w:p w14:paraId="49C822A8" w14:textId="77777777" w:rsidR="00EB0BC0" w:rsidRPr="00715545" w:rsidRDefault="00EB0BC0" w:rsidP="00B77C0B">
            <w:pPr>
              <w:pStyle w:val="NoSpacing"/>
              <w:rPr>
                <w:rFonts w:ascii="Times New Roman" w:hAnsi="Times New Roman" w:cs="Times New Roman"/>
                <w:szCs w:val="24"/>
                <w:lang w:eastAsia="en-IN"/>
              </w:rPr>
            </w:pPr>
            <w:r w:rsidRPr="00715545">
              <w:rPr>
                <w:rFonts w:ascii="Times New Roman" w:hAnsi="Times New Roman" w:cs="Times New Roman"/>
                <w:szCs w:val="24"/>
                <w:lang w:eastAsia="en-IN"/>
              </w:rPr>
              <w:t>Rs. 175 upto 750 Kg laden weight.</w:t>
            </w:r>
          </w:p>
        </w:tc>
        <w:tc>
          <w:tcPr>
            <w:tcW w:w="3342" w:type="dxa"/>
            <w:tcBorders>
              <w:top w:val="nil"/>
              <w:left w:val="nil"/>
              <w:bottom w:val="single" w:sz="4" w:space="0" w:color="auto"/>
              <w:right w:val="single" w:sz="4" w:space="0" w:color="auto"/>
            </w:tcBorders>
            <w:shd w:val="clear" w:color="000000" w:fill="FFFFFF"/>
            <w:vAlign w:val="center"/>
            <w:hideMark/>
          </w:tcPr>
          <w:p w14:paraId="1DE65A0E" w14:textId="77777777" w:rsidR="00EB0BC0" w:rsidRPr="00715545" w:rsidRDefault="00EB0BC0" w:rsidP="00B77C0B">
            <w:pPr>
              <w:pStyle w:val="NoSpacing"/>
              <w:rPr>
                <w:rFonts w:ascii="Times New Roman" w:hAnsi="Times New Roman" w:cs="Times New Roman"/>
                <w:szCs w:val="24"/>
                <w:lang w:eastAsia="en-IN"/>
              </w:rPr>
            </w:pPr>
            <w:r w:rsidRPr="00715545">
              <w:rPr>
                <w:rFonts w:ascii="Times New Roman" w:hAnsi="Times New Roman" w:cs="Times New Roman"/>
                <w:szCs w:val="24"/>
                <w:lang w:eastAsia="en-IN"/>
              </w:rPr>
              <w:t>Rs. 1244</w:t>
            </w:r>
          </w:p>
        </w:tc>
        <w:tc>
          <w:tcPr>
            <w:tcW w:w="2722" w:type="dxa"/>
            <w:tcBorders>
              <w:top w:val="nil"/>
              <w:left w:val="nil"/>
              <w:bottom w:val="single" w:sz="4" w:space="0" w:color="auto"/>
              <w:right w:val="single" w:sz="4" w:space="0" w:color="auto"/>
            </w:tcBorders>
            <w:shd w:val="clear" w:color="000000" w:fill="FFFFFF"/>
            <w:vAlign w:val="center"/>
            <w:hideMark/>
          </w:tcPr>
          <w:p w14:paraId="29198874" w14:textId="77777777" w:rsidR="00EB0BC0" w:rsidRPr="00715545" w:rsidRDefault="00EB0BC0" w:rsidP="00B77C0B">
            <w:pPr>
              <w:pStyle w:val="NoSpacing"/>
              <w:rPr>
                <w:rFonts w:ascii="Times New Roman" w:hAnsi="Times New Roman" w:cs="Times New Roman"/>
                <w:szCs w:val="24"/>
                <w:lang w:eastAsia="en-IN"/>
              </w:rPr>
            </w:pPr>
            <w:r w:rsidRPr="00715545">
              <w:rPr>
                <w:rFonts w:ascii="Times New Roman" w:hAnsi="Times New Roman" w:cs="Times New Roman"/>
                <w:szCs w:val="24"/>
                <w:lang w:eastAsia="en-IN"/>
              </w:rPr>
              <w:t>Rs. 400 for 9 passengers plus Rs. 32 for every additional seat.</w:t>
            </w:r>
          </w:p>
        </w:tc>
        <w:tc>
          <w:tcPr>
            <w:tcW w:w="2482" w:type="dxa"/>
            <w:tcBorders>
              <w:top w:val="nil"/>
              <w:left w:val="nil"/>
              <w:bottom w:val="single" w:sz="4" w:space="0" w:color="auto"/>
              <w:right w:val="single" w:sz="4" w:space="0" w:color="auto"/>
            </w:tcBorders>
            <w:shd w:val="clear" w:color="000000" w:fill="FFFFFF"/>
            <w:vAlign w:val="center"/>
            <w:hideMark/>
          </w:tcPr>
          <w:p w14:paraId="53949AEA" w14:textId="77777777" w:rsidR="00EB0BC0" w:rsidRPr="00715545" w:rsidRDefault="00EB0BC0" w:rsidP="00B77C0B">
            <w:pPr>
              <w:pStyle w:val="NoSpacing"/>
              <w:rPr>
                <w:rFonts w:ascii="Times New Roman" w:hAnsi="Times New Roman" w:cs="Times New Roman"/>
                <w:szCs w:val="24"/>
                <w:lang w:eastAsia="en-IN"/>
              </w:rPr>
            </w:pPr>
            <w:r w:rsidRPr="00715545">
              <w:rPr>
                <w:rFonts w:ascii="Times New Roman" w:hAnsi="Times New Roman" w:cs="Times New Roman"/>
                <w:szCs w:val="24"/>
                <w:lang w:eastAsia="en-IN"/>
              </w:rPr>
              <w:t>Rs. 150 (750 Kg to 1500 Kg).</w:t>
            </w:r>
          </w:p>
        </w:tc>
      </w:tr>
      <w:tr w:rsidR="00EB0BC0" w:rsidRPr="00715545" w14:paraId="26602E15" w14:textId="77777777" w:rsidTr="00A85D2D">
        <w:trPr>
          <w:trHeight w:val="20"/>
          <w:jc w:val="center"/>
        </w:trPr>
        <w:tc>
          <w:tcPr>
            <w:tcW w:w="1609" w:type="dxa"/>
            <w:tcBorders>
              <w:top w:val="nil"/>
              <w:left w:val="single" w:sz="4" w:space="0" w:color="auto"/>
              <w:bottom w:val="single" w:sz="4" w:space="0" w:color="auto"/>
              <w:right w:val="single" w:sz="4" w:space="0" w:color="auto"/>
            </w:tcBorders>
            <w:shd w:val="clear" w:color="000000" w:fill="FFFFFF"/>
            <w:vAlign w:val="center"/>
            <w:hideMark/>
          </w:tcPr>
          <w:p w14:paraId="52968F2D" w14:textId="77777777" w:rsidR="00EB0BC0" w:rsidRPr="00715545" w:rsidRDefault="00EB0BC0" w:rsidP="00B77C0B">
            <w:pPr>
              <w:pStyle w:val="NoSpacing"/>
              <w:rPr>
                <w:rFonts w:ascii="Times New Roman" w:hAnsi="Times New Roman" w:cs="Times New Roman"/>
                <w:szCs w:val="24"/>
                <w:lang w:eastAsia="en-IN"/>
              </w:rPr>
            </w:pPr>
            <w:r w:rsidRPr="00715545">
              <w:rPr>
                <w:rFonts w:ascii="Times New Roman" w:hAnsi="Times New Roman" w:cs="Times New Roman"/>
                <w:szCs w:val="24"/>
                <w:lang w:eastAsia="en-IN"/>
              </w:rPr>
              <w:t>Haryana</w:t>
            </w:r>
          </w:p>
        </w:tc>
        <w:tc>
          <w:tcPr>
            <w:tcW w:w="2846" w:type="dxa"/>
            <w:tcBorders>
              <w:top w:val="nil"/>
              <w:left w:val="nil"/>
              <w:bottom w:val="single" w:sz="4" w:space="0" w:color="auto"/>
              <w:right w:val="single" w:sz="4" w:space="0" w:color="auto"/>
            </w:tcBorders>
            <w:shd w:val="clear" w:color="000000" w:fill="FFFFFF"/>
            <w:vAlign w:val="center"/>
            <w:hideMark/>
          </w:tcPr>
          <w:p w14:paraId="74FF9EF7" w14:textId="77777777" w:rsidR="00EB0BC0" w:rsidRPr="00715545" w:rsidRDefault="00EB0BC0" w:rsidP="00B77C0B">
            <w:pPr>
              <w:pStyle w:val="NoSpacing"/>
              <w:rPr>
                <w:rFonts w:ascii="Times New Roman" w:hAnsi="Times New Roman" w:cs="Times New Roman"/>
                <w:szCs w:val="24"/>
                <w:lang w:eastAsia="en-IN"/>
              </w:rPr>
            </w:pPr>
            <w:r w:rsidRPr="00715545">
              <w:rPr>
                <w:rFonts w:ascii="Times New Roman" w:hAnsi="Times New Roman" w:cs="Times New Roman"/>
                <w:szCs w:val="24"/>
                <w:lang w:eastAsia="en-IN"/>
              </w:rPr>
              <w:t>Rs. 172.50 upto 12 Cwt unladen weight.</w:t>
            </w:r>
          </w:p>
        </w:tc>
        <w:tc>
          <w:tcPr>
            <w:tcW w:w="3342" w:type="dxa"/>
            <w:tcBorders>
              <w:top w:val="nil"/>
              <w:left w:val="nil"/>
              <w:bottom w:val="single" w:sz="4" w:space="0" w:color="auto"/>
              <w:right w:val="single" w:sz="4" w:space="0" w:color="auto"/>
            </w:tcBorders>
            <w:shd w:val="clear" w:color="000000" w:fill="FFFFFF"/>
            <w:vAlign w:val="center"/>
            <w:hideMark/>
          </w:tcPr>
          <w:p w14:paraId="0D825FF9" w14:textId="77777777" w:rsidR="00EB0BC0" w:rsidRPr="00715545" w:rsidRDefault="00EB0BC0" w:rsidP="00B77C0B">
            <w:pPr>
              <w:pStyle w:val="NoSpacing"/>
              <w:rPr>
                <w:rFonts w:ascii="Times New Roman" w:hAnsi="Times New Roman" w:cs="Times New Roman"/>
                <w:szCs w:val="24"/>
                <w:lang w:eastAsia="en-IN"/>
              </w:rPr>
            </w:pPr>
            <w:r w:rsidRPr="00715545">
              <w:rPr>
                <w:rFonts w:ascii="Times New Roman" w:hAnsi="Times New Roman" w:cs="Times New Roman"/>
                <w:szCs w:val="24"/>
                <w:lang w:eastAsia="en-IN"/>
              </w:rPr>
              <w:t>Rs. 875 upto 4 tons unladen weight.</w:t>
            </w:r>
          </w:p>
        </w:tc>
        <w:tc>
          <w:tcPr>
            <w:tcW w:w="2722" w:type="dxa"/>
            <w:tcBorders>
              <w:top w:val="nil"/>
              <w:left w:val="nil"/>
              <w:bottom w:val="single" w:sz="4" w:space="0" w:color="auto"/>
              <w:right w:val="single" w:sz="4" w:space="0" w:color="auto"/>
            </w:tcBorders>
            <w:shd w:val="clear" w:color="000000" w:fill="FFFFFF"/>
            <w:vAlign w:val="center"/>
            <w:hideMark/>
          </w:tcPr>
          <w:p w14:paraId="5DA878D8" w14:textId="77777777" w:rsidR="00EB0BC0" w:rsidRPr="00715545" w:rsidRDefault="00EB0BC0" w:rsidP="00B77C0B">
            <w:pPr>
              <w:pStyle w:val="NoSpacing"/>
              <w:rPr>
                <w:rFonts w:ascii="Times New Roman" w:hAnsi="Times New Roman" w:cs="Times New Roman"/>
                <w:szCs w:val="24"/>
                <w:lang w:eastAsia="en-IN"/>
              </w:rPr>
            </w:pPr>
            <w:r w:rsidRPr="00715545">
              <w:rPr>
                <w:rFonts w:ascii="Times New Roman" w:hAnsi="Times New Roman" w:cs="Times New Roman"/>
                <w:szCs w:val="24"/>
                <w:lang w:eastAsia="en-IN"/>
              </w:rPr>
              <w:t>Rs. 75 per seat subject to maximum of Rs. 3000.</w:t>
            </w:r>
          </w:p>
        </w:tc>
        <w:tc>
          <w:tcPr>
            <w:tcW w:w="2482" w:type="dxa"/>
            <w:tcBorders>
              <w:top w:val="nil"/>
              <w:left w:val="nil"/>
              <w:bottom w:val="single" w:sz="4" w:space="0" w:color="auto"/>
              <w:right w:val="single" w:sz="4" w:space="0" w:color="auto"/>
            </w:tcBorders>
            <w:shd w:val="clear" w:color="000000" w:fill="FFFFFF"/>
            <w:vAlign w:val="center"/>
            <w:hideMark/>
          </w:tcPr>
          <w:p w14:paraId="2330E8D0" w14:textId="77777777" w:rsidR="00EB0BC0" w:rsidRPr="00715545" w:rsidRDefault="00EB0BC0" w:rsidP="00B77C0B">
            <w:pPr>
              <w:pStyle w:val="NoSpacing"/>
              <w:rPr>
                <w:rFonts w:ascii="Times New Roman" w:hAnsi="Times New Roman" w:cs="Times New Roman"/>
                <w:szCs w:val="24"/>
                <w:lang w:eastAsia="en-IN"/>
              </w:rPr>
            </w:pPr>
            <w:r w:rsidRPr="00715545">
              <w:rPr>
                <w:rFonts w:ascii="Times New Roman" w:hAnsi="Times New Roman" w:cs="Times New Roman"/>
                <w:szCs w:val="24"/>
                <w:lang w:eastAsia="en-IN"/>
              </w:rPr>
              <w:t>Rs. 600 for four persons and Rs. 31.25 for every additional seat.</w:t>
            </w:r>
          </w:p>
        </w:tc>
      </w:tr>
      <w:tr w:rsidR="00EB0BC0" w:rsidRPr="00715545" w14:paraId="7CBF86BD" w14:textId="77777777" w:rsidTr="00A85D2D">
        <w:trPr>
          <w:trHeight w:val="20"/>
          <w:jc w:val="center"/>
        </w:trPr>
        <w:tc>
          <w:tcPr>
            <w:tcW w:w="1609" w:type="dxa"/>
            <w:tcBorders>
              <w:top w:val="nil"/>
              <w:left w:val="single" w:sz="4" w:space="0" w:color="auto"/>
              <w:bottom w:val="single" w:sz="4" w:space="0" w:color="auto"/>
              <w:right w:val="single" w:sz="4" w:space="0" w:color="auto"/>
            </w:tcBorders>
            <w:shd w:val="clear" w:color="000000" w:fill="FFFFFF"/>
            <w:vAlign w:val="center"/>
            <w:hideMark/>
          </w:tcPr>
          <w:p w14:paraId="52D4B026" w14:textId="77777777" w:rsidR="00EB0BC0" w:rsidRPr="00715545" w:rsidRDefault="00EB0BC0" w:rsidP="00B77C0B">
            <w:pPr>
              <w:pStyle w:val="NoSpacing"/>
              <w:rPr>
                <w:rFonts w:ascii="Times New Roman" w:hAnsi="Times New Roman" w:cs="Times New Roman"/>
                <w:szCs w:val="24"/>
                <w:lang w:eastAsia="en-IN"/>
              </w:rPr>
            </w:pPr>
            <w:r w:rsidRPr="00715545">
              <w:rPr>
                <w:rFonts w:ascii="Times New Roman" w:hAnsi="Times New Roman" w:cs="Times New Roman"/>
                <w:szCs w:val="24"/>
                <w:lang w:eastAsia="en-IN"/>
              </w:rPr>
              <w:t>Jammu &amp; Kashmir</w:t>
            </w:r>
          </w:p>
        </w:tc>
        <w:tc>
          <w:tcPr>
            <w:tcW w:w="2846" w:type="dxa"/>
            <w:tcBorders>
              <w:top w:val="nil"/>
              <w:left w:val="nil"/>
              <w:bottom w:val="single" w:sz="4" w:space="0" w:color="auto"/>
              <w:right w:val="single" w:sz="4" w:space="0" w:color="auto"/>
            </w:tcBorders>
            <w:shd w:val="clear" w:color="000000" w:fill="FFFFFF"/>
            <w:vAlign w:val="center"/>
            <w:hideMark/>
          </w:tcPr>
          <w:p w14:paraId="44767773" w14:textId="77777777" w:rsidR="00EB0BC0" w:rsidRPr="00715545" w:rsidRDefault="00EB0BC0" w:rsidP="00B77C0B">
            <w:pPr>
              <w:pStyle w:val="NoSpacing"/>
              <w:rPr>
                <w:rFonts w:ascii="Times New Roman" w:hAnsi="Times New Roman" w:cs="Times New Roman"/>
                <w:szCs w:val="24"/>
                <w:lang w:eastAsia="en-IN"/>
              </w:rPr>
            </w:pPr>
            <w:r w:rsidRPr="00715545">
              <w:rPr>
                <w:rFonts w:ascii="Times New Roman" w:hAnsi="Times New Roman" w:cs="Times New Roman"/>
                <w:szCs w:val="24"/>
                <w:lang w:eastAsia="en-IN"/>
              </w:rPr>
              <w:t>Rs. 160 upto 450 Kg laden weight.</w:t>
            </w:r>
          </w:p>
        </w:tc>
        <w:tc>
          <w:tcPr>
            <w:tcW w:w="3342" w:type="dxa"/>
            <w:tcBorders>
              <w:top w:val="nil"/>
              <w:left w:val="nil"/>
              <w:bottom w:val="single" w:sz="4" w:space="0" w:color="auto"/>
              <w:right w:val="single" w:sz="4" w:space="0" w:color="auto"/>
            </w:tcBorders>
            <w:shd w:val="clear" w:color="000000" w:fill="FFFFFF"/>
            <w:vAlign w:val="center"/>
            <w:hideMark/>
          </w:tcPr>
          <w:p w14:paraId="0FD141DC" w14:textId="77777777" w:rsidR="00EB0BC0" w:rsidRPr="00715545" w:rsidRDefault="00EB0BC0" w:rsidP="00B77C0B">
            <w:pPr>
              <w:pStyle w:val="NoSpacing"/>
              <w:rPr>
                <w:rFonts w:ascii="Times New Roman" w:hAnsi="Times New Roman" w:cs="Times New Roman"/>
                <w:szCs w:val="24"/>
                <w:lang w:eastAsia="en-IN"/>
              </w:rPr>
            </w:pPr>
            <w:r w:rsidRPr="00715545">
              <w:rPr>
                <w:rFonts w:ascii="Times New Roman" w:hAnsi="Times New Roman" w:cs="Times New Roman"/>
                <w:szCs w:val="24"/>
                <w:lang w:eastAsia="en-IN"/>
              </w:rPr>
              <w:t>Rs. 300</w:t>
            </w:r>
          </w:p>
        </w:tc>
        <w:tc>
          <w:tcPr>
            <w:tcW w:w="2722" w:type="dxa"/>
            <w:tcBorders>
              <w:top w:val="nil"/>
              <w:left w:val="nil"/>
              <w:bottom w:val="single" w:sz="4" w:space="0" w:color="auto"/>
              <w:right w:val="single" w:sz="4" w:space="0" w:color="auto"/>
            </w:tcBorders>
            <w:shd w:val="clear" w:color="000000" w:fill="FFFFFF"/>
            <w:vAlign w:val="center"/>
            <w:hideMark/>
          </w:tcPr>
          <w:p w14:paraId="69D8488C" w14:textId="77777777" w:rsidR="00EB0BC0" w:rsidRPr="00715545" w:rsidRDefault="00EB0BC0" w:rsidP="00B77C0B">
            <w:pPr>
              <w:pStyle w:val="NoSpacing"/>
              <w:rPr>
                <w:rFonts w:ascii="Times New Roman" w:hAnsi="Times New Roman" w:cs="Times New Roman"/>
                <w:szCs w:val="24"/>
                <w:lang w:eastAsia="en-IN"/>
              </w:rPr>
            </w:pPr>
            <w:r w:rsidRPr="00715545">
              <w:rPr>
                <w:rFonts w:ascii="Times New Roman" w:hAnsi="Times New Roman" w:cs="Times New Roman"/>
                <w:szCs w:val="24"/>
                <w:lang w:eastAsia="en-IN"/>
              </w:rPr>
              <w:t>Rs. 380 for 34 persons or more.</w:t>
            </w:r>
          </w:p>
        </w:tc>
        <w:tc>
          <w:tcPr>
            <w:tcW w:w="2482" w:type="dxa"/>
            <w:tcBorders>
              <w:top w:val="nil"/>
              <w:left w:val="nil"/>
              <w:bottom w:val="single" w:sz="4" w:space="0" w:color="auto"/>
              <w:right w:val="single" w:sz="4" w:space="0" w:color="auto"/>
            </w:tcBorders>
            <w:shd w:val="clear" w:color="000000" w:fill="FFFFFF"/>
            <w:vAlign w:val="center"/>
            <w:hideMark/>
          </w:tcPr>
          <w:p w14:paraId="29640278" w14:textId="77777777" w:rsidR="00EB0BC0" w:rsidRPr="00715545" w:rsidRDefault="00EB0BC0" w:rsidP="00B77C0B">
            <w:pPr>
              <w:pStyle w:val="NoSpacing"/>
              <w:rPr>
                <w:rFonts w:ascii="Times New Roman" w:hAnsi="Times New Roman" w:cs="Times New Roman"/>
                <w:szCs w:val="24"/>
                <w:lang w:eastAsia="en-IN"/>
              </w:rPr>
            </w:pPr>
            <w:r w:rsidRPr="00715545">
              <w:rPr>
                <w:rFonts w:ascii="Times New Roman" w:hAnsi="Times New Roman" w:cs="Times New Roman"/>
                <w:szCs w:val="24"/>
                <w:lang w:eastAsia="en-IN"/>
              </w:rPr>
              <w:t>Rs. 40 (upto 14 HP).</w:t>
            </w:r>
          </w:p>
        </w:tc>
      </w:tr>
      <w:tr w:rsidR="00EB0BC0" w:rsidRPr="00715545" w14:paraId="1C24AAD7" w14:textId="77777777" w:rsidTr="00A85D2D">
        <w:trPr>
          <w:trHeight w:val="20"/>
          <w:jc w:val="center"/>
        </w:trPr>
        <w:tc>
          <w:tcPr>
            <w:tcW w:w="1609" w:type="dxa"/>
            <w:tcBorders>
              <w:top w:val="nil"/>
              <w:left w:val="single" w:sz="4" w:space="0" w:color="auto"/>
              <w:bottom w:val="single" w:sz="4" w:space="0" w:color="auto"/>
              <w:right w:val="single" w:sz="4" w:space="0" w:color="auto"/>
            </w:tcBorders>
            <w:shd w:val="clear" w:color="000000" w:fill="FFFFFF"/>
            <w:vAlign w:val="center"/>
            <w:hideMark/>
          </w:tcPr>
          <w:p w14:paraId="5AA0F5FF" w14:textId="77777777" w:rsidR="00EB0BC0" w:rsidRPr="00715545" w:rsidRDefault="00EB0BC0" w:rsidP="00B77C0B">
            <w:pPr>
              <w:pStyle w:val="NoSpacing"/>
              <w:rPr>
                <w:rFonts w:ascii="Times New Roman" w:hAnsi="Times New Roman" w:cs="Times New Roman"/>
                <w:szCs w:val="24"/>
                <w:lang w:eastAsia="en-IN"/>
              </w:rPr>
            </w:pPr>
            <w:r w:rsidRPr="00715545">
              <w:rPr>
                <w:rFonts w:ascii="Times New Roman" w:hAnsi="Times New Roman" w:cs="Times New Roman"/>
                <w:szCs w:val="24"/>
                <w:lang w:eastAsia="en-IN"/>
              </w:rPr>
              <w:lastRenderedPageBreak/>
              <w:t>Kerala</w:t>
            </w:r>
          </w:p>
        </w:tc>
        <w:tc>
          <w:tcPr>
            <w:tcW w:w="2846" w:type="dxa"/>
            <w:tcBorders>
              <w:top w:val="nil"/>
              <w:left w:val="nil"/>
              <w:bottom w:val="single" w:sz="4" w:space="0" w:color="auto"/>
              <w:right w:val="single" w:sz="4" w:space="0" w:color="auto"/>
            </w:tcBorders>
            <w:shd w:val="clear" w:color="000000" w:fill="FFFFFF"/>
            <w:vAlign w:val="center"/>
            <w:hideMark/>
          </w:tcPr>
          <w:p w14:paraId="6C0A22DB" w14:textId="77777777" w:rsidR="00EB0BC0" w:rsidRPr="00715545" w:rsidRDefault="00EB0BC0" w:rsidP="00B77C0B">
            <w:pPr>
              <w:pStyle w:val="NoSpacing"/>
              <w:rPr>
                <w:rFonts w:ascii="Times New Roman" w:hAnsi="Times New Roman" w:cs="Times New Roman"/>
                <w:szCs w:val="24"/>
                <w:lang w:eastAsia="en-IN"/>
              </w:rPr>
            </w:pPr>
            <w:r w:rsidRPr="00715545">
              <w:rPr>
                <w:rFonts w:ascii="Times New Roman" w:hAnsi="Times New Roman" w:cs="Times New Roman"/>
                <w:szCs w:val="24"/>
                <w:lang w:eastAsia="en-IN"/>
              </w:rPr>
              <w:t>Rs. 132 upto 300 Kg laden weight for vehicles with pneumatic tyres and Rs. 172 for vehicles with other tyres.</w:t>
            </w:r>
          </w:p>
        </w:tc>
        <w:tc>
          <w:tcPr>
            <w:tcW w:w="3342" w:type="dxa"/>
            <w:tcBorders>
              <w:top w:val="nil"/>
              <w:left w:val="nil"/>
              <w:bottom w:val="single" w:sz="4" w:space="0" w:color="auto"/>
              <w:right w:val="single" w:sz="4" w:space="0" w:color="auto"/>
            </w:tcBorders>
            <w:shd w:val="clear" w:color="000000" w:fill="FFFFFF"/>
            <w:vAlign w:val="center"/>
            <w:hideMark/>
          </w:tcPr>
          <w:p w14:paraId="5BE828FD" w14:textId="77777777" w:rsidR="00EB0BC0" w:rsidRPr="00715545" w:rsidRDefault="00EB0BC0" w:rsidP="00B77C0B">
            <w:pPr>
              <w:pStyle w:val="NoSpacing"/>
              <w:rPr>
                <w:rFonts w:ascii="Times New Roman" w:hAnsi="Times New Roman" w:cs="Times New Roman"/>
                <w:szCs w:val="24"/>
                <w:lang w:eastAsia="en-IN"/>
              </w:rPr>
            </w:pPr>
            <w:r w:rsidRPr="00715545">
              <w:rPr>
                <w:rFonts w:ascii="Times New Roman" w:hAnsi="Times New Roman" w:cs="Times New Roman"/>
                <w:szCs w:val="24"/>
                <w:lang w:eastAsia="en-IN"/>
              </w:rPr>
              <w:t>Rs. 2100 for vehicles with pneumatic tyres and Rs. 3300 for vehicles with other tyres.</w:t>
            </w:r>
          </w:p>
        </w:tc>
        <w:tc>
          <w:tcPr>
            <w:tcW w:w="2722" w:type="dxa"/>
            <w:tcBorders>
              <w:top w:val="nil"/>
              <w:left w:val="nil"/>
              <w:bottom w:val="single" w:sz="4" w:space="0" w:color="auto"/>
              <w:right w:val="single" w:sz="4" w:space="0" w:color="auto"/>
            </w:tcBorders>
            <w:shd w:val="clear" w:color="000000" w:fill="FFFFFF"/>
            <w:vAlign w:val="center"/>
            <w:hideMark/>
          </w:tcPr>
          <w:p w14:paraId="74794E72" w14:textId="77777777" w:rsidR="00EB0BC0" w:rsidRPr="00715545" w:rsidRDefault="00EB0BC0" w:rsidP="00B77C0B">
            <w:pPr>
              <w:pStyle w:val="NoSpacing"/>
              <w:rPr>
                <w:rFonts w:ascii="Times New Roman" w:hAnsi="Times New Roman" w:cs="Times New Roman"/>
                <w:szCs w:val="24"/>
                <w:lang w:eastAsia="en-IN"/>
              </w:rPr>
            </w:pPr>
            <w:r w:rsidRPr="00715545">
              <w:rPr>
                <w:rFonts w:ascii="Times New Roman" w:hAnsi="Times New Roman" w:cs="Times New Roman"/>
                <w:szCs w:val="24"/>
                <w:lang w:eastAsia="en-IN"/>
              </w:rPr>
              <w:t>Rs. 140 per seat for vehicles covering 200 Km in a day and fitted with pneumatic tyres and Rs. 200 per seat for similar vehicles with other tyres.</w:t>
            </w:r>
          </w:p>
        </w:tc>
        <w:tc>
          <w:tcPr>
            <w:tcW w:w="2482" w:type="dxa"/>
            <w:tcBorders>
              <w:top w:val="nil"/>
              <w:left w:val="nil"/>
              <w:bottom w:val="single" w:sz="4" w:space="0" w:color="auto"/>
              <w:right w:val="single" w:sz="4" w:space="0" w:color="auto"/>
            </w:tcBorders>
            <w:shd w:val="clear" w:color="000000" w:fill="FFFFFF"/>
            <w:vAlign w:val="center"/>
            <w:hideMark/>
          </w:tcPr>
          <w:p w14:paraId="6CC351C4" w14:textId="77777777" w:rsidR="00EB0BC0" w:rsidRPr="00715545" w:rsidRDefault="00EB0BC0" w:rsidP="00B77C0B">
            <w:pPr>
              <w:pStyle w:val="NoSpacing"/>
              <w:rPr>
                <w:rFonts w:ascii="Times New Roman" w:hAnsi="Times New Roman" w:cs="Times New Roman"/>
                <w:szCs w:val="24"/>
                <w:lang w:eastAsia="en-IN"/>
              </w:rPr>
            </w:pPr>
            <w:r w:rsidRPr="00715545">
              <w:rPr>
                <w:rFonts w:ascii="Times New Roman" w:hAnsi="Times New Roman" w:cs="Times New Roman"/>
                <w:szCs w:val="24"/>
                <w:lang w:eastAsia="en-IN"/>
              </w:rPr>
              <w:t>Rs. 160 for vehicles with pneumatic tyres and Rs. 220 for similar vehicles with other tyres.</w:t>
            </w:r>
          </w:p>
        </w:tc>
      </w:tr>
      <w:tr w:rsidR="00EB0BC0" w:rsidRPr="00715545" w14:paraId="479D7C1D" w14:textId="77777777" w:rsidTr="00A85D2D">
        <w:trPr>
          <w:trHeight w:val="20"/>
          <w:jc w:val="center"/>
        </w:trPr>
        <w:tc>
          <w:tcPr>
            <w:tcW w:w="1609" w:type="dxa"/>
            <w:tcBorders>
              <w:top w:val="nil"/>
              <w:left w:val="single" w:sz="4" w:space="0" w:color="auto"/>
              <w:bottom w:val="single" w:sz="4" w:space="0" w:color="auto"/>
              <w:right w:val="single" w:sz="4" w:space="0" w:color="auto"/>
            </w:tcBorders>
            <w:shd w:val="clear" w:color="000000" w:fill="FFFFFF"/>
            <w:vAlign w:val="center"/>
            <w:hideMark/>
          </w:tcPr>
          <w:p w14:paraId="45BABD77" w14:textId="77777777" w:rsidR="00EB0BC0" w:rsidRPr="00715545" w:rsidRDefault="00EB0BC0" w:rsidP="00B77C0B">
            <w:pPr>
              <w:pStyle w:val="NoSpacing"/>
              <w:rPr>
                <w:rFonts w:ascii="Times New Roman" w:hAnsi="Times New Roman" w:cs="Times New Roman"/>
                <w:szCs w:val="24"/>
                <w:lang w:eastAsia="en-IN"/>
              </w:rPr>
            </w:pPr>
            <w:r w:rsidRPr="00715545">
              <w:rPr>
                <w:rFonts w:ascii="Times New Roman" w:hAnsi="Times New Roman" w:cs="Times New Roman"/>
                <w:szCs w:val="24"/>
                <w:lang w:eastAsia="en-IN"/>
              </w:rPr>
              <w:t>Madhya Pradesh</w:t>
            </w:r>
          </w:p>
        </w:tc>
        <w:tc>
          <w:tcPr>
            <w:tcW w:w="2846" w:type="dxa"/>
            <w:tcBorders>
              <w:top w:val="nil"/>
              <w:left w:val="nil"/>
              <w:bottom w:val="single" w:sz="4" w:space="0" w:color="auto"/>
              <w:right w:val="single" w:sz="4" w:space="0" w:color="auto"/>
            </w:tcBorders>
            <w:shd w:val="clear" w:color="000000" w:fill="FFFFFF"/>
            <w:vAlign w:val="center"/>
            <w:hideMark/>
          </w:tcPr>
          <w:p w14:paraId="28036363" w14:textId="77777777" w:rsidR="00EB0BC0" w:rsidRPr="00715545" w:rsidRDefault="00EB0BC0" w:rsidP="00B77C0B">
            <w:pPr>
              <w:pStyle w:val="NoSpacing"/>
              <w:rPr>
                <w:rFonts w:ascii="Times New Roman" w:hAnsi="Times New Roman" w:cs="Times New Roman"/>
                <w:szCs w:val="24"/>
                <w:lang w:eastAsia="en-IN"/>
              </w:rPr>
            </w:pPr>
            <w:r w:rsidRPr="00715545">
              <w:rPr>
                <w:rFonts w:ascii="Times New Roman" w:hAnsi="Times New Roman" w:cs="Times New Roman"/>
                <w:szCs w:val="24"/>
                <w:lang w:eastAsia="en-IN"/>
              </w:rPr>
              <w:t>Rs. 240 upto 1780 Kg laden weight.</w:t>
            </w:r>
          </w:p>
        </w:tc>
        <w:tc>
          <w:tcPr>
            <w:tcW w:w="3342" w:type="dxa"/>
            <w:tcBorders>
              <w:top w:val="nil"/>
              <w:left w:val="nil"/>
              <w:bottom w:val="single" w:sz="4" w:space="0" w:color="auto"/>
              <w:right w:val="single" w:sz="4" w:space="0" w:color="auto"/>
            </w:tcBorders>
            <w:shd w:val="clear" w:color="000000" w:fill="FFFFFF"/>
            <w:vAlign w:val="center"/>
            <w:hideMark/>
          </w:tcPr>
          <w:p w14:paraId="250888AF" w14:textId="77777777" w:rsidR="00EB0BC0" w:rsidRPr="00715545" w:rsidRDefault="00EB0BC0" w:rsidP="00B77C0B">
            <w:pPr>
              <w:pStyle w:val="NoSpacing"/>
              <w:rPr>
                <w:rFonts w:ascii="Times New Roman" w:hAnsi="Times New Roman" w:cs="Times New Roman"/>
                <w:szCs w:val="24"/>
                <w:lang w:eastAsia="en-IN"/>
              </w:rPr>
            </w:pPr>
            <w:r w:rsidRPr="00715545">
              <w:rPr>
                <w:rFonts w:ascii="Times New Roman" w:hAnsi="Times New Roman" w:cs="Times New Roman"/>
                <w:szCs w:val="24"/>
                <w:lang w:eastAsia="en-IN"/>
              </w:rPr>
              <w:t>Rs. 1230</w:t>
            </w:r>
          </w:p>
        </w:tc>
        <w:tc>
          <w:tcPr>
            <w:tcW w:w="2722" w:type="dxa"/>
            <w:tcBorders>
              <w:top w:val="nil"/>
              <w:left w:val="nil"/>
              <w:bottom w:val="single" w:sz="4" w:space="0" w:color="auto"/>
              <w:right w:val="single" w:sz="4" w:space="0" w:color="auto"/>
            </w:tcBorders>
            <w:shd w:val="clear" w:color="000000" w:fill="FFFFFF"/>
            <w:vAlign w:val="center"/>
            <w:hideMark/>
          </w:tcPr>
          <w:p w14:paraId="5370727F" w14:textId="77777777" w:rsidR="00EB0BC0" w:rsidRPr="00715545" w:rsidRDefault="00EB0BC0" w:rsidP="00B77C0B">
            <w:pPr>
              <w:pStyle w:val="NoSpacing"/>
              <w:rPr>
                <w:rFonts w:ascii="Times New Roman" w:hAnsi="Times New Roman" w:cs="Times New Roman"/>
                <w:szCs w:val="24"/>
                <w:lang w:eastAsia="en-IN"/>
              </w:rPr>
            </w:pPr>
            <w:r w:rsidRPr="00715545">
              <w:rPr>
                <w:rFonts w:ascii="Times New Roman" w:hAnsi="Times New Roman" w:cs="Times New Roman"/>
                <w:szCs w:val="24"/>
                <w:lang w:eastAsia="en-IN"/>
              </w:rPr>
              <w:t>Rs. 1050 upto 25 passengers and Rs. 84 for every additional passenger.</w:t>
            </w:r>
          </w:p>
        </w:tc>
        <w:tc>
          <w:tcPr>
            <w:tcW w:w="2482" w:type="dxa"/>
            <w:tcBorders>
              <w:top w:val="nil"/>
              <w:left w:val="nil"/>
              <w:bottom w:val="single" w:sz="4" w:space="0" w:color="auto"/>
              <w:right w:val="single" w:sz="4" w:space="0" w:color="auto"/>
            </w:tcBorders>
            <w:shd w:val="clear" w:color="000000" w:fill="FFFFFF"/>
            <w:vAlign w:val="center"/>
            <w:hideMark/>
          </w:tcPr>
          <w:p w14:paraId="1BE55292" w14:textId="77777777" w:rsidR="00EB0BC0" w:rsidRPr="00715545" w:rsidRDefault="00EB0BC0" w:rsidP="00B77C0B">
            <w:pPr>
              <w:pStyle w:val="NoSpacing"/>
              <w:rPr>
                <w:rFonts w:ascii="Times New Roman" w:hAnsi="Times New Roman" w:cs="Times New Roman"/>
                <w:szCs w:val="24"/>
                <w:lang w:eastAsia="en-IN"/>
              </w:rPr>
            </w:pPr>
            <w:r w:rsidRPr="00715545">
              <w:rPr>
                <w:rFonts w:ascii="Times New Roman" w:hAnsi="Times New Roman" w:cs="Times New Roman"/>
                <w:szCs w:val="24"/>
                <w:lang w:eastAsia="en-IN"/>
              </w:rPr>
              <w:t>Rs. 102 (760 Kg to 1520 Kg)</w:t>
            </w:r>
          </w:p>
        </w:tc>
      </w:tr>
      <w:tr w:rsidR="00EB0BC0" w:rsidRPr="00715545" w14:paraId="28DB6A0A" w14:textId="77777777" w:rsidTr="00A85D2D">
        <w:trPr>
          <w:trHeight w:val="20"/>
          <w:jc w:val="center"/>
        </w:trPr>
        <w:tc>
          <w:tcPr>
            <w:tcW w:w="1609" w:type="dxa"/>
            <w:tcBorders>
              <w:top w:val="nil"/>
              <w:left w:val="single" w:sz="4" w:space="0" w:color="auto"/>
              <w:bottom w:val="single" w:sz="4" w:space="0" w:color="auto"/>
              <w:right w:val="single" w:sz="4" w:space="0" w:color="auto"/>
            </w:tcBorders>
            <w:shd w:val="clear" w:color="000000" w:fill="FFFFFF"/>
            <w:vAlign w:val="center"/>
            <w:hideMark/>
          </w:tcPr>
          <w:p w14:paraId="7FAF2C8A" w14:textId="77777777" w:rsidR="00EB0BC0" w:rsidRPr="00715545" w:rsidRDefault="00EB0BC0" w:rsidP="00B77C0B">
            <w:pPr>
              <w:pStyle w:val="NoSpacing"/>
              <w:rPr>
                <w:rFonts w:ascii="Times New Roman" w:hAnsi="Times New Roman" w:cs="Times New Roman"/>
                <w:szCs w:val="24"/>
                <w:lang w:eastAsia="en-IN"/>
              </w:rPr>
            </w:pPr>
            <w:r w:rsidRPr="00715545">
              <w:rPr>
                <w:rFonts w:ascii="Times New Roman" w:hAnsi="Times New Roman" w:cs="Times New Roman"/>
                <w:szCs w:val="24"/>
                <w:lang w:eastAsia="en-IN"/>
              </w:rPr>
              <w:t>Maharashtra</w:t>
            </w:r>
          </w:p>
        </w:tc>
        <w:tc>
          <w:tcPr>
            <w:tcW w:w="2846" w:type="dxa"/>
            <w:tcBorders>
              <w:top w:val="nil"/>
              <w:left w:val="nil"/>
              <w:bottom w:val="single" w:sz="4" w:space="0" w:color="auto"/>
              <w:right w:val="single" w:sz="4" w:space="0" w:color="auto"/>
            </w:tcBorders>
            <w:shd w:val="clear" w:color="000000" w:fill="FFFFFF"/>
            <w:vAlign w:val="center"/>
            <w:hideMark/>
          </w:tcPr>
          <w:p w14:paraId="7E4C9953" w14:textId="77777777" w:rsidR="00EB0BC0" w:rsidRPr="00715545" w:rsidRDefault="00EB0BC0" w:rsidP="00B77C0B">
            <w:pPr>
              <w:pStyle w:val="NoSpacing"/>
              <w:rPr>
                <w:rFonts w:ascii="Times New Roman" w:hAnsi="Times New Roman" w:cs="Times New Roman"/>
                <w:szCs w:val="24"/>
                <w:lang w:eastAsia="en-IN"/>
              </w:rPr>
            </w:pPr>
            <w:r w:rsidRPr="00715545">
              <w:rPr>
                <w:rFonts w:ascii="Times New Roman" w:hAnsi="Times New Roman" w:cs="Times New Roman"/>
                <w:szCs w:val="24"/>
                <w:lang w:eastAsia="en-IN"/>
              </w:rPr>
              <w:t>Rs. 200 upto 750 Kg laden weight.</w:t>
            </w:r>
          </w:p>
        </w:tc>
        <w:tc>
          <w:tcPr>
            <w:tcW w:w="3342" w:type="dxa"/>
            <w:tcBorders>
              <w:top w:val="nil"/>
              <w:left w:val="nil"/>
              <w:bottom w:val="single" w:sz="4" w:space="0" w:color="auto"/>
              <w:right w:val="single" w:sz="4" w:space="0" w:color="auto"/>
            </w:tcBorders>
            <w:shd w:val="clear" w:color="000000" w:fill="FFFFFF"/>
            <w:vAlign w:val="center"/>
            <w:hideMark/>
          </w:tcPr>
          <w:p w14:paraId="5BA2F445" w14:textId="77777777" w:rsidR="00EB0BC0" w:rsidRPr="00715545" w:rsidRDefault="00EB0BC0" w:rsidP="00B77C0B">
            <w:pPr>
              <w:pStyle w:val="NoSpacing"/>
              <w:rPr>
                <w:rFonts w:ascii="Times New Roman" w:hAnsi="Times New Roman" w:cs="Times New Roman"/>
                <w:szCs w:val="24"/>
                <w:lang w:eastAsia="en-IN"/>
              </w:rPr>
            </w:pPr>
            <w:r w:rsidRPr="00715545">
              <w:rPr>
                <w:rFonts w:ascii="Times New Roman" w:hAnsi="Times New Roman" w:cs="Times New Roman"/>
                <w:szCs w:val="24"/>
                <w:lang w:eastAsia="en-IN"/>
              </w:rPr>
              <w:t>Rs. 1350</w:t>
            </w:r>
          </w:p>
        </w:tc>
        <w:tc>
          <w:tcPr>
            <w:tcW w:w="2722" w:type="dxa"/>
            <w:tcBorders>
              <w:top w:val="nil"/>
              <w:left w:val="nil"/>
              <w:bottom w:val="single" w:sz="4" w:space="0" w:color="auto"/>
              <w:right w:val="single" w:sz="4" w:space="0" w:color="auto"/>
            </w:tcBorders>
            <w:shd w:val="clear" w:color="000000" w:fill="FFFFFF"/>
            <w:vAlign w:val="center"/>
            <w:hideMark/>
          </w:tcPr>
          <w:p w14:paraId="1581E34B" w14:textId="77777777" w:rsidR="00EB0BC0" w:rsidRPr="00715545" w:rsidRDefault="00EB0BC0" w:rsidP="00B77C0B">
            <w:pPr>
              <w:pStyle w:val="NoSpacing"/>
              <w:rPr>
                <w:rFonts w:ascii="Times New Roman" w:hAnsi="Times New Roman" w:cs="Times New Roman"/>
                <w:szCs w:val="24"/>
                <w:lang w:eastAsia="en-IN"/>
              </w:rPr>
            </w:pPr>
            <w:r w:rsidRPr="00715545">
              <w:rPr>
                <w:rFonts w:ascii="Times New Roman" w:hAnsi="Times New Roman" w:cs="Times New Roman"/>
                <w:szCs w:val="24"/>
                <w:lang w:eastAsia="en-IN"/>
              </w:rPr>
              <w:t>Rs. 240 for four passengers plus Rs. 55 for every additional passenger.</w:t>
            </w:r>
          </w:p>
        </w:tc>
        <w:tc>
          <w:tcPr>
            <w:tcW w:w="2482" w:type="dxa"/>
            <w:tcBorders>
              <w:top w:val="nil"/>
              <w:left w:val="nil"/>
              <w:bottom w:val="single" w:sz="4" w:space="0" w:color="auto"/>
              <w:right w:val="single" w:sz="4" w:space="0" w:color="auto"/>
            </w:tcBorders>
            <w:shd w:val="clear" w:color="000000" w:fill="FFFFFF"/>
            <w:vAlign w:val="center"/>
            <w:hideMark/>
          </w:tcPr>
          <w:p w14:paraId="32F98120" w14:textId="77777777" w:rsidR="00EB0BC0" w:rsidRPr="00715545" w:rsidRDefault="00EB0BC0" w:rsidP="00B77C0B">
            <w:pPr>
              <w:pStyle w:val="NoSpacing"/>
              <w:rPr>
                <w:rFonts w:ascii="Times New Roman" w:hAnsi="Times New Roman" w:cs="Times New Roman"/>
                <w:szCs w:val="24"/>
                <w:lang w:eastAsia="en-IN"/>
              </w:rPr>
            </w:pPr>
            <w:r w:rsidRPr="00715545">
              <w:rPr>
                <w:rFonts w:ascii="Times New Roman" w:hAnsi="Times New Roman" w:cs="Times New Roman"/>
                <w:szCs w:val="24"/>
                <w:lang w:eastAsia="en-IN"/>
              </w:rPr>
              <w:t>Rs. 120 (750 Kg to 1500 Kg)</w:t>
            </w:r>
          </w:p>
        </w:tc>
      </w:tr>
      <w:tr w:rsidR="00EB0BC0" w:rsidRPr="00715545" w14:paraId="62A9C383" w14:textId="77777777" w:rsidTr="00A85D2D">
        <w:trPr>
          <w:trHeight w:val="20"/>
          <w:jc w:val="center"/>
        </w:trPr>
        <w:tc>
          <w:tcPr>
            <w:tcW w:w="1609" w:type="dxa"/>
            <w:tcBorders>
              <w:top w:val="nil"/>
              <w:left w:val="single" w:sz="4" w:space="0" w:color="auto"/>
              <w:bottom w:val="single" w:sz="4" w:space="0" w:color="auto"/>
              <w:right w:val="single" w:sz="4" w:space="0" w:color="auto"/>
            </w:tcBorders>
            <w:shd w:val="clear" w:color="000000" w:fill="FFFFFF"/>
            <w:vAlign w:val="center"/>
            <w:hideMark/>
          </w:tcPr>
          <w:p w14:paraId="047FCB11" w14:textId="77777777" w:rsidR="00EB0BC0" w:rsidRPr="00715545" w:rsidRDefault="00EB0BC0" w:rsidP="00B77C0B">
            <w:pPr>
              <w:pStyle w:val="NoSpacing"/>
              <w:rPr>
                <w:rFonts w:ascii="Times New Roman" w:hAnsi="Times New Roman" w:cs="Times New Roman"/>
                <w:szCs w:val="24"/>
                <w:lang w:eastAsia="en-IN"/>
              </w:rPr>
            </w:pPr>
            <w:r w:rsidRPr="00715545">
              <w:rPr>
                <w:rFonts w:ascii="Times New Roman" w:hAnsi="Times New Roman" w:cs="Times New Roman"/>
                <w:szCs w:val="24"/>
                <w:lang w:eastAsia="en-IN"/>
              </w:rPr>
              <w:t>Mysore</w:t>
            </w:r>
          </w:p>
        </w:tc>
        <w:tc>
          <w:tcPr>
            <w:tcW w:w="2846" w:type="dxa"/>
            <w:tcBorders>
              <w:top w:val="nil"/>
              <w:left w:val="nil"/>
              <w:bottom w:val="single" w:sz="4" w:space="0" w:color="auto"/>
              <w:right w:val="single" w:sz="4" w:space="0" w:color="auto"/>
            </w:tcBorders>
            <w:shd w:val="clear" w:color="000000" w:fill="FFFFFF"/>
            <w:vAlign w:val="center"/>
            <w:hideMark/>
          </w:tcPr>
          <w:p w14:paraId="359DFEF4" w14:textId="77777777" w:rsidR="00EB0BC0" w:rsidRPr="00715545" w:rsidRDefault="00EB0BC0" w:rsidP="00B77C0B">
            <w:pPr>
              <w:pStyle w:val="NoSpacing"/>
              <w:rPr>
                <w:rFonts w:ascii="Times New Roman" w:hAnsi="Times New Roman" w:cs="Times New Roman"/>
                <w:szCs w:val="24"/>
                <w:lang w:eastAsia="en-IN"/>
              </w:rPr>
            </w:pPr>
            <w:r w:rsidRPr="00715545">
              <w:rPr>
                <w:rFonts w:ascii="Times New Roman" w:hAnsi="Times New Roman" w:cs="Times New Roman"/>
                <w:szCs w:val="24"/>
                <w:lang w:eastAsia="en-IN"/>
              </w:rPr>
              <w:t>Rs. 180 for vehicles with laden weight of 300 Kg and fitted with pneumatic tyres and Rs. 220 for similar other vehicles.</w:t>
            </w:r>
          </w:p>
        </w:tc>
        <w:tc>
          <w:tcPr>
            <w:tcW w:w="3342" w:type="dxa"/>
            <w:tcBorders>
              <w:top w:val="nil"/>
              <w:left w:val="nil"/>
              <w:bottom w:val="single" w:sz="4" w:space="0" w:color="auto"/>
              <w:right w:val="single" w:sz="4" w:space="0" w:color="auto"/>
            </w:tcBorders>
            <w:shd w:val="clear" w:color="000000" w:fill="FFFFFF"/>
            <w:vAlign w:val="center"/>
            <w:hideMark/>
          </w:tcPr>
          <w:p w14:paraId="094A9DD3" w14:textId="77777777" w:rsidR="00EB0BC0" w:rsidRPr="00715545" w:rsidRDefault="00EB0BC0" w:rsidP="00B77C0B">
            <w:pPr>
              <w:pStyle w:val="NoSpacing"/>
              <w:rPr>
                <w:rFonts w:ascii="Times New Roman" w:hAnsi="Times New Roman" w:cs="Times New Roman"/>
                <w:szCs w:val="24"/>
                <w:lang w:eastAsia="en-IN"/>
              </w:rPr>
            </w:pPr>
            <w:r w:rsidRPr="00715545">
              <w:rPr>
                <w:rFonts w:ascii="Times New Roman" w:hAnsi="Times New Roman" w:cs="Times New Roman"/>
                <w:szCs w:val="24"/>
                <w:lang w:eastAsia="en-IN"/>
              </w:rPr>
              <w:t>Rs. 2400 for vehicles with pneumatic tyres and Rs. 3600 for other vehicles.</w:t>
            </w:r>
          </w:p>
        </w:tc>
        <w:tc>
          <w:tcPr>
            <w:tcW w:w="2722" w:type="dxa"/>
            <w:tcBorders>
              <w:top w:val="nil"/>
              <w:left w:val="nil"/>
              <w:bottom w:val="single" w:sz="4" w:space="0" w:color="auto"/>
              <w:right w:val="single" w:sz="4" w:space="0" w:color="auto"/>
            </w:tcBorders>
            <w:shd w:val="clear" w:color="000000" w:fill="FFFFFF"/>
            <w:vAlign w:val="center"/>
            <w:hideMark/>
          </w:tcPr>
          <w:p w14:paraId="0E957090" w14:textId="77777777" w:rsidR="00EB0BC0" w:rsidRPr="00715545" w:rsidRDefault="00EB0BC0" w:rsidP="00B77C0B">
            <w:pPr>
              <w:pStyle w:val="NoSpacing"/>
              <w:rPr>
                <w:rFonts w:ascii="Times New Roman" w:hAnsi="Times New Roman" w:cs="Times New Roman"/>
                <w:szCs w:val="24"/>
                <w:lang w:eastAsia="en-IN"/>
              </w:rPr>
            </w:pPr>
            <w:r w:rsidRPr="00715545">
              <w:rPr>
                <w:rFonts w:ascii="Times New Roman" w:hAnsi="Times New Roman" w:cs="Times New Roman"/>
                <w:szCs w:val="24"/>
                <w:lang w:eastAsia="en-IN"/>
              </w:rPr>
              <w:t>Rs. 140 for every seat in vehicles with pneumatic tyres and Rs. 210 for every seat in other vehicles.</w:t>
            </w:r>
          </w:p>
        </w:tc>
        <w:tc>
          <w:tcPr>
            <w:tcW w:w="2482" w:type="dxa"/>
            <w:tcBorders>
              <w:top w:val="nil"/>
              <w:left w:val="nil"/>
              <w:bottom w:val="single" w:sz="4" w:space="0" w:color="auto"/>
              <w:right w:val="single" w:sz="4" w:space="0" w:color="auto"/>
            </w:tcBorders>
            <w:shd w:val="clear" w:color="000000" w:fill="FFFFFF"/>
            <w:vAlign w:val="center"/>
            <w:hideMark/>
          </w:tcPr>
          <w:p w14:paraId="160BEDAD" w14:textId="77777777" w:rsidR="00EB0BC0" w:rsidRPr="00715545" w:rsidRDefault="00EB0BC0" w:rsidP="00B77C0B">
            <w:pPr>
              <w:pStyle w:val="NoSpacing"/>
              <w:rPr>
                <w:rFonts w:ascii="Times New Roman" w:hAnsi="Times New Roman" w:cs="Times New Roman"/>
                <w:szCs w:val="24"/>
                <w:lang w:eastAsia="en-IN"/>
              </w:rPr>
            </w:pPr>
            <w:r w:rsidRPr="00715545">
              <w:rPr>
                <w:rFonts w:ascii="Times New Roman" w:hAnsi="Times New Roman" w:cs="Times New Roman"/>
                <w:szCs w:val="24"/>
                <w:lang w:eastAsia="en-IN"/>
              </w:rPr>
              <w:t>Rs. 160 for vehicles with pneumatic tyres and Rs. 220 for others (750 Kg to 1500 Kg).</w:t>
            </w:r>
          </w:p>
        </w:tc>
      </w:tr>
      <w:tr w:rsidR="00EB0BC0" w:rsidRPr="00715545" w14:paraId="041EA65C" w14:textId="77777777" w:rsidTr="00A85D2D">
        <w:trPr>
          <w:trHeight w:val="20"/>
          <w:jc w:val="center"/>
        </w:trPr>
        <w:tc>
          <w:tcPr>
            <w:tcW w:w="1609" w:type="dxa"/>
            <w:tcBorders>
              <w:top w:val="nil"/>
              <w:left w:val="single" w:sz="4" w:space="0" w:color="auto"/>
              <w:bottom w:val="single" w:sz="4" w:space="0" w:color="auto"/>
              <w:right w:val="single" w:sz="4" w:space="0" w:color="auto"/>
            </w:tcBorders>
            <w:shd w:val="clear" w:color="000000" w:fill="FFFFFF"/>
            <w:vAlign w:val="center"/>
            <w:hideMark/>
          </w:tcPr>
          <w:p w14:paraId="25BE653D" w14:textId="77777777" w:rsidR="00EB0BC0" w:rsidRPr="00715545" w:rsidRDefault="00EB0BC0" w:rsidP="00B77C0B">
            <w:pPr>
              <w:pStyle w:val="NoSpacing"/>
              <w:rPr>
                <w:rFonts w:ascii="Times New Roman" w:hAnsi="Times New Roman" w:cs="Times New Roman"/>
                <w:szCs w:val="24"/>
                <w:lang w:eastAsia="en-IN"/>
              </w:rPr>
            </w:pPr>
            <w:r w:rsidRPr="00715545">
              <w:rPr>
                <w:rFonts w:ascii="Times New Roman" w:hAnsi="Times New Roman" w:cs="Times New Roman"/>
                <w:szCs w:val="24"/>
                <w:lang w:eastAsia="en-IN"/>
              </w:rPr>
              <w:t>Orissa</w:t>
            </w:r>
          </w:p>
        </w:tc>
        <w:tc>
          <w:tcPr>
            <w:tcW w:w="2846" w:type="dxa"/>
            <w:tcBorders>
              <w:top w:val="nil"/>
              <w:left w:val="nil"/>
              <w:bottom w:val="single" w:sz="4" w:space="0" w:color="auto"/>
              <w:right w:val="single" w:sz="4" w:space="0" w:color="auto"/>
            </w:tcBorders>
            <w:shd w:val="clear" w:color="000000" w:fill="FFFFFF"/>
            <w:vAlign w:val="center"/>
            <w:hideMark/>
          </w:tcPr>
          <w:p w14:paraId="143E972D" w14:textId="77777777" w:rsidR="00EB0BC0" w:rsidRPr="00715545" w:rsidRDefault="00EB0BC0" w:rsidP="00B77C0B">
            <w:pPr>
              <w:pStyle w:val="NoSpacing"/>
              <w:rPr>
                <w:rFonts w:ascii="Times New Roman" w:hAnsi="Times New Roman" w:cs="Times New Roman"/>
                <w:szCs w:val="24"/>
                <w:lang w:eastAsia="en-IN"/>
              </w:rPr>
            </w:pPr>
            <w:r w:rsidRPr="00715545">
              <w:rPr>
                <w:rFonts w:ascii="Times New Roman" w:hAnsi="Times New Roman" w:cs="Times New Roman"/>
                <w:szCs w:val="24"/>
                <w:lang w:eastAsia="en-IN"/>
              </w:rPr>
              <w:t>Rs. 300 upto 1000 Kg laden weight for vehicles fitted with pneumatic tyres and Rs. 450 for other vehicles.</w:t>
            </w:r>
          </w:p>
        </w:tc>
        <w:tc>
          <w:tcPr>
            <w:tcW w:w="3342" w:type="dxa"/>
            <w:tcBorders>
              <w:top w:val="nil"/>
              <w:left w:val="nil"/>
              <w:bottom w:val="single" w:sz="4" w:space="0" w:color="auto"/>
              <w:right w:val="single" w:sz="4" w:space="0" w:color="auto"/>
            </w:tcBorders>
            <w:shd w:val="clear" w:color="000000" w:fill="FFFFFF"/>
            <w:vAlign w:val="center"/>
            <w:hideMark/>
          </w:tcPr>
          <w:p w14:paraId="403A4DCC" w14:textId="77777777" w:rsidR="00EB0BC0" w:rsidRPr="00715545" w:rsidRDefault="00EB0BC0" w:rsidP="00B77C0B">
            <w:pPr>
              <w:pStyle w:val="NoSpacing"/>
              <w:rPr>
                <w:rFonts w:ascii="Times New Roman" w:hAnsi="Times New Roman" w:cs="Times New Roman"/>
                <w:szCs w:val="24"/>
                <w:lang w:eastAsia="en-IN"/>
              </w:rPr>
            </w:pPr>
            <w:r w:rsidRPr="00715545">
              <w:rPr>
                <w:rFonts w:ascii="Times New Roman" w:hAnsi="Times New Roman" w:cs="Times New Roman"/>
                <w:szCs w:val="24"/>
                <w:lang w:eastAsia="en-IN"/>
              </w:rPr>
              <w:t>Rs. 1900 for vehicles with pneumatic tyre and Rs. 2850 for other vehicles.</w:t>
            </w:r>
          </w:p>
        </w:tc>
        <w:tc>
          <w:tcPr>
            <w:tcW w:w="2722" w:type="dxa"/>
            <w:tcBorders>
              <w:top w:val="nil"/>
              <w:left w:val="nil"/>
              <w:bottom w:val="single" w:sz="4" w:space="0" w:color="auto"/>
              <w:right w:val="single" w:sz="4" w:space="0" w:color="auto"/>
            </w:tcBorders>
            <w:shd w:val="clear" w:color="000000" w:fill="FFFFFF"/>
            <w:vAlign w:val="center"/>
            <w:hideMark/>
          </w:tcPr>
          <w:p w14:paraId="17C76AA5" w14:textId="77777777" w:rsidR="00EB0BC0" w:rsidRPr="00715545" w:rsidRDefault="00EB0BC0" w:rsidP="00B77C0B">
            <w:pPr>
              <w:pStyle w:val="NoSpacing"/>
              <w:rPr>
                <w:rFonts w:ascii="Times New Roman" w:hAnsi="Times New Roman" w:cs="Times New Roman"/>
                <w:szCs w:val="24"/>
                <w:lang w:eastAsia="en-IN"/>
              </w:rPr>
            </w:pPr>
            <w:r w:rsidRPr="00715545">
              <w:rPr>
                <w:rFonts w:ascii="Times New Roman" w:hAnsi="Times New Roman" w:cs="Times New Roman"/>
                <w:szCs w:val="24"/>
                <w:lang w:eastAsia="en-IN"/>
              </w:rPr>
              <w:t>Rs. 120 for each seat for vehicles with pneumatic tyres and Rs. 180 for each seat for other vehicles.</w:t>
            </w:r>
          </w:p>
        </w:tc>
        <w:tc>
          <w:tcPr>
            <w:tcW w:w="2482" w:type="dxa"/>
            <w:tcBorders>
              <w:top w:val="nil"/>
              <w:left w:val="nil"/>
              <w:bottom w:val="single" w:sz="4" w:space="0" w:color="auto"/>
              <w:right w:val="single" w:sz="4" w:space="0" w:color="auto"/>
            </w:tcBorders>
            <w:shd w:val="clear" w:color="000000" w:fill="FFFFFF"/>
            <w:vAlign w:val="center"/>
            <w:hideMark/>
          </w:tcPr>
          <w:p w14:paraId="5853061F" w14:textId="77777777" w:rsidR="00EB0BC0" w:rsidRPr="00715545" w:rsidRDefault="00EB0BC0" w:rsidP="00B77C0B">
            <w:pPr>
              <w:pStyle w:val="NoSpacing"/>
              <w:rPr>
                <w:rFonts w:ascii="Times New Roman" w:hAnsi="Times New Roman" w:cs="Times New Roman"/>
                <w:szCs w:val="24"/>
                <w:lang w:eastAsia="en-IN"/>
              </w:rPr>
            </w:pPr>
            <w:r w:rsidRPr="00715545">
              <w:rPr>
                <w:rFonts w:ascii="Times New Roman" w:hAnsi="Times New Roman" w:cs="Times New Roman"/>
                <w:szCs w:val="24"/>
                <w:lang w:eastAsia="en-IN"/>
              </w:rPr>
              <w:t>Rs. 120 and Rs. 180 for vehicles with pneumatic tyres and other tyres respectively (762 Kg to 1524 Kg).</w:t>
            </w:r>
          </w:p>
        </w:tc>
      </w:tr>
      <w:tr w:rsidR="00EB0BC0" w:rsidRPr="00715545" w14:paraId="60AD81E2" w14:textId="77777777" w:rsidTr="00A85D2D">
        <w:trPr>
          <w:trHeight w:val="20"/>
          <w:jc w:val="center"/>
        </w:trPr>
        <w:tc>
          <w:tcPr>
            <w:tcW w:w="1609" w:type="dxa"/>
            <w:tcBorders>
              <w:top w:val="nil"/>
              <w:left w:val="single" w:sz="4" w:space="0" w:color="auto"/>
              <w:bottom w:val="single" w:sz="4" w:space="0" w:color="auto"/>
              <w:right w:val="single" w:sz="4" w:space="0" w:color="auto"/>
            </w:tcBorders>
            <w:shd w:val="clear" w:color="000000" w:fill="FFFFFF"/>
            <w:vAlign w:val="center"/>
            <w:hideMark/>
          </w:tcPr>
          <w:p w14:paraId="26E0DBC2" w14:textId="77777777" w:rsidR="00EB0BC0" w:rsidRPr="00715545" w:rsidRDefault="00EB0BC0" w:rsidP="00B77C0B">
            <w:pPr>
              <w:pStyle w:val="NoSpacing"/>
              <w:rPr>
                <w:rFonts w:ascii="Times New Roman" w:hAnsi="Times New Roman" w:cs="Times New Roman"/>
                <w:szCs w:val="24"/>
                <w:lang w:eastAsia="en-IN"/>
              </w:rPr>
            </w:pPr>
            <w:r w:rsidRPr="00715545">
              <w:rPr>
                <w:rFonts w:ascii="Times New Roman" w:hAnsi="Times New Roman" w:cs="Times New Roman"/>
                <w:szCs w:val="24"/>
                <w:lang w:eastAsia="en-IN"/>
              </w:rPr>
              <w:t>Punjab</w:t>
            </w:r>
          </w:p>
        </w:tc>
        <w:tc>
          <w:tcPr>
            <w:tcW w:w="2846" w:type="dxa"/>
            <w:tcBorders>
              <w:top w:val="nil"/>
              <w:left w:val="nil"/>
              <w:bottom w:val="single" w:sz="4" w:space="0" w:color="auto"/>
              <w:right w:val="single" w:sz="4" w:space="0" w:color="auto"/>
            </w:tcBorders>
            <w:shd w:val="clear" w:color="000000" w:fill="FFFFFF"/>
            <w:vAlign w:val="center"/>
            <w:hideMark/>
          </w:tcPr>
          <w:p w14:paraId="1B5B6E21" w14:textId="77777777" w:rsidR="00EB0BC0" w:rsidRPr="00715545" w:rsidRDefault="00EB0BC0" w:rsidP="00B77C0B">
            <w:pPr>
              <w:pStyle w:val="NoSpacing"/>
              <w:rPr>
                <w:rFonts w:ascii="Times New Roman" w:hAnsi="Times New Roman" w:cs="Times New Roman"/>
                <w:szCs w:val="24"/>
                <w:lang w:eastAsia="en-IN"/>
              </w:rPr>
            </w:pPr>
            <w:r w:rsidRPr="00715545">
              <w:rPr>
                <w:rFonts w:ascii="Times New Roman" w:hAnsi="Times New Roman" w:cs="Times New Roman"/>
                <w:szCs w:val="24"/>
                <w:lang w:eastAsia="en-IN"/>
              </w:rPr>
              <w:t>Rs. 172.50 upto 12 Cwt unladen weight.</w:t>
            </w:r>
          </w:p>
        </w:tc>
        <w:tc>
          <w:tcPr>
            <w:tcW w:w="3342" w:type="dxa"/>
            <w:tcBorders>
              <w:top w:val="nil"/>
              <w:left w:val="nil"/>
              <w:bottom w:val="single" w:sz="4" w:space="0" w:color="auto"/>
              <w:right w:val="single" w:sz="4" w:space="0" w:color="auto"/>
            </w:tcBorders>
            <w:shd w:val="clear" w:color="000000" w:fill="FFFFFF"/>
            <w:vAlign w:val="center"/>
            <w:hideMark/>
          </w:tcPr>
          <w:p w14:paraId="1D9CBADD" w14:textId="77777777" w:rsidR="00EB0BC0" w:rsidRPr="00715545" w:rsidRDefault="00EB0BC0" w:rsidP="00B77C0B">
            <w:pPr>
              <w:pStyle w:val="NoSpacing"/>
              <w:rPr>
                <w:rFonts w:ascii="Times New Roman" w:hAnsi="Times New Roman" w:cs="Times New Roman"/>
                <w:szCs w:val="24"/>
                <w:lang w:eastAsia="en-IN"/>
              </w:rPr>
            </w:pPr>
            <w:r w:rsidRPr="00715545">
              <w:rPr>
                <w:rFonts w:ascii="Times New Roman" w:hAnsi="Times New Roman" w:cs="Times New Roman"/>
                <w:szCs w:val="24"/>
                <w:lang w:eastAsia="en-IN"/>
              </w:rPr>
              <w:t>Rs. 875 for unladen weight of 4 tons.</w:t>
            </w:r>
          </w:p>
        </w:tc>
        <w:tc>
          <w:tcPr>
            <w:tcW w:w="2722" w:type="dxa"/>
            <w:tcBorders>
              <w:top w:val="nil"/>
              <w:left w:val="nil"/>
              <w:bottom w:val="single" w:sz="4" w:space="0" w:color="auto"/>
              <w:right w:val="single" w:sz="4" w:space="0" w:color="auto"/>
            </w:tcBorders>
            <w:shd w:val="clear" w:color="000000" w:fill="FFFFFF"/>
            <w:vAlign w:val="center"/>
            <w:hideMark/>
          </w:tcPr>
          <w:p w14:paraId="20B95FB8" w14:textId="77777777" w:rsidR="00EB0BC0" w:rsidRPr="00715545" w:rsidRDefault="00EB0BC0" w:rsidP="00B77C0B">
            <w:pPr>
              <w:pStyle w:val="NoSpacing"/>
              <w:rPr>
                <w:rFonts w:ascii="Times New Roman" w:hAnsi="Times New Roman" w:cs="Times New Roman"/>
                <w:szCs w:val="24"/>
                <w:lang w:eastAsia="en-IN"/>
              </w:rPr>
            </w:pPr>
            <w:r w:rsidRPr="00715545">
              <w:rPr>
                <w:rFonts w:ascii="Times New Roman" w:hAnsi="Times New Roman" w:cs="Times New Roman"/>
                <w:szCs w:val="24"/>
                <w:lang w:eastAsia="en-IN"/>
              </w:rPr>
              <w:t>Rs. 75 per seat subject to Rs. 4200 maximum.</w:t>
            </w:r>
          </w:p>
        </w:tc>
        <w:tc>
          <w:tcPr>
            <w:tcW w:w="2482" w:type="dxa"/>
            <w:tcBorders>
              <w:top w:val="nil"/>
              <w:left w:val="nil"/>
              <w:bottom w:val="single" w:sz="4" w:space="0" w:color="auto"/>
              <w:right w:val="single" w:sz="4" w:space="0" w:color="auto"/>
            </w:tcBorders>
            <w:shd w:val="clear" w:color="000000" w:fill="FFFFFF"/>
            <w:vAlign w:val="center"/>
            <w:hideMark/>
          </w:tcPr>
          <w:p w14:paraId="0299C880" w14:textId="77777777" w:rsidR="00EB0BC0" w:rsidRPr="00715545" w:rsidRDefault="00EB0BC0" w:rsidP="00B77C0B">
            <w:pPr>
              <w:pStyle w:val="NoSpacing"/>
              <w:rPr>
                <w:rFonts w:ascii="Times New Roman" w:hAnsi="Times New Roman" w:cs="Times New Roman"/>
                <w:szCs w:val="24"/>
                <w:lang w:eastAsia="en-IN"/>
              </w:rPr>
            </w:pPr>
            <w:r w:rsidRPr="00715545">
              <w:rPr>
                <w:rFonts w:ascii="Times New Roman" w:hAnsi="Times New Roman" w:cs="Times New Roman"/>
                <w:szCs w:val="24"/>
                <w:lang w:eastAsia="en-IN"/>
              </w:rPr>
              <w:t>Rs. 600 for four persons and Rs. 31.25 for every additional seat.</w:t>
            </w:r>
          </w:p>
        </w:tc>
      </w:tr>
      <w:tr w:rsidR="00EB0BC0" w:rsidRPr="00715545" w14:paraId="04C8CD72" w14:textId="77777777" w:rsidTr="00A85D2D">
        <w:trPr>
          <w:trHeight w:val="20"/>
          <w:jc w:val="center"/>
        </w:trPr>
        <w:tc>
          <w:tcPr>
            <w:tcW w:w="1609" w:type="dxa"/>
            <w:tcBorders>
              <w:top w:val="nil"/>
              <w:left w:val="single" w:sz="4" w:space="0" w:color="auto"/>
              <w:bottom w:val="single" w:sz="4" w:space="0" w:color="auto"/>
              <w:right w:val="single" w:sz="4" w:space="0" w:color="auto"/>
            </w:tcBorders>
            <w:shd w:val="clear" w:color="000000" w:fill="FFFFFF"/>
            <w:vAlign w:val="center"/>
            <w:hideMark/>
          </w:tcPr>
          <w:p w14:paraId="7B5C9B75" w14:textId="471F1EA7" w:rsidR="00EB0BC0" w:rsidRPr="00715545" w:rsidRDefault="00EB0BC0" w:rsidP="00B77C0B">
            <w:pPr>
              <w:pStyle w:val="NoSpacing"/>
              <w:rPr>
                <w:rFonts w:ascii="Times New Roman" w:hAnsi="Times New Roman" w:cs="Times New Roman"/>
                <w:szCs w:val="24"/>
                <w:lang w:eastAsia="en-IN"/>
              </w:rPr>
            </w:pPr>
            <w:r w:rsidRPr="00715545">
              <w:rPr>
                <w:rFonts w:ascii="Times New Roman" w:hAnsi="Times New Roman" w:cs="Times New Roman"/>
                <w:szCs w:val="24"/>
                <w:lang w:eastAsia="en-IN"/>
              </w:rPr>
              <w:lastRenderedPageBreak/>
              <w:t>Rajasthan</w:t>
            </w:r>
            <w:r w:rsidR="00005093" w:rsidRPr="00715545">
              <w:rPr>
                <w:rStyle w:val="FootnoteReference"/>
                <w:rFonts w:ascii="Times New Roman" w:hAnsi="Times New Roman" w:cs="Times New Roman"/>
                <w:szCs w:val="24"/>
                <w:lang w:eastAsia="en-IN"/>
              </w:rPr>
              <w:footnoteReference w:id="11"/>
            </w:r>
          </w:p>
        </w:tc>
        <w:tc>
          <w:tcPr>
            <w:tcW w:w="2846" w:type="dxa"/>
            <w:tcBorders>
              <w:top w:val="nil"/>
              <w:left w:val="nil"/>
              <w:bottom w:val="single" w:sz="4" w:space="0" w:color="auto"/>
              <w:right w:val="single" w:sz="4" w:space="0" w:color="auto"/>
            </w:tcBorders>
            <w:shd w:val="clear" w:color="000000" w:fill="FFFFFF"/>
            <w:vAlign w:val="center"/>
            <w:hideMark/>
          </w:tcPr>
          <w:p w14:paraId="2AC4DEFA" w14:textId="77777777" w:rsidR="00EB0BC0" w:rsidRPr="00715545" w:rsidRDefault="00EB0BC0" w:rsidP="00B77C0B">
            <w:pPr>
              <w:pStyle w:val="NoSpacing"/>
              <w:rPr>
                <w:rFonts w:ascii="Times New Roman" w:hAnsi="Times New Roman" w:cs="Times New Roman"/>
                <w:szCs w:val="24"/>
                <w:lang w:eastAsia="en-IN"/>
              </w:rPr>
            </w:pPr>
            <w:r w:rsidRPr="00715545">
              <w:rPr>
                <w:rFonts w:ascii="Times New Roman" w:hAnsi="Times New Roman" w:cs="Times New Roman"/>
                <w:szCs w:val="24"/>
                <w:lang w:eastAsia="en-IN"/>
              </w:rPr>
              <w:t>For vehicles with 2 tonne capacity and fitted with pneumatic tyres:(a) Rs. 440 for fixed route.</w:t>
            </w:r>
            <w:r w:rsidRPr="00715545">
              <w:rPr>
                <w:rFonts w:ascii="Times New Roman" w:hAnsi="Times New Roman" w:cs="Times New Roman"/>
                <w:szCs w:val="24"/>
                <w:cs/>
                <w:lang w:eastAsia="en-IN"/>
              </w:rPr>
              <w:t xml:space="preserve"> </w:t>
            </w:r>
            <w:r w:rsidRPr="00715545">
              <w:rPr>
                <w:rFonts w:ascii="Times New Roman" w:hAnsi="Times New Roman" w:cs="Times New Roman"/>
                <w:szCs w:val="24"/>
                <w:lang w:eastAsia="en-IN"/>
              </w:rPr>
              <w:t>(b) Rs. 782 for one region</w:t>
            </w:r>
            <w:r w:rsidRPr="00715545">
              <w:rPr>
                <w:rFonts w:ascii="Times New Roman" w:hAnsi="Times New Roman" w:cs="Times New Roman"/>
                <w:szCs w:val="24"/>
                <w:cs/>
                <w:lang w:eastAsia="en-IN"/>
              </w:rPr>
              <w:t xml:space="preserve">. </w:t>
            </w:r>
            <w:r w:rsidRPr="00715545">
              <w:rPr>
                <w:rFonts w:ascii="Times New Roman" w:hAnsi="Times New Roman" w:cs="Times New Roman"/>
                <w:szCs w:val="24"/>
                <w:lang w:eastAsia="en-IN"/>
              </w:rPr>
              <w:t>(c) Rs. 1370 for whole State.</w:t>
            </w:r>
          </w:p>
        </w:tc>
        <w:tc>
          <w:tcPr>
            <w:tcW w:w="3342" w:type="dxa"/>
            <w:tcBorders>
              <w:top w:val="nil"/>
              <w:left w:val="nil"/>
              <w:bottom w:val="single" w:sz="4" w:space="0" w:color="auto"/>
              <w:right w:val="single" w:sz="4" w:space="0" w:color="auto"/>
            </w:tcBorders>
            <w:shd w:val="clear" w:color="000000" w:fill="FFFFFF"/>
            <w:vAlign w:val="center"/>
            <w:hideMark/>
          </w:tcPr>
          <w:p w14:paraId="5DAADFE1" w14:textId="77777777" w:rsidR="00EB0BC0" w:rsidRPr="00715545" w:rsidRDefault="00EB0BC0" w:rsidP="00B77C0B">
            <w:pPr>
              <w:pStyle w:val="NoSpacing"/>
              <w:rPr>
                <w:rFonts w:ascii="Times New Roman" w:hAnsi="Times New Roman" w:cs="Times New Roman"/>
                <w:szCs w:val="24"/>
                <w:lang w:eastAsia="en-IN"/>
              </w:rPr>
            </w:pPr>
            <w:r w:rsidRPr="00715545">
              <w:rPr>
                <w:rFonts w:ascii="Times New Roman" w:hAnsi="Times New Roman" w:cs="Times New Roman"/>
                <w:szCs w:val="24"/>
                <w:lang w:eastAsia="en-IN"/>
              </w:rPr>
              <w:t>For vehicles fitted with pneumatic tyres:</w:t>
            </w:r>
            <w:r w:rsidRPr="00715545">
              <w:rPr>
                <w:rFonts w:ascii="Times New Roman" w:hAnsi="Times New Roman" w:cs="Times New Roman"/>
                <w:szCs w:val="24"/>
                <w:cs/>
                <w:lang w:eastAsia="en-IN"/>
              </w:rPr>
              <w:t xml:space="preserve"> </w:t>
            </w:r>
            <w:r w:rsidRPr="00715545">
              <w:rPr>
                <w:rFonts w:ascii="Times New Roman" w:hAnsi="Times New Roman" w:cs="Times New Roman"/>
                <w:szCs w:val="24"/>
                <w:lang w:eastAsia="en-IN"/>
              </w:rPr>
              <w:t>(a) Rs. 822 for fixed route.</w:t>
            </w:r>
          </w:p>
          <w:p w14:paraId="06706EF1" w14:textId="77777777" w:rsidR="0077656B" w:rsidRDefault="00EB0BC0" w:rsidP="00B77C0B">
            <w:pPr>
              <w:pStyle w:val="NoSpacing"/>
              <w:rPr>
                <w:rFonts w:ascii="Times New Roman" w:hAnsi="Times New Roman" w:cs="Times New Roman"/>
                <w:szCs w:val="24"/>
                <w:lang w:eastAsia="en-IN"/>
              </w:rPr>
            </w:pPr>
            <w:r w:rsidRPr="00715545">
              <w:rPr>
                <w:rFonts w:ascii="Times New Roman" w:hAnsi="Times New Roman" w:cs="Times New Roman"/>
                <w:szCs w:val="24"/>
                <w:lang w:eastAsia="en-IN"/>
              </w:rPr>
              <w:t xml:space="preserve">(b) Rs. 1450 for one region. </w:t>
            </w:r>
          </w:p>
          <w:p w14:paraId="7F5BAA61" w14:textId="2BB51B6A" w:rsidR="00EB0BC0" w:rsidRPr="00715545" w:rsidRDefault="0077656B" w:rsidP="00B77C0B">
            <w:pPr>
              <w:pStyle w:val="NoSpacing"/>
              <w:rPr>
                <w:rFonts w:ascii="Times New Roman" w:hAnsi="Times New Roman" w:cs="Times New Roman"/>
                <w:szCs w:val="24"/>
                <w:lang w:eastAsia="en-IN"/>
              </w:rPr>
            </w:pPr>
            <w:r>
              <w:rPr>
                <w:rFonts w:ascii="Times New Roman" w:hAnsi="Times New Roman" w:cs="Times New Roman"/>
                <w:szCs w:val="24"/>
                <w:lang w:eastAsia="en-IN"/>
              </w:rPr>
              <w:t xml:space="preserve">(c) </w:t>
            </w:r>
            <w:r w:rsidR="00EB0BC0" w:rsidRPr="00715545">
              <w:rPr>
                <w:rFonts w:ascii="Times New Roman" w:hAnsi="Times New Roman" w:cs="Times New Roman"/>
                <w:szCs w:val="24"/>
                <w:lang w:eastAsia="en-IN"/>
              </w:rPr>
              <w:t>Rs. 2320 for whole State.</w:t>
            </w:r>
          </w:p>
        </w:tc>
        <w:tc>
          <w:tcPr>
            <w:tcW w:w="2722" w:type="dxa"/>
            <w:tcBorders>
              <w:top w:val="nil"/>
              <w:left w:val="nil"/>
              <w:bottom w:val="single" w:sz="4" w:space="0" w:color="auto"/>
              <w:right w:val="single" w:sz="4" w:space="0" w:color="auto"/>
            </w:tcBorders>
            <w:shd w:val="clear" w:color="000000" w:fill="FFFFFF"/>
            <w:vAlign w:val="center"/>
            <w:hideMark/>
          </w:tcPr>
          <w:p w14:paraId="7AA43DCD" w14:textId="77777777" w:rsidR="00EB0BC0" w:rsidRPr="00715545" w:rsidRDefault="00EB0BC0" w:rsidP="00B77C0B">
            <w:pPr>
              <w:pStyle w:val="NoSpacing"/>
              <w:rPr>
                <w:rFonts w:ascii="Times New Roman" w:hAnsi="Times New Roman" w:cs="Times New Roman"/>
                <w:szCs w:val="24"/>
                <w:lang w:eastAsia="en-IN"/>
              </w:rPr>
            </w:pPr>
            <w:r w:rsidRPr="00715545">
              <w:rPr>
                <w:rFonts w:ascii="Times New Roman" w:hAnsi="Times New Roman" w:cs="Times New Roman"/>
                <w:szCs w:val="24"/>
                <w:lang w:eastAsia="en-IN"/>
              </w:rPr>
              <w:t>Rs. 50 per seat for vehicles with more than 40 seats and fitted with pneumatic tyres.</w:t>
            </w:r>
          </w:p>
        </w:tc>
        <w:tc>
          <w:tcPr>
            <w:tcW w:w="2482" w:type="dxa"/>
            <w:tcBorders>
              <w:top w:val="nil"/>
              <w:left w:val="nil"/>
              <w:bottom w:val="single" w:sz="4" w:space="0" w:color="auto"/>
              <w:right w:val="single" w:sz="4" w:space="0" w:color="auto"/>
            </w:tcBorders>
            <w:shd w:val="clear" w:color="000000" w:fill="FFFFFF"/>
            <w:vAlign w:val="center"/>
            <w:hideMark/>
          </w:tcPr>
          <w:p w14:paraId="09E3D757" w14:textId="77777777" w:rsidR="00EB0BC0" w:rsidRPr="00715545" w:rsidRDefault="00EB0BC0" w:rsidP="00B77C0B">
            <w:pPr>
              <w:pStyle w:val="NoSpacing"/>
              <w:rPr>
                <w:rFonts w:ascii="Times New Roman" w:hAnsi="Times New Roman" w:cs="Times New Roman"/>
                <w:szCs w:val="24"/>
                <w:lang w:eastAsia="en-IN"/>
              </w:rPr>
            </w:pPr>
            <w:r w:rsidRPr="00715545">
              <w:rPr>
                <w:rFonts w:ascii="Times New Roman" w:hAnsi="Times New Roman" w:cs="Times New Roman"/>
                <w:szCs w:val="24"/>
                <w:lang w:eastAsia="en-IN"/>
              </w:rPr>
              <w:t>Rs. 25 per seat.</w:t>
            </w:r>
          </w:p>
        </w:tc>
      </w:tr>
      <w:tr w:rsidR="00EB0BC0" w:rsidRPr="00715545" w14:paraId="0C679C5E" w14:textId="77777777" w:rsidTr="00A85D2D">
        <w:trPr>
          <w:trHeight w:val="20"/>
          <w:jc w:val="center"/>
        </w:trPr>
        <w:tc>
          <w:tcPr>
            <w:tcW w:w="1609" w:type="dxa"/>
            <w:tcBorders>
              <w:top w:val="nil"/>
              <w:left w:val="single" w:sz="4" w:space="0" w:color="auto"/>
              <w:bottom w:val="single" w:sz="4" w:space="0" w:color="auto"/>
              <w:right w:val="single" w:sz="4" w:space="0" w:color="auto"/>
            </w:tcBorders>
            <w:shd w:val="clear" w:color="000000" w:fill="FFFFFF"/>
            <w:vAlign w:val="center"/>
            <w:hideMark/>
          </w:tcPr>
          <w:p w14:paraId="267E41AB" w14:textId="77777777" w:rsidR="00EB0BC0" w:rsidRPr="00715545" w:rsidRDefault="00EB0BC0" w:rsidP="00B77C0B">
            <w:pPr>
              <w:pStyle w:val="NoSpacing"/>
              <w:rPr>
                <w:rFonts w:ascii="Times New Roman" w:hAnsi="Times New Roman" w:cs="Times New Roman"/>
                <w:szCs w:val="24"/>
                <w:lang w:eastAsia="en-IN"/>
              </w:rPr>
            </w:pPr>
            <w:r w:rsidRPr="00715545">
              <w:rPr>
                <w:rFonts w:ascii="Times New Roman" w:hAnsi="Times New Roman" w:cs="Times New Roman"/>
                <w:szCs w:val="24"/>
                <w:lang w:eastAsia="en-IN"/>
              </w:rPr>
              <w:t>Tamil Nadu</w:t>
            </w:r>
          </w:p>
        </w:tc>
        <w:tc>
          <w:tcPr>
            <w:tcW w:w="2846" w:type="dxa"/>
            <w:tcBorders>
              <w:top w:val="nil"/>
              <w:left w:val="nil"/>
              <w:bottom w:val="single" w:sz="4" w:space="0" w:color="auto"/>
              <w:right w:val="single" w:sz="4" w:space="0" w:color="auto"/>
            </w:tcBorders>
            <w:shd w:val="clear" w:color="000000" w:fill="FFFFFF"/>
            <w:vAlign w:val="center"/>
            <w:hideMark/>
          </w:tcPr>
          <w:p w14:paraId="54A9F9E3" w14:textId="77777777" w:rsidR="00EB0BC0" w:rsidRPr="00715545" w:rsidRDefault="00EB0BC0" w:rsidP="00B77C0B">
            <w:pPr>
              <w:pStyle w:val="NoSpacing"/>
              <w:rPr>
                <w:rFonts w:ascii="Times New Roman" w:hAnsi="Times New Roman" w:cs="Times New Roman"/>
                <w:szCs w:val="24"/>
                <w:lang w:eastAsia="en-IN"/>
              </w:rPr>
            </w:pPr>
            <w:r w:rsidRPr="00715545">
              <w:rPr>
                <w:rFonts w:ascii="Times New Roman" w:hAnsi="Times New Roman" w:cs="Times New Roman"/>
                <w:szCs w:val="24"/>
                <w:lang w:eastAsia="en-IN"/>
              </w:rPr>
              <w:t>Rs. 132 for vehicles upto 300 Kg and fitted with pneumatic tyres and Rs. 172 for other similar vehicles using other tyres.</w:t>
            </w:r>
          </w:p>
        </w:tc>
        <w:tc>
          <w:tcPr>
            <w:tcW w:w="3342" w:type="dxa"/>
            <w:tcBorders>
              <w:top w:val="nil"/>
              <w:left w:val="nil"/>
              <w:bottom w:val="single" w:sz="4" w:space="0" w:color="auto"/>
              <w:right w:val="single" w:sz="4" w:space="0" w:color="auto"/>
            </w:tcBorders>
            <w:shd w:val="clear" w:color="000000" w:fill="FFFFFF"/>
            <w:vAlign w:val="center"/>
            <w:hideMark/>
          </w:tcPr>
          <w:p w14:paraId="17E45F38" w14:textId="77777777" w:rsidR="00EB0BC0" w:rsidRPr="00715545" w:rsidRDefault="00EB0BC0" w:rsidP="00B77C0B">
            <w:pPr>
              <w:pStyle w:val="NoSpacing"/>
              <w:rPr>
                <w:rFonts w:ascii="Times New Roman" w:hAnsi="Times New Roman" w:cs="Times New Roman"/>
                <w:szCs w:val="24"/>
                <w:lang w:eastAsia="en-IN"/>
              </w:rPr>
            </w:pPr>
            <w:r w:rsidRPr="00715545">
              <w:rPr>
                <w:rFonts w:ascii="Times New Roman" w:hAnsi="Times New Roman" w:cs="Times New Roman"/>
                <w:szCs w:val="24"/>
                <w:lang w:eastAsia="en-IN"/>
              </w:rPr>
              <w:t>Rs. 2400 for vehicles fitted with pneumatic tyres and Rs. 3600 for others.</w:t>
            </w:r>
          </w:p>
        </w:tc>
        <w:tc>
          <w:tcPr>
            <w:tcW w:w="2722" w:type="dxa"/>
            <w:tcBorders>
              <w:top w:val="nil"/>
              <w:left w:val="nil"/>
              <w:bottom w:val="single" w:sz="4" w:space="0" w:color="auto"/>
              <w:right w:val="single" w:sz="4" w:space="0" w:color="auto"/>
            </w:tcBorders>
            <w:shd w:val="clear" w:color="000000" w:fill="FFFFFF"/>
            <w:vAlign w:val="center"/>
            <w:hideMark/>
          </w:tcPr>
          <w:p w14:paraId="2F25B472" w14:textId="77777777" w:rsidR="00EB0BC0" w:rsidRPr="00715545" w:rsidRDefault="00EB0BC0" w:rsidP="00B77C0B">
            <w:pPr>
              <w:pStyle w:val="NoSpacing"/>
              <w:rPr>
                <w:rFonts w:ascii="Times New Roman" w:hAnsi="Times New Roman" w:cs="Times New Roman"/>
                <w:szCs w:val="24"/>
                <w:lang w:eastAsia="en-IN"/>
              </w:rPr>
            </w:pPr>
            <w:r w:rsidRPr="00715545">
              <w:rPr>
                <w:rFonts w:ascii="Times New Roman" w:hAnsi="Times New Roman" w:cs="Times New Roman"/>
                <w:szCs w:val="24"/>
                <w:lang w:eastAsia="en-IN"/>
              </w:rPr>
              <w:t>Rs. 112 per seat for stage carriages in Madras city running upto 210 Km and fitted with pneumatic tyres &amp; Rs. 160 per seat for vehicles using other tyres.</w:t>
            </w:r>
          </w:p>
        </w:tc>
        <w:tc>
          <w:tcPr>
            <w:tcW w:w="2482" w:type="dxa"/>
            <w:tcBorders>
              <w:top w:val="nil"/>
              <w:left w:val="nil"/>
              <w:bottom w:val="single" w:sz="4" w:space="0" w:color="auto"/>
              <w:right w:val="single" w:sz="4" w:space="0" w:color="auto"/>
            </w:tcBorders>
            <w:shd w:val="clear" w:color="000000" w:fill="FFFFFF"/>
            <w:vAlign w:val="center"/>
            <w:hideMark/>
          </w:tcPr>
          <w:p w14:paraId="54884FBB" w14:textId="77777777" w:rsidR="00EB0BC0" w:rsidRPr="00715545" w:rsidRDefault="00EB0BC0" w:rsidP="00B77C0B">
            <w:pPr>
              <w:pStyle w:val="NoSpacing"/>
              <w:rPr>
                <w:rFonts w:ascii="Times New Roman" w:hAnsi="Times New Roman" w:cs="Times New Roman"/>
                <w:szCs w:val="24"/>
                <w:lang w:eastAsia="en-IN"/>
              </w:rPr>
            </w:pPr>
            <w:r w:rsidRPr="00715545">
              <w:rPr>
                <w:rFonts w:ascii="Times New Roman" w:hAnsi="Times New Roman" w:cs="Times New Roman"/>
                <w:szCs w:val="24"/>
                <w:lang w:eastAsia="en-IN"/>
              </w:rPr>
              <w:t>Rs. 160 for vehicles with pneumatic tyres and Rs. 220 for vehicles with other tyres (700 Kg to 1500 Kg).</w:t>
            </w:r>
          </w:p>
        </w:tc>
      </w:tr>
      <w:tr w:rsidR="00EB0BC0" w:rsidRPr="00715545" w14:paraId="1FBBA18F" w14:textId="77777777" w:rsidTr="00A85D2D">
        <w:trPr>
          <w:trHeight w:val="20"/>
          <w:jc w:val="center"/>
        </w:trPr>
        <w:tc>
          <w:tcPr>
            <w:tcW w:w="1609" w:type="dxa"/>
            <w:tcBorders>
              <w:top w:val="nil"/>
              <w:left w:val="single" w:sz="4" w:space="0" w:color="auto"/>
              <w:bottom w:val="single" w:sz="4" w:space="0" w:color="auto"/>
              <w:right w:val="single" w:sz="4" w:space="0" w:color="auto"/>
            </w:tcBorders>
            <w:shd w:val="clear" w:color="000000" w:fill="FFFFFF"/>
            <w:vAlign w:val="center"/>
            <w:hideMark/>
          </w:tcPr>
          <w:p w14:paraId="7DE6770B" w14:textId="77777777" w:rsidR="00EB0BC0" w:rsidRPr="00715545" w:rsidRDefault="00EB0BC0" w:rsidP="00B77C0B">
            <w:pPr>
              <w:pStyle w:val="NoSpacing"/>
              <w:rPr>
                <w:rFonts w:ascii="Times New Roman" w:hAnsi="Times New Roman" w:cs="Times New Roman"/>
                <w:szCs w:val="24"/>
                <w:lang w:eastAsia="en-IN"/>
              </w:rPr>
            </w:pPr>
            <w:r w:rsidRPr="00715545">
              <w:rPr>
                <w:rFonts w:ascii="Times New Roman" w:hAnsi="Times New Roman" w:cs="Times New Roman"/>
                <w:szCs w:val="24"/>
                <w:lang w:eastAsia="en-IN"/>
              </w:rPr>
              <w:t>Uttar Pradesh</w:t>
            </w:r>
          </w:p>
        </w:tc>
        <w:tc>
          <w:tcPr>
            <w:tcW w:w="2846" w:type="dxa"/>
            <w:tcBorders>
              <w:top w:val="nil"/>
              <w:left w:val="nil"/>
              <w:bottom w:val="single" w:sz="4" w:space="0" w:color="auto"/>
              <w:right w:val="single" w:sz="4" w:space="0" w:color="auto"/>
            </w:tcBorders>
            <w:shd w:val="clear" w:color="000000" w:fill="FFFFFF"/>
            <w:vAlign w:val="center"/>
            <w:hideMark/>
          </w:tcPr>
          <w:p w14:paraId="0D71EA58" w14:textId="77777777" w:rsidR="00EB0BC0" w:rsidRPr="00715545" w:rsidRDefault="00EB0BC0" w:rsidP="00B77C0B">
            <w:pPr>
              <w:pStyle w:val="NoSpacing"/>
              <w:rPr>
                <w:rFonts w:ascii="Times New Roman" w:hAnsi="Times New Roman" w:cs="Times New Roman"/>
                <w:szCs w:val="24"/>
                <w:lang w:eastAsia="en-IN"/>
              </w:rPr>
            </w:pPr>
            <w:r w:rsidRPr="00715545">
              <w:rPr>
                <w:rFonts w:ascii="Times New Roman" w:hAnsi="Times New Roman" w:cs="Times New Roman"/>
                <w:szCs w:val="24"/>
                <w:lang w:eastAsia="en-IN"/>
              </w:rPr>
              <w:t>Rs. 280 upto 762 Kg load in A class routes, Rs. 252 in B class routes and Rs. 228 in C class routes for vehicles with pneumatic tyres. Higher rates for vehicles fitted with resilient and non-resilient tyres.</w:t>
            </w:r>
          </w:p>
        </w:tc>
        <w:tc>
          <w:tcPr>
            <w:tcW w:w="3342" w:type="dxa"/>
            <w:tcBorders>
              <w:top w:val="nil"/>
              <w:left w:val="nil"/>
              <w:bottom w:val="single" w:sz="4" w:space="0" w:color="auto"/>
              <w:right w:val="single" w:sz="4" w:space="0" w:color="auto"/>
            </w:tcBorders>
            <w:shd w:val="clear" w:color="000000" w:fill="FFFFFF"/>
            <w:vAlign w:val="center"/>
            <w:hideMark/>
          </w:tcPr>
          <w:p w14:paraId="6637E37F" w14:textId="77777777" w:rsidR="00EB0BC0" w:rsidRPr="00715545" w:rsidRDefault="00EB0BC0" w:rsidP="00B77C0B">
            <w:pPr>
              <w:pStyle w:val="NoSpacing"/>
              <w:rPr>
                <w:rFonts w:ascii="Times New Roman" w:hAnsi="Times New Roman" w:cs="Times New Roman"/>
                <w:szCs w:val="24"/>
                <w:lang w:eastAsia="en-IN"/>
              </w:rPr>
            </w:pPr>
            <w:r w:rsidRPr="00715545">
              <w:rPr>
                <w:rFonts w:ascii="Times New Roman" w:hAnsi="Times New Roman" w:cs="Times New Roman"/>
                <w:szCs w:val="24"/>
                <w:lang w:eastAsia="en-IN"/>
              </w:rPr>
              <w:t>Rates mentioned in Col. 2 plus Rs. 10 for every 51 Kg in excess of 762 Kg load in A class routes.</w:t>
            </w:r>
          </w:p>
        </w:tc>
        <w:tc>
          <w:tcPr>
            <w:tcW w:w="2722" w:type="dxa"/>
            <w:tcBorders>
              <w:top w:val="nil"/>
              <w:left w:val="nil"/>
              <w:bottom w:val="single" w:sz="4" w:space="0" w:color="auto"/>
              <w:right w:val="single" w:sz="4" w:space="0" w:color="auto"/>
            </w:tcBorders>
            <w:shd w:val="clear" w:color="000000" w:fill="FFFFFF"/>
            <w:vAlign w:val="center"/>
            <w:hideMark/>
          </w:tcPr>
          <w:p w14:paraId="091F5B74" w14:textId="77777777" w:rsidR="00EB0BC0" w:rsidRPr="00715545" w:rsidRDefault="00EB0BC0" w:rsidP="00B77C0B">
            <w:pPr>
              <w:pStyle w:val="NoSpacing"/>
              <w:rPr>
                <w:rFonts w:ascii="Times New Roman" w:hAnsi="Times New Roman" w:cs="Times New Roman"/>
                <w:szCs w:val="24"/>
                <w:lang w:eastAsia="en-IN"/>
              </w:rPr>
            </w:pPr>
            <w:r w:rsidRPr="00715545">
              <w:rPr>
                <w:rFonts w:ascii="Times New Roman" w:hAnsi="Times New Roman" w:cs="Times New Roman"/>
                <w:szCs w:val="24"/>
                <w:lang w:eastAsia="en-IN"/>
              </w:rPr>
              <w:t>(i) For 'A' class routes Rs. 1004 for 32 seats plus Rs. 56 for every additional seat.(ii) For B class routes Rs. 840 for 32 seats plus Rs. 40 for every additional seat.</w:t>
            </w:r>
          </w:p>
        </w:tc>
        <w:tc>
          <w:tcPr>
            <w:tcW w:w="2482" w:type="dxa"/>
            <w:tcBorders>
              <w:top w:val="nil"/>
              <w:left w:val="nil"/>
              <w:bottom w:val="single" w:sz="4" w:space="0" w:color="auto"/>
              <w:right w:val="single" w:sz="4" w:space="0" w:color="auto"/>
            </w:tcBorders>
            <w:shd w:val="clear" w:color="000000" w:fill="FFFFFF"/>
            <w:vAlign w:val="center"/>
            <w:hideMark/>
          </w:tcPr>
          <w:p w14:paraId="13041C3A" w14:textId="77777777" w:rsidR="00EB0BC0" w:rsidRPr="00715545" w:rsidRDefault="00EB0BC0" w:rsidP="00B77C0B">
            <w:pPr>
              <w:pStyle w:val="NoSpacing"/>
              <w:rPr>
                <w:rFonts w:ascii="Times New Roman" w:hAnsi="Times New Roman" w:cs="Times New Roman"/>
                <w:szCs w:val="24"/>
                <w:lang w:eastAsia="en-IN"/>
              </w:rPr>
            </w:pPr>
            <w:r w:rsidRPr="00715545">
              <w:rPr>
                <w:rFonts w:ascii="Times New Roman" w:hAnsi="Times New Roman" w:cs="Times New Roman"/>
                <w:szCs w:val="24"/>
                <w:lang w:eastAsia="en-IN"/>
              </w:rPr>
              <w:t>Rs. 60 upto 1016 Kg.</w:t>
            </w:r>
          </w:p>
        </w:tc>
      </w:tr>
      <w:tr w:rsidR="00EB0BC0" w:rsidRPr="00715545" w14:paraId="76B848FA" w14:textId="77777777" w:rsidTr="00A85D2D">
        <w:trPr>
          <w:trHeight w:val="20"/>
          <w:jc w:val="center"/>
        </w:trPr>
        <w:tc>
          <w:tcPr>
            <w:tcW w:w="1609" w:type="dxa"/>
            <w:tcBorders>
              <w:top w:val="nil"/>
              <w:left w:val="single" w:sz="4" w:space="0" w:color="auto"/>
              <w:bottom w:val="single" w:sz="4" w:space="0" w:color="auto"/>
              <w:right w:val="single" w:sz="4" w:space="0" w:color="auto"/>
            </w:tcBorders>
            <w:shd w:val="clear" w:color="000000" w:fill="FFFFFF"/>
            <w:vAlign w:val="center"/>
            <w:hideMark/>
          </w:tcPr>
          <w:p w14:paraId="7C319F2C" w14:textId="77777777" w:rsidR="00EB0BC0" w:rsidRPr="00715545" w:rsidRDefault="00EB0BC0" w:rsidP="00B77C0B">
            <w:pPr>
              <w:pStyle w:val="NoSpacing"/>
              <w:rPr>
                <w:rFonts w:ascii="Times New Roman" w:hAnsi="Times New Roman" w:cs="Times New Roman"/>
                <w:szCs w:val="24"/>
                <w:lang w:eastAsia="en-IN"/>
              </w:rPr>
            </w:pPr>
            <w:r w:rsidRPr="00715545">
              <w:rPr>
                <w:rFonts w:ascii="Times New Roman" w:hAnsi="Times New Roman" w:cs="Times New Roman"/>
                <w:szCs w:val="24"/>
                <w:lang w:eastAsia="en-IN"/>
              </w:rPr>
              <w:t>West Bengal</w:t>
            </w:r>
          </w:p>
        </w:tc>
        <w:tc>
          <w:tcPr>
            <w:tcW w:w="2846" w:type="dxa"/>
            <w:tcBorders>
              <w:top w:val="nil"/>
              <w:left w:val="nil"/>
              <w:bottom w:val="single" w:sz="4" w:space="0" w:color="auto"/>
              <w:right w:val="single" w:sz="4" w:space="0" w:color="auto"/>
            </w:tcBorders>
            <w:shd w:val="clear" w:color="000000" w:fill="FFFFFF"/>
            <w:vAlign w:val="center"/>
            <w:hideMark/>
          </w:tcPr>
          <w:p w14:paraId="16B44BFB" w14:textId="77777777" w:rsidR="00EB0BC0" w:rsidRPr="00715545" w:rsidRDefault="00EB0BC0" w:rsidP="00B77C0B">
            <w:pPr>
              <w:pStyle w:val="NoSpacing"/>
              <w:rPr>
                <w:rFonts w:ascii="Times New Roman" w:hAnsi="Times New Roman" w:cs="Times New Roman"/>
                <w:szCs w:val="24"/>
                <w:lang w:eastAsia="en-IN"/>
              </w:rPr>
            </w:pPr>
            <w:r w:rsidRPr="00715545">
              <w:rPr>
                <w:rFonts w:ascii="Times New Roman" w:hAnsi="Times New Roman" w:cs="Times New Roman"/>
                <w:szCs w:val="24"/>
                <w:lang w:eastAsia="en-IN"/>
              </w:rPr>
              <w:t>Rs. 175 upto 500 Kg laden weight.</w:t>
            </w:r>
          </w:p>
        </w:tc>
        <w:tc>
          <w:tcPr>
            <w:tcW w:w="3342" w:type="dxa"/>
            <w:tcBorders>
              <w:top w:val="nil"/>
              <w:left w:val="nil"/>
              <w:bottom w:val="single" w:sz="4" w:space="0" w:color="auto"/>
              <w:right w:val="single" w:sz="4" w:space="0" w:color="auto"/>
            </w:tcBorders>
            <w:shd w:val="clear" w:color="000000" w:fill="FFFFFF"/>
            <w:vAlign w:val="center"/>
            <w:hideMark/>
          </w:tcPr>
          <w:p w14:paraId="1DD38C5D" w14:textId="77777777" w:rsidR="00EB0BC0" w:rsidRPr="00715545" w:rsidRDefault="00EB0BC0" w:rsidP="00B77C0B">
            <w:pPr>
              <w:pStyle w:val="NoSpacing"/>
              <w:rPr>
                <w:rFonts w:ascii="Times New Roman" w:hAnsi="Times New Roman" w:cs="Times New Roman"/>
                <w:szCs w:val="24"/>
                <w:lang w:eastAsia="en-IN"/>
              </w:rPr>
            </w:pPr>
            <w:r w:rsidRPr="00715545">
              <w:rPr>
                <w:rFonts w:ascii="Times New Roman" w:hAnsi="Times New Roman" w:cs="Times New Roman"/>
                <w:szCs w:val="24"/>
                <w:lang w:eastAsia="en-IN"/>
              </w:rPr>
              <w:t>Rs. 975</w:t>
            </w:r>
          </w:p>
        </w:tc>
        <w:tc>
          <w:tcPr>
            <w:tcW w:w="2722" w:type="dxa"/>
            <w:tcBorders>
              <w:top w:val="nil"/>
              <w:left w:val="nil"/>
              <w:bottom w:val="single" w:sz="4" w:space="0" w:color="auto"/>
              <w:right w:val="single" w:sz="4" w:space="0" w:color="auto"/>
            </w:tcBorders>
            <w:shd w:val="clear" w:color="000000" w:fill="FFFFFF"/>
            <w:vAlign w:val="center"/>
            <w:hideMark/>
          </w:tcPr>
          <w:p w14:paraId="57BC9DC1" w14:textId="77777777" w:rsidR="00EB0BC0" w:rsidRPr="00715545" w:rsidRDefault="00EB0BC0" w:rsidP="00B77C0B">
            <w:pPr>
              <w:pStyle w:val="NoSpacing"/>
              <w:rPr>
                <w:rFonts w:ascii="Times New Roman" w:hAnsi="Times New Roman" w:cs="Times New Roman"/>
                <w:szCs w:val="24"/>
                <w:lang w:eastAsia="en-IN"/>
              </w:rPr>
            </w:pPr>
            <w:r w:rsidRPr="00715545">
              <w:rPr>
                <w:rFonts w:ascii="Times New Roman" w:hAnsi="Times New Roman" w:cs="Times New Roman"/>
                <w:szCs w:val="24"/>
                <w:lang w:eastAsia="en-IN"/>
              </w:rPr>
              <w:t>Rs. 1980 for 33 seats plus Rs. 33 for every additional seat.</w:t>
            </w:r>
          </w:p>
        </w:tc>
        <w:tc>
          <w:tcPr>
            <w:tcW w:w="2482" w:type="dxa"/>
            <w:tcBorders>
              <w:top w:val="nil"/>
              <w:left w:val="nil"/>
              <w:bottom w:val="single" w:sz="4" w:space="0" w:color="auto"/>
              <w:right w:val="single" w:sz="4" w:space="0" w:color="auto"/>
            </w:tcBorders>
            <w:shd w:val="clear" w:color="000000" w:fill="FFFFFF"/>
            <w:vAlign w:val="center"/>
            <w:hideMark/>
          </w:tcPr>
          <w:p w14:paraId="79FCEA5F" w14:textId="77777777" w:rsidR="00EB0BC0" w:rsidRPr="00715545" w:rsidRDefault="00EB0BC0" w:rsidP="00B77C0B">
            <w:pPr>
              <w:pStyle w:val="NoSpacing"/>
              <w:rPr>
                <w:rFonts w:ascii="Times New Roman" w:hAnsi="Times New Roman" w:cs="Times New Roman"/>
                <w:szCs w:val="24"/>
                <w:lang w:eastAsia="en-IN"/>
              </w:rPr>
            </w:pPr>
            <w:r w:rsidRPr="00715545">
              <w:rPr>
                <w:rFonts w:ascii="Times New Roman" w:hAnsi="Times New Roman" w:cs="Times New Roman"/>
                <w:szCs w:val="24"/>
                <w:lang w:eastAsia="en-IN"/>
              </w:rPr>
              <w:t>Rs. 90 (Rs. 18 for every 200 Kg.).</w:t>
            </w:r>
          </w:p>
        </w:tc>
      </w:tr>
    </w:tbl>
    <w:p w14:paraId="1CB68B67" w14:textId="77777777" w:rsidR="00EB0BC0" w:rsidRPr="0077656B" w:rsidRDefault="00EB0BC0" w:rsidP="00A85D2D">
      <w:pPr>
        <w:pStyle w:val="Sources"/>
      </w:pPr>
      <w:r w:rsidRPr="0077656B">
        <w:t>Source: Information supplied by the State Governments to the Fifth Finance Commission.</w:t>
      </w:r>
    </w:p>
    <w:p w14:paraId="220EB108" w14:textId="77777777" w:rsidR="00EB0BC0" w:rsidRPr="007245B0" w:rsidRDefault="00EB0BC0" w:rsidP="00A85D2D">
      <w:pPr>
        <w:pStyle w:val="Sources"/>
      </w:pPr>
      <w:r w:rsidRPr="007245B0">
        <w:br w:type="page"/>
      </w:r>
    </w:p>
    <w:p w14:paraId="1BC8A113" w14:textId="77777777" w:rsidR="00EB0BC0" w:rsidRPr="007245B0" w:rsidRDefault="00EB0BC0" w:rsidP="00DE7403">
      <w:pPr>
        <w:rPr>
          <w:rFonts w:ascii="Times New Roman" w:hAnsi="Times New Roman" w:cs="Times New Roman"/>
        </w:rPr>
        <w:sectPr w:rsidR="00EB0BC0" w:rsidRPr="007245B0" w:rsidSect="00EB0BC0">
          <w:pgSz w:w="15840" w:h="12240" w:orient="landscape"/>
          <w:pgMar w:top="1440" w:right="992" w:bottom="1440" w:left="1440" w:header="720" w:footer="720" w:gutter="0"/>
          <w:cols w:space="720"/>
        </w:sectPr>
      </w:pPr>
    </w:p>
    <w:p w14:paraId="60AFFCF8" w14:textId="538020D5" w:rsidR="00EB0BC0" w:rsidRDefault="00574BCE" w:rsidP="00A85D2D">
      <w:pPr>
        <w:pStyle w:val="Heading4"/>
      </w:pPr>
      <w:bookmarkStart w:id="114" w:name="_Toc220949708"/>
      <w:bookmarkStart w:id="115" w:name="_Toc221114308"/>
      <w:bookmarkStart w:id="116" w:name="_Toc221115331"/>
      <w:r>
        <w:lastRenderedPageBreak/>
        <w:t>Table</w:t>
      </w:r>
      <w:r w:rsidR="00EB0BC0" w:rsidRPr="007245B0">
        <w:t xml:space="preserve"> 27: Estimated loss of land revenue over the 5-year period 1969-70 to 1973-74 from abolition of the tax or concession given during 1967-68 and 1968-69.</w:t>
      </w:r>
      <w:bookmarkEnd w:id="114"/>
      <w:bookmarkEnd w:id="115"/>
      <w:bookmarkEnd w:id="116"/>
    </w:p>
    <w:p w14:paraId="3ABF5D8E" w14:textId="77777777" w:rsidR="0077656B" w:rsidRPr="0077656B" w:rsidRDefault="0077656B" w:rsidP="0077656B"/>
    <w:tbl>
      <w:tblPr>
        <w:tblStyle w:val="TableGrid"/>
        <w:tblW w:w="10742" w:type="dxa"/>
        <w:tblInd w:w="-572" w:type="dxa"/>
        <w:tblLook w:val="04A0" w:firstRow="1" w:lastRow="0" w:firstColumn="1" w:lastColumn="0" w:noHBand="0" w:noVBand="1"/>
      </w:tblPr>
      <w:tblGrid>
        <w:gridCol w:w="4012"/>
        <w:gridCol w:w="2270"/>
        <w:gridCol w:w="2066"/>
        <w:gridCol w:w="2394"/>
      </w:tblGrid>
      <w:tr w:rsidR="00EB0BC0" w:rsidRPr="00A85D2D" w14:paraId="040DF0B1" w14:textId="77777777" w:rsidTr="0077656B">
        <w:trPr>
          <w:trHeight w:val="633"/>
        </w:trPr>
        <w:tc>
          <w:tcPr>
            <w:tcW w:w="4090" w:type="dxa"/>
            <w:vMerge w:val="restart"/>
            <w:hideMark/>
          </w:tcPr>
          <w:p w14:paraId="5A88A0B7" w14:textId="77777777" w:rsidR="00EB0BC0" w:rsidRPr="00A85D2D" w:rsidRDefault="00EB0BC0" w:rsidP="00EB0BC0">
            <w:pPr>
              <w:pStyle w:val="NoSpacing"/>
              <w:rPr>
                <w:rFonts w:ascii="Times New Roman" w:hAnsi="Times New Roman" w:cs="Times New Roman"/>
                <w:b/>
                <w:bCs/>
                <w:szCs w:val="24"/>
                <w:lang w:eastAsia="en-IN"/>
              </w:rPr>
            </w:pPr>
            <w:r w:rsidRPr="00A85D2D">
              <w:rPr>
                <w:rFonts w:ascii="Times New Roman" w:hAnsi="Times New Roman" w:cs="Times New Roman"/>
                <w:b/>
                <w:bCs/>
                <w:szCs w:val="24"/>
                <w:lang w:eastAsia="en-IN"/>
              </w:rPr>
              <w:t>States/Measures</w:t>
            </w:r>
          </w:p>
        </w:tc>
        <w:tc>
          <w:tcPr>
            <w:tcW w:w="2098" w:type="dxa"/>
            <w:vMerge w:val="restart"/>
            <w:hideMark/>
          </w:tcPr>
          <w:p w14:paraId="468A7887" w14:textId="77777777" w:rsidR="00EB0BC0" w:rsidRPr="00A85D2D" w:rsidRDefault="00EB0BC0" w:rsidP="00EB0BC0">
            <w:pPr>
              <w:pStyle w:val="NoSpacing"/>
              <w:rPr>
                <w:rFonts w:ascii="Times New Roman" w:hAnsi="Times New Roman" w:cs="Times New Roman"/>
                <w:b/>
                <w:bCs/>
                <w:szCs w:val="24"/>
                <w:lang w:eastAsia="en-IN"/>
              </w:rPr>
            </w:pPr>
            <w:r w:rsidRPr="00A85D2D">
              <w:rPr>
                <w:rFonts w:ascii="Times New Roman" w:hAnsi="Times New Roman" w:cs="Times New Roman"/>
                <w:b/>
                <w:bCs/>
                <w:szCs w:val="24"/>
                <w:lang w:eastAsia="en-IN"/>
              </w:rPr>
              <w:t>Year/date of abolition/concession</w:t>
            </w:r>
          </w:p>
        </w:tc>
        <w:tc>
          <w:tcPr>
            <w:tcW w:w="4554" w:type="dxa"/>
            <w:gridSpan w:val="2"/>
            <w:vAlign w:val="center"/>
            <w:hideMark/>
          </w:tcPr>
          <w:p w14:paraId="493EAA09" w14:textId="77777777" w:rsidR="00EB0BC0" w:rsidRPr="00A85D2D" w:rsidRDefault="00EB0BC0" w:rsidP="0077656B">
            <w:pPr>
              <w:pStyle w:val="NoSpacing"/>
              <w:jc w:val="center"/>
              <w:rPr>
                <w:rFonts w:ascii="Times New Roman" w:hAnsi="Times New Roman" w:cs="Times New Roman"/>
                <w:b/>
                <w:bCs/>
                <w:szCs w:val="24"/>
                <w:lang w:eastAsia="en-IN"/>
              </w:rPr>
            </w:pPr>
            <w:r w:rsidRPr="00A85D2D">
              <w:rPr>
                <w:rFonts w:ascii="Times New Roman" w:hAnsi="Times New Roman" w:cs="Times New Roman"/>
                <w:b/>
                <w:bCs/>
                <w:szCs w:val="24"/>
                <w:lang w:eastAsia="en-IN"/>
              </w:rPr>
              <w:t>Estimated loss of revenue</w:t>
            </w:r>
          </w:p>
        </w:tc>
      </w:tr>
      <w:tr w:rsidR="00EB0BC0" w:rsidRPr="00A85D2D" w14:paraId="63BF0472" w14:textId="77777777" w:rsidTr="0077656B">
        <w:trPr>
          <w:trHeight w:val="633"/>
        </w:trPr>
        <w:tc>
          <w:tcPr>
            <w:tcW w:w="4090" w:type="dxa"/>
            <w:vMerge/>
          </w:tcPr>
          <w:p w14:paraId="25D76C7A" w14:textId="77777777" w:rsidR="00EB0BC0" w:rsidRPr="00A85D2D" w:rsidRDefault="00EB0BC0" w:rsidP="00EB0BC0">
            <w:pPr>
              <w:pStyle w:val="NoSpacing"/>
              <w:rPr>
                <w:rFonts w:ascii="Times New Roman" w:hAnsi="Times New Roman" w:cs="Times New Roman"/>
                <w:b/>
                <w:bCs/>
                <w:szCs w:val="24"/>
                <w:lang w:eastAsia="en-IN"/>
              </w:rPr>
            </w:pPr>
          </w:p>
        </w:tc>
        <w:tc>
          <w:tcPr>
            <w:tcW w:w="2098" w:type="dxa"/>
            <w:vMerge/>
          </w:tcPr>
          <w:p w14:paraId="5469444F" w14:textId="77777777" w:rsidR="00EB0BC0" w:rsidRPr="00A85D2D" w:rsidRDefault="00EB0BC0" w:rsidP="00EB0BC0">
            <w:pPr>
              <w:pStyle w:val="NoSpacing"/>
              <w:rPr>
                <w:rFonts w:ascii="Times New Roman" w:hAnsi="Times New Roman" w:cs="Times New Roman"/>
                <w:b/>
                <w:bCs/>
                <w:szCs w:val="24"/>
                <w:lang w:eastAsia="en-IN"/>
              </w:rPr>
            </w:pPr>
          </w:p>
        </w:tc>
        <w:tc>
          <w:tcPr>
            <w:tcW w:w="2107" w:type="dxa"/>
            <w:vAlign w:val="center"/>
          </w:tcPr>
          <w:p w14:paraId="656E692F" w14:textId="77777777" w:rsidR="00EB0BC0" w:rsidRPr="00A85D2D" w:rsidRDefault="00EB0BC0" w:rsidP="0077656B">
            <w:pPr>
              <w:pStyle w:val="NoSpacing"/>
              <w:jc w:val="center"/>
              <w:rPr>
                <w:rFonts w:ascii="Times New Roman" w:hAnsi="Times New Roman" w:cs="Times New Roman"/>
                <w:b/>
                <w:bCs/>
                <w:szCs w:val="24"/>
                <w:lang w:eastAsia="en-IN"/>
              </w:rPr>
            </w:pPr>
            <w:r w:rsidRPr="00A85D2D">
              <w:rPr>
                <w:rFonts w:ascii="Times New Roman" w:hAnsi="Times New Roman" w:cs="Times New Roman"/>
                <w:b/>
                <w:bCs/>
                <w:szCs w:val="24"/>
                <w:lang w:eastAsia="en-IN"/>
              </w:rPr>
              <w:t>1969-70 (Rs. crores)</w:t>
            </w:r>
          </w:p>
        </w:tc>
        <w:tc>
          <w:tcPr>
            <w:tcW w:w="2446" w:type="dxa"/>
            <w:vAlign w:val="center"/>
          </w:tcPr>
          <w:p w14:paraId="57C60BC9" w14:textId="77777777" w:rsidR="00EB0BC0" w:rsidRPr="00A85D2D" w:rsidRDefault="00EB0BC0" w:rsidP="0077656B">
            <w:pPr>
              <w:pStyle w:val="NoSpacing"/>
              <w:jc w:val="center"/>
              <w:rPr>
                <w:rFonts w:ascii="Times New Roman" w:hAnsi="Times New Roman" w:cs="Times New Roman"/>
                <w:b/>
                <w:bCs/>
                <w:szCs w:val="24"/>
                <w:lang w:eastAsia="en-IN"/>
              </w:rPr>
            </w:pPr>
            <w:r w:rsidRPr="00A85D2D">
              <w:rPr>
                <w:rFonts w:ascii="Times New Roman" w:hAnsi="Times New Roman" w:cs="Times New Roman"/>
                <w:b/>
                <w:bCs/>
                <w:szCs w:val="24"/>
                <w:lang w:eastAsia="en-IN"/>
              </w:rPr>
              <w:t>1969-70 to 1973-74 (Rs. crores)</w:t>
            </w:r>
          </w:p>
        </w:tc>
      </w:tr>
      <w:tr w:rsidR="00EB0BC0" w:rsidRPr="00A85D2D" w14:paraId="16B913D2" w14:textId="77777777" w:rsidTr="0077656B">
        <w:trPr>
          <w:trHeight w:val="197"/>
        </w:trPr>
        <w:tc>
          <w:tcPr>
            <w:tcW w:w="4090" w:type="dxa"/>
            <w:hideMark/>
          </w:tcPr>
          <w:p w14:paraId="321A6EDE" w14:textId="77777777" w:rsidR="00EB0BC0" w:rsidRPr="0077656B" w:rsidRDefault="00EB0BC0" w:rsidP="00EB0BC0">
            <w:pPr>
              <w:pStyle w:val="NoSpacing"/>
              <w:rPr>
                <w:rFonts w:ascii="Times New Roman" w:hAnsi="Times New Roman" w:cs="Times New Roman"/>
                <w:b/>
                <w:bCs/>
                <w:szCs w:val="24"/>
                <w:lang w:eastAsia="en-IN"/>
              </w:rPr>
            </w:pPr>
            <w:r w:rsidRPr="0077656B">
              <w:rPr>
                <w:rFonts w:ascii="Times New Roman" w:hAnsi="Times New Roman" w:cs="Times New Roman"/>
                <w:b/>
                <w:bCs/>
                <w:szCs w:val="24"/>
                <w:lang w:eastAsia="en-IN"/>
              </w:rPr>
              <w:t>1. Andhra Pradesh</w:t>
            </w:r>
          </w:p>
        </w:tc>
        <w:tc>
          <w:tcPr>
            <w:tcW w:w="2098" w:type="dxa"/>
            <w:vMerge w:val="restart"/>
            <w:hideMark/>
          </w:tcPr>
          <w:p w14:paraId="3B1C123E" w14:textId="77777777" w:rsidR="00EB0BC0" w:rsidRPr="00A85D2D" w:rsidRDefault="00EB0BC0" w:rsidP="00EB0BC0">
            <w:pPr>
              <w:pStyle w:val="NoSpacing"/>
              <w:rPr>
                <w:rFonts w:ascii="Times New Roman" w:hAnsi="Times New Roman" w:cs="Times New Roman"/>
                <w:szCs w:val="24"/>
                <w:lang w:eastAsia="en-IN"/>
              </w:rPr>
            </w:pPr>
            <w:r w:rsidRPr="00A85D2D">
              <w:rPr>
                <w:rFonts w:ascii="Times New Roman" w:hAnsi="Times New Roman" w:cs="Times New Roman"/>
                <w:szCs w:val="24"/>
                <w:lang w:eastAsia="en-IN"/>
              </w:rPr>
              <w:t> </w:t>
            </w:r>
          </w:p>
          <w:p w14:paraId="3EF494F6" w14:textId="77777777" w:rsidR="00EB0BC0" w:rsidRPr="00A85D2D" w:rsidRDefault="00EB0BC0" w:rsidP="00EB0BC0">
            <w:pPr>
              <w:pStyle w:val="NoSpacing"/>
              <w:rPr>
                <w:rFonts w:ascii="Times New Roman" w:hAnsi="Times New Roman" w:cs="Times New Roman"/>
                <w:szCs w:val="24"/>
                <w:lang w:eastAsia="en-IN"/>
              </w:rPr>
            </w:pPr>
            <w:r w:rsidRPr="00A85D2D">
              <w:rPr>
                <w:rFonts w:ascii="Times New Roman" w:hAnsi="Times New Roman" w:cs="Times New Roman"/>
                <w:szCs w:val="24"/>
                <w:lang w:eastAsia="en-IN"/>
              </w:rPr>
              <w:t>July 1, 1967</w:t>
            </w:r>
          </w:p>
        </w:tc>
        <w:tc>
          <w:tcPr>
            <w:tcW w:w="2107" w:type="dxa"/>
            <w:vMerge w:val="restart"/>
            <w:vAlign w:val="center"/>
            <w:hideMark/>
          </w:tcPr>
          <w:p w14:paraId="4803834C" w14:textId="5A74ED92" w:rsidR="00EB0BC0" w:rsidRPr="00A85D2D" w:rsidRDefault="00EB0BC0" w:rsidP="0077656B">
            <w:pPr>
              <w:pStyle w:val="NoSpacing"/>
              <w:jc w:val="center"/>
              <w:rPr>
                <w:rFonts w:ascii="Times New Roman" w:hAnsi="Times New Roman" w:cs="Times New Roman"/>
                <w:szCs w:val="24"/>
                <w:lang w:eastAsia="en-IN"/>
              </w:rPr>
            </w:pPr>
          </w:p>
          <w:p w14:paraId="49D0E3F5" w14:textId="151E0CD3" w:rsidR="00EB0BC0" w:rsidRPr="00A85D2D" w:rsidRDefault="00EB0BC0" w:rsidP="0077656B">
            <w:pPr>
              <w:pStyle w:val="NoSpacing"/>
              <w:jc w:val="center"/>
              <w:rPr>
                <w:rFonts w:ascii="Times New Roman" w:hAnsi="Times New Roman" w:cs="Times New Roman"/>
                <w:szCs w:val="24"/>
                <w:lang w:eastAsia="en-IN"/>
              </w:rPr>
            </w:pPr>
            <w:r w:rsidRPr="00A85D2D">
              <w:rPr>
                <w:rFonts w:ascii="Times New Roman" w:hAnsi="Times New Roman" w:cs="Times New Roman"/>
                <w:szCs w:val="24"/>
                <w:lang w:eastAsia="en-IN"/>
              </w:rPr>
              <w:t>2.5</w:t>
            </w:r>
            <w:r w:rsidR="006E0237">
              <w:rPr>
                <w:rFonts w:ascii="Times New Roman" w:hAnsi="Times New Roman" w:cs="Times New Roman"/>
                <w:szCs w:val="24"/>
                <w:lang w:eastAsia="en-IN"/>
              </w:rPr>
              <w:t>0</w:t>
            </w:r>
          </w:p>
        </w:tc>
        <w:tc>
          <w:tcPr>
            <w:tcW w:w="2446" w:type="dxa"/>
            <w:vMerge w:val="restart"/>
            <w:vAlign w:val="center"/>
            <w:hideMark/>
          </w:tcPr>
          <w:p w14:paraId="6DC616AD" w14:textId="52CAE3D6" w:rsidR="00EB0BC0" w:rsidRPr="00A85D2D" w:rsidRDefault="00EB0BC0" w:rsidP="0077656B">
            <w:pPr>
              <w:pStyle w:val="NoSpacing"/>
              <w:jc w:val="center"/>
              <w:rPr>
                <w:rFonts w:ascii="Times New Roman" w:hAnsi="Times New Roman" w:cs="Times New Roman"/>
                <w:szCs w:val="24"/>
                <w:lang w:eastAsia="en-IN"/>
              </w:rPr>
            </w:pPr>
          </w:p>
          <w:p w14:paraId="6360E188" w14:textId="4806E8DF" w:rsidR="00EB0BC0" w:rsidRPr="00A85D2D" w:rsidRDefault="00EB0BC0" w:rsidP="0077656B">
            <w:pPr>
              <w:pStyle w:val="NoSpacing"/>
              <w:jc w:val="center"/>
              <w:rPr>
                <w:rFonts w:ascii="Times New Roman" w:hAnsi="Times New Roman" w:cs="Times New Roman"/>
                <w:szCs w:val="24"/>
                <w:lang w:eastAsia="en-IN"/>
              </w:rPr>
            </w:pPr>
            <w:r w:rsidRPr="00A85D2D">
              <w:rPr>
                <w:rFonts w:ascii="Times New Roman" w:hAnsi="Times New Roman" w:cs="Times New Roman"/>
                <w:szCs w:val="24"/>
                <w:lang w:eastAsia="en-IN"/>
              </w:rPr>
              <w:t>15</w:t>
            </w:r>
            <w:r w:rsidR="006E0237">
              <w:rPr>
                <w:rFonts w:ascii="Times New Roman" w:hAnsi="Times New Roman" w:cs="Times New Roman"/>
                <w:szCs w:val="24"/>
                <w:lang w:eastAsia="en-IN"/>
              </w:rPr>
              <w:t>.00</w:t>
            </w:r>
          </w:p>
        </w:tc>
      </w:tr>
      <w:tr w:rsidR="00EB0BC0" w:rsidRPr="00A85D2D" w14:paraId="09BA38E7" w14:textId="77777777" w:rsidTr="0077656B">
        <w:trPr>
          <w:trHeight w:val="527"/>
        </w:trPr>
        <w:tc>
          <w:tcPr>
            <w:tcW w:w="4090" w:type="dxa"/>
            <w:hideMark/>
          </w:tcPr>
          <w:p w14:paraId="553A2AF7" w14:textId="77777777" w:rsidR="00EB0BC0" w:rsidRPr="00A85D2D" w:rsidRDefault="00EB0BC0" w:rsidP="00EB0BC0">
            <w:pPr>
              <w:pStyle w:val="NoSpacing"/>
              <w:rPr>
                <w:rFonts w:ascii="Times New Roman" w:hAnsi="Times New Roman" w:cs="Times New Roman"/>
                <w:szCs w:val="24"/>
                <w:lang w:eastAsia="en-IN"/>
              </w:rPr>
            </w:pPr>
            <w:r w:rsidRPr="00A85D2D">
              <w:rPr>
                <w:rFonts w:ascii="Times New Roman" w:hAnsi="Times New Roman" w:cs="Times New Roman"/>
                <w:szCs w:val="24"/>
                <w:lang w:eastAsia="en-IN"/>
              </w:rPr>
              <w:t>(i) Pattadars liable to pay Rs. 10 and less on dry lands under the Andhra Pradesh Land Revenue (Enhancement) Act, 1967 exempted</w:t>
            </w:r>
          </w:p>
        </w:tc>
        <w:tc>
          <w:tcPr>
            <w:tcW w:w="2098" w:type="dxa"/>
            <w:vMerge/>
            <w:hideMark/>
          </w:tcPr>
          <w:p w14:paraId="338F311B" w14:textId="77777777" w:rsidR="00EB0BC0" w:rsidRPr="00A85D2D" w:rsidRDefault="00EB0BC0" w:rsidP="00EB0BC0">
            <w:pPr>
              <w:pStyle w:val="NoSpacing"/>
              <w:rPr>
                <w:rFonts w:ascii="Times New Roman" w:hAnsi="Times New Roman" w:cs="Times New Roman"/>
                <w:szCs w:val="24"/>
                <w:lang w:eastAsia="en-IN"/>
              </w:rPr>
            </w:pPr>
          </w:p>
        </w:tc>
        <w:tc>
          <w:tcPr>
            <w:tcW w:w="2107" w:type="dxa"/>
            <w:vMerge/>
            <w:vAlign w:val="center"/>
            <w:hideMark/>
          </w:tcPr>
          <w:p w14:paraId="175B9774" w14:textId="77777777" w:rsidR="00EB0BC0" w:rsidRPr="00A85D2D" w:rsidRDefault="00EB0BC0" w:rsidP="0077656B">
            <w:pPr>
              <w:pStyle w:val="NoSpacing"/>
              <w:jc w:val="center"/>
              <w:rPr>
                <w:rFonts w:ascii="Times New Roman" w:hAnsi="Times New Roman" w:cs="Times New Roman"/>
                <w:szCs w:val="24"/>
                <w:lang w:eastAsia="en-IN"/>
              </w:rPr>
            </w:pPr>
          </w:p>
        </w:tc>
        <w:tc>
          <w:tcPr>
            <w:tcW w:w="2446" w:type="dxa"/>
            <w:vMerge/>
            <w:vAlign w:val="center"/>
            <w:hideMark/>
          </w:tcPr>
          <w:p w14:paraId="2FCDEAEC" w14:textId="77777777" w:rsidR="00EB0BC0" w:rsidRPr="00A85D2D" w:rsidRDefault="00EB0BC0" w:rsidP="0077656B">
            <w:pPr>
              <w:pStyle w:val="NoSpacing"/>
              <w:jc w:val="center"/>
              <w:rPr>
                <w:rFonts w:ascii="Times New Roman" w:hAnsi="Times New Roman" w:cs="Times New Roman"/>
                <w:szCs w:val="24"/>
                <w:lang w:eastAsia="en-IN"/>
              </w:rPr>
            </w:pPr>
          </w:p>
        </w:tc>
      </w:tr>
      <w:tr w:rsidR="00EB0BC0" w:rsidRPr="00A85D2D" w14:paraId="0A5CDBF1" w14:textId="77777777" w:rsidTr="0077656B">
        <w:trPr>
          <w:trHeight w:val="489"/>
        </w:trPr>
        <w:tc>
          <w:tcPr>
            <w:tcW w:w="4090" w:type="dxa"/>
            <w:hideMark/>
          </w:tcPr>
          <w:p w14:paraId="4825AF3D" w14:textId="77777777" w:rsidR="00EB0BC0" w:rsidRPr="00A85D2D" w:rsidRDefault="00EB0BC0" w:rsidP="00EB0BC0">
            <w:pPr>
              <w:pStyle w:val="NoSpacing"/>
              <w:rPr>
                <w:rFonts w:ascii="Times New Roman" w:hAnsi="Times New Roman" w:cs="Times New Roman"/>
                <w:szCs w:val="24"/>
                <w:lang w:eastAsia="en-IN"/>
              </w:rPr>
            </w:pPr>
            <w:r w:rsidRPr="00A85D2D">
              <w:rPr>
                <w:rFonts w:ascii="Times New Roman" w:hAnsi="Times New Roman" w:cs="Times New Roman"/>
                <w:szCs w:val="24"/>
                <w:lang w:eastAsia="en-IN"/>
              </w:rPr>
              <w:t>(ii) Land under irrigation from precarious sources like wells, spring channels, nadi-nalas, parrekalvas etc. not to be treated as wet lands on par with those irrigated from other sources, and only dry assessment to be levied on such lands</w:t>
            </w:r>
          </w:p>
        </w:tc>
        <w:tc>
          <w:tcPr>
            <w:tcW w:w="2098" w:type="dxa"/>
            <w:hideMark/>
          </w:tcPr>
          <w:p w14:paraId="68C08F46" w14:textId="77777777" w:rsidR="00EB0BC0" w:rsidRPr="00A85D2D" w:rsidRDefault="00EB0BC0" w:rsidP="00EB0BC0">
            <w:pPr>
              <w:pStyle w:val="NoSpacing"/>
              <w:rPr>
                <w:rFonts w:ascii="Times New Roman" w:hAnsi="Times New Roman" w:cs="Times New Roman"/>
                <w:szCs w:val="24"/>
                <w:lang w:eastAsia="en-IN"/>
              </w:rPr>
            </w:pPr>
            <w:r w:rsidRPr="00A85D2D">
              <w:rPr>
                <w:rFonts w:ascii="Times New Roman" w:hAnsi="Times New Roman" w:cs="Times New Roman"/>
                <w:szCs w:val="24"/>
                <w:lang w:eastAsia="en-IN"/>
              </w:rPr>
              <w:t>July 1, 1967</w:t>
            </w:r>
          </w:p>
        </w:tc>
        <w:tc>
          <w:tcPr>
            <w:tcW w:w="2107" w:type="dxa"/>
            <w:vAlign w:val="center"/>
            <w:hideMark/>
          </w:tcPr>
          <w:p w14:paraId="3E4561A6" w14:textId="4C209072" w:rsidR="00EB0BC0" w:rsidRPr="00A85D2D" w:rsidRDefault="00EB0BC0" w:rsidP="0077656B">
            <w:pPr>
              <w:pStyle w:val="NoSpacing"/>
              <w:jc w:val="center"/>
              <w:rPr>
                <w:rFonts w:ascii="Times New Roman" w:hAnsi="Times New Roman" w:cs="Times New Roman"/>
                <w:szCs w:val="24"/>
                <w:lang w:eastAsia="en-IN"/>
              </w:rPr>
            </w:pPr>
            <w:r w:rsidRPr="00A85D2D">
              <w:rPr>
                <w:rFonts w:ascii="Times New Roman" w:hAnsi="Times New Roman" w:cs="Times New Roman"/>
                <w:szCs w:val="24"/>
                <w:lang w:eastAsia="en-IN"/>
              </w:rPr>
              <w:t>0.1</w:t>
            </w:r>
            <w:r w:rsidR="006E0237">
              <w:rPr>
                <w:rFonts w:ascii="Times New Roman" w:hAnsi="Times New Roman" w:cs="Times New Roman"/>
                <w:szCs w:val="24"/>
                <w:lang w:eastAsia="en-IN"/>
              </w:rPr>
              <w:t>0</w:t>
            </w:r>
          </w:p>
        </w:tc>
        <w:tc>
          <w:tcPr>
            <w:tcW w:w="2446" w:type="dxa"/>
            <w:vAlign w:val="center"/>
            <w:hideMark/>
          </w:tcPr>
          <w:p w14:paraId="06BFE264" w14:textId="185252AA" w:rsidR="00EB0BC0" w:rsidRPr="00A85D2D" w:rsidRDefault="00EB0BC0" w:rsidP="0077656B">
            <w:pPr>
              <w:pStyle w:val="NoSpacing"/>
              <w:jc w:val="center"/>
              <w:rPr>
                <w:rFonts w:ascii="Times New Roman" w:hAnsi="Times New Roman" w:cs="Times New Roman"/>
                <w:szCs w:val="24"/>
                <w:lang w:eastAsia="en-IN"/>
              </w:rPr>
            </w:pPr>
            <w:r w:rsidRPr="00A85D2D">
              <w:rPr>
                <w:rFonts w:ascii="Times New Roman" w:hAnsi="Times New Roman" w:cs="Times New Roman"/>
                <w:szCs w:val="24"/>
                <w:lang w:eastAsia="en-IN"/>
              </w:rPr>
              <w:t>0.5</w:t>
            </w:r>
            <w:r w:rsidR="006E0237">
              <w:rPr>
                <w:rFonts w:ascii="Times New Roman" w:hAnsi="Times New Roman" w:cs="Times New Roman"/>
                <w:szCs w:val="24"/>
                <w:lang w:eastAsia="en-IN"/>
              </w:rPr>
              <w:t>0</w:t>
            </w:r>
          </w:p>
        </w:tc>
      </w:tr>
      <w:tr w:rsidR="00EB0BC0" w:rsidRPr="00A85D2D" w14:paraId="02255014" w14:textId="77777777" w:rsidTr="0077656B">
        <w:trPr>
          <w:trHeight w:val="451"/>
        </w:trPr>
        <w:tc>
          <w:tcPr>
            <w:tcW w:w="4090" w:type="dxa"/>
            <w:hideMark/>
          </w:tcPr>
          <w:p w14:paraId="276E5636" w14:textId="77777777" w:rsidR="00EB0BC0" w:rsidRPr="00A85D2D" w:rsidRDefault="00EB0BC0" w:rsidP="00EB0BC0">
            <w:pPr>
              <w:pStyle w:val="NoSpacing"/>
              <w:rPr>
                <w:rFonts w:ascii="Times New Roman" w:hAnsi="Times New Roman" w:cs="Times New Roman"/>
                <w:szCs w:val="24"/>
                <w:lang w:eastAsia="en-IN"/>
              </w:rPr>
            </w:pPr>
            <w:r w:rsidRPr="00A85D2D">
              <w:rPr>
                <w:rFonts w:ascii="Times New Roman" w:hAnsi="Times New Roman" w:cs="Times New Roman"/>
                <w:szCs w:val="24"/>
                <w:lang w:eastAsia="en-IN"/>
              </w:rPr>
              <w:t>(iii) Reduction of land revenue by 25% on wet lands served by rain fed tanks</w:t>
            </w:r>
          </w:p>
        </w:tc>
        <w:tc>
          <w:tcPr>
            <w:tcW w:w="2098" w:type="dxa"/>
            <w:hideMark/>
          </w:tcPr>
          <w:p w14:paraId="4EEE2F28" w14:textId="77777777" w:rsidR="00EB0BC0" w:rsidRPr="00A85D2D" w:rsidRDefault="00EB0BC0" w:rsidP="00EB0BC0">
            <w:pPr>
              <w:pStyle w:val="NoSpacing"/>
              <w:rPr>
                <w:rFonts w:ascii="Times New Roman" w:hAnsi="Times New Roman" w:cs="Times New Roman"/>
                <w:szCs w:val="24"/>
                <w:lang w:eastAsia="en-IN"/>
              </w:rPr>
            </w:pPr>
            <w:r w:rsidRPr="00A85D2D">
              <w:rPr>
                <w:rFonts w:ascii="Times New Roman" w:hAnsi="Times New Roman" w:cs="Times New Roman"/>
                <w:szCs w:val="24"/>
                <w:lang w:eastAsia="en-IN"/>
              </w:rPr>
              <w:t>July 1, 1967</w:t>
            </w:r>
          </w:p>
        </w:tc>
        <w:tc>
          <w:tcPr>
            <w:tcW w:w="2107" w:type="dxa"/>
            <w:vAlign w:val="center"/>
            <w:hideMark/>
          </w:tcPr>
          <w:p w14:paraId="2293EDB2" w14:textId="77777777" w:rsidR="00EB0BC0" w:rsidRPr="00A85D2D" w:rsidRDefault="00EB0BC0" w:rsidP="0077656B">
            <w:pPr>
              <w:pStyle w:val="NoSpacing"/>
              <w:jc w:val="center"/>
              <w:rPr>
                <w:rFonts w:ascii="Times New Roman" w:hAnsi="Times New Roman" w:cs="Times New Roman"/>
                <w:szCs w:val="24"/>
                <w:lang w:eastAsia="en-IN"/>
              </w:rPr>
            </w:pPr>
            <w:r w:rsidRPr="00A85D2D">
              <w:rPr>
                <w:rFonts w:ascii="Times New Roman" w:hAnsi="Times New Roman" w:cs="Times New Roman"/>
                <w:szCs w:val="24"/>
                <w:lang w:eastAsia="en-IN"/>
              </w:rPr>
              <w:t>0.25</w:t>
            </w:r>
          </w:p>
        </w:tc>
        <w:tc>
          <w:tcPr>
            <w:tcW w:w="2446" w:type="dxa"/>
            <w:vAlign w:val="center"/>
            <w:hideMark/>
          </w:tcPr>
          <w:p w14:paraId="2012892D" w14:textId="77777777" w:rsidR="00EB0BC0" w:rsidRPr="00A85D2D" w:rsidRDefault="00EB0BC0" w:rsidP="0077656B">
            <w:pPr>
              <w:pStyle w:val="NoSpacing"/>
              <w:jc w:val="center"/>
              <w:rPr>
                <w:rFonts w:ascii="Times New Roman" w:hAnsi="Times New Roman" w:cs="Times New Roman"/>
                <w:szCs w:val="24"/>
                <w:lang w:eastAsia="en-IN"/>
              </w:rPr>
            </w:pPr>
            <w:r w:rsidRPr="00A85D2D">
              <w:rPr>
                <w:rFonts w:ascii="Times New Roman" w:hAnsi="Times New Roman" w:cs="Times New Roman"/>
                <w:szCs w:val="24"/>
                <w:lang w:eastAsia="en-IN"/>
              </w:rPr>
              <w:t>1.25</w:t>
            </w:r>
          </w:p>
        </w:tc>
      </w:tr>
      <w:tr w:rsidR="00EB0BC0" w:rsidRPr="00A85D2D" w14:paraId="7FD22423" w14:textId="77777777" w:rsidTr="0077656B">
        <w:trPr>
          <w:trHeight w:val="489"/>
        </w:trPr>
        <w:tc>
          <w:tcPr>
            <w:tcW w:w="4090" w:type="dxa"/>
            <w:hideMark/>
          </w:tcPr>
          <w:p w14:paraId="6C7DC2BD" w14:textId="77777777" w:rsidR="00EB0BC0" w:rsidRPr="00A85D2D" w:rsidRDefault="00EB0BC0" w:rsidP="00EB0BC0">
            <w:pPr>
              <w:pStyle w:val="NoSpacing"/>
              <w:rPr>
                <w:rFonts w:ascii="Times New Roman" w:hAnsi="Times New Roman" w:cs="Times New Roman"/>
                <w:szCs w:val="24"/>
                <w:lang w:eastAsia="en-IN"/>
              </w:rPr>
            </w:pPr>
            <w:r w:rsidRPr="00A85D2D">
              <w:rPr>
                <w:rFonts w:ascii="Times New Roman" w:hAnsi="Times New Roman" w:cs="Times New Roman"/>
                <w:szCs w:val="24"/>
                <w:lang w:eastAsia="en-IN"/>
              </w:rPr>
              <w:t>TOTAL</w:t>
            </w:r>
          </w:p>
        </w:tc>
        <w:tc>
          <w:tcPr>
            <w:tcW w:w="2098" w:type="dxa"/>
            <w:hideMark/>
          </w:tcPr>
          <w:p w14:paraId="2FA4C4B3" w14:textId="77777777" w:rsidR="00EB0BC0" w:rsidRPr="00A85D2D" w:rsidRDefault="00EB0BC0" w:rsidP="00EB0BC0">
            <w:pPr>
              <w:pStyle w:val="NoSpacing"/>
              <w:rPr>
                <w:rFonts w:ascii="Times New Roman" w:hAnsi="Times New Roman" w:cs="Times New Roman"/>
                <w:szCs w:val="24"/>
                <w:lang w:eastAsia="en-IN"/>
              </w:rPr>
            </w:pPr>
            <w:r w:rsidRPr="00A85D2D">
              <w:rPr>
                <w:rFonts w:ascii="Times New Roman" w:hAnsi="Times New Roman" w:cs="Times New Roman"/>
                <w:szCs w:val="24"/>
                <w:lang w:eastAsia="en-IN"/>
              </w:rPr>
              <w:t> </w:t>
            </w:r>
          </w:p>
        </w:tc>
        <w:tc>
          <w:tcPr>
            <w:tcW w:w="2107" w:type="dxa"/>
            <w:vAlign w:val="center"/>
            <w:hideMark/>
          </w:tcPr>
          <w:p w14:paraId="5F1AD121" w14:textId="77777777" w:rsidR="00EB0BC0" w:rsidRPr="00A85D2D" w:rsidRDefault="00EB0BC0" w:rsidP="0077656B">
            <w:pPr>
              <w:pStyle w:val="NoSpacing"/>
              <w:jc w:val="center"/>
              <w:rPr>
                <w:rFonts w:ascii="Times New Roman" w:hAnsi="Times New Roman" w:cs="Times New Roman"/>
                <w:szCs w:val="24"/>
                <w:lang w:eastAsia="en-IN"/>
              </w:rPr>
            </w:pPr>
            <w:r w:rsidRPr="00A85D2D">
              <w:rPr>
                <w:rFonts w:ascii="Times New Roman" w:hAnsi="Times New Roman" w:cs="Times New Roman"/>
                <w:szCs w:val="24"/>
                <w:lang w:eastAsia="en-IN"/>
              </w:rPr>
              <w:t>2.85</w:t>
            </w:r>
          </w:p>
        </w:tc>
        <w:tc>
          <w:tcPr>
            <w:tcW w:w="2446" w:type="dxa"/>
            <w:vAlign w:val="center"/>
            <w:hideMark/>
          </w:tcPr>
          <w:p w14:paraId="22D5D17B" w14:textId="77777777" w:rsidR="00EB0BC0" w:rsidRPr="00A85D2D" w:rsidRDefault="00EB0BC0" w:rsidP="0077656B">
            <w:pPr>
              <w:pStyle w:val="NoSpacing"/>
              <w:jc w:val="center"/>
              <w:rPr>
                <w:rFonts w:ascii="Times New Roman" w:hAnsi="Times New Roman" w:cs="Times New Roman"/>
                <w:szCs w:val="24"/>
                <w:lang w:eastAsia="en-IN"/>
              </w:rPr>
            </w:pPr>
            <w:r w:rsidRPr="00A85D2D">
              <w:rPr>
                <w:rFonts w:ascii="Times New Roman" w:hAnsi="Times New Roman" w:cs="Times New Roman"/>
                <w:szCs w:val="24"/>
                <w:lang w:eastAsia="en-IN"/>
              </w:rPr>
              <w:t>16.75</w:t>
            </w:r>
          </w:p>
        </w:tc>
      </w:tr>
      <w:tr w:rsidR="00EB0BC0" w:rsidRPr="00A85D2D" w14:paraId="6345F3C8" w14:textId="77777777" w:rsidTr="0077656B">
        <w:trPr>
          <w:trHeight w:val="386"/>
        </w:trPr>
        <w:tc>
          <w:tcPr>
            <w:tcW w:w="4090" w:type="dxa"/>
            <w:hideMark/>
          </w:tcPr>
          <w:p w14:paraId="3BC1455B" w14:textId="77777777" w:rsidR="00EB0BC0" w:rsidRPr="0077656B" w:rsidRDefault="00EB0BC0" w:rsidP="00EB0BC0">
            <w:pPr>
              <w:pStyle w:val="NoSpacing"/>
              <w:rPr>
                <w:rFonts w:ascii="Times New Roman" w:hAnsi="Times New Roman" w:cs="Times New Roman"/>
                <w:b/>
                <w:bCs/>
                <w:szCs w:val="24"/>
                <w:lang w:eastAsia="en-IN"/>
              </w:rPr>
            </w:pPr>
            <w:r w:rsidRPr="0077656B">
              <w:rPr>
                <w:rFonts w:ascii="Times New Roman" w:hAnsi="Times New Roman" w:cs="Times New Roman"/>
                <w:b/>
                <w:bCs/>
                <w:szCs w:val="24"/>
                <w:lang w:eastAsia="en-IN"/>
              </w:rPr>
              <w:t>2. Jammu &amp; Kashmir</w:t>
            </w:r>
          </w:p>
        </w:tc>
        <w:tc>
          <w:tcPr>
            <w:tcW w:w="2098" w:type="dxa"/>
            <w:hideMark/>
          </w:tcPr>
          <w:p w14:paraId="008E8A9B" w14:textId="77777777" w:rsidR="00EB0BC0" w:rsidRPr="00A85D2D" w:rsidRDefault="00EB0BC0" w:rsidP="00EB0BC0">
            <w:pPr>
              <w:pStyle w:val="NoSpacing"/>
              <w:rPr>
                <w:rFonts w:ascii="Times New Roman" w:hAnsi="Times New Roman" w:cs="Times New Roman"/>
                <w:szCs w:val="24"/>
                <w:lang w:eastAsia="en-IN"/>
              </w:rPr>
            </w:pPr>
            <w:r w:rsidRPr="00A85D2D">
              <w:rPr>
                <w:rFonts w:ascii="Times New Roman" w:hAnsi="Times New Roman" w:cs="Times New Roman"/>
                <w:szCs w:val="24"/>
                <w:lang w:eastAsia="en-IN"/>
              </w:rPr>
              <w:t> </w:t>
            </w:r>
          </w:p>
        </w:tc>
        <w:tc>
          <w:tcPr>
            <w:tcW w:w="2107" w:type="dxa"/>
            <w:vAlign w:val="center"/>
            <w:hideMark/>
          </w:tcPr>
          <w:p w14:paraId="776807EA" w14:textId="4C9374DD" w:rsidR="00EB0BC0" w:rsidRPr="00A85D2D" w:rsidRDefault="00EB0BC0" w:rsidP="0077656B">
            <w:pPr>
              <w:pStyle w:val="NoSpacing"/>
              <w:jc w:val="center"/>
              <w:rPr>
                <w:rFonts w:ascii="Times New Roman" w:hAnsi="Times New Roman" w:cs="Times New Roman"/>
                <w:szCs w:val="24"/>
                <w:lang w:eastAsia="en-IN"/>
              </w:rPr>
            </w:pPr>
          </w:p>
        </w:tc>
        <w:tc>
          <w:tcPr>
            <w:tcW w:w="2446" w:type="dxa"/>
            <w:vAlign w:val="center"/>
            <w:hideMark/>
          </w:tcPr>
          <w:p w14:paraId="6D049145" w14:textId="4FF7203F" w:rsidR="00EB0BC0" w:rsidRPr="00A85D2D" w:rsidRDefault="00EB0BC0" w:rsidP="0077656B">
            <w:pPr>
              <w:pStyle w:val="NoSpacing"/>
              <w:jc w:val="center"/>
              <w:rPr>
                <w:rFonts w:ascii="Times New Roman" w:hAnsi="Times New Roman" w:cs="Times New Roman"/>
                <w:szCs w:val="24"/>
                <w:lang w:eastAsia="en-IN"/>
              </w:rPr>
            </w:pPr>
          </w:p>
        </w:tc>
      </w:tr>
      <w:tr w:rsidR="00EB0BC0" w:rsidRPr="00A85D2D" w14:paraId="6AF5ECD5" w14:textId="77777777" w:rsidTr="0077656B">
        <w:trPr>
          <w:trHeight w:val="309"/>
        </w:trPr>
        <w:tc>
          <w:tcPr>
            <w:tcW w:w="4090" w:type="dxa"/>
            <w:hideMark/>
          </w:tcPr>
          <w:p w14:paraId="0DA63945" w14:textId="77777777" w:rsidR="00EB0BC0" w:rsidRPr="00A85D2D" w:rsidRDefault="00EB0BC0" w:rsidP="00EB0BC0">
            <w:pPr>
              <w:pStyle w:val="NoSpacing"/>
              <w:rPr>
                <w:rFonts w:ascii="Times New Roman" w:hAnsi="Times New Roman" w:cs="Times New Roman"/>
                <w:szCs w:val="24"/>
                <w:lang w:eastAsia="en-IN"/>
              </w:rPr>
            </w:pPr>
            <w:r w:rsidRPr="00A85D2D">
              <w:rPr>
                <w:rFonts w:ascii="Times New Roman" w:hAnsi="Times New Roman" w:cs="Times New Roman"/>
                <w:szCs w:val="24"/>
                <w:lang w:eastAsia="en-IN"/>
              </w:rPr>
              <w:t>Exemption of holdings assessable upto Rs. 9/-</w:t>
            </w:r>
          </w:p>
        </w:tc>
        <w:tc>
          <w:tcPr>
            <w:tcW w:w="2098" w:type="dxa"/>
            <w:hideMark/>
          </w:tcPr>
          <w:p w14:paraId="3CEFB7FA" w14:textId="77777777" w:rsidR="00EB0BC0" w:rsidRPr="00A85D2D" w:rsidRDefault="00EB0BC0" w:rsidP="00EB0BC0">
            <w:pPr>
              <w:pStyle w:val="NoSpacing"/>
              <w:rPr>
                <w:rFonts w:ascii="Times New Roman" w:hAnsi="Times New Roman" w:cs="Times New Roman"/>
                <w:szCs w:val="24"/>
                <w:lang w:eastAsia="en-IN"/>
              </w:rPr>
            </w:pPr>
            <w:r w:rsidRPr="00A85D2D">
              <w:rPr>
                <w:rFonts w:ascii="Times New Roman" w:hAnsi="Times New Roman" w:cs="Times New Roman"/>
                <w:szCs w:val="24"/>
                <w:lang w:eastAsia="en-IN"/>
              </w:rPr>
              <w:t>1968-69</w:t>
            </w:r>
          </w:p>
        </w:tc>
        <w:tc>
          <w:tcPr>
            <w:tcW w:w="2107" w:type="dxa"/>
            <w:vAlign w:val="center"/>
            <w:hideMark/>
          </w:tcPr>
          <w:p w14:paraId="5371B63B" w14:textId="77777777" w:rsidR="00EB0BC0" w:rsidRPr="00A85D2D" w:rsidRDefault="00EB0BC0" w:rsidP="0077656B">
            <w:pPr>
              <w:pStyle w:val="NoSpacing"/>
              <w:jc w:val="center"/>
              <w:rPr>
                <w:rFonts w:ascii="Times New Roman" w:hAnsi="Times New Roman" w:cs="Times New Roman"/>
                <w:szCs w:val="24"/>
                <w:lang w:eastAsia="en-IN"/>
              </w:rPr>
            </w:pPr>
            <w:r w:rsidRPr="00A85D2D">
              <w:rPr>
                <w:rFonts w:ascii="Times New Roman" w:hAnsi="Times New Roman" w:cs="Times New Roman"/>
                <w:szCs w:val="24"/>
                <w:lang w:eastAsia="en-IN"/>
              </w:rPr>
              <w:t>0.26</w:t>
            </w:r>
          </w:p>
        </w:tc>
        <w:tc>
          <w:tcPr>
            <w:tcW w:w="2446" w:type="dxa"/>
            <w:vAlign w:val="center"/>
            <w:hideMark/>
          </w:tcPr>
          <w:p w14:paraId="4C68C90E" w14:textId="2939F0CB" w:rsidR="00EB0BC0" w:rsidRPr="00A85D2D" w:rsidRDefault="00EB0BC0" w:rsidP="0077656B">
            <w:pPr>
              <w:pStyle w:val="NoSpacing"/>
              <w:jc w:val="center"/>
              <w:rPr>
                <w:rFonts w:ascii="Times New Roman" w:hAnsi="Times New Roman" w:cs="Times New Roman"/>
                <w:szCs w:val="24"/>
                <w:lang w:eastAsia="en-IN"/>
              </w:rPr>
            </w:pPr>
            <w:r w:rsidRPr="00A85D2D">
              <w:rPr>
                <w:rFonts w:ascii="Times New Roman" w:hAnsi="Times New Roman" w:cs="Times New Roman"/>
                <w:szCs w:val="24"/>
                <w:lang w:eastAsia="en-IN"/>
              </w:rPr>
              <w:t>1.3</w:t>
            </w:r>
            <w:r w:rsidR="006E0237">
              <w:rPr>
                <w:rFonts w:ascii="Times New Roman" w:hAnsi="Times New Roman" w:cs="Times New Roman"/>
                <w:szCs w:val="24"/>
                <w:lang w:eastAsia="en-IN"/>
              </w:rPr>
              <w:t>0</w:t>
            </w:r>
          </w:p>
        </w:tc>
      </w:tr>
      <w:tr w:rsidR="00EB0BC0" w:rsidRPr="00A85D2D" w14:paraId="4EFAE38F" w14:textId="77777777" w:rsidTr="0077656B">
        <w:trPr>
          <w:trHeight w:val="399"/>
        </w:trPr>
        <w:tc>
          <w:tcPr>
            <w:tcW w:w="4090" w:type="dxa"/>
            <w:hideMark/>
          </w:tcPr>
          <w:p w14:paraId="778BA3E8" w14:textId="77777777" w:rsidR="00EB0BC0" w:rsidRPr="0077656B" w:rsidRDefault="00EB0BC0" w:rsidP="00EB0BC0">
            <w:pPr>
              <w:pStyle w:val="NoSpacing"/>
              <w:rPr>
                <w:rFonts w:ascii="Times New Roman" w:hAnsi="Times New Roman" w:cs="Times New Roman"/>
                <w:b/>
                <w:bCs/>
                <w:szCs w:val="24"/>
                <w:lang w:eastAsia="en-IN"/>
              </w:rPr>
            </w:pPr>
            <w:r w:rsidRPr="0077656B">
              <w:rPr>
                <w:rFonts w:ascii="Times New Roman" w:hAnsi="Times New Roman" w:cs="Times New Roman"/>
                <w:b/>
                <w:bCs/>
                <w:szCs w:val="24"/>
                <w:lang w:eastAsia="en-IN"/>
              </w:rPr>
              <w:t>3. Kerala</w:t>
            </w:r>
          </w:p>
        </w:tc>
        <w:tc>
          <w:tcPr>
            <w:tcW w:w="2098" w:type="dxa"/>
            <w:hideMark/>
          </w:tcPr>
          <w:p w14:paraId="431BF74A" w14:textId="77777777" w:rsidR="00EB0BC0" w:rsidRPr="00A85D2D" w:rsidRDefault="00EB0BC0" w:rsidP="00EB0BC0">
            <w:pPr>
              <w:pStyle w:val="NoSpacing"/>
              <w:rPr>
                <w:rFonts w:ascii="Times New Roman" w:hAnsi="Times New Roman" w:cs="Times New Roman"/>
                <w:szCs w:val="24"/>
                <w:lang w:eastAsia="en-IN"/>
              </w:rPr>
            </w:pPr>
            <w:r w:rsidRPr="00A85D2D">
              <w:rPr>
                <w:rFonts w:ascii="Times New Roman" w:hAnsi="Times New Roman" w:cs="Times New Roman"/>
                <w:szCs w:val="24"/>
                <w:lang w:eastAsia="en-IN"/>
              </w:rPr>
              <w:t> </w:t>
            </w:r>
          </w:p>
        </w:tc>
        <w:tc>
          <w:tcPr>
            <w:tcW w:w="2107" w:type="dxa"/>
            <w:vAlign w:val="center"/>
            <w:hideMark/>
          </w:tcPr>
          <w:p w14:paraId="22EA9D0A" w14:textId="569CE22F" w:rsidR="00EB0BC0" w:rsidRPr="00A85D2D" w:rsidRDefault="00EB0BC0" w:rsidP="0077656B">
            <w:pPr>
              <w:pStyle w:val="NoSpacing"/>
              <w:jc w:val="center"/>
              <w:rPr>
                <w:rFonts w:ascii="Times New Roman" w:hAnsi="Times New Roman" w:cs="Times New Roman"/>
                <w:szCs w:val="24"/>
                <w:lang w:eastAsia="en-IN"/>
              </w:rPr>
            </w:pPr>
          </w:p>
        </w:tc>
        <w:tc>
          <w:tcPr>
            <w:tcW w:w="2446" w:type="dxa"/>
            <w:vAlign w:val="center"/>
            <w:hideMark/>
          </w:tcPr>
          <w:p w14:paraId="1D97433B" w14:textId="5B9E01FC" w:rsidR="00EB0BC0" w:rsidRPr="00A85D2D" w:rsidRDefault="00EB0BC0" w:rsidP="0077656B">
            <w:pPr>
              <w:pStyle w:val="NoSpacing"/>
              <w:jc w:val="center"/>
              <w:rPr>
                <w:rFonts w:ascii="Times New Roman" w:hAnsi="Times New Roman" w:cs="Times New Roman"/>
                <w:szCs w:val="24"/>
                <w:lang w:eastAsia="en-IN"/>
              </w:rPr>
            </w:pPr>
          </w:p>
        </w:tc>
      </w:tr>
      <w:tr w:rsidR="00EB0BC0" w:rsidRPr="00A85D2D" w14:paraId="27ADF5A8" w14:textId="77777777" w:rsidTr="0077656B">
        <w:trPr>
          <w:trHeight w:val="309"/>
        </w:trPr>
        <w:tc>
          <w:tcPr>
            <w:tcW w:w="4090" w:type="dxa"/>
            <w:hideMark/>
          </w:tcPr>
          <w:p w14:paraId="09F8B67A" w14:textId="77777777" w:rsidR="00EB0BC0" w:rsidRPr="00A85D2D" w:rsidRDefault="00EB0BC0" w:rsidP="00EB0BC0">
            <w:pPr>
              <w:pStyle w:val="NoSpacing"/>
              <w:rPr>
                <w:rFonts w:ascii="Times New Roman" w:hAnsi="Times New Roman" w:cs="Times New Roman"/>
                <w:szCs w:val="24"/>
                <w:lang w:eastAsia="en-IN"/>
              </w:rPr>
            </w:pPr>
            <w:r w:rsidRPr="00A85D2D">
              <w:rPr>
                <w:rFonts w:ascii="Times New Roman" w:hAnsi="Times New Roman" w:cs="Times New Roman"/>
                <w:szCs w:val="24"/>
                <w:lang w:eastAsia="en-IN"/>
              </w:rPr>
              <w:t>Exemption from the basic tax if the aggregate land held by a landholder in the State is less than 0.810 hectares</w:t>
            </w:r>
          </w:p>
        </w:tc>
        <w:tc>
          <w:tcPr>
            <w:tcW w:w="2098" w:type="dxa"/>
            <w:hideMark/>
          </w:tcPr>
          <w:p w14:paraId="257D0B69" w14:textId="77777777" w:rsidR="00EB0BC0" w:rsidRPr="00A85D2D" w:rsidRDefault="00EB0BC0" w:rsidP="00EB0BC0">
            <w:pPr>
              <w:pStyle w:val="NoSpacing"/>
              <w:rPr>
                <w:rFonts w:ascii="Times New Roman" w:hAnsi="Times New Roman" w:cs="Times New Roman"/>
                <w:szCs w:val="24"/>
                <w:lang w:eastAsia="en-IN"/>
              </w:rPr>
            </w:pPr>
            <w:r w:rsidRPr="00A85D2D">
              <w:rPr>
                <w:rFonts w:ascii="Times New Roman" w:hAnsi="Times New Roman" w:cs="Times New Roman"/>
                <w:szCs w:val="24"/>
                <w:lang w:eastAsia="en-IN"/>
              </w:rPr>
              <w:t>April 1, 1968</w:t>
            </w:r>
          </w:p>
        </w:tc>
        <w:tc>
          <w:tcPr>
            <w:tcW w:w="2107" w:type="dxa"/>
            <w:vAlign w:val="center"/>
            <w:hideMark/>
          </w:tcPr>
          <w:p w14:paraId="492B919D" w14:textId="2ED75598" w:rsidR="00EB0BC0" w:rsidRPr="00A85D2D" w:rsidRDefault="00EB0BC0" w:rsidP="0077656B">
            <w:pPr>
              <w:pStyle w:val="NoSpacing"/>
              <w:jc w:val="center"/>
              <w:rPr>
                <w:rFonts w:ascii="Times New Roman" w:hAnsi="Times New Roman" w:cs="Times New Roman"/>
                <w:szCs w:val="24"/>
                <w:lang w:eastAsia="en-IN"/>
              </w:rPr>
            </w:pPr>
            <w:r w:rsidRPr="00A85D2D">
              <w:rPr>
                <w:rFonts w:ascii="Times New Roman" w:hAnsi="Times New Roman" w:cs="Times New Roman"/>
                <w:szCs w:val="24"/>
                <w:lang w:eastAsia="en-IN"/>
              </w:rPr>
              <w:t>0.4</w:t>
            </w:r>
            <w:r w:rsidR="006E0237">
              <w:rPr>
                <w:rFonts w:ascii="Times New Roman" w:hAnsi="Times New Roman" w:cs="Times New Roman"/>
                <w:szCs w:val="24"/>
                <w:lang w:eastAsia="en-IN"/>
              </w:rPr>
              <w:t>0</w:t>
            </w:r>
          </w:p>
        </w:tc>
        <w:tc>
          <w:tcPr>
            <w:tcW w:w="2446" w:type="dxa"/>
            <w:vAlign w:val="center"/>
            <w:hideMark/>
          </w:tcPr>
          <w:p w14:paraId="277DFF0A" w14:textId="0697F0F4" w:rsidR="00EB0BC0" w:rsidRPr="00A85D2D" w:rsidRDefault="00EB0BC0" w:rsidP="0077656B">
            <w:pPr>
              <w:pStyle w:val="NoSpacing"/>
              <w:jc w:val="center"/>
              <w:rPr>
                <w:rFonts w:ascii="Times New Roman" w:hAnsi="Times New Roman" w:cs="Times New Roman"/>
                <w:szCs w:val="24"/>
                <w:lang w:eastAsia="en-IN"/>
              </w:rPr>
            </w:pPr>
            <w:r w:rsidRPr="00A85D2D">
              <w:rPr>
                <w:rFonts w:ascii="Times New Roman" w:hAnsi="Times New Roman" w:cs="Times New Roman"/>
                <w:szCs w:val="24"/>
                <w:lang w:eastAsia="en-IN"/>
              </w:rPr>
              <w:t>2</w:t>
            </w:r>
            <w:r w:rsidR="006E0237">
              <w:rPr>
                <w:rFonts w:ascii="Times New Roman" w:hAnsi="Times New Roman" w:cs="Times New Roman"/>
                <w:szCs w:val="24"/>
                <w:lang w:eastAsia="en-IN"/>
              </w:rPr>
              <w:t>.00</w:t>
            </w:r>
          </w:p>
        </w:tc>
      </w:tr>
      <w:tr w:rsidR="00EB0BC0" w:rsidRPr="00A85D2D" w14:paraId="75BEA468" w14:textId="77777777" w:rsidTr="0077656B">
        <w:trPr>
          <w:trHeight w:val="515"/>
        </w:trPr>
        <w:tc>
          <w:tcPr>
            <w:tcW w:w="4090" w:type="dxa"/>
            <w:hideMark/>
          </w:tcPr>
          <w:p w14:paraId="57B5EB65" w14:textId="77777777" w:rsidR="00EB0BC0" w:rsidRPr="0077656B" w:rsidRDefault="00EB0BC0" w:rsidP="00EB0BC0">
            <w:pPr>
              <w:pStyle w:val="NoSpacing"/>
              <w:rPr>
                <w:rFonts w:ascii="Times New Roman" w:hAnsi="Times New Roman" w:cs="Times New Roman"/>
                <w:b/>
                <w:bCs/>
                <w:szCs w:val="24"/>
                <w:lang w:eastAsia="en-IN"/>
              </w:rPr>
            </w:pPr>
            <w:r w:rsidRPr="0077656B">
              <w:rPr>
                <w:rFonts w:ascii="Times New Roman" w:hAnsi="Times New Roman" w:cs="Times New Roman"/>
                <w:b/>
                <w:bCs/>
                <w:szCs w:val="24"/>
                <w:lang w:eastAsia="en-IN"/>
              </w:rPr>
              <w:t>4. Madhya Pradesh</w:t>
            </w:r>
          </w:p>
        </w:tc>
        <w:tc>
          <w:tcPr>
            <w:tcW w:w="2098" w:type="dxa"/>
            <w:hideMark/>
          </w:tcPr>
          <w:p w14:paraId="791478D3" w14:textId="77777777" w:rsidR="00EB0BC0" w:rsidRPr="00A85D2D" w:rsidRDefault="00EB0BC0" w:rsidP="00EB0BC0">
            <w:pPr>
              <w:pStyle w:val="NoSpacing"/>
              <w:rPr>
                <w:rFonts w:ascii="Times New Roman" w:hAnsi="Times New Roman" w:cs="Times New Roman"/>
                <w:szCs w:val="24"/>
                <w:lang w:eastAsia="en-IN"/>
              </w:rPr>
            </w:pPr>
            <w:r w:rsidRPr="00A85D2D">
              <w:rPr>
                <w:rFonts w:ascii="Times New Roman" w:hAnsi="Times New Roman" w:cs="Times New Roman"/>
                <w:szCs w:val="24"/>
                <w:lang w:eastAsia="en-IN"/>
              </w:rPr>
              <w:t> </w:t>
            </w:r>
          </w:p>
        </w:tc>
        <w:tc>
          <w:tcPr>
            <w:tcW w:w="2107" w:type="dxa"/>
            <w:vAlign w:val="center"/>
            <w:hideMark/>
          </w:tcPr>
          <w:p w14:paraId="216C2F84" w14:textId="57BF0360" w:rsidR="00EB0BC0" w:rsidRPr="00A85D2D" w:rsidRDefault="00EB0BC0" w:rsidP="0077656B">
            <w:pPr>
              <w:pStyle w:val="NoSpacing"/>
              <w:jc w:val="center"/>
              <w:rPr>
                <w:rFonts w:ascii="Times New Roman" w:hAnsi="Times New Roman" w:cs="Times New Roman"/>
                <w:szCs w:val="24"/>
                <w:lang w:eastAsia="en-IN"/>
              </w:rPr>
            </w:pPr>
          </w:p>
        </w:tc>
        <w:tc>
          <w:tcPr>
            <w:tcW w:w="2446" w:type="dxa"/>
            <w:vAlign w:val="center"/>
            <w:hideMark/>
          </w:tcPr>
          <w:p w14:paraId="4E678DFB" w14:textId="55F16A1E" w:rsidR="00EB0BC0" w:rsidRPr="00A85D2D" w:rsidRDefault="00EB0BC0" w:rsidP="0077656B">
            <w:pPr>
              <w:pStyle w:val="NoSpacing"/>
              <w:jc w:val="center"/>
              <w:rPr>
                <w:rFonts w:ascii="Times New Roman" w:hAnsi="Times New Roman" w:cs="Times New Roman"/>
                <w:szCs w:val="24"/>
                <w:lang w:eastAsia="en-IN"/>
              </w:rPr>
            </w:pPr>
          </w:p>
        </w:tc>
      </w:tr>
      <w:tr w:rsidR="00EB0BC0" w:rsidRPr="00A85D2D" w14:paraId="3F9F2057" w14:textId="77777777" w:rsidTr="0077656B">
        <w:trPr>
          <w:trHeight w:val="399"/>
        </w:trPr>
        <w:tc>
          <w:tcPr>
            <w:tcW w:w="4090" w:type="dxa"/>
            <w:hideMark/>
          </w:tcPr>
          <w:p w14:paraId="2DB61BE6" w14:textId="77777777" w:rsidR="00EB0BC0" w:rsidRPr="00A85D2D" w:rsidRDefault="00EB0BC0" w:rsidP="00EB0BC0">
            <w:pPr>
              <w:pStyle w:val="NoSpacing"/>
              <w:rPr>
                <w:rFonts w:ascii="Times New Roman" w:hAnsi="Times New Roman" w:cs="Times New Roman"/>
                <w:szCs w:val="24"/>
                <w:lang w:eastAsia="en-IN"/>
              </w:rPr>
            </w:pPr>
            <w:r w:rsidRPr="00A85D2D">
              <w:rPr>
                <w:rFonts w:ascii="Times New Roman" w:hAnsi="Times New Roman" w:cs="Times New Roman"/>
                <w:szCs w:val="24"/>
                <w:lang w:eastAsia="en-IN"/>
              </w:rPr>
              <w:t>Land Revenue abolished**</w:t>
            </w:r>
          </w:p>
        </w:tc>
        <w:tc>
          <w:tcPr>
            <w:tcW w:w="2098" w:type="dxa"/>
            <w:hideMark/>
          </w:tcPr>
          <w:p w14:paraId="3E59129B" w14:textId="77777777" w:rsidR="00EB0BC0" w:rsidRPr="00A85D2D" w:rsidRDefault="00EB0BC0" w:rsidP="00EB0BC0">
            <w:pPr>
              <w:pStyle w:val="NoSpacing"/>
              <w:rPr>
                <w:rFonts w:ascii="Times New Roman" w:hAnsi="Times New Roman" w:cs="Times New Roman"/>
                <w:szCs w:val="24"/>
                <w:lang w:eastAsia="en-IN"/>
              </w:rPr>
            </w:pPr>
            <w:r w:rsidRPr="00A85D2D">
              <w:rPr>
                <w:rFonts w:ascii="Times New Roman" w:hAnsi="Times New Roman" w:cs="Times New Roman"/>
                <w:szCs w:val="24"/>
                <w:lang w:eastAsia="en-IN"/>
              </w:rPr>
              <w:t>August, 1969</w:t>
            </w:r>
          </w:p>
        </w:tc>
        <w:tc>
          <w:tcPr>
            <w:tcW w:w="2107" w:type="dxa"/>
            <w:vAlign w:val="center"/>
            <w:hideMark/>
          </w:tcPr>
          <w:p w14:paraId="7A2BAC28" w14:textId="5DE98BCB" w:rsidR="00EB0BC0" w:rsidRPr="00A85D2D" w:rsidRDefault="00EB0BC0" w:rsidP="0077656B">
            <w:pPr>
              <w:pStyle w:val="NoSpacing"/>
              <w:jc w:val="center"/>
              <w:rPr>
                <w:rFonts w:ascii="Times New Roman" w:hAnsi="Times New Roman" w:cs="Times New Roman"/>
                <w:szCs w:val="24"/>
                <w:lang w:eastAsia="en-IN"/>
              </w:rPr>
            </w:pPr>
            <w:r w:rsidRPr="00A85D2D">
              <w:rPr>
                <w:rFonts w:ascii="Times New Roman" w:hAnsi="Times New Roman" w:cs="Times New Roman"/>
                <w:szCs w:val="24"/>
                <w:lang w:eastAsia="en-IN"/>
              </w:rPr>
              <w:t>7.74</w:t>
            </w:r>
            <w:r w:rsidR="0077656B">
              <w:rPr>
                <w:rFonts w:ascii="Times New Roman" w:hAnsi="Times New Roman" w:cs="Times New Roman"/>
                <w:szCs w:val="24"/>
                <w:lang w:eastAsia="en-IN"/>
              </w:rPr>
              <w:t xml:space="preserve"> </w:t>
            </w:r>
            <w:r w:rsidRPr="00A85D2D">
              <w:rPr>
                <w:rFonts w:ascii="Times New Roman" w:hAnsi="Times New Roman" w:cs="Times New Roman"/>
                <w:szCs w:val="24"/>
                <w:lang w:eastAsia="en-IN"/>
              </w:rPr>
              <w:t>(1.80)</w:t>
            </w:r>
          </w:p>
        </w:tc>
        <w:tc>
          <w:tcPr>
            <w:tcW w:w="2446" w:type="dxa"/>
            <w:vAlign w:val="center"/>
            <w:hideMark/>
          </w:tcPr>
          <w:p w14:paraId="7878714A" w14:textId="63A4E63A" w:rsidR="00EB0BC0" w:rsidRPr="00A85D2D" w:rsidRDefault="00EB0BC0" w:rsidP="0077656B">
            <w:pPr>
              <w:pStyle w:val="NoSpacing"/>
              <w:jc w:val="center"/>
              <w:rPr>
                <w:rFonts w:ascii="Times New Roman" w:hAnsi="Times New Roman" w:cs="Times New Roman"/>
                <w:szCs w:val="24"/>
                <w:lang w:eastAsia="en-IN"/>
              </w:rPr>
            </w:pPr>
            <w:r w:rsidRPr="00A85D2D">
              <w:rPr>
                <w:rFonts w:ascii="Times New Roman" w:hAnsi="Times New Roman" w:cs="Times New Roman"/>
                <w:szCs w:val="24"/>
                <w:lang w:eastAsia="en-IN"/>
              </w:rPr>
              <w:t>39.00</w:t>
            </w:r>
            <w:r w:rsidR="0077656B">
              <w:rPr>
                <w:rFonts w:ascii="Times New Roman" w:hAnsi="Times New Roman" w:cs="Times New Roman"/>
                <w:szCs w:val="24"/>
                <w:lang w:eastAsia="en-IN"/>
              </w:rPr>
              <w:t xml:space="preserve"> </w:t>
            </w:r>
            <w:r w:rsidRPr="00A85D2D">
              <w:rPr>
                <w:rFonts w:ascii="Times New Roman" w:hAnsi="Times New Roman" w:cs="Times New Roman"/>
                <w:szCs w:val="24"/>
                <w:lang w:eastAsia="en-IN"/>
              </w:rPr>
              <w:t>(9.00)</w:t>
            </w:r>
          </w:p>
        </w:tc>
      </w:tr>
      <w:tr w:rsidR="00EB0BC0" w:rsidRPr="00A85D2D" w14:paraId="21CC4B92" w14:textId="77777777" w:rsidTr="0077656B">
        <w:trPr>
          <w:trHeight w:val="257"/>
        </w:trPr>
        <w:tc>
          <w:tcPr>
            <w:tcW w:w="4090" w:type="dxa"/>
            <w:hideMark/>
          </w:tcPr>
          <w:p w14:paraId="56A87834" w14:textId="77777777" w:rsidR="00EB0BC0" w:rsidRPr="0077656B" w:rsidRDefault="00EB0BC0" w:rsidP="00EB0BC0">
            <w:pPr>
              <w:pStyle w:val="NoSpacing"/>
              <w:rPr>
                <w:rFonts w:ascii="Times New Roman" w:hAnsi="Times New Roman" w:cs="Times New Roman"/>
                <w:b/>
                <w:bCs/>
                <w:szCs w:val="24"/>
                <w:lang w:eastAsia="en-IN"/>
              </w:rPr>
            </w:pPr>
            <w:r w:rsidRPr="0077656B">
              <w:rPr>
                <w:rFonts w:ascii="Times New Roman" w:hAnsi="Times New Roman" w:cs="Times New Roman"/>
                <w:b/>
                <w:bCs/>
                <w:szCs w:val="24"/>
                <w:lang w:eastAsia="en-IN"/>
              </w:rPr>
              <w:t>5. Orissa</w:t>
            </w:r>
          </w:p>
        </w:tc>
        <w:tc>
          <w:tcPr>
            <w:tcW w:w="2098" w:type="dxa"/>
            <w:hideMark/>
          </w:tcPr>
          <w:p w14:paraId="1818517D" w14:textId="77777777" w:rsidR="00EB0BC0" w:rsidRPr="00A85D2D" w:rsidRDefault="00EB0BC0" w:rsidP="00EB0BC0">
            <w:pPr>
              <w:pStyle w:val="NoSpacing"/>
              <w:rPr>
                <w:rFonts w:ascii="Times New Roman" w:hAnsi="Times New Roman" w:cs="Times New Roman"/>
                <w:szCs w:val="24"/>
                <w:lang w:eastAsia="en-IN"/>
              </w:rPr>
            </w:pPr>
            <w:r w:rsidRPr="00A85D2D">
              <w:rPr>
                <w:rFonts w:ascii="Times New Roman" w:hAnsi="Times New Roman" w:cs="Times New Roman"/>
                <w:szCs w:val="24"/>
                <w:lang w:eastAsia="en-IN"/>
              </w:rPr>
              <w:t> </w:t>
            </w:r>
          </w:p>
        </w:tc>
        <w:tc>
          <w:tcPr>
            <w:tcW w:w="2107" w:type="dxa"/>
            <w:vAlign w:val="center"/>
            <w:hideMark/>
          </w:tcPr>
          <w:p w14:paraId="77FADFC7" w14:textId="2980DE7C" w:rsidR="00EB0BC0" w:rsidRPr="00A85D2D" w:rsidRDefault="00EB0BC0" w:rsidP="0077656B">
            <w:pPr>
              <w:pStyle w:val="NoSpacing"/>
              <w:jc w:val="center"/>
              <w:rPr>
                <w:rFonts w:ascii="Times New Roman" w:hAnsi="Times New Roman" w:cs="Times New Roman"/>
                <w:szCs w:val="24"/>
                <w:lang w:eastAsia="en-IN"/>
              </w:rPr>
            </w:pPr>
          </w:p>
        </w:tc>
        <w:tc>
          <w:tcPr>
            <w:tcW w:w="2446" w:type="dxa"/>
            <w:vAlign w:val="center"/>
            <w:hideMark/>
          </w:tcPr>
          <w:p w14:paraId="6E67DE69" w14:textId="4FE40FDD" w:rsidR="00EB0BC0" w:rsidRPr="00A85D2D" w:rsidRDefault="00EB0BC0" w:rsidP="0077656B">
            <w:pPr>
              <w:pStyle w:val="NoSpacing"/>
              <w:jc w:val="center"/>
              <w:rPr>
                <w:rFonts w:ascii="Times New Roman" w:hAnsi="Times New Roman" w:cs="Times New Roman"/>
                <w:szCs w:val="24"/>
                <w:lang w:eastAsia="en-IN"/>
              </w:rPr>
            </w:pPr>
          </w:p>
        </w:tc>
      </w:tr>
      <w:tr w:rsidR="00EB0BC0" w:rsidRPr="00A85D2D" w14:paraId="3E7EA128" w14:textId="77777777" w:rsidTr="0077656B">
        <w:trPr>
          <w:trHeight w:val="515"/>
        </w:trPr>
        <w:tc>
          <w:tcPr>
            <w:tcW w:w="4090" w:type="dxa"/>
            <w:hideMark/>
          </w:tcPr>
          <w:p w14:paraId="357BE965" w14:textId="77777777" w:rsidR="00EB0BC0" w:rsidRPr="00A85D2D" w:rsidRDefault="00EB0BC0" w:rsidP="00EB0BC0">
            <w:pPr>
              <w:pStyle w:val="NoSpacing"/>
              <w:rPr>
                <w:rFonts w:ascii="Times New Roman" w:hAnsi="Times New Roman" w:cs="Times New Roman"/>
                <w:szCs w:val="24"/>
                <w:lang w:eastAsia="en-IN"/>
              </w:rPr>
            </w:pPr>
            <w:r w:rsidRPr="00A85D2D">
              <w:rPr>
                <w:rFonts w:ascii="Times New Roman" w:hAnsi="Times New Roman" w:cs="Times New Roman"/>
                <w:szCs w:val="24"/>
                <w:lang w:eastAsia="en-IN"/>
              </w:rPr>
              <w:t>Abolished land revenue except in respect of urban lands</w:t>
            </w:r>
          </w:p>
        </w:tc>
        <w:tc>
          <w:tcPr>
            <w:tcW w:w="2098" w:type="dxa"/>
            <w:hideMark/>
          </w:tcPr>
          <w:p w14:paraId="6DB59ADC" w14:textId="77777777" w:rsidR="00EB0BC0" w:rsidRPr="00A85D2D" w:rsidRDefault="00EB0BC0" w:rsidP="00EB0BC0">
            <w:pPr>
              <w:pStyle w:val="NoSpacing"/>
              <w:rPr>
                <w:rFonts w:ascii="Times New Roman" w:hAnsi="Times New Roman" w:cs="Times New Roman"/>
                <w:szCs w:val="24"/>
                <w:lang w:eastAsia="en-IN"/>
              </w:rPr>
            </w:pPr>
            <w:r w:rsidRPr="00A85D2D">
              <w:rPr>
                <w:rFonts w:ascii="Times New Roman" w:hAnsi="Times New Roman" w:cs="Times New Roman"/>
                <w:szCs w:val="24"/>
                <w:lang w:eastAsia="en-IN"/>
              </w:rPr>
              <w:t>April 1, 1967</w:t>
            </w:r>
          </w:p>
        </w:tc>
        <w:tc>
          <w:tcPr>
            <w:tcW w:w="2107" w:type="dxa"/>
            <w:vAlign w:val="center"/>
            <w:hideMark/>
          </w:tcPr>
          <w:p w14:paraId="6B02DB96" w14:textId="77777777" w:rsidR="00EB0BC0" w:rsidRPr="00A85D2D" w:rsidRDefault="00EB0BC0" w:rsidP="0077656B">
            <w:pPr>
              <w:pStyle w:val="NoSpacing"/>
              <w:jc w:val="center"/>
              <w:rPr>
                <w:rFonts w:ascii="Times New Roman" w:hAnsi="Times New Roman" w:cs="Times New Roman"/>
                <w:szCs w:val="24"/>
                <w:lang w:eastAsia="en-IN"/>
              </w:rPr>
            </w:pPr>
            <w:r w:rsidRPr="00A85D2D">
              <w:rPr>
                <w:rFonts w:ascii="Times New Roman" w:hAnsi="Times New Roman" w:cs="Times New Roman"/>
                <w:szCs w:val="24"/>
                <w:lang w:eastAsia="en-IN"/>
              </w:rPr>
              <w:t>1.96</w:t>
            </w:r>
          </w:p>
        </w:tc>
        <w:tc>
          <w:tcPr>
            <w:tcW w:w="2446" w:type="dxa"/>
            <w:vAlign w:val="center"/>
            <w:hideMark/>
          </w:tcPr>
          <w:p w14:paraId="67AEF875" w14:textId="0E036D9A" w:rsidR="00EB0BC0" w:rsidRPr="00A85D2D" w:rsidRDefault="00EB0BC0" w:rsidP="0077656B">
            <w:pPr>
              <w:pStyle w:val="NoSpacing"/>
              <w:jc w:val="center"/>
              <w:rPr>
                <w:rFonts w:ascii="Times New Roman" w:hAnsi="Times New Roman" w:cs="Times New Roman"/>
                <w:szCs w:val="24"/>
                <w:lang w:eastAsia="en-IN"/>
              </w:rPr>
            </w:pPr>
            <w:r w:rsidRPr="00A85D2D">
              <w:rPr>
                <w:rFonts w:ascii="Times New Roman" w:hAnsi="Times New Roman" w:cs="Times New Roman"/>
                <w:szCs w:val="24"/>
                <w:lang w:eastAsia="en-IN"/>
              </w:rPr>
              <w:t>9.8</w:t>
            </w:r>
            <w:r w:rsidR="006E0237">
              <w:rPr>
                <w:rFonts w:ascii="Times New Roman" w:hAnsi="Times New Roman" w:cs="Times New Roman"/>
                <w:szCs w:val="24"/>
                <w:lang w:eastAsia="en-IN"/>
              </w:rPr>
              <w:t>0</w:t>
            </w:r>
          </w:p>
        </w:tc>
      </w:tr>
      <w:tr w:rsidR="00EB0BC0" w:rsidRPr="00A85D2D" w14:paraId="19073A03" w14:textId="77777777" w:rsidTr="0077656B">
        <w:trPr>
          <w:trHeight w:val="373"/>
        </w:trPr>
        <w:tc>
          <w:tcPr>
            <w:tcW w:w="4090" w:type="dxa"/>
            <w:hideMark/>
          </w:tcPr>
          <w:p w14:paraId="1AF950A7" w14:textId="77777777" w:rsidR="00EB0BC0" w:rsidRPr="0077656B" w:rsidRDefault="00EB0BC0" w:rsidP="00EB0BC0">
            <w:pPr>
              <w:pStyle w:val="NoSpacing"/>
              <w:rPr>
                <w:rFonts w:ascii="Times New Roman" w:hAnsi="Times New Roman" w:cs="Times New Roman"/>
                <w:b/>
                <w:bCs/>
                <w:szCs w:val="24"/>
                <w:lang w:eastAsia="en-IN"/>
              </w:rPr>
            </w:pPr>
            <w:r w:rsidRPr="0077656B">
              <w:rPr>
                <w:rFonts w:ascii="Times New Roman" w:hAnsi="Times New Roman" w:cs="Times New Roman"/>
                <w:b/>
                <w:bCs/>
                <w:szCs w:val="24"/>
                <w:lang w:eastAsia="en-IN"/>
              </w:rPr>
              <w:t>6. Punjab</w:t>
            </w:r>
          </w:p>
        </w:tc>
        <w:tc>
          <w:tcPr>
            <w:tcW w:w="2098" w:type="dxa"/>
            <w:hideMark/>
          </w:tcPr>
          <w:p w14:paraId="6997D754" w14:textId="77777777" w:rsidR="00EB0BC0" w:rsidRPr="00A85D2D" w:rsidRDefault="00EB0BC0" w:rsidP="00EB0BC0">
            <w:pPr>
              <w:pStyle w:val="NoSpacing"/>
              <w:rPr>
                <w:rFonts w:ascii="Times New Roman" w:hAnsi="Times New Roman" w:cs="Times New Roman"/>
                <w:szCs w:val="24"/>
                <w:lang w:eastAsia="en-IN"/>
              </w:rPr>
            </w:pPr>
            <w:r w:rsidRPr="00A85D2D">
              <w:rPr>
                <w:rFonts w:ascii="Times New Roman" w:hAnsi="Times New Roman" w:cs="Times New Roman"/>
                <w:szCs w:val="24"/>
                <w:lang w:eastAsia="en-IN"/>
              </w:rPr>
              <w:t> </w:t>
            </w:r>
          </w:p>
        </w:tc>
        <w:tc>
          <w:tcPr>
            <w:tcW w:w="2107" w:type="dxa"/>
            <w:vAlign w:val="center"/>
            <w:hideMark/>
          </w:tcPr>
          <w:p w14:paraId="012CA85B" w14:textId="7B4182CC" w:rsidR="00EB0BC0" w:rsidRPr="00A85D2D" w:rsidRDefault="00EB0BC0" w:rsidP="0077656B">
            <w:pPr>
              <w:pStyle w:val="NoSpacing"/>
              <w:jc w:val="center"/>
              <w:rPr>
                <w:rFonts w:ascii="Times New Roman" w:hAnsi="Times New Roman" w:cs="Times New Roman"/>
                <w:szCs w:val="24"/>
                <w:lang w:eastAsia="en-IN"/>
              </w:rPr>
            </w:pPr>
          </w:p>
        </w:tc>
        <w:tc>
          <w:tcPr>
            <w:tcW w:w="2446" w:type="dxa"/>
            <w:vAlign w:val="center"/>
            <w:hideMark/>
          </w:tcPr>
          <w:p w14:paraId="294361AF" w14:textId="1B43D36F" w:rsidR="00EB0BC0" w:rsidRPr="00A85D2D" w:rsidRDefault="00EB0BC0" w:rsidP="0077656B">
            <w:pPr>
              <w:pStyle w:val="NoSpacing"/>
              <w:jc w:val="center"/>
              <w:rPr>
                <w:rFonts w:ascii="Times New Roman" w:hAnsi="Times New Roman" w:cs="Times New Roman"/>
                <w:szCs w:val="24"/>
                <w:lang w:eastAsia="en-IN"/>
              </w:rPr>
            </w:pPr>
          </w:p>
        </w:tc>
      </w:tr>
      <w:tr w:rsidR="00EB0BC0" w:rsidRPr="00A85D2D" w14:paraId="2D19084F" w14:textId="77777777" w:rsidTr="0077656B">
        <w:trPr>
          <w:trHeight w:val="334"/>
        </w:trPr>
        <w:tc>
          <w:tcPr>
            <w:tcW w:w="4090" w:type="dxa"/>
            <w:hideMark/>
          </w:tcPr>
          <w:p w14:paraId="45495659" w14:textId="77777777" w:rsidR="00EB0BC0" w:rsidRPr="00A85D2D" w:rsidRDefault="00EB0BC0" w:rsidP="00EB0BC0">
            <w:pPr>
              <w:pStyle w:val="NoSpacing"/>
              <w:rPr>
                <w:rFonts w:ascii="Times New Roman" w:hAnsi="Times New Roman" w:cs="Times New Roman"/>
                <w:szCs w:val="24"/>
                <w:lang w:eastAsia="en-IN"/>
              </w:rPr>
            </w:pPr>
            <w:r w:rsidRPr="00A85D2D">
              <w:rPr>
                <w:rFonts w:ascii="Times New Roman" w:hAnsi="Times New Roman" w:cs="Times New Roman"/>
                <w:szCs w:val="24"/>
                <w:lang w:eastAsia="en-IN"/>
              </w:rPr>
              <w:t>Abolition of land revenue on holdings upto 7 acres together with surcharge thereon</w:t>
            </w:r>
          </w:p>
        </w:tc>
        <w:tc>
          <w:tcPr>
            <w:tcW w:w="2098" w:type="dxa"/>
            <w:hideMark/>
          </w:tcPr>
          <w:p w14:paraId="298280F1" w14:textId="77777777" w:rsidR="00EB0BC0" w:rsidRPr="00A85D2D" w:rsidRDefault="00EB0BC0" w:rsidP="00EB0BC0">
            <w:pPr>
              <w:pStyle w:val="NoSpacing"/>
              <w:rPr>
                <w:rFonts w:ascii="Times New Roman" w:hAnsi="Times New Roman" w:cs="Times New Roman"/>
                <w:szCs w:val="24"/>
                <w:lang w:eastAsia="en-IN"/>
              </w:rPr>
            </w:pPr>
            <w:r w:rsidRPr="00A85D2D">
              <w:rPr>
                <w:rFonts w:ascii="Times New Roman" w:hAnsi="Times New Roman" w:cs="Times New Roman"/>
                <w:szCs w:val="24"/>
                <w:lang w:eastAsia="en-IN"/>
              </w:rPr>
              <w:t>1967-68</w:t>
            </w:r>
          </w:p>
        </w:tc>
        <w:tc>
          <w:tcPr>
            <w:tcW w:w="2107" w:type="dxa"/>
            <w:vAlign w:val="center"/>
            <w:hideMark/>
          </w:tcPr>
          <w:p w14:paraId="0E996F3A" w14:textId="77777777" w:rsidR="00EB0BC0" w:rsidRPr="00A85D2D" w:rsidRDefault="00EB0BC0" w:rsidP="0077656B">
            <w:pPr>
              <w:pStyle w:val="NoSpacing"/>
              <w:jc w:val="center"/>
              <w:rPr>
                <w:rFonts w:ascii="Times New Roman" w:hAnsi="Times New Roman" w:cs="Times New Roman"/>
                <w:szCs w:val="24"/>
                <w:lang w:eastAsia="en-IN"/>
              </w:rPr>
            </w:pPr>
            <w:r w:rsidRPr="00A85D2D">
              <w:rPr>
                <w:rFonts w:ascii="Times New Roman" w:hAnsi="Times New Roman" w:cs="Times New Roman"/>
                <w:szCs w:val="24"/>
                <w:lang w:eastAsia="en-IN"/>
              </w:rPr>
              <w:t>0.88</w:t>
            </w:r>
          </w:p>
        </w:tc>
        <w:tc>
          <w:tcPr>
            <w:tcW w:w="2446" w:type="dxa"/>
            <w:vAlign w:val="center"/>
            <w:hideMark/>
          </w:tcPr>
          <w:p w14:paraId="2F4CB719" w14:textId="34905FD3" w:rsidR="00EB0BC0" w:rsidRPr="00A85D2D" w:rsidRDefault="00EB0BC0" w:rsidP="0077656B">
            <w:pPr>
              <w:pStyle w:val="NoSpacing"/>
              <w:jc w:val="center"/>
              <w:rPr>
                <w:rFonts w:ascii="Times New Roman" w:hAnsi="Times New Roman" w:cs="Times New Roman"/>
                <w:szCs w:val="24"/>
                <w:lang w:eastAsia="en-IN"/>
              </w:rPr>
            </w:pPr>
            <w:r w:rsidRPr="00A85D2D">
              <w:rPr>
                <w:rFonts w:ascii="Times New Roman" w:hAnsi="Times New Roman" w:cs="Times New Roman"/>
                <w:szCs w:val="24"/>
                <w:lang w:eastAsia="en-IN"/>
              </w:rPr>
              <w:t>4.4</w:t>
            </w:r>
            <w:r w:rsidR="006E0237">
              <w:rPr>
                <w:rFonts w:ascii="Times New Roman" w:hAnsi="Times New Roman" w:cs="Times New Roman"/>
                <w:szCs w:val="24"/>
                <w:lang w:eastAsia="en-IN"/>
              </w:rPr>
              <w:t>0</w:t>
            </w:r>
          </w:p>
        </w:tc>
      </w:tr>
      <w:tr w:rsidR="00EB0BC0" w:rsidRPr="00A85D2D" w14:paraId="28B513DD" w14:textId="77777777" w:rsidTr="0077656B">
        <w:trPr>
          <w:trHeight w:val="257"/>
        </w:trPr>
        <w:tc>
          <w:tcPr>
            <w:tcW w:w="4090" w:type="dxa"/>
            <w:hideMark/>
          </w:tcPr>
          <w:p w14:paraId="34608A74" w14:textId="77777777" w:rsidR="00EB0BC0" w:rsidRPr="0077656B" w:rsidRDefault="00EB0BC0" w:rsidP="00EB0BC0">
            <w:pPr>
              <w:pStyle w:val="NoSpacing"/>
              <w:rPr>
                <w:rFonts w:ascii="Times New Roman" w:hAnsi="Times New Roman" w:cs="Times New Roman"/>
                <w:b/>
                <w:bCs/>
                <w:szCs w:val="24"/>
                <w:lang w:eastAsia="en-IN"/>
              </w:rPr>
            </w:pPr>
            <w:r w:rsidRPr="0077656B">
              <w:rPr>
                <w:rFonts w:ascii="Times New Roman" w:hAnsi="Times New Roman" w:cs="Times New Roman"/>
                <w:b/>
                <w:bCs/>
                <w:szCs w:val="24"/>
                <w:lang w:eastAsia="en-IN"/>
              </w:rPr>
              <w:t>7.Tamil Nadu</w:t>
            </w:r>
          </w:p>
        </w:tc>
        <w:tc>
          <w:tcPr>
            <w:tcW w:w="2098" w:type="dxa"/>
            <w:hideMark/>
          </w:tcPr>
          <w:p w14:paraId="76AC501D" w14:textId="77777777" w:rsidR="00EB0BC0" w:rsidRPr="00A85D2D" w:rsidRDefault="00EB0BC0" w:rsidP="00EB0BC0">
            <w:pPr>
              <w:pStyle w:val="NoSpacing"/>
              <w:rPr>
                <w:rFonts w:ascii="Times New Roman" w:hAnsi="Times New Roman" w:cs="Times New Roman"/>
                <w:szCs w:val="24"/>
                <w:lang w:eastAsia="en-IN"/>
              </w:rPr>
            </w:pPr>
            <w:r w:rsidRPr="00A85D2D">
              <w:rPr>
                <w:rFonts w:ascii="Times New Roman" w:hAnsi="Times New Roman" w:cs="Times New Roman"/>
                <w:szCs w:val="24"/>
                <w:lang w:eastAsia="en-IN"/>
              </w:rPr>
              <w:t> </w:t>
            </w:r>
          </w:p>
        </w:tc>
        <w:tc>
          <w:tcPr>
            <w:tcW w:w="2107" w:type="dxa"/>
            <w:vAlign w:val="center"/>
            <w:hideMark/>
          </w:tcPr>
          <w:p w14:paraId="4B8A6FC8" w14:textId="1412FE9A" w:rsidR="00EB0BC0" w:rsidRPr="00A85D2D" w:rsidRDefault="00EB0BC0" w:rsidP="0077656B">
            <w:pPr>
              <w:pStyle w:val="NoSpacing"/>
              <w:jc w:val="center"/>
              <w:rPr>
                <w:rFonts w:ascii="Times New Roman" w:hAnsi="Times New Roman" w:cs="Times New Roman"/>
                <w:szCs w:val="24"/>
                <w:lang w:eastAsia="en-IN"/>
              </w:rPr>
            </w:pPr>
          </w:p>
        </w:tc>
        <w:tc>
          <w:tcPr>
            <w:tcW w:w="2446" w:type="dxa"/>
            <w:vAlign w:val="center"/>
            <w:hideMark/>
          </w:tcPr>
          <w:p w14:paraId="18EF2041" w14:textId="37BE130B" w:rsidR="00EB0BC0" w:rsidRPr="00A85D2D" w:rsidRDefault="00EB0BC0" w:rsidP="0077656B">
            <w:pPr>
              <w:pStyle w:val="NoSpacing"/>
              <w:jc w:val="center"/>
              <w:rPr>
                <w:rFonts w:ascii="Times New Roman" w:hAnsi="Times New Roman" w:cs="Times New Roman"/>
                <w:szCs w:val="24"/>
                <w:lang w:eastAsia="en-IN"/>
              </w:rPr>
            </w:pPr>
          </w:p>
        </w:tc>
      </w:tr>
      <w:tr w:rsidR="00EB0BC0" w:rsidRPr="00A85D2D" w14:paraId="70F356D5" w14:textId="77777777" w:rsidTr="0077656B">
        <w:trPr>
          <w:trHeight w:val="515"/>
        </w:trPr>
        <w:tc>
          <w:tcPr>
            <w:tcW w:w="4090" w:type="dxa"/>
            <w:hideMark/>
          </w:tcPr>
          <w:p w14:paraId="45C7CC3E" w14:textId="77777777" w:rsidR="00EB0BC0" w:rsidRPr="00A85D2D" w:rsidRDefault="00EB0BC0" w:rsidP="00EB0BC0">
            <w:pPr>
              <w:pStyle w:val="NoSpacing"/>
              <w:rPr>
                <w:rFonts w:ascii="Times New Roman" w:hAnsi="Times New Roman" w:cs="Times New Roman"/>
                <w:szCs w:val="24"/>
                <w:lang w:eastAsia="en-IN"/>
              </w:rPr>
            </w:pPr>
            <w:r w:rsidRPr="00A85D2D">
              <w:rPr>
                <w:rFonts w:ascii="Times New Roman" w:hAnsi="Times New Roman" w:cs="Times New Roman"/>
                <w:szCs w:val="24"/>
                <w:lang w:eastAsia="en-IN"/>
              </w:rPr>
              <w:t>Waiver of basic assessment on dry lands</w:t>
            </w:r>
          </w:p>
        </w:tc>
        <w:tc>
          <w:tcPr>
            <w:tcW w:w="2098" w:type="dxa"/>
            <w:hideMark/>
          </w:tcPr>
          <w:p w14:paraId="1CF340E4" w14:textId="77777777" w:rsidR="00EB0BC0" w:rsidRPr="00A85D2D" w:rsidRDefault="00EB0BC0" w:rsidP="00EB0BC0">
            <w:pPr>
              <w:pStyle w:val="NoSpacing"/>
              <w:rPr>
                <w:rFonts w:ascii="Times New Roman" w:hAnsi="Times New Roman" w:cs="Times New Roman"/>
                <w:szCs w:val="24"/>
                <w:lang w:eastAsia="en-IN"/>
              </w:rPr>
            </w:pPr>
            <w:r w:rsidRPr="00A85D2D">
              <w:rPr>
                <w:rFonts w:ascii="Times New Roman" w:hAnsi="Times New Roman" w:cs="Times New Roman"/>
                <w:szCs w:val="24"/>
                <w:lang w:eastAsia="en-IN"/>
              </w:rPr>
              <w:t>July 1, 1967</w:t>
            </w:r>
          </w:p>
        </w:tc>
        <w:tc>
          <w:tcPr>
            <w:tcW w:w="2107" w:type="dxa"/>
            <w:vAlign w:val="center"/>
            <w:hideMark/>
          </w:tcPr>
          <w:p w14:paraId="3B0D208D" w14:textId="21B8E1F1" w:rsidR="00EB0BC0" w:rsidRPr="00A85D2D" w:rsidRDefault="00EB0BC0" w:rsidP="0077656B">
            <w:pPr>
              <w:pStyle w:val="NoSpacing"/>
              <w:jc w:val="center"/>
              <w:rPr>
                <w:rFonts w:ascii="Times New Roman" w:hAnsi="Times New Roman" w:cs="Times New Roman"/>
                <w:szCs w:val="24"/>
                <w:lang w:eastAsia="en-IN"/>
              </w:rPr>
            </w:pPr>
            <w:r w:rsidRPr="00A85D2D">
              <w:rPr>
                <w:rFonts w:ascii="Times New Roman" w:hAnsi="Times New Roman" w:cs="Times New Roman"/>
                <w:szCs w:val="24"/>
                <w:lang w:eastAsia="en-IN"/>
              </w:rPr>
              <w:t>1.6</w:t>
            </w:r>
            <w:r w:rsidR="006E0237">
              <w:rPr>
                <w:rFonts w:ascii="Times New Roman" w:hAnsi="Times New Roman" w:cs="Times New Roman"/>
                <w:szCs w:val="24"/>
                <w:lang w:eastAsia="en-IN"/>
              </w:rPr>
              <w:t>0</w:t>
            </w:r>
          </w:p>
        </w:tc>
        <w:tc>
          <w:tcPr>
            <w:tcW w:w="2446" w:type="dxa"/>
            <w:vAlign w:val="center"/>
            <w:hideMark/>
          </w:tcPr>
          <w:p w14:paraId="01A6A422" w14:textId="4CC0AE8C" w:rsidR="00EB0BC0" w:rsidRPr="00A85D2D" w:rsidRDefault="00EB0BC0" w:rsidP="0077656B">
            <w:pPr>
              <w:pStyle w:val="NoSpacing"/>
              <w:jc w:val="center"/>
              <w:rPr>
                <w:rFonts w:ascii="Times New Roman" w:hAnsi="Times New Roman" w:cs="Times New Roman"/>
                <w:szCs w:val="24"/>
                <w:lang w:eastAsia="en-IN"/>
              </w:rPr>
            </w:pPr>
            <w:r w:rsidRPr="00A85D2D">
              <w:rPr>
                <w:rFonts w:ascii="Times New Roman" w:hAnsi="Times New Roman" w:cs="Times New Roman"/>
                <w:szCs w:val="24"/>
                <w:lang w:eastAsia="en-IN"/>
              </w:rPr>
              <w:t>8.3</w:t>
            </w:r>
            <w:r w:rsidR="006E0237">
              <w:rPr>
                <w:rFonts w:ascii="Times New Roman" w:hAnsi="Times New Roman" w:cs="Times New Roman"/>
                <w:szCs w:val="24"/>
                <w:lang w:eastAsia="en-IN"/>
              </w:rPr>
              <w:t>0</w:t>
            </w:r>
          </w:p>
        </w:tc>
      </w:tr>
      <w:tr w:rsidR="00EB0BC0" w:rsidRPr="00A85D2D" w14:paraId="2B1C3EBA" w14:textId="77777777" w:rsidTr="0077656B">
        <w:trPr>
          <w:trHeight w:val="373"/>
        </w:trPr>
        <w:tc>
          <w:tcPr>
            <w:tcW w:w="4090" w:type="dxa"/>
            <w:hideMark/>
          </w:tcPr>
          <w:p w14:paraId="42572935" w14:textId="77777777" w:rsidR="00EB0BC0" w:rsidRPr="0077656B" w:rsidRDefault="00EB0BC0" w:rsidP="00EB0BC0">
            <w:pPr>
              <w:pStyle w:val="NoSpacing"/>
              <w:rPr>
                <w:rFonts w:ascii="Times New Roman" w:hAnsi="Times New Roman" w:cs="Times New Roman"/>
                <w:b/>
                <w:bCs/>
                <w:szCs w:val="24"/>
                <w:lang w:eastAsia="en-IN"/>
              </w:rPr>
            </w:pPr>
            <w:r w:rsidRPr="0077656B">
              <w:rPr>
                <w:rFonts w:ascii="Times New Roman" w:hAnsi="Times New Roman" w:cs="Times New Roman"/>
                <w:b/>
                <w:bCs/>
                <w:szCs w:val="24"/>
                <w:lang w:eastAsia="en-IN"/>
              </w:rPr>
              <w:lastRenderedPageBreak/>
              <w:t>8. Uttar Pradesh</w:t>
            </w:r>
          </w:p>
        </w:tc>
        <w:tc>
          <w:tcPr>
            <w:tcW w:w="2098" w:type="dxa"/>
            <w:hideMark/>
          </w:tcPr>
          <w:p w14:paraId="24D4B6FD" w14:textId="77777777" w:rsidR="00EB0BC0" w:rsidRPr="00A85D2D" w:rsidRDefault="00EB0BC0" w:rsidP="00EB0BC0">
            <w:pPr>
              <w:pStyle w:val="NoSpacing"/>
              <w:rPr>
                <w:rFonts w:ascii="Times New Roman" w:hAnsi="Times New Roman" w:cs="Times New Roman"/>
                <w:szCs w:val="24"/>
                <w:lang w:eastAsia="en-IN"/>
              </w:rPr>
            </w:pPr>
            <w:r w:rsidRPr="00A85D2D">
              <w:rPr>
                <w:rFonts w:ascii="Times New Roman" w:hAnsi="Times New Roman" w:cs="Times New Roman"/>
                <w:szCs w:val="24"/>
                <w:lang w:eastAsia="en-IN"/>
              </w:rPr>
              <w:t> </w:t>
            </w:r>
          </w:p>
        </w:tc>
        <w:tc>
          <w:tcPr>
            <w:tcW w:w="2107" w:type="dxa"/>
            <w:vAlign w:val="center"/>
            <w:hideMark/>
          </w:tcPr>
          <w:p w14:paraId="0F7CCE7F" w14:textId="11ED5036" w:rsidR="00EB0BC0" w:rsidRPr="00A85D2D" w:rsidRDefault="00EB0BC0" w:rsidP="0077656B">
            <w:pPr>
              <w:pStyle w:val="NoSpacing"/>
              <w:jc w:val="center"/>
              <w:rPr>
                <w:rFonts w:ascii="Times New Roman" w:hAnsi="Times New Roman" w:cs="Times New Roman"/>
                <w:szCs w:val="24"/>
                <w:lang w:eastAsia="en-IN"/>
              </w:rPr>
            </w:pPr>
          </w:p>
        </w:tc>
        <w:tc>
          <w:tcPr>
            <w:tcW w:w="2446" w:type="dxa"/>
            <w:vAlign w:val="center"/>
            <w:hideMark/>
          </w:tcPr>
          <w:p w14:paraId="420A95A9" w14:textId="582AD878" w:rsidR="00EB0BC0" w:rsidRPr="00A85D2D" w:rsidRDefault="00EB0BC0" w:rsidP="0077656B">
            <w:pPr>
              <w:pStyle w:val="NoSpacing"/>
              <w:jc w:val="center"/>
              <w:rPr>
                <w:rFonts w:ascii="Times New Roman" w:hAnsi="Times New Roman" w:cs="Times New Roman"/>
                <w:szCs w:val="24"/>
                <w:lang w:eastAsia="en-IN"/>
              </w:rPr>
            </w:pPr>
          </w:p>
        </w:tc>
      </w:tr>
      <w:tr w:rsidR="00EB0BC0" w:rsidRPr="00A85D2D" w14:paraId="4AAC0CA5" w14:textId="77777777" w:rsidTr="0077656B">
        <w:trPr>
          <w:trHeight w:val="257"/>
        </w:trPr>
        <w:tc>
          <w:tcPr>
            <w:tcW w:w="4090" w:type="dxa"/>
            <w:hideMark/>
          </w:tcPr>
          <w:p w14:paraId="759F203C" w14:textId="77777777" w:rsidR="00EB0BC0" w:rsidRPr="00A85D2D" w:rsidRDefault="00EB0BC0" w:rsidP="00EB0BC0">
            <w:pPr>
              <w:pStyle w:val="NoSpacing"/>
              <w:rPr>
                <w:rFonts w:ascii="Times New Roman" w:hAnsi="Times New Roman" w:cs="Times New Roman"/>
                <w:szCs w:val="24"/>
                <w:lang w:eastAsia="en-IN"/>
              </w:rPr>
            </w:pPr>
            <w:r w:rsidRPr="00A85D2D">
              <w:rPr>
                <w:rFonts w:ascii="Times New Roman" w:hAnsi="Times New Roman" w:cs="Times New Roman"/>
                <w:szCs w:val="24"/>
                <w:lang w:eastAsia="en-IN"/>
              </w:rPr>
              <w:t>Withdrawal of surcharge on land revenue</w:t>
            </w:r>
          </w:p>
        </w:tc>
        <w:tc>
          <w:tcPr>
            <w:tcW w:w="2098" w:type="dxa"/>
            <w:hideMark/>
          </w:tcPr>
          <w:p w14:paraId="74A4A69D" w14:textId="77777777" w:rsidR="00EB0BC0" w:rsidRPr="00A85D2D" w:rsidRDefault="00EB0BC0" w:rsidP="00EB0BC0">
            <w:pPr>
              <w:pStyle w:val="NoSpacing"/>
              <w:rPr>
                <w:rFonts w:ascii="Times New Roman" w:hAnsi="Times New Roman" w:cs="Times New Roman"/>
                <w:szCs w:val="24"/>
                <w:lang w:eastAsia="en-IN"/>
              </w:rPr>
            </w:pPr>
            <w:r w:rsidRPr="00A85D2D">
              <w:rPr>
                <w:rFonts w:ascii="Times New Roman" w:hAnsi="Times New Roman" w:cs="Times New Roman"/>
                <w:szCs w:val="24"/>
                <w:lang w:eastAsia="en-IN"/>
              </w:rPr>
              <w:t>1967-68</w:t>
            </w:r>
          </w:p>
        </w:tc>
        <w:tc>
          <w:tcPr>
            <w:tcW w:w="2107" w:type="dxa"/>
            <w:vAlign w:val="center"/>
            <w:hideMark/>
          </w:tcPr>
          <w:p w14:paraId="6B98C8F2" w14:textId="77777777" w:rsidR="00EB0BC0" w:rsidRPr="00A85D2D" w:rsidRDefault="00EB0BC0" w:rsidP="0077656B">
            <w:pPr>
              <w:pStyle w:val="NoSpacing"/>
              <w:jc w:val="center"/>
              <w:rPr>
                <w:rFonts w:ascii="Times New Roman" w:hAnsi="Times New Roman" w:cs="Times New Roman"/>
                <w:szCs w:val="24"/>
                <w:lang w:eastAsia="en-IN"/>
              </w:rPr>
            </w:pPr>
            <w:r w:rsidRPr="00A85D2D">
              <w:rPr>
                <w:rFonts w:ascii="Times New Roman" w:hAnsi="Times New Roman" w:cs="Times New Roman"/>
                <w:szCs w:val="24"/>
                <w:lang w:eastAsia="en-IN"/>
              </w:rPr>
              <w:t>5.25</w:t>
            </w:r>
          </w:p>
        </w:tc>
        <w:tc>
          <w:tcPr>
            <w:tcW w:w="2446" w:type="dxa"/>
            <w:vAlign w:val="center"/>
            <w:hideMark/>
          </w:tcPr>
          <w:p w14:paraId="5F61EC1D" w14:textId="77777777" w:rsidR="00EB0BC0" w:rsidRPr="00A85D2D" w:rsidRDefault="00EB0BC0" w:rsidP="0077656B">
            <w:pPr>
              <w:pStyle w:val="NoSpacing"/>
              <w:jc w:val="center"/>
              <w:rPr>
                <w:rFonts w:ascii="Times New Roman" w:hAnsi="Times New Roman" w:cs="Times New Roman"/>
                <w:szCs w:val="24"/>
                <w:lang w:eastAsia="en-IN"/>
              </w:rPr>
            </w:pPr>
            <w:r w:rsidRPr="00A85D2D">
              <w:rPr>
                <w:rFonts w:ascii="Times New Roman" w:hAnsi="Times New Roman" w:cs="Times New Roman"/>
                <w:szCs w:val="24"/>
                <w:lang w:eastAsia="en-IN"/>
              </w:rPr>
              <w:t>26.25</w:t>
            </w:r>
          </w:p>
        </w:tc>
      </w:tr>
      <w:tr w:rsidR="00EB0BC0" w:rsidRPr="00A85D2D" w14:paraId="6837BA14" w14:textId="77777777" w:rsidTr="0077656B">
        <w:trPr>
          <w:trHeight w:val="257"/>
        </w:trPr>
        <w:tc>
          <w:tcPr>
            <w:tcW w:w="4090" w:type="dxa"/>
            <w:hideMark/>
          </w:tcPr>
          <w:p w14:paraId="456DF64D" w14:textId="77777777" w:rsidR="00EB0BC0" w:rsidRPr="00A85D2D" w:rsidRDefault="00EB0BC0" w:rsidP="00EB0BC0">
            <w:pPr>
              <w:pStyle w:val="NoSpacing"/>
              <w:rPr>
                <w:rFonts w:ascii="Times New Roman" w:hAnsi="Times New Roman" w:cs="Times New Roman"/>
                <w:szCs w:val="24"/>
                <w:lang w:eastAsia="en-IN"/>
              </w:rPr>
            </w:pPr>
            <w:r w:rsidRPr="00A85D2D">
              <w:rPr>
                <w:rFonts w:ascii="Times New Roman" w:hAnsi="Times New Roman" w:cs="Times New Roman"/>
                <w:szCs w:val="24"/>
                <w:lang w:eastAsia="en-IN"/>
              </w:rPr>
              <w:t>GRAND TOTAL</w:t>
            </w:r>
          </w:p>
        </w:tc>
        <w:tc>
          <w:tcPr>
            <w:tcW w:w="2098" w:type="dxa"/>
            <w:hideMark/>
          </w:tcPr>
          <w:p w14:paraId="268EB214" w14:textId="77777777" w:rsidR="00EB0BC0" w:rsidRPr="00A85D2D" w:rsidRDefault="00EB0BC0" w:rsidP="00EB0BC0">
            <w:pPr>
              <w:pStyle w:val="NoSpacing"/>
              <w:rPr>
                <w:rFonts w:ascii="Times New Roman" w:hAnsi="Times New Roman" w:cs="Times New Roman"/>
                <w:szCs w:val="24"/>
                <w:lang w:eastAsia="en-IN"/>
              </w:rPr>
            </w:pPr>
            <w:r w:rsidRPr="00A85D2D">
              <w:rPr>
                <w:rFonts w:ascii="Times New Roman" w:hAnsi="Times New Roman" w:cs="Times New Roman"/>
                <w:szCs w:val="24"/>
                <w:lang w:eastAsia="en-IN"/>
              </w:rPr>
              <w:t> </w:t>
            </w:r>
          </w:p>
        </w:tc>
        <w:tc>
          <w:tcPr>
            <w:tcW w:w="2107" w:type="dxa"/>
            <w:vAlign w:val="center"/>
            <w:hideMark/>
          </w:tcPr>
          <w:p w14:paraId="4B527564" w14:textId="77777777" w:rsidR="00EB0BC0" w:rsidRPr="00A85D2D" w:rsidRDefault="00EB0BC0" w:rsidP="0077656B">
            <w:pPr>
              <w:pStyle w:val="NoSpacing"/>
              <w:jc w:val="center"/>
              <w:rPr>
                <w:rFonts w:ascii="Times New Roman" w:hAnsi="Times New Roman" w:cs="Times New Roman"/>
                <w:szCs w:val="24"/>
                <w:lang w:eastAsia="en-IN"/>
              </w:rPr>
            </w:pPr>
            <w:r w:rsidRPr="00A85D2D">
              <w:rPr>
                <w:rFonts w:ascii="Times New Roman" w:hAnsi="Times New Roman" w:cs="Times New Roman"/>
                <w:szCs w:val="24"/>
                <w:lang w:eastAsia="en-IN"/>
              </w:rPr>
              <w:t>15.00*</w:t>
            </w:r>
          </w:p>
        </w:tc>
        <w:tc>
          <w:tcPr>
            <w:tcW w:w="2446" w:type="dxa"/>
            <w:vAlign w:val="center"/>
            <w:hideMark/>
          </w:tcPr>
          <w:p w14:paraId="356E6C26" w14:textId="77777777" w:rsidR="00EB0BC0" w:rsidRPr="00A85D2D" w:rsidRDefault="00EB0BC0" w:rsidP="0077656B">
            <w:pPr>
              <w:pStyle w:val="NoSpacing"/>
              <w:jc w:val="center"/>
              <w:rPr>
                <w:rFonts w:ascii="Times New Roman" w:hAnsi="Times New Roman" w:cs="Times New Roman"/>
                <w:szCs w:val="24"/>
                <w:lang w:eastAsia="en-IN"/>
              </w:rPr>
            </w:pPr>
            <w:r w:rsidRPr="00A85D2D">
              <w:rPr>
                <w:rFonts w:ascii="Times New Roman" w:hAnsi="Times New Roman" w:cs="Times New Roman"/>
                <w:szCs w:val="24"/>
                <w:lang w:eastAsia="en-IN"/>
              </w:rPr>
              <w:t>77.80*</w:t>
            </w:r>
          </w:p>
        </w:tc>
      </w:tr>
    </w:tbl>
    <w:p w14:paraId="3CEA8E06" w14:textId="77777777" w:rsidR="00EB0BC0" w:rsidRPr="007245B0" w:rsidRDefault="00EB0BC0" w:rsidP="00A85D2D">
      <w:pPr>
        <w:pStyle w:val="Sources"/>
      </w:pPr>
      <w:r w:rsidRPr="007245B0">
        <w:rPr>
          <w:b/>
          <w:bCs/>
        </w:rPr>
        <w:t>**</w:t>
      </w:r>
      <w:r w:rsidRPr="007245B0">
        <w:t> In Madhya Pradesh land revenue was replaced by Agricultural Land Development Tax and the tax on commercial crops with a total annual yield of Rs. 5.94 crores. After taking credit for this, the remaining loss would be about Rs. 9 crores over 1969-74 which is on account of the exemption granted to holdings upto 10 acres under the new Land Development Tax. Figures in brackets show net loss.</w:t>
      </w:r>
    </w:p>
    <w:p w14:paraId="0D574038" w14:textId="77777777" w:rsidR="00EB0BC0" w:rsidRPr="007245B0" w:rsidRDefault="00EB0BC0" w:rsidP="00A85D2D">
      <w:pPr>
        <w:pStyle w:val="Sources"/>
      </w:pPr>
      <w:r w:rsidRPr="007245B0">
        <w:rPr>
          <w:b/>
          <w:bCs/>
        </w:rPr>
        <w:t>*</w:t>
      </w:r>
      <w:r w:rsidRPr="007245B0">
        <w:t> Takes into account only net loss in the case of Madhya Pradesh.</w:t>
      </w:r>
    </w:p>
    <w:p w14:paraId="2361C573" w14:textId="77777777" w:rsidR="00A85D2D" w:rsidRDefault="00A85D2D">
      <w:pPr>
        <w:rPr>
          <w:rFonts w:ascii="Times New Roman" w:hAnsi="Times New Roman" w:cs="Times New Roman"/>
          <w:b/>
          <w:bCs/>
          <w:szCs w:val="24"/>
        </w:rPr>
      </w:pPr>
      <w:r>
        <w:rPr>
          <w:rFonts w:ascii="Times New Roman" w:hAnsi="Times New Roman" w:cs="Times New Roman"/>
          <w:b/>
          <w:bCs/>
          <w:szCs w:val="24"/>
        </w:rPr>
        <w:br w:type="page"/>
      </w:r>
    </w:p>
    <w:p w14:paraId="3BF55411" w14:textId="283A16B9" w:rsidR="00EB0BC0" w:rsidRPr="007245B0" w:rsidRDefault="00574BCE" w:rsidP="00A85D2D">
      <w:pPr>
        <w:pStyle w:val="Heading4"/>
      </w:pPr>
      <w:bookmarkStart w:id="117" w:name="_Toc220949709"/>
      <w:bookmarkStart w:id="118" w:name="_Toc221114309"/>
      <w:bookmarkStart w:id="119" w:name="_Toc221115332"/>
      <w:r>
        <w:lastRenderedPageBreak/>
        <w:t>Table</w:t>
      </w:r>
      <w:r w:rsidR="00EB0BC0" w:rsidRPr="007245B0">
        <w:t xml:space="preserve"> 28: Estimated loss of revenue over the 5-year period 1969-70 to 1973-74 from abolition of taxes other than land revenue or concession given during 1966-67 to 1968-69</w:t>
      </w:r>
      <w:bookmarkEnd w:id="117"/>
      <w:bookmarkEnd w:id="118"/>
      <w:bookmarkEnd w:id="119"/>
    </w:p>
    <w:tbl>
      <w:tblPr>
        <w:tblStyle w:val="TableGrid"/>
        <w:tblW w:w="9520" w:type="dxa"/>
        <w:tblLook w:val="04A0" w:firstRow="1" w:lastRow="0" w:firstColumn="1" w:lastColumn="0" w:noHBand="0" w:noVBand="1"/>
      </w:tblPr>
      <w:tblGrid>
        <w:gridCol w:w="4443"/>
        <w:gridCol w:w="2436"/>
        <w:gridCol w:w="1204"/>
        <w:gridCol w:w="1437"/>
      </w:tblGrid>
      <w:tr w:rsidR="002C594B" w:rsidRPr="00A85D2D" w14:paraId="52C1C75B" w14:textId="77777777" w:rsidTr="002C594B">
        <w:trPr>
          <w:trHeight w:val="1211"/>
        </w:trPr>
        <w:tc>
          <w:tcPr>
            <w:tcW w:w="0" w:type="auto"/>
            <w:vMerge w:val="restart"/>
            <w:hideMark/>
          </w:tcPr>
          <w:p w14:paraId="4DA6ECF0" w14:textId="77777777" w:rsidR="002C594B" w:rsidRPr="00E41C5B" w:rsidRDefault="002C594B" w:rsidP="00B77C0B">
            <w:pPr>
              <w:pStyle w:val="NoSpacing"/>
              <w:rPr>
                <w:rFonts w:ascii="Times New Roman" w:hAnsi="Times New Roman" w:cs="Times New Roman"/>
                <w:b/>
                <w:bCs/>
                <w:szCs w:val="24"/>
              </w:rPr>
            </w:pPr>
            <w:r w:rsidRPr="00E41C5B">
              <w:rPr>
                <w:rFonts w:ascii="Times New Roman" w:hAnsi="Times New Roman" w:cs="Times New Roman"/>
                <w:b/>
                <w:bCs/>
                <w:szCs w:val="24"/>
              </w:rPr>
              <w:t>States/Measures</w:t>
            </w:r>
          </w:p>
        </w:tc>
        <w:tc>
          <w:tcPr>
            <w:tcW w:w="0" w:type="auto"/>
            <w:vMerge w:val="restart"/>
            <w:vAlign w:val="center"/>
            <w:hideMark/>
          </w:tcPr>
          <w:p w14:paraId="17DC8816" w14:textId="77777777" w:rsidR="002C594B" w:rsidRPr="00E41C5B" w:rsidRDefault="002C594B" w:rsidP="002C594B">
            <w:pPr>
              <w:pStyle w:val="NoSpacing"/>
              <w:jc w:val="center"/>
              <w:rPr>
                <w:rFonts w:ascii="Times New Roman" w:hAnsi="Times New Roman" w:cs="Times New Roman"/>
                <w:b/>
                <w:bCs/>
                <w:szCs w:val="24"/>
              </w:rPr>
            </w:pPr>
            <w:r w:rsidRPr="00E41C5B">
              <w:rPr>
                <w:rFonts w:ascii="Times New Roman" w:hAnsi="Times New Roman" w:cs="Times New Roman"/>
                <w:b/>
                <w:bCs/>
                <w:szCs w:val="24"/>
              </w:rPr>
              <w:t>Year of abolition/concession</w:t>
            </w:r>
          </w:p>
        </w:tc>
        <w:tc>
          <w:tcPr>
            <w:tcW w:w="0" w:type="auto"/>
            <w:gridSpan w:val="2"/>
            <w:vAlign w:val="center"/>
            <w:hideMark/>
          </w:tcPr>
          <w:p w14:paraId="532F2596" w14:textId="1426FECD" w:rsidR="002C594B" w:rsidRPr="00E41C5B" w:rsidRDefault="002C594B" w:rsidP="002C594B">
            <w:pPr>
              <w:pStyle w:val="NoSpacing"/>
              <w:jc w:val="center"/>
              <w:rPr>
                <w:rFonts w:ascii="Times New Roman" w:hAnsi="Times New Roman" w:cs="Times New Roman"/>
                <w:b/>
                <w:bCs/>
                <w:szCs w:val="24"/>
              </w:rPr>
            </w:pPr>
            <w:r w:rsidRPr="00E41C5B">
              <w:rPr>
                <w:rFonts w:ascii="Times New Roman" w:hAnsi="Times New Roman" w:cs="Times New Roman"/>
                <w:b/>
                <w:bCs/>
                <w:szCs w:val="24"/>
              </w:rPr>
              <w:t>Estimated loss of revenue</w:t>
            </w:r>
          </w:p>
        </w:tc>
      </w:tr>
      <w:tr w:rsidR="00EB0BC0" w:rsidRPr="00A85D2D" w14:paraId="0061CF59" w14:textId="77777777" w:rsidTr="002C594B">
        <w:trPr>
          <w:trHeight w:val="735"/>
        </w:trPr>
        <w:tc>
          <w:tcPr>
            <w:tcW w:w="0" w:type="auto"/>
            <w:vMerge/>
          </w:tcPr>
          <w:p w14:paraId="6F09D30F" w14:textId="77777777" w:rsidR="00EB0BC0" w:rsidRPr="00E41C5B" w:rsidRDefault="00EB0BC0" w:rsidP="00B77C0B">
            <w:pPr>
              <w:pStyle w:val="NoSpacing"/>
              <w:rPr>
                <w:rFonts w:ascii="Times New Roman" w:hAnsi="Times New Roman" w:cs="Times New Roman"/>
                <w:b/>
                <w:bCs/>
                <w:szCs w:val="24"/>
              </w:rPr>
            </w:pPr>
          </w:p>
        </w:tc>
        <w:tc>
          <w:tcPr>
            <w:tcW w:w="0" w:type="auto"/>
            <w:vMerge/>
          </w:tcPr>
          <w:p w14:paraId="66F2E0F4" w14:textId="77777777" w:rsidR="00EB0BC0" w:rsidRPr="00E41C5B" w:rsidRDefault="00EB0BC0" w:rsidP="00B77C0B">
            <w:pPr>
              <w:pStyle w:val="NoSpacing"/>
              <w:rPr>
                <w:rFonts w:ascii="Times New Roman" w:hAnsi="Times New Roman" w:cs="Times New Roman"/>
                <w:b/>
                <w:bCs/>
                <w:szCs w:val="24"/>
              </w:rPr>
            </w:pPr>
          </w:p>
        </w:tc>
        <w:tc>
          <w:tcPr>
            <w:tcW w:w="0" w:type="auto"/>
            <w:vAlign w:val="center"/>
          </w:tcPr>
          <w:p w14:paraId="0EACF03F" w14:textId="77777777" w:rsidR="00EB0BC0" w:rsidRPr="00E41C5B" w:rsidRDefault="00EB0BC0" w:rsidP="002C594B">
            <w:pPr>
              <w:pStyle w:val="NoSpacing"/>
              <w:jc w:val="center"/>
              <w:rPr>
                <w:rFonts w:ascii="Times New Roman" w:hAnsi="Times New Roman" w:cs="Times New Roman"/>
                <w:b/>
                <w:bCs/>
                <w:szCs w:val="24"/>
              </w:rPr>
            </w:pPr>
            <w:r w:rsidRPr="00E41C5B">
              <w:rPr>
                <w:rFonts w:ascii="Times New Roman" w:hAnsi="Times New Roman" w:cs="Times New Roman"/>
                <w:b/>
                <w:bCs/>
                <w:szCs w:val="24"/>
              </w:rPr>
              <w:t>1969-70 (Rs. crores)</w:t>
            </w:r>
          </w:p>
        </w:tc>
        <w:tc>
          <w:tcPr>
            <w:tcW w:w="0" w:type="auto"/>
            <w:vAlign w:val="center"/>
          </w:tcPr>
          <w:p w14:paraId="1B89612E" w14:textId="77777777" w:rsidR="00EB0BC0" w:rsidRPr="00E41C5B" w:rsidRDefault="00EB0BC0" w:rsidP="002C594B">
            <w:pPr>
              <w:pStyle w:val="NoSpacing"/>
              <w:jc w:val="center"/>
              <w:rPr>
                <w:rFonts w:ascii="Times New Roman" w:hAnsi="Times New Roman" w:cs="Times New Roman"/>
                <w:b/>
                <w:bCs/>
                <w:szCs w:val="24"/>
              </w:rPr>
            </w:pPr>
            <w:r w:rsidRPr="00E41C5B">
              <w:rPr>
                <w:rFonts w:ascii="Times New Roman" w:hAnsi="Times New Roman" w:cs="Times New Roman"/>
                <w:b/>
                <w:bCs/>
                <w:szCs w:val="24"/>
              </w:rPr>
              <w:t>1969-70 to 1973-74 (Rs. crores)</w:t>
            </w:r>
          </w:p>
        </w:tc>
      </w:tr>
      <w:tr w:rsidR="00EB0BC0" w:rsidRPr="00A85D2D" w14:paraId="4CC49ABF" w14:textId="77777777" w:rsidTr="002C594B">
        <w:trPr>
          <w:trHeight w:val="300"/>
        </w:trPr>
        <w:tc>
          <w:tcPr>
            <w:tcW w:w="0" w:type="auto"/>
          </w:tcPr>
          <w:p w14:paraId="435C2E32" w14:textId="77777777" w:rsidR="00EB0BC0" w:rsidRPr="00E41C5B" w:rsidRDefault="00EB0BC0" w:rsidP="00B77C0B">
            <w:pPr>
              <w:pStyle w:val="NoSpacing"/>
              <w:jc w:val="center"/>
              <w:rPr>
                <w:rFonts w:ascii="Times New Roman" w:hAnsi="Times New Roman" w:cs="Times New Roman"/>
                <w:b/>
                <w:bCs/>
                <w:szCs w:val="24"/>
              </w:rPr>
            </w:pPr>
            <w:r w:rsidRPr="00E41C5B">
              <w:rPr>
                <w:rFonts w:ascii="Times New Roman" w:hAnsi="Times New Roman" w:cs="Times New Roman"/>
                <w:b/>
                <w:bCs/>
                <w:szCs w:val="24"/>
              </w:rPr>
              <w:t>1</w:t>
            </w:r>
          </w:p>
        </w:tc>
        <w:tc>
          <w:tcPr>
            <w:tcW w:w="0" w:type="auto"/>
          </w:tcPr>
          <w:p w14:paraId="42651C17" w14:textId="77777777" w:rsidR="00EB0BC0" w:rsidRPr="00E41C5B" w:rsidRDefault="00EB0BC0" w:rsidP="00B77C0B">
            <w:pPr>
              <w:pStyle w:val="NoSpacing"/>
              <w:jc w:val="center"/>
              <w:rPr>
                <w:rFonts w:ascii="Times New Roman" w:hAnsi="Times New Roman" w:cs="Times New Roman"/>
                <w:b/>
                <w:bCs/>
                <w:szCs w:val="24"/>
              </w:rPr>
            </w:pPr>
            <w:r w:rsidRPr="00E41C5B">
              <w:rPr>
                <w:rFonts w:ascii="Times New Roman" w:hAnsi="Times New Roman" w:cs="Times New Roman"/>
                <w:b/>
                <w:bCs/>
                <w:szCs w:val="24"/>
              </w:rPr>
              <w:t>2</w:t>
            </w:r>
          </w:p>
        </w:tc>
        <w:tc>
          <w:tcPr>
            <w:tcW w:w="0" w:type="auto"/>
            <w:vAlign w:val="center"/>
          </w:tcPr>
          <w:p w14:paraId="3BF3841C" w14:textId="77777777" w:rsidR="00EB0BC0" w:rsidRPr="00E41C5B" w:rsidRDefault="00EB0BC0" w:rsidP="002C594B">
            <w:pPr>
              <w:pStyle w:val="NoSpacing"/>
              <w:jc w:val="center"/>
              <w:rPr>
                <w:rFonts w:ascii="Times New Roman" w:hAnsi="Times New Roman" w:cs="Times New Roman"/>
                <w:b/>
                <w:bCs/>
                <w:szCs w:val="24"/>
              </w:rPr>
            </w:pPr>
            <w:r w:rsidRPr="00E41C5B">
              <w:rPr>
                <w:rFonts w:ascii="Times New Roman" w:hAnsi="Times New Roman" w:cs="Times New Roman"/>
                <w:b/>
                <w:bCs/>
                <w:szCs w:val="24"/>
              </w:rPr>
              <w:t>3</w:t>
            </w:r>
          </w:p>
        </w:tc>
        <w:tc>
          <w:tcPr>
            <w:tcW w:w="0" w:type="auto"/>
            <w:vAlign w:val="center"/>
          </w:tcPr>
          <w:p w14:paraId="081FF347" w14:textId="77777777" w:rsidR="00EB0BC0" w:rsidRPr="00E41C5B" w:rsidRDefault="00EB0BC0" w:rsidP="002C594B">
            <w:pPr>
              <w:pStyle w:val="NoSpacing"/>
              <w:jc w:val="center"/>
              <w:rPr>
                <w:rFonts w:ascii="Times New Roman" w:hAnsi="Times New Roman" w:cs="Times New Roman"/>
                <w:b/>
                <w:bCs/>
                <w:szCs w:val="24"/>
              </w:rPr>
            </w:pPr>
            <w:r w:rsidRPr="00E41C5B">
              <w:rPr>
                <w:rFonts w:ascii="Times New Roman" w:hAnsi="Times New Roman" w:cs="Times New Roman"/>
                <w:b/>
                <w:bCs/>
                <w:szCs w:val="24"/>
              </w:rPr>
              <w:t>4</w:t>
            </w:r>
          </w:p>
        </w:tc>
      </w:tr>
      <w:tr w:rsidR="00EB0BC0" w:rsidRPr="00A85D2D" w14:paraId="20BFBE27" w14:textId="77777777" w:rsidTr="002C594B">
        <w:trPr>
          <w:trHeight w:val="356"/>
        </w:trPr>
        <w:tc>
          <w:tcPr>
            <w:tcW w:w="0" w:type="auto"/>
            <w:hideMark/>
          </w:tcPr>
          <w:p w14:paraId="2D7174D1" w14:textId="77777777" w:rsidR="00EB0BC0" w:rsidRPr="00E41C5B" w:rsidRDefault="00EB0BC0" w:rsidP="00B77C0B">
            <w:pPr>
              <w:pStyle w:val="NoSpacing"/>
              <w:rPr>
                <w:rFonts w:ascii="Times New Roman" w:hAnsi="Times New Roman" w:cs="Times New Roman"/>
                <w:szCs w:val="24"/>
              </w:rPr>
            </w:pPr>
            <w:r w:rsidRPr="00E41C5B">
              <w:rPr>
                <w:rFonts w:ascii="Times New Roman" w:hAnsi="Times New Roman" w:cs="Times New Roman"/>
                <w:szCs w:val="24"/>
              </w:rPr>
              <w:t>1. Andhra Pradesh</w:t>
            </w:r>
          </w:p>
        </w:tc>
        <w:tc>
          <w:tcPr>
            <w:tcW w:w="0" w:type="auto"/>
            <w:vMerge w:val="restart"/>
            <w:vAlign w:val="center"/>
            <w:hideMark/>
          </w:tcPr>
          <w:p w14:paraId="749B5130" w14:textId="77777777" w:rsidR="00EB0BC0" w:rsidRPr="00E41C5B" w:rsidRDefault="00EB0BC0" w:rsidP="002C594B">
            <w:pPr>
              <w:pStyle w:val="NoSpacing"/>
              <w:rPr>
                <w:rFonts w:ascii="Times New Roman" w:hAnsi="Times New Roman" w:cs="Times New Roman"/>
                <w:szCs w:val="24"/>
              </w:rPr>
            </w:pPr>
            <w:r w:rsidRPr="00E41C5B">
              <w:rPr>
                <w:rFonts w:ascii="Times New Roman" w:hAnsi="Times New Roman" w:cs="Times New Roman"/>
                <w:szCs w:val="24"/>
              </w:rPr>
              <w:t>1966-67</w:t>
            </w:r>
          </w:p>
        </w:tc>
        <w:tc>
          <w:tcPr>
            <w:tcW w:w="0" w:type="auto"/>
            <w:vMerge w:val="restart"/>
            <w:vAlign w:val="center"/>
            <w:hideMark/>
          </w:tcPr>
          <w:p w14:paraId="0586816C" w14:textId="77777777" w:rsidR="00EB0BC0" w:rsidRPr="00E41C5B" w:rsidRDefault="00EB0BC0" w:rsidP="002C594B">
            <w:pPr>
              <w:pStyle w:val="NoSpacing"/>
              <w:jc w:val="center"/>
              <w:rPr>
                <w:rFonts w:ascii="Times New Roman" w:hAnsi="Times New Roman" w:cs="Times New Roman"/>
                <w:szCs w:val="24"/>
              </w:rPr>
            </w:pPr>
            <w:r w:rsidRPr="00E41C5B">
              <w:rPr>
                <w:rFonts w:ascii="Times New Roman" w:hAnsi="Times New Roman" w:cs="Times New Roman"/>
                <w:szCs w:val="24"/>
              </w:rPr>
              <w:t>0.03</w:t>
            </w:r>
          </w:p>
        </w:tc>
        <w:tc>
          <w:tcPr>
            <w:tcW w:w="0" w:type="auto"/>
            <w:vMerge w:val="restart"/>
            <w:vAlign w:val="center"/>
            <w:hideMark/>
          </w:tcPr>
          <w:p w14:paraId="141FBDC4" w14:textId="77777777" w:rsidR="00EB0BC0" w:rsidRPr="00E41C5B" w:rsidRDefault="00EB0BC0" w:rsidP="002C594B">
            <w:pPr>
              <w:pStyle w:val="NoSpacing"/>
              <w:jc w:val="center"/>
              <w:rPr>
                <w:rFonts w:ascii="Times New Roman" w:hAnsi="Times New Roman" w:cs="Times New Roman"/>
                <w:szCs w:val="24"/>
              </w:rPr>
            </w:pPr>
            <w:r w:rsidRPr="00E41C5B">
              <w:rPr>
                <w:rFonts w:ascii="Times New Roman" w:hAnsi="Times New Roman" w:cs="Times New Roman"/>
                <w:szCs w:val="24"/>
              </w:rPr>
              <w:t>0.15</w:t>
            </w:r>
          </w:p>
        </w:tc>
      </w:tr>
      <w:tr w:rsidR="00EB0BC0" w:rsidRPr="00A85D2D" w14:paraId="34B521D1" w14:textId="77777777" w:rsidTr="002C594B">
        <w:trPr>
          <w:trHeight w:val="1446"/>
        </w:trPr>
        <w:tc>
          <w:tcPr>
            <w:tcW w:w="0" w:type="auto"/>
            <w:hideMark/>
          </w:tcPr>
          <w:p w14:paraId="76EEAF9D" w14:textId="77777777" w:rsidR="00EB0BC0" w:rsidRPr="00E41C5B" w:rsidRDefault="00EB0BC0" w:rsidP="002C594B">
            <w:pPr>
              <w:pStyle w:val="NoSpacing"/>
              <w:ind w:left="720"/>
              <w:rPr>
                <w:rFonts w:ascii="Times New Roman" w:hAnsi="Times New Roman" w:cs="Times New Roman"/>
                <w:szCs w:val="24"/>
              </w:rPr>
            </w:pPr>
            <w:r w:rsidRPr="00E41C5B">
              <w:rPr>
                <w:rFonts w:ascii="Times New Roman" w:hAnsi="Times New Roman" w:cs="Times New Roman"/>
                <w:szCs w:val="24"/>
              </w:rPr>
              <w:t>Motor Vehicles Tax:</w:t>
            </w:r>
          </w:p>
          <w:p w14:paraId="3DD404E2" w14:textId="77777777" w:rsidR="00EB0BC0" w:rsidRPr="00E41C5B" w:rsidRDefault="00EB0BC0" w:rsidP="002C594B">
            <w:pPr>
              <w:pStyle w:val="NoSpacing"/>
              <w:ind w:left="720"/>
              <w:rPr>
                <w:rFonts w:ascii="Times New Roman" w:hAnsi="Times New Roman" w:cs="Times New Roman"/>
                <w:szCs w:val="24"/>
              </w:rPr>
            </w:pPr>
            <w:r w:rsidRPr="00E41C5B">
              <w:rPr>
                <w:rFonts w:ascii="Times New Roman" w:hAnsi="Times New Roman" w:cs="Times New Roman"/>
                <w:szCs w:val="24"/>
              </w:rPr>
              <w:t>Certain tractors, trailer combinations used for agricultural purposes exempted from payment of tax</w:t>
            </w:r>
          </w:p>
        </w:tc>
        <w:tc>
          <w:tcPr>
            <w:tcW w:w="0" w:type="auto"/>
            <w:vMerge/>
            <w:vAlign w:val="center"/>
            <w:hideMark/>
          </w:tcPr>
          <w:p w14:paraId="09CC2CD8" w14:textId="77777777" w:rsidR="00EB0BC0" w:rsidRPr="00E41C5B" w:rsidRDefault="00EB0BC0" w:rsidP="002C594B">
            <w:pPr>
              <w:pStyle w:val="NoSpacing"/>
              <w:rPr>
                <w:rFonts w:ascii="Times New Roman" w:hAnsi="Times New Roman" w:cs="Times New Roman"/>
                <w:szCs w:val="24"/>
              </w:rPr>
            </w:pPr>
          </w:p>
        </w:tc>
        <w:tc>
          <w:tcPr>
            <w:tcW w:w="0" w:type="auto"/>
            <w:vMerge/>
            <w:vAlign w:val="center"/>
            <w:hideMark/>
          </w:tcPr>
          <w:p w14:paraId="78E10CAB" w14:textId="77777777" w:rsidR="00EB0BC0" w:rsidRPr="00E41C5B" w:rsidRDefault="00EB0BC0" w:rsidP="002C594B">
            <w:pPr>
              <w:pStyle w:val="NoSpacing"/>
              <w:jc w:val="center"/>
              <w:rPr>
                <w:rFonts w:ascii="Times New Roman" w:hAnsi="Times New Roman" w:cs="Times New Roman"/>
                <w:szCs w:val="24"/>
              </w:rPr>
            </w:pPr>
          </w:p>
        </w:tc>
        <w:tc>
          <w:tcPr>
            <w:tcW w:w="0" w:type="auto"/>
            <w:vMerge/>
            <w:vAlign w:val="center"/>
            <w:hideMark/>
          </w:tcPr>
          <w:p w14:paraId="6CAFF0C8" w14:textId="77777777" w:rsidR="00EB0BC0" w:rsidRPr="00E41C5B" w:rsidRDefault="00EB0BC0" w:rsidP="002C594B">
            <w:pPr>
              <w:pStyle w:val="NoSpacing"/>
              <w:jc w:val="center"/>
              <w:rPr>
                <w:rFonts w:ascii="Times New Roman" w:hAnsi="Times New Roman" w:cs="Times New Roman"/>
                <w:szCs w:val="24"/>
              </w:rPr>
            </w:pPr>
          </w:p>
        </w:tc>
      </w:tr>
      <w:tr w:rsidR="00EB0BC0" w:rsidRPr="00A85D2D" w14:paraId="45B09ED7" w14:textId="77777777" w:rsidTr="002C594B">
        <w:trPr>
          <w:trHeight w:val="356"/>
        </w:trPr>
        <w:tc>
          <w:tcPr>
            <w:tcW w:w="0" w:type="auto"/>
            <w:hideMark/>
          </w:tcPr>
          <w:p w14:paraId="23DF1DD4" w14:textId="77777777" w:rsidR="00EB0BC0" w:rsidRPr="00E41C5B" w:rsidRDefault="00EB0BC0" w:rsidP="00B77C0B">
            <w:pPr>
              <w:pStyle w:val="NoSpacing"/>
              <w:rPr>
                <w:rFonts w:ascii="Times New Roman" w:hAnsi="Times New Roman" w:cs="Times New Roman"/>
                <w:szCs w:val="24"/>
              </w:rPr>
            </w:pPr>
            <w:r w:rsidRPr="00E41C5B">
              <w:rPr>
                <w:rFonts w:ascii="Times New Roman" w:hAnsi="Times New Roman" w:cs="Times New Roman"/>
                <w:szCs w:val="24"/>
              </w:rPr>
              <w:t>2. Haryana</w:t>
            </w:r>
          </w:p>
        </w:tc>
        <w:tc>
          <w:tcPr>
            <w:tcW w:w="0" w:type="auto"/>
            <w:vAlign w:val="center"/>
            <w:hideMark/>
          </w:tcPr>
          <w:p w14:paraId="41880BC2" w14:textId="77777777" w:rsidR="00EB0BC0" w:rsidRPr="00E41C5B" w:rsidRDefault="00EB0BC0" w:rsidP="002C594B">
            <w:pPr>
              <w:pStyle w:val="NoSpacing"/>
              <w:rPr>
                <w:rFonts w:ascii="Times New Roman" w:hAnsi="Times New Roman" w:cs="Times New Roman"/>
                <w:szCs w:val="24"/>
              </w:rPr>
            </w:pPr>
          </w:p>
        </w:tc>
        <w:tc>
          <w:tcPr>
            <w:tcW w:w="0" w:type="auto"/>
            <w:vAlign w:val="center"/>
            <w:hideMark/>
          </w:tcPr>
          <w:p w14:paraId="1B37DEBB" w14:textId="77777777" w:rsidR="00EB0BC0" w:rsidRPr="00E41C5B" w:rsidRDefault="00EB0BC0" w:rsidP="002C594B">
            <w:pPr>
              <w:pStyle w:val="NoSpacing"/>
              <w:jc w:val="center"/>
              <w:rPr>
                <w:rFonts w:ascii="Times New Roman" w:hAnsi="Times New Roman" w:cs="Times New Roman"/>
                <w:szCs w:val="24"/>
              </w:rPr>
            </w:pPr>
          </w:p>
        </w:tc>
        <w:tc>
          <w:tcPr>
            <w:tcW w:w="0" w:type="auto"/>
            <w:vAlign w:val="center"/>
            <w:hideMark/>
          </w:tcPr>
          <w:p w14:paraId="496869D3" w14:textId="77777777" w:rsidR="00EB0BC0" w:rsidRPr="00E41C5B" w:rsidRDefault="00EB0BC0" w:rsidP="002C594B">
            <w:pPr>
              <w:pStyle w:val="NoSpacing"/>
              <w:jc w:val="center"/>
              <w:rPr>
                <w:rFonts w:ascii="Times New Roman" w:hAnsi="Times New Roman" w:cs="Times New Roman"/>
                <w:szCs w:val="24"/>
              </w:rPr>
            </w:pPr>
          </w:p>
        </w:tc>
      </w:tr>
      <w:tr w:rsidR="00EB0BC0" w:rsidRPr="00A85D2D" w14:paraId="5BF44C54" w14:textId="77777777" w:rsidTr="002C594B">
        <w:trPr>
          <w:trHeight w:val="1088"/>
        </w:trPr>
        <w:tc>
          <w:tcPr>
            <w:tcW w:w="0" w:type="auto"/>
            <w:hideMark/>
          </w:tcPr>
          <w:p w14:paraId="23CA7A1F" w14:textId="77777777" w:rsidR="00EB0BC0" w:rsidRPr="00E41C5B" w:rsidRDefault="00EB0BC0" w:rsidP="00B77C0B">
            <w:pPr>
              <w:pStyle w:val="NoSpacing"/>
              <w:rPr>
                <w:rFonts w:ascii="Times New Roman" w:hAnsi="Times New Roman" w:cs="Times New Roman"/>
                <w:szCs w:val="24"/>
              </w:rPr>
            </w:pPr>
            <w:r w:rsidRPr="00E41C5B">
              <w:rPr>
                <w:rFonts w:ascii="Times New Roman" w:hAnsi="Times New Roman" w:cs="Times New Roman"/>
                <w:szCs w:val="24"/>
              </w:rPr>
              <w:t>(i)Property Tax:</w:t>
            </w:r>
          </w:p>
          <w:p w14:paraId="29BBACD6" w14:textId="77777777" w:rsidR="00EB0BC0" w:rsidRPr="00E41C5B" w:rsidRDefault="00EB0BC0" w:rsidP="002C594B">
            <w:pPr>
              <w:pStyle w:val="NoSpacing"/>
              <w:ind w:left="720"/>
              <w:rPr>
                <w:rFonts w:ascii="Times New Roman" w:hAnsi="Times New Roman" w:cs="Times New Roman"/>
                <w:szCs w:val="24"/>
              </w:rPr>
            </w:pPr>
            <w:r w:rsidRPr="00E41C5B">
              <w:rPr>
                <w:rFonts w:ascii="Times New Roman" w:hAnsi="Times New Roman" w:cs="Times New Roman"/>
                <w:szCs w:val="24"/>
              </w:rPr>
              <w:t>Owner of sole residential property unit in self-occupation exempted</w:t>
            </w:r>
          </w:p>
        </w:tc>
        <w:tc>
          <w:tcPr>
            <w:tcW w:w="0" w:type="auto"/>
            <w:vAlign w:val="center"/>
            <w:hideMark/>
          </w:tcPr>
          <w:p w14:paraId="1FE262B7" w14:textId="77777777" w:rsidR="00EB0BC0" w:rsidRPr="00E41C5B" w:rsidRDefault="00EB0BC0" w:rsidP="002C594B">
            <w:pPr>
              <w:pStyle w:val="NoSpacing"/>
              <w:rPr>
                <w:rFonts w:ascii="Times New Roman" w:hAnsi="Times New Roman" w:cs="Times New Roman"/>
                <w:szCs w:val="24"/>
              </w:rPr>
            </w:pPr>
            <w:r w:rsidRPr="00E41C5B">
              <w:rPr>
                <w:rFonts w:ascii="Times New Roman" w:hAnsi="Times New Roman" w:cs="Times New Roman"/>
                <w:szCs w:val="24"/>
              </w:rPr>
              <w:t>April 1, 1968</w:t>
            </w:r>
          </w:p>
        </w:tc>
        <w:tc>
          <w:tcPr>
            <w:tcW w:w="0" w:type="auto"/>
            <w:vAlign w:val="center"/>
            <w:hideMark/>
          </w:tcPr>
          <w:p w14:paraId="4AF1B935" w14:textId="77777777" w:rsidR="00EB0BC0" w:rsidRPr="00E41C5B" w:rsidRDefault="00EB0BC0" w:rsidP="002C594B">
            <w:pPr>
              <w:pStyle w:val="NoSpacing"/>
              <w:jc w:val="center"/>
              <w:rPr>
                <w:rFonts w:ascii="Times New Roman" w:hAnsi="Times New Roman" w:cs="Times New Roman"/>
                <w:szCs w:val="24"/>
              </w:rPr>
            </w:pPr>
            <w:r w:rsidRPr="00E41C5B">
              <w:rPr>
                <w:rFonts w:ascii="Times New Roman" w:hAnsi="Times New Roman" w:cs="Times New Roman"/>
                <w:szCs w:val="24"/>
              </w:rPr>
              <w:t>0.08</w:t>
            </w:r>
          </w:p>
        </w:tc>
        <w:tc>
          <w:tcPr>
            <w:tcW w:w="0" w:type="auto"/>
            <w:vAlign w:val="center"/>
            <w:hideMark/>
          </w:tcPr>
          <w:p w14:paraId="365AFEF8" w14:textId="77777777" w:rsidR="00EB0BC0" w:rsidRPr="00E41C5B" w:rsidRDefault="00EB0BC0" w:rsidP="002C594B">
            <w:pPr>
              <w:pStyle w:val="NoSpacing"/>
              <w:jc w:val="center"/>
              <w:rPr>
                <w:rFonts w:ascii="Times New Roman" w:hAnsi="Times New Roman" w:cs="Times New Roman"/>
                <w:szCs w:val="24"/>
              </w:rPr>
            </w:pPr>
            <w:r w:rsidRPr="00E41C5B">
              <w:rPr>
                <w:rFonts w:ascii="Times New Roman" w:hAnsi="Times New Roman" w:cs="Times New Roman"/>
                <w:szCs w:val="24"/>
              </w:rPr>
              <w:t>0.40</w:t>
            </w:r>
          </w:p>
        </w:tc>
      </w:tr>
      <w:tr w:rsidR="00EB0BC0" w:rsidRPr="00A85D2D" w14:paraId="610A56A6" w14:textId="77777777" w:rsidTr="002C594B">
        <w:trPr>
          <w:trHeight w:val="714"/>
        </w:trPr>
        <w:tc>
          <w:tcPr>
            <w:tcW w:w="0" w:type="auto"/>
            <w:hideMark/>
          </w:tcPr>
          <w:p w14:paraId="4621235C" w14:textId="77777777" w:rsidR="00EB0BC0" w:rsidRPr="00E41C5B" w:rsidRDefault="00EB0BC0" w:rsidP="00B77C0B">
            <w:pPr>
              <w:pStyle w:val="NoSpacing"/>
              <w:rPr>
                <w:rFonts w:ascii="Times New Roman" w:hAnsi="Times New Roman" w:cs="Times New Roman"/>
                <w:szCs w:val="24"/>
              </w:rPr>
            </w:pPr>
            <w:r w:rsidRPr="00E41C5B">
              <w:rPr>
                <w:rFonts w:ascii="Times New Roman" w:hAnsi="Times New Roman" w:cs="Times New Roman"/>
                <w:szCs w:val="24"/>
              </w:rPr>
              <w:t>(ii) Re-introduction of the fee* concessions upto middle classes</w:t>
            </w:r>
          </w:p>
        </w:tc>
        <w:tc>
          <w:tcPr>
            <w:tcW w:w="0" w:type="auto"/>
            <w:vAlign w:val="center"/>
            <w:hideMark/>
          </w:tcPr>
          <w:p w14:paraId="00564908" w14:textId="77777777" w:rsidR="00EB0BC0" w:rsidRPr="00E41C5B" w:rsidRDefault="00EB0BC0" w:rsidP="002C594B">
            <w:pPr>
              <w:pStyle w:val="NoSpacing"/>
              <w:rPr>
                <w:rFonts w:ascii="Times New Roman" w:hAnsi="Times New Roman" w:cs="Times New Roman"/>
                <w:szCs w:val="24"/>
              </w:rPr>
            </w:pPr>
            <w:r w:rsidRPr="00E41C5B">
              <w:rPr>
                <w:rFonts w:ascii="Times New Roman" w:hAnsi="Times New Roman" w:cs="Times New Roman"/>
                <w:szCs w:val="24"/>
              </w:rPr>
              <w:t>August 1, 1968</w:t>
            </w:r>
          </w:p>
        </w:tc>
        <w:tc>
          <w:tcPr>
            <w:tcW w:w="0" w:type="auto"/>
            <w:vAlign w:val="center"/>
            <w:hideMark/>
          </w:tcPr>
          <w:p w14:paraId="093C6BC3" w14:textId="77777777" w:rsidR="00EB0BC0" w:rsidRPr="00E41C5B" w:rsidRDefault="00EB0BC0" w:rsidP="002C594B">
            <w:pPr>
              <w:pStyle w:val="NoSpacing"/>
              <w:jc w:val="center"/>
              <w:rPr>
                <w:rFonts w:ascii="Times New Roman" w:hAnsi="Times New Roman" w:cs="Times New Roman"/>
                <w:szCs w:val="24"/>
              </w:rPr>
            </w:pPr>
            <w:r w:rsidRPr="00E41C5B">
              <w:rPr>
                <w:rFonts w:ascii="Times New Roman" w:hAnsi="Times New Roman" w:cs="Times New Roman"/>
                <w:szCs w:val="24"/>
              </w:rPr>
              <w:t>0.82</w:t>
            </w:r>
          </w:p>
        </w:tc>
        <w:tc>
          <w:tcPr>
            <w:tcW w:w="0" w:type="auto"/>
            <w:vAlign w:val="center"/>
            <w:hideMark/>
          </w:tcPr>
          <w:p w14:paraId="6DFEBFA0" w14:textId="77777777" w:rsidR="00EB0BC0" w:rsidRPr="00E41C5B" w:rsidRDefault="00EB0BC0" w:rsidP="002C594B">
            <w:pPr>
              <w:pStyle w:val="NoSpacing"/>
              <w:jc w:val="center"/>
              <w:rPr>
                <w:rFonts w:ascii="Times New Roman" w:hAnsi="Times New Roman" w:cs="Times New Roman"/>
                <w:szCs w:val="24"/>
              </w:rPr>
            </w:pPr>
            <w:r w:rsidRPr="00E41C5B">
              <w:rPr>
                <w:rFonts w:ascii="Times New Roman" w:hAnsi="Times New Roman" w:cs="Times New Roman"/>
                <w:szCs w:val="24"/>
              </w:rPr>
              <w:t>4.50*</w:t>
            </w:r>
          </w:p>
        </w:tc>
      </w:tr>
      <w:tr w:rsidR="00EB0BC0" w:rsidRPr="00A85D2D" w14:paraId="207453D9" w14:textId="77777777" w:rsidTr="002C594B">
        <w:trPr>
          <w:trHeight w:val="372"/>
        </w:trPr>
        <w:tc>
          <w:tcPr>
            <w:tcW w:w="0" w:type="auto"/>
            <w:gridSpan w:val="2"/>
            <w:vAlign w:val="center"/>
            <w:hideMark/>
          </w:tcPr>
          <w:p w14:paraId="64AB00D5" w14:textId="77777777" w:rsidR="00EB0BC0" w:rsidRPr="00E41C5B" w:rsidRDefault="00EB0BC0" w:rsidP="002C594B">
            <w:pPr>
              <w:pStyle w:val="NoSpacing"/>
              <w:rPr>
                <w:rFonts w:ascii="Times New Roman" w:hAnsi="Times New Roman" w:cs="Times New Roman"/>
                <w:szCs w:val="24"/>
              </w:rPr>
            </w:pPr>
            <w:r w:rsidRPr="00E41C5B">
              <w:rPr>
                <w:rFonts w:ascii="Times New Roman" w:hAnsi="Times New Roman" w:cs="Times New Roman"/>
                <w:szCs w:val="24"/>
              </w:rPr>
              <w:t>TOTAL</w:t>
            </w:r>
          </w:p>
        </w:tc>
        <w:tc>
          <w:tcPr>
            <w:tcW w:w="0" w:type="auto"/>
            <w:vAlign w:val="center"/>
            <w:hideMark/>
          </w:tcPr>
          <w:p w14:paraId="0F4BE61D" w14:textId="77777777" w:rsidR="00EB0BC0" w:rsidRPr="00E41C5B" w:rsidRDefault="00EB0BC0" w:rsidP="002C594B">
            <w:pPr>
              <w:pStyle w:val="NoSpacing"/>
              <w:jc w:val="center"/>
              <w:rPr>
                <w:rFonts w:ascii="Times New Roman" w:hAnsi="Times New Roman" w:cs="Times New Roman"/>
                <w:szCs w:val="24"/>
              </w:rPr>
            </w:pPr>
            <w:r w:rsidRPr="00E41C5B">
              <w:rPr>
                <w:rFonts w:ascii="Times New Roman" w:hAnsi="Times New Roman" w:cs="Times New Roman"/>
                <w:szCs w:val="24"/>
              </w:rPr>
              <w:t>0.90</w:t>
            </w:r>
          </w:p>
        </w:tc>
        <w:tc>
          <w:tcPr>
            <w:tcW w:w="0" w:type="auto"/>
            <w:vAlign w:val="center"/>
            <w:hideMark/>
          </w:tcPr>
          <w:p w14:paraId="6DC7AE3D" w14:textId="77777777" w:rsidR="00EB0BC0" w:rsidRPr="00E41C5B" w:rsidRDefault="00EB0BC0" w:rsidP="002C594B">
            <w:pPr>
              <w:pStyle w:val="NoSpacing"/>
              <w:jc w:val="center"/>
              <w:rPr>
                <w:rFonts w:ascii="Times New Roman" w:hAnsi="Times New Roman" w:cs="Times New Roman"/>
                <w:szCs w:val="24"/>
              </w:rPr>
            </w:pPr>
            <w:r w:rsidRPr="00E41C5B">
              <w:rPr>
                <w:rFonts w:ascii="Times New Roman" w:hAnsi="Times New Roman" w:cs="Times New Roman"/>
                <w:szCs w:val="24"/>
              </w:rPr>
              <w:t>4.90</w:t>
            </w:r>
          </w:p>
        </w:tc>
      </w:tr>
      <w:tr w:rsidR="00EB0BC0" w:rsidRPr="00A85D2D" w14:paraId="092587C9" w14:textId="77777777" w:rsidTr="002C594B">
        <w:trPr>
          <w:trHeight w:val="26"/>
        </w:trPr>
        <w:tc>
          <w:tcPr>
            <w:tcW w:w="0" w:type="auto"/>
            <w:vMerge w:val="restart"/>
            <w:hideMark/>
          </w:tcPr>
          <w:p w14:paraId="29C15EB6" w14:textId="77777777" w:rsidR="00EB0BC0" w:rsidRPr="00E41C5B" w:rsidRDefault="00EB0BC0" w:rsidP="00B77C0B">
            <w:pPr>
              <w:pStyle w:val="NoSpacing"/>
              <w:rPr>
                <w:rFonts w:ascii="Times New Roman" w:hAnsi="Times New Roman" w:cs="Times New Roman"/>
                <w:szCs w:val="24"/>
              </w:rPr>
            </w:pPr>
            <w:r w:rsidRPr="00E41C5B">
              <w:rPr>
                <w:rFonts w:ascii="Times New Roman" w:hAnsi="Times New Roman" w:cs="Times New Roman"/>
                <w:szCs w:val="24"/>
              </w:rPr>
              <w:t>3. Madhya Pradesh</w:t>
            </w:r>
          </w:p>
          <w:p w14:paraId="7A5B2C67" w14:textId="77777777" w:rsidR="00EB0BC0" w:rsidRPr="00E41C5B" w:rsidRDefault="00EB0BC0" w:rsidP="002C594B">
            <w:pPr>
              <w:pStyle w:val="NoSpacing"/>
              <w:ind w:left="720"/>
              <w:rPr>
                <w:rFonts w:ascii="Times New Roman" w:hAnsi="Times New Roman" w:cs="Times New Roman"/>
                <w:szCs w:val="24"/>
              </w:rPr>
            </w:pPr>
            <w:r w:rsidRPr="00E41C5B">
              <w:rPr>
                <w:rFonts w:ascii="Times New Roman" w:hAnsi="Times New Roman" w:cs="Times New Roman"/>
                <w:szCs w:val="24"/>
              </w:rPr>
              <w:t>Withdrawal of toll tax on bridges</w:t>
            </w:r>
          </w:p>
        </w:tc>
        <w:tc>
          <w:tcPr>
            <w:tcW w:w="0" w:type="auto"/>
            <w:vAlign w:val="center"/>
            <w:hideMark/>
          </w:tcPr>
          <w:p w14:paraId="16C365C7" w14:textId="77777777" w:rsidR="00EB0BC0" w:rsidRPr="00E41C5B" w:rsidRDefault="00EB0BC0" w:rsidP="002C594B">
            <w:pPr>
              <w:pStyle w:val="NoSpacing"/>
              <w:rPr>
                <w:rFonts w:ascii="Times New Roman" w:hAnsi="Times New Roman" w:cs="Times New Roman"/>
                <w:szCs w:val="24"/>
              </w:rPr>
            </w:pPr>
          </w:p>
        </w:tc>
        <w:tc>
          <w:tcPr>
            <w:tcW w:w="0" w:type="auto"/>
            <w:vAlign w:val="center"/>
            <w:hideMark/>
          </w:tcPr>
          <w:p w14:paraId="61244E98" w14:textId="77777777" w:rsidR="00EB0BC0" w:rsidRPr="00E41C5B" w:rsidRDefault="00EB0BC0" w:rsidP="002C594B">
            <w:pPr>
              <w:pStyle w:val="NoSpacing"/>
              <w:jc w:val="center"/>
              <w:rPr>
                <w:rFonts w:ascii="Times New Roman" w:hAnsi="Times New Roman" w:cs="Times New Roman"/>
                <w:szCs w:val="24"/>
              </w:rPr>
            </w:pPr>
          </w:p>
        </w:tc>
        <w:tc>
          <w:tcPr>
            <w:tcW w:w="0" w:type="auto"/>
            <w:vAlign w:val="center"/>
            <w:hideMark/>
          </w:tcPr>
          <w:p w14:paraId="48E80C1D" w14:textId="77777777" w:rsidR="00EB0BC0" w:rsidRPr="00E41C5B" w:rsidRDefault="00EB0BC0" w:rsidP="002C594B">
            <w:pPr>
              <w:pStyle w:val="NoSpacing"/>
              <w:jc w:val="center"/>
              <w:rPr>
                <w:rFonts w:ascii="Times New Roman" w:hAnsi="Times New Roman" w:cs="Times New Roman"/>
                <w:szCs w:val="24"/>
              </w:rPr>
            </w:pPr>
          </w:p>
        </w:tc>
      </w:tr>
      <w:tr w:rsidR="00EB0BC0" w:rsidRPr="00A85D2D" w14:paraId="1A118DE0" w14:textId="77777777" w:rsidTr="002C594B">
        <w:trPr>
          <w:trHeight w:val="194"/>
        </w:trPr>
        <w:tc>
          <w:tcPr>
            <w:tcW w:w="0" w:type="auto"/>
            <w:vMerge/>
            <w:hideMark/>
          </w:tcPr>
          <w:p w14:paraId="7FD6D5ED" w14:textId="77777777" w:rsidR="00EB0BC0" w:rsidRPr="00E41C5B" w:rsidRDefault="00EB0BC0" w:rsidP="00B77C0B">
            <w:pPr>
              <w:pStyle w:val="NoSpacing"/>
              <w:rPr>
                <w:rFonts w:ascii="Times New Roman" w:hAnsi="Times New Roman" w:cs="Times New Roman"/>
                <w:szCs w:val="24"/>
              </w:rPr>
            </w:pPr>
          </w:p>
        </w:tc>
        <w:tc>
          <w:tcPr>
            <w:tcW w:w="0" w:type="auto"/>
            <w:vAlign w:val="center"/>
            <w:hideMark/>
          </w:tcPr>
          <w:p w14:paraId="6FD9CFDE" w14:textId="77777777" w:rsidR="00EB0BC0" w:rsidRPr="00E41C5B" w:rsidRDefault="00EB0BC0" w:rsidP="002C594B">
            <w:pPr>
              <w:pStyle w:val="NoSpacing"/>
              <w:rPr>
                <w:rFonts w:ascii="Times New Roman" w:hAnsi="Times New Roman" w:cs="Times New Roman"/>
                <w:szCs w:val="24"/>
              </w:rPr>
            </w:pPr>
            <w:r w:rsidRPr="00E41C5B">
              <w:rPr>
                <w:rFonts w:ascii="Times New Roman" w:hAnsi="Times New Roman" w:cs="Times New Roman"/>
                <w:szCs w:val="24"/>
              </w:rPr>
              <w:t>March 25, 1969</w:t>
            </w:r>
          </w:p>
        </w:tc>
        <w:tc>
          <w:tcPr>
            <w:tcW w:w="0" w:type="auto"/>
            <w:vAlign w:val="center"/>
            <w:hideMark/>
          </w:tcPr>
          <w:p w14:paraId="120871B6" w14:textId="77777777" w:rsidR="00EB0BC0" w:rsidRPr="00E41C5B" w:rsidRDefault="00EB0BC0" w:rsidP="002C594B">
            <w:pPr>
              <w:pStyle w:val="NoSpacing"/>
              <w:jc w:val="center"/>
              <w:rPr>
                <w:rFonts w:ascii="Times New Roman" w:hAnsi="Times New Roman" w:cs="Times New Roman"/>
                <w:szCs w:val="24"/>
              </w:rPr>
            </w:pPr>
            <w:r w:rsidRPr="00E41C5B">
              <w:rPr>
                <w:rFonts w:ascii="Times New Roman" w:hAnsi="Times New Roman" w:cs="Times New Roman"/>
                <w:szCs w:val="24"/>
              </w:rPr>
              <w:t>0.15</w:t>
            </w:r>
          </w:p>
        </w:tc>
        <w:tc>
          <w:tcPr>
            <w:tcW w:w="0" w:type="auto"/>
            <w:vAlign w:val="center"/>
            <w:hideMark/>
          </w:tcPr>
          <w:p w14:paraId="68FF028B" w14:textId="77777777" w:rsidR="00EB0BC0" w:rsidRPr="00E41C5B" w:rsidRDefault="00EB0BC0" w:rsidP="002C594B">
            <w:pPr>
              <w:pStyle w:val="NoSpacing"/>
              <w:jc w:val="center"/>
              <w:rPr>
                <w:rFonts w:ascii="Times New Roman" w:hAnsi="Times New Roman" w:cs="Times New Roman"/>
                <w:szCs w:val="24"/>
              </w:rPr>
            </w:pPr>
            <w:r w:rsidRPr="00E41C5B">
              <w:rPr>
                <w:rFonts w:ascii="Times New Roman" w:hAnsi="Times New Roman" w:cs="Times New Roman"/>
                <w:szCs w:val="24"/>
              </w:rPr>
              <w:t>0.85</w:t>
            </w:r>
          </w:p>
        </w:tc>
      </w:tr>
      <w:tr w:rsidR="00EB0BC0" w:rsidRPr="00A85D2D" w14:paraId="38B084B2" w14:textId="77777777" w:rsidTr="002C594B">
        <w:trPr>
          <w:trHeight w:val="356"/>
        </w:trPr>
        <w:tc>
          <w:tcPr>
            <w:tcW w:w="0" w:type="auto"/>
            <w:hideMark/>
          </w:tcPr>
          <w:p w14:paraId="2E7C9C20" w14:textId="77777777" w:rsidR="00EB0BC0" w:rsidRPr="00E41C5B" w:rsidRDefault="00EB0BC0" w:rsidP="00B77C0B">
            <w:pPr>
              <w:pStyle w:val="NoSpacing"/>
              <w:rPr>
                <w:rFonts w:ascii="Times New Roman" w:hAnsi="Times New Roman" w:cs="Times New Roman"/>
                <w:szCs w:val="24"/>
              </w:rPr>
            </w:pPr>
            <w:r w:rsidRPr="00E41C5B">
              <w:rPr>
                <w:rFonts w:ascii="Times New Roman" w:hAnsi="Times New Roman" w:cs="Times New Roman"/>
                <w:szCs w:val="24"/>
              </w:rPr>
              <w:t>4. Orissa</w:t>
            </w:r>
          </w:p>
        </w:tc>
        <w:tc>
          <w:tcPr>
            <w:tcW w:w="0" w:type="auto"/>
            <w:vAlign w:val="center"/>
            <w:hideMark/>
          </w:tcPr>
          <w:p w14:paraId="7D7E319E" w14:textId="77777777" w:rsidR="00EB0BC0" w:rsidRPr="00E41C5B" w:rsidRDefault="00EB0BC0" w:rsidP="002C594B">
            <w:pPr>
              <w:pStyle w:val="NoSpacing"/>
              <w:rPr>
                <w:rFonts w:ascii="Times New Roman" w:hAnsi="Times New Roman" w:cs="Times New Roman"/>
                <w:szCs w:val="24"/>
              </w:rPr>
            </w:pPr>
          </w:p>
        </w:tc>
        <w:tc>
          <w:tcPr>
            <w:tcW w:w="0" w:type="auto"/>
            <w:vAlign w:val="center"/>
            <w:hideMark/>
          </w:tcPr>
          <w:p w14:paraId="6D426ADD" w14:textId="77777777" w:rsidR="00EB0BC0" w:rsidRPr="00E41C5B" w:rsidRDefault="00EB0BC0" w:rsidP="002C594B">
            <w:pPr>
              <w:pStyle w:val="NoSpacing"/>
              <w:jc w:val="center"/>
              <w:rPr>
                <w:rFonts w:ascii="Times New Roman" w:hAnsi="Times New Roman" w:cs="Times New Roman"/>
                <w:szCs w:val="24"/>
              </w:rPr>
            </w:pPr>
          </w:p>
        </w:tc>
        <w:tc>
          <w:tcPr>
            <w:tcW w:w="0" w:type="auto"/>
            <w:vAlign w:val="center"/>
            <w:hideMark/>
          </w:tcPr>
          <w:p w14:paraId="280A92DA" w14:textId="77777777" w:rsidR="00EB0BC0" w:rsidRPr="00E41C5B" w:rsidRDefault="00EB0BC0" w:rsidP="002C594B">
            <w:pPr>
              <w:pStyle w:val="NoSpacing"/>
              <w:jc w:val="center"/>
              <w:rPr>
                <w:rFonts w:ascii="Times New Roman" w:hAnsi="Times New Roman" w:cs="Times New Roman"/>
                <w:szCs w:val="24"/>
              </w:rPr>
            </w:pPr>
          </w:p>
        </w:tc>
      </w:tr>
      <w:tr w:rsidR="00E41C5B" w:rsidRPr="00A85D2D" w14:paraId="4BC5BACF" w14:textId="77777777" w:rsidTr="002C594B">
        <w:trPr>
          <w:trHeight w:val="1446"/>
        </w:trPr>
        <w:tc>
          <w:tcPr>
            <w:tcW w:w="0" w:type="auto"/>
            <w:hideMark/>
          </w:tcPr>
          <w:p w14:paraId="66DF6FC9" w14:textId="77777777" w:rsidR="00E41C5B" w:rsidRPr="00E41C5B" w:rsidRDefault="00E41C5B" w:rsidP="00B77C0B">
            <w:pPr>
              <w:pStyle w:val="NoSpacing"/>
              <w:rPr>
                <w:rFonts w:ascii="Times New Roman" w:hAnsi="Times New Roman" w:cs="Times New Roman"/>
                <w:szCs w:val="24"/>
              </w:rPr>
            </w:pPr>
            <w:r w:rsidRPr="00E41C5B">
              <w:rPr>
                <w:rFonts w:ascii="Times New Roman" w:hAnsi="Times New Roman" w:cs="Times New Roman"/>
                <w:szCs w:val="24"/>
              </w:rPr>
              <w:t>Irrigation Rates:</w:t>
            </w:r>
          </w:p>
          <w:p w14:paraId="24D06B08" w14:textId="77777777" w:rsidR="00E41C5B" w:rsidRPr="00E41C5B" w:rsidRDefault="00E41C5B" w:rsidP="002C594B">
            <w:pPr>
              <w:pStyle w:val="NoSpacing"/>
              <w:ind w:left="720"/>
              <w:rPr>
                <w:rFonts w:ascii="Times New Roman" w:hAnsi="Times New Roman" w:cs="Times New Roman"/>
                <w:szCs w:val="24"/>
              </w:rPr>
            </w:pPr>
            <w:r w:rsidRPr="00E41C5B">
              <w:rPr>
                <w:rFonts w:ascii="Times New Roman" w:hAnsi="Times New Roman" w:cs="Times New Roman"/>
                <w:szCs w:val="24"/>
              </w:rPr>
              <w:t>Levies in respect of certain crops raised and basic water rates reduced. (The overall effect about 50% reduction in the rates).</w:t>
            </w:r>
          </w:p>
        </w:tc>
        <w:tc>
          <w:tcPr>
            <w:tcW w:w="0" w:type="auto"/>
            <w:vAlign w:val="center"/>
            <w:hideMark/>
          </w:tcPr>
          <w:p w14:paraId="6AA6D2CB" w14:textId="77777777" w:rsidR="00E41C5B" w:rsidRPr="00E41C5B" w:rsidRDefault="00E41C5B" w:rsidP="002C594B">
            <w:pPr>
              <w:pStyle w:val="NoSpacing"/>
              <w:rPr>
                <w:rFonts w:ascii="Times New Roman" w:hAnsi="Times New Roman" w:cs="Times New Roman"/>
                <w:szCs w:val="24"/>
              </w:rPr>
            </w:pPr>
            <w:r w:rsidRPr="00E41C5B">
              <w:rPr>
                <w:rFonts w:ascii="Times New Roman" w:hAnsi="Times New Roman" w:cs="Times New Roman"/>
                <w:szCs w:val="24"/>
              </w:rPr>
              <w:t>April 1, 1967</w:t>
            </w:r>
          </w:p>
        </w:tc>
        <w:tc>
          <w:tcPr>
            <w:tcW w:w="0" w:type="auto"/>
            <w:gridSpan w:val="2"/>
            <w:vAlign w:val="center"/>
            <w:hideMark/>
          </w:tcPr>
          <w:p w14:paraId="7BD8EB3F" w14:textId="42F2C69E" w:rsidR="00E41C5B" w:rsidRPr="00E41C5B" w:rsidRDefault="00E41C5B" w:rsidP="002C594B">
            <w:pPr>
              <w:pStyle w:val="NoSpacing"/>
              <w:jc w:val="center"/>
              <w:rPr>
                <w:rFonts w:ascii="Times New Roman" w:hAnsi="Times New Roman" w:cs="Times New Roman"/>
                <w:szCs w:val="24"/>
              </w:rPr>
            </w:pPr>
            <w:r w:rsidRPr="00E41C5B">
              <w:rPr>
                <w:rFonts w:ascii="Times New Roman" w:hAnsi="Times New Roman" w:cs="Times New Roman"/>
                <w:szCs w:val="24"/>
              </w:rPr>
              <w:t>Loss in revenue is merely notional.</w:t>
            </w:r>
          </w:p>
        </w:tc>
      </w:tr>
      <w:tr w:rsidR="00EB0BC0" w:rsidRPr="00A85D2D" w14:paraId="3CD450DB" w14:textId="77777777" w:rsidTr="002C594B">
        <w:trPr>
          <w:trHeight w:val="372"/>
        </w:trPr>
        <w:tc>
          <w:tcPr>
            <w:tcW w:w="0" w:type="auto"/>
            <w:gridSpan w:val="4"/>
            <w:vAlign w:val="center"/>
            <w:hideMark/>
          </w:tcPr>
          <w:p w14:paraId="7B9C78D4" w14:textId="77777777" w:rsidR="00EB0BC0" w:rsidRPr="00E41C5B" w:rsidRDefault="00EB0BC0" w:rsidP="002C594B">
            <w:pPr>
              <w:pStyle w:val="NoSpacing"/>
              <w:rPr>
                <w:rFonts w:ascii="Times New Roman" w:hAnsi="Times New Roman" w:cs="Times New Roman"/>
                <w:szCs w:val="24"/>
              </w:rPr>
            </w:pPr>
            <w:r w:rsidRPr="00E41C5B">
              <w:rPr>
                <w:rFonts w:ascii="Times New Roman" w:hAnsi="Times New Roman" w:cs="Times New Roman"/>
                <w:szCs w:val="24"/>
              </w:rPr>
              <w:t>5. Punjab</w:t>
            </w:r>
          </w:p>
        </w:tc>
      </w:tr>
      <w:tr w:rsidR="00EB0BC0" w:rsidRPr="00A85D2D" w14:paraId="19D6D0E6" w14:textId="77777777" w:rsidTr="002C594B">
        <w:trPr>
          <w:trHeight w:val="1072"/>
        </w:trPr>
        <w:tc>
          <w:tcPr>
            <w:tcW w:w="0" w:type="auto"/>
            <w:hideMark/>
          </w:tcPr>
          <w:p w14:paraId="382EB481" w14:textId="77777777" w:rsidR="00EB0BC0" w:rsidRPr="00E41C5B" w:rsidRDefault="00EB0BC0" w:rsidP="00B77C0B">
            <w:pPr>
              <w:pStyle w:val="NoSpacing"/>
              <w:rPr>
                <w:rFonts w:ascii="Times New Roman" w:hAnsi="Times New Roman" w:cs="Times New Roman"/>
                <w:szCs w:val="24"/>
              </w:rPr>
            </w:pPr>
            <w:r w:rsidRPr="00E41C5B">
              <w:rPr>
                <w:rFonts w:ascii="Times New Roman" w:hAnsi="Times New Roman" w:cs="Times New Roman"/>
                <w:szCs w:val="24"/>
              </w:rPr>
              <w:t>(i) Exemption to the agricultural land in the rating areas from the payment of Punjab Immovable property tax</w:t>
            </w:r>
          </w:p>
        </w:tc>
        <w:tc>
          <w:tcPr>
            <w:tcW w:w="0" w:type="auto"/>
            <w:vAlign w:val="center"/>
            <w:hideMark/>
          </w:tcPr>
          <w:p w14:paraId="72CF959F" w14:textId="77777777" w:rsidR="00EB0BC0" w:rsidRPr="00E41C5B" w:rsidRDefault="00EB0BC0" w:rsidP="002C594B">
            <w:pPr>
              <w:pStyle w:val="NoSpacing"/>
              <w:rPr>
                <w:rFonts w:ascii="Times New Roman" w:hAnsi="Times New Roman" w:cs="Times New Roman"/>
                <w:szCs w:val="24"/>
              </w:rPr>
            </w:pPr>
            <w:r w:rsidRPr="00E41C5B">
              <w:rPr>
                <w:rFonts w:ascii="Times New Roman" w:hAnsi="Times New Roman" w:cs="Times New Roman"/>
                <w:szCs w:val="24"/>
              </w:rPr>
              <w:t>1966-67</w:t>
            </w:r>
          </w:p>
        </w:tc>
        <w:tc>
          <w:tcPr>
            <w:tcW w:w="0" w:type="auto"/>
            <w:vAlign w:val="center"/>
            <w:hideMark/>
          </w:tcPr>
          <w:p w14:paraId="20ABF005" w14:textId="77777777" w:rsidR="00EB0BC0" w:rsidRPr="00E41C5B" w:rsidRDefault="00EB0BC0" w:rsidP="002C594B">
            <w:pPr>
              <w:pStyle w:val="NoSpacing"/>
              <w:jc w:val="center"/>
              <w:rPr>
                <w:rFonts w:ascii="Times New Roman" w:hAnsi="Times New Roman" w:cs="Times New Roman"/>
                <w:szCs w:val="24"/>
              </w:rPr>
            </w:pPr>
            <w:r w:rsidRPr="00E41C5B">
              <w:rPr>
                <w:rFonts w:ascii="Times New Roman" w:hAnsi="Times New Roman" w:cs="Times New Roman"/>
                <w:szCs w:val="24"/>
              </w:rPr>
              <w:t>0.05</w:t>
            </w:r>
          </w:p>
        </w:tc>
        <w:tc>
          <w:tcPr>
            <w:tcW w:w="0" w:type="auto"/>
            <w:vAlign w:val="center"/>
            <w:hideMark/>
          </w:tcPr>
          <w:p w14:paraId="7F23C202" w14:textId="77777777" w:rsidR="00EB0BC0" w:rsidRPr="00E41C5B" w:rsidRDefault="00EB0BC0" w:rsidP="002C594B">
            <w:pPr>
              <w:pStyle w:val="NoSpacing"/>
              <w:jc w:val="center"/>
              <w:rPr>
                <w:rFonts w:ascii="Times New Roman" w:hAnsi="Times New Roman" w:cs="Times New Roman"/>
                <w:szCs w:val="24"/>
              </w:rPr>
            </w:pPr>
            <w:r w:rsidRPr="00E41C5B">
              <w:rPr>
                <w:rFonts w:ascii="Times New Roman" w:hAnsi="Times New Roman" w:cs="Times New Roman"/>
                <w:szCs w:val="24"/>
              </w:rPr>
              <w:t>0.25</w:t>
            </w:r>
          </w:p>
        </w:tc>
      </w:tr>
    </w:tbl>
    <w:p w14:paraId="6118B8EE" w14:textId="77777777" w:rsidR="00EB0BC0" w:rsidRPr="007245B0" w:rsidRDefault="00EB0BC0" w:rsidP="00A85D2D">
      <w:pPr>
        <w:pStyle w:val="Sources"/>
      </w:pPr>
      <w:r w:rsidRPr="007245B0">
        <w:t>Note:</w:t>
      </w:r>
    </w:p>
    <w:p w14:paraId="0C7B7734" w14:textId="77777777" w:rsidR="00EB0BC0" w:rsidRPr="007245B0" w:rsidRDefault="00EB0BC0" w:rsidP="00A85D2D">
      <w:pPr>
        <w:pStyle w:val="Sources"/>
      </w:pPr>
      <w:r w:rsidRPr="007245B0">
        <w:t>* There was concession in fees up to higher secondary level until 1st July, 1967 when this was withdrawn. In Punjab education is free up to middle standard for boys and up to high school for girls.</w:t>
      </w:r>
    </w:p>
    <w:p w14:paraId="7798B937" w14:textId="77777777" w:rsidR="00EB0BC0" w:rsidRPr="007245B0" w:rsidRDefault="00EB0BC0" w:rsidP="00EB0BC0">
      <w:pPr>
        <w:ind w:left="360"/>
        <w:jc w:val="both"/>
        <w:rPr>
          <w:rFonts w:ascii="Times New Roman" w:hAnsi="Times New Roman" w:cs="Times New Roman"/>
          <w:szCs w:val="24"/>
        </w:rPr>
      </w:pPr>
    </w:p>
    <w:p w14:paraId="266ECBAD" w14:textId="5D526F3E" w:rsidR="006B26D2" w:rsidRPr="007245B0" w:rsidRDefault="00574BCE" w:rsidP="00A85D2D">
      <w:pPr>
        <w:jc w:val="center"/>
        <w:rPr>
          <w:rFonts w:ascii="Times New Roman" w:hAnsi="Times New Roman" w:cs="Times New Roman"/>
          <w:szCs w:val="24"/>
        </w:rPr>
      </w:pPr>
      <w:r>
        <w:rPr>
          <w:rFonts w:ascii="Times New Roman" w:hAnsi="Times New Roman" w:cs="Times New Roman"/>
          <w:b/>
          <w:bCs/>
          <w:szCs w:val="24"/>
        </w:rPr>
        <w:lastRenderedPageBreak/>
        <w:t>Table</w:t>
      </w:r>
      <w:r w:rsidR="006B26D2" w:rsidRPr="007245B0">
        <w:rPr>
          <w:rFonts w:ascii="Times New Roman" w:hAnsi="Times New Roman" w:cs="Times New Roman"/>
          <w:b/>
          <w:bCs/>
          <w:szCs w:val="24"/>
        </w:rPr>
        <w:t xml:space="preserve"> 28: Estimated loss of revenue over the 5-year period 1969-70 to 1973-74 from abolition of taxes other than land revenue or concession given during 1966-67 to 1968-69—concld.</w:t>
      </w:r>
    </w:p>
    <w:tbl>
      <w:tblPr>
        <w:tblStyle w:val="TableGrid"/>
        <w:tblW w:w="10458" w:type="dxa"/>
        <w:jc w:val="center"/>
        <w:tblLook w:val="04A0" w:firstRow="1" w:lastRow="0" w:firstColumn="1" w:lastColumn="0" w:noHBand="0" w:noVBand="1"/>
      </w:tblPr>
      <w:tblGrid>
        <w:gridCol w:w="5287"/>
        <w:gridCol w:w="2452"/>
        <w:gridCol w:w="1231"/>
        <w:gridCol w:w="1488"/>
      </w:tblGrid>
      <w:tr w:rsidR="00B43C5B" w:rsidRPr="00A85D2D" w14:paraId="4E6A3232" w14:textId="77777777" w:rsidTr="002C594B">
        <w:trPr>
          <w:trHeight w:val="943"/>
          <w:jc w:val="center"/>
        </w:trPr>
        <w:tc>
          <w:tcPr>
            <w:tcW w:w="0" w:type="auto"/>
            <w:vMerge w:val="restart"/>
            <w:vAlign w:val="center"/>
            <w:hideMark/>
          </w:tcPr>
          <w:p w14:paraId="038873C8" w14:textId="77777777" w:rsidR="00B43C5B" w:rsidRPr="002C594B" w:rsidRDefault="00B43C5B" w:rsidP="002C594B">
            <w:pPr>
              <w:pStyle w:val="NoSpacing"/>
              <w:jc w:val="center"/>
              <w:rPr>
                <w:rFonts w:ascii="Times New Roman" w:hAnsi="Times New Roman" w:cs="Times New Roman"/>
                <w:b/>
                <w:bCs/>
                <w:szCs w:val="24"/>
              </w:rPr>
            </w:pPr>
            <w:r w:rsidRPr="002C594B">
              <w:rPr>
                <w:rFonts w:ascii="Times New Roman" w:hAnsi="Times New Roman" w:cs="Times New Roman"/>
                <w:b/>
                <w:bCs/>
                <w:szCs w:val="24"/>
              </w:rPr>
              <w:t>States/Measures</w:t>
            </w:r>
          </w:p>
        </w:tc>
        <w:tc>
          <w:tcPr>
            <w:tcW w:w="0" w:type="auto"/>
            <w:vMerge w:val="restart"/>
            <w:vAlign w:val="center"/>
            <w:hideMark/>
          </w:tcPr>
          <w:p w14:paraId="24CE8185" w14:textId="77777777" w:rsidR="00B43C5B" w:rsidRPr="002C594B" w:rsidRDefault="00B43C5B" w:rsidP="002C594B">
            <w:pPr>
              <w:pStyle w:val="NoSpacing"/>
              <w:jc w:val="center"/>
              <w:rPr>
                <w:rFonts w:ascii="Times New Roman" w:hAnsi="Times New Roman" w:cs="Times New Roman"/>
                <w:b/>
                <w:bCs/>
                <w:szCs w:val="24"/>
              </w:rPr>
            </w:pPr>
            <w:r w:rsidRPr="002C594B">
              <w:rPr>
                <w:rFonts w:ascii="Times New Roman" w:hAnsi="Times New Roman" w:cs="Times New Roman"/>
                <w:b/>
                <w:bCs/>
                <w:szCs w:val="24"/>
              </w:rPr>
              <w:t>Year of abolition/concession</w:t>
            </w:r>
          </w:p>
        </w:tc>
        <w:tc>
          <w:tcPr>
            <w:tcW w:w="0" w:type="auto"/>
            <w:gridSpan w:val="2"/>
            <w:vAlign w:val="center"/>
            <w:hideMark/>
          </w:tcPr>
          <w:p w14:paraId="6C1A7793" w14:textId="4286C726" w:rsidR="00B43C5B" w:rsidRPr="002C594B" w:rsidRDefault="00B43C5B" w:rsidP="002C594B">
            <w:pPr>
              <w:pStyle w:val="NoSpacing"/>
              <w:jc w:val="center"/>
              <w:rPr>
                <w:rFonts w:ascii="Times New Roman" w:hAnsi="Times New Roman" w:cs="Times New Roman"/>
                <w:b/>
                <w:bCs/>
                <w:szCs w:val="24"/>
              </w:rPr>
            </w:pPr>
            <w:r w:rsidRPr="002C594B">
              <w:rPr>
                <w:rFonts w:ascii="Times New Roman" w:hAnsi="Times New Roman" w:cs="Times New Roman"/>
                <w:b/>
                <w:bCs/>
                <w:szCs w:val="24"/>
              </w:rPr>
              <w:t>Estimated loss of revenue</w:t>
            </w:r>
          </w:p>
        </w:tc>
      </w:tr>
      <w:tr w:rsidR="006B26D2" w:rsidRPr="00A85D2D" w14:paraId="2F8435FE" w14:textId="77777777" w:rsidTr="002C594B">
        <w:trPr>
          <w:trHeight w:val="659"/>
          <w:jc w:val="center"/>
        </w:trPr>
        <w:tc>
          <w:tcPr>
            <w:tcW w:w="0" w:type="auto"/>
            <w:vMerge/>
            <w:vAlign w:val="center"/>
          </w:tcPr>
          <w:p w14:paraId="5B14824D" w14:textId="77777777" w:rsidR="006B26D2" w:rsidRPr="002C594B" w:rsidRDefault="006B26D2" w:rsidP="002C594B">
            <w:pPr>
              <w:pStyle w:val="NoSpacing"/>
              <w:jc w:val="center"/>
              <w:rPr>
                <w:rFonts w:ascii="Times New Roman" w:hAnsi="Times New Roman" w:cs="Times New Roman"/>
                <w:b/>
                <w:bCs/>
                <w:szCs w:val="24"/>
              </w:rPr>
            </w:pPr>
          </w:p>
        </w:tc>
        <w:tc>
          <w:tcPr>
            <w:tcW w:w="0" w:type="auto"/>
            <w:vMerge/>
            <w:vAlign w:val="center"/>
          </w:tcPr>
          <w:p w14:paraId="3CD7B185" w14:textId="77777777" w:rsidR="006B26D2" w:rsidRPr="002C594B" w:rsidRDefault="006B26D2" w:rsidP="002C594B">
            <w:pPr>
              <w:pStyle w:val="NoSpacing"/>
              <w:jc w:val="center"/>
              <w:rPr>
                <w:rFonts w:ascii="Times New Roman" w:hAnsi="Times New Roman" w:cs="Times New Roman"/>
                <w:b/>
                <w:bCs/>
                <w:szCs w:val="24"/>
              </w:rPr>
            </w:pPr>
          </w:p>
        </w:tc>
        <w:tc>
          <w:tcPr>
            <w:tcW w:w="0" w:type="auto"/>
            <w:vAlign w:val="center"/>
          </w:tcPr>
          <w:p w14:paraId="39C20439" w14:textId="77777777" w:rsidR="006B26D2" w:rsidRPr="002C594B" w:rsidRDefault="006B26D2" w:rsidP="002C594B">
            <w:pPr>
              <w:pStyle w:val="NoSpacing"/>
              <w:jc w:val="center"/>
              <w:rPr>
                <w:rFonts w:ascii="Times New Roman" w:hAnsi="Times New Roman" w:cs="Times New Roman"/>
                <w:b/>
                <w:bCs/>
                <w:szCs w:val="24"/>
              </w:rPr>
            </w:pPr>
            <w:r w:rsidRPr="002C594B">
              <w:rPr>
                <w:rFonts w:ascii="Times New Roman" w:hAnsi="Times New Roman" w:cs="Times New Roman"/>
                <w:b/>
                <w:bCs/>
                <w:szCs w:val="24"/>
              </w:rPr>
              <w:t>1969-70 (Rs. crores)</w:t>
            </w:r>
          </w:p>
        </w:tc>
        <w:tc>
          <w:tcPr>
            <w:tcW w:w="0" w:type="auto"/>
            <w:vAlign w:val="center"/>
          </w:tcPr>
          <w:p w14:paraId="6328CE6E" w14:textId="77777777" w:rsidR="006B26D2" w:rsidRPr="002C594B" w:rsidRDefault="006B26D2" w:rsidP="002C594B">
            <w:pPr>
              <w:pStyle w:val="NoSpacing"/>
              <w:jc w:val="center"/>
              <w:rPr>
                <w:rFonts w:ascii="Times New Roman" w:hAnsi="Times New Roman" w:cs="Times New Roman"/>
                <w:b/>
                <w:bCs/>
                <w:szCs w:val="24"/>
              </w:rPr>
            </w:pPr>
            <w:r w:rsidRPr="002C594B">
              <w:rPr>
                <w:rFonts w:ascii="Times New Roman" w:hAnsi="Times New Roman" w:cs="Times New Roman"/>
                <w:b/>
                <w:bCs/>
                <w:szCs w:val="24"/>
              </w:rPr>
              <w:t>1969-70 to 1973-74 (Rs. crores)</w:t>
            </w:r>
          </w:p>
        </w:tc>
      </w:tr>
      <w:tr w:rsidR="006B26D2" w:rsidRPr="00A85D2D" w14:paraId="21D5E2E7" w14:textId="77777777" w:rsidTr="00A85D2D">
        <w:trPr>
          <w:trHeight w:val="264"/>
          <w:jc w:val="center"/>
        </w:trPr>
        <w:tc>
          <w:tcPr>
            <w:tcW w:w="0" w:type="auto"/>
          </w:tcPr>
          <w:p w14:paraId="7E18178D" w14:textId="77777777" w:rsidR="006B26D2" w:rsidRPr="00A85D2D" w:rsidRDefault="006B26D2" w:rsidP="00E97D64">
            <w:pPr>
              <w:pStyle w:val="NoSpacing"/>
              <w:jc w:val="center"/>
              <w:rPr>
                <w:rFonts w:ascii="Times New Roman" w:hAnsi="Times New Roman" w:cs="Times New Roman"/>
                <w:szCs w:val="24"/>
              </w:rPr>
            </w:pPr>
            <w:r w:rsidRPr="00A85D2D">
              <w:rPr>
                <w:rFonts w:ascii="Times New Roman" w:hAnsi="Times New Roman" w:cs="Times New Roman"/>
                <w:szCs w:val="24"/>
              </w:rPr>
              <w:t>1</w:t>
            </w:r>
          </w:p>
        </w:tc>
        <w:tc>
          <w:tcPr>
            <w:tcW w:w="0" w:type="auto"/>
          </w:tcPr>
          <w:p w14:paraId="7D4C8AF5" w14:textId="77777777" w:rsidR="006B26D2" w:rsidRPr="00A85D2D" w:rsidRDefault="006B26D2" w:rsidP="00E97D64">
            <w:pPr>
              <w:pStyle w:val="NoSpacing"/>
              <w:jc w:val="center"/>
              <w:rPr>
                <w:rFonts w:ascii="Times New Roman" w:hAnsi="Times New Roman" w:cs="Times New Roman"/>
                <w:szCs w:val="24"/>
              </w:rPr>
            </w:pPr>
            <w:r w:rsidRPr="00A85D2D">
              <w:rPr>
                <w:rFonts w:ascii="Times New Roman" w:hAnsi="Times New Roman" w:cs="Times New Roman"/>
                <w:szCs w:val="24"/>
              </w:rPr>
              <w:t>2</w:t>
            </w:r>
          </w:p>
        </w:tc>
        <w:tc>
          <w:tcPr>
            <w:tcW w:w="0" w:type="auto"/>
          </w:tcPr>
          <w:p w14:paraId="7C7BDA40" w14:textId="77777777" w:rsidR="006B26D2" w:rsidRPr="00A85D2D" w:rsidRDefault="006B26D2" w:rsidP="00E97D64">
            <w:pPr>
              <w:pStyle w:val="NoSpacing"/>
              <w:jc w:val="center"/>
              <w:rPr>
                <w:rFonts w:ascii="Times New Roman" w:hAnsi="Times New Roman" w:cs="Times New Roman"/>
                <w:szCs w:val="24"/>
              </w:rPr>
            </w:pPr>
            <w:r w:rsidRPr="00A85D2D">
              <w:rPr>
                <w:rFonts w:ascii="Times New Roman" w:hAnsi="Times New Roman" w:cs="Times New Roman"/>
                <w:szCs w:val="24"/>
              </w:rPr>
              <w:t>3</w:t>
            </w:r>
          </w:p>
        </w:tc>
        <w:tc>
          <w:tcPr>
            <w:tcW w:w="0" w:type="auto"/>
          </w:tcPr>
          <w:p w14:paraId="3670D631" w14:textId="77777777" w:rsidR="006B26D2" w:rsidRPr="00A85D2D" w:rsidRDefault="006B26D2" w:rsidP="00E97D64">
            <w:pPr>
              <w:pStyle w:val="NoSpacing"/>
              <w:jc w:val="center"/>
              <w:rPr>
                <w:rFonts w:ascii="Times New Roman" w:hAnsi="Times New Roman" w:cs="Times New Roman"/>
                <w:szCs w:val="24"/>
              </w:rPr>
            </w:pPr>
            <w:r w:rsidRPr="00A85D2D">
              <w:rPr>
                <w:rFonts w:ascii="Times New Roman" w:hAnsi="Times New Roman" w:cs="Times New Roman"/>
                <w:szCs w:val="24"/>
              </w:rPr>
              <w:t>4</w:t>
            </w:r>
          </w:p>
        </w:tc>
      </w:tr>
      <w:tr w:rsidR="006B26D2" w:rsidRPr="00A85D2D" w14:paraId="3DF6D1BD" w14:textId="77777777" w:rsidTr="00A85D2D">
        <w:trPr>
          <w:trHeight w:val="283"/>
          <w:jc w:val="center"/>
        </w:trPr>
        <w:tc>
          <w:tcPr>
            <w:tcW w:w="0" w:type="auto"/>
            <w:hideMark/>
          </w:tcPr>
          <w:p w14:paraId="256E8E3D" w14:textId="77777777" w:rsidR="006B26D2" w:rsidRPr="00A85D2D" w:rsidRDefault="006B26D2" w:rsidP="00B77C0B">
            <w:pPr>
              <w:pStyle w:val="NoSpacing"/>
              <w:rPr>
                <w:rFonts w:ascii="Times New Roman" w:hAnsi="Times New Roman" w:cs="Times New Roman"/>
                <w:szCs w:val="24"/>
              </w:rPr>
            </w:pPr>
            <w:r w:rsidRPr="00A85D2D">
              <w:rPr>
                <w:rFonts w:ascii="Times New Roman" w:hAnsi="Times New Roman" w:cs="Times New Roman"/>
                <w:szCs w:val="24"/>
              </w:rPr>
              <w:t>(ii) Abolition of Profession tax:</w:t>
            </w:r>
          </w:p>
        </w:tc>
        <w:tc>
          <w:tcPr>
            <w:tcW w:w="0" w:type="auto"/>
            <w:hideMark/>
          </w:tcPr>
          <w:p w14:paraId="1D53773B" w14:textId="77777777" w:rsidR="006B26D2" w:rsidRPr="00A85D2D" w:rsidRDefault="006B26D2" w:rsidP="00B77C0B">
            <w:pPr>
              <w:pStyle w:val="NoSpacing"/>
              <w:rPr>
                <w:rFonts w:ascii="Times New Roman" w:hAnsi="Times New Roman" w:cs="Times New Roman"/>
                <w:szCs w:val="24"/>
              </w:rPr>
            </w:pPr>
          </w:p>
        </w:tc>
        <w:tc>
          <w:tcPr>
            <w:tcW w:w="0" w:type="auto"/>
            <w:hideMark/>
          </w:tcPr>
          <w:p w14:paraId="2611C756" w14:textId="77777777" w:rsidR="006B26D2" w:rsidRPr="00A85D2D" w:rsidRDefault="006B26D2" w:rsidP="00B77C0B">
            <w:pPr>
              <w:pStyle w:val="NoSpacing"/>
              <w:rPr>
                <w:rFonts w:ascii="Times New Roman" w:hAnsi="Times New Roman" w:cs="Times New Roman"/>
                <w:szCs w:val="24"/>
              </w:rPr>
            </w:pPr>
          </w:p>
        </w:tc>
        <w:tc>
          <w:tcPr>
            <w:tcW w:w="0" w:type="auto"/>
            <w:hideMark/>
          </w:tcPr>
          <w:p w14:paraId="1318EADD" w14:textId="77777777" w:rsidR="006B26D2" w:rsidRPr="00A85D2D" w:rsidRDefault="006B26D2" w:rsidP="00B77C0B">
            <w:pPr>
              <w:pStyle w:val="NoSpacing"/>
              <w:rPr>
                <w:rFonts w:ascii="Times New Roman" w:hAnsi="Times New Roman" w:cs="Times New Roman"/>
                <w:szCs w:val="24"/>
              </w:rPr>
            </w:pPr>
          </w:p>
        </w:tc>
      </w:tr>
      <w:tr w:rsidR="006B26D2" w:rsidRPr="00A85D2D" w14:paraId="4D22260F" w14:textId="77777777" w:rsidTr="00A85D2D">
        <w:trPr>
          <w:trHeight w:val="283"/>
          <w:jc w:val="center"/>
        </w:trPr>
        <w:tc>
          <w:tcPr>
            <w:tcW w:w="0" w:type="auto"/>
            <w:hideMark/>
          </w:tcPr>
          <w:p w14:paraId="40D91501" w14:textId="77777777" w:rsidR="006B26D2" w:rsidRPr="00A85D2D" w:rsidRDefault="006B26D2" w:rsidP="002C594B">
            <w:pPr>
              <w:pStyle w:val="NoSpacing"/>
              <w:ind w:left="720"/>
              <w:rPr>
                <w:rFonts w:ascii="Times New Roman" w:hAnsi="Times New Roman" w:cs="Times New Roman"/>
                <w:szCs w:val="24"/>
              </w:rPr>
            </w:pPr>
            <w:r w:rsidRPr="00A85D2D">
              <w:rPr>
                <w:rFonts w:ascii="Times New Roman" w:hAnsi="Times New Roman" w:cs="Times New Roman"/>
                <w:szCs w:val="24"/>
              </w:rPr>
              <w:t>(a) levied by the State Government*</w:t>
            </w:r>
          </w:p>
        </w:tc>
        <w:tc>
          <w:tcPr>
            <w:tcW w:w="0" w:type="auto"/>
            <w:hideMark/>
          </w:tcPr>
          <w:p w14:paraId="63079CEE" w14:textId="77777777" w:rsidR="006B26D2" w:rsidRPr="00A85D2D" w:rsidRDefault="006B26D2" w:rsidP="00B77C0B">
            <w:pPr>
              <w:pStyle w:val="NoSpacing"/>
              <w:rPr>
                <w:rFonts w:ascii="Times New Roman" w:hAnsi="Times New Roman" w:cs="Times New Roman"/>
                <w:szCs w:val="24"/>
              </w:rPr>
            </w:pPr>
            <w:r w:rsidRPr="00A85D2D">
              <w:rPr>
                <w:rFonts w:ascii="Times New Roman" w:hAnsi="Times New Roman" w:cs="Times New Roman"/>
                <w:szCs w:val="24"/>
              </w:rPr>
              <w:t>1967-68</w:t>
            </w:r>
          </w:p>
        </w:tc>
        <w:tc>
          <w:tcPr>
            <w:tcW w:w="0" w:type="auto"/>
            <w:hideMark/>
          </w:tcPr>
          <w:p w14:paraId="361C40EF" w14:textId="77777777" w:rsidR="006B26D2" w:rsidRPr="00A85D2D" w:rsidRDefault="006B26D2" w:rsidP="00B77C0B">
            <w:pPr>
              <w:pStyle w:val="NoSpacing"/>
              <w:rPr>
                <w:rFonts w:ascii="Times New Roman" w:hAnsi="Times New Roman" w:cs="Times New Roman"/>
                <w:szCs w:val="24"/>
              </w:rPr>
            </w:pPr>
            <w:r w:rsidRPr="00A85D2D">
              <w:rPr>
                <w:rFonts w:ascii="Times New Roman" w:hAnsi="Times New Roman" w:cs="Times New Roman"/>
                <w:szCs w:val="24"/>
              </w:rPr>
              <w:t>0.51</w:t>
            </w:r>
          </w:p>
        </w:tc>
        <w:tc>
          <w:tcPr>
            <w:tcW w:w="0" w:type="auto"/>
            <w:hideMark/>
          </w:tcPr>
          <w:p w14:paraId="74F3EEEE" w14:textId="77777777" w:rsidR="006B26D2" w:rsidRPr="00A85D2D" w:rsidRDefault="006B26D2" w:rsidP="00B77C0B">
            <w:pPr>
              <w:pStyle w:val="NoSpacing"/>
              <w:rPr>
                <w:rFonts w:ascii="Times New Roman" w:hAnsi="Times New Roman" w:cs="Times New Roman"/>
                <w:szCs w:val="24"/>
              </w:rPr>
            </w:pPr>
            <w:r w:rsidRPr="00A85D2D">
              <w:rPr>
                <w:rFonts w:ascii="Times New Roman" w:hAnsi="Times New Roman" w:cs="Times New Roman"/>
                <w:szCs w:val="24"/>
              </w:rPr>
              <w:t>2.75</w:t>
            </w:r>
          </w:p>
        </w:tc>
      </w:tr>
      <w:tr w:rsidR="006B26D2" w:rsidRPr="00A85D2D" w14:paraId="16E0B306" w14:textId="77777777" w:rsidTr="00A85D2D">
        <w:trPr>
          <w:trHeight w:val="578"/>
          <w:jc w:val="center"/>
        </w:trPr>
        <w:tc>
          <w:tcPr>
            <w:tcW w:w="0" w:type="auto"/>
            <w:hideMark/>
          </w:tcPr>
          <w:p w14:paraId="321AE232" w14:textId="77777777" w:rsidR="006B26D2" w:rsidRPr="00A85D2D" w:rsidRDefault="006B26D2" w:rsidP="002C594B">
            <w:pPr>
              <w:pStyle w:val="NoSpacing"/>
              <w:ind w:left="720"/>
              <w:rPr>
                <w:rFonts w:ascii="Times New Roman" w:hAnsi="Times New Roman" w:cs="Times New Roman"/>
                <w:szCs w:val="24"/>
              </w:rPr>
            </w:pPr>
            <w:r w:rsidRPr="00A85D2D">
              <w:rPr>
                <w:rFonts w:ascii="Times New Roman" w:hAnsi="Times New Roman" w:cs="Times New Roman"/>
                <w:szCs w:val="24"/>
              </w:rPr>
              <w:t>(b) levied by the Panchayat Samities &amp; other local bodies</w:t>
            </w:r>
          </w:p>
        </w:tc>
        <w:tc>
          <w:tcPr>
            <w:tcW w:w="0" w:type="auto"/>
            <w:hideMark/>
          </w:tcPr>
          <w:p w14:paraId="4C645C59" w14:textId="77777777" w:rsidR="006B26D2" w:rsidRPr="00A85D2D" w:rsidRDefault="006B26D2" w:rsidP="00B77C0B">
            <w:pPr>
              <w:pStyle w:val="NoSpacing"/>
              <w:rPr>
                <w:rFonts w:ascii="Times New Roman" w:hAnsi="Times New Roman" w:cs="Times New Roman"/>
                <w:szCs w:val="24"/>
              </w:rPr>
            </w:pPr>
            <w:r w:rsidRPr="00A85D2D">
              <w:rPr>
                <w:rFonts w:ascii="Times New Roman" w:hAnsi="Times New Roman" w:cs="Times New Roman"/>
                <w:szCs w:val="24"/>
              </w:rPr>
              <w:t>1967-68</w:t>
            </w:r>
          </w:p>
        </w:tc>
        <w:tc>
          <w:tcPr>
            <w:tcW w:w="0" w:type="auto"/>
            <w:hideMark/>
          </w:tcPr>
          <w:p w14:paraId="4137A769" w14:textId="77777777" w:rsidR="006B26D2" w:rsidRPr="00A85D2D" w:rsidRDefault="006B26D2" w:rsidP="00B77C0B">
            <w:pPr>
              <w:pStyle w:val="NoSpacing"/>
              <w:rPr>
                <w:rFonts w:ascii="Times New Roman" w:hAnsi="Times New Roman" w:cs="Times New Roman"/>
                <w:szCs w:val="24"/>
              </w:rPr>
            </w:pPr>
            <w:r w:rsidRPr="00A85D2D">
              <w:rPr>
                <w:rFonts w:ascii="Times New Roman" w:hAnsi="Times New Roman" w:cs="Times New Roman"/>
                <w:szCs w:val="24"/>
              </w:rPr>
              <w:t>0.35</w:t>
            </w:r>
          </w:p>
        </w:tc>
        <w:tc>
          <w:tcPr>
            <w:tcW w:w="0" w:type="auto"/>
            <w:hideMark/>
          </w:tcPr>
          <w:p w14:paraId="0F1E4243" w14:textId="77777777" w:rsidR="006B26D2" w:rsidRPr="00A85D2D" w:rsidRDefault="006B26D2" w:rsidP="00B77C0B">
            <w:pPr>
              <w:pStyle w:val="NoSpacing"/>
              <w:rPr>
                <w:rFonts w:ascii="Times New Roman" w:hAnsi="Times New Roman" w:cs="Times New Roman"/>
                <w:szCs w:val="24"/>
              </w:rPr>
            </w:pPr>
            <w:r w:rsidRPr="00A85D2D">
              <w:rPr>
                <w:rFonts w:ascii="Times New Roman" w:hAnsi="Times New Roman" w:cs="Times New Roman"/>
                <w:szCs w:val="24"/>
              </w:rPr>
              <w:t>1.85</w:t>
            </w:r>
          </w:p>
        </w:tc>
      </w:tr>
      <w:tr w:rsidR="006B26D2" w:rsidRPr="00A85D2D" w14:paraId="79E0E37A" w14:textId="77777777" w:rsidTr="00A85D2D">
        <w:trPr>
          <w:trHeight w:val="566"/>
          <w:jc w:val="center"/>
        </w:trPr>
        <w:tc>
          <w:tcPr>
            <w:tcW w:w="0" w:type="auto"/>
            <w:hideMark/>
          </w:tcPr>
          <w:p w14:paraId="4540A6E0" w14:textId="77777777" w:rsidR="006B26D2" w:rsidRPr="00A85D2D" w:rsidRDefault="006B26D2" w:rsidP="00B77C0B">
            <w:pPr>
              <w:pStyle w:val="NoSpacing"/>
              <w:rPr>
                <w:rFonts w:ascii="Times New Roman" w:hAnsi="Times New Roman" w:cs="Times New Roman"/>
                <w:szCs w:val="24"/>
              </w:rPr>
            </w:pPr>
            <w:r w:rsidRPr="00A85D2D">
              <w:rPr>
                <w:rFonts w:ascii="Times New Roman" w:hAnsi="Times New Roman" w:cs="Times New Roman"/>
                <w:szCs w:val="24"/>
              </w:rPr>
              <w:t>(iii) Abolition of property tax levied by the State Government†</w:t>
            </w:r>
          </w:p>
        </w:tc>
        <w:tc>
          <w:tcPr>
            <w:tcW w:w="0" w:type="auto"/>
            <w:hideMark/>
          </w:tcPr>
          <w:p w14:paraId="5C4EB3F8" w14:textId="77777777" w:rsidR="006B26D2" w:rsidRPr="00A85D2D" w:rsidRDefault="006B26D2" w:rsidP="00B77C0B">
            <w:pPr>
              <w:pStyle w:val="NoSpacing"/>
              <w:rPr>
                <w:rFonts w:ascii="Times New Roman" w:hAnsi="Times New Roman" w:cs="Times New Roman"/>
                <w:szCs w:val="24"/>
              </w:rPr>
            </w:pPr>
            <w:r w:rsidRPr="00A85D2D">
              <w:rPr>
                <w:rFonts w:ascii="Times New Roman" w:hAnsi="Times New Roman" w:cs="Times New Roman"/>
                <w:szCs w:val="24"/>
              </w:rPr>
              <w:t>1967-68</w:t>
            </w:r>
          </w:p>
        </w:tc>
        <w:tc>
          <w:tcPr>
            <w:tcW w:w="0" w:type="auto"/>
            <w:hideMark/>
          </w:tcPr>
          <w:p w14:paraId="525B0DB4" w14:textId="77777777" w:rsidR="006B26D2" w:rsidRPr="00A85D2D" w:rsidRDefault="006B26D2" w:rsidP="00B77C0B">
            <w:pPr>
              <w:pStyle w:val="NoSpacing"/>
              <w:rPr>
                <w:rFonts w:ascii="Times New Roman" w:hAnsi="Times New Roman" w:cs="Times New Roman"/>
                <w:szCs w:val="24"/>
              </w:rPr>
            </w:pPr>
            <w:r w:rsidRPr="00A85D2D">
              <w:rPr>
                <w:rFonts w:ascii="Times New Roman" w:hAnsi="Times New Roman" w:cs="Times New Roman"/>
                <w:szCs w:val="24"/>
              </w:rPr>
              <w:t>0.20</w:t>
            </w:r>
          </w:p>
        </w:tc>
        <w:tc>
          <w:tcPr>
            <w:tcW w:w="0" w:type="auto"/>
            <w:hideMark/>
          </w:tcPr>
          <w:p w14:paraId="0A299FB7" w14:textId="77777777" w:rsidR="006B26D2" w:rsidRPr="00A85D2D" w:rsidRDefault="006B26D2" w:rsidP="00B77C0B">
            <w:pPr>
              <w:pStyle w:val="NoSpacing"/>
              <w:rPr>
                <w:rFonts w:ascii="Times New Roman" w:hAnsi="Times New Roman" w:cs="Times New Roman"/>
                <w:szCs w:val="24"/>
              </w:rPr>
            </w:pPr>
            <w:r w:rsidRPr="00A85D2D">
              <w:rPr>
                <w:rFonts w:ascii="Times New Roman" w:hAnsi="Times New Roman" w:cs="Times New Roman"/>
                <w:szCs w:val="24"/>
              </w:rPr>
              <w:t>1.10</w:t>
            </w:r>
          </w:p>
        </w:tc>
      </w:tr>
      <w:tr w:rsidR="006B26D2" w:rsidRPr="00A85D2D" w14:paraId="4ED8225E" w14:textId="77777777" w:rsidTr="00A85D2D">
        <w:trPr>
          <w:trHeight w:val="294"/>
          <w:jc w:val="center"/>
        </w:trPr>
        <w:tc>
          <w:tcPr>
            <w:tcW w:w="0" w:type="auto"/>
            <w:hideMark/>
          </w:tcPr>
          <w:p w14:paraId="4383C1C5" w14:textId="77777777" w:rsidR="006B26D2" w:rsidRPr="00A85D2D" w:rsidRDefault="006B26D2" w:rsidP="00B77C0B">
            <w:pPr>
              <w:pStyle w:val="NoSpacing"/>
              <w:rPr>
                <w:rFonts w:ascii="Times New Roman" w:hAnsi="Times New Roman" w:cs="Times New Roman"/>
                <w:szCs w:val="24"/>
              </w:rPr>
            </w:pPr>
            <w:r w:rsidRPr="00A85D2D">
              <w:rPr>
                <w:rFonts w:ascii="Times New Roman" w:hAnsi="Times New Roman" w:cs="Times New Roman"/>
                <w:szCs w:val="24"/>
              </w:rPr>
              <w:t>(iv) Suspension of betterment levy</w:t>
            </w:r>
          </w:p>
        </w:tc>
        <w:tc>
          <w:tcPr>
            <w:tcW w:w="0" w:type="auto"/>
            <w:hideMark/>
          </w:tcPr>
          <w:p w14:paraId="30AD858C" w14:textId="77777777" w:rsidR="006B26D2" w:rsidRPr="00A85D2D" w:rsidRDefault="006B26D2" w:rsidP="00B77C0B">
            <w:pPr>
              <w:pStyle w:val="NoSpacing"/>
              <w:rPr>
                <w:rFonts w:ascii="Times New Roman" w:hAnsi="Times New Roman" w:cs="Times New Roman"/>
                <w:szCs w:val="24"/>
              </w:rPr>
            </w:pPr>
            <w:r w:rsidRPr="00A85D2D">
              <w:rPr>
                <w:rFonts w:ascii="Times New Roman" w:hAnsi="Times New Roman" w:cs="Times New Roman"/>
                <w:szCs w:val="24"/>
              </w:rPr>
              <w:t>1967-68</w:t>
            </w:r>
          </w:p>
        </w:tc>
        <w:tc>
          <w:tcPr>
            <w:tcW w:w="0" w:type="auto"/>
            <w:hideMark/>
          </w:tcPr>
          <w:p w14:paraId="0BE923AE" w14:textId="77777777" w:rsidR="006B26D2" w:rsidRPr="00A85D2D" w:rsidRDefault="006B26D2" w:rsidP="00B77C0B">
            <w:pPr>
              <w:pStyle w:val="NoSpacing"/>
              <w:rPr>
                <w:rFonts w:ascii="Times New Roman" w:hAnsi="Times New Roman" w:cs="Times New Roman"/>
                <w:szCs w:val="24"/>
              </w:rPr>
            </w:pPr>
            <w:r w:rsidRPr="00A85D2D">
              <w:rPr>
                <w:rFonts w:ascii="Times New Roman" w:hAnsi="Times New Roman" w:cs="Times New Roman"/>
                <w:szCs w:val="24"/>
              </w:rPr>
              <w:t>0.74</w:t>
            </w:r>
          </w:p>
        </w:tc>
        <w:tc>
          <w:tcPr>
            <w:tcW w:w="0" w:type="auto"/>
            <w:hideMark/>
          </w:tcPr>
          <w:p w14:paraId="0A0A7932" w14:textId="77777777" w:rsidR="006B26D2" w:rsidRPr="00A85D2D" w:rsidRDefault="006B26D2" w:rsidP="00B77C0B">
            <w:pPr>
              <w:pStyle w:val="NoSpacing"/>
              <w:rPr>
                <w:rFonts w:ascii="Times New Roman" w:hAnsi="Times New Roman" w:cs="Times New Roman"/>
                <w:szCs w:val="24"/>
              </w:rPr>
            </w:pPr>
            <w:r w:rsidRPr="00A85D2D">
              <w:rPr>
                <w:rFonts w:ascii="Times New Roman" w:hAnsi="Times New Roman" w:cs="Times New Roman"/>
                <w:szCs w:val="24"/>
              </w:rPr>
              <w:t>3.70</w:t>
            </w:r>
          </w:p>
        </w:tc>
      </w:tr>
      <w:tr w:rsidR="006B26D2" w:rsidRPr="00A85D2D" w14:paraId="608B452A" w14:textId="77777777" w:rsidTr="00A85D2D">
        <w:trPr>
          <w:trHeight w:val="283"/>
          <w:jc w:val="center"/>
        </w:trPr>
        <w:tc>
          <w:tcPr>
            <w:tcW w:w="0" w:type="auto"/>
            <w:hideMark/>
          </w:tcPr>
          <w:p w14:paraId="54AB5A9F" w14:textId="77777777" w:rsidR="006B26D2" w:rsidRPr="00A85D2D" w:rsidRDefault="006B26D2" w:rsidP="00E97D64">
            <w:pPr>
              <w:pStyle w:val="NoSpacing"/>
              <w:jc w:val="center"/>
              <w:rPr>
                <w:rFonts w:ascii="Times New Roman" w:hAnsi="Times New Roman" w:cs="Times New Roman"/>
                <w:szCs w:val="24"/>
              </w:rPr>
            </w:pPr>
            <w:r w:rsidRPr="00A85D2D">
              <w:rPr>
                <w:rFonts w:ascii="Times New Roman" w:hAnsi="Times New Roman" w:cs="Times New Roman"/>
                <w:szCs w:val="24"/>
              </w:rPr>
              <w:t>TOTAL</w:t>
            </w:r>
          </w:p>
        </w:tc>
        <w:tc>
          <w:tcPr>
            <w:tcW w:w="0" w:type="auto"/>
            <w:hideMark/>
          </w:tcPr>
          <w:p w14:paraId="4CC063DF" w14:textId="77777777" w:rsidR="006B26D2" w:rsidRPr="00A85D2D" w:rsidRDefault="006B26D2" w:rsidP="00B77C0B">
            <w:pPr>
              <w:pStyle w:val="NoSpacing"/>
              <w:rPr>
                <w:rFonts w:ascii="Times New Roman" w:hAnsi="Times New Roman" w:cs="Times New Roman"/>
                <w:szCs w:val="24"/>
              </w:rPr>
            </w:pPr>
          </w:p>
        </w:tc>
        <w:tc>
          <w:tcPr>
            <w:tcW w:w="0" w:type="auto"/>
            <w:hideMark/>
          </w:tcPr>
          <w:p w14:paraId="0BC44140" w14:textId="77777777" w:rsidR="006B26D2" w:rsidRPr="00A85D2D" w:rsidRDefault="006B26D2" w:rsidP="00B77C0B">
            <w:pPr>
              <w:pStyle w:val="NoSpacing"/>
              <w:rPr>
                <w:rFonts w:ascii="Times New Roman" w:hAnsi="Times New Roman" w:cs="Times New Roman"/>
                <w:szCs w:val="24"/>
              </w:rPr>
            </w:pPr>
            <w:r w:rsidRPr="00A85D2D">
              <w:rPr>
                <w:rFonts w:ascii="Times New Roman" w:hAnsi="Times New Roman" w:cs="Times New Roman"/>
                <w:szCs w:val="24"/>
              </w:rPr>
              <w:t>1.85</w:t>
            </w:r>
          </w:p>
        </w:tc>
        <w:tc>
          <w:tcPr>
            <w:tcW w:w="0" w:type="auto"/>
            <w:hideMark/>
          </w:tcPr>
          <w:p w14:paraId="0307E28F" w14:textId="77777777" w:rsidR="006B26D2" w:rsidRPr="00A85D2D" w:rsidRDefault="006B26D2" w:rsidP="00B77C0B">
            <w:pPr>
              <w:pStyle w:val="NoSpacing"/>
              <w:rPr>
                <w:rFonts w:ascii="Times New Roman" w:hAnsi="Times New Roman" w:cs="Times New Roman"/>
                <w:szCs w:val="24"/>
              </w:rPr>
            </w:pPr>
            <w:r w:rsidRPr="00A85D2D">
              <w:rPr>
                <w:rFonts w:ascii="Times New Roman" w:hAnsi="Times New Roman" w:cs="Times New Roman"/>
                <w:szCs w:val="24"/>
              </w:rPr>
              <w:t>9.65</w:t>
            </w:r>
          </w:p>
        </w:tc>
      </w:tr>
      <w:tr w:rsidR="006B26D2" w:rsidRPr="00A85D2D" w14:paraId="651A8B3E" w14:textId="77777777" w:rsidTr="00A85D2D">
        <w:trPr>
          <w:trHeight w:val="283"/>
          <w:jc w:val="center"/>
        </w:trPr>
        <w:tc>
          <w:tcPr>
            <w:tcW w:w="0" w:type="auto"/>
            <w:gridSpan w:val="4"/>
            <w:hideMark/>
          </w:tcPr>
          <w:p w14:paraId="59E94575" w14:textId="77777777" w:rsidR="006B26D2" w:rsidRPr="00A85D2D" w:rsidRDefault="006B26D2" w:rsidP="00B77C0B">
            <w:pPr>
              <w:pStyle w:val="NoSpacing"/>
              <w:rPr>
                <w:rFonts w:ascii="Times New Roman" w:hAnsi="Times New Roman" w:cs="Times New Roman"/>
                <w:szCs w:val="24"/>
              </w:rPr>
            </w:pPr>
            <w:r w:rsidRPr="00A85D2D">
              <w:rPr>
                <w:rFonts w:ascii="Times New Roman" w:hAnsi="Times New Roman" w:cs="Times New Roman"/>
                <w:szCs w:val="24"/>
              </w:rPr>
              <w:t>6. Rajasthan</w:t>
            </w:r>
          </w:p>
        </w:tc>
      </w:tr>
      <w:tr w:rsidR="006B26D2" w:rsidRPr="00A85D2D" w14:paraId="58CD9C7F" w14:textId="77777777" w:rsidTr="00A85D2D">
        <w:trPr>
          <w:trHeight w:val="861"/>
          <w:jc w:val="center"/>
        </w:trPr>
        <w:tc>
          <w:tcPr>
            <w:tcW w:w="0" w:type="auto"/>
            <w:hideMark/>
          </w:tcPr>
          <w:p w14:paraId="465CBF63" w14:textId="77777777" w:rsidR="006B26D2" w:rsidRPr="00A85D2D" w:rsidRDefault="006B26D2" w:rsidP="002C594B">
            <w:pPr>
              <w:pStyle w:val="NoSpacing"/>
              <w:ind w:left="720"/>
              <w:rPr>
                <w:rFonts w:ascii="Times New Roman" w:hAnsi="Times New Roman" w:cs="Times New Roman"/>
                <w:szCs w:val="24"/>
              </w:rPr>
            </w:pPr>
            <w:r w:rsidRPr="00A85D2D">
              <w:rPr>
                <w:rFonts w:ascii="Times New Roman" w:hAnsi="Times New Roman" w:cs="Times New Roman"/>
                <w:szCs w:val="24"/>
              </w:rPr>
              <w:t>Exemption from Electricity duty for an initial period of seven years to new industries or existing industries going in for exemption</w:t>
            </w:r>
          </w:p>
        </w:tc>
        <w:tc>
          <w:tcPr>
            <w:tcW w:w="0" w:type="auto"/>
            <w:hideMark/>
          </w:tcPr>
          <w:p w14:paraId="6F270816" w14:textId="77777777" w:rsidR="006B26D2" w:rsidRPr="00A85D2D" w:rsidRDefault="006B26D2" w:rsidP="00B77C0B">
            <w:pPr>
              <w:pStyle w:val="NoSpacing"/>
              <w:rPr>
                <w:rFonts w:ascii="Times New Roman" w:hAnsi="Times New Roman" w:cs="Times New Roman"/>
                <w:szCs w:val="24"/>
              </w:rPr>
            </w:pPr>
            <w:r w:rsidRPr="00A85D2D">
              <w:rPr>
                <w:rFonts w:ascii="Times New Roman" w:hAnsi="Times New Roman" w:cs="Times New Roman"/>
                <w:szCs w:val="24"/>
              </w:rPr>
              <w:t>March 8, 1968</w:t>
            </w:r>
          </w:p>
        </w:tc>
        <w:tc>
          <w:tcPr>
            <w:tcW w:w="0" w:type="auto"/>
            <w:hideMark/>
          </w:tcPr>
          <w:p w14:paraId="476E2D00" w14:textId="77777777" w:rsidR="006B26D2" w:rsidRPr="00A85D2D" w:rsidRDefault="006B26D2" w:rsidP="00B77C0B">
            <w:pPr>
              <w:pStyle w:val="NoSpacing"/>
              <w:rPr>
                <w:rFonts w:ascii="Times New Roman" w:hAnsi="Times New Roman" w:cs="Times New Roman"/>
                <w:szCs w:val="24"/>
              </w:rPr>
            </w:pPr>
            <w:r w:rsidRPr="00A85D2D">
              <w:rPr>
                <w:rFonts w:ascii="Times New Roman" w:hAnsi="Times New Roman" w:cs="Times New Roman"/>
                <w:szCs w:val="24"/>
              </w:rPr>
              <w:t>NA</w:t>
            </w:r>
          </w:p>
        </w:tc>
        <w:tc>
          <w:tcPr>
            <w:tcW w:w="0" w:type="auto"/>
            <w:hideMark/>
          </w:tcPr>
          <w:p w14:paraId="68C14053" w14:textId="77777777" w:rsidR="006B26D2" w:rsidRPr="00A85D2D" w:rsidRDefault="006B26D2" w:rsidP="00B77C0B">
            <w:pPr>
              <w:pStyle w:val="NoSpacing"/>
              <w:rPr>
                <w:rFonts w:ascii="Times New Roman" w:hAnsi="Times New Roman" w:cs="Times New Roman"/>
                <w:szCs w:val="24"/>
              </w:rPr>
            </w:pPr>
            <w:r w:rsidRPr="00A85D2D">
              <w:rPr>
                <w:rFonts w:ascii="Times New Roman" w:hAnsi="Times New Roman" w:cs="Times New Roman"/>
                <w:szCs w:val="24"/>
              </w:rPr>
              <w:t>NA</w:t>
            </w:r>
          </w:p>
        </w:tc>
      </w:tr>
      <w:tr w:rsidR="006B26D2" w:rsidRPr="00A85D2D" w14:paraId="1E88964D" w14:textId="77777777" w:rsidTr="00A85D2D">
        <w:trPr>
          <w:trHeight w:val="283"/>
          <w:jc w:val="center"/>
        </w:trPr>
        <w:tc>
          <w:tcPr>
            <w:tcW w:w="0" w:type="auto"/>
            <w:gridSpan w:val="4"/>
            <w:hideMark/>
          </w:tcPr>
          <w:p w14:paraId="62F9A700" w14:textId="77777777" w:rsidR="006B26D2" w:rsidRPr="00A85D2D" w:rsidRDefault="006B26D2" w:rsidP="00B77C0B">
            <w:pPr>
              <w:pStyle w:val="NoSpacing"/>
              <w:rPr>
                <w:rFonts w:ascii="Times New Roman" w:hAnsi="Times New Roman" w:cs="Times New Roman"/>
                <w:szCs w:val="24"/>
              </w:rPr>
            </w:pPr>
            <w:r w:rsidRPr="00A85D2D">
              <w:rPr>
                <w:rFonts w:ascii="Times New Roman" w:hAnsi="Times New Roman" w:cs="Times New Roman"/>
                <w:szCs w:val="24"/>
              </w:rPr>
              <w:t>7. Tamil Nadu</w:t>
            </w:r>
          </w:p>
        </w:tc>
      </w:tr>
      <w:tr w:rsidR="006B26D2" w:rsidRPr="00A85D2D" w14:paraId="060E8D09" w14:textId="77777777" w:rsidTr="00A85D2D">
        <w:trPr>
          <w:trHeight w:val="861"/>
          <w:jc w:val="center"/>
        </w:trPr>
        <w:tc>
          <w:tcPr>
            <w:tcW w:w="0" w:type="auto"/>
            <w:hideMark/>
          </w:tcPr>
          <w:p w14:paraId="78FABFA4" w14:textId="77777777" w:rsidR="006B26D2" w:rsidRPr="00A85D2D" w:rsidRDefault="006B26D2" w:rsidP="002C594B">
            <w:pPr>
              <w:pStyle w:val="NoSpacing"/>
              <w:ind w:left="720"/>
              <w:rPr>
                <w:rFonts w:ascii="Times New Roman" w:hAnsi="Times New Roman" w:cs="Times New Roman"/>
                <w:szCs w:val="24"/>
              </w:rPr>
            </w:pPr>
            <w:r w:rsidRPr="00A85D2D">
              <w:rPr>
                <w:rFonts w:ascii="Times New Roman" w:hAnsi="Times New Roman" w:cs="Times New Roman"/>
                <w:szCs w:val="24"/>
              </w:rPr>
              <w:t>Reduction in the rate of electricity consumption tax from 40% to 20% in the case of textile industry</w:t>
            </w:r>
          </w:p>
        </w:tc>
        <w:tc>
          <w:tcPr>
            <w:tcW w:w="0" w:type="auto"/>
            <w:hideMark/>
          </w:tcPr>
          <w:p w14:paraId="4696F535" w14:textId="77777777" w:rsidR="006B26D2" w:rsidRPr="00A85D2D" w:rsidRDefault="006B26D2" w:rsidP="00B77C0B">
            <w:pPr>
              <w:pStyle w:val="NoSpacing"/>
              <w:rPr>
                <w:rFonts w:ascii="Times New Roman" w:hAnsi="Times New Roman" w:cs="Times New Roman"/>
                <w:szCs w:val="24"/>
              </w:rPr>
            </w:pPr>
            <w:r w:rsidRPr="00A85D2D">
              <w:rPr>
                <w:rFonts w:ascii="Times New Roman" w:hAnsi="Times New Roman" w:cs="Times New Roman"/>
                <w:szCs w:val="24"/>
              </w:rPr>
              <w:t>Early 1969</w:t>
            </w:r>
          </w:p>
        </w:tc>
        <w:tc>
          <w:tcPr>
            <w:tcW w:w="0" w:type="auto"/>
            <w:hideMark/>
          </w:tcPr>
          <w:p w14:paraId="2849CB32" w14:textId="77777777" w:rsidR="006B26D2" w:rsidRPr="00A85D2D" w:rsidRDefault="006B26D2" w:rsidP="00B77C0B">
            <w:pPr>
              <w:pStyle w:val="NoSpacing"/>
              <w:rPr>
                <w:rFonts w:ascii="Times New Roman" w:hAnsi="Times New Roman" w:cs="Times New Roman"/>
                <w:szCs w:val="24"/>
              </w:rPr>
            </w:pPr>
            <w:r w:rsidRPr="00A85D2D">
              <w:rPr>
                <w:rFonts w:ascii="Times New Roman" w:hAnsi="Times New Roman" w:cs="Times New Roman"/>
                <w:szCs w:val="24"/>
              </w:rPr>
              <w:t>0.60</w:t>
            </w:r>
          </w:p>
        </w:tc>
        <w:tc>
          <w:tcPr>
            <w:tcW w:w="0" w:type="auto"/>
            <w:hideMark/>
          </w:tcPr>
          <w:p w14:paraId="320507F2" w14:textId="77777777" w:rsidR="006B26D2" w:rsidRPr="00A85D2D" w:rsidRDefault="006B26D2" w:rsidP="00B77C0B">
            <w:pPr>
              <w:pStyle w:val="NoSpacing"/>
              <w:rPr>
                <w:rFonts w:ascii="Times New Roman" w:hAnsi="Times New Roman" w:cs="Times New Roman"/>
                <w:szCs w:val="24"/>
              </w:rPr>
            </w:pPr>
            <w:r w:rsidRPr="00A85D2D">
              <w:rPr>
                <w:rFonts w:ascii="Times New Roman" w:hAnsi="Times New Roman" w:cs="Times New Roman"/>
                <w:szCs w:val="24"/>
              </w:rPr>
              <w:t>3.30</w:t>
            </w:r>
          </w:p>
        </w:tc>
      </w:tr>
      <w:tr w:rsidR="006B26D2" w:rsidRPr="00A85D2D" w14:paraId="35277DDD" w14:textId="77777777" w:rsidTr="00A85D2D">
        <w:trPr>
          <w:trHeight w:val="283"/>
          <w:jc w:val="center"/>
        </w:trPr>
        <w:tc>
          <w:tcPr>
            <w:tcW w:w="0" w:type="auto"/>
            <w:gridSpan w:val="4"/>
            <w:hideMark/>
          </w:tcPr>
          <w:p w14:paraId="774535A2" w14:textId="77777777" w:rsidR="006B26D2" w:rsidRPr="00A85D2D" w:rsidRDefault="006B26D2" w:rsidP="00B77C0B">
            <w:pPr>
              <w:pStyle w:val="NoSpacing"/>
              <w:rPr>
                <w:rFonts w:ascii="Times New Roman" w:hAnsi="Times New Roman" w:cs="Times New Roman"/>
                <w:szCs w:val="24"/>
              </w:rPr>
            </w:pPr>
            <w:r w:rsidRPr="00A85D2D">
              <w:rPr>
                <w:rFonts w:ascii="Times New Roman" w:hAnsi="Times New Roman" w:cs="Times New Roman"/>
                <w:szCs w:val="24"/>
              </w:rPr>
              <w:t>8. Uttar Pradesh</w:t>
            </w:r>
          </w:p>
        </w:tc>
      </w:tr>
      <w:tr w:rsidR="006B26D2" w:rsidRPr="00A85D2D" w14:paraId="32B35DEE" w14:textId="77777777" w:rsidTr="00A85D2D">
        <w:trPr>
          <w:trHeight w:val="283"/>
          <w:jc w:val="center"/>
        </w:trPr>
        <w:tc>
          <w:tcPr>
            <w:tcW w:w="0" w:type="auto"/>
            <w:hideMark/>
          </w:tcPr>
          <w:p w14:paraId="4714646C" w14:textId="77777777" w:rsidR="006B26D2" w:rsidRPr="00A85D2D" w:rsidRDefault="006B26D2" w:rsidP="002C594B">
            <w:pPr>
              <w:pStyle w:val="NoSpacing"/>
              <w:ind w:left="720"/>
              <w:rPr>
                <w:rFonts w:ascii="Times New Roman" w:hAnsi="Times New Roman" w:cs="Times New Roman"/>
                <w:szCs w:val="24"/>
              </w:rPr>
            </w:pPr>
            <w:r w:rsidRPr="00A85D2D">
              <w:rPr>
                <w:rFonts w:ascii="Times New Roman" w:hAnsi="Times New Roman" w:cs="Times New Roman"/>
                <w:szCs w:val="24"/>
              </w:rPr>
              <w:t>(i) Abolition of Urban Property Tax</w:t>
            </w:r>
          </w:p>
        </w:tc>
        <w:tc>
          <w:tcPr>
            <w:tcW w:w="0" w:type="auto"/>
            <w:hideMark/>
          </w:tcPr>
          <w:p w14:paraId="745D549B" w14:textId="77777777" w:rsidR="006B26D2" w:rsidRPr="00A85D2D" w:rsidRDefault="006B26D2" w:rsidP="00B77C0B">
            <w:pPr>
              <w:pStyle w:val="NoSpacing"/>
              <w:rPr>
                <w:rFonts w:ascii="Times New Roman" w:hAnsi="Times New Roman" w:cs="Times New Roman"/>
                <w:szCs w:val="24"/>
              </w:rPr>
            </w:pPr>
            <w:r w:rsidRPr="00A85D2D">
              <w:rPr>
                <w:rFonts w:ascii="Times New Roman" w:hAnsi="Times New Roman" w:cs="Times New Roman"/>
                <w:szCs w:val="24"/>
              </w:rPr>
              <w:t>1967-68</w:t>
            </w:r>
          </w:p>
        </w:tc>
        <w:tc>
          <w:tcPr>
            <w:tcW w:w="0" w:type="auto"/>
            <w:hideMark/>
          </w:tcPr>
          <w:p w14:paraId="3B83A230" w14:textId="77777777" w:rsidR="006B26D2" w:rsidRPr="00A85D2D" w:rsidRDefault="006B26D2" w:rsidP="00B77C0B">
            <w:pPr>
              <w:pStyle w:val="NoSpacing"/>
              <w:rPr>
                <w:rFonts w:ascii="Times New Roman" w:hAnsi="Times New Roman" w:cs="Times New Roman"/>
                <w:szCs w:val="24"/>
              </w:rPr>
            </w:pPr>
            <w:r w:rsidRPr="00A85D2D">
              <w:rPr>
                <w:rFonts w:ascii="Times New Roman" w:hAnsi="Times New Roman" w:cs="Times New Roman"/>
                <w:szCs w:val="24"/>
              </w:rPr>
              <w:t>1.75</w:t>
            </w:r>
          </w:p>
        </w:tc>
        <w:tc>
          <w:tcPr>
            <w:tcW w:w="0" w:type="auto"/>
            <w:hideMark/>
          </w:tcPr>
          <w:p w14:paraId="43F1EA39" w14:textId="77777777" w:rsidR="006B26D2" w:rsidRPr="00A85D2D" w:rsidRDefault="006B26D2" w:rsidP="00B77C0B">
            <w:pPr>
              <w:pStyle w:val="NoSpacing"/>
              <w:rPr>
                <w:rFonts w:ascii="Times New Roman" w:hAnsi="Times New Roman" w:cs="Times New Roman"/>
                <w:szCs w:val="24"/>
              </w:rPr>
            </w:pPr>
            <w:r w:rsidRPr="00A85D2D">
              <w:rPr>
                <w:rFonts w:ascii="Times New Roman" w:hAnsi="Times New Roman" w:cs="Times New Roman"/>
                <w:szCs w:val="24"/>
              </w:rPr>
              <w:t>9.50</w:t>
            </w:r>
          </w:p>
        </w:tc>
      </w:tr>
      <w:tr w:rsidR="006B26D2" w:rsidRPr="00A85D2D" w14:paraId="45F8A660" w14:textId="77777777" w:rsidTr="00A85D2D">
        <w:trPr>
          <w:trHeight w:val="1145"/>
          <w:jc w:val="center"/>
        </w:trPr>
        <w:tc>
          <w:tcPr>
            <w:tcW w:w="0" w:type="auto"/>
            <w:hideMark/>
          </w:tcPr>
          <w:p w14:paraId="3CBECE99" w14:textId="77777777" w:rsidR="00E97D64" w:rsidRDefault="006B26D2" w:rsidP="002C594B">
            <w:pPr>
              <w:pStyle w:val="NoSpacing"/>
              <w:ind w:left="720"/>
              <w:rPr>
                <w:rFonts w:ascii="Times New Roman" w:hAnsi="Times New Roman" w:cs="Times New Roman"/>
                <w:szCs w:val="24"/>
              </w:rPr>
            </w:pPr>
            <w:r w:rsidRPr="00A85D2D">
              <w:rPr>
                <w:rFonts w:ascii="Times New Roman" w:hAnsi="Times New Roman" w:cs="Times New Roman"/>
                <w:szCs w:val="24"/>
              </w:rPr>
              <w:t>(ii) Exemption from sales tax:</w:t>
            </w:r>
          </w:p>
          <w:p w14:paraId="388D0ED2" w14:textId="77777777" w:rsidR="00E97D64" w:rsidRDefault="006B26D2" w:rsidP="002C594B">
            <w:pPr>
              <w:pStyle w:val="NoSpacing"/>
              <w:ind w:left="1440"/>
              <w:rPr>
                <w:rFonts w:ascii="Times New Roman" w:hAnsi="Times New Roman" w:cs="Times New Roman"/>
                <w:szCs w:val="24"/>
              </w:rPr>
            </w:pPr>
            <w:r w:rsidRPr="00A85D2D">
              <w:rPr>
                <w:rFonts w:ascii="Times New Roman" w:hAnsi="Times New Roman" w:cs="Times New Roman"/>
                <w:szCs w:val="24"/>
              </w:rPr>
              <w:t>(a) to raw materials used for manufacture of finished goods, and</w:t>
            </w:r>
          </w:p>
          <w:p w14:paraId="26274968" w14:textId="476CEB56" w:rsidR="006B26D2" w:rsidRPr="00A85D2D" w:rsidRDefault="006B26D2" w:rsidP="002C594B">
            <w:pPr>
              <w:pStyle w:val="NoSpacing"/>
              <w:ind w:left="1440"/>
              <w:rPr>
                <w:rFonts w:ascii="Times New Roman" w:hAnsi="Times New Roman" w:cs="Times New Roman"/>
                <w:szCs w:val="24"/>
              </w:rPr>
            </w:pPr>
            <w:r w:rsidRPr="00A85D2D">
              <w:rPr>
                <w:rFonts w:ascii="Times New Roman" w:hAnsi="Times New Roman" w:cs="Times New Roman"/>
                <w:szCs w:val="24"/>
              </w:rPr>
              <w:t>(b) to certain specified new industries for a period of 3 years</w:t>
            </w:r>
          </w:p>
        </w:tc>
        <w:tc>
          <w:tcPr>
            <w:tcW w:w="0" w:type="auto"/>
            <w:hideMark/>
          </w:tcPr>
          <w:p w14:paraId="4C37DB5E" w14:textId="77777777" w:rsidR="006B26D2" w:rsidRPr="00A85D2D" w:rsidRDefault="006B26D2" w:rsidP="00B77C0B">
            <w:pPr>
              <w:pStyle w:val="NoSpacing"/>
              <w:rPr>
                <w:rFonts w:ascii="Times New Roman" w:hAnsi="Times New Roman" w:cs="Times New Roman"/>
                <w:szCs w:val="24"/>
              </w:rPr>
            </w:pPr>
          </w:p>
        </w:tc>
        <w:tc>
          <w:tcPr>
            <w:tcW w:w="0" w:type="auto"/>
            <w:hideMark/>
          </w:tcPr>
          <w:p w14:paraId="15E79505" w14:textId="77777777" w:rsidR="006B26D2" w:rsidRPr="00A85D2D" w:rsidRDefault="006B26D2" w:rsidP="00B77C0B">
            <w:pPr>
              <w:pStyle w:val="NoSpacing"/>
              <w:rPr>
                <w:rFonts w:ascii="Times New Roman" w:hAnsi="Times New Roman" w:cs="Times New Roman"/>
                <w:szCs w:val="24"/>
              </w:rPr>
            </w:pPr>
            <w:r w:rsidRPr="00A85D2D">
              <w:rPr>
                <w:rFonts w:ascii="Times New Roman" w:hAnsi="Times New Roman" w:cs="Times New Roman"/>
                <w:szCs w:val="24"/>
              </w:rPr>
              <w:t>4.00</w:t>
            </w:r>
          </w:p>
        </w:tc>
        <w:tc>
          <w:tcPr>
            <w:tcW w:w="0" w:type="auto"/>
            <w:hideMark/>
          </w:tcPr>
          <w:p w14:paraId="704C9B8F" w14:textId="77777777" w:rsidR="006B26D2" w:rsidRPr="00A85D2D" w:rsidRDefault="006B26D2" w:rsidP="00B77C0B">
            <w:pPr>
              <w:pStyle w:val="NoSpacing"/>
              <w:rPr>
                <w:rFonts w:ascii="Times New Roman" w:hAnsi="Times New Roman" w:cs="Times New Roman"/>
                <w:szCs w:val="24"/>
              </w:rPr>
            </w:pPr>
            <w:r w:rsidRPr="00A85D2D">
              <w:rPr>
                <w:rFonts w:ascii="Times New Roman" w:hAnsi="Times New Roman" w:cs="Times New Roman"/>
                <w:szCs w:val="24"/>
              </w:rPr>
              <w:t>10.00</w:t>
            </w:r>
          </w:p>
        </w:tc>
      </w:tr>
      <w:tr w:rsidR="006B26D2" w:rsidRPr="00A85D2D" w14:paraId="30CBEDB4" w14:textId="77777777" w:rsidTr="00A85D2D">
        <w:trPr>
          <w:trHeight w:val="283"/>
          <w:jc w:val="center"/>
        </w:trPr>
        <w:tc>
          <w:tcPr>
            <w:tcW w:w="0" w:type="auto"/>
            <w:hideMark/>
          </w:tcPr>
          <w:p w14:paraId="6F137A3A" w14:textId="77777777" w:rsidR="006B26D2" w:rsidRPr="00A85D2D" w:rsidRDefault="006B26D2" w:rsidP="00B77C0B">
            <w:pPr>
              <w:pStyle w:val="NoSpacing"/>
              <w:rPr>
                <w:rFonts w:ascii="Times New Roman" w:hAnsi="Times New Roman" w:cs="Times New Roman"/>
                <w:szCs w:val="24"/>
              </w:rPr>
            </w:pPr>
            <w:r w:rsidRPr="00A85D2D">
              <w:rPr>
                <w:rFonts w:ascii="Times New Roman" w:hAnsi="Times New Roman" w:cs="Times New Roman"/>
                <w:szCs w:val="24"/>
              </w:rPr>
              <w:t>GRAND TOTAL</w:t>
            </w:r>
          </w:p>
        </w:tc>
        <w:tc>
          <w:tcPr>
            <w:tcW w:w="0" w:type="auto"/>
            <w:hideMark/>
          </w:tcPr>
          <w:p w14:paraId="5944FC9A" w14:textId="77777777" w:rsidR="006B26D2" w:rsidRPr="00A85D2D" w:rsidRDefault="006B26D2" w:rsidP="00B77C0B">
            <w:pPr>
              <w:pStyle w:val="NoSpacing"/>
              <w:rPr>
                <w:rFonts w:ascii="Times New Roman" w:hAnsi="Times New Roman" w:cs="Times New Roman"/>
                <w:szCs w:val="24"/>
              </w:rPr>
            </w:pPr>
          </w:p>
        </w:tc>
        <w:tc>
          <w:tcPr>
            <w:tcW w:w="0" w:type="auto"/>
            <w:hideMark/>
          </w:tcPr>
          <w:p w14:paraId="469B91C3" w14:textId="77777777" w:rsidR="006B26D2" w:rsidRPr="00A85D2D" w:rsidRDefault="006B26D2" w:rsidP="00B77C0B">
            <w:pPr>
              <w:pStyle w:val="NoSpacing"/>
              <w:rPr>
                <w:rFonts w:ascii="Times New Roman" w:hAnsi="Times New Roman" w:cs="Times New Roman"/>
                <w:szCs w:val="24"/>
              </w:rPr>
            </w:pPr>
            <w:r w:rsidRPr="00A85D2D">
              <w:rPr>
                <w:rFonts w:ascii="Times New Roman" w:hAnsi="Times New Roman" w:cs="Times New Roman"/>
                <w:szCs w:val="24"/>
              </w:rPr>
              <w:t>9.28</w:t>
            </w:r>
          </w:p>
        </w:tc>
        <w:tc>
          <w:tcPr>
            <w:tcW w:w="0" w:type="auto"/>
            <w:hideMark/>
          </w:tcPr>
          <w:p w14:paraId="5933BC4E" w14:textId="77777777" w:rsidR="006B26D2" w:rsidRPr="00A85D2D" w:rsidRDefault="006B26D2" w:rsidP="00B77C0B">
            <w:pPr>
              <w:pStyle w:val="NoSpacing"/>
              <w:rPr>
                <w:rFonts w:ascii="Times New Roman" w:hAnsi="Times New Roman" w:cs="Times New Roman"/>
                <w:szCs w:val="24"/>
              </w:rPr>
            </w:pPr>
            <w:r w:rsidRPr="00A85D2D">
              <w:rPr>
                <w:rFonts w:ascii="Times New Roman" w:hAnsi="Times New Roman" w:cs="Times New Roman"/>
                <w:szCs w:val="24"/>
              </w:rPr>
              <w:t>38.35</w:t>
            </w:r>
          </w:p>
        </w:tc>
      </w:tr>
    </w:tbl>
    <w:p w14:paraId="1A6AE56A" w14:textId="77777777" w:rsidR="006B26D2" w:rsidRPr="007245B0" w:rsidRDefault="006B26D2" w:rsidP="00A85D2D">
      <w:pPr>
        <w:pStyle w:val="Sources"/>
      </w:pPr>
      <w:r w:rsidRPr="007245B0">
        <w:t>Notes:</w:t>
      </w:r>
    </w:p>
    <w:p w14:paraId="11EFD0E1" w14:textId="77777777" w:rsidR="006B26D2" w:rsidRPr="007245B0" w:rsidRDefault="006B26D2" w:rsidP="00A85D2D">
      <w:pPr>
        <w:pStyle w:val="Sources"/>
      </w:pPr>
      <w:r w:rsidRPr="007245B0">
        <w:t>N.B.—Adjustments in rates and coverage of sales tax have not been regarded as abandonment of revenue.</w:t>
      </w:r>
    </w:p>
    <w:p w14:paraId="382CF226" w14:textId="77777777" w:rsidR="006B26D2" w:rsidRPr="007245B0" w:rsidRDefault="006B26D2" w:rsidP="00A85D2D">
      <w:pPr>
        <w:pStyle w:val="Sources"/>
      </w:pPr>
      <w:r w:rsidRPr="007245B0">
        <w:t>* The State Government pays compensation to local bodies to make up for the loss.</w:t>
      </w:r>
    </w:p>
    <w:p w14:paraId="2F526E4D" w14:textId="77777777" w:rsidR="006B26D2" w:rsidRPr="007245B0" w:rsidRDefault="006B26D2" w:rsidP="00A85D2D">
      <w:pPr>
        <w:pStyle w:val="Sources"/>
      </w:pPr>
      <w:r w:rsidRPr="007245B0">
        <w:t>† It has been decided to merge this tax with House Tax levied by the Municipalities.</w:t>
      </w:r>
    </w:p>
    <w:p w14:paraId="6747551F" w14:textId="77777777" w:rsidR="00EB0BC0" w:rsidRPr="007245B0" w:rsidRDefault="00EB0BC0" w:rsidP="00EB0BC0">
      <w:pPr>
        <w:rPr>
          <w:rFonts w:ascii="Times New Roman" w:hAnsi="Times New Roman" w:cs="Times New Roman"/>
          <w:szCs w:val="24"/>
        </w:rPr>
      </w:pPr>
      <w:r w:rsidRPr="007245B0">
        <w:rPr>
          <w:rFonts w:ascii="Times New Roman" w:hAnsi="Times New Roman" w:cs="Times New Roman"/>
          <w:szCs w:val="24"/>
        </w:rPr>
        <w:br w:type="page"/>
      </w:r>
    </w:p>
    <w:p w14:paraId="245E9D78" w14:textId="77777777" w:rsidR="005D7DD5" w:rsidRPr="007245B0" w:rsidRDefault="005D7DD5" w:rsidP="00DE7403">
      <w:pPr>
        <w:rPr>
          <w:rFonts w:ascii="Times New Roman" w:hAnsi="Times New Roman" w:cs="Times New Roman"/>
          <w:b/>
          <w:bCs/>
          <w:szCs w:val="24"/>
        </w:rPr>
        <w:sectPr w:rsidR="005D7DD5" w:rsidRPr="007245B0" w:rsidSect="00DE7403">
          <w:pgSz w:w="12240" w:h="15840"/>
          <w:pgMar w:top="992" w:right="1440" w:bottom="1440" w:left="1440" w:header="720" w:footer="720" w:gutter="0"/>
          <w:cols w:space="720"/>
        </w:sectPr>
      </w:pPr>
    </w:p>
    <w:p w14:paraId="4933E20B" w14:textId="2E8BB810" w:rsidR="00DE7403" w:rsidRPr="007245B0" w:rsidRDefault="00574BCE" w:rsidP="00A85D2D">
      <w:pPr>
        <w:pStyle w:val="Heading4"/>
      </w:pPr>
      <w:bookmarkStart w:id="120" w:name="_Toc220949710"/>
      <w:bookmarkStart w:id="121" w:name="_Toc221114310"/>
      <w:bookmarkStart w:id="122" w:name="_Toc221115333"/>
      <w:r>
        <w:lastRenderedPageBreak/>
        <w:t>Table</w:t>
      </w:r>
      <w:r w:rsidR="005D7DD5" w:rsidRPr="007245B0">
        <w:t xml:space="preserve"> 29: Growth and Pattern of States' Revenue Expenditure</w:t>
      </w:r>
      <w:bookmarkEnd w:id="120"/>
      <w:bookmarkEnd w:id="121"/>
      <w:bookmarkEnd w:id="122"/>
    </w:p>
    <w:p w14:paraId="70B62264" w14:textId="77777777" w:rsidR="005D7DD5" w:rsidRPr="007245B0" w:rsidRDefault="005D7DD5" w:rsidP="005D7DD5">
      <w:pPr>
        <w:jc w:val="right"/>
        <w:rPr>
          <w:rFonts w:ascii="Times New Roman" w:hAnsi="Times New Roman" w:cs="Times New Roman"/>
          <w:i/>
          <w:iCs/>
          <w:szCs w:val="24"/>
        </w:rPr>
      </w:pPr>
      <w:r w:rsidRPr="007245B0">
        <w:rPr>
          <w:rFonts w:ascii="Times New Roman" w:hAnsi="Times New Roman" w:cs="Times New Roman"/>
          <w:i/>
          <w:iCs/>
          <w:szCs w:val="24"/>
        </w:rPr>
        <w:t>(Rs. crores)</w:t>
      </w:r>
    </w:p>
    <w:tbl>
      <w:tblPr>
        <w:tblStyle w:val="TableGrid"/>
        <w:tblW w:w="0" w:type="auto"/>
        <w:tblInd w:w="-998" w:type="dxa"/>
        <w:tblLook w:val="04A0" w:firstRow="1" w:lastRow="0" w:firstColumn="1" w:lastColumn="0" w:noHBand="0" w:noVBand="1"/>
      </w:tblPr>
      <w:tblGrid>
        <w:gridCol w:w="1405"/>
        <w:gridCol w:w="1256"/>
        <w:gridCol w:w="1056"/>
        <w:gridCol w:w="1790"/>
        <w:gridCol w:w="916"/>
        <w:gridCol w:w="923"/>
        <w:gridCol w:w="1270"/>
        <w:gridCol w:w="1043"/>
        <w:gridCol w:w="910"/>
        <w:gridCol w:w="1412"/>
        <w:gridCol w:w="923"/>
        <w:gridCol w:w="1492"/>
      </w:tblGrid>
      <w:tr w:rsidR="00812C67" w:rsidRPr="00A85D2D" w14:paraId="1B12C01F" w14:textId="77777777" w:rsidTr="004B6753">
        <w:tc>
          <w:tcPr>
            <w:tcW w:w="1405" w:type="dxa"/>
            <w:vAlign w:val="center"/>
            <w:hideMark/>
          </w:tcPr>
          <w:p w14:paraId="41F7EF3B" w14:textId="77777777" w:rsidR="00812C67" w:rsidRPr="004B6753" w:rsidRDefault="00812C67" w:rsidP="004B6753">
            <w:pPr>
              <w:pStyle w:val="NoSpacing"/>
              <w:jc w:val="center"/>
              <w:rPr>
                <w:rFonts w:ascii="Times New Roman" w:hAnsi="Times New Roman" w:cs="Times New Roman"/>
                <w:b/>
                <w:bCs/>
                <w:szCs w:val="24"/>
              </w:rPr>
            </w:pPr>
            <w:r w:rsidRPr="004B6753">
              <w:rPr>
                <w:rFonts w:ascii="Times New Roman" w:hAnsi="Times New Roman" w:cs="Times New Roman"/>
                <w:b/>
                <w:bCs/>
                <w:szCs w:val="24"/>
              </w:rPr>
              <w:t>States / Year</w:t>
            </w:r>
          </w:p>
        </w:tc>
        <w:tc>
          <w:tcPr>
            <w:tcW w:w="0" w:type="auto"/>
            <w:gridSpan w:val="4"/>
            <w:vAlign w:val="center"/>
            <w:hideMark/>
          </w:tcPr>
          <w:p w14:paraId="5FA17822" w14:textId="77777777" w:rsidR="00812C67" w:rsidRPr="004B6753" w:rsidRDefault="00812C67" w:rsidP="004B6753">
            <w:pPr>
              <w:pStyle w:val="NoSpacing"/>
              <w:jc w:val="center"/>
              <w:rPr>
                <w:rFonts w:ascii="Times New Roman" w:hAnsi="Times New Roman" w:cs="Times New Roman"/>
                <w:b/>
                <w:bCs/>
                <w:szCs w:val="24"/>
              </w:rPr>
            </w:pPr>
            <w:r w:rsidRPr="004B6753">
              <w:rPr>
                <w:rFonts w:ascii="Times New Roman" w:hAnsi="Times New Roman" w:cs="Times New Roman"/>
                <w:b/>
                <w:bCs/>
                <w:szCs w:val="24"/>
              </w:rPr>
              <w:t>Non-Developmental</w:t>
            </w:r>
          </w:p>
        </w:tc>
        <w:tc>
          <w:tcPr>
            <w:tcW w:w="6481" w:type="dxa"/>
            <w:gridSpan w:val="6"/>
            <w:vAlign w:val="center"/>
            <w:hideMark/>
          </w:tcPr>
          <w:p w14:paraId="508A980D" w14:textId="77777777" w:rsidR="00812C67" w:rsidRPr="004B6753" w:rsidRDefault="00812C67" w:rsidP="004B6753">
            <w:pPr>
              <w:pStyle w:val="NoSpacing"/>
              <w:jc w:val="center"/>
              <w:rPr>
                <w:rFonts w:ascii="Times New Roman" w:hAnsi="Times New Roman" w:cs="Times New Roman"/>
                <w:b/>
                <w:bCs/>
                <w:szCs w:val="24"/>
              </w:rPr>
            </w:pPr>
            <w:r w:rsidRPr="004B6753">
              <w:rPr>
                <w:rFonts w:ascii="Times New Roman" w:hAnsi="Times New Roman" w:cs="Times New Roman"/>
                <w:b/>
                <w:bCs/>
                <w:szCs w:val="24"/>
              </w:rPr>
              <w:t>Developmental</w:t>
            </w:r>
          </w:p>
        </w:tc>
        <w:tc>
          <w:tcPr>
            <w:tcW w:w="1492" w:type="dxa"/>
            <w:vMerge w:val="restart"/>
            <w:vAlign w:val="center"/>
            <w:hideMark/>
          </w:tcPr>
          <w:p w14:paraId="7DB86D56" w14:textId="77777777" w:rsidR="00812C67" w:rsidRPr="004B6753" w:rsidRDefault="00812C67" w:rsidP="004B6753">
            <w:pPr>
              <w:pStyle w:val="NoSpacing"/>
              <w:jc w:val="center"/>
              <w:rPr>
                <w:rFonts w:ascii="Times New Roman" w:hAnsi="Times New Roman" w:cs="Times New Roman"/>
                <w:b/>
                <w:bCs/>
                <w:szCs w:val="24"/>
              </w:rPr>
            </w:pPr>
            <w:r w:rsidRPr="004B6753">
              <w:rPr>
                <w:rFonts w:ascii="Times New Roman" w:hAnsi="Times New Roman" w:cs="Times New Roman"/>
                <w:b/>
                <w:bCs/>
                <w:szCs w:val="24"/>
              </w:rPr>
              <w:t>Total</w:t>
            </w:r>
          </w:p>
          <w:p w14:paraId="6FF8138B" w14:textId="27476A3D" w:rsidR="00812C67" w:rsidRPr="004B6753" w:rsidRDefault="00812C67" w:rsidP="004B6753">
            <w:pPr>
              <w:pStyle w:val="NoSpacing"/>
              <w:jc w:val="center"/>
              <w:rPr>
                <w:rFonts w:ascii="Times New Roman" w:hAnsi="Times New Roman" w:cs="Times New Roman"/>
                <w:b/>
                <w:bCs/>
                <w:szCs w:val="24"/>
              </w:rPr>
            </w:pPr>
            <w:r w:rsidRPr="004B6753">
              <w:rPr>
                <w:rFonts w:ascii="Times New Roman" w:hAnsi="Times New Roman" w:cs="Times New Roman"/>
                <w:b/>
                <w:bCs/>
                <w:szCs w:val="24"/>
              </w:rPr>
              <w:t>Revenue Expenditure</w:t>
            </w:r>
          </w:p>
        </w:tc>
      </w:tr>
      <w:tr w:rsidR="00812C67" w:rsidRPr="00A85D2D" w14:paraId="49ED228B" w14:textId="77777777" w:rsidTr="004B6753">
        <w:tc>
          <w:tcPr>
            <w:tcW w:w="1405" w:type="dxa"/>
            <w:vAlign w:val="center"/>
            <w:hideMark/>
          </w:tcPr>
          <w:p w14:paraId="39612C38" w14:textId="77777777" w:rsidR="00812C67" w:rsidRPr="004B6753" w:rsidRDefault="00812C67" w:rsidP="004B6753">
            <w:pPr>
              <w:pStyle w:val="NoSpacing"/>
              <w:jc w:val="center"/>
              <w:rPr>
                <w:rFonts w:ascii="Times New Roman" w:hAnsi="Times New Roman" w:cs="Times New Roman"/>
                <w:b/>
                <w:bCs/>
                <w:szCs w:val="24"/>
              </w:rPr>
            </w:pPr>
          </w:p>
        </w:tc>
        <w:tc>
          <w:tcPr>
            <w:tcW w:w="0" w:type="auto"/>
            <w:vAlign w:val="center"/>
            <w:hideMark/>
          </w:tcPr>
          <w:p w14:paraId="5FEA3AB5" w14:textId="77777777" w:rsidR="00812C67" w:rsidRPr="004B6753" w:rsidRDefault="00812C67" w:rsidP="004B6753">
            <w:pPr>
              <w:pStyle w:val="NoSpacing"/>
              <w:jc w:val="center"/>
              <w:rPr>
                <w:rFonts w:ascii="Times New Roman" w:hAnsi="Times New Roman" w:cs="Times New Roman"/>
                <w:b/>
                <w:bCs/>
                <w:szCs w:val="24"/>
              </w:rPr>
            </w:pPr>
            <w:r w:rsidRPr="004B6753">
              <w:rPr>
                <w:rFonts w:ascii="Times New Roman" w:hAnsi="Times New Roman" w:cs="Times New Roman"/>
                <w:b/>
                <w:bCs/>
                <w:szCs w:val="24"/>
              </w:rPr>
              <w:t>Tax Collection Charges</w:t>
            </w:r>
          </w:p>
        </w:tc>
        <w:tc>
          <w:tcPr>
            <w:tcW w:w="0" w:type="auto"/>
            <w:vAlign w:val="center"/>
            <w:hideMark/>
          </w:tcPr>
          <w:p w14:paraId="37DB0DD7" w14:textId="77777777" w:rsidR="00812C67" w:rsidRPr="004B6753" w:rsidRDefault="00812C67" w:rsidP="004B6753">
            <w:pPr>
              <w:pStyle w:val="NoSpacing"/>
              <w:jc w:val="center"/>
              <w:rPr>
                <w:rFonts w:ascii="Times New Roman" w:hAnsi="Times New Roman" w:cs="Times New Roman"/>
                <w:b/>
                <w:bCs/>
                <w:szCs w:val="24"/>
              </w:rPr>
            </w:pPr>
            <w:r w:rsidRPr="004B6753">
              <w:rPr>
                <w:rFonts w:ascii="Times New Roman" w:hAnsi="Times New Roman" w:cs="Times New Roman"/>
                <w:b/>
                <w:bCs/>
                <w:szCs w:val="24"/>
              </w:rPr>
              <w:t>Debt Services</w:t>
            </w:r>
          </w:p>
        </w:tc>
        <w:tc>
          <w:tcPr>
            <w:tcW w:w="1790" w:type="dxa"/>
            <w:vAlign w:val="center"/>
            <w:hideMark/>
          </w:tcPr>
          <w:p w14:paraId="69AED402" w14:textId="77777777" w:rsidR="00812C67" w:rsidRPr="004B6753" w:rsidRDefault="00812C67" w:rsidP="004B6753">
            <w:pPr>
              <w:pStyle w:val="NoSpacing"/>
              <w:jc w:val="center"/>
              <w:rPr>
                <w:rFonts w:ascii="Times New Roman" w:hAnsi="Times New Roman" w:cs="Times New Roman"/>
                <w:b/>
                <w:bCs/>
                <w:szCs w:val="24"/>
              </w:rPr>
            </w:pPr>
            <w:r w:rsidRPr="004B6753">
              <w:rPr>
                <w:rFonts w:ascii="Times New Roman" w:hAnsi="Times New Roman" w:cs="Times New Roman"/>
                <w:b/>
                <w:bCs/>
                <w:szCs w:val="24"/>
              </w:rPr>
              <w:t>General Administration</w:t>
            </w:r>
          </w:p>
        </w:tc>
        <w:tc>
          <w:tcPr>
            <w:tcW w:w="916" w:type="dxa"/>
            <w:vAlign w:val="center"/>
            <w:hideMark/>
          </w:tcPr>
          <w:p w14:paraId="730847EF" w14:textId="77777777" w:rsidR="00812C67" w:rsidRPr="004B6753" w:rsidRDefault="00812C67" w:rsidP="004B6753">
            <w:pPr>
              <w:pStyle w:val="NoSpacing"/>
              <w:jc w:val="center"/>
              <w:rPr>
                <w:rFonts w:ascii="Times New Roman" w:hAnsi="Times New Roman" w:cs="Times New Roman"/>
                <w:b/>
                <w:bCs/>
                <w:szCs w:val="24"/>
              </w:rPr>
            </w:pPr>
            <w:r w:rsidRPr="004B6753">
              <w:rPr>
                <w:rFonts w:ascii="Times New Roman" w:hAnsi="Times New Roman" w:cs="Times New Roman"/>
                <w:b/>
                <w:bCs/>
                <w:szCs w:val="24"/>
              </w:rPr>
              <w:t>Police</w:t>
            </w:r>
          </w:p>
        </w:tc>
        <w:tc>
          <w:tcPr>
            <w:tcW w:w="0" w:type="auto"/>
            <w:vAlign w:val="center"/>
            <w:hideMark/>
          </w:tcPr>
          <w:p w14:paraId="1FBC9BA7" w14:textId="77777777" w:rsidR="00812C67" w:rsidRPr="004B6753" w:rsidRDefault="00812C67" w:rsidP="004B6753">
            <w:pPr>
              <w:pStyle w:val="NoSpacing"/>
              <w:jc w:val="center"/>
              <w:rPr>
                <w:rFonts w:ascii="Times New Roman" w:hAnsi="Times New Roman" w:cs="Times New Roman"/>
                <w:b/>
                <w:bCs/>
                <w:szCs w:val="24"/>
              </w:rPr>
            </w:pPr>
            <w:r w:rsidRPr="004B6753">
              <w:rPr>
                <w:rFonts w:ascii="Times New Roman" w:hAnsi="Times New Roman" w:cs="Times New Roman"/>
                <w:b/>
                <w:bCs/>
                <w:szCs w:val="24"/>
              </w:rPr>
              <w:t>Others</w:t>
            </w:r>
          </w:p>
        </w:tc>
        <w:tc>
          <w:tcPr>
            <w:tcW w:w="0" w:type="auto"/>
            <w:vAlign w:val="center"/>
            <w:hideMark/>
          </w:tcPr>
          <w:p w14:paraId="21AC2B03" w14:textId="77777777" w:rsidR="00812C67" w:rsidRPr="004B6753" w:rsidRDefault="00812C67" w:rsidP="004B6753">
            <w:pPr>
              <w:pStyle w:val="NoSpacing"/>
              <w:jc w:val="center"/>
              <w:rPr>
                <w:rFonts w:ascii="Times New Roman" w:hAnsi="Times New Roman" w:cs="Times New Roman"/>
                <w:b/>
                <w:bCs/>
                <w:szCs w:val="24"/>
              </w:rPr>
            </w:pPr>
            <w:r w:rsidRPr="004B6753">
              <w:rPr>
                <w:rFonts w:ascii="Times New Roman" w:hAnsi="Times New Roman" w:cs="Times New Roman"/>
                <w:b/>
                <w:bCs/>
                <w:szCs w:val="24"/>
              </w:rPr>
              <w:t>Education</w:t>
            </w:r>
          </w:p>
        </w:tc>
        <w:tc>
          <w:tcPr>
            <w:tcW w:w="0" w:type="auto"/>
            <w:vAlign w:val="center"/>
            <w:hideMark/>
          </w:tcPr>
          <w:p w14:paraId="64FAE7A8" w14:textId="77777777" w:rsidR="00812C67" w:rsidRPr="004B6753" w:rsidRDefault="00812C67" w:rsidP="004B6753">
            <w:pPr>
              <w:pStyle w:val="NoSpacing"/>
              <w:jc w:val="center"/>
              <w:rPr>
                <w:rFonts w:ascii="Times New Roman" w:hAnsi="Times New Roman" w:cs="Times New Roman"/>
                <w:b/>
                <w:bCs/>
                <w:szCs w:val="24"/>
              </w:rPr>
            </w:pPr>
            <w:r w:rsidRPr="004B6753">
              <w:rPr>
                <w:rFonts w:ascii="Times New Roman" w:hAnsi="Times New Roman" w:cs="Times New Roman"/>
                <w:b/>
                <w:bCs/>
                <w:szCs w:val="24"/>
              </w:rPr>
              <w:t>Medical</w:t>
            </w:r>
          </w:p>
        </w:tc>
        <w:tc>
          <w:tcPr>
            <w:tcW w:w="0" w:type="auto"/>
            <w:vAlign w:val="center"/>
            <w:hideMark/>
          </w:tcPr>
          <w:p w14:paraId="08960282" w14:textId="77777777" w:rsidR="00812C67" w:rsidRPr="004B6753" w:rsidRDefault="00812C67" w:rsidP="004B6753">
            <w:pPr>
              <w:pStyle w:val="NoSpacing"/>
              <w:jc w:val="center"/>
              <w:rPr>
                <w:rFonts w:ascii="Times New Roman" w:hAnsi="Times New Roman" w:cs="Times New Roman"/>
                <w:b/>
                <w:bCs/>
                <w:szCs w:val="24"/>
              </w:rPr>
            </w:pPr>
            <w:r w:rsidRPr="004B6753">
              <w:rPr>
                <w:rFonts w:ascii="Times New Roman" w:hAnsi="Times New Roman" w:cs="Times New Roman"/>
                <w:b/>
                <w:bCs/>
                <w:szCs w:val="24"/>
              </w:rPr>
              <w:t>Public Health</w:t>
            </w:r>
          </w:p>
        </w:tc>
        <w:tc>
          <w:tcPr>
            <w:tcW w:w="1412" w:type="dxa"/>
            <w:vAlign w:val="center"/>
            <w:hideMark/>
          </w:tcPr>
          <w:p w14:paraId="7DEAECF8" w14:textId="77777777" w:rsidR="00812C67" w:rsidRPr="004B6753" w:rsidRDefault="00812C67" w:rsidP="004B6753">
            <w:pPr>
              <w:pStyle w:val="NoSpacing"/>
              <w:jc w:val="center"/>
              <w:rPr>
                <w:rFonts w:ascii="Times New Roman" w:hAnsi="Times New Roman" w:cs="Times New Roman"/>
                <w:b/>
                <w:bCs/>
                <w:szCs w:val="24"/>
              </w:rPr>
            </w:pPr>
            <w:r w:rsidRPr="004B6753">
              <w:rPr>
                <w:rFonts w:ascii="Times New Roman" w:hAnsi="Times New Roman" w:cs="Times New Roman"/>
                <w:b/>
                <w:bCs/>
                <w:szCs w:val="24"/>
              </w:rPr>
              <w:t>Agriculture &amp; Animal Husbandry</w:t>
            </w:r>
          </w:p>
        </w:tc>
        <w:tc>
          <w:tcPr>
            <w:tcW w:w="923" w:type="dxa"/>
            <w:vAlign w:val="center"/>
            <w:hideMark/>
          </w:tcPr>
          <w:p w14:paraId="3891EBB1" w14:textId="77777777" w:rsidR="00812C67" w:rsidRPr="004B6753" w:rsidRDefault="00812C67" w:rsidP="004B6753">
            <w:pPr>
              <w:pStyle w:val="NoSpacing"/>
              <w:jc w:val="center"/>
              <w:rPr>
                <w:rFonts w:ascii="Times New Roman" w:hAnsi="Times New Roman" w:cs="Times New Roman"/>
                <w:b/>
                <w:bCs/>
                <w:szCs w:val="24"/>
              </w:rPr>
            </w:pPr>
            <w:r w:rsidRPr="004B6753">
              <w:rPr>
                <w:rFonts w:ascii="Times New Roman" w:hAnsi="Times New Roman" w:cs="Times New Roman"/>
                <w:b/>
                <w:bCs/>
                <w:szCs w:val="24"/>
              </w:rPr>
              <w:t>Others</w:t>
            </w:r>
          </w:p>
        </w:tc>
        <w:tc>
          <w:tcPr>
            <w:tcW w:w="1492" w:type="dxa"/>
            <w:vMerge/>
            <w:vAlign w:val="center"/>
            <w:hideMark/>
          </w:tcPr>
          <w:p w14:paraId="510BBA0B" w14:textId="48158C69" w:rsidR="00812C67" w:rsidRPr="004B6753" w:rsidRDefault="00812C67" w:rsidP="004B6753">
            <w:pPr>
              <w:pStyle w:val="NoSpacing"/>
              <w:jc w:val="center"/>
              <w:rPr>
                <w:rFonts w:ascii="Times New Roman" w:hAnsi="Times New Roman" w:cs="Times New Roman"/>
                <w:b/>
                <w:bCs/>
                <w:szCs w:val="24"/>
              </w:rPr>
            </w:pPr>
          </w:p>
        </w:tc>
      </w:tr>
      <w:tr w:rsidR="00416FA8" w:rsidRPr="00A85D2D" w14:paraId="0D03F43F" w14:textId="77777777" w:rsidTr="004B6753">
        <w:tc>
          <w:tcPr>
            <w:tcW w:w="1405" w:type="dxa"/>
            <w:vAlign w:val="center"/>
            <w:hideMark/>
          </w:tcPr>
          <w:p w14:paraId="29531393" w14:textId="77777777" w:rsidR="005D7DD5" w:rsidRPr="004B6753" w:rsidRDefault="005D7DD5" w:rsidP="004B6753">
            <w:pPr>
              <w:pStyle w:val="NoSpacing"/>
              <w:jc w:val="center"/>
              <w:rPr>
                <w:rFonts w:ascii="Times New Roman" w:hAnsi="Times New Roman" w:cs="Times New Roman"/>
                <w:b/>
                <w:bCs/>
                <w:szCs w:val="24"/>
              </w:rPr>
            </w:pPr>
            <w:r w:rsidRPr="004B6753">
              <w:rPr>
                <w:rFonts w:ascii="Times New Roman" w:hAnsi="Times New Roman" w:cs="Times New Roman"/>
                <w:b/>
                <w:bCs/>
                <w:szCs w:val="24"/>
              </w:rPr>
              <w:t>I</w:t>
            </w:r>
          </w:p>
        </w:tc>
        <w:tc>
          <w:tcPr>
            <w:tcW w:w="0" w:type="auto"/>
            <w:vAlign w:val="center"/>
            <w:hideMark/>
          </w:tcPr>
          <w:p w14:paraId="7322C983" w14:textId="77777777" w:rsidR="005D7DD5" w:rsidRPr="004B6753" w:rsidRDefault="005D7DD5" w:rsidP="004B6753">
            <w:pPr>
              <w:pStyle w:val="NoSpacing"/>
              <w:jc w:val="center"/>
              <w:rPr>
                <w:rFonts w:ascii="Times New Roman" w:hAnsi="Times New Roman" w:cs="Times New Roman"/>
                <w:b/>
                <w:bCs/>
                <w:szCs w:val="24"/>
              </w:rPr>
            </w:pPr>
            <w:r w:rsidRPr="004B6753">
              <w:rPr>
                <w:rFonts w:ascii="Times New Roman" w:hAnsi="Times New Roman" w:cs="Times New Roman"/>
                <w:b/>
                <w:bCs/>
                <w:szCs w:val="24"/>
              </w:rPr>
              <w:t>2</w:t>
            </w:r>
          </w:p>
        </w:tc>
        <w:tc>
          <w:tcPr>
            <w:tcW w:w="0" w:type="auto"/>
            <w:vAlign w:val="center"/>
            <w:hideMark/>
          </w:tcPr>
          <w:p w14:paraId="1899A200" w14:textId="77777777" w:rsidR="005D7DD5" w:rsidRPr="004B6753" w:rsidRDefault="005D7DD5" w:rsidP="004B6753">
            <w:pPr>
              <w:pStyle w:val="NoSpacing"/>
              <w:jc w:val="center"/>
              <w:rPr>
                <w:rFonts w:ascii="Times New Roman" w:hAnsi="Times New Roman" w:cs="Times New Roman"/>
                <w:b/>
                <w:bCs/>
                <w:szCs w:val="24"/>
              </w:rPr>
            </w:pPr>
            <w:r w:rsidRPr="004B6753">
              <w:rPr>
                <w:rFonts w:ascii="Times New Roman" w:hAnsi="Times New Roman" w:cs="Times New Roman"/>
                <w:b/>
                <w:bCs/>
                <w:szCs w:val="24"/>
              </w:rPr>
              <w:t>3</w:t>
            </w:r>
          </w:p>
        </w:tc>
        <w:tc>
          <w:tcPr>
            <w:tcW w:w="1790" w:type="dxa"/>
            <w:vAlign w:val="center"/>
            <w:hideMark/>
          </w:tcPr>
          <w:p w14:paraId="58E893C5" w14:textId="77777777" w:rsidR="005D7DD5" w:rsidRPr="004B6753" w:rsidRDefault="005D7DD5" w:rsidP="004B6753">
            <w:pPr>
              <w:pStyle w:val="NoSpacing"/>
              <w:jc w:val="center"/>
              <w:rPr>
                <w:rFonts w:ascii="Times New Roman" w:hAnsi="Times New Roman" w:cs="Times New Roman"/>
                <w:b/>
                <w:bCs/>
                <w:szCs w:val="24"/>
              </w:rPr>
            </w:pPr>
            <w:r w:rsidRPr="004B6753">
              <w:rPr>
                <w:rFonts w:ascii="Times New Roman" w:hAnsi="Times New Roman" w:cs="Times New Roman"/>
                <w:b/>
                <w:bCs/>
                <w:szCs w:val="24"/>
              </w:rPr>
              <w:t>4</w:t>
            </w:r>
          </w:p>
        </w:tc>
        <w:tc>
          <w:tcPr>
            <w:tcW w:w="916" w:type="dxa"/>
            <w:vAlign w:val="center"/>
            <w:hideMark/>
          </w:tcPr>
          <w:p w14:paraId="6D79C820" w14:textId="77777777" w:rsidR="005D7DD5" w:rsidRPr="004B6753" w:rsidRDefault="005D7DD5" w:rsidP="004B6753">
            <w:pPr>
              <w:pStyle w:val="NoSpacing"/>
              <w:jc w:val="center"/>
              <w:rPr>
                <w:rFonts w:ascii="Times New Roman" w:hAnsi="Times New Roman" w:cs="Times New Roman"/>
                <w:b/>
                <w:bCs/>
                <w:szCs w:val="24"/>
              </w:rPr>
            </w:pPr>
            <w:r w:rsidRPr="004B6753">
              <w:rPr>
                <w:rFonts w:ascii="Times New Roman" w:hAnsi="Times New Roman" w:cs="Times New Roman"/>
                <w:b/>
                <w:bCs/>
                <w:szCs w:val="24"/>
              </w:rPr>
              <w:t>5</w:t>
            </w:r>
          </w:p>
        </w:tc>
        <w:tc>
          <w:tcPr>
            <w:tcW w:w="0" w:type="auto"/>
            <w:vAlign w:val="center"/>
            <w:hideMark/>
          </w:tcPr>
          <w:p w14:paraId="73FF727A" w14:textId="77777777" w:rsidR="005D7DD5" w:rsidRPr="004B6753" w:rsidRDefault="005D7DD5" w:rsidP="004B6753">
            <w:pPr>
              <w:pStyle w:val="NoSpacing"/>
              <w:jc w:val="center"/>
              <w:rPr>
                <w:rFonts w:ascii="Times New Roman" w:hAnsi="Times New Roman" w:cs="Times New Roman"/>
                <w:b/>
                <w:bCs/>
                <w:szCs w:val="24"/>
              </w:rPr>
            </w:pPr>
            <w:r w:rsidRPr="004B6753">
              <w:rPr>
                <w:rFonts w:ascii="Times New Roman" w:hAnsi="Times New Roman" w:cs="Times New Roman"/>
                <w:b/>
                <w:bCs/>
                <w:szCs w:val="24"/>
              </w:rPr>
              <w:t>6</w:t>
            </w:r>
          </w:p>
        </w:tc>
        <w:tc>
          <w:tcPr>
            <w:tcW w:w="0" w:type="auto"/>
            <w:vAlign w:val="center"/>
            <w:hideMark/>
          </w:tcPr>
          <w:p w14:paraId="29D7A018" w14:textId="77777777" w:rsidR="005D7DD5" w:rsidRPr="004B6753" w:rsidRDefault="005D7DD5" w:rsidP="004B6753">
            <w:pPr>
              <w:pStyle w:val="NoSpacing"/>
              <w:jc w:val="center"/>
              <w:rPr>
                <w:rFonts w:ascii="Times New Roman" w:hAnsi="Times New Roman" w:cs="Times New Roman"/>
                <w:b/>
                <w:bCs/>
                <w:szCs w:val="24"/>
              </w:rPr>
            </w:pPr>
            <w:r w:rsidRPr="004B6753">
              <w:rPr>
                <w:rFonts w:ascii="Times New Roman" w:hAnsi="Times New Roman" w:cs="Times New Roman"/>
                <w:b/>
                <w:bCs/>
                <w:szCs w:val="24"/>
              </w:rPr>
              <w:t>7</w:t>
            </w:r>
          </w:p>
        </w:tc>
        <w:tc>
          <w:tcPr>
            <w:tcW w:w="0" w:type="auto"/>
            <w:vAlign w:val="center"/>
            <w:hideMark/>
          </w:tcPr>
          <w:p w14:paraId="5025703D" w14:textId="77777777" w:rsidR="005D7DD5" w:rsidRPr="004B6753" w:rsidRDefault="005D7DD5" w:rsidP="004B6753">
            <w:pPr>
              <w:pStyle w:val="NoSpacing"/>
              <w:jc w:val="center"/>
              <w:rPr>
                <w:rFonts w:ascii="Times New Roman" w:hAnsi="Times New Roman" w:cs="Times New Roman"/>
                <w:b/>
                <w:bCs/>
                <w:szCs w:val="24"/>
              </w:rPr>
            </w:pPr>
            <w:r w:rsidRPr="004B6753">
              <w:rPr>
                <w:rFonts w:ascii="Times New Roman" w:hAnsi="Times New Roman" w:cs="Times New Roman"/>
                <w:b/>
                <w:bCs/>
                <w:szCs w:val="24"/>
              </w:rPr>
              <w:t>8</w:t>
            </w:r>
          </w:p>
        </w:tc>
        <w:tc>
          <w:tcPr>
            <w:tcW w:w="0" w:type="auto"/>
            <w:vAlign w:val="center"/>
            <w:hideMark/>
          </w:tcPr>
          <w:p w14:paraId="474FC4DA" w14:textId="77777777" w:rsidR="005D7DD5" w:rsidRPr="004B6753" w:rsidRDefault="005D7DD5" w:rsidP="004B6753">
            <w:pPr>
              <w:pStyle w:val="NoSpacing"/>
              <w:jc w:val="center"/>
              <w:rPr>
                <w:rFonts w:ascii="Times New Roman" w:hAnsi="Times New Roman" w:cs="Times New Roman"/>
                <w:b/>
                <w:bCs/>
                <w:szCs w:val="24"/>
              </w:rPr>
            </w:pPr>
            <w:r w:rsidRPr="004B6753">
              <w:rPr>
                <w:rFonts w:ascii="Times New Roman" w:hAnsi="Times New Roman" w:cs="Times New Roman"/>
                <w:b/>
                <w:bCs/>
                <w:szCs w:val="24"/>
              </w:rPr>
              <w:t>9</w:t>
            </w:r>
          </w:p>
        </w:tc>
        <w:tc>
          <w:tcPr>
            <w:tcW w:w="1412" w:type="dxa"/>
            <w:vAlign w:val="center"/>
            <w:hideMark/>
          </w:tcPr>
          <w:p w14:paraId="5A3FC03A" w14:textId="77777777" w:rsidR="005D7DD5" w:rsidRPr="004B6753" w:rsidRDefault="005D7DD5" w:rsidP="004B6753">
            <w:pPr>
              <w:pStyle w:val="NoSpacing"/>
              <w:jc w:val="center"/>
              <w:rPr>
                <w:rFonts w:ascii="Times New Roman" w:hAnsi="Times New Roman" w:cs="Times New Roman"/>
                <w:b/>
                <w:bCs/>
                <w:szCs w:val="24"/>
              </w:rPr>
            </w:pPr>
            <w:r w:rsidRPr="004B6753">
              <w:rPr>
                <w:rFonts w:ascii="Times New Roman" w:hAnsi="Times New Roman" w:cs="Times New Roman"/>
                <w:b/>
                <w:bCs/>
                <w:szCs w:val="24"/>
              </w:rPr>
              <w:t>10</w:t>
            </w:r>
          </w:p>
        </w:tc>
        <w:tc>
          <w:tcPr>
            <w:tcW w:w="923" w:type="dxa"/>
            <w:vAlign w:val="center"/>
            <w:hideMark/>
          </w:tcPr>
          <w:p w14:paraId="5ABE5386" w14:textId="77777777" w:rsidR="005D7DD5" w:rsidRPr="004B6753" w:rsidRDefault="005D7DD5" w:rsidP="004B6753">
            <w:pPr>
              <w:pStyle w:val="NoSpacing"/>
              <w:jc w:val="center"/>
              <w:rPr>
                <w:rFonts w:ascii="Times New Roman" w:hAnsi="Times New Roman" w:cs="Times New Roman"/>
                <w:b/>
                <w:bCs/>
                <w:szCs w:val="24"/>
              </w:rPr>
            </w:pPr>
            <w:r w:rsidRPr="004B6753">
              <w:rPr>
                <w:rFonts w:ascii="Times New Roman" w:hAnsi="Times New Roman" w:cs="Times New Roman"/>
                <w:b/>
                <w:bCs/>
                <w:szCs w:val="24"/>
              </w:rPr>
              <w:t>11</w:t>
            </w:r>
          </w:p>
        </w:tc>
        <w:tc>
          <w:tcPr>
            <w:tcW w:w="1492" w:type="dxa"/>
            <w:vAlign w:val="center"/>
            <w:hideMark/>
          </w:tcPr>
          <w:p w14:paraId="52972F71" w14:textId="77777777" w:rsidR="005D7DD5" w:rsidRPr="004B6753" w:rsidRDefault="005D7DD5" w:rsidP="004B6753">
            <w:pPr>
              <w:pStyle w:val="NoSpacing"/>
              <w:jc w:val="center"/>
              <w:rPr>
                <w:rFonts w:ascii="Times New Roman" w:hAnsi="Times New Roman" w:cs="Times New Roman"/>
                <w:b/>
                <w:bCs/>
                <w:szCs w:val="24"/>
              </w:rPr>
            </w:pPr>
            <w:r w:rsidRPr="004B6753">
              <w:rPr>
                <w:rFonts w:ascii="Times New Roman" w:hAnsi="Times New Roman" w:cs="Times New Roman"/>
                <w:b/>
                <w:bCs/>
                <w:szCs w:val="24"/>
              </w:rPr>
              <w:t>12</w:t>
            </w:r>
          </w:p>
        </w:tc>
      </w:tr>
      <w:tr w:rsidR="00416FA8" w:rsidRPr="00A85D2D" w14:paraId="133CB9E0" w14:textId="77777777" w:rsidTr="004B6753">
        <w:tc>
          <w:tcPr>
            <w:tcW w:w="1405" w:type="dxa"/>
            <w:hideMark/>
          </w:tcPr>
          <w:p w14:paraId="6BBDC177" w14:textId="77777777" w:rsidR="005D7DD5" w:rsidRPr="00A85D2D" w:rsidRDefault="005D7DD5" w:rsidP="005D7DD5">
            <w:pPr>
              <w:pStyle w:val="NoSpacing"/>
              <w:rPr>
                <w:rFonts w:ascii="Times New Roman" w:hAnsi="Times New Roman" w:cs="Times New Roman"/>
                <w:szCs w:val="24"/>
              </w:rPr>
            </w:pPr>
            <w:r w:rsidRPr="00A85D2D">
              <w:rPr>
                <w:rFonts w:ascii="Times New Roman" w:hAnsi="Times New Roman" w:cs="Times New Roman"/>
                <w:szCs w:val="24"/>
              </w:rPr>
              <w:t>Andhra Pradesh</w:t>
            </w:r>
          </w:p>
        </w:tc>
        <w:tc>
          <w:tcPr>
            <w:tcW w:w="0" w:type="auto"/>
            <w:vAlign w:val="center"/>
            <w:hideMark/>
          </w:tcPr>
          <w:p w14:paraId="69B3F55A" w14:textId="77777777" w:rsidR="005D7DD5" w:rsidRPr="00A85D2D" w:rsidRDefault="005D7DD5" w:rsidP="004B6753">
            <w:pPr>
              <w:pStyle w:val="NoSpacing"/>
              <w:jc w:val="center"/>
              <w:rPr>
                <w:rFonts w:ascii="Times New Roman" w:hAnsi="Times New Roman" w:cs="Times New Roman"/>
                <w:szCs w:val="24"/>
              </w:rPr>
            </w:pPr>
          </w:p>
        </w:tc>
        <w:tc>
          <w:tcPr>
            <w:tcW w:w="0" w:type="auto"/>
            <w:vAlign w:val="center"/>
            <w:hideMark/>
          </w:tcPr>
          <w:p w14:paraId="37D8791A" w14:textId="77777777" w:rsidR="005D7DD5" w:rsidRPr="00A85D2D" w:rsidRDefault="005D7DD5" w:rsidP="004B6753">
            <w:pPr>
              <w:pStyle w:val="NoSpacing"/>
              <w:jc w:val="center"/>
              <w:rPr>
                <w:rFonts w:ascii="Times New Roman" w:hAnsi="Times New Roman" w:cs="Times New Roman"/>
                <w:szCs w:val="24"/>
              </w:rPr>
            </w:pPr>
          </w:p>
        </w:tc>
        <w:tc>
          <w:tcPr>
            <w:tcW w:w="1790" w:type="dxa"/>
            <w:vAlign w:val="center"/>
            <w:hideMark/>
          </w:tcPr>
          <w:p w14:paraId="06AABA82" w14:textId="77777777" w:rsidR="005D7DD5" w:rsidRPr="00A85D2D" w:rsidRDefault="005D7DD5" w:rsidP="004B6753">
            <w:pPr>
              <w:pStyle w:val="NoSpacing"/>
              <w:jc w:val="center"/>
              <w:rPr>
                <w:rFonts w:ascii="Times New Roman" w:hAnsi="Times New Roman" w:cs="Times New Roman"/>
                <w:szCs w:val="24"/>
              </w:rPr>
            </w:pPr>
          </w:p>
        </w:tc>
        <w:tc>
          <w:tcPr>
            <w:tcW w:w="916" w:type="dxa"/>
            <w:vAlign w:val="center"/>
            <w:hideMark/>
          </w:tcPr>
          <w:p w14:paraId="5EC1BB75" w14:textId="77777777" w:rsidR="005D7DD5" w:rsidRPr="00A85D2D" w:rsidRDefault="005D7DD5" w:rsidP="004B6753">
            <w:pPr>
              <w:pStyle w:val="NoSpacing"/>
              <w:jc w:val="center"/>
              <w:rPr>
                <w:rFonts w:ascii="Times New Roman" w:hAnsi="Times New Roman" w:cs="Times New Roman"/>
                <w:szCs w:val="24"/>
              </w:rPr>
            </w:pPr>
          </w:p>
        </w:tc>
        <w:tc>
          <w:tcPr>
            <w:tcW w:w="0" w:type="auto"/>
            <w:vAlign w:val="center"/>
            <w:hideMark/>
          </w:tcPr>
          <w:p w14:paraId="4941541D" w14:textId="77777777" w:rsidR="005D7DD5" w:rsidRPr="00A85D2D" w:rsidRDefault="005D7DD5" w:rsidP="004B6753">
            <w:pPr>
              <w:pStyle w:val="NoSpacing"/>
              <w:jc w:val="center"/>
              <w:rPr>
                <w:rFonts w:ascii="Times New Roman" w:hAnsi="Times New Roman" w:cs="Times New Roman"/>
                <w:szCs w:val="24"/>
              </w:rPr>
            </w:pPr>
          </w:p>
        </w:tc>
        <w:tc>
          <w:tcPr>
            <w:tcW w:w="0" w:type="auto"/>
            <w:vAlign w:val="center"/>
            <w:hideMark/>
          </w:tcPr>
          <w:p w14:paraId="6A44C9DA" w14:textId="77777777" w:rsidR="005D7DD5" w:rsidRPr="00A85D2D" w:rsidRDefault="005D7DD5" w:rsidP="004B6753">
            <w:pPr>
              <w:pStyle w:val="NoSpacing"/>
              <w:jc w:val="center"/>
              <w:rPr>
                <w:rFonts w:ascii="Times New Roman" w:hAnsi="Times New Roman" w:cs="Times New Roman"/>
                <w:szCs w:val="24"/>
              </w:rPr>
            </w:pPr>
          </w:p>
        </w:tc>
        <w:tc>
          <w:tcPr>
            <w:tcW w:w="0" w:type="auto"/>
            <w:vAlign w:val="center"/>
            <w:hideMark/>
          </w:tcPr>
          <w:p w14:paraId="6C00B0EB" w14:textId="77777777" w:rsidR="005D7DD5" w:rsidRPr="00A85D2D" w:rsidRDefault="005D7DD5" w:rsidP="004B6753">
            <w:pPr>
              <w:pStyle w:val="NoSpacing"/>
              <w:jc w:val="center"/>
              <w:rPr>
                <w:rFonts w:ascii="Times New Roman" w:hAnsi="Times New Roman" w:cs="Times New Roman"/>
                <w:szCs w:val="24"/>
              </w:rPr>
            </w:pPr>
          </w:p>
        </w:tc>
        <w:tc>
          <w:tcPr>
            <w:tcW w:w="0" w:type="auto"/>
            <w:vAlign w:val="center"/>
            <w:hideMark/>
          </w:tcPr>
          <w:p w14:paraId="719029D2" w14:textId="77777777" w:rsidR="005D7DD5" w:rsidRPr="00A85D2D" w:rsidRDefault="005D7DD5" w:rsidP="004B6753">
            <w:pPr>
              <w:pStyle w:val="NoSpacing"/>
              <w:jc w:val="center"/>
              <w:rPr>
                <w:rFonts w:ascii="Times New Roman" w:hAnsi="Times New Roman" w:cs="Times New Roman"/>
                <w:szCs w:val="24"/>
              </w:rPr>
            </w:pPr>
          </w:p>
        </w:tc>
        <w:tc>
          <w:tcPr>
            <w:tcW w:w="1412" w:type="dxa"/>
            <w:vAlign w:val="center"/>
            <w:hideMark/>
          </w:tcPr>
          <w:p w14:paraId="42A14045" w14:textId="77777777" w:rsidR="005D7DD5" w:rsidRPr="00A85D2D" w:rsidRDefault="005D7DD5" w:rsidP="004B6753">
            <w:pPr>
              <w:pStyle w:val="NoSpacing"/>
              <w:jc w:val="center"/>
              <w:rPr>
                <w:rFonts w:ascii="Times New Roman" w:hAnsi="Times New Roman" w:cs="Times New Roman"/>
                <w:szCs w:val="24"/>
              </w:rPr>
            </w:pPr>
          </w:p>
        </w:tc>
        <w:tc>
          <w:tcPr>
            <w:tcW w:w="923" w:type="dxa"/>
            <w:vAlign w:val="center"/>
            <w:hideMark/>
          </w:tcPr>
          <w:p w14:paraId="3F2B6EF5" w14:textId="77777777" w:rsidR="005D7DD5" w:rsidRPr="00A85D2D" w:rsidRDefault="005D7DD5" w:rsidP="004B6753">
            <w:pPr>
              <w:pStyle w:val="NoSpacing"/>
              <w:jc w:val="center"/>
              <w:rPr>
                <w:rFonts w:ascii="Times New Roman" w:hAnsi="Times New Roman" w:cs="Times New Roman"/>
                <w:szCs w:val="24"/>
              </w:rPr>
            </w:pPr>
          </w:p>
        </w:tc>
        <w:tc>
          <w:tcPr>
            <w:tcW w:w="1492" w:type="dxa"/>
            <w:vAlign w:val="center"/>
            <w:hideMark/>
          </w:tcPr>
          <w:p w14:paraId="004C8952" w14:textId="77777777" w:rsidR="005D7DD5" w:rsidRPr="00A85D2D" w:rsidRDefault="005D7DD5" w:rsidP="004B6753">
            <w:pPr>
              <w:pStyle w:val="NoSpacing"/>
              <w:jc w:val="center"/>
              <w:rPr>
                <w:rFonts w:ascii="Times New Roman" w:hAnsi="Times New Roman" w:cs="Times New Roman"/>
                <w:szCs w:val="24"/>
              </w:rPr>
            </w:pPr>
          </w:p>
        </w:tc>
      </w:tr>
      <w:tr w:rsidR="00536FE0" w:rsidRPr="00A85D2D" w14:paraId="0A6FC3C0" w14:textId="77777777" w:rsidTr="004B6753">
        <w:tc>
          <w:tcPr>
            <w:tcW w:w="1405" w:type="dxa"/>
            <w:vMerge w:val="restart"/>
            <w:hideMark/>
          </w:tcPr>
          <w:p w14:paraId="1BB38ADD" w14:textId="77777777" w:rsidR="00536FE0" w:rsidRPr="00A85D2D" w:rsidRDefault="00536FE0" w:rsidP="005D7DD5">
            <w:pPr>
              <w:pStyle w:val="NoSpacing"/>
              <w:rPr>
                <w:rFonts w:ascii="Times New Roman" w:hAnsi="Times New Roman" w:cs="Times New Roman"/>
                <w:szCs w:val="24"/>
              </w:rPr>
            </w:pPr>
            <w:r w:rsidRPr="00A85D2D">
              <w:rPr>
                <w:rFonts w:ascii="Times New Roman" w:hAnsi="Times New Roman" w:cs="Times New Roman"/>
                <w:szCs w:val="24"/>
              </w:rPr>
              <w:t>1961-62</w:t>
            </w:r>
          </w:p>
        </w:tc>
        <w:tc>
          <w:tcPr>
            <w:tcW w:w="0" w:type="auto"/>
            <w:vAlign w:val="center"/>
            <w:hideMark/>
          </w:tcPr>
          <w:p w14:paraId="51E302E0" w14:textId="77777777" w:rsidR="00536FE0" w:rsidRPr="00A85D2D" w:rsidRDefault="00536FE0" w:rsidP="004B6753">
            <w:pPr>
              <w:pStyle w:val="NoSpacing"/>
              <w:jc w:val="center"/>
              <w:rPr>
                <w:rFonts w:ascii="Times New Roman" w:hAnsi="Times New Roman" w:cs="Times New Roman"/>
                <w:szCs w:val="24"/>
              </w:rPr>
            </w:pPr>
            <w:r w:rsidRPr="00A85D2D">
              <w:rPr>
                <w:rFonts w:ascii="Times New Roman" w:hAnsi="Times New Roman" w:cs="Times New Roman"/>
                <w:szCs w:val="24"/>
              </w:rPr>
              <w:t>6.76</w:t>
            </w:r>
          </w:p>
        </w:tc>
        <w:tc>
          <w:tcPr>
            <w:tcW w:w="0" w:type="auto"/>
            <w:vAlign w:val="center"/>
            <w:hideMark/>
          </w:tcPr>
          <w:p w14:paraId="0CF23F71" w14:textId="77777777" w:rsidR="00536FE0" w:rsidRPr="00A85D2D" w:rsidRDefault="00536FE0" w:rsidP="004B6753">
            <w:pPr>
              <w:pStyle w:val="NoSpacing"/>
              <w:jc w:val="center"/>
              <w:rPr>
                <w:rFonts w:ascii="Times New Roman" w:hAnsi="Times New Roman" w:cs="Times New Roman"/>
                <w:szCs w:val="24"/>
              </w:rPr>
            </w:pPr>
            <w:r w:rsidRPr="00A85D2D">
              <w:rPr>
                <w:rFonts w:ascii="Times New Roman" w:hAnsi="Times New Roman" w:cs="Times New Roman"/>
                <w:szCs w:val="24"/>
              </w:rPr>
              <w:t>0.86</w:t>
            </w:r>
          </w:p>
        </w:tc>
        <w:tc>
          <w:tcPr>
            <w:tcW w:w="1790" w:type="dxa"/>
            <w:vAlign w:val="center"/>
            <w:hideMark/>
          </w:tcPr>
          <w:p w14:paraId="44789363" w14:textId="77777777" w:rsidR="00536FE0" w:rsidRPr="00A85D2D" w:rsidRDefault="00536FE0" w:rsidP="004B6753">
            <w:pPr>
              <w:pStyle w:val="NoSpacing"/>
              <w:jc w:val="center"/>
              <w:rPr>
                <w:rFonts w:ascii="Times New Roman" w:hAnsi="Times New Roman" w:cs="Times New Roman"/>
                <w:szCs w:val="24"/>
              </w:rPr>
            </w:pPr>
            <w:r w:rsidRPr="00A85D2D">
              <w:rPr>
                <w:rFonts w:ascii="Times New Roman" w:hAnsi="Times New Roman" w:cs="Times New Roman"/>
                <w:szCs w:val="24"/>
              </w:rPr>
              <w:t>7.34</w:t>
            </w:r>
          </w:p>
        </w:tc>
        <w:tc>
          <w:tcPr>
            <w:tcW w:w="916" w:type="dxa"/>
            <w:vAlign w:val="center"/>
            <w:hideMark/>
          </w:tcPr>
          <w:p w14:paraId="60BB25CA" w14:textId="77777777" w:rsidR="00536FE0" w:rsidRPr="00A85D2D" w:rsidRDefault="00536FE0" w:rsidP="004B6753">
            <w:pPr>
              <w:pStyle w:val="NoSpacing"/>
              <w:jc w:val="center"/>
              <w:rPr>
                <w:rFonts w:ascii="Times New Roman" w:hAnsi="Times New Roman" w:cs="Times New Roman"/>
                <w:szCs w:val="24"/>
              </w:rPr>
            </w:pPr>
            <w:r w:rsidRPr="00A85D2D">
              <w:rPr>
                <w:rFonts w:ascii="Times New Roman" w:hAnsi="Times New Roman" w:cs="Times New Roman"/>
                <w:szCs w:val="24"/>
              </w:rPr>
              <w:t>6.32</w:t>
            </w:r>
          </w:p>
        </w:tc>
        <w:tc>
          <w:tcPr>
            <w:tcW w:w="0" w:type="auto"/>
            <w:vAlign w:val="center"/>
            <w:hideMark/>
          </w:tcPr>
          <w:p w14:paraId="06A594A5" w14:textId="77777777" w:rsidR="00536FE0" w:rsidRPr="00A85D2D" w:rsidRDefault="00536FE0" w:rsidP="004B6753">
            <w:pPr>
              <w:pStyle w:val="NoSpacing"/>
              <w:jc w:val="center"/>
              <w:rPr>
                <w:rFonts w:ascii="Times New Roman" w:hAnsi="Times New Roman" w:cs="Times New Roman"/>
                <w:szCs w:val="24"/>
              </w:rPr>
            </w:pPr>
            <w:r w:rsidRPr="00A85D2D">
              <w:rPr>
                <w:rFonts w:ascii="Times New Roman" w:hAnsi="Times New Roman" w:cs="Times New Roman"/>
                <w:szCs w:val="24"/>
              </w:rPr>
              <w:t>1.75</w:t>
            </w:r>
          </w:p>
        </w:tc>
        <w:tc>
          <w:tcPr>
            <w:tcW w:w="0" w:type="auto"/>
            <w:vAlign w:val="center"/>
            <w:hideMark/>
          </w:tcPr>
          <w:p w14:paraId="194444C0" w14:textId="77777777" w:rsidR="00536FE0" w:rsidRPr="00A85D2D" w:rsidRDefault="00536FE0" w:rsidP="004B6753">
            <w:pPr>
              <w:pStyle w:val="NoSpacing"/>
              <w:jc w:val="center"/>
              <w:rPr>
                <w:rFonts w:ascii="Times New Roman" w:hAnsi="Times New Roman" w:cs="Times New Roman"/>
                <w:szCs w:val="24"/>
              </w:rPr>
            </w:pPr>
            <w:r w:rsidRPr="00A85D2D">
              <w:rPr>
                <w:rFonts w:ascii="Times New Roman" w:hAnsi="Times New Roman" w:cs="Times New Roman"/>
                <w:szCs w:val="24"/>
              </w:rPr>
              <w:t>21.23</w:t>
            </w:r>
          </w:p>
        </w:tc>
        <w:tc>
          <w:tcPr>
            <w:tcW w:w="0" w:type="auto"/>
            <w:vAlign w:val="center"/>
            <w:hideMark/>
          </w:tcPr>
          <w:p w14:paraId="6B0E462D" w14:textId="77777777" w:rsidR="00536FE0" w:rsidRPr="00A85D2D" w:rsidRDefault="00536FE0" w:rsidP="004B6753">
            <w:pPr>
              <w:pStyle w:val="NoSpacing"/>
              <w:jc w:val="center"/>
              <w:rPr>
                <w:rFonts w:ascii="Times New Roman" w:hAnsi="Times New Roman" w:cs="Times New Roman"/>
                <w:szCs w:val="24"/>
              </w:rPr>
            </w:pPr>
            <w:r w:rsidRPr="00A85D2D">
              <w:rPr>
                <w:rFonts w:ascii="Times New Roman" w:hAnsi="Times New Roman" w:cs="Times New Roman"/>
                <w:szCs w:val="24"/>
              </w:rPr>
              <w:t>5.71</w:t>
            </w:r>
          </w:p>
        </w:tc>
        <w:tc>
          <w:tcPr>
            <w:tcW w:w="0" w:type="auto"/>
            <w:vAlign w:val="center"/>
            <w:hideMark/>
          </w:tcPr>
          <w:p w14:paraId="1DA710AE" w14:textId="77777777" w:rsidR="00536FE0" w:rsidRPr="00A85D2D" w:rsidRDefault="00536FE0" w:rsidP="004B6753">
            <w:pPr>
              <w:pStyle w:val="NoSpacing"/>
              <w:jc w:val="center"/>
              <w:rPr>
                <w:rFonts w:ascii="Times New Roman" w:hAnsi="Times New Roman" w:cs="Times New Roman"/>
                <w:szCs w:val="24"/>
              </w:rPr>
            </w:pPr>
            <w:r w:rsidRPr="00A85D2D">
              <w:rPr>
                <w:rFonts w:ascii="Times New Roman" w:hAnsi="Times New Roman" w:cs="Times New Roman"/>
                <w:szCs w:val="24"/>
              </w:rPr>
              <w:t>1.62</w:t>
            </w:r>
          </w:p>
        </w:tc>
        <w:tc>
          <w:tcPr>
            <w:tcW w:w="1412" w:type="dxa"/>
            <w:vAlign w:val="center"/>
            <w:hideMark/>
          </w:tcPr>
          <w:p w14:paraId="2D379F15" w14:textId="77777777" w:rsidR="00536FE0" w:rsidRPr="00A85D2D" w:rsidRDefault="00536FE0" w:rsidP="004B6753">
            <w:pPr>
              <w:pStyle w:val="NoSpacing"/>
              <w:jc w:val="center"/>
              <w:rPr>
                <w:rFonts w:ascii="Times New Roman" w:hAnsi="Times New Roman" w:cs="Times New Roman"/>
                <w:szCs w:val="24"/>
              </w:rPr>
            </w:pPr>
            <w:r w:rsidRPr="00A85D2D">
              <w:rPr>
                <w:rFonts w:ascii="Times New Roman" w:hAnsi="Times New Roman" w:cs="Times New Roman"/>
                <w:szCs w:val="24"/>
              </w:rPr>
              <w:t>3.29</w:t>
            </w:r>
          </w:p>
        </w:tc>
        <w:tc>
          <w:tcPr>
            <w:tcW w:w="923" w:type="dxa"/>
            <w:vAlign w:val="center"/>
            <w:hideMark/>
          </w:tcPr>
          <w:p w14:paraId="49DEA120" w14:textId="77777777" w:rsidR="00536FE0" w:rsidRPr="00A85D2D" w:rsidRDefault="00536FE0" w:rsidP="004B6753">
            <w:pPr>
              <w:pStyle w:val="NoSpacing"/>
              <w:jc w:val="center"/>
              <w:rPr>
                <w:rFonts w:ascii="Times New Roman" w:hAnsi="Times New Roman" w:cs="Times New Roman"/>
                <w:szCs w:val="24"/>
              </w:rPr>
            </w:pPr>
            <w:r w:rsidRPr="00A85D2D">
              <w:rPr>
                <w:rFonts w:ascii="Times New Roman" w:hAnsi="Times New Roman" w:cs="Times New Roman"/>
                <w:szCs w:val="24"/>
              </w:rPr>
              <w:t>35.76</w:t>
            </w:r>
          </w:p>
        </w:tc>
        <w:tc>
          <w:tcPr>
            <w:tcW w:w="1492" w:type="dxa"/>
            <w:vAlign w:val="center"/>
            <w:hideMark/>
          </w:tcPr>
          <w:p w14:paraId="7CD820D0" w14:textId="77777777" w:rsidR="00536FE0" w:rsidRPr="00A85D2D" w:rsidRDefault="00536FE0" w:rsidP="004B6753">
            <w:pPr>
              <w:pStyle w:val="NoSpacing"/>
              <w:jc w:val="center"/>
              <w:rPr>
                <w:rFonts w:ascii="Times New Roman" w:hAnsi="Times New Roman" w:cs="Times New Roman"/>
                <w:szCs w:val="24"/>
              </w:rPr>
            </w:pPr>
            <w:r w:rsidRPr="00A85D2D">
              <w:rPr>
                <w:rFonts w:ascii="Times New Roman" w:hAnsi="Times New Roman" w:cs="Times New Roman"/>
                <w:szCs w:val="24"/>
              </w:rPr>
              <w:t>90.64</w:t>
            </w:r>
          </w:p>
        </w:tc>
      </w:tr>
      <w:tr w:rsidR="00536FE0" w:rsidRPr="00A85D2D" w14:paraId="4E17454A" w14:textId="77777777" w:rsidTr="004B6753">
        <w:tc>
          <w:tcPr>
            <w:tcW w:w="1405" w:type="dxa"/>
            <w:vMerge/>
            <w:hideMark/>
          </w:tcPr>
          <w:p w14:paraId="7CB55DB6" w14:textId="77777777" w:rsidR="00536FE0" w:rsidRPr="00A85D2D" w:rsidRDefault="00536FE0" w:rsidP="005D7DD5">
            <w:pPr>
              <w:pStyle w:val="NoSpacing"/>
              <w:rPr>
                <w:rFonts w:ascii="Times New Roman" w:hAnsi="Times New Roman" w:cs="Times New Roman"/>
                <w:szCs w:val="24"/>
              </w:rPr>
            </w:pPr>
          </w:p>
        </w:tc>
        <w:tc>
          <w:tcPr>
            <w:tcW w:w="0" w:type="auto"/>
            <w:vAlign w:val="center"/>
            <w:hideMark/>
          </w:tcPr>
          <w:p w14:paraId="54D8FB76" w14:textId="77777777" w:rsidR="00536FE0" w:rsidRPr="00A85D2D" w:rsidRDefault="00536FE0" w:rsidP="004B6753">
            <w:pPr>
              <w:pStyle w:val="NoSpacing"/>
              <w:jc w:val="center"/>
              <w:rPr>
                <w:rFonts w:ascii="Times New Roman" w:hAnsi="Times New Roman" w:cs="Times New Roman"/>
                <w:szCs w:val="24"/>
              </w:rPr>
            </w:pPr>
            <w:r w:rsidRPr="00A85D2D">
              <w:rPr>
                <w:rFonts w:ascii="Times New Roman" w:hAnsi="Times New Roman" w:cs="Times New Roman"/>
                <w:szCs w:val="24"/>
              </w:rPr>
              <w:t>(7.46)</w:t>
            </w:r>
          </w:p>
        </w:tc>
        <w:tc>
          <w:tcPr>
            <w:tcW w:w="0" w:type="auto"/>
            <w:vAlign w:val="center"/>
            <w:hideMark/>
          </w:tcPr>
          <w:p w14:paraId="2333D0E2" w14:textId="77777777" w:rsidR="00536FE0" w:rsidRPr="00A85D2D" w:rsidRDefault="00536FE0" w:rsidP="004B6753">
            <w:pPr>
              <w:pStyle w:val="NoSpacing"/>
              <w:jc w:val="center"/>
              <w:rPr>
                <w:rFonts w:ascii="Times New Roman" w:hAnsi="Times New Roman" w:cs="Times New Roman"/>
                <w:szCs w:val="24"/>
              </w:rPr>
            </w:pPr>
            <w:r w:rsidRPr="00A85D2D">
              <w:rPr>
                <w:rFonts w:ascii="Times New Roman" w:hAnsi="Times New Roman" w:cs="Times New Roman"/>
                <w:szCs w:val="24"/>
              </w:rPr>
              <w:t>(0.95)</w:t>
            </w:r>
          </w:p>
        </w:tc>
        <w:tc>
          <w:tcPr>
            <w:tcW w:w="1790" w:type="dxa"/>
            <w:vAlign w:val="center"/>
            <w:hideMark/>
          </w:tcPr>
          <w:p w14:paraId="15E140FA" w14:textId="77777777" w:rsidR="00536FE0" w:rsidRPr="00A85D2D" w:rsidRDefault="00536FE0" w:rsidP="004B6753">
            <w:pPr>
              <w:pStyle w:val="NoSpacing"/>
              <w:jc w:val="center"/>
              <w:rPr>
                <w:rFonts w:ascii="Times New Roman" w:hAnsi="Times New Roman" w:cs="Times New Roman"/>
                <w:szCs w:val="24"/>
              </w:rPr>
            </w:pPr>
            <w:r w:rsidRPr="00A85D2D">
              <w:rPr>
                <w:rFonts w:ascii="Times New Roman" w:hAnsi="Times New Roman" w:cs="Times New Roman"/>
                <w:szCs w:val="24"/>
              </w:rPr>
              <w:t>(8.10)</w:t>
            </w:r>
          </w:p>
        </w:tc>
        <w:tc>
          <w:tcPr>
            <w:tcW w:w="916" w:type="dxa"/>
            <w:vAlign w:val="center"/>
            <w:hideMark/>
          </w:tcPr>
          <w:p w14:paraId="7D86663F" w14:textId="77777777" w:rsidR="00536FE0" w:rsidRPr="00A85D2D" w:rsidRDefault="00536FE0" w:rsidP="004B6753">
            <w:pPr>
              <w:pStyle w:val="NoSpacing"/>
              <w:jc w:val="center"/>
              <w:rPr>
                <w:rFonts w:ascii="Times New Roman" w:hAnsi="Times New Roman" w:cs="Times New Roman"/>
                <w:szCs w:val="24"/>
              </w:rPr>
            </w:pPr>
            <w:r w:rsidRPr="00A85D2D">
              <w:rPr>
                <w:rFonts w:ascii="Times New Roman" w:hAnsi="Times New Roman" w:cs="Times New Roman"/>
                <w:szCs w:val="24"/>
              </w:rPr>
              <w:t>(6.97)</w:t>
            </w:r>
          </w:p>
        </w:tc>
        <w:tc>
          <w:tcPr>
            <w:tcW w:w="0" w:type="auto"/>
            <w:vAlign w:val="center"/>
            <w:hideMark/>
          </w:tcPr>
          <w:p w14:paraId="280D7E44" w14:textId="77777777" w:rsidR="00536FE0" w:rsidRPr="00A85D2D" w:rsidRDefault="00536FE0" w:rsidP="004B6753">
            <w:pPr>
              <w:pStyle w:val="NoSpacing"/>
              <w:jc w:val="center"/>
              <w:rPr>
                <w:rFonts w:ascii="Times New Roman" w:hAnsi="Times New Roman" w:cs="Times New Roman"/>
                <w:szCs w:val="24"/>
              </w:rPr>
            </w:pPr>
            <w:r w:rsidRPr="00A85D2D">
              <w:rPr>
                <w:rFonts w:ascii="Times New Roman" w:hAnsi="Times New Roman" w:cs="Times New Roman"/>
                <w:szCs w:val="24"/>
              </w:rPr>
              <w:t>(1.93)</w:t>
            </w:r>
          </w:p>
        </w:tc>
        <w:tc>
          <w:tcPr>
            <w:tcW w:w="0" w:type="auto"/>
            <w:vAlign w:val="center"/>
            <w:hideMark/>
          </w:tcPr>
          <w:p w14:paraId="28B1C874" w14:textId="77777777" w:rsidR="00536FE0" w:rsidRPr="00A85D2D" w:rsidRDefault="00536FE0" w:rsidP="004B6753">
            <w:pPr>
              <w:pStyle w:val="NoSpacing"/>
              <w:jc w:val="center"/>
              <w:rPr>
                <w:rFonts w:ascii="Times New Roman" w:hAnsi="Times New Roman" w:cs="Times New Roman"/>
                <w:szCs w:val="24"/>
              </w:rPr>
            </w:pPr>
            <w:r w:rsidRPr="00A85D2D">
              <w:rPr>
                <w:rFonts w:ascii="Times New Roman" w:hAnsi="Times New Roman" w:cs="Times New Roman"/>
                <w:szCs w:val="24"/>
              </w:rPr>
              <w:t>(23.42)</w:t>
            </w:r>
          </w:p>
        </w:tc>
        <w:tc>
          <w:tcPr>
            <w:tcW w:w="0" w:type="auto"/>
            <w:vAlign w:val="center"/>
            <w:hideMark/>
          </w:tcPr>
          <w:p w14:paraId="4763C423" w14:textId="77777777" w:rsidR="00536FE0" w:rsidRPr="00A85D2D" w:rsidRDefault="00536FE0" w:rsidP="004B6753">
            <w:pPr>
              <w:pStyle w:val="NoSpacing"/>
              <w:jc w:val="center"/>
              <w:rPr>
                <w:rFonts w:ascii="Times New Roman" w:hAnsi="Times New Roman" w:cs="Times New Roman"/>
                <w:szCs w:val="24"/>
              </w:rPr>
            </w:pPr>
            <w:r w:rsidRPr="00A85D2D">
              <w:rPr>
                <w:rFonts w:ascii="Times New Roman" w:hAnsi="Times New Roman" w:cs="Times New Roman"/>
                <w:szCs w:val="24"/>
              </w:rPr>
              <w:t>(6.30)</w:t>
            </w:r>
          </w:p>
        </w:tc>
        <w:tc>
          <w:tcPr>
            <w:tcW w:w="0" w:type="auto"/>
            <w:vAlign w:val="center"/>
            <w:hideMark/>
          </w:tcPr>
          <w:p w14:paraId="59683CD1" w14:textId="77777777" w:rsidR="00536FE0" w:rsidRPr="00A85D2D" w:rsidRDefault="00536FE0" w:rsidP="004B6753">
            <w:pPr>
              <w:pStyle w:val="NoSpacing"/>
              <w:jc w:val="center"/>
              <w:rPr>
                <w:rFonts w:ascii="Times New Roman" w:hAnsi="Times New Roman" w:cs="Times New Roman"/>
                <w:szCs w:val="24"/>
              </w:rPr>
            </w:pPr>
            <w:r w:rsidRPr="00A85D2D">
              <w:rPr>
                <w:rFonts w:ascii="Times New Roman" w:hAnsi="Times New Roman" w:cs="Times New Roman"/>
                <w:szCs w:val="24"/>
              </w:rPr>
              <w:t>(1.79)</w:t>
            </w:r>
          </w:p>
        </w:tc>
        <w:tc>
          <w:tcPr>
            <w:tcW w:w="1412" w:type="dxa"/>
            <w:vAlign w:val="center"/>
            <w:hideMark/>
          </w:tcPr>
          <w:p w14:paraId="0EF2106B" w14:textId="77777777" w:rsidR="00536FE0" w:rsidRPr="00A85D2D" w:rsidRDefault="00536FE0" w:rsidP="004B6753">
            <w:pPr>
              <w:pStyle w:val="NoSpacing"/>
              <w:jc w:val="center"/>
              <w:rPr>
                <w:rFonts w:ascii="Times New Roman" w:hAnsi="Times New Roman" w:cs="Times New Roman"/>
                <w:szCs w:val="24"/>
              </w:rPr>
            </w:pPr>
            <w:r w:rsidRPr="00A85D2D">
              <w:rPr>
                <w:rFonts w:ascii="Times New Roman" w:hAnsi="Times New Roman" w:cs="Times New Roman"/>
                <w:szCs w:val="24"/>
              </w:rPr>
              <w:t>(3.63)</w:t>
            </w:r>
          </w:p>
        </w:tc>
        <w:tc>
          <w:tcPr>
            <w:tcW w:w="923" w:type="dxa"/>
            <w:vAlign w:val="center"/>
            <w:hideMark/>
          </w:tcPr>
          <w:p w14:paraId="776CA153" w14:textId="77777777" w:rsidR="00536FE0" w:rsidRPr="00A85D2D" w:rsidRDefault="00536FE0" w:rsidP="004B6753">
            <w:pPr>
              <w:pStyle w:val="NoSpacing"/>
              <w:jc w:val="center"/>
              <w:rPr>
                <w:rFonts w:ascii="Times New Roman" w:hAnsi="Times New Roman" w:cs="Times New Roman"/>
                <w:szCs w:val="24"/>
              </w:rPr>
            </w:pPr>
            <w:r w:rsidRPr="00A85D2D">
              <w:rPr>
                <w:rFonts w:ascii="Times New Roman" w:hAnsi="Times New Roman" w:cs="Times New Roman"/>
                <w:szCs w:val="24"/>
              </w:rPr>
              <w:t>(39.45)</w:t>
            </w:r>
          </w:p>
        </w:tc>
        <w:tc>
          <w:tcPr>
            <w:tcW w:w="1492" w:type="dxa"/>
            <w:vAlign w:val="center"/>
            <w:hideMark/>
          </w:tcPr>
          <w:p w14:paraId="1D75DFCC" w14:textId="77777777" w:rsidR="00536FE0" w:rsidRPr="00A85D2D" w:rsidRDefault="00536FE0" w:rsidP="004B6753">
            <w:pPr>
              <w:pStyle w:val="NoSpacing"/>
              <w:jc w:val="center"/>
              <w:rPr>
                <w:rFonts w:ascii="Times New Roman" w:hAnsi="Times New Roman" w:cs="Times New Roman"/>
                <w:szCs w:val="24"/>
              </w:rPr>
            </w:pPr>
            <w:r w:rsidRPr="00A85D2D">
              <w:rPr>
                <w:rFonts w:ascii="Times New Roman" w:hAnsi="Times New Roman" w:cs="Times New Roman"/>
                <w:szCs w:val="24"/>
              </w:rPr>
              <w:t>(100.00)</w:t>
            </w:r>
          </w:p>
        </w:tc>
      </w:tr>
      <w:tr w:rsidR="00416FA8" w:rsidRPr="00A85D2D" w14:paraId="736DF940" w14:textId="77777777" w:rsidTr="004B6753">
        <w:tc>
          <w:tcPr>
            <w:tcW w:w="1405" w:type="dxa"/>
            <w:hideMark/>
          </w:tcPr>
          <w:p w14:paraId="6DC9F9DA" w14:textId="77777777" w:rsidR="005D7DD5" w:rsidRPr="00A85D2D" w:rsidRDefault="005D7DD5" w:rsidP="005D7DD5">
            <w:pPr>
              <w:pStyle w:val="NoSpacing"/>
              <w:rPr>
                <w:rFonts w:ascii="Times New Roman" w:hAnsi="Times New Roman" w:cs="Times New Roman"/>
                <w:szCs w:val="24"/>
              </w:rPr>
            </w:pPr>
            <w:r w:rsidRPr="00A85D2D">
              <w:rPr>
                <w:rFonts w:ascii="Times New Roman" w:hAnsi="Times New Roman" w:cs="Times New Roman"/>
                <w:szCs w:val="24"/>
              </w:rPr>
              <w:t>1965-66</w:t>
            </w:r>
          </w:p>
        </w:tc>
        <w:tc>
          <w:tcPr>
            <w:tcW w:w="0" w:type="auto"/>
            <w:vAlign w:val="center"/>
            <w:hideMark/>
          </w:tcPr>
          <w:p w14:paraId="78831574" w14:textId="77777777" w:rsidR="005D7DD5" w:rsidRPr="00A85D2D" w:rsidRDefault="005D7DD5" w:rsidP="004B6753">
            <w:pPr>
              <w:pStyle w:val="NoSpacing"/>
              <w:jc w:val="center"/>
              <w:rPr>
                <w:rFonts w:ascii="Times New Roman" w:hAnsi="Times New Roman" w:cs="Times New Roman"/>
                <w:szCs w:val="24"/>
              </w:rPr>
            </w:pPr>
            <w:r w:rsidRPr="00A85D2D">
              <w:rPr>
                <w:rFonts w:ascii="Times New Roman" w:hAnsi="Times New Roman" w:cs="Times New Roman"/>
                <w:szCs w:val="24"/>
              </w:rPr>
              <w:t>3.50</w:t>
            </w:r>
          </w:p>
        </w:tc>
        <w:tc>
          <w:tcPr>
            <w:tcW w:w="0" w:type="auto"/>
            <w:vAlign w:val="center"/>
            <w:hideMark/>
          </w:tcPr>
          <w:p w14:paraId="57DB0DAF" w14:textId="77777777" w:rsidR="005D7DD5" w:rsidRPr="00A85D2D" w:rsidRDefault="005D7DD5" w:rsidP="004B6753">
            <w:pPr>
              <w:pStyle w:val="NoSpacing"/>
              <w:jc w:val="center"/>
              <w:rPr>
                <w:rFonts w:ascii="Times New Roman" w:hAnsi="Times New Roman" w:cs="Times New Roman"/>
                <w:szCs w:val="24"/>
              </w:rPr>
            </w:pPr>
            <w:r w:rsidRPr="00A85D2D">
              <w:rPr>
                <w:rFonts w:ascii="Times New Roman" w:hAnsi="Times New Roman" w:cs="Times New Roman"/>
                <w:szCs w:val="24"/>
              </w:rPr>
              <w:t>17.50</w:t>
            </w:r>
          </w:p>
        </w:tc>
        <w:tc>
          <w:tcPr>
            <w:tcW w:w="1790" w:type="dxa"/>
            <w:vAlign w:val="center"/>
            <w:hideMark/>
          </w:tcPr>
          <w:p w14:paraId="09A8C6DF" w14:textId="77777777" w:rsidR="005D7DD5" w:rsidRPr="00A85D2D" w:rsidRDefault="005D7DD5" w:rsidP="004B6753">
            <w:pPr>
              <w:pStyle w:val="NoSpacing"/>
              <w:jc w:val="center"/>
              <w:rPr>
                <w:rFonts w:ascii="Times New Roman" w:hAnsi="Times New Roman" w:cs="Times New Roman"/>
                <w:szCs w:val="24"/>
              </w:rPr>
            </w:pPr>
            <w:r w:rsidRPr="00A85D2D">
              <w:rPr>
                <w:rFonts w:ascii="Times New Roman" w:hAnsi="Times New Roman" w:cs="Times New Roman"/>
                <w:szCs w:val="24"/>
              </w:rPr>
              <w:t>10.06</w:t>
            </w:r>
          </w:p>
        </w:tc>
        <w:tc>
          <w:tcPr>
            <w:tcW w:w="916" w:type="dxa"/>
            <w:vAlign w:val="center"/>
            <w:hideMark/>
          </w:tcPr>
          <w:p w14:paraId="2AE219C0" w14:textId="77777777" w:rsidR="005D7DD5" w:rsidRPr="00A85D2D" w:rsidRDefault="005D7DD5" w:rsidP="004B6753">
            <w:pPr>
              <w:pStyle w:val="NoSpacing"/>
              <w:jc w:val="center"/>
              <w:rPr>
                <w:rFonts w:ascii="Times New Roman" w:hAnsi="Times New Roman" w:cs="Times New Roman"/>
                <w:szCs w:val="24"/>
              </w:rPr>
            </w:pPr>
            <w:r w:rsidRPr="00A85D2D">
              <w:rPr>
                <w:rFonts w:ascii="Times New Roman" w:hAnsi="Times New Roman" w:cs="Times New Roman"/>
                <w:szCs w:val="24"/>
              </w:rPr>
              <w:t>8.15</w:t>
            </w:r>
          </w:p>
        </w:tc>
        <w:tc>
          <w:tcPr>
            <w:tcW w:w="0" w:type="auto"/>
            <w:vAlign w:val="center"/>
            <w:hideMark/>
          </w:tcPr>
          <w:p w14:paraId="3F02B231" w14:textId="77777777" w:rsidR="005D7DD5" w:rsidRPr="00A85D2D" w:rsidRDefault="005D7DD5" w:rsidP="004B6753">
            <w:pPr>
              <w:pStyle w:val="NoSpacing"/>
              <w:jc w:val="center"/>
              <w:rPr>
                <w:rFonts w:ascii="Times New Roman" w:hAnsi="Times New Roman" w:cs="Times New Roman"/>
                <w:szCs w:val="24"/>
              </w:rPr>
            </w:pPr>
            <w:r w:rsidRPr="00A85D2D">
              <w:rPr>
                <w:rFonts w:ascii="Times New Roman" w:hAnsi="Times New Roman" w:cs="Times New Roman"/>
                <w:szCs w:val="24"/>
              </w:rPr>
              <w:t>4.22</w:t>
            </w:r>
          </w:p>
        </w:tc>
        <w:tc>
          <w:tcPr>
            <w:tcW w:w="0" w:type="auto"/>
            <w:vAlign w:val="center"/>
            <w:hideMark/>
          </w:tcPr>
          <w:p w14:paraId="657ADAAA" w14:textId="77777777" w:rsidR="005D7DD5" w:rsidRPr="00A85D2D" w:rsidRDefault="005D7DD5" w:rsidP="004B6753">
            <w:pPr>
              <w:pStyle w:val="NoSpacing"/>
              <w:jc w:val="center"/>
              <w:rPr>
                <w:rFonts w:ascii="Times New Roman" w:hAnsi="Times New Roman" w:cs="Times New Roman"/>
                <w:szCs w:val="24"/>
              </w:rPr>
            </w:pPr>
            <w:r w:rsidRPr="00A85D2D">
              <w:rPr>
                <w:rFonts w:ascii="Times New Roman" w:hAnsi="Times New Roman" w:cs="Times New Roman"/>
                <w:szCs w:val="24"/>
              </w:rPr>
              <w:t>27.58</w:t>
            </w:r>
          </w:p>
        </w:tc>
        <w:tc>
          <w:tcPr>
            <w:tcW w:w="0" w:type="auto"/>
            <w:vAlign w:val="center"/>
            <w:hideMark/>
          </w:tcPr>
          <w:p w14:paraId="352395EF" w14:textId="77777777" w:rsidR="005D7DD5" w:rsidRPr="00A85D2D" w:rsidRDefault="005D7DD5" w:rsidP="004B6753">
            <w:pPr>
              <w:pStyle w:val="NoSpacing"/>
              <w:jc w:val="center"/>
              <w:rPr>
                <w:rFonts w:ascii="Times New Roman" w:hAnsi="Times New Roman" w:cs="Times New Roman"/>
                <w:szCs w:val="24"/>
              </w:rPr>
            </w:pPr>
            <w:r w:rsidRPr="00A85D2D">
              <w:rPr>
                <w:rFonts w:ascii="Times New Roman" w:hAnsi="Times New Roman" w:cs="Times New Roman"/>
                <w:szCs w:val="24"/>
              </w:rPr>
              <w:t>8.99</w:t>
            </w:r>
          </w:p>
        </w:tc>
        <w:tc>
          <w:tcPr>
            <w:tcW w:w="0" w:type="auto"/>
            <w:vAlign w:val="center"/>
            <w:hideMark/>
          </w:tcPr>
          <w:p w14:paraId="313BB410" w14:textId="77777777" w:rsidR="005D7DD5" w:rsidRPr="00A85D2D" w:rsidRDefault="005D7DD5" w:rsidP="004B6753">
            <w:pPr>
              <w:pStyle w:val="NoSpacing"/>
              <w:jc w:val="center"/>
              <w:rPr>
                <w:rFonts w:ascii="Times New Roman" w:hAnsi="Times New Roman" w:cs="Times New Roman"/>
                <w:szCs w:val="24"/>
              </w:rPr>
            </w:pPr>
            <w:r w:rsidRPr="00A85D2D">
              <w:rPr>
                <w:rFonts w:ascii="Times New Roman" w:hAnsi="Times New Roman" w:cs="Times New Roman"/>
                <w:szCs w:val="24"/>
              </w:rPr>
              <w:t>3.51</w:t>
            </w:r>
          </w:p>
        </w:tc>
        <w:tc>
          <w:tcPr>
            <w:tcW w:w="1412" w:type="dxa"/>
            <w:vAlign w:val="center"/>
            <w:hideMark/>
          </w:tcPr>
          <w:p w14:paraId="5A77932A" w14:textId="77777777" w:rsidR="005D7DD5" w:rsidRPr="00A85D2D" w:rsidRDefault="005D7DD5" w:rsidP="004B6753">
            <w:pPr>
              <w:pStyle w:val="NoSpacing"/>
              <w:jc w:val="center"/>
              <w:rPr>
                <w:rFonts w:ascii="Times New Roman" w:hAnsi="Times New Roman" w:cs="Times New Roman"/>
                <w:szCs w:val="24"/>
              </w:rPr>
            </w:pPr>
            <w:r w:rsidRPr="00A85D2D">
              <w:rPr>
                <w:rFonts w:ascii="Times New Roman" w:hAnsi="Times New Roman" w:cs="Times New Roman"/>
                <w:szCs w:val="24"/>
              </w:rPr>
              <w:t>10.41</w:t>
            </w:r>
          </w:p>
        </w:tc>
        <w:tc>
          <w:tcPr>
            <w:tcW w:w="923" w:type="dxa"/>
            <w:vAlign w:val="center"/>
            <w:hideMark/>
          </w:tcPr>
          <w:p w14:paraId="3855ABCB" w14:textId="77777777" w:rsidR="005D7DD5" w:rsidRPr="00A85D2D" w:rsidRDefault="005D7DD5" w:rsidP="004B6753">
            <w:pPr>
              <w:pStyle w:val="NoSpacing"/>
              <w:jc w:val="center"/>
              <w:rPr>
                <w:rFonts w:ascii="Times New Roman" w:hAnsi="Times New Roman" w:cs="Times New Roman"/>
                <w:szCs w:val="24"/>
              </w:rPr>
            </w:pPr>
            <w:r w:rsidRPr="00A85D2D">
              <w:rPr>
                <w:rFonts w:ascii="Times New Roman" w:hAnsi="Times New Roman" w:cs="Times New Roman"/>
                <w:szCs w:val="24"/>
              </w:rPr>
              <w:t>65.65</w:t>
            </w:r>
          </w:p>
        </w:tc>
        <w:tc>
          <w:tcPr>
            <w:tcW w:w="1492" w:type="dxa"/>
            <w:vAlign w:val="center"/>
            <w:hideMark/>
          </w:tcPr>
          <w:p w14:paraId="49AC560C" w14:textId="77777777" w:rsidR="005D7DD5" w:rsidRPr="00A85D2D" w:rsidRDefault="005D7DD5" w:rsidP="004B6753">
            <w:pPr>
              <w:pStyle w:val="NoSpacing"/>
              <w:jc w:val="center"/>
              <w:rPr>
                <w:rFonts w:ascii="Times New Roman" w:hAnsi="Times New Roman" w:cs="Times New Roman"/>
                <w:szCs w:val="24"/>
              </w:rPr>
            </w:pPr>
            <w:r w:rsidRPr="00A85D2D">
              <w:rPr>
                <w:rFonts w:ascii="Times New Roman" w:hAnsi="Times New Roman" w:cs="Times New Roman"/>
                <w:szCs w:val="24"/>
              </w:rPr>
              <w:t>159.57</w:t>
            </w:r>
          </w:p>
        </w:tc>
      </w:tr>
      <w:tr w:rsidR="00416FA8" w:rsidRPr="00A85D2D" w14:paraId="7425EF29" w14:textId="77777777" w:rsidTr="004B6753">
        <w:tc>
          <w:tcPr>
            <w:tcW w:w="1405" w:type="dxa"/>
            <w:hideMark/>
          </w:tcPr>
          <w:p w14:paraId="5D0005DB" w14:textId="77777777" w:rsidR="005D7DD5" w:rsidRPr="00A85D2D" w:rsidRDefault="005D7DD5" w:rsidP="005D7DD5">
            <w:pPr>
              <w:pStyle w:val="NoSpacing"/>
              <w:rPr>
                <w:rFonts w:ascii="Times New Roman" w:hAnsi="Times New Roman" w:cs="Times New Roman"/>
                <w:szCs w:val="24"/>
              </w:rPr>
            </w:pPr>
            <w:r w:rsidRPr="00A85D2D">
              <w:rPr>
                <w:rFonts w:ascii="Times New Roman" w:hAnsi="Times New Roman" w:cs="Times New Roman"/>
                <w:szCs w:val="24"/>
              </w:rPr>
              <w:t>1966-67</w:t>
            </w:r>
          </w:p>
        </w:tc>
        <w:tc>
          <w:tcPr>
            <w:tcW w:w="0" w:type="auto"/>
            <w:vAlign w:val="center"/>
            <w:hideMark/>
          </w:tcPr>
          <w:p w14:paraId="64ED9B44" w14:textId="77777777" w:rsidR="005D7DD5" w:rsidRPr="00A85D2D" w:rsidRDefault="005D7DD5" w:rsidP="004B6753">
            <w:pPr>
              <w:pStyle w:val="NoSpacing"/>
              <w:jc w:val="center"/>
              <w:rPr>
                <w:rFonts w:ascii="Times New Roman" w:hAnsi="Times New Roman" w:cs="Times New Roman"/>
                <w:szCs w:val="24"/>
              </w:rPr>
            </w:pPr>
            <w:r w:rsidRPr="00A85D2D">
              <w:rPr>
                <w:rFonts w:ascii="Times New Roman" w:hAnsi="Times New Roman" w:cs="Times New Roman"/>
                <w:szCs w:val="24"/>
              </w:rPr>
              <w:t>3.95</w:t>
            </w:r>
          </w:p>
        </w:tc>
        <w:tc>
          <w:tcPr>
            <w:tcW w:w="0" w:type="auto"/>
            <w:vAlign w:val="center"/>
            <w:hideMark/>
          </w:tcPr>
          <w:p w14:paraId="0A6A7173" w14:textId="77777777" w:rsidR="005D7DD5" w:rsidRPr="00A85D2D" w:rsidRDefault="005D7DD5" w:rsidP="004B6753">
            <w:pPr>
              <w:pStyle w:val="NoSpacing"/>
              <w:jc w:val="center"/>
              <w:rPr>
                <w:rFonts w:ascii="Times New Roman" w:hAnsi="Times New Roman" w:cs="Times New Roman"/>
                <w:szCs w:val="24"/>
              </w:rPr>
            </w:pPr>
            <w:r w:rsidRPr="00A85D2D">
              <w:rPr>
                <w:rFonts w:ascii="Times New Roman" w:hAnsi="Times New Roman" w:cs="Times New Roman"/>
                <w:szCs w:val="24"/>
              </w:rPr>
              <w:t>30.36</w:t>
            </w:r>
          </w:p>
        </w:tc>
        <w:tc>
          <w:tcPr>
            <w:tcW w:w="1790" w:type="dxa"/>
            <w:vAlign w:val="center"/>
            <w:hideMark/>
          </w:tcPr>
          <w:p w14:paraId="308EF1EA" w14:textId="77777777" w:rsidR="005D7DD5" w:rsidRPr="00A85D2D" w:rsidRDefault="005D7DD5" w:rsidP="004B6753">
            <w:pPr>
              <w:pStyle w:val="NoSpacing"/>
              <w:jc w:val="center"/>
              <w:rPr>
                <w:rFonts w:ascii="Times New Roman" w:hAnsi="Times New Roman" w:cs="Times New Roman"/>
                <w:szCs w:val="24"/>
              </w:rPr>
            </w:pPr>
            <w:r w:rsidRPr="00A85D2D">
              <w:rPr>
                <w:rFonts w:ascii="Times New Roman" w:hAnsi="Times New Roman" w:cs="Times New Roman"/>
                <w:szCs w:val="24"/>
              </w:rPr>
              <w:t>11.43</w:t>
            </w:r>
          </w:p>
        </w:tc>
        <w:tc>
          <w:tcPr>
            <w:tcW w:w="916" w:type="dxa"/>
            <w:vAlign w:val="center"/>
            <w:hideMark/>
          </w:tcPr>
          <w:p w14:paraId="76E36D21" w14:textId="77777777" w:rsidR="005D7DD5" w:rsidRPr="00A85D2D" w:rsidRDefault="005D7DD5" w:rsidP="004B6753">
            <w:pPr>
              <w:pStyle w:val="NoSpacing"/>
              <w:jc w:val="center"/>
              <w:rPr>
                <w:rFonts w:ascii="Times New Roman" w:hAnsi="Times New Roman" w:cs="Times New Roman"/>
                <w:szCs w:val="24"/>
              </w:rPr>
            </w:pPr>
            <w:r w:rsidRPr="00A85D2D">
              <w:rPr>
                <w:rFonts w:ascii="Times New Roman" w:hAnsi="Times New Roman" w:cs="Times New Roman"/>
                <w:szCs w:val="24"/>
              </w:rPr>
              <w:t>9.17</w:t>
            </w:r>
          </w:p>
        </w:tc>
        <w:tc>
          <w:tcPr>
            <w:tcW w:w="0" w:type="auto"/>
            <w:vAlign w:val="center"/>
            <w:hideMark/>
          </w:tcPr>
          <w:p w14:paraId="0DDE8400" w14:textId="77777777" w:rsidR="005D7DD5" w:rsidRPr="00A85D2D" w:rsidRDefault="005D7DD5" w:rsidP="004B6753">
            <w:pPr>
              <w:pStyle w:val="NoSpacing"/>
              <w:jc w:val="center"/>
              <w:rPr>
                <w:rFonts w:ascii="Times New Roman" w:hAnsi="Times New Roman" w:cs="Times New Roman"/>
                <w:szCs w:val="24"/>
              </w:rPr>
            </w:pPr>
            <w:r w:rsidRPr="00A85D2D">
              <w:rPr>
                <w:rFonts w:ascii="Times New Roman" w:hAnsi="Times New Roman" w:cs="Times New Roman"/>
                <w:szCs w:val="24"/>
              </w:rPr>
              <w:t>5.08</w:t>
            </w:r>
          </w:p>
        </w:tc>
        <w:tc>
          <w:tcPr>
            <w:tcW w:w="0" w:type="auto"/>
            <w:vAlign w:val="center"/>
            <w:hideMark/>
          </w:tcPr>
          <w:p w14:paraId="2C7AB4F7" w14:textId="77777777" w:rsidR="005D7DD5" w:rsidRPr="00A85D2D" w:rsidRDefault="005D7DD5" w:rsidP="004B6753">
            <w:pPr>
              <w:pStyle w:val="NoSpacing"/>
              <w:jc w:val="center"/>
              <w:rPr>
                <w:rFonts w:ascii="Times New Roman" w:hAnsi="Times New Roman" w:cs="Times New Roman"/>
                <w:szCs w:val="24"/>
              </w:rPr>
            </w:pPr>
            <w:r w:rsidRPr="00A85D2D">
              <w:rPr>
                <w:rFonts w:ascii="Times New Roman" w:hAnsi="Times New Roman" w:cs="Times New Roman"/>
                <w:szCs w:val="24"/>
              </w:rPr>
              <w:t>32.88</w:t>
            </w:r>
          </w:p>
        </w:tc>
        <w:tc>
          <w:tcPr>
            <w:tcW w:w="0" w:type="auto"/>
            <w:vAlign w:val="center"/>
            <w:hideMark/>
          </w:tcPr>
          <w:p w14:paraId="7A7D2DB6" w14:textId="77777777" w:rsidR="005D7DD5" w:rsidRPr="00A85D2D" w:rsidRDefault="005D7DD5" w:rsidP="004B6753">
            <w:pPr>
              <w:pStyle w:val="NoSpacing"/>
              <w:jc w:val="center"/>
              <w:rPr>
                <w:rFonts w:ascii="Times New Roman" w:hAnsi="Times New Roman" w:cs="Times New Roman"/>
                <w:szCs w:val="24"/>
              </w:rPr>
            </w:pPr>
            <w:r w:rsidRPr="00A85D2D">
              <w:rPr>
                <w:rFonts w:ascii="Times New Roman" w:hAnsi="Times New Roman" w:cs="Times New Roman"/>
                <w:szCs w:val="24"/>
              </w:rPr>
              <w:t>10.06</w:t>
            </w:r>
          </w:p>
        </w:tc>
        <w:tc>
          <w:tcPr>
            <w:tcW w:w="0" w:type="auto"/>
            <w:vAlign w:val="center"/>
            <w:hideMark/>
          </w:tcPr>
          <w:p w14:paraId="2F4F91FC" w14:textId="77777777" w:rsidR="005D7DD5" w:rsidRPr="00A85D2D" w:rsidRDefault="005D7DD5" w:rsidP="004B6753">
            <w:pPr>
              <w:pStyle w:val="NoSpacing"/>
              <w:jc w:val="center"/>
              <w:rPr>
                <w:rFonts w:ascii="Times New Roman" w:hAnsi="Times New Roman" w:cs="Times New Roman"/>
                <w:szCs w:val="24"/>
              </w:rPr>
            </w:pPr>
            <w:r w:rsidRPr="00A85D2D">
              <w:rPr>
                <w:rFonts w:ascii="Times New Roman" w:hAnsi="Times New Roman" w:cs="Times New Roman"/>
                <w:szCs w:val="24"/>
              </w:rPr>
              <w:t>4.43</w:t>
            </w:r>
          </w:p>
        </w:tc>
        <w:tc>
          <w:tcPr>
            <w:tcW w:w="1412" w:type="dxa"/>
            <w:vAlign w:val="center"/>
            <w:hideMark/>
          </w:tcPr>
          <w:p w14:paraId="1AA0358F" w14:textId="77777777" w:rsidR="005D7DD5" w:rsidRPr="00A85D2D" w:rsidRDefault="005D7DD5" w:rsidP="004B6753">
            <w:pPr>
              <w:pStyle w:val="NoSpacing"/>
              <w:jc w:val="center"/>
              <w:rPr>
                <w:rFonts w:ascii="Times New Roman" w:hAnsi="Times New Roman" w:cs="Times New Roman"/>
                <w:szCs w:val="24"/>
              </w:rPr>
            </w:pPr>
            <w:r w:rsidRPr="00A85D2D">
              <w:rPr>
                <w:rFonts w:ascii="Times New Roman" w:hAnsi="Times New Roman" w:cs="Times New Roman"/>
                <w:szCs w:val="24"/>
              </w:rPr>
              <w:t>11.89</w:t>
            </w:r>
          </w:p>
        </w:tc>
        <w:tc>
          <w:tcPr>
            <w:tcW w:w="923" w:type="dxa"/>
            <w:vAlign w:val="center"/>
            <w:hideMark/>
          </w:tcPr>
          <w:p w14:paraId="0F336D98" w14:textId="77777777" w:rsidR="005D7DD5" w:rsidRPr="00A85D2D" w:rsidRDefault="005D7DD5" w:rsidP="004B6753">
            <w:pPr>
              <w:pStyle w:val="NoSpacing"/>
              <w:jc w:val="center"/>
              <w:rPr>
                <w:rFonts w:ascii="Times New Roman" w:hAnsi="Times New Roman" w:cs="Times New Roman"/>
                <w:szCs w:val="24"/>
              </w:rPr>
            </w:pPr>
            <w:r w:rsidRPr="00A85D2D">
              <w:rPr>
                <w:rFonts w:ascii="Times New Roman" w:hAnsi="Times New Roman" w:cs="Times New Roman"/>
                <w:szCs w:val="24"/>
              </w:rPr>
              <w:t>65.43</w:t>
            </w:r>
          </w:p>
        </w:tc>
        <w:tc>
          <w:tcPr>
            <w:tcW w:w="1492" w:type="dxa"/>
            <w:vAlign w:val="center"/>
            <w:hideMark/>
          </w:tcPr>
          <w:p w14:paraId="43000E00" w14:textId="77777777" w:rsidR="005D7DD5" w:rsidRPr="00A85D2D" w:rsidRDefault="005D7DD5" w:rsidP="004B6753">
            <w:pPr>
              <w:pStyle w:val="NoSpacing"/>
              <w:jc w:val="center"/>
              <w:rPr>
                <w:rFonts w:ascii="Times New Roman" w:hAnsi="Times New Roman" w:cs="Times New Roman"/>
                <w:szCs w:val="24"/>
              </w:rPr>
            </w:pPr>
            <w:r w:rsidRPr="00A85D2D">
              <w:rPr>
                <w:rFonts w:ascii="Times New Roman" w:hAnsi="Times New Roman" w:cs="Times New Roman"/>
                <w:szCs w:val="24"/>
              </w:rPr>
              <w:t>184.68</w:t>
            </w:r>
          </w:p>
        </w:tc>
      </w:tr>
      <w:tr w:rsidR="00416FA8" w:rsidRPr="00A85D2D" w14:paraId="7BC6E554" w14:textId="77777777" w:rsidTr="004B6753">
        <w:tc>
          <w:tcPr>
            <w:tcW w:w="1405" w:type="dxa"/>
            <w:hideMark/>
          </w:tcPr>
          <w:p w14:paraId="6E54FDF0" w14:textId="77777777" w:rsidR="005D7DD5" w:rsidRPr="00A85D2D" w:rsidRDefault="005D7DD5" w:rsidP="005D7DD5">
            <w:pPr>
              <w:pStyle w:val="NoSpacing"/>
              <w:rPr>
                <w:rFonts w:ascii="Times New Roman" w:hAnsi="Times New Roman" w:cs="Times New Roman"/>
                <w:szCs w:val="24"/>
              </w:rPr>
            </w:pPr>
            <w:r w:rsidRPr="00A85D2D">
              <w:rPr>
                <w:rFonts w:ascii="Times New Roman" w:hAnsi="Times New Roman" w:cs="Times New Roman"/>
                <w:szCs w:val="24"/>
              </w:rPr>
              <w:t>1967-68</w:t>
            </w:r>
          </w:p>
        </w:tc>
        <w:tc>
          <w:tcPr>
            <w:tcW w:w="0" w:type="auto"/>
            <w:vAlign w:val="center"/>
            <w:hideMark/>
          </w:tcPr>
          <w:p w14:paraId="4D9EDEBE" w14:textId="77777777" w:rsidR="005D7DD5" w:rsidRPr="00A85D2D" w:rsidRDefault="005D7DD5" w:rsidP="004B6753">
            <w:pPr>
              <w:pStyle w:val="NoSpacing"/>
              <w:jc w:val="center"/>
              <w:rPr>
                <w:rFonts w:ascii="Times New Roman" w:hAnsi="Times New Roman" w:cs="Times New Roman"/>
                <w:szCs w:val="24"/>
              </w:rPr>
            </w:pPr>
            <w:r w:rsidRPr="00A85D2D">
              <w:rPr>
                <w:rFonts w:ascii="Times New Roman" w:hAnsi="Times New Roman" w:cs="Times New Roman"/>
                <w:szCs w:val="24"/>
              </w:rPr>
              <w:t>4.23</w:t>
            </w:r>
          </w:p>
        </w:tc>
        <w:tc>
          <w:tcPr>
            <w:tcW w:w="0" w:type="auto"/>
            <w:vAlign w:val="center"/>
            <w:hideMark/>
          </w:tcPr>
          <w:p w14:paraId="62D3F0EB" w14:textId="77777777" w:rsidR="005D7DD5" w:rsidRPr="00A85D2D" w:rsidRDefault="005D7DD5" w:rsidP="004B6753">
            <w:pPr>
              <w:pStyle w:val="NoSpacing"/>
              <w:jc w:val="center"/>
              <w:rPr>
                <w:rFonts w:ascii="Times New Roman" w:hAnsi="Times New Roman" w:cs="Times New Roman"/>
                <w:szCs w:val="24"/>
              </w:rPr>
            </w:pPr>
            <w:r w:rsidRPr="00A85D2D">
              <w:rPr>
                <w:rFonts w:ascii="Times New Roman" w:hAnsi="Times New Roman" w:cs="Times New Roman"/>
                <w:szCs w:val="24"/>
              </w:rPr>
              <w:t>27.43</w:t>
            </w:r>
          </w:p>
        </w:tc>
        <w:tc>
          <w:tcPr>
            <w:tcW w:w="1790" w:type="dxa"/>
            <w:vAlign w:val="center"/>
            <w:hideMark/>
          </w:tcPr>
          <w:p w14:paraId="77CE55AA" w14:textId="77777777" w:rsidR="005D7DD5" w:rsidRPr="00A85D2D" w:rsidRDefault="005D7DD5" w:rsidP="004B6753">
            <w:pPr>
              <w:pStyle w:val="NoSpacing"/>
              <w:jc w:val="center"/>
              <w:rPr>
                <w:rFonts w:ascii="Times New Roman" w:hAnsi="Times New Roman" w:cs="Times New Roman"/>
                <w:szCs w:val="24"/>
              </w:rPr>
            </w:pPr>
            <w:r w:rsidRPr="00A85D2D">
              <w:rPr>
                <w:rFonts w:ascii="Times New Roman" w:hAnsi="Times New Roman" w:cs="Times New Roman"/>
                <w:szCs w:val="24"/>
              </w:rPr>
              <w:t>11.66</w:t>
            </w:r>
          </w:p>
        </w:tc>
        <w:tc>
          <w:tcPr>
            <w:tcW w:w="916" w:type="dxa"/>
            <w:vAlign w:val="center"/>
            <w:hideMark/>
          </w:tcPr>
          <w:p w14:paraId="41B942FC" w14:textId="77777777" w:rsidR="005D7DD5" w:rsidRPr="00A85D2D" w:rsidRDefault="005D7DD5" w:rsidP="004B6753">
            <w:pPr>
              <w:pStyle w:val="NoSpacing"/>
              <w:jc w:val="center"/>
              <w:rPr>
                <w:rFonts w:ascii="Times New Roman" w:hAnsi="Times New Roman" w:cs="Times New Roman"/>
                <w:szCs w:val="24"/>
              </w:rPr>
            </w:pPr>
            <w:r w:rsidRPr="00A85D2D">
              <w:rPr>
                <w:rFonts w:ascii="Times New Roman" w:hAnsi="Times New Roman" w:cs="Times New Roman"/>
                <w:szCs w:val="24"/>
              </w:rPr>
              <w:t>9.91</w:t>
            </w:r>
          </w:p>
        </w:tc>
        <w:tc>
          <w:tcPr>
            <w:tcW w:w="0" w:type="auto"/>
            <w:vAlign w:val="center"/>
            <w:hideMark/>
          </w:tcPr>
          <w:p w14:paraId="7B4B8A7F" w14:textId="77777777" w:rsidR="005D7DD5" w:rsidRPr="00A85D2D" w:rsidRDefault="005D7DD5" w:rsidP="004B6753">
            <w:pPr>
              <w:pStyle w:val="NoSpacing"/>
              <w:jc w:val="center"/>
              <w:rPr>
                <w:rFonts w:ascii="Times New Roman" w:hAnsi="Times New Roman" w:cs="Times New Roman"/>
                <w:szCs w:val="24"/>
              </w:rPr>
            </w:pPr>
            <w:r w:rsidRPr="00A85D2D">
              <w:rPr>
                <w:rFonts w:ascii="Times New Roman" w:hAnsi="Times New Roman" w:cs="Times New Roman"/>
                <w:szCs w:val="24"/>
              </w:rPr>
              <w:t>5.23</w:t>
            </w:r>
          </w:p>
        </w:tc>
        <w:tc>
          <w:tcPr>
            <w:tcW w:w="0" w:type="auto"/>
            <w:vAlign w:val="center"/>
            <w:hideMark/>
          </w:tcPr>
          <w:p w14:paraId="1C0D18E2" w14:textId="77777777" w:rsidR="005D7DD5" w:rsidRPr="00A85D2D" w:rsidRDefault="005D7DD5" w:rsidP="004B6753">
            <w:pPr>
              <w:pStyle w:val="NoSpacing"/>
              <w:jc w:val="center"/>
              <w:rPr>
                <w:rFonts w:ascii="Times New Roman" w:hAnsi="Times New Roman" w:cs="Times New Roman"/>
                <w:szCs w:val="24"/>
              </w:rPr>
            </w:pPr>
            <w:r w:rsidRPr="00A85D2D">
              <w:rPr>
                <w:rFonts w:ascii="Times New Roman" w:hAnsi="Times New Roman" w:cs="Times New Roman"/>
                <w:szCs w:val="24"/>
              </w:rPr>
              <w:t>37.61</w:t>
            </w:r>
          </w:p>
        </w:tc>
        <w:tc>
          <w:tcPr>
            <w:tcW w:w="0" w:type="auto"/>
            <w:vAlign w:val="center"/>
            <w:hideMark/>
          </w:tcPr>
          <w:p w14:paraId="3D805B90" w14:textId="77777777" w:rsidR="005D7DD5" w:rsidRPr="00A85D2D" w:rsidRDefault="005D7DD5" w:rsidP="004B6753">
            <w:pPr>
              <w:pStyle w:val="NoSpacing"/>
              <w:jc w:val="center"/>
              <w:rPr>
                <w:rFonts w:ascii="Times New Roman" w:hAnsi="Times New Roman" w:cs="Times New Roman"/>
                <w:szCs w:val="24"/>
              </w:rPr>
            </w:pPr>
            <w:r w:rsidRPr="00A85D2D">
              <w:rPr>
                <w:rFonts w:ascii="Times New Roman" w:hAnsi="Times New Roman" w:cs="Times New Roman"/>
                <w:szCs w:val="24"/>
              </w:rPr>
              <w:t>11.37</w:t>
            </w:r>
          </w:p>
        </w:tc>
        <w:tc>
          <w:tcPr>
            <w:tcW w:w="0" w:type="auto"/>
            <w:vAlign w:val="center"/>
            <w:hideMark/>
          </w:tcPr>
          <w:p w14:paraId="00456567" w14:textId="77777777" w:rsidR="005D7DD5" w:rsidRPr="00A85D2D" w:rsidRDefault="005D7DD5" w:rsidP="004B6753">
            <w:pPr>
              <w:pStyle w:val="NoSpacing"/>
              <w:jc w:val="center"/>
              <w:rPr>
                <w:rFonts w:ascii="Times New Roman" w:hAnsi="Times New Roman" w:cs="Times New Roman"/>
                <w:szCs w:val="24"/>
              </w:rPr>
            </w:pPr>
            <w:r w:rsidRPr="00A85D2D">
              <w:rPr>
                <w:rFonts w:ascii="Times New Roman" w:hAnsi="Times New Roman" w:cs="Times New Roman"/>
                <w:szCs w:val="24"/>
              </w:rPr>
              <w:t>5.47</w:t>
            </w:r>
          </w:p>
        </w:tc>
        <w:tc>
          <w:tcPr>
            <w:tcW w:w="1412" w:type="dxa"/>
            <w:vAlign w:val="center"/>
            <w:hideMark/>
          </w:tcPr>
          <w:p w14:paraId="014FDBD7" w14:textId="77777777" w:rsidR="005D7DD5" w:rsidRPr="00A85D2D" w:rsidRDefault="005D7DD5" w:rsidP="004B6753">
            <w:pPr>
              <w:pStyle w:val="NoSpacing"/>
              <w:jc w:val="center"/>
              <w:rPr>
                <w:rFonts w:ascii="Times New Roman" w:hAnsi="Times New Roman" w:cs="Times New Roman"/>
                <w:szCs w:val="24"/>
              </w:rPr>
            </w:pPr>
            <w:r w:rsidRPr="00A85D2D">
              <w:rPr>
                <w:rFonts w:ascii="Times New Roman" w:hAnsi="Times New Roman" w:cs="Times New Roman"/>
                <w:szCs w:val="24"/>
              </w:rPr>
              <w:t>11.58</w:t>
            </w:r>
          </w:p>
        </w:tc>
        <w:tc>
          <w:tcPr>
            <w:tcW w:w="923" w:type="dxa"/>
            <w:vAlign w:val="center"/>
            <w:hideMark/>
          </w:tcPr>
          <w:p w14:paraId="6FB17C27" w14:textId="77777777" w:rsidR="005D7DD5" w:rsidRPr="00A85D2D" w:rsidRDefault="005D7DD5" w:rsidP="004B6753">
            <w:pPr>
              <w:pStyle w:val="NoSpacing"/>
              <w:jc w:val="center"/>
              <w:rPr>
                <w:rFonts w:ascii="Times New Roman" w:hAnsi="Times New Roman" w:cs="Times New Roman"/>
                <w:szCs w:val="24"/>
              </w:rPr>
            </w:pPr>
            <w:r w:rsidRPr="00A85D2D">
              <w:rPr>
                <w:rFonts w:ascii="Times New Roman" w:hAnsi="Times New Roman" w:cs="Times New Roman"/>
                <w:szCs w:val="24"/>
              </w:rPr>
              <w:t>65.32</w:t>
            </w:r>
          </w:p>
        </w:tc>
        <w:tc>
          <w:tcPr>
            <w:tcW w:w="1492" w:type="dxa"/>
            <w:vAlign w:val="center"/>
            <w:hideMark/>
          </w:tcPr>
          <w:p w14:paraId="06F4E376" w14:textId="77777777" w:rsidR="005D7DD5" w:rsidRPr="00A85D2D" w:rsidRDefault="005D7DD5" w:rsidP="004B6753">
            <w:pPr>
              <w:pStyle w:val="NoSpacing"/>
              <w:jc w:val="center"/>
              <w:rPr>
                <w:rFonts w:ascii="Times New Roman" w:hAnsi="Times New Roman" w:cs="Times New Roman"/>
                <w:szCs w:val="24"/>
              </w:rPr>
            </w:pPr>
            <w:r w:rsidRPr="00A85D2D">
              <w:rPr>
                <w:rFonts w:ascii="Times New Roman" w:hAnsi="Times New Roman" w:cs="Times New Roman"/>
                <w:szCs w:val="24"/>
              </w:rPr>
              <w:t>189.81</w:t>
            </w:r>
          </w:p>
        </w:tc>
      </w:tr>
      <w:tr w:rsidR="00536FE0" w:rsidRPr="00A85D2D" w14:paraId="32ADA8F6" w14:textId="77777777" w:rsidTr="004B6753">
        <w:tc>
          <w:tcPr>
            <w:tcW w:w="1405" w:type="dxa"/>
            <w:vMerge w:val="restart"/>
            <w:hideMark/>
          </w:tcPr>
          <w:p w14:paraId="1858C1F4" w14:textId="77777777" w:rsidR="00536FE0" w:rsidRPr="00A85D2D" w:rsidRDefault="00536FE0" w:rsidP="005D7DD5">
            <w:pPr>
              <w:pStyle w:val="NoSpacing"/>
              <w:rPr>
                <w:rFonts w:ascii="Times New Roman" w:hAnsi="Times New Roman" w:cs="Times New Roman"/>
                <w:szCs w:val="24"/>
              </w:rPr>
            </w:pPr>
            <w:r w:rsidRPr="00A85D2D">
              <w:rPr>
                <w:rFonts w:ascii="Times New Roman" w:hAnsi="Times New Roman" w:cs="Times New Roman"/>
                <w:szCs w:val="24"/>
              </w:rPr>
              <w:t>1968-69 (RE)</w:t>
            </w:r>
          </w:p>
        </w:tc>
        <w:tc>
          <w:tcPr>
            <w:tcW w:w="0" w:type="auto"/>
            <w:vAlign w:val="center"/>
            <w:hideMark/>
          </w:tcPr>
          <w:p w14:paraId="201559A0" w14:textId="77777777" w:rsidR="00536FE0" w:rsidRPr="00A85D2D" w:rsidRDefault="00536FE0" w:rsidP="004B6753">
            <w:pPr>
              <w:pStyle w:val="NoSpacing"/>
              <w:jc w:val="center"/>
              <w:rPr>
                <w:rFonts w:ascii="Times New Roman" w:hAnsi="Times New Roman" w:cs="Times New Roman"/>
                <w:szCs w:val="24"/>
              </w:rPr>
            </w:pPr>
            <w:r w:rsidRPr="00A85D2D">
              <w:rPr>
                <w:rFonts w:ascii="Times New Roman" w:hAnsi="Times New Roman" w:cs="Times New Roman"/>
                <w:szCs w:val="24"/>
              </w:rPr>
              <w:t>4.94</w:t>
            </w:r>
          </w:p>
        </w:tc>
        <w:tc>
          <w:tcPr>
            <w:tcW w:w="0" w:type="auto"/>
            <w:vAlign w:val="center"/>
            <w:hideMark/>
          </w:tcPr>
          <w:p w14:paraId="6E1C1A80" w14:textId="77777777" w:rsidR="00536FE0" w:rsidRPr="00A85D2D" w:rsidRDefault="00536FE0" w:rsidP="004B6753">
            <w:pPr>
              <w:pStyle w:val="NoSpacing"/>
              <w:jc w:val="center"/>
              <w:rPr>
                <w:rFonts w:ascii="Times New Roman" w:hAnsi="Times New Roman" w:cs="Times New Roman"/>
                <w:szCs w:val="24"/>
              </w:rPr>
            </w:pPr>
            <w:r w:rsidRPr="00A85D2D">
              <w:rPr>
                <w:rFonts w:ascii="Times New Roman" w:hAnsi="Times New Roman" w:cs="Times New Roman"/>
                <w:szCs w:val="24"/>
              </w:rPr>
              <w:t>32.41</w:t>
            </w:r>
          </w:p>
        </w:tc>
        <w:tc>
          <w:tcPr>
            <w:tcW w:w="1790" w:type="dxa"/>
            <w:vAlign w:val="center"/>
            <w:hideMark/>
          </w:tcPr>
          <w:p w14:paraId="4731965D" w14:textId="77777777" w:rsidR="00536FE0" w:rsidRPr="00A85D2D" w:rsidRDefault="00536FE0" w:rsidP="004B6753">
            <w:pPr>
              <w:pStyle w:val="NoSpacing"/>
              <w:jc w:val="center"/>
              <w:rPr>
                <w:rFonts w:ascii="Times New Roman" w:hAnsi="Times New Roman" w:cs="Times New Roman"/>
                <w:szCs w:val="24"/>
              </w:rPr>
            </w:pPr>
            <w:r w:rsidRPr="00A85D2D">
              <w:rPr>
                <w:rFonts w:ascii="Times New Roman" w:hAnsi="Times New Roman" w:cs="Times New Roman"/>
                <w:szCs w:val="24"/>
              </w:rPr>
              <w:t>13.83</w:t>
            </w:r>
          </w:p>
        </w:tc>
        <w:tc>
          <w:tcPr>
            <w:tcW w:w="916" w:type="dxa"/>
            <w:vAlign w:val="center"/>
            <w:hideMark/>
          </w:tcPr>
          <w:p w14:paraId="54623CFC" w14:textId="77777777" w:rsidR="00536FE0" w:rsidRPr="00A85D2D" w:rsidRDefault="00536FE0" w:rsidP="004B6753">
            <w:pPr>
              <w:pStyle w:val="NoSpacing"/>
              <w:jc w:val="center"/>
              <w:rPr>
                <w:rFonts w:ascii="Times New Roman" w:hAnsi="Times New Roman" w:cs="Times New Roman"/>
                <w:szCs w:val="24"/>
              </w:rPr>
            </w:pPr>
            <w:r w:rsidRPr="00A85D2D">
              <w:rPr>
                <w:rFonts w:ascii="Times New Roman" w:hAnsi="Times New Roman" w:cs="Times New Roman"/>
                <w:szCs w:val="24"/>
              </w:rPr>
              <w:t>10.77</w:t>
            </w:r>
          </w:p>
        </w:tc>
        <w:tc>
          <w:tcPr>
            <w:tcW w:w="0" w:type="auto"/>
            <w:vAlign w:val="center"/>
            <w:hideMark/>
          </w:tcPr>
          <w:p w14:paraId="57CA6929" w14:textId="77777777" w:rsidR="00536FE0" w:rsidRPr="00A85D2D" w:rsidRDefault="00536FE0" w:rsidP="004B6753">
            <w:pPr>
              <w:pStyle w:val="NoSpacing"/>
              <w:jc w:val="center"/>
              <w:rPr>
                <w:rFonts w:ascii="Times New Roman" w:hAnsi="Times New Roman" w:cs="Times New Roman"/>
                <w:szCs w:val="24"/>
              </w:rPr>
            </w:pPr>
            <w:r w:rsidRPr="00A85D2D">
              <w:rPr>
                <w:rFonts w:ascii="Times New Roman" w:hAnsi="Times New Roman" w:cs="Times New Roman"/>
                <w:szCs w:val="24"/>
              </w:rPr>
              <w:t>5.86</w:t>
            </w:r>
          </w:p>
        </w:tc>
        <w:tc>
          <w:tcPr>
            <w:tcW w:w="0" w:type="auto"/>
            <w:vAlign w:val="center"/>
            <w:hideMark/>
          </w:tcPr>
          <w:p w14:paraId="0B312D07" w14:textId="77777777" w:rsidR="00536FE0" w:rsidRPr="00A85D2D" w:rsidRDefault="00536FE0" w:rsidP="004B6753">
            <w:pPr>
              <w:pStyle w:val="NoSpacing"/>
              <w:jc w:val="center"/>
              <w:rPr>
                <w:rFonts w:ascii="Times New Roman" w:hAnsi="Times New Roman" w:cs="Times New Roman"/>
                <w:szCs w:val="24"/>
              </w:rPr>
            </w:pPr>
            <w:r w:rsidRPr="00A85D2D">
              <w:rPr>
                <w:rFonts w:ascii="Times New Roman" w:hAnsi="Times New Roman" w:cs="Times New Roman"/>
                <w:szCs w:val="24"/>
              </w:rPr>
              <w:t>44.70</w:t>
            </w:r>
          </w:p>
        </w:tc>
        <w:tc>
          <w:tcPr>
            <w:tcW w:w="0" w:type="auto"/>
            <w:vAlign w:val="center"/>
            <w:hideMark/>
          </w:tcPr>
          <w:p w14:paraId="789924EE" w14:textId="77777777" w:rsidR="00536FE0" w:rsidRPr="00A85D2D" w:rsidRDefault="00536FE0" w:rsidP="004B6753">
            <w:pPr>
              <w:pStyle w:val="NoSpacing"/>
              <w:jc w:val="center"/>
              <w:rPr>
                <w:rFonts w:ascii="Times New Roman" w:hAnsi="Times New Roman" w:cs="Times New Roman"/>
                <w:szCs w:val="24"/>
              </w:rPr>
            </w:pPr>
            <w:r w:rsidRPr="00A85D2D">
              <w:rPr>
                <w:rFonts w:ascii="Times New Roman" w:hAnsi="Times New Roman" w:cs="Times New Roman"/>
                <w:szCs w:val="24"/>
              </w:rPr>
              <w:t>12.99</w:t>
            </w:r>
          </w:p>
        </w:tc>
        <w:tc>
          <w:tcPr>
            <w:tcW w:w="0" w:type="auto"/>
            <w:vAlign w:val="center"/>
            <w:hideMark/>
          </w:tcPr>
          <w:p w14:paraId="262AB1ED" w14:textId="77777777" w:rsidR="00536FE0" w:rsidRPr="00A85D2D" w:rsidRDefault="00536FE0" w:rsidP="004B6753">
            <w:pPr>
              <w:pStyle w:val="NoSpacing"/>
              <w:jc w:val="center"/>
              <w:rPr>
                <w:rFonts w:ascii="Times New Roman" w:hAnsi="Times New Roman" w:cs="Times New Roman"/>
                <w:szCs w:val="24"/>
              </w:rPr>
            </w:pPr>
            <w:r w:rsidRPr="00A85D2D">
              <w:rPr>
                <w:rFonts w:ascii="Times New Roman" w:hAnsi="Times New Roman" w:cs="Times New Roman"/>
                <w:szCs w:val="24"/>
              </w:rPr>
              <w:t>5.96</w:t>
            </w:r>
          </w:p>
        </w:tc>
        <w:tc>
          <w:tcPr>
            <w:tcW w:w="1412" w:type="dxa"/>
            <w:vAlign w:val="center"/>
            <w:hideMark/>
          </w:tcPr>
          <w:p w14:paraId="4EF8A77D" w14:textId="77777777" w:rsidR="00536FE0" w:rsidRPr="00A85D2D" w:rsidRDefault="00536FE0" w:rsidP="004B6753">
            <w:pPr>
              <w:pStyle w:val="NoSpacing"/>
              <w:jc w:val="center"/>
              <w:rPr>
                <w:rFonts w:ascii="Times New Roman" w:hAnsi="Times New Roman" w:cs="Times New Roman"/>
                <w:szCs w:val="24"/>
              </w:rPr>
            </w:pPr>
            <w:r w:rsidRPr="00A85D2D">
              <w:rPr>
                <w:rFonts w:ascii="Times New Roman" w:hAnsi="Times New Roman" w:cs="Times New Roman"/>
                <w:szCs w:val="24"/>
              </w:rPr>
              <w:t>11.76</w:t>
            </w:r>
          </w:p>
        </w:tc>
        <w:tc>
          <w:tcPr>
            <w:tcW w:w="923" w:type="dxa"/>
            <w:vAlign w:val="center"/>
            <w:hideMark/>
          </w:tcPr>
          <w:p w14:paraId="343E50CF" w14:textId="77777777" w:rsidR="00536FE0" w:rsidRPr="00A85D2D" w:rsidRDefault="00536FE0" w:rsidP="004B6753">
            <w:pPr>
              <w:pStyle w:val="NoSpacing"/>
              <w:jc w:val="center"/>
              <w:rPr>
                <w:rFonts w:ascii="Times New Roman" w:hAnsi="Times New Roman" w:cs="Times New Roman"/>
                <w:szCs w:val="24"/>
              </w:rPr>
            </w:pPr>
            <w:r w:rsidRPr="00A85D2D">
              <w:rPr>
                <w:rFonts w:ascii="Times New Roman" w:hAnsi="Times New Roman" w:cs="Times New Roman"/>
                <w:szCs w:val="24"/>
              </w:rPr>
              <w:t>96.45</w:t>
            </w:r>
          </w:p>
        </w:tc>
        <w:tc>
          <w:tcPr>
            <w:tcW w:w="1492" w:type="dxa"/>
            <w:vAlign w:val="center"/>
            <w:hideMark/>
          </w:tcPr>
          <w:p w14:paraId="55AEEC57" w14:textId="77777777" w:rsidR="00536FE0" w:rsidRPr="00A85D2D" w:rsidRDefault="00536FE0" w:rsidP="004B6753">
            <w:pPr>
              <w:pStyle w:val="NoSpacing"/>
              <w:jc w:val="center"/>
              <w:rPr>
                <w:rFonts w:ascii="Times New Roman" w:hAnsi="Times New Roman" w:cs="Times New Roman"/>
                <w:szCs w:val="24"/>
              </w:rPr>
            </w:pPr>
            <w:r w:rsidRPr="00A85D2D">
              <w:rPr>
                <w:rFonts w:ascii="Times New Roman" w:hAnsi="Times New Roman" w:cs="Times New Roman"/>
                <w:szCs w:val="24"/>
              </w:rPr>
              <w:t>239.67</w:t>
            </w:r>
          </w:p>
        </w:tc>
      </w:tr>
      <w:tr w:rsidR="00536FE0" w:rsidRPr="00A85D2D" w14:paraId="432AE02D" w14:textId="77777777" w:rsidTr="004B6753">
        <w:tc>
          <w:tcPr>
            <w:tcW w:w="1405" w:type="dxa"/>
            <w:vMerge/>
            <w:hideMark/>
          </w:tcPr>
          <w:p w14:paraId="4B37B9A9" w14:textId="77777777" w:rsidR="00536FE0" w:rsidRPr="00A85D2D" w:rsidRDefault="00536FE0" w:rsidP="005D7DD5">
            <w:pPr>
              <w:pStyle w:val="NoSpacing"/>
              <w:rPr>
                <w:rFonts w:ascii="Times New Roman" w:hAnsi="Times New Roman" w:cs="Times New Roman"/>
                <w:szCs w:val="24"/>
              </w:rPr>
            </w:pPr>
          </w:p>
        </w:tc>
        <w:tc>
          <w:tcPr>
            <w:tcW w:w="0" w:type="auto"/>
            <w:vAlign w:val="center"/>
            <w:hideMark/>
          </w:tcPr>
          <w:p w14:paraId="33DA6F7F" w14:textId="77777777" w:rsidR="00536FE0" w:rsidRPr="00A85D2D" w:rsidRDefault="00536FE0" w:rsidP="004B6753">
            <w:pPr>
              <w:pStyle w:val="NoSpacing"/>
              <w:jc w:val="center"/>
              <w:rPr>
                <w:rFonts w:ascii="Times New Roman" w:hAnsi="Times New Roman" w:cs="Times New Roman"/>
                <w:szCs w:val="24"/>
              </w:rPr>
            </w:pPr>
            <w:r w:rsidRPr="00A85D2D">
              <w:rPr>
                <w:rFonts w:ascii="Times New Roman" w:hAnsi="Times New Roman" w:cs="Times New Roman"/>
                <w:szCs w:val="24"/>
              </w:rPr>
              <w:t>(2.06)</w:t>
            </w:r>
          </w:p>
        </w:tc>
        <w:tc>
          <w:tcPr>
            <w:tcW w:w="0" w:type="auto"/>
            <w:vAlign w:val="center"/>
            <w:hideMark/>
          </w:tcPr>
          <w:p w14:paraId="5DF43294" w14:textId="77777777" w:rsidR="00536FE0" w:rsidRPr="00A85D2D" w:rsidRDefault="00536FE0" w:rsidP="004B6753">
            <w:pPr>
              <w:pStyle w:val="NoSpacing"/>
              <w:jc w:val="center"/>
              <w:rPr>
                <w:rFonts w:ascii="Times New Roman" w:hAnsi="Times New Roman" w:cs="Times New Roman"/>
                <w:szCs w:val="24"/>
              </w:rPr>
            </w:pPr>
            <w:r w:rsidRPr="00A85D2D">
              <w:rPr>
                <w:rFonts w:ascii="Times New Roman" w:hAnsi="Times New Roman" w:cs="Times New Roman"/>
                <w:szCs w:val="24"/>
              </w:rPr>
              <w:t>(13.52)</w:t>
            </w:r>
          </w:p>
        </w:tc>
        <w:tc>
          <w:tcPr>
            <w:tcW w:w="1790" w:type="dxa"/>
            <w:vAlign w:val="center"/>
            <w:hideMark/>
          </w:tcPr>
          <w:p w14:paraId="7C4530A1" w14:textId="77777777" w:rsidR="00536FE0" w:rsidRPr="00A85D2D" w:rsidRDefault="00536FE0" w:rsidP="004B6753">
            <w:pPr>
              <w:pStyle w:val="NoSpacing"/>
              <w:jc w:val="center"/>
              <w:rPr>
                <w:rFonts w:ascii="Times New Roman" w:hAnsi="Times New Roman" w:cs="Times New Roman"/>
                <w:szCs w:val="24"/>
              </w:rPr>
            </w:pPr>
            <w:r w:rsidRPr="00A85D2D">
              <w:rPr>
                <w:rFonts w:ascii="Times New Roman" w:hAnsi="Times New Roman" w:cs="Times New Roman"/>
                <w:szCs w:val="24"/>
              </w:rPr>
              <w:t>(5.77)</w:t>
            </w:r>
          </w:p>
        </w:tc>
        <w:tc>
          <w:tcPr>
            <w:tcW w:w="916" w:type="dxa"/>
            <w:vAlign w:val="center"/>
            <w:hideMark/>
          </w:tcPr>
          <w:p w14:paraId="05677AAA" w14:textId="77777777" w:rsidR="00536FE0" w:rsidRPr="00A85D2D" w:rsidRDefault="00536FE0" w:rsidP="004B6753">
            <w:pPr>
              <w:pStyle w:val="NoSpacing"/>
              <w:jc w:val="center"/>
              <w:rPr>
                <w:rFonts w:ascii="Times New Roman" w:hAnsi="Times New Roman" w:cs="Times New Roman"/>
                <w:szCs w:val="24"/>
              </w:rPr>
            </w:pPr>
            <w:r w:rsidRPr="00A85D2D">
              <w:rPr>
                <w:rFonts w:ascii="Times New Roman" w:hAnsi="Times New Roman" w:cs="Times New Roman"/>
                <w:szCs w:val="24"/>
              </w:rPr>
              <w:t>(4.50)</w:t>
            </w:r>
          </w:p>
        </w:tc>
        <w:tc>
          <w:tcPr>
            <w:tcW w:w="0" w:type="auto"/>
            <w:vAlign w:val="center"/>
            <w:hideMark/>
          </w:tcPr>
          <w:p w14:paraId="6DD98E11" w14:textId="77777777" w:rsidR="00536FE0" w:rsidRPr="00A85D2D" w:rsidRDefault="00536FE0" w:rsidP="004B6753">
            <w:pPr>
              <w:pStyle w:val="NoSpacing"/>
              <w:jc w:val="center"/>
              <w:rPr>
                <w:rFonts w:ascii="Times New Roman" w:hAnsi="Times New Roman" w:cs="Times New Roman"/>
                <w:szCs w:val="24"/>
              </w:rPr>
            </w:pPr>
            <w:r w:rsidRPr="00A85D2D">
              <w:rPr>
                <w:rFonts w:ascii="Times New Roman" w:hAnsi="Times New Roman" w:cs="Times New Roman"/>
                <w:szCs w:val="24"/>
              </w:rPr>
              <w:t>(2.45)</w:t>
            </w:r>
          </w:p>
        </w:tc>
        <w:tc>
          <w:tcPr>
            <w:tcW w:w="0" w:type="auto"/>
            <w:vAlign w:val="center"/>
            <w:hideMark/>
          </w:tcPr>
          <w:p w14:paraId="4E2C18DD" w14:textId="77777777" w:rsidR="00536FE0" w:rsidRPr="00A85D2D" w:rsidRDefault="00536FE0" w:rsidP="004B6753">
            <w:pPr>
              <w:pStyle w:val="NoSpacing"/>
              <w:jc w:val="center"/>
              <w:rPr>
                <w:rFonts w:ascii="Times New Roman" w:hAnsi="Times New Roman" w:cs="Times New Roman"/>
                <w:szCs w:val="24"/>
              </w:rPr>
            </w:pPr>
            <w:r w:rsidRPr="00A85D2D">
              <w:rPr>
                <w:rFonts w:ascii="Times New Roman" w:hAnsi="Times New Roman" w:cs="Times New Roman"/>
                <w:szCs w:val="24"/>
              </w:rPr>
              <w:t>(18.65)</w:t>
            </w:r>
          </w:p>
        </w:tc>
        <w:tc>
          <w:tcPr>
            <w:tcW w:w="0" w:type="auto"/>
            <w:vAlign w:val="center"/>
            <w:hideMark/>
          </w:tcPr>
          <w:p w14:paraId="0CC2A557" w14:textId="77777777" w:rsidR="00536FE0" w:rsidRPr="00A85D2D" w:rsidRDefault="00536FE0" w:rsidP="004B6753">
            <w:pPr>
              <w:pStyle w:val="NoSpacing"/>
              <w:jc w:val="center"/>
              <w:rPr>
                <w:rFonts w:ascii="Times New Roman" w:hAnsi="Times New Roman" w:cs="Times New Roman"/>
                <w:szCs w:val="24"/>
              </w:rPr>
            </w:pPr>
            <w:r w:rsidRPr="00A85D2D">
              <w:rPr>
                <w:rFonts w:ascii="Times New Roman" w:hAnsi="Times New Roman" w:cs="Times New Roman"/>
                <w:szCs w:val="24"/>
              </w:rPr>
              <w:t>(5.42)</w:t>
            </w:r>
          </w:p>
        </w:tc>
        <w:tc>
          <w:tcPr>
            <w:tcW w:w="0" w:type="auto"/>
            <w:vAlign w:val="center"/>
            <w:hideMark/>
          </w:tcPr>
          <w:p w14:paraId="224D9FEC" w14:textId="77777777" w:rsidR="00536FE0" w:rsidRPr="00A85D2D" w:rsidRDefault="00536FE0" w:rsidP="004B6753">
            <w:pPr>
              <w:pStyle w:val="NoSpacing"/>
              <w:jc w:val="center"/>
              <w:rPr>
                <w:rFonts w:ascii="Times New Roman" w:hAnsi="Times New Roman" w:cs="Times New Roman"/>
                <w:szCs w:val="24"/>
              </w:rPr>
            </w:pPr>
            <w:r w:rsidRPr="00A85D2D">
              <w:rPr>
                <w:rFonts w:ascii="Times New Roman" w:hAnsi="Times New Roman" w:cs="Times New Roman"/>
                <w:szCs w:val="24"/>
              </w:rPr>
              <w:t>(2.49)</w:t>
            </w:r>
          </w:p>
        </w:tc>
        <w:tc>
          <w:tcPr>
            <w:tcW w:w="1412" w:type="dxa"/>
            <w:vAlign w:val="center"/>
            <w:hideMark/>
          </w:tcPr>
          <w:p w14:paraId="16FCE5BF" w14:textId="77777777" w:rsidR="00536FE0" w:rsidRPr="00A85D2D" w:rsidRDefault="00536FE0" w:rsidP="004B6753">
            <w:pPr>
              <w:pStyle w:val="NoSpacing"/>
              <w:jc w:val="center"/>
              <w:rPr>
                <w:rFonts w:ascii="Times New Roman" w:hAnsi="Times New Roman" w:cs="Times New Roman"/>
                <w:szCs w:val="24"/>
              </w:rPr>
            </w:pPr>
            <w:r w:rsidRPr="00A85D2D">
              <w:rPr>
                <w:rFonts w:ascii="Times New Roman" w:hAnsi="Times New Roman" w:cs="Times New Roman"/>
                <w:szCs w:val="24"/>
              </w:rPr>
              <w:t>(4.90)</w:t>
            </w:r>
          </w:p>
        </w:tc>
        <w:tc>
          <w:tcPr>
            <w:tcW w:w="923" w:type="dxa"/>
            <w:vAlign w:val="center"/>
            <w:hideMark/>
          </w:tcPr>
          <w:p w14:paraId="7F068F06" w14:textId="77777777" w:rsidR="00536FE0" w:rsidRPr="00A85D2D" w:rsidRDefault="00536FE0" w:rsidP="004B6753">
            <w:pPr>
              <w:pStyle w:val="NoSpacing"/>
              <w:jc w:val="center"/>
              <w:rPr>
                <w:rFonts w:ascii="Times New Roman" w:hAnsi="Times New Roman" w:cs="Times New Roman"/>
                <w:szCs w:val="24"/>
              </w:rPr>
            </w:pPr>
            <w:r w:rsidRPr="00A85D2D">
              <w:rPr>
                <w:rFonts w:ascii="Times New Roman" w:hAnsi="Times New Roman" w:cs="Times New Roman"/>
                <w:szCs w:val="24"/>
              </w:rPr>
              <w:t>(40.24)</w:t>
            </w:r>
          </w:p>
        </w:tc>
        <w:tc>
          <w:tcPr>
            <w:tcW w:w="1492" w:type="dxa"/>
            <w:vAlign w:val="center"/>
            <w:hideMark/>
          </w:tcPr>
          <w:p w14:paraId="39A9D3B0" w14:textId="77777777" w:rsidR="00536FE0" w:rsidRPr="00A85D2D" w:rsidRDefault="00536FE0" w:rsidP="004B6753">
            <w:pPr>
              <w:pStyle w:val="NoSpacing"/>
              <w:jc w:val="center"/>
              <w:rPr>
                <w:rFonts w:ascii="Times New Roman" w:hAnsi="Times New Roman" w:cs="Times New Roman"/>
                <w:szCs w:val="24"/>
              </w:rPr>
            </w:pPr>
            <w:r w:rsidRPr="00A85D2D">
              <w:rPr>
                <w:rFonts w:ascii="Times New Roman" w:hAnsi="Times New Roman" w:cs="Times New Roman"/>
                <w:szCs w:val="24"/>
              </w:rPr>
              <w:t>(100.00)</w:t>
            </w:r>
          </w:p>
        </w:tc>
      </w:tr>
      <w:tr w:rsidR="00416FA8" w:rsidRPr="00A85D2D" w14:paraId="1886F0EE" w14:textId="77777777" w:rsidTr="004B6753">
        <w:tc>
          <w:tcPr>
            <w:tcW w:w="1405" w:type="dxa"/>
            <w:hideMark/>
          </w:tcPr>
          <w:p w14:paraId="5EE704FF" w14:textId="77777777" w:rsidR="005D7DD5" w:rsidRPr="00A85D2D" w:rsidRDefault="005D7DD5" w:rsidP="005D7DD5">
            <w:pPr>
              <w:pStyle w:val="NoSpacing"/>
              <w:rPr>
                <w:rFonts w:ascii="Times New Roman" w:hAnsi="Times New Roman" w:cs="Times New Roman"/>
                <w:szCs w:val="24"/>
              </w:rPr>
            </w:pPr>
            <w:r w:rsidRPr="00A85D2D">
              <w:rPr>
                <w:rFonts w:ascii="Times New Roman" w:hAnsi="Times New Roman" w:cs="Times New Roman"/>
                <w:szCs w:val="24"/>
              </w:rPr>
              <w:t>Assam</w:t>
            </w:r>
          </w:p>
        </w:tc>
        <w:tc>
          <w:tcPr>
            <w:tcW w:w="0" w:type="auto"/>
            <w:vAlign w:val="center"/>
            <w:hideMark/>
          </w:tcPr>
          <w:p w14:paraId="5FB7A4FE" w14:textId="77777777" w:rsidR="005D7DD5" w:rsidRPr="00A85D2D" w:rsidRDefault="005D7DD5" w:rsidP="004B6753">
            <w:pPr>
              <w:pStyle w:val="NoSpacing"/>
              <w:jc w:val="center"/>
              <w:rPr>
                <w:rFonts w:ascii="Times New Roman" w:hAnsi="Times New Roman" w:cs="Times New Roman"/>
                <w:szCs w:val="24"/>
              </w:rPr>
            </w:pPr>
          </w:p>
        </w:tc>
        <w:tc>
          <w:tcPr>
            <w:tcW w:w="0" w:type="auto"/>
            <w:vAlign w:val="center"/>
            <w:hideMark/>
          </w:tcPr>
          <w:p w14:paraId="234195DE" w14:textId="77777777" w:rsidR="005D7DD5" w:rsidRPr="00A85D2D" w:rsidRDefault="005D7DD5" w:rsidP="004B6753">
            <w:pPr>
              <w:pStyle w:val="NoSpacing"/>
              <w:jc w:val="center"/>
              <w:rPr>
                <w:rFonts w:ascii="Times New Roman" w:hAnsi="Times New Roman" w:cs="Times New Roman"/>
                <w:szCs w:val="24"/>
              </w:rPr>
            </w:pPr>
          </w:p>
        </w:tc>
        <w:tc>
          <w:tcPr>
            <w:tcW w:w="1790" w:type="dxa"/>
            <w:vAlign w:val="center"/>
            <w:hideMark/>
          </w:tcPr>
          <w:p w14:paraId="261F2736" w14:textId="77777777" w:rsidR="005D7DD5" w:rsidRPr="00A85D2D" w:rsidRDefault="005D7DD5" w:rsidP="004B6753">
            <w:pPr>
              <w:pStyle w:val="NoSpacing"/>
              <w:jc w:val="center"/>
              <w:rPr>
                <w:rFonts w:ascii="Times New Roman" w:hAnsi="Times New Roman" w:cs="Times New Roman"/>
                <w:szCs w:val="24"/>
              </w:rPr>
            </w:pPr>
          </w:p>
        </w:tc>
        <w:tc>
          <w:tcPr>
            <w:tcW w:w="916" w:type="dxa"/>
            <w:vAlign w:val="center"/>
            <w:hideMark/>
          </w:tcPr>
          <w:p w14:paraId="143019FD" w14:textId="77777777" w:rsidR="005D7DD5" w:rsidRPr="00A85D2D" w:rsidRDefault="005D7DD5" w:rsidP="004B6753">
            <w:pPr>
              <w:pStyle w:val="NoSpacing"/>
              <w:jc w:val="center"/>
              <w:rPr>
                <w:rFonts w:ascii="Times New Roman" w:hAnsi="Times New Roman" w:cs="Times New Roman"/>
                <w:szCs w:val="24"/>
              </w:rPr>
            </w:pPr>
          </w:p>
        </w:tc>
        <w:tc>
          <w:tcPr>
            <w:tcW w:w="0" w:type="auto"/>
            <w:vAlign w:val="center"/>
            <w:hideMark/>
          </w:tcPr>
          <w:p w14:paraId="1461AA72" w14:textId="77777777" w:rsidR="005D7DD5" w:rsidRPr="00A85D2D" w:rsidRDefault="005D7DD5" w:rsidP="004B6753">
            <w:pPr>
              <w:pStyle w:val="NoSpacing"/>
              <w:jc w:val="center"/>
              <w:rPr>
                <w:rFonts w:ascii="Times New Roman" w:hAnsi="Times New Roman" w:cs="Times New Roman"/>
                <w:szCs w:val="24"/>
              </w:rPr>
            </w:pPr>
          </w:p>
        </w:tc>
        <w:tc>
          <w:tcPr>
            <w:tcW w:w="0" w:type="auto"/>
            <w:vAlign w:val="center"/>
            <w:hideMark/>
          </w:tcPr>
          <w:p w14:paraId="01D49F59" w14:textId="77777777" w:rsidR="005D7DD5" w:rsidRPr="00A85D2D" w:rsidRDefault="005D7DD5" w:rsidP="004B6753">
            <w:pPr>
              <w:pStyle w:val="NoSpacing"/>
              <w:jc w:val="center"/>
              <w:rPr>
                <w:rFonts w:ascii="Times New Roman" w:hAnsi="Times New Roman" w:cs="Times New Roman"/>
                <w:szCs w:val="24"/>
              </w:rPr>
            </w:pPr>
          </w:p>
        </w:tc>
        <w:tc>
          <w:tcPr>
            <w:tcW w:w="0" w:type="auto"/>
            <w:vAlign w:val="center"/>
            <w:hideMark/>
          </w:tcPr>
          <w:p w14:paraId="54F1DB31" w14:textId="77777777" w:rsidR="005D7DD5" w:rsidRPr="00A85D2D" w:rsidRDefault="005D7DD5" w:rsidP="004B6753">
            <w:pPr>
              <w:pStyle w:val="NoSpacing"/>
              <w:jc w:val="center"/>
              <w:rPr>
                <w:rFonts w:ascii="Times New Roman" w:hAnsi="Times New Roman" w:cs="Times New Roman"/>
                <w:szCs w:val="24"/>
              </w:rPr>
            </w:pPr>
          </w:p>
        </w:tc>
        <w:tc>
          <w:tcPr>
            <w:tcW w:w="0" w:type="auto"/>
            <w:vAlign w:val="center"/>
            <w:hideMark/>
          </w:tcPr>
          <w:p w14:paraId="5D72DA0B" w14:textId="77777777" w:rsidR="005D7DD5" w:rsidRPr="00A85D2D" w:rsidRDefault="005D7DD5" w:rsidP="004B6753">
            <w:pPr>
              <w:pStyle w:val="NoSpacing"/>
              <w:jc w:val="center"/>
              <w:rPr>
                <w:rFonts w:ascii="Times New Roman" w:hAnsi="Times New Roman" w:cs="Times New Roman"/>
                <w:szCs w:val="24"/>
              </w:rPr>
            </w:pPr>
          </w:p>
        </w:tc>
        <w:tc>
          <w:tcPr>
            <w:tcW w:w="1412" w:type="dxa"/>
            <w:vAlign w:val="center"/>
            <w:hideMark/>
          </w:tcPr>
          <w:p w14:paraId="1A23B06A" w14:textId="77777777" w:rsidR="005D7DD5" w:rsidRPr="00A85D2D" w:rsidRDefault="005D7DD5" w:rsidP="004B6753">
            <w:pPr>
              <w:pStyle w:val="NoSpacing"/>
              <w:jc w:val="center"/>
              <w:rPr>
                <w:rFonts w:ascii="Times New Roman" w:hAnsi="Times New Roman" w:cs="Times New Roman"/>
                <w:szCs w:val="24"/>
              </w:rPr>
            </w:pPr>
          </w:p>
        </w:tc>
        <w:tc>
          <w:tcPr>
            <w:tcW w:w="923" w:type="dxa"/>
            <w:vAlign w:val="center"/>
            <w:hideMark/>
          </w:tcPr>
          <w:p w14:paraId="663392DF" w14:textId="77777777" w:rsidR="005D7DD5" w:rsidRPr="00A85D2D" w:rsidRDefault="005D7DD5" w:rsidP="004B6753">
            <w:pPr>
              <w:pStyle w:val="NoSpacing"/>
              <w:jc w:val="center"/>
              <w:rPr>
                <w:rFonts w:ascii="Times New Roman" w:hAnsi="Times New Roman" w:cs="Times New Roman"/>
                <w:szCs w:val="24"/>
              </w:rPr>
            </w:pPr>
          </w:p>
        </w:tc>
        <w:tc>
          <w:tcPr>
            <w:tcW w:w="1492" w:type="dxa"/>
            <w:vAlign w:val="center"/>
            <w:hideMark/>
          </w:tcPr>
          <w:p w14:paraId="63964FF9" w14:textId="77777777" w:rsidR="005D7DD5" w:rsidRPr="00A85D2D" w:rsidRDefault="005D7DD5" w:rsidP="004B6753">
            <w:pPr>
              <w:pStyle w:val="NoSpacing"/>
              <w:jc w:val="center"/>
              <w:rPr>
                <w:rFonts w:ascii="Times New Roman" w:hAnsi="Times New Roman" w:cs="Times New Roman"/>
                <w:szCs w:val="24"/>
              </w:rPr>
            </w:pPr>
          </w:p>
        </w:tc>
      </w:tr>
      <w:tr w:rsidR="00812C67" w:rsidRPr="00A85D2D" w14:paraId="5407C038" w14:textId="77777777" w:rsidTr="004B6753">
        <w:tc>
          <w:tcPr>
            <w:tcW w:w="1405" w:type="dxa"/>
            <w:vMerge w:val="restart"/>
            <w:hideMark/>
          </w:tcPr>
          <w:p w14:paraId="0BD59C67" w14:textId="77777777" w:rsidR="00812C67" w:rsidRPr="00A85D2D" w:rsidRDefault="00812C67" w:rsidP="005D7DD5">
            <w:pPr>
              <w:pStyle w:val="NoSpacing"/>
              <w:rPr>
                <w:rFonts w:ascii="Times New Roman" w:hAnsi="Times New Roman" w:cs="Times New Roman"/>
                <w:szCs w:val="24"/>
              </w:rPr>
            </w:pPr>
            <w:r w:rsidRPr="00A85D2D">
              <w:rPr>
                <w:rFonts w:ascii="Times New Roman" w:hAnsi="Times New Roman" w:cs="Times New Roman"/>
                <w:szCs w:val="24"/>
              </w:rPr>
              <w:t>1961-62</w:t>
            </w:r>
          </w:p>
        </w:tc>
        <w:tc>
          <w:tcPr>
            <w:tcW w:w="0" w:type="auto"/>
            <w:vAlign w:val="center"/>
            <w:hideMark/>
          </w:tcPr>
          <w:p w14:paraId="1CDDC8E7" w14:textId="77777777" w:rsidR="00812C67" w:rsidRPr="00A85D2D" w:rsidRDefault="00812C67" w:rsidP="004B6753">
            <w:pPr>
              <w:pStyle w:val="NoSpacing"/>
              <w:jc w:val="center"/>
              <w:rPr>
                <w:rFonts w:ascii="Times New Roman" w:hAnsi="Times New Roman" w:cs="Times New Roman"/>
                <w:szCs w:val="24"/>
              </w:rPr>
            </w:pPr>
            <w:r w:rsidRPr="00A85D2D">
              <w:rPr>
                <w:rFonts w:ascii="Times New Roman" w:hAnsi="Times New Roman" w:cs="Times New Roman"/>
                <w:szCs w:val="24"/>
              </w:rPr>
              <w:t>2.28</w:t>
            </w:r>
          </w:p>
        </w:tc>
        <w:tc>
          <w:tcPr>
            <w:tcW w:w="0" w:type="auto"/>
            <w:vAlign w:val="center"/>
            <w:hideMark/>
          </w:tcPr>
          <w:p w14:paraId="03710337" w14:textId="77777777" w:rsidR="00812C67" w:rsidRPr="00A85D2D" w:rsidRDefault="00812C67" w:rsidP="004B6753">
            <w:pPr>
              <w:pStyle w:val="NoSpacing"/>
              <w:jc w:val="center"/>
              <w:rPr>
                <w:rFonts w:ascii="Times New Roman" w:hAnsi="Times New Roman" w:cs="Times New Roman"/>
                <w:szCs w:val="24"/>
              </w:rPr>
            </w:pPr>
            <w:r w:rsidRPr="00A85D2D">
              <w:rPr>
                <w:rFonts w:ascii="Times New Roman" w:hAnsi="Times New Roman" w:cs="Times New Roman"/>
                <w:szCs w:val="24"/>
              </w:rPr>
              <w:t>2.16</w:t>
            </w:r>
          </w:p>
        </w:tc>
        <w:tc>
          <w:tcPr>
            <w:tcW w:w="1790" w:type="dxa"/>
            <w:vAlign w:val="center"/>
            <w:hideMark/>
          </w:tcPr>
          <w:p w14:paraId="2194F86C" w14:textId="77777777" w:rsidR="00812C67" w:rsidRPr="00A85D2D" w:rsidRDefault="00812C67" w:rsidP="004B6753">
            <w:pPr>
              <w:pStyle w:val="NoSpacing"/>
              <w:jc w:val="center"/>
              <w:rPr>
                <w:rFonts w:ascii="Times New Roman" w:hAnsi="Times New Roman" w:cs="Times New Roman"/>
                <w:szCs w:val="24"/>
              </w:rPr>
            </w:pPr>
            <w:r w:rsidRPr="00A85D2D">
              <w:rPr>
                <w:rFonts w:ascii="Times New Roman" w:hAnsi="Times New Roman" w:cs="Times New Roman"/>
                <w:szCs w:val="24"/>
              </w:rPr>
              <w:t>1.60</w:t>
            </w:r>
          </w:p>
        </w:tc>
        <w:tc>
          <w:tcPr>
            <w:tcW w:w="916" w:type="dxa"/>
            <w:vAlign w:val="center"/>
            <w:hideMark/>
          </w:tcPr>
          <w:p w14:paraId="6B0B1DD9" w14:textId="77777777" w:rsidR="00812C67" w:rsidRPr="00A85D2D" w:rsidRDefault="00812C67" w:rsidP="004B6753">
            <w:pPr>
              <w:pStyle w:val="NoSpacing"/>
              <w:jc w:val="center"/>
              <w:rPr>
                <w:rFonts w:ascii="Times New Roman" w:hAnsi="Times New Roman" w:cs="Times New Roman"/>
                <w:szCs w:val="24"/>
              </w:rPr>
            </w:pPr>
            <w:r w:rsidRPr="00A85D2D">
              <w:rPr>
                <w:rFonts w:ascii="Times New Roman" w:hAnsi="Times New Roman" w:cs="Times New Roman"/>
                <w:szCs w:val="24"/>
              </w:rPr>
              <w:t>4.30</w:t>
            </w:r>
          </w:p>
        </w:tc>
        <w:tc>
          <w:tcPr>
            <w:tcW w:w="0" w:type="auto"/>
            <w:vAlign w:val="center"/>
            <w:hideMark/>
          </w:tcPr>
          <w:p w14:paraId="24850D23" w14:textId="77777777" w:rsidR="00812C67" w:rsidRPr="00A85D2D" w:rsidRDefault="00812C67" w:rsidP="004B6753">
            <w:pPr>
              <w:pStyle w:val="NoSpacing"/>
              <w:jc w:val="center"/>
              <w:rPr>
                <w:rFonts w:ascii="Times New Roman" w:hAnsi="Times New Roman" w:cs="Times New Roman"/>
                <w:szCs w:val="24"/>
              </w:rPr>
            </w:pPr>
            <w:r w:rsidRPr="00A85D2D">
              <w:rPr>
                <w:rFonts w:ascii="Times New Roman" w:hAnsi="Times New Roman" w:cs="Times New Roman"/>
                <w:szCs w:val="24"/>
              </w:rPr>
              <w:t>0.55</w:t>
            </w:r>
          </w:p>
        </w:tc>
        <w:tc>
          <w:tcPr>
            <w:tcW w:w="0" w:type="auto"/>
            <w:vAlign w:val="center"/>
            <w:hideMark/>
          </w:tcPr>
          <w:p w14:paraId="1F55C292" w14:textId="77777777" w:rsidR="00812C67" w:rsidRPr="00A85D2D" w:rsidRDefault="00812C67" w:rsidP="004B6753">
            <w:pPr>
              <w:pStyle w:val="NoSpacing"/>
              <w:jc w:val="center"/>
              <w:rPr>
                <w:rFonts w:ascii="Times New Roman" w:hAnsi="Times New Roman" w:cs="Times New Roman"/>
                <w:szCs w:val="24"/>
              </w:rPr>
            </w:pPr>
            <w:r w:rsidRPr="00A85D2D">
              <w:rPr>
                <w:rFonts w:ascii="Times New Roman" w:hAnsi="Times New Roman" w:cs="Times New Roman"/>
                <w:szCs w:val="24"/>
              </w:rPr>
              <w:t>7.80</w:t>
            </w:r>
          </w:p>
        </w:tc>
        <w:tc>
          <w:tcPr>
            <w:tcW w:w="0" w:type="auto"/>
            <w:vAlign w:val="center"/>
            <w:hideMark/>
          </w:tcPr>
          <w:p w14:paraId="38162020" w14:textId="77777777" w:rsidR="00812C67" w:rsidRPr="00A85D2D" w:rsidRDefault="00812C67" w:rsidP="004B6753">
            <w:pPr>
              <w:pStyle w:val="NoSpacing"/>
              <w:jc w:val="center"/>
              <w:rPr>
                <w:rFonts w:ascii="Times New Roman" w:hAnsi="Times New Roman" w:cs="Times New Roman"/>
                <w:szCs w:val="24"/>
              </w:rPr>
            </w:pPr>
            <w:r w:rsidRPr="00A85D2D">
              <w:rPr>
                <w:rFonts w:ascii="Times New Roman" w:hAnsi="Times New Roman" w:cs="Times New Roman"/>
                <w:szCs w:val="24"/>
              </w:rPr>
              <w:t>1.76</w:t>
            </w:r>
          </w:p>
        </w:tc>
        <w:tc>
          <w:tcPr>
            <w:tcW w:w="0" w:type="auto"/>
            <w:vAlign w:val="center"/>
            <w:hideMark/>
          </w:tcPr>
          <w:p w14:paraId="43DB313C" w14:textId="77777777" w:rsidR="00812C67" w:rsidRPr="00A85D2D" w:rsidRDefault="00812C67" w:rsidP="004B6753">
            <w:pPr>
              <w:pStyle w:val="NoSpacing"/>
              <w:jc w:val="center"/>
              <w:rPr>
                <w:rFonts w:ascii="Times New Roman" w:hAnsi="Times New Roman" w:cs="Times New Roman"/>
                <w:szCs w:val="24"/>
              </w:rPr>
            </w:pPr>
            <w:r w:rsidRPr="00A85D2D">
              <w:rPr>
                <w:rFonts w:ascii="Times New Roman" w:hAnsi="Times New Roman" w:cs="Times New Roman"/>
                <w:szCs w:val="24"/>
              </w:rPr>
              <w:t>1.33</w:t>
            </w:r>
          </w:p>
        </w:tc>
        <w:tc>
          <w:tcPr>
            <w:tcW w:w="1412" w:type="dxa"/>
            <w:vAlign w:val="center"/>
            <w:hideMark/>
          </w:tcPr>
          <w:p w14:paraId="4AFC9AD2" w14:textId="77777777" w:rsidR="00812C67" w:rsidRPr="00A85D2D" w:rsidRDefault="00812C67" w:rsidP="004B6753">
            <w:pPr>
              <w:pStyle w:val="NoSpacing"/>
              <w:jc w:val="center"/>
              <w:rPr>
                <w:rFonts w:ascii="Times New Roman" w:hAnsi="Times New Roman" w:cs="Times New Roman"/>
                <w:szCs w:val="24"/>
              </w:rPr>
            </w:pPr>
            <w:r w:rsidRPr="00A85D2D">
              <w:rPr>
                <w:rFonts w:ascii="Times New Roman" w:hAnsi="Times New Roman" w:cs="Times New Roman"/>
                <w:szCs w:val="24"/>
              </w:rPr>
              <w:t>2.07</w:t>
            </w:r>
          </w:p>
        </w:tc>
        <w:tc>
          <w:tcPr>
            <w:tcW w:w="923" w:type="dxa"/>
            <w:vAlign w:val="center"/>
            <w:hideMark/>
          </w:tcPr>
          <w:p w14:paraId="57CC43D4" w14:textId="77777777" w:rsidR="00812C67" w:rsidRPr="00A85D2D" w:rsidRDefault="00812C67" w:rsidP="004B6753">
            <w:pPr>
              <w:pStyle w:val="NoSpacing"/>
              <w:jc w:val="center"/>
              <w:rPr>
                <w:rFonts w:ascii="Times New Roman" w:hAnsi="Times New Roman" w:cs="Times New Roman"/>
                <w:szCs w:val="24"/>
              </w:rPr>
            </w:pPr>
            <w:r w:rsidRPr="00A85D2D">
              <w:rPr>
                <w:rFonts w:ascii="Times New Roman" w:hAnsi="Times New Roman" w:cs="Times New Roman"/>
                <w:szCs w:val="24"/>
              </w:rPr>
              <w:t>18.60</w:t>
            </w:r>
          </w:p>
        </w:tc>
        <w:tc>
          <w:tcPr>
            <w:tcW w:w="1492" w:type="dxa"/>
            <w:vAlign w:val="center"/>
            <w:hideMark/>
          </w:tcPr>
          <w:p w14:paraId="5252F82D" w14:textId="77777777" w:rsidR="00812C67" w:rsidRPr="00A85D2D" w:rsidRDefault="00812C67" w:rsidP="004B6753">
            <w:pPr>
              <w:pStyle w:val="NoSpacing"/>
              <w:jc w:val="center"/>
              <w:rPr>
                <w:rFonts w:ascii="Times New Roman" w:hAnsi="Times New Roman" w:cs="Times New Roman"/>
                <w:szCs w:val="24"/>
              </w:rPr>
            </w:pPr>
            <w:r w:rsidRPr="00A85D2D">
              <w:rPr>
                <w:rFonts w:ascii="Times New Roman" w:hAnsi="Times New Roman" w:cs="Times New Roman"/>
                <w:szCs w:val="24"/>
              </w:rPr>
              <w:t>42.45</w:t>
            </w:r>
          </w:p>
        </w:tc>
      </w:tr>
      <w:tr w:rsidR="00812C67" w:rsidRPr="00A85D2D" w14:paraId="72046A7E" w14:textId="77777777" w:rsidTr="004B6753">
        <w:tc>
          <w:tcPr>
            <w:tcW w:w="1405" w:type="dxa"/>
            <w:vMerge/>
            <w:hideMark/>
          </w:tcPr>
          <w:p w14:paraId="4866176F" w14:textId="77777777" w:rsidR="00812C67" w:rsidRPr="00A85D2D" w:rsidRDefault="00812C67" w:rsidP="005D7DD5">
            <w:pPr>
              <w:pStyle w:val="NoSpacing"/>
              <w:rPr>
                <w:rFonts w:ascii="Times New Roman" w:hAnsi="Times New Roman" w:cs="Times New Roman"/>
                <w:szCs w:val="24"/>
              </w:rPr>
            </w:pPr>
          </w:p>
        </w:tc>
        <w:tc>
          <w:tcPr>
            <w:tcW w:w="0" w:type="auto"/>
            <w:vAlign w:val="center"/>
            <w:hideMark/>
          </w:tcPr>
          <w:p w14:paraId="0F9DD72B" w14:textId="77777777" w:rsidR="00812C67" w:rsidRPr="00A85D2D" w:rsidRDefault="00812C67" w:rsidP="004B6753">
            <w:pPr>
              <w:pStyle w:val="NoSpacing"/>
              <w:jc w:val="center"/>
              <w:rPr>
                <w:rFonts w:ascii="Times New Roman" w:hAnsi="Times New Roman" w:cs="Times New Roman"/>
                <w:szCs w:val="24"/>
              </w:rPr>
            </w:pPr>
            <w:r w:rsidRPr="00A85D2D">
              <w:rPr>
                <w:rFonts w:ascii="Times New Roman" w:hAnsi="Times New Roman" w:cs="Times New Roman"/>
                <w:szCs w:val="24"/>
              </w:rPr>
              <w:t>(5.37)</w:t>
            </w:r>
          </w:p>
        </w:tc>
        <w:tc>
          <w:tcPr>
            <w:tcW w:w="0" w:type="auto"/>
            <w:vAlign w:val="center"/>
            <w:hideMark/>
          </w:tcPr>
          <w:p w14:paraId="355437EE" w14:textId="77777777" w:rsidR="00812C67" w:rsidRPr="00A85D2D" w:rsidRDefault="00812C67" w:rsidP="004B6753">
            <w:pPr>
              <w:pStyle w:val="NoSpacing"/>
              <w:jc w:val="center"/>
              <w:rPr>
                <w:rFonts w:ascii="Times New Roman" w:hAnsi="Times New Roman" w:cs="Times New Roman"/>
                <w:szCs w:val="24"/>
              </w:rPr>
            </w:pPr>
            <w:r w:rsidRPr="00A85D2D">
              <w:rPr>
                <w:rFonts w:ascii="Times New Roman" w:hAnsi="Times New Roman" w:cs="Times New Roman"/>
                <w:szCs w:val="24"/>
              </w:rPr>
              <w:t>(5.09)</w:t>
            </w:r>
          </w:p>
        </w:tc>
        <w:tc>
          <w:tcPr>
            <w:tcW w:w="1790" w:type="dxa"/>
            <w:vAlign w:val="center"/>
            <w:hideMark/>
          </w:tcPr>
          <w:p w14:paraId="7AF27ED9" w14:textId="77777777" w:rsidR="00812C67" w:rsidRPr="00A85D2D" w:rsidRDefault="00812C67" w:rsidP="004B6753">
            <w:pPr>
              <w:pStyle w:val="NoSpacing"/>
              <w:jc w:val="center"/>
              <w:rPr>
                <w:rFonts w:ascii="Times New Roman" w:hAnsi="Times New Roman" w:cs="Times New Roman"/>
                <w:szCs w:val="24"/>
              </w:rPr>
            </w:pPr>
            <w:r w:rsidRPr="00A85D2D">
              <w:rPr>
                <w:rFonts w:ascii="Times New Roman" w:hAnsi="Times New Roman" w:cs="Times New Roman"/>
                <w:szCs w:val="24"/>
              </w:rPr>
              <w:t>(3.77)</w:t>
            </w:r>
          </w:p>
        </w:tc>
        <w:tc>
          <w:tcPr>
            <w:tcW w:w="916" w:type="dxa"/>
            <w:vAlign w:val="center"/>
            <w:hideMark/>
          </w:tcPr>
          <w:p w14:paraId="43F93F6C" w14:textId="77777777" w:rsidR="00812C67" w:rsidRPr="00A85D2D" w:rsidRDefault="00812C67" w:rsidP="004B6753">
            <w:pPr>
              <w:pStyle w:val="NoSpacing"/>
              <w:jc w:val="center"/>
              <w:rPr>
                <w:rFonts w:ascii="Times New Roman" w:hAnsi="Times New Roman" w:cs="Times New Roman"/>
                <w:szCs w:val="24"/>
              </w:rPr>
            </w:pPr>
            <w:r w:rsidRPr="00A85D2D">
              <w:rPr>
                <w:rFonts w:ascii="Times New Roman" w:hAnsi="Times New Roman" w:cs="Times New Roman"/>
                <w:szCs w:val="24"/>
              </w:rPr>
              <w:t>(10.13)</w:t>
            </w:r>
          </w:p>
        </w:tc>
        <w:tc>
          <w:tcPr>
            <w:tcW w:w="0" w:type="auto"/>
            <w:vAlign w:val="center"/>
            <w:hideMark/>
          </w:tcPr>
          <w:p w14:paraId="4C02DDFD" w14:textId="77777777" w:rsidR="00812C67" w:rsidRPr="00A85D2D" w:rsidRDefault="00812C67" w:rsidP="004B6753">
            <w:pPr>
              <w:pStyle w:val="NoSpacing"/>
              <w:jc w:val="center"/>
              <w:rPr>
                <w:rFonts w:ascii="Times New Roman" w:hAnsi="Times New Roman" w:cs="Times New Roman"/>
                <w:szCs w:val="24"/>
              </w:rPr>
            </w:pPr>
            <w:r w:rsidRPr="00A85D2D">
              <w:rPr>
                <w:rFonts w:ascii="Times New Roman" w:hAnsi="Times New Roman" w:cs="Times New Roman"/>
                <w:szCs w:val="24"/>
              </w:rPr>
              <w:t>(1.29)</w:t>
            </w:r>
          </w:p>
        </w:tc>
        <w:tc>
          <w:tcPr>
            <w:tcW w:w="0" w:type="auto"/>
            <w:vAlign w:val="center"/>
            <w:hideMark/>
          </w:tcPr>
          <w:p w14:paraId="250AFEE4" w14:textId="77777777" w:rsidR="00812C67" w:rsidRPr="00A85D2D" w:rsidRDefault="00812C67" w:rsidP="004B6753">
            <w:pPr>
              <w:pStyle w:val="NoSpacing"/>
              <w:jc w:val="center"/>
              <w:rPr>
                <w:rFonts w:ascii="Times New Roman" w:hAnsi="Times New Roman" w:cs="Times New Roman"/>
                <w:szCs w:val="24"/>
              </w:rPr>
            </w:pPr>
            <w:r w:rsidRPr="00A85D2D">
              <w:rPr>
                <w:rFonts w:ascii="Times New Roman" w:hAnsi="Times New Roman" w:cs="Times New Roman"/>
                <w:szCs w:val="24"/>
              </w:rPr>
              <w:t>(18.37)</w:t>
            </w:r>
          </w:p>
        </w:tc>
        <w:tc>
          <w:tcPr>
            <w:tcW w:w="0" w:type="auto"/>
            <w:vAlign w:val="center"/>
            <w:hideMark/>
          </w:tcPr>
          <w:p w14:paraId="31E12B59" w14:textId="77777777" w:rsidR="00812C67" w:rsidRPr="00A85D2D" w:rsidRDefault="00812C67" w:rsidP="004B6753">
            <w:pPr>
              <w:pStyle w:val="NoSpacing"/>
              <w:jc w:val="center"/>
              <w:rPr>
                <w:rFonts w:ascii="Times New Roman" w:hAnsi="Times New Roman" w:cs="Times New Roman"/>
                <w:szCs w:val="24"/>
              </w:rPr>
            </w:pPr>
            <w:r w:rsidRPr="00A85D2D">
              <w:rPr>
                <w:rFonts w:ascii="Times New Roman" w:hAnsi="Times New Roman" w:cs="Times New Roman"/>
                <w:szCs w:val="24"/>
              </w:rPr>
              <w:t>(4.15)</w:t>
            </w:r>
          </w:p>
        </w:tc>
        <w:tc>
          <w:tcPr>
            <w:tcW w:w="0" w:type="auto"/>
            <w:vAlign w:val="center"/>
            <w:hideMark/>
          </w:tcPr>
          <w:p w14:paraId="2648C9DA" w14:textId="77777777" w:rsidR="00812C67" w:rsidRPr="00A85D2D" w:rsidRDefault="00812C67" w:rsidP="004B6753">
            <w:pPr>
              <w:pStyle w:val="NoSpacing"/>
              <w:jc w:val="center"/>
              <w:rPr>
                <w:rFonts w:ascii="Times New Roman" w:hAnsi="Times New Roman" w:cs="Times New Roman"/>
                <w:szCs w:val="24"/>
              </w:rPr>
            </w:pPr>
            <w:r w:rsidRPr="00A85D2D">
              <w:rPr>
                <w:rFonts w:ascii="Times New Roman" w:hAnsi="Times New Roman" w:cs="Times New Roman"/>
                <w:szCs w:val="24"/>
              </w:rPr>
              <w:t>(3.13)</w:t>
            </w:r>
          </w:p>
        </w:tc>
        <w:tc>
          <w:tcPr>
            <w:tcW w:w="1412" w:type="dxa"/>
            <w:vAlign w:val="center"/>
            <w:hideMark/>
          </w:tcPr>
          <w:p w14:paraId="517485D6" w14:textId="77777777" w:rsidR="00812C67" w:rsidRPr="00A85D2D" w:rsidRDefault="00812C67" w:rsidP="004B6753">
            <w:pPr>
              <w:pStyle w:val="NoSpacing"/>
              <w:jc w:val="center"/>
              <w:rPr>
                <w:rFonts w:ascii="Times New Roman" w:hAnsi="Times New Roman" w:cs="Times New Roman"/>
                <w:szCs w:val="24"/>
              </w:rPr>
            </w:pPr>
            <w:r w:rsidRPr="00A85D2D">
              <w:rPr>
                <w:rFonts w:ascii="Times New Roman" w:hAnsi="Times New Roman" w:cs="Times New Roman"/>
                <w:szCs w:val="24"/>
              </w:rPr>
              <w:t>(4.88)</w:t>
            </w:r>
          </w:p>
        </w:tc>
        <w:tc>
          <w:tcPr>
            <w:tcW w:w="923" w:type="dxa"/>
            <w:vAlign w:val="center"/>
            <w:hideMark/>
          </w:tcPr>
          <w:p w14:paraId="7E3F542E" w14:textId="77777777" w:rsidR="00812C67" w:rsidRPr="00A85D2D" w:rsidRDefault="00812C67" w:rsidP="004B6753">
            <w:pPr>
              <w:pStyle w:val="NoSpacing"/>
              <w:jc w:val="center"/>
              <w:rPr>
                <w:rFonts w:ascii="Times New Roman" w:hAnsi="Times New Roman" w:cs="Times New Roman"/>
                <w:szCs w:val="24"/>
              </w:rPr>
            </w:pPr>
            <w:r w:rsidRPr="00A85D2D">
              <w:rPr>
                <w:rFonts w:ascii="Times New Roman" w:hAnsi="Times New Roman" w:cs="Times New Roman"/>
                <w:szCs w:val="24"/>
              </w:rPr>
              <w:t>(43.82)</w:t>
            </w:r>
          </w:p>
        </w:tc>
        <w:tc>
          <w:tcPr>
            <w:tcW w:w="1492" w:type="dxa"/>
            <w:vAlign w:val="center"/>
            <w:hideMark/>
          </w:tcPr>
          <w:p w14:paraId="5E8D6910" w14:textId="77777777" w:rsidR="00812C67" w:rsidRPr="00A85D2D" w:rsidRDefault="00812C67" w:rsidP="004B6753">
            <w:pPr>
              <w:pStyle w:val="NoSpacing"/>
              <w:jc w:val="center"/>
              <w:rPr>
                <w:rFonts w:ascii="Times New Roman" w:hAnsi="Times New Roman" w:cs="Times New Roman"/>
                <w:szCs w:val="24"/>
              </w:rPr>
            </w:pPr>
            <w:r w:rsidRPr="00A85D2D">
              <w:rPr>
                <w:rFonts w:ascii="Times New Roman" w:hAnsi="Times New Roman" w:cs="Times New Roman"/>
                <w:szCs w:val="24"/>
              </w:rPr>
              <w:t>(100.00)</w:t>
            </w:r>
          </w:p>
        </w:tc>
      </w:tr>
      <w:tr w:rsidR="00416FA8" w:rsidRPr="00A85D2D" w14:paraId="13410CE4" w14:textId="77777777" w:rsidTr="004B6753">
        <w:tc>
          <w:tcPr>
            <w:tcW w:w="1405" w:type="dxa"/>
            <w:hideMark/>
          </w:tcPr>
          <w:p w14:paraId="2E766241" w14:textId="77777777" w:rsidR="005D7DD5" w:rsidRPr="00A85D2D" w:rsidRDefault="005D7DD5" w:rsidP="005D7DD5">
            <w:pPr>
              <w:pStyle w:val="NoSpacing"/>
              <w:rPr>
                <w:rFonts w:ascii="Times New Roman" w:hAnsi="Times New Roman" w:cs="Times New Roman"/>
                <w:szCs w:val="24"/>
              </w:rPr>
            </w:pPr>
            <w:r w:rsidRPr="00A85D2D">
              <w:rPr>
                <w:rFonts w:ascii="Times New Roman" w:hAnsi="Times New Roman" w:cs="Times New Roman"/>
                <w:szCs w:val="24"/>
              </w:rPr>
              <w:t>1965-66</w:t>
            </w:r>
          </w:p>
        </w:tc>
        <w:tc>
          <w:tcPr>
            <w:tcW w:w="0" w:type="auto"/>
            <w:vAlign w:val="center"/>
            <w:hideMark/>
          </w:tcPr>
          <w:p w14:paraId="0EA42278" w14:textId="77777777" w:rsidR="005D7DD5" w:rsidRPr="00A85D2D" w:rsidRDefault="005D7DD5" w:rsidP="004B6753">
            <w:pPr>
              <w:pStyle w:val="NoSpacing"/>
              <w:jc w:val="center"/>
              <w:rPr>
                <w:rFonts w:ascii="Times New Roman" w:hAnsi="Times New Roman" w:cs="Times New Roman"/>
                <w:szCs w:val="24"/>
              </w:rPr>
            </w:pPr>
            <w:r w:rsidRPr="00A85D2D">
              <w:rPr>
                <w:rFonts w:ascii="Times New Roman" w:hAnsi="Times New Roman" w:cs="Times New Roman"/>
                <w:szCs w:val="24"/>
              </w:rPr>
              <w:t>1.90</w:t>
            </w:r>
          </w:p>
        </w:tc>
        <w:tc>
          <w:tcPr>
            <w:tcW w:w="0" w:type="auto"/>
            <w:vAlign w:val="center"/>
            <w:hideMark/>
          </w:tcPr>
          <w:p w14:paraId="49CB1AAD" w14:textId="77777777" w:rsidR="005D7DD5" w:rsidRPr="00A85D2D" w:rsidRDefault="005D7DD5" w:rsidP="004B6753">
            <w:pPr>
              <w:pStyle w:val="NoSpacing"/>
              <w:jc w:val="center"/>
              <w:rPr>
                <w:rFonts w:ascii="Times New Roman" w:hAnsi="Times New Roman" w:cs="Times New Roman"/>
                <w:szCs w:val="24"/>
              </w:rPr>
            </w:pPr>
            <w:r w:rsidRPr="00A85D2D">
              <w:rPr>
                <w:rFonts w:ascii="Times New Roman" w:hAnsi="Times New Roman" w:cs="Times New Roman"/>
                <w:szCs w:val="24"/>
              </w:rPr>
              <w:t>8.03</w:t>
            </w:r>
          </w:p>
        </w:tc>
        <w:tc>
          <w:tcPr>
            <w:tcW w:w="1790" w:type="dxa"/>
            <w:vAlign w:val="center"/>
            <w:hideMark/>
          </w:tcPr>
          <w:p w14:paraId="0FCB4AD3" w14:textId="77777777" w:rsidR="005D7DD5" w:rsidRPr="00A85D2D" w:rsidRDefault="005D7DD5" w:rsidP="004B6753">
            <w:pPr>
              <w:pStyle w:val="NoSpacing"/>
              <w:jc w:val="center"/>
              <w:rPr>
                <w:rFonts w:ascii="Times New Roman" w:hAnsi="Times New Roman" w:cs="Times New Roman"/>
                <w:szCs w:val="24"/>
              </w:rPr>
            </w:pPr>
            <w:r w:rsidRPr="00A85D2D">
              <w:rPr>
                <w:rFonts w:ascii="Times New Roman" w:hAnsi="Times New Roman" w:cs="Times New Roman"/>
                <w:szCs w:val="24"/>
              </w:rPr>
              <w:t>1.75</w:t>
            </w:r>
          </w:p>
        </w:tc>
        <w:tc>
          <w:tcPr>
            <w:tcW w:w="916" w:type="dxa"/>
            <w:vAlign w:val="center"/>
            <w:hideMark/>
          </w:tcPr>
          <w:p w14:paraId="05022A51" w14:textId="77777777" w:rsidR="005D7DD5" w:rsidRPr="00A85D2D" w:rsidRDefault="005D7DD5" w:rsidP="004B6753">
            <w:pPr>
              <w:pStyle w:val="NoSpacing"/>
              <w:jc w:val="center"/>
              <w:rPr>
                <w:rFonts w:ascii="Times New Roman" w:hAnsi="Times New Roman" w:cs="Times New Roman"/>
                <w:szCs w:val="24"/>
              </w:rPr>
            </w:pPr>
            <w:r w:rsidRPr="00A85D2D">
              <w:rPr>
                <w:rFonts w:ascii="Times New Roman" w:hAnsi="Times New Roman" w:cs="Times New Roman"/>
                <w:szCs w:val="24"/>
              </w:rPr>
              <w:t>8.86</w:t>
            </w:r>
          </w:p>
        </w:tc>
        <w:tc>
          <w:tcPr>
            <w:tcW w:w="0" w:type="auto"/>
            <w:vAlign w:val="center"/>
            <w:hideMark/>
          </w:tcPr>
          <w:p w14:paraId="3F1E189A" w14:textId="77777777" w:rsidR="005D7DD5" w:rsidRPr="00A85D2D" w:rsidRDefault="005D7DD5" w:rsidP="004B6753">
            <w:pPr>
              <w:pStyle w:val="NoSpacing"/>
              <w:jc w:val="center"/>
              <w:rPr>
                <w:rFonts w:ascii="Times New Roman" w:hAnsi="Times New Roman" w:cs="Times New Roman"/>
                <w:szCs w:val="24"/>
              </w:rPr>
            </w:pPr>
            <w:r w:rsidRPr="00A85D2D">
              <w:rPr>
                <w:rFonts w:ascii="Times New Roman" w:hAnsi="Times New Roman" w:cs="Times New Roman"/>
                <w:szCs w:val="24"/>
              </w:rPr>
              <w:t>1.02</w:t>
            </w:r>
          </w:p>
        </w:tc>
        <w:tc>
          <w:tcPr>
            <w:tcW w:w="0" w:type="auto"/>
            <w:vAlign w:val="center"/>
            <w:hideMark/>
          </w:tcPr>
          <w:p w14:paraId="00A2A81C" w14:textId="77777777" w:rsidR="005D7DD5" w:rsidRPr="00A85D2D" w:rsidRDefault="005D7DD5" w:rsidP="004B6753">
            <w:pPr>
              <w:pStyle w:val="NoSpacing"/>
              <w:jc w:val="center"/>
              <w:rPr>
                <w:rFonts w:ascii="Times New Roman" w:hAnsi="Times New Roman" w:cs="Times New Roman"/>
                <w:szCs w:val="24"/>
              </w:rPr>
            </w:pPr>
            <w:r w:rsidRPr="00A85D2D">
              <w:rPr>
                <w:rFonts w:ascii="Times New Roman" w:hAnsi="Times New Roman" w:cs="Times New Roman"/>
                <w:szCs w:val="24"/>
              </w:rPr>
              <w:t>15.09</w:t>
            </w:r>
          </w:p>
        </w:tc>
        <w:tc>
          <w:tcPr>
            <w:tcW w:w="0" w:type="auto"/>
            <w:vAlign w:val="center"/>
            <w:hideMark/>
          </w:tcPr>
          <w:p w14:paraId="7B17FDAE" w14:textId="77777777" w:rsidR="005D7DD5" w:rsidRPr="00A85D2D" w:rsidRDefault="005D7DD5" w:rsidP="004B6753">
            <w:pPr>
              <w:pStyle w:val="NoSpacing"/>
              <w:jc w:val="center"/>
              <w:rPr>
                <w:rFonts w:ascii="Times New Roman" w:hAnsi="Times New Roman" w:cs="Times New Roman"/>
                <w:szCs w:val="24"/>
              </w:rPr>
            </w:pPr>
            <w:r w:rsidRPr="00A85D2D">
              <w:rPr>
                <w:rFonts w:ascii="Times New Roman" w:hAnsi="Times New Roman" w:cs="Times New Roman"/>
                <w:szCs w:val="24"/>
              </w:rPr>
              <w:t>2.97</w:t>
            </w:r>
          </w:p>
        </w:tc>
        <w:tc>
          <w:tcPr>
            <w:tcW w:w="0" w:type="auto"/>
            <w:vAlign w:val="center"/>
            <w:hideMark/>
          </w:tcPr>
          <w:p w14:paraId="626BEF4D" w14:textId="77777777" w:rsidR="005D7DD5" w:rsidRPr="00A85D2D" w:rsidRDefault="005D7DD5" w:rsidP="004B6753">
            <w:pPr>
              <w:pStyle w:val="NoSpacing"/>
              <w:jc w:val="center"/>
              <w:rPr>
                <w:rFonts w:ascii="Times New Roman" w:hAnsi="Times New Roman" w:cs="Times New Roman"/>
                <w:szCs w:val="24"/>
              </w:rPr>
            </w:pPr>
            <w:r w:rsidRPr="00A85D2D">
              <w:rPr>
                <w:rFonts w:ascii="Times New Roman" w:hAnsi="Times New Roman" w:cs="Times New Roman"/>
                <w:szCs w:val="24"/>
              </w:rPr>
              <w:t>2.82</w:t>
            </w:r>
          </w:p>
        </w:tc>
        <w:tc>
          <w:tcPr>
            <w:tcW w:w="1412" w:type="dxa"/>
            <w:vAlign w:val="center"/>
            <w:hideMark/>
          </w:tcPr>
          <w:p w14:paraId="61C84259" w14:textId="77777777" w:rsidR="005D7DD5" w:rsidRPr="00A85D2D" w:rsidRDefault="005D7DD5" w:rsidP="004B6753">
            <w:pPr>
              <w:pStyle w:val="NoSpacing"/>
              <w:jc w:val="center"/>
              <w:rPr>
                <w:rFonts w:ascii="Times New Roman" w:hAnsi="Times New Roman" w:cs="Times New Roman"/>
                <w:szCs w:val="24"/>
              </w:rPr>
            </w:pPr>
            <w:r w:rsidRPr="00A85D2D">
              <w:rPr>
                <w:rFonts w:ascii="Times New Roman" w:hAnsi="Times New Roman" w:cs="Times New Roman"/>
                <w:szCs w:val="24"/>
              </w:rPr>
              <w:t>5.51</w:t>
            </w:r>
          </w:p>
        </w:tc>
        <w:tc>
          <w:tcPr>
            <w:tcW w:w="923" w:type="dxa"/>
            <w:vAlign w:val="center"/>
            <w:hideMark/>
          </w:tcPr>
          <w:p w14:paraId="5AA64751" w14:textId="77777777" w:rsidR="005D7DD5" w:rsidRPr="00A85D2D" w:rsidRDefault="005D7DD5" w:rsidP="004B6753">
            <w:pPr>
              <w:pStyle w:val="NoSpacing"/>
              <w:jc w:val="center"/>
              <w:rPr>
                <w:rFonts w:ascii="Times New Roman" w:hAnsi="Times New Roman" w:cs="Times New Roman"/>
                <w:szCs w:val="24"/>
              </w:rPr>
            </w:pPr>
            <w:r w:rsidRPr="00A85D2D">
              <w:rPr>
                <w:rFonts w:ascii="Times New Roman" w:hAnsi="Times New Roman" w:cs="Times New Roman"/>
                <w:szCs w:val="24"/>
              </w:rPr>
              <w:t>32.51</w:t>
            </w:r>
          </w:p>
        </w:tc>
        <w:tc>
          <w:tcPr>
            <w:tcW w:w="1492" w:type="dxa"/>
            <w:vAlign w:val="center"/>
            <w:hideMark/>
          </w:tcPr>
          <w:p w14:paraId="380AD959" w14:textId="77777777" w:rsidR="005D7DD5" w:rsidRPr="00A85D2D" w:rsidRDefault="005D7DD5" w:rsidP="004B6753">
            <w:pPr>
              <w:pStyle w:val="NoSpacing"/>
              <w:jc w:val="center"/>
              <w:rPr>
                <w:rFonts w:ascii="Times New Roman" w:hAnsi="Times New Roman" w:cs="Times New Roman"/>
                <w:szCs w:val="24"/>
              </w:rPr>
            </w:pPr>
            <w:r w:rsidRPr="00A85D2D">
              <w:rPr>
                <w:rFonts w:ascii="Times New Roman" w:hAnsi="Times New Roman" w:cs="Times New Roman"/>
                <w:szCs w:val="24"/>
              </w:rPr>
              <w:t>80.46</w:t>
            </w:r>
          </w:p>
        </w:tc>
      </w:tr>
      <w:tr w:rsidR="00416FA8" w:rsidRPr="00A85D2D" w14:paraId="7AA9B84E" w14:textId="77777777" w:rsidTr="004B6753">
        <w:tc>
          <w:tcPr>
            <w:tcW w:w="1405" w:type="dxa"/>
            <w:hideMark/>
          </w:tcPr>
          <w:p w14:paraId="41984D56" w14:textId="77777777" w:rsidR="005D7DD5" w:rsidRPr="00A85D2D" w:rsidRDefault="005D7DD5" w:rsidP="005D7DD5">
            <w:pPr>
              <w:pStyle w:val="NoSpacing"/>
              <w:rPr>
                <w:rFonts w:ascii="Times New Roman" w:hAnsi="Times New Roman" w:cs="Times New Roman"/>
                <w:szCs w:val="24"/>
              </w:rPr>
            </w:pPr>
            <w:r w:rsidRPr="00A85D2D">
              <w:rPr>
                <w:rFonts w:ascii="Times New Roman" w:hAnsi="Times New Roman" w:cs="Times New Roman"/>
                <w:szCs w:val="24"/>
              </w:rPr>
              <w:t>1966-67</w:t>
            </w:r>
          </w:p>
        </w:tc>
        <w:tc>
          <w:tcPr>
            <w:tcW w:w="0" w:type="auto"/>
            <w:vAlign w:val="center"/>
            <w:hideMark/>
          </w:tcPr>
          <w:p w14:paraId="0ADBB32A" w14:textId="77777777" w:rsidR="005D7DD5" w:rsidRPr="00A85D2D" w:rsidRDefault="005D7DD5" w:rsidP="004B6753">
            <w:pPr>
              <w:pStyle w:val="NoSpacing"/>
              <w:jc w:val="center"/>
              <w:rPr>
                <w:rFonts w:ascii="Times New Roman" w:hAnsi="Times New Roman" w:cs="Times New Roman"/>
                <w:szCs w:val="24"/>
              </w:rPr>
            </w:pPr>
            <w:r w:rsidRPr="00A85D2D">
              <w:rPr>
                <w:rFonts w:ascii="Times New Roman" w:hAnsi="Times New Roman" w:cs="Times New Roman"/>
                <w:szCs w:val="24"/>
              </w:rPr>
              <w:t>1.90</w:t>
            </w:r>
          </w:p>
        </w:tc>
        <w:tc>
          <w:tcPr>
            <w:tcW w:w="0" w:type="auto"/>
            <w:vAlign w:val="center"/>
            <w:hideMark/>
          </w:tcPr>
          <w:p w14:paraId="2974FA59" w14:textId="77777777" w:rsidR="005D7DD5" w:rsidRPr="00A85D2D" w:rsidRDefault="005D7DD5" w:rsidP="004B6753">
            <w:pPr>
              <w:pStyle w:val="NoSpacing"/>
              <w:jc w:val="center"/>
              <w:rPr>
                <w:rFonts w:ascii="Times New Roman" w:hAnsi="Times New Roman" w:cs="Times New Roman"/>
                <w:szCs w:val="24"/>
              </w:rPr>
            </w:pPr>
            <w:r w:rsidRPr="00A85D2D">
              <w:rPr>
                <w:rFonts w:ascii="Times New Roman" w:hAnsi="Times New Roman" w:cs="Times New Roman"/>
                <w:szCs w:val="24"/>
              </w:rPr>
              <w:t>9.84</w:t>
            </w:r>
          </w:p>
        </w:tc>
        <w:tc>
          <w:tcPr>
            <w:tcW w:w="1790" w:type="dxa"/>
            <w:vAlign w:val="center"/>
            <w:hideMark/>
          </w:tcPr>
          <w:p w14:paraId="07B4E2A1" w14:textId="77777777" w:rsidR="005D7DD5" w:rsidRPr="00A85D2D" w:rsidRDefault="005D7DD5" w:rsidP="004B6753">
            <w:pPr>
              <w:pStyle w:val="NoSpacing"/>
              <w:jc w:val="center"/>
              <w:rPr>
                <w:rFonts w:ascii="Times New Roman" w:hAnsi="Times New Roman" w:cs="Times New Roman"/>
                <w:szCs w:val="24"/>
              </w:rPr>
            </w:pPr>
            <w:r w:rsidRPr="00A85D2D">
              <w:rPr>
                <w:rFonts w:ascii="Times New Roman" w:hAnsi="Times New Roman" w:cs="Times New Roman"/>
                <w:szCs w:val="24"/>
              </w:rPr>
              <w:t>2.00</w:t>
            </w:r>
          </w:p>
        </w:tc>
        <w:tc>
          <w:tcPr>
            <w:tcW w:w="916" w:type="dxa"/>
            <w:vAlign w:val="center"/>
            <w:hideMark/>
          </w:tcPr>
          <w:p w14:paraId="4166FA1A" w14:textId="77777777" w:rsidR="005D7DD5" w:rsidRPr="00A85D2D" w:rsidRDefault="005D7DD5" w:rsidP="004B6753">
            <w:pPr>
              <w:pStyle w:val="NoSpacing"/>
              <w:jc w:val="center"/>
              <w:rPr>
                <w:rFonts w:ascii="Times New Roman" w:hAnsi="Times New Roman" w:cs="Times New Roman"/>
                <w:szCs w:val="24"/>
              </w:rPr>
            </w:pPr>
            <w:r w:rsidRPr="00A85D2D">
              <w:rPr>
                <w:rFonts w:ascii="Times New Roman" w:hAnsi="Times New Roman" w:cs="Times New Roman"/>
                <w:szCs w:val="24"/>
              </w:rPr>
              <w:t>10.70</w:t>
            </w:r>
          </w:p>
        </w:tc>
        <w:tc>
          <w:tcPr>
            <w:tcW w:w="0" w:type="auto"/>
            <w:vAlign w:val="center"/>
            <w:hideMark/>
          </w:tcPr>
          <w:p w14:paraId="26959974" w14:textId="77777777" w:rsidR="005D7DD5" w:rsidRPr="00A85D2D" w:rsidRDefault="005D7DD5" w:rsidP="004B6753">
            <w:pPr>
              <w:pStyle w:val="NoSpacing"/>
              <w:jc w:val="center"/>
              <w:rPr>
                <w:rFonts w:ascii="Times New Roman" w:hAnsi="Times New Roman" w:cs="Times New Roman"/>
                <w:szCs w:val="24"/>
              </w:rPr>
            </w:pPr>
            <w:r w:rsidRPr="00A85D2D">
              <w:rPr>
                <w:rFonts w:ascii="Times New Roman" w:hAnsi="Times New Roman" w:cs="Times New Roman"/>
                <w:szCs w:val="24"/>
              </w:rPr>
              <w:t>1.12</w:t>
            </w:r>
          </w:p>
        </w:tc>
        <w:tc>
          <w:tcPr>
            <w:tcW w:w="0" w:type="auto"/>
            <w:vAlign w:val="center"/>
            <w:hideMark/>
          </w:tcPr>
          <w:p w14:paraId="542CC118" w14:textId="77777777" w:rsidR="005D7DD5" w:rsidRPr="00A85D2D" w:rsidRDefault="005D7DD5" w:rsidP="004B6753">
            <w:pPr>
              <w:pStyle w:val="NoSpacing"/>
              <w:jc w:val="center"/>
              <w:rPr>
                <w:rFonts w:ascii="Times New Roman" w:hAnsi="Times New Roman" w:cs="Times New Roman"/>
                <w:szCs w:val="24"/>
              </w:rPr>
            </w:pPr>
            <w:r w:rsidRPr="00A85D2D">
              <w:rPr>
                <w:rFonts w:ascii="Times New Roman" w:hAnsi="Times New Roman" w:cs="Times New Roman"/>
                <w:szCs w:val="24"/>
              </w:rPr>
              <w:t>16.30</w:t>
            </w:r>
          </w:p>
        </w:tc>
        <w:tc>
          <w:tcPr>
            <w:tcW w:w="0" w:type="auto"/>
            <w:vAlign w:val="center"/>
            <w:hideMark/>
          </w:tcPr>
          <w:p w14:paraId="53F89A46" w14:textId="77777777" w:rsidR="005D7DD5" w:rsidRPr="00A85D2D" w:rsidRDefault="005D7DD5" w:rsidP="004B6753">
            <w:pPr>
              <w:pStyle w:val="NoSpacing"/>
              <w:jc w:val="center"/>
              <w:rPr>
                <w:rFonts w:ascii="Times New Roman" w:hAnsi="Times New Roman" w:cs="Times New Roman"/>
                <w:szCs w:val="24"/>
              </w:rPr>
            </w:pPr>
            <w:r w:rsidRPr="00A85D2D">
              <w:rPr>
                <w:rFonts w:ascii="Times New Roman" w:hAnsi="Times New Roman" w:cs="Times New Roman"/>
                <w:szCs w:val="24"/>
              </w:rPr>
              <w:t>2.95</w:t>
            </w:r>
          </w:p>
        </w:tc>
        <w:tc>
          <w:tcPr>
            <w:tcW w:w="0" w:type="auto"/>
            <w:vAlign w:val="center"/>
            <w:hideMark/>
          </w:tcPr>
          <w:p w14:paraId="03434022" w14:textId="77777777" w:rsidR="005D7DD5" w:rsidRPr="00A85D2D" w:rsidRDefault="005D7DD5" w:rsidP="004B6753">
            <w:pPr>
              <w:pStyle w:val="NoSpacing"/>
              <w:jc w:val="center"/>
              <w:rPr>
                <w:rFonts w:ascii="Times New Roman" w:hAnsi="Times New Roman" w:cs="Times New Roman"/>
                <w:szCs w:val="24"/>
              </w:rPr>
            </w:pPr>
            <w:r w:rsidRPr="00A85D2D">
              <w:rPr>
                <w:rFonts w:ascii="Times New Roman" w:hAnsi="Times New Roman" w:cs="Times New Roman"/>
                <w:szCs w:val="24"/>
              </w:rPr>
              <w:t>2.28</w:t>
            </w:r>
          </w:p>
        </w:tc>
        <w:tc>
          <w:tcPr>
            <w:tcW w:w="1412" w:type="dxa"/>
            <w:vAlign w:val="center"/>
            <w:hideMark/>
          </w:tcPr>
          <w:p w14:paraId="45FFFD84" w14:textId="77777777" w:rsidR="005D7DD5" w:rsidRPr="00A85D2D" w:rsidRDefault="005D7DD5" w:rsidP="004B6753">
            <w:pPr>
              <w:pStyle w:val="NoSpacing"/>
              <w:jc w:val="center"/>
              <w:rPr>
                <w:rFonts w:ascii="Times New Roman" w:hAnsi="Times New Roman" w:cs="Times New Roman"/>
                <w:szCs w:val="24"/>
              </w:rPr>
            </w:pPr>
            <w:r w:rsidRPr="00A85D2D">
              <w:rPr>
                <w:rFonts w:ascii="Times New Roman" w:hAnsi="Times New Roman" w:cs="Times New Roman"/>
                <w:szCs w:val="24"/>
              </w:rPr>
              <w:t>6.32</w:t>
            </w:r>
          </w:p>
        </w:tc>
        <w:tc>
          <w:tcPr>
            <w:tcW w:w="923" w:type="dxa"/>
            <w:vAlign w:val="center"/>
            <w:hideMark/>
          </w:tcPr>
          <w:p w14:paraId="08AD8E65" w14:textId="77777777" w:rsidR="005D7DD5" w:rsidRPr="00A85D2D" w:rsidRDefault="005D7DD5" w:rsidP="004B6753">
            <w:pPr>
              <w:pStyle w:val="NoSpacing"/>
              <w:jc w:val="center"/>
              <w:rPr>
                <w:rFonts w:ascii="Times New Roman" w:hAnsi="Times New Roman" w:cs="Times New Roman"/>
                <w:szCs w:val="24"/>
              </w:rPr>
            </w:pPr>
            <w:r w:rsidRPr="00A85D2D">
              <w:rPr>
                <w:rFonts w:ascii="Times New Roman" w:hAnsi="Times New Roman" w:cs="Times New Roman"/>
                <w:szCs w:val="24"/>
              </w:rPr>
              <w:t>38.17</w:t>
            </w:r>
          </w:p>
        </w:tc>
        <w:tc>
          <w:tcPr>
            <w:tcW w:w="1492" w:type="dxa"/>
            <w:vAlign w:val="center"/>
            <w:hideMark/>
          </w:tcPr>
          <w:p w14:paraId="053C7038" w14:textId="77777777" w:rsidR="005D7DD5" w:rsidRPr="00A85D2D" w:rsidRDefault="005D7DD5" w:rsidP="004B6753">
            <w:pPr>
              <w:pStyle w:val="NoSpacing"/>
              <w:jc w:val="center"/>
              <w:rPr>
                <w:rFonts w:ascii="Times New Roman" w:hAnsi="Times New Roman" w:cs="Times New Roman"/>
                <w:szCs w:val="24"/>
              </w:rPr>
            </w:pPr>
            <w:r w:rsidRPr="00A85D2D">
              <w:rPr>
                <w:rFonts w:ascii="Times New Roman" w:hAnsi="Times New Roman" w:cs="Times New Roman"/>
                <w:szCs w:val="24"/>
              </w:rPr>
              <w:t>91.58</w:t>
            </w:r>
          </w:p>
        </w:tc>
      </w:tr>
      <w:tr w:rsidR="00416FA8" w:rsidRPr="00A85D2D" w14:paraId="4D9558FB" w14:textId="77777777" w:rsidTr="004B6753">
        <w:tc>
          <w:tcPr>
            <w:tcW w:w="1405" w:type="dxa"/>
            <w:hideMark/>
          </w:tcPr>
          <w:p w14:paraId="5C108FBB" w14:textId="77777777" w:rsidR="005D7DD5" w:rsidRPr="00A85D2D" w:rsidRDefault="005D7DD5" w:rsidP="005D7DD5">
            <w:pPr>
              <w:pStyle w:val="NoSpacing"/>
              <w:rPr>
                <w:rFonts w:ascii="Times New Roman" w:hAnsi="Times New Roman" w:cs="Times New Roman"/>
                <w:szCs w:val="24"/>
              </w:rPr>
            </w:pPr>
            <w:r w:rsidRPr="00A85D2D">
              <w:rPr>
                <w:rFonts w:ascii="Times New Roman" w:hAnsi="Times New Roman" w:cs="Times New Roman"/>
                <w:szCs w:val="24"/>
              </w:rPr>
              <w:t>1967-68</w:t>
            </w:r>
          </w:p>
        </w:tc>
        <w:tc>
          <w:tcPr>
            <w:tcW w:w="0" w:type="auto"/>
            <w:vAlign w:val="center"/>
            <w:hideMark/>
          </w:tcPr>
          <w:p w14:paraId="0266DB78" w14:textId="77777777" w:rsidR="005D7DD5" w:rsidRPr="00A85D2D" w:rsidRDefault="005D7DD5" w:rsidP="004B6753">
            <w:pPr>
              <w:pStyle w:val="NoSpacing"/>
              <w:jc w:val="center"/>
              <w:rPr>
                <w:rFonts w:ascii="Times New Roman" w:hAnsi="Times New Roman" w:cs="Times New Roman"/>
                <w:szCs w:val="24"/>
              </w:rPr>
            </w:pPr>
            <w:r w:rsidRPr="00A85D2D">
              <w:rPr>
                <w:rFonts w:ascii="Times New Roman" w:hAnsi="Times New Roman" w:cs="Times New Roman"/>
                <w:szCs w:val="24"/>
              </w:rPr>
              <w:t>2.25</w:t>
            </w:r>
          </w:p>
        </w:tc>
        <w:tc>
          <w:tcPr>
            <w:tcW w:w="0" w:type="auto"/>
            <w:vAlign w:val="center"/>
            <w:hideMark/>
          </w:tcPr>
          <w:p w14:paraId="3EFE389A" w14:textId="77777777" w:rsidR="005D7DD5" w:rsidRPr="00A85D2D" w:rsidRDefault="005D7DD5" w:rsidP="004B6753">
            <w:pPr>
              <w:pStyle w:val="NoSpacing"/>
              <w:jc w:val="center"/>
              <w:rPr>
                <w:rFonts w:ascii="Times New Roman" w:hAnsi="Times New Roman" w:cs="Times New Roman"/>
                <w:szCs w:val="24"/>
              </w:rPr>
            </w:pPr>
            <w:r w:rsidRPr="00A85D2D">
              <w:rPr>
                <w:rFonts w:ascii="Times New Roman" w:hAnsi="Times New Roman" w:cs="Times New Roman"/>
                <w:szCs w:val="24"/>
              </w:rPr>
              <w:t>11.32</w:t>
            </w:r>
          </w:p>
        </w:tc>
        <w:tc>
          <w:tcPr>
            <w:tcW w:w="1790" w:type="dxa"/>
            <w:vAlign w:val="center"/>
            <w:hideMark/>
          </w:tcPr>
          <w:p w14:paraId="39CE33A8" w14:textId="77777777" w:rsidR="005D7DD5" w:rsidRPr="00A85D2D" w:rsidRDefault="005D7DD5" w:rsidP="004B6753">
            <w:pPr>
              <w:pStyle w:val="NoSpacing"/>
              <w:jc w:val="center"/>
              <w:rPr>
                <w:rFonts w:ascii="Times New Roman" w:hAnsi="Times New Roman" w:cs="Times New Roman"/>
                <w:szCs w:val="24"/>
              </w:rPr>
            </w:pPr>
            <w:r w:rsidRPr="00A85D2D">
              <w:rPr>
                <w:rFonts w:ascii="Times New Roman" w:hAnsi="Times New Roman" w:cs="Times New Roman"/>
                <w:szCs w:val="24"/>
              </w:rPr>
              <w:t>2.13</w:t>
            </w:r>
          </w:p>
        </w:tc>
        <w:tc>
          <w:tcPr>
            <w:tcW w:w="916" w:type="dxa"/>
            <w:vAlign w:val="center"/>
            <w:hideMark/>
          </w:tcPr>
          <w:p w14:paraId="36A077FE" w14:textId="77777777" w:rsidR="005D7DD5" w:rsidRPr="00A85D2D" w:rsidRDefault="005D7DD5" w:rsidP="004B6753">
            <w:pPr>
              <w:pStyle w:val="NoSpacing"/>
              <w:jc w:val="center"/>
              <w:rPr>
                <w:rFonts w:ascii="Times New Roman" w:hAnsi="Times New Roman" w:cs="Times New Roman"/>
                <w:szCs w:val="24"/>
              </w:rPr>
            </w:pPr>
            <w:r w:rsidRPr="00A85D2D">
              <w:rPr>
                <w:rFonts w:ascii="Times New Roman" w:hAnsi="Times New Roman" w:cs="Times New Roman"/>
                <w:szCs w:val="24"/>
              </w:rPr>
              <w:t>11.15</w:t>
            </w:r>
          </w:p>
        </w:tc>
        <w:tc>
          <w:tcPr>
            <w:tcW w:w="0" w:type="auto"/>
            <w:vAlign w:val="center"/>
            <w:hideMark/>
          </w:tcPr>
          <w:p w14:paraId="45281B72" w14:textId="77777777" w:rsidR="005D7DD5" w:rsidRPr="00A85D2D" w:rsidRDefault="005D7DD5" w:rsidP="004B6753">
            <w:pPr>
              <w:pStyle w:val="NoSpacing"/>
              <w:jc w:val="center"/>
              <w:rPr>
                <w:rFonts w:ascii="Times New Roman" w:hAnsi="Times New Roman" w:cs="Times New Roman"/>
                <w:szCs w:val="24"/>
              </w:rPr>
            </w:pPr>
            <w:r w:rsidRPr="00A85D2D">
              <w:rPr>
                <w:rFonts w:ascii="Times New Roman" w:hAnsi="Times New Roman" w:cs="Times New Roman"/>
                <w:szCs w:val="24"/>
              </w:rPr>
              <w:t>1.32</w:t>
            </w:r>
          </w:p>
        </w:tc>
        <w:tc>
          <w:tcPr>
            <w:tcW w:w="0" w:type="auto"/>
            <w:vAlign w:val="center"/>
            <w:hideMark/>
          </w:tcPr>
          <w:p w14:paraId="2EB1CBE4" w14:textId="77777777" w:rsidR="005D7DD5" w:rsidRPr="00A85D2D" w:rsidRDefault="005D7DD5" w:rsidP="004B6753">
            <w:pPr>
              <w:pStyle w:val="NoSpacing"/>
              <w:jc w:val="center"/>
              <w:rPr>
                <w:rFonts w:ascii="Times New Roman" w:hAnsi="Times New Roman" w:cs="Times New Roman"/>
                <w:szCs w:val="24"/>
              </w:rPr>
            </w:pPr>
            <w:r w:rsidRPr="00A85D2D">
              <w:rPr>
                <w:rFonts w:ascii="Times New Roman" w:hAnsi="Times New Roman" w:cs="Times New Roman"/>
                <w:szCs w:val="24"/>
              </w:rPr>
              <w:t>17.77</w:t>
            </w:r>
          </w:p>
        </w:tc>
        <w:tc>
          <w:tcPr>
            <w:tcW w:w="0" w:type="auto"/>
            <w:vAlign w:val="center"/>
            <w:hideMark/>
          </w:tcPr>
          <w:p w14:paraId="75E7BDBF" w14:textId="77777777" w:rsidR="005D7DD5" w:rsidRPr="00A85D2D" w:rsidRDefault="005D7DD5" w:rsidP="004B6753">
            <w:pPr>
              <w:pStyle w:val="NoSpacing"/>
              <w:jc w:val="center"/>
              <w:rPr>
                <w:rFonts w:ascii="Times New Roman" w:hAnsi="Times New Roman" w:cs="Times New Roman"/>
                <w:szCs w:val="24"/>
              </w:rPr>
            </w:pPr>
            <w:r w:rsidRPr="00A85D2D">
              <w:rPr>
                <w:rFonts w:ascii="Times New Roman" w:hAnsi="Times New Roman" w:cs="Times New Roman"/>
                <w:szCs w:val="24"/>
              </w:rPr>
              <w:t>3.43</w:t>
            </w:r>
          </w:p>
        </w:tc>
        <w:tc>
          <w:tcPr>
            <w:tcW w:w="0" w:type="auto"/>
            <w:vAlign w:val="center"/>
            <w:hideMark/>
          </w:tcPr>
          <w:p w14:paraId="56673302" w14:textId="77777777" w:rsidR="005D7DD5" w:rsidRPr="00A85D2D" w:rsidRDefault="005D7DD5" w:rsidP="004B6753">
            <w:pPr>
              <w:pStyle w:val="NoSpacing"/>
              <w:jc w:val="center"/>
              <w:rPr>
                <w:rFonts w:ascii="Times New Roman" w:hAnsi="Times New Roman" w:cs="Times New Roman"/>
                <w:szCs w:val="24"/>
              </w:rPr>
            </w:pPr>
            <w:r w:rsidRPr="00A85D2D">
              <w:rPr>
                <w:rFonts w:ascii="Times New Roman" w:hAnsi="Times New Roman" w:cs="Times New Roman"/>
                <w:szCs w:val="24"/>
              </w:rPr>
              <w:t>2.39</w:t>
            </w:r>
          </w:p>
        </w:tc>
        <w:tc>
          <w:tcPr>
            <w:tcW w:w="1412" w:type="dxa"/>
            <w:vAlign w:val="center"/>
            <w:hideMark/>
          </w:tcPr>
          <w:p w14:paraId="501CBFD9" w14:textId="77777777" w:rsidR="005D7DD5" w:rsidRPr="00A85D2D" w:rsidRDefault="005D7DD5" w:rsidP="004B6753">
            <w:pPr>
              <w:pStyle w:val="NoSpacing"/>
              <w:jc w:val="center"/>
              <w:rPr>
                <w:rFonts w:ascii="Times New Roman" w:hAnsi="Times New Roman" w:cs="Times New Roman"/>
                <w:szCs w:val="24"/>
              </w:rPr>
            </w:pPr>
            <w:r w:rsidRPr="00A85D2D">
              <w:rPr>
                <w:rFonts w:ascii="Times New Roman" w:hAnsi="Times New Roman" w:cs="Times New Roman"/>
                <w:szCs w:val="24"/>
              </w:rPr>
              <w:t>6.28</w:t>
            </w:r>
          </w:p>
        </w:tc>
        <w:tc>
          <w:tcPr>
            <w:tcW w:w="923" w:type="dxa"/>
            <w:vAlign w:val="center"/>
            <w:hideMark/>
          </w:tcPr>
          <w:p w14:paraId="79F8C5CA" w14:textId="77777777" w:rsidR="005D7DD5" w:rsidRPr="00A85D2D" w:rsidRDefault="005D7DD5" w:rsidP="004B6753">
            <w:pPr>
              <w:pStyle w:val="NoSpacing"/>
              <w:jc w:val="center"/>
              <w:rPr>
                <w:rFonts w:ascii="Times New Roman" w:hAnsi="Times New Roman" w:cs="Times New Roman"/>
                <w:szCs w:val="24"/>
              </w:rPr>
            </w:pPr>
            <w:r w:rsidRPr="00A85D2D">
              <w:rPr>
                <w:rFonts w:ascii="Times New Roman" w:hAnsi="Times New Roman" w:cs="Times New Roman"/>
                <w:szCs w:val="24"/>
              </w:rPr>
              <w:t>37.00</w:t>
            </w:r>
          </w:p>
        </w:tc>
        <w:tc>
          <w:tcPr>
            <w:tcW w:w="1492" w:type="dxa"/>
            <w:vAlign w:val="center"/>
            <w:hideMark/>
          </w:tcPr>
          <w:p w14:paraId="57C8CE0B" w14:textId="77777777" w:rsidR="005D7DD5" w:rsidRPr="00A85D2D" w:rsidRDefault="005D7DD5" w:rsidP="004B6753">
            <w:pPr>
              <w:pStyle w:val="NoSpacing"/>
              <w:jc w:val="center"/>
              <w:rPr>
                <w:rFonts w:ascii="Times New Roman" w:hAnsi="Times New Roman" w:cs="Times New Roman"/>
                <w:szCs w:val="24"/>
              </w:rPr>
            </w:pPr>
            <w:r w:rsidRPr="00A85D2D">
              <w:rPr>
                <w:rFonts w:ascii="Times New Roman" w:hAnsi="Times New Roman" w:cs="Times New Roman"/>
                <w:szCs w:val="24"/>
              </w:rPr>
              <w:t>95.04</w:t>
            </w:r>
          </w:p>
        </w:tc>
      </w:tr>
      <w:tr w:rsidR="00812C67" w:rsidRPr="00A85D2D" w14:paraId="267F91A4" w14:textId="77777777" w:rsidTr="004B6753">
        <w:tc>
          <w:tcPr>
            <w:tcW w:w="1405" w:type="dxa"/>
            <w:vMerge w:val="restart"/>
            <w:hideMark/>
          </w:tcPr>
          <w:p w14:paraId="75837EFB" w14:textId="77777777" w:rsidR="00812C67" w:rsidRPr="00A85D2D" w:rsidRDefault="00812C67" w:rsidP="005D7DD5">
            <w:pPr>
              <w:pStyle w:val="NoSpacing"/>
              <w:rPr>
                <w:rFonts w:ascii="Times New Roman" w:hAnsi="Times New Roman" w:cs="Times New Roman"/>
                <w:szCs w:val="24"/>
              </w:rPr>
            </w:pPr>
            <w:r w:rsidRPr="00A85D2D">
              <w:rPr>
                <w:rFonts w:ascii="Times New Roman" w:hAnsi="Times New Roman" w:cs="Times New Roman"/>
                <w:szCs w:val="24"/>
              </w:rPr>
              <w:t>1968-69 (RE)</w:t>
            </w:r>
          </w:p>
        </w:tc>
        <w:tc>
          <w:tcPr>
            <w:tcW w:w="0" w:type="auto"/>
            <w:vAlign w:val="center"/>
            <w:hideMark/>
          </w:tcPr>
          <w:p w14:paraId="50AB4F4E" w14:textId="77777777" w:rsidR="00812C67" w:rsidRPr="00A85D2D" w:rsidRDefault="00812C67" w:rsidP="004B6753">
            <w:pPr>
              <w:pStyle w:val="NoSpacing"/>
              <w:jc w:val="center"/>
              <w:rPr>
                <w:rFonts w:ascii="Times New Roman" w:hAnsi="Times New Roman" w:cs="Times New Roman"/>
                <w:szCs w:val="24"/>
              </w:rPr>
            </w:pPr>
            <w:r w:rsidRPr="00A85D2D">
              <w:rPr>
                <w:rFonts w:ascii="Times New Roman" w:hAnsi="Times New Roman" w:cs="Times New Roman"/>
                <w:szCs w:val="24"/>
              </w:rPr>
              <w:t>2.61</w:t>
            </w:r>
          </w:p>
        </w:tc>
        <w:tc>
          <w:tcPr>
            <w:tcW w:w="0" w:type="auto"/>
            <w:vAlign w:val="center"/>
            <w:hideMark/>
          </w:tcPr>
          <w:p w14:paraId="570E415F" w14:textId="77777777" w:rsidR="00812C67" w:rsidRPr="00A85D2D" w:rsidRDefault="00812C67" w:rsidP="004B6753">
            <w:pPr>
              <w:pStyle w:val="NoSpacing"/>
              <w:jc w:val="center"/>
              <w:rPr>
                <w:rFonts w:ascii="Times New Roman" w:hAnsi="Times New Roman" w:cs="Times New Roman"/>
                <w:szCs w:val="24"/>
              </w:rPr>
            </w:pPr>
            <w:r w:rsidRPr="00A85D2D">
              <w:rPr>
                <w:rFonts w:ascii="Times New Roman" w:hAnsi="Times New Roman" w:cs="Times New Roman"/>
                <w:szCs w:val="24"/>
              </w:rPr>
              <w:t>12.37</w:t>
            </w:r>
          </w:p>
        </w:tc>
        <w:tc>
          <w:tcPr>
            <w:tcW w:w="1790" w:type="dxa"/>
            <w:vAlign w:val="center"/>
            <w:hideMark/>
          </w:tcPr>
          <w:p w14:paraId="58EEB1C7" w14:textId="77777777" w:rsidR="00812C67" w:rsidRPr="00A85D2D" w:rsidRDefault="00812C67" w:rsidP="004B6753">
            <w:pPr>
              <w:pStyle w:val="NoSpacing"/>
              <w:jc w:val="center"/>
              <w:rPr>
                <w:rFonts w:ascii="Times New Roman" w:hAnsi="Times New Roman" w:cs="Times New Roman"/>
                <w:szCs w:val="24"/>
              </w:rPr>
            </w:pPr>
            <w:r w:rsidRPr="00A85D2D">
              <w:rPr>
                <w:rFonts w:ascii="Times New Roman" w:hAnsi="Times New Roman" w:cs="Times New Roman"/>
                <w:szCs w:val="24"/>
              </w:rPr>
              <w:t>2.41</w:t>
            </w:r>
          </w:p>
        </w:tc>
        <w:tc>
          <w:tcPr>
            <w:tcW w:w="916" w:type="dxa"/>
            <w:vAlign w:val="center"/>
            <w:hideMark/>
          </w:tcPr>
          <w:p w14:paraId="5826F815" w14:textId="77777777" w:rsidR="00812C67" w:rsidRPr="00A85D2D" w:rsidRDefault="00812C67" w:rsidP="004B6753">
            <w:pPr>
              <w:pStyle w:val="NoSpacing"/>
              <w:jc w:val="center"/>
              <w:rPr>
                <w:rFonts w:ascii="Times New Roman" w:hAnsi="Times New Roman" w:cs="Times New Roman"/>
                <w:szCs w:val="24"/>
              </w:rPr>
            </w:pPr>
            <w:r w:rsidRPr="00A85D2D">
              <w:rPr>
                <w:rFonts w:ascii="Times New Roman" w:hAnsi="Times New Roman" w:cs="Times New Roman"/>
                <w:szCs w:val="24"/>
              </w:rPr>
              <w:t>10.04</w:t>
            </w:r>
          </w:p>
        </w:tc>
        <w:tc>
          <w:tcPr>
            <w:tcW w:w="0" w:type="auto"/>
            <w:vAlign w:val="center"/>
            <w:hideMark/>
          </w:tcPr>
          <w:p w14:paraId="6A0820D5" w14:textId="77777777" w:rsidR="00812C67" w:rsidRPr="00A85D2D" w:rsidRDefault="00812C67" w:rsidP="004B6753">
            <w:pPr>
              <w:pStyle w:val="NoSpacing"/>
              <w:jc w:val="center"/>
              <w:rPr>
                <w:rFonts w:ascii="Times New Roman" w:hAnsi="Times New Roman" w:cs="Times New Roman"/>
                <w:szCs w:val="24"/>
              </w:rPr>
            </w:pPr>
            <w:r w:rsidRPr="00A85D2D">
              <w:rPr>
                <w:rFonts w:ascii="Times New Roman" w:hAnsi="Times New Roman" w:cs="Times New Roman"/>
                <w:szCs w:val="24"/>
              </w:rPr>
              <w:t>1.44</w:t>
            </w:r>
          </w:p>
        </w:tc>
        <w:tc>
          <w:tcPr>
            <w:tcW w:w="0" w:type="auto"/>
            <w:vAlign w:val="center"/>
            <w:hideMark/>
          </w:tcPr>
          <w:p w14:paraId="54E07819" w14:textId="77777777" w:rsidR="00812C67" w:rsidRPr="00A85D2D" w:rsidRDefault="00812C67" w:rsidP="004B6753">
            <w:pPr>
              <w:pStyle w:val="NoSpacing"/>
              <w:jc w:val="center"/>
              <w:rPr>
                <w:rFonts w:ascii="Times New Roman" w:hAnsi="Times New Roman" w:cs="Times New Roman"/>
                <w:szCs w:val="24"/>
              </w:rPr>
            </w:pPr>
            <w:r w:rsidRPr="00A85D2D">
              <w:rPr>
                <w:rFonts w:ascii="Times New Roman" w:hAnsi="Times New Roman" w:cs="Times New Roman"/>
                <w:szCs w:val="24"/>
              </w:rPr>
              <w:t>21.17</w:t>
            </w:r>
          </w:p>
        </w:tc>
        <w:tc>
          <w:tcPr>
            <w:tcW w:w="0" w:type="auto"/>
            <w:vAlign w:val="center"/>
            <w:hideMark/>
          </w:tcPr>
          <w:p w14:paraId="426C466D" w14:textId="77777777" w:rsidR="00812C67" w:rsidRPr="00A85D2D" w:rsidRDefault="00812C67" w:rsidP="004B6753">
            <w:pPr>
              <w:pStyle w:val="NoSpacing"/>
              <w:jc w:val="center"/>
              <w:rPr>
                <w:rFonts w:ascii="Times New Roman" w:hAnsi="Times New Roman" w:cs="Times New Roman"/>
                <w:szCs w:val="24"/>
              </w:rPr>
            </w:pPr>
            <w:r w:rsidRPr="00A85D2D">
              <w:rPr>
                <w:rFonts w:ascii="Times New Roman" w:hAnsi="Times New Roman" w:cs="Times New Roman"/>
                <w:szCs w:val="24"/>
              </w:rPr>
              <w:t>4.25</w:t>
            </w:r>
          </w:p>
        </w:tc>
        <w:tc>
          <w:tcPr>
            <w:tcW w:w="0" w:type="auto"/>
            <w:vAlign w:val="center"/>
            <w:hideMark/>
          </w:tcPr>
          <w:p w14:paraId="4ED69A4A" w14:textId="77777777" w:rsidR="00812C67" w:rsidRPr="00A85D2D" w:rsidRDefault="00812C67" w:rsidP="004B6753">
            <w:pPr>
              <w:pStyle w:val="NoSpacing"/>
              <w:jc w:val="center"/>
              <w:rPr>
                <w:rFonts w:ascii="Times New Roman" w:hAnsi="Times New Roman" w:cs="Times New Roman"/>
                <w:szCs w:val="24"/>
              </w:rPr>
            </w:pPr>
            <w:r w:rsidRPr="00A85D2D">
              <w:rPr>
                <w:rFonts w:ascii="Times New Roman" w:hAnsi="Times New Roman" w:cs="Times New Roman"/>
                <w:szCs w:val="24"/>
              </w:rPr>
              <w:t>2.52</w:t>
            </w:r>
          </w:p>
        </w:tc>
        <w:tc>
          <w:tcPr>
            <w:tcW w:w="1412" w:type="dxa"/>
            <w:vAlign w:val="center"/>
            <w:hideMark/>
          </w:tcPr>
          <w:p w14:paraId="19E9E8CB" w14:textId="77777777" w:rsidR="00812C67" w:rsidRPr="00A85D2D" w:rsidRDefault="00812C67" w:rsidP="004B6753">
            <w:pPr>
              <w:pStyle w:val="NoSpacing"/>
              <w:jc w:val="center"/>
              <w:rPr>
                <w:rFonts w:ascii="Times New Roman" w:hAnsi="Times New Roman" w:cs="Times New Roman"/>
                <w:szCs w:val="24"/>
              </w:rPr>
            </w:pPr>
            <w:r w:rsidRPr="00A85D2D">
              <w:rPr>
                <w:rFonts w:ascii="Times New Roman" w:hAnsi="Times New Roman" w:cs="Times New Roman"/>
                <w:szCs w:val="24"/>
              </w:rPr>
              <w:t>6.77</w:t>
            </w:r>
          </w:p>
        </w:tc>
        <w:tc>
          <w:tcPr>
            <w:tcW w:w="923" w:type="dxa"/>
            <w:vAlign w:val="center"/>
            <w:hideMark/>
          </w:tcPr>
          <w:p w14:paraId="3D947A67" w14:textId="77777777" w:rsidR="00812C67" w:rsidRPr="00A85D2D" w:rsidRDefault="00812C67" w:rsidP="004B6753">
            <w:pPr>
              <w:pStyle w:val="NoSpacing"/>
              <w:jc w:val="center"/>
              <w:rPr>
                <w:rFonts w:ascii="Times New Roman" w:hAnsi="Times New Roman" w:cs="Times New Roman"/>
                <w:szCs w:val="24"/>
              </w:rPr>
            </w:pPr>
            <w:r w:rsidRPr="00A85D2D">
              <w:rPr>
                <w:rFonts w:ascii="Times New Roman" w:hAnsi="Times New Roman" w:cs="Times New Roman"/>
                <w:szCs w:val="24"/>
              </w:rPr>
              <w:t>35.79</w:t>
            </w:r>
          </w:p>
        </w:tc>
        <w:tc>
          <w:tcPr>
            <w:tcW w:w="1492" w:type="dxa"/>
            <w:vAlign w:val="center"/>
            <w:hideMark/>
          </w:tcPr>
          <w:p w14:paraId="0428A647" w14:textId="77777777" w:rsidR="00812C67" w:rsidRPr="00A85D2D" w:rsidRDefault="00812C67" w:rsidP="004B6753">
            <w:pPr>
              <w:pStyle w:val="NoSpacing"/>
              <w:jc w:val="center"/>
              <w:rPr>
                <w:rFonts w:ascii="Times New Roman" w:hAnsi="Times New Roman" w:cs="Times New Roman"/>
                <w:szCs w:val="24"/>
              </w:rPr>
            </w:pPr>
            <w:r w:rsidRPr="00A85D2D">
              <w:rPr>
                <w:rFonts w:ascii="Times New Roman" w:hAnsi="Times New Roman" w:cs="Times New Roman"/>
                <w:szCs w:val="24"/>
              </w:rPr>
              <w:t>99.37</w:t>
            </w:r>
          </w:p>
        </w:tc>
      </w:tr>
      <w:tr w:rsidR="00812C67" w:rsidRPr="00A85D2D" w14:paraId="657850AD" w14:textId="77777777" w:rsidTr="004B6753">
        <w:tc>
          <w:tcPr>
            <w:tcW w:w="1405" w:type="dxa"/>
            <w:vMerge/>
            <w:hideMark/>
          </w:tcPr>
          <w:p w14:paraId="0702FBA0" w14:textId="77777777" w:rsidR="00812C67" w:rsidRPr="00A85D2D" w:rsidRDefault="00812C67" w:rsidP="005D7DD5">
            <w:pPr>
              <w:pStyle w:val="NoSpacing"/>
              <w:rPr>
                <w:rFonts w:ascii="Times New Roman" w:hAnsi="Times New Roman" w:cs="Times New Roman"/>
                <w:szCs w:val="24"/>
              </w:rPr>
            </w:pPr>
          </w:p>
        </w:tc>
        <w:tc>
          <w:tcPr>
            <w:tcW w:w="0" w:type="auto"/>
            <w:vAlign w:val="center"/>
            <w:hideMark/>
          </w:tcPr>
          <w:p w14:paraId="187BE1B3" w14:textId="77777777" w:rsidR="00812C67" w:rsidRPr="00A85D2D" w:rsidRDefault="00812C67" w:rsidP="004B6753">
            <w:pPr>
              <w:pStyle w:val="NoSpacing"/>
              <w:jc w:val="center"/>
              <w:rPr>
                <w:rFonts w:ascii="Times New Roman" w:hAnsi="Times New Roman" w:cs="Times New Roman"/>
                <w:szCs w:val="24"/>
              </w:rPr>
            </w:pPr>
            <w:r w:rsidRPr="00A85D2D">
              <w:rPr>
                <w:rFonts w:ascii="Times New Roman" w:hAnsi="Times New Roman" w:cs="Times New Roman"/>
                <w:szCs w:val="24"/>
              </w:rPr>
              <w:t>(2.63)</w:t>
            </w:r>
          </w:p>
        </w:tc>
        <w:tc>
          <w:tcPr>
            <w:tcW w:w="0" w:type="auto"/>
            <w:vAlign w:val="center"/>
            <w:hideMark/>
          </w:tcPr>
          <w:p w14:paraId="638E48D2" w14:textId="77777777" w:rsidR="00812C67" w:rsidRPr="00A85D2D" w:rsidRDefault="00812C67" w:rsidP="004B6753">
            <w:pPr>
              <w:pStyle w:val="NoSpacing"/>
              <w:jc w:val="center"/>
              <w:rPr>
                <w:rFonts w:ascii="Times New Roman" w:hAnsi="Times New Roman" w:cs="Times New Roman"/>
                <w:szCs w:val="24"/>
              </w:rPr>
            </w:pPr>
            <w:r w:rsidRPr="00A85D2D">
              <w:rPr>
                <w:rFonts w:ascii="Times New Roman" w:hAnsi="Times New Roman" w:cs="Times New Roman"/>
                <w:szCs w:val="24"/>
              </w:rPr>
              <w:t>(12.45)</w:t>
            </w:r>
          </w:p>
        </w:tc>
        <w:tc>
          <w:tcPr>
            <w:tcW w:w="1790" w:type="dxa"/>
            <w:vAlign w:val="center"/>
            <w:hideMark/>
          </w:tcPr>
          <w:p w14:paraId="648C945A" w14:textId="77777777" w:rsidR="00812C67" w:rsidRPr="00A85D2D" w:rsidRDefault="00812C67" w:rsidP="004B6753">
            <w:pPr>
              <w:pStyle w:val="NoSpacing"/>
              <w:jc w:val="center"/>
              <w:rPr>
                <w:rFonts w:ascii="Times New Roman" w:hAnsi="Times New Roman" w:cs="Times New Roman"/>
                <w:szCs w:val="24"/>
              </w:rPr>
            </w:pPr>
            <w:r w:rsidRPr="00A85D2D">
              <w:rPr>
                <w:rFonts w:ascii="Times New Roman" w:hAnsi="Times New Roman" w:cs="Times New Roman"/>
                <w:szCs w:val="24"/>
              </w:rPr>
              <w:t>(2.43)</w:t>
            </w:r>
          </w:p>
        </w:tc>
        <w:tc>
          <w:tcPr>
            <w:tcW w:w="916" w:type="dxa"/>
            <w:vAlign w:val="center"/>
            <w:hideMark/>
          </w:tcPr>
          <w:p w14:paraId="00242866" w14:textId="77777777" w:rsidR="00812C67" w:rsidRPr="00A85D2D" w:rsidRDefault="00812C67" w:rsidP="004B6753">
            <w:pPr>
              <w:pStyle w:val="NoSpacing"/>
              <w:jc w:val="center"/>
              <w:rPr>
                <w:rFonts w:ascii="Times New Roman" w:hAnsi="Times New Roman" w:cs="Times New Roman"/>
                <w:szCs w:val="24"/>
              </w:rPr>
            </w:pPr>
            <w:r w:rsidRPr="00A85D2D">
              <w:rPr>
                <w:rFonts w:ascii="Times New Roman" w:hAnsi="Times New Roman" w:cs="Times New Roman"/>
                <w:szCs w:val="24"/>
              </w:rPr>
              <w:t>(10.10)</w:t>
            </w:r>
          </w:p>
        </w:tc>
        <w:tc>
          <w:tcPr>
            <w:tcW w:w="0" w:type="auto"/>
            <w:vAlign w:val="center"/>
            <w:hideMark/>
          </w:tcPr>
          <w:p w14:paraId="062E9385" w14:textId="77777777" w:rsidR="00812C67" w:rsidRPr="00A85D2D" w:rsidRDefault="00812C67" w:rsidP="004B6753">
            <w:pPr>
              <w:pStyle w:val="NoSpacing"/>
              <w:jc w:val="center"/>
              <w:rPr>
                <w:rFonts w:ascii="Times New Roman" w:hAnsi="Times New Roman" w:cs="Times New Roman"/>
                <w:szCs w:val="24"/>
              </w:rPr>
            </w:pPr>
            <w:r w:rsidRPr="00A85D2D">
              <w:rPr>
                <w:rFonts w:ascii="Times New Roman" w:hAnsi="Times New Roman" w:cs="Times New Roman"/>
                <w:szCs w:val="24"/>
              </w:rPr>
              <w:t>(1.45)</w:t>
            </w:r>
          </w:p>
        </w:tc>
        <w:tc>
          <w:tcPr>
            <w:tcW w:w="0" w:type="auto"/>
            <w:vAlign w:val="center"/>
            <w:hideMark/>
          </w:tcPr>
          <w:p w14:paraId="43DE0D37" w14:textId="77777777" w:rsidR="00812C67" w:rsidRPr="00A85D2D" w:rsidRDefault="00812C67" w:rsidP="004B6753">
            <w:pPr>
              <w:pStyle w:val="NoSpacing"/>
              <w:jc w:val="center"/>
              <w:rPr>
                <w:rFonts w:ascii="Times New Roman" w:hAnsi="Times New Roman" w:cs="Times New Roman"/>
                <w:szCs w:val="24"/>
              </w:rPr>
            </w:pPr>
            <w:r w:rsidRPr="00A85D2D">
              <w:rPr>
                <w:rFonts w:ascii="Times New Roman" w:hAnsi="Times New Roman" w:cs="Times New Roman"/>
                <w:szCs w:val="24"/>
              </w:rPr>
              <w:t>(21.30)</w:t>
            </w:r>
          </w:p>
        </w:tc>
        <w:tc>
          <w:tcPr>
            <w:tcW w:w="0" w:type="auto"/>
            <w:vAlign w:val="center"/>
            <w:hideMark/>
          </w:tcPr>
          <w:p w14:paraId="38ADCC29" w14:textId="77777777" w:rsidR="00812C67" w:rsidRPr="00A85D2D" w:rsidRDefault="00812C67" w:rsidP="004B6753">
            <w:pPr>
              <w:pStyle w:val="NoSpacing"/>
              <w:jc w:val="center"/>
              <w:rPr>
                <w:rFonts w:ascii="Times New Roman" w:hAnsi="Times New Roman" w:cs="Times New Roman"/>
                <w:szCs w:val="24"/>
              </w:rPr>
            </w:pPr>
            <w:r w:rsidRPr="00A85D2D">
              <w:rPr>
                <w:rFonts w:ascii="Times New Roman" w:hAnsi="Times New Roman" w:cs="Times New Roman"/>
                <w:szCs w:val="24"/>
              </w:rPr>
              <w:t>(4.28)</w:t>
            </w:r>
          </w:p>
        </w:tc>
        <w:tc>
          <w:tcPr>
            <w:tcW w:w="0" w:type="auto"/>
            <w:vAlign w:val="center"/>
            <w:hideMark/>
          </w:tcPr>
          <w:p w14:paraId="7E7E1808" w14:textId="77777777" w:rsidR="00812C67" w:rsidRPr="00A85D2D" w:rsidRDefault="00812C67" w:rsidP="004B6753">
            <w:pPr>
              <w:pStyle w:val="NoSpacing"/>
              <w:jc w:val="center"/>
              <w:rPr>
                <w:rFonts w:ascii="Times New Roman" w:hAnsi="Times New Roman" w:cs="Times New Roman"/>
                <w:szCs w:val="24"/>
              </w:rPr>
            </w:pPr>
            <w:r w:rsidRPr="00A85D2D">
              <w:rPr>
                <w:rFonts w:ascii="Times New Roman" w:hAnsi="Times New Roman" w:cs="Times New Roman"/>
                <w:szCs w:val="24"/>
              </w:rPr>
              <w:t>(2.53)</w:t>
            </w:r>
          </w:p>
        </w:tc>
        <w:tc>
          <w:tcPr>
            <w:tcW w:w="1412" w:type="dxa"/>
            <w:vAlign w:val="center"/>
            <w:hideMark/>
          </w:tcPr>
          <w:p w14:paraId="466CF4A0" w14:textId="77777777" w:rsidR="00812C67" w:rsidRPr="00A85D2D" w:rsidRDefault="00812C67" w:rsidP="004B6753">
            <w:pPr>
              <w:pStyle w:val="NoSpacing"/>
              <w:jc w:val="center"/>
              <w:rPr>
                <w:rFonts w:ascii="Times New Roman" w:hAnsi="Times New Roman" w:cs="Times New Roman"/>
                <w:szCs w:val="24"/>
              </w:rPr>
            </w:pPr>
            <w:r w:rsidRPr="00A85D2D">
              <w:rPr>
                <w:rFonts w:ascii="Times New Roman" w:hAnsi="Times New Roman" w:cs="Times New Roman"/>
                <w:szCs w:val="24"/>
              </w:rPr>
              <w:t>(6.81)</w:t>
            </w:r>
          </w:p>
        </w:tc>
        <w:tc>
          <w:tcPr>
            <w:tcW w:w="923" w:type="dxa"/>
            <w:vAlign w:val="center"/>
            <w:hideMark/>
          </w:tcPr>
          <w:p w14:paraId="5CF17291" w14:textId="77777777" w:rsidR="00812C67" w:rsidRPr="00A85D2D" w:rsidRDefault="00812C67" w:rsidP="004B6753">
            <w:pPr>
              <w:pStyle w:val="NoSpacing"/>
              <w:jc w:val="center"/>
              <w:rPr>
                <w:rFonts w:ascii="Times New Roman" w:hAnsi="Times New Roman" w:cs="Times New Roman"/>
                <w:szCs w:val="24"/>
              </w:rPr>
            </w:pPr>
            <w:r w:rsidRPr="00A85D2D">
              <w:rPr>
                <w:rFonts w:ascii="Times New Roman" w:hAnsi="Times New Roman" w:cs="Times New Roman"/>
                <w:szCs w:val="24"/>
              </w:rPr>
              <w:t>(36.02)</w:t>
            </w:r>
          </w:p>
        </w:tc>
        <w:tc>
          <w:tcPr>
            <w:tcW w:w="1492" w:type="dxa"/>
            <w:vAlign w:val="center"/>
            <w:hideMark/>
          </w:tcPr>
          <w:p w14:paraId="35C519B7" w14:textId="77777777" w:rsidR="00812C67" w:rsidRPr="00A85D2D" w:rsidRDefault="00812C67" w:rsidP="004B6753">
            <w:pPr>
              <w:pStyle w:val="NoSpacing"/>
              <w:jc w:val="center"/>
              <w:rPr>
                <w:rFonts w:ascii="Times New Roman" w:hAnsi="Times New Roman" w:cs="Times New Roman"/>
                <w:szCs w:val="24"/>
              </w:rPr>
            </w:pPr>
            <w:r w:rsidRPr="00A85D2D">
              <w:rPr>
                <w:rFonts w:ascii="Times New Roman" w:hAnsi="Times New Roman" w:cs="Times New Roman"/>
                <w:szCs w:val="24"/>
              </w:rPr>
              <w:t>(100.00)</w:t>
            </w:r>
          </w:p>
        </w:tc>
      </w:tr>
      <w:tr w:rsidR="00416FA8" w:rsidRPr="00A85D2D" w14:paraId="0F6C8C61" w14:textId="77777777" w:rsidTr="004B6753">
        <w:tc>
          <w:tcPr>
            <w:tcW w:w="1405" w:type="dxa"/>
            <w:hideMark/>
          </w:tcPr>
          <w:p w14:paraId="53BBFCD3" w14:textId="77777777" w:rsidR="005D7DD5" w:rsidRPr="00A85D2D" w:rsidRDefault="005D7DD5" w:rsidP="005D7DD5">
            <w:pPr>
              <w:pStyle w:val="NoSpacing"/>
              <w:rPr>
                <w:rFonts w:ascii="Times New Roman" w:hAnsi="Times New Roman" w:cs="Times New Roman"/>
                <w:szCs w:val="24"/>
              </w:rPr>
            </w:pPr>
            <w:r w:rsidRPr="00A85D2D">
              <w:rPr>
                <w:rFonts w:ascii="Times New Roman" w:hAnsi="Times New Roman" w:cs="Times New Roman"/>
                <w:szCs w:val="24"/>
              </w:rPr>
              <w:t>Bihar</w:t>
            </w:r>
          </w:p>
        </w:tc>
        <w:tc>
          <w:tcPr>
            <w:tcW w:w="0" w:type="auto"/>
            <w:vAlign w:val="center"/>
            <w:hideMark/>
          </w:tcPr>
          <w:p w14:paraId="6DDF0DC8" w14:textId="77777777" w:rsidR="005D7DD5" w:rsidRPr="00A85D2D" w:rsidRDefault="005D7DD5" w:rsidP="004B6753">
            <w:pPr>
              <w:pStyle w:val="NoSpacing"/>
              <w:jc w:val="center"/>
              <w:rPr>
                <w:rFonts w:ascii="Times New Roman" w:hAnsi="Times New Roman" w:cs="Times New Roman"/>
                <w:szCs w:val="24"/>
              </w:rPr>
            </w:pPr>
          </w:p>
        </w:tc>
        <w:tc>
          <w:tcPr>
            <w:tcW w:w="0" w:type="auto"/>
            <w:vAlign w:val="center"/>
            <w:hideMark/>
          </w:tcPr>
          <w:p w14:paraId="21209769" w14:textId="77777777" w:rsidR="005D7DD5" w:rsidRPr="00A85D2D" w:rsidRDefault="005D7DD5" w:rsidP="004B6753">
            <w:pPr>
              <w:pStyle w:val="NoSpacing"/>
              <w:jc w:val="center"/>
              <w:rPr>
                <w:rFonts w:ascii="Times New Roman" w:hAnsi="Times New Roman" w:cs="Times New Roman"/>
                <w:szCs w:val="24"/>
              </w:rPr>
            </w:pPr>
          </w:p>
        </w:tc>
        <w:tc>
          <w:tcPr>
            <w:tcW w:w="1790" w:type="dxa"/>
            <w:vAlign w:val="center"/>
            <w:hideMark/>
          </w:tcPr>
          <w:p w14:paraId="7A5D6464" w14:textId="77777777" w:rsidR="005D7DD5" w:rsidRPr="00A85D2D" w:rsidRDefault="005D7DD5" w:rsidP="004B6753">
            <w:pPr>
              <w:pStyle w:val="NoSpacing"/>
              <w:jc w:val="center"/>
              <w:rPr>
                <w:rFonts w:ascii="Times New Roman" w:hAnsi="Times New Roman" w:cs="Times New Roman"/>
                <w:szCs w:val="24"/>
              </w:rPr>
            </w:pPr>
          </w:p>
        </w:tc>
        <w:tc>
          <w:tcPr>
            <w:tcW w:w="916" w:type="dxa"/>
            <w:vAlign w:val="center"/>
            <w:hideMark/>
          </w:tcPr>
          <w:p w14:paraId="6BE15AF1" w14:textId="77777777" w:rsidR="005D7DD5" w:rsidRPr="00A85D2D" w:rsidRDefault="005D7DD5" w:rsidP="004B6753">
            <w:pPr>
              <w:pStyle w:val="NoSpacing"/>
              <w:jc w:val="center"/>
              <w:rPr>
                <w:rFonts w:ascii="Times New Roman" w:hAnsi="Times New Roman" w:cs="Times New Roman"/>
                <w:szCs w:val="24"/>
              </w:rPr>
            </w:pPr>
          </w:p>
        </w:tc>
        <w:tc>
          <w:tcPr>
            <w:tcW w:w="0" w:type="auto"/>
            <w:vAlign w:val="center"/>
            <w:hideMark/>
          </w:tcPr>
          <w:p w14:paraId="3F6AD141" w14:textId="77777777" w:rsidR="005D7DD5" w:rsidRPr="00A85D2D" w:rsidRDefault="005D7DD5" w:rsidP="004B6753">
            <w:pPr>
              <w:pStyle w:val="NoSpacing"/>
              <w:jc w:val="center"/>
              <w:rPr>
                <w:rFonts w:ascii="Times New Roman" w:hAnsi="Times New Roman" w:cs="Times New Roman"/>
                <w:szCs w:val="24"/>
              </w:rPr>
            </w:pPr>
          </w:p>
        </w:tc>
        <w:tc>
          <w:tcPr>
            <w:tcW w:w="0" w:type="auto"/>
            <w:vAlign w:val="center"/>
            <w:hideMark/>
          </w:tcPr>
          <w:p w14:paraId="7FEA6E45" w14:textId="77777777" w:rsidR="005D7DD5" w:rsidRPr="00A85D2D" w:rsidRDefault="005D7DD5" w:rsidP="004B6753">
            <w:pPr>
              <w:pStyle w:val="NoSpacing"/>
              <w:jc w:val="center"/>
              <w:rPr>
                <w:rFonts w:ascii="Times New Roman" w:hAnsi="Times New Roman" w:cs="Times New Roman"/>
                <w:szCs w:val="24"/>
              </w:rPr>
            </w:pPr>
          </w:p>
        </w:tc>
        <w:tc>
          <w:tcPr>
            <w:tcW w:w="0" w:type="auto"/>
            <w:vAlign w:val="center"/>
            <w:hideMark/>
          </w:tcPr>
          <w:p w14:paraId="5F954E17" w14:textId="77777777" w:rsidR="005D7DD5" w:rsidRPr="00A85D2D" w:rsidRDefault="005D7DD5" w:rsidP="004B6753">
            <w:pPr>
              <w:pStyle w:val="NoSpacing"/>
              <w:jc w:val="center"/>
              <w:rPr>
                <w:rFonts w:ascii="Times New Roman" w:hAnsi="Times New Roman" w:cs="Times New Roman"/>
                <w:szCs w:val="24"/>
              </w:rPr>
            </w:pPr>
          </w:p>
        </w:tc>
        <w:tc>
          <w:tcPr>
            <w:tcW w:w="0" w:type="auto"/>
            <w:vAlign w:val="center"/>
            <w:hideMark/>
          </w:tcPr>
          <w:p w14:paraId="7DE1C076" w14:textId="77777777" w:rsidR="005D7DD5" w:rsidRPr="00A85D2D" w:rsidRDefault="005D7DD5" w:rsidP="004B6753">
            <w:pPr>
              <w:pStyle w:val="NoSpacing"/>
              <w:jc w:val="center"/>
              <w:rPr>
                <w:rFonts w:ascii="Times New Roman" w:hAnsi="Times New Roman" w:cs="Times New Roman"/>
                <w:szCs w:val="24"/>
              </w:rPr>
            </w:pPr>
          </w:p>
        </w:tc>
        <w:tc>
          <w:tcPr>
            <w:tcW w:w="1412" w:type="dxa"/>
            <w:vAlign w:val="center"/>
            <w:hideMark/>
          </w:tcPr>
          <w:p w14:paraId="58A17596" w14:textId="77777777" w:rsidR="005D7DD5" w:rsidRPr="00A85D2D" w:rsidRDefault="005D7DD5" w:rsidP="004B6753">
            <w:pPr>
              <w:pStyle w:val="NoSpacing"/>
              <w:jc w:val="center"/>
              <w:rPr>
                <w:rFonts w:ascii="Times New Roman" w:hAnsi="Times New Roman" w:cs="Times New Roman"/>
                <w:szCs w:val="24"/>
              </w:rPr>
            </w:pPr>
          </w:p>
        </w:tc>
        <w:tc>
          <w:tcPr>
            <w:tcW w:w="923" w:type="dxa"/>
            <w:vAlign w:val="center"/>
            <w:hideMark/>
          </w:tcPr>
          <w:p w14:paraId="4528EC1C" w14:textId="77777777" w:rsidR="005D7DD5" w:rsidRPr="00A85D2D" w:rsidRDefault="005D7DD5" w:rsidP="004B6753">
            <w:pPr>
              <w:pStyle w:val="NoSpacing"/>
              <w:jc w:val="center"/>
              <w:rPr>
                <w:rFonts w:ascii="Times New Roman" w:hAnsi="Times New Roman" w:cs="Times New Roman"/>
                <w:szCs w:val="24"/>
              </w:rPr>
            </w:pPr>
          </w:p>
        </w:tc>
        <w:tc>
          <w:tcPr>
            <w:tcW w:w="1492" w:type="dxa"/>
            <w:vAlign w:val="center"/>
            <w:hideMark/>
          </w:tcPr>
          <w:p w14:paraId="4DF6C83C" w14:textId="77777777" w:rsidR="005D7DD5" w:rsidRPr="00A85D2D" w:rsidRDefault="005D7DD5" w:rsidP="004B6753">
            <w:pPr>
              <w:pStyle w:val="NoSpacing"/>
              <w:jc w:val="center"/>
              <w:rPr>
                <w:rFonts w:ascii="Times New Roman" w:hAnsi="Times New Roman" w:cs="Times New Roman"/>
                <w:szCs w:val="24"/>
              </w:rPr>
            </w:pPr>
          </w:p>
        </w:tc>
      </w:tr>
      <w:tr w:rsidR="00812C67" w:rsidRPr="00A85D2D" w14:paraId="04936ADE" w14:textId="77777777" w:rsidTr="004B6753">
        <w:tc>
          <w:tcPr>
            <w:tcW w:w="1405" w:type="dxa"/>
            <w:vMerge w:val="restart"/>
            <w:hideMark/>
          </w:tcPr>
          <w:p w14:paraId="52520BE7" w14:textId="77777777" w:rsidR="00812C67" w:rsidRPr="00A85D2D" w:rsidRDefault="00812C67" w:rsidP="005D7DD5">
            <w:pPr>
              <w:pStyle w:val="NoSpacing"/>
              <w:rPr>
                <w:rFonts w:ascii="Times New Roman" w:hAnsi="Times New Roman" w:cs="Times New Roman"/>
                <w:szCs w:val="24"/>
              </w:rPr>
            </w:pPr>
            <w:r w:rsidRPr="00A85D2D">
              <w:rPr>
                <w:rFonts w:ascii="Times New Roman" w:hAnsi="Times New Roman" w:cs="Times New Roman"/>
                <w:szCs w:val="24"/>
              </w:rPr>
              <w:t>1961-62</w:t>
            </w:r>
          </w:p>
        </w:tc>
        <w:tc>
          <w:tcPr>
            <w:tcW w:w="0" w:type="auto"/>
            <w:vAlign w:val="center"/>
            <w:hideMark/>
          </w:tcPr>
          <w:p w14:paraId="309F6C45" w14:textId="77777777" w:rsidR="00812C67" w:rsidRPr="00A85D2D" w:rsidRDefault="00812C67" w:rsidP="004B6753">
            <w:pPr>
              <w:pStyle w:val="NoSpacing"/>
              <w:jc w:val="center"/>
              <w:rPr>
                <w:rFonts w:ascii="Times New Roman" w:hAnsi="Times New Roman" w:cs="Times New Roman"/>
                <w:szCs w:val="24"/>
              </w:rPr>
            </w:pPr>
            <w:r w:rsidRPr="00A85D2D">
              <w:rPr>
                <w:rFonts w:ascii="Times New Roman" w:hAnsi="Times New Roman" w:cs="Times New Roman"/>
                <w:szCs w:val="24"/>
              </w:rPr>
              <w:t>6.71</w:t>
            </w:r>
          </w:p>
        </w:tc>
        <w:tc>
          <w:tcPr>
            <w:tcW w:w="0" w:type="auto"/>
            <w:vAlign w:val="center"/>
            <w:hideMark/>
          </w:tcPr>
          <w:p w14:paraId="6F095440" w14:textId="77777777" w:rsidR="00812C67" w:rsidRPr="00A85D2D" w:rsidRDefault="00812C67" w:rsidP="004B6753">
            <w:pPr>
              <w:pStyle w:val="NoSpacing"/>
              <w:jc w:val="center"/>
              <w:rPr>
                <w:rFonts w:ascii="Times New Roman" w:hAnsi="Times New Roman" w:cs="Times New Roman"/>
                <w:szCs w:val="24"/>
              </w:rPr>
            </w:pPr>
            <w:r w:rsidRPr="00A85D2D">
              <w:rPr>
                <w:rFonts w:ascii="Times New Roman" w:hAnsi="Times New Roman" w:cs="Times New Roman"/>
                <w:szCs w:val="24"/>
              </w:rPr>
              <w:t>6.63</w:t>
            </w:r>
          </w:p>
        </w:tc>
        <w:tc>
          <w:tcPr>
            <w:tcW w:w="1790" w:type="dxa"/>
            <w:vAlign w:val="center"/>
            <w:hideMark/>
          </w:tcPr>
          <w:p w14:paraId="53F21C80" w14:textId="77777777" w:rsidR="00812C67" w:rsidRPr="00A85D2D" w:rsidRDefault="00812C67" w:rsidP="004B6753">
            <w:pPr>
              <w:pStyle w:val="NoSpacing"/>
              <w:jc w:val="center"/>
              <w:rPr>
                <w:rFonts w:ascii="Times New Roman" w:hAnsi="Times New Roman" w:cs="Times New Roman"/>
                <w:szCs w:val="24"/>
              </w:rPr>
            </w:pPr>
            <w:r w:rsidRPr="00A85D2D">
              <w:rPr>
                <w:rFonts w:ascii="Times New Roman" w:hAnsi="Times New Roman" w:cs="Times New Roman"/>
                <w:szCs w:val="24"/>
              </w:rPr>
              <w:t>4.06</w:t>
            </w:r>
          </w:p>
        </w:tc>
        <w:tc>
          <w:tcPr>
            <w:tcW w:w="916" w:type="dxa"/>
            <w:vAlign w:val="center"/>
            <w:hideMark/>
          </w:tcPr>
          <w:p w14:paraId="0A3C4115" w14:textId="77777777" w:rsidR="00812C67" w:rsidRPr="00A85D2D" w:rsidRDefault="00812C67" w:rsidP="004B6753">
            <w:pPr>
              <w:pStyle w:val="NoSpacing"/>
              <w:jc w:val="center"/>
              <w:rPr>
                <w:rFonts w:ascii="Times New Roman" w:hAnsi="Times New Roman" w:cs="Times New Roman"/>
                <w:szCs w:val="24"/>
              </w:rPr>
            </w:pPr>
            <w:r w:rsidRPr="00A85D2D">
              <w:rPr>
                <w:rFonts w:ascii="Times New Roman" w:hAnsi="Times New Roman" w:cs="Times New Roman"/>
                <w:szCs w:val="24"/>
              </w:rPr>
              <w:t>6.06</w:t>
            </w:r>
          </w:p>
        </w:tc>
        <w:tc>
          <w:tcPr>
            <w:tcW w:w="0" w:type="auto"/>
            <w:vAlign w:val="center"/>
            <w:hideMark/>
          </w:tcPr>
          <w:p w14:paraId="4499694B" w14:textId="77777777" w:rsidR="00812C67" w:rsidRPr="00A85D2D" w:rsidRDefault="00812C67" w:rsidP="004B6753">
            <w:pPr>
              <w:pStyle w:val="NoSpacing"/>
              <w:jc w:val="center"/>
              <w:rPr>
                <w:rFonts w:ascii="Times New Roman" w:hAnsi="Times New Roman" w:cs="Times New Roman"/>
                <w:szCs w:val="24"/>
              </w:rPr>
            </w:pPr>
            <w:r w:rsidRPr="00A85D2D">
              <w:rPr>
                <w:rFonts w:ascii="Times New Roman" w:hAnsi="Times New Roman" w:cs="Times New Roman"/>
                <w:szCs w:val="24"/>
              </w:rPr>
              <w:t>2.54</w:t>
            </w:r>
          </w:p>
        </w:tc>
        <w:tc>
          <w:tcPr>
            <w:tcW w:w="0" w:type="auto"/>
            <w:vAlign w:val="center"/>
            <w:hideMark/>
          </w:tcPr>
          <w:p w14:paraId="4C693198" w14:textId="77777777" w:rsidR="00812C67" w:rsidRPr="00A85D2D" w:rsidRDefault="00812C67" w:rsidP="004B6753">
            <w:pPr>
              <w:pStyle w:val="NoSpacing"/>
              <w:jc w:val="center"/>
              <w:rPr>
                <w:rFonts w:ascii="Times New Roman" w:hAnsi="Times New Roman" w:cs="Times New Roman"/>
                <w:szCs w:val="24"/>
              </w:rPr>
            </w:pPr>
            <w:r w:rsidRPr="00A85D2D">
              <w:rPr>
                <w:rFonts w:ascii="Times New Roman" w:hAnsi="Times New Roman" w:cs="Times New Roman"/>
                <w:szCs w:val="24"/>
              </w:rPr>
              <w:t>15.07</w:t>
            </w:r>
          </w:p>
        </w:tc>
        <w:tc>
          <w:tcPr>
            <w:tcW w:w="0" w:type="auto"/>
            <w:vAlign w:val="center"/>
            <w:hideMark/>
          </w:tcPr>
          <w:p w14:paraId="7AA07BC4" w14:textId="77777777" w:rsidR="00812C67" w:rsidRPr="00A85D2D" w:rsidRDefault="00812C67" w:rsidP="004B6753">
            <w:pPr>
              <w:pStyle w:val="NoSpacing"/>
              <w:jc w:val="center"/>
              <w:rPr>
                <w:rFonts w:ascii="Times New Roman" w:hAnsi="Times New Roman" w:cs="Times New Roman"/>
                <w:szCs w:val="24"/>
              </w:rPr>
            </w:pPr>
            <w:r w:rsidRPr="00A85D2D">
              <w:rPr>
                <w:rFonts w:ascii="Times New Roman" w:hAnsi="Times New Roman" w:cs="Times New Roman"/>
                <w:szCs w:val="24"/>
              </w:rPr>
              <w:t>3.59</w:t>
            </w:r>
          </w:p>
        </w:tc>
        <w:tc>
          <w:tcPr>
            <w:tcW w:w="0" w:type="auto"/>
            <w:vAlign w:val="center"/>
            <w:hideMark/>
          </w:tcPr>
          <w:p w14:paraId="79B90F74" w14:textId="77777777" w:rsidR="00812C67" w:rsidRPr="00A85D2D" w:rsidRDefault="00812C67" w:rsidP="004B6753">
            <w:pPr>
              <w:pStyle w:val="NoSpacing"/>
              <w:jc w:val="center"/>
              <w:rPr>
                <w:rFonts w:ascii="Times New Roman" w:hAnsi="Times New Roman" w:cs="Times New Roman"/>
                <w:szCs w:val="24"/>
              </w:rPr>
            </w:pPr>
            <w:r w:rsidRPr="00A85D2D">
              <w:rPr>
                <w:rFonts w:ascii="Times New Roman" w:hAnsi="Times New Roman" w:cs="Times New Roman"/>
                <w:szCs w:val="24"/>
              </w:rPr>
              <w:t>4.03</w:t>
            </w:r>
          </w:p>
        </w:tc>
        <w:tc>
          <w:tcPr>
            <w:tcW w:w="1412" w:type="dxa"/>
            <w:vAlign w:val="center"/>
            <w:hideMark/>
          </w:tcPr>
          <w:p w14:paraId="4B92BBB8" w14:textId="77777777" w:rsidR="00812C67" w:rsidRPr="00A85D2D" w:rsidRDefault="00812C67" w:rsidP="004B6753">
            <w:pPr>
              <w:pStyle w:val="NoSpacing"/>
              <w:jc w:val="center"/>
              <w:rPr>
                <w:rFonts w:ascii="Times New Roman" w:hAnsi="Times New Roman" w:cs="Times New Roman"/>
                <w:szCs w:val="24"/>
              </w:rPr>
            </w:pPr>
            <w:r w:rsidRPr="00A85D2D">
              <w:rPr>
                <w:rFonts w:ascii="Times New Roman" w:hAnsi="Times New Roman" w:cs="Times New Roman"/>
                <w:szCs w:val="24"/>
              </w:rPr>
              <w:t>5.84</w:t>
            </w:r>
          </w:p>
        </w:tc>
        <w:tc>
          <w:tcPr>
            <w:tcW w:w="923" w:type="dxa"/>
            <w:vAlign w:val="center"/>
            <w:hideMark/>
          </w:tcPr>
          <w:p w14:paraId="57384EF2" w14:textId="77777777" w:rsidR="00812C67" w:rsidRPr="00A85D2D" w:rsidRDefault="00812C67" w:rsidP="004B6753">
            <w:pPr>
              <w:pStyle w:val="NoSpacing"/>
              <w:jc w:val="center"/>
              <w:rPr>
                <w:rFonts w:ascii="Times New Roman" w:hAnsi="Times New Roman" w:cs="Times New Roman"/>
                <w:szCs w:val="24"/>
              </w:rPr>
            </w:pPr>
            <w:r w:rsidRPr="00A85D2D">
              <w:rPr>
                <w:rFonts w:ascii="Times New Roman" w:hAnsi="Times New Roman" w:cs="Times New Roman"/>
                <w:szCs w:val="24"/>
              </w:rPr>
              <w:t>26.50</w:t>
            </w:r>
          </w:p>
        </w:tc>
        <w:tc>
          <w:tcPr>
            <w:tcW w:w="1492" w:type="dxa"/>
            <w:vAlign w:val="center"/>
            <w:hideMark/>
          </w:tcPr>
          <w:p w14:paraId="2639703C" w14:textId="77777777" w:rsidR="00812C67" w:rsidRPr="00A85D2D" w:rsidRDefault="00812C67" w:rsidP="004B6753">
            <w:pPr>
              <w:pStyle w:val="NoSpacing"/>
              <w:jc w:val="center"/>
              <w:rPr>
                <w:rFonts w:ascii="Times New Roman" w:hAnsi="Times New Roman" w:cs="Times New Roman"/>
                <w:szCs w:val="24"/>
              </w:rPr>
            </w:pPr>
            <w:r w:rsidRPr="00A85D2D">
              <w:rPr>
                <w:rFonts w:ascii="Times New Roman" w:hAnsi="Times New Roman" w:cs="Times New Roman"/>
                <w:szCs w:val="24"/>
              </w:rPr>
              <w:t>81.03</w:t>
            </w:r>
          </w:p>
        </w:tc>
      </w:tr>
      <w:tr w:rsidR="00812C67" w:rsidRPr="00A85D2D" w14:paraId="324B3232" w14:textId="77777777" w:rsidTr="004B6753">
        <w:tc>
          <w:tcPr>
            <w:tcW w:w="1405" w:type="dxa"/>
            <w:vMerge/>
            <w:hideMark/>
          </w:tcPr>
          <w:p w14:paraId="26777B8D" w14:textId="77777777" w:rsidR="00812C67" w:rsidRPr="00A85D2D" w:rsidRDefault="00812C67" w:rsidP="005D7DD5">
            <w:pPr>
              <w:pStyle w:val="NoSpacing"/>
              <w:rPr>
                <w:rFonts w:ascii="Times New Roman" w:hAnsi="Times New Roman" w:cs="Times New Roman"/>
                <w:szCs w:val="24"/>
              </w:rPr>
            </w:pPr>
          </w:p>
        </w:tc>
        <w:tc>
          <w:tcPr>
            <w:tcW w:w="0" w:type="auto"/>
            <w:vAlign w:val="center"/>
            <w:hideMark/>
          </w:tcPr>
          <w:p w14:paraId="50CB8CD7" w14:textId="77777777" w:rsidR="00812C67" w:rsidRPr="00A85D2D" w:rsidRDefault="00812C67" w:rsidP="004B6753">
            <w:pPr>
              <w:pStyle w:val="NoSpacing"/>
              <w:jc w:val="center"/>
              <w:rPr>
                <w:rFonts w:ascii="Times New Roman" w:hAnsi="Times New Roman" w:cs="Times New Roman"/>
                <w:szCs w:val="24"/>
              </w:rPr>
            </w:pPr>
            <w:r w:rsidRPr="00A85D2D">
              <w:rPr>
                <w:rFonts w:ascii="Times New Roman" w:hAnsi="Times New Roman" w:cs="Times New Roman"/>
                <w:szCs w:val="24"/>
              </w:rPr>
              <w:t>(8.28)</w:t>
            </w:r>
          </w:p>
        </w:tc>
        <w:tc>
          <w:tcPr>
            <w:tcW w:w="0" w:type="auto"/>
            <w:vAlign w:val="center"/>
            <w:hideMark/>
          </w:tcPr>
          <w:p w14:paraId="2BE6EBEC" w14:textId="77777777" w:rsidR="00812C67" w:rsidRPr="00A85D2D" w:rsidRDefault="00812C67" w:rsidP="004B6753">
            <w:pPr>
              <w:pStyle w:val="NoSpacing"/>
              <w:jc w:val="center"/>
              <w:rPr>
                <w:rFonts w:ascii="Times New Roman" w:hAnsi="Times New Roman" w:cs="Times New Roman"/>
                <w:szCs w:val="24"/>
              </w:rPr>
            </w:pPr>
            <w:r w:rsidRPr="00A85D2D">
              <w:rPr>
                <w:rFonts w:ascii="Times New Roman" w:hAnsi="Times New Roman" w:cs="Times New Roman"/>
                <w:szCs w:val="24"/>
              </w:rPr>
              <w:t>(8.18)</w:t>
            </w:r>
          </w:p>
        </w:tc>
        <w:tc>
          <w:tcPr>
            <w:tcW w:w="1790" w:type="dxa"/>
            <w:vAlign w:val="center"/>
            <w:hideMark/>
          </w:tcPr>
          <w:p w14:paraId="54F59214" w14:textId="77777777" w:rsidR="00812C67" w:rsidRPr="00A85D2D" w:rsidRDefault="00812C67" w:rsidP="004B6753">
            <w:pPr>
              <w:pStyle w:val="NoSpacing"/>
              <w:jc w:val="center"/>
              <w:rPr>
                <w:rFonts w:ascii="Times New Roman" w:hAnsi="Times New Roman" w:cs="Times New Roman"/>
                <w:szCs w:val="24"/>
              </w:rPr>
            </w:pPr>
            <w:r w:rsidRPr="00A85D2D">
              <w:rPr>
                <w:rFonts w:ascii="Times New Roman" w:hAnsi="Times New Roman" w:cs="Times New Roman"/>
                <w:szCs w:val="24"/>
              </w:rPr>
              <w:t>(5.01)</w:t>
            </w:r>
          </w:p>
        </w:tc>
        <w:tc>
          <w:tcPr>
            <w:tcW w:w="916" w:type="dxa"/>
            <w:vAlign w:val="center"/>
            <w:hideMark/>
          </w:tcPr>
          <w:p w14:paraId="6BF1DED5" w14:textId="77777777" w:rsidR="00812C67" w:rsidRPr="00A85D2D" w:rsidRDefault="00812C67" w:rsidP="004B6753">
            <w:pPr>
              <w:pStyle w:val="NoSpacing"/>
              <w:jc w:val="center"/>
              <w:rPr>
                <w:rFonts w:ascii="Times New Roman" w:hAnsi="Times New Roman" w:cs="Times New Roman"/>
                <w:szCs w:val="24"/>
              </w:rPr>
            </w:pPr>
            <w:r w:rsidRPr="00A85D2D">
              <w:rPr>
                <w:rFonts w:ascii="Times New Roman" w:hAnsi="Times New Roman" w:cs="Times New Roman"/>
                <w:szCs w:val="24"/>
              </w:rPr>
              <w:t>(7.48)</w:t>
            </w:r>
          </w:p>
        </w:tc>
        <w:tc>
          <w:tcPr>
            <w:tcW w:w="0" w:type="auto"/>
            <w:vAlign w:val="center"/>
            <w:hideMark/>
          </w:tcPr>
          <w:p w14:paraId="38FE7BDA" w14:textId="77777777" w:rsidR="00812C67" w:rsidRPr="00A85D2D" w:rsidRDefault="00812C67" w:rsidP="004B6753">
            <w:pPr>
              <w:pStyle w:val="NoSpacing"/>
              <w:jc w:val="center"/>
              <w:rPr>
                <w:rFonts w:ascii="Times New Roman" w:hAnsi="Times New Roman" w:cs="Times New Roman"/>
                <w:szCs w:val="24"/>
              </w:rPr>
            </w:pPr>
            <w:r w:rsidRPr="00A85D2D">
              <w:rPr>
                <w:rFonts w:ascii="Times New Roman" w:hAnsi="Times New Roman" w:cs="Times New Roman"/>
                <w:szCs w:val="24"/>
              </w:rPr>
              <w:t>(3.14)</w:t>
            </w:r>
          </w:p>
        </w:tc>
        <w:tc>
          <w:tcPr>
            <w:tcW w:w="0" w:type="auto"/>
            <w:vAlign w:val="center"/>
            <w:hideMark/>
          </w:tcPr>
          <w:p w14:paraId="15E23862" w14:textId="77777777" w:rsidR="00812C67" w:rsidRPr="00A85D2D" w:rsidRDefault="00812C67" w:rsidP="004B6753">
            <w:pPr>
              <w:pStyle w:val="NoSpacing"/>
              <w:jc w:val="center"/>
              <w:rPr>
                <w:rFonts w:ascii="Times New Roman" w:hAnsi="Times New Roman" w:cs="Times New Roman"/>
                <w:szCs w:val="24"/>
              </w:rPr>
            </w:pPr>
            <w:r w:rsidRPr="00A85D2D">
              <w:rPr>
                <w:rFonts w:ascii="Times New Roman" w:hAnsi="Times New Roman" w:cs="Times New Roman"/>
                <w:szCs w:val="24"/>
              </w:rPr>
              <w:t>(18.60)</w:t>
            </w:r>
          </w:p>
        </w:tc>
        <w:tc>
          <w:tcPr>
            <w:tcW w:w="0" w:type="auto"/>
            <w:vAlign w:val="center"/>
            <w:hideMark/>
          </w:tcPr>
          <w:p w14:paraId="2299C771" w14:textId="77777777" w:rsidR="00812C67" w:rsidRPr="00A85D2D" w:rsidRDefault="00812C67" w:rsidP="004B6753">
            <w:pPr>
              <w:pStyle w:val="NoSpacing"/>
              <w:jc w:val="center"/>
              <w:rPr>
                <w:rFonts w:ascii="Times New Roman" w:hAnsi="Times New Roman" w:cs="Times New Roman"/>
                <w:szCs w:val="24"/>
              </w:rPr>
            </w:pPr>
            <w:r w:rsidRPr="00A85D2D">
              <w:rPr>
                <w:rFonts w:ascii="Times New Roman" w:hAnsi="Times New Roman" w:cs="Times New Roman"/>
                <w:szCs w:val="24"/>
              </w:rPr>
              <w:t>(4.43)</w:t>
            </w:r>
          </w:p>
        </w:tc>
        <w:tc>
          <w:tcPr>
            <w:tcW w:w="0" w:type="auto"/>
            <w:vAlign w:val="center"/>
            <w:hideMark/>
          </w:tcPr>
          <w:p w14:paraId="00850A9A" w14:textId="77777777" w:rsidR="00812C67" w:rsidRPr="00A85D2D" w:rsidRDefault="00812C67" w:rsidP="004B6753">
            <w:pPr>
              <w:pStyle w:val="NoSpacing"/>
              <w:jc w:val="center"/>
              <w:rPr>
                <w:rFonts w:ascii="Times New Roman" w:hAnsi="Times New Roman" w:cs="Times New Roman"/>
                <w:szCs w:val="24"/>
              </w:rPr>
            </w:pPr>
            <w:r w:rsidRPr="00A85D2D">
              <w:rPr>
                <w:rFonts w:ascii="Times New Roman" w:hAnsi="Times New Roman" w:cs="Times New Roman"/>
                <w:szCs w:val="24"/>
              </w:rPr>
              <w:t>(4.97)</w:t>
            </w:r>
          </w:p>
        </w:tc>
        <w:tc>
          <w:tcPr>
            <w:tcW w:w="1412" w:type="dxa"/>
            <w:vAlign w:val="center"/>
            <w:hideMark/>
          </w:tcPr>
          <w:p w14:paraId="0AF4738A" w14:textId="77777777" w:rsidR="00812C67" w:rsidRPr="00A85D2D" w:rsidRDefault="00812C67" w:rsidP="004B6753">
            <w:pPr>
              <w:pStyle w:val="NoSpacing"/>
              <w:jc w:val="center"/>
              <w:rPr>
                <w:rFonts w:ascii="Times New Roman" w:hAnsi="Times New Roman" w:cs="Times New Roman"/>
                <w:szCs w:val="24"/>
              </w:rPr>
            </w:pPr>
            <w:r w:rsidRPr="00A85D2D">
              <w:rPr>
                <w:rFonts w:ascii="Times New Roman" w:hAnsi="Times New Roman" w:cs="Times New Roman"/>
                <w:szCs w:val="24"/>
              </w:rPr>
              <w:t>(7.21)</w:t>
            </w:r>
          </w:p>
        </w:tc>
        <w:tc>
          <w:tcPr>
            <w:tcW w:w="923" w:type="dxa"/>
            <w:vAlign w:val="center"/>
            <w:hideMark/>
          </w:tcPr>
          <w:p w14:paraId="5F013472" w14:textId="77777777" w:rsidR="00812C67" w:rsidRPr="00A85D2D" w:rsidRDefault="00812C67" w:rsidP="004B6753">
            <w:pPr>
              <w:pStyle w:val="NoSpacing"/>
              <w:jc w:val="center"/>
              <w:rPr>
                <w:rFonts w:ascii="Times New Roman" w:hAnsi="Times New Roman" w:cs="Times New Roman"/>
                <w:szCs w:val="24"/>
              </w:rPr>
            </w:pPr>
            <w:r w:rsidRPr="00A85D2D">
              <w:rPr>
                <w:rFonts w:ascii="Times New Roman" w:hAnsi="Times New Roman" w:cs="Times New Roman"/>
                <w:szCs w:val="24"/>
              </w:rPr>
              <w:t>(32.70)</w:t>
            </w:r>
          </w:p>
        </w:tc>
        <w:tc>
          <w:tcPr>
            <w:tcW w:w="1492" w:type="dxa"/>
            <w:vAlign w:val="center"/>
            <w:hideMark/>
          </w:tcPr>
          <w:p w14:paraId="4C45F169" w14:textId="77777777" w:rsidR="00812C67" w:rsidRPr="00A85D2D" w:rsidRDefault="00812C67" w:rsidP="004B6753">
            <w:pPr>
              <w:pStyle w:val="NoSpacing"/>
              <w:jc w:val="center"/>
              <w:rPr>
                <w:rFonts w:ascii="Times New Roman" w:hAnsi="Times New Roman" w:cs="Times New Roman"/>
                <w:szCs w:val="24"/>
              </w:rPr>
            </w:pPr>
            <w:r w:rsidRPr="00A85D2D">
              <w:rPr>
                <w:rFonts w:ascii="Times New Roman" w:hAnsi="Times New Roman" w:cs="Times New Roman"/>
                <w:szCs w:val="24"/>
              </w:rPr>
              <w:t>(100.00)</w:t>
            </w:r>
          </w:p>
        </w:tc>
      </w:tr>
      <w:tr w:rsidR="00416FA8" w:rsidRPr="00A85D2D" w14:paraId="4772DE29" w14:textId="77777777" w:rsidTr="004B6753">
        <w:tc>
          <w:tcPr>
            <w:tcW w:w="1405" w:type="dxa"/>
            <w:hideMark/>
          </w:tcPr>
          <w:p w14:paraId="09D174F8" w14:textId="77777777" w:rsidR="005D7DD5" w:rsidRPr="00A85D2D" w:rsidRDefault="005D7DD5" w:rsidP="005D7DD5">
            <w:pPr>
              <w:pStyle w:val="NoSpacing"/>
              <w:rPr>
                <w:rFonts w:ascii="Times New Roman" w:hAnsi="Times New Roman" w:cs="Times New Roman"/>
                <w:szCs w:val="24"/>
              </w:rPr>
            </w:pPr>
            <w:r w:rsidRPr="00A85D2D">
              <w:rPr>
                <w:rFonts w:ascii="Times New Roman" w:hAnsi="Times New Roman" w:cs="Times New Roman"/>
                <w:szCs w:val="24"/>
              </w:rPr>
              <w:t>1965-66</w:t>
            </w:r>
          </w:p>
        </w:tc>
        <w:tc>
          <w:tcPr>
            <w:tcW w:w="0" w:type="auto"/>
            <w:vAlign w:val="center"/>
            <w:hideMark/>
          </w:tcPr>
          <w:p w14:paraId="4381088A" w14:textId="77777777" w:rsidR="005D7DD5" w:rsidRPr="00A85D2D" w:rsidRDefault="005D7DD5" w:rsidP="004B6753">
            <w:pPr>
              <w:pStyle w:val="NoSpacing"/>
              <w:jc w:val="center"/>
              <w:rPr>
                <w:rFonts w:ascii="Times New Roman" w:hAnsi="Times New Roman" w:cs="Times New Roman"/>
                <w:szCs w:val="24"/>
              </w:rPr>
            </w:pPr>
            <w:r w:rsidRPr="00A85D2D">
              <w:rPr>
                <w:rFonts w:ascii="Times New Roman" w:hAnsi="Times New Roman" w:cs="Times New Roman"/>
                <w:szCs w:val="24"/>
              </w:rPr>
              <w:t>6.62</w:t>
            </w:r>
          </w:p>
        </w:tc>
        <w:tc>
          <w:tcPr>
            <w:tcW w:w="0" w:type="auto"/>
            <w:vAlign w:val="center"/>
            <w:hideMark/>
          </w:tcPr>
          <w:p w14:paraId="483163AF" w14:textId="77777777" w:rsidR="005D7DD5" w:rsidRPr="00A85D2D" w:rsidRDefault="005D7DD5" w:rsidP="004B6753">
            <w:pPr>
              <w:pStyle w:val="NoSpacing"/>
              <w:jc w:val="center"/>
              <w:rPr>
                <w:rFonts w:ascii="Times New Roman" w:hAnsi="Times New Roman" w:cs="Times New Roman"/>
                <w:szCs w:val="24"/>
              </w:rPr>
            </w:pPr>
            <w:r w:rsidRPr="00A85D2D">
              <w:rPr>
                <w:rFonts w:ascii="Times New Roman" w:hAnsi="Times New Roman" w:cs="Times New Roman"/>
                <w:szCs w:val="24"/>
              </w:rPr>
              <w:t>26.19</w:t>
            </w:r>
          </w:p>
        </w:tc>
        <w:tc>
          <w:tcPr>
            <w:tcW w:w="1790" w:type="dxa"/>
            <w:vAlign w:val="center"/>
            <w:hideMark/>
          </w:tcPr>
          <w:p w14:paraId="29CA0A57" w14:textId="77777777" w:rsidR="005D7DD5" w:rsidRPr="00A85D2D" w:rsidRDefault="005D7DD5" w:rsidP="004B6753">
            <w:pPr>
              <w:pStyle w:val="NoSpacing"/>
              <w:jc w:val="center"/>
              <w:rPr>
                <w:rFonts w:ascii="Times New Roman" w:hAnsi="Times New Roman" w:cs="Times New Roman"/>
                <w:szCs w:val="24"/>
              </w:rPr>
            </w:pPr>
            <w:r w:rsidRPr="00A85D2D">
              <w:rPr>
                <w:rFonts w:ascii="Times New Roman" w:hAnsi="Times New Roman" w:cs="Times New Roman"/>
                <w:szCs w:val="24"/>
              </w:rPr>
              <w:t>4.18</w:t>
            </w:r>
          </w:p>
        </w:tc>
        <w:tc>
          <w:tcPr>
            <w:tcW w:w="916" w:type="dxa"/>
            <w:vAlign w:val="center"/>
            <w:hideMark/>
          </w:tcPr>
          <w:p w14:paraId="46FB764F" w14:textId="77777777" w:rsidR="005D7DD5" w:rsidRPr="00A85D2D" w:rsidRDefault="005D7DD5" w:rsidP="004B6753">
            <w:pPr>
              <w:pStyle w:val="NoSpacing"/>
              <w:jc w:val="center"/>
              <w:rPr>
                <w:rFonts w:ascii="Times New Roman" w:hAnsi="Times New Roman" w:cs="Times New Roman"/>
                <w:szCs w:val="24"/>
              </w:rPr>
            </w:pPr>
            <w:r w:rsidRPr="00A85D2D">
              <w:rPr>
                <w:rFonts w:ascii="Times New Roman" w:hAnsi="Times New Roman" w:cs="Times New Roman"/>
                <w:szCs w:val="24"/>
              </w:rPr>
              <w:t>8.94</w:t>
            </w:r>
          </w:p>
        </w:tc>
        <w:tc>
          <w:tcPr>
            <w:tcW w:w="0" w:type="auto"/>
            <w:vAlign w:val="center"/>
            <w:hideMark/>
          </w:tcPr>
          <w:p w14:paraId="37F69236" w14:textId="77777777" w:rsidR="005D7DD5" w:rsidRPr="00A85D2D" w:rsidRDefault="005D7DD5" w:rsidP="004B6753">
            <w:pPr>
              <w:pStyle w:val="NoSpacing"/>
              <w:jc w:val="center"/>
              <w:rPr>
                <w:rFonts w:ascii="Times New Roman" w:hAnsi="Times New Roman" w:cs="Times New Roman"/>
                <w:szCs w:val="24"/>
              </w:rPr>
            </w:pPr>
            <w:r w:rsidRPr="00A85D2D">
              <w:rPr>
                <w:rFonts w:ascii="Times New Roman" w:hAnsi="Times New Roman" w:cs="Times New Roman"/>
                <w:szCs w:val="24"/>
              </w:rPr>
              <w:t>3.83</w:t>
            </w:r>
          </w:p>
        </w:tc>
        <w:tc>
          <w:tcPr>
            <w:tcW w:w="0" w:type="auto"/>
            <w:vAlign w:val="center"/>
            <w:hideMark/>
          </w:tcPr>
          <w:p w14:paraId="0953EF79" w14:textId="77777777" w:rsidR="005D7DD5" w:rsidRPr="00A85D2D" w:rsidRDefault="005D7DD5" w:rsidP="004B6753">
            <w:pPr>
              <w:pStyle w:val="NoSpacing"/>
              <w:jc w:val="center"/>
              <w:rPr>
                <w:rFonts w:ascii="Times New Roman" w:hAnsi="Times New Roman" w:cs="Times New Roman"/>
                <w:szCs w:val="24"/>
              </w:rPr>
            </w:pPr>
            <w:r w:rsidRPr="00A85D2D">
              <w:rPr>
                <w:rFonts w:ascii="Times New Roman" w:hAnsi="Times New Roman" w:cs="Times New Roman"/>
                <w:szCs w:val="24"/>
              </w:rPr>
              <w:t>19.20</w:t>
            </w:r>
          </w:p>
        </w:tc>
        <w:tc>
          <w:tcPr>
            <w:tcW w:w="0" w:type="auto"/>
            <w:vAlign w:val="center"/>
            <w:hideMark/>
          </w:tcPr>
          <w:p w14:paraId="74169DDD" w14:textId="77777777" w:rsidR="005D7DD5" w:rsidRPr="00A85D2D" w:rsidRDefault="005D7DD5" w:rsidP="004B6753">
            <w:pPr>
              <w:pStyle w:val="NoSpacing"/>
              <w:jc w:val="center"/>
              <w:rPr>
                <w:rFonts w:ascii="Times New Roman" w:hAnsi="Times New Roman" w:cs="Times New Roman"/>
                <w:szCs w:val="24"/>
              </w:rPr>
            </w:pPr>
            <w:r w:rsidRPr="00A85D2D">
              <w:rPr>
                <w:rFonts w:ascii="Times New Roman" w:hAnsi="Times New Roman" w:cs="Times New Roman"/>
                <w:szCs w:val="24"/>
              </w:rPr>
              <w:t>5.34</w:t>
            </w:r>
          </w:p>
        </w:tc>
        <w:tc>
          <w:tcPr>
            <w:tcW w:w="0" w:type="auto"/>
            <w:vAlign w:val="center"/>
            <w:hideMark/>
          </w:tcPr>
          <w:p w14:paraId="22B32E3C" w14:textId="77777777" w:rsidR="005D7DD5" w:rsidRPr="00A85D2D" w:rsidRDefault="005D7DD5" w:rsidP="004B6753">
            <w:pPr>
              <w:pStyle w:val="NoSpacing"/>
              <w:jc w:val="center"/>
              <w:rPr>
                <w:rFonts w:ascii="Times New Roman" w:hAnsi="Times New Roman" w:cs="Times New Roman"/>
                <w:szCs w:val="24"/>
              </w:rPr>
            </w:pPr>
            <w:r w:rsidRPr="00A85D2D">
              <w:rPr>
                <w:rFonts w:ascii="Times New Roman" w:hAnsi="Times New Roman" w:cs="Times New Roman"/>
                <w:szCs w:val="24"/>
              </w:rPr>
              <w:t>3.49</w:t>
            </w:r>
          </w:p>
        </w:tc>
        <w:tc>
          <w:tcPr>
            <w:tcW w:w="1412" w:type="dxa"/>
            <w:vAlign w:val="center"/>
            <w:hideMark/>
          </w:tcPr>
          <w:p w14:paraId="4F016C84" w14:textId="77777777" w:rsidR="005D7DD5" w:rsidRPr="00A85D2D" w:rsidRDefault="005D7DD5" w:rsidP="004B6753">
            <w:pPr>
              <w:pStyle w:val="NoSpacing"/>
              <w:jc w:val="center"/>
              <w:rPr>
                <w:rFonts w:ascii="Times New Roman" w:hAnsi="Times New Roman" w:cs="Times New Roman"/>
                <w:szCs w:val="24"/>
              </w:rPr>
            </w:pPr>
            <w:r w:rsidRPr="00A85D2D">
              <w:rPr>
                <w:rFonts w:ascii="Times New Roman" w:hAnsi="Times New Roman" w:cs="Times New Roman"/>
                <w:szCs w:val="24"/>
              </w:rPr>
              <w:t>9.26</w:t>
            </w:r>
          </w:p>
        </w:tc>
        <w:tc>
          <w:tcPr>
            <w:tcW w:w="923" w:type="dxa"/>
            <w:vAlign w:val="center"/>
            <w:hideMark/>
          </w:tcPr>
          <w:p w14:paraId="04ACF10D" w14:textId="77777777" w:rsidR="005D7DD5" w:rsidRPr="00A85D2D" w:rsidRDefault="005D7DD5" w:rsidP="004B6753">
            <w:pPr>
              <w:pStyle w:val="NoSpacing"/>
              <w:jc w:val="center"/>
              <w:rPr>
                <w:rFonts w:ascii="Times New Roman" w:hAnsi="Times New Roman" w:cs="Times New Roman"/>
                <w:szCs w:val="24"/>
              </w:rPr>
            </w:pPr>
            <w:r w:rsidRPr="00A85D2D">
              <w:rPr>
                <w:rFonts w:ascii="Times New Roman" w:hAnsi="Times New Roman" w:cs="Times New Roman"/>
                <w:szCs w:val="24"/>
              </w:rPr>
              <w:t>38.16</w:t>
            </w:r>
          </w:p>
        </w:tc>
        <w:tc>
          <w:tcPr>
            <w:tcW w:w="1492" w:type="dxa"/>
            <w:vAlign w:val="center"/>
            <w:hideMark/>
          </w:tcPr>
          <w:p w14:paraId="79A8452E" w14:textId="77777777" w:rsidR="005D7DD5" w:rsidRPr="00A85D2D" w:rsidRDefault="005D7DD5" w:rsidP="004B6753">
            <w:pPr>
              <w:pStyle w:val="NoSpacing"/>
              <w:jc w:val="center"/>
              <w:rPr>
                <w:rFonts w:ascii="Times New Roman" w:hAnsi="Times New Roman" w:cs="Times New Roman"/>
                <w:szCs w:val="24"/>
              </w:rPr>
            </w:pPr>
            <w:r w:rsidRPr="00A85D2D">
              <w:rPr>
                <w:rFonts w:ascii="Times New Roman" w:hAnsi="Times New Roman" w:cs="Times New Roman"/>
                <w:szCs w:val="24"/>
              </w:rPr>
              <w:t>125.21</w:t>
            </w:r>
          </w:p>
        </w:tc>
      </w:tr>
      <w:tr w:rsidR="00416FA8" w:rsidRPr="00A85D2D" w14:paraId="65D16724" w14:textId="77777777" w:rsidTr="004B6753">
        <w:tc>
          <w:tcPr>
            <w:tcW w:w="1405" w:type="dxa"/>
            <w:hideMark/>
          </w:tcPr>
          <w:p w14:paraId="1CC1ACD4" w14:textId="77777777" w:rsidR="005D7DD5" w:rsidRPr="00A85D2D" w:rsidRDefault="005D7DD5" w:rsidP="005D7DD5">
            <w:pPr>
              <w:pStyle w:val="NoSpacing"/>
              <w:rPr>
                <w:rFonts w:ascii="Times New Roman" w:hAnsi="Times New Roman" w:cs="Times New Roman"/>
                <w:szCs w:val="24"/>
              </w:rPr>
            </w:pPr>
            <w:r w:rsidRPr="00A85D2D">
              <w:rPr>
                <w:rFonts w:ascii="Times New Roman" w:hAnsi="Times New Roman" w:cs="Times New Roman"/>
                <w:szCs w:val="24"/>
              </w:rPr>
              <w:t>1966-67</w:t>
            </w:r>
          </w:p>
        </w:tc>
        <w:tc>
          <w:tcPr>
            <w:tcW w:w="0" w:type="auto"/>
            <w:vAlign w:val="center"/>
            <w:hideMark/>
          </w:tcPr>
          <w:p w14:paraId="4D100400" w14:textId="77777777" w:rsidR="005D7DD5" w:rsidRPr="00A85D2D" w:rsidRDefault="005D7DD5" w:rsidP="004B6753">
            <w:pPr>
              <w:pStyle w:val="NoSpacing"/>
              <w:jc w:val="center"/>
              <w:rPr>
                <w:rFonts w:ascii="Times New Roman" w:hAnsi="Times New Roman" w:cs="Times New Roman"/>
                <w:szCs w:val="24"/>
              </w:rPr>
            </w:pPr>
            <w:r w:rsidRPr="00A85D2D">
              <w:rPr>
                <w:rFonts w:ascii="Times New Roman" w:hAnsi="Times New Roman" w:cs="Times New Roman"/>
                <w:szCs w:val="24"/>
              </w:rPr>
              <w:t>6.33</w:t>
            </w:r>
          </w:p>
        </w:tc>
        <w:tc>
          <w:tcPr>
            <w:tcW w:w="0" w:type="auto"/>
            <w:vAlign w:val="center"/>
            <w:hideMark/>
          </w:tcPr>
          <w:p w14:paraId="7A765CAC" w14:textId="77777777" w:rsidR="005D7DD5" w:rsidRPr="00A85D2D" w:rsidRDefault="005D7DD5" w:rsidP="004B6753">
            <w:pPr>
              <w:pStyle w:val="NoSpacing"/>
              <w:jc w:val="center"/>
              <w:rPr>
                <w:rFonts w:ascii="Times New Roman" w:hAnsi="Times New Roman" w:cs="Times New Roman"/>
                <w:szCs w:val="24"/>
              </w:rPr>
            </w:pPr>
            <w:r w:rsidRPr="00A85D2D">
              <w:rPr>
                <w:rFonts w:ascii="Times New Roman" w:hAnsi="Times New Roman" w:cs="Times New Roman"/>
                <w:szCs w:val="24"/>
              </w:rPr>
              <w:t>21.67</w:t>
            </w:r>
          </w:p>
        </w:tc>
        <w:tc>
          <w:tcPr>
            <w:tcW w:w="1790" w:type="dxa"/>
            <w:vAlign w:val="center"/>
            <w:hideMark/>
          </w:tcPr>
          <w:p w14:paraId="29CE292C" w14:textId="77777777" w:rsidR="005D7DD5" w:rsidRPr="00A85D2D" w:rsidRDefault="005D7DD5" w:rsidP="004B6753">
            <w:pPr>
              <w:pStyle w:val="NoSpacing"/>
              <w:jc w:val="center"/>
              <w:rPr>
                <w:rFonts w:ascii="Times New Roman" w:hAnsi="Times New Roman" w:cs="Times New Roman"/>
                <w:szCs w:val="24"/>
              </w:rPr>
            </w:pPr>
            <w:r w:rsidRPr="00A85D2D">
              <w:rPr>
                <w:rFonts w:ascii="Times New Roman" w:hAnsi="Times New Roman" w:cs="Times New Roman"/>
                <w:szCs w:val="24"/>
              </w:rPr>
              <w:t>4.27</w:t>
            </w:r>
          </w:p>
        </w:tc>
        <w:tc>
          <w:tcPr>
            <w:tcW w:w="916" w:type="dxa"/>
            <w:vAlign w:val="center"/>
            <w:hideMark/>
          </w:tcPr>
          <w:p w14:paraId="650E4C08" w14:textId="77777777" w:rsidR="005D7DD5" w:rsidRPr="00A85D2D" w:rsidRDefault="005D7DD5" w:rsidP="004B6753">
            <w:pPr>
              <w:pStyle w:val="NoSpacing"/>
              <w:jc w:val="center"/>
              <w:rPr>
                <w:rFonts w:ascii="Times New Roman" w:hAnsi="Times New Roman" w:cs="Times New Roman"/>
                <w:szCs w:val="24"/>
              </w:rPr>
            </w:pPr>
            <w:r w:rsidRPr="00A85D2D">
              <w:rPr>
                <w:rFonts w:ascii="Times New Roman" w:hAnsi="Times New Roman" w:cs="Times New Roman"/>
                <w:szCs w:val="24"/>
              </w:rPr>
              <w:t>9.54</w:t>
            </w:r>
          </w:p>
        </w:tc>
        <w:tc>
          <w:tcPr>
            <w:tcW w:w="0" w:type="auto"/>
            <w:vAlign w:val="center"/>
            <w:hideMark/>
          </w:tcPr>
          <w:p w14:paraId="7087C0F2" w14:textId="77777777" w:rsidR="005D7DD5" w:rsidRPr="00A85D2D" w:rsidRDefault="005D7DD5" w:rsidP="004B6753">
            <w:pPr>
              <w:pStyle w:val="NoSpacing"/>
              <w:jc w:val="center"/>
              <w:rPr>
                <w:rFonts w:ascii="Times New Roman" w:hAnsi="Times New Roman" w:cs="Times New Roman"/>
                <w:szCs w:val="24"/>
              </w:rPr>
            </w:pPr>
            <w:r w:rsidRPr="00A85D2D">
              <w:rPr>
                <w:rFonts w:ascii="Times New Roman" w:hAnsi="Times New Roman" w:cs="Times New Roman"/>
                <w:szCs w:val="24"/>
              </w:rPr>
              <w:t>4.88</w:t>
            </w:r>
          </w:p>
        </w:tc>
        <w:tc>
          <w:tcPr>
            <w:tcW w:w="0" w:type="auto"/>
            <w:vAlign w:val="center"/>
            <w:hideMark/>
          </w:tcPr>
          <w:p w14:paraId="2301EF4A" w14:textId="77777777" w:rsidR="005D7DD5" w:rsidRPr="00A85D2D" w:rsidRDefault="005D7DD5" w:rsidP="004B6753">
            <w:pPr>
              <w:pStyle w:val="NoSpacing"/>
              <w:jc w:val="center"/>
              <w:rPr>
                <w:rFonts w:ascii="Times New Roman" w:hAnsi="Times New Roman" w:cs="Times New Roman"/>
                <w:szCs w:val="24"/>
              </w:rPr>
            </w:pPr>
            <w:r w:rsidRPr="00A85D2D">
              <w:rPr>
                <w:rFonts w:ascii="Times New Roman" w:hAnsi="Times New Roman" w:cs="Times New Roman"/>
                <w:szCs w:val="24"/>
              </w:rPr>
              <w:t>22.06</w:t>
            </w:r>
          </w:p>
        </w:tc>
        <w:tc>
          <w:tcPr>
            <w:tcW w:w="0" w:type="auto"/>
            <w:vAlign w:val="center"/>
            <w:hideMark/>
          </w:tcPr>
          <w:p w14:paraId="1C45A89A" w14:textId="77777777" w:rsidR="005D7DD5" w:rsidRPr="00A85D2D" w:rsidRDefault="005D7DD5" w:rsidP="004B6753">
            <w:pPr>
              <w:pStyle w:val="NoSpacing"/>
              <w:jc w:val="center"/>
              <w:rPr>
                <w:rFonts w:ascii="Times New Roman" w:hAnsi="Times New Roman" w:cs="Times New Roman"/>
                <w:szCs w:val="24"/>
              </w:rPr>
            </w:pPr>
            <w:r w:rsidRPr="00A85D2D">
              <w:rPr>
                <w:rFonts w:ascii="Times New Roman" w:hAnsi="Times New Roman" w:cs="Times New Roman"/>
                <w:szCs w:val="24"/>
              </w:rPr>
              <w:t>6.08</w:t>
            </w:r>
          </w:p>
        </w:tc>
        <w:tc>
          <w:tcPr>
            <w:tcW w:w="0" w:type="auto"/>
            <w:vAlign w:val="center"/>
            <w:hideMark/>
          </w:tcPr>
          <w:p w14:paraId="3761D0B2" w14:textId="77777777" w:rsidR="005D7DD5" w:rsidRPr="00A85D2D" w:rsidRDefault="005D7DD5" w:rsidP="004B6753">
            <w:pPr>
              <w:pStyle w:val="NoSpacing"/>
              <w:jc w:val="center"/>
              <w:rPr>
                <w:rFonts w:ascii="Times New Roman" w:hAnsi="Times New Roman" w:cs="Times New Roman"/>
                <w:szCs w:val="24"/>
              </w:rPr>
            </w:pPr>
            <w:r w:rsidRPr="00A85D2D">
              <w:rPr>
                <w:rFonts w:ascii="Times New Roman" w:hAnsi="Times New Roman" w:cs="Times New Roman"/>
                <w:szCs w:val="24"/>
              </w:rPr>
              <w:t>3.88</w:t>
            </w:r>
          </w:p>
        </w:tc>
        <w:tc>
          <w:tcPr>
            <w:tcW w:w="1412" w:type="dxa"/>
            <w:vAlign w:val="center"/>
            <w:hideMark/>
          </w:tcPr>
          <w:p w14:paraId="3E9011B5" w14:textId="77777777" w:rsidR="005D7DD5" w:rsidRPr="00A85D2D" w:rsidRDefault="005D7DD5" w:rsidP="004B6753">
            <w:pPr>
              <w:pStyle w:val="NoSpacing"/>
              <w:jc w:val="center"/>
              <w:rPr>
                <w:rFonts w:ascii="Times New Roman" w:hAnsi="Times New Roman" w:cs="Times New Roman"/>
                <w:szCs w:val="24"/>
              </w:rPr>
            </w:pPr>
            <w:r w:rsidRPr="00A85D2D">
              <w:rPr>
                <w:rFonts w:ascii="Times New Roman" w:hAnsi="Times New Roman" w:cs="Times New Roman"/>
                <w:szCs w:val="24"/>
              </w:rPr>
              <w:t>19.19</w:t>
            </w:r>
          </w:p>
        </w:tc>
        <w:tc>
          <w:tcPr>
            <w:tcW w:w="923" w:type="dxa"/>
            <w:vAlign w:val="center"/>
            <w:hideMark/>
          </w:tcPr>
          <w:p w14:paraId="38042CD0" w14:textId="77777777" w:rsidR="005D7DD5" w:rsidRPr="00A85D2D" w:rsidRDefault="005D7DD5" w:rsidP="004B6753">
            <w:pPr>
              <w:pStyle w:val="NoSpacing"/>
              <w:jc w:val="center"/>
              <w:rPr>
                <w:rFonts w:ascii="Times New Roman" w:hAnsi="Times New Roman" w:cs="Times New Roman"/>
                <w:szCs w:val="24"/>
              </w:rPr>
            </w:pPr>
            <w:r w:rsidRPr="00A85D2D">
              <w:rPr>
                <w:rFonts w:ascii="Times New Roman" w:hAnsi="Times New Roman" w:cs="Times New Roman"/>
                <w:szCs w:val="24"/>
              </w:rPr>
              <w:t>49.60</w:t>
            </w:r>
          </w:p>
        </w:tc>
        <w:tc>
          <w:tcPr>
            <w:tcW w:w="1492" w:type="dxa"/>
            <w:vAlign w:val="center"/>
            <w:hideMark/>
          </w:tcPr>
          <w:p w14:paraId="1337FC29" w14:textId="77777777" w:rsidR="005D7DD5" w:rsidRPr="00A85D2D" w:rsidRDefault="005D7DD5" w:rsidP="004B6753">
            <w:pPr>
              <w:pStyle w:val="NoSpacing"/>
              <w:jc w:val="center"/>
              <w:rPr>
                <w:rFonts w:ascii="Times New Roman" w:hAnsi="Times New Roman" w:cs="Times New Roman"/>
                <w:szCs w:val="24"/>
              </w:rPr>
            </w:pPr>
            <w:r w:rsidRPr="00A85D2D">
              <w:rPr>
                <w:rFonts w:ascii="Times New Roman" w:hAnsi="Times New Roman" w:cs="Times New Roman"/>
                <w:szCs w:val="24"/>
              </w:rPr>
              <w:t>147.50</w:t>
            </w:r>
          </w:p>
        </w:tc>
      </w:tr>
      <w:tr w:rsidR="00416FA8" w:rsidRPr="00A85D2D" w14:paraId="05B8F3AC" w14:textId="77777777" w:rsidTr="004B6753">
        <w:tc>
          <w:tcPr>
            <w:tcW w:w="1405" w:type="dxa"/>
            <w:hideMark/>
          </w:tcPr>
          <w:p w14:paraId="2D6EBD66" w14:textId="77777777" w:rsidR="005D7DD5" w:rsidRPr="00A85D2D" w:rsidRDefault="005D7DD5" w:rsidP="005D7DD5">
            <w:pPr>
              <w:pStyle w:val="NoSpacing"/>
              <w:rPr>
                <w:rFonts w:ascii="Times New Roman" w:hAnsi="Times New Roman" w:cs="Times New Roman"/>
                <w:szCs w:val="24"/>
              </w:rPr>
            </w:pPr>
            <w:r w:rsidRPr="00A85D2D">
              <w:rPr>
                <w:rFonts w:ascii="Times New Roman" w:hAnsi="Times New Roman" w:cs="Times New Roman"/>
                <w:szCs w:val="24"/>
              </w:rPr>
              <w:t>1967-68</w:t>
            </w:r>
          </w:p>
        </w:tc>
        <w:tc>
          <w:tcPr>
            <w:tcW w:w="0" w:type="auto"/>
            <w:vAlign w:val="center"/>
            <w:hideMark/>
          </w:tcPr>
          <w:p w14:paraId="0C64CC6C" w14:textId="77777777" w:rsidR="005D7DD5" w:rsidRPr="00A85D2D" w:rsidRDefault="005D7DD5" w:rsidP="004B6753">
            <w:pPr>
              <w:pStyle w:val="NoSpacing"/>
              <w:jc w:val="center"/>
              <w:rPr>
                <w:rFonts w:ascii="Times New Roman" w:hAnsi="Times New Roman" w:cs="Times New Roman"/>
                <w:szCs w:val="24"/>
              </w:rPr>
            </w:pPr>
            <w:r w:rsidRPr="00A85D2D">
              <w:rPr>
                <w:rFonts w:ascii="Times New Roman" w:hAnsi="Times New Roman" w:cs="Times New Roman"/>
                <w:szCs w:val="24"/>
              </w:rPr>
              <w:t>6.52</w:t>
            </w:r>
          </w:p>
        </w:tc>
        <w:tc>
          <w:tcPr>
            <w:tcW w:w="0" w:type="auto"/>
            <w:vAlign w:val="center"/>
            <w:hideMark/>
          </w:tcPr>
          <w:p w14:paraId="120300F6" w14:textId="77777777" w:rsidR="005D7DD5" w:rsidRPr="00A85D2D" w:rsidRDefault="005D7DD5" w:rsidP="004B6753">
            <w:pPr>
              <w:pStyle w:val="NoSpacing"/>
              <w:jc w:val="center"/>
              <w:rPr>
                <w:rFonts w:ascii="Times New Roman" w:hAnsi="Times New Roman" w:cs="Times New Roman"/>
                <w:szCs w:val="24"/>
              </w:rPr>
            </w:pPr>
            <w:r w:rsidRPr="00A85D2D">
              <w:rPr>
                <w:rFonts w:ascii="Times New Roman" w:hAnsi="Times New Roman" w:cs="Times New Roman"/>
                <w:szCs w:val="24"/>
              </w:rPr>
              <w:t>25.05</w:t>
            </w:r>
          </w:p>
        </w:tc>
        <w:tc>
          <w:tcPr>
            <w:tcW w:w="1790" w:type="dxa"/>
            <w:vAlign w:val="center"/>
            <w:hideMark/>
          </w:tcPr>
          <w:p w14:paraId="184899E9" w14:textId="77777777" w:rsidR="005D7DD5" w:rsidRPr="00A85D2D" w:rsidRDefault="005D7DD5" w:rsidP="004B6753">
            <w:pPr>
              <w:pStyle w:val="NoSpacing"/>
              <w:jc w:val="center"/>
              <w:rPr>
                <w:rFonts w:ascii="Times New Roman" w:hAnsi="Times New Roman" w:cs="Times New Roman"/>
                <w:szCs w:val="24"/>
              </w:rPr>
            </w:pPr>
            <w:r w:rsidRPr="00A85D2D">
              <w:rPr>
                <w:rFonts w:ascii="Times New Roman" w:hAnsi="Times New Roman" w:cs="Times New Roman"/>
                <w:szCs w:val="24"/>
              </w:rPr>
              <w:t>5.74</w:t>
            </w:r>
          </w:p>
        </w:tc>
        <w:tc>
          <w:tcPr>
            <w:tcW w:w="916" w:type="dxa"/>
            <w:vAlign w:val="center"/>
            <w:hideMark/>
          </w:tcPr>
          <w:p w14:paraId="3445507E" w14:textId="77777777" w:rsidR="005D7DD5" w:rsidRPr="00A85D2D" w:rsidRDefault="005D7DD5" w:rsidP="004B6753">
            <w:pPr>
              <w:pStyle w:val="NoSpacing"/>
              <w:jc w:val="center"/>
              <w:rPr>
                <w:rFonts w:ascii="Times New Roman" w:hAnsi="Times New Roman" w:cs="Times New Roman"/>
                <w:szCs w:val="24"/>
              </w:rPr>
            </w:pPr>
            <w:r w:rsidRPr="00A85D2D">
              <w:rPr>
                <w:rFonts w:ascii="Times New Roman" w:hAnsi="Times New Roman" w:cs="Times New Roman"/>
                <w:szCs w:val="24"/>
              </w:rPr>
              <w:t>10.90</w:t>
            </w:r>
          </w:p>
        </w:tc>
        <w:tc>
          <w:tcPr>
            <w:tcW w:w="0" w:type="auto"/>
            <w:vAlign w:val="center"/>
            <w:hideMark/>
          </w:tcPr>
          <w:p w14:paraId="622DCB3C" w14:textId="77777777" w:rsidR="005D7DD5" w:rsidRPr="00A85D2D" w:rsidRDefault="005D7DD5" w:rsidP="004B6753">
            <w:pPr>
              <w:pStyle w:val="NoSpacing"/>
              <w:jc w:val="center"/>
              <w:rPr>
                <w:rFonts w:ascii="Times New Roman" w:hAnsi="Times New Roman" w:cs="Times New Roman"/>
                <w:szCs w:val="24"/>
              </w:rPr>
            </w:pPr>
            <w:r w:rsidRPr="00A85D2D">
              <w:rPr>
                <w:rFonts w:ascii="Times New Roman" w:hAnsi="Times New Roman" w:cs="Times New Roman"/>
                <w:szCs w:val="24"/>
              </w:rPr>
              <w:t>5.08</w:t>
            </w:r>
          </w:p>
        </w:tc>
        <w:tc>
          <w:tcPr>
            <w:tcW w:w="0" w:type="auto"/>
            <w:vAlign w:val="center"/>
            <w:hideMark/>
          </w:tcPr>
          <w:p w14:paraId="11DAB85B" w14:textId="77777777" w:rsidR="005D7DD5" w:rsidRPr="00A85D2D" w:rsidRDefault="005D7DD5" w:rsidP="004B6753">
            <w:pPr>
              <w:pStyle w:val="NoSpacing"/>
              <w:jc w:val="center"/>
              <w:rPr>
                <w:rFonts w:ascii="Times New Roman" w:hAnsi="Times New Roman" w:cs="Times New Roman"/>
                <w:szCs w:val="24"/>
              </w:rPr>
            </w:pPr>
            <w:r w:rsidRPr="00A85D2D">
              <w:rPr>
                <w:rFonts w:ascii="Times New Roman" w:hAnsi="Times New Roman" w:cs="Times New Roman"/>
                <w:szCs w:val="24"/>
              </w:rPr>
              <w:t>26.55</w:t>
            </w:r>
          </w:p>
        </w:tc>
        <w:tc>
          <w:tcPr>
            <w:tcW w:w="0" w:type="auto"/>
            <w:vAlign w:val="center"/>
            <w:hideMark/>
          </w:tcPr>
          <w:p w14:paraId="0EDF42B2" w14:textId="77777777" w:rsidR="005D7DD5" w:rsidRPr="00A85D2D" w:rsidRDefault="005D7DD5" w:rsidP="004B6753">
            <w:pPr>
              <w:pStyle w:val="NoSpacing"/>
              <w:jc w:val="center"/>
              <w:rPr>
                <w:rFonts w:ascii="Times New Roman" w:hAnsi="Times New Roman" w:cs="Times New Roman"/>
                <w:szCs w:val="24"/>
              </w:rPr>
            </w:pPr>
            <w:r w:rsidRPr="00A85D2D">
              <w:rPr>
                <w:rFonts w:ascii="Times New Roman" w:hAnsi="Times New Roman" w:cs="Times New Roman"/>
                <w:szCs w:val="24"/>
              </w:rPr>
              <w:t>7.66</w:t>
            </w:r>
          </w:p>
        </w:tc>
        <w:tc>
          <w:tcPr>
            <w:tcW w:w="0" w:type="auto"/>
            <w:vAlign w:val="center"/>
            <w:hideMark/>
          </w:tcPr>
          <w:p w14:paraId="260E4CA8" w14:textId="77777777" w:rsidR="005D7DD5" w:rsidRPr="00A85D2D" w:rsidRDefault="005D7DD5" w:rsidP="004B6753">
            <w:pPr>
              <w:pStyle w:val="NoSpacing"/>
              <w:jc w:val="center"/>
              <w:rPr>
                <w:rFonts w:ascii="Times New Roman" w:hAnsi="Times New Roman" w:cs="Times New Roman"/>
                <w:szCs w:val="24"/>
              </w:rPr>
            </w:pPr>
            <w:r w:rsidRPr="00A85D2D">
              <w:rPr>
                <w:rFonts w:ascii="Times New Roman" w:hAnsi="Times New Roman" w:cs="Times New Roman"/>
                <w:szCs w:val="24"/>
              </w:rPr>
              <w:t>1.20</w:t>
            </w:r>
          </w:p>
        </w:tc>
        <w:tc>
          <w:tcPr>
            <w:tcW w:w="1412" w:type="dxa"/>
            <w:vAlign w:val="center"/>
            <w:hideMark/>
          </w:tcPr>
          <w:p w14:paraId="0D9F8008" w14:textId="77777777" w:rsidR="005D7DD5" w:rsidRPr="00A85D2D" w:rsidRDefault="005D7DD5" w:rsidP="004B6753">
            <w:pPr>
              <w:pStyle w:val="NoSpacing"/>
              <w:jc w:val="center"/>
              <w:rPr>
                <w:rFonts w:ascii="Times New Roman" w:hAnsi="Times New Roman" w:cs="Times New Roman"/>
                <w:szCs w:val="24"/>
              </w:rPr>
            </w:pPr>
            <w:r w:rsidRPr="00A85D2D">
              <w:rPr>
                <w:rFonts w:ascii="Times New Roman" w:hAnsi="Times New Roman" w:cs="Times New Roman"/>
                <w:szCs w:val="24"/>
              </w:rPr>
              <w:t>15.98</w:t>
            </w:r>
          </w:p>
        </w:tc>
        <w:tc>
          <w:tcPr>
            <w:tcW w:w="923" w:type="dxa"/>
            <w:vAlign w:val="center"/>
            <w:hideMark/>
          </w:tcPr>
          <w:p w14:paraId="3AFF72D2" w14:textId="77777777" w:rsidR="005D7DD5" w:rsidRPr="00A85D2D" w:rsidRDefault="005D7DD5" w:rsidP="004B6753">
            <w:pPr>
              <w:pStyle w:val="NoSpacing"/>
              <w:jc w:val="center"/>
              <w:rPr>
                <w:rFonts w:ascii="Times New Roman" w:hAnsi="Times New Roman" w:cs="Times New Roman"/>
                <w:szCs w:val="24"/>
              </w:rPr>
            </w:pPr>
            <w:r w:rsidRPr="00A85D2D">
              <w:rPr>
                <w:rFonts w:ascii="Times New Roman" w:hAnsi="Times New Roman" w:cs="Times New Roman"/>
                <w:szCs w:val="24"/>
              </w:rPr>
              <w:t>65.82</w:t>
            </w:r>
          </w:p>
        </w:tc>
        <w:tc>
          <w:tcPr>
            <w:tcW w:w="1492" w:type="dxa"/>
            <w:vAlign w:val="center"/>
            <w:hideMark/>
          </w:tcPr>
          <w:p w14:paraId="74E4B9CD" w14:textId="77777777" w:rsidR="005D7DD5" w:rsidRPr="00A85D2D" w:rsidRDefault="005D7DD5" w:rsidP="004B6753">
            <w:pPr>
              <w:pStyle w:val="NoSpacing"/>
              <w:jc w:val="center"/>
              <w:rPr>
                <w:rFonts w:ascii="Times New Roman" w:hAnsi="Times New Roman" w:cs="Times New Roman"/>
                <w:szCs w:val="24"/>
              </w:rPr>
            </w:pPr>
            <w:r w:rsidRPr="00A85D2D">
              <w:rPr>
                <w:rFonts w:ascii="Times New Roman" w:hAnsi="Times New Roman" w:cs="Times New Roman"/>
                <w:szCs w:val="24"/>
              </w:rPr>
              <w:t>170.50</w:t>
            </w:r>
          </w:p>
        </w:tc>
      </w:tr>
      <w:tr w:rsidR="00812C67" w:rsidRPr="00A85D2D" w14:paraId="6E399FB2" w14:textId="77777777" w:rsidTr="004B6753">
        <w:tc>
          <w:tcPr>
            <w:tcW w:w="1405" w:type="dxa"/>
            <w:vMerge w:val="restart"/>
            <w:hideMark/>
          </w:tcPr>
          <w:p w14:paraId="2368CD40" w14:textId="77777777" w:rsidR="00812C67" w:rsidRPr="00A85D2D" w:rsidRDefault="00812C67" w:rsidP="005D7DD5">
            <w:pPr>
              <w:pStyle w:val="NoSpacing"/>
              <w:rPr>
                <w:rFonts w:ascii="Times New Roman" w:hAnsi="Times New Roman" w:cs="Times New Roman"/>
                <w:szCs w:val="24"/>
              </w:rPr>
            </w:pPr>
            <w:r w:rsidRPr="00A85D2D">
              <w:rPr>
                <w:rFonts w:ascii="Times New Roman" w:hAnsi="Times New Roman" w:cs="Times New Roman"/>
                <w:szCs w:val="24"/>
              </w:rPr>
              <w:t>1968-69 (RE)</w:t>
            </w:r>
          </w:p>
        </w:tc>
        <w:tc>
          <w:tcPr>
            <w:tcW w:w="0" w:type="auto"/>
            <w:vAlign w:val="center"/>
            <w:hideMark/>
          </w:tcPr>
          <w:p w14:paraId="0696D9D5" w14:textId="77777777" w:rsidR="00812C67" w:rsidRPr="00A85D2D" w:rsidRDefault="00812C67" w:rsidP="004B6753">
            <w:pPr>
              <w:pStyle w:val="NoSpacing"/>
              <w:jc w:val="center"/>
              <w:rPr>
                <w:rFonts w:ascii="Times New Roman" w:hAnsi="Times New Roman" w:cs="Times New Roman"/>
                <w:szCs w:val="24"/>
              </w:rPr>
            </w:pPr>
            <w:r w:rsidRPr="00A85D2D">
              <w:rPr>
                <w:rFonts w:ascii="Times New Roman" w:hAnsi="Times New Roman" w:cs="Times New Roman"/>
                <w:szCs w:val="24"/>
              </w:rPr>
              <w:t>7.10</w:t>
            </w:r>
          </w:p>
        </w:tc>
        <w:tc>
          <w:tcPr>
            <w:tcW w:w="0" w:type="auto"/>
            <w:vAlign w:val="center"/>
            <w:hideMark/>
          </w:tcPr>
          <w:p w14:paraId="642F8217" w14:textId="77777777" w:rsidR="00812C67" w:rsidRPr="00A85D2D" w:rsidRDefault="00812C67" w:rsidP="004B6753">
            <w:pPr>
              <w:pStyle w:val="NoSpacing"/>
              <w:jc w:val="center"/>
              <w:rPr>
                <w:rFonts w:ascii="Times New Roman" w:hAnsi="Times New Roman" w:cs="Times New Roman"/>
                <w:szCs w:val="24"/>
              </w:rPr>
            </w:pPr>
            <w:r w:rsidRPr="00A85D2D">
              <w:rPr>
                <w:rFonts w:ascii="Times New Roman" w:hAnsi="Times New Roman" w:cs="Times New Roman"/>
                <w:szCs w:val="24"/>
              </w:rPr>
              <w:t>34.76</w:t>
            </w:r>
          </w:p>
        </w:tc>
        <w:tc>
          <w:tcPr>
            <w:tcW w:w="1790" w:type="dxa"/>
            <w:vAlign w:val="center"/>
            <w:hideMark/>
          </w:tcPr>
          <w:p w14:paraId="0D9E91A9" w14:textId="77777777" w:rsidR="00812C67" w:rsidRPr="00A85D2D" w:rsidRDefault="00812C67" w:rsidP="004B6753">
            <w:pPr>
              <w:pStyle w:val="NoSpacing"/>
              <w:jc w:val="center"/>
              <w:rPr>
                <w:rFonts w:ascii="Times New Roman" w:hAnsi="Times New Roman" w:cs="Times New Roman"/>
                <w:szCs w:val="24"/>
              </w:rPr>
            </w:pPr>
            <w:r w:rsidRPr="00A85D2D">
              <w:rPr>
                <w:rFonts w:ascii="Times New Roman" w:hAnsi="Times New Roman" w:cs="Times New Roman"/>
                <w:szCs w:val="24"/>
              </w:rPr>
              <w:t>5.78</w:t>
            </w:r>
          </w:p>
        </w:tc>
        <w:tc>
          <w:tcPr>
            <w:tcW w:w="916" w:type="dxa"/>
            <w:vAlign w:val="center"/>
            <w:hideMark/>
          </w:tcPr>
          <w:p w14:paraId="1746CA0D" w14:textId="77777777" w:rsidR="00812C67" w:rsidRPr="00A85D2D" w:rsidRDefault="00812C67" w:rsidP="004B6753">
            <w:pPr>
              <w:pStyle w:val="NoSpacing"/>
              <w:jc w:val="center"/>
              <w:rPr>
                <w:rFonts w:ascii="Times New Roman" w:hAnsi="Times New Roman" w:cs="Times New Roman"/>
                <w:szCs w:val="24"/>
              </w:rPr>
            </w:pPr>
            <w:r w:rsidRPr="00A85D2D">
              <w:rPr>
                <w:rFonts w:ascii="Times New Roman" w:hAnsi="Times New Roman" w:cs="Times New Roman"/>
                <w:szCs w:val="24"/>
              </w:rPr>
              <w:t>12.26</w:t>
            </w:r>
          </w:p>
        </w:tc>
        <w:tc>
          <w:tcPr>
            <w:tcW w:w="0" w:type="auto"/>
            <w:vAlign w:val="center"/>
            <w:hideMark/>
          </w:tcPr>
          <w:p w14:paraId="11C21D68" w14:textId="77777777" w:rsidR="00812C67" w:rsidRPr="00A85D2D" w:rsidRDefault="00812C67" w:rsidP="004B6753">
            <w:pPr>
              <w:pStyle w:val="NoSpacing"/>
              <w:jc w:val="center"/>
              <w:rPr>
                <w:rFonts w:ascii="Times New Roman" w:hAnsi="Times New Roman" w:cs="Times New Roman"/>
                <w:szCs w:val="24"/>
              </w:rPr>
            </w:pPr>
            <w:r w:rsidRPr="00A85D2D">
              <w:rPr>
                <w:rFonts w:ascii="Times New Roman" w:hAnsi="Times New Roman" w:cs="Times New Roman"/>
                <w:szCs w:val="24"/>
              </w:rPr>
              <w:t>5.96</w:t>
            </w:r>
          </w:p>
        </w:tc>
        <w:tc>
          <w:tcPr>
            <w:tcW w:w="0" w:type="auto"/>
            <w:vAlign w:val="center"/>
            <w:hideMark/>
          </w:tcPr>
          <w:p w14:paraId="5EEED999" w14:textId="77777777" w:rsidR="00812C67" w:rsidRPr="00A85D2D" w:rsidRDefault="00812C67" w:rsidP="004B6753">
            <w:pPr>
              <w:pStyle w:val="NoSpacing"/>
              <w:jc w:val="center"/>
              <w:rPr>
                <w:rFonts w:ascii="Times New Roman" w:hAnsi="Times New Roman" w:cs="Times New Roman"/>
                <w:szCs w:val="24"/>
              </w:rPr>
            </w:pPr>
            <w:r w:rsidRPr="00A85D2D">
              <w:rPr>
                <w:rFonts w:ascii="Times New Roman" w:hAnsi="Times New Roman" w:cs="Times New Roman"/>
                <w:szCs w:val="24"/>
              </w:rPr>
              <w:t>31.94</w:t>
            </w:r>
          </w:p>
        </w:tc>
        <w:tc>
          <w:tcPr>
            <w:tcW w:w="0" w:type="auto"/>
            <w:vAlign w:val="center"/>
            <w:hideMark/>
          </w:tcPr>
          <w:p w14:paraId="0C1EB2FA" w14:textId="77777777" w:rsidR="00812C67" w:rsidRPr="00A85D2D" w:rsidRDefault="00812C67" w:rsidP="004B6753">
            <w:pPr>
              <w:pStyle w:val="NoSpacing"/>
              <w:jc w:val="center"/>
              <w:rPr>
                <w:rFonts w:ascii="Times New Roman" w:hAnsi="Times New Roman" w:cs="Times New Roman"/>
                <w:szCs w:val="24"/>
              </w:rPr>
            </w:pPr>
            <w:r w:rsidRPr="00A85D2D">
              <w:rPr>
                <w:rFonts w:ascii="Times New Roman" w:hAnsi="Times New Roman" w:cs="Times New Roman"/>
                <w:szCs w:val="24"/>
              </w:rPr>
              <w:t>9.48</w:t>
            </w:r>
          </w:p>
        </w:tc>
        <w:tc>
          <w:tcPr>
            <w:tcW w:w="0" w:type="auto"/>
            <w:vAlign w:val="center"/>
            <w:hideMark/>
          </w:tcPr>
          <w:p w14:paraId="10C4E5FB" w14:textId="77777777" w:rsidR="00812C67" w:rsidRPr="00A85D2D" w:rsidRDefault="00812C67" w:rsidP="004B6753">
            <w:pPr>
              <w:pStyle w:val="NoSpacing"/>
              <w:jc w:val="center"/>
              <w:rPr>
                <w:rFonts w:ascii="Times New Roman" w:hAnsi="Times New Roman" w:cs="Times New Roman"/>
                <w:szCs w:val="24"/>
              </w:rPr>
            </w:pPr>
            <w:r w:rsidRPr="00A85D2D">
              <w:rPr>
                <w:rFonts w:ascii="Times New Roman" w:hAnsi="Times New Roman" w:cs="Times New Roman"/>
                <w:szCs w:val="24"/>
              </w:rPr>
              <w:t>4.47</w:t>
            </w:r>
          </w:p>
        </w:tc>
        <w:tc>
          <w:tcPr>
            <w:tcW w:w="1412" w:type="dxa"/>
            <w:vAlign w:val="center"/>
            <w:hideMark/>
          </w:tcPr>
          <w:p w14:paraId="6CB79AC2" w14:textId="77777777" w:rsidR="00812C67" w:rsidRPr="00A85D2D" w:rsidRDefault="00812C67" w:rsidP="004B6753">
            <w:pPr>
              <w:pStyle w:val="NoSpacing"/>
              <w:jc w:val="center"/>
              <w:rPr>
                <w:rFonts w:ascii="Times New Roman" w:hAnsi="Times New Roman" w:cs="Times New Roman"/>
                <w:szCs w:val="24"/>
              </w:rPr>
            </w:pPr>
            <w:r w:rsidRPr="00A85D2D">
              <w:rPr>
                <w:rFonts w:ascii="Times New Roman" w:hAnsi="Times New Roman" w:cs="Times New Roman"/>
                <w:szCs w:val="24"/>
              </w:rPr>
              <w:t>14.78</w:t>
            </w:r>
          </w:p>
        </w:tc>
        <w:tc>
          <w:tcPr>
            <w:tcW w:w="923" w:type="dxa"/>
            <w:vAlign w:val="center"/>
            <w:hideMark/>
          </w:tcPr>
          <w:p w14:paraId="5AB8F6BE" w14:textId="77777777" w:rsidR="00812C67" w:rsidRPr="00A85D2D" w:rsidRDefault="00812C67" w:rsidP="004B6753">
            <w:pPr>
              <w:pStyle w:val="NoSpacing"/>
              <w:jc w:val="center"/>
              <w:rPr>
                <w:rFonts w:ascii="Times New Roman" w:hAnsi="Times New Roman" w:cs="Times New Roman"/>
                <w:szCs w:val="24"/>
              </w:rPr>
            </w:pPr>
            <w:r w:rsidRPr="00A85D2D">
              <w:rPr>
                <w:rFonts w:ascii="Times New Roman" w:hAnsi="Times New Roman" w:cs="Times New Roman"/>
                <w:szCs w:val="24"/>
              </w:rPr>
              <w:t>44.71</w:t>
            </w:r>
          </w:p>
        </w:tc>
        <w:tc>
          <w:tcPr>
            <w:tcW w:w="1492" w:type="dxa"/>
            <w:vAlign w:val="center"/>
            <w:hideMark/>
          </w:tcPr>
          <w:p w14:paraId="04DEB104" w14:textId="77777777" w:rsidR="00812C67" w:rsidRPr="00A85D2D" w:rsidRDefault="00812C67" w:rsidP="004B6753">
            <w:pPr>
              <w:pStyle w:val="NoSpacing"/>
              <w:jc w:val="center"/>
              <w:rPr>
                <w:rFonts w:ascii="Times New Roman" w:hAnsi="Times New Roman" w:cs="Times New Roman"/>
                <w:szCs w:val="24"/>
              </w:rPr>
            </w:pPr>
            <w:r w:rsidRPr="00A85D2D">
              <w:rPr>
                <w:rFonts w:ascii="Times New Roman" w:hAnsi="Times New Roman" w:cs="Times New Roman"/>
                <w:szCs w:val="24"/>
              </w:rPr>
              <w:t>171.24</w:t>
            </w:r>
          </w:p>
        </w:tc>
      </w:tr>
      <w:tr w:rsidR="00812C67" w:rsidRPr="00A85D2D" w14:paraId="7CAE7AFE" w14:textId="77777777" w:rsidTr="004B6753">
        <w:tc>
          <w:tcPr>
            <w:tcW w:w="1405" w:type="dxa"/>
            <w:vMerge/>
            <w:hideMark/>
          </w:tcPr>
          <w:p w14:paraId="33B0672D" w14:textId="77777777" w:rsidR="00812C67" w:rsidRPr="00A85D2D" w:rsidRDefault="00812C67" w:rsidP="005D7DD5">
            <w:pPr>
              <w:pStyle w:val="NoSpacing"/>
              <w:rPr>
                <w:rFonts w:ascii="Times New Roman" w:hAnsi="Times New Roman" w:cs="Times New Roman"/>
                <w:szCs w:val="24"/>
              </w:rPr>
            </w:pPr>
          </w:p>
        </w:tc>
        <w:tc>
          <w:tcPr>
            <w:tcW w:w="0" w:type="auto"/>
            <w:vAlign w:val="center"/>
            <w:hideMark/>
          </w:tcPr>
          <w:p w14:paraId="1172F866" w14:textId="77777777" w:rsidR="00812C67" w:rsidRPr="00A85D2D" w:rsidRDefault="00812C67" w:rsidP="004B6753">
            <w:pPr>
              <w:pStyle w:val="NoSpacing"/>
              <w:jc w:val="center"/>
              <w:rPr>
                <w:rFonts w:ascii="Times New Roman" w:hAnsi="Times New Roman" w:cs="Times New Roman"/>
                <w:szCs w:val="24"/>
              </w:rPr>
            </w:pPr>
            <w:r w:rsidRPr="00A85D2D">
              <w:rPr>
                <w:rFonts w:ascii="Times New Roman" w:hAnsi="Times New Roman" w:cs="Times New Roman"/>
                <w:szCs w:val="24"/>
              </w:rPr>
              <w:t>(4.15)</w:t>
            </w:r>
          </w:p>
        </w:tc>
        <w:tc>
          <w:tcPr>
            <w:tcW w:w="0" w:type="auto"/>
            <w:vAlign w:val="center"/>
            <w:hideMark/>
          </w:tcPr>
          <w:p w14:paraId="02B02CBD" w14:textId="77777777" w:rsidR="00812C67" w:rsidRPr="00A85D2D" w:rsidRDefault="00812C67" w:rsidP="004B6753">
            <w:pPr>
              <w:pStyle w:val="NoSpacing"/>
              <w:jc w:val="center"/>
              <w:rPr>
                <w:rFonts w:ascii="Times New Roman" w:hAnsi="Times New Roman" w:cs="Times New Roman"/>
                <w:szCs w:val="24"/>
              </w:rPr>
            </w:pPr>
            <w:r w:rsidRPr="00A85D2D">
              <w:rPr>
                <w:rFonts w:ascii="Times New Roman" w:hAnsi="Times New Roman" w:cs="Times New Roman"/>
                <w:szCs w:val="24"/>
              </w:rPr>
              <w:t>(20.30)</w:t>
            </w:r>
          </w:p>
        </w:tc>
        <w:tc>
          <w:tcPr>
            <w:tcW w:w="1790" w:type="dxa"/>
            <w:vAlign w:val="center"/>
            <w:hideMark/>
          </w:tcPr>
          <w:p w14:paraId="3BB0ED4E" w14:textId="77777777" w:rsidR="00812C67" w:rsidRPr="00A85D2D" w:rsidRDefault="00812C67" w:rsidP="004B6753">
            <w:pPr>
              <w:pStyle w:val="NoSpacing"/>
              <w:jc w:val="center"/>
              <w:rPr>
                <w:rFonts w:ascii="Times New Roman" w:hAnsi="Times New Roman" w:cs="Times New Roman"/>
                <w:szCs w:val="24"/>
              </w:rPr>
            </w:pPr>
            <w:r w:rsidRPr="00A85D2D">
              <w:rPr>
                <w:rFonts w:ascii="Times New Roman" w:hAnsi="Times New Roman" w:cs="Times New Roman"/>
                <w:szCs w:val="24"/>
              </w:rPr>
              <w:t>(3.37)</w:t>
            </w:r>
          </w:p>
        </w:tc>
        <w:tc>
          <w:tcPr>
            <w:tcW w:w="916" w:type="dxa"/>
            <w:vAlign w:val="center"/>
            <w:hideMark/>
          </w:tcPr>
          <w:p w14:paraId="0D8CAE58" w14:textId="77777777" w:rsidR="00812C67" w:rsidRPr="00A85D2D" w:rsidRDefault="00812C67" w:rsidP="004B6753">
            <w:pPr>
              <w:pStyle w:val="NoSpacing"/>
              <w:jc w:val="center"/>
              <w:rPr>
                <w:rFonts w:ascii="Times New Roman" w:hAnsi="Times New Roman" w:cs="Times New Roman"/>
                <w:szCs w:val="24"/>
              </w:rPr>
            </w:pPr>
            <w:r w:rsidRPr="00A85D2D">
              <w:rPr>
                <w:rFonts w:ascii="Times New Roman" w:hAnsi="Times New Roman" w:cs="Times New Roman"/>
                <w:szCs w:val="24"/>
              </w:rPr>
              <w:t>(7.16)</w:t>
            </w:r>
          </w:p>
        </w:tc>
        <w:tc>
          <w:tcPr>
            <w:tcW w:w="0" w:type="auto"/>
            <w:vAlign w:val="center"/>
            <w:hideMark/>
          </w:tcPr>
          <w:p w14:paraId="69092AC0" w14:textId="77777777" w:rsidR="00812C67" w:rsidRPr="00A85D2D" w:rsidRDefault="00812C67" w:rsidP="004B6753">
            <w:pPr>
              <w:pStyle w:val="NoSpacing"/>
              <w:jc w:val="center"/>
              <w:rPr>
                <w:rFonts w:ascii="Times New Roman" w:hAnsi="Times New Roman" w:cs="Times New Roman"/>
                <w:szCs w:val="24"/>
              </w:rPr>
            </w:pPr>
            <w:r w:rsidRPr="00A85D2D">
              <w:rPr>
                <w:rFonts w:ascii="Times New Roman" w:hAnsi="Times New Roman" w:cs="Times New Roman"/>
                <w:szCs w:val="24"/>
              </w:rPr>
              <w:t>(3.48)</w:t>
            </w:r>
          </w:p>
        </w:tc>
        <w:tc>
          <w:tcPr>
            <w:tcW w:w="0" w:type="auto"/>
            <w:vAlign w:val="center"/>
            <w:hideMark/>
          </w:tcPr>
          <w:p w14:paraId="1FB9FE37" w14:textId="77777777" w:rsidR="00812C67" w:rsidRPr="00A85D2D" w:rsidRDefault="00812C67" w:rsidP="004B6753">
            <w:pPr>
              <w:pStyle w:val="NoSpacing"/>
              <w:jc w:val="center"/>
              <w:rPr>
                <w:rFonts w:ascii="Times New Roman" w:hAnsi="Times New Roman" w:cs="Times New Roman"/>
                <w:szCs w:val="24"/>
              </w:rPr>
            </w:pPr>
            <w:r w:rsidRPr="00A85D2D">
              <w:rPr>
                <w:rFonts w:ascii="Times New Roman" w:hAnsi="Times New Roman" w:cs="Times New Roman"/>
                <w:szCs w:val="24"/>
              </w:rPr>
              <w:t>(18.65)</w:t>
            </w:r>
          </w:p>
        </w:tc>
        <w:tc>
          <w:tcPr>
            <w:tcW w:w="0" w:type="auto"/>
            <w:vAlign w:val="center"/>
            <w:hideMark/>
          </w:tcPr>
          <w:p w14:paraId="3D5A3E20" w14:textId="77777777" w:rsidR="00812C67" w:rsidRPr="00A85D2D" w:rsidRDefault="00812C67" w:rsidP="004B6753">
            <w:pPr>
              <w:pStyle w:val="NoSpacing"/>
              <w:jc w:val="center"/>
              <w:rPr>
                <w:rFonts w:ascii="Times New Roman" w:hAnsi="Times New Roman" w:cs="Times New Roman"/>
                <w:szCs w:val="24"/>
              </w:rPr>
            </w:pPr>
            <w:r w:rsidRPr="00A85D2D">
              <w:rPr>
                <w:rFonts w:ascii="Times New Roman" w:hAnsi="Times New Roman" w:cs="Times New Roman"/>
                <w:szCs w:val="24"/>
              </w:rPr>
              <w:t>(5.54)</w:t>
            </w:r>
          </w:p>
        </w:tc>
        <w:tc>
          <w:tcPr>
            <w:tcW w:w="0" w:type="auto"/>
            <w:vAlign w:val="center"/>
            <w:hideMark/>
          </w:tcPr>
          <w:p w14:paraId="4A0E29AA" w14:textId="77777777" w:rsidR="00812C67" w:rsidRPr="00A85D2D" w:rsidRDefault="00812C67" w:rsidP="004B6753">
            <w:pPr>
              <w:pStyle w:val="NoSpacing"/>
              <w:jc w:val="center"/>
              <w:rPr>
                <w:rFonts w:ascii="Times New Roman" w:hAnsi="Times New Roman" w:cs="Times New Roman"/>
                <w:szCs w:val="24"/>
              </w:rPr>
            </w:pPr>
            <w:r w:rsidRPr="00A85D2D">
              <w:rPr>
                <w:rFonts w:ascii="Times New Roman" w:hAnsi="Times New Roman" w:cs="Times New Roman"/>
                <w:szCs w:val="24"/>
              </w:rPr>
              <w:t>(2.61)</w:t>
            </w:r>
          </w:p>
        </w:tc>
        <w:tc>
          <w:tcPr>
            <w:tcW w:w="1412" w:type="dxa"/>
            <w:vAlign w:val="center"/>
            <w:hideMark/>
          </w:tcPr>
          <w:p w14:paraId="1C614902" w14:textId="77777777" w:rsidR="00812C67" w:rsidRPr="00A85D2D" w:rsidRDefault="00812C67" w:rsidP="004B6753">
            <w:pPr>
              <w:pStyle w:val="NoSpacing"/>
              <w:jc w:val="center"/>
              <w:rPr>
                <w:rFonts w:ascii="Times New Roman" w:hAnsi="Times New Roman" w:cs="Times New Roman"/>
                <w:szCs w:val="24"/>
              </w:rPr>
            </w:pPr>
            <w:r w:rsidRPr="00A85D2D">
              <w:rPr>
                <w:rFonts w:ascii="Times New Roman" w:hAnsi="Times New Roman" w:cs="Times New Roman"/>
                <w:szCs w:val="24"/>
              </w:rPr>
              <w:t>(8.63)</w:t>
            </w:r>
          </w:p>
        </w:tc>
        <w:tc>
          <w:tcPr>
            <w:tcW w:w="923" w:type="dxa"/>
            <w:vAlign w:val="center"/>
            <w:hideMark/>
          </w:tcPr>
          <w:p w14:paraId="5B3A9AEE" w14:textId="77777777" w:rsidR="00812C67" w:rsidRPr="00A85D2D" w:rsidRDefault="00812C67" w:rsidP="004B6753">
            <w:pPr>
              <w:pStyle w:val="NoSpacing"/>
              <w:jc w:val="center"/>
              <w:rPr>
                <w:rFonts w:ascii="Times New Roman" w:hAnsi="Times New Roman" w:cs="Times New Roman"/>
                <w:szCs w:val="24"/>
              </w:rPr>
            </w:pPr>
            <w:r w:rsidRPr="00A85D2D">
              <w:rPr>
                <w:rFonts w:ascii="Times New Roman" w:hAnsi="Times New Roman" w:cs="Times New Roman"/>
                <w:szCs w:val="24"/>
              </w:rPr>
              <w:t>(26.11)</w:t>
            </w:r>
          </w:p>
        </w:tc>
        <w:tc>
          <w:tcPr>
            <w:tcW w:w="1492" w:type="dxa"/>
            <w:vAlign w:val="center"/>
            <w:hideMark/>
          </w:tcPr>
          <w:p w14:paraId="7256880E" w14:textId="77777777" w:rsidR="00812C67" w:rsidRPr="00A85D2D" w:rsidRDefault="00812C67" w:rsidP="004B6753">
            <w:pPr>
              <w:pStyle w:val="NoSpacing"/>
              <w:jc w:val="center"/>
              <w:rPr>
                <w:rFonts w:ascii="Times New Roman" w:hAnsi="Times New Roman" w:cs="Times New Roman"/>
                <w:szCs w:val="24"/>
              </w:rPr>
            </w:pPr>
            <w:r w:rsidRPr="00A85D2D">
              <w:rPr>
                <w:rFonts w:ascii="Times New Roman" w:hAnsi="Times New Roman" w:cs="Times New Roman"/>
                <w:szCs w:val="24"/>
              </w:rPr>
              <w:t>(100.00)</w:t>
            </w:r>
          </w:p>
        </w:tc>
      </w:tr>
    </w:tbl>
    <w:p w14:paraId="5AD4D7C8" w14:textId="29C3DF50" w:rsidR="00416FA8" w:rsidRPr="007245B0" w:rsidRDefault="00574BCE" w:rsidP="00A85D2D">
      <w:pPr>
        <w:tabs>
          <w:tab w:val="left" w:pos="1624"/>
        </w:tabs>
        <w:jc w:val="center"/>
        <w:rPr>
          <w:rFonts w:ascii="Times New Roman" w:hAnsi="Times New Roman" w:cs="Times New Roman"/>
          <w:i/>
          <w:iCs/>
          <w:szCs w:val="24"/>
        </w:rPr>
      </w:pPr>
      <w:r>
        <w:rPr>
          <w:rFonts w:ascii="Times New Roman" w:hAnsi="Times New Roman" w:cs="Times New Roman"/>
          <w:b/>
          <w:bCs/>
          <w:szCs w:val="24"/>
        </w:rPr>
        <w:lastRenderedPageBreak/>
        <w:t>Table</w:t>
      </w:r>
      <w:r w:rsidR="00416FA8" w:rsidRPr="007245B0">
        <w:rPr>
          <w:rFonts w:ascii="Times New Roman" w:hAnsi="Times New Roman" w:cs="Times New Roman"/>
          <w:b/>
          <w:bCs/>
          <w:szCs w:val="24"/>
        </w:rPr>
        <w:t xml:space="preserve"> 29: Growth and Pattern of States' Revenue Expenditure—contd.</w:t>
      </w:r>
      <w:r w:rsidR="00416FA8" w:rsidRPr="007245B0">
        <w:rPr>
          <w:rFonts w:ascii="Times New Roman" w:hAnsi="Times New Roman" w:cs="Times New Roman"/>
          <w:szCs w:val="24"/>
        </w:rPr>
        <w:br/>
      </w:r>
      <w:r w:rsidR="00416FA8" w:rsidRPr="007245B0">
        <w:rPr>
          <w:rFonts w:ascii="Times New Roman" w:hAnsi="Times New Roman" w:cs="Times New Roman"/>
          <w:i/>
          <w:iCs/>
          <w:szCs w:val="24"/>
        </w:rPr>
        <w:t>(Rs. crores)</w:t>
      </w:r>
    </w:p>
    <w:tbl>
      <w:tblPr>
        <w:tblStyle w:val="TableGrid"/>
        <w:tblpPr w:leftFromText="180" w:rightFromText="180" w:vertAnchor="text" w:horzAnchor="margin" w:tblpX="-714" w:tblpY="-18"/>
        <w:tblW w:w="14112" w:type="dxa"/>
        <w:tblLook w:val="04A0" w:firstRow="1" w:lastRow="0" w:firstColumn="1" w:lastColumn="0" w:noHBand="0" w:noVBand="1"/>
      </w:tblPr>
      <w:tblGrid>
        <w:gridCol w:w="1376"/>
        <w:gridCol w:w="1256"/>
        <w:gridCol w:w="1056"/>
        <w:gridCol w:w="1790"/>
        <w:gridCol w:w="916"/>
        <w:gridCol w:w="923"/>
        <w:gridCol w:w="1270"/>
        <w:gridCol w:w="1043"/>
        <w:gridCol w:w="910"/>
        <w:gridCol w:w="1412"/>
        <w:gridCol w:w="923"/>
        <w:gridCol w:w="1492"/>
      </w:tblGrid>
      <w:tr w:rsidR="004B6753" w:rsidRPr="004B6753" w14:paraId="3D9EC6BD" w14:textId="77777777" w:rsidTr="004B6753">
        <w:trPr>
          <w:trHeight w:val="20"/>
        </w:trPr>
        <w:tc>
          <w:tcPr>
            <w:tcW w:w="1995" w:type="dxa"/>
            <w:vAlign w:val="center"/>
            <w:hideMark/>
          </w:tcPr>
          <w:p w14:paraId="326707B9" w14:textId="77777777" w:rsidR="004B6753" w:rsidRPr="004B6753" w:rsidRDefault="004B6753" w:rsidP="004B6753">
            <w:pPr>
              <w:pStyle w:val="NoSpacing"/>
              <w:jc w:val="center"/>
              <w:rPr>
                <w:rFonts w:ascii="Times New Roman" w:hAnsi="Times New Roman" w:cs="Times New Roman"/>
                <w:b/>
                <w:bCs/>
                <w:szCs w:val="24"/>
              </w:rPr>
            </w:pPr>
            <w:r w:rsidRPr="004B6753">
              <w:rPr>
                <w:rFonts w:ascii="Times New Roman" w:hAnsi="Times New Roman" w:cs="Times New Roman"/>
                <w:b/>
                <w:bCs/>
                <w:szCs w:val="24"/>
              </w:rPr>
              <w:t>States/Year</w:t>
            </w:r>
          </w:p>
        </w:tc>
        <w:tc>
          <w:tcPr>
            <w:tcW w:w="0" w:type="auto"/>
            <w:gridSpan w:val="5"/>
            <w:vAlign w:val="center"/>
            <w:hideMark/>
          </w:tcPr>
          <w:p w14:paraId="35A0058C" w14:textId="77777777" w:rsidR="004B6753" w:rsidRPr="004B6753" w:rsidRDefault="004B6753" w:rsidP="004B6753">
            <w:pPr>
              <w:pStyle w:val="NoSpacing"/>
              <w:jc w:val="center"/>
              <w:rPr>
                <w:rFonts w:ascii="Times New Roman" w:hAnsi="Times New Roman" w:cs="Times New Roman"/>
                <w:b/>
                <w:bCs/>
                <w:szCs w:val="24"/>
              </w:rPr>
            </w:pPr>
            <w:r w:rsidRPr="004B6753">
              <w:rPr>
                <w:rFonts w:ascii="Times New Roman" w:hAnsi="Times New Roman" w:cs="Times New Roman"/>
                <w:b/>
                <w:bCs/>
                <w:szCs w:val="24"/>
              </w:rPr>
              <w:t>Non-Developmental</w:t>
            </w:r>
          </w:p>
        </w:tc>
        <w:tc>
          <w:tcPr>
            <w:tcW w:w="0" w:type="auto"/>
            <w:gridSpan w:val="5"/>
            <w:vAlign w:val="center"/>
            <w:hideMark/>
          </w:tcPr>
          <w:p w14:paraId="1633FF95" w14:textId="126053C6" w:rsidR="004B6753" w:rsidRPr="004B6753" w:rsidRDefault="004B6753" w:rsidP="004B6753">
            <w:pPr>
              <w:pStyle w:val="NoSpacing"/>
              <w:jc w:val="center"/>
              <w:rPr>
                <w:rFonts w:ascii="Times New Roman" w:hAnsi="Times New Roman" w:cs="Times New Roman"/>
                <w:b/>
                <w:bCs/>
                <w:szCs w:val="24"/>
              </w:rPr>
            </w:pPr>
            <w:r w:rsidRPr="004B6753">
              <w:rPr>
                <w:rFonts w:ascii="Times New Roman" w:hAnsi="Times New Roman" w:cs="Times New Roman"/>
                <w:b/>
                <w:bCs/>
                <w:szCs w:val="24"/>
              </w:rPr>
              <w:t>Developmental</w:t>
            </w:r>
          </w:p>
        </w:tc>
        <w:tc>
          <w:tcPr>
            <w:tcW w:w="0" w:type="auto"/>
            <w:vMerge w:val="restart"/>
            <w:vAlign w:val="center"/>
            <w:hideMark/>
          </w:tcPr>
          <w:p w14:paraId="63E0AECC" w14:textId="77777777" w:rsidR="004B6753" w:rsidRPr="004B6753" w:rsidRDefault="004B6753" w:rsidP="004B6753">
            <w:pPr>
              <w:pStyle w:val="NoSpacing"/>
              <w:jc w:val="center"/>
              <w:rPr>
                <w:rFonts w:ascii="Times New Roman" w:hAnsi="Times New Roman" w:cs="Times New Roman"/>
                <w:b/>
                <w:bCs/>
                <w:szCs w:val="24"/>
              </w:rPr>
            </w:pPr>
            <w:r w:rsidRPr="004B6753">
              <w:rPr>
                <w:rFonts w:ascii="Times New Roman" w:hAnsi="Times New Roman" w:cs="Times New Roman"/>
                <w:b/>
                <w:bCs/>
                <w:szCs w:val="24"/>
              </w:rPr>
              <w:t>Total Revenue Expenditure</w:t>
            </w:r>
          </w:p>
        </w:tc>
      </w:tr>
      <w:tr w:rsidR="00812C67" w:rsidRPr="004B6753" w14:paraId="551877C4" w14:textId="77777777" w:rsidTr="004B6753">
        <w:trPr>
          <w:trHeight w:val="20"/>
        </w:trPr>
        <w:tc>
          <w:tcPr>
            <w:tcW w:w="1995" w:type="dxa"/>
            <w:vAlign w:val="center"/>
            <w:hideMark/>
          </w:tcPr>
          <w:p w14:paraId="0F3B1974" w14:textId="77777777" w:rsidR="00812C67" w:rsidRPr="004B6753" w:rsidRDefault="00812C67" w:rsidP="004B6753">
            <w:pPr>
              <w:pStyle w:val="NoSpacing"/>
              <w:jc w:val="center"/>
              <w:rPr>
                <w:rFonts w:ascii="Times New Roman" w:hAnsi="Times New Roman" w:cs="Times New Roman"/>
                <w:b/>
                <w:bCs/>
                <w:szCs w:val="24"/>
              </w:rPr>
            </w:pPr>
          </w:p>
        </w:tc>
        <w:tc>
          <w:tcPr>
            <w:tcW w:w="0" w:type="auto"/>
            <w:vAlign w:val="center"/>
            <w:hideMark/>
          </w:tcPr>
          <w:p w14:paraId="694C33FB" w14:textId="77777777" w:rsidR="00812C67" w:rsidRPr="004B6753" w:rsidRDefault="00812C67" w:rsidP="004B6753">
            <w:pPr>
              <w:pStyle w:val="NoSpacing"/>
              <w:jc w:val="center"/>
              <w:rPr>
                <w:rFonts w:ascii="Times New Roman" w:hAnsi="Times New Roman" w:cs="Times New Roman"/>
                <w:b/>
                <w:bCs/>
                <w:szCs w:val="24"/>
              </w:rPr>
            </w:pPr>
            <w:r w:rsidRPr="004B6753">
              <w:rPr>
                <w:rFonts w:ascii="Times New Roman" w:hAnsi="Times New Roman" w:cs="Times New Roman"/>
                <w:b/>
                <w:bCs/>
                <w:szCs w:val="24"/>
              </w:rPr>
              <w:t>Tax Collection Charges</w:t>
            </w:r>
          </w:p>
        </w:tc>
        <w:tc>
          <w:tcPr>
            <w:tcW w:w="0" w:type="auto"/>
            <w:vAlign w:val="center"/>
            <w:hideMark/>
          </w:tcPr>
          <w:p w14:paraId="2B7310E8" w14:textId="77777777" w:rsidR="00812C67" w:rsidRPr="004B6753" w:rsidRDefault="00812C67" w:rsidP="004B6753">
            <w:pPr>
              <w:pStyle w:val="NoSpacing"/>
              <w:jc w:val="center"/>
              <w:rPr>
                <w:rFonts w:ascii="Times New Roman" w:hAnsi="Times New Roman" w:cs="Times New Roman"/>
                <w:b/>
                <w:bCs/>
                <w:szCs w:val="24"/>
              </w:rPr>
            </w:pPr>
            <w:r w:rsidRPr="004B6753">
              <w:rPr>
                <w:rFonts w:ascii="Times New Roman" w:hAnsi="Times New Roman" w:cs="Times New Roman"/>
                <w:b/>
                <w:bCs/>
                <w:szCs w:val="24"/>
              </w:rPr>
              <w:t>Debt Services</w:t>
            </w:r>
          </w:p>
        </w:tc>
        <w:tc>
          <w:tcPr>
            <w:tcW w:w="0" w:type="auto"/>
            <w:vAlign w:val="center"/>
            <w:hideMark/>
          </w:tcPr>
          <w:p w14:paraId="785C5D42" w14:textId="77777777" w:rsidR="00812C67" w:rsidRPr="004B6753" w:rsidRDefault="00812C67" w:rsidP="004B6753">
            <w:pPr>
              <w:pStyle w:val="NoSpacing"/>
              <w:jc w:val="center"/>
              <w:rPr>
                <w:rFonts w:ascii="Times New Roman" w:hAnsi="Times New Roman" w:cs="Times New Roman"/>
                <w:b/>
                <w:bCs/>
                <w:szCs w:val="24"/>
              </w:rPr>
            </w:pPr>
            <w:r w:rsidRPr="004B6753">
              <w:rPr>
                <w:rFonts w:ascii="Times New Roman" w:hAnsi="Times New Roman" w:cs="Times New Roman"/>
                <w:b/>
                <w:bCs/>
                <w:szCs w:val="24"/>
              </w:rPr>
              <w:t>General Administration</w:t>
            </w:r>
          </w:p>
        </w:tc>
        <w:tc>
          <w:tcPr>
            <w:tcW w:w="0" w:type="auto"/>
            <w:vAlign w:val="center"/>
            <w:hideMark/>
          </w:tcPr>
          <w:p w14:paraId="0A72AA09" w14:textId="77777777" w:rsidR="00812C67" w:rsidRPr="004B6753" w:rsidRDefault="00812C67" w:rsidP="004B6753">
            <w:pPr>
              <w:pStyle w:val="NoSpacing"/>
              <w:jc w:val="center"/>
              <w:rPr>
                <w:rFonts w:ascii="Times New Roman" w:hAnsi="Times New Roman" w:cs="Times New Roman"/>
                <w:b/>
                <w:bCs/>
                <w:szCs w:val="24"/>
              </w:rPr>
            </w:pPr>
            <w:r w:rsidRPr="004B6753">
              <w:rPr>
                <w:rFonts w:ascii="Times New Roman" w:hAnsi="Times New Roman" w:cs="Times New Roman"/>
                <w:b/>
                <w:bCs/>
                <w:szCs w:val="24"/>
              </w:rPr>
              <w:t>Police</w:t>
            </w:r>
          </w:p>
        </w:tc>
        <w:tc>
          <w:tcPr>
            <w:tcW w:w="0" w:type="auto"/>
            <w:vAlign w:val="center"/>
            <w:hideMark/>
          </w:tcPr>
          <w:p w14:paraId="6BF1D4E3" w14:textId="77777777" w:rsidR="00812C67" w:rsidRPr="004B6753" w:rsidRDefault="00812C67" w:rsidP="004B6753">
            <w:pPr>
              <w:pStyle w:val="NoSpacing"/>
              <w:jc w:val="center"/>
              <w:rPr>
                <w:rFonts w:ascii="Times New Roman" w:hAnsi="Times New Roman" w:cs="Times New Roman"/>
                <w:b/>
                <w:bCs/>
                <w:szCs w:val="24"/>
              </w:rPr>
            </w:pPr>
            <w:r w:rsidRPr="004B6753">
              <w:rPr>
                <w:rFonts w:ascii="Times New Roman" w:hAnsi="Times New Roman" w:cs="Times New Roman"/>
                <w:b/>
                <w:bCs/>
                <w:szCs w:val="24"/>
              </w:rPr>
              <w:t>Others</w:t>
            </w:r>
          </w:p>
        </w:tc>
        <w:tc>
          <w:tcPr>
            <w:tcW w:w="0" w:type="auto"/>
            <w:vAlign w:val="center"/>
            <w:hideMark/>
          </w:tcPr>
          <w:p w14:paraId="3780FC74" w14:textId="77777777" w:rsidR="00812C67" w:rsidRPr="004B6753" w:rsidRDefault="00812C67" w:rsidP="004B6753">
            <w:pPr>
              <w:pStyle w:val="NoSpacing"/>
              <w:jc w:val="center"/>
              <w:rPr>
                <w:rFonts w:ascii="Times New Roman" w:hAnsi="Times New Roman" w:cs="Times New Roman"/>
                <w:b/>
                <w:bCs/>
                <w:szCs w:val="24"/>
              </w:rPr>
            </w:pPr>
            <w:r w:rsidRPr="004B6753">
              <w:rPr>
                <w:rFonts w:ascii="Times New Roman" w:hAnsi="Times New Roman" w:cs="Times New Roman"/>
                <w:b/>
                <w:bCs/>
                <w:szCs w:val="24"/>
              </w:rPr>
              <w:t>Education</w:t>
            </w:r>
          </w:p>
        </w:tc>
        <w:tc>
          <w:tcPr>
            <w:tcW w:w="0" w:type="auto"/>
            <w:vAlign w:val="center"/>
            <w:hideMark/>
          </w:tcPr>
          <w:p w14:paraId="6A61CEDF" w14:textId="77777777" w:rsidR="00812C67" w:rsidRPr="004B6753" w:rsidRDefault="00812C67" w:rsidP="004B6753">
            <w:pPr>
              <w:pStyle w:val="NoSpacing"/>
              <w:jc w:val="center"/>
              <w:rPr>
                <w:rFonts w:ascii="Times New Roman" w:hAnsi="Times New Roman" w:cs="Times New Roman"/>
                <w:b/>
                <w:bCs/>
                <w:szCs w:val="24"/>
              </w:rPr>
            </w:pPr>
            <w:r w:rsidRPr="004B6753">
              <w:rPr>
                <w:rFonts w:ascii="Times New Roman" w:hAnsi="Times New Roman" w:cs="Times New Roman"/>
                <w:b/>
                <w:bCs/>
                <w:szCs w:val="24"/>
              </w:rPr>
              <w:t>Medical</w:t>
            </w:r>
          </w:p>
        </w:tc>
        <w:tc>
          <w:tcPr>
            <w:tcW w:w="0" w:type="auto"/>
            <w:vAlign w:val="center"/>
            <w:hideMark/>
          </w:tcPr>
          <w:p w14:paraId="454A2DF5" w14:textId="77777777" w:rsidR="00812C67" w:rsidRPr="004B6753" w:rsidRDefault="00812C67" w:rsidP="004B6753">
            <w:pPr>
              <w:pStyle w:val="NoSpacing"/>
              <w:jc w:val="center"/>
              <w:rPr>
                <w:rFonts w:ascii="Times New Roman" w:hAnsi="Times New Roman" w:cs="Times New Roman"/>
                <w:b/>
                <w:bCs/>
                <w:szCs w:val="24"/>
              </w:rPr>
            </w:pPr>
            <w:r w:rsidRPr="004B6753">
              <w:rPr>
                <w:rFonts w:ascii="Times New Roman" w:hAnsi="Times New Roman" w:cs="Times New Roman"/>
                <w:b/>
                <w:bCs/>
                <w:szCs w:val="24"/>
              </w:rPr>
              <w:t>Public Health</w:t>
            </w:r>
          </w:p>
        </w:tc>
        <w:tc>
          <w:tcPr>
            <w:tcW w:w="0" w:type="auto"/>
            <w:vAlign w:val="center"/>
            <w:hideMark/>
          </w:tcPr>
          <w:p w14:paraId="49D1EDE4" w14:textId="77777777" w:rsidR="00812C67" w:rsidRPr="004B6753" w:rsidRDefault="00812C67" w:rsidP="004B6753">
            <w:pPr>
              <w:pStyle w:val="NoSpacing"/>
              <w:jc w:val="center"/>
              <w:rPr>
                <w:rFonts w:ascii="Times New Roman" w:hAnsi="Times New Roman" w:cs="Times New Roman"/>
                <w:b/>
                <w:bCs/>
                <w:szCs w:val="24"/>
              </w:rPr>
            </w:pPr>
            <w:r w:rsidRPr="004B6753">
              <w:rPr>
                <w:rFonts w:ascii="Times New Roman" w:hAnsi="Times New Roman" w:cs="Times New Roman"/>
                <w:b/>
                <w:bCs/>
                <w:szCs w:val="24"/>
              </w:rPr>
              <w:t>Agriculture &amp; Animal Husbandry</w:t>
            </w:r>
          </w:p>
        </w:tc>
        <w:tc>
          <w:tcPr>
            <w:tcW w:w="0" w:type="auto"/>
            <w:vAlign w:val="center"/>
            <w:hideMark/>
          </w:tcPr>
          <w:p w14:paraId="15A00E29" w14:textId="77777777" w:rsidR="00812C67" w:rsidRPr="004B6753" w:rsidRDefault="00812C67" w:rsidP="004B6753">
            <w:pPr>
              <w:pStyle w:val="NoSpacing"/>
              <w:jc w:val="center"/>
              <w:rPr>
                <w:rFonts w:ascii="Times New Roman" w:hAnsi="Times New Roman" w:cs="Times New Roman"/>
                <w:b/>
                <w:bCs/>
                <w:szCs w:val="24"/>
              </w:rPr>
            </w:pPr>
            <w:r w:rsidRPr="004B6753">
              <w:rPr>
                <w:rFonts w:ascii="Times New Roman" w:hAnsi="Times New Roman" w:cs="Times New Roman"/>
                <w:b/>
                <w:bCs/>
                <w:szCs w:val="24"/>
              </w:rPr>
              <w:t>Others</w:t>
            </w:r>
          </w:p>
        </w:tc>
        <w:tc>
          <w:tcPr>
            <w:tcW w:w="0" w:type="auto"/>
            <w:vMerge/>
            <w:vAlign w:val="center"/>
            <w:hideMark/>
          </w:tcPr>
          <w:p w14:paraId="384BF590" w14:textId="77777777" w:rsidR="00812C67" w:rsidRPr="004B6753" w:rsidRDefault="00812C67" w:rsidP="004B6753">
            <w:pPr>
              <w:pStyle w:val="NoSpacing"/>
              <w:jc w:val="center"/>
              <w:rPr>
                <w:rFonts w:ascii="Times New Roman" w:hAnsi="Times New Roman" w:cs="Times New Roman"/>
                <w:b/>
                <w:bCs/>
                <w:szCs w:val="24"/>
              </w:rPr>
            </w:pPr>
          </w:p>
        </w:tc>
      </w:tr>
      <w:tr w:rsidR="00416FA8" w:rsidRPr="004B6753" w14:paraId="75CAF561" w14:textId="77777777" w:rsidTr="004B6753">
        <w:trPr>
          <w:trHeight w:val="20"/>
        </w:trPr>
        <w:tc>
          <w:tcPr>
            <w:tcW w:w="1995" w:type="dxa"/>
            <w:vAlign w:val="center"/>
            <w:hideMark/>
          </w:tcPr>
          <w:p w14:paraId="26B78DF8" w14:textId="77777777" w:rsidR="00416FA8" w:rsidRPr="004B6753" w:rsidRDefault="00416FA8" w:rsidP="004B6753">
            <w:pPr>
              <w:pStyle w:val="NoSpacing"/>
              <w:jc w:val="center"/>
              <w:rPr>
                <w:rFonts w:ascii="Times New Roman" w:hAnsi="Times New Roman" w:cs="Times New Roman"/>
                <w:b/>
                <w:bCs/>
                <w:szCs w:val="24"/>
              </w:rPr>
            </w:pPr>
            <w:r w:rsidRPr="004B6753">
              <w:rPr>
                <w:rFonts w:ascii="Times New Roman" w:hAnsi="Times New Roman" w:cs="Times New Roman"/>
                <w:b/>
                <w:bCs/>
                <w:szCs w:val="24"/>
              </w:rPr>
              <w:t>I</w:t>
            </w:r>
          </w:p>
        </w:tc>
        <w:tc>
          <w:tcPr>
            <w:tcW w:w="0" w:type="auto"/>
            <w:vAlign w:val="center"/>
            <w:hideMark/>
          </w:tcPr>
          <w:p w14:paraId="6ACE2EEB" w14:textId="77777777" w:rsidR="00416FA8" w:rsidRPr="004B6753" w:rsidRDefault="00416FA8" w:rsidP="004B6753">
            <w:pPr>
              <w:pStyle w:val="NoSpacing"/>
              <w:jc w:val="center"/>
              <w:rPr>
                <w:rFonts w:ascii="Times New Roman" w:hAnsi="Times New Roman" w:cs="Times New Roman"/>
                <w:b/>
                <w:bCs/>
                <w:szCs w:val="24"/>
              </w:rPr>
            </w:pPr>
            <w:r w:rsidRPr="004B6753">
              <w:rPr>
                <w:rFonts w:ascii="Times New Roman" w:hAnsi="Times New Roman" w:cs="Times New Roman"/>
                <w:b/>
                <w:bCs/>
                <w:szCs w:val="24"/>
              </w:rPr>
              <w:t>2</w:t>
            </w:r>
          </w:p>
        </w:tc>
        <w:tc>
          <w:tcPr>
            <w:tcW w:w="0" w:type="auto"/>
            <w:vAlign w:val="center"/>
            <w:hideMark/>
          </w:tcPr>
          <w:p w14:paraId="02EAE6AF" w14:textId="77777777" w:rsidR="00416FA8" w:rsidRPr="004B6753" w:rsidRDefault="00416FA8" w:rsidP="004B6753">
            <w:pPr>
              <w:pStyle w:val="NoSpacing"/>
              <w:jc w:val="center"/>
              <w:rPr>
                <w:rFonts w:ascii="Times New Roman" w:hAnsi="Times New Roman" w:cs="Times New Roman"/>
                <w:b/>
                <w:bCs/>
                <w:szCs w:val="24"/>
              </w:rPr>
            </w:pPr>
            <w:r w:rsidRPr="004B6753">
              <w:rPr>
                <w:rFonts w:ascii="Times New Roman" w:hAnsi="Times New Roman" w:cs="Times New Roman"/>
                <w:b/>
                <w:bCs/>
                <w:szCs w:val="24"/>
              </w:rPr>
              <w:t>3</w:t>
            </w:r>
          </w:p>
        </w:tc>
        <w:tc>
          <w:tcPr>
            <w:tcW w:w="0" w:type="auto"/>
            <w:vAlign w:val="center"/>
            <w:hideMark/>
          </w:tcPr>
          <w:p w14:paraId="08A07E0D" w14:textId="77777777" w:rsidR="00416FA8" w:rsidRPr="004B6753" w:rsidRDefault="00416FA8" w:rsidP="004B6753">
            <w:pPr>
              <w:pStyle w:val="NoSpacing"/>
              <w:jc w:val="center"/>
              <w:rPr>
                <w:rFonts w:ascii="Times New Roman" w:hAnsi="Times New Roman" w:cs="Times New Roman"/>
                <w:b/>
                <w:bCs/>
                <w:szCs w:val="24"/>
              </w:rPr>
            </w:pPr>
            <w:r w:rsidRPr="004B6753">
              <w:rPr>
                <w:rFonts w:ascii="Times New Roman" w:hAnsi="Times New Roman" w:cs="Times New Roman"/>
                <w:b/>
                <w:bCs/>
                <w:szCs w:val="24"/>
              </w:rPr>
              <w:t>4</w:t>
            </w:r>
          </w:p>
        </w:tc>
        <w:tc>
          <w:tcPr>
            <w:tcW w:w="0" w:type="auto"/>
            <w:vAlign w:val="center"/>
            <w:hideMark/>
          </w:tcPr>
          <w:p w14:paraId="10106E3A" w14:textId="77777777" w:rsidR="00416FA8" w:rsidRPr="004B6753" w:rsidRDefault="00416FA8" w:rsidP="004B6753">
            <w:pPr>
              <w:pStyle w:val="NoSpacing"/>
              <w:jc w:val="center"/>
              <w:rPr>
                <w:rFonts w:ascii="Times New Roman" w:hAnsi="Times New Roman" w:cs="Times New Roman"/>
                <w:b/>
                <w:bCs/>
                <w:szCs w:val="24"/>
              </w:rPr>
            </w:pPr>
            <w:r w:rsidRPr="004B6753">
              <w:rPr>
                <w:rFonts w:ascii="Times New Roman" w:hAnsi="Times New Roman" w:cs="Times New Roman"/>
                <w:b/>
                <w:bCs/>
                <w:szCs w:val="24"/>
              </w:rPr>
              <w:t>5</w:t>
            </w:r>
          </w:p>
        </w:tc>
        <w:tc>
          <w:tcPr>
            <w:tcW w:w="0" w:type="auto"/>
            <w:vAlign w:val="center"/>
            <w:hideMark/>
          </w:tcPr>
          <w:p w14:paraId="616165B3" w14:textId="77777777" w:rsidR="00416FA8" w:rsidRPr="004B6753" w:rsidRDefault="00416FA8" w:rsidP="004B6753">
            <w:pPr>
              <w:pStyle w:val="NoSpacing"/>
              <w:jc w:val="center"/>
              <w:rPr>
                <w:rFonts w:ascii="Times New Roman" w:hAnsi="Times New Roman" w:cs="Times New Roman"/>
                <w:b/>
                <w:bCs/>
                <w:szCs w:val="24"/>
              </w:rPr>
            </w:pPr>
            <w:r w:rsidRPr="004B6753">
              <w:rPr>
                <w:rFonts w:ascii="Times New Roman" w:hAnsi="Times New Roman" w:cs="Times New Roman"/>
                <w:b/>
                <w:bCs/>
                <w:szCs w:val="24"/>
              </w:rPr>
              <w:t>6</w:t>
            </w:r>
          </w:p>
        </w:tc>
        <w:tc>
          <w:tcPr>
            <w:tcW w:w="0" w:type="auto"/>
            <w:vAlign w:val="center"/>
            <w:hideMark/>
          </w:tcPr>
          <w:p w14:paraId="70876F49" w14:textId="77777777" w:rsidR="00416FA8" w:rsidRPr="004B6753" w:rsidRDefault="00416FA8" w:rsidP="004B6753">
            <w:pPr>
              <w:pStyle w:val="NoSpacing"/>
              <w:jc w:val="center"/>
              <w:rPr>
                <w:rFonts w:ascii="Times New Roman" w:hAnsi="Times New Roman" w:cs="Times New Roman"/>
                <w:b/>
                <w:bCs/>
                <w:szCs w:val="24"/>
              </w:rPr>
            </w:pPr>
            <w:r w:rsidRPr="004B6753">
              <w:rPr>
                <w:rFonts w:ascii="Times New Roman" w:hAnsi="Times New Roman" w:cs="Times New Roman"/>
                <w:b/>
                <w:bCs/>
                <w:szCs w:val="24"/>
              </w:rPr>
              <w:t>7</w:t>
            </w:r>
          </w:p>
        </w:tc>
        <w:tc>
          <w:tcPr>
            <w:tcW w:w="0" w:type="auto"/>
            <w:vAlign w:val="center"/>
            <w:hideMark/>
          </w:tcPr>
          <w:p w14:paraId="16C53138" w14:textId="77777777" w:rsidR="00416FA8" w:rsidRPr="004B6753" w:rsidRDefault="00416FA8" w:rsidP="004B6753">
            <w:pPr>
              <w:pStyle w:val="NoSpacing"/>
              <w:jc w:val="center"/>
              <w:rPr>
                <w:rFonts w:ascii="Times New Roman" w:hAnsi="Times New Roman" w:cs="Times New Roman"/>
                <w:b/>
                <w:bCs/>
                <w:szCs w:val="24"/>
              </w:rPr>
            </w:pPr>
            <w:r w:rsidRPr="004B6753">
              <w:rPr>
                <w:rFonts w:ascii="Times New Roman" w:hAnsi="Times New Roman" w:cs="Times New Roman"/>
                <w:b/>
                <w:bCs/>
                <w:szCs w:val="24"/>
              </w:rPr>
              <w:t>8</w:t>
            </w:r>
          </w:p>
        </w:tc>
        <w:tc>
          <w:tcPr>
            <w:tcW w:w="0" w:type="auto"/>
            <w:vAlign w:val="center"/>
            <w:hideMark/>
          </w:tcPr>
          <w:p w14:paraId="25FDE1D3" w14:textId="77777777" w:rsidR="00416FA8" w:rsidRPr="004B6753" w:rsidRDefault="00416FA8" w:rsidP="004B6753">
            <w:pPr>
              <w:pStyle w:val="NoSpacing"/>
              <w:jc w:val="center"/>
              <w:rPr>
                <w:rFonts w:ascii="Times New Roman" w:hAnsi="Times New Roman" w:cs="Times New Roman"/>
                <w:b/>
                <w:bCs/>
                <w:szCs w:val="24"/>
              </w:rPr>
            </w:pPr>
            <w:r w:rsidRPr="004B6753">
              <w:rPr>
                <w:rFonts w:ascii="Times New Roman" w:hAnsi="Times New Roman" w:cs="Times New Roman"/>
                <w:b/>
                <w:bCs/>
                <w:szCs w:val="24"/>
              </w:rPr>
              <w:t>9</w:t>
            </w:r>
          </w:p>
        </w:tc>
        <w:tc>
          <w:tcPr>
            <w:tcW w:w="0" w:type="auto"/>
            <w:vAlign w:val="center"/>
            <w:hideMark/>
          </w:tcPr>
          <w:p w14:paraId="17CD2323" w14:textId="77777777" w:rsidR="00416FA8" w:rsidRPr="004B6753" w:rsidRDefault="00416FA8" w:rsidP="004B6753">
            <w:pPr>
              <w:pStyle w:val="NoSpacing"/>
              <w:jc w:val="center"/>
              <w:rPr>
                <w:rFonts w:ascii="Times New Roman" w:hAnsi="Times New Roman" w:cs="Times New Roman"/>
                <w:b/>
                <w:bCs/>
                <w:szCs w:val="24"/>
              </w:rPr>
            </w:pPr>
            <w:r w:rsidRPr="004B6753">
              <w:rPr>
                <w:rFonts w:ascii="Times New Roman" w:hAnsi="Times New Roman" w:cs="Times New Roman"/>
                <w:b/>
                <w:bCs/>
                <w:szCs w:val="24"/>
              </w:rPr>
              <w:t>10</w:t>
            </w:r>
          </w:p>
        </w:tc>
        <w:tc>
          <w:tcPr>
            <w:tcW w:w="0" w:type="auto"/>
            <w:vAlign w:val="center"/>
            <w:hideMark/>
          </w:tcPr>
          <w:p w14:paraId="33C9B422" w14:textId="77777777" w:rsidR="00416FA8" w:rsidRPr="004B6753" w:rsidRDefault="00416FA8" w:rsidP="004B6753">
            <w:pPr>
              <w:pStyle w:val="NoSpacing"/>
              <w:jc w:val="center"/>
              <w:rPr>
                <w:rFonts w:ascii="Times New Roman" w:hAnsi="Times New Roman" w:cs="Times New Roman"/>
                <w:b/>
                <w:bCs/>
                <w:szCs w:val="24"/>
              </w:rPr>
            </w:pPr>
            <w:r w:rsidRPr="004B6753">
              <w:rPr>
                <w:rFonts w:ascii="Times New Roman" w:hAnsi="Times New Roman" w:cs="Times New Roman"/>
                <w:b/>
                <w:bCs/>
                <w:szCs w:val="24"/>
              </w:rPr>
              <w:t>11</w:t>
            </w:r>
          </w:p>
        </w:tc>
        <w:tc>
          <w:tcPr>
            <w:tcW w:w="0" w:type="auto"/>
            <w:vAlign w:val="center"/>
            <w:hideMark/>
          </w:tcPr>
          <w:p w14:paraId="5C103B97" w14:textId="77777777" w:rsidR="00416FA8" w:rsidRPr="004B6753" w:rsidRDefault="00416FA8" w:rsidP="004B6753">
            <w:pPr>
              <w:pStyle w:val="NoSpacing"/>
              <w:jc w:val="center"/>
              <w:rPr>
                <w:rFonts w:ascii="Times New Roman" w:hAnsi="Times New Roman" w:cs="Times New Roman"/>
                <w:b/>
                <w:bCs/>
                <w:szCs w:val="24"/>
              </w:rPr>
            </w:pPr>
            <w:r w:rsidRPr="004B6753">
              <w:rPr>
                <w:rFonts w:ascii="Times New Roman" w:hAnsi="Times New Roman" w:cs="Times New Roman"/>
                <w:b/>
                <w:bCs/>
                <w:szCs w:val="24"/>
              </w:rPr>
              <w:t>12</w:t>
            </w:r>
          </w:p>
        </w:tc>
      </w:tr>
      <w:tr w:rsidR="00416FA8" w:rsidRPr="004B6753" w14:paraId="2E7B1599" w14:textId="77777777" w:rsidTr="004B6753">
        <w:trPr>
          <w:trHeight w:val="20"/>
        </w:trPr>
        <w:tc>
          <w:tcPr>
            <w:tcW w:w="1995" w:type="dxa"/>
            <w:hideMark/>
          </w:tcPr>
          <w:p w14:paraId="06348F2A" w14:textId="77777777" w:rsidR="00416FA8" w:rsidRPr="004B6753" w:rsidRDefault="00416FA8" w:rsidP="004B6753">
            <w:pPr>
              <w:pStyle w:val="NoSpacing"/>
              <w:rPr>
                <w:rFonts w:ascii="Times New Roman" w:hAnsi="Times New Roman" w:cs="Times New Roman"/>
                <w:szCs w:val="24"/>
              </w:rPr>
            </w:pPr>
            <w:r w:rsidRPr="004B6753">
              <w:rPr>
                <w:rFonts w:ascii="Times New Roman" w:hAnsi="Times New Roman" w:cs="Times New Roman"/>
                <w:szCs w:val="24"/>
              </w:rPr>
              <w:t>Gujarat</w:t>
            </w:r>
          </w:p>
        </w:tc>
        <w:tc>
          <w:tcPr>
            <w:tcW w:w="0" w:type="auto"/>
            <w:vAlign w:val="center"/>
            <w:hideMark/>
          </w:tcPr>
          <w:p w14:paraId="2964FABA" w14:textId="77777777" w:rsidR="00416FA8" w:rsidRPr="004B6753" w:rsidRDefault="00416FA8" w:rsidP="004B6753">
            <w:pPr>
              <w:pStyle w:val="NoSpacing"/>
              <w:jc w:val="center"/>
              <w:rPr>
                <w:rFonts w:ascii="Times New Roman" w:hAnsi="Times New Roman" w:cs="Times New Roman"/>
                <w:szCs w:val="24"/>
              </w:rPr>
            </w:pPr>
          </w:p>
        </w:tc>
        <w:tc>
          <w:tcPr>
            <w:tcW w:w="0" w:type="auto"/>
            <w:vAlign w:val="center"/>
            <w:hideMark/>
          </w:tcPr>
          <w:p w14:paraId="21F37B74" w14:textId="77777777" w:rsidR="00416FA8" w:rsidRPr="004B6753" w:rsidRDefault="00416FA8" w:rsidP="004B6753">
            <w:pPr>
              <w:pStyle w:val="NoSpacing"/>
              <w:jc w:val="center"/>
              <w:rPr>
                <w:rFonts w:ascii="Times New Roman" w:hAnsi="Times New Roman" w:cs="Times New Roman"/>
                <w:szCs w:val="24"/>
              </w:rPr>
            </w:pPr>
          </w:p>
        </w:tc>
        <w:tc>
          <w:tcPr>
            <w:tcW w:w="0" w:type="auto"/>
            <w:vAlign w:val="center"/>
            <w:hideMark/>
          </w:tcPr>
          <w:p w14:paraId="14D3C85E" w14:textId="77777777" w:rsidR="00416FA8" w:rsidRPr="004B6753" w:rsidRDefault="00416FA8" w:rsidP="004B6753">
            <w:pPr>
              <w:pStyle w:val="NoSpacing"/>
              <w:jc w:val="center"/>
              <w:rPr>
                <w:rFonts w:ascii="Times New Roman" w:hAnsi="Times New Roman" w:cs="Times New Roman"/>
                <w:szCs w:val="24"/>
              </w:rPr>
            </w:pPr>
          </w:p>
        </w:tc>
        <w:tc>
          <w:tcPr>
            <w:tcW w:w="0" w:type="auto"/>
            <w:vAlign w:val="center"/>
            <w:hideMark/>
          </w:tcPr>
          <w:p w14:paraId="1BBA6C9B" w14:textId="77777777" w:rsidR="00416FA8" w:rsidRPr="004B6753" w:rsidRDefault="00416FA8" w:rsidP="004B6753">
            <w:pPr>
              <w:pStyle w:val="NoSpacing"/>
              <w:jc w:val="center"/>
              <w:rPr>
                <w:rFonts w:ascii="Times New Roman" w:hAnsi="Times New Roman" w:cs="Times New Roman"/>
                <w:szCs w:val="24"/>
              </w:rPr>
            </w:pPr>
          </w:p>
        </w:tc>
        <w:tc>
          <w:tcPr>
            <w:tcW w:w="0" w:type="auto"/>
            <w:vAlign w:val="center"/>
            <w:hideMark/>
          </w:tcPr>
          <w:p w14:paraId="59E54176" w14:textId="77777777" w:rsidR="00416FA8" w:rsidRPr="004B6753" w:rsidRDefault="00416FA8" w:rsidP="004B6753">
            <w:pPr>
              <w:pStyle w:val="NoSpacing"/>
              <w:jc w:val="center"/>
              <w:rPr>
                <w:rFonts w:ascii="Times New Roman" w:hAnsi="Times New Roman" w:cs="Times New Roman"/>
                <w:szCs w:val="24"/>
              </w:rPr>
            </w:pPr>
          </w:p>
        </w:tc>
        <w:tc>
          <w:tcPr>
            <w:tcW w:w="0" w:type="auto"/>
            <w:vAlign w:val="center"/>
            <w:hideMark/>
          </w:tcPr>
          <w:p w14:paraId="4B0D2CD3" w14:textId="77777777" w:rsidR="00416FA8" w:rsidRPr="004B6753" w:rsidRDefault="00416FA8" w:rsidP="004B6753">
            <w:pPr>
              <w:pStyle w:val="NoSpacing"/>
              <w:jc w:val="center"/>
              <w:rPr>
                <w:rFonts w:ascii="Times New Roman" w:hAnsi="Times New Roman" w:cs="Times New Roman"/>
                <w:szCs w:val="24"/>
              </w:rPr>
            </w:pPr>
          </w:p>
        </w:tc>
        <w:tc>
          <w:tcPr>
            <w:tcW w:w="0" w:type="auto"/>
            <w:vAlign w:val="center"/>
            <w:hideMark/>
          </w:tcPr>
          <w:p w14:paraId="537D7624" w14:textId="77777777" w:rsidR="00416FA8" w:rsidRPr="004B6753" w:rsidRDefault="00416FA8" w:rsidP="004B6753">
            <w:pPr>
              <w:pStyle w:val="NoSpacing"/>
              <w:jc w:val="center"/>
              <w:rPr>
                <w:rFonts w:ascii="Times New Roman" w:hAnsi="Times New Roman" w:cs="Times New Roman"/>
                <w:szCs w:val="24"/>
              </w:rPr>
            </w:pPr>
          </w:p>
        </w:tc>
        <w:tc>
          <w:tcPr>
            <w:tcW w:w="0" w:type="auto"/>
            <w:vAlign w:val="center"/>
            <w:hideMark/>
          </w:tcPr>
          <w:p w14:paraId="0F2A149A" w14:textId="77777777" w:rsidR="00416FA8" w:rsidRPr="004B6753" w:rsidRDefault="00416FA8" w:rsidP="004B6753">
            <w:pPr>
              <w:pStyle w:val="NoSpacing"/>
              <w:jc w:val="center"/>
              <w:rPr>
                <w:rFonts w:ascii="Times New Roman" w:hAnsi="Times New Roman" w:cs="Times New Roman"/>
                <w:szCs w:val="24"/>
              </w:rPr>
            </w:pPr>
          </w:p>
        </w:tc>
        <w:tc>
          <w:tcPr>
            <w:tcW w:w="0" w:type="auto"/>
            <w:vAlign w:val="center"/>
            <w:hideMark/>
          </w:tcPr>
          <w:p w14:paraId="5C652366" w14:textId="77777777" w:rsidR="00416FA8" w:rsidRPr="004B6753" w:rsidRDefault="00416FA8" w:rsidP="004B6753">
            <w:pPr>
              <w:pStyle w:val="NoSpacing"/>
              <w:jc w:val="center"/>
              <w:rPr>
                <w:rFonts w:ascii="Times New Roman" w:hAnsi="Times New Roman" w:cs="Times New Roman"/>
                <w:szCs w:val="24"/>
              </w:rPr>
            </w:pPr>
          </w:p>
        </w:tc>
        <w:tc>
          <w:tcPr>
            <w:tcW w:w="0" w:type="auto"/>
            <w:vAlign w:val="center"/>
            <w:hideMark/>
          </w:tcPr>
          <w:p w14:paraId="2F0BD686" w14:textId="77777777" w:rsidR="00416FA8" w:rsidRPr="004B6753" w:rsidRDefault="00416FA8" w:rsidP="004B6753">
            <w:pPr>
              <w:pStyle w:val="NoSpacing"/>
              <w:jc w:val="center"/>
              <w:rPr>
                <w:rFonts w:ascii="Times New Roman" w:hAnsi="Times New Roman" w:cs="Times New Roman"/>
                <w:szCs w:val="24"/>
              </w:rPr>
            </w:pPr>
          </w:p>
        </w:tc>
        <w:tc>
          <w:tcPr>
            <w:tcW w:w="0" w:type="auto"/>
            <w:vAlign w:val="center"/>
            <w:hideMark/>
          </w:tcPr>
          <w:p w14:paraId="74319DAE" w14:textId="77777777" w:rsidR="00416FA8" w:rsidRPr="004B6753" w:rsidRDefault="00416FA8" w:rsidP="004B6753">
            <w:pPr>
              <w:pStyle w:val="NoSpacing"/>
              <w:jc w:val="center"/>
              <w:rPr>
                <w:rFonts w:ascii="Times New Roman" w:hAnsi="Times New Roman" w:cs="Times New Roman"/>
                <w:szCs w:val="24"/>
              </w:rPr>
            </w:pPr>
          </w:p>
        </w:tc>
      </w:tr>
      <w:tr w:rsidR="00812C67" w:rsidRPr="004B6753" w14:paraId="5DA71E4B" w14:textId="77777777" w:rsidTr="004B6753">
        <w:trPr>
          <w:trHeight w:val="20"/>
        </w:trPr>
        <w:tc>
          <w:tcPr>
            <w:tcW w:w="1995" w:type="dxa"/>
            <w:vMerge w:val="restart"/>
            <w:hideMark/>
          </w:tcPr>
          <w:p w14:paraId="42F84BF3" w14:textId="77777777" w:rsidR="00812C67" w:rsidRPr="004B6753" w:rsidRDefault="00812C67" w:rsidP="004B6753">
            <w:pPr>
              <w:pStyle w:val="NoSpacing"/>
              <w:rPr>
                <w:rFonts w:ascii="Times New Roman" w:hAnsi="Times New Roman" w:cs="Times New Roman"/>
                <w:szCs w:val="24"/>
              </w:rPr>
            </w:pPr>
            <w:r w:rsidRPr="004B6753">
              <w:rPr>
                <w:rFonts w:ascii="Times New Roman" w:hAnsi="Times New Roman" w:cs="Times New Roman"/>
                <w:szCs w:val="24"/>
              </w:rPr>
              <w:t>1961-62</w:t>
            </w:r>
          </w:p>
        </w:tc>
        <w:tc>
          <w:tcPr>
            <w:tcW w:w="0" w:type="auto"/>
            <w:vAlign w:val="center"/>
            <w:hideMark/>
          </w:tcPr>
          <w:p w14:paraId="4A867A0D" w14:textId="77777777" w:rsidR="00812C67" w:rsidRPr="004B6753" w:rsidRDefault="00812C67" w:rsidP="004B6753">
            <w:pPr>
              <w:pStyle w:val="NoSpacing"/>
              <w:jc w:val="center"/>
              <w:rPr>
                <w:rFonts w:ascii="Times New Roman" w:hAnsi="Times New Roman" w:cs="Times New Roman"/>
                <w:szCs w:val="24"/>
              </w:rPr>
            </w:pPr>
            <w:r w:rsidRPr="004B6753">
              <w:rPr>
                <w:rFonts w:ascii="Times New Roman" w:hAnsi="Times New Roman" w:cs="Times New Roman"/>
                <w:szCs w:val="24"/>
              </w:rPr>
              <w:t>4.61</w:t>
            </w:r>
          </w:p>
        </w:tc>
        <w:tc>
          <w:tcPr>
            <w:tcW w:w="0" w:type="auto"/>
            <w:vAlign w:val="center"/>
            <w:hideMark/>
          </w:tcPr>
          <w:p w14:paraId="24051739" w14:textId="77777777" w:rsidR="00812C67" w:rsidRPr="004B6753" w:rsidRDefault="00812C67" w:rsidP="004B6753">
            <w:pPr>
              <w:pStyle w:val="NoSpacing"/>
              <w:jc w:val="center"/>
              <w:rPr>
                <w:rFonts w:ascii="Times New Roman" w:hAnsi="Times New Roman" w:cs="Times New Roman"/>
                <w:szCs w:val="24"/>
              </w:rPr>
            </w:pPr>
            <w:r w:rsidRPr="004B6753">
              <w:rPr>
                <w:rFonts w:ascii="Times New Roman" w:hAnsi="Times New Roman" w:cs="Times New Roman"/>
                <w:szCs w:val="24"/>
              </w:rPr>
              <w:t>7.14</w:t>
            </w:r>
          </w:p>
        </w:tc>
        <w:tc>
          <w:tcPr>
            <w:tcW w:w="0" w:type="auto"/>
            <w:vAlign w:val="center"/>
            <w:hideMark/>
          </w:tcPr>
          <w:p w14:paraId="725898A8" w14:textId="77777777" w:rsidR="00812C67" w:rsidRPr="004B6753" w:rsidRDefault="00812C67" w:rsidP="004B6753">
            <w:pPr>
              <w:pStyle w:val="NoSpacing"/>
              <w:jc w:val="center"/>
              <w:rPr>
                <w:rFonts w:ascii="Times New Roman" w:hAnsi="Times New Roman" w:cs="Times New Roman"/>
                <w:szCs w:val="24"/>
              </w:rPr>
            </w:pPr>
            <w:r w:rsidRPr="004B6753">
              <w:rPr>
                <w:rFonts w:ascii="Times New Roman" w:hAnsi="Times New Roman" w:cs="Times New Roman"/>
                <w:szCs w:val="24"/>
              </w:rPr>
              <w:t>4.14</w:t>
            </w:r>
          </w:p>
        </w:tc>
        <w:tc>
          <w:tcPr>
            <w:tcW w:w="0" w:type="auto"/>
            <w:vAlign w:val="center"/>
            <w:hideMark/>
          </w:tcPr>
          <w:p w14:paraId="4BE552A7" w14:textId="77777777" w:rsidR="00812C67" w:rsidRPr="004B6753" w:rsidRDefault="00812C67" w:rsidP="004B6753">
            <w:pPr>
              <w:pStyle w:val="NoSpacing"/>
              <w:jc w:val="center"/>
              <w:rPr>
                <w:rFonts w:ascii="Times New Roman" w:hAnsi="Times New Roman" w:cs="Times New Roman"/>
                <w:szCs w:val="24"/>
              </w:rPr>
            </w:pPr>
            <w:r w:rsidRPr="004B6753">
              <w:rPr>
                <w:rFonts w:ascii="Times New Roman" w:hAnsi="Times New Roman" w:cs="Times New Roman"/>
                <w:szCs w:val="24"/>
              </w:rPr>
              <w:t>4.95</w:t>
            </w:r>
          </w:p>
        </w:tc>
        <w:tc>
          <w:tcPr>
            <w:tcW w:w="0" w:type="auto"/>
            <w:vAlign w:val="center"/>
            <w:hideMark/>
          </w:tcPr>
          <w:p w14:paraId="37A0A09E" w14:textId="77777777" w:rsidR="00812C67" w:rsidRPr="004B6753" w:rsidRDefault="00812C67" w:rsidP="004B6753">
            <w:pPr>
              <w:pStyle w:val="NoSpacing"/>
              <w:jc w:val="center"/>
              <w:rPr>
                <w:rFonts w:ascii="Times New Roman" w:hAnsi="Times New Roman" w:cs="Times New Roman"/>
                <w:szCs w:val="24"/>
              </w:rPr>
            </w:pPr>
            <w:r w:rsidRPr="004B6753">
              <w:rPr>
                <w:rFonts w:ascii="Times New Roman" w:hAnsi="Times New Roman" w:cs="Times New Roman"/>
                <w:szCs w:val="24"/>
              </w:rPr>
              <w:t>1.20</w:t>
            </w:r>
          </w:p>
        </w:tc>
        <w:tc>
          <w:tcPr>
            <w:tcW w:w="0" w:type="auto"/>
            <w:vAlign w:val="center"/>
            <w:hideMark/>
          </w:tcPr>
          <w:p w14:paraId="283E9FF9" w14:textId="77777777" w:rsidR="00812C67" w:rsidRPr="004B6753" w:rsidRDefault="00812C67" w:rsidP="004B6753">
            <w:pPr>
              <w:pStyle w:val="NoSpacing"/>
              <w:jc w:val="center"/>
              <w:rPr>
                <w:rFonts w:ascii="Times New Roman" w:hAnsi="Times New Roman" w:cs="Times New Roman"/>
                <w:szCs w:val="24"/>
              </w:rPr>
            </w:pPr>
            <w:r w:rsidRPr="004B6753">
              <w:rPr>
                <w:rFonts w:ascii="Times New Roman" w:hAnsi="Times New Roman" w:cs="Times New Roman"/>
                <w:szCs w:val="24"/>
              </w:rPr>
              <w:t>12.96</w:t>
            </w:r>
          </w:p>
        </w:tc>
        <w:tc>
          <w:tcPr>
            <w:tcW w:w="0" w:type="auto"/>
            <w:vAlign w:val="center"/>
            <w:hideMark/>
          </w:tcPr>
          <w:p w14:paraId="058BCD61" w14:textId="77777777" w:rsidR="00812C67" w:rsidRPr="004B6753" w:rsidRDefault="00812C67" w:rsidP="004B6753">
            <w:pPr>
              <w:pStyle w:val="NoSpacing"/>
              <w:jc w:val="center"/>
              <w:rPr>
                <w:rFonts w:ascii="Times New Roman" w:hAnsi="Times New Roman" w:cs="Times New Roman"/>
                <w:szCs w:val="24"/>
              </w:rPr>
            </w:pPr>
            <w:r w:rsidRPr="004B6753">
              <w:rPr>
                <w:rFonts w:ascii="Times New Roman" w:hAnsi="Times New Roman" w:cs="Times New Roman"/>
                <w:szCs w:val="24"/>
              </w:rPr>
              <w:t>2.37</w:t>
            </w:r>
          </w:p>
        </w:tc>
        <w:tc>
          <w:tcPr>
            <w:tcW w:w="0" w:type="auto"/>
            <w:vAlign w:val="center"/>
            <w:hideMark/>
          </w:tcPr>
          <w:p w14:paraId="5F52C55F" w14:textId="77777777" w:rsidR="00812C67" w:rsidRPr="004B6753" w:rsidRDefault="00812C67" w:rsidP="004B6753">
            <w:pPr>
              <w:pStyle w:val="NoSpacing"/>
              <w:jc w:val="center"/>
              <w:rPr>
                <w:rFonts w:ascii="Times New Roman" w:hAnsi="Times New Roman" w:cs="Times New Roman"/>
                <w:szCs w:val="24"/>
              </w:rPr>
            </w:pPr>
            <w:r w:rsidRPr="004B6753">
              <w:rPr>
                <w:rFonts w:ascii="Times New Roman" w:hAnsi="Times New Roman" w:cs="Times New Roman"/>
                <w:szCs w:val="24"/>
              </w:rPr>
              <w:t>1.80</w:t>
            </w:r>
          </w:p>
        </w:tc>
        <w:tc>
          <w:tcPr>
            <w:tcW w:w="0" w:type="auto"/>
            <w:vAlign w:val="center"/>
            <w:hideMark/>
          </w:tcPr>
          <w:p w14:paraId="056AC421" w14:textId="77777777" w:rsidR="00812C67" w:rsidRPr="004B6753" w:rsidRDefault="00812C67" w:rsidP="004B6753">
            <w:pPr>
              <w:pStyle w:val="NoSpacing"/>
              <w:jc w:val="center"/>
              <w:rPr>
                <w:rFonts w:ascii="Times New Roman" w:hAnsi="Times New Roman" w:cs="Times New Roman"/>
                <w:szCs w:val="24"/>
              </w:rPr>
            </w:pPr>
            <w:r w:rsidRPr="004B6753">
              <w:rPr>
                <w:rFonts w:ascii="Times New Roman" w:hAnsi="Times New Roman" w:cs="Times New Roman"/>
                <w:szCs w:val="24"/>
              </w:rPr>
              <w:t>3.31</w:t>
            </w:r>
          </w:p>
        </w:tc>
        <w:tc>
          <w:tcPr>
            <w:tcW w:w="0" w:type="auto"/>
            <w:vAlign w:val="center"/>
            <w:hideMark/>
          </w:tcPr>
          <w:p w14:paraId="6BF2C7B4" w14:textId="77777777" w:rsidR="00812C67" w:rsidRPr="004B6753" w:rsidRDefault="00812C67" w:rsidP="004B6753">
            <w:pPr>
              <w:pStyle w:val="NoSpacing"/>
              <w:jc w:val="center"/>
              <w:rPr>
                <w:rFonts w:ascii="Times New Roman" w:hAnsi="Times New Roman" w:cs="Times New Roman"/>
                <w:szCs w:val="24"/>
              </w:rPr>
            </w:pPr>
            <w:r w:rsidRPr="004B6753">
              <w:rPr>
                <w:rFonts w:ascii="Times New Roman" w:hAnsi="Times New Roman" w:cs="Times New Roman"/>
                <w:szCs w:val="24"/>
              </w:rPr>
              <w:t>21.89</w:t>
            </w:r>
          </w:p>
        </w:tc>
        <w:tc>
          <w:tcPr>
            <w:tcW w:w="0" w:type="auto"/>
            <w:vAlign w:val="center"/>
            <w:hideMark/>
          </w:tcPr>
          <w:p w14:paraId="5BE43A8D" w14:textId="77777777" w:rsidR="00812C67" w:rsidRPr="004B6753" w:rsidRDefault="00812C67" w:rsidP="004B6753">
            <w:pPr>
              <w:pStyle w:val="NoSpacing"/>
              <w:jc w:val="center"/>
              <w:rPr>
                <w:rFonts w:ascii="Times New Roman" w:hAnsi="Times New Roman" w:cs="Times New Roman"/>
                <w:szCs w:val="24"/>
              </w:rPr>
            </w:pPr>
            <w:r w:rsidRPr="004B6753">
              <w:rPr>
                <w:rFonts w:ascii="Times New Roman" w:hAnsi="Times New Roman" w:cs="Times New Roman"/>
                <w:szCs w:val="24"/>
              </w:rPr>
              <w:t>64.37</w:t>
            </w:r>
          </w:p>
        </w:tc>
      </w:tr>
      <w:tr w:rsidR="00812C67" w:rsidRPr="004B6753" w14:paraId="0FA31AD3" w14:textId="77777777" w:rsidTr="004B6753">
        <w:trPr>
          <w:trHeight w:val="20"/>
        </w:trPr>
        <w:tc>
          <w:tcPr>
            <w:tcW w:w="1995" w:type="dxa"/>
            <w:vMerge/>
            <w:hideMark/>
          </w:tcPr>
          <w:p w14:paraId="6F4212BD" w14:textId="77777777" w:rsidR="00812C67" w:rsidRPr="004B6753" w:rsidRDefault="00812C67" w:rsidP="004B6753">
            <w:pPr>
              <w:pStyle w:val="NoSpacing"/>
              <w:rPr>
                <w:rFonts w:ascii="Times New Roman" w:hAnsi="Times New Roman" w:cs="Times New Roman"/>
                <w:szCs w:val="24"/>
              </w:rPr>
            </w:pPr>
          </w:p>
        </w:tc>
        <w:tc>
          <w:tcPr>
            <w:tcW w:w="0" w:type="auto"/>
            <w:vAlign w:val="center"/>
            <w:hideMark/>
          </w:tcPr>
          <w:p w14:paraId="54D5C14A" w14:textId="77777777" w:rsidR="00812C67" w:rsidRPr="004B6753" w:rsidRDefault="00812C67" w:rsidP="004B6753">
            <w:pPr>
              <w:pStyle w:val="NoSpacing"/>
              <w:jc w:val="center"/>
              <w:rPr>
                <w:rFonts w:ascii="Times New Roman" w:hAnsi="Times New Roman" w:cs="Times New Roman"/>
                <w:szCs w:val="24"/>
              </w:rPr>
            </w:pPr>
            <w:r w:rsidRPr="004B6753">
              <w:rPr>
                <w:rFonts w:ascii="Times New Roman" w:hAnsi="Times New Roman" w:cs="Times New Roman"/>
                <w:i/>
                <w:iCs/>
                <w:szCs w:val="24"/>
              </w:rPr>
              <w:t>(7.16)</w:t>
            </w:r>
          </w:p>
        </w:tc>
        <w:tc>
          <w:tcPr>
            <w:tcW w:w="0" w:type="auto"/>
            <w:vAlign w:val="center"/>
            <w:hideMark/>
          </w:tcPr>
          <w:p w14:paraId="27650BA0" w14:textId="77777777" w:rsidR="00812C67" w:rsidRPr="004B6753" w:rsidRDefault="00812C67" w:rsidP="004B6753">
            <w:pPr>
              <w:pStyle w:val="NoSpacing"/>
              <w:jc w:val="center"/>
              <w:rPr>
                <w:rFonts w:ascii="Times New Roman" w:hAnsi="Times New Roman" w:cs="Times New Roman"/>
                <w:szCs w:val="24"/>
              </w:rPr>
            </w:pPr>
            <w:r w:rsidRPr="004B6753">
              <w:rPr>
                <w:rFonts w:ascii="Times New Roman" w:hAnsi="Times New Roman" w:cs="Times New Roman"/>
                <w:i/>
                <w:iCs/>
                <w:szCs w:val="24"/>
              </w:rPr>
              <w:t>(11.09)</w:t>
            </w:r>
          </w:p>
        </w:tc>
        <w:tc>
          <w:tcPr>
            <w:tcW w:w="0" w:type="auto"/>
            <w:vAlign w:val="center"/>
            <w:hideMark/>
          </w:tcPr>
          <w:p w14:paraId="6A7BC77F" w14:textId="77777777" w:rsidR="00812C67" w:rsidRPr="004B6753" w:rsidRDefault="00812C67" w:rsidP="004B6753">
            <w:pPr>
              <w:pStyle w:val="NoSpacing"/>
              <w:jc w:val="center"/>
              <w:rPr>
                <w:rFonts w:ascii="Times New Roman" w:hAnsi="Times New Roman" w:cs="Times New Roman"/>
                <w:szCs w:val="24"/>
              </w:rPr>
            </w:pPr>
            <w:r w:rsidRPr="004B6753">
              <w:rPr>
                <w:rFonts w:ascii="Times New Roman" w:hAnsi="Times New Roman" w:cs="Times New Roman"/>
                <w:i/>
                <w:iCs/>
                <w:szCs w:val="24"/>
              </w:rPr>
              <w:t>(6.43)</w:t>
            </w:r>
          </w:p>
        </w:tc>
        <w:tc>
          <w:tcPr>
            <w:tcW w:w="0" w:type="auto"/>
            <w:vAlign w:val="center"/>
            <w:hideMark/>
          </w:tcPr>
          <w:p w14:paraId="29A15331" w14:textId="77777777" w:rsidR="00812C67" w:rsidRPr="004B6753" w:rsidRDefault="00812C67" w:rsidP="004B6753">
            <w:pPr>
              <w:pStyle w:val="NoSpacing"/>
              <w:jc w:val="center"/>
              <w:rPr>
                <w:rFonts w:ascii="Times New Roman" w:hAnsi="Times New Roman" w:cs="Times New Roman"/>
                <w:szCs w:val="24"/>
              </w:rPr>
            </w:pPr>
            <w:r w:rsidRPr="004B6753">
              <w:rPr>
                <w:rFonts w:ascii="Times New Roman" w:hAnsi="Times New Roman" w:cs="Times New Roman"/>
                <w:i/>
                <w:iCs/>
                <w:szCs w:val="24"/>
              </w:rPr>
              <w:t>(7.69)</w:t>
            </w:r>
          </w:p>
        </w:tc>
        <w:tc>
          <w:tcPr>
            <w:tcW w:w="0" w:type="auto"/>
            <w:vAlign w:val="center"/>
            <w:hideMark/>
          </w:tcPr>
          <w:p w14:paraId="2D01428A" w14:textId="77777777" w:rsidR="00812C67" w:rsidRPr="004B6753" w:rsidRDefault="00812C67" w:rsidP="004B6753">
            <w:pPr>
              <w:pStyle w:val="NoSpacing"/>
              <w:jc w:val="center"/>
              <w:rPr>
                <w:rFonts w:ascii="Times New Roman" w:hAnsi="Times New Roman" w:cs="Times New Roman"/>
                <w:szCs w:val="24"/>
              </w:rPr>
            </w:pPr>
            <w:r w:rsidRPr="004B6753">
              <w:rPr>
                <w:rFonts w:ascii="Times New Roman" w:hAnsi="Times New Roman" w:cs="Times New Roman"/>
                <w:i/>
                <w:iCs/>
                <w:szCs w:val="24"/>
              </w:rPr>
              <w:t>(1.87)</w:t>
            </w:r>
          </w:p>
        </w:tc>
        <w:tc>
          <w:tcPr>
            <w:tcW w:w="0" w:type="auto"/>
            <w:vAlign w:val="center"/>
            <w:hideMark/>
          </w:tcPr>
          <w:p w14:paraId="24626367" w14:textId="77777777" w:rsidR="00812C67" w:rsidRPr="004B6753" w:rsidRDefault="00812C67" w:rsidP="004B6753">
            <w:pPr>
              <w:pStyle w:val="NoSpacing"/>
              <w:jc w:val="center"/>
              <w:rPr>
                <w:rFonts w:ascii="Times New Roman" w:hAnsi="Times New Roman" w:cs="Times New Roman"/>
                <w:szCs w:val="24"/>
              </w:rPr>
            </w:pPr>
            <w:r w:rsidRPr="004B6753">
              <w:rPr>
                <w:rFonts w:ascii="Times New Roman" w:hAnsi="Times New Roman" w:cs="Times New Roman"/>
                <w:i/>
                <w:iCs/>
                <w:szCs w:val="24"/>
              </w:rPr>
              <w:t>(20.13)</w:t>
            </w:r>
          </w:p>
        </w:tc>
        <w:tc>
          <w:tcPr>
            <w:tcW w:w="0" w:type="auto"/>
            <w:vAlign w:val="center"/>
            <w:hideMark/>
          </w:tcPr>
          <w:p w14:paraId="6D8C33E4" w14:textId="77777777" w:rsidR="00812C67" w:rsidRPr="004B6753" w:rsidRDefault="00812C67" w:rsidP="004B6753">
            <w:pPr>
              <w:pStyle w:val="NoSpacing"/>
              <w:jc w:val="center"/>
              <w:rPr>
                <w:rFonts w:ascii="Times New Roman" w:hAnsi="Times New Roman" w:cs="Times New Roman"/>
                <w:szCs w:val="24"/>
              </w:rPr>
            </w:pPr>
            <w:r w:rsidRPr="004B6753">
              <w:rPr>
                <w:rFonts w:ascii="Times New Roman" w:hAnsi="Times New Roman" w:cs="Times New Roman"/>
                <w:i/>
                <w:iCs/>
                <w:szCs w:val="24"/>
              </w:rPr>
              <w:t>(3.68)</w:t>
            </w:r>
          </w:p>
        </w:tc>
        <w:tc>
          <w:tcPr>
            <w:tcW w:w="0" w:type="auto"/>
            <w:vAlign w:val="center"/>
            <w:hideMark/>
          </w:tcPr>
          <w:p w14:paraId="36AFAAFD" w14:textId="77777777" w:rsidR="00812C67" w:rsidRPr="004B6753" w:rsidRDefault="00812C67" w:rsidP="004B6753">
            <w:pPr>
              <w:pStyle w:val="NoSpacing"/>
              <w:jc w:val="center"/>
              <w:rPr>
                <w:rFonts w:ascii="Times New Roman" w:hAnsi="Times New Roman" w:cs="Times New Roman"/>
                <w:szCs w:val="24"/>
              </w:rPr>
            </w:pPr>
            <w:r w:rsidRPr="004B6753">
              <w:rPr>
                <w:rFonts w:ascii="Times New Roman" w:hAnsi="Times New Roman" w:cs="Times New Roman"/>
                <w:i/>
                <w:iCs/>
                <w:szCs w:val="24"/>
              </w:rPr>
              <w:t>(2.80)</w:t>
            </w:r>
          </w:p>
        </w:tc>
        <w:tc>
          <w:tcPr>
            <w:tcW w:w="0" w:type="auto"/>
            <w:vAlign w:val="center"/>
            <w:hideMark/>
          </w:tcPr>
          <w:p w14:paraId="0C3F7AD0" w14:textId="77777777" w:rsidR="00812C67" w:rsidRPr="004B6753" w:rsidRDefault="00812C67" w:rsidP="004B6753">
            <w:pPr>
              <w:pStyle w:val="NoSpacing"/>
              <w:jc w:val="center"/>
              <w:rPr>
                <w:rFonts w:ascii="Times New Roman" w:hAnsi="Times New Roman" w:cs="Times New Roman"/>
                <w:szCs w:val="24"/>
              </w:rPr>
            </w:pPr>
            <w:r w:rsidRPr="004B6753">
              <w:rPr>
                <w:rFonts w:ascii="Times New Roman" w:hAnsi="Times New Roman" w:cs="Times New Roman"/>
                <w:i/>
                <w:iCs/>
                <w:szCs w:val="24"/>
              </w:rPr>
              <w:t>(5.14)</w:t>
            </w:r>
          </w:p>
        </w:tc>
        <w:tc>
          <w:tcPr>
            <w:tcW w:w="0" w:type="auto"/>
            <w:vAlign w:val="center"/>
            <w:hideMark/>
          </w:tcPr>
          <w:p w14:paraId="7A573B4D" w14:textId="77777777" w:rsidR="00812C67" w:rsidRPr="004B6753" w:rsidRDefault="00812C67" w:rsidP="004B6753">
            <w:pPr>
              <w:pStyle w:val="NoSpacing"/>
              <w:jc w:val="center"/>
              <w:rPr>
                <w:rFonts w:ascii="Times New Roman" w:hAnsi="Times New Roman" w:cs="Times New Roman"/>
                <w:szCs w:val="24"/>
              </w:rPr>
            </w:pPr>
            <w:r w:rsidRPr="004B6753">
              <w:rPr>
                <w:rFonts w:ascii="Times New Roman" w:hAnsi="Times New Roman" w:cs="Times New Roman"/>
                <w:i/>
                <w:iCs/>
                <w:szCs w:val="24"/>
              </w:rPr>
              <w:t>(34.01)</w:t>
            </w:r>
          </w:p>
        </w:tc>
        <w:tc>
          <w:tcPr>
            <w:tcW w:w="0" w:type="auto"/>
            <w:vAlign w:val="center"/>
            <w:hideMark/>
          </w:tcPr>
          <w:p w14:paraId="7F8AEC95" w14:textId="77777777" w:rsidR="00812C67" w:rsidRPr="004B6753" w:rsidRDefault="00812C67" w:rsidP="004B6753">
            <w:pPr>
              <w:pStyle w:val="NoSpacing"/>
              <w:jc w:val="center"/>
              <w:rPr>
                <w:rFonts w:ascii="Times New Roman" w:hAnsi="Times New Roman" w:cs="Times New Roman"/>
                <w:szCs w:val="24"/>
              </w:rPr>
            </w:pPr>
            <w:r w:rsidRPr="004B6753">
              <w:rPr>
                <w:rFonts w:ascii="Times New Roman" w:hAnsi="Times New Roman" w:cs="Times New Roman"/>
                <w:i/>
                <w:iCs/>
                <w:szCs w:val="24"/>
              </w:rPr>
              <w:t>(100.00)</w:t>
            </w:r>
          </w:p>
        </w:tc>
      </w:tr>
      <w:tr w:rsidR="00416FA8" w:rsidRPr="004B6753" w14:paraId="7D367D9D" w14:textId="77777777" w:rsidTr="004B6753">
        <w:trPr>
          <w:trHeight w:val="20"/>
        </w:trPr>
        <w:tc>
          <w:tcPr>
            <w:tcW w:w="1995" w:type="dxa"/>
            <w:hideMark/>
          </w:tcPr>
          <w:p w14:paraId="7F48CC84" w14:textId="77777777" w:rsidR="00416FA8" w:rsidRPr="004B6753" w:rsidRDefault="00416FA8" w:rsidP="004B6753">
            <w:pPr>
              <w:pStyle w:val="NoSpacing"/>
              <w:rPr>
                <w:rFonts w:ascii="Times New Roman" w:hAnsi="Times New Roman" w:cs="Times New Roman"/>
                <w:szCs w:val="24"/>
              </w:rPr>
            </w:pPr>
            <w:r w:rsidRPr="004B6753">
              <w:rPr>
                <w:rFonts w:ascii="Times New Roman" w:hAnsi="Times New Roman" w:cs="Times New Roman"/>
                <w:szCs w:val="24"/>
              </w:rPr>
              <w:t>1965-66</w:t>
            </w:r>
          </w:p>
        </w:tc>
        <w:tc>
          <w:tcPr>
            <w:tcW w:w="0" w:type="auto"/>
            <w:vAlign w:val="center"/>
            <w:hideMark/>
          </w:tcPr>
          <w:p w14:paraId="26DAE92D" w14:textId="77777777" w:rsidR="00416FA8" w:rsidRPr="004B6753" w:rsidRDefault="00416FA8" w:rsidP="004B6753">
            <w:pPr>
              <w:pStyle w:val="NoSpacing"/>
              <w:jc w:val="center"/>
              <w:rPr>
                <w:rFonts w:ascii="Times New Roman" w:hAnsi="Times New Roman" w:cs="Times New Roman"/>
                <w:szCs w:val="24"/>
              </w:rPr>
            </w:pPr>
            <w:r w:rsidRPr="004B6753">
              <w:rPr>
                <w:rFonts w:ascii="Times New Roman" w:hAnsi="Times New Roman" w:cs="Times New Roman"/>
                <w:szCs w:val="24"/>
              </w:rPr>
              <w:t>5.66</w:t>
            </w:r>
          </w:p>
        </w:tc>
        <w:tc>
          <w:tcPr>
            <w:tcW w:w="0" w:type="auto"/>
            <w:vAlign w:val="center"/>
            <w:hideMark/>
          </w:tcPr>
          <w:p w14:paraId="37303BB0" w14:textId="77777777" w:rsidR="00416FA8" w:rsidRPr="004B6753" w:rsidRDefault="00416FA8" w:rsidP="004B6753">
            <w:pPr>
              <w:pStyle w:val="NoSpacing"/>
              <w:jc w:val="center"/>
              <w:rPr>
                <w:rFonts w:ascii="Times New Roman" w:hAnsi="Times New Roman" w:cs="Times New Roman"/>
                <w:szCs w:val="24"/>
              </w:rPr>
            </w:pPr>
            <w:r w:rsidRPr="004B6753">
              <w:rPr>
                <w:rFonts w:ascii="Times New Roman" w:hAnsi="Times New Roman" w:cs="Times New Roman"/>
                <w:szCs w:val="24"/>
              </w:rPr>
              <w:t>18.24</w:t>
            </w:r>
          </w:p>
        </w:tc>
        <w:tc>
          <w:tcPr>
            <w:tcW w:w="0" w:type="auto"/>
            <w:vAlign w:val="center"/>
            <w:hideMark/>
          </w:tcPr>
          <w:p w14:paraId="506EAEB2" w14:textId="77777777" w:rsidR="00416FA8" w:rsidRPr="004B6753" w:rsidRDefault="00416FA8" w:rsidP="004B6753">
            <w:pPr>
              <w:pStyle w:val="NoSpacing"/>
              <w:jc w:val="center"/>
              <w:rPr>
                <w:rFonts w:ascii="Times New Roman" w:hAnsi="Times New Roman" w:cs="Times New Roman"/>
                <w:szCs w:val="24"/>
              </w:rPr>
            </w:pPr>
            <w:r w:rsidRPr="004B6753">
              <w:rPr>
                <w:rFonts w:ascii="Times New Roman" w:hAnsi="Times New Roman" w:cs="Times New Roman"/>
                <w:szCs w:val="24"/>
              </w:rPr>
              <w:t>3.35</w:t>
            </w:r>
          </w:p>
        </w:tc>
        <w:tc>
          <w:tcPr>
            <w:tcW w:w="0" w:type="auto"/>
            <w:vAlign w:val="center"/>
            <w:hideMark/>
          </w:tcPr>
          <w:p w14:paraId="4130C1C0" w14:textId="77777777" w:rsidR="00416FA8" w:rsidRPr="004B6753" w:rsidRDefault="00416FA8" w:rsidP="004B6753">
            <w:pPr>
              <w:pStyle w:val="NoSpacing"/>
              <w:jc w:val="center"/>
              <w:rPr>
                <w:rFonts w:ascii="Times New Roman" w:hAnsi="Times New Roman" w:cs="Times New Roman"/>
                <w:szCs w:val="24"/>
              </w:rPr>
            </w:pPr>
            <w:r w:rsidRPr="004B6753">
              <w:rPr>
                <w:rFonts w:ascii="Times New Roman" w:hAnsi="Times New Roman" w:cs="Times New Roman"/>
                <w:szCs w:val="24"/>
              </w:rPr>
              <w:t>7.76</w:t>
            </w:r>
          </w:p>
        </w:tc>
        <w:tc>
          <w:tcPr>
            <w:tcW w:w="0" w:type="auto"/>
            <w:vAlign w:val="center"/>
            <w:hideMark/>
          </w:tcPr>
          <w:p w14:paraId="0685A97C" w14:textId="77777777" w:rsidR="00416FA8" w:rsidRPr="004B6753" w:rsidRDefault="00416FA8" w:rsidP="004B6753">
            <w:pPr>
              <w:pStyle w:val="NoSpacing"/>
              <w:jc w:val="center"/>
              <w:rPr>
                <w:rFonts w:ascii="Times New Roman" w:hAnsi="Times New Roman" w:cs="Times New Roman"/>
                <w:szCs w:val="24"/>
              </w:rPr>
            </w:pPr>
            <w:r w:rsidRPr="004B6753">
              <w:rPr>
                <w:rFonts w:ascii="Times New Roman" w:hAnsi="Times New Roman" w:cs="Times New Roman"/>
                <w:szCs w:val="24"/>
              </w:rPr>
              <w:t>2.53</w:t>
            </w:r>
          </w:p>
        </w:tc>
        <w:tc>
          <w:tcPr>
            <w:tcW w:w="0" w:type="auto"/>
            <w:vAlign w:val="center"/>
            <w:hideMark/>
          </w:tcPr>
          <w:p w14:paraId="50C3BF81" w14:textId="77777777" w:rsidR="00416FA8" w:rsidRPr="004B6753" w:rsidRDefault="00416FA8" w:rsidP="004B6753">
            <w:pPr>
              <w:pStyle w:val="NoSpacing"/>
              <w:jc w:val="center"/>
              <w:rPr>
                <w:rFonts w:ascii="Times New Roman" w:hAnsi="Times New Roman" w:cs="Times New Roman"/>
                <w:szCs w:val="24"/>
              </w:rPr>
            </w:pPr>
            <w:r w:rsidRPr="004B6753">
              <w:rPr>
                <w:rFonts w:ascii="Times New Roman" w:hAnsi="Times New Roman" w:cs="Times New Roman"/>
                <w:szCs w:val="24"/>
              </w:rPr>
              <w:t>19.21</w:t>
            </w:r>
          </w:p>
        </w:tc>
        <w:tc>
          <w:tcPr>
            <w:tcW w:w="0" w:type="auto"/>
            <w:vAlign w:val="center"/>
            <w:hideMark/>
          </w:tcPr>
          <w:p w14:paraId="0096A051" w14:textId="77777777" w:rsidR="00416FA8" w:rsidRPr="004B6753" w:rsidRDefault="00416FA8" w:rsidP="004B6753">
            <w:pPr>
              <w:pStyle w:val="NoSpacing"/>
              <w:jc w:val="center"/>
              <w:rPr>
                <w:rFonts w:ascii="Times New Roman" w:hAnsi="Times New Roman" w:cs="Times New Roman"/>
                <w:szCs w:val="24"/>
              </w:rPr>
            </w:pPr>
            <w:r w:rsidRPr="004B6753">
              <w:rPr>
                <w:rFonts w:ascii="Times New Roman" w:hAnsi="Times New Roman" w:cs="Times New Roman"/>
                <w:szCs w:val="24"/>
              </w:rPr>
              <w:t>4.52</w:t>
            </w:r>
          </w:p>
        </w:tc>
        <w:tc>
          <w:tcPr>
            <w:tcW w:w="0" w:type="auto"/>
            <w:vAlign w:val="center"/>
            <w:hideMark/>
          </w:tcPr>
          <w:p w14:paraId="2D90FED8" w14:textId="77777777" w:rsidR="00416FA8" w:rsidRPr="004B6753" w:rsidRDefault="00416FA8" w:rsidP="004B6753">
            <w:pPr>
              <w:pStyle w:val="NoSpacing"/>
              <w:jc w:val="center"/>
              <w:rPr>
                <w:rFonts w:ascii="Times New Roman" w:hAnsi="Times New Roman" w:cs="Times New Roman"/>
                <w:szCs w:val="24"/>
              </w:rPr>
            </w:pPr>
            <w:r w:rsidRPr="004B6753">
              <w:rPr>
                <w:rFonts w:ascii="Times New Roman" w:hAnsi="Times New Roman" w:cs="Times New Roman"/>
                <w:szCs w:val="24"/>
              </w:rPr>
              <w:t>3.92</w:t>
            </w:r>
          </w:p>
        </w:tc>
        <w:tc>
          <w:tcPr>
            <w:tcW w:w="0" w:type="auto"/>
            <w:vAlign w:val="center"/>
            <w:hideMark/>
          </w:tcPr>
          <w:p w14:paraId="2E8D7FE2" w14:textId="77777777" w:rsidR="00416FA8" w:rsidRPr="004B6753" w:rsidRDefault="00416FA8" w:rsidP="004B6753">
            <w:pPr>
              <w:pStyle w:val="NoSpacing"/>
              <w:jc w:val="center"/>
              <w:rPr>
                <w:rFonts w:ascii="Times New Roman" w:hAnsi="Times New Roman" w:cs="Times New Roman"/>
                <w:szCs w:val="24"/>
              </w:rPr>
            </w:pPr>
            <w:r w:rsidRPr="004B6753">
              <w:rPr>
                <w:rFonts w:ascii="Times New Roman" w:hAnsi="Times New Roman" w:cs="Times New Roman"/>
                <w:szCs w:val="24"/>
              </w:rPr>
              <w:t>5.62</w:t>
            </w:r>
          </w:p>
        </w:tc>
        <w:tc>
          <w:tcPr>
            <w:tcW w:w="0" w:type="auto"/>
            <w:vAlign w:val="center"/>
            <w:hideMark/>
          </w:tcPr>
          <w:p w14:paraId="056FD729" w14:textId="77777777" w:rsidR="00416FA8" w:rsidRPr="004B6753" w:rsidRDefault="00416FA8" w:rsidP="004B6753">
            <w:pPr>
              <w:pStyle w:val="NoSpacing"/>
              <w:jc w:val="center"/>
              <w:rPr>
                <w:rFonts w:ascii="Times New Roman" w:hAnsi="Times New Roman" w:cs="Times New Roman"/>
                <w:szCs w:val="24"/>
              </w:rPr>
            </w:pPr>
            <w:r w:rsidRPr="004B6753">
              <w:rPr>
                <w:rFonts w:ascii="Times New Roman" w:hAnsi="Times New Roman" w:cs="Times New Roman"/>
                <w:szCs w:val="24"/>
              </w:rPr>
              <w:t>42.70</w:t>
            </w:r>
          </w:p>
        </w:tc>
        <w:tc>
          <w:tcPr>
            <w:tcW w:w="0" w:type="auto"/>
            <w:vAlign w:val="center"/>
            <w:hideMark/>
          </w:tcPr>
          <w:p w14:paraId="2E9DF7C1" w14:textId="77777777" w:rsidR="00416FA8" w:rsidRPr="004B6753" w:rsidRDefault="00416FA8" w:rsidP="004B6753">
            <w:pPr>
              <w:pStyle w:val="NoSpacing"/>
              <w:jc w:val="center"/>
              <w:rPr>
                <w:rFonts w:ascii="Times New Roman" w:hAnsi="Times New Roman" w:cs="Times New Roman"/>
                <w:szCs w:val="24"/>
              </w:rPr>
            </w:pPr>
            <w:r w:rsidRPr="004B6753">
              <w:rPr>
                <w:rFonts w:ascii="Times New Roman" w:hAnsi="Times New Roman" w:cs="Times New Roman"/>
                <w:szCs w:val="24"/>
              </w:rPr>
              <w:t>113.51</w:t>
            </w:r>
          </w:p>
        </w:tc>
      </w:tr>
      <w:tr w:rsidR="00416FA8" w:rsidRPr="004B6753" w14:paraId="59A96BB6" w14:textId="77777777" w:rsidTr="004B6753">
        <w:trPr>
          <w:trHeight w:val="20"/>
        </w:trPr>
        <w:tc>
          <w:tcPr>
            <w:tcW w:w="1995" w:type="dxa"/>
            <w:hideMark/>
          </w:tcPr>
          <w:p w14:paraId="2E7DF812" w14:textId="77777777" w:rsidR="00416FA8" w:rsidRPr="004B6753" w:rsidRDefault="00416FA8" w:rsidP="004B6753">
            <w:pPr>
              <w:pStyle w:val="NoSpacing"/>
              <w:rPr>
                <w:rFonts w:ascii="Times New Roman" w:hAnsi="Times New Roman" w:cs="Times New Roman"/>
                <w:szCs w:val="24"/>
              </w:rPr>
            </w:pPr>
            <w:r w:rsidRPr="004B6753">
              <w:rPr>
                <w:rFonts w:ascii="Times New Roman" w:hAnsi="Times New Roman" w:cs="Times New Roman"/>
                <w:szCs w:val="24"/>
              </w:rPr>
              <w:t>1966-67</w:t>
            </w:r>
          </w:p>
        </w:tc>
        <w:tc>
          <w:tcPr>
            <w:tcW w:w="0" w:type="auto"/>
            <w:vAlign w:val="center"/>
            <w:hideMark/>
          </w:tcPr>
          <w:p w14:paraId="31A2885B" w14:textId="77777777" w:rsidR="00416FA8" w:rsidRPr="004B6753" w:rsidRDefault="00416FA8" w:rsidP="004B6753">
            <w:pPr>
              <w:pStyle w:val="NoSpacing"/>
              <w:jc w:val="center"/>
              <w:rPr>
                <w:rFonts w:ascii="Times New Roman" w:hAnsi="Times New Roman" w:cs="Times New Roman"/>
                <w:szCs w:val="24"/>
              </w:rPr>
            </w:pPr>
            <w:r w:rsidRPr="004B6753">
              <w:rPr>
                <w:rFonts w:ascii="Times New Roman" w:hAnsi="Times New Roman" w:cs="Times New Roman"/>
                <w:szCs w:val="24"/>
              </w:rPr>
              <w:t>6.14</w:t>
            </w:r>
          </w:p>
        </w:tc>
        <w:tc>
          <w:tcPr>
            <w:tcW w:w="0" w:type="auto"/>
            <w:vAlign w:val="center"/>
            <w:hideMark/>
          </w:tcPr>
          <w:p w14:paraId="4355DF47" w14:textId="77777777" w:rsidR="00416FA8" w:rsidRPr="004B6753" w:rsidRDefault="00416FA8" w:rsidP="004B6753">
            <w:pPr>
              <w:pStyle w:val="NoSpacing"/>
              <w:jc w:val="center"/>
              <w:rPr>
                <w:rFonts w:ascii="Times New Roman" w:hAnsi="Times New Roman" w:cs="Times New Roman"/>
                <w:szCs w:val="24"/>
              </w:rPr>
            </w:pPr>
            <w:r w:rsidRPr="004B6753">
              <w:rPr>
                <w:rFonts w:ascii="Times New Roman" w:hAnsi="Times New Roman" w:cs="Times New Roman"/>
                <w:szCs w:val="24"/>
              </w:rPr>
              <w:t>18.97</w:t>
            </w:r>
          </w:p>
        </w:tc>
        <w:tc>
          <w:tcPr>
            <w:tcW w:w="0" w:type="auto"/>
            <w:vAlign w:val="center"/>
            <w:hideMark/>
          </w:tcPr>
          <w:p w14:paraId="506386ED" w14:textId="77777777" w:rsidR="00416FA8" w:rsidRPr="004B6753" w:rsidRDefault="00416FA8" w:rsidP="004B6753">
            <w:pPr>
              <w:pStyle w:val="NoSpacing"/>
              <w:jc w:val="center"/>
              <w:rPr>
                <w:rFonts w:ascii="Times New Roman" w:hAnsi="Times New Roman" w:cs="Times New Roman"/>
                <w:szCs w:val="24"/>
              </w:rPr>
            </w:pPr>
            <w:r w:rsidRPr="004B6753">
              <w:rPr>
                <w:rFonts w:ascii="Times New Roman" w:hAnsi="Times New Roman" w:cs="Times New Roman"/>
                <w:szCs w:val="24"/>
              </w:rPr>
              <w:t>3.27</w:t>
            </w:r>
          </w:p>
        </w:tc>
        <w:tc>
          <w:tcPr>
            <w:tcW w:w="0" w:type="auto"/>
            <w:vAlign w:val="center"/>
            <w:hideMark/>
          </w:tcPr>
          <w:p w14:paraId="153C0DAA" w14:textId="77777777" w:rsidR="00416FA8" w:rsidRPr="004B6753" w:rsidRDefault="00416FA8" w:rsidP="004B6753">
            <w:pPr>
              <w:pStyle w:val="NoSpacing"/>
              <w:jc w:val="center"/>
              <w:rPr>
                <w:rFonts w:ascii="Times New Roman" w:hAnsi="Times New Roman" w:cs="Times New Roman"/>
                <w:szCs w:val="24"/>
              </w:rPr>
            </w:pPr>
            <w:r w:rsidRPr="004B6753">
              <w:rPr>
                <w:rFonts w:ascii="Times New Roman" w:hAnsi="Times New Roman" w:cs="Times New Roman"/>
                <w:szCs w:val="24"/>
              </w:rPr>
              <w:t>8.76</w:t>
            </w:r>
          </w:p>
        </w:tc>
        <w:tc>
          <w:tcPr>
            <w:tcW w:w="0" w:type="auto"/>
            <w:vAlign w:val="center"/>
            <w:hideMark/>
          </w:tcPr>
          <w:p w14:paraId="3BE4E4E3" w14:textId="77777777" w:rsidR="00416FA8" w:rsidRPr="004B6753" w:rsidRDefault="00416FA8" w:rsidP="004B6753">
            <w:pPr>
              <w:pStyle w:val="NoSpacing"/>
              <w:jc w:val="center"/>
              <w:rPr>
                <w:rFonts w:ascii="Times New Roman" w:hAnsi="Times New Roman" w:cs="Times New Roman"/>
                <w:szCs w:val="24"/>
              </w:rPr>
            </w:pPr>
            <w:r w:rsidRPr="004B6753">
              <w:rPr>
                <w:rFonts w:ascii="Times New Roman" w:hAnsi="Times New Roman" w:cs="Times New Roman"/>
                <w:szCs w:val="24"/>
              </w:rPr>
              <w:t>2.98</w:t>
            </w:r>
          </w:p>
        </w:tc>
        <w:tc>
          <w:tcPr>
            <w:tcW w:w="0" w:type="auto"/>
            <w:vAlign w:val="center"/>
            <w:hideMark/>
          </w:tcPr>
          <w:p w14:paraId="572D9FCC" w14:textId="77777777" w:rsidR="00416FA8" w:rsidRPr="004B6753" w:rsidRDefault="00416FA8" w:rsidP="004B6753">
            <w:pPr>
              <w:pStyle w:val="NoSpacing"/>
              <w:jc w:val="center"/>
              <w:rPr>
                <w:rFonts w:ascii="Times New Roman" w:hAnsi="Times New Roman" w:cs="Times New Roman"/>
                <w:szCs w:val="24"/>
              </w:rPr>
            </w:pPr>
            <w:r w:rsidRPr="004B6753">
              <w:rPr>
                <w:rFonts w:ascii="Times New Roman" w:hAnsi="Times New Roman" w:cs="Times New Roman"/>
                <w:szCs w:val="24"/>
              </w:rPr>
              <w:t>21.18</w:t>
            </w:r>
          </w:p>
        </w:tc>
        <w:tc>
          <w:tcPr>
            <w:tcW w:w="0" w:type="auto"/>
            <w:vAlign w:val="center"/>
            <w:hideMark/>
          </w:tcPr>
          <w:p w14:paraId="0C582BF4" w14:textId="77777777" w:rsidR="00416FA8" w:rsidRPr="004B6753" w:rsidRDefault="00416FA8" w:rsidP="004B6753">
            <w:pPr>
              <w:pStyle w:val="NoSpacing"/>
              <w:jc w:val="center"/>
              <w:rPr>
                <w:rFonts w:ascii="Times New Roman" w:hAnsi="Times New Roman" w:cs="Times New Roman"/>
                <w:szCs w:val="24"/>
              </w:rPr>
            </w:pPr>
            <w:r w:rsidRPr="004B6753">
              <w:rPr>
                <w:rFonts w:ascii="Times New Roman" w:hAnsi="Times New Roman" w:cs="Times New Roman"/>
                <w:szCs w:val="24"/>
              </w:rPr>
              <w:t>5.03</w:t>
            </w:r>
          </w:p>
        </w:tc>
        <w:tc>
          <w:tcPr>
            <w:tcW w:w="0" w:type="auto"/>
            <w:vAlign w:val="center"/>
            <w:hideMark/>
          </w:tcPr>
          <w:p w14:paraId="2D9AF720" w14:textId="77777777" w:rsidR="00416FA8" w:rsidRPr="004B6753" w:rsidRDefault="00416FA8" w:rsidP="004B6753">
            <w:pPr>
              <w:pStyle w:val="NoSpacing"/>
              <w:jc w:val="center"/>
              <w:rPr>
                <w:rFonts w:ascii="Times New Roman" w:hAnsi="Times New Roman" w:cs="Times New Roman"/>
                <w:szCs w:val="24"/>
              </w:rPr>
            </w:pPr>
            <w:r w:rsidRPr="004B6753">
              <w:rPr>
                <w:rFonts w:ascii="Times New Roman" w:hAnsi="Times New Roman" w:cs="Times New Roman"/>
                <w:szCs w:val="24"/>
              </w:rPr>
              <w:t>6.38</w:t>
            </w:r>
          </w:p>
        </w:tc>
        <w:tc>
          <w:tcPr>
            <w:tcW w:w="0" w:type="auto"/>
            <w:vAlign w:val="center"/>
            <w:hideMark/>
          </w:tcPr>
          <w:p w14:paraId="2D07450B" w14:textId="77777777" w:rsidR="00416FA8" w:rsidRPr="004B6753" w:rsidRDefault="00416FA8" w:rsidP="004B6753">
            <w:pPr>
              <w:pStyle w:val="NoSpacing"/>
              <w:jc w:val="center"/>
              <w:rPr>
                <w:rFonts w:ascii="Times New Roman" w:hAnsi="Times New Roman" w:cs="Times New Roman"/>
                <w:szCs w:val="24"/>
              </w:rPr>
            </w:pPr>
            <w:r w:rsidRPr="004B6753">
              <w:rPr>
                <w:rFonts w:ascii="Times New Roman" w:hAnsi="Times New Roman" w:cs="Times New Roman"/>
                <w:szCs w:val="24"/>
              </w:rPr>
              <w:t>6.68</w:t>
            </w:r>
          </w:p>
        </w:tc>
        <w:tc>
          <w:tcPr>
            <w:tcW w:w="0" w:type="auto"/>
            <w:vAlign w:val="center"/>
            <w:hideMark/>
          </w:tcPr>
          <w:p w14:paraId="0AF0763D" w14:textId="77777777" w:rsidR="00416FA8" w:rsidRPr="004B6753" w:rsidRDefault="00416FA8" w:rsidP="004B6753">
            <w:pPr>
              <w:pStyle w:val="NoSpacing"/>
              <w:jc w:val="center"/>
              <w:rPr>
                <w:rFonts w:ascii="Times New Roman" w:hAnsi="Times New Roman" w:cs="Times New Roman"/>
                <w:szCs w:val="24"/>
              </w:rPr>
            </w:pPr>
            <w:r w:rsidRPr="004B6753">
              <w:rPr>
                <w:rFonts w:ascii="Times New Roman" w:hAnsi="Times New Roman" w:cs="Times New Roman"/>
                <w:szCs w:val="24"/>
              </w:rPr>
              <w:t>50.37</w:t>
            </w:r>
          </w:p>
        </w:tc>
        <w:tc>
          <w:tcPr>
            <w:tcW w:w="0" w:type="auto"/>
            <w:vAlign w:val="center"/>
            <w:hideMark/>
          </w:tcPr>
          <w:p w14:paraId="45F4C153" w14:textId="77777777" w:rsidR="00416FA8" w:rsidRPr="004B6753" w:rsidRDefault="00416FA8" w:rsidP="004B6753">
            <w:pPr>
              <w:pStyle w:val="NoSpacing"/>
              <w:jc w:val="center"/>
              <w:rPr>
                <w:rFonts w:ascii="Times New Roman" w:hAnsi="Times New Roman" w:cs="Times New Roman"/>
                <w:szCs w:val="24"/>
              </w:rPr>
            </w:pPr>
            <w:r w:rsidRPr="004B6753">
              <w:rPr>
                <w:rFonts w:ascii="Times New Roman" w:hAnsi="Times New Roman" w:cs="Times New Roman"/>
                <w:szCs w:val="24"/>
              </w:rPr>
              <w:t>129.76</w:t>
            </w:r>
          </w:p>
        </w:tc>
      </w:tr>
      <w:tr w:rsidR="00416FA8" w:rsidRPr="004B6753" w14:paraId="116F8254" w14:textId="77777777" w:rsidTr="004B6753">
        <w:trPr>
          <w:trHeight w:val="20"/>
        </w:trPr>
        <w:tc>
          <w:tcPr>
            <w:tcW w:w="1995" w:type="dxa"/>
            <w:hideMark/>
          </w:tcPr>
          <w:p w14:paraId="539607CC" w14:textId="77777777" w:rsidR="00416FA8" w:rsidRPr="004B6753" w:rsidRDefault="00416FA8" w:rsidP="004B6753">
            <w:pPr>
              <w:pStyle w:val="NoSpacing"/>
              <w:rPr>
                <w:rFonts w:ascii="Times New Roman" w:hAnsi="Times New Roman" w:cs="Times New Roman"/>
                <w:szCs w:val="24"/>
              </w:rPr>
            </w:pPr>
            <w:r w:rsidRPr="004B6753">
              <w:rPr>
                <w:rFonts w:ascii="Times New Roman" w:hAnsi="Times New Roman" w:cs="Times New Roman"/>
                <w:szCs w:val="24"/>
              </w:rPr>
              <w:t>1967-68</w:t>
            </w:r>
          </w:p>
        </w:tc>
        <w:tc>
          <w:tcPr>
            <w:tcW w:w="0" w:type="auto"/>
            <w:vAlign w:val="center"/>
            <w:hideMark/>
          </w:tcPr>
          <w:p w14:paraId="3DB5FF6A" w14:textId="77777777" w:rsidR="00416FA8" w:rsidRPr="004B6753" w:rsidRDefault="00416FA8" w:rsidP="004B6753">
            <w:pPr>
              <w:pStyle w:val="NoSpacing"/>
              <w:jc w:val="center"/>
              <w:rPr>
                <w:rFonts w:ascii="Times New Roman" w:hAnsi="Times New Roman" w:cs="Times New Roman"/>
                <w:szCs w:val="24"/>
              </w:rPr>
            </w:pPr>
            <w:r w:rsidRPr="004B6753">
              <w:rPr>
                <w:rFonts w:ascii="Times New Roman" w:hAnsi="Times New Roman" w:cs="Times New Roman"/>
                <w:szCs w:val="24"/>
              </w:rPr>
              <w:t>6.89</w:t>
            </w:r>
          </w:p>
        </w:tc>
        <w:tc>
          <w:tcPr>
            <w:tcW w:w="0" w:type="auto"/>
            <w:vAlign w:val="center"/>
            <w:hideMark/>
          </w:tcPr>
          <w:p w14:paraId="0A146B57" w14:textId="77777777" w:rsidR="00416FA8" w:rsidRPr="004B6753" w:rsidRDefault="00416FA8" w:rsidP="004B6753">
            <w:pPr>
              <w:pStyle w:val="NoSpacing"/>
              <w:jc w:val="center"/>
              <w:rPr>
                <w:rFonts w:ascii="Times New Roman" w:hAnsi="Times New Roman" w:cs="Times New Roman"/>
                <w:szCs w:val="24"/>
              </w:rPr>
            </w:pPr>
            <w:r w:rsidRPr="004B6753">
              <w:rPr>
                <w:rFonts w:ascii="Times New Roman" w:hAnsi="Times New Roman" w:cs="Times New Roman"/>
                <w:szCs w:val="24"/>
              </w:rPr>
              <w:t>21.46</w:t>
            </w:r>
          </w:p>
        </w:tc>
        <w:tc>
          <w:tcPr>
            <w:tcW w:w="0" w:type="auto"/>
            <w:vAlign w:val="center"/>
            <w:hideMark/>
          </w:tcPr>
          <w:p w14:paraId="4C669650" w14:textId="77777777" w:rsidR="00416FA8" w:rsidRPr="004B6753" w:rsidRDefault="00416FA8" w:rsidP="004B6753">
            <w:pPr>
              <w:pStyle w:val="NoSpacing"/>
              <w:jc w:val="center"/>
              <w:rPr>
                <w:rFonts w:ascii="Times New Roman" w:hAnsi="Times New Roman" w:cs="Times New Roman"/>
                <w:szCs w:val="24"/>
              </w:rPr>
            </w:pPr>
            <w:r w:rsidRPr="004B6753">
              <w:rPr>
                <w:rFonts w:ascii="Times New Roman" w:hAnsi="Times New Roman" w:cs="Times New Roman"/>
                <w:szCs w:val="24"/>
              </w:rPr>
              <w:t>3.64</w:t>
            </w:r>
          </w:p>
        </w:tc>
        <w:tc>
          <w:tcPr>
            <w:tcW w:w="0" w:type="auto"/>
            <w:vAlign w:val="center"/>
            <w:hideMark/>
          </w:tcPr>
          <w:p w14:paraId="16A14D43" w14:textId="77777777" w:rsidR="00416FA8" w:rsidRPr="004B6753" w:rsidRDefault="00416FA8" w:rsidP="004B6753">
            <w:pPr>
              <w:pStyle w:val="NoSpacing"/>
              <w:jc w:val="center"/>
              <w:rPr>
                <w:rFonts w:ascii="Times New Roman" w:hAnsi="Times New Roman" w:cs="Times New Roman"/>
                <w:szCs w:val="24"/>
              </w:rPr>
            </w:pPr>
            <w:r w:rsidRPr="004B6753">
              <w:rPr>
                <w:rFonts w:ascii="Times New Roman" w:hAnsi="Times New Roman" w:cs="Times New Roman"/>
                <w:szCs w:val="24"/>
              </w:rPr>
              <w:t>10.47</w:t>
            </w:r>
          </w:p>
        </w:tc>
        <w:tc>
          <w:tcPr>
            <w:tcW w:w="0" w:type="auto"/>
            <w:vAlign w:val="center"/>
            <w:hideMark/>
          </w:tcPr>
          <w:p w14:paraId="451DC0C8" w14:textId="77777777" w:rsidR="00416FA8" w:rsidRPr="004B6753" w:rsidRDefault="00416FA8" w:rsidP="004B6753">
            <w:pPr>
              <w:pStyle w:val="NoSpacing"/>
              <w:jc w:val="center"/>
              <w:rPr>
                <w:rFonts w:ascii="Times New Roman" w:hAnsi="Times New Roman" w:cs="Times New Roman"/>
                <w:szCs w:val="24"/>
              </w:rPr>
            </w:pPr>
            <w:r w:rsidRPr="004B6753">
              <w:rPr>
                <w:rFonts w:ascii="Times New Roman" w:hAnsi="Times New Roman" w:cs="Times New Roman"/>
                <w:szCs w:val="24"/>
              </w:rPr>
              <w:t>3.13</w:t>
            </w:r>
          </w:p>
        </w:tc>
        <w:tc>
          <w:tcPr>
            <w:tcW w:w="0" w:type="auto"/>
            <w:vAlign w:val="center"/>
            <w:hideMark/>
          </w:tcPr>
          <w:p w14:paraId="21799066" w14:textId="77777777" w:rsidR="00416FA8" w:rsidRPr="004B6753" w:rsidRDefault="00416FA8" w:rsidP="004B6753">
            <w:pPr>
              <w:pStyle w:val="NoSpacing"/>
              <w:jc w:val="center"/>
              <w:rPr>
                <w:rFonts w:ascii="Times New Roman" w:hAnsi="Times New Roman" w:cs="Times New Roman"/>
                <w:szCs w:val="24"/>
              </w:rPr>
            </w:pPr>
            <w:r w:rsidRPr="004B6753">
              <w:rPr>
                <w:rFonts w:ascii="Times New Roman" w:hAnsi="Times New Roman" w:cs="Times New Roman"/>
                <w:szCs w:val="24"/>
              </w:rPr>
              <w:t>26.41</w:t>
            </w:r>
          </w:p>
        </w:tc>
        <w:tc>
          <w:tcPr>
            <w:tcW w:w="0" w:type="auto"/>
            <w:vAlign w:val="center"/>
            <w:hideMark/>
          </w:tcPr>
          <w:p w14:paraId="4FA5676E" w14:textId="77777777" w:rsidR="00416FA8" w:rsidRPr="004B6753" w:rsidRDefault="00416FA8" w:rsidP="004B6753">
            <w:pPr>
              <w:pStyle w:val="NoSpacing"/>
              <w:jc w:val="center"/>
              <w:rPr>
                <w:rFonts w:ascii="Times New Roman" w:hAnsi="Times New Roman" w:cs="Times New Roman"/>
                <w:szCs w:val="24"/>
              </w:rPr>
            </w:pPr>
            <w:r w:rsidRPr="004B6753">
              <w:rPr>
                <w:rFonts w:ascii="Times New Roman" w:hAnsi="Times New Roman" w:cs="Times New Roman"/>
                <w:szCs w:val="24"/>
              </w:rPr>
              <w:t>6.05</w:t>
            </w:r>
          </w:p>
        </w:tc>
        <w:tc>
          <w:tcPr>
            <w:tcW w:w="0" w:type="auto"/>
            <w:vAlign w:val="center"/>
            <w:hideMark/>
          </w:tcPr>
          <w:p w14:paraId="177DC0A7" w14:textId="77777777" w:rsidR="00416FA8" w:rsidRPr="004B6753" w:rsidRDefault="00416FA8" w:rsidP="004B6753">
            <w:pPr>
              <w:pStyle w:val="NoSpacing"/>
              <w:jc w:val="center"/>
              <w:rPr>
                <w:rFonts w:ascii="Times New Roman" w:hAnsi="Times New Roman" w:cs="Times New Roman"/>
                <w:szCs w:val="24"/>
              </w:rPr>
            </w:pPr>
            <w:r w:rsidRPr="004B6753">
              <w:rPr>
                <w:rFonts w:ascii="Times New Roman" w:hAnsi="Times New Roman" w:cs="Times New Roman"/>
                <w:szCs w:val="24"/>
              </w:rPr>
              <w:t>5.70</w:t>
            </w:r>
          </w:p>
        </w:tc>
        <w:tc>
          <w:tcPr>
            <w:tcW w:w="0" w:type="auto"/>
            <w:vAlign w:val="center"/>
            <w:hideMark/>
          </w:tcPr>
          <w:p w14:paraId="4E548A67" w14:textId="77777777" w:rsidR="00416FA8" w:rsidRPr="004B6753" w:rsidRDefault="00416FA8" w:rsidP="004B6753">
            <w:pPr>
              <w:pStyle w:val="NoSpacing"/>
              <w:jc w:val="center"/>
              <w:rPr>
                <w:rFonts w:ascii="Times New Roman" w:hAnsi="Times New Roman" w:cs="Times New Roman"/>
                <w:szCs w:val="24"/>
              </w:rPr>
            </w:pPr>
            <w:r w:rsidRPr="004B6753">
              <w:rPr>
                <w:rFonts w:ascii="Times New Roman" w:hAnsi="Times New Roman" w:cs="Times New Roman"/>
                <w:szCs w:val="24"/>
              </w:rPr>
              <w:t>7.05</w:t>
            </w:r>
          </w:p>
        </w:tc>
        <w:tc>
          <w:tcPr>
            <w:tcW w:w="0" w:type="auto"/>
            <w:vAlign w:val="center"/>
            <w:hideMark/>
          </w:tcPr>
          <w:p w14:paraId="1C4E730D" w14:textId="77777777" w:rsidR="00416FA8" w:rsidRPr="004B6753" w:rsidRDefault="00416FA8" w:rsidP="004B6753">
            <w:pPr>
              <w:pStyle w:val="NoSpacing"/>
              <w:jc w:val="center"/>
              <w:rPr>
                <w:rFonts w:ascii="Times New Roman" w:hAnsi="Times New Roman" w:cs="Times New Roman"/>
                <w:szCs w:val="24"/>
              </w:rPr>
            </w:pPr>
            <w:r w:rsidRPr="004B6753">
              <w:rPr>
                <w:rFonts w:ascii="Times New Roman" w:hAnsi="Times New Roman" w:cs="Times New Roman"/>
                <w:szCs w:val="24"/>
              </w:rPr>
              <w:t>55.94</w:t>
            </w:r>
          </w:p>
        </w:tc>
        <w:tc>
          <w:tcPr>
            <w:tcW w:w="0" w:type="auto"/>
            <w:vAlign w:val="center"/>
            <w:hideMark/>
          </w:tcPr>
          <w:p w14:paraId="08A08734" w14:textId="77777777" w:rsidR="00416FA8" w:rsidRPr="004B6753" w:rsidRDefault="00416FA8" w:rsidP="004B6753">
            <w:pPr>
              <w:pStyle w:val="NoSpacing"/>
              <w:jc w:val="center"/>
              <w:rPr>
                <w:rFonts w:ascii="Times New Roman" w:hAnsi="Times New Roman" w:cs="Times New Roman"/>
                <w:szCs w:val="24"/>
              </w:rPr>
            </w:pPr>
            <w:r w:rsidRPr="004B6753">
              <w:rPr>
                <w:rFonts w:ascii="Times New Roman" w:hAnsi="Times New Roman" w:cs="Times New Roman"/>
                <w:szCs w:val="24"/>
              </w:rPr>
              <w:t>146.74</w:t>
            </w:r>
          </w:p>
        </w:tc>
      </w:tr>
      <w:tr w:rsidR="00416FA8" w:rsidRPr="004B6753" w14:paraId="50BD2ED2" w14:textId="77777777" w:rsidTr="004B6753">
        <w:trPr>
          <w:trHeight w:val="20"/>
        </w:trPr>
        <w:tc>
          <w:tcPr>
            <w:tcW w:w="1995" w:type="dxa"/>
            <w:hideMark/>
          </w:tcPr>
          <w:p w14:paraId="7DE778F9" w14:textId="77777777" w:rsidR="00416FA8" w:rsidRPr="004B6753" w:rsidRDefault="00416FA8" w:rsidP="004B6753">
            <w:pPr>
              <w:pStyle w:val="NoSpacing"/>
              <w:jc w:val="center"/>
              <w:rPr>
                <w:rFonts w:ascii="Times New Roman" w:hAnsi="Times New Roman" w:cs="Times New Roman"/>
                <w:szCs w:val="24"/>
              </w:rPr>
            </w:pPr>
            <w:r w:rsidRPr="004B6753">
              <w:rPr>
                <w:rFonts w:ascii="Times New Roman" w:hAnsi="Times New Roman" w:cs="Times New Roman"/>
                <w:szCs w:val="24"/>
              </w:rPr>
              <w:t>1968-69 (RE)</w:t>
            </w:r>
          </w:p>
        </w:tc>
        <w:tc>
          <w:tcPr>
            <w:tcW w:w="0" w:type="auto"/>
            <w:vAlign w:val="center"/>
            <w:hideMark/>
          </w:tcPr>
          <w:p w14:paraId="3418EBF5" w14:textId="77777777" w:rsidR="00416FA8" w:rsidRPr="004B6753" w:rsidRDefault="00416FA8" w:rsidP="004B6753">
            <w:pPr>
              <w:pStyle w:val="NoSpacing"/>
              <w:jc w:val="center"/>
              <w:rPr>
                <w:rFonts w:ascii="Times New Roman" w:hAnsi="Times New Roman" w:cs="Times New Roman"/>
                <w:szCs w:val="24"/>
              </w:rPr>
            </w:pPr>
            <w:r w:rsidRPr="004B6753">
              <w:rPr>
                <w:rFonts w:ascii="Times New Roman" w:hAnsi="Times New Roman" w:cs="Times New Roman"/>
                <w:szCs w:val="24"/>
              </w:rPr>
              <w:t>8.87</w:t>
            </w:r>
          </w:p>
        </w:tc>
        <w:tc>
          <w:tcPr>
            <w:tcW w:w="0" w:type="auto"/>
            <w:vAlign w:val="center"/>
            <w:hideMark/>
          </w:tcPr>
          <w:p w14:paraId="3B20E774" w14:textId="77777777" w:rsidR="00416FA8" w:rsidRPr="004B6753" w:rsidRDefault="00416FA8" w:rsidP="004B6753">
            <w:pPr>
              <w:pStyle w:val="NoSpacing"/>
              <w:jc w:val="center"/>
              <w:rPr>
                <w:rFonts w:ascii="Times New Roman" w:hAnsi="Times New Roman" w:cs="Times New Roman"/>
                <w:szCs w:val="24"/>
              </w:rPr>
            </w:pPr>
            <w:r w:rsidRPr="004B6753">
              <w:rPr>
                <w:rFonts w:ascii="Times New Roman" w:hAnsi="Times New Roman" w:cs="Times New Roman"/>
                <w:szCs w:val="24"/>
              </w:rPr>
              <w:t>23.93</w:t>
            </w:r>
          </w:p>
        </w:tc>
        <w:tc>
          <w:tcPr>
            <w:tcW w:w="0" w:type="auto"/>
            <w:vAlign w:val="center"/>
            <w:hideMark/>
          </w:tcPr>
          <w:p w14:paraId="785C119F" w14:textId="77777777" w:rsidR="00416FA8" w:rsidRPr="004B6753" w:rsidRDefault="00416FA8" w:rsidP="004B6753">
            <w:pPr>
              <w:pStyle w:val="NoSpacing"/>
              <w:jc w:val="center"/>
              <w:rPr>
                <w:rFonts w:ascii="Times New Roman" w:hAnsi="Times New Roman" w:cs="Times New Roman"/>
                <w:szCs w:val="24"/>
              </w:rPr>
            </w:pPr>
            <w:r w:rsidRPr="004B6753">
              <w:rPr>
                <w:rFonts w:ascii="Times New Roman" w:hAnsi="Times New Roman" w:cs="Times New Roman"/>
                <w:szCs w:val="24"/>
              </w:rPr>
              <w:t>4.08</w:t>
            </w:r>
          </w:p>
        </w:tc>
        <w:tc>
          <w:tcPr>
            <w:tcW w:w="0" w:type="auto"/>
            <w:vAlign w:val="center"/>
            <w:hideMark/>
          </w:tcPr>
          <w:p w14:paraId="7F1D01B6" w14:textId="77777777" w:rsidR="00416FA8" w:rsidRPr="004B6753" w:rsidRDefault="00416FA8" w:rsidP="004B6753">
            <w:pPr>
              <w:pStyle w:val="NoSpacing"/>
              <w:jc w:val="center"/>
              <w:rPr>
                <w:rFonts w:ascii="Times New Roman" w:hAnsi="Times New Roman" w:cs="Times New Roman"/>
                <w:szCs w:val="24"/>
              </w:rPr>
            </w:pPr>
            <w:r w:rsidRPr="004B6753">
              <w:rPr>
                <w:rFonts w:ascii="Times New Roman" w:hAnsi="Times New Roman" w:cs="Times New Roman"/>
                <w:szCs w:val="24"/>
              </w:rPr>
              <w:t>10.80</w:t>
            </w:r>
          </w:p>
        </w:tc>
        <w:tc>
          <w:tcPr>
            <w:tcW w:w="0" w:type="auto"/>
            <w:vAlign w:val="center"/>
            <w:hideMark/>
          </w:tcPr>
          <w:p w14:paraId="16D79430" w14:textId="77777777" w:rsidR="00416FA8" w:rsidRPr="004B6753" w:rsidRDefault="00416FA8" w:rsidP="004B6753">
            <w:pPr>
              <w:pStyle w:val="NoSpacing"/>
              <w:jc w:val="center"/>
              <w:rPr>
                <w:rFonts w:ascii="Times New Roman" w:hAnsi="Times New Roman" w:cs="Times New Roman"/>
                <w:szCs w:val="24"/>
              </w:rPr>
            </w:pPr>
            <w:r w:rsidRPr="004B6753">
              <w:rPr>
                <w:rFonts w:ascii="Times New Roman" w:hAnsi="Times New Roman" w:cs="Times New Roman"/>
                <w:szCs w:val="24"/>
              </w:rPr>
              <w:t>3.26</w:t>
            </w:r>
          </w:p>
        </w:tc>
        <w:tc>
          <w:tcPr>
            <w:tcW w:w="0" w:type="auto"/>
            <w:vAlign w:val="center"/>
            <w:hideMark/>
          </w:tcPr>
          <w:p w14:paraId="675CACA8" w14:textId="77777777" w:rsidR="00416FA8" w:rsidRPr="004B6753" w:rsidRDefault="00416FA8" w:rsidP="004B6753">
            <w:pPr>
              <w:pStyle w:val="NoSpacing"/>
              <w:jc w:val="center"/>
              <w:rPr>
                <w:rFonts w:ascii="Times New Roman" w:hAnsi="Times New Roman" w:cs="Times New Roman"/>
                <w:szCs w:val="24"/>
              </w:rPr>
            </w:pPr>
            <w:r w:rsidRPr="004B6753">
              <w:rPr>
                <w:rFonts w:ascii="Times New Roman" w:hAnsi="Times New Roman" w:cs="Times New Roman"/>
                <w:szCs w:val="24"/>
              </w:rPr>
              <w:t>30.24</w:t>
            </w:r>
          </w:p>
        </w:tc>
        <w:tc>
          <w:tcPr>
            <w:tcW w:w="0" w:type="auto"/>
            <w:vAlign w:val="center"/>
            <w:hideMark/>
          </w:tcPr>
          <w:p w14:paraId="6958A436" w14:textId="77777777" w:rsidR="00416FA8" w:rsidRPr="004B6753" w:rsidRDefault="00416FA8" w:rsidP="004B6753">
            <w:pPr>
              <w:pStyle w:val="NoSpacing"/>
              <w:jc w:val="center"/>
              <w:rPr>
                <w:rFonts w:ascii="Times New Roman" w:hAnsi="Times New Roman" w:cs="Times New Roman"/>
                <w:szCs w:val="24"/>
              </w:rPr>
            </w:pPr>
            <w:r w:rsidRPr="004B6753">
              <w:rPr>
                <w:rFonts w:ascii="Times New Roman" w:hAnsi="Times New Roman" w:cs="Times New Roman"/>
                <w:szCs w:val="24"/>
              </w:rPr>
              <w:t>6.80</w:t>
            </w:r>
          </w:p>
        </w:tc>
        <w:tc>
          <w:tcPr>
            <w:tcW w:w="0" w:type="auto"/>
            <w:vAlign w:val="center"/>
            <w:hideMark/>
          </w:tcPr>
          <w:p w14:paraId="08A09D23" w14:textId="77777777" w:rsidR="00416FA8" w:rsidRPr="004B6753" w:rsidRDefault="00416FA8" w:rsidP="004B6753">
            <w:pPr>
              <w:pStyle w:val="NoSpacing"/>
              <w:jc w:val="center"/>
              <w:rPr>
                <w:rFonts w:ascii="Times New Roman" w:hAnsi="Times New Roman" w:cs="Times New Roman"/>
                <w:szCs w:val="24"/>
              </w:rPr>
            </w:pPr>
            <w:r w:rsidRPr="004B6753">
              <w:rPr>
                <w:rFonts w:ascii="Times New Roman" w:hAnsi="Times New Roman" w:cs="Times New Roman"/>
                <w:szCs w:val="24"/>
              </w:rPr>
              <w:t>6.30</w:t>
            </w:r>
          </w:p>
        </w:tc>
        <w:tc>
          <w:tcPr>
            <w:tcW w:w="0" w:type="auto"/>
            <w:vAlign w:val="center"/>
            <w:hideMark/>
          </w:tcPr>
          <w:p w14:paraId="14B90250" w14:textId="77777777" w:rsidR="00416FA8" w:rsidRPr="004B6753" w:rsidRDefault="00416FA8" w:rsidP="004B6753">
            <w:pPr>
              <w:pStyle w:val="NoSpacing"/>
              <w:jc w:val="center"/>
              <w:rPr>
                <w:rFonts w:ascii="Times New Roman" w:hAnsi="Times New Roman" w:cs="Times New Roman"/>
                <w:szCs w:val="24"/>
              </w:rPr>
            </w:pPr>
            <w:r w:rsidRPr="004B6753">
              <w:rPr>
                <w:rFonts w:ascii="Times New Roman" w:hAnsi="Times New Roman" w:cs="Times New Roman"/>
                <w:szCs w:val="24"/>
              </w:rPr>
              <w:t>7.39</w:t>
            </w:r>
          </w:p>
        </w:tc>
        <w:tc>
          <w:tcPr>
            <w:tcW w:w="0" w:type="auto"/>
            <w:vAlign w:val="center"/>
            <w:hideMark/>
          </w:tcPr>
          <w:p w14:paraId="189A6C30" w14:textId="77777777" w:rsidR="00416FA8" w:rsidRPr="004B6753" w:rsidRDefault="00416FA8" w:rsidP="004B6753">
            <w:pPr>
              <w:pStyle w:val="NoSpacing"/>
              <w:jc w:val="center"/>
              <w:rPr>
                <w:rFonts w:ascii="Times New Roman" w:hAnsi="Times New Roman" w:cs="Times New Roman"/>
                <w:szCs w:val="24"/>
              </w:rPr>
            </w:pPr>
            <w:r w:rsidRPr="004B6753">
              <w:rPr>
                <w:rFonts w:ascii="Times New Roman" w:hAnsi="Times New Roman" w:cs="Times New Roman"/>
                <w:szCs w:val="24"/>
              </w:rPr>
              <w:t>58.37</w:t>
            </w:r>
          </w:p>
        </w:tc>
        <w:tc>
          <w:tcPr>
            <w:tcW w:w="0" w:type="auto"/>
            <w:vAlign w:val="center"/>
            <w:hideMark/>
          </w:tcPr>
          <w:p w14:paraId="77353EF5" w14:textId="77777777" w:rsidR="00416FA8" w:rsidRPr="004B6753" w:rsidRDefault="00416FA8" w:rsidP="004B6753">
            <w:pPr>
              <w:pStyle w:val="NoSpacing"/>
              <w:jc w:val="center"/>
              <w:rPr>
                <w:rFonts w:ascii="Times New Roman" w:hAnsi="Times New Roman" w:cs="Times New Roman"/>
                <w:szCs w:val="24"/>
              </w:rPr>
            </w:pPr>
            <w:r w:rsidRPr="004B6753">
              <w:rPr>
                <w:rFonts w:ascii="Times New Roman" w:hAnsi="Times New Roman" w:cs="Times New Roman"/>
                <w:szCs w:val="24"/>
              </w:rPr>
              <w:t>160.04</w:t>
            </w:r>
          </w:p>
        </w:tc>
      </w:tr>
      <w:tr w:rsidR="00416FA8" w:rsidRPr="004B6753" w14:paraId="45D1F29B" w14:textId="77777777" w:rsidTr="004B6753">
        <w:trPr>
          <w:trHeight w:val="20"/>
        </w:trPr>
        <w:tc>
          <w:tcPr>
            <w:tcW w:w="1995" w:type="dxa"/>
            <w:hideMark/>
          </w:tcPr>
          <w:p w14:paraId="04BA04D6" w14:textId="77777777" w:rsidR="00416FA8" w:rsidRPr="004B6753" w:rsidRDefault="00416FA8" w:rsidP="004B6753">
            <w:pPr>
              <w:pStyle w:val="NoSpacing"/>
              <w:jc w:val="center"/>
              <w:rPr>
                <w:rFonts w:ascii="Times New Roman" w:hAnsi="Times New Roman" w:cs="Times New Roman"/>
                <w:szCs w:val="24"/>
              </w:rPr>
            </w:pPr>
          </w:p>
        </w:tc>
        <w:tc>
          <w:tcPr>
            <w:tcW w:w="0" w:type="auto"/>
            <w:vAlign w:val="center"/>
            <w:hideMark/>
          </w:tcPr>
          <w:p w14:paraId="6F583159" w14:textId="77777777" w:rsidR="00416FA8" w:rsidRPr="004B6753" w:rsidRDefault="00416FA8" w:rsidP="004B6753">
            <w:pPr>
              <w:pStyle w:val="NoSpacing"/>
              <w:jc w:val="center"/>
              <w:rPr>
                <w:rFonts w:ascii="Times New Roman" w:hAnsi="Times New Roman" w:cs="Times New Roman"/>
                <w:szCs w:val="24"/>
              </w:rPr>
            </w:pPr>
            <w:r w:rsidRPr="004B6753">
              <w:rPr>
                <w:rFonts w:ascii="Times New Roman" w:hAnsi="Times New Roman" w:cs="Times New Roman"/>
                <w:i/>
                <w:iCs/>
                <w:szCs w:val="24"/>
              </w:rPr>
              <w:t>(5.54)</w:t>
            </w:r>
          </w:p>
        </w:tc>
        <w:tc>
          <w:tcPr>
            <w:tcW w:w="0" w:type="auto"/>
            <w:vAlign w:val="center"/>
            <w:hideMark/>
          </w:tcPr>
          <w:p w14:paraId="256A1899" w14:textId="77777777" w:rsidR="00416FA8" w:rsidRPr="004B6753" w:rsidRDefault="00416FA8" w:rsidP="004B6753">
            <w:pPr>
              <w:pStyle w:val="NoSpacing"/>
              <w:jc w:val="center"/>
              <w:rPr>
                <w:rFonts w:ascii="Times New Roman" w:hAnsi="Times New Roman" w:cs="Times New Roman"/>
                <w:szCs w:val="24"/>
              </w:rPr>
            </w:pPr>
            <w:r w:rsidRPr="004B6753">
              <w:rPr>
                <w:rFonts w:ascii="Times New Roman" w:hAnsi="Times New Roman" w:cs="Times New Roman"/>
                <w:i/>
                <w:iCs/>
                <w:szCs w:val="24"/>
              </w:rPr>
              <w:t>(14.95)</w:t>
            </w:r>
          </w:p>
        </w:tc>
        <w:tc>
          <w:tcPr>
            <w:tcW w:w="0" w:type="auto"/>
            <w:vAlign w:val="center"/>
            <w:hideMark/>
          </w:tcPr>
          <w:p w14:paraId="723E6365" w14:textId="77777777" w:rsidR="00416FA8" w:rsidRPr="004B6753" w:rsidRDefault="00416FA8" w:rsidP="004B6753">
            <w:pPr>
              <w:pStyle w:val="NoSpacing"/>
              <w:jc w:val="center"/>
              <w:rPr>
                <w:rFonts w:ascii="Times New Roman" w:hAnsi="Times New Roman" w:cs="Times New Roman"/>
                <w:szCs w:val="24"/>
              </w:rPr>
            </w:pPr>
            <w:r w:rsidRPr="004B6753">
              <w:rPr>
                <w:rFonts w:ascii="Times New Roman" w:hAnsi="Times New Roman" w:cs="Times New Roman"/>
                <w:i/>
                <w:iCs/>
                <w:szCs w:val="24"/>
              </w:rPr>
              <w:t>(2.55)</w:t>
            </w:r>
          </w:p>
        </w:tc>
        <w:tc>
          <w:tcPr>
            <w:tcW w:w="0" w:type="auto"/>
            <w:vAlign w:val="center"/>
            <w:hideMark/>
          </w:tcPr>
          <w:p w14:paraId="5E781446" w14:textId="77777777" w:rsidR="00416FA8" w:rsidRPr="004B6753" w:rsidRDefault="00416FA8" w:rsidP="004B6753">
            <w:pPr>
              <w:pStyle w:val="NoSpacing"/>
              <w:jc w:val="center"/>
              <w:rPr>
                <w:rFonts w:ascii="Times New Roman" w:hAnsi="Times New Roman" w:cs="Times New Roman"/>
                <w:szCs w:val="24"/>
              </w:rPr>
            </w:pPr>
            <w:r w:rsidRPr="004B6753">
              <w:rPr>
                <w:rFonts w:ascii="Times New Roman" w:hAnsi="Times New Roman" w:cs="Times New Roman"/>
                <w:i/>
                <w:iCs/>
                <w:szCs w:val="24"/>
              </w:rPr>
              <w:t>(6.75)</w:t>
            </w:r>
          </w:p>
        </w:tc>
        <w:tc>
          <w:tcPr>
            <w:tcW w:w="0" w:type="auto"/>
            <w:vAlign w:val="center"/>
            <w:hideMark/>
          </w:tcPr>
          <w:p w14:paraId="3FAEA190" w14:textId="77777777" w:rsidR="00416FA8" w:rsidRPr="004B6753" w:rsidRDefault="00416FA8" w:rsidP="004B6753">
            <w:pPr>
              <w:pStyle w:val="NoSpacing"/>
              <w:jc w:val="center"/>
              <w:rPr>
                <w:rFonts w:ascii="Times New Roman" w:hAnsi="Times New Roman" w:cs="Times New Roman"/>
                <w:szCs w:val="24"/>
              </w:rPr>
            </w:pPr>
            <w:r w:rsidRPr="004B6753">
              <w:rPr>
                <w:rFonts w:ascii="Times New Roman" w:hAnsi="Times New Roman" w:cs="Times New Roman"/>
                <w:i/>
                <w:iCs/>
                <w:szCs w:val="24"/>
              </w:rPr>
              <w:t>(2.04)</w:t>
            </w:r>
          </w:p>
        </w:tc>
        <w:tc>
          <w:tcPr>
            <w:tcW w:w="0" w:type="auto"/>
            <w:vAlign w:val="center"/>
            <w:hideMark/>
          </w:tcPr>
          <w:p w14:paraId="2978ECE0" w14:textId="77777777" w:rsidR="00416FA8" w:rsidRPr="004B6753" w:rsidRDefault="00416FA8" w:rsidP="004B6753">
            <w:pPr>
              <w:pStyle w:val="NoSpacing"/>
              <w:jc w:val="center"/>
              <w:rPr>
                <w:rFonts w:ascii="Times New Roman" w:hAnsi="Times New Roman" w:cs="Times New Roman"/>
                <w:szCs w:val="24"/>
              </w:rPr>
            </w:pPr>
            <w:r w:rsidRPr="004B6753">
              <w:rPr>
                <w:rFonts w:ascii="Times New Roman" w:hAnsi="Times New Roman" w:cs="Times New Roman"/>
                <w:i/>
                <w:iCs/>
                <w:szCs w:val="24"/>
              </w:rPr>
              <w:t>(18.89)</w:t>
            </w:r>
          </w:p>
        </w:tc>
        <w:tc>
          <w:tcPr>
            <w:tcW w:w="0" w:type="auto"/>
            <w:vAlign w:val="center"/>
            <w:hideMark/>
          </w:tcPr>
          <w:p w14:paraId="1F2425DE" w14:textId="77777777" w:rsidR="00416FA8" w:rsidRPr="004B6753" w:rsidRDefault="00416FA8" w:rsidP="004B6753">
            <w:pPr>
              <w:pStyle w:val="NoSpacing"/>
              <w:jc w:val="center"/>
              <w:rPr>
                <w:rFonts w:ascii="Times New Roman" w:hAnsi="Times New Roman" w:cs="Times New Roman"/>
                <w:szCs w:val="24"/>
              </w:rPr>
            </w:pPr>
            <w:r w:rsidRPr="004B6753">
              <w:rPr>
                <w:rFonts w:ascii="Times New Roman" w:hAnsi="Times New Roman" w:cs="Times New Roman"/>
                <w:i/>
                <w:iCs/>
                <w:szCs w:val="24"/>
              </w:rPr>
              <w:t>(4.25)</w:t>
            </w:r>
          </w:p>
        </w:tc>
        <w:tc>
          <w:tcPr>
            <w:tcW w:w="0" w:type="auto"/>
            <w:vAlign w:val="center"/>
            <w:hideMark/>
          </w:tcPr>
          <w:p w14:paraId="48CD7CFB" w14:textId="77777777" w:rsidR="00416FA8" w:rsidRPr="004B6753" w:rsidRDefault="00416FA8" w:rsidP="004B6753">
            <w:pPr>
              <w:pStyle w:val="NoSpacing"/>
              <w:jc w:val="center"/>
              <w:rPr>
                <w:rFonts w:ascii="Times New Roman" w:hAnsi="Times New Roman" w:cs="Times New Roman"/>
                <w:szCs w:val="24"/>
              </w:rPr>
            </w:pPr>
            <w:r w:rsidRPr="004B6753">
              <w:rPr>
                <w:rFonts w:ascii="Times New Roman" w:hAnsi="Times New Roman" w:cs="Times New Roman"/>
                <w:i/>
                <w:iCs/>
                <w:szCs w:val="24"/>
              </w:rPr>
              <w:t>(3.94)</w:t>
            </w:r>
          </w:p>
        </w:tc>
        <w:tc>
          <w:tcPr>
            <w:tcW w:w="0" w:type="auto"/>
            <w:vAlign w:val="center"/>
            <w:hideMark/>
          </w:tcPr>
          <w:p w14:paraId="0E408007" w14:textId="77777777" w:rsidR="00416FA8" w:rsidRPr="004B6753" w:rsidRDefault="00416FA8" w:rsidP="004B6753">
            <w:pPr>
              <w:pStyle w:val="NoSpacing"/>
              <w:jc w:val="center"/>
              <w:rPr>
                <w:rFonts w:ascii="Times New Roman" w:hAnsi="Times New Roman" w:cs="Times New Roman"/>
                <w:szCs w:val="24"/>
              </w:rPr>
            </w:pPr>
            <w:r w:rsidRPr="004B6753">
              <w:rPr>
                <w:rFonts w:ascii="Times New Roman" w:hAnsi="Times New Roman" w:cs="Times New Roman"/>
                <w:i/>
                <w:iCs/>
                <w:szCs w:val="24"/>
              </w:rPr>
              <w:t>(4.62)</w:t>
            </w:r>
          </w:p>
        </w:tc>
        <w:tc>
          <w:tcPr>
            <w:tcW w:w="0" w:type="auto"/>
            <w:vAlign w:val="center"/>
            <w:hideMark/>
          </w:tcPr>
          <w:p w14:paraId="5B7C5406" w14:textId="77777777" w:rsidR="00416FA8" w:rsidRPr="004B6753" w:rsidRDefault="00416FA8" w:rsidP="004B6753">
            <w:pPr>
              <w:pStyle w:val="NoSpacing"/>
              <w:jc w:val="center"/>
              <w:rPr>
                <w:rFonts w:ascii="Times New Roman" w:hAnsi="Times New Roman" w:cs="Times New Roman"/>
                <w:szCs w:val="24"/>
              </w:rPr>
            </w:pPr>
            <w:r w:rsidRPr="004B6753">
              <w:rPr>
                <w:rFonts w:ascii="Times New Roman" w:hAnsi="Times New Roman" w:cs="Times New Roman"/>
                <w:i/>
                <w:iCs/>
                <w:szCs w:val="24"/>
              </w:rPr>
              <w:t>(36.47)</w:t>
            </w:r>
          </w:p>
        </w:tc>
        <w:tc>
          <w:tcPr>
            <w:tcW w:w="0" w:type="auto"/>
            <w:vAlign w:val="center"/>
            <w:hideMark/>
          </w:tcPr>
          <w:p w14:paraId="4BB04EF5" w14:textId="77777777" w:rsidR="00416FA8" w:rsidRPr="004B6753" w:rsidRDefault="00416FA8" w:rsidP="004B6753">
            <w:pPr>
              <w:pStyle w:val="NoSpacing"/>
              <w:jc w:val="center"/>
              <w:rPr>
                <w:rFonts w:ascii="Times New Roman" w:hAnsi="Times New Roman" w:cs="Times New Roman"/>
                <w:szCs w:val="24"/>
              </w:rPr>
            </w:pPr>
            <w:r w:rsidRPr="004B6753">
              <w:rPr>
                <w:rFonts w:ascii="Times New Roman" w:hAnsi="Times New Roman" w:cs="Times New Roman"/>
                <w:i/>
                <w:iCs/>
                <w:szCs w:val="24"/>
              </w:rPr>
              <w:t>(100.00)</w:t>
            </w:r>
          </w:p>
        </w:tc>
      </w:tr>
      <w:tr w:rsidR="00416FA8" w:rsidRPr="004B6753" w14:paraId="23175AE0" w14:textId="77777777" w:rsidTr="004B6753">
        <w:trPr>
          <w:trHeight w:val="20"/>
        </w:trPr>
        <w:tc>
          <w:tcPr>
            <w:tcW w:w="1995" w:type="dxa"/>
            <w:hideMark/>
          </w:tcPr>
          <w:p w14:paraId="225509D7" w14:textId="77777777" w:rsidR="00416FA8" w:rsidRPr="004B6753" w:rsidRDefault="00416FA8" w:rsidP="004B6753">
            <w:pPr>
              <w:pStyle w:val="NoSpacing"/>
              <w:rPr>
                <w:rFonts w:ascii="Times New Roman" w:hAnsi="Times New Roman" w:cs="Times New Roman"/>
                <w:szCs w:val="24"/>
              </w:rPr>
            </w:pPr>
            <w:r w:rsidRPr="004B6753">
              <w:rPr>
                <w:rFonts w:ascii="Times New Roman" w:hAnsi="Times New Roman" w:cs="Times New Roman"/>
                <w:szCs w:val="24"/>
              </w:rPr>
              <w:t>Haryana</w:t>
            </w:r>
          </w:p>
        </w:tc>
        <w:tc>
          <w:tcPr>
            <w:tcW w:w="0" w:type="auto"/>
            <w:vAlign w:val="center"/>
            <w:hideMark/>
          </w:tcPr>
          <w:p w14:paraId="3367354E" w14:textId="77777777" w:rsidR="00416FA8" w:rsidRPr="004B6753" w:rsidRDefault="00416FA8" w:rsidP="004B6753">
            <w:pPr>
              <w:pStyle w:val="NoSpacing"/>
              <w:jc w:val="center"/>
              <w:rPr>
                <w:rFonts w:ascii="Times New Roman" w:hAnsi="Times New Roman" w:cs="Times New Roman"/>
                <w:szCs w:val="24"/>
              </w:rPr>
            </w:pPr>
          </w:p>
        </w:tc>
        <w:tc>
          <w:tcPr>
            <w:tcW w:w="0" w:type="auto"/>
            <w:vAlign w:val="center"/>
            <w:hideMark/>
          </w:tcPr>
          <w:p w14:paraId="1974ADA8" w14:textId="77777777" w:rsidR="00416FA8" w:rsidRPr="004B6753" w:rsidRDefault="00416FA8" w:rsidP="004B6753">
            <w:pPr>
              <w:pStyle w:val="NoSpacing"/>
              <w:jc w:val="center"/>
              <w:rPr>
                <w:rFonts w:ascii="Times New Roman" w:hAnsi="Times New Roman" w:cs="Times New Roman"/>
                <w:szCs w:val="24"/>
              </w:rPr>
            </w:pPr>
          </w:p>
        </w:tc>
        <w:tc>
          <w:tcPr>
            <w:tcW w:w="0" w:type="auto"/>
            <w:vAlign w:val="center"/>
            <w:hideMark/>
          </w:tcPr>
          <w:p w14:paraId="2C36C1FA" w14:textId="77777777" w:rsidR="00416FA8" w:rsidRPr="004B6753" w:rsidRDefault="00416FA8" w:rsidP="004B6753">
            <w:pPr>
              <w:pStyle w:val="NoSpacing"/>
              <w:jc w:val="center"/>
              <w:rPr>
                <w:rFonts w:ascii="Times New Roman" w:hAnsi="Times New Roman" w:cs="Times New Roman"/>
                <w:szCs w:val="24"/>
              </w:rPr>
            </w:pPr>
          </w:p>
        </w:tc>
        <w:tc>
          <w:tcPr>
            <w:tcW w:w="0" w:type="auto"/>
            <w:vAlign w:val="center"/>
            <w:hideMark/>
          </w:tcPr>
          <w:p w14:paraId="4BBC5349" w14:textId="77777777" w:rsidR="00416FA8" w:rsidRPr="004B6753" w:rsidRDefault="00416FA8" w:rsidP="004B6753">
            <w:pPr>
              <w:pStyle w:val="NoSpacing"/>
              <w:jc w:val="center"/>
              <w:rPr>
                <w:rFonts w:ascii="Times New Roman" w:hAnsi="Times New Roman" w:cs="Times New Roman"/>
                <w:szCs w:val="24"/>
              </w:rPr>
            </w:pPr>
          </w:p>
        </w:tc>
        <w:tc>
          <w:tcPr>
            <w:tcW w:w="0" w:type="auto"/>
            <w:vAlign w:val="center"/>
            <w:hideMark/>
          </w:tcPr>
          <w:p w14:paraId="12D3EB98" w14:textId="77777777" w:rsidR="00416FA8" w:rsidRPr="004B6753" w:rsidRDefault="00416FA8" w:rsidP="004B6753">
            <w:pPr>
              <w:pStyle w:val="NoSpacing"/>
              <w:jc w:val="center"/>
              <w:rPr>
                <w:rFonts w:ascii="Times New Roman" w:hAnsi="Times New Roman" w:cs="Times New Roman"/>
                <w:szCs w:val="24"/>
              </w:rPr>
            </w:pPr>
          </w:p>
        </w:tc>
        <w:tc>
          <w:tcPr>
            <w:tcW w:w="0" w:type="auto"/>
            <w:vAlign w:val="center"/>
            <w:hideMark/>
          </w:tcPr>
          <w:p w14:paraId="6701D20D" w14:textId="77777777" w:rsidR="00416FA8" w:rsidRPr="004B6753" w:rsidRDefault="00416FA8" w:rsidP="004B6753">
            <w:pPr>
              <w:pStyle w:val="NoSpacing"/>
              <w:jc w:val="center"/>
              <w:rPr>
                <w:rFonts w:ascii="Times New Roman" w:hAnsi="Times New Roman" w:cs="Times New Roman"/>
                <w:szCs w:val="24"/>
              </w:rPr>
            </w:pPr>
          </w:p>
        </w:tc>
        <w:tc>
          <w:tcPr>
            <w:tcW w:w="0" w:type="auto"/>
            <w:vAlign w:val="center"/>
            <w:hideMark/>
          </w:tcPr>
          <w:p w14:paraId="4BE42087" w14:textId="77777777" w:rsidR="00416FA8" w:rsidRPr="004B6753" w:rsidRDefault="00416FA8" w:rsidP="004B6753">
            <w:pPr>
              <w:pStyle w:val="NoSpacing"/>
              <w:jc w:val="center"/>
              <w:rPr>
                <w:rFonts w:ascii="Times New Roman" w:hAnsi="Times New Roman" w:cs="Times New Roman"/>
                <w:szCs w:val="24"/>
              </w:rPr>
            </w:pPr>
          </w:p>
        </w:tc>
        <w:tc>
          <w:tcPr>
            <w:tcW w:w="0" w:type="auto"/>
            <w:vAlign w:val="center"/>
            <w:hideMark/>
          </w:tcPr>
          <w:p w14:paraId="09C0B2CA" w14:textId="77777777" w:rsidR="00416FA8" w:rsidRPr="004B6753" w:rsidRDefault="00416FA8" w:rsidP="004B6753">
            <w:pPr>
              <w:pStyle w:val="NoSpacing"/>
              <w:jc w:val="center"/>
              <w:rPr>
                <w:rFonts w:ascii="Times New Roman" w:hAnsi="Times New Roman" w:cs="Times New Roman"/>
                <w:szCs w:val="24"/>
              </w:rPr>
            </w:pPr>
          </w:p>
        </w:tc>
        <w:tc>
          <w:tcPr>
            <w:tcW w:w="0" w:type="auto"/>
            <w:vAlign w:val="center"/>
            <w:hideMark/>
          </w:tcPr>
          <w:p w14:paraId="40979765" w14:textId="77777777" w:rsidR="00416FA8" w:rsidRPr="004B6753" w:rsidRDefault="00416FA8" w:rsidP="004B6753">
            <w:pPr>
              <w:pStyle w:val="NoSpacing"/>
              <w:jc w:val="center"/>
              <w:rPr>
                <w:rFonts w:ascii="Times New Roman" w:hAnsi="Times New Roman" w:cs="Times New Roman"/>
                <w:szCs w:val="24"/>
              </w:rPr>
            </w:pPr>
          </w:p>
        </w:tc>
        <w:tc>
          <w:tcPr>
            <w:tcW w:w="0" w:type="auto"/>
            <w:vAlign w:val="center"/>
            <w:hideMark/>
          </w:tcPr>
          <w:p w14:paraId="1297D762" w14:textId="77777777" w:rsidR="00416FA8" w:rsidRPr="004B6753" w:rsidRDefault="00416FA8" w:rsidP="004B6753">
            <w:pPr>
              <w:pStyle w:val="NoSpacing"/>
              <w:jc w:val="center"/>
              <w:rPr>
                <w:rFonts w:ascii="Times New Roman" w:hAnsi="Times New Roman" w:cs="Times New Roman"/>
                <w:szCs w:val="24"/>
              </w:rPr>
            </w:pPr>
          </w:p>
        </w:tc>
        <w:tc>
          <w:tcPr>
            <w:tcW w:w="0" w:type="auto"/>
            <w:vAlign w:val="center"/>
            <w:hideMark/>
          </w:tcPr>
          <w:p w14:paraId="662E8E56" w14:textId="77777777" w:rsidR="00416FA8" w:rsidRPr="004B6753" w:rsidRDefault="00416FA8" w:rsidP="004B6753">
            <w:pPr>
              <w:pStyle w:val="NoSpacing"/>
              <w:jc w:val="center"/>
              <w:rPr>
                <w:rFonts w:ascii="Times New Roman" w:hAnsi="Times New Roman" w:cs="Times New Roman"/>
                <w:szCs w:val="24"/>
              </w:rPr>
            </w:pPr>
          </w:p>
        </w:tc>
      </w:tr>
      <w:tr w:rsidR="00416FA8" w:rsidRPr="004B6753" w14:paraId="0567261B" w14:textId="77777777" w:rsidTr="004B6753">
        <w:trPr>
          <w:trHeight w:val="20"/>
        </w:trPr>
        <w:tc>
          <w:tcPr>
            <w:tcW w:w="1995" w:type="dxa"/>
            <w:hideMark/>
          </w:tcPr>
          <w:p w14:paraId="520610DA" w14:textId="77777777" w:rsidR="00416FA8" w:rsidRPr="004B6753" w:rsidRDefault="00416FA8" w:rsidP="004B6753">
            <w:pPr>
              <w:pStyle w:val="NoSpacing"/>
              <w:rPr>
                <w:rFonts w:ascii="Times New Roman" w:hAnsi="Times New Roman" w:cs="Times New Roman"/>
                <w:szCs w:val="24"/>
              </w:rPr>
            </w:pPr>
            <w:r w:rsidRPr="004B6753">
              <w:rPr>
                <w:rFonts w:ascii="Times New Roman" w:hAnsi="Times New Roman" w:cs="Times New Roman"/>
                <w:szCs w:val="24"/>
              </w:rPr>
              <w:t>1961-62</w:t>
            </w:r>
          </w:p>
        </w:tc>
        <w:tc>
          <w:tcPr>
            <w:tcW w:w="0" w:type="auto"/>
            <w:vAlign w:val="center"/>
            <w:hideMark/>
          </w:tcPr>
          <w:p w14:paraId="4DC14DFE" w14:textId="77777777" w:rsidR="00416FA8" w:rsidRPr="004B6753" w:rsidRDefault="00416FA8" w:rsidP="004B6753">
            <w:pPr>
              <w:pStyle w:val="NoSpacing"/>
              <w:jc w:val="center"/>
              <w:rPr>
                <w:rFonts w:ascii="Times New Roman" w:hAnsi="Times New Roman" w:cs="Times New Roman"/>
                <w:szCs w:val="24"/>
              </w:rPr>
            </w:pPr>
            <w:r w:rsidRPr="004B6753">
              <w:rPr>
                <w:rFonts w:ascii="Times New Roman" w:hAnsi="Times New Roman" w:cs="Times New Roman"/>
                <w:szCs w:val="24"/>
              </w:rPr>
              <w:t>..</w:t>
            </w:r>
          </w:p>
        </w:tc>
        <w:tc>
          <w:tcPr>
            <w:tcW w:w="0" w:type="auto"/>
            <w:vAlign w:val="center"/>
            <w:hideMark/>
          </w:tcPr>
          <w:p w14:paraId="0BD9D81A" w14:textId="77777777" w:rsidR="00416FA8" w:rsidRPr="004B6753" w:rsidRDefault="00416FA8" w:rsidP="004B6753">
            <w:pPr>
              <w:pStyle w:val="NoSpacing"/>
              <w:jc w:val="center"/>
              <w:rPr>
                <w:rFonts w:ascii="Times New Roman" w:hAnsi="Times New Roman" w:cs="Times New Roman"/>
                <w:szCs w:val="24"/>
              </w:rPr>
            </w:pPr>
            <w:r w:rsidRPr="004B6753">
              <w:rPr>
                <w:rFonts w:ascii="Times New Roman" w:hAnsi="Times New Roman" w:cs="Times New Roman"/>
                <w:szCs w:val="24"/>
              </w:rPr>
              <w:t>..</w:t>
            </w:r>
          </w:p>
        </w:tc>
        <w:tc>
          <w:tcPr>
            <w:tcW w:w="0" w:type="auto"/>
            <w:vAlign w:val="center"/>
            <w:hideMark/>
          </w:tcPr>
          <w:p w14:paraId="3F441438" w14:textId="77777777" w:rsidR="00416FA8" w:rsidRPr="004B6753" w:rsidRDefault="00416FA8" w:rsidP="004B6753">
            <w:pPr>
              <w:pStyle w:val="NoSpacing"/>
              <w:jc w:val="center"/>
              <w:rPr>
                <w:rFonts w:ascii="Times New Roman" w:hAnsi="Times New Roman" w:cs="Times New Roman"/>
                <w:szCs w:val="24"/>
              </w:rPr>
            </w:pPr>
            <w:r w:rsidRPr="004B6753">
              <w:rPr>
                <w:rFonts w:ascii="Times New Roman" w:hAnsi="Times New Roman" w:cs="Times New Roman"/>
                <w:szCs w:val="24"/>
              </w:rPr>
              <w:t>..</w:t>
            </w:r>
          </w:p>
        </w:tc>
        <w:tc>
          <w:tcPr>
            <w:tcW w:w="0" w:type="auto"/>
            <w:vAlign w:val="center"/>
            <w:hideMark/>
          </w:tcPr>
          <w:p w14:paraId="31C879B8" w14:textId="77777777" w:rsidR="00416FA8" w:rsidRPr="004B6753" w:rsidRDefault="00416FA8" w:rsidP="004B6753">
            <w:pPr>
              <w:pStyle w:val="NoSpacing"/>
              <w:jc w:val="center"/>
              <w:rPr>
                <w:rFonts w:ascii="Times New Roman" w:hAnsi="Times New Roman" w:cs="Times New Roman"/>
                <w:szCs w:val="24"/>
              </w:rPr>
            </w:pPr>
            <w:r w:rsidRPr="004B6753">
              <w:rPr>
                <w:rFonts w:ascii="Times New Roman" w:hAnsi="Times New Roman" w:cs="Times New Roman"/>
                <w:szCs w:val="24"/>
              </w:rPr>
              <w:t>..</w:t>
            </w:r>
          </w:p>
        </w:tc>
        <w:tc>
          <w:tcPr>
            <w:tcW w:w="0" w:type="auto"/>
            <w:vAlign w:val="center"/>
            <w:hideMark/>
          </w:tcPr>
          <w:p w14:paraId="72F2455B" w14:textId="77777777" w:rsidR="00416FA8" w:rsidRPr="004B6753" w:rsidRDefault="00416FA8" w:rsidP="004B6753">
            <w:pPr>
              <w:pStyle w:val="NoSpacing"/>
              <w:jc w:val="center"/>
              <w:rPr>
                <w:rFonts w:ascii="Times New Roman" w:hAnsi="Times New Roman" w:cs="Times New Roman"/>
                <w:szCs w:val="24"/>
              </w:rPr>
            </w:pPr>
            <w:r w:rsidRPr="004B6753">
              <w:rPr>
                <w:rFonts w:ascii="Times New Roman" w:hAnsi="Times New Roman" w:cs="Times New Roman"/>
                <w:szCs w:val="24"/>
              </w:rPr>
              <w:t>..</w:t>
            </w:r>
          </w:p>
        </w:tc>
        <w:tc>
          <w:tcPr>
            <w:tcW w:w="0" w:type="auto"/>
            <w:vAlign w:val="center"/>
            <w:hideMark/>
          </w:tcPr>
          <w:p w14:paraId="535BB921" w14:textId="77777777" w:rsidR="00416FA8" w:rsidRPr="004B6753" w:rsidRDefault="00416FA8" w:rsidP="004B6753">
            <w:pPr>
              <w:pStyle w:val="NoSpacing"/>
              <w:jc w:val="center"/>
              <w:rPr>
                <w:rFonts w:ascii="Times New Roman" w:hAnsi="Times New Roman" w:cs="Times New Roman"/>
                <w:szCs w:val="24"/>
              </w:rPr>
            </w:pPr>
            <w:r w:rsidRPr="004B6753">
              <w:rPr>
                <w:rFonts w:ascii="Times New Roman" w:hAnsi="Times New Roman" w:cs="Times New Roman"/>
                <w:szCs w:val="24"/>
              </w:rPr>
              <w:t>..</w:t>
            </w:r>
          </w:p>
        </w:tc>
        <w:tc>
          <w:tcPr>
            <w:tcW w:w="0" w:type="auto"/>
            <w:vAlign w:val="center"/>
            <w:hideMark/>
          </w:tcPr>
          <w:p w14:paraId="00DA179C" w14:textId="77777777" w:rsidR="00416FA8" w:rsidRPr="004B6753" w:rsidRDefault="00416FA8" w:rsidP="004B6753">
            <w:pPr>
              <w:pStyle w:val="NoSpacing"/>
              <w:jc w:val="center"/>
              <w:rPr>
                <w:rFonts w:ascii="Times New Roman" w:hAnsi="Times New Roman" w:cs="Times New Roman"/>
                <w:szCs w:val="24"/>
              </w:rPr>
            </w:pPr>
            <w:r w:rsidRPr="004B6753">
              <w:rPr>
                <w:rFonts w:ascii="Times New Roman" w:hAnsi="Times New Roman" w:cs="Times New Roman"/>
                <w:szCs w:val="24"/>
              </w:rPr>
              <w:t>..</w:t>
            </w:r>
          </w:p>
        </w:tc>
        <w:tc>
          <w:tcPr>
            <w:tcW w:w="0" w:type="auto"/>
            <w:vAlign w:val="center"/>
            <w:hideMark/>
          </w:tcPr>
          <w:p w14:paraId="49C86F5F" w14:textId="77777777" w:rsidR="00416FA8" w:rsidRPr="004B6753" w:rsidRDefault="00416FA8" w:rsidP="004B6753">
            <w:pPr>
              <w:pStyle w:val="NoSpacing"/>
              <w:jc w:val="center"/>
              <w:rPr>
                <w:rFonts w:ascii="Times New Roman" w:hAnsi="Times New Roman" w:cs="Times New Roman"/>
                <w:szCs w:val="24"/>
              </w:rPr>
            </w:pPr>
            <w:r w:rsidRPr="004B6753">
              <w:rPr>
                <w:rFonts w:ascii="Times New Roman" w:hAnsi="Times New Roman" w:cs="Times New Roman"/>
                <w:szCs w:val="24"/>
              </w:rPr>
              <w:t>..</w:t>
            </w:r>
          </w:p>
        </w:tc>
        <w:tc>
          <w:tcPr>
            <w:tcW w:w="0" w:type="auto"/>
            <w:vAlign w:val="center"/>
            <w:hideMark/>
          </w:tcPr>
          <w:p w14:paraId="29657617" w14:textId="77777777" w:rsidR="00416FA8" w:rsidRPr="004B6753" w:rsidRDefault="00416FA8" w:rsidP="004B6753">
            <w:pPr>
              <w:pStyle w:val="NoSpacing"/>
              <w:jc w:val="center"/>
              <w:rPr>
                <w:rFonts w:ascii="Times New Roman" w:hAnsi="Times New Roman" w:cs="Times New Roman"/>
                <w:szCs w:val="24"/>
              </w:rPr>
            </w:pPr>
            <w:r w:rsidRPr="004B6753">
              <w:rPr>
                <w:rFonts w:ascii="Times New Roman" w:hAnsi="Times New Roman" w:cs="Times New Roman"/>
                <w:szCs w:val="24"/>
              </w:rPr>
              <w:t>..</w:t>
            </w:r>
          </w:p>
        </w:tc>
        <w:tc>
          <w:tcPr>
            <w:tcW w:w="0" w:type="auto"/>
            <w:vAlign w:val="center"/>
            <w:hideMark/>
          </w:tcPr>
          <w:p w14:paraId="347028D9" w14:textId="77777777" w:rsidR="00416FA8" w:rsidRPr="004B6753" w:rsidRDefault="00416FA8" w:rsidP="004B6753">
            <w:pPr>
              <w:pStyle w:val="NoSpacing"/>
              <w:jc w:val="center"/>
              <w:rPr>
                <w:rFonts w:ascii="Times New Roman" w:hAnsi="Times New Roman" w:cs="Times New Roman"/>
                <w:szCs w:val="24"/>
              </w:rPr>
            </w:pPr>
            <w:r w:rsidRPr="004B6753">
              <w:rPr>
                <w:rFonts w:ascii="Times New Roman" w:hAnsi="Times New Roman" w:cs="Times New Roman"/>
                <w:szCs w:val="24"/>
              </w:rPr>
              <w:t>..</w:t>
            </w:r>
          </w:p>
        </w:tc>
        <w:tc>
          <w:tcPr>
            <w:tcW w:w="0" w:type="auto"/>
            <w:vAlign w:val="center"/>
            <w:hideMark/>
          </w:tcPr>
          <w:p w14:paraId="4DDBD42A" w14:textId="77777777" w:rsidR="00416FA8" w:rsidRPr="004B6753" w:rsidRDefault="00416FA8" w:rsidP="004B6753">
            <w:pPr>
              <w:pStyle w:val="NoSpacing"/>
              <w:jc w:val="center"/>
              <w:rPr>
                <w:rFonts w:ascii="Times New Roman" w:hAnsi="Times New Roman" w:cs="Times New Roman"/>
                <w:szCs w:val="24"/>
              </w:rPr>
            </w:pPr>
            <w:r w:rsidRPr="004B6753">
              <w:rPr>
                <w:rFonts w:ascii="Times New Roman" w:hAnsi="Times New Roman" w:cs="Times New Roman"/>
                <w:szCs w:val="24"/>
              </w:rPr>
              <w:t>..</w:t>
            </w:r>
          </w:p>
        </w:tc>
      </w:tr>
      <w:tr w:rsidR="00416FA8" w:rsidRPr="004B6753" w14:paraId="4CB6C8BA" w14:textId="77777777" w:rsidTr="004B6753">
        <w:trPr>
          <w:trHeight w:val="20"/>
        </w:trPr>
        <w:tc>
          <w:tcPr>
            <w:tcW w:w="1995" w:type="dxa"/>
            <w:hideMark/>
          </w:tcPr>
          <w:p w14:paraId="612D7AED" w14:textId="77777777" w:rsidR="00416FA8" w:rsidRPr="004B6753" w:rsidRDefault="00416FA8" w:rsidP="004B6753">
            <w:pPr>
              <w:pStyle w:val="NoSpacing"/>
              <w:rPr>
                <w:rFonts w:ascii="Times New Roman" w:hAnsi="Times New Roman" w:cs="Times New Roman"/>
                <w:szCs w:val="24"/>
              </w:rPr>
            </w:pPr>
            <w:r w:rsidRPr="004B6753">
              <w:rPr>
                <w:rFonts w:ascii="Times New Roman" w:hAnsi="Times New Roman" w:cs="Times New Roman"/>
                <w:szCs w:val="24"/>
              </w:rPr>
              <w:t>1965-66</w:t>
            </w:r>
          </w:p>
        </w:tc>
        <w:tc>
          <w:tcPr>
            <w:tcW w:w="0" w:type="auto"/>
            <w:vAlign w:val="center"/>
            <w:hideMark/>
          </w:tcPr>
          <w:p w14:paraId="28D1BAE1" w14:textId="77777777" w:rsidR="00416FA8" w:rsidRPr="004B6753" w:rsidRDefault="00416FA8" w:rsidP="004B6753">
            <w:pPr>
              <w:pStyle w:val="NoSpacing"/>
              <w:jc w:val="center"/>
              <w:rPr>
                <w:rFonts w:ascii="Times New Roman" w:hAnsi="Times New Roman" w:cs="Times New Roman"/>
                <w:szCs w:val="24"/>
              </w:rPr>
            </w:pPr>
            <w:r w:rsidRPr="004B6753">
              <w:rPr>
                <w:rFonts w:ascii="Times New Roman" w:hAnsi="Times New Roman" w:cs="Times New Roman"/>
                <w:szCs w:val="24"/>
              </w:rPr>
              <w:t>..</w:t>
            </w:r>
          </w:p>
        </w:tc>
        <w:tc>
          <w:tcPr>
            <w:tcW w:w="0" w:type="auto"/>
            <w:vAlign w:val="center"/>
            <w:hideMark/>
          </w:tcPr>
          <w:p w14:paraId="10FB08FB" w14:textId="77777777" w:rsidR="00416FA8" w:rsidRPr="004B6753" w:rsidRDefault="00416FA8" w:rsidP="004B6753">
            <w:pPr>
              <w:pStyle w:val="NoSpacing"/>
              <w:jc w:val="center"/>
              <w:rPr>
                <w:rFonts w:ascii="Times New Roman" w:hAnsi="Times New Roman" w:cs="Times New Roman"/>
                <w:szCs w:val="24"/>
              </w:rPr>
            </w:pPr>
            <w:r w:rsidRPr="004B6753">
              <w:rPr>
                <w:rFonts w:ascii="Times New Roman" w:hAnsi="Times New Roman" w:cs="Times New Roman"/>
                <w:szCs w:val="24"/>
              </w:rPr>
              <w:t>..</w:t>
            </w:r>
          </w:p>
        </w:tc>
        <w:tc>
          <w:tcPr>
            <w:tcW w:w="0" w:type="auto"/>
            <w:vAlign w:val="center"/>
            <w:hideMark/>
          </w:tcPr>
          <w:p w14:paraId="0994445A" w14:textId="77777777" w:rsidR="00416FA8" w:rsidRPr="004B6753" w:rsidRDefault="00416FA8" w:rsidP="004B6753">
            <w:pPr>
              <w:pStyle w:val="NoSpacing"/>
              <w:jc w:val="center"/>
              <w:rPr>
                <w:rFonts w:ascii="Times New Roman" w:hAnsi="Times New Roman" w:cs="Times New Roman"/>
                <w:szCs w:val="24"/>
              </w:rPr>
            </w:pPr>
            <w:r w:rsidRPr="004B6753">
              <w:rPr>
                <w:rFonts w:ascii="Times New Roman" w:hAnsi="Times New Roman" w:cs="Times New Roman"/>
                <w:szCs w:val="24"/>
              </w:rPr>
              <w:t>..</w:t>
            </w:r>
          </w:p>
        </w:tc>
        <w:tc>
          <w:tcPr>
            <w:tcW w:w="0" w:type="auto"/>
            <w:vAlign w:val="center"/>
            <w:hideMark/>
          </w:tcPr>
          <w:p w14:paraId="180EE8E5" w14:textId="77777777" w:rsidR="00416FA8" w:rsidRPr="004B6753" w:rsidRDefault="00416FA8" w:rsidP="004B6753">
            <w:pPr>
              <w:pStyle w:val="NoSpacing"/>
              <w:jc w:val="center"/>
              <w:rPr>
                <w:rFonts w:ascii="Times New Roman" w:hAnsi="Times New Roman" w:cs="Times New Roman"/>
                <w:szCs w:val="24"/>
              </w:rPr>
            </w:pPr>
            <w:r w:rsidRPr="004B6753">
              <w:rPr>
                <w:rFonts w:ascii="Times New Roman" w:hAnsi="Times New Roman" w:cs="Times New Roman"/>
                <w:szCs w:val="24"/>
              </w:rPr>
              <w:t>..</w:t>
            </w:r>
          </w:p>
        </w:tc>
        <w:tc>
          <w:tcPr>
            <w:tcW w:w="0" w:type="auto"/>
            <w:vAlign w:val="center"/>
            <w:hideMark/>
          </w:tcPr>
          <w:p w14:paraId="0F095583" w14:textId="77777777" w:rsidR="00416FA8" w:rsidRPr="004B6753" w:rsidRDefault="00416FA8" w:rsidP="004B6753">
            <w:pPr>
              <w:pStyle w:val="NoSpacing"/>
              <w:jc w:val="center"/>
              <w:rPr>
                <w:rFonts w:ascii="Times New Roman" w:hAnsi="Times New Roman" w:cs="Times New Roman"/>
                <w:szCs w:val="24"/>
              </w:rPr>
            </w:pPr>
            <w:r w:rsidRPr="004B6753">
              <w:rPr>
                <w:rFonts w:ascii="Times New Roman" w:hAnsi="Times New Roman" w:cs="Times New Roman"/>
                <w:szCs w:val="24"/>
              </w:rPr>
              <w:t>..</w:t>
            </w:r>
          </w:p>
        </w:tc>
        <w:tc>
          <w:tcPr>
            <w:tcW w:w="0" w:type="auto"/>
            <w:vAlign w:val="center"/>
            <w:hideMark/>
          </w:tcPr>
          <w:p w14:paraId="74223E88" w14:textId="77777777" w:rsidR="00416FA8" w:rsidRPr="004B6753" w:rsidRDefault="00416FA8" w:rsidP="004B6753">
            <w:pPr>
              <w:pStyle w:val="NoSpacing"/>
              <w:jc w:val="center"/>
              <w:rPr>
                <w:rFonts w:ascii="Times New Roman" w:hAnsi="Times New Roman" w:cs="Times New Roman"/>
                <w:szCs w:val="24"/>
              </w:rPr>
            </w:pPr>
            <w:r w:rsidRPr="004B6753">
              <w:rPr>
                <w:rFonts w:ascii="Times New Roman" w:hAnsi="Times New Roman" w:cs="Times New Roman"/>
                <w:szCs w:val="24"/>
              </w:rPr>
              <w:t>..</w:t>
            </w:r>
          </w:p>
        </w:tc>
        <w:tc>
          <w:tcPr>
            <w:tcW w:w="0" w:type="auto"/>
            <w:vAlign w:val="center"/>
            <w:hideMark/>
          </w:tcPr>
          <w:p w14:paraId="60C5CD3B" w14:textId="77777777" w:rsidR="00416FA8" w:rsidRPr="004B6753" w:rsidRDefault="00416FA8" w:rsidP="004B6753">
            <w:pPr>
              <w:pStyle w:val="NoSpacing"/>
              <w:jc w:val="center"/>
              <w:rPr>
                <w:rFonts w:ascii="Times New Roman" w:hAnsi="Times New Roman" w:cs="Times New Roman"/>
                <w:szCs w:val="24"/>
              </w:rPr>
            </w:pPr>
            <w:r w:rsidRPr="004B6753">
              <w:rPr>
                <w:rFonts w:ascii="Times New Roman" w:hAnsi="Times New Roman" w:cs="Times New Roman"/>
                <w:szCs w:val="24"/>
              </w:rPr>
              <w:t>..</w:t>
            </w:r>
          </w:p>
        </w:tc>
        <w:tc>
          <w:tcPr>
            <w:tcW w:w="0" w:type="auto"/>
            <w:vAlign w:val="center"/>
            <w:hideMark/>
          </w:tcPr>
          <w:p w14:paraId="1F5F4AF2" w14:textId="77777777" w:rsidR="00416FA8" w:rsidRPr="004B6753" w:rsidRDefault="00416FA8" w:rsidP="004B6753">
            <w:pPr>
              <w:pStyle w:val="NoSpacing"/>
              <w:jc w:val="center"/>
              <w:rPr>
                <w:rFonts w:ascii="Times New Roman" w:hAnsi="Times New Roman" w:cs="Times New Roman"/>
                <w:szCs w:val="24"/>
              </w:rPr>
            </w:pPr>
            <w:r w:rsidRPr="004B6753">
              <w:rPr>
                <w:rFonts w:ascii="Times New Roman" w:hAnsi="Times New Roman" w:cs="Times New Roman"/>
                <w:szCs w:val="24"/>
              </w:rPr>
              <w:t>..</w:t>
            </w:r>
          </w:p>
        </w:tc>
        <w:tc>
          <w:tcPr>
            <w:tcW w:w="0" w:type="auto"/>
            <w:vAlign w:val="center"/>
            <w:hideMark/>
          </w:tcPr>
          <w:p w14:paraId="25CAD8B8" w14:textId="77777777" w:rsidR="00416FA8" w:rsidRPr="004B6753" w:rsidRDefault="00416FA8" w:rsidP="004B6753">
            <w:pPr>
              <w:pStyle w:val="NoSpacing"/>
              <w:jc w:val="center"/>
              <w:rPr>
                <w:rFonts w:ascii="Times New Roman" w:hAnsi="Times New Roman" w:cs="Times New Roman"/>
                <w:szCs w:val="24"/>
              </w:rPr>
            </w:pPr>
            <w:r w:rsidRPr="004B6753">
              <w:rPr>
                <w:rFonts w:ascii="Times New Roman" w:hAnsi="Times New Roman" w:cs="Times New Roman"/>
                <w:szCs w:val="24"/>
              </w:rPr>
              <w:t>..</w:t>
            </w:r>
          </w:p>
        </w:tc>
        <w:tc>
          <w:tcPr>
            <w:tcW w:w="0" w:type="auto"/>
            <w:vAlign w:val="center"/>
            <w:hideMark/>
          </w:tcPr>
          <w:p w14:paraId="71E8C429" w14:textId="77777777" w:rsidR="00416FA8" w:rsidRPr="004B6753" w:rsidRDefault="00416FA8" w:rsidP="004B6753">
            <w:pPr>
              <w:pStyle w:val="NoSpacing"/>
              <w:jc w:val="center"/>
              <w:rPr>
                <w:rFonts w:ascii="Times New Roman" w:hAnsi="Times New Roman" w:cs="Times New Roman"/>
                <w:szCs w:val="24"/>
              </w:rPr>
            </w:pPr>
            <w:r w:rsidRPr="004B6753">
              <w:rPr>
                <w:rFonts w:ascii="Times New Roman" w:hAnsi="Times New Roman" w:cs="Times New Roman"/>
                <w:szCs w:val="24"/>
              </w:rPr>
              <w:t>..</w:t>
            </w:r>
          </w:p>
        </w:tc>
        <w:tc>
          <w:tcPr>
            <w:tcW w:w="0" w:type="auto"/>
            <w:vAlign w:val="center"/>
            <w:hideMark/>
          </w:tcPr>
          <w:p w14:paraId="09BA5761" w14:textId="77777777" w:rsidR="00416FA8" w:rsidRPr="004B6753" w:rsidRDefault="00416FA8" w:rsidP="004B6753">
            <w:pPr>
              <w:pStyle w:val="NoSpacing"/>
              <w:jc w:val="center"/>
              <w:rPr>
                <w:rFonts w:ascii="Times New Roman" w:hAnsi="Times New Roman" w:cs="Times New Roman"/>
                <w:szCs w:val="24"/>
              </w:rPr>
            </w:pPr>
            <w:r w:rsidRPr="004B6753">
              <w:rPr>
                <w:rFonts w:ascii="Times New Roman" w:hAnsi="Times New Roman" w:cs="Times New Roman"/>
                <w:szCs w:val="24"/>
              </w:rPr>
              <w:t>..</w:t>
            </w:r>
          </w:p>
        </w:tc>
      </w:tr>
      <w:tr w:rsidR="00416FA8" w:rsidRPr="004B6753" w14:paraId="3AEAA8AD" w14:textId="77777777" w:rsidTr="004B6753">
        <w:trPr>
          <w:trHeight w:val="20"/>
        </w:trPr>
        <w:tc>
          <w:tcPr>
            <w:tcW w:w="1995" w:type="dxa"/>
            <w:hideMark/>
          </w:tcPr>
          <w:p w14:paraId="1B3F7305" w14:textId="77777777" w:rsidR="00416FA8" w:rsidRPr="004B6753" w:rsidRDefault="00416FA8" w:rsidP="004B6753">
            <w:pPr>
              <w:pStyle w:val="NoSpacing"/>
              <w:rPr>
                <w:rFonts w:ascii="Times New Roman" w:hAnsi="Times New Roman" w:cs="Times New Roman"/>
                <w:szCs w:val="24"/>
              </w:rPr>
            </w:pPr>
            <w:r w:rsidRPr="004B6753">
              <w:rPr>
                <w:rFonts w:ascii="Times New Roman" w:hAnsi="Times New Roman" w:cs="Times New Roman"/>
                <w:szCs w:val="24"/>
              </w:rPr>
              <w:t>1966-67</w:t>
            </w:r>
          </w:p>
        </w:tc>
        <w:tc>
          <w:tcPr>
            <w:tcW w:w="0" w:type="auto"/>
            <w:vAlign w:val="center"/>
            <w:hideMark/>
          </w:tcPr>
          <w:p w14:paraId="6C2C4C6C" w14:textId="77777777" w:rsidR="00416FA8" w:rsidRPr="004B6753" w:rsidRDefault="00416FA8" w:rsidP="004B6753">
            <w:pPr>
              <w:pStyle w:val="NoSpacing"/>
              <w:jc w:val="center"/>
              <w:rPr>
                <w:rFonts w:ascii="Times New Roman" w:hAnsi="Times New Roman" w:cs="Times New Roman"/>
                <w:szCs w:val="24"/>
              </w:rPr>
            </w:pPr>
            <w:r w:rsidRPr="004B6753">
              <w:rPr>
                <w:rFonts w:ascii="Times New Roman" w:hAnsi="Times New Roman" w:cs="Times New Roman"/>
                <w:szCs w:val="24"/>
              </w:rPr>
              <w:t>0.38</w:t>
            </w:r>
          </w:p>
        </w:tc>
        <w:tc>
          <w:tcPr>
            <w:tcW w:w="0" w:type="auto"/>
            <w:vAlign w:val="center"/>
            <w:hideMark/>
          </w:tcPr>
          <w:p w14:paraId="7A7CC19E" w14:textId="77777777" w:rsidR="00416FA8" w:rsidRPr="004B6753" w:rsidRDefault="00416FA8" w:rsidP="004B6753">
            <w:pPr>
              <w:pStyle w:val="NoSpacing"/>
              <w:jc w:val="center"/>
              <w:rPr>
                <w:rFonts w:ascii="Times New Roman" w:hAnsi="Times New Roman" w:cs="Times New Roman"/>
                <w:szCs w:val="24"/>
              </w:rPr>
            </w:pPr>
            <w:r w:rsidRPr="004B6753">
              <w:rPr>
                <w:rFonts w:ascii="Times New Roman" w:hAnsi="Times New Roman" w:cs="Times New Roman"/>
                <w:szCs w:val="24"/>
              </w:rPr>
              <w:t>3.55</w:t>
            </w:r>
          </w:p>
        </w:tc>
        <w:tc>
          <w:tcPr>
            <w:tcW w:w="0" w:type="auto"/>
            <w:vAlign w:val="center"/>
            <w:hideMark/>
          </w:tcPr>
          <w:p w14:paraId="1F1CCA4E" w14:textId="77777777" w:rsidR="00416FA8" w:rsidRPr="004B6753" w:rsidRDefault="00416FA8" w:rsidP="004B6753">
            <w:pPr>
              <w:pStyle w:val="NoSpacing"/>
              <w:jc w:val="center"/>
              <w:rPr>
                <w:rFonts w:ascii="Times New Roman" w:hAnsi="Times New Roman" w:cs="Times New Roman"/>
                <w:szCs w:val="24"/>
              </w:rPr>
            </w:pPr>
            <w:r w:rsidRPr="004B6753">
              <w:rPr>
                <w:rFonts w:ascii="Times New Roman" w:hAnsi="Times New Roman" w:cs="Times New Roman"/>
                <w:szCs w:val="24"/>
              </w:rPr>
              <w:t>0.57</w:t>
            </w:r>
          </w:p>
        </w:tc>
        <w:tc>
          <w:tcPr>
            <w:tcW w:w="0" w:type="auto"/>
            <w:vAlign w:val="center"/>
            <w:hideMark/>
          </w:tcPr>
          <w:p w14:paraId="2E89C836" w14:textId="77777777" w:rsidR="00416FA8" w:rsidRPr="004B6753" w:rsidRDefault="00416FA8" w:rsidP="004B6753">
            <w:pPr>
              <w:pStyle w:val="NoSpacing"/>
              <w:jc w:val="center"/>
              <w:rPr>
                <w:rFonts w:ascii="Times New Roman" w:hAnsi="Times New Roman" w:cs="Times New Roman"/>
                <w:szCs w:val="24"/>
              </w:rPr>
            </w:pPr>
            <w:r w:rsidRPr="004B6753">
              <w:rPr>
                <w:rFonts w:ascii="Times New Roman" w:hAnsi="Times New Roman" w:cs="Times New Roman"/>
                <w:szCs w:val="24"/>
              </w:rPr>
              <w:t>1.11</w:t>
            </w:r>
          </w:p>
        </w:tc>
        <w:tc>
          <w:tcPr>
            <w:tcW w:w="0" w:type="auto"/>
            <w:vAlign w:val="center"/>
            <w:hideMark/>
          </w:tcPr>
          <w:p w14:paraId="76D28A18" w14:textId="77777777" w:rsidR="00416FA8" w:rsidRPr="004B6753" w:rsidRDefault="00416FA8" w:rsidP="004B6753">
            <w:pPr>
              <w:pStyle w:val="NoSpacing"/>
              <w:jc w:val="center"/>
              <w:rPr>
                <w:rFonts w:ascii="Times New Roman" w:hAnsi="Times New Roman" w:cs="Times New Roman"/>
                <w:szCs w:val="24"/>
              </w:rPr>
            </w:pPr>
            <w:r w:rsidRPr="004B6753">
              <w:rPr>
                <w:rFonts w:ascii="Times New Roman" w:hAnsi="Times New Roman" w:cs="Times New Roman"/>
                <w:szCs w:val="24"/>
              </w:rPr>
              <w:t>0.30</w:t>
            </w:r>
          </w:p>
        </w:tc>
        <w:tc>
          <w:tcPr>
            <w:tcW w:w="0" w:type="auto"/>
            <w:vAlign w:val="center"/>
            <w:hideMark/>
          </w:tcPr>
          <w:p w14:paraId="0608A9B1" w14:textId="77777777" w:rsidR="00416FA8" w:rsidRPr="004B6753" w:rsidRDefault="00416FA8" w:rsidP="004B6753">
            <w:pPr>
              <w:pStyle w:val="NoSpacing"/>
              <w:jc w:val="center"/>
              <w:rPr>
                <w:rFonts w:ascii="Times New Roman" w:hAnsi="Times New Roman" w:cs="Times New Roman"/>
                <w:szCs w:val="24"/>
              </w:rPr>
            </w:pPr>
            <w:r w:rsidRPr="004B6753">
              <w:rPr>
                <w:rFonts w:ascii="Times New Roman" w:hAnsi="Times New Roman" w:cs="Times New Roman"/>
                <w:szCs w:val="24"/>
              </w:rPr>
              <w:t>3.21</w:t>
            </w:r>
          </w:p>
        </w:tc>
        <w:tc>
          <w:tcPr>
            <w:tcW w:w="0" w:type="auto"/>
            <w:vAlign w:val="center"/>
            <w:hideMark/>
          </w:tcPr>
          <w:p w14:paraId="15629F3B" w14:textId="77777777" w:rsidR="00416FA8" w:rsidRPr="004B6753" w:rsidRDefault="00416FA8" w:rsidP="004B6753">
            <w:pPr>
              <w:pStyle w:val="NoSpacing"/>
              <w:jc w:val="center"/>
              <w:rPr>
                <w:rFonts w:ascii="Times New Roman" w:hAnsi="Times New Roman" w:cs="Times New Roman"/>
                <w:szCs w:val="24"/>
              </w:rPr>
            </w:pPr>
            <w:r w:rsidRPr="004B6753">
              <w:rPr>
                <w:rFonts w:ascii="Times New Roman" w:hAnsi="Times New Roman" w:cs="Times New Roman"/>
                <w:szCs w:val="24"/>
              </w:rPr>
              <w:t>0.78</w:t>
            </w:r>
          </w:p>
        </w:tc>
        <w:tc>
          <w:tcPr>
            <w:tcW w:w="0" w:type="auto"/>
            <w:vAlign w:val="center"/>
            <w:hideMark/>
          </w:tcPr>
          <w:p w14:paraId="03834931" w14:textId="77777777" w:rsidR="00416FA8" w:rsidRPr="004B6753" w:rsidRDefault="00416FA8" w:rsidP="004B6753">
            <w:pPr>
              <w:pStyle w:val="NoSpacing"/>
              <w:jc w:val="center"/>
              <w:rPr>
                <w:rFonts w:ascii="Times New Roman" w:hAnsi="Times New Roman" w:cs="Times New Roman"/>
                <w:szCs w:val="24"/>
              </w:rPr>
            </w:pPr>
            <w:r w:rsidRPr="004B6753">
              <w:rPr>
                <w:rFonts w:ascii="Times New Roman" w:hAnsi="Times New Roman" w:cs="Times New Roman"/>
                <w:szCs w:val="24"/>
              </w:rPr>
              <w:t>0.38</w:t>
            </w:r>
          </w:p>
        </w:tc>
        <w:tc>
          <w:tcPr>
            <w:tcW w:w="0" w:type="auto"/>
            <w:vAlign w:val="center"/>
            <w:hideMark/>
          </w:tcPr>
          <w:p w14:paraId="5E9B9D76" w14:textId="77777777" w:rsidR="00416FA8" w:rsidRPr="004B6753" w:rsidRDefault="00416FA8" w:rsidP="004B6753">
            <w:pPr>
              <w:pStyle w:val="NoSpacing"/>
              <w:jc w:val="center"/>
              <w:rPr>
                <w:rFonts w:ascii="Times New Roman" w:hAnsi="Times New Roman" w:cs="Times New Roman"/>
                <w:szCs w:val="24"/>
              </w:rPr>
            </w:pPr>
            <w:r w:rsidRPr="004B6753">
              <w:rPr>
                <w:rFonts w:ascii="Times New Roman" w:hAnsi="Times New Roman" w:cs="Times New Roman"/>
                <w:szCs w:val="24"/>
              </w:rPr>
              <w:t>1.07</w:t>
            </w:r>
          </w:p>
        </w:tc>
        <w:tc>
          <w:tcPr>
            <w:tcW w:w="0" w:type="auto"/>
            <w:vAlign w:val="center"/>
            <w:hideMark/>
          </w:tcPr>
          <w:p w14:paraId="12F4AEB5" w14:textId="77777777" w:rsidR="00416FA8" w:rsidRPr="004B6753" w:rsidRDefault="00416FA8" w:rsidP="004B6753">
            <w:pPr>
              <w:pStyle w:val="NoSpacing"/>
              <w:jc w:val="center"/>
              <w:rPr>
                <w:rFonts w:ascii="Times New Roman" w:hAnsi="Times New Roman" w:cs="Times New Roman"/>
                <w:szCs w:val="24"/>
              </w:rPr>
            </w:pPr>
            <w:r w:rsidRPr="004B6753">
              <w:rPr>
                <w:rFonts w:ascii="Times New Roman" w:hAnsi="Times New Roman" w:cs="Times New Roman"/>
                <w:szCs w:val="24"/>
              </w:rPr>
              <w:t>7.73</w:t>
            </w:r>
          </w:p>
        </w:tc>
        <w:tc>
          <w:tcPr>
            <w:tcW w:w="0" w:type="auto"/>
            <w:vAlign w:val="center"/>
            <w:hideMark/>
          </w:tcPr>
          <w:p w14:paraId="4FDF0C60" w14:textId="77777777" w:rsidR="00416FA8" w:rsidRPr="004B6753" w:rsidRDefault="00416FA8" w:rsidP="004B6753">
            <w:pPr>
              <w:pStyle w:val="NoSpacing"/>
              <w:jc w:val="center"/>
              <w:rPr>
                <w:rFonts w:ascii="Times New Roman" w:hAnsi="Times New Roman" w:cs="Times New Roman"/>
                <w:szCs w:val="24"/>
              </w:rPr>
            </w:pPr>
            <w:r w:rsidRPr="004B6753">
              <w:rPr>
                <w:rFonts w:ascii="Times New Roman" w:hAnsi="Times New Roman" w:cs="Times New Roman"/>
                <w:szCs w:val="24"/>
              </w:rPr>
              <w:t>19.08</w:t>
            </w:r>
          </w:p>
        </w:tc>
      </w:tr>
      <w:tr w:rsidR="00416FA8" w:rsidRPr="004B6753" w14:paraId="64123B62" w14:textId="77777777" w:rsidTr="004B6753">
        <w:trPr>
          <w:trHeight w:val="20"/>
        </w:trPr>
        <w:tc>
          <w:tcPr>
            <w:tcW w:w="1995" w:type="dxa"/>
            <w:hideMark/>
          </w:tcPr>
          <w:p w14:paraId="5755BA9B" w14:textId="77777777" w:rsidR="00416FA8" w:rsidRPr="004B6753" w:rsidRDefault="00416FA8" w:rsidP="004B6753">
            <w:pPr>
              <w:pStyle w:val="NoSpacing"/>
              <w:rPr>
                <w:rFonts w:ascii="Times New Roman" w:hAnsi="Times New Roman" w:cs="Times New Roman"/>
                <w:szCs w:val="24"/>
              </w:rPr>
            </w:pPr>
            <w:r w:rsidRPr="004B6753">
              <w:rPr>
                <w:rFonts w:ascii="Times New Roman" w:hAnsi="Times New Roman" w:cs="Times New Roman"/>
                <w:szCs w:val="24"/>
              </w:rPr>
              <w:t>1967-68</w:t>
            </w:r>
          </w:p>
        </w:tc>
        <w:tc>
          <w:tcPr>
            <w:tcW w:w="0" w:type="auto"/>
            <w:vAlign w:val="center"/>
            <w:hideMark/>
          </w:tcPr>
          <w:p w14:paraId="0EE4AA46" w14:textId="77777777" w:rsidR="00416FA8" w:rsidRPr="004B6753" w:rsidRDefault="00416FA8" w:rsidP="004B6753">
            <w:pPr>
              <w:pStyle w:val="NoSpacing"/>
              <w:jc w:val="center"/>
              <w:rPr>
                <w:rFonts w:ascii="Times New Roman" w:hAnsi="Times New Roman" w:cs="Times New Roman"/>
                <w:szCs w:val="24"/>
              </w:rPr>
            </w:pPr>
            <w:r w:rsidRPr="004B6753">
              <w:rPr>
                <w:rFonts w:ascii="Times New Roman" w:hAnsi="Times New Roman" w:cs="Times New Roman"/>
                <w:szCs w:val="24"/>
              </w:rPr>
              <w:t>1.25</w:t>
            </w:r>
          </w:p>
        </w:tc>
        <w:tc>
          <w:tcPr>
            <w:tcW w:w="0" w:type="auto"/>
            <w:vAlign w:val="center"/>
            <w:hideMark/>
          </w:tcPr>
          <w:p w14:paraId="7564EA5C" w14:textId="77777777" w:rsidR="00416FA8" w:rsidRPr="004B6753" w:rsidRDefault="00416FA8" w:rsidP="004B6753">
            <w:pPr>
              <w:pStyle w:val="NoSpacing"/>
              <w:jc w:val="center"/>
              <w:rPr>
                <w:rFonts w:ascii="Times New Roman" w:hAnsi="Times New Roman" w:cs="Times New Roman"/>
                <w:szCs w:val="24"/>
              </w:rPr>
            </w:pPr>
            <w:r w:rsidRPr="004B6753">
              <w:rPr>
                <w:rFonts w:ascii="Times New Roman" w:hAnsi="Times New Roman" w:cs="Times New Roman"/>
                <w:szCs w:val="24"/>
              </w:rPr>
              <w:t>13.28</w:t>
            </w:r>
          </w:p>
        </w:tc>
        <w:tc>
          <w:tcPr>
            <w:tcW w:w="0" w:type="auto"/>
            <w:vAlign w:val="center"/>
            <w:hideMark/>
          </w:tcPr>
          <w:p w14:paraId="3B7FCEB2" w14:textId="77777777" w:rsidR="00416FA8" w:rsidRPr="004B6753" w:rsidRDefault="00416FA8" w:rsidP="004B6753">
            <w:pPr>
              <w:pStyle w:val="NoSpacing"/>
              <w:jc w:val="center"/>
              <w:rPr>
                <w:rFonts w:ascii="Times New Roman" w:hAnsi="Times New Roman" w:cs="Times New Roman"/>
                <w:szCs w:val="24"/>
              </w:rPr>
            </w:pPr>
            <w:r w:rsidRPr="004B6753">
              <w:rPr>
                <w:rFonts w:ascii="Times New Roman" w:hAnsi="Times New Roman" w:cs="Times New Roman"/>
                <w:szCs w:val="24"/>
              </w:rPr>
              <w:t>1.74</w:t>
            </w:r>
          </w:p>
        </w:tc>
        <w:tc>
          <w:tcPr>
            <w:tcW w:w="0" w:type="auto"/>
            <w:vAlign w:val="center"/>
            <w:hideMark/>
          </w:tcPr>
          <w:p w14:paraId="3129657F" w14:textId="77777777" w:rsidR="00416FA8" w:rsidRPr="004B6753" w:rsidRDefault="00416FA8" w:rsidP="004B6753">
            <w:pPr>
              <w:pStyle w:val="NoSpacing"/>
              <w:jc w:val="center"/>
              <w:rPr>
                <w:rFonts w:ascii="Times New Roman" w:hAnsi="Times New Roman" w:cs="Times New Roman"/>
                <w:szCs w:val="24"/>
              </w:rPr>
            </w:pPr>
            <w:r w:rsidRPr="004B6753">
              <w:rPr>
                <w:rFonts w:ascii="Times New Roman" w:hAnsi="Times New Roman" w:cs="Times New Roman"/>
                <w:szCs w:val="24"/>
              </w:rPr>
              <w:t>3.15</w:t>
            </w:r>
          </w:p>
        </w:tc>
        <w:tc>
          <w:tcPr>
            <w:tcW w:w="0" w:type="auto"/>
            <w:vAlign w:val="center"/>
            <w:hideMark/>
          </w:tcPr>
          <w:p w14:paraId="1C278305" w14:textId="77777777" w:rsidR="00416FA8" w:rsidRPr="004B6753" w:rsidRDefault="00416FA8" w:rsidP="004B6753">
            <w:pPr>
              <w:pStyle w:val="NoSpacing"/>
              <w:jc w:val="center"/>
              <w:rPr>
                <w:rFonts w:ascii="Times New Roman" w:hAnsi="Times New Roman" w:cs="Times New Roman"/>
                <w:szCs w:val="24"/>
              </w:rPr>
            </w:pPr>
            <w:r w:rsidRPr="004B6753">
              <w:rPr>
                <w:rFonts w:ascii="Times New Roman" w:hAnsi="Times New Roman" w:cs="Times New Roman"/>
                <w:szCs w:val="24"/>
              </w:rPr>
              <w:t>1.04</w:t>
            </w:r>
          </w:p>
        </w:tc>
        <w:tc>
          <w:tcPr>
            <w:tcW w:w="0" w:type="auto"/>
            <w:vAlign w:val="center"/>
            <w:hideMark/>
          </w:tcPr>
          <w:p w14:paraId="32DA0E0A" w14:textId="77777777" w:rsidR="00416FA8" w:rsidRPr="004B6753" w:rsidRDefault="00416FA8" w:rsidP="004B6753">
            <w:pPr>
              <w:pStyle w:val="NoSpacing"/>
              <w:jc w:val="center"/>
              <w:rPr>
                <w:rFonts w:ascii="Times New Roman" w:hAnsi="Times New Roman" w:cs="Times New Roman"/>
                <w:szCs w:val="24"/>
              </w:rPr>
            </w:pPr>
            <w:r w:rsidRPr="004B6753">
              <w:rPr>
                <w:rFonts w:ascii="Times New Roman" w:hAnsi="Times New Roman" w:cs="Times New Roman"/>
                <w:szCs w:val="24"/>
              </w:rPr>
              <w:t>10.66</w:t>
            </w:r>
          </w:p>
        </w:tc>
        <w:tc>
          <w:tcPr>
            <w:tcW w:w="0" w:type="auto"/>
            <w:vAlign w:val="center"/>
            <w:hideMark/>
          </w:tcPr>
          <w:p w14:paraId="72596A73" w14:textId="77777777" w:rsidR="00416FA8" w:rsidRPr="004B6753" w:rsidRDefault="00416FA8" w:rsidP="004B6753">
            <w:pPr>
              <w:pStyle w:val="NoSpacing"/>
              <w:jc w:val="center"/>
              <w:rPr>
                <w:rFonts w:ascii="Times New Roman" w:hAnsi="Times New Roman" w:cs="Times New Roman"/>
                <w:szCs w:val="24"/>
              </w:rPr>
            </w:pPr>
            <w:r w:rsidRPr="004B6753">
              <w:rPr>
                <w:rFonts w:ascii="Times New Roman" w:hAnsi="Times New Roman" w:cs="Times New Roman"/>
                <w:szCs w:val="24"/>
              </w:rPr>
              <w:t>1.66</w:t>
            </w:r>
          </w:p>
        </w:tc>
        <w:tc>
          <w:tcPr>
            <w:tcW w:w="0" w:type="auto"/>
            <w:vAlign w:val="center"/>
            <w:hideMark/>
          </w:tcPr>
          <w:p w14:paraId="6B55AF4B" w14:textId="77777777" w:rsidR="00416FA8" w:rsidRPr="004B6753" w:rsidRDefault="00416FA8" w:rsidP="004B6753">
            <w:pPr>
              <w:pStyle w:val="NoSpacing"/>
              <w:jc w:val="center"/>
              <w:rPr>
                <w:rFonts w:ascii="Times New Roman" w:hAnsi="Times New Roman" w:cs="Times New Roman"/>
                <w:szCs w:val="24"/>
              </w:rPr>
            </w:pPr>
            <w:r w:rsidRPr="004B6753">
              <w:rPr>
                <w:rFonts w:ascii="Times New Roman" w:hAnsi="Times New Roman" w:cs="Times New Roman"/>
                <w:szCs w:val="24"/>
              </w:rPr>
              <w:t>1.61</w:t>
            </w:r>
          </w:p>
        </w:tc>
        <w:tc>
          <w:tcPr>
            <w:tcW w:w="0" w:type="auto"/>
            <w:vAlign w:val="center"/>
            <w:hideMark/>
          </w:tcPr>
          <w:p w14:paraId="5132B147" w14:textId="77777777" w:rsidR="00416FA8" w:rsidRPr="004B6753" w:rsidRDefault="00416FA8" w:rsidP="004B6753">
            <w:pPr>
              <w:pStyle w:val="NoSpacing"/>
              <w:jc w:val="center"/>
              <w:rPr>
                <w:rFonts w:ascii="Times New Roman" w:hAnsi="Times New Roman" w:cs="Times New Roman"/>
                <w:szCs w:val="24"/>
              </w:rPr>
            </w:pPr>
            <w:r w:rsidRPr="004B6753">
              <w:rPr>
                <w:rFonts w:ascii="Times New Roman" w:hAnsi="Times New Roman" w:cs="Times New Roman"/>
                <w:szCs w:val="24"/>
              </w:rPr>
              <w:t>3.02</w:t>
            </w:r>
          </w:p>
        </w:tc>
        <w:tc>
          <w:tcPr>
            <w:tcW w:w="0" w:type="auto"/>
            <w:vAlign w:val="center"/>
            <w:hideMark/>
          </w:tcPr>
          <w:p w14:paraId="20C7D353" w14:textId="77777777" w:rsidR="00416FA8" w:rsidRPr="004B6753" w:rsidRDefault="00416FA8" w:rsidP="004B6753">
            <w:pPr>
              <w:pStyle w:val="NoSpacing"/>
              <w:jc w:val="center"/>
              <w:rPr>
                <w:rFonts w:ascii="Times New Roman" w:hAnsi="Times New Roman" w:cs="Times New Roman"/>
                <w:szCs w:val="24"/>
              </w:rPr>
            </w:pPr>
            <w:r w:rsidRPr="004B6753">
              <w:rPr>
                <w:rFonts w:ascii="Times New Roman" w:hAnsi="Times New Roman" w:cs="Times New Roman"/>
                <w:szCs w:val="24"/>
              </w:rPr>
              <w:t>17.91</w:t>
            </w:r>
          </w:p>
        </w:tc>
        <w:tc>
          <w:tcPr>
            <w:tcW w:w="0" w:type="auto"/>
            <w:vAlign w:val="center"/>
            <w:hideMark/>
          </w:tcPr>
          <w:p w14:paraId="2D02EB86" w14:textId="77777777" w:rsidR="00416FA8" w:rsidRPr="004B6753" w:rsidRDefault="00416FA8" w:rsidP="004B6753">
            <w:pPr>
              <w:pStyle w:val="NoSpacing"/>
              <w:jc w:val="center"/>
              <w:rPr>
                <w:rFonts w:ascii="Times New Roman" w:hAnsi="Times New Roman" w:cs="Times New Roman"/>
                <w:szCs w:val="24"/>
              </w:rPr>
            </w:pPr>
            <w:r w:rsidRPr="004B6753">
              <w:rPr>
                <w:rFonts w:ascii="Times New Roman" w:hAnsi="Times New Roman" w:cs="Times New Roman"/>
                <w:szCs w:val="24"/>
              </w:rPr>
              <w:t>55.32</w:t>
            </w:r>
          </w:p>
        </w:tc>
      </w:tr>
      <w:tr w:rsidR="00812C67" w:rsidRPr="004B6753" w14:paraId="3BD1F444" w14:textId="77777777" w:rsidTr="004B6753">
        <w:trPr>
          <w:trHeight w:val="20"/>
        </w:trPr>
        <w:tc>
          <w:tcPr>
            <w:tcW w:w="1995" w:type="dxa"/>
            <w:vMerge w:val="restart"/>
            <w:hideMark/>
          </w:tcPr>
          <w:p w14:paraId="2A7D1849" w14:textId="77777777" w:rsidR="00812C67" w:rsidRPr="004B6753" w:rsidRDefault="00812C67" w:rsidP="004B6753">
            <w:pPr>
              <w:pStyle w:val="NoSpacing"/>
              <w:rPr>
                <w:rFonts w:ascii="Times New Roman" w:hAnsi="Times New Roman" w:cs="Times New Roman"/>
                <w:szCs w:val="24"/>
              </w:rPr>
            </w:pPr>
            <w:r w:rsidRPr="004B6753">
              <w:rPr>
                <w:rFonts w:ascii="Times New Roman" w:hAnsi="Times New Roman" w:cs="Times New Roman"/>
                <w:szCs w:val="24"/>
              </w:rPr>
              <w:t>1968-69 (RE)</w:t>
            </w:r>
          </w:p>
        </w:tc>
        <w:tc>
          <w:tcPr>
            <w:tcW w:w="0" w:type="auto"/>
            <w:vAlign w:val="center"/>
            <w:hideMark/>
          </w:tcPr>
          <w:p w14:paraId="1C1981C3" w14:textId="77777777" w:rsidR="00812C67" w:rsidRPr="004B6753" w:rsidRDefault="00812C67" w:rsidP="004B6753">
            <w:pPr>
              <w:pStyle w:val="NoSpacing"/>
              <w:jc w:val="center"/>
              <w:rPr>
                <w:rFonts w:ascii="Times New Roman" w:hAnsi="Times New Roman" w:cs="Times New Roman"/>
                <w:szCs w:val="24"/>
              </w:rPr>
            </w:pPr>
            <w:r w:rsidRPr="004B6753">
              <w:rPr>
                <w:rFonts w:ascii="Times New Roman" w:hAnsi="Times New Roman" w:cs="Times New Roman"/>
                <w:szCs w:val="24"/>
              </w:rPr>
              <w:t>1.47</w:t>
            </w:r>
          </w:p>
        </w:tc>
        <w:tc>
          <w:tcPr>
            <w:tcW w:w="0" w:type="auto"/>
            <w:vAlign w:val="center"/>
            <w:hideMark/>
          </w:tcPr>
          <w:p w14:paraId="1993D622" w14:textId="77777777" w:rsidR="00812C67" w:rsidRPr="004B6753" w:rsidRDefault="00812C67" w:rsidP="004B6753">
            <w:pPr>
              <w:pStyle w:val="NoSpacing"/>
              <w:jc w:val="center"/>
              <w:rPr>
                <w:rFonts w:ascii="Times New Roman" w:hAnsi="Times New Roman" w:cs="Times New Roman"/>
                <w:szCs w:val="24"/>
              </w:rPr>
            </w:pPr>
            <w:r w:rsidRPr="004B6753">
              <w:rPr>
                <w:rFonts w:ascii="Times New Roman" w:hAnsi="Times New Roman" w:cs="Times New Roman"/>
                <w:szCs w:val="24"/>
              </w:rPr>
              <w:t>15.99</w:t>
            </w:r>
          </w:p>
        </w:tc>
        <w:tc>
          <w:tcPr>
            <w:tcW w:w="0" w:type="auto"/>
            <w:vAlign w:val="center"/>
            <w:hideMark/>
          </w:tcPr>
          <w:p w14:paraId="578A83FB" w14:textId="77777777" w:rsidR="00812C67" w:rsidRPr="004B6753" w:rsidRDefault="00812C67" w:rsidP="004B6753">
            <w:pPr>
              <w:pStyle w:val="NoSpacing"/>
              <w:jc w:val="center"/>
              <w:rPr>
                <w:rFonts w:ascii="Times New Roman" w:hAnsi="Times New Roman" w:cs="Times New Roman"/>
                <w:szCs w:val="24"/>
              </w:rPr>
            </w:pPr>
            <w:r w:rsidRPr="004B6753">
              <w:rPr>
                <w:rFonts w:ascii="Times New Roman" w:hAnsi="Times New Roman" w:cs="Times New Roman"/>
                <w:szCs w:val="24"/>
              </w:rPr>
              <w:t>2.13</w:t>
            </w:r>
          </w:p>
        </w:tc>
        <w:tc>
          <w:tcPr>
            <w:tcW w:w="0" w:type="auto"/>
            <w:vAlign w:val="center"/>
            <w:hideMark/>
          </w:tcPr>
          <w:p w14:paraId="77F625C6" w14:textId="77777777" w:rsidR="00812C67" w:rsidRPr="004B6753" w:rsidRDefault="00812C67" w:rsidP="004B6753">
            <w:pPr>
              <w:pStyle w:val="NoSpacing"/>
              <w:jc w:val="center"/>
              <w:rPr>
                <w:rFonts w:ascii="Times New Roman" w:hAnsi="Times New Roman" w:cs="Times New Roman"/>
                <w:szCs w:val="24"/>
              </w:rPr>
            </w:pPr>
            <w:r w:rsidRPr="004B6753">
              <w:rPr>
                <w:rFonts w:ascii="Times New Roman" w:hAnsi="Times New Roman" w:cs="Times New Roman"/>
                <w:szCs w:val="24"/>
              </w:rPr>
              <w:t>3.20</w:t>
            </w:r>
          </w:p>
        </w:tc>
        <w:tc>
          <w:tcPr>
            <w:tcW w:w="0" w:type="auto"/>
            <w:vAlign w:val="center"/>
            <w:hideMark/>
          </w:tcPr>
          <w:p w14:paraId="391404DB" w14:textId="77777777" w:rsidR="00812C67" w:rsidRPr="004B6753" w:rsidRDefault="00812C67" w:rsidP="004B6753">
            <w:pPr>
              <w:pStyle w:val="NoSpacing"/>
              <w:jc w:val="center"/>
              <w:rPr>
                <w:rFonts w:ascii="Times New Roman" w:hAnsi="Times New Roman" w:cs="Times New Roman"/>
                <w:szCs w:val="24"/>
              </w:rPr>
            </w:pPr>
            <w:r w:rsidRPr="004B6753">
              <w:rPr>
                <w:rFonts w:ascii="Times New Roman" w:hAnsi="Times New Roman" w:cs="Times New Roman"/>
                <w:szCs w:val="24"/>
              </w:rPr>
              <w:t>1.26</w:t>
            </w:r>
          </w:p>
        </w:tc>
        <w:tc>
          <w:tcPr>
            <w:tcW w:w="0" w:type="auto"/>
            <w:vAlign w:val="center"/>
            <w:hideMark/>
          </w:tcPr>
          <w:p w14:paraId="500B1D00" w14:textId="77777777" w:rsidR="00812C67" w:rsidRPr="004B6753" w:rsidRDefault="00812C67" w:rsidP="004B6753">
            <w:pPr>
              <w:pStyle w:val="NoSpacing"/>
              <w:jc w:val="center"/>
              <w:rPr>
                <w:rFonts w:ascii="Times New Roman" w:hAnsi="Times New Roman" w:cs="Times New Roman"/>
                <w:szCs w:val="24"/>
              </w:rPr>
            </w:pPr>
            <w:r w:rsidRPr="004B6753">
              <w:rPr>
                <w:rFonts w:ascii="Times New Roman" w:hAnsi="Times New Roman" w:cs="Times New Roman"/>
                <w:szCs w:val="24"/>
              </w:rPr>
              <w:t>14.47</w:t>
            </w:r>
          </w:p>
        </w:tc>
        <w:tc>
          <w:tcPr>
            <w:tcW w:w="0" w:type="auto"/>
            <w:vAlign w:val="center"/>
            <w:hideMark/>
          </w:tcPr>
          <w:p w14:paraId="556461DD" w14:textId="77777777" w:rsidR="00812C67" w:rsidRPr="004B6753" w:rsidRDefault="00812C67" w:rsidP="004B6753">
            <w:pPr>
              <w:pStyle w:val="NoSpacing"/>
              <w:jc w:val="center"/>
              <w:rPr>
                <w:rFonts w:ascii="Times New Roman" w:hAnsi="Times New Roman" w:cs="Times New Roman"/>
                <w:szCs w:val="24"/>
              </w:rPr>
            </w:pPr>
            <w:r w:rsidRPr="004B6753">
              <w:rPr>
                <w:rFonts w:ascii="Times New Roman" w:hAnsi="Times New Roman" w:cs="Times New Roman"/>
                <w:szCs w:val="24"/>
              </w:rPr>
              <w:t>2.06</w:t>
            </w:r>
          </w:p>
        </w:tc>
        <w:tc>
          <w:tcPr>
            <w:tcW w:w="0" w:type="auto"/>
            <w:vAlign w:val="center"/>
            <w:hideMark/>
          </w:tcPr>
          <w:p w14:paraId="070B4576" w14:textId="77777777" w:rsidR="00812C67" w:rsidRPr="004B6753" w:rsidRDefault="00812C67" w:rsidP="004B6753">
            <w:pPr>
              <w:pStyle w:val="NoSpacing"/>
              <w:jc w:val="center"/>
              <w:rPr>
                <w:rFonts w:ascii="Times New Roman" w:hAnsi="Times New Roman" w:cs="Times New Roman"/>
                <w:szCs w:val="24"/>
              </w:rPr>
            </w:pPr>
            <w:r w:rsidRPr="004B6753">
              <w:rPr>
                <w:rFonts w:ascii="Times New Roman" w:hAnsi="Times New Roman" w:cs="Times New Roman"/>
                <w:szCs w:val="24"/>
              </w:rPr>
              <w:t>1.98</w:t>
            </w:r>
          </w:p>
        </w:tc>
        <w:tc>
          <w:tcPr>
            <w:tcW w:w="0" w:type="auto"/>
            <w:vAlign w:val="center"/>
            <w:hideMark/>
          </w:tcPr>
          <w:p w14:paraId="5674821A" w14:textId="77777777" w:rsidR="00812C67" w:rsidRPr="004B6753" w:rsidRDefault="00812C67" w:rsidP="004B6753">
            <w:pPr>
              <w:pStyle w:val="NoSpacing"/>
              <w:jc w:val="center"/>
              <w:rPr>
                <w:rFonts w:ascii="Times New Roman" w:hAnsi="Times New Roman" w:cs="Times New Roman"/>
                <w:szCs w:val="24"/>
              </w:rPr>
            </w:pPr>
            <w:r w:rsidRPr="004B6753">
              <w:rPr>
                <w:rFonts w:ascii="Times New Roman" w:hAnsi="Times New Roman" w:cs="Times New Roman"/>
                <w:szCs w:val="24"/>
              </w:rPr>
              <w:t>4.35</w:t>
            </w:r>
          </w:p>
        </w:tc>
        <w:tc>
          <w:tcPr>
            <w:tcW w:w="0" w:type="auto"/>
            <w:vAlign w:val="center"/>
            <w:hideMark/>
          </w:tcPr>
          <w:p w14:paraId="4EB00F2A" w14:textId="77777777" w:rsidR="00812C67" w:rsidRPr="004B6753" w:rsidRDefault="00812C67" w:rsidP="004B6753">
            <w:pPr>
              <w:pStyle w:val="NoSpacing"/>
              <w:jc w:val="center"/>
              <w:rPr>
                <w:rFonts w:ascii="Times New Roman" w:hAnsi="Times New Roman" w:cs="Times New Roman"/>
                <w:szCs w:val="24"/>
              </w:rPr>
            </w:pPr>
            <w:r w:rsidRPr="004B6753">
              <w:rPr>
                <w:rFonts w:ascii="Times New Roman" w:hAnsi="Times New Roman" w:cs="Times New Roman"/>
                <w:szCs w:val="24"/>
              </w:rPr>
              <w:t>24.18</w:t>
            </w:r>
          </w:p>
        </w:tc>
        <w:tc>
          <w:tcPr>
            <w:tcW w:w="0" w:type="auto"/>
            <w:vAlign w:val="center"/>
            <w:hideMark/>
          </w:tcPr>
          <w:p w14:paraId="5342916D" w14:textId="77777777" w:rsidR="00812C67" w:rsidRPr="004B6753" w:rsidRDefault="00812C67" w:rsidP="004B6753">
            <w:pPr>
              <w:pStyle w:val="NoSpacing"/>
              <w:jc w:val="center"/>
              <w:rPr>
                <w:rFonts w:ascii="Times New Roman" w:hAnsi="Times New Roman" w:cs="Times New Roman"/>
                <w:szCs w:val="24"/>
              </w:rPr>
            </w:pPr>
            <w:r w:rsidRPr="004B6753">
              <w:rPr>
                <w:rFonts w:ascii="Times New Roman" w:hAnsi="Times New Roman" w:cs="Times New Roman"/>
                <w:szCs w:val="24"/>
              </w:rPr>
              <w:t>71.09</w:t>
            </w:r>
          </w:p>
        </w:tc>
      </w:tr>
      <w:tr w:rsidR="00812C67" w:rsidRPr="004B6753" w14:paraId="66604052" w14:textId="77777777" w:rsidTr="004B6753">
        <w:trPr>
          <w:trHeight w:val="20"/>
        </w:trPr>
        <w:tc>
          <w:tcPr>
            <w:tcW w:w="1995" w:type="dxa"/>
            <w:vMerge/>
            <w:hideMark/>
          </w:tcPr>
          <w:p w14:paraId="00949D3D" w14:textId="77777777" w:rsidR="00812C67" w:rsidRPr="004B6753" w:rsidRDefault="00812C67" w:rsidP="004B6753">
            <w:pPr>
              <w:pStyle w:val="NoSpacing"/>
              <w:rPr>
                <w:rFonts w:ascii="Times New Roman" w:hAnsi="Times New Roman" w:cs="Times New Roman"/>
                <w:szCs w:val="24"/>
              </w:rPr>
            </w:pPr>
          </w:p>
        </w:tc>
        <w:tc>
          <w:tcPr>
            <w:tcW w:w="0" w:type="auto"/>
            <w:vAlign w:val="center"/>
            <w:hideMark/>
          </w:tcPr>
          <w:p w14:paraId="6060DA0A" w14:textId="77777777" w:rsidR="00812C67" w:rsidRPr="004B6753" w:rsidRDefault="00812C67" w:rsidP="004B6753">
            <w:pPr>
              <w:pStyle w:val="NoSpacing"/>
              <w:jc w:val="center"/>
              <w:rPr>
                <w:rFonts w:ascii="Times New Roman" w:hAnsi="Times New Roman" w:cs="Times New Roman"/>
                <w:szCs w:val="24"/>
              </w:rPr>
            </w:pPr>
            <w:r w:rsidRPr="004B6753">
              <w:rPr>
                <w:rFonts w:ascii="Times New Roman" w:hAnsi="Times New Roman" w:cs="Times New Roman"/>
                <w:i/>
                <w:iCs/>
                <w:szCs w:val="24"/>
              </w:rPr>
              <w:t>(2.07)</w:t>
            </w:r>
          </w:p>
        </w:tc>
        <w:tc>
          <w:tcPr>
            <w:tcW w:w="0" w:type="auto"/>
            <w:vAlign w:val="center"/>
            <w:hideMark/>
          </w:tcPr>
          <w:p w14:paraId="7E99AA44" w14:textId="77777777" w:rsidR="00812C67" w:rsidRPr="004B6753" w:rsidRDefault="00812C67" w:rsidP="004B6753">
            <w:pPr>
              <w:pStyle w:val="NoSpacing"/>
              <w:jc w:val="center"/>
              <w:rPr>
                <w:rFonts w:ascii="Times New Roman" w:hAnsi="Times New Roman" w:cs="Times New Roman"/>
                <w:szCs w:val="24"/>
              </w:rPr>
            </w:pPr>
            <w:r w:rsidRPr="004B6753">
              <w:rPr>
                <w:rFonts w:ascii="Times New Roman" w:hAnsi="Times New Roman" w:cs="Times New Roman"/>
                <w:i/>
                <w:iCs/>
                <w:szCs w:val="24"/>
              </w:rPr>
              <w:t>(22.49)</w:t>
            </w:r>
          </w:p>
        </w:tc>
        <w:tc>
          <w:tcPr>
            <w:tcW w:w="0" w:type="auto"/>
            <w:vAlign w:val="center"/>
            <w:hideMark/>
          </w:tcPr>
          <w:p w14:paraId="6825E8F0" w14:textId="77777777" w:rsidR="00812C67" w:rsidRPr="004B6753" w:rsidRDefault="00812C67" w:rsidP="004B6753">
            <w:pPr>
              <w:pStyle w:val="NoSpacing"/>
              <w:jc w:val="center"/>
              <w:rPr>
                <w:rFonts w:ascii="Times New Roman" w:hAnsi="Times New Roman" w:cs="Times New Roman"/>
                <w:szCs w:val="24"/>
              </w:rPr>
            </w:pPr>
            <w:r w:rsidRPr="004B6753">
              <w:rPr>
                <w:rFonts w:ascii="Times New Roman" w:hAnsi="Times New Roman" w:cs="Times New Roman"/>
                <w:i/>
                <w:iCs/>
                <w:szCs w:val="24"/>
              </w:rPr>
              <w:t>(3.00)</w:t>
            </w:r>
          </w:p>
        </w:tc>
        <w:tc>
          <w:tcPr>
            <w:tcW w:w="0" w:type="auto"/>
            <w:vAlign w:val="center"/>
            <w:hideMark/>
          </w:tcPr>
          <w:p w14:paraId="1166314E" w14:textId="77777777" w:rsidR="00812C67" w:rsidRPr="004B6753" w:rsidRDefault="00812C67" w:rsidP="004B6753">
            <w:pPr>
              <w:pStyle w:val="NoSpacing"/>
              <w:jc w:val="center"/>
              <w:rPr>
                <w:rFonts w:ascii="Times New Roman" w:hAnsi="Times New Roman" w:cs="Times New Roman"/>
                <w:szCs w:val="24"/>
              </w:rPr>
            </w:pPr>
            <w:r w:rsidRPr="004B6753">
              <w:rPr>
                <w:rFonts w:ascii="Times New Roman" w:hAnsi="Times New Roman" w:cs="Times New Roman"/>
                <w:i/>
                <w:iCs/>
                <w:szCs w:val="24"/>
              </w:rPr>
              <w:t>(4.50)</w:t>
            </w:r>
          </w:p>
        </w:tc>
        <w:tc>
          <w:tcPr>
            <w:tcW w:w="0" w:type="auto"/>
            <w:vAlign w:val="center"/>
            <w:hideMark/>
          </w:tcPr>
          <w:p w14:paraId="187E4951" w14:textId="77777777" w:rsidR="00812C67" w:rsidRPr="004B6753" w:rsidRDefault="00812C67" w:rsidP="004B6753">
            <w:pPr>
              <w:pStyle w:val="NoSpacing"/>
              <w:jc w:val="center"/>
              <w:rPr>
                <w:rFonts w:ascii="Times New Roman" w:hAnsi="Times New Roman" w:cs="Times New Roman"/>
                <w:szCs w:val="24"/>
              </w:rPr>
            </w:pPr>
            <w:r w:rsidRPr="004B6753">
              <w:rPr>
                <w:rFonts w:ascii="Times New Roman" w:hAnsi="Times New Roman" w:cs="Times New Roman"/>
                <w:i/>
                <w:iCs/>
                <w:szCs w:val="24"/>
              </w:rPr>
              <w:t>(1.77)</w:t>
            </w:r>
          </w:p>
        </w:tc>
        <w:tc>
          <w:tcPr>
            <w:tcW w:w="0" w:type="auto"/>
            <w:vAlign w:val="center"/>
            <w:hideMark/>
          </w:tcPr>
          <w:p w14:paraId="3FCF62F2" w14:textId="77777777" w:rsidR="00812C67" w:rsidRPr="004B6753" w:rsidRDefault="00812C67" w:rsidP="004B6753">
            <w:pPr>
              <w:pStyle w:val="NoSpacing"/>
              <w:jc w:val="center"/>
              <w:rPr>
                <w:rFonts w:ascii="Times New Roman" w:hAnsi="Times New Roman" w:cs="Times New Roman"/>
                <w:szCs w:val="24"/>
              </w:rPr>
            </w:pPr>
            <w:r w:rsidRPr="004B6753">
              <w:rPr>
                <w:rFonts w:ascii="Times New Roman" w:hAnsi="Times New Roman" w:cs="Times New Roman"/>
                <w:i/>
                <w:iCs/>
                <w:szCs w:val="24"/>
              </w:rPr>
              <w:t>(20.35)</w:t>
            </w:r>
          </w:p>
        </w:tc>
        <w:tc>
          <w:tcPr>
            <w:tcW w:w="0" w:type="auto"/>
            <w:vAlign w:val="center"/>
            <w:hideMark/>
          </w:tcPr>
          <w:p w14:paraId="1213B270" w14:textId="77777777" w:rsidR="00812C67" w:rsidRPr="004B6753" w:rsidRDefault="00812C67" w:rsidP="004B6753">
            <w:pPr>
              <w:pStyle w:val="NoSpacing"/>
              <w:jc w:val="center"/>
              <w:rPr>
                <w:rFonts w:ascii="Times New Roman" w:hAnsi="Times New Roman" w:cs="Times New Roman"/>
                <w:szCs w:val="24"/>
              </w:rPr>
            </w:pPr>
            <w:r w:rsidRPr="004B6753">
              <w:rPr>
                <w:rFonts w:ascii="Times New Roman" w:hAnsi="Times New Roman" w:cs="Times New Roman"/>
                <w:i/>
                <w:iCs/>
                <w:szCs w:val="24"/>
              </w:rPr>
              <w:t>(2.90)</w:t>
            </w:r>
          </w:p>
        </w:tc>
        <w:tc>
          <w:tcPr>
            <w:tcW w:w="0" w:type="auto"/>
            <w:vAlign w:val="center"/>
            <w:hideMark/>
          </w:tcPr>
          <w:p w14:paraId="18B121F8" w14:textId="77777777" w:rsidR="00812C67" w:rsidRPr="004B6753" w:rsidRDefault="00812C67" w:rsidP="004B6753">
            <w:pPr>
              <w:pStyle w:val="NoSpacing"/>
              <w:jc w:val="center"/>
              <w:rPr>
                <w:rFonts w:ascii="Times New Roman" w:hAnsi="Times New Roman" w:cs="Times New Roman"/>
                <w:szCs w:val="24"/>
              </w:rPr>
            </w:pPr>
            <w:r w:rsidRPr="004B6753">
              <w:rPr>
                <w:rFonts w:ascii="Times New Roman" w:hAnsi="Times New Roman" w:cs="Times New Roman"/>
                <w:i/>
                <w:iCs/>
                <w:szCs w:val="24"/>
              </w:rPr>
              <w:t>(2.79)</w:t>
            </w:r>
          </w:p>
        </w:tc>
        <w:tc>
          <w:tcPr>
            <w:tcW w:w="0" w:type="auto"/>
            <w:vAlign w:val="center"/>
            <w:hideMark/>
          </w:tcPr>
          <w:p w14:paraId="5E70F22C" w14:textId="77777777" w:rsidR="00812C67" w:rsidRPr="004B6753" w:rsidRDefault="00812C67" w:rsidP="004B6753">
            <w:pPr>
              <w:pStyle w:val="NoSpacing"/>
              <w:jc w:val="center"/>
              <w:rPr>
                <w:rFonts w:ascii="Times New Roman" w:hAnsi="Times New Roman" w:cs="Times New Roman"/>
                <w:szCs w:val="24"/>
              </w:rPr>
            </w:pPr>
            <w:r w:rsidRPr="004B6753">
              <w:rPr>
                <w:rFonts w:ascii="Times New Roman" w:hAnsi="Times New Roman" w:cs="Times New Roman"/>
                <w:i/>
                <w:iCs/>
                <w:szCs w:val="24"/>
              </w:rPr>
              <w:t>(6.12)</w:t>
            </w:r>
          </w:p>
        </w:tc>
        <w:tc>
          <w:tcPr>
            <w:tcW w:w="0" w:type="auto"/>
            <w:vAlign w:val="center"/>
            <w:hideMark/>
          </w:tcPr>
          <w:p w14:paraId="2E075BFA" w14:textId="77777777" w:rsidR="00812C67" w:rsidRPr="004B6753" w:rsidRDefault="00812C67" w:rsidP="004B6753">
            <w:pPr>
              <w:pStyle w:val="NoSpacing"/>
              <w:jc w:val="center"/>
              <w:rPr>
                <w:rFonts w:ascii="Times New Roman" w:hAnsi="Times New Roman" w:cs="Times New Roman"/>
                <w:szCs w:val="24"/>
              </w:rPr>
            </w:pPr>
            <w:r w:rsidRPr="004B6753">
              <w:rPr>
                <w:rFonts w:ascii="Times New Roman" w:hAnsi="Times New Roman" w:cs="Times New Roman"/>
                <w:i/>
                <w:iCs/>
                <w:szCs w:val="24"/>
              </w:rPr>
              <w:t>(34.01)</w:t>
            </w:r>
          </w:p>
        </w:tc>
        <w:tc>
          <w:tcPr>
            <w:tcW w:w="0" w:type="auto"/>
            <w:vAlign w:val="center"/>
            <w:hideMark/>
          </w:tcPr>
          <w:p w14:paraId="6B603F10" w14:textId="77777777" w:rsidR="00812C67" w:rsidRPr="004B6753" w:rsidRDefault="00812C67" w:rsidP="004B6753">
            <w:pPr>
              <w:pStyle w:val="NoSpacing"/>
              <w:jc w:val="center"/>
              <w:rPr>
                <w:rFonts w:ascii="Times New Roman" w:hAnsi="Times New Roman" w:cs="Times New Roman"/>
                <w:szCs w:val="24"/>
              </w:rPr>
            </w:pPr>
            <w:r w:rsidRPr="004B6753">
              <w:rPr>
                <w:rFonts w:ascii="Times New Roman" w:hAnsi="Times New Roman" w:cs="Times New Roman"/>
                <w:i/>
                <w:iCs/>
                <w:szCs w:val="24"/>
              </w:rPr>
              <w:t>(100.00)</w:t>
            </w:r>
          </w:p>
        </w:tc>
      </w:tr>
      <w:tr w:rsidR="00416FA8" w:rsidRPr="004B6753" w14:paraId="3052B03B" w14:textId="77777777" w:rsidTr="004B6753">
        <w:trPr>
          <w:trHeight w:val="20"/>
        </w:trPr>
        <w:tc>
          <w:tcPr>
            <w:tcW w:w="1995" w:type="dxa"/>
            <w:hideMark/>
          </w:tcPr>
          <w:p w14:paraId="15907F34" w14:textId="77777777" w:rsidR="00416FA8" w:rsidRPr="004B6753" w:rsidRDefault="00416FA8" w:rsidP="004B6753">
            <w:pPr>
              <w:pStyle w:val="NoSpacing"/>
              <w:rPr>
                <w:rFonts w:ascii="Times New Roman" w:hAnsi="Times New Roman" w:cs="Times New Roman"/>
                <w:szCs w:val="24"/>
              </w:rPr>
            </w:pPr>
            <w:r w:rsidRPr="004B6753">
              <w:rPr>
                <w:rFonts w:ascii="Times New Roman" w:hAnsi="Times New Roman" w:cs="Times New Roman"/>
                <w:szCs w:val="24"/>
              </w:rPr>
              <w:t>Jammu &amp; Kashmir</w:t>
            </w:r>
          </w:p>
        </w:tc>
        <w:tc>
          <w:tcPr>
            <w:tcW w:w="0" w:type="auto"/>
            <w:vAlign w:val="center"/>
            <w:hideMark/>
          </w:tcPr>
          <w:p w14:paraId="636CB991" w14:textId="77777777" w:rsidR="00416FA8" w:rsidRPr="004B6753" w:rsidRDefault="00416FA8" w:rsidP="004B6753">
            <w:pPr>
              <w:pStyle w:val="NoSpacing"/>
              <w:jc w:val="center"/>
              <w:rPr>
                <w:rFonts w:ascii="Times New Roman" w:hAnsi="Times New Roman" w:cs="Times New Roman"/>
                <w:szCs w:val="24"/>
              </w:rPr>
            </w:pPr>
          </w:p>
        </w:tc>
        <w:tc>
          <w:tcPr>
            <w:tcW w:w="0" w:type="auto"/>
            <w:vAlign w:val="center"/>
            <w:hideMark/>
          </w:tcPr>
          <w:p w14:paraId="5D17DB0C" w14:textId="77777777" w:rsidR="00416FA8" w:rsidRPr="004B6753" w:rsidRDefault="00416FA8" w:rsidP="004B6753">
            <w:pPr>
              <w:pStyle w:val="NoSpacing"/>
              <w:jc w:val="center"/>
              <w:rPr>
                <w:rFonts w:ascii="Times New Roman" w:hAnsi="Times New Roman" w:cs="Times New Roman"/>
                <w:szCs w:val="24"/>
              </w:rPr>
            </w:pPr>
          </w:p>
        </w:tc>
        <w:tc>
          <w:tcPr>
            <w:tcW w:w="0" w:type="auto"/>
            <w:vAlign w:val="center"/>
            <w:hideMark/>
          </w:tcPr>
          <w:p w14:paraId="773B405C" w14:textId="77777777" w:rsidR="00416FA8" w:rsidRPr="004B6753" w:rsidRDefault="00416FA8" w:rsidP="004B6753">
            <w:pPr>
              <w:pStyle w:val="NoSpacing"/>
              <w:jc w:val="center"/>
              <w:rPr>
                <w:rFonts w:ascii="Times New Roman" w:hAnsi="Times New Roman" w:cs="Times New Roman"/>
                <w:szCs w:val="24"/>
              </w:rPr>
            </w:pPr>
          </w:p>
        </w:tc>
        <w:tc>
          <w:tcPr>
            <w:tcW w:w="0" w:type="auto"/>
            <w:vAlign w:val="center"/>
            <w:hideMark/>
          </w:tcPr>
          <w:p w14:paraId="372103EE" w14:textId="77777777" w:rsidR="00416FA8" w:rsidRPr="004B6753" w:rsidRDefault="00416FA8" w:rsidP="004B6753">
            <w:pPr>
              <w:pStyle w:val="NoSpacing"/>
              <w:jc w:val="center"/>
              <w:rPr>
                <w:rFonts w:ascii="Times New Roman" w:hAnsi="Times New Roman" w:cs="Times New Roman"/>
                <w:szCs w:val="24"/>
              </w:rPr>
            </w:pPr>
          </w:p>
        </w:tc>
        <w:tc>
          <w:tcPr>
            <w:tcW w:w="0" w:type="auto"/>
            <w:vAlign w:val="center"/>
            <w:hideMark/>
          </w:tcPr>
          <w:p w14:paraId="08A09AB4" w14:textId="77777777" w:rsidR="00416FA8" w:rsidRPr="004B6753" w:rsidRDefault="00416FA8" w:rsidP="004B6753">
            <w:pPr>
              <w:pStyle w:val="NoSpacing"/>
              <w:jc w:val="center"/>
              <w:rPr>
                <w:rFonts w:ascii="Times New Roman" w:hAnsi="Times New Roman" w:cs="Times New Roman"/>
                <w:szCs w:val="24"/>
              </w:rPr>
            </w:pPr>
          </w:p>
        </w:tc>
        <w:tc>
          <w:tcPr>
            <w:tcW w:w="0" w:type="auto"/>
            <w:vAlign w:val="center"/>
            <w:hideMark/>
          </w:tcPr>
          <w:p w14:paraId="145BABAF" w14:textId="77777777" w:rsidR="00416FA8" w:rsidRPr="004B6753" w:rsidRDefault="00416FA8" w:rsidP="004B6753">
            <w:pPr>
              <w:pStyle w:val="NoSpacing"/>
              <w:jc w:val="center"/>
              <w:rPr>
                <w:rFonts w:ascii="Times New Roman" w:hAnsi="Times New Roman" w:cs="Times New Roman"/>
                <w:szCs w:val="24"/>
              </w:rPr>
            </w:pPr>
          </w:p>
        </w:tc>
        <w:tc>
          <w:tcPr>
            <w:tcW w:w="0" w:type="auto"/>
            <w:vAlign w:val="center"/>
            <w:hideMark/>
          </w:tcPr>
          <w:p w14:paraId="1BD60635" w14:textId="77777777" w:rsidR="00416FA8" w:rsidRPr="004B6753" w:rsidRDefault="00416FA8" w:rsidP="004B6753">
            <w:pPr>
              <w:pStyle w:val="NoSpacing"/>
              <w:jc w:val="center"/>
              <w:rPr>
                <w:rFonts w:ascii="Times New Roman" w:hAnsi="Times New Roman" w:cs="Times New Roman"/>
                <w:szCs w:val="24"/>
              </w:rPr>
            </w:pPr>
          </w:p>
        </w:tc>
        <w:tc>
          <w:tcPr>
            <w:tcW w:w="0" w:type="auto"/>
            <w:vAlign w:val="center"/>
            <w:hideMark/>
          </w:tcPr>
          <w:p w14:paraId="7CB8EA7B" w14:textId="77777777" w:rsidR="00416FA8" w:rsidRPr="004B6753" w:rsidRDefault="00416FA8" w:rsidP="004B6753">
            <w:pPr>
              <w:pStyle w:val="NoSpacing"/>
              <w:jc w:val="center"/>
              <w:rPr>
                <w:rFonts w:ascii="Times New Roman" w:hAnsi="Times New Roman" w:cs="Times New Roman"/>
                <w:szCs w:val="24"/>
              </w:rPr>
            </w:pPr>
          </w:p>
        </w:tc>
        <w:tc>
          <w:tcPr>
            <w:tcW w:w="0" w:type="auto"/>
            <w:vAlign w:val="center"/>
            <w:hideMark/>
          </w:tcPr>
          <w:p w14:paraId="5D08589C" w14:textId="77777777" w:rsidR="00416FA8" w:rsidRPr="004B6753" w:rsidRDefault="00416FA8" w:rsidP="004B6753">
            <w:pPr>
              <w:pStyle w:val="NoSpacing"/>
              <w:jc w:val="center"/>
              <w:rPr>
                <w:rFonts w:ascii="Times New Roman" w:hAnsi="Times New Roman" w:cs="Times New Roman"/>
                <w:szCs w:val="24"/>
              </w:rPr>
            </w:pPr>
          </w:p>
        </w:tc>
        <w:tc>
          <w:tcPr>
            <w:tcW w:w="0" w:type="auto"/>
            <w:vAlign w:val="center"/>
            <w:hideMark/>
          </w:tcPr>
          <w:p w14:paraId="243C301D" w14:textId="77777777" w:rsidR="00416FA8" w:rsidRPr="004B6753" w:rsidRDefault="00416FA8" w:rsidP="004B6753">
            <w:pPr>
              <w:pStyle w:val="NoSpacing"/>
              <w:jc w:val="center"/>
              <w:rPr>
                <w:rFonts w:ascii="Times New Roman" w:hAnsi="Times New Roman" w:cs="Times New Roman"/>
                <w:szCs w:val="24"/>
              </w:rPr>
            </w:pPr>
          </w:p>
        </w:tc>
        <w:tc>
          <w:tcPr>
            <w:tcW w:w="0" w:type="auto"/>
            <w:vAlign w:val="center"/>
            <w:hideMark/>
          </w:tcPr>
          <w:p w14:paraId="340EA167" w14:textId="77777777" w:rsidR="00416FA8" w:rsidRPr="004B6753" w:rsidRDefault="00416FA8" w:rsidP="004B6753">
            <w:pPr>
              <w:pStyle w:val="NoSpacing"/>
              <w:jc w:val="center"/>
              <w:rPr>
                <w:rFonts w:ascii="Times New Roman" w:hAnsi="Times New Roman" w:cs="Times New Roman"/>
                <w:szCs w:val="24"/>
              </w:rPr>
            </w:pPr>
          </w:p>
        </w:tc>
      </w:tr>
      <w:tr w:rsidR="00416FA8" w:rsidRPr="004B6753" w14:paraId="6A0AB507" w14:textId="77777777" w:rsidTr="004B6753">
        <w:trPr>
          <w:trHeight w:val="20"/>
        </w:trPr>
        <w:tc>
          <w:tcPr>
            <w:tcW w:w="1995" w:type="dxa"/>
            <w:hideMark/>
          </w:tcPr>
          <w:p w14:paraId="6F3F89AB" w14:textId="77777777" w:rsidR="00416FA8" w:rsidRPr="004B6753" w:rsidRDefault="00416FA8" w:rsidP="004B6753">
            <w:pPr>
              <w:pStyle w:val="NoSpacing"/>
              <w:jc w:val="center"/>
              <w:rPr>
                <w:rFonts w:ascii="Times New Roman" w:hAnsi="Times New Roman" w:cs="Times New Roman"/>
                <w:szCs w:val="24"/>
              </w:rPr>
            </w:pPr>
            <w:r w:rsidRPr="004B6753">
              <w:rPr>
                <w:rFonts w:ascii="Times New Roman" w:hAnsi="Times New Roman" w:cs="Times New Roman"/>
                <w:szCs w:val="24"/>
              </w:rPr>
              <w:t>1961-62</w:t>
            </w:r>
          </w:p>
        </w:tc>
        <w:tc>
          <w:tcPr>
            <w:tcW w:w="0" w:type="auto"/>
            <w:vAlign w:val="center"/>
            <w:hideMark/>
          </w:tcPr>
          <w:p w14:paraId="739154D6" w14:textId="77777777" w:rsidR="00416FA8" w:rsidRPr="004B6753" w:rsidRDefault="00416FA8" w:rsidP="004B6753">
            <w:pPr>
              <w:pStyle w:val="NoSpacing"/>
              <w:jc w:val="center"/>
              <w:rPr>
                <w:rFonts w:ascii="Times New Roman" w:hAnsi="Times New Roman" w:cs="Times New Roman"/>
                <w:szCs w:val="24"/>
              </w:rPr>
            </w:pPr>
            <w:r w:rsidRPr="004B6753">
              <w:rPr>
                <w:rFonts w:ascii="Times New Roman" w:hAnsi="Times New Roman" w:cs="Times New Roman"/>
                <w:szCs w:val="24"/>
              </w:rPr>
              <w:t>1.32</w:t>
            </w:r>
          </w:p>
        </w:tc>
        <w:tc>
          <w:tcPr>
            <w:tcW w:w="0" w:type="auto"/>
            <w:vAlign w:val="center"/>
            <w:hideMark/>
          </w:tcPr>
          <w:p w14:paraId="29708F5A" w14:textId="77777777" w:rsidR="00416FA8" w:rsidRPr="004B6753" w:rsidRDefault="00416FA8" w:rsidP="004B6753">
            <w:pPr>
              <w:pStyle w:val="NoSpacing"/>
              <w:jc w:val="center"/>
              <w:rPr>
                <w:rFonts w:ascii="Times New Roman" w:hAnsi="Times New Roman" w:cs="Times New Roman"/>
                <w:szCs w:val="24"/>
              </w:rPr>
            </w:pPr>
            <w:r w:rsidRPr="004B6753">
              <w:rPr>
                <w:rFonts w:ascii="Times New Roman" w:hAnsi="Times New Roman" w:cs="Times New Roman"/>
                <w:szCs w:val="24"/>
              </w:rPr>
              <w:t>0.03</w:t>
            </w:r>
          </w:p>
        </w:tc>
        <w:tc>
          <w:tcPr>
            <w:tcW w:w="0" w:type="auto"/>
            <w:vAlign w:val="center"/>
            <w:hideMark/>
          </w:tcPr>
          <w:p w14:paraId="5E38420A" w14:textId="77777777" w:rsidR="00416FA8" w:rsidRPr="004B6753" w:rsidRDefault="00416FA8" w:rsidP="004B6753">
            <w:pPr>
              <w:pStyle w:val="NoSpacing"/>
              <w:jc w:val="center"/>
              <w:rPr>
                <w:rFonts w:ascii="Times New Roman" w:hAnsi="Times New Roman" w:cs="Times New Roman"/>
                <w:szCs w:val="24"/>
              </w:rPr>
            </w:pPr>
            <w:r w:rsidRPr="004B6753">
              <w:rPr>
                <w:rFonts w:ascii="Times New Roman" w:hAnsi="Times New Roman" w:cs="Times New Roman"/>
                <w:szCs w:val="24"/>
              </w:rPr>
              <w:t>0.63</w:t>
            </w:r>
          </w:p>
        </w:tc>
        <w:tc>
          <w:tcPr>
            <w:tcW w:w="0" w:type="auto"/>
            <w:vAlign w:val="center"/>
            <w:hideMark/>
          </w:tcPr>
          <w:p w14:paraId="2F4A6B60" w14:textId="77777777" w:rsidR="00416FA8" w:rsidRPr="004B6753" w:rsidRDefault="00416FA8" w:rsidP="004B6753">
            <w:pPr>
              <w:pStyle w:val="NoSpacing"/>
              <w:jc w:val="center"/>
              <w:rPr>
                <w:rFonts w:ascii="Times New Roman" w:hAnsi="Times New Roman" w:cs="Times New Roman"/>
                <w:szCs w:val="24"/>
              </w:rPr>
            </w:pPr>
            <w:r w:rsidRPr="004B6753">
              <w:rPr>
                <w:rFonts w:ascii="Times New Roman" w:hAnsi="Times New Roman" w:cs="Times New Roman"/>
                <w:szCs w:val="24"/>
              </w:rPr>
              <w:t>2.04</w:t>
            </w:r>
          </w:p>
        </w:tc>
        <w:tc>
          <w:tcPr>
            <w:tcW w:w="0" w:type="auto"/>
            <w:vAlign w:val="center"/>
            <w:hideMark/>
          </w:tcPr>
          <w:p w14:paraId="5506115F" w14:textId="77777777" w:rsidR="00416FA8" w:rsidRPr="004B6753" w:rsidRDefault="00416FA8" w:rsidP="004B6753">
            <w:pPr>
              <w:pStyle w:val="NoSpacing"/>
              <w:jc w:val="center"/>
              <w:rPr>
                <w:rFonts w:ascii="Times New Roman" w:hAnsi="Times New Roman" w:cs="Times New Roman"/>
                <w:szCs w:val="24"/>
              </w:rPr>
            </w:pPr>
            <w:r w:rsidRPr="004B6753">
              <w:rPr>
                <w:rFonts w:ascii="Times New Roman" w:hAnsi="Times New Roman" w:cs="Times New Roman"/>
                <w:szCs w:val="24"/>
              </w:rPr>
              <w:t>0.20</w:t>
            </w:r>
          </w:p>
        </w:tc>
        <w:tc>
          <w:tcPr>
            <w:tcW w:w="0" w:type="auto"/>
            <w:vAlign w:val="center"/>
            <w:hideMark/>
          </w:tcPr>
          <w:p w14:paraId="64D55EFF" w14:textId="77777777" w:rsidR="00416FA8" w:rsidRPr="004B6753" w:rsidRDefault="00416FA8" w:rsidP="004B6753">
            <w:pPr>
              <w:pStyle w:val="NoSpacing"/>
              <w:jc w:val="center"/>
              <w:rPr>
                <w:rFonts w:ascii="Times New Roman" w:hAnsi="Times New Roman" w:cs="Times New Roman"/>
                <w:szCs w:val="24"/>
              </w:rPr>
            </w:pPr>
            <w:r w:rsidRPr="004B6753">
              <w:rPr>
                <w:rFonts w:ascii="Times New Roman" w:hAnsi="Times New Roman" w:cs="Times New Roman"/>
                <w:szCs w:val="24"/>
              </w:rPr>
              <w:t>2.32</w:t>
            </w:r>
          </w:p>
        </w:tc>
        <w:tc>
          <w:tcPr>
            <w:tcW w:w="0" w:type="auto"/>
            <w:vAlign w:val="center"/>
            <w:hideMark/>
          </w:tcPr>
          <w:p w14:paraId="68AA55A5" w14:textId="77777777" w:rsidR="00416FA8" w:rsidRPr="004B6753" w:rsidRDefault="00416FA8" w:rsidP="004B6753">
            <w:pPr>
              <w:pStyle w:val="NoSpacing"/>
              <w:jc w:val="center"/>
              <w:rPr>
                <w:rFonts w:ascii="Times New Roman" w:hAnsi="Times New Roman" w:cs="Times New Roman"/>
                <w:szCs w:val="24"/>
              </w:rPr>
            </w:pPr>
            <w:r w:rsidRPr="004B6753">
              <w:rPr>
                <w:rFonts w:ascii="Times New Roman" w:hAnsi="Times New Roman" w:cs="Times New Roman"/>
                <w:szCs w:val="24"/>
              </w:rPr>
              <w:t>0.87</w:t>
            </w:r>
          </w:p>
        </w:tc>
        <w:tc>
          <w:tcPr>
            <w:tcW w:w="0" w:type="auto"/>
            <w:vAlign w:val="center"/>
            <w:hideMark/>
          </w:tcPr>
          <w:p w14:paraId="69A48231" w14:textId="77777777" w:rsidR="00416FA8" w:rsidRPr="004B6753" w:rsidRDefault="00416FA8" w:rsidP="004B6753">
            <w:pPr>
              <w:pStyle w:val="NoSpacing"/>
              <w:jc w:val="center"/>
              <w:rPr>
                <w:rFonts w:ascii="Times New Roman" w:hAnsi="Times New Roman" w:cs="Times New Roman"/>
                <w:szCs w:val="24"/>
              </w:rPr>
            </w:pPr>
            <w:r w:rsidRPr="004B6753">
              <w:rPr>
                <w:rFonts w:ascii="Times New Roman" w:hAnsi="Times New Roman" w:cs="Times New Roman"/>
                <w:szCs w:val="24"/>
              </w:rPr>
              <w:t>0.31</w:t>
            </w:r>
          </w:p>
        </w:tc>
        <w:tc>
          <w:tcPr>
            <w:tcW w:w="0" w:type="auto"/>
            <w:vAlign w:val="center"/>
            <w:hideMark/>
          </w:tcPr>
          <w:p w14:paraId="6723772D" w14:textId="77777777" w:rsidR="00416FA8" w:rsidRPr="004B6753" w:rsidRDefault="00416FA8" w:rsidP="004B6753">
            <w:pPr>
              <w:pStyle w:val="NoSpacing"/>
              <w:jc w:val="center"/>
              <w:rPr>
                <w:rFonts w:ascii="Times New Roman" w:hAnsi="Times New Roman" w:cs="Times New Roman"/>
                <w:szCs w:val="24"/>
              </w:rPr>
            </w:pPr>
            <w:r w:rsidRPr="004B6753">
              <w:rPr>
                <w:rFonts w:ascii="Times New Roman" w:hAnsi="Times New Roman" w:cs="Times New Roman"/>
                <w:szCs w:val="24"/>
              </w:rPr>
              <w:t>0.71</w:t>
            </w:r>
          </w:p>
        </w:tc>
        <w:tc>
          <w:tcPr>
            <w:tcW w:w="0" w:type="auto"/>
            <w:vAlign w:val="center"/>
            <w:hideMark/>
          </w:tcPr>
          <w:p w14:paraId="569FF055" w14:textId="77777777" w:rsidR="00416FA8" w:rsidRPr="004B6753" w:rsidRDefault="00416FA8" w:rsidP="004B6753">
            <w:pPr>
              <w:pStyle w:val="NoSpacing"/>
              <w:jc w:val="center"/>
              <w:rPr>
                <w:rFonts w:ascii="Times New Roman" w:hAnsi="Times New Roman" w:cs="Times New Roman"/>
                <w:szCs w:val="24"/>
              </w:rPr>
            </w:pPr>
            <w:r w:rsidRPr="004B6753">
              <w:rPr>
                <w:rFonts w:ascii="Times New Roman" w:hAnsi="Times New Roman" w:cs="Times New Roman"/>
                <w:szCs w:val="24"/>
              </w:rPr>
              <w:t>10.61</w:t>
            </w:r>
          </w:p>
        </w:tc>
        <w:tc>
          <w:tcPr>
            <w:tcW w:w="0" w:type="auto"/>
            <w:vAlign w:val="center"/>
            <w:hideMark/>
          </w:tcPr>
          <w:p w14:paraId="50D3D7CD" w14:textId="77777777" w:rsidR="00416FA8" w:rsidRPr="004B6753" w:rsidRDefault="00416FA8" w:rsidP="004B6753">
            <w:pPr>
              <w:pStyle w:val="NoSpacing"/>
              <w:jc w:val="center"/>
              <w:rPr>
                <w:rFonts w:ascii="Times New Roman" w:hAnsi="Times New Roman" w:cs="Times New Roman"/>
                <w:szCs w:val="24"/>
              </w:rPr>
            </w:pPr>
            <w:r w:rsidRPr="004B6753">
              <w:rPr>
                <w:rFonts w:ascii="Times New Roman" w:hAnsi="Times New Roman" w:cs="Times New Roman"/>
                <w:szCs w:val="24"/>
              </w:rPr>
              <w:t>19.04</w:t>
            </w:r>
          </w:p>
        </w:tc>
      </w:tr>
      <w:tr w:rsidR="00416FA8" w:rsidRPr="004B6753" w14:paraId="0AB324A8" w14:textId="77777777" w:rsidTr="004B6753">
        <w:trPr>
          <w:trHeight w:val="20"/>
        </w:trPr>
        <w:tc>
          <w:tcPr>
            <w:tcW w:w="1995" w:type="dxa"/>
            <w:hideMark/>
          </w:tcPr>
          <w:p w14:paraId="37CFBA6A" w14:textId="77777777" w:rsidR="00416FA8" w:rsidRPr="004B6753" w:rsidRDefault="00416FA8" w:rsidP="004B6753">
            <w:pPr>
              <w:pStyle w:val="NoSpacing"/>
              <w:jc w:val="center"/>
              <w:rPr>
                <w:rFonts w:ascii="Times New Roman" w:hAnsi="Times New Roman" w:cs="Times New Roman"/>
                <w:szCs w:val="24"/>
              </w:rPr>
            </w:pPr>
          </w:p>
        </w:tc>
        <w:tc>
          <w:tcPr>
            <w:tcW w:w="0" w:type="auto"/>
            <w:vAlign w:val="center"/>
            <w:hideMark/>
          </w:tcPr>
          <w:p w14:paraId="372F4B6D" w14:textId="77777777" w:rsidR="00416FA8" w:rsidRPr="004B6753" w:rsidRDefault="00416FA8" w:rsidP="004B6753">
            <w:pPr>
              <w:pStyle w:val="NoSpacing"/>
              <w:jc w:val="center"/>
              <w:rPr>
                <w:rFonts w:ascii="Times New Roman" w:hAnsi="Times New Roman" w:cs="Times New Roman"/>
                <w:szCs w:val="24"/>
              </w:rPr>
            </w:pPr>
            <w:r w:rsidRPr="004B6753">
              <w:rPr>
                <w:rFonts w:ascii="Times New Roman" w:hAnsi="Times New Roman" w:cs="Times New Roman"/>
                <w:i/>
                <w:iCs/>
                <w:szCs w:val="24"/>
              </w:rPr>
              <w:t>(6.93)</w:t>
            </w:r>
          </w:p>
        </w:tc>
        <w:tc>
          <w:tcPr>
            <w:tcW w:w="0" w:type="auto"/>
            <w:vAlign w:val="center"/>
            <w:hideMark/>
          </w:tcPr>
          <w:p w14:paraId="2C6D630D" w14:textId="77777777" w:rsidR="00416FA8" w:rsidRPr="004B6753" w:rsidRDefault="00416FA8" w:rsidP="004B6753">
            <w:pPr>
              <w:pStyle w:val="NoSpacing"/>
              <w:jc w:val="center"/>
              <w:rPr>
                <w:rFonts w:ascii="Times New Roman" w:hAnsi="Times New Roman" w:cs="Times New Roman"/>
                <w:szCs w:val="24"/>
              </w:rPr>
            </w:pPr>
            <w:r w:rsidRPr="004B6753">
              <w:rPr>
                <w:rFonts w:ascii="Times New Roman" w:hAnsi="Times New Roman" w:cs="Times New Roman"/>
                <w:i/>
                <w:iCs/>
                <w:szCs w:val="24"/>
              </w:rPr>
              <w:t>(0.16)</w:t>
            </w:r>
          </w:p>
        </w:tc>
        <w:tc>
          <w:tcPr>
            <w:tcW w:w="0" w:type="auto"/>
            <w:vAlign w:val="center"/>
            <w:hideMark/>
          </w:tcPr>
          <w:p w14:paraId="7B7DA403" w14:textId="77777777" w:rsidR="00416FA8" w:rsidRPr="004B6753" w:rsidRDefault="00416FA8" w:rsidP="004B6753">
            <w:pPr>
              <w:pStyle w:val="NoSpacing"/>
              <w:jc w:val="center"/>
              <w:rPr>
                <w:rFonts w:ascii="Times New Roman" w:hAnsi="Times New Roman" w:cs="Times New Roman"/>
                <w:szCs w:val="24"/>
              </w:rPr>
            </w:pPr>
            <w:r w:rsidRPr="004B6753">
              <w:rPr>
                <w:rFonts w:ascii="Times New Roman" w:hAnsi="Times New Roman" w:cs="Times New Roman"/>
                <w:i/>
                <w:iCs/>
                <w:szCs w:val="24"/>
              </w:rPr>
              <w:t>(3.31)</w:t>
            </w:r>
          </w:p>
        </w:tc>
        <w:tc>
          <w:tcPr>
            <w:tcW w:w="0" w:type="auto"/>
            <w:vAlign w:val="center"/>
            <w:hideMark/>
          </w:tcPr>
          <w:p w14:paraId="1E0A136F" w14:textId="77777777" w:rsidR="00416FA8" w:rsidRPr="004B6753" w:rsidRDefault="00416FA8" w:rsidP="004B6753">
            <w:pPr>
              <w:pStyle w:val="NoSpacing"/>
              <w:jc w:val="center"/>
              <w:rPr>
                <w:rFonts w:ascii="Times New Roman" w:hAnsi="Times New Roman" w:cs="Times New Roman"/>
                <w:szCs w:val="24"/>
              </w:rPr>
            </w:pPr>
            <w:r w:rsidRPr="004B6753">
              <w:rPr>
                <w:rFonts w:ascii="Times New Roman" w:hAnsi="Times New Roman" w:cs="Times New Roman"/>
                <w:i/>
                <w:iCs/>
                <w:szCs w:val="24"/>
              </w:rPr>
              <w:t>(10.71)</w:t>
            </w:r>
          </w:p>
        </w:tc>
        <w:tc>
          <w:tcPr>
            <w:tcW w:w="0" w:type="auto"/>
            <w:vAlign w:val="center"/>
            <w:hideMark/>
          </w:tcPr>
          <w:p w14:paraId="0398450C" w14:textId="77777777" w:rsidR="00416FA8" w:rsidRPr="004B6753" w:rsidRDefault="00416FA8" w:rsidP="004B6753">
            <w:pPr>
              <w:pStyle w:val="NoSpacing"/>
              <w:jc w:val="center"/>
              <w:rPr>
                <w:rFonts w:ascii="Times New Roman" w:hAnsi="Times New Roman" w:cs="Times New Roman"/>
                <w:szCs w:val="24"/>
              </w:rPr>
            </w:pPr>
            <w:r w:rsidRPr="004B6753">
              <w:rPr>
                <w:rFonts w:ascii="Times New Roman" w:hAnsi="Times New Roman" w:cs="Times New Roman"/>
                <w:i/>
                <w:iCs/>
                <w:szCs w:val="24"/>
              </w:rPr>
              <w:t>(1.05)</w:t>
            </w:r>
          </w:p>
        </w:tc>
        <w:tc>
          <w:tcPr>
            <w:tcW w:w="0" w:type="auto"/>
            <w:vAlign w:val="center"/>
            <w:hideMark/>
          </w:tcPr>
          <w:p w14:paraId="039D87EC" w14:textId="77777777" w:rsidR="00416FA8" w:rsidRPr="004B6753" w:rsidRDefault="00416FA8" w:rsidP="004B6753">
            <w:pPr>
              <w:pStyle w:val="NoSpacing"/>
              <w:jc w:val="center"/>
              <w:rPr>
                <w:rFonts w:ascii="Times New Roman" w:hAnsi="Times New Roman" w:cs="Times New Roman"/>
                <w:szCs w:val="24"/>
              </w:rPr>
            </w:pPr>
            <w:r w:rsidRPr="004B6753">
              <w:rPr>
                <w:rFonts w:ascii="Times New Roman" w:hAnsi="Times New Roman" w:cs="Times New Roman"/>
                <w:i/>
                <w:iCs/>
                <w:szCs w:val="24"/>
              </w:rPr>
              <w:t>(12.19)</w:t>
            </w:r>
          </w:p>
        </w:tc>
        <w:tc>
          <w:tcPr>
            <w:tcW w:w="0" w:type="auto"/>
            <w:vAlign w:val="center"/>
            <w:hideMark/>
          </w:tcPr>
          <w:p w14:paraId="4D7422CE" w14:textId="77777777" w:rsidR="00416FA8" w:rsidRPr="004B6753" w:rsidRDefault="00416FA8" w:rsidP="004B6753">
            <w:pPr>
              <w:pStyle w:val="NoSpacing"/>
              <w:jc w:val="center"/>
              <w:rPr>
                <w:rFonts w:ascii="Times New Roman" w:hAnsi="Times New Roman" w:cs="Times New Roman"/>
                <w:szCs w:val="24"/>
              </w:rPr>
            </w:pPr>
            <w:r w:rsidRPr="004B6753">
              <w:rPr>
                <w:rFonts w:ascii="Times New Roman" w:hAnsi="Times New Roman" w:cs="Times New Roman"/>
                <w:i/>
                <w:iCs/>
                <w:szCs w:val="24"/>
              </w:rPr>
              <w:t>(4.57)</w:t>
            </w:r>
          </w:p>
        </w:tc>
        <w:tc>
          <w:tcPr>
            <w:tcW w:w="0" w:type="auto"/>
            <w:vAlign w:val="center"/>
            <w:hideMark/>
          </w:tcPr>
          <w:p w14:paraId="7B6809E8" w14:textId="77777777" w:rsidR="00416FA8" w:rsidRPr="004B6753" w:rsidRDefault="00416FA8" w:rsidP="004B6753">
            <w:pPr>
              <w:pStyle w:val="NoSpacing"/>
              <w:jc w:val="center"/>
              <w:rPr>
                <w:rFonts w:ascii="Times New Roman" w:hAnsi="Times New Roman" w:cs="Times New Roman"/>
                <w:szCs w:val="24"/>
              </w:rPr>
            </w:pPr>
            <w:r w:rsidRPr="004B6753">
              <w:rPr>
                <w:rFonts w:ascii="Times New Roman" w:hAnsi="Times New Roman" w:cs="Times New Roman"/>
                <w:i/>
                <w:iCs/>
                <w:szCs w:val="24"/>
              </w:rPr>
              <w:t>(1.63)</w:t>
            </w:r>
          </w:p>
        </w:tc>
        <w:tc>
          <w:tcPr>
            <w:tcW w:w="0" w:type="auto"/>
            <w:vAlign w:val="center"/>
            <w:hideMark/>
          </w:tcPr>
          <w:p w14:paraId="6150F7A6" w14:textId="77777777" w:rsidR="00416FA8" w:rsidRPr="004B6753" w:rsidRDefault="00416FA8" w:rsidP="004B6753">
            <w:pPr>
              <w:pStyle w:val="NoSpacing"/>
              <w:jc w:val="center"/>
              <w:rPr>
                <w:rFonts w:ascii="Times New Roman" w:hAnsi="Times New Roman" w:cs="Times New Roman"/>
                <w:szCs w:val="24"/>
              </w:rPr>
            </w:pPr>
            <w:r w:rsidRPr="004B6753">
              <w:rPr>
                <w:rFonts w:ascii="Times New Roman" w:hAnsi="Times New Roman" w:cs="Times New Roman"/>
                <w:i/>
                <w:iCs/>
                <w:szCs w:val="24"/>
              </w:rPr>
              <w:t>(3.73)</w:t>
            </w:r>
          </w:p>
        </w:tc>
        <w:tc>
          <w:tcPr>
            <w:tcW w:w="0" w:type="auto"/>
            <w:vAlign w:val="center"/>
            <w:hideMark/>
          </w:tcPr>
          <w:p w14:paraId="7A398A92" w14:textId="77777777" w:rsidR="00416FA8" w:rsidRPr="004B6753" w:rsidRDefault="00416FA8" w:rsidP="004B6753">
            <w:pPr>
              <w:pStyle w:val="NoSpacing"/>
              <w:jc w:val="center"/>
              <w:rPr>
                <w:rFonts w:ascii="Times New Roman" w:hAnsi="Times New Roman" w:cs="Times New Roman"/>
                <w:szCs w:val="24"/>
              </w:rPr>
            </w:pPr>
            <w:r w:rsidRPr="004B6753">
              <w:rPr>
                <w:rFonts w:ascii="Times New Roman" w:hAnsi="Times New Roman" w:cs="Times New Roman"/>
                <w:i/>
                <w:iCs/>
                <w:szCs w:val="24"/>
              </w:rPr>
              <w:t>(55.72)</w:t>
            </w:r>
          </w:p>
        </w:tc>
        <w:tc>
          <w:tcPr>
            <w:tcW w:w="0" w:type="auto"/>
            <w:vAlign w:val="center"/>
            <w:hideMark/>
          </w:tcPr>
          <w:p w14:paraId="0C85F921" w14:textId="77777777" w:rsidR="00416FA8" w:rsidRPr="004B6753" w:rsidRDefault="00416FA8" w:rsidP="004B6753">
            <w:pPr>
              <w:pStyle w:val="NoSpacing"/>
              <w:jc w:val="center"/>
              <w:rPr>
                <w:rFonts w:ascii="Times New Roman" w:hAnsi="Times New Roman" w:cs="Times New Roman"/>
                <w:szCs w:val="24"/>
              </w:rPr>
            </w:pPr>
            <w:r w:rsidRPr="004B6753">
              <w:rPr>
                <w:rFonts w:ascii="Times New Roman" w:hAnsi="Times New Roman" w:cs="Times New Roman"/>
                <w:i/>
                <w:iCs/>
                <w:szCs w:val="24"/>
              </w:rPr>
              <w:t>(100.00)</w:t>
            </w:r>
          </w:p>
        </w:tc>
      </w:tr>
      <w:tr w:rsidR="00416FA8" w:rsidRPr="004B6753" w14:paraId="62148E71" w14:textId="77777777" w:rsidTr="004B6753">
        <w:trPr>
          <w:trHeight w:val="20"/>
        </w:trPr>
        <w:tc>
          <w:tcPr>
            <w:tcW w:w="1995" w:type="dxa"/>
            <w:hideMark/>
          </w:tcPr>
          <w:p w14:paraId="15920751" w14:textId="77777777" w:rsidR="00416FA8" w:rsidRPr="004B6753" w:rsidRDefault="00416FA8" w:rsidP="004B6753">
            <w:pPr>
              <w:pStyle w:val="NoSpacing"/>
              <w:rPr>
                <w:rFonts w:ascii="Times New Roman" w:hAnsi="Times New Roman" w:cs="Times New Roman"/>
                <w:szCs w:val="24"/>
              </w:rPr>
            </w:pPr>
            <w:r w:rsidRPr="004B6753">
              <w:rPr>
                <w:rFonts w:ascii="Times New Roman" w:hAnsi="Times New Roman" w:cs="Times New Roman"/>
                <w:szCs w:val="24"/>
              </w:rPr>
              <w:t>1965-66</w:t>
            </w:r>
          </w:p>
        </w:tc>
        <w:tc>
          <w:tcPr>
            <w:tcW w:w="0" w:type="auto"/>
            <w:vAlign w:val="center"/>
            <w:hideMark/>
          </w:tcPr>
          <w:p w14:paraId="1E2F7071" w14:textId="77777777" w:rsidR="00416FA8" w:rsidRPr="004B6753" w:rsidRDefault="00416FA8" w:rsidP="004B6753">
            <w:pPr>
              <w:pStyle w:val="NoSpacing"/>
              <w:jc w:val="center"/>
              <w:rPr>
                <w:rFonts w:ascii="Times New Roman" w:hAnsi="Times New Roman" w:cs="Times New Roman"/>
                <w:szCs w:val="24"/>
              </w:rPr>
            </w:pPr>
            <w:r w:rsidRPr="004B6753">
              <w:rPr>
                <w:rFonts w:ascii="Times New Roman" w:hAnsi="Times New Roman" w:cs="Times New Roman"/>
                <w:szCs w:val="24"/>
              </w:rPr>
              <w:t>0.75</w:t>
            </w:r>
          </w:p>
        </w:tc>
        <w:tc>
          <w:tcPr>
            <w:tcW w:w="0" w:type="auto"/>
            <w:vAlign w:val="center"/>
            <w:hideMark/>
          </w:tcPr>
          <w:p w14:paraId="1CF95381" w14:textId="77777777" w:rsidR="00416FA8" w:rsidRPr="004B6753" w:rsidRDefault="00416FA8" w:rsidP="004B6753">
            <w:pPr>
              <w:pStyle w:val="NoSpacing"/>
              <w:jc w:val="center"/>
              <w:rPr>
                <w:rFonts w:ascii="Times New Roman" w:hAnsi="Times New Roman" w:cs="Times New Roman"/>
                <w:szCs w:val="24"/>
              </w:rPr>
            </w:pPr>
            <w:r w:rsidRPr="004B6753">
              <w:rPr>
                <w:rFonts w:ascii="Times New Roman" w:hAnsi="Times New Roman" w:cs="Times New Roman"/>
                <w:szCs w:val="24"/>
              </w:rPr>
              <w:t>0.60</w:t>
            </w:r>
          </w:p>
        </w:tc>
        <w:tc>
          <w:tcPr>
            <w:tcW w:w="0" w:type="auto"/>
            <w:vAlign w:val="center"/>
            <w:hideMark/>
          </w:tcPr>
          <w:p w14:paraId="24053509" w14:textId="77777777" w:rsidR="00416FA8" w:rsidRPr="004B6753" w:rsidRDefault="00416FA8" w:rsidP="004B6753">
            <w:pPr>
              <w:pStyle w:val="NoSpacing"/>
              <w:jc w:val="center"/>
              <w:rPr>
                <w:rFonts w:ascii="Times New Roman" w:hAnsi="Times New Roman" w:cs="Times New Roman"/>
                <w:szCs w:val="24"/>
              </w:rPr>
            </w:pPr>
            <w:r w:rsidRPr="004B6753">
              <w:rPr>
                <w:rFonts w:ascii="Times New Roman" w:hAnsi="Times New Roman" w:cs="Times New Roman"/>
                <w:szCs w:val="24"/>
              </w:rPr>
              <w:t>0.82</w:t>
            </w:r>
          </w:p>
        </w:tc>
        <w:tc>
          <w:tcPr>
            <w:tcW w:w="0" w:type="auto"/>
            <w:vAlign w:val="center"/>
            <w:hideMark/>
          </w:tcPr>
          <w:p w14:paraId="76D06472" w14:textId="77777777" w:rsidR="00416FA8" w:rsidRPr="004B6753" w:rsidRDefault="00416FA8" w:rsidP="004B6753">
            <w:pPr>
              <w:pStyle w:val="NoSpacing"/>
              <w:jc w:val="center"/>
              <w:rPr>
                <w:rFonts w:ascii="Times New Roman" w:hAnsi="Times New Roman" w:cs="Times New Roman"/>
                <w:szCs w:val="24"/>
              </w:rPr>
            </w:pPr>
            <w:r w:rsidRPr="004B6753">
              <w:rPr>
                <w:rFonts w:ascii="Times New Roman" w:hAnsi="Times New Roman" w:cs="Times New Roman"/>
                <w:szCs w:val="24"/>
              </w:rPr>
              <w:t>3.88</w:t>
            </w:r>
          </w:p>
        </w:tc>
        <w:tc>
          <w:tcPr>
            <w:tcW w:w="0" w:type="auto"/>
            <w:vAlign w:val="center"/>
            <w:hideMark/>
          </w:tcPr>
          <w:p w14:paraId="33AA62E0" w14:textId="77777777" w:rsidR="00416FA8" w:rsidRPr="004B6753" w:rsidRDefault="00416FA8" w:rsidP="004B6753">
            <w:pPr>
              <w:pStyle w:val="NoSpacing"/>
              <w:jc w:val="center"/>
              <w:rPr>
                <w:rFonts w:ascii="Times New Roman" w:hAnsi="Times New Roman" w:cs="Times New Roman"/>
                <w:szCs w:val="24"/>
              </w:rPr>
            </w:pPr>
            <w:r w:rsidRPr="004B6753">
              <w:rPr>
                <w:rFonts w:ascii="Times New Roman" w:hAnsi="Times New Roman" w:cs="Times New Roman"/>
                <w:szCs w:val="24"/>
              </w:rPr>
              <w:t>0.91</w:t>
            </w:r>
          </w:p>
        </w:tc>
        <w:tc>
          <w:tcPr>
            <w:tcW w:w="0" w:type="auto"/>
            <w:vAlign w:val="center"/>
            <w:hideMark/>
          </w:tcPr>
          <w:p w14:paraId="2A9FEFC9" w14:textId="77777777" w:rsidR="00416FA8" w:rsidRPr="004B6753" w:rsidRDefault="00416FA8" w:rsidP="004B6753">
            <w:pPr>
              <w:pStyle w:val="NoSpacing"/>
              <w:jc w:val="center"/>
              <w:rPr>
                <w:rFonts w:ascii="Times New Roman" w:hAnsi="Times New Roman" w:cs="Times New Roman"/>
                <w:szCs w:val="24"/>
              </w:rPr>
            </w:pPr>
            <w:r w:rsidRPr="004B6753">
              <w:rPr>
                <w:rFonts w:ascii="Times New Roman" w:hAnsi="Times New Roman" w:cs="Times New Roman"/>
                <w:szCs w:val="24"/>
              </w:rPr>
              <w:t>4.18</w:t>
            </w:r>
          </w:p>
        </w:tc>
        <w:tc>
          <w:tcPr>
            <w:tcW w:w="0" w:type="auto"/>
            <w:vAlign w:val="center"/>
            <w:hideMark/>
          </w:tcPr>
          <w:p w14:paraId="54BEC5A3" w14:textId="77777777" w:rsidR="00416FA8" w:rsidRPr="004B6753" w:rsidRDefault="00416FA8" w:rsidP="004B6753">
            <w:pPr>
              <w:pStyle w:val="NoSpacing"/>
              <w:jc w:val="center"/>
              <w:rPr>
                <w:rFonts w:ascii="Times New Roman" w:hAnsi="Times New Roman" w:cs="Times New Roman"/>
                <w:szCs w:val="24"/>
              </w:rPr>
            </w:pPr>
            <w:r w:rsidRPr="004B6753">
              <w:rPr>
                <w:rFonts w:ascii="Times New Roman" w:hAnsi="Times New Roman" w:cs="Times New Roman"/>
                <w:szCs w:val="24"/>
              </w:rPr>
              <w:t>1.53</w:t>
            </w:r>
          </w:p>
        </w:tc>
        <w:tc>
          <w:tcPr>
            <w:tcW w:w="0" w:type="auto"/>
            <w:vAlign w:val="center"/>
            <w:hideMark/>
          </w:tcPr>
          <w:p w14:paraId="35B0F354" w14:textId="77777777" w:rsidR="00416FA8" w:rsidRPr="004B6753" w:rsidRDefault="00416FA8" w:rsidP="004B6753">
            <w:pPr>
              <w:pStyle w:val="NoSpacing"/>
              <w:jc w:val="center"/>
              <w:rPr>
                <w:rFonts w:ascii="Times New Roman" w:hAnsi="Times New Roman" w:cs="Times New Roman"/>
                <w:szCs w:val="24"/>
              </w:rPr>
            </w:pPr>
            <w:r w:rsidRPr="004B6753">
              <w:rPr>
                <w:rFonts w:ascii="Times New Roman" w:hAnsi="Times New Roman" w:cs="Times New Roman"/>
                <w:szCs w:val="24"/>
              </w:rPr>
              <w:t>0.48</w:t>
            </w:r>
          </w:p>
        </w:tc>
        <w:tc>
          <w:tcPr>
            <w:tcW w:w="0" w:type="auto"/>
            <w:vAlign w:val="center"/>
            <w:hideMark/>
          </w:tcPr>
          <w:p w14:paraId="6073B3AE" w14:textId="77777777" w:rsidR="00416FA8" w:rsidRPr="004B6753" w:rsidRDefault="00416FA8" w:rsidP="004B6753">
            <w:pPr>
              <w:pStyle w:val="NoSpacing"/>
              <w:jc w:val="center"/>
              <w:rPr>
                <w:rFonts w:ascii="Times New Roman" w:hAnsi="Times New Roman" w:cs="Times New Roman"/>
                <w:szCs w:val="24"/>
              </w:rPr>
            </w:pPr>
            <w:r w:rsidRPr="004B6753">
              <w:rPr>
                <w:rFonts w:ascii="Times New Roman" w:hAnsi="Times New Roman" w:cs="Times New Roman"/>
                <w:szCs w:val="24"/>
              </w:rPr>
              <w:t>1.12</w:t>
            </w:r>
          </w:p>
        </w:tc>
        <w:tc>
          <w:tcPr>
            <w:tcW w:w="0" w:type="auto"/>
            <w:vAlign w:val="center"/>
            <w:hideMark/>
          </w:tcPr>
          <w:p w14:paraId="51C11611" w14:textId="77777777" w:rsidR="00416FA8" w:rsidRPr="004B6753" w:rsidRDefault="00416FA8" w:rsidP="004B6753">
            <w:pPr>
              <w:pStyle w:val="NoSpacing"/>
              <w:jc w:val="center"/>
              <w:rPr>
                <w:rFonts w:ascii="Times New Roman" w:hAnsi="Times New Roman" w:cs="Times New Roman"/>
                <w:szCs w:val="24"/>
              </w:rPr>
            </w:pPr>
            <w:r w:rsidRPr="004B6753">
              <w:rPr>
                <w:rFonts w:ascii="Times New Roman" w:hAnsi="Times New Roman" w:cs="Times New Roman"/>
                <w:szCs w:val="24"/>
              </w:rPr>
              <w:t>18.20</w:t>
            </w:r>
          </w:p>
        </w:tc>
        <w:tc>
          <w:tcPr>
            <w:tcW w:w="0" w:type="auto"/>
            <w:vAlign w:val="center"/>
            <w:hideMark/>
          </w:tcPr>
          <w:p w14:paraId="77786DAD" w14:textId="77777777" w:rsidR="00416FA8" w:rsidRPr="004B6753" w:rsidRDefault="00416FA8" w:rsidP="004B6753">
            <w:pPr>
              <w:pStyle w:val="NoSpacing"/>
              <w:jc w:val="center"/>
              <w:rPr>
                <w:rFonts w:ascii="Times New Roman" w:hAnsi="Times New Roman" w:cs="Times New Roman"/>
                <w:szCs w:val="24"/>
              </w:rPr>
            </w:pPr>
            <w:r w:rsidRPr="004B6753">
              <w:rPr>
                <w:rFonts w:ascii="Times New Roman" w:hAnsi="Times New Roman" w:cs="Times New Roman"/>
                <w:szCs w:val="24"/>
              </w:rPr>
              <w:t>32.47</w:t>
            </w:r>
          </w:p>
        </w:tc>
      </w:tr>
      <w:tr w:rsidR="00416FA8" w:rsidRPr="004B6753" w14:paraId="39BF501F" w14:textId="77777777" w:rsidTr="004B6753">
        <w:trPr>
          <w:trHeight w:val="20"/>
        </w:trPr>
        <w:tc>
          <w:tcPr>
            <w:tcW w:w="1995" w:type="dxa"/>
            <w:hideMark/>
          </w:tcPr>
          <w:p w14:paraId="49A963FC" w14:textId="77777777" w:rsidR="00416FA8" w:rsidRPr="004B6753" w:rsidRDefault="00416FA8" w:rsidP="004B6753">
            <w:pPr>
              <w:pStyle w:val="NoSpacing"/>
              <w:rPr>
                <w:rFonts w:ascii="Times New Roman" w:hAnsi="Times New Roman" w:cs="Times New Roman"/>
                <w:szCs w:val="24"/>
              </w:rPr>
            </w:pPr>
            <w:r w:rsidRPr="004B6753">
              <w:rPr>
                <w:rFonts w:ascii="Times New Roman" w:hAnsi="Times New Roman" w:cs="Times New Roman"/>
                <w:szCs w:val="24"/>
              </w:rPr>
              <w:t>1966-67</w:t>
            </w:r>
          </w:p>
        </w:tc>
        <w:tc>
          <w:tcPr>
            <w:tcW w:w="0" w:type="auto"/>
            <w:vAlign w:val="center"/>
            <w:hideMark/>
          </w:tcPr>
          <w:p w14:paraId="026D99B6" w14:textId="77777777" w:rsidR="00416FA8" w:rsidRPr="004B6753" w:rsidRDefault="00416FA8" w:rsidP="004B6753">
            <w:pPr>
              <w:pStyle w:val="NoSpacing"/>
              <w:jc w:val="center"/>
              <w:rPr>
                <w:rFonts w:ascii="Times New Roman" w:hAnsi="Times New Roman" w:cs="Times New Roman"/>
                <w:szCs w:val="24"/>
              </w:rPr>
            </w:pPr>
            <w:r w:rsidRPr="004B6753">
              <w:rPr>
                <w:rFonts w:ascii="Times New Roman" w:hAnsi="Times New Roman" w:cs="Times New Roman"/>
                <w:szCs w:val="24"/>
              </w:rPr>
              <w:t>0.90</w:t>
            </w:r>
          </w:p>
        </w:tc>
        <w:tc>
          <w:tcPr>
            <w:tcW w:w="0" w:type="auto"/>
            <w:vAlign w:val="center"/>
            <w:hideMark/>
          </w:tcPr>
          <w:p w14:paraId="41AE8274" w14:textId="77777777" w:rsidR="00416FA8" w:rsidRPr="004B6753" w:rsidRDefault="00416FA8" w:rsidP="004B6753">
            <w:pPr>
              <w:pStyle w:val="NoSpacing"/>
              <w:jc w:val="center"/>
              <w:rPr>
                <w:rFonts w:ascii="Times New Roman" w:hAnsi="Times New Roman" w:cs="Times New Roman"/>
                <w:szCs w:val="24"/>
              </w:rPr>
            </w:pPr>
            <w:r w:rsidRPr="004B6753">
              <w:rPr>
                <w:rFonts w:ascii="Times New Roman" w:hAnsi="Times New Roman" w:cs="Times New Roman"/>
                <w:szCs w:val="24"/>
              </w:rPr>
              <w:t>0.60</w:t>
            </w:r>
          </w:p>
        </w:tc>
        <w:tc>
          <w:tcPr>
            <w:tcW w:w="0" w:type="auto"/>
            <w:vAlign w:val="center"/>
            <w:hideMark/>
          </w:tcPr>
          <w:p w14:paraId="5ECF83D8" w14:textId="77777777" w:rsidR="00416FA8" w:rsidRPr="004B6753" w:rsidRDefault="00416FA8" w:rsidP="004B6753">
            <w:pPr>
              <w:pStyle w:val="NoSpacing"/>
              <w:jc w:val="center"/>
              <w:rPr>
                <w:rFonts w:ascii="Times New Roman" w:hAnsi="Times New Roman" w:cs="Times New Roman"/>
                <w:szCs w:val="24"/>
              </w:rPr>
            </w:pPr>
            <w:r w:rsidRPr="004B6753">
              <w:rPr>
                <w:rFonts w:ascii="Times New Roman" w:hAnsi="Times New Roman" w:cs="Times New Roman"/>
                <w:szCs w:val="24"/>
              </w:rPr>
              <w:t>0.97</w:t>
            </w:r>
          </w:p>
        </w:tc>
        <w:tc>
          <w:tcPr>
            <w:tcW w:w="0" w:type="auto"/>
            <w:vAlign w:val="center"/>
            <w:hideMark/>
          </w:tcPr>
          <w:p w14:paraId="5A01CEEF" w14:textId="77777777" w:rsidR="00416FA8" w:rsidRPr="004B6753" w:rsidRDefault="00416FA8" w:rsidP="004B6753">
            <w:pPr>
              <w:pStyle w:val="NoSpacing"/>
              <w:jc w:val="center"/>
              <w:rPr>
                <w:rFonts w:ascii="Times New Roman" w:hAnsi="Times New Roman" w:cs="Times New Roman"/>
                <w:szCs w:val="24"/>
              </w:rPr>
            </w:pPr>
            <w:r w:rsidRPr="004B6753">
              <w:rPr>
                <w:rFonts w:ascii="Times New Roman" w:hAnsi="Times New Roman" w:cs="Times New Roman"/>
                <w:szCs w:val="24"/>
              </w:rPr>
              <w:t>4.58</w:t>
            </w:r>
          </w:p>
        </w:tc>
        <w:tc>
          <w:tcPr>
            <w:tcW w:w="0" w:type="auto"/>
            <w:vAlign w:val="center"/>
            <w:hideMark/>
          </w:tcPr>
          <w:p w14:paraId="126C7C05" w14:textId="77777777" w:rsidR="00416FA8" w:rsidRPr="004B6753" w:rsidRDefault="00416FA8" w:rsidP="004B6753">
            <w:pPr>
              <w:pStyle w:val="NoSpacing"/>
              <w:jc w:val="center"/>
              <w:rPr>
                <w:rFonts w:ascii="Times New Roman" w:hAnsi="Times New Roman" w:cs="Times New Roman"/>
                <w:szCs w:val="24"/>
              </w:rPr>
            </w:pPr>
            <w:r w:rsidRPr="004B6753">
              <w:rPr>
                <w:rFonts w:ascii="Times New Roman" w:hAnsi="Times New Roman" w:cs="Times New Roman"/>
                <w:szCs w:val="24"/>
              </w:rPr>
              <w:t>1.07</w:t>
            </w:r>
          </w:p>
        </w:tc>
        <w:tc>
          <w:tcPr>
            <w:tcW w:w="0" w:type="auto"/>
            <w:vAlign w:val="center"/>
            <w:hideMark/>
          </w:tcPr>
          <w:p w14:paraId="66DE9372" w14:textId="77777777" w:rsidR="00416FA8" w:rsidRPr="004B6753" w:rsidRDefault="00416FA8" w:rsidP="004B6753">
            <w:pPr>
              <w:pStyle w:val="NoSpacing"/>
              <w:jc w:val="center"/>
              <w:rPr>
                <w:rFonts w:ascii="Times New Roman" w:hAnsi="Times New Roman" w:cs="Times New Roman"/>
                <w:szCs w:val="24"/>
              </w:rPr>
            </w:pPr>
            <w:r w:rsidRPr="004B6753">
              <w:rPr>
                <w:rFonts w:ascii="Times New Roman" w:hAnsi="Times New Roman" w:cs="Times New Roman"/>
                <w:szCs w:val="24"/>
              </w:rPr>
              <w:t>5.28</w:t>
            </w:r>
          </w:p>
        </w:tc>
        <w:tc>
          <w:tcPr>
            <w:tcW w:w="0" w:type="auto"/>
            <w:vAlign w:val="center"/>
            <w:hideMark/>
          </w:tcPr>
          <w:p w14:paraId="03CB6F22" w14:textId="77777777" w:rsidR="00416FA8" w:rsidRPr="004B6753" w:rsidRDefault="00416FA8" w:rsidP="004B6753">
            <w:pPr>
              <w:pStyle w:val="NoSpacing"/>
              <w:jc w:val="center"/>
              <w:rPr>
                <w:rFonts w:ascii="Times New Roman" w:hAnsi="Times New Roman" w:cs="Times New Roman"/>
                <w:szCs w:val="24"/>
              </w:rPr>
            </w:pPr>
            <w:r w:rsidRPr="004B6753">
              <w:rPr>
                <w:rFonts w:ascii="Times New Roman" w:hAnsi="Times New Roman" w:cs="Times New Roman"/>
                <w:szCs w:val="24"/>
              </w:rPr>
              <w:t>1.91</w:t>
            </w:r>
          </w:p>
        </w:tc>
        <w:tc>
          <w:tcPr>
            <w:tcW w:w="0" w:type="auto"/>
            <w:vAlign w:val="center"/>
            <w:hideMark/>
          </w:tcPr>
          <w:p w14:paraId="2E73225A" w14:textId="77777777" w:rsidR="00416FA8" w:rsidRPr="004B6753" w:rsidRDefault="00416FA8" w:rsidP="004B6753">
            <w:pPr>
              <w:pStyle w:val="NoSpacing"/>
              <w:jc w:val="center"/>
              <w:rPr>
                <w:rFonts w:ascii="Times New Roman" w:hAnsi="Times New Roman" w:cs="Times New Roman"/>
                <w:szCs w:val="24"/>
              </w:rPr>
            </w:pPr>
            <w:r w:rsidRPr="004B6753">
              <w:rPr>
                <w:rFonts w:ascii="Times New Roman" w:hAnsi="Times New Roman" w:cs="Times New Roman"/>
                <w:szCs w:val="24"/>
              </w:rPr>
              <w:t>1.01</w:t>
            </w:r>
          </w:p>
        </w:tc>
        <w:tc>
          <w:tcPr>
            <w:tcW w:w="0" w:type="auto"/>
            <w:vAlign w:val="center"/>
            <w:hideMark/>
          </w:tcPr>
          <w:p w14:paraId="11F9969D" w14:textId="77777777" w:rsidR="00416FA8" w:rsidRPr="004B6753" w:rsidRDefault="00416FA8" w:rsidP="004B6753">
            <w:pPr>
              <w:pStyle w:val="NoSpacing"/>
              <w:jc w:val="center"/>
              <w:rPr>
                <w:rFonts w:ascii="Times New Roman" w:hAnsi="Times New Roman" w:cs="Times New Roman"/>
                <w:szCs w:val="24"/>
              </w:rPr>
            </w:pPr>
            <w:r w:rsidRPr="004B6753">
              <w:rPr>
                <w:rFonts w:ascii="Times New Roman" w:hAnsi="Times New Roman" w:cs="Times New Roman"/>
                <w:szCs w:val="24"/>
              </w:rPr>
              <w:t>1.52</w:t>
            </w:r>
          </w:p>
        </w:tc>
        <w:tc>
          <w:tcPr>
            <w:tcW w:w="0" w:type="auto"/>
            <w:vAlign w:val="center"/>
            <w:hideMark/>
          </w:tcPr>
          <w:p w14:paraId="2F13B631" w14:textId="77777777" w:rsidR="00416FA8" w:rsidRPr="004B6753" w:rsidRDefault="00416FA8" w:rsidP="004B6753">
            <w:pPr>
              <w:pStyle w:val="NoSpacing"/>
              <w:jc w:val="center"/>
              <w:rPr>
                <w:rFonts w:ascii="Times New Roman" w:hAnsi="Times New Roman" w:cs="Times New Roman"/>
                <w:szCs w:val="24"/>
              </w:rPr>
            </w:pPr>
            <w:r w:rsidRPr="004B6753">
              <w:rPr>
                <w:rFonts w:ascii="Times New Roman" w:hAnsi="Times New Roman" w:cs="Times New Roman"/>
                <w:szCs w:val="24"/>
              </w:rPr>
              <w:t>24.01</w:t>
            </w:r>
          </w:p>
        </w:tc>
        <w:tc>
          <w:tcPr>
            <w:tcW w:w="0" w:type="auto"/>
            <w:vAlign w:val="center"/>
            <w:hideMark/>
          </w:tcPr>
          <w:p w14:paraId="22412F46" w14:textId="77777777" w:rsidR="00416FA8" w:rsidRPr="004B6753" w:rsidRDefault="00416FA8" w:rsidP="004B6753">
            <w:pPr>
              <w:pStyle w:val="NoSpacing"/>
              <w:jc w:val="center"/>
              <w:rPr>
                <w:rFonts w:ascii="Times New Roman" w:hAnsi="Times New Roman" w:cs="Times New Roman"/>
                <w:szCs w:val="24"/>
              </w:rPr>
            </w:pPr>
            <w:r w:rsidRPr="004B6753">
              <w:rPr>
                <w:rFonts w:ascii="Times New Roman" w:hAnsi="Times New Roman" w:cs="Times New Roman"/>
                <w:szCs w:val="24"/>
              </w:rPr>
              <w:t>41.86</w:t>
            </w:r>
          </w:p>
        </w:tc>
      </w:tr>
      <w:tr w:rsidR="00416FA8" w:rsidRPr="004B6753" w14:paraId="2BFCEE97" w14:textId="77777777" w:rsidTr="004B6753">
        <w:trPr>
          <w:trHeight w:val="20"/>
        </w:trPr>
        <w:tc>
          <w:tcPr>
            <w:tcW w:w="1995" w:type="dxa"/>
            <w:hideMark/>
          </w:tcPr>
          <w:p w14:paraId="7B7177DF" w14:textId="77777777" w:rsidR="00416FA8" w:rsidRPr="004B6753" w:rsidRDefault="00416FA8" w:rsidP="004B6753">
            <w:pPr>
              <w:pStyle w:val="NoSpacing"/>
              <w:rPr>
                <w:rFonts w:ascii="Times New Roman" w:hAnsi="Times New Roman" w:cs="Times New Roman"/>
                <w:szCs w:val="24"/>
              </w:rPr>
            </w:pPr>
            <w:r w:rsidRPr="004B6753">
              <w:rPr>
                <w:rFonts w:ascii="Times New Roman" w:hAnsi="Times New Roman" w:cs="Times New Roman"/>
                <w:szCs w:val="24"/>
              </w:rPr>
              <w:t>1967-68</w:t>
            </w:r>
          </w:p>
        </w:tc>
        <w:tc>
          <w:tcPr>
            <w:tcW w:w="0" w:type="auto"/>
            <w:vAlign w:val="center"/>
            <w:hideMark/>
          </w:tcPr>
          <w:p w14:paraId="4B109235" w14:textId="77777777" w:rsidR="00416FA8" w:rsidRPr="004B6753" w:rsidRDefault="00416FA8" w:rsidP="004B6753">
            <w:pPr>
              <w:pStyle w:val="NoSpacing"/>
              <w:jc w:val="center"/>
              <w:rPr>
                <w:rFonts w:ascii="Times New Roman" w:hAnsi="Times New Roman" w:cs="Times New Roman"/>
                <w:szCs w:val="24"/>
              </w:rPr>
            </w:pPr>
            <w:r w:rsidRPr="004B6753">
              <w:rPr>
                <w:rFonts w:ascii="Times New Roman" w:hAnsi="Times New Roman" w:cs="Times New Roman"/>
                <w:szCs w:val="24"/>
              </w:rPr>
              <w:t>1.06</w:t>
            </w:r>
          </w:p>
        </w:tc>
        <w:tc>
          <w:tcPr>
            <w:tcW w:w="0" w:type="auto"/>
            <w:vAlign w:val="center"/>
            <w:hideMark/>
          </w:tcPr>
          <w:p w14:paraId="55C5E02E" w14:textId="77777777" w:rsidR="00416FA8" w:rsidRPr="004B6753" w:rsidRDefault="00416FA8" w:rsidP="004B6753">
            <w:pPr>
              <w:pStyle w:val="NoSpacing"/>
              <w:jc w:val="center"/>
              <w:rPr>
                <w:rFonts w:ascii="Times New Roman" w:hAnsi="Times New Roman" w:cs="Times New Roman"/>
                <w:szCs w:val="24"/>
              </w:rPr>
            </w:pPr>
            <w:r w:rsidRPr="004B6753">
              <w:rPr>
                <w:rFonts w:ascii="Times New Roman" w:hAnsi="Times New Roman" w:cs="Times New Roman"/>
                <w:szCs w:val="24"/>
              </w:rPr>
              <w:t>0.72</w:t>
            </w:r>
          </w:p>
        </w:tc>
        <w:tc>
          <w:tcPr>
            <w:tcW w:w="0" w:type="auto"/>
            <w:vAlign w:val="center"/>
            <w:hideMark/>
          </w:tcPr>
          <w:p w14:paraId="23363841" w14:textId="77777777" w:rsidR="00416FA8" w:rsidRPr="004B6753" w:rsidRDefault="00416FA8" w:rsidP="004B6753">
            <w:pPr>
              <w:pStyle w:val="NoSpacing"/>
              <w:jc w:val="center"/>
              <w:rPr>
                <w:rFonts w:ascii="Times New Roman" w:hAnsi="Times New Roman" w:cs="Times New Roman"/>
                <w:szCs w:val="24"/>
              </w:rPr>
            </w:pPr>
            <w:r w:rsidRPr="004B6753">
              <w:rPr>
                <w:rFonts w:ascii="Times New Roman" w:hAnsi="Times New Roman" w:cs="Times New Roman"/>
                <w:szCs w:val="24"/>
              </w:rPr>
              <w:t>1.20</w:t>
            </w:r>
          </w:p>
        </w:tc>
        <w:tc>
          <w:tcPr>
            <w:tcW w:w="0" w:type="auto"/>
            <w:vAlign w:val="center"/>
            <w:hideMark/>
          </w:tcPr>
          <w:p w14:paraId="7218CC88" w14:textId="77777777" w:rsidR="00416FA8" w:rsidRPr="004B6753" w:rsidRDefault="00416FA8" w:rsidP="004B6753">
            <w:pPr>
              <w:pStyle w:val="NoSpacing"/>
              <w:jc w:val="center"/>
              <w:rPr>
                <w:rFonts w:ascii="Times New Roman" w:hAnsi="Times New Roman" w:cs="Times New Roman"/>
                <w:szCs w:val="24"/>
              </w:rPr>
            </w:pPr>
            <w:r w:rsidRPr="004B6753">
              <w:rPr>
                <w:rFonts w:ascii="Times New Roman" w:hAnsi="Times New Roman" w:cs="Times New Roman"/>
                <w:szCs w:val="24"/>
              </w:rPr>
              <w:t>4.14</w:t>
            </w:r>
          </w:p>
        </w:tc>
        <w:tc>
          <w:tcPr>
            <w:tcW w:w="0" w:type="auto"/>
            <w:vAlign w:val="center"/>
            <w:hideMark/>
          </w:tcPr>
          <w:p w14:paraId="3C6B8314" w14:textId="77777777" w:rsidR="00416FA8" w:rsidRPr="004B6753" w:rsidRDefault="00416FA8" w:rsidP="004B6753">
            <w:pPr>
              <w:pStyle w:val="NoSpacing"/>
              <w:jc w:val="center"/>
              <w:rPr>
                <w:rFonts w:ascii="Times New Roman" w:hAnsi="Times New Roman" w:cs="Times New Roman"/>
                <w:szCs w:val="24"/>
              </w:rPr>
            </w:pPr>
            <w:r w:rsidRPr="004B6753">
              <w:rPr>
                <w:rFonts w:ascii="Times New Roman" w:hAnsi="Times New Roman" w:cs="Times New Roman"/>
                <w:szCs w:val="24"/>
              </w:rPr>
              <w:t>1.18</w:t>
            </w:r>
          </w:p>
        </w:tc>
        <w:tc>
          <w:tcPr>
            <w:tcW w:w="0" w:type="auto"/>
            <w:vAlign w:val="center"/>
            <w:hideMark/>
          </w:tcPr>
          <w:p w14:paraId="039071E8" w14:textId="77777777" w:rsidR="00416FA8" w:rsidRPr="004B6753" w:rsidRDefault="00416FA8" w:rsidP="004B6753">
            <w:pPr>
              <w:pStyle w:val="NoSpacing"/>
              <w:jc w:val="center"/>
              <w:rPr>
                <w:rFonts w:ascii="Times New Roman" w:hAnsi="Times New Roman" w:cs="Times New Roman"/>
                <w:szCs w:val="24"/>
              </w:rPr>
            </w:pPr>
            <w:r w:rsidRPr="004B6753">
              <w:rPr>
                <w:rFonts w:ascii="Times New Roman" w:hAnsi="Times New Roman" w:cs="Times New Roman"/>
                <w:szCs w:val="24"/>
              </w:rPr>
              <w:t>6.61</w:t>
            </w:r>
          </w:p>
        </w:tc>
        <w:tc>
          <w:tcPr>
            <w:tcW w:w="0" w:type="auto"/>
            <w:vAlign w:val="center"/>
            <w:hideMark/>
          </w:tcPr>
          <w:p w14:paraId="576E8A60" w14:textId="77777777" w:rsidR="00416FA8" w:rsidRPr="004B6753" w:rsidRDefault="00416FA8" w:rsidP="004B6753">
            <w:pPr>
              <w:pStyle w:val="NoSpacing"/>
              <w:jc w:val="center"/>
              <w:rPr>
                <w:rFonts w:ascii="Times New Roman" w:hAnsi="Times New Roman" w:cs="Times New Roman"/>
                <w:szCs w:val="24"/>
              </w:rPr>
            </w:pPr>
            <w:r w:rsidRPr="004B6753">
              <w:rPr>
                <w:rFonts w:ascii="Times New Roman" w:hAnsi="Times New Roman" w:cs="Times New Roman"/>
                <w:szCs w:val="24"/>
              </w:rPr>
              <w:t>2.34</w:t>
            </w:r>
          </w:p>
        </w:tc>
        <w:tc>
          <w:tcPr>
            <w:tcW w:w="0" w:type="auto"/>
            <w:vAlign w:val="center"/>
            <w:hideMark/>
          </w:tcPr>
          <w:p w14:paraId="46BF6E73" w14:textId="77777777" w:rsidR="00416FA8" w:rsidRPr="004B6753" w:rsidRDefault="00416FA8" w:rsidP="004B6753">
            <w:pPr>
              <w:pStyle w:val="NoSpacing"/>
              <w:jc w:val="center"/>
              <w:rPr>
                <w:rFonts w:ascii="Times New Roman" w:hAnsi="Times New Roman" w:cs="Times New Roman"/>
                <w:szCs w:val="24"/>
              </w:rPr>
            </w:pPr>
            <w:r w:rsidRPr="004B6753">
              <w:rPr>
                <w:rFonts w:ascii="Times New Roman" w:hAnsi="Times New Roman" w:cs="Times New Roman"/>
                <w:szCs w:val="24"/>
              </w:rPr>
              <w:t>1.21</w:t>
            </w:r>
          </w:p>
        </w:tc>
        <w:tc>
          <w:tcPr>
            <w:tcW w:w="0" w:type="auto"/>
            <w:vAlign w:val="center"/>
            <w:hideMark/>
          </w:tcPr>
          <w:p w14:paraId="38FD08FF" w14:textId="77777777" w:rsidR="00416FA8" w:rsidRPr="004B6753" w:rsidRDefault="00416FA8" w:rsidP="004B6753">
            <w:pPr>
              <w:pStyle w:val="NoSpacing"/>
              <w:jc w:val="center"/>
              <w:rPr>
                <w:rFonts w:ascii="Times New Roman" w:hAnsi="Times New Roman" w:cs="Times New Roman"/>
                <w:szCs w:val="24"/>
              </w:rPr>
            </w:pPr>
            <w:r w:rsidRPr="004B6753">
              <w:rPr>
                <w:rFonts w:ascii="Times New Roman" w:hAnsi="Times New Roman" w:cs="Times New Roman"/>
                <w:szCs w:val="24"/>
              </w:rPr>
              <w:t>2.33</w:t>
            </w:r>
          </w:p>
        </w:tc>
        <w:tc>
          <w:tcPr>
            <w:tcW w:w="0" w:type="auto"/>
            <w:vAlign w:val="center"/>
            <w:hideMark/>
          </w:tcPr>
          <w:p w14:paraId="5E4EE298" w14:textId="77777777" w:rsidR="00416FA8" w:rsidRPr="004B6753" w:rsidRDefault="00416FA8" w:rsidP="004B6753">
            <w:pPr>
              <w:pStyle w:val="NoSpacing"/>
              <w:jc w:val="center"/>
              <w:rPr>
                <w:rFonts w:ascii="Times New Roman" w:hAnsi="Times New Roman" w:cs="Times New Roman"/>
                <w:szCs w:val="24"/>
              </w:rPr>
            </w:pPr>
            <w:r w:rsidRPr="004B6753">
              <w:rPr>
                <w:rFonts w:ascii="Times New Roman" w:hAnsi="Times New Roman" w:cs="Times New Roman"/>
                <w:szCs w:val="24"/>
              </w:rPr>
              <w:t>22.64</w:t>
            </w:r>
          </w:p>
        </w:tc>
        <w:tc>
          <w:tcPr>
            <w:tcW w:w="0" w:type="auto"/>
            <w:vAlign w:val="center"/>
            <w:hideMark/>
          </w:tcPr>
          <w:p w14:paraId="1357D7C2" w14:textId="77777777" w:rsidR="00416FA8" w:rsidRPr="004B6753" w:rsidRDefault="00416FA8" w:rsidP="004B6753">
            <w:pPr>
              <w:pStyle w:val="NoSpacing"/>
              <w:jc w:val="center"/>
              <w:rPr>
                <w:rFonts w:ascii="Times New Roman" w:hAnsi="Times New Roman" w:cs="Times New Roman"/>
                <w:szCs w:val="24"/>
              </w:rPr>
            </w:pPr>
            <w:r w:rsidRPr="004B6753">
              <w:rPr>
                <w:rFonts w:ascii="Times New Roman" w:hAnsi="Times New Roman" w:cs="Times New Roman"/>
                <w:szCs w:val="24"/>
              </w:rPr>
              <w:t>43.43</w:t>
            </w:r>
          </w:p>
        </w:tc>
      </w:tr>
      <w:tr w:rsidR="00812C67" w:rsidRPr="004B6753" w14:paraId="4BD41C04" w14:textId="77777777" w:rsidTr="004B6753">
        <w:trPr>
          <w:trHeight w:val="20"/>
        </w:trPr>
        <w:tc>
          <w:tcPr>
            <w:tcW w:w="1995" w:type="dxa"/>
            <w:vMerge w:val="restart"/>
            <w:hideMark/>
          </w:tcPr>
          <w:p w14:paraId="2159EAC7" w14:textId="77777777" w:rsidR="00812C67" w:rsidRPr="004B6753" w:rsidRDefault="00812C67" w:rsidP="004B6753">
            <w:pPr>
              <w:pStyle w:val="NoSpacing"/>
              <w:rPr>
                <w:rFonts w:ascii="Times New Roman" w:hAnsi="Times New Roman" w:cs="Times New Roman"/>
                <w:szCs w:val="24"/>
              </w:rPr>
            </w:pPr>
            <w:r w:rsidRPr="004B6753">
              <w:rPr>
                <w:rFonts w:ascii="Times New Roman" w:hAnsi="Times New Roman" w:cs="Times New Roman"/>
                <w:szCs w:val="24"/>
              </w:rPr>
              <w:t>1968-69 (RE)</w:t>
            </w:r>
          </w:p>
        </w:tc>
        <w:tc>
          <w:tcPr>
            <w:tcW w:w="0" w:type="auto"/>
            <w:vAlign w:val="center"/>
            <w:hideMark/>
          </w:tcPr>
          <w:p w14:paraId="1190988E" w14:textId="77777777" w:rsidR="00812C67" w:rsidRPr="004B6753" w:rsidRDefault="00812C67" w:rsidP="004B6753">
            <w:pPr>
              <w:pStyle w:val="NoSpacing"/>
              <w:jc w:val="center"/>
              <w:rPr>
                <w:rFonts w:ascii="Times New Roman" w:hAnsi="Times New Roman" w:cs="Times New Roman"/>
                <w:szCs w:val="24"/>
              </w:rPr>
            </w:pPr>
            <w:r w:rsidRPr="004B6753">
              <w:rPr>
                <w:rFonts w:ascii="Times New Roman" w:hAnsi="Times New Roman" w:cs="Times New Roman"/>
                <w:szCs w:val="24"/>
              </w:rPr>
              <w:t>1.19</w:t>
            </w:r>
          </w:p>
        </w:tc>
        <w:tc>
          <w:tcPr>
            <w:tcW w:w="0" w:type="auto"/>
            <w:vAlign w:val="center"/>
            <w:hideMark/>
          </w:tcPr>
          <w:p w14:paraId="73394544" w14:textId="77777777" w:rsidR="00812C67" w:rsidRPr="004B6753" w:rsidRDefault="00812C67" w:rsidP="004B6753">
            <w:pPr>
              <w:pStyle w:val="NoSpacing"/>
              <w:jc w:val="center"/>
              <w:rPr>
                <w:rFonts w:ascii="Times New Roman" w:hAnsi="Times New Roman" w:cs="Times New Roman"/>
                <w:szCs w:val="24"/>
              </w:rPr>
            </w:pPr>
            <w:r w:rsidRPr="004B6753">
              <w:rPr>
                <w:rFonts w:ascii="Times New Roman" w:hAnsi="Times New Roman" w:cs="Times New Roman"/>
                <w:szCs w:val="24"/>
              </w:rPr>
              <w:t>0.99</w:t>
            </w:r>
          </w:p>
        </w:tc>
        <w:tc>
          <w:tcPr>
            <w:tcW w:w="0" w:type="auto"/>
            <w:vAlign w:val="center"/>
            <w:hideMark/>
          </w:tcPr>
          <w:p w14:paraId="77233F0E" w14:textId="77777777" w:rsidR="00812C67" w:rsidRPr="004B6753" w:rsidRDefault="00812C67" w:rsidP="004B6753">
            <w:pPr>
              <w:pStyle w:val="NoSpacing"/>
              <w:jc w:val="center"/>
              <w:rPr>
                <w:rFonts w:ascii="Times New Roman" w:hAnsi="Times New Roman" w:cs="Times New Roman"/>
                <w:szCs w:val="24"/>
              </w:rPr>
            </w:pPr>
            <w:r w:rsidRPr="004B6753">
              <w:rPr>
                <w:rFonts w:ascii="Times New Roman" w:hAnsi="Times New Roman" w:cs="Times New Roman"/>
                <w:szCs w:val="24"/>
              </w:rPr>
              <w:t>1.35</w:t>
            </w:r>
          </w:p>
        </w:tc>
        <w:tc>
          <w:tcPr>
            <w:tcW w:w="0" w:type="auto"/>
            <w:vAlign w:val="center"/>
            <w:hideMark/>
          </w:tcPr>
          <w:p w14:paraId="1E36F7F2" w14:textId="77777777" w:rsidR="00812C67" w:rsidRPr="004B6753" w:rsidRDefault="00812C67" w:rsidP="004B6753">
            <w:pPr>
              <w:pStyle w:val="NoSpacing"/>
              <w:jc w:val="center"/>
              <w:rPr>
                <w:rFonts w:ascii="Times New Roman" w:hAnsi="Times New Roman" w:cs="Times New Roman"/>
                <w:szCs w:val="24"/>
              </w:rPr>
            </w:pPr>
            <w:r w:rsidRPr="004B6753">
              <w:rPr>
                <w:rFonts w:ascii="Times New Roman" w:hAnsi="Times New Roman" w:cs="Times New Roman"/>
                <w:szCs w:val="24"/>
              </w:rPr>
              <w:t>3.90</w:t>
            </w:r>
          </w:p>
        </w:tc>
        <w:tc>
          <w:tcPr>
            <w:tcW w:w="0" w:type="auto"/>
            <w:vAlign w:val="center"/>
            <w:hideMark/>
          </w:tcPr>
          <w:p w14:paraId="3DD2BC22" w14:textId="77777777" w:rsidR="00812C67" w:rsidRPr="004B6753" w:rsidRDefault="00812C67" w:rsidP="004B6753">
            <w:pPr>
              <w:pStyle w:val="NoSpacing"/>
              <w:jc w:val="center"/>
              <w:rPr>
                <w:rFonts w:ascii="Times New Roman" w:hAnsi="Times New Roman" w:cs="Times New Roman"/>
                <w:szCs w:val="24"/>
              </w:rPr>
            </w:pPr>
            <w:r w:rsidRPr="004B6753">
              <w:rPr>
                <w:rFonts w:ascii="Times New Roman" w:hAnsi="Times New Roman" w:cs="Times New Roman"/>
                <w:szCs w:val="24"/>
              </w:rPr>
              <w:t>1.52</w:t>
            </w:r>
          </w:p>
        </w:tc>
        <w:tc>
          <w:tcPr>
            <w:tcW w:w="0" w:type="auto"/>
            <w:vAlign w:val="center"/>
            <w:hideMark/>
          </w:tcPr>
          <w:p w14:paraId="58882730" w14:textId="77777777" w:rsidR="00812C67" w:rsidRPr="004B6753" w:rsidRDefault="00812C67" w:rsidP="004B6753">
            <w:pPr>
              <w:pStyle w:val="NoSpacing"/>
              <w:jc w:val="center"/>
              <w:rPr>
                <w:rFonts w:ascii="Times New Roman" w:hAnsi="Times New Roman" w:cs="Times New Roman"/>
                <w:szCs w:val="24"/>
              </w:rPr>
            </w:pPr>
            <w:r w:rsidRPr="004B6753">
              <w:rPr>
                <w:rFonts w:ascii="Times New Roman" w:hAnsi="Times New Roman" w:cs="Times New Roman"/>
                <w:szCs w:val="24"/>
              </w:rPr>
              <w:t>7.36</w:t>
            </w:r>
          </w:p>
        </w:tc>
        <w:tc>
          <w:tcPr>
            <w:tcW w:w="0" w:type="auto"/>
            <w:vAlign w:val="center"/>
            <w:hideMark/>
          </w:tcPr>
          <w:p w14:paraId="7A54372C" w14:textId="77777777" w:rsidR="00812C67" w:rsidRPr="004B6753" w:rsidRDefault="00812C67" w:rsidP="004B6753">
            <w:pPr>
              <w:pStyle w:val="NoSpacing"/>
              <w:jc w:val="center"/>
              <w:rPr>
                <w:rFonts w:ascii="Times New Roman" w:hAnsi="Times New Roman" w:cs="Times New Roman"/>
                <w:szCs w:val="24"/>
              </w:rPr>
            </w:pPr>
            <w:r w:rsidRPr="004B6753">
              <w:rPr>
                <w:rFonts w:ascii="Times New Roman" w:hAnsi="Times New Roman" w:cs="Times New Roman"/>
                <w:szCs w:val="24"/>
              </w:rPr>
              <w:t>2.72</w:t>
            </w:r>
          </w:p>
        </w:tc>
        <w:tc>
          <w:tcPr>
            <w:tcW w:w="0" w:type="auto"/>
            <w:vAlign w:val="center"/>
            <w:hideMark/>
          </w:tcPr>
          <w:p w14:paraId="0BD591EB" w14:textId="77777777" w:rsidR="00812C67" w:rsidRPr="004B6753" w:rsidRDefault="00812C67" w:rsidP="004B6753">
            <w:pPr>
              <w:pStyle w:val="NoSpacing"/>
              <w:jc w:val="center"/>
              <w:rPr>
                <w:rFonts w:ascii="Times New Roman" w:hAnsi="Times New Roman" w:cs="Times New Roman"/>
                <w:szCs w:val="24"/>
              </w:rPr>
            </w:pPr>
            <w:r w:rsidRPr="004B6753">
              <w:rPr>
                <w:rFonts w:ascii="Times New Roman" w:hAnsi="Times New Roman" w:cs="Times New Roman"/>
                <w:szCs w:val="24"/>
              </w:rPr>
              <w:t>1.12</w:t>
            </w:r>
          </w:p>
        </w:tc>
        <w:tc>
          <w:tcPr>
            <w:tcW w:w="0" w:type="auto"/>
            <w:vAlign w:val="center"/>
            <w:hideMark/>
          </w:tcPr>
          <w:p w14:paraId="1B4B8C76" w14:textId="77777777" w:rsidR="00812C67" w:rsidRPr="004B6753" w:rsidRDefault="00812C67" w:rsidP="004B6753">
            <w:pPr>
              <w:pStyle w:val="NoSpacing"/>
              <w:jc w:val="center"/>
              <w:rPr>
                <w:rFonts w:ascii="Times New Roman" w:hAnsi="Times New Roman" w:cs="Times New Roman"/>
                <w:szCs w:val="24"/>
              </w:rPr>
            </w:pPr>
            <w:r w:rsidRPr="004B6753">
              <w:rPr>
                <w:rFonts w:ascii="Times New Roman" w:hAnsi="Times New Roman" w:cs="Times New Roman"/>
                <w:szCs w:val="24"/>
              </w:rPr>
              <w:t>3.53</w:t>
            </w:r>
          </w:p>
        </w:tc>
        <w:tc>
          <w:tcPr>
            <w:tcW w:w="0" w:type="auto"/>
            <w:vAlign w:val="center"/>
            <w:hideMark/>
          </w:tcPr>
          <w:p w14:paraId="3C584529" w14:textId="77777777" w:rsidR="00812C67" w:rsidRPr="004B6753" w:rsidRDefault="00812C67" w:rsidP="004B6753">
            <w:pPr>
              <w:pStyle w:val="NoSpacing"/>
              <w:jc w:val="center"/>
              <w:rPr>
                <w:rFonts w:ascii="Times New Roman" w:hAnsi="Times New Roman" w:cs="Times New Roman"/>
                <w:szCs w:val="24"/>
              </w:rPr>
            </w:pPr>
            <w:r w:rsidRPr="004B6753">
              <w:rPr>
                <w:rFonts w:ascii="Times New Roman" w:hAnsi="Times New Roman" w:cs="Times New Roman"/>
                <w:szCs w:val="24"/>
              </w:rPr>
              <w:t>33.14</w:t>
            </w:r>
          </w:p>
        </w:tc>
        <w:tc>
          <w:tcPr>
            <w:tcW w:w="0" w:type="auto"/>
            <w:vAlign w:val="center"/>
            <w:hideMark/>
          </w:tcPr>
          <w:p w14:paraId="21621BE0" w14:textId="77777777" w:rsidR="00812C67" w:rsidRPr="004B6753" w:rsidRDefault="00812C67" w:rsidP="004B6753">
            <w:pPr>
              <w:pStyle w:val="NoSpacing"/>
              <w:jc w:val="center"/>
              <w:rPr>
                <w:rFonts w:ascii="Times New Roman" w:hAnsi="Times New Roman" w:cs="Times New Roman"/>
                <w:szCs w:val="24"/>
              </w:rPr>
            </w:pPr>
            <w:r w:rsidRPr="004B6753">
              <w:rPr>
                <w:rFonts w:ascii="Times New Roman" w:hAnsi="Times New Roman" w:cs="Times New Roman"/>
                <w:szCs w:val="24"/>
              </w:rPr>
              <w:t>56.82</w:t>
            </w:r>
          </w:p>
        </w:tc>
      </w:tr>
      <w:tr w:rsidR="00812C67" w:rsidRPr="004B6753" w14:paraId="4172992D" w14:textId="77777777" w:rsidTr="004B6753">
        <w:trPr>
          <w:trHeight w:val="20"/>
        </w:trPr>
        <w:tc>
          <w:tcPr>
            <w:tcW w:w="1995" w:type="dxa"/>
            <w:vMerge/>
            <w:hideMark/>
          </w:tcPr>
          <w:p w14:paraId="2343B5C6" w14:textId="77777777" w:rsidR="00812C67" w:rsidRPr="004B6753" w:rsidRDefault="00812C67" w:rsidP="004B6753">
            <w:pPr>
              <w:pStyle w:val="NoSpacing"/>
              <w:rPr>
                <w:rFonts w:ascii="Times New Roman" w:hAnsi="Times New Roman" w:cs="Times New Roman"/>
                <w:szCs w:val="24"/>
              </w:rPr>
            </w:pPr>
          </w:p>
        </w:tc>
        <w:tc>
          <w:tcPr>
            <w:tcW w:w="0" w:type="auto"/>
            <w:vAlign w:val="center"/>
            <w:hideMark/>
          </w:tcPr>
          <w:p w14:paraId="77A12B1E" w14:textId="77777777" w:rsidR="00812C67" w:rsidRPr="004B6753" w:rsidRDefault="00812C67" w:rsidP="004B6753">
            <w:pPr>
              <w:pStyle w:val="NoSpacing"/>
              <w:jc w:val="center"/>
              <w:rPr>
                <w:rFonts w:ascii="Times New Roman" w:hAnsi="Times New Roman" w:cs="Times New Roman"/>
                <w:szCs w:val="24"/>
              </w:rPr>
            </w:pPr>
            <w:r w:rsidRPr="004B6753">
              <w:rPr>
                <w:rFonts w:ascii="Times New Roman" w:hAnsi="Times New Roman" w:cs="Times New Roman"/>
                <w:i/>
                <w:iCs/>
                <w:szCs w:val="24"/>
              </w:rPr>
              <w:t>(2.10)</w:t>
            </w:r>
          </w:p>
        </w:tc>
        <w:tc>
          <w:tcPr>
            <w:tcW w:w="0" w:type="auto"/>
            <w:vAlign w:val="center"/>
            <w:hideMark/>
          </w:tcPr>
          <w:p w14:paraId="7D0014F5" w14:textId="77777777" w:rsidR="00812C67" w:rsidRPr="004B6753" w:rsidRDefault="00812C67" w:rsidP="004B6753">
            <w:pPr>
              <w:pStyle w:val="NoSpacing"/>
              <w:jc w:val="center"/>
              <w:rPr>
                <w:rFonts w:ascii="Times New Roman" w:hAnsi="Times New Roman" w:cs="Times New Roman"/>
                <w:szCs w:val="24"/>
              </w:rPr>
            </w:pPr>
            <w:r w:rsidRPr="004B6753">
              <w:rPr>
                <w:rFonts w:ascii="Times New Roman" w:hAnsi="Times New Roman" w:cs="Times New Roman"/>
                <w:i/>
                <w:iCs/>
                <w:szCs w:val="24"/>
              </w:rPr>
              <w:t>(1.74)</w:t>
            </w:r>
          </w:p>
        </w:tc>
        <w:tc>
          <w:tcPr>
            <w:tcW w:w="0" w:type="auto"/>
            <w:vAlign w:val="center"/>
            <w:hideMark/>
          </w:tcPr>
          <w:p w14:paraId="0730ECF9" w14:textId="77777777" w:rsidR="00812C67" w:rsidRPr="004B6753" w:rsidRDefault="00812C67" w:rsidP="004B6753">
            <w:pPr>
              <w:pStyle w:val="NoSpacing"/>
              <w:jc w:val="center"/>
              <w:rPr>
                <w:rFonts w:ascii="Times New Roman" w:hAnsi="Times New Roman" w:cs="Times New Roman"/>
                <w:szCs w:val="24"/>
              </w:rPr>
            </w:pPr>
            <w:r w:rsidRPr="004B6753">
              <w:rPr>
                <w:rFonts w:ascii="Times New Roman" w:hAnsi="Times New Roman" w:cs="Times New Roman"/>
                <w:i/>
                <w:iCs/>
                <w:szCs w:val="24"/>
              </w:rPr>
              <w:t>(2.38)</w:t>
            </w:r>
          </w:p>
        </w:tc>
        <w:tc>
          <w:tcPr>
            <w:tcW w:w="0" w:type="auto"/>
            <w:vAlign w:val="center"/>
            <w:hideMark/>
          </w:tcPr>
          <w:p w14:paraId="7AFFCA92" w14:textId="77777777" w:rsidR="00812C67" w:rsidRPr="004B6753" w:rsidRDefault="00812C67" w:rsidP="004B6753">
            <w:pPr>
              <w:pStyle w:val="NoSpacing"/>
              <w:jc w:val="center"/>
              <w:rPr>
                <w:rFonts w:ascii="Times New Roman" w:hAnsi="Times New Roman" w:cs="Times New Roman"/>
                <w:szCs w:val="24"/>
              </w:rPr>
            </w:pPr>
            <w:r w:rsidRPr="004B6753">
              <w:rPr>
                <w:rFonts w:ascii="Times New Roman" w:hAnsi="Times New Roman" w:cs="Times New Roman"/>
                <w:i/>
                <w:iCs/>
                <w:szCs w:val="24"/>
              </w:rPr>
              <w:t>(6.86)</w:t>
            </w:r>
          </w:p>
        </w:tc>
        <w:tc>
          <w:tcPr>
            <w:tcW w:w="0" w:type="auto"/>
            <w:vAlign w:val="center"/>
            <w:hideMark/>
          </w:tcPr>
          <w:p w14:paraId="420B3322" w14:textId="77777777" w:rsidR="00812C67" w:rsidRPr="004B6753" w:rsidRDefault="00812C67" w:rsidP="004B6753">
            <w:pPr>
              <w:pStyle w:val="NoSpacing"/>
              <w:jc w:val="center"/>
              <w:rPr>
                <w:rFonts w:ascii="Times New Roman" w:hAnsi="Times New Roman" w:cs="Times New Roman"/>
                <w:szCs w:val="24"/>
              </w:rPr>
            </w:pPr>
            <w:r w:rsidRPr="004B6753">
              <w:rPr>
                <w:rFonts w:ascii="Times New Roman" w:hAnsi="Times New Roman" w:cs="Times New Roman"/>
                <w:i/>
                <w:iCs/>
                <w:szCs w:val="24"/>
              </w:rPr>
              <w:t>(2.68)</w:t>
            </w:r>
          </w:p>
        </w:tc>
        <w:tc>
          <w:tcPr>
            <w:tcW w:w="0" w:type="auto"/>
            <w:vAlign w:val="center"/>
            <w:hideMark/>
          </w:tcPr>
          <w:p w14:paraId="42B56F00" w14:textId="77777777" w:rsidR="00812C67" w:rsidRPr="004B6753" w:rsidRDefault="00812C67" w:rsidP="004B6753">
            <w:pPr>
              <w:pStyle w:val="NoSpacing"/>
              <w:jc w:val="center"/>
              <w:rPr>
                <w:rFonts w:ascii="Times New Roman" w:hAnsi="Times New Roman" w:cs="Times New Roman"/>
                <w:szCs w:val="24"/>
              </w:rPr>
            </w:pPr>
            <w:r w:rsidRPr="004B6753">
              <w:rPr>
                <w:rFonts w:ascii="Times New Roman" w:hAnsi="Times New Roman" w:cs="Times New Roman"/>
                <w:i/>
                <w:iCs/>
                <w:szCs w:val="24"/>
              </w:rPr>
              <w:t>(12.95)</w:t>
            </w:r>
          </w:p>
        </w:tc>
        <w:tc>
          <w:tcPr>
            <w:tcW w:w="0" w:type="auto"/>
            <w:vAlign w:val="center"/>
            <w:hideMark/>
          </w:tcPr>
          <w:p w14:paraId="45703010" w14:textId="77777777" w:rsidR="00812C67" w:rsidRPr="004B6753" w:rsidRDefault="00812C67" w:rsidP="004B6753">
            <w:pPr>
              <w:pStyle w:val="NoSpacing"/>
              <w:jc w:val="center"/>
              <w:rPr>
                <w:rFonts w:ascii="Times New Roman" w:hAnsi="Times New Roman" w:cs="Times New Roman"/>
                <w:szCs w:val="24"/>
              </w:rPr>
            </w:pPr>
            <w:r w:rsidRPr="004B6753">
              <w:rPr>
                <w:rFonts w:ascii="Times New Roman" w:hAnsi="Times New Roman" w:cs="Times New Roman"/>
                <w:i/>
                <w:iCs/>
                <w:szCs w:val="24"/>
              </w:rPr>
              <w:t>(4.79)</w:t>
            </w:r>
          </w:p>
        </w:tc>
        <w:tc>
          <w:tcPr>
            <w:tcW w:w="0" w:type="auto"/>
            <w:vAlign w:val="center"/>
            <w:hideMark/>
          </w:tcPr>
          <w:p w14:paraId="7BF0A037" w14:textId="77777777" w:rsidR="00812C67" w:rsidRPr="004B6753" w:rsidRDefault="00812C67" w:rsidP="004B6753">
            <w:pPr>
              <w:pStyle w:val="NoSpacing"/>
              <w:jc w:val="center"/>
              <w:rPr>
                <w:rFonts w:ascii="Times New Roman" w:hAnsi="Times New Roman" w:cs="Times New Roman"/>
                <w:szCs w:val="24"/>
              </w:rPr>
            </w:pPr>
            <w:r w:rsidRPr="004B6753">
              <w:rPr>
                <w:rFonts w:ascii="Times New Roman" w:hAnsi="Times New Roman" w:cs="Times New Roman"/>
                <w:i/>
                <w:iCs/>
                <w:szCs w:val="24"/>
              </w:rPr>
              <w:t>(1.97)</w:t>
            </w:r>
          </w:p>
        </w:tc>
        <w:tc>
          <w:tcPr>
            <w:tcW w:w="0" w:type="auto"/>
            <w:vAlign w:val="center"/>
            <w:hideMark/>
          </w:tcPr>
          <w:p w14:paraId="593F45FB" w14:textId="77777777" w:rsidR="00812C67" w:rsidRPr="004B6753" w:rsidRDefault="00812C67" w:rsidP="004B6753">
            <w:pPr>
              <w:pStyle w:val="NoSpacing"/>
              <w:jc w:val="center"/>
              <w:rPr>
                <w:rFonts w:ascii="Times New Roman" w:hAnsi="Times New Roman" w:cs="Times New Roman"/>
                <w:szCs w:val="24"/>
              </w:rPr>
            </w:pPr>
            <w:r w:rsidRPr="004B6753">
              <w:rPr>
                <w:rFonts w:ascii="Times New Roman" w:hAnsi="Times New Roman" w:cs="Times New Roman"/>
                <w:i/>
                <w:iCs/>
                <w:szCs w:val="24"/>
              </w:rPr>
              <w:t>(6.21)</w:t>
            </w:r>
          </w:p>
        </w:tc>
        <w:tc>
          <w:tcPr>
            <w:tcW w:w="0" w:type="auto"/>
            <w:vAlign w:val="center"/>
            <w:hideMark/>
          </w:tcPr>
          <w:p w14:paraId="6B6C8C84" w14:textId="77777777" w:rsidR="00812C67" w:rsidRPr="004B6753" w:rsidRDefault="00812C67" w:rsidP="004B6753">
            <w:pPr>
              <w:pStyle w:val="NoSpacing"/>
              <w:jc w:val="center"/>
              <w:rPr>
                <w:rFonts w:ascii="Times New Roman" w:hAnsi="Times New Roman" w:cs="Times New Roman"/>
                <w:szCs w:val="24"/>
              </w:rPr>
            </w:pPr>
            <w:r w:rsidRPr="004B6753">
              <w:rPr>
                <w:rFonts w:ascii="Times New Roman" w:hAnsi="Times New Roman" w:cs="Times New Roman"/>
                <w:i/>
                <w:iCs/>
                <w:szCs w:val="24"/>
              </w:rPr>
              <w:t>(58.32)</w:t>
            </w:r>
          </w:p>
        </w:tc>
        <w:tc>
          <w:tcPr>
            <w:tcW w:w="0" w:type="auto"/>
            <w:vAlign w:val="center"/>
            <w:hideMark/>
          </w:tcPr>
          <w:p w14:paraId="3E579818" w14:textId="77777777" w:rsidR="00812C67" w:rsidRPr="004B6753" w:rsidRDefault="00812C67" w:rsidP="004B6753">
            <w:pPr>
              <w:pStyle w:val="NoSpacing"/>
              <w:jc w:val="center"/>
              <w:rPr>
                <w:rFonts w:ascii="Times New Roman" w:hAnsi="Times New Roman" w:cs="Times New Roman"/>
                <w:szCs w:val="24"/>
              </w:rPr>
            </w:pPr>
            <w:r w:rsidRPr="004B6753">
              <w:rPr>
                <w:rFonts w:ascii="Times New Roman" w:hAnsi="Times New Roman" w:cs="Times New Roman"/>
                <w:i/>
                <w:iCs/>
                <w:szCs w:val="24"/>
              </w:rPr>
              <w:t>(100.00)</w:t>
            </w:r>
          </w:p>
        </w:tc>
      </w:tr>
    </w:tbl>
    <w:p w14:paraId="55AD1FF6" w14:textId="384B466C" w:rsidR="00416FA8" w:rsidRDefault="00416FA8" w:rsidP="00416FA8">
      <w:pPr>
        <w:tabs>
          <w:tab w:val="left" w:pos="7880"/>
        </w:tabs>
        <w:rPr>
          <w:rFonts w:ascii="Times New Roman" w:hAnsi="Times New Roman" w:cs="Times New Roman"/>
        </w:rPr>
      </w:pPr>
    </w:p>
    <w:p w14:paraId="0139A80C" w14:textId="6797A4EB" w:rsidR="004B6753" w:rsidRPr="007245B0" w:rsidRDefault="00574BCE" w:rsidP="004B6753">
      <w:pPr>
        <w:tabs>
          <w:tab w:val="left" w:pos="3099"/>
        </w:tabs>
        <w:jc w:val="center"/>
        <w:rPr>
          <w:rFonts w:ascii="Times New Roman" w:hAnsi="Times New Roman" w:cs="Times New Roman"/>
          <w:i/>
          <w:iCs/>
          <w:szCs w:val="24"/>
        </w:rPr>
      </w:pPr>
      <w:r>
        <w:rPr>
          <w:rFonts w:ascii="Times New Roman" w:hAnsi="Times New Roman" w:cs="Times New Roman"/>
          <w:b/>
          <w:bCs/>
          <w:szCs w:val="24"/>
        </w:rPr>
        <w:lastRenderedPageBreak/>
        <w:t>Table</w:t>
      </w:r>
      <w:r w:rsidR="004B6753" w:rsidRPr="007245B0">
        <w:rPr>
          <w:rFonts w:ascii="Times New Roman" w:hAnsi="Times New Roman" w:cs="Times New Roman"/>
          <w:b/>
          <w:bCs/>
          <w:szCs w:val="24"/>
        </w:rPr>
        <w:t xml:space="preserve"> 29: Growth and Pattern of States' Revenue Expenditure—Contd.</w:t>
      </w:r>
    </w:p>
    <w:tbl>
      <w:tblPr>
        <w:tblStyle w:val="TableGrid"/>
        <w:tblW w:w="14537" w:type="dxa"/>
        <w:tblInd w:w="-714" w:type="dxa"/>
        <w:tblLook w:val="04A0" w:firstRow="1" w:lastRow="0" w:firstColumn="1" w:lastColumn="0" w:noHBand="0" w:noVBand="1"/>
      </w:tblPr>
      <w:tblGrid>
        <w:gridCol w:w="1632"/>
        <w:gridCol w:w="1256"/>
        <w:gridCol w:w="1056"/>
        <w:gridCol w:w="1790"/>
        <w:gridCol w:w="830"/>
        <w:gridCol w:w="923"/>
        <w:gridCol w:w="1270"/>
        <w:gridCol w:w="1043"/>
        <w:gridCol w:w="910"/>
        <w:gridCol w:w="1412"/>
        <w:gridCol w:w="923"/>
        <w:gridCol w:w="1492"/>
      </w:tblGrid>
      <w:tr w:rsidR="00812C67" w:rsidRPr="004B6753" w14:paraId="3A3702FC" w14:textId="77777777" w:rsidTr="004B6753">
        <w:tc>
          <w:tcPr>
            <w:tcW w:w="1632" w:type="dxa"/>
            <w:hideMark/>
          </w:tcPr>
          <w:p w14:paraId="56409D6B" w14:textId="77777777" w:rsidR="00812C67" w:rsidRPr="004B6753" w:rsidRDefault="00812C67" w:rsidP="00B77C0B">
            <w:pPr>
              <w:pStyle w:val="NoSpacing"/>
              <w:rPr>
                <w:rFonts w:ascii="Times New Roman" w:hAnsi="Times New Roman" w:cs="Times New Roman"/>
                <w:b/>
                <w:bCs/>
                <w:szCs w:val="24"/>
              </w:rPr>
            </w:pPr>
            <w:r w:rsidRPr="004B6753">
              <w:rPr>
                <w:rFonts w:ascii="Times New Roman" w:hAnsi="Times New Roman" w:cs="Times New Roman"/>
                <w:b/>
                <w:bCs/>
                <w:szCs w:val="24"/>
              </w:rPr>
              <w:t>States/Year</w:t>
            </w:r>
          </w:p>
        </w:tc>
        <w:tc>
          <w:tcPr>
            <w:tcW w:w="0" w:type="auto"/>
            <w:gridSpan w:val="5"/>
            <w:vAlign w:val="center"/>
            <w:hideMark/>
          </w:tcPr>
          <w:p w14:paraId="07E40231" w14:textId="77777777" w:rsidR="00812C67" w:rsidRPr="004B6753" w:rsidRDefault="00812C67" w:rsidP="004B6753">
            <w:pPr>
              <w:pStyle w:val="NoSpacing"/>
              <w:jc w:val="center"/>
              <w:rPr>
                <w:rFonts w:ascii="Times New Roman" w:hAnsi="Times New Roman" w:cs="Times New Roman"/>
                <w:b/>
                <w:bCs/>
                <w:szCs w:val="24"/>
              </w:rPr>
            </w:pPr>
            <w:r w:rsidRPr="004B6753">
              <w:rPr>
                <w:rFonts w:ascii="Times New Roman" w:hAnsi="Times New Roman" w:cs="Times New Roman"/>
                <w:b/>
                <w:bCs/>
                <w:szCs w:val="24"/>
              </w:rPr>
              <w:t>Non-Developmental</w:t>
            </w:r>
          </w:p>
        </w:tc>
        <w:tc>
          <w:tcPr>
            <w:tcW w:w="0" w:type="auto"/>
            <w:gridSpan w:val="5"/>
            <w:vAlign w:val="center"/>
            <w:hideMark/>
          </w:tcPr>
          <w:p w14:paraId="5134CFFE" w14:textId="77777777" w:rsidR="00812C67" w:rsidRPr="004B6753" w:rsidRDefault="00812C67" w:rsidP="004B6753">
            <w:pPr>
              <w:pStyle w:val="NoSpacing"/>
              <w:jc w:val="center"/>
              <w:rPr>
                <w:rFonts w:ascii="Times New Roman" w:hAnsi="Times New Roman" w:cs="Times New Roman"/>
                <w:b/>
                <w:bCs/>
                <w:szCs w:val="24"/>
              </w:rPr>
            </w:pPr>
            <w:r w:rsidRPr="004B6753">
              <w:rPr>
                <w:rFonts w:ascii="Times New Roman" w:hAnsi="Times New Roman" w:cs="Times New Roman"/>
                <w:b/>
                <w:bCs/>
                <w:szCs w:val="24"/>
              </w:rPr>
              <w:t>Developmental</w:t>
            </w:r>
          </w:p>
        </w:tc>
        <w:tc>
          <w:tcPr>
            <w:tcW w:w="0" w:type="auto"/>
            <w:vMerge w:val="restart"/>
            <w:vAlign w:val="center"/>
            <w:hideMark/>
          </w:tcPr>
          <w:p w14:paraId="721C13F8" w14:textId="77777777" w:rsidR="00812C67" w:rsidRPr="004B6753" w:rsidRDefault="00812C67" w:rsidP="004B6753">
            <w:pPr>
              <w:pStyle w:val="NoSpacing"/>
              <w:jc w:val="center"/>
              <w:rPr>
                <w:rFonts w:ascii="Times New Roman" w:hAnsi="Times New Roman" w:cs="Times New Roman"/>
                <w:b/>
                <w:bCs/>
                <w:szCs w:val="24"/>
              </w:rPr>
            </w:pPr>
            <w:r w:rsidRPr="004B6753">
              <w:rPr>
                <w:rFonts w:ascii="Times New Roman" w:hAnsi="Times New Roman" w:cs="Times New Roman"/>
                <w:b/>
                <w:bCs/>
                <w:szCs w:val="24"/>
              </w:rPr>
              <w:t>Total Revenue Expenditure</w:t>
            </w:r>
          </w:p>
        </w:tc>
      </w:tr>
      <w:tr w:rsidR="00812C67" w:rsidRPr="004B6753" w14:paraId="4D221903" w14:textId="77777777" w:rsidTr="004B6753">
        <w:tc>
          <w:tcPr>
            <w:tcW w:w="1632" w:type="dxa"/>
            <w:hideMark/>
          </w:tcPr>
          <w:p w14:paraId="6B7A5AFB" w14:textId="77777777" w:rsidR="00812C67" w:rsidRPr="004B6753" w:rsidRDefault="00812C67" w:rsidP="00B77C0B">
            <w:pPr>
              <w:pStyle w:val="NoSpacing"/>
              <w:rPr>
                <w:rFonts w:ascii="Times New Roman" w:hAnsi="Times New Roman" w:cs="Times New Roman"/>
                <w:b/>
                <w:bCs/>
                <w:szCs w:val="24"/>
              </w:rPr>
            </w:pPr>
          </w:p>
        </w:tc>
        <w:tc>
          <w:tcPr>
            <w:tcW w:w="0" w:type="auto"/>
            <w:vAlign w:val="center"/>
            <w:hideMark/>
          </w:tcPr>
          <w:p w14:paraId="50013C6E" w14:textId="77777777" w:rsidR="00812C67" w:rsidRPr="004B6753" w:rsidRDefault="00812C67" w:rsidP="004B6753">
            <w:pPr>
              <w:pStyle w:val="NoSpacing"/>
              <w:jc w:val="center"/>
              <w:rPr>
                <w:rFonts w:ascii="Times New Roman" w:hAnsi="Times New Roman" w:cs="Times New Roman"/>
                <w:b/>
                <w:bCs/>
                <w:szCs w:val="24"/>
              </w:rPr>
            </w:pPr>
            <w:r w:rsidRPr="004B6753">
              <w:rPr>
                <w:rFonts w:ascii="Times New Roman" w:hAnsi="Times New Roman" w:cs="Times New Roman"/>
                <w:b/>
                <w:bCs/>
                <w:szCs w:val="24"/>
              </w:rPr>
              <w:t>Tax Collection Charges</w:t>
            </w:r>
          </w:p>
        </w:tc>
        <w:tc>
          <w:tcPr>
            <w:tcW w:w="0" w:type="auto"/>
            <w:vAlign w:val="center"/>
            <w:hideMark/>
          </w:tcPr>
          <w:p w14:paraId="5A781B81" w14:textId="77777777" w:rsidR="00812C67" w:rsidRPr="004B6753" w:rsidRDefault="00812C67" w:rsidP="004B6753">
            <w:pPr>
              <w:pStyle w:val="NoSpacing"/>
              <w:jc w:val="center"/>
              <w:rPr>
                <w:rFonts w:ascii="Times New Roman" w:hAnsi="Times New Roman" w:cs="Times New Roman"/>
                <w:b/>
                <w:bCs/>
                <w:szCs w:val="24"/>
              </w:rPr>
            </w:pPr>
            <w:r w:rsidRPr="004B6753">
              <w:rPr>
                <w:rFonts w:ascii="Times New Roman" w:hAnsi="Times New Roman" w:cs="Times New Roman"/>
                <w:b/>
                <w:bCs/>
                <w:szCs w:val="24"/>
              </w:rPr>
              <w:t>Debt Services</w:t>
            </w:r>
          </w:p>
        </w:tc>
        <w:tc>
          <w:tcPr>
            <w:tcW w:w="0" w:type="auto"/>
            <w:vAlign w:val="center"/>
            <w:hideMark/>
          </w:tcPr>
          <w:p w14:paraId="4CC41202" w14:textId="77777777" w:rsidR="00812C67" w:rsidRPr="004B6753" w:rsidRDefault="00812C67" w:rsidP="004B6753">
            <w:pPr>
              <w:pStyle w:val="NoSpacing"/>
              <w:jc w:val="center"/>
              <w:rPr>
                <w:rFonts w:ascii="Times New Roman" w:hAnsi="Times New Roman" w:cs="Times New Roman"/>
                <w:b/>
                <w:bCs/>
                <w:szCs w:val="24"/>
              </w:rPr>
            </w:pPr>
            <w:r w:rsidRPr="004B6753">
              <w:rPr>
                <w:rFonts w:ascii="Times New Roman" w:hAnsi="Times New Roman" w:cs="Times New Roman"/>
                <w:b/>
                <w:bCs/>
                <w:szCs w:val="24"/>
              </w:rPr>
              <w:t>General Administration</w:t>
            </w:r>
          </w:p>
        </w:tc>
        <w:tc>
          <w:tcPr>
            <w:tcW w:w="0" w:type="auto"/>
            <w:vAlign w:val="center"/>
            <w:hideMark/>
          </w:tcPr>
          <w:p w14:paraId="18F3B105" w14:textId="77777777" w:rsidR="00812C67" w:rsidRPr="004B6753" w:rsidRDefault="00812C67" w:rsidP="004B6753">
            <w:pPr>
              <w:pStyle w:val="NoSpacing"/>
              <w:jc w:val="center"/>
              <w:rPr>
                <w:rFonts w:ascii="Times New Roman" w:hAnsi="Times New Roman" w:cs="Times New Roman"/>
                <w:b/>
                <w:bCs/>
                <w:szCs w:val="24"/>
              </w:rPr>
            </w:pPr>
            <w:r w:rsidRPr="004B6753">
              <w:rPr>
                <w:rFonts w:ascii="Times New Roman" w:hAnsi="Times New Roman" w:cs="Times New Roman"/>
                <w:b/>
                <w:bCs/>
                <w:szCs w:val="24"/>
              </w:rPr>
              <w:t>Police</w:t>
            </w:r>
          </w:p>
        </w:tc>
        <w:tc>
          <w:tcPr>
            <w:tcW w:w="0" w:type="auto"/>
            <w:vAlign w:val="center"/>
            <w:hideMark/>
          </w:tcPr>
          <w:p w14:paraId="57DABB92" w14:textId="77777777" w:rsidR="00812C67" w:rsidRPr="004B6753" w:rsidRDefault="00812C67" w:rsidP="004B6753">
            <w:pPr>
              <w:pStyle w:val="NoSpacing"/>
              <w:jc w:val="center"/>
              <w:rPr>
                <w:rFonts w:ascii="Times New Roman" w:hAnsi="Times New Roman" w:cs="Times New Roman"/>
                <w:b/>
                <w:bCs/>
                <w:szCs w:val="24"/>
              </w:rPr>
            </w:pPr>
            <w:r w:rsidRPr="004B6753">
              <w:rPr>
                <w:rFonts w:ascii="Times New Roman" w:hAnsi="Times New Roman" w:cs="Times New Roman"/>
                <w:b/>
                <w:bCs/>
                <w:szCs w:val="24"/>
              </w:rPr>
              <w:t>Others</w:t>
            </w:r>
          </w:p>
        </w:tc>
        <w:tc>
          <w:tcPr>
            <w:tcW w:w="0" w:type="auto"/>
            <w:vAlign w:val="center"/>
            <w:hideMark/>
          </w:tcPr>
          <w:p w14:paraId="7D5AB710" w14:textId="77777777" w:rsidR="00812C67" w:rsidRPr="004B6753" w:rsidRDefault="00812C67" w:rsidP="004B6753">
            <w:pPr>
              <w:pStyle w:val="NoSpacing"/>
              <w:jc w:val="center"/>
              <w:rPr>
                <w:rFonts w:ascii="Times New Roman" w:hAnsi="Times New Roman" w:cs="Times New Roman"/>
                <w:b/>
                <w:bCs/>
                <w:szCs w:val="24"/>
              </w:rPr>
            </w:pPr>
            <w:r w:rsidRPr="004B6753">
              <w:rPr>
                <w:rFonts w:ascii="Times New Roman" w:hAnsi="Times New Roman" w:cs="Times New Roman"/>
                <w:b/>
                <w:bCs/>
                <w:szCs w:val="24"/>
              </w:rPr>
              <w:t>Education</w:t>
            </w:r>
          </w:p>
        </w:tc>
        <w:tc>
          <w:tcPr>
            <w:tcW w:w="0" w:type="auto"/>
            <w:vAlign w:val="center"/>
            <w:hideMark/>
          </w:tcPr>
          <w:p w14:paraId="1C2DD7A7" w14:textId="77777777" w:rsidR="00812C67" w:rsidRPr="004B6753" w:rsidRDefault="00812C67" w:rsidP="004B6753">
            <w:pPr>
              <w:pStyle w:val="NoSpacing"/>
              <w:jc w:val="center"/>
              <w:rPr>
                <w:rFonts w:ascii="Times New Roman" w:hAnsi="Times New Roman" w:cs="Times New Roman"/>
                <w:b/>
                <w:bCs/>
                <w:szCs w:val="24"/>
              </w:rPr>
            </w:pPr>
            <w:r w:rsidRPr="004B6753">
              <w:rPr>
                <w:rFonts w:ascii="Times New Roman" w:hAnsi="Times New Roman" w:cs="Times New Roman"/>
                <w:b/>
                <w:bCs/>
                <w:szCs w:val="24"/>
              </w:rPr>
              <w:t>Medical</w:t>
            </w:r>
          </w:p>
        </w:tc>
        <w:tc>
          <w:tcPr>
            <w:tcW w:w="0" w:type="auto"/>
            <w:vAlign w:val="center"/>
            <w:hideMark/>
          </w:tcPr>
          <w:p w14:paraId="25B6D871" w14:textId="77777777" w:rsidR="00812C67" w:rsidRPr="004B6753" w:rsidRDefault="00812C67" w:rsidP="004B6753">
            <w:pPr>
              <w:pStyle w:val="NoSpacing"/>
              <w:jc w:val="center"/>
              <w:rPr>
                <w:rFonts w:ascii="Times New Roman" w:hAnsi="Times New Roman" w:cs="Times New Roman"/>
                <w:b/>
                <w:bCs/>
                <w:szCs w:val="24"/>
              </w:rPr>
            </w:pPr>
            <w:r w:rsidRPr="004B6753">
              <w:rPr>
                <w:rFonts w:ascii="Times New Roman" w:hAnsi="Times New Roman" w:cs="Times New Roman"/>
                <w:b/>
                <w:bCs/>
                <w:szCs w:val="24"/>
              </w:rPr>
              <w:t>Public Health</w:t>
            </w:r>
          </w:p>
        </w:tc>
        <w:tc>
          <w:tcPr>
            <w:tcW w:w="0" w:type="auto"/>
            <w:vAlign w:val="center"/>
            <w:hideMark/>
          </w:tcPr>
          <w:p w14:paraId="729A386C" w14:textId="77777777" w:rsidR="00812C67" w:rsidRPr="004B6753" w:rsidRDefault="00812C67" w:rsidP="004B6753">
            <w:pPr>
              <w:pStyle w:val="NoSpacing"/>
              <w:jc w:val="center"/>
              <w:rPr>
                <w:rFonts w:ascii="Times New Roman" w:hAnsi="Times New Roman" w:cs="Times New Roman"/>
                <w:b/>
                <w:bCs/>
                <w:szCs w:val="24"/>
              </w:rPr>
            </w:pPr>
            <w:r w:rsidRPr="004B6753">
              <w:rPr>
                <w:rFonts w:ascii="Times New Roman" w:hAnsi="Times New Roman" w:cs="Times New Roman"/>
                <w:b/>
                <w:bCs/>
                <w:szCs w:val="24"/>
              </w:rPr>
              <w:t>Agriculture &amp; Animal Husbandry</w:t>
            </w:r>
          </w:p>
        </w:tc>
        <w:tc>
          <w:tcPr>
            <w:tcW w:w="0" w:type="auto"/>
            <w:vAlign w:val="center"/>
            <w:hideMark/>
          </w:tcPr>
          <w:p w14:paraId="21736B1E" w14:textId="77777777" w:rsidR="00812C67" w:rsidRPr="004B6753" w:rsidRDefault="00812C67" w:rsidP="004B6753">
            <w:pPr>
              <w:pStyle w:val="NoSpacing"/>
              <w:jc w:val="center"/>
              <w:rPr>
                <w:rFonts w:ascii="Times New Roman" w:hAnsi="Times New Roman" w:cs="Times New Roman"/>
                <w:b/>
                <w:bCs/>
                <w:szCs w:val="24"/>
              </w:rPr>
            </w:pPr>
            <w:r w:rsidRPr="004B6753">
              <w:rPr>
                <w:rFonts w:ascii="Times New Roman" w:hAnsi="Times New Roman" w:cs="Times New Roman"/>
                <w:b/>
                <w:bCs/>
                <w:szCs w:val="24"/>
              </w:rPr>
              <w:t>Others</w:t>
            </w:r>
          </w:p>
        </w:tc>
        <w:tc>
          <w:tcPr>
            <w:tcW w:w="0" w:type="auto"/>
            <w:vMerge/>
            <w:hideMark/>
          </w:tcPr>
          <w:p w14:paraId="63E11651" w14:textId="77777777" w:rsidR="00812C67" w:rsidRPr="004B6753" w:rsidRDefault="00812C67" w:rsidP="00B77C0B">
            <w:pPr>
              <w:pStyle w:val="NoSpacing"/>
              <w:rPr>
                <w:rFonts w:ascii="Times New Roman" w:hAnsi="Times New Roman" w:cs="Times New Roman"/>
                <w:szCs w:val="24"/>
              </w:rPr>
            </w:pPr>
          </w:p>
        </w:tc>
      </w:tr>
      <w:tr w:rsidR="00416FA8" w:rsidRPr="004B6753" w14:paraId="54686966" w14:textId="77777777" w:rsidTr="004B6753">
        <w:tc>
          <w:tcPr>
            <w:tcW w:w="1632" w:type="dxa"/>
            <w:hideMark/>
          </w:tcPr>
          <w:p w14:paraId="30265E09" w14:textId="77777777" w:rsidR="00416FA8" w:rsidRPr="004B6753" w:rsidRDefault="00416FA8" w:rsidP="00B77C0B">
            <w:pPr>
              <w:pStyle w:val="NoSpacing"/>
              <w:rPr>
                <w:rFonts w:ascii="Times New Roman" w:hAnsi="Times New Roman" w:cs="Times New Roman"/>
                <w:szCs w:val="24"/>
              </w:rPr>
            </w:pPr>
            <w:r w:rsidRPr="004B6753">
              <w:rPr>
                <w:rFonts w:ascii="Times New Roman" w:hAnsi="Times New Roman" w:cs="Times New Roman"/>
                <w:szCs w:val="24"/>
              </w:rPr>
              <w:t>Kerala</w:t>
            </w:r>
          </w:p>
        </w:tc>
        <w:tc>
          <w:tcPr>
            <w:tcW w:w="0" w:type="auto"/>
            <w:hideMark/>
          </w:tcPr>
          <w:p w14:paraId="4AF23FDB" w14:textId="77777777" w:rsidR="00416FA8" w:rsidRPr="004B6753" w:rsidRDefault="00416FA8" w:rsidP="00B77C0B">
            <w:pPr>
              <w:pStyle w:val="NoSpacing"/>
              <w:rPr>
                <w:rFonts w:ascii="Times New Roman" w:hAnsi="Times New Roman" w:cs="Times New Roman"/>
                <w:szCs w:val="24"/>
              </w:rPr>
            </w:pPr>
          </w:p>
        </w:tc>
        <w:tc>
          <w:tcPr>
            <w:tcW w:w="0" w:type="auto"/>
            <w:hideMark/>
          </w:tcPr>
          <w:p w14:paraId="4A88A46D" w14:textId="77777777" w:rsidR="00416FA8" w:rsidRPr="004B6753" w:rsidRDefault="00416FA8" w:rsidP="00B77C0B">
            <w:pPr>
              <w:pStyle w:val="NoSpacing"/>
              <w:rPr>
                <w:rFonts w:ascii="Times New Roman" w:hAnsi="Times New Roman" w:cs="Times New Roman"/>
                <w:szCs w:val="24"/>
              </w:rPr>
            </w:pPr>
          </w:p>
        </w:tc>
        <w:tc>
          <w:tcPr>
            <w:tcW w:w="0" w:type="auto"/>
            <w:hideMark/>
          </w:tcPr>
          <w:p w14:paraId="7718CAB4" w14:textId="77777777" w:rsidR="00416FA8" w:rsidRPr="004B6753" w:rsidRDefault="00416FA8" w:rsidP="00B77C0B">
            <w:pPr>
              <w:pStyle w:val="NoSpacing"/>
              <w:rPr>
                <w:rFonts w:ascii="Times New Roman" w:hAnsi="Times New Roman" w:cs="Times New Roman"/>
                <w:szCs w:val="24"/>
              </w:rPr>
            </w:pPr>
          </w:p>
        </w:tc>
        <w:tc>
          <w:tcPr>
            <w:tcW w:w="0" w:type="auto"/>
            <w:hideMark/>
          </w:tcPr>
          <w:p w14:paraId="0D2544D1" w14:textId="77777777" w:rsidR="00416FA8" w:rsidRPr="004B6753" w:rsidRDefault="00416FA8" w:rsidP="00B77C0B">
            <w:pPr>
              <w:pStyle w:val="NoSpacing"/>
              <w:rPr>
                <w:rFonts w:ascii="Times New Roman" w:hAnsi="Times New Roman" w:cs="Times New Roman"/>
                <w:szCs w:val="24"/>
              </w:rPr>
            </w:pPr>
          </w:p>
        </w:tc>
        <w:tc>
          <w:tcPr>
            <w:tcW w:w="0" w:type="auto"/>
            <w:hideMark/>
          </w:tcPr>
          <w:p w14:paraId="69CDCF47" w14:textId="77777777" w:rsidR="00416FA8" w:rsidRPr="004B6753" w:rsidRDefault="00416FA8" w:rsidP="00B77C0B">
            <w:pPr>
              <w:pStyle w:val="NoSpacing"/>
              <w:rPr>
                <w:rFonts w:ascii="Times New Roman" w:hAnsi="Times New Roman" w:cs="Times New Roman"/>
                <w:szCs w:val="24"/>
              </w:rPr>
            </w:pPr>
          </w:p>
        </w:tc>
        <w:tc>
          <w:tcPr>
            <w:tcW w:w="0" w:type="auto"/>
            <w:hideMark/>
          </w:tcPr>
          <w:p w14:paraId="1795D054" w14:textId="77777777" w:rsidR="00416FA8" w:rsidRPr="004B6753" w:rsidRDefault="00416FA8" w:rsidP="00B77C0B">
            <w:pPr>
              <w:pStyle w:val="NoSpacing"/>
              <w:rPr>
                <w:rFonts w:ascii="Times New Roman" w:hAnsi="Times New Roman" w:cs="Times New Roman"/>
                <w:szCs w:val="24"/>
              </w:rPr>
            </w:pPr>
          </w:p>
        </w:tc>
        <w:tc>
          <w:tcPr>
            <w:tcW w:w="0" w:type="auto"/>
            <w:hideMark/>
          </w:tcPr>
          <w:p w14:paraId="6965F1D1" w14:textId="77777777" w:rsidR="00416FA8" w:rsidRPr="004B6753" w:rsidRDefault="00416FA8" w:rsidP="00B77C0B">
            <w:pPr>
              <w:pStyle w:val="NoSpacing"/>
              <w:rPr>
                <w:rFonts w:ascii="Times New Roman" w:hAnsi="Times New Roman" w:cs="Times New Roman"/>
                <w:szCs w:val="24"/>
              </w:rPr>
            </w:pPr>
          </w:p>
        </w:tc>
        <w:tc>
          <w:tcPr>
            <w:tcW w:w="0" w:type="auto"/>
            <w:hideMark/>
          </w:tcPr>
          <w:p w14:paraId="06FACDD3" w14:textId="77777777" w:rsidR="00416FA8" w:rsidRPr="004B6753" w:rsidRDefault="00416FA8" w:rsidP="00B77C0B">
            <w:pPr>
              <w:pStyle w:val="NoSpacing"/>
              <w:rPr>
                <w:rFonts w:ascii="Times New Roman" w:hAnsi="Times New Roman" w:cs="Times New Roman"/>
                <w:szCs w:val="24"/>
              </w:rPr>
            </w:pPr>
          </w:p>
        </w:tc>
        <w:tc>
          <w:tcPr>
            <w:tcW w:w="0" w:type="auto"/>
            <w:hideMark/>
          </w:tcPr>
          <w:p w14:paraId="5EB6C488" w14:textId="77777777" w:rsidR="00416FA8" w:rsidRPr="004B6753" w:rsidRDefault="00416FA8" w:rsidP="00B77C0B">
            <w:pPr>
              <w:pStyle w:val="NoSpacing"/>
              <w:rPr>
                <w:rFonts w:ascii="Times New Roman" w:hAnsi="Times New Roman" w:cs="Times New Roman"/>
                <w:szCs w:val="24"/>
              </w:rPr>
            </w:pPr>
          </w:p>
        </w:tc>
        <w:tc>
          <w:tcPr>
            <w:tcW w:w="0" w:type="auto"/>
            <w:hideMark/>
          </w:tcPr>
          <w:p w14:paraId="249E8E0B" w14:textId="77777777" w:rsidR="00416FA8" w:rsidRPr="004B6753" w:rsidRDefault="00416FA8" w:rsidP="00B77C0B">
            <w:pPr>
              <w:pStyle w:val="NoSpacing"/>
              <w:rPr>
                <w:rFonts w:ascii="Times New Roman" w:hAnsi="Times New Roman" w:cs="Times New Roman"/>
                <w:szCs w:val="24"/>
              </w:rPr>
            </w:pPr>
          </w:p>
        </w:tc>
        <w:tc>
          <w:tcPr>
            <w:tcW w:w="0" w:type="auto"/>
            <w:hideMark/>
          </w:tcPr>
          <w:p w14:paraId="71BC0067" w14:textId="77777777" w:rsidR="00416FA8" w:rsidRPr="004B6753" w:rsidRDefault="00416FA8" w:rsidP="00B77C0B">
            <w:pPr>
              <w:pStyle w:val="NoSpacing"/>
              <w:rPr>
                <w:rFonts w:ascii="Times New Roman" w:hAnsi="Times New Roman" w:cs="Times New Roman"/>
                <w:szCs w:val="24"/>
              </w:rPr>
            </w:pPr>
          </w:p>
        </w:tc>
      </w:tr>
      <w:tr w:rsidR="00812C67" w:rsidRPr="004B6753" w14:paraId="4BA72EE8" w14:textId="77777777" w:rsidTr="004B6753">
        <w:tc>
          <w:tcPr>
            <w:tcW w:w="1632" w:type="dxa"/>
            <w:vMerge w:val="restart"/>
            <w:hideMark/>
          </w:tcPr>
          <w:p w14:paraId="44A0632B" w14:textId="77777777" w:rsidR="00812C67" w:rsidRPr="004B6753" w:rsidRDefault="00812C67" w:rsidP="00B77C0B">
            <w:pPr>
              <w:pStyle w:val="NoSpacing"/>
              <w:rPr>
                <w:rFonts w:ascii="Times New Roman" w:hAnsi="Times New Roman" w:cs="Times New Roman"/>
                <w:szCs w:val="24"/>
              </w:rPr>
            </w:pPr>
            <w:r w:rsidRPr="004B6753">
              <w:rPr>
                <w:rFonts w:ascii="Times New Roman" w:hAnsi="Times New Roman" w:cs="Times New Roman"/>
                <w:szCs w:val="24"/>
              </w:rPr>
              <w:t>1961-62</w:t>
            </w:r>
          </w:p>
        </w:tc>
        <w:tc>
          <w:tcPr>
            <w:tcW w:w="0" w:type="auto"/>
            <w:vAlign w:val="center"/>
            <w:hideMark/>
          </w:tcPr>
          <w:p w14:paraId="58093ECA" w14:textId="77777777" w:rsidR="00812C67" w:rsidRPr="004B6753" w:rsidRDefault="00812C67" w:rsidP="004B6753">
            <w:pPr>
              <w:pStyle w:val="NoSpacing"/>
              <w:jc w:val="center"/>
              <w:rPr>
                <w:rFonts w:ascii="Times New Roman" w:hAnsi="Times New Roman" w:cs="Times New Roman"/>
                <w:szCs w:val="24"/>
              </w:rPr>
            </w:pPr>
            <w:r w:rsidRPr="004B6753">
              <w:rPr>
                <w:rFonts w:ascii="Times New Roman" w:hAnsi="Times New Roman" w:cs="Times New Roman"/>
                <w:szCs w:val="24"/>
              </w:rPr>
              <w:t>3.00</w:t>
            </w:r>
          </w:p>
        </w:tc>
        <w:tc>
          <w:tcPr>
            <w:tcW w:w="0" w:type="auto"/>
            <w:vAlign w:val="center"/>
            <w:hideMark/>
          </w:tcPr>
          <w:p w14:paraId="75BAA0DF" w14:textId="77777777" w:rsidR="00812C67" w:rsidRPr="004B6753" w:rsidRDefault="00812C67" w:rsidP="004B6753">
            <w:pPr>
              <w:pStyle w:val="NoSpacing"/>
              <w:jc w:val="center"/>
              <w:rPr>
                <w:rFonts w:ascii="Times New Roman" w:hAnsi="Times New Roman" w:cs="Times New Roman"/>
                <w:szCs w:val="24"/>
              </w:rPr>
            </w:pPr>
            <w:r w:rsidRPr="004B6753">
              <w:rPr>
                <w:rFonts w:ascii="Times New Roman" w:hAnsi="Times New Roman" w:cs="Times New Roman"/>
                <w:szCs w:val="24"/>
              </w:rPr>
              <w:t>3.93</w:t>
            </w:r>
          </w:p>
        </w:tc>
        <w:tc>
          <w:tcPr>
            <w:tcW w:w="0" w:type="auto"/>
            <w:vAlign w:val="center"/>
            <w:hideMark/>
          </w:tcPr>
          <w:p w14:paraId="13BA94E2" w14:textId="77777777" w:rsidR="00812C67" w:rsidRPr="004B6753" w:rsidRDefault="00812C67" w:rsidP="004B6753">
            <w:pPr>
              <w:pStyle w:val="NoSpacing"/>
              <w:jc w:val="center"/>
              <w:rPr>
                <w:rFonts w:ascii="Times New Roman" w:hAnsi="Times New Roman" w:cs="Times New Roman"/>
                <w:szCs w:val="24"/>
              </w:rPr>
            </w:pPr>
            <w:r w:rsidRPr="004B6753">
              <w:rPr>
                <w:rFonts w:ascii="Times New Roman" w:hAnsi="Times New Roman" w:cs="Times New Roman"/>
                <w:szCs w:val="24"/>
              </w:rPr>
              <w:t>1.78</w:t>
            </w:r>
          </w:p>
        </w:tc>
        <w:tc>
          <w:tcPr>
            <w:tcW w:w="0" w:type="auto"/>
            <w:vAlign w:val="center"/>
            <w:hideMark/>
          </w:tcPr>
          <w:p w14:paraId="77EE5DF7" w14:textId="77777777" w:rsidR="00812C67" w:rsidRPr="004B6753" w:rsidRDefault="00812C67" w:rsidP="004B6753">
            <w:pPr>
              <w:pStyle w:val="NoSpacing"/>
              <w:jc w:val="center"/>
              <w:rPr>
                <w:rFonts w:ascii="Times New Roman" w:hAnsi="Times New Roman" w:cs="Times New Roman"/>
                <w:szCs w:val="24"/>
              </w:rPr>
            </w:pPr>
            <w:r w:rsidRPr="004B6753">
              <w:rPr>
                <w:rFonts w:ascii="Times New Roman" w:hAnsi="Times New Roman" w:cs="Times New Roman"/>
                <w:szCs w:val="24"/>
              </w:rPr>
              <w:t>2.61</w:t>
            </w:r>
          </w:p>
        </w:tc>
        <w:tc>
          <w:tcPr>
            <w:tcW w:w="0" w:type="auto"/>
            <w:vAlign w:val="center"/>
            <w:hideMark/>
          </w:tcPr>
          <w:p w14:paraId="0E97D1F5" w14:textId="77777777" w:rsidR="00812C67" w:rsidRPr="004B6753" w:rsidRDefault="00812C67" w:rsidP="004B6753">
            <w:pPr>
              <w:pStyle w:val="NoSpacing"/>
              <w:jc w:val="center"/>
              <w:rPr>
                <w:rFonts w:ascii="Times New Roman" w:hAnsi="Times New Roman" w:cs="Times New Roman"/>
                <w:szCs w:val="24"/>
              </w:rPr>
            </w:pPr>
            <w:r w:rsidRPr="004B6753">
              <w:rPr>
                <w:rFonts w:ascii="Times New Roman" w:hAnsi="Times New Roman" w:cs="Times New Roman"/>
                <w:szCs w:val="24"/>
              </w:rPr>
              <w:t>1.34</w:t>
            </w:r>
          </w:p>
        </w:tc>
        <w:tc>
          <w:tcPr>
            <w:tcW w:w="0" w:type="auto"/>
            <w:vAlign w:val="center"/>
            <w:hideMark/>
          </w:tcPr>
          <w:p w14:paraId="715E55FA" w14:textId="77777777" w:rsidR="00812C67" w:rsidRPr="004B6753" w:rsidRDefault="00812C67" w:rsidP="004B6753">
            <w:pPr>
              <w:pStyle w:val="NoSpacing"/>
              <w:jc w:val="center"/>
              <w:rPr>
                <w:rFonts w:ascii="Times New Roman" w:hAnsi="Times New Roman" w:cs="Times New Roman"/>
                <w:szCs w:val="24"/>
              </w:rPr>
            </w:pPr>
            <w:r w:rsidRPr="004B6753">
              <w:rPr>
                <w:rFonts w:ascii="Times New Roman" w:hAnsi="Times New Roman" w:cs="Times New Roman"/>
                <w:szCs w:val="24"/>
              </w:rPr>
              <w:t>18.55</w:t>
            </w:r>
          </w:p>
        </w:tc>
        <w:tc>
          <w:tcPr>
            <w:tcW w:w="0" w:type="auto"/>
            <w:vAlign w:val="center"/>
            <w:hideMark/>
          </w:tcPr>
          <w:p w14:paraId="4B155DF1" w14:textId="77777777" w:rsidR="00812C67" w:rsidRPr="004B6753" w:rsidRDefault="00812C67" w:rsidP="004B6753">
            <w:pPr>
              <w:pStyle w:val="NoSpacing"/>
              <w:jc w:val="center"/>
              <w:rPr>
                <w:rFonts w:ascii="Times New Roman" w:hAnsi="Times New Roman" w:cs="Times New Roman"/>
                <w:szCs w:val="24"/>
              </w:rPr>
            </w:pPr>
            <w:r w:rsidRPr="004B6753">
              <w:rPr>
                <w:rFonts w:ascii="Times New Roman" w:hAnsi="Times New Roman" w:cs="Times New Roman"/>
                <w:szCs w:val="24"/>
              </w:rPr>
              <w:t>3.22</w:t>
            </w:r>
          </w:p>
        </w:tc>
        <w:tc>
          <w:tcPr>
            <w:tcW w:w="0" w:type="auto"/>
            <w:vAlign w:val="center"/>
            <w:hideMark/>
          </w:tcPr>
          <w:p w14:paraId="0DC1C5CA" w14:textId="77777777" w:rsidR="00812C67" w:rsidRPr="004B6753" w:rsidRDefault="00812C67" w:rsidP="004B6753">
            <w:pPr>
              <w:pStyle w:val="NoSpacing"/>
              <w:jc w:val="center"/>
              <w:rPr>
                <w:rFonts w:ascii="Times New Roman" w:hAnsi="Times New Roman" w:cs="Times New Roman"/>
                <w:szCs w:val="24"/>
              </w:rPr>
            </w:pPr>
            <w:r w:rsidRPr="004B6753">
              <w:rPr>
                <w:rFonts w:ascii="Times New Roman" w:hAnsi="Times New Roman" w:cs="Times New Roman"/>
                <w:szCs w:val="24"/>
              </w:rPr>
              <w:t>2.14</w:t>
            </w:r>
          </w:p>
        </w:tc>
        <w:tc>
          <w:tcPr>
            <w:tcW w:w="0" w:type="auto"/>
            <w:vAlign w:val="center"/>
            <w:hideMark/>
          </w:tcPr>
          <w:p w14:paraId="5DCD84B0" w14:textId="77777777" w:rsidR="00812C67" w:rsidRPr="004B6753" w:rsidRDefault="00812C67" w:rsidP="004B6753">
            <w:pPr>
              <w:pStyle w:val="NoSpacing"/>
              <w:jc w:val="center"/>
              <w:rPr>
                <w:rFonts w:ascii="Times New Roman" w:hAnsi="Times New Roman" w:cs="Times New Roman"/>
                <w:szCs w:val="24"/>
              </w:rPr>
            </w:pPr>
            <w:r w:rsidRPr="004B6753">
              <w:rPr>
                <w:rFonts w:ascii="Times New Roman" w:hAnsi="Times New Roman" w:cs="Times New Roman"/>
                <w:szCs w:val="24"/>
              </w:rPr>
              <w:t>2.46</w:t>
            </w:r>
          </w:p>
        </w:tc>
        <w:tc>
          <w:tcPr>
            <w:tcW w:w="0" w:type="auto"/>
            <w:vAlign w:val="center"/>
            <w:hideMark/>
          </w:tcPr>
          <w:p w14:paraId="30683785" w14:textId="77777777" w:rsidR="00812C67" w:rsidRPr="004B6753" w:rsidRDefault="00812C67" w:rsidP="004B6753">
            <w:pPr>
              <w:pStyle w:val="NoSpacing"/>
              <w:jc w:val="center"/>
              <w:rPr>
                <w:rFonts w:ascii="Times New Roman" w:hAnsi="Times New Roman" w:cs="Times New Roman"/>
                <w:szCs w:val="24"/>
              </w:rPr>
            </w:pPr>
            <w:r w:rsidRPr="004B6753">
              <w:rPr>
                <w:rFonts w:ascii="Times New Roman" w:hAnsi="Times New Roman" w:cs="Times New Roman"/>
                <w:szCs w:val="24"/>
              </w:rPr>
              <w:t>20.31</w:t>
            </w:r>
          </w:p>
        </w:tc>
        <w:tc>
          <w:tcPr>
            <w:tcW w:w="0" w:type="auto"/>
            <w:vAlign w:val="center"/>
            <w:hideMark/>
          </w:tcPr>
          <w:p w14:paraId="2926AC27" w14:textId="77777777" w:rsidR="00812C67" w:rsidRPr="004B6753" w:rsidRDefault="00812C67" w:rsidP="004B6753">
            <w:pPr>
              <w:pStyle w:val="NoSpacing"/>
              <w:jc w:val="center"/>
              <w:rPr>
                <w:rFonts w:ascii="Times New Roman" w:hAnsi="Times New Roman" w:cs="Times New Roman"/>
                <w:szCs w:val="24"/>
              </w:rPr>
            </w:pPr>
            <w:r w:rsidRPr="004B6753">
              <w:rPr>
                <w:rFonts w:ascii="Times New Roman" w:hAnsi="Times New Roman" w:cs="Times New Roman"/>
                <w:szCs w:val="24"/>
              </w:rPr>
              <w:t>59.34</w:t>
            </w:r>
          </w:p>
        </w:tc>
      </w:tr>
      <w:tr w:rsidR="00812C67" w:rsidRPr="004B6753" w14:paraId="2CFEDEF7" w14:textId="77777777" w:rsidTr="004B6753">
        <w:tc>
          <w:tcPr>
            <w:tcW w:w="1632" w:type="dxa"/>
            <w:vMerge/>
            <w:hideMark/>
          </w:tcPr>
          <w:p w14:paraId="67BF52D8" w14:textId="77777777" w:rsidR="00812C67" w:rsidRPr="004B6753" w:rsidRDefault="00812C67" w:rsidP="00B77C0B">
            <w:pPr>
              <w:pStyle w:val="NoSpacing"/>
              <w:rPr>
                <w:rFonts w:ascii="Times New Roman" w:hAnsi="Times New Roman" w:cs="Times New Roman"/>
                <w:szCs w:val="24"/>
              </w:rPr>
            </w:pPr>
          </w:p>
        </w:tc>
        <w:tc>
          <w:tcPr>
            <w:tcW w:w="0" w:type="auto"/>
            <w:vAlign w:val="center"/>
            <w:hideMark/>
          </w:tcPr>
          <w:p w14:paraId="31DA1D22" w14:textId="77777777" w:rsidR="00812C67" w:rsidRPr="004B6753" w:rsidRDefault="00812C67" w:rsidP="004B6753">
            <w:pPr>
              <w:pStyle w:val="NoSpacing"/>
              <w:jc w:val="center"/>
              <w:rPr>
                <w:rFonts w:ascii="Times New Roman" w:hAnsi="Times New Roman" w:cs="Times New Roman"/>
                <w:szCs w:val="24"/>
              </w:rPr>
            </w:pPr>
            <w:r w:rsidRPr="004B6753">
              <w:rPr>
                <w:rFonts w:ascii="Times New Roman" w:hAnsi="Times New Roman" w:cs="Times New Roman"/>
                <w:i/>
                <w:iCs/>
                <w:szCs w:val="24"/>
              </w:rPr>
              <w:t>(5.06)</w:t>
            </w:r>
          </w:p>
        </w:tc>
        <w:tc>
          <w:tcPr>
            <w:tcW w:w="0" w:type="auto"/>
            <w:vAlign w:val="center"/>
            <w:hideMark/>
          </w:tcPr>
          <w:p w14:paraId="179C7413" w14:textId="77777777" w:rsidR="00812C67" w:rsidRPr="004B6753" w:rsidRDefault="00812C67" w:rsidP="004B6753">
            <w:pPr>
              <w:pStyle w:val="NoSpacing"/>
              <w:jc w:val="center"/>
              <w:rPr>
                <w:rFonts w:ascii="Times New Roman" w:hAnsi="Times New Roman" w:cs="Times New Roman"/>
                <w:szCs w:val="24"/>
              </w:rPr>
            </w:pPr>
            <w:r w:rsidRPr="004B6753">
              <w:rPr>
                <w:rFonts w:ascii="Times New Roman" w:hAnsi="Times New Roman" w:cs="Times New Roman"/>
                <w:i/>
                <w:iCs/>
                <w:szCs w:val="24"/>
              </w:rPr>
              <w:t>(6.62)</w:t>
            </w:r>
          </w:p>
        </w:tc>
        <w:tc>
          <w:tcPr>
            <w:tcW w:w="0" w:type="auto"/>
            <w:vAlign w:val="center"/>
            <w:hideMark/>
          </w:tcPr>
          <w:p w14:paraId="681DC4C2" w14:textId="77777777" w:rsidR="00812C67" w:rsidRPr="004B6753" w:rsidRDefault="00812C67" w:rsidP="004B6753">
            <w:pPr>
              <w:pStyle w:val="NoSpacing"/>
              <w:jc w:val="center"/>
              <w:rPr>
                <w:rFonts w:ascii="Times New Roman" w:hAnsi="Times New Roman" w:cs="Times New Roman"/>
                <w:szCs w:val="24"/>
              </w:rPr>
            </w:pPr>
            <w:r w:rsidRPr="004B6753">
              <w:rPr>
                <w:rFonts w:ascii="Times New Roman" w:hAnsi="Times New Roman" w:cs="Times New Roman"/>
                <w:i/>
                <w:iCs/>
                <w:szCs w:val="24"/>
              </w:rPr>
              <w:t>(3.00)</w:t>
            </w:r>
          </w:p>
        </w:tc>
        <w:tc>
          <w:tcPr>
            <w:tcW w:w="0" w:type="auto"/>
            <w:vAlign w:val="center"/>
            <w:hideMark/>
          </w:tcPr>
          <w:p w14:paraId="591227BB" w14:textId="77777777" w:rsidR="00812C67" w:rsidRPr="004B6753" w:rsidRDefault="00812C67" w:rsidP="004B6753">
            <w:pPr>
              <w:pStyle w:val="NoSpacing"/>
              <w:jc w:val="center"/>
              <w:rPr>
                <w:rFonts w:ascii="Times New Roman" w:hAnsi="Times New Roman" w:cs="Times New Roman"/>
                <w:szCs w:val="24"/>
              </w:rPr>
            </w:pPr>
            <w:r w:rsidRPr="004B6753">
              <w:rPr>
                <w:rFonts w:ascii="Times New Roman" w:hAnsi="Times New Roman" w:cs="Times New Roman"/>
                <w:i/>
                <w:iCs/>
                <w:szCs w:val="24"/>
              </w:rPr>
              <w:t>(4.40)</w:t>
            </w:r>
          </w:p>
        </w:tc>
        <w:tc>
          <w:tcPr>
            <w:tcW w:w="0" w:type="auto"/>
            <w:vAlign w:val="center"/>
            <w:hideMark/>
          </w:tcPr>
          <w:p w14:paraId="288B284C" w14:textId="77777777" w:rsidR="00812C67" w:rsidRPr="004B6753" w:rsidRDefault="00812C67" w:rsidP="004B6753">
            <w:pPr>
              <w:pStyle w:val="NoSpacing"/>
              <w:jc w:val="center"/>
              <w:rPr>
                <w:rFonts w:ascii="Times New Roman" w:hAnsi="Times New Roman" w:cs="Times New Roman"/>
                <w:szCs w:val="24"/>
              </w:rPr>
            </w:pPr>
            <w:r w:rsidRPr="004B6753">
              <w:rPr>
                <w:rFonts w:ascii="Times New Roman" w:hAnsi="Times New Roman" w:cs="Times New Roman"/>
                <w:i/>
                <w:iCs/>
                <w:szCs w:val="24"/>
              </w:rPr>
              <w:t>(2.26)</w:t>
            </w:r>
          </w:p>
        </w:tc>
        <w:tc>
          <w:tcPr>
            <w:tcW w:w="0" w:type="auto"/>
            <w:vAlign w:val="center"/>
            <w:hideMark/>
          </w:tcPr>
          <w:p w14:paraId="7D95ACA5" w14:textId="77777777" w:rsidR="00812C67" w:rsidRPr="004B6753" w:rsidRDefault="00812C67" w:rsidP="004B6753">
            <w:pPr>
              <w:pStyle w:val="NoSpacing"/>
              <w:jc w:val="center"/>
              <w:rPr>
                <w:rFonts w:ascii="Times New Roman" w:hAnsi="Times New Roman" w:cs="Times New Roman"/>
                <w:szCs w:val="24"/>
              </w:rPr>
            </w:pPr>
            <w:r w:rsidRPr="004B6753">
              <w:rPr>
                <w:rFonts w:ascii="Times New Roman" w:hAnsi="Times New Roman" w:cs="Times New Roman"/>
                <w:i/>
                <w:iCs/>
                <w:szCs w:val="24"/>
              </w:rPr>
              <w:t>(31.26)</w:t>
            </w:r>
          </w:p>
        </w:tc>
        <w:tc>
          <w:tcPr>
            <w:tcW w:w="0" w:type="auto"/>
            <w:vAlign w:val="center"/>
            <w:hideMark/>
          </w:tcPr>
          <w:p w14:paraId="720D2941" w14:textId="77777777" w:rsidR="00812C67" w:rsidRPr="004B6753" w:rsidRDefault="00812C67" w:rsidP="004B6753">
            <w:pPr>
              <w:pStyle w:val="NoSpacing"/>
              <w:jc w:val="center"/>
              <w:rPr>
                <w:rFonts w:ascii="Times New Roman" w:hAnsi="Times New Roman" w:cs="Times New Roman"/>
                <w:szCs w:val="24"/>
              </w:rPr>
            </w:pPr>
            <w:r w:rsidRPr="004B6753">
              <w:rPr>
                <w:rFonts w:ascii="Times New Roman" w:hAnsi="Times New Roman" w:cs="Times New Roman"/>
                <w:i/>
                <w:iCs/>
                <w:szCs w:val="24"/>
              </w:rPr>
              <w:t>(5.43)</w:t>
            </w:r>
          </w:p>
        </w:tc>
        <w:tc>
          <w:tcPr>
            <w:tcW w:w="0" w:type="auto"/>
            <w:vAlign w:val="center"/>
            <w:hideMark/>
          </w:tcPr>
          <w:p w14:paraId="7DF4916E" w14:textId="77777777" w:rsidR="00812C67" w:rsidRPr="004B6753" w:rsidRDefault="00812C67" w:rsidP="004B6753">
            <w:pPr>
              <w:pStyle w:val="NoSpacing"/>
              <w:jc w:val="center"/>
              <w:rPr>
                <w:rFonts w:ascii="Times New Roman" w:hAnsi="Times New Roman" w:cs="Times New Roman"/>
                <w:szCs w:val="24"/>
              </w:rPr>
            </w:pPr>
            <w:r w:rsidRPr="004B6753">
              <w:rPr>
                <w:rFonts w:ascii="Times New Roman" w:hAnsi="Times New Roman" w:cs="Times New Roman"/>
                <w:i/>
                <w:iCs/>
                <w:szCs w:val="24"/>
              </w:rPr>
              <w:t>(3.60)</w:t>
            </w:r>
          </w:p>
        </w:tc>
        <w:tc>
          <w:tcPr>
            <w:tcW w:w="0" w:type="auto"/>
            <w:vAlign w:val="center"/>
            <w:hideMark/>
          </w:tcPr>
          <w:p w14:paraId="2A7C1BAE" w14:textId="77777777" w:rsidR="00812C67" w:rsidRPr="004B6753" w:rsidRDefault="00812C67" w:rsidP="004B6753">
            <w:pPr>
              <w:pStyle w:val="NoSpacing"/>
              <w:jc w:val="center"/>
              <w:rPr>
                <w:rFonts w:ascii="Times New Roman" w:hAnsi="Times New Roman" w:cs="Times New Roman"/>
                <w:szCs w:val="24"/>
              </w:rPr>
            </w:pPr>
            <w:r w:rsidRPr="004B6753">
              <w:rPr>
                <w:rFonts w:ascii="Times New Roman" w:hAnsi="Times New Roman" w:cs="Times New Roman"/>
                <w:i/>
                <w:iCs/>
                <w:szCs w:val="24"/>
              </w:rPr>
              <w:t>(4.14)</w:t>
            </w:r>
          </w:p>
        </w:tc>
        <w:tc>
          <w:tcPr>
            <w:tcW w:w="0" w:type="auto"/>
            <w:vAlign w:val="center"/>
            <w:hideMark/>
          </w:tcPr>
          <w:p w14:paraId="763E9948" w14:textId="77777777" w:rsidR="00812C67" w:rsidRPr="004B6753" w:rsidRDefault="00812C67" w:rsidP="004B6753">
            <w:pPr>
              <w:pStyle w:val="NoSpacing"/>
              <w:jc w:val="center"/>
              <w:rPr>
                <w:rFonts w:ascii="Times New Roman" w:hAnsi="Times New Roman" w:cs="Times New Roman"/>
                <w:szCs w:val="24"/>
              </w:rPr>
            </w:pPr>
            <w:r w:rsidRPr="004B6753">
              <w:rPr>
                <w:rFonts w:ascii="Times New Roman" w:hAnsi="Times New Roman" w:cs="Times New Roman"/>
                <w:i/>
                <w:iCs/>
                <w:szCs w:val="24"/>
              </w:rPr>
              <w:t>(34.23)</w:t>
            </w:r>
          </w:p>
        </w:tc>
        <w:tc>
          <w:tcPr>
            <w:tcW w:w="0" w:type="auto"/>
            <w:vAlign w:val="center"/>
            <w:hideMark/>
          </w:tcPr>
          <w:p w14:paraId="5A8B4C67" w14:textId="77777777" w:rsidR="00812C67" w:rsidRPr="004B6753" w:rsidRDefault="00812C67" w:rsidP="004B6753">
            <w:pPr>
              <w:pStyle w:val="NoSpacing"/>
              <w:jc w:val="center"/>
              <w:rPr>
                <w:rFonts w:ascii="Times New Roman" w:hAnsi="Times New Roman" w:cs="Times New Roman"/>
                <w:szCs w:val="24"/>
              </w:rPr>
            </w:pPr>
            <w:r w:rsidRPr="004B6753">
              <w:rPr>
                <w:rFonts w:ascii="Times New Roman" w:hAnsi="Times New Roman" w:cs="Times New Roman"/>
                <w:i/>
                <w:iCs/>
                <w:szCs w:val="24"/>
              </w:rPr>
              <w:t>(100.00)</w:t>
            </w:r>
          </w:p>
        </w:tc>
      </w:tr>
      <w:tr w:rsidR="00416FA8" w:rsidRPr="004B6753" w14:paraId="4C95D4E9" w14:textId="77777777" w:rsidTr="004B6753">
        <w:tc>
          <w:tcPr>
            <w:tcW w:w="1632" w:type="dxa"/>
            <w:hideMark/>
          </w:tcPr>
          <w:p w14:paraId="48BC7183" w14:textId="77777777" w:rsidR="00416FA8" w:rsidRPr="004B6753" w:rsidRDefault="00416FA8" w:rsidP="00B77C0B">
            <w:pPr>
              <w:pStyle w:val="NoSpacing"/>
              <w:rPr>
                <w:rFonts w:ascii="Times New Roman" w:hAnsi="Times New Roman" w:cs="Times New Roman"/>
                <w:szCs w:val="24"/>
              </w:rPr>
            </w:pPr>
            <w:r w:rsidRPr="004B6753">
              <w:rPr>
                <w:rFonts w:ascii="Times New Roman" w:hAnsi="Times New Roman" w:cs="Times New Roman"/>
                <w:szCs w:val="24"/>
              </w:rPr>
              <w:t>1965-66</w:t>
            </w:r>
          </w:p>
        </w:tc>
        <w:tc>
          <w:tcPr>
            <w:tcW w:w="0" w:type="auto"/>
            <w:vAlign w:val="center"/>
            <w:hideMark/>
          </w:tcPr>
          <w:p w14:paraId="005B88E2" w14:textId="77777777" w:rsidR="00416FA8" w:rsidRPr="004B6753" w:rsidRDefault="00416FA8" w:rsidP="004B6753">
            <w:pPr>
              <w:pStyle w:val="NoSpacing"/>
              <w:jc w:val="center"/>
              <w:rPr>
                <w:rFonts w:ascii="Times New Roman" w:hAnsi="Times New Roman" w:cs="Times New Roman"/>
                <w:szCs w:val="24"/>
              </w:rPr>
            </w:pPr>
            <w:r w:rsidRPr="004B6753">
              <w:rPr>
                <w:rFonts w:ascii="Times New Roman" w:hAnsi="Times New Roman" w:cs="Times New Roman"/>
                <w:szCs w:val="24"/>
              </w:rPr>
              <w:t>2.75</w:t>
            </w:r>
          </w:p>
        </w:tc>
        <w:tc>
          <w:tcPr>
            <w:tcW w:w="0" w:type="auto"/>
            <w:vAlign w:val="center"/>
            <w:hideMark/>
          </w:tcPr>
          <w:p w14:paraId="529EF4DB" w14:textId="77777777" w:rsidR="00416FA8" w:rsidRPr="004B6753" w:rsidRDefault="00416FA8" w:rsidP="004B6753">
            <w:pPr>
              <w:pStyle w:val="NoSpacing"/>
              <w:jc w:val="center"/>
              <w:rPr>
                <w:rFonts w:ascii="Times New Roman" w:hAnsi="Times New Roman" w:cs="Times New Roman"/>
                <w:szCs w:val="24"/>
              </w:rPr>
            </w:pPr>
            <w:r w:rsidRPr="004B6753">
              <w:rPr>
                <w:rFonts w:ascii="Times New Roman" w:hAnsi="Times New Roman" w:cs="Times New Roman"/>
                <w:szCs w:val="24"/>
              </w:rPr>
              <w:t>8.30</w:t>
            </w:r>
          </w:p>
        </w:tc>
        <w:tc>
          <w:tcPr>
            <w:tcW w:w="0" w:type="auto"/>
            <w:vAlign w:val="center"/>
            <w:hideMark/>
          </w:tcPr>
          <w:p w14:paraId="37245C96" w14:textId="77777777" w:rsidR="00416FA8" w:rsidRPr="004B6753" w:rsidRDefault="00416FA8" w:rsidP="004B6753">
            <w:pPr>
              <w:pStyle w:val="NoSpacing"/>
              <w:jc w:val="center"/>
              <w:rPr>
                <w:rFonts w:ascii="Times New Roman" w:hAnsi="Times New Roman" w:cs="Times New Roman"/>
                <w:szCs w:val="24"/>
              </w:rPr>
            </w:pPr>
            <w:r w:rsidRPr="004B6753">
              <w:rPr>
                <w:rFonts w:ascii="Times New Roman" w:hAnsi="Times New Roman" w:cs="Times New Roman"/>
                <w:szCs w:val="24"/>
              </w:rPr>
              <w:t>2.00</w:t>
            </w:r>
          </w:p>
        </w:tc>
        <w:tc>
          <w:tcPr>
            <w:tcW w:w="0" w:type="auto"/>
            <w:vAlign w:val="center"/>
            <w:hideMark/>
          </w:tcPr>
          <w:p w14:paraId="0900C55B" w14:textId="77777777" w:rsidR="00416FA8" w:rsidRPr="004B6753" w:rsidRDefault="00416FA8" w:rsidP="004B6753">
            <w:pPr>
              <w:pStyle w:val="NoSpacing"/>
              <w:jc w:val="center"/>
              <w:rPr>
                <w:rFonts w:ascii="Times New Roman" w:hAnsi="Times New Roman" w:cs="Times New Roman"/>
                <w:szCs w:val="24"/>
              </w:rPr>
            </w:pPr>
            <w:r w:rsidRPr="004B6753">
              <w:rPr>
                <w:rFonts w:ascii="Times New Roman" w:hAnsi="Times New Roman" w:cs="Times New Roman"/>
                <w:szCs w:val="24"/>
              </w:rPr>
              <w:t>4.04</w:t>
            </w:r>
          </w:p>
        </w:tc>
        <w:tc>
          <w:tcPr>
            <w:tcW w:w="0" w:type="auto"/>
            <w:vAlign w:val="center"/>
            <w:hideMark/>
          </w:tcPr>
          <w:p w14:paraId="7D9FE5E2" w14:textId="77777777" w:rsidR="00416FA8" w:rsidRPr="004B6753" w:rsidRDefault="00416FA8" w:rsidP="004B6753">
            <w:pPr>
              <w:pStyle w:val="NoSpacing"/>
              <w:jc w:val="center"/>
              <w:rPr>
                <w:rFonts w:ascii="Times New Roman" w:hAnsi="Times New Roman" w:cs="Times New Roman"/>
                <w:szCs w:val="24"/>
              </w:rPr>
            </w:pPr>
            <w:r w:rsidRPr="004B6753">
              <w:rPr>
                <w:rFonts w:ascii="Times New Roman" w:hAnsi="Times New Roman" w:cs="Times New Roman"/>
                <w:szCs w:val="24"/>
              </w:rPr>
              <w:t>2.15</w:t>
            </w:r>
          </w:p>
        </w:tc>
        <w:tc>
          <w:tcPr>
            <w:tcW w:w="0" w:type="auto"/>
            <w:vAlign w:val="center"/>
            <w:hideMark/>
          </w:tcPr>
          <w:p w14:paraId="7A430749" w14:textId="77777777" w:rsidR="00416FA8" w:rsidRPr="004B6753" w:rsidRDefault="00416FA8" w:rsidP="004B6753">
            <w:pPr>
              <w:pStyle w:val="NoSpacing"/>
              <w:jc w:val="center"/>
              <w:rPr>
                <w:rFonts w:ascii="Times New Roman" w:hAnsi="Times New Roman" w:cs="Times New Roman"/>
                <w:szCs w:val="24"/>
              </w:rPr>
            </w:pPr>
            <w:r w:rsidRPr="004B6753">
              <w:rPr>
                <w:rFonts w:ascii="Times New Roman" w:hAnsi="Times New Roman" w:cs="Times New Roman"/>
                <w:szCs w:val="24"/>
              </w:rPr>
              <w:t>28.37</w:t>
            </w:r>
          </w:p>
        </w:tc>
        <w:tc>
          <w:tcPr>
            <w:tcW w:w="0" w:type="auto"/>
            <w:vAlign w:val="center"/>
            <w:hideMark/>
          </w:tcPr>
          <w:p w14:paraId="787B62D8" w14:textId="77777777" w:rsidR="00416FA8" w:rsidRPr="004B6753" w:rsidRDefault="00416FA8" w:rsidP="004B6753">
            <w:pPr>
              <w:pStyle w:val="NoSpacing"/>
              <w:jc w:val="center"/>
              <w:rPr>
                <w:rFonts w:ascii="Times New Roman" w:hAnsi="Times New Roman" w:cs="Times New Roman"/>
                <w:szCs w:val="24"/>
              </w:rPr>
            </w:pPr>
            <w:r w:rsidRPr="004B6753">
              <w:rPr>
                <w:rFonts w:ascii="Times New Roman" w:hAnsi="Times New Roman" w:cs="Times New Roman"/>
                <w:szCs w:val="24"/>
              </w:rPr>
              <w:t>5.71</w:t>
            </w:r>
          </w:p>
        </w:tc>
        <w:tc>
          <w:tcPr>
            <w:tcW w:w="0" w:type="auto"/>
            <w:vAlign w:val="center"/>
            <w:hideMark/>
          </w:tcPr>
          <w:p w14:paraId="308BE4E4" w14:textId="77777777" w:rsidR="00416FA8" w:rsidRPr="004B6753" w:rsidRDefault="00416FA8" w:rsidP="004B6753">
            <w:pPr>
              <w:pStyle w:val="NoSpacing"/>
              <w:jc w:val="center"/>
              <w:rPr>
                <w:rFonts w:ascii="Times New Roman" w:hAnsi="Times New Roman" w:cs="Times New Roman"/>
                <w:szCs w:val="24"/>
              </w:rPr>
            </w:pPr>
            <w:r w:rsidRPr="004B6753">
              <w:rPr>
                <w:rFonts w:ascii="Times New Roman" w:hAnsi="Times New Roman" w:cs="Times New Roman"/>
                <w:szCs w:val="24"/>
              </w:rPr>
              <w:t>2.81</w:t>
            </w:r>
          </w:p>
        </w:tc>
        <w:tc>
          <w:tcPr>
            <w:tcW w:w="0" w:type="auto"/>
            <w:vAlign w:val="center"/>
            <w:hideMark/>
          </w:tcPr>
          <w:p w14:paraId="01D8D261" w14:textId="77777777" w:rsidR="00416FA8" w:rsidRPr="004B6753" w:rsidRDefault="00416FA8" w:rsidP="004B6753">
            <w:pPr>
              <w:pStyle w:val="NoSpacing"/>
              <w:jc w:val="center"/>
              <w:rPr>
                <w:rFonts w:ascii="Times New Roman" w:hAnsi="Times New Roman" w:cs="Times New Roman"/>
                <w:szCs w:val="24"/>
              </w:rPr>
            </w:pPr>
            <w:r w:rsidRPr="004B6753">
              <w:rPr>
                <w:rFonts w:ascii="Times New Roman" w:hAnsi="Times New Roman" w:cs="Times New Roman"/>
                <w:szCs w:val="24"/>
              </w:rPr>
              <w:t>5.03</w:t>
            </w:r>
          </w:p>
        </w:tc>
        <w:tc>
          <w:tcPr>
            <w:tcW w:w="0" w:type="auto"/>
            <w:vAlign w:val="center"/>
            <w:hideMark/>
          </w:tcPr>
          <w:p w14:paraId="760B74A7" w14:textId="77777777" w:rsidR="00416FA8" w:rsidRPr="004B6753" w:rsidRDefault="00416FA8" w:rsidP="004B6753">
            <w:pPr>
              <w:pStyle w:val="NoSpacing"/>
              <w:jc w:val="center"/>
              <w:rPr>
                <w:rFonts w:ascii="Times New Roman" w:hAnsi="Times New Roman" w:cs="Times New Roman"/>
                <w:szCs w:val="24"/>
              </w:rPr>
            </w:pPr>
            <w:r w:rsidRPr="004B6753">
              <w:rPr>
                <w:rFonts w:ascii="Times New Roman" w:hAnsi="Times New Roman" w:cs="Times New Roman"/>
                <w:szCs w:val="24"/>
              </w:rPr>
              <w:t>20.76</w:t>
            </w:r>
          </w:p>
        </w:tc>
        <w:tc>
          <w:tcPr>
            <w:tcW w:w="0" w:type="auto"/>
            <w:vAlign w:val="center"/>
            <w:hideMark/>
          </w:tcPr>
          <w:p w14:paraId="30872B53" w14:textId="77777777" w:rsidR="00416FA8" w:rsidRPr="004B6753" w:rsidRDefault="00416FA8" w:rsidP="004B6753">
            <w:pPr>
              <w:pStyle w:val="NoSpacing"/>
              <w:jc w:val="center"/>
              <w:rPr>
                <w:rFonts w:ascii="Times New Roman" w:hAnsi="Times New Roman" w:cs="Times New Roman"/>
                <w:szCs w:val="24"/>
              </w:rPr>
            </w:pPr>
            <w:r w:rsidRPr="004B6753">
              <w:rPr>
                <w:rFonts w:ascii="Times New Roman" w:hAnsi="Times New Roman" w:cs="Times New Roman"/>
                <w:szCs w:val="24"/>
              </w:rPr>
              <w:t>81.83</w:t>
            </w:r>
          </w:p>
        </w:tc>
      </w:tr>
      <w:tr w:rsidR="00416FA8" w:rsidRPr="004B6753" w14:paraId="77298649" w14:textId="77777777" w:rsidTr="004B6753">
        <w:tc>
          <w:tcPr>
            <w:tcW w:w="1632" w:type="dxa"/>
            <w:hideMark/>
          </w:tcPr>
          <w:p w14:paraId="2B15CC9B" w14:textId="77777777" w:rsidR="00416FA8" w:rsidRPr="004B6753" w:rsidRDefault="00416FA8" w:rsidP="00B77C0B">
            <w:pPr>
              <w:pStyle w:val="NoSpacing"/>
              <w:rPr>
                <w:rFonts w:ascii="Times New Roman" w:hAnsi="Times New Roman" w:cs="Times New Roman"/>
                <w:szCs w:val="24"/>
              </w:rPr>
            </w:pPr>
            <w:r w:rsidRPr="004B6753">
              <w:rPr>
                <w:rFonts w:ascii="Times New Roman" w:hAnsi="Times New Roman" w:cs="Times New Roman"/>
                <w:szCs w:val="24"/>
              </w:rPr>
              <w:t>1966-67</w:t>
            </w:r>
          </w:p>
        </w:tc>
        <w:tc>
          <w:tcPr>
            <w:tcW w:w="0" w:type="auto"/>
            <w:vAlign w:val="center"/>
            <w:hideMark/>
          </w:tcPr>
          <w:p w14:paraId="7E57279A" w14:textId="77777777" w:rsidR="00416FA8" w:rsidRPr="004B6753" w:rsidRDefault="00416FA8" w:rsidP="004B6753">
            <w:pPr>
              <w:pStyle w:val="NoSpacing"/>
              <w:jc w:val="center"/>
              <w:rPr>
                <w:rFonts w:ascii="Times New Roman" w:hAnsi="Times New Roman" w:cs="Times New Roman"/>
                <w:szCs w:val="24"/>
              </w:rPr>
            </w:pPr>
            <w:r w:rsidRPr="004B6753">
              <w:rPr>
                <w:rFonts w:ascii="Times New Roman" w:hAnsi="Times New Roman" w:cs="Times New Roman"/>
                <w:szCs w:val="24"/>
              </w:rPr>
              <w:t>3.37</w:t>
            </w:r>
          </w:p>
        </w:tc>
        <w:tc>
          <w:tcPr>
            <w:tcW w:w="0" w:type="auto"/>
            <w:vAlign w:val="center"/>
            <w:hideMark/>
          </w:tcPr>
          <w:p w14:paraId="70974238" w14:textId="77777777" w:rsidR="00416FA8" w:rsidRPr="004B6753" w:rsidRDefault="00416FA8" w:rsidP="004B6753">
            <w:pPr>
              <w:pStyle w:val="NoSpacing"/>
              <w:jc w:val="center"/>
              <w:rPr>
                <w:rFonts w:ascii="Times New Roman" w:hAnsi="Times New Roman" w:cs="Times New Roman"/>
                <w:szCs w:val="24"/>
              </w:rPr>
            </w:pPr>
            <w:r w:rsidRPr="004B6753">
              <w:rPr>
                <w:rFonts w:ascii="Times New Roman" w:hAnsi="Times New Roman" w:cs="Times New Roman"/>
                <w:szCs w:val="24"/>
              </w:rPr>
              <w:t>10.67</w:t>
            </w:r>
          </w:p>
        </w:tc>
        <w:tc>
          <w:tcPr>
            <w:tcW w:w="0" w:type="auto"/>
            <w:vAlign w:val="center"/>
            <w:hideMark/>
          </w:tcPr>
          <w:p w14:paraId="75D4412C" w14:textId="77777777" w:rsidR="00416FA8" w:rsidRPr="004B6753" w:rsidRDefault="00416FA8" w:rsidP="004B6753">
            <w:pPr>
              <w:pStyle w:val="NoSpacing"/>
              <w:jc w:val="center"/>
              <w:rPr>
                <w:rFonts w:ascii="Times New Roman" w:hAnsi="Times New Roman" w:cs="Times New Roman"/>
                <w:szCs w:val="24"/>
              </w:rPr>
            </w:pPr>
            <w:r w:rsidRPr="004B6753">
              <w:rPr>
                <w:rFonts w:ascii="Times New Roman" w:hAnsi="Times New Roman" w:cs="Times New Roman"/>
                <w:szCs w:val="24"/>
              </w:rPr>
              <w:t>2.26</w:t>
            </w:r>
          </w:p>
        </w:tc>
        <w:tc>
          <w:tcPr>
            <w:tcW w:w="0" w:type="auto"/>
            <w:vAlign w:val="center"/>
            <w:hideMark/>
          </w:tcPr>
          <w:p w14:paraId="6AD5254D" w14:textId="77777777" w:rsidR="00416FA8" w:rsidRPr="004B6753" w:rsidRDefault="00416FA8" w:rsidP="004B6753">
            <w:pPr>
              <w:pStyle w:val="NoSpacing"/>
              <w:jc w:val="center"/>
              <w:rPr>
                <w:rFonts w:ascii="Times New Roman" w:hAnsi="Times New Roman" w:cs="Times New Roman"/>
                <w:szCs w:val="24"/>
              </w:rPr>
            </w:pPr>
            <w:r w:rsidRPr="004B6753">
              <w:rPr>
                <w:rFonts w:ascii="Times New Roman" w:hAnsi="Times New Roman" w:cs="Times New Roman"/>
                <w:szCs w:val="24"/>
              </w:rPr>
              <w:t>4.75</w:t>
            </w:r>
          </w:p>
        </w:tc>
        <w:tc>
          <w:tcPr>
            <w:tcW w:w="0" w:type="auto"/>
            <w:vAlign w:val="center"/>
            <w:hideMark/>
          </w:tcPr>
          <w:p w14:paraId="0E04DF9B" w14:textId="77777777" w:rsidR="00416FA8" w:rsidRPr="004B6753" w:rsidRDefault="00416FA8" w:rsidP="004B6753">
            <w:pPr>
              <w:pStyle w:val="NoSpacing"/>
              <w:jc w:val="center"/>
              <w:rPr>
                <w:rFonts w:ascii="Times New Roman" w:hAnsi="Times New Roman" w:cs="Times New Roman"/>
                <w:szCs w:val="24"/>
              </w:rPr>
            </w:pPr>
            <w:r w:rsidRPr="004B6753">
              <w:rPr>
                <w:rFonts w:ascii="Times New Roman" w:hAnsi="Times New Roman" w:cs="Times New Roman"/>
                <w:szCs w:val="24"/>
              </w:rPr>
              <w:t>2.24</w:t>
            </w:r>
          </w:p>
        </w:tc>
        <w:tc>
          <w:tcPr>
            <w:tcW w:w="0" w:type="auto"/>
            <w:vAlign w:val="center"/>
            <w:hideMark/>
          </w:tcPr>
          <w:p w14:paraId="6C02EEAF" w14:textId="77777777" w:rsidR="00416FA8" w:rsidRPr="004B6753" w:rsidRDefault="00416FA8" w:rsidP="004B6753">
            <w:pPr>
              <w:pStyle w:val="NoSpacing"/>
              <w:jc w:val="center"/>
              <w:rPr>
                <w:rFonts w:ascii="Times New Roman" w:hAnsi="Times New Roman" w:cs="Times New Roman"/>
                <w:szCs w:val="24"/>
              </w:rPr>
            </w:pPr>
            <w:r w:rsidRPr="004B6753">
              <w:rPr>
                <w:rFonts w:ascii="Times New Roman" w:hAnsi="Times New Roman" w:cs="Times New Roman"/>
                <w:szCs w:val="24"/>
              </w:rPr>
              <w:t>34.70</w:t>
            </w:r>
          </w:p>
        </w:tc>
        <w:tc>
          <w:tcPr>
            <w:tcW w:w="0" w:type="auto"/>
            <w:vAlign w:val="center"/>
            <w:hideMark/>
          </w:tcPr>
          <w:p w14:paraId="478BA450" w14:textId="77777777" w:rsidR="00416FA8" w:rsidRPr="004B6753" w:rsidRDefault="00416FA8" w:rsidP="004B6753">
            <w:pPr>
              <w:pStyle w:val="NoSpacing"/>
              <w:jc w:val="center"/>
              <w:rPr>
                <w:rFonts w:ascii="Times New Roman" w:hAnsi="Times New Roman" w:cs="Times New Roman"/>
                <w:szCs w:val="24"/>
              </w:rPr>
            </w:pPr>
            <w:r w:rsidRPr="004B6753">
              <w:rPr>
                <w:rFonts w:ascii="Times New Roman" w:hAnsi="Times New Roman" w:cs="Times New Roman"/>
                <w:szCs w:val="24"/>
              </w:rPr>
              <w:t>6.67</w:t>
            </w:r>
          </w:p>
        </w:tc>
        <w:tc>
          <w:tcPr>
            <w:tcW w:w="0" w:type="auto"/>
            <w:vAlign w:val="center"/>
            <w:hideMark/>
          </w:tcPr>
          <w:p w14:paraId="532B6AE7" w14:textId="77777777" w:rsidR="00416FA8" w:rsidRPr="004B6753" w:rsidRDefault="00416FA8" w:rsidP="004B6753">
            <w:pPr>
              <w:pStyle w:val="NoSpacing"/>
              <w:jc w:val="center"/>
              <w:rPr>
                <w:rFonts w:ascii="Times New Roman" w:hAnsi="Times New Roman" w:cs="Times New Roman"/>
                <w:szCs w:val="24"/>
              </w:rPr>
            </w:pPr>
            <w:r w:rsidRPr="004B6753">
              <w:rPr>
                <w:rFonts w:ascii="Times New Roman" w:hAnsi="Times New Roman" w:cs="Times New Roman"/>
                <w:szCs w:val="24"/>
              </w:rPr>
              <w:t>3.30</w:t>
            </w:r>
          </w:p>
        </w:tc>
        <w:tc>
          <w:tcPr>
            <w:tcW w:w="0" w:type="auto"/>
            <w:vAlign w:val="center"/>
            <w:hideMark/>
          </w:tcPr>
          <w:p w14:paraId="43B0F197" w14:textId="77777777" w:rsidR="00416FA8" w:rsidRPr="004B6753" w:rsidRDefault="00416FA8" w:rsidP="004B6753">
            <w:pPr>
              <w:pStyle w:val="NoSpacing"/>
              <w:jc w:val="center"/>
              <w:rPr>
                <w:rFonts w:ascii="Times New Roman" w:hAnsi="Times New Roman" w:cs="Times New Roman"/>
                <w:szCs w:val="24"/>
              </w:rPr>
            </w:pPr>
            <w:r w:rsidRPr="004B6753">
              <w:rPr>
                <w:rFonts w:ascii="Times New Roman" w:hAnsi="Times New Roman" w:cs="Times New Roman"/>
                <w:szCs w:val="24"/>
              </w:rPr>
              <w:t>6.54</w:t>
            </w:r>
          </w:p>
        </w:tc>
        <w:tc>
          <w:tcPr>
            <w:tcW w:w="0" w:type="auto"/>
            <w:vAlign w:val="center"/>
            <w:hideMark/>
          </w:tcPr>
          <w:p w14:paraId="7631073E" w14:textId="77777777" w:rsidR="00416FA8" w:rsidRPr="004B6753" w:rsidRDefault="00416FA8" w:rsidP="004B6753">
            <w:pPr>
              <w:pStyle w:val="NoSpacing"/>
              <w:jc w:val="center"/>
              <w:rPr>
                <w:rFonts w:ascii="Times New Roman" w:hAnsi="Times New Roman" w:cs="Times New Roman"/>
                <w:szCs w:val="24"/>
              </w:rPr>
            </w:pPr>
            <w:r w:rsidRPr="004B6753">
              <w:rPr>
                <w:rFonts w:ascii="Times New Roman" w:hAnsi="Times New Roman" w:cs="Times New Roman"/>
                <w:szCs w:val="24"/>
              </w:rPr>
              <w:t>24.04</w:t>
            </w:r>
          </w:p>
        </w:tc>
        <w:tc>
          <w:tcPr>
            <w:tcW w:w="0" w:type="auto"/>
            <w:vAlign w:val="center"/>
            <w:hideMark/>
          </w:tcPr>
          <w:p w14:paraId="51EFCA1C" w14:textId="77777777" w:rsidR="00416FA8" w:rsidRPr="004B6753" w:rsidRDefault="00416FA8" w:rsidP="004B6753">
            <w:pPr>
              <w:pStyle w:val="NoSpacing"/>
              <w:jc w:val="center"/>
              <w:rPr>
                <w:rFonts w:ascii="Times New Roman" w:hAnsi="Times New Roman" w:cs="Times New Roman"/>
                <w:szCs w:val="24"/>
              </w:rPr>
            </w:pPr>
            <w:r w:rsidRPr="004B6753">
              <w:rPr>
                <w:rFonts w:ascii="Times New Roman" w:hAnsi="Times New Roman" w:cs="Times New Roman"/>
                <w:szCs w:val="24"/>
              </w:rPr>
              <w:t>98.54</w:t>
            </w:r>
          </w:p>
        </w:tc>
      </w:tr>
      <w:tr w:rsidR="00416FA8" w:rsidRPr="004B6753" w14:paraId="3FBD535D" w14:textId="77777777" w:rsidTr="004B6753">
        <w:tc>
          <w:tcPr>
            <w:tcW w:w="1632" w:type="dxa"/>
            <w:hideMark/>
          </w:tcPr>
          <w:p w14:paraId="0F1190DD" w14:textId="77777777" w:rsidR="00416FA8" w:rsidRPr="004B6753" w:rsidRDefault="00416FA8" w:rsidP="00B77C0B">
            <w:pPr>
              <w:pStyle w:val="NoSpacing"/>
              <w:rPr>
                <w:rFonts w:ascii="Times New Roman" w:hAnsi="Times New Roman" w:cs="Times New Roman"/>
                <w:szCs w:val="24"/>
              </w:rPr>
            </w:pPr>
            <w:r w:rsidRPr="004B6753">
              <w:rPr>
                <w:rFonts w:ascii="Times New Roman" w:hAnsi="Times New Roman" w:cs="Times New Roman"/>
                <w:szCs w:val="24"/>
              </w:rPr>
              <w:t>1967-68</w:t>
            </w:r>
          </w:p>
        </w:tc>
        <w:tc>
          <w:tcPr>
            <w:tcW w:w="0" w:type="auto"/>
            <w:vAlign w:val="center"/>
            <w:hideMark/>
          </w:tcPr>
          <w:p w14:paraId="2FEF28F5" w14:textId="77777777" w:rsidR="00416FA8" w:rsidRPr="004B6753" w:rsidRDefault="00416FA8" w:rsidP="004B6753">
            <w:pPr>
              <w:pStyle w:val="NoSpacing"/>
              <w:jc w:val="center"/>
              <w:rPr>
                <w:rFonts w:ascii="Times New Roman" w:hAnsi="Times New Roman" w:cs="Times New Roman"/>
                <w:szCs w:val="24"/>
              </w:rPr>
            </w:pPr>
            <w:r w:rsidRPr="004B6753">
              <w:rPr>
                <w:rFonts w:ascii="Times New Roman" w:hAnsi="Times New Roman" w:cs="Times New Roman"/>
                <w:szCs w:val="24"/>
              </w:rPr>
              <w:t>4.09</w:t>
            </w:r>
          </w:p>
        </w:tc>
        <w:tc>
          <w:tcPr>
            <w:tcW w:w="0" w:type="auto"/>
            <w:vAlign w:val="center"/>
            <w:hideMark/>
          </w:tcPr>
          <w:p w14:paraId="0502FB1A" w14:textId="77777777" w:rsidR="00416FA8" w:rsidRPr="004B6753" w:rsidRDefault="00416FA8" w:rsidP="004B6753">
            <w:pPr>
              <w:pStyle w:val="NoSpacing"/>
              <w:jc w:val="center"/>
              <w:rPr>
                <w:rFonts w:ascii="Times New Roman" w:hAnsi="Times New Roman" w:cs="Times New Roman"/>
                <w:szCs w:val="24"/>
              </w:rPr>
            </w:pPr>
            <w:r w:rsidRPr="004B6753">
              <w:rPr>
                <w:rFonts w:ascii="Times New Roman" w:hAnsi="Times New Roman" w:cs="Times New Roman"/>
                <w:szCs w:val="24"/>
              </w:rPr>
              <w:t>14.60</w:t>
            </w:r>
          </w:p>
        </w:tc>
        <w:tc>
          <w:tcPr>
            <w:tcW w:w="0" w:type="auto"/>
            <w:vAlign w:val="center"/>
            <w:hideMark/>
          </w:tcPr>
          <w:p w14:paraId="5E67BB7B" w14:textId="77777777" w:rsidR="00416FA8" w:rsidRPr="004B6753" w:rsidRDefault="00416FA8" w:rsidP="004B6753">
            <w:pPr>
              <w:pStyle w:val="NoSpacing"/>
              <w:jc w:val="center"/>
              <w:rPr>
                <w:rFonts w:ascii="Times New Roman" w:hAnsi="Times New Roman" w:cs="Times New Roman"/>
                <w:szCs w:val="24"/>
              </w:rPr>
            </w:pPr>
            <w:r w:rsidRPr="004B6753">
              <w:rPr>
                <w:rFonts w:ascii="Times New Roman" w:hAnsi="Times New Roman" w:cs="Times New Roman"/>
                <w:szCs w:val="24"/>
              </w:rPr>
              <w:t>2.80</w:t>
            </w:r>
          </w:p>
        </w:tc>
        <w:tc>
          <w:tcPr>
            <w:tcW w:w="0" w:type="auto"/>
            <w:vAlign w:val="center"/>
            <w:hideMark/>
          </w:tcPr>
          <w:p w14:paraId="4C904FE0" w14:textId="77777777" w:rsidR="00416FA8" w:rsidRPr="004B6753" w:rsidRDefault="00416FA8" w:rsidP="004B6753">
            <w:pPr>
              <w:pStyle w:val="NoSpacing"/>
              <w:jc w:val="center"/>
              <w:rPr>
                <w:rFonts w:ascii="Times New Roman" w:hAnsi="Times New Roman" w:cs="Times New Roman"/>
                <w:szCs w:val="24"/>
              </w:rPr>
            </w:pPr>
            <w:r w:rsidRPr="004B6753">
              <w:rPr>
                <w:rFonts w:ascii="Times New Roman" w:hAnsi="Times New Roman" w:cs="Times New Roman"/>
                <w:szCs w:val="24"/>
              </w:rPr>
              <w:t>5.35</w:t>
            </w:r>
          </w:p>
        </w:tc>
        <w:tc>
          <w:tcPr>
            <w:tcW w:w="0" w:type="auto"/>
            <w:vAlign w:val="center"/>
            <w:hideMark/>
          </w:tcPr>
          <w:p w14:paraId="57551752" w14:textId="77777777" w:rsidR="00416FA8" w:rsidRPr="004B6753" w:rsidRDefault="00416FA8" w:rsidP="004B6753">
            <w:pPr>
              <w:pStyle w:val="NoSpacing"/>
              <w:jc w:val="center"/>
              <w:rPr>
                <w:rFonts w:ascii="Times New Roman" w:hAnsi="Times New Roman" w:cs="Times New Roman"/>
                <w:szCs w:val="24"/>
              </w:rPr>
            </w:pPr>
            <w:r w:rsidRPr="004B6753">
              <w:rPr>
                <w:rFonts w:ascii="Times New Roman" w:hAnsi="Times New Roman" w:cs="Times New Roman"/>
                <w:szCs w:val="24"/>
              </w:rPr>
              <w:t>6.18</w:t>
            </w:r>
          </w:p>
        </w:tc>
        <w:tc>
          <w:tcPr>
            <w:tcW w:w="0" w:type="auto"/>
            <w:vAlign w:val="center"/>
            <w:hideMark/>
          </w:tcPr>
          <w:p w14:paraId="766C818C" w14:textId="77777777" w:rsidR="00416FA8" w:rsidRPr="004B6753" w:rsidRDefault="00416FA8" w:rsidP="004B6753">
            <w:pPr>
              <w:pStyle w:val="NoSpacing"/>
              <w:jc w:val="center"/>
              <w:rPr>
                <w:rFonts w:ascii="Times New Roman" w:hAnsi="Times New Roman" w:cs="Times New Roman"/>
                <w:szCs w:val="24"/>
              </w:rPr>
            </w:pPr>
            <w:r w:rsidRPr="004B6753">
              <w:rPr>
                <w:rFonts w:ascii="Times New Roman" w:hAnsi="Times New Roman" w:cs="Times New Roman"/>
                <w:szCs w:val="24"/>
              </w:rPr>
              <w:t>41.43</w:t>
            </w:r>
          </w:p>
        </w:tc>
        <w:tc>
          <w:tcPr>
            <w:tcW w:w="0" w:type="auto"/>
            <w:vAlign w:val="center"/>
            <w:hideMark/>
          </w:tcPr>
          <w:p w14:paraId="3BB2D31E" w14:textId="77777777" w:rsidR="00416FA8" w:rsidRPr="004B6753" w:rsidRDefault="00416FA8" w:rsidP="004B6753">
            <w:pPr>
              <w:pStyle w:val="NoSpacing"/>
              <w:jc w:val="center"/>
              <w:rPr>
                <w:rFonts w:ascii="Times New Roman" w:hAnsi="Times New Roman" w:cs="Times New Roman"/>
                <w:szCs w:val="24"/>
              </w:rPr>
            </w:pPr>
            <w:r w:rsidRPr="004B6753">
              <w:rPr>
                <w:rFonts w:ascii="Times New Roman" w:hAnsi="Times New Roman" w:cs="Times New Roman"/>
                <w:szCs w:val="24"/>
              </w:rPr>
              <w:t>8.22</w:t>
            </w:r>
          </w:p>
        </w:tc>
        <w:tc>
          <w:tcPr>
            <w:tcW w:w="0" w:type="auto"/>
            <w:vAlign w:val="center"/>
            <w:hideMark/>
          </w:tcPr>
          <w:p w14:paraId="5659F818" w14:textId="77777777" w:rsidR="00416FA8" w:rsidRPr="004B6753" w:rsidRDefault="00416FA8" w:rsidP="004B6753">
            <w:pPr>
              <w:pStyle w:val="NoSpacing"/>
              <w:jc w:val="center"/>
              <w:rPr>
                <w:rFonts w:ascii="Times New Roman" w:hAnsi="Times New Roman" w:cs="Times New Roman"/>
                <w:szCs w:val="24"/>
              </w:rPr>
            </w:pPr>
            <w:r w:rsidRPr="004B6753">
              <w:rPr>
                <w:rFonts w:ascii="Times New Roman" w:hAnsi="Times New Roman" w:cs="Times New Roman"/>
                <w:szCs w:val="24"/>
              </w:rPr>
              <w:t>4.38</w:t>
            </w:r>
          </w:p>
        </w:tc>
        <w:tc>
          <w:tcPr>
            <w:tcW w:w="0" w:type="auto"/>
            <w:vAlign w:val="center"/>
            <w:hideMark/>
          </w:tcPr>
          <w:p w14:paraId="548F9486" w14:textId="77777777" w:rsidR="00416FA8" w:rsidRPr="004B6753" w:rsidRDefault="00416FA8" w:rsidP="004B6753">
            <w:pPr>
              <w:pStyle w:val="NoSpacing"/>
              <w:jc w:val="center"/>
              <w:rPr>
                <w:rFonts w:ascii="Times New Roman" w:hAnsi="Times New Roman" w:cs="Times New Roman"/>
                <w:szCs w:val="24"/>
              </w:rPr>
            </w:pPr>
            <w:r w:rsidRPr="004B6753">
              <w:rPr>
                <w:rFonts w:ascii="Times New Roman" w:hAnsi="Times New Roman" w:cs="Times New Roman"/>
                <w:szCs w:val="24"/>
              </w:rPr>
              <w:t>8.61</w:t>
            </w:r>
          </w:p>
        </w:tc>
        <w:tc>
          <w:tcPr>
            <w:tcW w:w="0" w:type="auto"/>
            <w:vAlign w:val="center"/>
            <w:hideMark/>
          </w:tcPr>
          <w:p w14:paraId="2341B06C" w14:textId="77777777" w:rsidR="00416FA8" w:rsidRPr="004B6753" w:rsidRDefault="00416FA8" w:rsidP="004B6753">
            <w:pPr>
              <w:pStyle w:val="NoSpacing"/>
              <w:jc w:val="center"/>
              <w:rPr>
                <w:rFonts w:ascii="Times New Roman" w:hAnsi="Times New Roman" w:cs="Times New Roman"/>
                <w:szCs w:val="24"/>
              </w:rPr>
            </w:pPr>
            <w:r w:rsidRPr="004B6753">
              <w:rPr>
                <w:rFonts w:ascii="Times New Roman" w:hAnsi="Times New Roman" w:cs="Times New Roman"/>
                <w:szCs w:val="24"/>
              </w:rPr>
              <w:t>28.21</w:t>
            </w:r>
          </w:p>
        </w:tc>
        <w:tc>
          <w:tcPr>
            <w:tcW w:w="0" w:type="auto"/>
            <w:vAlign w:val="center"/>
            <w:hideMark/>
          </w:tcPr>
          <w:p w14:paraId="2A19ED9C" w14:textId="77777777" w:rsidR="00416FA8" w:rsidRPr="004B6753" w:rsidRDefault="00416FA8" w:rsidP="004B6753">
            <w:pPr>
              <w:pStyle w:val="NoSpacing"/>
              <w:jc w:val="center"/>
              <w:rPr>
                <w:rFonts w:ascii="Times New Roman" w:hAnsi="Times New Roman" w:cs="Times New Roman"/>
                <w:szCs w:val="24"/>
              </w:rPr>
            </w:pPr>
            <w:r w:rsidRPr="004B6753">
              <w:rPr>
                <w:rFonts w:ascii="Times New Roman" w:hAnsi="Times New Roman" w:cs="Times New Roman"/>
                <w:szCs w:val="24"/>
              </w:rPr>
              <w:t>123.87</w:t>
            </w:r>
          </w:p>
        </w:tc>
      </w:tr>
      <w:tr w:rsidR="00812C67" w:rsidRPr="004B6753" w14:paraId="26E3B235" w14:textId="77777777" w:rsidTr="004B6753">
        <w:tc>
          <w:tcPr>
            <w:tcW w:w="1632" w:type="dxa"/>
            <w:vMerge w:val="restart"/>
            <w:hideMark/>
          </w:tcPr>
          <w:p w14:paraId="5D33DA85" w14:textId="77777777" w:rsidR="00812C67" w:rsidRPr="004B6753" w:rsidRDefault="00812C67" w:rsidP="00B77C0B">
            <w:pPr>
              <w:pStyle w:val="NoSpacing"/>
              <w:rPr>
                <w:rFonts w:ascii="Times New Roman" w:hAnsi="Times New Roman" w:cs="Times New Roman"/>
                <w:szCs w:val="24"/>
              </w:rPr>
            </w:pPr>
            <w:r w:rsidRPr="004B6753">
              <w:rPr>
                <w:rFonts w:ascii="Times New Roman" w:hAnsi="Times New Roman" w:cs="Times New Roman"/>
                <w:szCs w:val="24"/>
              </w:rPr>
              <w:t>1968-69 (RE)</w:t>
            </w:r>
          </w:p>
        </w:tc>
        <w:tc>
          <w:tcPr>
            <w:tcW w:w="0" w:type="auto"/>
            <w:vAlign w:val="center"/>
            <w:hideMark/>
          </w:tcPr>
          <w:p w14:paraId="295301F3" w14:textId="77777777" w:rsidR="00812C67" w:rsidRPr="004B6753" w:rsidRDefault="00812C67" w:rsidP="004B6753">
            <w:pPr>
              <w:pStyle w:val="NoSpacing"/>
              <w:jc w:val="center"/>
              <w:rPr>
                <w:rFonts w:ascii="Times New Roman" w:hAnsi="Times New Roman" w:cs="Times New Roman"/>
                <w:szCs w:val="24"/>
              </w:rPr>
            </w:pPr>
            <w:r w:rsidRPr="004B6753">
              <w:rPr>
                <w:rFonts w:ascii="Times New Roman" w:hAnsi="Times New Roman" w:cs="Times New Roman"/>
                <w:szCs w:val="24"/>
              </w:rPr>
              <w:t>4.60</w:t>
            </w:r>
          </w:p>
        </w:tc>
        <w:tc>
          <w:tcPr>
            <w:tcW w:w="0" w:type="auto"/>
            <w:vAlign w:val="center"/>
            <w:hideMark/>
          </w:tcPr>
          <w:p w14:paraId="707E94C0" w14:textId="77777777" w:rsidR="00812C67" w:rsidRPr="004B6753" w:rsidRDefault="00812C67" w:rsidP="004B6753">
            <w:pPr>
              <w:pStyle w:val="NoSpacing"/>
              <w:jc w:val="center"/>
              <w:rPr>
                <w:rFonts w:ascii="Times New Roman" w:hAnsi="Times New Roman" w:cs="Times New Roman"/>
                <w:szCs w:val="24"/>
              </w:rPr>
            </w:pPr>
            <w:r w:rsidRPr="004B6753">
              <w:rPr>
                <w:rFonts w:ascii="Times New Roman" w:hAnsi="Times New Roman" w:cs="Times New Roman"/>
                <w:szCs w:val="24"/>
              </w:rPr>
              <w:t>15.68</w:t>
            </w:r>
          </w:p>
        </w:tc>
        <w:tc>
          <w:tcPr>
            <w:tcW w:w="0" w:type="auto"/>
            <w:vAlign w:val="center"/>
            <w:hideMark/>
          </w:tcPr>
          <w:p w14:paraId="431D82E9" w14:textId="77777777" w:rsidR="00812C67" w:rsidRPr="004B6753" w:rsidRDefault="00812C67" w:rsidP="004B6753">
            <w:pPr>
              <w:pStyle w:val="NoSpacing"/>
              <w:jc w:val="center"/>
              <w:rPr>
                <w:rFonts w:ascii="Times New Roman" w:hAnsi="Times New Roman" w:cs="Times New Roman"/>
                <w:szCs w:val="24"/>
              </w:rPr>
            </w:pPr>
            <w:r w:rsidRPr="004B6753">
              <w:rPr>
                <w:rFonts w:ascii="Times New Roman" w:hAnsi="Times New Roman" w:cs="Times New Roman"/>
                <w:szCs w:val="24"/>
              </w:rPr>
              <w:t>3.18</w:t>
            </w:r>
          </w:p>
        </w:tc>
        <w:tc>
          <w:tcPr>
            <w:tcW w:w="0" w:type="auto"/>
            <w:vAlign w:val="center"/>
            <w:hideMark/>
          </w:tcPr>
          <w:p w14:paraId="5E33F38B" w14:textId="77777777" w:rsidR="00812C67" w:rsidRPr="004B6753" w:rsidRDefault="00812C67" w:rsidP="004B6753">
            <w:pPr>
              <w:pStyle w:val="NoSpacing"/>
              <w:jc w:val="center"/>
              <w:rPr>
                <w:rFonts w:ascii="Times New Roman" w:hAnsi="Times New Roman" w:cs="Times New Roman"/>
                <w:szCs w:val="24"/>
              </w:rPr>
            </w:pPr>
            <w:r w:rsidRPr="004B6753">
              <w:rPr>
                <w:rFonts w:ascii="Times New Roman" w:hAnsi="Times New Roman" w:cs="Times New Roman"/>
                <w:szCs w:val="24"/>
              </w:rPr>
              <w:t>5.70</w:t>
            </w:r>
          </w:p>
        </w:tc>
        <w:tc>
          <w:tcPr>
            <w:tcW w:w="0" w:type="auto"/>
            <w:vAlign w:val="center"/>
            <w:hideMark/>
          </w:tcPr>
          <w:p w14:paraId="0A12FF9B" w14:textId="77777777" w:rsidR="00812C67" w:rsidRPr="004B6753" w:rsidRDefault="00812C67" w:rsidP="004B6753">
            <w:pPr>
              <w:pStyle w:val="NoSpacing"/>
              <w:jc w:val="center"/>
              <w:rPr>
                <w:rFonts w:ascii="Times New Roman" w:hAnsi="Times New Roman" w:cs="Times New Roman"/>
                <w:szCs w:val="24"/>
              </w:rPr>
            </w:pPr>
            <w:r w:rsidRPr="004B6753">
              <w:rPr>
                <w:rFonts w:ascii="Times New Roman" w:hAnsi="Times New Roman" w:cs="Times New Roman"/>
                <w:szCs w:val="24"/>
              </w:rPr>
              <w:t>6.11</w:t>
            </w:r>
          </w:p>
        </w:tc>
        <w:tc>
          <w:tcPr>
            <w:tcW w:w="0" w:type="auto"/>
            <w:vAlign w:val="center"/>
            <w:hideMark/>
          </w:tcPr>
          <w:p w14:paraId="15E48433" w14:textId="77777777" w:rsidR="00812C67" w:rsidRPr="004B6753" w:rsidRDefault="00812C67" w:rsidP="004B6753">
            <w:pPr>
              <w:pStyle w:val="NoSpacing"/>
              <w:jc w:val="center"/>
              <w:rPr>
                <w:rFonts w:ascii="Times New Roman" w:hAnsi="Times New Roman" w:cs="Times New Roman"/>
                <w:szCs w:val="24"/>
              </w:rPr>
            </w:pPr>
            <w:r w:rsidRPr="004B6753">
              <w:rPr>
                <w:rFonts w:ascii="Times New Roman" w:hAnsi="Times New Roman" w:cs="Times New Roman"/>
                <w:szCs w:val="24"/>
              </w:rPr>
              <w:t>47.55</w:t>
            </w:r>
          </w:p>
        </w:tc>
        <w:tc>
          <w:tcPr>
            <w:tcW w:w="0" w:type="auto"/>
            <w:vAlign w:val="center"/>
            <w:hideMark/>
          </w:tcPr>
          <w:p w14:paraId="7AB0566A" w14:textId="77777777" w:rsidR="00812C67" w:rsidRPr="004B6753" w:rsidRDefault="00812C67" w:rsidP="004B6753">
            <w:pPr>
              <w:pStyle w:val="NoSpacing"/>
              <w:jc w:val="center"/>
              <w:rPr>
                <w:rFonts w:ascii="Times New Roman" w:hAnsi="Times New Roman" w:cs="Times New Roman"/>
                <w:szCs w:val="24"/>
              </w:rPr>
            </w:pPr>
            <w:r w:rsidRPr="004B6753">
              <w:rPr>
                <w:rFonts w:ascii="Times New Roman" w:hAnsi="Times New Roman" w:cs="Times New Roman"/>
                <w:szCs w:val="24"/>
              </w:rPr>
              <w:t>9.38</w:t>
            </w:r>
          </w:p>
        </w:tc>
        <w:tc>
          <w:tcPr>
            <w:tcW w:w="0" w:type="auto"/>
            <w:vAlign w:val="center"/>
            <w:hideMark/>
          </w:tcPr>
          <w:p w14:paraId="59F0220F" w14:textId="77777777" w:rsidR="00812C67" w:rsidRPr="004B6753" w:rsidRDefault="00812C67" w:rsidP="004B6753">
            <w:pPr>
              <w:pStyle w:val="NoSpacing"/>
              <w:jc w:val="center"/>
              <w:rPr>
                <w:rFonts w:ascii="Times New Roman" w:hAnsi="Times New Roman" w:cs="Times New Roman"/>
                <w:szCs w:val="24"/>
              </w:rPr>
            </w:pPr>
            <w:r w:rsidRPr="004B6753">
              <w:rPr>
                <w:rFonts w:ascii="Times New Roman" w:hAnsi="Times New Roman" w:cs="Times New Roman"/>
                <w:szCs w:val="24"/>
              </w:rPr>
              <w:t>4.80</w:t>
            </w:r>
          </w:p>
        </w:tc>
        <w:tc>
          <w:tcPr>
            <w:tcW w:w="0" w:type="auto"/>
            <w:vAlign w:val="center"/>
            <w:hideMark/>
          </w:tcPr>
          <w:p w14:paraId="6C577589" w14:textId="77777777" w:rsidR="00812C67" w:rsidRPr="004B6753" w:rsidRDefault="00812C67" w:rsidP="004B6753">
            <w:pPr>
              <w:pStyle w:val="NoSpacing"/>
              <w:jc w:val="center"/>
              <w:rPr>
                <w:rFonts w:ascii="Times New Roman" w:hAnsi="Times New Roman" w:cs="Times New Roman"/>
                <w:szCs w:val="24"/>
              </w:rPr>
            </w:pPr>
            <w:r w:rsidRPr="004B6753">
              <w:rPr>
                <w:rFonts w:ascii="Times New Roman" w:hAnsi="Times New Roman" w:cs="Times New Roman"/>
                <w:szCs w:val="24"/>
              </w:rPr>
              <w:t>6.90</w:t>
            </w:r>
          </w:p>
        </w:tc>
        <w:tc>
          <w:tcPr>
            <w:tcW w:w="0" w:type="auto"/>
            <w:vAlign w:val="center"/>
            <w:hideMark/>
          </w:tcPr>
          <w:p w14:paraId="7244EBAC" w14:textId="77777777" w:rsidR="00812C67" w:rsidRPr="004B6753" w:rsidRDefault="00812C67" w:rsidP="004B6753">
            <w:pPr>
              <w:pStyle w:val="NoSpacing"/>
              <w:jc w:val="center"/>
              <w:rPr>
                <w:rFonts w:ascii="Times New Roman" w:hAnsi="Times New Roman" w:cs="Times New Roman"/>
                <w:szCs w:val="24"/>
              </w:rPr>
            </w:pPr>
            <w:r w:rsidRPr="004B6753">
              <w:rPr>
                <w:rFonts w:ascii="Times New Roman" w:hAnsi="Times New Roman" w:cs="Times New Roman"/>
                <w:szCs w:val="24"/>
              </w:rPr>
              <w:t>32.66</w:t>
            </w:r>
          </w:p>
        </w:tc>
        <w:tc>
          <w:tcPr>
            <w:tcW w:w="0" w:type="auto"/>
            <w:vAlign w:val="center"/>
            <w:hideMark/>
          </w:tcPr>
          <w:p w14:paraId="59121CB2" w14:textId="77777777" w:rsidR="00812C67" w:rsidRPr="004B6753" w:rsidRDefault="00812C67" w:rsidP="004B6753">
            <w:pPr>
              <w:pStyle w:val="NoSpacing"/>
              <w:jc w:val="center"/>
              <w:rPr>
                <w:rFonts w:ascii="Times New Roman" w:hAnsi="Times New Roman" w:cs="Times New Roman"/>
                <w:szCs w:val="24"/>
              </w:rPr>
            </w:pPr>
            <w:r w:rsidRPr="004B6753">
              <w:rPr>
                <w:rFonts w:ascii="Times New Roman" w:hAnsi="Times New Roman" w:cs="Times New Roman"/>
                <w:szCs w:val="24"/>
              </w:rPr>
              <w:t>136.56</w:t>
            </w:r>
          </w:p>
        </w:tc>
      </w:tr>
      <w:tr w:rsidR="00812C67" w:rsidRPr="004B6753" w14:paraId="58794F0F" w14:textId="77777777" w:rsidTr="004B6753">
        <w:tc>
          <w:tcPr>
            <w:tcW w:w="1632" w:type="dxa"/>
            <w:vMerge/>
            <w:hideMark/>
          </w:tcPr>
          <w:p w14:paraId="0838510E" w14:textId="77777777" w:rsidR="00812C67" w:rsidRPr="004B6753" w:rsidRDefault="00812C67" w:rsidP="00B77C0B">
            <w:pPr>
              <w:pStyle w:val="NoSpacing"/>
              <w:rPr>
                <w:rFonts w:ascii="Times New Roman" w:hAnsi="Times New Roman" w:cs="Times New Roman"/>
                <w:szCs w:val="24"/>
              </w:rPr>
            </w:pPr>
          </w:p>
        </w:tc>
        <w:tc>
          <w:tcPr>
            <w:tcW w:w="0" w:type="auto"/>
            <w:vAlign w:val="center"/>
            <w:hideMark/>
          </w:tcPr>
          <w:p w14:paraId="738A4998" w14:textId="77777777" w:rsidR="00812C67" w:rsidRPr="004B6753" w:rsidRDefault="00812C67" w:rsidP="004B6753">
            <w:pPr>
              <w:pStyle w:val="NoSpacing"/>
              <w:jc w:val="center"/>
              <w:rPr>
                <w:rFonts w:ascii="Times New Roman" w:hAnsi="Times New Roman" w:cs="Times New Roman"/>
                <w:szCs w:val="24"/>
              </w:rPr>
            </w:pPr>
            <w:r w:rsidRPr="004B6753">
              <w:rPr>
                <w:rFonts w:ascii="Times New Roman" w:hAnsi="Times New Roman" w:cs="Times New Roman"/>
                <w:i/>
                <w:iCs/>
                <w:szCs w:val="24"/>
              </w:rPr>
              <w:t>(3.37)</w:t>
            </w:r>
          </w:p>
        </w:tc>
        <w:tc>
          <w:tcPr>
            <w:tcW w:w="0" w:type="auto"/>
            <w:vAlign w:val="center"/>
            <w:hideMark/>
          </w:tcPr>
          <w:p w14:paraId="1B363F50" w14:textId="77777777" w:rsidR="00812C67" w:rsidRPr="004B6753" w:rsidRDefault="00812C67" w:rsidP="004B6753">
            <w:pPr>
              <w:pStyle w:val="NoSpacing"/>
              <w:jc w:val="center"/>
              <w:rPr>
                <w:rFonts w:ascii="Times New Roman" w:hAnsi="Times New Roman" w:cs="Times New Roman"/>
                <w:szCs w:val="24"/>
              </w:rPr>
            </w:pPr>
            <w:r w:rsidRPr="004B6753">
              <w:rPr>
                <w:rFonts w:ascii="Times New Roman" w:hAnsi="Times New Roman" w:cs="Times New Roman"/>
                <w:i/>
                <w:iCs/>
                <w:szCs w:val="24"/>
              </w:rPr>
              <w:t>(11.48)</w:t>
            </w:r>
          </w:p>
        </w:tc>
        <w:tc>
          <w:tcPr>
            <w:tcW w:w="0" w:type="auto"/>
            <w:vAlign w:val="center"/>
            <w:hideMark/>
          </w:tcPr>
          <w:p w14:paraId="0B27938B" w14:textId="77777777" w:rsidR="00812C67" w:rsidRPr="004B6753" w:rsidRDefault="00812C67" w:rsidP="004B6753">
            <w:pPr>
              <w:pStyle w:val="NoSpacing"/>
              <w:jc w:val="center"/>
              <w:rPr>
                <w:rFonts w:ascii="Times New Roman" w:hAnsi="Times New Roman" w:cs="Times New Roman"/>
                <w:szCs w:val="24"/>
              </w:rPr>
            </w:pPr>
            <w:r w:rsidRPr="004B6753">
              <w:rPr>
                <w:rFonts w:ascii="Times New Roman" w:hAnsi="Times New Roman" w:cs="Times New Roman"/>
                <w:i/>
                <w:iCs/>
                <w:szCs w:val="24"/>
              </w:rPr>
              <w:t>(2.33)</w:t>
            </w:r>
          </w:p>
        </w:tc>
        <w:tc>
          <w:tcPr>
            <w:tcW w:w="0" w:type="auto"/>
            <w:vAlign w:val="center"/>
            <w:hideMark/>
          </w:tcPr>
          <w:p w14:paraId="0853E6CF" w14:textId="77777777" w:rsidR="00812C67" w:rsidRPr="004B6753" w:rsidRDefault="00812C67" w:rsidP="004B6753">
            <w:pPr>
              <w:pStyle w:val="NoSpacing"/>
              <w:jc w:val="center"/>
              <w:rPr>
                <w:rFonts w:ascii="Times New Roman" w:hAnsi="Times New Roman" w:cs="Times New Roman"/>
                <w:szCs w:val="24"/>
              </w:rPr>
            </w:pPr>
            <w:r w:rsidRPr="004B6753">
              <w:rPr>
                <w:rFonts w:ascii="Times New Roman" w:hAnsi="Times New Roman" w:cs="Times New Roman"/>
                <w:i/>
                <w:iCs/>
                <w:szCs w:val="24"/>
              </w:rPr>
              <w:t>(4.17)</w:t>
            </w:r>
          </w:p>
        </w:tc>
        <w:tc>
          <w:tcPr>
            <w:tcW w:w="0" w:type="auto"/>
            <w:vAlign w:val="center"/>
            <w:hideMark/>
          </w:tcPr>
          <w:p w14:paraId="15CA463A" w14:textId="77777777" w:rsidR="00812C67" w:rsidRPr="004B6753" w:rsidRDefault="00812C67" w:rsidP="004B6753">
            <w:pPr>
              <w:pStyle w:val="NoSpacing"/>
              <w:jc w:val="center"/>
              <w:rPr>
                <w:rFonts w:ascii="Times New Roman" w:hAnsi="Times New Roman" w:cs="Times New Roman"/>
                <w:szCs w:val="24"/>
              </w:rPr>
            </w:pPr>
            <w:r w:rsidRPr="004B6753">
              <w:rPr>
                <w:rFonts w:ascii="Times New Roman" w:hAnsi="Times New Roman" w:cs="Times New Roman"/>
                <w:i/>
                <w:iCs/>
                <w:szCs w:val="24"/>
              </w:rPr>
              <w:t>(4.47)</w:t>
            </w:r>
          </w:p>
        </w:tc>
        <w:tc>
          <w:tcPr>
            <w:tcW w:w="0" w:type="auto"/>
            <w:vAlign w:val="center"/>
            <w:hideMark/>
          </w:tcPr>
          <w:p w14:paraId="0BF4ED4D" w14:textId="77777777" w:rsidR="00812C67" w:rsidRPr="004B6753" w:rsidRDefault="00812C67" w:rsidP="004B6753">
            <w:pPr>
              <w:pStyle w:val="NoSpacing"/>
              <w:jc w:val="center"/>
              <w:rPr>
                <w:rFonts w:ascii="Times New Roman" w:hAnsi="Times New Roman" w:cs="Times New Roman"/>
                <w:szCs w:val="24"/>
              </w:rPr>
            </w:pPr>
            <w:r w:rsidRPr="004B6753">
              <w:rPr>
                <w:rFonts w:ascii="Times New Roman" w:hAnsi="Times New Roman" w:cs="Times New Roman"/>
                <w:i/>
                <w:iCs/>
                <w:szCs w:val="24"/>
              </w:rPr>
              <w:t>(34.82)</w:t>
            </w:r>
          </w:p>
        </w:tc>
        <w:tc>
          <w:tcPr>
            <w:tcW w:w="0" w:type="auto"/>
            <w:vAlign w:val="center"/>
            <w:hideMark/>
          </w:tcPr>
          <w:p w14:paraId="4E40485D" w14:textId="77777777" w:rsidR="00812C67" w:rsidRPr="004B6753" w:rsidRDefault="00812C67" w:rsidP="004B6753">
            <w:pPr>
              <w:pStyle w:val="NoSpacing"/>
              <w:jc w:val="center"/>
              <w:rPr>
                <w:rFonts w:ascii="Times New Roman" w:hAnsi="Times New Roman" w:cs="Times New Roman"/>
                <w:szCs w:val="24"/>
              </w:rPr>
            </w:pPr>
            <w:r w:rsidRPr="004B6753">
              <w:rPr>
                <w:rFonts w:ascii="Times New Roman" w:hAnsi="Times New Roman" w:cs="Times New Roman"/>
                <w:i/>
                <w:iCs/>
                <w:szCs w:val="24"/>
              </w:rPr>
              <w:t>(6.87)</w:t>
            </w:r>
          </w:p>
        </w:tc>
        <w:tc>
          <w:tcPr>
            <w:tcW w:w="0" w:type="auto"/>
            <w:vAlign w:val="center"/>
            <w:hideMark/>
          </w:tcPr>
          <w:p w14:paraId="1324E3C4" w14:textId="77777777" w:rsidR="00812C67" w:rsidRPr="004B6753" w:rsidRDefault="00812C67" w:rsidP="004B6753">
            <w:pPr>
              <w:pStyle w:val="NoSpacing"/>
              <w:jc w:val="center"/>
              <w:rPr>
                <w:rFonts w:ascii="Times New Roman" w:hAnsi="Times New Roman" w:cs="Times New Roman"/>
                <w:szCs w:val="24"/>
              </w:rPr>
            </w:pPr>
            <w:r w:rsidRPr="004B6753">
              <w:rPr>
                <w:rFonts w:ascii="Times New Roman" w:hAnsi="Times New Roman" w:cs="Times New Roman"/>
                <w:i/>
                <w:iCs/>
                <w:szCs w:val="24"/>
              </w:rPr>
              <w:t>(3.52)</w:t>
            </w:r>
          </w:p>
        </w:tc>
        <w:tc>
          <w:tcPr>
            <w:tcW w:w="0" w:type="auto"/>
            <w:vAlign w:val="center"/>
            <w:hideMark/>
          </w:tcPr>
          <w:p w14:paraId="094290BA" w14:textId="77777777" w:rsidR="00812C67" w:rsidRPr="004B6753" w:rsidRDefault="00812C67" w:rsidP="004B6753">
            <w:pPr>
              <w:pStyle w:val="NoSpacing"/>
              <w:jc w:val="center"/>
              <w:rPr>
                <w:rFonts w:ascii="Times New Roman" w:hAnsi="Times New Roman" w:cs="Times New Roman"/>
                <w:szCs w:val="24"/>
              </w:rPr>
            </w:pPr>
            <w:r w:rsidRPr="004B6753">
              <w:rPr>
                <w:rFonts w:ascii="Times New Roman" w:hAnsi="Times New Roman" w:cs="Times New Roman"/>
                <w:i/>
                <w:iCs/>
                <w:szCs w:val="24"/>
              </w:rPr>
              <w:t>(5.05)</w:t>
            </w:r>
          </w:p>
        </w:tc>
        <w:tc>
          <w:tcPr>
            <w:tcW w:w="0" w:type="auto"/>
            <w:vAlign w:val="center"/>
            <w:hideMark/>
          </w:tcPr>
          <w:p w14:paraId="59B6DDBA" w14:textId="77777777" w:rsidR="00812C67" w:rsidRPr="004B6753" w:rsidRDefault="00812C67" w:rsidP="004B6753">
            <w:pPr>
              <w:pStyle w:val="NoSpacing"/>
              <w:jc w:val="center"/>
              <w:rPr>
                <w:rFonts w:ascii="Times New Roman" w:hAnsi="Times New Roman" w:cs="Times New Roman"/>
                <w:szCs w:val="24"/>
              </w:rPr>
            </w:pPr>
            <w:r w:rsidRPr="004B6753">
              <w:rPr>
                <w:rFonts w:ascii="Times New Roman" w:hAnsi="Times New Roman" w:cs="Times New Roman"/>
                <w:i/>
                <w:iCs/>
                <w:szCs w:val="24"/>
              </w:rPr>
              <w:t>(23.92)</w:t>
            </w:r>
          </w:p>
        </w:tc>
        <w:tc>
          <w:tcPr>
            <w:tcW w:w="0" w:type="auto"/>
            <w:vAlign w:val="center"/>
            <w:hideMark/>
          </w:tcPr>
          <w:p w14:paraId="5764FE36" w14:textId="77777777" w:rsidR="00812C67" w:rsidRPr="004B6753" w:rsidRDefault="00812C67" w:rsidP="004B6753">
            <w:pPr>
              <w:pStyle w:val="NoSpacing"/>
              <w:jc w:val="center"/>
              <w:rPr>
                <w:rFonts w:ascii="Times New Roman" w:hAnsi="Times New Roman" w:cs="Times New Roman"/>
                <w:szCs w:val="24"/>
              </w:rPr>
            </w:pPr>
            <w:r w:rsidRPr="004B6753">
              <w:rPr>
                <w:rFonts w:ascii="Times New Roman" w:hAnsi="Times New Roman" w:cs="Times New Roman"/>
                <w:i/>
                <w:iCs/>
                <w:szCs w:val="24"/>
              </w:rPr>
              <w:t>(100.00)</w:t>
            </w:r>
          </w:p>
        </w:tc>
      </w:tr>
      <w:tr w:rsidR="00416FA8" w:rsidRPr="004B6753" w14:paraId="2D92CC70" w14:textId="77777777" w:rsidTr="004B6753">
        <w:tc>
          <w:tcPr>
            <w:tcW w:w="1632" w:type="dxa"/>
            <w:hideMark/>
          </w:tcPr>
          <w:p w14:paraId="40DACC70" w14:textId="77777777" w:rsidR="00416FA8" w:rsidRPr="004B6753" w:rsidRDefault="00416FA8" w:rsidP="00B77C0B">
            <w:pPr>
              <w:pStyle w:val="NoSpacing"/>
              <w:rPr>
                <w:rFonts w:ascii="Times New Roman" w:hAnsi="Times New Roman" w:cs="Times New Roman"/>
                <w:szCs w:val="24"/>
              </w:rPr>
            </w:pPr>
            <w:r w:rsidRPr="004B6753">
              <w:rPr>
                <w:rFonts w:ascii="Times New Roman" w:hAnsi="Times New Roman" w:cs="Times New Roman"/>
                <w:szCs w:val="24"/>
              </w:rPr>
              <w:t>Madhya Pradesh</w:t>
            </w:r>
          </w:p>
        </w:tc>
        <w:tc>
          <w:tcPr>
            <w:tcW w:w="0" w:type="auto"/>
            <w:vAlign w:val="center"/>
            <w:hideMark/>
          </w:tcPr>
          <w:p w14:paraId="24E1C44C" w14:textId="77777777" w:rsidR="00416FA8" w:rsidRPr="004B6753" w:rsidRDefault="00416FA8" w:rsidP="004B6753">
            <w:pPr>
              <w:pStyle w:val="NoSpacing"/>
              <w:jc w:val="center"/>
              <w:rPr>
                <w:rFonts w:ascii="Times New Roman" w:hAnsi="Times New Roman" w:cs="Times New Roman"/>
                <w:szCs w:val="24"/>
              </w:rPr>
            </w:pPr>
          </w:p>
        </w:tc>
        <w:tc>
          <w:tcPr>
            <w:tcW w:w="0" w:type="auto"/>
            <w:vAlign w:val="center"/>
            <w:hideMark/>
          </w:tcPr>
          <w:p w14:paraId="043468C3" w14:textId="77777777" w:rsidR="00416FA8" w:rsidRPr="004B6753" w:rsidRDefault="00416FA8" w:rsidP="004B6753">
            <w:pPr>
              <w:pStyle w:val="NoSpacing"/>
              <w:jc w:val="center"/>
              <w:rPr>
                <w:rFonts w:ascii="Times New Roman" w:hAnsi="Times New Roman" w:cs="Times New Roman"/>
                <w:szCs w:val="24"/>
              </w:rPr>
            </w:pPr>
          </w:p>
        </w:tc>
        <w:tc>
          <w:tcPr>
            <w:tcW w:w="0" w:type="auto"/>
            <w:vAlign w:val="center"/>
            <w:hideMark/>
          </w:tcPr>
          <w:p w14:paraId="69A3A973" w14:textId="77777777" w:rsidR="00416FA8" w:rsidRPr="004B6753" w:rsidRDefault="00416FA8" w:rsidP="004B6753">
            <w:pPr>
              <w:pStyle w:val="NoSpacing"/>
              <w:jc w:val="center"/>
              <w:rPr>
                <w:rFonts w:ascii="Times New Roman" w:hAnsi="Times New Roman" w:cs="Times New Roman"/>
                <w:szCs w:val="24"/>
              </w:rPr>
            </w:pPr>
          </w:p>
        </w:tc>
        <w:tc>
          <w:tcPr>
            <w:tcW w:w="0" w:type="auto"/>
            <w:vAlign w:val="center"/>
            <w:hideMark/>
          </w:tcPr>
          <w:p w14:paraId="46A88BDA" w14:textId="77777777" w:rsidR="00416FA8" w:rsidRPr="004B6753" w:rsidRDefault="00416FA8" w:rsidP="004B6753">
            <w:pPr>
              <w:pStyle w:val="NoSpacing"/>
              <w:jc w:val="center"/>
              <w:rPr>
                <w:rFonts w:ascii="Times New Roman" w:hAnsi="Times New Roman" w:cs="Times New Roman"/>
                <w:szCs w:val="24"/>
              </w:rPr>
            </w:pPr>
          </w:p>
        </w:tc>
        <w:tc>
          <w:tcPr>
            <w:tcW w:w="0" w:type="auto"/>
            <w:vAlign w:val="center"/>
            <w:hideMark/>
          </w:tcPr>
          <w:p w14:paraId="4B09F353" w14:textId="77777777" w:rsidR="00416FA8" w:rsidRPr="004B6753" w:rsidRDefault="00416FA8" w:rsidP="004B6753">
            <w:pPr>
              <w:pStyle w:val="NoSpacing"/>
              <w:jc w:val="center"/>
              <w:rPr>
                <w:rFonts w:ascii="Times New Roman" w:hAnsi="Times New Roman" w:cs="Times New Roman"/>
                <w:szCs w:val="24"/>
              </w:rPr>
            </w:pPr>
          </w:p>
        </w:tc>
        <w:tc>
          <w:tcPr>
            <w:tcW w:w="0" w:type="auto"/>
            <w:vAlign w:val="center"/>
            <w:hideMark/>
          </w:tcPr>
          <w:p w14:paraId="57C89BC8" w14:textId="77777777" w:rsidR="00416FA8" w:rsidRPr="004B6753" w:rsidRDefault="00416FA8" w:rsidP="004B6753">
            <w:pPr>
              <w:pStyle w:val="NoSpacing"/>
              <w:jc w:val="center"/>
              <w:rPr>
                <w:rFonts w:ascii="Times New Roman" w:hAnsi="Times New Roman" w:cs="Times New Roman"/>
                <w:szCs w:val="24"/>
              </w:rPr>
            </w:pPr>
          </w:p>
        </w:tc>
        <w:tc>
          <w:tcPr>
            <w:tcW w:w="0" w:type="auto"/>
            <w:vAlign w:val="center"/>
            <w:hideMark/>
          </w:tcPr>
          <w:p w14:paraId="460D1F53" w14:textId="77777777" w:rsidR="00416FA8" w:rsidRPr="004B6753" w:rsidRDefault="00416FA8" w:rsidP="004B6753">
            <w:pPr>
              <w:pStyle w:val="NoSpacing"/>
              <w:jc w:val="center"/>
              <w:rPr>
                <w:rFonts w:ascii="Times New Roman" w:hAnsi="Times New Roman" w:cs="Times New Roman"/>
                <w:szCs w:val="24"/>
              </w:rPr>
            </w:pPr>
          </w:p>
        </w:tc>
        <w:tc>
          <w:tcPr>
            <w:tcW w:w="0" w:type="auto"/>
            <w:vAlign w:val="center"/>
            <w:hideMark/>
          </w:tcPr>
          <w:p w14:paraId="00777A90" w14:textId="77777777" w:rsidR="00416FA8" w:rsidRPr="004B6753" w:rsidRDefault="00416FA8" w:rsidP="004B6753">
            <w:pPr>
              <w:pStyle w:val="NoSpacing"/>
              <w:jc w:val="center"/>
              <w:rPr>
                <w:rFonts w:ascii="Times New Roman" w:hAnsi="Times New Roman" w:cs="Times New Roman"/>
                <w:szCs w:val="24"/>
              </w:rPr>
            </w:pPr>
          </w:p>
        </w:tc>
        <w:tc>
          <w:tcPr>
            <w:tcW w:w="0" w:type="auto"/>
            <w:vAlign w:val="center"/>
            <w:hideMark/>
          </w:tcPr>
          <w:p w14:paraId="02A59DC3" w14:textId="77777777" w:rsidR="00416FA8" w:rsidRPr="004B6753" w:rsidRDefault="00416FA8" w:rsidP="004B6753">
            <w:pPr>
              <w:pStyle w:val="NoSpacing"/>
              <w:jc w:val="center"/>
              <w:rPr>
                <w:rFonts w:ascii="Times New Roman" w:hAnsi="Times New Roman" w:cs="Times New Roman"/>
                <w:szCs w:val="24"/>
              </w:rPr>
            </w:pPr>
          </w:p>
        </w:tc>
        <w:tc>
          <w:tcPr>
            <w:tcW w:w="0" w:type="auto"/>
            <w:vAlign w:val="center"/>
            <w:hideMark/>
          </w:tcPr>
          <w:p w14:paraId="26A20534" w14:textId="77777777" w:rsidR="00416FA8" w:rsidRPr="004B6753" w:rsidRDefault="00416FA8" w:rsidP="004B6753">
            <w:pPr>
              <w:pStyle w:val="NoSpacing"/>
              <w:jc w:val="center"/>
              <w:rPr>
                <w:rFonts w:ascii="Times New Roman" w:hAnsi="Times New Roman" w:cs="Times New Roman"/>
                <w:szCs w:val="24"/>
              </w:rPr>
            </w:pPr>
          </w:p>
        </w:tc>
        <w:tc>
          <w:tcPr>
            <w:tcW w:w="0" w:type="auto"/>
            <w:vAlign w:val="center"/>
            <w:hideMark/>
          </w:tcPr>
          <w:p w14:paraId="30AE662E" w14:textId="77777777" w:rsidR="00416FA8" w:rsidRPr="004B6753" w:rsidRDefault="00416FA8" w:rsidP="004B6753">
            <w:pPr>
              <w:pStyle w:val="NoSpacing"/>
              <w:jc w:val="center"/>
              <w:rPr>
                <w:rFonts w:ascii="Times New Roman" w:hAnsi="Times New Roman" w:cs="Times New Roman"/>
                <w:szCs w:val="24"/>
              </w:rPr>
            </w:pPr>
          </w:p>
        </w:tc>
      </w:tr>
      <w:tr w:rsidR="00812C67" w:rsidRPr="004B6753" w14:paraId="7ABC70B4" w14:textId="77777777" w:rsidTr="004B6753">
        <w:tc>
          <w:tcPr>
            <w:tcW w:w="1632" w:type="dxa"/>
            <w:vMerge w:val="restart"/>
            <w:hideMark/>
          </w:tcPr>
          <w:p w14:paraId="73B9BF16" w14:textId="77777777" w:rsidR="00812C67" w:rsidRPr="004B6753" w:rsidRDefault="00812C67" w:rsidP="00B77C0B">
            <w:pPr>
              <w:pStyle w:val="NoSpacing"/>
              <w:rPr>
                <w:rFonts w:ascii="Times New Roman" w:hAnsi="Times New Roman" w:cs="Times New Roman"/>
                <w:szCs w:val="24"/>
              </w:rPr>
            </w:pPr>
            <w:r w:rsidRPr="004B6753">
              <w:rPr>
                <w:rFonts w:ascii="Times New Roman" w:hAnsi="Times New Roman" w:cs="Times New Roman"/>
                <w:szCs w:val="24"/>
              </w:rPr>
              <w:t>1961-62</w:t>
            </w:r>
          </w:p>
        </w:tc>
        <w:tc>
          <w:tcPr>
            <w:tcW w:w="0" w:type="auto"/>
            <w:vAlign w:val="center"/>
            <w:hideMark/>
          </w:tcPr>
          <w:p w14:paraId="37E4A1BF" w14:textId="77777777" w:rsidR="00812C67" w:rsidRPr="004B6753" w:rsidRDefault="00812C67" w:rsidP="004B6753">
            <w:pPr>
              <w:pStyle w:val="NoSpacing"/>
              <w:jc w:val="center"/>
              <w:rPr>
                <w:rFonts w:ascii="Times New Roman" w:hAnsi="Times New Roman" w:cs="Times New Roman"/>
                <w:szCs w:val="24"/>
              </w:rPr>
            </w:pPr>
            <w:r w:rsidRPr="004B6753">
              <w:rPr>
                <w:rFonts w:ascii="Times New Roman" w:hAnsi="Times New Roman" w:cs="Times New Roman"/>
                <w:szCs w:val="24"/>
              </w:rPr>
              <w:t>7.65</w:t>
            </w:r>
          </w:p>
        </w:tc>
        <w:tc>
          <w:tcPr>
            <w:tcW w:w="0" w:type="auto"/>
            <w:vAlign w:val="center"/>
            <w:hideMark/>
          </w:tcPr>
          <w:p w14:paraId="591DEA16" w14:textId="77777777" w:rsidR="00812C67" w:rsidRPr="004B6753" w:rsidRDefault="00812C67" w:rsidP="004B6753">
            <w:pPr>
              <w:pStyle w:val="NoSpacing"/>
              <w:jc w:val="center"/>
              <w:rPr>
                <w:rFonts w:ascii="Times New Roman" w:hAnsi="Times New Roman" w:cs="Times New Roman"/>
                <w:szCs w:val="24"/>
              </w:rPr>
            </w:pPr>
            <w:r w:rsidRPr="004B6753">
              <w:rPr>
                <w:rFonts w:ascii="Times New Roman" w:hAnsi="Times New Roman" w:cs="Times New Roman"/>
                <w:szCs w:val="24"/>
              </w:rPr>
              <w:t>5.00</w:t>
            </w:r>
          </w:p>
        </w:tc>
        <w:tc>
          <w:tcPr>
            <w:tcW w:w="0" w:type="auto"/>
            <w:vAlign w:val="center"/>
            <w:hideMark/>
          </w:tcPr>
          <w:p w14:paraId="6BAA35B1" w14:textId="77777777" w:rsidR="00812C67" w:rsidRPr="004B6753" w:rsidRDefault="00812C67" w:rsidP="004B6753">
            <w:pPr>
              <w:pStyle w:val="NoSpacing"/>
              <w:jc w:val="center"/>
              <w:rPr>
                <w:rFonts w:ascii="Times New Roman" w:hAnsi="Times New Roman" w:cs="Times New Roman"/>
                <w:szCs w:val="24"/>
              </w:rPr>
            </w:pPr>
            <w:r w:rsidRPr="004B6753">
              <w:rPr>
                <w:rFonts w:ascii="Times New Roman" w:hAnsi="Times New Roman" w:cs="Times New Roman"/>
                <w:szCs w:val="24"/>
              </w:rPr>
              <w:t>4.29</w:t>
            </w:r>
          </w:p>
        </w:tc>
        <w:tc>
          <w:tcPr>
            <w:tcW w:w="0" w:type="auto"/>
            <w:vAlign w:val="center"/>
            <w:hideMark/>
          </w:tcPr>
          <w:p w14:paraId="7BDAB01F" w14:textId="77777777" w:rsidR="00812C67" w:rsidRPr="004B6753" w:rsidRDefault="00812C67" w:rsidP="004B6753">
            <w:pPr>
              <w:pStyle w:val="NoSpacing"/>
              <w:jc w:val="center"/>
              <w:rPr>
                <w:rFonts w:ascii="Times New Roman" w:hAnsi="Times New Roman" w:cs="Times New Roman"/>
                <w:szCs w:val="24"/>
              </w:rPr>
            </w:pPr>
            <w:r w:rsidRPr="004B6753">
              <w:rPr>
                <w:rFonts w:ascii="Times New Roman" w:hAnsi="Times New Roman" w:cs="Times New Roman"/>
                <w:szCs w:val="24"/>
              </w:rPr>
              <w:t>7.66</w:t>
            </w:r>
          </w:p>
        </w:tc>
        <w:tc>
          <w:tcPr>
            <w:tcW w:w="0" w:type="auto"/>
            <w:vAlign w:val="center"/>
            <w:hideMark/>
          </w:tcPr>
          <w:p w14:paraId="0FA399F7" w14:textId="77777777" w:rsidR="00812C67" w:rsidRPr="004B6753" w:rsidRDefault="00812C67" w:rsidP="004B6753">
            <w:pPr>
              <w:pStyle w:val="NoSpacing"/>
              <w:jc w:val="center"/>
              <w:rPr>
                <w:rFonts w:ascii="Times New Roman" w:hAnsi="Times New Roman" w:cs="Times New Roman"/>
                <w:szCs w:val="24"/>
              </w:rPr>
            </w:pPr>
            <w:r w:rsidRPr="004B6753">
              <w:rPr>
                <w:rFonts w:ascii="Times New Roman" w:hAnsi="Times New Roman" w:cs="Times New Roman"/>
                <w:szCs w:val="24"/>
              </w:rPr>
              <w:t>1.74</w:t>
            </w:r>
          </w:p>
        </w:tc>
        <w:tc>
          <w:tcPr>
            <w:tcW w:w="0" w:type="auto"/>
            <w:vAlign w:val="center"/>
            <w:hideMark/>
          </w:tcPr>
          <w:p w14:paraId="12564039" w14:textId="77777777" w:rsidR="00812C67" w:rsidRPr="004B6753" w:rsidRDefault="00812C67" w:rsidP="004B6753">
            <w:pPr>
              <w:pStyle w:val="NoSpacing"/>
              <w:jc w:val="center"/>
              <w:rPr>
                <w:rFonts w:ascii="Times New Roman" w:hAnsi="Times New Roman" w:cs="Times New Roman"/>
                <w:szCs w:val="24"/>
              </w:rPr>
            </w:pPr>
            <w:r w:rsidRPr="004B6753">
              <w:rPr>
                <w:rFonts w:ascii="Times New Roman" w:hAnsi="Times New Roman" w:cs="Times New Roman"/>
                <w:szCs w:val="24"/>
              </w:rPr>
              <w:t>18.20</w:t>
            </w:r>
          </w:p>
        </w:tc>
        <w:tc>
          <w:tcPr>
            <w:tcW w:w="0" w:type="auto"/>
            <w:vAlign w:val="center"/>
            <w:hideMark/>
          </w:tcPr>
          <w:p w14:paraId="11EA739F" w14:textId="77777777" w:rsidR="00812C67" w:rsidRPr="004B6753" w:rsidRDefault="00812C67" w:rsidP="004B6753">
            <w:pPr>
              <w:pStyle w:val="NoSpacing"/>
              <w:jc w:val="center"/>
              <w:rPr>
                <w:rFonts w:ascii="Times New Roman" w:hAnsi="Times New Roman" w:cs="Times New Roman"/>
                <w:szCs w:val="24"/>
              </w:rPr>
            </w:pPr>
            <w:r w:rsidRPr="004B6753">
              <w:rPr>
                <w:rFonts w:ascii="Times New Roman" w:hAnsi="Times New Roman" w:cs="Times New Roman"/>
                <w:szCs w:val="24"/>
              </w:rPr>
              <w:t>3.84</w:t>
            </w:r>
          </w:p>
        </w:tc>
        <w:tc>
          <w:tcPr>
            <w:tcW w:w="0" w:type="auto"/>
            <w:vAlign w:val="center"/>
            <w:hideMark/>
          </w:tcPr>
          <w:p w14:paraId="6A6254FB" w14:textId="77777777" w:rsidR="00812C67" w:rsidRPr="004B6753" w:rsidRDefault="00812C67" w:rsidP="004B6753">
            <w:pPr>
              <w:pStyle w:val="NoSpacing"/>
              <w:jc w:val="center"/>
              <w:rPr>
                <w:rFonts w:ascii="Times New Roman" w:hAnsi="Times New Roman" w:cs="Times New Roman"/>
                <w:szCs w:val="24"/>
              </w:rPr>
            </w:pPr>
            <w:r w:rsidRPr="004B6753">
              <w:rPr>
                <w:rFonts w:ascii="Times New Roman" w:hAnsi="Times New Roman" w:cs="Times New Roman"/>
                <w:szCs w:val="24"/>
              </w:rPr>
              <w:t>5.66</w:t>
            </w:r>
          </w:p>
        </w:tc>
        <w:tc>
          <w:tcPr>
            <w:tcW w:w="0" w:type="auto"/>
            <w:vAlign w:val="center"/>
            <w:hideMark/>
          </w:tcPr>
          <w:p w14:paraId="59630031" w14:textId="77777777" w:rsidR="00812C67" w:rsidRPr="004B6753" w:rsidRDefault="00812C67" w:rsidP="004B6753">
            <w:pPr>
              <w:pStyle w:val="NoSpacing"/>
              <w:jc w:val="center"/>
              <w:rPr>
                <w:rFonts w:ascii="Times New Roman" w:hAnsi="Times New Roman" w:cs="Times New Roman"/>
                <w:szCs w:val="24"/>
              </w:rPr>
            </w:pPr>
            <w:r w:rsidRPr="004B6753">
              <w:rPr>
                <w:rFonts w:ascii="Times New Roman" w:hAnsi="Times New Roman" w:cs="Times New Roman"/>
                <w:szCs w:val="24"/>
              </w:rPr>
              <w:t>3.65</w:t>
            </w:r>
          </w:p>
        </w:tc>
        <w:tc>
          <w:tcPr>
            <w:tcW w:w="0" w:type="auto"/>
            <w:vAlign w:val="center"/>
            <w:hideMark/>
          </w:tcPr>
          <w:p w14:paraId="460B3DEE" w14:textId="77777777" w:rsidR="00812C67" w:rsidRPr="004B6753" w:rsidRDefault="00812C67" w:rsidP="004B6753">
            <w:pPr>
              <w:pStyle w:val="NoSpacing"/>
              <w:jc w:val="center"/>
              <w:rPr>
                <w:rFonts w:ascii="Times New Roman" w:hAnsi="Times New Roman" w:cs="Times New Roman"/>
                <w:szCs w:val="24"/>
              </w:rPr>
            </w:pPr>
            <w:r w:rsidRPr="004B6753">
              <w:rPr>
                <w:rFonts w:ascii="Times New Roman" w:hAnsi="Times New Roman" w:cs="Times New Roman"/>
                <w:szCs w:val="24"/>
              </w:rPr>
              <w:t>22.80</w:t>
            </w:r>
          </w:p>
        </w:tc>
        <w:tc>
          <w:tcPr>
            <w:tcW w:w="0" w:type="auto"/>
            <w:vAlign w:val="center"/>
            <w:hideMark/>
          </w:tcPr>
          <w:p w14:paraId="38539D0B" w14:textId="77777777" w:rsidR="00812C67" w:rsidRPr="004B6753" w:rsidRDefault="00812C67" w:rsidP="004B6753">
            <w:pPr>
              <w:pStyle w:val="NoSpacing"/>
              <w:jc w:val="center"/>
              <w:rPr>
                <w:rFonts w:ascii="Times New Roman" w:hAnsi="Times New Roman" w:cs="Times New Roman"/>
                <w:szCs w:val="24"/>
              </w:rPr>
            </w:pPr>
            <w:r w:rsidRPr="004B6753">
              <w:rPr>
                <w:rFonts w:ascii="Times New Roman" w:hAnsi="Times New Roman" w:cs="Times New Roman"/>
                <w:szCs w:val="24"/>
              </w:rPr>
              <w:t>80.49</w:t>
            </w:r>
          </w:p>
        </w:tc>
      </w:tr>
      <w:tr w:rsidR="00812C67" w:rsidRPr="004B6753" w14:paraId="39D22AE0" w14:textId="77777777" w:rsidTr="004B6753">
        <w:tc>
          <w:tcPr>
            <w:tcW w:w="1632" w:type="dxa"/>
            <w:vMerge/>
            <w:hideMark/>
          </w:tcPr>
          <w:p w14:paraId="2A3CB50F" w14:textId="77777777" w:rsidR="00812C67" w:rsidRPr="004B6753" w:rsidRDefault="00812C67" w:rsidP="00B77C0B">
            <w:pPr>
              <w:pStyle w:val="NoSpacing"/>
              <w:rPr>
                <w:rFonts w:ascii="Times New Roman" w:hAnsi="Times New Roman" w:cs="Times New Roman"/>
                <w:szCs w:val="24"/>
              </w:rPr>
            </w:pPr>
          </w:p>
        </w:tc>
        <w:tc>
          <w:tcPr>
            <w:tcW w:w="0" w:type="auto"/>
            <w:vAlign w:val="center"/>
            <w:hideMark/>
          </w:tcPr>
          <w:p w14:paraId="75FACA1A" w14:textId="77777777" w:rsidR="00812C67" w:rsidRPr="004B6753" w:rsidRDefault="00812C67" w:rsidP="004B6753">
            <w:pPr>
              <w:pStyle w:val="NoSpacing"/>
              <w:jc w:val="center"/>
              <w:rPr>
                <w:rFonts w:ascii="Times New Roman" w:hAnsi="Times New Roman" w:cs="Times New Roman"/>
                <w:szCs w:val="24"/>
              </w:rPr>
            </w:pPr>
            <w:r w:rsidRPr="004B6753">
              <w:rPr>
                <w:rFonts w:ascii="Times New Roman" w:hAnsi="Times New Roman" w:cs="Times New Roman"/>
                <w:i/>
                <w:iCs/>
                <w:szCs w:val="24"/>
              </w:rPr>
              <w:t>(9.50)</w:t>
            </w:r>
          </w:p>
        </w:tc>
        <w:tc>
          <w:tcPr>
            <w:tcW w:w="0" w:type="auto"/>
            <w:vAlign w:val="center"/>
            <w:hideMark/>
          </w:tcPr>
          <w:p w14:paraId="3128367E" w14:textId="77777777" w:rsidR="00812C67" w:rsidRPr="004B6753" w:rsidRDefault="00812C67" w:rsidP="004B6753">
            <w:pPr>
              <w:pStyle w:val="NoSpacing"/>
              <w:jc w:val="center"/>
              <w:rPr>
                <w:rFonts w:ascii="Times New Roman" w:hAnsi="Times New Roman" w:cs="Times New Roman"/>
                <w:szCs w:val="24"/>
              </w:rPr>
            </w:pPr>
            <w:r w:rsidRPr="004B6753">
              <w:rPr>
                <w:rFonts w:ascii="Times New Roman" w:hAnsi="Times New Roman" w:cs="Times New Roman"/>
                <w:i/>
                <w:iCs/>
                <w:szCs w:val="24"/>
              </w:rPr>
              <w:t>(6.21)</w:t>
            </w:r>
          </w:p>
        </w:tc>
        <w:tc>
          <w:tcPr>
            <w:tcW w:w="0" w:type="auto"/>
            <w:vAlign w:val="center"/>
            <w:hideMark/>
          </w:tcPr>
          <w:p w14:paraId="6EBF3ABD" w14:textId="77777777" w:rsidR="00812C67" w:rsidRPr="004B6753" w:rsidRDefault="00812C67" w:rsidP="004B6753">
            <w:pPr>
              <w:pStyle w:val="NoSpacing"/>
              <w:jc w:val="center"/>
              <w:rPr>
                <w:rFonts w:ascii="Times New Roman" w:hAnsi="Times New Roman" w:cs="Times New Roman"/>
                <w:szCs w:val="24"/>
              </w:rPr>
            </w:pPr>
            <w:r w:rsidRPr="004B6753">
              <w:rPr>
                <w:rFonts w:ascii="Times New Roman" w:hAnsi="Times New Roman" w:cs="Times New Roman"/>
                <w:i/>
                <w:iCs/>
                <w:szCs w:val="24"/>
              </w:rPr>
              <w:t>(5.33)</w:t>
            </w:r>
          </w:p>
        </w:tc>
        <w:tc>
          <w:tcPr>
            <w:tcW w:w="0" w:type="auto"/>
            <w:vAlign w:val="center"/>
            <w:hideMark/>
          </w:tcPr>
          <w:p w14:paraId="393D62FD" w14:textId="77777777" w:rsidR="00812C67" w:rsidRPr="004B6753" w:rsidRDefault="00812C67" w:rsidP="004B6753">
            <w:pPr>
              <w:pStyle w:val="NoSpacing"/>
              <w:jc w:val="center"/>
              <w:rPr>
                <w:rFonts w:ascii="Times New Roman" w:hAnsi="Times New Roman" w:cs="Times New Roman"/>
                <w:szCs w:val="24"/>
              </w:rPr>
            </w:pPr>
            <w:r w:rsidRPr="004B6753">
              <w:rPr>
                <w:rFonts w:ascii="Times New Roman" w:hAnsi="Times New Roman" w:cs="Times New Roman"/>
                <w:i/>
                <w:iCs/>
                <w:szCs w:val="24"/>
              </w:rPr>
              <w:t>(9.52)</w:t>
            </w:r>
          </w:p>
        </w:tc>
        <w:tc>
          <w:tcPr>
            <w:tcW w:w="0" w:type="auto"/>
            <w:vAlign w:val="center"/>
            <w:hideMark/>
          </w:tcPr>
          <w:p w14:paraId="030B6758" w14:textId="77777777" w:rsidR="00812C67" w:rsidRPr="004B6753" w:rsidRDefault="00812C67" w:rsidP="004B6753">
            <w:pPr>
              <w:pStyle w:val="NoSpacing"/>
              <w:jc w:val="center"/>
              <w:rPr>
                <w:rFonts w:ascii="Times New Roman" w:hAnsi="Times New Roman" w:cs="Times New Roman"/>
                <w:szCs w:val="24"/>
              </w:rPr>
            </w:pPr>
            <w:r w:rsidRPr="004B6753">
              <w:rPr>
                <w:rFonts w:ascii="Times New Roman" w:hAnsi="Times New Roman" w:cs="Times New Roman"/>
                <w:i/>
                <w:iCs/>
                <w:szCs w:val="24"/>
              </w:rPr>
              <w:t>(2.16)</w:t>
            </w:r>
          </w:p>
        </w:tc>
        <w:tc>
          <w:tcPr>
            <w:tcW w:w="0" w:type="auto"/>
            <w:vAlign w:val="center"/>
            <w:hideMark/>
          </w:tcPr>
          <w:p w14:paraId="67884FDE" w14:textId="77777777" w:rsidR="00812C67" w:rsidRPr="004B6753" w:rsidRDefault="00812C67" w:rsidP="004B6753">
            <w:pPr>
              <w:pStyle w:val="NoSpacing"/>
              <w:jc w:val="center"/>
              <w:rPr>
                <w:rFonts w:ascii="Times New Roman" w:hAnsi="Times New Roman" w:cs="Times New Roman"/>
                <w:szCs w:val="24"/>
              </w:rPr>
            </w:pPr>
            <w:r w:rsidRPr="004B6753">
              <w:rPr>
                <w:rFonts w:ascii="Times New Roman" w:hAnsi="Times New Roman" w:cs="Times New Roman"/>
                <w:i/>
                <w:iCs/>
                <w:szCs w:val="24"/>
              </w:rPr>
              <w:t>(22.61)</w:t>
            </w:r>
          </w:p>
        </w:tc>
        <w:tc>
          <w:tcPr>
            <w:tcW w:w="0" w:type="auto"/>
            <w:vAlign w:val="center"/>
            <w:hideMark/>
          </w:tcPr>
          <w:p w14:paraId="736CDAA1" w14:textId="77777777" w:rsidR="00812C67" w:rsidRPr="004B6753" w:rsidRDefault="00812C67" w:rsidP="004B6753">
            <w:pPr>
              <w:pStyle w:val="NoSpacing"/>
              <w:jc w:val="center"/>
              <w:rPr>
                <w:rFonts w:ascii="Times New Roman" w:hAnsi="Times New Roman" w:cs="Times New Roman"/>
                <w:szCs w:val="24"/>
              </w:rPr>
            </w:pPr>
            <w:r w:rsidRPr="004B6753">
              <w:rPr>
                <w:rFonts w:ascii="Times New Roman" w:hAnsi="Times New Roman" w:cs="Times New Roman"/>
                <w:i/>
                <w:iCs/>
                <w:szCs w:val="24"/>
              </w:rPr>
              <w:t>(4.77)</w:t>
            </w:r>
          </w:p>
        </w:tc>
        <w:tc>
          <w:tcPr>
            <w:tcW w:w="0" w:type="auto"/>
            <w:vAlign w:val="center"/>
            <w:hideMark/>
          </w:tcPr>
          <w:p w14:paraId="320C414F" w14:textId="77777777" w:rsidR="00812C67" w:rsidRPr="004B6753" w:rsidRDefault="00812C67" w:rsidP="004B6753">
            <w:pPr>
              <w:pStyle w:val="NoSpacing"/>
              <w:jc w:val="center"/>
              <w:rPr>
                <w:rFonts w:ascii="Times New Roman" w:hAnsi="Times New Roman" w:cs="Times New Roman"/>
                <w:szCs w:val="24"/>
              </w:rPr>
            </w:pPr>
            <w:r w:rsidRPr="004B6753">
              <w:rPr>
                <w:rFonts w:ascii="Times New Roman" w:hAnsi="Times New Roman" w:cs="Times New Roman"/>
                <w:i/>
                <w:iCs/>
                <w:szCs w:val="24"/>
              </w:rPr>
              <w:t>(7.03)</w:t>
            </w:r>
          </w:p>
        </w:tc>
        <w:tc>
          <w:tcPr>
            <w:tcW w:w="0" w:type="auto"/>
            <w:vAlign w:val="center"/>
            <w:hideMark/>
          </w:tcPr>
          <w:p w14:paraId="1B32400E" w14:textId="77777777" w:rsidR="00812C67" w:rsidRPr="004B6753" w:rsidRDefault="00812C67" w:rsidP="004B6753">
            <w:pPr>
              <w:pStyle w:val="NoSpacing"/>
              <w:jc w:val="center"/>
              <w:rPr>
                <w:rFonts w:ascii="Times New Roman" w:hAnsi="Times New Roman" w:cs="Times New Roman"/>
                <w:szCs w:val="24"/>
              </w:rPr>
            </w:pPr>
            <w:r w:rsidRPr="004B6753">
              <w:rPr>
                <w:rFonts w:ascii="Times New Roman" w:hAnsi="Times New Roman" w:cs="Times New Roman"/>
                <w:i/>
                <w:iCs/>
                <w:szCs w:val="24"/>
              </w:rPr>
              <w:t>(4.54)</w:t>
            </w:r>
          </w:p>
        </w:tc>
        <w:tc>
          <w:tcPr>
            <w:tcW w:w="0" w:type="auto"/>
            <w:vAlign w:val="center"/>
            <w:hideMark/>
          </w:tcPr>
          <w:p w14:paraId="71D01015" w14:textId="77777777" w:rsidR="00812C67" w:rsidRPr="004B6753" w:rsidRDefault="00812C67" w:rsidP="004B6753">
            <w:pPr>
              <w:pStyle w:val="NoSpacing"/>
              <w:jc w:val="center"/>
              <w:rPr>
                <w:rFonts w:ascii="Times New Roman" w:hAnsi="Times New Roman" w:cs="Times New Roman"/>
                <w:szCs w:val="24"/>
              </w:rPr>
            </w:pPr>
            <w:r w:rsidRPr="004B6753">
              <w:rPr>
                <w:rFonts w:ascii="Times New Roman" w:hAnsi="Times New Roman" w:cs="Times New Roman"/>
                <w:i/>
                <w:iCs/>
                <w:szCs w:val="24"/>
              </w:rPr>
              <w:t>(28.33)</w:t>
            </w:r>
          </w:p>
        </w:tc>
        <w:tc>
          <w:tcPr>
            <w:tcW w:w="0" w:type="auto"/>
            <w:vAlign w:val="center"/>
            <w:hideMark/>
          </w:tcPr>
          <w:p w14:paraId="5605DBE8" w14:textId="77777777" w:rsidR="00812C67" w:rsidRPr="004B6753" w:rsidRDefault="00812C67" w:rsidP="004B6753">
            <w:pPr>
              <w:pStyle w:val="NoSpacing"/>
              <w:jc w:val="center"/>
              <w:rPr>
                <w:rFonts w:ascii="Times New Roman" w:hAnsi="Times New Roman" w:cs="Times New Roman"/>
                <w:szCs w:val="24"/>
              </w:rPr>
            </w:pPr>
            <w:r w:rsidRPr="004B6753">
              <w:rPr>
                <w:rFonts w:ascii="Times New Roman" w:hAnsi="Times New Roman" w:cs="Times New Roman"/>
                <w:i/>
                <w:iCs/>
                <w:szCs w:val="24"/>
              </w:rPr>
              <w:t>(100.00)</w:t>
            </w:r>
          </w:p>
        </w:tc>
      </w:tr>
      <w:tr w:rsidR="00416FA8" w:rsidRPr="004B6753" w14:paraId="0FB5E74E" w14:textId="77777777" w:rsidTr="004B6753">
        <w:tc>
          <w:tcPr>
            <w:tcW w:w="1632" w:type="dxa"/>
            <w:hideMark/>
          </w:tcPr>
          <w:p w14:paraId="4EC393D0" w14:textId="77777777" w:rsidR="00416FA8" w:rsidRPr="004B6753" w:rsidRDefault="00416FA8" w:rsidP="00B77C0B">
            <w:pPr>
              <w:pStyle w:val="NoSpacing"/>
              <w:rPr>
                <w:rFonts w:ascii="Times New Roman" w:hAnsi="Times New Roman" w:cs="Times New Roman"/>
                <w:szCs w:val="24"/>
              </w:rPr>
            </w:pPr>
            <w:r w:rsidRPr="004B6753">
              <w:rPr>
                <w:rFonts w:ascii="Times New Roman" w:hAnsi="Times New Roman" w:cs="Times New Roman"/>
                <w:szCs w:val="24"/>
              </w:rPr>
              <w:t>1965-66</w:t>
            </w:r>
          </w:p>
        </w:tc>
        <w:tc>
          <w:tcPr>
            <w:tcW w:w="0" w:type="auto"/>
            <w:vAlign w:val="center"/>
            <w:hideMark/>
          </w:tcPr>
          <w:p w14:paraId="400A747E" w14:textId="77777777" w:rsidR="00416FA8" w:rsidRPr="004B6753" w:rsidRDefault="00416FA8" w:rsidP="004B6753">
            <w:pPr>
              <w:pStyle w:val="NoSpacing"/>
              <w:jc w:val="center"/>
              <w:rPr>
                <w:rFonts w:ascii="Times New Roman" w:hAnsi="Times New Roman" w:cs="Times New Roman"/>
                <w:szCs w:val="24"/>
              </w:rPr>
            </w:pPr>
            <w:r w:rsidRPr="004B6753">
              <w:rPr>
                <w:rFonts w:ascii="Times New Roman" w:hAnsi="Times New Roman" w:cs="Times New Roman"/>
                <w:szCs w:val="24"/>
              </w:rPr>
              <w:t>4.66</w:t>
            </w:r>
          </w:p>
        </w:tc>
        <w:tc>
          <w:tcPr>
            <w:tcW w:w="0" w:type="auto"/>
            <w:vAlign w:val="center"/>
            <w:hideMark/>
          </w:tcPr>
          <w:p w14:paraId="6C23EF1F" w14:textId="77777777" w:rsidR="00416FA8" w:rsidRPr="004B6753" w:rsidRDefault="00416FA8" w:rsidP="004B6753">
            <w:pPr>
              <w:pStyle w:val="NoSpacing"/>
              <w:jc w:val="center"/>
              <w:rPr>
                <w:rFonts w:ascii="Times New Roman" w:hAnsi="Times New Roman" w:cs="Times New Roman"/>
                <w:szCs w:val="24"/>
              </w:rPr>
            </w:pPr>
            <w:r w:rsidRPr="004B6753">
              <w:rPr>
                <w:rFonts w:ascii="Times New Roman" w:hAnsi="Times New Roman" w:cs="Times New Roman"/>
                <w:szCs w:val="24"/>
              </w:rPr>
              <w:t>15.22</w:t>
            </w:r>
          </w:p>
        </w:tc>
        <w:tc>
          <w:tcPr>
            <w:tcW w:w="0" w:type="auto"/>
            <w:vAlign w:val="center"/>
            <w:hideMark/>
          </w:tcPr>
          <w:p w14:paraId="399960F0" w14:textId="77777777" w:rsidR="00416FA8" w:rsidRPr="004B6753" w:rsidRDefault="00416FA8" w:rsidP="004B6753">
            <w:pPr>
              <w:pStyle w:val="NoSpacing"/>
              <w:jc w:val="center"/>
              <w:rPr>
                <w:rFonts w:ascii="Times New Roman" w:hAnsi="Times New Roman" w:cs="Times New Roman"/>
                <w:szCs w:val="24"/>
              </w:rPr>
            </w:pPr>
            <w:r w:rsidRPr="004B6753">
              <w:rPr>
                <w:rFonts w:ascii="Times New Roman" w:hAnsi="Times New Roman" w:cs="Times New Roman"/>
                <w:szCs w:val="24"/>
              </w:rPr>
              <w:t>4.68</w:t>
            </w:r>
          </w:p>
        </w:tc>
        <w:tc>
          <w:tcPr>
            <w:tcW w:w="0" w:type="auto"/>
            <w:vAlign w:val="center"/>
            <w:hideMark/>
          </w:tcPr>
          <w:p w14:paraId="4C28A796" w14:textId="77777777" w:rsidR="00416FA8" w:rsidRPr="004B6753" w:rsidRDefault="00416FA8" w:rsidP="004B6753">
            <w:pPr>
              <w:pStyle w:val="NoSpacing"/>
              <w:jc w:val="center"/>
              <w:rPr>
                <w:rFonts w:ascii="Times New Roman" w:hAnsi="Times New Roman" w:cs="Times New Roman"/>
                <w:szCs w:val="24"/>
              </w:rPr>
            </w:pPr>
            <w:r w:rsidRPr="004B6753">
              <w:rPr>
                <w:rFonts w:ascii="Times New Roman" w:hAnsi="Times New Roman" w:cs="Times New Roman"/>
                <w:szCs w:val="24"/>
              </w:rPr>
              <w:t>9.54</w:t>
            </w:r>
          </w:p>
        </w:tc>
        <w:tc>
          <w:tcPr>
            <w:tcW w:w="0" w:type="auto"/>
            <w:vAlign w:val="center"/>
            <w:hideMark/>
          </w:tcPr>
          <w:p w14:paraId="4EB1FB82" w14:textId="77777777" w:rsidR="00416FA8" w:rsidRPr="004B6753" w:rsidRDefault="00416FA8" w:rsidP="004B6753">
            <w:pPr>
              <w:pStyle w:val="NoSpacing"/>
              <w:jc w:val="center"/>
              <w:rPr>
                <w:rFonts w:ascii="Times New Roman" w:hAnsi="Times New Roman" w:cs="Times New Roman"/>
                <w:szCs w:val="24"/>
              </w:rPr>
            </w:pPr>
            <w:r w:rsidRPr="004B6753">
              <w:rPr>
                <w:rFonts w:ascii="Times New Roman" w:hAnsi="Times New Roman" w:cs="Times New Roman"/>
                <w:szCs w:val="24"/>
              </w:rPr>
              <w:t>2.63</w:t>
            </w:r>
          </w:p>
        </w:tc>
        <w:tc>
          <w:tcPr>
            <w:tcW w:w="0" w:type="auto"/>
            <w:vAlign w:val="center"/>
            <w:hideMark/>
          </w:tcPr>
          <w:p w14:paraId="1D0A9826" w14:textId="77777777" w:rsidR="00416FA8" w:rsidRPr="004B6753" w:rsidRDefault="00416FA8" w:rsidP="004B6753">
            <w:pPr>
              <w:pStyle w:val="NoSpacing"/>
              <w:jc w:val="center"/>
              <w:rPr>
                <w:rFonts w:ascii="Times New Roman" w:hAnsi="Times New Roman" w:cs="Times New Roman"/>
                <w:szCs w:val="24"/>
              </w:rPr>
            </w:pPr>
            <w:r w:rsidRPr="004B6753">
              <w:rPr>
                <w:rFonts w:ascii="Times New Roman" w:hAnsi="Times New Roman" w:cs="Times New Roman"/>
                <w:szCs w:val="24"/>
              </w:rPr>
              <w:t>29.96</w:t>
            </w:r>
          </w:p>
        </w:tc>
        <w:tc>
          <w:tcPr>
            <w:tcW w:w="0" w:type="auto"/>
            <w:vAlign w:val="center"/>
            <w:hideMark/>
          </w:tcPr>
          <w:p w14:paraId="3A7BAF30" w14:textId="77777777" w:rsidR="00416FA8" w:rsidRPr="004B6753" w:rsidRDefault="00416FA8" w:rsidP="004B6753">
            <w:pPr>
              <w:pStyle w:val="NoSpacing"/>
              <w:jc w:val="center"/>
              <w:rPr>
                <w:rFonts w:ascii="Times New Roman" w:hAnsi="Times New Roman" w:cs="Times New Roman"/>
                <w:szCs w:val="24"/>
              </w:rPr>
            </w:pPr>
            <w:r w:rsidRPr="004B6753">
              <w:rPr>
                <w:rFonts w:ascii="Times New Roman" w:hAnsi="Times New Roman" w:cs="Times New Roman"/>
                <w:szCs w:val="24"/>
              </w:rPr>
              <w:t>5.12</w:t>
            </w:r>
          </w:p>
        </w:tc>
        <w:tc>
          <w:tcPr>
            <w:tcW w:w="0" w:type="auto"/>
            <w:vAlign w:val="center"/>
            <w:hideMark/>
          </w:tcPr>
          <w:p w14:paraId="35FCA5EC" w14:textId="77777777" w:rsidR="00416FA8" w:rsidRPr="004B6753" w:rsidRDefault="00416FA8" w:rsidP="004B6753">
            <w:pPr>
              <w:pStyle w:val="NoSpacing"/>
              <w:jc w:val="center"/>
              <w:rPr>
                <w:rFonts w:ascii="Times New Roman" w:hAnsi="Times New Roman" w:cs="Times New Roman"/>
                <w:szCs w:val="24"/>
              </w:rPr>
            </w:pPr>
            <w:r w:rsidRPr="004B6753">
              <w:rPr>
                <w:rFonts w:ascii="Times New Roman" w:hAnsi="Times New Roman" w:cs="Times New Roman"/>
                <w:szCs w:val="24"/>
              </w:rPr>
              <w:t>5.77</w:t>
            </w:r>
          </w:p>
        </w:tc>
        <w:tc>
          <w:tcPr>
            <w:tcW w:w="0" w:type="auto"/>
            <w:vAlign w:val="center"/>
            <w:hideMark/>
          </w:tcPr>
          <w:p w14:paraId="38760E46" w14:textId="77777777" w:rsidR="00416FA8" w:rsidRPr="004B6753" w:rsidRDefault="00416FA8" w:rsidP="004B6753">
            <w:pPr>
              <w:pStyle w:val="NoSpacing"/>
              <w:jc w:val="center"/>
              <w:rPr>
                <w:rFonts w:ascii="Times New Roman" w:hAnsi="Times New Roman" w:cs="Times New Roman"/>
                <w:szCs w:val="24"/>
              </w:rPr>
            </w:pPr>
            <w:r w:rsidRPr="004B6753">
              <w:rPr>
                <w:rFonts w:ascii="Times New Roman" w:hAnsi="Times New Roman" w:cs="Times New Roman"/>
                <w:szCs w:val="24"/>
              </w:rPr>
              <w:t>7.76</w:t>
            </w:r>
          </w:p>
        </w:tc>
        <w:tc>
          <w:tcPr>
            <w:tcW w:w="0" w:type="auto"/>
            <w:vAlign w:val="center"/>
            <w:hideMark/>
          </w:tcPr>
          <w:p w14:paraId="240E6E78" w14:textId="77777777" w:rsidR="00416FA8" w:rsidRPr="004B6753" w:rsidRDefault="00416FA8" w:rsidP="004B6753">
            <w:pPr>
              <w:pStyle w:val="NoSpacing"/>
              <w:jc w:val="center"/>
              <w:rPr>
                <w:rFonts w:ascii="Times New Roman" w:hAnsi="Times New Roman" w:cs="Times New Roman"/>
                <w:szCs w:val="24"/>
              </w:rPr>
            </w:pPr>
            <w:r w:rsidRPr="004B6753">
              <w:rPr>
                <w:rFonts w:ascii="Times New Roman" w:hAnsi="Times New Roman" w:cs="Times New Roman"/>
                <w:szCs w:val="24"/>
              </w:rPr>
              <w:t>40.34</w:t>
            </w:r>
          </w:p>
        </w:tc>
        <w:tc>
          <w:tcPr>
            <w:tcW w:w="0" w:type="auto"/>
            <w:vAlign w:val="center"/>
            <w:hideMark/>
          </w:tcPr>
          <w:p w14:paraId="58B0BFAB" w14:textId="77777777" w:rsidR="00416FA8" w:rsidRPr="004B6753" w:rsidRDefault="00416FA8" w:rsidP="004B6753">
            <w:pPr>
              <w:pStyle w:val="NoSpacing"/>
              <w:jc w:val="center"/>
              <w:rPr>
                <w:rFonts w:ascii="Times New Roman" w:hAnsi="Times New Roman" w:cs="Times New Roman"/>
                <w:szCs w:val="24"/>
              </w:rPr>
            </w:pPr>
            <w:r w:rsidRPr="004B6753">
              <w:rPr>
                <w:rFonts w:ascii="Times New Roman" w:hAnsi="Times New Roman" w:cs="Times New Roman"/>
                <w:szCs w:val="24"/>
              </w:rPr>
              <w:t>125.68</w:t>
            </w:r>
          </w:p>
        </w:tc>
      </w:tr>
      <w:tr w:rsidR="00416FA8" w:rsidRPr="004B6753" w14:paraId="2D8FD3B5" w14:textId="77777777" w:rsidTr="004B6753">
        <w:tc>
          <w:tcPr>
            <w:tcW w:w="1632" w:type="dxa"/>
            <w:hideMark/>
          </w:tcPr>
          <w:p w14:paraId="50774931" w14:textId="77777777" w:rsidR="00416FA8" w:rsidRPr="004B6753" w:rsidRDefault="00416FA8" w:rsidP="00B77C0B">
            <w:pPr>
              <w:pStyle w:val="NoSpacing"/>
              <w:rPr>
                <w:rFonts w:ascii="Times New Roman" w:hAnsi="Times New Roman" w:cs="Times New Roman"/>
                <w:szCs w:val="24"/>
              </w:rPr>
            </w:pPr>
            <w:r w:rsidRPr="004B6753">
              <w:rPr>
                <w:rFonts w:ascii="Times New Roman" w:hAnsi="Times New Roman" w:cs="Times New Roman"/>
                <w:szCs w:val="24"/>
              </w:rPr>
              <w:t>1966-67</w:t>
            </w:r>
          </w:p>
        </w:tc>
        <w:tc>
          <w:tcPr>
            <w:tcW w:w="0" w:type="auto"/>
            <w:vAlign w:val="center"/>
            <w:hideMark/>
          </w:tcPr>
          <w:p w14:paraId="0B3FBCF0" w14:textId="77777777" w:rsidR="00416FA8" w:rsidRPr="004B6753" w:rsidRDefault="00416FA8" w:rsidP="004B6753">
            <w:pPr>
              <w:pStyle w:val="NoSpacing"/>
              <w:jc w:val="center"/>
              <w:rPr>
                <w:rFonts w:ascii="Times New Roman" w:hAnsi="Times New Roman" w:cs="Times New Roman"/>
                <w:szCs w:val="24"/>
              </w:rPr>
            </w:pPr>
            <w:r w:rsidRPr="004B6753">
              <w:rPr>
                <w:rFonts w:ascii="Times New Roman" w:hAnsi="Times New Roman" w:cs="Times New Roman"/>
                <w:szCs w:val="24"/>
              </w:rPr>
              <w:t>5.13</w:t>
            </w:r>
          </w:p>
        </w:tc>
        <w:tc>
          <w:tcPr>
            <w:tcW w:w="0" w:type="auto"/>
            <w:vAlign w:val="center"/>
            <w:hideMark/>
          </w:tcPr>
          <w:p w14:paraId="273FF863" w14:textId="77777777" w:rsidR="00416FA8" w:rsidRPr="004B6753" w:rsidRDefault="00416FA8" w:rsidP="004B6753">
            <w:pPr>
              <w:pStyle w:val="NoSpacing"/>
              <w:jc w:val="center"/>
              <w:rPr>
                <w:rFonts w:ascii="Times New Roman" w:hAnsi="Times New Roman" w:cs="Times New Roman"/>
                <w:szCs w:val="24"/>
              </w:rPr>
            </w:pPr>
            <w:r w:rsidRPr="004B6753">
              <w:rPr>
                <w:rFonts w:ascii="Times New Roman" w:hAnsi="Times New Roman" w:cs="Times New Roman"/>
                <w:szCs w:val="24"/>
              </w:rPr>
              <w:t>21.77</w:t>
            </w:r>
          </w:p>
        </w:tc>
        <w:tc>
          <w:tcPr>
            <w:tcW w:w="0" w:type="auto"/>
            <w:vAlign w:val="center"/>
            <w:hideMark/>
          </w:tcPr>
          <w:p w14:paraId="5C28C674" w14:textId="77777777" w:rsidR="00416FA8" w:rsidRPr="004B6753" w:rsidRDefault="00416FA8" w:rsidP="004B6753">
            <w:pPr>
              <w:pStyle w:val="NoSpacing"/>
              <w:jc w:val="center"/>
              <w:rPr>
                <w:rFonts w:ascii="Times New Roman" w:hAnsi="Times New Roman" w:cs="Times New Roman"/>
                <w:szCs w:val="24"/>
              </w:rPr>
            </w:pPr>
            <w:r w:rsidRPr="004B6753">
              <w:rPr>
                <w:rFonts w:ascii="Times New Roman" w:hAnsi="Times New Roman" w:cs="Times New Roman"/>
                <w:szCs w:val="24"/>
              </w:rPr>
              <w:t>4.75</w:t>
            </w:r>
          </w:p>
        </w:tc>
        <w:tc>
          <w:tcPr>
            <w:tcW w:w="0" w:type="auto"/>
            <w:vAlign w:val="center"/>
            <w:hideMark/>
          </w:tcPr>
          <w:p w14:paraId="23523DD6" w14:textId="77777777" w:rsidR="00416FA8" w:rsidRPr="004B6753" w:rsidRDefault="00416FA8" w:rsidP="004B6753">
            <w:pPr>
              <w:pStyle w:val="NoSpacing"/>
              <w:jc w:val="center"/>
              <w:rPr>
                <w:rFonts w:ascii="Times New Roman" w:hAnsi="Times New Roman" w:cs="Times New Roman"/>
                <w:szCs w:val="24"/>
              </w:rPr>
            </w:pPr>
            <w:r w:rsidRPr="004B6753">
              <w:rPr>
                <w:rFonts w:ascii="Times New Roman" w:hAnsi="Times New Roman" w:cs="Times New Roman"/>
                <w:szCs w:val="24"/>
              </w:rPr>
              <w:t>11.24</w:t>
            </w:r>
          </w:p>
        </w:tc>
        <w:tc>
          <w:tcPr>
            <w:tcW w:w="0" w:type="auto"/>
            <w:vAlign w:val="center"/>
            <w:hideMark/>
          </w:tcPr>
          <w:p w14:paraId="251B1196" w14:textId="77777777" w:rsidR="00416FA8" w:rsidRPr="004B6753" w:rsidRDefault="00416FA8" w:rsidP="004B6753">
            <w:pPr>
              <w:pStyle w:val="NoSpacing"/>
              <w:jc w:val="center"/>
              <w:rPr>
                <w:rFonts w:ascii="Times New Roman" w:hAnsi="Times New Roman" w:cs="Times New Roman"/>
                <w:szCs w:val="24"/>
              </w:rPr>
            </w:pPr>
            <w:r w:rsidRPr="004B6753">
              <w:rPr>
                <w:rFonts w:ascii="Times New Roman" w:hAnsi="Times New Roman" w:cs="Times New Roman"/>
                <w:szCs w:val="24"/>
              </w:rPr>
              <w:t>3.12</w:t>
            </w:r>
          </w:p>
        </w:tc>
        <w:tc>
          <w:tcPr>
            <w:tcW w:w="0" w:type="auto"/>
            <w:vAlign w:val="center"/>
            <w:hideMark/>
          </w:tcPr>
          <w:p w14:paraId="1A7E6EFA" w14:textId="77777777" w:rsidR="00416FA8" w:rsidRPr="004B6753" w:rsidRDefault="00416FA8" w:rsidP="004B6753">
            <w:pPr>
              <w:pStyle w:val="NoSpacing"/>
              <w:jc w:val="center"/>
              <w:rPr>
                <w:rFonts w:ascii="Times New Roman" w:hAnsi="Times New Roman" w:cs="Times New Roman"/>
                <w:szCs w:val="24"/>
              </w:rPr>
            </w:pPr>
            <w:r w:rsidRPr="004B6753">
              <w:rPr>
                <w:rFonts w:ascii="Times New Roman" w:hAnsi="Times New Roman" w:cs="Times New Roman"/>
                <w:szCs w:val="24"/>
              </w:rPr>
              <w:t>31.14</w:t>
            </w:r>
          </w:p>
        </w:tc>
        <w:tc>
          <w:tcPr>
            <w:tcW w:w="0" w:type="auto"/>
            <w:vAlign w:val="center"/>
            <w:hideMark/>
          </w:tcPr>
          <w:p w14:paraId="7F742B3B" w14:textId="77777777" w:rsidR="00416FA8" w:rsidRPr="004B6753" w:rsidRDefault="00416FA8" w:rsidP="004B6753">
            <w:pPr>
              <w:pStyle w:val="NoSpacing"/>
              <w:jc w:val="center"/>
              <w:rPr>
                <w:rFonts w:ascii="Times New Roman" w:hAnsi="Times New Roman" w:cs="Times New Roman"/>
                <w:szCs w:val="24"/>
              </w:rPr>
            </w:pPr>
            <w:r w:rsidRPr="004B6753">
              <w:rPr>
                <w:rFonts w:ascii="Times New Roman" w:hAnsi="Times New Roman" w:cs="Times New Roman"/>
                <w:szCs w:val="24"/>
              </w:rPr>
              <w:t>5.40</w:t>
            </w:r>
          </w:p>
        </w:tc>
        <w:tc>
          <w:tcPr>
            <w:tcW w:w="0" w:type="auto"/>
            <w:vAlign w:val="center"/>
            <w:hideMark/>
          </w:tcPr>
          <w:p w14:paraId="26AB8267" w14:textId="77777777" w:rsidR="00416FA8" w:rsidRPr="004B6753" w:rsidRDefault="00416FA8" w:rsidP="004B6753">
            <w:pPr>
              <w:pStyle w:val="NoSpacing"/>
              <w:jc w:val="center"/>
              <w:rPr>
                <w:rFonts w:ascii="Times New Roman" w:hAnsi="Times New Roman" w:cs="Times New Roman"/>
                <w:szCs w:val="24"/>
              </w:rPr>
            </w:pPr>
            <w:r w:rsidRPr="004B6753">
              <w:rPr>
                <w:rFonts w:ascii="Times New Roman" w:hAnsi="Times New Roman" w:cs="Times New Roman"/>
                <w:szCs w:val="24"/>
              </w:rPr>
              <w:t>6.07</w:t>
            </w:r>
          </w:p>
        </w:tc>
        <w:tc>
          <w:tcPr>
            <w:tcW w:w="0" w:type="auto"/>
            <w:vAlign w:val="center"/>
            <w:hideMark/>
          </w:tcPr>
          <w:p w14:paraId="1CB66896" w14:textId="77777777" w:rsidR="00416FA8" w:rsidRPr="004B6753" w:rsidRDefault="00416FA8" w:rsidP="004B6753">
            <w:pPr>
              <w:pStyle w:val="NoSpacing"/>
              <w:jc w:val="center"/>
              <w:rPr>
                <w:rFonts w:ascii="Times New Roman" w:hAnsi="Times New Roman" w:cs="Times New Roman"/>
                <w:szCs w:val="24"/>
              </w:rPr>
            </w:pPr>
            <w:r w:rsidRPr="004B6753">
              <w:rPr>
                <w:rFonts w:ascii="Times New Roman" w:hAnsi="Times New Roman" w:cs="Times New Roman"/>
                <w:szCs w:val="24"/>
              </w:rPr>
              <w:t>7.31</w:t>
            </w:r>
          </w:p>
        </w:tc>
        <w:tc>
          <w:tcPr>
            <w:tcW w:w="0" w:type="auto"/>
            <w:vAlign w:val="center"/>
            <w:hideMark/>
          </w:tcPr>
          <w:p w14:paraId="1CD6FAB1" w14:textId="77777777" w:rsidR="00416FA8" w:rsidRPr="004B6753" w:rsidRDefault="00416FA8" w:rsidP="004B6753">
            <w:pPr>
              <w:pStyle w:val="NoSpacing"/>
              <w:jc w:val="center"/>
              <w:rPr>
                <w:rFonts w:ascii="Times New Roman" w:hAnsi="Times New Roman" w:cs="Times New Roman"/>
                <w:szCs w:val="24"/>
              </w:rPr>
            </w:pPr>
            <w:r w:rsidRPr="004B6753">
              <w:rPr>
                <w:rFonts w:ascii="Times New Roman" w:hAnsi="Times New Roman" w:cs="Times New Roman"/>
                <w:szCs w:val="24"/>
              </w:rPr>
              <w:t>59.68</w:t>
            </w:r>
          </w:p>
        </w:tc>
        <w:tc>
          <w:tcPr>
            <w:tcW w:w="0" w:type="auto"/>
            <w:vAlign w:val="center"/>
            <w:hideMark/>
          </w:tcPr>
          <w:p w14:paraId="7E5C149D" w14:textId="77777777" w:rsidR="00416FA8" w:rsidRPr="004B6753" w:rsidRDefault="00416FA8" w:rsidP="004B6753">
            <w:pPr>
              <w:pStyle w:val="NoSpacing"/>
              <w:jc w:val="center"/>
              <w:rPr>
                <w:rFonts w:ascii="Times New Roman" w:hAnsi="Times New Roman" w:cs="Times New Roman"/>
                <w:szCs w:val="24"/>
              </w:rPr>
            </w:pPr>
            <w:r w:rsidRPr="004B6753">
              <w:rPr>
                <w:rFonts w:ascii="Times New Roman" w:hAnsi="Times New Roman" w:cs="Times New Roman"/>
                <w:szCs w:val="24"/>
              </w:rPr>
              <w:t>155.61</w:t>
            </w:r>
          </w:p>
        </w:tc>
      </w:tr>
      <w:tr w:rsidR="00416FA8" w:rsidRPr="004B6753" w14:paraId="2E37DB09" w14:textId="77777777" w:rsidTr="004B6753">
        <w:tc>
          <w:tcPr>
            <w:tcW w:w="1632" w:type="dxa"/>
            <w:hideMark/>
          </w:tcPr>
          <w:p w14:paraId="01B98639" w14:textId="77777777" w:rsidR="00416FA8" w:rsidRPr="004B6753" w:rsidRDefault="00416FA8" w:rsidP="00B77C0B">
            <w:pPr>
              <w:pStyle w:val="NoSpacing"/>
              <w:rPr>
                <w:rFonts w:ascii="Times New Roman" w:hAnsi="Times New Roman" w:cs="Times New Roman"/>
                <w:szCs w:val="24"/>
              </w:rPr>
            </w:pPr>
            <w:r w:rsidRPr="004B6753">
              <w:rPr>
                <w:rFonts w:ascii="Times New Roman" w:hAnsi="Times New Roman" w:cs="Times New Roman"/>
                <w:szCs w:val="24"/>
              </w:rPr>
              <w:t>1967-68</w:t>
            </w:r>
          </w:p>
        </w:tc>
        <w:tc>
          <w:tcPr>
            <w:tcW w:w="0" w:type="auto"/>
            <w:vAlign w:val="center"/>
            <w:hideMark/>
          </w:tcPr>
          <w:p w14:paraId="455EE66A" w14:textId="77777777" w:rsidR="00416FA8" w:rsidRPr="004B6753" w:rsidRDefault="00416FA8" w:rsidP="004B6753">
            <w:pPr>
              <w:pStyle w:val="NoSpacing"/>
              <w:jc w:val="center"/>
              <w:rPr>
                <w:rFonts w:ascii="Times New Roman" w:hAnsi="Times New Roman" w:cs="Times New Roman"/>
                <w:szCs w:val="24"/>
              </w:rPr>
            </w:pPr>
            <w:r w:rsidRPr="004B6753">
              <w:rPr>
                <w:rFonts w:ascii="Times New Roman" w:hAnsi="Times New Roman" w:cs="Times New Roman"/>
                <w:szCs w:val="24"/>
              </w:rPr>
              <w:t>5.92</w:t>
            </w:r>
          </w:p>
        </w:tc>
        <w:tc>
          <w:tcPr>
            <w:tcW w:w="0" w:type="auto"/>
            <w:vAlign w:val="center"/>
            <w:hideMark/>
          </w:tcPr>
          <w:p w14:paraId="64BA42B4" w14:textId="77777777" w:rsidR="00416FA8" w:rsidRPr="004B6753" w:rsidRDefault="00416FA8" w:rsidP="004B6753">
            <w:pPr>
              <w:pStyle w:val="NoSpacing"/>
              <w:jc w:val="center"/>
              <w:rPr>
                <w:rFonts w:ascii="Times New Roman" w:hAnsi="Times New Roman" w:cs="Times New Roman"/>
                <w:szCs w:val="24"/>
              </w:rPr>
            </w:pPr>
            <w:r w:rsidRPr="004B6753">
              <w:rPr>
                <w:rFonts w:ascii="Times New Roman" w:hAnsi="Times New Roman" w:cs="Times New Roman"/>
                <w:szCs w:val="24"/>
              </w:rPr>
              <w:t>25.34</w:t>
            </w:r>
          </w:p>
        </w:tc>
        <w:tc>
          <w:tcPr>
            <w:tcW w:w="0" w:type="auto"/>
            <w:vAlign w:val="center"/>
            <w:hideMark/>
          </w:tcPr>
          <w:p w14:paraId="589DEE32" w14:textId="77777777" w:rsidR="00416FA8" w:rsidRPr="004B6753" w:rsidRDefault="00416FA8" w:rsidP="004B6753">
            <w:pPr>
              <w:pStyle w:val="NoSpacing"/>
              <w:jc w:val="center"/>
              <w:rPr>
                <w:rFonts w:ascii="Times New Roman" w:hAnsi="Times New Roman" w:cs="Times New Roman"/>
                <w:szCs w:val="24"/>
              </w:rPr>
            </w:pPr>
            <w:r w:rsidRPr="004B6753">
              <w:rPr>
                <w:rFonts w:ascii="Times New Roman" w:hAnsi="Times New Roman" w:cs="Times New Roman"/>
                <w:szCs w:val="24"/>
              </w:rPr>
              <w:t>5.85</w:t>
            </w:r>
          </w:p>
        </w:tc>
        <w:tc>
          <w:tcPr>
            <w:tcW w:w="0" w:type="auto"/>
            <w:vAlign w:val="center"/>
            <w:hideMark/>
          </w:tcPr>
          <w:p w14:paraId="3DC7E934" w14:textId="77777777" w:rsidR="00416FA8" w:rsidRPr="004B6753" w:rsidRDefault="00416FA8" w:rsidP="004B6753">
            <w:pPr>
              <w:pStyle w:val="NoSpacing"/>
              <w:jc w:val="center"/>
              <w:rPr>
                <w:rFonts w:ascii="Times New Roman" w:hAnsi="Times New Roman" w:cs="Times New Roman"/>
                <w:szCs w:val="24"/>
              </w:rPr>
            </w:pPr>
            <w:r w:rsidRPr="004B6753">
              <w:rPr>
                <w:rFonts w:ascii="Times New Roman" w:hAnsi="Times New Roman" w:cs="Times New Roman"/>
                <w:szCs w:val="24"/>
              </w:rPr>
              <w:t>13.00</w:t>
            </w:r>
          </w:p>
        </w:tc>
        <w:tc>
          <w:tcPr>
            <w:tcW w:w="0" w:type="auto"/>
            <w:vAlign w:val="center"/>
            <w:hideMark/>
          </w:tcPr>
          <w:p w14:paraId="394A3F17" w14:textId="77777777" w:rsidR="00416FA8" w:rsidRPr="004B6753" w:rsidRDefault="00416FA8" w:rsidP="004B6753">
            <w:pPr>
              <w:pStyle w:val="NoSpacing"/>
              <w:jc w:val="center"/>
              <w:rPr>
                <w:rFonts w:ascii="Times New Roman" w:hAnsi="Times New Roman" w:cs="Times New Roman"/>
                <w:szCs w:val="24"/>
              </w:rPr>
            </w:pPr>
            <w:r w:rsidRPr="004B6753">
              <w:rPr>
                <w:rFonts w:ascii="Times New Roman" w:hAnsi="Times New Roman" w:cs="Times New Roman"/>
                <w:szCs w:val="24"/>
              </w:rPr>
              <w:t>3.70</w:t>
            </w:r>
          </w:p>
        </w:tc>
        <w:tc>
          <w:tcPr>
            <w:tcW w:w="0" w:type="auto"/>
            <w:vAlign w:val="center"/>
            <w:hideMark/>
          </w:tcPr>
          <w:p w14:paraId="70632EF8" w14:textId="77777777" w:rsidR="00416FA8" w:rsidRPr="004B6753" w:rsidRDefault="00416FA8" w:rsidP="004B6753">
            <w:pPr>
              <w:pStyle w:val="NoSpacing"/>
              <w:jc w:val="center"/>
              <w:rPr>
                <w:rFonts w:ascii="Times New Roman" w:hAnsi="Times New Roman" w:cs="Times New Roman"/>
                <w:szCs w:val="24"/>
              </w:rPr>
            </w:pPr>
            <w:r w:rsidRPr="004B6753">
              <w:rPr>
                <w:rFonts w:ascii="Times New Roman" w:hAnsi="Times New Roman" w:cs="Times New Roman"/>
                <w:szCs w:val="24"/>
              </w:rPr>
              <w:t>39.68</w:t>
            </w:r>
          </w:p>
        </w:tc>
        <w:tc>
          <w:tcPr>
            <w:tcW w:w="0" w:type="auto"/>
            <w:vAlign w:val="center"/>
            <w:hideMark/>
          </w:tcPr>
          <w:p w14:paraId="280DC33A" w14:textId="77777777" w:rsidR="00416FA8" w:rsidRPr="004B6753" w:rsidRDefault="00416FA8" w:rsidP="004B6753">
            <w:pPr>
              <w:pStyle w:val="NoSpacing"/>
              <w:jc w:val="center"/>
              <w:rPr>
                <w:rFonts w:ascii="Times New Roman" w:hAnsi="Times New Roman" w:cs="Times New Roman"/>
                <w:szCs w:val="24"/>
              </w:rPr>
            </w:pPr>
            <w:r w:rsidRPr="004B6753">
              <w:rPr>
                <w:rFonts w:ascii="Times New Roman" w:hAnsi="Times New Roman" w:cs="Times New Roman"/>
                <w:szCs w:val="24"/>
              </w:rPr>
              <w:t>6.10</w:t>
            </w:r>
          </w:p>
        </w:tc>
        <w:tc>
          <w:tcPr>
            <w:tcW w:w="0" w:type="auto"/>
            <w:vAlign w:val="center"/>
            <w:hideMark/>
          </w:tcPr>
          <w:p w14:paraId="33074789" w14:textId="77777777" w:rsidR="00416FA8" w:rsidRPr="004B6753" w:rsidRDefault="00416FA8" w:rsidP="004B6753">
            <w:pPr>
              <w:pStyle w:val="NoSpacing"/>
              <w:jc w:val="center"/>
              <w:rPr>
                <w:rFonts w:ascii="Times New Roman" w:hAnsi="Times New Roman" w:cs="Times New Roman"/>
                <w:szCs w:val="24"/>
              </w:rPr>
            </w:pPr>
            <w:r w:rsidRPr="004B6753">
              <w:rPr>
                <w:rFonts w:ascii="Times New Roman" w:hAnsi="Times New Roman" w:cs="Times New Roman"/>
                <w:szCs w:val="24"/>
              </w:rPr>
              <w:t>7.72</w:t>
            </w:r>
          </w:p>
        </w:tc>
        <w:tc>
          <w:tcPr>
            <w:tcW w:w="0" w:type="auto"/>
            <w:vAlign w:val="center"/>
            <w:hideMark/>
          </w:tcPr>
          <w:p w14:paraId="395026D7" w14:textId="77777777" w:rsidR="00416FA8" w:rsidRPr="004B6753" w:rsidRDefault="00416FA8" w:rsidP="004B6753">
            <w:pPr>
              <w:pStyle w:val="NoSpacing"/>
              <w:jc w:val="center"/>
              <w:rPr>
                <w:rFonts w:ascii="Times New Roman" w:hAnsi="Times New Roman" w:cs="Times New Roman"/>
                <w:szCs w:val="24"/>
              </w:rPr>
            </w:pPr>
            <w:r w:rsidRPr="004B6753">
              <w:rPr>
                <w:rFonts w:ascii="Times New Roman" w:hAnsi="Times New Roman" w:cs="Times New Roman"/>
                <w:szCs w:val="24"/>
              </w:rPr>
              <w:t>9.57</w:t>
            </w:r>
          </w:p>
        </w:tc>
        <w:tc>
          <w:tcPr>
            <w:tcW w:w="0" w:type="auto"/>
            <w:vAlign w:val="center"/>
            <w:hideMark/>
          </w:tcPr>
          <w:p w14:paraId="52EED84D" w14:textId="77777777" w:rsidR="00416FA8" w:rsidRPr="004B6753" w:rsidRDefault="00416FA8" w:rsidP="004B6753">
            <w:pPr>
              <w:pStyle w:val="NoSpacing"/>
              <w:jc w:val="center"/>
              <w:rPr>
                <w:rFonts w:ascii="Times New Roman" w:hAnsi="Times New Roman" w:cs="Times New Roman"/>
                <w:szCs w:val="24"/>
              </w:rPr>
            </w:pPr>
            <w:r w:rsidRPr="004B6753">
              <w:rPr>
                <w:rFonts w:ascii="Times New Roman" w:hAnsi="Times New Roman" w:cs="Times New Roman"/>
                <w:szCs w:val="24"/>
              </w:rPr>
              <w:t>60.04</w:t>
            </w:r>
          </w:p>
        </w:tc>
        <w:tc>
          <w:tcPr>
            <w:tcW w:w="0" w:type="auto"/>
            <w:vAlign w:val="center"/>
            <w:hideMark/>
          </w:tcPr>
          <w:p w14:paraId="2FECE5C7" w14:textId="77777777" w:rsidR="00416FA8" w:rsidRPr="004B6753" w:rsidRDefault="00416FA8" w:rsidP="004B6753">
            <w:pPr>
              <w:pStyle w:val="NoSpacing"/>
              <w:jc w:val="center"/>
              <w:rPr>
                <w:rFonts w:ascii="Times New Roman" w:hAnsi="Times New Roman" w:cs="Times New Roman"/>
                <w:szCs w:val="24"/>
              </w:rPr>
            </w:pPr>
            <w:r w:rsidRPr="004B6753">
              <w:rPr>
                <w:rFonts w:ascii="Times New Roman" w:hAnsi="Times New Roman" w:cs="Times New Roman"/>
                <w:szCs w:val="24"/>
              </w:rPr>
              <w:t>176.93</w:t>
            </w:r>
          </w:p>
        </w:tc>
      </w:tr>
      <w:tr w:rsidR="00812C67" w:rsidRPr="004B6753" w14:paraId="55471A82" w14:textId="77777777" w:rsidTr="004B6753">
        <w:tc>
          <w:tcPr>
            <w:tcW w:w="1632" w:type="dxa"/>
            <w:vMerge w:val="restart"/>
            <w:hideMark/>
          </w:tcPr>
          <w:p w14:paraId="2FDAB6A5" w14:textId="77777777" w:rsidR="00812C67" w:rsidRPr="004B6753" w:rsidRDefault="00812C67" w:rsidP="00B77C0B">
            <w:pPr>
              <w:pStyle w:val="NoSpacing"/>
              <w:rPr>
                <w:rFonts w:ascii="Times New Roman" w:hAnsi="Times New Roman" w:cs="Times New Roman"/>
                <w:szCs w:val="24"/>
              </w:rPr>
            </w:pPr>
            <w:r w:rsidRPr="004B6753">
              <w:rPr>
                <w:rFonts w:ascii="Times New Roman" w:hAnsi="Times New Roman" w:cs="Times New Roman"/>
                <w:szCs w:val="24"/>
              </w:rPr>
              <w:t>1968-69 (RE)</w:t>
            </w:r>
          </w:p>
        </w:tc>
        <w:tc>
          <w:tcPr>
            <w:tcW w:w="0" w:type="auto"/>
            <w:vAlign w:val="center"/>
            <w:hideMark/>
          </w:tcPr>
          <w:p w14:paraId="749DB1A1" w14:textId="77777777" w:rsidR="00812C67" w:rsidRPr="004B6753" w:rsidRDefault="00812C67" w:rsidP="004B6753">
            <w:pPr>
              <w:pStyle w:val="NoSpacing"/>
              <w:jc w:val="center"/>
              <w:rPr>
                <w:rFonts w:ascii="Times New Roman" w:hAnsi="Times New Roman" w:cs="Times New Roman"/>
                <w:szCs w:val="24"/>
              </w:rPr>
            </w:pPr>
            <w:r w:rsidRPr="004B6753">
              <w:rPr>
                <w:rFonts w:ascii="Times New Roman" w:hAnsi="Times New Roman" w:cs="Times New Roman"/>
                <w:szCs w:val="24"/>
              </w:rPr>
              <w:t>6.45</w:t>
            </w:r>
          </w:p>
        </w:tc>
        <w:tc>
          <w:tcPr>
            <w:tcW w:w="0" w:type="auto"/>
            <w:vAlign w:val="center"/>
            <w:hideMark/>
          </w:tcPr>
          <w:p w14:paraId="60B45796" w14:textId="77777777" w:rsidR="00812C67" w:rsidRPr="004B6753" w:rsidRDefault="00812C67" w:rsidP="004B6753">
            <w:pPr>
              <w:pStyle w:val="NoSpacing"/>
              <w:jc w:val="center"/>
              <w:rPr>
                <w:rFonts w:ascii="Times New Roman" w:hAnsi="Times New Roman" w:cs="Times New Roman"/>
                <w:szCs w:val="24"/>
              </w:rPr>
            </w:pPr>
            <w:r w:rsidRPr="004B6753">
              <w:rPr>
                <w:rFonts w:ascii="Times New Roman" w:hAnsi="Times New Roman" w:cs="Times New Roman"/>
                <w:szCs w:val="24"/>
              </w:rPr>
              <w:t>28.42</w:t>
            </w:r>
          </w:p>
        </w:tc>
        <w:tc>
          <w:tcPr>
            <w:tcW w:w="0" w:type="auto"/>
            <w:vAlign w:val="center"/>
            <w:hideMark/>
          </w:tcPr>
          <w:p w14:paraId="0190F721" w14:textId="77777777" w:rsidR="00812C67" w:rsidRPr="004B6753" w:rsidRDefault="00812C67" w:rsidP="004B6753">
            <w:pPr>
              <w:pStyle w:val="NoSpacing"/>
              <w:jc w:val="center"/>
              <w:rPr>
                <w:rFonts w:ascii="Times New Roman" w:hAnsi="Times New Roman" w:cs="Times New Roman"/>
                <w:szCs w:val="24"/>
              </w:rPr>
            </w:pPr>
            <w:r w:rsidRPr="004B6753">
              <w:rPr>
                <w:rFonts w:ascii="Times New Roman" w:hAnsi="Times New Roman" w:cs="Times New Roman"/>
                <w:szCs w:val="24"/>
              </w:rPr>
              <w:t>5.86</w:t>
            </w:r>
          </w:p>
        </w:tc>
        <w:tc>
          <w:tcPr>
            <w:tcW w:w="0" w:type="auto"/>
            <w:vAlign w:val="center"/>
            <w:hideMark/>
          </w:tcPr>
          <w:p w14:paraId="3165541A" w14:textId="77777777" w:rsidR="00812C67" w:rsidRPr="004B6753" w:rsidRDefault="00812C67" w:rsidP="004B6753">
            <w:pPr>
              <w:pStyle w:val="NoSpacing"/>
              <w:jc w:val="center"/>
              <w:rPr>
                <w:rFonts w:ascii="Times New Roman" w:hAnsi="Times New Roman" w:cs="Times New Roman"/>
                <w:szCs w:val="24"/>
              </w:rPr>
            </w:pPr>
            <w:r w:rsidRPr="004B6753">
              <w:rPr>
                <w:rFonts w:ascii="Times New Roman" w:hAnsi="Times New Roman" w:cs="Times New Roman"/>
                <w:szCs w:val="24"/>
              </w:rPr>
              <w:t>13.52</w:t>
            </w:r>
          </w:p>
        </w:tc>
        <w:tc>
          <w:tcPr>
            <w:tcW w:w="0" w:type="auto"/>
            <w:vAlign w:val="center"/>
            <w:hideMark/>
          </w:tcPr>
          <w:p w14:paraId="17583C3F" w14:textId="77777777" w:rsidR="00812C67" w:rsidRPr="004B6753" w:rsidRDefault="00812C67" w:rsidP="004B6753">
            <w:pPr>
              <w:pStyle w:val="NoSpacing"/>
              <w:jc w:val="center"/>
              <w:rPr>
                <w:rFonts w:ascii="Times New Roman" w:hAnsi="Times New Roman" w:cs="Times New Roman"/>
                <w:szCs w:val="24"/>
              </w:rPr>
            </w:pPr>
            <w:r w:rsidRPr="004B6753">
              <w:rPr>
                <w:rFonts w:ascii="Times New Roman" w:hAnsi="Times New Roman" w:cs="Times New Roman"/>
                <w:szCs w:val="24"/>
              </w:rPr>
              <w:t>3.67</w:t>
            </w:r>
          </w:p>
        </w:tc>
        <w:tc>
          <w:tcPr>
            <w:tcW w:w="0" w:type="auto"/>
            <w:vAlign w:val="center"/>
            <w:hideMark/>
          </w:tcPr>
          <w:p w14:paraId="2F0BF0DA" w14:textId="77777777" w:rsidR="00812C67" w:rsidRPr="004B6753" w:rsidRDefault="00812C67" w:rsidP="004B6753">
            <w:pPr>
              <w:pStyle w:val="NoSpacing"/>
              <w:jc w:val="center"/>
              <w:rPr>
                <w:rFonts w:ascii="Times New Roman" w:hAnsi="Times New Roman" w:cs="Times New Roman"/>
                <w:szCs w:val="24"/>
              </w:rPr>
            </w:pPr>
            <w:r w:rsidRPr="004B6753">
              <w:rPr>
                <w:rFonts w:ascii="Times New Roman" w:hAnsi="Times New Roman" w:cs="Times New Roman"/>
                <w:szCs w:val="24"/>
              </w:rPr>
              <w:t>43.56</w:t>
            </w:r>
          </w:p>
        </w:tc>
        <w:tc>
          <w:tcPr>
            <w:tcW w:w="0" w:type="auto"/>
            <w:vAlign w:val="center"/>
            <w:hideMark/>
          </w:tcPr>
          <w:p w14:paraId="7823A09D" w14:textId="77777777" w:rsidR="00812C67" w:rsidRPr="004B6753" w:rsidRDefault="00812C67" w:rsidP="004B6753">
            <w:pPr>
              <w:pStyle w:val="NoSpacing"/>
              <w:jc w:val="center"/>
              <w:rPr>
                <w:rFonts w:ascii="Times New Roman" w:hAnsi="Times New Roman" w:cs="Times New Roman"/>
                <w:szCs w:val="24"/>
              </w:rPr>
            </w:pPr>
            <w:r w:rsidRPr="004B6753">
              <w:rPr>
                <w:rFonts w:ascii="Times New Roman" w:hAnsi="Times New Roman" w:cs="Times New Roman"/>
                <w:szCs w:val="24"/>
              </w:rPr>
              <w:t>6.63</w:t>
            </w:r>
          </w:p>
        </w:tc>
        <w:tc>
          <w:tcPr>
            <w:tcW w:w="0" w:type="auto"/>
            <w:vAlign w:val="center"/>
            <w:hideMark/>
          </w:tcPr>
          <w:p w14:paraId="09D59F30" w14:textId="77777777" w:rsidR="00812C67" w:rsidRPr="004B6753" w:rsidRDefault="00812C67" w:rsidP="004B6753">
            <w:pPr>
              <w:pStyle w:val="NoSpacing"/>
              <w:jc w:val="center"/>
              <w:rPr>
                <w:rFonts w:ascii="Times New Roman" w:hAnsi="Times New Roman" w:cs="Times New Roman"/>
                <w:szCs w:val="24"/>
              </w:rPr>
            </w:pPr>
            <w:r w:rsidRPr="004B6753">
              <w:rPr>
                <w:rFonts w:ascii="Times New Roman" w:hAnsi="Times New Roman" w:cs="Times New Roman"/>
                <w:szCs w:val="24"/>
              </w:rPr>
              <w:t>9.71</w:t>
            </w:r>
          </w:p>
        </w:tc>
        <w:tc>
          <w:tcPr>
            <w:tcW w:w="0" w:type="auto"/>
            <w:vAlign w:val="center"/>
            <w:hideMark/>
          </w:tcPr>
          <w:p w14:paraId="63489EC5" w14:textId="77777777" w:rsidR="00812C67" w:rsidRPr="004B6753" w:rsidRDefault="00812C67" w:rsidP="004B6753">
            <w:pPr>
              <w:pStyle w:val="NoSpacing"/>
              <w:jc w:val="center"/>
              <w:rPr>
                <w:rFonts w:ascii="Times New Roman" w:hAnsi="Times New Roman" w:cs="Times New Roman"/>
                <w:szCs w:val="24"/>
              </w:rPr>
            </w:pPr>
            <w:r w:rsidRPr="004B6753">
              <w:rPr>
                <w:rFonts w:ascii="Times New Roman" w:hAnsi="Times New Roman" w:cs="Times New Roman"/>
                <w:szCs w:val="24"/>
              </w:rPr>
              <w:t>10.11</w:t>
            </w:r>
          </w:p>
        </w:tc>
        <w:tc>
          <w:tcPr>
            <w:tcW w:w="0" w:type="auto"/>
            <w:vAlign w:val="center"/>
            <w:hideMark/>
          </w:tcPr>
          <w:p w14:paraId="73FFDD74" w14:textId="77777777" w:rsidR="00812C67" w:rsidRPr="004B6753" w:rsidRDefault="00812C67" w:rsidP="004B6753">
            <w:pPr>
              <w:pStyle w:val="NoSpacing"/>
              <w:jc w:val="center"/>
              <w:rPr>
                <w:rFonts w:ascii="Times New Roman" w:hAnsi="Times New Roman" w:cs="Times New Roman"/>
                <w:szCs w:val="24"/>
              </w:rPr>
            </w:pPr>
            <w:r w:rsidRPr="004B6753">
              <w:rPr>
                <w:rFonts w:ascii="Times New Roman" w:hAnsi="Times New Roman" w:cs="Times New Roman"/>
                <w:szCs w:val="24"/>
              </w:rPr>
              <w:t>49.68</w:t>
            </w:r>
          </w:p>
        </w:tc>
        <w:tc>
          <w:tcPr>
            <w:tcW w:w="0" w:type="auto"/>
            <w:vAlign w:val="center"/>
            <w:hideMark/>
          </w:tcPr>
          <w:p w14:paraId="39DFAEF1" w14:textId="77777777" w:rsidR="00812C67" w:rsidRPr="004B6753" w:rsidRDefault="00812C67" w:rsidP="004B6753">
            <w:pPr>
              <w:pStyle w:val="NoSpacing"/>
              <w:jc w:val="center"/>
              <w:rPr>
                <w:rFonts w:ascii="Times New Roman" w:hAnsi="Times New Roman" w:cs="Times New Roman"/>
                <w:szCs w:val="24"/>
              </w:rPr>
            </w:pPr>
            <w:r w:rsidRPr="004B6753">
              <w:rPr>
                <w:rFonts w:ascii="Times New Roman" w:hAnsi="Times New Roman" w:cs="Times New Roman"/>
                <w:szCs w:val="24"/>
              </w:rPr>
              <w:t>177.61</w:t>
            </w:r>
          </w:p>
        </w:tc>
      </w:tr>
      <w:tr w:rsidR="00812C67" w:rsidRPr="004B6753" w14:paraId="2FA56C0B" w14:textId="77777777" w:rsidTr="004B6753">
        <w:tc>
          <w:tcPr>
            <w:tcW w:w="1632" w:type="dxa"/>
            <w:vMerge/>
            <w:hideMark/>
          </w:tcPr>
          <w:p w14:paraId="23D0C798" w14:textId="77777777" w:rsidR="00812C67" w:rsidRPr="004B6753" w:rsidRDefault="00812C67" w:rsidP="00B77C0B">
            <w:pPr>
              <w:pStyle w:val="NoSpacing"/>
              <w:rPr>
                <w:rFonts w:ascii="Times New Roman" w:hAnsi="Times New Roman" w:cs="Times New Roman"/>
                <w:szCs w:val="24"/>
              </w:rPr>
            </w:pPr>
          </w:p>
        </w:tc>
        <w:tc>
          <w:tcPr>
            <w:tcW w:w="0" w:type="auto"/>
            <w:vAlign w:val="center"/>
            <w:hideMark/>
          </w:tcPr>
          <w:p w14:paraId="1B85C7F2" w14:textId="77777777" w:rsidR="00812C67" w:rsidRPr="004B6753" w:rsidRDefault="00812C67" w:rsidP="004B6753">
            <w:pPr>
              <w:pStyle w:val="NoSpacing"/>
              <w:jc w:val="center"/>
              <w:rPr>
                <w:rFonts w:ascii="Times New Roman" w:hAnsi="Times New Roman" w:cs="Times New Roman"/>
                <w:szCs w:val="24"/>
              </w:rPr>
            </w:pPr>
            <w:r w:rsidRPr="004B6753">
              <w:rPr>
                <w:rFonts w:ascii="Times New Roman" w:hAnsi="Times New Roman" w:cs="Times New Roman"/>
                <w:i/>
                <w:iCs/>
                <w:szCs w:val="24"/>
              </w:rPr>
              <w:t>(3.63)</w:t>
            </w:r>
          </w:p>
        </w:tc>
        <w:tc>
          <w:tcPr>
            <w:tcW w:w="0" w:type="auto"/>
            <w:vAlign w:val="center"/>
            <w:hideMark/>
          </w:tcPr>
          <w:p w14:paraId="76544B74" w14:textId="77777777" w:rsidR="00812C67" w:rsidRPr="004B6753" w:rsidRDefault="00812C67" w:rsidP="004B6753">
            <w:pPr>
              <w:pStyle w:val="NoSpacing"/>
              <w:jc w:val="center"/>
              <w:rPr>
                <w:rFonts w:ascii="Times New Roman" w:hAnsi="Times New Roman" w:cs="Times New Roman"/>
                <w:szCs w:val="24"/>
              </w:rPr>
            </w:pPr>
            <w:r w:rsidRPr="004B6753">
              <w:rPr>
                <w:rFonts w:ascii="Times New Roman" w:hAnsi="Times New Roman" w:cs="Times New Roman"/>
                <w:i/>
                <w:iCs/>
                <w:szCs w:val="24"/>
              </w:rPr>
              <w:t>(16.00)</w:t>
            </w:r>
          </w:p>
        </w:tc>
        <w:tc>
          <w:tcPr>
            <w:tcW w:w="0" w:type="auto"/>
            <w:vAlign w:val="center"/>
            <w:hideMark/>
          </w:tcPr>
          <w:p w14:paraId="1ADF985B" w14:textId="77777777" w:rsidR="00812C67" w:rsidRPr="004B6753" w:rsidRDefault="00812C67" w:rsidP="004B6753">
            <w:pPr>
              <w:pStyle w:val="NoSpacing"/>
              <w:jc w:val="center"/>
              <w:rPr>
                <w:rFonts w:ascii="Times New Roman" w:hAnsi="Times New Roman" w:cs="Times New Roman"/>
                <w:szCs w:val="24"/>
              </w:rPr>
            </w:pPr>
            <w:r w:rsidRPr="004B6753">
              <w:rPr>
                <w:rFonts w:ascii="Times New Roman" w:hAnsi="Times New Roman" w:cs="Times New Roman"/>
                <w:i/>
                <w:iCs/>
                <w:szCs w:val="24"/>
              </w:rPr>
              <w:t>(3.30)</w:t>
            </w:r>
          </w:p>
        </w:tc>
        <w:tc>
          <w:tcPr>
            <w:tcW w:w="0" w:type="auto"/>
            <w:vAlign w:val="center"/>
            <w:hideMark/>
          </w:tcPr>
          <w:p w14:paraId="0EE48E3D" w14:textId="77777777" w:rsidR="00812C67" w:rsidRPr="004B6753" w:rsidRDefault="00812C67" w:rsidP="004B6753">
            <w:pPr>
              <w:pStyle w:val="NoSpacing"/>
              <w:jc w:val="center"/>
              <w:rPr>
                <w:rFonts w:ascii="Times New Roman" w:hAnsi="Times New Roman" w:cs="Times New Roman"/>
                <w:szCs w:val="24"/>
              </w:rPr>
            </w:pPr>
            <w:r w:rsidRPr="004B6753">
              <w:rPr>
                <w:rFonts w:ascii="Times New Roman" w:hAnsi="Times New Roman" w:cs="Times New Roman"/>
                <w:i/>
                <w:iCs/>
                <w:szCs w:val="24"/>
              </w:rPr>
              <w:t>(7.61)</w:t>
            </w:r>
          </w:p>
        </w:tc>
        <w:tc>
          <w:tcPr>
            <w:tcW w:w="0" w:type="auto"/>
            <w:vAlign w:val="center"/>
            <w:hideMark/>
          </w:tcPr>
          <w:p w14:paraId="71316FF5" w14:textId="77777777" w:rsidR="00812C67" w:rsidRPr="004B6753" w:rsidRDefault="00812C67" w:rsidP="004B6753">
            <w:pPr>
              <w:pStyle w:val="NoSpacing"/>
              <w:jc w:val="center"/>
              <w:rPr>
                <w:rFonts w:ascii="Times New Roman" w:hAnsi="Times New Roman" w:cs="Times New Roman"/>
                <w:szCs w:val="24"/>
              </w:rPr>
            </w:pPr>
            <w:r w:rsidRPr="004B6753">
              <w:rPr>
                <w:rFonts w:ascii="Times New Roman" w:hAnsi="Times New Roman" w:cs="Times New Roman"/>
                <w:i/>
                <w:iCs/>
                <w:szCs w:val="24"/>
              </w:rPr>
              <w:t>(2.07)</w:t>
            </w:r>
          </w:p>
        </w:tc>
        <w:tc>
          <w:tcPr>
            <w:tcW w:w="0" w:type="auto"/>
            <w:vAlign w:val="center"/>
            <w:hideMark/>
          </w:tcPr>
          <w:p w14:paraId="10A0F3E1" w14:textId="77777777" w:rsidR="00812C67" w:rsidRPr="004B6753" w:rsidRDefault="00812C67" w:rsidP="004B6753">
            <w:pPr>
              <w:pStyle w:val="NoSpacing"/>
              <w:jc w:val="center"/>
              <w:rPr>
                <w:rFonts w:ascii="Times New Roman" w:hAnsi="Times New Roman" w:cs="Times New Roman"/>
                <w:szCs w:val="24"/>
              </w:rPr>
            </w:pPr>
            <w:r w:rsidRPr="004B6753">
              <w:rPr>
                <w:rFonts w:ascii="Times New Roman" w:hAnsi="Times New Roman" w:cs="Times New Roman"/>
                <w:i/>
                <w:iCs/>
                <w:szCs w:val="24"/>
              </w:rPr>
              <w:t>(24.53)</w:t>
            </w:r>
          </w:p>
        </w:tc>
        <w:tc>
          <w:tcPr>
            <w:tcW w:w="0" w:type="auto"/>
            <w:vAlign w:val="center"/>
            <w:hideMark/>
          </w:tcPr>
          <w:p w14:paraId="09B8CB8B" w14:textId="77777777" w:rsidR="00812C67" w:rsidRPr="004B6753" w:rsidRDefault="00812C67" w:rsidP="004B6753">
            <w:pPr>
              <w:pStyle w:val="NoSpacing"/>
              <w:jc w:val="center"/>
              <w:rPr>
                <w:rFonts w:ascii="Times New Roman" w:hAnsi="Times New Roman" w:cs="Times New Roman"/>
                <w:szCs w:val="24"/>
              </w:rPr>
            </w:pPr>
            <w:r w:rsidRPr="004B6753">
              <w:rPr>
                <w:rFonts w:ascii="Times New Roman" w:hAnsi="Times New Roman" w:cs="Times New Roman"/>
                <w:i/>
                <w:iCs/>
                <w:szCs w:val="24"/>
              </w:rPr>
              <w:t>(3.73)</w:t>
            </w:r>
          </w:p>
        </w:tc>
        <w:tc>
          <w:tcPr>
            <w:tcW w:w="0" w:type="auto"/>
            <w:vAlign w:val="center"/>
            <w:hideMark/>
          </w:tcPr>
          <w:p w14:paraId="11654DF1" w14:textId="77777777" w:rsidR="00812C67" w:rsidRPr="004B6753" w:rsidRDefault="00812C67" w:rsidP="004B6753">
            <w:pPr>
              <w:pStyle w:val="NoSpacing"/>
              <w:jc w:val="center"/>
              <w:rPr>
                <w:rFonts w:ascii="Times New Roman" w:hAnsi="Times New Roman" w:cs="Times New Roman"/>
                <w:szCs w:val="24"/>
              </w:rPr>
            </w:pPr>
            <w:r w:rsidRPr="004B6753">
              <w:rPr>
                <w:rFonts w:ascii="Times New Roman" w:hAnsi="Times New Roman" w:cs="Times New Roman"/>
                <w:i/>
                <w:iCs/>
                <w:szCs w:val="24"/>
              </w:rPr>
              <w:t>(5.47)</w:t>
            </w:r>
          </w:p>
        </w:tc>
        <w:tc>
          <w:tcPr>
            <w:tcW w:w="0" w:type="auto"/>
            <w:vAlign w:val="center"/>
            <w:hideMark/>
          </w:tcPr>
          <w:p w14:paraId="766BE419" w14:textId="77777777" w:rsidR="00812C67" w:rsidRPr="004B6753" w:rsidRDefault="00812C67" w:rsidP="004B6753">
            <w:pPr>
              <w:pStyle w:val="NoSpacing"/>
              <w:jc w:val="center"/>
              <w:rPr>
                <w:rFonts w:ascii="Times New Roman" w:hAnsi="Times New Roman" w:cs="Times New Roman"/>
                <w:szCs w:val="24"/>
              </w:rPr>
            </w:pPr>
            <w:r w:rsidRPr="004B6753">
              <w:rPr>
                <w:rFonts w:ascii="Times New Roman" w:hAnsi="Times New Roman" w:cs="Times New Roman"/>
                <w:i/>
                <w:iCs/>
                <w:szCs w:val="24"/>
              </w:rPr>
              <w:t>(5.69)</w:t>
            </w:r>
          </w:p>
        </w:tc>
        <w:tc>
          <w:tcPr>
            <w:tcW w:w="0" w:type="auto"/>
            <w:vAlign w:val="center"/>
            <w:hideMark/>
          </w:tcPr>
          <w:p w14:paraId="241A9336" w14:textId="77777777" w:rsidR="00812C67" w:rsidRPr="004B6753" w:rsidRDefault="00812C67" w:rsidP="004B6753">
            <w:pPr>
              <w:pStyle w:val="NoSpacing"/>
              <w:jc w:val="center"/>
              <w:rPr>
                <w:rFonts w:ascii="Times New Roman" w:hAnsi="Times New Roman" w:cs="Times New Roman"/>
                <w:szCs w:val="24"/>
              </w:rPr>
            </w:pPr>
            <w:r w:rsidRPr="004B6753">
              <w:rPr>
                <w:rFonts w:ascii="Times New Roman" w:hAnsi="Times New Roman" w:cs="Times New Roman"/>
                <w:i/>
                <w:iCs/>
                <w:szCs w:val="24"/>
              </w:rPr>
              <w:t>(27.97)</w:t>
            </w:r>
          </w:p>
        </w:tc>
        <w:tc>
          <w:tcPr>
            <w:tcW w:w="0" w:type="auto"/>
            <w:vAlign w:val="center"/>
            <w:hideMark/>
          </w:tcPr>
          <w:p w14:paraId="2A8E4979" w14:textId="77777777" w:rsidR="00812C67" w:rsidRPr="004B6753" w:rsidRDefault="00812C67" w:rsidP="004B6753">
            <w:pPr>
              <w:pStyle w:val="NoSpacing"/>
              <w:jc w:val="center"/>
              <w:rPr>
                <w:rFonts w:ascii="Times New Roman" w:hAnsi="Times New Roman" w:cs="Times New Roman"/>
                <w:szCs w:val="24"/>
              </w:rPr>
            </w:pPr>
            <w:r w:rsidRPr="004B6753">
              <w:rPr>
                <w:rFonts w:ascii="Times New Roman" w:hAnsi="Times New Roman" w:cs="Times New Roman"/>
                <w:i/>
                <w:iCs/>
                <w:szCs w:val="24"/>
              </w:rPr>
              <w:t>(100.00)</w:t>
            </w:r>
          </w:p>
        </w:tc>
      </w:tr>
      <w:tr w:rsidR="00416FA8" w:rsidRPr="004B6753" w14:paraId="393E8948" w14:textId="77777777" w:rsidTr="004B6753">
        <w:tc>
          <w:tcPr>
            <w:tcW w:w="1632" w:type="dxa"/>
            <w:hideMark/>
          </w:tcPr>
          <w:p w14:paraId="782EA79A" w14:textId="77777777" w:rsidR="00416FA8" w:rsidRPr="004B6753" w:rsidRDefault="00416FA8" w:rsidP="00B77C0B">
            <w:pPr>
              <w:pStyle w:val="NoSpacing"/>
              <w:rPr>
                <w:rFonts w:ascii="Times New Roman" w:hAnsi="Times New Roman" w:cs="Times New Roman"/>
                <w:szCs w:val="24"/>
              </w:rPr>
            </w:pPr>
            <w:r w:rsidRPr="004B6753">
              <w:rPr>
                <w:rFonts w:ascii="Times New Roman" w:hAnsi="Times New Roman" w:cs="Times New Roman"/>
                <w:szCs w:val="24"/>
              </w:rPr>
              <w:t>Maharashtra</w:t>
            </w:r>
          </w:p>
        </w:tc>
        <w:tc>
          <w:tcPr>
            <w:tcW w:w="0" w:type="auto"/>
            <w:vAlign w:val="center"/>
            <w:hideMark/>
          </w:tcPr>
          <w:p w14:paraId="30E0B555" w14:textId="77777777" w:rsidR="00416FA8" w:rsidRPr="004B6753" w:rsidRDefault="00416FA8" w:rsidP="004B6753">
            <w:pPr>
              <w:pStyle w:val="NoSpacing"/>
              <w:jc w:val="center"/>
              <w:rPr>
                <w:rFonts w:ascii="Times New Roman" w:hAnsi="Times New Roman" w:cs="Times New Roman"/>
                <w:szCs w:val="24"/>
              </w:rPr>
            </w:pPr>
          </w:p>
        </w:tc>
        <w:tc>
          <w:tcPr>
            <w:tcW w:w="0" w:type="auto"/>
            <w:vAlign w:val="center"/>
            <w:hideMark/>
          </w:tcPr>
          <w:p w14:paraId="3799576B" w14:textId="77777777" w:rsidR="00416FA8" w:rsidRPr="004B6753" w:rsidRDefault="00416FA8" w:rsidP="004B6753">
            <w:pPr>
              <w:pStyle w:val="NoSpacing"/>
              <w:jc w:val="center"/>
              <w:rPr>
                <w:rFonts w:ascii="Times New Roman" w:hAnsi="Times New Roman" w:cs="Times New Roman"/>
                <w:szCs w:val="24"/>
              </w:rPr>
            </w:pPr>
          </w:p>
        </w:tc>
        <w:tc>
          <w:tcPr>
            <w:tcW w:w="0" w:type="auto"/>
            <w:vAlign w:val="center"/>
            <w:hideMark/>
          </w:tcPr>
          <w:p w14:paraId="10BB8009" w14:textId="77777777" w:rsidR="00416FA8" w:rsidRPr="004B6753" w:rsidRDefault="00416FA8" w:rsidP="004B6753">
            <w:pPr>
              <w:pStyle w:val="NoSpacing"/>
              <w:jc w:val="center"/>
              <w:rPr>
                <w:rFonts w:ascii="Times New Roman" w:hAnsi="Times New Roman" w:cs="Times New Roman"/>
                <w:szCs w:val="24"/>
              </w:rPr>
            </w:pPr>
          </w:p>
        </w:tc>
        <w:tc>
          <w:tcPr>
            <w:tcW w:w="0" w:type="auto"/>
            <w:vAlign w:val="center"/>
            <w:hideMark/>
          </w:tcPr>
          <w:p w14:paraId="042B9CC9" w14:textId="77777777" w:rsidR="00416FA8" w:rsidRPr="004B6753" w:rsidRDefault="00416FA8" w:rsidP="004B6753">
            <w:pPr>
              <w:pStyle w:val="NoSpacing"/>
              <w:jc w:val="center"/>
              <w:rPr>
                <w:rFonts w:ascii="Times New Roman" w:hAnsi="Times New Roman" w:cs="Times New Roman"/>
                <w:szCs w:val="24"/>
              </w:rPr>
            </w:pPr>
          </w:p>
        </w:tc>
        <w:tc>
          <w:tcPr>
            <w:tcW w:w="0" w:type="auto"/>
            <w:vAlign w:val="center"/>
            <w:hideMark/>
          </w:tcPr>
          <w:p w14:paraId="182A7163" w14:textId="77777777" w:rsidR="00416FA8" w:rsidRPr="004B6753" w:rsidRDefault="00416FA8" w:rsidP="004B6753">
            <w:pPr>
              <w:pStyle w:val="NoSpacing"/>
              <w:jc w:val="center"/>
              <w:rPr>
                <w:rFonts w:ascii="Times New Roman" w:hAnsi="Times New Roman" w:cs="Times New Roman"/>
                <w:szCs w:val="24"/>
              </w:rPr>
            </w:pPr>
          </w:p>
        </w:tc>
        <w:tc>
          <w:tcPr>
            <w:tcW w:w="0" w:type="auto"/>
            <w:vAlign w:val="center"/>
            <w:hideMark/>
          </w:tcPr>
          <w:p w14:paraId="2F4C9671" w14:textId="77777777" w:rsidR="00416FA8" w:rsidRPr="004B6753" w:rsidRDefault="00416FA8" w:rsidP="004B6753">
            <w:pPr>
              <w:pStyle w:val="NoSpacing"/>
              <w:jc w:val="center"/>
              <w:rPr>
                <w:rFonts w:ascii="Times New Roman" w:hAnsi="Times New Roman" w:cs="Times New Roman"/>
                <w:szCs w:val="24"/>
              </w:rPr>
            </w:pPr>
          </w:p>
        </w:tc>
        <w:tc>
          <w:tcPr>
            <w:tcW w:w="0" w:type="auto"/>
            <w:vAlign w:val="center"/>
            <w:hideMark/>
          </w:tcPr>
          <w:p w14:paraId="28343EB9" w14:textId="77777777" w:rsidR="00416FA8" w:rsidRPr="004B6753" w:rsidRDefault="00416FA8" w:rsidP="004B6753">
            <w:pPr>
              <w:pStyle w:val="NoSpacing"/>
              <w:jc w:val="center"/>
              <w:rPr>
                <w:rFonts w:ascii="Times New Roman" w:hAnsi="Times New Roman" w:cs="Times New Roman"/>
                <w:szCs w:val="24"/>
              </w:rPr>
            </w:pPr>
          </w:p>
        </w:tc>
        <w:tc>
          <w:tcPr>
            <w:tcW w:w="0" w:type="auto"/>
            <w:vAlign w:val="center"/>
            <w:hideMark/>
          </w:tcPr>
          <w:p w14:paraId="77571898" w14:textId="77777777" w:rsidR="00416FA8" w:rsidRPr="004B6753" w:rsidRDefault="00416FA8" w:rsidP="004B6753">
            <w:pPr>
              <w:pStyle w:val="NoSpacing"/>
              <w:jc w:val="center"/>
              <w:rPr>
                <w:rFonts w:ascii="Times New Roman" w:hAnsi="Times New Roman" w:cs="Times New Roman"/>
                <w:szCs w:val="24"/>
              </w:rPr>
            </w:pPr>
          </w:p>
        </w:tc>
        <w:tc>
          <w:tcPr>
            <w:tcW w:w="0" w:type="auto"/>
            <w:vAlign w:val="center"/>
            <w:hideMark/>
          </w:tcPr>
          <w:p w14:paraId="635773CE" w14:textId="77777777" w:rsidR="00416FA8" w:rsidRPr="004B6753" w:rsidRDefault="00416FA8" w:rsidP="004B6753">
            <w:pPr>
              <w:pStyle w:val="NoSpacing"/>
              <w:jc w:val="center"/>
              <w:rPr>
                <w:rFonts w:ascii="Times New Roman" w:hAnsi="Times New Roman" w:cs="Times New Roman"/>
                <w:szCs w:val="24"/>
              </w:rPr>
            </w:pPr>
          </w:p>
        </w:tc>
        <w:tc>
          <w:tcPr>
            <w:tcW w:w="0" w:type="auto"/>
            <w:vAlign w:val="center"/>
            <w:hideMark/>
          </w:tcPr>
          <w:p w14:paraId="2D0297F4" w14:textId="77777777" w:rsidR="00416FA8" w:rsidRPr="004B6753" w:rsidRDefault="00416FA8" w:rsidP="004B6753">
            <w:pPr>
              <w:pStyle w:val="NoSpacing"/>
              <w:jc w:val="center"/>
              <w:rPr>
                <w:rFonts w:ascii="Times New Roman" w:hAnsi="Times New Roman" w:cs="Times New Roman"/>
                <w:szCs w:val="24"/>
              </w:rPr>
            </w:pPr>
          </w:p>
        </w:tc>
        <w:tc>
          <w:tcPr>
            <w:tcW w:w="0" w:type="auto"/>
            <w:vAlign w:val="center"/>
            <w:hideMark/>
          </w:tcPr>
          <w:p w14:paraId="578C379E" w14:textId="77777777" w:rsidR="00416FA8" w:rsidRPr="004B6753" w:rsidRDefault="00416FA8" w:rsidP="004B6753">
            <w:pPr>
              <w:pStyle w:val="NoSpacing"/>
              <w:jc w:val="center"/>
              <w:rPr>
                <w:rFonts w:ascii="Times New Roman" w:hAnsi="Times New Roman" w:cs="Times New Roman"/>
                <w:szCs w:val="24"/>
              </w:rPr>
            </w:pPr>
          </w:p>
        </w:tc>
      </w:tr>
      <w:tr w:rsidR="00812C67" w:rsidRPr="004B6753" w14:paraId="74788FA2" w14:textId="77777777" w:rsidTr="004B6753">
        <w:tc>
          <w:tcPr>
            <w:tcW w:w="1632" w:type="dxa"/>
            <w:vMerge w:val="restart"/>
            <w:hideMark/>
          </w:tcPr>
          <w:p w14:paraId="2F2563AD" w14:textId="77777777" w:rsidR="00812C67" w:rsidRPr="004B6753" w:rsidRDefault="00812C67" w:rsidP="00B77C0B">
            <w:pPr>
              <w:pStyle w:val="NoSpacing"/>
              <w:rPr>
                <w:rFonts w:ascii="Times New Roman" w:hAnsi="Times New Roman" w:cs="Times New Roman"/>
                <w:szCs w:val="24"/>
              </w:rPr>
            </w:pPr>
            <w:r w:rsidRPr="004B6753">
              <w:rPr>
                <w:rFonts w:ascii="Times New Roman" w:hAnsi="Times New Roman" w:cs="Times New Roman"/>
                <w:szCs w:val="24"/>
              </w:rPr>
              <w:t>1961-62</w:t>
            </w:r>
          </w:p>
        </w:tc>
        <w:tc>
          <w:tcPr>
            <w:tcW w:w="0" w:type="auto"/>
            <w:vAlign w:val="center"/>
            <w:hideMark/>
          </w:tcPr>
          <w:p w14:paraId="486DB97E" w14:textId="77777777" w:rsidR="00812C67" w:rsidRPr="004B6753" w:rsidRDefault="00812C67" w:rsidP="004B6753">
            <w:pPr>
              <w:pStyle w:val="NoSpacing"/>
              <w:jc w:val="center"/>
              <w:rPr>
                <w:rFonts w:ascii="Times New Roman" w:hAnsi="Times New Roman" w:cs="Times New Roman"/>
                <w:szCs w:val="24"/>
              </w:rPr>
            </w:pPr>
            <w:r w:rsidRPr="004B6753">
              <w:rPr>
                <w:rFonts w:ascii="Times New Roman" w:hAnsi="Times New Roman" w:cs="Times New Roman"/>
                <w:szCs w:val="24"/>
              </w:rPr>
              <w:t>12.94</w:t>
            </w:r>
          </w:p>
        </w:tc>
        <w:tc>
          <w:tcPr>
            <w:tcW w:w="0" w:type="auto"/>
            <w:vAlign w:val="center"/>
            <w:hideMark/>
          </w:tcPr>
          <w:p w14:paraId="3471E1DA" w14:textId="77777777" w:rsidR="00812C67" w:rsidRPr="004B6753" w:rsidRDefault="00812C67" w:rsidP="004B6753">
            <w:pPr>
              <w:pStyle w:val="NoSpacing"/>
              <w:jc w:val="center"/>
              <w:rPr>
                <w:rFonts w:ascii="Times New Roman" w:hAnsi="Times New Roman" w:cs="Times New Roman"/>
                <w:szCs w:val="24"/>
              </w:rPr>
            </w:pPr>
            <w:r w:rsidRPr="004B6753">
              <w:rPr>
                <w:rFonts w:ascii="Times New Roman" w:hAnsi="Times New Roman" w:cs="Times New Roman"/>
                <w:szCs w:val="24"/>
              </w:rPr>
              <w:t>13.66</w:t>
            </w:r>
          </w:p>
        </w:tc>
        <w:tc>
          <w:tcPr>
            <w:tcW w:w="0" w:type="auto"/>
            <w:vAlign w:val="center"/>
            <w:hideMark/>
          </w:tcPr>
          <w:p w14:paraId="0FF24230" w14:textId="77777777" w:rsidR="00812C67" w:rsidRPr="004B6753" w:rsidRDefault="00812C67" w:rsidP="004B6753">
            <w:pPr>
              <w:pStyle w:val="NoSpacing"/>
              <w:jc w:val="center"/>
              <w:rPr>
                <w:rFonts w:ascii="Times New Roman" w:hAnsi="Times New Roman" w:cs="Times New Roman"/>
                <w:szCs w:val="24"/>
              </w:rPr>
            </w:pPr>
            <w:r w:rsidRPr="004B6753">
              <w:rPr>
                <w:rFonts w:ascii="Times New Roman" w:hAnsi="Times New Roman" w:cs="Times New Roman"/>
                <w:szCs w:val="24"/>
              </w:rPr>
              <w:t>7.87</w:t>
            </w:r>
          </w:p>
        </w:tc>
        <w:tc>
          <w:tcPr>
            <w:tcW w:w="0" w:type="auto"/>
            <w:vAlign w:val="center"/>
            <w:hideMark/>
          </w:tcPr>
          <w:p w14:paraId="5BE1E4AE" w14:textId="77777777" w:rsidR="00812C67" w:rsidRPr="004B6753" w:rsidRDefault="00812C67" w:rsidP="004B6753">
            <w:pPr>
              <w:pStyle w:val="NoSpacing"/>
              <w:jc w:val="center"/>
              <w:rPr>
                <w:rFonts w:ascii="Times New Roman" w:hAnsi="Times New Roman" w:cs="Times New Roman"/>
                <w:szCs w:val="24"/>
              </w:rPr>
            </w:pPr>
            <w:r w:rsidRPr="004B6753">
              <w:rPr>
                <w:rFonts w:ascii="Times New Roman" w:hAnsi="Times New Roman" w:cs="Times New Roman"/>
                <w:szCs w:val="24"/>
              </w:rPr>
              <w:t>11.20</w:t>
            </w:r>
          </w:p>
        </w:tc>
        <w:tc>
          <w:tcPr>
            <w:tcW w:w="0" w:type="auto"/>
            <w:vAlign w:val="center"/>
            <w:hideMark/>
          </w:tcPr>
          <w:p w14:paraId="040EDEBA" w14:textId="77777777" w:rsidR="00812C67" w:rsidRPr="004B6753" w:rsidRDefault="00812C67" w:rsidP="004B6753">
            <w:pPr>
              <w:pStyle w:val="NoSpacing"/>
              <w:jc w:val="center"/>
              <w:rPr>
                <w:rFonts w:ascii="Times New Roman" w:hAnsi="Times New Roman" w:cs="Times New Roman"/>
                <w:szCs w:val="24"/>
              </w:rPr>
            </w:pPr>
            <w:r w:rsidRPr="004B6753">
              <w:rPr>
                <w:rFonts w:ascii="Times New Roman" w:hAnsi="Times New Roman" w:cs="Times New Roman"/>
                <w:szCs w:val="24"/>
              </w:rPr>
              <w:t>3.16</w:t>
            </w:r>
          </w:p>
        </w:tc>
        <w:tc>
          <w:tcPr>
            <w:tcW w:w="0" w:type="auto"/>
            <w:vAlign w:val="center"/>
            <w:hideMark/>
          </w:tcPr>
          <w:p w14:paraId="49832E2E" w14:textId="77777777" w:rsidR="00812C67" w:rsidRPr="004B6753" w:rsidRDefault="00812C67" w:rsidP="004B6753">
            <w:pPr>
              <w:pStyle w:val="NoSpacing"/>
              <w:jc w:val="center"/>
              <w:rPr>
                <w:rFonts w:ascii="Times New Roman" w:hAnsi="Times New Roman" w:cs="Times New Roman"/>
                <w:szCs w:val="24"/>
              </w:rPr>
            </w:pPr>
            <w:r w:rsidRPr="004B6753">
              <w:rPr>
                <w:rFonts w:ascii="Times New Roman" w:hAnsi="Times New Roman" w:cs="Times New Roman"/>
                <w:szCs w:val="24"/>
              </w:rPr>
              <w:t>24.49</w:t>
            </w:r>
          </w:p>
        </w:tc>
        <w:tc>
          <w:tcPr>
            <w:tcW w:w="0" w:type="auto"/>
            <w:vAlign w:val="center"/>
            <w:hideMark/>
          </w:tcPr>
          <w:p w14:paraId="488F85C9" w14:textId="77777777" w:rsidR="00812C67" w:rsidRPr="004B6753" w:rsidRDefault="00812C67" w:rsidP="004B6753">
            <w:pPr>
              <w:pStyle w:val="NoSpacing"/>
              <w:jc w:val="center"/>
              <w:rPr>
                <w:rFonts w:ascii="Times New Roman" w:hAnsi="Times New Roman" w:cs="Times New Roman"/>
                <w:szCs w:val="24"/>
              </w:rPr>
            </w:pPr>
            <w:r w:rsidRPr="004B6753">
              <w:rPr>
                <w:rFonts w:ascii="Times New Roman" w:hAnsi="Times New Roman" w:cs="Times New Roman"/>
                <w:szCs w:val="24"/>
              </w:rPr>
              <w:t>6.46</w:t>
            </w:r>
          </w:p>
        </w:tc>
        <w:tc>
          <w:tcPr>
            <w:tcW w:w="0" w:type="auto"/>
            <w:vAlign w:val="center"/>
            <w:hideMark/>
          </w:tcPr>
          <w:p w14:paraId="450C3926" w14:textId="77777777" w:rsidR="00812C67" w:rsidRPr="004B6753" w:rsidRDefault="00812C67" w:rsidP="004B6753">
            <w:pPr>
              <w:pStyle w:val="NoSpacing"/>
              <w:jc w:val="center"/>
              <w:rPr>
                <w:rFonts w:ascii="Times New Roman" w:hAnsi="Times New Roman" w:cs="Times New Roman"/>
                <w:szCs w:val="24"/>
              </w:rPr>
            </w:pPr>
            <w:r w:rsidRPr="004B6753">
              <w:rPr>
                <w:rFonts w:ascii="Times New Roman" w:hAnsi="Times New Roman" w:cs="Times New Roman"/>
                <w:szCs w:val="24"/>
              </w:rPr>
              <w:t>3.43</w:t>
            </w:r>
          </w:p>
        </w:tc>
        <w:tc>
          <w:tcPr>
            <w:tcW w:w="0" w:type="auto"/>
            <w:vAlign w:val="center"/>
            <w:hideMark/>
          </w:tcPr>
          <w:p w14:paraId="00F94B70" w14:textId="77777777" w:rsidR="00812C67" w:rsidRPr="004B6753" w:rsidRDefault="00812C67" w:rsidP="004B6753">
            <w:pPr>
              <w:pStyle w:val="NoSpacing"/>
              <w:jc w:val="center"/>
              <w:rPr>
                <w:rFonts w:ascii="Times New Roman" w:hAnsi="Times New Roman" w:cs="Times New Roman"/>
                <w:szCs w:val="24"/>
              </w:rPr>
            </w:pPr>
            <w:r w:rsidRPr="004B6753">
              <w:rPr>
                <w:rFonts w:ascii="Times New Roman" w:hAnsi="Times New Roman" w:cs="Times New Roman"/>
                <w:szCs w:val="24"/>
              </w:rPr>
              <w:t>6.23</w:t>
            </w:r>
          </w:p>
        </w:tc>
        <w:tc>
          <w:tcPr>
            <w:tcW w:w="0" w:type="auto"/>
            <w:vAlign w:val="center"/>
            <w:hideMark/>
          </w:tcPr>
          <w:p w14:paraId="76CFB8FD" w14:textId="77777777" w:rsidR="00812C67" w:rsidRPr="004B6753" w:rsidRDefault="00812C67" w:rsidP="004B6753">
            <w:pPr>
              <w:pStyle w:val="NoSpacing"/>
              <w:jc w:val="center"/>
              <w:rPr>
                <w:rFonts w:ascii="Times New Roman" w:hAnsi="Times New Roman" w:cs="Times New Roman"/>
                <w:szCs w:val="24"/>
              </w:rPr>
            </w:pPr>
            <w:r w:rsidRPr="004B6753">
              <w:rPr>
                <w:rFonts w:ascii="Times New Roman" w:hAnsi="Times New Roman" w:cs="Times New Roman"/>
                <w:szCs w:val="24"/>
              </w:rPr>
              <w:t>36.83</w:t>
            </w:r>
          </w:p>
        </w:tc>
        <w:tc>
          <w:tcPr>
            <w:tcW w:w="0" w:type="auto"/>
            <w:vAlign w:val="center"/>
            <w:hideMark/>
          </w:tcPr>
          <w:p w14:paraId="19F8AFAF" w14:textId="77777777" w:rsidR="00812C67" w:rsidRPr="004B6753" w:rsidRDefault="00812C67" w:rsidP="004B6753">
            <w:pPr>
              <w:pStyle w:val="NoSpacing"/>
              <w:jc w:val="center"/>
              <w:rPr>
                <w:rFonts w:ascii="Times New Roman" w:hAnsi="Times New Roman" w:cs="Times New Roman"/>
                <w:szCs w:val="24"/>
              </w:rPr>
            </w:pPr>
            <w:r w:rsidRPr="004B6753">
              <w:rPr>
                <w:rFonts w:ascii="Times New Roman" w:hAnsi="Times New Roman" w:cs="Times New Roman"/>
                <w:szCs w:val="24"/>
              </w:rPr>
              <w:t>126.27</w:t>
            </w:r>
          </w:p>
        </w:tc>
      </w:tr>
      <w:tr w:rsidR="00812C67" w:rsidRPr="004B6753" w14:paraId="5FC55660" w14:textId="77777777" w:rsidTr="004B6753">
        <w:tc>
          <w:tcPr>
            <w:tcW w:w="1632" w:type="dxa"/>
            <w:vMerge/>
            <w:hideMark/>
          </w:tcPr>
          <w:p w14:paraId="502B297E" w14:textId="77777777" w:rsidR="00812C67" w:rsidRPr="004B6753" w:rsidRDefault="00812C67" w:rsidP="00B77C0B">
            <w:pPr>
              <w:pStyle w:val="NoSpacing"/>
              <w:rPr>
                <w:rFonts w:ascii="Times New Roman" w:hAnsi="Times New Roman" w:cs="Times New Roman"/>
                <w:szCs w:val="24"/>
              </w:rPr>
            </w:pPr>
          </w:p>
        </w:tc>
        <w:tc>
          <w:tcPr>
            <w:tcW w:w="0" w:type="auto"/>
            <w:vAlign w:val="center"/>
            <w:hideMark/>
          </w:tcPr>
          <w:p w14:paraId="22E3B97E" w14:textId="77777777" w:rsidR="00812C67" w:rsidRPr="004B6753" w:rsidRDefault="00812C67" w:rsidP="004B6753">
            <w:pPr>
              <w:pStyle w:val="NoSpacing"/>
              <w:jc w:val="center"/>
              <w:rPr>
                <w:rFonts w:ascii="Times New Roman" w:hAnsi="Times New Roman" w:cs="Times New Roman"/>
                <w:szCs w:val="24"/>
              </w:rPr>
            </w:pPr>
            <w:r w:rsidRPr="004B6753">
              <w:rPr>
                <w:rFonts w:ascii="Times New Roman" w:hAnsi="Times New Roman" w:cs="Times New Roman"/>
                <w:i/>
                <w:iCs/>
                <w:szCs w:val="24"/>
              </w:rPr>
              <w:t>(10.25)</w:t>
            </w:r>
          </w:p>
        </w:tc>
        <w:tc>
          <w:tcPr>
            <w:tcW w:w="0" w:type="auto"/>
            <w:vAlign w:val="center"/>
            <w:hideMark/>
          </w:tcPr>
          <w:p w14:paraId="154FCDC6" w14:textId="77777777" w:rsidR="00812C67" w:rsidRPr="004B6753" w:rsidRDefault="00812C67" w:rsidP="004B6753">
            <w:pPr>
              <w:pStyle w:val="NoSpacing"/>
              <w:jc w:val="center"/>
              <w:rPr>
                <w:rFonts w:ascii="Times New Roman" w:hAnsi="Times New Roman" w:cs="Times New Roman"/>
                <w:szCs w:val="24"/>
              </w:rPr>
            </w:pPr>
            <w:r w:rsidRPr="004B6753">
              <w:rPr>
                <w:rFonts w:ascii="Times New Roman" w:hAnsi="Times New Roman" w:cs="Times New Roman"/>
                <w:i/>
                <w:iCs/>
                <w:szCs w:val="24"/>
              </w:rPr>
              <w:t>(10.82)</w:t>
            </w:r>
          </w:p>
        </w:tc>
        <w:tc>
          <w:tcPr>
            <w:tcW w:w="0" w:type="auto"/>
            <w:vAlign w:val="center"/>
            <w:hideMark/>
          </w:tcPr>
          <w:p w14:paraId="3195E4D8" w14:textId="77777777" w:rsidR="00812C67" w:rsidRPr="004B6753" w:rsidRDefault="00812C67" w:rsidP="004B6753">
            <w:pPr>
              <w:pStyle w:val="NoSpacing"/>
              <w:jc w:val="center"/>
              <w:rPr>
                <w:rFonts w:ascii="Times New Roman" w:hAnsi="Times New Roman" w:cs="Times New Roman"/>
                <w:szCs w:val="24"/>
              </w:rPr>
            </w:pPr>
            <w:r w:rsidRPr="004B6753">
              <w:rPr>
                <w:rFonts w:ascii="Times New Roman" w:hAnsi="Times New Roman" w:cs="Times New Roman"/>
                <w:i/>
                <w:iCs/>
                <w:szCs w:val="24"/>
              </w:rPr>
              <w:t>(6.23)</w:t>
            </w:r>
          </w:p>
        </w:tc>
        <w:tc>
          <w:tcPr>
            <w:tcW w:w="0" w:type="auto"/>
            <w:vAlign w:val="center"/>
            <w:hideMark/>
          </w:tcPr>
          <w:p w14:paraId="5E7909FC" w14:textId="77777777" w:rsidR="00812C67" w:rsidRPr="004B6753" w:rsidRDefault="00812C67" w:rsidP="004B6753">
            <w:pPr>
              <w:pStyle w:val="NoSpacing"/>
              <w:jc w:val="center"/>
              <w:rPr>
                <w:rFonts w:ascii="Times New Roman" w:hAnsi="Times New Roman" w:cs="Times New Roman"/>
                <w:szCs w:val="24"/>
              </w:rPr>
            </w:pPr>
            <w:r w:rsidRPr="004B6753">
              <w:rPr>
                <w:rFonts w:ascii="Times New Roman" w:hAnsi="Times New Roman" w:cs="Times New Roman"/>
                <w:i/>
                <w:iCs/>
                <w:szCs w:val="24"/>
              </w:rPr>
              <w:t>(8.87)</w:t>
            </w:r>
          </w:p>
        </w:tc>
        <w:tc>
          <w:tcPr>
            <w:tcW w:w="0" w:type="auto"/>
            <w:vAlign w:val="center"/>
            <w:hideMark/>
          </w:tcPr>
          <w:p w14:paraId="6480E861" w14:textId="77777777" w:rsidR="00812C67" w:rsidRPr="004B6753" w:rsidRDefault="00812C67" w:rsidP="004B6753">
            <w:pPr>
              <w:pStyle w:val="NoSpacing"/>
              <w:jc w:val="center"/>
              <w:rPr>
                <w:rFonts w:ascii="Times New Roman" w:hAnsi="Times New Roman" w:cs="Times New Roman"/>
                <w:szCs w:val="24"/>
              </w:rPr>
            </w:pPr>
            <w:r w:rsidRPr="004B6753">
              <w:rPr>
                <w:rFonts w:ascii="Times New Roman" w:hAnsi="Times New Roman" w:cs="Times New Roman"/>
                <w:i/>
                <w:iCs/>
                <w:szCs w:val="24"/>
              </w:rPr>
              <w:t>(2.50)</w:t>
            </w:r>
          </w:p>
        </w:tc>
        <w:tc>
          <w:tcPr>
            <w:tcW w:w="0" w:type="auto"/>
            <w:vAlign w:val="center"/>
            <w:hideMark/>
          </w:tcPr>
          <w:p w14:paraId="405FB74A" w14:textId="77777777" w:rsidR="00812C67" w:rsidRPr="004B6753" w:rsidRDefault="00812C67" w:rsidP="004B6753">
            <w:pPr>
              <w:pStyle w:val="NoSpacing"/>
              <w:jc w:val="center"/>
              <w:rPr>
                <w:rFonts w:ascii="Times New Roman" w:hAnsi="Times New Roman" w:cs="Times New Roman"/>
                <w:szCs w:val="24"/>
              </w:rPr>
            </w:pPr>
            <w:r w:rsidRPr="004B6753">
              <w:rPr>
                <w:rFonts w:ascii="Times New Roman" w:hAnsi="Times New Roman" w:cs="Times New Roman"/>
                <w:i/>
                <w:iCs/>
                <w:szCs w:val="24"/>
              </w:rPr>
              <w:t>(19.39)</w:t>
            </w:r>
          </w:p>
        </w:tc>
        <w:tc>
          <w:tcPr>
            <w:tcW w:w="0" w:type="auto"/>
            <w:vAlign w:val="center"/>
            <w:hideMark/>
          </w:tcPr>
          <w:p w14:paraId="33077ADC" w14:textId="77777777" w:rsidR="00812C67" w:rsidRPr="004B6753" w:rsidRDefault="00812C67" w:rsidP="004B6753">
            <w:pPr>
              <w:pStyle w:val="NoSpacing"/>
              <w:jc w:val="center"/>
              <w:rPr>
                <w:rFonts w:ascii="Times New Roman" w:hAnsi="Times New Roman" w:cs="Times New Roman"/>
                <w:szCs w:val="24"/>
              </w:rPr>
            </w:pPr>
            <w:r w:rsidRPr="004B6753">
              <w:rPr>
                <w:rFonts w:ascii="Times New Roman" w:hAnsi="Times New Roman" w:cs="Times New Roman"/>
                <w:i/>
                <w:iCs/>
                <w:szCs w:val="24"/>
              </w:rPr>
              <w:t>(5.12)</w:t>
            </w:r>
          </w:p>
        </w:tc>
        <w:tc>
          <w:tcPr>
            <w:tcW w:w="0" w:type="auto"/>
            <w:vAlign w:val="center"/>
            <w:hideMark/>
          </w:tcPr>
          <w:p w14:paraId="41010FC1" w14:textId="77777777" w:rsidR="00812C67" w:rsidRPr="004B6753" w:rsidRDefault="00812C67" w:rsidP="004B6753">
            <w:pPr>
              <w:pStyle w:val="NoSpacing"/>
              <w:jc w:val="center"/>
              <w:rPr>
                <w:rFonts w:ascii="Times New Roman" w:hAnsi="Times New Roman" w:cs="Times New Roman"/>
                <w:szCs w:val="24"/>
              </w:rPr>
            </w:pPr>
            <w:r w:rsidRPr="004B6753">
              <w:rPr>
                <w:rFonts w:ascii="Times New Roman" w:hAnsi="Times New Roman" w:cs="Times New Roman"/>
                <w:i/>
                <w:iCs/>
                <w:szCs w:val="24"/>
              </w:rPr>
              <w:t>(2.72)</w:t>
            </w:r>
          </w:p>
        </w:tc>
        <w:tc>
          <w:tcPr>
            <w:tcW w:w="0" w:type="auto"/>
            <w:vAlign w:val="center"/>
            <w:hideMark/>
          </w:tcPr>
          <w:p w14:paraId="60C6440A" w14:textId="77777777" w:rsidR="00812C67" w:rsidRPr="004B6753" w:rsidRDefault="00812C67" w:rsidP="004B6753">
            <w:pPr>
              <w:pStyle w:val="NoSpacing"/>
              <w:jc w:val="center"/>
              <w:rPr>
                <w:rFonts w:ascii="Times New Roman" w:hAnsi="Times New Roman" w:cs="Times New Roman"/>
                <w:szCs w:val="24"/>
              </w:rPr>
            </w:pPr>
            <w:r w:rsidRPr="004B6753">
              <w:rPr>
                <w:rFonts w:ascii="Times New Roman" w:hAnsi="Times New Roman" w:cs="Times New Roman"/>
                <w:i/>
                <w:iCs/>
                <w:szCs w:val="24"/>
              </w:rPr>
              <w:t>(4.93)</w:t>
            </w:r>
          </w:p>
        </w:tc>
        <w:tc>
          <w:tcPr>
            <w:tcW w:w="0" w:type="auto"/>
            <w:vAlign w:val="center"/>
            <w:hideMark/>
          </w:tcPr>
          <w:p w14:paraId="312D272C" w14:textId="77777777" w:rsidR="00812C67" w:rsidRPr="004B6753" w:rsidRDefault="00812C67" w:rsidP="004B6753">
            <w:pPr>
              <w:pStyle w:val="NoSpacing"/>
              <w:jc w:val="center"/>
              <w:rPr>
                <w:rFonts w:ascii="Times New Roman" w:hAnsi="Times New Roman" w:cs="Times New Roman"/>
                <w:szCs w:val="24"/>
              </w:rPr>
            </w:pPr>
            <w:r w:rsidRPr="004B6753">
              <w:rPr>
                <w:rFonts w:ascii="Times New Roman" w:hAnsi="Times New Roman" w:cs="Times New Roman"/>
                <w:i/>
                <w:iCs/>
                <w:szCs w:val="24"/>
              </w:rPr>
              <w:t>(29.17)</w:t>
            </w:r>
          </w:p>
        </w:tc>
        <w:tc>
          <w:tcPr>
            <w:tcW w:w="0" w:type="auto"/>
            <w:vAlign w:val="center"/>
            <w:hideMark/>
          </w:tcPr>
          <w:p w14:paraId="2C44A046" w14:textId="77777777" w:rsidR="00812C67" w:rsidRPr="004B6753" w:rsidRDefault="00812C67" w:rsidP="004B6753">
            <w:pPr>
              <w:pStyle w:val="NoSpacing"/>
              <w:jc w:val="center"/>
              <w:rPr>
                <w:rFonts w:ascii="Times New Roman" w:hAnsi="Times New Roman" w:cs="Times New Roman"/>
                <w:szCs w:val="24"/>
              </w:rPr>
            </w:pPr>
            <w:r w:rsidRPr="004B6753">
              <w:rPr>
                <w:rFonts w:ascii="Times New Roman" w:hAnsi="Times New Roman" w:cs="Times New Roman"/>
                <w:i/>
                <w:iCs/>
                <w:szCs w:val="24"/>
              </w:rPr>
              <w:t>(100.00)</w:t>
            </w:r>
          </w:p>
        </w:tc>
      </w:tr>
      <w:tr w:rsidR="00416FA8" w:rsidRPr="004B6753" w14:paraId="51FBC35A" w14:textId="77777777" w:rsidTr="004B6753">
        <w:tc>
          <w:tcPr>
            <w:tcW w:w="1632" w:type="dxa"/>
            <w:hideMark/>
          </w:tcPr>
          <w:p w14:paraId="308F7C83" w14:textId="77777777" w:rsidR="00416FA8" w:rsidRPr="004B6753" w:rsidRDefault="00416FA8" w:rsidP="00B77C0B">
            <w:pPr>
              <w:pStyle w:val="NoSpacing"/>
              <w:rPr>
                <w:rFonts w:ascii="Times New Roman" w:hAnsi="Times New Roman" w:cs="Times New Roman"/>
                <w:szCs w:val="24"/>
              </w:rPr>
            </w:pPr>
            <w:r w:rsidRPr="004B6753">
              <w:rPr>
                <w:rFonts w:ascii="Times New Roman" w:hAnsi="Times New Roman" w:cs="Times New Roman"/>
                <w:szCs w:val="24"/>
              </w:rPr>
              <w:t>1965-66</w:t>
            </w:r>
          </w:p>
        </w:tc>
        <w:tc>
          <w:tcPr>
            <w:tcW w:w="0" w:type="auto"/>
            <w:vAlign w:val="center"/>
            <w:hideMark/>
          </w:tcPr>
          <w:p w14:paraId="0BA88D0D" w14:textId="77777777" w:rsidR="00416FA8" w:rsidRPr="004B6753" w:rsidRDefault="00416FA8" w:rsidP="004B6753">
            <w:pPr>
              <w:pStyle w:val="NoSpacing"/>
              <w:jc w:val="center"/>
              <w:rPr>
                <w:rFonts w:ascii="Times New Roman" w:hAnsi="Times New Roman" w:cs="Times New Roman"/>
                <w:szCs w:val="24"/>
              </w:rPr>
            </w:pPr>
            <w:r w:rsidRPr="004B6753">
              <w:rPr>
                <w:rFonts w:ascii="Times New Roman" w:hAnsi="Times New Roman" w:cs="Times New Roman"/>
                <w:szCs w:val="24"/>
              </w:rPr>
              <w:t>17.82</w:t>
            </w:r>
          </w:p>
        </w:tc>
        <w:tc>
          <w:tcPr>
            <w:tcW w:w="0" w:type="auto"/>
            <w:vAlign w:val="center"/>
            <w:hideMark/>
          </w:tcPr>
          <w:p w14:paraId="5C37EEEF" w14:textId="77777777" w:rsidR="00416FA8" w:rsidRPr="004B6753" w:rsidRDefault="00416FA8" w:rsidP="004B6753">
            <w:pPr>
              <w:pStyle w:val="NoSpacing"/>
              <w:jc w:val="center"/>
              <w:rPr>
                <w:rFonts w:ascii="Times New Roman" w:hAnsi="Times New Roman" w:cs="Times New Roman"/>
                <w:szCs w:val="24"/>
              </w:rPr>
            </w:pPr>
            <w:r w:rsidRPr="004B6753">
              <w:rPr>
                <w:rFonts w:ascii="Times New Roman" w:hAnsi="Times New Roman" w:cs="Times New Roman"/>
                <w:szCs w:val="24"/>
              </w:rPr>
              <w:t>26.61</w:t>
            </w:r>
          </w:p>
        </w:tc>
        <w:tc>
          <w:tcPr>
            <w:tcW w:w="0" w:type="auto"/>
            <w:vAlign w:val="center"/>
            <w:hideMark/>
          </w:tcPr>
          <w:p w14:paraId="68D61E0A" w14:textId="77777777" w:rsidR="00416FA8" w:rsidRPr="004B6753" w:rsidRDefault="00416FA8" w:rsidP="004B6753">
            <w:pPr>
              <w:pStyle w:val="NoSpacing"/>
              <w:jc w:val="center"/>
              <w:rPr>
                <w:rFonts w:ascii="Times New Roman" w:hAnsi="Times New Roman" w:cs="Times New Roman"/>
                <w:szCs w:val="24"/>
              </w:rPr>
            </w:pPr>
            <w:r w:rsidRPr="004B6753">
              <w:rPr>
                <w:rFonts w:ascii="Times New Roman" w:hAnsi="Times New Roman" w:cs="Times New Roman"/>
                <w:szCs w:val="24"/>
              </w:rPr>
              <w:t>10.21</w:t>
            </w:r>
          </w:p>
        </w:tc>
        <w:tc>
          <w:tcPr>
            <w:tcW w:w="0" w:type="auto"/>
            <w:vAlign w:val="center"/>
            <w:hideMark/>
          </w:tcPr>
          <w:p w14:paraId="794B4FF4" w14:textId="77777777" w:rsidR="00416FA8" w:rsidRPr="004B6753" w:rsidRDefault="00416FA8" w:rsidP="004B6753">
            <w:pPr>
              <w:pStyle w:val="NoSpacing"/>
              <w:jc w:val="center"/>
              <w:rPr>
                <w:rFonts w:ascii="Times New Roman" w:hAnsi="Times New Roman" w:cs="Times New Roman"/>
                <w:szCs w:val="24"/>
              </w:rPr>
            </w:pPr>
            <w:r w:rsidRPr="004B6753">
              <w:rPr>
                <w:rFonts w:ascii="Times New Roman" w:hAnsi="Times New Roman" w:cs="Times New Roman"/>
                <w:szCs w:val="24"/>
              </w:rPr>
              <w:t>19.16</w:t>
            </w:r>
          </w:p>
        </w:tc>
        <w:tc>
          <w:tcPr>
            <w:tcW w:w="0" w:type="auto"/>
            <w:vAlign w:val="center"/>
            <w:hideMark/>
          </w:tcPr>
          <w:p w14:paraId="59473A2D" w14:textId="77777777" w:rsidR="00416FA8" w:rsidRPr="004B6753" w:rsidRDefault="00416FA8" w:rsidP="004B6753">
            <w:pPr>
              <w:pStyle w:val="NoSpacing"/>
              <w:jc w:val="center"/>
              <w:rPr>
                <w:rFonts w:ascii="Times New Roman" w:hAnsi="Times New Roman" w:cs="Times New Roman"/>
                <w:szCs w:val="24"/>
              </w:rPr>
            </w:pPr>
            <w:r w:rsidRPr="004B6753">
              <w:rPr>
                <w:rFonts w:ascii="Times New Roman" w:hAnsi="Times New Roman" w:cs="Times New Roman"/>
                <w:szCs w:val="24"/>
              </w:rPr>
              <w:t>6.19</w:t>
            </w:r>
          </w:p>
        </w:tc>
        <w:tc>
          <w:tcPr>
            <w:tcW w:w="0" w:type="auto"/>
            <w:vAlign w:val="center"/>
            <w:hideMark/>
          </w:tcPr>
          <w:p w14:paraId="1C8FB7FA" w14:textId="77777777" w:rsidR="00416FA8" w:rsidRPr="004B6753" w:rsidRDefault="00416FA8" w:rsidP="004B6753">
            <w:pPr>
              <w:pStyle w:val="NoSpacing"/>
              <w:jc w:val="center"/>
              <w:rPr>
                <w:rFonts w:ascii="Times New Roman" w:hAnsi="Times New Roman" w:cs="Times New Roman"/>
                <w:szCs w:val="24"/>
              </w:rPr>
            </w:pPr>
            <w:r w:rsidRPr="004B6753">
              <w:rPr>
                <w:rFonts w:ascii="Times New Roman" w:hAnsi="Times New Roman" w:cs="Times New Roman"/>
                <w:szCs w:val="24"/>
              </w:rPr>
              <w:t>40.61</w:t>
            </w:r>
          </w:p>
        </w:tc>
        <w:tc>
          <w:tcPr>
            <w:tcW w:w="0" w:type="auto"/>
            <w:vAlign w:val="center"/>
            <w:hideMark/>
          </w:tcPr>
          <w:p w14:paraId="5091AD50" w14:textId="77777777" w:rsidR="00416FA8" w:rsidRPr="004B6753" w:rsidRDefault="00416FA8" w:rsidP="004B6753">
            <w:pPr>
              <w:pStyle w:val="NoSpacing"/>
              <w:jc w:val="center"/>
              <w:rPr>
                <w:rFonts w:ascii="Times New Roman" w:hAnsi="Times New Roman" w:cs="Times New Roman"/>
                <w:szCs w:val="24"/>
              </w:rPr>
            </w:pPr>
            <w:r w:rsidRPr="004B6753">
              <w:rPr>
                <w:rFonts w:ascii="Times New Roman" w:hAnsi="Times New Roman" w:cs="Times New Roman"/>
                <w:szCs w:val="24"/>
              </w:rPr>
              <w:t>11.42</w:t>
            </w:r>
          </w:p>
        </w:tc>
        <w:tc>
          <w:tcPr>
            <w:tcW w:w="0" w:type="auto"/>
            <w:vAlign w:val="center"/>
            <w:hideMark/>
          </w:tcPr>
          <w:p w14:paraId="7FB2B871" w14:textId="77777777" w:rsidR="00416FA8" w:rsidRPr="004B6753" w:rsidRDefault="00416FA8" w:rsidP="004B6753">
            <w:pPr>
              <w:pStyle w:val="NoSpacing"/>
              <w:jc w:val="center"/>
              <w:rPr>
                <w:rFonts w:ascii="Times New Roman" w:hAnsi="Times New Roman" w:cs="Times New Roman"/>
                <w:szCs w:val="24"/>
              </w:rPr>
            </w:pPr>
            <w:r w:rsidRPr="004B6753">
              <w:rPr>
                <w:rFonts w:ascii="Times New Roman" w:hAnsi="Times New Roman" w:cs="Times New Roman"/>
                <w:szCs w:val="24"/>
              </w:rPr>
              <w:t>4.32</w:t>
            </w:r>
          </w:p>
        </w:tc>
        <w:tc>
          <w:tcPr>
            <w:tcW w:w="0" w:type="auto"/>
            <w:vAlign w:val="center"/>
            <w:hideMark/>
          </w:tcPr>
          <w:p w14:paraId="065AB3DA" w14:textId="77777777" w:rsidR="00416FA8" w:rsidRPr="004B6753" w:rsidRDefault="00416FA8" w:rsidP="004B6753">
            <w:pPr>
              <w:pStyle w:val="NoSpacing"/>
              <w:jc w:val="center"/>
              <w:rPr>
                <w:rFonts w:ascii="Times New Roman" w:hAnsi="Times New Roman" w:cs="Times New Roman"/>
                <w:szCs w:val="24"/>
              </w:rPr>
            </w:pPr>
            <w:r w:rsidRPr="004B6753">
              <w:rPr>
                <w:rFonts w:ascii="Times New Roman" w:hAnsi="Times New Roman" w:cs="Times New Roman"/>
                <w:szCs w:val="24"/>
              </w:rPr>
              <w:t>23.84</w:t>
            </w:r>
          </w:p>
        </w:tc>
        <w:tc>
          <w:tcPr>
            <w:tcW w:w="0" w:type="auto"/>
            <w:vAlign w:val="center"/>
            <w:hideMark/>
          </w:tcPr>
          <w:p w14:paraId="60B25BC7" w14:textId="77777777" w:rsidR="00416FA8" w:rsidRPr="004B6753" w:rsidRDefault="00416FA8" w:rsidP="004B6753">
            <w:pPr>
              <w:pStyle w:val="NoSpacing"/>
              <w:jc w:val="center"/>
              <w:rPr>
                <w:rFonts w:ascii="Times New Roman" w:hAnsi="Times New Roman" w:cs="Times New Roman"/>
                <w:szCs w:val="24"/>
              </w:rPr>
            </w:pPr>
            <w:r w:rsidRPr="004B6753">
              <w:rPr>
                <w:rFonts w:ascii="Times New Roman" w:hAnsi="Times New Roman" w:cs="Times New Roman"/>
                <w:szCs w:val="24"/>
              </w:rPr>
              <w:t>80.94</w:t>
            </w:r>
          </w:p>
        </w:tc>
        <w:tc>
          <w:tcPr>
            <w:tcW w:w="0" w:type="auto"/>
            <w:vAlign w:val="center"/>
            <w:hideMark/>
          </w:tcPr>
          <w:p w14:paraId="3577DA3A" w14:textId="77777777" w:rsidR="00416FA8" w:rsidRPr="004B6753" w:rsidRDefault="00416FA8" w:rsidP="004B6753">
            <w:pPr>
              <w:pStyle w:val="NoSpacing"/>
              <w:jc w:val="center"/>
              <w:rPr>
                <w:rFonts w:ascii="Times New Roman" w:hAnsi="Times New Roman" w:cs="Times New Roman"/>
                <w:szCs w:val="24"/>
              </w:rPr>
            </w:pPr>
            <w:r w:rsidRPr="004B6753">
              <w:rPr>
                <w:rFonts w:ascii="Times New Roman" w:hAnsi="Times New Roman" w:cs="Times New Roman"/>
                <w:szCs w:val="24"/>
              </w:rPr>
              <w:t>241.12</w:t>
            </w:r>
          </w:p>
        </w:tc>
      </w:tr>
      <w:tr w:rsidR="00416FA8" w:rsidRPr="004B6753" w14:paraId="2E73D2E3" w14:textId="77777777" w:rsidTr="004B6753">
        <w:tc>
          <w:tcPr>
            <w:tcW w:w="1632" w:type="dxa"/>
            <w:hideMark/>
          </w:tcPr>
          <w:p w14:paraId="42823D32" w14:textId="77777777" w:rsidR="00416FA8" w:rsidRPr="004B6753" w:rsidRDefault="00416FA8" w:rsidP="00B77C0B">
            <w:pPr>
              <w:pStyle w:val="NoSpacing"/>
              <w:rPr>
                <w:rFonts w:ascii="Times New Roman" w:hAnsi="Times New Roman" w:cs="Times New Roman"/>
                <w:szCs w:val="24"/>
              </w:rPr>
            </w:pPr>
            <w:r w:rsidRPr="004B6753">
              <w:rPr>
                <w:rFonts w:ascii="Times New Roman" w:hAnsi="Times New Roman" w:cs="Times New Roman"/>
                <w:szCs w:val="24"/>
              </w:rPr>
              <w:t>1966-67</w:t>
            </w:r>
          </w:p>
        </w:tc>
        <w:tc>
          <w:tcPr>
            <w:tcW w:w="0" w:type="auto"/>
            <w:vAlign w:val="center"/>
            <w:hideMark/>
          </w:tcPr>
          <w:p w14:paraId="1972776A" w14:textId="77777777" w:rsidR="00416FA8" w:rsidRPr="004B6753" w:rsidRDefault="00416FA8" w:rsidP="004B6753">
            <w:pPr>
              <w:pStyle w:val="NoSpacing"/>
              <w:jc w:val="center"/>
              <w:rPr>
                <w:rFonts w:ascii="Times New Roman" w:hAnsi="Times New Roman" w:cs="Times New Roman"/>
                <w:szCs w:val="24"/>
              </w:rPr>
            </w:pPr>
            <w:r w:rsidRPr="004B6753">
              <w:rPr>
                <w:rFonts w:ascii="Times New Roman" w:hAnsi="Times New Roman" w:cs="Times New Roman"/>
                <w:szCs w:val="24"/>
              </w:rPr>
              <w:t>23.56</w:t>
            </w:r>
          </w:p>
        </w:tc>
        <w:tc>
          <w:tcPr>
            <w:tcW w:w="0" w:type="auto"/>
            <w:vAlign w:val="center"/>
            <w:hideMark/>
          </w:tcPr>
          <w:p w14:paraId="575BE596" w14:textId="77777777" w:rsidR="00416FA8" w:rsidRPr="004B6753" w:rsidRDefault="00416FA8" w:rsidP="004B6753">
            <w:pPr>
              <w:pStyle w:val="NoSpacing"/>
              <w:jc w:val="center"/>
              <w:rPr>
                <w:rFonts w:ascii="Times New Roman" w:hAnsi="Times New Roman" w:cs="Times New Roman"/>
                <w:szCs w:val="24"/>
              </w:rPr>
            </w:pPr>
            <w:r w:rsidRPr="004B6753">
              <w:rPr>
                <w:rFonts w:ascii="Times New Roman" w:hAnsi="Times New Roman" w:cs="Times New Roman"/>
                <w:szCs w:val="24"/>
              </w:rPr>
              <w:t>50.52</w:t>
            </w:r>
          </w:p>
        </w:tc>
        <w:tc>
          <w:tcPr>
            <w:tcW w:w="0" w:type="auto"/>
            <w:vAlign w:val="center"/>
            <w:hideMark/>
          </w:tcPr>
          <w:p w14:paraId="7B83A1A7" w14:textId="77777777" w:rsidR="00416FA8" w:rsidRPr="004B6753" w:rsidRDefault="00416FA8" w:rsidP="004B6753">
            <w:pPr>
              <w:pStyle w:val="NoSpacing"/>
              <w:jc w:val="center"/>
              <w:rPr>
                <w:rFonts w:ascii="Times New Roman" w:hAnsi="Times New Roman" w:cs="Times New Roman"/>
                <w:szCs w:val="24"/>
              </w:rPr>
            </w:pPr>
            <w:r w:rsidRPr="004B6753">
              <w:rPr>
                <w:rFonts w:ascii="Times New Roman" w:hAnsi="Times New Roman" w:cs="Times New Roman"/>
                <w:szCs w:val="24"/>
              </w:rPr>
              <w:t>10.42</w:t>
            </w:r>
          </w:p>
        </w:tc>
        <w:tc>
          <w:tcPr>
            <w:tcW w:w="0" w:type="auto"/>
            <w:vAlign w:val="center"/>
            <w:hideMark/>
          </w:tcPr>
          <w:p w14:paraId="03DD6EAB" w14:textId="77777777" w:rsidR="00416FA8" w:rsidRPr="004B6753" w:rsidRDefault="00416FA8" w:rsidP="004B6753">
            <w:pPr>
              <w:pStyle w:val="NoSpacing"/>
              <w:jc w:val="center"/>
              <w:rPr>
                <w:rFonts w:ascii="Times New Roman" w:hAnsi="Times New Roman" w:cs="Times New Roman"/>
                <w:szCs w:val="24"/>
              </w:rPr>
            </w:pPr>
            <w:r w:rsidRPr="004B6753">
              <w:rPr>
                <w:rFonts w:ascii="Times New Roman" w:hAnsi="Times New Roman" w:cs="Times New Roman"/>
                <w:szCs w:val="24"/>
              </w:rPr>
              <w:t>19.53</w:t>
            </w:r>
          </w:p>
        </w:tc>
        <w:tc>
          <w:tcPr>
            <w:tcW w:w="0" w:type="auto"/>
            <w:vAlign w:val="center"/>
            <w:hideMark/>
          </w:tcPr>
          <w:p w14:paraId="60EB5848" w14:textId="77777777" w:rsidR="00416FA8" w:rsidRPr="004B6753" w:rsidRDefault="00416FA8" w:rsidP="004B6753">
            <w:pPr>
              <w:pStyle w:val="NoSpacing"/>
              <w:jc w:val="center"/>
              <w:rPr>
                <w:rFonts w:ascii="Times New Roman" w:hAnsi="Times New Roman" w:cs="Times New Roman"/>
                <w:szCs w:val="24"/>
              </w:rPr>
            </w:pPr>
            <w:r w:rsidRPr="004B6753">
              <w:rPr>
                <w:rFonts w:ascii="Times New Roman" w:hAnsi="Times New Roman" w:cs="Times New Roman"/>
                <w:szCs w:val="24"/>
              </w:rPr>
              <w:t>9.47</w:t>
            </w:r>
          </w:p>
        </w:tc>
        <w:tc>
          <w:tcPr>
            <w:tcW w:w="0" w:type="auto"/>
            <w:vAlign w:val="center"/>
            <w:hideMark/>
          </w:tcPr>
          <w:p w14:paraId="3FA6AAE8" w14:textId="77777777" w:rsidR="00416FA8" w:rsidRPr="004B6753" w:rsidRDefault="00416FA8" w:rsidP="004B6753">
            <w:pPr>
              <w:pStyle w:val="NoSpacing"/>
              <w:jc w:val="center"/>
              <w:rPr>
                <w:rFonts w:ascii="Times New Roman" w:hAnsi="Times New Roman" w:cs="Times New Roman"/>
                <w:szCs w:val="24"/>
              </w:rPr>
            </w:pPr>
            <w:r w:rsidRPr="004B6753">
              <w:rPr>
                <w:rFonts w:ascii="Times New Roman" w:hAnsi="Times New Roman" w:cs="Times New Roman"/>
                <w:szCs w:val="24"/>
              </w:rPr>
              <w:t>42.41</w:t>
            </w:r>
          </w:p>
        </w:tc>
        <w:tc>
          <w:tcPr>
            <w:tcW w:w="0" w:type="auto"/>
            <w:vAlign w:val="center"/>
            <w:hideMark/>
          </w:tcPr>
          <w:p w14:paraId="77F75D92" w14:textId="77777777" w:rsidR="00416FA8" w:rsidRPr="004B6753" w:rsidRDefault="00416FA8" w:rsidP="004B6753">
            <w:pPr>
              <w:pStyle w:val="NoSpacing"/>
              <w:jc w:val="center"/>
              <w:rPr>
                <w:rFonts w:ascii="Times New Roman" w:hAnsi="Times New Roman" w:cs="Times New Roman"/>
                <w:szCs w:val="24"/>
              </w:rPr>
            </w:pPr>
            <w:r w:rsidRPr="004B6753">
              <w:rPr>
                <w:rFonts w:ascii="Times New Roman" w:hAnsi="Times New Roman" w:cs="Times New Roman"/>
                <w:szCs w:val="24"/>
              </w:rPr>
              <w:t>12.29</w:t>
            </w:r>
          </w:p>
        </w:tc>
        <w:tc>
          <w:tcPr>
            <w:tcW w:w="0" w:type="auto"/>
            <w:vAlign w:val="center"/>
            <w:hideMark/>
          </w:tcPr>
          <w:p w14:paraId="67CD9B54" w14:textId="77777777" w:rsidR="00416FA8" w:rsidRPr="004B6753" w:rsidRDefault="00416FA8" w:rsidP="004B6753">
            <w:pPr>
              <w:pStyle w:val="NoSpacing"/>
              <w:jc w:val="center"/>
              <w:rPr>
                <w:rFonts w:ascii="Times New Roman" w:hAnsi="Times New Roman" w:cs="Times New Roman"/>
                <w:szCs w:val="24"/>
              </w:rPr>
            </w:pPr>
            <w:r w:rsidRPr="004B6753">
              <w:rPr>
                <w:rFonts w:ascii="Times New Roman" w:hAnsi="Times New Roman" w:cs="Times New Roman"/>
                <w:szCs w:val="24"/>
              </w:rPr>
              <w:t>7.51</w:t>
            </w:r>
          </w:p>
        </w:tc>
        <w:tc>
          <w:tcPr>
            <w:tcW w:w="0" w:type="auto"/>
            <w:vAlign w:val="center"/>
            <w:hideMark/>
          </w:tcPr>
          <w:p w14:paraId="55CCD7EE" w14:textId="77777777" w:rsidR="00416FA8" w:rsidRPr="004B6753" w:rsidRDefault="00416FA8" w:rsidP="004B6753">
            <w:pPr>
              <w:pStyle w:val="NoSpacing"/>
              <w:jc w:val="center"/>
              <w:rPr>
                <w:rFonts w:ascii="Times New Roman" w:hAnsi="Times New Roman" w:cs="Times New Roman"/>
                <w:szCs w:val="24"/>
              </w:rPr>
            </w:pPr>
            <w:r w:rsidRPr="004B6753">
              <w:rPr>
                <w:rFonts w:ascii="Times New Roman" w:hAnsi="Times New Roman" w:cs="Times New Roman"/>
                <w:szCs w:val="24"/>
              </w:rPr>
              <w:t>25.26</w:t>
            </w:r>
          </w:p>
        </w:tc>
        <w:tc>
          <w:tcPr>
            <w:tcW w:w="0" w:type="auto"/>
            <w:vAlign w:val="center"/>
            <w:hideMark/>
          </w:tcPr>
          <w:p w14:paraId="2E84AD50" w14:textId="77777777" w:rsidR="00416FA8" w:rsidRPr="004B6753" w:rsidRDefault="00416FA8" w:rsidP="004B6753">
            <w:pPr>
              <w:pStyle w:val="NoSpacing"/>
              <w:jc w:val="center"/>
              <w:rPr>
                <w:rFonts w:ascii="Times New Roman" w:hAnsi="Times New Roman" w:cs="Times New Roman"/>
                <w:szCs w:val="24"/>
              </w:rPr>
            </w:pPr>
            <w:r w:rsidRPr="004B6753">
              <w:rPr>
                <w:rFonts w:ascii="Times New Roman" w:hAnsi="Times New Roman" w:cs="Times New Roman"/>
                <w:szCs w:val="24"/>
              </w:rPr>
              <w:t>82.87</w:t>
            </w:r>
          </w:p>
        </w:tc>
        <w:tc>
          <w:tcPr>
            <w:tcW w:w="0" w:type="auto"/>
            <w:vAlign w:val="center"/>
            <w:hideMark/>
          </w:tcPr>
          <w:p w14:paraId="32F9A676" w14:textId="77777777" w:rsidR="00416FA8" w:rsidRPr="004B6753" w:rsidRDefault="00416FA8" w:rsidP="004B6753">
            <w:pPr>
              <w:pStyle w:val="NoSpacing"/>
              <w:jc w:val="center"/>
              <w:rPr>
                <w:rFonts w:ascii="Times New Roman" w:hAnsi="Times New Roman" w:cs="Times New Roman"/>
                <w:szCs w:val="24"/>
              </w:rPr>
            </w:pPr>
            <w:r w:rsidRPr="004B6753">
              <w:rPr>
                <w:rFonts w:ascii="Times New Roman" w:hAnsi="Times New Roman" w:cs="Times New Roman"/>
                <w:szCs w:val="24"/>
              </w:rPr>
              <w:t>283.84</w:t>
            </w:r>
          </w:p>
        </w:tc>
      </w:tr>
      <w:tr w:rsidR="00416FA8" w:rsidRPr="004B6753" w14:paraId="0882CE21" w14:textId="77777777" w:rsidTr="004B6753">
        <w:tc>
          <w:tcPr>
            <w:tcW w:w="1632" w:type="dxa"/>
            <w:hideMark/>
          </w:tcPr>
          <w:p w14:paraId="2C6E1606" w14:textId="77777777" w:rsidR="00416FA8" w:rsidRPr="004B6753" w:rsidRDefault="00416FA8" w:rsidP="00B77C0B">
            <w:pPr>
              <w:pStyle w:val="NoSpacing"/>
              <w:rPr>
                <w:rFonts w:ascii="Times New Roman" w:hAnsi="Times New Roman" w:cs="Times New Roman"/>
                <w:szCs w:val="24"/>
              </w:rPr>
            </w:pPr>
            <w:r w:rsidRPr="004B6753">
              <w:rPr>
                <w:rFonts w:ascii="Times New Roman" w:hAnsi="Times New Roman" w:cs="Times New Roman"/>
                <w:szCs w:val="24"/>
              </w:rPr>
              <w:t>1967-68</w:t>
            </w:r>
          </w:p>
        </w:tc>
        <w:tc>
          <w:tcPr>
            <w:tcW w:w="0" w:type="auto"/>
            <w:vAlign w:val="center"/>
            <w:hideMark/>
          </w:tcPr>
          <w:p w14:paraId="164FA991" w14:textId="77777777" w:rsidR="00416FA8" w:rsidRPr="004B6753" w:rsidRDefault="00416FA8" w:rsidP="004B6753">
            <w:pPr>
              <w:pStyle w:val="NoSpacing"/>
              <w:jc w:val="center"/>
              <w:rPr>
                <w:rFonts w:ascii="Times New Roman" w:hAnsi="Times New Roman" w:cs="Times New Roman"/>
                <w:szCs w:val="24"/>
              </w:rPr>
            </w:pPr>
            <w:r w:rsidRPr="004B6753">
              <w:rPr>
                <w:rFonts w:ascii="Times New Roman" w:hAnsi="Times New Roman" w:cs="Times New Roman"/>
                <w:szCs w:val="24"/>
              </w:rPr>
              <w:t>24.87</w:t>
            </w:r>
          </w:p>
        </w:tc>
        <w:tc>
          <w:tcPr>
            <w:tcW w:w="0" w:type="auto"/>
            <w:vAlign w:val="center"/>
            <w:hideMark/>
          </w:tcPr>
          <w:p w14:paraId="0928DACC" w14:textId="77777777" w:rsidR="00416FA8" w:rsidRPr="004B6753" w:rsidRDefault="00416FA8" w:rsidP="004B6753">
            <w:pPr>
              <w:pStyle w:val="NoSpacing"/>
              <w:jc w:val="center"/>
              <w:rPr>
                <w:rFonts w:ascii="Times New Roman" w:hAnsi="Times New Roman" w:cs="Times New Roman"/>
                <w:szCs w:val="24"/>
              </w:rPr>
            </w:pPr>
            <w:r w:rsidRPr="004B6753">
              <w:rPr>
                <w:rFonts w:ascii="Times New Roman" w:hAnsi="Times New Roman" w:cs="Times New Roman"/>
                <w:szCs w:val="24"/>
              </w:rPr>
              <w:t>48.65</w:t>
            </w:r>
          </w:p>
        </w:tc>
        <w:tc>
          <w:tcPr>
            <w:tcW w:w="0" w:type="auto"/>
            <w:vAlign w:val="center"/>
            <w:hideMark/>
          </w:tcPr>
          <w:p w14:paraId="7F5E83A5" w14:textId="77777777" w:rsidR="00416FA8" w:rsidRPr="004B6753" w:rsidRDefault="00416FA8" w:rsidP="004B6753">
            <w:pPr>
              <w:pStyle w:val="NoSpacing"/>
              <w:jc w:val="center"/>
              <w:rPr>
                <w:rFonts w:ascii="Times New Roman" w:hAnsi="Times New Roman" w:cs="Times New Roman"/>
                <w:szCs w:val="24"/>
              </w:rPr>
            </w:pPr>
            <w:r w:rsidRPr="004B6753">
              <w:rPr>
                <w:rFonts w:ascii="Times New Roman" w:hAnsi="Times New Roman" w:cs="Times New Roman"/>
                <w:szCs w:val="24"/>
              </w:rPr>
              <w:t>12.05</w:t>
            </w:r>
          </w:p>
        </w:tc>
        <w:tc>
          <w:tcPr>
            <w:tcW w:w="0" w:type="auto"/>
            <w:vAlign w:val="center"/>
            <w:hideMark/>
          </w:tcPr>
          <w:p w14:paraId="67ED5257" w14:textId="77777777" w:rsidR="00416FA8" w:rsidRPr="004B6753" w:rsidRDefault="00416FA8" w:rsidP="004B6753">
            <w:pPr>
              <w:pStyle w:val="NoSpacing"/>
              <w:jc w:val="center"/>
              <w:rPr>
                <w:rFonts w:ascii="Times New Roman" w:hAnsi="Times New Roman" w:cs="Times New Roman"/>
                <w:szCs w:val="24"/>
              </w:rPr>
            </w:pPr>
            <w:r w:rsidRPr="004B6753">
              <w:rPr>
                <w:rFonts w:ascii="Times New Roman" w:hAnsi="Times New Roman" w:cs="Times New Roman"/>
                <w:szCs w:val="24"/>
              </w:rPr>
              <w:t>22.42</w:t>
            </w:r>
          </w:p>
        </w:tc>
        <w:tc>
          <w:tcPr>
            <w:tcW w:w="0" w:type="auto"/>
            <w:vAlign w:val="center"/>
            <w:hideMark/>
          </w:tcPr>
          <w:p w14:paraId="167CC81F" w14:textId="77777777" w:rsidR="00416FA8" w:rsidRPr="004B6753" w:rsidRDefault="00416FA8" w:rsidP="004B6753">
            <w:pPr>
              <w:pStyle w:val="NoSpacing"/>
              <w:jc w:val="center"/>
              <w:rPr>
                <w:rFonts w:ascii="Times New Roman" w:hAnsi="Times New Roman" w:cs="Times New Roman"/>
                <w:szCs w:val="24"/>
              </w:rPr>
            </w:pPr>
            <w:r w:rsidRPr="004B6753">
              <w:rPr>
                <w:rFonts w:ascii="Times New Roman" w:hAnsi="Times New Roman" w:cs="Times New Roman"/>
                <w:szCs w:val="24"/>
              </w:rPr>
              <w:t>10.39</w:t>
            </w:r>
          </w:p>
        </w:tc>
        <w:tc>
          <w:tcPr>
            <w:tcW w:w="0" w:type="auto"/>
            <w:vAlign w:val="center"/>
            <w:hideMark/>
          </w:tcPr>
          <w:p w14:paraId="4C16120C" w14:textId="77777777" w:rsidR="00416FA8" w:rsidRPr="004B6753" w:rsidRDefault="00416FA8" w:rsidP="004B6753">
            <w:pPr>
              <w:pStyle w:val="NoSpacing"/>
              <w:jc w:val="center"/>
              <w:rPr>
                <w:rFonts w:ascii="Times New Roman" w:hAnsi="Times New Roman" w:cs="Times New Roman"/>
                <w:szCs w:val="24"/>
              </w:rPr>
            </w:pPr>
            <w:r w:rsidRPr="004B6753">
              <w:rPr>
                <w:rFonts w:ascii="Times New Roman" w:hAnsi="Times New Roman" w:cs="Times New Roman"/>
                <w:szCs w:val="24"/>
              </w:rPr>
              <w:t>56.88</w:t>
            </w:r>
          </w:p>
        </w:tc>
        <w:tc>
          <w:tcPr>
            <w:tcW w:w="0" w:type="auto"/>
            <w:vAlign w:val="center"/>
            <w:hideMark/>
          </w:tcPr>
          <w:p w14:paraId="05BF2676" w14:textId="77777777" w:rsidR="00416FA8" w:rsidRPr="004B6753" w:rsidRDefault="00416FA8" w:rsidP="004B6753">
            <w:pPr>
              <w:pStyle w:val="NoSpacing"/>
              <w:jc w:val="center"/>
              <w:rPr>
                <w:rFonts w:ascii="Times New Roman" w:hAnsi="Times New Roman" w:cs="Times New Roman"/>
                <w:szCs w:val="24"/>
              </w:rPr>
            </w:pPr>
            <w:r w:rsidRPr="004B6753">
              <w:rPr>
                <w:rFonts w:ascii="Times New Roman" w:hAnsi="Times New Roman" w:cs="Times New Roman"/>
                <w:szCs w:val="24"/>
              </w:rPr>
              <w:t>14.02</w:t>
            </w:r>
          </w:p>
        </w:tc>
        <w:tc>
          <w:tcPr>
            <w:tcW w:w="0" w:type="auto"/>
            <w:vAlign w:val="center"/>
            <w:hideMark/>
          </w:tcPr>
          <w:p w14:paraId="11333704" w14:textId="77777777" w:rsidR="00416FA8" w:rsidRPr="004B6753" w:rsidRDefault="00416FA8" w:rsidP="004B6753">
            <w:pPr>
              <w:pStyle w:val="NoSpacing"/>
              <w:jc w:val="center"/>
              <w:rPr>
                <w:rFonts w:ascii="Times New Roman" w:hAnsi="Times New Roman" w:cs="Times New Roman"/>
                <w:szCs w:val="24"/>
              </w:rPr>
            </w:pPr>
            <w:r w:rsidRPr="004B6753">
              <w:rPr>
                <w:rFonts w:ascii="Times New Roman" w:hAnsi="Times New Roman" w:cs="Times New Roman"/>
                <w:szCs w:val="24"/>
              </w:rPr>
              <w:t>9.87</w:t>
            </w:r>
          </w:p>
        </w:tc>
        <w:tc>
          <w:tcPr>
            <w:tcW w:w="0" w:type="auto"/>
            <w:vAlign w:val="center"/>
            <w:hideMark/>
          </w:tcPr>
          <w:p w14:paraId="74D24621" w14:textId="77777777" w:rsidR="00416FA8" w:rsidRPr="004B6753" w:rsidRDefault="00416FA8" w:rsidP="004B6753">
            <w:pPr>
              <w:pStyle w:val="NoSpacing"/>
              <w:jc w:val="center"/>
              <w:rPr>
                <w:rFonts w:ascii="Times New Roman" w:hAnsi="Times New Roman" w:cs="Times New Roman"/>
                <w:szCs w:val="24"/>
              </w:rPr>
            </w:pPr>
            <w:r w:rsidRPr="004B6753">
              <w:rPr>
                <w:rFonts w:ascii="Times New Roman" w:hAnsi="Times New Roman" w:cs="Times New Roman"/>
                <w:szCs w:val="24"/>
              </w:rPr>
              <w:t>22.75</w:t>
            </w:r>
          </w:p>
        </w:tc>
        <w:tc>
          <w:tcPr>
            <w:tcW w:w="0" w:type="auto"/>
            <w:vAlign w:val="center"/>
            <w:hideMark/>
          </w:tcPr>
          <w:p w14:paraId="41D94A3D" w14:textId="77777777" w:rsidR="00416FA8" w:rsidRPr="004B6753" w:rsidRDefault="00416FA8" w:rsidP="004B6753">
            <w:pPr>
              <w:pStyle w:val="NoSpacing"/>
              <w:jc w:val="center"/>
              <w:rPr>
                <w:rFonts w:ascii="Times New Roman" w:hAnsi="Times New Roman" w:cs="Times New Roman"/>
                <w:szCs w:val="24"/>
              </w:rPr>
            </w:pPr>
            <w:r w:rsidRPr="004B6753">
              <w:rPr>
                <w:rFonts w:ascii="Times New Roman" w:hAnsi="Times New Roman" w:cs="Times New Roman"/>
                <w:szCs w:val="24"/>
              </w:rPr>
              <w:t>89.28</w:t>
            </w:r>
          </w:p>
        </w:tc>
        <w:tc>
          <w:tcPr>
            <w:tcW w:w="0" w:type="auto"/>
            <w:vAlign w:val="center"/>
            <w:hideMark/>
          </w:tcPr>
          <w:p w14:paraId="4801CF84" w14:textId="77777777" w:rsidR="00416FA8" w:rsidRPr="004B6753" w:rsidRDefault="00416FA8" w:rsidP="004B6753">
            <w:pPr>
              <w:pStyle w:val="NoSpacing"/>
              <w:jc w:val="center"/>
              <w:rPr>
                <w:rFonts w:ascii="Times New Roman" w:hAnsi="Times New Roman" w:cs="Times New Roman"/>
                <w:szCs w:val="24"/>
              </w:rPr>
            </w:pPr>
            <w:r w:rsidRPr="004B6753">
              <w:rPr>
                <w:rFonts w:ascii="Times New Roman" w:hAnsi="Times New Roman" w:cs="Times New Roman"/>
                <w:szCs w:val="24"/>
              </w:rPr>
              <w:t>311.18</w:t>
            </w:r>
          </w:p>
        </w:tc>
      </w:tr>
      <w:tr w:rsidR="00812C67" w:rsidRPr="004B6753" w14:paraId="7600C462" w14:textId="77777777" w:rsidTr="004B6753">
        <w:tc>
          <w:tcPr>
            <w:tcW w:w="1632" w:type="dxa"/>
            <w:vMerge w:val="restart"/>
            <w:hideMark/>
          </w:tcPr>
          <w:p w14:paraId="1D2A6CEE" w14:textId="77777777" w:rsidR="00812C67" w:rsidRPr="004B6753" w:rsidRDefault="00812C67" w:rsidP="00B77C0B">
            <w:pPr>
              <w:pStyle w:val="NoSpacing"/>
              <w:rPr>
                <w:rFonts w:ascii="Times New Roman" w:hAnsi="Times New Roman" w:cs="Times New Roman"/>
                <w:szCs w:val="24"/>
              </w:rPr>
            </w:pPr>
            <w:r w:rsidRPr="004B6753">
              <w:rPr>
                <w:rFonts w:ascii="Times New Roman" w:hAnsi="Times New Roman" w:cs="Times New Roman"/>
                <w:szCs w:val="24"/>
              </w:rPr>
              <w:t>1968-69 (RE)</w:t>
            </w:r>
          </w:p>
        </w:tc>
        <w:tc>
          <w:tcPr>
            <w:tcW w:w="0" w:type="auto"/>
            <w:vAlign w:val="center"/>
            <w:hideMark/>
          </w:tcPr>
          <w:p w14:paraId="7FA1AEFD" w14:textId="77777777" w:rsidR="00812C67" w:rsidRPr="004B6753" w:rsidRDefault="00812C67" w:rsidP="004B6753">
            <w:pPr>
              <w:pStyle w:val="NoSpacing"/>
              <w:jc w:val="center"/>
              <w:rPr>
                <w:rFonts w:ascii="Times New Roman" w:hAnsi="Times New Roman" w:cs="Times New Roman"/>
                <w:szCs w:val="24"/>
              </w:rPr>
            </w:pPr>
            <w:r w:rsidRPr="004B6753">
              <w:rPr>
                <w:rFonts w:ascii="Times New Roman" w:hAnsi="Times New Roman" w:cs="Times New Roman"/>
                <w:szCs w:val="24"/>
              </w:rPr>
              <w:t>28.64</w:t>
            </w:r>
          </w:p>
        </w:tc>
        <w:tc>
          <w:tcPr>
            <w:tcW w:w="0" w:type="auto"/>
            <w:vAlign w:val="center"/>
            <w:hideMark/>
          </w:tcPr>
          <w:p w14:paraId="78C31984" w14:textId="77777777" w:rsidR="00812C67" w:rsidRPr="004B6753" w:rsidRDefault="00812C67" w:rsidP="004B6753">
            <w:pPr>
              <w:pStyle w:val="NoSpacing"/>
              <w:jc w:val="center"/>
              <w:rPr>
                <w:rFonts w:ascii="Times New Roman" w:hAnsi="Times New Roman" w:cs="Times New Roman"/>
                <w:szCs w:val="24"/>
              </w:rPr>
            </w:pPr>
            <w:r w:rsidRPr="004B6753">
              <w:rPr>
                <w:rFonts w:ascii="Times New Roman" w:hAnsi="Times New Roman" w:cs="Times New Roman"/>
                <w:szCs w:val="24"/>
              </w:rPr>
              <w:t>62.47</w:t>
            </w:r>
          </w:p>
        </w:tc>
        <w:tc>
          <w:tcPr>
            <w:tcW w:w="0" w:type="auto"/>
            <w:vAlign w:val="center"/>
            <w:hideMark/>
          </w:tcPr>
          <w:p w14:paraId="6FB6D5A9" w14:textId="77777777" w:rsidR="00812C67" w:rsidRPr="004B6753" w:rsidRDefault="00812C67" w:rsidP="004B6753">
            <w:pPr>
              <w:pStyle w:val="NoSpacing"/>
              <w:jc w:val="center"/>
              <w:rPr>
                <w:rFonts w:ascii="Times New Roman" w:hAnsi="Times New Roman" w:cs="Times New Roman"/>
                <w:szCs w:val="24"/>
              </w:rPr>
            </w:pPr>
            <w:r w:rsidRPr="004B6753">
              <w:rPr>
                <w:rFonts w:ascii="Times New Roman" w:hAnsi="Times New Roman" w:cs="Times New Roman"/>
                <w:szCs w:val="24"/>
              </w:rPr>
              <w:t>13.62</w:t>
            </w:r>
          </w:p>
        </w:tc>
        <w:tc>
          <w:tcPr>
            <w:tcW w:w="0" w:type="auto"/>
            <w:vAlign w:val="center"/>
            <w:hideMark/>
          </w:tcPr>
          <w:p w14:paraId="542FA636" w14:textId="77777777" w:rsidR="00812C67" w:rsidRPr="004B6753" w:rsidRDefault="00812C67" w:rsidP="004B6753">
            <w:pPr>
              <w:pStyle w:val="NoSpacing"/>
              <w:jc w:val="center"/>
              <w:rPr>
                <w:rFonts w:ascii="Times New Roman" w:hAnsi="Times New Roman" w:cs="Times New Roman"/>
                <w:szCs w:val="24"/>
              </w:rPr>
            </w:pPr>
            <w:r w:rsidRPr="004B6753">
              <w:rPr>
                <w:rFonts w:ascii="Times New Roman" w:hAnsi="Times New Roman" w:cs="Times New Roman"/>
                <w:szCs w:val="24"/>
              </w:rPr>
              <w:t>22.58</w:t>
            </w:r>
          </w:p>
        </w:tc>
        <w:tc>
          <w:tcPr>
            <w:tcW w:w="0" w:type="auto"/>
            <w:vAlign w:val="center"/>
            <w:hideMark/>
          </w:tcPr>
          <w:p w14:paraId="43083C29" w14:textId="77777777" w:rsidR="00812C67" w:rsidRPr="004B6753" w:rsidRDefault="00812C67" w:rsidP="004B6753">
            <w:pPr>
              <w:pStyle w:val="NoSpacing"/>
              <w:jc w:val="center"/>
              <w:rPr>
                <w:rFonts w:ascii="Times New Roman" w:hAnsi="Times New Roman" w:cs="Times New Roman"/>
                <w:szCs w:val="24"/>
              </w:rPr>
            </w:pPr>
            <w:r w:rsidRPr="004B6753">
              <w:rPr>
                <w:rFonts w:ascii="Times New Roman" w:hAnsi="Times New Roman" w:cs="Times New Roman"/>
                <w:szCs w:val="24"/>
              </w:rPr>
              <w:t>11.64</w:t>
            </w:r>
          </w:p>
        </w:tc>
        <w:tc>
          <w:tcPr>
            <w:tcW w:w="0" w:type="auto"/>
            <w:vAlign w:val="center"/>
            <w:hideMark/>
          </w:tcPr>
          <w:p w14:paraId="2DF8C2DE" w14:textId="77777777" w:rsidR="00812C67" w:rsidRPr="004B6753" w:rsidRDefault="00812C67" w:rsidP="004B6753">
            <w:pPr>
              <w:pStyle w:val="NoSpacing"/>
              <w:jc w:val="center"/>
              <w:rPr>
                <w:rFonts w:ascii="Times New Roman" w:hAnsi="Times New Roman" w:cs="Times New Roman"/>
                <w:szCs w:val="24"/>
              </w:rPr>
            </w:pPr>
            <w:r w:rsidRPr="004B6753">
              <w:rPr>
                <w:rFonts w:ascii="Times New Roman" w:hAnsi="Times New Roman" w:cs="Times New Roman"/>
                <w:szCs w:val="24"/>
              </w:rPr>
              <w:t>71.57</w:t>
            </w:r>
          </w:p>
        </w:tc>
        <w:tc>
          <w:tcPr>
            <w:tcW w:w="0" w:type="auto"/>
            <w:vAlign w:val="center"/>
            <w:hideMark/>
          </w:tcPr>
          <w:p w14:paraId="3B588D8C" w14:textId="77777777" w:rsidR="00812C67" w:rsidRPr="004B6753" w:rsidRDefault="00812C67" w:rsidP="004B6753">
            <w:pPr>
              <w:pStyle w:val="NoSpacing"/>
              <w:jc w:val="center"/>
              <w:rPr>
                <w:rFonts w:ascii="Times New Roman" w:hAnsi="Times New Roman" w:cs="Times New Roman"/>
                <w:szCs w:val="24"/>
              </w:rPr>
            </w:pPr>
            <w:r w:rsidRPr="004B6753">
              <w:rPr>
                <w:rFonts w:ascii="Times New Roman" w:hAnsi="Times New Roman" w:cs="Times New Roman"/>
                <w:szCs w:val="24"/>
              </w:rPr>
              <w:t>16.42</w:t>
            </w:r>
          </w:p>
        </w:tc>
        <w:tc>
          <w:tcPr>
            <w:tcW w:w="0" w:type="auto"/>
            <w:vAlign w:val="center"/>
            <w:hideMark/>
          </w:tcPr>
          <w:p w14:paraId="4F3B17F7" w14:textId="77777777" w:rsidR="00812C67" w:rsidRPr="004B6753" w:rsidRDefault="00812C67" w:rsidP="004B6753">
            <w:pPr>
              <w:pStyle w:val="NoSpacing"/>
              <w:jc w:val="center"/>
              <w:rPr>
                <w:rFonts w:ascii="Times New Roman" w:hAnsi="Times New Roman" w:cs="Times New Roman"/>
                <w:szCs w:val="24"/>
              </w:rPr>
            </w:pPr>
            <w:r w:rsidRPr="004B6753">
              <w:rPr>
                <w:rFonts w:ascii="Times New Roman" w:hAnsi="Times New Roman" w:cs="Times New Roman"/>
                <w:szCs w:val="24"/>
              </w:rPr>
              <w:t>13.63</w:t>
            </w:r>
          </w:p>
        </w:tc>
        <w:tc>
          <w:tcPr>
            <w:tcW w:w="0" w:type="auto"/>
            <w:vAlign w:val="center"/>
            <w:hideMark/>
          </w:tcPr>
          <w:p w14:paraId="29132BFC" w14:textId="77777777" w:rsidR="00812C67" w:rsidRPr="004B6753" w:rsidRDefault="00812C67" w:rsidP="004B6753">
            <w:pPr>
              <w:pStyle w:val="NoSpacing"/>
              <w:jc w:val="center"/>
              <w:rPr>
                <w:rFonts w:ascii="Times New Roman" w:hAnsi="Times New Roman" w:cs="Times New Roman"/>
                <w:szCs w:val="24"/>
              </w:rPr>
            </w:pPr>
            <w:r w:rsidRPr="004B6753">
              <w:rPr>
                <w:rFonts w:ascii="Times New Roman" w:hAnsi="Times New Roman" w:cs="Times New Roman"/>
                <w:szCs w:val="24"/>
              </w:rPr>
              <w:t>24.32</w:t>
            </w:r>
          </w:p>
        </w:tc>
        <w:tc>
          <w:tcPr>
            <w:tcW w:w="0" w:type="auto"/>
            <w:vAlign w:val="center"/>
            <w:hideMark/>
          </w:tcPr>
          <w:p w14:paraId="5F8B2070" w14:textId="77777777" w:rsidR="00812C67" w:rsidRPr="004B6753" w:rsidRDefault="00812C67" w:rsidP="004B6753">
            <w:pPr>
              <w:pStyle w:val="NoSpacing"/>
              <w:jc w:val="center"/>
              <w:rPr>
                <w:rFonts w:ascii="Times New Roman" w:hAnsi="Times New Roman" w:cs="Times New Roman"/>
                <w:szCs w:val="24"/>
              </w:rPr>
            </w:pPr>
            <w:r w:rsidRPr="004B6753">
              <w:rPr>
                <w:rFonts w:ascii="Times New Roman" w:hAnsi="Times New Roman" w:cs="Times New Roman"/>
                <w:szCs w:val="24"/>
              </w:rPr>
              <w:t>92.40</w:t>
            </w:r>
          </w:p>
        </w:tc>
        <w:tc>
          <w:tcPr>
            <w:tcW w:w="0" w:type="auto"/>
            <w:vAlign w:val="center"/>
            <w:hideMark/>
          </w:tcPr>
          <w:p w14:paraId="776843DF" w14:textId="77777777" w:rsidR="00812C67" w:rsidRPr="004B6753" w:rsidRDefault="00812C67" w:rsidP="004B6753">
            <w:pPr>
              <w:pStyle w:val="NoSpacing"/>
              <w:jc w:val="center"/>
              <w:rPr>
                <w:rFonts w:ascii="Times New Roman" w:hAnsi="Times New Roman" w:cs="Times New Roman"/>
                <w:szCs w:val="24"/>
              </w:rPr>
            </w:pPr>
            <w:r w:rsidRPr="004B6753">
              <w:rPr>
                <w:rFonts w:ascii="Times New Roman" w:hAnsi="Times New Roman" w:cs="Times New Roman"/>
                <w:szCs w:val="24"/>
              </w:rPr>
              <w:t>357.29</w:t>
            </w:r>
          </w:p>
        </w:tc>
      </w:tr>
      <w:tr w:rsidR="00812C67" w:rsidRPr="004B6753" w14:paraId="63496F5D" w14:textId="77777777" w:rsidTr="004B6753">
        <w:tc>
          <w:tcPr>
            <w:tcW w:w="1632" w:type="dxa"/>
            <w:vMerge/>
            <w:hideMark/>
          </w:tcPr>
          <w:p w14:paraId="167AE5E8" w14:textId="77777777" w:rsidR="00812C67" w:rsidRPr="004B6753" w:rsidRDefault="00812C67" w:rsidP="00B77C0B">
            <w:pPr>
              <w:pStyle w:val="NoSpacing"/>
              <w:rPr>
                <w:rFonts w:ascii="Times New Roman" w:hAnsi="Times New Roman" w:cs="Times New Roman"/>
                <w:szCs w:val="24"/>
              </w:rPr>
            </w:pPr>
          </w:p>
        </w:tc>
        <w:tc>
          <w:tcPr>
            <w:tcW w:w="0" w:type="auto"/>
            <w:vAlign w:val="center"/>
            <w:hideMark/>
          </w:tcPr>
          <w:p w14:paraId="03D2A3F7" w14:textId="77777777" w:rsidR="00812C67" w:rsidRPr="004B6753" w:rsidRDefault="00812C67" w:rsidP="004B6753">
            <w:pPr>
              <w:pStyle w:val="NoSpacing"/>
              <w:jc w:val="center"/>
              <w:rPr>
                <w:rFonts w:ascii="Times New Roman" w:hAnsi="Times New Roman" w:cs="Times New Roman"/>
                <w:szCs w:val="24"/>
              </w:rPr>
            </w:pPr>
            <w:r w:rsidRPr="004B6753">
              <w:rPr>
                <w:rFonts w:ascii="Times New Roman" w:hAnsi="Times New Roman" w:cs="Times New Roman"/>
                <w:i/>
                <w:iCs/>
                <w:szCs w:val="24"/>
              </w:rPr>
              <w:t>(8.02)</w:t>
            </w:r>
          </w:p>
        </w:tc>
        <w:tc>
          <w:tcPr>
            <w:tcW w:w="0" w:type="auto"/>
            <w:vAlign w:val="center"/>
            <w:hideMark/>
          </w:tcPr>
          <w:p w14:paraId="42E8F46D" w14:textId="77777777" w:rsidR="00812C67" w:rsidRPr="004B6753" w:rsidRDefault="00812C67" w:rsidP="004B6753">
            <w:pPr>
              <w:pStyle w:val="NoSpacing"/>
              <w:jc w:val="center"/>
              <w:rPr>
                <w:rFonts w:ascii="Times New Roman" w:hAnsi="Times New Roman" w:cs="Times New Roman"/>
                <w:szCs w:val="24"/>
              </w:rPr>
            </w:pPr>
            <w:r w:rsidRPr="004B6753">
              <w:rPr>
                <w:rFonts w:ascii="Times New Roman" w:hAnsi="Times New Roman" w:cs="Times New Roman"/>
                <w:i/>
                <w:iCs/>
                <w:szCs w:val="24"/>
              </w:rPr>
              <w:t>(17.48)</w:t>
            </w:r>
          </w:p>
        </w:tc>
        <w:tc>
          <w:tcPr>
            <w:tcW w:w="0" w:type="auto"/>
            <w:vAlign w:val="center"/>
            <w:hideMark/>
          </w:tcPr>
          <w:p w14:paraId="7DF5CE30" w14:textId="77777777" w:rsidR="00812C67" w:rsidRPr="004B6753" w:rsidRDefault="00812C67" w:rsidP="004B6753">
            <w:pPr>
              <w:pStyle w:val="NoSpacing"/>
              <w:jc w:val="center"/>
              <w:rPr>
                <w:rFonts w:ascii="Times New Roman" w:hAnsi="Times New Roman" w:cs="Times New Roman"/>
                <w:szCs w:val="24"/>
              </w:rPr>
            </w:pPr>
            <w:r w:rsidRPr="004B6753">
              <w:rPr>
                <w:rFonts w:ascii="Times New Roman" w:hAnsi="Times New Roman" w:cs="Times New Roman"/>
                <w:i/>
                <w:iCs/>
                <w:szCs w:val="24"/>
              </w:rPr>
              <w:t>(3.81)</w:t>
            </w:r>
          </w:p>
        </w:tc>
        <w:tc>
          <w:tcPr>
            <w:tcW w:w="0" w:type="auto"/>
            <w:vAlign w:val="center"/>
            <w:hideMark/>
          </w:tcPr>
          <w:p w14:paraId="59F40A69" w14:textId="77777777" w:rsidR="00812C67" w:rsidRPr="004B6753" w:rsidRDefault="00812C67" w:rsidP="004B6753">
            <w:pPr>
              <w:pStyle w:val="NoSpacing"/>
              <w:jc w:val="center"/>
              <w:rPr>
                <w:rFonts w:ascii="Times New Roman" w:hAnsi="Times New Roman" w:cs="Times New Roman"/>
                <w:szCs w:val="24"/>
              </w:rPr>
            </w:pPr>
            <w:r w:rsidRPr="004B6753">
              <w:rPr>
                <w:rFonts w:ascii="Times New Roman" w:hAnsi="Times New Roman" w:cs="Times New Roman"/>
                <w:i/>
                <w:iCs/>
                <w:szCs w:val="24"/>
              </w:rPr>
              <w:t>(6.32)</w:t>
            </w:r>
          </w:p>
        </w:tc>
        <w:tc>
          <w:tcPr>
            <w:tcW w:w="0" w:type="auto"/>
            <w:vAlign w:val="center"/>
            <w:hideMark/>
          </w:tcPr>
          <w:p w14:paraId="02404B78" w14:textId="77777777" w:rsidR="00812C67" w:rsidRPr="004B6753" w:rsidRDefault="00812C67" w:rsidP="004B6753">
            <w:pPr>
              <w:pStyle w:val="NoSpacing"/>
              <w:jc w:val="center"/>
              <w:rPr>
                <w:rFonts w:ascii="Times New Roman" w:hAnsi="Times New Roman" w:cs="Times New Roman"/>
                <w:szCs w:val="24"/>
              </w:rPr>
            </w:pPr>
            <w:r w:rsidRPr="004B6753">
              <w:rPr>
                <w:rFonts w:ascii="Times New Roman" w:hAnsi="Times New Roman" w:cs="Times New Roman"/>
                <w:i/>
                <w:iCs/>
                <w:szCs w:val="24"/>
              </w:rPr>
              <w:t>(3.26)</w:t>
            </w:r>
          </w:p>
        </w:tc>
        <w:tc>
          <w:tcPr>
            <w:tcW w:w="0" w:type="auto"/>
            <w:vAlign w:val="center"/>
            <w:hideMark/>
          </w:tcPr>
          <w:p w14:paraId="779BEE97" w14:textId="77777777" w:rsidR="00812C67" w:rsidRPr="004B6753" w:rsidRDefault="00812C67" w:rsidP="004B6753">
            <w:pPr>
              <w:pStyle w:val="NoSpacing"/>
              <w:jc w:val="center"/>
              <w:rPr>
                <w:rFonts w:ascii="Times New Roman" w:hAnsi="Times New Roman" w:cs="Times New Roman"/>
                <w:szCs w:val="24"/>
              </w:rPr>
            </w:pPr>
            <w:r w:rsidRPr="004B6753">
              <w:rPr>
                <w:rFonts w:ascii="Times New Roman" w:hAnsi="Times New Roman" w:cs="Times New Roman"/>
                <w:i/>
                <w:iCs/>
                <w:szCs w:val="24"/>
              </w:rPr>
              <w:t>(20.03)</w:t>
            </w:r>
          </w:p>
        </w:tc>
        <w:tc>
          <w:tcPr>
            <w:tcW w:w="0" w:type="auto"/>
            <w:vAlign w:val="center"/>
            <w:hideMark/>
          </w:tcPr>
          <w:p w14:paraId="341D194F" w14:textId="77777777" w:rsidR="00812C67" w:rsidRPr="004B6753" w:rsidRDefault="00812C67" w:rsidP="004B6753">
            <w:pPr>
              <w:pStyle w:val="NoSpacing"/>
              <w:jc w:val="center"/>
              <w:rPr>
                <w:rFonts w:ascii="Times New Roman" w:hAnsi="Times New Roman" w:cs="Times New Roman"/>
                <w:szCs w:val="24"/>
              </w:rPr>
            </w:pPr>
            <w:r w:rsidRPr="004B6753">
              <w:rPr>
                <w:rFonts w:ascii="Times New Roman" w:hAnsi="Times New Roman" w:cs="Times New Roman"/>
                <w:i/>
                <w:iCs/>
                <w:szCs w:val="24"/>
              </w:rPr>
              <w:t>(4.60)</w:t>
            </w:r>
          </w:p>
        </w:tc>
        <w:tc>
          <w:tcPr>
            <w:tcW w:w="0" w:type="auto"/>
            <w:vAlign w:val="center"/>
            <w:hideMark/>
          </w:tcPr>
          <w:p w14:paraId="5B60BF3E" w14:textId="77777777" w:rsidR="00812C67" w:rsidRPr="004B6753" w:rsidRDefault="00812C67" w:rsidP="004B6753">
            <w:pPr>
              <w:pStyle w:val="NoSpacing"/>
              <w:jc w:val="center"/>
              <w:rPr>
                <w:rFonts w:ascii="Times New Roman" w:hAnsi="Times New Roman" w:cs="Times New Roman"/>
                <w:szCs w:val="24"/>
              </w:rPr>
            </w:pPr>
            <w:r w:rsidRPr="004B6753">
              <w:rPr>
                <w:rFonts w:ascii="Times New Roman" w:hAnsi="Times New Roman" w:cs="Times New Roman"/>
                <w:i/>
                <w:iCs/>
                <w:szCs w:val="24"/>
              </w:rPr>
              <w:t>(3.81)</w:t>
            </w:r>
          </w:p>
        </w:tc>
        <w:tc>
          <w:tcPr>
            <w:tcW w:w="0" w:type="auto"/>
            <w:vAlign w:val="center"/>
            <w:hideMark/>
          </w:tcPr>
          <w:p w14:paraId="29959BAB" w14:textId="77777777" w:rsidR="00812C67" w:rsidRPr="004B6753" w:rsidRDefault="00812C67" w:rsidP="004B6753">
            <w:pPr>
              <w:pStyle w:val="NoSpacing"/>
              <w:jc w:val="center"/>
              <w:rPr>
                <w:rFonts w:ascii="Times New Roman" w:hAnsi="Times New Roman" w:cs="Times New Roman"/>
                <w:szCs w:val="24"/>
              </w:rPr>
            </w:pPr>
            <w:r w:rsidRPr="004B6753">
              <w:rPr>
                <w:rFonts w:ascii="Times New Roman" w:hAnsi="Times New Roman" w:cs="Times New Roman"/>
                <w:i/>
                <w:iCs/>
                <w:szCs w:val="24"/>
              </w:rPr>
              <w:t>(6.81)</w:t>
            </w:r>
          </w:p>
        </w:tc>
        <w:tc>
          <w:tcPr>
            <w:tcW w:w="0" w:type="auto"/>
            <w:vAlign w:val="center"/>
            <w:hideMark/>
          </w:tcPr>
          <w:p w14:paraId="6B81C968" w14:textId="77777777" w:rsidR="00812C67" w:rsidRPr="004B6753" w:rsidRDefault="00812C67" w:rsidP="004B6753">
            <w:pPr>
              <w:pStyle w:val="NoSpacing"/>
              <w:jc w:val="center"/>
              <w:rPr>
                <w:rFonts w:ascii="Times New Roman" w:hAnsi="Times New Roman" w:cs="Times New Roman"/>
                <w:szCs w:val="24"/>
              </w:rPr>
            </w:pPr>
            <w:r w:rsidRPr="004B6753">
              <w:rPr>
                <w:rFonts w:ascii="Times New Roman" w:hAnsi="Times New Roman" w:cs="Times New Roman"/>
                <w:i/>
                <w:iCs/>
                <w:szCs w:val="24"/>
              </w:rPr>
              <w:t>(25.86)</w:t>
            </w:r>
          </w:p>
        </w:tc>
        <w:tc>
          <w:tcPr>
            <w:tcW w:w="0" w:type="auto"/>
            <w:vAlign w:val="center"/>
            <w:hideMark/>
          </w:tcPr>
          <w:p w14:paraId="6D189643" w14:textId="77777777" w:rsidR="00812C67" w:rsidRPr="004B6753" w:rsidRDefault="00812C67" w:rsidP="004B6753">
            <w:pPr>
              <w:pStyle w:val="NoSpacing"/>
              <w:jc w:val="center"/>
              <w:rPr>
                <w:rFonts w:ascii="Times New Roman" w:hAnsi="Times New Roman" w:cs="Times New Roman"/>
                <w:szCs w:val="24"/>
              </w:rPr>
            </w:pPr>
            <w:r w:rsidRPr="004B6753">
              <w:rPr>
                <w:rFonts w:ascii="Times New Roman" w:hAnsi="Times New Roman" w:cs="Times New Roman"/>
                <w:i/>
                <w:iCs/>
                <w:szCs w:val="24"/>
              </w:rPr>
              <w:t>(100.00)</w:t>
            </w:r>
          </w:p>
        </w:tc>
      </w:tr>
    </w:tbl>
    <w:p w14:paraId="36A0FCF9" w14:textId="77777777" w:rsidR="00416FA8" w:rsidRPr="007245B0" w:rsidRDefault="00416FA8" w:rsidP="00A85D2D">
      <w:pPr>
        <w:pStyle w:val="Sources"/>
      </w:pPr>
      <w:r w:rsidRPr="007245B0">
        <w:t>£ The reorganised States of Punjab and Haryana came into existence on November 1, 1966. Upto that the figures for Haryana are included under Punjab.</w:t>
      </w:r>
    </w:p>
    <w:p w14:paraId="444F7BC0" w14:textId="77777777" w:rsidR="00416FA8" w:rsidRPr="007245B0" w:rsidRDefault="00416FA8" w:rsidP="00416FA8">
      <w:pPr>
        <w:tabs>
          <w:tab w:val="left" w:pos="7880"/>
        </w:tabs>
        <w:rPr>
          <w:rFonts w:ascii="Times New Roman" w:hAnsi="Times New Roman" w:cs="Times New Roman"/>
        </w:rPr>
      </w:pPr>
    </w:p>
    <w:p w14:paraId="3170FF29" w14:textId="56F99F09" w:rsidR="00416FA8" w:rsidRPr="007245B0" w:rsidRDefault="00416FA8">
      <w:pPr>
        <w:rPr>
          <w:rFonts w:ascii="Times New Roman" w:hAnsi="Times New Roman" w:cs="Times New Roman"/>
        </w:rPr>
      </w:pPr>
      <w:r w:rsidRPr="007245B0">
        <w:rPr>
          <w:rFonts w:ascii="Times New Roman" w:hAnsi="Times New Roman" w:cs="Times New Roman"/>
        </w:rPr>
        <w:br w:type="page"/>
      </w:r>
    </w:p>
    <w:p w14:paraId="6CABA02A" w14:textId="490EA26C" w:rsidR="00416FA8" w:rsidRPr="007245B0" w:rsidRDefault="00574BCE" w:rsidP="00416FA8">
      <w:pPr>
        <w:tabs>
          <w:tab w:val="left" w:pos="3099"/>
        </w:tabs>
        <w:jc w:val="center"/>
        <w:rPr>
          <w:rFonts w:ascii="Times New Roman" w:hAnsi="Times New Roman" w:cs="Times New Roman"/>
          <w:i/>
          <w:iCs/>
          <w:szCs w:val="24"/>
        </w:rPr>
      </w:pPr>
      <w:r>
        <w:rPr>
          <w:rFonts w:ascii="Times New Roman" w:hAnsi="Times New Roman" w:cs="Times New Roman"/>
          <w:b/>
          <w:bCs/>
          <w:szCs w:val="24"/>
        </w:rPr>
        <w:lastRenderedPageBreak/>
        <w:t>Table</w:t>
      </w:r>
      <w:r w:rsidR="00416FA8" w:rsidRPr="007245B0">
        <w:rPr>
          <w:rFonts w:ascii="Times New Roman" w:hAnsi="Times New Roman" w:cs="Times New Roman"/>
          <w:b/>
          <w:bCs/>
          <w:szCs w:val="24"/>
        </w:rPr>
        <w:t xml:space="preserve"> 29: Growth and Pattern of States' Revenue Expenditure—Contd.</w:t>
      </w:r>
    </w:p>
    <w:p w14:paraId="0F2C6DA3" w14:textId="77777777" w:rsidR="00416FA8" w:rsidRPr="007245B0" w:rsidRDefault="00416FA8" w:rsidP="00416FA8">
      <w:pPr>
        <w:tabs>
          <w:tab w:val="left" w:pos="3099"/>
        </w:tabs>
        <w:jc w:val="right"/>
        <w:rPr>
          <w:rFonts w:ascii="Times New Roman" w:hAnsi="Times New Roman" w:cs="Times New Roman"/>
          <w:i/>
          <w:iCs/>
          <w:szCs w:val="24"/>
        </w:rPr>
      </w:pPr>
      <w:r w:rsidRPr="007245B0">
        <w:rPr>
          <w:rFonts w:ascii="Times New Roman" w:hAnsi="Times New Roman" w:cs="Times New Roman"/>
          <w:i/>
          <w:iCs/>
          <w:szCs w:val="24"/>
        </w:rPr>
        <w:t>(Rs. Crores)</w:t>
      </w:r>
    </w:p>
    <w:tbl>
      <w:tblPr>
        <w:tblStyle w:val="TableGrid"/>
        <w:tblW w:w="14367" w:type="dxa"/>
        <w:tblInd w:w="-572" w:type="dxa"/>
        <w:tblLook w:val="04A0" w:firstRow="1" w:lastRow="0" w:firstColumn="1" w:lastColumn="0" w:noHBand="0" w:noVBand="1"/>
      </w:tblPr>
      <w:tblGrid>
        <w:gridCol w:w="1376"/>
        <w:gridCol w:w="1256"/>
        <w:gridCol w:w="1056"/>
        <w:gridCol w:w="1790"/>
        <w:gridCol w:w="916"/>
        <w:gridCol w:w="923"/>
        <w:gridCol w:w="1270"/>
        <w:gridCol w:w="1043"/>
        <w:gridCol w:w="910"/>
        <w:gridCol w:w="1412"/>
        <w:gridCol w:w="923"/>
        <w:gridCol w:w="1492"/>
      </w:tblGrid>
      <w:tr w:rsidR="00812C67" w:rsidRPr="004B6753" w14:paraId="7DA74FA1" w14:textId="77777777" w:rsidTr="004B6753">
        <w:trPr>
          <w:trHeight w:val="402"/>
        </w:trPr>
        <w:tc>
          <w:tcPr>
            <w:tcW w:w="0" w:type="auto"/>
            <w:vAlign w:val="center"/>
            <w:hideMark/>
          </w:tcPr>
          <w:p w14:paraId="29D34810" w14:textId="77777777" w:rsidR="00812C67" w:rsidRPr="004B6753" w:rsidRDefault="00812C67" w:rsidP="004B6753">
            <w:pPr>
              <w:pStyle w:val="NoSpacing"/>
              <w:jc w:val="center"/>
              <w:rPr>
                <w:rFonts w:ascii="Times New Roman" w:hAnsi="Times New Roman" w:cs="Times New Roman"/>
                <w:b/>
                <w:bCs/>
                <w:szCs w:val="24"/>
              </w:rPr>
            </w:pPr>
            <w:r w:rsidRPr="004B6753">
              <w:rPr>
                <w:rFonts w:ascii="Times New Roman" w:hAnsi="Times New Roman" w:cs="Times New Roman"/>
                <w:b/>
                <w:bCs/>
                <w:szCs w:val="24"/>
              </w:rPr>
              <w:t>States/Year</w:t>
            </w:r>
          </w:p>
        </w:tc>
        <w:tc>
          <w:tcPr>
            <w:tcW w:w="0" w:type="auto"/>
            <w:gridSpan w:val="5"/>
            <w:vAlign w:val="center"/>
            <w:hideMark/>
          </w:tcPr>
          <w:p w14:paraId="2980464F" w14:textId="77777777" w:rsidR="00812C67" w:rsidRPr="004B6753" w:rsidRDefault="00812C67" w:rsidP="004B6753">
            <w:pPr>
              <w:pStyle w:val="NoSpacing"/>
              <w:jc w:val="center"/>
              <w:rPr>
                <w:rFonts w:ascii="Times New Roman" w:hAnsi="Times New Roman" w:cs="Times New Roman"/>
                <w:b/>
                <w:bCs/>
                <w:szCs w:val="24"/>
              </w:rPr>
            </w:pPr>
            <w:r w:rsidRPr="004B6753">
              <w:rPr>
                <w:rFonts w:ascii="Times New Roman" w:hAnsi="Times New Roman" w:cs="Times New Roman"/>
                <w:b/>
                <w:bCs/>
                <w:szCs w:val="24"/>
              </w:rPr>
              <w:t>Non-Developmental</w:t>
            </w:r>
          </w:p>
        </w:tc>
        <w:tc>
          <w:tcPr>
            <w:tcW w:w="0" w:type="auto"/>
            <w:gridSpan w:val="5"/>
            <w:vAlign w:val="center"/>
            <w:hideMark/>
          </w:tcPr>
          <w:p w14:paraId="39161CE4" w14:textId="77777777" w:rsidR="00812C67" w:rsidRPr="004B6753" w:rsidRDefault="00812C67" w:rsidP="004B6753">
            <w:pPr>
              <w:pStyle w:val="NoSpacing"/>
              <w:jc w:val="center"/>
              <w:rPr>
                <w:rFonts w:ascii="Times New Roman" w:hAnsi="Times New Roman" w:cs="Times New Roman"/>
                <w:b/>
                <w:bCs/>
                <w:szCs w:val="24"/>
              </w:rPr>
            </w:pPr>
            <w:r w:rsidRPr="004B6753">
              <w:rPr>
                <w:rFonts w:ascii="Times New Roman" w:hAnsi="Times New Roman" w:cs="Times New Roman"/>
                <w:b/>
                <w:bCs/>
                <w:szCs w:val="24"/>
              </w:rPr>
              <w:t>Developmental</w:t>
            </w:r>
          </w:p>
        </w:tc>
        <w:tc>
          <w:tcPr>
            <w:tcW w:w="0" w:type="auto"/>
            <w:vMerge w:val="restart"/>
            <w:vAlign w:val="center"/>
            <w:hideMark/>
          </w:tcPr>
          <w:p w14:paraId="205F28A7" w14:textId="77777777" w:rsidR="00812C67" w:rsidRPr="004B6753" w:rsidRDefault="00812C67" w:rsidP="004B6753">
            <w:pPr>
              <w:pStyle w:val="NoSpacing"/>
              <w:jc w:val="center"/>
              <w:rPr>
                <w:rFonts w:ascii="Times New Roman" w:hAnsi="Times New Roman" w:cs="Times New Roman"/>
                <w:b/>
                <w:bCs/>
                <w:szCs w:val="24"/>
              </w:rPr>
            </w:pPr>
            <w:r w:rsidRPr="004B6753">
              <w:rPr>
                <w:rFonts w:ascii="Times New Roman" w:hAnsi="Times New Roman" w:cs="Times New Roman"/>
                <w:b/>
                <w:bCs/>
                <w:szCs w:val="24"/>
              </w:rPr>
              <w:t>Total Revenue Expenditure</w:t>
            </w:r>
          </w:p>
        </w:tc>
      </w:tr>
      <w:tr w:rsidR="00812C67" w:rsidRPr="004B6753" w14:paraId="297A0620" w14:textId="77777777" w:rsidTr="004B6753">
        <w:trPr>
          <w:trHeight w:val="411"/>
        </w:trPr>
        <w:tc>
          <w:tcPr>
            <w:tcW w:w="0" w:type="auto"/>
            <w:vAlign w:val="center"/>
            <w:hideMark/>
          </w:tcPr>
          <w:p w14:paraId="16A6BFD6" w14:textId="77777777" w:rsidR="00812C67" w:rsidRPr="004B6753" w:rsidRDefault="00812C67" w:rsidP="004B6753">
            <w:pPr>
              <w:pStyle w:val="NoSpacing"/>
              <w:jc w:val="center"/>
              <w:rPr>
                <w:rFonts w:ascii="Times New Roman" w:hAnsi="Times New Roman" w:cs="Times New Roman"/>
                <w:b/>
                <w:bCs/>
                <w:szCs w:val="24"/>
              </w:rPr>
            </w:pPr>
          </w:p>
        </w:tc>
        <w:tc>
          <w:tcPr>
            <w:tcW w:w="0" w:type="auto"/>
            <w:vAlign w:val="center"/>
            <w:hideMark/>
          </w:tcPr>
          <w:p w14:paraId="161A4166" w14:textId="77777777" w:rsidR="00812C67" w:rsidRPr="004B6753" w:rsidRDefault="00812C67" w:rsidP="004B6753">
            <w:pPr>
              <w:pStyle w:val="NoSpacing"/>
              <w:jc w:val="center"/>
              <w:rPr>
                <w:rFonts w:ascii="Times New Roman" w:hAnsi="Times New Roman" w:cs="Times New Roman"/>
                <w:b/>
                <w:bCs/>
                <w:szCs w:val="24"/>
              </w:rPr>
            </w:pPr>
            <w:r w:rsidRPr="004B6753">
              <w:rPr>
                <w:rFonts w:ascii="Times New Roman" w:hAnsi="Times New Roman" w:cs="Times New Roman"/>
                <w:b/>
                <w:bCs/>
                <w:szCs w:val="24"/>
              </w:rPr>
              <w:t>Tax Collection Charges</w:t>
            </w:r>
          </w:p>
        </w:tc>
        <w:tc>
          <w:tcPr>
            <w:tcW w:w="0" w:type="auto"/>
            <w:vAlign w:val="center"/>
            <w:hideMark/>
          </w:tcPr>
          <w:p w14:paraId="084B9291" w14:textId="77777777" w:rsidR="00812C67" w:rsidRPr="004B6753" w:rsidRDefault="00812C67" w:rsidP="004B6753">
            <w:pPr>
              <w:pStyle w:val="NoSpacing"/>
              <w:jc w:val="center"/>
              <w:rPr>
                <w:rFonts w:ascii="Times New Roman" w:hAnsi="Times New Roman" w:cs="Times New Roman"/>
                <w:b/>
                <w:bCs/>
                <w:szCs w:val="24"/>
              </w:rPr>
            </w:pPr>
            <w:r w:rsidRPr="004B6753">
              <w:rPr>
                <w:rFonts w:ascii="Times New Roman" w:hAnsi="Times New Roman" w:cs="Times New Roman"/>
                <w:b/>
                <w:bCs/>
                <w:szCs w:val="24"/>
              </w:rPr>
              <w:t>Debt Services</w:t>
            </w:r>
          </w:p>
        </w:tc>
        <w:tc>
          <w:tcPr>
            <w:tcW w:w="0" w:type="auto"/>
            <w:vAlign w:val="center"/>
            <w:hideMark/>
          </w:tcPr>
          <w:p w14:paraId="5642741B" w14:textId="77777777" w:rsidR="00812C67" w:rsidRPr="004B6753" w:rsidRDefault="00812C67" w:rsidP="004B6753">
            <w:pPr>
              <w:pStyle w:val="NoSpacing"/>
              <w:jc w:val="center"/>
              <w:rPr>
                <w:rFonts w:ascii="Times New Roman" w:hAnsi="Times New Roman" w:cs="Times New Roman"/>
                <w:b/>
                <w:bCs/>
                <w:szCs w:val="24"/>
              </w:rPr>
            </w:pPr>
            <w:r w:rsidRPr="004B6753">
              <w:rPr>
                <w:rFonts w:ascii="Times New Roman" w:hAnsi="Times New Roman" w:cs="Times New Roman"/>
                <w:b/>
                <w:bCs/>
                <w:szCs w:val="24"/>
              </w:rPr>
              <w:t>General Administration</w:t>
            </w:r>
          </w:p>
        </w:tc>
        <w:tc>
          <w:tcPr>
            <w:tcW w:w="0" w:type="auto"/>
            <w:vAlign w:val="center"/>
            <w:hideMark/>
          </w:tcPr>
          <w:p w14:paraId="4E6D08D3" w14:textId="77777777" w:rsidR="00812C67" w:rsidRPr="004B6753" w:rsidRDefault="00812C67" w:rsidP="004B6753">
            <w:pPr>
              <w:pStyle w:val="NoSpacing"/>
              <w:jc w:val="center"/>
              <w:rPr>
                <w:rFonts w:ascii="Times New Roman" w:hAnsi="Times New Roman" w:cs="Times New Roman"/>
                <w:b/>
                <w:bCs/>
                <w:szCs w:val="24"/>
              </w:rPr>
            </w:pPr>
            <w:r w:rsidRPr="004B6753">
              <w:rPr>
                <w:rFonts w:ascii="Times New Roman" w:hAnsi="Times New Roman" w:cs="Times New Roman"/>
                <w:b/>
                <w:bCs/>
                <w:szCs w:val="24"/>
              </w:rPr>
              <w:t>Police</w:t>
            </w:r>
          </w:p>
        </w:tc>
        <w:tc>
          <w:tcPr>
            <w:tcW w:w="0" w:type="auto"/>
            <w:vAlign w:val="center"/>
            <w:hideMark/>
          </w:tcPr>
          <w:p w14:paraId="47F85866" w14:textId="77777777" w:rsidR="00812C67" w:rsidRPr="004B6753" w:rsidRDefault="00812C67" w:rsidP="004B6753">
            <w:pPr>
              <w:pStyle w:val="NoSpacing"/>
              <w:jc w:val="center"/>
              <w:rPr>
                <w:rFonts w:ascii="Times New Roman" w:hAnsi="Times New Roman" w:cs="Times New Roman"/>
                <w:b/>
                <w:bCs/>
                <w:szCs w:val="24"/>
              </w:rPr>
            </w:pPr>
            <w:r w:rsidRPr="004B6753">
              <w:rPr>
                <w:rFonts w:ascii="Times New Roman" w:hAnsi="Times New Roman" w:cs="Times New Roman"/>
                <w:b/>
                <w:bCs/>
                <w:szCs w:val="24"/>
              </w:rPr>
              <w:t>Others</w:t>
            </w:r>
          </w:p>
        </w:tc>
        <w:tc>
          <w:tcPr>
            <w:tcW w:w="0" w:type="auto"/>
            <w:vAlign w:val="center"/>
            <w:hideMark/>
          </w:tcPr>
          <w:p w14:paraId="1D64216A" w14:textId="77777777" w:rsidR="00812C67" w:rsidRPr="004B6753" w:rsidRDefault="00812C67" w:rsidP="004B6753">
            <w:pPr>
              <w:pStyle w:val="NoSpacing"/>
              <w:jc w:val="center"/>
              <w:rPr>
                <w:rFonts w:ascii="Times New Roman" w:hAnsi="Times New Roman" w:cs="Times New Roman"/>
                <w:b/>
                <w:bCs/>
                <w:szCs w:val="24"/>
              </w:rPr>
            </w:pPr>
            <w:r w:rsidRPr="004B6753">
              <w:rPr>
                <w:rFonts w:ascii="Times New Roman" w:hAnsi="Times New Roman" w:cs="Times New Roman"/>
                <w:b/>
                <w:bCs/>
                <w:szCs w:val="24"/>
              </w:rPr>
              <w:t>Education</w:t>
            </w:r>
          </w:p>
        </w:tc>
        <w:tc>
          <w:tcPr>
            <w:tcW w:w="0" w:type="auto"/>
            <w:vAlign w:val="center"/>
            <w:hideMark/>
          </w:tcPr>
          <w:p w14:paraId="2562A99D" w14:textId="77777777" w:rsidR="00812C67" w:rsidRPr="004B6753" w:rsidRDefault="00812C67" w:rsidP="004B6753">
            <w:pPr>
              <w:pStyle w:val="NoSpacing"/>
              <w:jc w:val="center"/>
              <w:rPr>
                <w:rFonts w:ascii="Times New Roman" w:hAnsi="Times New Roman" w:cs="Times New Roman"/>
                <w:b/>
                <w:bCs/>
                <w:szCs w:val="24"/>
              </w:rPr>
            </w:pPr>
            <w:r w:rsidRPr="004B6753">
              <w:rPr>
                <w:rFonts w:ascii="Times New Roman" w:hAnsi="Times New Roman" w:cs="Times New Roman"/>
                <w:b/>
                <w:bCs/>
                <w:szCs w:val="24"/>
              </w:rPr>
              <w:t>Medical</w:t>
            </w:r>
          </w:p>
        </w:tc>
        <w:tc>
          <w:tcPr>
            <w:tcW w:w="0" w:type="auto"/>
            <w:vAlign w:val="center"/>
            <w:hideMark/>
          </w:tcPr>
          <w:p w14:paraId="5511B829" w14:textId="77777777" w:rsidR="00812C67" w:rsidRPr="004B6753" w:rsidRDefault="00812C67" w:rsidP="004B6753">
            <w:pPr>
              <w:pStyle w:val="NoSpacing"/>
              <w:jc w:val="center"/>
              <w:rPr>
                <w:rFonts w:ascii="Times New Roman" w:hAnsi="Times New Roman" w:cs="Times New Roman"/>
                <w:b/>
                <w:bCs/>
                <w:szCs w:val="24"/>
              </w:rPr>
            </w:pPr>
            <w:r w:rsidRPr="004B6753">
              <w:rPr>
                <w:rFonts w:ascii="Times New Roman" w:hAnsi="Times New Roman" w:cs="Times New Roman"/>
                <w:b/>
                <w:bCs/>
                <w:szCs w:val="24"/>
              </w:rPr>
              <w:t>Public Health</w:t>
            </w:r>
          </w:p>
        </w:tc>
        <w:tc>
          <w:tcPr>
            <w:tcW w:w="0" w:type="auto"/>
            <w:vAlign w:val="center"/>
            <w:hideMark/>
          </w:tcPr>
          <w:p w14:paraId="23D2EBB7" w14:textId="77777777" w:rsidR="00812C67" w:rsidRPr="004B6753" w:rsidRDefault="00812C67" w:rsidP="004B6753">
            <w:pPr>
              <w:pStyle w:val="NoSpacing"/>
              <w:jc w:val="center"/>
              <w:rPr>
                <w:rFonts w:ascii="Times New Roman" w:hAnsi="Times New Roman" w:cs="Times New Roman"/>
                <w:b/>
                <w:bCs/>
                <w:szCs w:val="24"/>
              </w:rPr>
            </w:pPr>
            <w:r w:rsidRPr="004B6753">
              <w:rPr>
                <w:rFonts w:ascii="Times New Roman" w:hAnsi="Times New Roman" w:cs="Times New Roman"/>
                <w:b/>
                <w:bCs/>
                <w:szCs w:val="24"/>
              </w:rPr>
              <w:t>Agriculture &amp; Animal Husbandry</w:t>
            </w:r>
          </w:p>
        </w:tc>
        <w:tc>
          <w:tcPr>
            <w:tcW w:w="0" w:type="auto"/>
            <w:vAlign w:val="center"/>
            <w:hideMark/>
          </w:tcPr>
          <w:p w14:paraId="6DA997C1" w14:textId="77777777" w:rsidR="00812C67" w:rsidRPr="004B6753" w:rsidRDefault="00812C67" w:rsidP="004B6753">
            <w:pPr>
              <w:pStyle w:val="NoSpacing"/>
              <w:jc w:val="center"/>
              <w:rPr>
                <w:rFonts w:ascii="Times New Roman" w:hAnsi="Times New Roman" w:cs="Times New Roman"/>
                <w:b/>
                <w:bCs/>
                <w:szCs w:val="24"/>
              </w:rPr>
            </w:pPr>
            <w:r w:rsidRPr="004B6753">
              <w:rPr>
                <w:rFonts w:ascii="Times New Roman" w:hAnsi="Times New Roman" w:cs="Times New Roman"/>
                <w:b/>
                <w:bCs/>
                <w:szCs w:val="24"/>
              </w:rPr>
              <w:t>Others</w:t>
            </w:r>
          </w:p>
        </w:tc>
        <w:tc>
          <w:tcPr>
            <w:tcW w:w="0" w:type="auto"/>
            <w:vMerge/>
            <w:vAlign w:val="center"/>
            <w:hideMark/>
          </w:tcPr>
          <w:p w14:paraId="1E2FC3DF" w14:textId="77777777" w:rsidR="00812C67" w:rsidRPr="004B6753" w:rsidRDefault="00812C67" w:rsidP="004B6753">
            <w:pPr>
              <w:pStyle w:val="NoSpacing"/>
              <w:jc w:val="center"/>
              <w:rPr>
                <w:rFonts w:ascii="Times New Roman" w:hAnsi="Times New Roman" w:cs="Times New Roman"/>
                <w:b/>
                <w:bCs/>
                <w:szCs w:val="24"/>
              </w:rPr>
            </w:pPr>
          </w:p>
        </w:tc>
      </w:tr>
      <w:tr w:rsidR="00416FA8" w:rsidRPr="004B6753" w14:paraId="1661B939" w14:textId="77777777" w:rsidTr="004B6753">
        <w:trPr>
          <w:trHeight w:val="200"/>
        </w:trPr>
        <w:tc>
          <w:tcPr>
            <w:tcW w:w="0" w:type="auto"/>
            <w:vAlign w:val="center"/>
            <w:hideMark/>
          </w:tcPr>
          <w:p w14:paraId="4949B15F" w14:textId="77777777" w:rsidR="00416FA8" w:rsidRPr="004B6753" w:rsidRDefault="00416FA8" w:rsidP="004B6753">
            <w:pPr>
              <w:pStyle w:val="NoSpacing"/>
              <w:jc w:val="center"/>
              <w:rPr>
                <w:rFonts w:ascii="Times New Roman" w:hAnsi="Times New Roman" w:cs="Times New Roman"/>
                <w:b/>
                <w:bCs/>
                <w:szCs w:val="24"/>
              </w:rPr>
            </w:pPr>
            <w:r w:rsidRPr="004B6753">
              <w:rPr>
                <w:rFonts w:ascii="Times New Roman" w:hAnsi="Times New Roman" w:cs="Times New Roman"/>
                <w:b/>
                <w:bCs/>
                <w:szCs w:val="24"/>
              </w:rPr>
              <w:t>I</w:t>
            </w:r>
          </w:p>
        </w:tc>
        <w:tc>
          <w:tcPr>
            <w:tcW w:w="0" w:type="auto"/>
            <w:vAlign w:val="center"/>
            <w:hideMark/>
          </w:tcPr>
          <w:p w14:paraId="2B2668BF" w14:textId="77777777" w:rsidR="00416FA8" w:rsidRPr="004B6753" w:rsidRDefault="00416FA8" w:rsidP="004B6753">
            <w:pPr>
              <w:pStyle w:val="NoSpacing"/>
              <w:jc w:val="center"/>
              <w:rPr>
                <w:rFonts w:ascii="Times New Roman" w:hAnsi="Times New Roman" w:cs="Times New Roman"/>
                <w:b/>
                <w:bCs/>
                <w:szCs w:val="24"/>
              </w:rPr>
            </w:pPr>
            <w:r w:rsidRPr="004B6753">
              <w:rPr>
                <w:rFonts w:ascii="Times New Roman" w:hAnsi="Times New Roman" w:cs="Times New Roman"/>
                <w:b/>
                <w:bCs/>
                <w:szCs w:val="24"/>
              </w:rPr>
              <w:t>2</w:t>
            </w:r>
          </w:p>
        </w:tc>
        <w:tc>
          <w:tcPr>
            <w:tcW w:w="0" w:type="auto"/>
            <w:vAlign w:val="center"/>
            <w:hideMark/>
          </w:tcPr>
          <w:p w14:paraId="7B8D3C0D" w14:textId="77777777" w:rsidR="00416FA8" w:rsidRPr="004B6753" w:rsidRDefault="00416FA8" w:rsidP="004B6753">
            <w:pPr>
              <w:pStyle w:val="NoSpacing"/>
              <w:jc w:val="center"/>
              <w:rPr>
                <w:rFonts w:ascii="Times New Roman" w:hAnsi="Times New Roman" w:cs="Times New Roman"/>
                <w:b/>
                <w:bCs/>
                <w:szCs w:val="24"/>
              </w:rPr>
            </w:pPr>
            <w:r w:rsidRPr="004B6753">
              <w:rPr>
                <w:rFonts w:ascii="Times New Roman" w:hAnsi="Times New Roman" w:cs="Times New Roman"/>
                <w:b/>
                <w:bCs/>
                <w:szCs w:val="24"/>
              </w:rPr>
              <w:t>3</w:t>
            </w:r>
          </w:p>
        </w:tc>
        <w:tc>
          <w:tcPr>
            <w:tcW w:w="0" w:type="auto"/>
            <w:vAlign w:val="center"/>
            <w:hideMark/>
          </w:tcPr>
          <w:p w14:paraId="7445C8AA" w14:textId="77777777" w:rsidR="00416FA8" w:rsidRPr="004B6753" w:rsidRDefault="00416FA8" w:rsidP="004B6753">
            <w:pPr>
              <w:pStyle w:val="NoSpacing"/>
              <w:jc w:val="center"/>
              <w:rPr>
                <w:rFonts w:ascii="Times New Roman" w:hAnsi="Times New Roman" w:cs="Times New Roman"/>
                <w:b/>
                <w:bCs/>
                <w:szCs w:val="24"/>
              </w:rPr>
            </w:pPr>
            <w:r w:rsidRPr="004B6753">
              <w:rPr>
                <w:rFonts w:ascii="Times New Roman" w:hAnsi="Times New Roman" w:cs="Times New Roman"/>
                <w:b/>
                <w:bCs/>
                <w:szCs w:val="24"/>
              </w:rPr>
              <w:t>4</w:t>
            </w:r>
          </w:p>
        </w:tc>
        <w:tc>
          <w:tcPr>
            <w:tcW w:w="0" w:type="auto"/>
            <w:vAlign w:val="center"/>
            <w:hideMark/>
          </w:tcPr>
          <w:p w14:paraId="34300B08" w14:textId="77777777" w:rsidR="00416FA8" w:rsidRPr="004B6753" w:rsidRDefault="00416FA8" w:rsidP="004B6753">
            <w:pPr>
              <w:pStyle w:val="NoSpacing"/>
              <w:jc w:val="center"/>
              <w:rPr>
                <w:rFonts w:ascii="Times New Roman" w:hAnsi="Times New Roman" w:cs="Times New Roman"/>
                <w:b/>
                <w:bCs/>
                <w:szCs w:val="24"/>
              </w:rPr>
            </w:pPr>
            <w:r w:rsidRPr="004B6753">
              <w:rPr>
                <w:rFonts w:ascii="Times New Roman" w:hAnsi="Times New Roman" w:cs="Times New Roman"/>
                <w:b/>
                <w:bCs/>
                <w:szCs w:val="24"/>
              </w:rPr>
              <w:t>5</w:t>
            </w:r>
          </w:p>
        </w:tc>
        <w:tc>
          <w:tcPr>
            <w:tcW w:w="0" w:type="auto"/>
            <w:vAlign w:val="center"/>
            <w:hideMark/>
          </w:tcPr>
          <w:p w14:paraId="322413B0" w14:textId="77777777" w:rsidR="00416FA8" w:rsidRPr="004B6753" w:rsidRDefault="00416FA8" w:rsidP="004B6753">
            <w:pPr>
              <w:pStyle w:val="NoSpacing"/>
              <w:jc w:val="center"/>
              <w:rPr>
                <w:rFonts w:ascii="Times New Roman" w:hAnsi="Times New Roman" w:cs="Times New Roman"/>
                <w:b/>
                <w:bCs/>
                <w:szCs w:val="24"/>
              </w:rPr>
            </w:pPr>
            <w:r w:rsidRPr="004B6753">
              <w:rPr>
                <w:rFonts w:ascii="Times New Roman" w:hAnsi="Times New Roman" w:cs="Times New Roman"/>
                <w:b/>
                <w:bCs/>
                <w:szCs w:val="24"/>
              </w:rPr>
              <w:t>6</w:t>
            </w:r>
          </w:p>
        </w:tc>
        <w:tc>
          <w:tcPr>
            <w:tcW w:w="0" w:type="auto"/>
            <w:vAlign w:val="center"/>
            <w:hideMark/>
          </w:tcPr>
          <w:p w14:paraId="2D14225A" w14:textId="77777777" w:rsidR="00416FA8" w:rsidRPr="004B6753" w:rsidRDefault="00416FA8" w:rsidP="004B6753">
            <w:pPr>
              <w:pStyle w:val="NoSpacing"/>
              <w:jc w:val="center"/>
              <w:rPr>
                <w:rFonts w:ascii="Times New Roman" w:hAnsi="Times New Roman" w:cs="Times New Roman"/>
                <w:b/>
                <w:bCs/>
                <w:szCs w:val="24"/>
              </w:rPr>
            </w:pPr>
            <w:r w:rsidRPr="004B6753">
              <w:rPr>
                <w:rFonts w:ascii="Times New Roman" w:hAnsi="Times New Roman" w:cs="Times New Roman"/>
                <w:b/>
                <w:bCs/>
                <w:szCs w:val="24"/>
              </w:rPr>
              <w:t>7</w:t>
            </w:r>
          </w:p>
        </w:tc>
        <w:tc>
          <w:tcPr>
            <w:tcW w:w="0" w:type="auto"/>
            <w:vAlign w:val="center"/>
            <w:hideMark/>
          </w:tcPr>
          <w:p w14:paraId="7876A13F" w14:textId="77777777" w:rsidR="00416FA8" w:rsidRPr="004B6753" w:rsidRDefault="00416FA8" w:rsidP="004B6753">
            <w:pPr>
              <w:pStyle w:val="NoSpacing"/>
              <w:jc w:val="center"/>
              <w:rPr>
                <w:rFonts w:ascii="Times New Roman" w:hAnsi="Times New Roman" w:cs="Times New Roman"/>
                <w:b/>
                <w:bCs/>
                <w:szCs w:val="24"/>
              </w:rPr>
            </w:pPr>
            <w:r w:rsidRPr="004B6753">
              <w:rPr>
                <w:rFonts w:ascii="Times New Roman" w:hAnsi="Times New Roman" w:cs="Times New Roman"/>
                <w:b/>
                <w:bCs/>
                <w:szCs w:val="24"/>
              </w:rPr>
              <w:t>8</w:t>
            </w:r>
          </w:p>
        </w:tc>
        <w:tc>
          <w:tcPr>
            <w:tcW w:w="0" w:type="auto"/>
            <w:vAlign w:val="center"/>
            <w:hideMark/>
          </w:tcPr>
          <w:p w14:paraId="7A14E3D2" w14:textId="77777777" w:rsidR="00416FA8" w:rsidRPr="004B6753" w:rsidRDefault="00416FA8" w:rsidP="004B6753">
            <w:pPr>
              <w:pStyle w:val="NoSpacing"/>
              <w:jc w:val="center"/>
              <w:rPr>
                <w:rFonts w:ascii="Times New Roman" w:hAnsi="Times New Roman" w:cs="Times New Roman"/>
                <w:b/>
                <w:bCs/>
                <w:szCs w:val="24"/>
              </w:rPr>
            </w:pPr>
            <w:r w:rsidRPr="004B6753">
              <w:rPr>
                <w:rFonts w:ascii="Times New Roman" w:hAnsi="Times New Roman" w:cs="Times New Roman"/>
                <w:b/>
                <w:bCs/>
                <w:szCs w:val="24"/>
              </w:rPr>
              <w:t>9</w:t>
            </w:r>
          </w:p>
        </w:tc>
        <w:tc>
          <w:tcPr>
            <w:tcW w:w="0" w:type="auto"/>
            <w:vAlign w:val="center"/>
            <w:hideMark/>
          </w:tcPr>
          <w:p w14:paraId="0E74EBE6" w14:textId="77777777" w:rsidR="00416FA8" w:rsidRPr="004B6753" w:rsidRDefault="00416FA8" w:rsidP="004B6753">
            <w:pPr>
              <w:pStyle w:val="NoSpacing"/>
              <w:jc w:val="center"/>
              <w:rPr>
                <w:rFonts w:ascii="Times New Roman" w:hAnsi="Times New Roman" w:cs="Times New Roman"/>
                <w:b/>
                <w:bCs/>
                <w:szCs w:val="24"/>
              </w:rPr>
            </w:pPr>
            <w:r w:rsidRPr="004B6753">
              <w:rPr>
                <w:rFonts w:ascii="Times New Roman" w:hAnsi="Times New Roman" w:cs="Times New Roman"/>
                <w:b/>
                <w:bCs/>
                <w:szCs w:val="24"/>
              </w:rPr>
              <w:t>10</w:t>
            </w:r>
          </w:p>
        </w:tc>
        <w:tc>
          <w:tcPr>
            <w:tcW w:w="0" w:type="auto"/>
            <w:vAlign w:val="center"/>
            <w:hideMark/>
          </w:tcPr>
          <w:p w14:paraId="368A8CBB" w14:textId="77777777" w:rsidR="00416FA8" w:rsidRPr="004B6753" w:rsidRDefault="00416FA8" w:rsidP="004B6753">
            <w:pPr>
              <w:pStyle w:val="NoSpacing"/>
              <w:jc w:val="center"/>
              <w:rPr>
                <w:rFonts w:ascii="Times New Roman" w:hAnsi="Times New Roman" w:cs="Times New Roman"/>
                <w:b/>
                <w:bCs/>
                <w:szCs w:val="24"/>
              </w:rPr>
            </w:pPr>
            <w:r w:rsidRPr="004B6753">
              <w:rPr>
                <w:rFonts w:ascii="Times New Roman" w:hAnsi="Times New Roman" w:cs="Times New Roman"/>
                <w:b/>
                <w:bCs/>
                <w:szCs w:val="24"/>
              </w:rPr>
              <w:t>11</w:t>
            </w:r>
          </w:p>
        </w:tc>
        <w:tc>
          <w:tcPr>
            <w:tcW w:w="0" w:type="auto"/>
            <w:vAlign w:val="center"/>
            <w:hideMark/>
          </w:tcPr>
          <w:p w14:paraId="7C45A1EB" w14:textId="77777777" w:rsidR="00416FA8" w:rsidRPr="004B6753" w:rsidRDefault="00416FA8" w:rsidP="004B6753">
            <w:pPr>
              <w:pStyle w:val="NoSpacing"/>
              <w:jc w:val="center"/>
              <w:rPr>
                <w:rFonts w:ascii="Times New Roman" w:hAnsi="Times New Roman" w:cs="Times New Roman"/>
                <w:b/>
                <w:bCs/>
                <w:szCs w:val="24"/>
              </w:rPr>
            </w:pPr>
            <w:r w:rsidRPr="004B6753">
              <w:rPr>
                <w:rFonts w:ascii="Times New Roman" w:hAnsi="Times New Roman" w:cs="Times New Roman"/>
                <w:b/>
                <w:bCs/>
                <w:szCs w:val="24"/>
              </w:rPr>
              <w:t>12</w:t>
            </w:r>
          </w:p>
        </w:tc>
      </w:tr>
      <w:tr w:rsidR="00416FA8" w:rsidRPr="004B6753" w14:paraId="70FAFEE0" w14:textId="77777777" w:rsidTr="004B6753">
        <w:trPr>
          <w:trHeight w:val="200"/>
        </w:trPr>
        <w:tc>
          <w:tcPr>
            <w:tcW w:w="0" w:type="auto"/>
            <w:hideMark/>
          </w:tcPr>
          <w:p w14:paraId="3E0B7522" w14:textId="77777777" w:rsidR="00416FA8" w:rsidRPr="004B6753" w:rsidRDefault="00416FA8" w:rsidP="00B77C0B">
            <w:pPr>
              <w:pStyle w:val="NoSpacing"/>
              <w:rPr>
                <w:rFonts w:ascii="Times New Roman" w:hAnsi="Times New Roman" w:cs="Times New Roman"/>
                <w:szCs w:val="24"/>
              </w:rPr>
            </w:pPr>
            <w:r w:rsidRPr="004B6753">
              <w:rPr>
                <w:rFonts w:ascii="Times New Roman" w:hAnsi="Times New Roman" w:cs="Times New Roman"/>
                <w:szCs w:val="24"/>
              </w:rPr>
              <w:t>Mysore</w:t>
            </w:r>
          </w:p>
        </w:tc>
        <w:tc>
          <w:tcPr>
            <w:tcW w:w="0" w:type="auto"/>
            <w:vAlign w:val="center"/>
            <w:hideMark/>
          </w:tcPr>
          <w:p w14:paraId="58996062" w14:textId="77777777" w:rsidR="00416FA8" w:rsidRPr="004B6753" w:rsidRDefault="00416FA8" w:rsidP="004B6753">
            <w:pPr>
              <w:pStyle w:val="NoSpacing"/>
              <w:jc w:val="center"/>
              <w:rPr>
                <w:rFonts w:ascii="Times New Roman" w:hAnsi="Times New Roman" w:cs="Times New Roman"/>
                <w:szCs w:val="24"/>
              </w:rPr>
            </w:pPr>
          </w:p>
        </w:tc>
        <w:tc>
          <w:tcPr>
            <w:tcW w:w="0" w:type="auto"/>
            <w:vAlign w:val="center"/>
            <w:hideMark/>
          </w:tcPr>
          <w:p w14:paraId="0F1370F0" w14:textId="77777777" w:rsidR="00416FA8" w:rsidRPr="004B6753" w:rsidRDefault="00416FA8" w:rsidP="004B6753">
            <w:pPr>
              <w:pStyle w:val="NoSpacing"/>
              <w:jc w:val="center"/>
              <w:rPr>
                <w:rFonts w:ascii="Times New Roman" w:hAnsi="Times New Roman" w:cs="Times New Roman"/>
                <w:szCs w:val="24"/>
              </w:rPr>
            </w:pPr>
          </w:p>
        </w:tc>
        <w:tc>
          <w:tcPr>
            <w:tcW w:w="0" w:type="auto"/>
            <w:vAlign w:val="center"/>
            <w:hideMark/>
          </w:tcPr>
          <w:p w14:paraId="77E058C9" w14:textId="77777777" w:rsidR="00416FA8" w:rsidRPr="004B6753" w:rsidRDefault="00416FA8" w:rsidP="004B6753">
            <w:pPr>
              <w:pStyle w:val="NoSpacing"/>
              <w:jc w:val="center"/>
              <w:rPr>
                <w:rFonts w:ascii="Times New Roman" w:hAnsi="Times New Roman" w:cs="Times New Roman"/>
                <w:szCs w:val="24"/>
              </w:rPr>
            </w:pPr>
          </w:p>
        </w:tc>
        <w:tc>
          <w:tcPr>
            <w:tcW w:w="0" w:type="auto"/>
            <w:vAlign w:val="center"/>
            <w:hideMark/>
          </w:tcPr>
          <w:p w14:paraId="74BB20A9" w14:textId="77777777" w:rsidR="00416FA8" w:rsidRPr="004B6753" w:rsidRDefault="00416FA8" w:rsidP="004B6753">
            <w:pPr>
              <w:pStyle w:val="NoSpacing"/>
              <w:jc w:val="center"/>
              <w:rPr>
                <w:rFonts w:ascii="Times New Roman" w:hAnsi="Times New Roman" w:cs="Times New Roman"/>
                <w:szCs w:val="24"/>
              </w:rPr>
            </w:pPr>
          </w:p>
        </w:tc>
        <w:tc>
          <w:tcPr>
            <w:tcW w:w="0" w:type="auto"/>
            <w:vAlign w:val="center"/>
            <w:hideMark/>
          </w:tcPr>
          <w:p w14:paraId="49E0E729" w14:textId="77777777" w:rsidR="00416FA8" w:rsidRPr="004B6753" w:rsidRDefault="00416FA8" w:rsidP="004B6753">
            <w:pPr>
              <w:pStyle w:val="NoSpacing"/>
              <w:jc w:val="center"/>
              <w:rPr>
                <w:rFonts w:ascii="Times New Roman" w:hAnsi="Times New Roman" w:cs="Times New Roman"/>
                <w:szCs w:val="24"/>
              </w:rPr>
            </w:pPr>
          </w:p>
        </w:tc>
        <w:tc>
          <w:tcPr>
            <w:tcW w:w="0" w:type="auto"/>
            <w:vAlign w:val="center"/>
            <w:hideMark/>
          </w:tcPr>
          <w:p w14:paraId="5410DBCC" w14:textId="77777777" w:rsidR="00416FA8" w:rsidRPr="004B6753" w:rsidRDefault="00416FA8" w:rsidP="004B6753">
            <w:pPr>
              <w:pStyle w:val="NoSpacing"/>
              <w:jc w:val="center"/>
              <w:rPr>
                <w:rFonts w:ascii="Times New Roman" w:hAnsi="Times New Roman" w:cs="Times New Roman"/>
                <w:szCs w:val="24"/>
              </w:rPr>
            </w:pPr>
          </w:p>
        </w:tc>
        <w:tc>
          <w:tcPr>
            <w:tcW w:w="0" w:type="auto"/>
            <w:vAlign w:val="center"/>
            <w:hideMark/>
          </w:tcPr>
          <w:p w14:paraId="25CCFB06" w14:textId="77777777" w:rsidR="00416FA8" w:rsidRPr="004B6753" w:rsidRDefault="00416FA8" w:rsidP="004B6753">
            <w:pPr>
              <w:pStyle w:val="NoSpacing"/>
              <w:jc w:val="center"/>
              <w:rPr>
                <w:rFonts w:ascii="Times New Roman" w:hAnsi="Times New Roman" w:cs="Times New Roman"/>
                <w:szCs w:val="24"/>
              </w:rPr>
            </w:pPr>
          </w:p>
        </w:tc>
        <w:tc>
          <w:tcPr>
            <w:tcW w:w="0" w:type="auto"/>
            <w:vAlign w:val="center"/>
            <w:hideMark/>
          </w:tcPr>
          <w:p w14:paraId="43C6EDD2" w14:textId="77777777" w:rsidR="00416FA8" w:rsidRPr="004B6753" w:rsidRDefault="00416FA8" w:rsidP="004B6753">
            <w:pPr>
              <w:pStyle w:val="NoSpacing"/>
              <w:jc w:val="center"/>
              <w:rPr>
                <w:rFonts w:ascii="Times New Roman" w:hAnsi="Times New Roman" w:cs="Times New Roman"/>
                <w:szCs w:val="24"/>
              </w:rPr>
            </w:pPr>
          </w:p>
        </w:tc>
        <w:tc>
          <w:tcPr>
            <w:tcW w:w="0" w:type="auto"/>
            <w:vAlign w:val="center"/>
            <w:hideMark/>
          </w:tcPr>
          <w:p w14:paraId="419E668F" w14:textId="77777777" w:rsidR="00416FA8" w:rsidRPr="004B6753" w:rsidRDefault="00416FA8" w:rsidP="004B6753">
            <w:pPr>
              <w:pStyle w:val="NoSpacing"/>
              <w:jc w:val="center"/>
              <w:rPr>
                <w:rFonts w:ascii="Times New Roman" w:hAnsi="Times New Roman" w:cs="Times New Roman"/>
                <w:szCs w:val="24"/>
              </w:rPr>
            </w:pPr>
          </w:p>
        </w:tc>
        <w:tc>
          <w:tcPr>
            <w:tcW w:w="0" w:type="auto"/>
            <w:vAlign w:val="center"/>
            <w:hideMark/>
          </w:tcPr>
          <w:p w14:paraId="74D14A8C" w14:textId="77777777" w:rsidR="00416FA8" w:rsidRPr="004B6753" w:rsidRDefault="00416FA8" w:rsidP="004B6753">
            <w:pPr>
              <w:pStyle w:val="NoSpacing"/>
              <w:jc w:val="center"/>
              <w:rPr>
                <w:rFonts w:ascii="Times New Roman" w:hAnsi="Times New Roman" w:cs="Times New Roman"/>
                <w:szCs w:val="24"/>
              </w:rPr>
            </w:pPr>
          </w:p>
        </w:tc>
        <w:tc>
          <w:tcPr>
            <w:tcW w:w="0" w:type="auto"/>
            <w:vAlign w:val="center"/>
            <w:hideMark/>
          </w:tcPr>
          <w:p w14:paraId="1C25CB75" w14:textId="77777777" w:rsidR="00416FA8" w:rsidRPr="004B6753" w:rsidRDefault="00416FA8" w:rsidP="004B6753">
            <w:pPr>
              <w:pStyle w:val="NoSpacing"/>
              <w:jc w:val="center"/>
              <w:rPr>
                <w:rFonts w:ascii="Times New Roman" w:hAnsi="Times New Roman" w:cs="Times New Roman"/>
                <w:szCs w:val="24"/>
              </w:rPr>
            </w:pPr>
          </w:p>
        </w:tc>
      </w:tr>
      <w:tr w:rsidR="00812C67" w:rsidRPr="004B6753" w14:paraId="58FD72BA" w14:textId="77777777" w:rsidTr="004B6753">
        <w:trPr>
          <w:trHeight w:val="209"/>
        </w:trPr>
        <w:tc>
          <w:tcPr>
            <w:tcW w:w="0" w:type="auto"/>
            <w:vMerge w:val="restart"/>
            <w:hideMark/>
          </w:tcPr>
          <w:p w14:paraId="6810BA21" w14:textId="77777777" w:rsidR="00812C67" w:rsidRPr="004B6753" w:rsidRDefault="00812C67" w:rsidP="00B77C0B">
            <w:pPr>
              <w:pStyle w:val="NoSpacing"/>
              <w:rPr>
                <w:rFonts w:ascii="Times New Roman" w:hAnsi="Times New Roman" w:cs="Times New Roman"/>
                <w:szCs w:val="24"/>
              </w:rPr>
            </w:pPr>
            <w:r w:rsidRPr="004B6753">
              <w:rPr>
                <w:rFonts w:ascii="Times New Roman" w:hAnsi="Times New Roman" w:cs="Times New Roman"/>
                <w:szCs w:val="24"/>
              </w:rPr>
              <w:t>1961-62</w:t>
            </w:r>
          </w:p>
        </w:tc>
        <w:tc>
          <w:tcPr>
            <w:tcW w:w="0" w:type="auto"/>
            <w:vAlign w:val="center"/>
            <w:hideMark/>
          </w:tcPr>
          <w:p w14:paraId="64C16D69" w14:textId="77777777" w:rsidR="00812C67" w:rsidRPr="004B6753" w:rsidRDefault="00812C67" w:rsidP="004B6753">
            <w:pPr>
              <w:pStyle w:val="NoSpacing"/>
              <w:jc w:val="center"/>
              <w:rPr>
                <w:rFonts w:ascii="Times New Roman" w:hAnsi="Times New Roman" w:cs="Times New Roman"/>
                <w:szCs w:val="24"/>
              </w:rPr>
            </w:pPr>
            <w:r w:rsidRPr="004B6753">
              <w:rPr>
                <w:rFonts w:ascii="Times New Roman" w:hAnsi="Times New Roman" w:cs="Times New Roman"/>
                <w:szCs w:val="24"/>
              </w:rPr>
              <w:t>8.08</w:t>
            </w:r>
          </w:p>
        </w:tc>
        <w:tc>
          <w:tcPr>
            <w:tcW w:w="0" w:type="auto"/>
            <w:vAlign w:val="center"/>
            <w:hideMark/>
          </w:tcPr>
          <w:p w14:paraId="6B8F44C9" w14:textId="77777777" w:rsidR="00812C67" w:rsidRPr="004B6753" w:rsidRDefault="00812C67" w:rsidP="004B6753">
            <w:pPr>
              <w:pStyle w:val="NoSpacing"/>
              <w:jc w:val="center"/>
              <w:rPr>
                <w:rFonts w:ascii="Times New Roman" w:hAnsi="Times New Roman" w:cs="Times New Roman"/>
                <w:szCs w:val="24"/>
              </w:rPr>
            </w:pPr>
            <w:r w:rsidRPr="004B6753">
              <w:rPr>
                <w:rFonts w:ascii="Times New Roman" w:hAnsi="Times New Roman" w:cs="Times New Roman"/>
                <w:szCs w:val="24"/>
              </w:rPr>
              <w:t>8.57</w:t>
            </w:r>
          </w:p>
        </w:tc>
        <w:tc>
          <w:tcPr>
            <w:tcW w:w="0" w:type="auto"/>
            <w:vAlign w:val="center"/>
            <w:hideMark/>
          </w:tcPr>
          <w:p w14:paraId="724EC595" w14:textId="77777777" w:rsidR="00812C67" w:rsidRPr="004B6753" w:rsidRDefault="00812C67" w:rsidP="004B6753">
            <w:pPr>
              <w:pStyle w:val="NoSpacing"/>
              <w:jc w:val="center"/>
              <w:rPr>
                <w:rFonts w:ascii="Times New Roman" w:hAnsi="Times New Roman" w:cs="Times New Roman"/>
                <w:szCs w:val="24"/>
              </w:rPr>
            </w:pPr>
            <w:r w:rsidRPr="004B6753">
              <w:rPr>
                <w:rFonts w:ascii="Times New Roman" w:hAnsi="Times New Roman" w:cs="Times New Roman"/>
                <w:szCs w:val="24"/>
              </w:rPr>
              <w:t>3.20</w:t>
            </w:r>
          </w:p>
        </w:tc>
        <w:tc>
          <w:tcPr>
            <w:tcW w:w="0" w:type="auto"/>
            <w:vAlign w:val="center"/>
            <w:hideMark/>
          </w:tcPr>
          <w:p w14:paraId="52FEDAFE" w14:textId="77777777" w:rsidR="00812C67" w:rsidRPr="004B6753" w:rsidRDefault="00812C67" w:rsidP="004B6753">
            <w:pPr>
              <w:pStyle w:val="NoSpacing"/>
              <w:jc w:val="center"/>
              <w:rPr>
                <w:rFonts w:ascii="Times New Roman" w:hAnsi="Times New Roman" w:cs="Times New Roman"/>
                <w:szCs w:val="24"/>
              </w:rPr>
            </w:pPr>
            <w:r w:rsidRPr="004B6753">
              <w:rPr>
                <w:rFonts w:ascii="Times New Roman" w:hAnsi="Times New Roman" w:cs="Times New Roman"/>
                <w:szCs w:val="24"/>
              </w:rPr>
              <w:t>3.92</w:t>
            </w:r>
          </w:p>
        </w:tc>
        <w:tc>
          <w:tcPr>
            <w:tcW w:w="0" w:type="auto"/>
            <w:vAlign w:val="center"/>
            <w:hideMark/>
          </w:tcPr>
          <w:p w14:paraId="1624117A" w14:textId="77777777" w:rsidR="00812C67" w:rsidRPr="004B6753" w:rsidRDefault="00812C67" w:rsidP="004B6753">
            <w:pPr>
              <w:pStyle w:val="NoSpacing"/>
              <w:jc w:val="center"/>
              <w:rPr>
                <w:rFonts w:ascii="Times New Roman" w:hAnsi="Times New Roman" w:cs="Times New Roman"/>
                <w:szCs w:val="24"/>
              </w:rPr>
            </w:pPr>
            <w:r w:rsidRPr="004B6753">
              <w:rPr>
                <w:rFonts w:ascii="Times New Roman" w:hAnsi="Times New Roman" w:cs="Times New Roman"/>
                <w:szCs w:val="24"/>
              </w:rPr>
              <w:t>1.33</w:t>
            </w:r>
          </w:p>
        </w:tc>
        <w:tc>
          <w:tcPr>
            <w:tcW w:w="0" w:type="auto"/>
            <w:vAlign w:val="center"/>
            <w:hideMark/>
          </w:tcPr>
          <w:p w14:paraId="00BF2893" w14:textId="77777777" w:rsidR="00812C67" w:rsidRPr="004B6753" w:rsidRDefault="00812C67" w:rsidP="004B6753">
            <w:pPr>
              <w:pStyle w:val="NoSpacing"/>
              <w:jc w:val="center"/>
              <w:rPr>
                <w:rFonts w:ascii="Times New Roman" w:hAnsi="Times New Roman" w:cs="Times New Roman"/>
                <w:szCs w:val="24"/>
              </w:rPr>
            </w:pPr>
            <w:r w:rsidRPr="004B6753">
              <w:rPr>
                <w:rFonts w:ascii="Times New Roman" w:hAnsi="Times New Roman" w:cs="Times New Roman"/>
                <w:szCs w:val="24"/>
              </w:rPr>
              <w:t>14.40</w:t>
            </w:r>
          </w:p>
        </w:tc>
        <w:tc>
          <w:tcPr>
            <w:tcW w:w="0" w:type="auto"/>
            <w:vAlign w:val="center"/>
            <w:hideMark/>
          </w:tcPr>
          <w:p w14:paraId="40844C2B" w14:textId="77777777" w:rsidR="00812C67" w:rsidRPr="004B6753" w:rsidRDefault="00812C67" w:rsidP="004B6753">
            <w:pPr>
              <w:pStyle w:val="NoSpacing"/>
              <w:jc w:val="center"/>
              <w:rPr>
                <w:rFonts w:ascii="Times New Roman" w:hAnsi="Times New Roman" w:cs="Times New Roman"/>
                <w:szCs w:val="24"/>
              </w:rPr>
            </w:pPr>
            <w:r w:rsidRPr="004B6753">
              <w:rPr>
                <w:rFonts w:ascii="Times New Roman" w:hAnsi="Times New Roman" w:cs="Times New Roman"/>
                <w:szCs w:val="24"/>
              </w:rPr>
              <w:t>3.14</w:t>
            </w:r>
          </w:p>
        </w:tc>
        <w:tc>
          <w:tcPr>
            <w:tcW w:w="0" w:type="auto"/>
            <w:vAlign w:val="center"/>
            <w:hideMark/>
          </w:tcPr>
          <w:p w14:paraId="2E6AF360" w14:textId="77777777" w:rsidR="00812C67" w:rsidRPr="004B6753" w:rsidRDefault="00812C67" w:rsidP="004B6753">
            <w:pPr>
              <w:pStyle w:val="NoSpacing"/>
              <w:jc w:val="center"/>
              <w:rPr>
                <w:rFonts w:ascii="Times New Roman" w:hAnsi="Times New Roman" w:cs="Times New Roman"/>
                <w:szCs w:val="24"/>
              </w:rPr>
            </w:pPr>
            <w:r w:rsidRPr="004B6753">
              <w:rPr>
                <w:rFonts w:ascii="Times New Roman" w:hAnsi="Times New Roman" w:cs="Times New Roman"/>
                <w:szCs w:val="24"/>
              </w:rPr>
              <w:t>2.02</w:t>
            </w:r>
          </w:p>
        </w:tc>
        <w:tc>
          <w:tcPr>
            <w:tcW w:w="0" w:type="auto"/>
            <w:vAlign w:val="center"/>
            <w:hideMark/>
          </w:tcPr>
          <w:p w14:paraId="58078270" w14:textId="77777777" w:rsidR="00812C67" w:rsidRPr="004B6753" w:rsidRDefault="00812C67" w:rsidP="004B6753">
            <w:pPr>
              <w:pStyle w:val="NoSpacing"/>
              <w:jc w:val="center"/>
              <w:rPr>
                <w:rFonts w:ascii="Times New Roman" w:hAnsi="Times New Roman" w:cs="Times New Roman"/>
                <w:szCs w:val="24"/>
              </w:rPr>
            </w:pPr>
            <w:r w:rsidRPr="004B6753">
              <w:rPr>
                <w:rFonts w:ascii="Times New Roman" w:hAnsi="Times New Roman" w:cs="Times New Roman"/>
                <w:szCs w:val="24"/>
              </w:rPr>
              <w:t>4.04</w:t>
            </w:r>
          </w:p>
        </w:tc>
        <w:tc>
          <w:tcPr>
            <w:tcW w:w="0" w:type="auto"/>
            <w:vAlign w:val="center"/>
            <w:hideMark/>
          </w:tcPr>
          <w:p w14:paraId="3323F75A" w14:textId="77777777" w:rsidR="00812C67" w:rsidRPr="004B6753" w:rsidRDefault="00812C67" w:rsidP="004B6753">
            <w:pPr>
              <w:pStyle w:val="NoSpacing"/>
              <w:jc w:val="center"/>
              <w:rPr>
                <w:rFonts w:ascii="Times New Roman" w:hAnsi="Times New Roman" w:cs="Times New Roman"/>
                <w:szCs w:val="24"/>
              </w:rPr>
            </w:pPr>
            <w:r w:rsidRPr="004B6753">
              <w:rPr>
                <w:rFonts w:ascii="Times New Roman" w:hAnsi="Times New Roman" w:cs="Times New Roman"/>
                <w:szCs w:val="24"/>
              </w:rPr>
              <w:t>46.99</w:t>
            </w:r>
          </w:p>
        </w:tc>
        <w:tc>
          <w:tcPr>
            <w:tcW w:w="0" w:type="auto"/>
            <w:vAlign w:val="center"/>
            <w:hideMark/>
          </w:tcPr>
          <w:p w14:paraId="05D50A6C" w14:textId="77777777" w:rsidR="00812C67" w:rsidRPr="004B6753" w:rsidRDefault="00812C67" w:rsidP="004B6753">
            <w:pPr>
              <w:pStyle w:val="NoSpacing"/>
              <w:jc w:val="center"/>
              <w:rPr>
                <w:rFonts w:ascii="Times New Roman" w:hAnsi="Times New Roman" w:cs="Times New Roman"/>
                <w:szCs w:val="24"/>
              </w:rPr>
            </w:pPr>
            <w:r w:rsidRPr="004B6753">
              <w:rPr>
                <w:rFonts w:ascii="Times New Roman" w:hAnsi="Times New Roman" w:cs="Times New Roman"/>
                <w:szCs w:val="24"/>
              </w:rPr>
              <w:t>95.69</w:t>
            </w:r>
          </w:p>
        </w:tc>
      </w:tr>
      <w:tr w:rsidR="00812C67" w:rsidRPr="004B6753" w14:paraId="545A68F2" w14:textId="77777777" w:rsidTr="004B6753">
        <w:trPr>
          <w:trHeight w:val="200"/>
        </w:trPr>
        <w:tc>
          <w:tcPr>
            <w:tcW w:w="0" w:type="auto"/>
            <w:vMerge/>
            <w:hideMark/>
          </w:tcPr>
          <w:p w14:paraId="0E272AD5" w14:textId="77777777" w:rsidR="00812C67" w:rsidRPr="004B6753" w:rsidRDefault="00812C67" w:rsidP="00B77C0B">
            <w:pPr>
              <w:pStyle w:val="NoSpacing"/>
              <w:rPr>
                <w:rFonts w:ascii="Times New Roman" w:hAnsi="Times New Roman" w:cs="Times New Roman"/>
                <w:szCs w:val="24"/>
              </w:rPr>
            </w:pPr>
          </w:p>
        </w:tc>
        <w:tc>
          <w:tcPr>
            <w:tcW w:w="0" w:type="auto"/>
            <w:vAlign w:val="center"/>
            <w:hideMark/>
          </w:tcPr>
          <w:p w14:paraId="0FA2D804" w14:textId="77777777" w:rsidR="00812C67" w:rsidRPr="004B6753" w:rsidRDefault="00812C67" w:rsidP="004B6753">
            <w:pPr>
              <w:pStyle w:val="NoSpacing"/>
              <w:jc w:val="center"/>
              <w:rPr>
                <w:rFonts w:ascii="Times New Roman" w:hAnsi="Times New Roman" w:cs="Times New Roman"/>
                <w:szCs w:val="24"/>
              </w:rPr>
            </w:pPr>
            <w:r w:rsidRPr="004B6753">
              <w:rPr>
                <w:rFonts w:ascii="Times New Roman" w:hAnsi="Times New Roman" w:cs="Times New Roman"/>
                <w:i/>
                <w:iCs/>
                <w:szCs w:val="24"/>
              </w:rPr>
              <w:t>(8.44)</w:t>
            </w:r>
          </w:p>
        </w:tc>
        <w:tc>
          <w:tcPr>
            <w:tcW w:w="0" w:type="auto"/>
            <w:vAlign w:val="center"/>
            <w:hideMark/>
          </w:tcPr>
          <w:p w14:paraId="7545D27D" w14:textId="77777777" w:rsidR="00812C67" w:rsidRPr="004B6753" w:rsidRDefault="00812C67" w:rsidP="004B6753">
            <w:pPr>
              <w:pStyle w:val="NoSpacing"/>
              <w:jc w:val="center"/>
              <w:rPr>
                <w:rFonts w:ascii="Times New Roman" w:hAnsi="Times New Roman" w:cs="Times New Roman"/>
                <w:szCs w:val="24"/>
              </w:rPr>
            </w:pPr>
            <w:r w:rsidRPr="004B6753">
              <w:rPr>
                <w:rFonts w:ascii="Times New Roman" w:hAnsi="Times New Roman" w:cs="Times New Roman"/>
                <w:i/>
                <w:iCs/>
                <w:szCs w:val="24"/>
              </w:rPr>
              <w:t>(8.96)</w:t>
            </w:r>
          </w:p>
        </w:tc>
        <w:tc>
          <w:tcPr>
            <w:tcW w:w="0" w:type="auto"/>
            <w:vAlign w:val="center"/>
            <w:hideMark/>
          </w:tcPr>
          <w:p w14:paraId="12A8F8BA" w14:textId="77777777" w:rsidR="00812C67" w:rsidRPr="004B6753" w:rsidRDefault="00812C67" w:rsidP="004B6753">
            <w:pPr>
              <w:pStyle w:val="NoSpacing"/>
              <w:jc w:val="center"/>
              <w:rPr>
                <w:rFonts w:ascii="Times New Roman" w:hAnsi="Times New Roman" w:cs="Times New Roman"/>
                <w:szCs w:val="24"/>
              </w:rPr>
            </w:pPr>
            <w:r w:rsidRPr="004B6753">
              <w:rPr>
                <w:rFonts w:ascii="Times New Roman" w:hAnsi="Times New Roman" w:cs="Times New Roman"/>
                <w:i/>
                <w:iCs/>
                <w:szCs w:val="24"/>
              </w:rPr>
              <w:t>(3.34)</w:t>
            </w:r>
          </w:p>
        </w:tc>
        <w:tc>
          <w:tcPr>
            <w:tcW w:w="0" w:type="auto"/>
            <w:vAlign w:val="center"/>
            <w:hideMark/>
          </w:tcPr>
          <w:p w14:paraId="775AC006" w14:textId="77777777" w:rsidR="00812C67" w:rsidRPr="004B6753" w:rsidRDefault="00812C67" w:rsidP="004B6753">
            <w:pPr>
              <w:pStyle w:val="NoSpacing"/>
              <w:jc w:val="center"/>
              <w:rPr>
                <w:rFonts w:ascii="Times New Roman" w:hAnsi="Times New Roman" w:cs="Times New Roman"/>
                <w:szCs w:val="24"/>
              </w:rPr>
            </w:pPr>
            <w:r w:rsidRPr="004B6753">
              <w:rPr>
                <w:rFonts w:ascii="Times New Roman" w:hAnsi="Times New Roman" w:cs="Times New Roman"/>
                <w:i/>
                <w:iCs/>
                <w:szCs w:val="24"/>
              </w:rPr>
              <w:t>(4.10)</w:t>
            </w:r>
          </w:p>
        </w:tc>
        <w:tc>
          <w:tcPr>
            <w:tcW w:w="0" w:type="auto"/>
            <w:vAlign w:val="center"/>
            <w:hideMark/>
          </w:tcPr>
          <w:p w14:paraId="6F8598D1" w14:textId="77777777" w:rsidR="00812C67" w:rsidRPr="004B6753" w:rsidRDefault="00812C67" w:rsidP="004B6753">
            <w:pPr>
              <w:pStyle w:val="NoSpacing"/>
              <w:jc w:val="center"/>
              <w:rPr>
                <w:rFonts w:ascii="Times New Roman" w:hAnsi="Times New Roman" w:cs="Times New Roman"/>
                <w:szCs w:val="24"/>
              </w:rPr>
            </w:pPr>
            <w:r w:rsidRPr="004B6753">
              <w:rPr>
                <w:rFonts w:ascii="Times New Roman" w:hAnsi="Times New Roman" w:cs="Times New Roman"/>
                <w:i/>
                <w:iCs/>
                <w:szCs w:val="24"/>
              </w:rPr>
              <w:t>(1.39)</w:t>
            </w:r>
          </w:p>
        </w:tc>
        <w:tc>
          <w:tcPr>
            <w:tcW w:w="0" w:type="auto"/>
            <w:vAlign w:val="center"/>
            <w:hideMark/>
          </w:tcPr>
          <w:p w14:paraId="734486D4" w14:textId="77777777" w:rsidR="00812C67" w:rsidRPr="004B6753" w:rsidRDefault="00812C67" w:rsidP="004B6753">
            <w:pPr>
              <w:pStyle w:val="NoSpacing"/>
              <w:jc w:val="center"/>
              <w:rPr>
                <w:rFonts w:ascii="Times New Roman" w:hAnsi="Times New Roman" w:cs="Times New Roman"/>
                <w:szCs w:val="24"/>
              </w:rPr>
            </w:pPr>
            <w:r w:rsidRPr="004B6753">
              <w:rPr>
                <w:rFonts w:ascii="Times New Roman" w:hAnsi="Times New Roman" w:cs="Times New Roman"/>
                <w:i/>
                <w:iCs/>
                <w:szCs w:val="24"/>
              </w:rPr>
              <w:t>(15.05)</w:t>
            </w:r>
          </w:p>
        </w:tc>
        <w:tc>
          <w:tcPr>
            <w:tcW w:w="0" w:type="auto"/>
            <w:vAlign w:val="center"/>
            <w:hideMark/>
          </w:tcPr>
          <w:p w14:paraId="26F56B6D" w14:textId="77777777" w:rsidR="00812C67" w:rsidRPr="004B6753" w:rsidRDefault="00812C67" w:rsidP="004B6753">
            <w:pPr>
              <w:pStyle w:val="NoSpacing"/>
              <w:jc w:val="center"/>
              <w:rPr>
                <w:rFonts w:ascii="Times New Roman" w:hAnsi="Times New Roman" w:cs="Times New Roman"/>
                <w:szCs w:val="24"/>
              </w:rPr>
            </w:pPr>
            <w:r w:rsidRPr="004B6753">
              <w:rPr>
                <w:rFonts w:ascii="Times New Roman" w:hAnsi="Times New Roman" w:cs="Times New Roman"/>
                <w:i/>
                <w:iCs/>
                <w:szCs w:val="24"/>
              </w:rPr>
              <w:t>(3.28)</w:t>
            </w:r>
          </w:p>
        </w:tc>
        <w:tc>
          <w:tcPr>
            <w:tcW w:w="0" w:type="auto"/>
            <w:vAlign w:val="center"/>
            <w:hideMark/>
          </w:tcPr>
          <w:p w14:paraId="30270A8B" w14:textId="77777777" w:rsidR="00812C67" w:rsidRPr="004B6753" w:rsidRDefault="00812C67" w:rsidP="004B6753">
            <w:pPr>
              <w:pStyle w:val="NoSpacing"/>
              <w:jc w:val="center"/>
              <w:rPr>
                <w:rFonts w:ascii="Times New Roman" w:hAnsi="Times New Roman" w:cs="Times New Roman"/>
                <w:szCs w:val="24"/>
              </w:rPr>
            </w:pPr>
            <w:r w:rsidRPr="004B6753">
              <w:rPr>
                <w:rFonts w:ascii="Times New Roman" w:hAnsi="Times New Roman" w:cs="Times New Roman"/>
                <w:i/>
                <w:iCs/>
                <w:szCs w:val="24"/>
              </w:rPr>
              <w:t>(2.11)</w:t>
            </w:r>
          </w:p>
        </w:tc>
        <w:tc>
          <w:tcPr>
            <w:tcW w:w="0" w:type="auto"/>
            <w:vAlign w:val="center"/>
            <w:hideMark/>
          </w:tcPr>
          <w:p w14:paraId="64CC3715" w14:textId="77777777" w:rsidR="00812C67" w:rsidRPr="004B6753" w:rsidRDefault="00812C67" w:rsidP="004B6753">
            <w:pPr>
              <w:pStyle w:val="NoSpacing"/>
              <w:jc w:val="center"/>
              <w:rPr>
                <w:rFonts w:ascii="Times New Roman" w:hAnsi="Times New Roman" w:cs="Times New Roman"/>
                <w:szCs w:val="24"/>
              </w:rPr>
            </w:pPr>
            <w:r w:rsidRPr="004B6753">
              <w:rPr>
                <w:rFonts w:ascii="Times New Roman" w:hAnsi="Times New Roman" w:cs="Times New Roman"/>
                <w:i/>
                <w:iCs/>
                <w:szCs w:val="24"/>
              </w:rPr>
              <w:t>(4.22)</w:t>
            </w:r>
          </w:p>
        </w:tc>
        <w:tc>
          <w:tcPr>
            <w:tcW w:w="0" w:type="auto"/>
            <w:vAlign w:val="center"/>
            <w:hideMark/>
          </w:tcPr>
          <w:p w14:paraId="096A1080" w14:textId="77777777" w:rsidR="00812C67" w:rsidRPr="004B6753" w:rsidRDefault="00812C67" w:rsidP="004B6753">
            <w:pPr>
              <w:pStyle w:val="NoSpacing"/>
              <w:jc w:val="center"/>
              <w:rPr>
                <w:rFonts w:ascii="Times New Roman" w:hAnsi="Times New Roman" w:cs="Times New Roman"/>
                <w:szCs w:val="24"/>
              </w:rPr>
            </w:pPr>
            <w:r w:rsidRPr="004B6753">
              <w:rPr>
                <w:rFonts w:ascii="Times New Roman" w:hAnsi="Times New Roman" w:cs="Times New Roman"/>
                <w:i/>
                <w:iCs/>
                <w:szCs w:val="24"/>
              </w:rPr>
              <w:t>(49.11)</w:t>
            </w:r>
          </w:p>
        </w:tc>
        <w:tc>
          <w:tcPr>
            <w:tcW w:w="0" w:type="auto"/>
            <w:vAlign w:val="center"/>
            <w:hideMark/>
          </w:tcPr>
          <w:p w14:paraId="4507B93E" w14:textId="77777777" w:rsidR="00812C67" w:rsidRPr="004B6753" w:rsidRDefault="00812C67" w:rsidP="004B6753">
            <w:pPr>
              <w:pStyle w:val="NoSpacing"/>
              <w:jc w:val="center"/>
              <w:rPr>
                <w:rFonts w:ascii="Times New Roman" w:hAnsi="Times New Roman" w:cs="Times New Roman"/>
                <w:szCs w:val="24"/>
              </w:rPr>
            </w:pPr>
            <w:r w:rsidRPr="004B6753">
              <w:rPr>
                <w:rFonts w:ascii="Times New Roman" w:hAnsi="Times New Roman" w:cs="Times New Roman"/>
                <w:i/>
                <w:iCs/>
                <w:szCs w:val="24"/>
              </w:rPr>
              <w:t>(100.00)</w:t>
            </w:r>
          </w:p>
        </w:tc>
      </w:tr>
      <w:tr w:rsidR="00416FA8" w:rsidRPr="004B6753" w14:paraId="4386CCF5" w14:textId="77777777" w:rsidTr="004B6753">
        <w:trPr>
          <w:trHeight w:val="200"/>
        </w:trPr>
        <w:tc>
          <w:tcPr>
            <w:tcW w:w="0" w:type="auto"/>
            <w:hideMark/>
          </w:tcPr>
          <w:p w14:paraId="2B78FB8F" w14:textId="77777777" w:rsidR="00416FA8" w:rsidRPr="004B6753" w:rsidRDefault="00416FA8" w:rsidP="00B77C0B">
            <w:pPr>
              <w:pStyle w:val="NoSpacing"/>
              <w:rPr>
                <w:rFonts w:ascii="Times New Roman" w:hAnsi="Times New Roman" w:cs="Times New Roman"/>
                <w:szCs w:val="24"/>
              </w:rPr>
            </w:pPr>
            <w:r w:rsidRPr="004B6753">
              <w:rPr>
                <w:rFonts w:ascii="Times New Roman" w:hAnsi="Times New Roman" w:cs="Times New Roman"/>
                <w:szCs w:val="24"/>
              </w:rPr>
              <w:t>1965-66</w:t>
            </w:r>
          </w:p>
        </w:tc>
        <w:tc>
          <w:tcPr>
            <w:tcW w:w="0" w:type="auto"/>
            <w:vAlign w:val="center"/>
            <w:hideMark/>
          </w:tcPr>
          <w:p w14:paraId="5B576926" w14:textId="77777777" w:rsidR="00416FA8" w:rsidRPr="004B6753" w:rsidRDefault="00416FA8" w:rsidP="004B6753">
            <w:pPr>
              <w:pStyle w:val="NoSpacing"/>
              <w:jc w:val="center"/>
              <w:rPr>
                <w:rFonts w:ascii="Times New Roman" w:hAnsi="Times New Roman" w:cs="Times New Roman"/>
                <w:szCs w:val="24"/>
              </w:rPr>
            </w:pPr>
            <w:r w:rsidRPr="004B6753">
              <w:rPr>
                <w:rFonts w:ascii="Times New Roman" w:hAnsi="Times New Roman" w:cs="Times New Roman"/>
                <w:szCs w:val="24"/>
              </w:rPr>
              <w:t>3.24</w:t>
            </w:r>
          </w:p>
        </w:tc>
        <w:tc>
          <w:tcPr>
            <w:tcW w:w="0" w:type="auto"/>
            <w:vAlign w:val="center"/>
            <w:hideMark/>
          </w:tcPr>
          <w:p w14:paraId="4369CC98" w14:textId="77777777" w:rsidR="00416FA8" w:rsidRPr="004B6753" w:rsidRDefault="00416FA8" w:rsidP="004B6753">
            <w:pPr>
              <w:pStyle w:val="NoSpacing"/>
              <w:jc w:val="center"/>
              <w:rPr>
                <w:rFonts w:ascii="Times New Roman" w:hAnsi="Times New Roman" w:cs="Times New Roman"/>
                <w:szCs w:val="24"/>
              </w:rPr>
            </w:pPr>
            <w:r w:rsidRPr="004B6753">
              <w:rPr>
                <w:rFonts w:ascii="Times New Roman" w:hAnsi="Times New Roman" w:cs="Times New Roman"/>
                <w:szCs w:val="24"/>
              </w:rPr>
              <w:t>15.64</w:t>
            </w:r>
          </w:p>
        </w:tc>
        <w:tc>
          <w:tcPr>
            <w:tcW w:w="0" w:type="auto"/>
            <w:vAlign w:val="center"/>
            <w:hideMark/>
          </w:tcPr>
          <w:p w14:paraId="4CDAAB60" w14:textId="77777777" w:rsidR="00416FA8" w:rsidRPr="004B6753" w:rsidRDefault="00416FA8" w:rsidP="004B6753">
            <w:pPr>
              <w:pStyle w:val="NoSpacing"/>
              <w:jc w:val="center"/>
              <w:rPr>
                <w:rFonts w:ascii="Times New Roman" w:hAnsi="Times New Roman" w:cs="Times New Roman"/>
                <w:szCs w:val="24"/>
              </w:rPr>
            </w:pPr>
            <w:r w:rsidRPr="004B6753">
              <w:rPr>
                <w:rFonts w:ascii="Times New Roman" w:hAnsi="Times New Roman" w:cs="Times New Roman"/>
                <w:szCs w:val="24"/>
              </w:rPr>
              <w:t>3.32</w:t>
            </w:r>
          </w:p>
        </w:tc>
        <w:tc>
          <w:tcPr>
            <w:tcW w:w="0" w:type="auto"/>
            <w:vAlign w:val="center"/>
            <w:hideMark/>
          </w:tcPr>
          <w:p w14:paraId="7BED58A3" w14:textId="77777777" w:rsidR="00416FA8" w:rsidRPr="004B6753" w:rsidRDefault="00416FA8" w:rsidP="004B6753">
            <w:pPr>
              <w:pStyle w:val="NoSpacing"/>
              <w:jc w:val="center"/>
              <w:rPr>
                <w:rFonts w:ascii="Times New Roman" w:hAnsi="Times New Roman" w:cs="Times New Roman"/>
                <w:szCs w:val="24"/>
              </w:rPr>
            </w:pPr>
            <w:r w:rsidRPr="004B6753">
              <w:rPr>
                <w:rFonts w:ascii="Times New Roman" w:hAnsi="Times New Roman" w:cs="Times New Roman"/>
                <w:szCs w:val="24"/>
              </w:rPr>
              <w:t>6.58</w:t>
            </w:r>
          </w:p>
        </w:tc>
        <w:tc>
          <w:tcPr>
            <w:tcW w:w="0" w:type="auto"/>
            <w:vAlign w:val="center"/>
            <w:hideMark/>
          </w:tcPr>
          <w:p w14:paraId="5B6E7274" w14:textId="77777777" w:rsidR="00416FA8" w:rsidRPr="004B6753" w:rsidRDefault="00416FA8" w:rsidP="004B6753">
            <w:pPr>
              <w:pStyle w:val="NoSpacing"/>
              <w:jc w:val="center"/>
              <w:rPr>
                <w:rFonts w:ascii="Times New Roman" w:hAnsi="Times New Roman" w:cs="Times New Roman"/>
                <w:szCs w:val="24"/>
              </w:rPr>
            </w:pPr>
            <w:r w:rsidRPr="004B6753">
              <w:rPr>
                <w:rFonts w:ascii="Times New Roman" w:hAnsi="Times New Roman" w:cs="Times New Roman"/>
                <w:szCs w:val="24"/>
              </w:rPr>
              <w:t>3.49</w:t>
            </w:r>
          </w:p>
        </w:tc>
        <w:tc>
          <w:tcPr>
            <w:tcW w:w="0" w:type="auto"/>
            <w:vAlign w:val="center"/>
            <w:hideMark/>
          </w:tcPr>
          <w:p w14:paraId="3729B51E" w14:textId="77777777" w:rsidR="00416FA8" w:rsidRPr="004B6753" w:rsidRDefault="00416FA8" w:rsidP="004B6753">
            <w:pPr>
              <w:pStyle w:val="NoSpacing"/>
              <w:jc w:val="center"/>
              <w:rPr>
                <w:rFonts w:ascii="Times New Roman" w:hAnsi="Times New Roman" w:cs="Times New Roman"/>
                <w:szCs w:val="24"/>
              </w:rPr>
            </w:pPr>
            <w:r w:rsidRPr="004B6753">
              <w:rPr>
                <w:rFonts w:ascii="Times New Roman" w:hAnsi="Times New Roman" w:cs="Times New Roman"/>
                <w:szCs w:val="24"/>
              </w:rPr>
              <w:t>24.60</w:t>
            </w:r>
          </w:p>
        </w:tc>
        <w:tc>
          <w:tcPr>
            <w:tcW w:w="0" w:type="auto"/>
            <w:vAlign w:val="center"/>
            <w:hideMark/>
          </w:tcPr>
          <w:p w14:paraId="561605BB" w14:textId="77777777" w:rsidR="00416FA8" w:rsidRPr="004B6753" w:rsidRDefault="00416FA8" w:rsidP="004B6753">
            <w:pPr>
              <w:pStyle w:val="NoSpacing"/>
              <w:jc w:val="center"/>
              <w:rPr>
                <w:rFonts w:ascii="Times New Roman" w:hAnsi="Times New Roman" w:cs="Times New Roman"/>
                <w:szCs w:val="24"/>
              </w:rPr>
            </w:pPr>
            <w:r w:rsidRPr="004B6753">
              <w:rPr>
                <w:rFonts w:ascii="Times New Roman" w:hAnsi="Times New Roman" w:cs="Times New Roman"/>
                <w:szCs w:val="24"/>
              </w:rPr>
              <w:t>4.12</w:t>
            </w:r>
          </w:p>
        </w:tc>
        <w:tc>
          <w:tcPr>
            <w:tcW w:w="0" w:type="auto"/>
            <w:vAlign w:val="center"/>
            <w:hideMark/>
          </w:tcPr>
          <w:p w14:paraId="25E6BBDD" w14:textId="77777777" w:rsidR="00416FA8" w:rsidRPr="004B6753" w:rsidRDefault="00416FA8" w:rsidP="004B6753">
            <w:pPr>
              <w:pStyle w:val="NoSpacing"/>
              <w:jc w:val="center"/>
              <w:rPr>
                <w:rFonts w:ascii="Times New Roman" w:hAnsi="Times New Roman" w:cs="Times New Roman"/>
                <w:szCs w:val="24"/>
              </w:rPr>
            </w:pPr>
            <w:r w:rsidRPr="004B6753">
              <w:rPr>
                <w:rFonts w:ascii="Times New Roman" w:hAnsi="Times New Roman" w:cs="Times New Roman"/>
                <w:szCs w:val="24"/>
              </w:rPr>
              <w:t>3.01</w:t>
            </w:r>
          </w:p>
        </w:tc>
        <w:tc>
          <w:tcPr>
            <w:tcW w:w="0" w:type="auto"/>
            <w:vAlign w:val="center"/>
            <w:hideMark/>
          </w:tcPr>
          <w:p w14:paraId="1FC1DA77" w14:textId="77777777" w:rsidR="00416FA8" w:rsidRPr="004B6753" w:rsidRDefault="00416FA8" w:rsidP="004B6753">
            <w:pPr>
              <w:pStyle w:val="NoSpacing"/>
              <w:jc w:val="center"/>
              <w:rPr>
                <w:rFonts w:ascii="Times New Roman" w:hAnsi="Times New Roman" w:cs="Times New Roman"/>
                <w:szCs w:val="24"/>
              </w:rPr>
            </w:pPr>
            <w:r w:rsidRPr="004B6753">
              <w:rPr>
                <w:rFonts w:ascii="Times New Roman" w:hAnsi="Times New Roman" w:cs="Times New Roman"/>
                <w:szCs w:val="24"/>
              </w:rPr>
              <w:t>8.20</w:t>
            </w:r>
          </w:p>
        </w:tc>
        <w:tc>
          <w:tcPr>
            <w:tcW w:w="0" w:type="auto"/>
            <w:vAlign w:val="center"/>
            <w:hideMark/>
          </w:tcPr>
          <w:p w14:paraId="6AE6BE27" w14:textId="77777777" w:rsidR="00416FA8" w:rsidRPr="004B6753" w:rsidRDefault="00416FA8" w:rsidP="004B6753">
            <w:pPr>
              <w:pStyle w:val="NoSpacing"/>
              <w:jc w:val="center"/>
              <w:rPr>
                <w:rFonts w:ascii="Times New Roman" w:hAnsi="Times New Roman" w:cs="Times New Roman"/>
                <w:szCs w:val="24"/>
              </w:rPr>
            </w:pPr>
            <w:r w:rsidRPr="004B6753">
              <w:rPr>
                <w:rFonts w:ascii="Times New Roman" w:hAnsi="Times New Roman" w:cs="Times New Roman"/>
                <w:szCs w:val="24"/>
              </w:rPr>
              <w:t>54.17</w:t>
            </w:r>
          </w:p>
        </w:tc>
        <w:tc>
          <w:tcPr>
            <w:tcW w:w="0" w:type="auto"/>
            <w:vAlign w:val="center"/>
            <w:hideMark/>
          </w:tcPr>
          <w:p w14:paraId="3119BD7A" w14:textId="77777777" w:rsidR="00416FA8" w:rsidRPr="004B6753" w:rsidRDefault="00416FA8" w:rsidP="004B6753">
            <w:pPr>
              <w:pStyle w:val="NoSpacing"/>
              <w:jc w:val="center"/>
              <w:rPr>
                <w:rFonts w:ascii="Times New Roman" w:hAnsi="Times New Roman" w:cs="Times New Roman"/>
                <w:szCs w:val="24"/>
              </w:rPr>
            </w:pPr>
            <w:r w:rsidRPr="004B6753">
              <w:rPr>
                <w:rFonts w:ascii="Times New Roman" w:hAnsi="Times New Roman" w:cs="Times New Roman"/>
                <w:szCs w:val="24"/>
              </w:rPr>
              <w:t>125.47</w:t>
            </w:r>
          </w:p>
        </w:tc>
      </w:tr>
      <w:tr w:rsidR="00416FA8" w:rsidRPr="004B6753" w14:paraId="540CD4FC" w14:textId="77777777" w:rsidTr="004B6753">
        <w:trPr>
          <w:trHeight w:val="200"/>
        </w:trPr>
        <w:tc>
          <w:tcPr>
            <w:tcW w:w="0" w:type="auto"/>
            <w:hideMark/>
          </w:tcPr>
          <w:p w14:paraId="2571B277" w14:textId="77777777" w:rsidR="00416FA8" w:rsidRPr="004B6753" w:rsidRDefault="00416FA8" w:rsidP="00B77C0B">
            <w:pPr>
              <w:pStyle w:val="NoSpacing"/>
              <w:rPr>
                <w:rFonts w:ascii="Times New Roman" w:hAnsi="Times New Roman" w:cs="Times New Roman"/>
                <w:szCs w:val="24"/>
              </w:rPr>
            </w:pPr>
            <w:r w:rsidRPr="004B6753">
              <w:rPr>
                <w:rFonts w:ascii="Times New Roman" w:hAnsi="Times New Roman" w:cs="Times New Roman"/>
                <w:szCs w:val="24"/>
              </w:rPr>
              <w:t>1966-67</w:t>
            </w:r>
          </w:p>
        </w:tc>
        <w:tc>
          <w:tcPr>
            <w:tcW w:w="0" w:type="auto"/>
            <w:vAlign w:val="center"/>
            <w:hideMark/>
          </w:tcPr>
          <w:p w14:paraId="15D84272" w14:textId="77777777" w:rsidR="00416FA8" w:rsidRPr="004B6753" w:rsidRDefault="00416FA8" w:rsidP="004B6753">
            <w:pPr>
              <w:pStyle w:val="NoSpacing"/>
              <w:jc w:val="center"/>
              <w:rPr>
                <w:rFonts w:ascii="Times New Roman" w:hAnsi="Times New Roman" w:cs="Times New Roman"/>
                <w:szCs w:val="24"/>
              </w:rPr>
            </w:pPr>
            <w:r w:rsidRPr="004B6753">
              <w:rPr>
                <w:rFonts w:ascii="Times New Roman" w:hAnsi="Times New Roman" w:cs="Times New Roman"/>
                <w:szCs w:val="24"/>
              </w:rPr>
              <w:t>3.62</w:t>
            </w:r>
          </w:p>
        </w:tc>
        <w:tc>
          <w:tcPr>
            <w:tcW w:w="0" w:type="auto"/>
            <w:vAlign w:val="center"/>
            <w:hideMark/>
          </w:tcPr>
          <w:p w14:paraId="2479C045" w14:textId="77777777" w:rsidR="00416FA8" w:rsidRPr="004B6753" w:rsidRDefault="00416FA8" w:rsidP="004B6753">
            <w:pPr>
              <w:pStyle w:val="NoSpacing"/>
              <w:jc w:val="center"/>
              <w:rPr>
                <w:rFonts w:ascii="Times New Roman" w:hAnsi="Times New Roman" w:cs="Times New Roman"/>
                <w:szCs w:val="24"/>
              </w:rPr>
            </w:pPr>
            <w:r w:rsidRPr="004B6753">
              <w:rPr>
                <w:rFonts w:ascii="Times New Roman" w:hAnsi="Times New Roman" w:cs="Times New Roman"/>
                <w:szCs w:val="24"/>
              </w:rPr>
              <w:t>29.01</w:t>
            </w:r>
          </w:p>
        </w:tc>
        <w:tc>
          <w:tcPr>
            <w:tcW w:w="0" w:type="auto"/>
            <w:vAlign w:val="center"/>
            <w:hideMark/>
          </w:tcPr>
          <w:p w14:paraId="6DD1DB06" w14:textId="77777777" w:rsidR="00416FA8" w:rsidRPr="004B6753" w:rsidRDefault="00416FA8" w:rsidP="004B6753">
            <w:pPr>
              <w:pStyle w:val="NoSpacing"/>
              <w:jc w:val="center"/>
              <w:rPr>
                <w:rFonts w:ascii="Times New Roman" w:hAnsi="Times New Roman" w:cs="Times New Roman"/>
                <w:szCs w:val="24"/>
              </w:rPr>
            </w:pPr>
            <w:r w:rsidRPr="004B6753">
              <w:rPr>
                <w:rFonts w:ascii="Times New Roman" w:hAnsi="Times New Roman" w:cs="Times New Roman"/>
                <w:szCs w:val="24"/>
              </w:rPr>
              <w:t>3.56</w:t>
            </w:r>
          </w:p>
        </w:tc>
        <w:tc>
          <w:tcPr>
            <w:tcW w:w="0" w:type="auto"/>
            <w:vAlign w:val="center"/>
            <w:hideMark/>
          </w:tcPr>
          <w:p w14:paraId="26CC6BB8" w14:textId="77777777" w:rsidR="00416FA8" w:rsidRPr="004B6753" w:rsidRDefault="00416FA8" w:rsidP="004B6753">
            <w:pPr>
              <w:pStyle w:val="NoSpacing"/>
              <w:jc w:val="center"/>
              <w:rPr>
                <w:rFonts w:ascii="Times New Roman" w:hAnsi="Times New Roman" w:cs="Times New Roman"/>
                <w:szCs w:val="24"/>
              </w:rPr>
            </w:pPr>
            <w:r w:rsidRPr="004B6753">
              <w:rPr>
                <w:rFonts w:ascii="Times New Roman" w:hAnsi="Times New Roman" w:cs="Times New Roman"/>
                <w:szCs w:val="24"/>
              </w:rPr>
              <w:t>6.32</w:t>
            </w:r>
          </w:p>
        </w:tc>
        <w:tc>
          <w:tcPr>
            <w:tcW w:w="0" w:type="auto"/>
            <w:vAlign w:val="center"/>
            <w:hideMark/>
          </w:tcPr>
          <w:p w14:paraId="0B4D331C" w14:textId="77777777" w:rsidR="00416FA8" w:rsidRPr="004B6753" w:rsidRDefault="00416FA8" w:rsidP="004B6753">
            <w:pPr>
              <w:pStyle w:val="NoSpacing"/>
              <w:jc w:val="center"/>
              <w:rPr>
                <w:rFonts w:ascii="Times New Roman" w:hAnsi="Times New Roman" w:cs="Times New Roman"/>
                <w:szCs w:val="24"/>
              </w:rPr>
            </w:pPr>
            <w:r w:rsidRPr="004B6753">
              <w:rPr>
                <w:rFonts w:ascii="Times New Roman" w:hAnsi="Times New Roman" w:cs="Times New Roman"/>
                <w:szCs w:val="24"/>
              </w:rPr>
              <w:t>4.02</w:t>
            </w:r>
          </w:p>
        </w:tc>
        <w:tc>
          <w:tcPr>
            <w:tcW w:w="0" w:type="auto"/>
            <w:vAlign w:val="center"/>
            <w:hideMark/>
          </w:tcPr>
          <w:p w14:paraId="2BAE74AB" w14:textId="77777777" w:rsidR="00416FA8" w:rsidRPr="004B6753" w:rsidRDefault="00416FA8" w:rsidP="004B6753">
            <w:pPr>
              <w:pStyle w:val="NoSpacing"/>
              <w:jc w:val="center"/>
              <w:rPr>
                <w:rFonts w:ascii="Times New Roman" w:hAnsi="Times New Roman" w:cs="Times New Roman"/>
                <w:szCs w:val="24"/>
              </w:rPr>
            </w:pPr>
            <w:r w:rsidRPr="004B6753">
              <w:rPr>
                <w:rFonts w:ascii="Times New Roman" w:hAnsi="Times New Roman" w:cs="Times New Roman"/>
                <w:szCs w:val="24"/>
              </w:rPr>
              <w:t>28.38</w:t>
            </w:r>
          </w:p>
        </w:tc>
        <w:tc>
          <w:tcPr>
            <w:tcW w:w="0" w:type="auto"/>
            <w:vAlign w:val="center"/>
            <w:hideMark/>
          </w:tcPr>
          <w:p w14:paraId="5EBE8023" w14:textId="77777777" w:rsidR="00416FA8" w:rsidRPr="004B6753" w:rsidRDefault="00416FA8" w:rsidP="004B6753">
            <w:pPr>
              <w:pStyle w:val="NoSpacing"/>
              <w:jc w:val="center"/>
              <w:rPr>
                <w:rFonts w:ascii="Times New Roman" w:hAnsi="Times New Roman" w:cs="Times New Roman"/>
                <w:szCs w:val="24"/>
              </w:rPr>
            </w:pPr>
            <w:r w:rsidRPr="004B6753">
              <w:rPr>
                <w:rFonts w:ascii="Times New Roman" w:hAnsi="Times New Roman" w:cs="Times New Roman"/>
                <w:szCs w:val="24"/>
              </w:rPr>
              <w:t>4.86</w:t>
            </w:r>
          </w:p>
        </w:tc>
        <w:tc>
          <w:tcPr>
            <w:tcW w:w="0" w:type="auto"/>
            <w:vAlign w:val="center"/>
            <w:hideMark/>
          </w:tcPr>
          <w:p w14:paraId="4D46AB83" w14:textId="77777777" w:rsidR="00416FA8" w:rsidRPr="004B6753" w:rsidRDefault="00416FA8" w:rsidP="004B6753">
            <w:pPr>
              <w:pStyle w:val="NoSpacing"/>
              <w:jc w:val="center"/>
              <w:rPr>
                <w:rFonts w:ascii="Times New Roman" w:hAnsi="Times New Roman" w:cs="Times New Roman"/>
                <w:szCs w:val="24"/>
              </w:rPr>
            </w:pPr>
            <w:r w:rsidRPr="004B6753">
              <w:rPr>
                <w:rFonts w:ascii="Times New Roman" w:hAnsi="Times New Roman" w:cs="Times New Roman"/>
                <w:szCs w:val="24"/>
              </w:rPr>
              <w:t>3.72</w:t>
            </w:r>
          </w:p>
        </w:tc>
        <w:tc>
          <w:tcPr>
            <w:tcW w:w="0" w:type="auto"/>
            <w:vAlign w:val="center"/>
            <w:hideMark/>
          </w:tcPr>
          <w:p w14:paraId="2B2E908A" w14:textId="77777777" w:rsidR="00416FA8" w:rsidRPr="004B6753" w:rsidRDefault="00416FA8" w:rsidP="004B6753">
            <w:pPr>
              <w:pStyle w:val="NoSpacing"/>
              <w:jc w:val="center"/>
              <w:rPr>
                <w:rFonts w:ascii="Times New Roman" w:hAnsi="Times New Roman" w:cs="Times New Roman"/>
                <w:szCs w:val="24"/>
              </w:rPr>
            </w:pPr>
            <w:r w:rsidRPr="004B6753">
              <w:rPr>
                <w:rFonts w:ascii="Times New Roman" w:hAnsi="Times New Roman" w:cs="Times New Roman"/>
                <w:szCs w:val="24"/>
              </w:rPr>
              <w:t>7.63</w:t>
            </w:r>
          </w:p>
        </w:tc>
        <w:tc>
          <w:tcPr>
            <w:tcW w:w="0" w:type="auto"/>
            <w:vAlign w:val="center"/>
            <w:hideMark/>
          </w:tcPr>
          <w:p w14:paraId="346BD0B4" w14:textId="77777777" w:rsidR="00416FA8" w:rsidRPr="004B6753" w:rsidRDefault="00416FA8" w:rsidP="004B6753">
            <w:pPr>
              <w:pStyle w:val="NoSpacing"/>
              <w:jc w:val="center"/>
              <w:rPr>
                <w:rFonts w:ascii="Times New Roman" w:hAnsi="Times New Roman" w:cs="Times New Roman"/>
                <w:szCs w:val="24"/>
              </w:rPr>
            </w:pPr>
            <w:r w:rsidRPr="004B6753">
              <w:rPr>
                <w:rFonts w:ascii="Times New Roman" w:hAnsi="Times New Roman" w:cs="Times New Roman"/>
                <w:szCs w:val="24"/>
              </w:rPr>
              <w:t>60.32</w:t>
            </w:r>
          </w:p>
        </w:tc>
        <w:tc>
          <w:tcPr>
            <w:tcW w:w="0" w:type="auto"/>
            <w:vAlign w:val="center"/>
            <w:hideMark/>
          </w:tcPr>
          <w:p w14:paraId="273269AD" w14:textId="77777777" w:rsidR="00416FA8" w:rsidRPr="004B6753" w:rsidRDefault="00416FA8" w:rsidP="004B6753">
            <w:pPr>
              <w:pStyle w:val="NoSpacing"/>
              <w:jc w:val="center"/>
              <w:rPr>
                <w:rFonts w:ascii="Times New Roman" w:hAnsi="Times New Roman" w:cs="Times New Roman"/>
                <w:szCs w:val="24"/>
              </w:rPr>
            </w:pPr>
            <w:r w:rsidRPr="004B6753">
              <w:rPr>
                <w:rFonts w:ascii="Times New Roman" w:hAnsi="Times New Roman" w:cs="Times New Roman"/>
                <w:szCs w:val="24"/>
              </w:rPr>
              <w:t>151.44</w:t>
            </w:r>
          </w:p>
        </w:tc>
      </w:tr>
      <w:tr w:rsidR="00416FA8" w:rsidRPr="004B6753" w14:paraId="4A524526" w14:textId="77777777" w:rsidTr="004B6753">
        <w:trPr>
          <w:trHeight w:val="200"/>
        </w:trPr>
        <w:tc>
          <w:tcPr>
            <w:tcW w:w="0" w:type="auto"/>
            <w:hideMark/>
          </w:tcPr>
          <w:p w14:paraId="0B5397CC" w14:textId="77777777" w:rsidR="00416FA8" w:rsidRPr="004B6753" w:rsidRDefault="00416FA8" w:rsidP="00B77C0B">
            <w:pPr>
              <w:pStyle w:val="NoSpacing"/>
              <w:rPr>
                <w:rFonts w:ascii="Times New Roman" w:hAnsi="Times New Roman" w:cs="Times New Roman"/>
                <w:szCs w:val="24"/>
              </w:rPr>
            </w:pPr>
            <w:r w:rsidRPr="004B6753">
              <w:rPr>
                <w:rFonts w:ascii="Times New Roman" w:hAnsi="Times New Roman" w:cs="Times New Roman"/>
                <w:szCs w:val="24"/>
              </w:rPr>
              <w:t>1967-68</w:t>
            </w:r>
          </w:p>
        </w:tc>
        <w:tc>
          <w:tcPr>
            <w:tcW w:w="0" w:type="auto"/>
            <w:vAlign w:val="center"/>
            <w:hideMark/>
          </w:tcPr>
          <w:p w14:paraId="20F33531" w14:textId="77777777" w:rsidR="00416FA8" w:rsidRPr="004B6753" w:rsidRDefault="00416FA8" w:rsidP="004B6753">
            <w:pPr>
              <w:pStyle w:val="NoSpacing"/>
              <w:jc w:val="center"/>
              <w:rPr>
                <w:rFonts w:ascii="Times New Roman" w:hAnsi="Times New Roman" w:cs="Times New Roman"/>
                <w:szCs w:val="24"/>
              </w:rPr>
            </w:pPr>
            <w:r w:rsidRPr="004B6753">
              <w:rPr>
                <w:rFonts w:ascii="Times New Roman" w:hAnsi="Times New Roman" w:cs="Times New Roman"/>
                <w:szCs w:val="24"/>
              </w:rPr>
              <w:t>3.81</w:t>
            </w:r>
          </w:p>
        </w:tc>
        <w:tc>
          <w:tcPr>
            <w:tcW w:w="0" w:type="auto"/>
            <w:vAlign w:val="center"/>
            <w:hideMark/>
          </w:tcPr>
          <w:p w14:paraId="2D4C689A" w14:textId="77777777" w:rsidR="00416FA8" w:rsidRPr="004B6753" w:rsidRDefault="00416FA8" w:rsidP="004B6753">
            <w:pPr>
              <w:pStyle w:val="NoSpacing"/>
              <w:jc w:val="center"/>
              <w:rPr>
                <w:rFonts w:ascii="Times New Roman" w:hAnsi="Times New Roman" w:cs="Times New Roman"/>
                <w:szCs w:val="24"/>
              </w:rPr>
            </w:pPr>
            <w:r w:rsidRPr="004B6753">
              <w:rPr>
                <w:rFonts w:ascii="Times New Roman" w:hAnsi="Times New Roman" w:cs="Times New Roman"/>
                <w:szCs w:val="24"/>
              </w:rPr>
              <w:t>25.72</w:t>
            </w:r>
          </w:p>
        </w:tc>
        <w:tc>
          <w:tcPr>
            <w:tcW w:w="0" w:type="auto"/>
            <w:vAlign w:val="center"/>
            <w:hideMark/>
          </w:tcPr>
          <w:p w14:paraId="6755A094" w14:textId="77777777" w:rsidR="00416FA8" w:rsidRPr="004B6753" w:rsidRDefault="00416FA8" w:rsidP="004B6753">
            <w:pPr>
              <w:pStyle w:val="NoSpacing"/>
              <w:jc w:val="center"/>
              <w:rPr>
                <w:rFonts w:ascii="Times New Roman" w:hAnsi="Times New Roman" w:cs="Times New Roman"/>
                <w:szCs w:val="24"/>
              </w:rPr>
            </w:pPr>
            <w:r w:rsidRPr="004B6753">
              <w:rPr>
                <w:rFonts w:ascii="Times New Roman" w:hAnsi="Times New Roman" w:cs="Times New Roman"/>
                <w:szCs w:val="24"/>
              </w:rPr>
              <w:t>4.04</w:t>
            </w:r>
          </w:p>
        </w:tc>
        <w:tc>
          <w:tcPr>
            <w:tcW w:w="0" w:type="auto"/>
            <w:vAlign w:val="center"/>
            <w:hideMark/>
          </w:tcPr>
          <w:p w14:paraId="5AFE364A" w14:textId="77777777" w:rsidR="00416FA8" w:rsidRPr="004B6753" w:rsidRDefault="00416FA8" w:rsidP="004B6753">
            <w:pPr>
              <w:pStyle w:val="NoSpacing"/>
              <w:jc w:val="center"/>
              <w:rPr>
                <w:rFonts w:ascii="Times New Roman" w:hAnsi="Times New Roman" w:cs="Times New Roman"/>
                <w:szCs w:val="24"/>
              </w:rPr>
            </w:pPr>
            <w:r w:rsidRPr="004B6753">
              <w:rPr>
                <w:rFonts w:ascii="Times New Roman" w:hAnsi="Times New Roman" w:cs="Times New Roman"/>
                <w:szCs w:val="24"/>
              </w:rPr>
              <w:t>6.91</w:t>
            </w:r>
          </w:p>
        </w:tc>
        <w:tc>
          <w:tcPr>
            <w:tcW w:w="0" w:type="auto"/>
            <w:vAlign w:val="center"/>
            <w:hideMark/>
          </w:tcPr>
          <w:p w14:paraId="65759DA1" w14:textId="77777777" w:rsidR="00416FA8" w:rsidRPr="004B6753" w:rsidRDefault="00416FA8" w:rsidP="004B6753">
            <w:pPr>
              <w:pStyle w:val="NoSpacing"/>
              <w:jc w:val="center"/>
              <w:rPr>
                <w:rFonts w:ascii="Times New Roman" w:hAnsi="Times New Roman" w:cs="Times New Roman"/>
                <w:szCs w:val="24"/>
              </w:rPr>
            </w:pPr>
            <w:r w:rsidRPr="004B6753">
              <w:rPr>
                <w:rFonts w:ascii="Times New Roman" w:hAnsi="Times New Roman" w:cs="Times New Roman"/>
                <w:szCs w:val="24"/>
              </w:rPr>
              <w:t>4.39</w:t>
            </w:r>
          </w:p>
        </w:tc>
        <w:tc>
          <w:tcPr>
            <w:tcW w:w="0" w:type="auto"/>
            <w:vAlign w:val="center"/>
            <w:hideMark/>
          </w:tcPr>
          <w:p w14:paraId="6C2D2724" w14:textId="77777777" w:rsidR="00416FA8" w:rsidRPr="004B6753" w:rsidRDefault="00416FA8" w:rsidP="004B6753">
            <w:pPr>
              <w:pStyle w:val="NoSpacing"/>
              <w:jc w:val="center"/>
              <w:rPr>
                <w:rFonts w:ascii="Times New Roman" w:hAnsi="Times New Roman" w:cs="Times New Roman"/>
                <w:szCs w:val="24"/>
              </w:rPr>
            </w:pPr>
            <w:r w:rsidRPr="004B6753">
              <w:rPr>
                <w:rFonts w:ascii="Times New Roman" w:hAnsi="Times New Roman" w:cs="Times New Roman"/>
                <w:szCs w:val="24"/>
              </w:rPr>
              <w:t>31.53</w:t>
            </w:r>
          </w:p>
        </w:tc>
        <w:tc>
          <w:tcPr>
            <w:tcW w:w="0" w:type="auto"/>
            <w:vAlign w:val="center"/>
            <w:hideMark/>
          </w:tcPr>
          <w:p w14:paraId="1B43815F" w14:textId="77777777" w:rsidR="00416FA8" w:rsidRPr="004B6753" w:rsidRDefault="00416FA8" w:rsidP="004B6753">
            <w:pPr>
              <w:pStyle w:val="NoSpacing"/>
              <w:jc w:val="center"/>
              <w:rPr>
                <w:rFonts w:ascii="Times New Roman" w:hAnsi="Times New Roman" w:cs="Times New Roman"/>
                <w:szCs w:val="24"/>
              </w:rPr>
            </w:pPr>
            <w:r w:rsidRPr="004B6753">
              <w:rPr>
                <w:rFonts w:ascii="Times New Roman" w:hAnsi="Times New Roman" w:cs="Times New Roman"/>
                <w:szCs w:val="24"/>
              </w:rPr>
              <w:t>5.78</w:t>
            </w:r>
          </w:p>
        </w:tc>
        <w:tc>
          <w:tcPr>
            <w:tcW w:w="0" w:type="auto"/>
            <w:vAlign w:val="center"/>
            <w:hideMark/>
          </w:tcPr>
          <w:p w14:paraId="07C6E591" w14:textId="77777777" w:rsidR="00416FA8" w:rsidRPr="004B6753" w:rsidRDefault="00416FA8" w:rsidP="004B6753">
            <w:pPr>
              <w:pStyle w:val="NoSpacing"/>
              <w:jc w:val="center"/>
              <w:rPr>
                <w:rFonts w:ascii="Times New Roman" w:hAnsi="Times New Roman" w:cs="Times New Roman"/>
                <w:szCs w:val="24"/>
              </w:rPr>
            </w:pPr>
            <w:r w:rsidRPr="004B6753">
              <w:rPr>
                <w:rFonts w:ascii="Times New Roman" w:hAnsi="Times New Roman" w:cs="Times New Roman"/>
                <w:szCs w:val="24"/>
              </w:rPr>
              <w:t>4.47</w:t>
            </w:r>
          </w:p>
        </w:tc>
        <w:tc>
          <w:tcPr>
            <w:tcW w:w="0" w:type="auto"/>
            <w:vAlign w:val="center"/>
            <w:hideMark/>
          </w:tcPr>
          <w:p w14:paraId="7461AD29" w14:textId="77777777" w:rsidR="00416FA8" w:rsidRPr="004B6753" w:rsidRDefault="00416FA8" w:rsidP="004B6753">
            <w:pPr>
              <w:pStyle w:val="NoSpacing"/>
              <w:jc w:val="center"/>
              <w:rPr>
                <w:rFonts w:ascii="Times New Roman" w:hAnsi="Times New Roman" w:cs="Times New Roman"/>
                <w:szCs w:val="24"/>
              </w:rPr>
            </w:pPr>
            <w:r w:rsidRPr="004B6753">
              <w:rPr>
                <w:rFonts w:ascii="Times New Roman" w:hAnsi="Times New Roman" w:cs="Times New Roman"/>
                <w:szCs w:val="24"/>
              </w:rPr>
              <w:t>9.95</w:t>
            </w:r>
          </w:p>
        </w:tc>
        <w:tc>
          <w:tcPr>
            <w:tcW w:w="0" w:type="auto"/>
            <w:vAlign w:val="center"/>
            <w:hideMark/>
          </w:tcPr>
          <w:p w14:paraId="623CF4A7" w14:textId="77777777" w:rsidR="00416FA8" w:rsidRPr="004B6753" w:rsidRDefault="00416FA8" w:rsidP="004B6753">
            <w:pPr>
              <w:pStyle w:val="NoSpacing"/>
              <w:jc w:val="center"/>
              <w:rPr>
                <w:rFonts w:ascii="Times New Roman" w:hAnsi="Times New Roman" w:cs="Times New Roman"/>
                <w:szCs w:val="24"/>
              </w:rPr>
            </w:pPr>
            <w:r w:rsidRPr="004B6753">
              <w:rPr>
                <w:rFonts w:ascii="Times New Roman" w:hAnsi="Times New Roman" w:cs="Times New Roman"/>
                <w:szCs w:val="24"/>
              </w:rPr>
              <w:t>60.92</w:t>
            </w:r>
          </w:p>
        </w:tc>
        <w:tc>
          <w:tcPr>
            <w:tcW w:w="0" w:type="auto"/>
            <w:vAlign w:val="center"/>
            <w:hideMark/>
          </w:tcPr>
          <w:p w14:paraId="5782A71F" w14:textId="77777777" w:rsidR="00416FA8" w:rsidRPr="004B6753" w:rsidRDefault="00416FA8" w:rsidP="004B6753">
            <w:pPr>
              <w:pStyle w:val="NoSpacing"/>
              <w:jc w:val="center"/>
              <w:rPr>
                <w:rFonts w:ascii="Times New Roman" w:hAnsi="Times New Roman" w:cs="Times New Roman"/>
                <w:szCs w:val="24"/>
              </w:rPr>
            </w:pPr>
            <w:r w:rsidRPr="004B6753">
              <w:rPr>
                <w:rFonts w:ascii="Times New Roman" w:hAnsi="Times New Roman" w:cs="Times New Roman"/>
                <w:szCs w:val="24"/>
              </w:rPr>
              <w:t>157.52</w:t>
            </w:r>
          </w:p>
        </w:tc>
      </w:tr>
      <w:tr w:rsidR="00812C67" w:rsidRPr="004B6753" w14:paraId="55C38D25" w14:textId="77777777" w:rsidTr="004B6753">
        <w:trPr>
          <w:trHeight w:val="411"/>
        </w:trPr>
        <w:tc>
          <w:tcPr>
            <w:tcW w:w="0" w:type="auto"/>
            <w:vMerge w:val="restart"/>
            <w:hideMark/>
          </w:tcPr>
          <w:p w14:paraId="5133AA6E" w14:textId="77777777" w:rsidR="00812C67" w:rsidRPr="004B6753" w:rsidRDefault="00812C67" w:rsidP="00B77C0B">
            <w:pPr>
              <w:pStyle w:val="NoSpacing"/>
              <w:rPr>
                <w:rFonts w:ascii="Times New Roman" w:hAnsi="Times New Roman" w:cs="Times New Roman"/>
                <w:szCs w:val="24"/>
              </w:rPr>
            </w:pPr>
            <w:r w:rsidRPr="004B6753">
              <w:rPr>
                <w:rFonts w:ascii="Times New Roman" w:hAnsi="Times New Roman" w:cs="Times New Roman"/>
                <w:szCs w:val="24"/>
              </w:rPr>
              <w:t>1968-69 (RE)</w:t>
            </w:r>
          </w:p>
        </w:tc>
        <w:tc>
          <w:tcPr>
            <w:tcW w:w="0" w:type="auto"/>
            <w:vAlign w:val="center"/>
            <w:hideMark/>
          </w:tcPr>
          <w:p w14:paraId="461E1FD1" w14:textId="77777777" w:rsidR="00812C67" w:rsidRPr="004B6753" w:rsidRDefault="00812C67" w:rsidP="004B6753">
            <w:pPr>
              <w:pStyle w:val="NoSpacing"/>
              <w:jc w:val="center"/>
              <w:rPr>
                <w:rFonts w:ascii="Times New Roman" w:hAnsi="Times New Roman" w:cs="Times New Roman"/>
                <w:szCs w:val="24"/>
              </w:rPr>
            </w:pPr>
            <w:r w:rsidRPr="004B6753">
              <w:rPr>
                <w:rFonts w:ascii="Times New Roman" w:hAnsi="Times New Roman" w:cs="Times New Roman"/>
                <w:szCs w:val="24"/>
              </w:rPr>
              <w:t>5.26</w:t>
            </w:r>
          </w:p>
        </w:tc>
        <w:tc>
          <w:tcPr>
            <w:tcW w:w="0" w:type="auto"/>
            <w:vAlign w:val="center"/>
            <w:hideMark/>
          </w:tcPr>
          <w:p w14:paraId="0CB7774F" w14:textId="77777777" w:rsidR="00812C67" w:rsidRPr="004B6753" w:rsidRDefault="00812C67" w:rsidP="004B6753">
            <w:pPr>
              <w:pStyle w:val="NoSpacing"/>
              <w:jc w:val="center"/>
              <w:rPr>
                <w:rFonts w:ascii="Times New Roman" w:hAnsi="Times New Roman" w:cs="Times New Roman"/>
                <w:szCs w:val="24"/>
              </w:rPr>
            </w:pPr>
            <w:r w:rsidRPr="004B6753">
              <w:rPr>
                <w:rFonts w:ascii="Times New Roman" w:hAnsi="Times New Roman" w:cs="Times New Roman"/>
                <w:szCs w:val="24"/>
              </w:rPr>
              <w:t>36.05</w:t>
            </w:r>
          </w:p>
        </w:tc>
        <w:tc>
          <w:tcPr>
            <w:tcW w:w="0" w:type="auto"/>
            <w:vAlign w:val="center"/>
            <w:hideMark/>
          </w:tcPr>
          <w:p w14:paraId="7568D821" w14:textId="77777777" w:rsidR="00812C67" w:rsidRPr="004B6753" w:rsidRDefault="00812C67" w:rsidP="004B6753">
            <w:pPr>
              <w:pStyle w:val="NoSpacing"/>
              <w:jc w:val="center"/>
              <w:rPr>
                <w:rFonts w:ascii="Times New Roman" w:hAnsi="Times New Roman" w:cs="Times New Roman"/>
                <w:szCs w:val="24"/>
              </w:rPr>
            </w:pPr>
            <w:r w:rsidRPr="004B6753">
              <w:rPr>
                <w:rFonts w:ascii="Times New Roman" w:hAnsi="Times New Roman" w:cs="Times New Roman"/>
                <w:szCs w:val="24"/>
              </w:rPr>
              <w:t>4.41</w:t>
            </w:r>
          </w:p>
        </w:tc>
        <w:tc>
          <w:tcPr>
            <w:tcW w:w="0" w:type="auto"/>
            <w:vAlign w:val="center"/>
            <w:hideMark/>
          </w:tcPr>
          <w:p w14:paraId="5238604D" w14:textId="77777777" w:rsidR="00812C67" w:rsidRPr="004B6753" w:rsidRDefault="00812C67" w:rsidP="004B6753">
            <w:pPr>
              <w:pStyle w:val="NoSpacing"/>
              <w:jc w:val="center"/>
              <w:rPr>
                <w:rFonts w:ascii="Times New Roman" w:hAnsi="Times New Roman" w:cs="Times New Roman"/>
                <w:szCs w:val="24"/>
              </w:rPr>
            </w:pPr>
            <w:r w:rsidRPr="004B6753">
              <w:rPr>
                <w:rFonts w:ascii="Times New Roman" w:hAnsi="Times New Roman" w:cs="Times New Roman"/>
                <w:szCs w:val="24"/>
              </w:rPr>
              <w:t>7.37</w:t>
            </w:r>
          </w:p>
        </w:tc>
        <w:tc>
          <w:tcPr>
            <w:tcW w:w="0" w:type="auto"/>
            <w:vAlign w:val="center"/>
            <w:hideMark/>
          </w:tcPr>
          <w:p w14:paraId="57D33C9E" w14:textId="77777777" w:rsidR="00812C67" w:rsidRPr="004B6753" w:rsidRDefault="00812C67" w:rsidP="004B6753">
            <w:pPr>
              <w:pStyle w:val="NoSpacing"/>
              <w:jc w:val="center"/>
              <w:rPr>
                <w:rFonts w:ascii="Times New Roman" w:hAnsi="Times New Roman" w:cs="Times New Roman"/>
                <w:szCs w:val="24"/>
              </w:rPr>
            </w:pPr>
            <w:r w:rsidRPr="004B6753">
              <w:rPr>
                <w:rFonts w:ascii="Times New Roman" w:hAnsi="Times New Roman" w:cs="Times New Roman"/>
                <w:szCs w:val="24"/>
              </w:rPr>
              <w:t>4.75</w:t>
            </w:r>
          </w:p>
        </w:tc>
        <w:tc>
          <w:tcPr>
            <w:tcW w:w="0" w:type="auto"/>
            <w:vAlign w:val="center"/>
            <w:hideMark/>
          </w:tcPr>
          <w:p w14:paraId="5DC960A6" w14:textId="77777777" w:rsidR="00812C67" w:rsidRPr="004B6753" w:rsidRDefault="00812C67" w:rsidP="004B6753">
            <w:pPr>
              <w:pStyle w:val="NoSpacing"/>
              <w:jc w:val="center"/>
              <w:rPr>
                <w:rFonts w:ascii="Times New Roman" w:hAnsi="Times New Roman" w:cs="Times New Roman"/>
                <w:szCs w:val="24"/>
              </w:rPr>
            </w:pPr>
            <w:r w:rsidRPr="004B6753">
              <w:rPr>
                <w:rFonts w:ascii="Times New Roman" w:hAnsi="Times New Roman" w:cs="Times New Roman"/>
                <w:szCs w:val="24"/>
              </w:rPr>
              <w:t>37.89</w:t>
            </w:r>
          </w:p>
        </w:tc>
        <w:tc>
          <w:tcPr>
            <w:tcW w:w="0" w:type="auto"/>
            <w:vAlign w:val="center"/>
            <w:hideMark/>
          </w:tcPr>
          <w:p w14:paraId="118DA5B0" w14:textId="77777777" w:rsidR="00812C67" w:rsidRPr="004B6753" w:rsidRDefault="00812C67" w:rsidP="004B6753">
            <w:pPr>
              <w:pStyle w:val="NoSpacing"/>
              <w:jc w:val="center"/>
              <w:rPr>
                <w:rFonts w:ascii="Times New Roman" w:hAnsi="Times New Roman" w:cs="Times New Roman"/>
                <w:szCs w:val="24"/>
              </w:rPr>
            </w:pPr>
            <w:r w:rsidRPr="004B6753">
              <w:rPr>
                <w:rFonts w:ascii="Times New Roman" w:hAnsi="Times New Roman" w:cs="Times New Roman"/>
                <w:szCs w:val="24"/>
              </w:rPr>
              <w:t>6.40</w:t>
            </w:r>
          </w:p>
        </w:tc>
        <w:tc>
          <w:tcPr>
            <w:tcW w:w="0" w:type="auto"/>
            <w:vAlign w:val="center"/>
            <w:hideMark/>
          </w:tcPr>
          <w:p w14:paraId="0219FB33" w14:textId="77777777" w:rsidR="00812C67" w:rsidRPr="004B6753" w:rsidRDefault="00812C67" w:rsidP="004B6753">
            <w:pPr>
              <w:pStyle w:val="NoSpacing"/>
              <w:jc w:val="center"/>
              <w:rPr>
                <w:rFonts w:ascii="Times New Roman" w:hAnsi="Times New Roman" w:cs="Times New Roman"/>
                <w:szCs w:val="24"/>
              </w:rPr>
            </w:pPr>
            <w:r w:rsidRPr="004B6753">
              <w:rPr>
                <w:rFonts w:ascii="Times New Roman" w:hAnsi="Times New Roman" w:cs="Times New Roman"/>
                <w:szCs w:val="24"/>
              </w:rPr>
              <w:t>5.56</w:t>
            </w:r>
          </w:p>
        </w:tc>
        <w:tc>
          <w:tcPr>
            <w:tcW w:w="0" w:type="auto"/>
            <w:vAlign w:val="center"/>
            <w:hideMark/>
          </w:tcPr>
          <w:p w14:paraId="39C69816" w14:textId="77777777" w:rsidR="00812C67" w:rsidRPr="004B6753" w:rsidRDefault="00812C67" w:rsidP="004B6753">
            <w:pPr>
              <w:pStyle w:val="NoSpacing"/>
              <w:jc w:val="center"/>
              <w:rPr>
                <w:rFonts w:ascii="Times New Roman" w:hAnsi="Times New Roman" w:cs="Times New Roman"/>
                <w:szCs w:val="24"/>
              </w:rPr>
            </w:pPr>
            <w:r w:rsidRPr="004B6753">
              <w:rPr>
                <w:rFonts w:ascii="Times New Roman" w:hAnsi="Times New Roman" w:cs="Times New Roman"/>
                <w:szCs w:val="24"/>
              </w:rPr>
              <w:t>14.05</w:t>
            </w:r>
          </w:p>
        </w:tc>
        <w:tc>
          <w:tcPr>
            <w:tcW w:w="0" w:type="auto"/>
            <w:vAlign w:val="center"/>
            <w:hideMark/>
          </w:tcPr>
          <w:p w14:paraId="12C5658E" w14:textId="77777777" w:rsidR="00812C67" w:rsidRPr="004B6753" w:rsidRDefault="00812C67" w:rsidP="004B6753">
            <w:pPr>
              <w:pStyle w:val="NoSpacing"/>
              <w:jc w:val="center"/>
              <w:rPr>
                <w:rFonts w:ascii="Times New Roman" w:hAnsi="Times New Roman" w:cs="Times New Roman"/>
                <w:szCs w:val="24"/>
              </w:rPr>
            </w:pPr>
            <w:r w:rsidRPr="004B6753">
              <w:rPr>
                <w:rFonts w:ascii="Times New Roman" w:hAnsi="Times New Roman" w:cs="Times New Roman"/>
                <w:szCs w:val="24"/>
              </w:rPr>
              <w:t>93.53</w:t>
            </w:r>
          </w:p>
        </w:tc>
        <w:tc>
          <w:tcPr>
            <w:tcW w:w="0" w:type="auto"/>
            <w:vAlign w:val="center"/>
            <w:hideMark/>
          </w:tcPr>
          <w:p w14:paraId="39D5AFBC" w14:textId="77777777" w:rsidR="00812C67" w:rsidRPr="004B6753" w:rsidRDefault="00812C67" w:rsidP="004B6753">
            <w:pPr>
              <w:pStyle w:val="NoSpacing"/>
              <w:jc w:val="center"/>
              <w:rPr>
                <w:rFonts w:ascii="Times New Roman" w:hAnsi="Times New Roman" w:cs="Times New Roman"/>
                <w:szCs w:val="24"/>
              </w:rPr>
            </w:pPr>
            <w:r w:rsidRPr="004B6753">
              <w:rPr>
                <w:rFonts w:ascii="Times New Roman" w:hAnsi="Times New Roman" w:cs="Times New Roman"/>
                <w:szCs w:val="24"/>
              </w:rPr>
              <w:t>215.37</w:t>
            </w:r>
          </w:p>
        </w:tc>
      </w:tr>
      <w:tr w:rsidR="00812C67" w:rsidRPr="004B6753" w14:paraId="19625C5B" w14:textId="77777777" w:rsidTr="004B6753">
        <w:trPr>
          <w:trHeight w:val="200"/>
        </w:trPr>
        <w:tc>
          <w:tcPr>
            <w:tcW w:w="0" w:type="auto"/>
            <w:vMerge/>
            <w:hideMark/>
          </w:tcPr>
          <w:p w14:paraId="4A0ABA14" w14:textId="77777777" w:rsidR="00812C67" w:rsidRPr="004B6753" w:rsidRDefault="00812C67" w:rsidP="00B77C0B">
            <w:pPr>
              <w:pStyle w:val="NoSpacing"/>
              <w:rPr>
                <w:rFonts w:ascii="Times New Roman" w:hAnsi="Times New Roman" w:cs="Times New Roman"/>
                <w:szCs w:val="24"/>
              </w:rPr>
            </w:pPr>
          </w:p>
        </w:tc>
        <w:tc>
          <w:tcPr>
            <w:tcW w:w="0" w:type="auto"/>
            <w:vAlign w:val="center"/>
            <w:hideMark/>
          </w:tcPr>
          <w:p w14:paraId="189171DA" w14:textId="77777777" w:rsidR="00812C67" w:rsidRPr="004B6753" w:rsidRDefault="00812C67" w:rsidP="004B6753">
            <w:pPr>
              <w:pStyle w:val="NoSpacing"/>
              <w:jc w:val="center"/>
              <w:rPr>
                <w:rFonts w:ascii="Times New Roman" w:hAnsi="Times New Roman" w:cs="Times New Roman"/>
                <w:szCs w:val="24"/>
              </w:rPr>
            </w:pPr>
            <w:r w:rsidRPr="004B6753">
              <w:rPr>
                <w:rFonts w:ascii="Times New Roman" w:hAnsi="Times New Roman" w:cs="Times New Roman"/>
                <w:i/>
                <w:iCs/>
                <w:szCs w:val="24"/>
              </w:rPr>
              <w:t>(2.44)</w:t>
            </w:r>
          </w:p>
        </w:tc>
        <w:tc>
          <w:tcPr>
            <w:tcW w:w="0" w:type="auto"/>
            <w:vAlign w:val="center"/>
            <w:hideMark/>
          </w:tcPr>
          <w:p w14:paraId="1EC970D8" w14:textId="77777777" w:rsidR="00812C67" w:rsidRPr="004B6753" w:rsidRDefault="00812C67" w:rsidP="004B6753">
            <w:pPr>
              <w:pStyle w:val="NoSpacing"/>
              <w:jc w:val="center"/>
              <w:rPr>
                <w:rFonts w:ascii="Times New Roman" w:hAnsi="Times New Roman" w:cs="Times New Roman"/>
                <w:szCs w:val="24"/>
              </w:rPr>
            </w:pPr>
            <w:r w:rsidRPr="004B6753">
              <w:rPr>
                <w:rFonts w:ascii="Times New Roman" w:hAnsi="Times New Roman" w:cs="Times New Roman"/>
                <w:i/>
                <w:iCs/>
                <w:szCs w:val="24"/>
              </w:rPr>
              <w:t>(16.74)</w:t>
            </w:r>
          </w:p>
        </w:tc>
        <w:tc>
          <w:tcPr>
            <w:tcW w:w="0" w:type="auto"/>
            <w:vAlign w:val="center"/>
            <w:hideMark/>
          </w:tcPr>
          <w:p w14:paraId="30FACE3C" w14:textId="77777777" w:rsidR="00812C67" w:rsidRPr="004B6753" w:rsidRDefault="00812C67" w:rsidP="004B6753">
            <w:pPr>
              <w:pStyle w:val="NoSpacing"/>
              <w:jc w:val="center"/>
              <w:rPr>
                <w:rFonts w:ascii="Times New Roman" w:hAnsi="Times New Roman" w:cs="Times New Roman"/>
                <w:szCs w:val="24"/>
              </w:rPr>
            </w:pPr>
            <w:r w:rsidRPr="004B6753">
              <w:rPr>
                <w:rFonts w:ascii="Times New Roman" w:hAnsi="Times New Roman" w:cs="Times New Roman"/>
                <w:i/>
                <w:iCs/>
                <w:szCs w:val="24"/>
              </w:rPr>
              <w:t>(2.05)</w:t>
            </w:r>
          </w:p>
        </w:tc>
        <w:tc>
          <w:tcPr>
            <w:tcW w:w="0" w:type="auto"/>
            <w:vAlign w:val="center"/>
            <w:hideMark/>
          </w:tcPr>
          <w:p w14:paraId="20C69D61" w14:textId="77777777" w:rsidR="00812C67" w:rsidRPr="004B6753" w:rsidRDefault="00812C67" w:rsidP="004B6753">
            <w:pPr>
              <w:pStyle w:val="NoSpacing"/>
              <w:jc w:val="center"/>
              <w:rPr>
                <w:rFonts w:ascii="Times New Roman" w:hAnsi="Times New Roman" w:cs="Times New Roman"/>
                <w:szCs w:val="24"/>
              </w:rPr>
            </w:pPr>
            <w:r w:rsidRPr="004B6753">
              <w:rPr>
                <w:rFonts w:ascii="Times New Roman" w:hAnsi="Times New Roman" w:cs="Times New Roman"/>
                <w:i/>
                <w:iCs/>
                <w:szCs w:val="24"/>
              </w:rPr>
              <w:t>(3.42)</w:t>
            </w:r>
          </w:p>
        </w:tc>
        <w:tc>
          <w:tcPr>
            <w:tcW w:w="0" w:type="auto"/>
            <w:vAlign w:val="center"/>
            <w:hideMark/>
          </w:tcPr>
          <w:p w14:paraId="7E9053F2" w14:textId="77777777" w:rsidR="00812C67" w:rsidRPr="004B6753" w:rsidRDefault="00812C67" w:rsidP="004B6753">
            <w:pPr>
              <w:pStyle w:val="NoSpacing"/>
              <w:jc w:val="center"/>
              <w:rPr>
                <w:rFonts w:ascii="Times New Roman" w:hAnsi="Times New Roman" w:cs="Times New Roman"/>
                <w:szCs w:val="24"/>
              </w:rPr>
            </w:pPr>
            <w:r w:rsidRPr="004B6753">
              <w:rPr>
                <w:rFonts w:ascii="Times New Roman" w:hAnsi="Times New Roman" w:cs="Times New Roman"/>
                <w:i/>
                <w:iCs/>
                <w:szCs w:val="24"/>
              </w:rPr>
              <w:t>(2.21)</w:t>
            </w:r>
          </w:p>
        </w:tc>
        <w:tc>
          <w:tcPr>
            <w:tcW w:w="0" w:type="auto"/>
            <w:vAlign w:val="center"/>
            <w:hideMark/>
          </w:tcPr>
          <w:p w14:paraId="01F17696" w14:textId="77777777" w:rsidR="00812C67" w:rsidRPr="004B6753" w:rsidRDefault="00812C67" w:rsidP="004B6753">
            <w:pPr>
              <w:pStyle w:val="NoSpacing"/>
              <w:jc w:val="center"/>
              <w:rPr>
                <w:rFonts w:ascii="Times New Roman" w:hAnsi="Times New Roman" w:cs="Times New Roman"/>
                <w:szCs w:val="24"/>
              </w:rPr>
            </w:pPr>
            <w:r w:rsidRPr="004B6753">
              <w:rPr>
                <w:rFonts w:ascii="Times New Roman" w:hAnsi="Times New Roman" w:cs="Times New Roman"/>
                <w:i/>
                <w:iCs/>
                <w:szCs w:val="24"/>
              </w:rPr>
              <w:t>(17.59)</w:t>
            </w:r>
          </w:p>
        </w:tc>
        <w:tc>
          <w:tcPr>
            <w:tcW w:w="0" w:type="auto"/>
            <w:vAlign w:val="center"/>
            <w:hideMark/>
          </w:tcPr>
          <w:p w14:paraId="275EFBC9" w14:textId="77777777" w:rsidR="00812C67" w:rsidRPr="004B6753" w:rsidRDefault="00812C67" w:rsidP="004B6753">
            <w:pPr>
              <w:pStyle w:val="NoSpacing"/>
              <w:jc w:val="center"/>
              <w:rPr>
                <w:rFonts w:ascii="Times New Roman" w:hAnsi="Times New Roman" w:cs="Times New Roman"/>
                <w:szCs w:val="24"/>
              </w:rPr>
            </w:pPr>
            <w:r w:rsidRPr="004B6753">
              <w:rPr>
                <w:rFonts w:ascii="Times New Roman" w:hAnsi="Times New Roman" w:cs="Times New Roman"/>
                <w:i/>
                <w:iCs/>
                <w:szCs w:val="24"/>
              </w:rPr>
              <w:t>(2.97)</w:t>
            </w:r>
          </w:p>
        </w:tc>
        <w:tc>
          <w:tcPr>
            <w:tcW w:w="0" w:type="auto"/>
            <w:vAlign w:val="center"/>
            <w:hideMark/>
          </w:tcPr>
          <w:p w14:paraId="01EE16B5" w14:textId="77777777" w:rsidR="00812C67" w:rsidRPr="004B6753" w:rsidRDefault="00812C67" w:rsidP="004B6753">
            <w:pPr>
              <w:pStyle w:val="NoSpacing"/>
              <w:jc w:val="center"/>
              <w:rPr>
                <w:rFonts w:ascii="Times New Roman" w:hAnsi="Times New Roman" w:cs="Times New Roman"/>
                <w:szCs w:val="24"/>
              </w:rPr>
            </w:pPr>
            <w:r w:rsidRPr="004B6753">
              <w:rPr>
                <w:rFonts w:ascii="Times New Roman" w:hAnsi="Times New Roman" w:cs="Times New Roman"/>
                <w:i/>
                <w:iCs/>
                <w:szCs w:val="24"/>
              </w:rPr>
              <w:t>(2.63)</w:t>
            </w:r>
          </w:p>
        </w:tc>
        <w:tc>
          <w:tcPr>
            <w:tcW w:w="0" w:type="auto"/>
            <w:vAlign w:val="center"/>
            <w:hideMark/>
          </w:tcPr>
          <w:p w14:paraId="25E9C937" w14:textId="77777777" w:rsidR="00812C67" w:rsidRPr="004B6753" w:rsidRDefault="00812C67" w:rsidP="004B6753">
            <w:pPr>
              <w:pStyle w:val="NoSpacing"/>
              <w:jc w:val="center"/>
              <w:rPr>
                <w:rFonts w:ascii="Times New Roman" w:hAnsi="Times New Roman" w:cs="Times New Roman"/>
                <w:szCs w:val="24"/>
              </w:rPr>
            </w:pPr>
            <w:r w:rsidRPr="004B6753">
              <w:rPr>
                <w:rFonts w:ascii="Times New Roman" w:hAnsi="Times New Roman" w:cs="Times New Roman"/>
                <w:i/>
                <w:iCs/>
                <w:szCs w:val="24"/>
              </w:rPr>
              <w:t>(6.52)</w:t>
            </w:r>
          </w:p>
        </w:tc>
        <w:tc>
          <w:tcPr>
            <w:tcW w:w="0" w:type="auto"/>
            <w:vAlign w:val="center"/>
            <w:hideMark/>
          </w:tcPr>
          <w:p w14:paraId="14D903F3" w14:textId="77777777" w:rsidR="00812C67" w:rsidRPr="004B6753" w:rsidRDefault="00812C67" w:rsidP="004B6753">
            <w:pPr>
              <w:pStyle w:val="NoSpacing"/>
              <w:jc w:val="center"/>
              <w:rPr>
                <w:rFonts w:ascii="Times New Roman" w:hAnsi="Times New Roman" w:cs="Times New Roman"/>
                <w:szCs w:val="24"/>
              </w:rPr>
            </w:pPr>
            <w:r w:rsidRPr="004B6753">
              <w:rPr>
                <w:rFonts w:ascii="Times New Roman" w:hAnsi="Times New Roman" w:cs="Times New Roman"/>
                <w:i/>
                <w:iCs/>
                <w:szCs w:val="24"/>
              </w:rPr>
              <w:t>(43.43)</w:t>
            </w:r>
          </w:p>
        </w:tc>
        <w:tc>
          <w:tcPr>
            <w:tcW w:w="0" w:type="auto"/>
            <w:vAlign w:val="center"/>
            <w:hideMark/>
          </w:tcPr>
          <w:p w14:paraId="647937E6" w14:textId="77777777" w:rsidR="00812C67" w:rsidRPr="004B6753" w:rsidRDefault="00812C67" w:rsidP="004B6753">
            <w:pPr>
              <w:pStyle w:val="NoSpacing"/>
              <w:jc w:val="center"/>
              <w:rPr>
                <w:rFonts w:ascii="Times New Roman" w:hAnsi="Times New Roman" w:cs="Times New Roman"/>
                <w:szCs w:val="24"/>
              </w:rPr>
            </w:pPr>
            <w:r w:rsidRPr="004B6753">
              <w:rPr>
                <w:rFonts w:ascii="Times New Roman" w:hAnsi="Times New Roman" w:cs="Times New Roman"/>
                <w:i/>
                <w:iCs/>
                <w:szCs w:val="24"/>
              </w:rPr>
              <w:t>(100.00)</w:t>
            </w:r>
          </w:p>
        </w:tc>
      </w:tr>
      <w:tr w:rsidR="00416FA8" w:rsidRPr="004B6753" w14:paraId="59A84158" w14:textId="77777777" w:rsidTr="004B6753">
        <w:trPr>
          <w:trHeight w:val="200"/>
        </w:trPr>
        <w:tc>
          <w:tcPr>
            <w:tcW w:w="0" w:type="auto"/>
            <w:hideMark/>
          </w:tcPr>
          <w:p w14:paraId="6D7DD4D0" w14:textId="77777777" w:rsidR="00416FA8" w:rsidRPr="004B6753" w:rsidRDefault="00416FA8" w:rsidP="00B77C0B">
            <w:pPr>
              <w:pStyle w:val="NoSpacing"/>
              <w:rPr>
                <w:rFonts w:ascii="Times New Roman" w:hAnsi="Times New Roman" w:cs="Times New Roman"/>
                <w:szCs w:val="24"/>
              </w:rPr>
            </w:pPr>
            <w:r w:rsidRPr="004B6753">
              <w:rPr>
                <w:rFonts w:ascii="Times New Roman" w:hAnsi="Times New Roman" w:cs="Times New Roman"/>
                <w:szCs w:val="24"/>
              </w:rPr>
              <w:t>Nagaland</w:t>
            </w:r>
          </w:p>
        </w:tc>
        <w:tc>
          <w:tcPr>
            <w:tcW w:w="0" w:type="auto"/>
            <w:vAlign w:val="center"/>
            <w:hideMark/>
          </w:tcPr>
          <w:p w14:paraId="0F5A33E4" w14:textId="77777777" w:rsidR="00416FA8" w:rsidRPr="004B6753" w:rsidRDefault="00416FA8" w:rsidP="004B6753">
            <w:pPr>
              <w:pStyle w:val="NoSpacing"/>
              <w:jc w:val="center"/>
              <w:rPr>
                <w:rFonts w:ascii="Times New Roman" w:hAnsi="Times New Roman" w:cs="Times New Roman"/>
                <w:szCs w:val="24"/>
              </w:rPr>
            </w:pPr>
          </w:p>
        </w:tc>
        <w:tc>
          <w:tcPr>
            <w:tcW w:w="0" w:type="auto"/>
            <w:vAlign w:val="center"/>
            <w:hideMark/>
          </w:tcPr>
          <w:p w14:paraId="12855CEA" w14:textId="77777777" w:rsidR="00416FA8" w:rsidRPr="004B6753" w:rsidRDefault="00416FA8" w:rsidP="004B6753">
            <w:pPr>
              <w:pStyle w:val="NoSpacing"/>
              <w:jc w:val="center"/>
              <w:rPr>
                <w:rFonts w:ascii="Times New Roman" w:hAnsi="Times New Roman" w:cs="Times New Roman"/>
                <w:szCs w:val="24"/>
              </w:rPr>
            </w:pPr>
          </w:p>
        </w:tc>
        <w:tc>
          <w:tcPr>
            <w:tcW w:w="0" w:type="auto"/>
            <w:vAlign w:val="center"/>
            <w:hideMark/>
          </w:tcPr>
          <w:p w14:paraId="214A417F" w14:textId="77777777" w:rsidR="00416FA8" w:rsidRPr="004B6753" w:rsidRDefault="00416FA8" w:rsidP="004B6753">
            <w:pPr>
              <w:pStyle w:val="NoSpacing"/>
              <w:jc w:val="center"/>
              <w:rPr>
                <w:rFonts w:ascii="Times New Roman" w:hAnsi="Times New Roman" w:cs="Times New Roman"/>
                <w:szCs w:val="24"/>
              </w:rPr>
            </w:pPr>
          </w:p>
        </w:tc>
        <w:tc>
          <w:tcPr>
            <w:tcW w:w="0" w:type="auto"/>
            <w:vAlign w:val="center"/>
            <w:hideMark/>
          </w:tcPr>
          <w:p w14:paraId="38BF595D" w14:textId="77777777" w:rsidR="00416FA8" w:rsidRPr="004B6753" w:rsidRDefault="00416FA8" w:rsidP="004B6753">
            <w:pPr>
              <w:pStyle w:val="NoSpacing"/>
              <w:jc w:val="center"/>
              <w:rPr>
                <w:rFonts w:ascii="Times New Roman" w:hAnsi="Times New Roman" w:cs="Times New Roman"/>
                <w:szCs w:val="24"/>
              </w:rPr>
            </w:pPr>
          </w:p>
        </w:tc>
        <w:tc>
          <w:tcPr>
            <w:tcW w:w="0" w:type="auto"/>
            <w:vAlign w:val="center"/>
            <w:hideMark/>
          </w:tcPr>
          <w:p w14:paraId="1FD40F6B" w14:textId="77777777" w:rsidR="00416FA8" w:rsidRPr="004B6753" w:rsidRDefault="00416FA8" w:rsidP="004B6753">
            <w:pPr>
              <w:pStyle w:val="NoSpacing"/>
              <w:jc w:val="center"/>
              <w:rPr>
                <w:rFonts w:ascii="Times New Roman" w:hAnsi="Times New Roman" w:cs="Times New Roman"/>
                <w:szCs w:val="24"/>
              </w:rPr>
            </w:pPr>
          </w:p>
        </w:tc>
        <w:tc>
          <w:tcPr>
            <w:tcW w:w="0" w:type="auto"/>
            <w:vAlign w:val="center"/>
            <w:hideMark/>
          </w:tcPr>
          <w:p w14:paraId="25602C0D" w14:textId="77777777" w:rsidR="00416FA8" w:rsidRPr="004B6753" w:rsidRDefault="00416FA8" w:rsidP="004B6753">
            <w:pPr>
              <w:pStyle w:val="NoSpacing"/>
              <w:jc w:val="center"/>
              <w:rPr>
                <w:rFonts w:ascii="Times New Roman" w:hAnsi="Times New Roman" w:cs="Times New Roman"/>
                <w:szCs w:val="24"/>
              </w:rPr>
            </w:pPr>
          </w:p>
        </w:tc>
        <w:tc>
          <w:tcPr>
            <w:tcW w:w="0" w:type="auto"/>
            <w:vAlign w:val="center"/>
            <w:hideMark/>
          </w:tcPr>
          <w:p w14:paraId="7586C0B1" w14:textId="77777777" w:rsidR="00416FA8" w:rsidRPr="004B6753" w:rsidRDefault="00416FA8" w:rsidP="004B6753">
            <w:pPr>
              <w:pStyle w:val="NoSpacing"/>
              <w:jc w:val="center"/>
              <w:rPr>
                <w:rFonts w:ascii="Times New Roman" w:hAnsi="Times New Roman" w:cs="Times New Roman"/>
                <w:szCs w:val="24"/>
              </w:rPr>
            </w:pPr>
          </w:p>
        </w:tc>
        <w:tc>
          <w:tcPr>
            <w:tcW w:w="0" w:type="auto"/>
            <w:vAlign w:val="center"/>
            <w:hideMark/>
          </w:tcPr>
          <w:p w14:paraId="4D9B3B90" w14:textId="77777777" w:rsidR="00416FA8" w:rsidRPr="004B6753" w:rsidRDefault="00416FA8" w:rsidP="004B6753">
            <w:pPr>
              <w:pStyle w:val="NoSpacing"/>
              <w:jc w:val="center"/>
              <w:rPr>
                <w:rFonts w:ascii="Times New Roman" w:hAnsi="Times New Roman" w:cs="Times New Roman"/>
                <w:szCs w:val="24"/>
              </w:rPr>
            </w:pPr>
          </w:p>
        </w:tc>
        <w:tc>
          <w:tcPr>
            <w:tcW w:w="0" w:type="auto"/>
            <w:vAlign w:val="center"/>
            <w:hideMark/>
          </w:tcPr>
          <w:p w14:paraId="5748E77E" w14:textId="77777777" w:rsidR="00416FA8" w:rsidRPr="004B6753" w:rsidRDefault="00416FA8" w:rsidP="004B6753">
            <w:pPr>
              <w:pStyle w:val="NoSpacing"/>
              <w:jc w:val="center"/>
              <w:rPr>
                <w:rFonts w:ascii="Times New Roman" w:hAnsi="Times New Roman" w:cs="Times New Roman"/>
                <w:szCs w:val="24"/>
              </w:rPr>
            </w:pPr>
          </w:p>
        </w:tc>
        <w:tc>
          <w:tcPr>
            <w:tcW w:w="0" w:type="auto"/>
            <w:vAlign w:val="center"/>
            <w:hideMark/>
          </w:tcPr>
          <w:p w14:paraId="22E5A0FF" w14:textId="77777777" w:rsidR="00416FA8" w:rsidRPr="004B6753" w:rsidRDefault="00416FA8" w:rsidP="004B6753">
            <w:pPr>
              <w:pStyle w:val="NoSpacing"/>
              <w:jc w:val="center"/>
              <w:rPr>
                <w:rFonts w:ascii="Times New Roman" w:hAnsi="Times New Roman" w:cs="Times New Roman"/>
                <w:szCs w:val="24"/>
              </w:rPr>
            </w:pPr>
          </w:p>
        </w:tc>
        <w:tc>
          <w:tcPr>
            <w:tcW w:w="0" w:type="auto"/>
            <w:vAlign w:val="center"/>
            <w:hideMark/>
          </w:tcPr>
          <w:p w14:paraId="5E5E1068" w14:textId="77777777" w:rsidR="00416FA8" w:rsidRPr="004B6753" w:rsidRDefault="00416FA8" w:rsidP="004B6753">
            <w:pPr>
              <w:pStyle w:val="NoSpacing"/>
              <w:jc w:val="center"/>
              <w:rPr>
                <w:rFonts w:ascii="Times New Roman" w:hAnsi="Times New Roman" w:cs="Times New Roman"/>
                <w:szCs w:val="24"/>
              </w:rPr>
            </w:pPr>
          </w:p>
        </w:tc>
      </w:tr>
      <w:tr w:rsidR="00416FA8" w:rsidRPr="004B6753" w14:paraId="158F20A0" w14:textId="77777777" w:rsidTr="004B6753">
        <w:trPr>
          <w:trHeight w:val="200"/>
        </w:trPr>
        <w:tc>
          <w:tcPr>
            <w:tcW w:w="0" w:type="auto"/>
            <w:hideMark/>
          </w:tcPr>
          <w:p w14:paraId="26DFA576" w14:textId="77777777" w:rsidR="00416FA8" w:rsidRPr="004B6753" w:rsidRDefault="00416FA8" w:rsidP="00B77C0B">
            <w:pPr>
              <w:pStyle w:val="NoSpacing"/>
              <w:rPr>
                <w:rFonts w:ascii="Times New Roman" w:hAnsi="Times New Roman" w:cs="Times New Roman"/>
                <w:szCs w:val="24"/>
              </w:rPr>
            </w:pPr>
            <w:r w:rsidRPr="004B6753">
              <w:rPr>
                <w:rFonts w:ascii="Times New Roman" w:hAnsi="Times New Roman" w:cs="Times New Roman"/>
                <w:szCs w:val="24"/>
              </w:rPr>
              <w:t>1961-62</w:t>
            </w:r>
          </w:p>
        </w:tc>
        <w:tc>
          <w:tcPr>
            <w:tcW w:w="0" w:type="auto"/>
            <w:vAlign w:val="center"/>
            <w:hideMark/>
          </w:tcPr>
          <w:p w14:paraId="6CDB6732" w14:textId="77777777" w:rsidR="00416FA8" w:rsidRPr="004B6753" w:rsidRDefault="00416FA8" w:rsidP="004B6753">
            <w:pPr>
              <w:pStyle w:val="NoSpacing"/>
              <w:jc w:val="center"/>
              <w:rPr>
                <w:rFonts w:ascii="Times New Roman" w:hAnsi="Times New Roman" w:cs="Times New Roman"/>
                <w:szCs w:val="24"/>
              </w:rPr>
            </w:pPr>
            <w:r w:rsidRPr="004B6753">
              <w:rPr>
                <w:rFonts w:ascii="Times New Roman" w:hAnsi="Times New Roman" w:cs="Times New Roman"/>
                <w:szCs w:val="24"/>
              </w:rPr>
              <w:t>..</w:t>
            </w:r>
          </w:p>
        </w:tc>
        <w:tc>
          <w:tcPr>
            <w:tcW w:w="0" w:type="auto"/>
            <w:vAlign w:val="center"/>
            <w:hideMark/>
          </w:tcPr>
          <w:p w14:paraId="3812E65F" w14:textId="77777777" w:rsidR="00416FA8" w:rsidRPr="004B6753" w:rsidRDefault="00416FA8" w:rsidP="004B6753">
            <w:pPr>
              <w:pStyle w:val="NoSpacing"/>
              <w:jc w:val="center"/>
              <w:rPr>
                <w:rFonts w:ascii="Times New Roman" w:hAnsi="Times New Roman" w:cs="Times New Roman"/>
                <w:szCs w:val="24"/>
              </w:rPr>
            </w:pPr>
            <w:r w:rsidRPr="004B6753">
              <w:rPr>
                <w:rFonts w:ascii="Times New Roman" w:hAnsi="Times New Roman" w:cs="Times New Roman"/>
                <w:szCs w:val="24"/>
              </w:rPr>
              <w:t>..</w:t>
            </w:r>
          </w:p>
        </w:tc>
        <w:tc>
          <w:tcPr>
            <w:tcW w:w="0" w:type="auto"/>
            <w:vAlign w:val="center"/>
            <w:hideMark/>
          </w:tcPr>
          <w:p w14:paraId="481C9211" w14:textId="77777777" w:rsidR="00416FA8" w:rsidRPr="004B6753" w:rsidRDefault="00416FA8" w:rsidP="004B6753">
            <w:pPr>
              <w:pStyle w:val="NoSpacing"/>
              <w:jc w:val="center"/>
              <w:rPr>
                <w:rFonts w:ascii="Times New Roman" w:hAnsi="Times New Roman" w:cs="Times New Roman"/>
                <w:szCs w:val="24"/>
              </w:rPr>
            </w:pPr>
            <w:r w:rsidRPr="004B6753">
              <w:rPr>
                <w:rFonts w:ascii="Times New Roman" w:hAnsi="Times New Roman" w:cs="Times New Roman"/>
                <w:szCs w:val="24"/>
              </w:rPr>
              <w:t>..</w:t>
            </w:r>
          </w:p>
        </w:tc>
        <w:tc>
          <w:tcPr>
            <w:tcW w:w="0" w:type="auto"/>
            <w:vAlign w:val="center"/>
            <w:hideMark/>
          </w:tcPr>
          <w:p w14:paraId="0B1C81ED" w14:textId="77777777" w:rsidR="00416FA8" w:rsidRPr="004B6753" w:rsidRDefault="00416FA8" w:rsidP="004B6753">
            <w:pPr>
              <w:pStyle w:val="NoSpacing"/>
              <w:jc w:val="center"/>
              <w:rPr>
                <w:rFonts w:ascii="Times New Roman" w:hAnsi="Times New Roman" w:cs="Times New Roman"/>
                <w:szCs w:val="24"/>
              </w:rPr>
            </w:pPr>
            <w:r w:rsidRPr="004B6753">
              <w:rPr>
                <w:rFonts w:ascii="Times New Roman" w:hAnsi="Times New Roman" w:cs="Times New Roman"/>
                <w:szCs w:val="24"/>
              </w:rPr>
              <w:t>..</w:t>
            </w:r>
          </w:p>
        </w:tc>
        <w:tc>
          <w:tcPr>
            <w:tcW w:w="0" w:type="auto"/>
            <w:vAlign w:val="center"/>
            <w:hideMark/>
          </w:tcPr>
          <w:p w14:paraId="5FB11C37" w14:textId="77777777" w:rsidR="00416FA8" w:rsidRPr="004B6753" w:rsidRDefault="00416FA8" w:rsidP="004B6753">
            <w:pPr>
              <w:pStyle w:val="NoSpacing"/>
              <w:jc w:val="center"/>
              <w:rPr>
                <w:rFonts w:ascii="Times New Roman" w:hAnsi="Times New Roman" w:cs="Times New Roman"/>
                <w:szCs w:val="24"/>
              </w:rPr>
            </w:pPr>
            <w:r w:rsidRPr="004B6753">
              <w:rPr>
                <w:rFonts w:ascii="Times New Roman" w:hAnsi="Times New Roman" w:cs="Times New Roman"/>
                <w:szCs w:val="24"/>
              </w:rPr>
              <w:t>..</w:t>
            </w:r>
          </w:p>
        </w:tc>
        <w:tc>
          <w:tcPr>
            <w:tcW w:w="0" w:type="auto"/>
            <w:vAlign w:val="center"/>
            <w:hideMark/>
          </w:tcPr>
          <w:p w14:paraId="28944FE2" w14:textId="77777777" w:rsidR="00416FA8" w:rsidRPr="004B6753" w:rsidRDefault="00416FA8" w:rsidP="004B6753">
            <w:pPr>
              <w:pStyle w:val="NoSpacing"/>
              <w:jc w:val="center"/>
              <w:rPr>
                <w:rFonts w:ascii="Times New Roman" w:hAnsi="Times New Roman" w:cs="Times New Roman"/>
                <w:szCs w:val="24"/>
              </w:rPr>
            </w:pPr>
            <w:r w:rsidRPr="004B6753">
              <w:rPr>
                <w:rFonts w:ascii="Times New Roman" w:hAnsi="Times New Roman" w:cs="Times New Roman"/>
                <w:szCs w:val="24"/>
              </w:rPr>
              <w:t>..</w:t>
            </w:r>
          </w:p>
        </w:tc>
        <w:tc>
          <w:tcPr>
            <w:tcW w:w="0" w:type="auto"/>
            <w:vAlign w:val="center"/>
            <w:hideMark/>
          </w:tcPr>
          <w:p w14:paraId="5CC96C23" w14:textId="77777777" w:rsidR="00416FA8" w:rsidRPr="004B6753" w:rsidRDefault="00416FA8" w:rsidP="004B6753">
            <w:pPr>
              <w:pStyle w:val="NoSpacing"/>
              <w:jc w:val="center"/>
              <w:rPr>
                <w:rFonts w:ascii="Times New Roman" w:hAnsi="Times New Roman" w:cs="Times New Roman"/>
                <w:szCs w:val="24"/>
              </w:rPr>
            </w:pPr>
            <w:r w:rsidRPr="004B6753">
              <w:rPr>
                <w:rFonts w:ascii="Times New Roman" w:hAnsi="Times New Roman" w:cs="Times New Roman"/>
                <w:szCs w:val="24"/>
              </w:rPr>
              <w:t>..</w:t>
            </w:r>
          </w:p>
        </w:tc>
        <w:tc>
          <w:tcPr>
            <w:tcW w:w="0" w:type="auto"/>
            <w:vAlign w:val="center"/>
            <w:hideMark/>
          </w:tcPr>
          <w:p w14:paraId="36466F28" w14:textId="77777777" w:rsidR="00416FA8" w:rsidRPr="004B6753" w:rsidRDefault="00416FA8" w:rsidP="004B6753">
            <w:pPr>
              <w:pStyle w:val="NoSpacing"/>
              <w:jc w:val="center"/>
              <w:rPr>
                <w:rFonts w:ascii="Times New Roman" w:hAnsi="Times New Roman" w:cs="Times New Roman"/>
                <w:szCs w:val="24"/>
              </w:rPr>
            </w:pPr>
            <w:r w:rsidRPr="004B6753">
              <w:rPr>
                <w:rFonts w:ascii="Times New Roman" w:hAnsi="Times New Roman" w:cs="Times New Roman"/>
                <w:szCs w:val="24"/>
              </w:rPr>
              <w:t>..</w:t>
            </w:r>
          </w:p>
        </w:tc>
        <w:tc>
          <w:tcPr>
            <w:tcW w:w="0" w:type="auto"/>
            <w:vAlign w:val="center"/>
            <w:hideMark/>
          </w:tcPr>
          <w:p w14:paraId="47230F59" w14:textId="77777777" w:rsidR="00416FA8" w:rsidRPr="004B6753" w:rsidRDefault="00416FA8" w:rsidP="004B6753">
            <w:pPr>
              <w:pStyle w:val="NoSpacing"/>
              <w:jc w:val="center"/>
              <w:rPr>
                <w:rFonts w:ascii="Times New Roman" w:hAnsi="Times New Roman" w:cs="Times New Roman"/>
                <w:szCs w:val="24"/>
              </w:rPr>
            </w:pPr>
            <w:r w:rsidRPr="004B6753">
              <w:rPr>
                <w:rFonts w:ascii="Times New Roman" w:hAnsi="Times New Roman" w:cs="Times New Roman"/>
                <w:szCs w:val="24"/>
              </w:rPr>
              <w:t>..</w:t>
            </w:r>
          </w:p>
        </w:tc>
        <w:tc>
          <w:tcPr>
            <w:tcW w:w="0" w:type="auto"/>
            <w:vAlign w:val="center"/>
            <w:hideMark/>
          </w:tcPr>
          <w:p w14:paraId="27109D8E" w14:textId="77777777" w:rsidR="00416FA8" w:rsidRPr="004B6753" w:rsidRDefault="00416FA8" w:rsidP="004B6753">
            <w:pPr>
              <w:pStyle w:val="NoSpacing"/>
              <w:jc w:val="center"/>
              <w:rPr>
                <w:rFonts w:ascii="Times New Roman" w:hAnsi="Times New Roman" w:cs="Times New Roman"/>
                <w:szCs w:val="24"/>
              </w:rPr>
            </w:pPr>
            <w:r w:rsidRPr="004B6753">
              <w:rPr>
                <w:rFonts w:ascii="Times New Roman" w:hAnsi="Times New Roman" w:cs="Times New Roman"/>
                <w:szCs w:val="24"/>
              </w:rPr>
              <w:t>..</w:t>
            </w:r>
          </w:p>
        </w:tc>
        <w:tc>
          <w:tcPr>
            <w:tcW w:w="0" w:type="auto"/>
            <w:vAlign w:val="center"/>
            <w:hideMark/>
          </w:tcPr>
          <w:p w14:paraId="43790A5B" w14:textId="77777777" w:rsidR="00416FA8" w:rsidRPr="004B6753" w:rsidRDefault="00416FA8" w:rsidP="004B6753">
            <w:pPr>
              <w:pStyle w:val="NoSpacing"/>
              <w:jc w:val="center"/>
              <w:rPr>
                <w:rFonts w:ascii="Times New Roman" w:hAnsi="Times New Roman" w:cs="Times New Roman"/>
                <w:szCs w:val="24"/>
              </w:rPr>
            </w:pPr>
            <w:r w:rsidRPr="004B6753">
              <w:rPr>
                <w:rFonts w:ascii="Times New Roman" w:hAnsi="Times New Roman" w:cs="Times New Roman"/>
                <w:szCs w:val="24"/>
              </w:rPr>
              <w:t>..</w:t>
            </w:r>
          </w:p>
        </w:tc>
      </w:tr>
      <w:tr w:rsidR="00416FA8" w:rsidRPr="004B6753" w14:paraId="0338ACA9" w14:textId="77777777" w:rsidTr="004B6753">
        <w:trPr>
          <w:trHeight w:val="200"/>
        </w:trPr>
        <w:tc>
          <w:tcPr>
            <w:tcW w:w="0" w:type="auto"/>
            <w:hideMark/>
          </w:tcPr>
          <w:p w14:paraId="2EE34C41" w14:textId="77777777" w:rsidR="00416FA8" w:rsidRPr="004B6753" w:rsidRDefault="00416FA8" w:rsidP="00B77C0B">
            <w:pPr>
              <w:pStyle w:val="NoSpacing"/>
              <w:rPr>
                <w:rFonts w:ascii="Times New Roman" w:hAnsi="Times New Roman" w:cs="Times New Roman"/>
                <w:szCs w:val="24"/>
              </w:rPr>
            </w:pPr>
            <w:r w:rsidRPr="004B6753">
              <w:rPr>
                <w:rFonts w:ascii="Times New Roman" w:hAnsi="Times New Roman" w:cs="Times New Roman"/>
                <w:szCs w:val="24"/>
              </w:rPr>
              <w:t>1965-66</w:t>
            </w:r>
          </w:p>
        </w:tc>
        <w:tc>
          <w:tcPr>
            <w:tcW w:w="0" w:type="auto"/>
            <w:vAlign w:val="center"/>
            <w:hideMark/>
          </w:tcPr>
          <w:p w14:paraId="60F120F1" w14:textId="77777777" w:rsidR="00416FA8" w:rsidRPr="004B6753" w:rsidRDefault="00416FA8" w:rsidP="004B6753">
            <w:pPr>
              <w:pStyle w:val="NoSpacing"/>
              <w:jc w:val="center"/>
              <w:rPr>
                <w:rFonts w:ascii="Times New Roman" w:hAnsi="Times New Roman" w:cs="Times New Roman"/>
                <w:szCs w:val="24"/>
              </w:rPr>
            </w:pPr>
            <w:r w:rsidRPr="004B6753">
              <w:rPr>
                <w:rFonts w:ascii="Times New Roman" w:hAnsi="Times New Roman" w:cs="Times New Roman"/>
                <w:szCs w:val="24"/>
              </w:rPr>
              <w:t>0.01</w:t>
            </w:r>
          </w:p>
        </w:tc>
        <w:tc>
          <w:tcPr>
            <w:tcW w:w="0" w:type="auto"/>
            <w:vAlign w:val="center"/>
            <w:hideMark/>
          </w:tcPr>
          <w:p w14:paraId="1D89BAC2" w14:textId="77777777" w:rsidR="00416FA8" w:rsidRPr="004B6753" w:rsidRDefault="00416FA8" w:rsidP="004B6753">
            <w:pPr>
              <w:pStyle w:val="NoSpacing"/>
              <w:jc w:val="center"/>
              <w:rPr>
                <w:rFonts w:ascii="Times New Roman" w:hAnsi="Times New Roman" w:cs="Times New Roman"/>
                <w:szCs w:val="24"/>
              </w:rPr>
            </w:pPr>
            <w:r w:rsidRPr="004B6753">
              <w:rPr>
                <w:rFonts w:ascii="Times New Roman" w:hAnsi="Times New Roman" w:cs="Times New Roman"/>
                <w:szCs w:val="24"/>
              </w:rPr>
              <w:t>..</w:t>
            </w:r>
          </w:p>
        </w:tc>
        <w:tc>
          <w:tcPr>
            <w:tcW w:w="0" w:type="auto"/>
            <w:vAlign w:val="center"/>
            <w:hideMark/>
          </w:tcPr>
          <w:p w14:paraId="47CE6BF5" w14:textId="77777777" w:rsidR="00416FA8" w:rsidRPr="004B6753" w:rsidRDefault="00416FA8" w:rsidP="004B6753">
            <w:pPr>
              <w:pStyle w:val="NoSpacing"/>
              <w:jc w:val="center"/>
              <w:rPr>
                <w:rFonts w:ascii="Times New Roman" w:hAnsi="Times New Roman" w:cs="Times New Roman"/>
                <w:szCs w:val="24"/>
              </w:rPr>
            </w:pPr>
            <w:r w:rsidRPr="004B6753">
              <w:rPr>
                <w:rFonts w:ascii="Times New Roman" w:hAnsi="Times New Roman" w:cs="Times New Roman"/>
                <w:szCs w:val="24"/>
              </w:rPr>
              <w:t>1.17</w:t>
            </w:r>
          </w:p>
        </w:tc>
        <w:tc>
          <w:tcPr>
            <w:tcW w:w="0" w:type="auto"/>
            <w:vAlign w:val="center"/>
            <w:hideMark/>
          </w:tcPr>
          <w:p w14:paraId="55107AC8" w14:textId="77777777" w:rsidR="00416FA8" w:rsidRPr="004B6753" w:rsidRDefault="00416FA8" w:rsidP="004B6753">
            <w:pPr>
              <w:pStyle w:val="NoSpacing"/>
              <w:jc w:val="center"/>
              <w:rPr>
                <w:rFonts w:ascii="Times New Roman" w:hAnsi="Times New Roman" w:cs="Times New Roman"/>
                <w:szCs w:val="24"/>
              </w:rPr>
            </w:pPr>
            <w:r w:rsidRPr="004B6753">
              <w:rPr>
                <w:rFonts w:ascii="Times New Roman" w:hAnsi="Times New Roman" w:cs="Times New Roman"/>
                <w:szCs w:val="24"/>
              </w:rPr>
              <w:t>3.53</w:t>
            </w:r>
          </w:p>
        </w:tc>
        <w:tc>
          <w:tcPr>
            <w:tcW w:w="0" w:type="auto"/>
            <w:vAlign w:val="center"/>
            <w:hideMark/>
          </w:tcPr>
          <w:p w14:paraId="74433042" w14:textId="77777777" w:rsidR="00416FA8" w:rsidRPr="004B6753" w:rsidRDefault="00416FA8" w:rsidP="004B6753">
            <w:pPr>
              <w:pStyle w:val="NoSpacing"/>
              <w:jc w:val="center"/>
              <w:rPr>
                <w:rFonts w:ascii="Times New Roman" w:hAnsi="Times New Roman" w:cs="Times New Roman"/>
                <w:szCs w:val="24"/>
              </w:rPr>
            </w:pPr>
            <w:r w:rsidRPr="004B6753">
              <w:rPr>
                <w:rFonts w:ascii="Times New Roman" w:hAnsi="Times New Roman" w:cs="Times New Roman"/>
                <w:szCs w:val="24"/>
              </w:rPr>
              <w:t>0.40</w:t>
            </w:r>
          </w:p>
        </w:tc>
        <w:tc>
          <w:tcPr>
            <w:tcW w:w="0" w:type="auto"/>
            <w:vAlign w:val="center"/>
            <w:hideMark/>
          </w:tcPr>
          <w:p w14:paraId="509F3981" w14:textId="77777777" w:rsidR="00416FA8" w:rsidRPr="004B6753" w:rsidRDefault="00416FA8" w:rsidP="004B6753">
            <w:pPr>
              <w:pStyle w:val="NoSpacing"/>
              <w:jc w:val="center"/>
              <w:rPr>
                <w:rFonts w:ascii="Times New Roman" w:hAnsi="Times New Roman" w:cs="Times New Roman"/>
                <w:szCs w:val="24"/>
              </w:rPr>
            </w:pPr>
            <w:r w:rsidRPr="004B6753">
              <w:rPr>
                <w:rFonts w:ascii="Times New Roman" w:hAnsi="Times New Roman" w:cs="Times New Roman"/>
                <w:szCs w:val="24"/>
              </w:rPr>
              <w:t>1.16</w:t>
            </w:r>
          </w:p>
        </w:tc>
        <w:tc>
          <w:tcPr>
            <w:tcW w:w="0" w:type="auto"/>
            <w:vAlign w:val="center"/>
            <w:hideMark/>
          </w:tcPr>
          <w:p w14:paraId="076DE880" w14:textId="77777777" w:rsidR="00416FA8" w:rsidRPr="004B6753" w:rsidRDefault="00416FA8" w:rsidP="004B6753">
            <w:pPr>
              <w:pStyle w:val="NoSpacing"/>
              <w:jc w:val="center"/>
              <w:rPr>
                <w:rFonts w:ascii="Times New Roman" w:hAnsi="Times New Roman" w:cs="Times New Roman"/>
                <w:szCs w:val="24"/>
              </w:rPr>
            </w:pPr>
            <w:r w:rsidRPr="004B6753">
              <w:rPr>
                <w:rFonts w:ascii="Times New Roman" w:hAnsi="Times New Roman" w:cs="Times New Roman"/>
                <w:szCs w:val="24"/>
              </w:rPr>
              <w:t>0.36</w:t>
            </w:r>
          </w:p>
        </w:tc>
        <w:tc>
          <w:tcPr>
            <w:tcW w:w="0" w:type="auto"/>
            <w:vAlign w:val="center"/>
            <w:hideMark/>
          </w:tcPr>
          <w:p w14:paraId="1E7D39CA" w14:textId="77777777" w:rsidR="00416FA8" w:rsidRPr="004B6753" w:rsidRDefault="00416FA8" w:rsidP="004B6753">
            <w:pPr>
              <w:pStyle w:val="NoSpacing"/>
              <w:jc w:val="center"/>
              <w:rPr>
                <w:rFonts w:ascii="Times New Roman" w:hAnsi="Times New Roman" w:cs="Times New Roman"/>
                <w:szCs w:val="24"/>
              </w:rPr>
            </w:pPr>
            <w:r w:rsidRPr="004B6753">
              <w:rPr>
                <w:rFonts w:ascii="Times New Roman" w:hAnsi="Times New Roman" w:cs="Times New Roman"/>
                <w:szCs w:val="24"/>
              </w:rPr>
              <w:t>0.21</w:t>
            </w:r>
          </w:p>
        </w:tc>
        <w:tc>
          <w:tcPr>
            <w:tcW w:w="0" w:type="auto"/>
            <w:vAlign w:val="center"/>
            <w:hideMark/>
          </w:tcPr>
          <w:p w14:paraId="451EB234" w14:textId="77777777" w:rsidR="00416FA8" w:rsidRPr="004B6753" w:rsidRDefault="00416FA8" w:rsidP="004B6753">
            <w:pPr>
              <w:pStyle w:val="NoSpacing"/>
              <w:jc w:val="center"/>
              <w:rPr>
                <w:rFonts w:ascii="Times New Roman" w:hAnsi="Times New Roman" w:cs="Times New Roman"/>
                <w:szCs w:val="24"/>
              </w:rPr>
            </w:pPr>
            <w:r w:rsidRPr="004B6753">
              <w:rPr>
                <w:rFonts w:ascii="Times New Roman" w:hAnsi="Times New Roman" w:cs="Times New Roman"/>
                <w:szCs w:val="24"/>
              </w:rPr>
              <w:t>0.67</w:t>
            </w:r>
          </w:p>
        </w:tc>
        <w:tc>
          <w:tcPr>
            <w:tcW w:w="0" w:type="auto"/>
            <w:vAlign w:val="center"/>
            <w:hideMark/>
          </w:tcPr>
          <w:p w14:paraId="45A75B18" w14:textId="77777777" w:rsidR="00416FA8" w:rsidRPr="004B6753" w:rsidRDefault="00416FA8" w:rsidP="004B6753">
            <w:pPr>
              <w:pStyle w:val="NoSpacing"/>
              <w:jc w:val="center"/>
              <w:rPr>
                <w:rFonts w:ascii="Times New Roman" w:hAnsi="Times New Roman" w:cs="Times New Roman"/>
                <w:szCs w:val="24"/>
              </w:rPr>
            </w:pPr>
            <w:r w:rsidRPr="004B6753">
              <w:rPr>
                <w:rFonts w:ascii="Times New Roman" w:hAnsi="Times New Roman" w:cs="Times New Roman"/>
                <w:szCs w:val="24"/>
              </w:rPr>
              <w:t>2.17</w:t>
            </w:r>
          </w:p>
        </w:tc>
        <w:tc>
          <w:tcPr>
            <w:tcW w:w="0" w:type="auto"/>
            <w:vAlign w:val="center"/>
            <w:hideMark/>
          </w:tcPr>
          <w:p w14:paraId="405E7844" w14:textId="77777777" w:rsidR="00416FA8" w:rsidRPr="004B6753" w:rsidRDefault="00416FA8" w:rsidP="004B6753">
            <w:pPr>
              <w:pStyle w:val="NoSpacing"/>
              <w:jc w:val="center"/>
              <w:rPr>
                <w:rFonts w:ascii="Times New Roman" w:hAnsi="Times New Roman" w:cs="Times New Roman"/>
                <w:szCs w:val="24"/>
              </w:rPr>
            </w:pPr>
            <w:r w:rsidRPr="004B6753">
              <w:rPr>
                <w:rFonts w:ascii="Times New Roman" w:hAnsi="Times New Roman" w:cs="Times New Roman"/>
                <w:szCs w:val="24"/>
              </w:rPr>
              <w:t>9.68</w:t>
            </w:r>
          </w:p>
        </w:tc>
      </w:tr>
      <w:tr w:rsidR="00416FA8" w:rsidRPr="004B6753" w14:paraId="62137CAB" w14:textId="77777777" w:rsidTr="004B6753">
        <w:trPr>
          <w:trHeight w:val="209"/>
        </w:trPr>
        <w:tc>
          <w:tcPr>
            <w:tcW w:w="0" w:type="auto"/>
            <w:hideMark/>
          </w:tcPr>
          <w:p w14:paraId="30448EB6" w14:textId="77777777" w:rsidR="00416FA8" w:rsidRPr="004B6753" w:rsidRDefault="00416FA8" w:rsidP="00B77C0B">
            <w:pPr>
              <w:pStyle w:val="NoSpacing"/>
              <w:rPr>
                <w:rFonts w:ascii="Times New Roman" w:hAnsi="Times New Roman" w:cs="Times New Roman"/>
                <w:szCs w:val="24"/>
              </w:rPr>
            </w:pPr>
            <w:r w:rsidRPr="004B6753">
              <w:rPr>
                <w:rFonts w:ascii="Times New Roman" w:hAnsi="Times New Roman" w:cs="Times New Roman"/>
                <w:szCs w:val="24"/>
              </w:rPr>
              <w:t>1966-67</w:t>
            </w:r>
          </w:p>
        </w:tc>
        <w:tc>
          <w:tcPr>
            <w:tcW w:w="0" w:type="auto"/>
            <w:vAlign w:val="center"/>
            <w:hideMark/>
          </w:tcPr>
          <w:p w14:paraId="5123A240" w14:textId="77777777" w:rsidR="00416FA8" w:rsidRPr="004B6753" w:rsidRDefault="00416FA8" w:rsidP="004B6753">
            <w:pPr>
              <w:pStyle w:val="NoSpacing"/>
              <w:jc w:val="center"/>
              <w:rPr>
                <w:rFonts w:ascii="Times New Roman" w:hAnsi="Times New Roman" w:cs="Times New Roman"/>
                <w:szCs w:val="24"/>
              </w:rPr>
            </w:pPr>
            <w:r w:rsidRPr="004B6753">
              <w:rPr>
                <w:rFonts w:ascii="Times New Roman" w:hAnsi="Times New Roman" w:cs="Times New Roman"/>
                <w:szCs w:val="24"/>
              </w:rPr>
              <w:t>0.02</w:t>
            </w:r>
          </w:p>
        </w:tc>
        <w:tc>
          <w:tcPr>
            <w:tcW w:w="0" w:type="auto"/>
            <w:vAlign w:val="center"/>
            <w:hideMark/>
          </w:tcPr>
          <w:p w14:paraId="5F1462B1" w14:textId="77777777" w:rsidR="00416FA8" w:rsidRPr="004B6753" w:rsidRDefault="00416FA8" w:rsidP="004B6753">
            <w:pPr>
              <w:pStyle w:val="NoSpacing"/>
              <w:jc w:val="center"/>
              <w:rPr>
                <w:rFonts w:ascii="Times New Roman" w:hAnsi="Times New Roman" w:cs="Times New Roman"/>
                <w:szCs w:val="24"/>
              </w:rPr>
            </w:pPr>
            <w:r w:rsidRPr="004B6753">
              <w:rPr>
                <w:rFonts w:ascii="Times New Roman" w:hAnsi="Times New Roman" w:cs="Times New Roman"/>
                <w:szCs w:val="24"/>
              </w:rPr>
              <w:t>0.37</w:t>
            </w:r>
          </w:p>
        </w:tc>
        <w:tc>
          <w:tcPr>
            <w:tcW w:w="0" w:type="auto"/>
            <w:vAlign w:val="center"/>
            <w:hideMark/>
          </w:tcPr>
          <w:p w14:paraId="2C1AFA4B" w14:textId="77777777" w:rsidR="00416FA8" w:rsidRPr="004B6753" w:rsidRDefault="00416FA8" w:rsidP="004B6753">
            <w:pPr>
              <w:pStyle w:val="NoSpacing"/>
              <w:jc w:val="center"/>
              <w:rPr>
                <w:rFonts w:ascii="Times New Roman" w:hAnsi="Times New Roman" w:cs="Times New Roman"/>
                <w:szCs w:val="24"/>
              </w:rPr>
            </w:pPr>
            <w:r w:rsidRPr="004B6753">
              <w:rPr>
                <w:rFonts w:ascii="Times New Roman" w:hAnsi="Times New Roman" w:cs="Times New Roman"/>
                <w:szCs w:val="24"/>
              </w:rPr>
              <w:t>1.36</w:t>
            </w:r>
          </w:p>
        </w:tc>
        <w:tc>
          <w:tcPr>
            <w:tcW w:w="0" w:type="auto"/>
            <w:vAlign w:val="center"/>
            <w:hideMark/>
          </w:tcPr>
          <w:p w14:paraId="2200C87E" w14:textId="77777777" w:rsidR="00416FA8" w:rsidRPr="004B6753" w:rsidRDefault="00416FA8" w:rsidP="004B6753">
            <w:pPr>
              <w:pStyle w:val="NoSpacing"/>
              <w:jc w:val="center"/>
              <w:rPr>
                <w:rFonts w:ascii="Times New Roman" w:hAnsi="Times New Roman" w:cs="Times New Roman"/>
                <w:szCs w:val="24"/>
              </w:rPr>
            </w:pPr>
            <w:r w:rsidRPr="004B6753">
              <w:rPr>
                <w:rFonts w:ascii="Times New Roman" w:hAnsi="Times New Roman" w:cs="Times New Roman"/>
                <w:szCs w:val="24"/>
              </w:rPr>
              <w:t>3.60</w:t>
            </w:r>
          </w:p>
        </w:tc>
        <w:tc>
          <w:tcPr>
            <w:tcW w:w="0" w:type="auto"/>
            <w:vAlign w:val="center"/>
            <w:hideMark/>
          </w:tcPr>
          <w:p w14:paraId="13185AED" w14:textId="77777777" w:rsidR="00416FA8" w:rsidRPr="004B6753" w:rsidRDefault="00416FA8" w:rsidP="004B6753">
            <w:pPr>
              <w:pStyle w:val="NoSpacing"/>
              <w:jc w:val="center"/>
              <w:rPr>
                <w:rFonts w:ascii="Times New Roman" w:hAnsi="Times New Roman" w:cs="Times New Roman"/>
                <w:szCs w:val="24"/>
              </w:rPr>
            </w:pPr>
            <w:r w:rsidRPr="004B6753">
              <w:rPr>
                <w:rFonts w:ascii="Times New Roman" w:hAnsi="Times New Roman" w:cs="Times New Roman"/>
                <w:szCs w:val="24"/>
              </w:rPr>
              <w:t>0.27</w:t>
            </w:r>
          </w:p>
        </w:tc>
        <w:tc>
          <w:tcPr>
            <w:tcW w:w="0" w:type="auto"/>
            <w:vAlign w:val="center"/>
            <w:hideMark/>
          </w:tcPr>
          <w:p w14:paraId="2864DEB6" w14:textId="77777777" w:rsidR="00416FA8" w:rsidRPr="004B6753" w:rsidRDefault="00416FA8" w:rsidP="004B6753">
            <w:pPr>
              <w:pStyle w:val="NoSpacing"/>
              <w:jc w:val="center"/>
              <w:rPr>
                <w:rFonts w:ascii="Times New Roman" w:hAnsi="Times New Roman" w:cs="Times New Roman"/>
                <w:szCs w:val="24"/>
              </w:rPr>
            </w:pPr>
            <w:r w:rsidRPr="004B6753">
              <w:rPr>
                <w:rFonts w:ascii="Times New Roman" w:hAnsi="Times New Roman" w:cs="Times New Roman"/>
                <w:szCs w:val="24"/>
              </w:rPr>
              <w:t>1.52</w:t>
            </w:r>
          </w:p>
        </w:tc>
        <w:tc>
          <w:tcPr>
            <w:tcW w:w="0" w:type="auto"/>
            <w:vAlign w:val="center"/>
            <w:hideMark/>
          </w:tcPr>
          <w:p w14:paraId="40C0B0D4" w14:textId="77777777" w:rsidR="00416FA8" w:rsidRPr="004B6753" w:rsidRDefault="00416FA8" w:rsidP="004B6753">
            <w:pPr>
              <w:pStyle w:val="NoSpacing"/>
              <w:jc w:val="center"/>
              <w:rPr>
                <w:rFonts w:ascii="Times New Roman" w:hAnsi="Times New Roman" w:cs="Times New Roman"/>
                <w:szCs w:val="24"/>
              </w:rPr>
            </w:pPr>
            <w:r w:rsidRPr="004B6753">
              <w:rPr>
                <w:rFonts w:ascii="Times New Roman" w:hAnsi="Times New Roman" w:cs="Times New Roman"/>
                <w:szCs w:val="24"/>
              </w:rPr>
              <w:t>0.51</w:t>
            </w:r>
          </w:p>
        </w:tc>
        <w:tc>
          <w:tcPr>
            <w:tcW w:w="0" w:type="auto"/>
            <w:vAlign w:val="center"/>
            <w:hideMark/>
          </w:tcPr>
          <w:p w14:paraId="3B4C7E25" w14:textId="77777777" w:rsidR="00416FA8" w:rsidRPr="004B6753" w:rsidRDefault="00416FA8" w:rsidP="004B6753">
            <w:pPr>
              <w:pStyle w:val="NoSpacing"/>
              <w:jc w:val="center"/>
              <w:rPr>
                <w:rFonts w:ascii="Times New Roman" w:hAnsi="Times New Roman" w:cs="Times New Roman"/>
                <w:szCs w:val="24"/>
              </w:rPr>
            </w:pPr>
            <w:r w:rsidRPr="004B6753">
              <w:rPr>
                <w:rFonts w:ascii="Times New Roman" w:hAnsi="Times New Roman" w:cs="Times New Roman"/>
                <w:szCs w:val="24"/>
              </w:rPr>
              <w:t>0.27</w:t>
            </w:r>
          </w:p>
        </w:tc>
        <w:tc>
          <w:tcPr>
            <w:tcW w:w="0" w:type="auto"/>
            <w:vAlign w:val="center"/>
            <w:hideMark/>
          </w:tcPr>
          <w:p w14:paraId="00903613" w14:textId="77777777" w:rsidR="00416FA8" w:rsidRPr="004B6753" w:rsidRDefault="00416FA8" w:rsidP="004B6753">
            <w:pPr>
              <w:pStyle w:val="NoSpacing"/>
              <w:jc w:val="center"/>
              <w:rPr>
                <w:rFonts w:ascii="Times New Roman" w:hAnsi="Times New Roman" w:cs="Times New Roman"/>
                <w:szCs w:val="24"/>
              </w:rPr>
            </w:pPr>
            <w:r w:rsidRPr="004B6753">
              <w:rPr>
                <w:rFonts w:ascii="Times New Roman" w:hAnsi="Times New Roman" w:cs="Times New Roman"/>
                <w:szCs w:val="24"/>
              </w:rPr>
              <w:t>0.75</w:t>
            </w:r>
          </w:p>
        </w:tc>
        <w:tc>
          <w:tcPr>
            <w:tcW w:w="0" w:type="auto"/>
            <w:vAlign w:val="center"/>
            <w:hideMark/>
          </w:tcPr>
          <w:p w14:paraId="37772835" w14:textId="77777777" w:rsidR="00416FA8" w:rsidRPr="004B6753" w:rsidRDefault="00416FA8" w:rsidP="004B6753">
            <w:pPr>
              <w:pStyle w:val="NoSpacing"/>
              <w:jc w:val="center"/>
              <w:rPr>
                <w:rFonts w:ascii="Times New Roman" w:hAnsi="Times New Roman" w:cs="Times New Roman"/>
                <w:szCs w:val="24"/>
              </w:rPr>
            </w:pPr>
            <w:r w:rsidRPr="004B6753">
              <w:rPr>
                <w:rFonts w:ascii="Times New Roman" w:hAnsi="Times New Roman" w:cs="Times New Roman"/>
                <w:szCs w:val="24"/>
              </w:rPr>
              <w:t>4.42</w:t>
            </w:r>
          </w:p>
        </w:tc>
        <w:tc>
          <w:tcPr>
            <w:tcW w:w="0" w:type="auto"/>
            <w:vAlign w:val="center"/>
            <w:hideMark/>
          </w:tcPr>
          <w:p w14:paraId="714E40A9" w14:textId="77777777" w:rsidR="00416FA8" w:rsidRPr="004B6753" w:rsidRDefault="00416FA8" w:rsidP="004B6753">
            <w:pPr>
              <w:pStyle w:val="NoSpacing"/>
              <w:jc w:val="center"/>
              <w:rPr>
                <w:rFonts w:ascii="Times New Roman" w:hAnsi="Times New Roman" w:cs="Times New Roman"/>
                <w:szCs w:val="24"/>
              </w:rPr>
            </w:pPr>
            <w:r w:rsidRPr="004B6753">
              <w:rPr>
                <w:rFonts w:ascii="Times New Roman" w:hAnsi="Times New Roman" w:cs="Times New Roman"/>
                <w:szCs w:val="24"/>
              </w:rPr>
              <w:t>13.09</w:t>
            </w:r>
          </w:p>
        </w:tc>
      </w:tr>
      <w:tr w:rsidR="00416FA8" w:rsidRPr="004B6753" w14:paraId="78D0AB53" w14:textId="77777777" w:rsidTr="004B6753">
        <w:trPr>
          <w:trHeight w:val="200"/>
        </w:trPr>
        <w:tc>
          <w:tcPr>
            <w:tcW w:w="0" w:type="auto"/>
            <w:hideMark/>
          </w:tcPr>
          <w:p w14:paraId="20A28DE8" w14:textId="77777777" w:rsidR="00416FA8" w:rsidRPr="004B6753" w:rsidRDefault="00416FA8" w:rsidP="00B77C0B">
            <w:pPr>
              <w:pStyle w:val="NoSpacing"/>
              <w:rPr>
                <w:rFonts w:ascii="Times New Roman" w:hAnsi="Times New Roman" w:cs="Times New Roman"/>
                <w:szCs w:val="24"/>
              </w:rPr>
            </w:pPr>
            <w:r w:rsidRPr="004B6753">
              <w:rPr>
                <w:rFonts w:ascii="Times New Roman" w:hAnsi="Times New Roman" w:cs="Times New Roman"/>
                <w:szCs w:val="24"/>
              </w:rPr>
              <w:t>1967-68</w:t>
            </w:r>
          </w:p>
        </w:tc>
        <w:tc>
          <w:tcPr>
            <w:tcW w:w="0" w:type="auto"/>
            <w:vAlign w:val="center"/>
            <w:hideMark/>
          </w:tcPr>
          <w:p w14:paraId="172AB255" w14:textId="77777777" w:rsidR="00416FA8" w:rsidRPr="004B6753" w:rsidRDefault="00416FA8" w:rsidP="004B6753">
            <w:pPr>
              <w:pStyle w:val="NoSpacing"/>
              <w:jc w:val="center"/>
              <w:rPr>
                <w:rFonts w:ascii="Times New Roman" w:hAnsi="Times New Roman" w:cs="Times New Roman"/>
                <w:szCs w:val="24"/>
              </w:rPr>
            </w:pPr>
            <w:r w:rsidRPr="004B6753">
              <w:rPr>
                <w:rFonts w:ascii="Times New Roman" w:hAnsi="Times New Roman" w:cs="Times New Roman"/>
                <w:szCs w:val="24"/>
              </w:rPr>
              <w:t>0.03</w:t>
            </w:r>
          </w:p>
        </w:tc>
        <w:tc>
          <w:tcPr>
            <w:tcW w:w="0" w:type="auto"/>
            <w:vAlign w:val="center"/>
            <w:hideMark/>
          </w:tcPr>
          <w:p w14:paraId="5C08316E" w14:textId="77777777" w:rsidR="00416FA8" w:rsidRPr="004B6753" w:rsidRDefault="00416FA8" w:rsidP="004B6753">
            <w:pPr>
              <w:pStyle w:val="NoSpacing"/>
              <w:jc w:val="center"/>
              <w:rPr>
                <w:rFonts w:ascii="Times New Roman" w:hAnsi="Times New Roman" w:cs="Times New Roman"/>
                <w:szCs w:val="24"/>
              </w:rPr>
            </w:pPr>
            <w:r w:rsidRPr="004B6753">
              <w:rPr>
                <w:rFonts w:ascii="Times New Roman" w:hAnsi="Times New Roman" w:cs="Times New Roman"/>
                <w:szCs w:val="24"/>
              </w:rPr>
              <w:t>0.29</w:t>
            </w:r>
          </w:p>
        </w:tc>
        <w:tc>
          <w:tcPr>
            <w:tcW w:w="0" w:type="auto"/>
            <w:vAlign w:val="center"/>
            <w:hideMark/>
          </w:tcPr>
          <w:p w14:paraId="415D3EE6" w14:textId="77777777" w:rsidR="00416FA8" w:rsidRPr="004B6753" w:rsidRDefault="00416FA8" w:rsidP="004B6753">
            <w:pPr>
              <w:pStyle w:val="NoSpacing"/>
              <w:jc w:val="center"/>
              <w:rPr>
                <w:rFonts w:ascii="Times New Roman" w:hAnsi="Times New Roman" w:cs="Times New Roman"/>
                <w:szCs w:val="24"/>
              </w:rPr>
            </w:pPr>
            <w:r w:rsidRPr="004B6753">
              <w:rPr>
                <w:rFonts w:ascii="Times New Roman" w:hAnsi="Times New Roman" w:cs="Times New Roman"/>
                <w:szCs w:val="24"/>
              </w:rPr>
              <w:t>1.44</w:t>
            </w:r>
          </w:p>
        </w:tc>
        <w:tc>
          <w:tcPr>
            <w:tcW w:w="0" w:type="auto"/>
            <w:vAlign w:val="center"/>
            <w:hideMark/>
          </w:tcPr>
          <w:p w14:paraId="3142D3A6" w14:textId="77777777" w:rsidR="00416FA8" w:rsidRPr="004B6753" w:rsidRDefault="00416FA8" w:rsidP="004B6753">
            <w:pPr>
              <w:pStyle w:val="NoSpacing"/>
              <w:jc w:val="center"/>
              <w:rPr>
                <w:rFonts w:ascii="Times New Roman" w:hAnsi="Times New Roman" w:cs="Times New Roman"/>
                <w:szCs w:val="24"/>
              </w:rPr>
            </w:pPr>
            <w:r w:rsidRPr="004B6753">
              <w:rPr>
                <w:rFonts w:ascii="Times New Roman" w:hAnsi="Times New Roman" w:cs="Times New Roman"/>
                <w:szCs w:val="24"/>
              </w:rPr>
              <w:t>3.94</w:t>
            </w:r>
          </w:p>
        </w:tc>
        <w:tc>
          <w:tcPr>
            <w:tcW w:w="0" w:type="auto"/>
            <w:vAlign w:val="center"/>
            <w:hideMark/>
          </w:tcPr>
          <w:p w14:paraId="6BBE55D4" w14:textId="77777777" w:rsidR="00416FA8" w:rsidRPr="004B6753" w:rsidRDefault="00416FA8" w:rsidP="004B6753">
            <w:pPr>
              <w:pStyle w:val="NoSpacing"/>
              <w:jc w:val="center"/>
              <w:rPr>
                <w:rFonts w:ascii="Times New Roman" w:hAnsi="Times New Roman" w:cs="Times New Roman"/>
                <w:szCs w:val="24"/>
              </w:rPr>
            </w:pPr>
            <w:r w:rsidRPr="004B6753">
              <w:rPr>
                <w:rFonts w:ascii="Times New Roman" w:hAnsi="Times New Roman" w:cs="Times New Roman"/>
                <w:szCs w:val="24"/>
              </w:rPr>
              <w:t>0.58</w:t>
            </w:r>
          </w:p>
        </w:tc>
        <w:tc>
          <w:tcPr>
            <w:tcW w:w="0" w:type="auto"/>
            <w:vAlign w:val="center"/>
            <w:hideMark/>
          </w:tcPr>
          <w:p w14:paraId="7FEF8DA3" w14:textId="77777777" w:rsidR="00416FA8" w:rsidRPr="004B6753" w:rsidRDefault="00416FA8" w:rsidP="004B6753">
            <w:pPr>
              <w:pStyle w:val="NoSpacing"/>
              <w:jc w:val="center"/>
              <w:rPr>
                <w:rFonts w:ascii="Times New Roman" w:hAnsi="Times New Roman" w:cs="Times New Roman"/>
                <w:szCs w:val="24"/>
              </w:rPr>
            </w:pPr>
            <w:r w:rsidRPr="004B6753">
              <w:rPr>
                <w:rFonts w:ascii="Times New Roman" w:hAnsi="Times New Roman" w:cs="Times New Roman"/>
                <w:szCs w:val="24"/>
              </w:rPr>
              <w:t>1.88</w:t>
            </w:r>
          </w:p>
        </w:tc>
        <w:tc>
          <w:tcPr>
            <w:tcW w:w="0" w:type="auto"/>
            <w:vAlign w:val="center"/>
            <w:hideMark/>
          </w:tcPr>
          <w:p w14:paraId="2419AE83" w14:textId="77777777" w:rsidR="00416FA8" w:rsidRPr="004B6753" w:rsidRDefault="00416FA8" w:rsidP="004B6753">
            <w:pPr>
              <w:pStyle w:val="NoSpacing"/>
              <w:jc w:val="center"/>
              <w:rPr>
                <w:rFonts w:ascii="Times New Roman" w:hAnsi="Times New Roman" w:cs="Times New Roman"/>
                <w:szCs w:val="24"/>
              </w:rPr>
            </w:pPr>
            <w:r w:rsidRPr="004B6753">
              <w:rPr>
                <w:rFonts w:ascii="Times New Roman" w:hAnsi="Times New Roman" w:cs="Times New Roman"/>
                <w:szCs w:val="24"/>
              </w:rPr>
              <w:t>0.65</w:t>
            </w:r>
          </w:p>
        </w:tc>
        <w:tc>
          <w:tcPr>
            <w:tcW w:w="0" w:type="auto"/>
            <w:vAlign w:val="center"/>
            <w:hideMark/>
          </w:tcPr>
          <w:p w14:paraId="08489AA8" w14:textId="77777777" w:rsidR="00416FA8" w:rsidRPr="004B6753" w:rsidRDefault="00416FA8" w:rsidP="004B6753">
            <w:pPr>
              <w:pStyle w:val="NoSpacing"/>
              <w:jc w:val="center"/>
              <w:rPr>
                <w:rFonts w:ascii="Times New Roman" w:hAnsi="Times New Roman" w:cs="Times New Roman"/>
                <w:szCs w:val="24"/>
              </w:rPr>
            </w:pPr>
            <w:r w:rsidRPr="004B6753">
              <w:rPr>
                <w:rFonts w:ascii="Times New Roman" w:hAnsi="Times New Roman" w:cs="Times New Roman"/>
                <w:szCs w:val="24"/>
              </w:rPr>
              <w:t>0.18</w:t>
            </w:r>
          </w:p>
        </w:tc>
        <w:tc>
          <w:tcPr>
            <w:tcW w:w="0" w:type="auto"/>
            <w:vAlign w:val="center"/>
            <w:hideMark/>
          </w:tcPr>
          <w:p w14:paraId="6461C1F2" w14:textId="77777777" w:rsidR="00416FA8" w:rsidRPr="004B6753" w:rsidRDefault="00416FA8" w:rsidP="004B6753">
            <w:pPr>
              <w:pStyle w:val="NoSpacing"/>
              <w:jc w:val="center"/>
              <w:rPr>
                <w:rFonts w:ascii="Times New Roman" w:hAnsi="Times New Roman" w:cs="Times New Roman"/>
                <w:szCs w:val="24"/>
              </w:rPr>
            </w:pPr>
            <w:r w:rsidRPr="004B6753">
              <w:rPr>
                <w:rFonts w:ascii="Times New Roman" w:hAnsi="Times New Roman" w:cs="Times New Roman"/>
                <w:szCs w:val="24"/>
              </w:rPr>
              <w:t>0.80</w:t>
            </w:r>
          </w:p>
        </w:tc>
        <w:tc>
          <w:tcPr>
            <w:tcW w:w="0" w:type="auto"/>
            <w:vAlign w:val="center"/>
            <w:hideMark/>
          </w:tcPr>
          <w:p w14:paraId="155A537B" w14:textId="77777777" w:rsidR="00416FA8" w:rsidRPr="004B6753" w:rsidRDefault="00416FA8" w:rsidP="004B6753">
            <w:pPr>
              <w:pStyle w:val="NoSpacing"/>
              <w:jc w:val="center"/>
              <w:rPr>
                <w:rFonts w:ascii="Times New Roman" w:hAnsi="Times New Roman" w:cs="Times New Roman"/>
                <w:szCs w:val="24"/>
              </w:rPr>
            </w:pPr>
            <w:r w:rsidRPr="004B6753">
              <w:rPr>
                <w:rFonts w:ascii="Times New Roman" w:hAnsi="Times New Roman" w:cs="Times New Roman"/>
                <w:szCs w:val="24"/>
              </w:rPr>
              <w:t>4.97</w:t>
            </w:r>
          </w:p>
        </w:tc>
        <w:tc>
          <w:tcPr>
            <w:tcW w:w="0" w:type="auto"/>
            <w:vAlign w:val="center"/>
            <w:hideMark/>
          </w:tcPr>
          <w:p w14:paraId="4541651C" w14:textId="77777777" w:rsidR="00416FA8" w:rsidRPr="004B6753" w:rsidRDefault="00416FA8" w:rsidP="004B6753">
            <w:pPr>
              <w:pStyle w:val="NoSpacing"/>
              <w:jc w:val="center"/>
              <w:rPr>
                <w:rFonts w:ascii="Times New Roman" w:hAnsi="Times New Roman" w:cs="Times New Roman"/>
                <w:szCs w:val="24"/>
              </w:rPr>
            </w:pPr>
            <w:r w:rsidRPr="004B6753">
              <w:rPr>
                <w:rFonts w:ascii="Times New Roman" w:hAnsi="Times New Roman" w:cs="Times New Roman"/>
                <w:szCs w:val="24"/>
              </w:rPr>
              <w:t>14.76</w:t>
            </w:r>
          </w:p>
        </w:tc>
      </w:tr>
      <w:tr w:rsidR="00812C67" w:rsidRPr="004B6753" w14:paraId="0CB5910E" w14:textId="77777777" w:rsidTr="004B6753">
        <w:trPr>
          <w:trHeight w:val="402"/>
        </w:trPr>
        <w:tc>
          <w:tcPr>
            <w:tcW w:w="0" w:type="auto"/>
            <w:vMerge w:val="restart"/>
            <w:hideMark/>
          </w:tcPr>
          <w:p w14:paraId="78498C48" w14:textId="77777777" w:rsidR="00812C67" w:rsidRPr="004B6753" w:rsidRDefault="00812C67" w:rsidP="00B77C0B">
            <w:pPr>
              <w:pStyle w:val="NoSpacing"/>
              <w:rPr>
                <w:rFonts w:ascii="Times New Roman" w:hAnsi="Times New Roman" w:cs="Times New Roman"/>
                <w:szCs w:val="24"/>
              </w:rPr>
            </w:pPr>
            <w:r w:rsidRPr="004B6753">
              <w:rPr>
                <w:rFonts w:ascii="Times New Roman" w:hAnsi="Times New Roman" w:cs="Times New Roman"/>
                <w:szCs w:val="24"/>
              </w:rPr>
              <w:t>1968-69 (RE)</w:t>
            </w:r>
          </w:p>
        </w:tc>
        <w:tc>
          <w:tcPr>
            <w:tcW w:w="0" w:type="auto"/>
            <w:vAlign w:val="center"/>
            <w:hideMark/>
          </w:tcPr>
          <w:p w14:paraId="38978D2F" w14:textId="77777777" w:rsidR="00812C67" w:rsidRPr="004B6753" w:rsidRDefault="00812C67" w:rsidP="004B6753">
            <w:pPr>
              <w:pStyle w:val="NoSpacing"/>
              <w:jc w:val="center"/>
              <w:rPr>
                <w:rFonts w:ascii="Times New Roman" w:hAnsi="Times New Roman" w:cs="Times New Roman"/>
                <w:szCs w:val="24"/>
              </w:rPr>
            </w:pPr>
            <w:r w:rsidRPr="004B6753">
              <w:rPr>
                <w:rFonts w:ascii="Times New Roman" w:hAnsi="Times New Roman" w:cs="Times New Roman"/>
                <w:szCs w:val="24"/>
              </w:rPr>
              <w:t>0.07</w:t>
            </w:r>
          </w:p>
        </w:tc>
        <w:tc>
          <w:tcPr>
            <w:tcW w:w="0" w:type="auto"/>
            <w:vAlign w:val="center"/>
            <w:hideMark/>
          </w:tcPr>
          <w:p w14:paraId="291014A0" w14:textId="77777777" w:rsidR="00812C67" w:rsidRPr="004B6753" w:rsidRDefault="00812C67" w:rsidP="004B6753">
            <w:pPr>
              <w:pStyle w:val="NoSpacing"/>
              <w:jc w:val="center"/>
              <w:rPr>
                <w:rFonts w:ascii="Times New Roman" w:hAnsi="Times New Roman" w:cs="Times New Roman"/>
                <w:szCs w:val="24"/>
              </w:rPr>
            </w:pPr>
            <w:r w:rsidRPr="004B6753">
              <w:rPr>
                <w:rFonts w:ascii="Times New Roman" w:hAnsi="Times New Roman" w:cs="Times New Roman"/>
                <w:szCs w:val="24"/>
              </w:rPr>
              <w:t>0.50</w:t>
            </w:r>
          </w:p>
        </w:tc>
        <w:tc>
          <w:tcPr>
            <w:tcW w:w="0" w:type="auto"/>
            <w:vAlign w:val="center"/>
            <w:hideMark/>
          </w:tcPr>
          <w:p w14:paraId="68F3FBB7" w14:textId="77777777" w:rsidR="00812C67" w:rsidRPr="004B6753" w:rsidRDefault="00812C67" w:rsidP="004B6753">
            <w:pPr>
              <w:pStyle w:val="NoSpacing"/>
              <w:jc w:val="center"/>
              <w:rPr>
                <w:rFonts w:ascii="Times New Roman" w:hAnsi="Times New Roman" w:cs="Times New Roman"/>
                <w:szCs w:val="24"/>
              </w:rPr>
            </w:pPr>
            <w:r w:rsidRPr="004B6753">
              <w:rPr>
                <w:rFonts w:ascii="Times New Roman" w:hAnsi="Times New Roman" w:cs="Times New Roman"/>
                <w:szCs w:val="24"/>
              </w:rPr>
              <w:t>1.81</w:t>
            </w:r>
          </w:p>
        </w:tc>
        <w:tc>
          <w:tcPr>
            <w:tcW w:w="0" w:type="auto"/>
            <w:vAlign w:val="center"/>
            <w:hideMark/>
          </w:tcPr>
          <w:p w14:paraId="730C8128" w14:textId="77777777" w:rsidR="00812C67" w:rsidRPr="004B6753" w:rsidRDefault="00812C67" w:rsidP="004B6753">
            <w:pPr>
              <w:pStyle w:val="NoSpacing"/>
              <w:jc w:val="center"/>
              <w:rPr>
                <w:rFonts w:ascii="Times New Roman" w:hAnsi="Times New Roman" w:cs="Times New Roman"/>
                <w:szCs w:val="24"/>
              </w:rPr>
            </w:pPr>
            <w:r w:rsidRPr="004B6753">
              <w:rPr>
                <w:rFonts w:ascii="Times New Roman" w:hAnsi="Times New Roman" w:cs="Times New Roman"/>
                <w:szCs w:val="24"/>
              </w:rPr>
              <w:t>4.58</w:t>
            </w:r>
          </w:p>
        </w:tc>
        <w:tc>
          <w:tcPr>
            <w:tcW w:w="0" w:type="auto"/>
            <w:vAlign w:val="center"/>
            <w:hideMark/>
          </w:tcPr>
          <w:p w14:paraId="41C3C807" w14:textId="77777777" w:rsidR="00812C67" w:rsidRPr="004B6753" w:rsidRDefault="00812C67" w:rsidP="004B6753">
            <w:pPr>
              <w:pStyle w:val="NoSpacing"/>
              <w:jc w:val="center"/>
              <w:rPr>
                <w:rFonts w:ascii="Times New Roman" w:hAnsi="Times New Roman" w:cs="Times New Roman"/>
                <w:szCs w:val="24"/>
              </w:rPr>
            </w:pPr>
            <w:r w:rsidRPr="004B6753">
              <w:rPr>
                <w:rFonts w:ascii="Times New Roman" w:hAnsi="Times New Roman" w:cs="Times New Roman"/>
                <w:szCs w:val="24"/>
              </w:rPr>
              <w:t>0.77</w:t>
            </w:r>
          </w:p>
        </w:tc>
        <w:tc>
          <w:tcPr>
            <w:tcW w:w="0" w:type="auto"/>
            <w:vAlign w:val="center"/>
            <w:hideMark/>
          </w:tcPr>
          <w:p w14:paraId="0EDD8EFC" w14:textId="77777777" w:rsidR="00812C67" w:rsidRPr="004B6753" w:rsidRDefault="00812C67" w:rsidP="004B6753">
            <w:pPr>
              <w:pStyle w:val="NoSpacing"/>
              <w:jc w:val="center"/>
              <w:rPr>
                <w:rFonts w:ascii="Times New Roman" w:hAnsi="Times New Roman" w:cs="Times New Roman"/>
                <w:szCs w:val="24"/>
              </w:rPr>
            </w:pPr>
            <w:r w:rsidRPr="004B6753">
              <w:rPr>
                <w:rFonts w:ascii="Times New Roman" w:hAnsi="Times New Roman" w:cs="Times New Roman"/>
                <w:szCs w:val="24"/>
              </w:rPr>
              <w:t>2.36</w:t>
            </w:r>
          </w:p>
        </w:tc>
        <w:tc>
          <w:tcPr>
            <w:tcW w:w="0" w:type="auto"/>
            <w:vAlign w:val="center"/>
            <w:hideMark/>
          </w:tcPr>
          <w:p w14:paraId="64C3163D" w14:textId="77777777" w:rsidR="00812C67" w:rsidRPr="004B6753" w:rsidRDefault="00812C67" w:rsidP="004B6753">
            <w:pPr>
              <w:pStyle w:val="NoSpacing"/>
              <w:jc w:val="center"/>
              <w:rPr>
                <w:rFonts w:ascii="Times New Roman" w:hAnsi="Times New Roman" w:cs="Times New Roman"/>
                <w:szCs w:val="24"/>
              </w:rPr>
            </w:pPr>
            <w:r w:rsidRPr="004B6753">
              <w:rPr>
                <w:rFonts w:ascii="Times New Roman" w:hAnsi="Times New Roman" w:cs="Times New Roman"/>
                <w:szCs w:val="24"/>
              </w:rPr>
              <w:t>1.08</w:t>
            </w:r>
          </w:p>
        </w:tc>
        <w:tc>
          <w:tcPr>
            <w:tcW w:w="0" w:type="auto"/>
            <w:vAlign w:val="center"/>
            <w:hideMark/>
          </w:tcPr>
          <w:p w14:paraId="2B3900F2" w14:textId="77777777" w:rsidR="00812C67" w:rsidRPr="004B6753" w:rsidRDefault="00812C67" w:rsidP="004B6753">
            <w:pPr>
              <w:pStyle w:val="NoSpacing"/>
              <w:jc w:val="center"/>
              <w:rPr>
                <w:rFonts w:ascii="Times New Roman" w:hAnsi="Times New Roman" w:cs="Times New Roman"/>
                <w:szCs w:val="24"/>
              </w:rPr>
            </w:pPr>
            <w:r w:rsidRPr="004B6753">
              <w:rPr>
                <w:rFonts w:ascii="Times New Roman" w:hAnsi="Times New Roman" w:cs="Times New Roman"/>
                <w:szCs w:val="24"/>
              </w:rPr>
              <w:t>0.26</w:t>
            </w:r>
          </w:p>
        </w:tc>
        <w:tc>
          <w:tcPr>
            <w:tcW w:w="0" w:type="auto"/>
            <w:vAlign w:val="center"/>
            <w:hideMark/>
          </w:tcPr>
          <w:p w14:paraId="44E61523" w14:textId="77777777" w:rsidR="00812C67" w:rsidRPr="004B6753" w:rsidRDefault="00812C67" w:rsidP="004B6753">
            <w:pPr>
              <w:pStyle w:val="NoSpacing"/>
              <w:jc w:val="center"/>
              <w:rPr>
                <w:rFonts w:ascii="Times New Roman" w:hAnsi="Times New Roman" w:cs="Times New Roman"/>
                <w:szCs w:val="24"/>
              </w:rPr>
            </w:pPr>
            <w:r w:rsidRPr="004B6753">
              <w:rPr>
                <w:rFonts w:ascii="Times New Roman" w:hAnsi="Times New Roman" w:cs="Times New Roman"/>
                <w:szCs w:val="24"/>
              </w:rPr>
              <w:t>1.09</w:t>
            </w:r>
          </w:p>
        </w:tc>
        <w:tc>
          <w:tcPr>
            <w:tcW w:w="0" w:type="auto"/>
            <w:vAlign w:val="center"/>
            <w:hideMark/>
          </w:tcPr>
          <w:p w14:paraId="49C5B5A8" w14:textId="77777777" w:rsidR="00812C67" w:rsidRPr="004B6753" w:rsidRDefault="00812C67" w:rsidP="004B6753">
            <w:pPr>
              <w:pStyle w:val="NoSpacing"/>
              <w:jc w:val="center"/>
              <w:rPr>
                <w:rFonts w:ascii="Times New Roman" w:hAnsi="Times New Roman" w:cs="Times New Roman"/>
                <w:szCs w:val="24"/>
              </w:rPr>
            </w:pPr>
            <w:r w:rsidRPr="004B6753">
              <w:rPr>
                <w:rFonts w:ascii="Times New Roman" w:hAnsi="Times New Roman" w:cs="Times New Roman"/>
                <w:szCs w:val="24"/>
              </w:rPr>
              <w:t>7.60</w:t>
            </w:r>
          </w:p>
        </w:tc>
        <w:tc>
          <w:tcPr>
            <w:tcW w:w="0" w:type="auto"/>
            <w:vAlign w:val="center"/>
            <w:hideMark/>
          </w:tcPr>
          <w:p w14:paraId="40D6D4FC" w14:textId="77777777" w:rsidR="00812C67" w:rsidRPr="004B6753" w:rsidRDefault="00812C67" w:rsidP="004B6753">
            <w:pPr>
              <w:pStyle w:val="NoSpacing"/>
              <w:jc w:val="center"/>
              <w:rPr>
                <w:rFonts w:ascii="Times New Roman" w:hAnsi="Times New Roman" w:cs="Times New Roman"/>
                <w:szCs w:val="24"/>
              </w:rPr>
            </w:pPr>
            <w:r w:rsidRPr="004B6753">
              <w:rPr>
                <w:rFonts w:ascii="Times New Roman" w:hAnsi="Times New Roman" w:cs="Times New Roman"/>
                <w:szCs w:val="24"/>
              </w:rPr>
              <w:t>20.12</w:t>
            </w:r>
          </w:p>
        </w:tc>
      </w:tr>
      <w:tr w:rsidR="00812C67" w:rsidRPr="004B6753" w14:paraId="6B38EBFE" w14:textId="77777777" w:rsidTr="004B6753">
        <w:trPr>
          <w:trHeight w:val="200"/>
        </w:trPr>
        <w:tc>
          <w:tcPr>
            <w:tcW w:w="0" w:type="auto"/>
            <w:vMerge/>
            <w:hideMark/>
          </w:tcPr>
          <w:p w14:paraId="2C8A80D5" w14:textId="77777777" w:rsidR="00812C67" w:rsidRPr="004B6753" w:rsidRDefault="00812C67" w:rsidP="00B77C0B">
            <w:pPr>
              <w:pStyle w:val="NoSpacing"/>
              <w:rPr>
                <w:rFonts w:ascii="Times New Roman" w:hAnsi="Times New Roman" w:cs="Times New Roman"/>
                <w:szCs w:val="24"/>
              </w:rPr>
            </w:pPr>
          </w:p>
        </w:tc>
        <w:tc>
          <w:tcPr>
            <w:tcW w:w="0" w:type="auto"/>
            <w:vAlign w:val="center"/>
            <w:hideMark/>
          </w:tcPr>
          <w:p w14:paraId="587D2E70" w14:textId="77777777" w:rsidR="00812C67" w:rsidRPr="004B6753" w:rsidRDefault="00812C67" w:rsidP="004B6753">
            <w:pPr>
              <w:pStyle w:val="NoSpacing"/>
              <w:jc w:val="center"/>
              <w:rPr>
                <w:rFonts w:ascii="Times New Roman" w:hAnsi="Times New Roman" w:cs="Times New Roman"/>
                <w:szCs w:val="24"/>
              </w:rPr>
            </w:pPr>
            <w:r w:rsidRPr="004B6753">
              <w:rPr>
                <w:rFonts w:ascii="Times New Roman" w:hAnsi="Times New Roman" w:cs="Times New Roman"/>
                <w:i/>
                <w:iCs/>
                <w:szCs w:val="24"/>
              </w:rPr>
              <w:t>(0.35)</w:t>
            </w:r>
          </w:p>
        </w:tc>
        <w:tc>
          <w:tcPr>
            <w:tcW w:w="0" w:type="auto"/>
            <w:vAlign w:val="center"/>
            <w:hideMark/>
          </w:tcPr>
          <w:p w14:paraId="556B6E54" w14:textId="77777777" w:rsidR="00812C67" w:rsidRPr="004B6753" w:rsidRDefault="00812C67" w:rsidP="004B6753">
            <w:pPr>
              <w:pStyle w:val="NoSpacing"/>
              <w:jc w:val="center"/>
              <w:rPr>
                <w:rFonts w:ascii="Times New Roman" w:hAnsi="Times New Roman" w:cs="Times New Roman"/>
                <w:szCs w:val="24"/>
              </w:rPr>
            </w:pPr>
            <w:r w:rsidRPr="004B6753">
              <w:rPr>
                <w:rFonts w:ascii="Times New Roman" w:hAnsi="Times New Roman" w:cs="Times New Roman"/>
                <w:i/>
                <w:iCs/>
                <w:szCs w:val="24"/>
              </w:rPr>
              <w:t>(2.48)</w:t>
            </w:r>
          </w:p>
        </w:tc>
        <w:tc>
          <w:tcPr>
            <w:tcW w:w="0" w:type="auto"/>
            <w:vAlign w:val="center"/>
            <w:hideMark/>
          </w:tcPr>
          <w:p w14:paraId="15747F15" w14:textId="77777777" w:rsidR="00812C67" w:rsidRPr="004B6753" w:rsidRDefault="00812C67" w:rsidP="004B6753">
            <w:pPr>
              <w:pStyle w:val="NoSpacing"/>
              <w:jc w:val="center"/>
              <w:rPr>
                <w:rFonts w:ascii="Times New Roman" w:hAnsi="Times New Roman" w:cs="Times New Roman"/>
                <w:szCs w:val="24"/>
              </w:rPr>
            </w:pPr>
            <w:r w:rsidRPr="004B6753">
              <w:rPr>
                <w:rFonts w:ascii="Times New Roman" w:hAnsi="Times New Roman" w:cs="Times New Roman"/>
                <w:i/>
                <w:iCs/>
                <w:szCs w:val="24"/>
              </w:rPr>
              <w:t>(9.00)</w:t>
            </w:r>
          </w:p>
        </w:tc>
        <w:tc>
          <w:tcPr>
            <w:tcW w:w="0" w:type="auto"/>
            <w:vAlign w:val="center"/>
            <w:hideMark/>
          </w:tcPr>
          <w:p w14:paraId="313C180E" w14:textId="77777777" w:rsidR="00812C67" w:rsidRPr="004B6753" w:rsidRDefault="00812C67" w:rsidP="004B6753">
            <w:pPr>
              <w:pStyle w:val="NoSpacing"/>
              <w:jc w:val="center"/>
              <w:rPr>
                <w:rFonts w:ascii="Times New Roman" w:hAnsi="Times New Roman" w:cs="Times New Roman"/>
                <w:szCs w:val="24"/>
              </w:rPr>
            </w:pPr>
            <w:r w:rsidRPr="004B6753">
              <w:rPr>
                <w:rFonts w:ascii="Times New Roman" w:hAnsi="Times New Roman" w:cs="Times New Roman"/>
                <w:i/>
                <w:iCs/>
                <w:szCs w:val="24"/>
              </w:rPr>
              <w:t>(22.76)</w:t>
            </w:r>
          </w:p>
        </w:tc>
        <w:tc>
          <w:tcPr>
            <w:tcW w:w="0" w:type="auto"/>
            <w:vAlign w:val="center"/>
            <w:hideMark/>
          </w:tcPr>
          <w:p w14:paraId="6973993D" w14:textId="77777777" w:rsidR="00812C67" w:rsidRPr="004B6753" w:rsidRDefault="00812C67" w:rsidP="004B6753">
            <w:pPr>
              <w:pStyle w:val="NoSpacing"/>
              <w:jc w:val="center"/>
              <w:rPr>
                <w:rFonts w:ascii="Times New Roman" w:hAnsi="Times New Roman" w:cs="Times New Roman"/>
                <w:szCs w:val="24"/>
              </w:rPr>
            </w:pPr>
            <w:r w:rsidRPr="004B6753">
              <w:rPr>
                <w:rFonts w:ascii="Times New Roman" w:hAnsi="Times New Roman" w:cs="Times New Roman"/>
                <w:i/>
                <w:iCs/>
                <w:szCs w:val="24"/>
              </w:rPr>
              <w:t>(3.83)</w:t>
            </w:r>
          </w:p>
        </w:tc>
        <w:tc>
          <w:tcPr>
            <w:tcW w:w="0" w:type="auto"/>
            <w:vAlign w:val="center"/>
            <w:hideMark/>
          </w:tcPr>
          <w:p w14:paraId="12CAB64B" w14:textId="77777777" w:rsidR="00812C67" w:rsidRPr="004B6753" w:rsidRDefault="00812C67" w:rsidP="004B6753">
            <w:pPr>
              <w:pStyle w:val="NoSpacing"/>
              <w:jc w:val="center"/>
              <w:rPr>
                <w:rFonts w:ascii="Times New Roman" w:hAnsi="Times New Roman" w:cs="Times New Roman"/>
                <w:szCs w:val="24"/>
              </w:rPr>
            </w:pPr>
            <w:r w:rsidRPr="004B6753">
              <w:rPr>
                <w:rFonts w:ascii="Times New Roman" w:hAnsi="Times New Roman" w:cs="Times New Roman"/>
                <w:i/>
                <w:iCs/>
                <w:szCs w:val="24"/>
              </w:rPr>
              <w:t>(11.73)</w:t>
            </w:r>
          </w:p>
        </w:tc>
        <w:tc>
          <w:tcPr>
            <w:tcW w:w="0" w:type="auto"/>
            <w:vAlign w:val="center"/>
            <w:hideMark/>
          </w:tcPr>
          <w:p w14:paraId="05C01BC3" w14:textId="77777777" w:rsidR="00812C67" w:rsidRPr="004B6753" w:rsidRDefault="00812C67" w:rsidP="004B6753">
            <w:pPr>
              <w:pStyle w:val="NoSpacing"/>
              <w:jc w:val="center"/>
              <w:rPr>
                <w:rFonts w:ascii="Times New Roman" w:hAnsi="Times New Roman" w:cs="Times New Roman"/>
                <w:szCs w:val="24"/>
              </w:rPr>
            </w:pPr>
            <w:r w:rsidRPr="004B6753">
              <w:rPr>
                <w:rFonts w:ascii="Times New Roman" w:hAnsi="Times New Roman" w:cs="Times New Roman"/>
                <w:i/>
                <w:iCs/>
                <w:szCs w:val="24"/>
              </w:rPr>
              <w:t>(5.37)</w:t>
            </w:r>
          </w:p>
        </w:tc>
        <w:tc>
          <w:tcPr>
            <w:tcW w:w="0" w:type="auto"/>
            <w:vAlign w:val="center"/>
            <w:hideMark/>
          </w:tcPr>
          <w:p w14:paraId="35F5CA61" w14:textId="77777777" w:rsidR="00812C67" w:rsidRPr="004B6753" w:rsidRDefault="00812C67" w:rsidP="004B6753">
            <w:pPr>
              <w:pStyle w:val="NoSpacing"/>
              <w:jc w:val="center"/>
              <w:rPr>
                <w:rFonts w:ascii="Times New Roman" w:hAnsi="Times New Roman" w:cs="Times New Roman"/>
                <w:szCs w:val="24"/>
              </w:rPr>
            </w:pPr>
            <w:r w:rsidRPr="004B6753">
              <w:rPr>
                <w:rFonts w:ascii="Times New Roman" w:hAnsi="Times New Roman" w:cs="Times New Roman"/>
                <w:i/>
                <w:iCs/>
                <w:szCs w:val="24"/>
              </w:rPr>
              <w:t>(1.29)</w:t>
            </w:r>
          </w:p>
        </w:tc>
        <w:tc>
          <w:tcPr>
            <w:tcW w:w="0" w:type="auto"/>
            <w:vAlign w:val="center"/>
            <w:hideMark/>
          </w:tcPr>
          <w:p w14:paraId="3161AA1B" w14:textId="77777777" w:rsidR="00812C67" w:rsidRPr="004B6753" w:rsidRDefault="00812C67" w:rsidP="004B6753">
            <w:pPr>
              <w:pStyle w:val="NoSpacing"/>
              <w:jc w:val="center"/>
              <w:rPr>
                <w:rFonts w:ascii="Times New Roman" w:hAnsi="Times New Roman" w:cs="Times New Roman"/>
                <w:szCs w:val="24"/>
              </w:rPr>
            </w:pPr>
            <w:r w:rsidRPr="004B6753">
              <w:rPr>
                <w:rFonts w:ascii="Times New Roman" w:hAnsi="Times New Roman" w:cs="Times New Roman"/>
                <w:i/>
                <w:iCs/>
                <w:szCs w:val="24"/>
              </w:rPr>
              <w:t>(5.42)</w:t>
            </w:r>
          </w:p>
        </w:tc>
        <w:tc>
          <w:tcPr>
            <w:tcW w:w="0" w:type="auto"/>
            <w:vAlign w:val="center"/>
            <w:hideMark/>
          </w:tcPr>
          <w:p w14:paraId="0AC79080" w14:textId="77777777" w:rsidR="00812C67" w:rsidRPr="004B6753" w:rsidRDefault="00812C67" w:rsidP="004B6753">
            <w:pPr>
              <w:pStyle w:val="NoSpacing"/>
              <w:jc w:val="center"/>
              <w:rPr>
                <w:rFonts w:ascii="Times New Roman" w:hAnsi="Times New Roman" w:cs="Times New Roman"/>
                <w:szCs w:val="24"/>
              </w:rPr>
            </w:pPr>
            <w:r w:rsidRPr="004B6753">
              <w:rPr>
                <w:rFonts w:ascii="Times New Roman" w:hAnsi="Times New Roman" w:cs="Times New Roman"/>
                <w:i/>
                <w:iCs/>
                <w:szCs w:val="24"/>
              </w:rPr>
              <w:t>(37.77)</w:t>
            </w:r>
          </w:p>
        </w:tc>
        <w:tc>
          <w:tcPr>
            <w:tcW w:w="0" w:type="auto"/>
            <w:vAlign w:val="center"/>
            <w:hideMark/>
          </w:tcPr>
          <w:p w14:paraId="24FF24F1" w14:textId="77777777" w:rsidR="00812C67" w:rsidRPr="004B6753" w:rsidRDefault="00812C67" w:rsidP="004B6753">
            <w:pPr>
              <w:pStyle w:val="NoSpacing"/>
              <w:jc w:val="center"/>
              <w:rPr>
                <w:rFonts w:ascii="Times New Roman" w:hAnsi="Times New Roman" w:cs="Times New Roman"/>
                <w:szCs w:val="24"/>
              </w:rPr>
            </w:pPr>
            <w:r w:rsidRPr="004B6753">
              <w:rPr>
                <w:rFonts w:ascii="Times New Roman" w:hAnsi="Times New Roman" w:cs="Times New Roman"/>
                <w:i/>
                <w:iCs/>
                <w:szCs w:val="24"/>
              </w:rPr>
              <w:t>(100.00)</w:t>
            </w:r>
          </w:p>
        </w:tc>
      </w:tr>
      <w:tr w:rsidR="00416FA8" w:rsidRPr="004B6753" w14:paraId="36EA3290" w14:textId="77777777" w:rsidTr="004B6753">
        <w:trPr>
          <w:trHeight w:val="209"/>
        </w:trPr>
        <w:tc>
          <w:tcPr>
            <w:tcW w:w="0" w:type="auto"/>
            <w:hideMark/>
          </w:tcPr>
          <w:p w14:paraId="01C26331" w14:textId="77777777" w:rsidR="00416FA8" w:rsidRPr="004B6753" w:rsidRDefault="00416FA8" w:rsidP="00B77C0B">
            <w:pPr>
              <w:pStyle w:val="NoSpacing"/>
              <w:rPr>
                <w:rFonts w:ascii="Times New Roman" w:hAnsi="Times New Roman" w:cs="Times New Roman"/>
                <w:szCs w:val="24"/>
              </w:rPr>
            </w:pPr>
            <w:r w:rsidRPr="004B6753">
              <w:rPr>
                <w:rFonts w:ascii="Times New Roman" w:hAnsi="Times New Roman" w:cs="Times New Roman"/>
                <w:szCs w:val="24"/>
              </w:rPr>
              <w:t>Orissa</w:t>
            </w:r>
          </w:p>
        </w:tc>
        <w:tc>
          <w:tcPr>
            <w:tcW w:w="0" w:type="auto"/>
            <w:vAlign w:val="center"/>
            <w:hideMark/>
          </w:tcPr>
          <w:p w14:paraId="19640247" w14:textId="77777777" w:rsidR="00416FA8" w:rsidRPr="004B6753" w:rsidRDefault="00416FA8" w:rsidP="004B6753">
            <w:pPr>
              <w:pStyle w:val="NoSpacing"/>
              <w:jc w:val="center"/>
              <w:rPr>
                <w:rFonts w:ascii="Times New Roman" w:hAnsi="Times New Roman" w:cs="Times New Roman"/>
                <w:szCs w:val="24"/>
              </w:rPr>
            </w:pPr>
          </w:p>
        </w:tc>
        <w:tc>
          <w:tcPr>
            <w:tcW w:w="0" w:type="auto"/>
            <w:vAlign w:val="center"/>
            <w:hideMark/>
          </w:tcPr>
          <w:p w14:paraId="2CB82F78" w14:textId="77777777" w:rsidR="00416FA8" w:rsidRPr="004B6753" w:rsidRDefault="00416FA8" w:rsidP="004B6753">
            <w:pPr>
              <w:pStyle w:val="NoSpacing"/>
              <w:jc w:val="center"/>
              <w:rPr>
                <w:rFonts w:ascii="Times New Roman" w:hAnsi="Times New Roman" w:cs="Times New Roman"/>
                <w:szCs w:val="24"/>
              </w:rPr>
            </w:pPr>
          </w:p>
        </w:tc>
        <w:tc>
          <w:tcPr>
            <w:tcW w:w="0" w:type="auto"/>
            <w:vAlign w:val="center"/>
            <w:hideMark/>
          </w:tcPr>
          <w:p w14:paraId="3101D8A0" w14:textId="77777777" w:rsidR="00416FA8" w:rsidRPr="004B6753" w:rsidRDefault="00416FA8" w:rsidP="004B6753">
            <w:pPr>
              <w:pStyle w:val="NoSpacing"/>
              <w:jc w:val="center"/>
              <w:rPr>
                <w:rFonts w:ascii="Times New Roman" w:hAnsi="Times New Roman" w:cs="Times New Roman"/>
                <w:szCs w:val="24"/>
              </w:rPr>
            </w:pPr>
          </w:p>
        </w:tc>
        <w:tc>
          <w:tcPr>
            <w:tcW w:w="0" w:type="auto"/>
            <w:vAlign w:val="center"/>
            <w:hideMark/>
          </w:tcPr>
          <w:p w14:paraId="2EE03749" w14:textId="77777777" w:rsidR="00416FA8" w:rsidRPr="004B6753" w:rsidRDefault="00416FA8" w:rsidP="004B6753">
            <w:pPr>
              <w:pStyle w:val="NoSpacing"/>
              <w:jc w:val="center"/>
              <w:rPr>
                <w:rFonts w:ascii="Times New Roman" w:hAnsi="Times New Roman" w:cs="Times New Roman"/>
                <w:szCs w:val="24"/>
              </w:rPr>
            </w:pPr>
          </w:p>
        </w:tc>
        <w:tc>
          <w:tcPr>
            <w:tcW w:w="0" w:type="auto"/>
            <w:vAlign w:val="center"/>
            <w:hideMark/>
          </w:tcPr>
          <w:p w14:paraId="6AB5B818" w14:textId="77777777" w:rsidR="00416FA8" w:rsidRPr="004B6753" w:rsidRDefault="00416FA8" w:rsidP="004B6753">
            <w:pPr>
              <w:pStyle w:val="NoSpacing"/>
              <w:jc w:val="center"/>
              <w:rPr>
                <w:rFonts w:ascii="Times New Roman" w:hAnsi="Times New Roman" w:cs="Times New Roman"/>
                <w:szCs w:val="24"/>
              </w:rPr>
            </w:pPr>
          </w:p>
        </w:tc>
        <w:tc>
          <w:tcPr>
            <w:tcW w:w="0" w:type="auto"/>
            <w:vAlign w:val="center"/>
            <w:hideMark/>
          </w:tcPr>
          <w:p w14:paraId="586462FC" w14:textId="77777777" w:rsidR="00416FA8" w:rsidRPr="004B6753" w:rsidRDefault="00416FA8" w:rsidP="004B6753">
            <w:pPr>
              <w:pStyle w:val="NoSpacing"/>
              <w:jc w:val="center"/>
              <w:rPr>
                <w:rFonts w:ascii="Times New Roman" w:hAnsi="Times New Roman" w:cs="Times New Roman"/>
                <w:szCs w:val="24"/>
              </w:rPr>
            </w:pPr>
          </w:p>
        </w:tc>
        <w:tc>
          <w:tcPr>
            <w:tcW w:w="0" w:type="auto"/>
            <w:vAlign w:val="center"/>
            <w:hideMark/>
          </w:tcPr>
          <w:p w14:paraId="1E363777" w14:textId="77777777" w:rsidR="00416FA8" w:rsidRPr="004B6753" w:rsidRDefault="00416FA8" w:rsidP="004B6753">
            <w:pPr>
              <w:pStyle w:val="NoSpacing"/>
              <w:jc w:val="center"/>
              <w:rPr>
                <w:rFonts w:ascii="Times New Roman" w:hAnsi="Times New Roman" w:cs="Times New Roman"/>
                <w:szCs w:val="24"/>
              </w:rPr>
            </w:pPr>
          </w:p>
        </w:tc>
        <w:tc>
          <w:tcPr>
            <w:tcW w:w="0" w:type="auto"/>
            <w:vAlign w:val="center"/>
            <w:hideMark/>
          </w:tcPr>
          <w:p w14:paraId="20FA8282" w14:textId="77777777" w:rsidR="00416FA8" w:rsidRPr="004B6753" w:rsidRDefault="00416FA8" w:rsidP="004B6753">
            <w:pPr>
              <w:pStyle w:val="NoSpacing"/>
              <w:jc w:val="center"/>
              <w:rPr>
                <w:rFonts w:ascii="Times New Roman" w:hAnsi="Times New Roman" w:cs="Times New Roman"/>
                <w:szCs w:val="24"/>
              </w:rPr>
            </w:pPr>
          </w:p>
        </w:tc>
        <w:tc>
          <w:tcPr>
            <w:tcW w:w="0" w:type="auto"/>
            <w:vAlign w:val="center"/>
            <w:hideMark/>
          </w:tcPr>
          <w:p w14:paraId="456D8A7F" w14:textId="77777777" w:rsidR="00416FA8" w:rsidRPr="004B6753" w:rsidRDefault="00416FA8" w:rsidP="004B6753">
            <w:pPr>
              <w:pStyle w:val="NoSpacing"/>
              <w:jc w:val="center"/>
              <w:rPr>
                <w:rFonts w:ascii="Times New Roman" w:hAnsi="Times New Roman" w:cs="Times New Roman"/>
                <w:szCs w:val="24"/>
              </w:rPr>
            </w:pPr>
          </w:p>
        </w:tc>
        <w:tc>
          <w:tcPr>
            <w:tcW w:w="0" w:type="auto"/>
            <w:vAlign w:val="center"/>
            <w:hideMark/>
          </w:tcPr>
          <w:p w14:paraId="1666F8BD" w14:textId="77777777" w:rsidR="00416FA8" w:rsidRPr="004B6753" w:rsidRDefault="00416FA8" w:rsidP="004B6753">
            <w:pPr>
              <w:pStyle w:val="NoSpacing"/>
              <w:jc w:val="center"/>
              <w:rPr>
                <w:rFonts w:ascii="Times New Roman" w:hAnsi="Times New Roman" w:cs="Times New Roman"/>
                <w:szCs w:val="24"/>
              </w:rPr>
            </w:pPr>
          </w:p>
        </w:tc>
        <w:tc>
          <w:tcPr>
            <w:tcW w:w="0" w:type="auto"/>
            <w:vAlign w:val="center"/>
            <w:hideMark/>
          </w:tcPr>
          <w:p w14:paraId="076132E5" w14:textId="77777777" w:rsidR="00416FA8" w:rsidRPr="004B6753" w:rsidRDefault="00416FA8" w:rsidP="004B6753">
            <w:pPr>
              <w:pStyle w:val="NoSpacing"/>
              <w:jc w:val="center"/>
              <w:rPr>
                <w:rFonts w:ascii="Times New Roman" w:hAnsi="Times New Roman" w:cs="Times New Roman"/>
                <w:szCs w:val="24"/>
              </w:rPr>
            </w:pPr>
          </w:p>
        </w:tc>
      </w:tr>
      <w:tr w:rsidR="00812C67" w:rsidRPr="004B6753" w14:paraId="333D3EB1" w14:textId="77777777" w:rsidTr="004B6753">
        <w:trPr>
          <w:trHeight w:val="200"/>
        </w:trPr>
        <w:tc>
          <w:tcPr>
            <w:tcW w:w="0" w:type="auto"/>
            <w:vMerge w:val="restart"/>
            <w:hideMark/>
          </w:tcPr>
          <w:p w14:paraId="51A2A111" w14:textId="77777777" w:rsidR="00812C67" w:rsidRPr="004B6753" w:rsidRDefault="00812C67" w:rsidP="00B77C0B">
            <w:pPr>
              <w:pStyle w:val="NoSpacing"/>
              <w:rPr>
                <w:rFonts w:ascii="Times New Roman" w:hAnsi="Times New Roman" w:cs="Times New Roman"/>
                <w:szCs w:val="24"/>
              </w:rPr>
            </w:pPr>
            <w:r w:rsidRPr="004B6753">
              <w:rPr>
                <w:rFonts w:ascii="Times New Roman" w:hAnsi="Times New Roman" w:cs="Times New Roman"/>
                <w:szCs w:val="24"/>
              </w:rPr>
              <w:t>1961-62</w:t>
            </w:r>
          </w:p>
        </w:tc>
        <w:tc>
          <w:tcPr>
            <w:tcW w:w="0" w:type="auto"/>
            <w:vAlign w:val="center"/>
            <w:hideMark/>
          </w:tcPr>
          <w:p w14:paraId="6709F273" w14:textId="77777777" w:rsidR="00812C67" w:rsidRPr="004B6753" w:rsidRDefault="00812C67" w:rsidP="004B6753">
            <w:pPr>
              <w:pStyle w:val="NoSpacing"/>
              <w:jc w:val="center"/>
              <w:rPr>
                <w:rFonts w:ascii="Times New Roman" w:hAnsi="Times New Roman" w:cs="Times New Roman"/>
                <w:szCs w:val="24"/>
              </w:rPr>
            </w:pPr>
            <w:r w:rsidRPr="004B6753">
              <w:rPr>
                <w:rFonts w:ascii="Times New Roman" w:hAnsi="Times New Roman" w:cs="Times New Roman"/>
                <w:szCs w:val="24"/>
              </w:rPr>
              <w:t>3.11</w:t>
            </w:r>
          </w:p>
        </w:tc>
        <w:tc>
          <w:tcPr>
            <w:tcW w:w="0" w:type="auto"/>
            <w:vAlign w:val="center"/>
            <w:hideMark/>
          </w:tcPr>
          <w:p w14:paraId="03A7077D" w14:textId="77777777" w:rsidR="00812C67" w:rsidRPr="004B6753" w:rsidRDefault="00812C67" w:rsidP="004B6753">
            <w:pPr>
              <w:pStyle w:val="NoSpacing"/>
              <w:jc w:val="center"/>
              <w:rPr>
                <w:rFonts w:ascii="Times New Roman" w:hAnsi="Times New Roman" w:cs="Times New Roman"/>
                <w:szCs w:val="24"/>
              </w:rPr>
            </w:pPr>
            <w:r w:rsidRPr="004B6753">
              <w:rPr>
                <w:rFonts w:ascii="Times New Roman" w:hAnsi="Times New Roman" w:cs="Times New Roman"/>
                <w:szCs w:val="24"/>
              </w:rPr>
              <w:t>11.03</w:t>
            </w:r>
          </w:p>
        </w:tc>
        <w:tc>
          <w:tcPr>
            <w:tcW w:w="0" w:type="auto"/>
            <w:vAlign w:val="center"/>
            <w:hideMark/>
          </w:tcPr>
          <w:p w14:paraId="39D6F47E" w14:textId="77777777" w:rsidR="00812C67" w:rsidRPr="004B6753" w:rsidRDefault="00812C67" w:rsidP="004B6753">
            <w:pPr>
              <w:pStyle w:val="NoSpacing"/>
              <w:jc w:val="center"/>
              <w:rPr>
                <w:rFonts w:ascii="Times New Roman" w:hAnsi="Times New Roman" w:cs="Times New Roman"/>
                <w:szCs w:val="24"/>
              </w:rPr>
            </w:pPr>
            <w:r w:rsidRPr="004B6753">
              <w:rPr>
                <w:rFonts w:ascii="Times New Roman" w:hAnsi="Times New Roman" w:cs="Times New Roman"/>
                <w:szCs w:val="24"/>
              </w:rPr>
              <w:t>3.09</w:t>
            </w:r>
          </w:p>
        </w:tc>
        <w:tc>
          <w:tcPr>
            <w:tcW w:w="0" w:type="auto"/>
            <w:vAlign w:val="center"/>
            <w:hideMark/>
          </w:tcPr>
          <w:p w14:paraId="066E5474" w14:textId="77777777" w:rsidR="00812C67" w:rsidRPr="004B6753" w:rsidRDefault="00812C67" w:rsidP="004B6753">
            <w:pPr>
              <w:pStyle w:val="NoSpacing"/>
              <w:jc w:val="center"/>
              <w:rPr>
                <w:rFonts w:ascii="Times New Roman" w:hAnsi="Times New Roman" w:cs="Times New Roman"/>
                <w:szCs w:val="24"/>
              </w:rPr>
            </w:pPr>
            <w:r w:rsidRPr="004B6753">
              <w:rPr>
                <w:rFonts w:ascii="Times New Roman" w:hAnsi="Times New Roman" w:cs="Times New Roman"/>
                <w:szCs w:val="24"/>
              </w:rPr>
              <w:t>2.33</w:t>
            </w:r>
          </w:p>
        </w:tc>
        <w:tc>
          <w:tcPr>
            <w:tcW w:w="0" w:type="auto"/>
            <w:vAlign w:val="center"/>
            <w:hideMark/>
          </w:tcPr>
          <w:p w14:paraId="51AA8EFA" w14:textId="77777777" w:rsidR="00812C67" w:rsidRPr="004B6753" w:rsidRDefault="00812C67" w:rsidP="004B6753">
            <w:pPr>
              <w:pStyle w:val="NoSpacing"/>
              <w:jc w:val="center"/>
              <w:rPr>
                <w:rFonts w:ascii="Times New Roman" w:hAnsi="Times New Roman" w:cs="Times New Roman"/>
                <w:szCs w:val="24"/>
              </w:rPr>
            </w:pPr>
            <w:r w:rsidRPr="004B6753">
              <w:rPr>
                <w:rFonts w:ascii="Times New Roman" w:hAnsi="Times New Roman" w:cs="Times New Roman"/>
                <w:szCs w:val="24"/>
              </w:rPr>
              <w:t>0.69</w:t>
            </w:r>
          </w:p>
        </w:tc>
        <w:tc>
          <w:tcPr>
            <w:tcW w:w="0" w:type="auto"/>
            <w:vAlign w:val="center"/>
            <w:hideMark/>
          </w:tcPr>
          <w:p w14:paraId="173BE670" w14:textId="77777777" w:rsidR="00812C67" w:rsidRPr="004B6753" w:rsidRDefault="00812C67" w:rsidP="004B6753">
            <w:pPr>
              <w:pStyle w:val="NoSpacing"/>
              <w:jc w:val="center"/>
              <w:rPr>
                <w:rFonts w:ascii="Times New Roman" w:hAnsi="Times New Roman" w:cs="Times New Roman"/>
                <w:szCs w:val="24"/>
              </w:rPr>
            </w:pPr>
            <w:r w:rsidRPr="004B6753">
              <w:rPr>
                <w:rFonts w:ascii="Times New Roman" w:hAnsi="Times New Roman" w:cs="Times New Roman"/>
                <w:szCs w:val="24"/>
              </w:rPr>
              <w:t>6.73</w:t>
            </w:r>
          </w:p>
        </w:tc>
        <w:tc>
          <w:tcPr>
            <w:tcW w:w="0" w:type="auto"/>
            <w:vAlign w:val="center"/>
            <w:hideMark/>
          </w:tcPr>
          <w:p w14:paraId="70041374" w14:textId="77777777" w:rsidR="00812C67" w:rsidRPr="004B6753" w:rsidRDefault="00812C67" w:rsidP="004B6753">
            <w:pPr>
              <w:pStyle w:val="NoSpacing"/>
              <w:jc w:val="center"/>
              <w:rPr>
                <w:rFonts w:ascii="Times New Roman" w:hAnsi="Times New Roman" w:cs="Times New Roman"/>
                <w:szCs w:val="24"/>
              </w:rPr>
            </w:pPr>
            <w:r w:rsidRPr="004B6753">
              <w:rPr>
                <w:rFonts w:ascii="Times New Roman" w:hAnsi="Times New Roman" w:cs="Times New Roman"/>
                <w:szCs w:val="24"/>
              </w:rPr>
              <w:t>1.68</w:t>
            </w:r>
          </w:p>
        </w:tc>
        <w:tc>
          <w:tcPr>
            <w:tcW w:w="0" w:type="auto"/>
            <w:vAlign w:val="center"/>
            <w:hideMark/>
          </w:tcPr>
          <w:p w14:paraId="676B2EE4" w14:textId="77777777" w:rsidR="00812C67" w:rsidRPr="004B6753" w:rsidRDefault="00812C67" w:rsidP="004B6753">
            <w:pPr>
              <w:pStyle w:val="NoSpacing"/>
              <w:jc w:val="center"/>
              <w:rPr>
                <w:rFonts w:ascii="Times New Roman" w:hAnsi="Times New Roman" w:cs="Times New Roman"/>
                <w:szCs w:val="24"/>
              </w:rPr>
            </w:pPr>
            <w:r w:rsidRPr="004B6753">
              <w:rPr>
                <w:rFonts w:ascii="Times New Roman" w:hAnsi="Times New Roman" w:cs="Times New Roman"/>
                <w:szCs w:val="24"/>
              </w:rPr>
              <w:t>1.02</w:t>
            </w:r>
          </w:p>
        </w:tc>
        <w:tc>
          <w:tcPr>
            <w:tcW w:w="0" w:type="auto"/>
            <w:vAlign w:val="center"/>
            <w:hideMark/>
          </w:tcPr>
          <w:p w14:paraId="15F2D472" w14:textId="77777777" w:rsidR="00812C67" w:rsidRPr="004B6753" w:rsidRDefault="00812C67" w:rsidP="004B6753">
            <w:pPr>
              <w:pStyle w:val="NoSpacing"/>
              <w:jc w:val="center"/>
              <w:rPr>
                <w:rFonts w:ascii="Times New Roman" w:hAnsi="Times New Roman" w:cs="Times New Roman"/>
                <w:szCs w:val="24"/>
              </w:rPr>
            </w:pPr>
            <w:r w:rsidRPr="004B6753">
              <w:rPr>
                <w:rFonts w:ascii="Times New Roman" w:hAnsi="Times New Roman" w:cs="Times New Roman"/>
                <w:szCs w:val="24"/>
              </w:rPr>
              <w:t>2.92</w:t>
            </w:r>
          </w:p>
        </w:tc>
        <w:tc>
          <w:tcPr>
            <w:tcW w:w="0" w:type="auto"/>
            <w:vAlign w:val="center"/>
            <w:hideMark/>
          </w:tcPr>
          <w:p w14:paraId="1FCCD74F" w14:textId="77777777" w:rsidR="00812C67" w:rsidRPr="004B6753" w:rsidRDefault="00812C67" w:rsidP="004B6753">
            <w:pPr>
              <w:pStyle w:val="NoSpacing"/>
              <w:jc w:val="center"/>
              <w:rPr>
                <w:rFonts w:ascii="Times New Roman" w:hAnsi="Times New Roman" w:cs="Times New Roman"/>
                <w:szCs w:val="24"/>
              </w:rPr>
            </w:pPr>
            <w:r w:rsidRPr="004B6753">
              <w:rPr>
                <w:rFonts w:ascii="Times New Roman" w:hAnsi="Times New Roman" w:cs="Times New Roman"/>
                <w:szCs w:val="24"/>
              </w:rPr>
              <w:t>28.75</w:t>
            </w:r>
          </w:p>
        </w:tc>
        <w:tc>
          <w:tcPr>
            <w:tcW w:w="0" w:type="auto"/>
            <w:vAlign w:val="center"/>
            <w:hideMark/>
          </w:tcPr>
          <w:p w14:paraId="106CA687" w14:textId="77777777" w:rsidR="00812C67" w:rsidRPr="004B6753" w:rsidRDefault="00812C67" w:rsidP="004B6753">
            <w:pPr>
              <w:pStyle w:val="NoSpacing"/>
              <w:jc w:val="center"/>
              <w:rPr>
                <w:rFonts w:ascii="Times New Roman" w:hAnsi="Times New Roman" w:cs="Times New Roman"/>
                <w:szCs w:val="24"/>
              </w:rPr>
            </w:pPr>
            <w:r w:rsidRPr="004B6753">
              <w:rPr>
                <w:rFonts w:ascii="Times New Roman" w:hAnsi="Times New Roman" w:cs="Times New Roman"/>
                <w:szCs w:val="24"/>
              </w:rPr>
              <w:t>61.35</w:t>
            </w:r>
          </w:p>
        </w:tc>
      </w:tr>
      <w:tr w:rsidR="00812C67" w:rsidRPr="004B6753" w14:paraId="2D93EB9A" w14:textId="77777777" w:rsidTr="004B6753">
        <w:trPr>
          <w:trHeight w:val="200"/>
        </w:trPr>
        <w:tc>
          <w:tcPr>
            <w:tcW w:w="0" w:type="auto"/>
            <w:vMerge/>
            <w:hideMark/>
          </w:tcPr>
          <w:p w14:paraId="4F9AE83D" w14:textId="77777777" w:rsidR="00812C67" w:rsidRPr="004B6753" w:rsidRDefault="00812C67" w:rsidP="00B77C0B">
            <w:pPr>
              <w:pStyle w:val="NoSpacing"/>
              <w:rPr>
                <w:rFonts w:ascii="Times New Roman" w:hAnsi="Times New Roman" w:cs="Times New Roman"/>
                <w:szCs w:val="24"/>
              </w:rPr>
            </w:pPr>
          </w:p>
        </w:tc>
        <w:tc>
          <w:tcPr>
            <w:tcW w:w="0" w:type="auto"/>
            <w:vAlign w:val="center"/>
            <w:hideMark/>
          </w:tcPr>
          <w:p w14:paraId="04CC4122" w14:textId="77777777" w:rsidR="00812C67" w:rsidRPr="004B6753" w:rsidRDefault="00812C67" w:rsidP="004B6753">
            <w:pPr>
              <w:pStyle w:val="NoSpacing"/>
              <w:jc w:val="center"/>
              <w:rPr>
                <w:rFonts w:ascii="Times New Roman" w:hAnsi="Times New Roman" w:cs="Times New Roman"/>
                <w:szCs w:val="24"/>
              </w:rPr>
            </w:pPr>
            <w:r w:rsidRPr="004B6753">
              <w:rPr>
                <w:rFonts w:ascii="Times New Roman" w:hAnsi="Times New Roman" w:cs="Times New Roman"/>
                <w:i/>
                <w:iCs/>
                <w:szCs w:val="24"/>
              </w:rPr>
              <w:t>(5.07)</w:t>
            </w:r>
          </w:p>
        </w:tc>
        <w:tc>
          <w:tcPr>
            <w:tcW w:w="0" w:type="auto"/>
            <w:vAlign w:val="center"/>
            <w:hideMark/>
          </w:tcPr>
          <w:p w14:paraId="2AEB6814" w14:textId="77777777" w:rsidR="00812C67" w:rsidRPr="004B6753" w:rsidRDefault="00812C67" w:rsidP="004B6753">
            <w:pPr>
              <w:pStyle w:val="NoSpacing"/>
              <w:jc w:val="center"/>
              <w:rPr>
                <w:rFonts w:ascii="Times New Roman" w:hAnsi="Times New Roman" w:cs="Times New Roman"/>
                <w:szCs w:val="24"/>
              </w:rPr>
            </w:pPr>
            <w:r w:rsidRPr="004B6753">
              <w:rPr>
                <w:rFonts w:ascii="Times New Roman" w:hAnsi="Times New Roman" w:cs="Times New Roman"/>
                <w:i/>
                <w:iCs/>
                <w:szCs w:val="24"/>
              </w:rPr>
              <w:t>(17.98)</w:t>
            </w:r>
          </w:p>
        </w:tc>
        <w:tc>
          <w:tcPr>
            <w:tcW w:w="0" w:type="auto"/>
            <w:vAlign w:val="center"/>
            <w:hideMark/>
          </w:tcPr>
          <w:p w14:paraId="24049FFC" w14:textId="77777777" w:rsidR="00812C67" w:rsidRPr="004B6753" w:rsidRDefault="00812C67" w:rsidP="004B6753">
            <w:pPr>
              <w:pStyle w:val="NoSpacing"/>
              <w:jc w:val="center"/>
              <w:rPr>
                <w:rFonts w:ascii="Times New Roman" w:hAnsi="Times New Roman" w:cs="Times New Roman"/>
                <w:szCs w:val="24"/>
              </w:rPr>
            </w:pPr>
            <w:r w:rsidRPr="004B6753">
              <w:rPr>
                <w:rFonts w:ascii="Times New Roman" w:hAnsi="Times New Roman" w:cs="Times New Roman"/>
                <w:i/>
                <w:iCs/>
                <w:szCs w:val="24"/>
              </w:rPr>
              <w:t>(5.04)</w:t>
            </w:r>
          </w:p>
        </w:tc>
        <w:tc>
          <w:tcPr>
            <w:tcW w:w="0" w:type="auto"/>
            <w:vAlign w:val="center"/>
            <w:hideMark/>
          </w:tcPr>
          <w:p w14:paraId="607A3C6B" w14:textId="77777777" w:rsidR="00812C67" w:rsidRPr="004B6753" w:rsidRDefault="00812C67" w:rsidP="004B6753">
            <w:pPr>
              <w:pStyle w:val="NoSpacing"/>
              <w:jc w:val="center"/>
              <w:rPr>
                <w:rFonts w:ascii="Times New Roman" w:hAnsi="Times New Roman" w:cs="Times New Roman"/>
                <w:szCs w:val="24"/>
              </w:rPr>
            </w:pPr>
            <w:r w:rsidRPr="004B6753">
              <w:rPr>
                <w:rFonts w:ascii="Times New Roman" w:hAnsi="Times New Roman" w:cs="Times New Roman"/>
                <w:i/>
                <w:iCs/>
                <w:szCs w:val="24"/>
              </w:rPr>
              <w:t>(3.80)</w:t>
            </w:r>
          </w:p>
        </w:tc>
        <w:tc>
          <w:tcPr>
            <w:tcW w:w="0" w:type="auto"/>
            <w:vAlign w:val="center"/>
            <w:hideMark/>
          </w:tcPr>
          <w:p w14:paraId="4C6CC5B6" w14:textId="77777777" w:rsidR="00812C67" w:rsidRPr="004B6753" w:rsidRDefault="00812C67" w:rsidP="004B6753">
            <w:pPr>
              <w:pStyle w:val="NoSpacing"/>
              <w:jc w:val="center"/>
              <w:rPr>
                <w:rFonts w:ascii="Times New Roman" w:hAnsi="Times New Roman" w:cs="Times New Roman"/>
                <w:szCs w:val="24"/>
              </w:rPr>
            </w:pPr>
            <w:r w:rsidRPr="004B6753">
              <w:rPr>
                <w:rFonts w:ascii="Times New Roman" w:hAnsi="Times New Roman" w:cs="Times New Roman"/>
                <w:i/>
                <w:iCs/>
                <w:szCs w:val="24"/>
              </w:rPr>
              <w:t>(1.12)</w:t>
            </w:r>
          </w:p>
        </w:tc>
        <w:tc>
          <w:tcPr>
            <w:tcW w:w="0" w:type="auto"/>
            <w:vAlign w:val="center"/>
            <w:hideMark/>
          </w:tcPr>
          <w:p w14:paraId="03E9C617" w14:textId="77777777" w:rsidR="00812C67" w:rsidRPr="004B6753" w:rsidRDefault="00812C67" w:rsidP="004B6753">
            <w:pPr>
              <w:pStyle w:val="NoSpacing"/>
              <w:jc w:val="center"/>
              <w:rPr>
                <w:rFonts w:ascii="Times New Roman" w:hAnsi="Times New Roman" w:cs="Times New Roman"/>
                <w:szCs w:val="24"/>
              </w:rPr>
            </w:pPr>
            <w:r w:rsidRPr="004B6753">
              <w:rPr>
                <w:rFonts w:ascii="Times New Roman" w:hAnsi="Times New Roman" w:cs="Times New Roman"/>
                <w:i/>
                <w:iCs/>
                <w:szCs w:val="24"/>
              </w:rPr>
              <w:t>(10.97)</w:t>
            </w:r>
          </w:p>
        </w:tc>
        <w:tc>
          <w:tcPr>
            <w:tcW w:w="0" w:type="auto"/>
            <w:vAlign w:val="center"/>
            <w:hideMark/>
          </w:tcPr>
          <w:p w14:paraId="3A611435" w14:textId="77777777" w:rsidR="00812C67" w:rsidRPr="004B6753" w:rsidRDefault="00812C67" w:rsidP="004B6753">
            <w:pPr>
              <w:pStyle w:val="NoSpacing"/>
              <w:jc w:val="center"/>
              <w:rPr>
                <w:rFonts w:ascii="Times New Roman" w:hAnsi="Times New Roman" w:cs="Times New Roman"/>
                <w:szCs w:val="24"/>
              </w:rPr>
            </w:pPr>
            <w:r w:rsidRPr="004B6753">
              <w:rPr>
                <w:rFonts w:ascii="Times New Roman" w:hAnsi="Times New Roman" w:cs="Times New Roman"/>
                <w:i/>
                <w:iCs/>
                <w:szCs w:val="24"/>
              </w:rPr>
              <w:t>(2.74)</w:t>
            </w:r>
          </w:p>
        </w:tc>
        <w:tc>
          <w:tcPr>
            <w:tcW w:w="0" w:type="auto"/>
            <w:vAlign w:val="center"/>
            <w:hideMark/>
          </w:tcPr>
          <w:p w14:paraId="39510368" w14:textId="77777777" w:rsidR="00812C67" w:rsidRPr="004B6753" w:rsidRDefault="00812C67" w:rsidP="004B6753">
            <w:pPr>
              <w:pStyle w:val="NoSpacing"/>
              <w:jc w:val="center"/>
              <w:rPr>
                <w:rFonts w:ascii="Times New Roman" w:hAnsi="Times New Roman" w:cs="Times New Roman"/>
                <w:szCs w:val="24"/>
              </w:rPr>
            </w:pPr>
            <w:r w:rsidRPr="004B6753">
              <w:rPr>
                <w:rFonts w:ascii="Times New Roman" w:hAnsi="Times New Roman" w:cs="Times New Roman"/>
                <w:i/>
                <w:iCs/>
                <w:szCs w:val="24"/>
              </w:rPr>
              <w:t>(1.66)</w:t>
            </w:r>
          </w:p>
        </w:tc>
        <w:tc>
          <w:tcPr>
            <w:tcW w:w="0" w:type="auto"/>
            <w:vAlign w:val="center"/>
            <w:hideMark/>
          </w:tcPr>
          <w:p w14:paraId="73FC7190" w14:textId="77777777" w:rsidR="00812C67" w:rsidRPr="004B6753" w:rsidRDefault="00812C67" w:rsidP="004B6753">
            <w:pPr>
              <w:pStyle w:val="NoSpacing"/>
              <w:jc w:val="center"/>
              <w:rPr>
                <w:rFonts w:ascii="Times New Roman" w:hAnsi="Times New Roman" w:cs="Times New Roman"/>
                <w:szCs w:val="24"/>
              </w:rPr>
            </w:pPr>
            <w:r w:rsidRPr="004B6753">
              <w:rPr>
                <w:rFonts w:ascii="Times New Roman" w:hAnsi="Times New Roman" w:cs="Times New Roman"/>
                <w:i/>
                <w:iCs/>
                <w:szCs w:val="24"/>
              </w:rPr>
              <w:t>(4.76)</w:t>
            </w:r>
          </w:p>
        </w:tc>
        <w:tc>
          <w:tcPr>
            <w:tcW w:w="0" w:type="auto"/>
            <w:vAlign w:val="center"/>
            <w:hideMark/>
          </w:tcPr>
          <w:p w14:paraId="369D97C6" w14:textId="77777777" w:rsidR="00812C67" w:rsidRPr="004B6753" w:rsidRDefault="00812C67" w:rsidP="004B6753">
            <w:pPr>
              <w:pStyle w:val="NoSpacing"/>
              <w:jc w:val="center"/>
              <w:rPr>
                <w:rFonts w:ascii="Times New Roman" w:hAnsi="Times New Roman" w:cs="Times New Roman"/>
                <w:szCs w:val="24"/>
              </w:rPr>
            </w:pPr>
            <w:r w:rsidRPr="004B6753">
              <w:rPr>
                <w:rFonts w:ascii="Times New Roman" w:hAnsi="Times New Roman" w:cs="Times New Roman"/>
                <w:i/>
                <w:iCs/>
                <w:szCs w:val="24"/>
              </w:rPr>
              <w:t>(46.86)</w:t>
            </w:r>
          </w:p>
        </w:tc>
        <w:tc>
          <w:tcPr>
            <w:tcW w:w="0" w:type="auto"/>
            <w:vAlign w:val="center"/>
            <w:hideMark/>
          </w:tcPr>
          <w:p w14:paraId="56D46783" w14:textId="77777777" w:rsidR="00812C67" w:rsidRPr="004B6753" w:rsidRDefault="00812C67" w:rsidP="004B6753">
            <w:pPr>
              <w:pStyle w:val="NoSpacing"/>
              <w:jc w:val="center"/>
              <w:rPr>
                <w:rFonts w:ascii="Times New Roman" w:hAnsi="Times New Roman" w:cs="Times New Roman"/>
                <w:szCs w:val="24"/>
              </w:rPr>
            </w:pPr>
            <w:r w:rsidRPr="004B6753">
              <w:rPr>
                <w:rFonts w:ascii="Times New Roman" w:hAnsi="Times New Roman" w:cs="Times New Roman"/>
                <w:i/>
                <w:iCs/>
                <w:szCs w:val="24"/>
              </w:rPr>
              <w:t>(100.00)</w:t>
            </w:r>
          </w:p>
        </w:tc>
      </w:tr>
      <w:tr w:rsidR="00416FA8" w:rsidRPr="004B6753" w14:paraId="69A2A193" w14:textId="77777777" w:rsidTr="004B6753">
        <w:trPr>
          <w:trHeight w:val="200"/>
        </w:trPr>
        <w:tc>
          <w:tcPr>
            <w:tcW w:w="0" w:type="auto"/>
            <w:hideMark/>
          </w:tcPr>
          <w:p w14:paraId="1EC232B6" w14:textId="77777777" w:rsidR="00416FA8" w:rsidRPr="004B6753" w:rsidRDefault="00416FA8" w:rsidP="00B77C0B">
            <w:pPr>
              <w:pStyle w:val="NoSpacing"/>
              <w:rPr>
                <w:rFonts w:ascii="Times New Roman" w:hAnsi="Times New Roman" w:cs="Times New Roman"/>
                <w:szCs w:val="24"/>
              </w:rPr>
            </w:pPr>
            <w:r w:rsidRPr="004B6753">
              <w:rPr>
                <w:rFonts w:ascii="Times New Roman" w:hAnsi="Times New Roman" w:cs="Times New Roman"/>
                <w:szCs w:val="24"/>
              </w:rPr>
              <w:t>1965-66</w:t>
            </w:r>
          </w:p>
        </w:tc>
        <w:tc>
          <w:tcPr>
            <w:tcW w:w="0" w:type="auto"/>
            <w:vAlign w:val="center"/>
            <w:hideMark/>
          </w:tcPr>
          <w:p w14:paraId="1B2039B3" w14:textId="77777777" w:rsidR="00416FA8" w:rsidRPr="004B6753" w:rsidRDefault="00416FA8" w:rsidP="004B6753">
            <w:pPr>
              <w:pStyle w:val="NoSpacing"/>
              <w:jc w:val="center"/>
              <w:rPr>
                <w:rFonts w:ascii="Times New Roman" w:hAnsi="Times New Roman" w:cs="Times New Roman"/>
                <w:szCs w:val="24"/>
              </w:rPr>
            </w:pPr>
            <w:r w:rsidRPr="004B6753">
              <w:rPr>
                <w:rFonts w:ascii="Times New Roman" w:hAnsi="Times New Roman" w:cs="Times New Roman"/>
                <w:szCs w:val="24"/>
              </w:rPr>
              <w:t>4.11</w:t>
            </w:r>
          </w:p>
        </w:tc>
        <w:tc>
          <w:tcPr>
            <w:tcW w:w="0" w:type="auto"/>
            <w:vAlign w:val="center"/>
            <w:hideMark/>
          </w:tcPr>
          <w:p w14:paraId="3E5249BD" w14:textId="77777777" w:rsidR="00416FA8" w:rsidRPr="004B6753" w:rsidRDefault="00416FA8" w:rsidP="004B6753">
            <w:pPr>
              <w:pStyle w:val="NoSpacing"/>
              <w:jc w:val="center"/>
              <w:rPr>
                <w:rFonts w:ascii="Times New Roman" w:hAnsi="Times New Roman" w:cs="Times New Roman"/>
                <w:szCs w:val="24"/>
              </w:rPr>
            </w:pPr>
            <w:r w:rsidRPr="004B6753">
              <w:rPr>
                <w:rFonts w:ascii="Times New Roman" w:hAnsi="Times New Roman" w:cs="Times New Roman"/>
                <w:szCs w:val="24"/>
              </w:rPr>
              <w:t>16.74</w:t>
            </w:r>
          </w:p>
        </w:tc>
        <w:tc>
          <w:tcPr>
            <w:tcW w:w="0" w:type="auto"/>
            <w:vAlign w:val="center"/>
            <w:hideMark/>
          </w:tcPr>
          <w:p w14:paraId="75E3BCF6" w14:textId="77777777" w:rsidR="00416FA8" w:rsidRPr="004B6753" w:rsidRDefault="00416FA8" w:rsidP="004B6753">
            <w:pPr>
              <w:pStyle w:val="NoSpacing"/>
              <w:jc w:val="center"/>
              <w:rPr>
                <w:rFonts w:ascii="Times New Roman" w:hAnsi="Times New Roman" w:cs="Times New Roman"/>
                <w:szCs w:val="24"/>
              </w:rPr>
            </w:pPr>
            <w:r w:rsidRPr="004B6753">
              <w:rPr>
                <w:rFonts w:ascii="Times New Roman" w:hAnsi="Times New Roman" w:cs="Times New Roman"/>
                <w:szCs w:val="24"/>
              </w:rPr>
              <w:t>3.09</w:t>
            </w:r>
          </w:p>
        </w:tc>
        <w:tc>
          <w:tcPr>
            <w:tcW w:w="0" w:type="auto"/>
            <w:vAlign w:val="center"/>
            <w:hideMark/>
          </w:tcPr>
          <w:p w14:paraId="3CD51963" w14:textId="77777777" w:rsidR="00416FA8" w:rsidRPr="004B6753" w:rsidRDefault="00416FA8" w:rsidP="004B6753">
            <w:pPr>
              <w:pStyle w:val="NoSpacing"/>
              <w:jc w:val="center"/>
              <w:rPr>
                <w:rFonts w:ascii="Times New Roman" w:hAnsi="Times New Roman" w:cs="Times New Roman"/>
                <w:szCs w:val="24"/>
              </w:rPr>
            </w:pPr>
            <w:r w:rsidRPr="004B6753">
              <w:rPr>
                <w:rFonts w:ascii="Times New Roman" w:hAnsi="Times New Roman" w:cs="Times New Roman"/>
                <w:szCs w:val="24"/>
              </w:rPr>
              <w:t>5.46</w:t>
            </w:r>
          </w:p>
        </w:tc>
        <w:tc>
          <w:tcPr>
            <w:tcW w:w="0" w:type="auto"/>
            <w:vAlign w:val="center"/>
            <w:hideMark/>
          </w:tcPr>
          <w:p w14:paraId="563BB3B8" w14:textId="77777777" w:rsidR="00416FA8" w:rsidRPr="004B6753" w:rsidRDefault="00416FA8" w:rsidP="004B6753">
            <w:pPr>
              <w:pStyle w:val="NoSpacing"/>
              <w:jc w:val="center"/>
              <w:rPr>
                <w:rFonts w:ascii="Times New Roman" w:hAnsi="Times New Roman" w:cs="Times New Roman"/>
                <w:szCs w:val="24"/>
              </w:rPr>
            </w:pPr>
            <w:r w:rsidRPr="004B6753">
              <w:rPr>
                <w:rFonts w:ascii="Times New Roman" w:hAnsi="Times New Roman" w:cs="Times New Roman"/>
                <w:szCs w:val="24"/>
              </w:rPr>
              <w:t>1.41</w:t>
            </w:r>
          </w:p>
        </w:tc>
        <w:tc>
          <w:tcPr>
            <w:tcW w:w="0" w:type="auto"/>
            <w:vAlign w:val="center"/>
            <w:hideMark/>
          </w:tcPr>
          <w:p w14:paraId="4B6A81FE" w14:textId="77777777" w:rsidR="00416FA8" w:rsidRPr="004B6753" w:rsidRDefault="00416FA8" w:rsidP="004B6753">
            <w:pPr>
              <w:pStyle w:val="NoSpacing"/>
              <w:jc w:val="center"/>
              <w:rPr>
                <w:rFonts w:ascii="Times New Roman" w:hAnsi="Times New Roman" w:cs="Times New Roman"/>
                <w:szCs w:val="24"/>
              </w:rPr>
            </w:pPr>
            <w:r w:rsidRPr="004B6753">
              <w:rPr>
                <w:rFonts w:ascii="Times New Roman" w:hAnsi="Times New Roman" w:cs="Times New Roman"/>
                <w:szCs w:val="24"/>
              </w:rPr>
              <w:t>10.52</w:t>
            </w:r>
          </w:p>
        </w:tc>
        <w:tc>
          <w:tcPr>
            <w:tcW w:w="0" w:type="auto"/>
            <w:vAlign w:val="center"/>
            <w:hideMark/>
          </w:tcPr>
          <w:p w14:paraId="5009D98B" w14:textId="77777777" w:rsidR="00416FA8" w:rsidRPr="004B6753" w:rsidRDefault="00416FA8" w:rsidP="004B6753">
            <w:pPr>
              <w:pStyle w:val="NoSpacing"/>
              <w:jc w:val="center"/>
              <w:rPr>
                <w:rFonts w:ascii="Times New Roman" w:hAnsi="Times New Roman" w:cs="Times New Roman"/>
                <w:szCs w:val="24"/>
              </w:rPr>
            </w:pPr>
            <w:r w:rsidRPr="004B6753">
              <w:rPr>
                <w:rFonts w:ascii="Times New Roman" w:hAnsi="Times New Roman" w:cs="Times New Roman"/>
                <w:szCs w:val="24"/>
              </w:rPr>
              <w:t>2.96</w:t>
            </w:r>
          </w:p>
        </w:tc>
        <w:tc>
          <w:tcPr>
            <w:tcW w:w="0" w:type="auto"/>
            <w:vAlign w:val="center"/>
            <w:hideMark/>
          </w:tcPr>
          <w:p w14:paraId="24EB9565" w14:textId="77777777" w:rsidR="00416FA8" w:rsidRPr="004B6753" w:rsidRDefault="00416FA8" w:rsidP="004B6753">
            <w:pPr>
              <w:pStyle w:val="NoSpacing"/>
              <w:jc w:val="center"/>
              <w:rPr>
                <w:rFonts w:ascii="Times New Roman" w:hAnsi="Times New Roman" w:cs="Times New Roman"/>
                <w:szCs w:val="24"/>
              </w:rPr>
            </w:pPr>
            <w:r w:rsidRPr="004B6753">
              <w:rPr>
                <w:rFonts w:ascii="Times New Roman" w:hAnsi="Times New Roman" w:cs="Times New Roman"/>
                <w:szCs w:val="24"/>
              </w:rPr>
              <w:t>3.97</w:t>
            </w:r>
          </w:p>
        </w:tc>
        <w:tc>
          <w:tcPr>
            <w:tcW w:w="0" w:type="auto"/>
            <w:vAlign w:val="center"/>
            <w:hideMark/>
          </w:tcPr>
          <w:p w14:paraId="7CCF0CBE" w14:textId="77777777" w:rsidR="00416FA8" w:rsidRPr="004B6753" w:rsidRDefault="00416FA8" w:rsidP="004B6753">
            <w:pPr>
              <w:pStyle w:val="NoSpacing"/>
              <w:jc w:val="center"/>
              <w:rPr>
                <w:rFonts w:ascii="Times New Roman" w:hAnsi="Times New Roman" w:cs="Times New Roman"/>
                <w:szCs w:val="24"/>
              </w:rPr>
            </w:pPr>
            <w:r w:rsidRPr="004B6753">
              <w:rPr>
                <w:rFonts w:ascii="Times New Roman" w:hAnsi="Times New Roman" w:cs="Times New Roman"/>
                <w:szCs w:val="24"/>
              </w:rPr>
              <w:t>5.79</w:t>
            </w:r>
          </w:p>
        </w:tc>
        <w:tc>
          <w:tcPr>
            <w:tcW w:w="0" w:type="auto"/>
            <w:vAlign w:val="center"/>
            <w:hideMark/>
          </w:tcPr>
          <w:p w14:paraId="2E28D90C" w14:textId="77777777" w:rsidR="00416FA8" w:rsidRPr="004B6753" w:rsidRDefault="00416FA8" w:rsidP="004B6753">
            <w:pPr>
              <w:pStyle w:val="NoSpacing"/>
              <w:jc w:val="center"/>
              <w:rPr>
                <w:rFonts w:ascii="Times New Roman" w:hAnsi="Times New Roman" w:cs="Times New Roman"/>
                <w:szCs w:val="24"/>
              </w:rPr>
            </w:pPr>
            <w:r w:rsidRPr="004B6753">
              <w:rPr>
                <w:rFonts w:ascii="Times New Roman" w:hAnsi="Times New Roman" w:cs="Times New Roman"/>
                <w:szCs w:val="24"/>
              </w:rPr>
              <w:t>37.26</w:t>
            </w:r>
          </w:p>
        </w:tc>
        <w:tc>
          <w:tcPr>
            <w:tcW w:w="0" w:type="auto"/>
            <w:vAlign w:val="center"/>
            <w:hideMark/>
          </w:tcPr>
          <w:p w14:paraId="701B7D4B" w14:textId="77777777" w:rsidR="00416FA8" w:rsidRPr="004B6753" w:rsidRDefault="00416FA8" w:rsidP="004B6753">
            <w:pPr>
              <w:pStyle w:val="NoSpacing"/>
              <w:jc w:val="center"/>
              <w:rPr>
                <w:rFonts w:ascii="Times New Roman" w:hAnsi="Times New Roman" w:cs="Times New Roman"/>
                <w:szCs w:val="24"/>
              </w:rPr>
            </w:pPr>
            <w:r w:rsidRPr="004B6753">
              <w:rPr>
                <w:rFonts w:ascii="Times New Roman" w:hAnsi="Times New Roman" w:cs="Times New Roman"/>
                <w:szCs w:val="24"/>
              </w:rPr>
              <w:t>91.31</w:t>
            </w:r>
          </w:p>
        </w:tc>
      </w:tr>
      <w:tr w:rsidR="00416FA8" w:rsidRPr="004B6753" w14:paraId="302938C9" w14:textId="77777777" w:rsidTr="004B6753">
        <w:trPr>
          <w:trHeight w:val="200"/>
        </w:trPr>
        <w:tc>
          <w:tcPr>
            <w:tcW w:w="0" w:type="auto"/>
            <w:hideMark/>
          </w:tcPr>
          <w:p w14:paraId="1F1D8402" w14:textId="77777777" w:rsidR="00416FA8" w:rsidRPr="004B6753" w:rsidRDefault="00416FA8" w:rsidP="00B77C0B">
            <w:pPr>
              <w:pStyle w:val="NoSpacing"/>
              <w:rPr>
                <w:rFonts w:ascii="Times New Roman" w:hAnsi="Times New Roman" w:cs="Times New Roman"/>
                <w:szCs w:val="24"/>
              </w:rPr>
            </w:pPr>
            <w:r w:rsidRPr="004B6753">
              <w:rPr>
                <w:rFonts w:ascii="Times New Roman" w:hAnsi="Times New Roman" w:cs="Times New Roman"/>
                <w:szCs w:val="24"/>
              </w:rPr>
              <w:t>1966-67</w:t>
            </w:r>
          </w:p>
        </w:tc>
        <w:tc>
          <w:tcPr>
            <w:tcW w:w="0" w:type="auto"/>
            <w:vAlign w:val="center"/>
            <w:hideMark/>
          </w:tcPr>
          <w:p w14:paraId="4A5E0104" w14:textId="77777777" w:rsidR="00416FA8" w:rsidRPr="004B6753" w:rsidRDefault="00416FA8" w:rsidP="004B6753">
            <w:pPr>
              <w:pStyle w:val="NoSpacing"/>
              <w:jc w:val="center"/>
              <w:rPr>
                <w:rFonts w:ascii="Times New Roman" w:hAnsi="Times New Roman" w:cs="Times New Roman"/>
                <w:szCs w:val="24"/>
              </w:rPr>
            </w:pPr>
            <w:r w:rsidRPr="004B6753">
              <w:rPr>
                <w:rFonts w:ascii="Times New Roman" w:hAnsi="Times New Roman" w:cs="Times New Roman"/>
                <w:szCs w:val="24"/>
              </w:rPr>
              <w:t>4.31</w:t>
            </w:r>
          </w:p>
        </w:tc>
        <w:tc>
          <w:tcPr>
            <w:tcW w:w="0" w:type="auto"/>
            <w:vAlign w:val="center"/>
            <w:hideMark/>
          </w:tcPr>
          <w:p w14:paraId="1359CA73" w14:textId="77777777" w:rsidR="00416FA8" w:rsidRPr="004B6753" w:rsidRDefault="00416FA8" w:rsidP="004B6753">
            <w:pPr>
              <w:pStyle w:val="NoSpacing"/>
              <w:jc w:val="center"/>
              <w:rPr>
                <w:rFonts w:ascii="Times New Roman" w:hAnsi="Times New Roman" w:cs="Times New Roman"/>
                <w:szCs w:val="24"/>
              </w:rPr>
            </w:pPr>
            <w:r w:rsidRPr="004B6753">
              <w:rPr>
                <w:rFonts w:ascii="Times New Roman" w:hAnsi="Times New Roman" w:cs="Times New Roman"/>
                <w:szCs w:val="24"/>
              </w:rPr>
              <w:t>20.33</w:t>
            </w:r>
          </w:p>
        </w:tc>
        <w:tc>
          <w:tcPr>
            <w:tcW w:w="0" w:type="auto"/>
            <w:vAlign w:val="center"/>
            <w:hideMark/>
          </w:tcPr>
          <w:p w14:paraId="76B86901" w14:textId="77777777" w:rsidR="00416FA8" w:rsidRPr="004B6753" w:rsidRDefault="00416FA8" w:rsidP="004B6753">
            <w:pPr>
              <w:pStyle w:val="NoSpacing"/>
              <w:jc w:val="center"/>
              <w:rPr>
                <w:rFonts w:ascii="Times New Roman" w:hAnsi="Times New Roman" w:cs="Times New Roman"/>
                <w:szCs w:val="24"/>
              </w:rPr>
            </w:pPr>
            <w:r w:rsidRPr="004B6753">
              <w:rPr>
                <w:rFonts w:ascii="Times New Roman" w:hAnsi="Times New Roman" w:cs="Times New Roman"/>
                <w:szCs w:val="24"/>
              </w:rPr>
              <w:t>3.02</w:t>
            </w:r>
          </w:p>
        </w:tc>
        <w:tc>
          <w:tcPr>
            <w:tcW w:w="0" w:type="auto"/>
            <w:vAlign w:val="center"/>
            <w:hideMark/>
          </w:tcPr>
          <w:p w14:paraId="1BA1334B" w14:textId="77777777" w:rsidR="00416FA8" w:rsidRPr="004B6753" w:rsidRDefault="00416FA8" w:rsidP="004B6753">
            <w:pPr>
              <w:pStyle w:val="NoSpacing"/>
              <w:jc w:val="center"/>
              <w:rPr>
                <w:rFonts w:ascii="Times New Roman" w:hAnsi="Times New Roman" w:cs="Times New Roman"/>
                <w:szCs w:val="24"/>
              </w:rPr>
            </w:pPr>
            <w:r w:rsidRPr="004B6753">
              <w:rPr>
                <w:rFonts w:ascii="Times New Roman" w:hAnsi="Times New Roman" w:cs="Times New Roman"/>
                <w:szCs w:val="24"/>
              </w:rPr>
              <w:t>5.64</w:t>
            </w:r>
          </w:p>
        </w:tc>
        <w:tc>
          <w:tcPr>
            <w:tcW w:w="0" w:type="auto"/>
            <w:vAlign w:val="center"/>
            <w:hideMark/>
          </w:tcPr>
          <w:p w14:paraId="12397554" w14:textId="77777777" w:rsidR="00416FA8" w:rsidRPr="004B6753" w:rsidRDefault="00416FA8" w:rsidP="004B6753">
            <w:pPr>
              <w:pStyle w:val="NoSpacing"/>
              <w:jc w:val="center"/>
              <w:rPr>
                <w:rFonts w:ascii="Times New Roman" w:hAnsi="Times New Roman" w:cs="Times New Roman"/>
                <w:szCs w:val="24"/>
              </w:rPr>
            </w:pPr>
            <w:r w:rsidRPr="004B6753">
              <w:rPr>
                <w:rFonts w:ascii="Times New Roman" w:hAnsi="Times New Roman" w:cs="Times New Roman"/>
                <w:szCs w:val="24"/>
              </w:rPr>
              <w:t>1.63</w:t>
            </w:r>
          </w:p>
        </w:tc>
        <w:tc>
          <w:tcPr>
            <w:tcW w:w="0" w:type="auto"/>
            <w:vAlign w:val="center"/>
            <w:hideMark/>
          </w:tcPr>
          <w:p w14:paraId="4156CA04" w14:textId="77777777" w:rsidR="00416FA8" w:rsidRPr="004B6753" w:rsidRDefault="00416FA8" w:rsidP="004B6753">
            <w:pPr>
              <w:pStyle w:val="NoSpacing"/>
              <w:jc w:val="center"/>
              <w:rPr>
                <w:rFonts w:ascii="Times New Roman" w:hAnsi="Times New Roman" w:cs="Times New Roman"/>
                <w:szCs w:val="24"/>
              </w:rPr>
            </w:pPr>
            <w:r w:rsidRPr="004B6753">
              <w:rPr>
                <w:rFonts w:ascii="Times New Roman" w:hAnsi="Times New Roman" w:cs="Times New Roman"/>
                <w:szCs w:val="24"/>
              </w:rPr>
              <w:t>12.62</w:t>
            </w:r>
          </w:p>
        </w:tc>
        <w:tc>
          <w:tcPr>
            <w:tcW w:w="0" w:type="auto"/>
            <w:vAlign w:val="center"/>
            <w:hideMark/>
          </w:tcPr>
          <w:p w14:paraId="3990E5A1" w14:textId="77777777" w:rsidR="00416FA8" w:rsidRPr="004B6753" w:rsidRDefault="00416FA8" w:rsidP="004B6753">
            <w:pPr>
              <w:pStyle w:val="NoSpacing"/>
              <w:jc w:val="center"/>
              <w:rPr>
                <w:rFonts w:ascii="Times New Roman" w:hAnsi="Times New Roman" w:cs="Times New Roman"/>
                <w:szCs w:val="24"/>
              </w:rPr>
            </w:pPr>
            <w:r w:rsidRPr="004B6753">
              <w:rPr>
                <w:rFonts w:ascii="Times New Roman" w:hAnsi="Times New Roman" w:cs="Times New Roman"/>
                <w:szCs w:val="24"/>
              </w:rPr>
              <w:t>3.41</w:t>
            </w:r>
          </w:p>
        </w:tc>
        <w:tc>
          <w:tcPr>
            <w:tcW w:w="0" w:type="auto"/>
            <w:vAlign w:val="center"/>
            <w:hideMark/>
          </w:tcPr>
          <w:p w14:paraId="06C613BB" w14:textId="77777777" w:rsidR="00416FA8" w:rsidRPr="004B6753" w:rsidRDefault="00416FA8" w:rsidP="004B6753">
            <w:pPr>
              <w:pStyle w:val="NoSpacing"/>
              <w:jc w:val="center"/>
              <w:rPr>
                <w:rFonts w:ascii="Times New Roman" w:hAnsi="Times New Roman" w:cs="Times New Roman"/>
                <w:szCs w:val="24"/>
              </w:rPr>
            </w:pPr>
            <w:r w:rsidRPr="004B6753">
              <w:rPr>
                <w:rFonts w:ascii="Times New Roman" w:hAnsi="Times New Roman" w:cs="Times New Roman"/>
                <w:szCs w:val="24"/>
              </w:rPr>
              <w:t>3.16</w:t>
            </w:r>
          </w:p>
        </w:tc>
        <w:tc>
          <w:tcPr>
            <w:tcW w:w="0" w:type="auto"/>
            <w:vAlign w:val="center"/>
            <w:hideMark/>
          </w:tcPr>
          <w:p w14:paraId="77EF8FEC" w14:textId="77777777" w:rsidR="00416FA8" w:rsidRPr="004B6753" w:rsidRDefault="00416FA8" w:rsidP="004B6753">
            <w:pPr>
              <w:pStyle w:val="NoSpacing"/>
              <w:jc w:val="center"/>
              <w:rPr>
                <w:rFonts w:ascii="Times New Roman" w:hAnsi="Times New Roman" w:cs="Times New Roman"/>
                <w:szCs w:val="24"/>
              </w:rPr>
            </w:pPr>
            <w:r w:rsidRPr="004B6753">
              <w:rPr>
                <w:rFonts w:ascii="Times New Roman" w:hAnsi="Times New Roman" w:cs="Times New Roman"/>
                <w:szCs w:val="24"/>
              </w:rPr>
              <w:t>7.93</w:t>
            </w:r>
          </w:p>
        </w:tc>
        <w:tc>
          <w:tcPr>
            <w:tcW w:w="0" w:type="auto"/>
            <w:vAlign w:val="center"/>
            <w:hideMark/>
          </w:tcPr>
          <w:p w14:paraId="3C714A45" w14:textId="77777777" w:rsidR="00416FA8" w:rsidRPr="004B6753" w:rsidRDefault="00416FA8" w:rsidP="004B6753">
            <w:pPr>
              <w:pStyle w:val="NoSpacing"/>
              <w:jc w:val="center"/>
              <w:rPr>
                <w:rFonts w:ascii="Times New Roman" w:hAnsi="Times New Roman" w:cs="Times New Roman"/>
                <w:szCs w:val="24"/>
              </w:rPr>
            </w:pPr>
            <w:r w:rsidRPr="004B6753">
              <w:rPr>
                <w:rFonts w:ascii="Times New Roman" w:hAnsi="Times New Roman" w:cs="Times New Roman"/>
                <w:szCs w:val="24"/>
              </w:rPr>
              <w:t>42.47</w:t>
            </w:r>
          </w:p>
        </w:tc>
        <w:tc>
          <w:tcPr>
            <w:tcW w:w="0" w:type="auto"/>
            <w:vAlign w:val="center"/>
            <w:hideMark/>
          </w:tcPr>
          <w:p w14:paraId="613B0484" w14:textId="77777777" w:rsidR="00416FA8" w:rsidRPr="004B6753" w:rsidRDefault="00416FA8" w:rsidP="004B6753">
            <w:pPr>
              <w:pStyle w:val="NoSpacing"/>
              <w:jc w:val="center"/>
              <w:rPr>
                <w:rFonts w:ascii="Times New Roman" w:hAnsi="Times New Roman" w:cs="Times New Roman"/>
                <w:szCs w:val="24"/>
              </w:rPr>
            </w:pPr>
            <w:r w:rsidRPr="004B6753">
              <w:rPr>
                <w:rFonts w:ascii="Times New Roman" w:hAnsi="Times New Roman" w:cs="Times New Roman"/>
                <w:szCs w:val="24"/>
              </w:rPr>
              <w:t>104.42</w:t>
            </w:r>
          </w:p>
        </w:tc>
      </w:tr>
      <w:tr w:rsidR="00416FA8" w:rsidRPr="004B6753" w14:paraId="4316D74C" w14:textId="77777777" w:rsidTr="004B6753">
        <w:trPr>
          <w:trHeight w:val="209"/>
        </w:trPr>
        <w:tc>
          <w:tcPr>
            <w:tcW w:w="0" w:type="auto"/>
            <w:hideMark/>
          </w:tcPr>
          <w:p w14:paraId="38744206" w14:textId="77777777" w:rsidR="00416FA8" w:rsidRPr="004B6753" w:rsidRDefault="00416FA8" w:rsidP="00B77C0B">
            <w:pPr>
              <w:pStyle w:val="NoSpacing"/>
              <w:rPr>
                <w:rFonts w:ascii="Times New Roman" w:hAnsi="Times New Roman" w:cs="Times New Roman"/>
                <w:szCs w:val="24"/>
              </w:rPr>
            </w:pPr>
            <w:r w:rsidRPr="004B6753">
              <w:rPr>
                <w:rFonts w:ascii="Times New Roman" w:hAnsi="Times New Roman" w:cs="Times New Roman"/>
                <w:szCs w:val="24"/>
              </w:rPr>
              <w:t>1967-68</w:t>
            </w:r>
          </w:p>
        </w:tc>
        <w:tc>
          <w:tcPr>
            <w:tcW w:w="0" w:type="auto"/>
            <w:vAlign w:val="center"/>
            <w:hideMark/>
          </w:tcPr>
          <w:p w14:paraId="5F15B333" w14:textId="77777777" w:rsidR="00416FA8" w:rsidRPr="004B6753" w:rsidRDefault="00416FA8" w:rsidP="004B6753">
            <w:pPr>
              <w:pStyle w:val="NoSpacing"/>
              <w:jc w:val="center"/>
              <w:rPr>
                <w:rFonts w:ascii="Times New Roman" w:hAnsi="Times New Roman" w:cs="Times New Roman"/>
                <w:szCs w:val="24"/>
              </w:rPr>
            </w:pPr>
            <w:r w:rsidRPr="004B6753">
              <w:rPr>
                <w:rFonts w:ascii="Times New Roman" w:hAnsi="Times New Roman" w:cs="Times New Roman"/>
                <w:szCs w:val="24"/>
              </w:rPr>
              <w:t>4.50</w:t>
            </w:r>
          </w:p>
        </w:tc>
        <w:tc>
          <w:tcPr>
            <w:tcW w:w="0" w:type="auto"/>
            <w:vAlign w:val="center"/>
            <w:hideMark/>
          </w:tcPr>
          <w:p w14:paraId="5E888F41" w14:textId="77777777" w:rsidR="00416FA8" w:rsidRPr="004B6753" w:rsidRDefault="00416FA8" w:rsidP="004B6753">
            <w:pPr>
              <w:pStyle w:val="NoSpacing"/>
              <w:jc w:val="center"/>
              <w:rPr>
                <w:rFonts w:ascii="Times New Roman" w:hAnsi="Times New Roman" w:cs="Times New Roman"/>
                <w:szCs w:val="24"/>
              </w:rPr>
            </w:pPr>
            <w:r w:rsidRPr="004B6753">
              <w:rPr>
                <w:rFonts w:ascii="Times New Roman" w:hAnsi="Times New Roman" w:cs="Times New Roman"/>
                <w:szCs w:val="24"/>
              </w:rPr>
              <w:t>23.06</w:t>
            </w:r>
          </w:p>
        </w:tc>
        <w:tc>
          <w:tcPr>
            <w:tcW w:w="0" w:type="auto"/>
            <w:vAlign w:val="center"/>
            <w:hideMark/>
          </w:tcPr>
          <w:p w14:paraId="37ECA7C0" w14:textId="77777777" w:rsidR="00416FA8" w:rsidRPr="004B6753" w:rsidRDefault="00416FA8" w:rsidP="004B6753">
            <w:pPr>
              <w:pStyle w:val="NoSpacing"/>
              <w:jc w:val="center"/>
              <w:rPr>
                <w:rFonts w:ascii="Times New Roman" w:hAnsi="Times New Roman" w:cs="Times New Roman"/>
                <w:szCs w:val="24"/>
              </w:rPr>
            </w:pPr>
            <w:r w:rsidRPr="004B6753">
              <w:rPr>
                <w:rFonts w:ascii="Times New Roman" w:hAnsi="Times New Roman" w:cs="Times New Roman"/>
                <w:szCs w:val="24"/>
              </w:rPr>
              <w:t>3.82</w:t>
            </w:r>
          </w:p>
        </w:tc>
        <w:tc>
          <w:tcPr>
            <w:tcW w:w="0" w:type="auto"/>
            <w:vAlign w:val="center"/>
            <w:hideMark/>
          </w:tcPr>
          <w:p w14:paraId="0CEC4340" w14:textId="77777777" w:rsidR="00416FA8" w:rsidRPr="004B6753" w:rsidRDefault="00416FA8" w:rsidP="004B6753">
            <w:pPr>
              <w:pStyle w:val="NoSpacing"/>
              <w:jc w:val="center"/>
              <w:rPr>
                <w:rFonts w:ascii="Times New Roman" w:hAnsi="Times New Roman" w:cs="Times New Roman"/>
                <w:szCs w:val="24"/>
              </w:rPr>
            </w:pPr>
            <w:r w:rsidRPr="004B6753">
              <w:rPr>
                <w:rFonts w:ascii="Times New Roman" w:hAnsi="Times New Roman" w:cs="Times New Roman"/>
                <w:szCs w:val="24"/>
              </w:rPr>
              <w:t>6.39</w:t>
            </w:r>
          </w:p>
        </w:tc>
        <w:tc>
          <w:tcPr>
            <w:tcW w:w="0" w:type="auto"/>
            <w:vAlign w:val="center"/>
            <w:hideMark/>
          </w:tcPr>
          <w:p w14:paraId="5EDCA133" w14:textId="77777777" w:rsidR="00416FA8" w:rsidRPr="004B6753" w:rsidRDefault="00416FA8" w:rsidP="004B6753">
            <w:pPr>
              <w:pStyle w:val="NoSpacing"/>
              <w:jc w:val="center"/>
              <w:rPr>
                <w:rFonts w:ascii="Times New Roman" w:hAnsi="Times New Roman" w:cs="Times New Roman"/>
                <w:szCs w:val="24"/>
              </w:rPr>
            </w:pPr>
            <w:r w:rsidRPr="004B6753">
              <w:rPr>
                <w:rFonts w:ascii="Times New Roman" w:hAnsi="Times New Roman" w:cs="Times New Roman"/>
                <w:szCs w:val="24"/>
              </w:rPr>
              <w:t>1.86</w:t>
            </w:r>
          </w:p>
        </w:tc>
        <w:tc>
          <w:tcPr>
            <w:tcW w:w="0" w:type="auto"/>
            <w:vAlign w:val="center"/>
            <w:hideMark/>
          </w:tcPr>
          <w:p w14:paraId="51210F26" w14:textId="77777777" w:rsidR="00416FA8" w:rsidRPr="004B6753" w:rsidRDefault="00416FA8" w:rsidP="004B6753">
            <w:pPr>
              <w:pStyle w:val="NoSpacing"/>
              <w:jc w:val="center"/>
              <w:rPr>
                <w:rFonts w:ascii="Times New Roman" w:hAnsi="Times New Roman" w:cs="Times New Roman"/>
                <w:szCs w:val="24"/>
              </w:rPr>
            </w:pPr>
            <w:r w:rsidRPr="004B6753">
              <w:rPr>
                <w:rFonts w:ascii="Times New Roman" w:hAnsi="Times New Roman" w:cs="Times New Roman"/>
                <w:szCs w:val="24"/>
              </w:rPr>
              <w:t>15.98</w:t>
            </w:r>
          </w:p>
        </w:tc>
        <w:tc>
          <w:tcPr>
            <w:tcW w:w="0" w:type="auto"/>
            <w:vAlign w:val="center"/>
            <w:hideMark/>
          </w:tcPr>
          <w:p w14:paraId="7C4EF4AD" w14:textId="77777777" w:rsidR="00416FA8" w:rsidRPr="004B6753" w:rsidRDefault="00416FA8" w:rsidP="004B6753">
            <w:pPr>
              <w:pStyle w:val="NoSpacing"/>
              <w:jc w:val="center"/>
              <w:rPr>
                <w:rFonts w:ascii="Times New Roman" w:hAnsi="Times New Roman" w:cs="Times New Roman"/>
                <w:szCs w:val="24"/>
              </w:rPr>
            </w:pPr>
            <w:r w:rsidRPr="004B6753">
              <w:rPr>
                <w:rFonts w:ascii="Times New Roman" w:hAnsi="Times New Roman" w:cs="Times New Roman"/>
                <w:szCs w:val="24"/>
              </w:rPr>
              <w:t>3.96</w:t>
            </w:r>
          </w:p>
        </w:tc>
        <w:tc>
          <w:tcPr>
            <w:tcW w:w="0" w:type="auto"/>
            <w:vAlign w:val="center"/>
            <w:hideMark/>
          </w:tcPr>
          <w:p w14:paraId="7C0D82CF" w14:textId="77777777" w:rsidR="00416FA8" w:rsidRPr="004B6753" w:rsidRDefault="00416FA8" w:rsidP="004B6753">
            <w:pPr>
              <w:pStyle w:val="NoSpacing"/>
              <w:jc w:val="center"/>
              <w:rPr>
                <w:rFonts w:ascii="Times New Roman" w:hAnsi="Times New Roman" w:cs="Times New Roman"/>
                <w:szCs w:val="24"/>
              </w:rPr>
            </w:pPr>
            <w:r w:rsidRPr="004B6753">
              <w:rPr>
                <w:rFonts w:ascii="Times New Roman" w:hAnsi="Times New Roman" w:cs="Times New Roman"/>
                <w:szCs w:val="24"/>
              </w:rPr>
              <w:t>3.67</w:t>
            </w:r>
          </w:p>
        </w:tc>
        <w:tc>
          <w:tcPr>
            <w:tcW w:w="0" w:type="auto"/>
            <w:vAlign w:val="center"/>
            <w:hideMark/>
          </w:tcPr>
          <w:p w14:paraId="2D604A0B" w14:textId="77777777" w:rsidR="00416FA8" w:rsidRPr="004B6753" w:rsidRDefault="00416FA8" w:rsidP="004B6753">
            <w:pPr>
              <w:pStyle w:val="NoSpacing"/>
              <w:jc w:val="center"/>
              <w:rPr>
                <w:rFonts w:ascii="Times New Roman" w:hAnsi="Times New Roman" w:cs="Times New Roman"/>
                <w:szCs w:val="24"/>
              </w:rPr>
            </w:pPr>
            <w:r w:rsidRPr="004B6753">
              <w:rPr>
                <w:rFonts w:ascii="Times New Roman" w:hAnsi="Times New Roman" w:cs="Times New Roman"/>
                <w:szCs w:val="24"/>
              </w:rPr>
              <w:t>7.53</w:t>
            </w:r>
          </w:p>
        </w:tc>
        <w:tc>
          <w:tcPr>
            <w:tcW w:w="0" w:type="auto"/>
            <w:vAlign w:val="center"/>
            <w:hideMark/>
          </w:tcPr>
          <w:p w14:paraId="620551CC" w14:textId="77777777" w:rsidR="00416FA8" w:rsidRPr="004B6753" w:rsidRDefault="00416FA8" w:rsidP="004B6753">
            <w:pPr>
              <w:pStyle w:val="NoSpacing"/>
              <w:jc w:val="center"/>
              <w:rPr>
                <w:rFonts w:ascii="Times New Roman" w:hAnsi="Times New Roman" w:cs="Times New Roman"/>
                <w:szCs w:val="24"/>
              </w:rPr>
            </w:pPr>
            <w:r w:rsidRPr="004B6753">
              <w:rPr>
                <w:rFonts w:ascii="Times New Roman" w:hAnsi="Times New Roman" w:cs="Times New Roman"/>
                <w:szCs w:val="24"/>
              </w:rPr>
              <w:t>42.43</w:t>
            </w:r>
          </w:p>
        </w:tc>
        <w:tc>
          <w:tcPr>
            <w:tcW w:w="0" w:type="auto"/>
            <w:vAlign w:val="center"/>
            <w:hideMark/>
          </w:tcPr>
          <w:p w14:paraId="011FFC18" w14:textId="77777777" w:rsidR="00416FA8" w:rsidRPr="004B6753" w:rsidRDefault="00416FA8" w:rsidP="004B6753">
            <w:pPr>
              <w:pStyle w:val="NoSpacing"/>
              <w:jc w:val="center"/>
              <w:rPr>
                <w:rFonts w:ascii="Times New Roman" w:hAnsi="Times New Roman" w:cs="Times New Roman"/>
                <w:szCs w:val="24"/>
              </w:rPr>
            </w:pPr>
            <w:r w:rsidRPr="004B6753">
              <w:rPr>
                <w:rFonts w:ascii="Times New Roman" w:hAnsi="Times New Roman" w:cs="Times New Roman"/>
                <w:szCs w:val="24"/>
              </w:rPr>
              <w:t>113.20</w:t>
            </w:r>
          </w:p>
        </w:tc>
      </w:tr>
      <w:tr w:rsidR="00812C67" w:rsidRPr="004B6753" w14:paraId="0DC9E05A" w14:textId="77777777" w:rsidTr="004B6753">
        <w:trPr>
          <w:trHeight w:val="402"/>
        </w:trPr>
        <w:tc>
          <w:tcPr>
            <w:tcW w:w="0" w:type="auto"/>
            <w:vMerge w:val="restart"/>
            <w:hideMark/>
          </w:tcPr>
          <w:p w14:paraId="5E4E4963" w14:textId="77777777" w:rsidR="00812C67" w:rsidRPr="004B6753" w:rsidRDefault="00812C67" w:rsidP="00B77C0B">
            <w:pPr>
              <w:pStyle w:val="NoSpacing"/>
              <w:rPr>
                <w:rFonts w:ascii="Times New Roman" w:hAnsi="Times New Roman" w:cs="Times New Roman"/>
                <w:szCs w:val="24"/>
              </w:rPr>
            </w:pPr>
            <w:r w:rsidRPr="004B6753">
              <w:rPr>
                <w:rFonts w:ascii="Times New Roman" w:hAnsi="Times New Roman" w:cs="Times New Roman"/>
                <w:szCs w:val="24"/>
              </w:rPr>
              <w:t>1968-69 (RE)</w:t>
            </w:r>
          </w:p>
        </w:tc>
        <w:tc>
          <w:tcPr>
            <w:tcW w:w="0" w:type="auto"/>
            <w:vAlign w:val="center"/>
            <w:hideMark/>
          </w:tcPr>
          <w:p w14:paraId="7C624AE8" w14:textId="77777777" w:rsidR="00812C67" w:rsidRPr="004B6753" w:rsidRDefault="00812C67" w:rsidP="004B6753">
            <w:pPr>
              <w:pStyle w:val="NoSpacing"/>
              <w:jc w:val="center"/>
              <w:rPr>
                <w:rFonts w:ascii="Times New Roman" w:hAnsi="Times New Roman" w:cs="Times New Roman"/>
                <w:szCs w:val="24"/>
              </w:rPr>
            </w:pPr>
            <w:r w:rsidRPr="004B6753">
              <w:rPr>
                <w:rFonts w:ascii="Times New Roman" w:hAnsi="Times New Roman" w:cs="Times New Roman"/>
                <w:szCs w:val="24"/>
              </w:rPr>
              <w:t>5.05</w:t>
            </w:r>
          </w:p>
        </w:tc>
        <w:tc>
          <w:tcPr>
            <w:tcW w:w="0" w:type="auto"/>
            <w:vAlign w:val="center"/>
            <w:hideMark/>
          </w:tcPr>
          <w:p w14:paraId="61E08E5B" w14:textId="77777777" w:rsidR="00812C67" w:rsidRPr="004B6753" w:rsidRDefault="00812C67" w:rsidP="004B6753">
            <w:pPr>
              <w:pStyle w:val="NoSpacing"/>
              <w:jc w:val="center"/>
              <w:rPr>
                <w:rFonts w:ascii="Times New Roman" w:hAnsi="Times New Roman" w:cs="Times New Roman"/>
                <w:szCs w:val="24"/>
              </w:rPr>
            </w:pPr>
            <w:r w:rsidRPr="004B6753">
              <w:rPr>
                <w:rFonts w:ascii="Times New Roman" w:hAnsi="Times New Roman" w:cs="Times New Roman"/>
                <w:szCs w:val="24"/>
              </w:rPr>
              <w:t>25.97</w:t>
            </w:r>
          </w:p>
        </w:tc>
        <w:tc>
          <w:tcPr>
            <w:tcW w:w="0" w:type="auto"/>
            <w:vAlign w:val="center"/>
            <w:hideMark/>
          </w:tcPr>
          <w:p w14:paraId="7EC21E6F" w14:textId="77777777" w:rsidR="00812C67" w:rsidRPr="004B6753" w:rsidRDefault="00812C67" w:rsidP="004B6753">
            <w:pPr>
              <w:pStyle w:val="NoSpacing"/>
              <w:jc w:val="center"/>
              <w:rPr>
                <w:rFonts w:ascii="Times New Roman" w:hAnsi="Times New Roman" w:cs="Times New Roman"/>
                <w:szCs w:val="24"/>
              </w:rPr>
            </w:pPr>
            <w:r w:rsidRPr="004B6753">
              <w:rPr>
                <w:rFonts w:ascii="Times New Roman" w:hAnsi="Times New Roman" w:cs="Times New Roman"/>
                <w:szCs w:val="24"/>
              </w:rPr>
              <w:t>4.21</w:t>
            </w:r>
          </w:p>
        </w:tc>
        <w:tc>
          <w:tcPr>
            <w:tcW w:w="0" w:type="auto"/>
            <w:vAlign w:val="center"/>
            <w:hideMark/>
          </w:tcPr>
          <w:p w14:paraId="78167F4F" w14:textId="77777777" w:rsidR="00812C67" w:rsidRPr="004B6753" w:rsidRDefault="00812C67" w:rsidP="004B6753">
            <w:pPr>
              <w:pStyle w:val="NoSpacing"/>
              <w:jc w:val="center"/>
              <w:rPr>
                <w:rFonts w:ascii="Times New Roman" w:hAnsi="Times New Roman" w:cs="Times New Roman"/>
                <w:szCs w:val="24"/>
              </w:rPr>
            </w:pPr>
            <w:r w:rsidRPr="004B6753">
              <w:rPr>
                <w:rFonts w:ascii="Times New Roman" w:hAnsi="Times New Roman" w:cs="Times New Roman"/>
                <w:szCs w:val="24"/>
              </w:rPr>
              <w:t>6.06</w:t>
            </w:r>
          </w:p>
        </w:tc>
        <w:tc>
          <w:tcPr>
            <w:tcW w:w="0" w:type="auto"/>
            <w:vAlign w:val="center"/>
            <w:hideMark/>
          </w:tcPr>
          <w:p w14:paraId="121EE4A0" w14:textId="77777777" w:rsidR="00812C67" w:rsidRPr="004B6753" w:rsidRDefault="00812C67" w:rsidP="004B6753">
            <w:pPr>
              <w:pStyle w:val="NoSpacing"/>
              <w:jc w:val="center"/>
              <w:rPr>
                <w:rFonts w:ascii="Times New Roman" w:hAnsi="Times New Roman" w:cs="Times New Roman"/>
                <w:szCs w:val="24"/>
              </w:rPr>
            </w:pPr>
            <w:r w:rsidRPr="004B6753">
              <w:rPr>
                <w:rFonts w:ascii="Times New Roman" w:hAnsi="Times New Roman" w:cs="Times New Roman"/>
                <w:szCs w:val="24"/>
              </w:rPr>
              <w:t>2.04</w:t>
            </w:r>
          </w:p>
        </w:tc>
        <w:tc>
          <w:tcPr>
            <w:tcW w:w="0" w:type="auto"/>
            <w:vAlign w:val="center"/>
            <w:hideMark/>
          </w:tcPr>
          <w:p w14:paraId="46358965" w14:textId="77777777" w:rsidR="00812C67" w:rsidRPr="004B6753" w:rsidRDefault="00812C67" w:rsidP="004B6753">
            <w:pPr>
              <w:pStyle w:val="NoSpacing"/>
              <w:jc w:val="center"/>
              <w:rPr>
                <w:rFonts w:ascii="Times New Roman" w:hAnsi="Times New Roman" w:cs="Times New Roman"/>
                <w:szCs w:val="24"/>
              </w:rPr>
            </w:pPr>
            <w:r w:rsidRPr="004B6753">
              <w:rPr>
                <w:rFonts w:ascii="Times New Roman" w:hAnsi="Times New Roman" w:cs="Times New Roman"/>
                <w:szCs w:val="24"/>
              </w:rPr>
              <w:t>19.54</w:t>
            </w:r>
          </w:p>
        </w:tc>
        <w:tc>
          <w:tcPr>
            <w:tcW w:w="0" w:type="auto"/>
            <w:vAlign w:val="center"/>
            <w:hideMark/>
          </w:tcPr>
          <w:p w14:paraId="0EE4B52C" w14:textId="77777777" w:rsidR="00812C67" w:rsidRPr="004B6753" w:rsidRDefault="00812C67" w:rsidP="004B6753">
            <w:pPr>
              <w:pStyle w:val="NoSpacing"/>
              <w:jc w:val="center"/>
              <w:rPr>
                <w:rFonts w:ascii="Times New Roman" w:hAnsi="Times New Roman" w:cs="Times New Roman"/>
                <w:szCs w:val="24"/>
              </w:rPr>
            </w:pPr>
            <w:r w:rsidRPr="004B6753">
              <w:rPr>
                <w:rFonts w:ascii="Times New Roman" w:hAnsi="Times New Roman" w:cs="Times New Roman"/>
                <w:szCs w:val="24"/>
              </w:rPr>
              <w:t>4.33</w:t>
            </w:r>
          </w:p>
        </w:tc>
        <w:tc>
          <w:tcPr>
            <w:tcW w:w="0" w:type="auto"/>
            <w:vAlign w:val="center"/>
            <w:hideMark/>
          </w:tcPr>
          <w:p w14:paraId="7707056A" w14:textId="77777777" w:rsidR="00812C67" w:rsidRPr="004B6753" w:rsidRDefault="00812C67" w:rsidP="004B6753">
            <w:pPr>
              <w:pStyle w:val="NoSpacing"/>
              <w:jc w:val="center"/>
              <w:rPr>
                <w:rFonts w:ascii="Times New Roman" w:hAnsi="Times New Roman" w:cs="Times New Roman"/>
                <w:szCs w:val="24"/>
              </w:rPr>
            </w:pPr>
            <w:r w:rsidRPr="004B6753">
              <w:rPr>
                <w:rFonts w:ascii="Times New Roman" w:hAnsi="Times New Roman" w:cs="Times New Roman"/>
                <w:szCs w:val="24"/>
              </w:rPr>
              <w:t>3.94</w:t>
            </w:r>
          </w:p>
        </w:tc>
        <w:tc>
          <w:tcPr>
            <w:tcW w:w="0" w:type="auto"/>
            <w:vAlign w:val="center"/>
            <w:hideMark/>
          </w:tcPr>
          <w:p w14:paraId="6367A8B2" w14:textId="77777777" w:rsidR="00812C67" w:rsidRPr="004B6753" w:rsidRDefault="00812C67" w:rsidP="004B6753">
            <w:pPr>
              <w:pStyle w:val="NoSpacing"/>
              <w:jc w:val="center"/>
              <w:rPr>
                <w:rFonts w:ascii="Times New Roman" w:hAnsi="Times New Roman" w:cs="Times New Roman"/>
                <w:szCs w:val="24"/>
              </w:rPr>
            </w:pPr>
            <w:r w:rsidRPr="004B6753">
              <w:rPr>
                <w:rFonts w:ascii="Times New Roman" w:hAnsi="Times New Roman" w:cs="Times New Roman"/>
                <w:szCs w:val="24"/>
              </w:rPr>
              <w:t>9.52</w:t>
            </w:r>
          </w:p>
        </w:tc>
        <w:tc>
          <w:tcPr>
            <w:tcW w:w="0" w:type="auto"/>
            <w:vAlign w:val="center"/>
            <w:hideMark/>
          </w:tcPr>
          <w:p w14:paraId="1ABF91CD" w14:textId="77777777" w:rsidR="00812C67" w:rsidRPr="004B6753" w:rsidRDefault="00812C67" w:rsidP="004B6753">
            <w:pPr>
              <w:pStyle w:val="NoSpacing"/>
              <w:jc w:val="center"/>
              <w:rPr>
                <w:rFonts w:ascii="Times New Roman" w:hAnsi="Times New Roman" w:cs="Times New Roman"/>
                <w:szCs w:val="24"/>
              </w:rPr>
            </w:pPr>
            <w:r w:rsidRPr="004B6753">
              <w:rPr>
                <w:rFonts w:ascii="Times New Roman" w:hAnsi="Times New Roman" w:cs="Times New Roman"/>
                <w:szCs w:val="24"/>
              </w:rPr>
              <w:t>53.10</w:t>
            </w:r>
          </w:p>
        </w:tc>
        <w:tc>
          <w:tcPr>
            <w:tcW w:w="0" w:type="auto"/>
            <w:vAlign w:val="center"/>
            <w:hideMark/>
          </w:tcPr>
          <w:p w14:paraId="424936D8" w14:textId="77777777" w:rsidR="00812C67" w:rsidRPr="004B6753" w:rsidRDefault="00812C67" w:rsidP="004B6753">
            <w:pPr>
              <w:pStyle w:val="NoSpacing"/>
              <w:jc w:val="center"/>
              <w:rPr>
                <w:rFonts w:ascii="Times New Roman" w:hAnsi="Times New Roman" w:cs="Times New Roman"/>
                <w:szCs w:val="24"/>
              </w:rPr>
            </w:pPr>
            <w:r w:rsidRPr="004B6753">
              <w:rPr>
                <w:rFonts w:ascii="Times New Roman" w:hAnsi="Times New Roman" w:cs="Times New Roman"/>
                <w:szCs w:val="24"/>
              </w:rPr>
              <w:t>133.76</w:t>
            </w:r>
          </w:p>
        </w:tc>
      </w:tr>
      <w:tr w:rsidR="00812C67" w:rsidRPr="004B6753" w14:paraId="6C294297" w14:textId="77777777" w:rsidTr="004B6753">
        <w:trPr>
          <w:trHeight w:val="200"/>
        </w:trPr>
        <w:tc>
          <w:tcPr>
            <w:tcW w:w="0" w:type="auto"/>
            <w:vMerge/>
            <w:hideMark/>
          </w:tcPr>
          <w:p w14:paraId="14B0950B" w14:textId="77777777" w:rsidR="00812C67" w:rsidRPr="004B6753" w:rsidRDefault="00812C67" w:rsidP="00B77C0B">
            <w:pPr>
              <w:pStyle w:val="NoSpacing"/>
              <w:rPr>
                <w:rFonts w:ascii="Times New Roman" w:hAnsi="Times New Roman" w:cs="Times New Roman"/>
                <w:szCs w:val="24"/>
              </w:rPr>
            </w:pPr>
          </w:p>
        </w:tc>
        <w:tc>
          <w:tcPr>
            <w:tcW w:w="0" w:type="auto"/>
            <w:vAlign w:val="center"/>
            <w:hideMark/>
          </w:tcPr>
          <w:p w14:paraId="55529140" w14:textId="77777777" w:rsidR="00812C67" w:rsidRPr="004B6753" w:rsidRDefault="00812C67" w:rsidP="004B6753">
            <w:pPr>
              <w:pStyle w:val="NoSpacing"/>
              <w:jc w:val="center"/>
              <w:rPr>
                <w:rFonts w:ascii="Times New Roman" w:hAnsi="Times New Roman" w:cs="Times New Roman"/>
                <w:szCs w:val="24"/>
              </w:rPr>
            </w:pPr>
            <w:r w:rsidRPr="004B6753">
              <w:rPr>
                <w:rFonts w:ascii="Times New Roman" w:hAnsi="Times New Roman" w:cs="Times New Roman"/>
                <w:i/>
                <w:iCs/>
                <w:szCs w:val="24"/>
              </w:rPr>
              <w:t>(3.77)</w:t>
            </w:r>
          </w:p>
        </w:tc>
        <w:tc>
          <w:tcPr>
            <w:tcW w:w="0" w:type="auto"/>
            <w:vAlign w:val="center"/>
            <w:hideMark/>
          </w:tcPr>
          <w:p w14:paraId="5B9B1E50" w14:textId="77777777" w:rsidR="00812C67" w:rsidRPr="004B6753" w:rsidRDefault="00812C67" w:rsidP="004B6753">
            <w:pPr>
              <w:pStyle w:val="NoSpacing"/>
              <w:jc w:val="center"/>
              <w:rPr>
                <w:rFonts w:ascii="Times New Roman" w:hAnsi="Times New Roman" w:cs="Times New Roman"/>
                <w:szCs w:val="24"/>
              </w:rPr>
            </w:pPr>
            <w:r w:rsidRPr="004B6753">
              <w:rPr>
                <w:rFonts w:ascii="Times New Roman" w:hAnsi="Times New Roman" w:cs="Times New Roman"/>
                <w:i/>
                <w:iCs/>
                <w:szCs w:val="24"/>
              </w:rPr>
              <w:t>(19.41)</w:t>
            </w:r>
          </w:p>
        </w:tc>
        <w:tc>
          <w:tcPr>
            <w:tcW w:w="0" w:type="auto"/>
            <w:vAlign w:val="center"/>
            <w:hideMark/>
          </w:tcPr>
          <w:p w14:paraId="68E6C9A3" w14:textId="77777777" w:rsidR="00812C67" w:rsidRPr="004B6753" w:rsidRDefault="00812C67" w:rsidP="004B6753">
            <w:pPr>
              <w:pStyle w:val="NoSpacing"/>
              <w:jc w:val="center"/>
              <w:rPr>
                <w:rFonts w:ascii="Times New Roman" w:hAnsi="Times New Roman" w:cs="Times New Roman"/>
                <w:szCs w:val="24"/>
              </w:rPr>
            </w:pPr>
            <w:r w:rsidRPr="004B6753">
              <w:rPr>
                <w:rFonts w:ascii="Times New Roman" w:hAnsi="Times New Roman" w:cs="Times New Roman"/>
                <w:i/>
                <w:iCs/>
                <w:szCs w:val="24"/>
              </w:rPr>
              <w:t>(3.15)</w:t>
            </w:r>
          </w:p>
        </w:tc>
        <w:tc>
          <w:tcPr>
            <w:tcW w:w="0" w:type="auto"/>
            <w:vAlign w:val="center"/>
            <w:hideMark/>
          </w:tcPr>
          <w:p w14:paraId="78D2659A" w14:textId="77777777" w:rsidR="00812C67" w:rsidRPr="004B6753" w:rsidRDefault="00812C67" w:rsidP="004B6753">
            <w:pPr>
              <w:pStyle w:val="NoSpacing"/>
              <w:jc w:val="center"/>
              <w:rPr>
                <w:rFonts w:ascii="Times New Roman" w:hAnsi="Times New Roman" w:cs="Times New Roman"/>
                <w:szCs w:val="24"/>
              </w:rPr>
            </w:pPr>
            <w:r w:rsidRPr="004B6753">
              <w:rPr>
                <w:rFonts w:ascii="Times New Roman" w:hAnsi="Times New Roman" w:cs="Times New Roman"/>
                <w:i/>
                <w:iCs/>
                <w:szCs w:val="24"/>
              </w:rPr>
              <w:t>(4.53)</w:t>
            </w:r>
          </w:p>
        </w:tc>
        <w:tc>
          <w:tcPr>
            <w:tcW w:w="0" w:type="auto"/>
            <w:vAlign w:val="center"/>
            <w:hideMark/>
          </w:tcPr>
          <w:p w14:paraId="3A90BAA9" w14:textId="77777777" w:rsidR="00812C67" w:rsidRPr="004B6753" w:rsidRDefault="00812C67" w:rsidP="004B6753">
            <w:pPr>
              <w:pStyle w:val="NoSpacing"/>
              <w:jc w:val="center"/>
              <w:rPr>
                <w:rFonts w:ascii="Times New Roman" w:hAnsi="Times New Roman" w:cs="Times New Roman"/>
                <w:szCs w:val="24"/>
              </w:rPr>
            </w:pPr>
            <w:r w:rsidRPr="004B6753">
              <w:rPr>
                <w:rFonts w:ascii="Times New Roman" w:hAnsi="Times New Roman" w:cs="Times New Roman"/>
                <w:i/>
                <w:iCs/>
                <w:szCs w:val="24"/>
              </w:rPr>
              <w:t>(1.52)</w:t>
            </w:r>
          </w:p>
        </w:tc>
        <w:tc>
          <w:tcPr>
            <w:tcW w:w="0" w:type="auto"/>
            <w:vAlign w:val="center"/>
            <w:hideMark/>
          </w:tcPr>
          <w:p w14:paraId="5D55A6A8" w14:textId="77777777" w:rsidR="00812C67" w:rsidRPr="004B6753" w:rsidRDefault="00812C67" w:rsidP="004B6753">
            <w:pPr>
              <w:pStyle w:val="NoSpacing"/>
              <w:jc w:val="center"/>
              <w:rPr>
                <w:rFonts w:ascii="Times New Roman" w:hAnsi="Times New Roman" w:cs="Times New Roman"/>
                <w:szCs w:val="24"/>
              </w:rPr>
            </w:pPr>
            <w:r w:rsidRPr="004B6753">
              <w:rPr>
                <w:rFonts w:ascii="Times New Roman" w:hAnsi="Times New Roman" w:cs="Times New Roman"/>
                <w:i/>
                <w:iCs/>
                <w:szCs w:val="24"/>
              </w:rPr>
              <w:t>(14.61)</w:t>
            </w:r>
          </w:p>
        </w:tc>
        <w:tc>
          <w:tcPr>
            <w:tcW w:w="0" w:type="auto"/>
            <w:vAlign w:val="center"/>
            <w:hideMark/>
          </w:tcPr>
          <w:p w14:paraId="39E75CE3" w14:textId="77777777" w:rsidR="00812C67" w:rsidRPr="004B6753" w:rsidRDefault="00812C67" w:rsidP="004B6753">
            <w:pPr>
              <w:pStyle w:val="NoSpacing"/>
              <w:jc w:val="center"/>
              <w:rPr>
                <w:rFonts w:ascii="Times New Roman" w:hAnsi="Times New Roman" w:cs="Times New Roman"/>
                <w:szCs w:val="24"/>
              </w:rPr>
            </w:pPr>
            <w:r w:rsidRPr="004B6753">
              <w:rPr>
                <w:rFonts w:ascii="Times New Roman" w:hAnsi="Times New Roman" w:cs="Times New Roman"/>
                <w:i/>
                <w:iCs/>
                <w:szCs w:val="24"/>
              </w:rPr>
              <w:t>(3.24)</w:t>
            </w:r>
          </w:p>
        </w:tc>
        <w:tc>
          <w:tcPr>
            <w:tcW w:w="0" w:type="auto"/>
            <w:vAlign w:val="center"/>
            <w:hideMark/>
          </w:tcPr>
          <w:p w14:paraId="7BE352D8" w14:textId="77777777" w:rsidR="00812C67" w:rsidRPr="004B6753" w:rsidRDefault="00812C67" w:rsidP="004B6753">
            <w:pPr>
              <w:pStyle w:val="NoSpacing"/>
              <w:jc w:val="center"/>
              <w:rPr>
                <w:rFonts w:ascii="Times New Roman" w:hAnsi="Times New Roman" w:cs="Times New Roman"/>
                <w:szCs w:val="24"/>
              </w:rPr>
            </w:pPr>
            <w:r w:rsidRPr="004B6753">
              <w:rPr>
                <w:rFonts w:ascii="Times New Roman" w:hAnsi="Times New Roman" w:cs="Times New Roman"/>
                <w:i/>
                <w:iCs/>
                <w:szCs w:val="24"/>
              </w:rPr>
              <w:t>(2.95)</w:t>
            </w:r>
          </w:p>
        </w:tc>
        <w:tc>
          <w:tcPr>
            <w:tcW w:w="0" w:type="auto"/>
            <w:vAlign w:val="center"/>
            <w:hideMark/>
          </w:tcPr>
          <w:p w14:paraId="5AEE1543" w14:textId="77777777" w:rsidR="00812C67" w:rsidRPr="004B6753" w:rsidRDefault="00812C67" w:rsidP="004B6753">
            <w:pPr>
              <w:pStyle w:val="NoSpacing"/>
              <w:jc w:val="center"/>
              <w:rPr>
                <w:rFonts w:ascii="Times New Roman" w:hAnsi="Times New Roman" w:cs="Times New Roman"/>
                <w:szCs w:val="24"/>
              </w:rPr>
            </w:pPr>
            <w:r w:rsidRPr="004B6753">
              <w:rPr>
                <w:rFonts w:ascii="Times New Roman" w:hAnsi="Times New Roman" w:cs="Times New Roman"/>
                <w:i/>
                <w:iCs/>
                <w:szCs w:val="24"/>
              </w:rPr>
              <w:t>(7.12)</w:t>
            </w:r>
          </w:p>
        </w:tc>
        <w:tc>
          <w:tcPr>
            <w:tcW w:w="0" w:type="auto"/>
            <w:vAlign w:val="center"/>
            <w:hideMark/>
          </w:tcPr>
          <w:p w14:paraId="7AB2A1A6" w14:textId="77777777" w:rsidR="00812C67" w:rsidRPr="004B6753" w:rsidRDefault="00812C67" w:rsidP="004B6753">
            <w:pPr>
              <w:pStyle w:val="NoSpacing"/>
              <w:jc w:val="center"/>
              <w:rPr>
                <w:rFonts w:ascii="Times New Roman" w:hAnsi="Times New Roman" w:cs="Times New Roman"/>
                <w:szCs w:val="24"/>
              </w:rPr>
            </w:pPr>
            <w:r w:rsidRPr="004B6753">
              <w:rPr>
                <w:rFonts w:ascii="Times New Roman" w:hAnsi="Times New Roman" w:cs="Times New Roman"/>
                <w:i/>
                <w:iCs/>
                <w:szCs w:val="24"/>
              </w:rPr>
              <w:t>(39.70)</w:t>
            </w:r>
          </w:p>
        </w:tc>
        <w:tc>
          <w:tcPr>
            <w:tcW w:w="0" w:type="auto"/>
            <w:vAlign w:val="center"/>
            <w:hideMark/>
          </w:tcPr>
          <w:p w14:paraId="31F0563D" w14:textId="77777777" w:rsidR="00812C67" w:rsidRPr="004B6753" w:rsidRDefault="00812C67" w:rsidP="004B6753">
            <w:pPr>
              <w:pStyle w:val="NoSpacing"/>
              <w:jc w:val="center"/>
              <w:rPr>
                <w:rFonts w:ascii="Times New Roman" w:hAnsi="Times New Roman" w:cs="Times New Roman"/>
                <w:szCs w:val="24"/>
              </w:rPr>
            </w:pPr>
            <w:r w:rsidRPr="004B6753">
              <w:rPr>
                <w:rFonts w:ascii="Times New Roman" w:hAnsi="Times New Roman" w:cs="Times New Roman"/>
                <w:i/>
                <w:iCs/>
                <w:szCs w:val="24"/>
              </w:rPr>
              <w:t>(100.00)</w:t>
            </w:r>
          </w:p>
        </w:tc>
      </w:tr>
      <w:tr w:rsidR="00416FA8" w:rsidRPr="004B6753" w14:paraId="1B76F704" w14:textId="77777777" w:rsidTr="004B6753">
        <w:trPr>
          <w:trHeight w:val="200"/>
        </w:trPr>
        <w:tc>
          <w:tcPr>
            <w:tcW w:w="0" w:type="auto"/>
            <w:hideMark/>
          </w:tcPr>
          <w:p w14:paraId="05EC924C" w14:textId="77777777" w:rsidR="00416FA8" w:rsidRPr="004B6753" w:rsidRDefault="00416FA8" w:rsidP="00B77C0B">
            <w:pPr>
              <w:pStyle w:val="NoSpacing"/>
              <w:rPr>
                <w:rFonts w:ascii="Times New Roman" w:hAnsi="Times New Roman" w:cs="Times New Roman"/>
                <w:szCs w:val="24"/>
              </w:rPr>
            </w:pPr>
            <w:r w:rsidRPr="004B6753">
              <w:rPr>
                <w:rFonts w:ascii="Times New Roman" w:hAnsi="Times New Roman" w:cs="Times New Roman"/>
                <w:szCs w:val="24"/>
              </w:rPr>
              <w:t>Punjab*</w:t>
            </w:r>
          </w:p>
        </w:tc>
        <w:tc>
          <w:tcPr>
            <w:tcW w:w="0" w:type="auto"/>
            <w:vAlign w:val="center"/>
            <w:hideMark/>
          </w:tcPr>
          <w:p w14:paraId="5FB50F67" w14:textId="77777777" w:rsidR="00416FA8" w:rsidRPr="004B6753" w:rsidRDefault="00416FA8" w:rsidP="004B6753">
            <w:pPr>
              <w:pStyle w:val="NoSpacing"/>
              <w:jc w:val="center"/>
              <w:rPr>
                <w:rFonts w:ascii="Times New Roman" w:hAnsi="Times New Roman" w:cs="Times New Roman"/>
                <w:szCs w:val="24"/>
              </w:rPr>
            </w:pPr>
          </w:p>
        </w:tc>
        <w:tc>
          <w:tcPr>
            <w:tcW w:w="0" w:type="auto"/>
            <w:vAlign w:val="center"/>
            <w:hideMark/>
          </w:tcPr>
          <w:p w14:paraId="401CB92F" w14:textId="77777777" w:rsidR="00416FA8" w:rsidRPr="004B6753" w:rsidRDefault="00416FA8" w:rsidP="004B6753">
            <w:pPr>
              <w:pStyle w:val="NoSpacing"/>
              <w:jc w:val="center"/>
              <w:rPr>
                <w:rFonts w:ascii="Times New Roman" w:hAnsi="Times New Roman" w:cs="Times New Roman"/>
                <w:szCs w:val="24"/>
              </w:rPr>
            </w:pPr>
          </w:p>
        </w:tc>
        <w:tc>
          <w:tcPr>
            <w:tcW w:w="0" w:type="auto"/>
            <w:vAlign w:val="center"/>
            <w:hideMark/>
          </w:tcPr>
          <w:p w14:paraId="28F926F4" w14:textId="77777777" w:rsidR="00416FA8" w:rsidRPr="004B6753" w:rsidRDefault="00416FA8" w:rsidP="004B6753">
            <w:pPr>
              <w:pStyle w:val="NoSpacing"/>
              <w:jc w:val="center"/>
              <w:rPr>
                <w:rFonts w:ascii="Times New Roman" w:hAnsi="Times New Roman" w:cs="Times New Roman"/>
                <w:szCs w:val="24"/>
              </w:rPr>
            </w:pPr>
          </w:p>
        </w:tc>
        <w:tc>
          <w:tcPr>
            <w:tcW w:w="0" w:type="auto"/>
            <w:vAlign w:val="center"/>
            <w:hideMark/>
          </w:tcPr>
          <w:p w14:paraId="7958212C" w14:textId="77777777" w:rsidR="00416FA8" w:rsidRPr="004B6753" w:rsidRDefault="00416FA8" w:rsidP="004B6753">
            <w:pPr>
              <w:pStyle w:val="NoSpacing"/>
              <w:jc w:val="center"/>
              <w:rPr>
                <w:rFonts w:ascii="Times New Roman" w:hAnsi="Times New Roman" w:cs="Times New Roman"/>
                <w:szCs w:val="24"/>
              </w:rPr>
            </w:pPr>
          </w:p>
        </w:tc>
        <w:tc>
          <w:tcPr>
            <w:tcW w:w="0" w:type="auto"/>
            <w:vAlign w:val="center"/>
            <w:hideMark/>
          </w:tcPr>
          <w:p w14:paraId="44FDA093" w14:textId="77777777" w:rsidR="00416FA8" w:rsidRPr="004B6753" w:rsidRDefault="00416FA8" w:rsidP="004B6753">
            <w:pPr>
              <w:pStyle w:val="NoSpacing"/>
              <w:jc w:val="center"/>
              <w:rPr>
                <w:rFonts w:ascii="Times New Roman" w:hAnsi="Times New Roman" w:cs="Times New Roman"/>
                <w:szCs w:val="24"/>
              </w:rPr>
            </w:pPr>
          </w:p>
        </w:tc>
        <w:tc>
          <w:tcPr>
            <w:tcW w:w="0" w:type="auto"/>
            <w:vAlign w:val="center"/>
            <w:hideMark/>
          </w:tcPr>
          <w:p w14:paraId="51061087" w14:textId="77777777" w:rsidR="00416FA8" w:rsidRPr="004B6753" w:rsidRDefault="00416FA8" w:rsidP="004B6753">
            <w:pPr>
              <w:pStyle w:val="NoSpacing"/>
              <w:jc w:val="center"/>
              <w:rPr>
                <w:rFonts w:ascii="Times New Roman" w:hAnsi="Times New Roman" w:cs="Times New Roman"/>
                <w:szCs w:val="24"/>
              </w:rPr>
            </w:pPr>
          </w:p>
        </w:tc>
        <w:tc>
          <w:tcPr>
            <w:tcW w:w="0" w:type="auto"/>
            <w:vAlign w:val="center"/>
            <w:hideMark/>
          </w:tcPr>
          <w:p w14:paraId="70B4DECF" w14:textId="77777777" w:rsidR="00416FA8" w:rsidRPr="004B6753" w:rsidRDefault="00416FA8" w:rsidP="004B6753">
            <w:pPr>
              <w:pStyle w:val="NoSpacing"/>
              <w:jc w:val="center"/>
              <w:rPr>
                <w:rFonts w:ascii="Times New Roman" w:hAnsi="Times New Roman" w:cs="Times New Roman"/>
                <w:szCs w:val="24"/>
              </w:rPr>
            </w:pPr>
          </w:p>
        </w:tc>
        <w:tc>
          <w:tcPr>
            <w:tcW w:w="0" w:type="auto"/>
            <w:vAlign w:val="center"/>
            <w:hideMark/>
          </w:tcPr>
          <w:p w14:paraId="65D4AE3F" w14:textId="77777777" w:rsidR="00416FA8" w:rsidRPr="004B6753" w:rsidRDefault="00416FA8" w:rsidP="004B6753">
            <w:pPr>
              <w:pStyle w:val="NoSpacing"/>
              <w:jc w:val="center"/>
              <w:rPr>
                <w:rFonts w:ascii="Times New Roman" w:hAnsi="Times New Roman" w:cs="Times New Roman"/>
                <w:szCs w:val="24"/>
              </w:rPr>
            </w:pPr>
          </w:p>
        </w:tc>
        <w:tc>
          <w:tcPr>
            <w:tcW w:w="0" w:type="auto"/>
            <w:vAlign w:val="center"/>
            <w:hideMark/>
          </w:tcPr>
          <w:p w14:paraId="2B2D9B40" w14:textId="77777777" w:rsidR="00416FA8" w:rsidRPr="004B6753" w:rsidRDefault="00416FA8" w:rsidP="004B6753">
            <w:pPr>
              <w:pStyle w:val="NoSpacing"/>
              <w:jc w:val="center"/>
              <w:rPr>
                <w:rFonts w:ascii="Times New Roman" w:hAnsi="Times New Roman" w:cs="Times New Roman"/>
                <w:szCs w:val="24"/>
              </w:rPr>
            </w:pPr>
          </w:p>
        </w:tc>
        <w:tc>
          <w:tcPr>
            <w:tcW w:w="0" w:type="auto"/>
            <w:vAlign w:val="center"/>
            <w:hideMark/>
          </w:tcPr>
          <w:p w14:paraId="0FA9C377" w14:textId="77777777" w:rsidR="00416FA8" w:rsidRPr="004B6753" w:rsidRDefault="00416FA8" w:rsidP="004B6753">
            <w:pPr>
              <w:pStyle w:val="NoSpacing"/>
              <w:jc w:val="center"/>
              <w:rPr>
                <w:rFonts w:ascii="Times New Roman" w:hAnsi="Times New Roman" w:cs="Times New Roman"/>
                <w:szCs w:val="24"/>
              </w:rPr>
            </w:pPr>
          </w:p>
        </w:tc>
        <w:tc>
          <w:tcPr>
            <w:tcW w:w="0" w:type="auto"/>
            <w:vAlign w:val="center"/>
            <w:hideMark/>
          </w:tcPr>
          <w:p w14:paraId="7EBC5E34" w14:textId="77777777" w:rsidR="00416FA8" w:rsidRPr="004B6753" w:rsidRDefault="00416FA8" w:rsidP="004B6753">
            <w:pPr>
              <w:pStyle w:val="NoSpacing"/>
              <w:jc w:val="center"/>
              <w:rPr>
                <w:rFonts w:ascii="Times New Roman" w:hAnsi="Times New Roman" w:cs="Times New Roman"/>
                <w:szCs w:val="24"/>
              </w:rPr>
            </w:pPr>
          </w:p>
        </w:tc>
      </w:tr>
      <w:tr w:rsidR="00812C67" w:rsidRPr="004B6753" w14:paraId="6A32D462" w14:textId="77777777" w:rsidTr="004B6753">
        <w:trPr>
          <w:trHeight w:val="200"/>
        </w:trPr>
        <w:tc>
          <w:tcPr>
            <w:tcW w:w="0" w:type="auto"/>
            <w:vMerge w:val="restart"/>
            <w:hideMark/>
          </w:tcPr>
          <w:p w14:paraId="3DEF0D53" w14:textId="77777777" w:rsidR="00812C67" w:rsidRPr="004B6753" w:rsidRDefault="00812C67" w:rsidP="00B77C0B">
            <w:pPr>
              <w:pStyle w:val="NoSpacing"/>
              <w:rPr>
                <w:rFonts w:ascii="Times New Roman" w:hAnsi="Times New Roman" w:cs="Times New Roman"/>
                <w:szCs w:val="24"/>
              </w:rPr>
            </w:pPr>
            <w:r w:rsidRPr="004B6753">
              <w:rPr>
                <w:rFonts w:ascii="Times New Roman" w:hAnsi="Times New Roman" w:cs="Times New Roman"/>
                <w:szCs w:val="24"/>
              </w:rPr>
              <w:lastRenderedPageBreak/>
              <w:t>1961-62</w:t>
            </w:r>
          </w:p>
        </w:tc>
        <w:tc>
          <w:tcPr>
            <w:tcW w:w="0" w:type="auto"/>
            <w:vAlign w:val="center"/>
            <w:hideMark/>
          </w:tcPr>
          <w:p w14:paraId="16DEFDD3" w14:textId="77777777" w:rsidR="00812C67" w:rsidRPr="004B6753" w:rsidRDefault="00812C67" w:rsidP="004B6753">
            <w:pPr>
              <w:pStyle w:val="NoSpacing"/>
              <w:jc w:val="center"/>
              <w:rPr>
                <w:rFonts w:ascii="Times New Roman" w:hAnsi="Times New Roman" w:cs="Times New Roman"/>
                <w:szCs w:val="24"/>
              </w:rPr>
            </w:pPr>
            <w:r w:rsidRPr="004B6753">
              <w:rPr>
                <w:rFonts w:ascii="Times New Roman" w:hAnsi="Times New Roman" w:cs="Times New Roman"/>
                <w:szCs w:val="24"/>
              </w:rPr>
              <w:t>4.86</w:t>
            </w:r>
          </w:p>
        </w:tc>
        <w:tc>
          <w:tcPr>
            <w:tcW w:w="0" w:type="auto"/>
            <w:vAlign w:val="center"/>
            <w:hideMark/>
          </w:tcPr>
          <w:p w14:paraId="03BC44DF" w14:textId="77777777" w:rsidR="00812C67" w:rsidRPr="004B6753" w:rsidRDefault="00812C67" w:rsidP="004B6753">
            <w:pPr>
              <w:pStyle w:val="NoSpacing"/>
              <w:jc w:val="center"/>
              <w:rPr>
                <w:rFonts w:ascii="Times New Roman" w:hAnsi="Times New Roman" w:cs="Times New Roman"/>
                <w:szCs w:val="24"/>
              </w:rPr>
            </w:pPr>
            <w:r w:rsidRPr="004B6753">
              <w:rPr>
                <w:rFonts w:ascii="Times New Roman" w:hAnsi="Times New Roman" w:cs="Times New Roman"/>
                <w:szCs w:val="24"/>
              </w:rPr>
              <w:t>3.64</w:t>
            </w:r>
          </w:p>
        </w:tc>
        <w:tc>
          <w:tcPr>
            <w:tcW w:w="0" w:type="auto"/>
            <w:vAlign w:val="center"/>
            <w:hideMark/>
          </w:tcPr>
          <w:p w14:paraId="68AAE1D8" w14:textId="77777777" w:rsidR="00812C67" w:rsidRPr="004B6753" w:rsidRDefault="00812C67" w:rsidP="004B6753">
            <w:pPr>
              <w:pStyle w:val="NoSpacing"/>
              <w:jc w:val="center"/>
              <w:rPr>
                <w:rFonts w:ascii="Times New Roman" w:hAnsi="Times New Roman" w:cs="Times New Roman"/>
                <w:szCs w:val="24"/>
              </w:rPr>
            </w:pPr>
            <w:r w:rsidRPr="004B6753">
              <w:rPr>
                <w:rFonts w:ascii="Times New Roman" w:hAnsi="Times New Roman" w:cs="Times New Roman"/>
                <w:szCs w:val="24"/>
              </w:rPr>
              <w:t>3.34</w:t>
            </w:r>
          </w:p>
        </w:tc>
        <w:tc>
          <w:tcPr>
            <w:tcW w:w="0" w:type="auto"/>
            <w:vAlign w:val="center"/>
            <w:hideMark/>
          </w:tcPr>
          <w:p w14:paraId="7EA71C91" w14:textId="77777777" w:rsidR="00812C67" w:rsidRPr="004B6753" w:rsidRDefault="00812C67" w:rsidP="004B6753">
            <w:pPr>
              <w:pStyle w:val="NoSpacing"/>
              <w:jc w:val="center"/>
              <w:rPr>
                <w:rFonts w:ascii="Times New Roman" w:hAnsi="Times New Roman" w:cs="Times New Roman"/>
                <w:szCs w:val="24"/>
              </w:rPr>
            </w:pPr>
            <w:r w:rsidRPr="004B6753">
              <w:rPr>
                <w:rFonts w:ascii="Times New Roman" w:hAnsi="Times New Roman" w:cs="Times New Roman"/>
                <w:szCs w:val="24"/>
              </w:rPr>
              <w:t>5.28</w:t>
            </w:r>
          </w:p>
        </w:tc>
        <w:tc>
          <w:tcPr>
            <w:tcW w:w="0" w:type="auto"/>
            <w:vAlign w:val="center"/>
            <w:hideMark/>
          </w:tcPr>
          <w:p w14:paraId="6BFFE59A" w14:textId="77777777" w:rsidR="00812C67" w:rsidRPr="004B6753" w:rsidRDefault="00812C67" w:rsidP="004B6753">
            <w:pPr>
              <w:pStyle w:val="NoSpacing"/>
              <w:jc w:val="center"/>
              <w:rPr>
                <w:rFonts w:ascii="Times New Roman" w:hAnsi="Times New Roman" w:cs="Times New Roman"/>
                <w:szCs w:val="24"/>
              </w:rPr>
            </w:pPr>
            <w:r w:rsidRPr="004B6753">
              <w:rPr>
                <w:rFonts w:ascii="Times New Roman" w:hAnsi="Times New Roman" w:cs="Times New Roman"/>
                <w:szCs w:val="24"/>
              </w:rPr>
              <w:t>1.44</w:t>
            </w:r>
          </w:p>
        </w:tc>
        <w:tc>
          <w:tcPr>
            <w:tcW w:w="0" w:type="auto"/>
            <w:vAlign w:val="center"/>
            <w:hideMark/>
          </w:tcPr>
          <w:p w14:paraId="531839C2" w14:textId="77777777" w:rsidR="00812C67" w:rsidRPr="004B6753" w:rsidRDefault="00812C67" w:rsidP="004B6753">
            <w:pPr>
              <w:pStyle w:val="NoSpacing"/>
              <w:jc w:val="center"/>
              <w:rPr>
                <w:rFonts w:ascii="Times New Roman" w:hAnsi="Times New Roman" w:cs="Times New Roman"/>
                <w:szCs w:val="24"/>
              </w:rPr>
            </w:pPr>
            <w:r w:rsidRPr="004B6753">
              <w:rPr>
                <w:rFonts w:ascii="Times New Roman" w:hAnsi="Times New Roman" w:cs="Times New Roman"/>
                <w:szCs w:val="24"/>
              </w:rPr>
              <w:t>12.68</w:t>
            </w:r>
          </w:p>
        </w:tc>
        <w:tc>
          <w:tcPr>
            <w:tcW w:w="0" w:type="auto"/>
            <w:vAlign w:val="center"/>
            <w:hideMark/>
          </w:tcPr>
          <w:p w14:paraId="636CA835" w14:textId="77777777" w:rsidR="00812C67" w:rsidRPr="004B6753" w:rsidRDefault="00812C67" w:rsidP="004B6753">
            <w:pPr>
              <w:pStyle w:val="NoSpacing"/>
              <w:jc w:val="center"/>
              <w:rPr>
                <w:rFonts w:ascii="Times New Roman" w:hAnsi="Times New Roman" w:cs="Times New Roman"/>
                <w:szCs w:val="24"/>
              </w:rPr>
            </w:pPr>
            <w:r w:rsidRPr="004B6753">
              <w:rPr>
                <w:rFonts w:ascii="Times New Roman" w:hAnsi="Times New Roman" w:cs="Times New Roman"/>
                <w:szCs w:val="24"/>
              </w:rPr>
              <w:t>2.92</w:t>
            </w:r>
          </w:p>
        </w:tc>
        <w:tc>
          <w:tcPr>
            <w:tcW w:w="0" w:type="auto"/>
            <w:vAlign w:val="center"/>
            <w:hideMark/>
          </w:tcPr>
          <w:p w14:paraId="5A7DE633" w14:textId="77777777" w:rsidR="00812C67" w:rsidRPr="004B6753" w:rsidRDefault="00812C67" w:rsidP="004B6753">
            <w:pPr>
              <w:pStyle w:val="NoSpacing"/>
              <w:jc w:val="center"/>
              <w:rPr>
                <w:rFonts w:ascii="Times New Roman" w:hAnsi="Times New Roman" w:cs="Times New Roman"/>
                <w:szCs w:val="24"/>
              </w:rPr>
            </w:pPr>
            <w:r w:rsidRPr="004B6753">
              <w:rPr>
                <w:rFonts w:ascii="Times New Roman" w:hAnsi="Times New Roman" w:cs="Times New Roman"/>
                <w:szCs w:val="24"/>
              </w:rPr>
              <w:t>1.53</w:t>
            </w:r>
          </w:p>
        </w:tc>
        <w:tc>
          <w:tcPr>
            <w:tcW w:w="0" w:type="auto"/>
            <w:vAlign w:val="center"/>
            <w:hideMark/>
          </w:tcPr>
          <w:p w14:paraId="2AF5106A" w14:textId="77777777" w:rsidR="00812C67" w:rsidRPr="004B6753" w:rsidRDefault="00812C67" w:rsidP="004B6753">
            <w:pPr>
              <w:pStyle w:val="NoSpacing"/>
              <w:jc w:val="center"/>
              <w:rPr>
                <w:rFonts w:ascii="Times New Roman" w:hAnsi="Times New Roman" w:cs="Times New Roman"/>
                <w:szCs w:val="24"/>
              </w:rPr>
            </w:pPr>
            <w:r w:rsidRPr="004B6753">
              <w:rPr>
                <w:rFonts w:ascii="Times New Roman" w:hAnsi="Times New Roman" w:cs="Times New Roman"/>
                <w:szCs w:val="24"/>
              </w:rPr>
              <w:t>2.54</w:t>
            </w:r>
          </w:p>
        </w:tc>
        <w:tc>
          <w:tcPr>
            <w:tcW w:w="0" w:type="auto"/>
            <w:vAlign w:val="center"/>
            <w:hideMark/>
          </w:tcPr>
          <w:p w14:paraId="16837CD7" w14:textId="77777777" w:rsidR="00812C67" w:rsidRPr="004B6753" w:rsidRDefault="00812C67" w:rsidP="004B6753">
            <w:pPr>
              <w:pStyle w:val="NoSpacing"/>
              <w:jc w:val="center"/>
              <w:rPr>
                <w:rFonts w:ascii="Times New Roman" w:hAnsi="Times New Roman" w:cs="Times New Roman"/>
                <w:szCs w:val="24"/>
              </w:rPr>
            </w:pPr>
            <w:r w:rsidRPr="004B6753">
              <w:rPr>
                <w:rFonts w:ascii="Times New Roman" w:hAnsi="Times New Roman" w:cs="Times New Roman"/>
                <w:szCs w:val="24"/>
              </w:rPr>
              <w:t>29.10</w:t>
            </w:r>
          </w:p>
        </w:tc>
        <w:tc>
          <w:tcPr>
            <w:tcW w:w="0" w:type="auto"/>
            <w:vAlign w:val="center"/>
            <w:hideMark/>
          </w:tcPr>
          <w:p w14:paraId="4D58FEC6" w14:textId="77777777" w:rsidR="00812C67" w:rsidRPr="004B6753" w:rsidRDefault="00812C67" w:rsidP="004B6753">
            <w:pPr>
              <w:pStyle w:val="NoSpacing"/>
              <w:jc w:val="center"/>
              <w:rPr>
                <w:rFonts w:ascii="Times New Roman" w:hAnsi="Times New Roman" w:cs="Times New Roman"/>
                <w:szCs w:val="24"/>
              </w:rPr>
            </w:pPr>
            <w:r w:rsidRPr="004B6753">
              <w:rPr>
                <w:rFonts w:ascii="Times New Roman" w:hAnsi="Times New Roman" w:cs="Times New Roman"/>
                <w:szCs w:val="24"/>
              </w:rPr>
              <w:t>67.33</w:t>
            </w:r>
          </w:p>
        </w:tc>
      </w:tr>
      <w:tr w:rsidR="00812C67" w:rsidRPr="004B6753" w14:paraId="55084D7E" w14:textId="77777777" w:rsidTr="004B6753">
        <w:trPr>
          <w:trHeight w:val="200"/>
        </w:trPr>
        <w:tc>
          <w:tcPr>
            <w:tcW w:w="0" w:type="auto"/>
            <w:vMerge/>
            <w:hideMark/>
          </w:tcPr>
          <w:p w14:paraId="3B0AA75E" w14:textId="77777777" w:rsidR="00812C67" w:rsidRPr="004B6753" w:rsidRDefault="00812C67" w:rsidP="00B77C0B">
            <w:pPr>
              <w:pStyle w:val="NoSpacing"/>
              <w:rPr>
                <w:rFonts w:ascii="Times New Roman" w:hAnsi="Times New Roman" w:cs="Times New Roman"/>
                <w:szCs w:val="24"/>
              </w:rPr>
            </w:pPr>
          </w:p>
        </w:tc>
        <w:tc>
          <w:tcPr>
            <w:tcW w:w="0" w:type="auto"/>
            <w:vAlign w:val="center"/>
            <w:hideMark/>
          </w:tcPr>
          <w:p w14:paraId="22C38CFA" w14:textId="77777777" w:rsidR="00812C67" w:rsidRPr="004B6753" w:rsidRDefault="00812C67" w:rsidP="004B6753">
            <w:pPr>
              <w:pStyle w:val="NoSpacing"/>
              <w:jc w:val="center"/>
              <w:rPr>
                <w:rFonts w:ascii="Times New Roman" w:hAnsi="Times New Roman" w:cs="Times New Roman"/>
                <w:szCs w:val="24"/>
              </w:rPr>
            </w:pPr>
            <w:r w:rsidRPr="004B6753">
              <w:rPr>
                <w:rFonts w:ascii="Times New Roman" w:hAnsi="Times New Roman" w:cs="Times New Roman"/>
                <w:i/>
                <w:iCs/>
                <w:szCs w:val="24"/>
              </w:rPr>
              <w:t>(7.22)</w:t>
            </w:r>
          </w:p>
        </w:tc>
        <w:tc>
          <w:tcPr>
            <w:tcW w:w="0" w:type="auto"/>
            <w:vAlign w:val="center"/>
            <w:hideMark/>
          </w:tcPr>
          <w:p w14:paraId="430425C4" w14:textId="77777777" w:rsidR="00812C67" w:rsidRPr="004B6753" w:rsidRDefault="00812C67" w:rsidP="004B6753">
            <w:pPr>
              <w:pStyle w:val="NoSpacing"/>
              <w:jc w:val="center"/>
              <w:rPr>
                <w:rFonts w:ascii="Times New Roman" w:hAnsi="Times New Roman" w:cs="Times New Roman"/>
                <w:szCs w:val="24"/>
              </w:rPr>
            </w:pPr>
            <w:r w:rsidRPr="004B6753">
              <w:rPr>
                <w:rFonts w:ascii="Times New Roman" w:hAnsi="Times New Roman" w:cs="Times New Roman"/>
                <w:i/>
                <w:iCs/>
                <w:szCs w:val="24"/>
              </w:rPr>
              <w:t>(5.41)</w:t>
            </w:r>
          </w:p>
        </w:tc>
        <w:tc>
          <w:tcPr>
            <w:tcW w:w="0" w:type="auto"/>
            <w:vAlign w:val="center"/>
            <w:hideMark/>
          </w:tcPr>
          <w:p w14:paraId="1129ACF8" w14:textId="77777777" w:rsidR="00812C67" w:rsidRPr="004B6753" w:rsidRDefault="00812C67" w:rsidP="004B6753">
            <w:pPr>
              <w:pStyle w:val="NoSpacing"/>
              <w:jc w:val="center"/>
              <w:rPr>
                <w:rFonts w:ascii="Times New Roman" w:hAnsi="Times New Roman" w:cs="Times New Roman"/>
                <w:szCs w:val="24"/>
              </w:rPr>
            </w:pPr>
            <w:r w:rsidRPr="004B6753">
              <w:rPr>
                <w:rFonts w:ascii="Times New Roman" w:hAnsi="Times New Roman" w:cs="Times New Roman"/>
                <w:i/>
                <w:iCs/>
                <w:szCs w:val="24"/>
              </w:rPr>
              <w:t>(4.96)</w:t>
            </w:r>
          </w:p>
        </w:tc>
        <w:tc>
          <w:tcPr>
            <w:tcW w:w="0" w:type="auto"/>
            <w:vAlign w:val="center"/>
            <w:hideMark/>
          </w:tcPr>
          <w:p w14:paraId="06DD54A1" w14:textId="77777777" w:rsidR="00812C67" w:rsidRPr="004B6753" w:rsidRDefault="00812C67" w:rsidP="004B6753">
            <w:pPr>
              <w:pStyle w:val="NoSpacing"/>
              <w:jc w:val="center"/>
              <w:rPr>
                <w:rFonts w:ascii="Times New Roman" w:hAnsi="Times New Roman" w:cs="Times New Roman"/>
                <w:szCs w:val="24"/>
              </w:rPr>
            </w:pPr>
            <w:r w:rsidRPr="004B6753">
              <w:rPr>
                <w:rFonts w:ascii="Times New Roman" w:hAnsi="Times New Roman" w:cs="Times New Roman"/>
                <w:i/>
                <w:iCs/>
                <w:szCs w:val="24"/>
              </w:rPr>
              <w:t>(7.84)</w:t>
            </w:r>
          </w:p>
        </w:tc>
        <w:tc>
          <w:tcPr>
            <w:tcW w:w="0" w:type="auto"/>
            <w:vAlign w:val="center"/>
            <w:hideMark/>
          </w:tcPr>
          <w:p w14:paraId="7404503E" w14:textId="77777777" w:rsidR="00812C67" w:rsidRPr="004B6753" w:rsidRDefault="00812C67" w:rsidP="004B6753">
            <w:pPr>
              <w:pStyle w:val="NoSpacing"/>
              <w:jc w:val="center"/>
              <w:rPr>
                <w:rFonts w:ascii="Times New Roman" w:hAnsi="Times New Roman" w:cs="Times New Roman"/>
                <w:szCs w:val="24"/>
              </w:rPr>
            </w:pPr>
            <w:r w:rsidRPr="004B6753">
              <w:rPr>
                <w:rFonts w:ascii="Times New Roman" w:hAnsi="Times New Roman" w:cs="Times New Roman"/>
                <w:i/>
                <w:iCs/>
                <w:szCs w:val="24"/>
              </w:rPr>
              <w:t>(2.14)</w:t>
            </w:r>
          </w:p>
        </w:tc>
        <w:tc>
          <w:tcPr>
            <w:tcW w:w="0" w:type="auto"/>
            <w:vAlign w:val="center"/>
            <w:hideMark/>
          </w:tcPr>
          <w:p w14:paraId="64875DB9" w14:textId="77777777" w:rsidR="00812C67" w:rsidRPr="004B6753" w:rsidRDefault="00812C67" w:rsidP="004B6753">
            <w:pPr>
              <w:pStyle w:val="NoSpacing"/>
              <w:jc w:val="center"/>
              <w:rPr>
                <w:rFonts w:ascii="Times New Roman" w:hAnsi="Times New Roman" w:cs="Times New Roman"/>
                <w:szCs w:val="24"/>
              </w:rPr>
            </w:pPr>
            <w:r w:rsidRPr="004B6753">
              <w:rPr>
                <w:rFonts w:ascii="Times New Roman" w:hAnsi="Times New Roman" w:cs="Times New Roman"/>
                <w:i/>
                <w:iCs/>
                <w:szCs w:val="24"/>
              </w:rPr>
              <w:t>(18.83)</w:t>
            </w:r>
          </w:p>
        </w:tc>
        <w:tc>
          <w:tcPr>
            <w:tcW w:w="0" w:type="auto"/>
            <w:vAlign w:val="center"/>
            <w:hideMark/>
          </w:tcPr>
          <w:p w14:paraId="38235E25" w14:textId="77777777" w:rsidR="00812C67" w:rsidRPr="004B6753" w:rsidRDefault="00812C67" w:rsidP="004B6753">
            <w:pPr>
              <w:pStyle w:val="NoSpacing"/>
              <w:jc w:val="center"/>
              <w:rPr>
                <w:rFonts w:ascii="Times New Roman" w:hAnsi="Times New Roman" w:cs="Times New Roman"/>
                <w:szCs w:val="24"/>
              </w:rPr>
            </w:pPr>
            <w:r w:rsidRPr="004B6753">
              <w:rPr>
                <w:rFonts w:ascii="Times New Roman" w:hAnsi="Times New Roman" w:cs="Times New Roman"/>
                <w:i/>
                <w:iCs/>
                <w:szCs w:val="24"/>
              </w:rPr>
              <w:t>(4.34)</w:t>
            </w:r>
          </w:p>
        </w:tc>
        <w:tc>
          <w:tcPr>
            <w:tcW w:w="0" w:type="auto"/>
            <w:vAlign w:val="center"/>
            <w:hideMark/>
          </w:tcPr>
          <w:p w14:paraId="3FDF8669" w14:textId="77777777" w:rsidR="00812C67" w:rsidRPr="004B6753" w:rsidRDefault="00812C67" w:rsidP="004B6753">
            <w:pPr>
              <w:pStyle w:val="NoSpacing"/>
              <w:jc w:val="center"/>
              <w:rPr>
                <w:rFonts w:ascii="Times New Roman" w:hAnsi="Times New Roman" w:cs="Times New Roman"/>
                <w:szCs w:val="24"/>
              </w:rPr>
            </w:pPr>
            <w:r w:rsidRPr="004B6753">
              <w:rPr>
                <w:rFonts w:ascii="Times New Roman" w:hAnsi="Times New Roman" w:cs="Times New Roman"/>
                <w:i/>
                <w:iCs/>
                <w:szCs w:val="24"/>
              </w:rPr>
              <w:t>(2.27)</w:t>
            </w:r>
          </w:p>
        </w:tc>
        <w:tc>
          <w:tcPr>
            <w:tcW w:w="0" w:type="auto"/>
            <w:vAlign w:val="center"/>
            <w:hideMark/>
          </w:tcPr>
          <w:p w14:paraId="7D34433B" w14:textId="77777777" w:rsidR="00812C67" w:rsidRPr="004B6753" w:rsidRDefault="00812C67" w:rsidP="004B6753">
            <w:pPr>
              <w:pStyle w:val="NoSpacing"/>
              <w:jc w:val="center"/>
              <w:rPr>
                <w:rFonts w:ascii="Times New Roman" w:hAnsi="Times New Roman" w:cs="Times New Roman"/>
                <w:szCs w:val="24"/>
              </w:rPr>
            </w:pPr>
            <w:r w:rsidRPr="004B6753">
              <w:rPr>
                <w:rFonts w:ascii="Times New Roman" w:hAnsi="Times New Roman" w:cs="Times New Roman"/>
                <w:i/>
                <w:iCs/>
                <w:szCs w:val="24"/>
              </w:rPr>
              <w:t>(3.77)</w:t>
            </w:r>
          </w:p>
        </w:tc>
        <w:tc>
          <w:tcPr>
            <w:tcW w:w="0" w:type="auto"/>
            <w:vAlign w:val="center"/>
            <w:hideMark/>
          </w:tcPr>
          <w:p w14:paraId="59042D83" w14:textId="77777777" w:rsidR="00812C67" w:rsidRPr="004B6753" w:rsidRDefault="00812C67" w:rsidP="004B6753">
            <w:pPr>
              <w:pStyle w:val="NoSpacing"/>
              <w:jc w:val="center"/>
              <w:rPr>
                <w:rFonts w:ascii="Times New Roman" w:hAnsi="Times New Roman" w:cs="Times New Roman"/>
                <w:szCs w:val="24"/>
              </w:rPr>
            </w:pPr>
            <w:r w:rsidRPr="004B6753">
              <w:rPr>
                <w:rFonts w:ascii="Times New Roman" w:hAnsi="Times New Roman" w:cs="Times New Roman"/>
                <w:i/>
                <w:iCs/>
                <w:szCs w:val="24"/>
              </w:rPr>
              <w:t>(43.22)</w:t>
            </w:r>
          </w:p>
        </w:tc>
        <w:tc>
          <w:tcPr>
            <w:tcW w:w="0" w:type="auto"/>
            <w:vAlign w:val="center"/>
            <w:hideMark/>
          </w:tcPr>
          <w:p w14:paraId="1052D6D4" w14:textId="77777777" w:rsidR="00812C67" w:rsidRPr="004B6753" w:rsidRDefault="00812C67" w:rsidP="004B6753">
            <w:pPr>
              <w:pStyle w:val="NoSpacing"/>
              <w:jc w:val="center"/>
              <w:rPr>
                <w:rFonts w:ascii="Times New Roman" w:hAnsi="Times New Roman" w:cs="Times New Roman"/>
                <w:szCs w:val="24"/>
              </w:rPr>
            </w:pPr>
            <w:r w:rsidRPr="004B6753">
              <w:rPr>
                <w:rFonts w:ascii="Times New Roman" w:hAnsi="Times New Roman" w:cs="Times New Roman"/>
                <w:i/>
                <w:iCs/>
                <w:szCs w:val="24"/>
              </w:rPr>
              <w:t>(100.00)</w:t>
            </w:r>
          </w:p>
        </w:tc>
      </w:tr>
      <w:tr w:rsidR="00416FA8" w:rsidRPr="004B6753" w14:paraId="2B375FA9" w14:textId="77777777" w:rsidTr="004B6753">
        <w:trPr>
          <w:trHeight w:val="221"/>
        </w:trPr>
        <w:tc>
          <w:tcPr>
            <w:tcW w:w="0" w:type="auto"/>
            <w:hideMark/>
          </w:tcPr>
          <w:p w14:paraId="3A5B8E3E" w14:textId="77777777" w:rsidR="00416FA8" w:rsidRPr="004B6753" w:rsidRDefault="00416FA8" w:rsidP="00B77C0B">
            <w:pPr>
              <w:pStyle w:val="NoSpacing"/>
              <w:rPr>
                <w:rFonts w:ascii="Times New Roman" w:hAnsi="Times New Roman" w:cs="Times New Roman"/>
                <w:szCs w:val="24"/>
                <w:lang w:eastAsia="en-IN"/>
              </w:rPr>
            </w:pPr>
            <w:r w:rsidRPr="004B6753">
              <w:rPr>
                <w:rFonts w:ascii="Times New Roman" w:hAnsi="Times New Roman" w:cs="Times New Roman"/>
                <w:szCs w:val="24"/>
                <w:lang w:eastAsia="en-IN"/>
              </w:rPr>
              <w:t>1965-66</w:t>
            </w:r>
          </w:p>
        </w:tc>
        <w:tc>
          <w:tcPr>
            <w:tcW w:w="0" w:type="auto"/>
            <w:vAlign w:val="center"/>
            <w:hideMark/>
          </w:tcPr>
          <w:p w14:paraId="656CAC20" w14:textId="77777777" w:rsidR="00416FA8" w:rsidRPr="004B6753" w:rsidRDefault="00416FA8" w:rsidP="004B6753">
            <w:pPr>
              <w:pStyle w:val="NoSpacing"/>
              <w:jc w:val="center"/>
              <w:rPr>
                <w:rFonts w:ascii="Times New Roman" w:hAnsi="Times New Roman" w:cs="Times New Roman"/>
                <w:szCs w:val="24"/>
                <w:lang w:eastAsia="en-IN"/>
              </w:rPr>
            </w:pPr>
            <w:r w:rsidRPr="004B6753">
              <w:rPr>
                <w:rFonts w:ascii="Times New Roman" w:hAnsi="Times New Roman" w:cs="Times New Roman"/>
                <w:szCs w:val="24"/>
                <w:lang w:eastAsia="en-IN"/>
              </w:rPr>
              <w:t>3.05</w:t>
            </w:r>
          </w:p>
        </w:tc>
        <w:tc>
          <w:tcPr>
            <w:tcW w:w="0" w:type="auto"/>
            <w:vAlign w:val="center"/>
            <w:hideMark/>
          </w:tcPr>
          <w:p w14:paraId="15142C08" w14:textId="77777777" w:rsidR="00416FA8" w:rsidRPr="004B6753" w:rsidRDefault="00416FA8" w:rsidP="004B6753">
            <w:pPr>
              <w:pStyle w:val="NoSpacing"/>
              <w:jc w:val="center"/>
              <w:rPr>
                <w:rFonts w:ascii="Times New Roman" w:hAnsi="Times New Roman" w:cs="Times New Roman"/>
                <w:szCs w:val="24"/>
                <w:lang w:eastAsia="en-IN"/>
              </w:rPr>
            </w:pPr>
            <w:r w:rsidRPr="004B6753">
              <w:rPr>
                <w:rFonts w:ascii="Times New Roman" w:hAnsi="Times New Roman" w:cs="Times New Roman"/>
                <w:szCs w:val="24"/>
                <w:lang w:eastAsia="en-IN"/>
              </w:rPr>
              <w:t>19.39</w:t>
            </w:r>
          </w:p>
        </w:tc>
        <w:tc>
          <w:tcPr>
            <w:tcW w:w="0" w:type="auto"/>
            <w:vAlign w:val="center"/>
            <w:hideMark/>
          </w:tcPr>
          <w:p w14:paraId="41E9F1AB" w14:textId="77777777" w:rsidR="00416FA8" w:rsidRPr="004B6753" w:rsidRDefault="00416FA8" w:rsidP="004B6753">
            <w:pPr>
              <w:pStyle w:val="NoSpacing"/>
              <w:jc w:val="center"/>
              <w:rPr>
                <w:rFonts w:ascii="Times New Roman" w:hAnsi="Times New Roman" w:cs="Times New Roman"/>
                <w:szCs w:val="24"/>
                <w:lang w:eastAsia="en-IN"/>
              </w:rPr>
            </w:pPr>
            <w:r w:rsidRPr="004B6753">
              <w:rPr>
                <w:rFonts w:ascii="Times New Roman" w:hAnsi="Times New Roman" w:cs="Times New Roman"/>
                <w:szCs w:val="24"/>
                <w:lang w:eastAsia="en-IN"/>
              </w:rPr>
              <w:t>4.74</w:t>
            </w:r>
          </w:p>
        </w:tc>
        <w:tc>
          <w:tcPr>
            <w:tcW w:w="0" w:type="auto"/>
            <w:vAlign w:val="center"/>
            <w:hideMark/>
          </w:tcPr>
          <w:p w14:paraId="46E900E4" w14:textId="77777777" w:rsidR="00416FA8" w:rsidRPr="004B6753" w:rsidRDefault="00416FA8" w:rsidP="004B6753">
            <w:pPr>
              <w:pStyle w:val="NoSpacing"/>
              <w:jc w:val="center"/>
              <w:rPr>
                <w:rFonts w:ascii="Times New Roman" w:hAnsi="Times New Roman" w:cs="Times New Roman"/>
                <w:szCs w:val="24"/>
                <w:lang w:eastAsia="en-IN"/>
              </w:rPr>
            </w:pPr>
            <w:r w:rsidRPr="004B6753">
              <w:rPr>
                <w:rFonts w:ascii="Times New Roman" w:hAnsi="Times New Roman" w:cs="Times New Roman"/>
                <w:szCs w:val="24"/>
                <w:lang w:eastAsia="en-IN"/>
              </w:rPr>
              <w:t>11.84</w:t>
            </w:r>
          </w:p>
        </w:tc>
        <w:tc>
          <w:tcPr>
            <w:tcW w:w="0" w:type="auto"/>
            <w:vAlign w:val="center"/>
            <w:hideMark/>
          </w:tcPr>
          <w:p w14:paraId="73D40783" w14:textId="77777777" w:rsidR="00416FA8" w:rsidRPr="004B6753" w:rsidRDefault="00416FA8" w:rsidP="004B6753">
            <w:pPr>
              <w:pStyle w:val="NoSpacing"/>
              <w:jc w:val="center"/>
              <w:rPr>
                <w:rFonts w:ascii="Times New Roman" w:hAnsi="Times New Roman" w:cs="Times New Roman"/>
                <w:szCs w:val="24"/>
                <w:lang w:eastAsia="en-IN"/>
              </w:rPr>
            </w:pPr>
            <w:r w:rsidRPr="004B6753">
              <w:rPr>
                <w:rFonts w:ascii="Times New Roman" w:hAnsi="Times New Roman" w:cs="Times New Roman"/>
                <w:szCs w:val="24"/>
                <w:lang w:eastAsia="en-IN"/>
              </w:rPr>
              <w:t>2.62</w:t>
            </w:r>
          </w:p>
        </w:tc>
        <w:tc>
          <w:tcPr>
            <w:tcW w:w="0" w:type="auto"/>
            <w:vAlign w:val="center"/>
            <w:hideMark/>
          </w:tcPr>
          <w:p w14:paraId="283120E1" w14:textId="77777777" w:rsidR="00416FA8" w:rsidRPr="004B6753" w:rsidRDefault="00416FA8" w:rsidP="004B6753">
            <w:pPr>
              <w:pStyle w:val="NoSpacing"/>
              <w:jc w:val="center"/>
              <w:rPr>
                <w:rFonts w:ascii="Times New Roman" w:hAnsi="Times New Roman" w:cs="Times New Roman"/>
                <w:szCs w:val="24"/>
                <w:lang w:eastAsia="en-IN"/>
              </w:rPr>
            </w:pPr>
            <w:r w:rsidRPr="004B6753">
              <w:rPr>
                <w:rFonts w:ascii="Times New Roman" w:hAnsi="Times New Roman" w:cs="Times New Roman"/>
                <w:szCs w:val="24"/>
                <w:lang w:eastAsia="en-IN"/>
              </w:rPr>
              <w:t>21.42</w:t>
            </w:r>
          </w:p>
        </w:tc>
        <w:tc>
          <w:tcPr>
            <w:tcW w:w="0" w:type="auto"/>
            <w:vAlign w:val="center"/>
            <w:hideMark/>
          </w:tcPr>
          <w:p w14:paraId="7FC72DFA" w14:textId="77777777" w:rsidR="00416FA8" w:rsidRPr="004B6753" w:rsidRDefault="00416FA8" w:rsidP="004B6753">
            <w:pPr>
              <w:pStyle w:val="NoSpacing"/>
              <w:jc w:val="center"/>
              <w:rPr>
                <w:rFonts w:ascii="Times New Roman" w:hAnsi="Times New Roman" w:cs="Times New Roman"/>
                <w:szCs w:val="24"/>
                <w:lang w:eastAsia="en-IN"/>
              </w:rPr>
            </w:pPr>
            <w:r w:rsidRPr="004B6753">
              <w:rPr>
                <w:rFonts w:ascii="Times New Roman" w:hAnsi="Times New Roman" w:cs="Times New Roman"/>
                <w:szCs w:val="24"/>
                <w:lang w:eastAsia="en-IN"/>
              </w:rPr>
              <w:t>5.06</w:t>
            </w:r>
          </w:p>
        </w:tc>
        <w:tc>
          <w:tcPr>
            <w:tcW w:w="0" w:type="auto"/>
            <w:vAlign w:val="center"/>
            <w:hideMark/>
          </w:tcPr>
          <w:p w14:paraId="173BD2A6" w14:textId="77777777" w:rsidR="00416FA8" w:rsidRPr="004B6753" w:rsidRDefault="00416FA8" w:rsidP="004B6753">
            <w:pPr>
              <w:pStyle w:val="NoSpacing"/>
              <w:jc w:val="center"/>
              <w:rPr>
                <w:rFonts w:ascii="Times New Roman" w:hAnsi="Times New Roman" w:cs="Times New Roman"/>
                <w:szCs w:val="24"/>
                <w:lang w:eastAsia="en-IN"/>
              </w:rPr>
            </w:pPr>
            <w:r w:rsidRPr="004B6753">
              <w:rPr>
                <w:rFonts w:ascii="Times New Roman" w:hAnsi="Times New Roman" w:cs="Times New Roman"/>
                <w:szCs w:val="24"/>
                <w:lang w:eastAsia="en-IN"/>
              </w:rPr>
              <w:t>3.25</w:t>
            </w:r>
          </w:p>
        </w:tc>
        <w:tc>
          <w:tcPr>
            <w:tcW w:w="0" w:type="auto"/>
            <w:vAlign w:val="center"/>
            <w:hideMark/>
          </w:tcPr>
          <w:p w14:paraId="6D0CE379" w14:textId="77777777" w:rsidR="00416FA8" w:rsidRPr="004B6753" w:rsidRDefault="00416FA8" w:rsidP="004B6753">
            <w:pPr>
              <w:pStyle w:val="NoSpacing"/>
              <w:jc w:val="center"/>
              <w:rPr>
                <w:rFonts w:ascii="Times New Roman" w:hAnsi="Times New Roman" w:cs="Times New Roman"/>
                <w:szCs w:val="24"/>
                <w:lang w:eastAsia="en-IN"/>
              </w:rPr>
            </w:pPr>
            <w:r w:rsidRPr="004B6753">
              <w:rPr>
                <w:rFonts w:ascii="Times New Roman" w:hAnsi="Times New Roman" w:cs="Times New Roman"/>
                <w:szCs w:val="24"/>
                <w:lang w:eastAsia="en-IN"/>
              </w:rPr>
              <w:t>7.17</w:t>
            </w:r>
          </w:p>
        </w:tc>
        <w:tc>
          <w:tcPr>
            <w:tcW w:w="0" w:type="auto"/>
            <w:vAlign w:val="center"/>
            <w:hideMark/>
          </w:tcPr>
          <w:p w14:paraId="227F8980" w14:textId="77777777" w:rsidR="00416FA8" w:rsidRPr="004B6753" w:rsidRDefault="00416FA8" w:rsidP="004B6753">
            <w:pPr>
              <w:pStyle w:val="NoSpacing"/>
              <w:jc w:val="center"/>
              <w:rPr>
                <w:rFonts w:ascii="Times New Roman" w:hAnsi="Times New Roman" w:cs="Times New Roman"/>
                <w:szCs w:val="24"/>
                <w:lang w:eastAsia="en-IN"/>
              </w:rPr>
            </w:pPr>
            <w:r w:rsidRPr="004B6753">
              <w:rPr>
                <w:rFonts w:ascii="Times New Roman" w:hAnsi="Times New Roman" w:cs="Times New Roman"/>
                <w:szCs w:val="24"/>
                <w:lang w:eastAsia="en-IN"/>
              </w:rPr>
              <w:t>46.35</w:t>
            </w:r>
          </w:p>
        </w:tc>
        <w:tc>
          <w:tcPr>
            <w:tcW w:w="0" w:type="auto"/>
            <w:vAlign w:val="center"/>
            <w:hideMark/>
          </w:tcPr>
          <w:p w14:paraId="11CAC6C0" w14:textId="77777777" w:rsidR="00416FA8" w:rsidRPr="004B6753" w:rsidRDefault="00416FA8" w:rsidP="004B6753">
            <w:pPr>
              <w:pStyle w:val="NoSpacing"/>
              <w:jc w:val="center"/>
              <w:rPr>
                <w:rFonts w:ascii="Times New Roman" w:hAnsi="Times New Roman" w:cs="Times New Roman"/>
                <w:szCs w:val="24"/>
                <w:lang w:eastAsia="en-IN"/>
              </w:rPr>
            </w:pPr>
            <w:r w:rsidRPr="004B6753">
              <w:rPr>
                <w:rFonts w:ascii="Times New Roman" w:hAnsi="Times New Roman" w:cs="Times New Roman"/>
                <w:szCs w:val="24"/>
                <w:lang w:eastAsia="en-IN"/>
              </w:rPr>
              <w:t>124.89</w:t>
            </w:r>
          </w:p>
        </w:tc>
      </w:tr>
      <w:tr w:rsidR="00416FA8" w:rsidRPr="004B6753" w14:paraId="59E9339E" w14:textId="77777777" w:rsidTr="004B6753">
        <w:trPr>
          <w:trHeight w:val="221"/>
        </w:trPr>
        <w:tc>
          <w:tcPr>
            <w:tcW w:w="0" w:type="auto"/>
            <w:hideMark/>
          </w:tcPr>
          <w:p w14:paraId="065D9ACF" w14:textId="77777777" w:rsidR="00416FA8" w:rsidRPr="004B6753" w:rsidRDefault="00416FA8" w:rsidP="00B77C0B">
            <w:pPr>
              <w:pStyle w:val="NoSpacing"/>
              <w:rPr>
                <w:rFonts w:ascii="Times New Roman" w:hAnsi="Times New Roman" w:cs="Times New Roman"/>
                <w:szCs w:val="24"/>
                <w:lang w:eastAsia="en-IN"/>
              </w:rPr>
            </w:pPr>
            <w:r w:rsidRPr="004B6753">
              <w:rPr>
                <w:rFonts w:ascii="Times New Roman" w:hAnsi="Times New Roman" w:cs="Times New Roman"/>
                <w:szCs w:val="24"/>
                <w:lang w:eastAsia="en-IN"/>
              </w:rPr>
              <w:t>1966-67</w:t>
            </w:r>
          </w:p>
        </w:tc>
        <w:tc>
          <w:tcPr>
            <w:tcW w:w="0" w:type="auto"/>
            <w:vAlign w:val="center"/>
            <w:hideMark/>
          </w:tcPr>
          <w:p w14:paraId="5008A475" w14:textId="77777777" w:rsidR="00416FA8" w:rsidRPr="004B6753" w:rsidRDefault="00416FA8" w:rsidP="004B6753">
            <w:pPr>
              <w:pStyle w:val="NoSpacing"/>
              <w:jc w:val="center"/>
              <w:rPr>
                <w:rFonts w:ascii="Times New Roman" w:hAnsi="Times New Roman" w:cs="Times New Roman"/>
                <w:szCs w:val="24"/>
                <w:lang w:eastAsia="en-IN"/>
              </w:rPr>
            </w:pPr>
            <w:r w:rsidRPr="004B6753">
              <w:rPr>
                <w:rFonts w:ascii="Times New Roman" w:hAnsi="Times New Roman" w:cs="Times New Roman"/>
                <w:szCs w:val="24"/>
                <w:lang w:eastAsia="en-IN"/>
              </w:rPr>
              <w:t>2.60</w:t>
            </w:r>
          </w:p>
        </w:tc>
        <w:tc>
          <w:tcPr>
            <w:tcW w:w="0" w:type="auto"/>
            <w:vAlign w:val="center"/>
            <w:hideMark/>
          </w:tcPr>
          <w:p w14:paraId="7699EB40" w14:textId="77777777" w:rsidR="00416FA8" w:rsidRPr="004B6753" w:rsidRDefault="00416FA8" w:rsidP="004B6753">
            <w:pPr>
              <w:pStyle w:val="NoSpacing"/>
              <w:jc w:val="center"/>
              <w:rPr>
                <w:rFonts w:ascii="Times New Roman" w:hAnsi="Times New Roman" w:cs="Times New Roman"/>
                <w:szCs w:val="24"/>
                <w:lang w:eastAsia="en-IN"/>
              </w:rPr>
            </w:pPr>
            <w:r w:rsidRPr="004B6753">
              <w:rPr>
                <w:rFonts w:ascii="Times New Roman" w:hAnsi="Times New Roman" w:cs="Times New Roman"/>
                <w:szCs w:val="24"/>
                <w:lang w:eastAsia="en-IN"/>
              </w:rPr>
              <w:t>18.79</w:t>
            </w:r>
          </w:p>
        </w:tc>
        <w:tc>
          <w:tcPr>
            <w:tcW w:w="0" w:type="auto"/>
            <w:vAlign w:val="center"/>
            <w:hideMark/>
          </w:tcPr>
          <w:p w14:paraId="09E2F2C9" w14:textId="77777777" w:rsidR="00416FA8" w:rsidRPr="004B6753" w:rsidRDefault="00416FA8" w:rsidP="004B6753">
            <w:pPr>
              <w:pStyle w:val="NoSpacing"/>
              <w:jc w:val="center"/>
              <w:rPr>
                <w:rFonts w:ascii="Times New Roman" w:hAnsi="Times New Roman" w:cs="Times New Roman"/>
                <w:szCs w:val="24"/>
                <w:lang w:eastAsia="en-IN"/>
              </w:rPr>
            </w:pPr>
            <w:r w:rsidRPr="004B6753">
              <w:rPr>
                <w:rFonts w:ascii="Times New Roman" w:hAnsi="Times New Roman" w:cs="Times New Roman"/>
                <w:szCs w:val="24"/>
                <w:lang w:eastAsia="en-IN"/>
              </w:rPr>
              <w:t>3.91</w:t>
            </w:r>
          </w:p>
        </w:tc>
        <w:tc>
          <w:tcPr>
            <w:tcW w:w="0" w:type="auto"/>
            <w:vAlign w:val="center"/>
            <w:hideMark/>
          </w:tcPr>
          <w:p w14:paraId="6288B84C" w14:textId="77777777" w:rsidR="00416FA8" w:rsidRPr="004B6753" w:rsidRDefault="00416FA8" w:rsidP="004B6753">
            <w:pPr>
              <w:pStyle w:val="NoSpacing"/>
              <w:jc w:val="center"/>
              <w:rPr>
                <w:rFonts w:ascii="Times New Roman" w:hAnsi="Times New Roman" w:cs="Times New Roman"/>
                <w:szCs w:val="24"/>
                <w:lang w:eastAsia="en-IN"/>
              </w:rPr>
            </w:pPr>
            <w:r w:rsidRPr="004B6753">
              <w:rPr>
                <w:rFonts w:ascii="Times New Roman" w:hAnsi="Times New Roman" w:cs="Times New Roman"/>
                <w:szCs w:val="24"/>
                <w:lang w:eastAsia="en-IN"/>
              </w:rPr>
              <w:t>8.85</w:t>
            </w:r>
          </w:p>
        </w:tc>
        <w:tc>
          <w:tcPr>
            <w:tcW w:w="0" w:type="auto"/>
            <w:vAlign w:val="center"/>
            <w:hideMark/>
          </w:tcPr>
          <w:p w14:paraId="32132D0D" w14:textId="77777777" w:rsidR="00416FA8" w:rsidRPr="004B6753" w:rsidRDefault="00416FA8" w:rsidP="004B6753">
            <w:pPr>
              <w:pStyle w:val="NoSpacing"/>
              <w:jc w:val="center"/>
              <w:rPr>
                <w:rFonts w:ascii="Times New Roman" w:hAnsi="Times New Roman" w:cs="Times New Roman"/>
                <w:szCs w:val="24"/>
                <w:lang w:eastAsia="en-IN"/>
              </w:rPr>
            </w:pPr>
            <w:r w:rsidRPr="004B6753">
              <w:rPr>
                <w:rFonts w:ascii="Times New Roman" w:hAnsi="Times New Roman" w:cs="Times New Roman"/>
                <w:szCs w:val="24"/>
                <w:lang w:eastAsia="en-IN"/>
              </w:rPr>
              <w:t>2.23</w:t>
            </w:r>
          </w:p>
        </w:tc>
        <w:tc>
          <w:tcPr>
            <w:tcW w:w="0" w:type="auto"/>
            <w:vAlign w:val="center"/>
            <w:hideMark/>
          </w:tcPr>
          <w:p w14:paraId="24B425B7" w14:textId="77777777" w:rsidR="00416FA8" w:rsidRPr="004B6753" w:rsidRDefault="00416FA8" w:rsidP="004B6753">
            <w:pPr>
              <w:pStyle w:val="NoSpacing"/>
              <w:jc w:val="center"/>
              <w:rPr>
                <w:rFonts w:ascii="Times New Roman" w:hAnsi="Times New Roman" w:cs="Times New Roman"/>
                <w:szCs w:val="24"/>
                <w:lang w:eastAsia="en-IN"/>
              </w:rPr>
            </w:pPr>
            <w:r w:rsidRPr="004B6753">
              <w:rPr>
                <w:rFonts w:ascii="Times New Roman" w:hAnsi="Times New Roman" w:cs="Times New Roman"/>
                <w:szCs w:val="24"/>
                <w:lang w:eastAsia="en-IN"/>
              </w:rPr>
              <w:t>20.66</w:t>
            </w:r>
          </w:p>
        </w:tc>
        <w:tc>
          <w:tcPr>
            <w:tcW w:w="0" w:type="auto"/>
            <w:vAlign w:val="center"/>
            <w:hideMark/>
          </w:tcPr>
          <w:p w14:paraId="2E1796BA" w14:textId="77777777" w:rsidR="00416FA8" w:rsidRPr="004B6753" w:rsidRDefault="00416FA8" w:rsidP="004B6753">
            <w:pPr>
              <w:pStyle w:val="NoSpacing"/>
              <w:jc w:val="center"/>
              <w:rPr>
                <w:rFonts w:ascii="Times New Roman" w:hAnsi="Times New Roman" w:cs="Times New Roman"/>
                <w:szCs w:val="24"/>
                <w:lang w:eastAsia="en-IN"/>
              </w:rPr>
            </w:pPr>
            <w:r w:rsidRPr="004B6753">
              <w:rPr>
                <w:rFonts w:ascii="Times New Roman" w:hAnsi="Times New Roman" w:cs="Times New Roman"/>
                <w:szCs w:val="24"/>
                <w:lang w:eastAsia="en-IN"/>
              </w:rPr>
              <w:t>4.30</w:t>
            </w:r>
          </w:p>
        </w:tc>
        <w:tc>
          <w:tcPr>
            <w:tcW w:w="0" w:type="auto"/>
            <w:vAlign w:val="center"/>
            <w:hideMark/>
          </w:tcPr>
          <w:p w14:paraId="59FE2EB7" w14:textId="77777777" w:rsidR="00416FA8" w:rsidRPr="004B6753" w:rsidRDefault="00416FA8" w:rsidP="004B6753">
            <w:pPr>
              <w:pStyle w:val="NoSpacing"/>
              <w:jc w:val="center"/>
              <w:rPr>
                <w:rFonts w:ascii="Times New Roman" w:hAnsi="Times New Roman" w:cs="Times New Roman"/>
                <w:szCs w:val="24"/>
                <w:lang w:eastAsia="en-IN"/>
              </w:rPr>
            </w:pPr>
            <w:r w:rsidRPr="004B6753">
              <w:rPr>
                <w:rFonts w:ascii="Times New Roman" w:hAnsi="Times New Roman" w:cs="Times New Roman"/>
                <w:szCs w:val="24"/>
                <w:lang w:eastAsia="en-IN"/>
              </w:rPr>
              <w:t>2.39</w:t>
            </w:r>
          </w:p>
        </w:tc>
        <w:tc>
          <w:tcPr>
            <w:tcW w:w="0" w:type="auto"/>
            <w:vAlign w:val="center"/>
            <w:hideMark/>
          </w:tcPr>
          <w:p w14:paraId="075317D2" w14:textId="77777777" w:rsidR="00416FA8" w:rsidRPr="004B6753" w:rsidRDefault="00416FA8" w:rsidP="004B6753">
            <w:pPr>
              <w:pStyle w:val="NoSpacing"/>
              <w:jc w:val="center"/>
              <w:rPr>
                <w:rFonts w:ascii="Times New Roman" w:hAnsi="Times New Roman" w:cs="Times New Roman"/>
                <w:szCs w:val="24"/>
                <w:lang w:eastAsia="en-IN"/>
              </w:rPr>
            </w:pPr>
            <w:r w:rsidRPr="004B6753">
              <w:rPr>
                <w:rFonts w:ascii="Times New Roman" w:hAnsi="Times New Roman" w:cs="Times New Roman"/>
                <w:szCs w:val="24"/>
                <w:lang w:eastAsia="en-IN"/>
              </w:rPr>
              <w:t>7.11</w:t>
            </w:r>
          </w:p>
        </w:tc>
        <w:tc>
          <w:tcPr>
            <w:tcW w:w="0" w:type="auto"/>
            <w:vAlign w:val="center"/>
            <w:hideMark/>
          </w:tcPr>
          <w:p w14:paraId="19C59800" w14:textId="77777777" w:rsidR="00416FA8" w:rsidRPr="004B6753" w:rsidRDefault="00416FA8" w:rsidP="004B6753">
            <w:pPr>
              <w:pStyle w:val="NoSpacing"/>
              <w:jc w:val="center"/>
              <w:rPr>
                <w:rFonts w:ascii="Times New Roman" w:hAnsi="Times New Roman" w:cs="Times New Roman"/>
                <w:szCs w:val="24"/>
                <w:lang w:eastAsia="en-IN"/>
              </w:rPr>
            </w:pPr>
            <w:r w:rsidRPr="004B6753">
              <w:rPr>
                <w:rFonts w:ascii="Times New Roman" w:hAnsi="Times New Roman" w:cs="Times New Roman"/>
                <w:szCs w:val="24"/>
                <w:lang w:eastAsia="en-IN"/>
              </w:rPr>
              <w:t>40.63</w:t>
            </w:r>
          </w:p>
        </w:tc>
        <w:tc>
          <w:tcPr>
            <w:tcW w:w="0" w:type="auto"/>
            <w:vAlign w:val="center"/>
            <w:hideMark/>
          </w:tcPr>
          <w:p w14:paraId="4C650121" w14:textId="77777777" w:rsidR="00416FA8" w:rsidRPr="004B6753" w:rsidRDefault="00416FA8" w:rsidP="004B6753">
            <w:pPr>
              <w:pStyle w:val="NoSpacing"/>
              <w:jc w:val="center"/>
              <w:rPr>
                <w:rFonts w:ascii="Times New Roman" w:hAnsi="Times New Roman" w:cs="Times New Roman"/>
                <w:szCs w:val="24"/>
                <w:lang w:eastAsia="en-IN"/>
              </w:rPr>
            </w:pPr>
            <w:r w:rsidRPr="004B6753">
              <w:rPr>
                <w:rFonts w:ascii="Times New Roman" w:hAnsi="Times New Roman" w:cs="Times New Roman"/>
                <w:szCs w:val="24"/>
                <w:lang w:eastAsia="en-IN"/>
              </w:rPr>
              <w:t>111.47</w:t>
            </w:r>
          </w:p>
        </w:tc>
      </w:tr>
      <w:tr w:rsidR="00416FA8" w:rsidRPr="004B6753" w14:paraId="25155F78" w14:textId="77777777" w:rsidTr="004B6753">
        <w:trPr>
          <w:trHeight w:val="221"/>
        </w:trPr>
        <w:tc>
          <w:tcPr>
            <w:tcW w:w="0" w:type="auto"/>
            <w:hideMark/>
          </w:tcPr>
          <w:p w14:paraId="626E0C10" w14:textId="77777777" w:rsidR="00416FA8" w:rsidRPr="004B6753" w:rsidRDefault="00416FA8" w:rsidP="00B77C0B">
            <w:pPr>
              <w:pStyle w:val="NoSpacing"/>
              <w:rPr>
                <w:rFonts w:ascii="Times New Roman" w:hAnsi="Times New Roman" w:cs="Times New Roman"/>
                <w:szCs w:val="24"/>
                <w:lang w:eastAsia="en-IN"/>
              </w:rPr>
            </w:pPr>
            <w:r w:rsidRPr="004B6753">
              <w:rPr>
                <w:rFonts w:ascii="Times New Roman" w:hAnsi="Times New Roman" w:cs="Times New Roman"/>
                <w:szCs w:val="24"/>
                <w:lang w:eastAsia="en-IN"/>
              </w:rPr>
              <w:t>1967-68</w:t>
            </w:r>
          </w:p>
        </w:tc>
        <w:tc>
          <w:tcPr>
            <w:tcW w:w="0" w:type="auto"/>
            <w:vAlign w:val="center"/>
            <w:hideMark/>
          </w:tcPr>
          <w:p w14:paraId="32D1AF95" w14:textId="77777777" w:rsidR="00416FA8" w:rsidRPr="004B6753" w:rsidRDefault="00416FA8" w:rsidP="004B6753">
            <w:pPr>
              <w:pStyle w:val="NoSpacing"/>
              <w:jc w:val="center"/>
              <w:rPr>
                <w:rFonts w:ascii="Times New Roman" w:hAnsi="Times New Roman" w:cs="Times New Roman"/>
                <w:szCs w:val="24"/>
                <w:lang w:eastAsia="en-IN"/>
              </w:rPr>
            </w:pPr>
            <w:r w:rsidRPr="004B6753">
              <w:rPr>
                <w:rFonts w:ascii="Times New Roman" w:hAnsi="Times New Roman" w:cs="Times New Roman"/>
                <w:szCs w:val="24"/>
                <w:lang w:eastAsia="en-IN"/>
              </w:rPr>
              <w:t>2.13</w:t>
            </w:r>
          </w:p>
        </w:tc>
        <w:tc>
          <w:tcPr>
            <w:tcW w:w="0" w:type="auto"/>
            <w:vAlign w:val="center"/>
            <w:hideMark/>
          </w:tcPr>
          <w:p w14:paraId="3149C4F1" w14:textId="77777777" w:rsidR="00416FA8" w:rsidRPr="004B6753" w:rsidRDefault="00416FA8" w:rsidP="004B6753">
            <w:pPr>
              <w:pStyle w:val="NoSpacing"/>
              <w:jc w:val="center"/>
              <w:rPr>
                <w:rFonts w:ascii="Times New Roman" w:hAnsi="Times New Roman" w:cs="Times New Roman"/>
                <w:szCs w:val="24"/>
                <w:lang w:eastAsia="en-IN"/>
              </w:rPr>
            </w:pPr>
            <w:r w:rsidRPr="004B6753">
              <w:rPr>
                <w:rFonts w:ascii="Times New Roman" w:hAnsi="Times New Roman" w:cs="Times New Roman"/>
                <w:szCs w:val="24"/>
                <w:lang w:eastAsia="en-IN"/>
              </w:rPr>
              <w:t>16.64</w:t>
            </w:r>
          </w:p>
        </w:tc>
        <w:tc>
          <w:tcPr>
            <w:tcW w:w="0" w:type="auto"/>
            <w:vAlign w:val="center"/>
            <w:hideMark/>
          </w:tcPr>
          <w:p w14:paraId="761514E9" w14:textId="77777777" w:rsidR="00416FA8" w:rsidRPr="004B6753" w:rsidRDefault="00416FA8" w:rsidP="004B6753">
            <w:pPr>
              <w:pStyle w:val="NoSpacing"/>
              <w:jc w:val="center"/>
              <w:rPr>
                <w:rFonts w:ascii="Times New Roman" w:hAnsi="Times New Roman" w:cs="Times New Roman"/>
                <w:szCs w:val="24"/>
                <w:lang w:eastAsia="en-IN"/>
              </w:rPr>
            </w:pPr>
            <w:r w:rsidRPr="004B6753">
              <w:rPr>
                <w:rFonts w:ascii="Times New Roman" w:hAnsi="Times New Roman" w:cs="Times New Roman"/>
                <w:szCs w:val="24"/>
                <w:lang w:eastAsia="en-IN"/>
              </w:rPr>
              <w:t>2.92</w:t>
            </w:r>
          </w:p>
        </w:tc>
        <w:tc>
          <w:tcPr>
            <w:tcW w:w="0" w:type="auto"/>
            <w:vAlign w:val="center"/>
            <w:hideMark/>
          </w:tcPr>
          <w:p w14:paraId="21D013CD" w14:textId="77777777" w:rsidR="00416FA8" w:rsidRPr="004B6753" w:rsidRDefault="00416FA8" w:rsidP="004B6753">
            <w:pPr>
              <w:pStyle w:val="NoSpacing"/>
              <w:jc w:val="center"/>
              <w:rPr>
                <w:rFonts w:ascii="Times New Roman" w:hAnsi="Times New Roman" w:cs="Times New Roman"/>
                <w:szCs w:val="24"/>
                <w:lang w:eastAsia="en-IN"/>
              </w:rPr>
            </w:pPr>
            <w:r w:rsidRPr="004B6753">
              <w:rPr>
                <w:rFonts w:ascii="Times New Roman" w:hAnsi="Times New Roman" w:cs="Times New Roman"/>
                <w:szCs w:val="24"/>
                <w:lang w:eastAsia="en-IN"/>
              </w:rPr>
              <w:t>6.45</w:t>
            </w:r>
          </w:p>
        </w:tc>
        <w:tc>
          <w:tcPr>
            <w:tcW w:w="0" w:type="auto"/>
            <w:vAlign w:val="center"/>
            <w:hideMark/>
          </w:tcPr>
          <w:p w14:paraId="46945B57" w14:textId="77777777" w:rsidR="00416FA8" w:rsidRPr="004B6753" w:rsidRDefault="00416FA8" w:rsidP="004B6753">
            <w:pPr>
              <w:pStyle w:val="NoSpacing"/>
              <w:jc w:val="center"/>
              <w:rPr>
                <w:rFonts w:ascii="Times New Roman" w:hAnsi="Times New Roman" w:cs="Times New Roman"/>
                <w:szCs w:val="24"/>
                <w:lang w:eastAsia="en-IN"/>
              </w:rPr>
            </w:pPr>
            <w:r w:rsidRPr="004B6753">
              <w:rPr>
                <w:rFonts w:ascii="Times New Roman" w:hAnsi="Times New Roman" w:cs="Times New Roman"/>
                <w:szCs w:val="24"/>
                <w:lang w:eastAsia="en-IN"/>
              </w:rPr>
              <w:t>2.12</w:t>
            </w:r>
          </w:p>
        </w:tc>
        <w:tc>
          <w:tcPr>
            <w:tcW w:w="0" w:type="auto"/>
            <w:vAlign w:val="center"/>
            <w:hideMark/>
          </w:tcPr>
          <w:p w14:paraId="4480F777" w14:textId="77777777" w:rsidR="00416FA8" w:rsidRPr="004B6753" w:rsidRDefault="00416FA8" w:rsidP="004B6753">
            <w:pPr>
              <w:pStyle w:val="NoSpacing"/>
              <w:jc w:val="center"/>
              <w:rPr>
                <w:rFonts w:ascii="Times New Roman" w:hAnsi="Times New Roman" w:cs="Times New Roman"/>
                <w:szCs w:val="24"/>
                <w:lang w:eastAsia="en-IN"/>
              </w:rPr>
            </w:pPr>
            <w:r w:rsidRPr="004B6753">
              <w:rPr>
                <w:rFonts w:ascii="Times New Roman" w:hAnsi="Times New Roman" w:cs="Times New Roman"/>
                <w:szCs w:val="24"/>
                <w:lang w:eastAsia="en-IN"/>
              </w:rPr>
              <w:t>21.12</w:t>
            </w:r>
          </w:p>
        </w:tc>
        <w:tc>
          <w:tcPr>
            <w:tcW w:w="0" w:type="auto"/>
            <w:vAlign w:val="center"/>
            <w:hideMark/>
          </w:tcPr>
          <w:p w14:paraId="22A2686C" w14:textId="77777777" w:rsidR="00416FA8" w:rsidRPr="004B6753" w:rsidRDefault="00416FA8" w:rsidP="004B6753">
            <w:pPr>
              <w:pStyle w:val="NoSpacing"/>
              <w:jc w:val="center"/>
              <w:rPr>
                <w:rFonts w:ascii="Times New Roman" w:hAnsi="Times New Roman" w:cs="Times New Roman"/>
                <w:szCs w:val="24"/>
                <w:lang w:eastAsia="en-IN"/>
              </w:rPr>
            </w:pPr>
            <w:r w:rsidRPr="004B6753">
              <w:rPr>
                <w:rFonts w:ascii="Times New Roman" w:hAnsi="Times New Roman" w:cs="Times New Roman"/>
                <w:szCs w:val="24"/>
                <w:lang w:eastAsia="en-IN"/>
              </w:rPr>
              <w:t>3.55</w:t>
            </w:r>
          </w:p>
        </w:tc>
        <w:tc>
          <w:tcPr>
            <w:tcW w:w="0" w:type="auto"/>
            <w:vAlign w:val="center"/>
            <w:hideMark/>
          </w:tcPr>
          <w:p w14:paraId="4B8CC90E" w14:textId="77777777" w:rsidR="00416FA8" w:rsidRPr="004B6753" w:rsidRDefault="00416FA8" w:rsidP="004B6753">
            <w:pPr>
              <w:pStyle w:val="NoSpacing"/>
              <w:jc w:val="center"/>
              <w:rPr>
                <w:rFonts w:ascii="Times New Roman" w:hAnsi="Times New Roman" w:cs="Times New Roman"/>
                <w:szCs w:val="24"/>
                <w:lang w:eastAsia="en-IN"/>
              </w:rPr>
            </w:pPr>
            <w:r w:rsidRPr="004B6753">
              <w:rPr>
                <w:rFonts w:ascii="Times New Roman" w:hAnsi="Times New Roman" w:cs="Times New Roman"/>
                <w:szCs w:val="24"/>
                <w:lang w:eastAsia="en-IN"/>
              </w:rPr>
              <w:t>2.44</w:t>
            </w:r>
          </w:p>
        </w:tc>
        <w:tc>
          <w:tcPr>
            <w:tcW w:w="0" w:type="auto"/>
            <w:vAlign w:val="center"/>
            <w:hideMark/>
          </w:tcPr>
          <w:p w14:paraId="730A0569" w14:textId="77777777" w:rsidR="00416FA8" w:rsidRPr="004B6753" w:rsidRDefault="00416FA8" w:rsidP="004B6753">
            <w:pPr>
              <w:pStyle w:val="NoSpacing"/>
              <w:jc w:val="center"/>
              <w:rPr>
                <w:rFonts w:ascii="Times New Roman" w:hAnsi="Times New Roman" w:cs="Times New Roman"/>
                <w:szCs w:val="24"/>
                <w:lang w:eastAsia="en-IN"/>
              </w:rPr>
            </w:pPr>
            <w:r w:rsidRPr="004B6753">
              <w:rPr>
                <w:rFonts w:ascii="Times New Roman" w:hAnsi="Times New Roman" w:cs="Times New Roman"/>
                <w:szCs w:val="24"/>
                <w:lang w:eastAsia="en-IN"/>
              </w:rPr>
              <w:t>6.01</w:t>
            </w:r>
          </w:p>
        </w:tc>
        <w:tc>
          <w:tcPr>
            <w:tcW w:w="0" w:type="auto"/>
            <w:vAlign w:val="center"/>
            <w:hideMark/>
          </w:tcPr>
          <w:p w14:paraId="627E797D" w14:textId="77777777" w:rsidR="00416FA8" w:rsidRPr="004B6753" w:rsidRDefault="00416FA8" w:rsidP="004B6753">
            <w:pPr>
              <w:pStyle w:val="NoSpacing"/>
              <w:jc w:val="center"/>
              <w:rPr>
                <w:rFonts w:ascii="Times New Roman" w:hAnsi="Times New Roman" w:cs="Times New Roman"/>
                <w:szCs w:val="24"/>
                <w:lang w:eastAsia="en-IN"/>
              </w:rPr>
            </w:pPr>
            <w:r w:rsidRPr="004B6753">
              <w:rPr>
                <w:rFonts w:ascii="Times New Roman" w:hAnsi="Times New Roman" w:cs="Times New Roman"/>
                <w:szCs w:val="24"/>
                <w:lang w:eastAsia="en-IN"/>
              </w:rPr>
              <w:t>32.28</w:t>
            </w:r>
          </w:p>
        </w:tc>
        <w:tc>
          <w:tcPr>
            <w:tcW w:w="0" w:type="auto"/>
            <w:vAlign w:val="center"/>
            <w:hideMark/>
          </w:tcPr>
          <w:p w14:paraId="2907A36D" w14:textId="77777777" w:rsidR="00416FA8" w:rsidRPr="004B6753" w:rsidRDefault="00416FA8" w:rsidP="004B6753">
            <w:pPr>
              <w:pStyle w:val="NoSpacing"/>
              <w:jc w:val="center"/>
              <w:rPr>
                <w:rFonts w:ascii="Times New Roman" w:hAnsi="Times New Roman" w:cs="Times New Roman"/>
                <w:szCs w:val="24"/>
                <w:lang w:eastAsia="en-IN"/>
              </w:rPr>
            </w:pPr>
            <w:r w:rsidRPr="004B6753">
              <w:rPr>
                <w:rFonts w:ascii="Times New Roman" w:hAnsi="Times New Roman" w:cs="Times New Roman"/>
                <w:szCs w:val="24"/>
                <w:lang w:eastAsia="en-IN"/>
              </w:rPr>
              <w:t>95.66</w:t>
            </w:r>
          </w:p>
        </w:tc>
      </w:tr>
      <w:tr w:rsidR="00812C67" w:rsidRPr="004B6753" w14:paraId="6D30BE8A" w14:textId="77777777" w:rsidTr="004B6753">
        <w:trPr>
          <w:trHeight w:val="221"/>
        </w:trPr>
        <w:tc>
          <w:tcPr>
            <w:tcW w:w="0" w:type="auto"/>
            <w:vMerge w:val="restart"/>
            <w:hideMark/>
          </w:tcPr>
          <w:p w14:paraId="3FFC5463" w14:textId="77777777" w:rsidR="00812C67" w:rsidRPr="004B6753" w:rsidRDefault="00812C67" w:rsidP="00B77C0B">
            <w:pPr>
              <w:pStyle w:val="NoSpacing"/>
              <w:rPr>
                <w:rFonts w:ascii="Times New Roman" w:hAnsi="Times New Roman" w:cs="Times New Roman"/>
                <w:szCs w:val="24"/>
                <w:lang w:eastAsia="en-IN"/>
              </w:rPr>
            </w:pPr>
            <w:r w:rsidRPr="004B6753">
              <w:rPr>
                <w:rFonts w:ascii="Times New Roman" w:hAnsi="Times New Roman" w:cs="Times New Roman"/>
                <w:szCs w:val="24"/>
                <w:lang w:eastAsia="en-IN"/>
              </w:rPr>
              <w:t>1968-69 (RE)</w:t>
            </w:r>
          </w:p>
        </w:tc>
        <w:tc>
          <w:tcPr>
            <w:tcW w:w="0" w:type="auto"/>
            <w:vAlign w:val="center"/>
            <w:hideMark/>
          </w:tcPr>
          <w:p w14:paraId="4E3E32FB" w14:textId="77777777" w:rsidR="00812C67" w:rsidRPr="004B6753" w:rsidRDefault="00812C67" w:rsidP="004B6753">
            <w:pPr>
              <w:pStyle w:val="NoSpacing"/>
              <w:jc w:val="center"/>
              <w:rPr>
                <w:rFonts w:ascii="Times New Roman" w:hAnsi="Times New Roman" w:cs="Times New Roman"/>
                <w:szCs w:val="24"/>
                <w:lang w:eastAsia="en-IN"/>
              </w:rPr>
            </w:pPr>
            <w:r w:rsidRPr="004B6753">
              <w:rPr>
                <w:rFonts w:ascii="Times New Roman" w:hAnsi="Times New Roman" w:cs="Times New Roman"/>
                <w:szCs w:val="24"/>
                <w:lang w:eastAsia="en-IN"/>
              </w:rPr>
              <w:t>6.06</w:t>
            </w:r>
          </w:p>
        </w:tc>
        <w:tc>
          <w:tcPr>
            <w:tcW w:w="0" w:type="auto"/>
            <w:vAlign w:val="center"/>
            <w:hideMark/>
          </w:tcPr>
          <w:p w14:paraId="433698EE" w14:textId="77777777" w:rsidR="00812C67" w:rsidRPr="004B6753" w:rsidRDefault="00812C67" w:rsidP="004B6753">
            <w:pPr>
              <w:pStyle w:val="NoSpacing"/>
              <w:jc w:val="center"/>
              <w:rPr>
                <w:rFonts w:ascii="Times New Roman" w:hAnsi="Times New Roman" w:cs="Times New Roman"/>
                <w:szCs w:val="24"/>
                <w:lang w:eastAsia="en-IN"/>
              </w:rPr>
            </w:pPr>
            <w:r w:rsidRPr="004B6753">
              <w:rPr>
                <w:rFonts w:ascii="Times New Roman" w:hAnsi="Times New Roman" w:cs="Times New Roman"/>
                <w:szCs w:val="24"/>
                <w:lang w:eastAsia="en-IN"/>
              </w:rPr>
              <w:t>17.33</w:t>
            </w:r>
          </w:p>
        </w:tc>
        <w:tc>
          <w:tcPr>
            <w:tcW w:w="0" w:type="auto"/>
            <w:vAlign w:val="center"/>
            <w:hideMark/>
          </w:tcPr>
          <w:p w14:paraId="2095C2D2" w14:textId="77777777" w:rsidR="00812C67" w:rsidRPr="004B6753" w:rsidRDefault="00812C67" w:rsidP="004B6753">
            <w:pPr>
              <w:pStyle w:val="NoSpacing"/>
              <w:jc w:val="center"/>
              <w:rPr>
                <w:rFonts w:ascii="Times New Roman" w:hAnsi="Times New Roman" w:cs="Times New Roman"/>
                <w:szCs w:val="24"/>
                <w:lang w:eastAsia="en-IN"/>
              </w:rPr>
            </w:pPr>
            <w:r w:rsidRPr="004B6753">
              <w:rPr>
                <w:rFonts w:ascii="Times New Roman" w:hAnsi="Times New Roman" w:cs="Times New Roman"/>
                <w:szCs w:val="24"/>
                <w:lang w:eastAsia="en-IN"/>
              </w:rPr>
              <w:t>3.82</w:t>
            </w:r>
          </w:p>
        </w:tc>
        <w:tc>
          <w:tcPr>
            <w:tcW w:w="0" w:type="auto"/>
            <w:vAlign w:val="center"/>
            <w:hideMark/>
          </w:tcPr>
          <w:p w14:paraId="2C5FBC65" w14:textId="77777777" w:rsidR="00812C67" w:rsidRPr="004B6753" w:rsidRDefault="00812C67" w:rsidP="004B6753">
            <w:pPr>
              <w:pStyle w:val="NoSpacing"/>
              <w:jc w:val="center"/>
              <w:rPr>
                <w:rFonts w:ascii="Times New Roman" w:hAnsi="Times New Roman" w:cs="Times New Roman"/>
                <w:szCs w:val="24"/>
                <w:lang w:eastAsia="en-IN"/>
              </w:rPr>
            </w:pPr>
            <w:r w:rsidRPr="004B6753">
              <w:rPr>
                <w:rFonts w:ascii="Times New Roman" w:hAnsi="Times New Roman" w:cs="Times New Roman"/>
                <w:szCs w:val="24"/>
                <w:lang w:eastAsia="en-IN"/>
              </w:rPr>
              <w:t>7.27</w:t>
            </w:r>
          </w:p>
        </w:tc>
        <w:tc>
          <w:tcPr>
            <w:tcW w:w="0" w:type="auto"/>
            <w:vAlign w:val="center"/>
            <w:hideMark/>
          </w:tcPr>
          <w:p w14:paraId="6FCB3AD1" w14:textId="77777777" w:rsidR="00812C67" w:rsidRPr="004B6753" w:rsidRDefault="00812C67" w:rsidP="004B6753">
            <w:pPr>
              <w:pStyle w:val="NoSpacing"/>
              <w:jc w:val="center"/>
              <w:rPr>
                <w:rFonts w:ascii="Times New Roman" w:hAnsi="Times New Roman" w:cs="Times New Roman"/>
                <w:szCs w:val="24"/>
                <w:lang w:eastAsia="en-IN"/>
              </w:rPr>
            </w:pPr>
            <w:r w:rsidRPr="004B6753">
              <w:rPr>
                <w:rFonts w:ascii="Times New Roman" w:hAnsi="Times New Roman" w:cs="Times New Roman"/>
                <w:szCs w:val="24"/>
                <w:lang w:eastAsia="en-IN"/>
              </w:rPr>
              <w:t>2.53</w:t>
            </w:r>
          </w:p>
        </w:tc>
        <w:tc>
          <w:tcPr>
            <w:tcW w:w="0" w:type="auto"/>
            <w:vAlign w:val="center"/>
            <w:hideMark/>
          </w:tcPr>
          <w:p w14:paraId="629C52BE" w14:textId="77777777" w:rsidR="00812C67" w:rsidRPr="004B6753" w:rsidRDefault="00812C67" w:rsidP="004B6753">
            <w:pPr>
              <w:pStyle w:val="NoSpacing"/>
              <w:jc w:val="center"/>
              <w:rPr>
                <w:rFonts w:ascii="Times New Roman" w:hAnsi="Times New Roman" w:cs="Times New Roman"/>
                <w:szCs w:val="24"/>
                <w:lang w:eastAsia="en-IN"/>
              </w:rPr>
            </w:pPr>
            <w:r w:rsidRPr="004B6753">
              <w:rPr>
                <w:rFonts w:ascii="Times New Roman" w:hAnsi="Times New Roman" w:cs="Times New Roman"/>
                <w:szCs w:val="24"/>
                <w:lang w:eastAsia="en-IN"/>
              </w:rPr>
              <w:t>25.80</w:t>
            </w:r>
          </w:p>
        </w:tc>
        <w:tc>
          <w:tcPr>
            <w:tcW w:w="0" w:type="auto"/>
            <w:vAlign w:val="center"/>
            <w:hideMark/>
          </w:tcPr>
          <w:p w14:paraId="221F35BE" w14:textId="77777777" w:rsidR="00812C67" w:rsidRPr="004B6753" w:rsidRDefault="00812C67" w:rsidP="004B6753">
            <w:pPr>
              <w:pStyle w:val="NoSpacing"/>
              <w:jc w:val="center"/>
              <w:rPr>
                <w:rFonts w:ascii="Times New Roman" w:hAnsi="Times New Roman" w:cs="Times New Roman"/>
                <w:szCs w:val="24"/>
                <w:lang w:eastAsia="en-IN"/>
              </w:rPr>
            </w:pPr>
            <w:r w:rsidRPr="004B6753">
              <w:rPr>
                <w:rFonts w:ascii="Times New Roman" w:hAnsi="Times New Roman" w:cs="Times New Roman"/>
                <w:szCs w:val="24"/>
                <w:lang w:eastAsia="en-IN"/>
              </w:rPr>
              <w:t>4.57</w:t>
            </w:r>
          </w:p>
        </w:tc>
        <w:tc>
          <w:tcPr>
            <w:tcW w:w="0" w:type="auto"/>
            <w:vAlign w:val="center"/>
            <w:hideMark/>
          </w:tcPr>
          <w:p w14:paraId="225D7106" w14:textId="77777777" w:rsidR="00812C67" w:rsidRPr="004B6753" w:rsidRDefault="00812C67" w:rsidP="004B6753">
            <w:pPr>
              <w:pStyle w:val="NoSpacing"/>
              <w:jc w:val="center"/>
              <w:rPr>
                <w:rFonts w:ascii="Times New Roman" w:hAnsi="Times New Roman" w:cs="Times New Roman"/>
                <w:szCs w:val="24"/>
                <w:lang w:eastAsia="en-IN"/>
              </w:rPr>
            </w:pPr>
            <w:r w:rsidRPr="004B6753">
              <w:rPr>
                <w:rFonts w:ascii="Times New Roman" w:hAnsi="Times New Roman" w:cs="Times New Roman"/>
                <w:szCs w:val="24"/>
                <w:lang w:eastAsia="en-IN"/>
              </w:rPr>
              <w:t>2.93</w:t>
            </w:r>
          </w:p>
        </w:tc>
        <w:tc>
          <w:tcPr>
            <w:tcW w:w="0" w:type="auto"/>
            <w:vAlign w:val="center"/>
            <w:hideMark/>
          </w:tcPr>
          <w:p w14:paraId="75C5B317" w14:textId="77777777" w:rsidR="00812C67" w:rsidRPr="004B6753" w:rsidRDefault="00812C67" w:rsidP="004B6753">
            <w:pPr>
              <w:pStyle w:val="NoSpacing"/>
              <w:jc w:val="center"/>
              <w:rPr>
                <w:rFonts w:ascii="Times New Roman" w:hAnsi="Times New Roman" w:cs="Times New Roman"/>
                <w:szCs w:val="24"/>
                <w:lang w:eastAsia="en-IN"/>
              </w:rPr>
            </w:pPr>
            <w:r w:rsidRPr="004B6753">
              <w:rPr>
                <w:rFonts w:ascii="Times New Roman" w:hAnsi="Times New Roman" w:cs="Times New Roman"/>
                <w:szCs w:val="24"/>
                <w:lang w:eastAsia="en-IN"/>
              </w:rPr>
              <w:t>7.09</w:t>
            </w:r>
          </w:p>
        </w:tc>
        <w:tc>
          <w:tcPr>
            <w:tcW w:w="0" w:type="auto"/>
            <w:vAlign w:val="center"/>
            <w:hideMark/>
          </w:tcPr>
          <w:p w14:paraId="3C74773C" w14:textId="77777777" w:rsidR="00812C67" w:rsidRPr="004B6753" w:rsidRDefault="00812C67" w:rsidP="004B6753">
            <w:pPr>
              <w:pStyle w:val="NoSpacing"/>
              <w:jc w:val="center"/>
              <w:rPr>
                <w:rFonts w:ascii="Times New Roman" w:hAnsi="Times New Roman" w:cs="Times New Roman"/>
                <w:szCs w:val="24"/>
                <w:lang w:eastAsia="en-IN"/>
              </w:rPr>
            </w:pPr>
            <w:r w:rsidRPr="004B6753">
              <w:rPr>
                <w:rFonts w:ascii="Times New Roman" w:hAnsi="Times New Roman" w:cs="Times New Roman"/>
                <w:szCs w:val="24"/>
                <w:lang w:eastAsia="en-IN"/>
              </w:rPr>
              <w:t>37.80</w:t>
            </w:r>
          </w:p>
        </w:tc>
        <w:tc>
          <w:tcPr>
            <w:tcW w:w="0" w:type="auto"/>
            <w:vAlign w:val="center"/>
            <w:hideMark/>
          </w:tcPr>
          <w:p w14:paraId="5B0F18A1" w14:textId="77777777" w:rsidR="00812C67" w:rsidRPr="004B6753" w:rsidRDefault="00812C67" w:rsidP="004B6753">
            <w:pPr>
              <w:pStyle w:val="NoSpacing"/>
              <w:jc w:val="center"/>
              <w:rPr>
                <w:rFonts w:ascii="Times New Roman" w:hAnsi="Times New Roman" w:cs="Times New Roman"/>
                <w:szCs w:val="24"/>
                <w:lang w:eastAsia="en-IN"/>
              </w:rPr>
            </w:pPr>
            <w:r w:rsidRPr="004B6753">
              <w:rPr>
                <w:rFonts w:ascii="Times New Roman" w:hAnsi="Times New Roman" w:cs="Times New Roman"/>
                <w:szCs w:val="24"/>
                <w:lang w:eastAsia="en-IN"/>
              </w:rPr>
              <w:t>115.20</w:t>
            </w:r>
          </w:p>
        </w:tc>
      </w:tr>
      <w:tr w:rsidR="00812C67" w:rsidRPr="004B6753" w14:paraId="4D11A10E" w14:textId="77777777" w:rsidTr="004B6753">
        <w:trPr>
          <w:trHeight w:val="221"/>
        </w:trPr>
        <w:tc>
          <w:tcPr>
            <w:tcW w:w="0" w:type="auto"/>
            <w:vMerge/>
            <w:hideMark/>
          </w:tcPr>
          <w:p w14:paraId="020A9D1D" w14:textId="77777777" w:rsidR="00812C67" w:rsidRPr="004B6753" w:rsidRDefault="00812C67" w:rsidP="00B77C0B">
            <w:pPr>
              <w:pStyle w:val="NoSpacing"/>
              <w:rPr>
                <w:rFonts w:ascii="Times New Roman" w:hAnsi="Times New Roman" w:cs="Times New Roman"/>
                <w:szCs w:val="24"/>
                <w:lang w:eastAsia="en-IN"/>
              </w:rPr>
            </w:pPr>
          </w:p>
        </w:tc>
        <w:tc>
          <w:tcPr>
            <w:tcW w:w="0" w:type="auto"/>
            <w:vAlign w:val="center"/>
            <w:hideMark/>
          </w:tcPr>
          <w:p w14:paraId="6C3A0114" w14:textId="77777777" w:rsidR="00812C67" w:rsidRPr="004B6753" w:rsidRDefault="00812C67" w:rsidP="004B6753">
            <w:pPr>
              <w:pStyle w:val="NoSpacing"/>
              <w:jc w:val="center"/>
              <w:rPr>
                <w:rFonts w:ascii="Times New Roman" w:hAnsi="Times New Roman" w:cs="Times New Roman"/>
                <w:szCs w:val="24"/>
                <w:lang w:eastAsia="en-IN"/>
              </w:rPr>
            </w:pPr>
            <w:r w:rsidRPr="004B6753">
              <w:rPr>
                <w:rFonts w:ascii="Times New Roman" w:hAnsi="Times New Roman" w:cs="Times New Roman"/>
                <w:i/>
                <w:iCs/>
                <w:szCs w:val="24"/>
                <w:lang w:eastAsia="en-IN"/>
              </w:rPr>
              <w:t>(5.26)</w:t>
            </w:r>
          </w:p>
        </w:tc>
        <w:tc>
          <w:tcPr>
            <w:tcW w:w="0" w:type="auto"/>
            <w:vAlign w:val="center"/>
            <w:hideMark/>
          </w:tcPr>
          <w:p w14:paraId="0848482B" w14:textId="77777777" w:rsidR="00812C67" w:rsidRPr="004B6753" w:rsidRDefault="00812C67" w:rsidP="004B6753">
            <w:pPr>
              <w:pStyle w:val="NoSpacing"/>
              <w:jc w:val="center"/>
              <w:rPr>
                <w:rFonts w:ascii="Times New Roman" w:hAnsi="Times New Roman" w:cs="Times New Roman"/>
                <w:szCs w:val="24"/>
                <w:lang w:eastAsia="en-IN"/>
              </w:rPr>
            </w:pPr>
            <w:r w:rsidRPr="004B6753">
              <w:rPr>
                <w:rFonts w:ascii="Times New Roman" w:hAnsi="Times New Roman" w:cs="Times New Roman"/>
                <w:i/>
                <w:iCs/>
                <w:szCs w:val="24"/>
                <w:lang w:eastAsia="en-IN"/>
              </w:rPr>
              <w:t>(15.04)</w:t>
            </w:r>
          </w:p>
        </w:tc>
        <w:tc>
          <w:tcPr>
            <w:tcW w:w="0" w:type="auto"/>
            <w:vAlign w:val="center"/>
            <w:hideMark/>
          </w:tcPr>
          <w:p w14:paraId="58055364" w14:textId="77777777" w:rsidR="00812C67" w:rsidRPr="004B6753" w:rsidRDefault="00812C67" w:rsidP="004B6753">
            <w:pPr>
              <w:pStyle w:val="NoSpacing"/>
              <w:jc w:val="center"/>
              <w:rPr>
                <w:rFonts w:ascii="Times New Roman" w:hAnsi="Times New Roman" w:cs="Times New Roman"/>
                <w:szCs w:val="24"/>
                <w:lang w:eastAsia="en-IN"/>
              </w:rPr>
            </w:pPr>
            <w:r w:rsidRPr="004B6753">
              <w:rPr>
                <w:rFonts w:ascii="Times New Roman" w:hAnsi="Times New Roman" w:cs="Times New Roman"/>
                <w:i/>
                <w:iCs/>
                <w:szCs w:val="24"/>
                <w:lang w:eastAsia="en-IN"/>
              </w:rPr>
              <w:t>(3.32)</w:t>
            </w:r>
          </w:p>
        </w:tc>
        <w:tc>
          <w:tcPr>
            <w:tcW w:w="0" w:type="auto"/>
            <w:vAlign w:val="center"/>
            <w:hideMark/>
          </w:tcPr>
          <w:p w14:paraId="5F5CFEE4" w14:textId="77777777" w:rsidR="00812C67" w:rsidRPr="004B6753" w:rsidRDefault="00812C67" w:rsidP="004B6753">
            <w:pPr>
              <w:pStyle w:val="NoSpacing"/>
              <w:jc w:val="center"/>
              <w:rPr>
                <w:rFonts w:ascii="Times New Roman" w:hAnsi="Times New Roman" w:cs="Times New Roman"/>
                <w:szCs w:val="24"/>
                <w:lang w:eastAsia="en-IN"/>
              </w:rPr>
            </w:pPr>
            <w:r w:rsidRPr="004B6753">
              <w:rPr>
                <w:rFonts w:ascii="Times New Roman" w:hAnsi="Times New Roman" w:cs="Times New Roman"/>
                <w:i/>
                <w:iCs/>
                <w:szCs w:val="24"/>
                <w:lang w:eastAsia="en-IN"/>
              </w:rPr>
              <w:t>(6.31)</w:t>
            </w:r>
          </w:p>
        </w:tc>
        <w:tc>
          <w:tcPr>
            <w:tcW w:w="0" w:type="auto"/>
            <w:vAlign w:val="center"/>
            <w:hideMark/>
          </w:tcPr>
          <w:p w14:paraId="0DAB4952" w14:textId="77777777" w:rsidR="00812C67" w:rsidRPr="004B6753" w:rsidRDefault="00812C67" w:rsidP="004B6753">
            <w:pPr>
              <w:pStyle w:val="NoSpacing"/>
              <w:jc w:val="center"/>
              <w:rPr>
                <w:rFonts w:ascii="Times New Roman" w:hAnsi="Times New Roman" w:cs="Times New Roman"/>
                <w:szCs w:val="24"/>
                <w:lang w:eastAsia="en-IN"/>
              </w:rPr>
            </w:pPr>
            <w:r w:rsidRPr="004B6753">
              <w:rPr>
                <w:rFonts w:ascii="Times New Roman" w:hAnsi="Times New Roman" w:cs="Times New Roman"/>
                <w:i/>
                <w:iCs/>
                <w:szCs w:val="24"/>
                <w:lang w:eastAsia="en-IN"/>
              </w:rPr>
              <w:t>(2.20)</w:t>
            </w:r>
          </w:p>
        </w:tc>
        <w:tc>
          <w:tcPr>
            <w:tcW w:w="0" w:type="auto"/>
            <w:vAlign w:val="center"/>
            <w:hideMark/>
          </w:tcPr>
          <w:p w14:paraId="7F28961E" w14:textId="77777777" w:rsidR="00812C67" w:rsidRPr="004B6753" w:rsidRDefault="00812C67" w:rsidP="004B6753">
            <w:pPr>
              <w:pStyle w:val="NoSpacing"/>
              <w:jc w:val="center"/>
              <w:rPr>
                <w:rFonts w:ascii="Times New Roman" w:hAnsi="Times New Roman" w:cs="Times New Roman"/>
                <w:szCs w:val="24"/>
                <w:lang w:eastAsia="en-IN"/>
              </w:rPr>
            </w:pPr>
            <w:r w:rsidRPr="004B6753">
              <w:rPr>
                <w:rFonts w:ascii="Times New Roman" w:hAnsi="Times New Roman" w:cs="Times New Roman"/>
                <w:i/>
                <w:iCs/>
                <w:szCs w:val="24"/>
                <w:lang w:eastAsia="en-IN"/>
              </w:rPr>
              <w:t>(22.40)</w:t>
            </w:r>
          </w:p>
        </w:tc>
        <w:tc>
          <w:tcPr>
            <w:tcW w:w="0" w:type="auto"/>
            <w:vAlign w:val="center"/>
            <w:hideMark/>
          </w:tcPr>
          <w:p w14:paraId="5313FA1A" w14:textId="77777777" w:rsidR="00812C67" w:rsidRPr="004B6753" w:rsidRDefault="00812C67" w:rsidP="004B6753">
            <w:pPr>
              <w:pStyle w:val="NoSpacing"/>
              <w:jc w:val="center"/>
              <w:rPr>
                <w:rFonts w:ascii="Times New Roman" w:hAnsi="Times New Roman" w:cs="Times New Roman"/>
                <w:szCs w:val="24"/>
                <w:lang w:eastAsia="en-IN"/>
              </w:rPr>
            </w:pPr>
            <w:r w:rsidRPr="004B6753">
              <w:rPr>
                <w:rFonts w:ascii="Times New Roman" w:hAnsi="Times New Roman" w:cs="Times New Roman"/>
                <w:i/>
                <w:iCs/>
                <w:szCs w:val="24"/>
                <w:lang w:eastAsia="en-IN"/>
              </w:rPr>
              <w:t>(3.97)</w:t>
            </w:r>
          </w:p>
        </w:tc>
        <w:tc>
          <w:tcPr>
            <w:tcW w:w="0" w:type="auto"/>
            <w:vAlign w:val="center"/>
            <w:hideMark/>
          </w:tcPr>
          <w:p w14:paraId="406EA55E" w14:textId="77777777" w:rsidR="00812C67" w:rsidRPr="004B6753" w:rsidRDefault="00812C67" w:rsidP="004B6753">
            <w:pPr>
              <w:pStyle w:val="NoSpacing"/>
              <w:jc w:val="center"/>
              <w:rPr>
                <w:rFonts w:ascii="Times New Roman" w:hAnsi="Times New Roman" w:cs="Times New Roman"/>
                <w:szCs w:val="24"/>
                <w:lang w:eastAsia="en-IN"/>
              </w:rPr>
            </w:pPr>
            <w:r w:rsidRPr="004B6753">
              <w:rPr>
                <w:rFonts w:ascii="Times New Roman" w:hAnsi="Times New Roman" w:cs="Times New Roman"/>
                <w:i/>
                <w:iCs/>
                <w:szCs w:val="24"/>
                <w:lang w:eastAsia="en-IN"/>
              </w:rPr>
              <w:t>(2.54)</w:t>
            </w:r>
          </w:p>
        </w:tc>
        <w:tc>
          <w:tcPr>
            <w:tcW w:w="0" w:type="auto"/>
            <w:vAlign w:val="center"/>
            <w:hideMark/>
          </w:tcPr>
          <w:p w14:paraId="6FCACC88" w14:textId="77777777" w:rsidR="00812C67" w:rsidRPr="004B6753" w:rsidRDefault="00812C67" w:rsidP="004B6753">
            <w:pPr>
              <w:pStyle w:val="NoSpacing"/>
              <w:jc w:val="center"/>
              <w:rPr>
                <w:rFonts w:ascii="Times New Roman" w:hAnsi="Times New Roman" w:cs="Times New Roman"/>
                <w:szCs w:val="24"/>
                <w:lang w:eastAsia="en-IN"/>
              </w:rPr>
            </w:pPr>
            <w:r w:rsidRPr="004B6753">
              <w:rPr>
                <w:rFonts w:ascii="Times New Roman" w:hAnsi="Times New Roman" w:cs="Times New Roman"/>
                <w:i/>
                <w:iCs/>
                <w:szCs w:val="24"/>
                <w:lang w:eastAsia="en-IN"/>
              </w:rPr>
              <w:t>(6.15)</w:t>
            </w:r>
          </w:p>
        </w:tc>
        <w:tc>
          <w:tcPr>
            <w:tcW w:w="0" w:type="auto"/>
            <w:vAlign w:val="center"/>
            <w:hideMark/>
          </w:tcPr>
          <w:p w14:paraId="52155EE3" w14:textId="77777777" w:rsidR="00812C67" w:rsidRPr="004B6753" w:rsidRDefault="00812C67" w:rsidP="004B6753">
            <w:pPr>
              <w:pStyle w:val="NoSpacing"/>
              <w:jc w:val="center"/>
              <w:rPr>
                <w:rFonts w:ascii="Times New Roman" w:hAnsi="Times New Roman" w:cs="Times New Roman"/>
                <w:szCs w:val="24"/>
                <w:lang w:eastAsia="en-IN"/>
              </w:rPr>
            </w:pPr>
            <w:r w:rsidRPr="004B6753">
              <w:rPr>
                <w:rFonts w:ascii="Times New Roman" w:hAnsi="Times New Roman" w:cs="Times New Roman"/>
                <w:i/>
                <w:iCs/>
                <w:szCs w:val="24"/>
                <w:lang w:eastAsia="en-IN"/>
              </w:rPr>
              <w:t>(32.81)</w:t>
            </w:r>
          </w:p>
        </w:tc>
        <w:tc>
          <w:tcPr>
            <w:tcW w:w="0" w:type="auto"/>
            <w:vAlign w:val="center"/>
            <w:hideMark/>
          </w:tcPr>
          <w:p w14:paraId="18E61072" w14:textId="77777777" w:rsidR="00812C67" w:rsidRPr="004B6753" w:rsidRDefault="00812C67" w:rsidP="004B6753">
            <w:pPr>
              <w:pStyle w:val="NoSpacing"/>
              <w:jc w:val="center"/>
              <w:rPr>
                <w:rFonts w:ascii="Times New Roman" w:hAnsi="Times New Roman" w:cs="Times New Roman"/>
                <w:szCs w:val="24"/>
                <w:lang w:eastAsia="en-IN"/>
              </w:rPr>
            </w:pPr>
            <w:r w:rsidRPr="004B6753">
              <w:rPr>
                <w:rFonts w:ascii="Times New Roman" w:hAnsi="Times New Roman" w:cs="Times New Roman"/>
                <w:i/>
                <w:iCs/>
                <w:szCs w:val="24"/>
                <w:lang w:eastAsia="en-IN"/>
              </w:rPr>
              <w:t>(100.00)</w:t>
            </w:r>
          </w:p>
        </w:tc>
      </w:tr>
      <w:tr w:rsidR="00416FA8" w:rsidRPr="004B6753" w14:paraId="14B88243" w14:textId="77777777" w:rsidTr="004B6753">
        <w:trPr>
          <w:trHeight w:val="221"/>
        </w:trPr>
        <w:tc>
          <w:tcPr>
            <w:tcW w:w="0" w:type="auto"/>
            <w:hideMark/>
          </w:tcPr>
          <w:p w14:paraId="385C8667" w14:textId="77777777" w:rsidR="00416FA8" w:rsidRPr="004B6753" w:rsidRDefault="00416FA8" w:rsidP="00B77C0B">
            <w:pPr>
              <w:pStyle w:val="NoSpacing"/>
              <w:rPr>
                <w:rFonts w:ascii="Times New Roman" w:hAnsi="Times New Roman" w:cs="Times New Roman"/>
                <w:szCs w:val="24"/>
                <w:lang w:eastAsia="en-IN"/>
              </w:rPr>
            </w:pPr>
            <w:r w:rsidRPr="004B6753">
              <w:rPr>
                <w:rFonts w:ascii="Times New Roman" w:hAnsi="Times New Roman" w:cs="Times New Roman"/>
                <w:szCs w:val="24"/>
                <w:lang w:eastAsia="en-IN"/>
              </w:rPr>
              <w:t>Rajasthan</w:t>
            </w:r>
          </w:p>
        </w:tc>
        <w:tc>
          <w:tcPr>
            <w:tcW w:w="0" w:type="auto"/>
            <w:vAlign w:val="center"/>
            <w:hideMark/>
          </w:tcPr>
          <w:p w14:paraId="509D01F9" w14:textId="77777777" w:rsidR="00416FA8" w:rsidRPr="004B6753" w:rsidRDefault="00416FA8" w:rsidP="004B6753">
            <w:pPr>
              <w:pStyle w:val="NoSpacing"/>
              <w:jc w:val="center"/>
              <w:rPr>
                <w:rFonts w:ascii="Times New Roman" w:hAnsi="Times New Roman" w:cs="Times New Roman"/>
                <w:szCs w:val="24"/>
                <w:lang w:eastAsia="en-IN"/>
              </w:rPr>
            </w:pPr>
          </w:p>
        </w:tc>
        <w:tc>
          <w:tcPr>
            <w:tcW w:w="0" w:type="auto"/>
            <w:vAlign w:val="center"/>
            <w:hideMark/>
          </w:tcPr>
          <w:p w14:paraId="32617E28" w14:textId="77777777" w:rsidR="00416FA8" w:rsidRPr="004B6753" w:rsidRDefault="00416FA8" w:rsidP="004B6753">
            <w:pPr>
              <w:pStyle w:val="NoSpacing"/>
              <w:jc w:val="center"/>
              <w:rPr>
                <w:rFonts w:ascii="Times New Roman" w:hAnsi="Times New Roman" w:cs="Times New Roman"/>
                <w:szCs w:val="24"/>
                <w:lang w:eastAsia="en-IN"/>
              </w:rPr>
            </w:pPr>
          </w:p>
        </w:tc>
        <w:tc>
          <w:tcPr>
            <w:tcW w:w="0" w:type="auto"/>
            <w:vAlign w:val="center"/>
            <w:hideMark/>
          </w:tcPr>
          <w:p w14:paraId="6131900F" w14:textId="77777777" w:rsidR="00416FA8" w:rsidRPr="004B6753" w:rsidRDefault="00416FA8" w:rsidP="004B6753">
            <w:pPr>
              <w:pStyle w:val="NoSpacing"/>
              <w:jc w:val="center"/>
              <w:rPr>
                <w:rFonts w:ascii="Times New Roman" w:hAnsi="Times New Roman" w:cs="Times New Roman"/>
                <w:szCs w:val="24"/>
                <w:lang w:eastAsia="en-IN"/>
              </w:rPr>
            </w:pPr>
          </w:p>
        </w:tc>
        <w:tc>
          <w:tcPr>
            <w:tcW w:w="0" w:type="auto"/>
            <w:vAlign w:val="center"/>
            <w:hideMark/>
          </w:tcPr>
          <w:p w14:paraId="45706CE3" w14:textId="77777777" w:rsidR="00416FA8" w:rsidRPr="004B6753" w:rsidRDefault="00416FA8" w:rsidP="004B6753">
            <w:pPr>
              <w:pStyle w:val="NoSpacing"/>
              <w:jc w:val="center"/>
              <w:rPr>
                <w:rFonts w:ascii="Times New Roman" w:hAnsi="Times New Roman" w:cs="Times New Roman"/>
                <w:szCs w:val="24"/>
                <w:lang w:eastAsia="en-IN"/>
              </w:rPr>
            </w:pPr>
          </w:p>
        </w:tc>
        <w:tc>
          <w:tcPr>
            <w:tcW w:w="0" w:type="auto"/>
            <w:vAlign w:val="center"/>
            <w:hideMark/>
          </w:tcPr>
          <w:p w14:paraId="050E075A" w14:textId="77777777" w:rsidR="00416FA8" w:rsidRPr="004B6753" w:rsidRDefault="00416FA8" w:rsidP="004B6753">
            <w:pPr>
              <w:pStyle w:val="NoSpacing"/>
              <w:jc w:val="center"/>
              <w:rPr>
                <w:rFonts w:ascii="Times New Roman" w:hAnsi="Times New Roman" w:cs="Times New Roman"/>
                <w:szCs w:val="24"/>
                <w:lang w:eastAsia="en-IN"/>
              </w:rPr>
            </w:pPr>
          </w:p>
        </w:tc>
        <w:tc>
          <w:tcPr>
            <w:tcW w:w="0" w:type="auto"/>
            <w:vAlign w:val="center"/>
            <w:hideMark/>
          </w:tcPr>
          <w:p w14:paraId="063CB4BB" w14:textId="77777777" w:rsidR="00416FA8" w:rsidRPr="004B6753" w:rsidRDefault="00416FA8" w:rsidP="004B6753">
            <w:pPr>
              <w:pStyle w:val="NoSpacing"/>
              <w:jc w:val="center"/>
              <w:rPr>
                <w:rFonts w:ascii="Times New Roman" w:hAnsi="Times New Roman" w:cs="Times New Roman"/>
                <w:szCs w:val="24"/>
                <w:lang w:eastAsia="en-IN"/>
              </w:rPr>
            </w:pPr>
          </w:p>
        </w:tc>
        <w:tc>
          <w:tcPr>
            <w:tcW w:w="0" w:type="auto"/>
            <w:vAlign w:val="center"/>
            <w:hideMark/>
          </w:tcPr>
          <w:p w14:paraId="61EE23C7" w14:textId="77777777" w:rsidR="00416FA8" w:rsidRPr="004B6753" w:rsidRDefault="00416FA8" w:rsidP="004B6753">
            <w:pPr>
              <w:pStyle w:val="NoSpacing"/>
              <w:jc w:val="center"/>
              <w:rPr>
                <w:rFonts w:ascii="Times New Roman" w:hAnsi="Times New Roman" w:cs="Times New Roman"/>
                <w:szCs w:val="24"/>
                <w:lang w:eastAsia="en-IN"/>
              </w:rPr>
            </w:pPr>
          </w:p>
        </w:tc>
        <w:tc>
          <w:tcPr>
            <w:tcW w:w="0" w:type="auto"/>
            <w:vAlign w:val="center"/>
            <w:hideMark/>
          </w:tcPr>
          <w:p w14:paraId="07DF6BD4" w14:textId="77777777" w:rsidR="00416FA8" w:rsidRPr="004B6753" w:rsidRDefault="00416FA8" w:rsidP="004B6753">
            <w:pPr>
              <w:pStyle w:val="NoSpacing"/>
              <w:jc w:val="center"/>
              <w:rPr>
                <w:rFonts w:ascii="Times New Roman" w:hAnsi="Times New Roman" w:cs="Times New Roman"/>
                <w:szCs w:val="24"/>
                <w:lang w:eastAsia="en-IN"/>
              </w:rPr>
            </w:pPr>
          </w:p>
        </w:tc>
        <w:tc>
          <w:tcPr>
            <w:tcW w:w="0" w:type="auto"/>
            <w:vAlign w:val="center"/>
            <w:hideMark/>
          </w:tcPr>
          <w:p w14:paraId="21385206" w14:textId="77777777" w:rsidR="00416FA8" w:rsidRPr="004B6753" w:rsidRDefault="00416FA8" w:rsidP="004B6753">
            <w:pPr>
              <w:pStyle w:val="NoSpacing"/>
              <w:jc w:val="center"/>
              <w:rPr>
                <w:rFonts w:ascii="Times New Roman" w:hAnsi="Times New Roman" w:cs="Times New Roman"/>
                <w:szCs w:val="24"/>
                <w:lang w:eastAsia="en-IN"/>
              </w:rPr>
            </w:pPr>
          </w:p>
        </w:tc>
        <w:tc>
          <w:tcPr>
            <w:tcW w:w="0" w:type="auto"/>
            <w:vAlign w:val="center"/>
            <w:hideMark/>
          </w:tcPr>
          <w:p w14:paraId="08AF77E4" w14:textId="77777777" w:rsidR="00416FA8" w:rsidRPr="004B6753" w:rsidRDefault="00416FA8" w:rsidP="004B6753">
            <w:pPr>
              <w:pStyle w:val="NoSpacing"/>
              <w:jc w:val="center"/>
              <w:rPr>
                <w:rFonts w:ascii="Times New Roman" w:hAnsi="Times New Roman" w:cs="Times New Roman"/>
                <w:szCs w:val="24"/>
                <w:lang w:eastAsia="en-IN"/>
              </w:rPr>
            </w:pPr>
          </w:p>
        </w:tc>
        <w:tc>
          <w:tcPr>
            <w:tcW w:w="0" w:type="auto"/>
            <w:vAlign w:val="center"/>
            <w:hideMark/>
          </w:tcPr>
          <w:p w14:paraId="4E9712C9" w14:textId="77777777" w:rsidR="00416FA8" w:rsidRPr="004B6753" w:rsidRDefault="00416FA8" w:rsidP="004B6753">
            <w:pPr>
              <w:pStyle w:val="NoSpacing"/>
              <w:jc w:val="center"/>
              <w:rPr>
                <w:rFonts w:ascii="Times New Roman" w:hAnsi="Times New Roman" w:cs="Times New Roman"/>
                <w:szCs w:val="24"/>
                <w:lang w:eastAsia="en-IN"/>
              </w:rPr>
            </w:pPr>
          </w:p>
        </w:tc>
      </w:tr>
      <w:tr w:rsidR="00812C67" w:rsidRPr="004B6753" w14:paraId="7B680D76" w14:textId="77777777" w:rsidTr="004B6753">
        <w:trPr>
          <w:trHeight w:val="221"/>
        </w:trPr>
        <w:tc>
          <w:tcPr>
            <w:tcW w:w="0" w:type="auto"/>
            <w:vMerge w:val="restart"/>
            <w:hideMark/>
          </w:tcPr>
          <w:p w14:paraId="056A04A2" w14:textId="77777777" w:rsidR="00812C67" w:rsidRPr="004B6753" w:rsidRDefault="00812C67" w:rsidP="00B77C0B">
            <w:pPr>
              <w:pStyle w:val="NoSpacing"/>
              <w:rPr>
                <w:rFonts w:ascii="Times New Roman" w:hAnsi="Times New Roman" w:cs="Times New Roman"/>
                <w:szCs w:val="24"/>
                <w:lang w:eastAsia="en-IN"/>
              </w:rPr>
            </w:pPr>
            <w:r w:rsidRPr="004B6753">
              <w:rPr>
                <w:rFonts w:ascii="Times New Roman" w:hAnsi="Times New Roman" w:cs="Times New Roman"/>
                <w:szCs w:val="24"/>
                <w:lang w:eastAsia="en-IN"/>
              </w:rPr>
              <w:t>1961-62</w:t>
            </w:r>
          </w:p>
        </w:tc>
        <w:tc>
          <w:tcPr>
            <w:tcW w:w="0" w:type="auto"/>
            <w:vAlign w:val="center"/>
            <w:hideMark/>
          </w:tcPr>
          <w:p w14:paraId="4F40687B" w14:textId="77777777" w:rsidR="00812C67" w:rsidRPr="004B6753" w:rsidRDefault="00812C67" w:rsidP="004B6753">
            <w:pPr>
              <w:pStyle w:val="NoSpacing"/>
              <w:jc w:val="center"/>
              <w:rPr>
                <w:rFonts w:ascii="Times New Roman" w:hAnsi="Times New Roman" w:cs="Times New Roman"/>
                <w:szCs w:val="24"/>
                <w:lang w:eastAsia="en-IN"/>
              </w:rPr>
            </w:pPr>
            <w:r w:rsidRPr="004B6753">
              <w:rPr>
                <w:rFonts w:ascii="Times New Roman" w:hAnsi="Times New Roman" w:cs="Times New Roman"/>
                <w:szCs w:val="24"/>
                <w:lang w:eastAsia="en-IN"/>
              </w:rPr>
              <w:t>3.68</w:t>
            </w:r>
          </w:p>
        </w:tc>
        <w:tc>
          <w:tcPr>
            <w:tcW w:w="0" w:type="auto"/>
            <w:vAlign w:val="center"/>
            <w:hideMark/>
          </w:tcPr>
          <w:p w14:paraId="74F52846" w14:textId="77777777" w:rsidR="00812C67" w:rsidRPr="004B6753" w:rsidRDefault="00812C67" w:rsidP="004B6753">
            <w:pPr>
              <w:pStyle w:val="NoSpacing"/>
              <w:jc w:val="center"/>
              <w:rPr>
                <w:rFonts w:ascii="Times New Roman" w:hAnsi="Times New Roman" w:cs="Times New Roman"/>
                <w:szCs w:val="24"/>
                <w:lang w:eastAsia="en-IN"/>
              </w:rPr>
            </w:pPr>
            <w:r w:rsidRPr="004B6753">
              <w:rPr>
                <w:rFonts w:ascii="Times New Roman" w:hAnsi="Times New Roman" w:cs="Times New Roman"/>
                <w:szCs w:val="24"/>
                <w:lang w:eastAsia="en-IN"/>
              </w:rPr>
              <w:t>5.64</w:t>
            </w:r>
          </w:p>
        </w:tc>
        <w:tc>
          <w:tcPr>
            <w:tcW w:w="0" w:type="auto"/>
            <w:vAlign w:val="center"/>
            <w:hideMark/>
          </w:tcPr>
          <w:p w14:paraId="7C16ED5A" w14:textId="77777777" w:rsidR="00812C67" w:rsidRPr="004B6753" w:rsidRDefault="00812C67" w:rsidP="004B6753">
            <w:pPr>
              <w:pStyle w:val="NoSpacing"/>
              <w:jc w:val="center"/>
              <w:rPr>
                <w:rFonts w:ascii="Times New Roman" w:hAnsi="Times New Roman" w:cs="Times New Roman"/>
                <w:szCs w:val="24"/>
                <w:lang w:eastAsia="en-IN"/>
              </w:rPr>
            </w:pPr>
            <w:r w:rsidRPr="004B6753">
              <w:rPr>
                <w:rFonts w:ascii="Times New Roman" w:hAnsi="Times New Roman" w:cs="Times New Roman"/>
                <w:szCs w:val="24"/>
                <w:lang w:eastAsia="en-IN"/>
              </w:rPr>
              <w:t>2.87</w:t>
            </w:r>
          </w:p>
        </w:tc>
        <w:tc>
          <w:tcPr>
            <w:tcW w:w="0" w:type="auto"/>
            <w:vAlign w:val="center"/>
            <w:hideMark/>
          </w:tcPr>
          <w:p w14:paraId="169C9381" w14:textId="77777777" w:rsidR="00812C67" w:rsidRPr="004B6753" w:rsidRDefault="00812C67" w:rsidP="004B6753">
            <w:pPr>
              <w:pStyle w:val="NoSpacing"/>
              <w:jc w:val="center"/>
              <w:rPr>
                <w:rFonts w:ascii="Times New Roman" w:hAnsi="Times New Roman" w:cs="Times New Roman"/>
                <w:szCs w:val="24"/>
                <w:lang w:eastAsia="en-IN"/>
              </w:rPr>
            </w:pPr>
            <w:r w:rsidRPr="004B6753">
              <w:rPr>
                <w:rFonts w:ascii="Times New Roman" w:hAnsi="Times New Roman" w:cs="Times New Roman"/>
                <w:szCs w:val="24"/>
                <w:lang w:eastAsia="en-IN"/>
              </w:rPr>
              <w:t>5.07</w:t>
            </w:r>
          </w:p>
        </w:tc>
        <w:tc>
          <w:tcPr>
            <w:tcW w:w="0" w:type="auto"/>
            <w:vAlign w:val="center"/>
            <w:hideMark/>
          </w:tcPr>
          <w:p w14:paraId="0FD36E71" w14:textId="77777777" w:rsidR="00812C67" w:rsidRPr="004B6753" w:rsidRDefault="00812C67" w:rsidP="004B6753">
            <w:pPr>
              <w:pStyle w:val="NoSpacing"/>
              <w:jc w:val="center"/>
              <w:rPr>
                <w:rFonts w:ascii="Times New Roman" w:hAnsi="Times New Roman" w:cs="Times New Roman"/>
                <w:szCs w:val="24"/>
                <w:lang w:eastAsia="en-IN"/>
              </w:rPr>
            </w:pPr>
            <w:r w:rsidRPr="004B6753">
              <w:rPr>
                <w:rFonts w:ascii="Times New Roman" w:hAnsi="Times New Roman" w:cs="Times New Roman"/>
                <w:szCs w:val="24"/>
                <w:lang w:eastAsia="en-IN"/>
              </w:rPr>
              <w:t>0.91</w:t>
            </w:r>
          </w:p>
        </w:tc>
        <w:tc>
          <w:tcPr>
            <w:tcW w:w="0" w:type="auto"/>
            <w:vAlign w:val="center"/>
            <w:hideMark/>
          </w:tcPr>
          <w:p w14:paraId="3D40AFD4" w14:textId="77777777" w:rsidR="00812C67" w:rsidRPr="004B6753" w:rsidRDefault="00812C67" w:rsidP="004B6753">
            <w:pPr>
              <w:pStyle w:val="NoSpacing"/>
              <w:jc w:val="center"/>
              <w:rPr>
                <w:rFonts w:ascii="Times New Roman" w:hAnsi="Times New Roman" w:cs="Times New Roman"/>
                <w:szCs w:val="24"/>
                <w:lang w:eastAsia="en-IN"/>
              </w:rPr>
            </w:pPr>
            <w:r w:rsidRPr="004B6753">
              <w:rPr>
                <w:rFonts w:ascii="Times New Roman" w:hAnsi="Times New Roman" w:cs="Times New Roman"/>
                <w:szCs w:val="24"/>
                <w:lang w:eastAsia="en-IN"/>
              </w:rPr>
              <w:t>11.58</w:t>
            </w:r>
          </w:p>
        </w:tc>
        <w:tc>
          <w:tcPr>
            <w:tcW w:w="0" w:type="auto"/>
            <w:vAlign w:val="center"/>
            <w:hideMark/>
          </w:tcPr>
          <w:p w14:paraId="75A63C7E" w14:textId="77777777" w:rsidR="00812C67" w:rsidRPr="004B6753" w:rsidRDefault="00812C67" w:rsidP="004B6753">
            <w:pPr>
              <w:pStyle w:val="NoSpacing"/>
              <w:jc w:val="center"/>
              <w:rPr>
                <w:rFonts w:ascii="Times New Roman" w:hAnsi="Times New Roman" w:cs="Times New Roman"/>
                <w:szCs w:val="24"/>
                <w:lang w:eastAsia="en-IN"/>
              </w:rPr>
            </w:pPr>
            <w:r w:rsidRPr="004B6753">
              <w:rPr>
                <w:rFonts w:ascii="Times New Roman" w:hAnsi="Times New Roman" w:cs="Times New Roman"/>
                <w:szCs w:val="24"/>
                <w:lang w:eastAsia="en-IN"/>
              </w:rPr>
              <w:t>3.53</w:t>
            </w:r>
          </w:p>
        </w:tc>
        <w:tc>
          <w:tcPr>
            <w:tcW w:w="0" w:type="auto"/>
            <w:vAlign w:val="center"/>
            <w:hideMark/>
          </w:tcPr>
          <w:p w14:paraId="056B9DDF" w14:textId="77777777" w:rsidR="00812C67" w:rsidRPr="004B6753" w:rsidRDefault="00812C67" w:rsidP="004B6753">
            <w:pPr>
              <w:pStyle w:val="NoSpacing"/>
              <w:jc w:val="center"/>
              <w:rPr>
                <w:rFonts w:ascii="Times New Roman" w:hAnsi="Times New Roman" w:cs="Times New Roman"/>
                <w:szCs w:val="24"/>
                <w:lang w:eastAsia="en-IN"/>
              </w:rPr>
            </w:pPr>
            <w:r w:rsidRPr="004B6753">
              <w:rPr>
                <w:rFonts w:ascii="Times New Roman" w:hAnsi="Times New Roman" w:cs="Times New Roman"/>
                <w:szCs w:val="24"/>
                <w:lang w:eastAsia="en-IN"/>
              </w:rPr>
              <w:t>2.25</w:t>
            </w:r>
          </w:p>
        </w:tc>
        <w:tc>
          <w:tcPr>
            <w:tcW w:w="0" w:type="auto"/>
            <w:vAlign w:val="center"/>
            <w:hideMark/>
          </w:tcPr>
          <w:p w14:paraId="0C941D4D" w14:textId="77777777" w:rsidR="00812C67" w:rsidRPr="004B6753" w:rsidRDefault="00812C67" w:rsidP="004B6753">
            <w:pPr>
              <w:pStyle w:val="NoSpacing"/>
              <w:jc w:val="center"/>
              <w:rPr>
                <w:rFonts w:ascii="Times New Roman" w:hAnsi="Times New Roman" w:cs="Times New Roman"/>
                <w:szCs w:val="24"/>
                <w:lang w:eastAsia="en-IN"/>
              </w:rPr>
            </w:pPr>
            <w:r w:rsidRPr="004B6753">
              <w:rPr>
                <w:rFonts w:ascii="Times New Roman" w:hAnsi="Times New Roman" w:cs="Times New Roman"/>
                <w:szCs w:val="24"/>
                <w:lang w:eastAsia="en-IN"/>
              </w:rPr>
              <w:t>2.39</w:t>
            </w:r>
          </w:p>
        </w:tc>
        <w:tc>
          <w:tcPr>
            <w:tcW w:w="0" w:type="auto"/>
            <w:vAlign w:val="center"/>
            <w:hideMark/>
          </w:tcPr>
          <w:p w14:paraId="2934C9AC" w14:textId="77777777" w:rsidR="00812C67" w:rsidRPr="004B6753" w:rsidRDefault="00812C67" w:rsidP="004B6753">
            <w:pPr>
              <w:pStyle w:val="NoSpacing"/>
              <w:jc w:val="center"/>
              <w:rPr>
                <w:rFonts w:ascii="Times New Roman" w:hAnsi="Times New Roman" w:cs="Times New Roman"/>
                <w:szCs w:val="24"/>
                <w:lang w:eastAsia="en-IN"/>
              </w:rPr>
            </w:pPr>
            <w:r w:rsidRPr="004B6753">
              <w:rPr>
                <w:rFonts w:ascii="Times New Roman" w:hAnsi="Times New Roman" w:cs="Times New Roman"/>
                <w:szCs w:val="24"/>
                <w:lang w:eastAsia="en-IN"/>
              </w:rPr>
              <w:t>14.08</w:t>
            </w:r>
          </w:p>
        </w:tc>
        <w:tc>
          <w:tcPr>
            <w:tcW w:w="0" w:type="auto"/>
            <w:vAlign w:val="center"/>
            <w:hideMark/>
          </w:tcPr>
          <w:p w14:paraId="692995E3" w14:textId="77777777" w:rsidR="00812C67" w:rsidRPr="004B6753" w:rsidRDefault="00812C67" w:rsidP="004B6753">
            <w:pPr>
              <w:pStyle w:val="NoSpacing"/>
              <w:jc w:val="center"/>
              <w:rPr>
                <w:rFonts w:ascii="Times New Roman" w:hAnsi="Times New Roman" w:cs="Times New Roman"/>
                <w:szCs w:val="24"/>
                <w:lang w:eastAsia="en-IN"/>
              </w:rPr>
            </w:pPr>
            <w:r w:rsidRPr="004B6753">
              <w:rPr>
                <w:rFonts w:ascii="Times New Roman" w:hAnsi="Times New Roman" w:cs="Times New Roman"/>
                <w:szCs w:val="24"/>
                <w:lang w:eastAsia="en-IN"/>
              </w:rPr>
              <w:t>52.00</w:t>
            </w:r>
          </w:p>
        </w:tc>
      </w:tr>
      <w:tr w:rsidR="00812C67" w:rsidRPr="004B6753" w14:paraId="610A4361" w14:textId="77777777" w:rsidTr="004B6753">
        <w:trPr>
          <w:trHeight w:val="221"/>
        </w:trPr>
        <w:tc>
          <w:tcPr>
            <w:tcW w:w="0" w:type="auto"/>
            <w:vMerge/>
            <w:hideMark/>
          </w:tcPr>
          <w:p w14:paraId="61D96C90" w14:textId="77777777" w:rsidR="00812C67" w:rsidRPr="004B6753" w:rsidRDefault="00812C67" w:rsidP="00B77C0B">
            <w:pPr>
              <w:pStyle w:val="NoSpacing"/>
              <w:rPr>
                <w:rFonts w:ascii="Times New Roman" w:hAnsi="Times New Roman" w:cs="Times New Roman"/>
                <w:szCs w:val="24"/>
                <w:lang w:eastAsia="en-IN"/>
              </w:rPr>
            </w:pPr>
          </w:p>
        </w:tc>
        <w:tc>
          <w:tcPr>
            <w:tcW w:w="0" w:type="auto"/>
            <w:vAlign w:val="center"/>
            <w:hideMark/>
          </w:tcPr>
          <w:p w14:paraId="6D26C486" w14:textId="77777777" w:rsidR="00812C67" w:rsidRPr="004B6753" w:rsidRDefault="00812C67" w:rsidP="004B6753">
            <w:pPr>
              <w:pStyle w:val="NoSpacing"/>
              <w:jc w:val="center"/>
              <w:rPr>
                <w:rFonts w:ascii="Times New Roman" w:hAnsi="Times New Roman" w:cs="Times New Roman"/>
                <w:szCs w:val="24"/>
                <w:lang w:eastAsia="en-IN"/>
              </w:rPr>
            </w:pPr>
            <w:r w:rsidRPr="004B6753">
              <w:rPr>
                <w:rFonts w:ascii="Times New Roman" w:hAnsi="Times New Roman" w:cs="Times New Roman"/>
                <w:i/>
                <w:iCs/>
                <w:szCs w:val="24"/>
                <w:lang w:eastAsia="en-IN"/>
              </w:rPr>
              <w:t>(7.08)</w:t>
            </w:r>
          </w:p>
        </w:tc>
        <w:tc>
          <w:tcPr>
            <w:tcW w:w="0" w:type="auto"/>
            <w:vAlign w:val="center"/>
            <w:hideMark/>
          </w:tcPr>
          <w:p w14:paraId="034E3E52" w14:textId="77777777" w:rsidR="00812C67" w:rsidRPr="004B6753" w:rsidRDefault="00812C67" w:rsidP="004B6753">
            <w:pPr>
              <w:pStyle w:val="NoSpacing"/>
              <w:jc w:val="center"/>
              <w:rPr>
                <w:rFonts w:ascii="Times New Roman" w:hAnsi="Times New Roman" w:cs="Times New Roman"/>
                <w:szCs w:val="24"/>
                <w:lang w:eastAsia="en-IN"/>
              </w:rPr>
            </w:pPr>
            <w:r w:rsidRPr="004B6753">
              <w:rPr>
                <w:rFonts w:ascii="Times New Roman" w:hAnsi="Times New Roman" w:cs="Times New Roman"/>
                <w:i/>
                <w:iCs/>
                <w:szCs w:val="24"/>
                <w:lang w:eastAsia="en-IN"/>
              </w:rPr>
              <w:t>(10.84)</w:t>
            </w:r>
          </w:p>
        </w:tc>
        <w:tc>
          <w:tcPr>
            <w:tcW w:w="0" w:type="auto"/>
            <w:vAlign w:val="center"/>
            <w:hideMark/>
          </w:tcPr>
          <w:p w14:paraId="6BB98A28" w14:textId="77777777" w:rsidR="00812C67" w:rsidRPr="004B6753" w:rsidRDefault="00812C67" w:rsidP="004B6753">
            <w:pPr>
              <w:pStyle w:val="NoSpacing"/>
              <w:jc w:val="center"/>
              <w:rPr>
                <w:rFonts w:ascii="Times New Roman" w:hAnsi="Times New Roman" w:cs="Times New Roman"/>
                <w:szCs w:val="24"/>
                <w:lang w:eastAsia="en-IN"/>
              </w:rPr>
            </w:pPr>
            <w:r w:rsidRPr="004B6753">
              <w:rPr>
                <w:rFonts w:ascii="Times New Roman" w:hAnsi="Times New Roman" w:cs="Times New Roman"/>
                <w:i/>
                <w:iCs/>
                <w:szCs w:val="24"/>
                <w:lang w:eastAsia="en-IN"/>
              </w:rPr>
              <w:t>(5.52)</w:t>
            </w:r>
          </w:p>
        </w:tc>
        <w:tc>
          <w:tcPr>
            <w:tcW w:w="0" w:type="auto"/>
            <w:vAlign w:val="center"/>
            <w:hideMark/>
          </w:tcPr>
          <w:p w14:paraId="47F60D7B" w14:textId="77777777" w:rsidR="00812C67" w:rsidRPr="004B6753" w:rsidRDefault="00812C67" w:rsidP="004B6753">
            <w:pPr>
              <w:pStyle w:val="NoSpacing"/>
              <w:jc w:val="center"/>
              <w:rPr>
                <w:rFonts w:ascii="Times New Roman" w:hAnsi="Times New Roman" w:cs="Times New Roman"/>
                <w:szCs w:val="24"/>
                <w:lang w:eastAsia="en-IN"/>
              </w:rPr>
            </w:pPr>
            <w:r w:rsidRPr="004B6753">
              <w:rPr>
                <w:rFonts w:ascii="Times New Roman" w:hAnsi="Times New Roman" w:cs="Times New Roman"/>
                <w:i/>
                <w:iCs/>
                <w:szCs w:val="24"/>
                <w:lang w:eastAsia="en-IN"/>
              </w:rPr>
              <w:t>(9.75)</w:t>
            </w:r>
          </w:p>
        </w:tc>
        <w:tc>
          <w:tcPr>
            <w:tcW w:w="0" w:type="auto"/>
            <w:vAlign w:val="center"/>
            <w:hideMark/>
          </w:tcPr>
          <w:p w14:paraId="456FF649" w14:textId="77777777" w:rsidR="00812C67" w:rsidRPr="004B6753" w:rsidRDefault="00812C67" w:rsidP="004B6753">
            <w:pPr>
              <w:pStyle w:val="NoSpacing"/>
              <w:jc w:val="center"/>
              <w:rPr>
                <w:rFonts w:ascii="Times New Roman" w:hAnsi="Times New Roman" w:cs="Times New Roman"/>
                <w:szCs w:val="24"/>
                <w:lang w:eastAsia="en-IN"/>
              </w:rPr>
            </w:pPr>
            <w:r w:rsidRPr="004B6753">
              <w:rPr>
                <w:rFonts w:ascii="Times New Roman" w:hAnsi="Times New Roman" w:cs="Times New Roman"/>
                <w:i/>
                <w:iCs/>
                <w:szCs w:val="24"/>
                <w:lang w:eastAsia="en-IN"/>
              </w:rPr>
              <w:t>(1.75)</w:t>
            </w:r>
          </w:p>
        </w:tc>
        <w:tc>
          <w:tcPr>
            <w:tcW w:w="0" w:type="auto"/>
            <w:vAlign w:val="center"/>
            <w:hideMark/>
          </w:tcPr>
          <w:p w14:paraId="734816BF" w14:textId="77777777" w:rsidR="00812C67" w:rsidRPr="004B6753" w:rsidRDefault="00812C67" w:rsidP="004B6753">
            <w:pPr>
              <w:pStyle w:val="NoSpacing"/>
              <w:jc w:val="center"/>
              <w:rPr>
                <w:rFonts w:ascii="Times New Roman" w:hAnsi="Times New Roman" w:cs="Times New Roman"/>
                <w:szCs w:val="24"/>
                <w:lang w:eastAsia="en-IN"/>
              </w:rPr>
            </w:pPr>
            <w:r w:rsidRPr="004B6753">
              <w:rPr>
                <w:rFonts w:ascii="Times New Roman" w:hAnsi="Times New Roman" w:cs="Times New Roman"/>
                <w:i/>
                <w:iCs/>
                <w:szCs w:val="24"/>
                <w:lang w:eastAsia="en-IN"/>
              </w:rPr>
              <w:t>(22.27)</w:t>
            </w:r>
          </w:p>
        </w:tc>
        <w:tc>
          <w:tcPr>
            <w:tcW w:w="0" w:type="auto"/>
            <w:vAlign w:val="center"/>
            <w:hideMark/>
          </w:tcPr>
          <w:p w14:paraId="2F9DA17D" w14:textId="77777777" w:rsidR="00812C67" w:rsidRPr="004B6753" w:rsidRDefault="00812C67" w:rsidP="004B6753">
            <w:pPr>
              <w:pStyle w:val="NoSpacing"/>
              <w:jc w:val="center"/>
              <w:rPr>
                <w:rFonts w:ascii="Times New Roman" w:hAnsi="Times New Roman" w:cs="Times New Roman"/>
                <w:szCs w:val="24"/>
                <w:lang w:eastAsia="en-IN"/>
              </w:rPr>
            </w:pPr>
            <w:r w:rsidRPr="004B6753">
              <w:rPr>
                <w:rFonts w:ascii="Times New Roman" w:hAnsi="Times New Roman" w:cs="Times New Roman"/>
                <w:i/>
                <w:iCs/>
                <w:szCs w:val="24"/>
                <w:lang w:eastAsia="en-IN"/>
              </w:rPr>
              <w:t>(6.79)</w:t>
            </w:r>
          </w:p>
        </w:tc>
        <w:tc>
          <w:tcPr>
            <w:tcW w:w="0" w:type="auto"/>
            <w:vAlign w:val="center"/>
            <w:hideMark/>
          </w:tcPr>
          <w:p w14:paraId="4D48F4E0" w14:textId="77777777" w:rsidR="00812C67" w:rsidRPr="004B6753" w:rsidRDefault="00812C67" w:rsidP="004B6753">
            <w:pPr>
              <w:pStyle w:val="NoSpacing"/>
              <w:jc w:val="center"/>
              <w:rPr>
                <w:rFonts w:ascii="Times New Roman" w:hAnsi="Times New Roman" w:cs="Times New Roman"/>
                <w:szCs w:val="24"/>
                <w:lang w:eastAsia="en-IN"/>
              </w:rPr>
            </w:pPr>
            <w:r w:rsidRPr="004B6753">
              <w:rPr>
                <w:rFonts w:ascii="Times New Roman" w:hAnsi="Times New Roman" w:cs="Times New Roman"/>
                <w:i/>
                <w:iCs/>
                <w:szCs w:val="24"/>
                <w:lang w:eastAsia="en-IN"/>
              </w:rPr>
              <w:t>(4.33)</w:t>
            </w:r>
          </w:p>
        </w:tc>
        <w:tc>
          <w:tcPr>
            <w:tcW w:w="0" w:type="auto"/>
            <w:vAlign w:val="center"/>
            <w:hideMark/>
          </w:tcPr>
          <w:p w14:paraId="02E7259F" w14:textId="77777777" w:rsidR="00812C67" w:rsidRPr="004B6753" w:rsidRDefault="00812C67" w:rsidP="004B6753">
            <w:pPr>
              <w:pStyle w:val="NoSpacing"/>
              <w:jc w:val="center"/>
              <w:rPr>
                <w:rFonts w:ascii="Times New Roman" w:hAnsi="Times New Roman" w:cs="Times New Roman"/>
                <w:szCs w:val="24"/>
                <w:lang w:eastAsia="en-IN"/>
              </w:rPr>
            </w:pPr>
            <w:r w:rsidRPr="004B6753">
              <w:rPr>
                <w:rFonts w:ascii="Times New Roman" w:hAnsi="Times New Roman" w:cs="Times New Roman"/>
                <w:i/>
                <w:iCs/>
                <w:szCs w:val="24"/>
                <w:lang w:eastAsia="en-IN"/>
              </w:rPr>
              <w:t>(4.59)</w:t>
            </w:r>
          </w:p>
        </w:tc>
        <w:tc>
          <w:tcPr>
            <w:tcW w:w="0" w:type="auto"/>
            <w:vAlign w:val="center"/>
            <w:hideMark/>
          </w:tcPr>
          <w:p w14:paraId="789AFBFB" w14:textId="77777777" w:rsidR="00812C67" w:rsidRPr="004B6753" w:rsidRDefault="00812C67" w:rsidP="004B6753">
            <w:pPr>
              <w:pStyle w:val="NoSpacing"/>
              <w:jc w:val="center"/>
              <w:rPr>
                <w:rFonts w:ascii="Times New Roman" w:hAnsi="Times New Roman" w:cs="Times New Roman"/>
                <w:szCs w:val="24"/>
                <w:lang w:eastAsia="en-IN"/>
              </w:rPr>
            </w:pPr>
            <w:r w:rsidRPr="004B6753">
              <w:rPr>
                <w:rFonts w:ascii="Times New Roman" w:hAnsi="Times New Roman" w:cs="Times New Roman"/>
                <w:i/>
                <w:iCs/>
                <w:szCs w:val="24"/>
                <w:lang w:eastAsia="en-IN"/>
              </w:rPr>
              <w:t>(27.08)</w:t>
            </w:r>
          </w:p>
        </w:tc>
        <w:tc>
          <w:tcPr>
            <w:tcW w:w="0" w:type="auto"/>
            <w:vAlign w:val="center"/>
            <w:hideMark/>
          </w:tcPr>
          <w:p w14:paraId="6CC1C75E" w14:textId="77777777" w:rsidR="00812C67" w:rsidRPr="004B6753" w:rsidRDefault="00812C67" w:rsidP="004B6753">
            <w:pPr>
              <w:pStyle w:val="NoSpacing"/>
              <w:jc w:val="center"/>
              <w:rPr>
                <w:rFonts w:ascii="Times New Roman" w:hAnsi="Times New Roman" w:cs="Times New Roman"/>
                <w:szCs w:val="24"/>
                <w:lang w:eastAsia="en-IN"/>
              </w:rPr>
            </w:pPr>
            <w:r w:rsidRPr="004B6753">
              <w:rPr>
                <w:rFonts w:ascii="Times New Roman" w:hAnsi="Times New Roman" w:cs="Times New Roman"/>
                <w:i/>
                <w:iCs/>
                <w:szCs w:val="24"/>
                <w:lang w:eastAsia="en-IN"/>
              </w:rPr>
              <w:t>(100.00)</w:t>
            </w:r>
          </w:p>
        </w:tc>
      </w:tr>
      <w:tr w:rsidR="00416FA8" w:rsidRPr="004B6753" w14:paraId="54E2094C" w14:textId="77777777" w:rsidTr="004B6753">
        <w:trPr>
          <w:trHeight w:val="221"/>
        </w:trPr>
        <w:tc>
          <w:tcPr>
            <w:tcW w:w="0" w:type="auto"/>
            <w:hideMark/>
          </w:tcPr>
          <w:p w14:paraId="61C7BF2C" w14:textId="77777777" w:rsidR="00416FA8" w:rsidRPr="004B6753" w:rsidRDefault="00416FA8" w:rsidP="00B77C0B">
            <w:pPr>
              <w:pStyle w:val="NoSpacing"/>
              <w:rPr>
                <w:rFonts w:ascii="Times New Roman" w:hAnsi="Times New Roman" w:cs="Times New Roman"/>
                <w:szCs w:val="24"/>
                <w:lang w:eastAsia="en-IN"/>
              </w:rPr>
            </w:pPr>
            <w:r w:rsidRPr="004B6753">
              <w:rPr>
                <w:rFonts w:ascii="Times New Roman" w:hAnsi="Times New Roman" w:cs="Times New Roman"/>
                <w:szCs w:val="24"/>
                <w:lang w:eastAsia="en-IN"/>
              </w:rPr>
              <w:t>1965-66</w:t>
            </w:r>
          </w:p>
        </w:tc>
        <w:tc>
          <w:tcPr>
            <w:tcW w:w="0" w:type="auto"/>
            <w:vAlign w:val="center"/>
            <w:hideMark/>
          </w:tcPr>
          <w:p w14:paraId="46FDDA25" w14:textId="77777777" w:rsidR="00416FA8" w:rsidRPr="004B6753" w:rsidRDefault="00416FA8" w:rsidP="004B6753">
            <w:pPr>
              <w:pStyle w:val="NoSpacing"/>
              <w:jc w:val="center"/>
              <w:rPr>
                <w:rFonts w:ascii="Times New Roman" w:hAnsi="Times New Roman" w:cs="Times New Roman"/>
                <w:szCs w:val="24"/>
                <w:lang w:eastAsia="en-IN"/>
              </w:rPr>
            </w:pPr>
            <w:r w:rsidRPr="004B6753">
              <w:rPr>
                <w:rFonts w:ascii="Times New Roman" w:hAnsi="Times New Roman" w:cs="Times New Roman"/>
                <w:szCs w:val="24"/>
                <w:lang w:eastAsia="en-IN"/>
              </w:rPr>
              <w:t>4.03</w:t>
            </w:r>
          </w:p>
        </w:tc>
        <w:tc>
          <w:tcPr>
            <w:tcW w:w="0" w:type="auto"/>
            <w:vAlign w:val="center"/>
            <w:hideMark/>
          </w:tcPr>
          <w:p w14:paraId="13A68B25" w14:textId="77777777" w:rsidR="00416FA8" w:rsidRPr="004B6753" w:rsidRDefault="00416FA8" w:rsidP="004B6753">
            <w:pPr>
              <w:pStyle w:val="NoSpacing"/>
              <w:jc w:val="center"/>
              <w:rPr>
                <w:rFonts w:ascii="Times New Roman" w:hAnsi="Times New Roman" w:cs="Times New Roman"/>
                <w:szCs w:val="24"/>
                <w:lang w:eastAsia="en-IN"/>
              </w:rPr>
            </w:pPr>
            <w:r w:rsidRPr="004B6753">
              <w:rPr>
                <w:rFonts w:ascii="Times New Roman" w:hAnsi="Times New Roman" w:cs="Times New Roman"/>
                <w:szCs w:val="24"/>
                <w:lang w:eastAsia="en-IN"/>
              </w:rPr>
              <w:t>21.81</w:t>
            </w:r>
          </w:p>
        </w:tc>
        <w:tc>
          <w:tcPr>
            <w:tcW w:w="0" w:type="auto"/>
            <w:vAlign w:val="center"/>
            <w:hideMark/>
          </w:tcPr>
          <w:p w14:paraId="7734CBC7" w14:textId="77777777" w:rsidR="00416FA8" w:rsidRPr="004B6753" w:rsidRDefault="00416FA8" w:rsidP="004B6753">
            <w:pPr>
              <w:pStyle w:val="NoSpacing"/>
              <w:jc w:val="center"/>
              <w:rPr>
                <w:rFonts w:ascii="Times New Roman" w:hAnsi="Times New Roman" w:cs="Times New Roman"/>
                <w:szCs w:val="24"/>
                <w:lang w:eastAsia="en-IN"/>
              </w:rPr>
            </w:pPr>
            <w:r w:rsidRPr="004B6753">
              <w:rPr>
                <w:rFonts w:ascii="Times New Roman" w:hAnsi="Times New Roman" w:cs="Times New Roman"/>
                <w:szCs w:val="24"/>
                <w:lang w:eastAsia="en-IN"/>
              </w:rPr>
              <w:t>2.95</w:t>
            </w:r>
          </w:p>
        </w:tc>
        <w:tc>
          <w:tcPr>
            <w:tcW w:w="0" w:type="auto"/>
            <w:vAlign w:val="center"/>
            <w:hideMark/>
          </w:tcPr>
          <w:p w14:paraId="3F7A7A1E" w14:textId="77777777" w:rsidR="00416FA8" w:rsidRPr="004B6753" w:rsidRDefault="00416FA8" w:rsidP="004B6753">
            <w:pPr>
              <w:pStyle w:val="NoSpacing"/>
              <w:jc w:val="center"/>
              <w:rPr>
                <w:rFonts w:ascii="Times New Roman" w:hAnsi="Times New Roman" w:cs="Times New Roman"/>
                <w:szCs w:val="24"/>
                <w:lang w:eastAsia="en-IN"/>
              </w:rPr>
            </w:pPr>
            <w:r w:rsidRPr="004B6753">
              <w:rPr>
                <w:rFonts w:ascii="Times New Roman" w:hAnsi="Times New Roman" w:cs="Times New Roman"/>
                <w:szCs w:val="24"/>
                <w:lang w:eastAsia="en-IN"/>
              </w:rPr>
              <w:t>8.31</w:t>
            </w:r>
          </w:p>
        </w:tc>
        <w:tc>
          <w:tcPr>
            <w:tcW w:w="0" w:type="auto"/>
            <w:vAlign w:val="center"/>
            <w:hideMark/>
          </w:tcPr>
          <w:p w14:paraId="58ABAF3B" w14:textId="77777777" w:rsidR="00416FA8" w:rsidRPr="004B6753" w:rsidRDefault="00416FA8" w:rsidP="004B6753">
            <w:pPr>
              <w:pStyle w:val="NoSpacing"/>
              <w:jc w:val="center"/>
              <w:rPr>
                <w:rFonts w:ascii="Times New Roman" w:hAnsi="Times New Roman" w:cs="Times New Roman"/>
                <w:szCs w:val="24"/>
                <w:lang w:eastAsia="en-IN"/>
              </w:rPr>
            </w:pPr>
            <w:r w:rsidRPr="004B6753">
              <w:rPr>
                <w:rFonts w:ascii="Times New Roman" w:hAnsi="Times New Roman" w:cs="Times New Roman"/>
                <w:szCs w:val="24"/>
                <w:lang w:eastAsia="en-IN"/>
              </w:rPr>
              <w:t>2.04</w:t>
            </w:r>
          </w:p>
        </w:tc>
        <w:tc>
          <w:tcPr>
            <w:tcW w:w="0" w:type="auto"/>
            <w:vAlign w:val="center"/>
            <w:hideMark/>
          </w:tcPr>
          <w:p w14:paraId="4D6E5E92" w14:textId="77777777" w:rsidR="00416FA8" w:rsidRPr="004B6753" w:rsidRDefault="00416FA8" w:rsidP="004B6753">
            <w:pPr>
              <w:pStyle w:val="NoSpacing"/>
              <w:jc w:val="center"/>
              <w:rPr>
                <w:rFonts w:ascii="Times New Roman" w:hAnsi="Times New Roman" w:cs="Times New Roman"/>
                <w:szCs w:val="24"/>
                <w:lang w:eastAsia="en-IN"/>
              </w:rPr>
            </w:pPr>
            <w:r w:rsidRPr="004B6753">
              <w:rPr>
                <w:rFonts w:ascii="Times New Roman" w:hAnsi="Times New Roman" w:cs="Times New Roman"/>
                <w:szCs w:val="24"/>
                <w:lang w:eastAsia="en-IN"/>
              </w:rPr>
              <w:t>19.00</w:t>
            </w:r>
          </w:p>
        </w:tc>
        <w:tc>
          <w:tcPr>
            <w:tcW w:w="0" w:type="auto"/>
            <w:vAlign w:val="center"/>
            <w:hideMark/>
          </w:tcPr>
          <w:p w14:paraId="1E2EF5B6" w14:textId="77777777" w:rsidR="00416FA8" w:rsidRPr="004B6753" w:rsidRDefault="00416FA8" w:rsidP="004B6753">
            <w:pPr>
              <w:pStyle w:val="NoSpacing"/>
              <w:jc w:val="center"/>
              <w:rPr>
                <w:rFonts w:ascii="Times New Roman" w:hAnsi="Times New Roman" w:cs="Times New Roman"/>
                <w:szCs w:val="24"/>
                <w:lang w:eastAsia="en-IN"/>
              </w:rPr>
            </w:pPr>
            <w:r w:rsidRPr="004B6753">
              <w:rPr>
                <w:rFonts w:ascii="Times New Roman" w:hAnsi="Times New Roman" w:cs="Times New Roman"/>
                <w:szCs w:val="24"/>
                <w:lang w:eastAsia="en-IN"/>
              </w:rPr>
              <w:t>5.30</w:t>
            </w:r>
          </w:p>
        </w:tc>
        <w:tc>
          <w:tcPr>
            <w:tcW w:w="0" w:type="auto"/>
            <w:vAlign w:val="center"/>
            <w:hideMark/>
          </w:tcPr>
          <w:p w14:paraId="0A950576" w14:textId="77777777" w:rsidR="00416FA8" w:rsidRPr="004B6753" w:rsidRDefault="00416FA8" w:rsidP="004B6753">
            <w:pPr>
              <w:pStyle w:val="NoSpacing"/>
              <w:jc w:val="center"/>
              <w:rPr>
                <w:rFonts w:ascii="Times New Roman" w:hAnsi="Times New Roman" w:cs="Times New Roman"/>
                <w:szCs w:val="24"/>
                <w:lang w:eastAsia="en-IN"/>
              </w:rPr>
            </w:pPr>
            <w:r w:rsidRPr="004B6753">
              <w:rPr>
                <w:rFonts w:ascii="Times New Roman" w:hAnsi="Times New Roman" w:cs="Times New Roman"/>
                <w:szCs w:val="24"/>
                <w:lang w:eastAsia="en-IN"/>
              </w:rPr>
              <w:t>3.98</w:t>
            </w:r>
          </w:p>
        </w:tc>
        <w:tc>
          <w:tcPr>
            <w:tcW w:w="0" w:type="auto"/>
            <w:vAlign w:val="center"/>
            <w:hideMark/>
          </w:tcPr>
          <w:p w14:paraId="11FF3824" w14:textId="77777777" w:rsidR="00416FA8" w:rsidRPr="004B6753" w:rsidRDefault="00416FA8" w:rsidP="004B6753">
            <w:pPr>
              <w:pStyle w:val="NoSpacing"/>
              <w:jc w:val="center"/>
              <w:rPr>
                <w:rFonts w:ascii="Times New Roman" w:hAnsi="Times New Roman" w:cs="Times New Roman"/>
                <w:szCs w:val="24"/>
                <w:lang w:eastAsia="en-IN"/>
              </w:rPr>
            </w:pPr>
            <w:r w:rsidRPr="004B6753">
              <w:rPr>
                <w:rFonts w:ascii="Times New Roman" w:hAnsi="Times New Roman" w:cs="Times New Roman"/>
                <w:szCs w:val="24"/>
                <w:lang w:eastAsia="en-IN"/>
              </w:rPr>
              <w:t>5.79</w:t>
            </w:r>
          </w:p>
        </w:tc>
        <w:tc>
          <w:tcPr>
            <w:tcW w:w="0" w:type="auto"/>
            <w:vAlign w:val="center"/>
            <w:hideMark/>
          </w:tcPr>
          <w:p w14:paraId="0719805E" w14:textId="77777777" w:rsidR="00416FA8" w:rsidRPr="004B6753" w:rsidRDefault="00416FA8" w:rsidP="004B6753">
            <w:pPr>
              <w:pStyle w:val="NoSpacing"/>
              <w:jc w:val="center"/>
              <w:rPr>
                <w:rFonts w:ascii="Times New Roman" w:hAnsi="Times New Roman" w:cs="Times New Roman"/>
                <w:szCs w:val="24"/>
                <w:lang w:eastAsia="en-IN"/>
              </w:rPr>
            </w:pPr>
            <w:r w:rsidRPr="004B6753">
              <w:rPr>
                <w:rFonts w:ascii="Times New Roman" w:hAnsi="Times New Roman" w:cs="Times New Roman"/>
                <w:szCs w:val="24"/>
                <w:lang w:eastAsia="en-IN"/>
              </w:rPr>
              <w:t>27.18</w:t>
            </w:r>
          </w:p>
        </w:tc>
        <w:tc>
          <w:tcPr>
            <w:tcW w:w="0" w:type="auto"/>
            <w:vAlign w:val="center"/>
            <w:hideMark/>
          </w:tcPr>
          <w:p w14:paraId="785E4DF8" w14:textId="77777777" w:rsidR="00416FA8" w:rsidRPr="004B6753" w:rsidRDefault="00416FA8" w:rsidP="004B6753">
            <w:pPr>
              <w:pStyle w:val="NoSpacing"/>
              <w:jc w:val="center"/>
              <w:rPr>
                <w:rFonts w:ascii="Times New Roman" w:hAnsi="Times New Roman" w:cs="Times New Roman"/>
                <w:szCs w:val="24"/>
                <w:lang w:eastAsia="en-IN"/>
              </w:rPr>
            </w:pPr>
            <w:r w:rsidRPr="004B6753">
              <w:rPr>
                <w:rFonts w:ascii="Times New Roman" w:hAnsi="Times New Roman" w:cs="Times New Roman"/>
                <w:szCs w:val="24"/>
                <w:lang w:eastAsia="en-IN"/>
              </w:rPr>
              <w:t>100.39</w:t>
            </w:r>
          </w:p>
        </w:tc>
      </w:tr>
      <w:tr w:rsidR="00416FA8" w:rsidRPr="004B6753" w14:paraId="652BF2EC" w14:textId="77777777" w:rsidTr="004B6753">
        <w:trPr>
          <w:trHeight w:val="209"/>
        </w:trPr>
        <w:tc>
          <w:tcPr>
            <w:tcW w:w="0" w:type="auto"/>
            <w:hideMark/>
          </w:tcPr>
          <w:p w14:paraId="7E8B7927" w14:textId="77777777" w:rsidR="00416FA8" w:rsidRPr="004B6753" w:rsidRDefault="00416FA8" w:rsidP="00B77C0B">
            <w:pPr>
              <w:pStyle w:val="NoSpacing"/>
              <w:rPr>
                <w:rFonts w:ascii="Times New Roman" w:hAnsi="Times New Roman" w:cs="Times New Roman"/>
                <w:szCs w:val="24"/>
                <w:lang w:eastAsia="en-IN"/>
              </w:rPr>
            </w:pPr>
            <w:r w:rsidRPr="004B6753">
              <w:rPr>
                <w:rFonts w:ascii="Times New Roman" w:hAnsi="Times New Roman" w:cs="Times New Roman"/>
                <w:szCs w:val="24"/>
                <w:lang w:eastAsia="en-IN"/>
              </w:rPr>
              <w:t>1966-67</w:t>
            </w:r>
          </w:p>
        </w:tc>
        <w:tc>
          <w:tcPr>
            <w:tcW w:w="0" w:type="auto"/>
            <w:vAlign w:val="center"/>
            <w:hideMark/>
          </w:tcPr>
          <w:p w14:paraId="47B3D77C" w14:textId="77777777" w:rsidR="00416FA8" w:rsidRPr="004B6753" w:rsidRDefault="00416FA8" w:rsidP="004B6753">
            <w:pPr>
              <w:pStyle w:val="NoSpacing"/>
              <w:jc w:val="center"/>
              <w:rPr>
                <w:rFonts w:ascii="Times New Roman" w:hAnsi="Times New Roman" w:cs="Times New Roman"/>
                <w:szCs w:val="24"/>
                <w:lang w:eastAsia="en-IN"/>
              </w:rPr>
            </w:pPr>
            <w:r w:rsidRPr="004B6753">
              <w:rPr>
                <w:rFonts w:ascii="Times New Roman" w:hAnsi="Times New Roman" w:cs="Times New Roman"/>
                <w:szCs w:val="24"/>
                <w:lang w:eastAsia="en-IN"/>
              </w:rPr>
              <w:t>4.55</w:t>
            </w:r>
          </w:p>
        </w:tc>
        <w:tc>
          <w:tcPr>
            <w:tcW w:w="0" w:type="auto"/>
            <w:vAlign w:val="center"/>
            <w:hideMark/>
          </w:tcPr>
          <w:p w14:paraId="595E95E0" w14:textId="77777777" w:rsidR="00416FA8" w:rsidRPr="004B6753" w:rsidRDefault="00416FA8" w:rsidP="004B6753">
            <w:pPr>
              <w:pStyle w:val="NoSpacing"/>
              <w:jc w:val="center"/>
              <w:rPr>
                <w:rFonts w:ascii="Times New Roman" w:hAnsi="Times New Roman" w:cs="Times New Roman"/>
                <w:szCs w:val="24"/>
                <w:lang w:eastAsia="en-IN"/>
              </w:rPr>
            </w:pPr>
            <w:r w:rsidRPr="004B6753">
              <w:rPr>
                <w:rFonts w:ascii="Times New Roman" w:hAnsi="Times New Roman" w:cs="Times New Roman"/>
                <w:szCs w:val="24"/>
                <w:lang w:eastAsia="en-IN"/>
              </w:rPr>
              <w:t>19.55</w:t>
            </w:r>
          </w:p>
        </w:tc>
        <w:tc>
          <w:tcPr>
            <w:tcW w:w="0" w:type="auto"/>
            <w:vAlign w:val="center"/>
            <w:hideMark/>
          </w:tcPr>
          <w:p w14:paraId="1CA88672" w14:textId="77777777" w:rsidR="00416FA8" w:rsidRPr="004B6753" w:rsidRDefault="00416FA8" w:rsidP="004B6753">
            <w:pPr>
              <w:pStyle w:val="NoSpacing"/>
              <w:jc w:val="center"/>
              <w:rPr>
                <w:rFonts w:ascii="Times New Roman" w:hAnsi="Times New Roman" w:cs="Times New Roman"/>
                <w:szCs w:val="24"/>
                <w:lang w:eastAsia="en-IN"/>
              </w:rPr>
            </w:pPr>
            <w:r w:rsidRPr="004B6753">
              <w:rPr>
                <w:rFonts w:ascii="Times New Roman" w:hAnsi="Times New Roman" w:cs="Times New Roman"/>
                <w:szCs w:val="24"/>
                <w:lang w:eastAsia="en-IN"/>
              </w:rPr>
              <w:t>3.30</w:t>
            </w:r>
          </w:p>
        </w:tc>
        <w:tc>
          <w:tcPr>
            <w:tcW w:w="0" w:type="auto"/>
            <w:vAlign w:val="center"/>
            <w:hideMark/>
          </w:tcPr>
          <w:p w14:paraId="083A959D" w14:textId="77777777" w:rsidR="00416FA8" w:rsidRPr="004B6753" w:rsidRDefault="00416FA8" w:rsidP="004B6753">
            <w:pPr>
              <w:pStyle w:val="NoSpacing"/>
              <w:jc w:val="center"/>
              <w:rPr>
                <w:rFonts w:ascii="Times New Roman" w:hAnsi="Times New Roman" w:cs="Times New Roman"/>
                <w:szCs w:val="24"/>
                <w:lang w:eastAsia="en-IN"/>
              </w:rPr>
            </w:pPr>
            <w:r w:rsidRPr="004B6753">
              <w:rPr>
                <w:rFonts w:ascii="Times New Roman" w:hAnsi="Times New Roman" w:cs="Times New Roman"/>
                <w:szCs w:val="24"/>
                <w:lang w:eastAsia="en-IN"/>
              </w:rPr>
              <w:t>7.72</w:t>
            </w:r>
          </w:p>
        </w:tc>
        <w:tc>
          <w:tcPr>
            <w:tcW w:w="0" w:type="auto"/>
            <w:vAlign w:val="center"/>
            <w:hideMark/>
          </w:tcPr>
          <w:p w14:paraId="4A8A657A" w14:textId="77777777" w:rsidR="00416FA8" w:rsidRPr="004B6753" w:rsidRDefault="00416FA8" w:rsidP="004B6753">
            <w:pPr>
              <w:pStyle w:val="NoSpacing"/>
              <w:jc w:val="center"/>
              <w:rPr>
                <w:rFonts w:ascii="Times New Roman" w:hAnsi="Times New Roman" w:cs="Times New Roman"/>
                <w:szCs w:val="24"/>
                <w:lang w:eastAsia="en-IN"/>
              </w:rPr>
            </w:pPr>
            <w:r w:rsidRPr="004B6753">
              <w:rPr>
                <w:rFonts w:ascii="Times New Roman" w:hAnsi="Times New Roman" w:cs="Times New Roman"/>
                <w:szCs w:val="24"/>
                <w:lang w:eastAsia="en-IN"/>
              </w:rPr>
              <w:t>2.45</w:t>
            </w:r>
          </w:p>
        </w:tc>
        <w:tc>
          <w:tcPr>
            <w:tcW w:w="0" w:type="auto"/>
            <w:vAlign w:val="center"/>
            <w:hideMark/>
          </w:tcPr>
          <w:p w14:paraId="3A63D110" w14:textId="77777777" w:rsidR="00416FA8" w:rsidRPr="004B6753" w:rsidRDefault="00416FA8" w:rsidP="004B6753">
            <w:pPr>
              <w:pStyle w:val="NoSpacing"/>
              <w:jc w:val="center"/>
              <w:rPr>
                <w:rFonts w:ascii="Times New Roman" w:hAnsi="Times New Roman" w:cs="Times New Roman"/>
                <w:szCs w:val="24"/>
                <w:lang w:eastAsia="en-IN"/>
              </w:rPr>
            </w:pPr>
            <w:r w:rsidRPr="004B6753">
              <w:rPr>
                <w:rFonts w:ascii="Times New Roman" w:hAnsi="Times New Roman" w:cs="Times New Roman"/>
                <w:szCs w:val="24"/>
                <w:lang w:eastAsia="en-IN"/>
              </w:rPr>
              <w:t>21.43</w:t>
            </w:r>
          </w:p>
        </w:tc>
        <w:tc>
          <w:tcPr>
            <w:tcW w:w="0" w:type="auto"/>
            <w:vAlign w:val="center"/>
            <w:hideMark/>
          </w:tcPr>
          <w:p w14:paraId="22582131" w14:textId="77777777" w:rsidR="00416FA8" w:rsidRPr="004B6753" w:rsidRDefault="00416FA8" w:rsidP="004B6753">
            <w:pPr>
              <w:pStyle w:val="NoSpacing"/>
              <w:jc w:val="center"/>
              <w:rPr>
                <w:rFonts w:ascii="Times New Roman" w:hAnsi="Times New Roman" w:cs="Times New Roman"/>
                <w:szCs w:val="24"/>
                <w:lang w:eastAsia="en-IN"/>
              </w:rPr>
            </w:pPr>
            <w:r w:rsidRPr="004B6753">
              <w:rPr>
                <w:rFonts w:ascii="Times New Roman" w:hAnsi="Times New Roman" w:cs="Times New Roman"/>
                <w:szCs w:val="24"/>
                <w:lang w:eastAsia="en-IN"/>
              </w:rPr>
              <w:t>6.04</w:t>
            </w:r>
          </w:p>
        </w:tc>
        <w:tc>
          <w:tcPr>
            <w:tcW w:w="0" w:type="auto"/>
            <w:vAlign w:val="center"/>
            <w:hideMark/>
          </w:tcPr>
          <w:p w14:paraId="29FE0821" w14:textId="77777777" w:rsidR="00416FA8" w:rsidRPr="004B6753" w:rsidRDefault="00416FA8" w:rsidP="004B6753">
            <w:pPr>
              <w:pStyle w:val="NoSpacing"/>
              <w:jc w:val="center"/>
              <w:rPr>
                <w:rFonts w:ascii="Times New Roman" w:hAnsi="Times New Roman" w:cs="Times New Roman"/>
                <w:szCs w:val="24"/>
                <w:lang w:eastAsia="en-IN"/>
              </w:rPr>
            </w:pPr>
            <w:r w:rsidRPr="004B6753">
              <w:rPr>
                <w:rFonts w:ascii="Times New Roman" w:hAnsi="Times New Roman" w:cs="Times New Roman"/>
                <w:szCs w:val="24"/>
                <w:lang w:eastAsia="en-IN"/>
              </w:rPr>
              <w:t>4.55</w:t>
            </w:r>
          </w:p>
        </w:tc>
        <w:tc>
          <w:tcPr>
            <w:tcW w:w="0" w:type="auto"/>
            <w:vAlign w:val="center"/>
            <w:hideMark/>
          </w:tcPr>
          <w:p w14:paraId="118A9DBA" w14:textId="77777777" w:rsidR="00416FA8" w:rsidRPr="004B6753" w:rsidRDefault="00416FA8" w:rsidP="004B6753">
            <w:pPr>
              <w:pStyle w:val="NoSpacing"/>
              <w:jc w:val="center"/>
              <w:rPr>
                <w:rFonts w:ascii="Times New Roman" w:hAnsi="Times New Roman" w:cs="Times New Roman"/>
                <w:szCs w:val="24"/>
                <w:lang w:eastAsia="en-IN"/>
              </w:rPr>
            </w:pPr>
            <w:r w:rsidRPr="004B6753">
              <w:rPr>
                <w:rFonts w:ascii="Times New Roman" w:hAnsi="Times New Roman" w:cs="Times New Roman"/>
                <w:szCs w:val="24"/>
                <w:lang w:eastAsia="en-IN"/>
              </w:rPr>
              <w:t>6.09</w:t>
            </w:r>
          </w:p>
        </w:tc>
        <w:tc>
          <w:tcPr>
            <w:tcW w:w="0" w:type="auto"/>
            <w:vAlign w:val="center"/>
            <w:hideMark/>
          </w:tcPr>
          <w:p w14:paraId="0DD1A3D8" w14:textId="77777777" w:rsidR="00416FA8" w:rsidRPr="004B6753" w:rsidRDefault="00416FA8" w:rsidP="004B6753">
            <w:pPr>
              <w:pStyle w:val="NoSpacing"/>
              <w:jc w:val="center"/>
              <w:rPr>
                <w:rFonts w:ascii="Times New Roman" w:hAnsi="Times New Roman" w:cs="Times New Roman"/>
                <w:szCs w:val="24"/>
                <w:lang w:eastAsia="en-IN"/>
              </w:rPr>
            </w:pPr>
            <w:r w:rsidRPr="004B6753">
              <w:rPr>
                <w:rFonts w:ascii="Times New Roman" w:hAnsi="Times New Roman" w:cs="Times New Roman"/>
                <w:szCs w:val="24"/>
                <w:lang w:eastAsia="en-IN"/>
              </w:rPr>
              <w:t>40.69</w:t>
            </w:r>
          </w:p>
        </w:tc>
        <w:tc>
          <w:tcPr>
            <w:tcW w:w="0" w:type="auto"/>
            <w:vAlign w:val="center"/>
            <w:hideMark/>
          </w:tcPr>
          <w:p w14:paraId="3E873C95" w14:textId="77777777" w:rsidR="00416FA8" w:rsidRPr="004B6753" w:rsidRDefault="00416FA8" w:rsidP="004B6753">
            <w:pPr>
              <w:pStyle w:val="NoSpacing"/>
              <w:jc w:val="center"/>
              <w:rPr>
                <w:rFonts w:ascii="Times New Roman" w:hAnsi="Times New Roman" w:cs="Times New Roman"/>
                <w:szCs w:val="24"/>
                <w:lang w:eastAsia="en-IN"/>
              </w:rPr>
            </w:pPr>
            <w:r w:rsidRPr="004B6753">
              <w:rPr>
                <w:rFonts w:ascii="Times New Roman" w:hAnsi="Times New Roman" w:cs="Times New Roman"/>
                <w:szCs w:val="24"/>
                <w:lang w:eastAsia="en-IN"/>
              </w:rPr>
              <w:t>116.37</w:t>
            </w:r>
          </w:p>
        </w:tc>
      </w:tr>
      <w:tr w:rsidR="00416FA8" w:rsidRPr="004B6753" w14:paraId="07207473" w14:textId="77777777" w:rsidTr="004B6753">
        <w:trPr>
          <w:trHeight w:val="221"/>
        </w:trPr>
        <w:tc>
          <w:tcPr>
            <w:tcW w:w="0" w:type="auto"/>
            <w:hideMark/>
          </w:tcPr>
          <w:p w14:paraId="62133CEC" w14:textId="77777777" w:rsidR="00416FA8" w:rsidRPr="004B6753" w:rsidRDefault="00416FA8" w:rsidP="00B77C0B">
            <w:pPr>
              <w:pStyle w:val="NoSpacing"/>
              <w:rPr>
                <w:rFonts w:ascii="Times New Roman" w:hAnsi="Times New Roman" w:cs="Times New Roman"/>
                <w:szCs w:val="24"/>
                <w:lang w:eastAsia="en-IN"/>
              </w:rPr>
            </w:pPr>
            <w:r w:rsidRPr="004B6753">
              <w:rPr>
                <w:rFonts w:ascii="Times New Roman" w:hAnsi="Times New Roman" w:cs="Times New Roman"/>
                <w:szCs w:val="24"/>
                <w:lang w:eastAsia="en-IN"/>
              </w:rPr>
              <w:t>1967-68</w:t>
            </w:r>
          </w:p>
        </w:tc>
        <w:tc>
          <w:tcPr>
            <w:tcW w:w="0" w:type="auto"/>
            <w:vAlign w:val="center"/>
            <w:hideMark/>
          </w:tcPr>
          <w:p w14:paraId="171506E0" w14:textId="77777777" w:rsidR="00416FA8" w:rsidRPr="004B6753" w:rsidRDefault="00416FA8" w:rsidP="004B6753">
            <w:pPr>
              <w:pStyle w:val="NoSpacing"/>
              <w:jc w:val="center"/>
              <w:rPr>
                <w:rFonts w:ascii="Times New Roman" w:hAnsi="Times New Roman" w:cs="Times New Roman"/>
                <w:szCs w:val="24"/>
                <w:lang w:eastAsia="en-IN"/>
              </w:rPr>
            </w:pPr>
            <w:r w:rsidRPr="004B6753">
              <w:rPr>
                <w:rFonts w:ascii="Times New Roman" w:hAnsi="Times New Roman" w:cs="Times New Roman"/>
                <w:szCs w:val="24"/>
                <w:lang w:eastAsia="en-IN"/>
              </w:rPr>
              <w:t>5.30</w:t>
            </w:r>
          </w:p>
        </w:tc>
        <w:tc>
          <w:tcPr>
            <w:tcW w:w="0" w:type="auto"/>
            <w:vAlign w:val="center"/>
            <w:hideMark/>
          </w:tcPr>
          <w:p w14:paraId="1CB56A63" w14:textId="77777777" w:rsidR="00416FA8" w:rsidRPr="004B6753" w:rsidRDefault="00416FA8" w:rsidP="004B6753">
            <w:pPr>
              <w:pStyle w:val="NoSpacing"/>
              <w:jc w:val="center"/>
              <w:rPr>
                <w:rFonts w:ascii="Times New Roman" w:hAnsi="Times New Roman" w:cs="Times New Roman"/>
                <w:szCs w:val="24"/>
                <w:lang w:eastAsia="en-IN"/>
              </w:rPr>
            </w:pPr>
            <w:r w:rsidRPr="004B6753">
              <w:rPr>
                <w:rFonts w:ascii="Times New Roman" w:hAnsi="Times New Roman" w:cs="Times New Roman"/>
                <w:szCs w:val="24"/>
                <w:lang w:eastAsia="en-IN"/>
              </w:rPr>
              <w:t>23.38</w:t>
            </w:r>
          </w:p>
        </w:tc>
        <w:tc>
          <w:tcPr>
            <w:tcW w:w="0" w:type="auto"/>
            <w:vAlign w:val="center"/>
            <w:hideMark/>
          </w:tcPr>
          <w:p w14:paraId="76BF157A" w14:textId="77777777" w:rsidR="00416FA8" w:rsidRPr="004B6753" w:rsidRDefault="00416FA8" w:rsidP="004B6753">
            <w:pPr>
              <w:pStyle w:val="NoSpacing"/>
              <w:jc w:val="center"/>
              <w:rPr>
                <w:rFonts w:ascii="Times New Roman" w:hAnsi="Times New Roman" w:cs="Times New Roman"/>
                <w:szCs w:val="24"/>
                <w:lang w:eastAsia="en-IN"/>
              </w:rPr>
            </w:pPr>
            <w:r w:rsidRPr="004B6753">
              <w:rPr>
                <w:rFonts w:ascii="Times New Roman" w:hAnsi="Times New Roman" w:cs="Times New Roman"/>
                <w:szCs w:val="24"/>
                <w:lang w:eastAsia="en-IN"/>
              </w:rPr>
              <w:t>3.84</w:t>
            </w:r>
          </w:p>
        </w:tc>
        <w:tc>
          <w:tcPr>
            <w:tcW w:w="0" w:type="auto"/>
            <w:vAlign w:val="center"/>
            <w:hideMark/>
          </w:tcPr>
          <w:p w14:paraId="1BA7EE65" w14:textId="77777777" w:rsidR="00416FA8" w:rsidRPr="004B6753" w:rsidRDefault="00416FA8" w:rsidP="004B6753">
            <w:pPr>
              <w:pStyle w:val="NoSpacing"/>
              <w:jc w:val="center"/>
              <w:rPr>
                <w:rFonts w:ascii="Times New Roman" w:hAnsi="Times New Roman" w:cs="Times New Roman"/>
                <w:szCs w:val="24"/>
                <w:lang w:eastAsia="en-IN"/>
              </w:rPr>
            </w:pPr>
            <w:r w:rsidRPr="004B6753">
              <w:rPr>
                <w:rFonts w:ascii="Times New Roman" w:hAnsi="Times New Roman" w:cs="Times New Roman"/>
                <w:szCs w:val="24"/>
                <w:lang w:eastAsia="en-IN"/>
              </w:rPr>
              <w:t>9.00</w:t>
            </w:r>
          </w:p>
        </w:tc>
        <w:tc>
          <w:tcPr>
            <w:tcW w:w="0" w:type="auto"/>
            <w:vAlign w:val="center"/>
            <w:hideMark/>
          </w:tcPr>
          <w:p w14:paraId="147162F3" w14:textId="77777777" w:rsidR="00416FA8" w:rsidRPr="004B6753" w:rsidRDefault="00416FA8" w:rsidP="004B6753">
            <w:pPr>
              <w:pStyle w:val="NoSpacing"/>
              <w:jc w:val="center"/>
              <w:rPr>
                <w:rFonts w:ascii="Times New Roman" w:hAnsi="Times New Roman" w:cs="Times New Roman"/>
                <w:szCs w:val="24"/>
                <w:lang w:eastAsia="en-IN"/>
              </w:rPr>
            </w:pPr>
            <w:r w:rsidRPr="004B6753">
              <w:rPr>
                <w:rFonts w:ascii="Times New Roman" w:hAnsi="Times New Roman" w:cs="Times New Roman"/>
                <w:szCs w:val="24"/>
                <w:lang w:eastAsia="en-IN"/>
              </w:rPr>
              <w:t>2.71</w:t>
            </w:r>
          </w:p>
        </w:tc>
        <w:tc>
          <w:tcPr>
            <w:tcW w:w="0" w:type="auto"/>
            <w:vAlign w:val="center"/>
            <w:hideMark/>
          </w:tcPr>
          <w:p w14:paraId="5CEDB7FA" w14:textId="77777777" w:rsidR="00416FA8" w:rsidRPr="004B6753" w:rsidRDefault="00416FA8" w:rsidP="004B6753">
            <w:pPr>
              <w:pStyle w:val="NoSpacing"/>
              <w:jc w:val="center"/>
              <w:rPr>
                <w:rFonts w:ascii="Times New Roman" w:hAnsi="Times New Roman" w:cs="Times New Roman"/>
                <w:szCs w:val="24"/>
                <w:lang w:eastAsia="en-IN"/>
              </w:rPr>
            </w:pPr>
            <w:r w:rsidRPr="004B6753">
              <w:rPr>
                <w:rFonts w:ascii="Times New Roman" w:hAnsi="Times New Roman" w:cs="Times New Roman"/>
                <w:szCs w:val="24"/>
                <w:lang w:eastAsia="en-IN"/>
              </w:rPr>
              <w:t>27.07</w:t>
            </w:r>
          </w:p>
        </w:tc>
        <w:tc>
          <w:tcPr>
            <w:tcW w:w="0" w:type="auto"/>
            <w:vAlign w:val="center"/>
            <w:hideMark/>
          </w:tcPr>
          <w:p w14:paraId="26B7D866" w14:textId="77777777" w:rsidR="00416FA8" w:rsidRPr="004B6753" w:rsidRDefault="00416FA8" w:rsidP="004B6753">
            <w:pPr>
              <w:pStyle w:val="NoSpacing"/>
              <w:jc w:val="center"/>
              <w:rPr>
                <w:rFonts w:ascii="Times New Roman" w:hAnsi="Times New Roman" w:cs="Times New Roman"/>
                <w:szCs w:val="24"/>
                <w:lang w:eastAsia="en-IN"/>
              </w:rPr>
            </w:pPr>
            <w:r w:rsidRPr="004B6753">
              <w:rPr>
                <w:rFonts w:ascii="Times New Roman" w:hAnsi="Times New Roman" w:cs="Times New Roman"/>
                <w:szCs w:val="24"/>
                <w:lang w:eastAsia="en-IN"/>
              </w:rPr>
              <w:t>7.33</w:t>
            </w:r>
          </w:p>
        </w:tc>
        <w:tc>
          <w:tcPr>
            <w:tcW w:w="0" w:type="auto"/>
            <w:vAlign w:val="center"/>
            <w:hideMark/>
          </w:tcPr>
          <w:p w14:paraId="75F58E14" w14:textId="77777777" w:rsidR="00416FA8" w:rsidRPr="004B6753" w:rsidRDefault="00416FA8" w:rsidP="004B6753">
            <w:pPr>
              <w:pStyle w:val="NoSpacing"/>
              <w:jc w:val="center"/>
              <w:rPr>
                <w:rFonts w:ascii="Times New Roman" w:hAnsi="Times New Roman" w:cs="Times New Roman"/>
                <w:szCs w:val="24"/>
                <w:lang w:eastAsia="en-IN"/>
              </w:rPr>
            </w:pPr>
            <w:r w:rsidRPr="004B6753">
              <w:rPr>
                <w:rFonts w:ascii="Times New Roman" w:hAnsi="Times New Roman" w:cs="Times New Roman"/>
                <w:szCs w:val="24"/>
                <w:lang w:eastAsia="en-IN"/>
              </w:rPr>
              <w:t>10.28</w:t>
            </w:r>
          </w:p>
        </w:tc>
        <w:tc>
          <w:tcPr>
            <w:tcW w:w="0" w:type="auto"/>
            <w:vAlign w:val="center"/>
            <w:hideMark/>
          </w:tcPr>
          <w:p w14:paraId="68588AFA" w14:textId="77777777" w:rsidR="00416FA8" w:rsidRPr="004B6753" w:rsidRDefault="00416FA8" w:rsidP="004B6753">
            <w:pPr>
              <w:pStyle w:val="NoSpacing"/>
              <w:jc w:val="center"/>
              <w:rPr>
                <w:rFonts w:ascii="Times New Roman" w:hAnsi="Times New Roman" w:cs="Times New Roman"/>
                <w:szCs w:val="24"/>
                <w:lang w:eastAsia="en-IN"/>
              </w:rPr>
            </w:pPr>
            <w:r w:rsidRPr="004B6753">
              <w:rPr>
                <w:rFonts w:ascii="Times New Roman" w:hAnsi="Times New Roman" w:cs="Times New Roman"/>
                <w:szCs w:val="24"/>
                <w:lang w:eastAsia="en-IN"/>
              </w:rPr>
              <w:t>6.91</w:t>
            </w:r>
          </w:p>
        </w:tc>
        <w:tc>
          <w:tcPr>
            <w:tcW w:w="0" w:type="auto"/>
            <w:vAlign w:val="center"/>
            <w:hideMark/>
          </w:tcPr>
          <w:p w14:paraId="27D88073" w14:textId="77777777" w:rsidR="00416FA8" w:rsidRPr="004B6753" w:rsidRDefault="00416FA8" w:rsidP="004B6753">
            <w:pPr>
              <w:pStyle w:val="NoSpacing"/>
              <w:jc w:val="center"/>
              <w:rPr>
                <w:rFonts w:ascii="Times New Roman" w:hAnsi="Times New Roman" w:cs="Times New Roman"/>
                <w:szCs w:val="24"/>
                <w:lang w:eastAsia="en-IN"/>
              </w:rPr>
            </w:pPr>
            <w:r w:rsidRPr="004B6753">
              <w:rPr>
                <w:rFonts w:ascii="Times New Roman" w:hAnsi="Times New Roman" w:cs="Times New Roman"/>
                <w:szCs w:val="24"/>
                <w:lang w:eastAsia="en-IN"/>
              </w:rPr>
              <w:t>40.48</w:t>
            </w:r>
          </w:p>
        </w:tc>
        <w:tc>
          <w:tcPr>
            <w:tcW w:w="0" w:type="auto"/>
            <w:vAlign w:val="center"/>
            <w:hideMark/>
          </w:tcPr>
          <w:p w14:paraId="37C47745" w14:textId="77777777" w:rsidR="00416FA8" w:rsidRPr="004B6753" w:rsidRDefault="00416FA8" w:rsidP="004B6753">
            <w:pPr>
              <w:pStyle w:val="NoSpacing"/>
              <w:jc w:val="center"/>
              <w:rPr>
                <w:rFonts w:ascii="Times New Roman" w:hAnsi="Times New Roman" w:cs="Times New Roman"/>
                <w:szCs w:val="24"/>
                <w:lang w:eastAsia="en-IN"/>
              </w:rPr>
            </w:pPr>
            <w:r w:rsidRPr="004B6753">
              <w:rPr>
                <w:rFonts w:ascii="Times New Roman" w:hAnsi="Times New Roman" w:cs="Times New Roman"/>
                <w:szCs w:val="24"/>
                <w:lang w:eastAsia="en-IN"/>
              </w:rPr>
              <w:t>136.30</w:t>
            </w:r>
          </w:p>
        </w:tc>
      </w:tr>
      <w:tr w:rsidR="00812C67" w:rsidRPr="004B6753" w14:paraId="795EA992" w14:textId="77777777" w:rsidTr="004B6753">
        <w:trPr>
          <w:trHeight w:val="221"/>
        </w:trPr>
        <w:tc>
          <w:tcPr>
            <w:tcW w:w="0" w:type="auto"/>
            <w:vMerge w:val="restart"/>
            <w:hideMark/>
          </w:tcPr>
          <w:p w14:paraId="03202637" w14:textId="77777777" w:rsidR="00812C67" w:rsidRPr="004B6753" w:rsidRDefault="00812C67" w:rsidP="00B77C0B">
            <w:pPr>
              <w:pStyle w:val="NoSpacing"/>
              <w:rPr>
                <w:rFonts w:ascii="Times New Roman" w:hAnsi="Times New Roman" w:cs="Times New Roman"/>
                <w:szCs w:val="24"/>
                <w:lang w:eastAsia="en-IN"/>
              </w:rPr>
            </w:pPr>
            <w:r w:rsidRPr="004B6753">
              <w:rPr>
                <w:rFonts w:ascii="Times New Roman" w:hAnsi="Times New Roman" w:cs="Times New Roman"/>
                <w:szCs w:val="24"/>
                <w:lang w:eastAsia="en-IN"/>
              </w:rPr>
              <w:t>1968-69 (RE)</w:t>
            </w:r>
          </w:p>
        </w:tc>
        <w:tc>
          <w:tcPr>
            <w:tcW w:w="0" w:type="auto"/>
            <w:vAlign w:val="center"/>
            <w:hideMark/>
          </w:tcPr>
          <w:p w14:paraId="0366B592" w14:textId="77777777" w:rsidR="00812C67" w:rsidRPr="004B6753" w:rsidRDefault="00812C67" w:rsidP="004B6753">
            <w:pPr>
              <w:pStyle w:val="NoSpacing"/>
              <w:jc w:val="center"/>
              <w:rPr>
                <w:rFonts w:ascii="Times New Roman" w:hAnsi="Times New Roman" w:cs="Times New Roman"/>
                <w:szCs w:val="24"/>
                <w:lang w:eastAsia="en-IN"/>
              </w:rPr>
            </w:pPr>
            <w:r w:rsidRPr="004B6753">
              <w:rPr>
                <w:rFonts w:ascii="Times New Roman" w:hAnsi="Times New Roman" w:cs="Times New Roman"/>
                <w:szCs w:val="24"/>
                <w:lang w:eastAsia="en-IN"/>
              </w:rPr>
              <w:t>6.42</w:t>
            </w:r>
          </w:p>
        </w:tc>
        <w:tc>
          <w:tcPr>
            <w:tcW w:w="0" w:type="auto"/>
            <w:vAlign w:val="center"/>
            <w:hideMark/>
          </w:tcPr>
          <w:p w14:paraId="16504E41" w14:textId="77777777" w:rsidR="00812C67" w:rsidRPr="004B6753" w:rsidRDefault="00812C67" w:rsidP="004B6753">
            <w:pPr>
              <w:pStyle w:val="NoSpacing"/>
              <w:jc w:val="center"/>
              <w:rPr>
                <w:rFonts w:ascii="Times New Roman" w:hAnsi="Times New Roman" w:cs="Times New Roman"/>
                <w:szCs w:val="24"/>
                <w:lang w:eastAsia="en-IN"/>
              </w:rPr>
            </w:pPr>
            <w:r w:rsidRPr="004B6753">
              <w:rPr>
                <w:rFonts w:ascii="Times New Roman" w:hAnsi="Times New Roman" w:cs="Times New Roman"/>
                <w:szCs w:val="24"/>
                <w:lang w:eastAsia="en-IN"/>
              </w:rPr>
              <w:t>30.41</w:t>
            </w:r>
          </w:p>
        </w:tc>
        <w:tc>
          <w:tcPr>
            <w:tcW w:w="0" w:type="auto"/>
            <w:vAlign w:val="center"/>
            <w:hideMark/>
          </w:tcPr>
          <w:p w14:paraId="21D6BE2A" w14:textId="77777777" w:rsidR="00812C67" w:rsidRPr="004B6753" w:rsidRDefault="00812C67" w:rsidP="004B6753">
            <w:pPr>
              <w:pStyle w:val="NoSpacing"/>
              <w:jc w:val="center"/>
              <w:rPr>
                <w:rFonts w:ascii="Times New Roman" w:hAnsi="Times New Roman" w:cs="Times New Roman"/>
                <w:szCs w:val="24"/>
                <w:lang w:eastAsia="en-IN"/>
              </w:rPr>
            </w:pPr>
            <w:r w:rsidRPr="004B6753">
              <w:rPr>
                <w:rFonts w:ascii="Times New Roman" w:hAnsi="Times New Roman" w:cs="Times New Roman"/>
                <w:szCs w:val="24"/>
                <w:lang w:eastAsia="en-IN"/>
              </w:rPr>
              <w:t>4.20</w:t>
            </w:r>
          </w:p>
        </w:tc>
        <w:tc>
          <w:tcPr>
            <w:tcW w:w="0" w:type="auto"/>
            <w:vAlign w:val="center"/>
            <w:hideMark/>
          </w:tcPr>
          <w:p w14:paraId="464A2271" w14:textId="77777777" w:rsidR="00812C67" w:rsidRPr="004B6753" w:rsidRDefault="00812C67" w:rsidP="004B6753">
            <w:pPr>
              <w:pStyle w:val="NoSpacing"/>
              <w:jc w:val="center"/>
              <w:rPr>
                <w:rFonts w:ascii="Times New Roman" w:hAnsi="Times New Roman" w:cs="Times New Roman"/>
                <w:szCs w:val="24"/>
                <w:lang w:eastAsia="en-IN"/>
              </w:rPr>
            </w:pPr>
            <w:r w:rsidRPr="004B6753">
              <w:rPr>
                <w:rFonts w:ascii="Times New Roman" w:hAnsi="Times New Roman" w:cs="Times New Roman"/>
                <w:szCs w:val="24"/>
                <w:lang w:eastAsia="en-IN"/>
              </w:rPr>
              <w:t>9.46</w:t>
            </w:r>
          </w:p>
        </w:tc>
        <w:tc>
          <w:tcPr>
            <w:tcW w:w="0" w:type="auto"/>
            <w:vAlign w:val="center"/>
            <w:hideMark/>
          </w:tcPr>
          <w:p w14:paraId="25182EB1" w14:textId="77777777" w:rsidR="00812C67" w:rsidRPr="004B6753" w:rsidRDefault="00812C67" w:rsidP="004B6753">
            <w:pPr>
              <w:pStyle w:val="NoSpacing"/>
              <w:jc w:val="center"/>
              <w:rPr>
                <w:rFonts w:ascii="Times New Roman" w:hAnsi="Times New Roman" w:cs="Times New Roman"/>
                <w:szCs w:val="24"/>
                <w:lang w:eastAsia="en-IN"/>
              </w:rPr>
            </w:pPr>
            <w:r w:rsidRPr="004B6753">
              <w:rPr>
                <w:rFonts w:ascii="Times New Roman" w:hAnsi="Times New Roman" w:cs="Times New Roman"/>
                <w:szCs w:val="24"/>
                <w:lang w:eastAsia="en-IN"/>
              </w:rPr>
              <w:t>2.82</w:t>
            </w:r>
          </w:p>
        </w:tc>
        <w:tc>
          <w:tcPr>
            <w:tcW w:w="0" w:type="auto"/>
            <w:vAlign w:val="center"/>
            <w:hideMark/>
          </w:tcPr>
          <w:p w14:paraId="2BC4122C" w14:textId="77777777" w:rsidR="00812C67" w:rsidRPr="004B6753" w:rsidRDefault="00812C67" w:rsidP="004B6753">
            <w:pPr>
              <w:pStyle w:val="NoSpacing"/>
              <w:jc w:val="center"/>
              <w:rPr>
                <w:rFonts w:ascii="Times New Roman" w:hAnsi="Times New Roman" w:cs="Times New Roman"/>
                <w:szCs w:val="24"/>
                <w:lang w:eastAsia="en-IN"/>
              </w:rPr>
            </w:pPr>
            <w:r w:rsidRPr="004B6753">
              <w:rPr>
                <w:rFonts w:ascii="Times New Roman" w:hAnsi="Times New Roman" w:cs="Times New Roman"/>
                <w:szCs w:val="24"/>
                <w:lang w:eastAsia="en-IN"/>
              </w:rPr>
              <w:t>31.77</w:t>
            </w:r>
          </w:p>
        </w:tc>
        <w:tc>
          <w:tcPr>
            <w:tcW w:w="0" w:type="auto"/>
            <w:vAlign w:val="center"/>
            <w:hideMark/>
          </w:tcPr>
          <w:p w14:paraId="1BF9DB9B" w14:textId="77777777" w:rsidR="00812C67" w:rsidRPr="004B6753" w:rsidRDefault="00812C67" w:rsidP="004B6753">
            <w:pPr>
              <w:pStyle w:val="NoSpacing"/>
              <w:jc w:val="center"/>
              <w:rPr>
                <w:rFonts w:ascii="Times New Roman" w:hAnsi="Times New Roman" w:cs="Times New Roman"/>
                <w:szCs w:val="24"/>
                <w:lang w:eastAsia="en-IN"/>
              </w:rPr>
            </w:pPr>
            <w:r w:rsidRPr="004B6753">
              <w:rPr>
                <w:rFonts w:ascii="Times New Roman" w:hAnsi="Times New Roman" w:cs="Times New Roman"/>
                <w:szCs w:val="24"/>
                <w:lang w:eastAsia="en-IN"/>
              </w:rPr>
              <w:t>8.50</w:t>
            </w:r>
          </w:p>
        </w:tc>
        <w:tc>
          <w:tcPr>
            <w:tcW w:w="0" w:type="auto"/>
            <w:vAlign w:val="center"/>
            <w:hideMark/>
          </w:tcPr>
          <w:p w14:paraId="5B6A96EF" w14:textId="77777777" w:rsidR="00812C67" w:rsidRPr="004B6753" w:rsidRDefault="00812C67" w:rsidP="004B6753">
            <w:pPr>
              <w:pStyle w:val="NoSpacing"/>
              <w:jc w:val="center"/>
              <w:rPr>
                <w:rFonts w:ascii="Times New Roman" w:hAnsi="Times New Roman" w:cs="Times New Roman"/>
                <w:szCs w:val="24"/>
                <w:lang w:eastAsia="en-IN"/>
              </w:rPr>
            </w:pPr>
            <w:r w:rsidRPr="004B6753">
              <w:rPr>
                <w:rFonts w:ascii="Times New Roman" w:hAnsi="Times New Roman" w:cs="Times New Roman"/>
                <w:szCs w:val="24"/>
                <w:lang w:eastAsia="en-IN"/>
              </w:rPr>
              <w:t>6.92</w:t>
            </w:r>
          </w:p>
        </w:tc>
        <w:tc>
          <w:tcPr>
            <w:tcW w:w="0" w:type="auto"/>
            <w:vAlign w:val="center"/>
            <w:hideMark/>
          </w:tcPr>
          <w:p w14:paraId="232D2F8F" w14:textId="77777777" w:rsidR="00812C67" w:rsidRPr="004B6753" w:rsidRDefault="00812C67" w:rsidP="004B6753">
            <w:pPr>
              <w:pStyle w:val="NoSpacing"/>
              <w:jc w:val="center"/>
              <w:rPr>
                <w:rFonts w:ascii="Times New Roman" w:hAnsi="Times New Roman" w:cs="Times New Roman"/>
                <w:szCs w:val="24"/>
                <w:lang w:eastAsia="en-IN"/>
              </w:rPr>
            </w:pPr>
            <w:r w:rsidRPr="004B6753">
              <w:rPr>
                <w:rFonts w:ascii="Times New Roman" w:hAnsi="Times New Roman" w:cs="Times New Roman"/>
                <w:szCs w:val="24"/>
                <w:lang w:eastAsia="en-IN"/>
              </w:rPr>
              <w:t>7.54</w:t>
            </w:r>
          </w:p>
        </w:tc>
        <w:tc>
          <w:tcPr>
            <w:tcW w:w="0" w:type="auto"/>
            <w:vAlign w:val="center"/>
            <w:hideMark/>
          </w:tcPr>
          <w:p w14:paraId="17864789" w14:textId="77777777" w:rsidR="00812C67" w:rsidRPr="004B6753" w:rsidRDefault="00812C67" w:rsidP="004B6753">
            <w:pPr>
              <w:pStyle w:val="NoSpacing"/>
              <w:jc w:val="center"/>
              <w:rPr>
                <w:rFonts w:ascii="Times New Roman" w:hAnsi="Times New Roman" w:cs="Times New Roman"/>
                <w:szCs w:val="24"/>
                <w:lang w:eastAsia="en-IN"/>
              </w:rPr>
            </w:pPr>
            <w:r w:rsidRPr="004B6753">
              <w:rPr>
                <w:rFonts w:ascii="Times New Roman" w:hAnsi="Times New Roman" w:cs="Times New Roman"/>
                <w:szCs w:val="24"/>
                <w:lang w:eastAsia="en-IN"/>
              </w:rPr>
              <w:t>54.79</w:t>
            </w:r>
          </w:p>
        </w:tc>
        <w:tc>
          <w:tcPr>
            <w:tcW w:w="0" w:type="auto"/>
            <w:vAlign w:val="center"/>
            <w:hideMark/>
          </w:tcPr>
          <w:p w14:paraId="15730A4B" w14:textId="77777777" w:rsidR="00812C67" w:rsidRPr="004B6753" w:rsidRDefault="00812C67" w:rsidP="004B6753">
            <w:pPr>
              <w:pStyle w:val="NoSpacing"/>
              <w:jc w:val="center"/>
              <w:rPr>
                <w:rFonts w:ascii="Times New Roman" w:hAnsi="Times New Roman" w:cs="Times New Roman"/>
                <w:szCs w:val="24"/>
                <w:lang w:eastAsia="en-IN"/>
              </w:rPr>
            </w:pPr>
            <w:r w:rsidRPr="004B6753">
              <w:rPr>
                <w:rFonts w:ascii="Times New Roman" w:hAnsi="Times New Roman" w:cs="Times New Roman"/>
                <w:szCs w:val="24"/>
                <w:lang w:eastAsia="en-IN"/>
              </w:rPr>
              <w:t>162.83</w:t>
            </w:r>
          </w:p>
        </w:tc>
      </w:tr>
      <w:tr w:rsidR="00812C67" w:rsidRPr="004B6753" w14:paraId="1F84193A" w14:textId="77777777" w:rsidTr="004B6753">
        <w:trPr>
          <w:trHeight w:val="221"/>
        </w:trPr>
        <w:tc>
          <w:tcPr>
            <w:tcW w:w="0" w:type="auto"/>
            <w:vMerge/>
            <w:hideMark/>
          </w:tcPr>
          <w:p w14:paraId="3F9C4D6F" w14:textId="77777777" w:rsidR="00812C67" w:rsidRPr="004B6753" w:rsidRDefault="00812C67" w:rsidP="00B77C0B">
            <w:pPr>
              <w:pStyle w:val="NoSpacing"/>
              <w:rPr>
                <w:rFonts w:ascii="Times New Roman" w:hAnsi="Times New Roman" w:cs="Times New Roman"/>
                <w:szCs w:val="24"/>
                <w:lang w:eastAsia="en-IN"/>
              </w:rPr>
            </w:pPr>
          </w:p>
        </w:tc>
        <w:tc>
          <w:tcPr>
            <w:tcW w:w="0" w:type="auto"/>
            <w:vAlign w:val="center"/>
            <w:hideMark/>
          </w:tcPr>
          <w:p w14:paraId="6A537DDA" w14:textId="77777777" w:rsidR="00812C67" w:rsidRPr="004B6753" w:rsidRDefault="00812C67" w:rsidP="004B6753">
            <w:pPr>
              <w:pStyle w:val="NoSpacing"/>
              <w:jc w:val="center"/>
              <w:rPr>
                <w:rFonts w:ascii="Times New Roman" w:hAnsi="Times New Roman" w:cs="Times New Roman"/>
                <w:szCs w:val="24"/>
                <w:lang w:eastAsia="en-IN"/>
              </w:rPr>
            </w:pPr>
            <w:r w:rsidRPr="004B6753">
              <w:rPr>
                <w:rFonts w:ascii="Times New Roman" w:hAnsi="Times New Roman" w:cs="Times New Roman"/>
                <w:i/>
                <w:iCs/>
                <w:szCs w:val="24"/>
                <w:lang w:eastAsia="en-IN"/>
              </w:rPr>
              <w:t>(3.94)</w:t>
            </w:r>
          </w:p>
        </w:tc>
        <w:tc>
          <w:tcPr>
            <w:tcW w:w="0" w:type="auto"/>
            <w:vAlign w:val="center"/>
            <w:hideMark/>
          </w:tcPr>
          <w:p w14:paraId="20100EEE" w14:textId="77777777" w:rsidR="00812C67" w:rsidRPr="004B6753" w:rsidRDefault="00812C67" w:rsidP="004B6753">
            <w:pPr>
              <w:pStyle w:val="NoSpacing"/>
              <w:jc w:val="center"/>
              <w:rPr>
                <w:rFonts w:ascii="Times New Roman" w:hAnsi="Times New Roman" w:cs="Times New Roman"/>
                <w:szCs w:val="24"/>
                <w:lang w:eastAsia="en-IN"/>
              </w:rPr>
            </w:pPr>
            <w:r w:rsidRPr="004B6753">
              <w:rPr>
                <w:rFonts w:ascii="Times New Roman" w:hAnsi="Times New Roman" w:cs="Times New Roman"/>
                <w:i/>
                <w:iCs/>
                <w:szCs w:val="24"/>
                <w:lang w:eastAsia="en-IN"/>
              </w:rPr>
              <w:t>(18.68)</w:t>
            </w:r>
          </w:p>
        </w:tc>
        <w:tc>
          <w:tcPr>
            <w:tcW w:w="0" w:type="auto"/>
            <w:vAlign w:val="center"/>
            <w:hideMark/>
          </w:tcPr>
          <w:p w14:paraId="2319882B" w14:textId="77777777" w:rsidR="00812C67" w:rsidRPr="004B6753" w:rsidRDefault="00812C67" w:rsidP="004B6753">
            <w:pPr>
              <w:pStyle w:val="NoSpacing"/>
              <w:jc w:val="center"/>
              <w:rPr>
                <w:rFonts w:ascii="Times New Roman" w:hAnsi="Times New Roman" w:cs="Times New Roman"/>
                <w:szCs w:val="24"/>
                <w:lang w:eastAsia="en-IN"/>
              </w:rPr>
            </w:pPr>
            <w:r w:rsidRPr="004B6753">
              <w:rPr>
                <w:rFonts w:ascii="Times New Roman" w:hAnsi="Times New Roman" w:cs="Times New Roman"/>
                <w:i/>
                <w:iCs/>
                <w:szCs w:val="24"/>
                <w:lang w:eastAsia="en-IN"/>
              </w:rPr>
              <w:t>(2.58)</w:t>
            </w:r>
          </w:p>
        </w:tc>
        <w:tc>
          <w:tcPr>
            <w:tcW w:w="0" w:type="auto"/>
            <w:vAlign w:val="center"/>
            <w:hideMark/>
          </w:tcPr>
          <w:p w14:paraId="2589ACF1" w14:textId="77777777" w:rsidR="00812C67" w:rsidRPr="004B6753" w:rsidRDefault="00812C67" w:rsidP="004B6753">
            <w:pPr>
              <w:pStyle w:val="NoSpacing"/>
              <w:jc w:val="center"/>
              <w:rPr>
                <w:rFonts w:ascii="Times New Roman" w:hAnsi="Times New Roman" w:cs="Times New Roman"/>
                <w:szCs w:val="24"/>
                <w:lang w:eastAsia="en-IN"/>
              </w:rPr>
            </w:pPr>
            <w:r w:rsidRPr="004B6753">
              <w:rPr>
                <w:rFonts w:ascii="Times New Roman" w:hAnsi="Times New Roman" w:cs="Times New Roman"/>
                <w:i/>
                <w:iCs/>
                <w:szCs w:val="24"/>
                <w:lang w:eastAsia="en-IN"/>
              </w:rPr>
              <w:t>(5.81)</w:t>
            </w:r>
          </w:p>
        </w:tc>
        <w:tc>
          <w:tcPr>
            <w:tcW w:w="0" w:type="auto"/>
            <w:vAlign w:val="center"/>
            <w:hideMark/>
          </w:tcPr>
          <w:p w14:paraId="2DBC72CB" w14:textId="77777777" w:rsidR="00812C67" w:rsidRPr="004B6753" w:rsidRDefault="00812C67" w:rsidP="004B6753">
            <w:pPr>
              <w:pStyle w:val="NoSpacing"/>
              <w:jc w:val="center"/>
              <w:rPr>
                <w:rFonts w:ascii="Times New Roman" w:hAnsi="Times New Roman" w:cs="Times New Roman"/>
                <w:szCs w:val="24"/>
                <w:lang w:eastAsia="en-IN"/>
              </w:rPr>
            </w:pPr>
            <w:r w:rsidRPr="004B6753">
              <w:rPr>
                <w:rFonts w:ascii="Times New Roman" w:hAnsi="Times New Roman" w:cs="Times New Roman"/>
                <w:i/>
                <w:iCs/>
                <w:szCs w:val="24"/>
                <w:lang w:eastAsia="en-IN"/>
              </w:rPr>
              <w:t>(1.73)</w:t>
            </w:r>
          </w:p>
        </w:tc>
        <w:tc>
          <w:tcPr>
            <w:tcW w:w="0" w:type="auto"/>
            <w:vAlign w:val="center"/>
            <w:hideMark/>
          </w:tcPr>
          <w:p w14:paraId="318C9609" w14:textId="77777777" w:rsidR="00812C67" w:rsidRPr="004B6753" w:rsidRDefault="00812C67" w:rsidP="004B6753">
            <w:pPr>
              <w:pStyle w:val="NoSpacing"/>
              <w:jc w:val="center"/>
              <w:rPr>
                <w:rFonts w:ascii="Times New Roman" w:hAnsi="Times New Roman" w:cs="Times New Roman"/>
                <w:szCs w:val="24"/>
                <w:lang w:eastAsia="en-IN"/>
              </w:rPr>
            </w:pPr>
            <w:r w:rsidRPr="004B6753">
              <w:rPr>
                <w:rFonts w:ascii="Times New Roman" w:hAnsi="Times New Roman" w:cs="Times New Roman"/>
                <w:i/>
                <w:iCs/>
                <w:szCs w:val="24"/>
                <w:lang w:eastAsia="en-IN"/>
              </w:rPr>
              <w:t>(19.51)</w:t>
            </w:r>
          </w:p>
        </w:tc>
        <w:tc>
          <w:tcPr>
            <w:tcW w:w="0" w:type="auto"/>
            <w:vAlign w:val="center"/>
            <w:hideMark/>
          </w:tcPr>
          <w:p w14:paraId="7964AB43" w14:textId="77777777" w:rsidR="00812C67" w:rsidRPr="004B6753" w:rsidRDefault="00812C67" w:rsidP="004B6753">
            <w:pPr>
              <w:pStyle w:val="NoSpacing"/>
              <w:jc w:val="center"/>
              <w:rPr>
                <w:rFonts w:ascii="Times New Roman" w:hAnsi="Times New Roman" w:cs="Times New Roman"/>
                <w:szCs w:val="24"/>
                <w:lang w:eastAsia="en-IN"/>
              </w:rPr>
            </w:pPr>
            <w:r w:rsidRPr="004B6753">
              <w:rPr>
                <w:rFonts w:ascii="Times New Roman" w:hAnsi="Times New Roman" w:cs="Times New Roman"/>
                <w:i/>
                <w:iCs/>
                <w:szCs w:val="24"/>
                <w:lang w:eastAsia="en-IN"/>
              </w:rPr>
              <w:t>(5.22)</w:t>
            </w:r>
          </w:p>
        </w:tc>
        <w:tc>
          <w:tcPr>
            <w:tcW w:w="0" w:type="auto"/>
            <w:vAlign w:val="center"/>
            <w:hideMark/>
          </w:tcPr>
          <w:p w14:paraId="260B1AEF" w14:textId="77777777" w:rsidR="00812C67" w:rsidRPr="004B6753" w:rsidRDefault="00812C67" w:rsidP="004B6753">
            <w:pPr>
              <w:pStyle w:val="NoSpacing"/>
              <w:jc w:val="center"/>
              <w:rPr>
                <w:rFonts w:ascii="Times New Roman" w:hAnsi="Times New Roman" w:cs="Times New Roman"/>
                <w:szCs w:val="24"/>
                <w:lang w:eastAsia="en-IN"/>
              </w:rPr>
            </w:pPr>
            <w:r w:rsidRPr="004B6753">
              <w:rPr>
                <w:rFonts w:ascii="Times New Roman" w:hAnsi="Times New Roman" w:cs="Times New Roman"/>
                <w:i/>
                <w:iCs/>
                <w:szCs w:val="24"/>
                <w:lang w:eastAsia="en-IN"/>
              </w:rPr>
              <w:t>(4.25)</w:t>
            </w:r>
          </w:p>
        </w:tc>
        <w:tc>
          <w:tcPr>
            <w:tcW w:w="0" w:type="auto"/>
            <w:vAlign w:val="center"/>
            <w:hideMark/>
          </w:tcPr>
          <w:p w14:paraId="13150464" w14:textId="77777777" w:rsidR="00812C67" w:rsidRPr="004B6753" w:rsidRDefault="00812C67" w:rsidP="004B6753">
            <w:pPr>
              <w:pStyle w:val="NoSpacing"/>
              <w:jc w:val="center"/>
              <w:rPr>
                <w:rFonts w:ascii="Times New Roman" w:hAnsi="Times New Roman" w:cs="Times New Roman"/>
                <w:szCs w:val="24"/>
                <w:lang w:eastAsia="en-IN"/>
              </w:rPr>
            </w:pPr>
            <w:r w:rsidRPr="004B6753">
              <w:rPr>
                <w:rFonts w:ascii="Times New Roman" w:hAnsi="Times New Roman" w:cs="Times New Roman"/>
                <w:i/>
                <w:iCs/>
                <w:szCs w:val="24"/>
                <w:lang w:eastAsia="en-IN"/>
              </w:rPr>
              <w:t>(4.63)</w:t>
            </w:r>
          </w:p>
        </w:tc>
        <w:tc>
          <w:tcPr>
            <w:tcW w:w="0" w:type="auto"/>
            <w:vAlign w:val="center"/>
            <w:hideMark/>
          </w:tcPr>
          <w:p w14:paraId="28562155" w14:textId="77777777" w:rsidR="00812C67" w:rsidRPr="004B6753" w:rsidRDefault="00812C67" w:rsidP="004B6753">
            <w:pPr>
              <w:pStyle w:val="NoSpacing"/>
              <w:jc w:val="center"/>
              <w:rPr>
                <w:rFonts w:ascii="Times New Roman" w:hAnsi="Times New Roman" w:cs="Times New Roman"/>
                <w:szCs w:val="24"/>
                <w:lang w:eastAsia="en-IN"/>
              </w:rPr>
            </w:pPr>
            <w:r w:rsidRPr="004B6753">
              <w:rPr>
                <w:rFonts w:ascii="Times New Roman" w:hAnsi="Times New Roman" w:cs="Times New Roman"/>
                <w:i/>
                <w:iCs/>
                <w:szCs w:val="24"/>
                <w:lang w:eastAsia="en-IN"/>
              </w:rPr>
              <w:t>(33.65)</w:t>
            </w:r>
          </w:p>
        </w:tc>
        <w:tc>
          <w:tcPr>
            <w:tcW w:w="0" w:type="auto"/>
            <w:vAlign w:val="center"/>
            <w:hideMark/>
          </w:tcPr>
          <w:p w14:paraId="0B498BC7" w14:textId="77777777" w:rsidR="00812C67" w:rsidRPr="004B6753" w:rsidRDefault="00812C67" w:rsidP="004B6753">
            <w:pPr>
              <w:pStyle w:val="NoSpacing"/>
              <w:jc w:val="center"/>
              <w:rPr>
                <w:rFonts w:ascii="Times New Roman" w:hAnsi="Times New Roman" w:cs="Times New Roman"/>
                <w:szCs w:val="24"/>
                <w:lang w:eastAsia="en-IN"/>
              </w:rPr>
            </w:pPr>
            <w:r w:rsidRPr="004B6753">
              <w:rPr>
                <w:rFonts w:ascii="Times New Roman" w:hAnsi="Times New Roman" w:cs="Times New Roman"/>
                <w:i/>
                <w:iCs/>
                <w:szCs w:val="24"/>
                <w:lang w:eastAsia="en-IN"/>
              </w:rPr>
              <w:t>(100.00)</w:t>
            </w:r>
          </w:p>
        </w:tc>
      </w:tr>
      <w:tr w:rsidR="00416FA8" w:rsidRPr="004B6753" w14:paraId="2F124C1D" w14:textId="77777777" w:rsidTr="004B6753">
        <w:trPr>
          <w:trHeight w:val="221"/>
        </w:trPr>
        <w:tc>
          <w:tcPr>
            <w:tcW w:w="0" w:type="auto"/>
            <w:hideMark/>
          </w:tcPr>
          <w:p w14:paraId="29C887EF" w14:textId="77777777" w:rsidR="00416FA8" w:rsidRPr="004B6753" w:rsidRDefault="00416FA8" w:rsidP="00B77C0B">
            <w:pPr>
              <w:pStyle w:val="NoSpacing"/>
              <w:rPr>
                <w:rFonts w:ascii="Times New Roman" w:hAnsi="Times New Roman" w:cs="Times New Roman"/>
                <w:szCs w:val="24"/>
                <w:lang w:eastAsia="en-IN"/>
              </w:rPr>
            </w:pPr>
            <w:r w:rsidRPr="004B6753">
              <w:rPr>
                <w:rFonts w:ascii="Times New Roman" w:hAnsi="Times New Roman" w:cs="Times New Roman"/>
                <w:szCs w:val="24"/>
                <w:lang w:eastAsia="en-IN"/>
              </w:rPr>
              <w:t>Tamil Nadu</w:t>
            </w:r>
          </w:p>
        </w:tc>
        <w:tc>
          <w:tcPr>
            <w:tcW w:w="0" w:type="auto"/>
            <w:vAlign w:val="center"/>
            <w:hideMark/>
          </w:tcPr>
          <w:p w14:paraId="0D13A8B4" w14:textId="77777777" w:rsidR="00416FA8" w:rsidRPr="004B6753" w:rsidRDefault="00416FA8" w:rsidP="004B6753">
            <w:pPr>
              <w:pStyle w:val="NoSpacing"/>
              <w:jc w:val="center"/>
              <w:rPr>
                <w:rFonts w:ascii="Times New Roman" w:hAnsi="Times New Roman" w:cs="Times New Roman"/>
                <w:szCs w:val="24"/>
                <w:lang w:eastAsia="en-IN"/>
              </w:rPr>
            </w:pPr>
          </w:p>
        </w:tc>
        <w:tc>
          <w:tcPr>
            <w:tcW w:w="0" w:type="auto"/>
            <w:vAlign w:val="center"/>
            <w:hideMark/>
          </w:tcPr>
          <w:p w14:paraId="463BC2CE" w14:textId="77777777" w:rsidR="00416FA8" w:rsidRPr="004B6753" w:rsidRDefault="00416FA8" w:rsidP="004B6753">
            <w:pPr>
              <w:pStyle w:val="NoSpacing"/>
              <w:jc w:val="center"/>
              <w:rPr>
                <w:rFonts w:ascii="Times New Roman" w:hAnsi="Times New Roman" w:cs="Times New Roman"/>
                <w:szCs w:val="24"/>
                <w:lang w:eastAsia="en-IN"/>
              </w:rPr>
            </w:pPr>
          </w:p>
        </w:tc>
        <w:tc>
          <w:tcPr>
            <w:tcW w:w="0" w:type="auto"/>
            <w:vAlign w:val="center"/>
            <w:hideMark/>
          </w:tcPr>
          <w:p w14:paraId="7DAD2243" w14:textId="77777777" w:rsidR="00416FA8" w:rsidRPr="004B6753" w:rsidRDefault="00416FA8" w:rsidP="004B6753">
            <w:pPr>
              <w:pStyle w:val="NoSpacing"/>
              <w:jc w:val="center"/>
              <w:rPr>
                <w:rFonts w:ascii="Times New Roman" w:hAnsi="Times New Roman" w:cs="Times New Roman"/>
                <w:szCs w:val="24"/>
                <w:lang w:eastAsia="en-IN"/>
              </w:rPr>
            </w:pPr>
          </w:p>
        </w:tc>
        <w:tc>
          <w:tcPr>
            <w:tcW w:w="0" w:type="auto"/>
            <w:vAlign w:val="center"/>
            <w:hideMark/>
          </w:tcPr>
          <w:p w14:paraId="760864D7" w14:textId="77777777" w:rsidR="00416FA8" w:rsidRPr="004B6753" w:rsidRDefault="00416FA8" w:rsidP="004B6753">
            <w:pPr>
              <w:pStyle w:val="NoSpacing"/>
              <w:jc w:val="center"/>
              <w:rPr>
                <w:rFonts w:ascii="Times New Roman" w:hAnsi="Times New Roman" w:cs="Times New Roman"/>
                <w:szCs w:val="24"/>
                <w:lang w:eastAsia="en-IN"/>
              </w:rPr>
            </w:pPr>
          </w:p>
        </w:tc>
        <w:tc>
          <w:tcPr>
            <w:tcW w:w="0" w:type="auto"/>
            <w:vAlign w:val="center"/>
            <w:hideMark/>
          </w:tcPr>
          <w:p w14:paraId="3B1179BA" w14:textId="77777777" w:rsidR="00416FA8" w:rsidRPr="004B6753" w:rsidRDefault="00416FA8" w:rsidP="004B6753">
            <w:pPr>
              <w:pStyle w:val="NoSpacing"/>
              <w:jc w:val="center"/>
              <w:rPr>
                <w:rFonts w:ascii="Times New Roman" w:hAnsi="Times New Roman" w:cs="Times New Roman"/>
                <w:szCs w:val="24"/>
                <w:lang w:eastAsia="en-IN"/>
              </w:rPr>
            </w:pPr>
          </w:p>
        </w:tc>
        <w:tc>
          <w:tcPr>
            <w:tcW w:w="0" w:type="auto"/>
            <w:vAlign w:val="center"/>
            <w:hideMark/>
          </w:tcPr>
          <w:p w14:paraId="2877A485" w14:textId="77777777" w:rsidR="00416FA8" w:rsidRPr="004B6753" w:rsidRDefault="00416FA8" w:rsidP="004B6753">
            <w:pPr>
              <w:pStyle w:val="NoSpacing"/>
              <w:jc w:val="center"/>
              <w:rPr>
                <w:rFonts w:ascii="Times New Roman" w:hAnsi="Times New Roman" w:cs="Times New Roman"/>
                <w:szCs w:val="24"/>
                <w:lang w:eastAsia="en-IN"/>
              </w:rPr>
            </w:pPr>
          </w:p>
        </w:tc>
        <w:tc>
          <w:tcPr>
            <w:tcW w:w="0" w:type="auto"/>
            <w:vAlign w:val="center"/>
            <w:hideMark/>
          </w:tcPr>
          <w:p w14:paraId="10EF54E4" w14:textId="77777777" w:rsidR="00416FA8" w:rsidRPr="004B6753" w:rsidRDefault="00416FA8" w:rsidP="004B6753">
            <w:pPr>
              <w:pStyle w:val="NoSpacing"/>
              <w:jc w:val="center"/>
              <w:rPr>
                <w:rFonts w:ascii="Times New Roman" w:hAnsi="Times New Roman" w:cs="Times New Roman"/>
                <w:szCs w:val="24"/>
                <w:lang w:eastAsia="en-IN"/>
              </w:rPr>
            </w:pPr>
          </w:p>
        </w:tc>
        <w:tc>
          <w:tcPr>
            <w:tcW w:w="0" w:type="auto"/>
            <w:vAlign w:val="center"/>
            <w:hideMark/>
          </w:tcPr>
          <w:p w14:paraId="489868BF" w14:textId="77777777" w:rsidR="00416FA8" w:rsidRPr="004B6753" w:rsidRDefault="00416FA8" w:rsidP="004B6753">
            <w:pPr>
              <w:pStyle w:val="NoSpacing"/>
              <w:jc w:val="center"/>
              <w:rPr>
                <w:rFonts w:ascii="Times New Roman" w:hAnsi="Times New Roman" w:cs="Times New Roman"/>
                <w:szCs w:val="24"/>
                <w:lang w:eastAsia="en-IN"/>
              </w:rPr>
            </w:pPr>
          </w:p>
        </w:tc>
        <w:tc>
          <w:tcPr>
            <w:tcW w:w="0" w:type="auto"/>
            <w:vAlign w:val="center"/>
            <w:hideMark/>
          </w:tcPr>
          <w:p w14:paraId="19F750E3" w14:textId="77777777" w:rsidR="00416FA8" w:rsidRPr="004B6753" w:rsidRDefault="00416FA8" w:rsidP="004B6753">
            <w:pPr>
              <w:pStyle w:val="NoSpacing"/>
              <w:jc w:val="center"/>
              <w:rPr>
                <w:rFonts w:ascii="Times New Roman" w:hAnsi="Times New Roman" w:cs="Times New Roman"/>
                <w:szCs w:val="24"/>
                <w:lang w:eastAsia="en-IN"/>
              </w:rPr>
            </w:pPr>
          </w:p>
        </w:tc>
        <w:tc>
          <w:tcPr>
            <w:tcW w:w="0" w:type="auto"/>
            <w:vAlign w:val="center"/>
            <w:hideMark/>
          </w:tcPr>
          <w:p w14:paraId="3FE6E4B7" w14:textId="77777777" w:rsidR="00416FA8" w:rsidRPr="004B6753" w:rsidRDefault="00416FA8" w:rsidP="004B6753">
            <w:pPr>
              <w:pStyle w:val="NoSpacing"/>
              <w:jc w:val="center"/>
              <w:rPr>
                <w:rFonts w:ascii="Times New Roman" w:hAnsi="Times New Roman" w:cs="Times New Roman"/>
                <w:szCs w:val="24"/>
                <w:lang w:eastAsia="en-IN"/>
              </w:rPr>
            </w:pPr>
          </w:p>
        </w:tc>
        <w:tc>
          <w:tcPr>
            <w:tcW w:w="0" w:type="auto"/>
            <w:vAlign w:val="center"/>
            <w:hideMark/>
          </w:tcPr>
          <w:p w14:paraId="17E10890" w14:textId="77777777" w:rsidR="00416FA8" w:rsidRPr="004B6753" w:rsidRDefault="00416FA8" w:rsidP="004B6753">
            <w:pPr>
              <w:pStyle w:val="NoSpacing"/>
              <w:jc w:val="center"/>
              <w:rPr>
                <w:rFonts w:ascii="Times New Roman" w:hAnsi="Times New Roman" w:cs="Times New Roman"/>
                <w:szCs w:val="24"/>
                <w:lang w:eastAsia="en-IN"/>
              </w:rPr>
            </w:pPr>
          </w:p>
        </w:tc>
      </w:tr>
      <w:tr w:rsidR="00812C67" w:rsidRPr="004B6753" w14:paraId="203BE5E4" w14:textId="77777777" w:rsidTr="004B6753">
        <w:trPr>
          <w:trHeight w:val="221"/>
        </w:trPr>
        <w:tc>
          <w:tcPr>
            <w:tcW w:w="0" w:type="auto"/>
            <w:vMerge w:val="restart"/>
            <w:hideMark/>
          </w:tcPr>
          <w:p w14:paraId="6BFEB92B" w14:textId="77777777" w:rsidR="00812C67" w:rsidRPr="004B6753" w:rsidRDefault="00812C67" w:rsidP="00B77C0B">
            <w:pPr>
              <w:pStyle w:val="NoSpacing"/>
              <w:rPr>
                <w:rFonts w:ascii="Times New Roman" w:hAnsi="Times New Roman" w:cs="Times New Roman"/>
                <w:szCs w:val="24"/>
                <w:lang w:eastAsia="en-IN"/>
              </w:rPr>
            </w:pPr>
            <w:r w:rsidRPr="004B6753">
              <w:rPr>
                <w:rFonts w:ascii="Times New Roman" w:hAnsi="Times New Roman" w:cs="Times New Roman"/>
                <w:szCs w:val="24"/>
                <w:lang w:eastAsia="en-IN"/>
              </w:rPr>
              <w:t>1961-62</w:t>
            </w:r>
          </w:p>
        </w:tc>
        <w:tc>
          <w:tcPr>
            <w:tcW w:w="0" w:type="auto"/>
            <w:vAlign w:val="center"/>
            <w:hideMark/>
          </w:tcPr>
          <w:p w14:paraId="26128F26" w14:textId="77777777" w:rsidR="00812C67" w:rsidRPr="004B6753" w:rsidRDefault="00812C67" w:rsidP="004B6753">
            <w:pPr>
              <w:pStyle w:val="NoSpacing"/>
              <w:jc w:val="center"/>
              <w:rPr>
                <w:rFonts w:ascii="Times New Roman" w:hAnsi="Times New Roman" w:cs="Times New Roman"/>
                <w:szCs w:val="24"/>
                <w:lang w:eastAsia="en-IN"/>
              </w:rPr>
            </w:pPr>
            <w:r w:rsidRPr="004B6753">
              <w:rPr>
                <w:rFonts w:ascii="Times New Roman" w:hAnsi="Times New Roman" w:cs="Times New Roman"/>
                <w:szCs w:val="24"/>
                <w:lang w:eastAsia="en-IN"/>
              </w:rPr>
              <w:t>3.59</w:t>
            </w:r>
          </w:p>
        </w:tc>
        <w:tc>
          <w:tcPr>
            <w:tcW w:w="0" w:type="auto"/>
            <w:vAlign w:val="center"/>
            <w:hideMark/>
          </w:tcPr>
          <w:p w14:paraId="310A6744" w14:textId="77777777" w:rsidR="00812C67" w:rsidRPr="004B6753" w:rsidRDefault="00812C67" w:rsidP="004B6753">
            <w:pPr>
              <w:pStyle w:val="NoSpacing"/>
              <w:jc w:val="center"/>
              <w:rPr>
                <w:rFonts w:ascii="Times New Roman" w:hAnsi="Times New Roman" w:cs="Times New Roman"/>
                <w:szCs w:val="24"/>
                <w:lang w:eastAsia="en-IN"/>
              </w:rPr>
            </w:pPr>
            <w:r w:rsidRPr="004B6753">
              <w:rPr>
                <w:rFonts w:ascii="Times New Roman" w:hAnsi="Times New Roman" w:cs="Times New Roman"/>
                <w:szCs w:val="24"/>
                <w:lang w:eastAsia="en-IN"/>
              </w:rPr>
              <w:t>5.86</w:t>
            </w:r>
          </w:p>
        </w:tc>
        <w:tc>
          <w:tcPr>
            <w:tcW w:w="0" w:type="auto"/>
            <w:vAlign w:val="center"/>
            <w:hideMark/>
          </w:tcPr>
          <w:p w14:paraId="772879F6" w14:textId="77777777" w:rsidR="00812C67" w:rsidRPr="004B6753" w:rsidRDefault="00812C67" w:rsidP="004B6753">
            <w:pPr>
              <w:pStyle w:val="NoSpacing"/>
              <w:jc w:val="center"/>
              <w:rPr>
                <w:rFonts w:ascii="Times New Roman" w:hAnsi="Times New Roman" w:cs="Times New Roman"/>
                <w:szCs w:val="24"/>
                <w:lang w:eastAsia="en-IN"/>
              </w:rPr>
            </w:pPr>
            <w:r w:rsidRPr="004B6753">
              <w:rPr>
                <w:rFonts w:ascii="Times New Roman" w:hAnsi="Times New Roman" w:cs="Times New Roman"/>
                <w:szCs w:val="24"/>
                <w:lang w:eastAsia="en-IN"/>
              </w:rPr>
              <w:t>7.21</w:t>
            </w:r>
          </w:p>
        </w:tc>
        <w:tc>
          <w:tcPr>
            <w:tcW w:w="0" w:type="auto"/>
            <w:vAlign w:val="center"/>
            <w:hideMark/>
          </w:tcPr>
          <w:p w14:paraId="66DBBF89" w14:textId="77777777" w:rsidR="00812C67" w:rsidRPr="004B6753" w:rsidRDefault="00812C67" w:rsidP="004B6753">
            <w:pPr>
              <w:pStyle w:val="NoSpacing"/>
              <w:jc w:val="center"/>
              <w:rPr>
                <w:rFonts w:ascii="Times New Roman" w:hAnsi="Times New Roman" w:cs="Times New Roman"/>
                <w:szCs w:val="24"/>
                <w:lang w:eastAsia="en-IN"/>
              </w:rPr>
            </w:pPr>
            <w:r w:rsidRPr="004B6753">
              <w:rPr>
                <w:rFonts w:ascii="Times New Roman" w:hAnsi="Times New Roman" w:cs="Times New Roman"/>
                <w:szCs w:val="24"/>
                <w:lang w:eastAsia="en-IN"/>
              </w:rPr>
              <w:t>6.60</w:t>
            </w:r>
          </w:p>
        </w:tc>
        <w:tc>
          <w:tcPr>
            <w:tcW w:w="0" w:type="auto"/>
            <w:vAlign w:val="center"/>
            <w:hideMark/>
          </w:tcPr>
          <w:p w14:paraId="174FDDA3" w14:textId="77777777" w:rsidR="00812C67" w:rsidRPr="004B6753" w:rsidRDefault="00812C67" w:rsidP="004B6753">
            <w:pPr>
              <w:pStyle w:val="NoSpacing"/>
              <w:jc w:val="center"/>
              <w:rPr>
                <w:rFonts w:ascii="Times New Roman" w:hAnsi="Times New Roman" w:cs="Times New Roman"/>
                <w:szCs w:val="24"/>
                <w:lang w:eastAsia="en-IN"/>
              </w:rPr>
            </w:pPr>
            <w:r w:rsidRPr="004B6753">
              <w:rPr>
                <w:rFonts w:ascii="Times New Roman" w:hAnsi="Times New Roman" w:cs="Times New Roman"/>
                <w:szCs w:val="24"/>
                <w:lang w:eastAsia="en-IN"/>
              </w:rPr>
              <w:t>2.96</w:t>
            </w:r>
          </w:p>
        </w:tc>
        <w:tc>
          <w:tcPr>
            <w:tcW w:w="0" w:type="auto"/>
            <w:vAlign w:val="center"/>
            <w:hideMark/>
          </w:tcPr>
          <w:p w14:paraId="6DF67B25" w14:textId="77777777" w:rsidR="00812C67" w:rsidRPr="004B6753" w:rsidRDefault="00812C67" w:rsidP="004B6753">
            <w:pPr>
              <w:pStyle w:val="NoSpacing"/>
              <w:jc w:val="center"/>
              <w:rPr>
                <w:rFonts w:ascii="Times New Roman" w:hAnsi="Times New Roman" w:cs="Times New Roman"/>
                <w:szCs w:val="24"/>
                <w:lang w:eastAsia="en-IN"/>
              </w:rPr>
            </w:pPr>
            <w:r w:rsidRPr="004B6753">
              <w:rPr>
                <w:rFonts w:ascii="Times New Roman" w:hAnsi="Times New Roman" w:cs="Times New Roman"/>
                <w:szCs w:val="24"/>
                <w:lang w:eastAsia="en-IN"/>
              </w:rPr>
              <w:t>23.46</w:t>
            </w:r>
          </w:p>
        </w:tc>
        <w:tc>
          <w:tcPr>
            <w:tcW w:w="0" w:type="auto"/>
            <w:vAlign w:val="center"/>
            <w:hideMark/>
          </w:tcPr>
          <w:p w14:paraId="23DF3ED7" w14:textId="77777777" w:rsidR="00812C67" w:rsidRPr="004B6753" w:rsidRDefault="00812C67" w:rsidP="004B6753">
            <w:pPr>
              <w:pStyle w:val="NoSpacing"/>
              <w:jc w:val="center"/>
              <w:rPr>
                <w:rFonts w:ascii="Times New Roman" w:hAnsi="Times New Roman" w:cs="Times New Roman"/>
                <w:szCs w:val="24"/>
                <w:lang w:eastAsia="en-IN"/>
              </w:rPr>
            </w:pPr>
            <w:r w:rsidRPr="004B6753">
              <w:rPr>
                <w:rFonts w:ascii="Times New Roman" w:hAnsi="Times New Roman" w:cs="Times New Roman"/>
                <w:szCs w:val="24"/>
                <w:lang w:eastAsia="en-IN"/>
              </w:rPr>
              <w:t>6.50</w:t>
            </w:r>
          </w:p>
        </w:tc>
        <w:tc>
          <w:tcPr>
            <w:tcW w:w="0" w:type="auto"/>
            <w:vAlign w:val="center"/>
            <w:hideMark/>
          </w:tcPr>
          <w:p w14:paraId="467A9672" w14:textId="77777777" w:rsidR="00812C67" w:rsidRPr="004B6753" w:rsidRDefault="00812C67" w:rsidP="004B6753">
            <w:pPr>
              <w:pStyle w:val="NoSpacing"/>
              <w:jc w:val="center"/>
              <w:rPr>
                <w:rFonts w:ascii="Times New Roman" w:hAnsi="Times New Roman" w:cs="Times New Roman"/>
                <w:szCs w:val="24"/>
                <w:lang w:eastAsia="en-IN"/>
              </w:rPr>
            </w:pPr>
            <w:r w:rsidRPr="004B6753">
              <w:rPr>
                <w:rFonts w:ascii="Times New Roman" w:hAnsi="Times New Roman" w:cs="Times New Roman"/>
                <w:szCs w:val="24"/>
                <w:lang w:eastAsia="en-IN"/>
              </w:rPr>
              <w:t>2.18</w:t>
            </w:r>
          </w:p>
        </w:tc>
        <w:tc>
          <w:tcPr>
            <w:tcW w:w="0" w:type="auto"/>
            <w:vAlign w:val="center"/>
            <w:hideMark/>
          </w:tcPr>
          <w:p w14:paraId="67EA732C" w14:textId="77777777" w:rsidR="00812C67" w:rsidRPr="004B6753" w:rsidRDefault="00812C67" w:rsidP="004B6753">
            <w:pPr>
              <w:pStyle w:val="NoSpacing"/>
              <w:jc w:val="center"/>
              <w:rPr>
                <w:rFonts w:ascii="Times New Roman" w:hAnsi="Times New Roman" w:cs="Times New Roman"/>
                <w:szCs w:val="24"/>
                <w:lang w:eastAsia="en-IN"/>
              </w:rPr>
            </w:pPr>
            <w:r w:rsidRPr="004B6753">
              <w:rPr>
                <w:rFonts w:ascii="Times New Roman" w:hAnsi="Times New Roman" w:cs="Times New Roman"/>
                <w:szCs w:val="24"/>
                <w:lang w:eastAsia="en-IN"/>
              </w:rPr>
              <w:t>5.56</w:t>
            </w:r>
          </w:p>
        </w:tc>
        <w:tc>
          <w:tcPr>
            <w:tcW w:w="0" w:type="auto"/>
            <w:vAlign w:val="center"/>
            <w:hideMark/>
          </w:tcPr>
          <w:p w14:paraId="28513E12" w14:textId="77777777" w:rsidR="00812C67" w:rsidRPr="004B6753" w:rsidRDefault="00812C67" w:rsidP="004B6753">
            <w:pPr>
              <w:pStyle w:val="NoSpacing"/>
              <w:jc w:val="center"/>
              <w:rPr>
                <w:rFonts w:ascii="Times New Roman" w:hAnsi="Times New Roman" w:cs="Times New Roman"/>
                <w:szCs w:val="24"/>
                <w:lang w:eastAsia="en-IN"/>
              </w:rPr>
            </w:pPr>
            <w:r w:rsidRPr="004B6753">
              <w:rPr>
                <w:rFonts w:ascii="Times New Roman" w:hAnsi="Times New Roman" w:cs="Times New Roman"/>
                <w:szCs w:val="24"/>
                <w:lang w:eastAsia="en-IN"/>
              </w:rPr>
              <w:t>37.77</w:t>
            </w:r>
          </w:p>
        </w:tc>
        <w:tc>
          <w:tcPr>
            <w:tcW w:w="0" w:type="auto"/>
            <w:vAlign w:val="center"/>
            <w:hideMark/>
          </w:tcPr>
          <w:p w14:paraId="4FC6FF45" w14:textId="77777777" w:rsidR="00812C67" w:rsidRPr="004B6753" w:rsidRDefault="00812C67" w:rsidP="004B6753">
            <w:pPr>
              <w:pStyle w:val="NoSpacing"/>
              <w:jc w:val="center"/>
              <w:rPr>
                <w:rFonts w:ascii="Times New Roman" w:hAnsi="Times New Roman" w:cs="Times New Roman"/>
                <w:szCs w:val="24"/>
                <w:lang w:eastAsia="en-IN"/>
              </w:rPr>
            </w:pPr>
            <w:r w:rsidRPr="004B6753">
              <w:rPr>
                <w:rFonts w:ascii="Times New Roman" w:hAnsi="Times New Roman" w:cs="Times New Roman"/>
                <w:szCs w:val="24"/>
                <w:lang w:eastAsia="en-IN"/>
              </w:rPr>
              <w:t>101.79</w:t>
            </w:r>
          </w:p>
        </w:tc>
      </w:tr>
      <w:tr w:rsidR="00812C67" w:rsidRPr="004B6753" w14:paraId="58241115" w14:textId="77777777" w:rsidTr="004B6753">
        <w:trPr>
          <w:trHeight w:val="221"/>
        </w:trPr>
        <w:tc>
          <w:tcPr>
            <w:tcW w:w="0" w:type="auto"/>
            <w:vMerge/>
            <w:hideMark/>
          </w:tcPr>
          <w:p w14:paraId="34EF1DEA" w14:textId="77777777" w:rsidR="00812C67" w:rsidRPr="004B6753" w:rsidRDefault="00812C67" w:rsidP="00B77C0B">
            <w:pPr>
              <w:pStyle w:val="NoSpacing"/>
              <w:rPr>
                <w:rFonts w:ascii="Times New Roman" w:hAnsi="Times New Roman" w:cs="Times New Roman"/>
                <w:szCs w:val="24"/>
                <w:lang w:eastAsia="en-IN"/>
              </w:rPr>
            </w:pPr>
          </w:p>
        </w:tc>
        <w:tc>
          <w:tcPr>
            <w:tcW w:w="0" w:type="auto"/>
            <w:vAlign w:val="center"/>
            <w:hideMark/>
          </w:tcPr>
          <w:p w14:paraId="545B7BCA" w14:textId="77777777" w:rsidR="00812C67" w:rsidRPr="004B6753" w:rsidRDefault="00812C67" w:rsidP="004B6753">
            <w:pPr>
              <w:pStyle w:val="NoSpacing"/>
              <w:jc w:val="center"/>
              <w:rPr>
                <w:rFonts w:ascii="Times New Roman" w:hAnsi="Times New Roman" w:cs="Times New Roman"/>
                <w:szCs w:val="24"/>
                <w:lang w:eastAsia="en-IN"/>
              </w:rPr>
            </w:pPr>
            <w:r w:rsidRPr="004B6753">
              <w:rPr>
                <w:rFonts w:ascii="Times New Roman" w:hAnsi="Times New Roman" w:cs="Times New Roman"/>
                <w:i/>
                <w:iCs/>
                <w:szCs w:val="24"/>
                <w:lang w:eastAsia="en-IN"/>
              </w:rPr>
              <w:t>(3.53)</w:t>
            </w:r>
          </w:p>
        </w:tc>
        <w:tc>
          <w:tcPr>
            <w:tcW w:w="0" w:type="auto"/>
            <w:vAlign w:val="center"/>
            <w:hideMark/>
          </w:tcPr>
          <w:p w14:paraId="54A8CFCB" w14:textId="77777777" w:rsidR="00812C67" w:rsidRPr="004B6753" w:rsidRDefault="00812C67" w:rsidP="004B6753">
            <w:pPr>
              <w:pStyle w:val="NoSpacing"/>
              <w:jc w:val="center"/>
              <w:rPr>
                <w:rFonts w:ascii="Times New Roman" w:hAnsi="Times New Roman" w:cs="Times New Roman"/>
                <w:szCs w:val="24"/>
                <w:lang w:eastAsia="en-IN"/>
              </w:rPr>
            </w:pPr>
            <w:r w:rsidRPr="004B6753">
              <w:rPr>
                <w:rFonts w:ascii="Times New Roman" w:hAnsi="Times New Roman" w:cs="Times New Roman"/>
                <w:i/>
                <w:iCs/>
                <w:szCs w:val="24"/>
                <w:lang w:eastAsia="en-IN"/>
              </w:rPr>
              <w:t>(5.76)</w:t>
            </w:r>
          </w:p>
        </w:tc>
        <w:tc>
          <w:tcPr>
            <w:tcW w:w="0" w:type="auto"/>
            <w:vAlign w:val="center"/>
            <w:hideMark/>
          </w:tcPr>
          <w:p w14:paraId="6B388FA9" w14:textId="77777777" w:rsidR="00812C67" w:rsidRPr="004B6753" w:rsidRDefault="00812C67" w:rsidP="004B6753">
            <w:pPr>
              <w:pStyle w:val="NoSpacing"/>
              <w:jc w:val="center"/>
              <w:rPr>
                <w:rFonts w:ascii="Times New Roman" w:hAnsi="Times New Roman" w:cs="Times New Roman"/>
                <w:szCs w:val="24"/>
                <w:lang w:eastAsia="en-IN"/>
              </w:rPr>
            </w:pPr>
            <w:r w:rsidRPr="004B6753">
              <w:rPr>
                <w:rFonts w:ascii="Times New Roman" w:hAnsi="Times New Roman" w:cs="Times New Roman"/>
                <w:i/>
                <w:iCs/>
                <w:szCs w:val="24"/>
                <w:lang w:eastAsia="en-IN"/>
              </w:rPr>
              <w:t>(7.08)</w:t>
            </w:r>
          </w:p>
        </w:tc>
        <w:tc>
          <w:tcPr>
            <w:tcW w:w="0" w:type="auto"/>
            <w:vAlign w:val="center"/>
            <w:hideMark/>
          </w:tcPr>
          <w:p w14:paraId="73EC3C54" w14:textId="77777777" w:rsidR="00812C67" w:rsidRPr="004B6753" w:rsidRDefault="00812C67" w:rsidP="004B6753">
            <w:pPr>
              <w:pStyle w:val="NoSpacing"/>
              <w:jc w:val="center"/>
              <w:rPr>
                <w:rFonts w:ascii="Times New Roman" w:hAnsi="Times New Roman" w:cs="Times New Roman"/>
                <w:szCs w:val="24"/>
                <w:lang w:eastAsia="en-IN"/>
              </w:rPr>
            </w:pPr>
            <w:r w:rsidRPr="004B6753">
              <w:rPr>
                <w:rFonts w:ascii="Times New Roman" w:hAnsi="Times New Roman" w:cs="Times New Roman"/>
                <w:i/>
                <w:iCs/>
                <w:szCs w:val="24"/>
                <w:lang w:eastAsia="en-IN"/>
              </w:rPr>
              <w:t>(6.48)</w:t>
            </w:r>
          </w:p>
        </w:tc>
        <w:tc>
          <w:tcPr>
            <w:tcW w:w="0" w:type="auto"/>
            <w:vAlign w:val="center"/>
            <w:hideMark/>
          </w:tcPr>
          <w:p w14:paraId="48D35F1F" w14:textId="77777777" w:rsidR="00812C67" w:rsidRPr="004B6753" w:rsidRDefault="00812C67" w:rsidP="004B6753">
            <w:pPr>
              <w:pStyle w:val="NoSpacing"/>
              <w:jc w:val="center"/>
              <w:rPr>
                <w:rFonts w:ascii="Times New Roman" w:hAnsi="Times New Roman" w:cs="Times New Roman"/>
                <w:szCs w:val="24"/>
                <w:lang w:eastAsia="en-IN"/>
              </w:rPr>
            </w:pPr>
            <w:r w:rsidRPr="004B6753">
              <w:rPr>
                <w:rFonts w:ascii="Times New Roman" w:hAnsi="Times New Roman" w:cs="Times New Roman"/>
                <w:i/>
                <w:iCs/>
                <w:szCs w:val="24"/>
                <w:lang w:eastAsia="en-IN"/>
              </w:rPr>
              <w:t>(2.91)</w:t>
            </w:r>
          </w:p>
        </w:tc>
        <w:tc>
          <w:tcPr>
            <w:tcW w:w="0" w:type="auto"/>
            <w:vAlign w:val="center"/>
            <w:hideMark/>
          </w:tcPr>
          <w:p w14:paraId="6FF504CC" w14:textId="77777777" w:rsidR="00812C67" w:rsidRPr="004B6753" w:rsidRDefault="00812C67" w:rsidP="004B6753">
            <w:pPr>
              <w:pStyle w:val="NoSpacing"/>
              <w:jc w:val="center"/>
              <w:rPr>
                <w:rFonts w:ascii="Times New Roman" w:hAnsi="Times New Roman" w:cs="Times New Roman"/>
                <w:szCs w:val="24"/>
                <w:lang w:eastAsia="en-IN"/>
              </w:rPr>
            </w:pPr>
            <w:r w:rsidRPr="004B6753">
              <w:rPr>
                <w:rFonts w:ascii="Times New Roman" w:hAnsi="Times New Roman" w:cs="Times New Roman"/>
                <w:i/>
                <w:iCs/>
                <w:szCs w:val="24"/>
                <w:lang w:eastAsia="en-IN"/>
              </w:rPr>
              <w:t>(23.05)</w:t>
            </w:r>
          </w:p>
        </w:tc>
        <w:tc>
          <w:tcPr>
            <w:tcW w:w="0" w:type="auto"/>
            <w:vAlign w:val="center"/>
            <w:hideMark/>
          </w:tcPr>
          <w:p w14:paraId="25C5EC77" w14:textId="77777777" w:rsidR="00812C67" w:rsidRPr="004B6753" w:rsidRDefault="00812C67" w:rsidP="004B6753">
            <w:pPr>
              <w:pStyle w:val="NoSpacing"/>
              <w:jc w:val="center"/>
              <w:rPr>
                <w:rFonts w:ascii="Times New Roman" w:hAnsi="Times New Roman" w:cs="Times New Roman"/>
                <w:szCs w:val="24"/>
                <w:lang w:eastAsia="en-IN"/>
              </w:rPr>
            </w:pPr>
            <w:r w:rsidRPr="004B6753">
              <w:rPr>
                <w:rFonts w:ascii="Times New Roman" w:hAnsi="Times New Roman" w:cs="Times New Roman"/>
                <w:i/>
                <w:iCs/>
                <w:szCs w:val="24"/>
                <w:lang w:eastAsia="en-IN"/>
              </w:rPr>
              <w:t>(6.38)</w:t>
            </w:r>
          </w:p>
        </w:tc>
        <w:tc>
          <w:tcPr>
            <w:tcW w:w="0" w:type="auto"/>
            <w:vAlign w:val="center"/>
            <w:hideMark/>
          </w:tcPr>
          <w:p w14:paraId="350D4981" w14:textId="77777777" w:rsidR="00812C67" w:rsidRPr="004B6753" w:rsidRDefault="00812C67" w:rsidP="004B6753">
            <w:pPr>
              <w:pStyle w:val="NoSpacing"/>
              <w:jc w:val="center"/>
              <w:rPr>
                <w:rFonts w:ascii="Times New Roman" w:hAnsi="Times New Roman" w:cs="Times New Roman"/>
                <w:szCs w:val="24"/>
                <w:lang w:eastAsia="en-IN"/>
              </w:rPr>
            </w:pPr>
            <w:r w:rsidRPr="004B6753">
              <w:rPr>
                <w:rFonts w:ascii="Times New Roman" w:hAnsi="Times New Roman" w:cs="Times New Roman"/>
                <w:i/>
                <w:iCs/>
                <w:szCs w:val="24"/>
                <w:lang w:eastAsia="en-IN"/>
              </w:rPr>
              <w:t>(2.14)</w:t>
            </w:r>
          </w:p>
        </w:tc>
        <w:tc>
          <w:tcPr>
            <w:tcW w:w="0" w:type="auto"/>
            <w:vAlign w:val="center"/>
            <w:hideMark/>
          </w:tcPr>
          <w:p w14:paraId="59C99D26" w14:textId="77777777" w:rsidR="00812C67" w:rsidRPr="004B6753" w:rsidRDefault="00812C67" w:rsidP="004B6753">
            <w:pPr>
              <w:pStyle w:val="NoSpacing"/>
              <w:jc w:val="center"/>
              <w:rPr>
                <w:rFonts w:ascii="Times New Roman" w:hAnsi="Times New Roman" w:cs="Times New Roman"/>
                <w:szCs w:val="24"/>
                <w:lang w:eastAsia="en-IN"/>
              </w:rPr>
            </w:pPr>
            <w:r w:rsidRPr="004B6753">
              <w:rPr>
                <w:rFonts w:ascii="Times New Roman" w:hAnsi="Times New Roman" w:cs="Times New Roman"/>
                <w:i/>
                <w:iCs/>
                <w:szCs w:val="24"/>
                <w:lang w:eastAsia="en-IN"/>
              </w:rPr>
              <w:t>(5.56)</w:t>
            </w:r>
          </w:p>
        </w:tc>
        <w:tc>
          <w:tcPr>
            <w:tcW w:w="0" w:type="auto"/>
            <w:vAlign w:val="center"/>
            <w:hideMark/>
          </w:tcPr>
          <w:p w14:paraId="269E98FE" w14:textId="77777777" w:rsidR="00812C67" w:rsidRPr="004B6753" w:rsidRDefault="00812C67" w:rsidP="004B6753">
            <w:pPr>
              <w:pStyle w:val="NoSpacing"/>
              <w:jc w:val="center"/>
              <w:rPr>
                <w:rFonts w:ascii="Times New Roman" w:hAnsi="Times New Roman" w:cs="Times New Roman"/>
                <w:szCs w:val="24"/>
                <w:lang w:eastAsia="en-IN"/>
              </w:rPr>
            </w:pPr>
            <w:r w:rsidRPr="004B6753">
              <w:rPr>
                <w:rFonts w:ascii="Times New Roman" w:hAnsi="Times New Roman" w:cs="Times New Roman"/>
                <w:i/>
                <w:iCs/>
                <w:szCs w:val="24"/>
                <w:lang w:eastAsia="en-IN"/>
              </w:rPr>
              <w:t>(37.11)</w:t>
            </w:r>
          </w:p>
        </w:tc>
        <w:tc>
          <w:tcPr>
            <w:tcW w:w="0" w:type="auto"/>
            <w:vAlign w:val="center"/>
            <w:hideMark/>
          </w:tcPr>
          <w:p w14:paraId="2D60081D" w14:textId="77777777" w:rsidR="00812C67" w:rsidRPr="004B6753" w:rsidRDefault="00812C67" w:rsidP="004B6753">
            <w:pPr>
              <w:pStyle w:val="NoSpacing"/>
              <w:jc w:val="center"/>
              <w:rPr>
                <w:rFonts w:ascii="Times New Roman" w:hAnsi="Times New Roman" w:cs="Times New Roman"/>
                <w:szCs w:val="24"/>
                <w:lang w:eastAsia="en-IN"/>
              </w:rPr>
            </w:pPr>
            <w:r w:rsidRPr="004B6753">
              <w:rPr>
                <w:rFonts w:ascii="Times New Roman" w:hAnsi="Times New Roman" w:cs="Times New Roman"/>
                <w:i/>
                <w:iCs/>
                <w:szCs w:val="24"/>
                <w:lang w:eastAsia="en-IN"/>
              </w:rPr>
              <w:t>(100.00)</w:t>
            </w:r>
          </w:p>
        </w:tc>
      </w:tr>
      <w:tr w:rsidR="00416FA8" w:rsidRPr="004B6753" w14:paraId="69713F54" w14:textId="77777777" w:rsidTr="004B6753">
        <w:trPr>
          <w:trHeight w:val="221"/>
        </w:trPr>
        <w:tc>
          <w:tcPr>
            <w:tcW w:w="0" w:type="auto"/>
            <w:hideMark/>
          </w:tcPr>
          <w:p w14:paraId="7AB03694" w14:textId="77777777" w:rsidR="00416FA8" w:rsidRPr="004B6753" w:rsidRDefault="00416FA8" w:rsidP="00B77C0B">
            <w:pPr>
              <w:pStyle w:val="NoSpacing"/>
              <w:rPr>
                <w:rFonts w:ascii="Times New Roman" w:hAnsi="Times New Roman" w:cs="Times New Roman"/>
                <w:szCs w:val="24"/>
                <w:lang w:eastAsia="en-IN"/>
              </w:rPr>
            </w:pPr>
            <w:r w:rsidRPr="004B6753">
              <w:rPr>
                <w:rFonts w:ascii="Times New Roman" w:hAnsi="Times New Roman" w:cs="Times New Roman"/>
                <w:szCs w:val="24"/>
                <w:lang w:eastAsia="en-IN"/>
              </w:rPr>
              <w:t>1965-66</w:t>
            </w:r>
          </w:p>
        </w:tc>
        <w:tc>
          <w:tcPr>
            <w:tcW w:w="0" w:type="auto"/>
            <w:vAlign w:val="center"/>
            <w:hideMark/>
          </w:tcPr>
          <w:p w14:paraId="552AD7CE" w14:textId="77777777" w:rsidR="00416FA8" w:rsidRPr="004B6753" w:rsidRDefault="00416FA8" w:rsidP="004B6753">
            <w:pPr>
              <w:pStyle w:val="NoSpacing"/>
              <w:jc w:val="center"/>
              <w:rPr>
                <w:rFonts w:ascii="Times New Roman" w:hAnsi="Times New Roman" w:cs="Times New Roman"/>
                <w:szCs w:val="24"/>
                <w:lang w:eastAsia="en-IN"/>
              </w:rPr>
            </w:pPr>
            <w:r w:rsidRPr="004B6753">
              <w:rPr>
                <w:rFonts w:ascii="Times New Roman" w:hAnsi="Times New Roman" w:cs="Times New Roman"/>
                <w:szCs w:val="24"/>
                <w:lang w:eastAsia="en-IN"/>
              </w:rPr>
              <w:t>3.55</w:t>
            </w:r>
          </w:p>
        </w:tc>
        <w:tc>
          <w:tcPr>
            <w:tcW w:w="0" w:type="auto"/>
            <w:vAlign w:val="center"/>
            <w:hideMark/>
          </w:tcPr>
          <w:p w14:paraId="67A5E668" w14:textId="77777777" w:rsidR="00416FA8" w:rsidRPr="004B6753" w:rsidRDefault="00416FA8" w:rsidP="004B6753">
            <w:pPr>
              <w:pStyle w:val="NoSpacing"/>
              <w:jc w:val="center"/>
              <w:rPr>
                <w:rFonts w:ascii="Times New Roman" w:hAnsi="Times New Roman" w:cs="Times New Roman"/>
                <w:szCs w:val="24"/>
                <w:lang w:eastAsia="en-IN"/>
              </w:rPr>
            </w:pPr>
            <w:r w:rsidRPr="004B6753">
              <w:rPr>
                <w:rFonts w:ascii="Times New Roman" w:hAnsi="Times New Roman" w:cs="Times New Roman"/>
                <w:szCs w:val="24"/>
                <w:lang w:eastAsia="en-IN"/>
              </w:rPr>
              <w:t>17.38</w:t>
            </w:r>
          </w:p>
        </w:tc>
        <w:tc>
          <w:tcPr>
            <w:tcW w:w="0" w:type="auto"/>
            <w:vAlign w:val="center"/>
            <w:hideMark/>
          </w:tcPr>
          <w:p w14:paraId="62850530" w14:textId="77777777" w:rsidR="00416FA8" w:rsidRPr="004B6753" w:rsidRDefault="00416FA8" w:rsidP="004B6753">
            <w:pPr>
              <w:pStyle w:val="NoSpacing"/>
              <w:jc w:val="center"/>
              <w:rPr>
                <w:rFonts w:ascii="Times New Roman" w:hAnsi="Times New Roman" w:cs="Times New Roman"/>
                <w:szCs w:val="24"/>
                <w:lang w:eastAsia="en-IN"/>
              </w:rPr>
            </w:pPr>
            <w:r w:rsidRPr="004B6753">
              <w:rPr>
                <w:rFonts w:ascii="Times New Roman" w:hAnsi="Times New Roman" w:cs="Times New Roman"/>
                <w:szCs w:val="24"/>
                <w:lang w:eastAsia="en-IN"/>
              </w:rPr>
              <w:t>9.60</w:t>
            </w:r>
          </w:p>
        </w:tc>
        <w:tc>
          <w:tcPr>
            <w:tcW w:w="0" w:type="auto"/>
            <w:vAlign w:val="center"/>
            <w:hideMark/>
          </w:tcPr>
          <w:p w14:paraId="2424E160" w14:textId="77777777" w:rsidR="00416FA8" w:rsidRPr="004B6753" w:rsidRDefault="00416FA8" w:rsidP="004B6753">
            <w:pPr>
              <w:pStyle w:val="NoSpacing"/>
              <w:jc w:val="center"/>
              <w:rPr>
                <w:rFonts w:ascii="Times New Roman" w:hAnsi="Times New Roman" w:cs="Times New Roman"/>
                <w:szCs w:val="24"/>
                <w:lang w:eastAsia="en-IN"/>
              </w:rPr>
            </w:pPr>
            <w:r w:rsidRPr="004B6753">
              <w:rPr>
                <w:rFonts w:ascii="Times New Roman" w:hAnsi="Times New Roman" w:cs="Times New Roman"/>
                <w:szCs w:val="24"/>
                <w:lang w:eastAsia="en-IN"/>
              </w:rPr>
              <w:t>9.46</w:t>
            </w:r>
          </w:p>
        </w:tc>
        <w:tc>
          <w:tcPr>
            <w:tcW w:w="0" w:type="auto"/>
            <w:vAlign w:val="center"/>
            <w:hideMark/>
          </w:tcPr>
          <w:p w14:paraId="35E6D8AC" w14:textId="77777777" w:rsidR="00416FA8" w:rsidRPr="004B6753" w:rsidRDefault="00416FA8" w:rsidP="004B6753">
            <w:pPr>
              <w:pStyle w:val="NoSpacing"/>
              <w:jc w:val="center"/>
              <w:rPr>
                <w:rFonts w:ascii="Times New Roman" w:hAnsi="Times New Roman" w:cs="Times New Roman"/>
                <w:szCs w:val="24"/>
                <w:lang w:eastAsia="en-IN"/>
              </w:rPr>
            </w:pPr>
            <w:r w:rsidRPr="004B6753">
              <w:rPr>
                <w:rFonts w:ascii="Times New Roman" w:hAnsi="Times New Roman" w:cs="Times New Roman"/>
                <w:szCs w:val="24"/>
                <w:lang w:eastAsia="en-IN"/>
              </w:rPr>
              <w:t>5.15</w:t>
            </w:r>
          </w:p>
        </w:tc>
        <w:tc>
          <w:tcPr>
            <w:tcW w:w="0" w:type="auto"/>
            <w:vAlign w:val="center"/>
            <w:hideMark/>
          </w:tcPr>
          <w:p w14:paraId="74130C2F" w14:textId="77777777" w:rsidR="00416FA8" w:rsidRPr="004B6753" w:rsidRDefault="00416FA8" w:rsidP="004B6753">
            <w:pPr>
              <w:pStyle w:val="NoSpacing"/>
              <w:jc w:val="center"/>
              <w:rPr>
                <w:rFonts w:ascii="Times New Roman" w:hAnsi="Times New Roman" w:cs="Times New Roman"/>
                <w:szCs w:val="24"/>
                <w:lang w:eastAsia="en-IN"/>
              </w:rPr>
            </w:pPr>
            <w:r w:rsidRPr="004B6753">
              <w:rPr>
                <w:rFonts w:ascii="Times New Roman" w:hAnsi="Times New Roman" w:cs="Times New Roman"/>
                <w:szCs w:val="24"/>
                <w:lang w:eastAsia="en-IN"/>
              </w:rPr>
              <w:t>37.85</w:t>
            </w:r>
          </w:p>
        </w:tc>
        <w:tc>
          <w:tcPr>
            <w:tcW w:w="0" w:type="auto"/>
            <w:vAlign w:val="center"/>
            <w:hideMark/>
          </w:tcPr>
          <w:p w14:paraId="19C74EC7" w14:textId="77777777" w:rsidR="00416FA8" w:rsidRPr="004B6753" w:rsidRDefault="00416FA8" w:rsidP="004B6753">
            <w:pPr>
              <w:pStyle w:val="NoSpacing"/>
              <w:jc w:val="center"/>
              <w:rPr>
                <w:rFonts w:ascii="Times New Roman" w:hAnsi="Times New Roman" w:cs="Times New Roman"/>
                <w:szCs w:val="24"/>
                <w:lang w:eastAsia="en-IN"/>
              </w:rPr>
            </w:pPr>
            <w:r w:rsidRPr="004B6753">
              <w:rPr>
                <w:rFonts w:ascii="Times New Roman" w:hAnsi="Times New Roman" w:cs="Times New Roman"/>
                <w:szCs w:val="24"/>
                <w:lang w:eastAsia="en-IN"/>
              </w:rPr>
              <w:t>10.33</w:t>
            </w:r>
          </w:p>
        </w:tc>
        <w:tc>
          <w:tcPr>
            <w:tcW w:w="0" w:type="auto"/>
            <w:vAlign w:val="center"/>
            <w:hideMark/>
          </w:tcPr>
          <w:p w14:paraId="0E25EAC2" w14:textId="77777777" w:rsidR="00416FA8" w:rsidRPr="004B6753" w:rsidRDefault="00416FA8" w:rsidP="004B6753">
            <w:pPr>
              <w:pStyle w:val="NoSpacing"/>
              <w:jc w:val="center"/>
              <w:rPr>
                <w:rFonts w:ascii="Times New Roman" w:hAnsi="Times New Roman" w:cs="Times New Roman"/>
                <w:szCs w:val="24"/>
                <w:lang w:eastAsia="en-IN"/>
              </w:rPr>
            </w:pPr>
            <w:r w:rsidRPr="004B6753">
              <w:rPr>
                <w:rFonts w:ascii="Times New Roman" w:hAnsi="Times New Roman" w:cs="Times New Roman"/>
                <w:szCs w:val="24"/>
                <w:lang w:eastAsia="en-IN"/>
              </w:rPr>
              <w:t>3.62</w:t>
            </w:r>
          </w:p>
        </w:tc>
        <w:tc>
          <w:tcPr>
            <w:tcW w:w="0" w:type="auto"/>
            <w:vAlign w:val="center"/>
            <w:hideMark/>
          </w:tcPr>
          <w:p w14:paraId="5FABCC5F" w14:textId="77777777" w:rsidR="00416FA8" w:rsidRPr="004B6753" w:rsidRDefault="00416FA8" w:rsidP="004B6753">
            <w:pPr>
              <w:pStyle w:val="NoSpacing"/>
              <w:jc w:val="center"/>
              <w:rPr>
                <w:rFonts w:ascii="Times New Roman" w:hAnsi="Times New Roman" w:cs="Times New Roman"/>
                <w:szCs w:val="24"/>
                <w:lang w:eastAsia="en-IN"/>
              </w:rPr>
            </w:pPr>
            <w:r w:rsidRPr="004B6753">
              <w:rPr>
                <w:rFonts w:ascii="Times New Roman" w:hAnsi="Times New Roman" w:cs="Times New Roman"/>
                <w:szCs w:val="24"/>
                <w:lang w:eastAsia="en-IN"/>
              </w:rPr>
              <w:t>13.99</w:t>
            </w:r>
          </w:p>
        </w:tc>
        <w:tc>
          <w:tcPr>
            <w:tcW w:w="0" w:type="auto"/>
            <w:vAlign w:val="center"/>
            <w:hideMark/>
          </w:tcPr>
          <w:p w14:paraId="5CCC45AE" w14:textId="77777777" w:rsidR="00416FA8" w:rsidRPr="004B6753" w:rsidRDefault="00416FA8" w:rsidP="004B6753">
            <w:pPr>
              <w:pStyle w:val="NoSpacing"/>
              <w:jc w:val="center"/>
              <w:rPr>
                <w:rFonts w:ascii="Times New Roman" w:hAnsi="Times New Roman" w:cs="Times New Roman"/>
                <w:szCs w:val="24"/>
                <w:lang w:eastAsia="en-IN"/>
              </w:rPr>
            </w:pPr>
            <w:r w:rsidRPr="004B6753">
              <w:rPr>
                <w:rFonts w:ascii="Times New Roman" w:hAnsi="Times New Roman" w:cs="Times New Roman"/>
                <w:szCs w:val="24"/>
                <w:lang w:eastAsia="en-IN"/>
              </w:rPr>
              <w:t>69.73</w:t>
            </w:r>
          </w:p>
        </w:tc>
        <w:tc>
          <w:tcPr>
            <w:tcW w:w="0" w:type="auto"/>
            <w:vAlign w:val="center"/>
            <w:hideMark/>
          </w:tcPr>
          <w:p w14:paraId="239A1701" w14:textId="77777777" w:rsidR="00416FA8" w:rsidRPr="004B6753" w:rsidRDefault="00416FA8" w:rsidP="004B6753">
            <w:pPr>
              <w:pStyle w:val="NoSpacing"/>
              <w:jc w:val="center"/>
              <w:rPr>
                <w:rFonts w:ascii="Times New Roman" w:hAnsi="Times New Roman" w:cs="Times New Roman"/>
                <w:szCs w:val="24"/>
                <w:lang w:eastAsia="en-IN"/>
              </w:rPr>
            </w:pPr>
            <w:r w:rsidRPr="004B6753">
              <w:rPr>
                <w:rFonts w:ascii="Times New Roman" w:hAnsi="Times New Roman" w:cs="Times New Roman"/>
                <w:szCs w:val="24"/>
                <w:lang w:eastAsia="en-IN"/>
              </w:rPr>
              <w:t>180.66</w:t>
            </w:r>
          </w:p>
        </w:tc>
      </w:tr>
      <w:tr w:rsidR="00416FA8" w:rsidRPr="004B6753" w14:paraId="5C240180" w14:textId="77777777" w:rsidTr="004B6753">
        <w:trPr>
          <w:trHeight w:val="221"/>
        </w:trPr>
        <w:tc>
          <w:tcPr>
            <w:tcW w:w="0" w:type="auto"/>
            <w:hideMark/>
          </w:tcPr>
          <w:p w14:paraId="38975BAC" w14:textId="77777777" w:rsidR="00416FA8" w:rsidRPr="004B6753" w:rsidRDefault="00416FA8" w:rsidP="00B77C0B">
            <w:pPr>
              <w:pStyle w:val="NoSpacing"/>
              <w:rPr>
                <w:rFonts w:ascii="Times New Roman" w:hAnsi="Times New Roman" w:cs="Times New Roman"/>
                <w:szCs w:val="24"/>
                <w:lang w:eastAsia="en-IN"/>
              </w:rPr>
            </w:pPr>
            <w:r w:rsidRPr="004B6753">
              <w:rPr>
                <w:rFonts w:ascii="Times New Roman" w:hAnsi="Times New Roman" w:cs="Times New Roman"/>
                <w:szCs w:val="24"/>
                <w:lang w:eastAsia="en-IN"/>
              </w:rPr>
              <w:t>1966-67</w:t>
            </w:r>
          </w:p>
        </w:tc>
        <w:tc>
          <w:tcPr>
            <w:tcW w:w="0" w:type="auto"/>
            <w:vAlign w:val="center"/>
            <w:hideMark/>
          </w:tcPr>
          <w:p w14:paraId="21A4AD61" w14:textId="77777777" w:rsidR="00416FA8" w:rsidRPr="004B6753" w:rsidRDefault="00416FA8" w:rsidP="004B6753">
            <w:pPr>
              <w:pStyle w:val="NoSpacing"/>
              <w:jc w:val="center"/>
              <w:rPr>
                <w:rFonts w:ascii="Times New Roman" w:hAnsi="Times New Roman" w:cs="Times New Roman"/>
                <w:szCs w:val="24"/>
                <w:lang w:eastAsia="en-IN"/>
              </w:rPr>
            </w:pPr>
            <w:r w:rsidRPr="004B6753">
              <w:rPr>
                <w:rFonts w:ascii="Times New Roman" w:hAnsi="Times New Roman" w:cs="Times New Roman"/>
                <w:szCs w:val="24"/>
                <w:lang w:eastAsia="en-IN"/>
              </w:rPr>
              <w:t>3.94</w:t>
            </w:r>
          </w:p>
        </w:tc>
        <w:tc>
          <w:tcPr>
            <w:tcW w:w="0" w:type="auto"/>
            <w:vAlign w:val="center"/>
            <w:hideMark/>
          </w:tcPr>
          <w:p w14:paraId="459C1830" w14:textId="77777777" w:rsidR="00416FA8" w:rsidRPr="004B6753" w:rsidRDefault="00416FA8" w:rsidP="004B6753">
            <w:pPr>
              <w:pStyle w:val="NoSpacing"/>
              <w:jc w:val="center"/>
              <w:rPr>
                <w:rFonts w:ascii="Times New Roman" w:hAnsi="Times New Roman" w:cs="Times New Roman"/>
                <w:szCs w:val="24"/>
                <w:lang w:eastAsia="en-IN"/>
              </w:rPr>
            </w:pPr>
            <w:r w:rsidRPr="004B6753">
              <w:rPr>
                <w:rFonts w:ascii="Times New Roman" w:hAnsi="Times New Roman" w:cs="Times New Roman"/>
                <w:szCs w:val="24"/>
                <w:lang w:eastAsia="en-IN"/>
              </w:rPr>
              <w:t>26.75</w:t>
            </w:r>
          </w:p>
        </w:tc>
        <w:tc>
          <w:tcPr>
            <w:tcW w:w="0" w:type="auto"/>
            <w:vAlign w:val="center"/>
            <w:hideMark/>
          </w:tcPr>
          <w:p w14:paraId="1058BAE3" w14:textId="77777777" w:rsidR="00416FA8" w:rsidRPr="004B6753" w:rsidRDefault="00416FA8" w:rsidP="004B6753">
            <w:pPr>
              <w:pStyle w:val="NoSpacing"/>
              <w:jc w:val="center"/>
              <w:rPr>
                <w:rFonts w:ascii="Times New Roman" w:hAnsi="Times New Roman" w:cs="Times New Roman"/>
                <w:szCs w:val="24"/>
                <w:lang w:eastAsia="en-IN"/>
              </w:rPr>
            </w:pPr>
            <w:r w:rsidRPr="004B6753">
              <w:rPr>
                <w:rFonts w:ascii="Times New Roman" w:hAnsi="Times New Roman" w:cs="Times New Roman"/>
                <w:szCs w:val="24"/>
                <w:lang w:eastAsia="en-IN"/>
              </w:rPr>
              <w:t>10.12</w:t>
            </w:r>
          </w:p>
        </w:tc>
        <w:tc>
          <w:tcPr>
            <w:tcW w:w="0" w:type="auto"/>
            <w:vAlign w:val="center"/>
            <w:hideMark/>
          </w:tcPr>
          <w:p w14:paraId="37065AF3" w14:textId="77777777" w:rsidR="00416FA8" w:rsidRPr="004B6753" w:rsidRDefault="00416FA8" w:rsidP="004B6753">
            <w:pPr>
              <w:pStyle w:val="NoSpacing"/>
              <w:jc w:val="center"/>
              <w:rPr>
                <w:rFonts w:ascii="Times New Roman" w:hAnsi="Times New Roman" w:cs="Times New Roman"/>
                <w:szCs w:val="24"/>
                <w:lang w:eastAsia="en-IN"/>
              </w:rPr>
            </w:pPr>
            <w:r w:rsidRPr="004B6753">
              <w:rPr>
                <w:rFonts w:ascii="Times New Roman" w:hAnsi="Times New Roman" w:cs="Times New Roman"/>
                <w:szCs w:val="24"/>
                <w:lang w:eastAsia="en-IN"/>
              </w:rPr>
              <w:t>10.50</w:t>
            </w:r>
          </w:p>
        </w:tc>
        <w:tc>
          <w:tcPr>
            <w:tcW w:w="0" w:type="auto"/>
            <w:vAlign w:val="center"/>
            <w:hideMark/>
          </w:tcPr>
          <w:p w14:paraId="09DBF6DF" w14:textId="77777777" w:rsidR="00416FA8" w:rsidRPr="004B6753" w:rsidRDefault="00416FA8" w:rsidP="004B6753">
            <w:pPr>
              <w:pStyle w:val="NoSpacing"/>
              <w:jc w:val="center"/>
              <w:rPr>
                <w:rFonts w:ascii="Times New Roman" w:hAnsi="Times New Roman" w:cs="Times New Roman"/>
                <w:szCs w:val="24"/>
                <w:lang w:eastAsia="en-IN"/>
              </w:rPr>
            </w:pPr>
            <w:r w:rsidRPr="004B6753">
              <w:rPr>
                <w:rFonts w:ascii="Times New Roman" w:hAnsi="Times New Roman" w:cs="Times New Roman"/>
                <w:szCs w:val="24"/>
                <w:lang w:eastAsia="en-IN"/>
              </w:rPr>
              <w:t>5.86</w:t>
            </w:r>
          </w:p>
        </w:tc>
        <w:tc>
          <w:tcPr>
            <w:tcW w:w="0" w:type="auto"/>
            <w:vAlign w:val="center"/>
            <w:hideMark/>
          </w:tcPr>
          <w:p w14:paraId="569A6D47" w14:textId="77777777" w:rsidR="00416FA8" w:rsidRPr="004B6753" w:rsidRDefault="00416FA8" w:rsidP="004B6753">
            <w:pPr>
              <w:pStyle w:val="NoSpacing"/>
              <w:jc w:val="center"/>
              <w:rPr>
                <w:rFonts w:ascii="Times New Roman" w:hAnsi="Times New Roman" w:cs="Times New Roman"/>
                <w:szCs w:val="24"/>
                <w:lang w:eastAsia="en-IN"/>
              </w:rPr>
            </w:pPr>
            <w:r w:rsidRPr="004B6753">
              <w:rPr>
                <w:rFonts w:ascii="Times New Roman" w:hAnsi="Times New Roman" w:cs="Times New Roman"/>
                <w:szCs w:val="24"/>
                <w:lang w:eastAsia="en-IN"/>
              </w:rPr>
              <w:t>43.86</w:t>
            </w:r>
          </w:p>
        </w:tc>
        <w:tc>
          <w:tcPr>
            <w:tcW w:w="0" w:type="auto"/>
            <w:vAlign w:val="center"/>
            <w:hideMark/>
          </w:tcPr>
          <w:p w14:paraId="7D5F1355" w14:textId="77777777" w:rsidR="00416FA8" w:rsidRPr="004B6753" w:rsidRDefault="00416FA8" w:rsidP="004B6753">
            <w:pPr>
              <w:pStyle w:val="NoSpacing"/>
              <w:jc w:val="center"/>
              <w:rPr>
                <w:rFonts w:ascii="Times New Roman" w:hAnsi="Times New Roman" w:cs="Times New Roman"/>
                <w:szCs w:val="24"/>
                <w:lang w:eastAsia="en-IN"/>
              </w:rPr>
            </w:pPr>
            <w:r w:rsidRPr="004B6753">
              <w:rPr>
                <w:rFonts w:ascii="Times New Roman" w:hAnsi="Times New Roman" w:cs="Times New Roman"/>
                <w:szCs w:val="24"/>
                <w:lang w:eastAsia="en-IN"/>
              </w:rPr>
              <w:t>11.73</w:t>
            </w:r>
          </w:p>
        </w:tc>
        <w:tc>
          <w:tcPr>
            <w:tcW w:w="0" w:type="auto"/>
            <w:vAlign w:val="center"/>
            <w:hideMark/>
          </w:tcPr>
          <w:p w14:paraId="43759C37" w14:textId="77777777" w:rsidR="00416FA8" w:rsidRPr="004B6753" w:rsidRDefault="00416FA8" w:rsidP="004B6753">
            <w:pPr>
              <w:pStyle w:val="NoSpacing"/>
              <w:jc w:val="center"/>
              <w:rPr>
                <w:rFonts w:ascii="Times New Roman" w:hAnsi="Times New Roman" w:cs="Times New Roman"/>
                <w:szCs w:val="24"/>
                <w:lang w:eastAsia="en-IN"/>
              </w:rPr>
            </w:pPr>
            <w:r w:rsidRPr="004B6753">
              <w:rPr>
                <w:rFonts w:ascii="Times New Roman" w:hAnsi="Times New Roman" w:cs="Times New Roman"/>
                <w:szCs w:val="24"/>
                <w:lang w:eastAsia="en-IN"/>
              </w:rPr>
              <w:t>5.02</w:t>
            </w:r>
          </w:p>
        </w:tc>
        <w:tc>
          <w:tcPr>
            <w:tcW w:w="0" w:type="auto"/>
            <w:vAlign w:val="center"/>
            <w:hideMark/>
          </w:tcPr>
          <w:p w14:paraId="11F6B908" w14:textId="77777777" w:rsidR="00416FA8" w:rsidRPr="004B6753" w:rsidRDefault="00416FA8" w:rsidP="004B6753">
            <w:pPr>
              <w:pStyle w:val="NoSpacing"/>
              <w:jc w:val="center"/>
              <w:rPr>
                <w:rFonts w:ascii="Times New Roman" w:hAnsi="Times New Roman" w:cs="Times New Roman"/>
                <w:szCs w:val="24"/>
                <w:lang w:eastAsia="en-IN"/>
              </w:rPr>
            </w:pPr>
            <w:r w:rsidRPr="004B6753">
              <w:rPr>
                <w:rFonts w:ascii="Times New Roman" w:hAnsi="Times New Roman" w:cs="Times New Roman"/>
                <w:szCs w:val="24"/>
                <w:lang w:eastAsia="en-IN"/>
              </w:rPr>
              <w:t>15.18</w:t>
            </w:r>
          </w:p>
        </w:tc>
        <w:tc>
          <w:tcPr>
            <w:tcW w:w="0" w:type="auto"/>
            <w:vAlign w:val="center"/>
            <w:hideMark/>
          </w:tcPr>
          <w:p w14:paraId="41253396" w14:textId="77777777" w:rsidR="00416FA8" w:rsidRPr="004B6753" w:rsidRDefault="00416FA8" w:rsidP="004B6753">
            <w:pPr>
              <w:pStyle w:val="NoSpacing"/>
              <w:jc w:val="center"/>
              <w:rPr>
                <w:rFonts w:ascii="Times New Roman" w:hAnsi="Times New Roman" w:cs="Times New Roman"/>
                <w:szCs w:val="24"/>
                <w:lang w:eastAsia="en-IN"/>
              </w:rPr>
            </w:pPr>
            <w:r w:rsidRPr="004B6753">
              <w:rPr>
                <w:rFonts w:ascii="Times New Roman" w:hAnsi="Times New Roman" w:cs="Times New Roman"/>
                <w:szCs w:val="24"/>
                <w:lang w:eastAsia="en-IN"/>
              </w:rPr>
              <w:t>68.47</w:t>
            </w:r>
          </w:p>
        </w:tc>
        <w:tc>
          <w:tcPr>
            <w:tcW w:w="0" w:type="auto"/>
            <w:vAlign w:val="center"/>
            <w:hideMark/>
          </w:tcPr>
          <w:p w14:paraId="4B38C680" w14:textId="77777777" w:rsidR="00416FA8" w:rsidRPr="004B6753" w:rsidRDefault="00416FA8" w:rsidP="004B6753">
            <w:pPr>
              <w:pStyle w:val="NoSpacing"/>
              <w:jc w:val="center"/>
              <w:rPr>
                <w:rFonts w:ascii="Times New Roman" w:hAnsi="Times New Roman" w:cs="Times New Roman"/>
                <w:szCs w:val="24"/>
                <w:lang w:eastAsia="en-IN"/>
              </w:rPr>
            </w:pPr>
            <w:r w:rsidRPr="004B6753">
              <w:rPr>
                <w:rFonts w:ascii="Times New Roman" w:hAnsi="Times New Roman" w:cs="Times New Roman"/>
                <w:szCs w:val="24"/>
                <w:lang w:eastAsia="en-IN"/>
              </w:rPr>
              <w:t>201.43</w:t>
            </w:r>
          </w:p>
        </w:tc>
      </w:tr>
      <w:tr w:rsidR="00416FA8" w:rsidRPr="004B6753" w14:paraId="1A04D59E" w14:textId="77777777" w:rsidTr="004B6753">
        <w:trPr>
          <w:trHeight w:val="221"/>
        </w:trPr>
        <w:tc>
          <w:tcPr>
            <w:tcW w:w="0" w:type="auto"/>
            <w:hideMark/>
          </w:tcPr>
          <w:p w14:paraId="6C5A8601" w14:textId="77777777" w:rsidR="00416FA8" w:rsidRPr="004B6753" w:rsidRDefault="00416FA8" w:rsidP="00B77C0B">
            <w:pPr>
              <w:pStyle w:val="NoSpacing"/>
              <w:rPr>
                <w:rFonts w:ascii="Times New Roman" w:hAnsi="Times New Roman" w:cs="Times New Roman"/>
                <w:szCs w:val="24"/>
                <w:lang w:eastAsia="en-IN"/>
              </w:rPr>
            </w:pPr>
            <w:r w:rsidRPr="004B6753">
              <w:rPr>
                <w:rFonts w:ascii="Times New Roman" w:hAnsi="Times New Roman" w:cs="Times New Roman"/>
                <w:szCs w:val="24"/>
                <w:lang w:eastAsia="en-IN"/>
              </w:rPr>
              <w:t>1967-68</w:t>
            </w:r>
          </w:p>
        </w:tc>
        <w:tc>
          <w:tcPr>
            <w:tcW w:w="0" w:type="auto"/>
            <w:vAlign w:val="center"/>
            <w:hideMark/>
          </w:tcPr>
          <w:p w14:paraId="67D3D3E4" w14:textId="77777777" w:rsidR="00416FA8" w:rsidRPr="004B6753" w:rsidRDefault="00416FA8" w:rsidP="004B6753">
            <w:pPr>
              <w:pStyle w:val="NoSpacing"/>
              <w:jc w:val="center"/>
              <w:rPr>
                <w:rFonts w:ascii="Times New Roman" w:hAnsi="Times New Roman" w:cs="Times New Roman"/>
                <w:szCs w:val="24"/>
                <w:lang w:eastAsia="en-IN"/>
              </w:rPr>
            </w:pPr>
            <w:r w:rsidRPr="004B6753">
              <w:rPr>
                <w:rFonts w:ascii="Times New Roman" w:hAnsi="Times New Roman" w:cs="Times New Roman"/>
                <w:szCs w:val="24"/>
                <w:lang w:eastAsia="en-IN"/>
              </w:rPr>
              <w:t>4.25</w:t>
            </w:r>
          </w:p>
        </w:tc>
        <w:tc>
          <w:tcPr>
            <w:tcW w:w="0" w:type="auto"/>
            <w:vAlign w:val="center"/>
            <w:hideMark/>
          </w:tcPr>
          <w:p w14:paraId="4474B1A9" w14:textId="77777777" w:rsidR="00416FA8" w:rsidRPr="004B6753" w:rsidRDefault="00416FA8" w:rsidP="004B6753">
            <w:pPr>
              <w:pStyle w:val="NoSpacing"/>
              <w:jc w:val="center"/>
              <w:rPr>
                <w:rFonts w:ascii="Times New Roman" w:hAnsi="Times New Roman" w:cs="Times New Roman"/>
                <w:szCs w:val="24"/>
                <w:lang w:eastAsia="en-IN"/>
              </w:rPr>
            </w:pPr>
            <w:r w:rsidRPr="004B6753">
              <w:rPr>
                <w:rFonts w:ascii="Times New Roman" w:hAnsi="Times New Roman" w:cs="Times New Roman"/>
                <w:szCs w:val="24"/>
                <w:lang w:eastAsia="en-IN"/>
              </w:rPr>
              <w:t>30.56</w:t>
            </w:r>
          </w:p>
        </w:tc>
        <w:tc>
          <w:tcPr>
            <w:tcW w:w="0" w:type="auto"/>
            <w:vAlign w:val="center"/>
            <w:hideMark/>
          </w:tcPr>
          <w:p w14:paraId="4BD08672" w14:textId="77777777" w:rsidR="00416FA8" w:rsidRPr="004B6753" w:rsidRDefault="00416FA8" w:rsidP="004B6753">
            <w:pPr>
              <w:pStyle w:val="NoSpacing"/>
              <w:jc w:val="center"/>
              <w:rPr>
                <w:rFonts w:ascii="Times New Roman" w:hAnsi="Times New Roman" w:cs="Times New Roman"/>
                <w:szCs w:val="24"/>
                <w:lang w:eastAsia="en-IN"/>
              </w:rPr>
            </w:pPr>
            <w:r w:rsidRPr="004B6753">
              <w:rPr>
                <w:rFonts w:ascii="Times New Roman" w:hAnsi="Times New Roman" w:cs="Times New Roman"/>
                <w:szCs w:val="24"/>
                <w:lang w:eastAsia="en-IN"/>
              </w:rPr>
              <w:t>10.39</w:t>
            </w:r>
          </w:p>
        </w:tc>
        <w:tc>
          <w:tcPr>
            <w:tcW w:w="0" w:type="auto"/>
            <w:vAlign w:val="center"/>
            <w:hideMark/>
          </w:tcPr>
          <w:p w14:paraId="19C2AC64" w14:textId="77777777" w:rsidR="00416FA8" w:rsidRPr="004B6753" w:rsidRDefault="00416FA8" w:rsidP="004B6753">
            <w:pPr>
              <w:pStyle w:val="NoSpacing"/>
              <w:jc w:val="center"/>
              <w:rPr>
                <w:rFonts w:ascii="Times New Roman" w:hAnsi="Times New Roman" w:cs="Times New Roman"/>
                <w:szCs w:val="24"/>
                <w:lang w:eastAsia="en-IN"/>
              </w:rPr>
            </w:pPr>
            <w:r w:rsidRPr="004B6753">
              <w:rPr>
                <w:rFonts w:ascii="Times New Roman" w:hAnsi="Times New Roman" w:cs="Times New Roman"/>
                <w:szCs w:val="24"/>
                <w:lang w:eastAsia="en-IN"/>
              </w:rPr>
              <w:t>11.38</w:t>
            </w:r>
          </w:p>
        </w:tc>
        <w:tc>
          <w:tcPr>
            <w:tcW w:w="0" w:type="auto"/>
            <w:vAlign w:val="center"/>
            <w:hideMark/>
          </w:tcPr>
          <w:p w14:paraId="5C5C3E29" w14:textId="77777777" w:rsidR="00416FA8" w:rsidRPr="004B6753" w:rsidRDefault="00416FA8" w:rsidP="004B6753">
            <w:pPr>
              <w:pStyle w:val="NoSpacing"/>
              <w:jc w:val="center"/>
              <w:rPr>
                <w:rFonts w:ascii="Times New Roman" w:hAnsi="Times New Roman" w:cs="Times New Roman"/>
                <w:szCs w:val="24"/>
                <w:lang w:eastAsia="en-IN"/>
              </w:rPr>
            </w:pPr>
            <w:r w:rsidRPr="004B6753">
              <w:rPr>
                <w:rFonts w:ascii="Times New Roman" w:hAnsi="Times New Roman" w:cs="Times New Roman"/>
                <w:szCs w:val="24"/>
                <w:lang w:eastAsia="en-IN"/>
              </w:rPr>
              <w:t>5.85</w:t>
            </w:r>
          </w:p>
        </w:tc>
        <w:tc>
          <w:tcPr>
            <w:tcW w:w="0" w:type="auto"/>
            <w:vAlign w:val="center"/>
            <w:hideMark/>
          </w:tcPr>
          <w:p w14:paraId="59C98FD2" w14:textId="77777777" w:rsidR="00416FA8" w:rsidRPr="004B6753" w:rsidRDefault="00416FA8" w:rsidP="004B6753">
            <w:pPr>
              <w:pStyle w:val="NoSpacing"/>
              <w:jc w:val="center"/>
              <w:rPr>
                <w:rFonts w:ascii="Times New Roman" w:hAnsi="Times New Roman" w:cs="Times New Roman"/>
                <w:szCs w:val="24"/>
                <w:lang w:eastAsia="en-IN"/>
              </w:rPr>
            </w:pPr>
            <w:r w:rsidRPr="004B6753">
              <w:rPr>
                <w:rFonts w:ascii="Times New Roman" w:hAnsi="Times New Roman" w:cs="Times New Roman"/>
                <w:szCs w:val="24"/>
                <w:lang w:eastAsia="en-IN"/>
              </w:rPr>
              <w:t>53.56</w:t>
            </w:r>
          </w:p>
        </w:tc>
        <w:tc>
          <w:tcPr>
            <w:tcW w:w="0" w:type="auto"/>
            <w:vAlign w:val="center"/>
            <w:hideMark/>
          </w:tcPr>
          <w:p w14:paraId="249F5ED5" w14:textId="77777777" w:rsidR="00416FA8" w:rsidRPr="004B6753" w:rsidRDefault="00416FA8" w:rsidP="004B6753">
            <w:pPr>
              <w:pStyle w:val="NoSpacing"/>
              <w:jc w:val="center"/>
              <w:rPr>
                <w:rFonts w:ascii="Times New Roman" w:hAnsi="Times New Roman" w:cs="Times New Roman"/>
                <w:szCs w:val="24"/>
                <w:lang w:eastAsia="en-IN"/>
              </w:rPr>
            </w:pPr>
            <w:r w:rsidRPr="004B6753">
              <w:rPr>
                <w:rFonts w:ascii="Times New Roman" w:hAnsi="Times New Roman" w:cs="Times New Roman"/>
                <w:szCs w:val="24"/>
                <w:lang w:eastAsia="en-IN"/>
              </w:rPr>
              <w:t>12.70</w:t>
            </w:r>
          </w:p>
        </w:tc>
        <w:tc>
          <w:tcPr>
            <w:tcW w:w="0" w:type="auto"/>
            <w:vAlign w:val="center"/>
            <w:hideMark/>
          </w:tcPr>
          <w:p w14:paraId="1105C84E" w14:textId="77777777" w:rsidR="00416FA8" w:rsidRPr="004B6753" w:rsidRDefault="00416FA8" w:rsidP="004B6753">
            <w:pPr>
              <w:pStyle w:val="NoSpacing"/>
              <w:jc w:val="center"/>
              <w:rPr>
                <w:rFonts w:ascii="Times New Roman" w:hAnsi="Times New Roman" w:cs="Times New Roman"/>
                <w:szCs w:val="24"/>
                <w:lang w:eastAsia="en-IN"/>
              </w:rPr>
            </w:pPr>
            <w:r w:rsidRPr="004B6753">
              <w:rPr>
                <w:rFonts w:ascii="Times New Roman" w:hAnsi="Times New Roman" w:cs="Times New Roman"/>
                <w:szCs w:val="24"/>
                <w:lang w:eastAsia="en-IN"/>
              </w:rPr>
              <w:t>5.19</w:t>
            </w:r>
          </w:p>
        </w:tc>
        <w:tc>
          <w:tcPr>
            <w:tcW w:w="0" w:type="auto"/>
            <w:vAlign w:val="center"/>
            <w:hideMark/>
          </w:tcPr>
          <w:p w14:paraId="25E21149" w14:textId="77777777" w:rsidR="00416FA8" w:rsidRPr="004B6753" w:rsidRDefault="00416FA8" w:rsidP="004B6753">
            <w:pPr>
              <w:pStyle w:val="NoSpacing"/>
              <w:jc w:val="center"/>
              <w:rPr>
                <w:rFonts w:ascii="Times New Roman" w:hAnsi="Times New Roman" w:cs="Times New Roman"/>
                <w:szCs w:val="24"/>
                <w:lang w:eastAsia="en-IN"/>
              </w:rPr>
            </w:pPr>
            <w:r w:rsidRPr="004B6753">
              <w:rPr>
                <w:rFonts w:ascii="Times New Roman" w:hAnsi="Times New Roman" w:cs="Times New Roman"/>
                <w:szCs w:val="24"/>
                <w:lang w:eastAsia="en-IN"/>
              </w:rPr>
              <w:t>16.95</w:t>
            </w:r>
          </w:p>
        </w:tc>
        <w:tc>
          <w:tcPr>
            <w:tcW w:w="0" w:type="auto"/>
            <w:vAlign w:val="center"/>
            <w:hideMark/>
          </w:tcPr>
          <w:p w14:paraId="6CBDD2CB" w14:textId="77777777" w:rsidR="00416FA8" w:rsidRPr="004B6753" w:rsidRDefault="00416FA8" w:rsidP="004B6753">
            <w:pPr>
              <w:pStyle w:val="NoSpacing"/>
              <w:jc w:val="center"/>
              <w:rPr>
                <w:rFonts w:ascii="Times New Roman" w:hAnsi="Times New Roman" w:cs="Times New Roman"/>
                <w:szCs w:val="24"/>
                <w:lang w:eastAsia="en-IN"/>
              </w:rPr>
            </w:pPr>
            <w:r w:rsidRPr="004B6753">
              <w:rPr>
                <w:rFonts w:ascii="Times New Roman" w:hAnsi="Times New Roman" w:cs="Times New Roman"/>
                <w:szCs w:val="24"/>
                <w:lang w:eastAsia="en-IN"/>
              </w:rPr>
              <w:t>82.50</w:t>
            </w:r>
          </w:p>
        </w:tc>
        <w:tc>
          <w:tcPr>
            <w:tcW w:w="0" w:type="auto"/>
            <w:vAlign w:val="center"/>
            <w:hideMark/>
          </w:tcPr>
          <w:p w14:paraId="494C9534" w14:textId="77777777" w:rsidR="00416FA8" w:rsidRPr="004B6753" w:rsidRDefault="00416FA8" w:rsidP="004B6753">
            <w:pPr>
              <w:pStyle w:val="NoSpacing"/>
              <w:jc w:val="center"/>
              <w:rPr>
                <w:rFonts w:ascii="Times New Roman" w:hAnsi="Times New Roman" w:cs="Times New Roman"/>
                <w:szCs w:val="24"/>
                <w:lang w:eastAsia="en-IN"/>
              </w:rPr>
            </w:pPr>
            <w:r w:rsidRPr="004B6753">
              <w:rPr>
                <w:rFonts w:ascii="Times New Roman" w:hAnsi="Times New Roman" w:cs="Times New Roman"/>
                <w:szCs w:val="24"/>
                <w:lang w:eastAsia="en-IN"/>
              </w:rPr>
              <w:t>233.33</w:t>
            </w:r>
          </w:p>
        </w:tc>
      </w:tr>
      <w:tr w:rsidR="00812C67" w:rsidRPr="004B6753" w14:paraId="769D0EE1" w14:textId="77777777" w:rsidTr="004B6753">
        <w:trPr>
          <w:trHeight w:val="221"/>
        </w:trPr>
        <w:tc>
          <w:tcPr>
            <w:tcW w:w="0" w:type="auto"/>
            <w:vMerge w:val="restart"/>
            <w:hideMark/>
          </w:tcPr>
          <w:p w14:paraId="4683CD30" w14:textId="77777777" w:rsidR="00812C67" w:rsidRPr="004B6753" w:rsidRDefault="00812C67" w:rsidP="00B77C0B">
            <w:pPr>
              <w:pStyle w:val="NoSpacing"/>
              <w:rPr>
                <w:rFonts w:ascii="Times New Roman" w:hAnsi="Times New Roman" w:cs="Times New Roman"/>
                <w:szCs w:val="24"/>
                <w:lang w:eastAsia="en-IN"/>
              </w:rPr>
            </w:pPr>
            <w:r w:rsidRPr="004B6753">
              <w:rPr>
                <w:rFonts w:ascii="Times New Roman" w:hAnsi="Times New Roman" w:cs="Times New Roman"/>
                <w:szCs w:val="24"/>
                <w:lang w:eastAsia="en-IN"/>
              </w:rPr>
              <w:t>1968-69 (RE)</w:t>
            </w:r>
          </w:p>
        </w:tc>
        <w:tc>
          <w:tcPr>
            <w:tcW w:w="0" w:type="auto"/>
            <w:vAlign w:val="center"/>
            <w:hideMark/>
          </w:tcPr>
          <w:p w14:paraId="49638C85" w14:textId="77777777" w:rsidR="00812C67" w:rsidRPr="004B6753" w:rsidRDefault="00812C67" w:rsidP="004B6753">
            <w:pPr>
              <w:pStyle w:val="NoSpacing"/>
              <w:jc w:val="center"/>
              <w:rPr>
                <w:rFonts w:ascii="Times New Roman" w:hAnsi="Times New Roman" w:cs="Times New Roman"/>
                <w:szCs w:val="24"/>
                <w:lang w:eastAsia="en-IN"/>
              </w:rPr>
            </w:pPr>
            <w:r w:rsidRPr="004B6753">
              <w:rPr>
                <w:rFonts w:ascii="Times New Roman" w:hAnsi="Times New Roman" w:cs="Times New Roman"/>
                <w:szCs w:val="24"/>
                <w:lang w:eastAsia="en-IN"/>
              </w:rPr>
              <w:t>4.97</w:t>
            </w:r>
          </w:p>
        </w:tc>
        <w:tc>
          <w:tcPr>
            <w:tcW w:w="0" w:type="auto"/>
            <w:vAlign w:val="center"/>
            <w:hideMark/>
          </w:tcPr>
          <w:p w14:paraId="0B129B3E" w14:textId="77777777" w:rsidR="00812C67" w:rsidRPr="004B6753" w:rsidRDefault="00812C67" w:rsidP="004B6753">
            <w:pPr>
              <w:pStyle w:val="NoSpacing"/>
              <w:jc w:val="center"/>
              <w:rPr>
                <w:rFonts w:ascii="Times New Roman" w:hAnsi="Times New Roman" w:cs="Times New Roman"/>
                <w:szCs w:val="24"/>
                <w:lang w:eastAsia="en-IN"/>
              </w:rPr>
            </w:pPr>
            <w:r w:rsidRPr="004B6753">
              <w:rPr>
                <w:rFonts w:ascii="Times New Roman" w:hAnsi="Times New Roman" w:cs="Times New Roman"/>
                <w:szCs w:val="24"/>
                <w:lang w:eastAsia="en-IN"/>
              </w:rPr>
              <w:t>35.00</w:t>
            </w:r>
          </w:p>
        </w:tc>
        <w:tc>
          <w:tcPr>
            <w:tcW w:w="0" w:type="auto"/>
            <w:vAlign w:val="center"/>
            <w:hideMark/>
          </w:tcPr>
          <w:p w14:paraId="63DA5397" w14:textId="77777777" w:rsidR="00812C67" w:rsidRPr="004B6753" w:rsidRDefault="00812C67" w:rsidP="004B6753">
            <w:pPr>
              <w:pStyle w:val="NoSpacing"/>
              <w:jc w:val="center"/>
              <w:rPr>
                <w:rFonts w:ascii="Times New Roman" w:hAnsi="Times New Roman" w:cs="Times New Roman"/>
                <w:szCs w:val="24"/>
                <w:lang w:eastAsia="en-IN"/>
              </w:rPr>
            </w:pPr>
            <w:r w:rsidRPr="004B6753">
              <w:rPr>
                <w:rFonts w:ascii="Times New Roman" w:hAnsi="Times New Roman" w:cs="Times New Roman"/>
                <w:szCs w:val="24"/>
                <w:lang w:eastAsia="en-IN"/>
              </w:rPr>
              <w:t>11.16</w:t>
            </w:r>
          </w:p>
        </w:tc>
        <w:tc>
          <w:tcPr>
            <w:tcW w:w="0" w:type="auto"/>
            <w:vAlign w:val="center"/>
            <w:hideMark/>
          </w:tcPr>
          <w:p w14:paraId="49C5BF4A" w14:textId="77777777" w:rsidR="00812C67" w:rsidRPr="004B6753" w:rsidRDefault="00812C67" w:rsidP="004B6753">
            <w:pPr>
              <w:pStyle w:val="NoSpacing"/>
              <w:jc w:val="center"/>
              <w:rPr>
                <w:rFonts w:ascii="Times New Roman" w:hAnsi="Times New Roman" w:cs="Times New Roman"/>
                <w:szCs w:val="24"/>
                <w:lang w:eastAsia="en-IN"/>
              </w:rPr>
            </w:pPr>
            <w:r w:rsidRPr="004B6753">
              <w:rPr>
                <w:rFonts w:ascii="Times New Roman" w:hAnsi="Times New Roman" w:cs="Times New Roman"/>
                <w:szCs w:val="24"/>
                <w:lang w:eastAsia="en-IN"/>
              </w:rPr>
              <w:t>12.98</w:t>
            </w:r>
          </w:p>
        </w:tc>
        <w:tc>
          <w:tcPr>
            <w:tcW w:w="0" w:type="auto"/>
            <w:vAlign w:val="center"/>
            <w:hideMark/>
          </w:tcPr>
          <w:p w14:paraId="42486841" w14:textId="77777777" w:rsidR="00812C67" w:rsidRPr="004B6753" w:rsidRDefault="00812C67" w:rsidP="004B6753">
            <w:pPr>
              <w:pStyle w:val="NoSpacing"/>
              <w:jc w:val="center"/>
              <w:rPr>
                <w:rFonts w:ascii="Times New Roman" w:hAnsi="Times New Roman" w:cs="Times New Roman"/>
                <w:szCs w:val="24"/>
                <w:lang w:eastAsia="en-IN"/>
              </w:rPr>
            </w:pPr>
            <w:r w:rsidRPr="004B6753">
              <w:rPr>
                <w:rFonts w:ascii="Times New Roman" w:hAnsi="Times New Roman" w:cs="Times New Roman"/>
                <w:szCs w:val="24"/>
                <w:lang w:eastAsia="en-IN"/>
              </w:rPr>
              <w:t>16.39</w:t>
            </w:r>
          </w:p>
        </w:tc>
        <w:tc>
          <w:tcPr>
            <w:tcW w:w="0" w:type="auto"/>
            <w:vAlign w:val="center"/>
            <w:hideMark/>
          </w:tcPr>
          <w:p w14:paraId="6ED44E71" w14:textId="77777777" w:rsidR="00812C67" w:rsidRPr="004B6753" w:rsidRDefault="00812C67" w:rsidP="004B6753">
            <w:pPr>
              <w:pStyle w:val="NoSpacing"/>
              <w:jc w:val="center"/>
              <w:rPr>
                <w:rFonts w:ascii="Times New Roman" w:hAnsi="Times New Roman" w:cs="Times New Roman"/>
                <w:szCs w:val="24"/>
                <w:lang w:eastAsia="en-IN"/>
              </w:rPr>
            </w:pPr>
            <w:r w:rsidRPr="004B6753">
              <w:rPr>
                <w:rFonts w:ascii="Times New Roman" w:hAnsi="Times New Roman" w:cs="Times New Roman"/>
                <w:szCs w:val="24"/>
                <w:lang w:eastAsia="en-IN"/>
              </w:rPr>
              <w:t>58.95</w:t>
            </w:r>
          </w:p>
        </w:tc>
        <w:tc>
          <w:tcPr>
            <w:tcW w:w="0" w:type="auto"/>
            <w:vAlign w:val="center"/>
            <w:hideMark/>
          </w:tcPr>
          <w:p w14:paraId="61D2342B" w14:textId="77777777" w:rsidR="00812C67" w:rsidRPr="004B6753" w:rsidRDefault="00812C67" w:rsidP="004B6753">
            <w:pPr>
              <w:pStyle w:val="NoSpacing"/>
              <w:jc w:val="center"/>
              <w:rPr>
                <w:rFonts w:ascii="Times New Roman" w:hAnsi="Times New Roman" w:cs="Times New Roman"/>
                <w:szCs w:val="24"/>
                <w:lang w:eastAsia="en-IN"/>
              </w:rPr>
            </w:pPr>
            <w:r w:rsidRPr="004B6753">
              <w:rPr>
                <w:rFonts w:ascii="Times New Roman" w:hAnsi="Times New Roman" w:cs="Times New Roman"/>
                <w:szCs w:val="24"/>
                <w:lang w:eastAsia="en-IN"/>
              </w:rPr>
              <w:t>14.76</w:t>
            </w:r>
          </w:p>
        </w:tc>
        <w:tc>
          <w:tcPr>
            <w:tcW w:w="0" w:type="auto"/>
            <w:vAlign w:val="center"/>
            <w:hideMark/>
          </w:tcPr>
          <w:p w14:paraId="58283DD8" w14:textId="77777777" w:rsidR="00812C67" w:rsidRPr="004B6753" w:rsidRDefault="00812C67" w:rsidP="004B6753">
            <w:pPr>
              <w:pStyle w:val="NoSpacing"/>
              <w:jc w:val="center"/>
              <w:rPr>
                <w:rFonts w:ascii="Times New Roman" w:hAnsi="Times New Roman" w:cs="Times New Roman"/>
                <w:szCs w:val="24"/>
                <w:lang w:eastAsia="en-IN"/>
              </w:rPr>
            </w:pPr>
            <w:r w:rsidRPr="004B6753">
              <w:rPr>
                <w:rFonts w:ascii="Times New Roman" w:hAnsi="Times New Roman" w:cs="Times New Roman"/>
                <w:szCs w:val="24"/>
                <w:lang w:eastAsia="en-IN"/>
              </w:rPr>
              <w:t>5.67</w:t>
            </w:r>
          </w:p>
        </w:tc>
        <w:tc>
          <w:tcPr>
            <w:tcW w:w="0" w:type="auto"/>
            <w:vAlign w:val="center"/>
            <w:hideMark/>
          </w:tcPr>
          <w:p w14:paraId="1AD97AB6" w14:textId="77777777" w:rsidR="00812C67" w:rsidRPr="004B6753" w:rsidRDefault="00812C67" w:rsidP="004B6753">
            <w:pPr>
              <w:pStyle w:val="NoSpacing"/>
              <w:jc w:val="center"/>
              <w:rPr>
                <w:rFonts w:ascii="Times New Roman" w:hAnsi="Times New Roman" w:cs="Times New Roman"/>
                <w:szCs w:val="24"/>
                <w:lang w:eastAsia="en-IN"/>
              </w:rPr>
            </w:pPr>
            <w:r w:rsidRPr="004B6753">
              <w:rPr>
                <w:rFonts w:ascii="Times New Roman" w:hAnsi="Times New Roman" w:cs="Times New Roman"/>
                <w:szCs w:val="24"/>
                <w:lang w:eastAsia="en-IN"/>
              </w:rPr>
              <w:t>16.62</w:t>
            </w:r>
          </w:p>
        </w:tc>
        <w:tc>
          <w:tcPr>
            <w:tcW w:w="0" w:type="auto"/>
            <w:vAlign w:val="center"/>
            <w:hideMark/>
          </w:tcPr>
          <w:p w14:paraId="24455988" w14:textId="77777777" w:rsidR="00812C67" w:rsidRPr="004B6753" w:rsidRDefault="00812C67" w:rsidP="004B6753">
            <w:pPr>
              <w:pStyle w:val="NoSpacing"/>
              <w:jc w:val="center"/>
              <w:rPr>
                <w:rFonts w:ascii="Times New Roman" w:hAnsi="Times New Roman" w:cs="Times New Roman"/>
                <w:szCs w:val="24"/>
                <w:lang w:eastAsia="en-IN"/>
              </w:rPr>
            </w:pPr>
            <w:r w:rsidRPr="004B6753">
              <w:rPr>
                <w:rFonts w:ascii="Times New Roman" w:hAnsi="Times New Roman" w:cs="Times New Roman"/>
                <w:szCs w:val="24"/>
                <w:lang w:eastAsia="en-IN"/>
              </w:rPr>
              <w:t>87.11</w:t>
            </w:r>
          </w:p>
        </w:tc>
        <w:tc>
          <w:tcPr>
            <w:tcW w:w="0" w:type="auto"/>
            <w:vAlign w:val="center"/>
            <w:hideMark/>
          </w:tcPr>
          <w:p w14:paraId="13887FD7" w14:textId="77777777" w:rsidR="00812C67" w:rsidRPr="004B6753" w:rsidRDefault="00812C67" w:rsidP="004B6753">
            <w:pPr>
              <w:pStyle w:val="NoSpacing"/>
              <w:jc w:val="center"/>
              <w:rPr>
                <w:rFonts w:ascii="Times New Roman" w:hAnsi="Times New Roman" w:cs="Times New Roman"/>
                <w:szCs w:val="24"/>
                <w:lang w:eastAsia="en-IN"/>
              </w:rPr>
            </w:pPr>
            <w:r w:rsidRPr="004B6753">
              <w:rPr>
                <w:rFonts w:ascii="Times New Roman" w:hAnsi="Times New Roman" w:cs="Times New Roman"/>
                <w:szCs w:val="24"/>
                <w:lang w:eastAsia="en-IN"/>
              </w:rPr>
              <w:t>263.61</w:t>
            </w:r>
          </w:p>
        </w:tc>
      </w:tr>
      <w:tr w:rsidR="00812C67" w:rsidRPr="004B6753" w14:paraId="602E9D5D" w14:textId="77777777" w:rsidTr="004B6753">
        <w:trPr>
          <w:trHeight w:val="221"/>
        </w:trPr>
        <w:tc>
          <w:tcPr>
            <w:tcW w:w="0" w:type="auto"/>
            <w:vMerge/>
            <w:hideMark/>
          </w:tcPr>
          <w:p w14:paraId="0250BB4A" w14:textId="77777777" w:rsidR="00812C67" w:rsidRPr="004B6753" w:rsidRDefault="00812C67" w:rsidP="00B77C0B">
            <w:pPr>
              <w:pStyle w:val="NoSpacing"/>
              <w:rPr>
                <w:rFonts w:ascii="Times New Roman" w:hAnsi="Times New Roman" w:cs="Times New Roman"/>
                <w:szCs w:val="24"/>
                <w:lang w:eastAsia="en-IN"/>
              </w:rPr>
            </w:pPr>
          </w:p>
        </w:tc>
        <w:tc>
          <w:tcPr>
            <w:tcW w:w="0" w:type="auto"/>
            <w:vAlign w:val="center"/>
            <w:hideMark/>
          </w:tcPr>
          <w:p w14:paraId="6E2DA892" w14:textId="77777777" w:rsidR="00812C67" w:rsidRPr="004B6753" w:rsidRDefault="00812C67" w:rsidP="004B6753">
            <w:pPr>
              <w:pStyle w:val="NoSpacing"/>
              <w:jc w:val="center"/>
              <w:rPr>
                <w:rFonts w:ascii="Times New Roman" w:hAnsi="Times New Roman" w:cs="Times New Roman"/>
                <w:szCs w:val="24"/>
                <w:lang w:eastAsia="en-IN"/>
              </w:rPr>
            </w:pPr>
            <w:r w:rsidRPr="004B6753">
              <w:rPr>
                <w:rFonts w:ascii="Times New Roman" w:hAnsi="Times New Roman" w:cs="Times New Roman"/>
                <w:i/>
                <w:iCs/>
                <w:szCs w:val="24"/>
                <w:lang w:eastAsia="en-IN"/>
              </w:rPr>
              <w:t>(1.89)</w:t>
            </w:r>
          </w:p>
        </w:tc>
        <w:tc>
          <w:tcPr>
            <w:tcW w:w="0" w:type="auto"/>
            <w:vAlign w:val="center"/>
            <w:hideMark/>
          </w:tcPr>
          <w:p w14:paraId="68A8ED10" w14:textId="77777777" w:rsidR="00812C67" w:rsidRPr="004B6753" w:rsidRDefault="00812C67" w:rsidP="004B6753">
            <w:pPr>
              <w:pStyle w:val="NoSpacing"/>
              <w:jc w:val="center"/>
              <w:rPr>
                <w:rFonts w:ascii="Times New Roman" w:hAnsi="Times New Roman" w:cs="Times New Roman"/>
                <w:szCs w:val="24"/>
                <w:lang w:eastAsia="en-IN"/>
              </w:rPr>
            </w:pPr>
            <w:r w:rsidRPr="004B6753">
              <w:rPr>
                <w:rFonts w:ascii="Times New Roman" w:hAnsi="Times New Roman" w:cs="Times New Roman"/>
                <w:i/>
                <w:iCs/>
                <w:szCs w:val="24"/>
                <w:lang w:eastAsia="en-IN"/>
              </w:rPr>
              <w:t>(13.28)</w:t>
            </w:r>
          </w:p>
        </w:tc>
        <w:tc>
          <w:tcPr>
            <w:tcW w:w="0" w:type="auto"/>
            <w:vAlign w:val="center"/>
            <w:hideMark/>
          </w:tcPr>
          <w:p w14:paraId="339B71AE" w14:textId="77777777" w:rsidR="00812C67" w:rsidRPr="004B6753" w:rsidRDefault="00812C67" w:rsidP="004B6753">
            <w:pPr>
              <w:pStyle w:val="NoSpacing"/>
              <w:jc w:val="center"/>
              <w:rPr>
                <w:rFonts w:ascii="Times New Roman" w:hAnsi="Times New Roman" w:cs="Times New Roman"/>
                <w:szCs w:val="24"/>
                <w:lang w:eastAsia="en-IN"/>
              </w:rPr>
            </w:pPr>
            <w:r w:rsidRPr="004B6753">
              <w:rPr>
                <w:rFonts w:ascii="Times New Roman" w:hAnsi="Times New Roman" w:cs="Times New Roman"/>
                <w:i/>
                <w:iCs/>
                <w:szCs w:val="24"/>
                <w:lang w:eastAsia="en-IN"/>
              </w:rPr>
              <w:t>(4.23)</w:t>
            </w:r>
          </w:p>
        </w:tc>
        <w:tc>
          <w:tcPr>
            <w:tcW w:w="0" w:type="auto"/>
            <w:vAlign w:val="center"/>
            <w:hideMark/>
          </w:tcPr>
          <w:p w14:paraId="6D64E524" w14:textId="77777777" w:rsidR="00812C67" w:rsidRPr="004B6753" w:rsidRDefault="00812C67" w:rsidP="004B6753">
            <w:pPr>
              <w:pStyle w:val="NoSpacing"/>
              <w:jc w:val="center"/>
              <w:rPr>
                <w:rFonts w:ascii="Times New Roman" w:hAnsi="Times New Roman" w:cs="Times New Roman"/>
                <w:szCs w:val="24"/>
                <w:lang w:eastAsia="en-IN"/>
              </w:rPr>
            </w:pPr>
            <w:r w:rsidRPr="004B6753">
              <w:rPr>
                <w:rFonts w:ascii="Times New Roman" w:hAnsi="Times New Roman" w:cs="Times New Roman"/>
                <w:i/>
                <w:iCs/>
                <w:szCs w:val="24"/>
                <w:lang w:eastAsia="en-IN"/>
              </w:rPr>
              <w:t>(4.92)</w:t>
            </w:r>
          </w:p>
        </w:tc>
        <w:tc>
          <w:tcPr>
            <w:tcW w:w="0" w:type="auto"/>
            <w:vAlign w:val="center"/>
            <w:hideMark/>
          </w:tcPr>
          <w:p w14:paraId="52B79A7A" w14:textId="77777777" w:rsidR="00812C67" w:rsidRPr="004B6753" w:rsidRDefault="00812C67" w:rsidP="004B6753">
            <w:pPr>
              <w:pStyle w:val="NoSpacing"/>
              <w:jc w:val="center"/>
              <w:rPr>
                <w:rFonts w:ascii="Times New Roman" w:hAnsi="Times New Roman" w:cs="Times New Roman"/>
                <w:szCs w:val="24"/>
                <w:lang w:eastAsia="en-IN"/>
              </w:rPr>
            </w:pPr>
            <w:r w:rsidRPr="004B6753">
              <w:rPr>
                <w:rFonts w:ascii="Times New Roman" w:hAnsi="Times New Roman" w:cs="Times New Roman"/>
                <w:i/>
                <w:iCs/>
                <w:szCs w:val="24"/>
                <w:lang w:eastAsia="en-IN"/>
              </w:rPr>
              <w:t>(6.22)</w:t>
            </w:r>
          </w:p>
        </w:tc>
        <w:tc>
          <w:tcPr>
            <w:tcW w:w="0" w:type="auto"/>
            <w:vAlign w:val="center"/>
            <w:hideMark/>
          </w:tcPr>
          <w:p w14:paraId="68AE12A9" w14:textId="77777777" w:rsidR="00812C67" w:rsidRPr="004B6753" w:rsidRDefault="00812C67" w:rsidP="004B6753">
            <w:pPr>
              <w:pStyle w:val="NoSpacing"/>
              <w:jc w:val="center"/>
              <w:rPr>
                <w:rFonts w:ascii="Times New Roman" w:hAnsi="Times New Roman" w:cs="Times New Roman"/>
                <w:szCs w:val="24"/>
                <w:lang w:eastAsia="en-IN"/>
              </w:rPr>
            </w:pPr>
            <w:r w:rsidRPr="004B6753">
              <w:rPr>
                <w:rFonts w:ascii="Times New Roman" w:hAnsi="Times New Roman" w:cs="Times New Roman"/>
                <w:i/>
                <w:iCs/>
                <w:szCs w:val="24"/>
                <w:lang w:eastAsia="en-IN"/>
              </w:rPr>
              <w:t>(22.36)</w:t>
            </w:r>
          </w:p>
        </w:tc>
        <w:tc>
          <w:tcPr>
            <w:tcW w:w="0" w:type="auto"/>
            <w:vAlign w:val="center"/>
            <w:hideMark/>
          </w:tcPr>
          <w:p w14:paraId="790EBD26" w14:textId="77777777" w:rsidR="00812C67" w:rsidRPr="004B6753" w:rsidRDefault="00812C67" w:rsidP="004B6753">
            <w:pPr>
              <w:pStyle w:val="NoSpacing"/>
              <w:jc w:val="center"/>
              <w:rPr>
                <w:rFonts w:ascii="Times New Roman" w:hAnsi="Times New Roman" w:cs="Times New Roman"/>
                <w:szCs w:val="24"/>
                <w:lang w:eastAsia="en-IN"/>
              </w:rPr>
            </w:pPr>
            <w:r w:rsidRPr="004B6753">
              <w:rPr>
                <w:rFonts w:ascii="Times New Roman" w:hAnsi="Times New Roman" w:cs="Times New Roman"/>
                <w:i/>
                <w:iCs/>
                <w:szCs w:val="24"/>
                <w:lang w:eastAsia="en-IN"/>
              </w:rPr>
              <w:t>(5.60)</w:t>
            </w:r>
          </w:p>
        </w:tc>
        <w:tc>
          <w:tcPr>
            <w:tcW w:w="0" w:type="auto"/>
            <w:vAlign w:val="center"/>
            <w:hideMark/>
          </w:tcPr>
          <w:p w14:paraId="457B6041" w14:textId="77777777" w:rsidR="00812C67" w:rsidRPr="004B6753" w:rsidRDefault="00812C67" w:rsidP="004B6753">
            <w:pPr>
              <w:pStyle w:val="NoSpacing"/>
              <w:jc w:val="center"/>
              <w:rPr>
                <w:rFonts w:ascii="Times New Roman" w:hAnsi="Times New Roman" w:cs="Times New Roman"/>
                <w:szCs w:val="24"/>
                <w:lang w:eastAsia="en-IN"/>
              </w:rPr>
            </w:pPr>
            <w:r w:rsidRPr="004B6753">
              <w:rPr>
                <w:rFonts w:ascii="Times New Roman" w:hAnsi="Times New Roman" w:cs="Times New Roman"/>
                <w:i/>
                <w:iCs/>
                <w:szCs w:val="24"/>
                <w:lang w:eastAsia="en-IN"/>
              </w:rPr>
              <w:t>(2.15)</w:t>
            </w:r>
          </w:p>
        </w:tc>
        <w:tc>
          <w:tcPr>
            <w:tcW w:w="0" w:type="auto"/>
            <w:vAlign w:val="center"/>
            <w:hideMark/>
          </w:tcPr>
          <w:p w14:paraId="2928646C" w14:textId="77777777" w:rsidR="00812C67" w:rsidRPr="004B6753" w:rsidRDefault="00812C67" w:rsidP="004B6753">
            <w:pPr>
              <w:pStyle w:val="NoSpacing"/>
              <w:jc w:val="center"/>
              <w:rPr>
                <w:rFonts w:ascii="Times New Roman" w:hAnsi="Times New Roman" w:cs="Times New Roman"/>
                <w:szCs w:val="24"/>
                <w:lang w:eastAsia="en-IN"/>
              </w:rPr>
            </w:pPr>
            <w:r w:rsidRPr="004B6753">
              <w:rPr>
                <w:rFonts w:ascii="Times New Roman" w:hAnsi="Times New Roman" w:cs="Times New Roman"/>
                <w:i/>
                <w:iCs/>
                <w:szCs w:val="24"/>
                <w:lang w:eastAsia="en-IN"/>
              </w:rPr>
              <w:t>(6.30)</w:t>
            </w:r>
          </w:p>
        </w:tc>
        <w:tc>
          <w:tcPr>
            <w:tcW w:w="0" w:type="auto"/>
            <w:vAlign w:val="center"/>
            <w:hideMark/>
          </w:tcPr>
          <w:p w14:paraId="0DA14FAA" w14:textId="77777777" w:rsidR="00812C67" w:rsidRPr="004B6753" w:rsidRDefault="00812C67" w:rsidP="004B6753">
            <w:pPr>
              <w:pStyle w:val="NoSpacing"/>
              <w:jc w:val="center"/>
              <w:rPr>
                <w:rFonts w:ascii="Times New Roman" w:hAnsi="Times New Roman" w:cs="Times New Roman"/>
                <w:szCs w:val="24"/>
                <w:lang w:eastAsia="en-IN"/>
              </w:rPr>
            </w:pPr>
            <w:r w:rsidRPr="004B6753">
              <w:rPr>
                <w:rFonts w:ascii="Times New Roman" w:hAnsi="Times New Roman" w:cs="Times New Roman"/>
                <w:i/>
                <w:iCs/>
                <w:szCs w:val="24"/>
                <w:lang w:eastAsia="en-IN"/>
              </w:rPr>
              <w:t>(33.05)</w:t>
            </w:r>
          </w:p>
        </w:tc>
        <w:tc>
          <w:tcPr>
            <w:tcW w:w="0" w:type="auto"/>
            <w:vAlign w:val="center"/>
            <w:hideMark/>
          </w:tcPr>
          <w:p w14:paraId="0079EABA" w14:textId="77777777" w:rsidR="00812C67" w:rsidRPr="004B6753" w:rsidRDefault="00812C67" w:rsidP="004B6753">
            <w:pPr>
              <w:pStyle w:val="NoSpacing"/>
              <w:jc w:val="center"/>
              <w:rPr>
                <w:rFonts w:ascii="Times New Roman" w:hAnsi="Times New Roman" w:cs="Times New Roman"/>
                <w:szCs w:val="24"/>
                <w:lang w:eastAsia="en-IN"/>
              </w:rPr>
            </w:pPr>
            <w:r w:rsidRPr="004B6753">
              <w:rPr>
                <w:rFonts w:ascii="Times New Roman" w:hAnsi="Times New Roman" w:cs="Times New Roman"/>
                <w:i/>
                <w:iCs/>
                <w:szCs w:val="24"/>
                <w:lang w:eastAsia="en-IN"/>
              </w:rPr>
              <w:t>(100.00)</w:t>
            </w:r>
          </w:p>
        </w:tc>
      </w:tr>
      <w:tr w:rsidR="00416FA8" w:rsidRPr="004B6753" w14:paraId="2DA3B801" w14:textId="77777777" w:rsidTr="004B6753">
        <w:trPr>
          <w:trHeight w:val="221"/>
        </w:trPr>
        <w:tc>
          <w:tcPr>
            <w:tcW w:w="0" w:type="auto"/>
            <w:hideMark/>
          </w:tcPr>
          <w:p w14:paraId="7757D0AD" w14:textId="77777777" w:rsidR="00416FA8" w:rsidRPr="004B6753" w:rsidRDefault="00416FA8" w:rsidP="00B77C0B">
            <w:pPr>
              <w:pStyle w:val="NoSpacing"/>
              <w:rPr>
                <w:rFonts w:ascii="Times New Roman" w:hAnsi="Times New Roman" w:cs="Times New Roman"/>
                <w:szCs w:val="24"/>
                <w:lang w:eastAsia="en-IN"/>
              </w:rPr>
            </w:pPr>
            <w:r w:rsidRPr="004B6753">
              <w:rPr>
                <w:rFonts w:ascii="Times New Roman" w:hAnsi="Times New Roman" w:cs="Times New Roman"/>
                <w:szCs w:val="24"/>
                <w:lang w:eastAsia="en-IN"/>
              </w:rPr>
              <w:t>Uttar Pradesh</w:t>
            </w:r>
          </w:p>
        </w:tc>
        <w:tc>
          <w:tcPr>
            <w:tcW w:w="0" w:type="auto"/>
            <w:vAlign w:val="center"/>
            <w:hideMark/>
          </w:tcPr>
          <w:p w14:paraId="7EED649F" w14:textId="77777777" w:rsidR="00416FA8" w:rsidRPr="004B6753" w:rsidRDefault="00416FA8" w:rsidP="004B6753">
            <w:pPr>
              <w:pStyle w:val="NoSpacing"/>
              <w:jc w:val="center"/>
              <w:rPr>
                <w:rFonts w:ascii="Times New Roman" w:hAnsi="Times New Roman" w:cs="Times New Roman"/>
                <w:szCs w:val="24"/>
                <w:lang w:eastAsia="en-IN"/>
              </w:rPr>
            </w:pPr>
          </w:p>
        </w:tc>
        <w:tc>
          <w:tcPr>
            <w:tcW w:w="0" w:type="auto"/>
            <w:vAlign w:val="center"/>
            <w:hideMark/>
          </w:tcPr>
          <w:p w14:paraId="743A17A0" w14:textId="77777777" w:rsidR="00416FA8" w:rsidRPr="004B6753" w:rsidRDefault="00416FA8" w:rsidP="004B6753">
            <w:pPr>
              <w:pStyle w:val="NoSpacing"/>
              <w:jc w:val="center"/>
              <w:rPr>
                <w:rFonts w:ascii="Times New Roman" w:hAnsi="Times New Roman" w:cs="Times New Roman"/>
                <w:szCs w:val="24"/>
                <w:lang w:eastAsia="en-IN"/>
              </w:rPr>
            </w:pPr>
          </w:p>
        </w:tc>
        <w:tc>
          <w:tcPr>
            <w:tcW w:w="0" w:type="auto"/>
            <w:vAlign w:val="center"/>
            <w:hideMark/>
          </w:tcPr>
          <w:p w14:paraId="73A95CAB" w14:textId="77777777" w:rsidR="00416FA8" w:rsidRPr="004B6753" w:rsidRDefault="00416FA8" w:rsidP="004B6753">
            <w:pPr>
              <w:pStyle w:val="NoSpacing"/>
              <w:jc w:val="center"/>
              <w:rPr>
                <w:rFonts w:ascii="Times New Roman" w:hAnsi="Times New Roman" w:cs="Times New Roman"/>
                <w:szCs w:val="24"/>
                <w:lang w:eastAsia="en-IN"/>
              </w:rPr>
            </w:pPr>
          </w:p>
        </w:tc>
        <w:tc>
          <w:tcPr>
            <w:tcW w:w="0" w:type="auto"/>
            <w:vAlign w:val="center"/>
            <w:hideMark/>
          </w:tcPr>
          <w:p w14:paraId="4354FC97" w14:textId="77777777" w:rsidR="00416FA8" w:rsidRPr="004B6753" w:rsidRDefault="00416FA8" w:rsidP="004B6753">
            <w:pPr>
              <w:pStyle w:val="NoSpacing"/>
              <w:jc w:val="center"/>
              <w:rPr>
                <w:rFonts w:ascii="Times New Roman" w:hAnsi="Times New Roman" w:cs="Times New Roman"/>
                <w:szCs w:val="24"/>
                <w:lang w:eastAsia="en-IN"/>
              </w:rPr>
            </w:pPr>
          </w:p>
        </w:tc>
        <w:tc>
          <w:tcPr>
            <w:tcW w:w="0" w:type="auto"/>
            <w:vAlign w:val="center"/>
            <w:hideMark/>
          </w:tcPr>
          <w:p w14:paraId="2E6AF90F" w14:textId="77777777" w:rsidR="00416FA8" w:rsidRPr="004B6753" w:rsidRDefault="00416FA8" w:rsidP="004B6753">
            <w:pPr>
              <w:pStyle w:val="NoSpacing"/>
              <w:jc w:val="center"/>
              <w:rPr>
                <w:rFonts w:ascii="Times New Roman" w:hAnsi="Times New Roman" w:cs="Times New Roman"/>
                <w:szCs w:val="24"/>
                <w:lang w:eastAsia="en-IN"/>
              </w:rPr>
            </w:pPr>
          </w:p>
        </w:tc>
        <w:tc>
          <w:tcPr>
            <w:tcW w:w="0" w:type="auto"/>
            <w:vAlign w:val="center"/>
            <w:hideMark/>
          </w:tcPr>
          <w:p w14:paraId="58E183DF" w14:textId="77777777" w:rsidR="00416FA8" w:rsidRPr="004B6753" w:rsidRDefault="00416FA8" w:rsidP="004B6753">
            <w:pPr>
              <w:pStyle w:val="NoSpacing"/>
              <w:jc w:val="center"/>
              <w:rPr>
                <w:rFonts w:ascii="Times New Roman" w:hAnsi="Times New Roman" w:cs="Times New Roman"/>
                <w:szCs w:val="24"/>
                <w:lang w:eastAsia="en-IN"/>
              </w:rPr>
            </w:pPr>
          </w:p>
        </w:tc>
        <w:tc>
          <w:tcPr>
            <w:tcW w:w="0" w:type="auto"/>
            <w:vAlign w:val="center"/>
            <w:hideMark/>
          </w:tcPr>
          <w:p w14:paraId="5E8CF088" w14:textId="77777777" w:rsidR="00416FA8" w:rsidRPr="004B6753" w:rsidRDefault="00416FA8" w:rsidP="004B6753">
            <w:pPr>
              <w:pStyle w:val="NoSpacing"/>
              <w:jc w:val="center"/>
              <w:rPr>
                <w:rFonts w:ascii="Times New Roman" w:hAnsi="Times New Roman" w:cs="Times New Roman"/>
                <w:szCs w:val="24"/>
                <w:lang w:eastAsia="en-IN"/>
              </w:rPr>
            </w:pPr>
          </w:p>
        </w:tc>
        <w:tc>
          <w:tcPr>
            <w:tcW w:w="0" w:type="auto"/>
            <w:vAlign w:val="center"/>
            <w:hideMark/>
          </w:tcPr>
          <w:p w14:paraId="5FF4682C" w14:textId="77777777" w:rsidR="00416FA8" w:rsidRPr="004B6753" w:rsidRDefault="00416FA8" w:rsidP="004B6753">
            <w:pPr>
              <w:pStyle w:val="NoSpacing"/>
              <w:jc w:val="center"/>
              <w:rPr>
                <w:rFonts w:ascii="Times New Roman" w:hAnsi="Times New Roman" w:cs="Times New Roman"/>
                <w:szCs w:val="24"/>
                <w:lang w:eastAsia="en-IN"/>
              </w:rPr>
            </w:pPr>
          </w:p>
        </w:tc>
        <w:tc>
          <w:tcPr>
            <w:tcW w:w="0" w:type="auto"/>
            <w:vAlign w:val="center"/>
            <w:hideMark/>
          </w:tcPr>
          <w:p w14:paraId="3E4D46DD" w14:textId="77777777" w:rsidR="00416FA8" w:rsidRPr="004B6753" w:rsidRDefault="00416FA8" w:rsidP="004B6753">
            <w:pPr>
              <w:pStyle w:val="NoSpacing"/>
              <w:jc w:val="center"/>
              <w:rPr>
                <w:rFonts w:ascii="Times New Roman" w:hAnsi="Times New Roman" w:cs="Times New Roman"/>
                <w:szCs w:val="24"/>
                <w:lang w:eastAsia="en-IN"/>
              </w:rPr>
            </w:pPr>
          </w:p>
        </w:tc>
        <w:tc>
          <w:tcPr>
            <w:tcW w:w="0" w:type="auto"/>
            <w:vAlign w:val="center"/>
            <w:hideMark/>
          </w:tcPr>
          <w:p w14:paraId="35A44ED3" w14:textId="77777777" w:rsidR="00416FA8" w:rsidRPr="004B6753" w:rsidRDefault="00416FA8" w:rsidP="004B6753">
            <w:pPr>
              <w:pStyle w:val="NoSpacing"/>
              <w:jc w:val="center"/>
              <w:rPr>
                <w:rFonts w:ascii="Times New Roman" w:hAnsi="Times New Roman" w:cs="Times New Roman"/>
                <w:szCs w:val="24"/>
                <w:lang w:eastAsia="en-IN"/>
              </w:rPr>
            </w:pPr>
          </w:p>
        </w:tc>
        <w:tc>
          <w:tcPr>
            <w:tcW w:w="0" w:type="auto"/>
            <w:vAlign w:val="center"/>
            <w:hideMark/>
          </w:tcPr>
          <w:p w14:paraId="7B70B384" w14:textId="77777777" w:rsidR="00416FA8" w:rsidRPr="004B6753" w:rsidRDefault="00416FA8" w:rsidP="004B6753">
            <w:pPr>
              <w:pStyle w:val="NoSpacing"/>
              <w:jc w:val="center"/>
              <w:rPr>
                <w:rFonts w:ascii="Times New Roman" w:hAnsi="Times New Roman" w:cs="Times New Roman"/>
                <w:szCs w:val="24"/>
                <w:lang w:eastAsia="en-IN"/>
              </w:rPr>
            </w:pPr>
          </w:p>
        </w:tc>
      </w:tr>
      <w:tr w:rsidR="00812C67" w:rsidRPr="004B6753" w14:paraId="2FA69479" w14:textId="77777777" w:rsidTr="004B6753">
        <w:trPr>
          <w:trHeight w:val="221"/>
        </w:trPr>
        <w:tc>
          <w:tcPr>
            <w:tcW w:w="0" w:type="auto"/>
            <w:vMerge w:val="restart"/>
            <w:hideMark/>
          </w:tcPr>
          <w:p w14:paraId="7CD6CB50" w14:textId="77777777" w:rsidR="00812C67" w:rsidRPr="004B6753" w:rsidRDefault="00812C67" w:rsidP="00B77C0B">
            <w:pPr>
              <w:pStyle w:val="NoSpacing"/>
              <w:rPr>
                <w:rFonts w:ascii="Times New Roman" w:hAnsi="Times New Roman" w:cs="Times New Roman"/>
                <w:szCs w:val="24"/>
                <w:lang w:eastAsia="en-IN"/>
              </w:rPr>
            </w:pPr>
            <w:r w:rsidRPr="004B6753">
              <w:rPr>
                <w:rFonts w:ascii="Times New Roman" w:hAnsi="Times New Roman" w:cs="Times New Roman"/>
                <w:szCs w:val="24"/>
                <w:lang w:eastAsia="en-IN"/>
              </w:rPr>
              <w:t>1961-62</w:t>
            </w:r>
          </w:p>
        </w:tc>
        <w:tc>
          <w:tcPr>
            <w:tcW w:w="0" w:type="auto"/>
            <w:vAlign w:val="center"/>
            <w:hideMark/>
          </w:tcPr>
          <w:p w14:paraId="5742AACE" w14:textId="77777777" w:rsidR="00812C67" w:rsidRPr="004B6753" w:rsidRDefault="00812C67" w:rsidP="004B6753">
            <w:pPr>
              <w:pStyle w:val="NoSpacing"/>
              <w:jc w:val="center"/>
              <w:rPr>
                <w:rFonts w:ascii="Times New Roman" w:hAnsi="Times New Roman" w:cs="Times New Roman"/>
                <w:szCs w:val="24"/>
                <w:lang w:eastAsia="en-IN"/>
              </w:rPr>
            </w:pPr>
            <w:r w:rsidRPr="004B6753">
              <w:rPr>
                <w:rFonts w:ascii="Times New Roman" w:hAnsi="Times New Roman" w:cs="Times New Roman"/>
                <w:szCs w:val="24"/>
                <w:lang w:eastAsia="en-IN"/>
              </w:rPr>
              <w:t>11.64</w:t>
            </w:r>
          </w:p>
        </w:tc>
        <w:tc>
          <w:tcPr>
            <w:tcW w:w="0" w:type="auto"/>
            <w:vAlign w:val="center"/>
            <w:hideMark/>
          </w:tcPr>
          <w:p w14:paraId="339F8CA9" w14:textId="77777777" w:rsidR="00812C67" w:rsidRPr="004B6753" w:rsidRDefault="00812C67" w:rsidP="004B6753">
            <w:pPr>
              <w:pStyle w:val="NoSpacing"/>
              <w:jc w:val="center"/>
              <w:rPr>
                <w:rFonts w:ascii="Times New Roman" w:hAnsi="Times New Roman" w:cs="Times New Roman"/>
                <w:szCs w:val="24"/>
                <w:lang w:eastAsia="en-IN"/>
              </w:rPr>
            </w:pPr>
            <w:r w:rsidRPr="004B6753">
              <w:rPr>
                <w:rFonts w:ascii="Times New Roman" w:hAnsi="Times New Roman" w:cs="Times New Roman"/>
                <w:szCs w:val="24"/>
                <w:lang w:eastAsia="en-IN"/>
              </w:rPr>
              <w:t>16.18</w:t>
            </w:r>
          </w:p>
        </w:tc>
        <w:tc>
          <w:tcPr>
            <w:tcW w:w="0" w:type="auto"/>
            <w:vAlign w:val="center"/>
            <w:hideMark/>
          </w:tcPr>
          <w:p w14:paraId="0AE3F17C" w14:textId="77777777" w:rsidR="00812C67" w:rsidRPr="004B6753" w:rsidRDefault="00812C67" w:rsidP="004B6753">
            <w:pPr>
              <w:pStyle w:val="NoSpacing"/>
              <w:jc w:val="center"/>
              <w:rPr>
                <w:rFonts w:ascii="Times New Roman" w:hAnsi="Times New Roman" w:cs="Times New Roman"/>
                <w:szCs w:val="24"/>
                <w:lang w:eastAsia="en-IN"/>
              </w:rPr>
            </w:pPr>
            <w:r w:rsidRPr="004B6753">
              <w:rPr>
                <w:rFonts w:ascii="Times New Roman" w:hAnsi="Times New Roman" w:cs="Times New Roman"/>
                <w:szCs w:val="24"/>
                <w:lang w:eastAsia="en-IN"/>
              </w:rPr>
              <w:t>9.62</w:t>
            </w:r>
          </w:p>
        </w:tc>
        <w:tc>
          <w:tcPr>
            <w:tcW w:w="0" w:type="auto"/>
            <w:vAlign w:val="center"/>
            <w:hideMark/>
          </w:tcPr>
          <w:p w14:paraId="65B3DD77" w14:textId="77777777" w:rsidR="00812C67" w:rsidRPr="004B6753" w:rsidRDefault="00812C67" w:rsidP="004B6753">
            <w:pPr>
              <w:pStyle w:val="NoSpacing"/>
              <w:jc w:val="center"/>
              <w:rPr>
                <w:rFonts w:ascii="Times New Roman" w:hAnsi="Times New Roman" w:cs="Times New Roman"/>
                <w:szCs w:val="24"/>
                <w:lang w:eastAsia="en-IN"/>
              </w:rPr>
            </w:pPr>
            <w:r w:rsidRPr="004B6753">
              <w:rPr>
                <w:rFonts w:ascii="Times New Roman" w:hAnsi="Times New Roman" w:cs="Times New Roman"/>
                <w:szCs w:val="24"/>
                <w:lang w:eastAsia="en-IN"/>
              </w:rPr>
              <w:t>11.47</w:t>
            </w:r>
          </w:p>
        </w:tc>
        <w:tc>
          <w:tcPr>
            <w:tcW w:w="0" w:type="auto"/>
            <w:vAlign w:val="center"/>
            <w:hideMark/>
          </w:tcPr>
          <w:p w14:paraId="4043F9A5" w14:textId="77777777" w:rsidR="00812C67" w:rsidRPr="004B6753" w:rsidRDefault="00812C67" w:rsidP="004B6753">
            <w:pPr>
              <w:pStyle w:val="NoSpacing"/>
              <w:jc w:val="center"/>
              <w:rPr>
                <w:rFonts w:ascii="Times New Roman" w:hAnsi="Times New Roman" w:cs="Times New Roman"/>
                <w:szCs w:val="24"/>
                <w:lang w:eastAsia="en-IN"/>
              </w:rPr>
            </w:pPr>
            <w:r w:rsidRPr="004B6753">
              <w:rPr>
                <w:rFonts w:ascii="Times New Roman" w:hAnsi="Times New Roman" w:cs="Times New Roman"/>
                <w:szCs w:val="24"/>
                <w:lang w:eastAsia="en-IN"/>
              </w:rPr>
              <w:t>3.47</w:t>
            </w:r>
          </w:p>
        </w:tc>
        <w:tc>
          <w:tcPr>
            <w:tcW w:w="0" w:type="auto"/>
            <w:vAlign w:val="center"/>
            <w:hideMark/>
          </w:tcPr>
          <w:p w14:paraId="0ACCF980" w14:textId="77777777" w:rsidR="00812C67" w:rsidRPr="004B6753" w:rsidRDefault="00812C67" w:rsidP="004B6753">
            <w:pPr>
              <w:pStyle w:val="NoSpacing"/>
              <w:jc w:val="center"/>
              <w:rPr>
                <w:rFonts w:ascii="Times New Roman" w:hAnsi="Times New Roman" w:cs="Times New Roman"/>
                <w:szCs w:val="24"/>
                <w:lang w:eastAsia="en-IN"/>
              </w:rPr>
            </w:pPr>
            <w:r w:rsidRPr="004B6753">
              <w:rPr>
                <w:rFonts w:ascii="Times New Roman" w:hAnsi="Times New Roman" w:cs="Times New Roman"/>
                <w:szCs w:val="24"/>
                <w:lang w:eastAsia="en-IN"/>
              </w:rPr>
              <w:t>23.79</w:t>
            </w:r>
          </w:p>
        </w:tc>
        <w:tc>
          <w:tcPr>
            <w:tcW w:w="0" w:type="auto"/>
            <w:vAlign w:val="center"/>
            <w:hideMark/>
          </w:tcPr>
          <w:p w14:paraId="748C4CB5" w14:textId="77777777" w:rsidR="00812C67" w:rsidRPr="004B6753" w:rsidRDefault="00812C67" w:rsidP="004B6753">
            <w:pPr>
              <w:pStyle w:val="NoSpacing"/>
              <w:jc w:val="center"/>
              <w:rPr>
                <w:rFonts w:ascii="Times New Roman" w:hAnsi="Times New Roman" w:cs="Times New Roman"/>
                <w:szCs w:val="24"/>
                <w:lang w:eastAsia="en-IN"/>
              </w:rPr>
            </w:pPr>
            <w:r w:rsidRPr="004B6753">
              <w:rPr>
                <w:rFonts w:ascii="Times New Roman" w:hAnsi="Times New Roman" w:cs="Times New Roman"/>
                <w:szCs w:val="24"/>
                <w:lang w:eastAsia="en-IN"/>
              </w:rPr>
              <w:t>5.36</w:t>
            </w:r>
          </w:p>
        </w:tc>
        <w:tc>
          <w:tcPr>
            <w:tcW w:w="0" w:type="auto"/>
            <w:vAlign w:val="center"/>
            <w:hideMark/>
          </w:tcPr>
          <w:p w14:paraId="4567B836" w14:textId="77777777" w:rsidR="00812C67" w:rsidRPr="004B6753" w:rsidRDefault="00812C67" w:rsidP="004B6753">
            <w:pPr>
              <w:pStyle w:val="NoSpacing"/>
              <w:jc w:val="center"/>
              <w:rPr>
                <w:rFonts w:ascii="Times New Roman" w:hAnsi="Times New Roman" w:cs="Times New Roman"/>
                <w:szCs w:val="24"/>
                <w:lang w:eastAsia="en-IN"/>
              </w:rPr>
            </w:pPr>
            <w:r w:rsidRPr="004B6753">
              <w:rPr>
                <w:rFonts w:ascii="Times New Roman" w:hAnsi="Times New Roman" w:cs="Times New Roman"/>
                <w:szCs w:val="24"/>
                <w:lang w:eastAsia="en-IN"/>
              </w:rPr>
              <w:t>3.41</w:t>
            </w:r>
          </w:p>
        </w:tc>
        <w:tc>
          <w:tcPr>
            <w:tcW w:w="0" w:type="auto"/>
            <w:vAlign w:val="center"/>
            <w:hideMark/>
          </w:tcPr>
          <w:p w14:paraId="3712BE38" w14:textId="77777777" w:rsidR="00812C67" w:rsidRPr="004B6753" w:rsidRDefault="00812C67" w:rsidP="004B6753">
            <w:pPr>
              <w:pStyle w:val="NoSpacing"/>
              <w:jc w:val="center"/>
              <w:rPr>
                <w:rFonts w:ascii="Times New Roman" w:hAnsi="Times New Roman" w:cs="Times New Roman"/>
                <w:szCs w:val="24"/>
                <w:lang w:eastAsia="en-IN"/>
              </w:rPr>
            </w:pPr>
            <w:r w:rsidRPr="004B6753">
              <w:rPr>
                <w:rFonts w:ascii="Times New Roman" w:hAnsi="Times New Roman" w:cs="Times New Roman"/>
                <w:szCs w:val="24"/>
                <w:lang w:eastAsia="en-IN"/>
              </w:rPr>
              <w:t>6.42</w:t>
            </w:r>
          </w:p>
        </w:tc>
        <w:tc>
          <w:tcPr>
            <w:tcW w:w="0" w:type="auto"/>
            <w:vAlign w:val="center"/>
            <w:hideMark/>
          </w:tcPr>
          <w:p w14:paraId="65183293" w14:textId="77777777" w:rsidR="00812C67" w:rsidRPr="004B6753" w:rsidRDefault="00812C67" w:rsidP="004B6753">
            <w:pPr>
              <w:pStyle w:val="NoSpacing"/>
              <w:jc w:val="center"/>
              <w:rPr>
                <w:rFonts w:ascii="Times New Roman" w:hAnsi="Times New Roman" w:cs="Times New Roman"/>
                <w:szCs w:val="24"/>
                <w:lang w:eastAsia="en-IN"/>
              </w:rPr>
            </w:pPr>
            <w:r w:rsidRPr="004B6753">
              <w:rPr>
                <w:rFonts w:ascii="Times New Roman" w:hAnsi="Times New Roman" w:cs="Times New Roman"/>
                <w:szCs w:val="24"/>
                <w:lang w:eastAsia="en-IN"/>
              </w:rPr>
              <w:t>59.95</w:t>
            </w:r>
          </w:p>
        </w:tc>
        <w:tc>
          <w:tcPr>
            <w:tcW w:w="0" w:type="auto"/>
            <w:vAlign w:val="center"/>
            <w:hideMark/>
          </w:tcPr>
          <w:p w14:paraId="6C590F23" w14:textId="77777777" w:rsidR="00812C67" w:rsidRPr="004B6753" w:rsidRDefault="00812C67" w:rsidP="004B6753">
            <w:pPr>
              <w:pStyle w:val="NoSpacing"/>
              <w:jc w:val="center"/>
              <w:rPr>
                <w:rFonts w:ascii="Times New Roman" w:hAnsi="Times New Roman" w:cs="Times New Roman"/>
                <w:szCs w:val="24"/>
                <w:lang w:eastAsia="en-IN"/>
              </w:rPr>
            </w:pPr>
            <w:r w:rsidRPr="004B6753">
              <w:rPr>
                <w:rFonts w:ascii="Times New Roman" w:hAnsi="Times New Roman" w:cs="Times New Roman"/>
                <w:szCs w:val="24"/>
                <w:lang w:eastAsia="en-IN"/>
              </w:rPr>
              <w:t>151.11</w:t>
            </w:r>
          </w:p>
        </w:tc>
      </w:tr>
      <w:tr w:rsidR="00812C67" w:rsidRPr="004B6753" w14:paraId="028BFA73" w14:textId="77777777" w:rsidTr="004B6753">
        <w:trPr>
          <w:trHeight w:val="221"/>
        </w:trPr>
        <w:tc>
          <w:tcPr>
            <w:tcW w:w="0" w:type="auto"/>
            <w:vMerge/>
            <w:hideMark/>
          </w:tcPr>
          <w:p w14:paraId="249AA905" w14:textId="77777777" w:rsidR="00812C67" w:rsidRPr="004B6753" w:rsidRDefault="00812C67" w:rsidP="00B77C0B">
            <w:pPr>
              <w:pStyle w:val="NoSpacing"/>
              <w:rPr>
                <w:rFonts w:ascii="Times New Roman" w:hAnsi="Times New Roman" w:cs="Times New Roman"/>
                <w:szCs w:val="24"/>
                <w:lang w:eastAsia="en-IN"/>
              </w:rPr>
            </w:pPr>
          </w:p>
        </w:tc>
        <w:tc>
          <w:tcPr>
            <w:tcW w:w="0" w:type="auto"/>
            <w:vAlign w:val="center"/>
            <w:hideMark/>
          </w:tcPr>
          <w:p w14:paraId="5C52EE18" w14:textId="77777777" w:rsidR="00812C67" w:rsidRPr="004B6753" w:rsidRDefault="00812C67" w:rsidP="004B6753">
            <w:pPr>
              <w:pStyle w:val="NoSpacing"/>
              <w:jc w:val="center"/>
              <w:rPr>
                <w:rFonts w:ascii="Times New Roman" w:hAnsi="Times New Roman" w:cs="Times New Roman"/>
                <w:szCs w:val="24"/>
                <w:lang w:eastAsia="en-IN"/>
              </w:rPr>
            </w:pPr>
            <w:r w:rsidRPr="004B6753">
              <w:rPr>
                <w:rFonts w:ascii="Times New Roman" w:hAnsi="Times New Roman" w:cs="Times New Roman"/>
                <w:i/>
                <w:iCs/>
                <w:szCs w:val="24"/>
                <w:lang w:eastAsia="en-IN"/>
              </w:rPr>
              <w:t>(7.57)</w:t>
            </w:r>
          </w:p>
        </w:tc>
        <w:tc>
          <w:tcPr>
            <w:tcW w:w="0" w:type="auto"/>
            <w:vAlign w:val="center"/>
            <w:hideMark/>
          </w:tcPr>
          <w:p w14:paraId="74850148" w14:textId="77777777" w:rsidR="00812C67" w:rsidRPr="004B6753" w:rsidRDefault="00812C67" w:rsidP="004B6753">
            <w:pPr>
              <w:pStyle w:val="NoSpacing"/>
              <w:jc w:val="center"/>
              <w:rPr>
                <w:rFonts w:ascii="Times New Roman" w:hAnsi="Times New Roman" w:cs="Times New Roman"/>
                <w:szCs w:val="24"/>
                <w:lang w:eastAsia="en-IN"/>
              </w:rPr>
            </w:pPr>
            <w:r w:rsidRPr="004B6753">
              <w:rPr>
                <w:rFonts w:ascii="Times New Roman" w:hAnsi="Times New Roman" w:cs="Times New Roman"/>
                <w:i/>
                <w:iCs/>
                <w:szCs w:val="24"/>
                <w:lang w:eastAsia="en-IN"/>
              </w:rPr>
              <w:t>(10.70)</w:t>
            </w:r>
          </w:p>
        </w:tc>
        <w:tc>
          <w:tcPr>
            <w:tcW w:w="0" w:type="auto"/>
            <w:vAlign w:val="center"/>
            <w:hideMark/>
          </w:tcPr>
          <w:p w14:paraId="2D8F1CF2" w14:textId="77777777" w:rsidR="00812C67" w:rsidRPr="004B6753" w:rsidRDefault="00812C67" w:rsidP="004B6753">
            <w:pPr>
              <w:pStyle w:val="NoSpacing"/>
              <w:jc w:val="center"/>
              <w:rPr>
                <w:rFonts w:ascii="Times New Roman" w:hAnsi="Times New Roman" w:cs="Times New Roman"/>
                <w:szCs w:val="24"/>
                <w:lang w:eastAsia="en-IN"/>
              </w:rPr>
            </w:pPr>
            <w:r w:rsidRPr="004B6753">
              <w:rPr>
                <w:rFonts w:ascii="Times New Roman" w:hAnsi="Times New Roman" w:cs="Times New Roman"/>
                <w:i/>
                <w:iCs/>
                <w:szCs w:val="24"/>
                <w:lang w:eastAsia="en-IN"/>
              </w:rPr>
              <w:t>(6.37)</w:t>
            </w:r>
          </w:p>
        </w:tc>
        <w:tc>
          <w:tcPr>
            <w:tcW w:w="0" w:type="auto"/>
            <w:vAlign w:val="center"/>
            <w:hideMark/>
          </w:tcPr>
          <w:p w14:paraId="66563811" w14:textId="77777777" w:rsidR="00812C67" w:rsidRPr="004B6753" w:rsidRDefault="00812C67" w:rsidP="004B6753">
            <w:pPr>
              <w:pStyle w:val="NoSpacing"/>
              <w:jc w:val="center"/>
              <w:rPr>
                <w:rFonts w:ascii="Times New Roman" w:hAnsi="Times New Roman" w:cs="Times New Roman"/>
                <w:szCs w:val="24"/>
                <w:lang w:eastAsia="en-IN"/>
              </w:rPr>
            </w:pPr>
            <w:r w:rsidRPr="004B6753">
              <w:rPr>
                <w:rFonts w:ascii="Times New Roman" w:hAnsi="Times New Roman" w:cs="Times New Roman"/>
                <w:i/>
                <w:iCs/>
                <w:szCs w:val="24"/>
                <w:lang w:eastAsia="en-IN"/>
              </w:rPr>
              <w:t>(7.59)</w:t>
            </w:r>
          </w:p>
        </w:tc>
        <w:tc>
          <w:tcPr>
            <w:tcW w:w="0" w:type="auto"/>
            <w:vAlign w:val="center"/>
            <w:hideMark/>
          </w:tcPr>
          <w:p w14:paraId="14B1E14F" w14:textId="77777777" w:rsidR="00812C67" w:rsidRPr="004B6753" w:rsidRDefault="00812C67" w:rsidP="004B6753">
            <w:pPr>
              <w:pStyle w:val="NoSpacing"/>
              <w:jc w:val="center"/>
              <w:rPr>
                <w:rFonts w:ascii="Times New Roman" w:hAnsi="Times New Roman" w:cs="Times New Roman"/>
                <w:szCs w:val="24"/>
                <w:lang w:eastAsia="en-IN"/>
              </w:rPr>
            </w:pPr>
            <w:r w:rsidRPr="004B6753">
              <w:rPr>
                <w:rFonts w:ascii="Times New Roman" w:hAnsi="Times New Roman" w:cs="Times New Roman"/>
                <w:i/>
                <w:iCs/>
                <w:szCs w:val="24"/>
                <w:lang w:eastAsia="en-IN"/>
              </w:rPr>
              <w:t>(2.30)</w:t>
            </w:r>
          </w:p>
        </w:tc>
        <w:tc>
          <w:tcPr>
            <w:tcW w:w="0" w:type="auto"/>
            <w:vAlign w:val="center"/>
            <w:hideMark/>
          </w:tcPr>
          <w:p w14:paraId="071D5437" w14:textId="77777777" w:rsidR="00812C67" w:rsidRPr="004B6753" w:rsidRDefault="00812C67" w:rsidP="004B6753">
            <w:pPr>
              <w:pStyle w:val="NoSpacing"/>
              <w:jc w:val="center"/>
              <w:rPr>
                <w:rFonts w:ascii="Times New Roman" w:hAnsi="Times New Roman" w:cs="Times New Roman"/>
                <w:szCs w:val="24"/>
                <w:lang w:eastAsia="en-IN"/>
              </w:rPr>
            </w:pPr>
            <w:r w:rsidRPr="004B6753">
              <w:rPr>
                <w:rFonts w:ascii="Times New Roman" w:hAnsi="Times New Roman" w:cs="Times New Roman"/>
                <w:i/>
                <w:iCs/>
                <w:szCs w:val="24"/>
                <w:lang w:eastAsia="en-IN"/>
              </w:rPr>
              <w:t>(15.74)</w:t>
            </w:r>
          </w:p>
        </w:tc>
        <w:tc>
          <w:tcPr>
            <w:tcW w:w="0" w:type="auto"/>
            <w:vAlign w:val="center"/>
            <w:hideMark/>
          </w:tcPr>
          <w:p w14:paraId="0B348485" w14:textId="77777777" w:rsidR="00812C67" w:rsidRPr="004B6753" w:rsidRDefault="00812C67" w:rsidP="004B6753">
            <w:pPr>
              <w:pStyle w:val="NoSpacing"/>
              <w:jc w:val="center"/>
              <w:rPr>
                <w:rFonts w:ascii="Times New Roman" w:hAnsi="Times New Roman" w:cs="Times New Roman"/>
                <w:szCs w:val="24"/>
                <w:lang w:eastAsia="en-IN"/>
              </w:rPr>
            </w:pPr>
            <w:r w:rsidRPr="004B6753">
              <w:rPr>
                <w:rFonts w:ascii="Times New Roman" w:hAnsi="Times New Roman" w:cs="Times New Roman"/>
                <w:i/>
                <w:iCs/>
                <w:szCs w:val="24"/>
                <w:lang w:eastAsia="en-IN"/>
              </w:rPr>
              <w:t>(3.55)</w:t>
            </w:r>
          </w:p>
        </w:tc>
        <w:tc>
          <w:tcPr>
            <w:tcW w:w="0" w:type="auto"/>
            <w:vAlign w:val="center"/>
            <w:hideMark/>
          </w:tcPr>
          <w:p w14:paraId="78CCA12E" w14:textId="77777777" w:rsidR="00812C67" w:rsidRPr="004B6753" w:rsidRDefault="00812C67" w:rsidP="004B6753">
            <w:pPr>
              <w:pStyle w:val="NoSpacing"/>
              <w:jc w:val="center"/>
              <w:rPr>
                <w:rFonts w:ascii="Times New Roman" w:hAnsi="Times New Roman" w:cs="Times New Roman"/>
                <w:szCs w:val="24"/>
                <w:lang w:eastAsia="en-IN"/>
              </w:rPr>
            </w:pPr>
            <w:r w:rsidRPr="004B6753">
              <w:rPr>
                <w:rFonts w:ascii="Times New Roman" w:hAnsi="Times New Roman" w:cs="Times New Roman"/>
                <w:i/>
                <w:iCs/>
                <w:szCs w:val="24"/>
                <w:lang w:eastAsia="en-IN"/>
              </w:rPr>
              <w:t>(2.26)</w:t>
            </w:r>
          </w:p>
        </w:tc>
        <w:tc>
          <w:tcPr>
            <w:tcW w:w="0" w:type="auto"/>
            <w:vAlign w:val="center"/>
            <w:hideMark/>
          </w:tcPr>
          <w:p w14:paraId="5D504AC2" w14:textId="77777777" w:rsidR="00812C67" w:rsidRPr="004B6753" w:rsidRDefault="00812C67" w:rsidP="004B6753">
            <w:pPr>
              <w:pStyle w:val="NoSpacing"/>
              <w:jc w:val="center"/>
              <w:rPr>
                <w:rFonts w:ascii="Times New Roman" w:hAnsi="Times New Roman" w:cs="Times New Roman"/>
                <w:szCs w:val="24"/>
                <w:lang w:eastAsia="en-IN"/>
              </w:rPr>
            </w:pPr>
            <w:r w:rsidRPr="004B6753">
              <w:rPr>
                <w:rFonts w:ascii="Times New Roman" w:hAnsi="Times New Roman" w:cs="Times New Roman"/>
                <w:i/>
                <w:iCs/>
                <w:szCs w:val="24"/>
                <w:lang w:eastAsia="en-IN"/>
              </w:rPr>
              <w:t>(4.25)</w:t>
            </w:r>
          </w:p>
        </w:tc>
        <w:tc>
          <w:tcPr>
            <w:tcW w:w="0" w:type="auto"/>
            <w:vAlign w:val="center"/>
            <w:hideMark/>
          </w:tcPr>
          <w:p w14:paraId="6C50E7CA" w14:textId="77777777" w:rsidR="00812C67" w:rsidRPr="004B6753" w:rsidRDefault="00812C67" w:rsidP="004B6753">
            <w:pPr>
              <w:pStyle w:val="NoSpacing"/>
              <w:jc w:val="center"/>
              <w:rPr>
                <w:rFonts w:ascii="Times New Roman" w:hAnsi="Times New Roman" w:cs="Times New Roman"/>
                <w:szCs w:val="24"/>
                <w:lang w:eastAsia="en-IN"/>
              </w:rPr>
            </w:pPr>
            <w:r w:rsidRPr="004B6753">
              <w:rPr>
                <w:rFonts w:ascii="Times New Roman" w:hAnsi="Times New Roman" w:cs="Times New Roman"/>
                <w:i/>
                <w:iCs/>
                <w:szCs w:val="24"/>
                <w:lang w:eastAsia="en-IN"/>
              </w:rPr>
              <w:t>(39.67)</w:t>
            </w:r>
          </w:p>
        </w:tc>
        <w:tc>
          <w:tcPr>
            <w:tcW w:w="0" w:type="auto"/>
            <w:vAlign w:val="center"/>
            <w:hideMark/>
          </w:tcPr>
          <w:p w14:paraId="76D91F20" w14:textId="77777777" w:rsidR="00812C67" w:rsidRPr="004B6753" w:rsidRDefault="00812C67" w:rsidP="004B6753">
            <w:pPr>
              <w:pStyle w:val="NoSpacing"/>
              <w:jc w:val="center"/>
              <w:rPr>
                <w:rFonts w:ascii="Times New Roman" w:hAnsi="Times New Roman" w:cs="Times New Roman"/>
                <w:szCs w:val="24"/>
                <w:lang w:eastAsia="en-IN"/>
              </w:rPr>
            </w:pPr>
            <w:r w:rsidRPr="004B6753">
              <w:rPr>
                <w:rFonts w:ascii="Times New Roman" w:hAnsi="Times New Roman" w:cs="Times New Roman"/>
                <w:i/>
                <w:iCs/>
                <w:szCs w:val="24"/>
                <w:lang w:eastAsia="en-IN"/>
              </w:rPr>
              <w:t>(100.00)</w:t>
            </w:r>
          </w:p>
        </w:tc>
      </w:tr>
      <w:tr w:rsidR="00416FA8" w:rsidRPr="004B6753" w14:paraId="42663076" w14:textId="77777777" w:rsidTr="004B6753">
        <w:trPr>
          <w:trHeight w:val="221"/>
        </w:trPr>
        <w:tc>
          <w:tcPr>
            <w:tcW w:w="0" w:type="auto"/>
            <w:hideMark/>
          </w:tcPr>
          <w:p w14:paraId="4F13CFF0" w14:textId="77777777" w:rsidR="00416FA8" w:rsidRPr="004B6753" w:rsidRDefault="00416FA8" w:rsidP="00B77C0B">
            <w:pPr>
              <w:pStyle w:val="NoSpacing"/>
              <w:rPr>
                <w:rFonts w:ascii="Times New Roman" w:hAnsi="Times New Roman" w:cs="Times New Roman"/>
                <w:szCs w:val="24"/>
                <w:lang w:eastAsia="en-IN"/>
              </w:rPr>
            </w:pPr>
            <w:r w:rsidRPr="004B6753">
              <w:rPr>
                <w:rFonts w:ascii="Times New Roman" w:hAnsi="Times New Roman" w:cs="Times New Roman"/>
                <w:szCs w:val="24"/>
                <w:lang w:eastAsia="en-IN"/>
              </w:rPr>
              <w:t>1965-66</w:t>
            </w:r>
          </w:p>
        </w:tc>
        <w:tc>
          <w:tcPr>
            <w:tcW w:w="0" w:type="auto"/>
            <w:vAlign w:val="center"/>
            <w:hideMark/>
          </w:tcPr>
          <w:p w14:paraId="461D12F1" w14:textId="77777777" w:rsidR="00416FA8" w:rsidRPr="004B6753" w:rsidRDefault="00416FA8" w:rsidP="004B6753">
            <w:pPr>
              <w:pStyle w:val="NoSpacing"/>
              <w:jc w:val="center"/>
              <w:rPr>
                <w:rFonts w:ascii="Times New Roman" w:hAnsi="Times New Roman" w:cs="Times New Roman"/>
                <w:szCs w:val="24"/>
                <w:lang w:eastAsia="en-IN"/>
              </w:rPr>
            </w:pPr>
            <w:r w:rsidRPr="004B6753">
              <w:rPr>
                <w:rFonts w:ascii="Times New Roman" w:hAnsi="Times New Roman" w:cs="Times New Roman"/>
                <w:szCs w:val="24"/>
                <w:lang w:eastAsia="en-IN"/>
              </w:rPr>
              <w:t>12.71</w:t>
            </w:r>
          </w:p>
        </w:tc>
        <w:tc>
          <w:tcPr>
            <w:tcW w:w="0" w:type="auto"/>
            <w:vAlign w:val="center"/>
            <w:hideMark/>
          </w:tcPr>
          <w:p w14:paraId="646C6F7B" w14:textId="77777777" w:rsidR="00416FA8" w:rsidRPr="004B6753" w:rsidRDefault="00416FA8" w:rsidP="004B6753">
            <w:pPr>
              <w:pStyle w:val="NoSpacing"/>
              <w:jc w:val="center"/>
              <w:rPr>
                <w:rFonts w:ascii="Times New Roman" w:hAnsi="Times New Roman" w:cs="Times New Roman"/>
                <w:szCs w:val="24"/>
                <w:lang w:eastAsia="en-IN"/>
              </w:rPr>
            </w:pPr>
            <w:r w:rsidRPr="004B6753">
              <w:rPr>
                <w:rFonts w:ascii="Times New Roman" w:hAnsi="Times New Roman" w:cs="Times New Roman"/>
                <w:szCs w:val="24"/>
                <w:lang w:eastAsia="en-IN"/>
              </w:rPr>
              <w:t>34.83</w:t>
            </w:r>
          </w:p>
        </w:tc>
        <w:tc>
          <w:tcPr>
            <w:tcW w:w="0" w:type="auto"/>
            <w:vAlign w:val="center"/>
            <w:hideMark/>
          </w:tcPr>
          <w:p w14:paraId="2EFDA9E9" w14:textId="77777777" w:rsidR="00416FA8" w:rsidRPr="004B6753" w:rsidRDefault="00416FA8" w:rsidP="004B6753">
            <w:pPr>
              <w:pStyle w:val="NoSpacing"/>
              <w:jc w:val="center"/>
              <w:rPr>
                <w:rFonts w:ascii="Times New Roman" w:hAnsi="Times New Roman" w:cs="Times New Roman"/>
                <w:szCs w:val="24"/>
                <w:lang w:eastAsia="en-IN"/>
              </w:rPr>
            </w:pPr>
            <w:r w:rsidRPr="004B6753">
              <w:rPr>
                <w:rFonts w:ascii="Times New Roman" w:hAnsi="Times New Roman" w:cs="Times New Roman"/>
                <w:szCs w:val="24"/>
                <w:lang w:eastAsia="en-IN"/>
              </w:rPr>
              <w:t>14.92</w:t>
            </w:r>
          </w:p>
        </w:tc>
        <w:tc>
          <w:tcPr>
            <w:tcW w:w="0" w:type="auto"/>
            <w:vAlign w:val="center"/>
            <w:hideMark/>
          </w:tcPr>
          <w:p w14:paraId="546C1C85" w14:textId="77777777" w:rsidR="00416FA8" w:rsidRPr="004B6753" w:rsidRDefault="00416FA8" w:rsidP="004B6753">
            <w:pPr>
              <w:pStyle w:val="NoSpacing"/>
              <w:jc w:val="center"/>
              <w:rPr>
                <w:rFonts w:ascii="Times New Roman" w:hAnsi="Times New Roman" w:cs="Times New Roman"/>
                <w:szCs w:val="24"/>
                <w:lang w:eastAsia="en-IN"/>
              </w:rPr>
            </w:pPr>
            <w:r w:rsidRPr="004B6753">
              <w:rPr>
                <w:rFonts w:ascii="Times New Roman" w:hAnsi="Times New Roman" w:cs="Times New Roman"/>
                <w:szCs w:val="24"/>
                <w:lang w:eastAsia="en-IN"/>
              </w:rPr>
              <w:t>16.15</w:t>
            </w:r>
          </w:p>
        </w:tc>
        <w:tc>
          <w:tcPr>
            <w:tcW w:w="0" w:type="auto"/>
            <w:vAlign w:val="center"/>
            <w:hideMark/>
          </w:tcPr>
          <w:p w14:paraId="528F0217" w14:textId="77777777" w:rsidR="00416FA8" w:rsidRPr="004B6753" w:rsidRDefault="00416FA8" w:rsidP="004B6753">
            <w:pPr>
              <w:pStyle w:val="NoSpacing"/>
              <w:jc w:val="center"/>
              <w:rPr>
                <w:rFonts w:ascii="Times New Roman" w:hAnsi="Times New Roman" w:cs="Times New Roman"/>
                <w:szCs w:val="24"/>
                <w:lang w:eastAsia="en-IN"/>
              </w:rPr>
            </w:pPr>
            <w:r w:rsidRPr="004B6753">
              <w:rPr>
                <w:rFonts w:ascii="Times New Roman" w:hAnsi="Times New Roman" w:cs="Times New Roman"/>
                <w:szCs w:val="24"/>
                <w:lang w:eastAsia="en-IN"/>
              </w:rPr>
              <w:t>6.47</w:t>
            </w:r>
          </w:p>
        </w:tc>
        <w:tc>
          <w:tcPr>
            <w:tcW w:w="0" w:type="auto"/>
            <w:vAlign w:val="center"/>
            <w:hideMark/>
          </w:tcPr>
          <w:p w14:paraId="53501C26" w14:textId="77777777" w:rsidR="00416FA8" w:rsidRPr="004B6753" w:rsidRDefault="00416FA8" w:rsidP="004B6753">
            <w:pPr>
              <w:pStyle w:val="NoSpacing"/>
              <w:jc w:val="center"/>
              <w:rPr>
                <w:rFonts w:ascii="Times New Roman" w:hAnsi="Times New Roman" w:cs="Times New Roman"/>
                <w:szCs w:val="24"/>
                <w:lang w:eastAsia="en-IN"/>
              </w:rPr>
            </w:pPr>
            <w:r w:rsidRPr="004B6753">
              <w:rPr>
                <w:rFonts w:ascii="Times New Roman" w:hAnsi="Times New Roman" w:cs="Times New Roman"/>
                <w:szCs w:val="24"/>
                <w:lang w:eastAsia="en-IN"/>
              </w:rPr>
              <w:t>44.74</w:t>
            </w:r>
          </w:p>
        </w:tc>
        <w:tc>
          <w:tcPr>
            <w:tcW w:w="0" w:type="auto"/>
            <w:vAlign w:val="center"/>
            <w:hideMark/>
          </w:tcPr>
          <w:p w14:paraId="4354B7F2" w14:textId="77777777" w:rsidR="00416FA8" w:rsidRPr="004B6753" w:rsidRDefault="00416FA8" w:rsidP="004B6753">
            <w:pPr>
              <w:pStyle w:val="NoSpacing"/>
              <w:jc w:val="center"/>
              <w:rPr>
                <w:rFonts w:ascii="Times New Roman" w:hAnsi="Times New Roman" w:cs="Times New Roman"/>
                <w:szCs w:val="24"/>
                <w:lang w:eastAsia="en-IN"/>
              </w:rPr>
            </w:pPr>
            <w:r w:rsidRPr="004B6753">
              <w:rPr>
                <w:rFonts w:ascii="Times New Roman" w:hAnsi="Times New Roman" w:cs="Times New Roman"/>
                <w:szCs w:val="24"/>
                <w:lang w:eastAsia="en-IN"/>
              </w:rPr>
              <w:t>8.58</w:t>
            </w:r>
          </w:p>
        </w:tc>
        <w:tc>
          <w:tcPr>
            <w:tcW w:w="0" w:type="auto"/>
            <w:vAlign w:val="center"/>
            <w:hideMark/>
          </w:tcPr>
          <w:p w14:paraId="24218619" w14:textId="77777777" w:rsidR="00416FA8" w:rsidRPr="004B6753" w:rsidRDefault="00416FA8" w:rsidP="004B6753">
            <w:pPr>
              <w:pStyle w:val="NoSpacing"/>
              <w:jc w:val="center"/>
              <w:rPr>
                <w:rFonts w:ascii="Times New Roman" w:hAnsi="Times New Roman" w:cs="Times New Roman"/>
                <w:szCs w:val="24"/>
                <w:lang w:eastAsia="en-IN"/>
              </w:rPr>
            </w:pPr>
            <w:r w:rsidRPr="004B6753">
              <w:rPr>
                <w:rFonts w:ascii="Times New Roman" w:hAnsi="Times New Roman" w:cs="Times New Roman"/>
                <w:szCs w:val="24"/>
                <w:lang w:eastAsia="en-IN"/>
              </w:rPr>
              <w:t>7.04</w:t>
            </w:r>
          </w:p>
        </w:tc>
        <w:tc>
          <w:tcPr>
            <w:tcW w:w="0" w:type="auto"/>
            <w:vAlign w:val="center"/>
            <w:hideMark/>
          </w:tcPr>
          <w:p w14:paraId="352235FD" w14:textId="77777777" w:rsidR="00416FA8" w:rsidRPr="004B6753" w:rsidRDefault="00416FA8" w:rsidP="004B6753">
            <w:pPr>
              <w:pStyle w:val="NoSpacing"/>
              <w:jc w:val="center"/>
              <w:rPr>
                <w:rFonts w:ascii="Times New Roman" w:hAnsi="Times New Roman" w:cs="Times New Roman"/>
                <w:szCs w:val="24"/>
                <w:lang w:eastAsia="en-IN"/>
              </w:rPr>
            </w:pPr>
            <w:r w:rsidRPr="004B6753">
              <w:rPr>
                <w:rFonts w:ascii="Times New Roman" w:hAnsi="Times New Roman" w:cs="Times New Roman"/>
                <w:szCs w:val="24"/>
                <w:lang w:eastAsia="en-IN"/>
              </w:rPr>
              <w:t>12.15</w:t>
            </w:r>
          </w:p>
        </w:tc>
        <w:tc>
          <w:tcPr>
            <w:tcW w:w="0" w:type="auto"/>
            <w:vAlign w:val="center"/>
            <w:hideMark/>
          </w:tcPr>
          <w:p w14:paraId="7C7DFAA1" w14:textId="77777777" w:rsidR="00416FA8" w:rsidRPr="004B6753" w:rsidRDefault="00416FA8" w:rsidP="004B6753">
            <w:pPr>
              <w:pStyle w:val="NoSpacing"/>
              <w:jc w:val="center"/>
              <w:rPr>
                <w:rFonts w:ascii="Times New Roman" w:hAnsi="Times New Roman" w:cs="Times New Roman"/>
                <w:szCs w:val="24"/>
                <w:lang w:eastAsia="en-IN"/>
              </w:rPr>
            </w:pPr>
            <w:r w:rsidRPr="004B6753">
              <w:rPr>
                <w:rFonts w:ascii="Times New Roman" w:hAnsi="Times New Roman" w:cs="Times New Roman"/>
                <w:szCs w:val="24"/>
                <w:lang w:eastAsia="en-IN"/>
              </w:rPr>
              <w:t>102.09</w:t>
            </w:r>
          </w:p>
        </w:tc>
        <w:tc>
          <w:tcPr>
            <w:tcW w:w="0" w:type="auto"/>
            <w:vAlign w:val="center"/>
            <w:hideMark/>
          </w:tcPr>
          <w:p w14:paraId="0804FCE2" w14:textId="77777777" w:rsidR="00416FA8" w:rsidRPr="004B6753" w:rsidRDefault="00416FA8" w:rsidP="004B6753">
            <w:pPr>
              <w:pStyle w:val="NoSpacing"/>
              <w:jc w:val="center"/>
              <w:rPr>
                <w:rFonts w:ascii="Times New Roman" w:hAnsi="Times New Roman" w:cs="Times New Roman"/>
                <w:szCs w:val="24"/>
                <w:lang w:eastAsia="en-IN"/>
              </w:rPr>
            </w:pPr>
            <w:r w:rsidRPr="004B6753">
              <w:rPr>
                <w:rFonts w:ascii="Times New Roman" w:hAnsi="Times New Roman" w:cs="Times New Roman"/>
                <w:szCs w:val="24"/>
                <w:lang w:eastAsia="en-IN"/>
              </w:rPr>
              <w:t>259.68</w:t>
            </w:r>
          </w:p>
        </w:tc>
      </w:tr>
      <w:tr w:rsidR="00416FA8" w:rsidRPr="004B6753" w14:paraId="61EE5F76" w14:textId="77777777" w:rsidTr="004B6753">
        <w:trPr>
          <w:trHeight w:val="221"/>
        </w:trPr>
        <w:tc>
          <w:tcPr>
            <w:tcW w:w="0" w:type="auto"/>
            <w:hideMark/>
          </w:tcPr>
          <w:p w14:paraId="655DE7D8" w14:textId="77777777" w:rsidR="00416FA8" w:rsidRPr="004B6753" w:rsidRDefault="00416FA8" w:rsidP="00B77C0B">
            <w:pPr>
              <w:pStyle w:val="NoSpacing"/>
              <w:rPr>
                <w:rFonts w:ascii="Times New Roman" w:hAnsi="Times New Roman" w:cs="Times New Roman"/>
                <w:szCs w:val="24"/>
                <w:lang w:eastAsia="en-IN"/>
              </w:rPr>
            </w:pPr>
            <w:r w:rsidRPr="004B6753">
              <w:rPr>
                <w:rFonts w:ascii="Times New Roman" w:hAnsi="Times New Roman" w:cs="Times New Roman"/>
                <w:szCs w:val="24"/>
                <w:lang w:eastAsia="en-IN"/>
              </w:rPr>
              <w:t>1966-67</w:t>
            </w:r>
          </w:p>
        </w:tc>
        <w:tc>
          <w:tcPr>
            <w:tcW w:w="0" w:type="auto"/>
            <w:vAlign w:val="center"/>
            <w:hideMark/>
          </w:tcPr>
          <w:p w14:paraId="5E944686" w14:textId="77777777" w:rsidR="00416FA8" w:rsidRPr="004B6753" w:rsidRDefault="00416FA8" w:rsidP="004B6753">
            <w:pPr>
              <w:pStyle w:val="NoSpacing"/>
              <w:jc w:val="center"/>
              <w:rPr>
                <w:rFonts w:ascii="Times New Roman" w:hAnsi="Times New Roman" w:cs="Times New Roman"/>
                <w:szCs w:val="24"/>
                <w:lang w:eastAsia="en-IN"/>
              </w:rPr>
            </w:pPr>
            <w:r w:rsidRPr="004B6753">
              <w:rPr>
                <w:rFonts w:ascii="Times New Roman" w:hAnsi="Times New Roman" w:cs="Times New Roman"/>
                <w:szCs w:val="24"/>
                <w:lang w:eastAsia="en-IN"/>
              </w:rPr>
              <w:t>14.21</w:t>
            </w:r>
          </w:p>
        </w:tc>
        <w:tc>
          <w:tcPr>
            <w:tcW w:w="0" w:type="auto"/>
            <w:vAlign w:val="center"/>
            <w:hideMark/>
          </w:tcPr>
          <w:p w14:paraId="79626296" w14:textId="77777777" w:rsidR="00416FA8" w:rsidRPr="004B6753" w:rsidRDefault="00416FA8" w:rsidP="004B6753">
            <w:pPr>
              <w:pStyle w:val="NoSpacing"/>
              <w:jc w:val="center"/>
              <w:rPr>
                <w:rFonts w:ascii="Times New Roman" w:hAnsi="Times New Roman" w:cs="Times New Roman"/>
                <w:szCs w:val="24"/>
                <w:lang w:eastAsia="en-IN"/>
              </w:rPr>
            </w:pPr>
            <w:r w:rsidRPr="004B6753">
              <w:rPr>
                <w:rFonts w:ascii="Times New Roman" w:hAnsi="Times New Roman" w:cs="Times New Roman"/>
                <w:szCs w:val="24"/>
                <w:lang w:eastAsia="en-IN"/>
              </w:rPr>
              <w:t>47.83</w:t>
            </w:r>
          </w:p>
        </w:tc>
        <w:tc>
          <w:tcPr>
            <w:tcW w:w="0" w:type="auto"/>
            <w:vAlign w:val="center"/>
            <w:hideMark/>
          </w:tcPr>
          <w:p w14:paraId="4E6D0183" w14:textId="77777777" w:rsidR="00416FA8" w:rsidRPr="004B6753" w:rsidRDefault="00416FA8" w:rsidP="004B6753">
            <w:pPr>
              <w:pStyle w:val="NoSpacing"/>
              <w:jc w:val="center"/>
              <w:rPr>
                <w:rFonts w:ascii="Times New Roman" w:hAnsi="Times New Roman" w:cs="Times New Roman"/>
                <w:szCs w:val="24"/>
                <w:lang w:eastAsia="en-IN"/>
              </w:rPr>
            </w:pPr>
            <w:r w:rsidRPr="004B6753">
              <w:rPr>
                <w:rFonts w:ascii="Times New Roman" w:hAnsi="Times New Roman" w:cs="Times New Roman"/>
                <w:szCs w:val="24"/>
                <w:lang w:eastAsia="en-IN"/>
              </w:rPr>
              <w:t>14.22</w:t>
            </w:r>
          </w:p>
        </w:tc>
        <w:tc>
          <w:tcPr>
            <w:tcW w:w="0" w:type="auto"/>
            <w:vAlign w:val="center"/>
            <w:hideMark/>
          </w:tcPr>
          <w:p w14:paraId="46DFE385" w14:textId="77777777" w:rsidR="00416FA8" w:rsidRPr="004B6753" w:rsidRDefault="00416FA8" w:rsidP="004B6753">
            <w:pPr>
              <w:pStyle w:val="NoSpacing"/>
              <w:jc w:val="center"/>
              <w:rPr>
                <w:rFonts w:ascii="Times New Roman" w:hAnsi="Times New Roman" w:cs="Times New Roman"/>
                <w:szCs w:val="24"/>
                <w:lang w:eastAsia="en-IN"/>
              </w:rPr>
            </w:pPr>
            <w:r w:rsidRPr="004B6753">
              <w:rPr>
                <w:rFonts w:ascii="Times New Roman" w:hAnsi="Times New Roman" w:cs="Times New Roman"/>
                <w:szCs w:val="24"/>
                <w:lang w:eastAsia="en-IN"/>
              </w:rPr>
              <w:t>16.98</w:t>
            </w:r>
          </w:p>
        </w:tc>
        <w:tc>
          <w:tcPr>
            <w:tcW w:w="0" w:type="auto"/>
            <w:vAlign w:val="center"/>
            <w:hideMark/>
          </w:tcPr>
          <w:p w14:paraId="1628327F" w14:textId="77777777" w:rsidR="00416FA8" w:rsidRPr="004B6753" w:rsidRDefault="00416FA8" w:rsidP="004B6753">
            <w:pPr>
              <w:pStyle w:val="NoSpacing"/>
              <w:jc w:val="center"/>
              <w:rPr>
                <w:rFonts w:ascii="Times New Roman" w:hAnsi="Times New Roman" w:cs="Times New Roman"/>
                <w:szCs w:val="24"/>
                <w:lang w:eastAsia="en-IN"/>
              </w:rPr>
            </w:pPr>
            <w:r w:rsidRPr="004B6753">
              <w:rPr>
                <w:rFonts w:ascii="Times New Roman" w:hAnsi="Times New Roman" w:cs="Times New Roman"/>
                <w:szCs w:val="24"/>
                <w:lang w:eastAsia="en-IN"/>
              </w:rPr>
              <w:t>7.15</w:t>
            </w:r>
          </w:p>
        </w:tc>
        <w:tc>
          <w:tcPr>
            <w:tcW w:w="0" w:type="auto"/>
            <w:vAlign w:val="center"/>
            <w:hideMark/>
          </w:tcPr>
          <w:p w14:paraId="1F25E910" w14:textId="77777777" w:rsidR="00416FA8" w:rsidRPr="004B6753" w:rsidRDefault="00416FA8" w:rsidP="004B6753">
            <w:pPr>
              <w:pStyle w:val="NoSpacing"/>
              <w:jc w:val="center"/>
              <w:rPr>
                <w:rFonts w:ascii="Times New Roman" w:hAnsi="Times New Roman" w:cs="Times New Roman"/>
                <w:szCs w:val="24"/>
                <w:lang w:eastAsia="en-IN"/>
              </w:rPr>
            </w:pPr>
            <w:r w:rsidRPr="004B6753">
              <w:rPr>
                <w:rFonts w:ascii="Times New Roman" w:hAnsi="Times New Roman" w:cs="Times New Roman"/>
                <w:szCs w:val="24"/>
                <w:lang w:eastAsia="en-IN"/>
              </w:rPr>
              <w:t>46.65</w:t>
            </w:r>
          </w:p>
        </w:tc>
        <w:tc>
          <w:tcPr>
            <w:tcW w:w="0" w:type="auto"/>
            <w:vAlign w:val="center"/>
            <w:hideMark/>
          </w:tcPr>
          <w:p w14:paraId="0C6AC3C3" w14:textId="77777777" w:rsidR="00416FA8" w:rsidRPr="004B6753" w:rsidRDefault="00416FA8" w:rsidP="004B6753">
            <w:pPr>
              <w:pStyle w:val="NoSpacing"/>
              <w:jc w:val="center"/>
              <w:rPr>
                <w:rFonts w:ascii="Times New Roman" w:hAnsi="Times New Roman" w:cs="Times New Roman"/>
                <w:szCs w:val="24"/>
                <w:lang w:eastAsia="en-IN"/>
              </w:rPr>
            </w:pPr>
            <w:r w:rsidRPr="004B6753">
              <w:rPr>
                <w:rFonts w:ascii="Times New Roman" w:hAnsi="Times New Roman" w:cs="Times New Roman"/>
                <w:szCs w:val="24"/>
                <w:lang w:eastAsia="en-IN"/>
              </w:rPr>
              <w:t>9.38</w:t>
            </w:r>
          </w:p>
        </w:tc>
        <w:tc>
          <w:tcPr>
            <w:tcW w:w="0" w:type="auto"/>
            <w:vAlign w:val="center"/>
            <w:hideMark/>
          </w:tcPr>
          <w:p w14:paraId="76E4C51C" w14:textId="77777777" w:rsidR="00416FA8" w:rsidRPr="004B6753" w:rsidRDefault="00416FA8" w:rsidP="004B6753">
            <w:pPr>
              <w:pStyle w:val="NoSpacing"/>
              <w:jc w:val="center"/>
              <w:rPr>
                <w:rFonts w:ascii="Times New Roman" w:hAnsi="Times New Roman" w:cs="Times New Roman"/>
                <w:szCs w:val="24"/>
                <w:lang w:eastAsia="en-IN"/>
              </w:rPr>
            </w:pPr>
            <w:r w:rsidRPr="004B6753">
              <w:rPr>
                <w:rFonts w:ascii="Times New Roman" w:hAnsi="Times New Roman" w:cs="Times New Roman"/>
                <w:szCs w:val="24"/>
                <w:lang w:eastAsia="en-IN"/>
              </w:rPr>
              <w:t>8.94</w:t>
            </w:r>
          </w:p>
        </w:tc>
        <w:tc>
          <w:tcPr>
            <w:tcW w:w="0" w:type="auto"/>
            <w:vAlign w:val="center"/>
            <w:hideMark/>
          </w:tcPr>
          <w:p w14:paraId="416AC8FE" w14:textId="77777777" w:rsidR="00416FA8" w:rsidRPr="004B6753" w:rsidRDefault="00416FA8" w:rsidP="004B6753">
            <w:pPr>
              <w:pStyle w:val="NoSpacing"/>
              <w:jc w:val="center"/>
              <w:rPr>
                <w:rFonts w:ascii="Times New Roman" w:hAnsi="Times New Roman" w:cs="Times New Roman"/>
                <w:szCs w:val="24"/>
                <w:lang w:eastAsia="en-IN"/>
              </w:rPr>
            </w:pPr>
            <w:r w:rsidRPr="004B6753">
              <w:rPr>
                <w:rFonts w:ascii="Times New Roman" w:hAnsi="Times New Roman" w:cs="Times New Roman"/>
                <w:szCs w:val="24"/>
                <w:lang w:eastAsia="en-IN"/>
              </w:rPr>
              <w:t>15.05</w:t>
            </w:r>
          </w:p>
        </w:tc>
        <w:tc>
          <w:tcPr>
            <w:tcW w:w="0" w:type="auto"/>
            <w:vAlign w:val="center"/>
            <w:hideMark/>
          </w:tcPr>
          <w:p w14:paraId="38ADA1FF" w14:textId="77777777" w:rsidR="00416FA8" w:rsidRPr="004B6753" w:rsidRDefault="00416FA8" w:rsidP="004B6753">
            <w:pPr>
              <w:pStyle w:val="NoSpacing"/>
              <w:jc w:val="center"/>
              <w:rPr>
                <w:rFonts w:ascii="Times New Roman" w:hAnsi="Times New Roman" w:cs="Times New Roman"/>
                <w:szCs w:val="24"/>
                <w:lang w:eastAsia="en-IN"/>
              </w:rPr>
            </w:pPr>
            <w:r w:rsidRPr="004B6753">
              <w:rPr>
                <w:rFonts w:ascii="Times New Roman" w:hAnsi="Times New Roman" w:cs="Times New Roman"/>
                <w:szCs w:val="24"/>
                <w:lang w:eastAsia="en-IN"/>
              </w:rPr>
              <w:t>116.67</w:t>
            </w:r>
          </w:p>
        </w:tc>
        <w:tc>
          <w:tcPr>
            <w:tcW w:w="0" w:type="auto"/>
            <w:vAlign w:val="center"/>
            <w:hideMark/>
          </w:tcPr>
          <w:p w14:paraId="782C98C9" w14:textId="77777777" w:rsidR="00416FA8" w:rsidRPr="004B6753" w:rsidRDefault="00416FA8" w:rsidP="004B6753">
            <w:pPr>
              <w:pStyle w:val="NoSpacing"/>
              <w:jc w:val="center"/>
              <w:rPr>
                <w:rFonts w:ascii="Times New Roman" w:hAnsi="Times New Roman" w:cs="Times New Roman"/>
                <w:szCs w:val="24"/>
                <w:lang w:eastAsia="en-IN"/>
              </w:rPr>
            </w:pPr>
            <w:r w:rsidRPr="004B6753">
              <w:rPr>
                <w:rFonts w:ascii="Times New Roman" w:hAnsi="Times New Roman" w:cs="Times New Roman"/>
                <w:szCs w:val="24"/>
                <w:lang w:eastAsia="en-IN"/>
              </w:rPr>
              <w:t>297.08</w:t>
            </w:r>
          </w:p>
        </w:tc>
      </w:tr>
      <w:tr w:rsidR="00416FA8" w:rsidRPr="004B6753" w14:paraId="79277973" w14:textId="77777777" w:rsidTr="004B6753">
        <w:trPr>
          <w:trHeight w:val="209"/>
        </w:trPr>
        <w:tc>
          <w:tcPr>
            <w:tcW w:w="0" w:type="auto"/>
            <w:hideMark/>
          </w:tcPr>
          <w:p w14:paraId="10D1293B" w14:textId="77777777" w:rsidR="00416FA8" w:rsidRPr="004B6753" w:rsidRDefault="00416FA8" w:rsidP="00B77C0B">
            <w:pPr>
              <w:pStyle w:val="NoSpacing"/>
              <w:rPr>
                <w:rFonts w:ascii="Times New Roman" w:hAnsi="Times New Roman" w:cs="Times New Roman"/>
                <w:szCs w:val="24"/>
                <w:lang w:eastAsia="en-IN"/>
              </w:rPr>
            </w:pPr>
            <w:r w:rsidRPr="004B6753">
              <w:rPr>
                <w:rFonts w:ascii="Times New Roman" w:hAnsi="Times New Roman" w:cs="Times New Roman"/>
                <w:szCs w:val="24"/>
                <w:lang w:eastAsia="en-IN"/>
              </w:rPr>
              <w:t>1967-68</w:t>
            </w:r>
          </w:p>
        </w:tc>
        <w:tc>
          <w:tcPr>
            <w:tcW w:w="0" w:type="auto"/>
            <w:vAlign w:val="center"/>
            <w:hideMark/>
          </w:tcPr>
          <w:p w14:paraId="43277D79" w14:textId="77777777" w:rsidR="00416FA8" w:rsidRPr="004B6753" w:rsidRDefault="00416FA8" w:rsidP="004B6753">
            <w:pPr>
              <w:pStyle w:val="NoSpacing"/>
              <w:jc w:val="center"/>
              <w:rPr>
                <w:rFonts w:ascii="Times New Roman" w:hAnsi="Times New Roman" w:cs="Times New Roman"/>
                <w:szCs w:val="24"/>
                <w:lang w:eastAsia="en-IN"/>
              </w:rPr>
            </w:pPr>
            <w:r w:rsidRPr="004B6753">
              <w:rPr>
                <w:rFonts w:ascii="Times New Roman" w:hAnsi="Times New Roman" w:cs="Times New Roman"/>
                <w:szCs w:val="24"/>
                <w:lang w:eastAsia="en-IN"/>
              </w:rPr>
              <w:t>17.18</w:t>
            </w:r>
          </w:p>
        </w:tc>
        <w:tc>
          <w:tcPr>
            <w:tcW w:w="0" w:type="auto"/>
            <w:vAlign w:val="center"/>
            <w:hideMark/>
          </w:tcPr>
          <w:p w14:paraId="5D0557E8" w14:textId="77777777" w:rsidR="00416FA8" w:rsidRPr="004B6753" w:rsidRDefault="00416FA8" w:rsidP="004B6753">
            <w:pPr>
              <w:pStyle w:val="NoSpacing"/>
              <w:jc w:val="center"/>
              <w:rPr>
                <w:rFonts w:ascii="Times New Roman" w:hAnsi="Times New Roman" w:cs="Times New Roman"/>
                <w:szCs w:val="24"/>
                <w:lang w:eastAsia="en-IN"/>
              </w:rPr>
            </w:pPr>
            <w:r w:rsidRPr="004B6753">
              <w:rPr>
                <w:rFonts w:ascii="Times New Roman" w:hAnsi="Times New Roman" w:cs="Times New Roman"/>
                <w:szCs w:val="24"/>
                <w:lang w:eastAsia="en-IN"/>
              </w:rPr>
              <w:t>52.07</w:t>
            </w:r>
          </w:p>
        </w:tc>
        <w:tc>
          <w:tcPr>
            <w:tcW w:w="0" w:type="auto"/>
            <w:vAlign w:val="center"/>
            <w:hideMark/>
          </w:tcPr>
          <w:p w14:paraId="310A4E07" w14:textId="77777777" w:rsidR="00416FA8" w:rsidRPr="004B6753" w:rsidRDefault="00416FA8" w:rsidP="004B6753">
            <w:pPr>
              <w:pStyle w:val="NoSpacing"/>
              <w:jc w:val="center"/>
              <w:rPr>
                <w:rFonts w:ascii="Times New Roman" w:hAnsi="Times New Roman" w:cs="Times New Roman"/>
                <w:szCs w:val="24"/>
                <w:lang w:eastAsia="en-IN"/>
              </w:rPr>
            </w:pPr>
            <w:r w:rsidRPr="004B6753">
              <w:rPr>
                <w:rFonts w:ascii="Times New Roman" w:hAnsi="Times New Roman" w:cs="Times New Roman"/>
                <w:szCs w:val="24"/>
                <w:lang w:eastAsia="en-IN"/>
              </w:rPr>
              <w:t>14.59</w:t>
            </w:r>
          </w:p>
        </w:tc>
        <w:tc>
          <w:tcPr>
            <w:tcW w:w="0" w:type="auto"/>
            <w:vAlign w:val="center"/>
            <w:hideMark/>
          </w:tcPr>
          <w:p w14:paraId="736027D9" w14:textId="77777777" w:rsidR="00416FA8" w:rsidRPr="004B6753" w:rsidRDefault="00416FA8" w:rsidP="004B6753">
            <w:pPr>
              <w:pStyle w:val="NoSpacing"/>
              <w:jc w:val="center"/>
              <w:rPr>
                <w:rFonts w:ascii="Times New Roman" w:hAnsi="Times New Roman" w:cs="Times New Roman"/>
                <w:szCs w:val="24"/>
                <w:lang w:eastAsia="en-IN"/>
              </w:rPr>
            </w:pPr>
            <w:r w:rsidRPr="004B6753">
              <w:rPr>
                <w:rFonts w:ascii="Times New Roman" w:hAnsi="Times New Roman" w:cs="Times New Roman"/>
                <w:szCs w:val="24"/>
                <w:lang w:eastAsia="en-IN"/>
              </w:rPr>
              <w:t>19.15</w:t>
            </w:r>
          </w:p>
        </w:tc>
        <w:tc>
          <w:tcPr>
            <w:tcW w:w="0" w:type="auto"/>
            <w:vAlign w:val="center"/>
            <w:hideMark/>
          </w:tcPr>
          <w:p w14:paraId="4AE5B0B5" w14:textId="77777777" w:rsidR="00416FA8" w:rsidRPr="004B6753" w:rsidRDefault="00416FA8" w:rsidP="004B6753">
            <w:pPr>
              <w:pStyle w:val="NoSpacing"/>
              <w:jc w:val="center"/>
              <w:rPr>
                <w:rFonts w:ascii="Times New Roman" w:hAnsi="Times New Roman" w:cs="Times New Roman"/>
                <w:szCs w:val="24"/>
                <w:lang w:eastAsia="en-IN"/>
              </w:rPr>
            </w:pPr>
            <w:r w:rsidRPr="004B6753">
              <w:rPr>
                <w:rFonts w:ascii="Times New Roman" w:hAnsi="Times New Roman" w:cs="Times New Roman"/>
                <w:szCs w:val="24"/>
                <w:lang w:eastAsia="en-IN"/>
              </w:rPr>
              <w:t>8.45</w:t>
            </w:r>
          </w:p>
        </w:tc>
        <w:tc>
          <w:tcPr>
            <w:tcW w:w="0" w:type="auto"/>
            <w:vAlign w:val="center"/>
            <w:hideMark/>
          </w:tcPr>
          <w:p w14:paraId="68B8F9C6" w14:textId="77777777" w:rsidR="00416FA8" w:rsidRPr="004B6753" w:rsidRDefault="00416FA8" w:rsidP="004B6753">
            <w:pPr>
              <w:pStyle w:val="NoSpacing"/>
              <w:jc w:val="center"/>
              <w:rPr>
                <w:rFonts w:ascii="Times New Roman" w:hAnsi="Times New Roman" w:cs="Times New Roman"/>
                <w:szCs w:val="24"/>
                <w:lang w:eastAsia="en-IN"/>
              </w:rPr>
            </w:pPr>
            <w:r w:rsidRPr="004B6753">
              <w:rPr>
                <w:rFonts w:ascii="Times New Roman" w:hAnsi="Times New Roman" w:cs="Times New Roman"/>
                <w:szCs w:val="24"/>
                <w:lang w:eastAsia="en-IN"/>
              </w:rPr>
              <w:t>53.65</w:t>
            </w:r>
          </w:p>
        </w:tc>
        <w:tc>
          <w:tcPr>
            <w:tcW w:w="0" w:type="auto"/>
            <w:vAlign w:val="center"/>
            <w:hideMark/>
          </w:tcPr>
          <w:p w14:paraId="1B5321F5" w14:textId="77777777" w:rsidR="00416FA8" w:rsidRPr="004B6753" w:rsidRDefault="00416FA8" w:rsidP="004B6753">
            <w:pPr>
              <w:pStyle w:val="NoSpacing"/>
              <w:jc w:val="center"/>
              <w:rPr>
                <w:rFonts w:ascii="Times New Roman" w:hAnsi="Times New Roman" w:cs="Times New Roman"/>
                <w:szCs w:val="24"/>
                <w:lang w:eastAsia="en-IN"/>
              </w:rPr>
            </w:pPr>
            <w:r w:rsidRPr="004B6753">
              <w:rPr>
                <w:rFonts w:ascii="Times New Roman" w:hAnsi="Times New Roman" w:cs="Times New Roman"/>
                <w:szCs w:val="24"/>
                <w:lang w:eastAsia="en-IN"/>
              </w:rPr>
              <w:t>10.72</w:t>
            </w:r>
          </w:p>
        </w:tc>
        <w:tc>
          <w:tcPr>
            <w:tcW w:w="0" w:type="auto"/>
            <w:vAlign w:val="center"/>
            <w:hideMark/>
          </w:tcPr>
          <w:p w14:paraId="5F4A8599" w14:textId="77777777" w:rsidR="00416FA8" w:rsidRPr="004B6753" w:rsidRDefault="00416FA8" w:rsidP="004B6753">
            <w:pPr>
              <w:pStyle w:val="NoSpacing"/>
              <w:jc w:val="center"/>
              <w:rPr>
                <w:rFonts w:ascii="Times New Roman" w:hAnsi="Times New Roman" w:cs="Times New Roman"/>
                <w:szCs w:val="24"/>
                <w:lang w:eastAsia="en-IN"/>
              </w:rPr>
            </w:pPr>
            <w:r w:rsidRPr="004B6753">
              <w:rPr>
                <w:rFonts w:ascii="Times New Roman" w:hAnsi="Times New Roman" w:cs="Times New Roman"/>
                <w:szCs w:val="24"/>
                <w:lang w:eastAsia="en-IN"/>
              </w:rPr>
              <w:t>9.44</w:t>
            </w:r>
          </w:p>
        </w:tc>
        <w:tc>
          <w:tcPr>
            <w:tcW w:w="0" w:type="auto"/>
            <w:vAlign w:val="center"/>
            <w:hideMark/>
          </w:tcPr>
          <w:p w14:paraId="48F4375E" w14:textId="77777777" w:rsidR="00416FA8" w:rsidRPr="004B6753" w:rsidRDefault="00416FA8" w:rsidP="004B6753">
            <w:pPr>
              <w:pStyle w:val="NoSpacing"/>
              <w:jc w:val="center"/>
              <w:rPr>
                <w:rFonts w:ascii="Times New Roman" w:hAnsi="Times New Roman" w:cs="Times New Roman"/>
                <w:szCs w:val="24"/>
                <w:lang w:eastAsia="en-IN"/>
              </w:rPr>
            </w:pPr>
            <w:r w:rsidRPr="004B6753">
              <w:rPr>
                <w:rFonts w:ascii="Times New Roman" w:hAnsi="Times New Roman" w:cs="Times New Roman"/>
                <w:szCs w:val="24"/>
                <w:lang w:eastAsia="en-IN"/>
              </w:rPr>
              <w:t>17.27</w:t>
            </w:r>
          </w:p>
        </w:tc>
        <w:tc>
          <w:tcPr>
            <w:tcW w:w="0" w:type="auto"/>
            <w:vAlign w:val="center"/>
            <w:hideMark/>
          </w:tcPr>
          <w:p w14:paraId="5BFCE37E" w14:textId="77777777" w:rsidR="00416FA8" w:rsidRPr="004B6753" w:rsidRDefault="00416FA8" w:rsidP="004B6753">
            <w:pPr>
              <w:pStyle w:val="NoSpacing"/>
              <w:jc w:val="center"/>
              <w:rPr>
                <w:rFonts w:ascii="Times New Roman" w:hAnsi="Times New Roman" w:cs="Times New Roman"/>
                <w:szCs w:val="24"/>
                <w:lang w:eastAsia="en-IN"/>
              </w:rPr>
            </w:pPr>
            <w:r w:rsidRPr="004B6753">
              <w:rPr>
                <w:rFonts w:ascii="Times New Roman" w:hAnsi="Times New Roman" w:cs="Times New Roman"/>
                <w:szCs w:val="24"/>
                <w:lang w:eastAsia="en-IN"/>
              </w:rPr>
              <w:t>126.85</w:t>
            </w:r>
          </w:p>
        </w:tc>
        <w:tc>
          <w:tcPr>
            <w:tcW w:w="0" w:type="auto"/>
            <w:vAlign w:val="center"/>
            <w:hideMark/>
          </w:tcPr>
          <w:p w14:paraId="0FB04A85" w14:textId="77777777" w:rsidR="00416FA8" w:rsidRPr="004B6753" w:rsidRDefault="00416FA8" w:rsidP="004B6753">
            <w:pPr>
              <w:pStyle w:val="NoSpacing"/>
              <w:jc w:val="center"/>
              <w:rPr>
                <w:rFonts w:ascii="Times New Roman" w:hAnsi="Times New Roman" w:cs="Times New Roman"/>
                <w:szCs w:val="24"/>
                <w:lang w:eastAsia="en-IN"/>
              </w:rPr>
            </w:pPr>
            <w:r w:rsidRPr="004B6753">
              <w:rPr>
                <w:rFonts w:ascii="Times New Roman" w:hAnsi="Times New Roman" w:cs="Times New Roman"/>
                <w:szCs w:val="24"/>
                <w:lang w:eastAsia="en-IN"/>
              </w:rPr>
              <w:t>329.37</w:t>
            </w:r>
          </w:p>
        </w:tc>
      </w:tr>
      <w:tr w:rsidR="00812C67" w:rsidRPr="004B6753" w14:paraId="0FEEFA10" w14:textId="77777777" w:rsidTr="004B6753">
        <w:trPr>
          <w:trHeight w:val="221"/>
        </w:trPr>
        <w:tc>
          <w:tcPr>
            <w:tcW w:w="0" w:type="auto"/>
            <w:vMerge w:val="restart"/>
            <w:hideMark/>
          </w:tcPr>
          <w:p w14:paraId="7A6B2643" w14:textId="77777777" w:rsidR="00812C67" w:rsidRPr="004B6753" w:rsidRDefault="00812C67" w:rsidP="00B77C0B">
            <w:pPr>
              <w:pStyle w:val="NoSpacing"/>
              <w:rPr>
                <w:rFonts w:ascii="Times New Roman" w:hAnsi="Times New Roman" w:cs="Times New Roman"/>
                <w:szCs w:val="24"/>
                <w:lang w:eastAsia="en-IN"/>
              </w:rPr>
            </w:pPr>
            <w:r w:rsidRPr="004B6753">
              <w:rPr>
                <w:rFonts w:ascii="Times New Roman" w:hAnsi="Times New Roman" w:cs="Times New Roman"/>
                <w:szCs w:val="24"/>
                <w:lang w:eastAsia="en-IN"/>
              </w:rPr>
              <w:t>1968-69 (RE)</w:t>
            </w:r>
          </w:p>
        </w:tc>
        <w:tc>
          <w:tcPr>
            <w:tcW w:w="0" w:type="auto"/>
            <w:vAlign w:val="center"/>
            <w:hideMark/>
          </w:tcPr>
          <w:p w14:paraId="7BA7D159" w14:textId="77777777" w:rsidR="00812C67" w:rsidRPr="004B6753" w:rsidRDefault="00812C67" w:rsidP="004B6753">
            <w:pPr>
              <w:pStyle w:val="NoSpacing"/>
              <w:jc w:val="center"/>
              <w:rPr>
                <w:rFonts w:ascii="Times New Roman" w:hAnsi="Times New Roman" w:cs="Times New Roman"/>
                <w:szCs w:val="24"/>
                <w:lang w:eastAsia="en-IN"/>
              </w:rPr>
            </w:pPr>
            <w:r w:rsidRPr="004B6753">
              <w:rPr>
                <w:rFonts w:ascii="Times New Roman" w:hAnsi="Times New Roman" w:cs="Times New Roman"/>
                <w:szCs w:val="24"/>
                <w:lang w:eastAsia="en-IN"/>
              </w:rPr>
              <w:t>17.12</w:t>
            </w:r>
          </w:p>
        </w:tc>
        <w:tc>
          <w:tcPr>
            <w:tcW w:w="0" w:type="auto"/>
            <w:vAlign w:val="center"/>
            <w:hideMark/>
          </w:tcPr>
          <w:p w14:paraId="70172AA8" w14:textId="77777777" w:rsidR="00812C67" w:rsidRPr="004B6753" w:rsidRDefault="00812C67" w:rsidP="004B6753">
            <w:pPr>
              <w:pStyle w:val="NoSpacing"/>
              <w:jc w:val="center"/>
              <w:rPr>
                <w:rFonts w:ascii="Times New Roman" w:hAnsi="Times New Roman" w:cs="Times New Roman"/>
                <w:szCs w:val="24"/>
                <w:lang w:eastAsia="en-IN"/>
              </w:rPr>
            </w:pPr>
            <w:r w:rsidRPr="004B6753">
              <w:rPr>
                <w:rFonts w:ascii="Times New Roman" w:hAnsi="Times New Roman" w:cs="Times New Roman"/>
                <w:szCs w:val="24"/>
                <w:lang w:eastAsia="en-IN"/>
              </w:rPr>
              <w:t>65.13</w:t>
            </w:r>
          </w:p>
        </w:tc>
        <w:tc>
          <w:tcPr>
            <w:tcW w:w="0" w:type="auto"/>
            <w:vAlign w:val="center"/>
            <w:hideMark/>
          </w:tcPr>
          <w:p w14:paraId="43CC5B74" w14:textId="77777777" w:rsidR="00812C67" w:rsidRPr="004B6753" w:rsidRDefault="00812C67" w:rsidP="004B6753">
            <w:pPr>
              <w:pStyle w:val="NoSpacing"/>
              <w:jc w:val="center"/>
              <w:rPr>
                <w:rFonts w:ascii="Times New Roman" w:hAnsi="Times New Roman" w:cs="Times New Roman"/>
                <w:szCs w:val="24"/>
                <w:lang w:eastAsia="en-IN"/>
              </w:rPr>
            </w:pPr>
            <w:r w:rsidRPr="004B6753">
              <w:rPr>
                <w:rFonts w:ascii="Times New Roman" w:hAnsi="Times New Roman" w:cs="Times New Roman"/>
                <w:szCs w:val="24"/>
                <w:lang w:eastAsia="en-IN"/>
              </w:rPr>
              <w:t>14.91</w:t>
            </w:r>
          </w:p>
        </w:tc>
        <w:tc>
          <w:tcPr>
            <w:tcW w:w="0" w:type="auto"/>
            <w:vAlign w:val="center"/>
            <w:hideMark/>
          </w:tcPr>
          <w:p w14:paraId="11DD44B0" w14:textId="77777777" w:rsidR="00812C67" w:rsidRPr="004B6753" w:rsidRDefault="00812C67" w:rsidP="004B6753">
            <w:pPr>
              <w:pStyle w:val="NoSpacing"/>
              <w:jc w:val="center"/>
              <w:rPr>
                <w:rFonts w:ascii="Times New Roman" w:hAnsi="Times New Roman" w:cs="Times New Roman"/>
                <w:szCs w:val="24"/>
                <w:lang w:eastAsia="en-IN"/>
              </w:rPr>
            </w:pPr>
            <w:r w:rsidRPr="004B6753">
              <w:rPr>
                <w:rFonts w:ascii="Times New Roman" w:hAnsi="Times New Roman" w:cs="Times New Roman"/>
                <w:szCs w:val="24"/>
                <w:lang w:eastAsia="en-IN"/>
              </w:rPr>
              <w:t>23.20</w:t>
            </w:r>
          </w:p>
        </w:tc>
        <w:tc>
          <w:tcPr>
            <w:tcW w:w="0" w:type="auto"/>
            <w:vAlign w:val="center"/>
            <w:hideMark/>
          </w:tcPr>
          <w:p w14:paraId="70A0DBB7" w14:textId="77777777" w:rsidR="00812C67" w:rsidRPr="004B6753" w:rsidRDefault="00812C67" w:rsidP="004B6753">
            <w:pPr>
              <w:pStyle w:val="NoSpacing"/>
              <w:jc w:val="center"/>
              <w:rPr>
                <w:rFonts w:ascii="Times New Roman" w:hAnsi="Times New Roman" w:cs="Times New Roman"/>
                <w:szCs w:val="24"/>
                <w:lang w:eastAsia="en-IN"/>
              </w:rPr>
            </w:pPr>
            <w:r w:rsidRPr="004B6753">
              <w:rPr>
                <w:rFonts w:ascii="Times New Roman" w:hAnsi="Times New Roman" w:cs="Times New Roman"/>
                <w:szCs w:val="24"/>
                <w:lang w:eastAsia="en-IN"/>
              </w:rPr>
              <w:t>9.49</w:t>
            </w:r>
          </w:p>
        </w:tc>
        <w:tc>
          <w:tcPr>
            <w:tcW w:w="0" w:type="auto"/>
            <w:vAlign w:val="center"/>
            <w:hideMark/>
          </w:tcPr>
          <w:p w14:paraId="6619FC21" w14:textId="77777777" w:rsidR="00812C67" w:rsidRPr="004B6753" w:rsidRDefault="00812C67" w:rsidP="004B6753">
            <w:pPr>
              <w:pStyle w:val="NoSpacing"/>
              <w:jc w:val="center"/>
              <w:rPr>
                <w:rFonts w:ascii="Times New Roman" w:hAnsi="Times New Roman" w:cs="Times New Roman"/>
                <w:szCs w:val="24"/>
                <w:lang w:eastAsia="en-IN"/>
              </w:rPr>
            </w:pPr>
            <w:r w:rsidRPr="004B6753">
              <w:rPr>
                <w:rFonts w:ascii="Times New Roman" w:hAnsi="Times New Roman" w:cs="Times New Roman"/>
                <w:szCs w:val="24"/>
                <w:lang w:eastAsia="en-IN"/>
              </w:rPr>
              <w:t>61.12</w:t>
            </w:r>
          </w:p>
        </w:tc>
        <w:tc>
          <w:tcPr>
            <w:tcW w:w="0" w:type="auto"/>
            <w:vAlign w:val="center"/>
            <w:hideMark/>
          </w:tcPr>
          <w:p w14:paraId="0DEA798C" w14:textId="77777777" w:rsidR="00812C67" w:rsidRPr="004B6753" w:rsidRDefault="00812C67" w:rsidP="004B6753">
            <w:pPr>
              <w:pStyle w:val="NoSpacing"/>
              <w:jc w:val="center"/>
              <w:rPr>
                <w:rFonts w:ascii="Times New Roman" w:hAnsi="Times New Roman" w:cs="Times New Roman"/>
                <w:szCs w:val="24"/>
                <w:lang w:eastAsia="en-IN"/>
              </w:rPr>
            </w:pPr>
            <w:r w:rsidRPr="004B6753">
              <w:rPr>
                <w:rFonts w:ascii="Times New Roman" w:hAnsi="Times New Roman" w:cs="Times New Roman"/>
                <w:szCs w:val="24"/>
                <w:lang w:eastAsia="en-IN"/>
              </w:rPr>
              <w:t>11.69</w:t>
            </w:r>
          </w:p>
        </w:tc>
        <w:tc>
          <w:tcPr>
            <w:tcW w:w="0" w:type="auto"/>
            <w:vAlign w:val="center"/>
            <w:hideMark/>
          </w:tcPr>
          <w:p w14:paraId="7745B77D" w14:textId="77777777" w:rsidR="00812C67" w:rsidRPr="004B6753" w:rsidRDefault="00812C67" w:rsidP="004B6753">
            <w:pPr>
              <w:pStyle w:val="NoSpacing"/>
              <w:jc w:val="center"/>
              <w:rPr>
                <w:rFonts w:ascii="Times New Roman" w:hAnsi="Times New Roman" w:cs="Times New Roman"/>
                <w:szCs w:val="24"/>
                <w:lang w:eastAsia="en-IN"/>
              </w:rPr>
            </w:pPr>
            <w:r w:rsidRPr="004B6753">
              <w:rPr>
                <w:rFonts w:ascii="Times New Roman" w:hAnsi="Times New Roman" w:cs="Times New Roman"/>
                <w:szCs w:val="24"/>
                <w:lang w:eastAsia="en-IN"/>
              </w:rPr>
              <w:t>12.87</w:t>
            </w:r>
          </w:p>
        </w:tc>
        <w:tc>
          <w:tcPr>
            <w:tcW w:w="0" w:type="auto"/>
            <w:vAlign w:val="center"/>
            <w:hideMark/>
          </w:tcPr>
          <w:p w14:paraId="489D2920" w14:textId="77777777" w:rsidR="00812C67" w:rsidRPr="004B6753" w:rsidRDefault="00812C67" w:rsidP="004B6753">
            <w:pPr>
              <w:pStyle w:val="NoSpacing"/>
              <w:jc w:val="center"/>
              <w:rPr>
                <w:rFonts w:ascii="Times New Roman" w:hAnsi="Times New Roman" w:cs="Times New Roman"/>
                <w:szCs w:val="24"/>
                <w:lang w:eastAsia="en-IN"/>
              </w:rPr>
            </w:pPr>
            <w:r w:rsidRPr="004B6753">
              <w:rPr>
                <w:rFonts w:ascii="Times New Roman" w:hAnsi="Times New Roman" w:cs="Times New Roman"/>
                <w:szCs w:val="24"/>
                <w:lang w:eastAsia="en-IN"/>
              </w:rPr>
              <w:t>18.10</w:t>
            </w:r>
          </w:p>
        </w:tc>
        <w:tc>
          <w:tcPr>
            <w:tcW w:w="0" w:type="auto"/>
            <w:vAlign w:val="center"/>
            <w:hideMark/>
          </w:tcPr>
          <w:p w14:paraId="503F8E0F" w14:textId="77777777" w:rsidR="00812C67" w:rsidRPr="004B6753" w:rsidRDefault="00812C67" w:rsidP="004B6753">
            <w:pPr>
              <w:pStyle w:val="NoSpacing"/>
              <w:jc w:val="center"/>
              <w:rPr>
                <w:rFonts w:ascii="Times New Roman" w:hAnsi="Times New Roman" w:cs="Times New Roman"/>
                <w:szCs w:val="24"/>
                <w:lang w:eastAsia="en-IN"/>
              </w:rPr>
            </w:pPr>
            <w:r w:rsidRPr="004B6753">
              <w:rPr>
                <w:rFonts w:ascii="Times New Roman" w:hAnsi="Times New Roman" w:cs="Times New Roman"/>
                <w:szCs w:val="24"/>
                <w:lang w:eastAsia="en-IN"/>
              </w:rPr>
              <w:t>127.86</w:t>
            </w:r>
          </w:p>
        </w:tc>
        <w:tc>
          <w:tcPr>
            <w:tcW w:w="0" w:type="auto"/>
            <w:vAlign w:val="center"/>
            <w:hideMark/>
          </w:tcPr>
          <w:p w14:paraId="3139C2B2" w14:textId="77777777" w:rsidR="00812C67" w:rsidRPr="004B6753" w:rsidRDefault="00812C67" w:rsidP="004B6753">
            <w:pPr>
              <w:pStyle w:val="NoSpacing"/>
              <w:jc w:val="center"/>
              <w:rPr>
                <w:rFonts w:ascii="Times New Roman" w:hAnsi="Times New Roman" w:cs="Times New Roman"/>
                <w:szCs w:val="24"/>
                <w:lang w:eastAsia="en-IN"/>
              </w:rPr>
            </w:pPr>
            <w:r w:rsidRPr="004B6753">
              <w:rPr>
                <w:rFonts w:ascii="Times New Roman" w:hAnsi="Times New Roman" w:cs="Times New Roman"/>
                <w:szCs w:val="24"/>
                <w:lang w:eastAsia="en-IN"/>
              </w:rPr>
              <w:t>361.49</w:t>
            </w:r>
          </w:p>
        </w:tc>
      </w:tr>
      <w:tr w:rsidR="00812C67" w:rsidRPr="004B6753" w14:paraId="6E801246" w14:textId="77777777" w:rsidTr="004B6753">
        <w:trPr>
          <w:trHeight w:val="221"/>
        </w:trPr>
        <w:tc>
          <w:tcPr>
            <w:tcW w:w="0" w:type="auto"/>
            <w:vMerge/>
            <w:hideMark/>
          </w:tcPr>
          <w:p w14:paraId="5DFBF1A8" w14:textId="77777777" w:rsidR="00812C67" w:rsidRPr="004B6753" w:rsidRDefault="00812C67" w:rsidP="00B77C0B">
            <w:pPr>
              <w:pStyle w:val="NoSpacing"/>
              <w:rPr>
                <w:rFonts w:ascii="Times New Roman" w:hAnsi="Times New Roman" w:cs="Times New Roman"/>
                <w:szCs w:val="24"/>
                <w:lang w:eastAsia="en-IN"/>
              </w:rPr>
            </w:pPr>
          </w:p>
        </w:tc>
        <w:tc>
          <w:tcPr>
            <w:tcW w:w="0" w:type="auto"/>
            <w:vAlign w:val="center"/>
            <w:hideMark/>
          </w:tcPr>
          <w:p w14:paraId="25729C90" w14:textId="77777777" w:rsidR="00812C67" w:rsidRPr="004B6753" w:rsidRDefault="00812C67" w:rsidP="004B6753">
            <w:pPr>
              <w:pStyle w:val="NoSpacing"/>
              <w:jc w:val="center"/>
              <w:rPr>
                <w:rFonts w:ascii="Times New Roman" w:hAnsi="Times New Roman" w:cs="Times New Roman"/>
                <w:szCs w:val="24"/>
                <w:lang w:eastAsia="en-IN"/>
              </w:rPr>
            </w:pPr>
            <w:r w:rsidRPr="004B6753">
              <w:rPr>
                <w:rFonts w:ascii="Times New Roman" w:hAnsi="Times New Roman" w:cs="Times New Roman"/>
                <w:i/>
                <w:iCs/>
                <w:szCs w:val="24"/>
                <w:lang w:eastAsia="en-IN"/>
              </w:rPr>
              <w:t>(4.74)</w:t>
            </w:r>
          </w:p>
        </w:tc>
        <w:tc>
          <w:tcPr>
            <w:tcW w:w="0" w:type="auto"/>
            <w:vAlign w:val="center"/>
            <w:hideMark/>
          </w:tcPr>
          <w:p w14:paraId="38ED14AF" w14:textId="77777777" w:rsidR="00812C67" w:rsidRPr="004B6753" w:rsidRDefault="00812C67" w:rsidP="004B6753">
            <w:pPr>
              <w:pStyle w:val="NoSpacing"/>
              <w:jc w:val="center"/>
              <w:rPr>
                <w:rFonts w:ascii="Times New Roman" w:hAnsi="Times New Roman" w:cs="Times New Roman"/>
                <w:szCs w:val="24"/>
                <w:lang w:eastAsia="en-IN"/>
              </w:rPr>
            </w:pPr>
            <w:r w:rsidRPr="004B6753">
              <w:rPr>
                <w:rFonts w:ascii="Times New Roman" w:hAnsi="Times New Roman" w:cs="Times New Roman"/>
                <w:i/>
                <w:iCs/>
                <w:szCs w:val="24"/>
                <w:lang w:eastAsia="en-IN"/>
              </w:rPr>
              <w:t>(18.02)</w:t>
            </w:r>
          </w:p>
        </w:tc>
        <w:tc>
          <w:tcPr>
            <w:tcW w:w="0" w:type="auto"/>
            <w:vAlign w:val="center"/>
            <w:hideMark/>
          </w:tcPr>
          <w:p w14:paraId="7A3F4547" w14:textId="77777777" w:rsidR="00812C67" w:rsidRPr="004B6753" w:rsidRDefault="00812C67" w:rsidP="004B6753">
            <w:pPr>
              <w:pStyle w:val="NoSpacing"/>
              <w:jc w:val="center"/>
              <w:rPr>
                <w:rFonts w:ascii="Times New Roman" w:hAnsi="Times New Roman" w:cs="Times New Roman"/>
                <w:szCs w:val="24"/>
                <w:lang w:eastAsia="en-IN"/>
              </w:rPr>
            </w:pPr>
            <w:r w:rsidRPr="004B6753">
              <w:rPr>
                <w:rFonts w:ascii="Times New Roman" w:hAnsi="Times New Roman" w:cs="Times New Roman"/>
                <w:i/>
                <w:iCs/>
                <w:szCs w:val="24"/>
                <w:lang w:eastAsia="en-IN"/>
              </w:rPr>
              <w:t>(4.12)</w:t>
            </w:r>
          </w:p>
        </w:tc>
        <w:tc>
          <w:tcPr>
            <w:tcW w:w="0" w:type="auto"/>
            <w:vAlign w:val="center"/>
            <w:hideMark/>
          </w:tcPr>
          <w:p w14:paraId="6851AE79" w14:textId="77777777" w:rsidR="00812C67" w:rsidRPr="004B6753" w:rsidRDefault="00812C67" w:rsidP="004B6753">
            <w:pPr>
              <w:pStyle w:val="NoSpacing"/>
              <w:jc w:val="center"/>
              <w:rPr>
                <w:rFonts w:ascii="Times New Roman" w:hAnsi="Times New Roman" w:cs="Times New Roman"/>
                <w:szCs w:val="24"/>
                <w:lang w:eastAsia="en-IN"/>
              </w:rPr>
            </w:pPr>
            <w:r w:rsidRPr="004B6753">
              <w:rPr>
                <w:rFonts w:ascii="Times New Roman" w:hAnsi="Times New Roman" w:cs="Times New Roman"/>
                <w:i/>
                <w:iCs/>
                <w:szCs w:val="24"/>
                <w:lang w:eastAsia="en-IN"/>
              </w:rPr>
              <w:t>(6.42)</w:t>
            </w:r>
          </w:p>
        </w:tc>
        <w:tc>
          <w:tcPr>
            <w:tcW w:w="0" w:type="auto"/>
            <w:vAlign w:val="center"/>
            <w:hideMark/>
          </w:tcPr>
          <w:p w14:paraId="209F5790" w14:textId="77777777" w:rsidR="00812C67" w:rsidRPr="004B6753" w:rsidRDefault="00812C67" w:rsidP="004B6753">
            <w:pPr>
              <w:pStyle w:val="NoSpacing"/>
              <w:jc w:val="center"/>
              <w:rPr>
                <w:rFonts w:ascii="Times New Roman" w:hAnsi="Times New Roman" w:cs="Times New Roman"/>
                <w:szCs w:val="24"/>
                <w:lang w:eastAsia="en-IN"/>
              </w:rPr>
            </w:pPr>
            <w:r w:rsidRPr="004B6753">
              <w:rPr>
                <w:rFonts w:ascii="Times New Roman" w:hAnsi="Times New Roman" w:cs="Times New Roman"/>
                <w:i/>
                <w:iCs/>
                <w:szCs w:val="24"/>
                <w:lang w:eastAsia="en-IN"/>
              </w:rPr>
              <w:t>(2.62)</w:t>
            </w:r>
          </w:p>
        </w:tc>
        <w:tc>
          <w:tcPr>
            <w:tcW w:w="0" w:type="auto"/>
            <w:vAlign w:val="center"/>
            <w:hideMark/>
          </w:tcPr>
          <w:p w14:paraId="1BEEEF9A" w14:textId="77777777" w:rsidR="00812C67" w:rsidRPr="004B6753" w:rsidRDefault="00812C67" w:rsidP="004B6753">
            <w:pPr>
              <w:pStyle w:val="NoSpacing"/>
              <w:jc w:val="center"/>
              <w:rPr>
                <w:rFonts w:ascii="Times New Roman" w:hAnsi="Times New Roman" w:cs="Times New Roman"/>
                <w:szCs w:val="24"/>
                <w:lang w:eastAsia="en-IN"/>
              </w:rPr>
            </w:pPr>
            <w:r w:rsidRPr="004B6753">
              <w:rPr>
                <w:rFonts w:ascii="Times New Roman" w:hAnsi="Times New Roman" w:cs="Times New Roman"/>
                <w:i/>
                <w:iCs/>
                <w:szCs w:val="24"/>
                <w:lang w:eastAsia="en-IN"/>
              </w:rPr>
              <w:t>(16.91)</w:t>
            </w:r>
          </w:p>
        </w:tc>
        <w:tc>
          <w:tcPr>
            <w:tcW w:w="0" w:type="auto"/>
            <w:vAlign w:val="center"/>
            <w:hideMark/>
          </w:tcPr>
          <w:p w14:paraId="386ABAF1" w14:textId="77777777" w:rsidR="00812C67" w:rsidRPr="004B6753" w:rsidRDefault="00812C67" w:rsidP="004B6753">
            <w:pPr>
              <w:pStyle w:val="NoSpacing"/>
              <w:jc w:val="center"/>
              <w:rPr>
                <w:rFonts w:ascii="Times New Roman" w:hAnsi="Times New Roman" w:cs="Times New Roman"/>
                <w:szCs w:val="24"/>
                <w:lang w:eastAsia="en-IN"/>
              </w:rPr>
            </w:pPr>
            <w:r w:rsidRPr="004B6753">
              <w:rPr>
                <w:rFonts w:ascii="Times New Roman" w:hAnsi="Times New Roman" w:cs="Times New Roman"/>
                <w:i/>
                <w:iCs/>
                <w:szCs w:val="24"/>
                <w:lang w:eastAsia="en-IN"/>
              </w:rPr>
              <w:t>(3.23)</w:t>
            </w:r>
          </w:p>
        </w:tc>
        <w:tc>
          <w:tcPr>
            <w:tcW w:w="0" w:type="auto"/>
            <w:vAlign w:val="center"/>
            <w:hideMark/>
          </w:tcPr>
          <w:p w14:paraId="71927AC7" w14:textId="77777777" w:rsidR="00812C67" w:rsidRPr="004B6753" w:rsidRDefault="00812C67" w:rsidP="004B6753">
            <w:pPr>
              <w:pStyle w:val="NoSpacing"/>
              <w:jc w:val="center"/>
              <w:rPr>
                <w:rFonts w:ascii="Times New Roman" w:hAnsi="Times New Roman" w:cs="Times New Roman"/>
                <w:szCs w:val="24"/>
                <w:lang w:eastAsia="en-IN"/>
              </w:rPr>
            </w:pPr>
            <w:r w:rsidRPr="004B6753">
              <w:rPr>
                <w:rFonts w:ascii="Times New Roman" w:hAnsi="Times New Roman" w:cs="Times New Roman"/>
                <w:i/>
                <w:iCs/>
                <w:szCs w:val="24"/>
                <w:lang w:eastAsia="en-IN"/>
              </w:rPr>
              <w:t>(3.56)</w:t>
            </w:r>
          </w:p>
        </w:tc>
        <w:tc>
          <w:tcPr>
            <w:tcW w:w="0" w:type="auto"/>
            <w:vAlign w:val="center"/>
            <w:hideMark/>
          </w:tcPr>
          <w:p w14:paraId="1B7D0C39" w14:textId="77777777" w:rsidR="00812C67" w:rsidRPr="004B6753" w:rsidRDefault="00812C67" w:rsidP="004B6753">
            <w:pPr>
              <w:pStyle w:val="NoSpacing"/>
              <w:jc w:val="center"/>
              <w:rPr>
                <w:rFonts w:ascii="Times New Roman" w:hAnsi="Times New Roman" w:cs="Times New Roman"/>
                <w:szCs w:val="24"/>
                <w:lang w:eastAsia="en-IN"/>
              </w:rPr>
            </w:pPr>
            <w:r w:rsidRPr="004B6753">
              <w:rPr>
                <w:rFonts w:ascii="Times New Roman" w:hAnsi="Times New Roman" w:cs="Times New Roman"/>
                <w:i/>
                <w:iCs/>
                <w:szCs w:val="24"/>
                <w:lang w:eastAsia="en-IN"/>
              </w:rPr>
              <w:t>(5.01)</w:t>
            </w:r>
          </w:p>
        </w:tc>
        <w:tc>
          <w:tcPr>
            <w:tcW w:w="0" w:type="auto"/>
            <w:vAlign w:val="center"/>
            <w:hideMark/>
          </w:tcPr>
          <w:p w14:paraId="274A97C9" w14:textId="77777777" w:rsidR="00812C67" w:rsidRPr="004B6753" w:rsidRDefault="00812C67" w:rsidP="004B6753">
            <w:pPr>
              <w:pStyle w:val="NoSpacing"/>
              <w:jc w:val="center"/>
              <w:rPr>
                <w:rFonts w:ascii="Times New Roman" w:hAnsi="Times New Roman" w:cs="Times New Roman"/>
                <w:szCs w:val="24"/>
                <w:lang w:eastAsia="en-IN"/>
              </w:rPr>
            </w:pPr>
            <w:r w:rsidRPr="004B6753">
              <w:rPr>
                <w:rFonts w:ascii="Times New Roman" w:hAnsi="Times New Roman" w:cs="Times New Roman"/>
                <w:i/>
                <w:iCs/>
                <w:szCs w:val="24"/>
                <w:lang w:eastAsia="en-IN"/>
              </w:rPr>
              <w:t>(35.37)</w:t>
            </w:r>
          </w:p>
        </w:tc>
        <w:tc>
          <w:tcPr>
            <w:tcW w:w="0" w:type="auto"/>
            <w:vAlign w:val="center"/>
            <w:hideMark/>
          </w:tcPr>
          <w:p w14:paraId="73ADD2E2" w14:textId="77777777" w:rsidR="00812C67" w:rsidRPr="004B6753" w:rsidRDefault="00812C67" w:rsidP="004B6753">
            <w:pPr>
              <w:pStyle w:val="NoSpacing"/>
              <w:jc w:val="center"/>
              <w:rPr>
                <w:rFonts w:ascii="Times New Roman" w:hAnsi="Times New Roman" w:cs="Times New Roman"/>
                <w:szCs w:val="24"/>
                <w:lang w:eastAsia="en-IN"/>
              </w:rPr>
            </w:pPr>
            <w:r w:rsidRPr="004B6753">
              <w:rPr>
                <w:rFonts w:ascii="Times New Roman" w:hAnsi="Times New Roman" w:cs="Times New Roman"/>
                <w:i/>
                <w:iCs/>
                <w:szCs w:val="24"/>
                <w:lang w:eastAsia="en-IN"/>
              </w:rPr>
              <w:t>(100.00)</w:t>
            </w:r>
          </w:p>
        </w:tc>
      </w:tr>
    </w:tbl>
    <w:p w14:paraId="609A86A1" w14:textId="77777777" w:rsidR="00416FA8" w:rsidRPr="007245B0" w:rsidRDefault="00416FA8" w:rsidP="00A85D2D">
      <w:pPr>
        <w:pStyle w:val="Sources"/>
      </w:pPr>
      <w:r w:rsidRPr="007245B0">
        <w:rPr>
          <w:b/>
          <w:bCs/>
        </w:rPr>
        <w:t>*</w:t>
      </w:r>
      <w:r w:rsidRPr="007245B0">
        <w:t> The reorganised States of Punjab and Haryana came into existence on November 1, 1966. Upto that the figures for Haryana are included under Punjab.</w:t>
      </w:r>
    </w:p>
    <w:p w14:paraId="4156FFA0" w14:textId="648784E5" w:rsidR="00416FA8" w:rsidRPr="007245B0" w:rsidRDefault="00416FA8">
      <w:pPr>
        <w:rPr>
          <w:rFonts w:ascii="Times New Roman" w:hAnsi="Times New Roman" w:cs="Times New Roman"/>
        </w:rPr>
      </w:pPr>
      <w:r w:rsidRPr="007245B0">
        <w:rPr>
          <w:rFonts w:ascii="Times New Roman" w:hAnsi="Times New Roman" w:cs="Times New Roman"/>
        </w:rPr>
        <w:br w:type="page"/>
      </w:r>
    </w:p>
    <w:p w14:paraId="5E1BAE36" w14:textId="49A1FD40" w:rsidR="004B6753" w:rsidRDefault="00574BCE" w:rsidP="00A85D2D">
      <w:pPr>
        <w:tabs>
          <w:tab w:val="left" w:pos="3306"/>
        </w:tabs>
        <w:jc w:val="center"/>
        <w:rPr>
          <w:rFonts w:ascii="Times New Roman" w:hAnsi="Times New Roman" w:cs="Times New Roman"/>
          <w:i/>
          <w:iCs/>
          <w:szCs w:val="24"/>
        </w:rPr>
      </w:pPr>
      <w:r>
        <w:rPr>
          <w:rFonts w:ascii="Times New Roman" w:hAnsi="Times New Roman" w:cs="Times New Roman"/>
          <w:b/>
          <w:bCs/>
          <w:szCs w:val="24"/>
        </w:rPr>
        <w:lastRenderedPageBreak/>
        <w:t>Table</w:t>
      </w:r>
      <w:r w:rsidR="00416FA8" w:rsidRPr="007245B0">
        <w:rPr>
          <w:rFonts w:ascii="Times New Roman" w:hAnsi="Times New Roman" w:cs="Times New Roman"/>
          <w:b/>
          <w:bCs/>
          <w:szCs w:val="24"/>
        </w:rPr>
        <w:t xml:space="preserve"> </w:t>
      </w:r>
      <w:r w:rsidR="004B6753" w:rsidRPr="007245B0">
        <w:rPr>
          <w:rFonts w:ascii="Times New Roman" w:hAnsi="Times New Roman" w:cs="Times New Roman"/>
          <w:b/>
          <w:bCs/>
          <w:szCs w:val="24"/>
        </w:rPr>
        <w:t>29:</w:t>
      </w:r>
      <w:r w:rsidR="00416FA8" w:rsidRPr="007245B0">
        <w:rPr>
          <w:rFonts w:ascii="Times New Roman" w:hAnsi="Times New Roman" w:cs="Times New Roman"/>
          <w:b/>
          <w:bCs/>
          <w:szCs w:val="24"/>
        </w:rPr>
        <w:t xml:space="preserve"> Growth and Pattern of States' Revenue Expenditure - concld.</w:t>
      </w:r>
    </w:p>
    <w:p w14:paraId="6445B673" w14:textId="693CD747" w:rsidR="00416FA8" w:rsidRPr="007245B0" w:rsidRDefault="00416FA8" w:rsidP="004B6753">
      <w:pPr>
        <w:tabs>
          <w:tab w:val="left" w:pos="3306"/>
        </w:tabs>
        <w:jc w:val="right"/>
        <w:rPr>
          <w:rFonts w:ascii="Times New Roman" w:hAnsi="Times New Roman" w:cs="Times New Roman"/>
          <w:i/>
          <w:iCs/>
          <w:szCs w:val="24"/>
        </w:rPr>
      </w:pPr>
      <w:r w:rsidRPr="007245B0">
        <w:rPr>
          <w:rFonts w:ascii="Times New Roman" w:hAnsi="Times New Roman" w:cs="Times New Roman"/>
          <w:i/>
          <w:iCs/>
          <w:szCs w:val="24"/>
        </w:rPr>
        <w:t>(Rs. crores)</w:t>
      </w:r>
    </w:p>
    <w:tbl>
      <w:tblPr>
        <w:tblStyle w:val="TableGrid"/>
        <w:tblW w:w="0" w:type="auto"/>
        <w:tblLook w:val="04A0" w:firstRow="1" w:lastRow="0" w:firstColumn="1" w:lastColumn="0" w:noHBand="0" w:noVBand="1"/>
      </w:tblPr>
      <w:tblGrid>
        <w:gridCol w:w="1281"/>
        <w:gridCol w:w="1186"/>
        <w:gridCol w:w="993"/>
        <w:gridCol w:w="1670"/>
        <w:gridCol w:w="778"/>
        <w:gridCol w:w="864"/>
        <w:gridCol w:w="1182"/>
        <w:gridCol w:w="974"/>
        <w:gridCol w:w="861"/>
        <w:gridCol w:w="1340"/>
        <w:gridCol w:w="864"/>
        <w:gridCol w:w="1405"/>
      </w:tblGrid>
      <w:tr w:rsidR="00812C67" w:rsidRPr="00A85D2D" w14:paraId="3B121D1E" w14:textId="77777777" w:rsidTr="004B6753">
        <w:tc>
          <w:tcPr>
            <w:tcW w:w="0" w:type="auto"/>
            <w:vAlign w:val="center"/>
            <w:hideMark/>
          </w:tcPr>
          <w:p w14:paraId="61753484" w14:textId="77777777" w:rsidR="00812C67" w:rsidRPr="004B6753" w:rsidRDefault="00812C67" w:rsidP="004B6753">
            <w:pPr>
              <w:pStyle w:val="NoSpacing"/>
              <w:jc w:val="center"/>
              <w:rPr>
                <w:rFonts w:ascii="Times New Roman" w:hAnsi="Times New Roman" w:cs="Times New Roman"/>
                <w:b/>
                <w:bCs/>
                <w:sz w:val="22"/>
                <w:szCs w:val="22"/>
              </w:rPr>
            </w:pPr>
            <w:r w:rsidRPr="004B6753">
              <w:rPr>
                <w:rFonts w:ascii="Times New Roman" w:hAnsi="Times New Roman" w:cs="Times New Roman"/>
                <w:b/>
                <w:bCs/>
                <w:sz w:val="22"/>
                <w:szCs w:val="22"/>
              </w:rPr>
              <w:t>States/Year</w:t>
            </w:r>
          </w:p>
        </w:tc>
        <w:tc>
          <w:tcPr>
            <w:tcW w:w="0" w:type="auto"/>
            <w:gridSpan w:val="5"/>
            <w:vAlign w:val="center"/>
            <w:hideMark/>
          </w:tcPr>
          <w:p w14:paraId="686C8484" w14:textId="77777777" w:rsidR="00812C67" w:rsidRPr="004B6753" w:rsidRDefault="00812C67" w:rsidP="004B6753">
            <w:pPr>
              <w:pStyle w:val="NoSpacing"/>
              <w:jc w:val="center"/>
              <w:rPr>
                <w:rFonts w:ascii="Times New Roman" w:hAnsi="Times New Roman" w:cs="Times New Roman"/>
                <w:b/>
                <w:bCs/>
                <w:sz w:val="22"/>
                <w:szCs w:val="22"/>
              </w:rPr>
            </w:pPr>
            <w:r w:rsidRPr="004B6753">
              <w:rPr>
                <w:rFonts w:ascii="Times New Roman" w:hAnsi="Times New Roman" w:cs="Times New Roman"/>
                <w:b/>
                <w:bCs/>
                <w:sz w:val="22"/>
                <w:szCs w:val="22"/>
              </w:rPr>
              <w:t>Non-Developmental</w:t>
            </w:r>
          </w:p>
        </w:tc>
        <w:tc>
          <w:tcPr>
            <w:tcW w:w="0" w:type="auto"/>
            <w:gridSpan w:val="5"/>
            <w:vAlign w:val="center"/>
            <w:hideMark/>
          </w:tcPr>
          <w:p w14:paraId="2624B09E" w14:textId="77777777" w:rsidR="00812C67" w:rsidRPr="004B6753" w:rsidRDefault="00812C67" w:rsidP="004B6753">
            <w:pPr>
              <w:pStyle w:val="NoSpacing"/>
              <w:jc w:val="center"/>
              <w:rPr>
                <w:rFonts w:ascii="Times New Roman" w:hAnsi="Times New Roman" w:cs="Times New Roman"/>
                <w:b/>
                <w:bCs/>
                <w:sz w:val="22"/>
                <w:szCs w:val="22"/>
              </w:rPr>
            </w:pPr>
            <w:r w:rsidRPr="004B6753">
              <w:rPr>
                <w:rFonts w:ascii="Times New Roman" w:hAnsi="Times New Roman" w:cs="Times New Roman"/>
                <w:b/>
                <w:bCs/>
                <w:sz w:val="22"/>
                <w:szCs w:val="22"/>
              </w:rPr>
              <w:t>Developmental</w:t>
            </w:r>
          </w:p>
        </w:tc>
        <w:tc>
          <w:tcPr>
            <w:tcW w:w="0" w:type="auto"/>
            <w:vMerge w:val="restart"/>
            <w:vAlign w:val="center"/>
            <w:hideMark/>
          </w:tcPr>
          <w:p w14:paraId="6898701E" w14:textId="77777777" w:rsidR="00812C67" w:rsidRPr="004B6753" w:rsidRDefault="00812C67" w:rsidP="004B6753">
            <w:pPr>
              <w:pStyle w:val="NoSpacing"/>
              <w:jc w:val="center"/>
              <w:rPr>
                <w:rFonts w:ascii="Times New Roman" w:hAnsi="Times New Roman" w:cs="Times New Roman"/>
                <w:b/>
                <w:bCs/>
                <w:sz w:val="22"/>
                <w:szCs w:val="22"/>
              </w:rPr>
            </w:pPr>
            <w:r w:rsidRPr="004B6753">
              <w:rPr>
                <w:rFonts w:ascii="Times New Roman" w:hAnsi="Times New Roman" w:cs="Times New Roman"/>
                <w:b/>
                <w:bCs/>
                <w:sz w:val="22"/>
                <w:szCs w:val="22"/>
              </w:rPr>
              <w:t>Total Revenue Expenditure</w:t>
            </w:r>
          </w:p>
        </w:tc>
      </w:tr>
      <w:tr w:rsidR="00812C67" w:rsidRPr="00A85D2D" w14:paraId="16C613A5" w14:textId="77777777" w:rsidTr="004B6753">
        <w:tc>
          <w:tcPr>
            <w:tcW w:w="0" w:type="auto"/>
            <w:vAlign w:val="center"/>
            <w:hideMark/>
          </w:tcPr>
          <w:p w14:paraId="40F3E928" w14:textId="77777777" w:rsidR="00812C67" w:rsidRPr="004B6753" w:rsidRDefault="00812C67" w:rsidP="004B6753">
            <w:pPr>
              <w:pStyle w:val="NoSpacing"/>
              <w:jc w:val="center"/>
              <w:rPr>
                <w:rFonts w:ascii="Times New Roman" w:hAnsi="Times New Roman" w:cs="Times New Roman"/>
                <w:b/>
                <w:bCs/>
                <w:sz w:val="22"/>
                <w:szCs w:val="22"/>
              </w:rPr>
            </w:pPr>
          </w:p>
        </w:tc>
        <w:tc>
          <w:tcPr>
            <w:tcW w:w="0" w:type="auto"/>
            <w:vAlign w:val="center"/>
            <w:hideMark/>
          </w:tcPr>
          <w:p w14:paraId="68447487" w14:textId="77777777" w:rsidR="00812C67" w:rsidRPr="004B6753" w:rsidRDefault="00812C67" w:rsidP="004B6753">
            <w:pPr>
              <w:pStyle w:val="NoSpacing"/>
              <w:jc w:val="center"/>
              <w:rPr>
                <w:rFonts w:ascii="Times New Roman" w:hAnsi="Times New Roman" w:cs="Times New Roman"/>
                <w:b/>
                <w:bCs/>
                <w:sz w:val="22"/>
                <w:szCs w:val="22"/>
              </w:rPr>
            </w:pPr>
            <w:r w:rsidRPr="004B6753">
              <w:rPr>
                <w:rFonts w:ascii="Times New Roman" w:hAnsi="Times New Roman" w:cs="Times New Roman"/>
                <w:b/>
                <w:bCs/>
                <w:sz w:val="22"/>
                <w:szCs w:val="22"/>
              </w:rPr>
              <w:t>Tax Collection Charges</w:t>
            </w:r>
          </w:p>
        </w:tc>
        <w:tc>
          <w:tcPr>
            <w:tcW w:w="0" w:type="auto"/>
            <w:vAlign w:val="center"/>
            <w:hideMark/>
          </w:tcPr>
          <w:p w14:paraId="25374672" w14:textId="77777777" w:rsidR="00812C67" w:rsidRPr="004B6753" w:rsidRDefault="00812C67" w:rsidP="004B6753">
            <w:pPr>
              <w:pStyle w:val="NoSpacing"/>
              <w:jc w:val="center"/>
              <w:rPr>
                <w:rFonts w:ascii="Times New Roman" w:hAnsi="Times New Roman" w:cs="Times New Roman"/>
                <w:b/>
                <w:bCs/>
                <w:sz w:val="22"/>
                <w:szCs w:val="22"/>
              </w:rPr>
            </w:pPr>
            <w:r w:rsidRPr="004B6753">
              <w:rPr>
                <w:rFonts w:ascii="Times New Roman" w:hAnsi="Times New Roman" w:cs="Times New Roman"/>
                <w:b/>
                <w:bCs/>
                <w:sz w:val="22"/>
                <w:szCs w:val="22"/>
              </w:rPr>
              <w:t>Debt Services</w:t>
            </w:r>
          </w:p>
        </w:tc>
        <w:tc>
          <w:tcPr>
            <w:tcW w:w="0" w:type="auto"/>
            <w:vAlign w:val="center"/>
            <w:hideMark/>
          </w:tcPr>
          <w:p w14:paraId="5496505D" w14:textId="77777777" w:rsidR="00812C67" w:rsidRPr="004B6753" w:rsidRDefault="00812C67" w:rsidP="004B6753">
            <w:pPr>
              <w:pStyle w:val="NoSpacing"/>
              <w:jc w:val="center"/>
              <w:rPr>
                <w:rFonts w:ascii="Times New Roman" w:hAnsi="Times New Roman" w:cs="Times New Roman"/>
                <w:b/>
                <w:bCs/>
                <w:sz w:val="22"/>
                <w:szCs w:val="22"/>
              </w:rPr>
            </w:pPr>
            <w:r w:rsidRPr="004B6753">
              <w:rPr>
                <w:rFonts w:ascii="Times New Roman" w:hAnsi="Times New Roman" w:cs="Times New Roman"/>
                <w:b/>
                <w:bCs/>
                <w:sz w:val="22"/>
                <w:szCs w:val="22"/>
              </w:rPr>
              <w:t>General Administration</w:t>
            </w:r>
          </w:p>
        </w:tc>
        <w:tc>
          <w:tcPr>
            <w:tcW w:w="0" w:type="auto"/>
            <w:vAlign w:val="center"/>
            <w:hideMark/>
          </w:tcPr>
          <w:p w14:paraId="2595EE88" w14:textId="77777777" w:rsidR="00812C67" w:rsidRPr="004B6753" w:rsidRDefault="00812C67" w:rsidP="004B6753">
            <w:pPr>
              <w:pStyle w:val="NoSpacing"/>
              <w:jc w:val="center"/>
              <w:rPr>
                <w:rFonts w:ascii="Times New Roman" w:hAnsi="Times New Roman" w:cs="Times New Roman"/>
                <w:b/>
                <w:bCs/>
                <w:sz w:val="22"/>
                <w:szCs w:val="22"/>
              </w:rPr>
            </w:pPr>
            <w:r w:rsidRPr="004B6753">
              <w:rPr>
                <w:rFonts w:ascii="Times New Roman" w:hAnsi="Times New Roman" w:cs="Times New Roman"/>
                <w:b/>
                <w:bCs/>
                <w:sz w:val="22"/>
                <w:szCs w:val="22"/>
              </w:rPr>
              <w:t>Police</w:t>
            </w:r>
          </w:p>
        </w:tc>
        <w:tc>
          <w:tcPr>
            <w:tcW w:w="0" w:type="auto"/>
            <w:vAlign w:val="center"/>
            <w:hideMark/>
          </w:tcPr>
          <w:p w14:paraId="03EC9CB8" w14:textId="77777777" w:rsidR="00812C67" w:rsidRPr="004B6753" w:rsidRDefault="00812C67" w:rsidP="004B6753">
            <w:pPr>
              <w:pStyle w:val="NoSpacing"/>
              <w:jc w:val="center"/>
              <w:rPr>
                <w:rFonts w:ascii="Times New Roman" w:hAnsi="Times New Roman" w:cs="Times New Roman"/>
                <w:b/>
                <w:bCs/>
                <w:sz w:val="22"/>
                <w:szCs w:val="22"/>
              </w:rPr>
            </w:pPr>
            <w:r w:rsidRPr="004B6753">
              <w:rPr>
                <w:rFonts w:ascii="Times New Roman" w:hAnsi="Times New Roman" w:cs="Times New Roman"/>
                <w:b/>
                <w:bCs/>
                <w:sz w:val="22"/>
                <w:szCs w:val="22"/>
              </w:rPr>
              <w:t>Others</w:t>
            </w:r>
          </w:p>
        </w:tc>
        <w:tc>
          <w:tcPr>
            <w:tcW w:w="0" w:type="auto"/>
            <w:vAlign w:val="center"/>
            <w:hideMark/>
          </w:tcPr>
          <w:p w14:paraId="2744F2FF" w14:textId="77777777" w:rsidR="00812C67" w:rsidRPr="004B6753" w:rsidRDefault="00812C67" w:rsidP="004B6753">
            <w:pPr>
              <w:pStyle w:val="NoSpacing"/>
              <w:jc w:val="center"/>
              <w:rPr>
                <w:rFonts w:ascii="Times New Roman" w:hAnsi="Times New Roman" w:cs="Times New Roman"/>
                <w:b/>
                <w:bCs/>
                <w:sz w:val="22"/>
                <w:szCs w:val="22"/>
              </w:rPr>
            </w:pPr>
            <w:r w:rsidRPr="004B6753">
              <w:rPr>
                <w:rFonts w:ascii="Times New Roman" w:hAnsi="Times New Roman" w:cs="Times New Roman"/>
                <w:b/>
                <w:bCs/>
                <w:sz w:val="22"/>
                <w:szCs w:val="22"/>
              </w:rPr>
              <w:t>Education</w:t>
            </w:r>
          </w:p>
        </w:tc>
        <w:tc>
          <w:tcPr>
            <w:tcW w:w="0" w:type="auto"/>
            <w:vAlign w:val="center"/>
            <w:hideMark/>
          </w:tcPr>
          <w:p w14:paraId="1B2AE44D" w14:textId="77777777" w:rsidR="00812C67" w:rsidRPr="004B6753" w:rsidRDefault="00812C67" w:rsidP="004B6753">
            <w:pPr>
              <w:pStyle w:val="NoSpacing"/>
              <w:jc w:val="center"/>
              <w:rPr>
                <w:rFonts w:ascii="Times New Roman" w:hAnsi="Times New Roman" w:cs="Times New Roman"/>
                <w:b/>
                <w:bCs/>
                <w:sz w:val="22"/>
                <w:szCs w:val="22"/>
              </w:rPr>
            </w:pPr>
            <w:r w:rsidRPr="004B6753">
              <w:rPr>
                <w:rFonts w:ascii="Times New Roman" w:hAnsi="Times New Roman" w:cs="Times New Roman"/>
                <w:b/>
                <w:bCs/>
                <w:sz w:val="22"/>
                <w:szCs w:val="22"/>
              </w:rPr>
              <w:t>Medical</w:t>
            </w:r>
          </w:p>
        </w:tc>
        <w:tc>
          <w:tcPr>
            <w:tcW w:w="0" w:type="auto"/>
            <w:vAlign w:val="center"/>
            <w:hideMark/>
          </w:tcPr>
          <w:p w14:paraId="57851246" w14:textId="77777777" w:rsidR="00812C67" w:rsidRPr="004B6753" w:rsidRDefault="00812C67" w:rsidP="004B6753">
            <w:pPr>
              <w:pStyle w:val="NoSpacing"/>
              <w:jc w:val="center"/>
              <w:rPr>
                <w:rFonts w:ascii="Times New Roman" w:hAnsi="Times New Roman" w:cs="Times New Roman"/>
                <w:b/>
                <w:bCs/>
                <w:sz w:val="22"/>
                <w:szCs w:val="22"/>
              </w:rPr>
            </w:pPr>
            <w:r w:rsidRPr="004B6753">
              <w:rPr>
                <w:rFonts w:ascii="Times New Roman" w:hAnsi="Times New Roman" w:cs="Times New Roman"/>
                <w:b/>
                <w:bCs/>
                <w:sz w:val="22"/>
                <w:szCs w:val="22"/>
              </w:rPr>
              <w:t>Public Health</w:t>
            </w:r>
          </w:p>
        </w:tc>
        <w:tc>
          <w:tcPr>
            <w:tcW w:w="0" w:type="auto"/>
            <w:vAlign w:val="center"/>
            <w:hideMark/>
          </w:tcPr>
          <w:p w14:paraId="271AD907" w14:textId="77777777" w:rsidR="00812C67" w:rsidRPr="004B6753" w:rsidRDefault="00812C67" w:rsidP="004B6753">
            <w:pPr>
              <w:pStyle w:val="NoSpacing"/>
              <w:jc w:val="center"/>
              <w:rPr>
                <w:rFonts w:ascii="Times New Roman" w:hAnsi="Times New Roman" w:cs="Times New Roman"/>
                <w:b/>
                <w:bCs/>
                <w:sz w:val="22"/>
                <w:szCs w:val="22"/>
              </w:rPr>
            </w:pPr>
            <w:r w:rsidRPr="004B6753">
              <w:rPr>
                <w:rFonts w:ascii="Times New Roman" w:hAnsi="Times New Roman" w:cs="Times New Roman"/>
                <w:b/>
                <w:bCs/>
                <w:sz w:val="22"/>
                <w:szCs w:val="22"/>
              </w:rPr>
              <w:t>Agriculture &amp; Animal Husbandry</w:t>
            </w:r>
          </w:p>
        </w:tc>
        <w:tc>
          <w:tcPr>
            <w:tcW w:w="0" w:type="auto"/>
            <w:vAlign w:val="center"/>
            <w:hideMark/>
          </w:tcPr>
          <w:p w14:paraId="4C04B3F7" w14:textId="77777777" w:rsidR="00812C67" w:rsidRPr="004B6753" w:rsidRDefault="00812C67" w:rsidP="004B6753">
            <w:pPr>
              <w:pStyle w:val="NoSpacing"/>
              <w:jc w:val="center"/>
              <w:rPr>
                <w:rFonts w:ascii="Times New Roman" w:hAnsi="Times New Roman" w:cs="Times New Roman"/>
                <w:b/>
                <w:bCs/>
                <w:sz w:val="22"/>
                <w:szCs w:val="22"/>
              </w:rPr>
            </w:pPr>
            <w:r w:rsidRPr="004B6753">
              <w:rPr>
                <w:rFonts w:ascii="Times New Roman" w:hAnsi="Times New Roman" w:cs="Times New Roman"/>
                <w:b/>
                <w:bCs/>
                <w:sz w:val="22"/>
                <w:szCs w:val="22"/>
              </w:rPr>
              <w:t>Others</w:t>
            </w:r>
          </w:p>
        </w:tc>
        <w:tc>
          <w:tcPr>
            <w:tcW w:w="0" w:type="auto"/>
            <w:vMerge/>
            <w:vAlign w:val="center"/>
            <w:hideMark/>
          </w:tcPr>
          <w:p w14:paraId="6B78DD13" w14:textId="77777777" w:rsidR="00812C67" w:rsidRPr="004B6753" w:rsidRDefault="00812C67" w:rsidP="004B6753">
            <w:pPr>
              <w:pStyle w:val="NoSpacing"/>
              <w:jc w:val="center"/>
              <w:rPr>
                <w:rFonts w:ascii="Times New Roman" w:hAnsi="Times New Roman" w:cs="Times New Roman"/>
                <w:b/>
                <w:bCs/>
                <w:sz w:val="22"/>
                <w:szCs w:val="22"/>
              </w:rPr>
            </w:pPr>
          </w:p>
        </w:tc>
      </w:tr>
      <w:tr w:rsidR="00416FA8" w:rsidRPr="00A85D2D" w14:paraId="5F6DFE2D" w14:textId="77777777" w:rsidTr="004B6753">
        <w:tc>
          <w:tcPr>
            <w:tcW w:w="0" w:type="auto"/>
            <w:vAlign w:val="center"/>
            <w:hideMark/>
          </w:tcPr>
          <w:p w14:paraId="47EC7097" w14:textId="77777777" w:rsidR="00416FA8" w:rsidRPr="004B6753" w:rsidRDefault="00416FA8" w:rsidP="004B6753">
            <w:pPr>
              <w:pStyle w:val="NoSpacing"/>
              <w:jc w:val="center"/>
              <w:rPr>
                <w:rFonts w:ascii="Times New Roman" w:hAnsi="Times New Roman" w:cs="Times New Roman"/>
                <w:b/>
                <w:bCs/>
                <w:sz w:val="22"/>
                <w:szCs w:val="22"/>
              </w:rPr>
            </w:pPr>
            <w:r w:rsidRPr="004B6753">
              <w:rPr>
                <w:rFonts w:ascii="Times New Roman" w:hAnsi="Times New Roman" w:cs="Times New Roman"/>
                <w:b/>
                <w:bCs/>
                <w:sz w:val="22"/>
                <w:szCs w:val="22"/>
              </w:rPr>
              <w:t>I</w:t>
            </w:r>
          </w:p>
        </w:tc>
        <w:tc>
          <w:tcPr>
            <w:tcW w:w="0" w:type="auto"/>
            <w:vAlign w:val="center"/>
            <w:hideMark/>
          </w:tcPr>
          <w:p w14:paraId="54A82DEA" w14:textId="77777777" w:rsidR="00416FA8" w:rsidRPr="004B6753" w:rsidRDefault="00416FA8" w:rsidP="004B6753">
            <w:pPr>
              <w:pStyle w:val="NoSpacing"/>
              <w:jc w:val="center"/>
              <w:rPr>
                <w:rFonts w:ascii="Times New Roman" w:hAnsi="Times New Roman" w:cs="Times New Roman"/>
                <w:b/>
                <w:bCs/>
                <w:sz w:val="22"/>
                <w:szCs w:val="22"/>
              </w:rPr>
            </w:pPr>
            <w:r w:rsidRPr="004B6753">
              <w:rPr>
                <w:rFonts w:ascii="Times New Roman" w:hAnsi="Times New Roman" w:cs="Times New Roman"/>
                <w:b/>
                <w:bCs/>
                <w:sz w:val="22"/>
                <w:szCs w:val="22"/>
              </w:rPr>
              <w:t>2</w:t>
            </w:r>
          </w:p>
        </w:tc>
        <w:tc>
          <w:tcPr>
            <w:tcW w:w="0" w:type="auto"/>
            <w:vAlign w:val="center"/>
            <w:hideMark/>
          </w:tcPr>
          <w:p w14:paraId="52F65AC6" w14:textId="77777777" w:rsidR="00416FA8" w:rsidRPr="004B6753" w:rsidRDefault="00416FA8" w:rsidP="004B6753">
            <w:pPr>
              <w:pStyle w:val="NoSpacing"/>
              <w:jc w:val="center"/>
              <w:rPr>
                <w:rFonts w:ascii="Times New Roman" w:hAnsi="Times New Roman" w:cs="Times New Roman"/>
                <w:b/>
                <w:bCs/>
                <w:sz w:val="22"/>
                <w:szCs w:val="22"/>
              </w:rPr>
            </w:pPr>
            <w:r w:rsidRPr="004B6753">
              <w:rPr>
                <w:rFonts w:ascii="Times New Roman" w:hAnsi="Times New Roman" w:cs="Times New Roman"/>
                <w:b/>
                <w:bCs/>
                <w:sz w:val="22"/>
                <w:szCs w:val="22"/>
              </w:rPr>
              <w:t>3</w:t>
            </w:r>
          </w:p>
        </w:tc>
        <w:tc>
          <w:tcPr>
            <w:tcW w:w="0" w:type="auto"/>
            <w:vAlign w:val="center"/>
            <w:hideMark/>
          </w:tcPr>
          <w:p w14:paraId="500545EE" w14:textId="77777777" w:rsidR="00416FA8" w:rsidRPr="004B6753" w:rsidRDefault="00416FA8" w:rsidP="004B6753">
            <w:pPr>
              <w:pStyle w:val="NoSpacing"/>
              <w:jc w:val="center"/>
              <w:rPr>
                <w:rFonts w:ascii="Times New Roman" w:hAnsi="Times New Roman" w:cs="Times New Roman"/>
                <w:b/>
                <w:bCs/>
                <w:sz w:val="22"/>
                <w:szCs w:val="22"/>
              </w:rPr>
            </w:pPr>
            <w:r w:rsidRPr="004B6753">
              <w:rPr>
                <w:rFonts w:ascii="Times New Roman" w:hAnsi="Times New Roman" w:cs="Times New Roman"/>
                <w:b/>
                <w:bCs/>
                <w:sz w:val="22"/>
                <w:szCs w:val="22"/>
              </w:rPr>
              <w:t>4</w:t>
            </w:r>
          </w:p>
        </w:tc>
        <w:tc>
          <w:tcPr>
            <w:tcW w:w="0" w:type="auto"/>
            <w:vAlign w:val="center"/>
            <w:hideMark/>
          </w:tcPr>
          <w:p w14:paraId="755899CB" w14:textId="77777777" w:rsidR="00416FA8" w:rsidRPr="004B6753" w:rsidRDefault="00416FA8" w:rsidP="004B6753">
            <w:pPr>
              <w:pStyle w:val="NoSpacing"/>
              <w:jc w:val="center"/>
              <w:rPr>
                <w:rFonts w:ascii="Times New Roman" w:hAnsi="Times New Roman" w:cs="Times New Roman"/>
                <w:b/>
                <w:bCs/>
                <w:sz w:val="22"/>
                <w:szCs w:val="22"/>
              </w:rPr>
            </w:pPr>
            <w:r w:rsidRPr="004B6753">
              <w:rPr>
                <w:rFonts w:ascii="Times New Roman" w:hAnsi="Times New Roman" w:cs="Times New Roman"/>
                <w:b/>
                <w:bCs/>
                <w:sz w:val="22"/>
                <w:szCs w:val="22"/>
              </w:rPr>
              <w:t>5</w:t>
            </w:r>
          </w:p>
        </w:tc>
        <w:tc>
          <w:tcPr>
            <w:tcW w:w="0" w:type="auto"/>
            <w:vAlign w:val="center"/>
            <w:hideMark/>
          </w:tcPr>
          <w:p w14:paraId="6310F4E2" w14:textId="77777777" w:rsidR="00416FA8" w:rsidRPr="004B6753" w:rsidRDefault="00416FA8" w:rsidP="004B6753">
            <w:pPr>
              <w:pStyle w:val="NoSpacing"/>
              <w:jc w:val="center"/>
              <w:rPr>
                <w:rFonts w:ascii="Times New Roman" w:hAnsi="Times New Roman" w:cs="Times New Roman"/>
                <w:b/>
                <w:bCs/>
                <w:sz w:val="22"/>
                <w:szCs w:val="22"/>
              </w:rPr>
            </w:pPr>
            <w:r w:rsidRPr="004B6753">
              <w:rPr>
                <w:rFonts w:ascii="Times New Roman" w:hAnsi="Times New Roman" w:cs="Times New Roman"/>
                <w:b/>
                <w:bCs/>
                <w:sz w:val="22"/>
                <w:szCs w:val="22"/>
              </w:rPr>
              <w:t>6</w:t>
            </w:r>
          </w:p>
        </w:tc>
        <w:tc>
          <w:tcPr>
            <w:tcW w:w="0" w:type="auto"/>
            <w:vAlign w:val="center"/>
            <w:hideMark/>
          </w:tcPr>
          <w:p w14:paraId="1C8F70EC" w14:textId="77777777" w:rsidR="00416FA8" w:rsidRPr="004B6753" w:rsidRDefault="00416FA8" w:rsidP="004B6753">
            <w:pPr>
              <w:pStyle w:val="NoSpacing"/>
              <w:jc w:val="center"/>
              <w:rPr>
                <w:rFonts w:ascii="Times New Roman" w:hAnsi="Times New Roman" w:cs="Times New Roman"/>
                <w:b/>
                <w:bCs/>
                <w:sz w:val="22"/>
                <w:szCs w:val="22"/>
              </w:rPr>
            </w:pPr>
            <w:r w:rsidRPr="004B6753">
              <w:rPr>
                <w:rFonts w:ascii="Times New Roman" w:hAnsi="Times New Roman" w:cs="Times New Roman"/>
                <w:b/>
                <w:bCs/>
                <w:sz w:val="22"/>
                <w:szCs w:val="22"/>
              </w:rPr>
              <w:t>7</w:t>
            </w:r>
          </w:p>
        </w:tc>
        <w:tc>
          <w:tcPr>
            <w:tcW w:w="0" w:type="auto"/>
            <w:vAlign w:val="center"/>
            <w:hideMark/>
          </w:tcPr>
          <w:p w14:paraId="45EBDA03" w14:textId="77777777" w:rsidR="00416FA8" w:rsidRPr="004B6753" w:rsidRDefault="00416FA8" w:rsidP="004B6753">
            <w:pPr>
              <w:pStyle w:val="NoSpacing"/>
              <w:jc w:val="center"/>
              <w:rPr>
                <w:rFonts w:ascii="Times New Roman" w:hAnsi="Times New Roman" w:cs="Times New Roman"/>
                <w:b/>
                <w:bCs/>
                <w:sz w:val="22"/>
                <w:szCs w:val="22"/>
              </w:rPr>
            </w:pPr>
            <w:r w:rsidRPr="004B6753">
              <w:rPr>
                <w:rFonts w:ascii="Times New Roman" w:hAnsi="Times New Roman" w:cs="Times New Roman"/>
                <w:b/>
                <w:bCs/>
                <w:sz w:val="22"/>
                <w:szCs w:val="22"/>
              </w:rPr>
              <w:t>8</w:t>
            </w:r>
          </w:p>
        </w:tc>
        <w:tc>
          <w:tcPr>
            <w:tcW w:w="0" w:type="auto"/>
            <w:vAlign w:val="center"/>
            <w:hideMark/>
          </w:tcPr>
          <w:p w14:paraId="04177B7C" w14:textId="77777777" w:rsidR="00416FA8" w:rsidRPr="004B6753" w:rsidRDefault="00416FA8" w:rsidP="004B6753">
            <w:pPr>
              <w:pStyle w:val="NoSpacing"/>
              <w:jc w:val="center"/>
              <w:rPr>
                <w:rFonts w:ascii="Times New Roman" w:hAnsi="Times New Roman" w:cs="Times New Roman"/>
                <w:b/>
                <w:bCs/>
                <w:sz w:val="22"/>
                <w:szCs w:val="22"/>
              </w:rPr>
            </w:pPr>
            <w:r w:rsidRPr="004B6753">
              <w:rPr>
                <w:rFonts w:ascii="Times New Roman" w:hAnsi="Times New Roman" w:cs="Times New Roman"/>
                <w:b/>
                <w:bCs/>
                <w:sz w:val="22"/>
                <w:szCs w:val="22"/>
              </w:rPr>
              <w:t>9</w:t>
            </w:r>
          </w:p>
        </w:tc>
        <w:tc>
          <w:tcPr>
            <w:tcW w:w="0" w:type="auto"/>
            <w:vAlign w:val="center"/>
            <w:hideMark/>
          </w:tcPr>
          <w:p w14:paraId="13E90816" w14:textId="77777777" w:rsidR="00416FA8" w:rsidRPr="004B6753" w:rsidRDefault="00416FA8" w:rsidP="004B6753">
            <w:pPr>
              <w:pStyle w:val="NoSpacing"/>
              <w:jc w:val="center"/>
              <w:rPr>
                <w:rFonts w:ascii="Times New Roman" w:hAnsi="Times New Roman" w:cs="Times New Roman"/>
                <w:b/>
                <w:bCs/>
                <w:sz w:val="22"/>
                <w:szCs w:val="22"/>
              </w:rPr>
            </w:pPr>
            <w:r w:rsidRPr="004B6753">
              <w:rPr>
                <w:rFonts w:ascii="Times New Roman" w:hAnsi="Times New Roman" w:cs="Times New Roman"/>
                <w:b/>
                <w:bCs/>
                <w:sz w:val="22"/>
                <w:szCs w:val="22"/>
              </w:rPr>
              <w:t>10</w:t>
            </w:r>
          </w:p>
        </w:tc>
        <w:tc>
          <w:tcPr>
            <w:tcW w:w="0" w:type="auto"/>
            <w:vAlign w:val="center"/>
            <w:hideMark/>
          </w:tcPr>
          <w:p w14:paraId="6DE7E4C5" w14:textId="77777777" w:rsidR="00416FA8" w:rsidRPr="004B6753" w:rsidRDefault="00416FA8" w:rsidP="004B6753">
            <w:pPr>
              <w:pStyle w:val="NoSpacing"/>
              <w:jc w:val="center"/>
              <w:rPr>
                <w:rFonts w:ascii="Times New Roman" w:hAnsi="Times New Roman" w:cs="Times New Roman"/>
                <w:b/>
                <w:bCs/>
                <w:sz w:val="22"/>
                <w:szCs w:val="22"/>
              </w:rPr>
            </w:pPr>
            <w:r w:rsidRPr="004B6753">
              <w:rPr>
                <w:rFonts w:ascii="Times New Roman" w:hAnsi="Times New Roman" w:cs="Times New Roman"/>
                <w:b/>
                <w:bCs/>
                <w:sz w:val="22"/>
                <w:szCs w:val="22"/>
              </w:rPr>
              <w:t>11</w:t>
            </w:r>
          </w:p>
        </w:tc>
        <w:tc>
          <w:tcPr>
            <w:tcW w:w="0" w:type="auto"/>
            <w:vAlign w:val="center"/>
            <w:hideMark/>
          </w:tcPr>
          <w:p w14:paraId="74403CEB" w14:textId="77777777" w:rsidR="00416FA8" w:rsidRPr="004B6753" w:rsidRDefault="00416FA8" w:rsidP="004B6753">
            <w:pPr>
              <w:pStyle w:val="NoSpacing"/>
              <w:jc w:val="center"/>
              <w:rPr>
                <w:rFonts w:ascii="Times New Roman" w:hAnsi="Times New Roman" w:cs="Times New Roman"/>
                <w:b/>
                <w:bCs/>
                <w:sz w:val="22"/>
                <w:szCs w:val="22"/>
              </w:rPr>
            </w:pPr>
            <w:r w:rsidRPr="004B6753">
              <w:rPr>
                <w:rFonts w:ascii="Times New Roman" w:hAnsi="Times New Roman" w:cs="Times New Roman"/>
                <w:b/>
                <w:bCs/>
                <w:sz w:val="22"/>
                <w:szCs w:val="22"/>
              </w:rPr>
              <w:t>12</w:t>
            </w:r>
          </w:p>
        </w:tc>
      </w:tr>
      <w:tr w:rsidR="00416FA8" w:rsidRPr="00A85D2D" w14:paraId="00183AD6" w14:textId="77777777" w:rsidTr="00B77C0B">
        <w:tc>
          <w:tcPr>
            <w:tcW w:w="0" w:type="auto"/>
            <w:hideMark/>
          </w:tcPr>
          <w:p w14:paraId="19BCF977" w14:textId="77777777" w:rsidR="00416FA8" w:rsidRPr="00A85D2D" w:rsidRDefault="00416FA8" w:rsidP="00B77C0B">
            <w:pPr>
              <w:pStyle w:val="NoSpacing"/>
              <w:rPr>
                <w:rFonts w:ascii="Times New Roman" w:hAnsi="Times New Roman" w:cs="Times New Roman"/>
                <w:sz w:val="22"/>
                <w:szCs w:val="22"/>
              </w:rPr>
            </w:pPr>
            <w:r w:rsidRPr="00A85D2D">
              <w:rPr>
                <w:rFonts w:ascii="Times New Roman" w:hAnsi="Times New Roman" w:cs="Times New Roman"/>
                <w:sz w:val="22"/>
                <w:szCs w:val="22"/>
              </w:rPr>
              <w:t>West Bengal</w:t>
            </w:r>
          </w:p>
        </w:tc>
        <w:tc>
          <w:tcPr>
            <w:tcW w:w="0" w:type="auto"/>
            <w:hideMark/>
          </w:tcPr>
          <w:p w14:paraId="01BAFA0A" w14:textId="77777777" w:rsidR="00416FA8" w:rsidRPr="00A85D2D" w:rsidRDefault="00416FA8" w:rsidP="00B77C0B">
            <w:pPr>
              <w:pStyle w:val="NoSpacing"/>
              <w:rPr>
                <w:rFonts w:ascii="Times New Roman" w:hAnsi="Times New Roman" w:cs="Times New Roman"/>
                <w:sz w:val="22"/>
                <w:szCs w:val="22"/>
              </w:rPr>
            </w:pPr>
          </w:p>
        </w:tc>
        <w:tc>
          <w:tcPr>
            <w:tcW w:w="0" w:type="auto"/>
            <w:hideMark/>
          </w:tcPr>
          <w:p w14:paraId="7D1700C2" w14:textId="77777777" w:rsidR="00416FA8" w:rsidRPr="00A85D2D" w:rsidRDefault="00416FA8" w:rsidP="00B77C0B">
            <w:pPr>
              <w:pStyle w:val="NoSpacing"/>
              <w:rPr>
                <w:rFonts w:ascii="Times New Roman" w:hAnsi="Times New Roman" w:cs="Times New Roman"/>
                <w:sz w:val="22"/>
                <w:szCs w:val="22"/>
              </w:rPr>
            </w:pPr>
          </w:p>
        </w:tc>
        <w:tc>
          <w:tcPr>
            <w:tcW w:w="0" w:type="auto"/>
            <w:hideMark/>
          </w:tcPr>
          <w:p w14:paraId="76851C58" w14:textId="77777777" w:rsidR="00416FA8" w:rsidRPr="00A85D2D" w:rsidRDefault="00416FA8" w:rsidP="00B77C0B">
            <w:pPr>
              <w:pStyle w:val="NoSpacing"/>
              <w:rPr>
                <w:rFonts w:ascii="Times New Roman" w:hAnsi="Times New Roman" w:cs="Times New Roman"/>
                <w:sz w:val="22"/>
                <w:szCs w:val="22"/>
              </w:rPr>
            </w:pPr>
          </w:p>
        </w:tc>
        <w:tc>
          <w:tcPr>
            <w:tcW w:w="0" w:type="auto"/>
            <w:hideMark/>
          </w:tcPr>
          <w:p w14:paraId="6B9D5546" w14:textId="77777777" w:rsidR="00416FA8" w:rsidRPr="00A85D2D" w:rsidRDefault="00416FA8" w:rsidP="00B77C0B">
            <w:pPr>
              <w:pStyle w:val="NoSpacing"/>
              <w:rPr>
                <w:rFonts w:ascii="Times New Roman" w:hAnsi="Times New Roman" w:cs="Times New Roman"/>
                <w:sz w:val="22"/>
                <w:szCs w:val="22"/>
              </w:rPr>
            </w:pPr>
          </w:p>
        </w:tc>
        <w:tc>
          <w:tcPr>
            <w:tcW w:w="0" w:type="auto"/>
            <w:hideMark/>
          </w:tcPr>
          <w:p w14:paraId="0DDD61A2" w14:textId="77777777" w:rsidR="00416FA8" w:rsidRPr="00A85D2D" w:rsidRDefault="00416FA8" w:rsidP="00B77C0B">
            <w:pPr>
              <w:pStyle w:val="NoSpacing"/>
              <w:rPr>
                <w:rFonts w:ascii="Times New Roman" w:hAnsi="Times New Roman" w:cs="Times New Roman"/>
                <w:sz w:val="22"/>
                <w:szCs w:val="22"/>
              </w:rPr>
            </w:pPr>
          </w:p>
        </w:tc>
        <w:tc>
          <w:tcPr>
            <w:tcW w:w="0" w:type="auto"/>
            <w:hideMark/>
          </w:tcPr>
          <w:p w14:paraId="00F7396E" w14:textId="77777777" w:rsidR="00416FA8" w:rsidRPr="00A85D2D" w:rsidRDefault="00416FA8" w:rsidP="00B77C0B">
            <w:pPr>
              <w:pStyle w:val="NoSpacing"/>
              <w:rPr>
                <w:rFonts w:ascii="Times New Roman" w:hAnsi="Times New Roman" w:cs="Times New Roman"/>
                <w:sz w:val="22"/>
                <w:szCs w:val="22"/>
              </w:rPr>
            </w:pPr>
          </w:p>
        </w:tc>
        <w:tc>
          <w:tcPr>
            <w:tcW w:w="0" w:type="auto"/>
            <w:hideMark/>
          </w:tcPr>
          <w:p w14:paraId="2762DF91" w14:textId="77777777" w:rsidR="00416FA8" w:rsidRPr="00A85D2D" w:rsidRDefault="00416FA8" w:rsidP="00B77C0B">
            <w:pPr>
              <w:pStyle w:val="NoSpacing"/>
              <w:rPr>
                <w:rFonts w:ascii="Times New Roman" w:hAnsi="Times New Roman" w:cs="Times New Roman"/>
                <w:sz w:val="22"/>
                <w:szCs w:val="22"/>
              </w:rPr>
            </w:pPr>
          </w:p>
        </w:tc>
        <w:tc>
          <w:tcPr>
            <w:tcW w:w="0" w:type="auto"/>
            <w:hideMark/>
          </w:tcPr>
          <w:p w14:paraId="172796C5" w14:textId="77777777" w:rsidR="00416FA8" w:rsidRPr="00A85D2D" w:rsidRDefault="00416FA8" w:rsidP="00B77C0B">
            <w:pPr>
              <w:pStyle w:val="NoSpacing"/>
              <w:rPr>
                <w:rFonts w:ascii="Times New Roman" w:hAnsi="Times New Roman" w:cs="Times New Roman"/>
                <w:sz w:val="22"/>
                <w:szCs w:val="22"/>
              </w:rPr>
            </w:pPr>
          </w:p>
        </w:tc>
        <w:tc>
          <w:tcPr>
            <w:tcW w:w="0" w:type="auto"/>
            <w:hideMark/>
          </w:tcPr>
          <w:p w14:paraId="64CFC16B" w14:textId="77777777" w:rsidR="00416FA8" w:rsidRPr="00A85D2D" w:rsidRDefault="00416FA8" w:rsidP="00B77C0B">
            <w:pPr>
              <w:pStyle w:val="NoSpacing"/>
              <w:rPr>
                <w:rFonts w:ascii="Times New Roman" w:hAnsi="Times New Roman" w:cs="Times New Roman"/>
                <w:sz w:val="22"/>
                <w:szCs w:val="22"/>
              </w:rPr>
            </w:pPr>
          </w:p>
        </w:tc>
        <w:tc>
          <w:tcPr>
            <w:tcW w:w="0" w:type="auto"/>
            <w:hideMark/>
          </w:tcPr>
          <w:p w14:paraId="113C10C2" w14:textId="77777777" w:rsidR="00416FA8" w:rsidRPr="00A85D2D" w:rsidRDefault="00416FA8" w:rsidP="00B77C0B">
            <w:pPr>
              <w:pStyle w:val="NoSpacing"/>
              <w:rPr>
                <w:rFonts w:ascii="Times New Roman" w:hAnsi="Times New Roman" w:cs="Times New Roman"/>
                <w:sz w:val="22"/>
                <w:szCs w:val="22"/>
              </w:rPr>
            </w:pPr>
          </w:p>
        </w:tc>
        <w:tc>
          <w:tcPr>
            <w:tcW w:w="0" w:type="auto"/>
            <w:hideMark/>
          </w:tcPr>
          <w:p w14:paraId="485BAD68" w14:textId="77777777" w:rsidR="00416FA8" w:rsidRPr="00A85D2D" w:rsidRDefault="00416FA8" w:rsidP="00B77C0B">
            <w:pPr>
              <w:pStyle w:val="NoSpacing"/>
              <w:rPr>
                <w:rFonts w:ascii="Times New Roman" w:hAnsi="Times New Roman" w:cs="Times New Roman"/>
                <w:sz w:val="22"/>
                <w:szCs w:val="22"/>
              </w:rPr>
            </w:pPr>
          </w:p>
        </w:tc>
      </w:tr>
      <w:tr w:rsidR="00812C67" w:rsidRPr="00A85D2D" w14:paraId="1B13DA3C" w14:textId="77777777" w:rsidTr="004B6753">
        <w:tc>
          <w:tcPr>
            <w:tcW w:w="0" w:type="auto"/>
            <w:vMerge w:val="restart"/>
            <w:hideMark/>
          </w:tcPr>
          <w:p w14:paraId="3C95E53B" w14:textId="77777777" w:rsidR="00812C67" w:rsidRPr="00A85D2D" w:rsidRDefault="00812C67" w:rsidP="00B77C0B">
            <w:pPr>
              <w:pStyle w:val="NoSpacing"/>
              <w:rPr>
                <w:rFonts w:ascii="Times New Roman" w:hAnsi="Times New Roman" w:cs="Times New Roman"/>
                <w:sz w:val="22"/>
                <w:szCs w:val="22"/>
              </w:rPr>
            </w:pPr>
            <w:r w:rsidRPr="00A85D2D">
              <w:rPr>
                <w:rFonts w:ascii="Times New Roman" w:hAnsi="Times New Roman" w:cs="Times New Roman"/>
                <w:sz w:val="22"/>
                <w:szCs w:val="22"/>
              </w:rPr>
              <w:t>1961-62</w:t>
            </w:r>
          </w:p>
        </w:tc>
        <w:tc>
          <w:tcPr>
            <w:tcW w:w="0" w:type="auto"/>
            <w:vAlign w:val="center"/>
            <w:hideMark/>
          </w:tcPr>
          <w:p w14:paraId="5D87D8D5" w14:textId="77777777" w:rsidR="00812C67" w:rsidRPr="00A85D2D" w:rsidRDefault="00812C67" w:rsidP="004B6753">
            <w:pPr>
              <w:pStyle w:val="NoSpacing"/>
              <w:jc w:val="center"/>
              <w:rPr>
                <w:rFonts w:ascii="Times New Roman" w:hAnsi="Times New Roman" w:cs="Times New Roman"/>
                <w:sz w:val="22"/>
                <w:szCs w:val="22"/>
              </w:rPr>
            </w:pPr>
            <w:r w:rsidRPr="00A85D2D">
              <w:rPr>
                <w:rFonts w:ascii="Times New Roman" w:hAnsi="Times New Roman" w:cs="Times New Roman"/>
                <w:sz w:val="22"/>
                <w:szCs w:val="22"/>
              </w:rPr>
              <w:t>6.50</w:t>
            </w:r>
          </w:p>
        </w:tc>
        <w:tc>
          <w:tcPr>
            <w:tcW w:w="0" w:type="auto"/>
            <w:vAlign w:val="center"/>
            <w:hideMark/>
          </w:tcPr>
          <w:p w14:paraId="3F964709" w14:textId="77777777" w:rsidR="00812C67" w:rsidRPr="00A85D2D" w:rsidRDefault="00812C67" w:rsidP="004B6753">
            <w:pPr>
              <w:pStyle w:val="NoSpacing"/>
              <w:jc w:val="center"/>
              <w:rPr>
                <w:rFonts w:ascii="Times New Roman" w:hAnsi="Times New Roman" w:cs="Times New Roman"/>
                <w:sz w:val="22"/>
                <w:szCs w:val="22"/>
              </w:rPr>
            </w:pPr>
            <w:r w:rsidRPr="00A85D2D">
              <w:rPr>
                <w:rFonts w:ascii="Times New Roman" w:hAnsi="Times New Roman" w:cs="Times New Roman"/>
                <w:sz w:val="22"/>
                <w:szCs w:val="22"/>
              </w:rPr>
              <w:t>9.34</w:t>
            </w:r>
          </w:p>
        </w:tc>
        <w:tc>
          <w:tcPr>
            <w:tcW w:w="0" w:type="auto"/>
            <w:vAlign w:val="center"/>
            <w:hideMark/>
          </w:tcPr>
          <w:p w14:paraId="032FEE14" w14:textId="77777777" w:rsidR="00812C67" w:rsidRPr="00A85D2D" w:rsidRDefault="00812C67" w:rsidP="004B6753">
            <w:pPr>
              <w:pStyle w:val="NoSpacing"/>
              <w:jc w:val="center"/>
              <w:rPr>
                <w:rFonts w:ascii="Times New Roman" w:hAnsi="Times New Roman" w:cs="Times New Roman"/>
                <w:sz w:val="22"/>
                <w:szCs w:val="22"/>
              </w:rPr>
            </w:pPr>
            <w:r w:rsidRPr="00A85D2D">
              <w:rPr>
                <w:rFonts w:ascii="Times New Roman" w:hAnsi="Times New Roman" w:cs="Times New Roman"/>
                <w:sz w:val="22"/>
                <w:szCs w:val="22"/>
              </w:rPr>
              <w:t>4.23</w:t>
            </w:r>
          </w:p>
        </w:tc>
        <w:tc>
          <w:tcPr>
            <w:tcW w:w="0" w:type="auto"/>
            <w:vAlign w:val="center"/>
            <w:hideMark/>
          </w:tcPr>
          <w:p w14:paraId="60CD2585" w14:textId="77777777" w:rsidR="00812C67" w:rsidRPr="00A85D2D" w:rsidRDefault="00812C67" w:rsidP="004B6753">
            <w:pPr>
              <w:pStyle w:val="NoSpacing"/>
              <w:jc w:val="center"/>
              <w:rPr>
                <w:rFonts w:ascii="Times New Roman" w:hAnsi="Times New Roman" w:cs="Times New Roman"/>
                <w:sz w:val="22"/>
                <w:szCs w:val="22"/>
              </w:rPr>
            </w:pPr>
            <w:r w:rsidRPr="00A85D2D">
              <w:rPr>
                <w:rFonts w:ascii="Times New Roman" w:hAnsi="Times New Roman" w:cs="Times New Roman"/>
                <w:sz w:val="22"/>
                <w:szCs w:val="22"/>
              </w:rPr>
              <w:t>8.96</w:t>
            </w:r>
          </w:p>
        </w:tc>
        <w:tc>
          <w:tcPr>
            <w:tcW w:w="0" w:type="auto"/>
            <w:vAlign w:val="center"/>
            <w:hideMark/>
          </w:tcPr>
          <w:p w14:paraId="39253842" w14:textId="77777777" w:rsidR="00812C67" w:rsidRPr="00A85D2D" w:rsidRDefault="00812C67" w:rsidP="004B6753">
            <w:pPr>
              <w:pStyle w:val="NoSpacing"/>
              <w:jc w:val="center"/>
              <w:rPr>
                <w:rFonts w:ascii="Times New Roman" w:hAnsi="Times New Roman" w:cs="Times New Roman"/>
                <w:sz w:val="22"/>
                <w:szCs w:val="22"/>
              </w:rPr>
            </w:pPr>
            <w:r w:rsidRPr="00A85D2D">
              <w:rPr>
                <w:rFonts w:ascii="Times New Roman" w:hAnsi="Times New Roman" w:cs="Times New Roman"/>
                <w:sz w:val="22"/>
                <w:szCs w:val="22"/>
              </w:rPr>
              <w:t>2.43</w:t>
            </w:r>
          </w:p>
        </w:tc>
        <w:tc>
          <w:tcPr>
            <w:tcW w:w="0" w:type="auto"/>
            <w:vAlign w:val="center"/>
            <w:hideMark/>
          </w:tcPr>
          <w:p w14:paraId="63EC1DC2" w14:textId="77777777" w:rsidR="00812C67" w:rsidRPr="00A85D2D" w:rsidRDefault="00812C67" w:rsidP="004B6753">
            <w:pPr>
              <w:pStyle w:val="NoSpacing"/>
              <w:jc w:val="center"/>
              <w:rPr>
                <w:rFonts w:ascii="Times New Roman" w:hAnsi="Times New Roman" w:cs="Times New Roman"/>
                <w:sz w:val="22"/>
                <w:szCs w:val="22"/>
              </w:rPr>
            </w:pPr>
            <w:r w:rsidRPr="00A85D2D">
              <w:rPr>
                <w:rFonts w:ascii="Times New Roman" w:hAnsi="Times New Roman" w:cs="Times New Roman"/>
                <w:sz w:val="22"/>
                <w:szCs w:val="22"/>
              </w:rPr>
              <w:t>21.30</w:t>
            </w:r>
          </w:p>
        </w:tc>
        <w:tc>
          <w:tcPr>
            <w:tcW w:w="0" w:type="auto"/>
            <w:vAlign w:val="center"/>
            <w:hideMark/>
          </w:tcPr>
          <w:p w14:paraId="743E76E3" w14:textId="77777777" w:rsidR="00812C67" w:rsidRPr="00A85D2D" w:rsidRDefault="00812C67" w:rsidP="004B6753">
            <w:pPr>
              <w:pStyle w:val="NoSpacing"/>
              <w:jc w:val="center"/>
              <w:rPr>
                <w:rFonts w:ascii="Times New Roman" w:hAnsi="Times New Roman" w:cs="Times New Roman"/>
                <w:sz w:val="22"/>
                <w:szCs w:val="22"/>
              </w:rPr>
            </w:pPr>
            <w:r w:rsidRPr="00A85D2D">
              <w:rPr>
                <w:rFonts w:ascii="Times New Roman" w:hAnsi="Times New Roman" w:cs="Times New Roman"/>
                <w:sz w:val="22"/>
                <w:szCs w:val="22"/>
              </w:rPr>
              <w:t>7.20</w:t>
            </w:r>
          </w:p>
        </w:tc>
        <w:tc>
          <w:tcPr>
            <w:tcW w:w="0" w:type="auto"/>
            <w:vAlign w:val="center"/>
            <w:hideMark/>
          </w:tcPr>
          <w:p w14:paraId="1B63D362" w14:textId="77777777" w:rsidR="00812C67" w:rsidRPr="00A85D2D" w:rsidRDefault="00812C67" w:rsidP="004B6753">
            <w:pPr>
              <w:pStyle w:val="NoSpacing"/>
              <w:jc w:val="center"/>
              <w:rPr>
                <w:rFonts w:ascii="Times New Roman" w:hAnsi="Times New Roman" w:cs="Times New Roman"/>
                <w:sz w:val="22"/>
                <w:szCs w:val="22"/>
              </w:rPr>
            </w:pPr>
            <w:r w:rsidRPr="00A85D2D">
              <w:rPr>
                <w:rFonts w:ascii="Times New Roman" w:hAnsi="Times New Roman" w:cs="Times New Roman"/>
                <w:sz w:val="22"/>
                <w:szCs w:val="22"/>
              </w:rPr>
              <w:t>3.02</w:t>
            </w:r>
          </w:p>
        </w:tc>
        <w:tc>
          <w:tcPr>
            <w:tcW w:w="0" w:type="auto"/>
            <w:vAlign w:val="center"/>
            <w:hideMark/>
          </w:tcPr>
          <w:p w14:paraId="5FB12640" w14:textId="77777777" w:rsidR="00812C67" w:rsidRPr="00A85D2D" w:rsidRDefault="00812C67" w:rsidP="004B6753">
            <w:pPr>
              <w:pStyle w:val="NoSpacing"/>
              <w:jc w:val="center"/>
              <w:rPr>
                <w:rFonts w:ascii="Times New Roman" w:hAnsi="Times New Roman" w:cs="Times New Roman"/>
                <w:sz w:val="22"/>
                <w:szCs w:val="22"/>
              </w:rPr>
            </w:pPr>
            <w:r w:rsidRPr="00A85D2D">
              <w:rPr>
                <w:rFonts w:ascii="Times New Roman" w:hAnsi="Times New Roman" w:cs="Times New Roman"/>
                <w:sz w:val="22"/>
                <w:szCs w:val="22"/>
              </w:rPr>
              <w:t>5.75</w:t>
            </w:r>
          </w:p>
        </w:tc>
        <w:tc>
          <w:tcPr>
            <w:tcW w:w="0" w:type="auto"/>
            <w:vAlign w:val="center"/>
            <w:hideMark/>
          </w:tcPr>
          <w:p w14:paraId="2A154250" w14:textId="77777777" w:rsidR="00812C67" w:rsidRPr="00A85D2D" w:rsidRDefault="00812C67" w:rsidP="004B6753">
            <w:pPr>
              <w:pStyle w:val="NoSpacing"/>
              <w:jc w:val="center"/>
              <w:rPr>
                <w:rFonts w:ascii="Times New Roman" w:hAnsi="Times New Roman" w:cs="Times New Roman"/>
                <w:sz w:val="22"/>
                <w:szCs w:val="22"/>
              </w:rPr>
            </w:pPr>
            <w:r w:rsidRPr="00A85D2D">
              <w:rPr>
                <w:rFonts w:ascii="Times New Roman" w:hAnsi="Times New Roman" w:cs="Times New Roman"/>
                <w:sz w:val="22"/>
                <w:szCs w:val="22"/>
              </w:rPr>
              <w:t>33.75</w:t>
            </w:r>
          </w:p>
        </w:tc>
        <w:tc>
          <w:tcPr>
            <w:tcW w:w="0" w:type="auto"/>
            <w:vAlign w:val="center"/>
            <w:hideMark/>
          </w:tcPr>
          <w:p w14:paraId="0C9DC178" w14:textId="77777777" w:rsidR="00812C67" w:rsidRPr="00A85D2D" w:rsidRDefault="00812C67" w:rsidP="004B6753">
            <w:pPr>
              <w:pStyle w:val="NoSpacing"/>
              <w:jc w:val="center"/>
              <w:rPr>
                <w:rFonts w:ascii="Times New Roman" w:hAnsi="Times New Roman" w:cs="Times New Roman"/>
                <w:sz w:val="22"/>
                <w:szCs w:val="22"/>
              </w:rPr>
            </w:pPr>
            <w:r w:rsidRPr="00A85D2D">
              <w:rPr>
                <w:rFonts w:ascii="Times New Roman" w:hAnsi="Times New Roman" w:cs="Times New Roman"/>
                <w:sz w:val="22"/>
                <w:szCs w:val="22"/>
              </w:rPr>
              <w:t>102.48</w:t>
            </w:r>
          </w:p>
        </w:tc>
      </w:tr>
      <w:tr w:rsidR="00812C67" w:rsidRPr="00A85D2D" w14:paraId="12883C16" w14:textId="77777777" w:rsidTr="004B6753">
        <w:tc>
          <w:tcPr>
            <w:tcW w:w="0" w:type="auto"/>
            <w:vMerge/>
            <w:hideMark/>
          </w:tcPr>
          <w:p w14:paraId="63A7E7C4" w14:textId="77777777" w:rsidR="00812C67" w:rsidRPr="00A85D2D" w:rsidRDefault="00812C67" w:rsidP="00B77C0B">
            <w:pPr>
              <w:pStyle w:val="NoSpacing"/>
              <w:rPr>
                <w:rFonts w:ascii="Times New Roman" w:hAnsi="Times New Roman" w:cs="Times New Roman"/>
                <w:sz w:val="22"/>
                <w:szCs w:val="22"/>
              </w:rPr>
            </w:pPr>
          </w:p>
        </w:tc>
        <w:tc>
          <w:tcPr>
            <w:tcW w:w="0" w:type="auto"/>
            <w:vAlign w:val="center"/>
            <w:hideMark/>
          </w:tcPr>
          <w:p w14:paraId="3B733E58" w14:textId="77777777" w:rsidR="00812C67" w:rsidRPr="00A85D2D" w:rsidRDefault="00812C67" w:rsidP="004B6753">
            <w:pPr>
              <w:pStyle w:val="NoSpacing"/>
              <w:jc w:val="center"/>
              <w:rPr>
                <w:rFonts w:ascii="Times New Roman" w:hAnsi="Times New Roman" w:cs="Times New Roman"/>
                <w:sz w:val="22"/>
                <w:szCs w:val="22"/>
              </w:rPr>
            </w:pPr>
            <w:r w:rsidRPr="00A85D2D">
              <w:rPr>
                <w:rFonts w:ascii="Times New Roman" w:hAnsi="Times New Roman" w:cs="Times New Roman"/>
                <w:i/>
                <w:iCs/>
                <w:sz w:val="22"/>
                <w:szCs w:val="22"/>
              </w:rPr>
              <w:t>(6.34)</w:t>
            </w:r>
          </w:p>
        </w:tc>
        <w:tc>
          <w:tcPr>
            <w:tcW w:w="0" w:type="auto"/>
            <w:vAlign w:val="center"/>
            <w:hideMark/>
          </w:tcPr>
          <w:p w14:paraId="4F2B7E46" w14:textId="77777777" w:rsidR="00812C67" w:rsidRPr="00A85D2D" w:rsidRDefault="00812C67" w:rsidP="004B6753">
            <w:pPr>
              <w:pStyle w:val="NoSpacing"/>
              <w:jc w:val="center"/>
              <w:rPr>
                <w:rFonts w:ascii="Times New Roman" w:hAnsi="Times New Roman" w:cs="Times New Roman"/>
                <w:sz w:val="22"/>
                <w:szCs w:val="22"/>
              </w:rPr>
            </w:pPr>
            <w:r w:rsidRPr="00A85D2D">
              <w:rPr>
                <w:rFonts w:ascii="Times New Roman" w:hAnsi="Times New Roman" w:cs="Times New Roman"/>
                <w:i/>
                <w:iCs/>
                <w:sz w:val="22"/>
                <w:szCs w:val="22"/>
              </w:rPr>
              <w:t>(9.11)</w:t>
            </w:r>
          </w:p>
        </w:tc>
        <w:tc>
          <w:tcPr>
            <w:tcW w:w="0" w:type="auto"/>
            <w:vAlign w:val="center"/>
            <w:hideMark/>
          </w:tcPr>
          <w:p w14:paraId="52982822" w14:textId="77777777" w:rsidR="00812C67" w:rsidRPr="00A85D2D" w:rsidRDefault="00812C67" w:rsidP="004B6753">
            <w:pPr>
              <w:pStyle w:val="NoSpacing"/>
              <w:jc w:val="center"/>
              <w:rPr>
                <w:rFonts w:ascii="Times New Roman" w:hAnsi="Times New Roman" w:cs="Times New Roman"/>
                <w:sz w:val="22"/>
                <w:szCs w:val="22"/>
              </w:rPr>
            </w:pPr>
            <w:r w:rsidRPr="00A85D2D">
              <w:rPr>
                <w:rFonts w:ascii="Times New Roman" w:hAnsi="Times New Roman" w:cs="Times New Roman"/>
                <w:i/>
                <w:iCs/>
                <w:sz w:val="22"/>
                <w:szCs w:val="22"/>
              </w:rPr>
              <w:t>(4.13)</w:t>
            </w:r>
          </w:p>
        </w:tc>
        <w:tc>
          <w:tcPr>
            <w:tcW w:w="0" w:type="auto"/>
            <w:vAlign w:val="center"/>
            <w:hideMark/>
          </w:tcPr>
          <w:p w14:paraId="32487EFD" w14:textId="77777777" w:rsidR="00812C67" w:rsidRPr="00A85D2D" w:rsidRDefault="00812C67" w:rsidP="004B6753">
            <w:pPr>
              <w:pStyle w:val="NoSpacing"/>
              <w:jc w:val="center"/>
              <w:rPr>
                <w:rFonts w:ascii="Times New Roman" w:hAnsi="Times New Roman" w:cs="Times New Roman"/>
                <w:sz w:val="22"/>
                <w:szCs w:val="22"/>
              </w:rPr>
            </w:pPr>
            <w:r w:rsidRPr="00A85D2D">
              <w:rPr>
                <w:rFonts w:ascii="Times New Roman" w:hAnsi="Times New Roman" w:cs="Times New Roman"/>
                <w:i/>
                <w:iCs/>
                <w:sz w:val="22"/>
                <w:szCs w:val="22"/>
              </w:rPr>
              <w:t>(8.74)</w:t>
            </w:r>
          </w:p>
        </w:tc>
        <w:tc>
          <w:tcPr>
            <w:tcW w:w="0" w:type="auto"/>
            <w:vAlign w:val="center"/>
            <w:hideMark/>
          </w:tcPr>
          <w:p w14:paraId="223C7333" w14:textId="77777777" w:rsidR="00812C67" w:rsidRPr="00A85D2D" w:rsidRDefault="00812C67" w:rsidP="004B6753">
            <w:pPr>
              <w:pStyle w:val="NoSpacing"/>
              <w:jc w:val="center"/>
              <w:rPr>
                <w:rFonts w:ascii="Times New Roman" w:hAnsi="Times New Roman" w:cs="Times New Roman"/>
                <w:sz w:val="22"/>
                <w:szCs w:val="22"/>
              </w:rPr>
            </w:pPr>
            <w:r w:rsidRPr="00A85D2D">
              <w:rPr>
                <w:rFonts w:ascii="Times New Roman" w:hAnsi="Times New Roman" w:cs="Times New Roman"/>
                <w:i/>
                <w:iCs/>
                <w:sz w:val="22"/>
                <w:szCs w:val="22"/>
              </w:rPr>
              <w:t>(2.37)</w:t>
            </w:r>
          </w:p>
        </w:tc>
        <w:tc>
          <w:tcPr>
            <w:tcW w:w="0" w:type="auto"/>
            <w:vAlign w:val="center"/>
            <w:hideMark/>
          </w:tcPr>
          <w:p w14:paraId="041C235A" w14:textId="77777777" w:rsidR="00812C67" w:rsidRPr="00A85D2D" w:rsidRDefault="00812C67" w:rsidP="004B6753">
            <w:pPr>
              <w:pStyle w:val="NoSpacing"/>
              <w:jc w:val="center"/>
              <w:rPr>
                <w:rFonts w:ascii="Times New Roman" w:hAnsi="Times New Roman" w:cs="Times New Roman"/>
                <w:sz w:val="22"/>
                <w:szCs w:val="22"/>
              </w:rPr>
            </w:pPr>
            <w:r w:rsidRPr="00A85D2D">
              <w:rPr>
                <w:rFonts w:ascii="Times New Roman" w:hAnsi="Times New Roman" w:cs="Times New Roman"/>
                <w:i/>
                <w:iCs/>
                <w:sz w:val="22"/>
                <w:szCs w:val="22"/>
              </w:rPr>
              <w:t>(20.79)</w:t>
            </w:r>
          </w:p>
        </w:tc>
        <w:tc>
          <w:tcPr>
            <w:tcW w:w="0" w:type="auto"/>
            <w:vAlign w:val="center"/>
            <w:hideMark/>
          </w:tcPr>
          <w:p w14:paraId="4684F389" w14:textId="77777777" w:rsidR="00812C67" w:rsidRPr="00A85D2D" w:rsidRDefault="00812C67" w:rsidP="004B6753">
            <w:pPr>
              <w:pStyle w:val="NoSpacing"/>
              <w:jc w:val="center"/>
              <w:rPr>
                <w:rFonts w:ascii="Times New Roman" w:hAnsi="Times New Roman" w:cs="Times New Roman"/>
                <w:sz w:val="22"/>
                <w:szCs w:val="22"/>
              </w:rPr>
            </w:pPr>
            <w:r w:rsidRPr="00A85D2D">
              <w:rPr>
                <w:rFonts w:ascii="Times New Roman" w:hAnsi="Times New Roman" w:cs="Times New Roman"/>
                <w:i/>
                <w:iCs/>
                <w:sz w:val="22"/>
                <w:szCs w:val="22"/>
              </w:rPr>
              <w:t>(7.03)</w:t>
            </w:r>
          </w:p>
        </w:tc>
        <w:tc>
          <w:tcPr>
            <w:tcW w:w="0" w:type="auto"/>
            <w:vAlign w:val="center"/>
            <w:hideMark/>
          </w:tcPr>
          <w:p w14:paraId="757F9F51" w14:textId="77777777" w:rsidR="00812C67" w:rsidRPr="00A85D2D" w:rsidRDefault="00812C67" w:rsidP="004B6753">
            <w:pPr>
              <w:pStyle w:val="NoSpacing"/>
              <w:jc w:val="center"/>
              <w:rPr>
                <w:rFonts w:ascii="Times New Roman" w:hAnsi="Times New Roman" w:cs="Times New Roman"/>
                <w:sz w:val="22"/>
                <w:szCs w:val="22"/>
              </w:rPr>
            </w:pPr>
            <w:r w:rsidRPr="00A85D2D">
              <w:rPr>
                <w:rFonts w:ascii="Times New Roman" w:hAnsi="Times New Roman" w:cs="Times New Roman"/>
                <w:i/>
                <w:iCs/>
                <w:sz w:val="22"/>
                <w:szCs w:val="22"/>
              </w:rPr>
              <w:t>(2.95)</w:t>
            </w:r>
          </w:p>
        </w:tc>
        <w:tc>
          <w:tcPr>
            <w:tcW w:w="0" w:type="auto"/>
            <w:vAlign w:val="center"/>
            <w:hideMark/>
          </w:tcPr>
          <w:p w14:paraId="3C0FCA61" w14:textId="77777777" w:rsidR="00812C67" w:rsidRPr="00A85D2D" w:rsidRDefault="00812C67" w:rsidP="004B6753">
            <w:pPr>
              <w:pStyle w:val="NoSpacing"/>
              <w:jc w:val="center"/>
              <w:rPr>
                <w:rFonts w:ascii="Times New Roman" w:hAnsi="Times New Roman" w:cs="Times New Roman"/>
                <w:sz w:val="22"/>
                <w:szCs w:val="22"/>
              </w:rPr>
            </w:pPr>
            <w:r w:rsidRPr="00A85D2D">
              <w:rPr>
                <w:rFonts w:ascii="Times New Roman" w:hAnsi="Times New Roman" w:cs="Times New Roman"/>
                <w:i/>
                <w:iCs/>
                <w:sz w:val="22"/>
                <w:szCs w:val="22"/>
              </w:rPr>
              <w:t>(5.61)</w:t>
            </w:r>
          </w:p>
        </w:tc>
        <w:tc>
          <w:tcPr>
            <w:tcW w:w="0" w:type="auto"/>
            <w:vAlign w:val="center"/>
            <w:hideMark/>
          </w:tcPr>
          <w:p w14:paraId="44D3D111" w14:textId="77777777" w:rsidR="00812C67" w:rsidRPr="00A85D2D" w:rsidRDefault="00812C67" w:rsidP="004B6753">
            <w:pPr>
              <w:pStyle w:val="NoSpacing"/>
              <w:jc w:val="center"/>
              <w:rPr>
                <w:rFonts w:ascii="Times New Roman" w:hAnsi="Times New Roman" w:cs="Times New Roman"/>
                <w:sz w:val="22"/>
                <w:szCs w:val="22"/>
              </w:rPr>
            </w:pPr>
            <w:r w:rsidRPr="00A85D2D">
              <w:rPr>
                <w:rFonts w:ascii="Times New Roman" w:hAnsi="Times New Roman" w:cs="Times New Roman"/>
                <w:i/>
                <w:iCs/>
                <w:sz w:val="22"/>
                <w:szCs w:val="22"/>
              </w:rPr>
              <w:t>(32.93)</w:t>
            </w:r>
          </w:p>
        </w:tc>
        <w:tc>
          <w:tcPr>
            <w:tcW w:w="0" w:type="auto"/>
            <w:vAlign w:val="center"/>
            <w:hideMark/>
          </w:tcPr>
          <w:p w14:paraId="0D084D40" w14:textId="77777777" w:rsidR="00812C67" w:rsidRPr="00A85D2D" w:rsidRDefault="00812C67" w:rsidP="004B6753">
            <w:pPr>
              <w:pStyle w:val="NoSpacing"/>
              <w:jc w:val="center"/>
              <w:rPr>
                <w:rFonts w:ascii="Times New Roman" w:hAnsi="Times New Roman" w:cs="Times New Roman"/>
                <w:sz w:val="22"/>
                <w:szCs w:val="22"/>
              </w:rPr>
            </w:pPr>
            <w:r w:rsidRPr="00A85D2D">
              <w:rPr>
                <w:rFonts w:ascii="Times New Roman" w:hAnsi="Times New Roman" w:cs="Times New Roman"/>
                <w:i/>
                <w:iCs/>
                <w:sz w:val="22"/>
                <w:szCs w:val="22"/>
              </w:rPr>
              <w:t>(100.00)</w:t>
            </w:r>
          </w:p>
        </w:tc>
      </w:tr>
      <w:tr w:rsidR="00416FA8" w:rsidRPr="00A85D2D" w14:paraId="7337F389" w14:textId="77777777" w:rsidTr="004B6753">
        <w:tc>
          <w:tcPr>
            <w:tcW w:w="0" w:type="auto"/>
            <w:hideMark/>
          </w:tcPr>
          <w:p w14:paraId="0F75D570" w14:textId="77777777" w:rsidR="00416FA8" w:rsidRPr="00A85D2D" w:rsidRDefault="00416FA8" w:rsidP="00B77C0B">
            <w:pPr>
              <w:pStyle w:val="NoSpacing"/>
              <w:rPr>
                <w:rFonts w:ascii="Times New Roman" w:hAnsi="Times New Roman" w:cs="Times New Roman"/>
                <w:sz w:val="22"/>
                <w:szCs w:val="22"/>
              </w:rPr>
            </w:pPr>
            <w:r w:rsidRPr="00A85D2D">
              <w:rPr>
                <w:rFonts w:ascii="Times New Roman" w:hAnsi="Times New Roman" w:cs="Times New Roman"/>
                <w:sz w:val="22"/>
                <w:szCs w:val="22"/>
              </w:rPr>
              <w:t>1965-66</w:t>
            </w:r>
          </w:p>
        </w:tc>
        <w:tc>
          <w:tcPr>
            <w:tcW w:w="0" w:type="auto"/>
            <w:vAlign w:val="center"/>
            <w:hideMark/>
          </w:tcPr>
          <w:p w14:paraId="3689DB11" w14:textId="77777777" w:rsidR="00416FA8" w:rsidRPr="00A85D2D" w:rsidRDefault="00416FA8" w:rsidP="004B6753">
            <w:pPr>
              <w:pStyle w:val="NoSpacing"/>
              <w:jc w:val="center"/>
              <w:rPr>
                <w:rFonts w:ascii="Times New Roman" w:hAnsi="Times New Roman" w:cs="Times New Roman"/>
                <w:sz w:val="22"/>
                <w:szCs w:val="22"/>
              </w:rPr>
            </w:pPr>
            <w:r w:rsidRPr="00A85D2D">
              <w:rPr>
                <w:rFonts w:ascii="Times New Roman" w:hAnsi="Times New Roman" w:cs="Times New Roman"/>
                <w:sz w:val="22"/>
                <w:szCs w:val="22"/>
              </w:rPr>
              <w:t>6.61</w:t>
            </w:r>
          </w:p>
        </w:tc>
        <w:tc>
          <w:tcPr>
            <w:tcW w:w="0" w:type="auto"/>
            <w:vAlign w:val="center"/>
            <w:hideMark/>
          </w:tcPr>
          <w:p w14:paraId="61A5E98D" w14:textId="77777777" w:rsidR="00416FA8" w:rsidRPr="00A85D2D" w:rsidRDefault="00416FA8" w:rsidP="004B6753">
            <w:pPr>
              <w:pStyle w:val="NoSpacing"/>
              <w:jc w:val="center"/>
              <w:rPr>
                <w:rFonts w:ascii="Times New Roman" w:hAnsi="Times New Roman" w:cs="Times New Roman"/>
                <w:sz w:val="22"/>
                <w:szCs w:val="22"/>
              </w:rPr>
            </w:pPr>
            <w:r w:rsidRPr="00A85D2D">
              <w:rPr>
                <w:rFonts w:ascii="Times New Roman" w:hAnsi="Times New Roman" w:cs="Times New Roman"/>
                <w:sz w:val="22"/>
                <w:szCs w:val="22"/>
              </w:rPr>
              <w:t>22.18</w:t>
            </w:r>
          </w:p>
        </w:tc>
        <w:tc>
          <w:tcPr>
            <w:tcW w:w="0" w:type="auto"/>
            <w:vAlign w:val="center"/>
            <w:hideMark/>
          </w:tcPr>
          <w:p w14:paraId="34FD9FEA" w14:textId="77777777" w:rsidR="00416FA8" w:rsidRPr="00A85D2D" w:rsidRDefault="00416FA8" w:rsidP="004B6753">
            <w:pPr>
              <w:pStyle w:val="NoSpacing"/>
              <w:jc w:val="center"/>
              <w:rPr>
                <w:rFonts w:ascii="Times New Roman" w:hAnsi="Times New Roman" w:cs="Times New Roman"/>
                <w:sz w:val="22"/>
                <w:szCs w:val="22"/>
              </w:rPr>
            </w:pPr>
            <w:r w:rsidRPr="00A85D2D">
              <w:rPr>
                <w:rFonts w:ascii="Times New Roman" w:hAnsi="Times New Roman" w:cs="Times New Roman"/>
                <w:sz w:val="22"/>
                <w:szCs w:val="22"/>
              </w:rPr>
              <w:t>4.50</w:t>
            </w:r>
          </w:p>
        </w:tc>
        <w:tc>
          <w:tcPr>
            <w:tcW w:w="0" w:type="auto"/>
            <w:vAlign w:val="center"/>
            <w:hideMark/>
          </w:tcPr>
          <w:p w14:paraId="00EC97BF" w14:textId="77777777" w:rsidR="00416FA8" w:rsidRPr="00A85D2D" w:rsidRDefault="00416FA8" w:rsidP="004B6753">
            <w:pPr>
              <w:pStyle w:val="NoSpacing"/>
              <w:jc w:val="center"/>
              <w:rPr>
                <w:rFonts w:ascii="Times New Roman" w:hAnsi="Times New Roman" w:cs="Times New Roman"/>
                <w:sz w:val="22"/>
                <w:szCs w:val="22"/>
              </w:rPr>
            </w:pPr>
            <w:r w:rsidRPr="00A85D2D">
              <w:rPr>
                <w:rFonts w:ascii="Times New Roman" w:hAnsi="Times New Roman" w:cs="Times New Roman"/>
                <w:sz w:val="22"/>
                <w:szCs w:val="22"/>
              </w:rPr>
              <w:t>13.41</w:t>
            </w:r>
          </w:p>
        </w:tc>
        <w:tc>
          <w:tcPr>
            <w:tcW w:w="0" w:type="auto"/>
            <w:vAlign w:val="center"/>
            <w:hideMark/>
          </w:tcPr>
          <w:p w14:paraId="0F8635A9" w14:textId="77777777" w:rsidR="00416FA8" w:rsidRPr="00A85D2D" w:rsidRDefault="00416FA8" w:rsidP="004B6753">
            <w:pPr>
              <w:pStyle w:val="NoSpacing"/>
              <w:jc w:val="center"/>
              <w:rPr>
                <w:rFonts w:ascii="Times New Roman" w:hAnsi="Times New Roman" w:cs="Times New Roman"/>
                <w:sz w:val="22"/>
                <w:szCs w:val="22"/>
              </w:rPr>
            </w:pPr>
            <w:r w:rsidRPr="00A85D2D">
              <w:rPr>
                <w:rFonts w:ascii="Times New Roman" w:hAnsi="Times New Roman" w:cs="Times New Roman"/>
                <w:sz w:val="22"/>
                <w:szCs w:val="22"/>
              </w:rPr>
              <w:t>7.52</w:t>
            </w:r>
          </w:p>
        </w:tc>
        <w:tc>
          <w:tcPr>
            <w:tcW w:w="0" w:type="auto"/>
            <w:vAlign w:val="center"/>
            <w:hideMark/>
          </w:tcPr>
          <w:p w14:paraId="2AC53B83" w14:textId="77777777" w:rsidR="00416FA8" w:rsidRPr="00A85D2D" w:rsidRDefault="00416FA8" w:rsidP="004B6753">
            <w:pPr>
              <w:pStyle w:val="NoSpacing"/>
              <w:jc w:val="center"/>
              <w:rPr>
                <w:rFonts w:ascii="Times New Roman" w:hAnsi="Times New Roman" w:cs="Times New Roman"/>
                <w:sz w:val="22"/>
                <w:szCs w:val="22"/>
              </w:rPr>
            </w:pPr>
            <w:r w:rsidRPr="00A85D2D">
              <w:rPr>
                <w:rFonts w:ascii="Times New Roman" w:hAnsi="Times New Roman" w:cs="Times New Roman"/>
                <w:sz w:val="22"/>
                <w:szCs w:val="22"/>
              </w:rPr>
              <w:t>30.58</w:t>
            </w:r>
          </w:p>
        </w:tc>
        <w:tc>
          <w:tcPr>
            <w:tcW w:w="0" w:type="auto"/>
            <w:vAlign w:val="center"/>
            <w:hideMark/>
          </w:tcPr>
          <w:p w14:paraId="6B88C886" w14:textId="77777777" w:rsidR="00416FA8" w:rsidRPr="00A85D2D" w:rsidRDefault="00416FA8" w:rsidP="004B6753">
            <w:pPr>
              <w:pStyle w:val="NoSpacing"/>
              <w:jc w:val="center"/>
              <w:rPr>
                <w:rFonts w:ascii="Times New Roman" w:hAnsi="Times New Roman" w:cs="Times New Roman"/>
                <w:sz w:val="22"/>
                <w:szCs w:val="22"/>
              </w:rPr>
            </w:pPr>
            <w:r w:rsidRPr="00A85D2D">
              <w:rPr>
                <w:rFonts w:ascii="Times New Roman" w:hAnsi="Times New Roman" w:cs="Times New Roman"/>
                <w:sz w:val="22"/>
                <w:szCs w:val="22"/>
              </w:rPr>
              <w:t>11.24</w:t>
            </w:r>
          </w:p>
        </w:tc>
        <w:tc>
          <w:tcPr>
            <w:tcW w:w="0" w:type="auto"/>
            <w:vAlign w:val="center"/>
            <w:hideMark/>
          </w:tcPr>
          <w:p w14:paraId="79819A26" w14:textId="77777777" w:rsidR="00416FA8" w:rsidRPr="00A85D2D" w:rsidRDefault="00416FA8" w:rsidP="004B6753">
            <w:pPr>
              <w:pStyle w:val="NoSpacing"/>
              <w:jc w:val="center"/>
              <w:rPr>
                <w:rFonts w:ascii="Times New Roman" w:hAnsi="Times New Roman" w:cs="Times New Roman"/>
                <w:sz w:val="22"/>
                <w:szCs w:val="22"/>
              </w:rPr>
            </w:pPr>
            <w:r w:rsidRPr="00A85D2D">
              <w:rPr>
                <w:rFonts w:ascii="Times New Roman" w:hAnsi="Times New Roman" w:cs="Times New Roman"/>
                <w:sz w:val="22"/>
                <w:szCs w:val="22"/>
              </w:rPr>
              <w:t>3.51</w:t>
            </w:r>
          </w:p>
        </w:tc>
        <w:tc>
          <w:tcPr>
            <w:tcW w:w="0" w:type="auto"/>
            <w:vAlign w:val="center"/>
            <w:hideMark/>
          </w:tcPr>
          <w:p w14:paraId="7C03A7C0" w14:textId="77777777" w:rsidR="00416FA8" w:rsidRPr="00A85D2D" w:rsidRDefault="00416FA8" w:rsidP="004B6753">
            <w:pPr>
              <w:pStyle w:val="NoSpacing"/>
              <w:jc w:val="center"/>
              <w:rPr>
                <w:rFonts w:ascii="Times New Roman" w:hAnsi="Times New Roman" w:cs="Times New Roman"/>
                <w:sz w:val="22"/>
                <w:szCs w:val="22"/>
              </w:rPr>
            </w:pPr>
            <w:r w:rsidRPr="00A85D2D">
              <w:rPr>
                <w:rFonts w:ascii="Times New Roman" w:hAnsi="Times New Roman" w:cs="Times New Roman"/>
                <w:sz w:val="22"/>
                <w:szCs w:val="22"/>
              </w:rPr>
              <w:t>14.01</w:t>
            </w:r>
          </w:p>
        </w:tc>
        <w:tc>
          <w:tcPr>
            <w:tcW w:w="0" w:type="auto"/>
            <w:vAlign w:val="center"/>
            <w:hideMark/>
          </w:tcPr>
          <w:p w14:paraId="33476C02" w14:textId="77777777" w:rsidR="00416FA8" w:rsidRPr="00A85D2D" w:rsidRDefault="00416FA8" w:rsidP="004B6753">
            <w:pPr>
              <w:pStyle w:val="NoSpacing"/>
              <w:jc w:val="center"/>
              <w:rPr>
                <w:rFonts w:ascii="Times New Roman" w:hAnsi="Times New Roman" w:cs="Times New Roman"/>
                <w:sz w:val="22"/>
                <w:szCs w:val="22"/>
              </w:rPr>
            </w:pPr>
            <w:r w:rsidRPr="00A85D2D">
              <w:rPr>
                <w:rFonts w:ascii="Times New Roman" w:hAnsi="Times New Roman" w:cs="Times New Roman"/>
                <w:sz w:val="22"/>
                <w:szCs w:val="22"/>
              </w:rPr>
              <w:t>53.98</w:t>
            </w:r>
          </w:p>
        </w:tc>
        <w:tc>
          <w:tcPr>
            <w:tcW w:w="0" w:type="auto"/>
            <w:vAlign w:val="center"/>
            <w:hideMark/>
          </w:tcPr>
          <w:p w14:paraId="56075AEC" w14:textId="77777777" w:rsidR="00416FA8" w:rsidRPr="00A85D2D" w:rsidRDefault="00416FA8" w:rsidP="004B6753">
            <w:pPr>
              <w:pStyle w:val="NoSpacing"/>
              <w:jc w:val="center"/>
              <w:rPr>
                <w:rFonts w:ascii="Times New Roman" w:hAnsi="Times New Roman" w:cs="Times New Roman"/>
                <w:sz w:val="22"/>
                <w:szCs w:val="22"/>
              </w:rPr>
            </w:pPr>
            <w:r w:rsidRPr="00A85D2D">
              <w:rPr>
                <w:rFonts w:ascii="Times New Roman" w:hAnsi="Times New Roman" w:cs="Times New Roman"/>
                <w:sz w:val="22"/>
                <w:szCs w:val="22"/>
              </w:rPr>
              <w:t>167.54</w:t>
            </w:r>
          </w:p>
        </w:tc>
      </w:tr>
      <w:tr w:rsidR="00416FA8" w:rsidRPr="00A85D2D" w14:paraId="03AE22CB" w14:textId="77777777" w:rsidTr="004B6753">
        <w:tc>
          <w:tcPr>
            <w:tcW w:w="0" w:type="auto"/>
            <w:hideMark/>
          </w:tcPr>
          <w:p w14:paraId="4486CCE0" w14:textId="77777777" w:rsidR="00416FA8" w:rsidRPr="00A85D2D" w:rsidRDefault="00416FA8" w:rsidP="00B77C0B">
            <w:pPr>
              <w:pStyle w:val="NoSpacing"/>
              <w:rPr>
                <w:rFonts w:ascii="Times New Roman" w:hAnsi="Times New Roman" w:cs="Times New Roman"/>
                <w:sz w:val="22"/>
                <w:szCs w:val="22"/>
              </w:rPr>
            </w:pPr>
            <w:r w:rsidRPr="00A85D2D">
              <w:rPr>
                <w:rFonts w:ascii="Times New Roman" w:hAnsi="Times New Roman" w:cs="Times New Roman"/>
                <w:sz w:val="22"/>
                <w:szCs w:val="22"/>
              </w:rPr>
              <w:t>1966-67</w:t>
            </w:r>
          </w:p>
        </w:tc>
        <w:tc>
          <w:tcPr>
            <w:tcW w:w="0" w:type="auto"/>
            <w:vAlign w:val="center"/>
            <w:hideMark/>
          </w:tcPr>
          <w:p w14:paraId="026E7BD4" w14:textId="77777777" w:rsidR="00416FA8" w:rsidRPr="00A85D2D" w:rsidRDefault="00416FA8" w:rsidP="004B6753">
            <w:pPr>
              <w:pStyle w:val="NoSpacing"/>
              <w:jc w:val="center"/>
              <w:rPr>
                <w:rFonts w:ascii="Times New Roman" w:hAnsi="Times New Roman" w:cs="Times New Roman"/>
                <w:sz w:val="22"/>
                <w:szCs w:val="22"/>
              </w:rPr>
            </w:pPr>
            <w:r w:rsidRPr="00A85D2D">
              <w:rPr>
                <w:rFonts w:ascii="Times New Roman" w:hAnsi="Times New Roman" w:cs="Times New Roman"/>
                <w:sz w:val="22"/>
                <w:szCs w:val="22"/>
              </w:rPr>
              <w:t>6.80</w:t>
            </w:r>
          </w:p>
        </w:tc>
        <w:tc>
          <w:tcPr>
            <w:tcW w:w="0" w:type="auto"/>
            <w:vAlign w:val="center"/>
            <w:hideMark/>
          </w:tcPr>
          <w:p w14:paraId="63912E4F" w14:textId="77777777" w:rsidR="00416FA8" w:rsidRPr="00A85D2D" w:rsidRDefault="00416FA8" w:rsidP="004B6753">
            <w:pPr>
              <w:pStyle w:val="NoSpacing"/>
              <w:jc w:val="center"/>
              <w:rPr>
                <w:rFonts w:ascii="Times New Roman" w:hAnsi="Times New Roman" w:cs="Times New Roman"/>
                <w:sz w:val="22"/>
                <w:szCs w:val="22"/>
              </w:rPr>
            </w:pPr>
            <w:r w:rsidRPr="00A85D2D">
              <w:rPr>
                <w:rFonts w:ascii="Times New Roman" w:hAnsi="Times New Roman" w:cs="Times New Roman"/>
                <w:sz w:val="22"/>
                <w:szCs w:val="22"/>
              </w:rPr>
              <w:t>25.49</w:t>
            </w:r>
          </w:p>
        </w:tc>
        <w:tc>
          <w:tcPr>
            <w:tcW w:w="0" w:type="auto"/>
            <w:vAlign w:val="center"/>
            <w:hideMark/>
          </w:tcPr>
          <w:p w14:paraId="53AA72AE" w14:textId="77777777" w:rsidR="00416FA8" w:rsidRPr="00A85D2D" w:rsidRDefault="00416FA8" w:rsidP="004B6753">
            <w:pPr>
              <w:pStyle w:val="NoSpacing"/>
              <w:jc w:val="center"/>
              <w:rPr>
                <w:rFonts w:ascii="Times New Roman" w:hAnsi="Times New Roman" w:cs="Times New Roman"/>
                <w:sz w:val="22"/>
                <w:szCs w:val="22"/>
              </w:rPr>
            </w:pPr>
            <w:r w:rsidRPr="00A85D2D">
              <w:rPr>
                <w:rFonts w:ascii="Times New Roman" w:hAnsi="Times New Roman" w:cs="Times New Roman"/>
                <w:sz w:val="22"/>
                <w:szCs w:val="22"/>
              </w:rPr>
              <w:t>5.28</w:t>
            </w:r>
          </w:p>
        </w:tc>
        <w:tc>
          <w:tcPr>
            <w:tcW w:w="0" w:type="auto"/>
            <w:vAlign w:val="center"/>
            <w:hideMark/>
          </w:tcPr>
          <w:p w14:paraId="4CFE4FDB" w14:textId="77777777" w:rsidR="00416FA8" w:rsidRPr="00A85D2D" w:rsidRDefault="00416FA8" w:rsidP="004B6753">
            <w:pPr>
              <w:pStyle w:val="NoSpacing"/>
              <w:jc w:val="center"/>
              <w:rPr>
                <w:rFonts w:ascii="Times New Roman" w:hAnsi="Times New Roman" w:cs="Times New Roman"/>
                <w:sz w:val="22"/>
                <w:szCs w:val="22"/>
              </w:rPr>
            </w:pPr>
            <w:r w:rsidRPr="00A85D2D">
              <w:rPr>
                <w:rFonts w:ascii="Times New Roman" w:hAnsi="Times New Roman" w:cs="Times New Roman"/>
                <w:sz w:val="22"/>
                <w:szCs w:val="22"/>
              </w:rPr>
              <w:t>13.48</w:t>
            </w:r>
          </w:p>
        </w:tc>
        <w:tc>
          <w:tcPr>
            <w:tcW w:w="0" w:type="auto"/>
            <w:vAlign w:val="center"/>
            <w:hideMark/>
          </w:tcPr>
          <w:p w14:paraId="534A6BCF" w14:textId="77777777" w:rsidR="00416FA8" w:rsidRPr="00A85D2D" w:rsidRDefault="00416FA8" w:rsidP="004B6753">
            <w:pPr>
              <w:pStyle w:val="NoSpacing"/>
              <w:jc w:val="center"/>
              <w:rPr>
                <w:rFonts w:ascii="Times New Roman" w:hAnsi="Times New Roman" w:cs="Times New Roman"/>
                <w:sz w:val="22"/>
                <w:szCs w:val="22"/>
              </w:rPr>
            </w:pPr>
            <w:r w:rsidRPr="00A85D2D">
              <w:rPr>
                <w:rFonts w:ascii="Times New Roman" w:hAnsi="Times New Roman" w:cs="Times New Roman"/>
                <w:sz w:val="22"/>
                <w:szCs w:val="22"/>
              </w:rPr>
              <w:t>9.38</w:t>
            </w:r>
          </w:p>
        </w:tc>
        <w:tc>
          <w:tcPr>
            <w:tcW w:w="0" w:type="auto"/>
            <w:vAlign w:val="center"/>
            <w:hideMark/>
          </w:tcPr>
          <w:p w14:paraId="6916C993" w14:textId="77777777" w:rsidR="00416FA8" w:rsidRPr="00A85D2D" w:rsidRDefault="00416FA8" w:rsidP="004B6753">
            <w:pPr>
              <w:pStyle w:val="NoSpacing"/>
              <w:jc w:val="center"/>
              <w:rPr>
                <w:rFonts w:ascii="Times New Roman" w:hAnsi="Times New Roman" w:cs="Times New Roman"/>
                <w:sz w:val="22"/>
                <w:szCs w:val="22"/>
              </w:rPr>
            </w:pPr>
            <w:r w:rsidRPr="00A85D2D">
              <w:rPr>
                <w:rFonts w:ascii="Times New Roman" w:hAnsi="Times New Roman" w:cs="Times New Roman"/>
                <w:sz w:val="22"/>
                <w:szCs w:val="22"/>
              </w:rPr>
              <w:t>36.94</w:t>
            </w:r>
          </w:p>
        </w:tc>
        <w:tc>
          <w:tcPr>
            <w:tcW w:w="0" w:type="auto"/>
            <w:vAlign w:val="center"/>
            <w:hideMark/>
          </w:tcPr>
          <w:p w14:paraId="2A400364" w14:textId="77777777" w:rsidR="00416FA8" w:rsidRPr="00A85D2D" w:rsidRDefault="00416FA8" w:rsidP="004B6753">
            <w:pPr>
              <w:pStyle w:val="NoSpacing"/>
              <w:jc w:val="center"/>
              <w:rPr>
                <w:rFonts w:ascii="Times New Roman" w:hAnsi="Times New Roman" w:cs="Times New Roman"/>
                <w:sz w:val="22"/>
                <w:szCs w:val="22"/>
              </w:rPr>
            </w:pPr>
            <w:r w:rsidRPr="00A85D2D">
              <w:rPr>
                <w:rFonts w:ascii="Times New Roman" w:hAnsi="Times New Roman" w:cs="Times New Roman"/>
                <w:sz w:val="22"/>
                <w:szCs w:val="22"/>
              </w:rPr>
              <w:t>12.59</w:t>
            </w:r>
          </w:p>
        </w:tc>
        <w:tc>
          <w:tcPr>
            <w:tcW w:w="0" w:type="auto"/>
            <w:vAlign w:val="center"/>
            <w:hideMark/>
          </w:tcPr>
          <w:p w14:paraId="74CED7E2" w14:textId="77777777" w:rsidR="00416FA8" w:rsidRPr="00A85D2D" w:rsidRDefault="00416FA8" w:rsidP="004B6753">
            <w:pPr>
              <w:pStyle w:val="NoSpacing"/>
              <w:jc w:val="center"/>
              <w:rPr>
                <w:rFonts w:ascii="Times New Roman" w:hAnsi="Times New Roman" w:cs="Times New Roman"/>
                <w:sz w:val="22"/>
                <w:szCs w:val="22"/>
              </w:rPr>
            </w:pPr>
            <w:r w:rsidRPr="00A85D2D">
              <w:rPr>
                <w:rFonts w:ascii="Times New Roman" w:hAnsi="Times New Roman" w:cs="Times New Roman"/>
                <w:sz w:val="22"/>
                <w:szCs w:val="22"/>
              </w:rPr>
              <w:t>4.41</w:t>
            </w:r>
          </w:p>
        </w:tc>
        <w:tc>
          <w:tcPr>
            <w:tcW w:w="0" w:type="auto"/>
            <w:vAlign w:val="center"/>
            <w:hideMark/>
          </w:tcPr>
          <w:p w14:paraId="3E3D0106" w14:textId="77777777" w:rsidR="00416FA8" w:rsidRPr="00A85D2D" w:rsidRDefault="00416FA8" w:rsidP="004B6753">
            <w:pPr>
              <w:pStyle w:val="NoSpacing"/>
              <w:jc w:val="center"/>
              <w:rPr>
                <w:rFonts w:ascii="Times New Roman" w:hAnsi="Times New Roman" w:cs="Times New Roman"/>
                <w:sz w:val="22"/>
                <w:szCs w:val="22"/>
              </w:rPr>
            </w:pPr>
            <w:r w:rsidRPr="00A85D2D">
              <w:rPr>
                <w:rFonts w:ascii="Times New Roman" w:hAnsi="Times New Roman" w:cs="Times New Roman"/>
                <w:sz w:val="22"/>
                <w:szCs w:val="22"/>
              </w:rPr>
              <w:t>14.41</w:t>
            </w:r>
          </w:p>
        </w:tc>
        <w:tc>
          <w:tcPr>
            <w:tcW w:w="0" w:type="auto"/>
            <w:vAlign w:val="center"/>
            <w:hideMark/>
          </w:tcPr>
          <w:p w14:paraId="455D09D6" w14:textId="77777777" w:rsidR="00416FA8" w:rsidRPr="00A85D2D" w:rsidRDefault="00416FA8" w:rsidP="004B6753">
            <w:pPr>
              <w:pStyle w:val="NoSpacing"/>
              <w:jc w:val="center"/>
              <w:rPr>
                <w:rFonts w:ascii="Times New Roman" w:hAnsi="Times New Roman" w:cs="Times New Roman"/>
                <w:sz w:val="22"/>
                <w:szCs w:val="22"/>
              </w:rPr>
            </w:pPr>
            <w:r w:rsidRPr="00A85D2D">
              <w:rPr>
                <w:rFonts w:ascii="Times New Roman" w:hAnsi="Times New Roman" w:cs="Times New Roman"/>
                <w:sz w:val="22"/>
                <w:szCs w:val="22"/>
              </w:rPr>
              <w:t>59.89</w:t>
            </w:r>
          </w:p>
        </w:tc>
        <w:tc>
          <w:tcPr>
            <w:tcW w:w="0" w:type="auto"/>
            <w:vAlign w:val="center"/>
            <w:hideMark/>
          </w:tcPr>
          <w:p w14:paraId="1D4F3B99" w14:textId="77777777" w:rsidR="00416FA8" w:rsidRPr="00A85D2D" w:rsidRDefault="00416FA8" w:rsidP="004B6753">
            <w:pPr>
              <w:pStyle w:val="NoSpacing"/>
              <w:jc w:val="center"/>
              <w:rPr>
                <w:rFonts w:ascii="Times New Roman" w:hAnsi="Times New Roman" w:cs="Times New Roman"/>
                <w:sz w:val="22"/>
                <w:szCs w:val="22"/>
              </w:rPr>
            </w:pPr>
            <w:r w:rsidRPr="00A85D2D">
              <w:rPr>
                <w:rFonts w:ascii="Times New Roman" w:hAnsi="Times New Roman" w:cs="Times New Roman"/>
                <w:sz w:val="22"/>
                <w:szCs w:val="22"/>
              </w:rPr>
              <w:t>188.67</w:t>
            </w:r>
          </w:p>
        </w:tc>
      </w:tr>
      <w:tr w:rsidR="00416FA8" w:rsidRPr="00A85D2D" w14:paraId="4647EAD0" w14:textId="77777777" w:rsidTr="004B6753">
        <w:tc>
          <w:tcPr>
            <w:tcW w:w="0" w:type="auto"/>
            <w:hideMark/>
          </w:tcPr>
          <w:p w14:paraId="4A7980CA" w14:textId="77777777" w:rsidR="00416FA8" w:rsidRPr="00A85D2D" w:rsidRDefault="00416FA8" w:rsidP="00B77C0B">
            <w:pPr>
              <w:pStyle w:val="NoSpacing"/>
              <w:rPr>
                <w:rFonts w:ascii="Times New Roman" w:hAnsi="Times New Roman" w:cs="Times New Roman"/>
                <w:sz w:val="22"/>
                <w:szCs w:val="22"/>
              </w:rPr>
            </w:pPr>
            <w:r w:rsidRPr="00A85D2D">
              <w:rPr>
                <w:rFonts w:ascii="Times New Roman" w:hAnsi="Times New Roman" w:cs="Times New Roman"/>
                <w:sz w:val="22"/>
                <w:szCs w:val="22"/>
              </w:rPr>
              <w:t>1967-68</w:t>
            </w:r>
          </w:p>
        </w:tc>
        <w:tc>
          <w:tcPr>
            <w:tcW w:w="0" w:type="auto"/>
            <w:vAlign w:val="center"/>
            <w:hideMark/>
          </w:tcPr>
          <w:p w14:paraId="324EA451" w14:textId="77777777" w:rsidR="00416FA8" w:rsidRPr="00A85D2D" w:rsidRDefault="00416FA8" w:rsidP="004B6753">
            <w:pPr>
              <w:pStyle w:val="NoSpacing"/>
              <w:jc w:val="center"/>
              <w:rPr>
                <w:rFonts w:ascii="Times New Roman" w:hAnsi="Times New Roman" w:cs="Times New Roman"/>
                <w:sz w:val="22"/>
                <w:szCs w:val="22"/>
              </w:rPr>
            </w:pPr>
            <w:r w:rsidRPr="00A85D2D">
              <w:rPr>
                <w:rFonts w:ascii="Times New Roman" w:hAnsi="Times New Roman" w:cs="Times New Roman"/>
                <w:sz w:val="22"/>
                <w:szCs w:val="22"/>
              </w:rPr>
              <w:t>8.58</w:t>
            </w:r>
          </w:p>
        </w:tc>
        <w:tc>
          <w:tcPr>
            <w:tcW w:w="0" w:type="auto"/>
            <w:vAlign w:val="center"/>
            <w:hideMark/>
          </w:tcPr>
          <w:p w14:paraId="0E029697" w14:textId="77777777" w:rsidR="00416FA8" w:rsidRPr="00A85D2D" w:rsidRDefault="00416FA8" w:rsidP="004B6753">
            <w:pPr>
              <w:pStyle w:val="NoSpacing"/>
              <w:jc w:val="center"/>
              <w:rPr>
                <w:rFonts w:ascii="Times New Roman" w:hAnsi="Times New Roman" w:cs="Times New Roman"/>
                <w:sz w:val="22"/>
                <w:szCs w:val="22"/>
              </w:rPr>
            </w:pPr>
            <w:r w:rsidRPr="00A85D2D">
              <w:rPr>
                <w:rFonts w:ascii="Times New Roman" w:hAnsi="Times New Roman" w:cs="Times New Roman"/>
                <w:sz w:val="22"/>
                <w:szCs w:val="22"/>
              </w:rPr>
              <w:t>16.93</w:t>
            </w:r>
          </w:p>
        </w:tc>
        <w:tc>
          <w:tcPr>
            <w:tcW w:w="0" w:type="auto"/>
            <w:vAlign w:val="center"/>
            <w:hideMark/>
          </w:tcPr>
          <w:p w14:paraId="1457C632" w14:textId="77777777" w:rsidR="00416FA8" w:rsidRPr="00A85D2D" w:rsidRDefault="00416FA8" w:rsidP="004B6753">
            <w:pPr>
              <w:pStyle w:val="NoSpacing"/>
              <w:jc w:val="center"/>
              <w:rPr>
                <w:rFonts w:ascii="Times New Roman" w:hAnsi="Times New Roman" w:cs="Times New Roman"/>
                <w:sz w:val="22"/>
                <w:szCs w:val="22"/>
              </w:rPr>
            </w:pPr>
            <w:r w:rsidRPr="00A85D2D">
              <w:rPr>
                <w:rFonts w:ascii="Times New Roman" w:hAnsi="Times New Roman" w:cs="Times New Roman"/>
                <w:sz w:val="22"/>
                <w:szCs w:val="22"/>
              </w:rPr>
              <w:t>6.04</w:t>
            </w:r>
          </w:p>
        </w:tc>
        <w:tc>
          <w:tcPr>
            <w:tcW w:w="0" w:type="auto"/>
            <w:vAlign w:val="center"/>
            <w:hideMark/>
          </w:tcPr>
          <w:p w14:paraId="065B2D81" w14:textId="77777777" w:rsidR="00416FA8" w:rsidRPr="00A85D2D" w:rsidRDefault="00416FA8" w:rsidP="004B6753">
            <w:pPr>
              <w:pStyle w:val="NoSpacing"/>
              <w:jc w:val="center"/>
              <w:rPr>
                <w:rFonts w:ascii="Times New Roman" w:hAnsi="Times New Roman" w:cs="Times New Roman"/>
                <w:sz w:val="22"/>
                <w:szCs w:val="22"/>
              </w:rPr>
            </w:pPr>
            <w:r w:rsidRPr="00A85D2D">
              <w:rPr>
                <w:rFonts w:ascii="Times New Roman" w:hAnsi="Times New Roman" w:cs="Times New Roman"/>
                <w:sz w:val="22"/>
                <w:szCs w:val="22"/>
              </w:rPr>
              <w:t>17.28</w:t>
            </w:r>
          </w:p>
        </w:tc>
        <w:tc>
          <w:tcPr>
            <w:tcW w:w="0" w:type="auto"/>
            <w:vAlign w:val="center"/>
            <w:hideMark/>
          </w:tcPr>
          <w:p w14:paraId="72ED7052" w14:textId="77777777" w:rsidR="00416FA8" w:rsidRPr="00A85D2D" w:rsidRDefault="00416FA8" w:rsidP="004B6753">
            <w:pPr>
              <w:pStyle w:val="NoSpacing"/>
              <w:jc w:val="center"/>
              <w:rPr>
                <w:rFonts w:ascii="Times New Roman" w:hAnsi="Times New Roman" w:cs="Times New Roman"/>
                <w:sz w:val="22"/>
                <w:szCs w:val="22"/>
              </w:rPr>
            </w:pPr>
            <w:r w:rsidRPr="00A85D2D">
              <w:rPr>
                <w:rFonts w:ascii="Times New Roman" w:hAnsi="Times New Roman" w:cs="Times New Roman"/>
                <w:sz w:val="22"/>
                <w:szCs w:val="22"/>
              </w:rPr>
              <w:t>9.43</w:t>
            </w:r>
          </w:p>
        </w:tc>
        <w:tc>
          <w:tcPr>
            <w:tcW w:w="0" w:type="auto"/>
            <w:vAlign w:val="center"/>
            <w:hideMark/>
          </w:tcPr>
          <w:p w14:paraId="19FAFE6A" w14:textId="77777777" w:rsidR="00416FA8" w:rsidRPr="00A85D2D" w:rsidRDefault="00416FA8" w:rsidP="004B6753">
            <w:pPr>
              <w:pStyle w:val="NoSpacing"/>
              <w:jc w:val="center"/>
              <w:rPr>
                <w:rFonts w:ascii="Times New Roman" w:hAnsi="Times New Roman" w:cs="Times New Roman"/>
                <w:sz w:val="22"/>
                <w:szCs w:val="22"/>
              </w:rPr>
            </w:pPr>
            <w:r w:rsidRPr="00A85D2D">
              <w:rPr>
                <w:rFonts w:ascii="Times New Roman" w:hAnsi="Times New Roman" w:cs="Times New Roman"/>
                <w:sz w:val="22"/>
                <w:szCs w:val="22"/>
              </w:rPr>
              <w:t>45.87</w:t>
            </w:r>
          </w:p>
        </w:tc>
        <w:tc>
          <w:tcPr>
            <w:tcW w:w="0" w:type="auto"/>
            <w:vAlign w:val="center"/>
            <w:hideMark/>
          </w:tcPr>
          <w:p w14:paraId="4CFEEF77" w14:textId="77777777" w:rsidR="00416FA8" w:rsidRPr="00A85D2D" w:rsidRDefault="00416FA8" w:rsidP="004B6753">
            <w:pPr>
              <w:pStyle w:val="NoSpacing"/>
              <w:jc w:val="center"/>
              <w:rPr>
                <w:rFonts w:ascii="Times New Roman" w:hAnsi="Times New Roman" w:cs="Times New Roman"/>
                <w:sz w:val="22"/>
                <w:szCs w:val="22"/>
              </w:rPr>
            </w:pPr>
            <w:r w:rsidRPr="00A85D2D">
              <w:rPr>
                <w:rFonts w:ascii="Times New Roman" w:hAnsi="Times New Roman" w:cs="Times New Roman"/>
                <w:sz w:val="22"/>
                <w:szCs w:val="22"/>
              </w:rPr>
              <w:t>15.33</w:t>
            </w:r>
          </w:p>
        </w:tc>
        <w:tc>
          <w:tcPr>
            <w:tcW w:w="0" w:type="auto"/>
            <w:vAlign w:val="center"/>
            <w:hideMark/>
          </w:tcPr>
          <w:p w14:paraId="6B358297" w14:textId="77777777" w:rsidR="00416FA8" w:rsidRPr="00A85D2D" w:rsidRDefault="00416FA8" w:rsidP="004B6753">
            <w:pPr>
              <w:pStyle w:val="NoSpacing"/>
              <w:jc w:val="center"/>
              <w:rPr>
                <w:rFonts w:ascii="Times New Roman" w:hAnsi="Times New Roman" w:cs="Times New Roman"/>
                <w:sz w:val="22"/>
                <w:szCs w:val="22"/>
              </w:rPr>
            </w:pPr>
            <w:r w:rsidRPr="00A85D2D">
              <w:rPr>
                <w:rFonts w:ascii="Times New Roman" w:hAnsi="Times New Roman" w:cs="Times New Roman"/>
                <w:sz w:val="22"/>
                <w:szCs w:val="22"/>
              </w:rPr>
              <w:t>6.04</w:t>
            </w:r>
          </w:p>
        </w:tc>
        <w:tc>
          <w:tcPr>
            <w:tcW w:w="0" w:type="auto"/>
            <w:vAlign w:val="center"/>
            <w:hideMark/>
          </w:tcPr>
          <w:p w14:paraId="7EDFDD4D" w14:textId="77777777" w:rsidR="00416FA8" w:rsidRPr="00A85D2D" w:rsidRDefault="00416FA8" w:rsidP="004B6753">
            <w:pPr>
              <w:pStyle w:val="NoSpacing"/>
              <w:jc w:val="center"/>
              <w:rPr>
                <w:rFonts w:ascii="Times New Roman" w:hAnsi="Times New Roman" w:cs="Times New Roman"/>
                <w:sz w:val="22"/>
                <w:szCs w:val="22"/>
              </w:rPr>
            </w:pPr>
            <w:r w:rsidRPr="00A85D2D">
              <w:rPr>
                <w:rFonts w:ascii="Times New Roman" w:hAnsi="Times New Roman" w:cs="Times New Roman"/>
                <w:sz w:val="22"/>
                <w:szCs w:val="22"/>
              </w:rPr>
              <w:t>15.75</w:t>
            </w:r>
          </w:p>
        </w:tc>
        <w:tc>
          <w:tcPr>
            <w:tcW w:w="0" w:type="auto"/>
            <w:vAlign w:val="center"/>
            <w:hideMark/>
          </w:tcPr>
          <w:p w14:paraId="6D39DC50" w14:textId="77777777" w:rsidR="00416FA8" w:rsidRPr="00A85D2D" w:rsidRDefault="00416FA8" w:rsidP="004B6753">
            <w:pPr>
              <w:pStyle w:val="NoSpacing"/>
              <w:jc w:val="center"/>
              <w:rPr>
                <w:rFonts w:ascii="Times New Roman" w:hAnsi="Times New Roman" w:cs="Times New Roman"/>
                <w:sz w:val="22"/>
                <w:szCs w:val="22"/>
              </w:rPr>
            </w:pPr>
            <w:r w:rsidRPr="00A85D2D">
              <w:rPr>
                <w:rFonts w:ascii="Times New Roman" w:hAnsi="Times New Roman" w:cs="Times New Roman"/>
                <w:sz w:val="22"/>
                <w:szCs w:val="22"/>
              </w:rPr>
              <w:t>62.87</w:t>
            </w:r>
          </w:p>
        </w:tc>
        <w:tc>
          <w:tcPr>
            <w:tcW w:w="0" w:type="auto"/>
            <w:vAlign w:val="center"/>
            <w:hideMark/>
          </w:tcPr>
          <w:p w14:paraId="5FC5E751" w14:textId="77777777" w:rsidR="00416FA8" w:rsidRPr="00A85D2D" w:rsidRDefault="00416FA8" w:rsidP="004B6753">
            <w:pPr>
              <w:pStyle w:val="NoSpacing"/>
              <w:jc w:val="center"/>
              <w:rPr>
                <w:rFonts w:ascii="Times New Roman" w:hAnsi="Times New Roman" w:cs="Times New Roman"/>
                <w:sz w:val="22"/>
                <w:szCs w:val="22"/>
              </w:rPr>
            </w:pPr>
            <w:r w:rsidRPr="00A85D2D">
              <w:rPr>
                <w:rFonts w:ascii="Times New Roman" w:hAnsi="Times New Roman" w:cs="Times New Roman"/>
                <w:sz w:val="22"/>
                <w:szCs w:val="22"/>
              </w:rPr>
              <w:t>204.12</w:t>
            </w:r>
          </w:p>
        </w:tc>
      </w:tr>
      <w:tr w:rsidR="00812C67" w:rsidRPr="00A85D2D" w14:paraId="7E261403" w14:textId="77777777" w:rsidTr="004B6753">
        <w:tc>
          <w:tcPr>
            <w:tcW w:w="0" w:type="auto"/>
            <w:vMerge w:val="restart"/>
            <w:hideMark/>
          </w:tcPr>
          <w:p w14:paraId="500805FA" w14:textId="77777777" w:rsidR="00812C67" w:rsidRPr="00A85D2D" w:rsidRDefault="00812C67" w:rsidP="00B77C0B">
            <w:pPr>
              <w:pStyle w:val="NoSpacing"/>
              <w:rPr>
                <w:rFonts w:ascii="Times New Roman" w:hAnsi="Times New Roman" w:cs="Times New Roman"/>
                <w:sz w:val="22"/>
                <w:szCs w:val="22"/>
              </w:rPr>
            </w:pPr>
            <w:r w:rsidRPr="00A85D2D">
              <w:rPr>
                <w:rFonts w:ascii="Times New Roman" w:hAnsi="Times New Roman" w:cs="Times New Roman"/>
                <w:sz w:val="22"/>
                <w:szCs w:val="22"/>
              </w:rPr>
              <w:t>1968-69 (RE)</w:t>
            </w:r>
          </w:p>
        </w:tc>
        <w:tc>
          <w:tcPr>
            <w:tcW w:w="0" w:type="auto"/>
            <w:vAlign w:val="center"/>
            <w:hideMark/>
          </w:tcPr>
          <w:p w14:paraId="5EDA2E8C" w14:textId="77777777" w:rsidR="00812C67" w:rsidRPr="00A85D2D" w:rsidRDefault="00812C67" w:rsidP="004B6753">
            <w:pPr>
              <w:pStyle w:val="NoSpacing"/>
              <w:jc w:val="center"/>
              <w:rPr>
                <w:rFonts w:ascii="Times New Roman" w:hAnsi="Times New Roman" w:cs="Times New Roman"/>
                <w:sz w:val="22"/>
                <w:szCs w:val="22"/>
              </w:rPr>
            </w:pPr>
            <w:r w:rsidRPr="00A85D2D">
              <w:rPr>
                <w:rFonts w:ascii="Times New Roman" w:hAnsi="Times New Roman" w:cs="Times New Roman"/>
                <w:sz w:val="22"/>
                <w:szCs w:val="22"/>
              </w:rPr>
              <w:t>9.32</w:t>
            </w:r>
          </w:p>
        </w:tc>
        <w:tc>
          <w:tcPr>
            <w:tcW w:w="0" w:type="auto"/>
            <w:vAlign w:val="center"/>
            <w:hideMark/>
          </w:tcPr>
          <w:p w14:paraId="73388BD2" w14:textId="77777777" w:rsidR="00812C67" w:rsidRPr="00A85D2D" w:rsidRDefault="00812C67" w:rsidP="004B6753">
            <w:pPr>
              <w:pStyle w:val="NoSpacing"/>
              <w:jc w:val="center"/>
              <w:rPr>
                <w:rFonts w:ascii="Times New Roman" w:hAnsi="Times New Roman" w:cs="Times New Roman"/>
                <w:sz w:val="22"/>
                <w:szCs w:val="22"/>
              </w:rPr>
            </w:pPr>
            <w:r w:rsidRPr="00A85D2D">
              <w:rPr>
                <w:rFonts w:ascii="Times New Roman" w:hAnsi="Times New Roman" w:cs="Times New Roman"/>
                <w:sz w:val="22"/>
                <w:szCs w:val="22"/>
              </w:rPr>
              <w:t>38.90</w:t>
            </w:r>
          </w:p>
        </w:tc>
        <w:tc>
          <w:tcPr>
            <w:tcW w:w="0" w:type="auto"/>
            <w:vAlign w:val="center"/>
            <w:hideMark/>
          </w:tcPr>
          <w:p w14:paraId="5B58E4C2" w14:textId="77777777" w:rsidR="00812C67" w:rsidRPr="00A85D2D" w:rsidRDefault="00812C67" w:rsidP="004B6753">
            <w:pPr>
              <w:pStyle w:val="NoSpacing"/>
              <w:jc w:val="center"/>
              <w:rPr>
                <w:rFonts w:ascii="Times New Roman" w:hAnsi="Times New Roman" w:cs="Times New Roman"/>
                <w:sz w:val="22"/>
                <w:szCs w:val="22"/>
              </w:rPr>
            </w:pPr>
            <w:r w:rsidRPr="00A85D2D">
              <w:rPr>
                <w:rFonts w:ascii="Times New Roman" w:hAnsi="Times New Roman" w:cs="Times New Roman"/>
                <w:sz w:val="22"/>
                <w:szCs w:val="22"/>
              </w:rPr>
              <w:t>6.46</w:t>
            </w:r>
          </w:p>
        </w:tc>
        <w:tc>
          <w:tcPr>
            <w:tcW w:w="0" w:type="auto"/>
            <w:vAlign w:val="center"/>
            <w:hideMark/>
          </w:tcPr>
          <w:p w14:paraId="7C4CCED9" w14:textId="77777777" w:rsidR="00812C67" w:rsidRPr="00A85D2D" w:rsidRDefault="00812C67" w:rsidP="004B6753">
            <w:pPr>
              <w:pStyle w:val="NoSpacing"/>
              <w:jc w:val="center"/>
              <w:rPr>
                <w:rFonts w:ascii="Times New Roman" w:hAnsi="Times New Roman" w:cs="Times New Roman"/>
                <w:sz w:val="22"/>
                <w:szCs w:val="22"/>
              </w:rPr>
            </w:pPr>
            <w:r w:rsidRPr="00A85D2D">
              <w:rPr>
                <w:rFonts w:ascii="Times New Roman" w:hAnsi="Times New Roman" w:cs="Times New Roman"/>
                <w:sz w:val="22"/>
                <w:szCs w:val="22"/>
              </w:rPr>
              <w:t>19.50</w:t>
            </w:r>
          </w:p>
        </w:tc>
        <w:tc>
          <w:tcPr>
            <w:tcW w:w="0" w:type="auto"/>
            <w:vAlign w:val="center"/>
            <w:hideMark/>
          </w:tcPr>
          <w:p w14:paraId="29A85C03" w14:textId="77777777" w:rsidR="00812C67" w:rsidRPr="00A85D2D" w:rsidRDefault="00812C67" w:rsidP="004B6753">
            <w:pPr>
              <w:pStyle w:val="NoSpacing"/>
              <w:jc w:val="center"/>
              <w:rPr>
                <w:rFonts w:ascii="Times New Roman" w:hAnsi="Times New Roman" w:cs="Times New Roman"/>
                <w:sz w:val="22"/>
                <w:szCs w:val="22"/>
              </w:rPr>
            </w:pPr>
            <w:r w:rsidRPr="00A85D2D">
              <w:rPr>
                <w:rFonts w:ascii="Times New Roman" w:hAnsi="Times New Roman" w:cs="Times New Roman"/>
                <w:sz w:val="22"/>
                <w:szCs w:val="22"/>
              </w:rPr>
              <w:t>10.68</w:t>
            </w:r>
          </w:p>
        </w:tc>
        <w:tc>
          <w:tcPr>
            <w:tcW w:w="0" w:type="auto"/>
            <w:vAlign w:val="center"/>
            <w:hideMark/>
          </w:tcPr>
          <w:p w14:paraId="3ADE9843" w14:textId="77777777" w:rsidR="00812C67" w:rsidRPr="00A85D2D" w:rsidRDefault="00812C67" w:rsidP="004B6753">
            <w:pPr>
              <w:pStyle w:val="NoSpacing"/>
              <w:jc w:val="center"/>
              <w:rPr>
                <w:rFonts w:ascii="Times New Roman" w:hAnsi="Times New Roman" w:cs="Times New Roman"/>
                <w:sz w:val="22"/>
                <w:szCs w:val="22"/>
              </w:rPr>
            </w:pPr>
            <w:r w:rsidRPr="00A85D2D">
              <w:rPr>
                <w:rFonts w:ascii="Times New Roman" w:hAnsi="Times New Roman" w:cs="Times New Roman"/>
                <w:sz w:val="22"/>
                <w:szCs w:val="22"/>
              </w:rPr>
              <w:t>47.36</w:t>
            </w:r>
          </w:p>
        </w:tc>
        <w:tc>
          <w:tcPr>
            <w:tcW w:w="0" w:type="auto"/>
            <w:vAlign w:val="center"/>
            <w:hideMark/>
          </w:tcPr>
          <w:p w14:paraId="08840C86" w14:textId="77777777" w:rsidR="00812C67" w:rsidRPr="00A85D2D" w:rsidRDefault="00812C67" w:rsidP="004B6753">
            <w:pPr>
              <w:pStyle w:val="NoSpacing"/>
              <w:jc w:val="center"/>
              <w:rPr>
                <w:rFonts w:ascii="Times New Roman" w:hAnsi="Times New Roman" w:cs="Times New Roman"/>
                <w:sz w:val="22"/>
                <w:szCs w:val="22"/>
              </w:rPr>
            </w:pPr>
            <w:r w:rsidRPr="00A85D2D">
              <w:rPr>
                <w:rFonts w:ascii="Times New Roman" w:hAnsi="Times New Roman" w:cs="Times New Roman"/>
                <w:sz w:val="22"/>
                <w:szCs w:val="22"/>
              </w:rPr>
              <w:t>14.63</w:t>
            </w:r>
          </w:p>
        </w:tc>
        <w:tc>
          <w:tcPr>
            <w:tcW w:w="0" w:type="auto"/>
            <w:vAlign w:val="center"/>
            <w:hideMark/>
          </w:tcPr>
          <w:p w14:paraId="4CE11D69" w14:textId="77777777" w:rsidR="00812C67" w:rsidRPr="00A85D2D" w:rsidRDefault="00812C67" w:rsidP="004B6753">
            <w:pPr>
              <w:pStyle w:val="NoSpacing"/>
              <w:jc w:val="center"/>
              <w:rPr>
                <w:rFonts w:ascii="Times New Roman" w:hAnsi="Times New Roman" w:cs="Times New Roman"/>
                <w:sz w:val="22"/>
                <w:szCs w:val="22"/>
              </w:rPr>
            </w:pPr>
            <w:r w:rsidRPr="00A85D2D">
              <w:rPr>
                <w:rFonts w:ascii="Times New Roman" w:hAnsi="Times New Roman" w:cs="Times New Roman"/>
                <w:sz w:val="22"/>
                <w:szCs w:val="22"/>
              </w:rPr>
              <w:t>6.91</w:t>
            </w:r>
          </w:p>
        </w:tc>
        <w:tc>
          <w:tcPr>
            <w:tcW w:w="0" w:type="auto"/>
            <w:vAlign w:val="center"/>
            <w:hideMark/>
          </w:tcPr>
          <w:p w14:paraId="73322FD7" w14:textId="77777777" w:rsidR="00812C67" w:rsidRPr="00A85D2D" w:rsidRDefault="00812C67" w:rsidP="004B6753">
            <w:pPr>
              <w:pStyle w:val="NoSpacing"/>
              <w:jc w:val="center"/>
              <w:rPr>
                <w:rFonts w:ascii="Times New Roman" w:hAnsi="Times New Roman" w:cs="Times New Roman"/>
                <w:sz w:val="22"/>
                <w:szCs w:val="22"/>
              </w:rPr>
            </w:pPr>
            <w:r w:rsidRPr="00A85D2D">
              <w:rPr>
                <w:rFonts w:ascii="Times New Roman" w:hAnsi="Times New Roman" w:cs="Times New Roman"/>
                <w:sz w:val="22"/>
                <w:szCs w:val="22"/>
              </w:rPr>
              <w:t>17.92</w:t>
            </w:r>
          </w:p>
        </w:tc>
        <w:tc>
          <w:tcPr>
            <w:tcW w:w="0" w:type="auto"/>
            <w:vAlign w:val="center"/>
            <w:hideMark/>
          </w:tcPr>
          <w:p w14:paraId="67623E1E" w14:textId="77777777" w:rsidR="00812C67" w:rsidRPr="00A85D2D" w:rsidRDefault="00812C67" w:rsidP="004B6753">
            <w:pPr>
              <w:pStyle w:val="NoSpacing"/>
              <w:jc w:val="center"/>
              <w:rPr>
                <w:rFonts w:ascii="Times New Roman" w:hAnsi="Times New Roman" w:cs="Times New Roman"/>
                <w:sz w:val="22"/>
                <w:szCs w:val="22"/>
              </w:rPr>
            </w:pPr>
            <w:r w:rsidRPr="00A85D2D">
              <w:rPr>
                <w:rFonts w:ascii="Times New Roman" w:hAnsi="Times New Roman" w:cs="Times New Roman"/>
                <w:sz w:val="22"/>
                <w:szCs w:val="22"/>
              </w:rPr>
              <w:t>85.95</w:t>
            </w:r>
          </w:p>
        </w:tc>
        <w:tc>
          <w:tcPr>
            <w:tcW w:w="0" w:type="auto"/>
            <w:vAlign w:val="center"/>
            <w:hideMark/>
          </w:tcPr>
          <w:p w14:paraId="3EF5FE35" w14:textId="77777777" w:rsidR="00812C67" w:rsidRPr="00A85D2D" w:rsidRDefault="00812C67" w:rsidP="004B6753">
            <w:pPr>
              <w:pStyle w:val="NoSpacing"/>
              <w:jc w:val="center"/>
              <w:rPr>
                <w:rFonts w:ascii="Times New Roman" w:hAnsi="Times New Roman" w:cs="Times New Roman"/>
                <w:sz w:val="22"/>
                <w:szCs w:val="22"/>
              </w:rPr>
            </w:pPr>
            <w:r w:rsidRPr="00A85D2D">
              <w:rPr>
                <w:rFonts w:ascii="Times New Roman" w:hAnsi="Times New Roman" w:cs="Times New Roman"/>
                <w:sz w:val="22"/>
                <w:szCs w:val="22"/>
              </w:rPr>
              <w:t>257.63</w:t>
            </w:r>
          </w:p>
        </w:tc>
      </w:tr>
      <w:tr w:rsidR="00812C67" w:rsidRPr="00A85D2D" w14:paraId="24BB6D28" w14:textId="77777777" w:rsidTr="004B6753">
        <w:tc>
          <w:tcPr>
            <w:tcW w:w="0" w:type="auto"/>
            <w:vMerge/>
            <w:hideMark/>
          </w:tcPr>
          <w:p w14:paraId="15DAB25A" w14:textId="77777777" w:rsidR="00812C67" w:rsidRPr="00A85D2D" w:rsidRDefault="00812C67" w:rsidP="00B77C0B">
            <w:pPr>
              <w:pStyle w:val="NoSpacing"/>
              <w:rPr>
                <w:rFonts w:ascii="Times New Roman" w:hAnsi="Times New Roman" w:cs="Times New Roman"/>
                <w:sz w:val="22"/>
                <w:szCs w:val="22"/>
              </w:rPr>
            </w:pPr>
          </w:p>
        </w:tc>
        <w:tc>
          <w:tcPr>
            <w:tcW w:w="0" w:type="auto"/>
            <w:vAlign w:val="center"/>
            <w:hideMark/>
          </w:tcPr>
          <w:p w14:paraId="01F8D288" w14:textId="77777777" w:rsidR="00812C67" w:rsidRPr="00A85D2D" w:rsidRDefault="00812C67" w:rsidP="004B6753">
            <w:pPr>
              <w:pStyle w:val="NoSpacing"/>
              <w:jc w:val="center"/>
              <w:rPr>
                <w:rFonts w:ascii="Times New Roman" w:hAnsi="Times New Roman" w:cs="Times New Roman"/>
                <w:sz w:val="22"/>
                <w:szCs w:val="22"/>
              </w:rPr>
            </w:pPr>
            <w:r w:rsidRPr="00A85D2D">
              <w:rPr>
                <w:rFonts w:ascii="Times New Roman" w:hAnsi="Times New Roman" w:cs="Times New Roman"/>
                <w:i/>
                <w:iCs/>
                <w:sz w:val="22"/>
                <w:szCs w:val="22"/>
              </w:rPr>
              <w:t>(3.62)</w:t>
            </w:r>
          </w:p>
        </w:tc>
        <w:tc>
          <w:tcPr>
            <w:tcW w:w="0" w:type="auto"/>
            <w:vAlign w:val="center"/>
            <w:hideMark/>
          </w:tcPr>
          <w:p w14:paraId="41B168D9" w14:textId="77777777" w:rsidR="00812C67" w:rsidRPr="00A85D2D" w:rsidRDefault="00812C67" w:rsidP="004B6753">
            <w:pPr>
              <w:pStyle w:val="NoSpacing"/>
              <w:jc w:val="center"/>
              <w:rPr>
                <w:rFonts w:ascii="Times New Roman" w:hAnsi="Times New Roman" w:cs="Times New Roman"/>
                <w:sz w:val="22"/>
                <w:szCs w:val="22"/>
              </w:rPr>
            </w:pPr>
            <w:r w:rsidRPr="00A85D2D">
              <w:rPr>
                <w:rFonts w:ascii="Times New Roman" w:hAnsi="Times New Roman" w:cs="Times New Roman"/>
                <w:i/>
                <w:iCs/>
                <w:sz w:val="22"/>
                <w:szCs w:val="22"/>
              </w:rPr>
              <w:t>(15.10)</w:t>
            </w:r>
          </w:p>
        </w:tc>
        <w:tc>
          <w:tcPr>
            <w:tcW w:w="0" w:type="auto"/>
            <w:vAlign w:val="center"/>
            <w:hideMark/>
          </w:tcPr>
          <w:p w14:paraId="4E102493" w14:textId="77777777" w:rsidR="00812C67" w:rsidRPr="00A85D2D" w:rsidRDefault="00812C67" w:rsidP="004B6753">
            <w:pPr>
              <w:pStyle w:val="NoSpacing"/>
              <w:jc w:val="center"/>
              <w:rPr>
                <w:rFonts w:ascii="Times New Roman" w:hAnsi="Times New Roman" w:cs="Times New Roman"/>
                <w:sz w:val="22"/>
                <w:szCs w:val="22"/>
              </w:rPr>
            </w:pPr>
            <w:r w:rsidRPr="00A85D2D">
              <w:rPr>
                <w:rFonts w:ascii="Times New Roman" w:hAnsi="Times New Roman" w:cs="Times New Roman"/>
                <w:i/>
                <w:iCs/>
                <w:sz w:val="22"/>
                <w:szCs w:val="22"/>
              </w:rPr>
              <w:t>(2.51)</w:t>
            </w:r>
          </w:p>
        </w:tc>
        <w:tc>
          <w:tcPr>
            <w:tcW w:w="0" w:type="auto"/>
            <w:vAlign w:val="center"/>
            <w:hideMark/>
          </w:tcPr>
          <w:p w14:paraId="5C5800C7" w14:textId="77777777" w:rsidR="00812C67" w:rsidRPr="00A85D2D" w:rsidRDefault="00812C67" w:rsidP="004B6753">
            <w:pPr>
              <w:pStyle w:val="NoSpacing"/>
              <w:jc w:val="center"/>
              <w:rPr>
                <w:rFonts w:ascii="Times New Roman" w:hAnsi="Times New Roman" w:cs="Times New Roman"/>
                <w:sz w:val="22"/>
                <w:szCs w:val="22"/>
              </w:rPr>
            </w:pPr>
            <w:r w:rsidRPr="00A85D2D">
              <w:rPr>
                <w:rFonts w:ascii="Times New Roman" w:hAnsi="Times New Roman" w:cs="Times New Roman"/>
                <w:i/>
                <w:iCs/>
                <w:sz w:val="22"/>
                <w:szCs w:val="22"/>
              </w:rPr>
              <w:t>(7.57)</w:t>
            </w:r>
          </w:p>
        </w:tc>
        <w:tc>
          <w:tcPr>
            <w:tcW w:w="0" w:type="auto"/>
            <w:vAlign w:val="center"/>
            <w:hideMark/>
          </w:tcPr>
          <w:p w14:paraId="3722C948" w14:textId="77777777" w:rsidR="00812C67" w:rsidRPr="00A85D2D" w:rsidRDefault="00812C67" w:rsidP="004B6753">
            <w:pPr>
              <w:pStyle w:val="NoSpacing"/>
              <w:jc w:val="center"/>
              <w:rPr>
                <w:rFonts w:ascii="Times New Roman" w:hAnsi="Times New Roman" w:cs="Times New Roman"/>
                <w:sz w:val="22"/>
                <w:szCs w:val="22"/>
              </w:rPr>
            </w:pPr>
            <w:r w:rsidRPr="00A85D2D">
              <w:rPr>
                <w:rFonts w:ascii="Times New Roman" w:hAnsi="Times New Roman" w:cs="Times New Roman"/>
                <w:i/>
                <w:iCs/>
                <w:sz w:val="22"/>
                <w:szCs w:val="22"/>
              </w:rPr>
              <w:t>(4.14)</w:t>
            </w:r>
          </w:p>
        </w:tc>
        <w:tc>
          <w:tcPr>
            <w:tcW w:w="0" w:type="auto"/>
            <w:vAlign w:val="center"/>
            <w:hideMark/>
          </w:tcPr>
          <w:p w14:paraId="4C9093B7" w14:textId="77777777" w:rsidR="00812C67" w:rsidRPr="00A85D2D" w:rsidRDefault="00812C67" w:rsidP="004B6753">
            <w:pPr>
              <w:pStyle w:val="NoSpacing"/>
              <w:jc w:val="center"/>
              <w:rPr>
                <w:rFonts w:ascii="Times New Roman" w:hAnsi="Times New Roman" w:cs="Times New Roman"/>
                <w:sz w:val="22"/>
                <w:szCs w:val="22"/>
              </w:rPr>
            </w:pPr>
            <w:r w:rsidRPr="00A85D2D">
              <w:rPr>
                <w:rFonts w:ascii="Times New Roman" w:hAnsi="Times New Roman" w:cs="Times New Roman"/>
                <w:i/>
                <w:iCs/>
                <w:sz w:val="22"/>
                <w:szCs w:val="22"/>
              </w:rPr>
              <w:t>(18.38)</w:t>
            </w:r>
          </w:p>
        </w:tc>
        <w:tc>
          <w:tcPr>
            <w:tcW w:w="0" w:type="auto"/>
            <w:vAlign w:val="center"/>
            <w:hideMark/>
          </w:tcPr>
          <w:p w14:paraId="617FB509" w14:textId="77777777" w:rsidR="00812C67" w:rsidRPr="00A85D2D" w:rsidRDefault="00812C67" w:rsidP="004B6753">
            <w:pPr>
              <w:pStyle w:val="NoSpacing"/>
              <w:jc w:val="center"/>
              <w:rPr>
                <w:rFonts w:ascii="Times New Roman" w:hAnsi="Times New Roman" w:cs="Times New Roman"/>
                <w:sz w:val="22"/>
                <w:szCs w:val="22"/>
              </w:rPr>
            </w:pPr>
            <w:r w:rsidRPr="00A85D2D">
              <w:rPr>
                <w:rFonts w:ascii="Times New Roman" w:hAnsi="Times New Roman" w:cs="Times New Roman"/>
                <w:i/>
                <w:iCs/>
                <w:sz w:val="22"/>
                <w:szCs w:val="22"/>
              </w:rPr>
              <w:t>(5.68)</w:t>
            </w:r>
          </w:p>
        </w:tc>
        <w:tc>
          <w:tcPr>
            <w:tcW w:w="0" w:type="auto"/>
            <w:vAlign w:val="center"/>
            <w:hideMark/>
          </w:tcPr>
          <w:p w14:paraId="7B510723" w14:textId="77777777" w:rsidR="00812C67" w:rsidRPr="00A85D2D" w:rsidRDefault="00812C67" w:rsidP="004B6753">
            <w:pPr>
              <w:pStyle w:val="NoSpacing"/>
              <w:jc w:val="center"/>
              <w:rPr>
                <w:rFonts w:ascii="Times New Roman" w:hAnsi="Times New Roman" w:cs="Times New Roman"/>
                <w:sz w:val="22"/>
                <w:szCs w:val="22"/>
              </w:rPr>
            </w:pPr>
            <w:r w:rsidRPr="00A85D2D">
              <w:rPr>
                <w:rFonts w:ascii="Times New Roman" w:hAnsi="Times New Roman" w:cs="Times New Roman"/>
                <w:i/>
                <w:iCs/>
                <w:sz w:val="22"/>
                <w:szCs w:val="22"/>
              </w:rPr>
              <w:t>(2.68)</w:t>
            </w:r>
          </w:p>
        </w:tc>
        <w:tc>
          <w:tcPr>
            <w:tcW w:w="0" w:type="auto"/>
            <w:vAlign w:val="center"/>
            <w:hideMark/>
          </w:tcPr>
          <w:p w14:paraId="6E8BC6FE" w14:textId="77777777" w:rsidR="00812C67" w:rsidRPr="00A85D2D" w:rsidRDefault="00812C67" w:rsidP="004B6753">
            <w:pPr>
              <w:pStyle w:val="NoSpacing"/>
              <w:jc w:val="center"/>
              <w:rPr>
                <w:rFonts w:ascii="Times New Roman" w:hAnsi="Times New Roman" w:cs="Times New Roman"/>
                <w:sz w:val="22"/>
                <w:szCs w:val="22"/>
              </w:rPr>
            </w:pPr>
            <w:r w:rsidRPr="00A85D2D">
              <w:rPr>
                <w:rFonts w:ascii="Times New Roman" w:hAnsi="Times New Roman" w:cs="Times New Roman"/>
                <w:i/>
                <w:iCs/>
                <w:sz w:val="22"/>
                <w:szCs w:val="22"/>
              </w:rPr>
              <w:t>(6.96)</w:t>
            </w:r>
          </w:p>
        </w:tc>
        <w:tc>
          <w:tcPr>
            <w:tcW w:w="0" w:type="auto"/>
            <w:vAlign w:val="center"/>
            <w:hideMark/>
          </w:tcPr>
          <w:p w14:paraId="035DF317" w14:textId="77777777" w:rsidR="00812C67" w:rsidRPr="00A85D2D" w:rsidRDefault="00812C67" w:rsidP="004B6753">
            <w:pPr>
              <w:pStyle w:val="NoSpacing"/>
              <w:jc w:val="center"/>
              <w:rPr>
                <w:rFonts w:ascii="Times New Roman" w:hAnsi="Times New Roman" w:cs="Times New Roman"/>
                <w:sz w:val="22"/>
                <w:szCs w:val="22"/>
              </w:rPr>
            </w:pPr>
            <w:r w:rsidRPr="00A85D2D">
              <w:rPr>
                <w:rFonts w:ascii="Times New Roman" w:hAnsi="Times New Roman" w:cs="Times New Roman"/>
                <w:i/>
                <w:iCs/>
                <w:sz w:val="22"/>
                <w:szCs w:val="22"/>
              </w:rPr>
              <w:t>(33.36)</w:t>
            </w:r>
          </w:p>
        </w:tc>
        <w:tc>
          <w:tcPr>
            <w:tcW w:w="0" w:type="auto"/>
            <w:vAlign w:val="center"/>
            <w:hideMark/>
          </w:tcPr>
          <w:p w14:paraId="464373B9" w14:textId="77777777" w:rsidR="00812C67" w:rsidRPr="00A85D2D" w:rsidRDefault="00812C67" w:rsidP="004B6753">
            <w:pPr>
              <w:pStyle w:val="NoSpacing"/>
              <w:jc w:val="center"/>
              <w:rPr>
                <w:rFonts w:ascii="Times New Roman" w:hAnsi="Times New Roman" w:cs="Times New Roman"/>
                <w:sz w:val="22"/>
                <w:szCs w:val="22"/>
              </w:rPr>
            </w:pPr>
            <w:r w:rsidRPr="00A85D2D">
              <w:rPr>
                <w:rFonts w:ascii="Times New Roman" w:hAnsi="Times New Roman" w:cs="Times New Roman"/>
                <w:i/>
                <w:iCs/>
                <w:sz w:val="22"/>
                <w:szCs w:val="22"/>
              </w:rPr>
              <w:t>(100.00)</w:t>
            </w:r>
          </w:p>
        </w:tc>
      </w:tr>
    </w:tbl>
    <w:p w14:paraId="45574F0E" w14:textId="77777777" w:rsidR="00416FA8" w:rsidRPr="007245B0" w:rsidRDefault="00416FA8" w:rsidP="00A85D2D">
      <w:pPr>
        <w:pStyle w:val="Sources"/>
      </w:pPr>
      <w:r w:rsidRPr="007245B0">
        <w:rPr>
          <w:b/>
          <w:bCs/>
        </w:rPr>
        <w:t>Source:</w:t>
      </w:r>
      <w:r w:rsidRPr="007245B0">
        <w:t> For 1961-62 and 1965-66 to 1966-67, the Conspectus of the Central and State Governments and for 1967-68 and 1968-69 the State Budgets.</w:t>
      </w:r>
      <w:r w:rsidRPr="007245B0">
        <w:br/>
      </w:r>
      <w:r w:rsidRPr="007245B0">
        <w:rPr>
          <w:b/>
          <w:bCs/>
        </w:rPr>
        <w:t>Note:</w:t>
      </w:r>
      <w:r w:rsidRPr="007245B0">
        <w:t> Figures in brackets indicate the percentages to the total revenue expenditure.</w:t>
      </w:r>
    </w:p>
    <w:p w14:paraId="3E023D4D" w14:textId="0A3040D3" w:rsidR="00416FA8" w:rsidRPr="007245B0" w:rsidRDefault="00416FA8">
      <w:pPr>
        <w:rPr>
          <w:rFonts w:ascii="Times New Roman" w:hAnsi="Times New Roman" w:cs="Times New Roman"/>
        </w:rPr>
      </w:pPr>
      <w:r w:rsidRPr="007245B0">
        <w:rPr>
          <w:rFonts w:ascii="Times New Roman" w:hAnsi="Times New Roman" w:cs="Times New Roman"/>
        </w:rPr>
        <w:br w:type="page"/>
      </w:r>
    </w:p>
    <w:p w14:paraId="2AFD9AA8" w14:textId="71D37794" w:rsidR="00416FA8" w:rsidRPr="007245B0" w:rsidRDefault="00574BCE" w:rsidP="00A85D2D">
      <w:pPr>
        <w:pStyle w:val="Heading4"/>
        <w:rPr>
          <w:i/>
          <w:iCs/>
        </w:rPr>
      </w:pPr>
      <w:bookmarkStart w:id="123" w:name="_Toc220949711"/>
      <w:bookmarkStart w:id="124" w:name="_Toc221114311"/>
      <w:bookmarkStart w:id="125" w:name="_Toc221115334"/>
      <w:r>
        <w:lastRenderedPageBreak/>
        <w:t>Table</w:t>
      </w:r>
      <w:r w:rsidR="00416FA8" w:rsidRPr="007245B0">
        <w:t xml:space="preserve"> 30: Per capita expenditure under important heads in 1967-68</w:t>
      </w:r>
      <w:bookmarkEnd w:id="123"/>
      <w:bookmarkEnd w:id="124"/>
      <w:bookmarkEnd w:id="125"/>
    </w:p>
    <w:p w14:paraId="4F18D2DE" w14:textId="20E8C8AD" w:rsidR="00416FA8" w:rsidRPr="007245B0" w:rsidRDefault="00416FA8" w:rsidP="00416FA8">
      <w:pPr>
        <w:tabs>
          <w:tab w:val="left" w:pos="3306"/>
        </w:tabs>
        <w:jc w:val="right"/>
        <w:rPr>
          <w:rFonts w:ascii="Times New Roman" w:hAnsi="Times New Roman" w:cs="Times New Roman"/>
          <w:i/>
          <w:iCs/>
          <w:szCs w:val="24"/>
        </w:rPr>
      </w:pPr>
      <w:r w:rsidRPr="007245B0">
        <w:rPr>
          <w:rFonts w:ascii="Times New Roman" w:hAnsi="Times New Roman" w:cs="Times New Roman"/>
          <w:i/>
          <w:iCs/>
          <w:szCs w:val="24"/>
        </w:rPr>
        <w:tab/>
      </w:r>
      <w:r w:rsidRPr="007245B0">
        <w:rPr>
          <w:rFonts w:ascii="Times New Roman" w:hAnsi="Times New Roman" w:cs="Times New Roman"/>
          <w:i/>
          <w:iCs/>
          <w:szCs w:val="24"/>
        </w:rPr>
        <w:tab/>
      </w:r>
      <w:r w:rsidRPr="007245B0">
        <w:rPr>
          <w:rFonts w:ascii="Times New Roman" w:hAnsi="Times New Roman" w:cs="Times New Roman"/>
          <w:i/>
          <w:iCs/>
          <w:szCs w:val="24"/>
        </w:rPr>
        <w:tab/>
      </w:r>
      <w:r w:rsidRPr="007245B0">
        <w:rPr>
          <w:rFonts w:ascii="Times New Roman" w:hAnsi="Times New Roman" w:cs="Times New Roman"/>
          <w:i/>
          <w:iCs/>
          <w:szCs w:val="24"/>
        </w:rPr>
        <w:tab/>
        <w:t>(Rupees)</w:t>
      </w:r>
    </w:p>
    <w:tbl>
      <w:tblPr>
        <w:tblStyle w:val="TableGrid"/>
        <w:tblW w:w="15661" w:type="dxa"/>
        <w:tblInd w:w="-1356" w:type="dxa"/>
        <w:tblLook w:val="04A0" w:firstRow="1" w:lastRow="0" w:firstColumn="1" w:lastColumn="0" w:noHBand="0" w:noVBand="1"/>
      </w:tblPr>
      <w:tblGrid>
        <w:gridCol w:w="1116"/>
        <w:gridCol w:w="796"/>
        <w:gridCol w:w="1066"/>
        <w:gridCol w:w="959"/>
        <w:gridCol w:w="1295"/>
        <w:gridCol w:w="625"/>
        <w:gridCol w:w="1256"/>
        <w:gridCol w:w="1256"/>
        <w:gridCol w:w="919"/>
        <w:gridCol w:w="767"/>
        <w:gridCol w:w="731"/>
        <w:gridCol w:w="1046"/>
        <w:gridCol w:w="846"/>
        <w:gridCol w:w="846"/>
        <w:gridCol w:w="1066"/>
        <w:gridCol w:w="1071"/>
      </w:tblGrid>
      <w:tr w:rsidR="00416FA8" w:rsidRPr="009102D9" w14:paraId="43A81AD1" w14:textId="77777777" w:rsidTr="004B6753">
        <w:trPr>
          <w:trHeight w:val="24"/>
        </w:trPr>
        <w:tc>
          <w:tcPr>
            <w:tcW w:w="1116" w:type="dxa"/>
            <w:vMerge w:val="restart"/>
            <w:vAlign w:val="center"/>
          </w:tcPr>
          <w:p w14:paraId="555E566C" w14:textId="77777777" w:rsidR="00416FA8" w:rsidRPr="004B6753" w:rsidRDefault="00416FA8" w:rsidP="004B6753">
            <w:pPr>
              <w:pStyle w:val="NoSpacing"/>
              <w:jc w:val="center"/>
              <w:rPr>
                <w:rFonts w:ascii="Times New Roman" w:hAnsi="Times New Roman" w:cs="Times New Roman"/>
                <w:b/>
                <w:bCs/>
                <w:sz w:val="16"/>
                <w:szCs w:val="16"/>
              </w:rPr>
            </w:pPr>
            <w:r w:rsidRPr="004B6753">
              <w:rPr>
                <w:rFonts w:ascii="Times New Roman" w:hAnsi="Times New Roman" w:cs="Times New Roman"/>
                <w:b/>
                <w:bCs/>
                <w:sz w:val="16"/>
                <w:szCs w:val="16"/>
              </w:rPr>
              <w:t>State</w:t>
            </w:r>
          </w:p>
        </w:tc>
        <w:tc>
          <w:tcPr>
            <w:tcW w:w="796" w:type="dxa"/>
            <w:vMerge w:val="restart"/>
            <w:vAlign w:val="center"/>
          </w:tcPr>
          <w:p w14:paraId="1F265FBA" w14:textId="77777777" w:rsidR="00416FA8" w:rsidRPr="004B6753" w:rsidRDefault="00416FA8" w:rsidP="004B6753">
            <w:pPr>
              <w:pStyle w:val="NoSpacing"/>
              <w:jc w:val="center"/>
              <w:rPr>
                <w:rFonts w:ascii="Times New Roman" w:hAnsi="Times New Roman" w:cs="Times New Roman"/>
                <w:b/>
                <w:bCs/>
                <w:sz w:val="16"/>
                <w:szCs w:val="16"/>
              </w:rPr>
            </w:pPr>
            <w:r w:rsidRPr="004B6753">
              <w:rPr>
                <w:rFonts w:ascii="Times New Roman" w:hAnsi="Times New Roman" w:cs="Times New Roman"/>
                <w:b/>
                <w:bCs/>
                <w:sz w:val="16"/>
                <w:szCs w:val="16"/>
              </w:rPr>
              <w:t>Debt services</w:t>
            </w:r>
          </w:p>
        </w:tc>
        <w:tc>
          <w:tcPr>
            <w:tcW w:w="1066" w:type="dxa"/>
            <w:vMerge w:val="restart"/>
            <w:vAlign w:val="center"/>
          </w:tcPr>
          <w:p w14:paraId="1E332B07" w14:textId="77777777" w:rsidR="00416FA8" w:rsidRPr="004B6753" w:rsidRDefault="00416FA8" w:rsidP="004B6753">
            <w:pPr>
              <w:pStyle w:val="NoSpacing"/>
              <w:jc w:val="center"/>
              <w:rPr>
                <w:rFonts w:ascii="Times New Roman" w:hAnsi="Times New Roman" w:cs="Times New Roman"/>
                <w:b/>
                <w:bCs/>
                <w:sz w:val="16"/>
                <w:szCs w:val="16"/>
              </w:rPr>
            </w:pPr>
            <w:r w:rsidRPr="004B6753">
              <w:rPr>
                <w:rFonts w:ascii="Times New Roman" w:hAnsi="Times New Roman" w:cs="Times New Roman"/>
                <w:b/>
                <w:bCs/>
                <w:sz w:val="16"/>
                <w:szCs w:val="16"/>
              </w:rPr>
              <w:t>Govt. commercial schemes</w:t>
            </w:r>
          </w:p>
        </w:tc>
        <w:tc>
          <w:tcPr>
            <w:tcW w:w="0" w:type="auto"/>
            <w:vMerge w:val="restart"/>
            <w:vAlign w:val="center"/>
          </w:tcPr>
          <w:p w14:paraId="2C0677D2" w14:textId="77777777" w:rsidR="00416FA8" w:rsidRPr="004B6753" w:rsidRDefault="00416FA8" w:rsidP="004B6753">
            <w:pPr>
              <w:pStyle w:val="NoSpacing"/>
              <w:jc w:val="center"/>
              <w:rPr>
                <w:rFonts w:ascii="Times New Roman" w:hAnsi="Times New Roman" w:cs="Times New Roman"/>
                <w:b/>
                <w:bCs/>
                <w:sz w:val="16"/>
                <w:szCs w:val="16"/>
              </w:rPr>
            </w:pPr>
            <w:r w:rsidRPr="004B6753">
              <w:rPr>
                <w:rFonts w:ascii="Times New Roman" w:hAnsi="Times New Roman" w:cs="Times New Roman"/>
                <w:b/>
                <w:bCs/>
                <w:sz w:val="16"/>
                <w:szCs w:val="16"/>
              </w:rPr>
              <w:t>Tax collection charges</w:t>
            </w:r>
          </w:p>
        </w:tc>
        <w:tc>
          <w:tcPr>
            <w:tcW w:w="0" w:type="auto"/>
            <w:gridSpan w:val="4"/>
            <w:vAlign w:val="center"/>
          </w:tcPr>
          <w:p w14:paraId="0F2F89AF" w14:textId="03314139" w:rsidR="00416FA8" w:rsidRPr="004B6753" w:rsidRDefault="009102D9" w:rsidP="004B6753">
            <w:pPr>
              <w:pStyle w:val="NoSpacing"/>
              <w:jc w:val="center"/>
              <w:rPr>
                <w:rFonts w:ascii="Times New Roman" w:hAnsi="Times New Roman" w:cs="Times New Roman"/>
                <w:b/>
                <w:bCs/>
                <w:sz w:val="16"/>
                <w:szCs w:val="16"/>
              </w:rPr>
            </w:pPr>
            <w:r w:rsidRPr="004B6753">
              <w:rPr>
                <w:rFonts w:ascii="Times New Roman" w:hAnsi="Times New Roman" w:cs="Times New Roman"/>
                <w:b/>
                <w:bCs/>
                <w:sz w:val="16"/>
                <w:szCs w:val="16"/>
              </w:rPr>
              <w:t>Administrative services</w:t>
            </w:r>
          </w:p>
        </w:tc>
        <w:tc>
          <w:tcPr>
            <w:tcW w:w="5186" w:type="dxa"/>
            <w:gridSpan w:val="6"/>
            <w:vAlign w:val="center"/>
          </w:tcPr>
          <w:p w14:paraId="2DC1C29C" w14:textId="7777626F" w:rsidR="00416FA8" w:rsidRPr="004B6753" w:rsidRDefault="00416FA8" w:rsidP="004B6753">
            <w:pPr>
              <w:pStyle w:val="NoSpacing"/>
              <w:jc w:val="center"/>
              <w:rPr>
                <w:rFonts w:ascii="Times New Roman" w:hAnsi="Times New Roman" w:cs="Times New Roman"/>
                <w:b/>
                <w:bCs/>
                <w:sz w:val="16"/>
                <w:szCs w:val="16"/>
              </w:rPr>
            </w:pPr>
            <w:r w:rsidRPr="004B6753">
              <w:rPr>
                <w:rFonts w:ascii="Times New Roman" w:hAnsi="Times New Roman" w:cs="Times New Roman"/>
                <w:b/>
                <w:bCs/>
                <w:sz w:val="16"/>
                <w:szCs w:val="16"/>
              </w:rPr>
              <w:t xml:space="preserve">Social &amp; </w:t>
            </w:r>
            <w:r w:rsidR="009102D9" w:rsidRPr="004B6753">
              <w:rPr>
                <w:rFonts w:ascii="Times New Roman" w:hAnsi="Times New Roman" w:cs="Times New Roman"/>
                <w:b/>
                <w:bCs/>
                <w:sz w:val="16"/>
                <w:szCs w:val="16"/>
              </w:rPr>
              <w:t>Developmental services</w:t>
            </w:r>
          </w:p>
        </w:tc>
        <w:tc>
          <w:tcPr>
            <w:tcW w:w="1066" w:type="dxa"/>
            <w:vAlign w:val="center"/>
          </w:tcPr>
          <w:p w14:paraId="7D53B1CF" w14:textId="77777777" w:rsidR="00416FA8" w:rsidRPr="004B6753" w:rsidRDefault="00416FA8" w:rsidP="004B6753">
            <w:pPr>
              <w:pStyle w:val="NoSpacing"/>
              <w:jc w:val="center"/>
              <w:rPr>
                <w:rFonts w:ascii="Times New Roman" w:hAnsi="Times New Roman" w:cs="Times New Roman"/>
                <w:b/>
                <w:bCs/>
                <w:sz w:val="16"/>
                <w:szCs w:val="16"/>
              </w:rPr>
            </w:pPr>
          </w:p>
        </w:tc>
        <w:tc>
          <w:tcPr>
            <w:tcW w:w="1071" w:type="dxa"/>
            <w:vAlign w:val="center"/>
          </w:tcPr>
          <w:p w14:paraId="0ED95BEC" w14:textId="77777777" w:rsidR="00416FA8" w:rsidRPr="004B6753" w:rsidRDefault="00416FA8" w:rsidP="004B6753">
            <w:pPr>
              <w:pStyle w:val="NoSpacing"/>
              <w:jc w:val="center"/>
              <w:rPr>
                <w:rFonts w:ascii="Times New Roman" w:hAnsi="Times New Roman" w:cs="Times New Roman"/>
                <w:b/>
                <w:bCs/>
                <w:sz w:val="16"/>
                <w:szCs w:val="16"/>
              </w:rPr>
            </w:pPr>
          </w:p>
        </w:tc>
      </w:tr>
      <w:tr w:rsidR="00416FA8" w:rsidRPr="009102D9" w14:paraId="65A4D245" w14:textId="77777777" w:rsidTr="004B6753">
        <w:trPr>
          <w:trHeight w:val="24"/>
        </w:trPr>
        <w:tc>
          <w:tcPr>
            <w:tcW w:w="1116" w:type="dxa"/>
            <w:vMerge/>
            <w:vAlign w:val="center"/>
            <w:hideMark/>
          </w:tcPr>
          <w:p w14:paraId="2319929A" w14:textId="77777777" w:rsidR="00416FA8" w:rsidRPr="004B6753" w:rsidRDefault="00416FA8" w:rsidP="004B6753">
            <w:pPr>
              <w:pStyle w:val="NoSpacing"/>
              <w:jc w:val="center"/>
              <w:rPr>
                <w:rFonts w:ascii="Times New Roman" w:hAnsi="Times New Roman" w:cs="Times New Roman"/>
                <w:b/>
                <w:bCs/>
                <w:sz w:val="16"/>
                <w:szCs w:val="16"/>
              </w:rPr>
            </w:pPr>
          </w:p>
        </w:tc>
        <w:tc>
          <w:tcPr>
            <w:tcW w:w="796" w:type="dxa"/>
            <w:vMerge/>
            <w:vAlign w:val="center"/>
            <w:hideMark/>
          </w:tcPr>
          <w:p w14:paraId="2719ED25" w14:textId="77777777" w:rsidR="00416FA8" w:rsidRPr="004B6753" w:rsidRDefault="00416FA8" w:rsidP="004B6753">
            <w:pPr>
              <w:pStyle w:val="NoSpacing"/>
              <w:jc w:val="center"/>
              <w:rPr>
                <w:rFonts w:ascii="Times New Roman" w:hAnsi="Times New Roman" w:cs="Times New Roman"/>
                <w:b/>
                <w:bCs/>
                <w:sz w:val="16"/>
                <w:szCs w:val="16"/>
              </w:rPr>
            </w:pPr>
          </w:p>
        </w:tc>
        <w:tc>
          <w:tcPr>
            <w:tcW w:w="1066" w:type="dxa"/>
            <w:vMerge/>
            <w:vAlign w:val="center"/>
            <w:hideMark/>
          </w:tcPr>
          <w:p w14:paraId="28AB7E0F" w14:textId="77777777" w:rsidR="00416FA8" w:rsidRPr="004B6753" w:rsidRDefault="00416FA8" w:rsidP="004B6753">
            <w:pPr>
              <w:pStyle w:val="NoSpacing"/>
              <w:jc w:val="center"/>
              <w:rPr>
                <w:rFonts w:ascii="Times New Roman" w:hAnsi="Times New Roman" w:cs="Times New Roman"/>
                <w:b/>
                <w:bCs/>
                <w:sz w:val="16"/>
                <w:szCs w:val="16"/>
              </w:rPr>
            </w:pPr>
          </w:p>
        </w:tc>
        <w:tc>
          <w:tcPr>
            <w:tcW w:w="0" w:type="auto"/>
            <w:vMerge/>
            <w:vAlign w:val="center"/>
            <w:hideMark/>
          </w:tcPr>
          <w:p w14:paraId="560FC237" w14:textId="77777777" w:rsidR="00416FA8" w:rsidRPr="004B6753" w:rsidRDefault="00416FA8" w:rsidP="004B6753">
            <w:pPr>
              <w:pStyle w:val="NoSpacing"/>
              <w:jc w:val="center"/>
              <w:rPr>
                <w:rFonts w:ascii="Times New Roman" w:hAnsi="Times New Roman" w:cs="Times New Roman"/>
                <w:b/>
                <w:bCs/>
                <w:sz w:val="16"/>
                <w:szCs w:val="16"/>
              </w:rPr>
            </w:pPr>
          </w:p>
        </w:tc>
        <w:tc>
          <w:tcPr>
            <w:tcW w:w="0" w:type="auto"/>
            <w:vAlign w:val="center"/>
            <w:hideMark/>
          </w:tcPr>
          <w:p w14:paraId="359A9DBC" w14:textId="788330E0" w:rsidR="00416FA8" w:rsidRPr="004B6753" w:rsidRDefault="00416FA8" w:rsidP="004B6753">
            <w:pPr>
              <w:pStyle w:val="NoSpacing"/>
              <w:jc w:val="center"/>
              <w:rPr>
                <w:rFonts w:ascii="Times New Roman" w:hAnsi="Times New Roman" w:cs="Times New Roman"/>
                <w:b/>
                <w:bCs/>
                <w:sz w:val="16"/>
                <w:szCs w:val="16"/>
              </w:rPr>
            </w:pPr>
            <w:r w:rsidRPr="004B6753">
              <w:rPr>
                <w:rFonts w:ascii="Times New Roman" w:hAnsi="Times New Roman" w:cs="Times New Roman"/>
                <w:b/>
                <w:bCs/>
                <w:sz w:val="16"/>
                <w:szCs w:val="16"/>
              </w:rPr>
              <w:t xml:space="preserve">General </w:t>
            </w:r>
            <w:r w:rsidR="009102D9" w:rsidRPr="004B6753">
              <w:rPr>
                <w:rFonts w:ascii="Times New Roman" w:hAnsi="Times New Roman" w:cs="Times New Roman"/>
                <w:b/>
                <w:bCs/>
                <w:sz w:val="16"/>
                <w:szCs w:val="16"/>
              </w:rPr>
              <w:t>administration</w:t>
            </w:r>
          </w:p>
        </w:tc>
        <w:tc>
          <w:tcPr>
            <w:tcW w:w="0" w:type="auto"/>
            <w:vAlign w:val="center"/>
            <w:hideMark/>
          </w:tcPr>
          <w:p w14:paraId="07A20267" w14:textId="77777777" w:rsidR="00416FA8" w:rsidRPr="004B6753" w:rsidRDefault="00416FA8" w:rsidP="004B6753">
            <w:pPr>
              <w:pStyle w:val="NoSpacing"/>
              <w:jc w:val="center"/>
              <w:rPr>
                <w:rFonts w:ascii="Times New Roman" w:hAnsi="Times New Roman" w:cs="Times New Roman"/>
                <w:b/>
                <w:bCs/>
                <w:sz w:val="16"/>
                <w:szCs w:val="16"/>
              </w:rPr>
            </w:pPr>
            <w:r w:rsidRPr="004B6753">
              <w:rPr>
                <w:rFonts w:ascii="Times New Roman" w:hAnsi="Times New Roman" w:cs="Times New Roman"/>
                <w:b/>
                <w:bCs/>
                <w:sz w:val="16"/>
                <w:szCs w:val="16"/>
              </w:rPr>
              <w:t>Police</w:t>
            </w:r>
          </w:p>
        </w:tc>
        <w:tc>
          <w:tcPr>
            <w:tcW w:w="1256" w:type="dxa"/>
            <w:vAlign w:val="center"/>
            <w:hideMark/>
          </w:tcPr>
          <w:p w14:paraId="6D42D95F" w14:textId="0D822864" w:rsidR="00416FA8" w:rsidRPr="004B6753" w:rsidRDefault="00416FA8" w:rsidP="004B6753">
            <w:pPr>
              <w:pStyle w:val="NoSpacing"/>
              <w:jc w:val="center"/>
              <w:rPr>
                <w:rFonts w:ascii="Times New Roman" w:hAnsi="Times New Roman" w:cs="Times New Roman"/>
                <w:b/>
                <w:bCs/>
                <w:sz w:val="16"/>
                <w:szCs w:val="16"/>
              </w:rPr>
            </w:pPr>
            <w:r w:rsidRPr="004B6753">
              <w:rPr>
                <w:rFonts w:ascii="Times New Roman" w:hAnsi="Times New Roman" w:cs="Times New Roman"/>
                <w:b/>
                <w:bCs/>
                <w:sz w:val="16"/>
                <w:szCs w:val="16"/>
              </w:rPr>
              <w:t xml:space="preserve">Other </w:t>
            </w:r>
            <w:r w:rsidR="009102D9" w:rsidRPr="004B6753">
              <w:rPr>
                <w:rFonts w:ascii="Times New Roman" w:hAnsi="Times New Roman" w:cs="Times New Roman"/>
                <w:b/>
                <w:bCs/>
                <w:sz w:val="16"/>
                <w:szCs w:val="16"/>
              </w:rPr>
              <w:t xml:space="preserve">administration </w:t>
            </w:r>
            <w:r w:rsidRPr="004B6753">
              <w:rPr>
                <w:rFonts w:ascii="Times New Roman" w:hAnsi="Times New Roman" w:cs="Times New Roman"/>
                <w:b/>
                <w:bCs/>
                <w:sz w:val="16"/>
                <w:szCs w:val="16"/>
              </w:rPr>
              <w:t>services</w:t>
            </w:r>
          </w:p>
        </w:tc>
        <w:tc>
          <w:tcPr>
            <w:tcW w:w="1256" w:type="dxa"/>
            <w:vAlign w:val="center"/>
            <w:hideMark/>
          </w:tcPr>
          <w:p w14:paraId="3899F4F1" w14:textId="1D21122A" w:rsidR="00416FA8" w:rsidRPr="004B6753" w:rsidRDefault="00416FA8" w:rsidP="004B6753">
            <w:pPr>
              <w:pStyle w:val="NoSpacing"/>
              <w:jc w:val="center"/>
              <w:rPr>
                <w:rFonts w:ascii="Times New Roman" w:hAnsi="Times New Roman" w:cs="Times New Roman"/>
                <w:b/>
                <w:bCs/>
                <w:sz w:val="16"/>
                <w:szCs w:val="16"/>
              </w:rPr>
            </w:pPr>
            <w:r w:rsidRPr="004B6753">
              <w:rPr>
                <w:rFonts w:ascii="Times New Roman" w:hAnsi="Times New Roman" w:cs="Times New Roman"/>
                <w:b/>
                <w:bCs/>
                <w:sz w:val="16"/>
                <w:szCs w:val="16"/>
              </w:rPr>
              <w:t xml:space="preserve">Total </w:t>
            </w:r>
            <w:r w:rsidR="009102D9" w:rsidRPr="004B6753">
              <w:rPr>
                <w:rFonts w:ascii="Times New Roman" w:hAnsi="Times New Roman" w:cs="Times New Roman"/>
                <w:b/>
                <w:bCs/>
                <w:sz w:val="16"/>
                <w:szCs w:val="16"/>
              </w:rPr>
              <w:t>administration</w:t>
            </w:r>
            <w:r w:rsidRPr="004B6753">
              <w:rPr>
                <w:rFonts w:ascii="Times New Roman" w:hAnsi="Times New Roman" w:cs="Times New Roman"/>
                <w:b/>
                <w:bCs/>
                <w:sz w:val="16"/>
                <w:szCs w:val="16"/>
              </w:rPr>
              <w:t xml:space="preserve"> services</w:t>
            </w:r>
          </w:p>
        </w:tc>
        <w:tc>
          <w:tcPr>
            <w:tcW w:w="0" w:type="auto"/>
            <w:vAlign w:val="center"/>
            <w:hideMark/>
          </w:tcPr>
          <w:p w14:paraId="05569CE4" w14:textId="77777777" w:rsidR="00416FA8" w:rsidRPr="004B6753" w:rsidRDefault="00416FA8" w:rsidP="004B6753">
            <w:pPr>
              <w:pStyle w:val="NoSpacing"/>
              <w:jc w:val="center"/>
              <w:rPr>
                <w:rFonts w:ascii="Times New Roman" w:hAnsi="Times New Roman" w:cs="Times New Roman"/>
                <w:b/>
                <w:bCs/>
                <w:sz w:val="16"/>
                <w:szCs w:val="16"/>
              </w:rPr>
            </w:pPr>
            <w:r w:rsidRPr="004B6753">
              <w:rPr>
                <w:rFonts w:ascii="Times New Roman" w:hAnsi="Times New Roman" w:cs="Times New Roman"/>
                <w:b/>
                <w:bCs/>
                <w:sz w:val="16"/>
                <w:szCs w:val="16"/>
              </w:rPr>
              <w:t>Education</w:t>
            </w:r>
          </w:p>
        </w:tc>
        <w:tc>
          <w:tcPr>
            <w:tcW w:w="0" w:type="auto"/>
            <w:vAlign w:val="center"/>
            <w:hideMark/>
          </w:tcPr>
          <w:p w14:paraId="66CD9A69" w14:textId="77777777" w:rsidR="00416FA8" w:rsidRPr="004B6753" w:rsidRDefault="00416FA8" w:rsidP="004B6753">
            <w:pPr>
              <w:pStyle w:val="NoSpacing"/>
              <w:jc w:val="center"/>
              <w:rPr>
                <w:rFonts w:ascii="Times New Roman" w:hAnsi="Times New Roman" w:cs="Times New Roman"/>
                <w:b/>
                <w:bCs/>
                <w:sz w:val="16"/>
                <w:szCs w:val="16"/>
              </w:rPr>
            </w:pPr>
            <w:r w:rsidRPr="004B6753">
              <w:rPr>
                <w:rFonts w:ascii="Times New Roman" w:hAnsi="Times New Roman" w:cs="Times New Roman"/>
                <w:b/>
                <w:bCs/>
                <w:sz w:val="16"/>
                <w:szCs w:val="16"/>
              </w:rPr>
              <w:t>Medical</w:t>
            </w:r>
          </w:p>
        </w:tc>
        <w:tc>
          <w:tcPr>
            <w:tcW w:w="0" w:type="auto"/>
            <w:vAlign w:val="center"/>
            <w:hideMark/>
          </w:tcPr>
          <w:p w14:paraId="78A9A833" w14:textId="77777777" w:rsidR="00416FA8" w:rsidRPr="004B6753" w:rsidRDefault="00416FA8" w:rsidP="004B6753">
            <w:pPr>
              <w:pStyle w:val="NoSpacing"/>
              <w:jc w:val="center"/>
              <w:rPr>
                <w:rFonts w:ascii="Times New Roman" w:hAnsi="Times New Roman" w:cs="Times New Roman"/>
                <w:b/>
                <w:bCs/>
                <w:sz w:val="16"/>
                <w:szCs w:val="16"/>
              </w:rPr>
            </w:pPr>
            <w:r w:rsidRPr="004B6753">
              <w:rPr>
                <w:rFonts w:ascii="Times New Roman" w:hAnsi="Times New Roman" w:cs="Times New Roman"/>
                <w:b/>
                <w:bCs/>
                <w:sz w:val="16"/>
                <w:szCs w:val="16"/>
              </w:rPr>
              <w:t>Public Health</w:t>
            </w:r>
          </w:p>
        </w:tc>
        <w:tc>
          <w:tcPr>
            <w:tcW w:w="1046" w:type="dxa"/>
            <w:vAlign w:val="center"/>
            <w:hideMark/>
          </w:tcPr>
          <w:p w14:paraId="1FA6A89C" w14:textId="77777777" w:rsidR="00416FA8" w:rsidRPr="004B6753" w:rsidRDefault="00416FA8" w:rsidP="004B6753">
            <w:pPr>
              <w:pStyle w:val="NoSpacing"/>
              <w:jc w:val="center"/>
              <w:rPr>
                <w:rFonts w:ascii="Times New Roman" w:hAnsi="Times New Roman" w:cs="Times New Roman"/>
                <w:b/>
                <w:bCs/>
                <w:sz w:val="16"/>
                <w:szCs w:val="16"/>
              </w:rPr>
            </w:pPr>
            <w:r w:rsidRPr="004B6753">
              <w:rPr>
                <w:rFonts w:ascii="Times New Roman" w:hAnsi="Times New Roman" w:cs="Times New Roman"/>
                <w:b/>
                <w:bCs/>
                <w:sz w:val="16"/>
                <w:szCs w:val="16"/>
              </w:rPr>
              <w:t>Agriculture and Animal Husbandry</w:t>
            </w:r>
          </w:p>
        </w:tc>
        <w:tc>
          <w:tcPr>
            <w:tcW w:w="846" w:type="dxa"/>
            <w:vAlign w:val="center"/>
            <w:hideMark/>
          </w:tcPr>
          <w:p w14:paraId="579F3AB8" w14:textId="77777777" w:rsidR="00416FA8" w:rsidRPr="004B6753" w:rsidRDefault="00416FA8" w:rsidP="004B6753">
            <w:pPr>
              <w:pStyle w:val="NoSpacing"/>
              <w:jc w:val="center"/>
              <w:rPr>
                <w:rFonts w:ascii="Times New Roman" w:hAnsi="Times New Roman" w:cs="Times New Roman"/>
                <w:b/>
                <w:bCs/>
                <w:sz w:val="16"/>
                <w:szCs w:val="16"/>
              </w:rPr>
            </w:pPr>
            <w:r w:rsidRPr="004B6753">
              <w:rPr>
                <w:rFonts w:ascii="Times New Roman" w:hAnsi="Times New Roman" w:cs="Times New Roman"/>
                <w:b/>
                <w:bCs/>
                <w:sz w:val="16"/>
                <w:szCs w:val="16"/>
              </w:rPr>
              <w:t>Other social and develop-mental services</w:t>
            </w:r>
          </w:p>
        </w:tc>
        <w:tc>
          <w:tcPr>
            <w:tcW w:w="846" w:type="dxa"/>
            <w:vAlign w:val="center"/>
            <w:hideMark/>
          </w:tcPr>
          <w:p w14:paraId="129C7AB7" w14:textId="77777777" w:rsidR="00416FA8" w:rsidRPr="004B6753" w:rsidRDefault="00416FA8" w:rsidP="004B6753">
            <w:pPr>
              <w:pStyle w:val="NoSpacing"/>
              <w:jc w:val="center"/>
              <w:rPr>
                <w:rFonts w:ascii="Times New Roman" w:hAnsi="Times New Roman" w:cs="Times New Roman"/>
                <w:b/>
                <w:bCs/>
                <w:sz w:val="16"/>
                <w:szCs w:val="16"/>
              </w:rPr>
            </w:pPr>
            <w:r w:rsidRPr="004B6753">
              <w:rPr>
                <w:rFonts w:ascii="Times New Roman" w:hAnsi="Times New Roman" w:cs="Times New Roman"/>
                <w:b/>
                <w:bCs/>
                <w:sz w:val="16"/>
                <w:szCs w:val="16"/>
              </w:rPr>
              <w:t>Total social and develop-mental services</w:t>
            </w:r>
          </w:p>
        </w:tc>
        <w:tc>
          <w:tcPr>
            <w:tcW w:w="1066" w:type="dxa"/>
            <w:vAlign w:val="center"/>
            <w:hideMark/>
          </w:tcPr>
          <w:p w14:paraId="181C781A" w14:textId="77777777" w:rsidR="00416FA8" w:rsidRPr="004B6753" w:rsidRDefault="00416FA8" w:rsidP="004B6753">
            <w:pPr>
              <w:pStyle w:val="NoSpacing"/>
              <w:jc w:val="center"/>
              <w:rPr>
                <w:rFonts w:ascii="Times New Roman" w:hAnsi="Times New Roman" w:cs="Times New Roman"/>
                <w:b/>
                <w:bCs/>
                <w:sz w:val="16"/>
                <w:szCs w:val="16"/>
              </w:rPr>
            </w:pPr>
            <w:r w:rsidRPr="004B6753">
              <w:rPr>
                <w:rFonts w:ascii="Times New Roman" w:hAnsi="Times New Roman" w:cs="Times New Roman"/>
                <w:b/>
                <w:bCs/>
                <w:sz w:val="16"/>
                <w:szCs w:val="16"/>
              </w:rPr>
              <w:t>Total ordinary expenditure (Cols. 4+8+14)</w:t>
            </w:r>
          </w:p>
        </w:tc>
        <w:tc>
          <w:tcPr>
            <w:tcW w:w="1066" w:type="dxa"/>
            <w:vAlign w:val="center"/>
            <w:hideMark/>
          </w:tcPr>
          <w:p w14:paraId="17384B13" w14:textId="77777777" w:rsidR="00416FA8" w:rsidRPr="004B6753" w:rsidRDefault="00416FA8" w:rsidP="004B6753">
            <w:pPr>
              <w:pStyle w:val="NoSpacing"/>
              <w:jc w:val="center"/>
              <w:rPr>
                <w:rFonts w:ascii="Times New Roman" w:hAnsi="Times New Roman" w:cs="Times New Roman"/>
                <w:b/>
                <w:bCs/>
                <w:sz w:val="16"/>
                <w:szCs w:val="16"/>
              </w:rPr>
            </w:pPr>
            <w:r w:rsidRPr="004B6753">
              <w:rPr>
                <w:rFonts w:ascii="Times New Roman" w:hAnsi="Times New Roman" w:cs="Times New Roman"/>
                <w:b/>
                <w:bCs/>
                <w:sz w:val="16"/>
                <w:szCs w:val="16"/>
              </w:rPr>
              <w:t>Total Revenue expenditure</w:t>
            </w:r>
          </w:p>
        </w:tc>
      </w:tr>
      <w:tr w:rsidR="00416FA8" w:rsidRPr="009102D9" w14:paraId="19C74B67" w14:textId="77777777" w:rsidTr="004B6753">
        <w:trPr>
          <w:trHeight w:val="24"/>
        </w:trPr>
        <w:tc>
          <w:tcPr>
            <w:tcW w:w="1116" w:type="dxa"/>
            <w:vAlign w:val="center"/>
            <w:hideMark/>
          </w:tcPr>
          <w:p w14:paraId="7F238E02" w14:textId="77777777" w:rsidR="00416FA8" w:rsidRPr="004B6753" w:rsidRDefault="00416FA8" w:rsidP="004B6753">
            <w:pPr>
              <w:pStyle w:val="NoSpacing"/>
              <w:jc w:val="center"/>
              <w:rPr>
                <w:rFonts w:ascii="Times New Roman" w:hAnsi="Times New Roman" w:cs="Times New Roman"/>
                <w:b/>
                <w:bCs/>
                <w:sz w:val="16"/>
                <w:szCs w:val="16"/>
              </w:rPr>
            </w:pPr>
            <w:r w:rsidRPr="004B6753">
              <w:rPr>
                <w:rFonts w:ascii="Times New Roman" w:hAnsi="Times New Roman" w:cs="Times New Roman"/>
                <w:b/>
                <w:bCs/>
                <w:sz w:val="16"/>
                <w:szCs w:val="16"/>
              </w:rPr>
              <w:t>I</w:t>
            </w:r>
          </w:p>
        </w:tc>
        <w:tc>
          <w:tcPr>
            <w:tcW w:w="796" w:type="dxa"/>
            <w:vAlign w:val="center"/>
            <w:hideMark/>
          </w:tcPr>
          <w:p w14:paraId="120BE6FA" w14:textId="77777777" w:rsidR="00416FA8" w:rsidRPr="004B6753" w:rsidRDefault="00416FA8" w:rsidP="004B6753">
            <w:pPr>
              <w:pStyle w:val="NoSpacing"/>
              <w:jc w:val="center"/>
              <w:rPr>
                <w:rFonts w:ascii="Times New Roman" w:hAnsi="Times New Roman" w:cs="Times New Roman"/>
                <w:b/>
                <w:bCs/>
                <w:sz w:val="16"/>
                <w:szCs w:val="16"/>
              </w:rPr>
            </w:pPr>
            <w:r w:rsidRPr="004B6753">
              <w:rPr>
                <w:rFonts w:ascii="Times New Roman" w:hAnsi="Times New Roman" w:cs="Times New Roman"/>
                <w:b/>
                <w:bCs/>
                <w:sz w:val="16"/>
                <w:szCs w:val="16"/>
              </w:rPr>
              <w:t>2</w:t>
            </w:r>
          </w:p>
        </w:tc>
        <w:tc>
          <w:tcPr>
            <w:tcW w:w="1066" w:type="dxa"/>
            <w:vAlign w:val="center"/>
            <w:hideMark/>
          </w:tcPr>
          <w:p w14:paraId="6DA8CF39" w14:textId="77777777" w:rsidR="00416FA8" w:rsidRPr="004B6753" w:rsidRDefault="00416FA8" w:rsidP="004B6753">
            <w:pPr>
              <w:pStyle w:val="NoSpacing"/>
              <w:jc w:val="center"/>
              <w:rPr>
                <w:rFonts w:ascii="Times New Roman" w:hAnsi="Times New Roman" w:cs="Times New Roman"/>
                <w:b/>
                <w:bCs/>
                <w:sz w:val="16"/>
                <w:szCs w:val="16"/>
              </w:rPr>
            </w:pPr>
            <w:r w:rsidRPr="004B6753">
              <w:rPr>
                <w:rFonts w:ascii="Times New Roman" w:hAnsi="Times New Roman" w:cs="Times New Roman"/>
                <w:b/>
                <w:bCs/>
                <w:sz w:val="16"/>
                <w:szCs w:val="16"/>
              </w:rPr>
              <w:t>3</w:t>
            </w:r>
          </w:p>
        </w:tc>
        <w:tc>
          <w:tcPr>
            <w:tcW w:w="0" w:type="auto"/>
            <w:vAlign w:val="center"/>
            <w:hideMark/>
          </w:tcPr>
          <w:p w14:paraId="0022A5B6" w14:textId="77777777" w:rsidR="00416FA8" w:rsidRPr="004B6753" w:rsidRDefault="00416FA8" w:rsidP="004B6753">
            <w:pPr>
              <w:pStyle w:val="NoSpacing"/>
              <w:jc w:val="center"/>
              <w:rPr>
                <w:rFonts w:ascii="Times New Roman" w:hAnsi="Times New Roman" w:cs="Times New Roman"/>
                <w:b/>
                <w:bCs/>
                <w:sz w:val="16"/>
                <w:szCs w:val="16"/>
              </w:rPr>
            </w:pPr>
            <w:r w:rsidRPr="004B6753">
              <w:rPr>
                <w:rFonts w:ascii="Times New Roman" w:hAnsi="Times New Roman" w:cs="Times New Roman"/>
                <w:b/>
                <w:bCs/>
                <w:sz w:val="16"/>
                <w:szCs w:val="16"/>
              </w:rPr>
              <w:t>4</w:t>
            </w:r>
          </w:p>
        </w:tc>
        <w:tc>
          <w:tcPr>
            <w:tcW w:w="0" w:type="auto"/>
            <w:vAlign w:val="center"/>
            <w:hideMark/>
          </w:tcPr>
          <w:p w14:paraId="4C3BEF17" w14:textId="77777777" w:rsidR="00416FA8" w:rsidRPr="004B6753" w:rsidRDefault="00416FA8" w:rsidP="004B6753">
            <w:pPr>
              <w:pStyle w:val="NoSpacing"/>
              <w:jc w:val="center"/>
              <w:rPr>
                <w:rFonts w:ascii="Times New Roman" w:hAnsi="Times New Roman" w:cs="Times New Roman"/>
                <w:b/>
                <w:bCs/>
                <w:sz w:val="16"/>
                <w:szCs w:val="16"/>
              </w:rPr>
            </w:pPr>
            <w:r w:rsidRPr="004B6753">
              <w:rPr>
                <w:rFonts w:ascii="Times New Roman" w:hAnsi="Times New Roman" w:cs="Times New Roman"/>
                <w:b/>
                <w:bCs/>
                <w:sz w:val="16"/>
                <w:szCs w:val="16"/>
              </w:rPr>
              <w:t>5</w:t>
            </w:r>
          </w:p>
        </w:tc>
        <w:tc>
          <w:tcPr>
            <w:tcW w:w="0" w:type="auto"/>
            <w:vAlign w:val="center"/>
            <w:hideMark/>
          </w:tcPr>
          <w:p w14:paraId="32501322" w14:textId="77777777" w:rsidR="00416FA8" w:rsidRPr="004B6753" w:rsidRDefault="00416FA8" w:rsidP="004B6753">
            <w:pPr>
              <w:pStyle w:val="NoSpacing"/>
              <w:jc w:val="center"/>
              <w:rPr>
                <w:rFonts w:ascii="Times New Roman" w:hAnsi="Times New Roman" w:cs="Times New Roman"/>
                <w:b/>
                <w:bCs/>
                <w:sz w:val="16"/>
                <w:szCs w:val="16"/>
              </w:rPr>
            </w:pPr>
            <w:r w:rsidRPr="004B6753">
              <w:rPr>
                <w:rFonts w:ascii="Times New Roman" w:hAnsi="Times New Roman" w:cs="Times New Roman"/>
                <w:b/>
                <w:bCs/>
                <w:sz w:val="16"/>
                <w:szCs w:val="16"/>
              </w:rPr>
              <w:t>6</w:t>
            </w:r>
          </w:p>
        </w:tc>
        <w:tc>
          <w:tcPr>
            <w:tcW w:w="1256" w:type="dxa"/>
            <w:vAlign w:val="center"/>
            <w:hideMark/>
          </w:tcPr>
          <w:p w14:paraId="44FAD60B" w14:textId="77777777" w:rsidR="00416FA8" w:rsidRPr="004B6753" w:rsidRDefault="00416FA8" w:rsidP="004B6753">
            <w:pPr>
              <w:pStyle w:val="NoSpacing"/>
              <w:jc w:val="center"/>
              <w:rPr>
                <w:rFonts w:ascii="Times New Roman" w:hAnsi="Times New Roman" w:cs="Times New Roman"/>
                <w:b/>
                <w:bCs/>
                <w:sz w:val="16"/>
                <w:szCs w:val="16"/>
              </w:rPr>
            </w:pPr>
            <w:r w:rsidRPr="004B6753">
              <w:rPr>
                <w:rFonts w:ascii="Times New Roman" w:hAnsi="Times New Roman" w:cs="Times New Roman"/>
                <w:b/>
                <w:bCs/>
                <w:sz w:val="16"/>
                <w:szCs w:val="16"/>
              </w:rPr>
              <w:t>7</w:t>
            </w:r>
          </w:p>
        </w:tc>
        <w:tc>
          <w:tcPr>
            <w:tcW w:w="1256" w:type="dxa"/>
            <w:vAlign w:val="center"/>
            <w:hideMark/>
          </w:tcPr>
          <w:p w14:paraId="65F243E7" w14:textId="77777777" w:rsidR="00416FA8" w:rsidRPr="004B6753" w:rsidRDefault="00416FA8" w:rsidP="004B6753">
            <w:pPr>
              <w:pStyle w:val="NoSpacing"/>
              <w:jc w:val="center"/>
              <w:rPr>
                <w:rFonts w:ascii="Times New Roman" w:hAnsi="Times New Roman" w:cs="Times New Roman"/>
                <w:b/>
                <w:bCs/>
                <w:sz w:val="16"/>
                <w:szCs w:val="16"/>
              </w:rPr>
            </w:pPr>
            <w:r w:rsidRPr="004B6753">
              <w:rPr>
                <w:rFonts w:ascii="Times New Roman" w:hAnsi="Times New Roman" w:cs="Times New Roman"/>
                <w:b/>
                <w:bCs/>
                <w:sz w:val="16"/>
                <w:szCs w:val="16"/>
              </w:rPr>
              <w:t>8</w:t>
            </w:r>
          </w:p>
        </w:tc>
        <w:tc>
          <w:tcPr>
            <w:tcW w:w="0" w:type="auto"/>
            <w:vAlign w:val="center"/>
            <w:hideMark/>
          </w:tcPr>
          <w:p w14:paraId="1A23E1F1" w14:textId="77777777" w:rsidR="00416FA8" w:rsidRPr="004B6753" w:rsidRDefault="00416FA8" w:rsidP="004B6753">
            <w:pPr>
              <w:pStyle w:val="NoSpacing"/>
              <w:jc w:val="center"/>
              <w:rPr>
                <w:rFonts w:ascii="Times New Roman" w:hAnsi="Times New Roman" w:cs="Times New Roman"/>
                <w:b/>
                <w:bCs/>
                <w:sz w:val="16"/>
                <w:szCs w:val="16"/>
              </w:rPr>
            </w:pPr>
            <w:r w:rsidRPr="004B6753">
              <w:rPr>
                <w:rFonts w:ascii="Times New Roman" w:hAnsi="Times New Roman" w:cs="Times New Roman"/>
                <w:b/>
                <w:bCs/>
                <w:sz w:val="16"/>
                <w:szCs w:val="16"/>
              </w:rPr>
              <w:t>9</w:t>
            </w:r>
          </w:p>
        </w:tc>
        <w:tc>
          <w:tcPr>
            <w:tcW w:w="0" w:type="auto"/>
            <w:vAlign w:val="center"/>
            <w:hideMark/>
          </w:tcPr>
          <w:p w14:paraId="6D9F990A" w14:textId="77777777" w:rsidR="00416FA8" w:rsidRPr="004B6753" w:rsidRDefault="00416FA8" w:rsidP="004B6753">
            <w:pPr>
              <w:pStyle w:val="NoSpacing"/>
              <w:jc w:val="center"/>
              <w:rPr>
                <w:rFonts w:ascii="Times New Roman" w:hAnsi="Times New Roman" w:cs="Times New Roman"/>
                <w:b/>
                <w:bCs/>
                <w:sz w:val="16"/>
                <w:szCs w:val="16"/>
              </w:rPr>
            </w:pPr>
            <w:r w:rsidRPr="004B6753">
              <w:rPr>
                <w:rFonts w:ascii="Times New Roman" w:hAnsi="Times New Roman" w:cs="Times New Roman"/>
                <w:b/>
                <w:bCs/>
                <w:sz w:val="16"/>
                <w:szCs w:val="16"/>
              </w:rPr>
              <w:t>10</w:t>
            </w:r>
          </w:p>
        </w:tc>
        <w:tc>
          <w:tcPr>
            <w:tcW w:w="0" w:type="auto"/>
            <w:vAlign w:val="center"/>
            <w:hideMark/>
          </w:tcPr>
          <w:p w14:paraId="1EBF0135" w14:textId="77777777" w:rsidR="00416FA8" w:rsidRPr="004B6753" w:rsidRDefault="00416FA8" w:rsidP="004B6753">
            <w:pPr>
              <w:pStyle w:val="NoSpacing"/>
              <w:jc w:val="center"/>
              <w:rPr>
                <w:rFonts w:ascii="Times New Roman" w:hAnsi="Times New Roman" w:cs="Times New Roman"/>
                <w:b/>
                <w:bCs/>
                <w:sz w:val="16"/>
                <w:szCs w:val="16"/>
              </w:rPr>
            </w:pPr>
            <w:r w:rsidRPr="004B6753">
              <w:rPr>
                <w:rFonts w:ascii="Times New Roman" w:hAnsi="Times New Roman" w:cs="Times New Roman"/>
                <w:b/>
                <w:bCs/>
                <w:sz w:val="16"/>
                <w:szCs w:val="16"/>
              </w:rPr>
              <w:t>11</w:t>
            </w:r>
          </w:p>
        </w:tc>
        <w:tc>
          <w:tcPr>
            <w:tcW w:w="1046" w:type="dxa"/>
            <w:vAlign w:val="center"/>
            <w:hideMark/>
          </w:tcPr>
          <w:p w14:paraId="209E0960" w14:textId="77777777" w:rsidR="00416FA8" w:rsidRPr="004B6753" w:rsidRDefault="00416FA8" w:rsidP="004B6753">
            <w:pPr>
              <w:pStyle w:val="NoSpacing"/>
              <w:jc w:val="center"/>
              <w:rPr>
                <w:rFonts w:ascii="Times New Roman" w:hAnsi="Times New Roman" w:cs="Times New Roman"/>
                <w:b/>
                <w:bCs/>
                <w:sz w:val="16"/>
                <w:szCs w:val="16"/>
              </w:rPr>
            </w:pPr>
            <w:r w:rsidRPr="004B6753">
              <w:rPr>
                <w:rFonts w:ascii="Times New Roman" w:hAnsi="Times New Roman" w:cs="Times New Roman"/>
                <w:b/>
                <w:bCs/>
                <w:sz w:val="16"/>
                <w:szCs w:val="16"/>
              </w:rPr>
              <w:t>12</w:t>
            </w:r>
          </w:p>
        </w:tc>
        <w:tc>
          <w:tcPr>
            <w:tcW w:w="846" w:type="dxa"/>
            <w:vAlign w:val="center"/>
            <w:hideMark/>
          </w:tcPr>
          <w:p w14:paraId="69DA6769" w14:textId="77777777" w:rsidR="00416FA8" w:rsidRPr="004B6753" w:rsidRDefault="00416FA8" w:rsidP="004B6753">
            <w:pPr>
              <w:pStyle w:val="NoSpacing"/>
              <w:jc w:val="center"/>
              <w:rPr>
                <w:rFonts w:ascii="Times New Roman" w:hAnsi="Times New Roman" w:cs="Times New Roman"/>
                <w:b/>
                <w:bCs/>
                <w:sz w:val="16"/>
                <w:szCs w:val="16"/>
              </w:rPr>
            </w:pPr>
            <w:r w:rsidRPr="004B6753">
              <w:rPr>
                <w:rFonts w:ascii="Times New Roman" w:hAnsi="Times New Roman" w:cs="Times New Roman"/>
                <w:b/>
                <w:bCs/>
                <w:sz w:val="16"/>
                <w:szCs w:val="16"/>
              </w:rPr>
              <w:t>13</w:t>
            </w:r>
          </w:p>
        </w:tc>
        <w:tc>
          <w:tcPr>
            <w:tcW w:w="846" w:type="dxa"/>
            <w:vAlign w:val="center"/>
            <w:hideMark/>
          </w:tcPr>
          <w:p w14:paraId="7ABE288B" w14:textId="77777777" w:rsidR="00416FA8" w:rsidRPr="004B6753" w:rsidRDefault="00416FA8" w:rsidP="004B6753">
            <w:pPr>
              <w:pStyle w:val="NoSpacing"/>
              <w:jc w:val="center"/>
              <w:rPr>
                <w:rFonts w:ascii="Times New Roman" w:hAnsi="Times New Roman" w:cs="Times New Roman"/>
                <w:b/>
                <w:bCs/>
                <w:sz w:val="16"/>
                <w:szCs w:val="16"/>
              </w:rPr>
            </w:pPr>
            <w:r w:rsidRPr="004B6753">
              <w:rPr>
                <w:rFonts w:ascii="Times New Roman" w:hAnsi="Times New Roman" w:cs="Times New Roman"/>
                <w:b/>
                <w:bCs/>
                <w:sz w:val="16"/>
                <w:szCs w:val="16"/>
              </w:rPr>
              <w:t>14</w:t>
            </w:r>
          </w:p>
        </w:tc>
        <w:tc>
          <w:tcPr>
            <w:tcW w:w="1066" w:type="dxa"/>
            <w:vAlign w:val="center"/>
            <w:hideMark/>
          </w:tcPr>
          <w:p w14:paraId="6C2650EF" w14:textId="77777777" w:rsidR="00416FA8" w:rsidRPr="004B6753" w:rsidRDefault="00416FA8" w:rsidP="004B6753">
            <w:pPr>
              <w:pStyle w:val="NoSpacing"/>
              <w:jc w:val="center"/>
              <w:rPr>
                <w:rFonts w:ascii="Times New Roman" w:hAnsi="Times New Roman" w:cs="Times New Roman"/>
                <w:b/>
                <w:bCs/>
                <w:sz w:val="16"/>
                <w:szCs w:val="16"/>
              </w:rPr>
            </w:pPr>
            <w:r w:rsidRPr="004B6753">
              <w:rPr>
                <w:rFonts w:ascii="Times New Roman" w:hAnsi="Times New Roman" w:cs="Times New Roman"/>
                <w:b/>
                <w:bCs/>
                <w:sz w:val="16"/>
                <w:szCs w:val="16"/>
              </w:rPr>
              <w:t>15</w:t>
            </w:r>
          </w:p>
        </w:tc>
        <w:tc>
          <w:tcPr>
            <w:tcW w:w="1066" w:type="dxa"/>
            <w:vAlign w:val="center"/>
            <w:hideMark/>
          </w:tcPr>
          <w:p w14:paraId="14FBC528" w14:textId="77777777" w:rsidR="00416FA8" w:rsidRPr="004B6753" w:rsidRDefault="00416FA8" w:rsidP="004B6753">
            <w:pPr>
              <w:pStyle w:val="NoSpacing"/>
              <w:jc w:val="center"/>
              <w:rPr>
                <w:rFonts w:ascii="Times New Roman" w:hAnsi="Times New Roman" w:cs="Times New Roman"/>
                <w:b/>
                <w:bCs/>
                <w:sz w:val="16"/>
                <w:szCs w:val="16"/>
              </w:rPr>
            </w:pPr>
            <w:r w:rsidRPr="004B6753">
              <w:rPr>
                <w:rFonts w:ascii="Times New Roman" w:hAnsi="Times New Roman" w:cs="Times New Roman"/>
                <w:b/>
                <w:bCs/>
                <w:sz w:val="16"/>
                <w:szCs w:val="16"/>
              </w:rPr>
              <w:t>16</w:t>
            </w:r>
          </w:p>
        </w:tc>
      </w:tr>
      <w:tr w:rsidR="00416FA8" w:rsidRPr="009102D9" w14:paraId="5979C16D" w14:textId="77777777" w:rsidTr="004B6753">
        <w:trPr>
          <w:trHeight w:val="24"/>
        </w:trPr>
        <w:tc>
          <w:tcPr>
            <w:tcW w:w="1116" w:type="dxa"/>
            <w:hideMark/>
          </w:tcPr>
          <w:p w14:paraId="0DA466EB" w14:textId="77777777" w:rsidR="00416FA8" w:rsidRPr="009102D9" w:rsidRDefault="00416FA8" w:rsidP="00B77C0B">
            <w:pPr>
              <w:pStyle w:val="NoSpacing"/>
              <w:rPr>
                <w:rFonts w:ascii="Times New Roman" w:hAnsi="Times New Roman" w:cs="Times New Roman"/>
                <w:sz w:val="18"/>
                <w:szCs w:val="18"/>
              </w:rPr>
            </w:pPr>
            <w:r w:rsidRPr="009102D9">
              <w:rPr>
                <w:rFonts w:ascii="Times New Roman" w:hAnsi="Times New Roman" w:cs="Times New Roman"/>
                <w:sz w:val="18"/>
                <w:szCs w:val="18"/>
              </w:rPr>
              <w:t>Andhra Pradesh</w:t>
            </w:r>
          </w:p>
        </w:tc>
        <w:tc>
          <w:tcPr>
            <w:tcW w:w="796" w:type="dxa"/>
            <w:vAlign w:val="center"/>
            <w:hideMark/>
          </w:tcPr>
          <w:p w14:paraId="770CF732" w14:textId="77777777" w:rsidR="00416FA8" w:rsidRPr="009102D9" w:rsidRDefault="00416FA8" w:rsidP="004B6753">
            <w:pPr>
              <w:pStyle w:val="NoSpacing"/>
              <w:jc w:val="center"/>
              <w:rPr>
                <w:rFonts w:ascii="Times New Roman" w:hAnsi="Times New Roman" w:cs="Times New Roman"/>
                <w:sz w:val="18"/>
                <w:szCs w:val="18"/>
              </w:rPr>
            </w:pPr>
            <w:r w:rsidRPr="009102D9">
              <w:rPr>
                <w:rFonts w:ascii="Times New Roman" w:hAnsi="Times New Roman" w:cs="Times New Roman"/>
                <w:sz w:val="18"/>
                <w:szCs w:val="18"/>
              </w:rPr>
              <w:t>6.78</w:t>
            </w:r>
          </w:p>
        </w:tc>
        <w:tc>
          <w:tcPr>
            <w:tcW w:w="1066" w:type="dxa"/>
            <w:vAlign w:val="center"/>
            <w:hideMark/>
          </w:tcPr>
          <w:p w14:paraId="47743159" w14:textId="77777777" w:rsidR="00416FA8" w:rsidRPr="009102D9" w:rsidRDefault="00416FA8" w:rsidP="004B6753">
            <w:pPr>
              <w:pStyle w:val="NoSpacing"/>
              <w:jc w:val="center"/>
              <w:rPr>
                <w:rFonts w:ascii="Times New Roman" w:hAnsi="Times New Roman" w:cs="Times New Roman"/>
                <w:sz w:val="18"/>
                <w:szCs w:val="18"/>
              </w:rPr>
            </w:pPr>
            <w:r w:rsidRPr="009102D9">
              <w:rPr>
                <w:rFonts w:ascii="Times New Roman" w:hAnsi="Times New Roman" w:cs="Times New Roman"/>
                <w:sz w:val="18"/>
                <w:szCs w:val="18"/>
              </w:rPr>
              <w:t>5.33</w:t>
            </w:r>
          </w:p>
        </w:tc>
        <w:tc>
          <w:tcPr>
            <w:tcW w:w="0" w:type="auto"/>
            <w:vAlign w:val="center"/>
            <w:hideMark/>
          </w:tcPr>
          <w:p w14:paraId="4F960AA8" w14:textId="77777777" w:rsidR="00416FA8" w:rsidRPr="009102D9" w:rsidRDefault="00416FA8" w:rsidP="004B6753">
            <w:pPr>
              <w:pStyle w:val="NoSpacing"/>
              <w:jc w:val="center"/>
              <w:rPr>
                <w:rFonts w:ascii="Times New Roman" w:hAnsi="Times New Roman" w:cs="Times New Roman"/>
                <w:sz w:val="18"/>
                <w:szCs w:val="18"/>
              </w:rPr>
            </w:pPr>
            <w:r w:rsidRPr="009102D9">
              <w:rPr>
                <w:rFonts w:ascii="Times New Roman" w:hAnsi="Times New Roman" w:cs="Times New Roman"/>
                <w:sz w:val="18"/>
                <w:szCs w:val="18"/>
              </w:rPr>
              <w:t>1.05</w:t>
            </w:r>
          </w:p>
        </w:tc>
        <w:tc>
          <w:tcPr>
            <w:tcW w:w="0" w:type="auto"/>
            <w:vAlign w:val="center"/>
            <w:hideMark/>
          </w:tcPr>
          <w:p w14:paraId="4A23BB61" w14:textId="77777777" w:rsidR="00416FA8" w:rsidRPr="009102D9" w:rsidRDefault="00416FA8" w:rsidP="004B6753">
            <w:pPr>
              <w:pStyle w:val="NoSpacing"/>
              <w:jc w:val="center"/>
              <w:rPr>
                <w:rFonts w:ascii="Times New Roman" w:hAnsi="Times New Roman" w:cs="Times New Roman"/>
                <w:sz w:val="18"/>
                <w:szCs w:val="18"/>
              </w:rPr>
            </w:pPr>
            <w:r w:rsidRPr="009102D9">
              <w:rPr>
                <w:rFonts w:ascii="Times New Roman" w:hAnsi="Times New Roman" w:cs="Times New Roman"/>
                <w:sz w:val="18"/>
                <w:szCs w:val="18"/>
              </w:rPr>
              <w:t>2.89</w:t>
            </w:r>
          </w:p>
        </w:tc>
        <w:tc>
          <w:tcPr>
            <w:tcW w:w="0" w:type="auto"/>
            <w:vAlign w:val="center"/>
            <w:hideMark/>
          </w:tcPr>
          <w:p w14:paraId="57D844BD" w14:textId="77777777" w:rsidR="00416FA8" w:rsidRPr="009102D9" w:rsidRDefault="00416FA8" w:rsidP="004B6753">
            <w:pPr>
              <w:pStyle w:val="NoSpacing"/>
              <w:jc w:val="center"/>
              <w:rPr>
                <w:rFonts w:ascii="Times New Roman" w:hAnsi="Times New Roman" w:cs="Times New Roman"/>
                <w:sz w:val="18"/>
                <w:szCs w:val="18"/>
              </w:rPr>
            </w:pPr>
            <w:r w:rsidRPr="009102D9">
              <w:rPr>
                <w:rFonts w:ascii="Times New Roman" w:hAnsi="Times New Roman" w:cs="Times New Roman"/>
                <w:sz w:val="18"/>
                <w:szCs w:val="18"/>
              </w:rPr>
              <w:t>2.45</w:t>
            </w:r>
          </w:p>
        </w:tc>
        <w:tc>
          <w:tcPr>
            <w:tcW w:w="1256" w:type="dxa"/>
            <w:vAlign w:val="center"/>
            <w:hideMark/>
          </w:tcPr>
          <w:p w14:paraId="1ED1F1F6" w14:textId="77777777" w:rsidR="00416FA8" w:rsidRPr="009102D9" w:rsidRDefault="00416FA8" w:rsidP="004B6753">
            <w:pPr>
              <w:pStyle w:val="NoSpacing"/>
              <w:jc w:val="center"/>
              <w:rPr>
                <w:rFonts w:ascii="Times New Roman" w:hAnsi="Times New Roman" w:cs="Times New Roman"/>
                <w:sz w:val="18"/>
                <w:szCs w:val="18"/>
              </w:rPr>
            </w:pPr>
            <w:r w:rsidRPr="009102D9">
              <w:rPr>
                <w:rFonts w:ascii="Times New Roman" w:hAnsi="Times New Roman" w:cs="Times New Roman"/>
                <w:sz w:val="18"/>
                <w:szCs w:val="18"/>
              </w:rPr>
              <w:t>1.29</w:t>
            </w:r>
          </w:p>
        </w:tc>
        <w:tc>
          <w:tcPr>
            <w:tcW w:w="1256" w:type="dxa"/>
            <w:vAlign w:val="center"/>
            <w:hideMark/>
          </w:tcPr>
          <w:p w14:paraId="773C2209" w14:textId="77777777" w:rsidR="00416FA8" w:rsidRPr="009102D9" w:rsidRDefault="00416FA8" w:rsidP="004B6753">
            <w:pPr>
              <w:pStyle w:val="NoSpacing"/>
              <w:jc w:val="center"/>
              <w:rPr>
                <w:rFonts w:ascii="Times New Roman" w:hAnsi="Times New Roman" w:cs="Times New Roman"/>
                <w:sz w:val="18"/>
                <w:szCs w:val="18"/>
              </w:rPr>
            </w:pPr>
            <w:r w:rsidRPr="009102D9">
              <w:rPr>
                <w:rFonts w:ascii="Times New Roman" w:hAnsi="Times New Roman" w:cs="Times New Roman"/>
                <w:sz w:val="18"/>
                <w:szCs w:val="18"/>
              </w:rPr>
              <w:t>6.63</w:t>
            </w:r>
          </w:p>
        </w:tc>
        <w:tc>
          <w:tcPr>
            <w:tcW w:w="0" w:type="auto"/>
            <w:vAlign w:val="center"/>
            <w:hideMark/>
          </w:tcPr>
          <w:p w14:paraId="58F2B1E6" w14:textId="77777777" w:rsidR="00416FA8" w:rsidRPr="009102D9" w:rsidRDefault="00416FA8" w:rsidP="004B6753">
            <w:pPr>
              <w:pStyle w:val="NoSpacing"/>
              <w:jc w:val="center"/>
              <w:rPr>
                <w:rFonts w:ascii="Times New Roman" w:hAnsi="Times New Roman" w:cs="Times New Roman"/>
                <w:sz w:val="18"/>
                <w:szCs w:val="18"/>
              </w:rPr>
            </w:pPr>
            <w:r w:rsidRPr="009102D9">
              <w:rPr>
                <w:rFonts w:ascii="Times New Roman" w:hAnsi="Times New Roman" w:cs="Times New Roman"/>
                <w:sz w:val="18"/>
                <w:szCs w:val="18"/>
              </w:rPr>
              <w:t>9.30</w:t>
            </w:r>
          </w:p>
        </w:tc>
        <w:tc>
          <w:tcPr>
            <w:tcW w:w="0" w:type="auto"/>
            <w:vAlign w:val="center"/>
            <w:hideMark/>
          </w:tcPr>
          <w:p w14:paraId="719F9D7E" w14:textId="77777777" w:rsidR="00416FA8" w:rsidRPr="009102D9" w:rsidRDefault="00416FA8" w:rsidP="004B6753">
            <w:pPr>
              <w:pStyle w:val="NoSpacing"/>
              <w:jc w:val="center"/>
              <w:rPr>
                <w:rFonts w:ascii="Times New Roman" w:hAnsi="Times New Roman" w:cs="Times New Roman"/>
                <w:sz w:val="18"/>
                <w:szCs w:val="18"/>
              </w:rPr>
            </w:pPr>
            <w:r w:rsidRPr="009102D9">
              <w:rPr>
                <w:rFonts w:ascii="Times New Roman" w:hAnsi="Times New Roman" w:cs="Times New Roman"/>
                <w:sz w:val="18"/>
                <w:szCs w:val="18"/>
              </w:rPr>
              <w:t>2.81</w:t>
            </w:r>
          </w:p>
        </w:tc>
        <w:tc>
          <w:tcPr>
            <w:tcW w:w="0" w:type="auto"/>
            <w:vAlign w:val="center"/>
            <w:hideMark/>
          </w:tcPr>
          <w:p w14:paraId="1369DBEB" w14:textId="77777777" w:rsidR="00416FA8" w:rsidRPr="009102D9" w:rsidRDefault="00416FA8" w:rsidP="004B6753">
            <w:pPr>
              <w:pStyle w:val="NoSpacing"/>
              <w:jc w:val="center"/>
              <w:rPr>
                <w:rFonts w:ascii="Times New Roman" w:hAnsi="Times New Roman" w:cs="Times New Roman"/>
                <w:sz w:val="18"/>
                <w:szCs w:val="18"/>
              </w:rPr>
            </w:pPr>
            <w:r w:rsidRPr="009102D9">
              <w:rPr>
                <w:rFonts w:ascii="Times New Roman" w:hAnsi="Times New Roman" w:cs="Times New Roman"/>
                <w:sz w:val="18"/>
                <w:szCs w:val="18"/>
              </w:rPr>
              <w:t>1.35</w:t>
            </w:r>
          </w:p>
        </w:tc>
        <w:tc>
          <w:tcPr>
            <w:tcW w:w="1046" w:type="dxa"/>
            <w:vAlign w:val="center"/>
            <w:hideMark/>
          </w:tcPr>
          <w:p w14:paraId="5F2684A3" w14:textId="77777777" w:rsidR="00416FA8" w:rsidRPr="009102D9" w:rsidRDefault="00416FA8" w:rsidP="004B6753">
            <w:pPr>
              <w:pStyle w:val="NoSpacing"/>
              <w:jc w:val="center"/>
              <w:rPr>
                <w:rFonts w:ascii="Times New Roman" w:hAnsi="Times New Roman" w:cs="Times New Roman"/>
                <w:sz w:val="18"/>
                <w:szCs w:val="18"/>
              </w:rPr>
            </w:pPr>
            <w:r w:rsidRPr="009102D9">
              <w:rPr>
                <w:rFonts w:ascii="Times New Roman" w:hAnsi="Times New Roman" w:cs="Times New Roman"/>
                <w:sz w:val="18"/>
                <w:szCs w:val="18"/>
              </w:rPr>
              <w:t>2.87</w:t>
            </w:r>
          </w:p>
        </w:tc>
        <w:tc>
          <w:tcPr>
            <w:tcW w:w="846" w:type="dxa"/>
            <w:vAlign w:val="center"/>
            <w:hideMark/>
          </w:tcPr>
          <w:p w14:paraId="63BB38E1" w14:textId="77777777" w:rsidR="00416FA8" w:rsidRPr="009102D9" w:rsidRDefault="00416FA8" w:rsidP="004B6753">
            <w:pPr>
              <w:pStyle w:val="NoSpacing"/>
              <w:jc w:val="center"/>
              <w:rPr>
                <w:rFonts w:ascii="Times New Roman" w:hAnsi="Times New Roman" w:cs="Times New Roman"/>
                <w:sz w:val="18"/>
                <w:szCs w:val="18"/>
              </w:rPr>
            </w:pPr>
            <w:r w:rsidRPr="009102D9">
              <w:rPr>
                <w:rFonts w:ascii="Times New Roman" w:hAnsi="Times New Roman" w:cs="Times New Roman"/>
                <w:sz w:val="18"/>
                <w:szCs w:val="18"/>
              </w:rPr>
              <w:t>3.70</w:t>
            </w:r>
          </w:p>
        </w:tc>
        <w:tc>
          <w:tcPr>
            <w:tcW w:w="846" w:type="dxa"/>
            <w:vAlign w:val="center"/>
            <w:hideMark/>
          </w:tcPr>
          <w:p w14:paraId="2081FD83" w14:textId="77777777" w:rsidR="00416FA8" w:rsidRPr="009102D9" w:rsidRDefault="00416FA8" w:rsidP="004B6753">
            <w:pPr>
              <w:pStyle w:val="NoSpacing"/>
              <w:jc w:val="center"/>
              <w:rPr>
                <w:rFonts w:ascii="Times New Roman" w:hAnsi="Times New Roman" w:cs="Times New Roman"/>
                <w:sz w:val="18"/>
                <w:szCs w:val="18"/>
              </w:rPr>
            </w:pPr>
            <w:r w:rsidRPr="009102D9">
              <w:rPr>
                <w:rFonts w:ascii="Times New Roman" w:hAnsi="Times New Roman" w:cs="Times New Roman"/>
                <w:sz w:val="18"/>
                <w:szCs w:val="18"/>
              </w:rPr>
              <w:t>20.03</w:t>
            </w:r>
          </w:p>
        </w:tc>
        <w:tc>
          <w:tcPr>
            <w:tcW w:w="1066" w:type="dxa"/>
            <w:vAlign w:val="center"/>
            <w:hideMark/>
          </w:tcPr>
          <w:p w14:paraId="35E7420A" w14:textId="77777777" w:rsidR="00416FA8" w:rsidRPr="009102D9" w:rsidRDefault="00416FA8" w:rsidP="004B6753">
            <w:pPr>
              <w:pStyle w:val="NoSpacing"/>
              <w:jc w:val="center"/>
              <w:rPr>
                <w:rFonts w:ascii="Times New Roman" w:hAnsi="Times New Roman" w:cs="Times New Roman"/>
                <w:sz w:val="18"/>
                <w:szCs w:val="18"/>
              </w:rPr>
            </w:pPr>
            <w:r w:rsidRPr="009102D9">
              <w:rPr>
                <w:rFonts w:ascii="Times New Roman" w:hAnsi="Times New Roman" w:cs="Times New Roman"/>
                <w:sz w:val="18"/>
                <w:szCs w:val="18"/>
              </w:rPr>
              <w:t>27.71</w:t>
            </w:r>
          </w:p>
        </w:tc>
        <w:tc>
          <w:tcPr>
            <w:tcW w:w="1066" w:type="dxa"/>
            <w:vAlign w:val="center"/>
            <w:hideMark/>
          </w:tcPr>
          <w:p w14:paraId="03DD3CFF" w14:textId="77777777" w:rsidR="00416FA8" w:rsidRPr="009102D9" w:rsidRDefault="00416FA8" w:rsidP="004B6753">
            <w:pPr>
              <w:pStyle w:val="NoSpacing"/>
              <w:jc w:val="center"/>
              <w:rPr>
                <w:rFonts w:ascii="Times New Roman" w:hAnsi="Times New Roman" w:cs="Times New Roman"/>
                <w:sz w:val="18"/>
                <w:szCs w:val="18"/>
              </w:rPr>
            </w:pPr>
            <w:r w:rsidRPr="009102D9">
              <w:rPr>
                <w:rFonts w:ascii="Times New Roman" w:hAnsi="Times New Roman" w:cs="Times New Roman"/>
                <w:sz w:val="18"/>
                <w:szCs w:val="18"/>
              </w:rPr>
              <w:t>46.96</w:t>
            </w:r>
          </w:p>
        </w:tc>
      </w:tr>
      <w:tr w:rsidR="00416FA8" w:rsidRPr="009102D9" w14:paraId="1CEF3F5F" w14:textId="77777777" w:rsidTr="004B6753">
        <w:trPr>
          <w:trHeight w:val="24"/>
        </w:trPr>
        <w:tc>
          <w:tcPr>
            <w:tcW w:w="1116" w:type="dxa"/>
            <w:hideMark/>
          </w:tcPr>
          <w:p w14:paraId="2EFE54AE" w14:textId="77777777" w:rsidR="00416FA8" w:rsidRPr="009102D9" w:rsidRDefault="00416FA8" w:rsidP="00B77C0B">
            <w:pPr>
              <w:pStyle w:val="NoSpacing"/>
              <w:rPr>
                <w:rFonts w:ascii="Times New Roman" w:hAnsi="Times New Roman" w:cs="Times New Roman"/>
                <w:sz w:val="18"/>
                <w:szCs w:val="18"/>
              </w:rPr>
            </w:pPr>
            <w:r w:rsidRPr="009102D9">
              <w:rPr>
                <w:rFonts w:ascii="Times New Roman" w:hAnsi="Times New Roman" w:cs="Times New Roman"/>
                <w:sz w:val="18"/>
                <w:szCs w:val="18"/>
              </w:rPr>
              <w:t>Assam</w:t>
            </w:r>
          </w:p>
        </w:tc>
        <w:tc>
          <w:tcPr>
            <w:tcW w:w="796" w:type="dxa"/>
            <w:vAlign w:val="center"/>
            <w:hideMark/>
          </w:tcPr>
          <w:p w14:paraId="6E036822" w14:textId="77777777" w:rsidR="00416FA8" w:rsidRPr="009102D9" w:rsidRDefault="00416FA8" w:rsidP="004B6753">
            <w:pPr>
              <w:pStyle w:val="NoSpacing"/>
              <w:jc w:val="center"/>
              <w:rPr>
                <w:rFonts w:ascii="Times New Roman" w:hAnsi="Times New Roman" w:cs="Times New Roman"/>
                <w:sz w:val="18"/>
                <w:szCs w:val="18"/>
              </w:rPr>
            </w:pPr>
            <w:r w:rsidRPr="009102D9">
              <w:rPr>
                <w:rFonts w:ascii="Times New Roman" w:hAnsi="Times New Roman" w:cs="Times New Roman"/>
                <w:sz w:val="18"/>
                <w:szCs w:val="18"/>
              </w:rPr>
              <w:t>8.00</w:t>
            </w:r>
          </w:p>
        </w:tc>
        <w:tc>
          <w:tcPr>
            <w:tcW w:w="1066" w:type="dxa"/>
            <w:vAlign w:val="center"/>
            <w:hideMark/>
          </w:tcPr>
          <w:p w14:paraId="13BEC0CA" w14:textId="77777777" w:rsidR="00416FA8" w:rsidRPr="009102D9" w:rsidRDefault="00416FA8" w:rsidP="004B6753">
            <w:pPr>
              <w:pStyle w:val="NoSpacing"/>
              <w:jc w:val="center"/>
              <w:rPr>
                <w:rFonts w:ascii="Times New Roman" w:hAnsi="Times New Roman" w:cs="Times New Roman"/>
                <w:sz w:val="18"/>
                <w:szCs w:val="18"/>
              </w:rPr>
            </w:pPr>
            <w:r w:rsidRPr="009102D9">
              <w:rPr>
                <w:rFonts w:ascii="Times New Roman" w:hAnsi="Times New Roman" w:cs="Times New Roman"/>
                <w:sz w:val="18"/>
                <w:szCs w:val="18"/>
              </w:rPr>
              <w:t>1.55</w:t>
            </w:r>
          </w:p>
        </w:tc>
        <w:tc>
          <w:tcPr>
            <w:tcW w:w="0" w:type="auto"/>
            <w:vAlign w:val="center"/>
            <w:hideMark/>
          </w:tcPr>
          <w:p w14:paraId="17F6B02B" w14:textId="77777777" w:rsidR="00416FA8" w:rsidRPr="009102D9" w:rsidRDefault="00416FA8" w:rsidP="004B6753">
            <w:pPr>
              <w:pStyle w:val="NoSpacing"/>
              <w:jc w:val="center"/>
              <w:rPr>
                <w:rFonts w:ascii="Times New Roman" w:hAnsi="Times New Roman" w:cs="Times New Roman"/>
                <w:sz w:val="18"/>
                <w:szCs w:val="18"/>
              </w:rPr>
            </w:pPr>
            <w:r w:rsidRPr="009102D9">
              <w:rPr>
                <w:rFonts w:ascii="Times New Roman" w:hAnsi="Times New Roman" w:cs="Times New Roman"/>
                <w:sz w:val="18"/>
                <w:szCs w:val="18"/>
              </w:rPr>
              <w:t>1.59</w:t>
            </w:r>
          </w:p>
        </w:tc>
        <w:tc>
          <w:tcPr>
            <w:tcW w:w="0" w:type="auto"/>
            <w:vAlign w:val="center"/>
            <w:hideMark/>
          </w:tcPr>
          <w:p w14:paraId="6DD13098" w14:textId="77777777" w:rsidR="00416FA8" w:rsidRPr="009102D9" w:rsidRDefault="00416FA8" w:rsidP="004B6753">
            <w:pPr>
              <w:pStyle w:val="NoSpacing"/>
              <w:jc w:val="center"/>
              <w:rPr>
                <w:rFonts w:ascii="Times New Roman" w:hAnsi="Times New Roman" w:cs="Times New Roman"/>
                <w:sz w:val="18"/>
                <w:szCs w:val="18"/>
              </w:rPr>
            </w:pPr>
            <w:r w:rsidRPr="009102D9">
              <w:rPr>
                <w:rFonts w:ascii="Times New Roman" w:hAnsi="Times New Roman" w:cs="Times New Roman"/>
                <w:sz w:val="18"/>
                <w:szCs w:val="18"/>
              </w:rPr>
              <w:t>1.51</w:t>
            </w:r>
          </w:p>
        </w:tc>
        <w:tc>
          <w:tcPr>
            <w:tcW w:w="0" w:type="auto"/>
            <w:vAlign w:val="center"/>
            <w:hideMark/>
          </w:tcPr>
          <w:p w14:paraId="0D42224B" w14:textId="77777777" w:rsidR="00416FA8" w:rsidRPr="009102D9" w:rsidRDefault="00416FA8" w:rsidP="004B6753">
            <w:pPr>
              <w:pStyle w:val="NoSpacing"/>
              <w:jc w:val="center"/>
              <w:rPr>
                <w:rFonts w:ascii="Times New Roman" w:hAnsi="Times New Roman" w:cs="Times New Roman"/>
                <w:sz w:val="18"/>
                <w:szCs w:val="18"/>
              </w:rPr>
            </w:pPr>
            <w:r w:rsidRPr="009102D9">
              <w:rPr>
                <w:rFonts w:ascii="Times New Roman" w:hAnsi="Times New Roman" w:cs="Times New Roman"/>
                <w:sz w:val="18"/>
                <w:szCs w:val="18"/>
              </w:rPr>
              <w:t>7.88</w:t>
            </w:r>
          </w:p>
        </w:tc>
        <w:tc>
          <w:tcPr>
            <w:tcW w:w="1256" w:type="dxa"/>
            <w:vAlign w:val="center"/>
            <w:hideMark/>
          </w:tcPr>
          <w:p w14:paraId="3D2A6074" w14:textId="77777777" w:rsidR="00416FA8" w:rsidRPr="009102D9" w:rsidRDefault="00416FA8" w:rsidP="004B6753">
            <w:pPr>
              <w:pStyle w:val="NoSpacing"/>
              <w:jc w:val="center"/>
              <w:rPr>
                <w:rFonts w:ascii="Times New Roman" w:hAnsi="Times New Roman" w:cs="Times New Roman"/>
                <w:sz w:val="18"/>
                <w:szCs w:val="18"/>
              </w:rPr>
            </w:pPr>
            <w:r w:rsidRPr="009102D9">
              <w:rPr>
                <w:rFonts w:ascii="Times New Roman" w:hAnsi="Times New Roman" w:cs="Times New Roman"/>
                <w:sz w:val="18"/>
                <w:szCs w:val="18"/>
              </w:rPr>
              <w:t>0.93</w:t>
            </w:r>
          </w:p>
        </w:tc>
        <w:tc>
          <w:tcPr>
            <w:tcW w:w="1256" w:type="dxa"/>
            <w:vAlign w:val="center"/>
            <w:hideMark/>
          </w:tcPr>
          <w:p w14:paraId="1DC30760" w14:textId="77777777" w:rsidR="00416FA8" w:rsidRPr="009102D9" w:rsidRDefault="00416FA8" w:rsidP="004B6753">
            <w:pPr>
              <w:pStyle w:val="NoSpacing"/>
              <w:jc w:val="center"/>
              <w:rPr>
                <w:rFonts w:ascii="Times New Roman" w:hAnsi="Times New Roman" w:cs="Times New Roman"/>
                <w:sz w:val="18"/>
                <w:szCs w:val="18"/>
              </w:rPr>
            </w:pPr>
            <w:r w:rsidRPr="009102D9">
              <w:rPr>
                <w:rFonts w:ascii="Times New Roman" w:hAnsi="Times New Roman" w:cs="Times New Roman"/>
                <w:sz w:val="18"/>
                <w:szCs w:val="18"/>
              </w:rPr>
              <w:t>10.32</w:t>
            </w:r>
          </w:p>
        </w:tc>
        <w:tc>
          <w:tcPr>
            <w:tcW w:w="0" w:type="auto"/>
            <w:vAlign w:val="center"/>
            <w:hideMark/>
          </w:tcPr>
          <w:p w14:paraId="5DFEC16B" w14:textId="77777777" w:rsidR="00416FA8" w:rsidRPr="009102D9" w:rsidRDefault="00416FA8" w:rsidP="004B6753">
            <w:pPr>
              <w:pStyle w:val="NoSpacing"/>
              <w:jc w:val="center"/>
              <w:rPr>
                <w:rFonts w:ascii="Times New Roman" w:hAnsi="Times New Roman" w:cs="Times New Roman"/>
                <w:sz w:val="18"/>
                <w:szCs w:val="18"/>
              </w:rPr>
            </w:pPr>
            <w:r w:rsidRPr="009102D9">
              <w:rPr>
                <w:rFonts w:ascii="Times New Roman" w:hAnsi="Times New Roman" w:cs="Times New Roman"/>
                <w:sz w:val="18"/>
                <w:szCs w:val="18"/>
              </w:rPr>
              <w:t>12.57</w:t>
            </w:r>
          </w:p>
        </w:tc>
        <w:tc>
          <w:tcPr>
            <w:tcW w:w="0" w:type="auto"/>
            <w:vAlign w:val="center"/>
            <w:hideMark/>
          </w:tcPr>
          <w:p w14:paraId="114F1405" w14:textId="77777777" w:rsidR="00416FA8" w:rsidRPr="009102D9" w:rsidRDefault="00416FA8" w:rsidP="004B6753">
            <w:pPr>
              <w:pStyle w:val="NoSpacing"/>
              <w:jc w:val="center"/>
              <w:rPr>
                <w:rFonts w:ascii="Times New Roman" w:hAnsi="Times New Roman" w:cs="Times New Roman"/>
                <w:sz w:val="18"/>
                <w:szCs w:val="18"/>
              </w:rPr>
            </w:pPr>
            <w:r w:rsidRPr="009102D9">
              <w:rPr>
                <w:rFonts w:ascii="Times New Roman" w:hAnsi="Times New Roman" w:cs="Times New Roman"/>
                <w:sz w:val="18"/>
                <w:szCs w:val="18"/>
              </w:rPr>
              <w:t>2.43</w:t>
            </w:r>
          </w:p>
        </w:tc>
        <w:tc>
          <w:tcPr>
            <w:tcW w:w="0" w:type="auto"/>
            <w:vAlign w:val="center"/>
            <w:hideMark/>
          </w:tcPr>
          <w:p w14:paraId="21BFB7BE" w14:textId="77777777" w:rsidR="00416FA8" w:rsidRPr="009102D9" w:rsidRDefault="00416FA8" w:rsidP="004B6753">
            <w:pPr>
              <w:pStyle w:val="NoSpacing"/>
              <w:jc w:val="center"/>
              <w:rPr>
                <w:rFonts w:ascii="Times New Roman" w:hAnsi="Times New Roman" w:cs="Times New Roman"/>
                <w:sz w:val="18"/>
                <w:szCs w:val="18"/>
              </w:rPr>
            </w:pPr>
            <w:r w:rsidRPr="009102D9">
              <w:rPr>
                <w:rFonts w:ascii="Times New Roman" w:hAnsi="Times New Roman" w:cs="Times New Roman"/>
                <w:sz w:val="18"/>
                <w:szCs w:val="18"/>
              </w:rPr>
              <w:t>1.69</w:t>
            </w:r>
          </w:p>
        </w:tc>
        <w:tc>
          <w:tcPr>
            <w:tcW w:w="1046" w:type="dxa"/>
            <w:vAlign w:val="center"/>
            <w:hideMark/>
          </w:tcPr>
          <w:p w14:paraId="52F8C924" w14:textId="77777777" w:rsidR="00416FA8" w:rsidRPr="009102D9" w:rsidRDefault="00416FA8" w:rsidP="004B6753">
            <w:pPr>
              <w:pStyle w:val="NoSpacing"/>
              <w:jc w:val="center"/>
              <w:rPr>
                <w:rFonts w:ascii="Times New Roman" w:hAnsi="Times New Roman" w:cs="Times New Roman"/>
                <w:sz w:val="18"/>
                <w:szCs w:val="18"/>
              </w:rPr>
            </w:pPr>
            <w:r w:rsidRPr="009102D9">
              <w:rPr>
                <w:rFonts w:ascii="Times New Roman" w:hAnsi="Times New Roman" w:cs="Times New Roman"/>
                <w:sz w:val="18"/>
                <w:szCs w:val="18"/>
              </w:rPr>
              <w:t>4.31</w:t>
            </w:r>
          </w:p>
        </w:tc>
        <w:tc>
          <w:tcPr>
            <w:tcW w:w="846" w:type="dxa"/>
            <w:vAlign w:val="center"/>
            <w:hideMark/>
          </w:tcPr>
          <w:p w14:paraId="2D49511B" w14:textId="77777777" w:rsidR="00416FA8" w:rsidRPr="009102D9" w:rsidRDefault="00416FA8" w:rsidP="004B6753">
            <w:pPr>
              <w:pStyle w:val="NoSpacing"/>
              <w:jc w:val="center"/>
              <w:rPr>
                <w:rFonts w:ascii="Times New Roman" w:hAnsi="Times New Roman" w:cs="Times New Roman"/>
                <w:sz w:val="18"/>
                <w:szCs w:val="18"/>
              </w:rPr>
            </w:pPr>
            <w:r w:rsidRPr="009102D9">
              <w:rPr>
                <w:rFonts w:ascii="Times New Roman" w:hAnsi="Times New Roman" w:cs="Times New Roman"/>
                <w:sz w:val="18"/>
                <w:szCs w:val="18"/>
              </w:rPr>
              <w:t>4.72</w:t>
            </w:r>
          </w:p>
        </w:tc>
        <w:tc>
          <w:tcPr>
            <w:tcW w:w="846" w:type="dxa"/>
            <w:vAlign w:val="center"/>
            <w:hideMark/>
          </w:tcPr>
          <w:p w14:paraId="70B94947" w14:textId="77777777" w:rsidR="00416FA8" w:rsidRPr="009102D9" w:rsidRDefault="00416FA8" w:rsidP="004B6753">
            <w:pPr>
              <w:pStyle w:val="NoSpacing"/>
              <w:jc w:val="center"/>
              <w:rPr>
                <w:rFonts w:ascii="Times New Roman" w:hAnsi="Times New Roman" w:cs="Times New Roman"/>
                <w:sz w:val="18"/>
                <w:szCs w:val="18"/>
              </w:rPr>
            </w:pPr>
            <w:r w:rsidRPr="009102D9">
              <w:rPr>
                <w:rFonts w:ascii="Times New Roman" w:hAnsi="Times New Roman" w:cs="Times New Roman"/>
                <w:sz w:val="18"/>
                <w:szCs w:val="18"/>
              </w:rPr>
              <w:t>25.72</w:t>
            </w:r>
          </w:p>
        </w:tc>
        <w:tc>
          <w:tcPr>
            <w:tcW w:w="1066" w:type="dxa"/>
            <w:vAlign w:val="center"/>
            <w:hideMark/>
          </w:tcPr>
          <w:p w14:paraId="0F3D2C25" w14:textId="77777777" w:rsidR="00416FA8" w:rsidRPr="009102D9" w:rsidRDefault="00416FA8" w:rsidP="004B6753">
            <w:pPr>
              <w:pStyle w:val="NoSpacing"/>
              <w:jc w:val="center"/>
              <w:rPr>
                <w:rFonts w:ascii="Times New Roman" w:hAnsi="Times New Roman" w:cs="Times New Roman"/>
                <w:sz w:val="18"/>
                <w:szCs w:val="18"/>
              </w:rPr>
            </w:pPr>
            <w:r w:rsidRPr="009102D9">
              <w:rPr>
                <w:rFonts w:ascii="Times New Roman" w:hAnsi="Times New Roman" w:cs="Times New Roman"/>
                <w:sz w:val="18"/>
                <w:szCs w:val="18"/>
              </w:rPr>
              <w:t>37.63</w:t>
            </w:r>
          </w:p>
        </w:tc>
        <w:tc>
          <w:tcPr>
            <w:tcW w:w="1066" w:type="dxa"/>
            <w:vAlign w:val="center"/>
            <w:hideMark/>
          </w:tcPr>
          <w:p w14:paraId="38D34AF4" w14:textId="77777777" w:rsidR="00416FA8" w:rsidRPr="009102D9" w:rsidRDefault="00416FA8" w:rsidP="004B6753">
            <w:pPr>
              <w:pStyle w:val="NoSpacing"/>
              <w:jc w:val="center"/>
              <w:rPr>
                <w:rFonts w:ascii="Times New Roman" w:hAnsi="Times New Roman" w:cs="Times New Roman"/>
                <w:sz w:val="18"/>
                <w:szCs w:val="18"/>
              </w:rPr>
            </w:pPr>
            <w:r w:rsidRPr="009102D9">
              <w:rPr>
                <w:rFonts w:ascii="Times New Roman" w:hAnsi="Times New Roman" w:cs="Times New Roman"/>
                <w:sz w:val="18"/>
                <w:szCs w:val="18"/>
              </w:rPr>
              <w:t>67.19</w:t>
            </w:r>
          </w:p>
        </w:tc>
      </w:tr>
      <w:tr w:rsidR="00416FA8" w:rsidRPr="009102D9" w14:paraId="11F67743" w14:textId="77777777" w:rsidTr="004B6753">
        <w:trPr>
          <w:trHeight w:val="24"/>
        </w:trPr>
        <w:tc>
          <w:tcPr>
            <w:tcW w:w="1116" w:type="dxa"/>
            <w:hideMark/>
          </w:tcPr>
          <w:p w14:paraId="215ED2FD" w14:textId="77777777" w:rsidR="00416FA8" w:rsidRPr="009102D9" w:rsidRDefault="00416FA8" w:rsidP="00B77C0B">
            <w:pPr>
              <w:pStyle w:val="NoSpacing"/>
              <w:rPr>
                <w:rFonts w:ascii="Times New Roman" w:hAnsi="Times New Roman" w:cs="Times New Roman"/>
                <w:sz w:val="18"/>
                <w:szCs w:val="18"/>
              </w:rPr>
            </w:pPr>
            <w:r w:rsidRPr="009102D9">
              <w:rPr>
                <w:rFonts w:ascii="Times New Roman" w:hAnsi="Times New Roman" w:cs="Times New Roman"/>
                <w:sz w:val="18"/>
                <w:szCs w:val="18"/>
              </w:rPr>
              <w:t>Bihar</w:t>
            </w:r>
          </w:p>
        </w:tc>
        <w:tc>
          <w:tcPr>
            <w:tcW w:w="796" w:type="dxa"/>
            <w:vAlign w:val="center"/>
            <w:hideMark/>
          </w:tcPr>
          <w:p w14:paraId="4DD10595" w14:textId="77777777" w:rsidR="00416FA8" w:rsidRPr="009102D9" w:rsidRDefault="00416FA8" w:rsidP="004B6753">
            <w:pPr>
              <w:pStyle w:val="NoSpacing"/>
              <w:jc w:val="center"/>
              <w:rPr>
                <w:rFonts w:ascii="Times New Roman" w:hAnsi="Times New Roman" w:cs="Times New Roman"/>
                <w:sz w:val="18"/>
                <w:szCs w:val="18"/>
              </w:rPr>
            </w:pPr>
            <w:r w:rsidRPr="009102D9">
              <w:rPr>
                <w:rFonts w:ascii="Times New Roman" w:hAnsi="Times New Roman" w:cs="Times New Roman"/>
                <w:sz w:val="18"/>
                <w:szCs w:val="18"/>
              </w:rPr>
              <w:t>4.70</w:t>
            </w:r>
          </w:p>
        </w:tc>
        <w:tc>
          <w:tcPr>
            <w:tcW w:w="1066" w:type="dxa"/>
            <w:vAlign w:val="center"/>
            <w:hideMark/>
          </w:tcPr>
          <w:p w14:paraId="66CFFE84" w14:textId="77777777" w:rsidR="00416FA8" w:rsidRPr="009102D9" w:rsidRDefault="00416FA8" w:rsidP="004B6753">
            <w:pPr>
              <w:pStyle w:val="NoSpacing"/>
              <w:jc w:val="center"/>
              <w:rPr>
                <w:rFonts w:ascii="Times New Roman" w:hAnsi="Times New Roman" w:cs="Times New Roman"/>
                <w:sz w:val="18"/>
                <w:szCs w:val="18"/>
              </w:rPr>
            </w:pPr>
            <w:r w:rsidRPr="009102D9">
              <w:rPr>
                <w:rFonts w:ascii="Times New Roman" w:hAnsi="Times New Roman" w:cs="Times New Roman"/>
                <w:sz w:val="18"/>
                <w:szCs w:val="18"/>
              </w:rPr>
              <w:t>1.10</w:t>
            </w:r>
          </w:p>
        </w:tc>
        <w:tc>
          <w:tcPr>
            <w:tcW w:w="0" w:type="auto"/>
            <w:vAlign w:val="center"/>
            <w:hideMark/>
          </w:tcPr>
          <w:p w14:paraId="5464028A" w14:textId="77777777" w:rsidR="00416FA8" w:rsidRPr="009102D9" w:rsidRDefault="00416FA8" w:rsidP="004B6753">
            <w:pPr>
              <w:pStyle w:val="NoSpacing"/>
              <w:jc w:val="center"/>
              <w:rPr>
                <w:rFonts w:ascii="Times New Roman" w:hAnsi="Times New Roman" w:cs="Times New Roman"/>
                <w:sz w:val="18"/>
                <w:szCs w:val="18"/>
              </w:rPr>
            </w:pPr>
            <w:r w:rsidRPr="009102D9">
              <w:rPr>
                <w:rFonts w:ascii="Times New Roman" w:hAnsi="Times New Roman" w:cs="Times New Roman"/>
                <w:sz w:val="18"/>
                <w:szCs w:val="18"/>
              </w:rPr>
              <w:t>1.22</w:t>
            </w:r>
          </w:p>
        </w:tc>
        <w:tc>
          <w:tcPr>
            <w:tcW w:w="0" w:type="auto"/>
            <w:vAlign w:val="center"/>
            <w:hideMark/>
          </w:tcPr>
          <w:p w14:paraId="1BC25A40" w14:textId="77777777" w:rsidR="00416FA8" w:rsidRPr="009102D9" w:rsidRDefault="00416FA8" w:rsidP="004B6753">
            <w:pPr>
              <w:pStyle w:val="NoSpacing"/>
              <w:jc w:val="center"/>
              <w:rPr>
                <w:rFonts w:ascii="Times New Roman" w:hAnsi="Times New Roman" w:cs="Times New Roman"/>
                <w:sz w:val="18"/>
                <w:szCs w:val="18"/>
              </w:rPr>
            </w:pPr>
            <w:r w:rsidRPr="009102D9">
              <w:rPr>
                <w:rFonts w:ascii="Times New Roman" w:hAnsi="Times New Roman" w:cs="Times New Roman"/>
                <w:sz w:val="18"/>
                <w:szCs w:val="18"/>
              </w:rPr>
              <w:t>1.08</w:t>
            </w:r>
          </w:p>
        </w:tc>
        <w:tc>
          <w:tcPr>
            <w:tcW w:w="0" w:type="auto"/>
            <w:vAlign w:val="center"/>
            <w:hideMark/>
          </w:tcPr>
          <w:p w14:paraId="0A0D153B" w14:textId="77777777" w:rsidR="00416FA8" w:rsidRPr="009102D9" w:rsidRDefault="00416FA8" w:rsidP="004B6753">
            <w:pPr>
              <w:pStyle w:val="NoSpacing"/>
              <w:jc w:val="center"/>
              <w:rPr>
                <w:rFonts w:ascii="Times New Roman" w:hAnsi="Times New Roman" w:cs="Times New Roman"/>
                <w:sz w:val="18"/>
                <w:szCs w:val="18"/>
              </w:rPr>
            </w:pPr>
            <w:r w:rsidRPr="009102D9">
              <w:rPr>
                <w:rFonts w:ascii="Times New Roman" w:hAnsi="Times New Roman" w:cs="Times New Roman"/>
                <w:sz w:val="18"/>
                <w:szCs w:val="18"/>
              </w:rPr>
              <w:t>2.04</w:t>
            </w:r>
          </w:p>
        </w:tc>
        <w:tc>
          <w:tcPr>
            <w:tcW w:w="1256" w:type="dxa"/>
            <w:vAlign w:val="center"/>
            <w:hideMark/>
          </w:tcPr>
          <w:p w14:paraId="32F432F4" w14:textId="77777777" w:rsidR="00416FA8" w:rsidRPr="009102D9" w:rsidRDefault="00416FA8" w:rsidP="004B6753">
            <w:pPr>
              <w:pStyle w:val="NoSpacing"/>
              <w:jc w:val="center"/>
              <w:rPr>
                <w:rFonts w:ascii="Times New Roman" w:hAnsi="Times New Roman" w:cs="Times New Roman"/>
                <w:sz w:val="18"/>
                <w:szCs w:val="18"/>
              </w:rPr>
            </w:pPr>
            <w:r w:rsidRPr="009102D9">
              <w:rPr>
                <w:rFonts w:ascii="Times New Roman" w:hAnsi="Times New Roman" w:cs="Times New Roman"/>
                <w:sz w:val="18"/>
                <w:szCs w:val="18"/>
              </w:rPr>
              <w:t>0.95</w:t>
            </w:r>
          </w:p>
        </w:tc>
        <w:tc>
          <w:tcPr>
            <w:tcW w:w="1256" w:type="dxa"/>
            <w:vAlign w:val="center"/>
            <w:hideMark/>
          </w:tcPr>
          <w:p w14:paraId="5D538F29" w14:textId="77777777" w:rsidR="00416FA8" w:rsidRPr="009102D9" w:rsidRDefault="00416FA8" w:rsidP="004B6753">
            <w:pPr>
              <w:pStyle w:val="NoSpacing"/>
              <w:jc w:val="center"/>
              <w:rPr>
                <w:rFonts w:ascii="Times New Roman" w:hAnsi="Times New Roman" w:cs="Times New Roman"/>
                <w:sz w:val="18"/>
                <w:szCs w:val="18"/>
              </w:rPr>
            </w:pPr>
            <w:r w:rsidRPr="009102D9">
              <w:rPr>
                <w:rFonts w:ascii="Times New Roman" w:hAnsi="Times New Roman" w:cs="Times New Roman"/>
                <w:sz w:val="18"/>
                <w:szCs w:val="18"/>
              </w:rPr>
              <w:t>4.07</w:t>
            </w:r>
          </w:p>
        </w:tc>
        <w:tc>
          <w:tcPr>
            <w:tcW w:w="0" w:type="auto"/>
            <w:vAlign w:val="center"/>
            <w:hideMark/>
          </w:tcPr>
          <w:p w14:paraId="69A7ED89" w14:textId="77777777" w:rsidR="00416FA8" w:rsidRPr="009102D9" w:rsidRDefault="00416FA8" w:rsidP="004B6753">
            <w:pPr>
              <w:pStyle w:val="NoSpacing"/>
              <w:jc w:val="center"/>
              <w:rPr>
                <w:rFonts w:ascii="Times New Roman" w:hAnsi="Times New Roman" w:cs="Times New Roman"/>
                <w:sz w:val="18"/>
                <w:szCs w:val="18"/>
              </w:rPr>
            </w:pPr>
            <w:r w:rsidRPr="009102D9">
              <w:rPr>
                <w:rFonts w:ascii="Times New Roman" w:hAnsi="Times New Roman" w:cs="Times New Roman"/>
                <w:sz w:val="18"/>
                <w:szCs w:val="18"/>
              </w:rPr>
              <w:t>4.98</w:t>
            </w:r>
          </w:p>
        </w:tc>
        <w:tc>
          <w:tcPr>
            <w:tcW w:w="0" w:type="auto"/>
            <w:vAlign w:val="center"/>
            <w:hideMark/>
          </w:tcPr>
          <w:p w14:paraId="6A509235" w14:textId="77777777" w:rsidR="00416FA8" w:rsidRPr="009102D9" w:rsidRDefault="00416FA8" w:rsidP="004B6753">
            <w:pPr>
              <w:pStyle w:val="NoSpacing"/>
              <w:jc w:val="center"/>
              <w:rPr>
                <w:rFonts w:ascii="Times New Roman" w:hAnsi="Times New Roman" w:cs="Times New Roman"/>
                <w:sz w:val="18"/>
                <w:szCs w:val="18"/>
              </w:rPr>
            </w:pPr>
            <w:r w:rsidRPr="009102D9">
              <w:rPr>
                <w:rFonts w:ascii="Times New Roman" w:hAnsi="Times New Roman" w:cs="Times New Roman"/>
                <w:sz w:val="18"/>
                <w:szCs w:val="18"/>
              </w:rPr>
              <w:t>1.44</w:t>
            </w:r>
          </w:p>
        </w:tc>
        <w:tc>
          <w:tcPr>
            <w:tcW w:w="0" w:type="auto"/>
            <w:vAlign w:val="center"/>
            <w:hideMark/>
          </w:tcPr>
          <w:p w14:paraId="3005FB9B" w14:textId="77777777" w:rsidR="00416FA8" w:rsidRPr="009102D9" w:rsidRDefault="00416FA8" w:rsidP="004B6753">
            <w:pPr>
              <w:pStyle w:val="NoSpacing"/>
              <w:jc w:val="center"/>
              <w:rPr>
                <w:rFonts w:ascii="Times New Roman" w:hAnsi="Times New Roman" w:cs="Times New Roman"/>
                <w:sz w:val="18"/>
                <w:szCs w:val="18"/>
              </w:rPr>
            </w:pPr>
            <w:r w:rsidRPr="009102D9">
              <w:rPr>
                <w:rFonts w:ascii="Times New Roman" w:hAnsi="Times New Roman" w:cs="Times New Roman"/>
                <w:sz w:val="18"/>
                <w:szCs w:val="18"/>
              </w:rPr>
              <w:t>0.23</w:t>
            </w:r>
          </w:p>
        </w:tc>
        <w:tc>
          <w:tcPr>
            <w:tcW w:w="1046" w:type="dxa"/>
            <w:vAlign w:val="center"/>
            <w:hideMark/>
          </w:tcPr>
          <w:p w14:paraId="709248EA" w14:textId="77777777" w:rsidR="00416FA8" w:rsidRPr="009102D9" w:rsidRDefault="00416FA8" w:rsidP="004B6753">
            <w:pPr>
              <w:pStyle w:val="NoSpacing"/>
              <w:jc w:val="center"/>
              <w:rPr>
                <w:rFonts w:ascii="Times New Roman" w:hAnsi="Times New Roman" w:cs="Times New Roman"/>
                <w:sz w:val="18"/>
                <w:szCs w:val="18"/>
              </w:rPr>
            </w:pPr>
            <w:r w:rsidRPr="009102D9">
              <w:rPr>
                <w:rFonts w:ascii="Times New Roman" w:hAnsi="Times New Roman" w:cs="Times New Roman"/>
                <w:sz w:val="18"/>
                <w:szCs w:val="18"/>
              </w:rPr>
              <w:t>3.00</w:t>
            </w:r>
          </w:p>
        </w:tc>
        <w:tc>
          <w:tcPr>
            <w:tcW w:w="846" w:type="dxa"/>
            <w:vAlign w:val="center"/>
            <w:hideMark/>
          </w:tcPr>
          <w:p w14:paraId="37043085" w14:textId="77777777" w:rsidR="00416FA8" w:rsidRPr="009102D9" w:rsidRDefault="00416FA8" w:rsidP="004B6753">
            <w:pPr>
              <w:pStyle w:val="NoSpacing"/>
              <w:jc w:val="center"/>
              <w:rPr>
                <w:rFonts w:ascii="Times New Roman" w:hAnsi="Times New Roman" w:cs="Times New Roman"/>
                <w:sz w:val="18"/>
                <w:szCs w:val="18"/>
              </w:rPr>
            </w:pPr>
            <w:r w:rsidRPr="009102D9">
              <w:rPr>
                <w:rFonts w:ascii="Times New Roman" w:hAnsi="Times New Roman" w:cs="Times New Roman"/>
                <w:sz w:val="18"/>
                <w:szCs w:val="18"/>
              </w:rPr>
              <w:t>3.10</w:t>
            </w:r>
          </w:p>
        </w:tc>
        <w:tc>
          <w:tcPr>
            <w:tcW w:w="846" w:type="dxa"/>
            <w:vAlign w:val="center"/>
            <w:hideMark/>
          </w:tcPr>
          <w:p w14:paraId="36C62D5E" w14:textId="77777777" w:rsidR="00416FA8" w:rsidRPr="009102D9" w:rsidRDefault="00416FA8" w:rsidP="004B6753">
            <w:pPr>
              <w:pStyle w:val="NoSpacing"/>
              <w:jc w:val="center"/>
              <w:rPr>
                <w:rFonts w:ascii="Times New Roman" w:hAnsi="Times New Roman" w:cs="Times New Roman"/>
                <w:sz w:val="18"/>
                <w:szCs w:val="18"/>
              </w:rPr>
            </w:pPr>
            <w:r w:rsidRPr="009102D9">
              <w:rPr>
                <w:rFonts w:ascii="Times New Roman" w:hAnsi="Times New Roman" w:cs="Times New Roman"/>
                <w:sz w:val="18"/>
                <w:szCs w:val="18"/>
              </w:rPr>
              <w:t>12.75</w:t>
            </w:r>
          </w:p>
        </w:tc>
        <w:tc>
          <w:tcPr>
            <w:tcW w:w="1066" w:type="dxa"/>
            <w:vAlign w:val="center"/>
            <w:hideMark/>
          </w:tcPr>
          <w:p w14:paraId="6BC73AD3" w14:textId="77777777" w:rsidR="00416FA8" w:rsidRPr="009102D9" w:rsidRDefault="00416FA8" w:rsidP="004B6753">
            <w:pPr>
              <w:pStyle w:val="NoSpacing"/>
              <w:jc w:val="center"/>
              <w:rPr>
                <w:rFonts w:ascii="Times New Roman" w:hAnsi="Times New Roman" w:cs="Times New Roman"/>
                <w:sz w:val="18"/>
                <w:szCs w:val="18"/>
              </w:rPr>
            </w:pPr>
            <w:r w:rsidRPr="009102D9">
              <w:rPr>
                <w:rFonts w:ascii="Times New Roman" w:hAnsi="Times New Roman" w:cs="Times New Roman"/>
                <w:sz w:val="18"/>
                <w:szCs w:val="18"/>
              </w:rPr>
              <w:t>18.04</w:t>
            </w:r>
          </w:p>
        </w:tc>
        <w:tc>
          <w:tcPr>
            <w:tcW w:w="1066" w:type="dxa"/>
            <w:vAlign w:val="center"/>
            <w:hideMark/>
          </w:tcPr>
          <w:p w14:paraId="55289C06" w14:textId="77777777" w:rsidR="00416FA8" w:rsidRPr="009102D9" w:rsidRDefault="00416FA8" w:rsidP="004B6753">
            <w:pPr>
              <w:pStyle w:val="NoSpacing"/>
              <w:jc w:val="center"/>
              <w:rPr>
                <w:rFonts w:ascii="Times New Roman" w:hAnsi="Times New Roman" w:cs="Times New Roman"/>
                <w:sz w:val="18"/>
                <w:szCs w:val="18"/>
              </w:rPr>
            </w:pPr>
            <w:r w:rsidRPr="009102D9">
              <w:rPr>
                <w:rFonts w:ascii="Times New Roman" w:hAnsi="Times New Roman" w:cs="Times New Roman"/>
                <w:sz w:val="18"/>
                <w:szCs w:val="18"/>
              </w:rPr>
              <w:t>31.97</w:t>
            </w:r>
          </w:p>
        </w:tc>
      </w:tr>
      <w:tr w:rsidR="00416FA8" w:rsidRPr="009102D9" w14:paraId="35E75CD2" w14:textId="77777777" w:rsidTr="004B6753">
        <w:trPr>
          <w:trHeight w:val="24"/>
        </w:trPr>
        <w:tc>
          <w:tcPr>
            <w:tcW w:w="1116" w:type="dxa"/>
            <w:hideMark/>
          </w:tcPr>
          <w:p w14:paraId="3749FA17" w14:textId="77777777" w:rsidR="00416FA8" w:rsidRPr="009102D9" w:rsidRDefault="00416FA8" w:rsidP="00B77C0B">
            <w:pPr>
              <w:pStyle w:val="NoSpacing"/>
              <w:rPr>
                <w:rFonts w:ascii="Times New Roman" w:hAnsi="Times New Roman" w:cs="Times New Roman"/>
                <w:sz w:val="18"/>
                <w:szCs w:val="18"/>
              </w:rPr>
            </w:pPr>
            <w:r w:rsidRPr="009102D9">
              <w:rPr>
                <w:rFonts w:ascii="Times New Roman" w:hAnsi="Times New Roman" w:cs="Times New Roman"/>
                <w:sz w:val="18"/>
                <w:szCs w:val="18"/>
              </w:rPr>
              <w:t>Gujarat</w:t>
            </w:r>
          </w:p>
        </w:tc>
        <w:tc>
          <w:tcPr>
            <w:tcW w:w="796" w:type="dxa"/>
            <w:vAlign w:val="center"/>
            <w:hideMark/>
          </w:tcPr>
          <w:p w14:paraId="2C0C1967" w14:textId="77777777" w:rsidR="00416FA8" w:rsidRPr="009102D9" w:rsidRDefault="00416FA8" w:rsidP="004B6753">
            <w:pPr>
              <w:pStyle w:val="NoSpacing"/>
              <w:jc w:val="center"/>
              <w:rPr>
                <w:rFonts w:ascii="Times New Roman" w:hAnsi="Times New Roman" w:cs="Times New Roman"/>
                <w:sz w:val="18"/>
                <w:szCs w:val="18"/>
              </w:rPr>
            </w:pPr>
            <w:r w:rsidRPr="009102D9">
              <w:rPr>
                <w:rFonts w:ascii="Times New Roman" w:hAnsi="Times New Roman" w:cs="Times New Roman"/>
                <w:sz w:val="18"/>
                <w:szCs w:val="18"/>
              </w:rPr>
              <w:t>8.84</w:t>
            </w:r>
          </w:p>
        </w:tc>
        <w:tc>
          <w:tcPr>
            <w:tcW w:w="1066" w:type="dxa"/>
            <w:vAlign w:val="center"/>
            <w:hideMark/>
          </w:tcPr>
          <w:p w14:paraId="67373E1C" w14:textId="77777777" w:rsidR="00416FA8" w:rsidRPr="009102D9" w:rsidRDefault="00416FA8" w:rsidP="004B6753">
            <w:pPr>
              <w:pStyle w:val="NoSpacing"/>
              <w:jc w:val="center"/>
              <w:rPr>
                <w:rFonts w:ascii="Times New Roman" w:hAnsi="Times New Roman" w:cs="Times New Roman"/>
                <w:sz w:val="18"/>
                <w:szCs w:val="18"/>
              </w:rPr>
            </w:pPr>
            <w:r w:rsidRPr="009102D9">
              <w:rPr>
                <w:rFonts w:ascii="Times New Roman" w:hAnsi="Times New Roman" w:cs="Times New Roman"/>
                <w:sz w:val="18"/>
                <w:szCs w:val="18"/>
              </w:rPr>
              <w:t>2.73</w:t>
            </w:r>
          </w:p>
        </w:tc>
        <w:tc>
          <w:tcPr>
            <w:tcW w:w="0" w:type="auto"/>
            <w:vAlign w:val="center"/>
            <w:hideMark/>
          </w:tcPr>
          <w:p w14:paraId="4D56B321" w14:textId="77777777" w:rsidR="00416FA8" w:rsidRPr="009102D9" w:rsidRDefault="00416FA8" w:rsidP="004B6753">
            <w:pPr>
              <w:pStyle w:val="NoSpacing"/>
              <w:jc w:val="center"/>
              <w:rPr>
                <w:rFonts w:ascii="Times New Roman" w:hAnsi="Times New Roman" w:cs="Times New Roman"/>
                <w:sz w:val="18"/>
                <w:szCs w:val="18"/>
              </w:rPr>
            </w:pPr>
            <w:r w:rsidRPr="009102D9">
              <w:rPr>
                <w:rFonts w:ascii="Times New Roman" w:hAnsi="Times New Roman" w:cs="Times New Roman"/>
                <w:sz w:val="18"/>
                <w:szCs w:val="18"/>
              </w:rPr>
              <w:t>2.84</w:t>
            </w:r>
          </w:p>
        </w:tc>
        <w:tc>
          <w:tcPr>
            <w:tcW w:w="0" w:type="auto"/>
            <w:vAlign w:val="center"/>
            <w:hideMark/>
          </w:tcPr>
          <w:p w14:paraId="1222D59A" w14:textId="77777777" w:rsidR="00416FA8" w:rsidRPr="009102D9" w:rsidRDefault="00416FA8" w:rsidP="004B6753">
            <w:pPr>
              <w:pStyle w:val="NoSpacing"/>
              <w:jc w:val="center"/>
              <w:rPr>
                <w:rFonts w:ascii="Times New Roman" w:hAnsi="Times New Roman" w:cs="Times New Roman"/>
                <w:sz w:val="18"/>
                <w:szCs w:val="18"/>
              </w:rPr>
            </w:pPr>
            <w:r w:rsidRPr="009102D9">
              <w:rPr>
                <w:rFonts w:ascii="Times New Roman" w:hAnsi="Times New Roman" w:cs="Times New Roman"/>
                <w:sz w:val="18"/>
                <w:szCs w:val="18"/>
              </w:rPr>
              <w:t>1.50</w:t>
            </w:r>
          </w:p>
        </w:tc>
        <w:tc>
          <w:tcPr>
            <w:tcW w:w="0" w:type="auto"/>
            <w:vAlign w:val="center"/>
            <w:hideMark/>
          </w:tcPr>
          <w:p w14:paraId="5D693BE7" w14:textId="77777777" w:rsidR="00416FA8" w:rsidRPr="009102D9" w:rsidRDefault="00416FA8" w:rsidP="004B6753">
            <w:pPr>
              <w:pStyle w:val="NoSpacing"/>
              <w:jc w:val="center"/>
              <w:rPr>
                <w:rFonts w:ascii="Times New Roman" w:hAnsi="Times New Roman" w:cs="Times New Roman"/>
                <w:sz w:val="18"/>
                <w:szCs w:val="18"/>
              </w:rPr>
            </w:pPr>
            <w:r w:rsidRPr="009102D9">
              <w:rPr>
                <w:rFonts w:ascii="Times New Roman" w:hAnsi="Times New Roman" w:cs="Times New Roman"/>
                <w:sz w:val="18"/>
                <w:szCs w:val="18"/>
              </w:rPr>
              <w:t>4.31</w:t>
            </w:r>
          </w:p>
        </w:tc>
        <w:tc>
          <w:tcPr>
            <w:tcW w:w="1256" w:type="dxa"/>
            <w:vAlign w:val="center"/>
            <w:hideMark/>
          </w:tcPr>
          <w:p w14:paraId="292BE749" w14:textId="77777777" w:rsidR="00416FA8" w:rsidRPr="009102D9" w:rsidRDefault="00416FA8" w:rsidP="004B6753">
            <w:pPr>
              <w:pStyle w:val="NoSpacing"/>
              <w:jc w:val="center"/>
              <w:rPr>
                <w:rFonts w:ascii="Times New Roman" w:hAnsi="Times New Roman" w:cs="Times New Roman"/>
                <w:sz w:val="18"/>
                <w:szCs w:val="18"/>
              </w:rPr>
            </w:pPr>
            <w:r w:rsidRPr="009102D9">
              <w:rPr>
                <w:rFonts w:ascii="Times New Roman" w:hAnsi="Times New Roman" w:cs="Times New Roman"/>
                <w:sz w:val="18"/>
                <w:szCs w:val="18"/>
              </w:rPr>
              <w:t>1.29</w:t>
            </w:r>
          </w:p>
        </w:tc>
        <w:tc>
          <w:tcPr>
            <w:tcW w:w="1256" w:type="dxa"/>
            <w:vAlign w:val="center"/>
            <w:hideMark/>
          </w:tcPr>
          <w:p w14:paraId="1454913F" w14:textId="77777777" w:rsidR="00416FA8" w:rsidRPr="009102D9" w:rsidRDefault="00416FA8" w:rsidP="004B6753">
            <w:pPr>
              <w:pStyle w:val="NoSpacing"/>
              <w:jc w:val="center"/>
              <w:rPr>
                <w:rFonts w:ascii="Times New Roman" w:hAnsi="Times New Roman" w:cs="Times New Roman"/>
                <w:sz w:val="18"/>
                <w:szCs w:val="18"/>
              </w:rPr>
            </w:pPr>
            <w:r w:rsidRPr="009102D9">
              <w:rPr>
                <w:rFonts w:ascii="Times New Roman" w:hAnsi="Times New Roman" w:cs="Times New Roman"/>
                <w:sz w:val="18"/>
                <w:szCs w:val="18"/>
              </w:rPr>
              <w:t>7.10</w:t>
            </w:r>
          </w:p>
        </w:tc>
        <w:tc>
          <w:tcPr>
            <w:tcW w:w="0" w:type="auto"/>
            <w:vAlign w:val="center"/>
            <w:hideMark/>
          </w:tcPr>
          <w:p w14:paraId="0B54DA6F" w14:textId="77777777" w:rsidR="00416FA8" w:rsidRPr="009102D9" w:rsidRDefault="00416FA8" w:rsidP="004B6753">
            <w:pPr>
              <w:pStyle w:val="NoSpacing"/>
              <w:jc w:val="center"/>
              <w:rPr>
                <w:rFonts w:ascii="Times New Roman" w:hAnsi="Times New Roman" w:cs="Times New Roman"/>
                <w:sz w:val="18"/>
                <w:szCs w:val="18"/>
              </w:rPr>
            </w:pPr>
            <w:r w:rsidRPr="009102D9">
              <w:rPr>
                <w:rFonts w:ascii="Times New Roman" w:hAnsi="Times New Roman" w:cs="Times New Roman"/>
                <w:sz w:val="18"/>
                <w:szCs w:val="18"/>
              </w:rPr>
              <w:t>10.88</w:t>
            </w:r>
          </w:p>
        </w:tc>
        <w:tc>
          <w:tcPr>
            <w:tcW w:w="0" w:type="auto"/>
            <w:vAlign w:val="center"/>
            <w:hideMark/>
          </w:tcPr>
          <w:p w14:paraId="514C7ECF" w14:textId="77777777" w:rsidR="00416FA8" w:rsidRPr="009102D9" w:rsidRDefault="00416FA8" w:rsidP="004B6753">
            <w:pPr>
              <w:pStyle w:val="NoSpacing"/>
              <w:jc w:val="center"/>
              <w:rPr>
                <w:rFonts w:ascii="Times New Roman" w:hAnsi="Times New Roman" w:cs="Times New Roman"/>
                <w:sz w:val="18"/>
                <w:szCs w:val="18"/>
              </w:rPr>
            </w:pPr>
            <w:r w:rsidRPr="009102D9">
              <w:rPr>
                <w:rFonts w:ascii="Times New Roman" w:hAnsi="Times New Roman" w:cs="Times New Roman"/>
                <w:sz w:val="18"/>
                <w:szCs w:val="18"/>
              </w:rPr>
              <w:t>2.49</w:t>
            </w:r>
          </w:p>
        </w:tc>
        <w:tc>
          <w:tcPr>
            <w:tcW w:w="0" w:type="auto"/>
            <w:vAlign w:val="center"/>
            <w:hideMark/>
          </w:tcPr>
          <w:p w14:paraId="7EA9A4A9" w14:textId="77777777" w:rsidR="00416FA8" w:rsidRPr="009102D9" w:rsidRDefault="00416FA8" w:rsidP="004B6753">
            <w:pPr>
              <w:pStyle w:val="NoSpacing"/>
              <w:jc w:val="center"/>
              <w:rPr>
                <w:rFonts w:ascii="Times New Roman" w:hAnsi="Times New Roman" w:cs="Times New Roman"/>
                <w:sz w:val="18"/>
                <w:szCs w:val="18"/>
              </w:rPr>
            </w:pPr>
            <w:r w:rsidRPr="009102D9">
              <w:rPr>
                <w:rFonts w:ascii="Times New Roman" w:hAnsi="Times New Roman" w:cs="Times New Roman"/>
                <w:sz w:val="18"/>
                <w:szCs w:val="18"/>
              </w:rPr>
              <w:t>2.35</w:t>
            </w:r>
          </w:p>
        </w:tc>
        <w:tc>
          <w:tcPr>
            <w:tcW w:w="1046" w:type="dxa"/>
            <w:vAlign w:val="center"/>
            <w:hideMark/>
          </w:tcPr>
          <w:p w14:paraId="4D1EE2F3" w14:textId="77777777" w:rsidR="00416FA8" w:rsidRPr="009102D9" w:rsidRDefault="00416FA8" w:rsidP="004B6753">
            <w:pPr>
              <w:pStyle w:val="NoSpacing"/>
              <w:jc w:val="center"/>
              <w:rPr>
                <w:rFonts w:ascii="Times New Roman" w:hAnsi="Times New Roman" w:cs="Times New Roman"/>
                <w:sz w:val="18"/>
                <w:szCs w:val="18"/>
              </w:rPr>
            </w:pPr>
            <w:r w:rsidRPr="009102D9">
              <w:rPr>
                <w:rFonts w:ascii="Times New Roman" w:hAnsi="Times New Roman" w:cs="Times New Roman"/>
                <w:sz w:val="18"/>
                <w:szCs w:val="18"/>
              </w:rPr>
              <w:t>2.90</w:t>
            </w:r>
          </w:p>
        </w:tc>
        <w:tc>
          <w:tcPr>
            <w:tcW w:w="846" w:type="dxa"/>
            <w:vAlign w:val="center"/>
            <w:hideMark/>
          </w:tcPr>
          <w:p w14:paraId="34F57259" w14:textId="77777777" w:rsidR="00416FA8" w:rsidRPr="009102D9" w:rsidRDefault="00416FA8" w:rsidP="004B6753">
            <w:pPr>
              <w:pStyle w:val="NoSpacing"/>
              <w:jc w:val="center"/>
              <w:rPr>
                <w:rFonts w:ascii="Times New Roman" w:hAnsi="Times New Roman" w:cs="Times New Roman"/>
                <w:sz w:val="18"/>
                <w:szCs w:val="18"/>
              </w:rPr>
            </w:pPr>
            <w:r w:rsidRPr="009102D9">
              <w:rPr>
                <w:rFonts w:ascii="Times New Roman" w:hAnsi="Times New Roman" w:cs="Times New Roman"/>
                <w:sz w:val="18"/>
                <w:szCs w:val="18"/>
              </w:rPr>
              <w:t>4.89</w:t>
            </w:r>
          </w:p>
        </w:tc>
        <w:tc>
          <w:tcPr>
            <w:tcW w:w="846" w:type="dxa"/>
            <w:vAlign w:val="center"/>
            <w:hideMark/>
          </w:tcPr>
          <w:p w14:paraId="473093A7" w14:textId="77777777" w:rsidR="00416FA8" w:rsidRPr="009102D9" w:rsidRDefault="00416FA8" w:rsidP="004B6753">
            <w:pPr>
              <w:pStyle w:val="NoSpacing"/>
              <w:jc w:val="center"/>
              <w:rPr>
                <w:rFonts w:ascii="Times New Roman" w:hAnsi="Times New Roman" w:cs="Times New Roman"/>
                <w:sz w:val="18"/>
                <w:szCs w:val="18"/>
              </w:rPr>
            </w:pPr>
            <w:r w:rsidRPr="009102D9">
              <w:rPr>
                <w:rFonts w:ascii="Times New Roman" w:hAnsi="Times New Roman" w:cs="Times New Roman"/>
                <w:sz w:val="18"/>
                <w:szCs w:val="18"/>
              </w:rPr>
              <w:t>23.51</w:t>
            </w:r>
          </w:p>
        </w:tc>
        <w:tc>
          <w:tcPr>
            <w:tcW w:w="1066" w:type="dxa"/>
            <w:vAlign w:val="center"/>
            <w:hideMark/>
          </w:tcPr>
          <w:p w14:paraId="2D9D46E9" w14:textId="77777777" w:rsidR="00416FA8" w:rsidRPr="009102D9" w:rsidRDefault="00416FA8" w:rsidP="004B6753">
            <w:pPr>
              <w:pStyle w:val="NoSpacing"/>
              <w:jc w:val="center"/>
              <w:rPr>
                <w:rFonts w:ascii="Times New Roman" w:hAnsi="Times New Roman" w:cs="Times New Roman"/>
                <w:sz w:val="18"/>
                <w:szCs w:val="18"/>
              </w:rPr>
            </w:pPr>
            <w:r w:rsidRPr="009102D9">
              <w:rPr>
                <w:rFonts w:ascii="Times New Roman" w:hAnsi="Times New Roman" w:cs="Times New Roman"/>
                <w:sz w:val="18"/>
                <w:szCs w:val="18"/>
              </w:rPr>
              <w:t>33.45</w:t>
            </w:r>
          </w:p>
        </w:tc>
        <w:tc>
          <w:tcPr>
            <w:tcW w:w="1066" w:type="dxa"/>
            <w:vAlign w:val="center"/>
            <w:hideMark/>
          </w:tcPr>
          <w:p w14:paraId="05B618F0" w14:textId="77777777" w:rsidR="00416FA8" w:rsidRPr="009102D9" w:rsidRDefault="00416FA8" w:rsidP="004B6753">
            <w:pPr>
              <w:pStyle w:val="NoSpacing"/>
              <w:jc w:val="center"/>
              <w:rPr>
                <w:rFonts w:ascii="Times New Roman" w:hAnsi="Times New Roman" w:cs="Times New Roman"/>
                <w:sz w:val="18"/>
                <w:szCs w:val="18"/>
              </w:rPr>
            </w:pPr>
            <w:r w:rsidRPr="009102D9">
              <w:rPr>
                <w:rFonts w:ascii="Times New Roman" w:hAnsi="Times New Roman" w:cs="Times New Roman"/>
                <w:sz w:val="18"/>
                <w:szCs w:val="18"/>
              </w:rPr>
              <w:t>60.44</w:t>
            </w:r>
          </w:p>
        </w:tc>
      </w:tr>
      <w:tr w:rsidR="00416FA8" w:rsidRPr="009102D9" w14:paraId="6D8CE67A" w14:textId="77777777" w:rsidTr="004B6753">
        <w:trPr>
          <w:trHeight w:val="24"/>
        </w:trPr>
        <w:tc>
          <w:tcPr>
            <w:tcW w:w="1116" w:type="dxa"/>
            <w:hideMark/>
          </w:tcPr>
          <w:p w14:paraId="07E0AF85" w14:textId="77777777" w:rsidR="00416FA8" w:rsidRPr="009102D9" w:rsidRDefault="00416FA8" w:rsidP="00B77C0B">
            <w:pPr>
              <w:pStyle w:val="NoSpacing"/>
              <w:rPr>
                <w:rFonts w:ascii="Times New Roman" w:hAnsi="Times New Roman" w:cs="Times New Roman"/>
                <w:sz w:val="18"/>
                <w:szCs w:val="18"/>
              </w:rPr>
            </w:pPr>
            <w:r w:rsidRPr="009102D9">
              <w:rPr>
                <w:rFonts w:ascii="Times New Roman" w:hAnsi="Times New Roman" w:cs="Times New Roman"/>
                <w:sz w:val="18"/>
                <w:szCs w:val="18"/>
              </w:rPr>
              <w:t>Haryana</w:t>
            </w:r>
          </w:p>
        </w:tc>
        <w:tc>
          <w:tcPr>
            <w:tcW w:w="796" w:type="dxa"/>
            <w:vAlign w:val="center"/>
            <w:hideMark/>
          </w:tcPr>
          <w:p w14:paraId="51BA42E1" w14:textId="77777777" w:rsidR="00416FA8" w:rsidRPr="009102D9" w:rsidRDefault="00416FA8" w:rsidP="004B6753">
            <w:pPr>
              <w:pStyle w:val="NoSpacing"/>
              <w:jc w:val="center"/>
              <w:rPr>
                <w:rFonts w:ascii="Times New Roman" w:hAnsi="Times New Roman" w:cs="Times New Roman"/>
                <w:sz w:val="18"/>
                <w:szCs w:val="18"/>
              </w:rPr>
            </w:pPr>
            <w:r w:rsidRPr="009102D9">
              <w:rPr>
                <w:rFonts w:ascii="Times New Roman" w:hAnsi="Times New Roman" w:cs="Times New Roman"/>
                <w:sz w:val="18"/>
                <w:szCs w:val="18"/>
              </w:rPr>
              <w:t>14.56</w:t>
            </w:r>
          </w:p>
        </w:tc>
        <w:tc>
          <w:tcPr>
            <w:tcW w:w="1066" w:type="dxa"/>
            <w:vAlign w:val="center"/>
            <w:hideMark/>
          </w:tcPr>
          <w:p w14:paraId="71A4891A" w14:textId="77777777" w:rsidR="00416FA8" w:rsidRPr="009102D9" w:rsidRDefault="00416FA8" w:rsidP="004B6753">
            <w:pPr>
              <w:pStyle w:val="NoSpacing"/>
              <w:jc w:val="center"/>
              <w:rPr>
                <w:rFonts w:ascii="Times New Roman" w:hAnsi="Times New Roman" w:cs="Times New Roman"/>
                <w:sz w:val="18"/>
                <w:szCs w:val="18"/>
              </w:rPr>
            </w:pPr>
            <w:r w:rsidRPr="009102D9">
              <w:rPr>
                <w:rFonts w:ascii="Times New Roman" w:hAnsi="Times New Roman" w:cs="Times New Roman"/>
                <w:sz w:val="18"/>
                <w:szCs w:val="18"/>
              </w:rPr>
              <w:t>9.39</w:t>
            </w:r>
          </w:p>
        </w:tc>
        <w:tc>
          <w:tcPr>
            <w:tcW w:w="0" w:type="auto"/>
            <w:vAlign w:val="center"/>
            <w:hideMark/>
          </w:tcPr>
          <w:p w14:paraId="502CA2B4" w14:textId="77777777" w:rsidR="00416FA8" w:rsidRPr="009102D9" w:rsidRDefault="00416FA8" w:rsidP="004B6753">
            <w:pPr>
              <w:pStyle w:val="NoSpacing"/>
              <w:jc w:val="center"/>
              <w:rPr>
                <w:rFonts w:ascii="Times New Roman" w:hAnsi="Times New Roman" w:cs="Times New Roman"/>
                <w:sz w:val="18"/>
                <w:szCs w:val="18"/>
              </w:rPr>
            </w:pPr>
            <w:r w:rsidRPr="009102D9">
              <w:rPr>
                <w:rFonts w:ascii="Times New Roman" w:hAnsi="Times New Roman" w:cs="Times New Roman"/>
                <w:sz w:val="18"/>
                <w:szCs w:val="18"/>
              </w:rPr>
              <w:t>1.37</w:t>
            </w:r>
          </w:p>
        </w:tc>
        <w:tc>
          <w:tcPr>
            <w:tcW w:w="0" w:type="auto"/>
            <w:vAlign w:val="center"/>
            <w:hideMark/>
          </w:tcPr>
          <w:p w14:paraId="5B6AC1C2" w14:textId="77777777" w:rsidR="00416FA8" w:rsidRPr="009102D9" w:rsidRDefault="00416FA8" w:rsidP="004B6753">
            <w:pPr>
              <w:pStyle w:val="NoSpacing"/>
              <w:jc w:val="center"/>
              <w:rPr>
                <w:rFonts w:ascii="Times New Roman" w:hAnsi="Times New Roman" w:cs="Times New Roman"/>
                <w:sz w:val="18"/>
                <w:szCs w:val="18"/>
              </w:rPr>
            </w:pPr>
            <w:r w:rsidRPr="009102D9">
              <w:rPr>
                <w:rFonts w:ascii="Times New Roman" w:hAnsi="Times New Roman" w:cs="Times New Roman"/>
                <w:sz w:val="18"/>
                <w:szCs w:val="18"/>
              </w:rPr>
              <w:t>1.90</w:t>
            </w:r>
          </w:p>
        </w:tc>
        <w:tc>
          <w:tcPr>
            <w:tcW w:w="0" w:type="auto"/>
            <w:vAlign w:val="center"/>
            <w:hideMark/>
          </w:tcPr>
          <w:p w14:paraId="29981EAC" w14:textId="77777777" w:rsidR="00416FA8" w:rsidRPr="009102D9" w:rsidRDefault="00416FA8" w:rsidP="004B6753">
            <w:pPr>
              <w:pStyle w:val="NoSpacing"/>
              <w:jc w:val="center"/>
              <w:rPr>
                <w:rFonts w:ascii="Times New Roman" w:hAnsi="Times New Roman" w:cs="Times New Roman"/>
                <w:sz w:val="18"/>
                <w:szCs w:val="18"/>
              </w:rPr>
            </w:pPr>
            <w:r w:rsidRPr="009102D9">
              <w:rPr>
                <w:rFonts w:ascii="Times New Roman" w:hAnsi="Times New Roman" w:cs="Times New Roman"/>
                <w:sz w:val="18"/>
                <w:szCs w:val="18"/>
              </w:rPr>
              <w:t>3.45</w:t>
            </w:r>
          </w:p>
        </w:tc>
        <w:tc>
          <w:tcPr>
            <w:tcW w:w="1256" w:type="dxa"/>
            <w:vAlign w:val="center"/>
            <w:hideMark/>
          </w:tcPr>
          <w:p w14:paraId="4BDD753D" w14:textId="77777777" w:rsidR="00416FA8" w:rsidRPr="009102D9" w:rsidRDefault="00416FA8" w:rsidP="004B6753">
            <w:pPr>
              <w:pStyle w:val="NoSpacing"/>
              <w:jc w:val="center"/>
              <w:rPr>
                <w:rFonts w:ascii="Times New Roman" w:hAnsi="Times New Roman" w:cs="Times New Roman"/>
                <w:sz w:val="18"/>
                <w:szCs w:val="18"/>
              </w:rPr>
            </w:pPr>
            <w:r w:rsidRPr="009102D9">
              <w:rPr>
                <w:rFonts w:ascii="Times New Roman" w:hAnsi="Times New Roman" w:cs="Times New Roman"/>
                <w:sz w:val="18"/>
                <w:szCs w:val="18"/>
              </w:rPr>
              <w:t>1.14</w:t>
            </w:r>
          </w:p>
        </w:tc>
        <w:tc>
          <w:tcPr>
            <w:tcW w:w="1256" w:type="dxa"/>
            <w:vAlign w:val="center"/>
            <w:hideMark/>
          </w:tcPr>
          <w:p w14:paraId="09E78D50" w14:textId="77777777" w:rsidR="00416FA8" w:rsidRPr="009102D9" w:rsidRDefault="00416FA8" w:rsidP="004B6753">
            <w:pPr>
              <w:pStyle w:val="NoSpacing"/>
              <w:jc w:val="center"/>
              <w:rPr>
                <w:rFonts w:ascii="Times New Roman" w:hAnsi="Times New Roman" w:cs="Times New Roman"/>
                <w:sz w:val="18"/>
                <w:szCs w:val="18"/>
              </w:rPr>
            </w:pPr>
            <w:r w:rsidRPr="009102D9">
              <w:rPr>
                <w:rFonts w:ascii="Times New Roman" w:hAnsi="Times New Roman" w:cs="Times New Roman"/>
                <w:sz w:val="18"/>
                <w:szCs w:val="18"/>
              </w:rPr>
              <w:t>6.49</w:t>
            </w:r>
          </w:p>
        </w:tc>
        <w:tc>
          <w:tcPr>
            <w:tcW w:w="0" w:type="auto"/>
            <w:vAlign w:val="center"/>
            <w:hideMark/>
          </w:tcPr>
          <w:p w14:paraId="1324FBF9" w14:textId="77777777" w:rsidR="00416FA8" w:rsidRPr="009102D9" w:rsidRDefault="00416FA8" w:rsidP="004B6753">
            <w:pPr>
              <w:pStyle w:val="NoSpacing"/>
              <w:jc w:val="center"/>
              <w:rPr>
                <w:rFonts w:ascii="Times New Roman" w:hAnsi="Times New Roman" w:cs="Times New Roman"/>
                <w:sz w:val="18"/>
                <w:szCs w:val="18"/>
              </w:rPr>
            </w:pPr>
            <w:r w:rsidRPr="009102D9">
              <w:rPr>
                <w:rFonts w:ascii="Times New Roman" w:hAnsi="Times New Roman" w:cs="Times New Roman"/>
                <w:sz w:val="18"/>
                <w:szCs w:val="18"/>
              </w:rPr>
              <w:t>11.69</w:t>
            </w:r>
          </w:p>
        </w:tc>
        <w:tc>
          <w:tcPr>
            <w:tcW w:w="0" w:type="auto"/>
            <w:vAlign w:val="center"/>
            <w:hideMark/>
          </w:tcPr>
          <w:p w14:paraId="0CE344FE" w14:textId="77777777" w:rsidR="00416FA8" w:rsidRPr="009102D9" w:rsidRDefault="00416FA8" w:rsidP="004B6753">
            <w:pPr>
              <w:pStyle w:val="NoSpacing"/>
              <w:jc w:val="center"/>
              <w:rPr>
                <w:rFonts w:ascii="Times New Roman" w:hAnsi="Times New Roman" w:cs="Times New Roman"/>
                <w:sz w:val="18"/>
                <w:szCs w:val="18"/>
              </w:rPr>
            </w:pPr>
            <w:r w:rsidRPr="009102D9">
              <w:rPr>
                <w:rFonts w:ascii="Times New Roman" w:hAnsi="Times New Roman" w:cs="Times New Roman"/>
                <w:sz w:val="18"/>
                <w:szCs w:val="18"/>
              </w:rPr>
              <w:t>1.82</w:t>
            </w:r>
          </w:p>
        </w:tc>
        <w:tc>
          <w:tcPr>
            <w:tcW w:w="0" w:type="auto"/>
            <w:vAlign w:val="center"/>
            <w:hideMark/>
          </w:tcPr>
          <w:p w14:paraId="05DA8D55" w14:textId="77777777" w:rsidR="00416FA8" w:rsidRPr="009102D9" w:rsidRDefault="00416FA8" w:rsidP="004B6753">
            <w:pPr>
              <w:pStyle w:val="NoSpacing"/>
              <w:jc w:val="center"/>
              <w:rPr>
                <w:rFonts w:ascii="Times New Roman" w:hAnsi="Times New Roman" w:cs="Times New Roman"/>
                <w:sz w:val="18"/>
                <w:szCs w:val="18"/>
              </w:rPr>
            </w:pPr>
            <w:r w:rsidRPr="009102D9">
              <w:rPr>
                <w:rFonts w:ascii="Times New Roman" w:hAnsi="Times New Roman" w:cs="Times New Roman"/>
                <w:sz w:val="18"/>
                <w:szCs w:val="18"/>
              </w:rPr>
              <w:t>1.77</w:t>
            </w:r>
          </w:p>
        </w:tc>
        <w:tc>
          <w:tcPr>
            <w:tcW w:w="1046" w:type="dxa"/>
            <w:vAlign w:val="center"/>
            <w:hideMark/>
          </w:tcPr>
          <w:p w14:paraId="2C6CAD2D" w14:textId="77777777" w:rsidR="00416FA8" w:rsidRPr="009102D9" w:rsidRDefault="00416FA8" w:rsidP="004B6753">
            <w:pPr>
              <w:pStyle w:val="NoSpacing"/>
              <w:jc w:val="center"/>
              <w:rPr>
                <w:rFonts w:ascii="Times New Roman" w:hAnsi="Times New Roman" w:cs="Times New Roman"/>
                <w:sz w:val="18"/>
                <w:szCs w:val="18"/>
              </w:rPr>
            </w:pPr>
            <w:r w:rsidRPr="009102D9">
              <w:rPr>
                <w:rFonts w:ascii="Times New Roman" w:hAnsi="Times New Roman" w:cs="Times New Roman"/>
                <w:sz w:val="18"/>
                <w:szCs w:val="18"/>
              </w:rPr>
              <w:t>3.31</w:t>
            </w:r>
          </w:p>
        </w:tc>
        <w:tc>
          <w:tcPr>
            <w:tcW w:w="846" w:type="dxa"/>
            <w:vAlign w:val="center"/>
            <w:hideMark/>
          </w:tcPr>
          <w:p w14:paraId="603C7322" w14:textId="77777777" w:rsidR="00416FA8" w:rsidRPr="009102D9" w:rsidRDefault="00416FA8" w:rsidP="004B6753">
            <w:pPr>
              <w:pStyle w:val="NoSpacing"/>
              <w:jc w:val="center"/>
              <w:rPr>
                <w:rFonts w:ascii="Times New Roman" w:hAnsi="Times New Roman" w:cs="Times New Roman"/>
                <w:sz w:val="18"/>
                <w:szCs w:val="18"/>
              </w:rPr>
            </w:pPr>
            <w:r w:rsidRPr="009102D9">
              <w:rPr>
                <w:rFonts w:ascii="Times New Roman" w:hAnsi="Times New Roman" w:cs="Times New Roman"/>
                <w:sz w:val="18"/>
                <w:szCs w:val="18"/>
              </w:rPr>
              <w:t>3.70</w:t>
            </w:r>
          </w:p>
        </w:tc>
        <w:tc>
          <w:tcPr>
            <w:tcW w:w="846" w:type="dxa"/>
            <w:vAlign w:val="center"/>
            <w:hideMark/>
          </w:tcPr>
          <w:p w14:paraId="0A19CCC0" w14:textId="77777777" w:rsidR="00416FA8" w:rsidRPr="009102D9" w:rsidRDefault="00416FA8" w:rsidP="004B6753">
            <w:pPr>
              <w:pStyle w:val="NoSpacing"/>
              <w:jc w:val="center"/>
              <w:rPr>
                <w:rFonts w:ascii="Times New Roman" w:hAnsi="Times New Roman" w:cs="Times New Roman"/>
                <w:sz w:val="18"/>
                <w:szCs w:val="18"/>
              </w:rPr>
            </w:pPr>
            <w:r w:rsidRPr="009102D9">
              <w:rPr>
                <w:rFonts w:ascii="Times New Roman" w:hAnsi="Times New Roman" w:cs="Times New Roman"/>
                <w:sz w:val="18"/>
                <w:szCs w:val="18"/>
              </w:rPr>
              <w:t>22.29</w:t>
            </w:r>
          </w:p>
        </w:tc>
        <w:tc>
          <w:tcPr>
            <w:tcW w:w="1066" w:type="dxa"/>
            <w:vAlign w:val="center"/>
            <w:hideMark/>
          </w:tcPr>
          <w:p w14:paraId="1AD09CB9" w14:textId="77777777" w:rsidR="00416FA8" w:rsidRPr="009102D9" w:rsidRDefault="00416FA8" w:rsidP="004B6753">
            <w:pPr>
              <w:pStyle w:val="NoSpacing"/>
              <w:jc w:val="center"/>
              <w:rPr>
                <w:rFonts w:ascii="Times New Roman" w:hAnsi="Times New Roman" w:cs="Times New Roman"/>
                <w:sz w:val="18"/>
                <w:szCs w:val="18"/>
              </w:rPr>
            </w:pPr>
            <w:r w:rsidRPr="009102D9">
              <w:rPr>
                <w:rFonts w:ascii="Times New Roman" w:hAnsi="Times New Roman" w:cs="Times New Roman"/>
                <w:sz w:val="18"/>
                <w:szCs w:val="18"/>
              </w:rPr>
              <w:t>30.15</w:t>
            </w:r>
          </w:p>
        </w:tc>
        <w:tc>
          <w:tcPr>
            <w:tcW w:w="1066" w:type="dxa"/>
            <w:vAlign w:val="center"/>
            <w:hideMark/>
          </w:tcPr>
          <w:p w14:paraId="501916CF" w14:textId="77777777" w:rsidR="00416FA8" w:rsidRPr="009102D9" w:rsidRDefault="00416FA8" w:rsidP="004B6753">
            <w:pPr>
              <w:pStyle w:val="NoSpacing"/>
              <w:jc w:val="center"/>
              <w:rPr>
                <w:rFonts w:ascii="Times New Roman" w:hAnsi="Times New Roman" w:cs="Times New Roman"/>
                <w:sz w:val="18"/>
                <w:szCs w:val="18"/>
              </w:rPr>
            </w:pPr>
            <w:r w:rsidRPr="009102D9">
              <w:rPr>
                <w:rFonts w:ascii="Times New Roman" w:hAnsi="Times New Roman" w:cs="Times New Roman"/>
                <w:sz w:val="18"/>
                <w:szCs w:val="18"/>
              </w:rPr>
              <w:t>60.68</w:t>
            </w:r>
          </w:p>
        </w:tc>
      </w:tr>
      <w:tr w:rsidR="00416FA8" w:rsidRPr="009102D9" w14:paraId="56A96B6E" w14:textId="77777777" w:rsidTr="004B6753">
        <w:trPr>
          <w:trHeight w:val="24"/>
        </w:trPr>
        <w:tc>
          <w:tcPr>
            <w:tcW w:w="1116" w:type="dxa"/>
            <w:hideMark/>
          </w:tcPr>
          <w:p w14:paraId="5172CA02" w14:textId="77777777" w:rsidR="00416FA8" w:rsidRPr="009102D9" w:rsidRDefault="00416FA8" w:rsidP="00B77C0B">
            <w:pPr>
              <w:pStyle w:val="NoSpacing"/>
              <w:rPr>
                <w:rFonts w:ascii="Times New Roman" w:hAnsi="Times New Roman" w:cs="Times New Roman"/>
                <w:sz w:val="18"/>
                <w:szCs w:val="18"/>
              </w:rPr>
            </w:pPr>
            <w:r w:rsidRPr="009102D9">
              <w:rPr>
                <w:rFonts w:ascii="Times New Roman" w:hAnsi="Times New Roman" w:cs="Times New Roman"/>
                <w:sz w:val="18"/>
                <w:szCs w:val="18"/>
              </w:rPr>
              <w:t>Jammu &amp; Kashmir</w:t>
            </w:r>
          </w:p>
        </w:tc>
        <w:tc>
          <w:tcPr>
            <w:tcW w:w="796" w:type="dxa"/>
            <w:vAlign w:val="center"/>
            <w:hideMark/>
          </w:tcPr>
          <w:p w14:paraId="3BBC99F3" w14:textId="77777777" w:rsidR="00416FA8" w:rsidRPr="009102D9" w:rsidRDefault="00416FA8" w:rsidP="004B6753">
            <w:pPr>
              <w:pStyle w:val="NoSpacing"/>
              <w:jc w:val="center"/>
              <w:rPr>
                <w:rFonts w:ascii="Times New Roman" w:hAnsi="Times New Roman" w:cs="Times New Roman"/>
                <w:sz w:val="18"/>
                <w:szCs w:val="18"/>
              </w:rPr>
            </w:pPr>
            <w:r w:rsidRPr="009102D9">
              <w:rPr>
                <w:rFonts w:ascii="Times New Roman" w:hAnsi="Times New Roman" w:cs="Times New Roman"/>
                <w:sz w:val="18"/>
                <w:szCs w:val="18"/>
              </w:rPr>
              <w:t>1.86</w:t>
            </w:r>
          </w:p>
        </w:tc>
        <w:tc>
          <w:tcPr>
            <w:tcW w:w="1066" w:type="dxa"/>
            <w:vAlign w:val="center"/>
            <w:hideMark/>
          </w:tcPr>
          <w:p w14:paraId="4D6AD658" w14:textId="77777777" w:rsidR="00416FA8" w:rsidRPr="009102D9" w:rsidRDefault="00416FA8" w:rsidP="004B6753">
            <w:pPr>
              <w:pStyle w:val="NoSpacing"/>
              <w:jc w:val="center"/>
              <w:rPr>
                <w:rFonts w:ascii="Times New Roman" w:hAnsi="Times New Roman" w:cs="Times New Roman"/>
                <w:sz w:val="18"/>
                <w:szCs w:val="18"/>
              </w:rPr>
            </w:pPr>
            <w:r w:rsidRPr="009102D9">
              <w:rPr>
                <w:rFonts w:ascii="Times New Roman" w:hAnsi="Times New Roman" w:cs="Times New Roman"/>
                <w:sz w:val="18"/>
                <w:szCs w:val="18"/>
              </w:rPr>
              <w:t>14.14</w:t>
            </w:r>
          </w:p>
        </w:tc>
        <w:tc>
          <w:tcPr>
            <w:tcW w:w="0" w:type="auto"/>
            <w:vAlign w:val="center"/>
            <w:hideMark/>
          </w:tcPr>
          <w:p w14:paraId="16ADCA5C" w14:textId="77777777" w:rsidR="00416FA8" w:rsidRPr="009102D9" w:rsidRDefault="00416FA8" w:rsidP="004B6753">
            <w:pPr>
              <w:pStyle w:val="NoSpacing"/>
              <w:jc w:val="center"/>
              <w:rPr>
                <w:rFonts w:ascii="Times New Roman" w:hAnsi="Times New Roman" w:cs="Times New Roman"/>
                <w:sz w:val="18"/>
                <w:szCs w:val="18"/>
              </w:rPr>
            </w:pPr>
            <w:r w:rsidRPr="009102D9">
              <w:rPr>
                <w:rFonts w:ascii="Times New Roman" w:hAnsi="Times New Roman" w:cs="Times New Roman"/>
                <w:sz w:val="18"/>
                <w:szCs w:val="18"/>
              </w:rPr>
              <w:t>2.75</w:t>
            </w:r>
          </w:p>
        </w:tc>
        <w:tc>
          <w:tcPr>
            <w:tcW w:w="0" w:type="auto"/>
            <w:vAlign w:val="center"/>
            <w:hideMark/>
          </w:tcPr>
          <w:p w14:paraId="2438DD7A" w14:textId="77777777" w:rsidR="00416FA8" w:rsidRPr="009102D9" w:rsidRDefault="00416FA8" w:rsidP="004B6753">
            <w:pPr>
              <w:pStyle w:val="NoSpacing"/>
              <w:jc w:val="center"/>
              <w:rPr>
                <w:rFonts w:ascii="Times New Roman" w:hAnsi="Times New Roman" w:cs="Times New Roman"/>
                <w:sz w:val="18"/>
                <w:szCs w:val="18"/>
              </w:rPr>
            </w:pPr>
            <w:r w:rsidRPr="009102D9">
              <w:rPr>
                <w:rFonts w:ascii="Times New Roman" w:hAnsi="Times New Roman" w:cs="Times New Roman"/>
                <w:sz w:val="18"/>
                <w:szCs w:val="18"/>
              </w:rPr>
              <w:t>3.10</w:t>
            </w:r>
          </w:p>
        </w:tc>
        <w:tc>
          <w:tcPr>
            <w:tcW w:w="0" w:type="auto"/>
            <w:vAlign w:val="center"/>
            <w:hideMark/>
          </w:tcPr>
          <w:p w14:paraId="349551AF" w14:textId="77777777" w:rsidR="00416FA8" w:rsidRPr="009102D9" w:rsidRDefault="00416FA8" w:rsidP="004B6753">
            <w:pPr>
              <w:pStyle w:val="NoSpacing"/>
              <w:jc w:val="center"/>
              <w:rPr>
                <w:rFonts w:ascii="Times New Roman" w:hAnsi="Times New Roman" w:cs="Times New Roman"/>
                <w:sz w:val="18"/>
                <w:szCs w:val="18"/>
              </w:rPr>
            </w:pPr>
            <w:r w:rsidRPr="009102D9">
              <w:rPr>
                <w:rFonts w:ascii="Times New Roman" w:hAnsi="Times New Roman" w:cs="Times New Roman"/>
                <w:sz w:val="18"/>
                <w:szCs w:val="18"/>
              </w:rPr>
              <w:t>10.71</w:t>
            </w:r>
          </w:p>
        </w:tc>
        <w:tc>
          <w:tcPr>
            <w:tcW w:w="1256" w:type="dxa"/>
            <w:vAlign w:val="center"/>
            <w:hideMark/>
          </w:tcPr>
          <w:p w14:paraId="5F6B8189" w14:textId="77777777" w:rsidR="00416FA8" w:rsidRPr="009102D9" w:rsidRDefault="00416FA8" w:rsidP="004B6753">
            <w:pPr>
              <w:pStyle w:val="NoSpacing"/>
              <w:jc w:val="center"/>
              <w:rPr>
                <w:rFonts w:ascii="Times New Roman" w:hAnsi="Times New Roman" w:cs="Times New Roman"/>
                <w:sz w:val="18"/>
                <w:szCs w:val="18"/>
              </w:rPr>
            </w:pPr>
            <w:r w:rsidRPr="009102D9">
              <w:rPr>
                <w:rFonts w:ascii="Times New Roman" w:hAnsi="Times New Roman" w:cs="Times New Roman"/>
                <w:sz w:val="18"/>
                <w:szCs w:val="18"/>
              </w:rPr>
              <w:t>3.05</w:t>
            </w:r>
          </w:p>
        </w:tc>
        <w:tc>
          <w:tcPr>
            <w:tcW w:w="1256" w:type="dxa"/>
            <w:vAlign w:val="center"/>
            <w:hideMark/>
          </w:tcPr>
          <w:p w14:paraId="3A55523E" w14:textId="77777777" w:rsidR="00416FA8" w:rsidRPr="009102D9" w:rsidRDefault="00416FA8" w:rsidP="004B6753">
            <w:pPr>
              <w:pStyle w:val="NoSpacing"/>
              <w:jc w:val="center"/>
              <w:rPr>
                <w:rFonts w:ascii="Times New Roman" w:hAnsi="Times New Roman" w:cs="Times New Roman"/>
                <w:sz w:val="18"/>
                <w:szCs w:val="18"/>
              </w:rPr>
            </w:pPr>
            <w:r w:rsidRPr="009102D9">
              <w:rPr>
                <w:rFonts w:ascii="Times New Roman" w:hAnsi="Times New Roman" w:cs="Times New Roman"/>
                <w:sz w:val="18"/>
                <w:szCs w:val="18"/>
              </w:rPr>
              <w:t>16.86</w:t>
            </w:r>
          </w:p>
        </w:tc>
        <w:tc>
          <w:tcPr>
            <w:tcW w:w="0" w:type="auto"/>
            <w:vAlign w:val="center"/>
            <w:hideMark/>
          </w:tcPr>
          <w:p w14:paraId="7640D675" w14:textId="77777777" w:rsidR="00416FA8" w:rsidRPr="009102D9" w:rsidRDefault="00416FA8" w:rsidP="004B6753">
            <w:pPr>
              <w:pStyle w:val="NoSpacing"/>
              <w:jc w:val="center"/>
              <w:rPr>
                <w:rFonts w:ascii="Times New Roman" w:hAnsi="Times New Roman" w:cs="Times New Roman"/>
                <w:sz w:val="18"/>
                <w:szCs w:val="18"/>
              </w:rPr>
            </w:pPr>
            <w:r w:rsidRPr="009102D9">
              <w:rPr>
                <w:rFonts w:ascii="Times New Roman" w:hAnsi="Times New Roman" w:cs="Times New Roman"/>
                <w:sz w:val="18"/>
                <w:szCs w:val="18"/>
              </w:rPr>
              <w:t>17.09</w:t>
            </w:r>
          </w:p>
        </w:tc>
        <w:tc>
          <w:tcPr>
            <w:tcW w:w="0" w:type="auto"/>
            <w:vAlign w:val="center"/>
            <w:hideMark/>
          </w:tcPr>
          <w:p w14:paraId="307040B7" w14:textId="77777777" w:rsidR="00416FA8" w:rsidRPr="009102D9" w:rsidRDefault="00416FA8" w:rsidP="004B6753">
            <w:pPr>
              <w:pStyle w:val="NoSpacing"/>
              <w:jc w:val="center"/>
              <w:rPr>
                <w:rFonts w:ascii="Times New Roman" w:hAnsi="Times New Roman" w:cs="Times New Roman"/>
                <w:sz w:val="18"/>
                <w:szCs w:val="18"/>
              </w:rPr>
            </w:pPr>
            <w:r w:rsidRPr="009102D9">
              <w:rPr>
                <w:rFonts w:ascii="Times New Roman" w:hAnsi="Times New Roman" w:cs="Times New Roman"/>
                <w:sz w:val="18"/>
                <w:szCs w:val="18"/>
              </w:rPr>
              <w:t>6.05</w:t>
            </w:r>
          </w:p>
        </w:tc>
        <w:tc>
          <w:tcPr>
            <w:tcW w:w="0" w:type="auto"/>
            <w:vAlign w:val="center"/>
            <w:hideMark/>
          </w:tcPr>
          <w:p w14:paraId="5D6F69D8" w14:textId="77777777" w:rsidR="00416FA8" w:rsidRPr="009102D9" w:rsidRDefault="00416FA8" w:rsidP="004B6753">
            <w:pPr>
              <w:pStyle w:val="NoSpacing"/>
              <w:jc w:val="center"/>
              <w:rPr>
                <w:rFonts w:ascii="Times New Roman" w:hAnsi="Times New Roman" w:cs="Times New Roman"/>
                <w:sz w:val="18"/>
                <w:szCs w:val="18"/>
              </w:rPr>
            </w:pPr>
            <w:r w:rsidRPr="009102D9">
              <w:rPr>
                <w:rFonts w:ascii="Times New Roman" w:hAnsi="Times New Roman" w:cs="Times New Roman"/>
                <w:sz w:val="18"/>
                <w:szCs w:val="18"/>
              </w:rPr>
              <w:t>3.13</w:t>
            </w:r>
          </w:p>
        </w:tc>
        <w:tc>
          <w:tcPr>
            <w:tcW w:w="1046" w:type="dxa"/>
            <w:vAlign w:val="center"/>
            <w:hideMark/>
          </w:tcPr>
          <w:p w14:paraId="163C7A9C" w14:textId="77777777" w:rsidR="00416FA8" w:rsidRPr="009102D9" w:rsidRDefault="00416FA8" w:rsidP="004B6753">
            <w:pPr>
              <w:pStyle w:val="NoSpacing"/>
              <w:jc w:val="center"/>
              <w:rPr>
                <w:rFonts w:ascii="Times New Roman" w:hAnsi="Times New Roman" w:cs="Times New Roman"/>
                <w:sz w:val="18"/>
                <w:szCs w:val="18"/>
              </w:rPr>
            </w:pPr>
            <w:r w:rsidRPr="009102D9">
              <w:rPr>
                <w:rFonts w:ascii="Times New Roman" w:hAnsi="Times New Roman" w:cs="Times New Roman"/>
                <w:sz w:val="18"/>
                <w:szCs w:val="18"/>
              </w:rPr>
              <w:t>6.03</w:t>
            </w:r>
          </w:p>
        </w:tc>
        <w:tc>
          <w:tcPr>
            <w:tcW w:w="846" w:type="dxa"/>
            <w:vAlign w:val="center"/>
            <w:hideMark/>
          </w:tcPr>
          <w:p w14:paraId="29385ECE" w14:textId="77777777" w:rsidR="00416FA8" w:rsidRPr="009102D9" w:rsidRDefault="00416FA8" w:rsidP="004B6753">
            <w:pPr>
              <w:pStyle w:val="NoSpacing"/>
              <w:jc w:val="center"/>
              <w:rPr>
                <w:rFonts w:ascii="Times New Roman" w:hAnsi="Times New Roman" w:cs="Times New Roman"/>
                <w:sz w:val="18"/>
                <w:szCs w:val="18"/>
              </w:rPr>
            </w:pPr>
            <w:r w:rsidRPr="009102D9">
              <w:rPr>
                <w:rFonts w:ascii="Times New Roman" w:hAnsi="Times New Roman" w:cs="Times New Roman"/>
                <w:sz w:val="18"/>
                <w:szCs w:val="18"/>
              </w:rPr>
              <w:t>6.10</w:t>
            </w:r>
          </w:p>
        </w:tc>
        <w:tc>
          <w:tcPr>
            <w:tcW w:w="846" w:type="dxa"/>
            <w:vAlign w:val="center"/>
            <w:hideMark/>
          </w:tcPr>
          <w:p w14:paraId="7299DE26" w14:textId="77777777" w:rsidR="00416FA8" w:rsidRPr="009102D9" w:rsidRDefault="00416FA8" w:rsidP="004B6753">
            <w:pPr>
              <w:pStyle w:val="NoSpacing"/>
              <w:jc w:val="center"/>
              <w:rPr>
                <w:rFonts w:ascii="Times New Roman" w:hAnsi="Times New Roman" w:cs="Times New Roman"/>
                <w:sz w:val="18"/>
                <w:szCs w:val="18"/>
              </w:rPr>
            </w:pPr>
            <w:r w:rsidRPr="009102D9">
              <w:rPr>
                <w:rFonts w:ascii="Times New Roman" w:hAnsi="Times New Roman" w:cs="Times New Roman"/>
                <w:sz w:val="18"/>
                <w:szCs w:val="18"/>
              </w:rPr>
              <w:t>38.40</w:t>
            </w:r>
          </w:p>
        </w:tc>
        <w:tc>
          <w:tcPr>
            <w:tcW w:w="1066" w:type="dxa"/>
            <w:vAlign w:val="center"/>
            <w:hideMark/>
          </w:tcPr>
          <w:p w14:paraId="13EC456E" w14:textId="77777777" w:rsidR="00416FA8" w:rsidRPr="009102D9" w:rsidRDefault="00416FA8" w:rsidP="004B6753">
            <w:pPr>
              <w:pStyle w:val="NoSpacing"/>
              <w:jc w:val="center"/>
              <w:rPr>
                <w:rFonts w:ascii="Times New Roman" w:hAnsi="Times New Roman" w:cs="Times New Roman"/>
                <w:sz w:val="18"/>
                <w:szCs w:val="18"/>
              </w:rPr>
            </w:pPr>
            <w:r w:rsidRPr="009102D9">
              <w:rPr>
                <w:rFonts w:ascii="Times New Roman" w:hAnsi="Times New Roman" w:cs="Times New Roman"/>
                <w:sz w:val="18"/>
                <w:szCs w:val="18"/>
              </w:rPr>
              <w:t>58.01</w:t>
            </w:r>
          </w:p>
        </w:tc>
        <w:tc>
          <w:tcPr>
            <w:tcW w:w="1066" w:type="dxa"/>
            <w:vAlign w:val="center"/>
            <w:hideMark/>
          </w:tcPr>
          <w:p w14:paraId="6A30368B" w14:textId="77777777" w:rsidR="00416FA8" w:rsidRPr="009102D9" w:rsidRDefault="00416FA8" w:rsidP="004B6753">
            <w:pPr>
              <w:pStyle w:val="NoSpacing"/>
              <w:jc w:val="center"/>
              <w:rPr>
                <w:rFonts w:ascii="Times New Roman" w:hAnsi="Times New Roman" w:cs="Times New Roman"/>
                <w:sz w:val="18"/>
                <w:szCs w:val="18"/>
              </w:rPr>
            </w:pPr>
            <w:r w:rsidRPr="009102D9">
              <w:rPr>
                <w:rFonts w:ascii="Times New Roman" w:hAnsi="Times New Roman" w:cs="Times New Roman"/>
                <w:sz w:val="18"/>
                <w:szCs w:val="18"/>
              </w:rPr>
              <w:t>112.31</w:t>
            </w:r>
          </w:p>
        </w:tc>
      </w:tr>
      <w:tr w:rsidR="00416FA8" w:rsidRPr="009102D9" w14:paraId="5DC8FBD1" w14:textId="77777777" w:rsidTr="004B6753">
        <w:trPr>
          <w:trHeight w:val="24"/>
        </w:trPr>
        <w:tc>
          <w:tcPr>
            <w:tcW w:w="1116" w:type="dxa"/>
            <w:hideMark/>
          </w:tcPr>
          <w:p w14:paraId="3C8B3B3F" w14:textId="77777777" w:rsidR="00416FA8" w:rsidRPr="009102D9" w:rsidRDefault="00416FA8" w:rsidP="00B77C0B">
            <w:pPr>
              <w:pStyle w:val="NoSpacing"/>
              <w:rPr>
                <w:rFonts w:ascii="Times New Roman" w:hAnsi="Times New Roman" w:cs="Times New Roman"/>
                <w:sz w:val="18"/>
                <w:szCs w:val="18"/>
              </w:rPr>
            </w:pPr>
            <w:r w:rsidRPr="009102D9">
              <w:rPr>
                <w:rFonts w:ascii="Times New Roman" w:hAnsi="Times New Roman" w:cs="Times New Roman"/>
                <w:sz w:val="18"/>
                <w:szCs w:val="18"/>
              </w:rPr>
              <w:t>Kerala</w:t>
            </w:r>
          </w:p>
        </w:tc>
        <w:tc>
          <w:tcPr>
            <w:tcW w:w="796" w:type="dxa"/>
            <w:vAlign w:val="center"/>
            <w:hideMark/>
          </w:tcPr>
          <w:p w14:paraId="446CA306" w14:textId="77777777" w:rsidR="00416FA8" w:rsidRPr="009102D9" w:rsidRDefault="00416FA8" w:rsidP="004B6753">
            <w:pPr>
              <w:pStyle w:val="NoSpacing"/>
              <w:jc w:val="center"/>
              <w:rPr>
                <w:rFonts w:ascii="Times New Roman" w:hAnsi="Times New Roman" w:cs="Times New Roman"/>
                <w:sz w:val="18"/>
                <w:szCs w:val="18"/>
              </w:rPr>
            </w:pPr>
            <w:r w:rsidRPr="009102D9">
              <w:rPr>
                <w:rFonts w:ascii="Times New Roman" w:hAnsi="Times New Roman" w:cs="Times New Roman"/>
                <w:sz w:val="18"/>
                <w:szCs w:val="18"/>
              </w:rPr>
              <w:t>7.44</w:t>
            </w:r>
          </w:p>
        </w:tc>
        <w:tc>
          <w:tcPr>
            <w:tcW w:w="1066" w:type="dxa"/>
            <w:vAlign w:val="center"/>
            <w:hideMark/>
          </w:tcPr>
          <w:p w14:paraId="16B6ED6E" w14:textId="77777777" w:rsidR="00416FA8" w:rsidRPr="009102D9" w:rsidRDefault="00416FA8" w:rsidP="004B6753">
            <w:pPr>
              <w:pStyle w:val="NoSpacing"/>
              <w:jc w:val="center"/>
              <w:rPr>
                <w:rFonts w:ascii="Times New Roman" w:hAnsi="Times New Roman" w:cs="Times New Roman"/>
                <w:sz w:val="18"/>
                <w:szCs w:val="18"/>
              </w:rPr>
            </w:pPr>
            <w:r w:rsidRPr="009102D9">
              <w:rPr>
                <w:rFonts w:ascii="Times New Roman" w:hAnsi="Times New Roman" w:cs="Times New Roman"/>
                <w:sz w:val="18"/>
                <w:szCs w:val="18"/>
              </w:rPr>
              <w:t>0.72</w:t>
            </w:r>
          </w:p>
        </w:tc>
        <w:tc>
          <w:tcPr>
            <w:tcW w:w="0" w:type="auto"/>
            <w:vAlign w:val="center"/>
            <w:hideMark/>
          </w:tcPr>
          <w:p w14:paraId="02BF5D0C" w14:textId="77777777" w:rsidR="00416FA8" w:rsidRPr="009102D9" w:rsidRDefault="00416FA8" w:rsidP="004B6753">
            <w:pPr>
              <w:pStyle w:val="NoSpacing"/>
              <w:jc w:val="center"/>
              <w:rPr>
                <w:rFonts w:ascii="Times New Roman" w:hAnsi="Times New Roman" w:cs="Times New Roman"/>
                <w:sz w:val="18"/>
                <w:szCs w:val="18"/>
              </w:rPr>
            </w:pPr>
            <w:r w:rsidRPr="009102D9">
              <w:rPr>
                <w:rFonts w:ascii="Times New Roman" w:hAnsi="Times New Roman" w:cs="Times New Roman"/>
                <w:sz w:val="18"/>
                <w:szCs w:val="18"/>
              </w:rPr>
              <w:t>2.08</w:t>
            </w:r>
          </w:p>
        </w:tc>
        <w:tc>
          <w:tcPr>
            <w:tcW w:w="0" w:type="auto"/>
            <w:vAlign w:val="center"/>
            <w:hideMark/>
          </w:tcPr>
          <w:p w14:paraId="02613ECC" w14:textId="77777777" w:rsidR="00416FA8" w:rsidRPr="009102D9" w:rsidRDefault="00416FA8" w:rsidP="004B6753">
            <w:pPr>
              <w:pStyle w:val="NoSpacing"/>
              <w:jc w:val="center"/>
              <w:rPr>
                <w:rFonts w:ascii="Times New Roman" w:hAnsi="Times New Roman" w:cs="Times New Roman"/>
                <w:sz w:val="18"/>
                <w:szCs w:val="18"/>
              </w:rPr>
            </w:pPr>
            <w:r w:rsidRPr="009102D9">
              <w:rPr>
                <w:rFonts w:ascii="Times New Roman" w:hAnsi="Times New Roman" w:cs="Times New Roman"/>
                <w:sz w:val="18"/>
                <w:szCs w:val="18"/>
              </w:rPr>
              <w:t>1.43</w:t>
            </w:r>
          </w:p>
        </w:tc>
        <w:tc>
          <w:tcPr>
            <w:tcW w:w="0" w:type="auto"/>
            <w:vAlign w:val="center"/>
            <w:hideMark/>
          </w:tcPr>
          <w:p w14:paraId="67B2DCBE" w14:textId="77777777" w:rsidR="00416FA8" w:rsidRPr="009102D9" w:rsidRDefault="00416FA8" w:rsidP="004B6753">
            <w:pPr>
              <w:pStyle w:val="NoSpacing"/>
              <w:jc w:val="center"/>
              <w:rPr>
                <w:rFonts w:ascii="Times New Roman" w:hAnsi="Times New Roman" w:cs="Times New Roman"/>
                <w:sz w:val="18"/>
                <w:szCs w:val="18"/>
              </w:rPr>
            </w:pPr>
            <w:r w:rsidRPr="009102D9">
              <w:rPr>
                <w:rFonts w:ascii="Times New Roman" w:hAnsi="Times New Roman" w:cs="Times New Roman"/>
                <w:sz w:val="18"/>
                <w:szCs w:val="18"/>
              </w:rPr>
              <w:t>2.72</w:t>
            </w:r>
          </w:p>
        </w:tc>
        <w:tc>
          <w:tcPr>
            <w:tcW w:w="1256" w:type="dxa"/>
            <w:vAlign w:val="center"/>
            <w:hideMark/>
          </w:tcPr>
          <w:p w14:paraId="53CB648C" w14:textId="77777777" w:rsidR="00416FA8" w:rsidRPr="009102D9" w:rsidRDefault="00416FA8" w:rsidP="004B6753">
            <w:pPr>
              <w:pStyle w:val="NoSpacing"/>
              <w:jc w:val="center"/>
              <w:rPr>
                <w:rFonts w:ascii="Times New Roman" w:hAnsi="Times New Roman" w:cs="Times New Roman"/>
                <w:sz w:val="18"/>
                <w:szCs w:val="18"/>
              </w:rPr>
            </w:pPr>
            <w:r w:rsidRPr="009102D9">
              <w:rPr>
                <w:rFonts w:ascii="Times New Roman" w:hAnsi="Times New Roman" w:cs="Times New Roman"/>
                <w:sz w:val="18"/>
                <w:szCs w:val="18"/>
              </w:rPr>
              <w:t>3.15</w:t>
            </w:r>
          </w:p>
        </w:tc>
        <w:tc>
          <w:tcPr>
            <w:tcW w:w="1256" w:type="dxa"/>
            <w:vAlign w:val="center"/>
            <w:hideMark/>
          </w:tcPr>
          <w:p w14:paraId="3CDD26E7" w14:textId="77777777" w:rsidR="00416FA8" w:rsidRPr="009102D9" w:rsidRDefault="00416FA8" w:rsidP="004B6753">
            <w:pPr>
              <w:pStyle w:val="NoSpacing"/>
              <w:jc w:val="center"/>
              <w:rPr>
                <w:rFonts w:ascii="Times New Roman" w:hAnsi="Times New Roman" w:cs="Times New Roman"/>
                <w:sz w:val="18"/>
                <w:szCs w:val="18"/>
              </w:rPr>
            </w:pPr>
            <w:r w:rsidRPr="009102D9">
              <w:rPr>
                <w:rFonts w:ascii="Times New Roman" w:hAnsi="Times New Roman" w:cs="Times New Roman"/>
                <w:sz w:val="18"/>
                <w:szCs w:val="18"/>
              </w:rPr>
              <w:t>7.30</w:t>
            </w:r>
          </w:p>
        </w:tc>
        <w:tc>
          <w:tcPr>
            <w:tcW w:w="0" w:type="auto"/>
            <w:vAlign w:val="center"/>
            <w:hideMark/>
          </w:tcPr>
          <w:p w14:paraId="0B2A2FCE" w14:textId="77777777" w:rsidR="00416FA8" w:rsidRPr="009102D9" w:rsidRDefault="00416FA8" w:rsidP="004B6753">
            <w:pPr>
              <w:pStyle w:val="NoSpacing"/>
              <w:jc w:val="center"/>
              <w:rPr>
                <w:rFonts w:ascii="Times New Roman" w:hAnsi="Times New Roman" w:cs="Times New Roman"/>
                <w:sz w:val="18"/>
                <w:szCs w:val="18"/>
              </w:rPr>
            </w:pPr>
            <w:r w:rsidRPr="009102D9">
              <w:rPr>
                <w:rFonts w:ascii="Times New Roman" w:hAnsi="Times New Roman" w:cs="Times New Roman"/>
                <w:sz w:val="18"/>
                <w:szCs w:val="18"/>
              </w:rPr>
              <w:t>21.11</w:t>
            </w:r>
          </w:p>
        </w:tc>
        <w:tc>
          <w:tcPr>
            <w:tcW w:w="0" w:type="auto"/>
            <w:vAlign w:val="center"/>
            <w:hideMark/>
          </w:tcPr>
          <w:p w14:paraId="6C78BB0A" w14:textId="77777777" w:rsidR="00416FA8" w:rsidRPr="009102D9" w:rsidRDefault="00416FA8" w:rsidP="004B6753">
            <w:pPr>
              <w:pStyle w:val="NoSpacing"/>
              <w:jc w:val="center"/>
              <w:rPr>
                <w:rFonts w:ascii="Times New Roman" w:hAnsi="Times New Roman" w:cs="Times New Roman"/>
                <w:sz w:val="18"/>
                <w:szCs w:val="18"/>
              </w:rPr>
            </w:pPr>
            <w:r w:rsidRPr="009102D9">
              <w:rPr>
                <w:rFonts w:ascii="Times New Roman" w:hAnsi="Times New Roman" w:cs="Times New Roman"/>
                <w:sz w:val="18"/>
                <w:szCs w:val="18"/>
              </w:rPr>
              <w:t>4.19</w:t>
            </w:r>
          </w:p>
        </w:tc>
        <w:tc>
          <w:tcPr>
            <w:tcW w:w="0" w:type="auto"/>
            <w:vAlign w:val="center"/>
            <w:hideMark/>
          </w:tcPr>
          <w:p w14:paraId="6EAC5A3A" w14:textId="77777777" w:rsidR="00416FA8" w:rsidRPr="009102D9" w:rsidRDefault="00416FA8" w:rsidP="004B6753">
            <w:pPr>
              <w:pStyle w:val="NoSpacing"/>
              <w:jc w:val="center"/>
              <w:rPr>
                <w:rFonts w:ascii="Times New Roman" w:hAnsi="Times New Roman" w:cs="Times New Roman"/>
                <w:sz w:val="18"/>
                <w:szCs w:val="18"/>
              </w:rPr>
            </w:pPr>
            <w:r w:rsidRPr="009102D9">
              <w:rPr>
                <w:rFonts w:ascii="Times New Roman" w:hAnsi="Times New Roman" w:cs="Times New Roman"/>
                <w:sz w:val="18"/>
                <w:szCs w:val="18"/>
              </w:rPr>
              <w:t>2.23</w:t>
            </w:r>
          </w:p>
        </w:tc>
        <w:tc>
          <w:tcPr>
            <w:tcW w:w="1046" w:type="dxa"/>
            <w:vAlign w:val="center"/>
            <w:hideMark/>
          </w:tcPr>
          <w:p w14:paraId="650E5CFA" w14:textId="77777777" w:rsidR="00416FA8" w:rsidRPr="009102D9" w:rsidRDefault="00416FA8" w:rsidP="004B6753">
            <w:pPr>
              <w:pStyle w:val="NoSpacing"/>
              <w:jc w:val="center"/>
              <w:rPr>
                <w:rFonts w:ascii="Times New Roman" w:hAnsi="Times New Roman" w:cs="Times New Roman"/>
                <w:sz w:val="18"/>
                <w:szCs w:val="18"/>
              </w:rPr>
            </w:pPr>
            <w:r w:rsidRPr="009102D9">
              <w:rPr>
                <w:rFonts w:ascii="Times New Roman" w:hAnsi="Times New Roman" w:cs="Times New Roman"/>
                <w:sz w:val="18"/>
                <w:szCs w:val="18"/>
              </w:rPr>
              <w:t>3.85</w:t>
            </w:r>
          </w:p>
        </w:tc>
        <w:tc>
          <w:tcPr>
            <w:tcW w:w="846" w:type="dxa"/>
            <w:vAlign w:val="center"/>
            <w:hideMark/>
          </w:tcPr>
          <w:p w14:paraId="7311D109" w14:textId="77777777" w:rsidR="00416FA8" w:rsidRPr="009102D9" w:rsidRDefault="00416FA8" w:rsidP="004B6753">
            <w:pPr>
              <w:pStyle w:val="NoSpacing"/>
              <w:jc w:val="center"/>
              <w:rPr>
                <w:rFonts w:ascii="Times New Roman" w:hAnsi="Times New Roman" w:cs="Times New Roman"/>
                <w:sz w:val="18"/>
                <w:szCs w:val="18"/>
              </w:rPr>
            </w:pPr>
            <w:r w:rsidRPr="009102D9">
              <w:rPr>
                <w:rFonts w:ascii="Times New Roman" w:hAnsi="Times New Roman" w:cs="Times New Roman"/>
                <w:sz w:val="18"/>
                <w:szCs w:val="18"/>
              </w:rPr>
              <w:t>5.51</w:t>
            </w:r>
          </w:p>
        </w:tc>
        <w:tc>
          <w:tcPr>
            <w:tcW w:w="846" w:type="dxa"/>
            <w:vAlign w:val="center"/>
            <w:hideMark/>
          </w:tcPr>
          <w:p w14:paraId="0D8D4DE5" w14:textId="77777777" w:rsidR="00416FA8" w:rsidRPr="009102D9" w:rsidRDefault="00416FA8" w:rsidP="004B6753">
            <w:pPr>
              <w:pStyle w:val="NoSpacing"/>
              <w:jc w:val="center"/>
              <w:rPr>
                <w:rFonts w:ascii="Times New Roman" w:hAnsi="Times New Roman" w:cs="Times New Roman"/>
                <w:sz w:val="18"/>
                <w:szCs w:val="18"/>
              </w:rPr>
            </w:pPr>
            <w:r w:rsidRPr="009102D9">
              <w:rPr>
                <w:rFonts w:ascii="Times New Roman" w:hAnsi="Times New Roman" w:cs="Times New Roman"/>
                <w:sz w:val="18"/>
                <w:szCs w:val="18"/>
              </w:rPr>
              <w:t>35.89</w:t>
            </w:r>
          </w:p>
        </w:tc>
        <w:tc>
          <w:tcPr>
            <w:tcW w:w="1066" w:type="dxa"/>
            <w:vAlign w:val="center"/>
            <w:hideMark/>
          </w:tcPr>
          <w:p w14:paraId="00F1F4FB" w14:textId="77777777" w:rsidR="00416FA8" w:rsidRPr="009102D9" w:rsidRDefault="00416FA8" w:rsidP="004B6753">
            <w:pPr>
              <w:pStyle w:val="NoSpacing"/>
              <w:jc w:val="center"/>
              <w:rPr>
                <w:rFonts w:ascii="Times New Roman" w:hAnsi="Times New Roman" w:cs="Times New Roman"/>
                <w:sz w:val="18"/>
                <w:szCs w:val="18"/>
              </w:rPr>
            </w:pPr>
            <w:r w:rsidRPr="009102D9">
              <w:rPr>
                <w:rFonts w:ascii="Times New Roman" w:hAnsi="Times New Roman" w:cs="Times New Roman"/>
                <w:sz w:val="18"/>
                <w:szCs w:val="18"/>
              </w:rPr>
              <w:t>46.27</w:t>
            </w:r>
          </w:p>
        </w:tc>
        <w:tc>
          <w:tcPr>
            <w:tcW w:w="1066" w:type="dxa"/>
            <w:vAlign w:val="center"/>
            <w:hideMark/>
          </w:tcPr>
          <w:p w14:paraId="5D4FE9CB" w14:textId="77777777" w:rsidR="00416FA8" w:rsidRPr="009102D9" w:rsidRDefault="00416FA8" w:rsidP="004B6753">
            <w:pPr>
              <w:pStyle w:val="NoSpacing"/>
              <w:jc w:val="center"/>
              <w:rPr>
                <w:rFonts w:ascii="Times New Roman" w:hAnsi="Times New Roman" w:cs="Times New Roman"/>
                <w:sz w:val="18"/>
                <w:szCs w:val="18"/>
              </w:rPr>
            </w:pPr>
            <w:r w:rsidRPr="009102D9">
              <w:rPr>
                <w:rFonts w:ascii="Times New Roman" w:hAnsi="Times New Roman" w:cs="Times New Roman"/>
                <w:sz w:val="18"/>
                <w:szCs w:val="18"/>
              </w:rPr>
              <w:t>63.12</w:t>
            </w:r>
          </w:p>
        </w:tc>
      </w:tr>
      <w:tr w:rsidR="00416FA8" w:rsidRPr="009102D9" w14:paraId="1CE01A4D" w14:textId="77777777" w:rsidTr="004B6753">
        <w:trPr>
          <w:trHeight w:val="24"/>
        </w:trPr>
        <w:tc>
          <w:tcPr>
            <w:tcW w:w="1116" w:type="dxa"/>
            <w:hideMark/>
          </w:tcPr>
          <w:p w14:paraId="02717BE3" w14:textId="77777777" w:rsidR="00416FA8" w:rsidRPr="009102D9" w:rsidRDefault="00416FA8" w:rsidP="00B77C0B">
            <w:pPr>
              <w:pStyle w:val="NoSpacing"/>
              <w:rPr>
                <w:rFonts w:ascii="Times New Roman" w:hAnsi="Times New Roman" w:cs="Times New Roman"/>
                <w:sz w:val="18"/>
                <w:szCs w:val="18"/>
              </w:rPr>
            </w:pPr>
            <w:r w:rsidRPr="009102D9">
              <w:rPr>
                <w:rFonts w:ascii="Times New Roman" w:hAnsi="Times New Roman" w:cs="Times New Roman"/>
                <w:sz w:val="18"/>
                <w:szCs w:val="18"/>
              </w:rPr>
              <w:t>Madhya Pradesh</w:t>
            </w:r>
          </w:p>
        </w:tc>
        <w:tc>
          <w:tcPr>
            <w:tcW w:w="796" w:type="dxa"/>
            <w:vAlign w:val="center"/>
            <w:hideMark/>
          </w:tcPr>
          <w:p w14:paraId="56AA69B6" w14:textId="77777777" w:rsidR="00416FA8" w:rsidRPr="009102D9" w:rsidRDefault="00416FA8" w:rsidP="004B6753">
            <w:pPr>
              <w:pStyle w:val="NoSpacing"/>
              <w:jc w:val="center"/>
              <w:rPr>
                <w:rFonts w:ascii="Times New Roman" w:hAnsi="Times New Roman" w:cs="Times New Roman"/>
                <w:sz w:val="18"/>
                <w:szCs w:val="18"/>
              </w:rPr>
            </w:pPr>
            <w:r w:rsidRPr="009102D9">
              <w:rPr>
                <w:rFonts w:ascii="Times New Roman" w:hAnsi="Times New Roman" w:cs="Times New Roman"/>
                <w:sz w:val="18"/>
                <w:szCs w:val="18"/>
              </w:rPr>
              <w:t>6.75</w:t>
            </w:r>
          </w:p>
        </w:tc>
        <w:tc>
          <w:tcPr>
            <w:tcW w:w="1066" w:type="dxa"/>
            <w:vAlign w:val="center"/>
            <w:hideMark/>
          </w:tcPr>
          <w:p w14:paraId="62A65870" w14:textId="77777777" w:rsidR="00416FA8" w:rsidRPr="009102D9" w:rsidRDefault="00416FA8" w:rsidP="004B6753">
            <w:pPr>
              <w:pStyle w:val="NoSpacing"/>
              <w:jc w:val="center"/>
              <w:rPr>
                <w:rFonts w:ascii="Times New Roman" w:hAnsi="Times New Roman" w:cs="Times New Roman"/>
                <w:sz w:val="18"/>
                <w:szCs w:val="18"/>
              </w:rPr>
            </w:pPr>
            <w:r w:rsidRPr="009102D9">
              <w:rPr>
                <w:rFonts w:ascii="Times New Roman" w:hAnsi="Times New Roman" w:cs="Times New Roman"/>
                <w:sz w:val="18"/>
                <w:szCs w:val="18"/>
              </w:rPr>
              <w:t>0.04</w:t>
            </w:r>
          </w:p>
        </w:tc>
        <w:tc>
          <w:tcPr>
            <w:tcW w:w="0" w:type="auto"/>
            <w:vAlign w:val="center"/>
            <w:hideMark/>
          </w:tcPr>
          <w:p w14:paraId="229BB20E" w14:textId="77777777" w:rsidR="00416FA8" w:rsidRPr="009102D9" w:rsidRDefault="00416FA8" w:rsidP="004B6753">
            <w:pPr>
              <w:pStyle w:val="NoSpacing"/>
              <w:jc w:val="center"/>
              <w:rPr>
                <w:rFonts w:ascii="Times New Roman" w:hAnsi="Times New Roman" w:cs="Times New Roman"/>
                <w:sz w:val="18"/>
                <w:szCs w:val="18"/>
              </w:rPr>
            </w:pPr>
            <w:r w:rsidRPr="009102D9">
              <w:rPr>
                <w:rFonts w:ascii="Times New Roman" w:hAnsi="Times New Roman" w:cs="Times New Roman"/>
                <w:sz w:val="18"/>
                <w:szCs w:val="18"/>
              </w:rPr>
              <w:t>1.58</w:t>
            </w:r>
          </w:p>
        </w:tc>
        <w:tc>
          <w:tcPr>
            <w:tcW w:w="0" w:type="auto"/>
            <w:vAlign w:val="center"/>
            <w:hideMark/>
          </w:tcPr>
          <w:p w14:paraId="4A0A961B" w14:textId="77777777" w:rsidR="00416FA8" w:rsidRPr="009102D9" w:rsidRDefault="00416FA8" w:rsidP="004B6753">
            <w:pPr>
              <w:pStyle w:val="NoSpacing"/>
              <w:jc w:val="center"/>
              <w:rPr>
                <w:rFonts w:ascii="Times New Roman" w:hAnsi="Times New Roman" w:cs="Times New Roman"/>
                <w:sz w:val="18"/>
                <w:szCs w:val="18"/>
              </w:rPr>
            </w:pPr>
            <w:r w:rsidRPr="009102D9">
              <w:rPr>
                <w:rFonts w:ascii="Times New Roman" w:hAnsi="Times New Roman" w:cs="Times New Roman"/>
                <w:sz w:val="18"/>
                <w:szCs w:val="18"/>
              </w:rPr>
              <w:t>1.56</w:t>
            </w:r>
          </w:p>
        </w:tc>
        <w:tc>
          <w:tcPr>
            <w:tcW w:w="0" w:type="auto"/>
            <w:vAlign w:val="center"/>
            <w:hideMark/>
          </w:tcPr>
          <w:p w14:paraId="132D6D8B" w14:textId="77777777" w:rsidR="00416FA8" w:rsidRPr="009102D9" w:rsidRDefault="00416FA8" w:rsidP="004B6753">
            <w:pPr>
              <w:pStyle w:val="NoSpacing"/>
              <w:jc w:val="center"/>
              <w:rPr>
                <w:rFonts w:ascii="Times New Roman" w:hAnsi="Times New Roman" w:cs="Times New Roman"/>
                <w:sz w:val="18"/>
                <w:szCs w:val="18"/>
              </w:rPr>
            </w:pPr>
            <w:r w:rsidRPr="009102D9">
              <w:rPr>
                <w:rFonts w:ascii="Times New Roman" w:hAnsi="Times New Roman" w:cs="Times New Roman"/>
                <w:sz w:val="18"/>
                <w:szCs w:val="18"/>
              </w:rPr>
              <w:t>3.46</w:t>
            </w:r>
          </w:p>
        </w:tc>
        <w:tc>
          <w:tcPr>
            <w:tcW w:w="1256" w:type="dxa"/>
            <w:vAlign w:val="center"/>
            <w:hideMark/>
          </w:tcPr>
          <w:p w14:paraId="50D017E8" w14:textId="77777777" w:rsidR="00416FA8" w:rsidRPr="009102D9" w:rsidRDefault="00416FA8" w:rsidP="004B6753">
            <w:pPr>
              <w:pStyle w:val="NoSpacing"/>
              <w:jc w:val="center"/>
              <w:rPr>
                <w:rFonts w:ascii="Times New Roman" w:hAnsi="Times New Roman" w:cs="Times New Roman"/>
                <w:sz w:val="18"/>
                <w:szCs w:val="18"/>
              </w:rPr>
            </w:pPr>
            <w:r w:rsidRPr="009102D9">
              <w:rPr>
                <w:rFonts w:ascii="Times New Roman" w:hAnsi="Times New Roman" w:cs="Times New Roman"/>
                <w:sz w:val="18"/>
                <w:szCs w:val="18"/>
              </w:rPr>
              <w:t>0.99</w:t>
            </w:r>
          </w:p>
        </w:tc>
        <w:tc>
          <w:tcPr>
            <w:tcW w:w="1256" w:type="dxa"/>
            <w:vAlign w:val="center"/>
            <w:hideMark/>
          </w:tcPr>
          <w:p w14:paraId="5A31F1C7" w14:textId="77777777" w:rsidR="00416FA8" w:rsidRPr="009102D9" w:rsidRDefault="00416FA8" w:rsidP="004B6753">
            <w:pPr>
              <w:pStyle w:val="NoSpacing"/>
              <w:jc w:val="center"/>
              <w:rPr>
                <w:rFonts w:ascii="Times New Roman" w:hAnsi="Times New Roman" w:cs="Times New Roman"/>
                <w:sz w:val="18"/>
                <w:szCs w:val="18"/>
              </w:rPr>
            </w:pPr>
            <w:r w:rsidRPr="009102D9">
              <w:rPr>
                <w:rFonts w:ascii="Times New Roman" w:hAnsi="Times New Roman" w:cs="Times New Roman"/>
                <w:sz w:val="18"/>
                <w:szCs w:val="18"/>
              </w:rPr>
              <w:t>6.01</w:t>
            </w:r>
          </w:p>
        </w:tc>
        <w:tc>
          <w:tcPr>
            <w:tcW w:w="0" w:type="auto"/>
            <w:vAlign w:val="center"/>
            <w:hideMark/>
          </w:tcPr>
          <w:p w14:paraId="4915389B" w14:textId="77777777" w:rsidR="00416FA8" w:rsidRPr="009102D9" w:rsidRDefault="00416FA8" w:rsidP="004B6753">
            <w:pPr>
              <w:pStyle w:val="NoSpacing"/>
              <w:jc w:val="center"/>
              <w:rPr>
                <w:rFonts w:ascii="Times New Roman" w:hAnsi="Times New Roman" w:cs="Times New Roman"/>
                <w:sz w:val="18"/>
                <w:szCs w:val="18"/>
              </w:rPr>
            </w:pPr>
            <w:r w:rsidRPr="009102D9">
              <w:rPr>
                <w:rFonts w:ascii="Times New Roman" w:hAnsi="Times New Roman" w:cs="Times New Roman"/>
                <w:sz w:val="18"/>
                <w:szCs w:val="18"/>
              </w:rPr>
              <w:t>10.57</w:t>
            </w:r>
          </w:p>
        </w:tc>
        <w:tc>
          <w:tcPr>
            <w:tcW w:w="0" w:type="auto"/>
            <w:vAlign w:val="center"/>
            <w:hideMark/>
          </w:tcPr>
          <w:p w14:paraId="4E297FEE" w14:textId="77777777" w:rsidR="00416FA8" w:rsidRPr="009102D9" w:rsidRDefault="00416FA8" w:rsidP="004B6753">
            <w:pPr>
              <w:pStyle w:val="NoSpacing"/>
              <w:jc w:val="center"/>
              <w:rPr>
                <w:rFonts w:ascii="Times New Roman" w:hAnsi="Times New Roman" w:cs="Times New Roman"/>
                <w:sz w:val="18"/>
                <w:szCs w:val="18"/>
              </w:rPr>
            </w:pPr>
            <w:r w:rsidRPr="009102D9">
              <w:rPr>
                <w:rFonts w:ascii="Times New Roman" w:hAnsi="Times New Roman" w:cs="Times New Roman"/>
                <w:sz w:val="18"/>
                <w:szCs w:val="18"/>
              </w:rPr>
              <w:t>1.62</w:t>
            </w:r>
          </w:p>
        </w:tc>
        <w:tc>
          <w:tcPr>
            <w:tcW w:w="0" w:type="auto"/>
            <w:vAlign w:val="center"/>
            <w:hideMark/>
          </w:tcPr>
          <w:p w14:paraId="291D9D56" w14:textId="77777777" w:rsidR="00416FA8" w:rsidRPr="009102D9" w:rsidRDefault="00416FA8" w:rsidP="004B6753">
            <w:pPr>
              <w:pStyle w:val="NoSpacing"/>
              <w:jc w:val="center"/>
              <w:rPr>
                <w:rFonts w:ascii="Times New Roman" w:hAnsi="Times New Roman" w:cs="Times New Roman"/>
                <w:sz w:val="18"/>
                <w:szCs w:val="18"/>
              </w:rPr>
            </w:pPr>
            <w:r w:rsidRPr="009102D9">
              <w:rPr>
                <w:rFonts w:ascii="Times New Roman" w:hAnsi="Times New Roman" w:cs="Times New Roman"/>
                <w:sz w:val="18"/>
                <w:szCs w:val="18"/>
              </w:rPr>
              <w:t>2.06</w:t>
            </w:r>
          </w:p>
        </w:tc>
        <w:tc>
          <w:tcPr>
            <w:tcW w:w="1046" w:type="dxa"/>
            <w:vAlign w:val="center"/>
            <w:hideMark/>
          </w:tcPr>
          <w:p w14:paraId="7029B7D8" w14:textId="77777777" w:rsidR="00416FA8" w:rsidRPr="009102D9" w:rsidRDefault="00416FA8" w:rsidP="004B6753">
            <w:pPr>
              <w:pStyle w:val="NoSpacing"/>
              <w:jc w:val="center"/>
              <w:rPr>
                <w:rFonts w:ascii="Times New Roman" w:hAnsi="Times New Roman" w:cs="Times New Roman"/>
                <w:sz w:val="18"/>
                <w:szCs w:val="18"/>
              </w:rPr>
            </w:pPr>
            <w:r w:rsidRPr="009102D9">
              <w:rPr>
                <w:rFonts w:ascii="Times New Roman" w:hAnsi="Times New Roman" w:cs="Times New Roman"/>
                <w:sz w:val="18"/>
                <w:szCs w:val="18"/>
              </w:rPr>
              <w:t>2.55</w:t>
            </w:r>
          </w:p>
        </w:tc>
        <w:tc>
          <w:tcPr>
            <w:tcW w:w="846" w:type="dxa"/>
            <w:vAlign w:val="center"/>
            <w:hideMark/>
          </w:tcPr>
          <w:p w14:paraId="0B7EBDE0" w14:textId="77777777" w:rsidR="00416FA8" w:rsidRPr="009102D9" w:rsidRDefault="00416FA8" w:rsidP="004B6753">
            <w:pPr>
              <w:pStyle w:val="NoSpacing"/>
              <w:jc w:val="center"/>
              <w:rPr>
                <w:rFonts w:ascii="Times New Roman" w:hAnsi="Times New Roman" w:cs="Times New Roman"/>
                <w:sz w:val="18"/>
                <w:szCs w:val="18"/>
              </w:rPr>
            </w:pPr>
            <w:r w:rsidRPr="009102D9">
              <w:rPr>
                <w:rFonts w:ascii="Times New Roman" w:hAnsi="Times New Roman" w:cs="Times New Roman"/>
                <w:sz w:val="18"/>
                <w:szCs w:val="18"/>
              </w:rPr>
              <w:t>4.30</w:t>
            </w:r>
          </w:p>
        </w:tc>
        <w:tc>
          <w:tcPr>
            <w:tcW w:w="846" w:type="dxa"/>
            <w:vAlign w:val="center"/>
            <w:hideMark/>
          </w:tcPr>
          <w:p w14:paraId="1846FD24" w14:textId="77777777" w:rsidR="00416FA8" w:rsidRPr="009102D9" w:rsidRDefault="00416FA8" w:rsidP="004B6753">
            <w:pPr>
              <w:pStyle w:val="NoSpacing"/>
              <w:jc w:val="center"/>
              <w:rPr>
                <w:rFonts w:ascii="Times New Roman" w:hAnsi="Times New Roman" w:cs="Times New Roman"/>
                <w:sz w:val="18"/>
                <w:szCs w:val="18"/>
              </w:rPr>
            </w:pPr>
            <w:r w:rsidRPr="009102D9">
              <w:rPr>
                <w:rFonts w:ascii="Times New Roman" w:hAnsi="Times New Roman" w:cs="Times New Roman"/>
                <w:sz w:val="18"/>
                <w:szCs w:val="18"/>
              </w:rPr>
              <w:t>21.10</w:t>
            </w:r>
          </w:p>
        </w:tc>
        <w:tc>
          <w:tcPr>
            <w:tcW w:w="1066" w:type="dxa"/>
            <w:vAlign w:val="center"/>
            <w:hideMark/>
          </w:tcPr>
          <w:p w14:paraId="7669FB7B" w14:textId="77777777" w:rsidR="00416FA8" w:rsidRPr="009102D9" w:rsidRDefault="00416FA8" w:rsidP="004B6753">
            <w:pPr>
              <w:pStyle w:val="NoSpacing"/>
              <w:jc w:val="center"/>
              <w:rPr>
                <w:rFonts w:ascii="Times New Roman" w:hAnsi="Times New Roman" w:cs="Times New Roman"/>
                <w:sz w:val="18"/>
                <w:szCs w:val="18"/>
              </w:rPr>
            </w:pPr>
            <w:r w:rsidRPr="009102D9">
              <w:rPr>
                <w:rFonts w:ascii="Times New Roman" w:hAnsi="Times New Roman" w:cs="Times New Roman"/>
                <w:sz w:val="18"/>
                <w:szCs w:val="18"/>
              </w:rPr>
              <w:t>28.69</w:t>
            </w:r>
          </w:p>
        </w:tc>
        <w:tc>
          <w:tcPr>
            <w:tcW w:w="1066" w:type="dxa"/>
            <w:vAlign w:val="center"/>
            <w:hideMark/>
          </w:tcPr>
          <w:p w14:paraId="5AE1A0BB" w14:textId="77777777" w:rsidR="00416FA8" w:rsidRPr="009102D9" w:rsidRDefault="00416FA8" w:rsidP="004B6753">
            <w:pPr>
              <w:pStyle w:val="NoSpacing"/>
              <w:jc w:val="center"/>
              <w:rPr>
                <w:rFonts w:ascii="Times New Roman" w:hAnsi="Times New Roman" w:cs="Times New Roman"/>
                <w:sz w:val="18"/>
                <w:szCs w:val="18"/>
              </w:rPr>
            </w:pPr>
            <w:r w:rsidRPr="009102D9">
              <w:rPr>
                <w:rFonts w:ascii="Times New Roman" w:hAnsi="Times New Roman" w:cs="Times New Roman"/>
                <w:sz w:val="18"/>
                <w:szCs w:val="18"/>
              </w:rPr>
              <w:t>47.12</w:t>
            </w:r>
          </w:p>
        </w:tc>
      </w:tr>
      <w:tr w:rsidR="00416FA8" w:rsidRPr="009102D9" w14:paraId="3F66CEF0" w14:textId="77777777" w:rsidTr="004B6753">
        <w:trPr>
          <w:trHeight w:val="24"/>
        </w:trPr>
        <w:tc>
          <w:tcPr>
            <w:tcW w:w="1116" w:type="dxa"/>
            <w:hideMark/>
          </w:tcPr>
          <w:p w14:paraId="5C5DB2D2" w14:textId="77777777" w:rsidR="00416FA8" w:rsidRPr="009102D9" w:rsidRDefault="00416FA8" w:rsidP="00B77C0B">
            <w:pPr>
              <w:pStyle w:val="NoSpacing"/>
              <w:rPr>
                <w:rFonts w:ascii="Times New Roman" w:hAnsi="Times New Roman" w:cs="Times New Roman"/>
                <w:sz w:val="18"/>
                <w:szCs w:val="18"/>
              </w:rPr>
            </w:pPr>
            <w:r w:rsidRPr="009102D9">
              <w:rPr>
                <w:rFonts w:ascii="Times New Roman" w:hAnsi="Times New Roman" w:cs="Times New Roman"/>
                <w:sz w:val="18"/>
                <w:szCs w:val="18"/>
              </w:rPr>
              <w:t>Maharashtra</w:t>
            </w:r>
          </w:p>
        </w:tc>
        <w:tc>
          <w:tcPr>
            <w:tcW w:w="796" w:type="dxa"/>
            <w:vAlign w:val="center"/>
            <w:hideMark/>
          </w:tcPr>
          <w:p w14:paraId="11A1FAA2" w14:textId="77777777" w:rsidR="00416FA8" w:rsidRPr="009102D9" w:rsidRDefault="00416FA8" w:rsidP="004B6753">
            <w:pPr>
              <w:pStyle w:val="NoSpacing"/>
              <w:jc w:val="center"/>
              <w:rPr>
                <w:rFonts w:ascii="Times New Roman" w:hAnsi="Times New Roman" w:cs="Times New Roman"/>
                <w:sz w:val="18"/>
                <w:szCs w:val="18"/>
              </w:rPr>
            </w:pPr>
            <w:r w:rsidRPr="009102D9">
              <w:rPr>
                <w:rFonts w:ascii="Times New Roman" w:hAnsi="Times New Roman" w:cs="Times New Roman"/>
                <w:sz w:val="18"/>
                <w:szCs w:val="18"/>
              </w:rPr>
              <w:t>10.56</w:t>
            </w:r>
          </w:p>
        </w:tc>
        <w:tc>
          <w:tcPr>
            <w:tcW w:w="1066" w:type="dxa"/>
            <w:vAlign w:val="center"/>
            <w:hideMark/>
          </w:tcPr>
          <w:p w14:paraId="0E18D240" w14:textId="77777777" w:rsidR="00416FA8" w:rsidRPr="009102D9" w:rsidRDefault="00416FA8" w:rsidP="004B6753">
            <w:pPr>
              <w:pStyle w:val="NoSpacing"/>
              <w:jc w:val="center"/>
              <w:rPr>
                <w:rFonts w:ascii="Times New Roman" w:hAnsi="Times New Roman" w:cs="Times New Roman"/>
                <w:sz w:val="18"/>
                <w:szCs w:val="18"/>
              </w:rPr>
            </w:pPr>
            <w:r w:rsidRPr="009102D9">
              <w:rPr>
                <w:rFonts w:ascii="Times New Roman" w:hAnsi="Times New Roman" w:cs="Times New Roman"/>
                <w:sz w:val="18"/>
                <w:szCs w:val="18"/>
              </w:rPr>
              <w:t>1.83</w:t>
            </w:r>
          </w:p>
        </w:tc>
        <w:tc>
          <w:tcPr>
            <w:tcW w:w="0" w:type="auto"/>
            <w:vAlign w:val="center"/>
            <w:hideMark/>
          </w:tcPr>
          <w:p w14:paraId="694699F8" w14:textId="77777777" w:rsidR="00416FA8" w:rsidRPr="009102D9" w:rsidRDefault="00416FA8" w:rsidP="004B6753">
            <w:pPr>
              <w:pStyle w:val="NoSpacing"/>
              <w:jc w:val="center"/>
              <w:rPr>
                <w:rFonts w:ascii="Times New Roman" w:hAnsi="Times New Roman" w:cs="Times New Roman"/>
                <w:sz w:val="18"/>
                <w:szCs w:val="18"/>
              </w:rPr>
            </w:pPr>
            <w:r w:rsidRPr="009102D9">
              <w:rPr>
                <w:rFonts w:ascii="Times New Roman" w:hAnsi="Times New Roman" w:cs="Times New Roman"/>
                <w:sz w:val="18"/>
                <w:szCs w:val="18"/>
              </w:rPr>
              <w:t>5.40</w:t>
            </w:r>
          </w:p>
        </w:tc>
        <w:tc>
          <w:tcPr>
            <w:tcW w:w="0" w:type="auto"/>
            <w:vAlign w:val="center"/>
            <w:hideMark/>
          </w:tcPr>
          <w:p w14:paraId="548DAC30" w14:textId="77777777" w:rsidR="00416FA8" w:rsidRPr="009102D9" w:rsidRDefault="00416FA8" w:rsidP="004B6753">
            <w:pPr>
              <w:pStyle w:val="NoSpacing"/>
              <w:jc w:val="center"/>
              <w:rPr>
                <w:rFonts w:ascii="Times New Roman" w:hAnsi="Times New Roman" w:cs="Times New Roman"/>
                <w:sz w:val="18"/>
                <w:szCs w:val="18"/>
              </w:rPr>
            </w:pPr>
            <w:r w:rsidRPr="009102D9">
              <w:rPr>
                <w:rFonts w:ascii="Times New Roman" w:hAnsi="Times New Roman" w:cs="Times New Roman"/>
                <w:sz w:val="18"/>
                <w:szCs w:val="18"/>
              </w:rPr>
              <w:t>2.62</w:t>
            </w:r>
          </w:p>
        </w:tc>
        <w:tc>
          <w:tcPr>
            <w:tcW w:w="0" w:type="auto"/>
            <w:vAlign w:val="center"/>
            <w:hideMark/>
          </w:tcPr>
          <w:p w14:paraId="5A139942" w14:textId="77777777" w:rsidR="00416FA8" w:rsidRPr="009102D9" w:rsidRDefault="00416FA8" w:rsidP="004B6753">
            <w:pPr>
              <w:pStyle w:val="NoSpacing"/>
              <w:jc w:val="center"/>
              <w:rPr>
                <w:rFonts w:ascii="Times New Roman" w:hAnsi="Times New Roman" w:cs="Times New Roman"/>
                <w:sz w:val="18"/>
                <w:szCs w:val="18"/>
              </w:rPr>
            </w:pPr>
            <w:r w:rsidRPr="009102D9">
              <w:rPr>
                <w:rFonts w:ascii="Times New Roman" w:hAnsi="Times New Roman" w:cs="Times New Roman"/>
                <w:sz w:val="18"/>
                <w:szCs w:val="18"/>
              </w:rPr>
              <w:t>4.87</w:t>
            </w:r>
          </w:p>
        </w:tc>
        <w:tc>
          <w:tcPr>
            <w:tcW w:w="1256" w:type="dxa"/>
            <w:vAlign w:val="center"/>
            <w:hideMark/>
          </w:tcPr>
          <w:p w14:paraId="3CEB616D" w14:textId="77777777" w:rsidR="00416FA8" w:rsidRPr="009102D9" w:rsidRDefault="00416FA8" w:rsidP="004B6753">
            <w:pPr>
              <w:pStyle w:val="NoSpacing"/>
              <w:jc w:val="center"/>
              <w:rPr>
                <w:rFonts w:ascii="Times New Roman" w:hAnsi="Times New Roman" w:cs="Times New Roman"/>
                <w:sz w:val="18"/>
                <w:szCs w:val="18"/>
              </w:rPr>
            </w:pPr>
            <w:r w:rsidRPr="009102D9">
              <w:rPr>
                <w:rFonts w:ascii="Times New Roman" w:hAnsi="Times New Roman" w:cs="Times New Roman"/>
                <w:sz w:val="18"/>
                <w:szCs w:val="18"/>
              </w:rPr>
              <w:t>2.25</w:t>
            </w:r>
          </w:p>
        </w:tc>
        <w:tc>
          <w:tcPr>
            <w:tcW w:w="1256" w:type="dxa"/>
            <w:vAlign w:val="center"/>
            <w:hideMark/>
          </w:tcPr>
          <w:p w14:paraId="2D057461" w14:textId="77777777" w:rsidR="00416FA8" w:rsidRPr="009102D9" w:rsidRDefault="00416FA8" w:rsidP="004B6753">
            <w:pPr>
              <w:pStyle w:val="NoSpacing"/>
              <w:jc w:val="center"/>
              <w:rPr>
                <w:rFonts w:ascii="Times New Roman" w:hAnsi="Times New Roman" w:cs="Times New Roman"/>
                <w:sz w:val="18"/>
                <w:szCs w:val="18"/>
              </w:rPr>
            </w:pPr>
            <w:r w:rsidRPr="009102D9">
              <w:rPr>
                <w:rFonts w:ascii="Times New Roman" w:hAnsi="Times New Roman" w:cs="Times New Roman"/>
                <w:sz w:val="18"/>
                <w:szCs w:val="18"/>
              </w:rPr>
              <w:t>9.74</w:t>
            </w:r>
          </w:p>
        </w:tc>
        <w:tc>
          <w:tcPr>
            <w:tcW w:w="0" w:type="auto"/>
            <w:vAlign w:val="center"/>
            <w:hideMark/>
          </w:tcPr>
          <w:p w14:paraId="454E88A7" w14:textId="77777777" w:rsidR="00416FA8" w:rsidRPr="009102D9" w:rsidRDefault="00416FA8" w:rsidP="004B6753">
            <w:pPr>
              <w:pStyle w:val="NoSpacing"/>
              <w:jc w:val="center"/>
              <w:rPr>
                <w:rFonts w:ascii="Times New Roman" w:hAnsi="Times New Roman" w:cs="Times New Roman"/>
                <w:sz w:val="18"/>
                <w:szCs w:val="18"/>
              </w:rPr>
            </w:pPr>
            <w:r w:rsidRPr="009102D9">
              <w:rPr>
                <w:rFonts w:ascii="Times New Roman" w:hAnsi="Times New Roman" w:cs="Times New Roman"/>
                <w:sz w:val="18"/>
                <w:szCs w:val="18"/>
              </w:rPr>
              <w:t>12.34</w:t>
            </w:r>
          </w:p>
        </w:tc>
        <w:tc>
          <w:tcPr>
            <w:tcW w:w="0" w:type="auto"/>
            <w:vAlign w:val="center"/>
            <w:hideMark/>
          </w:tcPr>
          <w:p w14:paraId="70DD3938" w14:textId="77777777" w:rsidR="00416FA8" w:rsidRPr="009102D9" w:rsidRDefault="00416FA8" w:rsidP="004B6753">
            <w:pPr>
              <w:pStyle w:val="NoSpacing"/>
              <w:jc w:val="center"/>
              <w:rPr>
                <w:rFonts w:ascii="Times New Roman" w:hAnsi="Times New Roman" w:cs="Times New Roman"/>
                <w:sz w:val="18"/>
                <w:szCs w:val="18"/>
              </w:rPr>
            </w:pPr>
            <w:r w:rsidRPr="009102D9">
              <w:rPr>
                <w:rFonts w:ascii="Times New Roman" w:hAnsi="Times New Roman" w:cs="Times New Roman"/>
                <w:sz w:val="18"/>
                <w:szCs w:val="18"/>
              </w:rPr>
              <w:t>3.04</w:t>
            </w:r>
          </w:p>
        </w:tc>
        <w:tc>
          <w:tcPr>
            <w:tcW w:w="0" w:type="auto"/>
            <w:vAlign w:val="center"/>
            <w:hideMark/>
          </w:tcPr>
          <w:p w14:paraId="71E90F47" w14:textId="77777777" w:rsidR="00416FA8" w:rsidRPr="009102D9" w:rsidRDefault="00416FA8" w:rsidP="004B6753">
            <w:pPr>
              <w:pStyle w:val="NoSpacing"/>
              <w:jc w:val="center"/>
              <w:rPr>
                <w:rFonts w:ascii="Times New Roman" w:hAnsi="Times New Roman" w:cs="Times New Roman"/>
                <w:sz w:val="18"/>
                <w:szCs w:val="18"/>
              </w:rPr>
            </w:pPr>
            <w:r w:rsidRPr="009102D9">
              <w:rPr>
                <w:rFonts w:ascii="Times New Roman" w:hAnsi="Times New Roman" w:cs="Times New Roman"/>
                <w:sz w:val="18"/>
                <w:szCs w:val="18"/>
              </w:rPr>
              <w:t>2.14</w:t>
            </w:r>
          </w:p>
        </w:tc>
        <w:tc>
          <w:tcPr>
            <w:tcW w:w="1046" w:type="dxa"/>
            <w:vAlign w:val="center"/>
            <w:hideMark/>
          </w:tcPr>
          <w:p w14:paraId="14FC1367" w14:textId="77777777" w:rsidR="00416FA8" w:rsidRPr="009102D9" w:rsidRDefault="00416FA8" w:rsidP="004B6753">
            <w:pPr>
              <w:pStyle w:val="NoSpacing"/>
              <w:jc w:val="center"/>
              <w:rPr>
                <w:rFonts w:ascii="Times New Roman" w:hAnsi="Times New Roman" w:cs="Times New Roman"/>
                <w:sz w:val="18"/>
                <w:szCs w:val="18"/>
              </w:rPr>
            </w:pPr>
            <w:r w:rsidRPr="009102D9">
              <w:rPr>
                <w:rFonts w:ascii="Times New Roman" w:hAnsi="Times New Roman" w:cs="Times New Roman"/>
                <w:sz w:val="18"/>
                <w:szCs w:val="18"/>
              </w:rPr>
              <w:t>4.94</w:t>
            </w:r>
          </w:p>
        </w:tc>
        <w:tc>
          <w:tcPr>
            <w:tcW w:w="846" w:type="dxa"/>
            <w:vAlign w:val="center"/>
            <w:hideMark/>
          </w:tcPr>
          <w:p w14:paraId="25810C98" w14:textId="77777777" w:rsidR="00416FA8" w:rsidRPr="009102D9" w:rsidRDefault="00416FA8" w:rsidP="004B6753">
            <w:pPr>
              <w:pStyle w:val="NoSpacing"/>
              <w:jc w:val="center"/>
              <w:rPr>
                <w:rFonts w:ascii="Times New Roman" w:hAnsi="Times New Roman" w:cs="Times New Roman"/>
                <w:sz w:val="18"/>
                <w:szCs w:val="18"/>
              </w:rPr>
            </w:pPr>
            <w:r w:rsidRPr="009102D9">
              <w:rPr>
                <w:rFonts w:ascii="Times New Roman" w:hAnsi="Times New Roman" w:cs="Times New Roman"/>
                <w:sz w:val="18"/>
                <w:szCs w:val="18"/>
              </w:rPr>
              <w:t>5.17</w:t>
            </w:r>
          </w:p>
        </w:tc>
        <w:tc>
          <w:tcPr>
            <w:tcW w:w="846" w:type="dxa"/>
            <w:vAlign w:val="center"/>
            <w:hideMark/>
          </w:tcPr>
          <w:p w14:paraId="62CCE335" w14:textId="77777777" w:rsidR="00416FA8" w:rsidRPr="009102D9" w:rsidRDefault="00416FA8" w:rsidP="004B6753">
            <w:pPr>
              <w:pStyle w:val="NoSpacing"/>
              <w:jc w:val="center"/>
              <w:rPr>
                <w:rFonts w:ascii="Times New Roman" w:hAnsi="Times New Roman" w:cs="Times New Roman"/>
                <w:sz w:val="18"/>
                <w:szCs w:val="18"/>
              </w:rPr>
            </w:pPr>
            <w:r w:rsidRPr="009102D9">
              <w:rPr>
                <w:rFonts w:ascii="Times New Roman" w:hAnsi="Times New Roman" w:cs="Times New Roman"/>
                <w:sz w:val="18"/>
                <w:szCs w:val="18"/>
              </w:rPr>
              <w:t>27.63</w:t>
            </w:r>
          </w:p>
        </w:tc>
        <w:tc>
          <w:tcPr>
            <w:tcW w:w="1066" w:type="dxa"/>
            <w:vAlign w:val="center"/>
            <w:hideMark/>
          </w:tcPr>
          <w:p w14:paraId="693546BC" w14:textId="77777777" w:rsidR="00416FA8" w:rsidRPr="009102D9" w:rsidRDefault="00416FA8" w:rsidP="004B6753">
            <w:pPr>
              <w:pStyle w:val="NoSpacing"/>
              <w:jc w:val="center"/>
              <w:rPr>
                <w:rFonts w:ascii="Times New Roman" w:hAnsi="Times New Roman" w:cs="Times New Roman"/>
                <w:sz w:val="18"/>
                <w:szCs w:val="18"/>
              </w:rPr>
            </w:pPr>
            <w:r w:rsidRPr="009102D9">
              <w:rPr>
                <w:rFonts w:ascii="Times New Roman" w:hAnsi="Times New Roman" w:cs="Times New Roman"/>
                <w:sz w:val="18"/>
                <w:szCs w:val="18"/>
              </w:rPr>
              <w:t>42.77</w:t>
            </w:r>
          </w:p>
        </w:tc>
        <w:tc>
          <w:tcPr>
            <w:tcW w:w="1066" w:type="dxa"/>
            <w:vAlign w:val="center"/>
            <w:hideMark/>
          </w:tcPr>
          <w:p w14:paraId="3BE79C5F" w14:textId="77777777" w:rsidR="00416FA8" w:rsidRPr="009102D9" w:rsidRDefault="00416FA8" w:rsidP="004B6753">
            <w:pPr>
              <w:pStyle w:val="NoSpacing"/>
              <w:jc w:val="center"/>
              <w:rPr>
                <w:rFonts w:ascii="Times New Roman" w:hAnsi="Times New Roman" w:cs="Times New Roman"/>
                <w:sz w:val="18"/>
                <w:szCs w:val="18"/>
              </w:rPr>
            </w:pPr>
            <w:r w:rsidRPr="009102D9">
              <w:rPr>
                <w:rFonts w:ascii="Times New Roman" w:hAnsi="Times New Roman" w:cs="Times New Roman"/>
                <w:sz w:val="18"/>
                <w:szCs w:val="18"/>
              </w:rPr>
              <w:t>67.52</w:t>
            </w:r>
          </w:p>
        </w:tc>
      </w:tr>
      <w:tr w:rsidR="00416FA8" w:rsidRPr="009102D9" w14:paraId="5B5018E0" w14:textId="77777777" w:rsidTr="004B6753">
        <w:trPr>
          <w:trHeight w:val="24"/>
        </w:trPr>
        <w:tc>
          <w:tcPr>
            <w:tcW w:w="1116" w:type="dxa"/>
            <w:hideMark/>
          </w:tcPr>
          <w:p w14:paraId="661DB2A3" w14:textId="77777777" w:rsidR="00416FA8" w:rsidRPr="009102D9" w:rsidRDefault="00416FA8" w:rsidP="00B77C0B">
            <w:pPr>
              <w:pStyle w:val="NoSpacing"/>
              <w:rPr>
                <w:rFonts w:ascii="Times New Roman" w:hAnsi="Times New Roman" w:cs="Times New Roman"/>
                <w:sz w:val="18"/>
                <w:szCs w:val="18"/>
              </w:rPr>
            </w:pPr>
            <w:r w:rsidRPr="009102D9">
              <w:rPr>
                <w:rFonts w:ascii="Times New Roman" w:hAnsi="Times New Roman" w:cs="Times New Roman"/>
                <w:sz w:val="18"/>
                <w:szCs w:val="18"/>
              </w:rPr>
              <w:t>Mysore</w:t>
            </w:r>
          </w:p>
        </w:tc>
        <w:tc>
          <w:tcPr>
            <w:tcW w:w="796" w:type="dxa"/>
            <w:vAlign w:val="center"/>
            <w:hideMark/>
          </w:tcPr>
          <w:p w14:paraId="1C5B152C" w14:textId="77777777" w:rsidR="00416FA8" w:rsidRPr="009102D9" w:rsidRDefault="00416FA8" w:rsidP="004B6753">
            <w:pPr>
              <w:pStyle w:val="NoSpacing"/>
              <w:jc w:val="center"/>
              <w:rPr>
                <w:rFonts w:ascii="Times New Roman" w:hAnsi="Times New Roman" w:cs="Times New Roman"/>
                <w:sz w:val="18"/>
                <w:szCs w:val="18"/>
              </w:rPr>
            </w:pPr>
            <w:r w:rsidRPr="009102D9">
              <w:rPr>
                <w:rFonts w:ascii="Times New Roman" w:hAnsi="Times New Roman" w:cs="Times New Roman"/>
                <w:sz w:val="18"/>
                <w:szCs w:val="18"/>
              </w:rPr>
              <w:t>9.49</w:t>
            </w:r>
          </w:p>
        </w:tc>
        <w:tc>
          <w:tcPr>
            <w:tcW w:w="1066" w:type="dxa"/>
            <w:vAlign w:val="center"/>
            <w:hideMark/>
          </w:tcPr>
          <w:p w14:paraId="6D47F96C" w14:textId="77777777" w:rsidR="00416FA8" w:rsidRPr="009102D9" w:rsidRDefault="00416FA8" w:rsidP="004B6753">
            <w:pPr>
              <w:pStyle w:val="NoSpacing"/>
              <w:jc w:val="center"/>
              <w:rPr>
                <w:rFonts w:ascii="Times New Roman" w:hAnsi="Times New Roman" w:cs="Times New Roman"/>
                <w:sz w:val="18"/>
                <w:szCs w:val="18"/>
              </w:rPr>
            </w:pPr>
            <w:r w:rsidRPr="009102D9">
              <w:rPr>
                <w:rFonts w:ascii="Times New Roman" w:hAnsi="Times New Roman" w:cs="Times New Roman"/>
                <w:sz w:val="18"/>
                <w:szCs w:val="18"/>
              </w:rPr>
              <w:t>3.13</w:t>
            </w:r>
          </w:p>
        </w:tc>
        <w:tc>
          <w:tcPr>
            <w:tcW w:w="0" w:type="auto"/>
            <w:vAlign w:val="center"/>
            <w:hideMark/>
          </w:tcPr>
          <w:p w14:paraId="7D38862A" w14:textId="77777777" w:rsidR="00416FA8" w:rsidRPr="009102D9" w:rsidRDefault="00416FA8" w:rsidP="004B6753">
            <w:pPr>
              <w:pStyle w:val="NoSpacing"/>
              <w:jc w:val="center"/>
              <w:rPr>
                <w:rFonts w:ascii="Times New Roman" w:hAnsi="Times New Roman" w:cs="Times New Roman"/>
                <w:sz w:val="18"/>
                <w:szCs w:val="18"/>
              </w:rPr>
            </w:pPr>
            <w:r w:rsidRPr="009102D9">
              <w:rPr>
                <w:rFonts w:ascii="Times New Roman" w:hAnsi="Times New Roman" w:cs="Times New Roman"/>
                <w:sz w:val="18"/>
                <w:szCs w:val="18"/>
              </w:rPr>
              <w:t>1.41</w:t>
            </w:r>
          </w:p>
        </w:tc>
        <w:tc>
          <w:tcPr>
            <w:tcW w:w="0" w:type="auto"/>
            <w:vAlign w:val="center"/>
            <w:hideMark/>
          </w:tcPr>
          <w:p w14:paraId="7C7FE2AE" w14:textId="77777777" w:rsidR="00416FA8" w:rsidRPr="009102D9" w:rsidRDefault="00416FA8" w:rsidP="004B6753">
            <w:pPr>
              <w:pStyle w:val="NoSpacing"/>
              <w:jc w:val="center"/>
              <w:rPr>
                <w:rFonts w:ascii="Times New Roman" w:hAnsi="Times New Roman" w:cs="Times New Roman"/>
                <w:sz w:val="18"/>
                <w:szCs w:val="18"/>
              </w:rPr>
            </w:pPr>
            <w:r w:rsidRPr="009102D9">
              <w:rPr>
                <w:rFonts w:ascii="Times New Roman" w:hAnsi="Times New Roman" w:cs="Times New Roman"/>
                <w:sz w:val="18"/>
                <w:szCs w:val="18"/>
              </w:rPr>
              <w:t>1.49</w:t>
            </w:r>
          </w:p>
        </w:tc>
        <w:tc>
          <w:tcPr>
            <w:tcW w:w="0" w:type="auto"/>
            <w:vAlign w:val="center"/>
            <w:hideMark/>
          </w:tcPr>
          <w:p w14:paraId="51281CEE" w14:textId="77777777" w:rsidR="00416FA8" w:rsidRPr="009102D9" w:rsidRDefault="00416FA8" w:rsidP="004B6753">
            <w:pPr>
              <w:pStyle w:val="NoSpacing"/>
              <w:jc w:val="center"/>
              <w:rPr>
                <w:rFonts w:ascii="Times New Roman" w:hAnsi="Times New Roman" w:cs="Times New Roman"/>
                <w:sz w:val="18"/>
                <w:szCs w:val="18"/>
              </w:rPr>
            </w:pPr>
            <w:r w:rsidRPr="009102D9">
              <w:rPr>
                <w:rFonts w:ascii="Times New Roman" w:hAnsi="Times New Roman" w:cs="Times New Roman"/>
                <w:sz w:val="18"/>
                <w:szCs w:val="18"/>
              </w:rPr>
              <w:t>2.55</w:t>
            </w:r>
          </w:p>
        </w:tc>
        <w:tc>
          <w:tcPr>
            <w:tcW w:w="1256" w:type="dxa"/>
            <w:vAlign w:val="center"/>
            <w:hideMark/>
          </w:tcPr>
          <w:p w14:paraId="0AEAA9B6" w14:textId="77777777" w:rsidR="00416FA8" w:rsidRPr="009102D9" w:rsidRDefault="00416FA8" w:rsidP="004B6753">
            <w:pPr>
              <w:pStyle w:val="NoSpacing"/>
              <w:jc w:val="center"/>
              <w:rPr>
                <w:rFonts w:ascii="Times New Roman" w:hAnsi="Times New Roman" w:cs="Times New Roman"/>
                <w:sz w:val="18"/>
                <w:szCs w:val="18"/>
              </w:rPr>
            </w:pPr>
            <w:r w:rsidRPr="009102D9">
              <w:rPr>
                <w:rFonts w:ascii="Times New Roman" w:hAnsi="Times New Roman" w:cs="Times New Roman"/>
                <w:sz w:val="18"/>
                <w:szCs w:val="18"/>
              </w:rPr>
              <w:t>1.62</w:t>
            </w:r>
          </w:p>
        </w:tc>
        <w:tc>
          <w:tcPr>
            <w:tcW w:w="1256" w:type="dxa"/>
            <w:vAlign w:val="center"/>
            <w:hideMark/>
          </w:tcPr>
          <w:p w14:paraId="677D5706" w14:textId="77777777" w:rsidR="00416FA8" w:rsidRPr="009102D9" w:rsidRDefault="00416FA8" w:rsidP="004B6753">
            <w:pPr>
              <w:pStyle w:val="NoSpacing"/>
              <w:jc w:val="center"/>
              <w:rPr>
                <w:rFonts w:ascii="Times New Roman" w:hAnsi="Times New Roman" w:cs="Times New Roman"/>
                <w:sz w:val="18"/>
                <w:szCs w:val="18"/>
              </w:rPr>
            </w:pPr>
            <w:r w:rsidRPr="009102D9">
              <w:rPr>
                <w:rFonts w:ascii="Times New Roman" w:hAnsi="Times New Roman" w:cs="Times New Roman"/>
                <w:sz w:val="18"/>
                <w:szCs w:val="18"/>
              </w:rPr>
              <w:t>5.66</w:t>
            </w:r>
          </w:p>
        </w:tc>
        <w:tc>
          <w:tcPr>
            <w:tcW w:w="0" w:type="auto"/>
            <w:vAlign w:val="center"/>
            <w:hideMark/>
          </w:tcPr>
          <w:p w14:paraId="4E806BF4" w14:textId="77777777" w:rsidR="00416FA8" w:rsidRPr="009102D9" w:rsidRDefault="00416FA8" w:rsidP="004B6753">
            <w:pPr>
              <w:pStyle w:val="NoSpacing"/>
              <w:jc w:val="center"/>
              <w:rPr>
                <w:rFonts w:ascii="Times New Roman" w:hAnsi="Times New Roman" w:cs="Times New Roman"/>
                <w:sz w:val="18"/>
                <w:szCs w:val="18"/>
              </w:rPr>
            </w:pPr>
            <w:r w:rsidRPr="009102D9">
              <w:rPr>
                <w:rFonts w:ascii="Times New Roman" w:hAnsi="Times New Roman" w:cs="Times New Roman"/>
                <w:sz w:val="18"/>
                <w:szCs w:val="18"/>
              </w:rPr>
              <w:t>11.63</w:t>
            </w:r>
          </w:p>
        </w:tc>
        <w:tc>
          <w:tcPr>
            <w:tcW w:w="0" w:type="auto"/>
            <w:vAlign w:val="center"/>
            <w:hideMark/>
          </w:tcPr>
          <w:p w14:paraId="2FBA4343" w14:textId="77777777" w:rsidR="00416FA8" w:rsidRPr="009102D9" w:rsidRDefault="00416FA8" w:rsidP="004B6753">
            <w:pPr>
              <w:pStyle w:val="NoSpacing"/>
              <w:jc w:val="center"/>
              <w:rPr>
                <w:rFonts w:ascii="Times New Roman" w:hAnsi="Times New Roman" w:cs="Times New Roman"/>
                <w:sz w:val="18"/>
                <w:szCs w:val="18"/>
              </w:rPr>
            </w:pPr>
            <w:r w:rsidRPr="009102D9">
              <w:rPr>
                <w:rFonts w:ascii="Times New Roman" w:hAnsi="Times New Roman" w:cs="Times New Roman"/>
                <w:sz w:val="18"/>
                <w:szCs w:val="18"/>
              </w:rPr>
              <w:t>2.13</w:t>
            </w:r>
          </w:p>
        </w:tc>
        <w:tc>
          <w:tcPr>
            <w:tcW w:w="0" w:type="auto"/>
            <w:vAlign w:val="center"/>
            <w:hideMark/>
          </w:tcPr>
          <w:p w14:paraId="17B33018" w14:textId="77777777" w:rsidR="00416FA8" w:rsidRPr="009102D9" w:rsidRDefault="00416FA8" w:rsidP="004B6753">
            <w:pPr>
              <w:pStyle w:val="NoSpacing"/>
              <w:jc w:val="center"/>
              <w:rPr>
                <w:rFonts w:ascii="Times New Roman" w:hAnsi="Times New Roman" w:cs="Times New Roman"/>
                <w:sz w:val="18"/>
                <w:szCs w:val="18"/>
              </w:rPr>
            </w:pPr>
            <w:r w:rsidRPr="009102D9">
              <w:rPr>
                <w:rFonts w:ascii="Times New Roman" w:hAnsi="Times New Roman" w:cs="Times New Roman"/>
                <w:sz w:val="18"/>
                <w:szCs w:val="18"/>
              </w:rPr>
              <w:t>1.65</w:t>
            </w:r>
          </w:p>
        </w:tc>
        <w:tc>
          <w:tcPr>
            <w:tcW w:w="1046" w:type="dxa"/>
            <w:vAlign w:val="center"/>
            <w:hideMark/>
          </w:tcPr>
          <w:p w14:paraId="5048B886" w14:textId="77777777" w:rsidR="00416FA8" w:rsidRPr="009102D9" w:rsidRDefault="00416FA8" w:rsidP="004B6753">
            <w:pPr>
              <w:pStyle w:val="NoSpacing"/>
              <w:jc w:val="center"/>
              <w:rPr>
                <w:rFonts w:ascii="Times New Roman" w:hAnsi="Times New Roman" w:cs="Times New Roman"/>
                <w:sz w:val="18"/>
                <w:szCs w:val="18"/>
              </w:rPr>
            </w:pPr>
            <w:r w:rsidRPr="009102D9">
              <w:rPr>
                <w:rFonts w:ascii="Times New Roman" w:hAnsi="Times New Roman" w:cs="Times New Roman"/>
                <w:sz w:val="18"/>
                <w:szCs w:val="18"/>
              </w:rPr>
              <w:t>3.29</w:t>
            </w:r>
          </w:p>
        </w:tc>
        <w:tc>
          <w:tcPr>
            <w:tcW w:w="846" w:type="dxa"/>
            <w:vAlign w:val="center"/>
            <w:hideMark/>
          </w:tcPr>
          <w:p w14:paraId="10DBC22D" w14:textId="77777777" w:rsidR="00416FA8" w:rsidRPr="009102D9" w:rsidRDefault="00416FA8" w:rsidP="004B6753">
            <w:pPr>
              <w:pStyle w:val="NoSpacing"/>
              <w:jc w:val="center"/>
              <w:rPr>
                <w:rFonts w:ascii="Times New Roman" w:hAnsi="Times New Roman" w:cs="Times New Roman"/>
                <w:sz w:val="18"/>
                <w:szCs w:val="18"/>
              </w:rPr>
            </w:pPr>
            <w:r w:rsidRPr="009102D9">
              <w:rPr>
                <w:rFonts w:ascii="Times New Roman" w:hAnsi="Times New Roman" w:cs="Times New Roman"/>
                <w:sz w:val="18"/>
                <w:szCs w:val="18"/>
              </w:rPr>
              <w:t>8.20</w:t>
            </w:r>
          </w:p>
        </w:tc>
        <w:tc>
          <w:tcPr>
            <w:tcW w:w="846" w:type="dxa"/>
            <w:vAlign w:val="center"/>
            <w:hideMark/>
          </w:tcPr>
          <w:p w14:paraId="59B4F57D" w14:textId="77777777" w:rsidR="00416FA8" w:rsidRPr="009102D9" w:rsidRDefault="00416FA8" w:rsidP="004B6753">
            <w:pPr>
              <w:pStyle w:val="NoSpacing"/>
              <w:jc w:val="center"/>
              <w:rPr>
                <w:rFonts w:ascii="Times New Roman" w:hAnsi="Times New Roman" w:cs="Times New Roman"/>
                <w:sz w:val="18"/>
                <w:szCs w:val="18"/>
              </w:rPr>
            </w:pPr>
            <w:r w:rsidRPr="009102D9">
              <w:rPr>
                <w:rFonts w:ascii="Times New Roman" w:hAnsi="Times New Roman" w:cs="Times New Roman"/>
                <w:sz w:val="18"/>
                <w:szCs w:val="18"/>
              </w:rPr>
              <w:t>26.90</w:t>
            </w:r>
          </w:p>
        </w:tc>
        <w:tc>
          <w:tcPr>
            <w:tcW w:w="1066" w:type="dxa"/>
            <w:vAlign w:val="center"/>
            <w:hideMark/>
          </w:tcPr>
          <w:p w14:paraId="0E3A9EA5" w14:textId="77777777" w:rsidR="00416FA8" w:rsidRPr="009102D9" w:rsidRDefault="00416FA8" w:rsidP="004B6753">
            <w:pPr>
              <w:pStyle w:val="NoSpacing"/>
              <w:jc w:val="center"/>
              <w:rPr>
                <w:rFonts w:ascii="Times New Roman" w:hAnsi="Times New Roman" w:cs="Times New Roman"/>
                <w:sz w:val="18"/>
                <w:szCs w:val="18"/>
              </w:rPr>
            </w:pPr>
            <w:r w:rsidRPr="009102D9">
              <w:rPr>
                <w:rFonts w:ascii="Times New Roman" w:hAnsi="Times New Roman" w:cs="Times New Roman"/>
                <w:sz w:val="18"/>
                <w:szCs w:val="18"/>
              </w:rPr>
              <w:t>33.97</w:t>
            </w:r>
          </w:p>
        </w:tc>
        <w:tc>
          <w:tcPr>
            <w:tcW w:w="1066" w:type="dxa"/>
            <w:vAlign w:val="center"/>
            <w:hideMark/>
          </w:tcPr>
          <w:p w14:paraId="79E4D86F" w14:textId="77777777" w:rsidR="00416FA8" w:rsidRPr="009102D9" w:rsidRDefault="00416FA8" w:rsidP="004B6753">
            <w:pPr>
              <w:pStyle w:val="NoSpacing"/>
              <w:jc w:val="center"/>
              <w:rPr>
                <w:rFonts w:ascii="Times New Roman" w:hAnsi="Times New Roman" w:cs="Times New Roman"/>
                <w:sz w:val="18"/>
                <w:szCs w:val="18"/>
              </w:rPr>
            </w:pPr>
            <w:r w:rsidRPr="009102D9">
              <w:rPr>
                <w:rFonts w:ascii="Times New Roman" w:hAnsi="Times New Roman" w:cs="Times New Roman"/>
                <w:sz w:val="18"/>
                <w:szCs w:val="18"/>
              </w:rPr>
              <w:t>58.12</w:t>
            </w:r>
          </w:p>
        </w:tc>
      </w:tr>
      <w:tr w:rsidR="00416FA8" w:rsidRPr="009102D9" w14:paraId="225B61A4" w14:textId="77777777" w:rsidTr="004B6753">
        <w:trPr>
          <w:trHeight w:val="24"/>
        </w:trPr>
        <w:tc>
          <w:tcPr>
            <w:tcW w:w="1116" w:type="dxa"/>
            <w:hideMark/>
          </w:tcPr>
          <w:p w14:paraId="2AD741A3" w14:textId="77777777" w:rsidR="00416FA8" w:rsidRPr="009102D9" w:rsidRDefault="00416FA8" w:rsidP="00B77C0B">
            <w:pPr>
              <w:pStyle w:val="NoSpacing"/>
              <w:rPr>
                <w:rFonts w:ascii="Times New Roman" w:hAnsi="Times New Roman" w:cs="Times New Roman"/>
                <w:sz w:val="18"/>
                <w:szCs w:val="18"/>
              </w:rPr>
            </w:pPr>
            <w:r w:rsidRPr="009102D9">
              <w:rPr>
                <w:rFonts w:ascii="Times New Roman" w:hAnsi="Times New Roman" w:cs="Times New Roman"/>
                <w:sz w:val="18"/>
                <w:szCs w:val="18"/>
              </w:rPr>
              <w:t>Nagaland</w:t>
            </w:r>
          </w:p>
        </w:tc>
        <w:tc>
          <w:tcPr>
            <w:tcW w:w="796" w:type="dxa"/>
            <w:vAlign w:val="center"/>
            <w:hideMark/>
          </w:tcPr>
          <w:p w14:paraId="1EFDD226" w14:textId="77777777" w:rsidR="00416FA8" w:rsidRPr="009102D9" w:rsidRDefault="00416FA8" w:rsidP="004B6753">
            <w:pPr>
              <w:pStyle w:val="NoSpacing"/>
              <w:jc w:val="center"/>
              <w:rPr>
                <w:rFonts w:ascii="Times New Roman" w:hAnsi="Times New Roman" w:cs="Times New Roman"/>
                <w:sz w:val="18"/>
                <w:szCs w:val="18"/>
              </w:rPr>
            </w:pPr>
            <w:r w:rsidRPr="009102D9">
              <w:rPr>
                <w:rFonts w:ascii="Times New Roman" w:hAnsi="Times New Roman" w:cs="Times New Roman"/>
                <w:sz w:val="18"/>
                <w:szCs w:val="18"/>
              </w:rPr>
              <w:t>7.11</w:t>
            </w:r>
          </w:p>
        </w:tc>
        <w:tc>
          <w:tcPr>
            <w:tcW w:w="1066" w:type="dxa"/>
            <w:vAlign w:val="center"/>
            <w:hideMark/>
          </w:tcPr>
          <w:p w14:paraId="0A73BDAC" w14:textId="77777777" w:rsidR="00416FA8" w:rsidRPr="009102D9" w:rsidRDefault="00416FA8" w:rsidP="004B6753">
            <w:pPr>
              <w:pStyle w:val="NoSpacing"/>
              <w:jc w:val="center"/>
              <w:rPr>
                <w:rFonts w:ascii="Times New Roman" w:hAnsi="Times New Roman" w:cs="Times New Roman"/>
                <w:sz w:val="18"/>
                <w:szCs w:val="18"/>
              </w:rPr>
            </w:pPr>
            <w:r w:rsidRPr="009102D9">
              <w:rPr>
                <w:rFonts w:ascii="Times New Roman" w:hAnsi="Times New Roman" w:cs="Times New Roman"/>
                <w:sz w:val="18"/>
                <w:szCs w:val="18"/>
              </w:rPr>
              <w:t>9.07</w:t>
            </w:r>
          </w:p>
        </w:tc>
        <w:tc>
          <w:tcPr>
            <w:tcW w:w="0" w:type="auto"/>
            <w:vAlign w:val="center"/>
            <w:hideMark/>
          </w:tcPr>
          <w:p w14:paraId="15401600" w14:textId="77777777" w:rsidR="00416FA8" w:rsidRPr="009102D9" w:rsidRDefault="00416FA8" w:rsidP="004B6753">
            <w:pPr>
              <w:pStyle w:val="NoSpacing"/>
              <w:jc w:val="center"/>
              <w:rPr>
                <w:rFonts w:ascii="Times New Roman" w:hAnsi="Times New Roman" w:cs="Times New Roman"/>
                <w:sz w:val="18"/>
                <w:szCs w:val="18"/>
              </w:rPr>
            </w:pPr>
            <w:r w:rsidRPr="009102D9">
              <w:rPr>
                <w:rFonts w:ascii="Times New Roman" w:hAnsi="Times New Roman" w:cs="Times New Roman"/>
                <w:sz w:val="18"/>
                <w:szCs w:val="18"/>
              </w:rPr>
              <w:t>0.74</w:t>
            </w:r>
          </w:p>
        </w:tc>
        <w:tc>
          <w:tcPr>
            <w:tcW w:w="0" w:type="auto"/>
            <w:vAlign w:val="center"/>
            <w:hideMark/>
          </w:tcPr>
          <w:p w14:paraId="5698BF69" w14:textId="77777777" w:rsidR="00416FA8" w:rsidRPr="009102D9" w:rsidRDefault="00416FA8" w:rsidP="004B6753">
            <w:pPr>
              <w:pStyle w:val="NoSpacing"/>
              <w:jc w:val="center"/>
              <w:rPr>
                <w:rFonts w:ascii="Times New Roman" w:hAnsi="Times New Roman" w:cs="Times New Roman"/>
                <w:sz w:val="18"/>
                <w:szCs w:val="18"/>
              </w:rPr>
            </w:pPr>
            <w:r w:rsidRPr="009102D9">
              <w:rPr>
                <w:rFonts w:ascii="Times New Roman" w:hAnsi="Times New Roman" w:cs="Times New Roman"/>
                <w:sz w:val="18"/>
                <w:szCs w:val="18"/>
              </w:rPr>
              <w:t>35.29</w:t>
            </w:r>
          </w:p>
        </w:tc>
        <w:tc>
          <w:tcPr>
            <w:tcW w:w="0" w:type="auto"/>
            <w:vAlign w:val="center"/>
            <w:hideMark/>
          </w:tcPr>
          <w:p w14:paraId="3CF40EF0" w14:textId="77777777" w:rsidR="00416FA8" w:rsidRPr="009102D9" w:rsidRDefault="00416FA8" w:rsidP="004B6753">
            <w:pPr>
              <w:pStyle w:val="NoSpacing"/>
              <w:jc w:val="center"/>
              <w:rPr>
                <w:rFonts w:ascii="Times New Roman" w:hAnsi="Times New Roman" w:cs="Times New Roman"/>
                <w:sz w:val="18"/>
                <w:szCs w:val="18"/>
              </w:rPr>
            </w:pPr>
            <w:r w:rsidRPr="009102D9">
              <w:rPr>
                <w:rFonts w:ascii="Times New Roman" w:hAnsi="Times New Roman" w:cs="Times New Roman"/>
                <w:sz w:val="18"/>
                <w:szCs w:val="18"/>
              </w:rPr>
              <w:t>96.57</w:t>
            </w:r>
          </w:p>
        </w:tc>
        <w:tc>
          <w:tcPr>
            <w:tcW w:w="1256" w:type="dxa"/>
            <w:vAlign w:val="center"/>
            <w:hideMark/>
          </w:tcPr>
          <w:p w14:paraId="79EDE753" w14:textId="77777777" w:rsidR="00416FA8" w:rsidRPr="009102D9" w:rsidRDefault="00416FA8" w:rsidP="004B6753">
            <w:pPr>
              <w:pStyle w:val="NoSpacing"/>
              <w:jc w:val="center"/>
              <w:rPr>
                <w:rFonts w:ascii="Times New Roman" w:hAnsi="Times New Roman" w:cs="Times New Roman"/>
                <w:sz w:val="18"/>
                <w:szCs w:val="18"/>
              </w:rPr>
            </w:pPr>
            <w:r w:rsidRPr="009102D9">
              <w:rPr>
                <w:rFonts w:ascii="Times New Roman" w:hAnsi="Times New Roman" w:cs="Times New Roman"/>
                <w:sz w:val="18"/>
                <w:szCs w:val="18"/>
              </w:rPr>
              <w:t>14.22</w:t>
            </w:r>
          </w:p>
        </w:tc>
        <w:tc>
          <w:tcPr>
            <w:tcW w:w="1256" w:type="dxa"/>
            <w:vAlign w:val="center"/>
            <w:hideMark/>
          </w:tcPr>
          <w:p w14:paraId="36D048B3" w14:textId="77777777" w:rsidR="00416FA8" w:rsidRPr="009102D9" w:rsidRDefault="00416FA8" w:rsidP="004B6753">
            <w:pPr>
              <w:pStyle w:val="NoSpacing"/>
              <w:jc w:val="center"/>
              <w:rPr>
                <w:rFonts w:ascii="Times New Roman" w:hAnsi="Times New Roman" w:cs="Times New Roman"/>
                <w:sz w:val="18"/>
                <w:szCs w:val="18"/>
              </w:rPr>
            </w:pPr>
            <w:r w:rsidRPr="009102D9">
              <w:rPr>
                <w:rFonts w:ascii="Times New Roman" w:hAnsi="Times New Roman" w:cs="Times New Roman"/>
                <w:sz w:val="18"/>
                <w:szCs w:val="18"/>
              </w:rPr>
              <w:t>146.08</w:t>
            </w:r>
          </w:p>
        </w:tc>
        <w:tc>
          <w:tcPr>
            <w:tcW w:w="0" w:type="auto"/>
            <w:vAlign w:val="center"/>
            <w:hideMark/>
          </w:tcPr>
          <w:p w14:paraId="6F81C414" w14:textId="77777777" w:rsidR="00416FA8" w:rsidRPr="009102D9" w:rsidRDefault="00416FA8" w:rsidP="004B6753">
            <w:pPr>
              <w:pStyle w:val="NoSpacing"/>
              <w:jc w:val="center"/>
              <w:rPr>
                <w:rFonts w:ascii="Times New Roman" w:hAnsi="Times New Roman" w:cs="Times New Roman"/>
                <w:sz w:val="18"/>
                <w:szCs w:val="18"/>
              </w:rPr>
            </w:pPr>
            <w:r w:rsidRPr="009102D9">
              <w:rPr>
                <w:rFonts w:ascii="Times New Roman" w:hAnsi="Times New Roman" w:cs="Times New Roman"/>
                <w:sz w:val="18"/>
                <w:szCs w:val="18"/>
              </w:rPr>
              <w:t>46.08</w:t>
            </w:r>
          </w:p>
        </w:tc>
        <w:tc>
          <w:tcPr>
            <w:tcW w:w="0" w:type="auto"/>
            <w:vAlign w:val="center"/>
            <w:hideMark/>
          </w:tcPr>
          <w:p w14:paraId="604C374A" w14:textId="77777777" w:rsidR="00416FA8" w:rsidRPr="009102D9" w:rsidRDefault="00416FA8" w:rsidP="004B6753">
            <w:pPr>
              <w:pStyle w:val="NoSpacing"/>
              <w:jc w:val="center"/>
              <w:rPr>
                <w:rFonts w:ascii="Times New Roman" w:hAnsi="Times New Roman" w:cs="Times New Roman"/>
                <w:sz w:val="18"/>
                <w:szCs w:val="18"/>
              </w:rPr>
            </w:pPr>
            <w:r w:rsidRPr="009102D9">
              <w:rPr>
                <w:rFonts w:ascii="Times New Roman" w:hAnsi="Times New Roman" w:cs="Times New Roman"/>
                <w:sz w:val="18"/>
                <w:szCs w:val="18"/>
              </w:rPr>
              <w:t>15.93</w:t>
            </w:r>
          </w:p>
        </w:tc>
        <w:tc>
          <w:tcPr>
            <w:tcW w:w="0" w:type="auto"/>
            <w:vAlign w:val="center"/>
            <w:hideMark/>
          </w:tcPr>
          <w:p w14:paraId="66F1EDD1" w14:textId="77777777" w:rsidR="00416FA8" w:rsidRPr="009102D9" w:rsidRDefault="00416FA8" w:rsidP="004B6753">
            <w:pPr>
              <w:pStyle w:val="NoSpacing"/>
              <w:jc w:val="center"/>
              <w:rPr>
                <w:rFonts w:ascii="Times New Roman" w:hAnsi="Times New Roman" w:cs="Times New Roman"/>
                <w:sz w:val="18"/>
                <w:szCs w:val="18"/>
              </w:rPr>
            </w:pPr>
            <w:r w:rsidRPr="009102D9">
              <w:rPr>
                <w:rFonts w:ascii="Times New Roman" w:hAnsi="Times New Roman" w:cs="Times New Roman"/>
                <w:sz w:val="18"/>
                <w:szCs w:val="18"/>
              </w:rPr>
              <w:t>4.41</w:t>
            </w:r>
          </w:p>
        </w:tc>
        <w:tc>
          <w:tcPr>
            <w:tcW w:w="1046" w:type="dxa"/>
            <w:vAlign w:val="center"/>
            <w:hideMark/>
          </w:tcPr>
          <w:p w14:paraId="6A3D6641" w14:textId="77777777" w:rsidR="00416FA8" w:rsidRPr="009102D9" w:rsidRDefault="00416FA8" w:rsidP="004B6753">
            <w:pPr>
              <w:pStyle w:val="NoSpacing"/>
              <w:jc w:val="center"/>
              <w:rPr>
                <w:rFonts w:ascii="Times New Roman" w:hAnsi="Times New Roman" w:cs="Times New Roman"/>
                <w:sz w:val="18"/>
                <w:szCs w:val="18"/>
              </w:rPr>
            </w:pPr>
            <w:r w:rsidRPr="009102D9">
              <w:rPr>
                <w:rFonts w:ascii="Times New Roman" w:hAnsi="Times New Roman" w:cs="Times New Roman"/>
                <w:sz w:val="18"/>
                <w:szCs w:val="18"/>
              </w:rPr>
              <w:t>19.61</w:t>
            </w:r>
          </w:p>
        </w:tc>
        <w:tc>
          <w:tcPr>
            <w:tcW w:w="846" w:type="dxa"/>
            <w:vAlign w:val="center"/>
            <w:hideMark/>
          </w:tcPr>
          <w:p w14:paraId="5088CB11" w14:textId="77777777" w:rsidR="00416FA8" w:rsidRPr="009102D9" w:rsidRDefault="00416FA8" w:rsidP="004B6753">
            <w:pPr>
              <w:pStyle w:val="NoSpacing"/>
              <w:jc w:val="center"/>
              <w:rPr>
                <w:rFonts w:ascii="Times New Roman" w:hAnsi="Times New Roman" w:cs="Times New Roman"/>
                <w:sz w:val="18"/>
                <w:szCs w:val="18"/>
              </w:rPr>
            </w:pPr>
            <w:r w:rsidRPr="009102D9">
              <w:rPr>
                <w:rFonts w:ascii="Times New Roman" w:hAnsi="Times New Roman" w:cs="Times New Roman"/>
                <w:sz w:val="18"/>
                <w:szCs w:val="18"/>
              </w:rPr>
              <w:t>14.46</w:t>
            </w:r>
          </w:p>
        </w:tc>
        <w:tc>
          <w:tcPr>
            <w:tcW w:w="846" w:type="dxa"/>
            <w:vAlign w:val="center"/>
            <w:hideMark/>
          </w:tcPr>
          <w:p w14:paraId="2AE323E4" w14:textId="77777777" w:rsidR="00416FA8" w:rsidRPr="009102D9" w:rsidRDefault="00416FA8" w:rsidP="004B6753">
            <w:pPr>
              <w:pStyle w:val="NoSpacing"/>
              <w:jc w:val="center"/>
              <w:rPr>
                <w:rFonts w:ascii="Times New Roman" w:hAnsi="Times New Roman" w:cs="Times New Roman"/>
                <w:sz w:val="18"/>
                <w:szCs w:val="18"/>
              </w:rPr>
            </w:pPr>
            <w:r w:rsidRPr="009102D9">
              <w:rPr>
                <w:rFonts w:ascii="Times New Roman" w:hAnsi="Times New Roman" w:cs="Times New Roman"/>
                <w:sz w:val="18"/>
                <w:szCs w:val="18"/>
              </w:rPr>
              <w:t>100.49</w:t>
            </w:r>
          </w:p>
        </w:tc>
        <w:tc>
          <w:tcPr>
            <w:tcW w:w="1066" w:type="dxa"/>
            <w:vAlign w:val="center"/>
            <w:hideMark/>
          </w:tcPr>
          <w:p w14:paraId="66E4BE10" w14:textId="77777777" w:rsidR="00416FA8" w:rsidRPr="009102D9" w:rsidRDefault="00416FA8" w:rsidP="004B6753">
            <w:pPr>
              <w:pStyle w:val="NoSpacing"/>
              <w:jc w:val="center"/>
              <w:rPr>
                <w:rFonts w:ascii="Times New Roman" w:hAnsi="Times New Roman" w:cs="Times New Roman"/>
                <w:sz w:val="18"/>
                <w:szCs w:val="18"/>
              </w:rPr>
            </w:pPr>
            <w:r w:rsidRPr="009102D9">
              <w:rPr>
                <w:rFonts w:ascii="Times New Roman" w:hAnsi="Times New Roman" w:cs="Times New Roman"/>
                <w:sz w:val="18"/>
                <w:szCs w:val="18"/>
              </w:rPr>
              <w:t>247.31</w:t>
            </w:r>
          </w:p>
        </w:tc>
        <w:tc>
          <w:tcPr>
            <w:tcW w:w="1066" w:type="dxa"/>
            <w:vAlign w:val="center"/>
            <w:hideMark/>
          </w:tcPr>
          <w:p w14:paraId="705C5CA7" w14:textId="77777777" w:rsidR="00416FA8" w:rsidRPr="009102D9" w:rsidRDefault="00416FA8" w:rsidP="004B6753">
            <w:pPr>
              <w:pStyle w:val="NoSpacing"/>
              <w:jc w:val="center"/>
              <w:rPr>
                <w:rFonts w:ascii="Times New Roman" w:hAnsi="Times New Roman" w:cs="Times New Roman"/>
                <w:sz w:val="18"/>
                <w:szCs w:val="18"/>
              </w:rPr>
            </w:pPr>
            <w:r w:rsidRPr="009102D9">
              <w:rPr>
                <w:rFonts w:ascii="Times New Roman" w:hAnsi="Times New Roman" w:cs="Times New Roman"/>
                <w:sz w:val="18"/>
                <w:szCs w:val="18"/>
              </w:rPr>
              <w:t>301.76</w:t>
            </w:r>
          </w:p>
        </w:tc>
      </w:tr>
      <w:tr w:rsidR="00416FA8" w:rsidRPr="009102D9" w14:paraId="342FEA99" w14:textId="77777777" w:rsidTr="004B6753">
        <w:trPr>
          <w:trHeight w:val="24"/>
        </w:trPr>
        <w:tc>
          <w:tcPr>
            <w:tcW w:w="1116" w:type="dxa"/>
            <w:hideMark/>
          </w:tcPr>
          <w:p w14:paraId="26BD8481" w14:textId="77777777" w:rsidR="00416FA8" w:rsidRPr="009102D9" w:rsidRDefault="00416FA8" w:rsidP="00B77C0B">
            <w:pPr>
              <w:pStyle w:val="NoSpacing"/>
              <w:rPr>
                <w:rFonts w:ascii="Times New Roman" w:hAnsi="Times New Roman" w:cs="Times New Roman"/>
                <w:sz w:val="18"/>
                <w:szCs w:val="18"/>
              </w:rPr>
            </w:pPr>
            <w:r w:rsidRPr="009102D9">
              <w:rPr>
                <w:rFonts w:ascii="Times New Roman" w:hAnsi="Times New Roman" w:cs="Times New Roman"/>
                <w:sz w:val="18"/>
                <w:szCs w:val="18"/>
              </w:rPr>
              <w:t>Orissa</w:t>
            </w:r>
          </w:p>
        </w:tc>
        <w:tc>
          <w:tcPr>
            <w:tcW w:w="796" w:type="dxa"/>
            <w:vAlign w:val="center"/>
            <w:hideMark/>
          </w:tcPr>
          <w:p w14:paraId="4F911DFB" w14:textId="77777777" w:rsidR="00416FA8" w:rsidRPr="009102D9" w:rsidRDefault="00416FA8" w:rsidP="004B6753">
            <w:pPr>
              <w:pStyle w:val="NoSpacing"/>
              <w:jc w:val="center"/>
              <w:rPr>
                <w:rFonts w:ascii="Times New Roman" w:hAnsi="Times New Roman" w:cs="Times New Roman"/>
                <w:sz w:val="18"/>
                <w:szCs w:val="18"/>
              </w:rPr>
            </w:pPr>
            <w:r w:rsidRPr="009102D9">
              <w:rPr>
                <w:rFonts w:ascii="Times New Roman" w:hAnsi="Times New Roman" w:cs="Times New Roman"/>
                <w:sz w:val="18"/>
                <w:szCs w:val="18"/>
              </w:rPr>
              <w:t>11.50</w:t>
            </w:r>
          </w:p>
        </w:tc>
        <w:tc>
          <w:tcPr>
            <w:tcW w:w="1066" w:type="dxa"/>
            <w:vAlign w:val="center"/>
            <w:hideMark/>
          </w:tcPr>
          <w:p w14:paraId="0D380D37" w14:textId="77777777" w:rsidR="00416FA8" w:rsidRPr="009102D9" w:rsidRDefault="00416FA8" w:rsidP="004B6753">
            <w:pPr>
              <w:pStyle w:val="NoSpacing"/>
              <w:jc w:val="center"/>
              <w:rPr>
                <w:rFonts w:ascii="Times New Roman" w:hAnsi="Times New Roman" w:cs="Times New Roman"/>
                <w:sz w:val="18"/>
                <w:szCs w:val="18"/>
              </w:rPr>
            </w:pPr>
            <w:r w:rsidRPr="009102D9">
              <w:rPr>
                <w:rFonts w:ascii="Times New Roman" w:hAnsi="Times New Roman" w:cs="Times New Roman"/>
                <w:sz w:val="18"/>
                <w:szCs w:val="18"/>
              </w:rPr>
              <w:t>6.77</w:t>
            </w:r>
          </w:p>
        </w:tc>
        <w:tc>
          <w:tcPr>
            <w:tcW w:w="0" w:type="auto"/>
            <w:vAlign w:val="center"/>
            <w:hideMark/>
          </w:tcPr>
          <w:p w14:paraId="3A5FA117" w14:textId="77777777" w:rsidR="00416FA8" w:rsidRPr="009102D9" w:rsidRDefault="00416FA8" w:rsidP="004B6753">
            <w:pPr>
              <w:pStyle w:val="NoSpacing"/>
              <w:jc w:val="center"/>
              <w:rPr>
                <w:rFonts w:ascii="Times New Roman" w:hAnsi="Times New Roman" w:cs="Times New Roman"/>
                <w:sz w:val="18"/>
                <w:szCs w:val="18"/>
              </w:rPr>
            </w:pPr>
            <w:r w:rsidRPr="009102D9">
              <w:rPr>
                <w:rFonts w:ascii="Times New Roman" w:hAnsi="Times New Roman" w:cs="Times New Roman"/>
                <w:sz w:val="18"/>
                <w:szCs w:val="18"/>
              </w:rPr>
              <w:t>2.25</w:t>
            </w:r>
          </w:p>
        </w:tc>
        <w:tc>
          <w:tcPr>
            <w:tcW w:w="0" w:type="auto"/>
            <w:vAlign w:val="center"/>
            <w:hideMark/>
          </w:tcPr>
          <w:p w14:paraId="01B3CC58" w14:textId="77777777" w:rsidR="00416FA8" w:rsidRPr="009102D9" w:rsidRDefault="00416FA8" w:rsidP="004B6753">
            <w:pPr>
              <w:pStyle w:val="NoSpacing"/>
              <w:jc w:val="center"/>
              <w:rPr>
                <w:rFonts w:ascii="Times New Roman" w:hAnsi="Times New Roman" w:cs="Times New Roman"/>
                <w:sz w:val="18"/>
                <w:szCs w:val="18"/>
              </w:rPr>
            </w:pPr>
            <w:r w:rsidRPr="009102D9">
              <w:rPr>
                <w:rFonts w:ascii="Times New Roman" w:hAnsi="Times New Roman" w:cs="Times New Roman"/>
                <w:sz w:val="18"/>
                <w:szCs w:val="18"/>
              </w:rPr>
              <w:t>1.90</w:t>
            </w:r>
          </w:p>
        </w:tc>
        <w:tc>
          <w:tcPr>
            <w:tcW w:w="0" w:type="auto"/>
            <w:vAlign w:val="center"/>
            <w:hideMark/>
          </w:tcPr>
          <w:p w14:paraId="69B30F67" w14:textId="77777777" w:rsidR="00416FA8" w:rsidRPr="009102D9" w:rsidRDefault="00416FA8" w:rsidP="004B6753">
            <w:pPr>
              <w:pStyle w:val="NoSpacing"/>
              <w:jc w:val="center"/>
              <w:rPr>
                <w:rFonts w:ascii="Times New Roman" w:hAnsi="Times New Roman" w:cs="Times New Roman"/>
                <w:sz w:val="18"/>
                <w:szCs w:val="18"/>
              </w:rPr>
            </w:pPr>
            <w:r w:rsidRPr="009102D9">
              <w:rPr>
                <w:rFonts w:ascii="Times New Roman" w:hAnsi="Times New Roman" w:cs="Times New Roman"/>
                <w:sz w:val="18"/>
                <w:szCs w:val="18"/>
              </w:rPr>
              <w:t>3.19</w:t>
            </w:r>
          </w:p>
        </w:tc>
        <w:tc>
          <w:tcPr>
            <w:tcW w:w="1256" w:type="dxa"/>
            <w:vAlign w:val="center"/>
            <w:hideMark/>
          </w:tcPr>
          <w:p w14:paraId="1562CE8B" w14:textId="77777777" w:rsidR="00416FA8" w:rsidRPr="009102D9" w:rsidRDefault="00416FA8" w:rsidP="004B6753">
            <w:pPr>
              <w:pStyle w:val="NoSpacing"/>
              <w:jc w:val="center"/>
              <w:rPr>
                <w:rFonts w:ascii="Times New Roman" w:hAnsi="Times New Roman" w:cs="Times New Roman"/>
                <w:sz w:val="18"/>
                <w:szCs w:val="18"/>
              </w:rPr>
            </w:pPr>
            <w:r w:rsidRPr="009102D9">
              <w:rPr>
                <w:rFonts w:ascii="Times New Roman" w:hAnsi="Times New Roman" w:cs="Times New Roman"/>
                <w:sz w:val="18"/>
                <w:szCs w:val="18"/>
              </w:rPr>
              <w:t>0.93</w:t>
            </w:r>
          </w:p>
        </w:tc>
        <w:tc>
          <w:tcPr>
            <w:tcW w:w="1256" w:type="dxa"/>
            <w:vAlign w:val="center"/>
            <w:hideMark/>
          </w:tcPr>
          <w:p w14:paraId="0A9A7919" w14:textId="77777777" w:rsidR="00416FA8" w:rsidRPr="009102D9" w:rsidRDefault="00416FA8" w:rsidP="004B6753">
            <w:pPr>
              <w:pStyle w:val="NoSpacing"/>
              <w:jc w:val="center"/>
              <w:rPr>
                <w:rFonts w:ascii="Times New Roman" w:hAnsi="Times New Roman" w:cs="Times New Roman"/>
                <w:sz w:val="18"/>
                <w:szCs w:val="18"/>
              </w:rPr>
            </w:pPr>
            <w:r w:rsidRPr="009102D9">
              <w:rPr>
                <w:rFonts w:ascii="Times New Roman" w:hAnsi="Times New Roman" w:cs="Times New Roman"/>
                <w:sz w:val="18"/>
                <w:szCs w:val="18"/>
              </w:rPr>
              <w:t>6.02</w:t>
            </w:r>
          </w:p>
        </w:tc>
        <w:tc>
          <w:tcPr>
            <w:tcW w:w="0" w:type="auto"/>
            <w:vAlign w:val="center"/>
            <w:hideMark/>
          </w:tcPr>
          <w:p w14:paraId="63247C50" w14:textId="77777777" w:rsidR="00416FA8" w:rsidRPr="009102D9" w:rsidRDefault="00416FA8" w:rsidP="004B6753">
            <w:pPr>
              <w:pStyle w:val="NoSpacing"/>
              <w:jc w:val="center"/>
              <w:rPr>
                <w:rFonts w:ascii="Times New Roman" w:hAnsi="Times New Roman" w:cs="Times New Roman"/>
                <w:sz w:val="18"/>
                <w:szCs w:val="18"/>
              </w:rPr>
            </w:pPr>
            <w:r w:rsidRPr="009102D9">
              <w:rPr>
                <w:rFonts w:ascii="Times New Roman" w:hAnsi="Times New Roman" w:cs="Times New Roman"/>
                <w:sz w:val="18"/>
                <w:szCs w:val="18"/>
              </w:rPr>
              <w:t>7.97</w:t>
            </w:r>
          </w:p>
        </w:tc>
        <w:tc>
          <w:tcPr>
            <w:tcW w:w="0" w:type="auto"/>
            <w:vAlign w:val="center"/>
            <w:hideMark/>
          </w:tcPr>
          <w:p w14:paraId="09C1E6CD" w14:textId="77777777" w:rsidR="00416FA8" w:rsidRPr="009102D9" w:rsidRDefault="00416FA8" w:rsidP="004B6753">
            <w:pPr>
              <w:pStyle w:val="NoSpacing"/>
              <w:jc w:val="center"/>
              <w:rPr>
                <w:rFonts w:ascii="Times New Roman" w:hAnsi="Times New Roman" w:cs="Times New Roman"/>
                <w:sz w:val="18"/>
                <w:szCs w:val="18"/>
              </w:rPr>
            </w:pPr>
            <w:r w:rsidRPr="009102D9">
              <w:rPr>
                <w:rFonts w:ascii="Times New Roman" w:hAnsi="Times New Roman" w:cs="Times New Roman"/>
                <w:sz w:val="18"/>
                <w:szCs w:val="18"/>
              </w:rPr>
              <w:t>1.98</w:t>
            </w:r>
          </w:p>
        </w:tc>
        <w:tc>
          <w:tcPr>
            <w:tcW w:w="0" w:type="auto"/>
            <w:vAlign w:val="center"/>
            <w:hideMark/>
          </w:tcPr>
          <w:p w14:paraId="6EC002DD" w14:textId="77777777" w:rsidR="00416FA8" w:rsidRPr="009102D9" w:rsidRDefault="00416FA8" w:rsidP="004B6753">
            <w:pPr>
              <w:pStyle w:val="NoSpacing"/>
              <w:jc w:val="center"/>
              <w:rPr>
                <w:rFonts w:ascii="Times New Roman" w:hAnsi="Times New Roman" w:cs="Times New Roman"/>
                <w:sz w:val="18"/>
                <w:szCs w:val="18"/>
              </w:rPr>
            </w:pPr>
            <w:r w:rsidRPr="009102D9">
              <w:rPr>
                <w:rFonts w:ascii="Times New Roman" w:hAnsi="Times New Roman" w:cs="Times New Roman"/>
                <w:sz w:val="18"/>
                <w:szCs w:val="18"/>
              </w:rPr>
              <w:t>1.83</w:t>
            </w:r>
          </w:p>
        </w:tc>
        <w:tc>
          <w:tcPr>
            <w:tcW w:w="1046" w:type="dxa"/>
            <w:vAlign w:val="center"/>
            <w:hideMark/>
          </w:tcPr>
          <w:p w14:paraId="573AC18F" w14:textId="77777777" w:rsidR="00416FA8" w:rsidRPr="009102D9" w:rsidRDefault="00416FA8" w:rsidP="004B6753">
            <w:pPr>
              <w:pStyle w:val="NoSpacing"/>
              <w:jc w:val="center"/>
              <w:rPr>
                <w:rFonts w:ascii="Times New Roman" w:hAnsi="Times New Roman" w:cs="Times New Roman"/>
                <w:sz w:val="18"/>
                <w:szCs w:val="18"/>
              </w:rPr>
            </w:pPr>
            <w:r w:rsidRPr="009102D9">
              <w:rPr>
                <w:rFonts w:ascii="Times New Roman" w:hAnsi="Times New Roman" w:cs="Times New Roman"/>
                <w:sz w:val="18"/>
                <w:szCs w:val="18"/>
              </w:rPr>
              <w:t>3.22</w:t>
            </w:r>
          </w:p>
        </w:tc>
        <w:tc>
          <w:tcPr>
            <w:tcW w:w="846" w:type="dxa"/>
            <w:vAlign w:val="center"/>
            <w:hideMark/>
          </w:tcPr>
          <w:p w14:paraId="04206CBC" w14:textId="77777777" w:rsidR="00416FA8" w:rsidRPr="009102D9" w:rsidRDefault="00416FA8" w:rsidP="004B6753">
            <w:pPr>
              <w:pStyle w:val="NoSpacing"/>
              <w:jc w:val="center"/>
              <w:rPr>
                <w:rFonts w:ascii="Times New Roman" w:hAnsi="Times New Roman" w:cs="Times New Roman"/>
                <w:sz w:val="18"/>
                <w:szCs w:val="18"/>
              </w:rPr>
            </w:pPr>
            <w:r w:rsidRPr="009102D9">
              <w:rPr>
                <w:rFonts w:ascii="Times New Roman" w:hAnsi="Times New Roman" w:cs="Times New Roman"/>
                <w:sz w:val="18"/>
                <w:szCs w:val="18"/>
              </w:rPr>
              <w:t>5.80</w:t>
            </w:r>
          </w:p>
        </w:tc>
        <w:tc>
          <w:tcPr>
            <w:tcW w:w="846" w:type="dxa"/>
            <w:vAlign w:val="center"/>
            <w:hideMark/>
          </w:tcPr>
          <w:p w14:paraId="6AF81D58" w14:textId="77777777" w:rsidR="00416FA8" w:rsidRPr="009102D9" w:rsidRDefault="00416FA8" w:rsidP="004B6753">
            <w:pPr>
              <w:pStyle w:val="NoSpacing"/>
              <w:jc w:val="center"/>
              <w:rPr>
                <w:rFonts w:ascii="Times New Roman" w:hAnsi="Times New Roman" w:cs="Times New Roman"/>
                <w:sz w:val="18"/>
                <w:szCs w:val="18"/>
              </w:rPr>
            </w:pPr>
            <w:r w:rsidRPr="009102D9">
              <w:rPr>
                <w:rFonts w:ascii="Times New Roman" w:hAnsi="Times New Roman" w:cs="Times New Roman"/>
                <w:sz w:val="18"/>
                <w:szCs w:val="18"/>
              </w:rPr>
              <w:t>20.80</w:t>
            </w:r>
          </w:p>
        </w:tc>
        <w:tc>
          <w:tcPr>
            <w:tcW w:w="1066" w:type="dxa"/>
            <w:vAlign w:val="center"/>
            <w:hideMark/>
          </w:tcPr>
          <w:p w14:paraId="4B8AA9E3" w14:textId="77777777" w:rsidR="00416FA8" w:rsidRPr="009102D9" w:rsidRDefault="00416FA8" w:rsidP="004B6753">
            <w:pPr>
              <w:pStyle w:val="NoSpacing"/>
              <w:jc w:val="center"/>
              <w:rPr>
                <w:rFonts w:ascii="Times New Roman" w:hAnsi="Times New Roman" w:cs="Times New Roman"/>
                <w:sz w:val="18"/>
                <w:szCs w:val="18"/>
              </w:rPr>
            </w:pPr>
            <w:r w:rsidRPr="009102D9">
              <w:rPr>
                <w:rFonts w:ascii="Times New Roman" w:hAnsi="Times New Roman" w:cs="Times New Roman"/>
                <w:sz w:val="18"/>
                <w:szCs w:val="18"/>
              </w:rPr>
              <w:t>29.07</w:t>
            </w:r>
          </w:p>
        </w:tc>
        <w:tc>
          <w:tcPr>
            <w:tcW w:w="1066" w:type="dxa"/>
            <w:vAlign w:val="center"/>
            <w:hideMark/>
          </w:tcPr>
          <w:p w14:paraId="21A4391E" w14:textId="77777777" w:rsidR="00416FA8" w:rsidRPr="009102D9" w:rsidRDefault="00416FA8" w:rsidP="004B6753">
            <w:pPr>
              <w:pStyle w:val="NoSpacing"/>
              <w:jc w:val="center"/>
              <w:rPr>
                <w:rFonts w:ascii="Times New Roman" w:hAnsi="Times New Roman" w:cs="Times New Roman"/>
                <w:sz w:val="18"/>
                <w:szCs w:val="18"/>
              </w:rPr>
            </w:pPr>
            <w:r w:rsidRPr="009102D9">
              <w:rPr>
                <w:rFonts w:ascii="Times New Roman" w:hAnsi="Times New Roman" w:cs="Times New Roman"/>
                <w:sz w:val="18"/>
                <w:szCs w:val="18"/>
              </w:rPr>
              <w:t>56.48</w:t>
            </w:r>
          </w:p>
        </w:tc>
      </w:tr>
      <w:tr w:rsidR="00416FA8" w:rsidRPr="009102D9" w14:paraId="211D2F19" w14:textId="77777777" w:rsidTr="004B6753">
        <w:trPr>
          <w:trHeight w:val="24"/>
        </w:trPr>
        <w:tc>
          <w:tcPr>
            <w:tcW w:w="1116" w:type="dxa"/>
            <w:hideMark/>
          </w:tcPr>
          <w:p w14:paraId="2D47B9FD" w14:textId="77777777" w:rsidR="00416FA8" w:rsidRPr="009102D9" w:rsidRDefault="00416FA8" w:rsidP="00B77C0B">
            <w:pPr>
              <w:pStyle w:val="NoSpacing"/>
              <w:rPr>
                <w:rFonts w:ascii="Times New Roman" w:hAnsi="Times New Roman" w:cs="Times New Roman"/>
                <w:sz w:val="18"/>
                <w:szCs w:val="18"/>
              </w:rPr>
            </w:pPr>
            <w:r w:rsidRPr="009102D9">
              <w:rPr>
                <w:rFonts w:ascii="Times New Roman" w:hAnsi="Times New Roman" w:cs="Times New Roman"/>
                <w:sz w:val="18"/>
                <w:szCs w:val="18"/>
              </w:rPr>
              <w:t>Punjab</w:t>
            </w:r>
          </w:p>
        </w:tc>
        <w:tc>
          <w:tcPr>
            <w:tcW w:w="796" w:type="dxa"/>
            <w:vAlign w:val="center"/>
            <w:hideMark/>
          </w:tcPr>
          <w:p w14:paraId="33B6E08C" w14:textId="77777777" w:rsidR="00416FA8" w:rsidRPr="009102D9" w:rsidRDefault="00416FA8" w:rsidP="004B6753">
            <w:pPr>
              <w:pStyle w:val="NoSpacing"/>
              <w:jc w:val="center"/>
              <w:rPr>
                <w:rFonts w:ascii="Times New Roman" w:hAnsi="Times New Roman" w:cs="Times New Roman"/>
                <w:sz w:val="18"/>
                <w:szCs w:val="18"/>
              </w:rPr>
            </w:pPr>
            <w:r w:rsidRPr="009102D9">
              <w:rPr>
                <w:rFonts w:ascii="Times New Roman" w:hAnsi="Times New Roman" w:cs="Times New Roman"/>
                <w:sz w:val="18"/>
                <w:szCs w:val="18"/>
              </w:rPr>
              <w:t>12.44</w:t>
            </w:r>
          </w:p>
        </w:tc>
        <w:tc>
          <w:tcPr>
            <w:tcW w:w="1066" w:type="dxa"/>
            <w:vAlign w:val="center"/>
            <w:hideMark/>
          </w:tcPr>
          <w:p w14:paraId="09D13933" w14:textId="77777777" w:rsidR="00416FA8" w:rsidRPr="009102D9" w:rsidRDefault="00416FA8" w:rsidP="004B6753">
            <w:pPr>
              <w:pStyle w:val="NoSpacing"/>
              <w:jc w:val="center"/>
              <w:rPr>
                <w:rFonts w:ascii="Times New Roman" w:hAnsi="Times New Roman" w:cs="Times New Roman"/>
                <w:sz w:val="18"/>
                <w:szCs w:val="18"/>
              </w:rPr>
            </w:pPr>
            <w:r w:rsidRPr="009102D9">
              <w:rPr>
                <w:rFonts w:ascii="Times New Roman" w:hAnsi="Times New Roman" w:cs="Times New Roman"/>
                <w:sz w:val="18"/>
                <w:szCs w:val="18"/>
              </w:rPr>
              <w:t>9.95</w:t>
            </w:r>
          </w:p>
        </w:tc>
        <w:tc>
          <w:tcPr>
            <w:tcW w:w="0" w:type="auto"/>
            <w:vAlign w:val="center"/>
            <w:hideMark/>
          </w:tcPr>
          <w:p w14:paraId="3A8C00F1" w14:textId="77777777" w:rsidR="00416FA8" w:rsidRPr="009102D9" w:rsidRDefault="00416FA8" w:rsidP="004B6753">
            <w:pPr>
              <w:pStyle w:val="NoSpacing"/>
              <w:jc w:val="center"/>
              <w:rPr>
                <w:rFonts w:ascii="Times New Roman" w:hAnsi="Times New Roman" w:cs="Times New Roman"/>
                <w:sz w:val="18"/>
                <w:szCs w:val="18"/>
              </w:rPr>
            </w:pPr>
            <w:r w:rsidRPr="009102D9">
              <w:rPr>
                <w:rFonts w:ascii="Times New Roman" w:hAnsi="Times New Roman" w:cs="Times New Roman"/>
                <w:sz w:val="18"/>
                <w:szCs w:val="18"/>
              </w:rPr>
              <w:t>1.59</w:t>
            </w:r>
          </w:p>
        </w:tc>
        <w:tc>
          <w:tcPr>
            <w:tcW w:w="0" w:type="auto"/>
            <w:vAlign w:val="center"/>
            <w:hideMark/>
          </w:tcPr>
          <w:p w14:paraId="280CE5DC" w14:textId="77777777" w:rsidR="00416FA8" w:rsidRPr="009102D9" w:rsidRDefault="00416FA8" w:rsidP="004B6753">
            <w:pPr>
              <w:pStyle w:val="NoSpacing"/>
              <w:jc w:val="center"/>
              <w:rPr>
                <w:rFonts w:ascii="Times New Roman" w:hAnsi="Times New Roman" w:cs="Times New Roman"/>
                <w:sz w:val="18"/>
                <w:szCs w:val="18"/>
              </w:rPr>
            </w:pPr>
            <w:r w:rsidRPr="009102D9">
              <w:rPr>
                <w:rFonts w:ascii="Times New Roman" w:hAnsi="Times New Roman" w:cs="Times New Roman"/>
                <w:sz w:val="18"/>
                <w:szCs w:val="18"/>
              </w:rPr>
              <w:t>2.18</w:t>
            </w:r>
          </w:p>
        </w:tc>
        <w:tc>
          <w:tcPr>
            <w:tcW w:w="0" w:type="auto"/>
            <w:vAlign w:val="center"/>
            <w:hideMark/>
          </w:tcPr>
          <w:p w14:paraId="11DAE744" w14:textId="77777777" w:rsidR="00416FA8" w:rsidRPr="009102D9" w:rsidRDefault="00416FA8" w:rsidP="004B6753">
            <w:pPr>
              <w:pStyle w:val="NoSpacing"/>
              <w:jc w:val="center"/>
              <w:rPr>
                <w:rFonts w:ascii="Times New Roman" w:hAnsi="Times New Roman" w:cs="Times New Roman"/>
                <w:sz w:val="18"/>
                <w:szCs w:val="18"/>
              </w:rPr>
            </w:pPr>
            <w:r w:rsidRPr="009102D9">
              <w:rPr>
                <w:rFonts w:ascii="Times New Roman" w:hAnsi="Times New Roman" w:cs="Times New Roman"/>
                <w:sz w:val="18"/>
                <w:szCs w:val="18"/>
              </w:rPr>
              <w:t>4.82</w:t>
            </w:r>
          </w:p>
        </w:tc>
        <w:tc>
          <w:tcPr>
            <w:tcW w:w="1256" w:type="dxa"/>
            <w:vAlign w:val="center"/>
            <w:hideMark/>
          </w:tcPr>
          <w:p w14:paraId="15E6D3FA" w14:textId="77777777" w:rsidR="00416FA8" w:rsidRPr="009102D9" w:rsidRDefault="00416FA8" w:rsidP="004B6753">
            <w:pPr>
              <w:pStyle w:val="NoSpacing"/>
              <w:jc w:val="center"/>
              <w:rPr>
                <w:rFonts w:ascii="Times New Roman" w:hAnsi="Times New Roman" w:cs="Times New Roman"/>
                <w:sz w:val="18"/>
                <w:szCs w:val="18"/>
              </w:rPr>
            </w:pPr>
            <w:r w:rsidRPr="009102D9">
              <w:rPr>
                <w:rFonts w:ascii="Times New Roman" w:hAnsi="Times New Roman" w:cs="Times New Roman"/>
                <w:sz w:val="18"/>
                <w:szCs w:val="18"/>
              </w:rPr>
              <w:t>1.59</w:t>
            </w:r>
          </w:p>
        </w:tc>
        <w:tc>
          <w:tcPr>
            <w:tcW w:w="1256" w:type="dxa"/>
            <w:vAlign w:val="center"/>
            <w:hideMark/>
          </w:tcPr>
          <w:p w14:paraId="535EE11B" w14:textId="77777777" w:rsidR="00416FA8" w:rsidRPr="009102D9" w:rsidRDefault="00416FA8" w:rsidP="004B6753">
            <w:pPr>
              <w:pStyle w:val="NoSpacing"/>
              <w:jc w:val="center"/>
              <w:rPr>
                <w:rFonts w:ascii="Times New Roman" w:hAnsi="Times New Roman" w:cs="Times New Roman"/>
                <w:sz w:val="18"/>
                <w:szCs w:val="18"/>
              </w:rPr>
            </w:pPr>
            <w:r w:rsidRPr="009102D9">
              <w:rPr>
                <w:rFonts w:ascii="Times New Roman" w:hAnsi="Times New Roman" w:cs="Times New Roman"/>
                <w:sz w:val="18"/>
                <w:szCs w:val="18"/>
              </w:rPr>
              <w:t>8.59</w:t>
            </w:r>
          </w:p>
        </w:tc>
        <w:tc>
          <w:tcPr>
            <w:tcW w:w="0" w:type="auto"/>
            <w:vAlign w:val="center"/>
            <w:hideMark/>
          </w:tcPr>
          <w:p w14:paraId="79EEA6FE" w14:textId="77777777" w:rsidR="00416FA8" w:rsidRPr="009102D9" w:rsidRDefault="00416FA8" w:rsidP="004B6753">
            <w:pPr>
              <w:pStyle w:val="NoSpacing"/>
              <w:jc w:val="center"/>
              <w:rPr>
                <w:rFonts w:ascii="Times New Roman" w:hAnsi="Times New Roman" w:cs="Times New Roman"/>
                <w:sz w:val="18"/>
                <w:szCs w:val="18"/>
              </w:rPr>
            </w:pPr>
            <w:r w:rsidRPr="009102D9">
              <w:rPr>
                <w:rFonts w:ascii="Times New Roman" w:hAnsi="Times New Roman" w:cs="Times New Roman"/>
                <w:sz w:val="18"/>
                <w:szCs w:val="18"/>
              </w:rPr>
              <w:t>15.79</w:t>
            </w:r>
          </w:p>
        </w:tc>
        <w:tc>
          <w:tcPr>
            <w:tcW w:w="0" w:type="auto"/>
            <w:vAlign w:val="center"/>
            <w:hideMark/>
          </w:tcPr>
          <w:p w14:paraId="5389447A" w14:textId="77777777" w:rsidR="00416FA8" w:rsidRPr="009102D9" w:rsidRDefault="00416FA8" w:rsidP="004B6753">
            <w:pPr>
              <w:pStyle w:val="NoSpacing"/>
              <w:jc w:val="center"/>
              <w:rPr>
                <w:rFonts w:ascii="Times New Roman" w:hAnsi="Times New Roman" w:cs="Times New Roman"/>
                <w:sz w:val="18"/>
                <w:szCs w:val="18"/>
              </w:rPr>
            </w:pPr>
            <w:r w:rsidRPr="009102D9">
              <w:rPr>
                <w:rFonts w:ascii="Times New Roman" w:hAnsi="Times New Roman" w:cs="Times New Roman"/>
                <w:sz w:val="18"/>
                <w:szCs w:val="18"/>
              </w:rPr>
              <w:t>2.66</w:t>
            </w:r>
          </w:p>
        </w:tc>
        <w:tc>
          <w:tcPr>
            <w:tcW w:w="0" w:type="auto"/>
            <w:vAlign w:val="center"/>
            <w:hideMark/>
          </w:tcPr>
          <w:p w14:paraId="5414CCDE" w14:textId="77777777" w:rsidR="00416FA8" w:rsidRPr="009102D9" w:rsidRDefault="00416FA8" w:rsidP="004B6753">
            <w:pPr>
              <w:pStyle w:val="NoSpacing"/>
              <w:jc w:val="center"/>
              <w:rPr>
                <w:rFonts w:ascii="Times New Roman" w:hAnsi="Times New Roman" w:cs="Times New Roman"/>
                <w:sz w:val="18"/>
                <w:szCs w:val="18"/>
              </w:rPr>
            </w:pPr>
            <w:r w:rsidRPr="009102D9">
              <w:rPr>
                <w:rFonts w:ascii="Times New Roman" w:hAnsi="Times New Roman" w:cs="Times New Roman"/>
                <w:sz w:val="18"/>
                <w:szCs w:val="18"/>
              </w:rPr>
              <w:t>1.82</w:t>
            </w:r>
          </w:p>
        </w:tc>
        <w:tc>
          <w:tcPr>
            <w:tcW w:w="1046" w:type="dxa"/>
            <w:vAlign w:val="center"/>
            <w:hideMark/>
          </w:tcPr>
          <w:p w14:paraId="3D04449A" w14:textId="77777777" w:rsidR="00416FA8" w:rsidRPr="009102D9" w:rsidRDefault="00416FA8" w:rsidP="004B6753">
            <w:pPr>
              <w:pStyle w:val="NoSpacing"/>
              <w:jc w:val="center"/>
              <w:rPr>
                <w:rFonts w:ascii="Times New Roman" w:hAnsi="Times New Roman" w:cs="Times New Roman"/>
                <w:sz w:val="18"/>
                <w:szCs w:val="18"/>
              </w:rPr>
            </w:pPr>
            <w:r w:rsidRPr="009102D9">
              <w:rPr>
                <w:rFonts w:ascii="Times New Roman" w:hAnsi="Times New Roman" w:cs="Times New Roman"/>
                <w:sz w:val="18"/>
                <w:szCs w:val="18"/>
              </w:rPr>
              <w:t>4.49</w:t>
            </w:r>
          </w:p>
        </w:tc>
        <w:tc>
          <w:tcPr>
            <w:tcW w:w="846" w:type="dxa"/>
            <w:vAlign w:val="center"/>
            <w:hideMark/>
          </w:tcPr>
          <w:p w14:paraId="67C8AD9F" w14:textId="77777777" w:rsidR="00416FA8" w:rsidRPr="009102D9" w:rsidRDefault="00416FA8" w:rsidP="004B6753">
            <w:pPr>
              <w:pStyle w:val="NoSpacing"/>
              <w:jc w:val="center"/>
              <w:rPr>
                <w:rFonts w:ascii="Times New Roman" w:hAnsi="Times New Roman" w:cs="Times New Roman"/>
                <w:sz w:val="18"/>
                <w:szCs w:val="18"/>
              </w:rPr>
            </w:pPr>
            <w:r w:rsidRPr="009102D9">
              <w:rPr>
                <w:rFonts w:ascii="Times New Roman" w:hAnsi="Times New Roman" w:cs="Times New Roman"/>
                <w:sz w:val="18"/>
                <w:szCs w:val="18"/>
              </w:rPr>
              <w:t>5.02</w:t>
            </w:r>
          </w:p>
        </w:tc>
        <w:tc>
          <w:tcPr>
            <w:tcW w:w="846" w:type="dxa"/>
            <w:vAlign w:val="center"/>
            <w:hideMark/>
          </w:tcPr>
          <w:p w14:paraId="18B99943" w14:textId="77777777" w:rsidR="00416FA8" w:rsidRPr="009102D9" w:rsidRDefault="00416FA8" w:rsidP="004B6753">
            <w:pPr>
              <w:pStyle w:val="NoSpacing"/>
              <w:jc w:val="center"/>
              <w:rPr>
                <w:rFonts w:ascii="Times New Roman" w:hAnsi="Times New Roman" w:cs="Times New Roman"/>
                <w:sz w:val="18"/>
                <w:szCs w:val="18"/>
              </w:rPr>
            </w:pPr>
            <w:r w:rsidRPr="009102D9">
              <w:rPr>
                <w:rFonts w:ascii="Times New Roman" w:hAnsi="Times New Roman" w:cs="Times New Roman"/>
                <w:sz w:val="18"/>
                <w:szCs w:val="18"/>
              </w:rPr>
              <w:t>29.78</w:t>
            </w:r>
          </w:p>
        </w:tc>
        <w:tc>
          <w:tcPr>
            <w:tcW w:w="1066" w:type="dxa"/>
            <w:vAlign w:val="center"/>
            <w:hideMark/>
          </w:tcPr>
          <w:p w14:paraId="2339536B" w14:textId="77777777" w:rsidR="00416FA8" w:rsidRPr="009102D9" w:rsidRDefault="00416FA8" w:rsidP="004B6753">
            <w:pPr>
              <w:pStyle w:val="NoSpacing"/>
              <w:jc w:val="center"/>
              <w:rPr>
                <w:rFonts w:ascii="Times New Roman" w:hAnsi="Times New Roman" w:cs="Times New Roman"/>
                <w:sz w:val="18"/>
                <w:szCs w:val="18"/>
              </w:rPr>
            </w:pPr>
            <w:r w:rsidRPr="009102D9">
              <w:rPr>
                <w:rFonts w:ascii="Times New Roman" w:hAnsi="Times New Roman" w:cs="Times New Roman"/>
                <w:sz w:val="18"/>
                <w:szCs w:val="18"/>
              </w:rPr>
              <w:t>39.96</w:t>
            </w:r>
          </w:p>
        </w:tc>
        <w:tc>
          <w:tcPr>
            <w:tcW w:w="1066" w:type="dxa"/>
            <w:vAlign w:val="center"/>
            <w:hideMark/>
          </w:tcPr>
          <w:p w14:paraId="6941EC90" w14:textId="77777777" w:rsidR="00416FA8" w:rsidRPr="009102D9" w:rsidRDefault="00416FA8" w:rsidP="004B6753">
            <w:pPr>
              <w:pStyle w:val="NoSpacing"/>
              <w:jc w:val="center"/>
              <w:rPr>
                <w:rFonts w:ascii="Times New Roman" w:hAnsi="Times New Roman" w:cs="Times New Roman"/>
                <w:sz w:val="18"/>
                <w:szCs w:val="18"/>
              </w:rPr>
            </w:pPr>
            <w:r w:rsidRPr="009102D9">
              <w:rPr>
                <w:rFonts w:ascii="Times New Roman" w:hAnsi="Times New Roman" w:cs="Times New Roman"/>
                <w:sz w:val="18"/>
                <w:szCs w:val="18"/>
              </w:rPr>
              <w:t>71.59</w:t>
            </w:r>
          </w:p>
        </w:tc>
      </w:tr>
      <w:tr w:rsidR="00416FA8" w:rsidRPr="009102D9" w14:paraId="7650B218" w14:textId="77777777" w:rsidTr="004B6753">
        <w:trPr>
          <w:trHeight w:val="24"/>
        </w:trPr>
        <w:tc>
          <w:tcPr>
            <w:tcW w:w="1116" w:type="dxa"/>
            <w:hideMark/>
          </w:tcPr>
          <w:p w14:paraId="77A4A34D" w14:textId="77777777" w:rsidR="00416FA8" w:rsidRPr="009102D9" w:rsidRDefault="00416FA8" w:rsidP="00B77C0B">
            <w:pPr>
              <w:pStyle w:val="NoSpacing"/>
              <w:rPr>
                <w:rFonts w:ascii="Times New Roman" w:hAnsi="Times New Roman" w:cs="Times New Roman"/>
                <w:sz w:val="18"/>
                <w:szCs w:val="18"/>
              </w:rPr>
            </w:pPr>
            <w:r w:rsidRPr="009102D9">
              <w:rPr>
                <w:rFonts w:ascii="Times New Roman" w:hAnsi="Times New Roman" w:cs="Times New Roman"/>
                <w:sz w:val="18"/>
                <w:szCs w:val="18"/>
              </w:rPr>
              <w:t>Rajasthan</w:t>
            </w:r>
          </w:p>
        </w:tc>
        <w:tc>
          <w:tcPr>
            <w:tcW w:w="796" w:type="dxa"/>
            <w:vAlign w:val="center"/>
            <w:hideMark/>
          </w:tcPr>
          <w:p w14:paraId="0219BD48" w14:textId="77777777" w:rsidR="00416FA8" w:rsidRPr="009102D9" w:rsidRDefault="00416FA8" w:rsidP="004B6753">
            <w:pPr>
              <w:pStyle w:val="NoSpacing"/>
              <w:jc w:val="center"/>
              <w:rPr>
                <w:rFonts w:ascii="Times New Roman" w:hAnsi="Times New Roman" w:cs="Times New Roman"/>
                <w:sz w:val="18"/>
                <w:szCs w:val="18"/>
              </w:rPr>
            </w:pPr>
            <w:r w:rsidRPr="009102D9">
              <w:rPr>
                <w:rFonts w:ascii="Times New Roman" w:hAnsi="Times New Roman" w:cs="Times New Roman"/>
                <w:sz w:val="18"/>
                <w:szCs w:val="18"/>
              </w:rPr>
              <w:t>9.77</w:t>
            </w:r>
          </w:p>
        </w:tc>
        <w:tc>
          <w:tcPr>
            <w:tcW w:w="1066" w:type="dxa"/>
            <w:vAlign w:val="center"/>
            <w:hideMark/>
          </w:tcPr>
          <w:p w14:paraId="307F33D2" w14:textId="77777777" w:rsidR="00416FA8" w:rsidRPr="009102D9" w:rsidRDefault="00416FA8" w:rsidP="004B6753">
            <w:pPr>
              <w:pStyle w:val="NoSpacing"/>
              <w:jc w:val="center"/>
              <w:rPr>
                <w:rFonts w:ascii="Times New Roman" w:hAnsi="Times New Roman" w:cs="Times New Roman"/>
                <w:sz w:val="18"/>
                <w:szCs w:val="18"/>
              </w:rPr>
            </w:pPr>
            <w:r w:rsidRPr="009102D9">
              <w:rPr>
                <w:rFonts w:ascii="Times New Roman" w:hAnsi="Times New Roman" w:cs="Times New Roman"/>
                <w:sz w:val="18"/>
                <w:szCs w:val="18"/>
              </w:rPr>
              <w:t>3.02</w:t>
            </w:r>
          </w:p>
        </w:tc>
        <w:tc>
          <w:tcPr>
            <w:tcW w:w="0" w:type="auto"/>
            <w:vAlign w:val="center"/>
            <w:hideMark/>
          </w:tcPr>
          <w:p w14:paraId="1AF3CFC4" w14:textId="77777777" w:rsidR="00416FA8" w:rsidRPr="009102D9" w:rsidRDefault="00416FA8" w:rsidP="004B6753">
            <w:pPr>
              <w:pStyle w:val="NoSpacing"/>
              <w:jc w:val="center"/>
              <w:rPr>
                <w:rFonts w:ascii="Times New Roman" w:hAnsi="Times New Roman" w:cs="Times New Roman"/>
                <w:sz w:val="18"/>
                <w:szCs w:val="18"/>
              </w:rPr>
            </w:pPr>
            <w:r w:rsidRPr="009102D9">
              <w:rPr>
                <w:rFonts w:ascii="Times New Roman" w:hAnsi="Times New Roman" w:cs="Times New Roman"/>
                <w:sz w:val="18"/>
                <w:szCs w:val="18"/>
              </w:rPr>
              <w:t>2.22</w:t>
            </w:r>
          </w:p>
        </w:tc>
        <w:tc>
          <w:tcPr>
            <w:tcW w:w="0" w:type="auto"/>
            <w:vAlign w:val="center"/>
            <w:hideMark/>
          </w:tcPr>
          <w:p w14:paraId="16765FD5" w14:textId="77777777" w:rsidR="00416FA8" w:rsidRPr="009102D9" w:rsidRDefault="00416FA8" w:rsidP="004B6753">
            <w:pPr>
              <w:pStyle w:val="NoSpacing"/>
              <w:jc w:val="center"/>
              <w:rPr>
                <w:rFonts w:ascii="Times New Roman" w:hAnsi="Times New Roman" w:cs="Times New Roman"/>
                <w:sz w:val="18"/>
                <w:szCs w:val="18"/>
              </w:rPr>
            </w:pPr>
            <w:r w:rsidRPr="009102D9">
              <w:rPr>
                <w:rFonts w:ascii="Times New Roman" w:hAnsi="Times New Roman" w:cs="Times New Roman"/>
                <w:sz w:val="18"/>
                <w:szCs w:val="18"/>
              </w:rPr>
              <w:t>1.61</w:t>
            </w:r>
          </w:p>
        </w:tc>
        <w:tc>
          <w:tcPr>
            <w:tcW w:w="0" w:type="auto"/>
            <w:vAlign w:val="center"/>
            <w:hideMark/>
          </w:tcPr>
          <w:p w14:paraId="564728BF" w14:textId="77777777" w:rsidR="00416FA8" w:rsidRPr="009102D9" w:rsidRDefault="00416FA8" w:rsidP="004B6753">
            <w:pPr>
              <w:pStyle w:val="NoSpacing"/>
              <w:jc w:val="center"/>
              <w:rPr>
                <w:rFonts w:ascii="Times New Roman" w:hAnsi="Times New Roman" w:cs="Times New Roman"/>
                <w:sz w:val="18"/>
                <w:szCs w:val="18"/>
              </w:rPr>
            </w:pPr>
            <w:r w:rsidRPr="009102D9">
              <w:rPr>
                <w:rFonts w:ascii="Times New Roman" w:hAnsi="Times New Roman" w:cs="Times New Roman"/>
                <w:sz w:val="18"/>
                <w:szCs w:val="18"/>
              </w:rPr>
              <w:t>3.76</w:t>
            </w:r>
          </w:p>
        </w:tc>
        <w:tc>
          <w:tcPr>
            <w:tcW w:w="1256" w:type="dxa"/>
            <w:vAlign w:val="center"/>
            <w:hideMark/>
          </w:tcPr>
          <w:p w14:paraId="02F31456" w14:textId="77777777" w:rsidR="00416FA8" w:rsidRPr="009102D9" w:rsidRDefault="00416FA8" w:rsidP="004B6753">
            <w:pPr>
              <w:pStyle w:val="NoSpacing"/>
              <w:jc w:val="center"/>
              <w:rPr>
                <w:rFonts w:ascii="Times New Roman" w:hAnsi="Times New Roman" w:cs="Times New Roman"/>
                <w:sz w:val="18"/>
                <w:szCs w:val="18"/>
              </w:rPr>
            </w:pPr>
            <w:r w:rsidRPr="009102D9">
              <w:rPr>
                <w:rFonts w:ascii="Times New Roman" w:hAnsi="Times New Roman" w:cs="Times New Roman"/>
                <w:sz w:val="18"/>
                <w:szCs w:val="18"/>
              </w:rPr>
              <w:t>1.13</w:t>
            </w:r>
          </w:p>
        </w:tc>
        <w:tc>
          <w:tcPr>
            <w:tcW w:w="1256" w:type="dxa"/>
            <w:vAlign w:val="center"/>
            <w:hideMark/>
          </w:tcPr>
          <w:p w14:paraId="425FDEC4" w14:textId="77777777" w:rsidR="00416FA8" w:rsidRPr="009102D9" w:rsidRDefault="00416FA8" w:rsidP="004B6753">
            <w:pPr>
              <w:pStyle w:val="NoSpacing"/>
              <w:jc w:val="center"/>
              <w:rPr>
                <w:rFonts w:ascii="Times New Roman" w:hAnsi="Times New Roman" w:cs="Times New Roman"/>
                <w:sz w:val="18"/>
                <w:szCs w:val="18"/>
              </w:rPr>
            </w:pPr>
            <w:r w:rsidRPr="009102D9">
              <w:rPr>
                <w:rFonts w:ascii="Times New Roman" w:hAnsi="Times New Roman" w:cs="Times New Roman"/>
                <w:sz w:val="18"/>
                <w:szCs w:val="18"/>
              </w:rPr>
              <w:t>6.50</w:t>
            </w:r>
          </w:p>
        </w:tc>
        <w:tc>
          <w:tcPr>
            <w:tcW w:w="0" w:type="auto"/>
            <w:vAlign w:val="center"/>
            <w:hideMark/>
          </w:tcPr>
          <w:p w14:paraId="72F1CF88" w14:textId="77777777" w:rsidR="00416FA8" w:rsidRPr="009102D9" w:rsidRDefault="00416FA8" w:rsidP="004B6753">
            <w:pPr>
              <w:pStyle w:val="NoSpacing"/>
              <w:jc w:val="center"/>
              <w:rPr>
                <w:rFonts w:ascii="Times New Roman" w:hAnsi="Times New Roman" w:cs="Times New Roman"/>
                <w:sz w:val="18"/>
                <w:szCs w:val="18"/>
              </w:rPr>
            </w:pPr>
            <w:r w:rsidRPr="009102D9">
              <w:rPr>
                <w:rFonts w:ascii="Times New Roman" w:hAnsi="Times New Roman" w:cs="Times New Roman"/>
                <w:sz w:val="18"/>
                <w:szCs w:val="18"/>
              </w:rPr>
              <w:t>11.31</w:t>
            </w:r>
          </w:p>
        </w:tc>
        <w:tc>
          <w:tcPr>
            <w:tcW w:w="0" w:type="auto"/>
            <w:vAlign w:val="center"/>
            <w:hideMark/>
          </w:tcPr>
          <w:p w14:paraId="41B38C71" w14:textId="77777777" w:rsidR="00416FA8" w:rsidRPr="009102D9" w:rsidRDefault="00416FA8" w:rsidP="004B6753">
            <w:pPr>
              <w:pStyle w:val="NoSpacing"/>
              <w:jc w:val="center"/>
              <w:rPr>
                <w:rFonts w:ascii="Times New Roman" w:hAnsi="Times New Roman" w:cs="Times New Roman"/>
                <w:sz w:val="18"/>
                <w:szCs w:val="18"/>
              </w:rPr>
            </w:pPr>
            <w:r w:rsidRPr="009102D9">
              <w:rPr>
                <w:rFonts w:ascii="Times New Roman" w:hAnsi="Times New Roman" w:cs="Times New Roman"/>
                <w:sz w:val="18"/>
                <w:szCs w:val="18"/>
              </w:rPr>
              <w:t>3.06</w:t>
            </w:r>
          </w:p>
        </w:tc>
        <w:tc>
          <w:tcPr>
            <w:tcW w:w="0" w:type="auto"/>
            <w:vAlign w:val="center"/>
            <w:hideMark/>
          </w:tcPr>
          <w:p w14:paraId="201FA498" w14:textId="77777777" w:rsidR="00416FA8" w:rsidRPr="009102D9" w:rsidRDefault="00416FA8" w:rsidP="004B6753">
            <w:pPr>
              <w:pStyle w:val="NoSpacing"/>
              <w:jc w:val="center"/>
              <w:rPr>
                <w:rFonts w:ascii="Times New Roman" w:hAnsi="Times New Roman" w:cs="Times New Roman"/>
                <w:sz w:val="18"/>
                <w:szCs w:val="18"/>
              </w:rPr>
            </w:pPr>
            <w:r w:rsidRPr="009102D9">
              <w:rPr>
                <w:rFonts w:ascii="Times New Roman" w:hAnsi="Times New Roman" w:cs="Times New Roman"/>
                <w:sz w:val="18"/>
                <w:szCs w:val="18"/>
              </w:rPr>
              <w:t>4.29</w:t>
            </w:r>
          </w:p>
        </w:tc>
        <w:tc>
          <w:tcPr>
            <w:tcW w:w="1046" w:type="dxa"/>
            <w:vAlign w:val="center"/>
            <w:hideMark/>
          </w:tcPr>
          <w:p w14:paraId="78FA1104" w14:textId="77777777" w:rsidR="00416FA8" w:rsidRPr="009102D9" w:rsidRDefault="00416FA8" w:rsidP="004B6753">
            <w:pPr>
              <w:pStyle w:val="NoSpacing"/>
              <w:jc w:val="center"/>
              <w:rPr>
                <w:rFonts w:ascii="Times New Roman" w:hAnsi="Times New Roman" w:cs="Times New Roman"/>
                <w:sz w:val="18"/>
                <w:szCs w:val="18"/>
              </w:rPr>
            </w:pPr>
            <w:r w:rsidRPr="009102D9">
              <w:rPr>
                <w:rFonts w:ascii="Times New Roman" w:hAnsi="Times New Roman" w:cs="Times New Roman"/>
                <w:sz w:val="18"/>
                <w:szCs w:val="18"/>
              </w:rPr>
              <w:t>2.89</w:t>
            </w:r>
          </w:p>
        </w:tc>
        <w:tc>
          <w:tcPr>
            <w:tcW w:w="846" w:type="dxa"/>
            <w:vAlign w:val="center"/>
            <w:hideMark/>
          </w:tcPr>
          <w:p w14:paraId="2C6BB054" w14:textId="77777777" w:rsidR="00416FA8" w:rsidRPr="009102D9" w:rsidRDefault="00416FA8" w:rsidP="004B6753">
            <w:pPr>
              <w:pStyle w:val="NoSpacing"/>
              <w:jc w:val="center"/>
              <w:rPr>
                <w:rFonts w:ascii="Times New Roman" w:hAnsi="Times New Roman" w:cs="Times New Roman"/>
                <w:sz w:val="18"/>
                <w:szCs w:val="18"/>
              </w:rPr>
            </w:pPr>
            <w:r w:rsidRPr="009102D9">
              <w:rPr>
                <w:rFonts w:ascii="Times New Roman" w:hAnsi="Times New Roman" w:cs="Times New Roman"/>
                <w:sz w:val="18"/>
                <w:szCs w:val="18"/>
              </w:rPr>
              <w:t>3.25</w:t>
            </w:r>
          </w:p>
        </w:tc>
        <w:tc>
          <w:tcPr>
            <w:tcW w:w="846" w:type="dxa"/>
            <w:vAlign w:val="center"/>
            <w:hideMark/>
          </w:tcPr>
          <w:p w14:paraId="3A585351" w14:textId="77777777" w:rsidR="00416FA8" w:rsidRPr="009102D9" w:rsidRDefault="00416FA8" w:rsidP="004B6753">
            <w:pPr>
              <w:pStyle w:val="NoSpacing"/>
              <w:jc w:val="center"/>
              <w:rPr>
                <w:rFonts w:ascii="Times New Roman" w:hAnsi="Times New Roman" w:cs="Times New Roman"/>
                <w:sz w:val="18"/>
                <w:szCs w:val="18"/>
              </w:rPr>
            </w:pPr>
            <w:r w:rsidRPr="009102D9">
              <w:rPr>
                <w:rFonts w:ascii="Times New Roman" w:hAnsi="Times New Roman" w:cs="Times New Roman"/>
                <w:sz w:val="18"/>
                <w:szCs w:val="18"/>
              </w:rPr>
              <w:t>24.80</w:t>
            </w:r>
          </w:p>
        </w:tc>
        <w:tc>
          <w:tcPr>
            <w:tcW w:w="1066" w:type="dxa"/>
            <w:vAlign w:val="center"/>
            <w:hideMark/>
          </w:tcPr>
          <w:p w14:paraId="69812B3B" w14:textId="77777777" w:rsidR="00416FA8" w:rsidRPr="009102D9" w:rsidRDefault="00416FA8" w:rsidP="004B6753">
            <w:pPr>
              <w:pStyle w:val="NoSpacing"/>
              <w:jc w:val="center"/>
              <w:rPr>
                <w:rFonts w:ascii="Times New Roman" w:hAnsi="Times New Roman" w:cs="Times New Roman"/>
                <w:sz w:val="18"/>
                <w:szCs w:val="18"/>
              </w:rPr>
            </w:pPr>
            <w:r w:rsidRPr="009102D9">
              <w:rPr>
                <w:rFonts w:ascii="Times New Roman" w:hAnsi="Times New Roman" w:cs="Times New Roman"/>
                <w:sz w:val="18"/>
                <w:szCs w:val="18"/>
              </w:rPr>
              <w:t>33.52</w:t>
            </w:r>
          </w:p>
        </w:tc>
        <w:tc>
          <w:tcPr>
            <w:tcW w:w="1066" w:type="dxa"/>
            <w:vAlign w:val="center"/>
            <w:hideMark/>
          </w:tcPr>
          <w:p w14:paraId="1B646A5A" w14:textId="77777777" w:rsidR="00416FA8" w:rsidRPr="009102D9" w:rsidRDefault="00416FA8" w:rsidP="004B6753">
            <w:pPr>
              <w:pStyle w:val="NoSpacing"/>
              <w:jc w:val="center"/>
              <w:rPr>
                <w:rFonts w:ascii="Times New Roman" w:hAnsi="Times New Roman" w:cs="Times New Roman"/>
                <w:sz w:val="18"/>
                <w:szCs w:val="18"/>
              </w:rPr>
            </w:pPr>
            <w:r w:rsidRPr="009102D9">
              <w:rPr>
                <w:rFonts w:ascii="Times New Roman" w:hAnsi="Times New Roman" w:cs="Times New Roman"/>
                <w:sz w:val="18"/>
                <w:szCs w:val="18"/>
              </w:rPr>
              <w:t>56.95</w:t>
            </w:r>
          </w:p>
        </w:tc>
      </w:tr>
      <w:tr w:rsidR="00416FA8" w:rsidRPr="009102D9" w14:paraId="4D337C61" w14:textId="77777777" w:rsidTr="004B6753">
        <w:trPr>
          <w:trHeight w:val="24"/>
        </w:trPr>
        <w:tc>
          <w:tcPr>
            <w:tcW w:w="1116" w:type="dxa"/>
            <w:hideMark/>
          </w:tcPr>
          <w:p w14:paraId="10CD33CA" w14:textId="77777777" w:rsidR="00416FA8" w:rsidRPr="009102D9" w:rsidRDefault="00416FA8" w:rsidP="00B77C0B">
            <w:pPr>
              <w:pStyle w:val="NoSpacing"/>
              <w:rPr>
                <w:rFonts w:ascii="Times New Roman" w:hAnsi="Times New Roman" w:cs="Times New Roman"/>
                <w:sz w:val="18"/>
                <w:szCs w:val="18"/>
              </w:rPr>
            </w:pPr>
            <w:r w:rsidRPr="009102D9">
              <w:rPr>
                <w:rFonts w:ascii="Times New Roman" w:hAnsi="Times New Roman" w:cs="Times New Roman"/>
                <w:sz w:val="18"/>
                <w:szCs w:val="18"/>
              </w:rPr>
              <w:t>Tamil Nadu</w:t>
            </w:r>
          </w:p>
        </w:tc>
        <w:tc>
          <w:tcPr>
            <w:tcW w:w="796" w:type="dxa"/>
            <w:vAlign w:val="center"/>
            <w:hideMark/>
          </w:tcPr>
          <w:p w14:paraId="2B48839B" w14:textId="77777777" w:rsidR="00416FA8" w:rsidRPr="009102D9" w:rsidRDefault="00416FA8" w:rsidP="004B6753">
            <w:pPr>
              <w:pStyle w:val="NoSpacing"/>
              <w:jc w:val="center"/>
              <w:rPr>
                <w:rFonts w:ascii="Times New Roman" w:hAnsi="Times New Roman" w:cs="Times New Roman"/>
                <w:sz w:val="18"/>
                <w:szCs w:val="18"/>
              </w:rPr>
            </w:pPr>
            <w:r w:rsidRPr="009102D9">
              <w:rPr>
                <w:rFonts w:ascii="Times New Roman" w:hAnsi="Times New Roman" w:cs="Times New Roman"/>
                <w:sz w:val="18"/>
                <w:szCs w:val="18"/>
              </w:rPr>
              <w:t>8.20</w:t>
            </w:r>
          </w:p>
        </w:tc>
        <w:tc>
          <w:tcPr>
            <w:tcW w:w="1066" w:type="dxa"/>
            <w:vAlign w:val="center"/>
            <w:hideMark/>
          </w:tcPr>
          <w:p w14:paraId="17EDA621" w14:textId="77777777" w:rsidR="00416FA8" w:rsidRPr="009102D9" w:rsidRDefault="00416FA8" w:rsidP="004B6753">
            <w:pPr>
              <w:pStyle w:val="NoSpacing"/>
              <w:jc w:val="center"/>
              <w:rPr>
                <w:rFonts w:ascii="Times New Roman" w:hAnsi="Times New Roman" w:cs="Times New Roman"/>
                <w:sz w:val="18"/>
                <w:szCs w:val="18"/>
              </w:rPr>
            </w:pPr>
            <w:r w:rsidRPr="009102D9">
              <w:rPr>
                <w:rFonts w:ascii="Times New Roman" w:hAnsi="Times New Roman" w:cs="Times New Roman"/>
                <w:sz w:val="18"/>
                <w:szCs w:val="18"/>
              </w:rPr>
              <w:t>4.95</w:t>
            </w:r>
          </w:p>
        </w:tc>
        <w:tc>
          <w:tcPr>
            <w:tcW w:w="0" w:type="auto"/>
            <w:vAlign w:val="center"/>
            <w:hideMark/>
          </w:tcPr>
          <w:p w14:paraId="130B0B25" w14:textId="77777777" w:rsidR="00416FA8" w:rsidRPr="009102D9" w:rsidRDefault="00416FA8" w:rsidP="004B6753">
            <w:pPr>
              <w:pStyle w:val="NoSpacing"/>
              <w:jc w:val="center"/>
              <w:rPr>
                <w:rFonts w:ascii="Times New Roman" w:hAnsi="Times New Roman" w:cs="Times New Roman"/>
                <w:sz w:val="18"/>
                <w:szCs w:val="18"/>
              </w:rPr>
            </w:pPr>
            <w:r w:rsidRPr="009102D9">
              <w:rPr>
                <w:rFonts w:ascii="Times New Roman" w:hAnsi="Times New Roman" w:cs="Times New Roman"/>
                <w:sz w:val="18"/>
                <w:szCs w:val="18"/>
              </w:rPr>
              <w:t>1.14</w:t>
            </w:r>
          </w:p>
        </w:tc>
        <w:tc>
          <w:tcPr>
            <w:tcW w:w="0" w:type="auto"/>
            <w:vAlign w:val="center"/>
            <w:hideMark/>
          </w:tcPr>
          <w:p w14:paraId="29B74509" w14:textId="77777777" w:rsidR="00416FA8" w:rsidRPr="009102D9" w:rsidRDefault="00416FA8" w:rsidP="004B6753">
            <w:pPr>
              <w:pStyle w:val="NoSpacing"/>
              <w:jc w:val="center"/>
              <w:rPr>
                <w:rFonts w:ascii="Times New Roman" w:hAnsi="Times New Roman" w:cs="Times New Roman"/>
                <w:sz w:val="18"/>
                <w:szCs w:val="18"/>
              </w:rPr>
            </w:pPr>
            <w:r w:rsidRPr="009102D9">
              <w:rPr>
                <w:rFonts w:ascii="Times New Roman" w:hAnsi="Times New Roman" w:cs="Times New Roman"/>
                <w:sz w:val="18"/>
                <w:szCs w:val="18"/>
              </w:rPr>
              <w:t>2.79</w:t>
            </w:r>
          </w:p>
        </w:tc>
        <w:tc>
          <w:tcPr>
            <w:tcW w:w="0" w:type="auto"/>
            <w:vAlign w:val="center"/>
            <w:hideMark/>
          </w:tcPr>
          <w:p w14:paraId="76E045C1" w14:textId="77777777" w:rsidR="00416FA8" w:rsidRPr="009102D9" w:rsidRDefault="00416FA8" w:rsidP="004B6753">
            <w:pPr>
              <w:pStyle w:val="NoSpacing"/>
              <w:jc w:val="center"/>
              <w:rPr>
                <w:rFonts w:ascii="Times New Roman" w:hAnsi="Times New Roman" w:cs="Times New Roman"/>
                <w:sz w:val="18"/>
                <w:szCs w:val="18"/>
              </w:rPr>
            </w:pPr>
            <w:r w:rsidRPr="009102D9">
              <w:rPr>
                <w:rFonts w:ascii="Times New Roman" w:hAnsi="Times New Roman" w:cs="Times New Roman"/>
                <w:sz w:val="18"/>
                <w:szCs w:val="18"/>
              </w:rPr>
              <w:t>3.05</w:t>
            </w:r>
          </w:p>
        </w:tc>
        <w:tc>
          <w:tcPr>
            <w:tcW w:w="1256" w:type="dxa"/>
            <w:vAlign w:val="center"/>
            <w:hideMark/>
          </w:tcPr>
          <w:p w14:paraId="14E0F500" w14:textId="77777777" w:rsidR="00416FA8" w:rsidRPr="009102D9" w:rsidRDefault="00416FA8" w:rsidP="004B6753">
            <w:pPr>
              <w:pStyle w:val="NoSpacing"/>
              <w:jc w:val="center"/>
              <w:rPr>
                <w:rFonts w:ascii="Times New Roman" w:hAnsi="Times New Roman" w:cs="Times New Roman"/>
                <w:sz w:val="18"/>
                <w:szCs w:val="18"/>
              </w:rPr>
            </w:pPr>
            <w:r w:rsidRPr="009102D9">
              <w:rPr>
                <w:rFonts w:ascii="Times New Roman" w:hAnsi="Times New Roman" w:cs="Times New Roman"/>
                <w:sz w:val="18"/>
                <w:szCs w:val="18"/>
              </w:rPr>
              <w:t>1.57</w:t>
            </w:r>
          </w:p>
        </w:tc>
        <w:tc>
          <w:tcPr>
            <w:tcW w:w="1256" w:type="dxa"/>
            <w:vAlign w:val="center"/>
            <w:hideMark/>
          </w:tcPr>
          <w:p w14:paraId="1523CC75" w14:textId="77777777" w:rsidR="00416FA8" w:rsidRPr="009102D9" w:rsidRDefault="00416FA8" w:rsidP="004B6753">
            <w:pPr>
              <w:pStyle w:val="NoSpacing"/>
              <w:jc w:val="center"/>
              <w:rPr>
                <w:rFonts w:ascii="Times New Roman" w:hAnsi="Times New Roman" w:cs="Times New Roman"/>
                <w:sz w:val="18"/>
                <w:szCs w:val="18"/>
              </w:rPr>
            </w:pPr>
            <w:r w:rsidRPr="009102D9">
              <w:rPr>
                <w:rFonts w:ascii="Times New Roman" w:hAnsi="Times New Roman" w:cs="Times New Roman"/>
                <w:sz w:val="18"/>
                <w:szCs w:val="18"/>
              </w:rPr>
              <w:t>7.41</w:t>
            </w:r>
          </w:p>
        </w:tc>
        <w:tc>
          <w:tcPr>
            <w:tcW w:w="0" w:type="auto"/>
            <w:vAlign w:val="center"/>
            <w:hideMark/>
          </w:tcPr>
          <w:p w14:paraId="1967549C" w14:textId="77777777" w:rsidR="00416FA8" w:rsidRPr="009102D9" w:rsidRDefault="00416FA8" w:rsidP="004B6753">
            <w:pPr>
              <w:pStyle w:val="NoSpacing"/>
              <w:jc w:val="center"/>
              <w:rPr>
                <w:rFonts w:ascii="Times New Roman" w:hAnsi="Times New Roman" w:cs="Times New Roman"/>
                <w:sz w:val="18"/>
                <w:szCs w:val="18"/>
              </w:rPr>
            </w:pPr>
            <w:r w:rsidRPr="009102D9">
              <w:rPr>
                <w:rFonts w:ascii="Times New Roman" w:hAnsi="Times New Roman" w:cs="Times New Roman"/>
                <w:sz w:val="18"/>
                <w:szCs w:val="18"/>
              </w:rPr>
              <w:t>14.36</w:t>
            </w:r>
          </w:p>
        </w:tc>
        <w:tc>
          <w:tcPr>
            <w:tcW w:w="0" w:type="auto"/>
            <w:vAlign w:val="center"/>
            <w:hideMark/>
          </w:tcPr>
          <w:p w14:paraId="2C25AFAD" w14:textId="77777777" w:rsidR="00416FA8" w:rsidRPr="009102D9" w:rsidRDefault="00416FA8" w:rsidP="004B6753">
            <w:pPr>
              <w:pStyle w:val="NoSpacing"/>
              <w:jc w:val="center"/>
              <w:rPr>
                <w:rFonts w:ascii="Times New Roman" w:hAnsi="Times New Roman" w:cs="Times New Roman"/>
                <w:sz w:val="18"/>
                <w:szCs w:val="18"/>
              </w:rPr>
            </w:pPr>
            <w:r w:rsidRPr="009102D9">
              <w:rPr>
                <w:rFonts w:ascii="Times New Roman" w:hAnsi="Times New Roman" w:cs="Times New Roman"/>
                <w:sz w:val="18"/>
                <w:szCs w:val="18"/>
              </w:rPr>
              <w:t>3.41</w:t>
            </w:r>
          </w:p>
        </w:tc>
        <w:tc>
          <w:tcPr>
            <w:tcW w:w="0" w:type="auto"/>
            <w:vAlign w:val="center"/>
            <w:hideMark/>
          </w:tcPr>
          <w:p w14:paraId="3CD152DE" w14:textId="77777777" w:rsidR="00416FA8" w:rsidRPr="009102D9" w:rsidRDefault="00416FA8" w:rsidP="004B6753">
            <w:pPr>
              <w:pStyle w:val="NoSpacing"/>
              <w:jc w:val="center"/>
              <w:rPr>
                <w:rFonts w:ascii="Times New Roman" w:hAnsi="Times New Roman" w:cs="Times New Roman"/>
                <w:sz w:val="18"/>
                <w:szCs w:val="18"/>
              </w:rPr>
            </w:pPr>
            <w:r w:rsidRPr="009102D9">
              <w:rPr>
                <w:rFonts w:ascii="Times New Roman" w:hAnsi="Times New Roman" w:cs="Times New Roman"/>
                <w:sz w:val="18"/>
                <w:szCs w:val="18"/>
              </w:rPr>
              <w:t>1.39</w:t>
            </w:r>
          </w:p>
        </w:tc>
        <w:tc>
          <w:tcPr>
            <w:tcW w:w="1046" w:type="dxa"/>
            <w:vAlign w:val="center"/>
            <w:hideMark/>
          </w:tcPr>
          <w:p w14:paraId="4564F261" w14:textId="77777777" w:rsidR="00416FA8" w:rsidRPr="009102D9" w:rsidRDefault="00416FA8" w:rsidP="004B6753">
            <w:pPr>
              <w:pStyle w:val="NoSpacing"/>
              <w:jc w:val="center"/>
              <w:rPr>
                <w:rFonts w:ascii="Times New Roman" w:hAnsi="Times New Roman" w:cs="Times New Roman"/>
                <w:sz w:val="18"/>
                <w:szCs w:val="18"/>
              </w:rPr>
            </w:pPr>
            <w:r w:rsidRPr="009102D9">
              <w:rPr>
                <w:rFonts w:ascii="Times New Roman" w:hAnsi="Times New Roman" w:cs="Times New Roman"/>
                <w:sz w:val="18"/>
                <w:szCs w:val="18"/>
              </w:rPr>
              <w:t>4.54</w:t>
            </w:r>
          </w:p>
        </w:tc>
        <w:tc>
          <w:tcPr>
            <w:tcW w:w="846" w:type="dxa"/>
            <w:vAlign w:val="center"/>
            <w:hideMark/>
          </w:tcPr>
          <w:p w14:paraId="4CB34403" w14:textId="77777777" w:rsidR="00416FA8" w:rsidRPr="009102D9" w:rsidRDefault="00416FA8" w:rsidP="004B6753">
            <w:pPr>
              <w:pStyle w:val="NoSpacing"/>
              <w:jc w:val="center"/>
              <w:rPr>
                <w:rFonts w:ascii="Times New Roman" w:hAnsi="Times New Roman" w:cs="Times New Roman"/>
                <w:sz w:val="18"/>
                <w:szCs w:val="18"/>
              </w:rPr>
            </w:pPr>
            <w:r w:rsidRPr="009102D9">
              <w:rPr>
                <w:rFonts w:ascii="Times New Roman" w:hAnsi="Times New Roman" w:cs="Times New Roman"/>
                <w:sz w:val="18"/>
                <w:szCs w:val="18"/>
              </w:rPr>
              <w:t>6.02</w:t>
            </w:r>
          </w:p>
        </w:tc>
        <w:tc>
          <w:tcPr>
            <w:tcW w:w="846" w:type="dxa"/>
            <w:vAlign w:val="center"/>
            <w:hideMark/>
          </w:tcPr>
          <w:p w14:paraId="1444F997" w14:textId="77777777" w:rsidR="00416FA8" w:rsidRPr="009102D9" w:rsidRDefault="00416FA8" w:rsidP="004B6753">
            <w:pPr>
              <w:pStyle w:val="NoSpacing"/>
              <w:jc w:val="center"/>
              <w:rPr>
                <w:rFonts w:ascii="Times New Roman" w:hAnsi="Times New Roman" w:cs="Times New Roman"/>
                <w:sz w:val="18"/>
                <w:szCs w:val="18"/>
              </w:rPr>
            </w:pPr>
            <w:r w:rsidRPr="009102D9">
              <w:rPr>
                <w:rFonts w:ascii="Times New Roman" w:hAnsi="Times New Roman" w:cs="Times New Roman"/>
                <w:sz w:val="18"/>
                <w:szCs w:val="18"/>
              </w:rPr>
              <w:t>29.72</w:t>
            </w:r>
          </w:p>
        </w:tc>
        <w:tc>
          <w:tcPr>
            <w:tcW w:w="1066" w:type="dxa"/>
            <w:vAlign w:val="center"/>
            <w:hideMark/>
          </w:tcPr>
          <w:p w14:paraId="3527C8CF" w14:textId="77777777" w:rsidR="00416FA8" w:rsidRPr="009102D9" w:rsidRDefault="00416FA8" w:rsidP="004B6753">
            <w:pPr>
              <w:pStyle w:val="NoSpacing"/>
              <w:jc w:val="center"/>
              <w:rPr>
                <w:rFonts w:ascii="Times New Roman" w:hAnsi="Times New Roman" w:cs="Times New Roman"/>
                <w:sz w:val="18"/>
                <w:szCs w:val="18"/>
              </w:rPr>
            </w:pPr>
            <w:r w:rsidRPr="009102D9">
              <w:rPr>
                <w:rFonts w:ascii="Times New Roman" w:hAnsi="Times New Roman" w:cs="Times New Roman"/>
                <w:sz w:val="18"/>
                <w:szCs w:val="18"/>
              </w:rPr>
              <w:t>38.27</w:t>
            </w:r>
          </w:p>
        </w:tc>
        <w:tc>
          <w:tcPr>
            <w:tcW w:w="1066" w:type="dxa"/>
            <w:vAlign w:val="center"/>
            <w:hideMark/>
          </w:tcPr>
          <w:p w14:paraId="524F7475" w14:textId="77777777" w:rsidR="00416FA8" w:rsidRPr="009102D9" w:rsidRDefault="00416FA8" w:rsidP="004B6753">
            <w:pPr>
              <w:pStyle w:val="NoSpacing"/>
              <w:jc w:val="center"/>
              <w:rPr>
                <w:rFonts w:ascii="Times New Roman" w:hAnsi="Times New Roman" w:cs="Times New Roman"/>
                <w:sz w:val="18"/>
                <w:szCs w:val="18"/>
              </w:rPr>
            </w:pPr>
            <w:r w:rsidRPr="009102D9">
              <w:rPr>
                <w:rFonts w:ascii="Times New Roman" w:hAnsi="Times New Roman" w:cs="Times New Roman"/>
                <w:sz w:val="18"/>
                <w:szCs w:val="18"/>
              </w:rPr>
              <w:t>62.60</w:t>
            </w:r>
          </w:p>
        </w:tc>
      </w:tr>
      <w:tr w:rsidR="00416FA8" w:rsidRPr="009102D9" w14:paraId="78ECD43A" w14:textId="77777777" w:rsidTr="004B6753">
        <w:trPr>
          <w:trHeight w:val="24"/>
        </w:trPr>
        <w:tc>
          <w:tcPr>
            <w:tcW w:w="1116" w:type="dxa"/>
            <w:hideMark/>
          </w:tcPr>
          <w:p w14:paraId="4B3760D7" w14:textId="77777777" w:rsidR="00416FA8" w:rsidRPr="009102D9" w:rsidRDefault="00416FA8" w:rsidP="00B77C0B">
            <w:pPr>
              <w:pStyle w:val="NoSpacing"/>
              <w:rPr>
                <w:rFonts w:ascii="Times New Roman" w:hAnsi="Times New Roman" w:cs="Times New Roman"/>
                <w:sz w:val="18"/>
                <w:szCs w:val="18"/>
              </w:rPr>
            </w:pPr>
            <w:r w:rsidRPr="009102D9">
              <w:rPr>
                <w:rFonts w:ascii="Times New Roman" w:hAnsi="Times New Roman" w:cs="Times New Roman"/>
                <w:sz w:val="18"/>
                <w:szCs w:val="18"/>
              </w:rPr>
              <w:t>Uttar Pradesh</w:t>
            </w:r>
          </w:p>
        </w:tc>
        <w:tc>
          <w:tcPr>
            <w:tcW w:w="796" w:type="dxa"/>
            <w:vAlign w:val="center"/>
            <w:hideMark/>
          </w:tcPr>
          <w:p w14:paraId="268AFC83" w14:textId="77777777" w:rsidR="00416FA8" w:rsidRPr="009102D9" w:rsidRDefault="00416FA8" w:rsidP="004B6753">
            <w:pPr>
              <w:pStyle w:val="NoSpacing"/>
              <w:jc w:val="center"/>
              <w:rPr>
                <w:rFonts w:ascii="Times New Roman" w:hAnsi="Times New Roman" w:cs="Times New Roman"/>
                <w:sz w:val="18"/>
                <w:szCs w:val="18"/>
              </w:rPr>
            </w:pPr>
            <w:r w:rsidRPr="009102D9">
              <w:rPr>
                <w:rFonts w:ascii="Times New Roman" w:hAnsi="Times New Roman" w:cs="Times New Roman"/>
                <w:sz w:val="18"/>
                <w:szCs w:val="18"/>
              </w:rPr>
              <w:t>6.18</w:t>
            </w:r>
          </w:p>
        </w:tc>
        <w:tc>
          <w:tcPr>
            <w:tcW w:w="1066" w:type="dxa"/>
            <w:vAlign w:val="center"/>
            <w:hideMark/>
          </w:tcPr>
          <w:p w14:paraId="3D05F05A" w14:textId="77777777" w:rsidR="00416FA8" w:rsidRPr="009102D9" w:rsidRDefault="00416FA8" w:rsidP="004B6753">
            <w:pPr>
              <w:pStyle w:val="NoSpacing"/>
              <w:jc w:val="center"/>
              <w:rPr>
                <w:rFonts w:ascii="Times New Roman" w:hAnsi="Times New Roman" w:cs="Times New Roman"/>
                <w:sz w:val="18"/>
                <w:szCs w:val="18"/>
              </w:rPr>
            </w:pPr>
            <w:r w:rsidRPr="009102D9">
              <w:rPr>
                <w:rFonts w:ascii="Times New Roman" w:hAnsi="Times New Roman" w:cs="Times New Roman"/>
                <w:sz w:val="18"/>
                <w:szCs w:val="18"/>
              </w:rPr>
              <w:t>5.27</w:t>
            </w:r>
          </w:p>
        </w:tc>
        <w:tc>
          <w:tcPr>
            <w:tcW w:w="0" w:type="auto"/>
            <w:vAlign w:val="center"/>
            <w:hideMark/>
          </w:tcPr>
          <w:p w14:paraId="27E28078" w14:textId="77777777" w:rsidR="00416FA8" w:rsidRPr="009102D9" w:rsidRDefault="00416FA8" w:rsidP="004B6753">
            <w:pPr>
              <w:pStyle w:val="NoSpacing"/>
              <w:jc w:val="center"/>
              <w:rPr>
                <w:rFonts w:ascii="Times New Roman" w:hAnsi="Times New Roman" w:cs="Times New Roman"/>
                <w:sz w:val="18"/>
                <w:szCs w:val="18"/>
              </w:rPr>
            </w:pPr>
            <w:r w:rsidRPr="009102D9">
              <w:rPr>
                <w:rFonts w:ascii="Times New Roman" w:hAnsi="Times New Roman" w:cs="Times New Roman"/>
                <w:sz w:val="18"/>
                <w:szCs w:val="18"/>
              </w:rPr>
              <w:t>1.92</w:t>
            </w:r>
          </w:p>
        </w:tc>
        <w:tc>
          <w:tcPr>
            <w:tcW w:w="0" w:type="auto"/>
            <w:vAlign w:val="center"/>
            <w:hideMark/>
          </w:tcPr>
          <w:p w14:paraId="376731EB" w14:textId="77777777" w:rsidR="00416FA8" w:rsidRPr="009102D9" w:rsidRDefault="00416FA8" w:rsidP="004B6753">
            <w:pPr>
              <w:pStyle w:val="NoSpacing"/>
              <w:jc w:val="center"/>
              <w:rPr>
                <w:rFonts w:ascii="Times New Roman" w:hAnsi="Times New Roman" w:cs="Times New Roman"/>
                <w:sz w:val="18"/>
                <w:szCs w:val="18"/>
              </w:rPr>
            </w:pPr>
            <w:r w:rsidRPr="009102D9">
              <w:rPr>
                <w:rFonts w:ascii="Times New Roman" w:hAnsi="Times New Roman" w:cs="Times New Roman"/>
                <w:sz w:val="18"/>
                <w:szCs w:val="18"/>
              </w:rPr>
              <w:t>1.74</w:t>
            </w:r>
          </w:p>
        </w:tc>
        <w:tc>
          <w:tcPr>
            <w:tcW w:w="0" w:type="auto"/>
            <w:vAlign w:val="center"/>
            <w:hideMark/>
          </w:tcPr>
          <w:p w14:paraId="0CF2D24D" w14:textId="77777777" w:rsidR="00416FA8" w:rsidRPr="009102D9" w:rsidRDefault="00416FA8" w:rsidP="004B6753">
            <w:pPr>
              <w:pStyle w:val="NoSpacing"/>
              <w:jc w:val="center"/>
              <w:rPr>
                <w:rFonts w:ascii="Times New Roman" w:hAnsi="Times New Roman" w:cs="Times New Roman"/>
                <w:sz w:val="18"/>
                <w:szCs w:val="18"/>
              </w:rPr>
            </w:pPr>
            <w:r w:rsidRPr="009102D9">
              <w:rPr>
                <w:rFonts w:ascii="Times New Roman" w:hAnsi="Times New Roman" w:cs="Times New Roman"/>
                <w:sz w:val="18"/>
                <w:szCs w:val="18"/>
              </w:rPr>
              <w:t>2.27</w:t>
            </w:r>
          </w:p>
        </w:tc>
        <w:tc>
          <w:tcPr>
            <w:tcW w:w="1256" w:type="dxa"/>
            <w:vAlign w:val="center"/>
            <w:hideMark/>
          </w:tcPr>
          <w:p w14:paraId="5A7A83DA" w14:textId="77777777" w:rsidR="00416FA8" w:rsidRPr="009102D9" w:rsidRDefault="00416FA8" w:rsidP="004B6753">
            <w:pPr>
              <w:pStyle w:val="NoSpacing"/>
              <w:jc w:val="center"/>
              <w:rPr>
                <w:rFonts w:ascii="Times New Roman" w:hAnsi="Times New Roman" w:cs="Times New Roman"/>
                <w:sz w:val="18"/>
                <w:szCs w:val="18"/>
              </w:rPr>
            </w:pPr>
            <w:r w:rsidRPr="009102D9">
              <w:rPr>
                <w:rFonts w:ascii="Times New Roman" w:hAnsi="Times New Roman" w:cs="Times New Roman"/>
                <w:sz w:val="18"/>
                <w:szCs w:val="18"/>
              </w:rPr>
              <w:t>1.00</w:t>
            </w:r>
          </w:p>
        </w:tc>
        <w:tc>
          <w:tcPr>
            <w:tcW w:w="1256" w:type="dxa"/>
            <w:vAlign w:val="center"/>
            <w:hideMark/>
          </w:tcPr>
          <w:p w14:paraId="29211EA9" w14:textId="77777777" w:rsidR="00416FA8" w:rsidRPr="009102D9" w:rsidRDefault="00416FA8" w:rsidP="004B6753">
            <w:pPr>
              <w:pStyle w:val="NoSpacing"/>
              <w:jc w:val="center"/>
              <w:rPr>
                <w:rFonts w:ascii="Times New Roman" w:hAnsi="Times New Roman" w:cs="Times New Roman"/>
                <w:sz w:val="18"/>
                <w:szCs w:val="18"/>
              </w:rPr>
            </w:pPr>
            <w:r w:rsidRPr="009102D9">
              <w:rPr>
                <w:rFonts w:ascii="Times New Roman" w:hAnsi="Times New Roman" w:cs="Times New Roman"/>
                <w:sz w:val="18"/>
                <w:szCs w:val="18"/>
              </w:rPr>
              <w:t>5.01</w:t>
            </w:r>
          </w:p>
        </w:tc>
        <w:tc>
          <w:tcPr>
            <w:tcW w:w="0" w:type="auto"/>
            <w:vAlign w:val="center"/>
            <w:hideMark/>
          </w:tcPr>
          <w:p w14:paraId="76A1F269" w14:textId="77777777" w:rsidR="00416FA8" w:rsidRPr="009102D9" w:rsidRDefault="00416FA8" w:rsidP="004B6753">
            <w:pPr>
              <w:pStyle w:val="NoSpacing"/>
              <w:jc w:val="center"/>
              <w:rPr>
                <w:rFonts w:ascii="Times New Roman" w:hAnsi="Times New Roman" w:cs="Times New Roman"/>
                <w:sz w:val="18"/>
                <w:szCs w:val="18"/>
              </w:rPr>
            </w:pPr>
            <w:r w:rsidRPr="009102D9">
              <w:rPr>
                <w:rFonts w:ascii="Times New Roman" w:hAnsi="Times New Roman" w:cs="Times New Roman"/>
                <w:sz w:val="18"/>
                <w:szCs w:val="18"/>
              </w:rPr>
              <w:t>6.36</w:t>
            </w:r>
          </w:p>
        </w:tc>
        <w:tc>
          <w:tcPr>
            <w:tcW w:w="0" w:type="auto"/>
            <w:vAlign w:val="center"/>
            <w:hideMark/>
          </w:tcPr>
          <w:p w14:paraId="3DDDAF1D" w14:textId="77777777" w:rsidR="00416FA8" w:rsidRPr="009102D9" w:rsidRDefault="00416FA8" w:rsidP="004B6753">
            <w:pPr>
              <w:pStyle w:val="NoSpacing"/>
              <w:jc w:val="center"/>
              <w:rPr>
                <w:rFonts w:ascii="Times New Roman" w:hAnsi="Times New Roman" w:cs="Times New Roman"/>
                <w:sz w:val="18"/>
                <w:szCs w:val="18"/>
              </w:rPr>
            </w:pPr>
            <w:r w:rsidRPr="009102D9">
              <w:rPr>
                <w:rFonts w:ascii="Times New Roman" w:hAnsi="Times New Roman" w:cs="Times New Roman"/>
                <w:sz w:val="18"/>
                <w:szCs w:val="18"/>
              </w:rPr>
              <w:t>1.27</w:t>
            </w:r>
          </w:p>
        </w:tc>
        <w:tc>
          <w:tcPr>
            <w:tcW w:w="0" w:type="auto"/>
            <w:vAlign w:val="center"/>
            <w:hideMark/>
          </w:tcPr>
          <w:p w14:paraId="7C93C6DF" w14:textId="77777777" w:rsidR="00416FA8" w:rsidRPr="009102D9" w:rsidRDefault="00416FA8" w:rsidP="004B6753">
            <w:pPr>
              <w:pStyle w:val="NoSpacing"/>
              <w:jc w:val="center"/>
              <w:rPr>
                <w:rFonts w:ascii="Times New Roman" w:hAnsi="Times New Roman" w:cs="Times New Roman"/>
                <w:sz w:val="18"/>
                <w:szCs w:val="18"/>
              </w:rPr>
            </w:pPr>
            <w:r w:rsidRPr="009102D9">
              <w:rPr>
                <w:rFonts w:ascii="Times New Roman" w:hAnsi="Times New Roman" w:cs="Times New Roman"/>
                <w:sz w:val="18"/>
                <w:szCs w:val="18"/>
              </w:rPr>
              <w:t>1.12</w:t>
            </w:r>
          </w:p>
        </w:tc>
        <w:tc>
          <w:tcPr>
            <w:tcW w:w="1046" w:type="dxa"/>
            <w:vAlign w:val="center"/>
            <w:hideMark/>
          </w:tcPr>
          <w:p w14:paraId="4C4142F6" w14:textId="77777777" w:rsidR="00416FA8" w:rsidRPr="009102D9" w:rsidRDefault="00416FA8" w:rsidP="004B6753">
            <w:pPr>
              <w:pStyle w:val="NoSpacing"/>
              <w:jc w:val="center"/>
              <w:rPr>
                <w:rFonts w:ascii="Times New Roman" w:hAnsi="Times New Roman" w:cs="Times New Roman"/>
                <w:sz w:val="18"/>
                <w:szCs w:val="18"/>
              </w:rPr>
            </w:pPr>
            <w:r w:rsidRPr="009102D9">
              <w:rPr>
                <w:rFonts w:ascii="Times New Roman" w:hAnsi="Times New Roman" w:cs="Times New Roman"/>
                <w:sz w:val="18"/>
                <w:szCs w:val="18"/>
              </w:rPr>
              <w:t>2.05</w:t>
            </w:r>
          </w:p>
        </w:tc>
        <w:tc>
          <w:tcPr>
            <w:tcW w:w="846" w:type="dxa"/>
            <w:vAlign w:val="center"/>
            <w:hideMark/>
          </w:tcPr>
          <w:p w14:paraId="7EB2AB35" w14:textId="77777777" w:rsidR="00416FA8" w:rsidRPr="009102D9" w:rsidRDefault="00416FA8" w:rsidP="004B6753">
            <w:pPr>
              <w:pStyle w:val="NoSpacing"/>
              <w:jc w:val="center"/>
              <w:rPr>
                <w:rFonts w:ascii="Times New Roman" w:hAnsi="Times New Roman" w:cs="Times New Roman"/>
                <w:sz w:val="18"/>
                <w:szCs w:val="18"/>
              </w:rPr>
            </w:pPr>
            <w:r w:rsidRPr="009102D9">
              <w:rPr>
                <w:rFonts w:ascii="Times New Roman" w:hAnsi="Times New Roman" w:cs="Times New Roman"/>
                <w:sz w:val="18"/>
                <w:szCs w:val="18"/>
              </w:rPr>
              <w:t>4.78</w:t>
            </w:r>
          </w:p>
        </w:tc>
        <w:tc>
          <w:tcPr>
            <w:tcW w:w="846" w:type="dxa"/>
            <w:vAlign w:val="center"/>
            <w:hideMark/>
          </w:tcPr>
          <w:p w14:paraId="275F1A46" w14:textId="77777777" w:rsidR="00416FA8" w:rsidRPr="009102D9" w:rsidRDefault="00416FA8" w:rsidP="004B6753">
            <w:pPr>
              <w:pStyle w:val="NoSpacing"/>
              <w:jc w:val="center"/>
              <w:rPr>
                <w:rFonts w:ascii="Times New Roman" w:hAnsi="Times New Roman" w:cs="Times New Roman"/>
                <w:sz w:val="18"/>
                <w:szCs w:val="18"/>
              </w:rPr>
            </w:pPr>
            <w:r w:rsidRPr="009102D9">
              <w:rPr>
                <w:rFonts w:ascii="Times New Roman" w:hAnsi="Times New Roman" w:cs="Times New Roman"/>
                <w:sz w:val="18"/>
                <w:szCs w:val="18"/>
              </w:rPr>
              <w:t>15.58</w:t>
            </w:r>
          </w:p>
        </w:tc>
        <w:tc>
          <w:tcPr>
            <w:tcW w:w="1066" w:type="dxa"/>
            <w:vAlign w:val="center"/>
            <w:hideMark/>
          </w:tcPr>
          <w:p w14:paraId="067FB963" w14:textId="77777777" w:rsidR="00416FA8" w:rsidRPr="009102D9" w:rsidRDefault="00416FA8" w:rsidP="004B6753">
            <w:pPr>
              <w:pStyle w:val="NoSpacing"/>
              <w:jc w:val="center"/>
              <w:rPr>
                <w:rFonts w:ascii="Times New Roman" w:hAnsi="Times New Roman" w:cs="Times New Roman"/>
                <w:sz w:val="18"/>
                <w:szCs w:val="18"/>
              </w:rPr>
            </w:pPr>
            <w:r w:rsidRPr="009102D9">
              <w:rPr>
                <w:rFonts w:ascii="Times New Roman" w:hAnsi="Times New Roman" w:cs="Times New Roman"/>
                <w:sz w:val="18"/>
                <w:szCs w:val="18"/>
              </w:rPr>
              <w:t>22.51</w:t>
            </w:r>
          </w:p>
        </w:tc>
        <w:tc>
          <w:tcPr>
            <w:tcW w:w="1066" w:type="dxa"/>
            <w:vAlign w:val="center"/>
            <w:hideMark/>
          </w:tcPr>
          <w:p w14:paraId="6CF7C927" w14:textId="77777777" w:rsidR="00416FA8" w:rsidRPr="009102D9" w:rsidRDefault="00416FA8" w:rsidP="004B6753">
            <w:pPr>
              <w:pStyle w:val="NoSpacing"/>
              <w:jc w:val="center"/>
              <w:rPr>
                <w:rFonts w:ascii="Times New Roman" w:hAnsi="Times New Roman" w:cs="Times New Roman"/>
                <w:sz w:val="18"/>
                <w:szCs w:val="18"/>
              </w:rPr>
            </w:pPr>
            <w:r w:rsidRPr="009102D9">
              <w:rPr>
                <w:rFonts w:ascii="Times New Roman" w:hAnsi="Times New Roman" w:cs="Times New Roman"/>
                <w:sz w:val="18"/>
                <w:szCs w:val="18"/>
              </w:rPr>
              <w:t>39.09</w:t>
            </w:r>
          </w:p>
        </w:tc>
      </w:tr>
      <w:tr w:rsidR="00416FA8" w:rsidRPr="009102D9" w14:paraId="3BBF394B" w14:textId="77777777" w:rsidTr="004B6753">
        <w:trPr>
          <w:trHeight w:val="24"/>
        </w:trPr>
        <w:tc>
          <w:tcPr>
            <w:tcW w:w="1116" w:type="dxa"/>
            <w:hideMark/>
          </w:tcPr>
          <w:p w14:paraId="3096A70A" w14:textId="77777777" w:rsidR="00416FA8" w:rsidRPr="009102D9" w:rsidRDefault="00416FA8" w:rsidP="00B77C0B">
            <w:pPr>
              <w:pStyle w:val="NoSpacing"/>
              <w:rPr>
                <w:rFonts w:ascii="Times New Roman" w:hAnsi="Times New Roman" w:cs="Times New Roman"/>
                <w:sz w:val="18"/>
                <w:szCs w:val="18"/>
              </w:rPr>
            </w:pPr>
            <w:r w:rsidRPr="009102D9">
              <w:rPr>
                <w:rFonts w:ascii="Times New Roman" w:hAnsi="Times New Roman" w:cs="Times New Roman"/>
                <w:sz w:val="18"/>
                <w:szCs w:val="18"/>
              </w:rPr>
              <w:t>West Bengal</w:t>
            </w:r>
          </w:p>
        </w:tc>
        <w:tc>
          <w:tcPr>
            <w:tcW w:w="796" w:type="dxa"/>
            <w:vAlign w:val="center"/>
            <w:hideMark/>
          </w:tcPr>
          <w:p w14:paraId="1E92E8C0" w14:textId="77777777" w:rsidR="00416FA8" w:rsidRPr="009102D9" w:rsidRDefault="00416FA8" w:rsidP="004B6753">
            <w:pPr>
              <w:pStyle w:val="NoSpacing"/>
              <w:jc w:val="center"/>
              <w:rPr>
                <w:rFonts w:ascii="Times New Roman" w:hAnsi="Times New Roman" w:cs="Times New Roman"/>
                <w:sz w:val="18"/>
                <w:szCs w:val="18"/>
              </w:rPr>
            </w:pPr>
            <w:r w:rsidRPr="009102D9">
              <w:rPr>
                <w:rFonts w:ascii="Times New Roman" w:hAnsi="Times New Roman" w:cs="Times New Roman"/>
                <w:sz w:val="18"/>
                <w:szCs w:val="18"/>
              </w:rPr>
              <w:t>4.12</w:t>
            </w:r>
          </w:p>
        </w:tc>
        <w:tc>
          <w:tcPr>
            <w:tcW w:w="1066" w:type="dxa"/>
            <w:vAlign w:val="center"/>
            <w:hideMark/>
          </w:tcPr>
          <w:p w14:paraId="04F7D77C" w14:textId="77777777" w:rsidR="00416FA8" w:rsidRPr="009102D9" w:rsidRDefault="00416FA8" w:rsidP="004B6753">
            <w:pPr>
              <w:pStyle w:val="NoSpacing"/>
              <w:jc w:val="center"/>
              <w:rPr>
                <w:rFonts w:ascii="Times New Roman" w:hAnsi="Times New Roman" w:cs="Times New Roman"/>
                <w:sz w:val="18"/>
                <w:szCs w:val="18"/>
              </w:rPr>
            </w:pPr>
            <w:r w:rsidRPr="009102D9">
              <w:rPr>
                <w:rFonts w:ascii="Times New Roman" w:hAnsi="Times New Roman" w:cs="Times New Roman"/>
                <w:sz w:val="18"/>
                <w:szCs w:val="18"/>
              </w:rPr>
              <w:t>1.04</w:t>
            </w:r>
          </w:p>
        </w:tc>
        <w:tc>
          <w:tcPr>
            <w:tcW w:w="0" w:type="auto"/>
            <w:vAlign w:val="center"/>
            <w:hideMark/>
          </w:tcPr>
          <w:p w14:paraId="33125955" w14:textId="77777777" w:rsidR="00416FA8" w:rsidRPr="009102D9" w:rsidRDefault="00416FA8" w:rsidP="004B6753">
            <w:pPr>
              <w:pStyle w:val="NoSpacing"/>
              <w:jc w:val="center"/>
              <w:rPr>
                <w:rFonts w:ascii="Times New Roman" w:hAnsi="Times New Roman" w:cs="Times New Roman"/>
                <w:sz w:val="18"/>
                <w:szCs w:val="18"/>
              </w:rPr>
            </w:pPr>
            <w:r w:rsidRPr="009102D9">
              <w:rPr>
                <w:rFonts w:ascii="Times New Roman" w:hAnsi="Times New Roman" w:cs="Times New Roman"/>
                <w:sz w:val="18"/>
                <w:szCs w:val="18"/>
              </w:rPr>
              <w:t>2.09</w:t>
            </w:r>
          </w:p>
        </w:tc>
        <w:tc>
          <w:tcPr>
            <w:tcW w:w="0" w:type="auto"/>
            <w:vAlign w:val="center"/>
            <w:hideMark/>
          </w:tcPr>
          <w:p w14:paraId="61F9EEF0" w14:textId="77777777" w:rsidR="00416FA8" w:rsidRPr="009102D9" w:rsidRDefault="00416FA8" w:rsidP="004B6753">
            <w:pPr>
              <w:pStyle w:val="NoSpacing"/>
              <w:jc w:val="center"/>
              <w:rPr>
                <w:rFonts w:ascii="Times New Roman" w:hAnsi="Times New Roman" w:cs="Times New Roman"/>
                <w:sz w:val="18"/>
                <w:szCs w:val="18"/>
              </w:rPr>
            </w:pPr>
            <w:r w:rsidRPr="009102D9">
              <w:rPr>
                <w:rFonts w:ascii="Times New Roman" w:hAnsi="Times New Roman" w:cs="Times New Roman"/>
                <w:sz w:val="18"/>
                <w:szCs w:val="18"/>
              </w:rPr>
              <w:t>1.51</w:t>
            </w:r>
          </w:p>
        </w:tc>
        <w:tc>
          <w:tcPr>
            <w:tcW w:w="0" w:type="auto"/>
            <w:vAlign w:val="center"/>
            <w:hideMark/>
          </w:tcPr>
          <w:p w14:paraId="4C505DF4" w14:textId="77777777" w:rsidR="00416FA8" w:rsidRPr="009102D9" w:rsidRDefault="00416FA8" w:rsidP="004B6753">
            <w:pPr>
              <w:pStyle w:val="NoSpacing"/>
              <w:jc w:val="center"/>
              <w:rPr>
                <w:rFonts w:ascii="Times New Roman" w:hAnsi="Times New Roman" w:cs="Times New Roman"/>
                <w:sz w:val="18"/>
                <w:szCs w:val="18"/>
              </w:rPr>
            </w:pPr>
            <w:r w:rsidRPr="009102D9">
              <w:rPr>
                <w:rFonts w:ascii="Times New Roman" w:hAnsi="Times New Roman" w:cs="Times New Roman"/>
                <w:sz w:val="18"/>
                <w:szCs w:val="18"/>
              </w:rPr>
              <w:t>4.21</w:t>
            </w:r>
          </w:p>
        </w:tc>
        <w:tc>
          <w:tcPr>
            <w:tcW w:w="1256" w:type="dxa"/>
            <w:vAlign w:val="center"/>
            <w:hideMark/>
          </w:tcPr>
          <w:p w14:paraId="423141A4" w14:textId="77777777" w:rsidR="00416FA8" w:rsidRPr="009102D9" w:rsidRDefault="00416FA8" w:rsidP="004B6753">
            <w:pPr>
              <w:pStyle w:val="NoSpacing"/>
              <w:jc w:val="center"/>
              <w:rPr>
                <w:rFonts w:ascii="Times New Roman" w:hAnsi="Times New Roman" w:cs="Times New Roman"/>
                <w:sz w:val="18"/>
                <w:szCs w:val="18"/>
              </w:rPr>
            </w:pPr>
            <w:r w:rsidRPr="009102D9">
              <w:rPr>
                <w:rFonts w:ascii="Times New Roman" w:hAnsi="Times New Roman" w:cs="Times New Roman"/>
                <w:sz w:val="18"/>
                <w:szCs w:val="18"/>
              </w:rPr>
              <w:t>2.26</w:t>
            </w:r>
          </w:p>
        </w:tc>
        <w:tc>
          <w:tcPr>
            <w:tcW w:w="1256" w:type="dxa"/>
            <w:vAlign w:val="center"/>
            <w:hideMark/>
          </w:tcPr>
          <w:p w14:paraId="76B00EE9" w14:textId="77777777" w:rsidR="00416FA8" w:rsidRPr="009102D9" w:rsidRDefault="00416FA8" w:rsidP="004B6753">
            <w:pPr>
              <w:pStyle w:val="NoSpacing"/>
              <w:jc w:val="center"/>
              <w:rPr>
                <w:rFonts w:ascii="Times New Roman" w:hAnsi="Times New Roman" w:cs="Times New Roman"/>
                <w:sz w:val="18"/>
                <w:szCs w:val="18"/>
              </w:rPr>
            </w:pPr>
            <w:r w:rsidRPr="009102D9">
              <w:rPr>
                <w:rFonts w:ascii="Times New Roman" w:hAnsi="Times New Roman" w:cs="Times New Roman"/>
                <w:sz w:val="18"/>
                <w:szCs w:val="18"/>
              </w:rPr>
              <w:t>7.98</w:t>
            </w:r>
          </w:p>
        </w:tc>
        <w:tc>
          <w:tcPr>
            <w:tcW w:w="0" w:type="auto"/>
            <w:vAlign w:val="center"/>
            <w:hideMark/>
          </w:tcPr>
          <w:p w14:paraId="5B38F4C8" w14:textId="77777777" w:rsidR="00416FA8" w:rsidRPr="009102D9" w:rsidRDefault="00416FA8" w:rsidP="004B6753">
            <w:pPr>
              <w:pStyle w:val="NoSpacing"/>
              <w:jc w:val="center"/>
              <w:rPr>
                <w:rFonts w:ascii="Times New Roman" w:hAnsi="Times New Roman" w:cs="Times New Roman"/>
                <w:sz w:val="18"/>
                <w:szCs w:val="18"/>
              </w:rPr>
            </w:pPr>
            <w:r w:rsidRPr="009102D9">
              <w:rPr>
                <w:rFonts w:ascii="Times New Roman" w:hAnsi="Times New Roman" w:cs="Times New Roman"/>
                <w:sz w:val="18"/>
                <w:szCs w:val="18"/>
              </w:rPr>
              <w:t>11.17</w:t>
            </w:r>
          </w:p>
        </w:tc>
        <w:tc>
          <w:tcPr>
            <w:tcW w:w="0" w:type="auto"/>
            <w:vAlign w:val="center"/>
            <w:hideMark/>
          </w:tcPr>
          <w:p w14:paraId="33138B7A" w14:textId="77777777" w:rsidR="00416FA8" w:rsidRPr="009102D9" w:rsidRDefault="00416FA8" w:rsidP="004B6753">
            <w:pPr>
              <w:pStyle w:val="NoSpacing"/>
              <w:jc w:val="center"/>
              <w:rPr>
                <w:rFonts w:ascii="Times New Roman" w:hAnsi="Times New Roman" w:cs="Times New Roman"/>
                <w:sz w:val="18"/>
                <w:szCs w:val="18"/>
              </w:rPr>
            </w:pPr>
            <w:r w:rsidRPr="009102D9">
              <w:rPr>
                <w:rFonts w:ascii="Times New Roman" w:hAnsi="Times New Roman" w:cs="Times New Roman"/>
                <w:sz w:val="18"/>
                <w:szCs w:val="18"/>
              </w:rPr>
              <w:t>3.73</w:t>
            </w:r>
          </w:p>
        </w:tc>
        <w:tc>
          <w:tcPr>
            <w:tcW w:w="0" w:type="auto"/>
            <w:vAlign w:val="center"/>
            <w:hideMark/>
          </w:tcPr>
          <w:p w14:paraId="0FDA939A" w14:textId="77777777" w:rsidR="00416FA8" w:rsidRPr="009102D9" w:rsidRDefault="00416FA8" w:rsidP="004B6753">
            <w:pPr>
              <w:pStyle w:val="NoSpacing"/>
              <w:jc w:val="center"/>
              <w:rPr>
                <w:rFonts w:ascii="Times New Roman" w:hAnsi="Times New Roman" w:cs="Times New Roman"/>
                <w:sz w:val="18"/>
                <w:szCs w:val="18"/>
              </w:rPr>
            </w:pPr>
            <w:r w:rsidRPr="009102D9">
              <w:rPr>
                <w:rFonts w:ascii="Times New Roman" w:hAnsi="Times New Roman" w:cs="Times New Roman"/>
                <w:sz w:val="18"/>
                <w:szCs w:val="18"/>
              </w:rPr>
              <w:t>1.47</w:t>
            </w:r>
          </w:p>
        </w:tc>
        <w:tc>
          <w:tcPr>
            <w:tcW w:w="1046" w:type="dxa"/>
            <w:vAlign w:val="center"/>
            <w:hideMark/>
          </w:tcPr>
          <w:p w14:paraId="4F5D2AF9" w14:textId="77777777" w:rsidR="00416FA8" w:rsidRPr="009102D9" w:rsidRDefault="00416FA8" w:rsidP="004B6753">
            <w:pPr>
              <w:pStyle w:val="NoSpacing"/>
              <w:jc w:val="center"/>
              <w:rPr>
                <w:rFonts w:ascii="Times New Roman" w:hAnsi="Times New Roman" w:cs="Times New Roman"/>
                <w:sz w:val="18"/>
                <w:szCs w:val="18"/>
              </w:rPr>
            </w:pPr>
            <w:r w:rsidRPr="009102D9">
              <w:rPr>
                <w:rFonts w:ascii="Times New Roman" w:hAnsi="Times New Roman" w:cs="Times New Roman"/>
                <w:sz w:val="18"/>
                <w:szCs w:val="18"/>
              </w:rPr>
              <w:t>3.84</w:t>
            </w:r>
          </w:p>
        </w:tc>
        <w:tc>
          <w:tcPr>
            <w:tcW w:w="846" w:type="dxa"/>
            <w:vAlign w:val="center"/>
            <w:hideMark/>
          </w:tcPr>
          <w:p w14:paraId="44467CDB" w14:textId="77777777" w:rsidR="00416FA8" w:rsidRPr="009102D9" w:rsidRDefault="00416FA8" w:rsidP="004B6753">
            <w:pPr>
              <w:pStyle w:val="NoSpacing"/>
              <w:jc w:val="center"/>
              <w:rPr>
                <w:rFonts w:ascii="Times New Roman" w:hAnsi="Times New Roman" w:cs="Times New Roman"/>
                <w:sz w:val="18"/>
                <w:szCs w:val="18"/>
              </w:rPr>
            </w:pPr>
            <w:r w:rsidRPr="009102D9">
              <w:rPr>
                <w:rFonts w:ascii="Times New Roman" w:hAnsi="Times New Roman" w:cs="Times New Roman"/>
                <w:sz w:val="18"/>
                <w:szCs w:val="18"/>
              </w:rPr>
              <w:t>4.24</w:t>
            </w:r>
          </w:p>
        </w:tc>
        <w:tc>
          <w:tcPr>
            <w:tcW w:w="846" w:type="dxa"/>
            <w:vAlign w:val="center"/>
            <w:hideMark/>
          </w:tcPr>
          <w:p w14:paraId="5F30B4B3" w14:textId="77777777" w:rsidR="00416FA8" w:rsidRPr="009102D9" w:rsidRDefault="00416FA8" w:rsidP="004B6753">
            <w:pPr>
              <w:pStyle w:val="NoSpacing"/>
              <w:jc w:val="center"/>
              <w:rPr>
                <w:rFonts w:ascii="Times New Roman" w:hAnsi="Times New Roman" w:cs="Times New Roman"/>
                <w:sz w:val="18"/>
                <w:szCs w:val="18"/>
              </w:rPr>
            </w:pPr>
            <w:r w:rsidRPr="009102D9">
              <w:rPr>
                <w:rFonts w:ascii="Times New Roman" w:hAnsi="Times New Roman" w:cs="Times New Roman"/>
                <w:sz w:val="18"/>
                <w:szCs w:val="18"/>
              </w:rPr>
              <w:t>24.45</w:t>
            </w:r>
          </w:p>
        </w:tc>
        <w:tc>
          <w:tcPr>
            <w:tcW w:w="1066" w:type="dxa"/>
            <w:vAlign w:val="center"/>
            <w:hideMark/>
          </w:tcPr>
          <w:p w14:paraId="6A911A61" w14:textId="77777777" w:rsidR="00416FA8" w:rsidRPr="009102D9" w:rsidRDefault="00416FA8" w:rsidP="004B6753">
            <w:pPr>
              <w:pStyle w:val="NoSpacing"/>
              <w:jc w:val="center"/>
              <w:rPr>
                <w:rFonts w:ascii="Times New Roman" w:hAnsi="Times New Roman" w:cs="Times New Roman"/>
                <w:sz w:val="18"/>
                <w:szCs w:val="18"/>
              </w:rPr>
            </w:pPr>
            <w:r w:rsidRPr="009102D9">
              <w:rPr>
                <w:rFonts w:ascii="Times New Roman" w:hAnsi="Times New Roman" w:cs="Times New Roman"/>
                <w:sz w:val="18"/>
                <w:szCs w:val="18"/>
              </w:rPr>
              <w:t>34.52</w:t>
            </w:r>
          </w:p>
        </w:tc>
        <w:tc>
          <w:tcPr>
            <w:tcW w:w="1066" w:type="dxa"/>
            <w:vAlign w:val="center"/>
            <w:hideMark/>
          </w:tcPr>
          <w:p w14:paraId="5BADF5E5" w14:textId="77777777" w:rsidR="00416FA8" w:rsidRPr="009102D9" w:rsidRDefault="00416FA8" w:rsidP="004B6753">
            <w:pPr>
              <w:pStyle w:val="NoSpacing"/>
              <w:jc w:val="center"/>
              <w:rPr>
                <w:rFonts w:ascii="Times New Roman" w:hAnsi="Times New Roman" w:cs="Times New Roman"/>
                <w:sz w:val="18"/>
                <w:szCs w:val="18"/>
              </w:rPr>
            </w:pPr>
            <w:r w:rsidRPr="009102D9">
              <w:rPr>
                <w:rFonts w:ascii="Times New Roman" w:hAnsi="Times New Roman" w:cs="Times New Roman"/>
                <w:sz w:val="18"/>
                <w:szCs w:val="18"/>
              </w:rPr>
              <w:t>49.72</w:t>
            </w:r>
          </w:p>
        </w:tc>
      </w:tr>
      <w:tr w:rsidR="00416FA8" w:rsidRPr="009102D9" w14:paraId="6F834A14" w14:textId="77777777" w:rsidTr="004B6753">
        <w:trPr>
          <w:trHeight w:val="24"/>
        </w:trPr>
        <w:tc>
          <w:tcPr>
            <w:tcW w:w="1116" w:type="dxa"/>
            <w:hideMark/>
          </w:tcPr>
          <w:p w14:paraId="3205C9B0" w14:textId="77777777" w:rsidR="00416FA8" w:rsidRPr="009102D9" w:rsidRDefault="00416FA8" w:rsidP="00B77C0B">
            <w:pPr>
              <w:pStyle w:val="NoSpacing"/>
              <w:rPr>
                <w:rFonts w:ascii="Times New Roman" w:hAnsi="Times New Roman" w:cs="Times New Roman"/>
                <w:sz w:val="18"/>
                <w:szCs w:val="18"/>
              </w:rPr>
            </w:pPr>
          </w:p>
        </w:tc>
        <w:tc>
          <w:tcPr>
            <w:tcW w:w="796" w:type="dxa"/>
            <w:vAlign w:val="center"/>
            <w:hideMark/>
          </w:tcPr>
          <w:p w14:paraId="23173DCE" w14:textId="77777777" w:rsidR="00416FA8" w:rsidRPr="009102D9" w:rsidRDefault="00416FA8" w:rsidP="004B6753">
            <w:pPr>
              <w:pStyle w:val="NoSpacing"/>
              <w:jc w:val="center"/>
              <w:rPr>
                <w:rFonts w:ascii="Times New Roman" w:hAnsi="Times New Roman" w:cs="Times New Roman"/>
                <w:sz w:val="18"/>
                <w:szCs w:val="18"/>
              </w:rPr>
            </w:pPr>
          </w:p>
        </w:tc>
        <w:tc>
          <w:tcPr>
            <w:tcW w:w="1066" w:type="dxa"/>
            <w:vAlign w:val="center"/>
            <w:hideMark/>
          </w:tcPr>
          <w:p w14:paraId="4DAACBA5" w14:textId="77777777" w:rsidR="00416FA8" w:rsidRPr="009102D9" w:rsidRDefault="00416FA8" w:rsidP="004B6753">
            <w:pPr>
              <w:pStyle w:val="NoSpacing"/>
              <w:jc w:val="center"/>
              <w:rPr>
                <w:rFonts w:ascii="Times New Roman" w:hAnsi="Times New Roman" w:cs="Times New Roman"/>
                <w:sz w:val="18"/>
                <w:szCs w:val="18"/>
              </w:rPr>
            </w:pPr>
          </w:p>
        </w:tc>
        <w:tc>
          <w:tcPr>
            <w:tcW w:w="0" w:type="auto"/>
            <w:vAlign w:val="center"/>
            <w:hideMark/>
          </w:tcPr>
          <w:p w14:paraId="2C53618B" w14:textId="77777777" w:rsidR="00416FA8" w:rsidRPr="009102D9" w:rsidRDefault="00416FA8" w:rsidP="004B6753">
            <w:pPr>
              <w:pStyle w:val="NoSpacing"/>
              <w:jc w:val="center"/>
              <w:rPr>
                <w:rFonts w:ascii="Times New Roman" w:hAnsi="Times New Roman" w:cs="Times New Roman"/>
                <w:sz w:val="18"/>
                <w:szCs w:val="18"/>
              </w:rPr>
            </w:pPr>
          </w:p>
        </w:tc>
        <w:tc>
          <w:tcPr>
            <w:tcW w:w="0" w:type="auto"/>
            <w:vAlign w:val="center"/>
            <w:hideMark/>
          </w:tcPr>
          <w:p w14:paraId="15D1DADB" w14:textId="77777777" w:rsidR="00416FA8" w:rsidRPr="009102D9" w:rsidRDefault="00416FA8" w:rsidP="004B6753">
            <w:pPr>
              <w:pStyle w:val="NoSpacing"/>
              <w:jc w:val="center"/>
              <w:rPr>
                <w:rFonts w:ascii="Times New Roman" w:hAnsi="Times New Roman" w:cs="Times New Roman"/>
                <w:sz w:val="18"/>
                <w:szCs w:val="18"/>
              </w:rPr>
            </w:pPr>
          </w:p>
        </w:tc>
        <w:tc>
          <w:tcPr>
            <w:tcW w:w="0" w:type="auto"/>
            <w:vAlign w:val="center"/>
            <w:hideMark/>
          </w:tcPr>
          <w:p w14:paraId="2EC5B05E" w14:textId="77777777" w:rsidR="00416FA8" w:rsidRPr="009102D9" w:rsidRDefault="00416FA8" w:rsidP="004B6753">
            <w:pPr>
              <w:pStyle w:val="NoSpacing"/>
              <w:jc w:val="center"/>
              <w:rPr>
                <w:rFonts w:ascii="Times New Roman" w:hAnsi="Times New Roman" w:cs="Times New Roman"/>
                <w:sz w:val="18"/>
                <w:szCs w:val="18"/>
              </w:rPr>
            </w:pPr>
          </w:p>
        </w:tc>
        <w:tc>
          <w:tcPr>
            <w:tcW w:w="1256" w:type="dxa"/>
            <w:vAlign w:val="center"/>
            <w:hideMark/>
          </w:tcPr>
          <w:p w14:paraId="710BD173" w14:textId="77777777" w:rsidR="00416FA8" w:rsidRPr="009102D9" w:rsidRDefault="00416FA8" w:rsidP="004B6753">
            <w:pPr>
              <w:pStyle w:val="NoSpacing"/>
              <w:jc w:val="center"/>
              <w:rPr>
                <w:rFonts w:ascii="Times New Roman" w:hAnsi="Times New Roman" w:cs="Times New Roman"/>
                <w:sz w:val="18"/>
                <w:szCs w:val="18"/>
              </w:rPr>
            </w:pPr>
          </w:p>
        </w:tc>
        <w:tc>
          <w:tcPr>
            <w:tcW w:w="1256" w:type="dxa"/>
            <w:vAlign w:val="center"/>
            <w:hideMark/>
          </w:tcPr>
          <w:p w14:paraId="6D6F17AB" w14:textId="77777777" w:rsidR="00416FA8" w:rsidRPr="009102D9" w:rsidRDefault="00416FA8" w:rsidP="004B6753">
            <w:pPr>
              <w:pStyle w:val="NoSpacing"/>
              <w:jc w:val="center"/>
              <w:rPr>
                <w:rFonts w:ascii="Times New Roman" w:hAnsi="Times New Roman" w:cs="Times New Roman"/>
                <w:sz w:val="18"/>
                <w:szCs w:val="18"/>
              </w:rPr>
            </w:pPr>
          </w:p>
        </w:tc>
        <w:tc>
          <w:tcPr>
            <w:tcW w:w="0" w:type="auto"/>
            <w:vAlign w:val="center"/>
            <w:hideMark/>
          </w:tcPr>
          <w:p w14:paraId="59EBF4BA" w14:textId="77777777" w:rsidR="00416FA8" w:rsidRPr="009102D9" w:rsidRDefault="00416FA8" w:rsidP="004B6753">
            <w:pPr>
              <w:pStyle w:val="NoSpacing"/>
              <w:jc w:val="center"/>
              <w:rPr>
                <w:rFonts w:ascii="Times New Roman" w:hAnsi="Times New Roman" w:cs="Times New Roman"/>
                <w:sz w:val="18"/>
                <w:szCs w:val="18"/>
              </w:rPr>
            </w:pPr>
          </w:p>
        </w:tc>
        <w:tc>
          <w:tcPr>
            <w:tcW w:w="0" w:type="auto"/>
            <w:vAlign w:val="center"/>
            <w:hideMark/>
          </w:tcPr>
          <w:p w14:paraId="4C187C48" w14:textId="77777777" w:rsidR="00416FA8" w:rsidRPr="009102D9" w:rsidRDefault="00416FA8" w:rsidP="004B6753">
            <w:pPr>
              <w:pStyle w:val="NoSpacing"/>
              <w:jc w:val="center"/>
              <w:rPr>
                <w:rFonts w:ascii="Times New Roman" w:hAnsi="Times New Roman" w:cs="Times New Roman"/>
                <w:sz w:val="18"/>
                <w:szCs w:val="18"/>
              </w:rPr>
            </w:pPr>
          </w:p>
        </w:tc>
        <w:tc>
          <w:tcPr>
            <w:tcW w:w="0" w:type="auto"/>
            <w:vAlign w:val="center"/>
            <w:hideMark/>
          </w:tcPr>
          <w:p w14:paraId="6264A188" w14:textId="77777777" w:rsidR="00416FA8" w:rsidRPr="009102D9" w:rsidRDefault="00416FA8" w:rsidP="004B6753">
            <w:pPr>
              <w:pStyle w:val="NoSpacing"/>
              <w:jc w:val="center"/>
              <w:rPr>
                <w:rFonts w:ascii="Times New Roman" w:hAnsi="Times New Roman" w:cs="Times New Roman"/>
                <w:sz w:val="18"/>
                <w:szCs w:val="18"/>
              </w:rPr>
            </w:pPr>
          </w:p>
        </w:tc>
        <w:tc>
          <w:tcPr>
            <w:tcW w:w="1046" w:type="dxa"/>
            <w:vAlign w:val="center"/>
            <w:hideMark/>
          </w:tcPr>
          <w:p w14:paraId="4995D445" w14:textId="77777777" w:rsidR="00416FA8" w:rsidRPr="009102D9" w:rsidRDefault="00416FA8" w:rsidP="004B6753">
            <w:pPr>
              <w:pStyle w:val="NoSpacing"/>
              <w:jc w:val="center"/>
              <w:rPr>
                <w:rFonts w:ascii="Times New Roman" w:hAnsi="Times New Roman" w:cs="Times New Roman"/>
                <w:sz w:val="18"/>
                <w:szCs w:val="18"/>
              </w:rPr>
            </w:pPr>
          </w:p>
        </w:tc>
        <w:tc>
          <w:tcPr>
            <w:tcW w:w="846" w:type="dxa"/>
            <w:vAlign w:val="center"/>
            <w:hideMark/>
          </w:tcPr>
          <w:p w14:paraId="13FD2A32" w14:textId="77777777" w:rsidR="00416FA8" w:rsidRPr="009102D9" w:rsidRDefault="00416FA8" w:rsidP="004B6753">
            <w:pPr>
              <w:pStyle w:val="NoSpacing"/>
              <w:jc w:val="center"/>
              <w:rPr>
                <w:rFonts w:ascii="Times New Roman" w:hAnsi="Times New Roman" w:cs="Times New Roman"/>
                <w:sz w:val="18"/>
                <w:szCs w:val="18"/>
              </w:rPr>
            </w:pPr>
          </w:p>
        </w:tc>
        <w:tc>
          <w:tcPr>
            <w:tcW w:w="846" w:type="dxa"/>
            <w:vAlign w:val="center"/>
            <w:hideMark/>
          </w:tcPr>
          <w:p w14:paraId="72486C72" w14:textId="77777777" w:rsidR="00416FA8" w:rsidRPr="009102D9" w:rsidRDefault="00416FA8" w:rsidP="004B6753">
            <w:pPr>
              <w:pStyle w:val="NoSpacing"/>
              <w:jc w:val="center"/>
              <w:rPr>
                <w:rFonts w:ascii="Times New Roman" w:hAnsi="Times New Roman" w:cs="Times New Roman"/>
                <w:sz w:val="18"/>
                <w:szCs w:val="18"/>
              </w:rPr>
            </w:pPr>
          </w:p>
        </w:tc>
        <w:tc>
          <w:tcPr>
            <w:tcW w:w="1066" w:type="dxa"/>
            <w:vAlign w:val="center"/>
            <w:hideMark/>
          </w:tcPr>
          <w:p w14:paraId="5F7538AA" w14:textId="77777777" w:rsidR="00416FA8" w:rsidRPr="009102D9" w:rsidRDefault="00416FA8" w:rsidP="004B6753">
            <w:pPr>
              <w:pStyle w:val="NoSpacing"/>
              <w:jc w:val="center"/>
              <w:rPr>
                <w:rFonts w:ascii="Times New Roman" w:hAnsi="Times New Roman" w:cs="Times New Roman"/>
                <w:sz w:val="18"/>
                <w:szCs w:val="18"/>
              </w:rPr>
            </w:pPr>
          </w:p>
        </w:tc>
        <w:tc>
          <w:tcPr>
            <w:tcW w:w="1066" w:type="dxa"/>
            <w:vAlign w:val="center"/>
            <w:hideMark/>
          </w:tcPr>
          <w:p w14:paraId="2F0BB749" w14:textId="77777777" w:rsidR="00416FA8" w:rsidRPr="009102D9" w:rsidRDefault="00416FA8" w:rsidP="004B6753">
            <w:pPr>
              <w:pStyle w:val="NoSpacing"/>
              <w:jc w:val="center"/>
              <w:rPr>
                <w:rFonts w:ascii="Times New Roman" w:hAnsi="Times New Roman" w:cs="Times New Roman"/>
                <w:sz w:val="18"/>
                <w:szCs w:val="18"/>
              </w:rPr>
            </w:pPr>
          </w:p>
        </w:tc>
      </w:tr>
      <w:tr w:rsidR="00416FA8" w:rsidRPr="009102D9" w14:paraId="4155B672" w14:textId="77777777" w:rsidTr="004B6753">
        <w:trPr>
          <w:trHeight w:val="24"/>
        </w:trPr>
        <w:tc>
          <w:tcPr>
            <w:tcW w:w="1116" w:type="dxa"/>
            <w:hideMark/>
          </w:tcPr>
          <w:p w14:paraId="1ABDC3F3" w14:textId="77777777" w:rsidR="00416FA8" w:rsidRPr="009102D9" w:rsidRDefault="00416FA8" w:rsidP="00B77C0B">
            <w:pPr>
              <w:pStyle w:val="NoSpacing"/>
              <w:rPr>
                <w:rFonts w:ascii="Times New Roman" w:hAnsi="Times New Roman" w:cs="Times New Roman"/>
                <w:sz w:val="18"/>
                <w:szCs w:val="18"/>
              </w:rPr>
            </w:pPr>
            <w:r w:rsidRPr="009102D9">
              <w:rPr>
                <w:rFonts w:ascii="Times New Roman" w:hAnsi="Times New Roman" w:cs="Times New Roman"/>
                <w:sz w:val="18"/>
                <w:szCs w:val="18"/>
              </w:rPr>
              <w:t>TOTAL</w:t>
            </w:r>
          </w:p>
        </w:tc>
        <w:tc>
          <w:tcPr>
            <w:tcW w:w="796" w:type="dxa"/>
            <w:vAlign w:val="center"/>
            <w:hideMark/>
          </w:tcPr>
          <w:p w14:paraId="7D12FD4B" w14:textId="77777777" w:rsidR="00416FA8" w:rsidRPr="009102D9" w:rsidRDefault="00416FA8" w:rsidP="004B6753">
            <w:pPr>
              <w:pStyle w:val="NoSpacing"/>
              <w:jc w:val="center"/>
              <w:rPr>
                <w:rFonts w:ascii="Times New Roman" w:hAnsi="Times New Roman" w:cs="Times New Roman"/>
                <w:sz w:val="18"/>
                <w:szCs w:val="18"/>
              </w:rPr>
            </w:pPr>
            <w:r w:rsidRPr="009102D9">
              <w:rPr>
                <w:rFonts w:ascii="Times New Roman" w:hAnsi="Times New Roman" w:cs="Times New Roman"/>
                <w:sz w:val="18"/>
                <w:szCs w:val="18"/>
              </w:rPr>
              <w:t>7.59</w:t>
            </w:r>
          </w:p>
        </w:tc>
        <w:tc>
          <w:tcPr>
            <w:tcW w:w="1066" w:type="dxa"/>
            <w:vAlign w:val="center"/>
            <w:hideMark/>
          </w:tcPr>
          <w:p w14:paraId="5C8C130A" w14:textId="77777777" w:rsidR="00416FA8" w:rsidRPr="009102D9" w:rsidRDefault="00416FA8" w:rsidP="004B6753">
            <w:pPr>
              <w:pStyle w:val="NoSpacing"/>
              <w:jc w:val="center"/>
              <w:rPr>
                <w:rFonts w:ascii="Times New Roman" w:hAnsi="Times New Roman" w:cs="Times New Roman"/>
                <w:sz w:val="18"/>
                <w:szCs w:val="18"/>
              </w:rPr>
            </w:pPr>
            <w:r w:rsidRPr="009102D9">
              <w:rPr>
                <w:rFonts w:ascii="Times New Roman" w:hAnsi="Times New Roman" w:cs="Times New Roman"/>
                <w:sz w:val="18"/>
                <w:szCs w:val="18"/>
              </w:rPr>
              <w:t>3.43</w:t>
            </w:r>
          </w:p>
        </w:tc>
        <w:tc>
          <w:tcPr>
            <w:tcW w:w="0" w:type="auto"/>
            <w:vAlign w:val="center"/>
            <w:hideMark/>
          </w:tcPr>
          <w:p w14:paraId="04C35CF3" w14:textId="77777777" w:rsidR="00416FA8" w:rsidRPr="009102D9" w:rsidRDefault="00416FA8" w:rsidP="004B6753">
            <w:pPr>
              <w:pStyle w:val="NoSpacing"/>
              <w:jc w:val="center"/>
              <w:rPr>
                <w:rFonts w:ascii="Times New Roman" w:hAnsi="Times New Roman" w:cs="Times New Roman"/>
                <w:sz w:val="18"/>
                <w:szCs w:val="18"/>
              </w:rPr>
            </w:pPr>
            <w:r w:rsidRPr="009102D9">
              <w:rPr>
                <w:rFonts w:ascii="Times New Roman" w:hAnsi="Times New Roman" w:cs="Times New Roman"/>
                <w:sz w:val="18"/>
                <w:szCs w:val="18"/>
              </w:rPr>
              <w:t>2.05</w:t>
            </w:r>
          </w:p>
        </w:tc>
        <w:tc>
          <w:tcPr>
            <w:tcW w:w="0" w:type="auto"/>
            <w:vAlign w:val="center"/>
            <w:hideMark/>
          </w:tcPr>
          <w:p w14:paraId="55D1827C" w14:textId="77777777" w:rsidR="00416FA8" w:rsidRPr="009102D9" w:rsidRDefault="00416FA8" w:rsidP="004B6753">
            <w:pPr>
              <w:pStyle w:val="NoSpacing"/>
              <w:jc w:val="center"/>
              <w:rPr>
                <w:rFonts w:ascii="Times New Roman" w:hAnsi="Times New Roman" w:cs="Times New Roman"/>
                <w:sz w:val="18"/>
                <w:szCs w:val="18"/>
              </w:rPr>
            </w:pPr>
            <w:r w:rsidRPr="009102D9">
              <w:rPr>
                <w:rFonts w:ascii="Times New Roman" w:hAnsi="Times New Roman" w:cs="Times New Roman"/>
                <w:sz w:val="18"/>
                <w:szCs w:val="18"/>
              </w:rPr>
              <w:t>1.89</w:t>
            </w:r>
          </w:p>
        </w:tc>
        <w:tc>
          <w:tcPr>
            <w:tcW w:w="0" w:type="auto"/>
            <w:vAlign w:val="center"/>
            <w:hideMark/>
          </w:tcPr>
          <w:p w14:paraId="6187AF54" w14:textId="77777777" w:rsidR="00416FA8" w:rsidRPr="009102D9" w:rsidRDefault="00416FA8" w:rsidP="004B6753">
            <w:pPr>
              <w:pStyle w:val="NoSpacing"/>
              <w:jc w:val="center"/>
              <w:rPr>
                <w:rFonts w:ascii="Times New Roman" w:hAnsi="Times New Roman" w:cs="Times New Roman"/>
                <w:sz w:val="18"/>
                <w:szCs w:val="18"/>
              </w:rPr>
            </w:pPr>
            <w:r w:rsidRPr="009102D9">
              <w:rPr>
                <w:rFonts w:ascii="Times New Roman" w:hAnsi="Times New Roman" w:cs="Times New Roman"/>
                <w:sz w:val="18"/>
                <w:szCs w:val="18"/>
              </w:rPr>
              <w:t>3.45</w:t>
            </w:r>
          </w:p>
        </w:tc>
        <w:tc>
          <w:tcPr>
            <w:tcW w:w="1256" w:type="dxa"/>
            <w:vAlign w:val="center"/>
            <w:hideMark/>
          </w:tcPr>
          <w:p w14:paraId="2D5E1304" w14:textId="77777777" w:rsidR="00416FA8" w:rsidRPr="009102D9" w:rsidRDefault="00416FA8" w:rsidP="004B6753">
            <w:pPr>
              <w:pStyle w:val="NoSpacing"/>
              <w:jc w:val="center"/>
              <w:rPr>
                <w:rFonts w:ascii="Times New Roman" w:hAnsi="Times New Roman" w:cs="Times New Roman"/>
                <w:sz w:val="18"/>
                <w:szCs w:val="18"/>
              </w:rPr>
            </w:pPr>
            <w:r w:rsidRPr="009102D9">
              <w:rPr>
                <w:rFonts w:ascii="Times New Roman" w:hAnsi="Times New Roman" w:cs="Times New Roman"/>
                <w:sz w:val="18"/>
                <w:szCs w:val="18"/>
              </w:rPr>
              <w:t>1.46</w:t>
            </w:r>
          </w:p>
        </w:tc>
        <w:tc>
          <w:tcPr>
            <w:tcW w:w="1256" w:type="dxa"/>
            <w:vAlign w:val="center"/>
            <w:hideMark/>
          </w:tcPr>
          <w:p w14:paraId="0D0C50B4" w14:textId="77777777" w:rsidR="00416FA8" w:rsidRPr="009102D9" w:rsidRDefault="00416FA8" w:rsidP="004B6753">
            <w:pPr>
              <w:pStyle w:val="NoSpacing"/>
              <w:jc w:val="center"/>
              <w:rPr>
                <w:rFonts w:ascii="Times New Roman" w:hAnsi="Times New Roman" w:cs="Times New Roman"/>
                <w:sz w:val="18"/>
                <w:szCs w:val="18"/>
              </w:rPr>
            </w:pPr>
            <w:r w:rsidRPr="009102D9">
              <w:rPr>
                <w:rFonts w:ascii="Times New Roman" w:hAnsi="Times New Roman" w:cs="Times New Roman"/>
                <w:sz w:val="18"/>
                <w:szCs w:val="18"/>
              </w:rPr>
              <w:t>6.80</w:t>
            </w:r>
          </w:p>
        </w:tc>
        <w:tc>
          <w:tcPr>
            <w:tcW w:w="0" w:type="auto"/>
            <w:vAlign w:val="center"/>
            <w:hideMark/>
          </w:tcPr>
          <w:p w14:paraId="2C80D179" w14:textId="77777777" w:rsidR="00416FA8" w:rsidRPr="009102D9" w:rsidRDefault="00416FA8" w:rsidP="004B6753">
            <w:pPr>
              <w:pStyle w:val="NoSpacing"/>
              <w:jc w:val="center"/>
              <w:rPr>
                <w:rFonts w:ascii="Times New Roman" w:hAnsi="Times New Roman" w:cs="Times New Roman"/>
                <w:sz w:val="18"/>
                <w:szCs w:val="18"/>
              </w:rPr>
            </w:pPr>
            <w:r w:rsidRPr="009102D9">
              <w:rPr>
                <w:rFonts w:ascii="Times New Roman" w:hAnsi="Times New Roman" w:cs="Times New Roman"/>
                <w:sz w:val="18"/>
                <w:szCs w:val="18"/>
              </w:rPr>
              <w:t>10.37</w:t>
            </w:r>
          </w:p>
        </w:tc>
        <w:tc>
          <w:tcPr>
            <w:tcW w:w="0" w:type="auto"/>
            <w:vAlign w:val="center"/>
            <w:hideMark/>
          </w:tcPr>
          <w:p w14:paraId="64F0DEC1" w14:textId="77777777" w:rsidR="00416FA8" w:rsidRPr="009102D9" w:rsidRDefault="00416FA8" w:rsidP="004B6753">
            <w:pPr>
              <w:pStyle w:val="NoSpacing"/>
              <w:jc w:val="center"/>
              <w:rPr>
                <w:rFonts w:ascii="Times New Roman" w:hAnsi="Times New Roman" w:cs="Times New Roman"/>
                <w:sz w:val="18"/>
                <w:szCs w:val="18"/>
              </w:rPr>
            </w:pPr>
            <w:r w:rsidRPr="009102D9">
              <w:rPr>
                <w:rFonts w:ascii="Times New Roman" w:hAnsi="Times New Roman" w:cs="Times New Roman"/>
                <w:sz w:val="18"/>
                <w:szCs w:val="18"/>
              </w:rPr>
              <w:t>2.44</w:t>
            </w:r>
          </w:p>
        </w:tc>
        <w:tc>
          <w:tcPr>
            <w:tcW w:w="0" w:type="auto"/>
            <w:vAlign w:val="center"/>
            <w:hideMark/>
          </w:tcPr>
          <w:p w14:paraId="079E7D1D" w14:textId="77777777" w:rsidR="00416FA8" w:rsidRPr="009102D9" w:rsidRDefault="00416FA8" w:rsidP="004B6753">
            <w:pPr>
              <w:pStyle w:val="NoSpacing"/>
              <w:jc w:val="center"/>
              <w:rPr>
                <w:rFonts w:ascii="Times New Roman" w:hAnsi="Times New Roman" w:cs="Times New Roman"/>
                <w:sz w:val="18"/>
                <w:szCs w:val="18"/>
              </w:rPr>
            </w:pPr>
            <w:r w:rsidRPr="009102D9">
              <w:rPr>
                <w:rFonts w:ascii="Times New Roman" w:hAnsi="Times New Roman" w:cs="Times New Roman"/>
                <w:sz w:val="18"/>
                <w:szCs w:val="18"/>
              </w:rPr>
              <w:t>1.64</w:t>
            </w:r>
          </w:p>
        </w:tc>
        <w:tc>
          <w:tcPr>
            <w:tcW w:w="1046" w:type="dxa"/>
            <w:vAlign w:val="center"/>
            <w:hideMark/>
          </w:tcPr>
          <w:p w14:paraId="663283B2" w14:textId="77777777" w:rsidR="00416FA8" w:rsidRPr="009102D9" w:rsidRDefault="00416FA8" w:rsidP="004B6753">
            <w:pPr>
              <w:pStyle w:val="NoSpacing"/>
              <w:jc w:val="center"/>
              <w:rPr>
                <w:rFonts w:ascii="Times New Roman" w:hAnsi="Times New Roman" w:cs="Times New Roman"/>
                <w:sz w:val="18"/>
                <w:szCs w:val="18"/>
              </w:rPr>
            </w:pPr>
            <w:r w:rsidRPr="009102D9">
              <w:rPr>
                <w:rFonts w:ascii="Times New Roman" w:hAnsi="Times New Roman" w:cs="Times New Roman"/>
                <w:sz w:val="18"/>
                <w:szCs w:val="18"/>
              </w:rPr>
              <w:t>3.33</w:t>
            </w:r>
          </w:p>
        </w:tc>
        <w:tc>
          <w:tcPr>
            <w:tcW w:w="846" w:type="dxa"/>
            <w:vAlign w:val="center"/>
            <w:hideMark/>
          </w:tcPr>
          <w:p w14:paraId="3AF32C6A" w14:textId="77777777" w:rsidR="00416FA8" w:rsidRPr="009102D9" w:rsidRDefault="00416FA8" w:rsidP="004B6753">
            <w:pPr>
              <w:pStyle w:val="NoSpacing"/>
              <w:jc w:val="center"/>
              <w:rPr>
                <w:rFonts w:ascii="Times New Roman" w:hAnsi="Times New Roman" w:cs="Times New Roman"/>
                <w:sz w:val="18"/>
                <w:szCs w:val="18"/>
              </w:rPr>
            </w:pPr>
            <w:r w:rsidRPr="009102D9">
              <w:rPr>
                <w:rFonts w:ascii="Times New Roman" w:hAnsi="Times New Roman" w:cs="Times New Roman"/>
                <w:sz w:val="18"/>
                <w:szCs w:val="18"/>
              </w:rPr>
              <w:t>4.75</w:t>
            </w:r>
          </w:p>
        </w:tc>
        <w:tc>
          <w:tcPr>
            <w:tcW w:w="846" w:type="dxa"/>
            <w:vAlign w:val="center"/>
            <w:hideMark/>
          </w:tcPr>
          <w:p w14:paraId="1DFBB5CD" w14:textId="77777777" w:rsidR="00416FA8" w:rsidRPr="009102D9" w:rsidRDefault="00416FA8" w:rsidP="004B6753">
            <w:pPr>
              <w:pStyle w:val="NoSpacing"/>
              <w:jc w:val="center"/>
              <w:rPr>
                <w:rFonts w:ascii="Times New Roman" w:hAnsi="Times New Roman" w:cs="Times New Roman"/>
                <w:sz w:val="18"/>
                <w:szCs w:val="18"/>
              </w:rPr>
            </w:pPr>
            <w:r w:rsidRPr="009102D9">
              <w:rPr>
                <w:rFonts w:ascii="Times New Roman" w:hAnsi="Times New Roman" w:cs="Times New Roman"/>
                <w:sz w:val="18"/>
                <w:szCs w:val="18"/>
              </w:rPr>
              <w:t>22.53</w:t>
            </w:r>
          </w:p>
        </w:tc>
        <w:tc>
          <w:tcPr>
            <w:tcW w:w="1066" w:type="dxa"/>
            <w:vAlign w:val="center"/>
            <w:hideMark/>
          </w:tcPr>
          <w:p w14:paraId="5C7A4466" w14:textId="77777777" w:rsidR="00416FA8" w:rsidRPr="009102D9" w:rsidRDefault="00416FA8" w:rsidP="004B6753">
            <w:pPr>
              <w:pStyle w:val="NoSpacing"/>
              <w:jc w:val="center"/>
              <w:rPr>
                <w:rFonts w:ascii="Times New Roman" w:hAnsi="Times New Roman" w:cs="Times New Roman"/>
                <w:sz w:val="18"/>
                <w:szCs w:val="18"/>
              </w:rPr>
            </w:pPr>
            <w:r w:rsidRPr="009102D9">
              <w:rPr>
                <w:rFonts w:ascii="Times New Roman" w:hAnsi="Times New Roman" w:cs="Times New Roman"/>
                <w:sz w:val="18"/>
                <w:szCs w:val="18"/>
              </w:rPr>
              <w:t>31.39</w:t>
            </w:r>
          </w:p>
        </w:tc>
        <w:tc>
          <w:tcPr>
            <w:tcW w:w="1066" w:type="dxa"/>
            <w:vAlign w:val="center"/>
            <w:hideMark/>
          </w:tcPr>
          <w:p w14:paraId="599EEF78" w14:textId="77777777" w:rsidR="00416FA8" w:rsidRPr="009102D9" w:rsidRDefault="00416FA8" w:rsidP="004B6753">
            <w:pPr>
              <w:pStyle w:val="NoSpacing"/>
              <w:jc w:val="center"/>
              <w:rPr>
                <w:rFonts w:ascii="Times New Roman" w:hAnsi="Times New Roman" w:cs="Times New Roman"/>
                <w:sz w:val="18"/>
                <w:szCs w:val="18"/>
              </w:rPr>
            </w:pPr>
            <w:r w:rsidRPr="009102D9">
              <w:rPr>
                <w:rFonts w:ascii="Times New Roman" w:hAnsi="Times New Roman" w:cs="Times New Roman"/>
                <w:sz w:val="18"/>
                <w:szCs w:val="18"/>
              </w:rPr>
              <w:t>52.38</w:t>
            </w:r>
          </w:p>
        </w:tc>
      </w:tr>
    </w:tbl>
    <w:p w14:paraId="61A79F7F" w14:textId="77777777" w:rsidR="00416FA8" w:rsidRPr="007245B0" w:rsidRDefault="00416FA8" w:rsidP="00A85D2D">
      <w:pPr>
        <w:pStyle w:val="Sources"/>
      </w:pPr>
      <w:r w:rsidRPr="007245B0">
        <w:rPr>
          <w:b/>
          <w:bCs/>
        </w:rPr>
        <w:t>Source:</w:t>
      </w:r>
      <w:r w:rsidRPr="007245B0">
        <w:t> State Budgets.</w:t>
      </w:r>
      <w:r w:rsidRPr="007245B0">
        <w:br/>
      </w:r>
      <w:r w:rsidRPr="007245B0">
        <w:rPr>
          <w:b/>
          <w:bCs/>
        </w:rPr>
        <w:t>NOTE:</w:t>
      </w:r>
      <w:r w:rsidRPr="007245B0">
        <w:t> Per capita based on population projections as on March 1, 1967.</w:t>
      </w:r>
    </w:p>
    <w:p w14:paraId="7905FA6D" w14:textId="77777777" w:rsidR="00416FA8" w:rsidRPr="007245B0" w:rsidRDefault="00416FA8" w:rsidP="00416FA8">
      <w:pPr>
        <w:jc w:val="center"/>
        <w:rPr>
          <w:rFonts w:ascii="Times New Roman" w:hAnsi="Times New Roman" w:cs="Times New Roman"/>
          <w:b/>
          <w:bCs/>
          <w:szCs w:val="24"/>
        </w:rPr>
        <w:sectPr w:rsidR="00416FA8" w:rsidRPr="007245B0" w:rsidSect="00A85D2D">
          <w:pgSz w:w="15840" w:h="12240" w:orient="landscape"/>
          <w:pgMar w:top="1440" w:right="992" w:bottom="851" w:left="1440" w:header="720" w:footer="720" w:gutter="0"/>
          <w:cols w:space="720"/>
        </w:sectPr>
      </w:pPr>
    </w:p>
    <w:p w14:paraId="1CA6E831" w14:textId="77777777" w:rsidR="00416FA8" w:rsidRPr="007245B0" w:rsidRDefault="00416FA8">
      <w:pPr>
        <w:rPr>
          <w:rFonts w:ascii="Times New Roman" w:hAnsi="Times New Roman" w:cs="Times New Roman"/>
        </w:rPr>
      </w:pPr>
    </w:p>
    <w:p w14:paraId="75652938" w14:textId="77777777" w:rsidR="00416FA8" w:rsidRPr="007245B0" w:rsidRDefault="00416FA8">
      <w:pPr>
        <w:rPr>
          <w:rFonts w:ascii="Times New Roman" w:hAnsi="Times New Roman" w:cs="Times New Roman"/>
        </w:rPr>
        <w:sectPr w:rsidR="00416FA8" w:rsidRPr="007245B0" w:rsidSect="00416FA8">
          <w:pgSz w:w="12240" w:h="15840"/>
          <w:pgMar w:top="992" w:right="1440" w:bottom="1440" w:left="1440" w:header="720" w:footer="720" w:gutter="0"/>
          <w:cols w:space="720"/>
        </w:sectPr>
      </w:pPr>
    </w:p>
    <w:tbl>
      <w:tblPr>
        <w:tblStyle w:val="TableGrid"/>
        <w:tblpPr w:leftFromText="180" w:rightFromText="180" w:vertAnchor="text" w:horzAnchor="page" w:tblpX="470" w:tblpY="738"/>
        <w:tblW w:w="15005" w:type="dxa"/>
        <w:tblLook w:val="04A0" w:firstRow="1" w:lastRow="0" w:firstColumn="1" w:lastColumn="0" w:noHBand="0" w:noVBand="1"/>
      </w:tblPr>
      <w:tblGrid>
        <w:gridCol w:w="2168"/>
        <w:gridCol w:w="1167"/>
        <w:gridCol w:w="1167"/>
        <w:gridCol w:w="1167"/>
        <w:gridCol w:w="1167"/>
        <w:gridCol w:w="1167"/>
        <w:gridCol w:w="1167"/>
        <w:gridCol w:w="1167"/>
        <w:gridCol w:w="1167"/>
        <w:gridCol w:w="1167"/>
        <w:gridCol w:w="1167"/>
        <w:gridCol w:w="1167"/>
      </w:tblGrid>
      <w:tr w:rsidR="009102D9" w:rsidRPr="003874AC" w14:paraId="7E85855A" w14:textId="77777777" w:rsidTr="00CA122E">
        <w:trPr>
          <w:trHeight w:val="20"/>
        </w:trPr>
        <w:tc>
          <w:tcPr>
            <w:tcW w:w="2168" w:type="dxa"/>
            <w:vAlign w:val="center"/>
            <w:hideMark/>
          </w:tcPr>
          <w:p w14:paraId="5F7B1BA9" w14:textId="77777777" w:rsidR="009102D9" w:rsidRPr="00CA122E" w:rsidRDefault="009102D9" w:rsidP="00CA122E">
            <w:pPr>
              <w:pStyle w:val="NoSpacing"/>
              <w:jc w:val="center"/>
              <w:rPr>
                <w:rFonts w:ascii="Times New Roman" w:hAnsi="Times New Roman" w:cs="Times New Roman"/>
                <w:b/>
                <w:bCs/>
                <w:sz w:val="28"/>
                <w:szCs w:val="22"/>
              </w:rPr>
            </w:pPr>
            <w:r w:rsidRPr="00CA122E">
              <w:rPr>
                <w:rFonts w:ascii="Times New Roman" w:hAnsi="Times New Roman" w:cs="Times New Roman"/>
                <w:b/>
                <w:bCs/>
                <w:sz w:val="28"/>
                <w:szCs w:val="22"/>
              </w:rPr>
              <w:lastRenderedPageBreak/>
              <w:t>States</w:t>
            </w:r>
          </w:p>
        </w:tc>
        <w:tc>
          <w:tcPr>
            <w:tcW w:w="1167" w:type="dxa"/>
            <w:vAlign w:val="center"/>
            <w:hideMark/>
          </w:tcPr>
          <w:p w14:paraId="10E10082" w14:textId="77777777" w:rsidR="009102D9" w:rsidRPr="00CA122E" w:rsidRDefault="009102D9" w:rsidP="00CA122E">
            <w:pPr>
              <w:pStyle w:val="NoSpacing"/>
              <w:jc w:val="center"/>
              <w:rPr>
                <w:rFonts w:ascii="Times New Roman" w:hAnsi="Times New Roman" w:cs="Times New Roman"/>
                <w:b/>
                <w:bCs/>
                <w:sz w:val="28"/>
                <w:szCs w:val="22"/>
              </w:rPr>
            </w:pPr>
            <w:r w:rsidRPr="00CA122E">
              <w:rPr>
                <w:rFonts w:ascii="Times New Roman" w:hAnsi="Times New Roman" w:cs="Times New Roman"/>
                <w:b/>
                <w:bCs/>
                <w:sz w:val="28"/>
                <w:szCs w:val="22"/>
              </w:rPr>
              <w:t>1957-58</w:t>
            </w:r>
          </w:p>
        </w:tc>
        <w:tc>
          <w:tcPr>
            <w:tcW w:w="1167" w:type="dxa"/>
            <w:vAlign w:val="center"/>
            <w:hideMark/>
          </w:tcPr>
          <w:p w14:paraId="22DD3419" w14:textId="77777777" w:rsidR="009102D9" w:rsidRPr="00CA122E" w:rsidRDefault="009102D9" w:rsidP="00CA122E">
            <w:pPr>
              <w:pStyle w:val="NoSpacing"/>
              <w:jc w:val="center"/>
              <w:rPr>
                <w:rFonts w:ascii="Times New Roman" w:hAnsi="Times New Roman" w:cs="Times New Roman"/>
                <w:b/>
                <w:bCs/>
                <w:sz w:val="28"/>
                <w:szCs w:val="22"/>
              </w:rPr>
            </w:pPr>
            <w:r w:rsidRPr="00CA122E">
              <w:rPr>
                <w:rFonts w:ascii="Times New Roman" w:hAnsi="Times New Roman" w:cs="Times New Roman"/>
                <w:b/>
                <w:bCs/>
                <w:sz w:val="28"/>
                <w:szCs w:val="22"/>
              </w:rPr>
              <w:t>1958-59</w:t>
            </w:r>
          </w:p>
        </w:tc>
        <w:tc>
          <w:tcPr>
            <w:tcW w:w="1167" w:type="dxa"/>
            <w:vAlign w:val="center"/>
            <w:hideMark/>
          </w:tcPr>
          <w:p w14:paraId="1B2477C1" w14:textId="77777777" w:rsidR="009102D9" w:rsidRPr="00CA122E" w:rsidRDefault="009102D9" w:rsidP="00CA122E">
            <w:pPr>
              <w:pStyle w:val="NoSpacing"/>
              <w:jc w:val="center"/>
              <w:rPr>
                <w:rFonts w:ascii="Times New Roman" w:hAnsi="Times New Roman" w:cs="Times New Roman"/>
                <w:b/>
                <w:bCs/>
                <w:sz w:val="28"/>
                <w:szCs w:val="22"/>
              </w:rPr>
            </w:pPr>
            <w:r w:rsidRPr="00CA122E">
              <w:rPr>
                <w:rFonts w:ascii="Times New Roman" w:hAnsi="Times New Roman" w:cs="Times New Roman"/>
                <w:b/>
                <w:bCs/>
                <w:sz w:val="28"/>
                <w:szCs w:val="22"/>
              </w:rPr>
              <w:t>1959-60</w:t>
            </w:r>
          </w:p>
        </w:tc>
        <w:tc>
          <w:tcPr>
            <w:tcW w:w="1167" w:type="dxa"/>
            <w:vAlign w:val="center"/>
            <w:hideMark/>
          </w:tcPr>
          <w:p w14:paraId="6112E454" w14:textId="77777777" w:rsidR="009102D9" w:rsidRPr="00CA122E" w:rsidRDefault="009102D9" w:rsidP="00CA122E">
            <w:pPr>
              <w:pStyle w:val="NoSpacing"/>
              <w:jc w:val="center"/>
              <w:rPr>
                <w:rFonts w:ascii="Times New Roman" w:hAnsi="Times New Roman" w:cs="Times New Roman"/>
                <w:b/>
                <w:bCs/>
                <w:sz w:val="28"/>
                <w:szCs w:val="22"/>
              </w:rPr>
            </w:pPr>
            <w:r w:rsidRPr="00CA122E">
              <w:rPr>
                <w:rFonts w:ascii="Times New Roman" w:hAnsi="Times New Roman" w:cs="Times New Roman"/>
                <w:b/>
                <w:bCs/>
                <w:sz w:val="28"/>
                <w:szCs w:val="22"/>
              </w:rPr>
              <w:t>1960-61</w:t>
            </w:r>
          </w:p>
        </w:tc>
        <w:tc>
          <w:tcPr>
            <w:tcW w:w="1167" w:type="dxa"/>
            <w:vAlign w:val="center"/>
            <w:hideMark/>
          </w:tcPr>
          <w:p w14:paraId="2CCE53B7" w14:textId="77777777" w:rsidR="009102D9" w:rsidRPr="00CA122E" w:rsidRDefault="009102D9" w:rsidP="00CA122E">
            <w:pPr>
              <w:pStyle w:val="NoSpacing"/>
              <w:jc w:val="center"/>
              <w:rPr>
                <w:rFonts w:ascii="Times New Roman" w:hAnsi="Times New Roman" w:cs="Times New Roman"/>
                <w:b/>
                <w:bCs/>
                <w:sz w:val="28"/>
                <w:szCs w:val="22"/>
              </w:rPr>
            </w:pPr>
            <w:r w:rsidRPr="00CA122E">
              <w:rPr>
                <w:rFonts w:ascii="Times New Roman" w:hAnsi="Times New Roman" w:cs="Times New Roman"/>
                <w:b/>
                <w:bCs/>
                <w:sz w:val="28"/>
                <w:szCs w:val="22"/>
              </w:rPr>
              <w:t>1961-62</w:t>
            </w:r>
          </w:p>
        </w:tc>
        <w:tc>
          <w:tcPr>
            <w:tcW w:w="1167" w:type="dxa"/>
            <w:vAlign w:val="center"/>
            <w:hideMark/>
          </w:tcPr>
          <w:p w14:paraId="026E6E39" w14:textId="77777777" w:rsidR="009102D9" w:rsidRPr="00CA122E" w:rsidRDefault="009102D9" w:rsidP="00CA122E">
            <w:pPr>
              <w:pStyle w:val="NoSpacing"/>
              <w:jc w:val="center"/>
              <w:rPr>
                <w:rFonts w:ascii="Times New Roman" w:hAnsi="Times New Roman" w:cs="Times New Roman"/>
                <w:b/>
                <w:bCs/>
                <w:sz w:val="28"/>
                <w:szCs w:val="22"/>
              </w:rPr>
            </w:pPr>
            <w:r w:rsidRPr="00CA122E">
              <w:rPr>
                <w:rFonts w:ascii="Times New Roman" w:hAnsi="Times New Roman" w:cs="Times New Roman"/>
                <w:b/>
                <w:bCs/>
                <w:sz w:val="28"/>
                <w:szCs w:val="22"/>
              </w:rPr>
              <w:t>1962-63</w:t>
            </w:r>
          </w:p>
        </w:tc>
        <w:tc>
          <w:tcPr>
            <w:tcW w:w="1167" w:type="dxa"/>
            <w:vAlign w:val="center"/>
            <w:hideMark/>
          </w:tcPr>
          <w:p w14:paraId="618732E8" w14:textId="77777777" w:rsidR="009102D9" w:rsidRPr="00CA122E" w:rsidRDefault="009102D9" w:rsidP="00CA122E">
            <w:pPr>
              <w:pStyle w:val="NoSpacing"/>
              <w:jc w:val="center"/>
              <w:rPr>
                <w:rFonts w:ascii="Times New Roman" w:hAnsi="Times New Roman" w:cs="Times New Roman"/>
                <w:b/>
                <w:bCs/>
                <w:sz w:val="28"/>
                <w:szCs w:val="22"/>
              </w:rPr>
            </w:pPr>
            <w:r w:rsidRPr="00CA122E">
              <w:rPr>
                <w:rFonts w:ascii="Times New Roman" w:hAnsi="Times New Roman" w:cs="Times New Roman"/>
                <w:b/>
                <w:bCs/>
                <w:sz w:val="28"/>
                <w:szCs w:val="22"/>
              </w:rPr>
              <w:t>1963-64</w:t>
            </w:r>
          </w:p>
        </w:tc>
        <w:tc>
          <w:tcPr>
            <w:tcW w:w="1167" w:type="dxa"/>
            <w:vAlign w:val="center"/>
            <w:hideMark/>
          </w:tcPr>
          <w:p w14:paraId="1AB8E2F3" w14:textId="77777777" w:rsidR="009102D9" w:rsidRPr="00CA122E" w:rsidRDefault="009102D9" w:rsidP="00CA122E">
            <w:pPr>
              <w:pStyle w:val="NoSpacing"/>
              <w:jc w:val="center"/>
              <w:rPr>
                <w:rFonts w:ascii="Times New Roman" w:hAnsi="Times New Roman" w:cs="Times New Roman"/>
                <w:b/>
                <w:bCs/>
                <w:sz w:val="28"/>
                <w:szCs w:val="22"/>
              </w:rPr>
            </w:pPr>
            <w:r w:rsidRPr="00CA122E">
              <w:rPr>
                <w:rFonts w:ascii="Times New Roman" w:hAnsi="Times New Roman" w:cs="Times New Roman"/>
                <w:b/>
                <w:bCs/>
                <w:sz w:val="28"/>
                <w:szCs w:val="22"/>
              </w:rPr>
              <w:t>1964-65</w:t>
            </w:r>
          </w:p>
        </w:tc>
        <w:tc>
          <w:tcPr>
            <w:tcW w:w="1167" w:type="dxa"/>
            <w:vAlign w:val="center"/>
            <w:hideMark/>
          </w:tcPr>
          <w:p w14:paraId="41E747A3" w14:textId="77777777" w:rsidR="009102D9" w:rsidRPr="00CA122E" w:rsidRDefault="009102D9" w:rsidP="00CA122E">
            <w:pPr>
              <w:pStyle w:val="NoSpacing"/>
              <w:jc w:val="center"/>
              <w:rPr>
                <w:rFonts w:ascii="Times New Roman" w:hAnsi="Times New Roman" w:cs="Times New Roman"/>
                <w:b/>
                <w:bCs/>
                <w:sz w:val="28"/>
                <w:szCs w:val="22"/>
              </w:rPr>
            </w:pPr>
            <w:r w:rsidRPr="00CA122E">
              <w:rPr>
                <w:rFonts w:ascii="Times New Roman" w:hAnsi="Times New Roman" w:cs="Times New Roman"/>
                <w:b/>
                <w:bCs/>
                <w:sz w:val="28"/>
                <w:szCs w:val="22"/>
              </w:rPr>
              <w:t>1965-66</w:t>
            </w:r>
          </w:p>
        </w:tc>
        <w:tc>
          <w:tcPr>
            <w:tcW w:w="1167" w:type="dxa"/>
            <w:vAlign w:val="center"/>
            <w:hideMark/>
          </w:tcPr>
          <w:p w14:paraId="60B41D5E" w14:textId="77777777" w:rsidR="009102D9" w:rsidRPr="00CA122E" w:rsidRDefault="009102D9" w:rsidP="00CA122E">
            <w:pPr>
              <w:pStyle w:val="NoSpacing"/>
              <w:jc w:val="center"/>
              <w:rPr>
                <w:rFonts w:ascii="Times New Roman" w:hAnsi="Times New Roman" w:cs="Times New Roman"/>
                <w:b/>
                <w:bCs/>
                <w:sz w:val="28"/>
                <w:szCs w:val="22"/>
              </w:rPr>
            </w:pPr>
            <w:r w:rsidRPr="00CA122E">
              <w:rPr>
                <w:rFonts w:ascii="Times New Roman" w:hAnsi="Times New Roman" w:cs="Times New Roman"/>
                <w:b/>
                <w:bCs/>
                <w:sz w:val="28"/>
                <w:szCs w:val="22"/>
              </w:rPr>
              <w:t>1966-67</w:t>
            </w:r>
          </w:p>
        </w:tc>
        <w:tc>
          <w:tcPr>
            <w:tcW w:w="1167" w:type="dxa"/>
            <w:vAlign w:val="center"/>
            <w:hideMark/>
          </w:tcPr>
          <w:p w14:paraId="78D7813A" w14:textId="77777777" w:rsidR="009102D9" w:rsidRPr="00CA122E" w:rsidRDefault="009102D9" w:rsidP="00CA122E">
            <w:pPr>
              <w:pStyle w:val="NoSpacing"/>
              <w:jc w:val="center"/>
              <w:rPr>
                <w:rFonts w:ascii="Times New Roman" w:hAnsi="Times New Roman" w:cs="Times New Roman"/>
                <w:b/>
                <w:bCs/>
                <w:sz w:val="28"/>
                <w:szCs w:val="22"/>
              </w:rPr>
            </w:pPr>
            <w:r w:rsidRPr="00CA122E">
              <w:rPr>
                <w:rFonts w:ascii="Times New Roman" w:hAnsi="Times New Roman" w:cs="Times New Roman"/>
                <w:b/>
                <w:bCs/>
                <w:sz w:val="28"/>
                <w:szCs w:val="22"/>
              </w:rPr>
              <w:t>1967-68</w:t>
            </w:r>
          </w:p>
        </w:tc>
      </w:tr>
      <w:tr w:rsidR="009102D9" w:rsidRPr="003874AC" w14:paraId="11D6833E" w14:textId="77777777" w:rsidTr="00CA122E">
        <w:trPr>
          <w:trHeight w:val="20"/>
        </w:trPr>
        <w:tc>
          <w:tcPr>
            <w:tcW w:w="2168" w:type="dxa"/>
            <w:hideMark/>
          </w:tcPr>
          <w:p w14:paraId="6359D47D" w14:textId="77777777" w:rsidR="009102D9" w:rsidRPr="003874AC" w:rsidRDefault="009102D9" w:rsidP="009102D9">
            <w:pPr>
              <w:pStyle w:val="NoSpacing"/>
              <w:rPr>
                <w:rFonts w:ascii="Times New Roman" w:hAnsi="Times New Roman" w:cs="Times New Roman"/>
                <w:sz w:val="28"/>
                <w:szCs w:val="22"/>
              </w:rPr>
            </w:pPr>
            <w:r w:rsidRPr="003874AC">
              <w:rPr>
                <w:rFonts w:ascii="Times New Roman" w:hAnsi="Times New Roman" w:cs="Times New Roman"/>
                <w:sz w:val="28"/>
                <w:szCs w:val="22"/>
              </w:rPr>
              <w:t>Andhra Pradesh</w:t>
            </w:r>
          </w:p>
        </w:tc>
        <w:tc>
          <w:tcPr>
            <w:tcW w:w="1167" w:type="dxa"/>
            <w:vAlign w:val="center"/>
            <w:hideMark/>
          </w:tcPr>
          <w:p w14:paraId="0839B6ED" w14:textId="77777777" w:rsidR="009102D9" w:rsidRPr="003874AC" w:rsidRDefault="009102D9" w:rsidP="00CA122E">
            <w:pPr>
              <w:pStyle w:val="NoSpacing"/>
              <w:jc w:val="center"/>
              <w:rPr>
                <w:rFonts w:ascii="Times New Roman" w:hAnsi="Times New Roman" w:cs="Times New Roman"/>
                <w:sz w:val="28"/>
                <w:szCs w:val="22"/>
              </w:rPr>
            </w:pPr>
            <w:r w:rsidRPr="003874AC">
              <w:rPr>
                <w:rFonts w:ascii="Times New Roman" w:hAnsi="Times New Roman" w:cs="Times New Roman"/>
                <w:sz w:val="28"/>
                <w:szCs w:val="22"/>
              </w:rPr>
              <w:t>13</w:t>
            </w:r>
          </w:p>
        </w:tc>
        <w:tc>
          <w:tcPr>
            <w:tcW w:w="1167" w:type="dxa"/>
            <w:vAlign w:val="center"/>
            <w:hideMark/>
          </w:tcPr>
          <w:p w14:paraId="292B4AB6" w14:textId="77777777" w:rsidR="009102D9" w:rsidRPr="003874AC" w:rsidRDefault="009102D9" w:rsidP="00CA122E">
            <w:pPr>
              <w:pStyle w:val="NoSpacing"/>
              <w:jc w:val="center"/>
              <w:rPr>
                <w:rFonts w:ascii="Times New Roman" w:hAnsi="Times New Roman" w:cs="Times New Roman"/>
                <w:sz w:val="28"/>
                <w:szCs w:val="22"/>
              </w:rPr>
            </w:pPr>
            <w:r w:rsidRPr="003874AC">
              <w:rPr>
                <w:rFonts w:ascii="Times New Roman" w:hAnsi="Times New Roman" w:cs="Times New Roman"/>
                <w:sz w:val="28"/>
                <w:szCs w:val="22"/>
              </w:rPr>
              <w:t>18</w:t>
            </w:r>
          </w:p>
        </w:tc>
        <w:tc>
          <w:tcPr>
            <w:tcW w:w="1167" w:type="dxa"/>
            <w:vAlign w:val="center"/>
            <w:hideMark/>
          </w:tcPr>
          <w:p w14:paraId="7CDDECD3" w14:textId="77777777" w:rsidR="009102D9" w:rsidRPr="003874AC" w:rsidRDefault="009102D9" w:rsidP="00CA122E">
            <w:pPr>
              <w:pStyle w:val="NoSpacing"/>
              <w:jc w:val="center"/>
              <w:rPr>
                <w:rFonts w:ascii="Times New Roman" w:hAnsi="Times New Roman" w:cs="Times New Roman"/>
                <w:sz w:val="28"/>
                <w:szCs w:val="22"/>
              </w:rPr>
            </w:pPr>
            <w:r w:rsidRPr="003874AC">
              <w:rPr>
                <w:rFonts w:ascii="Times New Roman" w:hAnsi="Times New Roman" w:cs="Times New Roman"/>
                <w:sz w:val="28"/>
                <w:szCs w:val="22"/>
              </w:rPr>
              <w:t>24</w:t>
            </w:r>
          </w:p>
        </w:tc>
        <w:tc>
          <w:tcPr>
            <w:tcW w:w="1167" w:type="dxa"/>
            <w:vAlign w:val="center"/>
            <w:hideMark/>
          </w:tcPr>
          <w:p w14:paraId="68D34A25" w14:textId="77777777" w:rsidR="009102D9" w:rsidRPr="003874AC" w:rsidRDefault="009102D9" w:rsidP="00CA122E">
            <w:pPr>
              <w:pStyle w:val="NoSpacing"/>
              <w:jc w:val="center"/>
              <w:rPr>
                <w:rFonts w:ascii="Times New Roman" w:hAnsi="Times New Roman" w:cs="Times New Roman"/>
                <w:sz w:val="28"/>
                <w:szCs w:val="22"/>
              </w:rPr>
            </w:pPr>
            <w:r w:rsidRPr="003874AC">
              <w:rPr>
                <w:rFonts w:ascii="Times New Roman" w:hAnsi="Times New Roman" w:cs="Times New Roman"/>
                <w:sz w:val="28"/>
                <w:szCs w:val="22"/>
              </w:rPr>
              <w:t>100</w:t>
            </w:r>
          </w:p>
        </w:tc>
        <w:tc>
          <w:tcPr>
            <w:tcW w:w="1167" w:type="dxa"/>
            <w:vAlign w:val="center"/>
            <w:hideMark/>
          </w:tcPr>
          <w:p w14:paraId="0CD05213" w14:textId="77777777" w:rsidR="009102D9" w:rsidRPr="003874AC" w:rsidRDefault="009102D9" w:rsidP="00CA122E">
            <w:pPr>
              <w:pStyle w:val="NoSpacing"/>
              <w:jc w:val="center"/>
              <w:rPr>
                <w:rFonts w:ascii="Times New Roman" w:hAnsi="Times New Roman" w:cs="Times New Roman"/>
                <w:sz w:val="28"/>
                <w:szCs w:val="22"/>
              </w:rPr>
            </w:pPr>
            <w:r w:rsidRPr="003874AC">
              <w:rPr>
                <w:rFonts w:ascii="Times New Roman" w:hAnsi="Times New Roman" w:cs="Times New Roman"/>
                <w:sz w:val="28"/>
                <w:szCs w:val="22"/>
              </w:rPr>
              <w:t>26</w:t>
            </w:r>
          </w:p>
        </w:tc>
        <w:tc>
          <w:tcPr>
            <w:tcW w:w="1167" w:type="dxa"/>
            <w:vAlign w:val="center"/>
            <w:hideMark/>
          </w:tcPr>
          <w:p w14:paraId="2EE95435" w14:textId="77777777" w:rsidR="009102D9" w:rsidRPr="003874AC" w:rsidRDefault="009102D9" w:rsidP="00CA122E">
            <w:pPr>
              <w:pStyle w:val="NoSpacing"/>
              <w:jc w:val="center"/>
              <w:rPr>
                <w:rFonts w:ascii="Times New Roman" w:hAnsi="Times New Roman" w:cs="Times New Roman"/>
                <w:sz w:val="28"/>
                <w:szCs w:val="22"/>
              </w:rPr>
            </w:pPr>
            <w:r w:rsidRPr="003874AC">
              <w:rPr>
                <w:rFonts w:ascii="Times New Roman" w:hAnsi="Times New Roman" w:cs="Times New Roman"/>
                <w:sz w:val="28"/>
                <w:szCs w:val="22"/>
              </w:rPr>
              <w:t>21</w:t>
            </w:r>
          </w:p>
        </w:tc>
        <w:tc>
          <w:tcPr>
            <w:tcW w:w="1167" w:type="dxa"/>
            <w:vAlign w:val="center"/>
            <w:hideMark/>
          </w:tcPr>
          <w:p w14:paraId="48503CA9" w14:textId="77777777" w:rsidR="009102D9" w:rsidRPr="003874AC" w:rsidRDefault="009102D9" w:rsidP="00CA122E">
            <w:pPr>
              <w:pStyle w:val="NoSpacing"/>
              <w:jc w:val="center"/>
              <w:rPr>
                <w:rFonts w:ascii="Times New Roman" w:hAnsi="Times New Roman" w:cs="Times New Roman"/>
                <w:sz w:val="28"/>
                <w:szCs w:val="22"/>
              </w:rPr>
            </w:pPr>
            <w:r w:rsidRPr="003874AC">
              <w:rPr>
                <w:rFonts w:ascii="Times New Roman" w:hAnsi="Times New Roman" w:cs="Times New Roman"/>
                <w:sz w:val="28"/>
                <w:szCs w:val="22"/>
              </w:rPr>
              <w:t>18</w:t>
            </w:r>
          </w:p>
        </w:tc>
        <w:tc>
          <w:tcPr>
            <w:tcW w:w="1167" w:type="dxa"/>
            <w:vAlign w:val="center"/>
            <w:hideMark/>
          </w:tcPr>
          <w:p w14:paraId="4933FD34" w14:textId="77777777" w:rsidR="009102D9" w:rsidRPr="003874AC" w:rsidRDefault="009102D9" w:rsidP="00CA122E">
            <w:pPr>
              <w:pStyle w:val="NoSpacing"/>
              <w:jc w:val="center"/>
              <w:rPr>
                <w:rFonts w:ascii="Times New Roman" w:hAnsi="Times New Roman" w:cs="Times New Roman"/>
                <w:sz w:val="28"/>
                <w:szCs w:val="22"/>
              </w:rPr>
            </w:pPr>
            <w:r w:rsidRPr="003874AC">
              <w:rPr>
                <w:rFonts w:ascii="Times New Roman" w:hAnsi="Times New Roman" w:cs="Times New Roman"/>
                <w:sz w:val="28"/>
                <w:szCs w:val="22"/>
              </w:rPr>
              <w:t>46</w:t>
            </w:r>
          </w:p>
        </w:tc>
        <w:tc>
          <w:tcPr>
            <w:tcW w:w="1167" w:type="dxa"/>
            <w:vAlign w:val="center"/>
            <w:hideMark/>
          </w:tcPr>
          <w:p w14:paraId="6A859D9D" w14:textId="77777777" w:rsidR="009102D9" w:rsidRPr="003874AC" w:rsidRDefault="009102D9" w:rsidP="00CA122E">
            <w:pPr>
              <w:pStyle w:val="NoSpacing"/>
              <w:jc w:val="center"/>
              <w:rPr>
                <w:rFonts w:ascii="Times New Roman" w:hAnsi="Times New Roman" w:cs="Times New Roman"/>
                <w:sz w:val="28"/>
                <w:szCs w:val="22"/>
              </w:rPr>
            </w:pPr>
            <w:r w:rsidRPr="003874AC">
              <w:rPr>
                <w:rFonts w:ascii="Times New Roman" w:hAnsi="Times New Roman" w:cs="Times New Roman"/>
                <w:sz w:val="28"/>
                <w:szCs w:val="22"/>
              </w:rPr>
              <w:t>90</w:t>
            </w:r>
          </w:p>
        </w:tc>
        <w:tc>
          <w:tcPr>
            <w:tcW w:w="1167" w:type="dxa"/>
            <w:vAlign w:val="center"/>
            <w:hideMark/>
          </w:tcPr>
          <w:p w14:paraId="22FC7531" w14:textId="77777777" w:rsidR="009102D9" w:rsidRPr="003874AC" w:rsidRDefault="009102D9" w:rsidP="00CA122E">
            <w:pPr>
              <w:pStyle w:val="NoSpacing"/>
              <w:jc w:val="center"/>
              <w:rPr>
                <w:rFonts w:ascii="Times New Roman" w:hAnsi="Times New Roman" w:cs="Times New Roman"/>
                <w:sz w:val="28"/>
                <w:szCs w:val="22"/>
              </w:rPr>
            </w:pPr>
            <w:r w:rsidRPr="003874AC">
              <w:rPr>
                <w:rFonts w:ascii="Times New Roman" w:hAnsi="Times New Roman" w:cs="Times New Roman"/>
                <w:sz w:val="28"/>
                <w:szCs w:val="22"/>
              </w:rPr>
              <w:t>164</w:t>
            </w:r>
          </w:p>
        </w:tc>
        <w:tc>
          <w:tcPr>
            <w:tcW w:w="1167" w:type="dxa"/>
            <w:vAlign w:val="center"/>
            <w:hideMark/>
          </w:tcPr>
          <w:p w14:paraId="4A289485" w14:textId="77777777" w:rsidR="009102D9" w:rsidRPr="003874AC" w:rsidRDefault="009102D9" w:rsidP="00CA122E">
            <w:pPr>
              <w:pStyle w:val="NoSpacing"/>
              <w:jc w:val="center"/>
              <w:rPr>
                <w:rFonts w:ascii="Times New Roman" w:hAnsi="Times New Roman" w:cs="Times New Roman"/>
                <w:sz w:val="28"/>
                <w:szCs w:val="22"/>
              </w:rPr>
            </w:pPr>
            <w:r w:rsidRPr="003874AC">
              <w:rPr>
                <w:rFonts w:ascii="Times New Roman" w:hAnsi="Times New Roman" w:cs="Times New Roman"/>
                <w:sz w:val="28"/>
                <w:szCs w:val="22"/>
              </w:rPr>
              <w:t>34</w:t>
            </w:r>
          </w:p>
        </w:tc>
      </w:tr>
      <w:tr w:rsidR="009102D9" w:rsidRPr="003874AC" w14:paraId="0061619D" w14:textId="77777777" w:rsidTr="00CA122E">
        <w:trPr>
          <w:trHeight w:val="20"/>
        </w:trPr>
        <w:tc>
          <w:tcPr>
            <w:tcW w:w="2168" w:type="dxa"/>
            <w:hideMark/>
          </w:tcPr>
          <w:p w14:paraId="6D759B97" w14:textId="77777777" w:rsidR="009102D9" w:rsidRPr="003874AC" w:rsidRDefault="009102D9" w:rsidP="009102D9">
            <w:pPr>
              <w:pStyle w:val="NoSpacing"/>
              <w:rPr>
                <w:rFonts w:ascii="Times New Roman" w:hAnsi="Times New Roman" w:cs="Times New Roman"/>
                <w:sz w:val="28"/>
                <w:szCs w:val="22"/>
              </w:rPr>
            </w:pPr>
            <w:r w:rsidRPr="003874AC">
              <w:rPr>
                <w:rFonts w:ascii="Times New Roman" w:hAnsi="Times New Roman" w:cs="Times New Roman"/>
                <w:sz w:val="28"/>
                <w:szCs w:val="22"/>
              </w:rPr>
              <w:t>Assam</w:t>
            </w:r>
          </w:p>
        </w:tc>
        <w:tc>
          <w:tcPr>
            <w:tcW w:w="1167" w:type="dxa"/>
            <w:vAlign w:val="center"/>
            <w:hideMark/>
          </w:tcPr>
          <w:p w14:paraId="53DEE74A" w14:textId="77777777" w:rsidR="009102D9" w:rsidRPr="003874AC" w:rsidRDefault="009102D9" w:rsidP="00CA122E">
            <w:pPr>
              <w:pStyle w:val="NoSpacing"/>
              <w:jc w:val="center"/>
              <w:rPr>
                <w:rFonts w:ascii="Times New Roman" w:hAnsi="Times New Roman" w:cs="Times New Roman"/>
                <w:sz w:val="28"/>
                <w:szCs w:val="22"/>
              </w:rPr>
            </w:pPr>
            <w:r w:rsidRPr="003874AC">
              <w:rPr>
                <w:rFonts w:ascii="Times New Roman" w:hAnsi="Times New Roman" w:cs="Times New Roman"/>
                <w:sz w:val="28"/>
                <w:szCs w:val="22"/>
              </w:rPr>
              <w:t>46</w:t>
            </w:r>
          </w:p>
        </w:tc>
        <w:tc>
          <w:tcPr>
            <w:tcW w:w="1167" w:type="dxa"/>
            <w:vAlign w:val="center"/>
            <w:hideMark/>
          </w:tcPr>
          <w:p w14:paraId="295BF067" w14:textId="77777777" w:rsidR="009102D9" w:rsidRPr="003874AC" w:rsidRDefault="009102D9" w:rsidP="00CA122E">
            <w:pPr>
              <w:pStyle w:val="NoSpacing"/>
              <w:jc w:val="center"/>
              <w:rPr>
                <w:rFonts w:ascii="Times New Roman" w:hAnsi="Times New Roman" w:cs="Times New Roman"/>
                <w:sz w:val="28"/>
                <w:szCs w:val="22"/>
              </w:rPr>
            </w:pPr>
            <w:r w:rsidRPr="003874AC">
              <w:rPr>
                <w:rFonts w:ascii="Times New Roman" w:hAnsi="Times New Roman" w:cs="Times New Roman"/>
                <w:sz w:val="28"/>
                <w:szCs w:val="22"/>
              </w:rPr>
              <w:t>21</w:t>
            </w:r>
          </w:p>
        </w:tc>
        <w:tc>
          <w:tcPr>
            <w:tcW w:w="1167" w:type="dxa"/>
            <w:vAlign w:val="center"/>
            <w:hideMark/>
          </w:tcPr>
          <w:p w14:paraId="4722762F" w14:textId="77777777" w:rsidR="009102D9" w:rsidRPr="003874AC" w:rsidRDefault="009102D9" w:rsidP="00CA122E">
            <w:pPr>
              <w:pStyle w:val="NoSpacing"/>
              <w:jc w:val="center"/>
              <w:rPr>
                <w:rFonts w:ascii="Times New Roman" w:hAnsi="Times New Roman" w:cs="Times New Roman"/>
                <w:sz w:val="28"/>
                <w:szCs w:val="22"/>
              </w:rPr>
            </w:pPr>
            <w:r w:rsidRPr="003874AC">
              <w:rPr>
                <w:rFonts w:ascii="Times New Roman" w:hAnsi="Times New Roman" w:cs="Times New Roman"/>
                <w:sz w:val="28"/>
                <w:szCs w:val="22"/>
              </w:rPr>
              <w:t>47</w:t>
            </w:r>
          </w:p>
        </w:tc>
        <w:tc>
          <w:tcPr>
            <w:tcW w:w="1167" w:type="dxa"/>
            <w:vAlign w:val="center"/>
            <w:hideMark/>
          </w:tcPr>
          <w:p w14:paraId="101CCFF4" w14:textId="77777777" w:rsidR="009102D9" w:rsidRPr="003874AC" w:rsidRDefault="009102D9" w:rsidP="00CA122E">
            <w:pPr>
              <w:pStyle w:val="NoSpacing"/>
              <w:jc w:val="center"/>
              <w:rPr>
                <w:rFonts w:ascii="Times New Roman" w:hAnsi="Times New Roman" w:cs="Times New Roman"/>
                <w:sz w:val="28"/>
                <w:szCs w:val="22"/>
              </w:rPr>
            </w:pPr>
            <w:r w:rsidRPr="003874AC">
              <w:rPr>
                <w:rFonts w:ascii="Times New Roman" w:hAnsi="Times New Roman" w:cs="Times New Roman"/>
                <w:sz w:val="28"/>
                <w:szCs w:val="22"/>
              </w:rPr>
              <w:t>61</w:t>
            </w:r>
          </w:p>
        </w:tc>
        <w:tc>
          <w:tcPr>
            <w:tcW w:w="1167" w:type="dxa"/>
            <w:vAlign w:val="center"/>
            <w:hideMark/>
          </w:tcPr>
          <w:p w14:paraId="3C62862D" w14:textId="77777777" w:rsidR="009102D9" w:rsidRPr="003874AC" w:rsidRDefault="009102D9" w:rsidP="00CA122E">
            <w:pPr>
              <w:pStyle w:val="NoSpacing"/>
              <w:jc w:val="center"/>
              <w:rPr>
                <w:rFonts w:ascii="Times New Roman" w:hAnsi="Times New Roman" w:cs="Times New Roman"/>
                <w:sz w:val="28"/>
                <w:szCs w:val="22"/>
              </w:rPr>
            </w:pPr>
            <w:r w:rsidRPr="003874AC">
              <w:rPr>
                <w:rFonts w:ascii="Times New Roman" w:hAnsi="Times New Roman" w:cs="Times New Roman"/>
                <w:sz w:val="28"/>
                <w:szCs w:val="22"/>
              </w:rPr>
              <w:t>16</w:t>
            </w:r>
          </w:p>
        </w:tc>
        <w:tc>
          <w:tcPr>
            <w:tcW w:w="1167" w:type="dxa"/>
            <w:vAlign w:val="center"/>
            <w:hideMark/>
          </w:tcPr>
          <w:p w14:paraId="2AC25194" w14:textId="77777777" w:rsidR="009102D9" w:rsidRPr="003874AC" w:rsidRDefault="009102D9" w:rsidP="00CA122E">
            <w:pPr>
              <w:pStyle w:val="NoSpacing"/>
              <w:jc w:val="center"/>
              <w:rPr>
                <w:rFonts w:ascii="Times New Roman" w:hAnsi="Times New Roman" w:cs="Times New Roman"/>
                <w:sz w:val="28"/>
                <w:szCs w:val="22"/>
              </w:rPr>
            </w:pPr>
            <w:r w:rsidRPr="003874AC">
              <w:rPr>
                <w:rFonts w:ascii="Times New Roman" w:hAnsi="Times New Roman" w:cs="Times New Roman"/>
                <w:sz w:val="28"/>
                <w:szCs w:val="22"/>
              </w:rPr>
              <w:t>62</w:t>
            </w:r>
          </w:p>
        </w:tc>
        <w:tc>
          <w:tcPr>
            <w:tcW w:w="1167" w:type="dxa"/>
            <w:vAlign w:val="center"/>
            <w:hideMark/>
          </w:tcPr>
          <w:p w14:paraId="7BC05D73" w14:textId="77777777" w:rsidR="009102D9" w:rsidRPr="003874AC" w:rsidRDefault="009102D9" w:rsidP="00CA122E">
            <w:pPr>
              <w:pStyle w:val="NoSpacing"/>
              <w:jc w:val="center"/>
              <w:rPr>
                <w:rFonts w:ascii="Times New Roman" w:hAnsi="Times New Roman" w:cs="Times New Roman"/>
                <w:sz w:val="28"/>
                <w:szCs w:val="22"/>
              </w:rPr>
            </w:pPr>
            <w:r w:rsidRPr="003874AC">
              <w:rPr>
                <w:rFonts w:ascii="Times New Roman" w:hAnsi="Times New Roman" w:cs="Times New Roman"/>
                <w:sz w:val="28"/>
                <w:szCs w:val="22"/>
              </w:rPr>
              <w:t>39</w:t>
            </w:r>
          </w:p>
        </w:tc>
        <w:tc>
          <w:tcPr>
            <w:tcW w:w="1167" w:type="dxa"/>
            <w:vAlign w:val="center"/>
            <w:hideMark/>
          </w:tcPr>
          <w:p w14:paraId="1DCDF7F2" w14:textId="77777777" w:rsidR="009102D9" w:rsidRPr="003874AC" w:rsidRDefault="009102D9" w:rsidP="00CA122E">
            <w:pPr>
              <w:pStyle w:val="NoSpacing"/>
              <w:jc w:val="center"/>
              <w:rPr>
                <w:rFonts w:ascii="Times New Roman" w:hAnsi="Times New Roman" w:cs="Times New Roman"/>
                <w:sz w:val="28"/>
                <w:szCs w:val="22"/>
              </w:rPr>
            </w:pPr>
            <w:r w:rsidRPr="003874AC">
              <w:rPr>
                <w:rFonts w:ascii="Times New Roman" w:hAnsi="Times New Roman" w:cs="Times New Roman"/>
                <w:sz w:val="28"/>
                <w:szCs w:val="22"/>
              </w:rPr>
              <w:t>22</w:t>
            </w:r>
          </w:p>
        </w:tc>
        <w:tc>
          <w:tcPr>
            <w:tcW w:w="1167" w:type="dxa"/>
            <w:vAlign w:val="center"/>
            <w:hideMark/>
          </w:tcPr>
          <w:p w14:paraId="01ADB970" w14:textId="77777777" w:rsidR="009102D9" w:rsidRPr="003874AC" w:rsidRDefault="009102D9" w:rsidP="00CA122E">
            <w:pPr>
              <w:pStyle w:val="NoSpacing"/>
              <w:jc w:val="center"/>
              <w:rPr>
                <w:rFonts w:ascii="Times New Roman" w:hAnsi="Times New Roman" w:cs="Times New Roman"/>
                <w:sz w:val="28"/>
                <w:szCs w:val="22"/>
              </w:rPr>
            </w:pPr>
            <w:r w:rsidRPr="003874AC">
              <w:rPr>
                <w:rFonts w:ascii="Times New Roman" w:hAnsi="Times New Roman" w:cs="Times New Roman"/>
                <w:sz w:val="28"/>
                <w:szCs w:val="22"/>
              </w:rPr>
              <w:t>29</w:t>
            </w:r>
          </w:p>
        </w:tc>
        <w:tc>
          <w:tcPr>
            <w:tcW w:w="1167" w:type="dxa"/>
            <w:vAlign w:val="center"/>
            <w:hideMark/>
          </w:tcPr>
          <w:p w14:paraId="00AFABD9" w14:textId="77777777" w:rsidR="009102D9" w:rsidRPr="003874AC" w:rsidRDefault="009102D9" w:rsidP="00CA122E">
            <w:pPr>
              <w:pStyle w:val="NoSpacing"/>
              <w:jc w:val="center"/>
              <w:rPr>
                <w:rFonts w:ascii="Times New Roman" w:hAnsi="Times New Roman" w:cs="Times New Roman"/>
                <w:sz w:val="28"/>
                <w:szCs w:val="22"/>
              </w:rPr>
            </w:pPr>
            <w:r w:rsidRPr="003874AC">
              <w:rPr>
                <w:rFonts w:ascii="Times New Roman" w:hAnsi="Times New Roman" w:cs="Times New Roman"/>
                <w:sz w:val="28"/>
                <w:szCs w:val="22"/>
              </w:rPr>
              <w:t>358</w:t>
            </w:r>
          </w:p>
        </w:tc>
        <w:tc>
          <w:tcPr>
            <w:tcW w:w="1167" w:type="dxa"/>
            <w:vAlign w:val="center"/>
            <w:hideMark/>
          </w:tcPr>
          <w:p w14:paraId="6E60531D" w14:textId="77777777" w:rsidR="009102D9" w:rsidRPr="003874AC" w:rsidRDefault="009102D9" w:rsidP="00CA122E">
            <w:pPr>
              <w:pStyle w:val="NoSpacing"/>
              <w:jc w:val="center"/>
              <w:rPr>
                <w:rFonts w:ascii="Times New Roman" w:hAnsi="Times New Roman" w:cs="Times New Roman"/>
                <w:sz w:val="28"/>
                <w:szCs w:val="22"/>
              </w:rPr>
            </w:pPr>
            <w:r w:rsidRPr="003874AC">
              <w:rPr>
                <w:rFonts w:ascii="Times New Roman" w:hAnsi="Times New Roman" w:cs="Times New Roman"/>
                <w:sz w:val="28"/>
                <w:szCs w:val="22"/>
              </w:rPr>
              <w:t>304</w:t>
            </w:r>
          </w:p>
        </w:tc>
      </w:tr>
      <w:tr w:rsidR="009102D9" w:rsidRPr="003874AC" w14:paraId="104ECC55" w14:textId="77777777" w:rsidTr="00CA122E">
        <w:trPr>
          <w:trHeight w:val="20"/>
        </w:trPr>
        <w:tc>
          <w:tcPr>
            <w:tcW w:w="2168" w:type="dxa"/>
            <w:hideMark/>
          </w:tcPr>
          <w:p w14:paraId="32EA81DA" w14:textId="77777777" w:rsidR="009102D9" w:rsidRPr="003874AC" w:rsidRDefault="009102D9" w:rsidP="009102D9">
            <w:pPr>
              <w:pStyle w:val="NoSpacing"/>
              <w:rPr>
                <w:rFonts w:ascii="Times New Roman" w:hAnsi="Times New Roman" w:cs="Times New Roman"/>
                <w:sz w:val="28"/>
                <w:szCs w:val="22"/>
              </w:rPr>
            </w:pPr>
            <w:r w:rsidRPr="003874AC">
              <w:rPr>
                <w:rFonts w:ascii="Times New Roman" w:hAnsi="Times New Roman" w:cs="Times New Roman"/>
                <w:sz w:val="28"/>
                <w:szCs w:val="22"/>
              </w:rPr>
              <w:t>Bihar</w:t>
            </w:r>
          </w:p>
        </w:tc>
        <w:tc>
          <w:tcPr>
            <w:tcW w:w="1167" w:type="dxa"/>
            <w:vAlign w:val="center"/>
            <w:hideMark/>
          </w:tcPr>
          <w:p w14:paraId="69845C6A" w14:textId="77777777" w:rsidR="009102D9" w:rsidRPr="003874AC" w:rsidRDefault="009102D9" w:rsidP="00CA122E">
            <w:pPr>
              <w:pStyle w:val="NoSpacing"/>
              <w:jc w:val="center"/>
              <w:rPr>
                <w:rFonts w:ascii="Times New Roman" w:hAnsi="Times New Roman" w:cs="Times New Roman"/>
                <w:sz w:val="28"/>
                <w:szCs w:val="22"/>
              </w:rPr>
            </w:pPr>
            <w:r w:rsidRPr="003874AC">
              <w:rPr>
                <w:rFonts w:ascii="Times New Roman" w:hAnsi="Times New Roman" w:cs="Times New Roman"/>
                <w:sz w:val="28"/>
                <w:szCs w:val="22"/>
              </w:rPr>
              <w:t>180</w:t>
            </w:r>
          </w:p>
        </w:tc>
        <w:tc>
          <w:tcPr>
            <w:tcW w:w="1167" w:type="dxa"/>
            <w:vAlign w:val="center"/>
            <w:hideMark/>
          </w:tcPr>
          <w:p w14:paraId="15DA3D08" w14:textId="77777777" w:rsidR="009102D9" w:rsidRPr="003874AC" w:rsidRDefault="009102D9" w:rsidP="00CA122E">
            <w:pPr>
              <w:pStyle w:val="NoSpacing"/>
              <w:jc w:val="center"/>
              <w:rPr>
                <w:rFonts w:ascii="Times New Roman" w:hAnsi="Times New Roman" w:cs="Times New Roman"/>
                <w:sz w:val="28"/>
                <w:szCs w:val="22"/>
              </w:rPr>
            </w:pPr>
            <w:r w:rsidRPr="003874AC">
              <w:rPr>
                <w:rFonts w:ascii="Times New Roman" w:hAnsi="Times New Roman" w:cs="Times New Roman"/>
                <w:sz w:val="28"/>
                <w:szCs w:val="22"/>
              </w:rPr>
              <w:t>389</w:t>
            </w:r>
          </w:p>
        </w:tc>
        <w:tc>
          <w:tcPr>
            <w:tcW w:w="1167" w:type="dxa"/>
            <w:vAlign w:val="center"/>
            <w:hideMark/>
          </w:tcPr>
          <w:p w14:paraId="70640C4F" w14:textId="77777777" w:rsidR="009102D9" w:rsidRPr="003874AC" w:rsidRDefault="009102D9" w:rsidP="00CA122E">
            <w:pPr>
              <w:pStyle w:val="NoSpacing"/>
              <w:jc w:val="center"/>
              <w:rPr>
                <w:rFonts w:ascii="Times New Roman" w:hAnsi="Times New Roman" w:cs="Times New Roman"/>
                <w:sz w:val="28"/>
                <w:szCs w:val="22"/>
              </w:rPr>
            </w:pPr>
            <w:r w:rsidRPr="003874AC">
              <w:rPr>
                <w:rFonts w:ascii="Times New Roman" w:hAnsi="Times New Roman" w:cs="Times New Roman"/>
                <w:sz w:val="28"/>
                <w:szCs w:val="22"/>
              </w:rPr>
              <w:t>54</w:t>
            </w:r>
          </w:p>
        </w:tc>
        <w:tc>
          <w:tcPr>
            <w:tcW w:w="1167" w:type="dxa"/>
            <w:vAlign w:val="center"/>
            <w:hideMark/>
          </w:tcPr>
          <w:p w14:paraId="49391993" w14:textId="77777777" w:rsidR="009102D9" w:rsidRPr="003874AC" w:rsidRDefault="009102D9" w:rsidP="00CA122E">
            <w:pPr>
              <w:pStyle w:val="NoSpacing"/>
              <w:jc w:val="center"/>
              <w:rPr>
                <w:rFonts w:ascii="Times New Roman" w:hAnsi="Times New Roman" w:cs="Times New Roman"/>
                <w:sz w:val="28"/>
                <w:szCs w:val="22"/>
              </w:rPr>
            </w:pPr>
            <w:r w:rsidRPr="003874AC">
              <w:rPr>
                <w:rFonts w:ascii="Times New Roman" w:hAnsi="Times New Roman" w:cs="Times New Roman"/>
                <w:sz w:val="28"/>
                <w:szCs w:val="22"/>
              </w:rPr>
              <w:t>58</w:t>
            </w:r>
          </w:p>
        </w:tc>
        <w:tc>
          <w:tcPr>
            <w:tcW w:w="1167" w:type="dxa"/>
            <w:vAlign w:val="center"/>
            <w:hideMark/>
          </w:tcPr>
          <w:p w14:paraId="2E970561" w14:textId="77777777" w:rsidR="009102D9" w:rsidRPr="003874AC" w:rsidRDefault="009102D9" w:rsidP="00CA122E">
            <w:pPr>
              <w:pStyle w:val="NoSpacing"/>
              <w:jc w:val="center"/>
              <w:rPr>
                <w:rFonts w:ascii="Times New Roman" w:hAnsi="Times New Roman" w:cs="Times New Roman"/>
                <w:sz w:val="28"/>
                <w:szCs w:val="22"/>
              </w:rPr>
            </w:pPr>
            <w:r w:rsidRPr="003874AC">
              <w:rPr>
                <w:rFonts w:ascii="Times New Roman" w:hAnsi="Times New Roman" w:cs="Times New Roman"/>
                <w:sz w:val="28"/>
                <w:szCs w:val="22"/>
              </w:rPr>
              <w:t>131</w:t>
            </w:r>
          </w:p>
        </w:tc>
        <w:tc>
          <w:tcPr>
            <w:tcW w:w="1167" w:type="dxa"/>
            <w:vAlign w:val="center"/>
            <w:hideMark/>
          </w:tcPr>
          <w:p w14:paraId="72B62012" w14:textId="77777777" w:rsidR="009102D9" w:rsidRPr="003874AC" w:rsidRDefault="009102D9" w:rsidP="00CA122E">
            <w:pPr>
              <w:pStyle w:val="NoSpacing"/>
              <w:jc w:val="center"/>
              <w:rPr>
                <w:rFonts w:ascii="Times New Roman" w:hAnsi="Times New Roman" w:cs="Times New Roman"/>
                <w:sz w:val="28"/>
                <w:szCs w:val="22"/>
              </w:rPr>
            </w:pPr>
            <w:r w:rsidRPr="003874AC">
              <w:rPr>
                <w:rFonts w:ascii="Times New Roman" w:hAnsi="Times New Roman" w:cs="Times New Roman"/>
                <w:sz w:val="28"/>
                <w:szCs w:val="22"/>
              </w:rPr>
              <w:t>166</w:t>
            </w:r>
          </w:p>
        </w:tc>
        <w:tc>
          <w:tcPr>
            <w:tcW w:w="1167" w:type="dxa"/>
            <w:vAlign w:val="center"/>
            <w:hideMark/>
          </w:tcPr>
          <w:p w14:paraId="4FF93778" w14:textId="77777777" w:rsidR="009102D9" w:rsidRPr="003874AC" w:rsidRDefault="009102D9" w:rsidP="00CA122E">
            <w:pPr>
              <w:pStyle w:val="NoSpacing"/>
              <w:jc w:val="center"/>
              <w:rPr>
                <w:rFonts w:ascii="Times New Roman" w:hAnsi="Times New Roman" w:cs="Times New Roman"/>
                <w:sz w:val="28"/>
                <w:szCs w:val="22"/>
              </w:rPr>
            </w:pPr>
            <w:r w:rsidRPr="003874AC">
              <w:rPr>
                <w:rFonts w:ascii="Times New Roman" w:hAnsi="Times New Roman" w:cs="Times New Roman"/>
                <w:sz w:val="28"/>
                <w:szCs w:val="22"/>
              </w:rPr>
              <w:t>27</w:t>
            </w:r>
          </w:p>
        </w:tc>
        <w:tc>
          <w:tcPr>
            <w:tcW w:w="1167" w:type="dxa"/>
            <w:vAlign w:val="center"/>
            <w:hideMark/>
          </w:tcPr>
          <w:p w14:paraId="26D1C3D9" w14:textId="77777777" w:rsidR="009102D9" w:rsidRPr="003874AC" w:rsidRDefault="009102D9" w:rsidP="00CA122E">
            <w:pPr>
              <w:pStyle w:val="NoSpacing"/>
              <w:jc w:val="center"/>
              <w:rPr>
                <w:rFonts w:ascii="Times New Roman" w:hAnsi="Times New Roman" w:cs="Times New Roman"/>
                <w:sz w:val="28"/>
                <w:szCs w:val="22"/>
              </w:rPr>
            </w:pPr>
            <w:r w:rsidRPr="003874AC">
              <w:rPr>
                <w:rFonts w:ascii="Times New Roman" w:hAnsi="Times New Roman" w:cs="Times New Roman"/>
                <w:sz w:val="28"/>
                <w:szCs w:val="22"/>
              </w:rPr>
              <w:t>26</w:t>
            </w:r>
          </w:p>
        </w:tc>
        <w:tc>
          <w:tcPr>
            <w:tcW w:w="1167" w:type="dxa"/>
            <w:vAlign w:val="center"/>
            <w:hideMark/>
          </w:tcPr>
          <w:p w14:paraId="585319B9" w14:textId="77777777" w:rsidR="009102D9" w:rsidRPr="003874AC" w:rsidRDefault="009102D9" w:rsidP="00CA122E">
            <w:pPr>
              <w:pStyle w:val="NoSpacing"/>
              <w:jc w:val="center"/>
              <w:rPr>
                <w:rFonts w:ascii="Times New Roman" w:hAnsi="Times New Roman" w:cs="Times New Roman"/>
                <w:sz w:val="28"/>
                <w:szCs w:val="22"/>
              </w:rPr>
            </w:pPr>
            <w:r w:rsidRPr="003874AC">
              <w:rPr>
                <w:rFonts w:ascii="Times New Roman" w:hAnsi="Times New Roman" w:cs="Times New Roman"/>
                <w:sz w:val="28"/>
                <w:szCs w:val="22"/>
              </w:rPr>
              <w:t>48</w:t>
            </w:r>
          </w:p>
        </w:tc>
        <w:tc>
          <w:tcPr>
            <w:tcW w:w="1167" w:type="dxa"/>
            <w:vAlign w:val="center"/>
            <w:hideMark/>
          </w:tcPr>
          <w:p w14:paraId="070EA966" w14:textId="77777777" w:rsidR="009102D9" w:rsidRPr="003874AC" w:rsidRDefault="009102D9" w:rsidP="00CA122E">
            <w:pPr>
              <w:pStyle w:val="NoSpacing"/>
              <w:jc w:val="center"/>
              <w:rPr>
                <w:rFonts w:ascii="Times New Roman" w:hAnsi="Times New Roman" w:cs="Times New Roman"/>
                <w:sz w:val="28"/>
                <w:szCs w:val="22"/>
              </w:rPr>
            </w:pPr>
            <w:r w:rsidRPr="003874AC">
              <w:rPr>
                <w:rFonts w:ascii="Times New Roman" w:hAnsi="Times New Roman" w:cs="Times New Roman"/>
                <w:sz w:val="28"/>
                <w:szCs w:val="22"/>
              </w:rPr>
              <w:t>1036</w:t>
            </w:r>
          </w:p>
        </w:tc>
        <w:tc>
          <w:tcPr>
            <w:tcW w:w="1167" w:type="dxa"/>
            <w:vAlign w:val="center"/>
            <w:hideMark/>
          </w:tcPr>
          <w:p w14:paraId="588563B4" w14:textId="77777777" w:rsidR="009102D9" w:rsidRPr="003874AC" w:rsidRDefault="009102D9" w:rsidP="00CA122E">
            <w:pPr>
              <w:pStyle w:val="NoSpacing"/>
              <w:jc w:val="center"/>
              <w:rPr>
                <w:rFonts w:ascii="Times New Roman" w:hAnsi="Times New Roman" w:cs="Times New Roman"/>
                <w:sz w:val="28"/>
                <w:szCs w:val="22"/>
              </w:rPr>
            </w:pPr>
            <w:r w:rsidRPr="003874AC">
              <w:rPr>
                <w:rFonts w:ascii="Times New Roman" w:hAnsi="Times New Roman" w:cs="Times New Roman"/>
                <w:sz w:val="28"/>
                <w:szCs w:val="22"/>
              </w:rPr>
              <w:t>2562</w:t>
            </w:r>
          </w:p>
        </w:tc>
      </w:tr>
      <w:tr w:rsidR="009102D9" w:rsidRPr="003874AC" w14:paraId="349B6CFD" w14:textId="77777777" w:rsidTr="00CA122E">
        <w:trPr>
          <w:trHeight w:val="20"/>
        </w:trPr>
        <w:tc>
          <w:tcPr>
            <w:tcW w:w="2168" w:type="dxa"/>
            <w:hideMark/>
          </w:tcPr>
          <w:p w14:paraId="3A01877C" w14:textId="77777777" w:rsidR="009102D9" w:rsidRPr="003874AC" w:rsidRDefault="009102D9" w:rsidP="009102D9">
            <w:pPr>
              <w:pStyle w:val="NoSpacing"/>
              <w:rPr>
                <w:rFonts w:ascii="Times New Roman" w:hAnsi="Times New Roman" w:cs="Times New Roman"/>
                <w:sz w:val="28"/>
                <w:szCs w:val="22"/>
              </w:rPr>
            </w:pPr>
            <w:r w:rsidRPr="003874AC">
              <w:rPr>
                <w:rFonts w:ascii="Times New Roman" w:hAnsi="Times New Roman" w:cs="Times New Roman"/>
                <w:sz w:val="28"/>
                <w:szCs w:val="22"/>
              </w:rPr>
              <w:t>Gujarat</w:t>
            </w:r>
          </w:p>
        </w:tc>
        <w:tc>
          <w:tcPr>
            <w:tcW w:w="1167" w:type="dxa"/>
            <w:vAlign w:val="center"/>
            <w:hideMark/>
          </w:tcPr>
          <w:p w14:paraId="67B77922" w14:textId="77777777" w:rsidR="009102D9" w:rsidRPr="003874AC" w:rsidRDefault="009102D9" w:rsidP="00CA122E">
            <w:pPr>
              <w:pStyle w:val="NoSpacing"/>
              <w:jc w:val="center"/>
              <w:rPr>
                <w:rFonts w:ascii="Times New Roman" w:hAnsi="Times New Roman" w:cs="Times New Roman"/>
                <w:sz w:val="28"/>
                <w:szCs w:val="22"/>
              </w:rPr>
            </w:pPr>
            <w:r w:rsidRPr="003874AC">
              <w:rPr>
                <w:rFonts w:ascii="Times New Roman" w:hAnsi="Times New Roman" w:cs="Times New Roman"/>
                <w:sz w:val="28"/>
                <w:szCs w:val="22"/>
              </w:rPr>
              <w:t>†</w:t>
            </w:r>
          </w:p>
        </w:tc>
        <w:tc>
          <w:tcPr>
            <w:tcW w:w="1167" w:type="dxa"/>
            <w:vAlign w:val="center"/>
            <w:hideMark/>
          </w:tcPr>
          <w:p w14:paraId="04AF0C6F" w14:textId="77777777" w:rsidR="009102D9" w:rsidRPr="003874AC" w:rsidRDefault="009102D9" w:rsidP="00CA122E">
            <w:pPr>
              <w:pStyle w:val="NoSpacing"/>
              <w:jc w:val="center"/>
              <w:rPr>
                <w:rFonts w:ascii="Times New Roman" w:hAnsi="Times New Roman" w:cs="Times New Roman"/>
                <w:sz w:val="28"/>
                <w:szCs w:val="22"/>
              </w:rPr>
            </w:pPr>
            <w:r w:rsidRPr="003874AC">
              <w:rPr>
                <w:rFonts w:ascii="Times New Roman" w:hAnsi="Times New Roman" w:cs="Times New Roman"/>
                <w:sz w:val="28"/>
                <w:szCs w:val="22"/>
              </w:rPr>
              <w:t>†</w:t>
            </w:r>
          </w:p>
        </w:tc>
        <w:tc>
          <w:tcPr>
            <w:tcW w:w="1167" w:type="dxa"/>
            <w:vAlign w:val="center"/>
            <w:hideMark/>
          </w:tcPr>
          <w:p w14:paraId="4A7CB433" w14:textId="77777777" w:rsidR="009102D9" w:rsidRPr="003874AC" w:rsidRDefault="009102D9" w:rsidP="00CA122E">
            <w:pPr>
              <w:pStyle w:val="NoSpacing"/>
              <w:jc w:val="center"/>
              <w:rPr>
                <w:rFonts w:ascii="Times New Roman" w:hAnsi="Times New Roman" w:cs="Times New Roman"/>
                <w:sz w:val="28"/>
                <w:szCs w:val="22"/>
              </w:rPr>
            </w:pPr>
            <w:r w:rsidRPr="003874AC">
              <w:rPr>
                <w:rFonts w:ascii="Times New Roman" w:hAnsi="Times New Roman" w:cs="Times New Roman"/>
                <w:sz w:val="28"/>
                <w:szCs w:val="22"/>
              </w:rPr>
              <w:t>†</w:t>
            </w:r>
          </w:p>
        </w:tc>
        <w:tc>
          <w:tcPr>
            <w:tcW w:w="1167" w:type="dxa"/>
            <w:vAlign w:val="center"/>
            <w:hideMark/>
          </w:tcPr>
          <w:p w14:paraId="2D19D302" w14:textId="77777777" w:rsidR="009102D9" w:rsidRPr="003874AC" w:rsidRDefault="009102D9" w:rsidP="00CA122E">
            <w:pPr>
              <w:pStyle w:val="NoSpacing"/>
              <w:jc w:val="center"/>
              <w:rPr>
                <w:rFonts w:ascii="Times New Roman" w:hAnsi="Times New Roman" w:cs="Times New Roman"/>
                <w:sz w:val="28"/>
                <w:szCs w:val="22"/>
              </w:rPr>
            </w:pPr>
            <w:r w:rsidRPr="003874AC">
              <w:rPr>
                <w:rFonts w:ascii="Times New Roman" w:hAnsi="Times New Roman" w:cs="Times New Roman"/>
                <w:sz w:val="28"/>
                <w:szCs w:val="22"/>
              </w:rPr>
              <w:t>18</w:t>
            </w:r>
          </w:p>
        </w:tc>
        <w:tc>
          <w:tcPr>
            <w:tcW w:w="1167" w:type="dxa"/>
            <w:vAlign w:val="center"/>
            <w:hideMark/>
          </w:tcPr>
          <w:p w14:paraId="52C0BC55" w14:textId="77777777" w:rsidR="009102D9" w:rsidRPr="003874AC" w:rsidRDefault="009102D9" w:rsidP="00CA122E">
            <w:pPr>
              <w:pStyle w:val="NoSpacing"/>
              <w:jc w:val="center"/>
              <w:rPr>
                <w:rFonts w:ascii="Times New Roman" w:hAnsi="Times New Roman" w:cs="Times New Roman"/>
                <w:sz w:val="28"/>
                <w:szCs w:val="22"/>
              </w:rPr>
            </w:pPr>
            <w:r w:rsidRPr="003874AC">
              <w:rPr>
                <w:rFonts w:ascii="Times New Roman" w:hAnsi="Times New Roman" w:cs="Times New Roman"/>
                <w:sz w:val="28"/>
                <w:szCs w:val="22"/>
              </w:rPr>
              <w:t>47</w:t>
            </w:r>
          </w:p>
        </w:tc>
        <w:tc>
          <w:tcPr>
            <w:tcW w:w="1167" w:type="dxa"/>
            <w:vAlign w:val="center"/>
            <w:hideMark/>
          </w:tcPr>
          <w:p w14:paraId="4705E318" w14:textId="77777777" w:rsidR="009102D9" w:rsidRPr="003874AC" w:rsidRDefault="009102D9" w:rsidP="00CA122E">
            <w:pPr>
              <w:pStyle w:val="NoSpacing"/>
              <w:jc w:val="center"/>
              <w:rPr>
                <w:rFonts w:ascii="Times New Roman" w:hAnsi="Times New Roman" w:cs="Times New Roman"/>
                <w:sz w:val="28"/>
                <w:szCs w:val="22"/>
              </w:rPr>
            </w:pPr>
            <w:r w:rsidRPr="003874AC">
              <w:rPr>
                <w:rFonts w:ascii="Times New Roman" w:hAnsi="Times New Roman" w:cs="Times New Roman"/>
                <w:sz w:val="28"/>
                <w:szCs w:val="22"/>
              </w:rPr>
              <w:t>17</w:t>
            </w:r>
          </w:p>
        </w:tc>
        <w:tc>
          <w:tcPr>
            <w:tcW w:w="1167" w:type="dxa"/>
            <w:vAlign w:val="center"/>
            <w:hideMark/>
          </w:tcPr>
          <w:p w14:paraId="47E5DDDE" w14:textId="77777777" w:rsidR="009102D9" w:rsidRPr="003874AC" w:rsidRDefault="009102D9" w:rsidP="00CA122E">
            <w:pPr>
              <w:pStyle w:val="NoSpacing"/>
              <w:jc w:val="center"/>
              <w:rPr>
                <w:rFonts w:ascii="Times New Roman" w:hAnsi="Times New Roman" w:cs="Times New Roman"/>
                <w:sz w:val="28"/>
                <w:szCs w:val="22"/>
              </w:rPr>
            </w:pPr>
            <w:r w:rsidRPr="003874AC">
              <w:rPr>
                <w:rFonts w:ascii="Times New Roman" w:hAnsi="Times New Roman" w:cs="Times New Roman"/>
                <w:sz w:val="28"/>
                <w:szCs w:val="22"/>
              </w:rPr>
              <w:t>163</w:t>
            </w:r>
          </w:p>
        </w:tc>
        <w:tc>
          <w:tcPr>
            <w:tcW w:w="1167" w:type="dxa"/>
            <w:vAlign w:val="center"/>
            <w:hideMark/>
          </w:tcPr>
          <w:p w14:paraId="587D78CB" w14:textId="77777777" w:rsidR="009102D9" w:rsidRPr="003874AC" w:rsidRDefault="009102D9" w:rsidP="00CA122E">
            <w:pPr>
              <w:pStyle w:val="NoSpacing"/>
              <w:jc w:val="center"/>
              <w:rPr>
                <w:rFonts w:ascii="Times New Roman" w:hAnsi="Times New Roman" w:cs="Times New Roman"/>
                <w:sz w:val="28"/>
                <w:szCs w:val="22"/>
              </w:rPr>
            </w:pPr>
            <w:r w:rsidRPr="003874AC">
              <w:rPr>
                <w:rFonts w:ascii="Times New Roman" w:hAnsi="Times New Roman" w:cs="Times New Roman"/>
                <w:sz w:val="28"/>
                <w:szCs w:val="22"/>
              </w:rPr>
              <w:t>78</w:t>
            </w:r>
          </w:p>
        </w:tc>
        <w:tc>
          <w:tcPr>
            <w:tcW w:w="1167" w:type="dxa"/>
            <w:vAlign w:val="center"/>
            <w:hideMark/>
          </w:tcPr>
          <w:p w14:paraId="608FFA35" w14:textId="77777777" w:rsidR="009102D9" w:rsidRPr="003874AC" w:rsidRDefault="009102D9" w:rsidP="00CA122E">
            <w:pPr>
              <w:pStyle w:val="NoSpacing"/>
              <w:jc w:val="center"/>
              <w:rPr>
                <w:rFonts w:ascii="Times New Roman" w:hAnsi="Times New Roman" w:cs="Times New Roman"/>
                <w:sz w:val="28"/>
                <w:szCs w:val="22"/>
              </w:rPr>
            </w:pPr>
            <w:r w:rsidRPr="003874AC">
              <w:rPr>
                <w:rFonts w:ascii="Times New Roman" w:hAnsi="Times New Roman" w:cs="Times New Roman"/>
                <w:sz w:val="28"/>
                <w:szCs w:val="22"/>
              </w:rPr>
              <w:t>121</w:t>
            </w:r>
          </w:p>
        </w:tc>
        <w:tc>
          <w:tcPr>
            <w:tcW w:w="1167" w:type="dxa"/>
            <w:vAlign w:val="center"/>
            <w:hideMark/>
          </w:tcPr>
          <w:p w14:paraId="0E7EA3C4" w14:textId="77777777" w:rsidR="009102D9" w:rsidRPr="003874AC" w:rsidRDefault="009102D9" w:rsidP="00CA122E">
            <w:pPr>
              <w:pStyle w:val="NoSpacing"/>
              <w:jc w:val="center"/>
              <w:rPr>
                <w:rFonts w:ascii="Times New Roman" w:hAnsi="Times New Roman" w:cs="Times New Roman"/>
                <w:sz w:val="28"/>
                <w:szCs w:val="22"/>
              </w:rPr>
            </w:pPr>
            <w:r w:rsidRPr="003874AC">
              <w:rPr>
                <w:rFonts w:ascii="Times New Roman" w:hAnsi="Times New Roman" w:cs="Times New Roman"/>
                <w:sz w:val="28"/>
                <w:szCs w:val="22"/>
              </w:rPr>
              <w:t>590</w:t>
            </w:r>
          </w:p>
        </w:tc>
        <w:tc>
          <w:tcPr>
            <w:tcW w:w="1167" w:type="dxa"/>
            <w:vAlign w:val="center"/>
            <w:hideMark/>
          </w:tcPr>
          <w:p w14:paraId="2B5D47E2" w14:textId="77777777" w:rsidR="009102D9" w:rsidRPr="003874AC" w:rsidRDefault="009102D9" w:rsidP="00CA122E">
            <w:pPr>
              <w:pStyle w:val="NoSpacing"/>
              <w:jc w:val="center"/>
              <w:rPr>
                <w:rFonts w:ascii="Times New Roman" w:hAnsi="Times New Roman" w:cs="Times New Roman"/>
                <w:sz w:val="28"/>
                <w:szCs w:val="22"/>
              </w:rPr>
            </w:pPr>
            <w:r w:rsidRPr="003874AC">
              <w:rPr>
                <w:rFonts w:ascii="Times New Roman" w:hAnsi="Times New Roman" w:cs="Times New Roman"/>
                <w:sz w:val="28"/>
                <w:szCs w:val="22"/>
              </w:rPr>
              <w:t>595</w:t>
            </w:r>
          </w:p>
        </w:tc>
      </w:tr>
      <w:tr w:rsidR="009102D9" w:rsidRPr="003874AC" w14:paraId="6A6D8FD2" w14:textId="77777777" w:rsidTr="00CA122E">
        <w:trPr>
          <w:trHeight w:val="20"/>
        </w:trPr>
        <w:tc>
          <w:tcPr>
            <w:tcW w:w="2168" w:type="dxa"/>
            <w:hideMark/>
          </w:tcPr>
          <w:p w14:paraId="49B0EF1D" w14:textId="77777777" w:rsidR="009102D9" w:rsidRPr="003874AC" w:rsidRDefault="009102D9" w:rsidP="009102D9">
            <w:pPr>
              <w:pStyle w:val="NoSpacing"/>
              <w:rPr>
                <w:rFonts w:ascii="Times New Roman" w:hAnsi="Times New Roman" w:cs="Times New Roman"/>
                <w:sz w:val="28"/>
                <w:szCs w:val="22"/>
              </w:rPr>
            </w:pPr>
            <w:r w:rsidRPr="003874AC">
              <w:rPr>
                <w:rFonts w:ascii="Times New Roman" w:hAnsi="Times New Roman" w:cs="Times New Roman"/>
                <w:sz w:val="28"/>
                <w:szCs w:val="22"/>
              </w:rPr>
              <w:t>Haryana</w:t>
            </w:r>
          </w:p>
        </w:tc>
        <w:tc>
          <w:tcPr>
            <w:tcW w:w="1167" w:type="dxa"/>
            <w:vAlign w:val="center"/>
            <w:hideMark/>
          </w:tcPr>
          <w:p w14:paraId="23D21722" w14:textId="77777777" w:rsidR="009102D9" w:rsidRPr="003874AC" w:rsidRDefault="009102D9" w:rsidP="00CA122E">
            <w:pPr>
              <w:pStyle w:val="NoSpacing"/>
              <w:jc w:val="center"/>
              <w:rPr>
                <w:rFonts w:ascii="Times New Roman" w:hAnsi="Times New Roman" w:cs="Times New Roman"/>
                <w:sz w:val="28"/>
                <w:szCs w:val="22"/>
              </w:rPr>
            </w:pPr>
            <w:r w:rsidRPr="003874AC">
              <w:rPr>
                <w:rFonts w:ascii="Times New Roman" w:hAnsi="Times New Roman" w:cs="Times New Roman"/>
                <w:sz w:val="28"/>
                <w:szCs w:val="22"/>
              </w:rPr>
              <w:t>*</w:t>
            </w:r>
          </w:p>
        </w:tc>
        <w:tc>
          <w:tcPr>
            <w:tcW w:w="1167" w:type="dxa"/>
            <w:vAlign w:val="center"/>
            <w:hideMark/>
          </w:tcPr>
          <w:p w14:paraId="4DCE46E5" w14:textId="77777777" w:rsidR="009102D9" w:rsidRPr="003874AC" w:rsidRDefault="009102D9" w:rsidP="00CA122E">
            <w:pPr>
              <w:pStyle w:val="NoSpacing"/>
              <w:jc w:val="center"/>
              <w:rPr>
                <w:rFonts w:ascii="Times New Roman" w:hAnsi="Times New Roman" w:cs="Times New Roman"/>
                <w:sz w:val="28"/>
                <w:szCs w:val="22"/>
              </w:rPr>
            </w:pPr>
            <w:r w:rsidRPr="003874AC">
              <w:rPr>
                <w:rFonts w:ascii="Times New Roman" w:hAnsi="Times New Roman" w:cs="Times New Roman"/>
                <w:sz w:val="28"/>
                <w:szCs w:val="22"/>
              </w:rPr>
              <w:t>*</w:t>
            </w:r>
          </w:p>
        </w:tc>
        <w:tc>
          <w:tcPr>
            <w:tcW w:w="1167" w:type="dxa"/>
            <w:vAlign w:val="center"/>
            <w:hideMark/>
          </w:tcPr>
          <w:p w14:paraId="7D82AD55" w14:textId="77777777" w:rsidR="009102D9" w:rsidRPr="003874AC" w:rsidRDefault="009102D9" w:rsidP="00CA122E">
            <w:pPr>
              <w:pStyle w:val="NoSpacing"/>
              <w:jc w:val="center"/>
              <w:rPr>
                <w:rFonts w:ascii="Times New Roman" w:hAnsi="Times New Roman" w:cs="Times New Roman"/>
                <w:sz w:val="28"/>
                <w:szCs w:val="22"/>
              </w:rPr>
            </w:pPr>
            <w:r w:rsidRPr="003874AC">
              <w:rPr>
                <w:rFonts w:ascii="Times New Roman" w:hAnsi="Times New Roman" w:cs="Times New Roman"/>
                <w:sz w:val="28"/>
                <w:szCs w:val="22"/>
              </w:rPr>
              <w:t>*</w:t>
            </w:r>
          </w:p>
        </w:tc>
        <w:tc>
          <w:tcPr>
            <w:tcW w:w="1167" w:type="dxa"/>
            <w:vAlign w:val="center"/>
            <w:hideMark/>
          </w:tcPr>
          <w:p w14:paraId="19409689" w14:textId="77777777" w:rsidR="009102D9" w:rsidRPr="003874AC" w:rsidRDefault="009102D9" w:rsidP="00CA122E">
            <w:pPr>
              <w:pStyle w:val="NoSpacing"/>
              <w:jc w:val="center"/>
              <w:rPr>
                <w:rFonts w:ascii="Times New Roman" w:hAnsi="Times New Roman" w:cs="Times New Roman"/>
                <w:sz w:val="28"/>
                <w:szCs w:val="22"/>
              </w:rPr>
            </w:pPr>
            <w:r w:rsidRPr="003874AC">
              <w:rPr>
                <w:rFonts w:ascii="Times New Roman" w:hAnsi="Times New Roman" w:cs="Times New Roman"/>
                <w:sz w:val="28"/>
                <w:szCs w:val="22"/>
              </w:rPr>
              <w:t>*</w:t>
            </w:r>
          </w:p>
        </w:tc>
        <w:tc>
          <w:tcPr>
            <w:tcW w:w="1167" w:type="dxa"/>
            <w:vAlign w:val="center"/>
            <w:hideMark/>
          </w:tcPr>
          <w:p w14:paraId="5DDBB499" w14:textId="77777777" w:rsidR="009102D9" w:rsidRPr="003874AC" w:rsidRDefault="009102D9" w:rsidP="00CA122E">
            <w:pPr>
              <w:pStyle w:val="NoSpacing"/>
              <w:jc w:val="center"/>
              <w:rPr>
                <w:rFonts w:ascii="Times New Roman" w:hAnsi="Times New Roman" w:cs="Times New Roman"/>
                <w:sz w:val="28"/>
                <w:szCs w:val="22"/>
              </w:rPr>
            </w:pPr>
            <w:r w:rsidRPr="003874AC">
              <w:rPr>
                <w:rFonts w:ascii="Times New Roman" w:hAnsi="Times New Roman" w:cs="Times New Roman"/>
                <w:sz w:val="28"/>
                <w:szCs w:val="22"/>
              </w:rPr>
              <w:t>*</w:t>
            </w:r>
          </w:p>
        </w:tc>
        <w:tc>
          <w:tcPr>
            <w:tcW w:w="1167" w:type="dxa"/>
            <w:vAlign w:val="center"/>
            <w:hideMark/>
          </w:tcPr>
          <w:p w14:paraId="50AC3F93" w14:textId="77777777" w:rsidR="009102D9" w:rsidRPr="003874AC" w:rsidRDefault="009102D9" w:rsidP="00CA122E">
            <w:pPr>
              <w:pStyle w:val="NoSpacing"/>
              <w:jc w:val="center"/>
              <w:rPr>
                <w:rFonts w:ascii="Times New Roman" w:hAnsi="Times New Roman" w:cs="Times New Roman"/>
                <w:sz w:val="28"/>
                <w:szCs w:val="22"/>
              </w:rPr>
            </w:pPr>
            <w:r w:rsidRPr="003874AC">
              <w:rPr>
                <w:rFonts w:ascii="Times New Roman" w:hAnsi="Times New Roman" w:cs="Times New Roman"/>
                <w:sz w:val="28"/>
                <w:szCs w:val="22"/>
              </w:rPr>
              <w:t>*</w:t>
            </w:r>
          </w:p>
        </w:tc>
        <w:tc>
          <w:tcPr>
            <w:tcW w:w="1167" w:type="dxa"/>
            <w:vAlign w:val="center"/>
            <w:hideMark/>
          </w:tcPr>
          <w:p w14:paraId="7B0FDD1D" w14:textId="77777777" w:rsidR="009102D9" w:rsidRPr="003874AC" w:rsidRDefault="009102D9" w:rsidP="00CA122E">
            <w:pPr>
              <w:pStyle w:val="NoSpacing"/>
              <w:jc w:val="center"/>
              <w:rPr>
                <w:rFonts w:ascii="Times New Roman" w:hAnsi="Times New Roman" w:cs="Times New Roman"/>
                <w:sz w:val="28"/>
                <w:szCs w:val="22"/>
              </w:rPr>
            </w:pPr>
            <w:r w:rsidRPr="003874AC">
              <w:rPr>
                <w:rFonts w:ascii="Times New Roman" w:hAnsi="Times New Roman" w:cs="Times New Roman"/>
                <w:sz w:val="28"/>
                <w:szCs w:val="22"/>
              </w:rPr>
              <w:t>*</w:t>
            </w:r>
          </w:p>
        </w:tc>
        <w:tc>
          <w:tcPr>
            <w:tcW w:w="1167" w:type="dxa"/>
            <w:vAlign w:val="center"/>
            <w:hideMark/>
          </w:tcPr>
          <w:p w14:paraId="2AA2A543" w14:textId="77777777" w:rsidR="009102D9" w:rsidRPr="003874AC" w:rsidRDefault="009102D9" w:rsidP="00CA122E">
            <w:pPr>
              <w:pStyle w:val="NoSpacing"/>
              <w:jc w:val="center"/>
              <w:rPr>
                <w:rFonts w:ascii="Times New Roman" w:hAnsi="Times New Roman" w:cs="Times New Roman"/>
                <w:sz w:val="28"/>
                <w:szCs w:val="22"/>
              </w:rPr>
            </w:pPr>
            <w:r w:rsidRPr="003874AC">
              <w:rPr>
                <w:rFonts w:ascii="Times New Roman" w:hAnsi="Times New Roman" w:cs="Times New Roman"/>
                <w:sz w:val="28"/>
                <w:szCs w:val="22"/>
              </w:rPr>
              <w:t>*</w:t>
            </w:r>
          </w:p>
        </w:tc>
        <w:tc>
          <w:tcPr>
            <w:tcW w:w="1167" w:type="dxa"/>
            <w:vAlign w:val="center"/>
            <w:hideMark/>
          </w:tcPr>
          <w:p w14:paraId="3CAABB67" w14:textId="77777777" w:rsidR="009102D9" w:rsidRPr="003874AC" w:rsidRDefault="009102D9" w:rsidP="00CA122E">
            <w:pPr>
              <w:pStyle w:val="NoSpacing"/>
              <w:jc w:val="center"/>
              <w:rPr>
                <w:rFonts w:ascii="Times New Roman" w:hAnsi="Times New Roman" w:cs="Times New Roman"/>
                <w:sz w:val="28"/>
                <w:szCs w:val="22"/>
              </w:rPr>
            </w:pPr>
            <w:r w:rsidRPr="003874AC">
              <w:rPr>
                <w:rFonts w:ascii="Times New Roman" w:hAnsi="Times New Roman" w:cs="Times New Roman"/>
                <w:sz w:val="28"/>
                <w:szCs w:val="22"/>
              </w:rPr>
              <w:t>*</w:t>
            </w:r>
          </w:p>
        </w:tc>
        <w:tc>
          <w:tcPr>
            <w:tcW w:w="1167" w:type="dxa"/>
            <w:vAlign w:val="center"/>
            <w:hideMark/>
          </w:tcPr>
          <w:p w14:paraId="7CE443DE" w14:textId="77777777" w:rsidR="009102D9" w:rsidRPr="003874AC" w:rsidRDefault="009102D9" w:rsidP="00CA122E">
            <w:pPr>
              <w:pStyle w:val="NoSpacing"/>
              <w:jc w:val="center"/>
              <w:rPr>
                <w:rFonts w:ascii="Times New Roman" w:hAnsi="Times New Roman" w:cs="Times New Roman"/>
                <w:sz w:val="28"/>
                <w:szCs w:val="22"/>
              </w:rPr>
            </w:pPr>
            <w:r w:rsidRPr="003874AC">
              <w:rPr>
                <w:rFonts w:ascii="Times New Roman" w:hAnsi="Times New Roman" w:cs="Times New Roman"/>
                <w:sz w:val="28"/>
                <w:szCs w:val="22"/>
              </w:rPr>
              <w:t>10</w:t>
            </w:r>
          </w:p>
        </w:tc>
        <w:tc>
          <w:tcPr>
            <w:tcW w:w="1167" w:type="dxa"/>
            <w:vAlign w:val="center"/>
            <w:hideMark/>
          </w:tcPr>
          <w:p w14:paraId="5C0C999A" w14:textId="77777777" w:rsidR="009102D9" w:rsidRPr="003874AC" w:rsidRDefault="009102D9" w:rsidP="00CA122E">
            <w:pPr>
              <w:pStyle w:val="NoSpacing"/>
              <w:jc w:val="center"/>
              <w:rPr>
                <w:rFonts w:ascii="Times New Roman" w:hAnsi="Times New Roman" w:cs="Times New Roman"/>
                <w:sz w:val="28"/>
                <w:szCs w:val="22"/>
              </w:rPr>
            </w:pPr>
            <w:r w:rsidRPr="003874AC">
              <w:rPr>
                <w:rFonts w:ascii="Times New Roman" w:hAnsi="Times New Roman" w:cs="Times New Roman"/>
                <w:sz w:val="28"/>
                <w:szCs w:val="22"/>
              </w:rPr>
              <w:t>29</w:t>
            </w:r>
          </w:p>
        </w:tc>
      </w:tr>
      <w:tr w:rsidR="009102D9" w:rsidRPr="003874AC" w14:paraId="449B8BA3" w14:textId="77777777" w:rsidTr="00CA122E">
        <w:trPr>
          <w:trHeight w:val="20"/>
        </w:trPr>
        <w:tc>
          <w:tcPr>
            <w:tcW w:w="2168" w:type="dxa"/>
            <w:hideMark/>
          </w:tcPr>
          <w:p w14:paraId="08335431" w14:textId="77777777" w:rsidR="009102D9" w:rsidRPr="003874AC" w:rsidRDefault="009102D9" w:rsidP="009102D9">
            <w:pPr>
              <w:pStyle w:val="NoSpacing"/>
              <w:rPr>
                <w:rFonts w:ascii="Times New Roman" w:hAnsi="Times New Roman" w:cs="Times New Roman"/>
                <w:sz w:val="28"/>
                <w:szCs w:val="22"/>
              </w:rPr>
            </w:pPr>
            <w:r w:rsidRPr="003874AC">
              <w:rPr>
                <w:rFonts w:ascii="Times New Roman" w:hAnsi="Times New Roman" w:cs="Times New Roman"/>
                <w:sz w:val="28"/>
                <w:szCs w:val="22"/>
              </w:rPr>
              <w:t>Jammu &amp; Kashmir</w:t>
            </w:r>
          </w:p>
        </w:tc>
        <w:tc>
          <w:tcPr>
            <w:tcW w:w="1167" w:type="dxa"/>
            <w:vAlign w:val="center"/>
            <w:hideMark/>
          </w:tcPr>
          <w:p w14:paraId="34319AAB" w14:textId="77777777" w:rsidR="009102D9" w:rsidRPr="003874AC" w:rsidRDefault="009102D9" w:rsidP="00CA122E">
            <w:pPr>
              <w:pStyle w:val="NoSpacing"/>
              <w:jc w:val="center"/>
              <w:rPr>
                <w:rFonts w:ascii="Times New Roman" w:hAnsi="Times New Roman" w:cs="Times New Roman"/>
                <w:sz w:val="28"/>
                <w:szCs w:val="22"/>
              </w:rPr>
            </w:pPr>
            <w:r w:rsidRPr="003874AC">
              <w:rPr>
                <w:rFonts w:ascii="Times New Roman" w:hAnsi="Times New Roman" w:cs="Times New Roman"/>
                <w:sz w:val="28"/>
                <w:szCs w:val="22"/>
              </w:rPr>
              <w:t>35</w:t>
            </w:r>
          </w:p>
        </w:tc>
        <w:tc>
          <w:tcPr>
            <w:tcW w:w="1167" w:type="dxa"/>
            <w:vAlign w:val="center"/>
            <w:hideMark/>
          </w:tcPr>
          <w:p w14:paraId="6E0754CE" w14:textId="77777777" w:rsidR="009102D9" w:rsidRPr="003874AC" w:rsidRDefault="009102D9" w:rsidP="00CA122E">
            <w:pPr>
              <w:pStyle w:val="NoSpacing"/>
              <w:jc w:val="center"/>
              <w:rPr>
                <w:rFonts w:ascii="Times New Roman" w:hAnsi="Times New Roman" w:cs="Times New Roman"/>
                <w:sz w:val="28"/>
                <w:szCs w:val="22"/>
              </w:rPr>
            </w:pPr>
            <w:r w:rsidRPr="003874AC">
              <w:rPr>
                <w:rFonts w:ascii="Times New Roman" w:hAnsi="Times New Roman" w:cs="Times New Roman"/>
                <w:sz w:val="28"/>
                <w:szCs w:val="22"/>
              </w:rPr>
              <w:t>34</w:t>
            </w:r>
          </w:p>
        </w:tc>
        <w:tc>
          <w:tcPr>
            <w:tcW w:w="1167" w:type="dxa"/>
            <w:vAlign w:val="center"/>
            <w:hideMark/>
          </w:tcPr>
          <w:p w14:paraId="2A4D5601" w14:textId="77777777" w:rsidR="009102D9" w:rsidRPr="003874AC" w:rsidRDefault="009102D9" w:rsidP="00CA122E">
            <w:pPr>
              <w:pStyle w:val="NoSpacing"/>
              <w:jc w:val="center"/>
              <w:rPr>
                <w:rFonts w:ascii="Times New Roman" w:hAnsi="Times New Roman" w:cs="Times New Roman"/>
                <w:sz w:val="28"/>
                <w:szCs w:val="22"/>
              </w:rPr>
            </w:pPr>
            <w:r w:rsidRPr="003874AC">
              <w:rPr>
                <w:rFonts w:ascii="Times New Roman" w:hAnsi="Times New Roman" w:cs="Times New Roman"/>
                <w:sz w:val="28"/>
                <w:szCs w:val="22"/>
              </w:rPr>
              <w:t>80</w:t>
            </w:r>
          </w:p>
        </w:tc>
        <w:tc>
          <w:tcPr>
            <w:tcW w:w="1167" w:type="dxa"/>
            <w:vAlign w:val="center"/>
            <w:hideMark/>
          </w:tcPr>
          <w:p w14:paraId="73E91EE1" w14:textId="77777777" w:rsidR="009102D9" w:rsidRPr="003874AC" w:rsidRDefault="009102D9" w:rsidP="00CA122E">
            <w:pPr>
              <w:pStyle w:val="NoSpacing"/>
              <w:jc w:val="center"/>
              <w:rPr>
                <w:rFonts w:ascii="Times New Roman" w:hAnsi="Times New Roman" w:cs="Times New Roman"/>
                <w:sz w:val="28"/>
                <w:szCs w:val="22"/>
              </w:rPr>
            </w:pPr>
            <w:r w:rsidRPr="003874AC">
              <w:rPr>
                <w:rFonts w:ascii="Times New Roman" w:hAnsi="Times New Roman" w:cs="Times New Roman"/>
                <w:sz w:val="28"/>
                <w:szCs w:val="22"/>
              </w:rPr>
              <w:t>8</w:t>
            </w:r>
          </w:p>
        </w:tc>
        <w:tc>
          <w:tcPr>
            <w:tcW w:w="1167" w:type="dxa"/>
            <w:vAlign w:val="center"/>
            <w:hideMark/>
          </w:tcPr>
          <w:p w14:paraId="5152989F" w14:textId="77777777" w:rsidR="009102D9" w:rsidRPr="003874AC" w:rsidRDefault="009102D9" w:rsidP="00CA122E">
            <w:pPr>
              <w:pStyle w:val="NoSpacing"/>
              <w:jc w:val="center"/>
              <w:rPr>
                <w:rFonts w:ascii="Times New Roman" w:hAnsi="Times New Roman" w:cs="Times New Roman"/>
                <w:sz w:val="28"/>
                <w:szCs w:val="22"/>
              </w:rPr>
            </w:pPr>
            <w:r w:rsidRPr="003874AC">
              <w:rPr>
                <w:rFonts w:ascii="Times New Roman" w:hAnsi="Times New Roman" w:cs="Times New Roman"/>
                <w:sz w:val="28"/>
                <w:szCs w:val="22"/>
              </w:rPr>
              <w:t>30</w:t>
            </w:r>
          </w:p>
        </w:tc>
        <w:tc>
          <w:tcPr>
            <w:tcW w:w="1167" w:type="dxa"/>
            <w:vAlign w:val="center"/>
            <w:hideMark/>
          </w:tcPr>
          <w:p w14:paraId="68B5E167" w14:textId="77777777" w:rsidR="009102D9" w:rsidRPr="003874AC" w:rsidRDefault="009102D9" w:rsidP="00CA122E">
            <w:pPr>
              <w:pStyle w:val="NoSpacing"/>
              <w:jc w:val="center"/>
              <w:rPr>
                <w:rFonts w:ascii="Times New Roman" w:hAnsi="Times New Roman" w:cs="Times New Roman"/>
                <w:sz w:val="28"/>
                <w:szCs w:val="22"/>
              </w:rPr>
            </w:pPr>
            <w:r w:rsidRPr="003874AC">
              <w:rPr>
                <w:rFonts w:ascii="Times New Roman" w:hAnsi="Times New Roman" w:cs="Times New Roman"/>
                <w:sz w:val="28"/>
                <w:szCs w:val="22"/>
              </w:rPr>
              <w:t>12</w:t>
            </w:r>
          </w:p>
        </w:tc>
        <w:tc>
          <w:tcPr>
            <w:tcW w:w="1167" w:type="dxa"/>
            <w:vAlign w:val="center"/>
            <w:hideMark/>
          </w:tcPr>
          <w:p w14:paraId="24951DDD" w14:textId="77777777" w:rsidR="009102D9" w:rsidRPr="003874AC" w:rsidRDefault="009102D9" w:rsidP="00CA122E">
            <w:pPr>
              <w:pStyle w:val="NoSpacing"/>
              <w:jc w:val="center"/>
              <w:rPr>
                <w:rFonts w:ascii="Times New Roman" w:hAnsi="Times New Roman" w:cs="Times New Roman"/>
                <w:sz w:val="28"/>
                <w:szCs w:val="22"/>
              </w:rPr>
            </w:pPr>
            <w:r w:rsidRPr="003874AC">
              <w:rPr>
                <w:rFonts w:ascii="Times New Roman" w:hAnsi="Times New Roman" w:cs="Times New Roman"/>
                <w:sz w:val="28"/>
                <w:szCs w:val="22"/>
              </w:rPr>
              <w:t>38</w:t>
            </w:r>
          </w:p>
        </w:tc>
        <w:tc>
          <w:tcPr>
            <w:tcW w:w="1167" w:type="dxa"/>
            <w:vAlign w:val="center"/>
            <w:hideMark/>
          </w:tcPr>
          <w:p w14:paraId="07A75AEA" w14:textId="77777777" w:rsidR="009102D9" w:rsidRPr="003874AC" w:rsidRDefault="009102D9" w:rsidP="00CA122E">
            <w:pPr>
              <w:pStyle w:val="NoSpacing"/>
              <w:jc w:val="center"/>
              <w:rPr>
                <w:rFonts w:ascii="Times New Roman" w:hAnsi="Times New Roman" w:cs="Times New Roman"/>
                <w:sz w:val="28"/>
                <w:szCs w:val="22"/>
              </w:rPr>
            </w:pPr>
            <w:r w:rsidRPr="003874AC">
              <w:rPr>
                <w:rFonts w:ascii="Times New Roman" w:hAnsi="Times New Roman" w:cs="Times New Roman"/>
                <w:sz w:val="28"/>
                <w:szCs w:val="22"/>
              </w:rPr>
              <w:t>30</w:t>
            </w:r>
          </w:p>
        </w:tc>
        <w:tc>
          <w:tcPr>
            <w:tcW w:w="1167" w:type="dxa"/>
            <w:vAlign w:val="center"/>
            <w:hideMark/>
          </w:tcPr>
          <w:p w14:paraId="3A577C41" w14:textId="77777777" w:rsidR="009102D9" w:rsidRPr="003874AC" w:rsidRDefault="009102D9" w:rsidP="00CA122E">
            <w:pPr>
              <w:pStyle w:val="NoSpacing"/>
              <w:jc w:val="center"/>
              <w:rPr>
                <w:rFonts w:ascii="Times New Roman" w:hAnsi="Times New Roman" w:cs="Times New Roman"/>
                <w:sz w:val="28"/>
                <w:szCs w:val="22"/>
              </w:rPr>
            </w:pPr>
            <w:r w:rsidRPr="003874AC">
              <w:rPr>
                <w:rFonts w:ascii="Times New Roman" w:hAnsi="Times New Roman" w:cs="Times New Roman"/>
                <w:sz w:val="28"/>
                <w:szCs w:val="22"/>
              </w:rPr>
              <w:t>22</w:t>
            </w:r>
          </w:p>
        </w:tc>
        <w:tc>
          <w:tcPr>
            <w:tcW w:w="1167" w:type="dxa"/>
            <w:vAlign w:val="center"/>
            <w:hideMark/>
          </w:tcPr>
          <w:p w14:paraId="49469AC3" w14:textId="77777777" w:rsidR="009102D9" w:rsidRPr="003874AC" w:rsidRDefault="009102D9" w:rsidP="00CA122E">
            <w:pPr>
              <w:pStyle w:val="NoSpacing"/>
              <w:jc w:val="center"/>
              <w:rPr>
                <w:rFonts w:ascii="Times New Roman" w:hAnsi="Times New Roman" w:cs="Times New Roman"/>
                <w:sz w:val="28"/>
                <w:szCs w:val="22"/>
              </w:rPr>
            </w:pPr>
            <w:r w:rsidRPr="003874AC">
              <w:rPr>
                <w:rFonts w:ascii="Times New Roman" w:hAnsi="Times New Roman" w:cs="Times New Roman"/>
                <w:sz w:val="28"/>
                <w:szCs w:val="22"/>
              </w:rPr>
              <w:t>46</w:t>
            </w:r>
          </w:p>
        </w:tc>
        <w:tc>
          <w:tcPr>
            <w:tcW w:w="1167" w:type="dxa"/>
            <w:vAlign w:val="center"/>
            <w:hideMark/>
          </w:tcPr>
          <w:p w14:paraId="34ABF9D1" w14:textId="77777777" w:rsidR="009102D9" w:rsidRPr="003874AC" w:rsidRDefault="009102D9" w:rsidP="00CA122E">
            <w:pPr>
              <w:pStyle w:val="NoSpacing"/>
              <w:jc w:val="center"/>
              <w:rPr>
                <w:rFonts w:ascii="Times New Roman" w:hAnsi="Times New Roman" w:cs="Times New Roman"/>
                <w:sz w:val="28"/>
                <w:szCs w:val="22"/>
              </w:rPr>
            </w:pPr>
            <w:r w:rsidRPr="003874AC">
              <w:rPr>
                <w:rFonts w:ascii="Times New Roman" w:hAnsi="Times New Roman" w:cs="Times New Roman"/>
                <w:sz w:val="28"/>
                <w:szCs w:val="22"/>
              </w:rPr>
              <w:t>43</w:t>
            </w:r>
          </w:p>
        </w:tc>
      </w:tr>
      <w:tr w:rsidR="009102D9" w:rsidRPr="003874AC" w14:paraId="6F085103" w14:textId="77777777" w:rsidTr="00CA122E">
        <w:trPr>
          <w:trHeight w:val="20"/>
        </w:trPr>
        <w:tc>
          <w:tcPr>
            <w:tcW w:w="2168" w:type="dxa"/>
            <w:hideMark/>
          </w:tcPr>
          <w:p w14:paraId="1E48B559" w14:textId="77777777" w:rsidR="009102D9" w:rsidRPr="003874AC" w:rsidRDefault="009102D9" w:rsidP="009102D9">
            <w:pPr>
              <w:pStyle w:val="NoSpacing"/>
              <w:rPr>
                <w:rFonts w:ascii="Times New Roman" w:hAnsi="Times New Roman" w:cs="Times New Roman"/>
                <w:sz w:val="28"/>
                <w:szCs w:val="22"/>
              </w:rPr>
            </w:pPr>
            <w:r w:rsidRPr="003874AC">
              <w:rPr>
                <w:rFonts w:ascii="Times New Roman" w:hAnsi="Times New Roman" w:cs="Times New Roman"/>
                <w:sz w:val="28"/>
                <w:szCs w:val="22"/>
              </w:rPr>
              <w:t>Kerala</w:t>
            </w:r>
          </w:p>
        </w:tc>
        <w:tc>
          <w:tcPr>
            <w:tcW w:w="1167" w:type="dxa"/>
            <w:vAlign w:val="center"/>
            <w:hideMark/>
          </w:tcPr>
          <w:p w14:paraId="6661D598" w14:textId="77777777" w:rsidR="009102D9" w:rsidRPr="003874AC" w:rsidRDefault="009102D9" w:rsidP="00CA122E">
            <w:pPr>
              <w:pStyle w:val="NoSpacing"/>
              <w:jc w:val="center"/>
              <w:rPr>
                <w:rFonts w:ascii="Times New Roman" w:hAnsi="Times New Roman" w:cs="Times New Roman"/>
                <w:sz w:val="28"/>
                <w:szCs w:val="22"/>
              </w:rPr>
            </w:pPr>
            <w:r w:rsidRPr="003874AC">
              <w:rPr>
                <w:rFonts w:ascii="Times New Roman" w:hAnsi="Times New Roman" w:cs="Times New Roman"/>
                <w:sz w:val="28"/>
                <w:szCs w:val="22"/>
              </w:rPr>
              <w:t>3</w:t>
            </w:r>
          </w:p>
        </w:tc>
        <w:tc>
          <w:tcPr>
            <w:tcW w:w="1167" w:type="dxa"/>
            <w:vAlign w:val="center"/>
            <w:hideMark/>
          </w:tcPr>
          <w:p w14:paraId="524C263F" w14:textId="77777777" w:rsidR="009102D9" w:rsidRPr="003874AC" w:rsidRDefault="009102D9" w:rsidP="00CA122E">
            <w:pPr>
              <w:pStyle w:val="NoSpacing"/>
              <w:jc w:val="center"/>
              <w:rPr>
                <w:rFonts w:ascii="Times New Roman" w:hAnsi="Times New Roman" w:cs="Times New Roman"/>
                <w:sz w:val="28"/>
                <w:szCs w:val="22"/>
              </w:rPr>
            </w:pPr>
            <w:r w:rsidRPr="003874AC">
              <w:rPr>
                <w:rFonts w:ascii="Times New Roman" w:hAnsi="Times New Roman" w:cs="Times New Roman"/>
                <w:sz w:val="28"/>
                <w:szCs w:val="22"/>
              </w:rPr>
              <w:t>6</w:t>
            </w:r>
          </w:p>
        </w:tc>
        <w:tc>
          <w:tcPr>
            <w:tcW w:w="1167" w:type="dxa"/>
            <w:vAlign w:val="center"/>
            <w:hideMark/>
          </w:tcPr>
          <w:p w14:paraId="4E642CA8" w14:textId="77777777" w:rsidR="009102D9" w:rsidRPr="003874AC" w:rsidRDefault="009102D9" w:rsidP="00CA122E">
            <w:pPr>
              <w:pStyle w:val="NoSpacing"/>
              <w:jc w:val="center"/>
              <w:rPr>
                <w:rFonts w:ascii="Times New Roman" w:hAnsi="Times New Roman" w:cs="Times New Roman"/>
                <w:sz w:val="28"/>
                <w:szCs w:val="22"/>
              </w:rPr>
            </w:pPr>
            <w:r w:rsidRPr="003874AC">
              <w:rPr>
                <w:rFonts w:ascii="Times New Roman" w:hAnsi="Times New Roman" w:cs="Times New Roman"/>
                <w:sz w:val="28"/>
                <w:szCs w:val="22"/>
              </w:rPr>
              <w:t>5</w:t>
            </w:r>
          </w:p>
        </w:tc>
        <w:tc>
          <w:tcPr>
            <w:tcW w:w="1167" w:type="dxa"/>
            <w:vAlign w:val="center"/>
            <w:hideMark/>
          </w:tcPr>
          <w:p w14:paraId="741206D7" w14:textId="77777777" w:rsidR="009102D9" w:rsidRPr="003874AC" w:rsidRDefault="009102D9" w:rsidP="00CA122E">
            <w:pPr>
              <w:pStyle w:val="NoSpacing"/>
              <w:jc w:val="center"/>
              <w:rPr>
                <w:rFonts w:ascii="Times New Roman" w:hAnsi="Times New Roman" w:cs="Times New Roman"/>
                <w:sz w:val="28"/>
                <w:szCs w:val="22"/>
              </w:rPr>
            </w:pPr>
            <w:r w:rsidRPr="003874AC">
              <w:rPr>
                <w:rFonts w:ascii="Times New Roman" w:hAnsi="Times New Roman" w:cs="Times New Roman"/>
                <w:sz w:val="28"/>
                <w:szCs w:val="22"/>
              </w:rPr>
              <w:t>4</w:t>
            </w:r>
          </w:p>
        </w:tc>
        <w:tc>
          <w:tcPr>
            <w:tcW w:w="1167" w:type="dxa"/>
            <w:vAlign w:val="center"/>
            <w:hideMark/>
          </w:tcPr>
          <w:p w14:paraId="729D4FD4" w14:textId="77777777" w:rsidR="009102D9" w:rsidRPr="003874AC" w:rsidRDefault="009102D9" w:rsidP="00CA122E">
            <w:pPr>
              <w:pStyle w:val="NoSpacing"/>
              <w:jc w:val="center"/>
              <w:rPr>
                <w:rFonts w:ascii="Times New Roman" w:hAnsi="Times New Roman" w:cs="Times New Roman"/>
                <w:sz w:val="28"/>
                <w:szCs w:val="22"/>
              </w:rPr>
            </w:pPr>
            <w:r w:rsidRPr="003874AC">
              <w:rPr>
                <w:rFonts w:ascii="Times New Roman" w:hAnsi="Times New Roman" w:cs="Times New Roman"/>
                <w:sz w:val="28"/>
                <w:szCs w:val="22"/>
              </w:rPr>
              <w:t>16</w:t>
            </w:r>
          </w:p>
        </w:tc>
        <w:tc>
          <w:tcPr>
            <w:tcW w:w="1167" w:type="dxa"/>
            <w:vAlign w:val="center"/>
            <w:hideMark/>
          </w:tcPr>
          <w:p w14:paraId="180C5D3F" w14:textId="77777777" w:rsidR="009102D9" w:rsidRPr="003874AC" w:rsidRDefault="009102D9" w:rsidP="00CA122E">
            <w:pPr>
              <w:pStyle w:val="NoSpacing"/>
              <w:jc w:val="center"/>
              <w:rPr>
                <w:rFonts w:ascii="Times New Roman" w:hAnsi="Times New Roman" w:cs="Times New Roman"/>
                <w:sz w:val="28"/>
                <w:szCs w:val="22"/>
              </w:rPr>
            </w:pPr>
            <w:r w:rsidRPr="003874AC">
              <w:rPr>
                <w:rFonts w:ascii="Times New Roman" w:hAnsi="Times New Roman" w:cs="Times New Roman"/>
                <w:sz w:val="28"/>
                <w:szCs w:val="22"/>
              </w:rPr>
              <w:t>13</w:t>
            </w:r>
          </w:p>
        </w:tc>
        <w:tc>
          <w:tcPr>
            <w:tcW w:w="1167" w:type="dxa"/>
            <w:vAlign w:val="center"/>
            <w:hideMark/>
          </w:tcPr>
          <w:p w14:paraId="2D61FCA6" w14:textId="77777777" w:rsidR="009102D9" w:rsidRPr="003874AC" w:rsidRDefault="009102D9" w:rsidP="00CA122E">
            <w:pPr>
              <w:pStyle w:val="NoSpacing"/>
              <w:jc w:val="center"/>
              <w:rPr>
                <w:rFonts w:ascii="Times New Roman" w:hAnsi="Times New Roman" w:cs="Times New Roman"/>
                <w:sz w:val="28"/>
                <w:szCs w:val="22"/>
              </w:rPr>
            </w:pPr>
            <w:r w:rsidRPr="003874AC">
              <w:rPr>
                <w:rFonts w:ascii="Times New Roman" w:hAnsi="Times New Roman" w:cs="Times New Roman"/>
                <w:sz w:val="28"/>
                <w:szCs w:val="22"/>
              </w:rPr>
              <w:t>8</w:t>
            </w:r>
          </w:p>
        </w:tc>
        <w:tc>
          <w:tcPr>
            <w:tcW w:w="1167" w:type="dxa"/>
            <w:vAlign w:val="center"/>
            <w:hideMark/>
          </w:tcPr>
          <w:p w14:paraId="23264014" w14:textId="77777777" w:rsidR="009102D9" w:rsidRPr="003874AC" w:rsidRDefault="009102D9" w:rsidP="00CA122E">
            <w:pPr>
              <w:pStyle w:val="NoSpacing"/>
              <w:jc w:val="center"/>
              <w:rPr>
                <w:rFonts w:ascii="Times New Roman" w:hAnsi="Times New Roman" w:cs="Times New Roman"/>
                <w:sz w:val="28"/>
                <w:szCs w:val="22"/>
              </w:rPr>
            </w:pPr>
            <w:r w:rsidRPr="003874AC">
              <w:rPr>
                <w:rFonts w:ascii="Times New Roman" w:hAnsi="Times New Roman" w:cs="Times New Roman"/>
                <w:sz w:val="28"/>
                <w:szCs w:val="22"/>
              </w:rPr>
              <w:t>7</w:t>
            </w:r>
          </w:p>
        </w:tc>
        <w:tc>
          <w:tcPr>
            <w:tcW w:w="1167" w:type="dxa"/>
            <w:vAlign w:val="center"/>
            <w:hideMark/>
          </w:tcPr>
          <w:p w14:paraId="0D74F598" w14:textId="77777777" w:rsidR="009102D9" w:rsidRPr="003874AC" w:rsidRDefault="009102D9" w:rsidP="00CA122E">
            <w:pPr>
              <w:pStyle w:val="NoSpacing"/>
              <w:jc w:val="center"/>
              <w:rPr>
                <w:rFonts w:ascii="Times New Roman" w:hAnsi="Times New Roman" w:cs="Times New Roman"/>
                <w:sz w:val="28"/>
                <w:szCs w:val="22"/>
              </w:rPr>
            </w:pPr>
            <w:r w:rsidRPr="003874AC">
              <w:rPr>
                <w:rFonts w:ascii="Times New Roman" w:hAnsi="Times New Roman" w:cs="Times New Roman"/>
                <w:sz w:val="28"/>
                <w:szCs w:val="22"/>
              </w:rPr>
              <w:t>6</w:t>
            </w:r>
          </w:p>
        </w:tc>
        <w:tc>
          <w:tcPr>
            <w:tcW w:w="1167" w:type="dxa"/>
            <w:vAlign w:val="center"/>
            <w:hideMark/>
          </w:tcPr>
          <w:p w14:paraId="5AFE6FC8" w14:textId="77777777" w:rsidR="009102D9" w:rsidRPr="003874AC" w:rsidRDefault="009102D9" w:rsidP="00CA122E">
            <w:pPr>
              <w:pStyle w:val="NoSpacing"/>
              <w:jc w:val="center"/>
              <w:rPr>
                <w:rFonts w:ascii="Times New Roman" w:hAnsi="Times New Roman" w:cs="Times New Roman"/>
                <w:sz w:val="28"/>
                <w:szCs w:val="22"/>
              </w:rPr>
            </w:pPr>
            <w:r w:rsidRPr="003874AC">
              <w:rPr>
                <w:rFonts w:ascii="Times New Roman" w:hAnsi="Times New Roman" w:cs="Times New Roman"/>
                <w:sz w:val="28"/>
                <w:szCs w:val="22"/>
              </w:rPr>
              <w:t>3</w:t>
            </w:r>
          </w:p>
        </w:tc>
        <w:tc>
          <w:tcPr>
            <w:tcW w:w="1167" w:type="dxa"/>
            <w:vAlign w:val="center"/>
            <w:hideMark/>
          </w:tcPr>
          <w:p w14:paraId="6E1321E5" w14:textId="77777777" w:rsidR="009102D9" w:rsidRPr="003874AC" w:rsidRDefault="009102D9" w:rsidP="00CA122E">
            <w:pPr>
              <w:pStyle w:val="NoSpacing"/>
              <w:jc w:val="center"/>
              <w:rPr>
                <w:rFonts w:ascii="Times New Roman" w:hAnsi="Times New Roman" w:cs="Times New Roman"/>
                <w:sz w:val="28"/>
                <w:szCs w:val="22"/>
              </w:rPr>
            </w:pPr>
            <w:r w:rsidRPr="003874AC">
              <w:rPr>
                <w:rFonts w:ascii="Times New Roman" w:hAnsi="Times New Roman" w:cs="Times New Roman"/>
                <w:sz w:val="28"/>
                <w:szCs w:val="22"/>
              </w:rPr>
              <w:t>9</w:t>
            </w:r>
          </w:p>
        </w:tc>
      </w:tr>
      <w:tr w:rsidR="009102D9" w:rsidRPr="003874AC" w14:paraId="407D611C" w14:textId="77777777" w:rsidTr="00CA122E">
        <w:trPr>
          <w:trHeight w:val="20"/>
        </w:trPr>
        <w:tc>
          <w:tcPr>
            <w:tcW w:w="2168" w:type="dxa"/>
            <w:hideMark/>
          </w:tcPr>
          <w:p w14:paraId="2D18E5FD" w14:textId="77777777" w:rsidR="009102D9" w:rsidRPr="003874AC" w:rsidRDefault="009102D9" w:rsidP="009102D9">
            <w:pPr>
              <w:pStyle w:val="NoSpacing"/>
              <w:rPr>
                <w:rFonts w:ascii="Times New Roman" w:hAnsi="Times New Roman" w:cs="Times New Roman"/>
                <w:sz w:val="28"/>
                <w:szCs w:val="22"/>
              </w:rPr>
            </w:pPr>
            <w:r w:rsidRPr="003874AC">
              <w:rPr>
                <w:rFonts w:ascii="Times New Roman" w:hAnsi="Times New Roman" w:cs="Times New Roman"/>
                <w:sz w:val="28"/>
                <w:szCs w:val="22"/>
              </w:rPr>
              <w:t>Madhya Pradesh</w:t>
            </w:r>
          </w:p>
        </w:tc>
        <w:tc>
          <w:tcPr>
            <w:tcW w:w="1167" w:type="dxa"/>
            <w:vAlign w:val="center"/>
            <w:hideMark/>
          </w:tcPr>
          <w:p w14:paraId="2F3BE52A" w14:textId="77777777" w:rsidR="009102D9" w:rsidRPr="003874AC" w:rsidRDefault="009102D9" w:rsidP="00CA122E">
            <w:pPr>
              <w:pStyle w:val="NoSpacing"/>
              <w:jc w:val="center"/>
              <w:rPr>
                <w:rFonts w:ascii="Times New Roman" w:hAnsi="Times New Roman" w:cs="Times New Roman"/>
                <w:sz w:val="28"/>
                <w:szCs w:val="22"/>
              </w:rPr>
            </w:pPr>
            <w:r w:rsidRPr="003874AC">
              <w:rPr>
                <w:rFonts w:ascii="Times New Roman" w:hAnsi="Times New Roman" w:cs="Times New Roman"/>
                <w:sz w:val="28"/>
                <w:szCs w:val="22"/>
              </w:rPr>
              <w:t>52</w:t>
            </w:r>
          </w:p>
        </w:tc>
        <w:tc>
          <w:tcPr>
            <w:tcW w:w="1167" w:type="dxa"/>
            <w:vAlign w:val="center"/>
            <w:hideMark/>
          </w:tcPr>
          <w:p w14:paraId="27D35653" w14:textId="77777777" w:rsidR="009102D9" w:rsidRPr="003874AC" w:rsidRDefault="009102D9" w:rsidP="00CA122E">
            <w:pPr>
              <w:pStyle w:val="NoSpacing"/>
              <w:jc w:val="center"/>
              <w:rPr>
                <w:rFonts w:ascii="Times New Roman" w:hAnsi="Times New Roman" w:cs="Times New Roman"/>
                <w:sz w:val="28"/>
                <w:szCs w:val="22"/>
              </w:rPr>
            </w:pPr>
            <w:r w:rsidRPr="003874AC">
              <w:rPr>
                <w:rFonts w:ascii="Times New Roman" w:hAnsi="Times New Roman" w:cs="Times New Roman"/>
                <w:sz w:val="28"/>
                <w:szCs w:val="22"/>
              </w:rPr>
              <w:t>111</w:t>
            </w:r>
          </w:p>
        </w:tc>
        <w:tc>
          <w:tcPr>
            <w:tcW w:w="1167" w:type="dxa"/>
            <w:vAlign w:val="center"/>
            <w:hideMark/>
          </w:tcPr>
          <w:p w14:paraId="71A36E5D" w14:textId="77777777" w:rsidR="009102D9" w:rsidRPr="003874AC" w:rsidRDefault="009102D9" w:rsidP="00CA122E">
            <w:pPr>
              <w:pStyle w:val="NoSpacing"/>
              <w:jc w:val="center"/>
              <w:rPr>
                <w:rFonts w:ascii="Times New Roman" w:hAnsi="Times New Roman" w:cs="Times New Roman"/>
                <w:sz w:val="28"/>
                <w:szCs w:val="22"/>
              </w:rPr>
            </w:pPr>
            <w:r w:rsidRPr="003874AC">
              <w:rPr>
                <w:rFonts w:ascii="Times New Roman" w:hAnsi="Times New Roman" w:cs="Times New Roman"/>
                <w:sz w:val="28"/>
                <w:szCs w:val="22"/>
              </w:rPr>
              <w:t>4</w:t>
            </w:r>
          </w:p>
        </w:tc>
        <w:tc>
          <w:tcPr>
            <w:tcW w:w="1167" w:type="dxa"/>
            <w:vAlign w:val="center"/>
            <w:hideMark/>
          </w:tcPr>
          <w:p w14:paraId="25CDD92D" w14:textId="77777777" w:rsidR="009102D9" w:rsidRPr="003874AC" w:rsidRDefault="009102D9" w:rsidP="00CA122E">
            <w:pPr>
              <w:pStyle w:val="NoSpacing"/>
              <w:jc w:val="center"/>
              <w:rPr>
                <w:rFonts w:ascii="Times New Roman" w:hAnsi="Times New Roman" w:cs="Times New Roman"/>
                <w:sz w:val="28"/>
                <w:szCs w:val="22"/>
              </w:rPr>
            </w:pPr>
            <w:r w:rsidRPr="003874AC">
              <w:rPr>
                <w:rFonts w:ascii="Times New Roman" w:hAnsi="Times New Roman" w:cs="Times New Roman"/>
                <w:sz w:val="28"/>
                <w:szCs w:val="22"/>
              </w:rPr>
              <w:t>7</w:t>
            </w:r>
          </w:p>
        </w:tc>
        <w:tc>
          <w:tcPr>
            <w:tcW w:w="1167" w:type="dxa"/>
            <w:vAlign w:val="center"/>
            <w:hideMark/>
          </w:tcPr>
          <w:p w14:paraId="651162B2" w14:textId="77777777" w:rsidR="009102D9" w:rsidRPr="003874AC" w:rsidRDefault="009102D9" w:rsidP="00CA122E">
            <w:pPr>
              <w:pStyle w:val="NoSpacing"/>
              <w:jc w:val="center"/>
              <w:rPr>
                <w:rFonts w:ascii="Times New Roman" w:hAnsi="Times New Roman" w:cs="Times New Roman"/>
                <w:sz w:val="28"/>
                <w:szCs w:val="22"/>
              </w:rPr>
            </w:pPr>
            <w:r w:rsidRPr="003874AC">
              <w:rPr>
                <w:rFonts w:ascii="Times New Roman" w:hAnsi="Times New Roman" w:cs="Times New Roman"/>
                <w:sz w:val="28"/>
                <w:szCs w:val="22"/>
              </w:rPr>
              <w:t>3</w:t>
            </w:r>
          </w:p>
        </w:tc>
        <w:tc>
          <w:tcPr>
            <w:tcW w:w="1167" w:type="dxa"/>
            <w:vAlign w:val="center"/>
            <w:hideMark/>
          </w:tcPr>
          <w:p w14:paraId="67042E37" w14:textId="77777777" w:rsidR="009102D9" w:rsidRPr="003874AC" w:rsidRDefault="009102D9" w:rsidP="00CA122E">
            <w:pPr>
              <w:pStyle w:val="NoSpacing"/>
              <w:jc w:val="center"/>
              <w:rPr>
                <w:rFonts w:ascii="Times New Roman" w:hAnsi="Times New Roman" w:cs="Times New Roman"/>
                <w:sz w:val="28"/>
                <w:szCs w:val="22"/>
              </w:rPr>
            </w:pPr>
            <w:r w:rsidRPr="003874AC">
              <w:rPr>
                <w:rFonts w:ascii="Times New Roman" w:hAnsi="Times New Roman" w:cs="Times New Roman"/>
                <w:sz w:val="28"/>
                <w:szCs w:val="22"/>
              </w:rPr>
              <w:t>12</w:t>
            </w:r>
          </w:p>
        </w:tc>
        <w:tc>
          <w:tcPr>
            <w:tcW w:w="1167" w:type="dxa"/>
            <w:vAlign w:val="center"/>
            <w:hideMark/>
          </w:tcPr>
          <w:p w14:paraId="266DCEDF" w14:textId="77777777" w:rsidR="009102D9" w:rsidRPr="003874AC" w:rsidRDefault="009102D9" w:rsidP="00CA122E">
            <w:pPr>
              <w:pStyle w:val="NoSpacing"/>
              <w:jc w:val="center"/>
              <w:rPr>
                <w:rFonts w:ascii="Times New Roman" w:hAnsi="Times New Roman" w:cs="Times New Roman"/>
                <w:sz w:val="28"/>
                <w:szCs w:val="22"/>
              </w:rPr>
            </w:pPr>
            <w:r w:rsidRPr="003874AC">
              <w:rPr>
                <w:rFonts w:ascii="Times New Roman" w:hAnsi="Times New Roman" w:cs="Times New Roman"/>
                <w:sz w:val="28"/>
                <w:szCs w:val="22"/>
              </w:rPr>
              <w:t>21</w:t>
            </w:r>
          </w:p>
        </w:tc>
        <w:tc>
          <w:tcPr>
            <w:tcW w:w="1167" w:type="dxa"/>
            <w:vAlign w:val="center"/>
            <w:hideMark/>
          </w:tcPr>
          <w:p w14:paraId="5DA60126" w14:textId="77777777" w:rsidR="009102D9" w:rsidRPr="003874AC" w:rsidRDefault="009102D9" w:rsidP="00CA122E">
            <w:pPr>
              <w:pStyle w:val="NoSpacing"/>
              <w:jc w:val="center"/>
              <w:rPr>
                <w:rFonts w:ascii="Times New Roman" w:hAnsi="Times New Roman" w:cs="Times New Roman"/>
                <w:sz w:val="28"/>
                <w:szCs w:val="22"/>
              </w:rPr>
            </w:pPr>
            <w:r w:rsidRPr="003874AC">
              <w:rPr>
                <w:rFonts w:ascii="Times New Roman" w:hAnsi="Times New Roman" w:cs="Times New Roman"/>
                <w:sz w:val="28"/>
                <w:szCs w:val="22"/>
              </w:rPr>
              <w:t>33</w:t>
            </w:r>
          </w:p>
        </w:tc>
        <w:tc>
          <w:tcPr>
            <w:tcW w:w="1167" w:type="dxa"/>
            <w:vAlign w:val="center"/>
            <w:hideMark/>
          </w:tcPr>
          <w:p w14:paraId="4486FB3A" w14:textId="77777777" w:rsidR="009102D9" w:rsidRPr="003874AC" w:rsidRDefault="009102D9" w:rsidP="00CA122E">
            <w:pPr>
              <w:pStyle w:val="NoSpacing"/>
              <w:jc w:val="center"/>
              <w:rPr>
                <w:rFonts w:ascii="Times New Roman" w:hAnsi="Times New Roman" w:cs="Times New Roman"/>
                <w:sz w:val="28"/>
                <w:szCs w:val="22"/>
              </w:rPr>
            </w:pPr>
            <w:r w:rsidRPr="003874AC">
              <w:rPr>
                <w:rFonts w:ascii="Times New Roman" w:hAnsi="Times New Roman" w:cs="Times New Roman"/>
                <w:sz w:val="28"/>
                <w:szCs w:val="22"/>
              </w:rPr>
              <w:t>338</w:t>
            </w:r>
          </w:p>
        </w:tc>
        <w:tc>
          <w:tcPr>
            <w:tcW w:w="1167" w:type="dxa"/>
            <w:vAlign w:val="center"/>
            <w:hideMark/>
          </w:tcPr>
          <w:p w14:paraId="0960B38B" w14:textId="77777777" w:rsidR="009102D9" w:rsidRPr="003874AC" w:rsidRDefault="009102D9" w:rsidP="00CA122E">
            <w:pPr>
              <w:pStyle w:val="NoSpacing"/>
              <w:jc w:val="center"/>
              <w:rPr>
                <w:rFonts w:ascii="Times New Roman" w:hAnsi="Times New Roman" w:cs="Times New Roman"/>
                <w:sz w:val="28"/>
                <w:szCs w:val="22"/>
              </w:rPr>
            </w:pPr>
            <w:r w:rsidRPr="003874AC">
              <w:rPr>
                <w:rFonts w:ascii="Times New Roman" w:hAnsi="Times New Roman" w:cs="Times New Roman"/>
                <w:sz w:val="28"/>
                <w:szCs w:val="22"/>
              </w:rPr>
              <w:t>2075</w:t>
            </w:r>
          </w:p>
        </w:tc>
        <w:tc>
          <w:tcPr>
            <w:tcW w:w="1167" w:type="dxa"/>
            <w:vAlign w:val="center"/>
            <w:hideMark/>
          </w:tcPr>
          <w:p w14:paraId="5DD49C4F" w14:textId="77777777" w:rsidR="009102D9" w:rsidRPr="003874AC" w:rsidRDefault="009102D9" w:rsidP="00CA122E">
            <w:pPr>
              <w:pStyle w:val="NoSpacing"/>
              <w:jc w:val="center"/>
              <w:rPr>
                <w:rFonts w:ascii="Times New Roman" w:hAnsi="Times New Roman" w:cs="Times New Roman"/>
                <w:sz w:val="28"/>
                <w:szCs w:val="22"/>
              </w:rPr>
            </w:pPr>
            <w:r w:rsidRPr="003874AC">
              <w:rPr>
                <w:rFonts w:ascii="Times New Roman" w:hAnsi="Times New Roman" w:cs="Times New Roman"/>
                <w:sz w:val="28"/>
                <w:szCs w:val="22"/>
              </w:rPr>
              <w:t>1864</w:t>
            </w:r>
          </w:p>
        </w:tc>
      </w:tr>
      <w:tr w:rsidR="009102D9" w:rsidRPr="003874AC" w14:paraId="732EC8AA" w14:textId="77777777" w:rsidTr="00CA122E">
        <w:trPr>
          <w:trHeight w:val="20"/>
        </w:trPr>
        <w:tc>
          <w:tcPr>
            <w:tcW w:w="2168" w:type="dxa"/>
            <w:hideMark/>
          </w:tcPr>
          <w:p w14:paraId="250343EB" w14:textId="77777777" w:rsidR="009102D9" w:rsidRPr="003874AC" w:rsidRDefault="009102D9" w:rsidP="009102D9">
            <w:pPr>
              <w:pStyle w:val="NoSpacing"/>
              <w:rPr>
                <w:rFonts w:ascii="Times New Roman" w:hAnsi="Times New Roman" w:cs="Times New Roman"/>
                <w:sz w:val="28"/>
                <w:szCs w:val="22"/>
              </w:rPr>
            </w:pPr>
            <w:r w:rsidRPr="003874AC">
              <w:rPr>
                <w:rFonts w:ascii="Times New Roman" w:hAnsi="Times New Roman" w:cs="Times New Roman"/>
                <w:sz w:val="28"/>
                <w:szCs w:val="22"/>
              </w:rPr>
              <w:t>Maharashtra</w:t>
            </w:r>
          </w:p>
        </w:tc>
        <w:tc>
          <w:tcPr>
            <w:tcW w:w="1167" w:type="dxa"/>
            <w:vAlign w:val="center"/>
            <w:hideMark/>
          </w:tcPr>
          <w:p w14:paraId="0951528F" w14:textId="77777777" w:rsidR="009102D9" w:rsidRPr="003874AC" w:rsidRDefault="009102D9" w:rsidP="00CA122E">
            <w:pPr>
              <w:pStyle w:val="NoSpacing"/>
              <w:jc w:val="center"/>
              <w:rPr>
                <w:rFonts w:ascii="Times New Roman" w:hAnsi="Times New Roman" w:cs="Times New Roman"/>
                <w:sz w:val="28"/>
                <w:szCs w:val="22"/>
              </w:rPr>
            </w:pPr>
            <w:r w:rsidRPr="003874AC">
              <w:rPr>
                <w:rFonts w:ascii="Times New Roman" w:hAnsi="Times New Roman" w:cs="Times New Roman"/>
                <w:sz w:val="28"/>
                <w:szCs w:val="22"/>
              </w:rPr>
              <w:t>23†</w:t>
            </w:r>
          </w:p>
        </w:tc>
        <w:tc>
          <w:tcPr>
            <w:tcW w:w="1167" w:type="dxa"/>
            <w:vAlign w:val="center"/>
            <w:hideMark/>
          </w:tcPr>
          <w:p w14:paraId="0FD8F6AB" w14:textId="77777777" w:rsidR="009102D9" w:rsidRPr="003874AC" w:rsidRDefault="009102D9" w:rsidP="00CA122E">
            <w:pPr>
              <w:pStyle w:val="NoSpacing"/>
              <w:jc w:val="center"/>
              <w:rPr>
                <w:rFonts w:ascii="Times New Roman" w:hAnsi="Times New Roman" w:cs="Times New Roman"/>
                <w:sz w:val="28"/>
                <w:szCs w:val="22"/>
              </w:rPr>
            </w:pPr>
            <w:r w:rsidRPr="003874AC">
              <w:rPr>
                <w:rFonts w:ascii="Times New Roman" w:hAnsi="Times New Roman" w:cs="Times New Roman"/>
                <w:sz w:val="28"/>
                <w:szCs w:val="22"/>
              </w:rPr>
              <w:t>70†</w:t>
            </w:r>
          </w:p>
        </w:tc>
        <w:tc>
          <w:tcPr>
            <w:tcW w:w="1167" w:type="dxa"/>
            <w:vAlign w:val="center"/>
            <w:hideMark/>
          </w:tcPr>
          <w:p w14:paraId="117BB2E0" w14:textId="77777777" w:rsidR="009102D9" w:rsidRPr="003874AC" w:rsidRDefault="009102D9" w:rsidP="00CA122E">
            <w:pPr>
              <w:pStyle w:val="NoSpacing"/>
              <w:jc w:val="center"/>
              <w:rPr>
                <w:rFonts w:ascii="Times New Roman" w:hAnsi="Times New Roman" w:cs="Times New Roman"/>
                <w:sz w:val="28"/>
                <w:szCs w:val="22"/>
              </w:rPr>
            </w:pPr>
            <w:r w:rsidRPr="003874AC">
              <w:rPr>
                <w:rFonts w:ascii="Times New Roman" w:hAnsi="Times New Roman" w:cs="Times New Roman"/>
                <w:sz w:val="28"/>
                <w:szCs w:val="22"/>
              </w:rPr>
              <w:t>45†</w:t>
            </w:r>
          </w:p>
        </w:tc>
        <w:tc>
          <w:tcPr>
            <w:tcW w:w="1167" w:type="dxa"/>
            <w:vAlign w:val="center"/>
            <w:hideMark/>
          </w:tcPr>
          <w:p w14:paraId="5189EA0E" w14:textId="77777777" w:rsidR="009102D9" w:rsidRPr="003874AC" w:rsidRDefault="009102D9" w:rsidP="00CA122E">
            <w:pPr>
              <w:pStyle w:val="NoSpacing"/>
              <w:jc w:val="center"/>
              <w:rPr>
                <w:rFonts w:ascii="Times New Roman" w:hAnsi="Times New Roman" w:cs="Times New Roman"/>
                <w:sz w:val="28"/>
                <w:szCs w:val="22"/>
              </w:rPr>
            </w:pPr>
            <w:r w:rsidRPr="003874AC">
              <w:rPr>
                <w:rFonts w:ascii="Times New Roman" w:hAnsi="Times New Roman" w:cs="Times New Roman"/>
                <w:sz w:val="28"/>
                <w:szCs w:val="22"/>
              </w:rPr>
              <w:t>5</w:t>
            </w:r>
          </w:p>
        </w:tc>
        <w:tc>
          <w:tcPr>
            <w:tcW w:w="1167" w:type="dxa"/>
            <w:vAlign w:val="center"/>
            <w:hideMark/>
          </w:tcPr>
          <w:p w14:paraId="32E4FB25" w14:textId="77777777" w:rsidR="009102D9" w:rsidRPr="003874AC" w:rsidRDefault="009102D9" w:rsidP="00CA122E">
            <w:pPr>
              <w:pStyle w:val="NoSpacing"/>
              <w:jc w:val="center"/>
              <w:rPr>
                <w:rFonts w:ascii="Times New Roman" w:hAnsi="Times New Roman" w:cs="Times New Roman"/>
                <w:sz w:val="28"/>
                <w:szCs w:val="22"/>
              </w:rPr>
            </w:pPr>
            <w:r w:rsidRPr="003874AC">
              <w:rPr>
                <w:rFonts w:ascii="Times New Roman" w:hAnsi="Times New Roman" w:cs="Times New Roman"/>
                <w:sz w:val="28"/>
                <w:szCs w:val="22"/>
              </w:rPr>
              <w:t>235</w:t>
            </w:r>
          </w:p>
        </w:tc>
        <w:tc>
          <w:tcPr>
            <w:tcW w:w="1167" w:type="dxa"/>
            <w:vAlign w:val="center"/>
            <w:hideMark/>
          </w:tcPr>
          <w:p w14:paraId="15838F0A" w14:textId="77777777" w:rsidR="009102D9" w:rsidRPr="003874AC" w:rsidRDefault="009102D9" w:rsidP="00CA122E">
            <w:pPr>
              <w:pStyle w:val="NoSpacing"/>
              <w:jc w:val="center"/>
              <w:rPr>
                <w:rFonts w:ascii="Times New Roman" w:hAnsi="Times New Roman" w:cs="Times New Roman"/>
                <w:sz w:val="28"/>
                <w:szCs w:val="22"/>
              </w:rPr>
            </w:pPr>
            <w:r w:rsidRPr="003874AC">
              <w:rPr>
                <w:rFonts w:ascii="Times New Roman" w:hAnsi="Times New Roman" w:cs="Times New Roman"/>
                <w:sz w:val="28"/>
                <w:szCs w:val="22"/>
              </w:rPr>
              <w:t>107</w:t>
            </w:r>
          </w:p>
        </w:tc>
        <w:tc>
          <w:tcPr>
            <w:tcW w:w="1167" w:type="dxa"/>
            <w:vAlign w:val="center"/>
            <w:hideMark/>
          </w:tcPr>
          <w:p w14:paraId="731328E1" w14:textId="77777777" w:rsidR="009102D9" w:rsidRPr="003874AC" w:rsidRDefault="009102D9" w:rsidP="00CA122E">
            <w:pPr>
              <w:pStyle w:val="NoSpacing"/>
              <w:jc w:val="center"/>
              <w:rPr>
                <w:rFonts w:ascii="Times New Roman" w:hAnsi="Times New Roman" w:cs="Times New Roman"/>
                <w:sz w:val="28"/>
                <w:szCs w:val="22"/>
              </w:rPr>
            </w:pPr>
            <w:r w:rsidRPr="003874AC">
              <w:rPr>
                <w:rFonts w:ascii="Times New Roman" w:hAnsi="Times New Roman" w:cs="Times New Roman"/>
                <w:sz w:val="28"/>
                <w:szCs w:val="22"/>
              </w:rPr>
              <w:t>63</w:t>
            </w:r>
          </w:p>
        </w:tc>
        <w:tc>
          <w:tcPr>
            <w:tcW w:w="1167" w:type="dxa"/>
            <w:vAlign w:val="center"/>
            <w:hideMark/>
          </w:tcPr>
          <w:p w14:paraId="41142D0F" w14:textId="77777777" w:rsidR="009102D9" w:rsidRPr="003874AC" w:rsidRDefault="009102D9" w:rsidP="00CA122E">
            <w:pPr>
              <w:pStyle w:val="NoSpacing"/>
              <w:jc w:val="center"/>
              <w:rPr>
                <w:rFonts w:ascii="Times New Roman" w:hAnsi="Times New Roman" w:cs="Times New Roman"/>
                <w:sz w:val="28"/>
                <w:szCs w:val="22"/>
              </w:rPr>
            </w:pPr>
            <w:r w:rsidRPr="003874AC">
              <w:rPr>
                <w:rFonts w:ascii="Times New Roman" w:hAnsi="Times New Roman" w:cs="Times New Roman"/>
                <w:sz w:val="28"/>
                <w:szCs w:val="22"/>
              </w:rPr>
              <w:t>35</w:t>
            </w:r>
          </w:p>
        </w:tc>
        <w:tc>
          <w:tcPr>
            <w:tcW w:w="1167" w:type="dxa"/>
            <w:vAlign w:val="center"/>
            <w:hideMark/>
          </w:tcPr>
          <w:p w14:paraId="3E1172E3" w14:textId="77777777" w:rsidR="009102D9" w:rsidRPr="003874AC" w:rsidRDefault="009102D9" w:rsidP="00CA122E">
            <w:pPr>
              <w:pStyle w:val="NoSpacing"/>
              <w:jc w:val="center"/>
              <w:rPr>
                <w:rFonts w:ascii="Times New Roman" w:hAnsi="Times New Roman" w:cs="Times New Roman"/>
                <w:sz w:val="28"/>
                <w:szCs w:val="22"/>
              </w:rPr>
            </w:pPr>
            <w:r w:rsidRPr="003874AC">
              <w:rPr>
                <w:rFonts w:ascii="Times New Roman" w:hAnsi="Times New Roman" w:cs="Times New Roman"/>
                <w:sz w:val="28"/>
                <w:szCs w:val="22"/>
              </w:rPr>
              <w:t>40</w:t>
            </w:r>
          </w:p>
        </w:tc>
        <w:tc>
          <w:tcPr>
            <w:tcW w:w="1167" w:type="dxa"/>
            <w:vAlign w:val="center"/>
            <w:hideMark/>
          </w:tcPr>
          <w:p w14:paraId="3E715185" w14:textId="77777777" w:rsidR="009102D9" w:rsidRPr="003874AC" w:rsidRDefault="009102D9" w:rsidP="00CA122E">
            <w:pPr>
              <w:pStyle w:val="NoSpacing"/>
              <w:jc w:val="center"/>
              <w:rPr>
                <w:rFonts w:ascii="Times New Roman" w:hAnsi="Times New Roman" w:cs="Times New Roman"/>
                <w:sz w:val="28"/>
                <w:szCs w:val="22"/>
              </w:rPr>
            </w:pPr>
            <w:r w:rsidRPr="003874AC">
              <w:rPr>
                <w:rFonts w:ascii="Times New Roman" w:hAnsi="Times New Roman" w:cs="Times New Roman"/>
                <w:sz w:val="28"/>
                <w:szCs w:val="22"/>
              </w:rPr>
              <w:t>55</w:t>
            </w:r>
          </w:p>
        </w:tc>
        <w:tc>
          <w:tcPr>
            <w:tcW w:w="1167" w:type="dxa"/>
            <w:vAlign w:val="center"/>
            <w:hideMark/>
          </w:tcPr>
          <w:p w14:paraId="1C513A1A" w14:textId="77777777" w:rsidR="009102D9" w:rsidRPr="003874AC" w:rsidRDefault="009102D9" w:rsidP="00CA122E">
            <w:pPr>
              <w:pStyle w:val="NoSpacing"/>
              <w:jc w:val="center"/>
              <w:rPr>
                <w:rFonts w:ascii="Times New Roman" w:hAnsi="Times New Roman" w:cs="Times New Roman"/>
                <w:sz w:val="28"/>
                <w:szCs w:val="22"/>
              </w:rPr>
            </w:pPr>
            <w:r w:rsidRPr="003874AC">
              <w:rPr>
                <w:rFonts w:ascii="Times New Roman" w:hAnsi="Times New Roman" w:cs="Times New Roman"/>
                <w:sz w:val="28"/>
                <w:szCs w:val="22"/>
              </w:rPr>
              <w:t>372</w:t>
            </w:r>
          </w:p>
        </w:tc>
      </w:tr>
      <w:tr w:rsidR="009102D9" w:rsidRPr="003874AC" w14:paraId="5461FDA1" w14:textId="77777777" w:rsidTr="00CA122E">
        <w:trPr>
          <w:trHeight w:val="20"/>
        </w:trPr>
        <w:tc>
          <w:tcPr>
            <w:tcW w:w="2168" w:type="dxa"/>
            <w:hideMark/>
          </w:tcPr>
          <w:p w14:paraId="64D51E10" w14:textId="77777777" w:rsidR="009102D9" w:rsidRPr="003874AC" w:rsidRDefault="009102D9" w:rsidP="009102D9">
            <w:pPr>
              <w:pStyle w:val="NoSpacing"/>
              <w:rPr>
                <w:rFonts w:ascii="Times New Roman" w:hAnsi="Times New Roman" w:cs="Times New Roman"/>
                <w:sz w:val="28"/>
                <w:szCs w:val="22"/>
              </w:rPr>
            </w:pPr>
            <w:r w:rsidRPr="003874AC">
              <w:rPr>
                <w:rFonts w:ascii="Times New Roman" w:hAnsi="Times New Roman" w:cs="Times New Roman"/>
                <w:sz w:val="28"/>
                <w:szCs w:val="22"/>
              </w:rPr>
              <w:t>Mysore</w:t>
            </w:r>
          </w:p>
        </w:tc>
        <w:tc>
          <w:tcPr>
            <w:tcW w:w="1167" w:type="dxa"/>
            <w:vAlign w:val="center"/>
            <w:hideMark/>
          </w:tcPr>
          <w:p w14:paraId="5EEF32D6" w14:textId="77777777" w:rsidR="009102D9" w:rsidRPr="003874AC" w:rsidRDefault="009102D9" w:rsidP="00CA122E">
            <w:pPr>
              <w:pStyle w:val="NoSpacing"/>
              <w:jc w:val="center"/>
              <w:rPr>
                <w:rFonts w:ascii="Times New Roman" w:hAnsi="Times New Roman" w:cs="Times New Roman"/>
                <w:sz w:val="28"/>
                <w:szCs w:val="22"/>
              </w:rPr>
            </w:pPr>
            <w:r w:rsidRPr="003874AC">
              <w:rPr>
                <w:rFonts w:ascii="Times New Roman" w:hAnsi="Times New Roman" w:cs="Times New Roman"/>
                <w:sz w:val="28"/>
                <w:szCs w:val="22"/>
              </w:rPr>
              <w:t>38</w:t>
            </w:r>
          </w:p>
        </w:tc>
        <w:tc>
          <w:tcPr>
            <w:tcW w:w="1167" w:type="dxa"/>
            <w:vAlign w:val="center"/>
            <w:hideMark/>
          </w:tcPr>
          <w:p w14:paraId="197E3295" w14:textId="77777777" w:rsidR="009102D9" w:rsidRPr="003874AC" w:rsidRDefault="009102D9" w:rsidP="00CA122E">
            <w:pPr>
              <w:pStyle w:val="NoSpacing"/>
              <w:jc w:val="center"/>
              <w:rPr>
                <w:rFonts w:ascii="Times New Roman" w:hAnsi="Times New Roman" w:cs="Times New Roman"/>
                <w:sz w:val="28"/>
                <w:szCs w:val="22"/>
              </w:rPr>
            </w:pPr>
            <w:r w:rsidRPr="003874AC">
              <w:rPr>
                <w:rFonts w:ascii="Times New Roman" w:hAnsi="Times New Roman" w:cs="Times New Roman"/>
                <w:sz w:val="28"/>
                <w:szCs w:val="22"/>
              </w:rPr>
              <w:t>10</w:t>
            </w:r>
          </w:p>
        </w:tc>
        <w:tc>
          <w:tcPr>
            <w:tcW w:w="1167" w:type="dxa"/>
            <w:vAlign w:val="center"/>
            <w:hideMark/>
          </w:tcPr>
          <w:p w14:paraId="196734C1" w14:textId="77777777" w:rsidR="009102D9" w:rsidRPr="003874AC" w:rsidRDefault="009102D9" w:rsidP="00CA122E">
            <w:pPr>
              <w:pStyle w:val="NoSpacing"/>
              <w:jc w:val="center"/>
              <w:rPr>
                <w:rFonts w:ascii="Times New Roman" w:hAnsi="Times New Roman" w:cs="Times New Roman"/>
                <w:sz w:val="28"/>
                <w:szCs w:val="22"/>
              </w:rPr>
            </w:pPr>
            <w:r w:rsidRPr="003874AC">
              <w:rPr>
                <w:rFonts w:ascii="Times New Roman" w:hAnsi="Times New Roman" w:cs="Times New Roman"/>
                <w:sz w:val="28"/>
                <w:szCs w:val="22"/>
              </w:rPr>
              <w:t>28</w:t>
            </w:r>
          </w:p>
        </w:tc>
        <w:tc>
          <w:tcPr>
            <w:tcW w:w="1167" w:type="dxa"/>
            <w:vAlign w:val="center"/>
            <w:hideMark/>
          </w:tcPr>
          <w:p w14:paraId="275F938D" w14:textId="77777777" w:rsidR="009102D9" w:rsidRPr="003874AC" w:rsidRDefault="009102D9" w:rsidP="00CA122E">
            <w:pPr>
              <w:pStyle w:val="NoSpacing"/>
              <w:jc w:val="center"/>
              <w:rPr>
                <w:rFonts w:ascii="Times New Roman" w:hAnsi="Times New Roman" w:cs="Times New Roman"/>
                <w:sz w:val="28"/>
                <w:szCs w:val="22"/>
              </w:rPr>
            </w:pPr>
            <w:r w:rsidRPr="003874AC">
              <w:rPr>
                <w:rFonts w:ascii="Times New Roman" w:hAnsi="Times New Roman" w:cs="Times New Roman"/>
                <w:sz w:val="28"/>
                <w:szCs w:val="22"/>
              </w:rPr>
              <w:t>57</w:t>
            </w:r>
          </w:p>
        </w:tc>
        <w:tc>
          <w:tcPr>
            <w:tcW w:w="1167" w:type="dxa"/>
            <w:vAlign w:val="center"/>
            <w:hideMark/>
          </w:tcPr>
          <w:p w14:paraId="18AC4DFC" w14:textId="77777777" w:rsidR="009102D9" w:rsidRPr="003874AC" w:rsidRDefault="009102D9" w:rsidP="00CA122E">
            <w:pPr>
              <w:pStyle w:val="NoSpacing"/>
              <w:jc w:val="center"/>
              <w:rPr>
                <w:rFonts w:ascii="Times New Roman" w:hAnsi="Times New Roman" w:cs="Times New Roman"/>
                <w:sz w:val="28"/>
                <w:szCs w:val="22"/>
              </w:rPr>
            </w:pPr>
            <w:r w:rsidRPr="003874AC">
              <w:rPr>
                <w:rFonts w:ascii="Times New Roman" w:hAnsi="Times New Roman" w:cs="Times New Roman"/>
                <w:sz w:val="28"/>
                <w:szCs w:val="22"/>
              </w:rPr>
              <w:t>30</w:t>
            </w:r>
          </w:p>
        </w:tc>
        <w:tc>
          <w:tcPr>
            <w:tcW w:w="1167" w:type="dxa"/>
            <w:vAlign w:val="center"/>
            <w:hideMark/>
          </w:tcPr>
          <w:p w14:paraId="25387425" w14:textId="77777777" w:rsidR="009102D9" w:rsidRPr="003874AC" w:rsidRDefault="009102D9" w:rsidP="00CA122E">
            <w:pPr>
              <w:pStyle w:val="NoSpacing"/>
              <w:jc w:val="center"/>
              <w:rPr>
                <w:rFonts w:ascii="Times New Roman" w:hAnsi="Times New Roman" w:cs="Times New Roman"/>
                <w:sz w:val="28"/>
                <w:szCs w:val="22"/>
              </w:rPr>
            </w:pPr>
            <w:r w:rsidRPr="003874AC">
              <w:rPr>
                <w:rFonts w:ascii="Times New Roman" w:hAnsi="Times New Roman" w:cs="Times New Roman"/>
                <w:sz w:val="28"/>
                <w:szCs w:val="22"/>
              </w:rPr>
              <w:t>25</w:t>
            </w:r>
          </w:p>
        </w:tc>
        <w:tc>
          <w:tcPr>
            <w:tcW w:w="1167" w:type="dxa"/>
            <w:vAlign w:val="center"/>
            <w:hideMark/>
          </w:tcPr>
          <w:p w14:paraId="01CC80BE" w14:textId="77777777" w:rsidR="009102D9" w:rsidRPr="003874AC" w:rsidRDefault="009102D9" w:rsidP="00CA122E">
            <w:pPr>
              <w:pStyle w:val="NoSpacing"/>
              <w:jc w:val="center"/>
              <w:rPr>
                <w:rFonts w:ascii="Times New Roman" w:hAnsi="Times New Roman" w:cs="Times New Roman"/>
                <w:sz w:val="28"/>
                <w:szCs w:val="22"/>
              </w:rPr>
            </w:pPr>
            <w:r w:rsidRPr="003874AC">
              <w:rPr>
                <w:rFonts w:ascii="Times New Roman" w:hAnsi="Times New Roman" w:cs="Times New Roman"/>
                <w:sz w:val="28"/>
                <w:szCs w:val="22"/>
              </w:rPr>
              <w:t>25</w:t>
            </w:r>
          </w:p>
        </w:tc>
        <w:tc>
          <w:tcPr>
            <w:tcW w:w="1167" w:type="dxa"/>
            <w:vAlign w:val="center"/>
            <w:hideMark/>
          </w:tcPr>
          <w:p w14:paraId="1D73AF93" w14:textId="77777777" w:rsidR="009102D9" w:rsidRPr="003874AC" w:rsidRDefault="009102D9" w:rsidP="00CA122E">
            <w:pPr>
              <w:pStyle w:val="NoSpacing"/>
              <w:jc w:val="center"/>
              <w:rPr>
                <w:rFonts w:ascii="Times New Roman" w:hAnsi="Times New Roman" w:cs="Times New Roman"/>
                <w:sz w:val="28"/>
                <w:szCs w:val="22"/>
              </w:rPr>
            </w:pPr>
            <w:r w:rsidRPr="003874AC">
              <w:rPr>
                <w:rFonts w:ascii="Times New Roman" w:hAnsi="Times New Roman" w:cs="Times New Roman"/>
                <w:sz w:val="28"/>
                <w:szCs w:val="22"/>
              </w:rPr>
              <w:t>48</w:t>
            </w:r>
          </w:p>
        </w:tc>
        <w:tc>
          <w:tcPr>
            <w:tcW w:w="1167" w:type="dxa"/>
            <w:vAlign w:val="center"/>
            <w:hideMark/>
          </w:tcPr>
          <w:p w14:paraId="7A2356DE" w14:textId="77777777" w:rsidR="009102D9" w:rsidRPr="003874AC" w:rsidRDefault="009102D9" w:rsidP="00CA122E">
            <w:pPr>
              <w:pStyle w:val="NoSpacing"/>
              <w:jc w:val="center"/>
              <w:rPr>
                <w:rFonts w:ascii="Times New Roman" w:hAnsi="Times New Roman" w:cs="Times New Roman"/>
                <w:sz w:val="28"/>
                <w:szCs w:val="22"/>
              </w:rPr>
            </w:pPr>
            <w:r w:rsidRPr="003874AC">
              <w:rPr>
                <w:rFonts w:ascii="Times New Roman" w:hAnsi="Times New Roman" w:cs="Times New Roman"/>
                <w:sz w:val="28"/>
                <w:szCs w:val="22"/>
              </w:rPr>
              <w:t>56</w:t>
            </w:r>
          </w:p>
        </w:tc>
        <w:tc>
          <w:tcPr>
            <w:tcW w:w="1167" w:type="dxa"/>
            <w:vAlign w:val="center"/>
            <w:hideMark/>
          </w:tcPr>
          <w:p w14:paraId="38C889E5" w14:textId="77777777" w:rsidR="009102D9" w:rsidRPr="003874AC" w:rsidRDefault="009102D9" w:rsidP="00CA122E">
            <w:pPr>
              <w:pStyle w:val="NoSpacing"/>
              <w:jc w:val="center"/>
              <w:rPr>
                <w:rFonts w:ascii="Times New Roman" w:hAnsi="Times New Roman" w:cs="Times New Roman"/>
                <w:sz w:val="28"/>
                <w:szCs w:val="22"/>
              </w:rPr>
            </w:pPr>
            <w:r w:rsidRPr="003874AC">
              <w:rPr>
                <w:rFonts w:ascii="Times New Roman" w:hAnsi="Times New Roman" w:cs="Times New Roman"/>
                <w:sz w:val="28"/>
                <w:szCs w:val="22"/>
              </w:rPr>
              <w:t>257</w:t>
            </w:r>
          </w:p>
        </w:tc>
        <w:tc>
          <w:tcPr>
            <w:tcW w:w="1167" w:type="dxa"/>
            <w:vAlign w:val="center"/>
            <w:hideMark/>
          </w:tcPr>
          <w:p w14:paraId="005EEACA" w14:textId="77777777" w:rsidR="009102D9" w:rsidRPr="003874AC" w:rsidRDefault="009102D9" w:rsidP="00CA122E">
            <w:pPr>
              <w:pStyle w:val="NoSpacing"/>
              <w:jc w:val="center"/>
              <w:rPr>
                <w:rFonts w:ascii="Times New Roman" w:hAnsi="Times New Roman" w:cs="Times New Roman"/>
                <w:sz w:val="28"/>
                <w:szCs w:val="22"/>
              </w:rPr>
            </w:pPr>
            <w:r w:rsidRPr="003874AC">
              <w:rPr>
                <w:rFonts w:ascii="Times New Roman" w:hAnsi="Times New Roman" w:cs="Times New Roman"/>
                <w:sz w:val="28"/>
                <w:szCs w:val="22"/>
              </w:rPr>
              <w:t>70</w:t>
            </w:r>
          </w:p>
        </w:tc>
      </w:tr>
      <w:tr w:rsidR="009102D9" w:rsidRPr="003874AC" w14:paraId="357F66BB" w14:textId="77777777" w:rsidTr="00CA122E">
        <w:trPr>
          <w:trHeight w:val="20"/>
        </w:trPr>
        <w:tc>
          <w:tcPr>
            <w:tcW w:w="2168" w:type="dxa"/>
            <w:hideMark/>
          </w:tcPr>
          <w:p w14:paraId="4E4BF6CF" w14:textId="77777777" w:rsidR="009102D9" w:rsidRPr="003874AC" w:rsidRDefault="009102D9" w:rsidP="009102D9">
            <w:pPr>
              <w:pStyle w:val="NoSpacing"/>
              <w:rPr>
                <w:rFonts w:ascii="Times New Roman" w:hAnsi="Times New Roman" w:cs="Times New Roman"/>
                <w:sz w:val="28"/>
                <w:szCs w:val="22"/>
              </w:rPr>
            </w:pPr>
            <w:r w:rsidRPr="003874AC">
              <w:rPr>
                <w:rFonts w:ascii="Times New Roman" w:hAnsi="Times New Roman" w:cs="Times New Roman"/>
                <w:sz w:val="28"/>
                <w:szCs w:val="22"/>
              </w:rPr>
              <w:t>Nagaland</w:t>
            </w:r>
          </w:p>
        </w:tc>
        <w:tc>
          <w:tcPr>
            <w:tcW w:w="1167" w:type="dxa"/>
            <w:vAlign w:val="center"/>
            <w:hideMark/>
          </w:tcPr>
          <w:p w14:paraId="53484BF3" w14:textId="77777777" w:rsidR="009102D9" w:rsidRPr="003874AC" w:rsidRDefault="009102D9" w:rsidP="00CA122E">
            <w:pPr>
              <w:pStyle w:val="NoSpacing"/>
              <w:jc w:val="center"/>
              <w:rPr>
                <w:rFonts w:ascii="Times New Roman" w:hAnsi="Times New Roman" w:cs="Times New Roman"/>
                <w:sz w:val="28"/>
                <w:szCs w:val="22"/>
              </w:rPr>
            </w:pPr>
            <w:r w:rsidRPr="003874AC">
              <w:rPr>
                <w:rFonts w:ascii="Times New Roman" w:hAnsi="Times New Roman" w:cs="Times New Roman"/>
                <w:sz w:val="28"/>
                <w:szCs w:val="22"/>
              </w:rPr>
              <w:t>..</w:t>
            </w:r>
          </w:p>
        </w:tc>
        <w:tc>
          <w:tcPr>
            <w:tcW w:w="1167" w:type="dxa"/>
            <w:vAlign w:val="center"/>
            <w:hideMark/>
          </w:tcPr>
          <w:p w14:paraId="17968092" w14:textId="77777777" w:rsidR="009102D9" w:rsidRPr="003874AC" w:rsidRDefault="009102D9" w:rsidP="00CA122E">
            <w:pPr>
              <w:pStyle w:val="NoSpacing"/>
              <w:jc w:val="center"/>
              <w:rPr>
                <w:rFonts w:ascii="Times New Roman" w:hAnsi="Times New Roman" w:cs="Times New Roman"/>
                <w:sz w:val="28"/>
                <w:szCs w:val="22"/>
              </w:rPr>
            </w:pPr>
            <w:r w:rsidRPr="003874AC">
              <w:rPr>
                <w:rFonts w:ascii="Times New Roman" w:hAnsi="Times New Roman" w:cs="Times New Roman"/>
                <w:sz w:val="28"/>
                <w:szCs w:val="22"/>
              </w:rPr>
              <w:t>..</w:t>
            </w:r>
          </w:p>
        </w:tc>
        <w:tc>
          <w:tcPr>
            <w:tcW w:w="1167" w:type="dxa"/>
            <w:vAlign w:val="center"/>
            <w:hideMark/>
          </w:tcPr>
          <w:p w14:paraId="03CF2BF9" w14:textId="77777777" w:rsidR="009102D9" w:rsidRPr="003874AC" w:rsidRDefault="009102D9" w:rsidP="00CA122E">
            <w:pPr>
              <w:pStyle w:val="NoSpacing"/>
              <w:jc w:val="center"/>
              <w:rPr>
                <w:rFonts w:ascii="Times New Roman" w:hAnsi="Times New Roman" w:cs="Times New Roman"/>
                <w:sz w:val="28"/>
                <w:szCs w:val="22"/>
              </w:rPr>
            </w:pPr>
            <w:r w:rsidRPr="003874AC">
              <w:rPr>
                <w:rFonts w:ascii="Times New Roman" w:hAnsi="Times New Roman" w:cs="Times New Roman"/>
                <w:sz w:val="28"/>
                <w:szCs w:val="22"/>
              </w:rPr>
              <w:t>..</w:t>
            </w:r>
          </w:p>
        </w:tc>
        <w:tc>
          <w:tcPr>
            <w:tcW w:w="1167" w:type="dxa"/>
            <w:vAlign w:val="center"/>
            <w:hideMark/>
          </w:tcPr>
          <w:p w14:paraId="3DD69525" w14:textId="77777777" w:rsidR="009102D9" w:rsidRPr="003874AC" w:rsidRDefault="009102D9" w:rsidP="00CA122E">
            <w:pPr>
              <w:pStyle w:val="NoSpacing"/>
              <w:jc w:val="center"/>
              <w:rPr>
                <w:rFonts w:ascii="Times New Roman" w:hAnsi="Times New Roman" w:cs="Times New Roman"/>
                <w:sz w:val="28"/>
                <w:szCs w:val="22"/>
              </w:rPr>
            </w:pPr>
            <w:r w:rsidRPr="003874AC">
              <w:rPr>
                <w:rFonts w:ascii="Times New Roman" w:hAnsi="Times New Roman" w:cs="Times New Roman"/>
                <w:sz w:val="28"/>
                <w:szCs w:val="22"/>
              </w:rPr>
              <w:t>..</w:t>
            </w:r>
          </w:p>
        </w:tc>
        <w:tc>
          <w:tcPr>
            <w:tcW w:w="1167" w:type="dxa"/>
            <w:vAlign w:val="center"/>
            <w:hideMark/>
          </w:tcPr>
          <w:p w14:paraId="6C24944A" w14:textId="77777777" w:rsidR="009102D9" w:rsidRPr="003874AC" w:rsidRDefault="009102D9" w:rsidP="00CA122E">
            <w:pPr>
              <w:pStyle w:val="NoSpacing"/>
              <w:jc w:val="center"/>
              <w:rPr>
                <w:rFonts w:ascii="Times New Roman" w:hAnsi="Times New Roman" w:cs="Times New Roman"/>
                <w:sz w:val="28"/>
                <w:szCs w:val="22"/>
              </w:rPr>
            </w:pPr>
            <w:r w:rsidRPr="003874AC">
              <w:rPr>
                <w:rFonts w:ascii="Times New Roman" w:hAnsi="Times New Roman" w:cs="Times New Roman"/>
                <w:sz w:val="28"/>
                <w:szCs w:val="22"/>
              </w:rPr>
              <w:t>..</w:t>
            </w:r>
          </w:p>
        </w:tc>
        <w:tc>
          <w:tcPr>
            <w:tcW w:w="1167" w:type="dxa"/>
            <w:vAlign w:val="center"/>
            <w:hideMark/>
          </w:tcPr>
          <w:p w14:paraId="5259D1A5" w14:textId="77777777" w:rsidR="009102D9" w:rsidRPr="003874AC" w:rsidRDefault="009102D9" w:rsidP="00CA122E">
            <w:pPr>
              <w:pStyle w:val="NoSpacing"/>
              <w:jc w:val="center"/>
              <w:rPr>
                <w:rFonts w:ascii="Times New Roman" w:hAnsi="Times New Roman" w:cs="Times New Roman"/>
                <w:sz w:val="28"/>
                <w:szCs w:val="22"/>
              </w:rPr>
            </w:pPr>
            <w:r w:rsidRPr="003874AC">
              <w:rPr>
                <w:rFonts w:ascii="Times New Roman" w:hAnsi="Times New Roman" w:cs="Times New Roman"/>
                <w:sz w:val="28"/>
                <w:szCs w:val="22"/>
              </w:rPr>
              <w:t>..</w:t>
            </w:r>
          </w:p>
        </w:tc>
        <w:tc>
          <w:tcPr>
            <w:tcW w:w="1167" w:type="dxa"/>
            <w:vAlign w:val="center"/>
            <w:hideMark/>
          </w:tcPr>
          <w:p w14:paraId="5ACC7D08" w14:textId="77777777" w:rsidR="009102D9" w:rsidRPr="003874AC" w:rsidRDefault="009102D9" w:rsidP="00CA122E">
            <w:pPr>
              <w:pStyle w:val="NoSpacing"/>
              <w:jc w:val="center"/>
              <w:rPr>
                <w:rFonts w:ascii="Times New Roman" w:hAnsi="Times New Roman" w:cs="Times New Roman"/>
                <w:sz w:val="28"/>
                <w:szCs w:val="22"/>
              </w:rPr>
            </w:pPr>
            <w:r w:rsidRPr="003874AC">
              <w:rPr>
                <w:rFonts w:ascii="Times New Roman" w:hAnsi="Times New Roman" w:cs="Times New Roman"/>
                <w:sz w:val="28"/>
                <w:szCs w:val="22"/>
              </w:rPr>
              <w:t>..</w:t>
            </w:r>
          </w:p>
        </w:tc>
        <w:tc>
          <w:tcPr>
            <w:tcW w:w="1167" w:type="dxa"/>
            <w:vAlign w:val="center"/>
            <w:hideMark/>
          </w:tcPr>
          <w:p w14:paraId="71E590CB" w14:textId="77777777" w:rsidR="009102D9" w:rsidRPr="003874AC" w:rsidRDefault="009102D9" w:rsidP="00CA122E">
            <w:pPr>
              <w:pStyle w:val="NoSpacing"/>
              <w:jc w:val="center"/>
              <w:rPr>
                <w:rFonts w:ascii="Times New Roman" w:hAnsi="Times New Roman" w:cs="Times New Roman"/>
                <w:sz w:val="28"/>
                <w:szCs w:val="22"/>
              </w:rPr>
            </w:pPr>
            <w:r w:rsidRPr="003874AC">
              <w:rPr>
                <w:rFonts w:ascii="Times New Roman" w:hAnsi="Times New Roman" w:cs="Times New Roman"/>
                <w:sz w:val="28"/>
                <w:szCs w:val="22"/>
              </w:rPr>
              <w:t>..</w:t>
            </w:r>
          </w:p>
        </w:tc>
        <w:tc>
          <w:tcPr>
            <w:tcW w:w="1167" w:type="dxa"/>
            <w:vAlign w:val="center"/>
            <w:hideMark/>
          </w:tcPr>
          <w:p w14:paraId="0EF0A360" w14:textId="77777777" w:rsidR="009102D9" w:rsidRPr="003874AC" w:rsidRDefault="009102D9" w:rsidP="00CA122E">
            <w:pPr>
              <w:pStyle w:val="NoSpacing"/>
              <w:jc w:val="center"/>
              <w:rPr>
                <w:rFonts w:ascii="Times New Roman" w:hAnsi="Times New Roman" w:cs="Times New Roman"/>
                <w:sz w:val="28"/>
                <w:szCs w:val="22"/>
              </w:rPr>
            </w:pPr>
            <w:r w:rsidRPr="003874AC">
              <w:rPr>
                <w:rFonts w:ascii="Times New Roman" w:hAnsi="Times New Roman" w:cs="Times New Roman"/>
                <w:sz w:val="28"/>
                <w:szCs w:val="22"/>
              </w:rPr>
              <w:t>..</w:t>
            </w:r>
          </w:p>
        </w:tc>
        <w:tc>
          <w:tcPr>
            <w:tcW w:w="1167" w:type="dxa"/>
            <w:vAlign w:val="center"/>
            <w:hideMark/>
          </w:tcPr>
          <w:p w14:paraId="40B85571" w14:textId="77777777" w:rsidR="009102D9" w:rsidRPr="003874AC" w:rsidRDefault="009102D9" w:rsidP="00CA122E">
            <w:pPr>
              <w:pStyle w:val="NoSpacing"/>
              <w:jc w:val="center"/>
              <w:rPr>
                <w:rFonts w:ascii="Times New Roman" w:hAnsi="Times New Roman" w:cs="Times New Roman"/>
                <w:sz w:val="28"/>
                <w:szCs w:val="22"/>
              </w:rPr>
            </w:pPr>
            <w:r w:rsidRPr="003874AC">
              <w:rPr>
                <w:rFonts w:ascii="Times New Roman" w:hAnsi="Times New Roman" w:cs="Times New Roman"/>
                <w:sz w:val="28"/>
                <w:szCs w:val="22"/>
              </w:rPr>
              <w:t>..</w:t>
            </w:r>
          </w:p>
        </w:tc>
        <w:tc>
          <w:tcPr>
            <w:tcW w:w="1167" w:type="dxa"/>
            <w:vAlign w:val="center"/>
            <w:hideMark/>
          </w:tcPr>
          <w:p w14:paraId="7AB2B966" w14:textId="77777777" w:rsidR="009102D9" w:rsidRPr="003874AC" w:rsidRDefault="009102D9" w:rsidP="00CA122E">
            <w:pPr>
              <w:pStyle w:val="NoSpacing"/>
              <w:jc w:val="center"/>
              <w:rPr>
                <w:rFonts w:ascii="Times New Roman" w:hAnsi="Times New Roman" w:cs="Times New Roman"/>
                <w:sz w:val="28"/>
                <w:szCs w:val="22"/>
              </w:rPr>
            </w:pPr>
            <w:r w:rsidRPr="003874AC">
              <w:rPr>
                <w:rFonts w:ascii="Times New Roman" w:hAnsi="Times New Roman" w:cs="Times New Roman"/>
                <w:sz w:val="28"/>
                <w:szCs w:val="22"/>
              </w:rPr>
              <w:t>..</w:t>
            </w:r>
          </w:p>
        </w:tc>
      </w:tr>
      <w:tr w:rsidR="009102D9" w:rsidRPr="003874AC" w14:paraId="1506A1D7" w14:textId="77777777" w:rsidTr="00CA122E">
        <w:trPr>
          <w:trHeight w:val="20"/>
        </w:trPr>
        <w:tc>
          <w:tcPr>
            <w:tcW w:w="2168" w:type="dxa"/>
            <w:hideMark/>
          </w:tcPr>
          <w:p w14:paraId="7394E454" w14:textId="77777777" w:rsidR="009102D9" w:rsidRPr="003874AC" w:rsidRDefault="009102D9" w:rsidP="009102D9">
            <w:pPr>
              <w:pStyle w:val="NoSpacing"/>
              <w:rPr>
                <w:rFonts w:ascii="Times New Roman" w:hAnsi="Times New Roman" w:cs="Times New Roman"/>
                <w:sz w:val="28"/>
                <w:szCs w:val="22"/>
              </w:rPr>
            </w:pPr>
            <w:r w:rsidRPr="003874AC">
              <w:rPr>
                <w:rFonts w:ascii="Times New Roman" w:hAnsi="Times New Roman" w:cs="Times New Roman"/>
                <w:sz w:val="28"/>
                <w:szCs w:val="22"/>
              </w:rPr>
              <w:t>Orissa</w:t>
            </w:r>
          </w:p>
        </w:tc>
        <w:tc>
          <w:tcPr>
            <w:tcW w:w="1167" w:type="dxa"/>
            <w:vAlign w:val="center"/>
            <w:hideMark/>
          </w:tcPr>
          <w:p w14:paraId="320866E6" w14:textId="77777777" w:rsidR="009102D9" w:rsidRPr="003874AC" w:rsidRDefault="009102D9" w:rsidP="00CA122E">
            <w:pPr>
              <w:pStyle w:val="NoSpacing"/>
              <w:jc w:val="center"/>
              <w:rPr>
                <w:rFonts w:ascii="Times New Roman" w:hAnsi="Times New Roman" w:cs="Times New Roman"/>
                <w:sz w:val="28"/>
                <w:szCs w:val="22"/>
              </w:rPr>
            </w:pPr>
            <w:r w:rsidRPr="003874AC">
              <w:rPr>
                <w:rFonts w:ascii="Times New Roman" w:hAnsi="Times New Roman" w:cs="Times New Roman"/>
                <w:sz w:val="28"/>
                <w:szCs w:val="22"/>
              </w:rPr>
              <w:t>..</w:t>
            </w:r>
          </w:p>
        </w:tc>
        <w:tc>
          <w:tcPr>
            <w:tcW w:w="1167" w:type="dxa"/>
            <w:vAlign w:val="center"/>
            <w:hideMark/>
          </w:tcPr>
          <w:p w14:paraId="07604D1D" w14:textId="77777777" w:rsidR="009102D9" w:rsidRPr="003874AC" w:rsidRDefault="009102D9" w:rsidP="00CA122E">
            <w:pPr>
              <w:pStyle w:val="NoSpacing"/>
              <w:jc w:val="center"/>
              <w:rPr>
                <w:rFonts w:ascii="Times New Roman" w:hAnsi="Times New Roman" w:cs="Times New Roman"/>
                <w:sz w:val="28"/>
                <w:szCs w:val="22"/>
              </w:rPr>
            </w:pPr>
            <w:r w:rsidRPr="003874AC">
              <w:rPr>
                <w:rFonts w:ascii="Times New Roman" w:hAnsi="Times New Roman" w:cs="Times New Roman"/>
                <w:sz w:val="28"/>
                <w:szCs w:val="22"/>
              </w:rPr>
              <w:t>7</w:t>
            </w:r>
          </w:p>
        </w:tc>
        <w:tc>
          <w:tcPr>
            <w:tcW w:w="1167" w:type="dxa"/>
            <w:vAlign w:val="center"/>
            <w:hideMark/>
          </w:tcPr>
          <w:p w14:paraId="147B16EC" w14:textId="77777777" w:rsidR="009102D9" w:rsidRPr="003874AC" w:rsidRDefault="009102D9" w:rsidP="00CA122E">
            <w:pPr>
              <w:pStyle w:val="NoSpacing"/>
              <w:jc w:val="center"/>
              <w:rPr>
                <w:rFonts w:ascii="Times New Roman" w:hAnsi="Times New Roman" w:cs="Times New Roman"/>
                <w:sz w:val="28"/>
                <w:szCs w:val="22"/>
              </w:rPr>
            </w:pPr>
            <w:r w:rsidRPr="003874AC">
              <w:rPr>
                <w:rFonts w:ascii="Times New Roman" w:hAnsi="Times New Roman" w:cs="Times New Roman"/>
                <w:sz w:val="28"/>
                <w:szCs w:val="22"/>
              </w:rPr>
              <w:t>22</w:t>
            </w:r>
          </w:p>
        </w:tc>
        <w:tc>
          <w:tcPr>
            <w:tcW w:w="1167" w:type="dxa"/>
            <w:vAlign w:val="center"/>
            <w:hideMark/>
          </w:tcPr>
          <w:p w14:paraId="512B16DA" w14:textId="77777777" w:rsidR="009102D9" w:rsidRPr="003874AC" w:rsidRDefault="009102D9" w:rsidP="00CA122E">
            <w:pPr>
              <w:pStyle w:val="NoSpacing"/>
              <w:jc w:val="center"/>
              <w:rPr>
                <w:rFonts w:ascii="Times New Roman" w:hAnsi="Times New Roman" w:cs="Times New Roman"/>
                <w:sz w:val="28"/>
                <w:szCs w:val="22"/>
              </w:rPr>
            </w:pPr>
            <w:r w:rsidRPr="003874AC">
              <w:rPr>
                <w:rFonts w:ascii="Times New Roman" w:hAnsi="Times New Roman" w:cs="Times New Roman"/>
                <w:sz w:val="28"/>
                <w:szCs w:val="22"/>
              </w:rPr>
              <w:t>61</w:t>
            </w:r>
          </w:p>
        </w:tc>
        <w:tc>
          <w:tcPr>
            <w:tcW w:w="1167" w:type="dxa"/>
            <w:vAlign w:val="center"/>
            <w:hideMark/>
          </w:tcPr>
          <w:p w14:paraId="7D188F18" w14:textId="77777777" w:rsidR="009102D9" w:rsidRPr="003874AC" w:rsidRDefault="009102D9" w:rsidP="00CA122E">
            <w:pPr>
              <w:pStyle w:val="NoSpacing"/>
              <w:jc w:val="center"/>
              <w:rPr>
                <w:rFonts w:ascii="Times New Roman" w:hAnsi="Times New Roman" w:cs="Times New Roman"/>
                <w:sz w:val="28"/>
                <w:szCs w:val="22"/>
              </w:rPr>
            </w:pPr>
            <w:r w:rsidRPr="003874AC">
              <w:rPr>
                <w:rFonts w:ascii="Times New Roman" w:hAnsi="Times New Roman" w:cs="Times New Roman"/>
                <w:sz w:val="28"/>
                <w:szCs w:val="22"/>
              </w:rPr>
              <w:t>291</w:t>
            </w:r>
          </w:p>
        </w:tc>
        <w:tc>
          <w:tcPr>
            <w:tcW w:w="1167" w:type="dxa"/>
            <w:vAlign w:val="center"/>
            <w:hideMark/>
          </w:tcPr>
          <w:p w14:paraId="32368D1F" w14:textId="77777777" w:rsidR="009102D9" w:rsidRPr="003874AC" w:rsidRDefault="009102D9" w:rsidP="00CA122E">
            <w:pPr>
              <w:pStyle w:val="NoSpacing"/>
              <w:jc w:val="center"/>
              <w:rPr>
                <w:rFonts w:ascii="Times New Roman" w:hAnsi="Times New Roman" w:cs="Times New Roman"/>
                <w:sz w:val="28"/>
                <w:szCs w:val="22"/>
              </w:rPr>
            </w:pPr>
            <w:r w:rsidRPr="003874AC">
              <w:rPr>
                <w:rFonts w:ascii="Times New Roman" w:hAnsi="Times New Roman" w:cs="Times New Roman"/>
                <w:sz w:val="28"/>
                <w:szCs w:val="22"/>
              </w:rPr>
              <w:t>239</w:t>
            </w:r>
          </w:p>
        </w:tc>
        <w:tc>
          <w:tcPr>
            <w:tcW w:w="1167" w:type="dxa"/>
            <w:vAlign w:val="center"/>
            <w:hideMark/>
          </w:tcPr>
          <w:p w14:paraId="71D0AC69" w14:textId="77777777" w:rsidR="009102D9" w:rsidRPr="003874AC" w:rsidRDefault="009102D9" w:rsidP="00CA122E">
            <w:pPr>
              <w:pStyle w:val="NoSpacing"/>
              <w:jc w:val="center"/>
              <w:rPr>
                <w:rFonts w:ascii="Times New Roman" w:hAnsi="Times New Roman" w:cs="Times New Roman"/>
                <w:sz w:val="28"/>
                <w:szCs w:val="22"/>
              </w:rPr>
            </w:pPr>
            <w:r w:rsidRPr="003874AC">
              <w:rPr>
                <w:rFonts w:ascii="Times New Roman" w:hAnsi="Times New Roman" w:cs="Times New Roman"/>
                <w:sz w:val="28"/>
                <w:szCs w:val="22"/>
              </w:rPr>
              <w:t>89</w:t>
            </w:r>
          </w:p>
        </w:tc>
        <w:tc>
          <w:tcPr>
            <w:tcW w:w="1167" w:type="dxa"/>
            <w:vAlign w:val="center"/>
            <w:hideMark/>
          </w:tcPr>
          <w:p w14:paraId="6D73234A" w14:textId="77777777" w:rsidR="009102D9" w:rsidRPr="003874AC" w:rsidRDefault="009102D9" w:rsidP="00CA122E">
            <w:pPr>
              <w:pStyle w:val="NoSpacing"/>
              <w:jc w:val="center"/>
              <w:rPr>
                <w:rFonts w:ascii="Times New Roman" w:hAnsi="Times New Roman" w:cs="Times New Roman"/>
                <w:sz w:val="28"/>
                <w:szCs w:val="22"/>
              </w:rPr>
            </w:pPr>
            <w:r w:rsidRPr="003874AC">
              <w:rPr>
                <w:rFonts w:ascii="Times New Roman" w:hAnsi="Times New Roman" w:cs="Times New Roman"/>
                <w:sz w:val="28"/>
                <w:szCs w:val="22"/>
              </w:rPr>
              <w:t>61</w:t>
            </w:r>
          </w:p>
        </w:tc>
        <w:tc>
          <w:tcPr>
            <w:tcW w:w="1167" w:type="dxa"/>
            <w:vAlign w:val="center"/>
            <w:hideMark/>
          </w:tcPr>
          <w:p w14:paraId="751DC47E" w14:textId="77777777" w:rsidR="009102D9" w:rsidRPr="003874AC" w:rsidRDefault="009102D9" w:rsidP="00CA122E">
            <w:pPr>
              <w:pStyle w:val="NoSpacing"/>
              <w:jc w:val="center"/>
              <w:rPr>
                <w:rFonts w:ascii="Times New Roman" w:hAnsi="Times New Roman" w:cs="Times New Roman"/>
                <w:sz w:val="28"/>
                <w:szCs w:val="22"/>
              </w:rPr>
            </w:pPr>
            <w:r w:rsidRPr="003874AC">
              <w:rPr>
                <w:rFonts w:ascii="Times New Roman" w:hAnsi="Times New Roman" w:cs="Times New Roman"/>
                <w:sz w:val="28"/>
                <w:szCs w:val="22"/>
              </w:rPr>
              <w:t>128</w:t>
            </w:r>
          </w:p>
        </w:tc>
        <w:tc>
          <w:tcPr>
            <w:tcW w:w="1167" w:type="dxa"/>
            <w:vAlign w:val="center"/>
            <w:hideMark/>
          </w:tcPr>
          <w:p w14:paraId="1208044C" w14:textId="77777777" w:rsidR="009102D9" w:rsidRPr="003874AC" w:rsidRDefault="009102D9" w:rsidP="00CA122E">
            <w:pPr>
              <w:pStyle w:val="NoSpacing"/>
              <w:jc w:val="center"/>
              <w:rPr>
                <w:rFonts w:ascii="Times New Roman" w:hAnsi="Times New Roman" w:cs="Times New Roman"/>
                <w:sz w:val="28"/>
                <w:szCs w:val="22"/>
              </w:rPr>
            </w:pPr>
            <w:r w:rsidRPr="003874AC">
              <w:rPr>
                <w:rFonts w:ascii="Times New Roman" w:hAnsi="Times New Roman" w:cs="Times New Roman"/>
                <w:sz w:val="28"/>
                <w:szCs w:val="22"/>
              </w:rPr>
              <w:t>710</w:t>
            </w:r>
          </w:p>
        </w:tc>
        <w:tc>
          <w:tcPr>
            <w:tcW w:w="1167" w:type="dxa"/>
            <w:vAlign w:val="center"/>
            <w:hideMark/>
          </w:tcPr>
          <w:p w14:paraId="58998816" w14:textId="77777777" w:rsidR="009102D9" w:rsidRPr="003874AC" w:rsidRDefault="009102D9" w:rsidP="00CA122E">
            <w:pPr>
              <w:pStyle w:val="NoSpacing"/>
              <w:jc w:val="center"/>
              <w:rPr>
                <w:rFonts w:ascii="Times New Roman" w:hAnsi="Times New Roman" w:cs="Times New Roman"/>
                <w:sz w:val="28"/>
                <w:szCs w:val="22"/>
              </w:rPr>
            </w:pPr>
            <w:r w:rsidRPr="003874AC">
              <w:rPr>
                <w:rFonts w:ascii="Times New Roman" w:hAnsi="Times New Roman" w:cs="Times New Roman"/>
                <w:sz w:val="28"/>
                <w:szCs w:val="22"/>
              </w:rPr>
              <w:t>501</w:t>
            </w:r>
          </w:p>
        </w:tc>
      </w:tr>
      <w:tr w:rsidR="009102D9" w:rsidRPr="003874AC" w14:paraId="5D95C7DD" w14:textId="77777777" w:rsidTr="00CA122E">
        <w:trPr>
          <w:trHeight w:val="20"/>
        </w:trPr>
        <w:tc>
          <w:tcPr>
            <w:tcW w:w="2168" w:type="dxa"/>
            <w:hideMark/>
          </w:tcPr>
          <w:p w14:paraId="3A7B7385" w14:textId="77777777" w:rsidR="009102D9" w:rsidRPr="003874AC" w:rsidRDefault="009102D9" w:rsidP="009102D9">
            <w:pPr>
              <w:pStyle w:val="NoSpacing"/>
              <w:rPr>
                <w:rFonts w:ascii="Times New Roman" w:hAnsi="Times New Roman" w:cs="Times New Roman"/>
                <w:sz w:val="28"/>
                <w:szCs w:val="22"/>
              </w:rPr>
            </w:pPr>
            <w:r w:rsidRPr="003874AC">
              <w:rPr>
                <w:rFonts w:ascii="Times New Roman" w:hAnsi="Times New Roman" w:cs="Times New Roman"/>
                <w:sz w:val="28"/>
                <w:szCs w:val="22"/>
              </w:rPr>
              <w:t>Punjab</w:t>
            </w:r>
          </w:p>
        </w:tc>
        <w:tc>
          <w:tcPr>
            <w:tcW w:w="1167" w:type="dxa"/>
            <w:vAlign w:val="center"/>
            <w:hideMark/>
          </w:tcPr>
          <w:p w14:paraId="2D0B9AEC" w14:textId="77777777" w:rsidR="009102D9" w:rsidRPr="003874AC" w:rsidRDefault="009102D9" w:rsidP="00CA122E">
            <w:pPr>
              <w:pStyle w:val="NoSpacing"/>
              <w:jc w:val="center"/>
              <w:rPr>
                <w:rFonts w:ascii="Times New Roman" w:hAnsi="Times New Roman" w:cs="Times New Roman"/>
                <w:sz w:val="28"/>
                <w:szCs w:val="22"/>
              </w:rPr>
            </w:pPr>
            <w:r w:rsidRPr="003874AC">
              <w:rPr>
                <w:rFonts w:ascii="Times New Roman" w:hAnsi="Times New Roman" w:cs="Times New Roman"/>
                <w:sz w:val="28"/>
                <w:szCs w:val="22"/>
              </w:rPr>
              <w:t>8</w:t>
            </w:r>
          </w:p>
        </w:tc>
        <w:tc>
          <w:tcPr>
            <w:tcW w:w="1167" w:type="dxa"/>
            <w:vAlign w:val="center"/>
            <w:hideMark/>
          </w:tcPr>
          <w:p w14:paraId="31430EE6" w14:textId="77777777" w:rsidR="009102D9" w:rsidRPr="003874AC" w:rsidRDefault="009102D9" w:rsidP="00CA122E">
            <w:pPr>
              <w:pStyle w:val="NoSpacing"/>
              <w:jc w:val="center"/>
              <w:rPr>
                <w:rFonts w:ascii="Times New Roman" w:hAnsi="Times New Roman" w:cs="Times New Roman"/>
                <w:sz w:val="28"/>
                <w:szCs w:val="22"/>
              </w:rPr>
            </w:pPr>
            <w:r w:rsidRPr="003874AC">
              <w:rPr>
                <w:rFonts w:ascii="Times New Roman" w:hAnsi="Times New Roman" w:cs="Times New Roman"/>
                <w:sz w:val="28"/>
                <w:szCs w:val="22"/>
              </w:rPr>
              <w:t>75</w:t>
            </w:r>
          </w:p>
        </w:tc>
        <w:tc>
          <w:tcPr>
            <w:tcW w:w="1167" w:type="dxa"/>
            <w:vAlign w:val="center"/>
            <w:hideMark/>
          </w:tcPr>
          <w:p w14:paraId="749F6C1C" w14:textId="77777777" w:rsidR="009102D9" w:rsidRPr="003874AC" w:rsidRDefault="009102D9" w:rsidP="00CA122E">
            <w:pPr>
              <w:pStyle w:val="NoSpacing"/>
              <w:jc w:val="center"/>
              <w:rPr>
                <w:rFonts w:ascii="Times New Roman" w:hAnsi="Times New Roman" w:cs="Times New Roman"/>
                <w:sz w:val="28"/>
                <w:szCs w:val="22"/>
              </w:rPr>
            </w:pPr>
            <w:r w:rsidRPr="003874AC">
              <w:rPr>
                <w:rFonts w:ascii="Times New Roman" w:hAnsi="Times New Roman" w:cs="Times New Roman"/>
                <w:sz w:val="28"/>
                <w:szCs w:val="22"/>
              </w:rPr>
              <w:t>16</w:t>
            </w:r>
          </w:p>
        </w:tc>
        <w:tc>
          <w:tcPr>
            <w:tcW w:w="1167" w:type="dxa"/>
            <w:vAlign w:val="center"/>
            <w:hideMark/>
          </w:tcPr>
          <w:p w14:paraId="23037738" w14:textId="77777777" w:rsidR="009102D9" w:rsidRPr="003874AC" w:rsidRDefault="009102D9" w:rsidP="00CA122E">
            <w:pPr>
              <w:pStyle w:val="NoSpacing"/>
              <w:jc w:val="center"/>
              <w:rPr>
                <w:rFonts w:ascii="Times New Roman" w:hAnsi="Times New Roman" w:cs="Times New Roman"/>
                <w:sz w:val="28"/>
                <w:szCs w:val="22"/>
              </w:rPr>
            </w:pPr>
            <w:r w:rsidRPr="003874AC">
              <w:rPr>
                <w:rFonts w:ascii="Times New Roman" w:hAnsi="Times New Roman" w:cs="Times New Roman"/>
                <w:sz w:val="28"/>
                <w:szCs w:val="22"/>
              </w:rPr>
              <w:t>557</w:t>
            </w:r>
          </w:p>
        </w:tc>
        <w:tc>
          <w:tcPr>
            <w:tcW w:w="1167" w:type="dxa"/>
            <w:vAlign w:val="center"/>
            <w:hideMark/>
          </w:tcPr>
          <w:p w14:paraId="57015B5C" w14:textId="77777777" w:rsidR="009102D9" w:rsidRPr="003874AC" w:rsidRDefault="009102D9" w:rsidP="00CA122E">
            <w:pPr>
              <w:pStyle w:val="NoSpacing"/>
              <w:jc w:val="center"/>
              <w:rPr>
                <w:rFonts w:ascii="Times New Roman" w:hAnsi="Times New Roman" w:cs="Times New Roman"/>
                <w:sz w:val="28"/>
                <w:szCs w:val="22"/>
              </w:rPr>
            </w:pPr>
            <w:r w:rsidRPr="003874AC">
              <w:rPr>
                <w:rFonts w:ascii="Times New Roman" w:hAnsi="Times New Roman" w:cs="Times New Roman"/>
                <w:sz w:val="28"/>
                <w:szCs w:val="22"/>
              </w:rPr>
              <w:t>460</w:t>
            </w:r>
          </w:p>
        </w:tc>
        <w:tc>
          <w:tcPr>
            <w:tcW w:w="1167" w:type="dxa"/>
            <w:vAlign w:val="center"/>
            <w:hideMark/>
          </w:tcPr>
          <w:p w14:paraId="6A1AC537" w14:textId="77777777" w:rsidR="009102D9" w:rsidRPr="003874AC" w:rsidRDefault="009102D9" w:rsidP="00CA122E">
            <w:pPr>
              <w:pStyle w:val="NoSpacing"/>
              <w:jc w:val="center"/>
              <w:rPr>
                <w:rFonts w:ascii="Times New Roman" w:hAnsi="Times New Roman" w:cs="Times New Roman"/>
                <w:sz w:val="28"/>
                <w:szCs w:val="22"/>
              </w:rPr>
            </w:pPr>
            <w:r w:rsidRPr="003874AC">
              <w:rPr>
                <w:rFonts w:ascii="Times New Roman" w:hAnsi="Times New Roman" w:cs="Times New Roman"/>
                <w:sz w:val="28"/>
                <w:szCs w:val="22"/>
              </w:rPr>
              <w:t>66</w:t>
            </w:r>
          </w:p>
        </w:tc>
        <w:tc>
          <w:tcPr>
            <w:tcW w:w="1167" w:type="dxa"/>
            <w:vAlign w:val="center"/>
            <w:hideMark/>
          </w:tcPr>
          <w:p w14:paraId="200CC54B" w14:textId="77777777" w:rsidR="009102D9" w:rsidRPr="003874AC" w:rsidRDefault="009102D9" w:rsidP="00CA122E">
            <w:pPr>
              <w:pStyle w:val="NoSpacing"/>
              <w:jc w:val="center"/>
              <w:rPr>
                <w:rFonts w:ascii="Times New Roman" w:hAnsi="Times New Roman" w:cs="Times New Roman"/>
                <w:sz w:val="28"/>
                <w:szCs w:val="22"/>
              </w:rPr>
            </w:pPr>
            <w:r w:rsidRPr="003874AC">
              <w:rPr>
                <w:rFonts w:ascii="Times New Roman" w:hAnsi="Times New Roman" w:cs="Times New Roman"/>
                <w:sz w:val="28"/>
                <w:szCs w:val="22"/>
              </w:rPr>
              <w:t>148</w:t>
            </w:r>
          </w:p>
        </w:tc>
        <w:tc>
          <w:tcPr>
            <w:tcW w:w="1167" w:type="dxa"/>
            <w:vAlign w:val="center"/>
            <w:hideMark/>
          </w:tcPr>
          <w:p w14:paraId="24F9A0D2" w14:textId="77777777" w:rsidR="009102D9" w:rsidRPr="003874AC" w:rsidRDefault="009102D9" w:rsidP="00CA122E">
            <w:pPr>
              <w:pStyle w:val="NoSpacing"/>
              <w:jc w:val="center"/>
              <w:rPr>
                <w:rFonts w:ascii="Times New Roman" w:hAnsi="Times New Roman" w:cs="Times New Roman"/>
                <w:sz w:val="28"/>
                <w:szCs w:val="22"/>
              </w:rPr>
            </w:pPr>
            <w:r w:rsidRPr="003874AC">
              <w:rPr>
                <w:rFonts w:ascii="Times New Roman" w:hAnsi="Times New Roman" w:cs="Times New Roman"/>
                <w:sz w:val="28"/>
                <w:szCs w:val="22"/>
              </w:rPr>
              <w:t>137</w:t>
            </w:r>
          </w:p>
        </w:tc>
        <w:tc>
          <w:tcPr>
            <w:tcW w:w="1167" w:type="dxa"/>
            <w:vAlign w:val="center"/>
            <w:hideMark/>
          </w:tcPr>
          <w:p w14:paraId="179B5236" w14:textId="77777777" w:rsidR="009102D9" w:rsidRPr="003874AC" w:rsidRDefault="009102D9" w:rsidP="00CA122E">
            <w:pPr>
              <w:pStyle w:val="NoSpacing"/>
              <w:jc w:val="center"/>
              <w:rPr>
                <w:rFonts w:ascii="Times New Roman" w:hAnsi="Times New Roman" w:cs="Times New Roman"/>
                <w:sz w:val="28"/>
                <w:szCs w:val="22"/>
              </w:rPr>
            </w:pPr>
            <w:r w:rsidRPr="003874AC">
              <w:rPr>
                <w:rFonts w:ascii="Times New Roman" w:hAnsi="Times New Roman" w:cs="Times New Roman"/>
                <w:sz w:val="28"/>
                <w:szCs w:val="22"/>
              </w:rPr>
              <w:t>55</w:t>
            </w:r>
          </w:p>
        </w:tc>
        <w:tc>
          <w:tcPr>
            <w:tcW w:w="1167" w:type="dxa"/>
            <w:vAlign w:val="center"/>
            <w:hideMark/>
          </w:tcPr>
          <w:p w14:paraId="3CADA4C1" w14:textId="77777777" w:rsidR="009102D9" w:rsidRPr="003874AC" w:rsidRDefault="009102D9" w:rsidP="00CA122E">
            <w:pPr>
              <w:pStyle w:val="NoSpacing"/>
              <w:jc w:val="center"/>
              <w:rPr>
                <w:rFonts w:ascii="Times New Roman" w:hAnsi="Times New Roman" w:cs="Times New Roman"/>
                <w:sz w:val="28"/>
                <w:szCs w:val="22"/>
              </w:rPr>
            </w:pPr>
            <w:r w:rsidRPr="003874AC">
              <w:rPr>
                <w:rFonts w:ascii="Times New Roman" w:hAnsi="Times New Roman" w:cs="Times New Roman"/>
                <w:sz w:val="28"/>
                <w:szCs w:val="22"/>
              </w:rPr>
              <w:t>97</w:t>
            </w:r>
          </w:p>
        </w:tc>
        <w:tc>
          <w:tcPr>
            <w:tcW w:w="1167" w:type="dxa"/>
            <w:vAlign w:val="center"/>
            <w:hideMark/>
          </w:tcPr>
          <w:p w14:paraId="6C96505C" w14:textId="77777777" w:rsidR="009102D9" w:rsidRPr="003874AC" w:rsidRDefault="009102D9" w:rsidP="00CA122E">
            <w:pPr>
              <w:pStyle w:val="NoSpacing"/>
              <w:jc w:val="center"/>
              <w:rPr>
                <w:rFonts w:ascii="Times New Roman" w:hAnsi="Times New Roman" w:cs="Times New Roman"/>
                <w:sz w:val="28"/>
                <w:szCs w:val="22"/>
              </w:rPr>
            </w:pPr>
            <w:r w:rsidRPr="003874AC">
              <w:rPr>
                <w:rFonts w:ascii="Times New Roman" w:hAnsi="Times New Roman" w:cs="Times New Roman"/>
                <w:sz w:val="28"/>
                <w:szCs w:val="22"/>
              </w:rPr>
              <w:t>10</w:t>
            </w:r>
          </w:p>
        </w:tc>
      </w:tr>
      <w:tr w:rsidR="009102D9" w:rsidRPr="003874AC" w14:paraId="18F9C930" w14:textId="77777777" w:rsidTr="00CA122E">
        <w:trPr>
          <w:trHeight w:val="20"/>
        </w:trPr>
        <w:tc>
          <w:tcPr>
            <w:tcW w:w="2168" w:type="dxa"/>
            <w:hideMark/>
          </w:tcPr>
          <w:p w14:paraId="56215F99" w14:textId="77777777" w:rsidR="009102D9" w:rsidRPr="003874AC" w:rsidRDefault="009102D9" w:rsidP="009102D9">
            <w:pPr>
              <w:pStyle w:val="NoSpacing"/>
              <w:rPr>
                <w:rFonts w:ascii="Times New Roman" w:hAnsi="Times New Roman" w:cs="Times New Roman"/>
                <w:sz w:val="28"/>
                <w:szCs w:val="22"/>
              </w:rPr>
            </w:pPr>
            <w:r w:rsidRPr="003874AC">
              <w:rPr>
                <w:rFonts w:ascii="Times New Roman" w:hAnsi="Times New Roman" w:cs="Times New Roman"/>
                <w:sz w:val="28"/>
                <w:szCs w:val="22"/>
              </w:rPr>
              <w:t>Rajasthan</w:t>
            </w:r>
          </w:p>
        </w:tc>
        <w:tc>
          <w:tcPr>
            <w:tcW w:w="1167" w:type="dxa"/>
            <w:vAlign w:val="center"/>
            <w:hideMark/>
          </w:tcPr>
          <w:p w14:paraId="595D4327" w14:textId="77777777" w:rsidR="009102D9" w:rsidRPr="003874AC" w:rsidRDefault="009102D9" w:rsidP="00CA122E">
            <w:pPr>
              <w:pStyle w:val="NoSpacing"/>
              <w:jc w:val="center"/>
              <w:rPr>
                <w:rFonts w:ascii="Times New Roman" w:hAnsi="Times New Roman" w:cs="Times New Roman"/>
                <w:sz w:val="28"/>
                <w:szCs w:val="22"/>
              </w:rPr>
            </w:pPr>
            <w:r w:rsidRPr="003874AC">
              <w:rPr>
                <w:rFonts w:ascii="Times New Roman" w:hAnsi="Times New Roman" w:cs="Times New Roman"/>
                <w:sz w:val="28"/>
                <w:szCs w:val="22"/>
              </w:rPr>
              <w:t>18</w:t>
            </w:r>
          </w:p>
        </w:tc>
        <w:tc>
          <w:tcPr>
            <w:tcW w:w="1167" w:type="dxa"/>
            <w:vAlign w:val="center"/>
            <w:hideMark/>
          </w:tcPr>
          <w:p w14:paraId="69E60F73" w14:textId="77777777" w:rsidR="009102D9" w:rsidRPr="003874AC" w:rsidRDefault="009102D9" w:rsidP="00CA122E">
            <w:pPr>
              <w:pStyle w:val="NoSpacing"/>
              <w:jc w:val="center"/>
              <w:rPr>
                <w:rFonts w:ascii="Times New Roman" w:hAnsi="Times New Roman" w:cs="Times New Roman"/>
                <w:sz w:val="28"/>
                <w:szCs w:val="22"/>
              </w:rPr>
            </w:pPr>
            <w:r w:rsidRPr="003874AC">
              <w:rPr>
                <w:rFonts w:ascii="Times New Roman" w:hAnsi="Times New Roman" w:cs="Times New Roman"/>
                <w:sz w:val="28"/>
                <w:szCs w:val="22"/>
              </w:rPr>
              <w:t>25</w:t>
            </w:r>
          </w:p>
        </w:tc>
        <w:tc>
          <w:tcPr>
            <w:tcW w:w="1167" w:type="dxa"/>
            <w:vAlign w:val="center"/>
            <w:hideMark/>
          </w:tcPr>
          <w:p w14:paraId="39EB9847" w14:textId="77777777" w:rsidR="009102D9" w:rsidRPr="003874AC" w:rsidRDefault="009102D9" w:rsidP="00CA122E">
            <w:pPr>
              <w:pStyle w:val="NoSpacing"/>
              <w:jc w:val="center"/>
              <w:rPr>
                <w:rFonts w:ascii="Times New Roman" w:hAnsi="Times New Roman" w:cs="Times New Roman"/>
                <w:sz w:val="28"/>
                <w:szCs w:val="22"/>
              </w:rPr>
            </w:pPr>
            <w:r w:rsidRPr="003874AC">
              <w:rPr>
                <w:rFonts w:ascii="Times New Roman" w:hAnsi="Times New Roman" w:cs="Times New Roman"/>
                <w:sz w:val="28"/>
                <w:szCs w:val="22"/>
              </w:rPr>
              <w:t>4</w:t>
            </w:r>
          </w:p>
        </w:tc>
        <w:tc>
          <w:tcPr>
            <w:tcW w:w="1167" w:type="dxa"/>
            <w:vAlign w:val="center"/>
            <w:hideMark/>
          </w:tcPr>
          <w:p w14:paraId="1E3DAC0B" w14:textId="77777777" w:rsidR="009102D9" w:rsidRPr="003874AC" w:rsidRDefault="009102D9" w:rsidP="00CA122E">
            <w:pPr>
              <w:pStyle w:val="NoSpacing"/>
              <w:jc w:val="center"/>
              <w:rPr>
                <w:rFonts w:ascii="Times New Roman" w:hAnsi="Times New Roman" w:cs="Times New Roman"/>
                <w:sz w:val="28"/>
                <w:szCs w:val="22"/>
              </w:rPr>
            </w:pPr>
            <w:r w:rsidRPr="003874AC">
              <w:rPr>
                <w:rFonts w:ascii="Times New Roman" w:hAnsi="Times New Roman" w:cs="Times New Roman"/>
                <w:sz w:val="28"/>
                <w:szCs w:val="22"/>
              </w:rPr>
              <w:t>15</w:t>
            </w:r>
          </w:p>
        </w:tc>
        <w:tc>
          <w:tcPr>
            <w:tcW w:w="1167" w:type="dxa"/>
            <w:vAlign w:val="center"/>
            <w:hideMark/>
          </w:tcPr>
          <w:p w14:paraId="3EFDEA14" w14:textId="77777777" w:rsidR="009102D9" w:rsidRPr="003874AC" w:rsidRDefault="009102D9" w:rsidP="00CA122E">
            <w:pPr>
              <w:pStyle w:val="NoSpacing"/>
              <w:jc w:val="center"/>
              <w:rPr>
                <w:rFonts w:ascii="Times New Roman" w:hAnsi="Times New Roman" w:cs="Times New Roman"/>
                <w:sz w:val="28"/>
                <w:szCs w:val="22"/>
              </w:rPr>
            </w:pPr>
            <w:r w:rsidRPr="003874AC">
              <w:rPr>
                <w:rFonts w:ascii="Times New Roman" w:hAnsi="Times New Roman" w:cs="Times New Roman"/>
                <w:sz w:val="28"/>
                <w:szCs w:val="22"/>
              </w:rPr>
              <w:t>42</w:t>
            </w:r>
          </w:p>
        </w:tc>
        <w:tc>
          <w:tcPr>
            <w:tcW w:w="1167" w:type="dxa"/>
            <w:vAlign w:val="center"/>
            <w:hideMark/>
          </w:tcPr>
          <w:p w14:paraId="2E09D111" w14:textId="77777777" w:rsidR="009102D9" w:rsidRPr="003874AC" w:rsidRDefault="009102D9" w:rsidP="00CA122E">
            <w:pPr>
              <w:pStyle w:val="NoSpacing"/>
              <w:jc w:val="center"/>
              <w:rPr>
                <w:rFonts w:ascii="Times New Roman" w:hAnsi="Times New Roman" w:cs="Times New Roman"/>
                <w:sz w:val="28"/>
                <w:szCs w:val="22"/>
              </w:rPr>
            </w:pPr>
            <w:r w:rsidRPr="003874AC">
              <w:rPr>
                <w:rFonts w:ascii="Times New Roman" w:hAnsi="Times New Roman" w:cs="Times New Roman"/>
                <w:sz w:val="28"/>
                <w:szCs w:val="22"/>
              </w:rPr>
              <w:t>11</w:t>
            </w:r>
          </w:p>
        </w:tc>
        <w:tc>
          <w:tcPr>
            <w:tcW w:w="1167" w:type="dxa"/>
            <w:vAlign w:val="center"/>
            <w:hideMark/>
          </w:tcPr>
          <w:p w14:paraId="49A63DCF" w14:textId="77777777" w:rsidR="009102D9" w:rsidRPr="003874AC" w:rsidRDefault="009102D9" w:rsidP="00CA122E">
            <w:pPr>
              <w:pStyle w:val="NoSpacing"/>
              <w:jc w:val="center"/>
              <w:rPr>
                <w:rFonts w:ascii="Times New Roman" w:hAnsi="Times New Roman" w:cs="Times New Roman"/>
                <w:sz w:val="28"/>
                <w:szCs w:val="22"/>
              </w:rPr>
            </w:pPr>
            <w:r w:rsidRPr="003874AC">
              <w:rPr>
                <w:rFonts w:ascii="Times New Roman" w:hAnsi="Times New Roman" w:cs="Times New Roman"/>
                <w:sz w:val="28"/>
                <w:szCs w:val="22"/>
              </w:rPr>
              <w:t>127</w:t>
            </w:r>
          </w:p>
        </w:tc>
        <w:tc>
          <w:tcPr>
            <w:tcW w:w="1167" w:type="dxa"/>
            <w:vAlign w:val="center"/>
            <w:hideMark/>
          </w:tcPr>
          <w:p w14:paraId="099E16BA" w14:textId="77777777" w:rsidR="009102D9" w:rsidRPr="003874AC" w:rsidRDefault="009102D9" w:rsidP="00CA122E">
            <w:pPr>
              <w:pStyle w:val="NoSpacing"/>
              <w:jc w:val="center"/>
              <w:rPr>
                <w:rFonts w:ascii="Times New Roman" w:hAnsi="Times New Roman" w:cs="Times New Roman"/>
                <w:sz w:val="28"/>
                <w:szCs w:val="22"/>
              </w:rPr>
            </w:pPr>
            <w:r w:rsidRPr="003874AC">
              <w:rPr>
                <w:rFonts w:ascii="Times New Roman" w:hAnsi="Times New Roman" w:cs="Times New Roman"/>
                <w:sz w:val="28"/>
                <w:szCs w:val="22"/>
              </w:rPr>
              <w:t>417</w:t>
            </w:r>
          </w:p>
        </w:tc>
        <w:tc>
          <w:tcPr>
            <w:tcW w:w="1167" w:type="dxa"/>
            <w:vAlign w:val="center"/>
            <w:hideMark/>
          </w:tcPr>
          <w:p w14:paraId="10DA9FF6" w14:textId="77777777" w:rsidR="009102D9" w:rsidRPr="003874AC" w:rsidRDefault="009102D9" w:rsidP="00CA122E">
            <w:pPr>
              <w:pStyle w:val="NoSpacing"/>
              <w:jc w:val="center"/>
              <w:rPr>
                <w:rFonts w:ascii="Times New Roman" w:hAnsi="Times New Roman" w:cs="Times New Roman"/>
                <w:sz w:val="28"/>
                <w:szCs w:val="22"/>
              </w:rPr>
            </w:pPr>
            <w:r w:rsidRPr="003874AC">
              <w:rPr>
                <w:rFonts w:ascii="Times New Roman" w:hAnsi="Times New Roman" w:cs="Times New Roman"/>
                <w:sz w:val="28"/>
                <w:szCs w:val="22"/>
              </w:rPr>
              <w:t>113</w:t>
            </w:r>
          </w:p>
        </w:tc>
        <w:tc>
          <w:tcPr>
            <w:tcW w:w="1167" w:type="dxa"/>
            <w:vAlign w:val="center"/>
            <w:hideMark/>
          </w:tcPr>
          <w:p w14:paraId="2E37514C" w14:textId="77777777" w:rsidR="009102D9" w:rsidRPr="003874AC" w:rsidRDefault="009102D9" w:rsidP="00CA122E">
            <w:pPr>
              <w:pStyle w:val="NoSpacing"/>
              <w:jc w:val="center"/>
              <w:rPr>
                <w:rFonts w:ascii="Times New Roman" w:hAnsi="Times New Roman" w:cs="Times New Roman"/>
                <w:sz w:val="28"/>
                <w:szCs w:val="22"/>
              </w:rPr>
            </w:pPr>
            <w:r w:rsidRPr="003874AC">
              <w:rPr>
                <w:rFonts w:ascii="Times New Roman" w:hAnsi="Times New Roman" w:cs="Times New Roman"/>
                <w:sz w:val="28"/>
                <w:szCs w:val="22"/>
              </w:rPr>
              <w:t>1142</w:t>
            </w:r>
          </w:p>
        </w:tc>
        <w:tc>
          <w:tcPr>
            <w:tcW w:w="1167" w:type="dxa"/>
            <w:vAlign w:val="center"/>
            <w:hideMark/>
          </w:tcPr>
          <w:p w14:paraId="1B369B8A" w14:textId="77777777" w:rsidR="009102D9" w:rsidRPr="003874AC" w:rsidRDefault="009102D9" w:rsidP="00CA122E">
            <w:pPr>
              <w:pStyle w:val="NoSpacing"/>
              <w:jc w:val="center"/>
              <w:rPr>
                <w:rFonts w:ascii="Times New Roman" w:hAnsi="Times New Roman" w:cs="Times New Roman"/>
                <w:sz w:val="28"/>
                <w:szCs w:val="22"/>
              </w:rPr>
            </w:pPr>
            <w:r w:rsidRPr="003874AC">
              <w:rPr>
                <w:rFonts w:ascii="Times New Roman" w:hAnsi="Times New Roman" w:cs="Times New Roman"/>
                <w:sz w:val="28"/>
                <w:szCs w:val="22"/>
              </w:rPr>
              <w:t>780</w:t>
            </w:r>
          </w:p>
        </w:tc>
      </w:tr>
      <w:tr w:rsidR="009102D9" w:rsidRPr="003874AC" w14:paraId="31434AC9" w14:textId="77777777" w:rsidTr="00CA122E">
        <w:trPr>
          <w:trHeight w:val="20"/>
        </w:trPr>
        <w:tc>
          <w:tcPr>
            <w:tcW w:w="2168" w:type="dxa"/>
            <w:hideMark/>
          </w:tcPr>
          <w:p w14:paraId="41A7F7ED" w14:textId="77777777" w:rsidR="009102D9" w:rsidRPr="003874AC" w:rsidRDefault="009102D9" w:rsidP="009102D9">
            <w:pPr>
              <w:pStyle w:val="NoSpacing"/>
              <w:rPr>
                <w:rFonts w:ascii="Times New Roman" w:hAnsi="Times New Roman" w:cs="Times New Roman"/>
                <w:sz w:val="28"/>
                <w:szCs w:val="22"/>
              </w:rPr>
            </w:pPr>
            <w:r w:rsidRPr="003874AC">
              <w:rPr>
                <w:rFonts w:ascii="Times New Roman" w:hAnsi="Times New Roman" w:cs="Times New Roman"/>
                <w:sz w:val="28"/>
                <w:szCs w:val="22"/>
              </w:rPr>
              <w:t>Tamil Nadu</w:t>
            </w:r>
          </w:p>
        </w:tc>
        <w:tc>
          <w:tcPr>
            <w:tcW w:w="1167" w:type="dxa"/>
            <w:vAlign w:val="center"/>
            <w:hideMark/>
          </w:tcPr>
          <w:p w14:paraId="63DF0F7E" w14:textId="77777777" w:rsidR="009102D9" w:rsidRPr="003874AC" w:rsidRDefault="009102D9" w:rsidP="00CA122E">
            <w:pPr>
              <w:pStyle w:val="NoSpacing"/>
              <w:jc w:val="center"/>
              <w:rPr>
                <w:rFonts w:ascii="Times New Roman" w:hAnsi="Times New Roman" w:cs="Times New Roman"/>
                <w:sz w:val="28"/>
                <w:szCs w:val="22"/>
              </w:rPr>
            </w:pPr>
            <w:r w:rsidRPr="003874AC">
              <w:rPr>
                <w:rFonts w:ascii="Times New Roman" w:hAnsi="Times New Roman" w:cs="Times New Roman"/>
                <w:sz w:val="28"/>
                <w:szCs w:val="22"/>
              </w:rPr>
              <w:t>32</w:t>
            </w:r>
          </w:p>
        </w:tc>
        <w:tc>
          <w:tcPr>
            <w:tcW w:w="1167" w:type="dxa"/>
            <w:vAlign w:val="center"/>
            <w:hideMark/>
          </w:tcPr>
          <w:p w14:paraId="7F625127" w14:textId="77777777" w:rsidR="009102D9" w:rsidRPr="003874AC" w:rsidRDefault="009102D9" w:rsidP="00CA122E">
            <w:pPr>
              <w:pStyle w:val="NoSpacing"/>
              <w:jc w:val="center"/>
              <w:rPr>
                <w:rFonts w:ascii="Times New Roman" w:hAnsi="Times New Roman" w:cs="Times New Roman"/>
                <w:sz w:val="28"/>
                <w:szCs w:val="22"/>
              </w:rPr>
            </w:pPr>
            <w:r w:rsidRPr="003874AC">
              <w:rPr>
                <w:rFonts w:ascii="Times New Roman" w:hAnsi="Times New Roman" w:cs="Times New Roman"/>
                <w:sz w:val="28"/>
                <w:szCs w:val="22"/>
              </w:rPr>
              <w:t>7</w:t>
            </w:r>
          </w:p>
        </w:tc>
        <w:tc>
          <w:tcPr>
            <w:tcW w:w="1167" w:type="dxa"/>
            <w:vAlign w:val="center"/>
            <w:hideMark/>
          </w:tcPr>
          <w:p w14:paraId="79D03316" w14:textId="77777777" w:rsidR="009102D9" w:rsidRPr="003874AC" w:rsidRDefault="009102D9" w:rsidP="00CA122E">
            <w:pPr>
              <w:pStyle w:val="NoSpacing"/>
              <w:jc w:val="center"/>
              <w:rPr>
                <w:rFonts w:ascii="Times New Roman" w:hAnsi="Times New Roman" w:cs="Times New Roman"/>
                <w:sz w:val="28"/>
                <w:szCs w:val="22"/>
              </w:rPr>
            </w:pPr>
            <w:r w:rsidRPr="003874AC">
              <w:rPr>
                <w:rFonts w:ascii="Times New Roman" w:hAnsi="Times New Roman" w:cs="Times New Roman"/>
                <w:sz w:val="28"/>
                <w:szCs w:val="22"/>
              </w:rPr>
              <w:t>21</w:t>
            </w:r>
          </w:p>
        </w:tc>
        <w:tc>
          <w:tcPr>
            <w:tcW w:w="1167" w:type="dxa"/>
            <w:vAlign w:val="center"/>
            <w:hideMark/>
          </w:tcPr>
          <w:p w14:paraId="4344BED0" w14:textId="77777777" w:rsidR="009102D9" w:rsidRPr="003874AC" w:rsidRDefault="009102D9" w:rsidP="00CA122E">
            <w:pPr>
              <w:pStyle w:val="NoSpacing"/>
              <w:jc w:val="center"/>
              <w:rPr>
                <w:rFonts w:ascii="Times New Roman" w:hAnsi="Times New Roman" w:cs="Times New Roman"/>
                <w:sz w:val="28"/>
                <w:szCs w:val="22"/>
              </w:rPr>
            </w:pPr>
            <w:r w:rsidRPr="003874AC">
              <w:rPr>
                <w:rFonts w:ascii="Times New Roman" w:hAnsi="Times New Roman" w:cs="Times New Roman"/>
                <w:sz w:val="28"/>
                <w:szCs w:val="22"/>
              </w:rPr>
              <w:t>24</w:t>
            </w:r>
          </w:p>
        </w:tc>
        <w:tc>
          <w:tcPr>
            <w:tcW w:w="1167" w:type="dxa"/>
            <w:vAlign w:val="center"/>
            <w:hideMark/>
          </w:tcPr>
          <w:p w14:paraId="3F591A16" w14:textId="77777777" w:rsidR="009102D9" w:rsidRPr="003874AC" w:rsidRDefault="009102D9" w:rsidP="00CA122E">
            <w:pPr>
              <w:pStyle w:val="NoSpacing"/>
              <w:jc w:val="center"/>
              <w:rPr>
                <w:rFonts w:ascii="Times New Roman" w:hAnsi="Times New Roman" w:cs="Times New Roman"/>
                <w:sz w:val="28"/>
                <w:szCs w:val="22"/>
              </w:rPr>
            </w:pPr>
            <w:r w:rsidRPr="003874AC">
              <w:rPr>
                <w:rFonts w:ascii="Times New Roman" w:hAnsi="Times New Roman" w:cs="Times New Roman"/>
                <w:sz w:val="28"/>
                <w:szCs w:val="22"/>
              </w:rPr>
              <w:t>25</w:t>
            </w:r>
          </w:p>
        </w:tc>
        <w:tc>
          <w:tcPr>
            <w:tcW w:w="1167" w:type="dxa"/>
            <w:vAlign w:val="center"/>
            <w:hideMark/>
          </w:tcPr>
          <w:p w14:paraId="584AA6BE" w14:textId="77777777" w:rsidR="009102D9" w:rsidRPr="003874AC" w:rsidRDefault="009102D9" w:rsidP="00CA122E">
            <w:pPr>
              <w:pStyle w:val="NoSpacing"/>
              <w:jc w:val="center"/>
              <w:rPr>
                <w:rFonts w:ascii="Times New Roman" w:hAnsi="Times New Roman" w:cs="Times New Roman"/>
                <w:sz w:val="28"/>
                <w:szCs w:val="22"/>
              </w:rPr>
            </w:pPr>
            <w:r w:rsidRPr="003874AC">
              <w:rPr>
                <w:rFonts w:ascii="Times New Roman" w:hAnsi="Times New Roman" w:cs="Times New Roman"/>
                <w:sz w:val="28"/>
                <w:szCs w:val="22"/>
              </w:rPr>
              <w:t>10</w:t>
            </w:r>
          </w:p>
        </w:tc>
        <w:tc>
          <w:tcPr>
            <w:tcW w:w="1167" w:type="dxa"/>
            <w:vAlign w:val="center"/>
            <w:hideMark/>
          </w:tcPr>
          <w:p w14:paraId="42EB9E51" w14:textId="77777777" w:rsidR="009102D9" w:rsidRPr="003874AC" w:rsidRDefault="009102D9" w:rsidP="00CA122E">
            <w:pPr>
              <w:pStyle w:val="NoSpacing"/>
              <w:jc w:val="center"/>
              <w:rPr>
                <w:rFonts w:ascii="Times New Roman" w:hAnsi="Times New Roman" w:cs="Times New Roman"/>
                <w:sz w:val="28"/>
                <w:szCs w:val="22"/>
              </w:rPr>
            </w:pPr>
            <w:r w:rsidRPr="003874AC">
              <w:rPr>
                <w:rFonts w:ascii="Times New Roman" w:hAnsi="Times New Roman" w:cs="Times New Roman"/>
                <w:sz w:val="28"/>
                <w:szCs w:val="22"/>
              </w:rPr>
              <w:t>8</w:t>
            </w:r>
          </w:p>
        </w:tc>
        <w:tc>
          <w:tcPr>
            <w:tcW w:w="1167" w:type="dxa"/>
            <w:vAlign w:val="center"/>
            <w:hideMark/>
          </w:tcPr>
          <w:p w14:paraId="6425545A" w14:textId="77777777" w:rsidR="009102D9" w:rsidRPr="003874AC" w:rsidRDefault="009102D9" w:rsidP="00CA122E">
            <w:pPr>
              <w:pStyle w:val="NoSpacing"/>
              <w:jc w:val="center"/>
              <w:rPr>
                <w:rFonts w:ascii="Times New Roman" w:hAnsi="Times New Roman" w:cs="Times New Roman"/>
                <w:sz w:val="28"/>
                <w:szCs w:val="22"/>
              </w:rPr>
            </w:pPr>
            <w:r w:rsidRPr="003874AC">
              <w:rPr>
                <w:rFonts w:ascii="Times New Roman" w:hAnsi="Times New Roman" w:cs="Times New Roman"/>
                <w:sz w:val="28"/>
                <w:szCs w:val="22"/>
              </w:rPr>
              <w:t>51</w:t>
            </w:r>
          </w:p>
        </w:tc>
        <w:tc>
          <w:tcPr>
            <w:tcW w:w="1167" w:type="dxa"/>
            <w:vAlign w:val="center"/>
            <w:hideMark/>
          </w:tcPr>
          <w:p w14:paraId="0721F31D" w14:textId="77777777" w:rsidR="009102D9" w:rsidRPr="003874AC" w:rsidRDefault="009102D9" w:rsidP="00CA122E">
            <w:pPr>
              <w:pStyle w:val="NoSpacing"/>
              <w:jc w:val="center"/>
              <w:rPr>
                <w:rFonts w:ascii="Times New Roman" w:hAnsi="Times New Roman" w:cs="Times New Roman"/>
                <w:sz w:val="28"/>
                <w:szCs w:val="22"/>
              </w:rPr>
            </w:pPr>
            <w:r w:rsidRPr="003874AC">
              <w:rPr>
                <w:rFonts w:ascii="Times New Roman" w:hAnsi="Times New Roman" w:cs="Times New Roman"/>
                <w:sz w:val="28"/>
                <w:szCs w:val="22"/>
              </w:rPr>
              <w:t>44</w:t>
            </w:r>
          </w:p>
        </w:tc>
        <w:tc>
          <w:tcPr>
            <w:tcW w:w="1167" w:type="dxa"/>
            <w:vAlign w:val="center"/>
            <w:hideMark/>
          </w:tcPr>
          <w:p w14:paraId="3C786106" w14:textId="77777777" w:rsidR="009102D9" w:rsidRPr="003874AC" w:rsidRDefault="009102D9" w:rsidP="00CA122E">
            <w:pPr>
              <w:pStyle w:val="NoSpacing"/>
              <w:jc w:val="center"/>
              <w:rPr>
                <w:rFonts w:ascii="Times New Roman" w:hAnsi="Times New Roman" w:cs="Times New Roman"/>
                <w:sz w:val="28"/>
                <w:szCs w:val="22"/>
              </w:rPr>
            </w:pPr>
            <w:r w:rsidRPr="003874AC">
              <w:rPr>
                <w:rFonts w:ascii="Times New Roman" w:hAnsi="Times New Roman" w:cs="Times New Roman"/>
                <w:sz w:val="28"/>
                <w:szCs w:val="22"/>
              </w:rPr>
              <w:t>116</w:t>
            </w:r>
          </w:p>
        </w:tc>
        <w:tc>
          <w:tcPr>
            <w:tcW w:w="1167" w:type="dxa"/>
            <w:vAlign w:val="center"/>
            <w:hideMark/>
          </w:tcPr>
          <w:p w14:paraId="712EF393" w14:textId="77777777" w:rsidR="009102D9" w:rsidRPr="003874AC" w:rsidRDefault="009102D9" w:rsidP="00CA122E">
            <w:pPr>
              <w:pStyle w:val="NoSpacing"/>
              <w:jc w:val="center"/>
              <w:rPr>
                <w:rFonts w:ascii="Times New Roman" w:hAnsi="Times New Roman" w:cs="Times New Roman"/>
                <w:sz w:val="28"/>
                <w:szCs w:val="22"/>
              </w:rPr>
            </w:pPr>
            <w:r w:rsidRPr="003874AC">
              <w:rPr>
                <w:rFonts w:ascii="Times New Roman" w:hAnsi="Times New Roman" w:cs="Times New Roman"/>
                <w:sz w:val="28"/>
                <w:szCs w:val="22"/>
              </w:rPr>
              <w:t>22</w:t>
            </w:r>
          </w:p>
        </w:tc>
      </w:tr>
      <w:tr w:rsidR="009102D9" w:rsidRPr="003874AC" w14:paraId="13F7BC97" w14:textId="77777777" w:rsidTr="00CA122E">
        <w:trPr>
          <w:trHeight w:val="20"/>
        </w:trPr>
        <w:tc>
          <w:tcPr>
            <w:tcW w:w="2168" w:type="dxa"/>
            <w:hideMark/>
          </w:tcPr>
          <w:p w14:paraId="7D98C893" w14:textId="77777777" w:rsidR="009102D9" w:rsidRPr="003874AC" w:rsidRDefault="009102D9" w:rsidP="009102D9">
            <w:pPr>
              <w:pStyle w:val="NoSpacing"/>
              <w:rPr>
                <w:rFonts w:ascii="Times New Roman" w:hAnsi="Times New Roman" w:cs="Times New Roman"/>
                <w:sz w:val="28"/>
                <w:szCs w:val="22"/>
              </w:rPr>
            </w:pPr>
            <w:r w:rsidRPr="003874AC">
              <w:rPr>
                <w:rFonts w:ascii="Times New Roman" w:hAnsi="Times New Roman" w:cs="Times New Roman"/>
                <w:sz w:val="28"/>
                <w:szCs w:val="22"/>
              </w:rPr>
              <w:t>Uttar Pradesh</w:t>
            </w:r>
          </w:p>
        </w:tc>
        <w:tc>
          <w:tcPr>
            <w:tcW w:w="1167" w:type="dxa"/>
            <w:vAlign w:val="center"/>
            <w:hideMark/>
          </w:tcPr>
          <w:p w14:paraId="69539B26" w14:textId="77777777" w:rsidR="009102D9" w:rsidRPr="003874AC" w:rsidRDefault="009102D9" w:rsidP="00CA122E">
            <w:pPr>
              <w:pStyle w:val="NoSpacing"/>
              <w:jc w:val="center"/>
              <w:rPr>
                <w:rFonts w:ascii="Times New Roman" w:hAnsi="Times New Roman" w:cs="Times New Roman"/>
                <w:sz w:val="28"/>
                <w:szCs w:val="22"/>
              </w:rPr>
            </w:pPr>
            <w:r w:rsidRPr="003874AC">
              <w:rPr>
                <w:rFonts w:ascii="Times New Roman" w:hAnsi="Times New Roman" w:cs="Times New Roman"/>
                <w:sz w:val="28"/>
                <w:szCs w:val="22"/>
              </w:rPr>
              <w:t>128</w:t>
            </w:r>
          </w:p>
        </w:tc>
        <w:tc>
          <w:tcPr>
            <w:tcW w:w="1167" w:type="dxa"/>
            <w:vAlign w:val="center"/>
            <w:hideMark/>
          </w:tcPr>
          <w:p w14:paraId="4773E270" w14:textId="77777777" w:rsidR="009102D9" w:rsidRPr="003874AC" w:rsidRDefault="009102D9" w:rsidP="00CA122E">
            <w:pPr>
              <w:pStyle w:val="NoSpacing"/>
              <w:jc w:val="center"/>
              <w:rPr>
                <w:rFonts w:ascii="Times New Roman" w:hAnsi="Times New Roman" w:cs="Times New Roman"/>
                <w:sz w:val="28"/>
                <w:szCs w:val="22"/>
              </w:rPr>
            </w:pPr>
            <w:r w:rsidRPr="003874AC">
              <w:rPr>
                <w:rFonts w:ascii="Times New Roman" w:hAnsi="Times New Roman" w:cs="Times New Roman"/>
                <w:sz w:val="28"/>
                <w:szCs w:val="22"/>
              </w:rPr>
              <w:t>144</w:t>
            </w:r>
          </w:p>
        </w:tc>
        <w:tc>
          <w:tcPr>
            <w:tcW w:w="1167" w:type="dxa"/>
            <w:vAlign w:val="center"/>
            <w:hideMark/>
          </w:tcPr>
          <w:p w14:paraId="43C2B02A" w14:textId="77777777" w:rsidR="009102D9" w:rsidRPr="003874AC" w:rsidRDefault="009102D9" w:rsidP="00CA122E">
            <w:pPr>
              <w:pStyle w:val="NoSpacing"/>
              <w:jc w:val="center"/>
              <w:rPr>
                <w:rFonts w:ascii="Times New Roman" w:hAnsi="Times New Roman" w:cs="Times New Roman"/>
                <w:sz w:val="28"/>
                <w:szCs w:val="22"/>
              </w:rPr>
            </w:pPr>
            <w:r w:rsidRPr="003874AC">
              <w:rPr>
                <w:rFonts w:ascii="Times New Roman" w:hAnsi="Times New Roman" w:cs="Times New Roman"/>
                <w:sz w:val="28"/>
                <w:szCs w:val="22"/>
              </w:rPr>
              <w:t>76</w:t>
            </w:r>
          </w:p>
        </w:tc>
        <w:tc>
          <w:tcPr>
            <w:tcW w:w="1167" w:type="dxa"/>
            <w:vAlign w:val="center"/>
            <w:hideMark/>
          </w:tcPr>
          <w:p w14:paraId="1EED0E0E" w14:textId="77777777" w:rsidR="009102D9" w:rsidRPr="003874AC" w:rsidRDefault="009102D9" w:rsidP="00CA122E">
            <w:pPr>
              <w:pStyle w:val="NoSpacing"/>
              <w:jc w:val="center"/>
              <w:rPr>
                <w:rFonts w:ascii="Times New Roman" w:hAnsi="Times New Roman" w:cs="Times New Roman"/>
                <w:sz w:val="28"/>
                <w:szCs w:val="22"/>
              </w:rPr>
            </w:pPr>
            <w:r w:rsidRPr="003874AC">
              <w:rPr>
                <w:rFonts w:ascii="Times New Roman" w:hAnsi="Times New Roman" w:cs="Times New Roman"/>
                <w:sz w:val="28"/>
                <w:szCs w:val="22"/>
              </w:rPr>
              <w:t>84</w:t>
            </w:r>
          </w:p>
        </w:tc>
        <w:tc>
          <w:tcPr>
            <w:tcW w:w="1167" w:type="dxa"/>
            <w:vAlign w:val="center"/>
            <w:hideMark/>
          </w:tcPr>
          <w:p w14:paraId="0740FDEA" w14:textId="77777777" w:rsidR="009102D9" w:rsidRPr="003874AC" w:rsidRDefault="009102D9" w:rsidP="00CA122E">
            <w:pPr>
              <w:pStyle w:val="NoSpacing"/>
              <w:jc w:val="center"/>
              <w:rPr>
                <w:rFonts w:ascii="Times New Roman" w:hAnsi="Times New Roman" w:cs="Times New Roman"/>
                <w:sz w:val="28"/>
                <w:szCs w:val="22"/>
              </w:rPr>
            </w:pPr>
            <w:r w:rsidRPr="003874AC">
              <w:rPr>
                <w:rFonts w:ascii="Times New Roman" w:hAnsi="Times New Roman" w:cs="Times New Roman"/>
                <w:sz w:val="28"/>
                <w:szCs w:val="22"/>
              </w:rPr>
              <w:t>76</w:t>
            </w:r>
          </w:p>
        </w:tc>
        <w:tc>
          <w:tcPr>
            <w:tcW w:w="1167" w:type="dxa"/>
            <w:vAlign w:val="center"/>
            <w:hideMark/>
          </w:tcPr>
          <w:p w14:paraId="6359B0C7" w14:textId="77777777" w:rsidR="009102D9" w:rsidRPr="003874AC" w:rsidRDefault="009102D9" w:rsidP="00CA122E">
            <w:pPr>
              <w:pStyle w:val="NoSpacing"/>
              <w:jc w:val="center"/>
              <w:rPr>
                <w:rFonts w:ascii="Times New Roman" w:hAnsi="Times New Roman" w:cs="Times New Roman"/>
                <w:sz w:val="28"/>
                <w:szCs w:val="22"/>
              </w:rPr>
            </w:pPr>
            <w:r w:rsidRPr="003874AC">
              <w:rPr>
                <w:rFonts w:ascii="Times New Roman" w:hAnsi="Times New Roman" w:cs="Times New Roman"/>
                <w:sz w:val="28"/>
                <w:szCs w:val="22"/>
              </w:rPr>
              <w:t>70</w:t>
            </w:r>
          </w:p>
        </w:tc>
        <w:tc>
          <w:tcPr>
            <w:tcW w:w="1167" w:type="dxa"/>
            <w:vAlign w:val="center"/>
            <w:hideMark/>
          </w:tcPr>
          <w:p w14:paraId="02DFBA08" w14:textId="77777777" w:rsidR="009102D9" w:rsidRPr="003874AC" w:rsidRDefault="009102D9" w:rsidP="00CA122E">
            <w:pPr>
              <w:pStyle w:val="NoSpacing"/>
              <w:jc w:val="center"/>
              <w:rPr>
                <w:rFonts w:ascii="Times New Roman" w:hAnsi="Times New Roman" w:cs="Times New Roman"/>
                <w:sz w:val="28"/>
                <w:szCs w:val="22"/>
              </w:rPr>
            </w:pPr>
            <w:r w:rsidRPr="003874AC">
              <w:rPr>
                <w:rFonts w:ascii="Times New Roman" w:hAnsi="Times New Roman" w:cs="Times New Roman"/>
                <w:sz w:val="28"/>
                <w:szCs w:val="22"/>
              </w:rPr>
              <w:t>38</w:t>
            </w:r>
          </w:p>
        </w:tc>
        <w:tc>
          <w:tcPr>
            <w:tcW w:w="1167" w:type="dxa"/>
            <w:vAlign w:val="center"/>
            <w:hideMark/>
          </w:tcPr>
          <w:p w14:paraId="5BF0826C" w14:textId="77777777" w:rsidR="009102D9" w:rsidRPr="003874AC" w:rsidRDefault="009102D9" w:rsidP="00CA122E">
            <w:pPr>
              <w:pStyle w:val="NoSpacing"/>
              <w:jc w:val="center"/>
              <w:rPr>
                <w:rFonts w:ascii="Times New Roman" w:hAnsi="Times New Roman" w:cs="Times New Roman"/>
                <w:sz w:val="28"/>
                <w:szCs w:val="22"/>
              </w:rPr>
            </w:pPr>
            <w:r w:rsidRPr="003874AC">
              <w:rPr>
                <w:rFonts w:ascii="Times New Roman" w:hAnsi="Times New Roman" w:cs="Times New Roman"/>
                <w:sz w:val="28"/>
                <w:szCs w:val="22"/>
              </w:rPr>
              <w:t>32</w:t>
            </w:r>
          </w:p>
        </w:tc>
        <w:tc>
          <w:tcPr>
            <w:tcW w:w="1167" w:type="dxa"/>
            <w:vAlign w:val="center"/>
            <w:hideMark/>
          </w:tcPr>
          <w:p w14:paraId="34C847F2" w14:textId="77777777" w:rsidR="009102D9" w:rsidRPr="003874AC" w:rsidRDefault="009102D9" w:rsidP="00CA122E">
            <w:pPr>
              <w:pStyle w:val="NoSpacing"/>
              <w:jc w:val="center"/>
              <w:rPr>
                <w:rFonts w:ascii="Times New Roman" w:hAnsi="Times New Roman" w:cs="Times New Roman"/>
                <w:sz w:val="28"/>
                <w:szCs w:val="22"/>
              </w:rPr>
            </w:pPr>
            <w:r w:rsidRPr="003874AC">
              <w:rPr>
                <w:rFonts w:ascii="Times New Roman" w:hAnsi="Times New Roman" w:cs="Times New Roman"/>
                <w:sz w:val="28"/>
                <w:szCs w:val="22"/>
              </w:rPr>
              <w:t>26</w:t>
            </w:r>
          </w:p>
        </w:tc>
        <w:tc>
          <w:tcPr>
            <w:tcW w:w="1167" w:type="dxa"/>
            <w:vAlign w:val="center"/>
            <w:hideMark/>
          </w:tcPr>
          <w:p w14:paraId="027CF02D" w14:textId="77777777" w:rsidR="009102D9" w:rsidRPr="003874AC" w:rsidRDefault="009102D9" w:rsidP="00CA122E">
            <w:pPr>
              <w:pStyle w:val="NoSpacing"/>
              <w:jc w:val="center"/>
              <w:rPr>
                <w:rFonts w:ascii="Times New Roman" w:hAnsi="Times New Roman" w:cs="Times New Roman"/>
                <w:sz w:val="28"/>
                <w:szCs w:val="22"/>
              </w:rPr>
            </w:pPr>
            <w:r w:rsidRPr="003874AC">
              <w:rPr>
                <w:rFonts w:ascii="Times New Roman" w:hAnsi="Times New Roman" w:cs="Times New Roman"/>
                <w:sz w:val="28"/>
                <w:szCs w:val="22"/>
              </w:rPr>
              <w:t>292</w:t>
            </w:r>
          </w:p>
        </w:tc>
        <w:tc>
          <w:tcPr>
            <w:tcW w:w="1167" w:type="dxa"/>
            <w:vAlign w:val="center"/>
            <w:hideMark/>
          </w:tcPr>
          <w:p w14:paraId="0E1698FC" w14:textId="77777777" w:rsidR="009102D9" w:rsidRPr="003874AC" w:rsidRDefault="009102D9" w:rsidP="00CA122E">
            <w:pPr>
              <w:pStyle w:val="NoSpacing"/>
              <w:jc w:val="center"/>
              <w:rPr>
                <w:rFonts w:ascii="Times New Roman" w:hAnsi="Times New Roman" w:cs="Times New Roman"/>
                <w:sz w:val="28"/>
                <w:szCs w:val="22"/>
              </w:rPr>
            </w:pPr>
            <w:r w:rsidRPr="003874AC">
              <w:rPr>
                <w:rFonts w:ascii="Times New Roman" w:hAnsi="Times New Roman" w:cs="Times New Roman"/>
                <w:sz w:val="28"/>
                <w:szCs w:val="22"/>
              </w:rPr>
              <w:t>277</w:t>
            </w:r>
          </w:p>
        </w:tc>
      </w:tr>
      <w:tr w:rsidR="009102D9" w:rsidRPr="003874AC" w14:paraId="30D6E4E0" w14:textId="77777777" w:rsidTr="00CA122E">
        <w:trPr>
          <w:trHeight w:val="20"/>
        </w:trPr>
        <w:tc>
          <w:tcPr>
            <w:tcW w:w="2168" w:type="dxa"/>
            <w:hideMark/>
          </w:tcPr>
          <w:p w14:paraId="220AAA73" w14:textId="77777777" w:rsidR="009102D9" w:rsidRPr="003874AC" w:rsidRDefault="009102D9" w:rsidP="009102D9">
            <w:pPr>
              <w:pStyle w:val="NoSpacing"/>
              <w:rPr>
                <w:rFonts w:ascii="Times New Roman" w:hAnsi="Times New Roman" w:cs="Times New Roman"/>
                <w:sz w:val="28"/>
                <w:szCs w:val="22"/>
              </w:rPr>
            </w:pPr>
            <w:r w:rsidRPr="003874AC">
              <w:rPr>
                <w:rFonts w:ascii="Times New Roman" w:hAnsi="Times New Roman" w:cs="Times New Roman"/>
                <w:sz w:val="28"/>
                <w:szCs w:val="22"/>
              </w:rPr>
              <w:t>West Bengal</w:t>
            </w:r>
          </w:p>
        </w:tc>
        <w:tc>
          <w:tcPr>
            <w:tcW w:w="1167" w:type="dxa"/>
            <w:vAlign w:val="center"/>
            <w:hideMark/>
          </w:tcPr>
          <w:p w14:paraId="0E39BD18" w14:textId="77777777" w:rsidR="009102D9" w:rsidRPr="003874AC" w:rsidRDefault="009102D9" w:rsidP="00CA122E">
            <w:pPr>
              <w:pStyle w:val="NoSpacing"/>
              <w:jc w:val="center"/>
              <w:rPr>
                <w:rFonts w:ascii="Times New Roman" w:hAnsi="Times New Roman" w:cs="Times New Roman"/>
                <w:sz w:val="28"/>
                <w:szCs w:val="22"/>
              </w:rPr>
            </w:pPr>
            <w:r w:rsidRPr="003874AC">
              <w:rPr>
                <w:rFonts w:ascii="Times New Roman" w:hAnsi="Times New Roman" w:cs="Times New Roman"/>
                <w:sz w:val="28"/>
                <w:szCs w:val="22"/>
              </w:rPr>
              <w:t>290</w:t>
            </w:r>
          </w:p>
        </w:tc>
        <w:tc>
          <w:tcPr>
            <w:tcW w:w="1167" w:type="dxa"/>
            <w:vAlign w:val="center"/>
            <w:hideMark/>
          </w:tcPr>
          <w:p w14:paraId="581807DA" w14:textId="77777777" w:rsidR="009102D9" w:rsidRPr="003874AC" w:rsidRDefault="009102D9" w:rsidP="00CA122E">
            <w:pPr>
              <w:pStyle w:val="NoSpacing"/>
              <w:jc w:val="center"/>
              <w:rPr>
                <w:rFonts w:ascii="Times New Roman" w:hAnsi="Times New Roman" w:cs="Times New Roman"/>
                <w:sz w:val="28"/>
                <w:szCs w:val="22"/>
              </w:rPr>
            </w:pPr>
            <w:r w:rsidRPr="003874AC">
              <w:rPr>
                <w:rFonts w:ascii="Times New Roman" w:hAnsi="Times New Roman" w:cs="Times New Roman"/>
                <w:sz w:val="28"/>
                <w:szCs w:val="22"/>
              </w:rPr>
              <w:t>724</w:t>
            </w:r>
          </w:p>
        </w:tc>
        <w:tc>
          <w:tcPr>
            <w:tcW w:w="1167" w:type="dxa"/>
            <w:vAlign w:val="center"/>
            <w:hideMark/>
          </w:tcPr>
          <w:p w14:paraId="2CF210A3" w14:textId="77777777" w:rsidR="009102D9" w:rsidRPr="003874AC" w:rsidRDefault="009102D9" w:rsidP="00CA122E">
            <w:pPr>
              <w:pStyle w:val="NoSpacing"/>
              <w:jc w:val="center"/>
              <w:rPr>
                <w:rFonts w:ascii="Times New Roman" w:hAnsi="Times New Roman" w:cs="Times New Roman"/>
                <w:sz w:val="28"/>
                <w:szCs w:val="22"/>
              </w:rPr>
            </w:pPr>
            <w:r w:rsidRPr="003874AC">
              <w:rPr>
                <w:rFonts w:ascii="Times New Roman" w:hAnsi="Times New Roman" w:cs="Times New Roman"/>
                <w:sz w:val="28"/>
                <w:szCs w:val="22"/>
              </w:rPr>
              <w:t>592</w:t>
            </w:r>
          </w:p>
        </w:tc>
        <w:tc>
          <w:tcPr>
            <w:tcW w:w="1167" w:type="dxa"/>
            <w:vAlign w:val="center"/>
            <w:hideMark/>
          </w:tcPr>
          <w:p w14:paraId="5D74F9E8" w14:textId="77777777" w:rsidR="009102D9" w:rsidRPr="003874AC" w:rsidRDefault="009102D9" w:rsidP="00CA122E">
            <w:pPr>
              <w:pStyle w:val="NoSpacing"/>
              <w:jc w:val="center"/>
              <w:rPr>
                <w:rFonts w:ascii="Times New Roman" w:hAnsi="Times New Roman" w:cs="Times New Roman"/>
                <w:sz w:val="28"/>
                <w:szCs w:val="22"/>
              </w:rPr>
            </w:pPr>
            <w:r w:rsidRPr="003874AC">
              <w:rPr>
                <w:rFonts w:ascii="Times New Roman" w:hAnsi="Times New Roman" w:cs="Times New Roman"/>
                <w:sz w:val="28"/>
                <w:szCs w:val="22"/>
              </w:rPr>
              <w:t>756</w:t>
            </w:r>
          </w:p>
        </w:tc>
        <w:tc>
          <w:tcPr>
            <w:tcW w:w="1167" w:type="dxa"/>
            <w:vAlign w:val="center"/>
            <w:hideMark/>
          </w:tcPr>
          <w:p w14:paraId="6BA41810" w14:textId="77777777" w:rsidR="009102D9" w:rsidRPr="003874AC" w:rsidRDefault="009102D9" w:rsidP="00CA122E">
            <w:pPr>
              <w:pStyle w:val="NoSpacing"/>
              <w:jc w:val="center"/>
              <w:rPr>
                <w:rFonts w:ascii="Times New Roman" w:hAnsi="Times New Roman" w:cs="Times New Roman"/>
                <w:sz w:val="28"/>
                <w:szCs w:val="22"/>
              </w:rPr>
            </w:pPr>
            <w:r w:rsidRPr="003874AC">
              <w:rPr>
                <w:rFonts w:ascii="Times New Roman" w:hAnsi="Times New Roman" w:cs="Times New Roman"/>
                <w:sz w:val="28"/>
                <w:szCs w:val="22"/>
              </w:rPr>
              <w:t>556</w:t>
            </w:r>
          </w:p>
        </w:tc>
        <w:tc>
          <w:tcPr>
            <w:tcW w:w="1167" w:type="dxa"/>
            <w:vAlign w:val="center"/>
            <w:hideMark/>
          </w:tcPr>
          <w:p w14:paraId="113C1567" w14:textId="77777777" w:rsidR="009102D9" w:rsidRPr="003874AC" w:rsidRDefault="009102D9" w:rsidP="00CA122E">
            <w:pPr>
              <w:pStyle w:val="NoSpacing"/>
              <w:jc w:val="center"/>
              <w:rPr>
                <w:rFonts w:ascii="Times New Roman" w:hAnsi="Times New Roman" w:cs="Times New Roman"/>
                <w:sz w:val="28"/>
                <w:szCs w:val="22"/>
              </w:rPr>
            </w:pPr>
            <w:r w:rsidRPr="003874AC">
              <w:rPr>
                <w:rFonts w:ascii="Times New Roman" w:hAnsi="Times New Roman" w:cs="Times New Roman"/>
                <w:sz w:val="28"/>
                <w:szCs w:val="22"/>
              </w:rPr>
              <w:t>488</w:t>
            </w:r>
          </w:p>
        </w:tc>
        <w:tc>
          <w:tcPr>
            <w:tcW w:w="1167" w:type="dxa"/>
            <w:vAlign w:val="center"/>
            <w:hideMark/>
          </w:tcPr>
          <w:p w14:paraId="490DBFFF" w14:textId="77777777" w:rsidR="009102D9" w:rsidRPr="003874AC" w:rsidRDefault="009102D9" w:rsidP="00CA122E">
            <w:pPr>
              <w:pStyle w:val="NoSpacing"/>
              <w:jc w:val="center"/>
              <w:rPr>
                <w:rFonts w:ascii="Times New Roman" w:hAnsi="Times New Roman" w:cs="Times New Roman"/>
                <w:sz w:val="28"/>
                <w:szCs w:val="22"/>
              </w:rPr>
            </w:pPr>
            <w:r w:rsidRPr="003874AC">
              <w:rPr>
                <w:rFonts w:ascii="Times New Roman" w:hAnsi="Times New Roman" w:cs="Times New Roman"/>
                <w:sz w:val="28"/>
                <w:szCs w:val="22"/>
              </w:rPr>
              <w:t>540</w:t>
            </w:r>
          </w:p>
        </w:tc>
        <w:tc>
          <w:tcPr>
            <w:tcW w:w="1167" w:type="dxa"/>
            <w:vAlign w:val="center"/>
            <w:hideMark/>
          </w:tcPr>
          <w:p w14:paraId="2F8B8097" w14:textId="77777777" w:rsidR="009102D9" w:rsidRPr="003874AC" w:rsidRDefault="009102D9" w:rsidP="00CA122E">
            <w:pPr>
              <w:pStyle w:val="NoSpacing"/>
              <w:jc w:val="center"/>
              <w:rPr>
                <w:rFonts w:ascii="Times New Roman" w:hAnsi="Times New Roman" w:cs="Times New Roman"/>
                <w:sz w:val="28"/>
                <w:szCs w:val="22"/>
              </w:rPr>
            </w:pPr>
            <w:r w:rsidRPr="003874AC">
              <w:rPr>
                <w:rFonts w:ascii="Times New Roman" w:hAnsi="Times New Roman" w:cs="Times New Roman"/>
                <w:sz w:val="28"/>
                <w:szCs w:val="22"/>
              </w:rPr>
              <w:t>386</w:t>
            </w:r>
          </w:p>
        </w:tc>
        <w:tc>
          <w:tcPr>
            <w:tcW w:w="1167" w:type="dxa"/>
            <w:vAlign w:val="center"/>
            <w:hideMark/>
          </w:tcPr>
          <w:p w14:paraId="15D0EA5D" w14:textId="77777777" w:rsidR="009102D9" w:rsidRPr="003874AC" w:rsidRDefault="009102D9" w:rsidP="00CA122E">
            <w:pPr>
              <w:pStyle w:val="NoSpacing"/>
              <w:jc w:val="center"/>
              <w:rPr>
                <w:rFonts w:ascii="Times New Roman" w:hAnsi="Times New Roman" w:cs="Times New Roman"/>
                <w:sz w:val="28"/>
                <w:szCs w:val="22"/>
              </w:rPr>
            </w:pPr>
            <w:r w:rsidRPr="003874AC">
              <w:rPr>
                <w:rFonts w:ascii="Times New Roman" w:hAnsi="Times New Roman" w:cs="Times New Roman"/>
                <w:sz w:val="28"/>
                <w:szCs w:val="22"/>
              </w:rPr>
              <w:t>426</w:t>
            </w:r>
          </w:p>
        </w:tc>
        <w:tc>
          <w:tcPr>
            <w:tcW w:w="1167" w:type="dxa"/>
            <w:vAlign w:val="center"/>
            <w:hideMark/>
          </w:tcPr>
          <w:p w14:paraId="0ABBAC88" w14:textId="77777777" w:rsidR="009102D9" w:rsidRPr="003874AC" w:rsidRDefault="009102D9" w:rsidP="00CA122E">
            <w:pPr>
              <w:pStyle w:val="NoSpacing"/>
              <w:jc w:val="center"/>
              <w:rPr>
                <w:rFonts w:ascii="Times New Roman" w:hAnsi="Times New Roman" w:cs="Times New Roman"/>
                <w:sz w:val="28"/>
                <w:szCs w:val="22"/>
              </w:rPr>
            </w:pPr>
            <w:r w:rsidRPr="003874AC">
              <w:rPr>
                <w:rFonts w:ascii="Times New Roman" w:hAnsi="Times New Roman" w:cs="Times New Roman"/>
                <w:sz w:val="28"/>
                <w:szCs w:val="22"/>
              </w:rPr>
              <w:t>734</w:t>
            </w:r>
          </w:p>
        </w:tc>
        <w:tc>
          <w:tcPr>
            <w:tcW w:w="1167" w:type="dxa"/>
            <w:vAlign w:val="center"/>
            <w:hideMark/>
          </w:tcPr>
          <w:p w14:paraId="5CD6A077" w14:textId="77777777" w:rsidR="009102D9" w:rsidRPr="003874AC" w:rsidRDefault="009102D9" w:rsidP="00CA122E">
            <w:pPr>
              <w:pStyle w:val="NoSpacing"/>
              <w:jc w:val="center"/>
              <w:rPr>
                <w:rFonts w:ascii="Times New Roman" w:hAnsi="Times New Roman" w:cs="Times New Roman"/>
                <w:sz w:val="28"/>
                <w:szCs w:val="22"/>
              </w:rPr>
            </w:pPr>
            <w:r w:rsidRPr="003874AC">
              <w:rPr>
                <w:rFonts w:ascii="Times New Roman" w:hAnsi="Times New Roman" w:cs="Times New Roman"/>
                <w:sz w:val="28"/>
                <w:szCs w:val="22"/>
              </w:rPr>
              <w:t>800</w:t>
            </w:r>
          </w:p>
        </w:tc>
      </w:tr>
      <w:tr w:rsidR="009102D9" w:rsidRPr="003874AC" w14:paraId="1B490449" w14:textId="77777777" w:rsidTr="00CA122E">
        <w:trPr>
          <w:trHeight w:val="20"/>
        </w:trPr>
        <w:tc>
          <w:tcPr>
            <w:tcW w:w="2168" w:type="dxa"/>
            <w:hideMark/>
          </w:tcPr>
          <w:p w14:paraId="3F173194" w14:textId="77777777" w:rsidR="009102D9" w:rsidRPr="003874AC" w:rsidRDefault="009102D9" w:rsidP="009102D9">
            <w:pPr>
              <w:pStyle w:val="NoSpacing"/>
              <w:rPr>
                <w:rFonts w:ascii="Times New Roman" w:hAnsi="Times New Roman" w:cs="Times New Roman"/>
                <w:sz w:val="28"/>
                <w:szCs w:val="22"/>
              </w:rPr>
            </w:pPr>
            <w:r w:rsidRPr="003874AC">
              <w:rPr>
                <w:rFonts w:ascii="Times New Roman" w:hAnsi="Times New Roman" w:cs="Times New Roman"/>
                <w:sz w:val="28"/>
                <w:szCs w:val="22"/>
              </w:rPr>
              <w:t>TOTAL</w:t>
            </w:r>
          </w:p>
        </w:tc>
        <w:tc>
          <w:tcPr>
            <w:tcW w:w="1167" w:type="dxa"/>
            <w:vAlign w:val="center"/>
            <w:hideMark/>
          </w:tcPr>
          <w:p w14:paraId="77D5CA30" w14:textId="77777777" w:rsidR="009102D9" w:rsidRPr="003874AC" w:rsidRDefault="009102D9" w:rsidP="00CA122E">
            <w:pPr>
              <w:pStyle w:val="NoSpacing"/>
              <w:jc w:val="center"/>
              <w:rPr>
                <w:rFonts w:ascii="Times New Roman" w:hAnsi="Times New Roman" w:cs="Times New Roman"/>
                <w:sz w:val="28"/>
                <w:szCs w:val="22"/>
              </w:rPr>
            </w:pPr>
            <w:r w:rsidRPr="003874AC">
              <w:rPr>
                <w:rFonts w:ascii="Times New Roman" w:hAnsi="Times New Roman" w:cs="Times New Roman"/>
                <w:sz w:val="28"/>
                <w:szCs w:val="22"/>
              </w:rPr>
              <w:t>866</w:t>
            </w:r>
          </w:p>
        </w:tc>
        <w:tc>
          <w:tcPr>
            <w:tcW w:w="1167" w:type="dxa"/>
            <w:vAlign w:val="center"/>
            <w:hideMark/>
          </w:tcPr>
          <w:p w14:paraId="5FBA81F5" w14:textId="77777777" w:rsidR="009102D9" w:rsidRPr="003874AC" w:rsidRDefault="009102D9" w:rsidP="00CA122E">
            <w:pPr>
              <w:pStyle w:val="NoSpacing"/>
              <w:jc w:val="center"/>
              <w:rPr>
                <w:rFonts w:ascii="Times New Roman" w:hAnsi="Times New Roman" w:cs="Times New Roman"/>
                <w:sz w:val="28"/>
                <w:szCs w:val="22"/>
              </w:rPr>
            </w:pPr>
            <w:r w:rsidRPr="003874AC">
              <w:rPr>
                <w:rFonts w:ascii="Times New Roman" w:hAnsi="Times New Roman" w:cs="Times New Roman"/>
                <w:sz w:val="28"/>
                <w:szCs w:val="22"/>
              </w:rPr>
              <w:t>1641</w:t>
            </w:r>
          </w:p>
        </w:tc>
        <w:tc>
          <w:tcPr>
            <w:tcW w:w="1167" w:type="dxa"/>
            <w:vAlign w:val="center"/>
            <w:hideMark/>
          </w:tcPr>
          <w:p w14:paraId="11186AD9" w14:textId="77777777" w:rsidR="009102D9" w:rsidRPr="003874AC" w:rsidRDefault="009102D9" w:rsidP="00CA122E">
            <w:pPr>
              <w:pStyle w:val="NoSpacing"/>
              <w:jc w:val="center"/>
              <w:rPr>
                <w:rFonts w:ascii="Times New Roman" w:hAnsi="Times New Roman" w:cs="Times New Roman"/>
                <w:sz w:val="28"/>
                <w:szCs w:val="22"/>
              </w:rPr>
            </w:pPr>
            <w:r w:rsidRPr="003874AC">
              <w:rPr>
                <w:rFonts w:ascii="Times New Roman" w:hAnsi="Times New Roman" w:cs="Times New Roman"/>
                <w:sz w:val="28"/>
                <w:szCs w:val="22"/>
              </w:rPr>
              <w:t>1018</w:t>
            </w:r>
          </w:p>
        </w:tc>
        <w:tc>
          <w:tcPr>
            <w:tcW w:w="1167" w:type="dxa"/>
            <w:vAlign w:val="center"/>
            <w:hideMark/>
          </w:tcPr>
          <w:p w14:paraId="70C7CE50" w14:textId="77777777" w:rsidR="009102D9" w:rsidRPr="003874AC" w:rsidRDefault="009102D9" w:rsidP="00CA122E">
            <w:pPr>
              <w:pStyle w:val="NoSpacing"/>
              <w:jc w:val="center"/>
              <w:rPr>
                <w:rFonts w:ascii="Times New Roman" w:hAnsi="Times New Roman" w:cs="Times New Roman"/>
                <w:sz w:val="28"/>
                <w:szCs w:val="22"/>
              </w:rPr>
            </w:pPr>
            <w:r w:rsidRPr="003874AC">
              <w:rPr>
                <w:rFonts w:ascii="Times New Roman" w:hAnsi="Times New Roman" w:cs="Times New Roman"/>
                <w:sz w:val="28"/>
                <w:szCs w:val="22"/>
              </w:rPr>
              <w:t>1815</w:t>
            </w:r>
          </w:p>
        </w:tc>
        <w:tc>
          <w:tcPr>
            <w:tcW w:w="1167" w:type="dxa"/>
            <w:vAlign w:val="center"/>
            <w:hideMark/>
          </w:tcPr>
          <w:p w14:paraId="3C42B7D7" w14:textId="77777777" w:rsidR="009102D9" w:rsidRPr="003874AC" w:rsidRDefault="009102D9" w:rsidP="00CA122E">
            <w:pPr>
              <w:pStyle w:val="NoSpacing"/>
              <w:jc w:val="center"/>
              <w:rPr>
                <w:rFonts w:ascii="Times New Roman" w:hAnsi="Times New Roman" w:cs="Times New Roman"/>
                <w:sz w:val="28"/>
                <w:szCs w:val="22"/>
              </w:rPr>
            </w:pPr>
            <w:r w:rsidRPr="003874AC">
              <w:rPr>
                <w:rFonts w:ascii="Times New Roman" w:hAnsi="Times New Roman" w:cs="Times New Roman"/>
                <w:sz w:val="28"/>
                <w:szCs w:val="22"/>
              </w:rPr>
              <w:t>1984</w:t>
            </w:r>
          </w:p>
        </w:tc>
        <w:tc>
          <w:tcPr>
            <w:tcW w:w="1167" w:type="dxa"/>
            <w:vAlign w:val="center"/>
            <w:hideMark/>
          </w:tcPr>
          <w:p w14:paraId="669398C8" w14:textId="77777777" w:rsidR="009102D9" w:rsidRPr="003874AC" w:rsidRDefault="009102D9" w:rsidP="00CA122E">
            <w:pPr>
              <w:pStyle w:val="NoSpacing"/>
              <w:jc w:val="center"/>
              <w:rPr>
                <w:rFonts w:ascii="Times New Roman" w:hAnsi="Times New Roman" w:cs="Times New Roman"/>
                <w:sz w:val="28"/>
                <w:szCs w:val="22"/>
              </w:rPr>
            </w:pPr>
            <w:r w:rsidRPr="003874AC">
              <w:rPr>
                <w:rFonts w:ascii="Times New Roman" w:hAnsi="Times New Roman" w:cs="Times New Roman"/>
                <w:sz w:val="28"/>
                <w:szCs w:val="22"/>
              </w:rPr>
              <w:t>1319</w:t>
            </w:r>
          </w:p>
        </w:tc>
        <w:tc>
          <w:tcPr>
            <w:tcW w:w="1167" w:type="dxa"/>
            <w:vAlign w:val="center"/>
            <w:hideMark/>
          </w:tcPr>
          <w:p w14:paraId="47591D27" w14:textId="77777777" w:rsidR="009102D9" w:rsidRPr="003874AC" w:rsidRDefault="009102D9" w:rsidP="00CA122E">
            <w:pPr>
              <w:pStyle w:val="NoSpacing"/>
              <w:jc w:val="center"/>
              <w:rPr>
                <w:rFonts w:ascii="Times New Roman" w:hAnsi="Times New Roman" w:cs="Times New Roman"/>
                <w:sz w:val="28"/>
                <w:szCs w:val="22"/>
              </w:rPr>
            </w:pPr>
            <w:r w:rsidRPr="003874AC">
              <w:rPr>
                <w:rFonts w:ascii="Times New Roman" w:hAnsi="Times New Roman" w:cs="Times New Roman"/>
                <w:sz w:val="28"/>
                <w:szCs w:val="22"/>
              </w:rPr>
              <w:t>1352</w:t>
            </w:r>
          </w:p>
        </w:tc>
        <w:tc>
          <w:tcPr>
            <w:tcW w:w="1167" w:type="dxa"/>
            <w:vAlign w:val="center"/>
            <w:hideMark/>
          </w:tcPr>
          <w:p w14:paraId="40C03B9B" w14:textId="77777777" w:rsidR="009102D9" w:rsidRPr="003874AC" w:rsidRDefault="009102D9" w:rsidP="00CA122E">
            <w:pPr>
              <w:pStyle w:val="NoSpacing"/>
              <w:jc w:val="center"/>
              <w:rPr>
                <w:rFonts w:ascii="Times New Roman" w:hAnsi="Times New Roman" w:cs="Times New Roman"/>
                <w:sz w:val="28"/>
                <w:szCs w:val="22"/>
              </w:rPr>
            </w:pPr>
            <w:r w:rsidRPr="003874AC">
              <w:rPr>
                <w:rFonts w:ascii="Times New Roman" w:hAnsi="Times New Roman" w:cs="Times New Roman"/>
                <w:sz w:val="28"/>
                <w:szCs w:val="22"/>
              </w:rPr>
              <w:t>1409</w:t>
            </w:r>
          </w:p>
        </w:tc>
        <w:tc>
          <w:tcPr>
            <w:tcW w:w="1167" w:type="dxa"/>
            <w:vAlign w:val="center"/>
            <w:hideMark/>
          </w:tcPr>
          <w:p w14:paraId="29BB8C5E" w14:textId="77777777" w:rsidR="009102D9" w:rsidRPr="003874AC" w:rsidRDefault="009102D9" w:rsidP="00CA122E">
            <w:pPr>
              <w:pStyle w:val="NoSpacing"/>
              <w:jc w:val="center"/>
              <w:rPr>
                <w:rFonts w:ascii="Times New Roman" w:hAnsi="Times New Roman" w:cs="Times New Roman"/>
                <w:sz w:val="28"/>
                <w:szCs w:val="22"/>
              </w:rPr>
            </w:pPr>
            <w:r w:rsidRPr="003874AC">
              <w:rPr>
                <w:rFonts w:ascii="Times New Roman" w:hAnsi="Times New Roman" w:cs="Times New Roman"/>
                <w:sz w:val="28"/>
                <w:szCs w:val="22"/>
              </w:rPr>
              <w:t>1542</w:t>
            </w:r>
          </w:p>
        </w:tc>
        <w:tc>
          <w:tcPr>
            <w:tcW w:w="1167" w:type="dxa"/>
            <w:vAlign w:val="center"/>
            <w:hideMark/>
          </w:tcPr>
          <w:p w14:paraId="1B04AA92" w14:textId="77777777" w:rsidR="009102D9" w:rsidRPr="003874AC" w:rsidRDefault="009102D9" w:rsidP="00CA122E">
            <w:pPr>
              <w:pStyle w:val="NoSpacing"/>
              <w:jc w:val="center"/>
              <w:rPr>
                <w:rFonts w:ascii="Times New Roman" w:hAnsi="Times New Roman" w:cs="Times New Roman"/>
                <w:sz w:val="28"/>
                <w:szCs w:val="22"/>
              </w:rPr>
            </w:pPr>
            <w:r w:rsidRPr="003874AC">
              <w:rPr>
                <w:rFonts w:ascii="Times New Roman" w:hAnsi="Times New Roman" w:cs="Times New Roman"/>
                <w:sz w:val="28"/>
                <w:szCs w:val="22"/>
              </w:rPr>
              <w:t>7685</w:t>
            </w:r>
          </w:p>
        </w:tc>
        <w:tc>
          <w:tcPr>
            <w:tcW w:w="1167" w:type="dxa"/>
            <w:vAlign w:val="center"/>
            <w:hideMark/>
          </w:tcPr>
          <w:p w14:paraId="1D107444" w14:textId="77777777" w:rsidR="009102D9" w:rsidRPr="003874AC" w:rsidRDefault="009102D9" w:rsidP="00CA122E">
            <w:pPr>
              <w:pStyle w:val="NoSpacing"/>
              <w:jc w:val="center"/>
              <w:rPr>
                <w:rFonts w:ascii="Times New Roman" w:hAnsi="Times New Roman" w:cs="Times New Roman"/>
                <w:sz w:val="28"/>
                <w:szCs w:val="22"/>
              </w:rPr>
            </w:pPr>
            <w:r w:rsidRPr="003874AC">
              <w:rPr>
                <w:rFonts w:ascii="Times New Roman" w:hAnsi="Times New Roman" w:cs="Times New Roman"/>
                <w:sz w:val="28"/>
                <w:szCs w:val="22"/>
              </w:rPr>
              <w:t>8272</w:t>
            </w:r>
          </w:p>
        </w:tc>
      </w:tr>
    </w:tbl>
    <w:p w14:paraId="3C86E780" w14:textId="726333B0" w:rsidR="00374F83" w:rsidRPr="007245B0" w:rsidRDefault="009102D9" w:rsidP="00374F83">
      <w:pPr>
        <w:jc w:val="center"/>
        <w:rPr>
          <w:rFonts w:ascii="Times New Roman" w:hAnsi="Times New Roman" w:cs="Times New Roman"/>
          <w:i/>
          <w:iCs/>
          <w:szCs w:val="24"/>
        </w:rPr>
      </w:pPr>
      <w:r w:rsidRPr="003874AC">
        <w:rPr>
          <w:rStyle w:val="Heading4Char"/>
        </w:rPr>
        <w:t xml:space="preserve"> </w:t>
      </w:r>
      <w:bookmarkStart w:id="126" w:name="_Toc220949712"/>
      <w:bookmarkStart w:id="127" w:name="_Toc221114312"/>
      <w:bookmarkStart w:id="128" w:name="_Toc221115335"/>
      <w:r w:rsidR="00574BCE">
        <w:rPr>
          <w:rStyle w:val="Heading4Char"/>
        </w:rPr>
        <w:t>Table</w:t>
      </w:r>
      <w:r w:rsidR="00374F83" w:rsidRPr="00CA122E">
        <w:rPr>
          <w:rStyle w:val="Heading4Char"/>
        </w:rPr>
        <w:t xml:space="preserve"> 31: Revenue expenditure on Natural Calamities during the years 1957-58 to 1967-68</w:t>
      </w:r>
      <w:bookmarkEnd w:id="126"/>
      <w:bookmarkEnd w:id="127"/>
      <w:bookmarkEnd w:id="128"/>
      <w:r w:rsidR="00374F83" w:rsidRPr="007245B0">
        <w:rPr>
          <w:rFonts w:ascii="Times New Roman" w:hAnsi="Times New Roman" w:cs="Times New Roman"/>
          <w:szCs w:val="24"/>
        </w:rPr>
        <w:br/>
      </w:r>
      <w:r w:rsidR="00374F83" w:rsidRPr="007245B0">
        <w:rPr>
          <w:rFonts w:ascii="Times New Roman" w:hAnsi="Times New Roman" w:cs="Times New Roman"/>
          <w:i/>
          <w:iCs/>
          <w:szCs w:val="24"/>
        </w:rPr>
        <w:t xml:space="preserve">                                                                                                                                                                (Rs. lakhs)</w:t>
      </w:r>
    </w:p>
    <w:p w14:paraId="17BB6F88" w14:textId="370CC4B5" w:rsidR="00374F83" w:rsidRPr="007245B0" w:rsidRDefault="00374F83" w:rsidP="003874AC">
      <w:pPr>
        <w:pStyle w:val="Sources"/>
      </w:pPr>
      <w:r w:rsidRPr="007245B0">
        <w:t>*Included under 'Punjab'.                                                                                                Source: State Finance Accounts</w:t>
      </w:r>
    </w:p>
    <w:p w14:paraId="0CB2755F" w14:textId="7FE323EC" w:rsidR="00374F83" w:rsidRPr="007245B0" w:rsidRDefault="00374F83" w:rsidP="003874AC">
      <w:pPr>
        <w:pStyle w:val="Sources"/>
      </w:pPr>
      <w:r w:rsidRPr="007245B0">
        <w:t>† Incurred by the erstwhile State of Bombay.                                                               Source: Fourth Finance Commissions Report.</w:t>
      </w:r>
    </w:p>
    <w:p w14:paraId="354D837F" w14:textId="77777777" w:rsidR="00374F83" w:rsidRPr="007245B0" w:rsidRDefault="00374F83" w:rsidP="00374F83">
      <w:pPr>
        <w:tabs>
          <w:tab w:val="left" w:pos="3306"/>
        </w:tabs>
        <w:ind w:left="360"/>
        <w:rPr>
          <w:rFonts w:ascii="Times New Roman" w:hAnsi="Times New Roman" w:cs="Times New Roman"/>
          <w:szCs w:val="24"/>
        </w:rPr>
      </w:pPr>
    </w:p>
    <w:p w14:paraId="36C8B65A" w14:textId="77777777" w:rsidR="00CA122E" w:rsidRDefault="00CA122E">
      <w:pPr>
        <w:rPr>
          <w:rFonts w:ascii="Times New Roman" w:eastAsiaTheme="majorEastAsia" w:hAnsi="Times New Roman" w:cs="Times New Roman"/>
          <w:b/>
          <w:bCs/>
        </w:rPr>
      </w:pPr>
      <w:r>
        <w:br w:type="page"/>
      </w:r>
    </w:p>
    <w:p w14:paraId="5205EE09" w14:textId="69AE874F" w:rsidR="00374F83" w:rsidRDefault="00574BCE" w:rsidP="003874AC">
      <w:pPr>
        <w:pStyle w:val="Heading4"/>
      </w:pPr>
      <w:bookmarkStart w:id="129" w:name="_Toc220949713"/>
      <w:bookmarkStart w:id="130" w:name="_Toc221114313"/>
      <w:bookmarkStart w:id="131" w:name="_Toc221115336"/>
      <w:r>
        <w:lastRenderedPageBreak/>
        <w:t>Table</w:t>
      </w:r>
      <w:r w:rsidR="00374F83" w:rsidRPr="003874AC">
        <w:t xml:space="preserve"> 32: Plan outlay in 1965-66 and 1968-69 and committed expenditure thereon in 1966-67 and 1969-70</w:t>
      </w:r>
      <w:bookmarkEnd w:id="129"/>
      <w:bookmarkEnd w:id="130"/>
      <w:bookmarkEnd w:id="131"/>
    </w:p>
    <w:p w14:paraId="58461F1F" w14:textId="77777777" w:rsidR="00CA122E" w:rsidRPr="00CA122E" w:rsidRDefault="00CA122E" w:rsidP="00CA122E">
      <w:pPr>
        <w:spacing w:after="0"/>
      </w:pPr>
    </w:p>
    <w:tbl>
      <w:tblPr>
        <w:tblStyle w:val="TableGrid"/>
        <w:tblW w:w="0" w:type="auto"/>
        <w:tblLook w:val="04A0" w:firstRow="1" w:lastRow="0" w:firstColumn="1" w:lastColumn="0" w:noHBand="0" w:noVBand="1"/>
      </w:tblPr>
      <w:tblGrid>
        <w:gridCol w:w="1548"/>
        <w:gridCol w:w="2082"/>
        <w:gridCol w:w="2394"/>
        <w:gridCol w:w="1447"/>
        <w:gridCol w:w="2082"/>
        <w:gridCol w:w="2394"/>
        <w:gridCol w:w="1451"/>
      </w:tblGrid>
      <w:tr w:rsidR="00374F83" w:rsidRPr="003874AC" w14:paraId="228B6ACF" w14:textId="77777777" w:rsidTr="00CA122E">
        <w:trPr>
          <w:trHeight w:val="227"/>
        </w:trPr>
        <w:tc>
          <w:tcPr>
            <w:tcW w:w="0" w:type="auto"/>
            <w:vAlign w:val="center"/>
            <w:hideMark/>
          </w:tcPr>
          <w:p w14:paraId="4889B58C" w14:textId="77777777" w:rsidR="00374F83" w:rsidRPr="00CA122E" w:rsidRDefault="00374F83" w:rsidP="00CA122E">
            <w:pPr>
              <w:pStyle w:val="NoSpacing"/>
              <w:jc w:val="center"/>
              <w:rPr>
                <w:rFonts w:ascii="Times New Roman" w:hAnsi="Times New Roman" w:cs="Times New Roman"/>
                <w:b/>
                <w:bCs/>
                <w:sz w:val="22"/>
                <w:szCs w:val="22"/>
              </w:rPr>
            </w:pPr>
            <w:r w:rsidRPr="00CA122E">
              <w:rPr>
                <w:rFonts w:ascii="Times New Roman" w:hAnsi="Times New Roman" w:cs="Times New Roman"/>
                <w:b/>
                <w:bCs/>
                <w:sz w:val="22"/>
                <w:szCs w:val="22"/>
              </w:rPr>
              <w:t>States</w:t>
            </w:r>
          </w:p>
        </w:tc>
        <w:tc>
          <w:tcPr>
            <w:tcW w:w="0" w:type="auto"/>
            <w:gridSpan w:val="3"/>
            <w:vAlign w:val="center"/>
            <w:hideMark/>
          </w:tcPr>
          <w:p w14:paraId="66069360" w14:textId="77777777" w:rsidR="00374F83" w:rsidRPr="00CA122E" w:rsidRDefault="00374F83" w:rsidP="00CA122E">
            <w:pPr>
              <w:pStyle w:val="NoSpacing"/>
              <w:jc w:val="center"/>
              <w:rPr>
                <w:rFonts w:ascii="Times New Roman" w:hAnsi="Times New Roman" w:cs="Times New Roman"/>
                <w:b/>
                <w:bCs/>
                <w:sz w:val="22"/>
                <w:szCs w:val="22"/>
              </w:rPr>
            </w:pPr>
            <w:r w:rsidRPr="00CA122E">
              <w:rPr>
                <w:rFonts w:ascii="Times New Roman" w:hAnsi="Times New Roman" w:cs="Times New Roman"/>
                <w:b/>
                <w:bCs/>
                <w:sz w:val="22"/>
                <w:szCs w:val="22"/>
              </w:rPr>
              <w:t>Committed expenditure of Third Plan</w:t>
            </w:r>
          </w:p>
        </w:tc>
        <w:tc>
          <w:tcPr>
            <w:tcW w:w="0" w:type="auto"/>
            <w:gridSpan w:val="3"/>
            <w:vAlign w:val="center"/>
            <w:hideMark/>
          </w:tcPr>
          <w:p w14:paraId="2550A9B6" w14:textId="77777777" w:rsidR="00374F83" w:rsidRPr="00CA122E" w:rsidRDefault="00374F83" w:rsidP="00CA122E">
            <w:pPr>
              <w:pStyle w:val="NoSpacing"/>
              <w:jc w:val="center"/>
              <w:rPr>
                <w:rFonts w:ascii="Times New Roman" w:hAnsi="Times New Roman" w:cs="Times New Roman"/>
                <w:b/>
                <w:bCs/>
                <w:sz w:val="22"/>
                <w:szCs w:val="22"/>
              </w:rPr>
            </w:pPr>
            <w:r w:rsidRPr="00CA122E">
              <w:rPr>
                <w:rFonts w:ascii="Times New Roman" w:hAnsi="Times New Roman" w:cs="Times New Roman"/>
                <w:b/>
                <w:bCs/>
                <w:sz w:val="22"/>
                <w:szCs w:val="22"/>
              </w:rPr>
              <w:t>Committed expenditure of three Annual Plans 1966-67, 1967-68 and 1968-69</w:t>
            </w:r>
          </w:p>
        </w:tc>
      </w:tr>
      <w:tr w:rsidR="00374F83" w:rsidRPr="003874AC" w14:paraId="7BC63CF4" w14:textId="77777777" w:rsidTr="00CA122E">
        <w:trPr>
          <w:trHeight w:val="227"/>
        </w:trPr>
        <w:tc>
          <w:tcPr>
            <w:tcW w:w="0" w:type="auto"/>
            <w:vAlign w:val="center"/>
            <w:hideMark/>
          </w:tcPr>
          <w:p w14:paraId="598D49CF" w14:textId="77777777" w:rsidR="00374F83" w:rsidRPr="00CA122E" w:rsidRDefault="00374F83" w:rsidP="00CA122E">
            <w:pPr>
              <w:pStyle w:val="NoSpacing"/>
              <w:jc w:val="center"/>
              <w:rPr>
                <w:rFonts w:ascii="Times New Roman" w:hAnsi="Times New Roman" w:cs="Times New Roman"/>
                <w:b/>
                <w:bCs/>
                <w:sz w:val="22"/>
                <w:szCs w:val="22"/>
              </w:rPr>
            </w:pPr>
          </w:p>
        </w:tc>
        <w:tc>
          <w:tcPr>
            <w:tcW w:w="0" w:type="auto"/>
            <w:vAlign w:val="center"/>
            <w:hideMark/>
          </w:tcPr>
          <w:p w14:paraId="1C557666" w14:textId="77777777" w:rsidR="00374F83" w:rsidRPr="00CA122E" w:rsidRDefault="00374F83" w:rsidP="00CA122E">
            <w:pPr>
              <w:pStyle w:val="NoSpacing"/>
              <w:jc w:val="center"/>
              <w:rPr>
                <w:rFonts w:ascii="Times New Roman" w:hAnsi="Times New Roman" w:cs="Times New Roman"/>
                <w:b/>
                <w:bCs/>
                <w:sz w:val="22"/>
                <w:szCs w:val="22"/>
              </w:rPr>
            </w:pPr>
            <w:r w:rsidRPr="00CA122E">
              <w:rPr>
                <w:rFonts w:ascii="Times New Roman" w:hAnsi="Times New Roman" w:cs="Times New Roman"/>
                <w:b/>
                <w:bCs/>
                <w:sz w:val="22"/>
                <w:szCs w:val="22"/>
              </w:rPr>
              <w:t>Revenue Plan outlay in 1965-66 (Rs. crores)</w:t>
            </w:r>
          </w:p>
        </w:tc>
        <w:tc>
          <w:tcPr>
            <w:tcW w:w="0" w:type="auto"/>
            <w:vAlign w:val="center"/>
            <w:hideMark/>
          </w:tcPr>
          <w:p w14:paraId="15ABE59F" w14:textId="77777777" w:rsidR="00374F83" w:rsidRPr="00CA122E" w:rsidRDefault="00374F83" w:rsidP="00CA122E">
            <w:pPr>
              <w:pStyle w:val="NoSpacing"/>
              <w:jc w:val="center"/>
              <w:rPr>
                <w:rFonts w:ascii="Times New Roman" w:hAnsi="Times New Roman" w:cs="Times New Roman"/>
                <w:b/>
                <w:bCs/>
                <w:sz w:val="22"/>
                <w:szCs w:val="22"/>
              </w:rPr>
            </w:pPr>
            <w:r w:rsidRPr="00CA122E">
              <w:rPr>
                <w:rFonts w:ascii="Times New Roman" w:hAnsi="Times New Roman" w:cs="Times New Roman"/>
                <w:b/>
                <w:bCs/>
                <w:sz w:val="22"/>
                <w:szCs w:val="22"/>
              </w:rPr>
              <w:t>Committed expenditure in 1966-67 (Rs. crores)</w:t>
            </w:r>
          </w:p>
        </w:tc>
        <w:tc>
          <w:tcPr>
            <w:tcW w:w="0" w:type="auto"/>
            <w:vAlign w:val="center"/>
            <w:hideMark/>
          </w:tcPr>
          <w:p w14:paraId="7E94D1EF" w14:textId="77777777" w:rsidR="00374F83" w:rsidRPr="00CA122E" w:rsidRDefault="00374F83" w:rsidP="00CA122E">
            <w:pPr>
              <w:pStyle w:val="NoSpacing"/>
              <w:jc w:val="center"/>
              <w:rPr>
                <w:rFonts w:ascii="Times New Roman" w:hAnsi="Times New Roman" w:cs="Times New Roman"/>
                <w:b/>
                <w:bCs/>
                <w:sz w:val="22"/>
                <w:szCs w:val="22"/>
              </w:rPr>
            </w:pPr>
            <w:r w:rsidRPr="00CA122E">
              <w:rPr>
                <w:rFonts w:ascii="Times New Roman" w:hAnsi="Times New Roman" w:cs="Times New Roman"/>
                <w:b/>
                <w:bCs/>
                <w:sz w:val="22"/>
                <w:szCs w:val="22"/>
              </w:rPr>
              <w:t>Per capita of Col. 2 (Rs.) (a)</w:t>
            </w:r>
          </w:p>
        </w:tc>
        <w:tc>
          <w:tcPr>
            <w:tcW w:w="0" w:type="auto"/>
            <w:vAlign w:val="center"/>
            <w:hideMark/>
          </w:tcPr>
          <w:p w14:paraId="2E46C17A" w14:textId="77777777" w:rsidR="00374F83" w:rsidRPr="00CA122E" w:rsidRDefault="00374F83" w:rsidP="00CA122E">
            <w:pPr>
              <w:pStyle w:val="NoSpacing"/>
              <w:jc w:val="center"/>
              <w:rPr>
                <w:rFonts w:ascii="Times New Roman" w:hAnsi="Times New Roman" w:cs="Times New Roman"/>
                <w:b/>
                <w:bCs/>
                <w:sz w:val="22"/>
                <w:szCs w:val="22"/>
              </w:rPr>
            </w:pPr>
            <w:r w:rsidRPr="00CA122E">
              <w:rPr>
                <w:rFonts w:ascii="Times New Roman" w:hAnsi="Times New Roman" w:cs="Times New Roman"/>
                <w:b/>
                <w:bCs/>
                <w:sz w:val="22"/>
                <w:szCs w:val="22"/>
              </w:rPr>
              <w:t>Revenue Plan outlay in 1968-69 (Rs. crores)</w:t>
            </w:r>
          </w:p>
        </w:tc>
        <w:tc>
          <w:tcPr>
            <w:tcW w:w="0" w:type="auto"/>
            <w:vAlign w:val="center"/>
            <w:hideMark/>
          </w:tcPr>
          <w:p w14:paraId="6B791E57" w14:textId="77777777" w:rsidR="00374F83" w:rsidRPr="00CA122E" w:rsidRDefault="00374F83" w:rsidP="00CA122E">
            <w:pPr>
              <w:pStyle w:val="NoSpacing"/>
              <w:jc w:val="center"/>
              <w:rPr>
                <w:rFonts w:ascii="Times New Roman" w:hAnsi="Times New Roman" w:cs="Times New Roman"/>
                <w:b/>
                <w:bCs/>
                <w:sz w:val="22"/>
                <w:szCs w:val="22"/>
              </w:rPr>
            </w:pPr>
            <w:r w:rsidRPr="00CA122E">
              <w:rPr>
                <w:rFonts w:ascii="Times New Roman" w:hAnsi="Times New Roman" w:cs="Times New Roman"/>
                <w:b/>
                <w:bCs/>
                <w:sz w:val="22"/>
                <w:szCs w:val="22"/>
              </w:rPr>
              <w:t>Committed expenditure in 1969-70 (Rs. crores)</w:t>
            </w:r>
          </w:p>
        </w:tc>
        <w:tc>
          <w:tcPr>
            <w:tcW w:w="0" w:type="auto"/>
            <w:vAlign w:val="center"/>
            <w:hideMark/>
          </w:tcPr>
          <w:p w14:paraId="208DD237" w14:textId="77777777" w:rsidR="00374F83" w:rsidRPr="00CA122E" w:rsidRDefault="00374F83" w:rsidP="00CA122E">
            <w:pPr>
              <w:pStyle w:val="NoSpacing"/>
              <w:jc w:val="center"/>
              <w:rPr>
                <w:rFonts w:ascii="Times New Roman" w:hAnsi="Times New Roman" w:cs="Times New Roman"/>
                <w:b/>
                <w:bCs/>
                <w:sz w:val="22"/>
                <w:szCs w:val="22"/>
              </w:rPr>
            </w:pPr>
            <w:r w:rsidRPr="00CA122E">
              <w:rPr>
                <w:rFonts w:ascii="Times New Roman" w:hAnsi="Times New Roman" w:cs="Times New Roman"/>
                <w:b/>
                <w:bCs/>
                <w:sz w:val="22"/>
                <w:szCs w:val="22"/>
              </w:rPr>
              <w:t>Per capita of Col. 5 (Rs.) (b)</w:t>
            </w:r>
          </w:p>
        </w:tc>
      </w:tr>
      <w:tr w:rsidR="00374F83" w:rsidRPr="003874AC" w14:paraId="72A60211" w14:textId="77777777" w:rsidTr="00CA122E">
        <w:trPr>
          <w:trHeight w:val="227"/>
        </w:trPr>
        <w:tc>
          <w:tcPr>
            <w:tcW w:w="0" w:type="auto"/>
            <w:vAlign w:val="center"/>
            <w:hideMark/>
          </w:tcPr>
          <w:p w14:paraId="7F1D4696" w14:textId="77777777" w:rsidR="00374F83" w:rsidRPr="00CA122E" w:rsidRDefault="00374F83" w:rsidP="00CA122E">
            <w:pPr>
              <w:pStyle w:val="NoSpacing"/>
              <w:jc w:val="center"/>
              <w:rPr>
                <w:rFonts w:ascii="Times New Roman" w:hAnsi="Times New Roman" w:cs="Times New Roman"/>
                <w:b/>
                <w:bCs/>
                <w:sz w:val="22"/>
                <w:szCs w:val="22"/>
              </w:rPr>
            </w:pPr>
          </w:p>
        </w:tc>
        <w:tc>
          <w:tcPr>
            <w:tcW w:w="0" w:type="auto"/>
            <w:vAlign w:val="center"/>
            <w:hideMark/>
          </w:tcPr>
          <w:p w14:paraId="2129E2B4" w14:textId="77777777" w:rsidR="00374F83" w:rsidRPr="00CA122E" w:rsidRDefault="00374F83" w:rsidP="00CA122E">
            <w:pPr>
              <w:pStyle w:val="NoSpacing"/>
              <w:jc w:val="center"/>
              <w:rPr>
                <w:rFonts w:ascii="Times New Roman" w:hAnsi="Times New Roman" w:cs="Times New Roman"/>
                <w:b/>
                <w:bCs/>
                <w:sz w:val="22"/>
                <w:szCs w:val="22"/>
              </w:rPr>
            </w:pPr>
            <w:r w:rsidRPr="00CA122E">
              <w:rPr>
                <w:rFonts w:ascii="Times New Roman" w:hAnsi="Times New Roman" w:cs="Times New Roman"/>
                <w:b/>
                <w:bCs/>
                <w:sz w:val="22"/>
                <w:szCs w:val="22"/>
              </w:rPr>
              <w:t>1</w:t>
            </w:r>
          </w:p>
        </w:tc>
        <w:tc>
          <w:tcPr>
            <w:tcW w:w="0" w:type="auto"/>
            <w:vAlign w:val="center"/>
            <w:hideMark/>
          </w:tcPr>
          <w:p w14:paraId="5EEAD0C1" w14:textId="77777777" w:rsidR="00374F83" w:rsidRPr="00CA122E" w:rsidRDefault="00374F83" w:rsidP="00CA122E">
            <w:pPr>
              <w:pStyle w:val="NoSpacing"/>
              <w:jc w:val="center"/>
              <w:rPr>
                <w:rFonts w:ascii="Times New Roman" w:hAnsi="Times New Roman" w:cs="Times New Roman"/>
                <w:b/>
                <w:bCs/>
                <w:sz w:val="22"/>
                <w:szCs w:val="22"/>
              </w:rPr>
            </w:pPr>
            <w:r w:rsidRPr="00CA122E">
              <w:rPr>
                <w:rFonts w:ascii="Times New Roman" w:hAnsi="Times New Roman" w:cs="Times New Roman"/>
                <w:b/>
                <w:bCs/>
                <w:sz w:val="22"/>
                <w:szCs w:val="22"/>
              </w:rPr>
              <w:t>2</w:t>
            </w:r>
          </w:p>
        </w:tc>
        <w:tc>
          <w:tcPr>
            <w:tcW w:w="0" w:type="auto"/>
            <w:vAlign w:val="center"/>
            <w:hideMark/>
          </w:tcPr>
          <w:p w14:paraId="7157733F" w14:textId="77777777" w:rsidR="00374F83" w:rsidRPr="00CA122E" w:rsidRDefault="00374F83" w:rsidP="00CA122E">
            <w:pPr>
              <w:pStyle w:val="NoSpacing"/>
              <w:jc w:val="center"/>
              <w:rPr>
                <w:rFonts w:ascii="Times New Roman" w:hAnsi="Times New Roman" w:cs="Times New Roman"/>
                <w:b/>
                <w:bCs/>
                <w:sz w:val="22"/>
                <w:szCs w:val="22"/>
              </w:rPr>
            </w:pPr>
            <w:r w:rsidRPr="00CA122E">
              <w:rPr>
                <w:rFonts w:ascii="Times New Roman" w:hAnsi="Times New Roman" w:cs="Times New Roman"/>
                <w:b/>
                <w:bCs/>
                <w:sz w:val="22"/>
                <w:szCs w:val="22"/>
              </w:rPr>
              <w:t>3</w:t>
            </w:r>
          </w:p>
        </w:tc>
        <w:tc>
          <w:tcPr>
            <w:tcW w:w="0" w:type="auto"/>
            <w:vAlign w:val="center"/>
            <w:hideMark/>
          </w:tcPr>
          <w:p w14:paraId="42ED30BF" w14:textId="77777777" w:rsidR="00374F83" w:rsidRPr="00CA122E" w:rsidRDefault="00374F83" w:rsidP="00CA122E">
            <w:pPr>
              <w:pStyle w:val="NoSpacing"/>
              <w:jc w:val="center"/>
              <w:rPr>
                <w:rFonts w:ascii="Times New Roman" w:hAnsi="Times New Roman" w:cs="Times New Roman"/>
                <w:b/>
                <w:bCs/>
                <w:sz w:val="22"/>
                <w:szCs w:val="22"/>
              </w:rPr>
            </w:pPr>
            <w:r w:rsidRPr="00CA122E">
              <w:rPr>
                <w:rFonts w:ascii="Times New Roman" w:hAnsi="Times New Roman" w:cs="Times New Roman"/>
                <w:b/>
                <w:bCs/>
                <w:sz w:val="22"/>
                <w:szCs w:val="22"/>
              </w:rPr>
              <w:t>4</w:t>
            </w:r>
          </w:p>
        </w:tc>
        <w:tc>
          <w:tcPr>
            <w:tcW w:w="0" w:type="auto"/>
            <w:vAlign w:val="center"/>
            <w:hideMark/>
          </w:tcPr>
          <w:p w14:paraId="2073E8C7" w14:textId="77777777" w:rsidR="00374F83" w:rsidRPr="00CA122E" w:rsidRDefault="00374F83" w:rsidP="00CA122E">
            <w:pPr>
              <w:pStyle w:val="NoSpacing"/>
              <w:jc w:val="center"/>
              <w:rPr>
                <w:rFonts w:ascii="Times New Roman" w:hAnsi="Times New Roman" w:cs="Times New Roman"/>
                <w:b/>
                <w:bCs/>
                <w:sz w:val="22"/>
                <w:szCs w:val="22"/>
              </w:rPr>
            </w:pPr>
            <w:r w:rsidRPr="00CA122E">
              <w:rPr>
                <w:rFonts w:ascii="Times New Roman" w:hAnsi="Times New Roman" w:cs="Times New Roman"/>
                <w:b/>
                <w:bCs/>
                <w:sz w:val="22"/>
                <w:szCs w:val="22"/>
              </w:rPr>
              <w:t>5</w:t>
            </w:r>
          </w:p>
        </w:tc>
        <w:tc>
          <w:tcPr>
            <w:tcW w:w="0" w:type="auto"/>
            <w:vAlign w:val="center"/>
            <w:hideMark/>
          </w:tcPr>
          <w:p w14:paraId="19B5E885" w14:textId="77777777" w:rsidR="00374F83" w:rsidRPr="00CA122E" w:rsidRDefault="00374F83" w:rsidP="00CA122E">
            <w:pPr>
              <w:pStyle w:val="NoSpacing"/>
              <w:jc w:val="center"/>
              <w:rPr>
                <w:rFonts w:ascii="Times New Roman" w:hAnsi="Times New Roman" w:cs="Times New Roman"/>
                <w:b/>
                <w:bCs/>
                <w:sz w:val="22"/>
                <w:szCs w:val="22"/>
              </w:rPr>
            </w:pPr>
            <w:r w:rsidRPr="00CA122E">
              <w:rPr>
                <w:rFonts w:ascii="Times New Roman" w:hAnsi="Times New Roman" w:cs="Times New Roman"/>
                <w:b/>
                <w:bCs/>
                <w:sz w:val="22"/>
                <w:szCs w:val="22"/>
              </w:rPr>
              <w:t>6</w:t>
            </w:r>
          </w:p>
        </w:tc>
      </w:tr>
      <w:tr w:rsidR="00374F83" w:rsidRPr="003874AC" w14:paraId="2DF84BC5" w14:textId="77777777" w:rsidTr="00CA122E">
        <w:trPr>
          <w:trHeight w:val="227"/>
        </w:trPr>
        <w:tc>
          <w:tcPr>
            <w:tcW w:w="0" w:type="auto"/>
            <w:hideMark/>
          </w:tcPr>
          <w:p w14:paraId="65AA3884" w14:textId="77777777" w:rsidR="00374F83" w:rsidRPr="003874AC" w:rsidRDefault="00374F83" w:rsidP="00B77C0B">
            <w:pPr>
              <w:pStyle w:val="NoSpacing"/>
              <w:rPr>
                <w:rFonts w:ascii="Times New Roman" w:hAnsi="Times New Roman" w:cs="Times New Roman"/>
                <w:sz w:val="22"/>
                <w:szCs w:val="22"/>
              </w:rPr>
            </w:pPr>
            <w:r w:rsidRPr="003874AC">
              <w:rPr>
                <w:rFonts w:ascii="Times New Roman" w:hAnsi="Times New Roman" w:cs="Times New Roman"/>
                <w:sz w:val="22"/>
                <w:szCs w:val="22"/>
              </w:rPr>
              <w:t>Andhra Pradesh</w:t>
            </w:r>
          </w:p>
        </w:tc>
        <w:tc>
          <w:tcPr>
            <w:tcW w:w="0" w:type="auto"/>
            <w:vAlign w:val="center"/>
            <w:hideMark/>
          </w:tcPr>
          <w:p w14:paraId="4E4700FC" w14:textId="77777777" w:rsidR="00374F83" w:rsidRPr="003874AC" w:rsidRDefault="00374F83" w:rsidP="00CA122E">
            <w:pPr>
              <w:pStyle w:val="NoSpacing"/>
              <w:jc w:val="center"/>
              <w:rPr>
                <w:rFonts w:ascii="Times New Roman" w:hAnsi="Times New Roman" w:cs="Times New Roman"/>
                <w:sz w:val="22"/>
                <w:szCs w:val="22"/>
              </w:rPr>
            </w:pPr>
            <w:r w:rsidRPr="003874AC">
              <w:rPr>
                <w:rFonts w:ascii="Times New Roman" w:hAnsi="Times New Roman" w:cs="Times New Roman"/>
                <w:sz w:val="22"/>
                <w:szCs w:val="22"/>
              </w:rPr>
              <w:t>30.10</w:t>
            </w:r>
          </w:p>
        </w:tc>
        <w:tc>
          <w:tcPr>
            <w:tcW w:w="0" w:type="auto"/>
            <w:vAlign w:val="center"/>
            <w:hideMark/>
          </w:tcPr>
          <w:p w14:paraId="14FDA601" w14:textId="77777777" w:rsidR="00374F83" w:rsidRPr="003874AC" w:rsidRDefault="00374F83" w:rsidP="00CA122E">
            <w:pPr>
              <w:pStyle w:val="NoSpacing"/>
              <w:jc w:val="center"/>
              <w:rPr>
                <w:rFonts w:ascii="Times New Roman" w:hAnsi="Times New Roman" w:cs="Times New Roman"/>
                <w:sz w:val="22"/>
                <w:szCs w:val="22"/>
              </w:rPr>
            </w:pPr>
            <w:r w:rsidRPr="003874AC">
              <w:rPr>
                <w:rFonts w:ascii="Times New Roman" w:hAnsi="Times New Roman" w:cs="Times New Roman"/>
                <w:sz w:val="22"/>
                <w:szCs w:val="22"/>
              </w:rPr>
              <w:t>15.03</w:t>
            </w:r>
          </w:p>
        </w:tc>
        <w:tc>
          <w:tcPr>
            <w:tcW w:w="0" w:type="auto"/>
            <w:vAlign w:val="center"/>
            <w:hideMark/>
          </w:tcPr>
          <w:p w14:paraId="61D641C3" w14:textId="77777777" w:rsidR="00374F83" w:rsidRPr="003874AC" w:rsidRDefault="00374F83" w:rsidP="00CA122E">
            <w:pPr>
              <w:pStyle w:val="NoSpacing"/>
              <w:jc w:val="center"/>
              <w:rPr>
                <w:rFonts w:ascii="Times New Roman" w:hAnsi="Times New Roman" w:cs="Times New Roman"/>
                <w:sz w:val="22"/>
                <w:szCs w:val="22"/>
              </w:rPr>
            </w:pPr>
            <w:r w:rsidRPr="003874AC">
              <w:rPr>
                <w:rFonts w:ascii="Times New Roman" w:hAnsi="Times New Roman" w:cs="Times New Roman"/>
                <w:sz w:val="22"/>
                <w:szCs w:val="22"/>
              </w:rPr>
              <w:t>3.80</w:t>
            </w:r>
          </w:p>
        </w:tc>
        <w:tc>
          <w:tcPr>
            <w:tcW w:w="0" w:type="auto"/>
            <w:vAlign w:val="center"/>
            <w:hideMark/>
          </w:tcPr>
          <w:p w14:paraId="73A5C807" w14:textId="77777777" w:rsidR="00374F83" w:rsidRPr="003874AC" w:rsidRDefault="00374F83" w:rsidP="00CA122E">
            <w:pPr>
              <w:pStyle w:val="NoSpacing"/>
              <w:jc w:val="center"/>
              <w:rPr>
                <w:rFonts w:ascii="Times New Roman" w:hAnsi="Times New Roman" w:cs="Times New Roman"/>
                <w:sz w:val="22"/>
                <w:szCs w:val="22"/>
              </w:rPr>
            </w:pPr>
            <w:r w:rsidRPr="003874AC">
              <w:rPr>
                <w:rFonts w:ascii="Times New Roman" w:hAnsi="Times New Roman" w:cs="Times New Roman"/>
                <w:sz w:val="22"/>
                <w:szCs w:val="22"/>
              </w:rPr>
              <w:t>20.38</w:t>
            </w:r>
          </w:p>
        </w:tc>
        <w:tc>
          <w:tcPr>
            <w:tcW w:w="0" w:type="auto"/>
            <w:vAlign w:val="center"/>
            <w:hideMark/>
          </w:tcPr>
          <w:p w14:paraId="39F7ADDA" w14:textId="77777777" w:rsidR="00374F83" w:rsidRPr="003874AC" w:rsidRDefault="00374F83" w:rsidP="00CA122E">
            <w:pPr>
              <w:pStyle w:val="NoSpacing"/>
              <w:jc w:val="center"/>
              <w:rPr>
                <w:rFonts w:ascii="Times New Roman" w:hAnsi="Times New Roman" w:cs="Times New Roman"/>
                <w:sz w:val="22"/>
                <w:szCs w:val="22"/>
              </w:rPr>
            </w:pPr>
            <w:r w:rsidRPr="003874AC">
              <w:rPr>
                <w:rFonts w:ascii="Times New Roman" w:hAnsi="Times New Roman" w:cs="Times New Roman"/>
                <w:sz w:val="22"/>
                <w:szCs w:val="22"/>
              </w:rPr>
              <w:t>11.19</w:t>
            </w:r>
          </w:p>
        </w:tc>
        <w:tc>
          <w:tcPr>
            <w:tcW w:w="0" w:type="auto"/>
            <w:vAlign w:val="center"/>
            <w:hideMark/>
          </w:tcPr>
          <w:p w14:paraId="6DD56107" w14:textId="77777777" w:rsidR="00374F83" w:rsidRPr="003874AC" w:rsidRDefault="00374F83" w:rsidP="00CA122E">
            <w:pPr>
              <w:pStyle w:val="NoSpacing"/>
              <w:jc w:val="center"/>
              <w:rPr>
                <w:rFonts w:ascii="Times New Roman" w:hAnsi="Times New Roman" w:cs="Times New Roman"/>
                <w:sz w:val="22"/>
                <w:szCs w:val="22"/>
              </w:rPr>
            </w:pPr>
            <w:r w:rsidRPr="003874AC">
              <w:rPr>
                <w:rFonts w:ascii="Times New Roman" w:hAnsi="Times New Roman" w:cs="Times New Roman"/>
                <w:sz w:val="22"/>
                <w:szCs w:val="22"/>
              </w:rPr>
              <w:t>2.66</w:t>
            </w:r>
          </w:p>
        </w:tc>
      </w:tr>
      <w:tr w:rsidR="00374F83" w:rsidRPr="003874AC" w14:paraId="41BCE402" w14:textId="77777777" w:rsidTr="00CA122E">
        <w:trPr>
          <w:trHeight w:val="227"/>
        </w:trPr>
        <w:tc>
          <w:tcPr>
            <w:tcW w:w="0" w:type="auto"/>
            <w:hideMark/>
          </w:tcPr>
          <w:p w14:paraId="297F92B8" w14:textId="77777777" w:rsidR="00374F83" w:rsidRPr="003874AC" w:rsidRDefault="00374F83" w:rsidP="00B77C0B">
            <w:pPr>
              <w:pStyle w:val="NoSpacing"/>
              <w:rPr>
                <w:rFonts w:ascii="Times New Roman" w:hAnsi="Times New Roman" w:cs="Times New Roman"/>
                <w:sz w:val="22"/>
                <w:szCs w:val="22"/>
              </w:rPr>
            </w:pPr>
            <w:r w:rsidRPr="003874AC">
              <w:rPr>
                <w:rFonts w:ascii="Times New Roman" w:hAnsi="Times New Roman" w:cs="Times New Roman"/>
                <w:sz w:val="22"/>
                <w:szCs w:val="22"/>
              </w:rPr>
              <w:t>Assam</w:t>
            </w:r>
          </w:p>
        </w:tc>
        <w:tc>
          <w:tcPr>
            <w:tcW w:w="0" w:type="auto"/>
            <w:vAlign w:val="center"/>
            <w:hideMark/>
          </w:tcPr>
          <w:p w14:paraId="1E2C61A1" w14:textId="77777777" w:rsidR="00374F83" w:rsidRPr="003874AC" w:rsidRDefault="00374F83" w:rsidP="00CA122E">
            <w:pPr>
              <w:pStyle w:val="NoSpacing"/>
              <w:jc w:val="center"/>
              <w:rPr>
                <w:rFonts w:ascii="Times New Roman" w:hAnsi="Times New Roman" w:cs="Times New Roman"/>
                <w:sz w:val="22"/>
                <w:szCs w:val="22"/>
              </w:rPr>
            </w:pPr>
            <w:r w:rsidRPr="003874AC">
              <w:rPr>
                <w:rFonts w:ascii="Times New Roman" w:hAnsi="Times New Roman" w:cs="Times New Roman"/>
                <w:sz w:val="22"/>
                <w:szCs w:val="22"/>
              </w:rPr>
              <w:t>16.06</w:t>
            </w:r>
          </w:p>
        </w:tc>
        <w:tc>
          <w:tcPr>
            <w:tcW w:w="0" w:type="auto"/>
            <w:vAlign w:val="center"/>
            <w:hideMark/>
          </w:tcPr>
          <w:p w14:paraId="27AA2D97" w14:textId="77777777" w:rsidR="00374F83" w:rsidRPr="003874AC" w:rsidRDefault="00374F83" w:rsidP="00CA122E">
            <w:pPr>
              <w:pStyle w:val="NoSpacing"/>
              <w:jc w:val="center"/>
              <w:rPr>
                <w:rFonts w:ascii="Times New Roman" w:hAnsi="Times New Roman" w:cs="Times New Roman"/>
                <w:sz w:val="22"/>
                <w:szCs w:val="22"/>
              </w:rPr>
            </w:pPr>
            <w:r w:rsidRPr="003874AC">
              <w:rPr>
                <w:rFonts w:ascii="Times New Roman" w:hAnsi="Times New Roman" w:cs="Times New Roman"/>
                <w:sz w:val="22"/>
                <w:szCs w:val="22"/>
              </w:rPr>
              <w:t>6.57</w:t>
            </w:r>
          </w:p>
        </w:tc>
        <w:tc>
          <w:tcPr>
            <w:tcW w:w="0" w:type="auto"/>
            <w:vAlign w:val="center"/>
            <w:hideMark/>
          </w:tcPr>
          <w:p w14:paraId="46A3B400" w14:textId="77777777" w:rsidR="00374F83" w:rsidRPr="003874AC" w:rsidRDefault="00374F83" w:rsidP="00CA122E">
            <w:pPr>
              <w:pStyle w:val="NoSpacing"/>
              <w:jc w:val="center"/>
              <w:rPr>
                <w:rFonts w:ascii="Times New Roman" w:hAnsi="Times New Roman" w:cs="Times New Roman"/>
                <w:sz w:val="22"/>
                <w:szCs w:val="22"/>
              </w:rPr>
            </w:pPr>
            <w:r w:rsidRPr="003874AC">
              <w:rPr>
                <w:rFonts w:ascii="Times New Roman" w:hAnsi="Times New Roman" w:cs="Times New Roman"/>
                <w:sz w:val="22"/>
                <w:szCs w:val="22"/>
              </w:rPr>
              <w:t>4.79</w:t>
            </w:r>
          </w:p>
        </w:tc>
        <w:tc>
          <w:tcPr>
            <w:tcW w:w="0" w:type="auto"/>
            <w:vAlign w:val="center"/>
            <w:hideMark/>
          </w:tcPr>
          <w:p w14:paraId="113D3C0B" w14:textId="77777777" w:rsidR="00374F83" w:rsidRPr="003874AC" w:rsidRDefault="00374F83" w:rsidP="00CA122E">
            <w:pPr>
              <w:pStyle w:val="NoSpacing"/>
              <w:jc w:val="center"/>
              <w:rPr>
                <w:rFonts w:ascii="Times New Roman" w:hAnsi="Times New Roman" w:cs="Times New Roman"/>
                <w:sz w:val="22"/>
                <w:szCs w:val="22"/>
              </w:rPr>
            </w:pPr>
            <w:r w:rsidRPr="003874AC">
              <w:rPr>
                <w:rFonts w:ascii="Times New Roman" w:hAnsi="Times New Roman" w:cs="Times New Roman"/>
                <w:sz w:val="22"/>
                <w:szCs w:val="22"/>
              </w:rPr>
              <w:t>15.06</w:t>
            </w:r>
          </w:p>
        </w:tc>
        <w:tc>
          <w:tcPr>
            <w:tcW w:w="0" w:type="auto"/>
            <w:vAlign w:val="center"/>
            <w:hideMark/>
          </w:tcPr>
          <w:p w14:paraId="753535E1" w14:textId="77777777" w:rsidR="00374F83" w:rsidRPr="003874AC" w:rsidRDefault="00374F83" w:rsidP="00CA122E">
            <w:pPr>
              <w:pStyle w:val="NoSpacing"/>
              <w:jc w:val="center"/>
              <w:rPr>
                <w:rFonts w:ascii="Times New Roman" w:hAnsi="Times New Roman" w:cs="Times New Roman"/>
                <w:sz w:val="22"/>
                <w:szCs w:val="22"/>
              </w:rPr>
            </w:pPr>
            <w:r w:rsidRPr="003874AC">
              <w:rPr>
                <w:rFonts w:ascii="Times New Roman" w:hAnsi="Times New Roman" w:cs="Times New Roman"/>
                <w:sz w:val="22"/>
                <w:szCs w:val="22"/>
              </w:rPr>
              <w:t>5.18</w:t>
            </w:r>
          </w:p>
        </w:tc>
        <w:tc>
          <w:tcPr>
            <w:tcW w:w="0" w:type="auto"/>
            <w:vAlign w:val="center"/>
            <w:hideMark/>
          </w:tcPr>
          <w:p w14:paraId="1560E84F" w14:textId="77777777" w:rsidR="00374F83" w:rsidRPr="003874AC" w:rsidRDefault="00374F83" w:rsidP="00CA122E">
            <w:pPr>
              <w:pStyle w:val="NoSpacing"/>
              <w:jc w:val="center"/>
              <w:rPr>
                <w:rFonts w:ascii="Times New Roman" w:hAnsi="Times New Roman" w:cs="Times New Roman"/>
                <w:sz w:val="22"/>
                <w:szCs w:val="22"/>
              </w:rPr>
            </w:pPr>
            <w:r w:rsidRPr="003874AC">
              <w:rPr>
                <w:rFonts w:ascii="Times New Roman" w:hAnsi="Times New Roman" w:cs="Times New Roman"/>
                <w:sz w:val="22"/>
                <w:szCs w:val="22"/>
              </w:rPr>
              <w:t>3.44</w:t>
            </w:r>
          </w:p>
        </w:tc>
      </w:tr>
      <w:tr w:rsidR="00374F83" w:rsidRPr="003874AC" w14:paraId="459606FB" w14:textId="77777777" w:rsidTr="00CA122E">
        <w:trPr>
          <w:trHeight w:val="227"/>
        </w:trPr>
        <w:tc>
          <w:tcPr>
            <w:tcW w:w="0" w:type="auto"/>
            <w:hideMark/>
          </w:tcPr>
          <w:p w14:paraId="0683FB3E" w14:textId="77777777" w:rsidR="00374F83" w:rsidRPr="003874AC" w:rsidRDefault="00374F83" w:rsidP="00B77C0B">
            <w:pPr>
              <w:pStyle w:val="NoSpacing"/>
              <w:rPr>
                <w:rFonts w:ascii="Times New Roman" w:hAnsi="Times New Roman" w:cs="Times New Roman"/>
                <w:sz w:val="22"/>
                <w:szCs w:val="22"/>
              </w:rPr>
            </w:pPr>
            <w:r w:rsidRPr="003874AC">
              <w:rPr>
                <w:rFonts w:ascii="Times New Roman" w:hAnsi="Times New Roman" w:cs="Times New Roman"/>
                <w:sz w:val="22"/>
                <w:szCs w:val="22"/>
              </w:rPr>
              <w:t>Bihar</w:t>
            </w:r>
          </w:p>
        </w:tc>
        <w:tc>
          <w:tcPr>
            <w:tcW w:w="0" w:type="auto"/>
            <w:vAlign w:val="center"/>
            <w:hideMark/>
          </w:tcPr>
          <w:p w14:paraId="104A3D30" w14:textId="77777777" w:rsidR="00374F83" w:rsidRPr="003874AC" w:rsidRDefault="00374F83" w:rsidP="00CA122E">
            <w:pPr>
              <w:pStyle w:val="NoSpacing"/>
              <w:jc w:val="center"/>
              <w:rPr>
                <w:rFonts w:ascii="Times New Roman" w:hAnsi="Times New Roman" w:cs="Times New Roman"/>
                <w:sz w:val="22"/>
                <w:szCs w:val="22"/>
              </w:rPr>
            </w:pPr>
            <w:r w:rsidRPr="003874AC">
              <w:rPr>
                <w:rFonts w:ascii="Times New Roman" w:hAnsi="Times New Roman" w:cs="Times New Roman"/>
                <w:sz w:val="22"/>
                <w:szCs w:val="22"/>
              </w:rPr>
              <w:t>28.57</w:t>
            </w:r>
          </w:p>
        </w:tc>
        <w:tc>
          <w:tcPr>
            <w:tcW w:w="0" w:type="auto"/>
            <w:vAlign w:val="center"/>
            <w:hideMark/>
          </w:tcPr>
          <w:p w14:paraId="0B1A0EBE" w14:textId="77777777" w:rsidR="00374F83" w:rsidRPr="003874AC" w:rsidRDefault="00374F83" w:rsidP="00CA122E">
            <w:pPr>
              <w:pStyle w:val="NoSpacing"/>
              <w:jc w:val="center"/>
              <w:rPr>
                <w:rFonts w:ascii="Times New Roman" w:hAnsi="Times New Roman" w:cs="Times New Roman"/>
                <w:sz w:val="22"/>
                <w:szCs w:val="22"/>
              </w:rPr>
            </w:pPr>
            <w:r w:rsidRPr="003874AC">
              <w:rPr>
                <w:rFonts w:ascii="Times New Roman" w:hAnsi="Times New Roman" w:cs="Times New Roman"/>
                <w:sz w:val="22"/>
                <w:szCs w:val="22"/>
              </w:rPr>
              <w:t>12.00</w:t>
            </w:r>
          </w:p>
        </w:tc>
        <w:tc>
          <w:tcPr>
            <w:tcW w:w="0" w:type="auto"/>
            <w:vAlign w:val="center"/>
            <w:hideMark/>
          </w:tcPr>
          <w:p w14:paraId="01B43A43" w14:textId="77777777" w:rsidR="00374F83" w:rsidRPr="003874AC" w:rsidRDefault="00374F83" w:rsidP="00CA122E">
            <w:pPr>
              <w:pStyle w:val="NoSpacing"/>
              <w:jc w:val="center"/>
              <w:rPr>
                <w:rFonts w:ascii="Times New Roman" w:hAnsi="Times New Roman" w:cs="Times New Roman"/>
                <w:sz w:val="22"/>
                <w:szCs w:val="22"/>
              </w:rPr>
            </w:pPr>
            <w:r w:rsidRPr="003874AC">
              <w:rPr>
                <w:rFonts w:ascii="Times New Roman" w:hAnsi="Times New Roman" w:cs="Times New Roman"/>
                <w:sz w:val="22"/>
                <w:szCs w:val="22"/>
              </w:rPr>
              <w:t>2.30</w:t>
            </w:r>
          </w:p>
        </w:tc>
        <w:tc>
          <w:tcPr>
            <w:tcW w:w="0" w:type="auto"/>
            <w:vAlign w:val="center"/>
            <w:hideMark/>
          </w:tcPr>
          <w:p w14:paraId="7A2BC865" w14:textId="77777777" w:rsidR="00374F83" w:rsidRPr="003874AC" w:rsidRDefault="00374F83" w:rsidP="00CA122E">
            <w:pPr>
              <w:pStyle w:val="NoSpacing"/>
              <w:jc w:val="center"/>
              <w:rPr>
                <w:rFonts w:ascii="Times New Roman" w:hAnsi="Times New Roman" w:cs="Times New Roman"/>
                <w:sz w:val="22"/>
                <w:szCs w:val="22"/>
              </w:rPr>
            </w:pPr>
            <w:r w:rsidRPr="003874AC">
              <w:rPr>
                <w:rFonts w:ascii="Times New Roman" w:hAnsi="Times New Roman" w:cs="Times New Roman"/>
                <w:sz w:val="22"/>
                <w:szCs w:val="22"/>
              </w:rPr>
              <w:t>23.92</w:t>
            </w:r>
          </w:p>
        </w:tc>
        <w:tc>
          <w:tcPr>
            <w:tcW w:w="0" w:type="auto"/>
            <w:vAlign w:val="center"/>
            <w:hideMark/>
          </w:tcPr>
          <w:p w14:paraId="7CB3C366" w14:textId="77777777" w:rsidR="00374F83" w:rsidRPr="003874AC" w:rsidRDefault="00374F83" w:rsidP="00CA122E">
            <w:pPr>
              <w:pStyle w:val="NoSpacing"/>
              <w:jc w:val="center"/>
              <w:rPr>
                <w:rFonts w:ascii="Times New Roman" w:hAnsi="Times New Roman" w:cs="Times New Roman"/>
                <w:sz w:val="22"/>
                <w:szCs w:val="22"/>
              </w:rPr>
            </w:pPr>
            <w:r w:rsidRPr="003874AC">
              <w:rPr>
                <w:rFonts w:ascii="Times New Roman" w:hAnsi="Times New Roman" w:cs="Times New Roman"/>
                <w:sz w:val="22"/>
                <w:szCs w:val="22"/>
              </w:rPr>
              <w:t>6.93</w:t>
            </w:r>
          </w:p>
        </w:tc>
        <w:tc>
          <w:tcPr>
            <w:tcW w:w="0" w:type="auto"/>
            <w:vAlign w:val="center"/>
            <w:hideMark/>
          </w:tcPr>
          <w:p w14:paraId="175C28CD" w14:textId="77777777" w:rsidR="00374F83" w:rsidRPr="003874AC" w:rsidRDefault="00374F83" w:rsidP="00CA122E">
            <w:pPr>
              <w:pStyle w:val="NoSpacing"/>
              <w:jc w:val="center"/>
              <w:rPr>
                <w:rFonts w:ascii="Times New Roman" w:hAnsi="Times New Roman" w:cs="Times New Roman"/>
                <w:sz w:val="22"/>
                <w:szCs w:val="22"/>
              </w:rPr>
            </w:pPr>
            <w:r w:rsidRPr="003874AC">
              <w:rPr>
                <w:rFonts w:ascii="Times New Roman" w:hAnsi="Times New Roman" w:cs="Times New Roman"/>
                <w:sz w:val="22"/>
                <w:szCs w:val="22"/>
              </w:rPr>
              <w:t>1.24</w:t>
            </w:r>
          </w:p>
        </w:tc>
      </w:tr>
      <w:tr w:rsidR="00374F83" w:rsidRPr="003874AC" w14:paraId="1FD538E6" w14:textId="77777777" w:rsidTr="00CA122E">
        <w:trPr>
          <w:trHeight w:val="227"/>
        </w:trPr>
        <w:tc>
          <w:tcPr>
            <w:tcW w:w="0" w:type="auto"/>
            <w:hideMark/>
          </w:tcPr>
          <w:p w14:paraId="2796A21A" w14:textId="77777777" w:rsidR="00374F83" w:rsidRPr="003874AC" w:rsidRDefault="00374F83" w:rsidP="00B77C0B">
            <w:pPr>
              <w:pStyle w:val="NoSpacing"/>
              <w:rPr>
                <w:rFonts w:ascii="Times New Roman" w:hAnsi="Times New Roman" w:cs="Times New Roman"/>
                <w:sz w:val="22"/>
                <w:szCs w:val="22"/>
              </w:rPr>
            </w:pPr>
            <w:r w:rsidRPr="003874AC">
              <w:rPr>
                <w:rFonts w:ascii="Times New Roman" w:hAnsi="Times New Roman" w:cs="Times New Roman"/>
                <w:sz w:val="22"/>
                <w:szCs w:val="22"/>
              </w:rPr>
              <w:t>Gujarat</w:t>
            </w:r>
          </w:p>
        </w:tc>
        <w:tc>
          <w:tcPr>
            <w:tcW w:w="0" w:type="auto"/>
            <w:vAlign w:val="center"/>
            <w:hideMark/>
          </w:tcPr>
          <w:p w14:paraId="58D58DE5" w14:textId="77777777" w:rsidR="00374F83" w:rsidRPr="003874AC" w:rsidRDefault="00374F83" w:rsidP="00CA122E">
            <w:pPr>
              <w:pStyle w:val="NoSpacing"/>
              <w:jc w:val="center"/>
              <w:rPr>
                <w:rFonts w:ascii="Times New Roman" w:hAnsi="Times New Roman" w:cs="Times New Roman"/>
                <w:sz w:val="22"/>
                <w:szCs w:val="22"/>
              </w:rPr>
            </w:pPr>
            <w:r w:rsidRPr="003874AC">
              <w:rPr>
                <w:rFonts w:ascii="Times New Roman" w:hAnsi="Times New Roman" w:cs="Times New Roman"/>
                <w:sz w:val="22"/>
                <w:szCs w:val="22"/>
              </w:rPr>
              <w:t>23.44</w:t>
            </w:r>
          </w:p>
        </w:tc>
        <w:tc>
          <w:tcPr>
            <w:tcW w:w="0" w:type="auto"/>
            <w:vAlign w:val="center"/>
            <w:hideMark/>
          </w:tcPr>
          <w:p w14:paraId="13B16ADA" w14:textId="77777777" w:rsidR="00374F83" w:rsidRPr="003874AC" w:rsidRDefault="00374F83" w:rsidP="00CA122E">
            <w:pPr>
              <w:pStyle w:val="NoSpacing"/>
              <w:jc w:val="center"/>
              <w:rPr>
                <w:rFonts w:ascii="Times New Roman" w:hAnsi="Times New Roman" w:cs="Times New Roman"/>
                <w:sz w:val="22"/>
                <w:szCs w:val="22"/>
              </w:rPr>
            </w:pPr>
            <w:r w:rsidRPr="003874AC">
              <w:rPr>
                <w:rFonts w:ascii="Times New Roman" w:hAnsi="Times New Roman" w:cs="Times New Roman"/>
                <w:sz w:val="22"/>
                <w:szCs w:val="22"/>
              </w:rPr>
              <w:t>10.43</w:t>
            </w:r>
          </w:p>
        </w:tc>
        <w:tc>
          <w:tcPr>
            <w:tcW w:w="0" w:type="auto"/>
            <w:vAlign w:val="center"/>
            <w:hideMark/>
          </w:tcPr>
          <w:p w14:paraId="185CECD0" w14:textId="77777777" w:rsidR="00374F83" w:rsidRPr="003874AC" w:rsidRDefault="00374F83" w:rsidP="00CA122E">
            <w:pPr>
              <w:pStyle w:val="NoSpacing"/>
              <w:jc w:val="center"/>
              <w:rPr>
                <w:rFonts w:ascii="Times New Roman" w:hAnsi="Times New Roman" w:cs="Times New Roman"/>
                <w:sz w:val="22"/>
                <w:szCs w:val="22"/>
              </w:rPr>
            </w:pPr>
            <w:r w:rsidRPr="003874AC">
              <w:rPr>
                <w:rFonts w:ascii="Times New Roman" w:hAnsi="Times New Roman" w:cs="Times New Roman"/>
                <w:sz w:val="22"/>
                <w:szCs w:val="22"/>
              </w:rPr>
              <w:t>4.42</w:t>
            </w:r>
          </w:p>
        </w:tc>
        <w:tc>
          <w:tcPr>
            <w:tcW w:w="0" w:type="auto"/>
            <w:vAlign w:val="center"/>
            <w:hideMark/>
          </w:tcPr>
          <w:p w14:paraId="3FF5A335" w14:textId="77777777" w:rsidR="00374F83" w:rsidRPr="003874AC" w:rsidRDefault="00374F83" w:rsidP="00CA122E">
            <w:pPr>
              <w:pStyle w:val="NoSpacing"/>
              <w:jc w:val="center"/>
              <w:rPr>
                <w:rFonts w:ascii="Times New Roman" w:hAnsi="Times New Roman" w:cs="Times New Roman"/>
                <w:sz w:val="22"/>
                <w:szCs w:val="22"/>
              </w:rPr>
            </w:pPr>
            <w:r w:rsidRPr="003874AC">
              <w:rPr>
                <w:rFonts w:ascii="Times New Roman" w:hAnsi="Times New Roman" w:cs="Times New Roman"/>
                <w:sz w:val="22"/>
                <w:szCs w:val="22"/>
              </w:rPr>
              <w:t>29.66</w:t>
            </w:r>
          </w:p>
        </w:tc>
        <w:tc>
          <w:tcPr>
            <w:tcW w:w="0" w:type="auto"/>
            <w:vAlign w:val="center"/>
            <w:hideMark/>
          </w:tcPr>
          <w:p w14:paraId="4D82F235" w14:textId="77777777" w:rsidR="00374F83" w:rsidRPr="003874AC" w:rsidRDefault="00374F83" w:rsidP="00CA122E">
            <w:pPr>
              <w:pStyle w:val="NoSpacing"/>
              <w:jc w:val="center"/>
              <w:rPr>
                <w:rFonts w:ascii="Times New Roman" w:hAnsi="Times New Roman" w:cs="Times New Roman"/>
                <w:sz w:val="22"/>
                <w:szCs w:val="22"/>
              </w:rPr>
            </w:pPr>
            <w:r w:rsidRPr="003874AC">
              <w:rPr>
                <w:rFonts w:ascii="Times New Roman" w:hAnsi="Times New Roman" w:cs="Times New Roman"/>
                <w:sz w:val="22"/>
                <w:szCs w:val="22"/>
              </w:rPr>
              <w:t>8.34</w:t>
            </w:r>
          </w:p>
        </w:tc>
        <w:tc>
          <w:tcPr>
            <w:tcW w:w="0" w:type="auto"/>
            <w:vAlign w:val="center"/>
            <w:hideMark/>
          </w:tcPr>
          <w:p w14:paraId="3392BFCF" w14:textId="77777777" w:rsidR="00374F83" w:rsidRPr="003874AC" w:rsidRDefault="00374F83" w:rsidP="00CA122E">
            <w:pPr>
              <w:pStyle w:val="NoSpacing"/>
              <w:jc w:val="center"/>
              <w:rPr>
                <w:rFonts w:ascii="Times New Roman" w:hAnsi="Times New Roman" w:cs="Times New Roman"/>
                <w:sz w:val="22"/>
                <w:szCs w:val="22"/>
              </w:rPr>
            </w:pPr>
            <w:r w:rsidRPr="003874AC">
              <w:rPr>
                <w:rFonts w:ascii="Times New Roman" w:hAnsi="Times New Roman" w:cs="Times New Roman"/>
                <w:sz w:val="22"/>
                <w:szCs w:val="22"/>
              </w:rPr>
              <w:t>3.25</w:t>
            </w:r>
          </w:p>
        </w:tc>
      </w:tr>
      <w:tr w:rsidR="006B6440" w:rsidRPr="003874AC" w14:paraId="72163960" w14:textId="77777777" w:rsidTr="00CA122E">
        <w:trPr>
          <w:trHeight w:val="227"/>
        </w:trPr>
        <w:tc>
          <w:tcPr>
            <w:tcW w:w="0" w:type="auto"/>
            <w:hideMark/>
          </w:tcPr>
          <w:p w14:paraId="51F49B15" w14:textId="77777777" w:rsidR="006B6440" w:rsidRPr="003874AC" w:rsidRDefault="006B6440" w:rsidP="00B77C0B">
            <w:pPr>
              <w:pStyle w:val="NoSpacing"/>
              <w:rPr>
                <w:rFonts w:ascii="Times New Roman" w:hAnsi="Times New Roman" w:cs="Times New Roman"/>
                <w:sz w:val="22"/>
                <w:szCs w:val="22"/>
              </w:rPr>
            </w:pPr>
            <w:r w:rsidRPr="003874AC">
              <w:rPr>
                <w:rFonts w:ascii="Times New Roman" w:hAnsi="Times New Roman" w:cs="Times New Roman"/>
                <w:sz w:val="22"/>
                <w:szCs w:val="22"/>
              </w:rPr>
              <w:t>Haryana</w:t>
            </w:r>
          </w:p>
        </w:tc>
        <w:tc>
          <w:tcPr>
            <w:tcW w:w="0" w:type="auto"/>
            <w:gridSpan w:val="3"/>
            <w:vAlign w:val="center"/>
            <w:hideMark/>
          </w:tcPr>
          <w:p w14:paraId="3BEDF9D7" w14:textId="7DA8BDBC" w:rsidR="006B6440" w:rsidRPr="003874AC" w:rsidRDefault="006B6440" w:rsidP="00CA122E">
            <w:pPr>
              <w:pStyle w:val="NoSpacing"/>
              <w:jc w:val="center"/>
              <w:rPr>
                <w:rFonts w:ascii="Times New Roman" w:hAnsi="Times New Roman" w:cs="Times New Roman"/>
                <w:sz w:val="22"/>
                <w:szCs w:val="22"/>
              </w:rPr>
            </w:pPr>
          </w:p>
          <w:p w14:paraId="4662DA6F" w14:textId="5962BCB3" w:rsidR="006B6440" w:rsidRPr="003874AC" w:rsidRDefault="006B6440" w:rsidP="00CA122E">
            <w:pPr>
              <w:pStyle w:val="NoSpacing"/>
              <w:jc w:val="center"/>
              <w:rPr>
                <w:rFonts w:ascii="Times New Roman" w:hAnsi="Times New Roman" w:cs="Times New Roman"/>
                <w:sz w:val="22"/>
                <w:szCs w:val="22"/>
              </w:rPr>
            </w:pPr>
            <w:r w:rsidRPr="003874AC">
              <w:rPr>
                <w:rFonts w:ascii="Times New Roman" w:hAnsi="Times New Roman" w:cs="Times New Roman"/>
                <w:sz w:val="22"/>
                <w:szCs w:val="22"/>
              </w:rPr>
              <w:t>...Included under Punjab</w:t>
            </w:r>
          </w:p>
          <w:p w14:paraId="789A9BD7" w14:textId="319E39C2" w:rsidR="006B6440" w:rsidRPr="003874AC" w:rsidRDefault="006B6440" w:rsidP="00CA122E">
            <w:pPr>
              <w:pStyle w:val="NoSpacing"/>
              <w:jc w:val="center"/>
              <w:rPr>
                <w:rFonts w:ascii="Times New Roman" w:hAnsi="Times New Roman" w:cs="Times New Roman"/>
                <w:sz w:val="22"/>
                <w:szCs w:val="22"/>
              </w:rPr>
            </w:pPr>
          </w:p>
        </w:tc>
        <w:tc>
          <w:tcPr>
            <w:tcW w:w="0" w:type="auto"/>
            <w:vAlign w:val="center"/>
            <w:hideMark/>
          </w:tcPr>
          <w:p w14:paraId="5E598DAD" w14:textId="77777777" w:rsidR="006B6440" w:rsidRPr="003874AC" w:rsidRDefault="006B6440" w:rsidP="00CA122E">
            <w:pPr>
              <w:pStyle w:val="NoSpacing"/>
              <w:jc w:val="center"/>
              <w:rPr>
                <w:rFonts w:ascii="Times New Roman" w:hAnsi="Times New Roman" w:cs="Times New Roman"/>
                <w:sz w:val="22"/>
                <w:szCs w:val="22"/>
              </w:rPr>
            </w:pPr>
            <w:r w:rsidRPr="003874AC">
              <w:rPr>
                <w:rFonts w:ascii="Times New Roman" w:hAnsi="Times New Roman" w:cs="Times New Roman"/>
                <w:sz w:val="22"/>
                <w:szCs w:val="22"/>
              </w:rPr>
              <w:t>9.26</w:t>
            </w:r>
          </w:p>
        </w:tc>
        <w:tc>
          <w:tcPr>
            <w:tcW w:w="0" w:type="auto"/>
            <w:vAlign w:val="center"/>
            <w:hideMark/>
          </w:tcPr>
          <w:p w14:paraId="2C9D0861" w14:textId="77777777" w:rsidR="006B6440" w:rsidRPr="003874AC" w:rsidRDefault="006B6440" w:rsidP="00CA122E">
            <w:pPr>
              <w:pStyle w:val="NoSpacing"/>
              <w:jc w:val="center"/>
              <w:rPr>
                <w:rFonts w:ascii="Times New Roman" w:hAnsi="Times New Roman" w:cs="Times New Roman"/>
                <w:sz w:val="22"/>
                <w:szCs w:val="22"/>
              </w:rPr>
            </w:pPr>
            <w:r w:rsidRPr="003874AC">
              <w:rPr>
                <w:rFonts w:ascii="Times New Roman" w:hAnsi="Times New Roman" w:cs="Times New Roman"/>
                <w:sz w:val="22"/>
                <w:szCs w:val="22"/>
              </w:rPr>
              <w:t>3.92</w:t>
            </w:r>
          </w:p>
        </w:tc>
        <w:tc>
          <w:tcPr>
            <w:tcW w:w="0" w:type="auto"/>
            <w:vAlign w:val="center"/>
            <w:hideMark/>
          </w:tcPr>
          <w:p w14:paraId="1F57459C" w14:textId="77777777" w:rsidR="006B6440" w:rsidRPr="003874AC" w:rsidRDefault="006B6440" w:rsidP="00CA122E">
            <w:pPr>
              <w:pStyle w:val="NoSpacing"/>
              <w:jc w:val="center"/>
              <w:rPr>
                <w:rFonts w:ascii="Times New Roman" w:hAnsi="Times New Roman" w:cs="Times New Roman"/>
                <w:sz w:val="22"/>
                <w:szCs w:val="22"/>
              </w:rPr>
            </w:pPr>
            <w:r w:rsidRPr="003874AC">
              <w:rPr>
                <w:rFonts w:ascii="Times New Roman" w:hAnsi="Times New Roman" w:cs="Times New Roman"/>
                <w:sz w:val="22"/>
                <w:szCs w:val="22"/>
              </w:rPr>
              <w:t>4.04</w:t>
            </w:r>
          </w:p>
        </w:tc>
      </w:tr>
      <w:tr w:rsidR="00374F83" w:rsidRPr="003874AC" w14:paraId="13809A3E" w14:textId="77777777" w:rsidTr="00CA122E">
        <w:trPr>
          <w:trHeight w:val="227"/>
        </w:trPr>
        <w:tc>
          <w:tcPr>
            <w:tcW w:w="0" w:type="auto"/>
            <w:hideMark/>
          </w:tcPr>
          <w:p w14:paraId="59A4118F" w14:textId="77777777" w:rsidR="00374F83" w:rsidRPr="003874AC" w:rsidRDefault="00374F83" w:rsidP="00B77C0B">
            <w:pPr>
              <w:pStyle w:val="NoSpacing"/>
              <w:rPr>
                <w:rFonts w:ascii="Times New Roman" w:hAnsi="Times New Roman" w:cs="Times New Roman"/>
                <w:sz w:val="22"/>
                <w:szCs w:val="22"/>
              </w:rPr>
            </w:pPr>
            <w:r w:rsidRPr="003874AC">
              <w:rPr>
                <w:rFonts w:ascii="Times New Roman" w:hAnsi="Times New Roman" w:cs="Times New Roman"/>
                <w:sz w:val="22"/>
                <w:szCs w:val="22"/>
              </w:rPr>
              <w:t>Jammu and Kashmir</w:t>
            </w:r>
          </w:p>
        </w:tc>
        <w:tc>
          <w:tcPr>
            <w:tcW w:w="0" w:type="auto"/>
            <w:vAlign w:val="center"/>
            <w:hideMark/>
          </w:tcPr>
          <w:p w14:paraId="06427431" w14:textId="77777777" w:rsidR="00374F83" w:rsidRPr="003874AC" w:rsidRDefault="00374F83" w:rsidP="00CA122E">
            <w:pPr>
              <w:pStyle w:val="NoSpacing"/>
              <w:jc w:val="center"/>
              <w:rPr>
                <w:rFonts w:ascii="Times New Roman" w:hAnsi="Times New Roman" w:cs="Times New Roman"/>
                <w:sz w:val="22"/>
                <w:szCs w:val="22"/>
              </w:rPr>
            </w:pPr>
            <w:r w:rsidRPr="003874AC">
              <w:rPr>
                <w:rFonts w:ascii="Times New Roman" w:hAnsi="Times New Roman" w:cs="Times New Roman"/>
                <w:sz w:val="22"/>
                <w:szCs w:val="22"/>
              </w:rPr>
              <w:t>6.11</w:t>
            </w:r>
          </w:p>
        </w:tc>
        <w:tc>
          <w:tcPr>
            <w:tcW w:w="0" w:type="auto"/>
            <w:vAlign w:val="center"/>
            <w:hideMark/>
          </w:tcPr>
          <w:p w14:paraId="3E703C17" w14:textId="77777777" w:rsidR="00374F83" w:rsidRPr="003874AC" w:rsidRDefault="00374F83" w:rsidP="00CA122E">
            <w:pPr>
              <w:pStyle w:val="NoSpacing"/>
              <w:jc w:val="center"/>
              <w:rPr>
                <w:rFonts w:ascii="Times New Roman" w:hAnsi="Times New Roman" w:cs="Times New Roman"/>
                <w:sz w:val="22"/>
                <w:szCs w:val="22"/>
              </w:rPr>
            </w:pPr>
            <w:r w:rsidRPr="003874AC">
              <w:rPr>
                <w:rFonts w:ascii="Times New Roman" w:hAnsi="Times New Roman" w:cs="Times New Roman"/>
                <w:sz w:val="22"/>
                <w:szCs w:val="22"/>
              </w:rPr>
              <w:t>4.39</w:t>
            </w:r>
          </w:p>
        </w:tc>
        <w:tc>
          <w:tcPr>
            <w:tcW w:w="0" w:type="auto"/>
            <w:vAlign w:val="center"/>
            <w:hideMark/>
          </w:tcPr>
          <w:p w14:paraId="72BE1259" w14:textId="77777777" w:rsidR="00374F83" w:rsidRPr="003874AC" w:rsidRDefault="00374F83" w:rsidP="00CA122E">
            <w:pPr>
              <w:pStyle w:val="NoSpacing"/>
              <w:jc w:val="center"/>
              <w:rPr>
                <w:rFonts w:ascii="Times New Roman" w:hAnsi="Times New Roman" w:cs="Times New Roman"/>
                <w:sz w:val="22"/>
                <w:szCs w:val="22"/>
              </w:rPr>
            </w:pPr>
            <w:r w:rsidRPr="003874AC">
              <w:rPr>
                <w:rFonts w:ascii="Times New Roman" w:hAnsi="Times New Roman" w:cs="Times New Roman"/>
                <w:sz w:val="22"/>
                <w:szCs w:val="22"/>
              </w:rPr>
              <w:t>11.50</w:t>
            </w:r>
          </w:p>
        </w:tc>
        <w:tc>
          <w:tcPr>
            <w:tcW w:w="0" w:type="auto"/>
            <w:vAlign w:val="center"/>
            <w:hideMark/>
          </w:tcPr>
          <w:p w14:paraId="00D2D1ED" w14:textId="77777777" w:rsidR="00374F83" w:rsidRPr="003874AC" w:rsidRDefault="00374F83" w:rsidP="00CA122E">
            <w:pPr>
              <w:pStyle w:val="NoSpacing"/>
              <w:jc w:val="center"/>
              <w:rPr>
                <w:rFonts w:ascii="Times New Roman" w:hAnsi="Times New Roman" w:cs="Times New Roman"/>
                <w:sz w:val="22"/>
                <w:szCs w:val="22"/>
              </w:rPr>
            </w:pPr>
            <w:r w:rsidRPr="003874AC">
              <w:rPr>
                <w:rFonts w:ascii="Times New Roman" w:hAnsi="Times New Roman" w:cs="Times New Roman"/>
                <w:sz w:val="22"/>
                <w:szCs w:val="22"/>
              </w:rPr>
              <w:t>7.58</w:t>
            </w:r>
          </w:p>
        </w:tc>
        <w:tc>
          <w:tcPr>
            <w:tcW w:w="0" w:type="auto"/>
            <w:vAlign w:val="center"/>
            <w:hideMark/>
          </w:tcPr>
          <w:p w14:paraId="32CC32A9" w14:textId="77777777" w:rsidR="00374F83" w:rsidRPr="003874AC" w:rsidRDefault="00374F83" w:rsidP="00CA122E">
            <w:pPr>
              <w:pStyle w:val="NoSpacing"/>
              <w:jc w:val="center"/>
              <w:rPr>
                <w:rFonts w:ascii="Times New Roman" w:hAnsi="Times New Roman" w:cs="Times New Roman"/>
                <w:sz w:val="22"/>
                <w:szCs w:val="22"/>
              </w:rPr>
            </w:pPr>
            <w:r w:rsidRPr="003874AC">
              <w:rPr>
                <w:rFonts w:ascii="Times New Roman" w:hAnsi="Times New Roman" w:cs="Times New Roman"/>
                <w:sz w:val="22"/>
                <w:szCs w:val="22"/>
              </w:rPr>
              <w:t>4.94</w:t>
            </w:r>
          </w:p>
        </w:tc>
        <w:tc>
          <w:tcPr>
            <w:tcW w:w="0" w:type="auto"/>
            <w:vAlign w:val="center"/>
            <w:hideMark/>
          </w:tcPr>
          <w:p w14:paraId="5EC054C3" w14:textId="77777777" w:rsidR="00374F83" w:rsidRPr="003874AC" w:rsidRDefault="00374F83" w:rsidP="00CA122E">
            <w:pPr>
              <w:pStyle w:val="NoSpacing"/>
              <w:jc w:val="center"/>
              <w:rPr>
                <w:rFonts w:ascii="Times New Roman" w:hAnsi="Times New Roman" w:cs="Times New Roman"/>
                <w:sz w:val="22"/>
                <w:szCs w:val="22"/>
              </w:rPr>
            </w:pPr>
            <w:r w:rsidRPr="003874AC">
              <w:rPr>
                <w:rFonts w:ascii="Times New Roman" w:hAnsi="Times New Roman" w:cs="Times New Roman"/>
                <w:sz w:val="22"/>
                <w:szCs w:val="22"/>
              </w:rPr>
              <w:t>12.42</w:t>
            </w:r>
          </w:p>
        </w:tc>
      </w:tr>
      <w:tr w:rsidR="00374F83" w:rsidRPr="003874AC" w14:paraId="104ED1DE" w14:textId="77777777" w:rsidTr="00CA122E">
        <w:trPr>
          <w:trHeight w:val="227"/>
        </w:trPr>
        <w:tc>
          <w:tcPr>
            <w:tcW w:w="0" w:type="auto"/>
            <w:hideMark/>
          </w:tcPr>
          <w:p w14:paraId="47A9ECC7" w14:textId="77777777" w:rsidR="00374F83" w:rsidRPr="003874AC" w:rsidRDefault="00374F83" w:rsidP="00B77C0B">
            <w:pPr>
              <w:pStyle w:val="NoSpacing"/>
              <w:rPr>
                <w:rFonts w:ascii="Times New Roman" w:hAnsi="Times New Roman" w:cs="Times New Roman"/>
                <w:sz w:val="22"/>
                <w:szCs w:val="22"/>
              </w:rPr>
            </w:pPr>
            <w:r w:rsidRPr="003874AC">
              <w:rPr>
                <w:rFonts w:ascii="Times New Roman" w:hAnsi="Times New Roman" w:cs="Times New Roman"/>
                <w:sz w:val="22"/>
                <w:szCs w:val="22"/>
              </w:rPr>
              <w:t>Kerala</w:t>
            </w:r>
          </w:p>
        </w:tc>
        <w:tc>
          <w:tcPr>
            <w:tcW w:w="0" w:type="auto"/>
            <w:vAlign w:val="center"/>
            <w:hideMark/>
          </w:tcPr>
          <w:p w14:paraId="5CED673B" w14:textId="77777777" w:rsidR="00374F83" w:rsidRPr="003874AC" w:rsidRDefault="00374F83" w:rsidP="00CA122E">
            <w:pPr>
              <w:pStyle w:val="NoSpacing"/>
              <w:jc w:val="center"/>
              <w:rPr>
                <w:rFonts w:ascii="Times New Roman" w:hAnsi="Times New Roman" w:cs="Times New Roman"/>
                <w:sz w:val="22"/>
                <w:szCs w:val="22"/>
              </w:rPr>
            </w:pPr>
            <w:r w:rsidRPr="003874AC">
              <w:rPr>
                <w:rFonts w:ascii="Times New Roman" w:hAnsi="Times New Roman" w:cs="Times New Roman"/>
                <w:sz w:val="22"/>
                <w:szCs w:val="22"/>
              </w:rPr>
              <w:t>20.43</w:t>
            </w:r>
          </w:p>
        </w:tc>
        <w:tc>
          <w:tcPr>
            <w:tcW w:w="0" w:type="auto"/>
            <w:vAlign w:val="center"/>
            <w:hideMark/>
          </w:tcPr>
          <w:p w14:paraId="1A9E3394" w14:textId="77777777" w:rsidR="00374F83" w:rsidRPr="003874AC" w:rsidRDefault="00374F83" w:rsidP="00CA122E">
            <w:pPr>
              <w:pStyle w:val="NoSpacing"/>
              <w:jc w:val="center"/>
              <w:rPr>
                <w:rFonts w:ascii="Times New Roman" w:hAnsi="Times New Roman" w:cs="Times New Roman"/>
                <w:sz w:val="22"/>
                <w:szCs w:val="22"/>
              </w:rPr>
            </w:pPr>
            <w:r w:rsidRPr="003874AC">
              <w:rPr>
                <w:rFonts w:ascii="Times New Roman" w:hAnsi="Times New Roman" w:cs="Times New Roman"/>
                <w:sz w:val="22"/>
                <w:szCs w:val="22"/>
              </w:rPr>
              <w:t>9.64</w:t>
            </w:r>
          </w:p>
        </w:tc>
        <w:tc>
          <w:tcPr>
            <w:tcW w:w="0" w:type="auto"/>
            <w:vAlign w:val="center"/>
            <w:hideMark/>
          </w:tcPr>
          <w:p w14:paraId="422D72E2" w14:textId="77777777" w:rsidR="00374F83" w:rsidRPr="003874AC" w:rsidRDefault="00374F83" w:rsidP="00CA122E">
            <w:pPr>
              <w:pStyle w:val="NoSpacing"/>
              <w:jc w:val="center"/>
              <w:rPr>
                <w:rFonts w:ascii="Times New Roman" w:hAnsi="Times New Roman" w:cs="Times New Roman"/>
                <w:sz w:val="22"/>
                <w:szCs w:val="22"/>
              </w:rPr>
            </w:pPr>
            <w:r w:rsidRPr="003874AC">
              <w:rPr>
                <w:rFonts w:ascii="Times New Roman" w:hAnsi="Times New Roman" w:cs="Times New Roman"/>
                <w:sz w:val="22"/>
                <w:szCs w:val="22"/>
              </w:rPr>
              <w:t>5.04</w:t>
            </w:r>
          </w:p>
        </w:tc>
        <w:tc>
          <w:tcPr>
            <w:tcW w:w="0" w:type="auto"/>
            <w:vAlign w:val="center"/>
            <w:hideMark/>
          </w:tcPr>
          <w:p w14:paraId="649D11D4" w14:textId="77777777" w:rsidR="00374F83" w:rsidRPr="003874AC" w:rsidRDefault="00374F83" w:rsidP="00CA122E">
            <w:pPr>
              <w:pStyle w:val="NoSpacing"/>
              <w:jc w:val="center"/>
              <w:rPr>
                <w:rFonts w:ascii="Times New Roman" w:hAnsi="Times New Roman" w:cs="Times New Roman"/>
                <w:sz w:val="22"/>
                <w:szCs w:val="22"/>
              </w:rPr>
            </w:pPr>
            <w:r w:rsidRPr="003874AC">
              <w:rPr>
                <w:rFonts w:ascii="Times New Roman" w:hAnsi="Times New Roman" w:cs="Times New Roman"/>
                <w:sz w:val="22"/>
                <w:szCs w:val="22"/>
              </w:rPr>
              <w:t>19.00</w:t>
            </w:r>
          </w:p>
        </w:tc>
        <w:tc>
          <w:tcPr>
            <w:tcW w:w="0" w:type="auto"/>
            <w:vAlign w:val="center"/>
            <w:hideMark/>
          </w:tcPr>
          <w:p w14:paraId="78C1E806" w14:textId="77777777" w:rsidR="00374F83" w:rsidRPr="003874AC" w:rsidRDefault="00374F83" w:rsidP="00CA122E">
            <w:pPr>
              <w:pStyle w:val="NoSpacing"/>
              <w:jc w:val="center"/>
              <w:rPr>
                <w:rFonts w:ascii="Times New Roman" w:hAnsi="Times New Roman" w:cs="Times New Roman"/>
                <w:sz w:val="22"/>
                <w:szCs w:val="22"/>
              </w:rPr>
            </w:pPr>
            <w:r w:rsidRPr="003874AC">
              <w:rPr>
                <w:rFonts w:ascii="Times New Roman" w:hAnsi="Times New Roman" w:cs="Times New Roman"/>
                <w:sz w:val="22"/>
                <w:szCs w:val="22"/>
              </w:rPr>
              <w:t>9.03</w:t>
            </w:r>
          </w:p>
        </w:tc>
        <w:tc>
          <w:tcPr>
            <w:tcW w:w="0" w:type="auto"/>
            <w:vAlign w:val="center"/>
            <w:hideMark/>
          </w:tcPr>
          <w:p w14:paraId="41EF319B" w14:textId="77777777" w:rsidR="00374F83" w:rsidRPr="003874AC" w:rsidRDefault="00374F83" w:rsidP="00CA122E">
            <w:pPr>
              <w:pStyle w:val="NoSpacing"/>
              <w:jc w:val="center"/>
              <w:rPr>
                <w:rFonts w:ascii="Times New Roman" w:hAnsi="Times New Roman" w:cs="Times New Roman"/>
                <w:sz w:val="22"/>
                <w:szCs w:val="22"/>
              </w:rPr>
            </w:pPr>
            <w:r w:rsidRPr="003874AC">
              <w:rPr>
                <w:rFonts w:ascii="Times New Roman" w:hAnsi="Times New Roman" w:cs="Times New Roman"/>
                <w:sz w:val="22"/>
                <w:szCs w:val="22"/>
              </w:rPr>
              <w:t>4.38</w:t>
            </w:r>
          </w:p>
        </w:tc>
      </w:tr>
      <w:tr w:rsidR="00374F83" w:rsidRPr="003874AC" w14:paraId="53073CB8" w14:textId="77777777" w:rsidTr="00CA122E">
        <w:trPr>
          <w:trHeight w:val="227"/>
        </w:trPr>
        <w:tc>
          <w:tcPr>
            <w:tcW w:w="0" w:type="auto"/>
            <w:hideMark/>
          </w:tcPr>
          <w:p w14:paraId="3AD5DADC" w14:textId="77777777" w:rsidR="00374F83" w:rsidRPr="003874AC" w:rsidRDefault="00374F83" w:rsidP="00B77C0B">
            <w:pPr>
              <w:pStyle w:val="NoSpacing"/>
              <w:rPr>
                <w:rFonts w:ascii="Times New Roman" w:hAnsi="Times New Roman" w:cs="Times New Roman"/>
                <w:sz w:val="22"/>
                <w:szCs w:val="22"/>
              </w:rPr>
            </w:pPr>
            <w:r w:rsidRPr="003874AC">
              <w:rPr>
                <w:rFonts w:ascii="Times New Roman" w:hAnsi="Times New Roman" w:cs="Times New Roman"/>
                <w:sz w:val="22"/>
                <w:szCs w:val="22"/>
              </w:rPr>
              <w:t>Madhya Pradesh</w:t>
            </w:r>
          </w:p>
        </w:tc>
        <w:tc>
          <w:tcPr>
            <w:tcW w:w="0" w:type="auto"/>
            <w:vAlign w:val="center"/>
            <w:hideMark/>
          </w:tcPr>
          <w:p w14:paraId="393A0004" w14:textId="77777777" w:rsidR="00374F83" w:rsidRPr="003874AC" w:rsidRDefault="00374F83" w:rsidP="00CA122E">
            <w:pPr>
              <w:pStyle w:val="NoSpacing"/>
              <w:jc w:val="center"/>
              <w:rPr>
                <w:rFonts w:ascii="Times New Roman" w:hAnsi="Times New Roman" w:cs="Times New Roman"/>
                <w:sz w:val="22"/>
                <w:szCs w:val="22"/>
              </w:rPr>
            </w:pPr>
            <w:r w:rsidRPr="003874AC">
              <w:rPr>
                <w:rFonts w:ascii="Times New Roman" w:hAnsi="Times New Roman" w:cs="Times New Roman"/>
                <w:sz w:val="22"/>
                <w:szCs w:val="22"/>
              </w:rPr>
              <w:t>26.12</w:t>
            </w:r>
          </w:p>
        </w:tc>
        <w:tc>
          <w:tcPr>
            <w:tcW w:w="0" w:type="auto"/>
            <w:vAlign w:val="center"/>
            <w:hideMark/>
          </w:tcPr>
          <w:p w14:paraId="011F67FB" w14:textId="77777777" w:rsidR="00374F83" w:rsidRPr="003874AC" w:rsidRDefault="00374F83" w:rsidP="00CA122E">
            <w:pPr>
              <w:pStyle w:val="NoSpacing"/>
              <w:jc w:val="center"/>
              <w:rPr>
                <w:rFonts w:ascii="Times New Roman" w:hAnsi="Times New Roman" w:cs="Times New Roman"/>
                <w:sz w:val="22"/>
                <w:szCs w:val="22"/>
              </w:rPr>
            </w:pPr>
            <w:r w:rsidRPr="003874AC">
              <w:rPr>
                <w:rFonts w:ascii="Times New Roman" w:hAnsi="Times New Roman" w:cs="Times New Roman"/>
                <w:sz w:val="22"/>
                <w:szCs w:val="22"/>
              </w:rPr>
              <w:t>13.79</w:t>
            </w:r>
          </w:p>
        </w:tc>
        <w:tc>
          <w:tcPr>
            <w:tcW w:w="0" w:type="auto"/>
            <w:vAlign w:val="center"/>
            <w:hideMark/>
          </w:tcPr>
          <w:p w14:paraId="2CE4C973" w14:textId="77777777" w:rsidR="00374F83" w:rsidRPr="003874AC" w:rsidRDefault="00374F83" w:rsidP="00CA122E">
            <w:pPr>
              <w:pStyle w:val="NoSpacing"/>
              <w:jc w:val="center"/>
              <w:rPr>
                <w:rFonts w:ascii="Times New Roman" w:hAnsi="Times New Roman" w:cs="Times New Roman"/>
                <w:sz w:val="22"/>
                <w:szCs w:val="22"/>
              </w:rPr>
            </w:pPr>
            <w:r w:rsidRPr="003874AC">
              <w:rPr>
                <w:rFonts w:ascii="Times New Roman" w:hAnsi="Times New Roman" w:cs="Times New Roman"/>
                <w:sz w:val="22"/>
                <w:szCs w:val="22"/>
              </w:rPr>
              <w:t>3.77</w:t>
            </w:r>
          </w:p>
        </w:tc>
        <w:tc>
          <w:tcPr>
            <w:tcW w:w="0" w:type="auto"/>
            <w:vAlign w:val="center"/>
            <w:hideMark/>
          </w:tcPr>
          <w:p w14:paraId="6010FC45" w14:textId="77777777" w:rsidR="00374F83" w:rsidRPr="003874AC" w:rsidRDefault="00374F83" w:rsidP="00CA122E">
            <w:pPr>
              <w:pStyle w:val="NoSpacing"/>
              <w:jc w:val="center"/>
              <w:rPr>
                <w:rFonts w:ascii="Times New Roman" w:hAnsi="Times New Roman" w:cs="Times New Roman"/>
                <w:sz w:val="22"/>
                <w:szCs w:val="22"/>
              </w:rPr>
            </w:pPr>
            <w:r w:rsidRPr="003874AC">
              <w:rPr>
                <w:rFonts w:ascii="Times New Roman" w:hAnsi="Times New Roman" w:cs="Times New Roman"/>
                <w:sz w:val="22"/>
                <w:szCs w:val="22"/>
              </w:rPr>
              <w:t>26.26</w:t>
            </w:r>
          </w:p>
        </w:tc>
        <w:tc>
          <w:tcPr>
            <w:tcW w:w="0" w:type="auto"/>
            <w:vAlign w:val="center"/>
            <w:hideMark/>
          </w:tcPr>
          <w:p w14:paraId="06AAD0F4" w14:textId="77777777" w:rsidR="00374F83" w:rsidRPr="003874AC" w:rsidRDefault="00374F83" w:rsidP="00CA122E">
            <w:pPr>
              <w:pStyle w:val="NoSpacing"/>
              <w:jc w:val="center"/>
              <w:rPr>
                <w:rFonts w:ascii="Times New Roman" w:hAnsi="Times New Roman" w:cs="Times New Roman"/>
                <w:sz w:val="22"/>
                <w:szCs w:val="22"/>
              </w:rPr>
            </w:pPr>
            <w:r w:rsidRPr="003874AC">
              <w:rPr>
                <w:rFonts w:ascii="Times New Roman" w:hAnsi="Times New Roman" w:cs="Times New Roman"/>
                <w:sz w:val="22"/>
                <w:szCs w:val="22"/>
              </w:rPr>
              <w:t>10.98(c)</w:t>
            </w:r>
          </w:p>
        </w:tc>
        <w:tc>
          <w:tcPr>
            <w:tcW w:w="0" w:type="auto"/>
            <w:vAlign w:val="center"/>
            <w:hideMark/>
          </w:tcPr>
          <w:p w14:paraId="621ECF65" w14:textId="77777777" w:rsidR="00374F83" w:rsidRPr="003874AC" w:rsidRDefault="00374F83" w:rsidP="00CA122E">
            <w:pPr>
              <w:pStyle w:val="NoSpacing"/>
              <w:jc w:val="center"/>
              <w:rPr>
                <w:rFonts w:ascii="Times New Roman" w:hAnsi="Times New Roman" w:cs="Times New Roman"/>
                <w:sz w:val="22"/>
                <w:szCs w:val="22"/>
              </w:rPr>
            </w:pPr>
            <w:r w:rsidRPr="003874AC">
              <w:rPr>
                <w:rFonts w:ascii="Times New Roman" w:hAnsi="Times New Roman" w:cs="Times New Roman"/>
                <w:sz w:val="22"/>
                <w:szCs w:val="22"/>
              </w:rPr>
              <w:t>2.78</w:t>
            </w:r>
          </w:p>
        </w:tc>
      </w:tr>
      <w:tr w:rsidR="00374F83" w:rsidRPr="003874AC" w14:paraId="73D0655F" w14:textId="77777777" w:rsidTr="00CA122E">
        <w:trPr>
          <w:trHeight w:val="227"/>
        </w:trPr>
        <w:tc>
          <w:tcPr>
            <w:tcW w:w="0" w:type="auto"/>
            <w:hideMark/>
          </w:tcPr>
          <w:p w14:paraId="57B12F51" w14:textId="77777777" w:rsidR="00374F83" w:rsidRPr="003874AC" w:rsidRDefault="00374F83" w:rsidP="00B77C0B">
            <w:pPr>
              <w:pStyle w:val="NoSpacing"/>
              <w:rPr>
                <w:rFonts w:ascii="Times New Roman" w:hAnsi="Times New Roman" w:cs="Times New Roman"/>
                <w:sz w:val="22"/>
                <w:szCs w:val="22"/>
              </w:rPr>
            </w:pPr>
            <w:r w:rsidRPr="003874AC">
              <w:rPr>
                <w:rFonts w:ascii="Times New Roman" w:hAnsi="Times New Roman" w:cs="Times New Roman"/>
                <w:sz w:val="22"/>
                <w:szCs w:val="22"/>
              </w:rPr>
              <w:t>Maharashtra</w:t>
            </w:r>
          </w:p>
        </w:tc>
        <w:tc>
          <w:tcPr>
            <w:tcW w:w="0" w:type="auto"/>
            <w:vAlign w:val="center"/>
            <w:hideMark/>
          </w:tcPr>
          <w:p w14:paraId="43711369" w14:textId="77777777" w:rsidR="00374F83" w:rsidRPr="003874AC" w:rsidRDefault="00374F83" w:rsidP="00CA122E">
            <w:pPr>
              <w:pStyle w:val="NoSpacing"/>
              <w:jc w:val="center"/>
              <w:rPr>
                <w:rFonts w:ascii="Times New Roman" w:hAnsi="Times New Roman" w:cs="Times New Roman"/>
                <w:sz w:val="22"/>
                <w:szCs w:val="22"/>
              </w:rPr>
            </w:pPr>
            <w:r w:rsidRPr="003874AC">
              <w:rPr>
                <w:rFonts w:ascii="Times New Roman" w:hAnsi="Times New Roman" w:cs="Times New Roman"/>
                <w:sz w:val="22"/>
                <w:szCs w:val="22"/>
              </w:rPr>
              <w:t>54.19</w:t>
            </w:r>
          </w:p>
        </w:tc>
        <w:tc>
          <w:tcPr>
            <w:tcW w:w="0" w:type="auto"/>
            <w:vAlign w:val="center"/>
            <w:hideMark/>
          </w:tcPr>
          <w:p w14:paraId="64028CF1" w14:textId="77777777" w:rsidR="00374F83" w:rsidRPr="003874AC" w:rsidRDefault="00374F83" w:rsidP="00CA122E">
            <w:pPr>
              <w:pStyle w:val="NoSpacing"/>
              <w:jc w:val="center"/>
              <w:rPr>
                <w:rFonts w:ascii="Times New Roman" w:hAnsi="Times New Roman" w:cs="Times New Roman"/>
                <w:sz w:val="22"/>
                <w:szCs w:val="22"/>
              </w:rPr>
            </w:pPr>
            <w:r w:rsidRPr="003874AC">
              <w:rPr>
                <w:rFonts w:ascii="Times New Roman" w:hAnsi="Times New Roman" w:cs="Times New Roman"/>
                <w:sz w:val="22"/>
                <w:szCs w:val="22"/>
              </w:rPr>
              <w:t>23.21</w:t>
            </w:r>
          </w:p>
        </w:tc>
        <w:tc>
          <w:tcPr>
            <w:tcW w:w="0" w:type="auto"/>
            <w:vAlign w:val="center"/>
            <w:hideMark/>
          </w:tcPr>
          <w:p w14:paraId="50E5E5AC" w14:textId="77777777" w:rsidR="00374F83" w:rsidRPr="003874AC" w:rsidRDefault="00374F83" w:rsidP="00CA122E">
            <w:pPr>
              <w:pStyle w:val="NoSpacing"/>
              <w:jc w:val="center"/>
              <w:rPr>
                <w:rFonts w:ascii="Times New Roman" w:hAnsi="Times New Roman" w:cs="Times New Roman"/>
                <w:sz w:val="22"/>
                <w:szCs w:val="22"/>
              </w:rPr>
            </w:pPr>
            <w:r w:rsidRPr="003874AC">
              <w:rPr>
                <w:rFonts w:ascii="Times New Roman" w:hAnsi="Times New Roman" w:cs="Times New Roman"/>
                <w:sz w:val="22"/>
                <w:szCs w:val="22"/>
              </w:rPr>
              <w:t>5.17</w:t>
            </w:r>
          </w:p>
        </w:tc>
        <w:tc>
          <w:tcPr>
            <w:tcW w:w="0" w:type="auto"/>
            <w:vAlign w:val="center"/>
            <w:hideMark/>
          </w:tcPr>
          <w:p w14:paraId="1EA8D572" w14:textId="77777777" w:rsidR="00374F83" w:rsidRPr="003874AC" w:rsidRDefault="00374F83" w:rsidP="00CA122E">
            <w:pPr>
              <w:pStyle w:val="NoSpacing"/>
              <w:jc w:val="center"/>
              <w:rPr>
                <w:rFonts w:ascii="Times New Roman" w:hAnsi="Times New Roman" w:cs="Times New Roman"/>
                <w:sz w:val="22"/>
                <w:szCs w:val="22"/>
              </w:rPr>
            </w:pPr>
            <w:r w:rsidRPr="003874AC">
              <w:rPr>
                <w:rFonts w:ascii="Times New Roman" w:hAnsi="Times New Roman" w:cs="Times New Roman"/>
                <w:sz w:val="22"/>
                <w:szCs w:val="22"/>
              </w:rPr>
              <w:t>53.81</w:t>
            </w:r>
          </w:p>
        </w:tc>
        <w:tc>
          <w:tcPr>
            <w:tcW w:w="0" w:type="auto"/>
            <w:vAlign w:val="center"/>
            <w:hideMark/>
          </w:tcPr>
          <w:p w14:paraId="4E1147B6" w14:textId="77777777" w:rsidR="00374F83" w:rsidRPr="003874AC" w:rsidRDefault="00374F83" w:rsidP="00CA122E">
            <w:pPr>
              <w:pStyle w:val="NoSpacing"/>
              <w:jc w:val="center"/>
              <w:rPr>
                <w:rFonts w:ascii="Times New Roman" w:hAnsi="Times New Roman" w:cs="Times New Roman"/>
                <w:sz w:val="22"/>
                <w:szCs w:val="22"/>
              </w:rPr>
            </w:pPr>
            <w:r w:rsidRPr="003874AC">
              <w:rPr>
                <w:rFonts w:ascii="Times New Roman" w:hAnsi="Times New Roman" w:cs="Times New Roman"/>
                <w:sz w:val="22"/>
                <w:szCs w:val="22"/>
              </w:rPr>
              <w:t>18.96</w:t>
            </w:r>
          </w:p>
        </w:tc>
        <w:tc>
          <w:tcPr>
            <w:tcW w:w="0" w:type="auto"/>
            <w:vAlign w:val="center"/>
            <w:hideMark/>
          </w:tcPr>
          <w:p w14:paraId="07F8EE08" w14:textId="77777777" w:rsidR="00374F83" w:rsidRPr="003874AC" w:rsidRDefault="00374F83" w:rsidP="00CA122E">
            <w:pPr>
              <w:pStyle w:val="NoSpacing"/>
              <w:jc w:val="center"/>
              <w:rPr>
                <w:rFonts w:ascii="Times New Roman" w:hAnsi="Times New Roman" w:cs="Times New Roman"/>
                <w:sz w:val="22"/>
                <w:szCs w:val="22"/>
              </w:rPr>
            </w:pPr>
            <w:r w:rsidRPr="003874AC">
              <w:rPr>
                <w:rFonts w:ascii="Times New Roman" w:hAnsi="Times New Roman" w:cs="Times New Roman"/>
                <w:sz w:val="22"/>
                <w:szCs w:val="22"/>
              </w:rPr>
              <w:t>3.91</w:t>
            </w:r>
          </w:p>
        </w:tc>
      </w:tr>
      <w:tr w:rsidR="00374F83" w:rsidRPr="003874AC" w14:paraId="6FCEC61A" w14:textId="77777777" w:rsidTr="00CA122E">
        <w:trPr>
          <w:trHeight w:val="227"/>
        </w:trPr>
        <w:tc>
          <w:tcPr>
            <w:tcW w:w="0" w:type="auto"/>
            <w:hideMark/>
          </w:tcPr>
          <w:p w14:paraId="1CCDDDC2" w14:textId="77777777" w:rsidR="00374F83" w:rsidRPr="003874AC" w:rsidRDefault="00374F83" w:rsidP="00B77C0B">
            <w:pPr>
              <w:pStyle w:val="NoSpacing"/>
              <w:rPr>
                <w:rFonts w:ascii="Times New Roman" w:hAnsi="Times New Roman" w:cs="Times New Roman"/>
                <w:sz w:val="22"/>
                <w:szCs w:val="22"/>
              </w:rPr>
            </w:pPr>
            <w:r w:rsidRPr="003874AC">
              <w:rPr>
                <w:rFonts w:ascii="Times New Roman" w:hAnsi="Times New Roman" w:cs="Times New Roman"/>
                <w:sz w:val="22"/>
                <w:szCs w:val="22"/>
              </w:rPr>
              <w:t>Mysore</w:t>
            </w:r>
          </w:p>
        </w:tc>
        <w:tc>
          <w:tcPr>
            <w:tcW w:w="0" w:type="auto"/>
            <w:vAlign w:val="center"/>
            <w:hideMark/>
          </w:tcPr>
          <w:p w14:paraId="20C112DA" w14:textId="77777777" w:rsidR="00374F83" w:rsidRPr="003874AC" w:rsidRDefault="00374F83" w:rsidP="00CA122E">
            <w:pPr>
              <w:pStyle w:val="NoSpacing"/>
              <w:jc w:val="center"/>
              <w:rPr>
                <w:rFonts w:ascii="Times New Roman" w:hAnsi="Times New Roman" w:cs="Times New Roman"/>
                <w:sz w:val="22"/>
                <w:szCs w:val="22"/>
              </w:rPr>
            </w:pPr>
            <w:r w:rsidRPr="003874AC">
              <w:rPr>
                <w:rFonts w:ascii="Times New Roman" w:hAnsi="Times New Roman" w:cs="Times New Roman"/>
                <w:sz w:val="22"/>
                <w:szCs w:val="22"/>
              </w:rPr>
              <w:t>19.34</w:t>
            </w:r>
          </w:p>
        </w:tc>
        <w:tc>
          <w:tcPr>
            <w:tcW w:w="0" w:type="auto"/>
            <w:vAlign w:val="center"/>
            <w:hideMark/>
          </w:tcPr>
          <w:p w14:paraId="29FCF197" w14:textId="77777777" w:rsidR="00374F83" w:rsidRPr="003874AC" w:rsidRDefault="00374F83" w:rsidP="00CA122E">
            <w:pPr>
              <w:pStyle w:val="NoSpacing"/>
              <w:jc w:val="center"/>
              <w:rPr>
                <w:rFonts w:ascii="Times New Roman" w:hAnsi="Times New Roman" w:cs="Times New Roman"/>
                <w:sz w:val="22"/>
                <w:szCs w:val="22"/>
              </w:rPr>
            </w:pPr>
            <w:r w:rsidRPr="003874AC">
              <w:rPr>
                <w:rFonts w:ascii="Times New Roman" w:hAnsi="Times New Roman" w:cs="Times New Roman"/>
                <w:sz w:val="22"/>
                <w:szCs w:val="22"/>
              </w:rPr>
              <w:t>7.98</w:t>
            </w:r>
          </w:p>
        </w:tc>
        <w:tc>
          <w:tcPr>
            <w:tcW w:w="0" w:type="auto"/>
            <w:vAlign w:val="center"/>
            <w:hideMark/>
          </w:tcPr>
          <w:p w14:paraId="67CCF0C4" w14:textId="77777777" w:rsidR="00374F83" w:rsidRPr="003874AC" w:rsidRDefault="00374F83" w:rsidP="00CA122E">
            <w:pPr>
              <w:pStyle w:val="NoSpacing"/>
              <w:jc w:val="center"/>
              <w:rPr>
                <w:rFonts w:ascii="Times New Roman" w:hAnsi="Times New Roman" w:cs="Times New Roman"/>
                <w:sz w:val="22"/>
                <w:szCs w:val="22"/>
              </w:rPr>
            </w:pPr>
            <w:r w:rsidRPr="003874AC">
              <w:rPr>
                <w:rFonts w:ascii="Times New Roman" w:hAnsi="Times New Roman" w:cs="Times New Roman"/>
                <w:sz w:val="22"/>
                <w:szCs w:val="22"/>
              </w:rPr>
              <w:t>3.02</w:t>
            </w:r>
          </w:p>
        </w:tc>
        <w:tc>
          <w:tcPr>
            <w:tcW w:w="0" w:type="auto"/>
            <w:vAlign w:val="center"/>
            <w:hideMark/>
          </w:tcPr>
          <w:p w14:paraId="3C3D70E9" w14:textId="77777777" w:rsidR="00374F83" w:rsidRPr="003874AC" w:rsidRDefault="00374F83" w:rsidP="00CA122E">
            <w:pPr>
              <w:pStyle w:val="NoSpacing"/>
              <w:jc w:val="center"/>
              <w:rPr>
                <w:rFonts w:ascii="Times New Roman" w:hAnsi="Times New Roman" w:cs="Times New Roman"/>
                <w:sz w:val="22"/>
                <w:szCs w:val="22"/>
              </w:rPr>
            </w:pPr>
            <w:r w:rsidRPr="003874AC">
              <w:rPr>
                <w:rFonts w:ascii="Times New Roman" w:hAnsi="Times New Roman" w:cs="Times New Roman"/>
                <w:sz w:val="22"/>
                <w:szCs w:val="22"/>
              </w:rPr>
              <w:t>24.94</w:t>
            </w:r>
          </w:p>
        </w:tc>
        <w:tc>
          <w:tcPr>
            <w:tcW w:w="0" w:type="auto"/>
            <w:vAlign w:val="center"/>
            <w:hideMark/>
          </w:tcPr>
          <w:p w14:paraId="1C216F17" w14:textId="77777777" w:rsidR="00374F83" w:rsidRPr="003874AC" w:rsidRDefault="00374F83" w:rsidP="00CA122E">
            <w:pPr>
              <w:pStyle w:val="NoSpacing"/>
              <w:jc w:val="center"/>
              <w:rPr>
                <w:rFonts w:ascii="Times New Roman" w:hAnsi="Times New Roman" w:cs="Times New Roman"/>
                <w:sz w:val="22"/>
                <w:szCs w:val="22"/>
              </w:rPr>
            </w:pPr>
            <w:r w:rsidRPr="003874AC">
              <w:rPr>
                <w:rFonts w:ascii="Times New Roman" w:hAnsi="Times New Roman" w:cs="Times New Roman"/>
                <w:sz w:val="22"/>
                <w:szCs w:val="22"/>
              </w:rPr>
              <w:t>9.00</w:t>
            </w:r>
          </w:p>
        </w:tc>
        <w:tc>
          <w:tcPr>
            <w:tcW w:w="0" w:type="auto"/>
            <w:vAlign w:val="center"/>
            <w:hideMark/>
          </w:tcPr>
          <w:p w14:paraId="49AF9408" w14:textId="77777777" w:rsidR="00374F83" w:rsidRPr="003874AC" w:rsidRDefault="00374F83" w:rsidP="00CA122E">
            <w:pPr>
              <w:pStyle w:val="NoSpacing"/>
              <w:jc w:val="center"/>
              <w:rPr>
                <w:rFonts w:ascii="Times New Roman" w:hAnsi="Times New Roman" w:cs="Times New Roman"/>
                <w:sz w:val="22"/>
                <w:szCs w:val="22"/>
              </w:rPr>
            </w:pPr>
            <w:r w:rsidRPr="003874AC">
              <w:rPr>
                <w:rFonts w:ascii="Times New Roman" w:hAnsi="Times New Roman" w:cs="Times New Roman"/>
                <w:sz w:val="22"/>
                <w:szCs w:val="22"/>
              </w:rPr>
              <w:t>3.17</w:t>
            </w:r>
          </w:p>
        </w:tc>
      </w:tr>
      <w:tr w:rsidR="00374F83" w:rsidRPr="003874AC" w14:paraId="6F1F9D20" w14:textId="77777777" w:rsidTr="00CA122E">
        <w:trPr>
          <w:trHeight w:val="227"/>
        </w:trPr>
        <w:tc>
          <w:tcPr>
            <w:tcW w:w="0" w:type="auto"/>
            <w:hideMark/>
          </w:tcPr>
          <w:p w14:paraId="6A92D36C" w14:textId="77777777" w:rsidR="00374F83" w:rsidRPr="003874AC" w:rsidRDefault="00374F83" w:rsidP="00B77C0B">
            <w:pPr>
              <w:pStyle w:val="NoSpacing"/>
              <w:rPr>
                <w:rFonts w:ascii="Times New Roman" w:hAnsi="Times New Roman" w:cs="Times New Roman"/>
                <w:sz w:val="22"/>
                <w:szCs w:val="22"/>
              </w:rPr>
            </w:pPr>
            <w:r w:rsidRPr="003874AC">
              <w:rPr>
                <w:rFonts w:ascii="Times New Roman" w:hAnsi="Times New Roman" w:cs="Times New Roman"/>
                <w:sz w:val="22"/>
                <w:szCs w:val="22"/>
              </w:rPr>
              <w:t>Nagaland</w:t>
            </w:r>
          </w:p>
        </w:tc>
        <w:tc>
          <w:tcPr>
            <w:tcW w:w="0" w:type="auto"/>
            <w:vAlign w:val="center"/>
            <w:hideMark/>
          </w:tcPr>
          <w:p w14:paraId="1DC5B95E" w14:textId="77777777" w:rsidR="00374F83" w:rsidRPr="003874AC" w:rsidRDefault="00374F83" w:rsidP="00CA122E">
            <w:pPr>
              <w:pStyle w:val="NoSpacing"/>
              <w:jc w:val="center"/>
              <w:rPr>
                <w:rFonts w:ascii="Times New Roman" w:hAnsi="Times New Roman" w:cs="Times New Roman"/>
                <w:sz w:val="22"/>
                <w:szCs w:val="22"/>
              </w:rPr>
            </w:pPr>
            <w:r w:rsidRPr="003874AC">
              <w:rPr>
                <w:rFonts w:ascii="Times New Roman" w:hAnsi="Times New Roman" w:cs="Times New Roman"/>
                <w:sz w:val="22"/>
                <w:szCs w:val="22"/>
              </w:rPr>
              <w:t>1.99</w:t>
            </w:r>
          </w:p>
        </w:tc>
        <w:tc>
          <w:tcPr>
            <w:tcW w:w="0" w:type="auto"/>
            <w:vAlign w:val="center"/>
            <w:hideMark/>
          </w:tcPr>
          <w:p w14:paraId="45650A8A" w14:textId="77777777" w:rsidR="00374F83" w:rsidRPr="003874AC" w:rsidRDefault="00374F83" w:rsidP="00CA122E">
            <w:pPr>
              <w:pStyle w:val="NoSpacing"/>
              <w:jc w:val="center"/>
              <w:rPr>
                <w:rFonts w:ascii="Times New Roman" w:hAnsi="Times New Roman" w:cs="Times New Roman"/>
                <w:sz w:val="22"/>
                <w:szCs w:val="22"/>
              </w:rPr>
            </w:pPr>
            <w:r w:rsidRPr="003874AC">
              <w:rPr>
                <w:rFonts w:ascii="Times New Roman" w:hAnsi="Times New Roman" w:cs="Times New Roman"/>
                <w:sz w:val="22"/>
                <w:szCs w:val="22"/>
              </w:rPr>
              <w:t>1.05</w:t>
            </w:r>
          </w:p>
        </w:tc>
        <w:tc>
          <w:tcPr>
            <w:tcW w:w="0" w:type="auto"/>
            <w:vAlign w:val="center"/>
            <w:hideMark/>
          </w:tcPr>
          <w:p w14:paraId="50521D3C" w14:textId="77777777" w:rsidR="00374F83" w:rsidRPr="003874AC" w:rsidRDefault="00374F83" w:rsidP="00CA122E">
            <w:pPr>
              <w:pStyle w:val="NoSpacing"/>
              <w:jc w:val="center"/>
              <w:rPr>
                <w:rFonts w:ascii="Times New Roman" w:hAnsi="Times New Roman" w:cs="Times New Roman"/>
                <w:sz w:val="22"/>
                <w:szCs w:val="22"/>
              </w:rPr>
            </w:pPr>
            <w:r w:rsidRPr="003874AC">
              <w:rPr>
                <w:rFonts w:ascii="Times New Roman" w:hAnsi="Times New Roman" w:cs="Times New Roman"/>
                <w:sz w:val="22"/>
                <w:szCs w:val="22"/>
              </w:rPr>
              <w:t>26.18</w:t>
            </w:r>
          </w:p>
        </w:tc>
        <w:tc>
          <w:tcPr>
            <w:tcW w:w="0" w:type="auto"/>
            <w:vAlign w:val="center"/>
            <w:hideMark/>
          </w:tcPr>
          <w:p w14:paraId="79385D1C" w14:textId="77777777" w:rsidR="00374F83" w:rsidRPr="003874AC" w:rsidRDefault="00374F83" w:rsidP="00CA122E">
            <w:pPr>
              <w:pStyle w:val="NoSpacing"/>
              <w:jc w:val="center"/>
              <w:rPr>
                <w:rFonts w:ascii="Times New Roman" w:hAnsi="Times New Roman" w:cs="Times New Roman"/>
                <w:sz w:val="22"/>
                <w:szCs w:val="22"/>
              </w:rPr>
            </w:pPr>
            <w:r w:rsidRPr="003874AC">
              <w:rPr>
                <w:rFonts w:ascii="Times New Roman" w:hAnsi="Times New Roman" w:cs="Times New Roman"/>
                <w:sz w:val="22"/>
                <w:szCs w:val="22"/>
              </w:rPr>
              <w:t>3.08</w:t>
            </w:r>
          </w:p>
        </w:tc>
        <w:tc>
          <w:tcPr>
            <w:tcW w:w="0" w:type="auto"/>
            <w:vAlign w:val="center"/>
            <w:hideMark/>
          </w:tcPr>
          <w:p w14:paraId="025904F8" w14:textId="77777777" w:rsidR="00374F83" w:rsidRPr="003874AC" w:rsidRDefault="00374F83" w:rsidP="00CA122E">
            <w:pPr>
              <w:pStyle w:val="NoSpacing"/>
              <w:jc w:val="center"/>
              <w:rPr>
                <w:rFonts w:ascii="Times New Roman" w:hAnsi="Times New Roman" w:cs="Times New Roman"/>
                <w:sz w:val="22"/>
                <w:szCs w:val="22"/>
              </w:rPr>
            </w:pPr>
            <w:r w:rsidRPr="003874AC">
              <w:rPr>
                <w:rFonts w:ascii="Times New Roman" w:hAnsi="Times New Roman" w:cs="Times New Roman"/>
                <w:sz w:val="22"/>
                <w:szCs w:val="22"/>
              </w:rPr>
              <w:t>1.03</w:t>
            </w:r>
          </w:p>
        </w:tc>
        <w:tc>
          <w:tcPr>
            <w:tcW w:w="0" w:type="auto"/>
            <w:vAlign w:val="center"/>
            <w:hideMark/>
          </w:tcPr>
          <w:p w14:paraId="2C205312" w14:textId="77777777" w:rsidR="00374F83" w:rsidRPr="003874AC" w:rsidRDefault="00374F83" w:rsidP="00CA122E">
            <w:pPr>
              <w:pStyle w:val="NoSpacing"/>
              <w:jc w:val="center"/>
              <w:rPr>
                <w:rFonts w:ascii="Times New Roman" w:hAnsi="Times New Roman" w:cs="Times New Roman"/>
                <w:sz w:val="22"/>
                <w:szCs w:val="22"/>
              </w:rPr>
            </w:pPr>
            <w:r w:rsidRPr="003874AC">
              <w:rPr>
                <w:rFonts w:ascii="Times New Roman" w:hAnsi="Times New Roman" w:cs="Times New Roman"/>
                <w:sz w:val="22"/>
                <w:szCs w:val="22"/>
              </w:rPr>
              <w:t>24.35</w:t>
            </w:r>
          </w:p>
        </w:tc>
      </w:tr>
      <w:tr w:rsidR="00374F83" w:rsidRPr="003874AC" w14:paraId="6C1331DD" w14:textId="77777777" w:rsidTr="00CA122E">
        <w:trPr>
          <w:trHeight w:val="227"/>
        </w:trPr>
        <w:tc>
          <w:tcPr>
            <w:tcW w:w="0" w:type="auto"/>
            <w:hideMark/>
          </w:tcPr>
          <w:p w14:paraId="2ADBBF53" w14:textId="77777777" w:rsidR="00374F83" w:rsidRPr="003874AC" w:rsidRDefault="00374F83" w:rsidP="00B77C0B">
            <w:pPr>
              <w:pStyle w:val="NoSpacing"/>
              <w:rPr>
                <w:rFonts w:ascii="Times New Roman" w:hAnsi="Times New Roman" w:cs="Times New Roman"/>
                <w:sz w:val="22"/>
                <w:szCs w:val="22"/>
              </w:rPr>
            </w:pPr>
            <w:r w:rsidRPr="003874AC">
              <w:rPr>
                <w:rFonts w:ascii="Times New Roman" w:hAnsi="Times New Roman" w:cs="Times New Roman"/>
                <w:sz w:val="22"/>
                <w:szCs w:val="22"/>
              </w:rPr>
              <w:t>Orissa</w:t>
            </w:r>
          </w:p>
        </w:tc>
        <w:tc>
          <w:tcPr>
            <w:tcW w:w="0" w:type="auto"/>
            <w:vAlign w:val="center"/>
            <w:hideMark/>
          </w:tcPr>
          <w:p w14:paraId="4B479FCE" w14:textId="77777777" w:rsidR="00374F83" w:rsidRPr="003874AC" w:rsidRDefault="00374F83" w:rsidP="00CA122E">
            <w:pPr>
              <w:pStyle w:val="NoSpacing"/>
              <w:jc w:val="center"/>
              <w:rPr>
                <w:rFonts w:ascii="Times New Roman" w:hAnsi="Times New Roman" w:cs="Times New Roman"/>
                <w:sz w:val="22"/>
                <w:szCs w:val="22"/>
              </w:rPr>
            </w:pPr>
            <w:r w:rsidRPr="003874AC">
              <w:rPr>
                <w:rFonts w:ascii="Times New Roman" w:hAnsi="Times New Roman" w:cs="Times New Roman"/>
                <w:sz w:val="22"/>
                <w:szCs w:val="22"/>
              </w:rPr>
              <w:t>22.26</w:t>
            </w:r>
          </w:p>
        </w:tc>
        <w:tc>
          <w:tcPr>
            <w:tcW w:w="0" w:type="auto"/>
            <w:vAlign w:val="center"/>
            <w:hideMark/>
          </w:tcPr>
          <w:p w14:paraId="15CA74B6" w14:textId="77777777" w:rsidR="00374F83" w:rsidRPr="003874AC" w:rsidRDefault="00374F83" w:rsidP="00CA122E">
            <w:pPr>
              <w:pStyle w:val="NoSpacing"/>
              <w:jc w:val="center"/>
              <w:rPr>
                <w:rFonts w:ascii="Times New Roman" w:hAnsi="Times New Roman" w:cs="Times New Roman"/>
                <w:sz w:val="22"/>
                <w:szCs w:val="22"/>
              </w:rPr>
            </w:pPr>
            <w:r w:rsidRPr="003874AC">
              <w:rPr>
                <w:rFonts w:ascii="Times New Roman" w:hAnsi="Times New Roman" w:cs="Times New Roman"/>
                <w:sz w:val="22"/>
                <w:szCs w:val="22"/>
              </w:rPr>
              <w:t>9.90</w:t>
            </w:r>
          </w:p>
        </w:tc>
        <w:tc>
          <w:tcPr>
            <w:tcW w:w="0" w:type="auto"/>
            <w:vAlign w:val="center"/>
            <w:hideMark/>
          </w:tcPr>
          <w:p w14:paraId="12EC198D" w14:textId="77777777" w:rsidR="00374F83" w:rsidRPr="003874AC" w:rsidRDefault="00374F83" w:rsidP="00CA122E">
            <w:pPr>
              <w:pStyle w:val="NoSpacing"/>
              <w:jc w:val="center"/>
              <w:rPr>
                <w:rFonts w:ascii="Times New Roman" w:hAnsi="Times New Roman" w:cs="Times New Roman"/>
                <w:sz w:val="22"/>
                <w:szCs w:val="22"/>
              </w:rPr>
            </w:pPr>
            <w:r w:rsidRPr="003874AC">
              <w:rPr>
                <w:rFonts w:ascii="Times New Roman" w:hAnsi="Times New Roman" w:cs="Times New Roman"/>
                <w:sz w:val="22"/>
                <w:szCs w:val="22"/>
              </w:rPr>
              <w:t>5.05</w:t>
            </w:r>
          </w:p>
        </w:tc>
        <w:tc>
          <w:tcPr>
            <w:tcW w:w="0" w:type="auto"/>
            <w:vAlign w:val="center"/>
            <w:hideMark/>
          </w:tcPr>
          <w:p w14:paraId="069CE8E1" w14:textId="77777777" w:rsidR="00374F83" w:rsidRPr="003874AC" w:rsidRDefault="00374F83" w:rsidP="00CA122E">
            <w:pPr>
              <w:pStyle w:val="NoSpacing"/>
              <w:jc w:val="center"/>
              <w:rPr>
                <w:rFonts w:ascii="Times New Roman" w:hAnsi="Times New Roman" w:cs="Times New Roman"/>
                <w:sz w:val="22"/>
                <w:szCs w:val="22"/>
              </w:rPr>
            </w:pPr>
            <w:r w:rsidRPr="003874AC">
              <w:rPr>
                <w:rFonts w:ascii="Times New Roman" w:hAnsi="Times New Roman" w:cs="Times New Roman"/>
                <w:sz w:val="22"/>
                <w:szCs w:val="22"/>
              </w:rPr>
              <w:t>13.33</w:t>
            </w:r>
          </w:p>
        </w:tc>
        <w:tc>
          <w:tcPr>
            <w:tcW w:w="0" w:type="auto"/>
            <w:vAlign w:val="center"/>
            <w:hideMark/>
          </w:tcPr>
          <w:p w14:paraId="4C9EAB1F" w14:textId="77777777" w:rsidR="00374F83" w:rsidRPr="003874AC" w:rsidRDefault="00374F83" w:rsidP="00CA122E">
            <w:pPr>
              <w:pStyle w:val="NoSpacing"/>
              <w:jc w:val="center"/>
              <w:rPr>
                <w:rFonts w:ascii="Times New Roman" w:hAnsi="Times New Roman" w:cs="Times New Roman"/>
                <w:sz w:val="22"/>
                <w:szCs w:val="22"/>
              </w:rPr>
            </w:pPr>
            <w:r w:rsidRPr="003874AC">
              <w:rPr>
                <w:rFonts w:ascii="Times New Roman" w:hAnsi="Times New Roman" w:cs="Times New Roman"/>
                <w:sz w:val="22"/>
                <w:szCs w:val="22"/>
              </w:rPr>
              <w:t>7.58</w:t>
            </w:r>
          </w:p>
        </w:tc>
        <w:tc>
          <w:tcPr>
            <w:tcW w:w="0" w:type="auto"/>
            <w:vAlign w:val="center"/>
            <w:hideMark/>
          </w:tcPr>
          <w:p w14:paraId="7E17A49E" w14:textId="77777777" w:rsidR="00374F83" w:rsidRPr="003874AC" w:rsidRDefault="00374F83" w:rsidP="00CA122E">
            <w:pPr>
              <w:pStyle w:val="NoSpacing"/>
              <w:jc w:val="center"/>
              <w:rPr>
                <w:rFonts w:ascii="Times New Roman" w:hAnsi="Times New Roman" w:cs="Times New Roman"/>
                <w:sz w:val="22"/>
                <w:szCs w:val="22"/>
              </w:rPr>
            </w:pPr>
            <w:r w:rsidRPr="003874AC">
              <w:rPr>
                <w:rFonts w:ascii="Times New Roman" w:hAnsi="Times New Roman" w:cs="Times New Roman"/>
                <w:sz w:val="22"/>
                <w:szCs w:val="22"/>
              </w:rPr>
              <w:t>3.61</w:t>
            </w:r>
          </w:p>
        </w:tc>
      </w:tr>
      <w:tr w:rsidR="00374F83" w:rsidRPr="003874AC" w14:paraId="0334CFF7" w14:textId="77777777" w:rsidTr="00CA122E">
        <w:trPr>
          <w:trHeight w:val="227"/>
        </w:trPr>
        <w:tc>
          <w:tcPr>
            <w:tcW w:w="0" w:type="auto"/>
            <w:hideMark/>
          </w:tcPr>
          <w:p w14:paraId="376CDDDA" w14:textId="77777777" w:rsidR="00374F83" w:rsidRPr="003874AC" w:rsidRDefault="00374F83" w:rsidP="00B77C0B">
            <w:pPr>
              <w:pStyle w:val="NoSpacing"/>
              <w:rPr>
                <w:rFonts w:ascii="Times New Roman" w:hAnsi="Times New Roman" w:cs="Times New Roman"/>
                <w:sz w:val="22"/>
                <w:szCs w:val="22"/>
              </w:rPr>
            </w:pPr>
            <w:r w:rsidRPr="003874AC">
              <w:rPr>
                <w:rFonts w:ascii="Times New Roman" w:hAnsi="Times New Roman" w:cs="Times New Roman"/>
                <w:sz w:val="22"/>
                <w:szCs w:val="22"/>
              </w:rPr>
              <w:t>Punjab</w:t>
            </w:r>
          </w:p>
        </w:tc>
        <w:tc>
          <w:tcPr>
            <w:tcW w:w="0" w:type="auto"/>
            <w:vAlign w:val="center"/>
            <w:hideMark/>
          </w:tcPr>
          <w:p w14:paraId="6687C3B1" w14:textId="77777777" w:rsidR="00374F83" w:rsidRPr="003874AC" w:rsidRDefault="00374F83" w:rsidP="00CA122E">
            <w:pPr>
              <w:pStyle w:val="NoSpacing"/>
              <w:jc w:val="center"/>
              <w:rPr>
                <w:rFonts w:ascii="Times New Roman" w:hAnsi="Times New Roman" w:cs="Times New Roman"/>
                <w:sz w:val="22"/>
                <w:szCs w:val="22"/>
              </w:rPr>
            </w:pPr>
            <w:r w:rsidRPr="003874AC">
              <w:rPr>
                <w:rFonts w:ascii="Times New Roman" w:hAnsi="Times New Roman" w:cs="Times New Roman"/>
                <w:sz w:val="22"/>
                <w:szCs w:val="22"/>
              </w:rPr>
              <w:t>23.30*</w:t>
            </w:r>
          </w:p>
        </w:tc>
        <w:tc>
          <w:tcPr>
            <w:tcW w:w="0" w:type="auto"/>
            <w:vAlign w:val="center"/>
            <w:hideMark/>
          </w:tcPr>
          <w:p w14:paraId="016B52CB" w14:textId="77777777" w:rsidR="00374F83" w:rsidRPr="003874AC" w:rsidRDefault="00374F83" w:rsidP="00CA122E">
            <w:pPr>
              <w:pStyle w:val="NoSpacing"/>
              <w:jc w:val="center"/>
              <w:rPr>
                <w:rFonts w:ascii="Times New Roman" w:hAnsi="Times New Roman" w:cs="Times New Roman"/>
                <w:sz w:val="22"/>
                <w:szCs w:val="22"/>
              </w:rPr>
            </w:pPr>
            <w:r w:rsidRPr="003874AC">
              <w:rPr>
                <w:rFonts w:ascii="Times New Roman" w:hAnsi="Times New Roman" w:cs="Times New Roman"/>
                <w:sz w:val="22"/>
                <w:szCs w:val="22"/>
              </w:rPr>
              <w:t>7.92*</w:t>
            </w:r>
          </w:p>
        </w:tc>
        <w:tc>
          <w:tcPr>
            <w:tcW w:w="0" w:type="auto"/>
            <w:vAlign w:val="center"/>
            <w:hideMark/>
          </w:tcPr>
          <w:p w14:paraId="0D53E208" w14:textId="77777777" w:rsidR="00374F83" w:rsidRPr="003874AC" w:rsidRDefault="00374F83" w:rsidP="00CA122E">
            <w:pPr>
              <w:pStyle w:val="NoSpacing"/>
              <w:jc w:val="center"/>
              <w:rPr>
                <w:rFonts w:ascii="Times New Roman" w:hAnsi="Times New Roman" w:cs="Times New Roman"/>
                <w:sz w:val="22"/>
                <w:szCs w:val="22"/>
              </w:rPr>
            </w:pPr>
            <w:r w:rsidRPr="003874AC">
              <w:rPr>
                <w:rFonts w:ascii="Times New Roman" w:hAnsi="Times New Roman" w:cs="Times New Roman"/>
                <w:sz w:val="22"/>
                <w:szCs w:val="22"/>
              </w:rPr>
              <w:t>3.35*</w:t>
            </w:r>
          </w:p>
        </w:tc>
        <w:tc>
          <w:tcPr>
            <w:tcW w:w="0" w:type="auto"/>
            <w:vAlign w:val="center"/>
            <w:hideMark/>
          </w:tcPr>
          <w:p w14:paraId="66130DCB" w14:textId="77777777" w:rsidR="00374F83" w:rsidRPr="003874AC" w:rsidRDefault="00374F83" w:rsidP="00CA122E">
            <w:pPr>
              <w:pStyle w:val="NoSpacing"/>
              <w:jc w:val="center"/>
              <w:rPr>
                <w:rFonts w:ascii="Times New Roman" w:hAnsi="Times New Roman" w:cs="Times New Roman"/>
                <w:sz w:val="22"/>
                <w:szCs w:val="22"/>
              </w:rPr>
            </w:pPr>
            <w:r w:rsidRPr="003874AC">
              <w:rPr>
                <w:rFonts w:ascii="Times New Roman" w:hAnsi="Times New Roman" w:cs="Times New Roman"/>
                <w:sz w:val="22"/>
                <w:szCs w:val="22"/>
              </w:rPr>
              <w:t>14.72</w:t>
            </w:r>
          </w:p>
        </w:tc>
        <w:tc>
          <w:tcPr>
            <w:tcW w:w="0" w:type="auto"/>
            <w:vAlign w:val="center"/>
            <w:hideMark/>
          </w:tcPr>
          <w:p w14:paraId="040515A1" w14:textId="77777777" w:rsidR="00374F83" w:rsidRPr="003874AC" w:rsidRDefault="00374F83" w:rsidP="00CA122E">
            <w:pPr>
              <w:pStyle w:val="NoSpacing"/>
              <w:jc w:val="center"/>
              <w:rPr>
                <w:rFonts w:ascii="Times New Roman" w:hAnsi="Times New Roman" w:cs="Times New Roman"/>
                <w:sz w:val="22"/>
                <w:szCs w:val="22"/>
              </w:rPr>
            </w:pPr>
            <w:r w:rsidRPr="003874AC">
              <w:rPr>
                <w:rFonts w:ascii="Times New Roman" w:hAnsi="Times New Roman" w:cs="Times New Roman"/>
                <w:sz w:val="22"/>
                <w:szCs w:val="22"/>
              </w:rPr>
              <w:t>7.99</w:t>
            </w:r>
          </w:p>
        </w:tc>
        <w:tc>
          <w:tcPr>
            <w:tcW w:w="0" w:type="auto"/>
            <w:vAlign w:val="center"/>
            <w:hideMark/>
          </w:tcPr>
          <w:p w14:paraId="521B7A6F" w14:textId="77777777" w:rsidR="00374F83" w:rsidRPr="003874AC" w:rsidRDefault="00374F83" w:rsidP="00CA122E">
            <w:pPr>
              <w:pStyle w:val="NoSpacing"/>
              <w:jc w:val="center"/>
              <w:rPr>
                <w:rFonts w:ascii="Times New Roman" w:hAnsi="Times New Roman" w:cs="Times New Roman"/>
                <w:sz w:val="22"/>
                <w:szCs w:val="22"/>
              </w:rPr>
            </w:pPr>
            <w:r w:rsidRPr="003874AC">
              <w:rPr>
                <w:rFonts w:ascii="Times New Roman" w:hAnsi="Times New Roman" w:cs="Times New Roman"/>
                <w:sz w:val="22"/>
                <w:szCs w:val="22"/>
              </w:rPr>
              <w:t>5.62</w:t>
            </w:r>
          </w:p>
        </w:tc>
      </w:tr>
      <w:tr w:rsidR="00374F83" w:rsidRPr="003874AC" w14:paraId="5E25A456" w14:textId="77777777" w:rsidTr="00CA122E">
        <w:trPr>
          <w:trHeight w:val="227"/>
        </w:trPr>
        <w:tc>
          <w:tcPr>
            <w:tcW w:w="0" w:type="auto"/>
            <w:hideMark/>
          </w:tcPr>
          <w:p w14:paraId="1C1AEFD4" w14:textId="77777777" w:rsidR="00374F83" w:rsidRPr="003874AC" w:rsidRDefault="00374F83" w:rsidP="00B77C0B">
            <w:pPr>
              <w:pStyle w:val="NoSpacing"/>
              <w:rPr>
                <w:rFonts w:ascii="Times New Roman" w:hAnsi="Times New Roman" w:cs="Times New Roman"/>
                <w:sz w:val="22"/>
                <w:szCs w:val="22"/>
              </w:rPr>
            </w:pPr>
            <w:r w:rsidRPr="003874AC">
              <w:rPr>
                <w:rFonts w:ascii="Times New Roman" w:hAnsi="Times New Roman" w:cs="Times New Roman"/>
                <w:sz w:val="22"/>
                <w:szCs w:val="22"/>
              </w:rPr>
              <w:t>Rajasthan</w:t>
            </w:r>
          </w:p>
        </w:tc>
        <w:tc>
          <w:tcPr>
            <w:tcW w:w="0" w:type="auto"/>
            <w:vAlign w:val="center"/>
            <w:hideMark/>
          </w:tcPr>
          <w:p w14:paraId="506F5B3A" w14:textId="77777777" w:rsidR="00374F83" w:rsidRPr="003874AC" w:rsidRDefault="00374F83" w:rsidP="00CA122E">
            <w:pPr>
              <w:pStyle w:val="NoSpacing"/>
              <w:jc w:val="center"/>
              <w:rPr>
                <w:rFonts w:ascii="Times New Roman" w:hAnsi="Times New Roman" w:cs="Times New Roman"/>
                <w:sz w:val="22"/>
                <w:szCs w:val="22"/>
              </w:rPr>
            </w:pPr>
            <w:r w:rsidRPr="003874AC">
              <w:rPr>
                <w:rFonts w:ascii="Times New Roman" w:hAnsi="Times New Roman" w:cs="Times New Roman"/>
                <w:sz w:val="22"/>
                <w:szCs w:val="22"/>
              </w:rPr>
              <w:t>18.96</w:t>
            </w:r>
          </w:p>
        </w:tc>
        <w:tc>
          <w:tcPr>
            <w:tcW w:w="0" w:type="auto"/>
            <w:vAlign w:val="center"/>
            <w:hideMark/>
          </w:tcPr>
          <w:p w14:paraId="5B0BAE4A" w14:textId="77777777" w:rsidR="00374F83" w:rsidRPr="003874AC" w:rsidRDefault="00374F83" w:rsidP="00CA122E">
            <w:pPr>
              <w:pStyle w:val="NoSpacing"/>
              <w:jc w:val="center"/>
              <w:rPr>
                <w:rFonts w:ascii="Times New Roman" w:hAnsi="Times New Roman" w:cs="Times New Roman"/>
                <w:sz w:val="22"/>
                <w:szCs w:val="22"/>
              </w:rPr>
            </w:pPr>
            <w:r w:rsidRPr="003874AC">
              <w:rPr>
                <w:rFonts w:ascii="Times New Roman" w:hAnsi="Times New Roman" w:cs="Times New Roman"/>
                <w:sz w:val="22"/>
                <w:szCs w:val="22"/>
              </w:rPr>
              <w:t>7.96</w:t>
            </w:r>
          </w:p>
        </w:tc>
        <w:tc>
          <w:tcPr>
            <w:tcW w:w="0" w:type="auto"/>
            <w:vAlign w:val="center"/>
            <w:hideMark/>
          </w:tcPr>
          <w:p w14:paraId="6A2A2E23" w14:textId="77777777" w:rsidR="00374F83" w:rsidRPr="003874AC" w:rsidRDefault="00374F83" w:rsidP="00CA122E">
            <w:pPr>
              <w:pStyle w:val="NoSpacing"/>
              <w:jc w:val="center"/>
              <w:rPr>
                <w:rFonts w:ascii="Times New Roman" w:hAnsi="Times New Roman" w:cs="Times New Roman"/>
                <w:sz w:val="22"/>
                <w:szCs w:val="22"/>
              </w:rPr>
            </w:pPr>
            <w:r w:rsidRPr="003874AC">
              <w:rPr>
                <w:rFonts w:ascii="Times New Roman" w:hAnsi="Times New Roman" w:cs="Times New Roman"/>
                <w:sz w:val="22"/>
                <w:szCs w:val="22"/>
              </w:rPr>
              <w:t>3.42</w:t>
            </w:r>
          </w:p>
        </w:tc>
        <w:tc>
          <w:tcPr>
            <w:tcW w:w="0" w:type="auto"/>
            <w:vAlign w:val="center"/>
            <w:hideMark/>
          </w:tcPr>
          <w:p w14:paraId="6F38EC13" w14:textId="77777777" w:rsidR="00374F83" w:rsidRPr="003874AC" w:rsidRDefault="00374F83" w:rsidP="00CA122E">
            <w:pPr>
              <w:pStyle w:val="NoSpacing"/>
              <w:jc w:val="center"/>
              <w:rPr>
                <w:rFonts w:ascii="Times New Roman" w:hAnsi="Times New Roman" w:cs="Times New Roman"/>
                <w:sz w:val="22"/>
                <w:szCs w:val="22"/>
              </w:rPr>
            </w:pPr>
            <w:r w:rsidRPr="003874AC">
              <w:rPr>
                <w:rFonts w:ascii="Times New Roman" w:hAnsi="Times New Roman" w:cs="Times New Roman"/>
                <w:sz w:val="22"/>
                <w:szCs w:val="22"/>
              </w:rPr>
              <w:t>20.98</w:t>
            </w:r>
          </w:p>
        </w:tc>
        <w:tc>
          <w:tcPr>
            <w:tcW w:w="0" w:type="auto"/>
            <w:vAlign w:val="center"/>
            <w:hideMark/>
          </w:tcPr>
          <w:p w14:paraId="75C57C4D" w14:textId="77777777" w:rsidR="00374F83" w:rsidRPr="003874AC" w:rsidRDefault="00374F83" w:rsidP="00CA122E">
            <w:pPr>
              <w:pStyle w:val="NoSpacing"/>
              <w:jc w:val="center"/>
              <w:rPr>
                <w:rFonts w:ascii="Times New Roman" w:hAnsi="Times New Roman" w:cs="Times New Roman"/>
                <w:sz w:val="22"/>
                <w:szCs w:val="22"/>
              </w:rPr>
            </w:pPr>
            <w:r w:rsidRPr="003874AC">
              <w:rPr>
                <w:rFonts w:ascii="Times New Roman" w:hAnsi="Times New Roman" w:cs="Times New Roman"/>
                <w:sz w:val="22"/>
                <w:szCs w:val="22"/>
              </w:rPr>
              <w:t>9.76</w:t>
            </w:r>
          </w:p>
        </w:tc>
        <w:tc>
          <w:tcPr>
            <w:tcW w:w="0" w:type="auto"/>
            <w:vAlign w:val="center"/>
            <w:hideMark/>
          </w:tcPr>
          <w:p w14:paraId="343E894A" w14:textId="77777777" w:rsidR="00374F83" w:rsidRPr="003874AC" w:rsidRDefault="00374F83" w:rsidP="00CA122E">
            <w:pPr>
              <w:pStyle w:val="NoSpacing"/>
              <w:jc w:val="center"/>
              <w:rPr>
                <w:rFonts w:ascii="Times New Roman" w:hAnsi="Times New Roman" w:cs="Times New Roman"/>
                <w:sz w:val="22"/>
                <w:szCs w:val="22"/>
              </w:rPr>
            </w:pPr>
            <w:r w:rsidRPr="003874AC">
              <w:rPr>
                <w:rFonts w:ascii="Times New Roman" w:hAnsi="Times New Roman" w:cs="Times New Roman"/>
                <w:sz w:val="22"/>
                <w:szCs w:val="22"/>
              </w:rPr>
              <w:t>3.85</w:t>
            </w:r>
          </w:p>
        </w:tc>
      </w:tr>
      <w:tr w:rsidR="00374F83" w:rsidRPr="003874AC" w14:paraId="7536E4AC" w14:textId="77777777" w:rsidTr="00CA122E">
        <w:trPr>
          <w:trHeight w:val="227"/>
        </w:trPr>
        <w:tc>
          <w:tcPr>
            <w:tcW w:w="0" w:type="auto"/>
            <w:hideMark/>
          </w:tcPr>
          <w:p w14:paraId="651E69E1" w14:textId="77777777" w:rsidR="00374F83" w:rsidRPr="003874AC" w:rsidRDefault="00374F83" w:rsidP="00B77C0B">
            <w:pPr>
              <w:pStyle w:val="NoSpacing"/>
              <w:rPr>
                <w:rFonts w:ascii="Times New Roman" w:hAnsi="Times New Roman" w:cs="Times New Roman"/>
                <w:sz w:val="22"/>
                <w:szCs w:val="22"/>
              </w:rPr>
            </w:pPr>
            <w:r w:rsidRPr="003874AC">
              <w:rPr>
                <w:rFonts w:ascii="Times New Roman" w:hAnsi="Times New Roman" w:cs="Times New Roman"/>
                <w:sz w:val="22"/>
                <w:szCs w:val="22"/>
              </w:rPr>
              <w:t>Tamil Nadu</w:t>
            </w:r>
          </w:p>
        </w:tc>
        <w:tc>
          <w:tcPr>
            <w:tcW w:w="0" w:type="auto"/>
            <w:vAlign w:val="center"/>
            <w:hideMark/>
          </w:tcPr>
          <w:p w14:paraId="5AD0D97E" w14:textId="77777777" w:rsidR="00374F83" w:rsidRPr="003874AC" w:rsidRDefault="00374F83" w:rsidP="00CA122E">
            <w:pPr>
              <w:pStyle w:val="NoSpacing"/>
              <w:jc w:val="center"/>
              <w:rPr>
                <w:rFonts w:ascii="Times New Roman" w:hAnsi="Times New Roman" w:cs="Times New Roman"/>
                <w:sz w:val="22"/>
                <w:szCs w:val="22"/>
              </w:rPr>
            </w:pPr>
            <w:r w:rsidRPr="003874AC">
              <w:rPr>
                <w:rFonts w:ascii="Times New Roman" w:hAnsi="Times New Roman" w:cs="Times New Roman"/>
                <w:sz w:val="22"/>
                <w:szCs w:val="22"/>
              </w:rPr>
              <w:t>35.99</w:t>
            </w:r>
          </w:p>
        </w:tc>
        <w:tc>
          <w:tcPr>
            <w:tcW w:w="0" w:type="auto"/>
            <w:vAlign w:val="center"/>
            <w:hideMark/>
          </w:tcPr>
          <w:p w14:paraId="1934A12D" w14:textId="77777777" w:rsidR="00374F83" w:rsidRPr="003874AC" w:rsidRDefault="00374F83" w:rsidP="00CA122E">
            <w:pPr>
              <w:pStyle w:val="NoSpacing"/>
              <w:jc w:val="center"/>
              <w:rPr>
                <w:rFonts w:ascii="Times New Roman" w:hAnsi="Times New Roman" w:cs="Times New Roman"/>
                <w:sz w:val="22"/>
                <w:szCs w:val="22"/>
              </w:rPr>
            </w:pPr>
            <w:r w:rsidRPr="003874AC">
              <w:rPr>
                <w:rFonts w:ascii="Times New Roman" w:hAnsi="Times New Roman" w:cs="Times New Roman"/>
                <w:sz w:val="22"/>
                <w:szCs w:val="22"/>
              </w:rPr>
              <w:t>12.52</w:t>
            </w:r>
          </w:p>
        </w:tc>
        <w:tc>
          <w:tcPr>
            <w:tcW w:w="0" w:type="auto"/>
            <w:vAlign w:val="center"/>
            <w:hideMark/>
          </w:tcPr>
          <w:p w14:paraId="1317EC21" w14:textId="77777777" w:rsidR="00374F83" w:rsidRPr="003874AC" w:rsidRDefault="00374F83" w:rsidP="00CA122E">
            <w:pPr>
              <w:pStyle w:val="NoSpacing"/>
              <w:jc w:val="center"/>
              <w:rPr>
                <w:rFonts w:ascii="Times New Roman" w:hAnsi="Times New Roman" w:cs="Times New Roman"/>
                <w:sz w:val="22"/>
                <w:szCs w:val="22"/>
              </w:rPr>
            </w:pPr>
            <w:r w:rsidRPr="003874AC">
              <w:rPr>
                <w:rFonts w:ascii="Times New Roman" w:hAnsi="Times New Roman" w:cs="Times New Roman"/>
                <w:sz w:val="22"/>
                <w:szCs w:val="22"/>
              </w:rPr>
              <w:t>3.42</w:t>
            </w:r>
          </w:p>
        </w:tc>
        <w:tc>
          <w:tcPr>
            <w:tcW w:w="0" w:type="auto"/>
            <w:vAlign w:val="center"/>
            <w:hideMark/>
          </w:tcPr>
          <w:p w14:paraId="17CA6AFC" w14:textId="77777777" w:rsidR="00374F83" w:rsidRPr="003874AC" w:rsidRDefault="00374F83" w:rsidP="00CA122E">
            <w:pPr>
              <w:pStyle w:val="NoSpacing"/>
              <w:jc w:val="center"/>
              <w:rPr>
                <w:rFonts w:ascii="Times New Roman" w:hAnsi="Times New Roman" w:cs="Times New Roman"/>
                <w:sz w:val="22"/>
                <w:szCs w:val="22"/>
              </w:rPr>
            </w:pPr>
            <w:r w:rsidRPr="003874AC">
              <w:rPr>
                <w:rFonts w:ascii="Times New Roman" w:hAnsi="Times New Roman" w:cs="Times New Roman"/>
                <w:sz w:val="22"/>
                <w:szCs w:val="22"/>
              </w:rPr>
              <w:t>32.11</w:t>
            </w:r>
          </w:p>
        </w:tc>
        <w:tc>
          <w:tcPr>
            <w:tcW w:w="0" w:type="auto"/>
            <w:vAlign w:val="center"/>
            <w:hideMark/>
          </w:tcPr>
          <w:p w14:paraId="4B76F37A" w14:textId="77777777" w:rsidR="00374F83" w:rsidRPr="003874AC" w:rsidRDefault="00374F83" w:rsidP="00CA122E">
            <w:pPr>
              <w:pStyle w:val="NoSpacing"/>
              <w:jc w:val="center"/>
              <w:rPr>
                <w:rFonts w:ascii="Times New Roman" w:hAnsi="Times New Roman" w:cs="Times New Roman"/>
                <w:sz w:val="22"/>
                <w:szCs w:val="22"/>
              </w:rPr>
            </w:pPr>
            <w:r w:rsidRPr="003874AC">
              <w:rPr>
                <w:rFonts w:ascii="Times New Roman" w:hAnsi="Times New Roman" w:cs="Times New Roman"/>
                <w:sz w:val="22"/>
                <w:szCs w:val="22"/>
              </w:rPr>
              <w:t>12.30</w:t>
            </w:r>
          </w:p>
        </w:tc>
        <w:tc>
          <w:tcPr>
            <w:tcW w:w="0" w:type="auto"/>
            <w:vAlign w:val="center"/>
            <w:hideMark/>
          </w:tcPr>
          <w:p w14:paraId="2D67766C" w14:textId="77777777" w:rsidR="00374F83" w:rsidRPr="003874AC" w:rsidRDefault="00374F83" w:rsidP="00CA122E">
            <w:pPr>
              <w:pStyle w:val="NoSpacing"/>
              <w:jc w:val="center"/>
              <w:rPr>
                <w:rFonts w:ascii="Times New Roman" w:hAnsi="Times New Roman" w:cs="Times New Roman"/>
                <w:sz w:val="22"/>
                <w:szCs w:val="22"/>
              </w:rPr>
            </w:pPr>
            <w:r w:rsidRPr="003874AC">
              <w:rPr>
                <w:rFonts w:ascii="Times New Roman" w:hAnsi="Times New Roman" w:cs="Times New Roman"/>
                <w:sz w:val="22"/>
                <w:szCs w:val="22"/>
              </w:rPr>
              <w:t>3.18</w:t>
            </w:r>
          </w:p>
        </w:tc>
      </w:tr>
      <w:tr w:rsidR="00374F83" w:rsidRPr="003874AC" w14:paraId="08FE365C" w14:textId="77777777" w:rsidTr="00CA122E">
        <w:trPr>
          <w:trHeight w:val="227"/>
        </w:trPr>
        <w:tc>
          <w:tcPr>
            <w:tcW w:w="0" w:type="auto"/>
            <w:hideMark/>
          </w:tcPr>
          <w:p w14:paraId="55EF99B6" w14:textId="77777777" w:rsidR="00374F83" w:rsidRPr="003874AC" w:rsidRDefault="00374F83" w:rsidP="00B77C0B">
            <w:pPr>
              <w:pStyle w:val="NoSpacing"/>
              <w:rPr>
                <w:rFonts w:ascii="Times New Roman" w:hAnsi="Times New Roman" w:cs="Times New Roman"/>
                <w:sz w:val="22"/>
                <w:szCs w:val="22"/>
              </w:rPr>
            </w:pPr>
            <w:r w:rsidRPr="003874AC">
              <w:rPr>
                <w:rFonts w:ascii="Times New Roman" w:hAnsi="Times New Roman" w:cs="Times New Roman"/>
                <w:sz w:val="22"/>
                <w:szCs w:val="22"/>
              </w:rPr>
              <w:t>Uttar Pradesh</w:t>
            </w:r>
          </w:p>
        </w:tc>
        <w:tc>
          <w:tcPr>
            <w:tcW w:w="0" w:type="auto"/>
            <w:vAlign w:val="center"/>
            <w:hideMark/>
          </w:tcPr>
          <w:p w14:paraId="63E8C570" w14:textId="77777777" w:rsidR="00374F83" w:rsidRPr="003874AC" w:rsidRDefault="00374F83" w:rsidP="00CA122E">
            <w:pPr>
              <w:pStyle w:val="NoSpacing"/>
              <w:jc w:val="center"/>
              <w:rPr>
                <w:rFonts w:ascii="Times New Roman" w:hAnsi="Times New Roman" w:cs="Times New Roman"/>
                <w:sz w:val="22"/>
                <w:szCs w:val="22"/>
              </w:rPr>
            </w:pPr>
            <w:r w:rsidRPr="003874AC">
              <w:rPr>
                <w:rFonts w:ascii="Times New Roman" w:hAnsi="Times New Roman" w:cs="Times New Roman"/>
                <w:sz w:val="22"/>
                <w:szCs w:val="22"/>
              </w:rPr>
              <w:t>60.69</w:t>
            </w:r>
          </w:p>
        </w:tc>
        <w:tc>
          <w:tcPr>
            <w:tcW w:w="0" w:type="auto"/>
            <w:vAlign w:val="center"/>
            <w:hideMark/>
          </w:tcPr>
          <w:p w14:paraId="73EB5039" w14:textId="77777777" w:rsidR="00374F83" w:rsidRPr="003874AC" w:rsidRDefault="00374F83" w:rsidP="00CA122E">
            <w:pPr>
              <w:pStyle w:val="NoSpacing"/>
              <w:jc w:val="center"/>
              <w:rPr>
                <w:rFonts w:ascii="Times New Roman" w:hAnsi="Times New Roman" w:cs="Times New Roman"/>
                <w:sz w:val="22"/>
                <w:szCs w:val="22"/>
              </w:rPr>
            </w:pPr>
            <w:r w:rsidRPr="003874AC">
              <w:rPr>
                <w:rFonts w:ascii="Times New Roman" w:hAnsi="Times New Roman" w:cs="Times New Roman"/>
                <w:sz w:val="22"/>
                <w:szCs w:val="22"/>
              </w:rPr>
              <w:t>31.15</w:t>
            </w:r>
          </w:p>
        </w:tc>
        <w:tc>
          <w:tcPr>
            <w:tcW w:w="0" w:type="auto"/>
            <w:vAlign w:val="center"/>
            <w:hideMark/>
          </w:tcPr>
          <w:p w14:paraId="2571822F" w14:textId="77777777" w:rsidR="00374F83" w:rsidRPr="003874AC" w:rsidRDefault="00374F83" w:rsidP="00CA122E">
            <w:pPr>
              <w:pStyle w:val="NoSpacing"/>
              <w:jc w:val="center"/>
              <w:rPr>
                <w:rFonts w:ascii="Times New Roman" w:hAnsi="Times New Roman" w:cs="Times New Roman"/>
                <w:sz w:val="22"/>
                <w:szCs w:val="22"/>
              </w:rPr>
            </w:pPr>
            <w:r w:rsidRPr="003874AC">
              <w:rPr>
                <w:rFonts w:ascii="Times New Roman" w:hAnsi="Times New Roman" w:cs="Times New Roman"/>
                <w:sz w:val="22"/>
                <w:szCs w:val="22"/>
              </w:rPr>
              <w:t>3.78</w:t>
            </w:r>
          </w:p>
        </w:tc>
        <w:tc>
          <w:tcPr>
            <w:tcW w:w="0" w:type="auto"/>
            <w:vAlign w:val="center"/>
            <w:hideMark/>
          </w:tcPr>
          <w:p w14:paraId="0E9C1912" w14:textId="77777777" w:rsidR="00374F83" w:rsidRPr="003874AC" w:rsidRDefault="00374F83" w:rsidP="00CA122E">
            <w:pPr>
              <w:pStyle w:val="NoSpacing"/>
              <w:jc w:val="center"/>
              <w:rPr>
                <w:rFonts w:ascii="Times New Roman" w:hAnsi="Times New Roman" w:cs="Times New Roman"/>
                <w:sz w:val="22"/>
                <w:szCs w:val="22"/>
              </w:rPr>
            </w:pPr>
            <w:r w:rsidRPr="003874AC">
              <w:rPr>
                <w:rFonts w:ascii="Times New Roman" w:hAnsi="Times New Roman" w:cs="Times New Roman"/>
                <w:sz w:val="22"/>
                <w:szCs w:val="22"/>
              </w:rPr>
              <w:t>49.24</w:t>
            </w:r>
          </w:p>
        </w:tc>
        <w:tc>
          <w:tcPr>
            <w:tcW w:w="0" w:type="auto"/>
            <w:vAlign w:val="center"/>
            <w:hideMark/>
          </w:tcPr>
          <w:p w14:paraId="157A92C5" w14:textId="77777777" w:rsidR="00374F83" w:rsidRPr="003874AC" w:rsidRDefault="00374F83" w:rsidP="00CA122E">
            <w:pPr>
              <w:pStyle w:val="NoSpacing"/>
              <w:jc w:val="center"/>
              <w:rPr>
                <w:rFonts w:ascii="Times New Roman" w:hAnsi="Times New Roman" w:cs="Times New Roman"/>
                <w:sz w:val="22"/>
                <w:szCs w:val="22"/>
              </w:rPr>
            </w:pPr>
            <w:r w:rsidRPr="003874AC">
              <w:rPr>
                <w:rFonts w:ascii="Times New Roman" w:hAnsi="Times New Roman" w:cs="Times New Roman"/>
                <w:sz w:val="22"/>
                <w:szCs w:val="22"/>
              </w:rPr>
              <w:t>27.80</w:t>
            </w:r>
          </w:p>
        </w:tc>
        <w:tc>
          <w:tcPr>
            <w:tcW w:w="0" w:type="auto"/>
            <w:vAlign w:val="center"/>
            <w:hideMark/>
          </w:tcPr>
          <w:p w14:paraId="1A5D5122" w14:textId="77777777" w:rsidR="00374F83" w:rsidRPr="003874AC" w:rsidRDefault="00374F83" w:rsidP="00CA122E">
            <w:pPr>
              <w:pStyle w:val="NoSpacing"/>
              <w:jc w:val="center"/>
              <w:rPr>
                <w:rFonts w:ascii="Times New Roman" w:hAnsi="Times New Roman" w:cs="Times New Roman"/>
                <w:sz w:val="22"/>
                <w:szCs w:val="22"/>
              </w:rPr>
            </w:pPr>
            <w:r w:rsidRPr="003874AC">
              <w:rPr>
                <w:rFonts w:ascii="Times New Roman" w:hAnsi="Times New Roman" w:cs="Times New Roman"/>
                <w:sz w:val="22"/>
                <w:szCs w:val="22"/>
              </w:rPr>
              <w:t>3.15</w:t>
            </w:r>
          </w:p>
        </w:tc>
      </w:tr>
      <w:tr w:rsidR="00374F83" w:rsidRPr="003874AC" w14:paraId="66326E54" w14:textId="77777777" w:rsidTr="00CA122E">
        <w:trPr>
          <w:trHeight w:val="227"/>
        </w:trPr>
        <w:tc>
          <w:tcPr>
            <w:tcW w:w="0" w:type="auto"/>
            <w:hideMark/>
          </w:tcPr>
          <w:p w14:paraId="1B7812F5" w14:textId="77777777" w:rsidR="00374F83" w:rsidRPr="003874AC" w:rsidRDefault="00374F83" w:rsidP="00B77C0B">
            <w:pPr>
              <w:pStyle w:val="NoSpacing"/>
              <w:rPr>
                <w:rFonts w:ascii="Times New Roman" w:hAnsi="Times New Roman" w:cs="Times New Roman"/>
                <w:sz w:val="22"/>
                <w:szCs w:val="22"/>
              </w:rPr>
            </w:pPr>
            <w:r w:rsidRPr="003874AC">
              <w:rPr>
                <w:rFonts w:ascii="Times New Roman" w:hAnsi="Times New Roman" w:cs="Times New Roman"/>
                <w:sz w:val="22"/>
                <w:szCs w:val="22"/>
              </w:rPr>
              <w:t>West Bengal</w:t>
            </w:r>
          </w:p>
        </w:tc>
        <w:tc>
          <w:tcPr>
            <w:tcW w:w="0" w:type="auto"/>
            <w:vAlign w:val="center"/>
            <w:hideMark/>
          </w:tcPr>
          <w:p w14:paraId="687C08EF" w14:textId="77777777" w:rsidR="00374F83" w:rsidRPr="003874AC" w:rsidRDefault="00374F83" w:rsidP="00CA122E">
            <w:pPr>
              <w:pStyle w:val="NoSpacing"/>
              <w:jc w:val="center"/>
              <w:rPr>
                <w:rFonts w:ascii="Times New Roman" w:hAnsi="Times New Roman" w:cs="Times New Roman"/>
                <w:sz w:val="22"/>
                <w:szCs w:val="22"/>
              </w:rPr>
            </w:pPr>
            <w:r w:rsidRPr="003874AC">
              <w:rPr>
                <w:rFonts w:ascii="Times New Roman" w:hAnsi="Times New Roman" w:cs="Times New Roman"/>
                <w:sz w:val="22"/>
                <w:szCs w:val="22"/>
              </w:rPr>
              <w:t>36.14</w:t>
            </w:r>
          </w:p>
        </w:tc>
        <w:tc>
          <w:tcPr>
            <w:tcW w:w="0" w:type="auto"/>
            <w:vAlign w:val="center"/>
            <w:hideMark/>
          </w:tcPr>
          <w:p w14:paraId="796FA10C" w14:textId="77777777" w:rsidR="00374F83" w:rsidRPr="003874AC" w:rsidRDefault="00374F83" w:rsidP="00CA122E">
            <w:pPr>
              <w:pStyle w:val="NoSpacing"/>
              <w:jc w:val="center"/>
              <w:rPr>
                <w:rFonts w:ascii="Times New Roman" w:hAnsi="Times New Roman" w:cs="Times New Roman"/>
                <w:sz w:val="22"/>
                <w:szCs w:val="22"/>
              </w:rPr>
            </w:pPr>
            <w:r w:rsidRPr="003874AC">
              <w:rPr>
                <w:rFonts w:ascii="Times New Roman" w:hAnsi="Times New Roman" w:cs="Times New Roman"/>
                <w:sz w:val="22"/>
                <w:szCs w:val="22"/>
              </w:rPr>
              <w:t>19.42</w:t>
            </w:r>
          </w:p>
        </w:tc>
        <w:tc>
          <w:tcPr>
            <w:tcW w:w="0" w:type="auto"/>
            <w:vAlign w:val="center"/>
            <w:hideMark/>
          </w:tcPr>
          <w:p w14:paraId="4A823C99" w14:textId="77777777" w:rsidR="00374F83" w:rsidRPr="003874AC" w:rsidRDefault="00374F83" w:rsidP="00CA122E">
            <w:pPr>
              <w:pStyle w:val="NoSpacing"/>
              <w:jc w:val="center"/>
              <w:rPr>
                <w:rFonts w:ascii="Times New Roman" w:hAnsi="Times New Roman" w:cs="Times New Roman"/>
                <w:sz w:val="22"/>
                <w:szCs w:val="22"/>
              </w:rPr>
            </w:pPr>
            <w:r w:rsidRPr="003874AC">
              <w:rPr>
                <w:rFonts w:ascii="Times New Roman" w:hAnsi="Times New Roman" w:cs="Times New Roman"/>
                <w:sz w:val="22"/>
                <w:szCs w:val="22"/>
              </w:rPr>
              <w:t>4.87</w:t>
            </w:r>
          </w:p>
        </w:tc>
        <w:tc>
          <w:tcPr>
            <w:tcW w:w="0" w:type="auto"/>
            <w:vAlign w:val="center"/>
            <w:hideMark/>
          </w:tcPr>
          <w:p w14:paraId="015BA183" w14:textId="77777777" w:rsidR="00374F83" w:rsidRPr="003874AC" w:rsidRDefault="00374F83" w:rsidP="00CA122E">
            <w:pPr>
              <w:pStyle w:val="NoSpacing"/>
              <w:jc w:val="center"/>
              <w:rPr>
                <w:rFonts w:ascii="Times New Roman" w:hAnsi="Times New Roman" w:cs="Times New Roman"/>
                <w:sz w:val="22"/>
                <w:szCs w:val="22"/>
              </w:rPr>
            </w:pPr>
            <w:r w:rsidRPr="003874AC">
              <w:rPr>
                <w:rFonts w:ascii="Times New Roman" w:hAnsi="Times New Roman" w:cs="Times New Roman"/>
                <w:sz w:val="22"/>
                <w:szCs w:val="22"/>
              </w:rPr>
              <w:t>29.47</w:t>
            </w:r>
          </w:p>
        </w:tc>
        <w:tc>
          <w:tcPr>
            <w:tcW w:w="0" w:type="auto"/>
            <w:vAlign w:val="center"/>
            <w:hideMark/>
          </w:tcPr>
          <w:p w14:paraId="334FCF98" w14:textId="77777777" w:rsidR="00374F83" w:rsidRPr="003874AC" w:rsidRDefault="00374F83" w:rsidP="00CA122E">
            <w:pPr>
              <w:pStyle w:val="NoSpacing"/>
              <w:jc w:val="center"/>
              <w:rPr>
                <w:rFonts w:ascii="Times New Roman" w:hAnsi="Times New Roman" w:cs="Times New Roman"/>
                <w:sz w:val="22"/>
                <w:szCs w:val="22"/>
              </w:rPr>
            </w:pPr>
            <w:r w:rsidRPr="003874AC">
              <w:rPr>
                <w:rFonts w:ascii="Times New Roman" w:hAnsi="Times New Roman" w:cs="Times New Roman"/>
                <w:sz w:val="22"/>
                <w:szCs w:val="22"/>
              </w:rPr>
              <w:t>16.80</w:t>
            </w:r>
          </w:p>
        </w:tc>
        <w:tc>
          <w:tcPr>
            <w:tcW w:w="0" w:type="auto"/>
            <w:vAlign w:val="center"/>
            <w:hideMark/>
          </w:tcPr>
          <w:p w14:paraId="17DBCC1F" w14:textId="77777777" w:rsidR="00374F83" w:rsidRPr="003874AC" w:rsidRDefault="00374F83" w:rsidP="00CA122E">
            <w:pPr>
              <w:pStyle w:val="NoSpacing"/>
              <w:jc w:val="center"/>
              <w:rPr>
                <w:rFonts w:ascii="Times New Roman" w:hAnsi="Times New Roman" w:cs="Times New Roman"/>
                <w:sz w:val="22"/>
                <w:szCs w:val="22"/>
              </w:rPr>
            </w:pPr>
            <w:r w:rsidRPr="003874AC">
              <w:rPr>
                <w:rFonts w:ascii="Times New Roman" w:hAnsi="Times New Roman" w:cs="Times New Roman"/>
                <w:sz w:val="22"/>
                <w:szCs w:val="22"/>
              </w:rPr>
              <w:t>3.87</w:t>
            </w:r>
          </w:p>
        </w:tc>
      </w:tr>
      <w:tr w:rsidR="00374F83" w:rsidRPr="003874AC" w14:paraId="601CA7CC" w14:textId="77777777" w:rsidTr="00CA122E">
        <w:trPr>
          <w:trHeight w:val="227"/>
        </w:trPr>
        <w:tc>
          <w:tcPr>
            <w:tcW w:w="0" w:type="auto"/>
            <w:hideMark/>
          </w:tcPr>
          <w:p w14:paraId="37BF8364" w14:textId="77777777" w:rsidR="00374F83" w:rsidRPr="003874AC" w:rsidRDefault="00374F83" w:rsidP="00B77C0B">
            <w:pPr>
              <w:pStyle w:val="NoSpacing"/>
              <w:rPr>
                <w:rFonts w:ascii="Times New Roman" w:hAnsi="Times New Roman" w:cs="Times New Roman"/>
                <w:sz w:val="22"/>
                <w:szCs w:val="22"/>
              </w:rPr>
            </w:pPr>
            <w:r w:rsidRPr="003874AC">
              <w:rPr>
                <w:rFonts w:ascii="Times New Roman" w:hAnsi="Times New Roman" w:cs="Times New Roman"/>
                <w:sz w:val="22"/>
                <w:szCs w:val="22"/>
              </w:rPr>
              <w:t>TOTAL</w:t>
            </w:r>
          </w:p>
        </w:tc>
        <w:tc>
          <w:tcPr>
            <w:tcW w:w="0" w:type="auto"/>
            <w:vAlign w:val="center"/>
            <w:hideMark/>
          </w:tcPr>
          <w:p w14:paraId="492060A7" w14:textId="77777777" w:rsidR="00374F83" w:rsidRPr="003874AC" w:rsidRDefault="00374F83" w:rsidP="00CA122E">
            <w:pPr>
              <w:pStyle w:val="NoSpacing"/>
              <w:jc w:val="center"/>
              <w:rPr>
                <w:rFonts w:ascii="Times New Roman" w:hAnsi="Times New Roman" w:cs="Times New Roman"/>
                <w:sz w:val="22"/>
                <w:szCs w:val="22"/>
              </w:rPr>
            </w:pPr>
            <w:r w:rsidRPr="003874AC">
              <w:rPr>
                <w:rFonts w:ascii="Times New Roman" w:hAnsi="Times New Roman" w:cs="Times New Roman"/>
                <w:sz w:val="22"/>
                <w:szCs w:val="22"/>
              </w:rPr>
              <w:t>433.69</w:t>
            </w:r>
          </w:p>
        </w:tc>
        <w:tc>
          <w:tcPr>
            <w:tcW w:w="0" w:type="auto"/>
            <w:vAlign w:val="center"/>
            <w:hideMark/>
          </w:tcPr>
          <w:p w14:paraId="7A28D1E3" w14:textId="77777777" w:rsidR="00374F83" w:rsidRPr="003874AC" w:rsidRDefault="00374F83" w:rsidP="00CA122E">
            <w:pPr>
              <w:pStyle w:val="NoSpacing"/>
              <w:jc w:val="center"/>
              <w:rPr>
                <w:rFonts w:ascii="Times New Roman" w:hAnsi="Times New Roman" w:cs="Times New Roman"/>
                <w:sz w:val="22"/>
                <w:szCs w:val="22"/>
              </w:rPr>
            </w:pPr>
            <w:r w:rsidRPr="003874AC">
              <w:rPr>
                <w:rFonts w:ascii="Times New Roman" w:hAnsi="Times New Roman" w:cs="Times New Roman"/>
                <w:sz w:val="22"/>
                <w:szCs w:val="22"/>
              </w:rPr>
              <w:t>192.96</w:t>
            </w:r>
          </w:p>
        </w:tc>
        <w:tc>
          <w:tcPr>
            <w:tcW w:w="0" w:type="auto"/>
            <w:vAlign w:val="center"/>
            <w:hideMark/>
          </w:tcPr>
          <w:p w14:paraId="0B08EEE6" w14:textId="77777777" w:rsidR="00374F83" w:rsidRPr="003874AC" w:rsidRDefault="00374F83" w:rsidP="00CA122E">
            <w:pPr>
              <w:pStyle w:val="NoSpacing"/>
              <w:jc w:val="center"/>
              <w:rPr>
                <w:rFonts w:ascii="Times New Roman" w:hAnsi="Times New Roman" w:cs="Times New Roman"/>
                <w:sz w:val="22"/>
                <w:szCs w:val="22"/>
              </w:rPr>
            </w:pPr>
            <w:r w:rsidRPr="003874AC">
              <w:rPr>
                <w:rFonts w:ascii="Times New Roman" w:hAnsi="Times New Roman" w:cs="Times New Roman"/>
                <w:sz w:val="22"/>
                <w:szCs w:val="22"/>
              </w:rPr>
              <w:t>3.99</w:t>
            </w:r>
          </w:p>
        </w:tc>
        <w:tc>
          <w:tcPr>
            <w:tcW w:w="0" w:type="auto"/>
            <w:vAlign w:val="center"/>
            <w:hideMark/>
          </w:tcPr>
          <w:p w14:paraId="70C1A3BA" w14:textId="77777777" w:rsidR="00374F83" w:rsidRPr="003874AC" w:rsidRDefault="00374F83" w:rsidP="00CA122E">
            <w:pPr>
              <w:pStyle w:val="NoSpacing"/>
              <w:jc w:val="center"/>
              <w:rPr>
                <w:rFonts w:ascii="Times New Roman" w:hAnsi="Times New Roman" w:cs="Times New Roman"/>
                <w:sz w:val="22"/>
                <w:szCs w:val="22"/>
              </w:rPr>
            </w:pPr>
            <w:r w:rsidRPr="003874AC">
              <w:rPr>
                <w:rFonts w:ascii="Times New Roman" w:hAnsi="Times New Roman" w:cs="Times New Roman"/>
                <w:sz w:val="22"/>
                <w:szCs w:val="22"/>
              </w:rPr>
              <w:t>392.80</w:t>
            </w:r>
          </w:p>
        </w:tc>
        <w:tc>
          <w:tcPr>
            <w:tcW w:w="0" w:type="auto"/>
            <w:vAlign w:val="center"/>
            <w:hideMark/>
          </w:tcPr>
          <w:p w14:paraId="4FB2FCEC" w14:textId="77777777" w:rsidR="00374F83" w:rsidRPr="003874AC" w:rsidRDefault="00374F83" w:rsidP="00CA122E">
            <w:pPr>
              <w:pStyle w:val="NoSpacing"/>
              <w:jc w:val="center"/>
              <w:rPr>
                <w:rFonts w:ascii="Times New Roman" w:hAnsi="Times New Roman" w:cs="Times New Roman"/>
                <w:sz w:val="22"/>
                <w:szCs w:val="22"/>
              </w:rPr>
            </w:pPr>
            <w:r w:rsidRPr="003874AC">
              <w:rPr>
                <w:rFonts w:ascii="Times New Roman" w:hAnsi="Times New Roman" w:cs="Times New Roman"/>
                <w:sz w:val="22"/>
                <w:szCs w:val="22"/>
              </w:rPr>
              <w:t>171.73</w:t>
            </w:r>
          </w:p>
        </w:tc>
        <w:tc>
          <w:tcPr>
            <w:tcW w:w="0" w:type="auto"/>
            <w:vAlign w:val="center"/>
            <w:hideMark/>
          </w:tcPr>
          <w:p w14:paraId="209DC85F" w14:textId="77777777" w:rsidR="00374F83" w:rsidRPr="003874AC" w:rsidRDefault="00374F83" w:rsidP="00CA122E">
            <w:pPr>
              <w:pStyle w:val="NoSpacing"/>
              <w:jc w:val="center"/>
              <w:rPr>
                <w:rFonts w:ascii="Times New Roman" w:hAnsi="Times New Roman" w:cs="Times New Roman"/>
                <w:sz w:val="22"/>
                <w:szCs w:val="22"/>
              </w:rPr>
            </w:pPr>
            <w:r w:rsidRPr="003874AC">
              <w:rPr>
                <w:rFonts w:ascii="Times New Roman" w:hAnsi="Times New Roman" w:cs="Times New Roman"/>
                <w:sz w:val="22"/>
                <w:szCs w:val="22"/>
              </w:rPr>
              <w:t>3.30</w:t>
            </w:r>
          </w:p>
        </w:tc>
      </w:tr>
    </w:tbl>
    <w:p w14:paraId="465E1B4B" w14:textId="77777777" w:rsidR="00374F83" w:rsidRPr="006B6440" w:rsidRDefault="00374F83" w:rsidP="003874AC">
      <w:pPr>
        <w:pStyle w:val="Sources"/>
        <w:rPr>
          <w:sz w:val="18"/>
          <w:szCs w:val="16"/>
        </w:rPr>
      </w:pPr>
      <w:r w:rsidRPr="006B6440">
        <w:rPr>
          <w:b/>
          <w:bCs/>
          <w:sz w:val="18"/>
          <w:szCs w:val="16"/>
        </w:rPr>
        <w:t>Source:</w:t>
      </w:r>
      <w:r w:rsidRPr="006B6440">
        <w:rPr>
          <w:sz w:val="18"/>
          <w:szCs w:val="16"/>
        </w:rPr>
        <w:t> Information furnished by States to the Finance Commission and the Planning Commission.</w:t>
      </w:r>
    </w:p>
    <w:p w14:paraId="2349F273" w14:textId="77777777" w:rsidR="00374F83" w:rsidRPr="006B6440" w:rsidRDefault="00374F83" w:rsidP="003874AC">
      <w:pPr>
        <w:pStyle w:val="Sources"/>
        <w:rPr>
          <w:sz w:val="18"/>
          <w:szCs w:val="16"/>
        </w:rPr>
      </w:pPr>
      <w:r w:rsidRPr="006B6440">
        <w:rPr>
          <w:sz w:val="18"/>
          <w:szCs w:val="16"/>
        </w:rPr>
        <w:t>(a) Based on population as on 1st March, 1966.</w:t>
      </w:r>
    </w:p>
    <w:p w14:paraId="66E6F653" w14:textId="77777777" w:rsidR="00374F83" w:rsidRPr="006B6440" w:rsidRDefault="00374F83" w:rsidP="003874AC">
      <w:pPr>
        <w:pStyle w:val="Sources"/>
        <w:rPr>
          <w:sz w:val="18"/>
          <w:szCs w:val="16"/>
        </w:rPr>
      </w:pPr>
      <w:r w:rsidRPr="006B6440">
        <w:rPr>
          <w:sz w:val="18"/>
          <w:szCs w:val="16"/>
        </w:rPr>
        <w:t>(b) Based on population as on 1st March, 1969.</w:t>
      </w:r>
    </w:p>
    <w:p w14:paraId="0639D66C" w14:textId="406D77A4" w:rsidR="006B6440" w:rsidRDefault="00374F83" w:rsidP="006B6440">
      <w:pPr>
        <w:pStyle w:val="Sources"/>
        <w:rPr>
          <w:sz w:val="18"/>
          <w:szCs w:val="16"/>
        </w:rPr>
      </w:pPr>
      <w:r w:rsidRPr="006B6440">
        <w:rPr>
          <w:sz w:val="18"/>
          <w:szCs w:val="16"/>
        </w:rPr>
        <w:t xml:space="preserve">(c) Does not include provision for maintenance of public works and irrigation projects to be completed during the Fourth Plan period and also Rs. 0.68 Lakh 4 malaria Control Indicated </w:t>
      </w:r>
      <w:r w:rsidR="00CA122E">
        <w:rPr>
          <w:sz w:val="18"/>
          <w:szCs w:val="16"/>
        </w:rPr>
        <w:t>s</w:t>
      </w:r>
      <w:r w:rsidRPr="006B6440">
        <w:rPr>
          <w:sz w:val="18"/>
          <w:szCs w:val="16"/>
        </w:rPr>
        <w:t>ubsequently</w:t>
      </w:r>
      <w:r w:rsidR="006B6440" w:rsidRPr="006B6440">
        <w:rPr>
          <w:sz w:val="18"/>
          <w:szCs w:val="16"/>
        </w:rPr>
        <w:t xml:space="preserve">          </w:t>
      </w:r>
    </w:p>
    <w:p w14:paraId="152A77C6" w14:textId="408D426B" w:rsidR="006B6440" w:rsidRPr="007245B0" w:rsidRDefault="006B6440" w:rsidP="006B6440">
      <w:pPr>
        <w:pStyle w:val="Sources"/>
      </w:pPr>
      <w:r w:rsidRPr="006B6440">
        <w:rPr>
          <w:sz w:val="18"/>
          <w:szCs w:val="16"/>
        </w:rPr>
        <w:t xml:space="preserve"> *Relates to the erstwhile state of Punjab</w:t>
      </w:r>
      <w:r w:rsidRPr="006B6440">
        <w:t xml:space="preserve"> </w:t>
      </w:r>
    </w:p>
    <w:p w14:paraId="4584B21B" w14:textId="1941A5CC" w:rsidR="00374F83" w:rsidRPr="007245B0" w:rsidRDefault="00374F83" w:rsidP="003874AC">
      <w:pPr>
        <w:pStyle w:val="Sources"/>
      </w:pPr>
    </w:p>
    <w:p w14:paraId="4EA6D08B" w14:textId="77777777" w:rsidR="00374F83" w:rsidRPr="007245B0" w:rsidRDefault="00374F83" w:rsidP="00374F83">
      <w:pPr>
        <w:tabs>
          <w:tab w:val="left" w:pos="3306"/>
        </w:tabs>
        <w:spacing w:after="0"/>
        <w:ind w:left="426"/>
        <w:rPr>
          <w:rFonts w:ascii="Times New Roman" w:hAnsi="Times New Roman" w:cs="Times New Roman"/>
          <w:szCs w:val="24"/>
        </w:rPr>
      </w:pPr>
    </w:p>
    <w:p w14:paraId="3F41EFE5" w14:textId="2D6A6696" w:rsidR="003874AC" w:rsidRDefault="00574BCE" w:rsidP="003874AC">
      <w:pPr>
        <w:pStyle w:val="Heading4"/>
      </w:pPr>
      <w:bookmarkStart w:id="132" w:name="_Toc220949714"/>
      <w:bookmarkStart w:id="133" w:name="_Toc221114314"/>
      <w:bookmarkStart w:id="134" w:name="_Toc221115337"/>
      <w:r>
        <w:t>Table</w:t>
      </w:r>
      <w:r w:rsidR="008000A7" w:rsidRPr="007245B0">
        <w:t xml:space="preserve"> 33: Financial Results of Multipurpose River Schemes</w:t>
      </w:r>
      <w:bookmarkEnd w:id="132"/>
      <w:bookmarkEnd w:id="133"/>
      <w:bookmarkEnd w:id="134"/>
    </w:p>
    <w:tbl>
      <w:tblPr>
        <w:tblStyle w:val="TableGrid"/>
        <w:tblpPr w:leftFromText="180" w:rightFromText="180" w:vertAnchor="text" w:horzAnchor="margin" w:tblpXSpec="center" w:tblpY="372"/>
        <w:tblW w:w="14968" w:type="dxa"/>
        <w:tblLook w:val="04A0" w:firstRow="1" w:lastRow="0" w:firstColumn="1" w:lastColumn="0" w:noHBand="0" w:noVBand="1"/>
      </w:tblPr>
      <w:tblGrid>
        <w:gridCol w:w="1216"/>
        <w:gridCol w:w="836"/>
        <w:gridCol w:w="931"/>
        <w:gridCol w:w="843"/>
        <w:gridCol w:w="828"/>
        <w:gridCol w:w="836"/>
        <w:gridCol w:w="931"/>
        <w:gridCol w:w="843"/>
        <w:gridCol w:w="828"/>
        <w:gridCol w:w="836"/>
        <w:gridCol w:w="931"/>
        <w:gridCol w:w="843"/>
        <w:gridCol w:w="828"/>
        <w:gridCol w:w="836"/>
        <w:gridCol w:w="931"/>
        <w:gridCol w:w="843"/>
        <w:gridCol w:w="828"/>
      </w:tblGrid>
      <w:tr w:rsidR="00DA1357" w:rsidRPr="003874AC" w14:paraId="23B1731C" w14:textId="77777777" w:rsidTr="00471458">
        <w:tc>
          <w:tcPr>
            <w:tcW w:w="1216" w:type="dxa"/>
            <w:vMerge w:val="restart"/>
            <w:vAlign w:val="center"/>
          </w:tcPr>
          <w:p w14:paraId="59CE63C5" w14:textId="77777777" w:rsidR="00DA1357" w:rsidRPr="00471458" w:rsidRDefault="00DA1357" w:rsidP="00471458">
            <w:pPr>
              <w:pStyle w:val="NoSpacing"/>
              <w:jc w:val="center"/>
              <w:rPr>
                <w:rFonts w:ascii="Times New Roman" w:hAnsi="Times New Roman" w:cs="Times New Roman"/>
                <w:b/>
                <w:bCs/>
                <w:sz w:val="18"/>
                <w:szCs w:val="18"/>
              </w:rPr>
            </w:pPr>
            <w:r w:rsidRPr="00471458">
              <w:rPr>
                <w:rFonts w:ascii="Times New Roman" w:hAnsi="Times New Roman" w:cs="Times New Roman"/>
                <w:b/>
                <w:bCs/>
                <w:sz w:val="18"/>
                <w:szCs w:val="18"/>
              </w:rPr>
              <w:t>States</w:t>
            </w:r>
          </w:p>
        </w:tc>
        <w:tc>
          <w:tcPr>
            <w:tcW w:w="0" w:type="auto"/>
            <w:gridSpan w:val="4"/>
            <w:vAlign w:val="center"/>
          </w:tcPr>
          <w:p w14:paraId="5DD65342" w14:textId="77777777" w:rsidR="00DA1357" w:rsidRPr="00471458" w:rsidRDefault="00DA1357" w:rsidP="00471458">
            <w:pPr>
              <w:pStyle w:val="NoSpacing"/>
              <w:jc w:val="center"/>
              <w:rPr>
                <w:rFonts w:ascii="Times New Roman" w:hAnsi="Times New Roman" w:cs="Times New Roman"/>
                <w:b/>
                <w:bCs/>
                <w:sz w:val="18"/>
                <w:szCs w:val="18"/>
              </w:rPr>
            </w:pPr>
            <w:r w:rsidRPr="00471458">
              <w:rPr>
                <w:rFonts w:ascii="Times New Roman" w:hAnsi="Times New Roman" w:cs="Times New Roman"/>
                <w:b/>
                <w:bCs/>
                <w:sz w:val="18"/>
                <w:szCs w:val="18"/>
              </w:rPr>
              <w:t>1965-66</w:t>
            </w:r>
          </w:p>
        </w:tc>
        <w:tc>
          <w:tcPr>
            <w:tcW w:w="0" w:type="auto"/>
            <w:gridSpan w:val="4"/>
            <w:vAlign w:val="center"/>
          </w:tcPr>
          <w:p w14:paraId="0244EAE4" w14:textId="77777777" w:rsidR="00DA1357" w:rsidRPr="00471458" w:rsidRDefault="00DA1357" w:rsidP="00471458">
            <w:pPr>
              <w:pStyle w:val="NoSpacing"/>
              <w:jc w:val="center"/>
              <w:rPr>
                <w:rFonts w:ascii="Times New Roman" w:hAnsi="Times New Roman" w:cs="Times New Roman"/>
                <w:b/>
                <w:bCs/>
                <w:sz w:val="18"/>
                <w:szCs w:val="18"/>
              </w:rPr>
            </w:pPr>
            <w:r w:rsidRPr="00471458">
              <w:rPr>
                <w:rFonts w:ascii="Times New Roman" w:hAnsi="Times New Roman" w:cs="Times New Roman"/>
                <w:b/>
                <w:bCs/>
                <w:sz w:val="18"/>
                <w:szCs w:val="18"/>
              </w:rPr>
              <w:t>1966-67</w:t>
            </w:r>
          </w:p>
        </w:tc>
        <w:tc>
          <w:tcPr>
            <w:tcW w:w="0" w:type="auto"/>
            <w:gridSpan w:val="4"/>
            <w:vAlign w:val="center"/>
          </w:tcPr>
          <w:p w14:paraId="28F3CD20" w14:textId="77777777" w:rsidR="00DA1357" w:rsidRPr="00471458" w:rsidRDefault="00DA1357" w:rsidP="00471458">
            <w:pPr>
              <w:pStyle w:val="NoSpacing"/>
              <w:jc w:val="center"/>
              <w:rPr>
                <w:rFonts w:ascii="Times New Roman" w:hAnsi="Times New Roman" w:cs="Times New Roman"/>
                <w:b/>
                <w:bCs/>
                <w:sz w:val="18"/>
                <w:szCs w:val="18"/>
              </w:rPr>
            </w:pPr>
            <w:r w:rsidRPr="00471458">
              <w:rPr>
                <w:rFonts w:ascii="Times New Roman" w:hAnsi="Times New Roman" w:cs="Times New Roman"/>
                <w:b/>
                <w:bCs/>
                <w:sz w:val="18"/>
                <w:szCs w:val="18"/>
              </w:rPr>
              <w:t>1967-68</w:t>
            </w:r>
          </w:p>
        </w:tc>
        <w:tc>
          <w:tcPr>
            <w:tcW w:w="0" w:type="auto"/>
            <w:gridSpan w:val="4"/>
            <w:vAlign w:val="center"/>
          </w:tcPr>
          <w:p w14:paraId="2C11031E" w14:textId="77777777" w:rsidR="00DA1357" w:rsidRPr="00471458" w:rsidRDefault="00DA1357" w:rsidP="00471458">
            <w:pPr>
              <w:pStyle w:val="NoSpacing"/>
              <w:jc w:val="center"/>
              <w:rPr>
                <w:rFonts w:ascii="Times New Roman" w:hAnsi="Times New Roman" w:cs="Times New Roman"/>
                <w:b/>
                <w:bCs/>
                <w:sz w:val="18"/>
                <w:szCs w:val="18"/>
              </w:rPr>
            </w:pPr>
            <w:r w:rsidRPr="00471458">
              <w:rPr>
                <w:rFonts w:ascii="Times New Roman" w:hAnsi="Times New Roman" w:cs="Times New Roman"/>
                <w:b/>
                <w:bCs/>
                <w:sz w:val="18"/>
                <w:szCs w:val="18"/>
              </w:rPr>
              <w:t>1968-69 R.E.</w:t>
            </w:r>
          </w:p>
        </w:tc>
      </w:tr>
      <w:tr w:rsidR="00DA1357" w:rsidRPr="003874AC" w14:paraId="7DA48381" w14:textId="77777777" w:rsidTr="00471458">
        <w:tc>
          <w:tcPr>
            <w:tcW w:w="1216" w:type="dxa"/>
            <w:vMerge/>
            <w:vAlign w:val="center"/>
            <w:hideMark/>
          </w:tcPr>
          <w:p w14:paraId="6999D183" w14:textId="77777777" w:rsidR="00DA1357" w:rsidRPr="00471458" w:rsidRDefault="00DA1357" w:rsidP="00471458">
            <w:pPr>
              <w:pStyle w:val="NoSpacing"/>
              <w:jc w:val="center"/>
              <w:rPr>
                <w:rFonts w:ascii="Times New Roman" w:hAnsi="Times New Roman" w:cs="Times New Roman"/>
                <w:b/>
                <w:bCs/>
                <w:sz w:val="18"/>
                <w:szCs w:val="18"/>
              </w:rPr>
            </w:pPr>
          </w:p>
        </w:tc>
        <w:tc>
          <w:tcPr>
            <w:tcW w:w="0" w:type="auto"/>
            <w:vAlign w:val="center"/>
            <w:hideMark/>
          </w:tcPr>
          <w:p w14:paraId="4D076E59" w14:textId="77777777" w:rsidR="00DA1357" w:rsidRPr="00471458" w:rsidRDefault="00DA1357" w:rsidP="00471458">
            <w:pPr>
              <w:pStyle w:val="NoSpacing"/>
              <w:jc w:val="center"/>
              <w:rPr>
                <w:rFonts w:ascii="Times New Roman" w:hAnsi="Times New Roman" w:cs="Times New Roman"/>
                <w:b/>
                <w:bCs/>
                <w:sz w:val="18"/>
                <w:szCs w:val="18"/>
              </w:rPr>
            </w:pPr>
            <w:r w:rsidRPr="00471458">
              <w:rPr>
                <w:rFonts w:ascii="Times New Roman" w:hAnsi="Times New Roman" w:cs="Times New Roman"/>
                <w:b/>
                <w:bCs/>
                <w:sz w:val="18"/>
                <w:szCs w:val="18"/>
              </w:rPr>
              <w:t>Gross receipts</w:t>
            </w:r>
          </w:p>
        </w:tc>
        <w:tc>
          <w:tcPr>
            <w:tcW w:w="0" w:type="auto"/>
            <w:vAlign w:val="center"/>
            <w:hideMark/>
          </w:tcPr>
          <w:p w14:paraId="31212B6B" w14:textId="77777777" w:rsidR="00DA1357" w:rsidRPr="00471458" w:rsidRDefault="00DA1357" w:rsidP="00471458">
            <w:pPr>
              <w:pStyle w:val="NoSpacing"/>
              <w:jc w:val="center"/>
              <w:rPr>
                <w:rFonts w:ascii="Times New Roman" w:hAnsi="Times New Roman" w:cs="Times New Roman"/>
                <w:b/>
                <w:bCs/>
                <w:sz w:val="18"/>
                <w:szCs w:val="18"/>
              </w:rPr>
            </w:pPr>
            <w:r w:rsidRPr="00471458">
              <w:rPr>
                <w:rFonts w:ascii="Times New Roman" w:hAnsi="Times New Roman" w:cs="Times New Roman"/>
                <w:b/>
                <w:bCs/>
                <w:sz w:val="18"/>
                <w:szCs w:val="18"/>
              </w:rPr>
              <w:t>Working expenses</w:t>
            </w:r>
          </w:p>
        </w:tc>
        <w:tc>
          <w:tcPr>
            <w:tcW w:w="0" w:type="auto"/>
            <w:vAlign w:val="center"/>
            <w:hideMark/>
          </w:tcPr>
          <w:p w14:paraId="608B6E9A" w14:textId="77777777" w:rsidR="00DA1357" w:rsidRPr="00471458" w:rsidRDefault="00DA1357" w:rsidP="00471458">
            <w:pPr>
              <w:pStyle w:val="NoSpacing"/>
              <w:jc w:val="center"/>
              <w:rPr>
                <w:rFonts w:ascii="Times New Roman" w:hAnsi="Times New Roman" w:cs="Times New Roman"/>
                <w:b/>
                <w:bCs/>
                <w:sz w:val="18"/>
                <w:szCs w:val="18"/>
              </w:rPr>
            </w:pPr>
            <w:r w:rsidRPr="00471458">
              <w:rPr>
                <w:rFonts w:ascii="Times New Roman" w:hAnsi="Times New Roman" w:cs="Times New Roman"/>
                <w:b/>
                <w:bCs/>
                <w:sz w:val="18"/>
                <w:szCs w:val="18"/>
              </w:rPr>
              <w:t>Interest charges</w:t>
            </w:r>
          </w:p>
        </w:tc>
        <w:tc>
          <w:tcPr>
            <w:tcW w:w="0" w:type="auto"/>
            <w:vAlign w:val="center"/>
            <w:hideMark/>
          </w:tcPr>
          <w:p w14:paraId="601EF5C4" w14:textId="77777777" w:rsidR="00DA1357" w:rsidRPr="00471458" w:rsidRDefault="00DA1357" w:rsidP="00471458">
            <w:pPr>
              <w:pStyle w:val="NoSpacing"/>
              <w:jc w:val="center"/>
              <w:rPr>
                <w:rFonts w:ascii="Times New Roman" w:hAnsi="Times New Roman" w:cs="Times New Roman"/>
                <w:b/>
                <w:bCs/>
                <w:sz w:val="18"/>
                <w:szCs w:val="18"/>
              </w:rPr>
            </w:pPr>
            <w:r w:rsidRPr="00471458">
              <w:rPr>
                <w:rFonts w:ascii="Times New Roman" w:hAnsi="Times New Roman" w:cs="Times New Roman"/>
                <w:b/>
                <w:bCs/>
                <w:sz w:val="18"/>
                <w:szCs w:val="18"/>
              </w:rPr>
              <w:t>Net receipts</w:t>
            </w:r>
          </w:p>
        </w:tc>
        <w:tc>
          <w:tcPr>
            <w:tcW w:w="0" w:type="auto"/>
            <w:vAlign w:val="center"/>
            <w:hideMark/>
          </w:tcPr>
          <w:p w14:paraId="1EC748A8" w14:textId="77777777" w:rsidR="00DA1357" w:rsidRPr="00471458" w:rsidRDefault="00DA1357" w:rsidP="00471458">
            <w:pPr>
              <w:pStyle w:val="NoSpacing"/>
              <w:jc w:val="center"/>
              <w:rPr>
                <w:rFonts w:ascii="Times New Roman" w:hAnsi="Times New Roman" w:cs="Times New Roman"/>
                <w:b/>
                <w:bCs/>
                <w:sz w:val="18"/>
                <w:szCs w:val="18"/>
              </w:rPr>
            </w:pPr>
            <w:r w:rsidRPr="00471458">
              <w:rPr>
                <w:rFonts w:ascii="Times New Roman" w:hAnsi="Times New Roman" w:cs="Times New Roman"/>
                <w:b/>
                <w:bCs/>
                <w:sz w:val="18"/>
                <w:szCs w:val="18"/>
              </w:rPr>
              <w:t>Gross receipts</w:t>
            </w:r>
          </w:p>
        </w:tc>
        <w:tc>
          <w:tcPr>
            <w:tcW w:w="0" w:type="auto"/>
            <w:vAlign w:val="center"/>
            <w:hideMark/>
          </w:tcPr>
          <w:p w14:paraId="5E3B1073" w14:textId="77777777" w:rsidR="00DA1357" w:rsidRPr="00471458" w:rsidRDefault="00DA1357" w:rsidP="00471458">
            <w:pPr>
              <w:pStyle w:val="NoSpacing"/>
              <w:jc w:val="center"/>
              <w:rPr>
                <w:rFonts w:ascii="Times New Roman" w:hAnsi="Times New Roman" w:cs="Times New Roman"/>
                <w:b/>
                <w:bCs/>
                <w:sz w:val="18"/>
                <w:szCs w:val="18"/>
              </w:rPr>
            </w:pPr>
            <w:r w:rsidRPr="00471458">
              <w:rPr>
                <w:rFonts w:ascii="Times New Roman" w:hAnsi="Times New Roman" w:cs="Times New Roman"/>
                <w:b/>
                <w:bCs/>
                <w:sz w:val="18"/>
                <w:szCs w:val="18"/>
              </w:rPr>
              <w:t>Working expenses</w:t>
            </w:r>
          </w:p>
        </w:tc>
        <w:tc>
          <w:tcPr>
            <w:tcW w:w="0" w:type="auto"/>
            <w:vAlign w:val="center"/>
            <w:hideMark/>
          </w:tcPr>
          <w:p w14:paraId="1AF2E731" w14:textId="77777777" w:rsidR="00DA1357" w:rsidRPr="00471458" w:rsidRDefault="00DA1357" w:rsidP="00471458">
            <w:pPr>
              <w:pStyle w:val="NoSpacing"/>
              <w:jc w:val="center"/>
              <w:rPr>
                <w:rFonts w:ascii="Times New Roman" w:hAnsi="Times New Roman" w:cs="Times New Roman"/>
                <w:b/>
                <w:bCs/>
                <w:sz w:val="18"/>
                <w:szCs w:val="18"/>
              </w:rPr>
            </w:pPr>
            <w:r w:rsidRPr="00471458">
              <w:rPr>
                <w:rFonts w:ascii="Times New Roman" w:hAnsi="Times New Roman" w:cs="Times New Roman"/>
                <w:b/>
                <w:bCs/>
                <w:sz w:val="18"/>
                <w:szCs w:val="18"/>
              </w:rPr>
              <w:t>Interest charges</w:t>
            </w:r>
          </w:p>
        </w:tc>
        <w:tc>
          <w:tcPr>
            <w:tcW w:w="0" w:type="auto"/>
            <w:vAlign w:val="center"/>
            <w:hideMark/>
          </w:tcPr>
          <w:p w14:paraId="739C0D5A" w14:textId="77777777" w:rsidR="00DA1357" w:rsidRPr="00471458" w:rsidRDefault="00DA1357" w:rsidP="00471458">
            <w:pPr>
              <w:pStyle w:val="NoSpacing"/>
              <w:jc w:val="center"/>
              <w:rPr>
                <w:rFonts w:ascii="Times New Roman" w:hAnsi="Times New Roman" w:cs="Times New Roman"/>
                <w:b/>
                <w:bCs/>
                <w:sz w:val="18"/>
                <w:szCs w:val="18"/>
              </w:rPr>
            </w:pPr>
            <w:r w:rsidRPr="00471458">
              <w:rPr>
                <w:rFonts w:ascii="Times New Roman" w:hAnsi="Times New Roman" w:cs="Times New Roman"/>
                <w:b/>
                <w:bCs/>
                <w:sz w:val="18"/>
                <w:szCs w:val="18"/>
              </w:rPr>
              <w:t>Net receipts</w:t>
            </w:r>
          </w:p>
        </w:tc>
        <w:tc>
          <w:tcPr>
            <w:tcW w:w="0" w:type="auto"/>
            <w:vAlign w:val="center"/>
            <w:hideMark/>
          </w:tcPr>
          <w:p w14:paraId="44B92BA2" w14:textId="77777777" w:rsidR="00DA1357" w:rsidRPr="00471458" w:rsidRDefault="00DA1357" w:rsidP="00471458">
            <w:pPr>
              <w:pStyle w:val="NoSpacing"/>
              <w:jc w:val="center"/>
              <w:rPr>
                <w:rFonts w:ascii="Times New Roman" w:hAnsi="Times New Roman" w:cs="Times New Roman"/>
                <w:b/>
                <w:bCs/>
                <w:sz w:val="18"/>
                <w:szCs w:val="18"/>
              </w:rPr>
            </w:pPr>
            <w:r w:rsidRPr="00471458">
              <w:rPr>
                <w:rFonts w:ascii="Times New Roman" w:hAnsi="Times New Roman" w:cs="Times New Roman"/>
                <w:b/>
                <w:bCs/>
                <w:sz w:val="18"/>
                <w:szCs w:val="18"/>
              </w:rPr>
              <w:t>Gross receipts</w:t>
            </w:r>
          </w:p>
        </w:tc>
        <w:tc>
          <w:tcPr>
            <w:tcW w:w="0" w:type="auto"/>
            <w:vAlign w:val="center"/>
            <w:hideMark/>
          </w:tcPr>
          <w:p w14:paraId="0ECBBC19" w14:textId="77777777" w:rsidR="00DA1357" w:rsidRPr="00471458" w:rsidRDefault="00DA1357" w:rsidP="00471458">
            <w:pPr>
              <w:pStyle w:val="NoSpacing"/>
              <w:jc w:val="center"/>
              <w:rPr>
                <w:rFonts w:ascii="Times New Roman" w:hAnsi="Times New Roman" w:cs="Times New Roman"/>
                <w:b/>
                <w:bCs/>
                <w:sz w:val="18"/>
                <w:szCs w:val="18"/>
              </w:rPr>
            </w:pPr>
            <w:r w:rsidRPr="00471458">
              <w:rPr>
                <w:rFonts w:ascii="Times New Roman" w:hAnsi="Times New Roman" w:cs="Times New Roman"/>
                <w:b/>
                <w:bCs/>
                <w:sz w:val="18"/>
                <w:szCs w:val="18"/>
              </w:rPr>
              <w:t>Working expenses</w:t>
            </w:r>
          </w:p>
        </w:tc>
        <w:tc>
          <w:tcPr>
            <w:tcW w:w="0" w:type="auto"/>
            <w:vAlign w:val="center"/>
            <w:hideMark/>
          </w:tcPr>
          <w:p w14:paraId="38FBC12E" w14:textId="77777777" w:rsidR="00DA1357" w:rsidRPr="00471458" w:rsidRDefault="00DA1357" w:rsidP="00471458">
            <w:pPr>
              <w:pStyle w:val="NoSpacing"/>
              <w:jc w:val="center"/>
              <w:rPr>
                <w:rFonts w:ascii="Times New Roman" w:hAnsi="Times New Roman" w:cs="Times New Roman"/>
                <w:b/>
                <w:bCs/>
                <w:sz w:val="18"/>
                <w:szCs w:val="18"/>
              </w:rPr>
            </w:pPr>
            <w:r w:rsidRPr="00471458">
              <w:rPr>
                <w:rFonts w:ascii="Times New Roman" w:hAnsi="Times New Roman" w:cs="Times New Roman"/>
                <w:b/>
                <w:bCs/>
                <w:sz w:val="18"/>
                <w:szCs w:val="18"/>
              </w:rPr>
              <w:t>Interest charges</w:t>
            </w:r>
          </w:p>
        </w:tc>
        <w:tc>
          <w:tcPr>
            <w:tcW w:w="0" w:type="auto"/>
            <w:vAlign w:val="center"/>
            <w:hideMark/>
          </w:tcPr>
          <w:p w14:paraId="2D2EE119" w14:textId="77777777" w:rsidR="00DA1357" w:rsidRPr="00471458" w:rsidRDefault="00DA1357" w:rsidP="00471458">
            <w:pPr>
              <w:pStyle w:val="NoSpacing"/>
              <w:jc w:val="center"/>
              <w:rPr>
                <w:rFonts w:ascii="Times New Roman" w:hAnsi="Times New Roman" w:cs="Times New Roman"/>
                <w:b/>
                <w:bCs/>
                <w:sz w:val="18"/>
                <w:szCs w:val="18"/>
              </w:rPr>
            </w:pPr>
            <w:r w:rsidRPr="00471458">
              <w:rPr>
                <w:rFonts w:ascii="Times New Roman" w:hAnsi="Times New Roman" w:cs="Times New Roman"/>
                <w:b/>
                <w:bCs/>
                <w:sz w:val="18"/>
                <w:szCs w:val="18"/>
              </w:rPr>
              <w:t>Net receipts</w:t>
            </w:r>
          </w:p>
        </w:tc>
        <w:tc>
          <w:tcPr>
            <w:tcW w:w="0" w:type="auto"/>
            <w:vAlign w:val="center"/>
            <w:hideMark/>
          </w:tcPr>
          <w:p w14:paraId="7A7E3852" w14:textId="77777777" w:rsidR="00DA1357" w:rsidRPr="00471458" w:rsidRDefault="00DA1357" w:rsidP="00471458">
            <w:pPr>
              <w:pStyle w:val="NoSpacing"/>
              <w:jc w:val="center"/>
              <w:rPr>
                <w:rFonts w:ascii="Times New Roman" w:hAnsi="Times New Roman" w:cs="Times New Roman"/>
                <w:b/>
                <w:bCs/>
                <w:sz w:val="18"/>
                <w:szCs w:val="18"/>
              </w:rPr>
            </w:pPr>
            <w:r w:rsidRPr="00471458">
              <w:rPr>
                <w:rFonts w:ascii="Times New Roman" w:hAnsi="Times New Roman" w:cs="Times New Roman"/>
                <w:b/>
                <w:bCs/>
                <w:sz w:val="18"/>
                <w:szCs w:val="18"/>
              </w:rPr>
              <w:t>Gross receipts</w:t>
            </w:r>
          </w:p>
        </w:tc>
        <w:tc>
          <w:tcPr>
            <w:tcW w:w="0" w:type="auto"/>
            <w:vAlign w:val="center"/>
            <w:hideMark/>
          </w:tcPr>
          <w:p w14:paraId="5743A37D" w14:textId="77777777" w:rsidR="00DA1357" w:rsidRPr="00471458" w:rsidRDefault="00DA1357" w:rsidP="00471458">
            <w:pPr>
              <w:pStyle w:val="NoSpacing"/>
              <w:jc w:val="center"/>
              <w:rPr>
                <w:rFonts w:ascii="Times New Roman" w:hAnsi="Times New Roman" w:cs="Times New Roman"/>
                <w:b/>
                <w:bCs/>
                <w:sz w:val="18"/>
                <w:szCs w:val="18"/>
              </w:rPr>
            </w:pPr>
            <w:r w:rsidRPr="00471458">
              <w:rPr>
                <w:rFonts w:ascii="Times New Roman" w:hAnsi="Times New Roman" w:cs="Times New Roman"/>
                <w:b/>
                <w:bCs/>
                <w:sz w:val="18"/>
                <w:szCs w:val="18"/>
              </w:rPr>
              <w:t>Working expenses</w:t>
            </w:r>
          </w:p>
        </w:tc>
        <w:tc>
          <w:tcPr>
            <w:tcW w:w="0" w:type="auto"/>
            <w:vAlign w:val="center"/>
            <w:hideMark/>
          </w:tcPr>
          <w:p w14:paraId="58E3DC6F" w14:textId="77777777" w:rsidR="00DA1357" w:rsidRPr="00471458" w:rsidRDefault="00DA1357" w:rsidP="00471458">
            <w:pPr>
              <w:pStyle w:val="NoSpacing"/>
              <w:jc w:val="center"/>
              <w:rPr>
                <w:rFonts w:ascii="Times New Roman" w:hAnsi="Times New Roman" w:cs="Times New Roman"/>
                <w:b/>
                <w:bCs/>
                <w:sz w:val="18"/>
                <w:szCs w:val="18"/>
              </w:rPr>
            </w:pPr>
            <w:r w:rsidRPr="00471458">
              <w:rPr>
                <w:rFonts w:ascii="Times New Roman" w:hAnsi="Times New Roman" w:cs="Times New Roman"/>
                <w:b/>
                <w:bCs/>
                <w:sz w:val="18"/>
                <w:szCs w:val="18"/>
              </w:rPr>
              <w:t>Interest charges</w:t>
            </w:r>
          </w:p>
        </w:tc>
        <w:tc>
          <w:tcPr>
            <w:tcW w:w="0" w:type="auto"/>
            <w:vAlign w:val="center"/>
            <w:hideMark/>
          </w:tcPr>
          <w:p w14:paraId="388C68FD" w14:textId="77777777" w:rsidR="00DA1357" w:rsidRPr="00471458" w:rsidRDefault="00DA1357" w:rsidP="00471458">
            <w:pPr>
              <w:pStyle w:val="NoSpacing"/>
              <w:jc w:val="center"/>
              <w:rPr>
                <w:rFonts w:ascii="Times New Roman" w:hAnsi="Times New Roman" w:cs="Times New Roman"/>
                <w:b/>
                <w:bCs/>
                <w:sz w:val="18"/>
                <w:szCs w:val="18"/>
              </w:rPr>
            </w:pPr>
            <w:r w:rsidRPr="00471458">
              <w:rPr>
                <w:rFonts w:ascii="Times New Roman" w:hAnsi="Times New Roman" w:cs="Times New Roman"/>
                <w:b/>
                <w:bCs/>
                <w:sz w:val="18"/>
                <w:szCs w:val="18"/>
              </w:rPr>
              <w:t>Net receipts</w:t>
            </w:r>
          </w:p>
        </w:tc>
      </w:tr>
      <w:tr w:rsidR="00DA1357" w:rsidRPr="003874AC" w14:paraId="61E75FF7" w14:textId="77777777" w:rsidTr="00471458">
        <w:tc>
          <w:tcPr>
            <w:tcW w:w="1216" w:type="dxa"/>
            <w:vAlign w:val="center"/>
            <w:hideMark/>
          </w:tcPr>
          <w:p w14:paraId="2B55E4A6" w14:textId="77777777" w:rsidR="00DA1357" w:rsidRPr="00471458" w:rsidRDefault="00DA1357" w:rsidP="00471458">
            <w:pPr>
              <w:pStyle w:val="NoSpacing"/>
              <w:jc w:val="center"/>
              <w:rPr>
                <w:rFonts w:ascii="Times New Roman" w:hAnsi="Times New Roman" w:cs="Times New Roman"/>
                <w:b/>
                <w:bCs/>
                <w:sz w:val="18"/>
                <w:szCs w:val="18"/>
              </w:rPr>
            </w:pPr>
          </w:p>
        </w:tc>
        <w:tc>
          <w:tcPr>
            <w:tcW w:w="0" w:type="auto"/>
            <w:vAlign w:val="center"/>
            <w:hideMark/>
          </w:tcPr>
          <w:p w14:paraId="193186A7" w14:textId="77777777" w:rsidR="00DA1357" w:rsidRPr="00471458" w:rsidRDefault="00DA1357" w:rsidP="00471458">
            <w:pPr>
              <w:pStyle w:val="NoSpacing"/>
              <w:jc w:val="center"/>
              <w:rPr>
                <w:rFonts w:ascii="Times New Roman" w:hAnsi="Times New Roman" w:cs="Times New Roman"/>
                <w:b/>
                <w:bCs/>
                <w:sz w:val="18"/>
                <w:szCs w:val="18"/>
              </w:rPr>
            </w:pPr>
            <w:r w:rsidRPr="00471458">
              <w:rPr>
                <w:rFonts w:ascii="Times New Roman" w:hAnsi="Times New Roman" w:cs="Times New Roman"/>
                <w:b/>
                <w:bCs/>
                <w:sz w:val="18"/>
                <w:szCs w:val="18"/>
              </w:rPr>
              <w:t>1</w:t>
            </w:r>
          </w:p>
        </w:tc>
        <w:tc>
          <w:tcPr>
            <w:tcW w:w="0" w:type="auto"/>
            <w:vAlign w:val="center"/>
            <w:hideMark/>
          </w:tcPr>
          <w:p w14:paraId="1C07800C" w14:textId="77777777" w:rsidR="00DA1357" w:rsidRPr="00471458" w:rsidRDefault="00DA1357" w:rsidP="00471458">
            <w:pPr>
              <w:pStyle w:val="NoSpacing"/>
              <w:jc w:val="center"/>
              <w:rPr>
                <w:rFonts w:ascii="Times New Roman" w:hAnsi="Times New Roman" w:cs="Times New Roman"/>
                <w:b/>
                <w:bCs/>
                <w:sz w:val="18"/>
                <w:szCs w:val="18"/>
              </w:rPr>
            </w:pPr>
            <w:r w:rsidRPr="00471458">
              <w:rPr>
                <w:rFonts w:ascii="Times New Roman" w:hAnsi="Times New Roman" w:cs="Times New Roman"/>
                <w:b/>
                <w:bCs/>
                <w:sz w:val="18"/>
                <w:szCs w:val="18"/>
              </w:rPr>
              <w:t>2</w:t>
            </w:r>
          </w:p>
        </w:tc>
        <w:tc>
          <w:tcPr>
            <w:tcW w:w="0" w:type="auto"/>
            <w:vAlign w:val="center"/>
            <w:hideMark/>
          </w:tcPr>
          <w:p w14:paraId="66C81BDB" w14:textId="77777777" w:rsidR="00DA1357" w:rsidRPr="00471458" w:rsidRDefault="00DA1357" w:rsidP="00471458">
            <w:pPr>
              <w:pStyle w:val="NoSpacing"/>
              <w:jc w:val="center"/>
              <w:rPr>
                <w:rFonts w:ascii="Times New Roman" w:hAnsi="Times New Roman" w:cs="Times New Roman"/>
                <w:b/>
                <w:bCs/>
                <w:sz w:val="18"/>
                <w:szCs w:val="18"/>
              </w:rPr>
            </w:pPr>
            <w:r w:rsidRPr="00471458">
              <w:rPr>
                <w:rFonts w:ascii="Times New Roman" w:hAnsi="Times New Roman" w:cs="Times New Roman"/>
                <w:b/>
                <w:bCs/>
                <w:sz w:val="18"/>
                <w:szCs w:val="18"/>
              </w:rPr>
              <w:t>3</w:t>
            </w:r>
          </w:p>
        </w:tc>
        <w:tc>
          <w:tcPr>
            <w:tcW w:w="0" w:type="auto"/>
            <w:vAlign w:val="center"/>
            <w:hideMark/>
          </w:tcPr>
          <w:p w14:paraId="25E1960C" w14:textId="77777777" w:rsidR="00DA1357" w:rsidRPr="00471458" w:rsidRDefault="00DA1357" w:rsidP="00471458">
            <w:pPr>
              <w:pStyle w:val="NoSpacing"/>
              <w:jc w:val="center"/>
              <w:rPr>
                <w:rFonts w:ascii="Times New Roman" w:hAnsi="Times New Roman" w:cs="Times New Roman"/>
                <w:b/>
                <w:bCs/>
                <w:sz w:val="18"/>
                <w:szCs w:val="18"/>
              </w:rPr>
            </w:pPr>
            <w:r w:rsidRPr="00471458">
              <w:rPr>
                <w:rFonts w:ascii="Times New Roman" w:hAnsi="Times New Roman" w:cs="Times New Roman"/>
                <w:b/>
                <w:bCs/>
                <w:sz w:val="18"/>
                <w:szCs w:val="18"/>
              </w:rPr>
              <w:t>4</w:t>
            </w:r>
          </w:p>
        </w:tc>
        <w:tc>
          <w:tcPr>
            <w:tcW w:w="0" w:type="auto"/>
            <w:vAlign w:val="center"/>
            <w:hideMark/>
          </w:tcPr>
          <w:p w14:paraId="5A461D01" w14:textId="77777777" w:rsidR="00DA1357" w:rsidRPr="00471458" w:rsidRDefault="00DA1357" w:rsidP="00471458">
            <w:pPr>
              <w:pStyle w:val="NoSpacing"/>
              <w:jc w:val="center"/>
              <w:rPr>
                <w:rFonts w:ascii="Times New Roman" w:hAnsi="Times New Roman" w:cs="Times New Roman"/>
                <w:b/>
                <w:bCs/>
                <w:sz w:val="18"/>
                <w:szCs w:val="18"/>
              </w:rPr>
            </w:pPr>
            <w:r w:rsidRPr="00471458">
              <w:rPr>
                <w:rFonts w:ascii="Times New Roman" w:hAnsi="Times New Roman" w:cs="Times New Roman"/>
                <w:b/>
                <w:bCs/>
                <w:sz w:val="18"/>
                <w:szCs w:val="18"/>
              </w:rPr>
              <w:t>5</w:t>
            </w:r>
          </w:p>
        </w:tc>
        <w:tc>
          <w:tcPr>
            <w:tcW w:w="0" w:type="auto"/>
            <w:vAlign w:val="center"/>
            <w:hideMark/>
          </w:tcPr>
          <w:p w14:paraId="4ED3969D" w14:textId="77777777" w:rsidR="00DA1357" w:rsidRPr="00471458" w:rsidRDefault="00DA1357" w:rsidP="00471458">
            <w:pPr>
              <w:pStyle w:val="NoSpacing"/>
              <w:jc w:val="center"/>
              <w:rPr>
                <w:rFonts w:ascii="Times New Roman" w:hAnsi="Times New Roman" w:cs="Times New Roman"/>
                <w:b/>
                <w:bCs/>
                <w:sz w:val="18"/>
                <w:szCs w:val="18"/>
              </w:rPr>
            </w:pPr>
            <w:r w:rsidRPr="00471458">
              <w:rPr>
                <w:rFonts w:ascii="Times New Roman" w:hAnsi="Times New Roman" w:cs="Times New Roman"/>
                <w:b/>
                <w:bCs/>
                <w:sz w:val="18"/>
                <w:szCs w:val="18"/>
              </w:rPr>
              <w:t>6</w:t>
            </w:r>
          </w:p>
        </w:tc>
        <w:tc>
          <w:tcPr>
            <w:tcW w:w="0" w:type="auto"/>
            <w:vAlign w:val="center"/>
            <w:hideMark/>
          </w:tcPr>
          <w:p w14:paraId="2645EA6A" w14:textId="77777777" w:rsidR="00DA1357" w:rsidRPr="00471458" w:rsidRDefault="00DA1357" w:rsidP="00471458">
            <w:pPr>
              <w:pStyle w:val="NoSpacing"/>
              <w:jc w:val="center"/>
              <w:rPr>
                <w:rFonts w:ascii="Times New Roman" w:hAnsi="Times New Roman" w:cs="Times New Roman"/>
                <w:b/>
                <w:bCs/>
                <w:sz w:val="18"/>
                <w:szCs w:val="18"/>
              </w:rPr>
            </w:pPr>
            <w:r w:rsidRPr="00471458">
              <w:rPr>
                <w:rFonts w:ascii="Times New Roman" w:hAnsi="Times New Roman" w:cs="Times New Roman"/>
                <w:b/>
                <w:bCs/>
                <w:sz w:val="18"/>
                <w:szCs w:val="18"/>
              </w:rPr>
              <w:t>7</w:t>
            </w:r>
          </w:p>
        </w:tc>
        <w:tc>
          <w:tcPr>
            <w:tcW w:w="0" w:type="auto"/>
            <w:vAlign w:val="center"/>
            <w:hideMark/>
          </w:tcPr>
          <w:p w14:paraId="633EB521" w14:textId="77777777" w:rsidR="00DA1357" w:rsidRPr="00471458" w:rsidRDefault="00DA1357" w:rsidP="00471458">
            <w:pPr>
              <w:pStyle w:val="NoSpacing"/>
              <w:jc w:val="center"/>
              <w:rPr>
                <w:rFonts w:ascii="Times New Roman" w:hAnsi="Times New Roman" w:cs="Times New Roman"/>
                <w:b/>
                <w:bCs/>
                <w:sz w:val="18"/>
                <w:szCs w:val="18"/>
              </w:rPr>
            </w:pPr>
            <w:r w:rsidRPr="00471458">
              <w:rPr>
                <w:rFonts w:ascii="Times New Roman" w:hAnsi="Times New Roman" w:cs="Times New Roman"/>
                <w:b/>
                <w:bCs/>
                <w:sz w:val="18"/>
                <w:szCs w:val="18"/>
              </w:rPr>
              <w:t>8</w:t>
            </w:r>
          </w:p>
        </w:tc>
        <w:tc>
          <w:tcPr>
            <w:tcW w:w="0" w:type="auto"/>
            <w:vAlign w:val="center"/>
            <w:hideMark/>
          </w:tcPr>
          <w:p w14:paraId="77B79DE8" w14:textId="77777777" w:rsidR="00DA1357" w:rsidRPr="00471458" w:rsidRDefault="00DA1357" w:rsidP="00471458">
            <w:pPr>
              <w:pStyle w:val="NoSpacing"/>
              <w:jc w:val="center"/>
              <w:rPr>
                <w:rFonts w:ascii="Times New Roman" w:hAnsi="Times New Roman" w:cs="Times New Roman"/>
                <w:b/>
                <w:bCs/>
                <w:sz w:val="18"/>
                <w:szCs w:val="18"/>
              </w:rPr>
            </w:pPr>
            <w:r w:rsidRPr="00471458">
              <w:rPr>
                <w:rFonts w:ascii="Times New Roman" w:hAnsi="Times New Roman" w:cs="Times New Roman"/>
                <w:b/>
                <w:bCs/>
                <w:sz w:val="18"/>
                <w:szCs w:val="18"/>
              </w:rPr>
              <w:t>9</w:t>
            </w:r>
          </w:p>
        </w:tc>
        <w:tc>
          <w:tcPr>
            <w:tcW w:w="0" w:type="auto"/>
            <w:vAlign w:val="center"/>
            <w:hideMark/>
          </w:tcPr>
          <w:p w14:paraId="5A31D533" w14:textId="77777777" w:rsidR="00DA1357" w:rsidRPr="00471458" w:rsidRDefault="00DA1357" w:rsidP="00471458">
            <w:pPr>
              <w:pStyle w:val="NoSpacing"/>
              <w:jc w:val="center"/>
              <w:rPr>
                <w:rFonts w:ascii="Times New Roman" w:hAnsi="Times New Roman" w:cs="Times New Roman"/>
                <w:b/>
                <w:bCs/>
                <w:sz w:val="18"/>
                <w:szCs w:val="18"/>
              </w:rPr>
            </w:pPr>
            <w:r w:rsidRPr="00471458">
              <w:rPr>
                <w:rFonts w:ascii="Times New Roman" w:hAnsi="Times New Roman" w:cs="Times New Roman"/>
                <w:b/>
                <w:bCs/>
                <w:sz w:val="18"/>
                <w:szCs w:val="18"/>
              </w:rPr>
              <w:t>10</w:t>
            </w:r>
          </w:p>
        </w:tc>
        <w:tc>
          <w:tcPr>
            <w:tcW w:w="0" w:type="auto"/>
            <w:vAlign w:val="center"/>
            <w:hideMark/>
          </w:tcPr>
          <w:p w14:paraId="44CCF28C" w14:textId="77777777" w:rsidR="00DA1357" w:rsidRPr="00471458" w:rsidRDefault="00DA1357" w:rsidP="00471458">
            <w:pPr>
              <w:pStyle w:val="NoSpacing"/>
              <w:jc w:val="center"/>
              <w:rPr>
                <w:rFonts w:ascii="Times New Roman" w:hAnsi="Times New Roman" w:cs="Times New Roman"/>
                <w:b/>
                <w:bCs/>
                <w:sz w:val="18"/>
                <w:szCs w:val="18"/>
              </w:rPr>
            </w:pPr>
            <w:r w:rsidRPr="00471458">
              <w:rPr>
                <w:rFonts w:ascii="Times New Roman" w:hAnsi="Times New Roman" w:cs="Times New Roman"/>
                <w:b/>
                <w:bCs/>
                <w:sz w:val="18"/>
                <w:szCs w:val="18"/>
              </w:rPr>
              <w:t>11</w:t>
            </w:r>
          </w:p>
        </w:tc>
        <w:tc>
          <w:tcPr>
            <w:tcW w:w="0" w:type="auto"/>
            <w:vAlign w:val="center"/>
            <w:hideMark/>
          </w:tcPr>
          <w:p w14:paraId="0581C9B7" w14:textId="77777777" w:rsidR="00DA1357" w:rsidRPr="00471458" w:rsidRDefault="00DA1357" w:rsidP="00471458">
            <w:pPr>
              <w:pStyle w:val="NoSpacing"/>
              <w:jc w:val="center"/>
              <w:rPr>
                <w:rFonts w:ascii="Times New Roman" w:hAnsi="Times New Roman" w:cs="Times New Roman"/>
                <w:b/>
                <w:bCs/>
                <w:sz w:val="18"/>
                <w:szCs w:val="18"/>
              </w:rPr>
            </w:pPr>
            <w:r w:rsidRPr="00471458">
              <w:rPr>
                <w:rFonts w:ascii="Times New Roman" w:hAnsi="Times New Roman" w:cs="Times New Roman"/>
                <w:b/>
                <w:bCs/>
                <w:sz w:val="18"/>
                <w:szCs w:val="18"/>
              </w:rPr>
              <w:t>12</w:t>
            </w:r>
          </w:p>
        </w:tc>
        <w:tc>
          <w:tcPr>
            <w:tcW w:w="0" w:type="auto"/>
            <w:vAlign w:val="center"/>
            <w:hideMark/>
          </w:tcPr>
          <w:p w14:paraId="5F2437B0" w14:textId="77777777" w:rsidR="00DA1357" w:rsidRPr="00471458" w:rsidRDefault="00DA1357" w:rsidP="00471458">
            <w:pPr>
              <w:pStyle w:val="NoSpacing"/>
              <w:jc w:val="center"/>
              <w:rPr>
                <w:rFonts w:ascii="Times New Roman" w:hAnsi="Times New Roman" w:cs="Times New Roman"/>
                <w:b/>
                <w:bCs/>
                <w:sz w:val="18"/>
                <w:szCs w:val="18"/>
              </w:rPr>
            </w:pPr>
            <w:r w:rsidRPr="00471458">
              <w:rPr>
                <w:rFonts w:ascii="Times New Roman" w:hAnsi="Times New Roman" w:cs="Times New Roman"/>
                <w:b/>
                <w:bCs/>
                <w:sz w:val="18"/>
                <w:szCs w:val="18"/>
              </w:rPr>
              <w:t>13</w:t>
            </w:r>
          </w:p>
        </w:tc>
        <w:tc>
          <w:tcPr>
            <w:tcW w:w="0" w:type="auto"/>
            <w:vAlign w:val="center"/>
            <w:hideMark/>
          </w:tcPr>
          <w:p w14:paraId="0B793C59" w14:textId="77777777" w:rsidR="00DA1357" w:rsidRPr="00471458" w:rsidRDefault="00DA1357" w:rsidP="00471458">
            <w:pPr>
              <w:pStyle w:val="NoSpacing"/>
              <w:jc w:val="center"/>
              <w:rPr>
                <w:rFonts w:ascii="Times New Roman" w:hAnsi="Times New Roman" w:cs="Times New Roman"/>
                <w:b/>
                <w:bCs/>
                <w:sz w:val="18"/>
                <w:szCs w:val="18"/>
              </w:rPr>
            </w:pPr>
            <w:r w:rsidRPr="00471458">
              <w:rPr>
                <w:rFonts w:ascii="Times New Roman" w:hAnsi="Times New Roman" w:cs="Times New Roman"/>
                <w:b/>
                <w:bCs/>
                <w:sz w:val="18"/>
                <w:szCs w:val="18"/>
              </w:rPr>
              <w:t>14</w:t>
            </w:r>
          </w:p>
        </w:tc>
        <w:tc>
          <w:tcPr>
            <w:tcW w:w="0" w:type="auto"/>
            <w:vAlign w:val="center"/>
            <w:hideMark/>
          </w:tcPr>
          <w:p w14:paraId="450CDAE7" w14:textId="77777777" w:rsidR="00DA1357" w:rsidRPr="00471458" w:rsidRDefault="00DA1357" w:rsidP="00471458">
            <w:pPr>
              <w:pStyle w:val="NoSpacing"/>
              <w:jc w:val="center"/>
              <w:rPr>
                <w:rFonts w:ascii="Times New Roman" w:hAnsi="Times New Roman" w:cs="Times New Roman"/>
                <w:b/>
                <w:bCs/>
                <w:sz w:val="18"/>
                <w:szCs w:val="18"/>
              </w:rPr>
            </w:pPr>
            <w:r w:rsidRPr="00471458">
              <w:rPr>
                <w:rFonts w:ascii="Times New Roman" w:hAnsi="Times New Roman" w:cs="Times New Roman"/>
                <w:b/>
                <w:bCs/>
                <w:sz w:val="18"/>
                <w:szCs w:val="18"/>
              </w:rPr>
              <w:t>15</w:t>
            </w:r>
          </w:p>
        </w:tc>
        <w:tc>
          <w:tcPr>
            <w:tcW w:w="0" w:type="auto"/>
            <w:vAlign w:val="center"/>
            <w:hideMark/>
          </w:tcPr>
          <w:p w14:paraId="1936AF14" w14:textId="77777777" w:rsidR="00DA1357" w:rsidRPr="00471458" w:rsidRDefault="00DA1357" w:rsidP="00471458">
            <w:pPr>
              <w:pStyle w:val="NoSpacing"/>
              <w:jc w:val="center"/>
              <w:rPr>
                <w:rFonts w:ascii="Times New Roman" w:hAnsi="Times New Roman" w:cs="Times New Roman"/>
                <w:b/>
                <w:bCs/>
                <w:sz w:val="18"/>
                <w:szCs w:val="18"/>
              </w:rPr>
            </w:pPr>
            <w:r w:rsidRPr="00471458">
              <w:rPr>
                <w:rFonts w:ascii="Times New Roman" w:hAnsi="Times New Roman" w:cs="Times New Roman"/>
                <w:b/>
                <w:bCs/>
                <w:sz w:val="18"/>
                <w:szCs w:val="18"/>
              </w:rPr>
              <w:t>16</w:t>
            </w:r>
          </w:p>
        </w:tc>
      </w:tr>
      <w:tr w:rsidR="00DA1357" w:rsidRPr="003874AC" w14:paraId="767A1A42" w14:textId="77777777" w:rsidTr="00471458">
        <w:tc>
          <w:tcPr>
            <w:tcW w:w="1216" w:type="dxa"/>
            <w:hideMark/>
          </w:tcPr>
          <w:p w14:paraId="04596E6F" w14:textId="77777777" w:rsidR="00DA1357" w:rsidRPr="003874AC" w:rsidRDefault="00DA1357" w:rsidP="00DA1357">
            <w:pPr>
              <w:pStyle w:val="NoSpacing"/>
              <w:rPr>
                <w:rFonts w:ascii="Times New Roman" w:hAnsi="Times New Roman" w:cs="Times New Roman"/>
                <w:sz w:val="20"/>
                <w:szCs w:val="20"/>
              </w:rPr>
            </w:pPr>
            <w:r w:rsidRPr="003874AC">
              <w:rPr>
                <w:rFonts w:ascii="Times New Roman" w:hAnsi="Times New Roman" w:cs="Times New Roman"/>
                <w:sz w:val="20"/>
                <w:szCs w:val="20"/>
              </w:rPr>
              <w:t>Andhra Pradesh</w:t>
            </w:r>
          </w:p>
        </w:tc>
        <w:tc>
          <w:tcPr>
            <w:tcW w:w="0" w:type="auto"/>
            <w:vAlign w:val="center"/>
            <w:hideMark/>
          </w:tcPr>
          <w:p w14:paraId="75EE5AC8" w14:textId="77777777" w:rsidR="00DA1357" w:rsidRPr="003874AC" w:rsidRDefault="00DA1357" w:rsidP="00471458">
            <w:pPr>
              <w:pStyle w:val="NoSpacing"/>
              <w:jc w:val="center"/>
              <w:rPr>
                <w:rFonts w:ascii="Times New Roman" w:hAnsi="Times New Roman" w:cs="Times New Roman"/>
                <w:sz w:val="20"/>
                <w:szCs w:val="20"/>
              </w:rPr>
            </w:pPr>
            <w:r w:rsidRPr="003874AC">
              <w:rPr>
                <w:rFonts w:ascii="Times New Roman" w:hAnsi="Times New Roman" w:cs="Times New Roman"/>
                <w:sz w:val="20"/>
                <w:szCs w:val="20"/>
              </w:rPr>
              <w:t>..</w:t>
            </w:r>
          </w:p>
        </w:tc>
        <w:tc>
          <w:tcPr>
            <w:tcW w:w="0" w:type="auto"/>
            <w:vAlign w:val="center"/>
            <w:hideMark/>
          </w:tcPr>
          <w:p w14:paraId="541DAF47" w14:textId="77777777" w:rsidR="00DA1357" w:rsidRPr="003874AC" w:rsidRDefault="00DA1357" w:rsidP="00471458">
            <w:pPr>
              <w:pStyle w:val="NoSpacing"/>
              <w:jc w:val="center"/>
              <w:rPr>
                <w:rFonts w:ascii="Times New Roman" w:hAnsi="Times New Roman" w:cs="Times New Roman"/>
                <w:sz w:val="20"/>
                <w:szCs w:val="20"/>
              </w:rPr>
            </w:pPr>
            <w:r w:rsidRPr="003874AC">
              <w:rPr>
                <w:rFonts w:ascii="Times New Roman" w:hAnsi="Times New Roman" w:cs="Times New Roman"/>
                <w:sz w:val="20"/>
                <w:szCs w:val="20"/>
              </w:rPr>
              <w:t>..</w:t>
            </w:r>
          </w:p>
        </w:tc>
        <w:tc>
          <w:tcPr>
            <w:tcW w:w="0" w:type="auto"/>
            <w:vAlign w:val="center"/>
            <w:hideMark/>
          </w:tcPr>
          <w:p w14:paraId="11DA241E" w14:textId="77777777" w:rsidR="00DA1357" w:rsidRPr="003874AC" w:rsidRDefault="00DA1357" w:rsidP="00471458">
            <w:pPr>
              <w:pStyle w:val="NoSpacing"/>
              <w:jc w:val="center"/>
              <w:rPr>
                <w:rFonts w:ascii="Times New Roman" w:hAnsi="Times New Roman" w:cs="Times New Roman"/>
                <w:sz w:val="20"/>
                <w:szCs w:val="20"/>
              </w:rPr>
            </w:pPr>
            <w:r w:rsidRPr="003874AC">
              <w:rPr>
                <w:rFonts w:ascii="Times New Roman" w:hAnsi="Times New Roman" w:cs="Times New Roman"/>
                <w:sz w:val="20"/>
                <w:szCs w:val="20"/>
              </w:rPr>
              <w:t>5.24</w:t>
            </w:r>
          </w:p>
        </w:tc>
        <w:tc>
          <w:tcPr>
            <w:tcW w:w="0" w:type="auto"/>
            <w:vAlign w:val="center"/>
            <w:hideMark/>
          </w:tcPr>
          <w:p w14:paraId="78A846E5" w14:textId="77777777" w:rsidR="00DA1357" w:rsidRPr="003874AC" w:rsidRDefault="00DA1357" w:rsidP="00471458">
            <w:pPr>
              <w:pStyle w:val="NoSpacing"/>
              <w:jc w:val="center"/>
              <w:rPr>
                <w:rFonts w:ascii="Times New Roman" w:hAnsi="Times New Roman" w:cs="Times New Roman"/>
                <w:sz w:val="20"/>
                <w:szCs w:val="20"/>
              </w:rPr>
            </w:pPr>
            <w:r w:rsidRPr="003874AC">
              <w:rPr>
                <w:rFonts w:ascii="Times New Roman" w:hAnsi="Times New Roman" w:cs="Times New Roman"/>
                <w:sz w:val="20"/>
                <w:szCs w:val="20"/>
              </w:rPr>
              <w:t>-5.24</w:t>
            </w:r>
          </w:p>
        </w:tc>
        <w:tc>
          <w:tcPr>
            <w:tcW w:w="0" w:type="auto"/>
            <w:vAlign w:val="center"/>
            <w:hideMark/>
          </w:tcPr>
          <w:p w14:paraId="6AB4C1A4" w14:textId="77777777" w:rsidR="00DA1357" w:rsidRPr="003874AC" w:rsidRDefault="00DA1357" w:rsidP="00471458">
            <w:pPr>
              <w:pStyle w:val="NoSpacing"/>
              <w:jc w:val="center"/>
              <w:rPr>
                <w:rFonts w:ascii="Times New Roman" w:hAnsi="Times New Roman" w:cs="Times New Roman"/>
                <w:sz w:val="20"/>
                <w:szCs w:val="20"/>
              </w:rPr>
            </w:pPr>
            <w:r w:rsidRPr="003874AC">
              <w:rPr>
                <w:rFonts w:ascii="Times New Roman" w:hAnsi="Times New Roman" w:cs="Times New Roman"/>
                <w:sz w:val="20"/>
                <w:szCs w:val="20"/>
              </w:rPr>
              <w:t>..</w:t>
            </w:r>
          </w:p>
        </w:tc>
        <w:tc>
          <w:tcPr>
            <w:tcW w:w="0" w:type="auto"/>
            <w:vAlign w:val="center"/>
            <w:hideMark/>
          </w:tcPr>
          <w:p w14:paraId="3375938F" w14:textId="77777777" w:rsidR="00DA1357" w:rsidRPr="003874AC" w:rsidRDefault="00DA1357" w:rsidP="00471458">
            <w:pPr>
              <w:pStyle w:val="NoSpacing"/>
              <w:jc w:val="center"/>
              <w:rPr>
                <w:rFonts w:ascii="Times New Roman" w:hAnsi="Times New Roman" w:cs="Times New Roman"/>
                <w:sz w:val="20"/>
                <w:szCs w:val="20"/>
              </w:rPr>
            </w:pPr>
            <w:r w:rsidRPr="003874AC">
              <w:rPr>
                <w:rFonts w:ascii="Times New Roman" w:hAnsi="Times New Roman" w:cs="Times New Roman"/>
                <w:sz w:val="20"/>
                <w:szCs w:val="20"/>
              </w:rPr>
              <w:t>..</w:t>
            </w:r>
          </w:p>
        </w:tc>
        <w:tc>
          <w:tcPr>
            <w:tcW w:w="0" w:type="auto"/>
            <w:vAlign w:val="center"/>
            <w:hideMark/>
          </w:tcPr>
          <w:p w14:paraId="40AAACC4" w14:textId="77777777" w:rsidR="00DA1357" w:rsidRPr="003874AC" w:rsidRDefault="00DA1357" w:rsidP="00471458">
            <w:pPr>
              <w:pStyle w:val="NoSpacing"/>
              <w:jc w:val="center"/>
              <w:rPr>
                <w:rFonts w:ascii="Times New Roman" w:hAnsi="Times New Roman" w:cs="Times New Roman"/>
                <w:sz w:val="20"/>
                <w:szCs w:val="20"/>
              </w:rPr>
            </w:pPr>
            <w:r w:rsidRPr="003874AC">
              <w:rPr>
                <w:rFonts w:ascii="Times New Roman" w:hAnsi="Times New Roman" w:cs="Times New Roman"/>
                <w:sz w:val="20"/>
                <w:szCs w:val="20"/>
              </w:rPr>
              <w:t>5.85</w:t>
            </w:r>
          </w:p>
        </w:tc>
        <w:tc>
          <w:tcPr>
            <w:tcW w:w="0" w:type="auto"/>
            <w:vAlign w:val="center"/>
            <w:hideMark/>
          </w:tcPr>
          <w:p w14:paraId="6EB2B08B" w14:textId="77777777" w:rsidR="00DA1357" w:rsidRPr="003874AC" w:rsidRDefault="00DA1357" w:rsidP="00471458">
            <w:pPr>
              <w:pStyle w:val="NoSpacing"/>
              <w:jc w:val="center"/>
              <w:rPr>
                <w:rFonts w:ascii="Times New Roman" w:hAnsi="Times New Roman" w:cs="Times New Roman"/>
                <w:sz w:val="20"/>
                <w:szCs w:val="20"/>
              </w:rPr>
            </w:pPr>
            <w:r w:rsidRPr="003874AC">
              <w:rPr>
                <w:rFonts w:ascii="Times New Roman" w:hAnsi="Times New Roman" w:cs="Times New Roman"/>
                <w:sz w:val="20"/>
                <w:szCs w:val="20"/>
              </w:rPr>
              <w:t>-5.85</w:t>
            </w:r>
          </w:p>
        </w:tc>
        <w:tc>
          <w:tcPr>
            <w:tcW w:w="0" w:type="auto"/>
            <w:vAlign w:val="center"/>
            <w:hideMark/>
          </w:tcPr>
          <w:p w14:paraId="582BC06D" w14:textId="77777777" w:rsidR="00DA1357" w:rsidRPr="003874AC" w:rsidRDefault="00DA1357" w:rsidP="00471458">
            <w:pPr>
              <w:pStyle w:val="NoSpacing"/>
              <w:jc w:val="center"/>
              <w:rPr>
                <w:rFonts w:ascii="Times New Roman" w:hAnsi="Times New Roman" w:cs="Times New Roman"/>
                <w:sz w:val="20"/>
                <w:szCs w:val="20"/>
              </w:rPr>
            </w:pPr>
            <w:r w:rsidRPr="003874AC">
              <w:rPr>
                <w:rFonts w:ascii="Times New Roman" w:hAnsi="Times New Roman" w:cs="Times New Roman"/>
                <w:sz w:val="20"/>
                <w:szCs w:val="20"/>
              </w:rPr>
              <w:t>..</w:t>
            </w:r>
          </w:p>
        </w:tc>
        <w:tc>
          <w:tcPr>
            <w:tcW w:w="0" w:type="auto"/>
            <w:vAlign w:val="center"/>
            <w:hideMark/>
          </w:tcPr>
          <w:p w14:paraId="21820039" w14:textId="77777777" w:rsidR="00DA1357" w:rsidRPr="003874AC" w:rsidRDefault="00DA1357" w:rsidP="00471458">
            <w:pPr>
              <w:pStyle w:val="NoSpacing"/>
              <w:jc w:val="center"/>
              <w:rPr>
                <w:rFonts w:ascii="Times New Roman" w:hAnsi="Times New Roman" w:cs="Times New Roman"/>
                <w:sz w:val="20"/>
                <w:szCs w:val="20"/>
              </w:rPr>
            </w:pPr>
            <w:r w:rsidRPr="003874AC">
              <w:rPr>
                <w:rFonts w:ascii="Times New Roman" w:hAnsi="Times New Roman" w:cs="Times New Roman"/>
                <w:sz w:val="20"/>
                <w:szCs w:val="20"/>
              </w:rPr>
              <w:t>..</w:t>
            </w:r>
          </w:p>
        </w:tc>
        <w:tc>
          <w:tcPr>
            <w:tcW w:w="0" w:type="auto"/>
            <w:vAlign w:val="center"/>
            <w:hideMark/>
          </w:tcPr>
          <w:p w14:paraId="134F5065" w14:textId="77777777" w:rsidR="00DA1357" w:rsidRPr="003874AC" w:rsidRDefault="00DA1357" w:rsidP="00471458">
            <w:pPr>
              <w:pStyle w:val="NoSpacing"/>
              <w:jc w:val="center"/>
              <w:rPr>
                <w:rFonts w:ascii="Times New Roman" w:hAnsi="Times New Roman" w:cs="Times New Roman"/>
                <w:sz w:val="20"/>
                <w:szCs w:val="20"/>
              </w:rPr>
            </w:pPr>
            <w:r w:rsidRPr="003874AC">
              <w:rPr>
                <w:rFonts w:ascii="Times New Roman" w:hAnsi="Times New Roman" w:cs="Times New Roman"/>
                <w:sz w:val="20"/>
                <w:szCs w:val="20"/>
              </w:rPr>
              <w:t>8.23</w:t>
            </w:r>
          </w:p>
        </w:tc>
        <w:tc>
          <w:tcPr>
            <w:tcW w:w="0" w:type="auto"/>
            <w:vAlign w:val="center"/>
            <w:hideMark/>
          </w:tcPr>
          <w:p w14:paraId="64CBE351" w14:textId="77777777" w:rsidR="00DA1357" w:rsidRPr="003874AC" w:rsidRDefault="00DA1357" w:rsidP="00471458">
            <w:pPr>
              <w:pStyle w:val="NoSpacing"/>
              <w:jc w:val="center"/>
              <w:rPr>
                <w:rFonts w:ascii="Times New Roman" w:hAnsi="Times New Roman" w:cs="Times New Roman"/>
                <w:sz w:val="20"/>
                <w:szCs w:val="20"/>
              </w:rPr>
            </w:pPr>
            <w:r w:rsidRPr="003874AC">
              <w:rPr>
                <w:rFonts w:ascii="Times New Roman" w:hAnsi="Times New Roman" w:cs="Times New Roman"/>
                <w:sz w:val="20"/>
                <w:szCs w:val="20"/>
              </w:rPr>
              <w:t>-8.23</w:t>
            </w:r>
          </w:p>
        </w:tc>
        <w:tc>
          <w:tcPr>
            <w:tcW w:w="0" w:type="auto"/>
            <w:vAlign w:val="center"/>
            <w:hideMark/>
          </w:tcPr>
          <w:p w14:paraId="7CDC9634" w14:textId="77777777" w:rsidR="00DA1357" w:rsidRPr="003874AC" w:rsidRDefault="00DA1357" w:rsidP="00471458">
            <w:pPr>
              <w:pStyle w:val="NoSpacing"/>
              <w:jc w:val="center"/>
              <w:rPr>
                <w:rFonts w:ascii="Times New Roman" w:hAnsi="Times New Roman" w:cs="Times New Roman"/>
                <w:sz w:val="20"/>
                <w:szCs w:val="20"/>
              </w:rPr>
            </w:pPr>
            <w:r w:rsidRPr="003874AC">
              <w:rPr>
                <w:rFonts w:ascii="Times New Roman" w:hAnsi="Times New Roman" w:cs="Times New Roman"/>
                <w:sz w:val="20"/>
                <w:szCs w:val="20"/>
              </w:rPr>
              <w:t>..</w:t>
            </w:r>
          </w:p>
        </w:tc>
        <w:tc>
          <w:tcPr>
            <w:tcW w:w="0" w:type="auto"/>
            <w:vAlign w:val="center"/>
            <w:hideMark/>
          </w:tcPr>
          <w:p w14:paraId="357B4BCB" w14:textId="77777777" w:rsidR="00DA1357" w:rsidRPr="003874AC" w:rsidRDefault="00DA1357" w:rsidP="00471458">
            <w:pPr>
              <w:pStyle w:val="NoSpacing"/>
              <w:jc w:val="center"/>
              <w:rPr>
                <w:rFonts w:ascii="Times New Roman" w:hAnsi="Times New Roman" w:cs="Times New Roman"/>
                <w:sz w:val="20"/>
                <w:szCs w:val="20"/>
              </w:rPr>
            </w:pPr>
            <w:r w:rsidRPr="003874AC">
              <w:rPr>
                <w:rFonts w:ascii="Times New Roman" w:hAnsi="Times New Roman" w:cs="Times New Roman"/>
                <w:sz w:val="20"/>
                <w:szCs w:val="20"/>
              </w:rPr>
              <w:t>..</w:t>
            </w:r>
          </w:p>
        </w:tc>
        <w:tc>
          <w:tcPr>
            <w:tcW w:w="0" w:type="auto"/>
            <w:vAlign w:val="center"/>
            <w:hideMark/>
          </w:tcPr>
          <w:p w14:paraId="56176ACF" w14:textId="77777777" w:rsidR="00DA1357" w:rsidRPr="003874AC" w:rsidRDefault="00DA1357" w:rsidP="00471458">
            <w:pPr>
              <w:pStyle w:val="NoSpacing"/>
              <w:jc w:val="center"/>
              <w:rPr>
                <w:rFonts w:ascii="Times New Roman" w:hAnsi="Times New Roman" w:cs="Times New Roman"/>
                <w:sz w:val="20"/>
                <w:szCs w:val="20"/>
              </w:rPr>
            </w:pPr>
            <w:r w:rsidRPr="003874AC">
              <w:rPr>
                <w:rFonts w:ascii="Times New Roman" w:hAnsi="Times New Roman" w:cs="Times New Roman"/>
                <w:sz w:val="20"/>
                <w:szCs w:val="20"/>
              </w:rPr>
              <w:t>8.49</w:t>
            </w:r>
          </w:p>
        </w:tc>
        <w:tc>
          <w:tcPr>
            <w:tcW w:w="0" w:type="auto"/>
            <w:vAlign w:val="center"/>
            <w:hideMark/>
          </w:tcPr>
          <w:p w14:paraId="5B696CA7" w14:textId="77777777" w:rsidR="00DA1357" w:rsidRPr="003874AC" w:rsidRDefault="00DA1357" w:rsidP="00471458">
            <w:pPr>
              <w:pStyle w:val="NoSpacing"/>
              <w:jc w:val="center"/>
              <w:rPr>
                <w:rFonts w:ascii="Times New Roman" w:hAnsi="Times New Roman" w:cs="Times New Roman"/>
                <w:sz w:val="20"/>
                <w:szCs w:val="20"/>
              </w:rPr>
            </w:pPr>
            <w:r w:rsidRPr="003874AC">
              <w:rPr>
                <w:rFonts w:ascii="Times New Roman" w:hAnsi="Times New Roman" w:cs="Times New Roman"/>
                <w:sz w:val="20"/>
                <w:szCs w:val="20"/>
              </w:rPr>
              <w:t>-8.49</w:t>
            </w:r>
          </w:p>
        </w:tc>
      </w:tr>
      <w:tr w:rsidR="00DA1357" w:rsidRPr="003874AC" w14:paraId="19B4DA8D" w14:textId="77777777" w:rsidTr="00471458">
        <w:tc>
          <w:tcPr>
            <w:tcW w:w="1216" w:type="dxa"/>
            <w:hideMark/>
          </w:tcPr>
          <w:p w14:paraId="454E3CC7" w14:textId="77777777" w:rsidR="00DA1357" w:rsidRPr="003874AC" w:rsidRDefault="00DA1357" w:rsidP="00DA1357">
            <w:pPr>
              <w:pStyle w:val="NoSpacing"/>
              <w:rPr>
                <w:rFonts w:ascii="Times New Roman" w:hAnsi="Times New Roman" w:cs="Times New Roman"/>
                <w:sz w:val="20"/>
                <w:szCs w:val="20"/>
              </w:rPr>
            </w:pPr>
            <w:r w:rsidRPr="003874AC">
              <w:rPr>
                <w:rFonts w:ascii="Times New Roman" w:hAnsi="Times New Roman" w:cs="Times New Roman"/>
                <w:sz w:val="20"/>
                <w:szCs w:val="20"/>
              </w:rPr>
              <w:t>Assam</w:t>
            </w:r>
          </w:p>
        </w:tc>
        <w:tc>
          <w:tcPr>
            <w:tcW w:w="0" w:type="auto"/>
            <w:vAlign w:val="center"/>
            <w:hideMark/>
          </w:tcPr>
          <w:p w14:paraId="657E8039" w14:textId="77777777" w:rsidR="00DA1357" w:rsidRPr="003874AC" w:rsidRDefault="00DA1357" w:rsidP="00471458">
            <w:pPr>
              <w:pStyle w:val="NoSpacing"/>
              <w:jc w:val="center"/>
              <w:rPr>
                <w:rFonts w:ascii="Times New Roman" w:hAnsi="Times New Roman" w:cs="Times New Roman"/>
                <w:sz w:val="20"/>
                <w:szCs w:val="20"/>
              </w:rPr>
            </w:pPr>
            <w:r w:rsidRPr="003874AC">
              <w:rPr>
                <w:rFonts w:ascii="Times New Roman" w:hAnsi="Times New Roman" w:cs="Times New Roman"/>
                <w:sz w:val="20"/>
                <w:szCs w:val="20"/>
              </w:rPr>
              <w:t>..</w:t>
            </w:r>
          </w:p>
        </w:tc>
        <w:tc>
          <w:tcPr>
            <w:tcW w:w="0" w:type="auto"/>
            <w:vAlign w:val="center"/>
            <w:hideMark/>
          </w:tcPr>
          <w:p w14:paraId="4109F40E" w14:textId="77777777" w:rsidR="00DA1357" w:rsidRPr="003874AC" w:rsidRDefault="00DA1357" w:rsidP="00471458">
            <w:pPr>
              <w:pStyle w:val="NoSpacing"/>
              <w:jc w:val="center"/>
              <w:rPr>
                <w:rFonts w:ascii="Times New Roman" w:hAnsi="Times New Roman" w:cs="Times New Roman"/>
                <w:sz w:val="20"/>
                <w:szCs w:val="20"/>
              </w:rPr>
            </w:pPr>
            <w:r w:rsidRPr="003874AC">
              <w:rPr>
                <w:rFonts w:ascii="Times New Roman" w:hAnsi="Times New Roman" w:cs="Times New Roman"/>
                <w:sz w:val="20"/>
                <w:szCs w:val="20"/>
              </w:rPr>
              <w:t>..</w:t>
            </w:r>
          </w:p>
        </w:tc>
        <w:tc>
          <w:tcPr>
            <w:tcW w:w="0" w:type="auto"/>
            <w:vAlign w:val="center"/>
            <w:hideMark/>
          </w:tcPr>
          <w:p w14:paraId="35E4A5C3" w14:textId="77777777" w:rsidR="00DA1357" w:rsidRPr="003874AC" w:rsidRDefault="00DA1357" w:rsidP="00471458">
            <w:pPr>
              <w:pStyle w:val="NoSpacing"/>
              <w:jc w:val="center"/>
              <w:rPr>
                <w:rFonts w:ascii="Times New Roman" w:hAnsi="Times New Roman" w:cs="Times New Roman"/>
                <w:sz w:val="20"/>
                <w:szCs w:val="20"/>
              </w:rPr>
            </w:pPr>
            <w:r w:rsidRPr="003874AC">
              <w:rPr>
                <w:rFonts w:ascii="Times New Roman" w:hAnsi="Times New Roman" w:cs="Times New Roman"/>
                <w:sz w:val="20"/>
                <w:szCs w:val="20"/>
              </w:rPr>
              <w:t>..</w:t>
            </w:r>
          </w:p>
        </w:tc>
        <w:tc>
          <w:tcPr>
            <w:tcW w:w="0" w:type="auto"/>
            <w:vAlign w:val="center"/>
            <w:hideMark/>
          </w:tcPr>
          <w:p w14:paraId="1FB7FA2A" w14:textId="77777777" w:rsidR="00DA1357" w:rsidRPr="003874AC" w:rsidRDefault="00DA1357" w:rsidP="00471458">
            <w:pPr>
              <w:pStyle w:val="NoSpacing"/>
              <w:jc w:val="center"/>
              <w:rPr>
                <w:rFonts w:ascii="Times New Roman" w:hAnsi="Times New Roman" w:cs="Times New Roman"/>
                <w:sz w:val="20"/>
                <w:szCs w:val="20"/>
              </w:rPr>
            </w:pPr>
            <w:r w:rsidRPr="003874AC">
              <w:rPr>
                <w:rFonts w:ascii="Times New Roman" w:hAnsi="Times New Roman" w:cs="Times New Roman"/>
                <w:sz w:val="20"/>
                <w:szCs w:val="20"/>
              </w:rPr>
              <w:t>..</w:t>
            </w:r>
          </w:p>
        </w:tc>
        <w:tc>
          <w:tcPr>
            <w:tcW w:w="0" w:type="auto"/>
            <w:vAlign w:val="center"/>
            <w:hideMark/>
          </w:tcPr>
          <w:p w14:paraId="7004EC4E" w14:textId="77777777" w:rsidR="00DA1357" w:rsidRPr="003874AC" w:rsidRDefault="00DA1357" w:rsidP="00471458">
            <w:pPr>
              <w:pStyle w:val="NoSpacing"/>
              <w:jc w:val="center"/>
              <w:rPr>
                <w:rFonts w:ascii="Times New Roman" w:hAnsi="Times New Roman" w:cs="Times New Roman"/>
                <w:sz w:val="20"/>
                <w:szCs w:val="20"/>
              </w:rPr>
            </w:pPr>
            <w:r w:rsidRPr="003874AC">
              <w:rPr>
                <w:rFonts w:ascii="Times New Roman" w:hAnsi="Times New Roman" w:cs="Times New Roman"/>
                <w:sz w:val="20"/>
                <w:szCs w:val="20"/>
              </w:rPr>
              <w:t>..</w:t>
            </w:r>
          </w:p>
        </w:tc>
        <w:tc>
          <w:tcPr>
            <w:tcW w:w="0" w:type="auto"/>
            <w:vAlign w:val="center"/>
            <w:hideMark/>
          </w:tcPr>
          <w:p w14:paraId="07EA5E61" w14:textId="77777777" w:rsidR="00DA1357" w:rsidRPr="003874AC" w:rsidRDefault="00DA1357" w:rsidP="00471458">
            <w:pPr>
              <w:pStyle w:val="NoSpacing"/>
              <w:jc w:val="center"/>
              <w:rPr>
                <w:rFonts w:ascii="Times New Roman" w:hAnsi="Times New Roman" w:cs="Times New Roman"/>
                <w:sz w:val="20"/>
                <w:szCs w:val="20"/>
              </w:rPr>
            </w:pPr>
            <w:r w:rsidRPr="003874AC">
              <w:rPr>
                <w:rFonts w:ascii="Times New Roman" w:hAnsi="Times New Roman" w:cs="Times New Roman"/>
                <w:sz w:val="20"/>
                <w:szCs w:val="20"/>
              </w:rPr>
              <w:t>..</w:t>
            </w:r>
          </w:p>
        </w:tc>
        <w:tc>
          <w:tcPr>
            <w:tcW w:w="0" w:type="auto"/>
            <w:vAlign w:val="center"/>
            <w:hideMark/>
          </w:tcPr>
          <w:p w14:paraId="45337466" w14:textId="77777777" w:rsidR="00DA1357" w:rsidRPr="003874AC" w:rsidRDefault="00DA1357" w:rsidP="00471458">
            <w:pPr>
              <w:pStyle w:val="NoSpacing"/>
              <w:jc w:val="center"/>
              <w:rPr>
                <w:rFonts w:ascii="Times New Roman" w:hAnsi="Times New Roman" w:cs="Times New Roman"/>
                <w:sz w:val="20"/>
                <w:szCs w:val="20"/>
              </w:rPr>
            </w:pPr>
            <w:r w:rsidRPr="003874AC">
              <w:rPr>
                <w:rFonts w:ascii="Times New Roman" w:hAnsi="Times New Roman" w:cs="Times New Roman"/>
                <w:sz w:val="20"/>
                <w:szCs w:val="20"/>
              </w:rPr>
              <w:t>..</w:t>
            </w:r>
          </w:p>
        </w:tc>
        <w:tc>
          <w:tcPr>
            <w:tcW w:w="0" w:type="auto"/>
            <w:vAlign w:val="center"/>
            <w:hideMark/>
          </w:tcPr>
          <w:p w14:paraId="620539A1" w14:textId="77777777" w:rsidR="00DA1357" w:rsidRPr="003874AC" w:rsidRDefault="00DA1357" w:rsidP="00471458">
            <w:pPr>
              <w:pStyle w:val="NoSpacing"/>
              <w:jc w:val="center"/>
              <w:rPr>
                <w:rFonts w:ascii="Times New Roman" w:hAnsi="Times New Roman" w:cs="Times New Roman"/>
                <w:sz w:val="20"/>
                <w:szCs w:val="20"/>
              </w:rPr>
            </w:pPr>
            <w:r w:rsidRPr="003874AC">
              <w:rPr>
                <w:rFonts w:ascii="Times New Roman" w:hAnsi="Times New Roman" w:cs="Times New Roman"/>
                <w:sz w:val="20"/>
                <w:szCs w:val="20"/>
              </w:rPr>
              <w:t>..</w:t>
            </w:r>
          </w:p>
        </w:tc>
        <w:tc>
          <w:tcPr>
            <w:tcW w:w="0" w:type="auto"/>
            <w:vAlign w:val="center"/>
            <w:hideMark/>
          </w:tcPr>
          <w:p w14:paraId="7D80C7C0" w14:textId="77777777" w:rsidR="00DA1357" w:rsidRPr="003874AC" w:rsidRDefault="00DA1357" w:rsidP="00471458">
            <w:pPr>
              <w:pStyle w:val="NoSpacing"/>
              <w:jc w:val="center"/>
              <w:rPr>
                <w:rFonts w:ascii="Times New Roman" w:hAnsi="Times New Roman" w:cs="Times New Roman"/>
                <w:sz w:val="20"/>
                <w:szCs w:val="20"/>
              </w:rPr>
            </w:pPr>
            <w:r w:rsidRPr="003874AC">
              <w:rPr>
                <w:rFonts w:ascii="Times New Roman" w:hAnsi="Times New Roman" w:cs="Times New Roman"/>
                <w:sz w:val="20"/>
                <w:szCs w:val="20"/>
              </w:rPr>
              <w:t>..</w:t>
            </w:r>
          </w:p>
        </w:tc>
        <w:tc>
          <w:tcPr>
            <w:tcW w:w="0" w:type="auto"/>
            <w:vAlign w:val="center"/>
            <w:hideMark/>
          </w:tcPr>
          <w:p w14:paraId="507C1107" w14:textId="77777777" w:rsidR="00DA1357" w:rsidRPr="003874AC" w:rsidRDefault="00DA1357" w:rsidP="00471458">
            <w:pPr>
              <w:pStyle w:val="NoSpacing"/>
              <w:jc w:val="center"/>
              <w:rPr>
                <w:rFonts w:ascii="Times New Roman" w:hAnsi="Times New Roman" w:cs="Times New Roman"/>
                <w:sz w:val="20"/>
                <w:szCs w:val="20"/>
              </w:rPr>
            </w:pPr>
            <w:r w:rsidRPr="003874AC">
              <w:rPr>
                <w:rFonts w:ascii="Times New Roman" w:hAnsi="Times New Roman" w:cs="Times New Roman"/>
                <w:sz w:val="20"/>
                <w:szCs w:val="20"/>
              </w:rPr>
              <w:t>..</w:t>
            </w:r>
          </w:p>
        </w:tc>
        <w:tc>
          <w:tcPr>
            <w:tcW w:w="0" w:type="auto"/>
            <w:vAlign w:val="center"/>
            <w:hideMark/>
          </w:tcPr>
          <w:p w14:paraId="42A6122F" w14:textId="77777777" w:rsidR="00DA1357" w:rsidRPr="003874AC" w:rsidRDefault="00DA1357" w:rsidP="00471458">
            <w:pPr>
              <w:pStyle w:val="NoSpacing"/>
              <w:jc w:val="center"/>
              <w:rPr>
                <w:rFonts w:ascii="Times New Roman" w:hAnsi="Times New Roman" w:cs="Times New Roman"/>
                <w:sz w:val="20"/>
                <w:szCs w:val="20"/>
              </w:rPr>
            </w:pPr>
            <w:r w:rsidRPr="003874AC">
              <w:rPr>
                <w:rFonts w:ascii="Times New Roman" w:hAnsi="Times New Roman" w:cs="Times New Roman"/>
                <w:sz w:val="20"/>
                <w:szCs w:val="20"/>
              </w:rPr>
              <w:t>..</w:t>
            </w:r>
          </w:p>
        </w:tc>
        <w:tc>
          <w:tcPr>
            <w:tcW w:w="0" w:type="auto"/>
            <w:vAlign w:val="center"/>
            <w:hideMark/>
          </w:tcPr>
          <w:p w14:paraId="78146A57" w14:textId="77777777" w:rsidR="00DA1357" w:rsidRPr="003874AC" w:rsidRDefault="00DA1357" w:rsidP="00471458">
            <w:pPr>
              <w:pStyle w:val="NoSpacing"/>
              <w:jc w:val="center"/>
              <w:rPr>
                <w:rFonts w:ascii="Times New Roman" w:hAnsi="Times New Roman" w:cs="Times New Roman"/>
                <w:sz w:val="20"/>
                <w:szCs w:val="20"/>
              </w:rPr>
            </w:pPr>
            <w:r w:rsidRPr="003874AC">
              <w:rPr>
                <w:rFonts w:ascii="Times New Roman" w:hAnsi="Times New Roman" w:cs="Times New Roman"/>
                <w:sz w:val="20"/>
                <w:szCs w:val="20"/>
              </w:rPr>
              <w:t>..</w:t>
            </w:r>
          </w:p>
        </w:tc>
        <w:tc>
          <w:tcPr>
            <w:tcW w:w="0" w:type="auto"/>
            <w:vAlign w:val="center"/>
            <w:hideMark/>
          </w:tcPr>
          <w:p w14:paraId="42408092" w14:textId="77777777" w:rsidR="00DA1357" w:rsidRPr="003874AC" w:rsidRDefault="00DA1357" w:rsidP="00471458">
            <w:pPr>
              <w:pStyle w:val="NoSpacing"/>
              <w:jc w:val="center"/>
              <w:rPr>
                <w:rFonts w:ascii="Times New Roman" w:hAnsi="Times New Roman" w:cs="Times New Roman"/>
                <w:sz w:val="20"/>
                <w:szCs w:val="20"/>
              </w:rPr>
            </w:pPr>
            <w:r w:rsidRPr="003874AC">
              <w:rPr>
                <w:rFonts w:ascii="Times New Roman" w:hAnsi="Times New Roman" w:cs="Times New Roman"/>
                <w:sz w:val="20"/>
                <w:szCs w:val="20"/>
              </w:rPr>
              <w:t>..</w:t>
            </w:r>
          </w:p>
        </w:tc>
        <w:tc>
          <w:tcPr>
            <w:tcW w:w="0" w:type="auto"/>
            <w:vAlign w:val="center"/>
            <w:hideMark/>
          </w:tcPr>
          <w:p w14:paraId="3F912958" w14:textId="77777777" w:rsidR="00DA1357" w:rsidRPr="003874AC" w:rsidRDefault="00DA1357" w:rsidP="00471458">
            <w:pPr>
              <w:pStyle w:val="NoSpacing"/>
              <w:jc w:val="center"/>
              <w:rPr>
                <w:rFonts w:ascii="Times New Roman" w:hAnsi="Times New Roman" w:cs="Times New Roman"/>
                <w:sz w:val="20"/>
                <w:szCs w:val="20"/>
              </w:rPr>
            </w:pPr>
            <w:r w:rsidRPr="003874AC">
              <w:rPr>
                <w:rFonts w:ascii="Times New Roman" w:hAnsi="Times New Roman" w:cs="Times New Roman"/>
                <w:sz w:val="20"/>
                <w:szCs w:val="20"/>
              </w:rPr>
              <w:t>..</w:t>
            </w:r>
          </w:p>
        </w:tc>
        <w:tc>
          <w:tcPr>
            <w:tcW w:w="0" w:type="auto"/>
            <w:vAlign w:val="center"/>
            <w:hideMark/>
          </w:tcPr>
          <w:p w14:paraId="3EEBF9AC" w14:textId="77777777" w:rsidR="00DA1357" w:rsidRPr="003874AC" w:rsidRDefault="00DA1357" w:rsidP="00471458">
            <w:pPr>
              <w:pStyle w:val="NoSpacing"/>
              <w:jc w:val="center"/>
              <w:rPr>
                <w:rFonts w:ascii="Times New Roman" w:hAnsi="Times New Roman" w:cs="Times New Roman"/>
                <w:sz w:val="20"/>
                <w:szCs w:val="20"/>
              </w:rPr>
            </w:pPr>
            <w:r w:rsidRPr="003874AC">
              <w:rPr>
                <w:rFonts w:ascii="Times New Roman" w:hAnsi="Times New Roman" w:cs="Times New Roman"/>
                <w:sz w:val="20"/>
                <w:szCs w:val="20"/>
              </w:rPr>
              <w:t>..</w:t>
            </w:r>
          </w:p>
        </w:tc>
        <w:tc>
          <w:tcPr>
            <w:tcW w:w="0" w:type="auto"/>
            <w:vAlign w:val="center"/>
            <w:hideMark/>
          </w:tcPr>
          <w:p w14:paraId="7DD61A1E" w14:textId="77777777" w:rsidR="00DA1357" w:rsidRPr="003874AC" w:rsidRDefault="00DA1357" w:rsidP="00471458">
            <w:pPr>
              <w:pStyle w:val="NoSpacing"/>
              <w:jc w:val="center"/>
              <w:rPr>
                <w:rFonts w:ascii="Times New Roman" w:hAnsi="Times New Roman" w:cs="Times New Roman"/>
                <w:sz w:val="20"/>
                <w:szCs w:val="20"/>
              </w:rPr>
            </w:pPr>
            <w:r w:rsidRPr="003874AC">
              <w:rPr>
                <w:rFonts w:ascii="Times New Roman" w:hAnsi="Times New Roman" w:cs="Times New Roman"/>
                <w:sz w:val="20"/>
                <w:szCs w:val="20"/>
              </w:rPr>
              <w:t>..</w:t>
            </w:r>
          </w:p>
        </w:tc>
      </w:tr>
      <w:tr w:rsidR="00DA1357" w:rsidRPr="003874AC" w14:paraId="2F89D396" w14:textId="77777777" w:rsidTr="00471458">
        <w:tc>
          <w:tcPr>
            <w:tcW w:w="1216" w:type="dxa"/>
            <w:hideMark/>
          </w:tcPr>
          <w:p w14:paraId="4A310B32" w14:textId="77777777" w:rsidR="00DA1357" w:rsidRPr="003874AC" w:rsidRDefault="00DA1357" w:rsidP="00DA1357">
            <w:pPr>
              <w:pStyle w:val="NoSpacing"/>
              <w:rPr>
                <w:rFonts w:ascii="Times New Roman" w:hAnsi="Times New Roman" w:cs="Times New Roman"/>
                <w:sz w:val="20"/>
                <w:szCs w:val="20"/>
              </w:rPr>
            </w:pPr>
            <w:r w:rsidRPr="003874AC">
              <w:rPr>
                <w:rFonts w:ascii="Times New Roman" w:hAnsi="Times New Roman" w:cs="Times New Roman"/>
                <w:sz w:val="20"/>
                <w:szCs w:val="20"/>
              </w:rPr>
              <w:t>Bihar</w:t>
            </w:r>
          </w:p>
        </w:tc>
        <w:tc>
          <w:tcPr>
            <w:tcW w:w="0" w:type="auto"/>
            <w:vAlign w:val="center"/>
            <w:hideMark/>
          </w:tcPr>
          <w:p w14:paraId="56874AF0" w14:textId="77777777" w:rsidR="00DA1357" w:rsidRPr="003874AC" w:rsidRDefault="00DA1357" w:rsidP="00471458">
            <w:pPr>
              <w:pStyle w:val="NoSpacing"/>
              <w:jc w:val="center"/>
              <w:rPr>
                <w:rFonts w:ascii="Times New Roman" w:hAnsi="Times New Roman" w:cs="Times New Roman"/>
                <w:sz w:val="20"/>
                <w:szCs w:val="20"/>
              </w:rPr>
            </w:pPr>
            <w:r w:rsidRPr="003874AC">
              <w:rPr>
                <w:rFonts w:ascii="Times New Roman" w:hAnsi="Times New Roman" w:cs="Times New Roman"/>
                <w:sz w:val="20"/>
                <w:szCs w:val="20"/>
              </w:rPr>
              <w:t>0.02</w:t>
            </w:r>
          </w:p>
        </w:tc>
        <w:tc>
          <w:tcPr>
            <w:tcW w:w="0" w:type="auto"/>
            <w:vAlign w:val="center"/>
            <w:hideMark/>
          </w:tcPr>
          <w:p w14:paraId="1F52C7DC" w14:textId="77777777" w:rsidR="00DA1357" w:rsidRPr="003874AC" w:rsidRDefault="00DA1357" w:rsidP="00471458">
            <w:pPr>
              <w:pStyle w:val="NoSpacing"/>
              <w:jc w:val="center"/>
              <w:rPr>
                <w:rFonts w:ascii="Times New Roman" w:hAnsi="Times New Roman" w:cs="Times New Roman"/>
                <w:sz w:val="20"/>
                <w:szCs w:val="20"/>
              </w:rPr>
            </w:pPr>
            <w:r w:rsidRPr="003874AC">
              <w:rPr>
                <w:rFonts w:ascii="Times New Roman" w:hAnsi="Times New Roman" w:cs="Times New Roman"/>
                <w:sz w:val="20"/>
                <w:szCs w:val="20"/>
              </w:rPr>
              <w:t>0.02</w:t>
            </w:r>
          </w:p>
        </w:tc>
        <w:tc>
          <w:tcPr>
            <w:tcW w:w="0" w:type="auto"/>
            <w:vAlign w:val="center"/>
            <w:hideMark/>
          </w:tcPr>
          <w:p w14:paraId="45CA0143" w14:textId="77777777" w:rsidR="00DA1357" w:rsidRPr="003874AC" w:rsidRDefault="00DA1357" w:rsidP="00471458">
            <w:pPr>
              <w:pStyle w:val="NoSpacing"/>
              <w:jc w:val="center"/>
              <w:rPr>
                <w:rFonts w:ascii="Times New Roman" w:hAnsi="Times New Roman" w:cs="Times New Roman"/>
                <w:sz w:val="20"/>
                <w:szCs w:val="20"/>
              </w:rPr>
            </w:pPr>
            <w:r w:rsidRPr="003874AC">
              <w:rPr>
                <w:rFonts w:ascii="Times New Roman" w:hAnsi="Times New Roman" w:cs="Times New Roman"/>
                <w:sz w:val="20"/>
                <w:szCs w:val="20"/>
              </w:rPr>
              <w:t>..</w:t>
            </w:r>
          </w:p>
        </w:tc>
        <w:tc>
          <w:tcPr>
            <w:tcW w:w="0" w:type="auto"/>
            <w:vAlign w:val="center"/>
            <w:hideMark/>
          </w:tcPr>
          <w:p w14:paraId="719F45F9" w14:textId="77777777" w:rsidR="00DA1357" w:rsidRPr="003874AC" w:rsidRDefault="00DA1357" w:rsidP="00471458">
            <w:pPr>
              <w:pStyle w:val="NoSpacing"/>
              <w:jc w:val="center"/>
              <w:rPr>
                <w:rFonts w:ascii="Times New Roman" w:hAnsi="Times New Roman" w:cs="Times New Roman"/>
                <w:sz w:val="20"/>
                <w:szCs w:val="20"/>
              </w:rPr>
            </w:pPr>
            <w:r w:rsidRPr="003874AC">
              <w:rPr>
                <w:rFonts w:ascii="Times New Roman" w:hAnsi="Times New Roman" w:cs="Times New Roman"/>
                <w:sz w:val="20"/>
                <w:szCs w:val="20"/>
              </w:rPr>
              <w:t>..</w:t>
            </w:r>
          </w:p>
        </w:tc>
        <w:tc>
          <w:tcPr>
            <w:tcW w:w="0" w:type="auto"/>
            <w:vAlign w:val="center"/>
            <w:hideMark/>
          </w:tcPr>
          <w:p w14:paraId="064C4B1C" w14:textId="77777777" w:rsidR="00DA1357" w:rsidRPr="003874AC" w:rsidRDefault="00DA1357" w:rsidP="00471458">
            <w:pPr>
              <w:pStyle w:val="NoSpacing"/>
              <w:jc w:val="center"/>
              <w:rPr>
                <w:rFonts w:ascii="Times New Roman" w:hAnsi="Times New Roman" w:cs="Times New Roman"/>
                <w:sz w:val="20"/>
                <w:szCs w:val="20"/>
              </w:rPr>
            </w:pPr>
            <w:r w:rsidRPr="003874AC">
              <w:rPr>
                <w:rFonts w:ascii="Times New Roman" w:hAnsi="Times New Roman" w:cs="Times New Roman"/>
                <w:sz w:val="20"/>
                <w:szCs w:val="20"/>
              </w:rPr>
              <w:t>0.32</w:t>
            </w:r>
          </w:p>
        </w:tc>
        <w:tc>
          <w:tcPr>
            <w:tcW w:w="0" w:type="auto"/>
            <w:vAlign w:val="center"/>
            <w:hideMark/>
          </w:tcPr>
          <w:p w14:paraId="37EA2925" w14:textId="77777777" w:rsidR="00DA1357" w:rsidRPr="003874AC" w:rsidRDefault="00DA1357" w:rsidP="00471458">
            <w:pPr>
              <w:pStyle w:val="NoSpacing"/>
              <w:jc w:val="center"/>
              <w:rPr>
                <w:rFonts w:ascii="Times New Roman" w:hAnsi="Times New Roman" w:cs="Times New Roman"/>
                <w:sz w:val="20"/>
                <w:szCs w:val="20"/>
              </w:rPr>
            </w:pPr>
            <w:r w:rsidRPr="003874AC">
              <w:rPr>
                <w:rFonts w:ascii="Times New Roman" w:hAnsi="Times New Roman" w:cs="Times New Roman"/>
                <w:sz w:val="20"/>
                <w:szCs w:val="20"/>
              </w:rPr>
              <w:t>0.04</w:t>
            </w:r>
          </w:p>
        </w:tc>
        <w:tc>
          <w:tcPr>
            <w:tcW w:w="0" w:type="auto"/>
            <w:vAlign w:val="center"/>
            <w:hideMark/>
          </w:tcPr>
          <w:p w14:paraId="2D393E38" w14:textId="77777777" w:rsidR="00DA1357" w:rsidRPr="003874AC" w:rsidRDefault="00DA1357" w:rsidP="00471458">
            <w:pPr>
              <w:pStyle w:val="NoSpacing"/>
              <w:jc w:val="center"/>
              <w:rPr>
                <w:rFonts w:ascii="Times New Roman" w:hAnsi="Times New Roman" w:cs="Times New Roman"/>
                <w:sz w:val="20"/>
                <w:szCs w:val="20"/>
              </w:rPr>
            </w:pPr>
            <w:r w:rsidRPr="003874AC">
              <w:rPr>
                <w:rFonts w:ascii="Times New Roman" w:hAnsi="Times New Roman" w:cs="Times New Roman"/>
                <w:sz w:val="20"/>
                <w:szCs w:val="20"/>
              </w:rPr>
              <w:t>2.75</w:t>
            </w:r>
          </w:p>
        </w:tc>
        <w:tc>
          <w:tcPr>
            <w:tcW w:w="0" w:type="auto"/>
            <w:vAlign w:val="center"/>
            <w:hideMark/>
          </w:tcPr>
          <w:p w14:paraId="0814B2A7" w14:textId="77777777" w:rsidR="00DA1357" w:rsidRPr="003874AC" w:rsidRDefault="00DA1357" w:rsidP="00471458">
            <w:pPr>
              <w:pStyle w:val="NoSpacing"/>
              <w:jc w:val="center"/>
              <w:rPr>
                <w:rFonts w:ascii="Times New Roman" w:hAnsi="Times New Roman" w:cs="Times New Roman"/>
                <w:sz w:val="20"/>
                <w:szCs w:val="20"/>
              </w:rPr>
            </w:pPr>
            <w:r w:rsidRPr="003874AC">
              <w:rPr>
                <w:rFonts w:ascii="Times New Roman" w:hAnsi="Times New Roman" w:cs="Times New Roman"/>
                <w:sz w:val="20"/>
                <w:szCs w:val="20"/>
              </w:rPr>
              <w:t>-2.47</w:t>
            </w:r>
          </w:p>
        </w:tc>
        <w:tc>
          <w:tcPr>
            <w:tcW w:w="0" w:type="auto"/>
            <w:vAlign w:val="center"/>
            <w:hideMark/>
          </w:tcPr>
          <w:p w14:paraId="1D166F03" w14:textId="77777777" w:rsidR="00DA1357" w:rsidRPr="003874AC" w:rsidRDefault="00DA1357" w:rsidP="00471458">
            <w:pPr>
              <w:pStyle w:val="NoSpacing"/>
              <w:jc w:val="center"/>
              <w:rPr>
                <w:rFonts w:ascii="Times New Roman" w:hAnsi="Times New Roman" w:cs="Times New Roman"/>
                <w:sz w:val="20"/>
                <w:szCs w:val="20"/>
              </w:rPr>
            </w:pPr>
            <w:r w:rsidRPr="003874AC">
              <w:rPr>
                <w:rFonts w:ascii="Times New Roman" w:hAnsi="Times New Roman" w:cs="Times New Roman"/>
                <w:sz w:val="20"/>
                <w:szCs w:val="20"/>
              </w:rPr>
              <w:t>0.45</w:t>
            </w:r>
          </w:p>
        </w:tc>
        <w:tc>
          <w:tcPr>
            <w:tcW w:w="0" w:type="auto"/>
            <w:vAlign w:val="center"/>
            <w:hideMark/>
          </w:tcPr>
          <w:p w14:paraId="00AD7E5D" w14:textId="77777777" w:rsidR="00DA1357" w:rsidRPr="003874AC" w:rsidRDefault="00DA1357" w:rsidP="00471458">
            <w:pPr>
              <w:pStyle w:val="NoSpacing"/>
              <w:jc w:val="center"/>
              <w:rPr>
                <w:rFonts w:ascii="Times New Roman" w:hAnsi="Times New Roman" w:cs="Times New Roman"/>
                <w:sz w:val="20"/>
                <w:szCs w:val="20"/>
              </w:rPr>
            </w:pPr>
            <w:r w:rsidRPr="003874AC">
              <w:rPr>
                <w:rFonts w:ascii="Times New Roman" w:hAnsi="Times New Roman" w:cs="Times New Roman"/>
                <w:sz w:val="20"/>
                <w:szCs w:val="20"/>
              </w:rPr>
              <w:t>0.13</w:t>
            </w:r>
          </w:p>
        </w:tc>
        <w:tc>
          <w:tcPr>
            <w:tcW w:w="0" w:type="auto"/>
            <w:vAlign w:val="center"/>
            <w:hideMark/>
          </w:tcPr>
          <w:p w14:paraId="1AD57913" w14:textId="77777777" w:rsidR="00DA1357" w:rsidRPr="003874AC" w:rsidRDefault="00DA1357" w:rsidP="00471458">
            <w:pPr>
              <w:pStyle w:val="NoSpacing"/>
              <w:jc w:val="center"/>
              <w:rPr>
                <w:rFonts w:ascii="Times New Roman" w:hAnsi="Times New Roman" w:cs="Times New Roman"/>
                <w:sz w:val="20"/>
                <w:szCs w:val="20"/>
              </w:rPr>
            </w:pPr>
            <w:r w:rsidRPr="003874AC">
              <w:rPr>
                <w:rFonts w:ascii="Times New Roman" w:hAnsi="Times New Roman" w:cs="Times New Roman"/>
                <w:sz w:val="20"/>
                <w:szCs w:val="20"/>
              </w:rPr>
              <w:t>2.66</w:t>
            </w:r>
          </w:p>
        </w:tc>
        <w:tc>
          <w:tcPr>
            <w:tcW w:w="0" w:type="auto"/>
            <w:vAlign w:val="center"/>
            <w:hideMark/>
          </w:tcPr>
          <w:p w14:paraId="0A9285BB" w14:textId="77777777" w:rsidR="00DA1357" w:rsidRPr="003874AC" w:rsidRDefault="00DA1357" w:rsidP="00471458">
            <w:pPr>
              <w:pStyle w:val="NoSpacing"/>
              <w:jc w:val="center"/>
              <w:rPr>
                <w:rFonts w:ascii="Times New Roman" w:hAnsi="Times New Roman" w:cs="Times New Roman"/>
                <w:sz w:val="20"/>
                <w:szCs w:val="20"/>
              </w:rPr>
            </w:pPr>
            <w:r w:rsidRPr="003874AC">
              <w:rPr>
                <w:rFonts w:ascii="Times New Roman" w:hAnsi="Times New Roman" w:cs="Times New Roman"/>
                <w:sz w:val="20"/>
                <w:szCs w:val="20"/>
              </w:rPr>
              <w:t>-2.34</w:t>
            </w:r>
          </w:p>
        </w:tc>
        <w:tc>
          <w:tcPr>
            <w:tcW w:w="0" w:type="auto"/>
            <w:vAlign w:val="center"/>
            <w:hideMark/>
          </w:tcPr>
          <w:p w14:paraId="3220FBE9" w14:textId="77777777" w:rsidR="00DA1357" w:rsidRPr="003874AC" w:rsidRDefault="00DA1357" w:rsidP="00471458">
            <w:pPr>
              <w:pStyle w:val="NoSpacing"/>
              <w:jc w:val="center"/>
              <w:rPr>
                <w:rFonts w:ascii="Times New Roman" w:hAnsi="Times New Roman" w:cs="Times New Roman"/>
                <w:sz w:val="20"/>
                <w:szCs w:val="20"/>
              </w:rPr>
            </w:pPr>
            <w:r w:rsidRPr="003874AC">
              <w:rPr>
                <w:rFonts w:ascii="Times New Roman" w:hAnsi="Times New Roman" w:cs="Times New Roman"/>
                <w:sz w:val="20"/>
                <w:szCs w:val="20"/>
              </w:rPr>
              <w:t>1.20</w:t>
            </w:r>
          </w:p>
        </w:tc>
        <w:tc>
          <w:tcPr>
            <w:tcW w:w="0" w:type="auto"/>
            <w:vAlign w:val="center"/>
            <w:hideMark/>
          </w:tcPr>
          <w:p w14:paraId="366CF8D8" w14:textId="77777777" w:rsidR="00DA1357" w:rsidRPr="003874AC" w:rsidRDefault="00DA1357" w:rsidP="00471458">
            <w:pPr>
              <w:pStyle w:val="NoSpacing"/>
              <w:jc w:val="center"/>
              <w:rPr>
                <w:rFonts w:ascii="Times New Roman" w:hAnsi="Times New Roman" w:cs="Times New Roman"/>
                <w:sz w:val="20"/>
                <w:szCs w:val="20"/>
              </w:rPr>
            </w:pPr>
            <w:r w:rsidRPr="003874AC">
              <w:rPr>
                <w:rFonts w:ascii="Times New Roman" w:hAnsi="Times New Roman" w:cs="Times New Roman"/>
                <w:sz w:val="20"/>
                <w:szCs w:val="20"/>
              </w:rPr>
              <w:t>1.17</w:t>
            </w:r>
          </w:p>
        </w:tc>
        <w:tc>
          <w:tcPr>
            <w:tcW w:w="0" w:type="auto"/>
            <w:vAlign w:val="center"/>
            <w:hideMark/>
          </w:tcPr>
          <w:p w14:paraId="0D93347A" w14:textId="77777777" w:rsidR="00DA1357" w:rsidRPr="003874AC" w:rsidRDefault="00DA1357" w:rsidP="00471458">
            <w:pPr>
              <w:pStyle w:val="NoSpacing"/>
              <w:jc w:val="center"/>
              <w:rPr>
                <w:rFonts w:ascii="Times New Roman" w:hAnsi="Times New Roman" w:cs="Times New Roman"/>
                <w:sz w:val="20"/>
                <w:szCs w:val="20"/>
              </w:rPr>
            </w:pPr>
            <w:r w:rsidRPr="003874AC">
              <w:rPr>
                <w:rFonts w:ascii="Times New Roman" w:hAnsi="Times New Roman" w:cs="Times New Roman"/>
                <w:sz w:val="20"/>
                <w:szCs w:val="20"/>
              </w:rPr>
              <w:t>2.70</w:t>
            </w:r>
          </w:p>
        </w:tc>
        <w:tc>
          <w:tcPr>
            <w:tcW w:w="0" w:type="auto"/>
            <w:vAlign w:val="center"/>
            <w:hideMark/>
          </w:tcPr>
          <w:p w14:paraId="6350D860" w14:textId="77777777" w:rsidR="00DA1357" w:rsidRPr="003874AC" w:rsidRDefault="00DA1357" w:rsidP="00471458">
            <w:pPr>
              <w:pStyle w:val="NoSpacing"/>
              <w:jc w:val="center"/>
              <w:rPr>
                <w:rFonts w:ascii="Times New Roman" w:hAnsi="Times New Roman" w:cs="Times New Roman"/>
                <w:sz w:val="20"/>
                <w:szCs w:val="20"/>
              </w:rPr>
            </w:pPr>
            <w:r w:rsidRPr="003874AC">
              <w:rPr>
                <w:rFonts w:ascii="Times New Roman" w:hAnsi="Times New Roman" w:cs="Times New Roman"/>
                <w:sz w:val="20"/>
                <w:szCs w:val="20"/>
              </w:rPr>
              <w:t>-2.67</w:t>
            </w:r>
          </w:p>
        </w:tc>
      </w:tr>
      <w:tr w:rsidR="00DA1357" w:rsidRPr="003874AC" w14:paraId="48AF1EAE" w14:textId="77777777" w:rsidTr="00471458">
        <w:tc>
          <w:tcPr>
            <w:tcW w:w="1216" w:type="dxa"/>
            <w:hideMark/>
          </w:tcPr>
          <w:p w14:paraId="5586ECDE" w14:textId="77777777" w:rsidR="00DA1357" w:rsidRPr="003874AC" w:rsidRDefault="00DA1357" w:rsidP="00DA1357">
            <w:pPr>
              <w:pStyle w:val="NoSpacing"/>
              <w:rPr>
                <w:rFonts w:ascii="Times New Roman" w:hAnsi="Times New Roman" w:cs="Times New Roman"/>
                <w:sz w:val="20"/>
                <w:szCs w:val="20"/>
              </w:rPr>
            </w:pPr>
            <w:r w:rsidRPr="003874AC">
              <w:rPr>
                <w:rFonts w:ascii="Times New Roman" w:hAnsi="Times New Roman" w:cs="Times New Roman"/>
                <w:sz w:val="20"/>
                <w:szCs w:val="20"/>
              </w:rPr>
              <w:t>Gujarat</w:t>
            </w:r>
          </w:p>
        </w:tc>
        <w:tc>
          <w:tcPr>
            <w:tcW w:w="0" w:type="auto"/>
            <w:vAlign w:val="center"/>
            <w:hideMark/>
          </w:tcPr>
          <w:p w14:paraId="3439F683" w14:textId="77777777" w:rsidR="00DA1357" w:rsidRPr="003874AC" w:rsidRDefault="00DA1357" w:rsidP="00471458">
            <w:pPr>
              <w:pStyle w:val="NoSpacing"/>
              <w:jc w:val="center"/>
              <w:rPr>
                <w:rFonts w:ascii="Times New Roman" w:hAnsi="Times New Roman" w:cs="Times New Roman"/>
                <w:sz w:val="20"/>
                <w:szCs w:val="20"/>
              </w:rPr>
            </w:pPr>
            <w:r w:rsidRPr="003874AC">
              <w:rPr>
                <w:rFonts w:ascii="Times New Roman" w:hAnsi="Times New Roman" w:cs="Times New Roman"/>
                <w:sz w:val="20"/>
                <w:szCs w:val="20"/>
              </w:rPr>
              <w:t>..</w:t>
            </w:r>
          </w:p>
        </w:tc>
        <w:tc>
          <w:tcPr>
            <w:tcW w:w="0" w:type="auto"/>
            <w:vAlign w:val="center"/>
            <w:hideMark/>
          </w:tcPr>
          <w:p w14:paraId="2EB2CEB7" w14:textId="77777777" w:rsidR="00DA1357" w:rsidRPr="003874AC" w:rsidRDefault="00DA1357" w:rsidP="00471458">
            <w:pPr>
              <w:pStyle w:val="NoSpacing"/>
              <w:jc w:val="center"/>
              <w:rPr>
                <w:rFonts w:ascii="Times New Roman" w:hAnsi="Times New Roman" w:cs="Times New Roman"/>
                <w:sz w:val="20"/>
                <w:szCs w:val="20"/>
              </w:rPr>
            </w:pPr>
            <w:r w:rsidRPr="003874AC">
              <w:rPr>
                <w:rFonts w:ascii="Times New Roman" w:hAnsi="Times New Roman" w:cs="Times New Roman"/>
                <w:sz w:val="20"/>
                <w:szCs w:val="20"/>
              </w:rPr>
              <w:t>..</w:t>
            </w:r>
          </w:p>
        </w:tc>
        <w:tc>
          <w:tcPr>
            <w:tcW w:w="0" w:type="auto"/>
            <w:vAlign w:val="center"/>
            <w:hideMark/>
          </w:tcPr>
          <w:p w14:paraId="1CB11521" w14:textId="77777777" w:rsidR="00DA1357" w:rsidRPr="003874AC" w:rsidRDefault="00DA1357" w:rsidP="00471458">
            <w:pPr>
              <w:pStyle w:val="NoSpacing"/>
              <w:jc w:val="center"/>
              <w:rPr>
                <w:rFonts w:ascii="Times New Roman" w:hAnsi="Times New Roman" w:cs="Times New Roman"/>
                <w:sz w:val="20"/>
                <w:szCs w:val="20"/>
              </w:rPr>
            </w:pPr>
            <w:r w:rsidRPr="003874AC">
              <w:rPr>
                <w:rFonts w:ascii="Times New Roman" w:hAnsi="Times New Roman" w:cs="Times New Roman"/>
                <w:sz w:val="20"/>
                <w:szCs w:val="20"/>
              </w:rPr>
              <w:t>0.69</w:t>
            </w:r>
          </w:p>
        </w:tc>
        <w:tc>
          <w:tcPr>
            <w:tcW w:w="0" w:type="auto"/>
            <w:vAlign w:val="center"/>
            <w:hideMark/>
          </w:tcPr>
          <w:p w14:paraId="508453E0" w14:textId="77777777" w:rsidR="00DA1357" w:rsidRPr="003874AC" w:rsidRDefault="00DA1357" w:rsidP="00471458">
            <w:pPr>
              <w:pStyle w:val="NoSpacing"/>
              <w:jc w:val="center"/>
              <w:rPr>
                <w:rFonts w:ascii="Times New Roman" w:hAnsi="Times New Roman" w:cs="Times New Roman"/>
                <w:sz w:val="20"/>
                <w:szCs w:val="20"/>
              </w:rPr>
            </w:pPr>
            <w:r w:rsidRPr="003874AC">
              <w:rPr>
                <w:rFonts w:ascii="Times New Roman" w:hAnsi="Times New Roman" w:cs="Times New Roman"/>
                <w:sz w:val="20"/>
                <w:szCs w:val="20"/>
              </w:rPr>
              <w:t>-0.69</w:t>
            </w:r>
          </w:p>
        </w:tc>
        <w:tc>
          <w:tcPr>
            <w:tcW w:w="0" w:type="auto"/>
            <w:vAlign w:val="center"/>
            <w:hideMark/>
          </w:tcPr>
          <w:p w14:paraId="7F929DC0" w14:textId="77777777" w:rsidR="00DA1357" w:rsidRPr="003874AC" w:rsidRDefault="00DA1357" w:rsidP="00471458">
            <w:pPr>
              <w:pStyle w:val="NoSpacing"/>
              <w:jc w:val="center"/>
              <w:rPr>
                <w:rFonts w:ascii="Times New Roman" w:hAnsi="Times New Roman" w:cs="Times New Roman"/>
                <w:sz w:val="20"/>
                <w:szCs w:val="20"/>
              </w:rPr>
            </w:pPr>
            <w:r w:rsidRPr="003874AC">
              <w:rPr>
                <w:rFonts w:ascii="Times New Roman" w:hAnsi="Times New Roman" w:cs="Times New Roman"/>
                <w:sz w:val="20"/>
                <w:szCs w:val="20"/>
              </w:rPr>
              <w:t>..</w:t>
            </w:r>
          </w:p>
        </w:tc>
        <w:tc>
          <w:tcPr>
            <w:tcW w:w="0" w:type="auto"/>
            <w:vAlign w:val="center"/>
            <w:hideMark/>
          </w:tcPr>
          <w:p w14:paraId="36BAC5BD" w14:textId="77777777" w:rsidR="00DA1357" w:rsidRPr="003874AC" w:rsidRDefault="00DA1357" w:rsidP="00471458">
            <w:pPr>
              <w:pStyle w:val="NoSpacing"/>
              <w:jc w:val="center"/>
              <w:rPr>
                <w:rFonts w:ascii="Times New Roman" w:hAnsi="Times New Roman" w:cs="Times New Roman"/>
                <w:sz w:val="20"/>
                <w:szCs w:val="20"/>
              </w:rPr>
            </w:pPr>
            <w:r w:rsidRPr="003874AC">
              <w:rPr>
                <w:rFonts w:ascii="Times New Roman" w:hAnsi="Times New Roman" w:cs="Times New Roman"/>
                <w:sz w:val="20"/>
                <w:szCs w:val="20"/>
              </w:rPr>
              <w:t>..</w:t>
            </w:r>
          </w:p>
        </w:tc>
        <w:tc>
          <w:tcPr>
            <w:tcW w:w="0" w:type="auto"/>
            <w:vAlign w:val="center"/>
            <w:hideMark/>
          </w:tcPr>
          <w:p w14:paraId="3640A838" w14:textId="77777777" w:rsidR="00DA1357" w:rsidRPr="003874AC" w:rsidRDefault="00DA1357" w:rsidP="00471458">
            <w:pPr>
              <w:pStyle w:val="NoSpacing"/>
              <w:jc w:val="center"/>
              <w:rPr>
                <w:rFonts w:ascii="Times New Roman" w:hAnsi="Times New Roman" w:cs="Times New Roman"/>
                <w:sz w:val="20"/>
                <w:szCs w:val="20"/>
              </w:rPr>
            </w:pPr>
            <w:r w:rsidRPr="003874AC">
              <w:rPr>
                <w:rFonts w:ascii="Times New Roman" w:hAnsi="Times New Roman" w:cs="Times New Roman"/>
                <w:sz w:val="20"/>
                <w:szCs w:val="20"/>
              </w:rPr>
              <w:t>1.05</w:t>
            </w:r>
          </w:p>
        </w:tc>
        <w:tc>
          <w:tcPr>
            <w:tcW w:w="0" w:type="auto"/>
            <w:vAlign w:val="center"/>
            <w:hideMark/>
          </w:tcPr>
          <w:p w14:paraId="69824DE6" w14:textId="77777777" w:rsidR="00DA1357" w:rsidRPr="003874AC" w:rsidRDefault="00DA1357" w:rsidP="00471458">
            <w:pPr>
              <w:pStyle w:val="NoSpacing"/>
              <w:jc w:val="center"/>
              <w:rPr>
                <w:rFonts w:ascii="Times New Roman" w:hAnsi="Times New Roman" w:cs="Times New Roman"/>
                <w:sz w:val="20"/>
                <w:szCs w:val="20"/>
              </w:rPr>
            </w:pPr>
            <w:r w:rsidRPr="003874AC">
              <w:rPr>
                <w:rFonts w:ascii="Times New Roman" w:hAnsi="Times New Roman" w:cs="Times New Roman"/>
                <w:sz w:val="20"/>
                <w:szCs w:val="20"/>
              </w:rPr>
              <w:t>-1.05</w:t>
            </w:r>
          </w:p>
        </w:tc>
        <w:tc>
          <w:tcPr>
            <w:tcW w:w="0" w:type="auto"/>
            <w:vAlign w:val="center"/>
            <w:hideMark/>
          </w:tcPr>
          <w:p w14:paraId="46F35D6D" w14:textId="77777777" w:rsidR="00DA1357" w:rsidRPr="003874AC" w:rsidRDefault="00DA1357" w:rsidP="00471458">
            <w:pPr>
              <w:pStyle w:val="NoSpacing"/>
              <w:jc w:val="center"/>
              <w:rPr>
                <w:rFonts w:ascii="Times New Roman" w:hAnsi="Times New Roman" w:cs="Times New Roman"/>
                <w:sz w:val="20"/>
                <w:szCs w:val="20"/>
              </w:rPr>
            </w:pPr>
            <w:r w:rsidRPr="003874AC">
              <w:rPr>
                <w:rFonts w:ascii="Times New Roman" w:hAnsi="Times New Roman" w:cs="Times New Roman"/>
                <w:sz w:val="20"/>
                <w:szCs w:val="20"/>
              </w:rPr>
              <w:t>..</w:t>
            </w:r>
          </w:p>
        </w:tc>
        <w:tc>
          <w:tcPr>
            <w:tcW w:w="0" w:type="auto"/>
            <w:vAlign w:val="center"/>
            <w:hideMark/>
          </w:tcPr>
          <w:p w14:paraId="0153F585" w14:textId="77777777" w:rsidR="00DA1357" w:rsidRPr="003874AC" w:rsidRDefault="00DA1357" w:rsidP="00471458">
            <w:pPr>
              <w:pStyle w:val="NoSpacing"/>
              <w:jc w:val="center"/>
              <w:rPr>
                <w:rFonts w:ascii="Times New Roman" w:hAnsi="Times New Roman" w:cs="Times New Roman"/>
                <w:sz w:val="20"/>
                <w:szCs w:val="20"/>
              </w:rPr>
            </w:pPr>
            <w:r w:rsidRPr="003874AC">
              <w:rPr>
                <w:rFonts w:ascii="Times New Roman" w:hAnsi="Times New Roman" w:cs="Times New Roman"/>
                <w:sz w:val="20"/>
                <w:szCs w:val="20"/>
              </w:rPr>
              <w:t>..</w:t>
            </w:r>
          </w:p>
        </w:tc>
        <w:tc>
          <w:tcPr>
            <w:tcW w:w="0" w:type="auto"/>
            <w:vAlign w:val="center"/>
            <w:hideMark/>
          </w:tcPr>
          <w:p w14:paraId="0CFE9768" w14:textId="77777777" w:rsidR="00DA1357" w:rsidRPr="003874AC" w:rsidRDefault="00DA1357" w:rsidP="00471458">
            <w:pPr>
              <w:pStyle w:val="NoSpacing"/>
              <w:jc w:val="center"/>
              <w:rPr>
                <w:rFonts w:ascii="Times New Roman" w:hAnsi="Times New Roman" w:cs="Times New Roman"/>
                <w:sz w:val="20"/>
                <w:szCs w:val="20"/>
              </w:rPr>
            </w:pPr>
            <w:r w:rsidRPr="003874AC">
              <w:rPr>
                <w:rFonts w:ascii="Times New Roman" w:hAnsi="Times New Roman" w:cs="Times New Roman"/>
                <w:sz w:val="20"/>
                <w:szCs w:val="20"/>
              </w:rPr>
              <w:t>1.62</w:t>
            </w:r>
          </w:p>
        </w:tc>
        <w:tc>
          <w:tcPr>
            <w:tcW w:w="0" w:type="auto"/>
            <w:vAlign w:val="center"/>
            <w:hideMark/>
          </w:tcPr>
          <w:p w14:paraId="1E032B14" w14:textId="77777777" w:rsidR="00DA1357" w:rsidRPr="003874AC" w:rsidRDefault="00DA1357" w:rsidP="00471458">
            <w:pPr>
              <w:pStyle w:val="NoSpacing"/>
              <w:jc w:val="center"/>
              <w:rPr>
                <w:rFonts w:ascii="Times New Roman" w:hAnsi="Times New Roman" w:cs="Times New Roman"/>
                <w:sz w:val="20"/>
                <w:szCs w:val="20"/>
              </w:rPr>
            </w:pPr>
            <w:r w:rsidRPr="003874AC">
              <w:rPr>
                <w:rFonts w:ascii="Times New Roman" w:hAnsi="Times New Roman" w:cs="Times New Roman"/>
                <w:sz w:val="20"/>
                <w:szCs w:val="20"/>
              </w:rPr>
              <w:t>-1.62</w:t>
            </w:r>
          </w:p>
        </w:tc>
        <w:tc>
          <w:tcPr>
            <w:tcW w:w="0" w:type="auto"/>
            <w:vAlign w:val="center"/>
            <w:hideMark/>
          </w:tcPr>
          <w:p w14:paraId="7A986961" w14:textId="77777777" w:rsidR="00DA1357" w:rsidRPr="003874AC" w:rsidRDefault="00DA1357" w:rsidP="00471458">
            <w:pPr>
              <w:pStyle w:val="NoSpacing"/>
              <w:jc w:val="center"/>
              <w:rPr>
                <w:rFonts w:ascii="Times New Roman" w:hAnsi="Times New Roman" w:cs="Times New Roman"/>
                <w:sz w:val="20"/>
                <w:szCs w:val="20"/>
              </w:rPr>
            </w:pPr>
            <w:r w:rsidRPr="003874AC">
              <w:rPr>
                <w:rFonts w:ascii="Times New Roman" w:hAnsi="Times New Roman" w:cs="Times New Roman"/>
                <w:sz w:val="20"/>
                <w:szCs w:val="20"/>
              </w:rPr>
              <w:t>..</w:t>
            </w:r>
          </w:p>
        </w:tc>
        <w:tc>
          <w:tcPr>
            <w:tcW w:w="0" w:type="auto"/>
            <w:vAlign w:val="center"/>
            <w:hideMark/>
          </w:tcPr>
          <w:p w14:paraId="440F9EE5" w14:textId="77777777" w:rsidR="00DA1357" w:rsidRPr="003874AC" w:rsidRDefault="00DA1357" w:rsidP="00471458">
            <w:pPr>
              <w:pStyle w:val="NoSpacing"/>
              <w:jc w:val="center"/>
              <w:rPr>
                <w:rFonts w:ascii="Times New Roman" w:hAnsi="Times New Roman" w:cs="Times New Roman"/>
                <w:sz w:val="20"/>
                <w:szCs w:val="20"/>
              </w:rPr>
            </w:pPr>
            <w:r w:rsidRPr="003874AC">
              <w:rPr>
                <w:rFonts w:ascii="Times New Roman" w:hAnsi="Times New Roman" w:cs="Times New Roman"/>
                <w:sz w:val="20"/>
                <w:szCs w:val="20"/>
              </w:rPr>
              <w:t>..</w:t>
            </w:r>
          </w:p>
        </w:tc>
        <w:tc>
          <w:tcPr>
            <w:tcW w:w="0" w:type="auto"/>
            <w:vAlign w:val="center"/>
            <w:hideMark/>
          </w:tcPr>
          <w:p w14:paraId="264F8199" w14:textId="77777777" w:rsidR="00DA1357" w:rsidRPr="003874AC" w:rsidRDefault="00DA1357" w:rsidP="00471458">
            <w:pPr>
              <w:pStyle w:val="NoSpacing"/>
              <w:jc w:val="center"/>
              <w:rPr>
                <w:rFonts w:ascii="Times New Roman" w:hAnsi="Times New Roman" w:cs="Times New Roman"/>
                <w:sz w:val="20"/>
                <w:szCs w:val="20"/>
              </w:rPr>
            </w:pPr>
            <w:r w:rsidRPr="003874AC">
              <w:rPr>
                <w:rFonts w:ascii="Times New Roman" w:hAnsi="Times New Roman" w:cs="Times New Roman"/>
                <w:sz w:val="20"/>
                <w:szCs w:val="20"/>
              </w:rPr>
              <w:t>2.30</w:t>
            </w:r>
          </w:p>
        </w:tc>
        <w:tc>
          <w:tcPr>
            <w:tcW w:w="0" w:type="auto"/>
            <w:vAlign w:val="center"/>
            <w:hideMark/>
          </w:tcPr>
          <w:p w14:paraId="532B8C38" w14:textId="77777777" w:rsidR="00DA1357" w:rsidRPr="003874AC" w:rsidRDefault="00DA1357" w:rsidP="00471458">
            <w:pPr>
              <w:pStyle w:val="NoSpacing"/>
              <w:jc w:val="center"/>
              <w:rPr>
                <w:rFonts w:ascii="Times New Roman" w:hAnsi="Times New Roman" w:cs="Times New Roman"/>
                <w:sz w:val="20"/>
                <w:szCs w:val="20"/>
              </w:rPr>
            </w:pPr>
            <w:r w:rsidRPr="003874AC">
              <w:rPr>
                <w:rFonts w:ascii="Times New Roman" w:hAnsi="Times New Roman" w:cs="Times New Roman"/>
                <w:sz w:val="20"/>
                <w:szCs w:val="20"/>
              </w:rPr>
              <w:t>-2.30</w:t>
            </w:r>
          </w:p>
        </w:tc>
      </w:tr>
      <w:tr w:rsidR="00DA1357" w:rsidRPr="003874AC" w14:paraId="64CD5F68" w14:textId="77777777" w:rsidTr="00471458">
        <w:tc>
          <w:tcPr>
            <w:tcW w:w="1216" w:type="dxa"/>
            <w:hideMark/>
          </w:tcPr>
          <w:p w14:paraId="0138C6FE" w14:textId="77777777" w:rsidR="00DA1357" w:rsidRPr="003874AC" w:rsidRDefault="00DA1357" w:rsidP="00DA1357">
            <w:pPr>
              <w:pStyle w:val="NoSpacing"/>
              <w:rPr>
                <w:rFonts w:ascii="Times New Roman" w:hAnsi="Times New Roman" w:cs="Times New Roman"/>
                <w:sz w:val="20"/>
                <w:szCs w:val="20"/>
              </w:rPr>
            </w:pPr>
            <w:r w:rsidRPr="003874AC">
              <w:rPr>
                <w:rFonts w:ascii="Times New Roman" w:hAnsi="Times New Roman" w:cs="Times New Roman"/>
                <w:sz w:val="20"/>
                <w:szCs w:val="20"/>
              </w:rPr>
              <w:t>Haryana</w:t>
            </w:r>
          </w:p>
        </w:tc>
        <w:tc>
          <w:tcPr>
            <w:tcW w:w="0" w:type="auto"/>
            <w:vAlign w:val="center"/>
            <w:hideMark/>
          </w:tcPr>
          <w:p w14:paraId="7A36A036" w14:textId="77777777" w:rsidR="00DA1357" w:rsidRPr="003874AC" w:rsidRDefault="00DA1357" w:rsidP="00471458">
            <w:pPr>
              <w:pStyle w:val="NoSpacing"/>
              <w:jc w:val="center"/>
              <w:rPr>
                <w:rFonts w:ascii="Times New Roman" w:hAnsi="Times New Roman" w:cs="Times New Roman"/>
                <w:sz w:val="20"/>
                <w:szCs w:val="20"/>
              </w:rPr>
            </w:pPr>
            <w:r w:rsidRPr="003874AC">
              <w:rPr>
                <w:rFonts w:ascii="Times New Roman" w:hAnsi="Times New Roman" w:cs="Times New Roman"/>
                <w:sz w:val="20"/>
                <w:szCs w:val="20"/>
              </w:rPr>
              <w:t>..</w:t>
            </w:r>
          </w:p>
        </w:tc>
        <w:tc>
          <w:tcPr>
            <w:tcW w:w="0" w:type="auto"/>
            <w:vAlign w:val="center"/>
            <w:hideMark/>
          </w:tcPr>
          <w:p w14:paraId="1CAD42B0" w14:textId="77777777" w:rsidR="00DA1357" w:rsidRPr="003874AC" w:rsidRDefault="00DA1357" w:rsidP="00471458">
            <w:pPr>
              <w:pStyle w:val="NoSpacing"/>
              <w:jc w:val="center"/>
              <w:rPr>
                <w:rFonts w:ascii="Times New Roman" w:hAnsi="Times New Roman" w:cs="Times New Roman"/>
                <w:sz w:val="20"/>
                <w:szCs w:val="20"/>
              </w:rPr>
            </w:pPr>
            <w:r w:rsidRPr="003874AC">
              <w:rPr>
                <w:rFonts w:ascii="Times New Roman" w:hAnsi="Times New Roman" w:cs="Times New Roman"/>
                <w:sz w:val="20"/>
                <w:szCs w:val="20"/>
              </w:rPr>
              <w:t>..</w:t>
            </w:r>
          </w:p>
        </w:tc>
        <w:tc>
          <w:tcPr>
            <w:tcW w:w="0" w:type="auto"/>
            <w:vAlign w:val="center"/>
            <w:hideMark/>
          </w:tcPr>
          <w:p w14:paraId="3DE41DC0" w14:textId="77777777" w:rsidR="00DA1357" w:rsidRPr="003874AC" w:rsidRDefault="00DA1357" w:rsidP="00471458">
            <w:pPr>
              <w:pStyle w:val="NoSpacing"/>
              <w:jc w:val="center"/>
              <w:rPr>
                <w:rFonts w:ascii="Times New Roman" w:hAnsi="Times New Roman" w:cs="Times New Roman"/>
                <w:sz w:val="20"/>
                <w:szCs w:val="20"/>
              </w:rPr>
            </w:pPr>
            <w:r w:rsidRPr="003874AC">
              <w:rPr>
                <w:rFonts w:ascii="Times New Roman" w:hAnsi="Times New Roman" w:cs="Times New Roman"/>
                <w:sz w:val="20"/>
                <w:szCs w:val="20"/>
              </w:rPr>
              <w:t>..</w:t>
            </w:r>
          </w:p>
        </w:tc>
        <w:tc>
          <w:tcPr>
            <w:tcW w:w="0" w:type="auto"/>
            <w:vAlign w:val="center"/>
            <w:hideMark/>
          </w:tcPr>
          <w:p w14:paraId="735610FC" w14:textId="77777777" w:rsidR="00DA1357" w:rsidRPr="003874AC" w:rsidRDefault="00DA1357" w:rsidP="00471458">
            <w:pPr>
              <w:pStyle w:val="NoSpacing"/>
              <w:jc w:val="center"/>
              <w:rPr>
                <w:rFonts w:ascii="Times New Roman" w:hAnsi="Times New Roman" w:cs="Times New Roman"/>
                <w:sz w:val="20"/>
                <w:szCs w:val="20"/>
              </w:rPr>
            </w:pPr>
            <w:r w:rsidRPr="003874AC">
              <w:rPr>
                <w:rFonts w:ascii="Times New Roman" w:hAnsi="Times New Roman" w:cs="Times New Roman"/>
                <w:sz w:val="20"/>
                <w:szCs w:val="20"/>
              </w:rPr>
              <w:t>..</w:t>
            </w:r>
          </w:p>
        </w:tc>
        <w:tc>
          <w:tcPr>
            <w:tcW w:w="0" w:type="auto"/>
            <w:vAlign w:val="center"/>
            <w:hideMark/>
          </w:tcPr>
          <w:p w14:paraId="47D68344" w14:textId="77777777" w:rsidR="00DA1357" w:rsidRPr="003874AC" w:rsidRDefault="00DA1357" w:rsidP="00471458">
            <w:pPr>
              <w:pStyle w:val="NoSpacing"/>
              <w:jc w:val="center"/>
              <w:rPr>
                <w:rFonts w:ascii="Times New Roman" w:hAnsi="Times New Roman" w:cs="Times New Roman"/>
                <w:sz w:val="20"/>
                <w:szCs w:val="20"/>
              </w:rPr>
            </w:pPr>
            <w:r w:rsidRPr="003874AC">
              <w:rPr>
                <w:rFonts w:ascii="Times New Roman" w:hAnsi="Times New Roman" w:cs="Times New Roman"/>
                <w:sz w:val="20"/>
                <w:szCs w:val="20"/>
              </w:rPr>
              <w:t>..</w:t>
            </w:r>
          </w:p>
        </w:tc>
        <w:tc>
          <w:tcPr>
            <w:tcW w:w="0" w:type="auto"/>
            <w:vAlign w:val="center"/>
            <w:hideMark/>
          </w:tcPr>
          <w:p w14:paraId="0B769AF4" w14:textId="77777777" w:rsidR="00DA1357" w:rsidRPr="003874AC" w:rsidRDefault="00DA1357" w:rsidP="00471458">
            <w:pPr>
              <w:pStyle w:val="NoSpacing"/>
              <w:jc w:val="center"/>
              <w:rPr>
                <w:rFonts w:ascii="Times New Roman" w:hAnsi="Times New Roman" w:cs="Times New Roman"/>
                <w:sz w:val="20"/>
                <w:szCs w:val="20"/>
              </w:rPr>
            </w:pPr>
            <w:r w:rsidRPr="003874AC">
              <w:rPr>
                <w:rFonts w:ascii="Times New Roman" w:hAnsi="Times New Roman" w:cs="Times New Roman"/>
                <w:sz w:val="20"/>
                <w:szCs w:val="20"/>
              </w:rPr>
              <w:t>..</w:t>
            </w:r>
          </w:p>
        </w:tc>
        <w:tc>
          <w:tcPr>
            <w:tcW w:w="0" w:type="auto"/>
            <w:vAlign w:val="center"/>
            <w:hideMark/>
          </w:tcPr>
          <w:p w14:paraId="60232E8C" w14:textId="77777777" w:rsidR="00DA1357" w:rsidRPr="003874AC" w:rsidRDefault="00DA1357" w:rsidP="00471458">
            <w:pPr>
              <w:pStyle w:val="NoSpacing"/>
              <w:jc w:val="center"/>
              <w:rPr>
                <w:rFonts w:ascii="Times New Roman" w:hAnsi="Times New Roman" w:cs="Times New Roman"/>
                <w:sz w:val="20"/>
                <w:szCs w:val="20"/>
              </w:rPr>
            </w:pPr>
            <w:r w:rsidRPr="003874AC">
              <w:rPr>
                <w:rFonts w:ascii="Times New Roman" w:hAnsi="Times New Roman" w:cs="Times New Roman"/>
                <w:sz w:val="20"/>
                <w:szCs w:val="20"/>
              </w:rPr>
              <w:t>..</w:t>
            </w:r>
          </w:p>
        </w:tc>
        <w:tc>
          <w:tcPr>
            <w:tcW w:w="0" w:type="auto"/>
            <w:vAlign w:val="center"/>
            <w:hideMark/>
          </w:tcPr>
          <w:p w14:paraId="40BD9BA2" w14:textId="77777777" w:rsidR="00DA1357" w:rsidRPr="003874AC" w:rsidRDefault="00DA1357" w:rsidP="00471458">
            <w:pPr>
              <w:pStyle w:val="NoSpacing"/>
              <w:jc w:val="center"/>
              <w:rPr>
                <w:rFonts w:ascii="Times New Roman" w:hAnsi="Times New Roman" w:cs="Times New Roman"/>
                <w:sz w:val="20"/>
                <w:szCs w:val="20"/>
              </w:rPr>
            </w:pPr>
            <w:r w:rsidRPr="003874AC">
              <w:rPr>
                <w:rFonts w:ascii="Times New Roman" w:hAnsi="Times New Roman" w:cs="Times New Roman"/>
                <w:sz w:val="20"/>
                <w:szCs w:val="20"/>
              </w:rPr>
              <w:t>..</w:t>
            </w:r>
          </w:p>
        </w:tc>
        <w:tc>
          <w:tcPr>
            <w:tcW w:w="0" w:type="auto"/>
            <w:vAlign w:val="center"/>
            <w:hideMark/>
          </w:tcPr>
          <w:p w14:paraId="45086979" w14:textId="77777777" w:rsidR="00DA1357" w:rsidRPr="003874AC" w:rsidRDefault="00DA1357" w:rsidP="00471458">
            <w:pPr>
              <w:pStyle w:val="NoSpacing"/>
              <w:jc w:val="center"/>
              <w:rPr>
                <w:rFonts w:ascii="Times New Roman" w:hAnsi="Times New Roman" w:cs="Times New Roman"/>
                <w:sz w:val="20"/>
                <w:szCs w:val="20"/>
              </w:rPr>
            </w:pPr>
            <w:r w:rsidRPr="003874AC">
              <w:rPr>
                <w:rFonts w:ascii="Times New Roman" w:hAnsi="Times New Roman" w:cs="Times New Roman"/>
                <w:sz w:val="20"/>
                <w:szCs w:val="20"/>
              </w:rPr>
              <w:t>2.88</w:t>
            </w:r>
          </w:p>
        </w:tc>
        <w:tc>
          <w:tcPr>
            <w:tcW w:w="0" w:type="auto"/>
            <w:vAlign w:val="center"/>
            <w:hideMark/>
          </w:tcPr>
          <w:p w14:paraId="6EC315B4" w14:textId="77777777" w:rsidR="00DA1357" w:rsidRPr="003874AC" w:rsidRDefault="00DA1357" w:rsidP="00471458">
            <w:pPr>
              <w:pStyle w:val="NoSpacing"/>
              <w:jc w:val="center"/>
              <w:rPr>
                <w:rFonts w:ascii="Times New Roman" w:hAnsi="Times New Roman" w:cs="Times New Roman"/>
                <w:sz w:val="20"/>
                <w:szCs w:val="20"/>
              </w:rPr>
            </w:pPr>
            <w:r w:rsidRPr="003874AC">
              <w:rPr>
                <w:rFonts w:ascii="Times New Roman" w:hAnsi="Times New Roman" w:cs="Times New Roman"/>
                <w:sz w:val="20"/>
                <w:szCs w:val="20"/>
              </w:rPr>
              <w:t>1.20</w:t>
            </w:r>
          </w:p>
        </w:tc>
        <w:tc>
          <w:tcPr>
            <w:tcW w:w="0" w:type="auto"/>
            <w:vAlign w:val="center"/>
            <w:hideMark/>
          </w:tcPr>
          <w:p w14:paraId="4D2496EC" w14:textId="77777777" w:rsidR="00DA1357" w:rsidRPr="003874AC" w:rsidRDefault="00DA1357" w:rsidP="00471458">
            <w:pPr>
              <w:pStyle w:val="NoSpacing"/>
              <w:jc w:val="center"/>
              <w:rPr>
                <w:rFonts w:ascii="Times New Roman" w:hAnsi="Times New Roman" w:cs="Times New Roman"/>
                <w:sz w:val="20"/>
                <w:szCs w:val="20"/>
              </w:rPr>
            </w:pPr>
            <w:r w:rsidRPr="003874AC">
              <w:rPr>
                <w:rFonts w:ascii="Times New Roman" w:hAnsi="Times New Roman" w:cs="Times New Roman"/>
                <w:sz w:val="20"/>
                <w:szCs w:val="20"/>
              </w:rPr>
              <w:t>2.41</w:t>
            </w:r>
          </w:p>
        </w:tc>
        <w:tc>
          <w:tcPr>
            <w:tcW w:w="0" w:type="auto"/>
            <w:vAlign w:val="center"/>
            <w:hideMark/>
          </w:tcPr>
          <w:p w14:paraId="0FBEB161" w14:textId="77777777" w:rsidR="00DA1357" w:rsidRPr="003874AC" w:rsidRDefault="00DA1357" w:rsidP="00471458">
            <w:pPr>
              <w:pStyle w:val="NoSpacing"/>
              <w:jc w:val="center"/>
              <w:rPr>
                <w:rFonts w:ascii="Times New Roman" w:hAnsi="Times New Roman" w:cs="Times New Roman"/>
                <w:sz w:val="20"/>
                <w:szCs w:val="20"/>
              </w:rPr>
            </w:pPr>
            <w:r w:rsidRPr="003874AC">
              <w:rPr>
                <w:rFonts w:ascii="Times New Roman" w:hAnsi="Times New Roman" w:cs="Times New Roman"/>
                <w:sz w:val="20"/>
                <w:szCs w:val="20"/>
              </w:rPr>
              <w:t>-0.73</w:t>
            </w:r>
          </w:p>
        </w:tc>
        <w:tc>
          <w:tcPr>
            <w:tcW w:w="0" w:type="auto"/>
            <w:vAlign w:val="center"/>
            <w:hideMark/>
          </w:tcPr>
          <w:p w14:paraId="21A7A152" w14:textId="77777777" w:rsidR="00DA1357" w:rsidRPr="003874AC" w:rsidRDefault="00DA1357" w:rsidP="00471458">
            <w:pPr>
              <w:pStyle w:val="NoSpacing"/>
              <w:jc w:val="center"/>
              <w:rPr>
                <w:rFonts w:ascii="Times New Roman" w:hAnsi="Times New Roman" w:cs="Times New Roman"/>
                <w:sz w:val="20"/>
                <w:szCs w:val="20"/>
              </w:rPr>
            </w:pPr>
            <w:r w:rsidRPr="003874AC">
              <w:rPr>
                <w:rFonts w:ascii="Times New Roman" w:hAnsi="Times New Roman" w:cs="Times New Roman"/>
                <w:sz w:val="20"/>
                <w:szCs w:val="20"/>
              </w:rPr>
              <w:t>2.52</w:t>
            </w:r>
          </w:p>
        </w:tc>
        <w:tc>
          <w:tcPr>
            <w:tcW w:w="0" w:type="auto"/>
            <w:vAlign w:val="center"/>
            <w:hideMark/>
          </w:tcPr>
          <w:p w14:paraId="36E47A6A" w14:textId="77777777" w:rsidR="00DA1357" w:rsidRPr="003874AC" w:rsidRDefault="00DA1357" w:rsidP="00471458">
            <w:pPr>
              <w:pStyle w:val="NoSpacing"/>
              <w:jc w:val="center"/>
              <w:rPr>
                <w:rFonts w:ascii="Times New Roman" w:hAnsi="Times New Roman" w:cs="Times New Roman"/>
                <w:sz w:val="20"/>
                <w:szCs w:val="20"/>
              </w:rPr>
            </w:pPr>
            <w:r w:rsidRPr="003874AC">
              <w:rPr>
                <w:rFonts w:ascii="Times New Roman" w:hAnsi="Times New Roman" w:cs="Times New Roman"/>
                <w:sz w:val="20"/>
                <w:szCs w:val="20"/>
              </w:rPr>
              <w:t>1.30</w:t>
            </w:r>
          </w:p>
        </w:tc>
        <w:tc>
          <w:tcPr>
            <w:tcW w:w="0" w:type="auto"/>
            <w:vAlign w:val="center"/>
            <w:hideMark/>
          </w:tcPr>
          <w:p w14:paraId="7639141D" w14:textId="77777777" w:rsidR="00DA1357" w:rsidRPr="003874AC" w:rsidRDefault="00DA1357" w:rsidP="00471458">
            <w:pPr>
              <w:pStyle w:val="NoSpacing"/>
              <w:jc w:val="center"/>
              <w:rPr>
                <w:rFonts w:ascii="Times New Roman" w:hAnsi="Times New Roman" w:cs="Times New Roman"/>
                <w:sz w:val="20"/>
                <w:szCs w:val="20"/>
              </w:rPr>
            </w:pPr>
            <w:r w:rsidRPr="003874AC">
              <w:rPr>
                <w:rFonts w:ascii="Times New Roman" w:hAnsi="Times New Roman" w:cs="Times New Roman"/>
                <w:sz w:val="20"/>
                <w:szCs w:val="20"/>
              </w:rPr>
              <w:t>2.41</w:t>
            </w:r>
          </w:p>
        </w:tc>
        <w:tc>
          <w:tcPr>
            <w:tcW w:w="0" w:type="auto"/>
            <w:vAlign w:val="center"/>
            <w:hideMark/>
          </w:tcPr>
          <w:p w14:paraId="06C5940D" w14:textId="77777777" w:rsidR="00DA1357" w:rsidRPr="003874AC" w:rsidRDefault="00DA1357" w:rsidP="00471458">
            <w:pPr>
              <w:pStyle w:val="NoSpacing"/>
              <w:jc w:val="center"/>
              <w:rPr>
                <w:rFonts w:ascii="Times New Roman" w:hAnsi="Times New Roman" w:cs="Times New Roman"/>
                <w:sz w:val="20"/>
                <w:szCs w:val="20"/>
              </w:rPr>
            </w:pPr>
            <w:r w:rsidRPr="003874AC">
              <w:rPr>
                <w:rFonts w:ascii="Times New Roman" w:hAnsi="Times New Roman" w:cs="Times New Roman"/>
                <w:sz w:val="20"/>
                <w:szCs w:val="20"/>
              </w:rPr>
              <w:t>-1.19</w:t>
            </w:r>
          </w:p>
        </w:tc>
      </w:tr>
      <w:tr w:rsidR="00DA1357" w:rsidRPr="003874AC" w14:paraId="13742127" w14:textId="77777777" w:rsidTr="00471458">
        <w:tc>
          <w:tcPr>
            <w:tcW w:w="1216" w:type="dxa"/>
            <w:hideMark/>
          </w:tcPr>
          <w:p w14:paraId="35D20AD3" w14:textId="77777777" w:rsidR="00DA1357" w:rsidRPr="003874AC" w:rsidRDefault="00DA1357" w:rsidP="00DA1357">
            <w:pPr>
              <w:pStyle w:val="NoSpacing"/>
              <w:rPr>
                <w:rFonts w:ascii="Times New Roman" w:hAnsi="Times New Roman" w:cs="Times New Roman"/>
                <w:sz w:val="20"/>
                <w:szCs w:val="20"/>
              </w:rPr>
            </w:pPr>
            <w:r w:rsidRPr="003874AC">
              <w:rPr>
                <w:rFonts w:ascii="Times New Roman" w:hAnsi="Times New Roman" w:cs="Times New Roman"/>
                <w:sz w:val="20"/>
                <w:szCs w:val="20"/>
              </w:rPr>
              <w:t>Jammu &amp; Kashmir</w:t>
            </w:r>
          </w:p>
        </w:tc>
        <w:tc>
          <w:tcPr>
            <w:tcW w:w="0" w:type="auto"/>
            <w:vAlign w:val="center"/>
            <w:hideMark/>
          </w:tcPr>
          <w:p w14:paraId="55F605A9" w14:textId="77777777" w:rsidR="00DA1357" w:rsidRPr="003874AC" w:rsidRDefault="00DA1357" w:rsidP="00471458">
            <w:pPr>
              <w:pStyle w:val="NoSpacing"/>
              <w:jc w:val="center"/>
              <w:rPr>
                <w:rFonts w:ascii="Times New Roman" w:hAnsi="Times New Roman" w:cs="Times New Roman"/>
                <w:sz w:val="20"/>
                <w:szCs w:val="20"/>
              </w:rPr>
            </w:pPr>
            <w:r w:rsidRPr="003874AC">
              <w:rPr>
                <w:rFonts w:ascii="Times New Roman" w:hAnsi="Times New Roman" w:cs="Times New Roman"/>
                <w:sz w:val="20"/>
                <w:szCs w:val="20"/>
              </w:rPr>
              <w:t>..</w:t>
            </w:r>
          </w:p>
        </w:tc>
        <w:tc>
          <w:tcPr>
            <w:tcW w:w="0" w:type="auto"/>
            <w:vAlign w:val="center"/>
            <w:hideMark/>
          </w:tcPr>
          <w:p w14:paraId="5A440966" w14:textId="77777777" w:rsidR="00DA1357" w:rsidRPr="003874AC" w:rsidRDefault="00DA1357" w:rsidP="00471458">
            <w:pPr>
              <w:pStyle w:val="NoSpacing"/>
              <w:jc w:val="center"/>
              <w:rPr>
                <w:rFonts w:ascii="Times New Roman" w:hAnsi="Times New Roman" w:cs="Times New Roman"/>
                <w:sz w:val="20"/>
                <w:szCs w:val="20"/>
              </w:rPr>
            </w:pPr>
            <w:r w:rsidRPr="003874AC">
              <w:rPr>
                <w:rFonts w:ascii="Times New Roman" w:hAnsi="Times New Roman" w:cs="Times New Roman"/>
                <w:sz w:val="20"/>
                <w:szCs w:val="20"/>
              </w:rPr>
              <w:t>..</w:t>
            </w:r>
          </w:p>
        </w:tc>
        <w:tc>
          <w:tcPr>
            <w:tcW w:w="0" w:type="auto"/>
            <w:vAlign w:val="center"/>
            <w:hideMark/>
          </w:tcPr>
          <w:p w14:paraId="7F296232" w14:textId="77777777" w:rsidR="00DA1357" w:rsidRPr="003874AC" w:rsidRDefault="00DA1357" w:rsidP="00471458">
            <w:pPr>
              <w:pStyle w:val="NoSpacing"/>
              <w:jc w:val="center"/>
              <w:rPr>
                <w:rFonts w:ascii="Times New Roman" w:hAnsi="Times New Roman" w:cs="Times New Roman"/>
                <w:sz w:val="20"/>
                <w:szCs w:val="20"/>
              </w:rPr>
            </w:pPr>
            <w:r w:rsidRPr="003874AC">
              <w:rPr>
                <w:rFonts w:ascii="Times New Roman" w:hAnsi="Times New Roman" w:cs="Times New Roman"/>
                <w:sz w:val="20"/>
                <w:szCs w:val="20"/>
              </w:rPr>
              <w:t>..</w:t>
            </w:r>
          </w:p>
        </w:tc>
        <w:tc>
          <w:tcPr>
            <w:tcW w:w="0" w:type="auto"/>
            <w:vAlign w:val="center"/>
            <w:hideMark/>
          </w:tcPr>
          <w:p w14:paraId="71A917B0" w14:textId="77777777" w:rsidR="00DA1357" w:rsidRPr="003874AC" w:rsidRDefault="00DA1357" w:rsidP="00471458">
            <w:pPr>
              <w:pStyle w:val="NoSpacing"/>
              <w:jc w:val="center"/>
              <w:rPr>
                <w:rFonts w:ascii="Times New Roman" w:hAnsi="Times New Roman" w:cs="Times New Roman"/>
                <w:sz w:val="20"/>
                <w:szCs w:val="20"/>
              </w:rPr>
            </w:pPr>
            <w:r w:rsidRPr="003874AC">
              <w:rPr>
                <w:rFonts w:ascii="Times New Roman" w:hAnsi="Times New Roman" w:cs="Times New Roman"/>
                <w:sz w:val="20"/>
                <w:szCs w:val="20"/>
              </w:rPr>
              <w:t>..</w:t>
            </w:r>
          </w:p>
        </w:tc>
        <w:tc>
          <w:tcPr>
            <w:tcW w:w="0" w:type="auto"/>
            <w:vAlign w:val="center"/>
            <w:hideMark/>
          </w:tcPr>
          <w:p w14:paraId="7EFEC121" w14:textId="77777777" w:rsidR="00DA1357" w:rsidRPr="003874AC" w:rsidRDefault="00DA1357" w:rsidP="00471458">
            <w:pPr>
              <w:pStyle w:val="NoSpacing"/>
              <w:jc w:val="center"/>
              <w:rPr>
                <w:rFonts w:ascii="Times New Roman" w:hAnsi="Times New Roman" w:cs="Times New Roman"/>
                <w:sz w:val="20"/>
                <w:szCs w:val="20"/>
              </w:rPr>
            </w:pPr>
            <w:r w:rsidRPr="003874AC">
              <w:rPr>
                <w:rFonts w:ascii="Times New Roman" w:hAnsi="Times New Roman" w:cs="Times New Roman"/>
                <w:sz w:val="20"/>
                <w:szCs w:val="20"/>
              </w:rPr>
              <w:t>..</w:t>
            </w:r>
          </w:p>
        </w:tc>
        <w:tc>
          <w:tcPr>
            <w:tcW w:w="0" w:type="auto"/>
            <w:vAlign w:val="center"/>
            <w:hideMark/>
          </w:tcPr>
          <w:p w14:paraId="0E441B7B" w14:textId="77777777" w:rsidR="00DA1357" w:rsidRPr="003874AC" w:rsidRDefault="00DA1357" w:rsidP="00471458">
            <w:pPr>
              <w:pStyle w:val="NoSpacing"/>
              <w:jc w:val="center"/>
              <w:rPr>
                <w:rFonts w:ascii="Times New Roman" w:hAnsi="Times New Roman" w:cs="Times New Roman"/>
                <w:sz w:val="20"/>
                <w:szCs w:val="20"/>
              </w:rPr>
            </w:pPr>
            <w:r w:rsidRPr="003874AC">
              <w:rPr>
                <w:rFonts w:ascii="Times New Roman" w:hAnsi="Times New Roman" w:cs="Times New Roman"/>
                <w:sz w:val="20"/>
                <w:szCs w:val="20"/>
              </w:rPr>
              <w:t>..</w:t>
            </w:r>
          </w:p>
        </w:tc>
        <w:tc>
          <w:tcPr>
            <w:tcW w:w="0" w:type="auto"/>
            <w:vAlign w:val="center"/>
            <w:hideMark/>
          </w:tcPr>
          <w:p w14:paraId="65DF0756" w14:textId="77777777" w:rsidR="00DA1357" w:rsidRPr="003874AC" w:rsidRDefault="00DA1357" w:rsidP="00471458">
            <w:pPr>
              <w:pStyle w:val="NoSpacing"/>
              <w:jc w:val="center"/>
              <w:rPr>
                <w:rFonts w:ascii="Times New Roman" w:hAnsi="Times New Roman" w:cs="Times New Roman"/>
                <w:sz w:val="20"/>
                <w:szCs w:val="20"/>
              </w:rPr>
            </w:pPr>
            <w:r w:rsidRPr="003874AC">
              <w:rPr>
                <w:rFonts w:ascii="Times New Roman" w:hAnsi="Times New Roman" w:cs="Times New Roman"/>
                <w:sz w:val="20"/>
                <w:szCs w:val="20"/>
              </w:rPr>
              <w:t>..</w:t>
            </w:r>
          </w:p>
        </w:tc>
        <w:tc>
          <w:tcPr>
            <w:tcW w:w="0" w:type="auto"/>
            <w:vAlign w:val="center"/>
            <w:hideMark/>
          </w:tcPr>
          <w:p w14:paraId="38295D49" w14:textId="77777777" w:rsidR="00DA1357" w:rsidRPr="003874AC" w:rsidRDefault="00DA1357" w:rsidP="00471458">
            <w:pPr>
              <w:pStyle w:val="NoSpacing"/>
              <w:jc w:val="center"/>
              <w:rPr>
                <w:rFonts w:ascii="Times New Roman" w:hAnsi="Times New Roman" w:cs="Times New Roman"/>
                <w:sz w:val="20"/>
                <w:szCs w:val="20"/>
              </w:rPr>
            </w:pPr>
            <w:r w:rsidRPr="003874AC">
              <w:rPr>
                <w:rFonts w:ascii="Times New Roman" w:hAnsi="Times New Roman" w:cs="Times New Roman"/>
                <w:sz w:val="20"/>
                <w:szCs w:val="20"/>
              </w:rPr>
              <w:t>..</w:t>
            </w:r>
          </w:p>
        </w:tc>
        <w:tc>
          <w:tcPr>
            <w:tcW w:w="0" w:type="auto"/>
            <w:vAlign w:val="center"/>
            <w:hideMark/>
          </w:tcPr>
          <w:p w14:paraId="25EC9AB4" w14:textId="77777777" w:rsidR="00DA1357" w:rsidRPr="003874AC" w:rsidRDefault="00DA1357" w:rsidP="00471458">
            <w:pPr>
              <w:pStyle w:val="NoSpacing"/>
              <w:jc w:val="center"/>
              <w:rPr>
                <w:rFonts w:ascii="Times New Roman" w:hAnsi="Times New Roman" w:cs="Times New Roman"/>
                <w:sz w:val="20"/>
                <w:szCs w:val="20"/>
              </w:rPr>
            </w:pPr>
            <w:r w:rsidRPr="003874AC">
              <w:rPr>
                <w:rFonts w:ascii="Times New Roman" w:hAnsi="Times New Roman" w:cs="Times New Roman"/>
                <w:sz w:val="20"/>
                <w:szCs w:val="20"/>
              </w:rPr>
              <w:t>..</w:t>
            </w:r>
          </w:p>
        </w:tc>
        <w:tc>
          <w:tcPr>
            <w:tcW w:w="0" w:type="auto"/>
            <w:vAlign w:val="center"/>
            <w:hideMark/>
          </w:tcPr>
          <w:p w14:paraId="00F7B56D" w14:textId="77777777" w:rsidR="00DA1357" w:rsidRPr="003874AC" w:rsidRDefault="00DA1357" w:rsidP="00471458">
            <w:pPr>
              <w:pStyle w:val="NoSpacing"/>
              <w:jc w:val="center"/>
              <w:rPr>
                <w:rFonts w:ascii="Times New Roman" w:hAnsi="Times New Roman" w:cs="Times New Roman"/>
                <w:sz w:val="20"/>
                <w:szCs w:val="20"/>
              </w:rPr>
            </w:pPr>
            <w:r w:rsidRPr="003874AC">
              <w:rPr>
                <w:rFonts w:ascii="Times New Roman" w:hAnsi="Times New Roman" w:cs="Times New Roman"/>
                <w:sz w:val="20"/>
                <w:szCs w:val="20"/>
              </w:rPr>
              <w:t>..</w:t>
            </w:r>
          </w:p>
        </w:tc>
        <w:tc>
          <w:tcPr>
            <w:tcW w:w="0" w:type="auto"/>
            <w:vAlign w:val="center"/>
            <w:hideMark/>
          </w:tcPr>
          <w:p w14:paraId="39F7B565" w14:textId="77777777" w:rsidR="00DA1357" w:rsidRPr="003874AC" w:rsidRDefault="00DA1357" w:rsidP="00471458">
            <w:pPr>
              <w:pStyle w:val="NoSpacing"/>
              <w:jc w:val="center"/>
              <w:rPr>
                <w:rFonts w:ascii="Times New Roman" w:hAnsi="Times New Roman" w:cs="Times New Roman"/>
                <w:sz w:val="20"/>
                <w:szCs w:val="20"/>
              </w:rPr>
            </w:pPr>
            <w:r w:rsidRPr="003874AC">
              <w:rPr>
                <w:rFonts w:ascii="Times New Roman" w:hAnsi="Times New Roman" w:cs="Times New Roman"/>
                <w:sz w:val="20"/>
                <w:szCs w:val="20"/>
              </w:rPr>
              <w:t>..</w:t>
            </w:r>
          </w:p>
        </w:tc>
        <w:tc>
          <w:tcPr>
            <w:tcW w:w="0" w:type="auto"/>
            <w:vAlign w:val="center"/>
            <w:hideMark/>
          </w:tcPr>
          <w:p w14:paraId="6EF6B044" w14:textId="77777777" w:rsidR="00DA1357" w:rsidRPr="003874AC" w:rsidRDefault="00DA1357" w:rsidP="00471458">
            <w:pPr>
              <w:pStyle w:val="NoSpacing"/>
              <w:jc w:val="center"/>
              <w:rPr>
                <w:rFonts w:ascii="Times New Roman" w:hAnsi="Times New Roman" w:cs="Times New Roman"/>
                <w:sz w:val="20"/>
                <w:szCs w:val="20"/>
              </w:rPr>
            </w:pPr>
            <w:r w:rsidRPr="003874AC">
              <w:rPr>
                <w:rFonts w:ascii="Times New Roman" w:hAnsi="Times New Roman" w:cs="Times New Roman"/>
                <w:sz w:val="20"/>
                <w:szCs w:val="20"/>
              </w:rPr>
              <w:t>..</w:t>
            </w:r>
          </w:p>
        </w:tc>
        <w:tc>
          <w:tcPr>
            <w:tcW w:w="0" w:type="auto"/>
            <w:vAlign w:val="center"/>
            <w:hideMark/>
          </w:tcPr>
          <w:p w14:paraId="08D51E70" w14:textId="77777777" w:rsidR="00DA1357" w:rsidRPr="003874AC" w:rsidRDefault="00DA1357" w:rsidP="00471458">
            <w:pPr>
              <w:pStyle w:val="NoSpacing"/>
              <w:jc w:val="center"/>
              <w:rPr>
                <w:rFonts w:ascii="Times New Roman" w:hAnsi="Times New Roman" w:cs="Times New Roman"/>
                <w:sz w:val="20"/>
                <w:szCs w:val="20"/>
              </w:rPr>
            </w:pPr>
            <w:r w:rsidRPr="003874AC">
              <w:rPr>
                <w:rFonts w:ascii="Times New Roman" w:hAnsi="Times New Roman" w:cs="Times New Roman"/>
                <w:sz w:val="20"/>
                <w:szCs w:val="20"/>
              </w:rPr>
              <w:t>..</w:t>
            </w:r>
          </w:p>
        </w:tc>
        <w:tc>
          <w:tcPr>
            <w:tcW w:w="0" w:type="auto"/>
            <w:vAlign w:val="center"/>
            <w:hideMark/>
          </w:tcPr>
          <w:p w14:paraId="72FD5A5E" w14:textId="77777777" w:rsidR="00DA1357" w:rsidRPr="003874AC" w:rsidRDefault="00DA1357" w:rsidP="00471458">
            <w:pPr>
              <w:pStyle w:val="NoSpacing"/>
              <w:jc w:val="center"/>
              <w:rPr>
                <w:rFonts w:ascii="Times New Roman" w:hAnsi="Times New Roman" w:cs="Times New Roman"/>
                <w:sz w:val="20"/>
                <w:szCs w:val="20"/>
              </w:rPr>
            </w:pPr>
            <w:r w:rsidRPr="003874AC">
              <w:rPr>
                <w:rFonts w:ascii="Times New Roman" w:hAnsi="Times New Roman" w:cs="Times New Roman"/>
                <w:sz w:val="20"/>
                <w:szCs w:val="20"/>
              </w:rPr>
              <w:t>..</w:t>
            </w:r>
          </w:p>
        </w:tc>
        <w:tc>
          <w:tcPr>
            <w:tcW w:w="0" w:type="auto"/>
            <w:vAlign w:val="center"/>
            <w:hideMark/>
          </w:tcPr>
          <w:p w14:paraId="7C80C460" w14:textId="77777777" w:rsidR="00DA1357" w:rsidRPr="003874AC" w:rsidRDefault="00DA1357" w:rsidP="00471458">
            <w:pPr>
              <w:pStyle w:val="NoSpacing"/>
              <w:jc w:val="center"/>
              <w:rPr>
                <w:rFonts w:ascii="Times New Roman" w:hAnsi="Times New Roman" w:cs="Times New Roman"/>
                <w:sz w:val="20"/>
                <w:szCs w:val="20"/>
              </w:rPr>
            </w:pPr>
            <w:r w:rsidRPr="003874AC">
              <w:rPr>
                <w:rFonts w:ascii="Times New Roman" w:hAnsi="Times New Roman" w:cs="Times New Roman"/>
                <w:sz w:val="20"/>
                <w:szCs w:val="20"/>
              </w:rPr>
              <w:t>..</w:t>
            </w:r>
          </w:p>
        </w:tc>
        <w:tc>
          <w:tcPr>
            <w:tcW w:w="0" w:type="auto"/>
            <w:vAlign w:val="center"/>
            <w:hideMark/>
          </w:tcPr>
          <w:p w14:paraId="72FA9D5E" w14:textId="77777777" w:rsidR="00DA1357" w:rsidRPr="003874AC" w:rsidRDefault="00DA1357" w:rsidP="00471458">
            <w:pPr>
              <w:pStyle w:val="NoSpacing"/>
              <w:jc w:val="center"/>
              <w:rPr>
                <w:rFonts w:ascii="Times New Roman" w:hAnsi="Times New Roman" w:cs="Times New Roman"/>
                <w:sz w:val="20"/>
                <w:szCs w:val="20"/>
              </w:rPr>
            </w:pPr>
            <w:r w:rsidRPr="003874AC">
              <w:rPr>
                <w:rFonts w:ascii="Times New Roman" w:hAnsi="Times New Roman" w:cs="Times New Roman"/>
                <w:sz w:val="20"/>
                <w:szCs w:val="20"/>
              </w:rPr>
              <w:t>..</w:t>
            </w:r>
          </w:p>
        </w:tc>
      </w:tr>
      <w:tr w:rsidR="00DA1357" w:rsidRPr="003874AC" w14:paraId="573E31BA" w14:textId="77777777" w:rsidTr="00471458">
        <w:tc>
          <w:tcPr>
            <w:tcW w:w="1216" w:type="dxa"/>
            <w:hideMark/>
          </w:tcPr>
          <w:p w14:paraId="69288E56" w14:textId="77777777" w:rsidR="00DA1357" w:rsidRPr="003874AC" w:rsidRDefault="00DA1357" w:rsidP="00DA1357">
            <w:pPr>
              <w:pStyle w:val="NoSpacing"/>
              <w:rPr>
                <w:rFonts w:ascii="Times New Roman" w:hAnsi="Times New Roman" w:cs="Times New Roman"/>
                <w:sz w:val="20"/>
                <w:szCs w:val="20"/>
              </w:rPr>
            </w:pPr>
            <w:r w:rsidRPr="003874AC">
              <w:rPr>
                <w:rFonts w:ascii="Times New Roman" w:hAnsi="Times New Roman" w:cs="Times New Roman"/>
                <w:sz w:val="20"/>
                <w:szCs w:val="20"/>
              </w:rPr>
              <w:t>Kerala</w:t>
            </w:r>
          </w:p>
        </w:tc>
        <w:tc>
          <w:tcPr>
            <w:tcW w:w="0" w:type="auto"/>
            <w:vAlign w:val="center"/>
            <w:hideMark/>
          </w:tcPr>
          <w:p w14:paraId="53E969C9" w14:textId="77777777" w:rsidR="00DA1357" w:rsidRPr="003874AC" w:rsidRDefault="00DA1357" w:rsidP="00471458">
            <w:pPr>
              <w:pStyle w:val="NoSpacing"/>
              <w:jc w:val="center"/>
              <w:rPr>
                <w:rFonts w:ascii="Times New Roman" w:hAnsi="Times New Roman" w:cs="Times New Roman"/>
                <w:sz w:val="20"/>
                <w:szCs w:val="20"/>
              </w:rPr>
            </w:pPr>
            <w:r w:rsidRPr="003874AC">
              <w:rPr>
                <w:rFonts w:ascii="Times New Roman" w:hAnsi="Times New Roman" w:cs="Times New Roman"/>
                <w:sz w:val="20"/>
                <w:szCs w:val="20"/>
              </w:rPr>
              <w:t>..</w:t>
            </w:r>
          </w:p>
        </w:tc>
        <w:tc>
          <w:tcPr>
            <w:tcW w:w="0" w:type="auto"/>
            <w:vAlign w:val="center"/>
            <w:hideMark/>
          </w:tcPr>
          <w:p w14:paraId="3C8C171E" w14:textId="77777777" w:rsidR="00DA1357" w:rsidRPr="003874AC" w:rsidRDefault="00DA1357" w:rsidP="00471458">
            <w:pPr>
              <w:pStyle w:val="NoSpacing"/>
              <w:jc w:val="center"/>
              <w:rPr>
                <w:rFonts w:ascii="Times New Roman" w:hAnsi="Times New Roman" w:cs="Times New Roman"/>
                <w:sz w:val="20"/>
                <w:szCs w:val="20"/>
              </w:rPr>
            </w:pPr>
            <w:r w:rsidRPr="003874AC">
              <w:rPr>
                <w:rFonts w:ascii="Times New Roman" w:hAnsi="Times New Roman" w:cs="Times New Roman"/>
                <w:sz w:val="20"/>
                <w:szCs w:val="20"/>
              </w:rPr>
              <w:t>..</w:t>
            </w:r>
          </w:p>
        </w:tc>
        <w:tc>
          <w:tcPr>
            <w:tcW w:w="0" w:type="auto"/>
            <w:vAlign w:val="center"/>
            <w:hideMark/>
          </w:tcPr>
          <w:p w14:paraId="655F9E3B" w14:textId="77777777" w:rsidR="00DA1357" w:rsidRPr="003874AC" w:rsidRDefault="00DA1357" w:rsidP="00471458">
            <w:pPr>
              <w:pStyle w:val="NoSpacing"/>
              <w:jc w:val="center"/>
              <w:rPr>
                <w:rFonts w:ascii="Times New Roman" w:hAnsi="Times New Roman" w:cs="Times New Roman"/>
                <w:sz w:val="20"/>
                <w:szCs w:val="20"/>
              </w:rPr>
            </w:pPr>
            <w:r w:rsidRPr="003874AC">
              <w:rPr>
                <w:rFonts w:ascii="Times New Roman" w:hAnsi="Times New Roman" w:cs="Times New Roman"/>
                <w:sz w:val="20"/>
                <w:szCs w:val="20"/>
              </w:rPr>
              <w:t>..</w:t>
            </w:r>
          </w:p>
        </w:tc>
        <w:tc>
          <w:tcPr>
            <w:tcW w:w="0" w:type="auto"/>
            <w:vAlign w:val="center"/>
            <w:hideMark/>
          </w:tcPr>
          <w:p w14:paraId="20463073" w14:textId="77777777" w:rsidR="00DA1357" w:rsidRPr="003874AC" w:rsidRDefault="00DA1357" w:rsidP="00471458">
            <w:pPr>
              <w:pStyle w:val="NoSpacing"/>
              <w:jc w:val="center"/>
              <w:rPr>
                <w:rFonts w:ascii="Times New Roman" w:hAnsi="Times New Roman" w:cs="Times New Roman"/>
                <w:sz w:val="20"/>
                <w:szCs w:val="20"/>
              </w:rPr>
            </w:pPr>
            <w:r w:rsidRPr="003874AC">
              <w:rPr>
                <w:rFonts w:ascii="Times New Roman" w:hAnsi="Times New Roman" w:cs="Times New Roman"/>
                <w:sz w:val="20"/>
                <w:szCs w:val="20"/>
              </w:rPr>
              <w:t>..</w:t>
            </w:r>
          </w:p>
        </w:tc>
        <w:tc>
          <w:tcPr>
            <w:tcW w:w="0" w:type="auto"/>
            <w:vAlign w:val="center"/>
            <w:hideMark/>
          </w:tcPr>
          <w:p w14:paraId="3FBD7EA6" w14:textId="77777777" w:rsidR="00DA1357" w:rsidRPr="003874AC" w:rsidRDefault="00DA1357" w:rsidP="00471458">
            <w:pPr>
              <w:pStyle w:val="NoSpacing"/>
              <w:jc w:val="center"/>
              <w:rPr>
                <w:rFonts w:ascii="Times New Roman" w:hAnsi="Times New Roman" w:cs="Times New Roman"/>
                <w:sz w:val="20"/>
                <w:szCs w:val="20"/>
              </w:rPr>
            </w:pPr>
            <w:r w:rsidRPr="003874AC">
              <w:rPr>
                <w:rFonts w:ascii="Times New Roman" w:hAnsi="Times New Roman" w:cs="Times New Roman"/>
                <w:sz w:val="20"/>
                <w:szCs w:val="20"/>
              </w:rPr>
              <w:t>..</w:t>
            </w:r>
          </w:p>
        </w:tc>
        <w:tc>
          <w:tcPr>
            <w:tcW w:w="0" w:type="auto"/>
            <w:vAlign w:val="center"/>
            <w:hideMark/>
          </w:tcPr>
          <w:p w14:paraId="63B07C19" w14:textId="77777777" w:rsidR="00DA1357" w:rsidRPr="003874AC" w:rsidRDefault="00DA1357" w:rsidP="00471458">
            <w:pPr>
              <w:pStyle w:val="NoSpacing"/>
              <w:jc w:val="center"/>
              <w:rPr>
                <w:rFonts w:ascii="Times New Roman" w:hAnsi="Times New Roman" w:cs="Times New Roman"/>
                <w:sz w:val="20"/>
                <w:szCs w:val="20"/>
              </w:rPr>
            </w:pPr>
            <w:r w:rsidRPr="003874AC">
              <w:rPr>
                <w:rFonts w:ascii="Times New Roman" w:hAnsi="Times New Roman" w:cs="Times New Roman"/>
                <w:sz w:val="20"/>
                <w:szCs w:val="20"/>
              </w:rPr>
              <w:t>..</w:t>
            </w:r>
          </w:p>
        </w:tc>
        <w:tc>
          <w:tcPr>
            <w:tcW w:w="0" w:type="auto"/>
            <w:vAlign w:val="center"/>
            <w:hideMark/>
          </w:tcPr>
          <w:p w14:paraId="0495A41A" w14:textId="77777777" w:rsidR="00DA1357" w:rsidRPr="003874AC" w:rsidRDefault="00DA1357" w:rsidP="00471458">
            <w:pPr>
              <w:pStyle w:val="NoSpacing"/>
              <w:jc w:val="center"/>
              <w:rPr>
                <w:rFonts w:ascii="Times New Roman" w:hAnsi="Times New Roman" w:cs="Times New Roman"/>
                <w:sz w:val="20"/>
                <w:szCs w:val="20"/>
              </w:rPr>
            </w:pPr>
            <w:r w:rsidRPr="003874AC">
              <w:rPr>
                <w:rFonts w:ascii="Times New Roman" w:hAnsi="Times New Roman" w:cs="Times New Roman"/>
                <w:sz w:val="20"/>
                <w:szCs w:val="20"/>
              </w:rPr>
              <w:t>..</w:t>
            </w:r>
          </w:p>
        </w:tc>
        <w:tc>
          <w:tcPr>
            <w:tcW w:w="0" w:type="auto"/>
            <w:vAlign w:val="center"/>
            <w:hideMark/>
          </w:tcPr>
          <w:p w14:paraId="7BC524D3" w14:textId="77777777" w:rsidR="00DA1357" w:rsidRPr="003874AC" w:rsidRDefault="00DA1357" w:rsidP="00471458">
            <w:pPr>
              <w:pStyle w:val="NoSpacing"/>
              <w:jc w:val="center"/>
              <w:rPr>
                <w:rFonts w:ascii="Times New Roman" w:hAnsi="Times New Roman" w:cs="Times New Roman"/>
                <w:sz w:val="20"/>
                <w:szCs w:val="20"/>
              </w:rPr>
            </w:pPr>
            <w:r w:rsidRPr="003874AC">
              <w:rPr>
                <w:rFonts w:ascii="Times New Roman" w:hAnsi="Times New Roman" w:cs="Times New Roman"/>
                <w:sz w:val="20"/>
                <w:szCs w:val="20"/>
              </w:rPr>
              <w:t>..</w:t>
            </w:r>
          </w:p>
        </w:tc>
        <w:tc>
          <w:tcPr>
            <w:tcW w:w="0" w:type="auto"/>
            <w:vAlign w:val="center"/>
            <w:hideMark/>
          </w:tcPr>
          <w:p w14:paraId="5522B95F" w14:textId="77777777" w:rsidR="00DA1357" w:rsidRPr="003874AC" w:rsidRDefault="00DA1357" w:rsidP="00471458">
            <w:pPr>
              <w:pStyle w:val="NoSpacing"/>
              <w:jc w:val="center"/>
              <w:rPr>
                <w:rFonts w:ascii="Times New Roman" w:hAnsi="Times New Roman" w:cs="Times New Roman"/>
                <w:sz w:val="20"/>
                <w:szCs w:val="20"/>
              </w:rPr>
            </w:pPr>
            <w:r w:rsidRPr="003874AC">
              <w:rPr>
                <w:rFonts w:ascii="Times New Roman" w:hAnsi="Times New Roman" w:cs="Times New Roman"/>
                <w:sz w:val="20"/>
                <w:szCs w:val="20"/>
              </w:rPr>
              <w:t>..</w:t>
            </w:r>
          </w:p>
        </w:tc>
        <w:tc>
          <w:tcPr>
            <w:tcW w:w="0" w:type="auto"/>
            <w:vAlign w:val="center"/>
            <w:hideMark/>
          </w:tcPr>
          <w:p w14:paraId="302E6221" w14:textId="77777777" w:rsidR="00DA1357" w:rsidRPr="003874AC" w:rsidRDefault="00DA1357" w:rsidP="00471458">
            <w:pPr>
              <w:pStyle w:val="NoSpacing"/>
              <w:jc w:val="center"/>
              <w:rPr>
                <w:rFonts w:ascii="Times New Roman" w:hAnsi="Times New Roman" w:cs="Times New Roman"/>
                <w:sz w:val="20"/>
                <w:szCs w:val="20"/>
              </w:rPr>
            </w:pPr>
            <w:r w:rsidRPr="003874AC">
              <w:rPr>
                <w:rFonts w:ascii="Times New Roman" w:hAnsi="Times New Roman" w:cs="Times New Roman"/>
                <w:sz w:val="20"/>
                <w:szCs w:val="20"/>
              </w:rPr>
              <w:t>..</w:t>
            </w:r>
          </w:p>
        </w:tc>
        <w:tc>
          <w:tcPr>
            <w:tcW w:w="0" w:type="auto"/>
            <w:vAlign w:val="center"/>
            <w:hideMark/>
          </w:tcPr>
          <w:p w14:paraId="7E77660C" w14:textId="77777777" w:rsidR="00DA1357" w:rsidRPr="003874AC" w:rsidRDefault="00DA1357" w:rsidP="00471458">
            <w:pPr>
              <w:pStyle w:val="NoSpacing"/>
              <w:jc w:val="center"/>
              <w:rPr>
                <w:rFonts w:ascii="Times New Roman" w:hAnsi="Times New Roman" w:cs="Times New Roman"/>
                <w:sz w:val="20"/>
                <w:szCs w:val="20"/>
              </w:rPr>
            </w:pPr>
            <w:r w:rsidRPr="003874AC">
              <w:rPr>
                <w:rFonts w:ascii="Times New Roman" w:hAnsi="Times New Roman" w:cs="Times New Roman"/>
                <w:sz w:val="20"/>
                <w:szCs w:val="20"/>
              </w:rPr>
              <w:t>..</w:t>
            </w:r>
          </w:p>
        </w:tc>
        <w:tc>
          <w:tcPr>
            <w:tcW w:w="0" w:type="auto"/>
            <w:vAlign w:val="center"/>
            <w:hideMark/>
          </w:tcPr>
          <w:p w14:paraId="4592E74D" w14:textId="77777777" w:rsidR="00DA1357" w:rsidRPr="003874AC" w:rsidRDefault="00DA1357" w:rsidP="00471458">
            <w:pPr>
              <w:pStyle w:val="NoSpacing"/>
              <w:jc w:val="center"/>
              <w:rPr>
                <w:rFonts w:ascii="Times New Roman" w:hAnsi="Times New Roman" w:cs="Times New Roman"/>
                <w:sz w:val="20"/>
                <w:szCs w:val="20"/>
              </w:rPr>
            </w:pPr>
            <w:r w:rsidRPr="003874AC">
              <w:rPr>
                <w:rFonts w:ascii="Times New Roman" w:hAnsi="Times New Roman" w:cs="Times New Roman"/>
                <w:sz w:val="20"/>
                <w:szCs w:val="20"/>
              </w:rPr>
              <w:t>..</w:t>
            </w:r>
          </w:p>
        </w:tc>
        <w:tc>
          <w:tcPr>
            <w:tcW w:w="0" w:type="auto"/>
            <w:vAlign w:val="center"/>
            <w:hideMark/>
          </w:tcPr>
          <w:p w14:paraId="2FC04213" w14:textId="77777777" w:rsidR="00DA1357" w:rsidRPr="003874AC" w:rsidRDefault="00DA1357" w:rsidP="00471458">
            <w:pPr>
              <w:pStyle w:val="NoSpacing"/>
              <w:jc w:val="center"/>
              <w:rPr>
                <w:rFonts w:ascii="Times New Roman" w:hAnsi="Times New Roman" w:cs="Times New Roman"/>
                <w:sz w:val="20"/>
                <w:szCs w:val="20"/>
              </w:rPr>
            </w:pPr>
            <w:r w:rsidRPr="003874AC">
              <w:rPr>
                <w:rFonts w:ascii="Times New Roman" w:hAnsi="Times New Roman" w:cs="Times New Roman"/>
                <w:sz w:val="20"/>
                <w:szCs w:val="20"/>
              </w:rPr>
              <w:t>..</w:t>
            </w:r>
          </w:p>
        </w:tc>
        <w:tc>
          <w:tcPr>
            <w:tcW w:w="0" w:type="auto"/>
            <w:vAlign w:val="center"/>
            <w:hideMark/>
          </w:tcPr>
          <w:p w14:paraId="7DB3A937" w14:textId="77777777" w:rsidR="00DA1357" w:rsidRPr="003874AC" w:rsidRDefault="00DA1357" w:rsidP="00471458">
            <w:pPr>
              <w:pStyle w:val="NoSpacing"/>
              <w:jc w:val="center"/>
              <w:rPr>
                <w:rFonts w:ascii="Times New Roman" w:hAnsi="Times New Roman" w:cs="Times New Roman"/>
                <w:sz w:val="20"/>
                <w:szCs w:val="20"/>
              </w:rPr>
            </w:pPr>
            <w:r w:rsidRPr="003874AC">
              <w:rPr>
                <w:rFonts w:ascii="Times New Roman" w:hAnsi="Times New Roman" w:cs="Times New Roman"/>
                <w:sz w:val="20"/>
                <w:szCs w:val="20"/>
              </w:rPr>
              <w:t>..</w:t>
            </w:r>
          </w:p>
        </w:tc>
        <w:tc>
          <w:tcPr>
            <w:tcW w:w="0" w:type="auto"/>
            <w:vAlign w:val="center"/>
            <w:hideMark/>
          </w:tcPr>
          <w:p w14:paraId="706FACC5" w14:textId="77777777" w:rsidR="00DA1357" w:rsidRPr="003874AC" w:rsidRDefault="00DA1357" w:rsidP="00471458">
            <w:pPr>
              <w:pStyle w:val="NoSpacing"/>
              <w:jc w:val="center"/>
              <w:rPr>
                <w:rFonts w:ascii="Times New Roman" w:hAnsi="Times New Roman" w:cs="Times New Roman"/>
                <w:sz w:val="20"/>
                <w:szCs w:val="20"/>
              </w:rPr>
            </w:pPr>
            <w:r w:rsidRPr="003874AC">
              <w:rPr>
                <w:rFonts w:ascii="Times New Roman" w:hAnsi="Times New Roman" w:cs="Times New Roman"/>
                <w:sz w:val="20"/>
                <w:szCs w:val="20"/>
              </w:rPr>
              <w:t>..</w:t>
            </w:r>
          </w:p>
        </w:tc>
        <w:tc>
          <w:tcPr>
            <w:tcW w:w="0" w:type="auto"/>
            <w:vAlign w:val="center"/>
            <w:hideMark/>
          </w:tcPr>
          <w:p w14:paraId="07440345" w14:textId="77777777" w:rsidR="00DA1357" w:rsidRPr="003874AC" w:rsidRDefault="00DA1357" w:rsidP="00471458">
            <w:pPr>
              <w:pStyle w:val="NoSpacing"/>
              <w:jc w:val="center"/>
              <w:rPr>
                <w:rFonts w:ascii="Times New Roman" w:hAnsi="Times New Roman" w:cs="Times New Roman"/>
                <w:sz w:val="20"/>
                <w:szCs w:val="20"/>
              </w:rPr>
            </w:pPr>
            <w:r w:rsidRPr="003874AC">
              <w:rPr>
                <w:rFonts w:ascii="Times New Roman" w:hAnsi="Times New Roman" w:cs="Times New Roman"/>
                <w:sz w:val="20"/>
                <w:szCs w:val="20"/>
              </w:rPr>
              <w:t>..</w:t>
            </w:r>
          </w:p>
        </w:tc>
      </w:tr>
      <w:tr w:rsidR="00DA1357" w:rsidRPr="003874AC" w14:paraId="0AABA3B9" w14:textId="77777777" w:rsidTr="00471458">
        <w:tc>
          <w:tcPr>
            <w:tcW w:w="1216" w:type="dxa"/>
            <w:hideMark/>
          </w:tcPr>
          <w:p w14:paraId="0806873D" w14:textId="77777777" w:rsidR="00DA1357" w:rsidRPr="003874AC" w:rsidRDefault="00DA1357" w:rsidP="00DA1357">
            <w:pPr>
              <w:pStyle w:val="NoSpacing"/>
              <w:rPr>
                <w:rFonts w:ascii="Times New Roman" w:hAnsi="Times New Roman" w:cs="Times New Roman"/>
                <w:sz w:val="20"/>
                <w:szCs w:val="20"/>
              </w:rPr>
            </w:pPr>
            <w:r w:rsidRPr="003874AC">
              <w:rPr>
                <w:rFonts w:ascii="Times New Roman" w:hAnsi="Times New Roman" w:cs="Times New Roman"/>
                <w:sz w:val="20"/>
                <w:szCs w:val="20"/>
              </w:rPr>
              <w:t>Madhya Pradesh</w:t>
            </w:r>
          </w:p>
        </w:tc>
        <w:tc>
          <w:tcPr>
            <w:tcW w:w="0" w:type="auto"/>
            <w:vAlign w:val="center"/>
            <w:hideMark/>
          </w:tcPr>
          <w:p w14:paraId="7D7EDA64" w14:textId="77777777" w:rsidR="00DA1357" w:rsidRPr="003874AC" w:rsidRDefault="00DA1357" w:rsidP="00471458">
            <w:pPr>
              <w:pStyle w:val="NoSpacing"/>
              <w:jc w:val="center"/>
              <w:rPr>
                <w:rFonts w:ascii="Times New Roman" w:hAnsi="Times New Roman" w:cs="Times New Roman"/>
                <w:sz w:val="20"/>
                <w:szCs w:val="20"/>
              </w:rPr>
            </w:pPr>
            <w:r w:rsidRPr="003874AC">
              <w:rPr>
                <w:rFonts w:ascii="Times New Roman" w:hAnsi="Times New Roman" w:cs="Times New Roman"/>
                <w:sz w:val="20"/>
                <w:szCs w:val="20"/>
              </w:rPr>
              <w:t>..</w:t>
            </w:r>
          </w:p>
        </w:tc>
        <w:tc>
          <w:tcPr>
            <w:tcW w:w="0" w:type="auto"/>
            <w:vAlign w:val="center"/>
            <w:hideMark/>
          </w:tcPr>
          <w:p w14:paraId="068D271E" w14:textId="77777777" w:rsidR="00DA1357" w:rsidRPr="003874AC" w:rsidRDefault="00DA1357" w:rsidP="00471458">
            <w:pPr>
              <w:pStyle w:val="NoSpacing"/>
              <w:jc w:val="center"/>
              <w:rPr>
                <w:rFonts w:ascii="Times New Roman" w:hAnsi="Times New Roman" w:cs="Times New Roman"/>
                <w:sz w:val="20"/>
                <w:szCs w:val="20"/>
              </w:rPr>
            </w:pPr>
            <w:r w:rsidRPr="003874AC">
              <w:rPr>
                <w:rFonts w:ascii="Times New Roman" w:hAnsi="Times New Roman" w:cs="Times New Roman"/>
                <w:sz w:val="20"/>
                <w:szCs w:val="20"/>
              </w:rPr>
              <w:t>..</w:t>
            </w:r>
          </w:p>
        </w:tc>
        <w:tc>
          <w:tcPr>
            <w:tcW w:w="0" w:type="auto"/>
            <w:vAlign w:val="center"/>
            <w:hideMark/>
          </w:tcPr>
          <w:p w14:paraId="702255E1" w14:textId="77777777" w:rsidR="00DA1357" w:rsidRPr="003874AC" w:rsidRDefault="00DA1357" w:rsidP="00471458">
            <w:pPr>
              <w:pStyle w:val="NoSpacing"/>
              <w:jc w:val="center"/>
              <w:rPr>
                <w:rFonts w:ascii="Times New Roman" w:hAnsi="Times New Roman" w:cs="Times New Roman"/>
                <w:sz w:val="20"/>
                <w:szCs w:val="20"/>
              </w:rPr>
            </w:pPr>
            <w:r w:rsidRPr="003874AC">
              <w:rPr>
                <w:rFonts w:ascii="Times New Roman" w:hAnsi="Times New Roman" w:cs="Times New Roman"/>
                <w:sz w:val="20"/>
                <w:szCs w:val="20"/>
              </w:rPr>
              <w:t>..</w:t>
            </w:r>
          </w:p>
        </w:tc>
        <w:tc>
          <w:tcPr>
            <w:tcW w:w="0" w:type="auto"/>
            <w:vAlign w:val="center"/>
            <w:hideMark/>
          </w:tcPr>
          <w:p w14:paraId="70458A7A" w14:textId="77777777" w:rsidR="00DA1357" w:rsidRPr="003874AC" w:rsidRDefault="00DA1357" w:rsidP="00471458">
            <w:pPr>
              <w:pStyle w:val="NoSpacing"/>
              <w:jc w:val="center"/>
              <w:rPr>
                <w:rFonts w:ascii="Times New Roman" w:hAnsi="Times New Roman" w:cs="Times New Roman"/>
                <w:sz w:val="20"/>
                <w:szCs w:val="20"/>
              </w:rPr>
            </w:pPr>
            <w:r w:rsidRPr="003874AC">
              <w:rPr>
                <w:rFonts w:ascii="Times New Roman" w:hAnsi="Times New Roman" w:cs="Times New Roman"/>
                <w:sz w:val="20"/>
                <w:szCs w:val="20"/>
              </w:rPr>
              <w:t>..</w:t>
            </w:r>
          </w:p>
        </w:tc>
        <w:tc>
          <w:tcPr>
            <w:tcW w:w="0" w:type="auto"/>
            <w:vAlign w:val="center"/>
            <w:hideMark/>
          </w:tcPr>
          <w:p w14:paraId="36DE6055" w14:textId="77777777" w:rsidR="00DA1357" w:rsidRPr="003874AC" w:rsidRDefault="00DA1357" w:rsidP="00471458">
            <w:pPr>
              <w:pStyle w:val="NoSpacing"/>
              <w:jc w:val="center"/>
              <w:rPr>
                <w:rFonts w:ascii="Times New Roman" w:hAnsi="Times New Roman" w:cs="Times New Roman"/>
                <w:sz w:val="20"/>
                <w:szCs w:val="20"/>
              </w:rPr>
            </w:pPr>
            <w:r w:rsidRPr="003874AC">
              <w:rPr>
                <w:rFonts w:ascii="Times New Roman" w:hAnsi="Times New Roman" w:cs="Times New Roman"/>
                <w:sz w:val="20"/>
                <w:szCs w:val="20"/>
              </w:rPr>
              <w:t>..</w:t>
            </w:r>
          </w:p>
        </w:tc>
        <w:tc>
          <w:tcPr>
            <w:tcW w:w="0" w:type="auto"/>
            <w:vAlign w:val="center"/>
            <w:hideMark/>
          </w:tcPr>
          <w:p w14:paraId="0C227A05" w14:textId="77777777" w:rsidR="00DA1357" w:rsidRPr="003874AC" w:rsidRDefault="00DA1357" w:rsidP="00471458">
            <w:pPr>
              <w:pStyle w:val="NoSpacing"/>
              <w:jc w:val="center"/>
              <w:rPr>
                <w:rFonts w:ascii="Times New Roman" w:hAnsi="Times New Roman" w:cs="Times New Roman"/>
                <w:sz w:val="20"/>
                <w:szCs w:val="20"/>
              </w:rPr>
            </w:pPr>
            <w:r w:rsidRPr="003874AC">
              <w:rPr>
                <w:rFonts w:ascii="Times New Roman" w:hAnsi="Times New Roman" w:cs="Times New Roman"/>
                <w:sz w:val="20"/>
                <w:szCs w:val="20"/>
              </w:rPr>
              <w:t>..</w:t>
            </w:r>
          </w:p>
        </w:tc>
        <w:tc>
          <w:tcPr>
            <w:tcW w:w="0" w:type="auto"/>
            <w:vAlign w:val="center"/>
            <w:hideMark/>
          </w:tcPr>
          <w:p w14:paraId="21AFBCD4" w14:textId="77777777" w:rsidR="00DA1357" w:rsidRPr="003874AC" w:rsidRDefault="00DA1357" w:rsidP="00471458">
            <w:pPr>
              <w:pStyle w:val="NoSpacing"/>
              <w:jc w:val="center"/>
              <w:rPr>
                <w:rFonts w:ascii="Times New Roman" w:hAnsi="Times New Roman" w:cs="Times New Roman"/>
                <w:sz w:val="20"/>
                <w:szCs w:val="20"/>
              </w:rPr>
            </w:pPr>
            <w:r w:rsidRPr="003874AC">
              <w:rPr>
                <w:rFonts w:ascii="Times New Roman" w:hAnsi="Times New Roman" w:cs="Times New Roman"/>
                <w:sz w:val="20"/>
                <w:szCs w:val="20"/>
              </w:rPr>
              <w:t>..</w:t>
            </w:r>
          </w:p>
        </w:tc>
        <w:tc>
          <w:tcPr>
            <w:tcW w:w="0" w:type="auto"/>
            <w:vAlign w:val="center"/>
            <w:hideMark/>
          </w:tcPr>
          <w:p w14:paraId="6DEBCE87" w14:textId="77777777" w:rsidR="00DA1357" w:rsidRPr="003874AC" w:rsidRDefault="00DA1357" w:rsidP="00471458">
            <w:pPr>
              <w:pStyle w:val="NoSpacing"/>
              <w:jc w:val="center"/>
              <w:rPr>
                <w:rFonts w:ascii="Times New Roman" w:hAnsi="Times New Roman" w:cs="Times New Roman"/>
                <w:sz w:val="20"/>
                <w:szCs w:val="20"/>
              </w:rPr>
            </w:pPr>
            <w:r w:rsidRPr="003874AC">
              <w:rPr>
                <w:rFonts w:ascii="Times New Roman" w:hAnsi="Times New Roman" w:cs="Times New Roman"/>
                <w:sz w:val="20"/>
                <w:szCs w:val="20"/>
              </w:rPr>
              <w:t>..</w:t>
            </w:r>
          </w:p>
        </w:tc>
        <w:tc>
          <w:tcPr>
            <w:tcW w:w="0" w:type="auto"/>
            <w:vAlign w:val="center"/>
            <w:hideMark/>
          </w:tcPr>
          <w:p w14:paraId="0A5F161F" w14:textId="77777777" w:rsidR="00DA1357" w:rsidRPr="003874AC" w:rsidRDefault="00DA1357" w:rsidP="00471458">
            <w:pPr>
              <w:pStyle w:val="NoSpacing"/>
              <w:jc w:val="center"/>
              <w:rPr>
                <w:rFonts w:ascii="Times New Roman" w:hAnsi="Times New Roman" w:cs="Times New Roman"/>
                <w:sz w:val="20"/>
                <w:szCs w:val="20"/>
              </w:rPr>
            </w:pPr>
            <w:r w:rsidRPr="003874AC">
              <w:rPr>
                <w:rFonts w:ascii="Times New Roman" w:hAnsi="Times New Roman" w:cs="Times New Roman"/>
                <w:sz w:val="20"/>
                <w:szCs w:val="20"/>
              </w:rPr>
              <w:t>..</w:t>
            </w:r>
          </w:p>
        </w:tc>
        <w:tc>
          <w:tcPr>
            <w:tcW w:w="0" w:type="auto"/>
            <w:vAlign w:val="center"/>
            <w:hideMark/>
          </w:tcPr>
          <w:p w14:paraId="7CE04726" w14:textId="77777777" w:rsidR="00DA1357" w:rsidRPr="003874AC" w:rsidRDefault="00DA1357" w:rsidP="00471458">
            <w:pPr>
              <w:pStyle w:val="NoSpacing"/>
              <w:jc w:val="center"/>
              <w:rPr>
                <w:rFonts w:ascii="Times New Roman" w:hAnsi="Times New Roman" w:cs="Times New Roman"/>
                <w:sz w:val="20"/>
                <w:szCs w:val="20"/>
              </w:rPr>
            </w:pPr>
            <w:r w:rsidRPr="003874AC">
              <w:rPr>
                <w:rFonts w:ascii="Times New Roman" w:hAnsi="Times New Roman" w:cs="Times New Roman"/>
                <w:sz w:val="20"/>
                <w:szCs w:val="20"/>
              </w:rPr>
              <w:t>..</w:t>
            </w:r>
          </w:p>
        </w:tc>
        <w:tc>
          <w:tcPr>
            <w:tcW w:w="0" w:type="auto"/>
            <w:vAlign w:val="center"/>
            <w:hideMark/>
          </w:tcPr>
          <w:p w14:paraId="43167D3B" w14:textId="77777777" w:rsidR="00DA1357" w:rsidRPr="003874AC" w:rsidRDefault="00DA1357" w:rsidP="00471458">
            <w:pPr>
              <w:pStyle w:val="NoSpacing"/>
              <w:jc w:val="center"/>
              <w:rPr>
                <w:rFonts w:ascii="Times New Roman" w:hAnsi="Times New Roman" w:cs="Times New Roman"/>
                <w:sz w:val="20"/>
                <w:szCs w:val="20"/>
              </w:rPr>
            </w:pPr>
            <w:r w:rsidRPr="003874AC">
              <w:rPr>
                <w:rFonts w:ascii="Times New Roman" w:hAnsi="Times New Roman" w:cs="Times New Roman"/>
                <w:sz w:val="20"/>
                <w:szCs w:val="20"/>
              </w:rPr>
              <w:t>..</w:t>
            </w:r>
          </w:p>
        </w:tc>
        <w:tc>
          <w:tcPr>
            <w:tcW w:w="0" w:type="auto"/>
            <w:vAlign w:val="center"/>
            <w:hideMark/>
          </w:tcPr>
          <w:p w14:paraId="50CF2729" w14:textId="77777777" w:rsidR="00DA1357" w:rsidRPr="003874AC" w:rsidRDefault="00DA1357" w:rsidP="00471458">
            <w:pPr>
              <w:pStyle w:val="NoSpacing"/>
              <w:jc w:val="center"/>
              <w:rPr>
                <w:rFonts w:ascii="Times New Roman" w:hAnsi="Times New Roman" w:cs="Times New Roman"/>
                <w:sz w:val="20"/>
                <w:szCs w:val="20"/>
              </w:rPr>
            </w:pPr>
            <w:r w:rsidRPr="003874AC">
              <w:rPr>
                <w:rFonts w:ascii="Times New Roman" w:hAnsi="Times New Roman" w:cs="Times New Roman"/>
                <w:sz w:val="20"/>
                <w:szCs w:val="20"/>
              </w:rPr>
              <w:t>..</w:t>
            </w:r>
          </w:p>
        </w:tc>
        <w:tc>
          <w:tcPr>
            <w:tcW w:w="0" w:type="auto"/>
            <w:vAlign w:val="center"/>
            <w:hideMark/>
          </w:tcPr>
          <w:p w14:paraId="361E2ADC" w14:textId="77777777" w:rsidR="00DA1357" w:rsidRPr="003874AC" w:rsidRDefault="00DA1357" w:rsidP="00471458">
            <w:pPr>
              <w:pStyle w:val="NoSpacing"/>
              <w:jc w:val="center"/>
              <w:rPr>
                <w:rFonts w:ascii="Times New Roman" w:hAnsi="Times New Roman" w:cs="Times New Roman"/>
                <w:sz w:val="20"/>
                <w:szCs w:val="20"/>
              </w:rPr>
            </w:pPr>
            <w:r w:rsidRPr="003874AC">
              <w:rPr>
                <w:rFonts w:ascii="Times New Roman" w:hAnsi="Times New Roman" w:cs="Times New Roman"/>
                <w:sz w:val="20"/>
                <w:szCs w:val="20"/>
              </w:rPr>
              <w:t>..</w:t>
            </w:r>
          </w:p>
        </w:tc>
        <w:tc>
          <w:tcPr>
            <w:tcW w:w="0" w:type="auto"/>
            <w:vAlign w:val="center"/>
            <w:hideMark/>
          </w:tcPr>
          <w:p w14:paraId="3E5F0107" w14:textId="77777777" w:rsidR="00DA1357" w:rsidRPr="003874AC" w:rsidRDefault="00DA1357" w:rsidP="00471458">
            <w:pPr>
              <w:pStyle w:val="NoSpacing"/>
              <w:jc w:val="center"/>
              <w:rPr>
                <w:rFonts w:ascii="Times New Roman" w:hAnsi="Times New Roman" w:cs="Times New Roman"/>
                <w:sz w:val="20"/>
                <w:szCs w:val="20"/>
              </w:rPr>
            </w:pPr>
            <w:r w:rsidRPr="003874AC">
              <w:rPr>
                <w:rFonts w:ascii="Times New Roman" w:hAnsi="Times New Roman" w:cs="Times New Roman"/>
                <w:sz w:val="20"/>
                <w:szCs w:val="20"/>
              </w:rPr>
              <w:t>..</w:t>
            </w:r>
          </w:p>
        </w:tc>
        <w:tc>
          <w:tcPr>
            <w:tcW w:w="0" w:type="auto"/>
            <w:vAlign w:val="center"/>
            <w:hideMark/>
          </w:tcPr>
          <w:p w14:paraId="5DB751D7" w14:textId="77777777" w:rsidR="00DA1357" w:rsidRPr="003874AC" w:rsidRDefault="00DA1357" w:rsidP="00471458">
            <w:pPr>
              <w:pStyle w:val="NoSpacing"/>
              <w:jc w:val="center"/>
              <w:rPr>
                <w:rFonts w:ascii="Times New Roman" w:hAnsi="Times New Roman" w:cs="Times New Roman"/>
                <w:sz w:val="20"/>
                <w:szCs w:val="20"/>
              </w:rPr>
            </w:pPr>
            <w:r w:rsidRPr="003874AC">
              <w:rPr>
                <w:rFonts w:ascii="Times New Roman" w:hAnsi="Times New Roman" w:cs="Times New Roman"/>
                <w:sz w:val="20"/>
                <w:szCs w:val="20"/>
              </w:rPr>
              <w:t>..</w:t>
            </w:r>
          </w:p>
        </w:tc>
        <w:tc>
          <w:tcPr>
            <w:tcW w:w="0" w:type="auto"/>
            <w:vAlign w:val="center"/>
            <w:hideMark/>
          </w:tcPr>
          <w:p w14:paraId="5CCB9F50" w14:textId="77777777" w:rsidR="00DA1357" w:rsidRPr="003874AC" w:rsidRDefault="00DA1357" w:rsidP="00471458">
            <w:pPr>
              <w:pStyle w:val="NoSpacing"/>
              <w:jc w:val="center"/>
              <w:rPr>
                <w:rFonts w:ascii="Times New Roman" w:hAnsi="Times New Roman" w:cs="Times New Roman"/>
                <w:sz w:val="20"/>
                <w:szCs w:val="20"/>
              </w:rPr>
            </w:pPr>
            <w:r w:rsidRPr="003874AC">
              <w:rPr>
                <w:rFonts w:ascii="Times New Roman" w:hAnsi="Times New Roman" w:cs="Times New Roman"/>
                <w:sz w:val="20"/>
                <w:szCs w:val="20"/>
              </w:rPr>
              <w:t>..</w:t>
            </w:r>
          </w:p>
        </w:tc>
      </w:tr>
      <w:tr w:rsidR="00DA1357" w:rsidRPr="003874AC" w14:paraId="67C13BA8" w14:textId="77777777" w:rsidTr="00471458">
        <w:tc>
          <w:tcPr>
            <w:tcW w:w="1216" w:type="dxa"/>
            <w:hideMark/>
          </w:tcPr>
          <w:p w14:paraId="75B493A5" w14:textId="77777777" w:rsidR="00DA1357" w:rsidRPr="003874AC" w:rsidRDefault="00DA1357" w:rsidP="00DA1357">
            <w:pPr>
              <w:pStyle w:val="NoSpacing"/>
              <w:rPr>
                <w:rFonts w:ascii="Times New Roman" w:hAnsi="Times New Roman" w:cs="Times New Roman"/>
                <w:sz w:val="20"/>
                <w:szCs w:val="20"/>
              </w:rPr>
            </w:pPr>
            <w:r w:rsidRPr="003874AC">
              <w:rPr>
                <w:rFonts w:ascii="Times New Roman" w:hAnsi="Times New Roman" w:cs="Times New Roman"/>
                <w:sz w:val="20"/>
                <w:szCs w:val="20"/>
              </w:rPr>
              <w:t>Maharashtra</w:t>
            </w:r>
          </w:p>
        </w:tc>
        <w:tc>
          <w:tcPr>
            <w:tcW w:w="0" w:type="auto"/>
            <w:vAlign w:val="center"/>
            <w:hideMark/>
          </w:tcPr>
          <w:p w14:paraId="2B911DEC" w14:textId="77777777" w:rsidR="00DA1357" w:rsidRPr="003874AC" w:rsidRDefault="00DA1357" w:rsidP="00471458">
            <w:pPr>
              <w:pStyle w:val="NoSpacing"/>
              <w:jc w:val="center"/>
              <w:rPr>
                <w:rFonts w:ascii="Times New Roman" w:hAnsi="Times New Roman" w:cs="Times New Roman"/>
                <w:sz w:val="20"/>
                <w:szCs w:val="20"/>
              </w:rPr>
            </w:pPr>
            <w:r w:rsidRPr="003874AC">
              <w:rPr>
                <w:rFonts w:ascii="Times New Roman" w:hAnsi="Times New Roman" w:cs="Times New Roman"/>
                <w:sz w:val="20"/>
                <w:szCs w:val="20"/>
              </w:rPr>
              <w:t>..</w:t>
            </w:r>
          </w:p>
        </w:tc>
        <w:tc>
          <w:tcPr>
            <w:tcW w:w="0" w:type="auto"/>
            <w:vAlign w:val="center"/>
            <w:hideMark/>
          </w:tcPr>
          <w:p w14:paraId="7935BFAC" w14:textId="77777777" w:rsidR="00DA1357" w:rsidRPr="003874AC" w:rsidRDefault="00DA1357" w:rsidP="00471458">
            <w:pPr>
              <w:pStyle w:val="NoSpacing"/>
              <w:jc w:val="center"/>
              <w:rPr>
                <w:rFonts w:ascii="Times New Roman" w:hAnsi="Times New Roman" w:cs="Times New Roman"/>
                <w:sz w:val="20"/>
                <w:szCs w:val="20"/>
              </w:rPr>
            </w:pPr>
            <w:r w:rsidRPr="003874AC">
              <w:rPr>
                <w:rFonts w:ascii="Times New Roman" w:hAnsi="Times New Roman" w:cs="Times New Roman"/>
                <w:sz w:val="20"/>
                <w:szCs w:val="20"/>
              </w:rPr>
              <w:t>..</w:t>
            </w:r>
          </w:p>
        </w:tc>
        <w:tc>
          <w:tcPr>
            <w:tcW w:w="0" w:type="auto"/>
            <w:vAlign w:val="center"/>
            <w:hideMark/>
          </w:tcPr>
          <w:p w14:paraId="1E071AA1" w14:textId="77777777" w:rsidR="00DA1357" w:rsidRPr="003874AC" w:rsidRDefault="00DA1357" w:rsidP="00471458">
            <w:pPr>
              <w:pStyle w:val="NoSpacing"/>
              <w:jc w:val="center"/>
              <w:rPr>
                <w:rFonts w:ascii="Times New Roman" w:hAnsi="Times New Roman" w:cs="Times New Roman"/>
                <w:sz w:val="20"/>
                <w:szCs w:val="20"/>
              </w:rPr>
            </w:pPr>
            <w:r w:rsidRPr="003874AC">
              <w:rPr>
                <w:rFonts w:ascii="Times New Roman" w:hAnsi="Times New Roman" w:cs="Times New Roman"/>
                <w:sz w:val="20"/>
                <w:szCs w:val="20"/>
              </w:rPr>
              <w:t>..</w:t>
            </w:r>
          </w:p>
        </w:tc>
        <w:tc>
          <w:tcPr>
            <w:tcW w:w="0" w:type="auto"/>
            <w:vAlign w:val="center"/>
            <w:hideMark/>
          </w:tcPr>
          <w:p w14:paraId="119550C2" w14:textId="77777777" w:rsidR="00DA1357" w:rsidRPr="003874AC" w:rsidRDefault="00DA1357" w:rsidP="00471458">
            <w:pPr>
              <w:pStyle w:val="NoSpacing"/>
              <w:jc w:val="center"/>
              <w:rPr>
                <w:rFonts w:ascii="Times New Roman" w:hAnsi="Times New Roman" w:cs="Times New Roman"/>
                <w:sz w:val="20"/>
                <w:szCs w:val="20"/>
              </w:rPr>
            </w:pPr>
            <w:r w:rsidRPr="003874AC">
              <w:rPr>
                <w:rFonts w:ascii="Times New Roman" w:hAnsi="Times New Roman" w:cs="Times New Roman"/>
                <w:sz w:val="20"/>
                <w:szCs w:val="20"/>
              </w:rPr>
              <w:t>..</w:t>
            </w:r>
          </w:p>
        </w:tc>
        <w:tc>
          <w:tcPr>
            <w:tcW w:w="0" w:type="auto"/>
            <w:vAlign w:val="center"/>
            <w:hideMark/>
          </w:tcPr>
          <w:p w14:paraId="2847D3C8" w14:textId="77777777" w:rsidR="00DA1357" w:rsidRPr="003874AC" w:rsidRDefault="00DA1357" w:rsidP="00471458">
            <w:pPr>
              <w:pStyle w:val="NoSpacing"/>
              <w:jc w:val="center"/>
              <w:rPr>
                <w:rFonts w:ascii="Times New Roman" w:hAnsi="Times New Roman" w:cs="Times New Roman"/>
                <w:sz w:val="20"/>
                <w:szCs w:val="20"/>
              </w:rPr>
            </w:pPr>
            <w:r w:rsidRPr="003874AC">
              <w:rPr>
                <w:rFonts w:ascii="Times New Roman" w:hAnsi="Times New Roman" w:cs="Times New Roman"/>
                <w:sz w:val="20"/>
                <w:szCs w:val="20"/>
              </w:rPr>
              <w:t>..</w:t>
            </w:r>
          </w:p>
        </w:tc>
        <w:tc>
          <w:tcPr>
            <w:tcW w:w="0" w:type="auto"/>
            <w:vAlign w:val="center"/>
            <w:hideMark/>
          </w:tcPr>
          <w:p w14:paraId="66946710" w14:textId="77777777" w:rsidR="00DA1357" w:rsidRPr="003874AC" w:rsidRDefault="00DA1357" w:rsidP="00471458">
            <w:pPr>
              <w:pStyle w:val="NoSpacing"/>
              <w:jc w:val="center"/>
              <w:rPr>
                <w:rFonts w:ascii="Times New Roman" w:hAnsi="Times New Roman" w:cs="Times New Roman"/>
                <w:sz w:val="20"/>
                <w:szCs w:val="20"/>
              </w:rPr>
            </w:pPr>
            <w:r w:rsidRPr="003874AC">
              <w:rPr>
                <w:rFonts w:ascii="Times New Roman" w:hAnsi="Times New Roman" w:cs="Times New Roman"/>
                <w:sz w:val="20"/>
                <w:szCs w:val="20"/>
              </w:rPr>
              <w:t>..</w:t>
            </w:r>
          </w:p>
        </w:tc>
        <w:tc>
          <w:tcPr>
            <w:tcW w:w="0" w:type="auto"/>
            <w:vAlign w:val="center"/>
            <w:hideMark/>
          </w:tcPr>
          <w:p w14:paraId="6642AE9F" w14:textId="77777777" w:rsidR="00DA1357" w:rsidRPr="003874AC" w:rsidRDefault="00DA1357" w:rsidP="00471458">
            <w:pPr>
              <w:pStyle w:val="NoSpacing"/>
              <w:jc w:val="center"/>
              <w:rPr>
                <w:rFonts w:ascii="Times New Roman" w:hAnsi="Times New Roman" w:cs="Times New Roman"/>
                <w:sz w:val="20"/>
                <w:szCs w:val="20"/>
              </w:rPr>
            </w:pPr>
            <w:r w:rsidRPr="003874AC">
              <w:rPr>
                <w:rFonts w:ascii="Times New Roman" w:hAnsi="Times New Roman" w:cs="Times New Roman"/>
                <w:sz w:val="20"/>
                <w:szCs w:val="20"/>
              </w:rPr>
              <w:t>..</w:t>
            </w:r>
          </w:p>
        </w:tc>
        <w:tc>
          <w:tcPr>
            <w:tcW w:w="0" w:type="auto"/>
            <w:vAlign w:val="center"/>
            <w:hideMark/>
          </w:tcPr>
          <w:p w14:paraId="2731F37D" w14:textId="77777777" w:rsidR="00DA1357" w:rsidRPr="003874AC" w:rsidRDefault="00DA1357" w:rsidP="00471458">
            <w:pPr>
              <w:pStyle w:val="NoSpacing"/>
              <w:jc w:val="center"/>
              <w:rPr>
                <w:rFonts w:ascii="Times New Roman" w:hAnsi="Times New Roman" w:cs="Times New Roman"/>
                <w:sz w:val="20"/>
                <w:szCs w:val="20"/>
              </w:rPr>
            </w:pPr>
            <w:r w:rsidRPr="003874AC">
              <w:rPr>
                <w:rFonts w:ascii="Times New Roman" w:hAnsi="Times New Roman" w:cs="Times New Roman"/>
                <w:sz w:val="20"/>
                <w:szCs w:val="20"/>
              </w:rPr>
              <w:t>..</w:t>
            </w:r>
          </w:p>
        </w:tc>
        <w:tc>
          <w:tcPr>
            <w:tcW w:w="0" w:type="auto"/>
            <w:vAlign w:val="center"/>
            <w:hideMark/>
          </w:tcPr>
          <w:p w14:paraId="4256C133" w14:textId="77777777" w:rsidR="00DA1357" w:rsidRPr="003874AC" w:rsidRDefault="00DA1357" w:rsidP="00471458">
            <w:pPr>
              <w:pStyle w:val="NoSpacing"/>
              <w:jc w:val="center"/>
              <w:rPr>
                <w:rFonts w:ascii="Times New Roman" w:hAnsi="Times New Roman" w:cs="Times New Roman"/>
                <w:sz w:val="20"/>
                <w:szCs w:val="20"/>
              </w:rPr>
            </w:pPr>
            <w:r w:rsidRPr="003874AC">
              <w:rPr>
                <w:rFonts w:ascii="Times New Roman" w:hAnsi="Times New Roman" w:cs="Times New Roman"/>
                <w:sz w:val="20"/>
                <w:szCs w:val="20"/>
              </w:rPr>
              <w:t>..</w:t>
            </w:r>
          </w:p>
        </w:tc>
        <w:tc>
          <w:tcPr>
            <w:tcW w:w="0" w:type="auto"/>
            <w:vAlign w:val="center"/>
            <w:hideMark/>
          </w:tcPr>
          <w:p w14:paraId="153EA39D" w14:textId="77777777" w:rsidR="00DA1357" w:rsidRPr="003874AC" w:rsidRDefault="00DA1357" w:rsidP="00471458">
            <w:pPr>
              <w:pStyle w:val="NoSpacing"/>
              <w:jc w:val="center"/>
              <w:rPr>
                <w:rFonts w:ascii="Times New Roman" w:hAnsi="Times New Roman" w:cs="Times New Roman"/>
                <w:sz w:val="20"/>
                <w:szCs w:val="20"/>
              </w:rPr>
            </w:pPr>
            <w:r w:rsidRPr="003874AC">
              <w:rPr>
                <w:rFonts w:ascii="Times New Roman" w:hAnsi="Times New Roman" w:cs="Times New Roman"/>
                <w:sz w:val="20"/>
                <w:szCs w:val="20"/>
              </w:rPr>
              <w:t>..</w:t>
            </w:r>
          </w:p>
        </w:tc>
        <w:tc>
          <w:tcPr>
            <w:tcW w:w="0" w:type="auto"/>
            <w:vAlign w:val="center"/>
            <w:hideMark/>
          </w:tcPr>
          <w:p w14:paraId="1F176899" w14:textId="77777777" w:rsidR="00DA1357" w:rsidRPr="003874AC" w:rsidRDefault="00DA1357" w:rsidP="00471458">
            <w:pPr>
              <w:pStyle w:val="NoSpacing"/>
              <w:jc w:val="center"/>
              <w:rPr>
                <w:rFonts w:ascii="Times New Roman" w:hAnsi="Times New Roman" w:cs="Times New Roman"/>
                <w:sz w:val="20"/>
                <w:szCs w:val="20"/>
              </w:rPr>
            </w:pPr>
            <w:r w:rsidRPr="003874AC">
              <w:rPr>
                <w:rFonts w:ascii="Times New Roman" w:hAnsi="Times New Roman" w:cs="Times New Roman"/>
                <w:sz w:val="20"/>
                <w:szCs w:val="20"/>
              </w:rPr>
              <w:t>..</w:t>
            </w:r>
          </w:p>
        </w:tc>
        <w:tc>
          <w:tcPr>
            <w:tcW w:w="0" w:type="auto"/>
            <w:vAlign w:val="center"/>
            <w:hideMark/>
          </w:tcPr>
          <w:p w14:paraId="60146FA6" w14:textId="77777777" w:rsidR="00DA1357" w:rsidRPr="003874AC" w:rsidRDefault="00DA1357" w:rsidP="00471458">
            <w:pPr>
              <w:pStyle w:val="NoSpacing"/>
              <w:jc w:val="center"/>
              <w:rPr>
                <w:rFonts w:ascii="Times New Roman" w:hAnsi="Times New Roman" w:cs="Times New Roman"/>
                <w:sz w:val="20"/>
                <w:szCs w:val="20"/>
              </w:rPr>
            </w:pPr>
            <w:r w:rsidRPr="003874AC">
              <w:rPr>
                <w:rFonts w:ascii="Times New Roman" w:hAnsi="Times New Roman" w:cs="Times New Roman"/>
                <w:sz w:val="20"/>
                <w:szCs w:val="20"/>
              </w:rPr>
              <w:t>..</w:t>
            </w:r>
          </w:p>
        </w:tc>
        <w:tc>
          <w:tcPr>
            <w:tcW w:w="0" w:type="auto"/>
            <w:vAlign w:val="center"/>
            <w:hideMark/>
          </w:tcPr>
          <w:p w14:paraId="0B0C2ABE" w14:textId="77777777" w:rsidR="00DA1357" w:rsidRPr="003874AC" w:rsidRDefault="00DA1357" w:rsidP="00471458">
            <w:pPr>
              <w:pStyle w:val="NoSpacing"/>
              <w:jc w:val="center"/>
              <w:rPr>
                <w:rFonts w:ascii="Times New Roman" w:hAnsi="Times New Roman" w:cs="Times New Roman"/>
                <w:sz w:val="20"/>
                <w:szCs w:val="20"/>
              </w:rPr>
            </w:pPr>
            <w:r w:rsidRPr="003874AC">
              <w:rPr>
                <w:rFonts w:ascii="Times New Roman" w:hAnsi="Times New Roman" w:cs="Times New Roman"/>
                <w:sz w:val="20"/>
                <w:szCs w:val="20"/>
              </w:rPr>
              <w:t>..</w:t>
            </w:r>
          </w:p>
        </w:tc>
        <w:tc>
          <w:tcPr>
            <w:tcW w:w="0" w:type="auto"/>
            <w:vAlign w:val="center"/>
            <w:hideMark/>
          </w:tcPr>
          <w:p w14:paraId="6CD08307" w14:textId="77777777" w:rsidR="00DA1357" w:rsidRPr="003874AC" w:rsidRDefault="00DA1357" w:rsidP="00471458">
            <w:pPr>
              <w:pStyle w:val="NoSpacing"/>
              <w:jc w:val="center"/>
              <w:rPr>
                <w:rFonts w:ascii="Times New Roman" w:hAnsi="Times New Roman" w:cs="Times New Roman"/>
                <w:sz w:val="20"/>
                <w:szCs w:val="20"/>
              </w:rPr>
            </w:pPr>
            <w:r w:rsidRPr="003874AC">
              <w:rPr>
                <w:rFonts w:ascii="Times New Roman" w:hAnsi="Times New Roman" w:cs="Times New Roman"/>
                <w:sz w:val="20"/>
                <w:szCs w:val="20"/>
              </w:rPr>
              <w:t>..</w:t>
            </w:r>
          </w:p>
        </w:tc>
        <w:tc>
          <w:tcPr>
            <w:tcW w:w="0" w:type="auto"/>
            <w:vAlign w:val="center"/>
            <w:hideMark/>
          </w:tcPr>
          <w:p w14:paraId="163F92BD" w14:textId="77777777" w:rsidR="00DA1357" w:rsidRPr="003874AC" w:rsidRDefault="00DA1357" w:rsidP="00471458">
            <w:pPr>
              <w:pStyle w:val="NoSpacing"/>
              <w:jc w:val="center"/>
              <w:rPr>
                <w:rFonts w:ascii="Times New Roman" w:hAnsi="Times New Roman" w:cs="Times New Roman"/>
                <w:sz w:val="20"/>
                <w:szCs w:val="20"/>
              </w:rPr>
            </w:pPr>
            <w:r w:rsidRPr="003874AC">
              <w:rPr>
                <w:rFonts w:ascii="Times New Roman" w:hAnsi="Times New Roman" w:cs="Times New Roman"/>
                <w:sz w:val="20"/>
                <w:szCs w:val="20"/>
              </w:rPr>
              <w:t>..</w:t>
            </w:r>
          </w:p>
        </w:tc>
        <w:tc>
          <w:tcPr>
            <w:tcW w:w="0" w:type="auto"/>
            <w:vAlign w:val="center"/>
            <w:hideMark/>
          </w:tcPr>
          <w:p w14:paraId="1FED256B" w14:textId="77777777" w:rsidR="00DA1357" w:rsidRPr="003874AC" w:rsidRDefault="00DA1357" w:rsidP="00471458">
            <w:pPr>
              <w:pStyle w:val="NoSpacing"/>
              <w:jc w:val="center"/>
              <w:rPr>
                <w:rFonts w:ascii="Times New Roman" w:hAnsi="Times New Roman" w:cs="Times New Roman"/>
                <w:sz w:val="20"/>
                <w:szCs w:val="20"/>
              </w:rPr>
            </w:pPr>
            <w:r w:rsidRPr="003874AC">
              <w:rPr>
                <w:rFonts w:ascii="Times New Roman" w:hAnsi="Times New Roman" w:cs="Times New Roman"/>
                <w:sz w:val="20"/>
                <w:szCs w:val="20"/>
              </w:rPr>
              <w:t>..</w:t>
            </w:r>
          </w:p>
        </w:tc>
      </w:tr>
      <w:tr w:rsidR="00DA1357" w:rsidRPr="003874AC" w14:paraId="42FC1C97" w14:textId="77777777" w:rsidTr="00471458">
        <w:tc>
          <w:tcPr>
            <w:tcW w:w="1216" w:type="dxa"/>
            <w:hideMark/>
          </w:tcPr>
          <w:p w14:paraId="7B1A884D" w14:textId="77777777" w:rsidR="00DA1357" w:rsidRPr="003874AC" w:rsidRDefault="00DA1357" w:rsidP="00DA1357">
            <w:pPr>
              <w:pStyle w:val="NoSpacing"/>
              <w:rPr>
                <w:rFonts w:ascii="Times New Roman" w:hAnsi="Times New Roman" w:cs="Times New Roman"/>
                <w:sz w:val="20"/>
                <w:szCs w:val="20"/>
              </w:rPr>
            </w:pPr>
            <w:r w:rsidRPr="003874AC">
              <w:rPr>
                <w:rFonts w:ascii="Times New Roman" w:hAnsi="Times New Roman" w:cs="Times New Roman"/>
                <w:sz w:val="20"/>
                <w:szCs w:val="20"/>
              </w:rPr>
              <w:t>Mysore</w:t>
            </w:r>
          </w:p>
        </w:tc>
        <w:tc>
          <w:tcPr>
            <w:tcW w:w="0" w:type="auto"/>
            <w:vAlign w:val="center"/>
            <w:hideMark/>
          </w:tcPr>
          <w:p w14:paraId="43EBDDDF" w14:textId="77777777" w:rsidR="00DA1357" w:rsidRPr="003874AC" w:rsidRDefault="00DA1357" w:rsidP="00471458">
            <w:pPr>
              <w:pStyle w:val="NoSpacing"/>
              <w:jc w:val="center"/>
              <w:rPr>
                <w:rFonts w:ascii="Times New Roman" w:hAnsi="Times New Roman" w:cs="Times New Roman"/>
                <w:sz w:val="20"/>
                <w:szCs w:val="20"/>
              </w:rPr>
            </w:pPr>
            <w:r w:rsidRPr="003874AC">
              <w:rPr>
                <w:rFonts w:ascii="Times New Roman" w:hAnsi="Times New Roman" w:cs="Times New Roman"/>
                <w:sz w:val="20"/>
                <w:szCs w:val="20"/>
              </w:rPr>
              <w:t>..</w:t>
            </w:r>
          </w:p>
        </w:tc>
        <w:tc>
          <w:tcPr>
            <w:tcW w:w="0" w:type="auto"/>
            <w:vAlign w:val="center"/>
            <w:hideMark/>
          </w:tcPr>
          <w:p w14:paraId="4AAB7D11" w14:textId="77777777" w:rsidR="00DA1357" w:rsidRPr="003874AC" w:rsidRDefault="00DA1357" w:rsidP="00471458">
            <w:pPr>
              <w:pStyle w:val="NoSpacing"/>
              <w:jc w:val="center"/>
              <w:rPr>
                <w:rFonts w:ascii="Times New Roman" w:hAnsi="Times New Roman" w:cs="Times New Roman"/>
                <w:sz w:val="20"/>
                <w:szCs w:val="20"/>
              </w:rPr>
            </w:pPr>
            <w:r w:rsidRPr="003874AC">
              <w:rPr>
                <w:rFonts w:ascii="Times New Roman" w:hAnsi="Times New Roman" w:cs="Times New Roman"/>
                <w:sz w:val="20"/>
                <w:szCs w:val="20"/>
              </w:rPr>
              <w:t>..</w:t>
            </w:r>
          </w:p>
        </w:tc>
        <w:tc>
          <w:tcPr>
            <w:tcW w:w="0" w:type="auto"/>
            <w:vAlign w:val="center"/>
            <w:hideMark/>
          </w:tcPr>
          <w:p w14:paraId="2FE9D2D6" w14:textId="77777777" w:rsidR="00DA1357" w:rsidRPr="003874AC" w:rsidRDefault="00DA1357" w:rsidP="00471458">
            <w:pPr>
              <w:pStyle w:val="NoSpacing"/>
              <w:jc w:val="center"/>
              <w:rPr>
                <w:rFonts w:ascii="Times New Roman" w:hAnsi="Times New Roman" w:cs="Times New Roman"/>
                <w:sz w:val="20"/>
                <w:szCs w:val="20"/>
              </w:rPr>
            </w:pPr>
            <w:r w:rsidRPr="003874AC">
              <w:rPr>
                <w:rFonts w:ascii="Times New Roman" w:hAnsi="Times New Roman" w:cs="Times New Roman"/>
                <w:sz w:val="20"/>
                <w:szCs w:val="20"/>
              </w:rPr>
              <w:t>..</w:t>
            </w:r>
          </w:p>
        </w:tc>
        <w:tc>
          <w:tcPr>
            <w:tcW w:w="0" w:type="auto"/>
            <w:vAlign w:val="center"/>
            <w:hideMark/>
          </w:tcPr>
          <w:p w14:paraId="384A3788" w14:textId="77777777" w:rsidR="00DA1357" w:rsidRPr="003874AC" w:rsidRDefault="00DA1357" w:rsidP="00471458">
            <w:pPr>
              <w:pStyle w:val="NoSpacing"/>
              <w:jc w:val="center"/>
              <w:rPr>
                <w:rFonts w:ascii="Times New Roman" w:hAnsi="Times New Roman" w:cs="Times New Roman"/>
                <w:sz w:val="20"/>
                <w:szCs w:val="20"/>
              </w:rPr>
            </w:pPr>
            <w:r w:rsidRPr="003874AC">
              <w:rPr>
                <w:rFonts w:ascii="Times New Roman" w:hAnsi="Times New Roman" w:cs="Times New Roman"/>
                <w:sz w:val="20"/>
                <w:szCs w:val="20"/>
              </w:rPr>
              <w:t>..</w:t>
            </w:r>
          </w:p>
        </w:tc>
        <w:tc>
          <w:tcPr>
            <w:tcW w:w="0" w:type="auto"/>
            <w:vAlign w:val="center"/>
            <w:hideMark/>
          </w:tcPr>
          <w:p w14:paraId="12412371" w14:textId="77777777" w:rsidR="00DA1357" w:rsidRPr="003874AC" w:rsidRDefault="00DA1357" w:rsidP="00471458">
            <w:pPr>
              <w:pStyle w:val="NoSpacing"/>
              <w:jc w:val="center"/>
              <w:rPr>
                <w:rFonts w:ascii="Times New Roman" w:hAnsi="Times New Roman" w:cs="Times New Roman"/>
                <w:sz w:val="20"/>
                <w:szCs w:val="20"/>
              </w:rPr>
            </w:pPr>
            <w:r w:rsidRPr="003874AC">
              <w:rPr>
                <w:rFonts w:ascii="Times New Roman" w:hAnsi="Times New Roman" w:cs="Times New Roman"/>
                <w:sz w:val="20"/>
                <w:szCs w:val="20"/>
              </w:rPr>
              <w:t>..</w:t>
            </w:r>
          </w:p>
        </w:tc>
        <w:tc>
          <w:tcPr>
            <w:tcW w:w="0" w:type="auto"/>
            <w:vAlign w:val="center"/>
            <w:hideMark/>
          </w:tcPr>
          <w:p w14:paraId="67F96104" w14:textId="77777777" w:rsidR="00DA1357" w:rsidRPr="003874AC" w:rsidRDefault="00DA1357" w:rsidP="00471458">
            <w:pPr>
              <w:pStyle w:val="NoSpacing"/>
              <w:jc w:val="center"/>
              <w:rPr>
                <w:rFonts w:ascii="Times New Roman" w:hAnsi="Times New Roman" w:cs="Times New Roman"/>
                <w:sz w:val="20"/>
                <w:szCs w:val="20"/>
              </w:rPr>
            </w:pPr>
            <w:r w:rsidRPr="003874AC">
              <w:rPr>
                <w:rFonts w:ascii="Times New Roman" w:hAnsi="Times New Roman" w:cs="Times New Roman"/>
                <w:sz w:val="20"/>
                <w:szCs w:val="20"/>
              </w:rPr>
              <w:t>..</w:t>
            </w:r>
          </w:p>
        </w:tc>
        <w:tc>
          <w:tcPr>
            <w:tcW w:w="0" w:type="auto"/>
            <w:vAlign w:val="center"/>
            <w:hideMark/>
          </w:tcPr>
          <w:p w14:paraId="650BD4C8" w14:textId="77777777" w:rsidR="00DA1357" w:rsidRPr="003874AC" w:rsidRDefault="00DA1357" w:rsidP="00471458">
            <w:pPr>
              <w:pStyle w:val="NoSpacing"/>
              <w:jc w:val="center"/>
              <w:rPr>
                <w:rFonts w:ascii="Times New Roman" w:hAnsi="Times New Roman" w:cs="Times New Roman"/>
                <w:sz w:val="20"/>
                <w:szCs w:val="20"/>
              </w:rPr>
            </w:pPr>
            <w:r w:rsidRPr="003874AC">
              <w:rPr>
                <w:rFonts w:ascii="Times New Roman" w:hAnsi="Times New Roman" w:cs="Times New Roman"/>
                <w:sz w:val="20"/>
                <w:szCs w:val="20"/>
              </w:rPr>
              <w:t>..</w:t>
            </w:r>
          </w:p>
        </w:tc>
        <w:tc>
          <w:tcPr>
            <w:tcW w:w="0" w:type="auto"/>
            <w:vAlign w:val="center"/>
            <w:hideMark/>
          </w:tcPr>
          <w:p w14:paraId="11EEDFF0" w14:textId="77777777" w:rsidR="00DA1357" w:rsidRPr="003874AC" w:rsidRDefault="00DA1357" w:rsidP="00471458">
            <w:pPr>
              <w:pStyle w:val="NoSpacing"/>
              <w:jc w:val="center"/>
              <w:rPr>
                <w:rFonts w:ascii="Times New Roman" w:hAnsi="Times New Roman" w:cs="Times New Roman"/>
                <w:sz w:val="20"/>
                <w:szCs w:val="20"/>
              </w:rPr>
            </w:pPr>
            <w:r w:rsidRPr="003874AC">
              <w:rPr>
                <w:rFonts w:ascii="Times New Roman" w:hAnsi="Times New Roman" w:cs="Times New Roman"/>
                <w:sz w:val="20"/>
                <w:szCs w:val="20"/>
              </w:rPr>
              <w:t>..</w:t>
            </w:r>
          </w:p>
        </w:tc>
        <w:tc>
          <w:tcPr>
            <w:tcW w:w="0" w:type="auto"/>
            <w:vAlign w:val="center"/>
            <w:hideMark/>
          </w:tcPr>
          <w:p w14:paraId="1411C784" w14:textId="77777777" w:rsidR="00DA1357" w:rsidRPr="003874AC" w:rsidRDefault="00DA1357" w:rsidP="00471458">
            <w:pPr>
              <w:pStyle w:val="NoSpacing"/>
              <w:jc w:val="center"/>
              <w:rPr>
                <w:rFonts w:ascii="Times New Roman" w:hAnsi="Times New Roman" w:cs="Times New Roman"/>
                <w:sz w:val="20"/>
                <w:szCs w:val="20"/>
              </w:rPr>
            </w:pPr>
            <w:r w:rsidRPr="003874AC">
              <w:rPr>
                <w:rFonts w:ascii="Times New Roman" w:hAnsi="Times New Roman" w:cs="Times New Roman"/>
                <w:sz w:val="20"/>
                <w:szCs w:val="20"/>
              </w:rPr>
              <w:t>..</w:t>
            </w:r>
          </w:p>
        </w:tc>
        <w:tc>
          <w:tcPr>
            <w:tcW w:w="0" w:type="auto"/>
            <w:vAlign w:val="center"/>
            <w:hideMark/>
          </w:tcPr>
          <w:p w14:paraId="091FD7D1" w14:textId="77777777" w:rsidR="00DA1357" w:rsidRPr="003874AC" w:rsidRDefault="00DA1357" w:rsidP="00471458">
            <w:pPr>
              <w:pStyle w:val="NoSpacing"/>
              <w:jc w:val="center"/>
              <w:rPr>
                <w:rFonts w:ascii="Times New Roman" w:hAnsi="Times New Roman" w:cs="Times New Roman"/>
                <w:sz w:val="20"/>
                <w:szCs w:val="20"/>
              </w:rPr>
            </w:pPr>
            <w:r w:rsidRPr="003874AC">
              <w:rPr>
                <w:rFonts w:ascii="Times New Roman" w:hAnsi="Times New Roman" w:cs="Times New Roman"/>
                <w:sz w:val="20"/>
                <w:szCs w:val="20"/>
              </w:rPr>
              <w:t>..</w:t>
            </w:r>
          </w:p>
        </w:tc>
        <w:tc>
          <w:tcPr>
            <w:tcW w:w="0" w:type="auto"/>
            <w:vAlign w:val="center"/>
            <w:hideMark/>
          </w:tcPr>
          <w:p w14:paraId="25A71DA2" w14:textId="77777777" w:rsidR="00DA1357" w:rsidRPr="003874AC" w:rsidRDefault="00DA1357" w:rsidP="00471458">
            <w:pPr>
              <w:pStyle w:val="NoSpacing"/>
              <w:jc w:val="center"/>
              <w:rPr>
                <w:rFonts w:ascii="Times New Roman" w:hAnsi="Times New Roman" w:cs="Times New Roman"/>
                <w:sz w:val="20"/>
                <w:szCs w:val="20"/>
              </w:rPr>
            </w:pPr>
            <w:r w:rsidRPr="003874AC">
              <w:rPr>
                <w:rFonts w:ascii="Times New Roman" w:hAnsi="Times New Roman" w:cs="Times New Roman"/>
                <w:sz w:val="20"/>
                <w:szCs w:val="20"/>
              </w:rPr>
              <w:t>..</w:t>
            </w:r>
          </w:p>
        </w:tc>
        <w:tc>
          <w:tcPr>
            <w:tcW w:w="0" w:type="auto"/>
            <w:vAlign w:val="center"/>
            <w:hideMark/>
          </w:tcPr>
          <w:p w14:paraId="172885E1" w14:textId="77777777" w:rsidR="00DA1357" w:rsidRPr="003874AC" w:rsidRDefault="00DA1357" w:rsidP="00471458">
            <w:pPr>
              <w:pStyle w:val="NoSpacing"/>
              <w:jc w:val="center"/>
              <w:rPr>
                <w:rFonts w:ascii="Times New Roman" w:hAnsi="Times New Roman" w:cs="Times New Roman"/>
                <w:sz w:val="20"/>
                <w:szCs w:val="20"/>
              </w:rPr>
            </w:pPr>
            <w:r w:rsidRPr="003874AC">
              <w:rPr>
                <w:rFonts w:ascii="Times New Roman" w:hAnsi="Times New Roman" w:cs="Times New Roman"/>
                <w:sz w:val="20"/>
                <w:szCs w:val="20"/>
              </w:rPr>
              <w:t>..</w:t>
            </w:r>
          </w:p>
        </w:tc>
        <w:tc>
          <w:tcPr>
            <w:tcW w:w="0" w:type="auto"/>
            <w:vAlign w:val="center"/>
            <w:hideMark/>
          </w:tcPr>
          <w:p w14:paraId="08A4BACB" w14:textId="77777777" w:rsidR="00DA1357" w:rsidRPr="003874AC" w:rsidRDefault="00DA1357" w:rsidP="00471458">
            <w:pPr>
              <w:pStyle w:val="NoSpacing"/>
              <w:jc w:val="center"/>
              <w:rPr>
                <w:rFonts w:ascii="Times New Roman" w:hAnsi="Times New Roman" w:cs="Times New Roman"/>
                <w:sz w:val="20"/>
                <w:szCs w:val="20"/>
              </w:rPr>
            </w:pPr>
            <w:r w:rsidRPr="003874AC">
              <w:rPr>
                <w:rFonts w:ascii="Times New Roman" w:hAnsi="Times New Roman" w:cs="Times New Roman"/>
                <w:sz w:val="20"/>
                <w:szCs w:val="20"/>
              </w:rPr>
              <w:t>..</w:t>
            </w:r>
          </w:p>
        </w:tc>
        <w:tc>
          <w:tcPr>
            <w:tcW w:w="0" w:type="auto"/>
            <w:vAlign w:val="center"/>
            <w:hideMark/>
          </w:tcPr>
          <w:p w14:paraId="329EBE1C" w14:textId="77777777" w:rsidR="00DA1357" w:rsidRPr="003874AC" w:rsidRDefault="00DA1357" w:rsidP="00471458">
            <w:pPr>
              <w:pStyle w:val="NoSpacing"/>
              <w:jc w:val="center"/>
              <w:rPr>
                <w:rFonts w:ascii="Times New Roman" w:hAnsi="Times New Roman" w:cs="Times New Roman"/>
                <w:sz w:val="20"/>
                <w:szCs w:val="20"/>
              </w:rPr>
            </w:pPr>
            <w:r w:rsidRPr="003874AC">
              <w:rPr>
                <w:rFonts w:ascii="Times New Roman" w:hAnsi="Times New Roman" w:cs="Times New Roman"/>
                <w:sz w:val="20"/>
                <w:szCs w:val="20"/>
              </w:rPr>
              <w:t>..</w:t>
            </w:r>
          </w:p>
        </w:tc>
        <w:tc>
          <w:tcPr>
            <w:tcW w:w="0" w:type="auto"/>
            <w:vAlign w:val="center"/>
            <w:hideMark/>
          </w:tcPr>
          <w:p w14:paraId="0EF01323" w14:textId="77777777" w:rsidR="00DA1357" w:rsidRPr="003874AC" w:rsidRDefault="00DA1357" w:rsidP="00471458">
            <w:pPr>
              <w:pStyle w:val="NoSpacing"/>
              <w:jc w:val="center"/>
              <w:rPr>
                <w:rFonts w:ascii="Times New Roman" w:hAnsi="Times New Roman" w:cs="Times New Roman"/>
                <w:sz w:val="20"/>
                <w:szCs w:val="20"/>
              </w:rPr>
            </w:pPr>
            <w:r w:rsidRPr="003874AC">
              <w:rPr>
                <w:rFonts w:ascii="Times New Roman" w:hAnsi="Times New Roman" w:cs="Times New Roman"/>
                <w:sz w:val="20"/>
                <w:szCs w:val="20"/>
              </w:rPr>
              <w:t>..</w:t>
            </w:r>
          </w:p>
        </w:tc>
        <w:tc>
          <w:tcPr>
            <w:tcW w:w="0" w:type="auto"/>
            <w:vAlign w:val="center"/>
            <w:hideMark/>
          </w:tcPr>
          <w:p w14:paraId="2B1AECD3" w14:textId="77777777" w:rsidR="00DA1357" w:rsidRPr="003874AC" w:rsidRDefault="00DA1357" w:rsidP="00471458">
            <w:pPr>
              <w:pStyle w:val="NoSpacing"/>
              <w:jc w:val="center"/>
              <w:rPr>
                <w:rFonts w:ascii="Times New Roman" w:hAnsi="Times New Roman" w:cs="Times New Roman"/>
                <w:sz w:val="20"/>
                <w:szCs w:val="20"/>
              </w:rPr>
            </w:pPr>
            <w:r w:rsidRPr="003874AC">
              <w:rPr>
                <w:rFonts w:ascii="Times New Roman" w:hAnsi="Times New Roman" w:cs="Times New Roman"/>
                <w:sz w:val="20"/>
                <w:szCs w:val="20"/>
              </w:rPr>
              <w:t>..</w:t>
            </w:r>
          </w:p>
        </w:tc>
      </w:tr>
      <w:tr w:rsidR="00DA1357" w:rsidRPr="003874AC" w14:paraId="6A08CB21" w14:textId="77777777" w:rsidTr="00471458">
        <w:tc>
          <w:tcPr>
            <w:tcW w:w="1216" w:type="dxa"/>
            <w:hideMark/>
          </w:tcPr>
          <w:p w14:paraId="5CE1A0B3" w14:textId="77777777" w:rsidR="00DA1357" w:rsidRPr="003874AC" w:rsidRDefault="00DA1357" w:rsidP="00DA1357">
            <w:pPr>
              <w:pStyle w:val="NoSpacing"/>
              <w:rPr>
                <w:rFonts w:ascii="Times New Roman" w:hAnsi="Times New Roman" w:cs="Times New Roman"/>
                <w:sz w:val="20"/>
                <w:szCs w:val="20"/>
              </w:rPr>
            </w:pPr>
            <w:r w:rsidRPr="003874AC">
              <w:rPr>
                <w:rFonts w:ascii="Times New Roman" w:hAnsi="Times New Roman" w:cs="Times New Roman"/>
                <w:sz w:val="20"/>
                <w:szCs w:val="20"/>
              </w:rPr>
              <w:t>Nagaland</w:t>
            </w:r>
          </w:p>
        </w:tc>
        <w:tc>
          <w:tcPr>
            <w:tcW w:w="0" w:type="auto"/>
            <w:vAlign w:val="center"/>
            <w:hideMark/>
          </w:tcPr>
          <w:p w14:paraId="56DED6AE" w14:textId="77777777" w:rsidR="00DA1357" w:rsidRPr="003874AC" w:rsidRDefault="00DA1357" w:rsidP="00471458">
            <w:pPr>
              <w:pStyle w:val="NoSpacing"/>
              <w:jc w:val="center"/>
              <w:rPr>
                <w:rFonts w:ascii="Times New Roman" w:hAnsi="Times New Roman" w:cs="Times New Roman"/>
                <w:sz w:val="20"/>
                <w:szCs w:val="20"/>
              </w:rPr>
            </w:pPr>
            <w:r w:rsidRPr="003874AC">
              <w:rPr>
                <w:rFonts w:ascii="Times New Roman" w:hAnsi="Times New Roman" w:cs="Times New Roman"/>
                <w:sz w:val="20"/>
                <w:szCs w:val="20"/>
              </w:rPr>
              <w:t>..</w:t>
            </w:r>
          </w:p>
        </w:tc>
        <w:tc>
          <w:tcPr>
            <w:tcW w:w="0" w:type="auto"/>
            <w:vAlign w:val="center"/>
            <w:hideMark/>
          </w:tcPr>
          <w:p w14:paraId="3DDEC161" w14:textId="77777777" w:rsidR="00DA1357" w:rsidRPr="003874AC" w:rsidRDefault="00DA1357" w:rsidP="00471458">
            <w:pPr>
              <w:pStyle w:val="NoSpacing"/>
              <w:jc w:val="center"/>
              <w:rPr>
                <w:rFonts w:ascii="Times New Roman" w:hAnsi="Times New Roman" w:cs="Times New Roman"/>
                <w:sz w:val="20"/>
                <w:szCs w:val="20"/>
              </w:rPr>
            </w:pPr>
            <w:r w:rsidRPr="003874AC">
              <w:rPr>
                <w:rFonts w:ascii="Times New Roman" w:hAnsi="Times New Roman" w:cs="Times New Roman"/>
                <w:sz w:val="20"/>
                <w:szCs w:val="20"/>
              </w:rPr>
              <w:t>..</w:t>
            </w:r>
          </w:p>
        </w:tc>
        <w:tc>
          <w:tcPr>
            <w:tcW w:w="0" w:type="auto"/>
            <w:vAlign w:val="center"/>
            <w:hideMark/>
          </w:tcPr>
          <w:p w14:paraId="25AD7CDB" w14:textId="77777777" w:rsidR="00DA1357" w:rsidRPr="003874AC" w:rsidRDefault="00DA1357" w:rsidP="00471458">
            <w:pPr>
              <w:pStyle w:val="NoSpacing"/>
              <w:jc w:val="center"/>
              <w:rPr>
                <w:rFonts w:ascii="Times New Roman" w:hAnsi="Times New Roman" w:cs="Times New Roman"/>
                <w:sz w:val="20"/>
                <w:szCs w:val="20"/>
              </w:rPr>
            </w:pPr>
            <w:r w:rsidRPr="003874AC">
              <w:rPr>
                <w:rFonts w:ascii="Times New Roman" w:hAnsi="Times New Roman" w:cs="Times New Roman"/>
                <w:sz w:val="20"/>
                <w:szCs w:val="20"/>
              </w:rPr>
              <w:t>..</w:t>
            </w:r>
          </w:p>
        </w:tc>
        <w:tc>
          <w:tcPr>
            <w:tcW w:w="0" w:type="auto"/>
            <w:vAlign w:val="center"/>
            <w:hideMark/>
          </w:tcPr>
          <w:p w14:paraId="0B9BB681" w14:textId="77777777" w:rsidR="00DA1357" w:rsidRPr="003874AC" w:rsidRDefault="00DA1357" w:rsidP="00471458">
            <w:pPr>
              <w:pStyle w:val="NoSpacing"/>
              <w:jc w:val="center"/>
              <w:rPr>
                <w:rFonts w:ascii="Times New Roman" w:hAnsi="Times New Roman" w:cs="Times New Roman"/>
                <w:sz w:val="20"/>
                <w:szCs w:val="20"/>
              </w:rPr>
            </w:pPr>
            <w:r w:rsidRPr="003874AC">
              <w:rPr>
                <w:rFonts w:ascii="Times New Roman" w:hAnsi="Times New Roman" w:cs="Times New Roman"/>
                <w:sz w:val="20"/>
                <w:szCs w:val="20"/>
              </w:rPr>
              <w:t>..</w:t>
            </w:r>
          </w:p>
        </w:tc>
        <w:tc>
          <w:tcPr>
            <w:tcW w:w="0" w:type="auto"/>
            <w:vAlign w:val="center"/>
            <w:hideMark/>
          </w:tcPr>
          <w:p w14:paraId="6FB51747" w14:textId="77777777" w:rsidR="00DA1357" w:rsidRPr="003874AC" w:rsidRDefault="00DA1357" w:rsidP="00471458">
            <w:pPr>
              <w:pStyle w:val="NoSpacing"/>
              <w:jc w:val="center"/>
              <w:rPr>
                <w:rFonts w:ascii="Times New Roman" w:hAnsi="Times New Roman" w:cs="Times New Roman"/>
                <w:sz w:val="20"/>
                <w:szCs w:val="20"/>
              </w:rPr>
            </w:pPr>
            <w:r w:rsidRPr="003874AC">
              <w:rPr>
                <w:rFonts w:ascii="Times New Roman" w:hAnsi="Times New Roman" w:cs="Times New Roman"/>
                <w:sz w:val="20"/>
                <w:szCs w:val="20"/>
              </w:rPr>
              <w:t>..</w:t>
            </w:r>
          </w:p>
        </w:tc>
        <w:tc>
          <w:tcPr>
            <w:tcW w:w="0" w:type="auto"/>
            <w:vAlign w:val="center"/>
            <w:hideMark/>
          </w:tcPr>
          <w:p w14:paraId="114AE346" w14:textId="77777777" w:rsidR="00DA1357" w:rsidRPr="003874AC" w:rsidRDefault="00DA1357" w:rsidP="00471458">
            <w:pPr>
              <w:pStyle w:val="NoSpacing"/>
              <w:jc w:val="center"/>
              <w:rPr>
                <w:rFonts w:ascii="Times New Roman" w:hAnsi="Times New Roman" w:cs="Times New Roman"/>
                <w:sz w:val="20"/>
                <w:szCs w:val="20"/>
              </w:rPr>
            </w:pPr>
            <w:r w:rsidRPr="003874AC">
              <w:rPr>
                <w:rFonts w:ascii="Times New Roman" w:hAnsi="Times New Roman" w:cs="Times New Roman"/>
                <w:sz w:val="20"/>
                <w:szCs w:val="20"/>
              </w:rPr>
              <w:t>..</w:t>
            </w:r>
          </w:p>
        </w:tc>
        <w:tc>
          <w:tcPr>
            <w:tcW w:w="0" w:type="auto"/>
            <w:vAlign w:val="center"/>
            <w:hideMark/>
          </w:tcPr>
          <w:p w14:paraId="00FDBE3D" w14:textId="77777777" w:rsidR="00DA1357" w:rsidRPr="003874AC" w:rsidRDefault="00DA1357" w:rsidP="00471458">
            <w:pPr>
              <w:pStyle w:val="NoSpacing"/>
              <w:jc w:val="center"/>
              <w:rPr>
                <w:rFonts w:ascii="Times New Roman" w:hAnsi="Times New Roman" w:cs="Times New Roman"/>
                <w:sz w:val="20"/>
                <w:szCs w:val="20"/>
              </w:rPr>
            </w:pPr>
            <w:r w:rsidRPr="003874AC">
              <w:rPr>
                <w:rFonts w:ascii="Times New Roman" w:hAnsi="Times New Roman" w:cs="Times New Roman"/>
                <w:sz w:val="20"/>
                <w:szCs w:val="20"/>
              </w:rPr>
              <w:t>..</w:t>
            </w:r>
          </w:p>
        </w:tc>
        <w:tc>
          <w:tcPr>
            <w:tcW w:w="0" w:type="auto"/>
            <w:vAlign w:val="center"/>
            <w:hideMark/>
          </w:tcPr>
          <w:p w14:paraId="2177DA6B" w14:textId="77777777" w:rsidR="00DA1357" w:rsidRPr="003874AC" w:rsidRDefault="00DA1357" w:rsidP="00471458">
            <w:pPr>
              <w:pStyle w:val="NoSpacing"/>
              <w:jc w:val="center"/>
              <w:rPr>
                <w:rFonts w:ascii="Times New Roman" w:hAnsi="Times New Roman" w:cs="Times New Roman"/>
                <w:sz w:val="20"/>
                <w:szCs w:val="20"/>
              </w:rPr>
            </w:pPr>
            <w:r w:rsidRPr="003874AC">
              <w:rPr>
                <w:rFonts w:ascii="Times New Roman" w:hAnsi="Times New Roman" w:cs="Times New Roman"/>
                <w:sz w:val="20"/>
                <w:szCs w:val="20"/>
              </w:rPr>
              <w:t>..</w:t>
            </w:r>
          </w:p>
        </w:tc>
        <w:tc>
          <w:tcPr>
            <w:tcW w:w="0" w:type="auto"/>
            <w:vAlign w:val="center"/>
            <w:hideMark/>
          </w:tcPr>
          <w:p w14:paraId="0E02ED74" w14:textId="77777777" w:rsidR="00DA1357" w:rsidRPr="003874AC" w:rsidRDefault="00DA1357" w:rsidP="00471458">
            <w:pPr>
              <w:pStyle w:val="NoSpacing"/>
              <w:jc w:val="center"/>
              <w:rPr>
                <w:rFonts w:ascii="Times New Roman" w:hAnsi="Times New Roman" w:cs="Times New Roman"/>
                <w:sz w:val="20"/>
                <w:szCs w:val="20"/>
              </w:rPr>
            </w:pPr>
            <w:r w:rsidRPr="003874AC">
              <w:rPr>
                <w:rFonts w:ascii="Times New Roman" w:hAnsi="Times New Roman" w:cs="Times New Roman"/>
                <w:sz w:val="20"/>
                <w:szCs w:val="20"/>
              </w:rPr>
              <w:t>..</w:t>
            </w:r>
          </w:p>
        </w:tc>
        <w:tc>
          <w:tcPr>
            <w:tcW w:w="0" w:type="auto"/>
            <w:vAlign w:val="center"/>
            <w:hideMark/>
          </w:tcPr>
          <w:p w14:paraId="215C2B0F" w14:textId="77777777" w:rsidR="00DA1357" w:rsidRPr="003874AC" w:rsidRDefault="00DA1357" w:rsidP="00471458">
            <w:pPr>
              <w:pStyle w:val="NoSpacing"/>
              <w:jc w:val="center"/>
              <w:rPr>
                <w:rFonts w:ascii="Times New Roman" w:hAnsi="Times New Roman" w:cs="Times New Roman"/>
                <w:sz w:val="20"/>
                <w:szCs w:val="20"/>
              </w:rPr>
            </w:pPr>
            <w:r w:rsidRPr="003874AC">
              <w:rPr>
                <w:rFonts w:ascii="Times New Roman" w:hAnsi="Times New Roman" w:cs="Times New Roman"/>
                <w:sz w:val="20"/>
                <w:szCs w:val="20"/>
              </w:rPr>
              <w:t>..</w:t>
            </w:r>
          </w:p>
        </w:tc>
        <w:tc>
          <w:tcPr>
            <w:tcW w:w="0" w:type="auto"/>
            <w:vAlign w:val="center"/>
            <w:hideMark/>
          </w:tcPr>
          <w:p w14:paraId="67ECAB36" w14:textId="77777777" w:rsidR="00DA1357" w:rsidRPr="003874AC" w:rsidRDefault="00DA1357" w:rsidP="00471458">
            <w:pPr>
              <w:pStyle w:val="NoSpacing"/>
              <w:jc w:val="center"/>
              <w:rPr>
                <w:rFonts w:ascii="Times New Roman" w:hAnsi="Times New Roman" w:cs="Times New Roman"/>
                <w:sz w:val="20"/>
                <w:szCs w:val="20"/>
              </w:rPr>
            </w:pPr>
            <w:r w:rsidRPr="003874AC">
              <w:rPr>
                <w:rFonts w:ascii="Times New Roman" w:hAnsi="Times New Roman" w:cs="Times New Roman"/>
                <w:sz w:val="20"/>
                <w:szCs w:val="20"/>
              </w:rPr>
              <w:t>..</w:t>
            </w:r>
          </w:p>
        </w:tc>
        <w:tc>
          <w:tcPr>
            <w:tcW w:w="0" w:type="auto"/>
            <w:vAlign w:val="center"/>
            <w:hideMark/>
          </w:tcPr>
          <w:p w14:paraId="7D71271E" w14:textId="77777777" w:rsidR="00DA1357" w:rsidRPr="003874AC" w:rsidRDefault="00DA1357" w:rsidP="00471458">
            <w:pPr>
              <w:pStyle w:val="NoSpacing"/>
              <w:jc w:val="center"/>
              <w:rPr>
                <w:rFonts w:ascii="Times New Roman" w:hAnsi="Times New Roman" w:cs="Times New Roman"/>
                <w:sz w:val="20"/>
                <w:szCs w:val="20"/>
              </w:rPr>
            </w:pPr>
            <w:r w:rsidRPr="003874AC">
              <w:rPr>
                <w:rFonts w:ascii="Times New Roman" w:hAnsi="Times New Roman" w:cs="Times New Roman"/>
                <w:sz w:val="20"/>
                <w:szCs w:val="20"/>
              </w:rPr>
              <w:t>..</w:t>
            </w:r>
          </w:p>
        </w:tc>
        <w:tc>
          <w:tcPr>
            <w:tcW w:w="0" w:type="auto"/>
            <w:vAlign w:val="center"/>
            <w:hideMark/>
          </w:tcPr>
          <w:p w14:paraId="78F6B304" w14:textId="77777777" w:rsidR="00DA1357" w:rsidRPr="003874AC" w:rsidRDefault="00DA1357" w:rsidP="00471458">
            <w:pPr>
              <w:pStyle w:val="NoSpacing"/>
              <w:jc w:val="center"/>
              <w:rPr>
                <w:rFonts w:ascii="Times New Roman" w:hAnsi="Times New Roman" w:cs="Times New Roman"/>
                <w:sz w:val="20"/>
                <w:szCs w:val="20"/>
              </w:rPr>
            </w:pPr>
            <w:r w:rsidRPr="003874AC">
              <w:rPr>
                <w:rFonts w:ascii="Times New Roman" w:hAnsi="Times New Roman" w:cs="Times New Roman"/>
                <w:sz w:val="20"/>
                <w:szCs w:val="20"/>
              </w:rPr>
              <w:t>..</w:t>
            </w:r>
          </w:p>
        </w:tc>
        <w:tc>
          <w:tcPr>
            <w:tcW w:w="0" w:type="auto"/>
            <w:vAlign w:val="center"/>
            <w:hideMark/>
          </w:tcPr>
          <w:p w14:paraId="2B3E89E1" w14:textId="77777777" w:rsidR="00DA1357" w:rsidRPr="003874AC" w:rsidRDefault="00DA1357" w:rsidP="00471458">
            <w:pPr>
              <w:pStyle w:val="NoSpacing"/>
              <w:jc w:val="center"/>
              <w:rPr>
                <w:rFonts w:ascii="Times New Roman" w:hAnsi="Times New Roman" w:cs="Times New Roman"/>
                <w:sz w:val="20"/>
                <w:szCs w:val="20"/>
              </w:rPr>
            </w:pPr>
            <w:r w:rsidRPr="003874AC">
              <w:rPr>
                <w:rFonts w:ascii="Times New Roman" w:hAnsi="Times New Roman" w:cs="Times New Roman"/>
                <w:sz w:val="20"/>
                <w:szCs w:val="20"/>
              </w:rPr>
              <w:t>..</w:t>
            </w:r>
          </w:p>
        </w:tc>
        <w:tc>
          <w:tcPr>
            <w:tcW w:w="0" w:type="auto"/>
            <w:vAlign w:val="center"/>
            <w:hideMark/>
          </w:tcPr>
          <w:p w14:paraId="193C4619" w14:textId="77777777" w:rsidR="00DA1357" w:rsidRPr="003874AC" w:rsidRDefault="00DA1357" w:rsidP="00471458">
            <w:pPr>
              <w:pStyle w:val="NoSpacing"/>
              <w:jc w:val="center"/>
              <w:rPr>
                <w:rFonts w:ascii="Times New Roman" w:hAnsi="Times New Roman" w:cs="Times New Roman"/>
                <w:sz w:val="20"/>
                <w:szCs w:val="20"/>
              </w:rPr>
            </w:pPr>
            <w:r w:rsidRPr="003874AC">
              <w:rPr>
                <w:rFonts w:ascii="Times New Roman" w:hAnsi="Times New Roman" w:cs="Times New Roman"/>
                <w:sz w:val="20"/>
                <w:szCs w:val="20"/>
              </w:rPr>
              <w:t>..</w:t>
            </w:r>
          </w:p>
        </w:tc>
        <w:tc>
          <w:tcPr>
            <w:tcW w:w="0" w:type="auto"/>
            <w:vAlign w:val="center"/>
            <w:hideMark/>
          </w:tcPr>
          <w:p w14:paraId="3859D9E4" w14:textId="77777777" w:rsidR="00DA1357" w:rsidRPr="003874AC" w:rsidRDefault="00DA1357" w:rsidP="00471458">
            <w:pPr>
              <w:pStyle w:val="NoSpacing"/>
              <w:jc w:val="center"/>
              <w:rPr>
                <w:rFonts w:ascii="Times New Roman" w:hAnsi="Times New Roman" w:cs="Times New Roman"/>
                <w:sz w:val="20"/>
                <w:szCs w:val="20"/>
              </w:rPr>
            </w:pPr>
            <w:r w:rsidRPr="003874AC">
              <w:rPr>
                <w:rFonts w:ascii="Times New Roman" w:hAnsi="Times New Roman" w:cs="Times New Roman"/>
                <w:sz w:val="20"/>
                <w:szCs w:val="20"/>
              </w:rPr>
              <w:t>..</w:t>
            </w:r>
          </w:p>
        </w:tc>
      </w:tr>
      <w:tr w:rsidR="00DA1357" w:rsidRPr="003874AC" w14:paraId="681B54B6" w14:textId="77777777" w:rsidTr="00471458">
        <w:tc>
          <w:tcPr>
            <w:tcW w:w="1216" w:type="dxa"/>
            <w:hideMark/>
          </w:tcPr>
          <w:p w14:paraId="6E659FE1" w14:textId="77777777" w:rsidR="00DA1357" w:rsidRPr="003874AC" w:rsidRDefault="00DA1357" w:rsidP="00DA1357">
            <w:pPr>
              <w:pStyle w:val="NoSpacing"/>
              <w:rPr>
                <w:rFonts w:ascii="Times New Roman" w:hAnsi="Times New Roman" w:cs="Times New Roman"/>
                <w:sz w:val="20"/>
                <w:szCs w:val="20"/>
              </w:rPr>
            </w:pPr>
            <w:r w:rsidRPr="003874AC">
              <w:rPr>
                <w:rFonts w:ascii="Times New Roman" w:hAnsi="Times New Roman" w:cs="Times New Roman"/>
                <w:sz w:val="20"/>
                <w:szCs w:val="20"/>
              </w:rPr>
              <w:t>Orissa</w:t>
            </w:r>
          </w:p>
        </w:tc>
        <w:tc>
          <w:tcPr>
            <w:tcW w:w="0" w:type="auto"/>
            <w:vAlign w:val="center"/>
            <w:hideMark/>
          </w:tcPr>
          <w:p w14:paraId="4BB37459" w14:textId="77777777" w:rsidR="00DA1357" w:rsidRPr="003874AC" w:rsidRDefault="00DA1357" w:rsidP="00471458">
            <w:pPr>
              <w:pStyle w:val="NoSpacing"/>
              <w:jc w:val="center"/>
              <w:rPr>
                <w:rFonts w:ascii="Times New Roman" w:hAnsi="Times New Roman" w:cs="Times New Roman"/>
                <w:sz w:val="20"/>
                <w:szCs w:val="20"/>
              </w:rPr>
            </w:pPr>
            <w:r w:rsidRPr="003874AC">
              <w:rPr>
                <w:rFonts w:ascii="Times New Roman" w:hAnsi="Times New Roman" w:cs="Times New Roman"/>
                <w:sz w:val="20"/>
                <w:szCs w:val="20"/>
              </w:rPr>
              <w:t>2.37</w:t>
            </w:r>
          </w:p>
        </w:tc>
        <w:tc>
          <w:tcPr>
            <w:tcW w:w="0" w:type="auto"/>
            <w:vAlign w:val="center"/>
            <w:hideMark/>
          </w:tcPr>
          <w:p w14:paraId="3E834CAE" w14:textId="77777777" w:rsidR="00DA1357" w:rsidRPr="003874AC" w:rsidRDefault="00DA1357" w:rsidP="00471458">
            <w:pPr>
              <w:pStyle w:val="NoSpacing"/>
              <w:jc w:val="center"/>
              <w:rPr>
                <w:rFonts w:ascii="Times New Roman" w:hAnsi="Times New Roman" w:cs="Times New Roman"/>
                <w:sz w:val="20"/>
                <w:szCs w:val="20"/>
              </w:rPr>
            </w:pPr>
            <w:r w:rsidRPr="003874AC">
              <w:rPr>
                <w:rFonts w:ascii="Times New Roman" w:hAnsi="Times New Roman" w:cs="Times New Roman"/>
                <w:sz w:val="20"/>
                <w:szCs w:val="20"/>
              </w:rPr>
              <w:t>1.01</w:t>
            </w:r>
          </w:p>
        </w:tc>
        <w:tc>
          <w:tcPr>
            <w:tcW w:w="0" w:type="auto"/>
            <w:vAlign w:val="center"/>
            <w:hideMark/>
          </w:tcPr>
          <w:p w14:paraId="4E217A97" w14:textId="77777777" w:rsidR="00DA1357" w:rsidRPr="003874AC" w:rsidRDefault="00DA1357" w:rsidP="00471458">
            <w:pPr>
              <w:pStyle w:val="NoSpacing"/>
              <w:jc w:val="center"/>
              <w:rPr>
                <w:rFonts w:ascii="Times New Roman" w:hAnsi="Times New Roman" w:cs="Times New Roman"/>
                <w:sz w:val="20"/>
                <w:szCs w:val="20"/>
              </w:rPr>
            </w:pPr>
            <w:r w:rsidRPr="003874AC">
              <w:rPr>
                <w:rFonts w:ascii="Times New Roman" w:hAnsi="Times New Roman" w:cs="Times New Roman"/>
                <w:sz w:val="20"/>
                <w:szCs w:val="20"/>
              </w:rPr>
              <w:t>5.13</w:t>
            </w:r>
          </w:p>
        </w:tc>
        <w:tc>
          <w:tcPr>
            <w:tcW w:w="0" w:type="auto"/>
            <w:vAlign w:val="center"/>
            <w:hideMark/>
          </w:tcPr>
          <w:p w14:paraId="7568C25A" w14:textId="77777777" w:rsidR="00DA1357" w:rsidRPr="003874AC" w:rsidRDefault="00DA1357" w:rsidP="00471458">
            <w:pPr>
              <w:pStyle w:val="NoSpacing"/>
              <w:jc w:val="center"/>
              <w:rPr>
                <w:rFonts w:ascii="Times New Roman" w:hAnsi="Times New Roman" w:cs="Times New Roman"/>
                <w:sz w:val="20"/>
                <w:szCs w:val="20"/>
              </w:rPr>
            </w:pPr>
            <w:r w:rsidRPr="003874AC">
              <w:rPr>
                <w:rFonts w:ascii="Times New Roman" w:hAnsi="Times New Roman" w:cs="Times New Roman"/>
                <w:sz w:val="20"/>
                <w:szCs w:val="20"/>
              </w:rPr>
              <w:t>-3.77</w:t>
            </w:r>
          </w:p>
        </w:tc>
        <w:tc>
          <w:tcPr>
            <w:tcW w:w="0" w:type="auto"/>
            <w:vAlign w:val="center"/>
            <w:hideMark/>
          </w:tcPr>
          <w:p w14:paraId="4EF4EC2F" w14:textId="77777777" w:rsidR="00DA1357" w:rsidRPr="003874AC" w:rsidRDefault="00DA1357" w:rsidP="00471458">
            <w:pPr>
              <w:pStyle w:val="NoSpacing"/>
              <w:jc w:val="center"/>
              <w:rPr>
                <w:rFonts w:ascii="Times New Roman" w:hAnsi="Times New Roman" w:cs="Times New Roman"/>
                <w:sz w:val="20"/>
                <w:szCs w:val="20"/>
              </w:rPr>
            </w:pPr>
            <w:r w:rsidRPr="003874AC">
              <w:rPr>
                <w:rFonts w:ascii="Times New Roman" w:hAnsi="Times New Roman" w:cs="Times New Roman"/>
                <w:sz w:val="20"/>
                <w:szCs w:val="20"/>
              </w:rPr>
              <w:t>1.55</w:t>
            </w:r>
          </w:p>
        </w:tc>
        <w:tc>
          <w:tcPr>
            <w:tcW w:w="0" w:type="auto"/>
            <w:vAlign w:val="center"/>
            <w:hideMark/>
          </w:tcPr>
          <w:p w14:paraId="251599B9" w14:textId="77777777" w:rsidR="00DA1357" w:rsidRPr="003874AC" w:rsidRDefault="00DA1357" w:rsidP="00471458">
            <w:pPr>
              <w:pStyle w:val="NoSpacing"/>
              <w:jc w:val="center"/>
              <w:rPr>
                <w:rFonts w:ascii="Times New Roman" w:hAnsi="Times New Roman" w:cs="Times New Roman"/>
                <w:sz w:val="20"/>
                <w:szCs w:val="20"/>
              </w:rPr>
            </w:pPr>
            <w:r w:rsidRPr="003874AC">
              <w:rPr>
                <w:rFonts w:ascii="Times New Roman" w:hAnsi="Times New Roman" w:cs="Times New Roman"/>
                <w:sz w:val="20"/>
                <w:szCs w:val="20"/>
              </w:rPr>
              <w:t>0.89</w:t>
            </w:r>
          </w:p>
        </w:tc>
        <w:tc>
          <w:tcPr>
            <w:tcW w:w="0" w:type="auto"/>
            <w:vAlign w:val="center"/>
            <w:hideMark/>
          </w:tcPr>
          <w:p w14:paraId="48B70F18" w14:textId="77777777" w:rsidR="00DA1357" w:rsidRPr="003874AC" w:rsidRDefault="00DA1357" w:rsidP="00471458">
            <w:pPr>
              <w:pStyle w:val="NoSpacing"/>
              <w:jc w:val="center"/>
              <w:rPr>
                <w:rFonts w:ascii="Times New Roman" w:hAnsi="Times New Roman" w:cs="Times New Roman"/>
                <w:sz w:val="20"/>
                <w:szCs w:val="20"/>
              </w:rPr>
            </w:pPr>
            <w:r w:rsidRPr="003874AC">
              <w:rPr>
                <w:rFonts w:ascii="Times New Roman" w:hAnsi="Times New Roman" w:cs="Times New Roman"/>
                <w:sz w:val="20"/>
                <w:szCs w:val="20"/>
              </w:rPr>
              <w:t>3.99</w:t>
            </w:r>
          </w:p>
        </w:tc>
        <w:tc>
          <w:tcPr>
            <w:tcW w:w="0" w:type="auto"/>
            <w:vAlign w:val="center"/>
            <w:hideMark/>
          </w:tcPr>
          <w:p w14:paraId="31CAF119" w14:textId="77777777" w:rsidR="00DA1357" w:rsidRPr="003874AC" w:rsidRDefault="00DA1357" w:rsidP="00471458">
            <w:pPr>
              <w:pStyle w:val="NoSpacing"/>
              <w:jc w:val="center"/>
              <w:rPr>
                <w:rFonts w:ascii="Times New Roman" w:hAnsi="Times New Roman" w:cs="Times New Roman"/>
                <w:sz w:val="20"/>
                <w:szCs w:val="20"/>
              </w:rPr>
            </w:pPr>
            <w:r w:rsidRPr="003874AC">
              <w:rPr>
                <w:rFonts w:ascii="Times New Roman" w:hAnsi="Times New Roman" w:cs="Times New Roman"/>
                <w:sz w:val="20"/>
                <w:szCs w:val="20"/>
              </w:rPr>
              <w:t>-3.33</w:t>
            </w:r>
          </w:p>
        </w:tc>
        <w:tc>
          <w:tcPr>
            <w:tcW w:w="0" w:type="auto"/>
            <w:vAlign w:val="center"/>
            <w:hideMark/>
          </w:tcPr>
          <w:p w14:paraId="51901CB4" w14:textId="77777777" w:rsidR="00DA1357" w:rsidRPr="003874AC" w:rsidRDefault="00DA1357" w:rsidP="00471458">
            <w:pPr>
              <w:pStyle w:val="NoSpacing"/>
              <w:jc w:val="center"/>
              <w:rPr>
                <w:rFonts w:ascii="Times New Roman" w:hAnsi="Times New Roman" w:cs="Times New Roman"/>
                <w:sz w:val="20"/>
                <w:szCs w:val="20"/>
              </w:rPr>
            </w:pPr>
            <w:r w:rsidRPr="003874AC">
              <w:rPr>
                <w:rFonts w:ascii="Times New Roman" w:hAnsi="Times New Roman" w:cs="Times New Roman"/>
                <w:sz w:val="20"/>
                <w:szCs w:val="20"/>
              </w:rPr>
              <w:t>1.30</w:t>
            </w:r>
          </w:p>
        </w:tc>
        <w:tc>
          <w:tcPr>
            <w:tcW w:w="0" w:type="auto"/>
            <w:vAlign w:val="center"/>
            <w:hideMark/>
          </w:tcPr>
          <w:p w14:paraId="20AA1051" w14:textId="77777777" w:rsidR="00DA1357" w:rsidRPr="003874AC" w:rsidRDefault="00DA1357" w:rsidP="00471458">
            <w:pPr>
              <w:pStyle w:val="NoSpacing"/>
              <w:jc w:val="center"/>
              <w:rPr>
                <w:rFonts w:ascii="Times New Roman" w:hAnsi="Times New Roman" w:cs="Times New Roman"/>
                <w:sz w:val="20"/>
                <w:szCs w:val="20"/>
              </w:rPr>
            </w:pPr>
            <w:r w:rsidRPr="003874AC">
              <w:rPr>
                <w:rFonts w:ascii="Times New Roman" w:hAnsi="Times New Roman" w:cs="Times New Roman"/>
                <w:sz w:val="20"/>
                <w:szCs w:val="20"/>
              </w:rPr>
              <w:t>1.03</w:t>
            </w:r>
          </w:p>
        </w:tc>
        <w:tc>
          <w:tcPr>
            <w:tcW w:w="0" w:type="auto"/>
            <w:vAlign w:val="center"/>
            <w:hideMark/>
          </w:tcPr>
          <w:p w14:paraId="3740AE9F" w14:textId="77777777" w:rsidR="00DA1357" w:rsidRPr="003874AC" w:rsidRDefault="00DA1357" w:rsidP="00471458">
            <w:pPr>
              <w:pStyle w:val="NoSpacing"/>
              <w:jc w:val="center"/>
              <w:rPr>
                <w:rFonts w:ascii="Times New Roman" w:hAnsi="Times New Roman" w:cs="Times New Roman"/>
                <w:sz w:val="20"/>
                <w:szCs w:val="20"/>
              </w:rPr>
            </w:pPr>
            <w:r w:rsidRPr="003874AC">
              <w:rPr>
                <w:rFonts w:ascii="Times New Roman" w:hAnsi="Times New Roman" w:cs="Times New Roman"/>
                <w:sz w:val="20"/>
                <w:szCs w:val="20"/>
              </w:rPr>
              <w:t>4.31</w:t>
            </w:r>
          </w:p>
        </w:tc>
        <w:tc>
          <w:tcPr>
            <w:tcW w:w="0" w:type="auto"/>
            <w:vAlign w:val="center"/>
            <w:hideMark/>
          </w:tcPr>
          <w:p w14:paraId="4777D045" w14:textId="77777777" w:rsidR="00DA1357" w:rsidRPr="003874AC" w:rsidRDefault="00DA1357" w:rsidP="00471458">
            <w:pPr>
              <w:pStyle w:val="NoSpacing"/>
              <w:jc w:val="center"/>
              <w:rPr>
                <w:rFonts w:ascii="Times New Roman" w:hAnsi="Times New Roman" w:cs="Times New Roman"/>
                <w:sz w:val="20"/>
                <w:szCs w:val="20"/>
              </w:rPr>
            </w:pPr>
            <w:r w:rsidRPr="003874AC">
              <w:rPr>
                <w:rFonts w:ascii="Times New Roman" w:hAnsi="Times New Roman" w:cs="Times New Roman"/>
                <w:sz w:val="20"/>
                <w:szCs w:val="20"/>
              </w:rPr>
              <w:t>-4.04</w:t>
            </w:r>
          </w:p>
        </w:tc>
        <w:tc>
          <w:tcPr>
            <w:tcW w:w="0" w:type="auto"/>
            <w:vAlign w:val="center"/>
            <w:hideMark/>
          </w:tcPr>
          <w:p w14:paraId="5A7DBDFB" w14:textId="77777777" w:rsidR="00DA1357" w:rsidRPr="003874AC" w:rsidRDefault="00DA1357" w:rsidP="00471458">
            <w:pPr>
              <w:pStyle w:val="NoSpacing"/>
              <w:jc w:val="center"/>
              <w:rPr>
                <w:rFonts w:ascii="Times New Roman" w:hAnsi="Times New Roman" w:cs="Times New Roman"/>
                <w:sz w:val="20"/>
                <w:szCs w:val="20"/>
              </w:rPr>
            </w:pPr>
            <w:r w:rsidRPr="003874AC">
              <w:rPr>
                <w:rFonts w:ascii="Times New Roman" w:hAnsi="Times New Roman" w:cs="Times New Roman"/>
                <w:sz w:val="20"/>
                <w:szCs w:val="20"/>
              </w:rPr>
              <w:t>2.37</w:t>
            </w:r>
          </w:p>
        </w:tc>
        <w:tc>
          <w:tcPr>
            <w:tcW w:w="0" w:type="auto"/>
            <w:vAlign w:val="center"/>
            <w:hideMark/>
          </w:tcPr>
          <w:p w14:paraId="24EE3B00" w14:textId="77777777" w:rsidR="00DA1357" w:rsidRPr="003874AC" w:rsidRDefault="00DA1357" w:rsidP="00471458">
            <w:pPr>
              <w:pStyle w:val="NoSpacing"/>
              <w:jc w:val="center"/>
              <w:rPr>
                <w:rFonts w:ascii="Times New Roman" w:hAnsi="Times New Roman" w:cs="Times New Roman"/>
                <w:sz w:val="20"/>
                <w:szCs w:val="20"/>
              </w:rPr>
            </w:pPr>
            <w:r w:rsidRPr="003874AC">
              <w:rPr>
                <w:rFonts w:ascii="Times New Roman" w:hAnsi="Times New Roman" w:cs="Times New Roman"/>
                <w:sz w:val="20"/>
                <w:szCs w:val="20"/>
              </w:rPr>
              <w:t>1.19</w:t>
            </w:r>
          </w:p>
        </w:tc>
        <w:tc>
          <w:tcPr>
            <w:tcW w:w="0" w:type="auto"/>
            <w:vAlign w:val="center"/>
            <w:hideMark/>
          </w:tcPr>
          <w:p w14:paraId="625A294B" w14:textId="77777777" w:rsidR="00DA1357" w:rsidRPr="003874AC" w:rsidRDefault="00DA1357" w:rsidP="00471458">
            <w:pPr>
              <w:pStyle w:val="NoSpacing"/>
              <w:jc w:val="center"/>
              <w:rPr>
                <w:rFonts w:ascii="Times New Roman" w:hAnsi="Times New Roman" w:cs="Times New Roman"/>
                <w:sz w:val="20"/>
                <w:szCs w:val="20"/>
              </w:rPr>
            </w:pPr>
            <w:r w:rsidRPr="003874AC">
              <w:rPr>
                <w:rFonts w:ascii="Times New Roman" w:hAnsi="Times New Roman" w:cs="Times New Roman"/>
                <w:sz w:val="20"/>
                <w:szCs w:val="20"/>
              </w:rPr>
              <w:t>5.04</w:t>
            </w:r>
          </w:p>
        </w:tc>
        <w:tc>
          <w:tcPr>
            <w:tcW w:w="0" w:type="auto"/>
            <w:vAlign w:val="center"/>
            <w:hideMark/>
          </w:tcPr>
          <w:p w14:paraId="37EF0839" w14:textId="77777777" w:rsidR="00DA1357" w:rsidRPr="003874AC" w:rsidRDefault="00DA1357" w:rsidP="00471458">
            <w:pPr>
              <w:pStyle w:val="NoSpacing"/>
              <w:jc w:val="center"/>
              <w:rPr>
                <w:rFonts w:ascii="Times New Roman" w:hAnsi="Times New Roman" w:cs="Times New Roman"/>
                <w:sz w:val="20"/>
                <w:szCs w:val="20"/>
              </w:rPr>
            </w:pPr>
            <w:r w:rsidRPr="003874AC">
              <w:rPr>
                <w:rFonts w:ascii="Times New Roman" w:hAnsi="Times New Roman" w:cs="Times New Roman"/>
                <w:sz w:val="20"/>
                <w:szCs w:val="20"/>
              </w:rPr>
              <w:t>-3.86</w:t>
            </w:r>
          </w:p>
        </w:tc>
      </w:tr>
      <w:tr w:rsidR="009C5B9D" w:rsidRPr="003874AC" w14:paraId="392AE46A" w14:textId="77777777" w:rsidTr="00471458">
        <w:tc>
          <w:tcPr>
            <w:tcW w:w="1216" w:type="dxa"/>
            <w:hideMark/>
          </w:tcPr>
          <w:p w14:paraId="7B8DBA6E" w14:textId="77777777" w:rsidR="009C5B9D" w:rsidRPr="003874AC" w:rsidRDefault="009C5B9D" w:rsidP="009C5B9D">
            <w:pPr>
              <w:pStyle w:val="NoSpacing"/>
              <w:rPr>
                <w:rFonts w:ascii="Times New Roman" w:hAnsi="Times New Roman" w:cs="Times New Roman"/>
                <w:sz w:val="20"/>
                <w:szCs w:val="20"/>
              </w:rPr>
            </w:pPr>
            <w:r w:rsidRPr="003874AC">
              <w:rPr>
                <w:rFonts w:ascii="Times New Roman" w:hAnsi="Times New Roman" w:cs="Times New Roman"/>
                <w:sz w:val="20"/>
                <w:szCs w:val="20"/>
              </w:rPr>
              <w:t>Punjab</w:t>
            </w:r>
          </w:p>
        </w:tc>
        <w:tc>
          <w:tcPr>
            <w:tcW w:w="0" w:type="auto"/>
            <w:vAlign w:val="center"/>
          </w:tcPr>
          <w:p w14:paraId="073618E2" w14:textId="31368CF8" w:rsidR="009C5B9D" w:rsidRPr="003874AC" w:rsidRDefault="009C5B9D" w:rsidP="00471458">
            <w:pPr>
              <w:pStyle w:val="NoSpacing"/>
              <w:jc w:val="center"/>
              <w:rPr>
                <w:rFonts w:ascii="Times New Roman" w:hAnsi="Times New Roman" w:cs="Times New Roman"/>
                <w:sz w:val="20"/>
                <w:szCs w:val="20"/>
              </w:rPr>
            </w:pPr>
          </w:p>
        </w:tc>
        <w:tc>
          <w:tcPr>
            <w:tcW w:w="0" w:type="auto"/>
            <w:vAlign w:val="center"/>
          </w:tcPr>
          <w:p w14:paraId="41654096" w14:textId="43ABCF25" w:rsidR="009C5B9D" w:rsidRPr="003874AC" w:rsidRDefault="009C5B9D" w:rsidP="00471458">
            <w:pPr>
              <w:pStyle w:val="NoSpacing"/>
              <w:jc w:val="center"/>
              <w:rPr>
                <w:rFonts w:ascii="Times New Roman" w:hAnsi="Times New Roman" w:cs="Times New Roman"/>
                <w:sz w:val="20"/>
                <w:szCs w:val="20"/>
              </w:rPr>
            </w:pPr>
          </w:p>
        </w:tc>
        <w:tc>
          <w:tcPr>
            <w:tcW w:w="0" w:type="auto"/>
            <w:vAlign w:val="center"/>
            <w:hideMark/>
          </w:tcPr>
          <w:p w14:paraId="646B93F4" w14:textId="77777777" w:rsidR="009C5B9D" w:rsidRPr="003874AC" w:rsidRDefault="009C5B9D" w:rsidP="00471458">
            <w:pPr>
              <w:pStyle w:val="NoSpacing"/>
              <w:jc w:val="center"/>
              <w:rPr>
                <w:rFonts w:ascii="Times New Roman" w:hAnsi="Times New Roman" w:cs="Times New Roman"/>
                <w:sz w:val="20"/>
                <w:szCs w:val="20"/>
              </w:rPr>
            </w:pPr>
            <w:r w:rsidRPr="003874AC">
              <w:rPr>
                <w:rFonts w:ascii="Times New Roman" w:hAnsi="Times New Roman" w:cs="Times New Roman"/>
                <w:sz w:val="20"/>
                <w:szCs w:val="20"/>
              </w:rPr>
              <w:t>N.A.</w:t>
            </w:r>
          </w:p>
        </w:tc>
        <w:tc>
          <w:tcPr>
            <w:tcW w:w="0" w:type="auto"/>
            <w:vAlign w:val="center"/>
          </w:tcPr>
          <w:p w14:paraId="0E17F333" w14:textId="38919271" w:rsidR="009C5B9D" w:rsidRPr="003874AC" w:rsidRDefault="009C5B9D" w:rsidP="00471458">
            <w:pPr>
              <w:pStyle w:val="NoSpacing"/>
              <w:jc w:val="center"/>
              <w:rPr>
                <w:rFonts w:ascii="Times New Roman" w:hAnsi="Times New Roman" w:cs="Times New Roman"/>
                <w:sz w:val="20"/>
                <w:szCs w:val="20"/>
              </w:rPr>
            </w:pPr>
          </w:p>
        </w:tc>
        <w:tc>
          <w:tcPr>
            <w:tcW w:w="0" w:type="auto"/>
            <w:vAlign w:val="center"/>
          </w:tcPr>
          <w:p w14:paraId="47D9B329" w14:textId="783C3386" w:rsidR="009C5B9D" w:rsidRPr="003874AC" w:rsidRDefault="009C5B9D" w:rsidP="00471458">
            <w:pPr>
              <w:pStyle w:val="NoSpacing"/>
              <w:jc w:val="center"/>
              <w:rPr>
                <w:rFonts w:ascii="Times New Roman" w:hAnsi="Times New Roman" w:cs="Times New Roman"/>
                <w:sz w:val="20"/>
                <w:szCs w:val="20"/>
              </w:rPr>
            </w:pPr>
          </w:p>
        </w:tc>
        <w:tc>
          <w:tcPr>
            <w:tcW w:w="0" w:type="auto"/>
            <w:vAlign w:val="center"/>
          </w:tcPr>
          <w:p w14:paraId="05BAF840" w14:textId="1CA4C592" w:rsidR="009C5B9D" w:rsidRPr="003874AC" w:rsidRDefault="009C5B9D" w:rsidP="00471458">
            <w:pPr>
              <w:pStyle w:val="NoSpacing"/>
              <w:jc w:val="center"/>
              <w:rPr>
                <w:rFonts w:ascii="Times New Roman" w:hAnsi="Times New Roman" w:cs="Times New Roman"/>
                <w:sz w:val="20"/>
                <w:szCs w:val="20"/>
              </w:rPr>
            </w:pPr>
          </w:p>
        </w:tc>
        <w:tc>
          <w:tcPr>
            <w:tcW w:w="0" w:type="auto"/>
            <w:vAlign w:val="center"/>
          </w:tcPr>
          <w:p w14:paraId="70D2663F" w14:textId="51DCBF53" w:rsidR="009C5B9D" w:rsidRPr="003874AC" w:rsidRDefault="009C5B9D" w:rsidP="00471458">
            <w:pPr>
              <w:pStyle w:val="NoSpacing"/>
              <w:jc w:val="center"/>
              <w:rPr>
                <w:rFonts w:ascii="Times New Roman" w:hAnsi="Times New Roman" w:cs="Times New Roman"/>
                <w:sz w:val="20"/>
                <w:szCs w:val="20"/>
              </w:rPr>
            </w:pPr>
          </w:p>
        </w:tc>
        <w:tc>
          <w:tcPr>
            <w:tcW w:w="0" w:type="auto"/>
            <w:vAlign w:val="center"/>
            <w:hideMark/>
          </w:tcPr>
          <w:p w14:paraId="52A9652A" w14:textId="2E59677C" w:rsidR="009C5B9D" w:rsidRPr="003874AC" w:rsidRDefault="009C5B9D" w:rsidP="00471458">
            <w:pPr>
              <w:pStyle w:val="NoSpacing"/>
              <w:jc w:val="center"/>
              <w:rPr>
                <w:rFonts w:ascii="Times New Roman" w:hAnsi="Times New Roman" w:cs="Times New Roman"/>
                <w:sz w:val="20"/>
                <w:szCs w:val="20"/>
              </w:rPr>
            </w:pPr>
            <w:r w:rsidRPr="003874AC">
              <w:rPr>
                <w:rFonts w:ascii="Times New Roman" w:hAnsi="Times New Roman" w:cs="Times New Roman"/>
                <w:sz w:val="20"/>
                <w:szCs w:val="20"/>
              </w:rPr>
              <w:t>N.A.</w:t>
            </w:r>
          </w:p>
        </w:tc>
        <w:tc>
          <w:tcPr>
            <w:tcW w:w="0" w:type="auto"/>
            <w:vAlign w:val="center"/>
            <w:hideMark/>
          </w:tcPr>
          <w:p w14:paraId="479AD3D9" w14:textId="77777777" w:rsidR="009C5B9D" w:rsidRPr="003874AC" w:rsidRDefault="009C5B9D" w:rsidP="00471458">
            <w:pPr>
              <w:pStyle w:val="NoSpacing"/>
              <w:jc w:val="center"/>
              <w:rPr>
                <w:rFonts w:ascii="Times New Roman" w:hAnsi="Times New Roman" w:cs="Times New Roman"/>
                <w:sz w:val="20"/>
                <w:szCs w:val="20"/>
              </w:rPr>
            </w:pPr>
            <w:r w:rsidRPr="003874AC">
              <w:rPr>
                <w:rFonts w:ascii="Times New Roman" w:hAnsi="Times New Roman" w:cs="Times New Roman"/>
                <w:sz w:val="20"/>
                <w:szCs w:val="20"/>
              </w:rPr>
              <w:t>1.40</w:t>
            </w:r>
          </w:p>
        </w:tc>
        <w:tc>
          <w:tcPr>
            <w:tcW w:w="0" w:type="auto"/>
            <w:vAlign w:val="center"/>
            <w:hideMark/>
          </w:tcPr>
          <w:p w14:paraId="19BE12A3" w14:textId="77777777" w:rsidR="009C5B9D" w:rsidRPr="003874AC" w:rsidRDefault="009C5B9D" w:rsidP="00471458">
            <w:pPr>
              <w:pStyle w:val="NoSpacing"/>
              <w:jc w:val="center"/>
              <w:rPr>
                <w:rFonts w:ascii="Times New Roman" w:hAnsi="Times New Roman" w:cs="Times New Roman"/>
                <w:sz w:val="20"/>
                <w:szCs w:val="20"/>
              </w:rPr>
            </w:pPr>
            <w:r w:rsidRPr="003874AC">
              <w:rPr>
                <w:rFonts w:ascii="Times New Roman" w:hAnsi="Times New Roman" w:cs="Times New Roman"/>
                <w:sz w:val="20"/>
                <w:szCs w:val="20"/>
              </w:rPr>
              <w:t>0.98</w:t>
            </w:r>
          </w:p>
        </w:tc>
        <w:tc>
          <w:tcPr>
            <w:tcW w:w="0" w:type="auto"/>
            <w:vAlign w:val="center"/>
            <w:hideMark/>
          </w:tcPr>
          <w:p w14:paraId="2BDDB2C9" w14:textId="77777777" w:rsidR="009C5B9D" w:rsidRPr="003874AC" w:rsidRDefault="009C5B9D" w:rsidP="00471458">
            <w:pPr>
              <w:pStyle w:val="NoSpacing"/>
              <w:jc w:val="center"/>
              <w:rPr>
                <w:rFonts w:ascii="Times New Roman" w:hAnsi="Times New Roman" w:cs="Times New Roman"/>
                <w:sz w:val="20"/>
                <w:szCs w:val="20"/>
              </w:rPr>
            </w:pPr>
            <w:r w:rsidRPr="003874AC">
              <w:rPr>
                <w:rFonts w:ascii="Times New Roman" w:hAnsi="Times New Roman" w:cs="Times New Roman"/>
                <w:sz w:val="20"/>
                <w:szCs w:val="20"/>
              </w:rPr>
              <w:t>2.71</w:t>
            </w:r>
          </w:p>
        </w:tc>
        <w:tc>
          <w:tcPr>
            <w:tcW w:w="0" w:type="auto"/>
            <w:vAlign w:val="center"/>
            <w:hideMark/>
          </w:tcPr>
          <w:p w14:paraId="73208C01" w14:textId="77777777" w:rsidR="009C5B9D" w:rsidRPr="003874AC" w:rsidRDefault="009C5B9D" w:rsidP="00471458">
            <w:pPr>
              <w:pStyle w:val="NoSpacing"/>
              <w:jc w:val="center"/>
              <w:rPr>
                <w:rFonts w:ascii="Times New Roman" w:hAnsi="Times New Roman" w:cs="Times New Roman"/>
                <w:sz w:val="20"/>
                <w:szCs w:val="20"/>
              </w:rPr>
            </w:pPr>
            <w:r w:rsidRPr="003874AC">
              <w:rPr>
                <w:rFonts w:ascii="Times New Roman" w:hAnsi="Times New Roman" w:cs="Times New Roman"/>
                <w:sz w:val="20"/>
                <w:szCs w:val="20"/>
              </w:rPr>
              <w:t>-2.29</w:t>
            </w:r>
          </w:p>
        </w:tc>
        <w:tc>
          <w:tcPr>
            <w:tcW w:w="0" w:type="auto"/>
            <w:vAlign w:val="center"/>
            <w:hideMark/>
          </w:tcPr>
          <w:p w14:paraId="42A7EB0A" w14:textId="77777777" w:rsidR="009C5B9D" w:rsidRPr="003874AC" w:rsidRDefault="009C5B9D" w:rsidP="00471458">
            <w:pPr>
              <w:pStyle w:val="NoSpacing"/>
              <w:jc w:val="center"/>
              <w:rPr>
                <w:rFonts w:ascii="Times New Roman" w:hAnsi="Times New Roman" w:cs="Times New Roman"/>
                <w:sz w:val="20"/>
                <w:szCs w:val="20"/>
              </w:rPr>
            </w:pPr>
            <w:r w:rsidRPr="003874AC">
              <w:rPr>
                <w:rFonts w:ascii="Times New Roman" w:hAnsi="Times New Roman" w:cs="Times New Roman"/>
                <w:sz w:val="20"/>
                <w:szCs w:val="20"/>
              </w:rPr>
              <w:t>0.61(a)</w:t>
            </w:r>
          </w:p>
        </w:tc>
        <w:tc>
          <w:tcPr>
            <w:tcW w:w="0" w:type="auto"/>
            <w:vAlign w:val="center"/>
            <w:hideMark/>
          </w:tcPr>
          <w:p w14:paraId="3EF0AF08" w14:textId="77777777" w:rsidR="009C5B9D" w:rsidRPr="003874AC" w:rsidRDefault="009C5B9D" w:rsidP="00471458">
            <w:pPr>
              <w:pStyle w:val="NoSpacing"/>
              <w:jc w:val="center"/>
              <w:rPr>
                <w:rFonts w:ascii="Times New Roman" w:hAnsi="Times New Roman" w:cs="Times New Roman"/>
                <w:sz w:val="20"/>
                <w:szCs w:val="20"/>
              </w:rPr>
            </w:pPr>
            <w:r w:rsidRPr="003874AC">
              <w:rPr>
                <w:rFonts w:ascii="Times New Roman" w:hAnsi="Times New Roman" w:cs="Times New Roman"/>
                <w:sz w:val="20"/>
                <w:szCs w:val="20"/>
              </w:rPr>
              <w:t>0.61</w:t>
            </w:r>
          </w:p>
        </w:tc>
        <w:tc>
          <w:tcPr>
            <w:tcW w:w="0" w:type="auto"/>
            <w:vAlign w:val="center"/>
            <w:hideMark/>
          </w:tcPr>
          <w:p w14:paraId="32779BED" w14:textId="77777777" w:rsidR="009C5B9D" w:rsidRPr="003874AC" w:rsidRDefault="009C5B9D" w:rsidP="00471458">
            <w:pPr>
              <w:pStyle w:val="NoSpacing"/>
              <w:jc w:val="center"/>
              <w:rPr>
                <w:rFonts w:ascii="Times New Roman" w:hAnsi="Times New Roman" w:cs="Times New Roman"/>
                <w:sz w:val="20"/>
                <w:szCs w:val="20"/>
              </w:rPr>
            </w:pPr>
            <w:r w:rsidRPr="003874AC">
              <w:rPr>
                <w:rFonts w:ascii="Times New Roman" w:hAnsi="Times New Roman" w:cs="Times New Roman"/>
                <w:sz w:val="20"/>
                <w:szCs w:val="20"/>
              </w:rPr>
              <w:t>2.71</w:t>
            </w:r>
          </w:p>
        </w:tc>
        <w:tc>
          <w:tcPr>
            <w:tcW w:w="0" w:type="auto"/>
            <w:vAlign w:val="center"/>
            <w:hideMark/>
          </w:tcPr>
          <w:p w14:paraId="31A59AA8" w14:textId="77777777" w:rsidR="009C5B9D" w:rsidRPr="003874AC" w:rsidRDefault="009C5B9D" w:rsidP="00471458">
            <w:pPr>
              <w:pStyle w:val="NoSpacing"/>
              <w:jc w:val="center"/>
              <w:rPr>
                <w:rFonts w:ascii="Times New Roman" w:hAnsi="Times New Roman" w:cs="Times New Roman"/>
                <w:sz w:val="20"/>
                <w:szCs w:val="20"/>
              </w:rPr>
            </w:pPr>
            <w:r w:rsidRPr="003874AC">
              <w:rPr>
                <w:rFonts w:ascii="Times New Roman" w:hAnsi="Times New Roman" w:cs="Times New Roman"/>
                <w:sz w:val="20"/>
                <w:szCs w:val="20"/>
              </w:rPr>
              <w:t>-2.71</w:t>
            </w:r>
          </w:p>
        </w:tc>
      </w:tr>
      <w:tr w:rsidR="00DA1357" w:rsidRPr="003874AC" w14:paraId="04D4D4A5" w14:textId="77777777" w:rsidTr="00471458">
        <w:tc>
          <w:tcPr>
            <w:tcW w:w="1216" w:type="dxa"/>
            <w:hideMark/>
          </w:tcPr>
          <w:p w14:paraId="3D8997FD" w14:textId="77777777" w:rsidR="00DA1357" w:rsidRPr="003874AC" w:rsidRDefault="00DA1357" w:rsidP="00DA1357">
            <w:pPr>
              <w:pStyle w:val="NoSpacing"/>
              <w:rPr>
                <w:rFonts w:ascii="Times New Roman" w:hAnsi="Times New Roman" w:cs="Times New Roman"/>
                <w:sz w:val="20"/>
                <w:szCs w:val="20"/>
              </w:rPr>
            </w:pPr>
            <w:r w:rsidRPr="003874AC">
              <w:rPr>
                <w:rFonts w:ascii="Times New Roman" w:hAnsi="Times New Roman" w:cs="Times New Roman"/>
                <w:sz w:val="20"/>
                <w:szCs w:val="20"/>
              </w:rPr>
              <w:t>Rajasthan</w:t>
            </w:r>
          </w:p>
        </w:tc>
        <w:tc>
          <w:tcPr>
            <w:tcW w:w="0" w:type="auto"/>
            <w:vAlign w:val="center"/>
            <w:hideMark/>
          </w:tcPr>
          <w:p w14:paraId="6298AAD0" w14:textId="77777777" w:rsidR="00DA1357" w:rsidRPr="003874AC" w:rsidRDefault="00DA1357" w:rsidP="00471458">
            <w:pPr>
              <w:pStyle w:val="NoSpacing"/>
              <w:jc w:val="center"/>
              <w:rPr>
                <w:rFonts w:ascii="Times New Roman" w:hAnsi="Times New Roman" w:cs="Times New Roman"/>
                <w:sz w:val="20"/>
                <w:szCs w:val="20"/>
              </w:rPr>
            </w:pPr>
            <w:r w:rsidRPr="003874AC">
              <w:rPr>
                <w:rFonts w:ascii="Times New Roman" w:hAnsi="Times New Roman" w:cs="Times New Roman"/>
                <w:sz w:val="20"/>
                <w:szCs w:val="20"/>
              </w:rPr>
              <w:t>0.73</w:t>
            </w:r>
          </w:p>
        </w:tc>
        <w:tc>
          <w:tcPr>
            <w:tcW w:w="0" w:type="auto"/>
            <w:vAlign w:val="center"/>
            <w:hideMark/>
          </w:tcPr>
          <w:p w14:paraId="15DDC89A" w14:textId="77777777" w:rsidR="00DA1357" w:rsidRPr="003874AC" w:rsidRDefault="00DA1357" w:rsidP="00471458">
            <w:pPr>
              <w:pStyle w:val="NoSpacing"/>
              <w:jc w:val="center"/>
              <w:rPr>
                <w:rFonts w:ascii="Times New Roman" w:hAnsi="Times New Roman" w:cs="Times New Roman"/>
                <w:sz w:val="20"/>
                <w:szCs w:val="20"/>
              </w:rPr>
            </w:pPr>
            <w:r w:rsidRPr="003874AC">
              <w:rPr>
                <w:rFonts w:ascii="Times New Roman" w:hAnsi="Times New Roman" w:cs="Times New Roman"/>
                <w:sz w:val="20"/>
                <w:szCs w:val="20"/>
              </w:rPr>
              <w:t>0.63</w:t>
            </w:r>
          </w:p>
        </w:tc>
        <w:tc>
          <w:tcPr>
            <w:tcW w:w="0" w:type="auto"/>
            <w:vAlign w:val="center"/>
            <w:hideMark/>
          </w:tcPr>
          <w:p w14:paraId="78658A04" w14:textId="77777777" w:rsidR="00DA1357" w:rsidRPr="003874AC" w:rsidRDefault="00DA1357" w:rsidP="00471458">
            <w:pPr>
              <w:pStyle w:val="NoSpacing"/>
              <w:jc w:val="center"/>
              <w:rPr>
                <w:rFonts w:ascii="Times New Roman" w:hAnsi="Times New Roman" w:cs="Times New Roman"/>
                <w:sz w:val="20"/>
                <w:szCs w:val="20"/>
              </w:rPr>
            </w:pPr>
            <w:r w:rsidRPr="003874AC">
              <w:rPr>
                <w:rFonts w:ascii="Times New Roman" w:hAnsi="Times New Roman" w:cs="Times New Roman"/>
                <w:sz w:val="20"/>
                <w:szCs w:val="20"/>
              </w:rPr>
              <w:t>2.55</w:t>
            </w:r>
          </w:p>
        </w:tc>
        <w:tc>
          <w:tcPr>
            <w:tcW w:w="0" w:type="auto"/>
            <w:vAlign w:val="center"/>
            <w:hideMark/>
          </w:tcPr>
          <w:p w14:paraId="6A6CC5FE" w14:textId="77777777" w:rsidR="00DA1357" w:rsidRPr="003874AC" w:rsidRDefault="00DA1357" w:rsidP="00471458">
            <w:pPr>
              <w:pStyle w:val="NoSpacing"/>
              <w:jc w:val="center"/>
              <w:rPr>
                <w:rFonts w:ascii="Times New Roman" w:hAnsi="Times New Roman" w:cs="Times New Roman"/>
                <w:sz w:val="20"/>
                <w:szCs w:val="20"/>
              </w:rPr>
            </w:pPr>
            <w:r w:rsidRPr="003874AC">
              <w:rPr>
                <w:rFonts w:ascii="Times New Roman" w:hAnsi="Times New Roman" w:cs="Times New Roman"/>
                <w:sz w:val="20"/>
                <w:szCs w:val="20"/>
              </w:rPr>
              <w:t>-2.45</w:t>
            </w:r>
          </w:p>
        </w:tc>
        <w:tc>
          <w:tcPr>
            <w:tcW w:w="0" w:type="auto"/>
            <w:vAlign w:val="center"/>
            <w:hideMark/>
          </w:tcPr>
          <w:p w14:paraId="69F49BEE" w14:textId="77777777" w:rsidR="00DA1357" w:rsidRPr="003874AC" w:rsidRDefault="00DA1357" w:rsidP="00471458">
            <w:pPr>
              <w:pStyle w:val="NoSpacing"/>
              <w:jc w:val="center"/>
              <w:rPr>
                <w:rFonts w:ascii="Times New Roman" w:hAnsi="Times New Roman" w:cs="Times New Roman"/>
                <w:sz w:val="20"/>
                <w:szCs w:val="20"/>
              </w:rPr>
            </w:pPr>
            <w:r w:rsidRPr="003874AC">
              <w:rPr>
                <w:rFonts w:ascii="Times New Roman" w:hAnsi="Times New Roman" w:cs="Times New Roman"/>
                <w:sz w:val="20"/>
                <w:szCs w:val="20"/>
              </w:rPr>
              <w:t>0.51</w:t>
            </w:r>
          </w:p>
        </w:tc>
        <w:tc>
          <w:tcPr>
            <w:tcW w:w="0" w:type="auto"/>
            <w:vAlign w:val="center"/>
            <w:hideMark/>
          </w:tcPr>
          <w:p w14:paraId="680EE08F" w14:textId="77777777" w:rsidR="00DA1357" w:rsidRPr="003874AC" w:rsidRDefault="00DA1357" w:rsidP="00471458">
            <w:pPr>
              <w:pStyle w:val="NoSpacing"/>
              <w:jc w:val="center"/>
              <w:rPr>
                <w:rFonts w:ascii="Times New Roman" w:hAnsi="Times New Roman" w:cs="Times New Roman"/>
                <w:sz w:val="20"/>
                <w:szCs w:val="20"/>
              </w:rPr>
            </w:pPr>
            <w:r w:rsidRPr="003874AC">
              <w:rPr>
                <w:rFonts w:ascii="Times New Roman" w:hAnsi="Times New Roman" w:cs="Times New Roman"/>
                <w:sz w:val="20"/>
                <w:szCs w:val="20"/>
              </w:rPr>
              <w:t>0.62</w:t>
            </w:r>
          </w:p>
        </w:tc>
        <w:tc>
          <w:tcPr>
            <w:tcW w:w="0" w:type="auto"/>
            <w:vAlign w:val="center"/>
            <w:hideMark/>
          </w:tcPr>
          <w:p w14:paraId="1DC9CBC2" w14:textId="77777777" w:rsidR="00DA1357" w:rsidRPr="003874AC" w:rsidRDefault="00DA1357" w:rsidP="00471458">
            <w:pPr>
              <w:pStyle w:val="NoSpacing"/>
              <w:jc w:val="center"/>
              <w:rPr>
                <w:rFonts w:ascii="Times New Roman" w:hAnsi="Times New Roman" w:cs="Times New Roman"/>
                <w:sz w:val="20"/>
                <w:szCs w:val="20"/>
              </w:rPr>
            </w:pPr>
            <w:r w:rsidRPr="003874AC">
              <w:rPr>
                <w:rFonts w:ascii="Times New Roman" w:hAnsi="Times New Roman" w:cs="Times New Roman"/>
                <w:sz w:val="20"/>
                <w:szCs w:val="20"/>
              </w:rPr>
              <w:t>2.59</w:t>
            </w:r>
          </w:p>
        </w:tc>
        <w:tc>
          <w:tcPr>
            <w:tcW w:w="0" w:type="auto"/>
            <w:vAlign w:val="center"/>
            <w:hideMark/>
          </w:tcPr>
          <w:p w14:paraId="619A83FA" w14:textId="77777777" w:rsidR="00DA1357" w:rsidRPr="003874AC" w:rsidRDefault="00DA1357" w:rsidP="00471458">
            <w:pPr>
              <w:pStyle w:val="NoSpacing"/>
              <w:jc w:val="center"/>
              <w:rPr>
                <w:rFonts w:ascii="Times New Roman" w:hAnsi="Times New Roman" w:cs="Times New Roman"/>
                <w:sz w:val="20"/>
                <w:szCs w:val="20"/>
              </w:rPr>
            </w:pPr>
            <w:r w:rsidRPr="003874AC">
              <w:rPr>
                <w:rFonts w:ascii="Times New Roman" w:hAnsi="Times New Roman" w:cs="Times New Roman"/>
                <w:sz w:val="20"/>
                <w:szCs w:val="20"/>
              </w:rPr>
              <w:t>-2.70</w:t>
            </w:r>
          </w:p>
        </w:tc>
        <w:tc>
          <w:tcPr>
            <w:tcW w:w="0" w:type="auto"/>
            <w:vAlign w:val="center"/>
            <w:hideMark/>
          </w:tcPr>
          <w:p w14:paraId="7FC5F7FD" w14:textId="77777777" w:rsidR="00DA1357" w:rsidRPr="003874AC" w:rsidRDefault="00DA1357" w:rsidP="00471458">
            <w:pPr>
              <w:pStyle w:val="NoSpacing"/>
              <w:jc w:val="center"/>
              <w:rPr>
                <w:rFonts w:ascii="Times New Roman" w:hAnsi="Times New Roman" w:cs="Times New Roman"/>
                <w:sz w:val="20"/>
                <w:szCs w:val="20"/>
              </w:rPr>
            </w:pPr>
            <w:r w:rsidRPr="003874AC">
              <w:rPr>
                <w:rFonts w:ascii="Times New Roman" w:hAnsi="Times New Roman" w:cs="Times New Roman"/>
                <w:sz w:val="20"/>
                <w:szCs w:val="20"/>
              </w:rPr>
              <w:t>0.96</w:t>
            </w:r>
          </w:p>
        </w:tc>
        <w:tc>
          <w:tcPr>
            <w:tcW w:w="0" w:type="auto"/>
            <w:vAlign w:val="center"/>
            <w:hideMark/>
          </w:tcPr>
          <w:p w14:paraId="68C7B3DF" w14:textId="77777777" w:rsidR="00DA1357" w:rsidRPr="003874AC" w:rsidRDefault="00DA1357" w:rsidP="00471458">
            <w:pPr>
              <w:pStyle w:val="NoSpacing"/>
              <w:jc w:val="center"/>
              <w:rPr>
                <w:rFonts w:ascii="Times New Roman" w:hAnsi="Times New Roman" w:cs="Times New Roman"/>
                <w:sz w:val="20"/>
                <w:szCs w:val="20"/>
              </w:rPr>
            </w:pPr>
            <w:r w:rsidRPr="003874AC">
              <w:rPr>
                <w:rFonts w:ascii="Times New Roman" w:hAnsi="Times New Roman" w:cs="Times New Roman"/>
                <w:sz w:val="20"/>
                <w:szCs w:val="20"/>
              </w:rPr>
              <w:t>0.66</w:t>
            </w:r>
          </w:p>
        </w:tc>
        <w:tc>
          <w:tcPr>
            <w:tcW w:w="0" w:type="auto"/>
            <w:vAlign w:val="center"/>
            <w:hideMark/>
          </w:tcPr>
          <w:p w14:paraId="504C61BB" w14:textId="77777777" w:rsidR="00DA1357" w:rsidRPr="003874AC" w:rsidRDefault="00DA1357" w:rsidP="00471458">
            <w:pPr>
              <w:pStyle w:val="NoSpacing"/>
              <w:jc w:val="center"/>
              <w:rPr>
                <w:rFonts w:ascii="Times New Roman" w:hAnsi="Times New Roman" w:cs="Times New Roman"/>
                <w:sz w:val="20"/>
                <w:szCs w:val="20"/>
              </w:rPr>
            </w:pPr>
            <w:r w:rsidRPr="003874AC">
              <w:rPr>
                <w:rFonts w:ascii="Times New Roman" w:hAnsi="Times New Roman" w:cs="Times New Roman"/>
                <w:sz w:val="20"/>
                <w:szCs w:val="20"/>
              </w:rPr>
              <w:t>2.69</w:t>
            </w:r>
          </w:p>
        </w:tc>
        <w:tc>
          <w:tcPr>
            <w:tcW w:w="0" w:type="auto"/>
            <w:vAlign w:val="center"/>
            <w:hideMark/>
          </w:tcPr>
          <w:p w14:paraId="1D4E161B" w14:textId="77777777" w:rsidR="00DA1357" w:rsidRPr="003874AC" w:rsidRDefault="00DA1357" w:rsidP="00471458">
            <w:pPr>
              <w:pStyle w:val="NoSpacing"/>
              <w:jc w:val="center"/>
              <w:rPr>
                <w:rFonts w:ascii="Times New Roman" w:hAnsi="Times New Roman" w:cs="Times New Roman"/>
                <w:sz w:val="20"/>
                <w:szCs w:val="20"/>
              </w:rPr>
            </w:pPr>
            <w:r w:rsidRPr="003874AC">
              <w:rPr>
                <w:rFonts w:ascii="Times New Roman" w:hAnsi="Times New Roman" w:cs="Times New Roman"/>
                <w:sz w:val="20"/>
                <w:szCs w:val="20"/>
              </w:rPr>
              <w:t>-2.39</w:t>
            </w:r>
          </w:p>
        </w:tc>
        <w:tc>
          <w:tcPr>
            <w:tcW w:w="0" w:type="auto"/>
            <w:vAlign w:val="center"/>
            <w:hideMark/>
          </w:tcPr>
          <w:p w14:paraId="57B2D51C" w14:textId="77777777" w:rsidR="00DA1357" w:rsidRPr="003874AC" w:rsidRDefault="00DA1357" w:rsidP="00471458">
            <w:pPr>
              <w:pStyle w:val="NoSpacing"/>
              <w:jc w:val="center"/>
              <w:rPr>
                <w:rFonts w:ascii="Times New Roman" w:hAnsi="Times New Roman" w:cs="Times New Roman"/>
                <w:sz w:val="20"/>
                <w:szCs w:val="20"/>
              </w:rPr>
            </w:pPr>
            <w:r w:rsidRPr="003874AC">
              <w:rPr>
                <w:rFonts w:ascii="Times New Roman" w:hAnsi="Times New Roman" w:cs="Times New Roman"/>
                <w:sz w:val="20"/>
                <w:szCs w:val="20"/>
              </w:rPr>
              <w:t>1.35</w:t>
            </w:r>
          </w:p>
        </w:tc>
        <w:tc>
          <w:tcPr>
            <w:tcW w:w="0" w:type="auto"/>
            <w:vAlign w:val="center"/>
            <w:hideMark/>
          </w:tcPr>
          <w:p w14:paraId="02A68212" w14:textId="77777777" w:rsidR="00DA1357" w:rsidRPr="003874AC" w:rsidRDefault="00DA1357" w:rsidP="00471458">
            <w:pPr>
              <w:pStyle w:val="NoSpacing"/>
              <w:jc w:val="center"/>
              <w:rPr>
                <w:rFonts w:ascii="Times New Roman" w:hAnsi="Times New Roman" w:cs="Times New Roman"/>
                <w:sz w:val="20"/>
                <w:szCs w:val="20"/>
              </w:rPr>
            </w:pPr>
            <w:r w:rsidRPr="003874AC">
              <w:rPr>
                <w:rFonts w:ascii="Times New Roman" w:hAnsi="Times New Roman" w:cs="Times New Roman"/>
                <w:sz w:val="20"/>
                <w:szCs w:val="20"/>
              </w:rPr>
              <w:t>0.70</w:t>
            </w:r>
          </w:p>
        </w:tc>
        <w:tc>
          <w:tcPr>
            <w:tcW w:w="0" w:type="auto"/>
            <w:vAlign w:val="center"/>
            <w:hideMark/>
          </w:tcPr>
          <w:p w14:paraId="48D8996C" w14:textId="77777777" w:rsidR="00DA1357" w:rsidRPr="003874AC" w:rsidRDefault="00DA1357" w:rsidP="00471458">
            <w:pPr>
              <w:pStyle w:val="NoSpacing"/>
              <w:jc w:val="center"/>
              <w:rPr>
                <w:rFonts w:ascii="Times New Roman" w:hAnsi="Times New Roman" w:cs="Times New Roman"/>
                <w:sz w:val="20"/>
                <w:szCs w:val="20"/>
              </w:rPr>
            </w:pPr>
            <w:r w:rsidRPr="003874AC">
              <w:rPr>
                <w:rFonts w:ascii="Times New Roman" w:hAnsi="Times New Roman" w:cs="Times New Roman"/>
                <w:sz w:val="20"/>
                <w:szCs w:val="20"/>
              </w:rPr>
              <w:t>2.73</w:t>
            </w:r>
          </w:p>
        </w:tc>
        <w:tc>
          <w:tcPr>
            <w:tcW w:w="0" w:type="auto"/>
            <w:vAlign w:val="center"/>
            <w:hideMark/>
          </w:tcPr>
          <w:p w14:paraId="38829682" w14:textId="77777777" w:rsidR="00DA1357" w:rsidRPr="003874AC" w:rsidRDefault="00DA1357" w:rsidP="00471458">
            <w:pPr>
              <w:pStyle w:val="NoSpacing"/>
              <w:jc w:val="center"/>
              <w:rPr>
                <w:rFonts w:ascii="Times New Roman" w:hAnsi="Times New Roman" w:cs="Times New Roman"/>
                <w:sz w:val="20"/>
                <w:szCs w:val="20"/>
              </w:rPr>
            </w:pPr>
            <w:r w:rsidRPr="003874AC">
              <w:rPr>
                <w:rFonts w:ascii="Times New Roman" w:hAnsi="Times New Roman" w:cs="Times New Roman"/>
                <w:sz w:val="20"/>
                <w:szCs w:val="20"/>
              </w:rPr>
              <w:t>-2.08</w:t>
            </w:r>
          </w:p>
        </w:tc>
      </w:tr>
      <w:tr w:rsidR="00DA1357" w:rsidRPr="003874AC" w14:paraId="7890A172" w14:textId="77777777" w:rsidTr="00471458">
        <w:tc>
          <w:tcPr>
            <w:tcW w:w="1216" w:type="dxa"/>
            <w:hideMark/>
          </w:tcPr>
          <w:p w14:paraId="73EE6221" w14:textId="77777777" w:rsidR="00DA1357" w:rsidRPr="003874AC" w:rsidRDefault="00DA1357" w:rsidP="00DA1357">
            <w:pPr>
              <w:pStyle w:val="NoSpacing"/>
              <w:rPr>
                <w:rFonts w:ascii="Times New Roman" w:hAnsi="Times New Roman" w:cs="Times New Roman"/>
                <w:sz w:val="20"/>
                <w:szCs w:val="20"/>
              </w:rPr>
            </w:pPr>
            <w:r w:rsidRPr="003874AC">
              <w:rPr>
                <w:rFonts w:ascii="Times New Roman" w:hAnsi="Times New Roman" w:cs="Times New Roman"/>
                <w:sz w:val="20"/>
                <w:szCs w:val="20"/>
              </w:rPr>
              <w:t>Tamil Nadu</w:t>
            </w:r>
          </w:p>
        </w:tc>
        <w:tc>
          <w:tcPr>
            <w:tcW w:w="0" w:type="auto"/>
            <w:vAlign w:val="center"/>
            <w:hideMark/>
          </w:tcPr>
          <w:p w14:paraId="1B3781EE" w14:textId="77777777" w:rsidR="00DA1357" w:rsidRPr="003874AC" w:rsidRDefault="00DA1357" w:rsidP="00471458">
            <w:pPr>
              <w:pStyle w:val="NoSpacing"/>
              <w:jc w:val="center"/>
              <w:rPr>
                <w:rFonts w:ascii="Times New Roman" w:hAnsi="Times New Roman" w:cs="Times New Roman"/>
                <w:sz w:val="20"/>
                <w:szCs w:val="20"/>
              </w:rPr>
            </w:pPr>
            <w:r w:rsidRPr="003874AC">
              <w:rPr>
                <w:rFonts w:ascii="Times New Roman" w:hAnsi="Times New Roman" w:cs="Times New Roman"/>
                <w:sz w:val="20"/>
                <w:szCs w:val="20"/>
              </w:rPr>
              <w:t>..</w:t>
            </w:r>
          </w:p>
        </w:tc>
        <w:tc>
          <w:tcPr>
            <w:tcW w:w="0" w:type="auto"/>
            <w:vAlign w:val="center"/>
            <w:hideMark/>
          </w:tcPr>
          <w:p w14:paraId="3B803757" w14:textId="77777777" w:rsidR="00DA1357" w:rsidRPr="003874AC" w:rsidRDefault="00DA1357" w:rsidP="00471458">
            <w:pPr>
              <w:pStyle w:val="NoSpacing"/>
              <w:jc w:val="center"/>
              <w:rPr>
                <w:rFonts w:ascii="Times New Roman" w:hAnsi="Times New Roman" w:cs="Times New Roman"/>
                <w:sz w:val="20"/>
                <w:szCs w:val="20"/>
              </w:rPr>
            </w:pPr>
            <w:r w:rsidRPr="003874AC">
              <w:rPr>
                <w:rFonts w:ascii="Times New Roman" w:hAnsi="Times New Roman" w:cs="Times New Roman"/>
                <w:sz w:val="20"/>
                <w:szCs w:val="20"/>
              </w:rPr>
              <w:t>..</w:t>
            </w:r>
          </w:p>
        </w:tc>
        <w:tc>
          <w:tcPr>
            <w:tcW w:w="0" w:type="auto"/>
            <w:vAlign w:val="center"/>
            <w:hideMark/>
          </w:tcPr>
          <w:p w14:paraId="40D7E111" w14:textId="77777777" w:rsidR="00DA1357" w:rsidRPr="003874AC" w:rsidRDefault="00DA1357" w:rsidP="00471458">
            <w:pPr>
              <w:pStyle w:val="NoSpacing"/>
              <w:jc w:val="center"/>
              <w:rPr>
                <w:rFonts w:ascii="Times New Roman" w:hAnsi="Times New Roman" w:cs="Times New Roman"/>
                <w:sz w:val="20"/>
                <w:szCs w:val="20"/>
              </w:rPr>
            </w:pPr>
            <w:r w:rsidRPr="003874AC">
              <w:rPr>
                <w:rFonts w:ascii="Times New Roman" w:hAnsi="Times New Roman" w:cs="Times New Roman"/>
                <w:sz w:val="20"/>
                <w:szCs w:val="20"/>
              </w:rPr>
              <w:t>..</w:t>
            </w:r>
          </w:p>
        </w:tc>
        <w:tc>
          <w:tcPr>
            <w:tcW w:w="0" w:type="auto"/>
            <w:vAlign w:val="center"/>
            <w:hideMark/>
          </w:tcPr>
          <w:p w14:paraId="34E2288F" w14:textId="77777777" w:rsidR="00DA1357" w:rsidRPr="003874AC" w:rsidRDefault="00DA1357" w:rsidP="00471458">
            <w:pPr>
              <w:pStyle w:val="NoSpacing"/>
              <w:jc w:val="center"/>
              <w:rPr>
                <w:rFonts w:ascii="Times New Roman" w:hAnsi="Times New Roman" w:cs="Times New Roman"/>
                <w:sz w:val="20"/>
                <w:szCs w:val="20"/>
              </w:rPr>
            </w:pPr>
            <w:r w:rsidRPr="003874AC">
              <w:rPr>
                <w:rFonts w:ascii="Times New Roman" w:hAnsi="Times New Roman" w:cs="Times New Roman"/>
                <w:sz w:val="20"/>
                <w:szCs w:val="20"/>
              </w:rPr>
              <w:t>..</w:t>
            </w:r>
          </w:p>
        </w:tc>
        <w:tc>
          <w:tcPr>
            <w:tcW w:w="0" w:type="auto"/>
            <w:vAlign w:val="center"/>
            <w:hideMark/>
          </w:tcPr>
          <w:p w14:paraId="633AD88E" w14:textId="77777777" w:rsidR="00DA1357" w:rsidRPr="003874AC" w:rsidRDefault="00DA1357" w:rsidP="00471458">
            <w:pPr>
              <w:pStyle w:val="NoSpacing"/>
              <w:jc w:val="center"/>
              <w:rPr>
                <w:rFonts w:ascii="Times New Roman" w:hAnsi="Times New Roman" w:cs="Times New Roman"/>
                <w:sz w:val="20"/>
                <w:szCs w:val="20"/>
              </w:rPr>
            </w:pPr>
            <w:r w:rsidRPr="003874AC">
              <w:rPr>
                <w:rFonts w:ascii="Times New Roman" w:hAnsi="Times New Roman" w:cs="Times New Roman"/>
                <w:sz w:val="20"/>
                <w:szCs w:val="20"/>
              </w:rPr>
              <w:t>..</w:t>
            </w:r>
          </w:p>
        </w:tc>
        <w:tc>
          <w:tcPr>
            <w:tcW w:w="0" w:type="auto"/>
            <w:vAlign w:val="center"/>
            <w:hideMark/>
          </w:tcPr>
          <w:p w14:paraId="63929AEC" w14:textId="77777777" w:rsidR="00DA1357" w:rsidRPr="003874AC" w:rsidRDefault="00DA1357" w:rsidP="00471458">
            <w:pPr>
              <w:pStyle w:val="NoSpacing"/>
              <w:jc w:val="center"/>
              <w:rPr>
                <w:rFonts w:ascii="Times New Roman" w:hAnsi="Times New Roman" w:cs="Times New Roman"/>
                <w:sz w:val="20"/>
                <w:szCs w:val="20"/>
              </w:rPr>
            </w:pPr>
            <w:r w:rsidRPr="003874AC">
              <w:rPr>
                <w:rFonts w:ascii="Times New Roman" w:hAnsi="Times New Roman" w:cs="Times New Roman"/>
                <w:sz w:val="20"/>
                <w:szCs w:val="20"/>
              </w:rPr>
              <w:t>..</w:t>
            </w:r>
          </w:p>
        </w:tc>
        <w:tc>
          <w:tcPr>
            <w:tcW w:w="0" w:type="auto"/>
            <w:vAlign w:val="center"/>
            <w:hideMark/>
          </w:tcPr>
          <w:p w14:paraId="0A4E39B0" w14:textId="77777777" w:rsidR="00DA1357" w:rsidRPr="003874AC" w:rsidRDefault="00DA1357" w:rsidP="00471458">
            <w:pPr>
              <w:pStyle w:val="NoSpacing"/>
              <w:jc w:val="center"/>
              <w:rPr>
                <w:rFonts w:ascii="Times New Roman" w:hAnsi="Times New Roman" w:cs="Times New Roman"/>
                <w:sz w:val="20"/>
                <w:szCs w:val="20"/>
              </w:rPr>
            </w:pPr>
            <w:r w:rsidRPr="003874AC">
              <w:rPr>
                <w:rFonts w:ascii="Times New Roman" w:hAnsi="Times New Roman" w:cs="Times New Roman"/>
                <w:sz w:val="20"/>
                <w:szCs w:val="20"/>
              </w:rPr>
              <w:t>..</w:t>
            </w:r>
          </w:p>
        </w:tc>
        <w:tc>
          <w:tcPr>
            <w:tcW w:w="0" w:type="auto"/>
            <w:vAlign w:val="center"/>
            <w:hideMark/>
          </w:tcPr>
          <w:p w14:paraId="7607C244" w14:textId="77777777" w:rsidR="00DA1357" w:rsidRPr="003874AC" w:rsidRDefault="00DA1357" w:rsidP="00471458">
            <w:pPr>
              <w:pStyle w:val="NoSpacing"/>
              <w:jc w:val="center"/>
              <w:rPr>
                <w:rFonts w:ascii="Times New Roman" w:hAnsi="Times New Roman" w:cs="Times New Roman"/>
                <w:sz w:val="20"/>
                <w:szCs w:val="20"/>
              </w:rPr>
            </w:pPr>
            <w:r w:rsidRPr="003874AC">
              <w:rPr>
                <w:rFonts w:ascii="Times New Roman" w:hAnsi="Times New Roman" w:cs="Times New Roman"/>
                <w:sz w:val="20"/>
                <w:szCs w:val="20"/>
              </w:rPr>
              <w:t>..</w:t>
            </w:r>
          </w:p>
        </w:tc>
        <w:tc>
          <w:tcPr>
            <w:tcW w:w="0" w:type="auto"/>
            <w:vAlign w:val="center"/>
            <w:hideMark/>
          </w:tcPr>
          <w:p w14:paraId="22B4A6C9" w14:textId="77777777" w:rsidR="00DA1357" w:rsidRPr="003874AC" w:rsidRDefault="00DA1357" w:rsidP="00471458">
            <w:pPr>
              <w:pStyle w:val="NoSpacing"/>
              <w:jc w:val="center"/>
              <w:rPr>
                <w:rFonts w:ascii="Times New Roman" w:hAnsi="Times New Roman" w:cs="Times New Roman"/>
                <w:sz w:val="20"/>
                <w:szCs w:val="20"/>
              </w:rPr>
            </w:pPr>
            <w:r w:rsidRPr="003874AC">
              <w:rPr>
                <w:rFonts w:ascii="Times New Roman" w:hAnsi="Times New Roman" w:cs="Times New Roman"/>
                <w:sz w:val="20"/>
                <w:szCs w:val="20"/>
              </w:rPr>
              <w:t>..</w:t>
            </w:r>
          </w:p>
        </w:tc>
        <w:tc>
          <w:tcPr>
            <w:tcW w:w="0" w:type="auto"/>
            <w:vAlign w:val="center"/>
            <w:hideMark/>
          </w:tcPr>
          <w:p w14:paraId="076F3F12" w14:textId="77777777" w:rsidR="00DA1357" w:rsidRPr="003874AC" w:rsidRDefault="00DA1357" w:rsidP="00471458">
            <w:pPr>
              <w:pStyle w:val="NoSpacing"/>
              <w:jc w:val="center"/>
              <w:rPr>
                <w:rFonts w:ascii="Times New Roman" w:hAnsi="Times New Roman" w:cs="Times New Roman"/>
                <w:sz w:val="20"/>
                <w:szCs w:val="20"/>
              </w:rPr>
            </w:pPr>
            <w:r w:rsidRPr="003874AC">
              <w:rPr>
                <w:rFonts w:ascii="Times New Roman" w:hAnsi="Times New Roman" w:cs="Times New Roman"/>
                <w:sz w:val="20"/>
                <w:szCs w:val="20"/>
              </w:rPr>
              <w:t>..</w:t>
            </w:r>
          </w:p>
        </w:tc>
        <w:tc>
          <w:tcPr>
            <w:tcW w:w="0" w:type="auto"/>
            <w:vAlign w:val="center"/>
            <w:hideMark/>
          </w:tcPr>
          <w:p w14:paraId="51D3450B" w14:textId="77777777" w:rsidR="00DA1357" w:rsidRPr="003874AC" w:rsidRDefault="00DA1357" w:rsidP="00471458">
            <w:pPr>
              <w:pStyle w:val="NoSpacing"/>
              <w:jc w:val="center"/>
              <w:rPr>
                <w:rFonts w:ascii="Times New Roman" w:hAnsi="Times New Roman" w:cs="Times New Roman"/>
                <w:sz w:val="20"/>
                <w:szCs w:val="20"/>
              </w:rPr>
            </w:pPr>
            <w:r w:rsidRPr="003874AC">
              <w:rPr>
                <w:rFonts w:ascii="Times New Roman" w:hAnsi="Times New Roman" w:cs="Times New Roman"/>
                <w:sz w:val="20"/>
                <w:szCs w:val="20"/>
              </w:rPr>
              <w:t>..</w:t>
            </w:r>
          </w:p>
        </w:tc>
        <w:tc>
          <w:tcPr>
            <w:tcW w:w="0" w:type="auto"/>
            <w:vAlign w:val="center"/>
            <w:hideMark/>
          </w:tcPr>
          <w:p w14:paraId="310C96FB" w14:textId="77777777" w:rsidR="00DA1357" w:rsidRPr="003874AC" w:rsidRDefault="00DA1357" w:rsidP="00471458">
            <w:pPr>
              <w:pStyle w:val="NoSpacing"/>
              <w:jc w:val="center"/>
              <w:rPr>
                <w:rFonts w:ascii="Times New Roman" w:hAnsi="Times New Roman" w:cs="Times New Roman"/>
                <w:sz w:val="20"/>
                <w:szCs w:val="20"/>
              </w:rPr>
            </w:pPr>
            <w:r w:rsidRPr="003874AC">
              <w:rPr>
                <w:rFonts w:ascii="Times New Roman" w:hAnsi="Times New Roman" w:cs="Times New Roman"/>
                <w:sz w:val="20"/>
                <w:szCs w:val="20"/>
              </w:rPr>
              <w:t>..</w:t>
            </w:r>
          </w:p>
        </w:tc>
        <w:tc>
          <w:tcPr>
            <w:tcW w:w="0" w:type="auto"/>
            <w:vAlign w:val="center"/>
            <w:hideMark/>
          </w:tcPr>
          <w:p w14:paraId="4B08E8CF" w14:textId="77777777" w:rsidR="00DA1357" w:rsidRPr="003874AC" w:rsidRDefault="00DA1357" w:rsidP="00471458">
            <w:pPr>
              <w:pStyle w:val="NoSpacing"/>
              <w:jc w:val="center"/>
              <w:rPr>
                <w:rFonts w:ascii="Times New Roman" w:hAnsi="Times New Roman" w:cs="Times New Roman"/>
                <w:sz w:val="20"/>
                <w:szCs w:val="20"/>
              </w:rPr>
            </w:pPr>
            <w:r w:rsidRPr="003874AC">
              <w:rPr>
                <w:rFonts w:ascii="Times New Roman" w:hAnsi="Times New Roman" w:cs="Times New Roman"/>
                <w:sz w:val="20"/>
                <w:szCs w:val="20"/>
              </w:rPr>
              <w:t>..</w:t>
            </w:r>
          </w:p>
        </w:tc>
        <w:tc>
          <w:tcPr>
            <w:tcW w:w="0" w:type="auto"/>
            <w:vAlign w:val="center"/>
            <w:hideMark/>
          </w:tcPr>
          <w:p w14:paraId="2FD82DEF" w14:textId="77777777" w:rsidR="00DA1357" w:rsidRPr="003874AC" w:rsidRDefault="00DA1357" w:rsidP="00471458">
            <w:pPr>
              <w:pStyle w:val="NoSpacing"/>
              <w:jc w:val="center"/>
              <w:rPr>
                <w:rFonts w:ascii="Times New Roman" w:hAnsi="Times New Roman" w:cs="Times New Roman"/>
                <w:sz w:val="20"/>
                <w:szCs w:val="20"/>
              </w:rPr>
            </w:pPr>
            <w:r w:rsidRPr="003874AC">
              <w:rPr>
                <w:rFonts w:ascii="Times New Roman" w:hAnsi="Times New Roman" w:cs="Times New Roman"/>
                <w:sz w:val="20"/>
                <w:szCs w:val="20"/>
              </w:rPr>
              <w:t>..</w:t>
            </w:r>
          </w:p>
        </w:tc>
        <w:tc>
          <w:tcPr>
            <w:tcW w:w="0" w:type="auto"/>
            <w:vAlign w:val="center"/>
            <w:hideMark/>
          </w:tcPr>
          <w:p w14:paraId="1366F069" w14:textId="77777777" w:rsidR="00DA1357" w:rsidRPr="003874AC" w:rsidRDefault="00DA1357" w:rsidP="00471458">
            <w:pPr>
              <w:pStyle w:val="NoSpacing"/>
              <w:jc w:val="center"/>
              <w:rPr>
                <w:rFonts w:ascii="Times New Roman" w:hAnsi="Times New Roman" w:cs="Times New Roman"/>
                <w:sz w:val="20"/>
                <w:szCs w:val="20"/>
              </w:rPr>
            </w:pPr>
            <w:r w:rsidRPr="003874AC">
              <w:rPr>
                <w:rFonts w:ascii="Times New Roman" w:hAnsi="Times New Roman" w:cs="Times New Roman"/>
                <w:sz w:val="20"/>
                <w:szCs w:val="20"/>
              </w:rPr>
              <w:t>..</w:t>
            </w:r>
          </w:p>
        </w:tc>
        <w:tc>
          <w:tcPr>
            <w:tcW w:w="0" w:type="auto"/>
            <w:vAlign w:val="center"/>
            <w:hideMark/>
          </w:tcPr>
          <w:p w14:paraId="6F21A3AA" w14:textId="77777777" w:rsidR="00DA1357" w:rsidRPr="003874AC" w:rsidRDefault="00DA1357" w:rsidP="00471458">
            <w:pPr>
              <w:pStyle w:val="NoSpacing"/>
              <w:jc w:val="center"/>
              <w:rPr>
                <w:rFonts w:ascii="Times New Roman" w:hAnsi="Times New Roman" w:cs="Times New Roman"/>
                <w:sz w:val="20"/>
                <w:szCs w:val="20"/>
              </w:rPr>
            </w:pPr>
            <w:r w:rsidRPr="003874AC">
              <w:rPr>
                <w:rFonts w:ascii="Times New Roman" w:hAnsi="Times New Roman" w:cs="Times New Roman"/>
                <w:sz w:val="20"/>
                <w:szCs w:val="20"/>
              </w:rPr>
              <w:t>..</w:t>
            </w:r>
          </w:p>
        </w:tc>
      </w:tr>
      <w:tr w:rsidR="00DA1357" w:rsidRPr="003874AC" w14:paraId="3B710753" w14:textId="77777777" w:rsidTr="00471458">
        <w:tc>
          <w:tcPr>
            <w:tcW w:w="1216" w:type="dxa"/>
            <w:hideMark/>
          </w:tcPr>
          <w:p w14:paraId="5F8E99CF" w14:textId="77777777" w:rsidR="00DA1357" w:rsidRPr="003874AC" w:rsidRDefault="00DA1357" w:rsidP="00DA1357">
            <w:pPr>
              <w:pStyle w:val="NoSpacing"/>
              <w:rPr>
                <w:rFonts w:ascii="Times New Roman" w:hAnsi="Times New Roman" w:cs="Times New Roman"/>
                <w:sz w:val="20"/>
                <w:szCs w:val="20"/>
              </w:rPr>
            </w:pPr>
            <w:r w:rsidRPr="003874AC">
              <w:rPr>
                <w:rFonts w:ascii="Times New Roman" w:hAnsi="Times New Roman" w:cs="Times New Roman"/>
                <w:sz w:val="20"/>
                <w:szCs w:val="20"/>
              </w:rPr>
              <w:t>Uttar Pradesh</w:t>
            </w:r>
          </w:p>
        </w:tc>
        <w:tc>
          <w:tcPr>
            <w:tcW w:w="0" w:type="auto"/>
            <w:vAlign w:val="center"/>
            <w:hideMark/>
          </w:tcPr>
          <w:p w14:paraId="7CAF7CBA" w14:textId="77777777" w:rsidR="00DA1357" w:rsidRPr="003874AC" w:rsidRDefault="00DA1357" w:rsidP="00471458">
            <w:pPr>
              <w:pStyle w:val="NoSpacing"/>
              <w:jc w:val="center"/>
              <w:rPr>
                <w:rFonts w:ascii="Times New Roman" w:hAnsi="Times New Roman" w:cs="Times New Roman"/>
                <w:sz w:val="20"/>
                <w:szCs w:val="20"/>
              </w:rPr>
            </w:pPr>
            <w:r w:rsidRPr="003874AC">
              <w:rPr>
                <w:rFonts w:ascii="Times New Roman" w:hAnsi="Times New Roman" w:cs="Times New Roman"/>
                <w:sz w:val="20"/>
                <w:szCs w:val="20"/>
              </w:rPr>
              <w:t>..</w:t>
            </w:r>
          </w:p>
        </w:tc>
        <w:tc>
          <w:tcPr>
            <w:tcW w:w="0" w:type="auto"/>
            <w:vAlign w:val="center"/>
            <w:hideMark/>
          </w:tcPr>
          <w:p w14:paraId="7350E64D" w14:textId="77777777" w:rsidR="00DA1357" w:rsidRPr="003874AC" w:rsidRDefault="00DA1357" w:rsidP="00471458">
            <w:pPr>
              <w:pStyle w:val="NoSpacing"/>
              <w:jc w:val="center"/>
              <w:rPr>
                <w:rFonts w:ascii="Times New Roman" w:hAnsi="Times New Roman" w:cs="Times New Roman"/>
                <w:sz w:val="20"/>
                <w:szCs w:val="20"/>
              </w:rPr>
            </w:pPr>
            <w:r w:rsidRPr="003874AC">
              <w:rPr>
                <w:rFonts w:ascii="Times New Roman" w:hAnsi="Times New Roman" w:cs="Times New Roman"/>
                <w:sz w:val="20"/>
                <w:szCs w:val="20"/>
              </w:rPr>
              <w:t>..</w:t>
            </w:r>
          </w:p>
        </w:tc>
        <w:tc>
          <w:tcPr>
            <w:tcW w:w="0" w:type="auto"/>
            <w:vAlign w:val="center"/>
            <w:hideMark/>
          </w:tcPr>
          <w:p w14:paraId="01A00632" w14:textId="77777777" w:rsidR="00DA1357" w:rsidRPr="003874AC" w:rsidRDefault="00DA1357" w:rsidP="00471458">
            <w:pPr>
              <w:pStyle w:val="NoSpacing"/>
              <w:jc w:val="center"/>
              <w:rPr>
                <w:rFonts w:ascii="Times New Roman" w:hAnsi="Times New Roman" w:cs="Times New Roman"/>
                <w:sz w:val="20"/>
                <w:szCs w:val="20"/>
              </w:rPr>
            </w:pPr>
            <w:r w:rsidRPr="003874AC">
              <w:rPr>
                <w:rFonts w:ascii="Times New Roman" w:hAnsi="Times New Roman" w:cs="Times New Roman"/>
                <w:sz w:val="20"/>
                <w:szCs w:val="20"/>
              </w:rPr>
              <w:t>..</w:t>
            </w:r>
          </w:p>
        </w:tc>
        <w:tc>
          <w:tcPr>
            <w:tcW w:w="0" w:type="auto"/>
            <w:vAlign w:val="center"/>
            <w:hideMark/>
          </w:tcPr>
          <w:p w14:paraId="731A6721" w14:textId="77777777" w:rsidR="00DA1357" w:rsidRPr="003874AC" w:rsidRDefault="00DA1357" w:rsidP="00471458">
            <w:pPr>
              <w:pStyle w:val="NoSpacing"/>
              <w:jc w:val="center"/>
              <w:rPr>
                <w:rFonts w:ascii="Times New Roman" w:hAnsi="Times New Roman" w:cs="Times New Roman"/>
                <w:sz w:val="20"/>
                <w:szCs w:val="20"/>
              </w:rPr>
            </w:pPr>
            <w:r w:rsidRPr="003874AC">
              <w:rPr>
                <w:rFonts w:ascii="Times New Roman" w:hAnsi="Times New Roman" w:cs="Times New Roman"/>
                <w:sz w:val="20"/>
                <w:szCs w:val="20"/>
              </w:rPr>
              <w:t>..</w:t>
            </w:r>
          </w:p>
        </w:tc>
        <w:tc>
          <w:tcPr>
            <w:tcW w:w="0" w:type="auto"/>
            <w:vAlign w:val="center"/>
            <w:hideMark/>
          </w:tcPr>
          <w:p w14:paraId="56F35B51" w14:textId="77777777" w:rsidR="00DA1357" w:rsidRPr="003874AC" w:rsidRDefault="00DA1357" w:rsidP="00471458">
            <w:pPr>
              <w:pStyle w:val="NoSpacing"/>
              <w:jc w:val="center"/>
              <w:rPr>
                <w:rFonts w:ascii="Times New Roman" w:hAnsi="Times New Roman" w:cs="Times New Roman"/>
                <w:sz w:val="20"/>
                <w:szCs w:val="20"/>
              </w:rPr>
            </w:pPr>
            <w:r w:rsidRPr="003874AC">
              <w:rPr>
                <w:rFonts w:ascii="Times New Roman" w:hAnsi="Times New Roman" w:cs="Times New Roman"/>
                <w:sz w:val="20"/>
                <w:szCs w:val="20"/>
              </w:rPr>
              <w:t>..</w:t>
            </w:r>
          </w:p>
        </w:tc>
        <w:tc>
          <w:tcPr>
            <w:tcW w:w="0" w:type="auto"/>
            <w:vAlign w:val="center"/>
            <w:hideMark/>
          </w:tcPr>
          <w:p w14:paraId="5103213E" w14:textId="77777777" w:rsidR="00DA1357" w:rsidRPr="003874AC" w:rsidRDefault="00DA1357" w:rsidP="00471458">
            <w:pPr>
              <w:pStyle w:val="NoSpacing"/>
              <w:jc w:val="center"/>
              <w:rPr>
                <w:rFonts w:ascii="Times New Roman" w:hAnsi="Times New Roman" w:cs="Times New Roman"/>
                <w:sz w:val="20"/>
                <w:szCs w:val="20"/>
              </w:rPr>
            </w:pPr>
            <w:r w:rsidRPr="003874AC">
              <w:rPr>
                <w:rFonts w:ascii="Times New Roman" w:hAnsi="Times New Roman" w:cs="Times New Roman"/>
                <w:sz w:val="20"/>
                <w:szCs w:val="20"/>
              </w:rPr>
              <w:t>..</w:t>
            </w:r>
          </w:p>
        </w:tc>
        <w:tc>
          <w:tcPr>
            <w:tcW w:w="0" w:type="auto"/>
            <w:vAlign w:val="center"/>
            <w:hideMark/>
          </w:tcPr>
          <w:p w14:paraId="001F3A2B" w14:textId="77777777" w:rsidR="00DA1357" w:rsidRPr="003874AC" w:rsidRDefault="00DA1357" w:rsidP="00471458">
            <w:pPr>
              <w:pStyle w:val="NoSpacing"/>
              <w:jc w:val="center"/>
              <w:rPr>
                <w:rFonts w:ascii="Times New Roman" w:hAnsi="Times New Roman" w:cs="Times New Roman"/>
                <w:sz w:val="20"/>
                <w:szCs w:val="20"/>
              </w:rPr>
            </w:pPr>
            <w:r w:rsidRPr="003874AC">
              <w:rPr>
                <w:rFonts w:ascii="Times New Roman" w:hAnsi="Times New Roman" w:cs="Times New Roman"/>
                <w:sz w:val="20"/>
                <w:szCs w:val="20"/>
              </w:rPr>
              <w:t>..</w:t>
            </w:r>
          </w:p>
        </w:tc>
        <w:tc>
          <w:tcPr>
            <w:tcW w:w="0" w:type="auto"/>
            <w:vAlign w:val="center"/>
            <w:hideMark/>
          </w:tcPr>
          <w:p w14:paraId="490733A6" w14:textId="77777777" w:rsidR="00DA1357" w:rsidRPr="003874AC" w:rsidRDefault="00DA1357" w:rsidP="00471458">
            <w:pPr>
              <w:pStyle w:val="NoSpacing"/>
              <w:jc w:val="center"/>
              <w:rPr>
                <w:rFonts w:ascii="Times New Roman" w:hAnsi="Times New Roman" w:cs="Times New Roman"/>
                <w:sz w:val="20"/>
                <w:szCs w:val="20"/>
              </w:rPr>
            </w:pPr>
            <w:r w:rsidRPr="003874AC">
              <w:rPr>
                <w:rFonts w:ascii="Times New Roman" w:hAnsi="Times New Roman" w:cs="Times New Roman"/>
                <w:sz w:val="20"/>
                <w:szCs w:val="20"/>
              </w:rPr>
              <w:t>..</w:t>
            </w:r>
          </w:p>
        </w:tc>
        <w:tc>
          <w:tcPr>
            <w:tcW w:w="0" w:type="auto"/>
            <w:vAlign w:val="center"/>
            <w:hideMark/>
          </w:tcPr>
          <w:p w14:paraId="345551B5" w14:textId="77777777" w:rsidR="00DA1357" w:rsidRPr="003874AC" w:rsidRDefault="00DA1357" w:rsidP="00471458">
            <w:pPr>
              <w:pStyle w:val="NoSpacing"/>
              <w:jc w:val="center"/>
              <w:rPr>
                <w:rFonts w:ascii="Times New Roman" w:hAnsi="Times New Roman" w:cs="Times New Roman"/>
                <w:sz w:val="20"/>
                <w:szCs w:val="20"/>
              </w:rPr>
            </w:pPr>
            <w:r w:rsidRPr="003874AC">
              <w:rPr>
                <w:rFonts w:ascii="Times New Roman" w:hAnsi="Times New Roman" w:cs="Times New Roman"/>
                <w:sz w:val="20"/>
                <w:szCs w:val="20"/>
              </w:rPr>
              <w:t>..</w:t>
            </w:r>
          </w:p>
        </w:tc>
        <w:tc>
          <w:tcPr>
            <w:tcW w:w="0" w:type="auto"/>
            <w:vAlign w:val="center"/>
            <w:hideMark/>
          </w:tcPr>
          <w:p w14:paraId="482C4BEB" w14:textId="77777777" w:rsidR="00DA1357" w:rsidRPr="003874AC" w:rsidRDefault="00DA1357" w:rsidP="00471458">
            <w:pPr>
              <w:pStyle w:val="NoSpacing"/>
              <w:jc w:val="center"/>
              <w:rPr>
                <w:rFonts w:ascii="Times New Roman" w:hAnsi="Times New Roman" w:cs="Times New Roman"/>
                <w:sz w:val="20"/>
                <w:szCs w:val="20"/>
              </w:rPr>
            </w:pPr>
            <w:r w:rsidRPr="003874AC">
              <w:rPr>
                <w:rFonts w:ascii="Times New Roman" w:hAnsi="Times New Roman" w:cs="Times New Roman"/>
                <w:sz w:val="20"/>
                <w:szCs w:val="20"/>
              </w:rPr>
              <w:t>..</w:t>
            </w:r>
          </w:p>
        </w:tc>
        <w:tc>
          <w:tcPr>
            <w:tcW w:w="0" w:type="auto"/>
            <w:vAlign w:val="center"/>
            <w:hideMark/>
          </w:tcPr>
          <w:p w14:paraId="666954EE" w14:textId="77777777" w:rsidR="00DA1357" w:rsidRPr="003874AC" w:rsidRDefault="00DA1357" w:rsidP="00471458">
            <w:pPr>
              <w:pStyle w:val="NoSpacing"/>
              <w:jc w:val="center"/>
              <w:rPr>
                <w:rFonts w:ascii="Times New Roman" w:hAnsi="Times New Roman" w:cs="Times New Roman"/>
                <w:sz w:val="20"/>
                <w:szCs w:val="20"/>
              </w:rPr>
            </w:pPr>
            <w:r w:rsidRPr="003874AC">
              <w:rPr>
                <w:rFonts w:ascii="Times New Roman" w:hAnsi="Times New Roman" w:cs="Times New Roman"/>
                <w:sz w:val="20"/>
                <w:szCs w:val="20"/>
              </w:rPr>
              <w:t>..</w:t>
            </w:r>
          </w:p>
        </w:tc>
        <w:tc>
          <w:tcPr>
            <w:tcW w:w="0" w:type="auto"/>
            <w:vAlign w:val="center"/>
            <w:hideMark/>
          </w:tcPr>
          <w:p w14:paraId="71EC1124" w14:textId="77777777" w:rsidR="00DA1357" w:rsidRPr="003874AC" w:rsidRDefault="00DA1357" w:rsidP="00471458">
            <w:pPr>
              <w:pStyle w:val="NoSpacing"/>
              <w:jc w:val="center"/>
              <w:rPr>
                <w:rFonts w:ascii="Times New Roman" w:hAnsi="Times New Roman" w:cs="Times New Roman"/>
                <w:sz w:val="20"/>
                <w:szCs w:val="20"/>
              </w:rPr>
            </w:pPr>
            <w:r w:rsidRPr="003874AC">
              <w:rPr>
                <w:rFonts w:ascii="Times New Roman" w:hAnsi="Times New Roman" w:cs="Times New Roman"/>
                <w:sz w:val="20"/>
                <w:szCs w:val="20"/>
              </w:rPr>
              <w:t>..</w:t>
            </w:r>
          </w:p>
        </w:tc>
        <w:tc>
          <w:tcPr>
            <w:tcW w:w="0" w:type="auto"/>
            <w:vAlign w:val="center"/>
            <w:hideMark/>
          </w:tcPr>
          <w:p w14:paraId="085A7463" w14:textId="77777777" w:rsidR="00DA1357" w:rsidRPr="003874AC" w:rsidRDefault="00DA1357" w:rsidP="00471458">
            <w:pPr>
              <w:pStyle w:val="NoSpacing"/>
              <w:jc w:val="center"/>
              <w:rPr>
                <w:rFonts w:ascii="Times New Roman" w:hAnsi="Times New Roman" w:cs="Times New Roman"/>
                <w:sz w:val="20"/>
                <w:szCs w:val="20"/>
              </w:rPr>
            </w:pPr>
            <w:r w:rsidRPr="003874AC">
              <w:rPr>
                <w:rFonts w:ascii="Times New Roman" w:hAnsi="Times New Roman" w:cs="Times New Roman"/>
                <w:sz w:val="20"/>
                <w:szCs w:val="20"/>
              </w:rPr>
              <w:t>..</w:t>
            </w:r>
          </w:p>
        </w:tc>
        <w:tc>
          <w:tcPr>
            <w:tcW w:w="0" w:type="auto"/>
            <w:vAlign w:val="center"/>
            <w:hideMark/>
          </w:tcPr>
          <w:p w14:paraId="112FB96F" w14:textId="77777777" w:rsidR="00DA1357" w:rsidRPr="003874AC" w:rsidRDefault="00DA1357" w:rsidP="00471458">
            <w:pPr>
              <w:pStyle w:val="NoSpacing"/>
              <w:jc w:val="center"/>
              <w:rPr>
                <w:rFonts w:ascii="Times New Roman" w:hAnsi="Times New Roman" w:cs="Times New Roman"/>
                <w:sz w:val="20"/>
                <w:szCs w:val="20"/>
              </w:rPr>
            </w:pPr>
            <w:r w:rsidRPr="003874AC">
              <w:rPr>
                <w:rFonts w:ascii="Times New Roman" w:hAnsi="Times New Roman" w:cs="Times New Roman"/>
                <w:sz w:val="20"/>
                <w:szCs w:val="20"/>
              </w:rPr>
              <w:t>..</w:t>
            </w:r>
          </w:p>
        </w:tc>
        <w:tc>
          <w:tcPr>
            <w:tcW w:w="0" w:type="auto"/>
            <w:vAlign w:val="center"/>
            <w:hideMark/>
          </w:tcPr>
          <w:p w14:paraId="6EE98507" w14:textId="77777777" w:rsidR="00DA1357" w:rsidRPr="003874AC" w:rsidRDefault="00DA1357" w:rsidP="00471458">
            <w:pPr>
              <w:pStyle w:val="NoSpacing"/>
              <w:jc w:val="center"/>
              <w:rPr>
                <w:rFonts w:ascii="Times New Roman" w:hAnsi="Times New Roman" w:cs="Times New Roman"/>
                <w:sz w:val="20"/>
                <w:szCs w:val="20"/>
              </w:rPr>
            </w:pPr>
            <w:r w:rsidRPr="003874AC">
              <w:rPr>
                <w:rFonts w:ascii="Times New Roman" w:hAnsi="Times New Roman" w:cs="Times New Roman"/>
                <w:sz w:val="20"/>
                <w:szCs w:val="20"/>
              </w:rPr>
              <w:t>..</w:t>
            </w:r>
          </w:p>
        </w:tc>
        <w:tc>
          <w:tcPr>
            <w:tcW w:w="0" w:type="auto"/>
            <w:vAlign w:val="center"/>
            <w:hideMark/>
          </w:tcPr>
          <w:p w14:paraId="0FA1561B" w14:textId="77777777" w:rsidR="00DA1357" w:rsidRPr="003874AC" w:rsidRDefault="00DA1357" w:rsidP="00471458">
            <w:pPr>
              <w:pStyle w:val="NoSpacing"/>
              <w:jc w:val="center"/>
              <w:rPr>
                <w:rFonts w:ascii="Times New Roman" w:hAnsi="Times New Roman" w:cs="Times New Roman"/>
                <w:sz w:val="20"/>
                <w:szCs w:val="20"/>
              </w:rPr>
            </w:pPr>
            <w:r w:rsidRPr="003874AC">
              <w:rPr>
                <w:rFonts w:ascii="Times New Roman" w:hAnsi="Times New Roman" w:cs="Times New Roman"/>
                <w:sz w:val="20"/>
                <w:szCs w:val="20"/>
              </w:rPr>
              <w:t>..</w:t>
            </w:r>
          </w:p>
        </w:tc>
      </w:tr>
      <w:tr w:rsidR="00DA1357" w:rsidRPr="003874AC" w14:paraId="2DBEB47B" w14:textId="77777777" w:rsidTr="00471458">
        <w:tc>
          <w:tcPr>
            <w:tcW w:w="1216" w:type="dxa"/>
            <w:hideMark/>
          </w:tcPr>
          <w:p w14:paraId="7A32D9DC" w14:textId="77777777" w:rsidR="00DA1357" w:rsidRPr="003874AC" w:rsidRDefault="00DA1357" w:rsidP="00DA1357">
            <w:pPr>
              <w:pStyle w:val="NoSpacing"/>
              <w:rPr>
                <w:rFonts w:ascii="Times New Roman" w:hAnsi="Times New Roman" w:cs="Times New Roman"/>
                <w:sz w:val="20"/>
                <w:szCs w:val="20"/>
              </w:rPr>
            </w:pPr>
            <w:r w:rsidRPr="003874AC">
              <w:rPr>
                <w:rFonts w:ascii="Times New Roman" w:hAnsi="Times New Roman" w:cs="Times New Roman"/>
                <w:sz w:val="20"/>
                <w:szCs w:val="20"/>
              </w:rPr>
              <w:t>West Bengal</w:t>
            </w:r>
          </w:p>
        </w:tc>
        <w:tc>
          <w:tcPr>
            <w:tcW w:w="0" w:type="auto"/>
            <w:vAlign w:val="center"/>
            <w:hideMark/>
          </w:tcPr>
          <w:p w14:paraId="0BDCBD8B" w14:textId="77777777" w:rsidR="00DA1357" w:rsidRPr="003874AC" w:rsidRDefault="00DA1357" w:rsidP="00471458">
            <w:pPr>
              <w:pStyle w:val="NoSpacing"/>
              <w:jc w:val="center"/>
              <w:rPr>
                <w:rFonts w:ascii="Times New Roman" w:hAnsi="Times New Roman" w:cs="Times New Roman"/>
                <w:sz w:val="20"/>
                <w:szCs w:val="20"/>
              </w:rPr>
            </w:pPr>
            <w:r w:rsidRPr="003874AC">
              <w:rPr>
                <w:rFonts w:ascii="Times New Roman" w:hAnsi="Times New Roman" w:cs="Times New Roman"/>
                <w:sz w:val="20"/>
                <w:szCs w:val="20"/>
              </w:rPr>
              <w:t>0.53</w:t>
            </w:r>
          </w:p>
        </w:tc>
        <w:tc>
          <w:tcPr>
            <w:tcW w:w="0" w:type="auto"/>
            <w:vAlign w:val="center"/>
            <w:hideMark/>
          </w:tcPr>
          <w:p w14:paraId="2E603146" w14:textId="77777777" w:rsidR="00DA1357" w:rsidRPr="003874AC" w:rsidRDefault="00DA1357" w:rsidP="00471458">
            <w:pPr>
              <w:pStyle w:val="NoSpacing"/>
              <w:jc w:val="center"/>
              <w:rPr>
                <w:rFonts w:ascii="Times New Roman" w:hAnsi="Times New Roman" w:cs="Times New Roman"/>
                <w:sz w:val="20"/>
                <w:szCs w:val="20"/>
              </w:rPr>
            </w:pPr>
            <w:r w:rsidRPr="003874AC">
              <w:rPr>
                <w:rFonts w:ascii="Times New Roman" w:hAnsi="Times New Roman" w:cs="Times New Roman"/>
                <w:sz w:val="20"/>
                <w:szCs w:val="20"/>
              </w:rPr>
              <w:t>0.83</w:t>
            </w:r>
          </w:p>
        </w:tc>
        <w:tc>
          <w:tcPr>
            <w:tcW w:w="0" w:type="auto"/>
            <w:vAlign w:val="center"/>
            <w:hideMark/>
          </w:tcPr>
          <w:p w14:paraId="3B4F119D" w14:textId="77777777" w:rsidR="00DA1357" w:rsidRPr="003874AC" w:rsidRDefault="00DA1357" w:rsidP="00471458">
            <w:pPr>
              <w:pStyle w:val="NoSpacing"/>
              <w:jc w:val="center"/>
              <w:rPr>
                <w:rFonts w:ascii="Times New Roman" w:hAnsi="Times New Roman" w:cs="Times New Roman"/>
                <w:sz w:val="20"/>
                <w:szCs w:val="20"/>
              </w:rPr>
            </w:pPr>
            <w:r w:rsidRPr="003874AC">
              <w:rPr>
                <w:rFonts w:ascii="Times New Roman" w:hAnsi="Times New Roman" w:cs="Times New Roman"/>
                <w:sz w:val="20"/>
                <w:szCs w:val="20"/>
              </w:rPr>
              <w:t>1.48</w:t>
            </w:r>
          </w:p>
        </w:tc>
        <w:tc>
          <w:tcPr>
            <w:tcW w:w="0" w:type="auto"/>
            <w:vAlign w:val="center"/>
            <w:hideMark/>
          </w:tcPr>
          <w:p w14:paraId="63637CF0" w14:textId="77777777" w:rsidR="00DA1357" w:rsidRPr="003874AC" w:rsidRDefault="00DA1357" w:rsidP="00471458">
            <w:pPr>
              <w:pStyle w:val="NoSpacing"/>
              <w:jc w:val="center"/>
              <w:rPr>
                <w:rFonts w:ascii="Times New Roman" w:hAnsi="Times New Roman" w:cs="Times New Roman"/>
                <w:sz w:val="20"/>
                <w:szCs w:val="20"/>
              </w:rPr>
            </w:pPr>
            <w:r w:rsidRPr="003874AC">
              <w:rPr>
                <w:rFonts w:ascii="Times New Roman" w:hAnsi="Times New Roman" w:cs="Times New Roman"/>
                <w:sz w:val="20"/>
                <w:szCs w:val="20"/>
              </w:rPr>
              <w:t>-1.78</w:t>
            </w:r>
          </w:p>
        </w:tc>
        <w:tc>
          <w:tcPr>
            <w:tcW w:w="0" w:type="auto"/>
            <w:vAlign w:val="center"/>
            <w:hideMark/>
          </w:tcPr>
          <w:p w14:paraId="7ABCF945" w14:textId="77777777" w:rsidR="00DA1357" w:rsidRPr="003874AC" w:rsidRDefault="00DA1357" w:rsidP="00471458">
            <w:pPr>
              <w:pStyle w:val="NoSpacing"/>
              <w:jc w:val="center"/>
              <w:rPr>
                <w:rFonts w:ascii="Times New Roman" w:hAnsi="Times New Roman" w:cs="Times New Roman"/>
                <w:sz w:val="20"/>
                <w:szCs w:val="20"/>
              </w:rPr>
            </w:pPr>
            <w:r w:rsidRPr="003874AC">
              <w:rPr>
                <w:rFonts w:ascii="Times New Roman" w:hAnsi="Times New Roman" w:cs="Times New Roman"/>
                <w:sz w:val="20"/>
                <w:szCs w:val="20"/>
              </w:rPr>
              <w:t>0.51</w:t>
            </w:r>
          </w:p>
        </w:tc>
        <w:tc>
          <w:tcPr>
            <w:tcW w:w="0" w:type="auto"/>
            <w:vAlign w:val="center"/>
            <w:hideMark/>
          </w:tcPr>
          <w:p w14:paraId="3EB3D676" w14:textId="77777777" w:rsidR="00DA1357" w:rsidRPr="003874AC" w:rsidRDefault="00DA1357" w:rsidP="00471458">
            <w:pPr>
              <w:pStyle w:val="NoSpacing"/>
              <w:jc w:val="center"/>
              <w:rPr>
                <w:rFonts w:ascii="Times New Roman" w:hAnsi="Times New Roman" w:cs="Times New Roman"/>
                <w:sz w:val="20"/>
                <w:szCs w:val="20"/>
              </w:rPr>
            </w:pPr>
            <w:r w:rsidRPr="003874AC">
              <w:rPr>
                <w:rFonts w:ascii="Times New Roman" w:hAnsi="Times New Roman" w:cs="Times New Roman"/>
                <w:sz w:val="20"/>
                <w:szCs w:val="20"/>
              </w:rPr>
              <w:t>0.95</w:t>
            </w:r>
          </w:p>
        </w:tc>
        <w:tc>
          <w:tcPr>
            <w:tcW w:w="0" w:type="auto"/>
            <w:vAlign w:val="center"/>
            <w:hideMark/>
          </w:tcPr>
          <w:p w14:paraId="1437333A" w14:textId="77777777" w:rsidR="00DA1357" w:rsidRPr="003874AC" w:rsidRDefault="00DA1357" w:rsidP="00471458">
            <w:pPr>
              <w:pStyle w:val="NoSpacing"/>
              <w:jc w:val="center"/>
              <w:rPr>
                <w:rFonts w:ascii="Times New Roman" w:hAnsi="Times New Roman" w:cs="Times New Roman"/>
                <w:sz w:val="20"/>
                <w:szCs w:val="20"/>
              </w:rPr>
            </w:pPr>
            <w:r w:rsidRPr="003874AC">
              <w:rPr>
                <w:rFonts w:ascii="Times New Roman" w:hAnsi="Times New Roman" w:cs="Times New Roman"/>
                <w:sz w:val="20"/>
                <w:szCs w:val="20"/>
              </w:rPr>
              <w:t>1.75</w:t>
            </w:r>
          </w:p>
        </w:tc>
        <w:tc>
          <w:tcPr>
            <w:tcW w:w="0" w:type="auto"/>
            <w:vAlign w:val="center"/>
            <w:hideMark/>
          </w:tcPr>
          <w:p w14:paraId="24B5010D" w14:textId="77777777" w:rsidR="00DA1357" w:rsidRPr="003874AC" w:rsidRDefault="00DA1357" w:rsidP="00471458">
            <w:pPr>
              <w:pStyle w:val="NoSpacing"/>
              <w:jc w:val="center"/>
              <w:rPr>
                <w:rFonts w:ascii="Times New Roman" w:hAnsi="Times New Roman" w:cs="Times New Roman"/>
                <w:sz w:val="20"/>
                <w:szCs w:val="20"/>
              </w:rPr>
            </w:pPr>
            <w:r w:rsidRPr="003874AC">
              <w:rPr>
                <w:rFonts w:ascii="Times New Roman" w:hAnsi="Times New Roman" w:cs="Times New Roman"/>
                <w:sz w:val="20"/>
                <w:szCs w:val="20"/>
              </w:rPr>
              <w:t>-2.19</w:t>
            </w:r>
          </w:p>
        </w:tc>
        <w:tc>
          <w:tcPr>
            <w:tcW w:w="0" w:type="auto"/>
            <w:vAlign w:val="center"/>
            <w:hideMark/>
          </w:tcPr>
          <w:p w14:paraId="4EF6266A" w14:textId="77777777" w:rsidR="00DA1357" w:rsidRPr="003874AC" w:rsidRDefault="00DA1357" w:rsidP="00471458">
            <w:pPr>
              <w:pStyle w:val="NoSpacing"/>
              <w:jc w:val="center"/>
              <w:rPr>
                <w:rFonts w:ascii="Times New Roman" w:hAnsi="Times New Roman" w:cs="Times New Roman"/>
                <w:sz w:val="20"/>
                <w:szCs w:val="20"/>
              </w:rPr>
            </w:pPr>
            <w:r w:rsidRPr="003874AC">
              <w:rPr>
                <w:rFonts w:ascii="Times New Roman" w:hAnsi="Times New Roman" w:cs="Times New Roman"/>
                <w:sz w:val="20"/>
                <w:szCs w:val="20"/>
              </w:rPr>
              <w:t>0.47</w:t>
            </w:r>
          </w:p>
        </w:tc>
        <w:tc>
          <w:tcPr>
            <w:tcW w:w="0" w:type="auto"/>
            <w:vAlign w:val="center"/>
            <w:hideMark/>
          </w:tcPr>
          <w:p w14:paraId="542C906A" w14:textId="77777777" w:rsidR="00DA1357" w:rsidRPr="003874AC" w:rsidRDefault="00DA1357" w:rsidP="00471458">
            <w:pPr>
              <w:pStyle w:val="NoSpacing"/>
              <w:jc w:val="center"/>
              <w:rPr>
                <w:rFonts w:ascii="Times New Roman" w:hAnsi="Times New Roman" w:cs="Times New Roman"/>
                <w:sz w:val="20"/>
                <w:szCs w:val="20"/>
              </w:rPr>
            </w:pPr>
            <w:r w:rsidRPr="003874AC">
              <w:rPr>
                <w:rFonts w:ascii="Times New Roman" w:hAnsi="Times New Roman" w:cs="Times New Roman"/>
                <w:sz w:val="20"/>
                <w:szCs w:val="20"/>
              </w:rPr>
              <w:t>0.96</w:t>
            </w:r>
          </w:p>
        </w:tc>
        <w:tc>
          <w:tcPr>
            <w:tcW w:w="0" w:type="auto"/>
            <w:vAlign w:val="center"/>
            <w:hideMark/>
          </w:tcPr>
          <w:p w14:paraId="4CAD1F87" w14:textId="77777777" w:rsidR="00DA1357" w:rsidRPr="003874AC" w:rsidRDefault="00DA1357" w:rsidP="00471458">
            <w:pPr>
              <w:pStyle w:val="NoSpacing"/>
              <w:jc w:val="center"/>
              <w:rPr>
                <w:rFonts w:ascii="Times New Roman" w:hAnsi="Times New Roman" w:cs="Times New Roman"/>
                <w:sz w:val="20"/>
                <w:szCs w:val="20"/>
              </w:rPr>
            </w:pPr>
            <w:r w:rsidRPr="003874AC">
              <w:rPr>
                <w:rFonts w:ascii="Times New Roman" w:hAnsi="Times New Roman" w:cs="Times New Roman"/>
                <w:sz w:val="20"/>
                <w:szCs w:val="20"/>
              </w:rPr>
              <w:t>1.90</w:t>
            </w:r>
          </w:p>
        </w:tc>
        <w:tc>
          <w:tcPr>
            <w:tcW w:w="0" w:type="auto"/>
            <w:vAlign w:val="center"/>
            <w:hideMark/>
          </w:tcPr>
          <w:p w14:paraId="289F62E6" w14:textId="77777777" w:rsidR="00DA1357" w:rsidRPr="003874AC" w:rsidRDefault="00DA1357" w:rsidP="00471458">
            <w:pPr>
              <w:pStyle w:val="NoSpacing"/>
              <w:jc w:val="center"/>
              <w:rPr>
                <w:rFonts w:ascii="Times New Roman" w:hAnsi="Times New Roman" w:cs="Times New Roman"/>
                <w:sz w:val="20"/>
                <w:szCs w:val="20"/>
              </w:rPr>
            </w:pPr>
            <w:r w:rsidRPr="003874AC">
              <w:rPr>
                <w:rFonts w:ascii="Times New Roman" w:hAnsi="Times New Roman" w:cs="Times New Roman"/>
                <w:sz w:val="20"/>
                <w:szCs w:val="20"/>
              </w:rPr>
              <w:t>-2.39</w:t>
            </w:r>
          </w:p>
        </w:tc>
        <w:tc>
          <w:tcPr>
            <w:tcW w:w="0" w:type="auto"/>
            <w:vAlign w:val="center"/>
            <w:hideMark/>
          </w:tcPr>
          <w:p w14:paraId="05A1D7C4" w14:textId="77777777" w:rsidR="00DA1357" w:rsidRPr="003874AC" w:rsidRDefault="00DA1357" w:rsidP="00471458">
            <w:pPr>
              <w:pStyle w:val="NoSpacing"/>
              <w:jc w:val="center"/>
              <w:rPr>
                <w:rFonts w:ascii="Times New Roman" w:hAnsi="Times New Roman" w:cs="Times New Roman"/>
                <w:sz w:val="20"/>
                <w:szCs w:val="20"/>
              </w:rPr>
            </w:pPr>
            <w:r w:rsidRPr="003874AC">
              <w:rPr>
                <w:rFonts w:ascii="Times New Roman" w:hAnsi="Times New Roman" w:cs="Times New Roman"/>
                <w:sz w:val="20"/>
                <w:szCs w:val="20"/>
              </w:rPr>
              <w:t>0.60</w:t>
            </w:r>
          </w:p>
        </w:tc>
        <w:tc>
          <w:tcPr>
            <w:tcW w:w="0" w:type="auto"/>
            <w:vAlign w:val="center"/>
            <w:hideMark/>
          </w:tcPr>
          <w:p w14:paraId="2CDF3540" w14:textId="77777777" w:rsidR="00DA1357" w:rsidRPr="003874AC" w:rsidRDefault="00DA1357" w:rsidP="00471458">
            <w:pPr>
              <w:pStyle w:val="NoSpacing"/>
              <w:jc w:val="center"/>
              <w:rPr>
                <w:rFonts w:ascii="Times New Roman" w:hAnsi="Times New Roman" w:cs="Times New Roman"/>
                <w:sz w:val="20"/>
                <w:szCs w:val="20"/>
              </w:rPr>
            </w:pPr>
            <w:r w:rsidRPr="003874AC">
              <w:rPr>
                <w:rFonts w:ascii="Times New Roman" w:hAnsi="Times New Roman" w:cs="Times New Roman"/>
                <w:sz w:val="20"/>
                <w:szCs w:val="20"/>
              </w:rPr>
              <w:t>0.45</w:t>
            </w:r>
          </w:p>
        </w:tc>
        <w:tc>
          <w:tcPr>
            <w:tcW w:w="0" w:type="auto"/>
            <w:vAlign w:val="center"/>
            <w:hideMark/>
          </w:tcPr>
          <w:p w14:paraId="0A0A90D3" w14:textId="77777777" w:rsidR="00DA1357" w:rsidRPr="003874AC" w:rsidRDefault="00DA1357" w:rsidP="00471458">
            <w:pPr>
              <w:pStyle w:val="NoSpacing"/>
              <w:jc w:val="center"/>
              <w:rPr>
                <w:rFonts w:ascii="Times New Roman" w:hAnsi="Times New Roman" w:cs="Times New Roman"/>
                <w:sz w:val="20"/>
                <w:szCs w:val="20"/>
              </w:rPr>
            </w:pPr>
            <w:r w:rsidRPr="003874AC">
              <w:rPr>
                <w:rFonts w:ascii="Times New Roman" w:hAnsi="Times New Roman" w:cs="Times New Roman"/>
                <w:sz w:val="20"/>
                <w:szCs w:val="20"/>
              </w:rPr>
              <w:t>2.08</w:t>
            </w:r>
          </w:p>
        </w:tc>
        <w:tc>
          <w:tcPr>
            <w:tcW w:w="0" w:type="auto"/>
            <w:vAlign w:val="center"/>
            <w:hideMark/>
          </w:tcPr>
          <w:p w14:paraId="5262A772" w14:textId="77777777" w:rsidR="00DA1357" w:rsidRPr="003874AC" w:rsidRDefault="00DA1357" w:rsidP="00471458">
            <w:pPr>
              <w:pStyle w:val="NoSpacing"/>
              <w:jc w:val="center"/>
              <w:rPr>
                <w:rFonts w:ascii="Times New Roman" w:hAnsi="Times New Roman" w:cs="Times New Roman"/>
                <w:sz w:val="20"/>
                <w:szCs w:val="20"/>
              </w:rPr>
            </w:pPr>
            <w:r w:rsidRPr="003874AC">
              <w:rPr>
                <w:rFonts w:ascii="Times New Roman" w:hAnsi="Times New Roman" w:cs="Times New Roman"/>
                <w:sz w:val="20"/>
                <w:szCs w:val="20"/>
              </w:rPr>
              <w:t>-1.93</w:t>
            </w:r>
          </w:p>
        </w:tc>
      </w:tr>
      <w:tr w:rsidR="00DA1357" w:rsidRPr="003874AC" w14:paraId="2E40286D" w14:textId="77777777" w:rsidTr="00471458">
        <w:tc>
          <w:tcPr>
            <w:tcW w:w="1216" w:type="dxa"/>
            <w:hideMark/>
          </w:tcPr>
          <w:p w14:paraId="081E9406" w14:textId="77777777" w:rsidR="00DA1357" w:rsidRPr="003874AC" w:rsidRDefault="00DA1357" w:rsidP="00DA1357">
            <w:pPr>
              <w:pStyle w:val="NoSpacing"/>
              <w:rPr>
                <w:rFonts w:ascii="Times New Roman" w:hAnsi="Times New Roman" w:cs="Times New Roman"/>
                <w:sz w:val="20"/>
                <w:szCs w:val="20"/>
              </w:rPr>
            </w:pPr>
            <w:r w:rsidRPr="003874AC">
              <w:rPr>
                <w:rFonts w:ascii="Times New Roman" w:hAnsi="Times New Roman" w:cs="Times New Roman"/>
                <w:sz w:val="20"/>
                <w:szCs w:val="20"/>
              </w:rPr>
              <w:t>TOTAL</w:t>
            </w:r>
          </w:p>
        </w:tc>
        <w:tc>
          <w:tcPr>
            <w:tcW w:w="0" w:type="auto"/>
            <w:vAlign w:val="center"/>
            <w:hideMark/>
          </w:tcPr>
          <w:p w14:paraId="18216CA5" w14:textId="77777777" w:rsidR="00DA1357" w:rsidRPr="003874AC" w:rsidRDefault="00DA1357" w:rsidP="00471458">
            <w:pPr>
              <w:pStyle w:val="NoSpacing"/>
              <w:jc w:val="center"/>
              <w:rPr>
                <w:rFonts w:ascii="Times New Roman" w:hAnsi="Times New Roman" w:cs="Times New Roman"/>
                <w:sz w:val="20"/>
                <w:szCs w:val="20"/>
              </w:rPr>
            </w:pPr>
            <w:r w:rsidRPr="003874AC">
              <w:rPr>
                <w:rFonts w:ascii="Times New Roman" w:hAnsi="Times New Roman" w:cs="Times New Roman"/>
                <w:sz w:val="20"/>
                <w:szCs w:val="20"/>
              </w:rPr>
              <w:t>3.65</w:t>
            </w:r>
          </w:p>
        </w:tc>
        <w:tc>
          <w:tcPr>
            <w:tcW w:w="0" w:type="auto"/>
            <w:vAlign w:val="center"/>
            <w:hideMark/>
          </w:tcPr>
          <w:p w14:paraId="5551ADD6" w14:textId="77777777" w:rsidR="00DA1357" w:rsidRPr="003874AC" w:rsidRDefault="00DA1357" w:rsidP="00471458">
            <w:pPr>
              <w:pStyle w:val="NoSpacing"/>
              <w:jc w:val="center"/>
              <w:rPr>
                <w:rFonts w:ascii="Times New Roman" w:hAnsi="Times New Roman" w:cs="Times New Roman"/>
                <w:sz w:val="20"/>
                <w:szCs w:val="20"/>
              </w:rPr>
            </w:pPr>
            <w:r w:rsidRPr="003874AC">
              <w:rPr>
                <w:rFonts w:ascii="Times New Roman" w:hAnsi="Times New Roman" w:cs="Times New Roman"/>
                <w:sz w:val="20"/>
                <w:szCs w:val="20"/>
              </w:rPr>
              <w:t>2.49</w:t>
            </w:r>
          </w:p>
        </w:tc>
        <w:tc>
          <w:tcPr>
            <w:tcW w:w="0" w:type="auto"/>
            <w:vAlign w:val="center"/>
            <w:hideMark/>
          </w:tcPr>
          <w:p w14:paraId="3986D7EA" w14:textId="77777777" w:rsidR="00DA1357" w:rsidRPr="003874AC" w:rsidRDefault="00DA1357" w:rsidP="00471458">
            <w:pPr>
              <w:pStyle w:val="NoSpacing"/>
              <w:jc w:val="center"/>
              <w:rPr>
                <w:rFonts w:ascii="Times New Roman" w:hAnsi="Times New Roman" w:cs="Times New Roman"/>
                <w:sz w:val="20"/>
                <w:szCs w:val="20"/>
              </w:rPr>
            </w:pPr>
            <w:r w:rsidRPr="003874AC">
              <w:rPr>
                <w:rFonts w:ascii="Times New Roman" w:hAnsi="Times New Roman" w:cs="Times New Roman"/>
                <w:sz w:val="20"/>
                <w:szCs w:val="20"/>
              </w:rPr>
              <w:t>15.09</w:t>
            </w:r>
          </w:p>
        </w:tc>
        <w:tc>
          <w:tcPr>
            <w:tcW w:w="0" w:type="auto"/>
            <w:vAlign w:val="center"/>
            <w:hideMark/>
          </w:tcPr>
          <w:p w14:paraId="0515F870" w14:textId="77777777" w:rsidR="00DA1357" w:rsidRPr="003874AC" w:rsidRDefault="00DA1357" w:rsidP="00471458">
            <w:pPr>
              <w:pStyle w:val="NoSpacing"/>
              <w:jc w:val="center"/>
              <w:rPr>
                <w:rFonts w:ascii="Times New Roman" w:hAnsi="Times New Roman" w:cs="Times New Roman"/>
                <w:sz w:val="20"/>
                <w:szCs w:val="20"/>
              </w:rPr>
            </w:pPr>
            <w:r w:rsidRPr="003874AC">
              <w:rPr>
                <w:rFonts w:ascii="Times New Roman" w:hAnsi="Times New Roman" w:cs="Times New Roman"/>
                <w:sz w:val="20"/>
                <w:szCs w:val="20"/>
              </w:rPr>
              <w:t>-13.93</w:t>
            </w:r>
          </w:p>
        </w:tc>
        <w:tc>
          <w:tcPr>
            <w:tcW w:w="0" w:type="auto"/>
            <w:vAlign w:val="center"/>
            <w:hideMark/>
          </w:tcPr>
          <w:p w14:paraId="36E89EA7" w14:textId="77777777" w:rsidR="00DA1357" w:rsidRPr="003874AC" w:rsidRDefault="00DA1357" w:rsidP="00471458">
            <w:pPr>
              <w:pStyle w:val="NoSpacing"/>
              <w:jc w:val="center"/>
              <w:rPr>
                <w:rFonts w:ascii="Times New Roman" w:hAnsi="Times New Roman" w:cs="Times New Roman"/>
                <w:sz w:val="20"/>
                <w:szCs w:val="20"/>
              </w:rPr>
            </w:pPr>
            <w:r w:rsidRPr="003874AC">
              <w:rPr>
                <w:rFonts w:ascii="Times New Roman" w:hAnsi="Times New Roman" w:cs="Times New Roman"/>
                <w:sz w:val="20"/>
                <w:szCs w:val="20"/>
              </w:rPr>
              <w:t>2.89</w:t>
            </w:r>
          </w:p>
        </w:tc>
        <w:tc>
          <w:tcPr>
            <w:tcW w:w="0" w:type="auto"/>
            <w:vAlign w:val="center"/>
            <w:hideMark/>
          </w:tcPr>
          <w:p w14:paraId="151B4ED4" w14:textId="77777777" w:rsidR="00DA1357" w:rsidRPr="003874AC" w:rsidRDefault="00DA1357" w:rsidP="00471458">
            <w:pPr>
              <w:pStyle w:val="NoSpacing"/>
              <w:jc w:val="center"/>
              <w:rPr>
                <w:rFonts w:ascii="Times New Roman" w:hAnsi="Times New Roman" w:cs="Times New Roman"/>
                <w:sz w:val="20"/>
                <w:szCs w:val="20"/>
              </w:rPr>
            </w:pPr>
            <w:r w:rsidRPr="003874AC">
              <w:rPr>
                <w:rFonts w:ascii="Times New Roman" w:hAnsi="Times New Roman" w:cs="Times New Roman"/>
                <w:sz w:val="20"/>
                <w:szCs w:val="20"/>
              </w:rPr>
              <w:t>2.50</w:t>
            </w:r>
          </w:p>
        </w:tc>
        <w:tc>
          <w:tcPr>
            <w:tcW w:w="0" w:type="auto"/>
            <w:vAlign w:val="center"/>
            <w:hideMark/>
          </w:tcPr>
          <w:p w14:paraId="53ABCC8B" w14:textId="77777777" w:rsidR="00DA1357" w:rsidRPr="003874AC" w:rsidRDefault="00DA1357" w:rsidP="00471458">
            <w:pPr>
              <w:pStyle w:val="NoSpacing"/>
              <w:jc w:val="center"/>
              <w:rPr>
                <w:rFonts w:ascii="Times New Roman" w:hAnsi="Times New Roman" w:cs="Times New Roman"/>
                <w:sz w:val="20"/>
                <w:szCs w:val="20"/>
              </w:rPr>
            </w:pPr>
            <w:r w:rsidRPr="003874AC">
              <w:rPr>
                <w:rFonts w:ascii="Times New Roman" w:hAnsi="Times New Roman" w:cs="Times New Roman"/>
                <w:sz w:val="20"/>
                <w:szCs w:val="20"/>
              </w:rPr>
              <w:t>17.98</w:t>
            </w:r>
          </w:p>
        </w:tc>
        <w:tc>
          <w:tcPr>
            <w:tcW w:w="0" w:type="auto"/>
            <w:vAlign w:val="center"/>
            <w:hideMark/>
          </w:tcPr>
          <w:p w14:paraId="00D2CCD0" w14:textId="77777777" w:rsidR="00DA1357" w:rsidRPr="003874AC" w:rsidRDefault="00DA1357" w:rsidP="00471458">
            <w:pPr>
              <w:pStyle w:val="NoSpacing"/>
              <w:jc w:val="center"/>
              <w:rPr>
                <w:rFonts w:ascii="Times New Roman" w:hAnsi="Times New Roman" w:cs="Times New Roman"/>
                <w:sz w:val="20"/>
                <w:szCs w:val="20"/>
              </w:rPr>
            </w:pPr>
            <w:r w:rsidRPr="003874AC">
              <w:rPr>
                <w:rFonts w:ascii="Times New Roman" w:hAnsi="Times New Roman" w:cs="Times New Roman"/>
                <w:sz w:val="20"/>
                <w:szCs w:val="20"/>
              </w:rPr>
              <w:t>-17.59</w:t>
            </w:r>
          </w:p>
        </w:tc>
        <w:tc>
          <w:tcPr>
            <w:tcW w:w="0" w:type="auto"/>
            <w:vAlign w:val="center"/>
            <w:hideMark/>
          </w:tcPr>
          <w:p w14:paraId="3207F2A6" w14:textId="77777777" w:rsidR="00DA1357" w:rsidRPr="003874AC" w:rsidRDefault="00DA1357" w:rsidP="00471458">
            <w:pPr>
              <w:pStyle w:val="NoSpacing"/>
              <w:jc w:val="center"/>
              <w:rPr>
                <w:rFonts w:ascii="Times New Roman" w:hAnsi="Times New Roman" w:cs="Times New Roman"/>
                <w:sz w:val="20"/>
                <w:szCs w:val="20"/>
              </w:rPr>
            </w:pPr>
            <w:r w:rsidRPr="003874AC">
              <w:rPr>
                <w:rFonts w:ascii="Times New Roman" w:hAnsi="Times New Roman" w:cs="Times New Roman"/>
                <w:sz w:val="20"/>
                <w:szCs w:val="20"/>
              </w:rPr>
              <w:t>7.46</w:t>
            </w:r>
          </w:p>
        </w:tc>
        <w:tc>
          <w:tcPr>
            <w:tcW w:w="0" w:type="auto"/>
            <w:vAlign w:val="center"/>
            <w:hideMark/>
          </w:tcPr>
          <w:p w14:paraId="75F48ECA" w14:textId="77777777" w:rsidR="00DA1357" w:rsidRPr="003874AC" w:rsidRDefault="00DA1357" w:rsidP="00471458">
            <w:pPr>
              <w:pStyle w:val="NoSpacing"/>
              <w:jc w:val="center"/>
              <w:rPr>
                <w:rFonts w:ascii="Times New Roman" w:hAnsi="Times New Roman" w:cs="Times New Roman"/>
                <w:sz w:val="20"/>
                <w:szCs w:val="20"/>
              </w:rPr>
            </w:pPr>
            <w:r w:rsidRPr="003874AC">
              <w:rPr>
                <w:rFonts w:ascii="Times New Roman" w:hAnsi="Times New Roman" w:cs="Times New Roman"/>
                <w:sz w:val="20"/>
                <w:szCs w:val="20"/>
              </w:rPr>
              <w:t>4.96</w:t>
            </w:r>
          </w:p>
        </w:tc>
        <w:tc>
          <w:tcPr>
            <w:tcW w:w="0" w:type="auto"/>
            <w:vAlign w:val="center"/>
            <w:hideMark/>
          </w:tcPr>
          <w:p w14:paraId="4216C179" w14:textId="77777777" w:rsidR="00DA1357" w:rsidRPr="003874AC" w:rsidRDefault="00DA1357" w:rsidP="00471458">
            <w:pPr>
              <w:pStyle w:val="NoSpacing"/>
              <w:jc w:val="center"/>
              <w:rPr>
                <w:rFonts w:ascii="Times New Roman" w:hAnsi="Times New Roman" w:cs="Times New Roman"/>
                <w:sz w:val="20"/>
                <w:szCs w:val="20"/>
              </w:rPr>
            </w:pPr>
            <w:r w:rsidRPr="003874AC">
              <w:rPr>
                <w:rFonts w:ascii="Times New Roman" w:hAnsi="Times New Roman" w:cs="Times New Roman"/>
                <w:sz w:val="20"/>
                <w:szCs w:val="20"/>
              </w:rPr>
              <w:t>26.53</w:t>
            </w:r>
          </w:p>
        </w:tc>
        <w:tc>
          <w:tcPr>
            <w:tcW w:w="0" w:type="auto"/>
            <w:vAlign w:val="center"/>
            <w:hideMark/>
          </w:tcPr>
          <w:p w14:paraId="7E091858" w14:textId="77777777" w:rsidR="00DA1357" w:rsidRPr="003874AC" w:rsidRDefault="00DA1357" w:rsidP="00471458">
            <w:pPr>
              <w:pStyle w:val="NoSpacing"/>
              <w:jc w:val="center"/>
              <w:rPr>
                <w:rFonts w:ascii="Times New Roman" w:hAnsi="Times New Roman" w:cs="Times New Roman"/>
                <w:sz w:val="20"/>
                <w:szCs w:val="20"/>
              </w:rPr>
            </w:pPr>
            <w:r w:rsidRPr="003874AC">
              <w:rPr>
                <w:rFonts w:ascii="Times New Roman" w:hAnsi="Times New Roman" w:cs="Times New Roman"/>
                <w:sz w:val="20"/>
                <w:szCs w:val="20"/>
              </w:rPr>
              <w:t>-24.03</w:t>
            </w:r>
          </w:p>
        </w:tc>
        <w:tc>
          <w:tcPr>
            <w:tcW w:w="0" w:type="auto"/>
            <w:vAlign w:val="center"/>
            <w:hideMark/>
          </w:tcPr>
          <w:p w14:paraId="3DF7DC8F" w14:textId="77777777" w:rsidR="00DA1357" w:rsidRPr="003874AC" w:rsidRDefault="00DA1357" w:rsidP="00471458">
            <w:pPr>
              <w:pStyle w:val="NoSpacing"/>
              <w:jc w:val="center"/>
              <w:rPr>
                <w:rFonts w:ascii="Times New Roman" w:hAnsi="Times New Roman" w:cs="Times New Roman"/>
                <w:sz w:val="20"/>
                <w:szCs w:val="20"/>
              </w:rPr>
            </w:pPr>
            <w:r w:rsidRPr="003874AC">
              <w:rPr>
                <w:rFonts w:ascii="Times New Roman" w:hAnsi="Times New Roman" w:cs="Times New Roman"/>
                <w:sz w:val="20"/>
                <w:szCs w:val="20"/>
              </w:rPr>
              <w:t>8.65</w:t>
            </w:r>
          </w:p>
        </w:tc>
        <w:tc>
          <w:tcPr>
            <w:tcW w:w="0" w:type="auto"/>
            <w:vAlign w:val="center"/>
            <w:hideMark/>
          </w:tcPr>
          <w:p w14:paraId="68D525B3" w14:textId="77777777" w:rsidR="00DA1357" w:rsidRPr="003874AC" w:rsidRDefault="00DA1357" w:rsidP="00471458">
            <w:pPr>
              <w:pStyle w:val="NoSpacing"/>
              <w:jc w:val="center"/>
              <w:rPr>
                <w:rFonts w:ascii="Times New Roman" w:hAnsi="Times New Roman" w:cs="Times New Roman"/>
                <w:sz w:val="20"/>
                <w:szCs w:val="20"/>
              </w:rPr>
            </w:pPr>
            <w:r w:rsidRPr="003874AC">
              <w:rPr>
                <w:rFonts w:ascii="Times New Roman" w:hAnsi="Times New Roman" w:cs="Times New Roman"/>
                <w:sz w:val="20"/>
                <w:szCs w:val="20"/>
              </w:rPr>
              <w:t>5.42</w:t>
            </w:r>
          </w:p>
        </w:tc>
        <w:tc>
          <w:tcPr>
            <w:tcW w:w="0" w:type="auto"/>
            <w:vAlign w:val="center"/>
            <w:hideMark/>
          </w:tcPr>
          <w:p w14:paraId="5414365E" w14:textId="77777777" w:rsidR="00DA1357" w:rsidRPr="003874AC" w:rsidRDefault="00DA1357" w:rsidP="00471458">
            <w:pPr>
              <w:pStyle w:val="NoSpacing"/>
              <w:jc w:val="center"/>
              <w:rPr>
                <w:rFonts w:ascii="Times New Roman" w:hAnsi="Times New Roman" w:cs="Times New Roman"/>
                <w:sz w:val="20"/>
                <w:szCs w:val="20"/>
              </w:rPr>
            </w:pPr>
            <w:r w:rsidRPr="003874AC">
              <w:rPr>
                <w:rFonts w:ascii="Times New Roman" w:hAnsi="Times New Roman" w:cs="Times New Roman"/>
                <w:sz w:val="20"/>
                <w:szCs w:val="20"/>
              </w:rPr>
              <w:t>28.46</w:t>
            </w:r>
          </w:p>
        </w:tc>
        <w:tc>
          <w:tcPr>
            <w:tcW w:w="0" w:type="auto"/>
            <w:vAlign w:val="center"/>
            <w:hideMark/>
          </w:tcPr>
          <w:p w14:paraId="26769508" w14:textId="77777777" w:rsidR="00DA1357" w:rsidRPr="003874AC" w:rsidRDefault="00DA1357" w:rsidP="00471458">
            <w:pPr>
              <w:pStyle w:val="NoSpacing"/>
              <w:jc w:val="center"/>
              <w:rPr>
                <w:rFonts w:ascii="Times New Roman" w:hAnsi="Times New Roman" w:cs="Times New Roman"/>
                <w:sz w:val="20"/>
                <w:szCs w:val="20"/>
              </w:rPr>
            </w:pPr>
            <w:r w:rsidRPr="003874AC">
              <w:rPr>
                <w:rFonts w:ascii="Times New Roman" w:hAnsi="Times New Roman" w:cs="Times New Roman"/>
                <w:sz w:val="20"/>
                <w:szCs w:val="20"/>
              </w:rPr>
              <w:t>-25.23</w:t>
            </w:r>
          </w:p>
        </w:tc>
      </w:tr>
    </w:tbl>
    <w:p w14:paraId="6AAF5FE9" w14:textId="6E5BB33D" w:rsidR="008000A7" w:rsidRPr="00471458" w:rsidRDefault="00DA1357" w:rsidP="003874AC">
      <w:pPr>
        <w:jc w:val="right"/>
        <w:rPr>
          <w:rFonts w:ascii="Times New Roman" w:hAnsi="Times New Roman" w:cs="Times New Roman"/>
          <w:i/>
          <w:iCs/>
        </w:rPr>
      </w:pPr>
      <w:r w:rsidRPr="00471458">
        <w:rPr>
          <w:rFonts w:ascii="Times New Roman" w:hAnsi="Times New Roman" w:cs="Times New Roman"/>
          <w:i/>
          <w:iCs/>
        </w:rPr>
        <w:t xml:space="preserve"> </w:t>
      </w:r>
      <w:r w:rsidR="008000A7" w:rsidRPr="00471458">
        <w:rPr>
          <w:rFonts w:ascii="Times New Roman" w:hAnsi="Times New Roman" w:cs="Times New Roman"/>
          <w:i/>
          <w:iCs/>
        </w:rPr>
        <w:t>(Rs. crores)</w:t>
      </w:r>
    </w:p>
    <w:p w14:paraId="35AF407B" w14:textId="77777777" w:rsidR="008000A7" w:rsidRPr="007245B0" w:rsidRDefault="008000A7" w:rsidP="003874AC">
      <w:pPr>
        <w:pStyle w:val="Sources"/>
      </w:pPr>
      <w:r w:rsidRPr="007245B0">
        <w:t>(a) Budget Estimate.</w:t>
      </w:r>
    </w:p>
    <w:p w14:paraId="288B08A2" w14:textId="77777777" w:rsidR="009C5B9D" w:rsidRDefault="009C5B9D" w:rsidP="003874AC">
      <w:pPr>
        <w:pStyle w:val="Heading4"/>
      </w:pPr>
    </w:p>
    <w:p w14:paraId="6BC307FD" w14:textId="77777777" w:rsidR="009C5B9D" w:rsidRDefault="009C5B9D" w:rsidP="003874AC">
      <w:pPr>
        <w:pStyle w:val="Heading4"/>
      </w:pPr>
    </w:p>
    <w:p w14:paraId="107AA11A" w14:textId="02D5245C" w:rsidR="008000A7" w:rsidRPr="008123F4" w:rsidRDefault="00574BCE" w:rsidP="003874AC">
      <w:pPr>
        <w:pStyle w:val="Heading4"/>
        <w:rPr>
          <w:i/>
          <w:iCs/>
        </w:rPr>
      </w:pPr>
      <w:bookmarkStart w:id="135" w:name="_Toc220949715"/>
      <w:bookmarkStart w:id="136" w:name="_Toc221114315"/>
      <w:bookmarkStart w:id="137" w:name="_Toc221115338"/>
      <w:r>
        <w:t>Table</w:t>
      </w:r>
      <w:r w:rsidR="008000A7" w:rsidRPr="008123F4">
        <w:t xml:space="preserve"> 34: Financial Results of Irrigation Works (Commercial)</w:t>
      </w:r>
      <w:bookmarkEnd w:id="135"/>
      <w:bookmarkEnd w:id="136"/>
      <w:bookmarkEnd w:id="137"/>
    </w:p>
    <w:p w14:paraId="4B831E9D" w14:textId="77777777" w:rsidR="008000A7" w:rsidRPr="008123F4" w:rsidRDefault="008000A7" w:rsidP="008000A7">
      <w:pPr>
        <w:tabs>
          <w:tab w:val="left" w:pos="3306"/>
        </w:tabs>
        <w:spacing w:after="0"/>
        <w:jc w:val="right"/>
        <w:rPr>
          <w:rFonts w:ascii="Times New Roman" w:hAnsi="Times New Roman" w:cs="Times New Roman"/>
          <w:i/>
          <w:iCs/>
          <w:szCs w:val="24"/>
        </w:rPr>
      </w:pPr>
      <w:r w:rsidRPr="008123F4">
        <w:rPr>
          <w:rFonts w:ascii="Times New Roman" w:hAnsi="Times New Roman" w:cs="Times New Roman"/>
          <w:i/>
          <w:iCs/>
          <w:szCs w:val="24"/>
        </w:rPr>
        <w:t>(Rs. crores)</w:t>
      </w:r>
    </w:p>
    <w:tbl>
      <w:tblPr>
        <w:tblStyle w:val="TableGrid"/>
        <w:tblW w:w="15208" w:type="dxa"/>
        <w:jc w:val="center"/>
        <w:tblLook w:val="04A0" w:firstRow="1" w:lastRow="0" w:firstColumn="1" w:lastColumn="0" w:noHBand="0" w:noVBand="1"/>
      </w:tblPr>
      <w:tblGrid>
        <w:gridCol w:w="1655"/>
        <w:gridCol w:w="814"/>
        <w:gridCol w:w="899"/>
        <w:gridCol w:w="815"/>
        <w:gridCol w:w="814"/>
        <w:gridCol w:w="814"/>
        <w:gridCol w:w="899"/>
        <w:gridCol w:w="815"/>
        <w:gridCol w:w="847"/>
        <w:gridCol w:w="888"/>
        <w:gridCol w:w="902"/>
        <w:gridCol w:w="890"/>
        <w:gridCol w:w="814"/>
        <w:gridCol w:w="814"/>
        <w:gridCol w:w="899"/>
        <w:gridCol w:w="815"/>
        <w:gridCol w:w="814"/>
      </w:tblGrid>
      <w:tr w:rsidR="008000A7" w:rsidRPr="008123F4" w14:paraId="6B6C5EA0" w14:textId="77777777" w:rsidTr="00471458">
        <w:trPr>
          <w:trHeight w:val="221"/>
          <w:jc w:val="center"/>
        </w:trPr>
        <w:tc>
          <w:tcPr>
            <w:tcW w:w="0" w:type="auto"/>
            <w:vMerge w:val="restart"/>
            <w:vAlign w:val="center"/>
          </w:tcPr>
          <w:p w14:paraId="07DF2440" w14:textId="77777777" w:rsidR="008000A7" w:rsidRPr="00471458" w:rsidRDefault="008000A7" w:rsidP="00471458">
            <w:pPr>
              <w:pStyle w:val="NoSpacing"/>
              <w:jc w:val="center"/>
              <w:rPr>
                <w:rFonts w:ascii="Times New Roman" w:hAnsi="Times New Roman" w:cs="Times New Roman"/>
                <w:b/>
                <w:bCs/>
                <w:sz w:val="18"/>
                <w:szCs w:val="18"/>
              </w:rPr>
            </w:pPr>
            <w:r w:rsidRPr="00471458">
              <w:rPr>
                <w:rFonts w:ascii="Times New Roman" w:hAnsi="Times New Roman" w:cs="Times New Roman"/>
                <w:b/>
                <w:bCs/>
                <w:sz w:val="18"/>
                <w:szCs w:val="18"/>
              </w:rPr>
              <w:t>States</w:t>
            </w:r>
          </w:p>
        </w:tc>
        <w:tc>
          <w:tcPr>
            <w:tcW w:w="0" w:type="auto"/>
            <w:gridSpan w:val="4"/>
            <w:vAlign w:val="center"/>
          </w:tcPr>
          <w:p w14:paraId="167E68B2" w14:textId="77777777" w:rsidR="008000A7" w:rsidRPr="00471458" w:rsidRDefault="008000A7" w:rsidP="00471458">
            <w:pPr>
              <w:pStyle w:val="NoSpacing"/>
              <w:jc w:val="center"/>
              <w:rPr>
                <w:rFonts w:ascii="Times New Roman" w:hAnsi="Times New Roman" w:cs="Times New Roman"/>
                <w:b/>
                <w:bCs/>
                <w:sz w:val="18"/>
                <w:szCs w:val="18"/>
              </w:rPr>
            </w:pPr>
            <w:r w:rsidRPr="00471458">
              <w:rPr>
                <w:rFonts w:ascii="Times New Roman" w:hAnsi="Times New Roman" w:cs="Times New Roman"/>
                <w:b/>
                <w:bCs/>
                <w:sz w:val="18"/>
                <w:szCs w:val="18"/>
              </w:rPr>
              <w:t>1965-66</w:t>
            </w:r>
          </w:p>
        </w:tc>
        <w:tc>
          <w:tcPr>
            <w:tcW w:w="3475" w:type="dxa"/>
            <w:gridSpan w:val="4"/>
            <w:vAlign w:val="center"/>
          </w:tcPr>
          <w:p w14:paraId="0A83260C" w14:textId="77777777" w:rsidR="008000A7" w:rsidRPr="00471458" w:rsidRDefault="008000A7" w:rsidP="00471458">
            <w:pPr>
              <w:pStyle w:val="NoSpacing"/>
              <w:jc w:val="center"/>
              <w:rPr>
                <w:rFonts w:ascii="Times New Roman" w:hAnsi="Times New Roman" w:cs="Times New Roman"/>
                <w:b/>
                <w:bCs/>
                <w:sz w:val="18"/>
                <w:szCs w:val="18"/>
              </w:rPr>
            </w:pPr>
            <w:r w:rsidRPr="00471458">
              <w:rPr>
                <w:rFonts w:ascii="Times New Roman" w:hAnsi="Times New Roman" w:cs="Times New Roman"/>
                <w:b/>
                <w:bCs/>
                <w:sz w:val="18"/>
                <w:szCs w:val="18"/>
              </w:rPr>
              <w:t>1966-67</w:t>
            </w:r>
          </w:p>
        </w:tc>
        <w:tc>
          <w:tcPr>
            <w:tcW w:w="3504" w:type="dxa"/>
            <w:gridSpan w:val="4"/>
            <w:vAlign w:val="center"/>
          </w:tcPr>
          <w:p w14:paraId="6457425F" w14:textId="77777777" w:rsidR="008000A7" w:rsidRPr="00471458" w:rsidRDefault="008000A7" w:rsidP="00471458">
            <w:pPr>
              <w:pStyle w:val="NoSpacing"/>
              <w:jc w:val="center"/>
              <w:rPr>
                <w:rFonts w:ascii="Times New Roman" w:hAnsi="Times New Roman" w:cs="Times New Roman"/>
                <w:b/>
                <w:bCs/>
                <w:sz w:val="18"/>
                <w:szCs w:val="18"/>
              </w:rPr>
            </w:pPr>
            <w:r w:rsidRPr="00471458">
              <w:rPr>
                <w:rFonts w:ascii="Times New Roman" w:hAnsi="Times New Roman" w:cs="Times New Roman"/>
                <w:b/>
                <w:bCs/>
                <w:sz w:val="18"/>
                <w:szCs w:val="18"/>
              </w:rPr>
              <w:t>1967-68</w:t>
            </w:r>
          </w:p>
        </w:tc>
        <w:tc>
          <w:tcPr>
            <w:tcW w:w="0" w:type="auto"/>
            <w:gridSpan w:val="4"/>
            <w:vAlign w:val="center"/>
          </w:tcPr>
          <w:p w14:paraId="029A1034" w14:textId="31998B69" w:rsidR="008000A7" w:rsidRPr="00471458" w:rsidRDefault="008000A7" w:rsidP="00471458">
            <w:pPr>
              <w:pStyle w:val="NoSpacing"/>
              <w:jc w:val="center"/>
              <w:rPr>
                <w:rFonts w:ascii="Times New Roman" w:hAnsi="Times New Roman" w:cs="Times New Roman"/>
                <w:b/>
                <w:bCs/>
                <w:sz w:val="18"/>
                <w:szCs w:val="18"/>
              </w:rPr>
            </w:pPr>
            <w:r w:rsidRPr="00471458">
              <w:rPr>
                <w:rFonts w:ascii="Times New Roman" w:hAnsi="Times New Roman" w:cs="Times New Roman"/>
                <w:b/>
                <w:bCs/>
                <w:sz w:val="18"/>
                <w:szCs w:val="18"/>
              </w:rPr>
              <w:t>196</w:t>
            </w:r>
            <w:r w:rsidR="00A55F3A">
              <w:rPr>
                <w:rFonts w:ascii="Times New Roman" w:hAnsi="Times New Roman" w:cs="Times New Roman"/>
                <w:b/>
                <w:bCs/>
                <w:sz w:val="18"/>
                <w:szCs w:val="18"/>
              </w:rPr>
              <w:t>8</w:t>
            </w:r>
            <w:r w:rsidRPr="00471458">
              <w:rPr>
                <w:rFonts w:ascii="Times New Roman" w:hAnsi="Times New Roman" w:cs="Times New Roman"/>
                <w:b/>
                <w:bCs/>
                <w:sz w:val="18"/>
                <w:szCs w:val="18"/>
              </w:rPr>
              <w:t>-6</w:t>
            </w:r>
            <w:r w:rsidR="00A55F3A">
              <w:rPr>
                <w:rFonts w:ascii="Times New Roman" w:hAnsi="Times New Roman" w:cs="Times New Roman"/>
                <w:b/>
                <w:bCs/>
                <w:sz w:val="18"/>
                <w:szCs w:val="18"/>
              </w:rPr>
              <w:t>9</w:t>
            </w:r>
            <w:r w:rsidRPr="00471458">
              <w:rPr>
                <w:rFonts w:ascii="Times New Roman" w:hAnsi="Times New Roman" w:cs="Times New Roman"/>
                <w:b/>
                <w:bCs/>
                <w:sz w:val="18"/>
                <w:szCs w:val="18"/>
              </w:rPr>
              <w:t>(R.E.)</w:t>
            </w:r>
          </w:p>
        </w:tc>
      </w:tr>
      <w:tr w:rsidR="008000A7" w:rsidRPr="008123F4" w14:paraId="632AA65C" w14:textId="77777777" w:rsidTr="00471458">
        <w:trPr>
          <w:trHeight w:val="145"/>
          <w:jc w:val="center"/>
        </w:trPr>
        <w:tc>
          <w:tcPr>
            <w:tcW w:w="0" w:type="auto"/>
            <w:vMerge/>
            <w:vAlign w:val="center"/>
            <w:hideMark/>
          </w:tcPr>
          <w:p w14:paraId="377701C2" w14:textId="77777777" w:rsidR="008000A7" w:rsidRPr="00471458" w:rsidRDefault="008000A7" w:rsidP="00471458">
            <w:pPr>
              <w:pStyle w:val="NoSpacing"/>
              <w:jc w:val="center"/>
              <w:rPr>
                <w:rFonts w:ascii="Times New Roman" w:hAnsi="Times New Roman" w:cs="Times New Roman"/>
                <w:b/>
                <w:bCs/>
                <w:sz w:val="18"/>
                <w:szCs w:val="18"/>
              </w:rPr>
            </w:pPr>
          </w:p>
        </w:tc>
        <w:tc>
          <w:tcPr>
            <w:tcW w:w="0" w:type="auto"/>
            <w:vAlign w:val="center"/>
            <w:hideMark/>
          </w:tcPr>
          <w:p w14:paraId="6B8B53F4" w14:textId="77777777" w:rsidR="008000A7" w:rsidRPr="00471458" w:rsidRDefault="008000A7" w:rsidP="00471458">
            <w:pPr>
              <w:pStyle w:val="NoSpacing"/>
              <w:jc w:val="center"/>
              <w:rPr>
                <w:rFonts w:ascii="Times New Roman" w:hAnsi="Times New Roman" w:cs="Times New Roman"/>
                <w:b/>
                <w:bCs/>
                <w:sz w:val="18"/>
                <w:szCs w:val="18"/>
              </w:rPr>
            </w:pPr>
            <w:r w:rsidRPr="00471458">
              <w:rPr>
                <w:rFonts w:ascii="Times New Roman" w:hAnsi="Times New Roman" w:cs="Times New Roman"/>
                <w:b/>
                <w:bCs/>
                <w:sz w:val="18"/>
                <w:szCs w:val="18"/>
              </w:rPr>
              <w:t>Gross receipts</w:t>
            </w:r>
          </w:p>
        </w:tc>
        <w:tc>
          <w:tcPr>
            <w:tcW w:w="0" w:type="auto"/>
            <w:vAlign w:val="center"/>
            <w:hideMark/>
          </w:tcPr>
          <w:p w14:paraId="5B20A7BB" w14:textId="77777777" w:rsidR="008000A7" w:rsidRPr="00471458" w:rsidRDefault="008000A7" w:rsidP="00471458">
            <w:pPr>
              <w:pStyle w:val="NoSpacing"/>
              <w:jc w:val="center"/>
              <w:rPr>
                <w:rFonts w:ascii="Times New Roman" w:hAnsi="Times New Roman" w:cs="Times New Roman"/>
                <w:b/>
                <w:bCs/>
                <w:sz w:val="18"/>
                <w:szCs w:val="18"/>
              </w:rPr>
            </w:pPr>
            <w:r w:rsidRPr="00471458">
              <w:rPr>
                <w:rFonts w:ascii="Times New Roman" w:hAnsi="Times New Roman" w:cs="Times New Roman"/>
                <w:b/>
                <w:bCs/>
                <w:sz w:val="18"/>
                <w:szCs w:val="18"/>
              </w:rPr>
              <w:t>Working expenses</w:t>
            </w:r>
          </w:p>
        </w:tc>
        <w:tc>
          <w:tcPr>
            <w:tcW w:w="0" w:type="auto"/>
            <w:vAlign w:val="center"/>
            <w:hideMark/>
          </w:tcPr>
          <w:p w14:paraId="0ECFA6F3" w14:textId="77777777" w:rsidR="008000A7" w:rsidRPr="00471458" w:rsidRDefault="008000A7" w:rsidP="00471458">
            <w:pPr>
              <w:pStyle w:val="NoSpacing"/>
              <w:jc w:val="center"/>
              <w:rPr>
                <w:rFonts w:ascii="Times New Roman" w:hAnsi="Times New Roman" w:cs="Times New Roman"/>
                <w:b/>
                <w:bCs/>
                <w:sz w:val="18"/>
                <w:szCs w:val="18"/>
              </w:rPr>
            </w:pPr>
            <w:r w:rsidRPr="00471458">
              <w:rPr>
                <w:rFonts w:ascii="Times New Roman" w:hAnsi="Times New Roman" w:cs="Times New Roman"/>
                <w:b/>
                <w:bCs/>
                <w:sz w:val="18"/>
                <w:szCs w:val="18"/>
              </w:rPr>
              <w:t>Interest charges</w:t>
            </w:r>
          </w:p>
        </w:tc>
        <w:tc>
          <w:tcPr>
            <w:tcW w:w="0" w:type="auto"/>
            <w:vAlign w:val="center"/>
            <w:hideMark/>
          </w:tcPr>
          <w:p w14:paraId="4F446EF9" w14:textId="77777777" w:rsidR="008000A7" w:rsidRPr="00471458" w:rsidRDefault="008000A7" w:rsidP="00471458">
            <w:pPr>
              <w:pStyle w:val="NoSpacing"/>
              <w:jc w:val="center"/>
              <w:rPr>
                <w:rFonts w:ascii="Times New Roman" w:hAnsi="Times New Roman" w:cs="Times New Roman"/>
                <w:b/>
                <w:bCs/>
                <w:sz w:val="18"/>
                <w:szCs w:val="18"/>
              </w:rPr>
            </w:pPr>
            <w:r w:rsidRPr="00471458">
              <w:rPr>
                <w:rFonts w:ascii="Times New Roman" w:hAnsi="Times New Roman" w:cs="Times New Roman"/>
                <w:b/>
                <w:bCs/>
                <w:sz w:val="18"/>
                <w:szCs w:val="18"/>
              </w:rPr>
              <w:t>Net receipts</w:t>
            </w:r>
          </w:p>
        </w:tc>
        <w:tc>
          <w:tcPr>
            <w:tcW w:w="0" w:type="auto"/>
            <w:vAlign w:val="center"/>
            <w:hideMark/>
          </w:tcPr>
          <w:p w14:paraId="0F62373A" w14:textId="77777777" w:rsidR="008000A7" w:rsidRPr="00471458" w:rsidRDefault="008000A7" w:rsidP="00471458">
            <w:pPr>
              <w:pStyle w:val="NoSpacing"/>
              <w:jc w:val="center"/>
              <w:rPr>
                <w:rFonts w:ascii="Times New Roman" w:hAnsi="Times New Roman" w:cs="Times New Roman"/>
                <w:b/>
                <w:bCs/>
                <w:sz w:val="18"/>
                <w:szCs w:val="18"/>
              </w:rPr>
            </w:pPr>
            <w:r w:rsidRPr="00471458">
              <w:rPr>
                <w:rFonts w:ascii="Times New Roman" w:hAnsi="Times New Roman" w:cs="Times New Roman"/>
                <w:b/>
                <w:bCs/>
                <w:sz w:val="18"/>
                <w:szCs w:val="18"/>
              </w:rPr>
              <w:t>Gross receipts</w:t>
            </w:r>
          </w:p>
        </w:tc>
        <w:tc>
          <w:tcPr>
            <w:tcW w:w="0" w:type="auto"/>
            <w:vAlign w:val="center"/>
            <w:hideMark/>
          </w:tcPr>
          <w:p w14:paraId="45ED6DB5" w14:textId="77777777" w:rsidR="008000A7" w:rsidRPr="00471458" w:rsidRDefault="008000A7" w:rsidP="00471458">
            <w:pPr>
              <w:pStyle w:val="NoSpacing"/>
              <w:jc w:val="center"/>
              <w:rPr>
                <w:rFonts w:ascii="Times New Roman" w:hAnsi="Times New Roman" w:cs="Times New Roman"/>
                <w:b/>
                <w:bCs/>
                <w:sz w:val="18"/>
                <w:szCs w:val="18"/>
              </w:rPr>
            </w:pPr>
            <w:r w:rsidRPr="00471458">
              <w:rPr>
                <w:rFonts w:ascii="Times New Roman" w:hAnsi="Times New Roman" w:cs="Times New Roman"/>
                <w:b/>
                <w:bCs/>
                <w:sz w:val="18"/>
                <w:szCs w:val="18"/>
              </w:rPr>
              <w:t>Working expenses</w:t>
            </w:r>
          </w:p>
        </w:tc>
        <w:tc>
          <w:tcPr>
            <w:tcW w:w="0" w:type="auto"/>
            <w:vAlign w:val="center"/>
            <w:hideMark/>
          </w:tcPr>
          <w:p w14:paraId="40969717" w14:textId="77777777" w:rsidR="008000A7" w:rsidRPr="00471458" w:rsidRDefault="008000A7" w:rsidP="00471458">
            <w:pPr>
              <w:pStyle w:val="NoSpacing"/>
              <w:jc w:val="center"/>
              <w:rPr>
                <w:rFonts w:ascii="Times New Roman" w:hAnsi="Times New Roman" w:cs="Times New Roman"/>
                <w:b/>
                <w:bCs/>
                <w:sz w:val="18"/>
                <w:szCs w:val="18"/>
              </w:rPr>
            </w:pPr>
            <w:r w:rsidRPr="00471458">
              <w:rPr>
                <w:rFonts w:ascii="Times New Roman" w:hAnsi="Times New Roman" w:cs="Times New Roman"/>
                <w:b/>
                <w:bCs/>
                <w:sz w:val="18"/>
                <w:szCs w:val="18"/>
              </w:rPr>
              <w:t>Interest charges</w:t>
            </w:r>
          </w:p>
        </w:tc>
        <w:tc>
          <w:tcPr>
            <w:tcW w:w="847" w:type="dxa"/>
            <w:vAlign w:val="center"/>
            <w:hideMark/>
          </w:tcPr>
          <w:p w14:paraId="6C2F1B21" w14:textId="77777777" w:rsidR="008000A7" w:rsidRPr="00471458" w:rsidRDefault="008000A7" w:rsidP="00471458">
            <w:pPr>
              <w:pStyle w:val="NoSpacing"/>
              <w:jc w:val="center"/>
              <w:rPr>
                <w:rFonts w:ascii="Times New Roman" w:hAnsi="Times New Roman" w:cs="Times New Roman"/>
                <w:b/>
                <w:bCs/>
                <w:sz w:val="18"/>
                <w:szCs w:val="18"/>
              </w:rPr>
            </w:pPr>
            <w:r w:rsidRPr="00471458">
              <w:rPr>
                <w:rFonts w:ascii="Times New Roman" w:hAnsi="Times New Roman" w:cs="Times New Roman"/>
                <w:b/>
                <w:bCs/>
                <w:sz w:val="18"/>
                <w:szCs w:val="18"/>
              </w:rPr>
              <w:t>Net receipts</w:t>
            </w:r>
          </w:p>
        </w:tc>
        <w:tc>
          <w:tcPr>
            <w:tcW w:w="853" w:type="dxa"/>
            <w:vAlign w:val="center"/>
            <w:hideMark/>
          </w:tcPr>
          <w:p w14:paraId="6630AFA8" w14:textId="77777777" w:rsidR="008000A7" w:rsidRPr="00471458" w:rsidRDefault="008000A7" w:rsidP="00471458">
            <w:pPr>
              <w:pStyle w:val="NoSpacing"/>
              <w:jc w:val="center"/>
              <w:rPr>
                <w:rFonts w:ascii="Times New Roman" w:hAnsi="Times New Roman" w:cs="Times New Roman"/>
                <w:b/>
                <w:bCs/>
                <w:sz w:val="18"/>
                <w:szCs w:val="18"/>
              </w:rPr>
            </w:pPr>
            <w:r w:rsidRPr="00471458">
              <w:rPr>
                <w:rFonts w:ascii="Times New Roman" w:hAnsi="Times New Roman" w:cs="Times New Roman"/>
                <w:b/>
                <w:bCs/>
                <w:sz w:val="18"/>
                <w:szCs w:val="18"/>
              </w:rPr>
              <w:t>Gross receipts</w:t>
            </w:r>
          </w:p>
        </w:tc>
        <w:tc>
          <w:tcPr>
            <w:tcW w:w="0" w:type="auto"/>
            <w:vAlign w:val="center"/>
            <w:hideMark/>
          </w:tcPr>
          <w:p w14:paraId="74CFA4CF" w14:textId="77777777" w:rsidR="008000A7" w:rsidRPr="00471458" w:rsidRDefault="008000A7" w:rsidP="00471458">
            <w:pPr>
              <w:pStyle w:val="NoSpacing"/>
              <w:jc w:val="center"/>
              <w:rPr>
                <w:rFonts w:ascii="Times New Roman" w:hAnsi="Times New Roman" w:cs="Times New Roman"/>
                <w:b/>
                <w:bCs/>
                <w:sz w:val="18"/>
                <w:szCs w:val="18"/>
              </w:rPr>
            </w:pPr>
            <w:r w:rsidRPr="00471458">
              <w:rPr>
                <w:rFonts w:ascii="Times New Roman" w:hAnsi="Times New Roman" w:cs="Times New Roman"/>
                <w:b/>
                <w:bCs/>
                <w:sz w:val="18"/>
                <w:szCs w:val="18"/>
              </w:rPr>
              <w:t>Working expenses</w:t>
            </w:r>
          </w:p>
        </w:tc>
        <w:tc>
          <w:tcPr>
            <w:tcW w:w="0" w:type="auto"/>
            <w:vAlign w:val="center"/>
            <w:hideMark/>
          </w:tcPr>
          <w:p w14:paraId="5CF27ECD" w14:textId="77777777" w:rsidR="008000A7" w:rsidRPr="00471458" w:rsidRDefault="008000A7" w:rsidP="00471458">
            <w:pPr>
              <w:pStyle w:val="NoSpacing"/>
              <w:jc w:val="center"/>
              <w:rPr>
                <w:rFonts w:ascii="Times New Roman" w:hAnsi="Times New Roman" w:cs="Times New Roman"/>
                <w:b/>
                <w:bCs/>
                <w:sz w:val="18"/>
                <w:szCs w:val="18"/>
              </w:rPr>
            </w:pPr>
            <w:r w:rsidRPr="00471458">
              <w:rPr>
                <w:rFonts w:ascii="Times New Roman" w:hAnsi="Times New Roman" w:cs="Times New Roman"/>
                <w:b/>
                <w:bCs/>
                <w:sz w:val="18"/>
                <w:szCs w:val="18"/>
              </w:rPr>
              <w:t>Interest charges</w:t>
            </w:r>
          </w:p>
        </w:tc>
        <w:tc>
          <w:tcPr>
            <w:tcW w:w="0" w:type="auto"/>
            <w:vAlign w:val="center"/>
            <w:hideMark/>
          </w:tcPr>
          <w:p w14:paraId="5DF76400" w14:textId="77777777" w:rsidR="008000A7" w:rsidRPr="00471458" w:rsidRDefault="008000A7" w:rsidP="00471458">
            <w:pPr>
              <w:pStyle w:val="NoSpacing"/>
              <w:jc w:val="center"/>
              <w:rPr>
                <w:rFonts w:ascii="Times New Roman" w:hAnsi="Times New Roman" w:cs="Times New Roman"/>
                <w:b/>
                <w:bCs/>
                <w:sz w:val="18"/>
                <w:szCs w:val="18"/>
              </w:rPr>
            </w:pPr>
            <w:r w:rsidRPr="00471458">
              <w:rPr>
                <w:rFonts w:ascii="Times New Roman" w:hAnsi="Times New Roman" w:cs="Times New Roman"/>
                <w:b/>
                <w:bCs/>
                <w:sz w:val="18"/>
                <w:szCs w:val="18"/>
              </w:rPr>
              <w:t>Net receipts</w:t>
            </w:r>
          </w:p>
        </w:tc>
        <w:tc>
          <w:tcPr>
            <w:tcW w:w="0" w:type="auto"/>
            <w:vAlign w:val="center"/>
            <w:hideMark/>
          </w:tcPr>
          <w:p w14:paraId="76C4328E" w14:textId="77777777" w:rsidR="008000A7" w:rsidRPr="00471458" w:rsidRDefault="008000A7" w:rsidP="00471458">
            <w:pPr>
              <w:pStyle w:val="NoSpacing"/>
              <w:jc w:val="center"/>
              <w:rPr>
                <w:rFonts w:ascii="Times New Roman" w:hAnsi="Times New Roman" w:cs="Times New Roman"/>
                <w:b/>
                <w:bCs/>
                <w:sz w:val="18"/>
                <w:szCs w:val="18"/>
              </w:rPr>
            </w:pPr>
            <w:r w:rsidRPr="00471458">
              <w:rPr>
                <w:rFonts w:ascii="Times New Roman" w:hAnsi="Times New Roman" w:cs="Times New Roman"/>
                <w:b/>
                <w:bCs/>
                <w:sz w:val="18"/>
                <w:szCs w:val="18"/>
              </w:rPr>
              <w:t>Gross receipts</w:t>
            </w:r>
          </w:p>
        </w:tc>
        <w:tc>
          <w:tcPr>
            <w:tcW w:w="0" w:type="auto"/>
            <w:vAlign w:val="center"/>
            <w:hideMark/>
          </w:tcPr>
          <w:p w14:paraId="5FD47AA1" w14:textId="77777777" w:rsidR="008000A7" w:rsidRPr="00471458" w:rsidRDefault="008000A7" w:rsidP="00471458">
            <w:pPr>
              <w:pStyle w:val="NoSpacing"/>
              <w:jc w:val="center"/>
              <w:rPr>
                <w:rFonts w:ascii="Times New Roman" w:hAnsi="Times New Roman" w:cs="Times New Roman"/>
                <w:b/>
                <w:bCs/>
                <w:sz w:val="18"/>
                <w:szCs w:val="18"/>
              </w:rPr>
            </w:pPr>
            <w:r w:rsidRPr="00471458">
              <w:rPr>
                <w:rFonts w:ascii="Times New Roman" w:hAnsi="Times New Roman" w:cs="Times New Roman"/>
                <w:b/>
                <w:bCs/>
                <w:sz w:val="18"/>
                <w:szCs w:val="18"/>
              </w:rPr>
              <w:t>Working expenses</w:t>
            </w:r>
          </w:p>
        </w:tc>
        <w:tc>
          <w:tcPr>
            <w:tcW w:w="0" w:type="auto"/>
            <w:vAlign w:val="center"/>
            <w:hideMark/>
          </w:tcPr>
          <w:p w14:paraId="757154DE" w14:textId="77777777" w:rsidR="008000A7" w:rsidRPr="00471458" w:rsidRDefault="008000A7" w:rsidP="00471458">
            <w:pPr>
              <w:pStyle w:val="NoSpacing"/>
              <w:jc w:val="center"/>
              <w:rPr>
                <w:rFonts w:ascii="Times New Roman" w:hAnsi="Times New Roman" w:cs="Times New Roman"/>
                <w:b/>
                <w:bCs/>
                <w:sz w:val="18"/>
                <w:szCs w:val="18"/>
              </w:rPr>
            </w:pPr>
            <w:r w:rsidRPr="00471458">
              <w:rPr>
                <w:rFonts w:ascii="Times New Roman" w:hAnsi="Times New Roman" w:cs="Times New Roman"/>
                <w:b/>
                <w:bCs/>
                <w:sz w:val="18"/>
                <w:szCs w:val="18"/>
              </w:rPr>
              <w:t>Interest charges</w:t>
            </w:r>
          </w:p>
        </w:tc>
        <w:tc>
          <w:tcPr>
            <w:tcW w:w="0" w:type="auto"/>
            <w:vAlign w:val="center"/>
            <w:hideMark/>
          </w:tcPr>
          <w:p w14:paraId="17D1B572" w14:textId="77777777" w:rsidR="008000A7" w:rsidRPr="00471458" w:rsidRDefault="008000A7" w:rsidP="00471458">
            <w:pPr>
              <w:pStyle w:val="NoSpacing"/>
              <w:jc w:val="center"/>
              <w:rPr>
                <w:rFonts w:ascii="Times New Roman" w:hAnsi="Times New Roman" w:cs="Times New Roman"/>
                <w:b/>
                <w:bCs/>
                <w:sz w:val="18"/>
                <w:szCs w:val="18"/>
              </w:rPr>
            </w:pPr>
            <w:r w:rsidRPr="00471458">
              <w:rPr>
                <w:rFonts w:ascii="Times New Roman" w:hAnsi="Times New Roman" w:cs="Times New Roman"/>
                <w:b/>
                <w:bCs/>
                <w:sz w:val="18"/>
                <w:szCs w:val="18"/>
              </w:rPr>
              <w:t>Net receipts</w:t>
            </w:r>
          </w:p>
        </w:tc>
      </w:tr>
      <w:tr w:rsidR="008000A7" w:rsidRPr="008123F4" w14:paraId="55DD47B7" w14:textId="77777777" w:rsidTr="00471458">
        <w:trPr>
          <w:trHeight w:val="221"/>
          <w:jc w:val="center"/>
        </w:trPr>
        <w:tc>
          <w:tcPr>
            <w:tcW w:w="0" w:type="auto"/>
            <w:vAlign w:val="center"/>
            <w:hideMark/>
          </w:tcPr>
          <w:p w14:paraId="763D105A" w14:textId="77777777" w:rsidR="008000A7" w:rsidRPr="00471458" w:rsidRDefault="008000A7" w:rsidP="00471458">
            <w:pPr>
              <w:pStyle w:val="NoSpacing"/>
              <w:jc w:val="center"/>
              <w:rPr>
                <w:rFonts w:ascii="Times New Roman" w:hAnsi="Times New Roman" w:cs="Times New Roman"/>
                <w:b/>
                <w:bCs/>
                <w:sz w:val="18"/>
                <w:szCs w:val="18"/>
              </w:rPr>
            </w:pPr>
            <w:r w:rsidRPr="00471458">
              <w:rPr>
                <w:rFonts w:ascii="Times New Roman" w:hAnsi="Times New Roman" w:cs="Times New Roman"/>
                <w:b/>
                <w:bCs/>
                <w:sz w:val="18"/>
                <w:szCs w:val="18"/>
              </w:rPr>
              <w:t>1</w:t>
            </w:r>
          </w:p>
        </w:tc>
        <w:tc>
          <w:tcPr>
            <w:tcW w:w="0" w:type="auto"/>
            <w:vAlign w:val="center"/>
            <w:hideMark/>
          </w:tcPr>
          <w:p w14:paraId="1FA95358" w14:textId="77777777" w:rsidR="008000A7" w:rsidRPr="00471458" w:rsidRDefault="008000A7" w:rsidP="00471458">
            <w:pPr>
              <w:pStyle w:val="NoSpacing"/>
              <w:jc w:val="center"/>
              <w:rPr>
                <w:rFonts w:ascii="Times New Roman" w:hAnsi="Times New Roman" w:cs="Times New Roman"/>
                <w:b/>
                <w:bCs/>
                <w:sz w:val="18"/>
                <w:szCs w:val="18"/>
              </w:rPr>
            </w:pPr>
            <w:r w:rsidRPr="00471458">
              <w:rPr>
                <w:rFonts w:ascii="Times New Roman" w:hAnsi="Times New Roman" w:cs="Times New Roman"/>
                <w:b/>
                <w:bCs/>
                <w:sz w:val="18"/>
                <w:szCs w:val="18"/>
              </w:rPr>
              <w:t>2</w:t>
            </w:r>
          </w:p>
        </w:tc>
        <w:tc>
          <w:tcPr>
            <w:tcW w:w="0" w:type="auto"/>
            <w:vAlign w:val="center"/>
            <w:hideMark/>
          </w:tcPr>
          <w:p w14:paraId="3DEF1A2E" w14:textId="77777777" w:rsidR="008000A7" w:rsidRPr="00471458" w:rsidRDefault="008000A7" w:rsidP="00471458">
            <w:pPr>
              <w:pStyle w:val="NoSpacing"/>
              <w:jc w:val="center"/>
              <w:rPr>
                <w:rFonts w:ascii="Times New Roman" w:hAnsi="Times New Roman" w:cs="Times New Roman"/>
                <w:b/>
                <w:bCs/>
                <w:sz w:val="18"/>
                <w:szCs w:val="18"/>
              </w:rPr>
            </w:pPr>
            <w:r w:rsidRPr="00471458">
              <w:rPr>
                <w:rFonts w:ascii="Times New Roman" w:hAnsi="Times New Roman" w:cs="Times New Roman"/>
                <w:b/>
                <w:bCs/>
                <w:sz w:val="18"/>
                <w:szCs w:val="18"/>
              </w:rPr>
              <w:t>3</w:t>
            </w:r>
          </w:p>
        </w:tc>
        <w:tc>
          <w:tcPr>
            <w:tcW w:w="0" w:type="auto"/>
            <w:vAlign w:val="center"/>
            <w:hideMark/>
          </w:tcPr>
          <w:p w14:paraId="18CC2DEE" w14:textId="77777777" w:rsidR="008000A7" w:rsidRPr="00471458" w:rsidRDefault="008000A7" w:rsidP="00471458">
            <w:pPr>
              <w:pStyle w:val="NoSpacing"/>
              <w:jc w:val="center"/>
              <w:rPr>
                <w:rFonts w:ascii="Times New Roman" w:hAnsi="Times New Roman" w:cs="Times New Roman"/>
                <w:b/>
                <w:bCs/>
                <w:sz w:val="18"/>
                <w:szCs w:val="18"/>
              </w:rPr>
            </w:pPr>
            <w:r w:rsidRPr="00471458">
              <w:rPr>
                <w:rFonts w:ascii="Times New Roman" w:hAnsi="Times New Roman" w:cs="Times New Roman"/>
                <w:b/>
                <w:bCs/>
                <w:sz w:val="18"/>
                <w:szCs w:val="18"/>
              </w:rPr>
              <w:t>4</w:t>
            </w:r>
          </w:p>
        </w:tc>
        <w:tc>
          <w:tcPr>
            <w:tcW w:w="0" w:type="auto"/>
            <w:vAlign w:val="center"/>
            <w:hideMark/>
          </w:tcPr>
          <w:p w14:paraId="6C0AC76B" w14:textId="77777777" w:rsidR="008000A7" w:rsidRPr="00471458" w:rsidRDefault="008000A7" w:rsidP="00471458">
            <w:pPr>
              <w:pStyle w:val="NoSpacing"/>
              <w:jc w:val="center"/>
              <w:rPr>
                <w:rFonts w:ascii="Times New Roman" w:hAnsi="Times New Roman" w:cs="Times New Roman"/>
                <w:b/>
                <w:bCs/>
                <w:sz w:val="18"/>
                <w:szCs w:val="18"/>
              </w:rPr>
            </w:pPr>
            <w:r w:rsidRPr="00471458">
              <w:rPr>
                <w:rFonts w:ascii="Times New Roman" w:hAnsi="Times New Roman" w:cs="Times New Roman"/>
                <w:b/>
                <w:bCs/>
                <w:sz w:val="18"/>
                <w:szCs w:val="18"/>
              </w:rPr>
              <w:t>5</w:t>
            </w:r>
          </w:p>
        </w:tc>
        <w:tc>
          <w:tcPr>
            <w:tcW w:w="0" w:type="auto"/>
            <w:vAlign w:val="center"/>
            <w:hideMark/>
          </w:tcPr>
          <w:p w14:paraId="74914A68" w14:textId="77777777" w:rsidR="008000A7" w:rsidRPr="00471458" w:rsidRDefault="008000A7" w:rsidP="00471458">
            <w:pPr>
              <w:pStyle w:val="NoSpacing"/>
              <w:jc w:val="center"/>
              <w:rPr>
                <w:rFonts w:ascii="Times New Roman" w:hAnsi="Times New Roman" w:cs="Times New Roman"/>
                <w:b/>
                <w:bCs/>
                <w:sz w:val="18"/>
                <w:szCs w:val="18"/>
              </w:rPr>
            </w:pPr>
            <w:r w:rsidRPr="00471458">
              <w:rPr>
                <w:rFonts w:ascii="Times New Roman" w:hAnsi="Times New Roman" w:cs="Times New Roman"/>
                <w:b/>
                <w:bCs/>
                <w:sz w:val="18"/>
                <w:szCs w:val="18"/>
              </w:rPr>
              <w:t>6</w:t>
            </w:r>
          </w:p>
        </w:tc>
        <w:tc>
          <w:tcPr>
            <w:tcW w:w="0" w:type="auto"/>
            <w:vAlign w:val="center"/>
            <w:hideMark/>
          </w:tcPr>
          <w:p w14:paraId="04E05F69" w14:textId="77777777" w:rsidR="008000A7" w:rsidRPr="00471458" w:rsidRDefault="008000A7" w:rsidP="00471458">
            <w:pPr>
              <w:pStyle w:val="NoSpacing"/>
              <w:jc w:val="center"/>
              <w:rPr>
                <w:rFonts w:ascii="Times New Roman" w:hAnsi="Times New Roman" w:cs="Times New Roman"/>
                <w:b/>
                <w:bCs/>
                <w:sz w:val="18"/>
                <w:szCs w:val="18"/>
              </w:rPr>
            </w:pPr>
            <w:r w:rsidRPr="00471458">
              <w:rPr>
                <w:rFonts w:ascii="Times New Roman" w:hAnsi="Times New Roman" w:cs="Times New Roman"/>
                <w:b/>
                <w:bCs/>
                <w:sz w:val="18"/>
                <w:szCs w:val="18"/>
              </w:rPr>
              <w:t>7</w:t>
            </w:r>
          </w:p>
        </w:tc>
        <w:tc>
          <w:tcPr>
            <w:tcW w:w="0" w:type="auto"/>
            <w:vAlign w:val="center"/>
            <w:hideMark/>
          </w:tcPr>
          <w:p w14:paraId="2EB8FAB7" w14:textId="77777777" w:rsidR="008000A7" w:rsidRPr="00471458" w:rsidRDefault="008000A7" w:rsidP="00471458">
            <w:pPr>
              <w:pStyle w:val="NoSpacing"/>
              <w:jc w:val="center"/>
              <w:rPr>
                <w:rFonts w:ascii="Times New Roman" w:hAnsi="Times New Roman" w:cs="Times New Roman"/>
                <w:b/>
                <w:bCs/>
                <w:sz w:val="18"/>
                <w:szCs w:val="18"/>
              </w:rPr>
            </w:pPr>
            <w:r w:rsidRPr="00471458">
              <w:rPr>
                <w:rFonts w:ascii="Times New Roman" w:hAnsi="Times New Roman" w:cs="Times New Roman"/>
                <w:b/>
                <w:bCs/>
                <w:sz w:val="18"/>
                <w:szCs w:val="18"/>
              </w:rPr>
              <w:t>8</w:t>
            </w:r>
          </w:p>
        </w:tc>
        <w:tc>
          <w:tcPr>
            <w:tcW w:w="847" w:type="dxa"/>
            <w:vAlign w:val="center"/>
            <w:hideMark/>
          </w:tcPr>
          <w:p w14:paraId="09770178" w14:textId="77777777" w:rsidR="008000A7" w:rsidRPr="00471458" w:rsidRDefault="008000A7" w:rsidP="00471458">
            <w:pPr>
              <w:pStyle w:val="NoSpacing"/>
              <w:jc w:val="center"/>
              <w:rPr>
                <w:rFonts w:ascii="Times New Roman" w:hAnsi="Times New Roman" w:cs="Times New Roman"/>
                <w:b/>
                <w:bCs/>
                <w:sz w:val="18"/>
                <w:szCs w:val="18"/>
              </w:rPr>
            </w:pPr>
            <w:r w:rsidRPr="00471458">
              <w:rPr>
                <w:rFonts w:ascii="Times New Roman" w:hAnsi="Times New Roman" w:cs="Times New Roman"/>
                <w:b/>
                <w:bCs/>
                <w:sz w:val="18"/>
                <w:szCs w:val="18"/>
              </w:rPr>
              <w:t>9</w:t>
            </w:r>
          </w:p>
        </w:tc>
        <w:tc>
          <w:tcPr>
            <w:tcW w:w="853" w:type="dxa"/>
            <w:vAlign w:val="center"/>
            <w:hideMark/>
          </w:tcPr>
          <w:p w14:paraId="35801AE8" w14:textId="77777777" w:rsidR="008000A7" w:rsidRPr="00471458" w:rsidRDefault="008000A7" w:rsidP="00471458">
            <w:pPr>
              <w:pStyle w:val="NoSpacing"/>
              <w:jc w:val="center"/>
              <w:rPr>
                <w:rFonts w:ascii="Times New Roman" w:hAnsi="Times New Roman" w:cs="Times New Roman"/>
                <w:b/>
                <w:bCs/>
                <w:sz w:val="18"/>
                <w:szCs w:val="18"/>
              </w:rPr>
            </w:pPr>
            <w:r w:rsidRPr="00471458">
              <w:rPr>
                <w:rFonts w:ascii="Times New Roman" w:hAnsi="Times New Roman" w:cs="Times New Roman"/>
                <w:b/>
                <w:bCs/>
                <w:sz w:val="18"/>
                <w:szCs w:val="18"/>
              </w:rPr>
              <w:t>10</w:t>
            </w:r>
          </w:p>
        </w:tc>
        <w:tc>
          <w:tcPr>
            <w:tcW w:w="0" w:type="auto"/>
            <w:vAlign w:val="center"/>
            <w:hideMark/>
          </w:tcPr>
          <w:p w14:paraId="0E95069C" w14:textId="77777777" w:rsidR="008000A7" w:rsidRPr="00471458" w:rsidRDefault="008000A7" w:rsidP="00471458">
            <w:pPr>
              <w:pStyle w:val="NoSpacing"/>
              <w:jc w:val="center"/>
              <w:rPr>
                <w:rFonts w:ascii="Times New Roman" w:hAnsi="Times New Roman" w:cs="Times New Roman"/>
                <w:b/>
                <w:bCs/>
                <w:sz w:val="18"/>
                <w:szCs w:val="18"/>
              </w:rPr>
            </w:pPr>
            <w:r w:rsidRPr="00471458">
              <w:rPr>
                <w:rFonts w:ascii="Times New Roman" w:hAnsi="Times New Roman" w:cs="Times New Roman"/>
                <w:b/>
                <w:bCs/>
                <w:sz w:val="18"/>
                <w:szCs w:val="18"/>
              </w:rPr>
              <w:t>11</w:t>
            </w:r>
          </w:p>
        </w:tc>
        <w:tc>
          <w:tcPr>
            <w:tcW w:w="0" w:type="auto"/>
            <w:vAlign w:val="center"/>
            <w:hideMark/>
          </w:tcPr>
          <w:p w14:paraId="062B375D" w14:textId="77777777" w:rsidR="008000A7" w:rsidRPr="00471458" w:rsidRDefault="008000A7" w:rsidP="00471458">
            <w:pPr>
              <w:pStyle w:val="NoSpacing"/>
              <w:jc w:val="center"/>
              <w:rPr>
                <w:rFonts w:ascii="Times New Roman" w:hAnsi="Times New Roman" w:cs="Times New Roman"/>
                <w:b/>
                <w:bCs/>
                <w:sz w:val="18"/>
                <w:szCs w:val="18"/>
              </w:rPr>
            </w:pPr>
            <w:r w:rsidRPr="00471458">
              <w:rPr>
                <w:rFonts w:ascii="Times New Roman" w:hAnsi="Times New Roman" w:cs="Times New Roman"/>
                <w:b/>
                <w:bCs/>
                <w:sz w:val="18"/>
                <w:szCs w:val="18"/>
              </w:rPr>
              <w:t>12</w:t>
            </w:r>
          </w:p>
        </w:tc>
        <w:tc>
          <w:tcPr>
            <w:tcW w:w="0" w:type="auto"/>
            <w:vAlign w:val="center"/>
            <w:hideMark/>
          </w:tcPr>
          <w:p w14:paraId="42F79019" w14:textId="77777777" w:rsidR="008000A7" w:rsidRPr="00471458" w:rsidRDefault="008000A7" w:rsidP="00471458">
            <w:pPr>
              <w:pStyle w:val="NoSpacing"/>
              <w:jc w:val="center"/>
              <w:rPr>
                <w:rFonts w:ascii="Times New Roman" w:hAnsi="Times New Roman" w:cs="Times New Roman"/>
                <w:b/>
                <w:bCs/>
                <w:sz w:val="18"/>
                <w:szCs w:val="18"/>
              </w:rPr>
            </w:pPr>
            <w:r w:rsidRPr="00471458">
              <w:rPr>
                <w:rFonts w:ascii="Times New Roman" w:hAnsi="Times New Roman" w:cs="Times New Roman"/>
                <w:b/>
                <w:bCs/>
                <w:sz w:val="18"/>
                <w:szCs w:val="18"/>
              </w:rPr>
              <w:t>13</w:t>
            </w:r>
          </w:p>
        </w:tc>
        <w:tc>
          <w:tcPr>
            <w:tcW w:w="0" w:type="auto"/>
            <w:vAlign w:val="center"/>
            <w:hideMark/>
          </w:tcPr>
          <w:p w14:paraId="2E5FFA75" w14:textId="77777777" w:rsidR="008000A7" w:rsidRPr="00471458" w:rsidRDefault="008000A7" w:rsidP="00471458">
            <w:pPr>
              <w:pStyle w:val="NoSpacing"/>
              <w:jc w:val="center"/>
              <w:rPr>
                <w:rFonts w:ascii="Times New Roman" w:hAnsi="Times New Roman" w:cs="Times New Roman"/>
                <w:b/>
                <w:bCs/>
                <w:sz w:val="18"/>
                <w:szCs w:val="18"/>
              </w:rPr>
            </w:pPr>
            <w:r w:rsidRPr="00471458">
              <w:rPr>
                <w:rFonts w:ascii="Times New Roman" w:hAnsi="Times New Roman" w:cs="Times New Roman"/>
                <w:b/>
                <w:bCs/>
                <w:sz w:val="18"/>
                <w:szCs w:val="18"/>
              </w:rPr>
              <w:t>14</w:t>
            </w:r>
          </w:p>
        </w:tc>
        <w:tc>
          <w:tcPr>
            <w:tcW w:w="0" w:type="auto"/>
            <w:vAlign w:val="center"/>
            <w:hideMark/>
          </w:tcPr>
          <w:p w14:paraId="33181925" w14:textId="77777777" w:rsidR="008000A7" w:rsidRPr="00471458" w:rsidRDefault="008000A7" w:rsidP="00471458">
            <w:pPr>
              <w:pStyle w:val="NoSpacing"/>
              <w:jc w:val="center"/>
              <w:rPr>
                <w:rFonts w:ascii="Times New Roman" w:hAnsi="Times New Roman" w:cs="Times New Roman"/>
                <w:b/>
                <w:bCs/>
                <w:sz w:val="18"/>
                <w:szCs w:val="18"/>
              </w:rPr>
            </w:pPr>
            <w:r w:rsidRPr="00471458">
              <w:rPr>
                <w:rFonts w:ascii="Times New Roman" w:hAnsi="Times New Roman" w:cs="Times New Roman"/>
                <w:b/>
                <w:bCs/>
                <w:sz w:val="18"/>
                <w:szCs w:val="18"/>
              </w:rPr>
              <w:t>15</w:t>
            </w:r>
          </w:p>
        </w:tc>
        <w:tc>
          <w:tcPr>
            <w:tcW w:w="0" w:type="auto"/>
            <w:vAlign w:val="center"/>
            <w:hideMark/>
          </w:tcPr>
          <w:p w14:paraId="3E897496" w14:textId="77777777" w:rsidR="008000A7" w:rsidRPr="00471458" w:rsidRDefault="008000A7" w:rsidP="00471458">
            <w:pPr>
              <w:pStyle w:val="NoSpacing"/>
              <w:jc w:val="center"/>
              <w:rPr>
                <w:rFonts w:ascii="Times New Roman" w:hAnsi="Times New Roman" w:cs="Times New Roman"/>
                <w:b/>
                <w:bCs/>
                <w:sz w:val="18"/>
                <w:szCs w:val="18"/>
              </w:rPr>
            </w:pPr>
            <w:r w:rsidRPr="00471458">
              <w:rPr>
                <w:rFonts w:ascii="Times New Roman" w:hAnsi="Times New Roman" w:cs="Times New Roman"/>
                <w:b/>
                <w:bCs/>
                <w:sz w:val="18"/>
                <w:szCs w:val="18"/>
              </w:rPr>
              <w:t>16</w:t>
            </w:r>
          </w:p>
        </w:tc>
        <w:tc>
          <w:tcPr>
            <w:tcW w:w="0" w:type="auto"/>
            <w:vAlign w:val="center"/>
            <w:hideMark/>
          </w:tcPr>
          <w:p w14:paraId="3A4A77A8" w14:textId="77777777" w:rsidR="008000A7" w:rsidRPr="00471458" w:rsidRDefault="008000A7" w:rsidP="00471458">
            <w:pPr>
              <w:pStyle w:val="NoSpacing"/>
              <w:jc w:val="center"/>
              <w:rPr>
                <w:rFonts w:ascii="Times New Roman" w:hAnsi="Times New Roman" w:cs="Times New Roman"/>
                <w:b/>
                <w:bCs/>
                <w:sz w:val="18"/>
                <w:szCs w:val="18"/>
              </w:rPr>
            </w:pPr>
            <w:r w:rsidRPr="00471458">
              <w:rPr>
                <w:rFonts w:ascii="Times New Roman" w:hAnsi="Times New Roman" w:cs="Times New Roman"/>
                <w:b/>
                <w:bCs/>
                <w:sz w:val="18"/>
                <w:szCs w:val="18"/>
              </w:rPr>
              <w:t>17</w:t>
            </w:r>
          </w:p>
        </w:tc>
      </w:tr>
      <w:tr w:rsidR="008000A7" w:rsidRPr="008123F4" w14:paraId="6E9D5659" w14:textId="77777777" w:rsidTr="003874AC">
        <w:trPr>
          <w:trHeight w:val="443"/>
          <w:jc w:val="center"/>
        </w:trPr>
        <w:tc>
          <w:tcPr>
            <w:tcW w:w="0" w:type="auto"/>
            <w:hideMark/>
          </w:tcPr>
          <w:p w14:paraId="25150F99" w14:textId="77777777" w:rsidR="008000A7" w:rsidRPr="008123F4" w:rsidRDefault="008000A7" w:rsidP="00B77C0B">
            <w:pPr>
              <w:pStyle w:val="NoSpacing"/>
              <w:rPr>
                <w:rFonts w:ascii="Times New Roman" w:hAnsi="Times New Roman" w:cs="Times New Roman"/>
                <w:sz w:val="20"/>
                <w:szCs w:val="20"/>
              </w:rPr>
            </w:pPr>
            <w:r w:rsidRPr="008123F4">
              <w:rPr>
                <w:rFonts w:ascii="Times New Roman" w:hAnsi="Times New Roman" w:cs="Times New Roman"/>
                <w:sz w:val="20"/>
                <w:szCs w:val="20"/>
              </w:rPr>
              <w:t>Andhra Pradesh</w:t>
            </w:r>
          </w:p>
        </w:tc>
        <w:tc>
          <w:tcPr>
            <w:tcW w:w="0" w:type="auto"/>
            <w:hideMark/>
          </w:tcPr>
          <w:p w14:paraId="34042B70" w14:textId="77777777" w:rsidR="008000A7" w:rsidRPr="008123F4" w:rsidRDefault="008000A7" w:rsidP="00471458">
            <w:pPr>
              <w:pStyle w:val="NoSpacing"/>
              <w:jc w:val="center"/>
              <w:rPr>
                <w:rFonts w:ascii="Times New Roman" w:hAnsi="Times New Roman" w:cs="Times New Roman"/>
                <w:sz w:val="20"/>
                <w:szCs w:val="20"/>
              </w:rPr>
            </w:pPr>
            <w:r w:rsidRPr="008123F4">
              <w:rPr>
                <w:rFonts w:ascii="Times New Roman" w:hAnsi="Times New Roman" w:cs="Times New Roman"/>
                <w:sz w:val="20"/>
                <w:szCs w:val="20"/>
              </w:rPr>
              <w:t>0.19(c)</w:t>
            </w:r>
          </w:p>
        </w:tc>
        <w:tc>
          <w:tcPr>
            <w:tcW w:w="0" w:type="auto"/>
            <w:hideMark/>
          </w:tcPr>
          <w:p w14:paraId="1F032CC6" w14:textId="77777777" w:rsidR="008000A7" w:rsidRPr="008123F4" w:rsidRDefault="008000A7" w:rsidP="00471458">
            <w:pPr>
              <w:pStyle w:val="NoSpacing"/>
              <w:jc w:val="center"/>
              <w:rPr>
                <w:rFonts w:ascii="Times New Roman" w:hAnsi="Times New Roman" w:cs="Times New Roman"/>
                <w:sz w:val="20"/>
                <w:szCs w:val="20"/>
              </w:rPr>
            </w:pPr>
            <w:r w:rsidRPr="008123F4">
              <w:rPr>
                <w:rFonts w:ascii="Times New Roman" w:hAnsi="Times New Roman" w:cs="Times New Roman"/>
                <w:sz w:val="20"/>
                <w:szCs w:val="20"/>
              </w:rPr>
              <w:t>2.40</w:t>
            </w:r>
          </w:p>
        </w:tc>
        <w:tc>
          <w:tcPr>
            <w:tcW w:w="0" w:type="auto"/>
            <w:hideMark/>
          </w:tcPr>
          <w:p w14:paraId="57D96D89" w14:textId="77777777" w:rsidR="008000A7" w:rsidRPr="008123F4" w:rsidRDefault="008000A7" w:rsidP="00471458">
            <w:pPr>
              <w:pStyle w:val="NoSpacing"/>
              <w:jc w:val="center"/>
              <w:rPr>
                <w:rFonts w:ascii="Times New Roman" w:hAnsi="Times New Roman" w:cs="Times New Roman"/>
                <w:sz w:val="20"/>
                <w:szCs w:val="20"/>
              </w:rPr>
            </w:pPr>
            <w:r w:rsidRPr="008123F4">
              <w:rPr>
                <w:rFonts w:ascii="Times New Roman" w:hAnsi="Times New Roman" w:cs="Times New Roman"/>
                <w:sz w:val="20"/>
                <w:szCs w:val="20"/>
              </w:rPr>
              <w:t>4.89</w:t>
            </w:r>
          </w:p>
        </w:tc>
        <w:tc>
          <w:tcPr>
            <w:tcW w:w="0" w:type="auto"/>
            <w:hideMark/>
          </w:tcPr>
          <w:p w14:paraId="4B4C1728" w14:textId="77777777" w:rsidR="008000A7" w:rsidRPr="008123F4" w:rsidRDefault="008000A7" w:rsidP="00471458">
            <w:pPr>
              <w:pStyle w:val="NoSpacing"/>
              <w:jc w:val="center"/>
              <w:rPr>
                <w:rFonts w:ascii="Times New Roman" w:hAnsi="Times New Roman" w:cs="Times New Roman"/>
                <w:sz w:val="20"/>
                <w:szCs w:val="20"/>
              </w:rPr>
            </w:pPr>
            <w:r w:rsidRPr="008123F4">
              <w:rPr>
                <w:rFonts w:ascii="Times New Roman" w:hAnsi="Times New Roman" w:cs="Times New Roman"/>
                <w:sz w:val="20"/>
                <w:szCs w:val="20"/>
              </w:rPr>
              <w:t>-7.10</w:t>
            </w:r>
          </w:p>
        </w:tc>
        <w:tc>
          <w:tcPr>
            <w:tcW w:w="0" w:type="auto"/>
            <w:hideMark/>
          </w:tcPr>
          <w:p w14:paraId="41213312" w14:textId="77777777" w:rsidR="008000A7" w:rsidRPr="008123F4" w:rsidRDefault="008000A7" w:rsidP="00471458">
            <w:pPr>
              <w:pStyle w:val="NoSpacing"/>
              <w:jc w:val="center"/>
              <w:rPr>
                <w:rFonts w:ascii="Times New Roman" w:hAnsi="Times New Roman" w:cs="Times New Roman"/>
                <w:sz w:val="20"/>
                <w:szCs w:val="20"/>
              </w:rPr>
            </w:pPr>
            <w:r w:rsidRPr="008123F4">
              <w:rPr>
                <w:rFonts w:ascii="Times New Roman" w:hAnsi="Times New Roman" w:cs="Times New Roman"/>
                <w:sz w:val="20"/>
                <w:szCs w:val="20"/>
              </w:rPr>
              <w:t>0.40(c)</w:t>
            </w:r>
          </w:p>
        </w:tc>
        <w:tc>
          <w:tcPr>
            <w:tcW w:w="0" w:type="auto"/>
            <w:hideMark/>
          </w:tcPr>
          <w:p w14:paraId="31B115B4" w14:textId="77777777" w:rsidR="008000A7" w:rsidRPr="008123F4" w:rsidRDefault="008000A7" w:rsidP="00471458">
            <w:pPr>
              <w:pStyle w:val="NoSpacing"/>
              <w:jc w:val="center"/>
              <w:rPr>
                <w:rFonts w:ascii="Times New Roman" w:hAnsi="Times New Roman" w:cs="Times New Roman"/>
                <w:sz w:val="20"/>
                <w:szCs w:val="20"/>
              </w:rPr>
            </w:pPr>
            <w:r w:rsidRPr="008123F4">
              <w:rPr>
                <w:rFonts w:ascii="Times New Roman" w:hAnsi="Times New Roman" w:cs="Times New Roman"/>
                <w:sz w:val="20"/>
                <w:szCs w:val="20"/>
              </w:rPr>
              <w:t>2.68</w:t>
            </w:r>
          </w:p>
        </w:tc>
        <w:tc>
          <w:tcPr>
            <w:tcW w:w="0" w:type="auto"/>
            <w:hideMark/>
          </w:tcPr>
          <w:p w14:paraId="719A5DE6" w14:textId="77777777" w:rsidR="008000A7" w:rsidRPr="008123F4" w:rsidRDefault="008000A7" w:rsidP="00471458">
            <w:pPr>
              <w:pStyle w:val="NoSpacing"/>
              <w:jc w:val="center"/>
              <w:rPr>
                <w:rFonts w:ascii="Times New Roman" w:hAnsi="Times New Roman" w:cs="Times New Roman"/>
                <w:sz w:val="20"/>
                <w:szCs w:val="20"/>
              </w:rPr>
            </w:pPr>
            <w:r w:rsidRPr="008123F4">
              <w:rPr>
                <w:rFonts w:ascii="Times New Roman" w:hAnsi="Times New Roman" w:cs="Times New Roman"/>
                <w:sz w:val="20"/>
                <w:szCs w:val="20"/>
              </w:rPr>
              <w:t>5.39</w:t>
            </w:r>
          </w:p>
        </w:tc>
        <w:tc>
          <w:tcPr>
            <w:tcW w:w="847" w:type="dxa"/>
            <w:hideMark/>
          </w:tcPr>
          <w:p w14:paraId="4A1133A5" w14:textId="77777777" w:rsidR="008000A7" w:rsidRPr="008123F4" w:rsidRDefault="008000A7" w:rsidP="00471458">
            <w:pPr>
              <w:pStyle w:val="NoSpacing"/>
              <w:jc w:val="center"/>
              <w:rPr>
                <w:rFonts w:ascii="Times New Roman" w:hAnsi="Times New Roman" w:cs="Times New Roman"/>
                <w:sz w:val="20"/>
                <w:szCs w:val="20"/>
              </w:rPr>
            </w:pPr>
            <w:r w:rsidRPr="008123F4">
              <w:rPr>
                <w:rFonts w:ascii="Times New Roman" w:hAnsi="Times New Roman" w:cs="Times New Roman"/>
                <w:sz w:val="20"/>
                <w:szCs w:val="20"/>
              </w:rPr>
              <w:t>-7.67</w:t>
            </w:r>
          </w:p>
        </w:tc>
        <w:tc>
          <w:tcPr>
            <w:tcW w:w="853" w:type="dxa"/>
            <w:hideMark/>
          </w:tcPr>
          <w:p w14:paraId="10F71AC9" w14:textId="77777777" w:rsidR="008000A7" w:rsidRPr="008123F4" w:rsidRDefault="008000A7" w:rsidP="00471458">
            <w:pPr>
              <w:pStyle w:val="NoSpacing"/>
              <w:jc w:val="center"/>
              <w:rPr>
                <w:rFonts w:ascii="Times New Roman" w:hAnsi="Times New Roman" w:cs="Times New Roman"/>
                <w:sz w:val="20"/>
                <w:szCs w:val="20"/>
              </w:rPr>
            </w:pPr>
            <w:r w:rsidRPr="008123F4">
              <w:rPr>
                <w:rFonts w:ascii="Times New Roman" w:hAnsi="Times New Roman" w:cs="Times New Roman"/>
                <w:sz w:val="20"/>
                <w:szCs w:val="20"/>
              </w:rPr>
              <w:t>0.28(c)</w:t>
            </w:r>
          </w:p>
        </w:tc>
        <w:tc>
          <w:tcPr>
            <w:tcW w:w="0" w:type="auto"/>
            <w:hideMark/>
          </w:tcPr>
          <w:p w14:paraId="72CB3C53" w14:textId="77777777" w:rsidR="008000A7" w:rsidRPr="008123F4" w:rsidRDefault="008000A7" w:rsidP="00471458">
            <w:pPr>
              <w:pStyle w:val="NoSpacing"/>
              <w:jc w:val="center"/>
              <w:rPr>
                <w:rFonts w:ascii="Times New Roman" w:hAnsi="Times New Roman" w:cs="Times New Roman"/>
                <w:sz w:val="20"/>
                <w:szCs w:val="20"/>
              </w:rPr>
            </w:pPr>
            <w:r w:rsidRPr="008123F4">
              <w:rPr>
                <w:rFonts w:ascii="Times New Roman" w:hAnsi="Times New Roman" w:cs="Times New Roman"/>
                <w:sz w:val="20"/>
                <w:szCs w:val="20"/>
              </w:rPr>
              <w:t>2.13</w:t>
            </w:r>
          </w:p>
        </w:tc>
        <w:tc>
          <w:tcPr>
            <w:tcW w:w="0" w:type="auto"/>
            <w:hideMark/>
          </w:tcPr>
          <w:p w14:paraId="79D63BE7" w14:textId="77777777" w:rsidR="008000A7" w:rsidRPr="008123F4" w:rsidRDefault="008000A7" w:rsidP="00471458">
            <w:pPr>
              <w:pStyle w:val="NoSpacing"/>
              <w:jc w:val="center"/>
              <w:rPr>
                <w:rFonts w:ascii="Times New Roman" w:hAnsi="Times New Roman" w:cs="Times New Roman"/>
                <w:sz w:val="20"/>
                <w:szCs w:val="20"/>
              </w:rPr>
            </w:pPr>
            <w:r w:rsidRPr="008123F4">
              <w:rPr>
                <w:rFonts w:ascii="Times New Roman" w:hAnsi="Times New Roman" w:cs="Times New Roman"/>
                <w:sz w:val="20"/>
                <w:szCs w:val="20"/>
              </w:rPr>
              <w:t>5.82</w:t>
            </w:r>
          </w:p>
        </w:tc>
        <w:tc>
          <w:tcPr>
            <w:tcW w:w="0" w:type="auto"/>
            <w:hideMark/>
          </w:tcPr>
          <w:p w14:paraId="2AC50195" w14:textId="77777777" w:rsidR="008000A7" w:rsidRPr="008123F4" w:rsidRDefault="008000A7" w:rsidP="00471458">
            <w:pPr>
              <w:pStyle w:val="NoSpacing"/>
              <w:jc w:val="center"/>
              <w:rPr>
                <w:rFonts w:ascii="Times New Roman" w:hAnsi="Times New Roman" w:cs="Times New Roman"/>
                <w:sz w:val="20"/>
                <w:szCs w:val="20"/>
              </w:rPr>
            </w:pPr>
            <w:r w:rsidRPr="008123F4">
              <w:rPr>
                <w:rFonts w:ascii="Times New Roman" w:hAnsi="Times New Roman" w:cs="Times New Roman"/>
                <w:sz w:val="20"/>
                <w:szCs w:val="20"/>
              </w:rPr>
              <w:t>-7.67</w:t>
            </w:r>
          </w:p>
        </w:tc>
        <w:tc>
          <w:tcPr>
            <w:tcW w:w="0" w:type="auto"/>
            <w:hideMark/>
          </w:tcPr>
          <w:p w14:paraId="62DA83EC" w14:textId="77777777" w:rsidR="008000A7" w:rsidRPr="008123F4" w:rsidRDefault="008000A7" w:rsidP="00471458">
            <w:pPr>
              <w:pStyle w:val="NoSpacing"/>
              <w:jc w:val="center"/>
              <w:rPr>
                <w:rFonts w:ascii="Times New Roman" w:hAnsi="Times New Roman" w:cs="Times New Roman"/>
                <w:sz w:val="20"/>
                <w:szCs w:val="20"/>
              </w:rPr>
            </w:pPr>
            <w:r w:rsidRPr="008123F4">
              <w:rPr>
                <w:rFonts w:ascii="Times New Roman" w:hAnsi="Times New Roman" w:cs="Times New Roman"/>
                <w:sz w:val="20"/>
                <w:szCs w:val="20"/>
              </w:rPr>
              <w:t>0.17(c)</w:t>
            </w:r>
          </w:p>
        </w:tc>
        <w:tc>
          <w:tcPr>
            <w:tcW w:w="0" w:type="auto"/>
            <w:hideMark/>
          </w:tcPr>
          <w:p w14:paraId="7403E9EB" w14:textId="77777777" w:rsidR="008000A7" w:rsidRPr="008123F4" w:rsidRDefault="008000A7" w:rsidP="00471458">
            <w:pPr>
              <w:pStyle w:val="NoSpacing"/>
              <w:jc w:val="center"/>
              <w:rPr>
                <w:rFonts w:ascii="Times New Roman" w:hAnsi="Times New Roman" w:cs="Times New Roman"/>
                <w:sz w:val="20"/>
                <w:szCs w:val="20"/>
              </w:rPr>
            </w:pPr>
            <w:r w:rsidRPr="008123F4">
              <w:rPr>
                <w:rFonts w:ascii="Times New Roman" w:hAnsi="Times New Roman" w:cs="Times New Roman"/>
                <w:sz w:val="20"/>
                <w:szCs w:val="20"/>
              </w:rPr>
              <w:t>2.36</w:t>
            </w:r>
          </w:p>
        </w:tc>
        <w:tc>
          <w:tcPr>
            <w:tcW w:w="0" w:type="auto"/>
            <w:hideMark/>
          </w:tcPr>
          <w:p w14:paraId="5531DFDF" w14:textId="77777777" w:rsidR="008000A7" w:rsidRPr="008123F4" w:rsidRDefault="008000A7" w:rsidP="00471458">
            <w:pPr>
              <w:pStyle w:val="NoSpacing"/>
              <w:jc w:val="center"/>
              <w:rPr>
                <w:rFonts w:ascii="Times New Roman" w:hAnsi="Times New Roman" w:cs="Times New Roman"/>
                <w:sz w:val="20"/>
                <w:szCs w:val="20"/>
              </w:rPr>
            </w:pPr>
            <w:r w:rsidRPr="008123F4">
              <w:rPr>
                <w:rFonts w:ascii="Times New Roman" w:hAnsi="Times New Roman" w:cs="Times New Roman"/>
                <w:sz w:val="20"/>
                <w:szCs w:val="20"/>
              </w:rPr>
              <w:t>6.22</w:t>
            </w:r>
          </w:p>
        </w:tc>
        <w:tc>
          <w:tcPr>
            <w:tcW w:w="0" w:type="auto"/>
            <w:hideMark/>
          </w:tcPr>
          <w:p w14:paraId="75663F75" w14:textId="77777777" w:rsidR="008000A7" w:rsidRPr="008123F4" w:rsidRDefault="008000A7" w:rsidP="00471458">
            <w:pPr>
              <w:pStyle w:val="NoSpacing"/>
              <w:jc w:val="center"/>
              <w:rPr>
                <w:rFonts w:ascii="Times New Roman" w:hAnsi="Times New Roman" w:cs="Times New Roman"/>
                <w:sz w:val="20"/>
                <w:szCs w:val="20"/>
              </w:rPr>
            </w:pPr>
            <w:r w:rsidRPr="008123F4">
              <w:rPr>
                <w:rFonts w:ascii="Times New Roman" w:hAnsi="Times New Roman" w:cs="Times New Roman"/>
                <w:sz w:val="20"/>
                <w:szCs w:val="20"/>
              </w:rPr>
              <w:t>-8.41</w:t>
            </w:r>
          </w:p>
        </w:tc>
      </w:tr>
      <w:tr w:rsidR="008000A7" w:rsidRPr="008123F4" w14:paraId="4C375E1D" w14:textId="77777777" w:rsidTr="003874AC">
        <w:trPr>
          <w:trHeight w:val="221"/>
          <w:jc w:val="center"/>
        </w:trPr>
        <w:tc>
          <w:tcPr>
            <w:tcW w:w="0" w:type="auto"/>
            <w:hideMark/>
          </w:tcPr>
          <w:p w14:paraId="2506956F" w14:textId="77777777" w:rsidR="008000A7" w:rsidRPr="008123F4" w:rsidRDefault="008000A7" w:rsidP="00B77C0B">
            <w:pPr>
              <w:pStyle w:val="NoSpacing"/>
              <w:rPr>
                <w:rFonts w:ascii="Times New Roman" w:hAnsi="Times New Roman" w:cs="Times New Roman"/>
                <w:sz w:val="20"/>
                <w:szCs w:val="20"/>
              </w:rPr>
            </w:pPr>
            <w:r w:rsidRPr="008123F4">
              <w:rPr>
                <w:rFonts w:ascii="Times New Roman" w:hAnsi="Times New Roman" w:cs="Times New Roman"/>
                <w:sz w:val="20"/>
                <w:szCs w:val="20"/>
              </w:rPr>
              <w:t>Assam*</w:t>
            </w:r>
          </w:p>
        </w:tc>
        <w:tc>
          <w:tcPr>
            <w:tcW w:w="0" w:type="auto"/>
            <w:hideMark/>
          </w:tcPr>
          <w:p w14:paraId="089F9BF8" w14:textId="77777777" w:rsidR="008000A7" w:rsidRPr="008123F4" w:rsidRDefault="008000A7" w:rsidP="00471458">
            <w:pPr>
              <w:pStyle w:val="NoSpacing"/>
              <w:jc w:val="center"/>
              <w:rPr>
                <w:rFonts w:ascii="Times New Roman" w:hAnsi="Times New Roman" w:cs="Times New Roman"/>
                <w:sz w:val="20"/>
                <w:szCs w:val="20"/>
              </w:rPr>
            </w:pPr>
            <w:r w:rsidRPr="008123F4">
              <w:rPr>
                <w:rFonts w:ascii="Times New Roman" w:hAnsi="Times New Roman" w:cs="Times New Roman"/>
                <w:sz w:val="20"/>
                <w:szCs w:val="20"/>
              </w:rPr>
              <w:t>..</w:t>
            </w:r>
          </w:p>
        </w:tc>
        <w:tc>
          <w:tcPr>
            <w:tcW w:w="0" w:type="auto"/>
            <w:hideMark/>
          </w:tcPr>
          <w:p w14:paraId="6E2F27FF" w14:textId="77777777" w:rsidR="008000A7" w:rsidRPr="008123F4" w:rsidRDefault="008000A7" w:rsidP="00471458">
            <w:pPr>
              <w:pStyle w:val="NoSpacing"/>
              <w:jc w:val="center"/>
              <w:rPr>
                <w:rFonts w:ascii="Times New Roman" w:hAnsi="Times New Roman" w:cs="Times New Roman"/>
                <w:sz w:val="20"/>
                <w:szCs w:val="20"/>
              </w:rPr>
            </w:pPr>
            <w:r w:rsidRPr="008123F4">
              <w:rPr>
                <w:rFonts w:ascii="Times New Roman" w:hAnsi="Times New Roman" w:cs="Times New Roman"/>
                <w:sz w:val="20"/>
                <w:szCs w:val="20"/>
              </w:rPr>
              <w:t>..</w:t>
            </w:r>
          </w:p>
        </w:tc>
        <w:tc>
          <w:tcPr>
            <w:tcW w:w="0" w:type="auto"/>
            <w:hideMark/>
          </w:tcPr>
          <w:p w14:paraId="221E569A" w14:textId="77777777" w:rsidR="008000A7" w:rsidRPr="008123F4" w:rsidRDefault="008000A7" w:rsidP="00471458">
            <w:pPr>
              <w:pStyle w:val="NoSpacing"/>
              <w:jc w:val="center"/>
              <w:rPr>
                <w:rFonts w:ascii="Times New Roman" w:hAnsi="Times New Roman" w:cs="Times New Roman"/>
                <w:sz w:val="20"/>
                <w:szCs w:val="20"/>
              </w:rPr>
            </w:pPr>
            <w:r w:rsidRPr="008123F4">
              <w:rPr>
                <w:rFonts w:ascii="Times New Roman" w:hAnsi="Times New Roman" w:cs="Times New Roman"/>
                <w:sz w:val="20"/>
                <w:szCs w:val="20"/>
              </w:rPr>
              <w:t>..</w:t>
            </w:r>
          </w:p>
        </w:tc>
        <w:tc>
          <w:tcPr>
            <w:tcW w:w="0" w:type="auto"/>
            <w:hideMark/>
          </w:tcPr>
          <w:p w14:paraId="00ED1A41" w14:textId="77777777" w:rsidR="008000A7" w:rsidRPr="008123F4" w:rsidRDefault="008000A7" w:rsidP="00471458">
            <w:pPr>
              <w:pStyle w:val="NoSpacing"/>
              <w:jc w:val="center"/>
              <w:rPr>
                <w:rFonts w:ascii="Times New Roman" w:hAnsi="Times New Roman" w:cs="Times New Roman"/>
                <w:sz w:val="20"/>
                <w:szCs w:val="20"/>
              </w:rPr>
            </w:pPr>
            <w:r w:rsidRPr="008123F4">
              <w:rPr>
                <w:rFonts w:ascii="Times New Roman" w:hAnsi="Times New Roman" w:cs="Times New Roman"/>
                <w:sz w:val="20"/>
                <w:szCs w:val="20"/>
              </w:rPr>
              <w:t>..</w:t>
            </w:r>
          </w:p>
        </w:tc>
        <w:tc>
          <w:tcPr>
            <w:tcW w:w="0" w:type="auto"/>
            <w:hideMark/>
          </w:tcPr>
          <w:p w14:paraId="2314EDF5" w14:textId="77777777" w:rsidR="008000A7" w:rsidRPr="008123F4" w:rsidRDefault="008000A7" w:rsidP="00471458">
            <w:pPr>
              <w:pStyle w:val="NoSpacing"/>
              <w:jc w:val="center"/>
              <w:rPr>
                <w:rFonts w:ascii="Times New Roman" w:hAnsi="Times New Roman" w:cs="Times New Roman"/>
                <w:sz w:val="20"/>
                <w:szCs w:val="20"/>
              </w:rPr>
            </w:pPr>
            <w:r w:rsidRPr="008123F4">
              <w:rPr>
                <w:rFonts w:ascii="Times New Roman" w:hAnsi="Times New Roman" w:cs="Times New Roman"/>
                <w:sz w:val="20"/>
                <w:szCs w:val="20"/>
              </w:rPr>
              <w:t>..</w:t>
            </w:r>
          </w:p>
        </w:tc>
        <w:tc>
          <w:tcPr>
            <w:tcW w:w="0" w:type="auto"/>
            <w:hideMark/>
          </w:tcPr>
          <w:p w14:paraId="74F98846" w14:textId="77777777" w:rsidR="008000A7" w:rsidRPr="008123F4" w:rsidRDefault="008000A7" w:rsidP="00471458">
            <w:pPr>
              <w:pStyle w:val="NoSpacing"/>
              <w:jc w:val="center"/>
              <w:rPr>
                <w:rFonts w:ascii="Times New Roman" w:hAnsi="Times New Roman" w:cs="Times New Roman"/>
                <w:sz w:val="20"/>
                <w:szCs w:val="20"/>
              </w:rPr>
            </w:pPr>
            <w:r w:rsidRPr="008123F4">
              <w:rPr>
                <w:rFonts w:ascii="Times New Roman" w:hAnsi="Times New Roman" w:cs="Times New Roman"/>
                <w:sz w:val="20"/>
                <w:szCs w:val="20"/>
              </w:rPr>
              <w:t>..</w:t>
            </w:r>
          </w:p>
        </w:tc>
        <w:tc>
          <w:tcPr>
            <w:tcW w:w="0" w:type="auto"/>
            <w:hideMark/>
          </w:tcPr>
          <w:p w14:paraId="23EDDA95" w14:textId="77777777" w:rsidR="008000A7" w:rsidRPr="008123F4" w:rsidRDefault="008000A7" w:rsidP="00471458">
            <w:pPr>
              <w:pStyle w:val="NoSpacing"/>
              <w:jc w:val="center"/>
              <w:rPr>
                <w:rFonts w:ascii="Times New Roman" w:hAnsi="Times New Roman" w:cs="Times New Roman"/>
                <w:sz w:val="20"/>
                <w:szCs w:val="20"/>
              </w:rPr>
            </w:pPr>
            <w:r w:rsidRPr="008123F4">
              <w:rPr>
                <w:rFonts w:ascii="Times New Roman" w:hAnsi="Times New Roman" w:cs="Times New Roman"/>
                <w:sz w:val="20"/>
                <w:szCs w:val="20"/>
              </w:rPr>
              <w:t>..</w:t>
            </w:r>
          </w:p>
        </w:tc>
        <w:tc>
          <w:tcPr>
            <w:tcW w:w="847" w:type="dxa"/>
            <w:hideMark/>
          </w:tcPr>
          <w:p w14:paraId="76E74CA2" w14:textId="77777777" w:rsidR="008000A7" w:rsidRPr="008123F4" w:rsidRDefault="008000A7" w:rsidP="00471458">
            <w:pPr>
              <w:pStyle w:val="NoSpacing"/>
              <w:jc w:val="center"/>
              <w:rPr>
                <w:rFonts w:ascii="Times New Roman" w:hAnsi="Times New Roman" w:cs="Times New Roman"/>
                <w:sz w:val="20"/>
                <w:szCs w:val="20"/>
              </w:rPr>
            </w:pPr>
            <w:r w:rsidRPr="008123F4">
              <w:rPr>
                <w:rFonts w:ascii="Times New Roman" w:hAnsi="Times New Roman" w:cs="Times New Roman"/>
                <w:sz w:val="20"/>
                <w:szCs w:val="20"/>
              </w:rPr>
              <w:t>..</w:t>
            </w:r>
          </w:p>
        </w:tc>
        <w:tc>
          <w:tcPr>
            <w:tcW w:w="853" w:type="dxa"/>
            <w:hideMark/>
          </w:tcPr>
          <w:p w14:paraId="2273E022" w14:textId="77777777" w:rsidR="008000A7" w:rsidRPr="008123F4" w:rsidRDefault="008000A7" w:rsidP="00471458">
            <w:pPr>
              <w:pStyle w:val="NoSpacing"/>
              <w:jc w:val="center"/>
              <w:rPr>
                <w:rFonts w:ascii="Times New Roman" w:hAnsi="Times New Roman" w:cs="Times New Roman"/>
                <w:sz w:val="20"/>
                <w:szCs w:val="20"/>
              </w:rPr>
            </w:pPr>
            <w:r w:rsidRPr="008123F4">
              <w:rPr>
                <w:rFonts w:ascii="Times New Roman" w:hAnsi="Times New Roman" w:cs="Times New Roman"/>
                <w:sz w:val="20"/>
                <w:szCs w:val="20"/>
              </w:rPr>
              <w:t>..</w:t>
            </w:r>
          </w:p>
        </w:tc>
        <w:tc>
          <w:tcPr>
            <w:tcW w:w="0" w:type="auto"/>
            <w:hideMark/>
          </w:tcPr>
          <w:p w14:paraId="526A46CD" w14:textId="77777777" w:rsidR="008000A7" w:rsidRPr="008123F4" w:rsidRDefault="008000A7" w:rsidP="00471458">
            <w:pPr>
              <w:pStyle w:val="NoSpacing"/>
              <w:jc w:val="center"/>
              <w:rPr>
                <w:rFonts w:ascii="Times New Roman" w:hAnsi="Times New Roman" w:cs="Times New Roman"/>
                <w:sz w:val="20"/>
                <w:szCs w:val="20"/>
              </w:rPr>
            </w:pPr>
            <w:r w:rsidRPr="008123F4">
              <w:rPr>
                <w:rFonts w:ascii="Times New Roman" w:hAnsi="Times New Roman" w:cs="Times New Roman"/>
                <w:sz w:val="20"/>
                <w:szCs w:val="20"/>
              </w:rPr>
              <w:t>..</w:t>
            </w:r>
          </w:p>
        </w:tc>
        <w:tc>
          <w:tcPr>
            <w:tcW w:w="0" w:type="auto"/>
            <w:hideMark/>
          </w:tcPr>
          <w:p w14:paraId="522B0721" w14:textId="77777777" w:rsidR="008000A7" w:rsidRPr="008123F4" w:rsidRDefault="008000A7" w:rsidP="00471458">
            <w:pPr>
              <w:pStyle w:val="NoSpacing"/>
              <w:jc w:val="center"/>
              <w:rPr>
                <w:rFonts w:ascii="Times New Roman" w:hAnsi="Times New Roman" w:cs="Times New Roman"/>
                <w:sz w:val="20"/>
                <w:szCs w:val="20"/>
              </w:rPr>
            </w:pPr>
            <w:r w:rsidRPr="008123F4">
              <w:rPr>
                <w:rFonts w:ascii="Times New Roman" w:hAnsi="Times New Roman" w:cs="Times New Roman"/>
                <w:sz w:val="20"/>
                <w:szCs w:val="20"/>
              </w:rPr>
              <w:t>..</w:t>
            </w:r>
          </w:p>
        </w:tc>
        <w:tc>
          <w:tcPr>
            <w:tcW w:w="0" w:type="auto"/>
            <w:hideMark/>
          </w:tcPr>
          <w:p w14:paraId="57BD62F7" w14:textId="77777777" w:rsidR="008000A7" w:rsidRPr="008123F4" w:rsidRDefault="008000A7" w:rsidP="00471458">
            <w:pPr>
              <w:pStyle w:val="NoSpacing"/>
              <w:jc w:val="center"/>
              <w:rPr>
                <w:rFonts w:ascii="Times New Roman" w:hAnsi="Times New Roman" w:cs="Times New Roman"/>
                <w:sz w:val="20"/>
                <w:szCs w:val="20"/>
              </w:rPr>
            </w:pPr>
            <w:r w:rsidRPr="008123F4">
              <w:rPr>
                <w:rFonts w:ascii="Times New Roman" w:hAnsi="Times New Roman" w:cs="Times New Roman"/>
                <w:sz w:val="20"/>
                <w:szCs w:val="20"/>
              </w:rPr>
              <w:t>..</w:t>
            </w:r>
          </w:p>
        </w:tc>
        <w:tc>
          <w:tcPr>
            <w:tcW w:w="0" w:type="auto"/>
            <w:hideMark/>
          </w:tcPr>
          <w:p w14:paraId="178A7FBD" w14:textId="77777777" w:rsidR="008000A7" w:rsidRPr="008123F4" w:rsidRDefault="008000A7" w:rsidP="00471458">
            <w:pPr>
              <w:pStyle w:val="NoSpacing"/>
              <w:jc w:val="center"/>
              <w:rPr>
                <w:rFonts w:ascii="Times New Roman" w:hAnsi="Times New Roman" w:cs="Times New Roman"/>
                <w:sz w:val="20"/>
                <w:szCs w:val="20"/>
              </w:rPr>
            </w:pPr>
            <w:r w:rsidRPr="008123F4">
              <w:rPr>
                <w:rFonts w:ascii="Times New Roman" w:hAnsi="Times New Roman" w:cs="Times New Roman"/>
                <w:sz w:val="20"/>
                <w:szCs w:val="20"/>
              </w:rPr>
              <w:t>..</w:t>
            </w:r>
          </w:p>
        </w:tc>
        <w:tc>
          <w:tcPr>
            <w:tcW w:w="0" w:type="auto"/>
            <w:hideMark/>
          </w:tcPr>
          <w:p w14:paraId="37533F9E" w14:textId="77777777" w:rsidR="008000A7" w:rsidRPr="008123F4" w:rsidRDefault="008000A7" w:rsidP="00471458">
            <w:pPr>
              <w:pStyle w:val="NoSpacing"/>
              <w:jc w:val="center"/>
              <w:rPr>
                <w:rFonts w:ascii="Times New Roman" w:hAnsi="Times New Roman" w:cs="Times New Roman"/>
                <w:sz w:val="20"/>
                <w:szCs w:val="20"/>
              </w:rPr>
            </w:pPr>
            <w:r w:rsidRPr="008123F4">
              <w:rPr>
                <w:rFonts w:ascii="Times New Roman" w:hAnsi="Times New Roman" w:cs="Times New Roman"/>
                <w:sz w:val="20"/>
                <w:szCs w:val="20"/>
              </w:rPr>
              <w:t>..</w:t>
            </w:r>
          </w:p>
        </w:tc>
        <w:tc>
          <w:tcPr>
            <w:tcW w:w="0" w:type="auto"/>
            <w:hideMark/>
          </w:tcPr>
          <w:p w14:paraId="0FBC4E98" w14:textId="77777777" w:rsidR="008000A7" w:rsidRPr="008123F4" w:rsidRDefault="008000A7" w:rsidP="00471458">
            <w:pPr>
              <w:pStyle w:val="NoSpacing"/>
              <w:jc w:val="center"/>
              <w:rPr>
                <w:rFonts w:ascii="Times New Roman" w:hAnsi="Times New Roman" w:cs="Times New Roman"/>
                <w:sz w:val="20"/>
                <w:szCs w:val="20"/>
              </w:rPr>
            </w:pPr>
            <w:r w:rsidRPr="008123F4">
              <w:rPr>
                <w:rFonts w:ascii="Times New Roman" w:hAnsi="Times New Roman" w:cs="Times New Roman"/>
                <w:sz w:val="20"/>
                <w:szCs w:val="20"/>
              </w:rPr>
              <w:t>..</w:t>
            </w:r>
          </w:p>
        </w:tc>
        <w:tc>
          <w:tcPr>
            <w:tcW w:w="0" w:type="auto"/>
            <w:hideMark/>
          </w:tcPr>
          <w:p w14:paraId="461FC78E" w14:textId="77777777" w:rsidR="008000A7" w:rsidRPr="008123F4" w:rsidRDefault="008000A7" w:rsidP="00471458">
            <w:pPr>
              <w:pStyle w:val="NoSpacing"/>
              <w:jc w:val="center"/>
              <w:rPr>
                <w:rFonts w:ascii="Times New Roman" w:hAnsi="Times New Roman" w:cs="Times New Roman"/>
                <w:sz w:val="20"/>
                <w:szCs w:val="20"/>
              </w:rPr>
            </w:pPr>
            <w:r w:rsidRPr="008123F4">
              <w:rPr>
                <w:rFonts w:ascii="Times New Roman" w:hAnsi="Times New Roman" w:cs="Times New Roman"/>
                <w:sz w:val="20"/>
                <w:szCs w:val="20"/>
              </w:rPr>
              <w:t>..</w:t>
            </w:r>
          </w:p>
        </w:tc>
      </w:tr>
      <w:tr w:rsidR="008000A7" w:rsidRPr="008123F4" w14:paraId="53ED8D05" w14:textId="77777777" w:rsidTr="003874AC">
        <w:trPr>
          <w:trHeight w:val="221"/>
          <w:jc w:val="center"/>
        </w:trPr>
        <w:tc>
          <w:tcPr>
            <w:tcW w:w="0" w:type="auto"/>
            <w:hideMark/>
          </w:tcPr>
          <w:p w14:paraId="03225BFA" w14:textId="77777777" w:rsidR="008000A7" w:rsidRPr="008123F4" w:rsidRDefault="008000A7" w:rsidP="00B77C0B">
            <w:pPr>
              <w:pStyle w:val="NoSpacing"/>
              <w:rPr>
                <w:rFonts w:ascii="Times New Roman" w:hAnsi="Times New Roman" w:cs="Times New Roman"/>
                <w:sz w:val="20"/>
                <w:szCs w:val="20"/>
              </w:rPr>
            </w:pPr>
            <w:r w:rsidRPr="008123F4">
              <w:rPr>
                <w:rFonts w:ascii="Times New Roman" w:hAnsi="Times New Roman" w:cs="Times New Roman"/>
                <w:sz w:val="20"/>
                <w:szCs w:val="20"/>
              </w:rPr>
              <w:t>Bihar</w:t>
            </w:r>
          </w:p>
        </w:tc>
        <w:tc>
          <w:tcPr>
            <w:tcW w:w="0" w:type="auto"/>
            <w:hideMark/>
          </w:tcPr>
          <w:p w14:paraId="582F2657" w14:textId="77777777" w:rsidR="008000A7" w:rsidRPr="008123F4" w:rsidRDefault="008000A7" w:rsidP="00471458">
            <w:pPr>
              <w:pStyle w:val="NoSpacing"/>
              <w:jc w:val="center"/>
              <w:rPr>
                <w:rFonts w:ascii="Times New Roman" w:hAnsi="Times New Roman" w:cs="Times New Roman"/>
                <w:sz w:val="20"/>
                <w:szCs w:val="20"/>
              </w:rPr>
            </w:pPr>
            <w:r w:rsidRPr="008123F4">
              <w:rPr>
                <w:rFonts w:ascii="Times New Roman" w:hAnsi="Times New Roman" w:cs="Times New Roman"/>
                <w:sz w:val="20"/>
                <w:szCs w:val="20"/>
              </w:rPr>
              <w:t>1.90</w:t>
            </w:r>
          </w:p>
        </w:tc>
        <w:tc>
          <w:tcPr>
            <w:tcW w:w="0" w:type="auto"/>
            <w:hideMark/>
          </w:tcPr>
          <w:p w14:paraId="23DEAB01" w14:textId="77777777" w:rsidR="008000A7" w:rsidRPr="008123F4" w:rsidRDefault="008000A7" w:rsidP="00471458">
            <w:pPr>
              <w:pStyle w:val="NoSpacing"/>
              <w:jc w:val="center"/>
              <w:rPr>
                <w:rFonts w:ascii="Times New Roman" w:hAnsi="Times New Roman" w:cs="Times New Roman"/>
                <w:sz w:val="20"/>
                <w:szCs w:val="20"/>
              </w:rPr>
            </w:pPr>
            <w:r w:rsidRPr="008123F4">
              <w:rPr>
                <w:rFonts w:ascii="Times New Roman" w:hAnsi="Times New Roman" w:cs="Times New Roman"/>
                <w:sz w:val="20"/>
                <w:szCs w:val="20"/>
              </w:rPr>
              <w:t>1.63</w:t>
            </w:r>
          </w:p>
        </w:tc>
        <w:tc>
          <w:tcPr>
            <w:tcW w:w="0" w:type="auto"/>
            <w:hideMark/>
          </w:tcPr>
          <w:p w14:paraId="30531636" w14:textId="77777777" w:rsidR="008000A7" w:rsidRPr="008123F4" w:rsidRDefault="008000A7" w:rsidP="00471458">
            <w:pPr>
              <w:pStyle w:val="NoSpacing"/>
              <w:jc w:val="center"/>
              <w:rPr>
                <w:rFonts w:ascii="Times New Roman" w:hAnsi="Times New Roman" w:cs="Times New Roman"/>
                <w:sz w:val="20"/>
                <w:szCs w:val="20"/>
              </w:rPr>
            </w:pPr>
            <w:r w:rsidRPr="008123F4">
              <w:rPr>
                <w:rFonts w:ascii="Times New Roman" w:hAnsi="Times New Roman" w:cs="Times New Roman"/>
                <w:sz w:val="20"/>
                <w:szCs w:val="20"/>
              </w:rPr>
              <w:t>0.47</w:t>
            </w:r>
          </w:p>
        </w:tc>
        <w:tc>
          <w:tcPr>
            <w:tcW w:w="0" w:type="auto"/>
            <w:hideMark/>
          </w:tcPr>
          <w:p w14:paraId="7E87EF14" w14:textId="77777777" w:rsidR="008000A7" w:rsidRPr="008123F4" w:rsidRDefault="008000A7" w:rsidP="00471458">
            <w:pPr>
              <w:pStyle w:val="NoSpacing"/>
              <w:jc w:val="center"/>
              <w:rPr>
                <w:rFonts w:ascii="Times New Roman" w:hAnsi="Times New Roman" w:cs="Times New Roman"/>
                <w:sz w:val="20"/>
                <w:szCs w:val="20"/>
              </w:rPr>
            </w:pPr>
            <w:r w:rsidRPr="008123F4">
              <w:rPr>
                <w:rFonts w:ascii="Times New Roman" w:hAnsi="Times New Roman" w:cs="Times New Roman"/>
                <w:sz w:val="20"/>
                <w:szCs w:val="20"/>
              </w:rPr>
              <w:t>-0.20</w:t>
            </w:r>
          </w:p>
        </w:tc>
        <w:tc>
          <w:tcPr>
            <w:tcW w:w="0" w:type="auto"/>
            <w:hideMark/>
          </w:tcPr>
          <w:p w14:paraId="3FEBCDD3" w14:textId="77777777" w:rsidR="008000A7" w:rsidRPr="008123F4" w:rsidRDefault="008000A7" w:rsidP="00471458">
            <w:pPr>
              <w:pStyle w:val="NoSpacing"/>
              <w:jc w:val="center"/>
              <w:rPr>
                <w:rFonts w:ascii="Times New Roman" w:hAnsi="Times New Roman" w:cs="Times New Roman"/>
                <w:sz w:val="20"/>
                <w:szCs w:val="20"/>
              </w:rPr>
            </w:pPr>
            <w:r w:rsidRPr="008123F4">
              <w:rPr>
                <w:rFonts w:ascii="Times New Roman" w:hAnsi="Times New Roman" w:cs="Times New Roman"/>
                <w:sz w:val="20"/>
                <w:szCs w:val="20"/>
              </w:rPr>
              <w:t>1.15</w:t>
            </w:r>
          </w:p>
        </w:tc>
        <w:tc>
          <w:tcPr>
            <w:tcW w:w="0" w:type="auto"/>
            <w:hideMark/>
          </w:tcPr>
          <w:p w14:paraId="5443DF5C" w14:textId="77777777" w:rsidR="008000A7" w:rsidRPr="008123F4" w:rsidRDefault="008000A7" w:rsidP="00471458">
            <w:pPr>
              <w:pStyle w:val="NoSpacing"/>
              <w:jc w:val="center"/>
              <w:rPr>
                <w:rFonts w:ascii="Times New Roman" w:hAnsi="Times New Roman" w:cs="Times New Roman"/>
                <w:sz w:val="20"/>
                <w:szCs w:val="20"/>
              </w:rPr>
            </w:pPr>
            <w:r w:rsidRPr="008123F4">
              <w:rPr>
                <w:rFonts w:ascii="Times New Roman" w:hAnsi="Times New Roman" w:cs="Times New Roman"/>
                <w:sz w:val="20"/>
                <w:szCs w:val="20"/>
              </w:rPr>
              <w:t>1.90</w:t>
            </w:r>
          </w:p>
        </w:tc>
        <w:tc>
          <w:tcPr>
            <w:tcW w:w="0" w:type="auto"/>
            <w:hideMark/>
          </w:tcPr>
          <w:p w14:paraId="4ADC9FBE" w14:textId="77777777" w:rsidR="008000A7" w:rsidRPr="008123F4" w:rsidRDefault="008000A7" w:rsidP="00471458">
            <w:pPr>
              <w:pStyle w:val="NoSpacing"/>
              <w:jc w:val="center"/>
              <w:rPr>
                <w:rFonts w:ascii="Times New Roman" w:hAnsi="Times New Roman" w:cs="Times New Roman"/>
                <w:sz w:val="20"/>
                <w:szCs w:val="20"/>
              </w:rPr>
            </w:pPr>
            <w:r w:rsidRPr="008123F4">
              <w:rPr>
                <w:rFonts w:ascii="Times New Roman" w:hAnsi="Times New Roman" w:cs="Times New Roman"/>
                <w:sz w:val="20"/>
                <w:szCs w:val="20"/>
              </w:rPr>
              <w:t>0.51</w:t>
            </w:r>
          </w:p>
        </w:tc>
        <w:tc>
          <w:tcPr>
            <w:tcW w:w="847" w:type="dxa"/>
            <w:hideMark/>
          </w:tcPr>
          <w:p w14:paraId="0CE91544" w14:textId="77777777" w:rsidR="008000A7" w:rsidRPr="008123F4" w:rsidRDefault="008000A7" w:rsidP="00471458">
            <w:pPr>
              <w:pStyle w:val="NoSpacing"/>
              <w:jc w:val="center"/>
              <w:rPr>
                <w:rFonts w:ascii="Times New Roman" w:hAnsi="Times New Roman" w:cs="Times New Roman"/>
                <w:sz w:val="20"/>
                <w:szCs w:val="20"/>
              </w:rPr>
            </w:pPr>
            <w:r w:rsidRPr="008123F4">
              <w:rPr>
                <w:rFonts w:ascii="Times New Roman" w:hAnsi="Times New Roman" w:cs="Times New Roman"/>
                <w:sz w:val="20"/>
                <w:szCs w:val="20"/>
              </w:rPr>
              <w:t>-1.26</w:t>
            </w:r>
          </w:p>
        </w:tc>
        <w:tc>
          <w:tcPr>
            <w:tcW w:w="853" w:type="dxa"/>
            <w:hideMark/>
          </w:tcPr>
          <w:p w14:paraId="64E191FD" w14:textId="77777777" w:rsidR="008000A7" w:rsidRPr="008123F4" w:rsidRDefault="008000A7" w:rsidP="00471458">
            <w:pPr>
              <w:pStyle w:val="NoSpacing"/>
              <w:jc w:val="center"/>
              <w:rPr>
                <w:rFonts w:ascii="Times New Roman" w:hAnsi="Times New Roman" w:cs="Times New Roman"/>
                <w:sz w:val="20"/>
                <w:szCs w:val="20"/>
              </w:rPr>
            </w:pPr>
            <w:r w:rsidRPr="008123F4">
              <w:rPr>
                <w:rFonts w:ascii="Times New Roman" w:hAnsi="Times New Roman" w:cs="Times New Roman"/>
                <w:sz w:val="20"/>
                <w:szCs w:val="20"/>
              </w:rPr>
              <w:t>1.85</w:t>
            </w:r>
          </w:p>
        </w:tc>
        <w:tc>
          <w:tcPr>
            <w:tcW w:w="0" w:type="auto"/>
            <w:hideMark/>
          </w:tcPr>
          <w:p w14:paraId="3CAA9145" w14:textId="77777777" w:rsidR="008000A7" w:rsidRPr="008123F4" w:rsidRDefault="008000A7" w:rsidP="00471458">
            <w:pPr>
              <w:pStyle w:val="NoSpacing"/>
              <w:jc w:val="center"/>
              <w:rPr>
                <w:rFonts w:ascii="Times New Roman" w:hAnsi="Times New Roman" w:cs="Times New Roman"/>
                <w:sz w:val="20"/>
                <w:szCs w:val="20"/>
              </w:rPr>
            </w:pPr>
            <w:r w:rsidRPr="008123F4">
              <w:rPr>
                <w:rFonts w:ascii="Times New Roman" w:hAnsi="Times New Roman" w:cs="Times New Roman"/>
                <w:sz w:val="20"/>
                <w:szCs w:val="20"/>
              </w:rPr>
              <w:t>2.43</w:t>
            </w:r>
          </w:p>
        </w:tc>
        <w:tc>
          <w:tcPr>
            <w:tcW w:w="0" w:type="auto"/>
            <w:hideMark/>
          </w:tcPr>
          <w:p w14:paraId="7693CF4B" w14:textId="77777777" w:rsidR="008000A7" w:rsidRPr="008123F4" w:rsidRDefault="008000A7" w:rsidP="00471458">
            <w:pPr>
              <w:pStyle w:val="NoSpacing"/>
              <w:jc w:val="center"/>
              <w:rPr>
                <w:rFonts w:ascii="Times New Roman" w:hAnsi="Times New Roman" w:cs="Times New Roman"/>
                <w:sz w:val="20"/>
                <w:szCs w:val="20"/>
              </w:rPr>
            </w:pPr>
            <w:r w:rsidRPr="008123F4">
              <w:rPr>
                <w:rFonts w:ascii="Times New Roman" w:hAnsi="Times New Roman" w:cs="Times New Roman"/>
                <w:sz w:val="20"/>
                <w:szCs w:val="20"/>
              </w:rPr>
              <w:t>0.12</w:t>
            </w:r>
          </w:p>
        </w:tc>
        <w:tc>
          <w:tcPr>
            <w:tcW w:w="0" w:type="auto"/>
            <w:hideMark/>
          </w:tcPr>
          <w:p w14:paraId="1F84582D" w14:textId="77777777" w:rsidR="008000A7" w:rsidRPr="008123F4" w:rsidRDefault="008000A7" w:rsidP="00471458">
            <w:pPr>
              <w:pStyle w:val="NoSpacing"/>
              <w:jc w:val="center"/>
              <w:rPr>
                <w:rFonts w:ascii="Times New Roman" w:hAnsi="Times New Roman" w:cs="Times New Roman"/>
                <w:sz w:val="20"/>
                <w:szCs w:val="20"/>
              </w:rPr>
            </w:pPr>
            <w:r w:rsidRPr="008123F4">
              <w:rPr>
                <w:rFonts w:ascii="Times New Roman" w:hAnsi="Times New Roman" w:cs="Times New Roman"/>
                <w:sz w:val="20"/>
                <w:szCs w:val="20"/>
              </w:rPr>
              <w:t>-0.70</w:t>
            </w:r>
          </w:p>
        </w:tc>
        <w:tc>
          <w:tcPr>
            <w:tcW w:w="0" w:type="auto"/>
            <w:hideMark/>
          </w:tcPr>
          <w:p w14:paraId="3337676D" w14:textId="77777777" w:rsidR="008000A7" w:rsidRPr="008123F4" w:rsidRDefault="008000A7" w:rsidP="00471458">
            <w:pPr>
              <w:pStyle w:val="NoSpacing"/>
              <w:jc w:val="center"/>
              <w:rPr>
                <w:rFonts w:ascii="Times New Roman" w:hAnsi="Times New Roman" w:cs="Times New Roman"/>
                <w:sz w:val="20"/>
                <w:szCs w:val="20"/>
              </w:rPr>
            </w:pPr>
            <w:r w:rsidRPr="008123F4">
              <w:rPr>
                <w:rFonts w:ascii="Times New Roman" w:hAnsi="Times New Roman" w:cs="Times New Roman"/>
                <w:sz w:val="20"/>
                <w:szCs w:val="20"/>
              </w:rPr>
              <w:t>2.54</w:t>
            </w:r>
          </w:p>
        </w:tc>
        <w:tc>
          <w:tcPr>
            <w:tcW w:w="0" w:type="auto"/>
            <w:hideMark/>
          </w:tcPr>
          <w:p w14:paraId="6F879976" w14:textId="77777777" w:rsidR="008000A7" w:rsidRPr="008123F4" w:rsidRDefault="008000A7" w:rsidP="00471458">
            <w:pPr>
              <w:pStyle w:val="NoSpacing"/>
              <w:jc w:val="center"/>
              <w:rPr>
                <w:rFonts w:ascii="Times New Roman" w:hAnsi="Times New Roman" w:cs="Times New Roman"/>
                <w:sz w:val="20"/>
                <w:szCs w:val="20"/>
              </w:rPr>
            </w:pPr>
            <w:r w:rsidRPr="008123F4">
              <w:rPr>
                <w:rFonts w:ascii="Times New Roman" w:hAnsi="Times New Roman" w:cs="Times New Roman"/>
                <w:sz w:val="20"/>
                <w:szCs w:val="20"/>
              </w:rPr>
              <w:t>3.10</w:t>
            </w:r>
          </w:p>
        </w:tc>
        <w:tc>
          <w:tcPr>
            <w:tcW w:w="0" w:type="auto"/>
            <w:hideMark/>
          </w:tcPr>
          <w:p w14:paraId="40172E0A" w14:textId="77777777" w:rsidR="008000A7" w:rsidRPr="008123F4" w:rsidRDefault="008000A7" w:rsidP="00471458">
            <w:pPr>
              <w:pStyle w:val="NoSpacing"/>
              <w:jc w:val="center"/>
              <w:rPr>
                <w:rFonts w:ascii="Times New Roman" w:hAnsi="Times New Roman" w:cs="Times New Roman"/>
                <w:sz w:val="20"/>
                <w:szCs w:val="20"/>
              </w:rPr>
            </w:pPr>
            <w:r w:rsidRPr="008123F4">
              <w:rPr>
                <w:rFonts w:ascii="Times New Roman" w:hAnsi="Times New Roman" w:cs="Times New Roman"/>
                <w:sz w:val="20"/>
                <w:szCs w:val="20"/>
              </w:rPr>
              <w:t>0.55</w:t>
            </w:r>
          </w:p>
        </w:tc>
        <w:tc>
          <w:tcPr>
            <w:tcW w:w="0" w:type="auto"/>
            <w:hideMark/>
          </w:tcPr>
          <w:p w14:paraId="544E1E4F" w14:textId="77777777" w:rsidR="008000A7" w:rsidRPr="008123F4" w:rsidRDefault="008000A7" w:rsidP="00471458">
            <w:pPr>
              <w:pStyle w:val="NoSpacing"/>
              <w:jc w:val="center"/>
              <w:rPr>
                <w:rFonts w:ascii="Times New Roman" w:hAnsi="Times New Roman" w:cs="Times New Roman"/>
                <w:sz w:val="20"/>
                <w:szCs w:val="20"/>
              </w:rPr>
            </w:pPr>
            <w:r w:rsidRPr="008123F4">
              <w:rPr>
                <w:rFonts w:ascii="Times New Roman" w:hAnsi="Times New Roman" w:cs="Times New Roman"/>
                <w:sz w:val="20"/>
                <w:szCs w:val="20"/>
              </w:rPr>
              <w:t>-1.11</w:t>
            </w:r>
          </w:p>
        </w:tc>
      </w:tr>
      <w:tr w:rsidR="008000A7" w:rsidRPr="008123F4" w14:paraId="6AEAB708" w14:textId="77777777" w:rsidTr="003874AC">
        <w:trPr>
          <w:trHeight w:val="221"/>
          <w:jc w:val="center"/>
        </w:trPr>
        <w:tc>
          <w:tcPr>
            <w:tcW w:w="0" w:type="auto"/>
            <w:hideMark/>
          </w:tcPr>
          <w:p w14:paraId="5B47EE3A" w14:textId="77777777" w:rsidR="008000A7" w:rsidRPr="008123F4" w:rsidRDefault="008000A7" w:rsidP="00B77C0B">
            <w:pPr>
              <w:pStyle w:val="NoSpacing"/>
              <w:rPr>
                <w:rFonts w:ascii="Times New Roman" w:hAnsi="Times New Roman" w:cs="Times New Roman"/>
                <w:sz w:val="20"/>
                <w:szCs w:val="20"/>
              </w:rPr>
            </w:pPr>
            <w:r w:rsidRPr="008123F4">
              <w:rPr>
                <w:rFonts w:ascii="Times New Roman" w:hAnsi="Times New Roman" w:cs="Times New Roman"/>
                <w:sz w:val="20"/>
                <w:szCs w:val="20"/>
              </w:rPr>
              <w:t>Gujarat</w:t>
            </w:r>
          </w:p>
        </w:tc>
        <w:tc>
          <w:tcPr>
            <w:tcW w:w="0" w:type="auto"/>
            <w:hideMark/>
          </w:tcPr>
          <w:p w14:paraId="718B191C" w14:textId="77777777" w:rsidR="008000A7" w:rsidRPr="008123F4" w:rsidRDefault="008000A7" w:rsidP="00471458">
            <w:pPr>
              <w:pStyle w:val="NoSpacing"/>
              <w:jc w:val="center"/>
              <w:rPr>
                <w:rFonts w:ascii="Times New Roman" w:hAnsi="Times New Roman" w:cs="Times New Roman"/>
                <w:sz w:val="20"/>
                <w:szCs w:val="20"/>
              </w:rPr>
            </w:pPr>
            <w:r w:rsidRPr="008123F4">
              <w:rPr>
                <w:rFonts w:ascii="Times New Roman" w:hAnsi="Times New Roman" w:cs="Times New Roman"/>
                <w:sz w:val="20"/>
                <w:szCs w:val="20"/>
              </w:rPr>
              <w:t>0.63</w:t>
            </w:r>
          </w:p>
        </w:tc>
        <w:tc>
          <w:tcPr>
            <w:tcW w:w="0" w:type="auto"/>
            <w:hideMark/>
          </w:tcPr>
          <w:p w14:paraId="004F328C" w14:textId="77777777" w:rsidR="008000A7" w:rsidRPr="008123F4" w:rsidRDefault="008000A7" w:rsidP="00471458">
            <w:pPr>
              <w:pStyle w:val="NoSpacing"/>
              <w:jc w:val="center"/>
              <w:rPr>
                <w:rFonts w:ascii="Times New Roman" w:hAnsi="Times New Roman" w:cs="Times New Roman"/>
                <w:sz w:val="20"/>
                <w:szCs w:val="20"/>
              </w:rPr>
            </w:pPr>
            <w:r w:rsidRPr="008123F4">
              <w:rPr>
                <w:rFonts w:ascii="Times New Roman" w:hAnsi="Times New Roman" w:cs="Times New Roman"/>
                <w:sz w:val="20"/>
                <w:szCs w:val="20"/>
              </w:rPr>
              <w:t>0.69</w:t>
            </w:r>
          </w:p>
        </w:tc>
        <w:tc>
          <w:tcPr>
            <w:tcW w:w="0" w:type="auto"/>
            <w:hideMark/>
          </w:tcPr>
          <w:p w14:paraId="7952E392" w14:textId="77777777" w:rsidR="008000A7" w:rsidRPr="008123F4" w:rsidRDefault="008000A7" w:rsidP="00471458">
            <w:pPr>
              <w:pStyle w:val="NoSpacing"/>
              <w:jc w:val="center"/>
              <w:rPr>
                <w:rFonts w:ascii="Times New Roman" w:hAnsi="Times New Roman" w:cs="Times New Roman"/>
                <w:sz w:val="20"/>
                <w:szCs w:val="20"/>
              </w:rPr>
            </w:pPr>
            <w:r w:rsidRPr="008123F4">
              <w:rPr>
                <w:rFonts w:ascii="Times New Roman" w:hAnsi="Times New Roman" w:cs="Times New Roman"/>
                <w:sz w:val="20"/>
                <w:szCs w:val="20"/>
              </w:rPr>
              <w:t>3.77</w:t>
            </w:r>
          </w:p>
        </w:tc>
        <w:tc>
          <w:tcPr>
            <w:tcW w:w="0" w:type="auto"/>
            <w:hideMark/>
          </w:tcPr>
          <w:p w14:paraId="7BF15983" w14:textId="77777777" w:rsidR="008000A7" w:rsidRPr="008123F4" w:rsidRDefault="008000A7" w:rsidP="00471458">
            <w:pPr>
              <w:pStyle w:val="NoSpacing"/>
              <w:jc w:val="center"/>
              <w:rPr>
                <w:rFonts w:ascii="Times New Roman" w:hAnsi="Times New Roman" w:cs="Times New Roman"/>
                <w:sz w:val="20"/>
                <w:szCs w:val="20"/>
              </w:rPr>
            </w:pPr>
            <w:r w:rsidRPr="008123F4">
              <w:rPr>
                <w:rFonts w:ascii="Times New Roman" w:hAnsi="Times New Roman" w:cs="Times New Roman"/>
                <w:sz w:val="20"/>
                <w:szCs w:val="20"/>
              </w:rPr>
              <w:t>-3.83</w:t>
            </w:r>
          </w:p>
        </w:tc>
        <w:tc>
          <w:tcPr>
            <w:tcW w:w="0" w:type="auto"/>
            <w:hideMark/>
          </w:tcPr>
          <w:p w14:paraId="75040061" w14:textId="77777777" w:rsidR="008000A7" w:rsidRPr="008123F4" w:rsidRDefault="008000A7" w:rsidP="00471458">
            <w:pPr>
              <w:pStyle w:val="NoSpacing"/>
              <w:jc w:val="center"/>
              <w:rPr>
                <w:rFonts w:ascii="Times New Roman" w:hAnsi="Times New Roman" w:cs="Times New Roman"/>
                <w:sz w:val="20"/>
                <w:szCs w:val="20"/>
              </w:rPr>
            </w:pPr>
            <w:r w:rsidRPr="008123F4">
              <w:rPr>
                <w:rFonts w:ascii="Times New Roman" w:hAnsi="Times New Roman" w:cs="Times New Roman"/>
                <w:sz w:val="20"/>
                <w:szCs w:val="20"/>
              </w:rPr>
              <w:t>0.89</w:t>
            </w:r>
          </w:p>
        </w:tc>
        <w:tc>
          <w:tcPr>
            <w:tcW w:w="0" w:type="auto"/>
            <w:hideMark/>
          </w:tcPr>
          <w:p w14:paraId="358F8AF1" w14:textId="77777777" w:rsidR="008000A7" w:rsidRPr="008123F4" w:rsidRDefault="008000A7" w:rsidP="00471458">
            <w:pPr>
              <w:pStyle w:val="NoSpacing"/>
              <w:jc w:val="center"/>
              <w:rPr>
                <w:rFonts w:ascii="Times New Roman" w:hAnsi="Times New Roman" w:cs="Times New Roman"/>
                <w:sz w:val="20"/>
                <w:szCs w:val="20"/>
              </w:rPr>
            </w:pPr>
            <w:r w:rsidRPr="008123F4">
              <w:rPr>
                <w:rFonts w:ascii="Times New Roman" w:hAnsi="Times New Roman" w:cs="Times New Roman"/>
                <w:sz w:val="20"/>
                <w:szCs w:val="20"/>
              </w:rPr>
              <w:t>0.73</w:t>
            </w:r>
          </w:p>
        </w:tc>
        <w:tc>
          <w:tcPr>
            <w:tcW w:w="0" w:type="auto"/>
            <w:hideMark/>
          </w:tcPr>
          <w:p w14:paraId="5ED20336" w14:textId="77777777" w:rsidR="008000A7" w:rsidRPr="008123F4" w:rsidRDefault="008000A7" w:rsidP="00471458">
            <w:pPr>
              <w:pStyle w:val="NoSpacing"/>
              <w:jc w:val="center"/>
              <w:rPr>
                <w:rFonts w:ascii="Times New Roman" w:hAnsi="Times New Roman" w:cs="Times New Roman"/>
                <w:sz w:val="20"/>
                <w:szCs w:val="20"/>
              </w:rPr>
            </w:pPr>
            <w:r w:rsidRPr="008123F4">
              <w:rPr>
                <w:rFonts w:ascii="Times New Roman" w:hAnsi="Times New Roman" w:cs="Times New Roman"/>
                <w:sz w:val="20"/>
                <w:szCs w:val="20"/>
              </w:rPr>
              <w:t>3.97</w:t>
            </w:r>
          </w:p>
        </w:tc>
        <w:tc>
          <w:tcPr>
            <w:tcW w:w="847" w:type="dxa"/>
            <w:hideMark/>
          </w:tcPr>
          <w:p w14:paraId="39D20948" w14:textId="77777777" w:rsidR="008000A7" w:rsidRPr="008123F4" w:rsidRDefault="008000A7" w:rsidP="00471458">
            <w:pPr>
              <w:pStyle w:val="NoSpacing"/>
              <w:jc w:val="center"/>
              <w:rPr>
                <w:rFonts w:ascii="Times New Roman" w:hAnsi="Times New Roman" w:cs="Times New Roman"/>
                <w:sz w:val="20"/>
                <w:szCs w:val="20"/>
              </w:rPr>
            </w:pPr>
            <w:r w:rsidRPr="008123F4">
              <w:rPr>
                <w:rFonts w:ascii="Times New Roman" w:hAnsi="Times New Roman" w:cs="Times New Roman"/>
                <w:sz w:val="20"/>
                <w:szCs w:val="20"/>
              </w:rPr>
              <w:t>-3.81</w:t>
            </w:r>
          </w:p>
        </w:tc>
        <w:tc>
          <w:tcPr>
            <w:tcW w:w="853" w:type="dxa"/>
            <w:hideMark/>
          </w:tcPr>
          <w:p w14:paraId="49BAE0C1" w14:textId="77777777" w:rsidR="008000A7" w:rsidRPr="008123F4" w:rsidRDefault="008000A7" w:rsidP="00471458">
            <w:pPr>
              <w:pStyle w:val="NoSpacing"/>
              <w:jc w:val="center"/>
              <w:rPr>
                <w:rFonts w:ascii="Times New Roman" w:hAnsi="Times New Roman" w:cs="Times New Roman"/>
                <w:sz w:val="20"/>
                <w:szCs w:val="20"/>
              </w:rPr>
            </w:pPr>
            <w:r w:rsidRPr="008123F4">
              <w:rPr>
                <w:rFonts w:ascii="Times New Roman" w:hAnsi="Times New Roman" w:cs="Times New Roman"/>
                <w:sz w:val="20"/>
                <w:szCs w:val="20"/>
              </w:rPr>
              <w:t>0.89</w:t>
            </w:r>
          </w:p>
        </w:tc>
        <w:tc>
          <w:tcPr>
            <w:tcW w:w="0" w:type="auto"/>
            <w:hideMark/>
          </w:tcPr>
          <w:p w14:paraId="214D1E89" w14:textId="77777777" w:rsidR="008000A7" w:rsidRPr="008123F4" w:rsidRDefault="008000A7" w:rsidP="00471458">
            <w:pPr>
              <w:pStyle w:val="NoSpacing"/>
              <w:jc w:val="center"/>
              <w:rPr>
                <w:rFonts w:ascii="Times New Roman" w:hAnsi="Times New Roman" w:cs="Times New Roman"/>
                <w:sz w:val="20"/>
                <w:szCs w:val="20"/>
              </w:rPr>
            </w:pPr>
            <w:r w:rsidRPr="008123F4">
              <w:rPr>
                <w:rFonts w:ascii="Times New Roman" w:hAnsi="Times New Roman" w:cs="Times New Roman"/>
                <w:sz w:val="20"/>
                <w:szCs w:val="20"/>
              </w:rPr>
              <w:t>0.75</w:t>
            </w:r>
          </w:p>
        </w:tc>
        <w:tc>
          <w:tcPr>
            <w:tcW w:w="0" w:type="auto"/>
            <w:hideMark/>
          </w:tcPr>
          <w:p w14:paraId="2699401E" w14:textId="77777777" w:rsidR="008000A7" w:rsidRPr="008123F4" w:rsidRDefault="008000A7" w:rsidP="00471458">
            <w:pPr>
              <w:pStyle w:val="NoSpacing"/>
              <w:jc w:val="center"/>
              <w:rPr>
                <w:rFonts w:ascii="Times New Roman" w:hAnsi="Times New Roman" w:cs="Times New Roman"/>
                <w:sz w:val="20"/>
                <w:szCs w:val="20"/>
              </w:rPr>
            </w:pPr>
            <w:r w:rsidRPr="008123F4">
              <w:rPr>
                <w:rFonts w:ascii="Times New Roman" w:hAnsi="Times New Roman" w:cs="Times New Roman"/>
                <w:sz w:val="20"/>
                <w:szCs w:val="20"/>
              </w:rPr>
              <w:t>4.20</w:t>
            </w:r>
          </w:p>
        </w:tc>
        <w:tc>
          <w:tcPr>
            <w:tcW w:w="0" w:type="auto"/>
            <w:hideMark/>
          </w:tcPr>
          <w:p w14:paraId="603D8A46" w14:textId="77777777" w:rsidR="008000A7" w:rsidRPr="008123F4" w:rsidRDefault="008000A7" w:rsidP="00471458">
            <w:pPr>
              <w:pStyle w:val="NoSpacing"/>
              <w:jc w:val="center"/>
              <w:rPr>
                <w:rFonts w:ascii="Times New Roman" w:hAnsi="Times New Roman" w:cs="Times New Roman"/>
                <w:sz w:val="20"/>
                <w:szCs w:val="20"/>
              </w:rPr>
            </w:pPr>
            <w:r w:rsidRPr="008123F4">
              <w:rPr>
                <w:rFonts w:ascii="Times New Roman" w:hAnsi="Times New Roman" w:cs="Times New Roman"/>
                <w:sz w:val="20"/>
                <w:szCs w:val="20"/>
              </w:rPr>
              <w:t>-4.06</w:t>
            </w:r>
          </w:p>
        </w:tc>
        <w:tc>
          <w:tcPr>
            <w:tcW w:w="0" w:type="auto"/>
            <w:hideMark/>
          </w:tcPr>
          <w:p w14:paraId="33EE954B" w14:textId="77777777" w:rsidR="008000A7" w:rsidRPr="008123F4" w:rsidRDefault="008000A7" w:rsidP="00471458">
            <w:pPr>
              <w:pStyle w:val="NoSpacing"/>
              <w:jc w:val="center"/>
              <w:rPr>
                <w:rFonts w:ascii="Times New Roman" w:hAnsi="Times New Roman" w:cs="Times New Roman"/>
                <w:sz w:val="20"/>
                <w:szCs w:val="20"/>
              </w:rPr>
            </w:pPr>
            <w:r w:rsidRPr="008123F4">
              <w:rPr>
                <w:rFonts w:ascii="Times New Roman" w:hAnsi="Times New Roman" w:cs="Times New Roman"/>
                <w:sz w:val="20"/>
                <w:szCs w:val="20"/>
              </w:rPr>
              <w:t>1.31</w:t>
            </w:r>
          </w:p>
        </w:tc>
        <w:tc>
          <w:tcPr>
            <w:tcW w:w="0" w:type="auto"/>
            <w:hideMark/>
          </w:tcPr>
          <w:p w14:paraId="62E22D5E" w14:textId="77777777" w:rsidR="008000A7" w:rsidRPr="008123F4" w:rsidRDefault="008000A7" w:rsidP="00471458">
            <w:pPr>
              <w:pStyle w:val="NoSpacing"/>
              <w:jc w:val="center"/>
              <w:rPr>
                <w:rFonts w:ascii="Times New Roman" w:hAnsi="Times New Roman" w:cs="Times New Roman"/>
                <w:sz w:val="20"/>
                <w:szCs w:val="20"/>
              </w:rPr>
            </w:pPr>
            <w:r w:rsidRPr="008123F4">
              <w:rPr>
                <w:rFonts w:ascii="Times New Roman" w:hAnsi="Times New Roman" w:cs="Times New Roman"/>
                <w:sz w:val="20"/>
                <w:szCs w:val="20"/>
              </w:rPr>
              <w:t>1.22</w:t>
            </w:r>
          </w:p>
        </w:tc>
        <w:tc>
          <w:tcPr>
            <w:tcW w:w="0" w:type="auto"/>
            <w:hideMark/>
          </w:tcPr>
          <w:p w14:paraId="19F36829" w14:textId="77777777" w:rsidR="008000A7" w:rsidRPr="008123F4" w:rsidRDefault="008000A7" w:rsidP="00471458">
            <w:pPr>
              <w:pStyle w:val="NoSpacing"/>
              <w:jc w:val="center"/>
              <w:rPr>
                <w:rFonts w:ascii="Times New Roman" w:hAnsi="Times New Roman" w:cs="Times New Roman"/>
                <w:sz w:val="20"/>
                <w:szCs w:val="20"/>
              </w:rPr>
            </w:pPr>
            <w:r w:rsidRPr="008123F4">
              <w:rPr>
                <w:rFonts w:ascii="Times New Roman" w:hAnsi="Times New Roman" w:cs="Times New Roman"/>
                <w:sz w:val="20"/>
                <w:szCs w:val="20"/>
              </w:rPr>
              <w:t>4.40</w:t>
            </w:r>
          </w:p>
        </w:tc>
        <w:tc>
          <w:tcPr>
            <w:tcW w:w="0" w:type="auto"/>
            <w:hideMark/>
          </w:tcPr>
          <w:p w14:paraId="29EFADC9" w14:textId="77777777" w:rsidR="008000A7" w:rsidRPr="008123F4" w:rsidRDefault="008000A7" w:rsidP="00471458">
            <w:pPr>
              <w:pStyle w:val="NoSpacing"/>
              <w:jc w:val="center"/>
              <w:rPr>
                <w:rFonts w:ascii="Times New Roman" w:hAnsi="Times New Roman" w:cs="Times New Roman"/>
                <w:sz w:val="20"/>
                <w:szCs w:val="20"/>
              </w:rPr>
            </w:pPr>
            <w:r w:rsidRPr="008123F4">
              <w:rPr>
                <w:rFonts w:ascii="Times New Roman" w:hAnsi="Times New Roman" w:cs="Times New Roman"/>
                <w:sz w:val="20"/>
                <w:szCs w:val="20"/>
              </w:rPr>
              <w:t>-4.31</w:t>
            </w:r>
          </w:p>
        </w:tc>
      </w:tr>
      <w:tr w:rsidR="008000A7" w:rsidRPr="008123F4" w14:paraId="6ED0BDF1" w14:textId="77777777" w:rsidTr="003874AC">
        <w:trPr>
          <w:trHeight w:val="221"/>
          <w:jc w:val="center"/>
        </w:trPr>
        <w:tc>
          <w:tcPr>
            <w:tcW w:w="0" w:type="auto"/>
            <w:hideMark/>
          </w:tcPr>
          <w:p w14:paraId="497CA4E4" w14:textId="77777777" w:rsidR="008000A7" w:rsidRPr="008123F4" w:rsidRDefault="008000A7" w:rsidP="00B77C0B">
            <w:pPr>
              <w:pStyle w:val="NoSpacing"/>
              <w:rPr>
                <w:rFonts w:ascii="Times New Roman" w:hAnsi="Times New Roman" w:cs="Times New Roman"/>
                <w:sz w:val="20"/>
                <w:szCs w:val="20"/>
              </w:rPr>
            </w:pPr>
            <w:r w:rsidRPr="008123F4">
              <w:rPr>
                <w:rFonts w:ascii="Times New Roman" w:hAnsi="Times New Roman" w:cs="Times New Roman"/>
                <w:sz w:val="20"/>
                <w:szCs w:val="20"/>
              </w:rPr>
              <w:t>Haryana</w:t>
            </w:r>
          </w:p>
        </w:tc>
        <w:tc>
          <w:tcPr>
            <w:tcW w:w="0" w:type="auto"/>
            <w:hideMark/>
          </w:tcPr>
          <w:p w14:paraId="4DCEA9C0" w14:textId="77777777" w:rsidR="008000A7" w:rsidRPr="008123F4" w:rsidRDefault="008000A7" w:rsidP="00471458">
            <w:pPr>
              <w:pStyle w:val="NoSpacing"/>
              <w:jc w:val="center"/>
              <w:rPr>
                <w:rFonts w:ascii="Times New Roman" w:hAnsi="Times New Roman" w:cs="Times New Roman"/>
                <w:sz w:val="20"/>
                <w:szCs w:val="20"/>
              </w:rPr>
            </w:pPr>
            <w:r w:rsidRPr="008123F4">
              <w:rPr>
                <w:rFonts w:ascii="Times New Roman" w:hAnsi="Times New Roman" w:cs="Times New Roman"/>
                <w:sz w:val="20"/>
                <w:szCs w:val="20"/>
              </w:rPr>
              <w:t>..</w:t>
            </w:r>
          </w:p>
        </w:tc>
        <w:tc>
          <w:tcPr>
            <w:tcW w:w="0" w:type="auto"/>
            <w:hideMark/>
          </w:tcPr>
          <w:p w14:paraId="0C530C4F" w14:textId="77777777" w:rsidR="008000A7" w:rsidRPr="008123F4" w:rsidRDefault="008000A7" w:rsidP="00471458">
            <w:pPr>
              <w:pStyle w:val="NoSpacing"/>
              <w:jc w:val="center"/>
              <w:rPr>
                <w:rFonts w:ascii="Times New Roman" w:hAnsi="Times New Roman" w:cs="Times New Roman"/>
                <w:sz w:val="20"/>
                <w:szCs w:val="20"/>
              </w:rPr>
            </w:pPr>
            <w:r w:rsidRPr="008123F4">
              <w:rPr>
                <w:rFonts w:ascii="Times New Roman" w:hAnsi="Times New Roman" w:cs="Times New Roman"/>
                <w:sz w:val="20"/>
                <w:szCs w:val="20"/>
              </w:rPr>
              <w:t>..</w:t>
            </w:r>
          </w:p>
        </w:tc>
        <w:tc>
          <w:tcPr>
            <w:tcW w:w="0" w:type="auto"/>
            <w:hideMark/>
          </w:tcPr>
          <w:p w14:paraId="690BF934" w14:textId="77777777" w:rsidR="008000A7" w:rsidRPr="008123F4" w:rsidRDefault="008000A7" w:rsidP="00471458">
            <w:pPr>
              <w:pStyle w:val="NoSpacing"/>
              <w:jc w:val="center"/>
              <w:rPr>
                <w:rFonts w:ascii="Times New Roman" w:hAnsi="Times New Roman" w:cs="Times New Roman"/>
                <w:sz w:val="20"/>
                <w:szCs w:val="20"/>
              </w:rPr>
            </w:pPr>
            <w:r w:rsidRPr="008123F4">
              <w:rPr>
                <w:rFonts w:ascii="Times New Roman" w:hAnsi="Times New Roman" w:cs="Times New Roman"/>
                <w:sz w:val="20"/>
                <w:szCs w:val="20"/>
              </w:rPr>
              <w:t>..</w:t>
            </w:r>
          </w:p>
        </w:tc>
        <w:tc>
          <w:tcPr>
            <w:tcW w:w="0" w:type="auto"/>
            <w:hideMark/>
          </w:tcPr>
          <w:p w14:paraId="0B643D2D" w14:textId="77777777" w:rsidR="008000A7" w:rsidRPr="008123F4" w:rsidRDefault="008000A7" w:rsidP="00471458">
            <w:pPr>
              <w:pStyle w:val="NoSpacing"/>
              <w:jc w:val="center"/>
              <w:rPr>
                <w:rFonts w:ascii="Times New Roman" w:hAnsi="Times New Roman" w:cs="Times New Roman"/>
                <w:sz w:val="20"/>
                <w:szCs w:val="20"/>
              </w:rPr>
            </w:pPr>
            <w:r w:rsidRPr="008123F4">
              <w:rPr>
                <w:rFonts w:ascii="Times New Roman" w:hAnsi="Times New Roman" w:cs="Times New Roman"/>
                <w:sz w:val="20"/>
                <w:szCs w:val="20"/>
              </w:rPr>
              <w:t>..</w:t>
            </w:r>
          </w:p>
        </w:tc>
        <w:tc>
          <w:tcPr>
            <w:tcW w:w="0" w:type="auto"/>
            <w:hideMark/>
          </w:tcPr>
          <w:p w14:paraId="1F8B8F70" w14:textId="77777777" w:rsidR="008000A7" w:rsidRPr="008123F4" w:rsidRDefault="008000A7" w:rsidP="00471458">
            <w:pPr>
              <w:pStyle w:val="NoSpacing"/>
              <w:jc w:val="center"/>
              <w:rPr>
                <w:rFonts w:ascii="Times New Roman" w:hAnsi="Times New Roman" w:cs="Times New Roman"/>
                <w:sz w:val="20"/>
                <w:szCs w:val="20"/>
              </w:rPr>
            </w:pPr>
            <w:r w:rsidRPr="008123F4">
              <w:rPr>
                <w:rFonts w:ascii="Times New Roman" w:hAnsi="Times New Roman" w:cs="Times New Roman"/>
                <w:sz w:val="20"/>
                <w:szCs w:val="20"/>
              </w:rPr>
              <w:t>..</w:t>
            </w:r>
          </w:p>
        </w:tc>
        <w:tc>
          <w:tcPr>
            <w:tcW w:w="0" w:type="auto"/>
            <w:hideMark/>
          </w:tcPr>
          <w:p w14:paraId="480A75FB" w14:textId="77777777" w:rsidR="008000A7" w:rsidRPr="008123F4" w:rsidRDefault="008000A7" w:rsidP="00471458">
            <w:pPr>
              <w:pStyle w:val="NoSpacing"/>
              <w:jc w:val="center"/>
              <w:rPr>
                <w:rFonts w:ascii="Times New Roman" w:hAnsi="Times New Roman" w:cs="Times New Roman"/>
                <w:sz w:val="20"/>
                <w:szCs w:val="20"/>
              </w:rPr>
            </w:pPr>
            <w:r w:rsidRPr="008123F4">
              <w:rPr>
                <w:rFonts w:ascii="Times New Roman" w:hAnsi="Times New Roman" w:cs="Times New Roman"/>
                <w:sz w:val="20"/>
                <w:szCs w:val="20"/>
              </w:rPr>
              <w:t>..</w:t>
            </w:r>
          </w:p>
        </w:tc>
        <w:tc>
          <w:tcPr>
            <w:tcW w:w="0" w:type="auto"/>
            <w:hideMark/>
          </w:tcPr>
          <w:p w14:paraId="545D0429" w14:textId="77777777" w:rsidR="008000A7" w:rsidRPr="008123F4" w:rsidRDefault="008000A7" w:rsidP="00471458">
            <w:pPr>
              <w:pStyle w:val="NoSpacing"/>
              <w:jc w:val="center"/>
              <w:rPr>
                <w:rFonts w:ascii="Times New Roman" w:hAnsi="Times New Roman" w:cs="Times New Roman"/>
                <w:sz w:val="20"/>
                <w:szCs w:val="20"/>
              </w:rPr>
            </w:pPr>
            <w:r w:rsidRPr="008123F4">
              <w:rPr>
                <w:rFonts w:ascii="Times New Roman" w:hAnsi="Times New Roman" w:cs="Times New Roman"/>
                <w:sz w:val="20"/>
                <w:szCs w:val="20"/>
              </w:rPr>
              <w:t>..</w:t>
            </w:r>
          </w:p>
        </w:tc>
        <w:tc>
          <w:tcPr>
            <w:tcW w:w="847" w:type="dxa"/>
            <w:hideMark/>
          </w:tcPr>
          <w:p w14:paraId="0F757AE7" w14:textId="77777777" w:rsidR="008000A7" w:rsidRPr="008123F4" w:rsidRDefault="008000A7" w:rsidP="00471458">
            <w:pPr>
              <w:pStyle w:val="NoSpacing"/>
              <w:jc w:val="center"/>
              <w:rPr>
                <w:rFonts w:ascii="Times New Roman" w:hAnsi="Times New Roman" w:cs="Times New Roman"/>
                <w:sz w:val="20"/>
                <w:szCs w:val="20"/>
              </w:rPr>
            </w:pPr>
            <w:r w:rsidRPr="008123F4">
              <w:rPr>
                <w:rFonts w:ascii="Times New Roman" w:hAnsi="Times New Roman" w:cs="Times New Roman"/>
                <w:sz w:val="20"/>
                <w:szCs w:val="20"/>
              </w:rPr>
              <w:t>N.A.</w:t>
            </w:r>
          </w:p>
        </w:tc>
        <w:tc>
          <w:tcPr>
            <w:tcW w:w="853" w:type="dxa"/>
            <w:hideMark/>
          </w:tcPr>
          <w:p w14:paraId="28F8B9E0" w14:textId="77777777" w:rsidR="008000A7" w:rsidRPr="008123F4" w:rsidRDefault="008000A7" w:rsidP="00471458">
            <w:pPr>
              <w:pStyle w:val="NoSpacing"/>
              <w:jc w:val="center"/>
              <w:rPr>
                <w:rFonts w:ascii="Times New Roman" w:hAnsi="Times New Roman" w:cs="Times New Roman"/>
                <w:sz w:val="20"/>
                <w:szCs w:val="20"/>
              </w:rPr>
            </w:pPr>
            <w:r w:rsidRPr="008123F4">
              <w:rPr>
                <w:rFonts w:ascii="Times New Roman" w:hAnsi="Times New Roman" w:cs="Times New Roman"/>
                <w:sz w:val="20"/>
                <w:szCs w:val="20"/>
              </w:rPr>
              <w:t>1.57</w:t>
            </w:r>
          </w:p>
        </w:tc>
        <w:tc>
          <w:tcPr>
            <w:tcW w:w="0" w:type="auto"/>
            <w:hideMark/>
          </w:tcPr>
          <w:p w14:paraId="68FF8490" w14:textId="77777777" w:rsidR="008000A7" w:rsidRPr="008123F4" w:rsidRDefault="008000A7" w:rsidP="00471458">
            <w:pPr>
              <w:pStyle w:val="NoSpacing"/>
              <w:jc w:val="center"/>
              <w:rPr>
                <w:rFonts w:ascii="Times New Roman" w:hAnsi="Times New Roman" w:cs="Times New Roman"/>
                <w:sz w:val="20"/>
                <w:szCs w:val="20"/>
              </w:rPr>
            </w:pPr>
            <w:r w:rsidRPr="008123F4">
              <w:rPr>
                <w:rFonts w:ascii="Times New Roman" w:hAnsi="Times New Roman" w:cs="Times New Roman"/>
                <w:sz w:val="20"/>
                <w:szCs w:val="20"/>
              </w:rPr>
              <w:t>1.14</w:t>
            </w:r>
          </w:p>
        </w:tc>
        <w:tc>
          <w:tcPr>
            <w:tcW w:w="0" w:type="auto"/>
            <w:hideMark/>
          </w:tcPr>
          <w:p w14:paraId="2D8D7F60" w14:textId="77777777" w:rsidR="008000A7" w:rsidRPr="008123F4" w:rsidRDefault="008000A7" w:rsidP="00471458">
            <w:pPr>
              <w:pStyle w:val="NoSpacing"/>
              <w:jc w:val="center"/>
              <w:rPr>
                <w:rFonts w:ascii="Times New Roman" w:hAnsi="Times New Roman" w:cs="Times New Roman"/>
                <w:sz w:val="20"/>
                <w:szCs w:val="20"/>
              </w:rPr>
            </w:pPr>
            <w:r w:rsidRPr="008123F4">
              <w:rPr>
                <w:rFonts w:ascii="Times New Roman" w:hAnsi="Times New Roman" w:cs="Times New Roman"/>
                <w:sz w:val="20"/>
                <w:szCs w:val="20"/>
              </w:rPr>
              <w:t>0.97</w:t>
            </w:r>
          </w:p>
        </w:tc>
        <w:tc>
          <w:tcPr>
            <w:tcW w:w="0" w:type="auto"/>
            <w:hideMark/>
          </w:tcPr>
          <w:p w14:paraId="285C5168" w14:textId="77777777" w:rsidR="008000A7" w:rsidRPr="008123F4" w:rsidRDefault="008000A7" w:rsidP="00471458">
            <w:pPr>
              <w:pStyle w:val="NoSpacing"/>
              <w:jc w:val="center"/>
              <w:rPr>
                <w:rFonts w:ascii="Times New Roman" w:hAnsi="Times New Roman" w:cs="Times New Roman"/>
                <w:sz w:val="20"/>
                <w:szCs w:val="20"/>
              </w:rPr>
            </w:pPr>
            <w:r w:rsidRPr="008123F4">
              <w:rPr>
                <w:rFonts w:ascii="Times New Roman" w:hAnsi="Times New Roman" w:cs="Times New Roman"/>
                <w:sz w:val="20"/>
                <w:szCs w:val="20"/>
              </w:rPr>
              <w:t>-0.54</w:t>
            </w:r>
          </w:p>
        </w:tc>
        <w:tc>
          <w:tcPr>
            <w:tcW w:w="0" w:type="auto"/>
            <w:hideMark/>
          </w:tcPr>
          <w:p w14:paraId="78ABB9DA" w14:textId="77777777" w:rsidR="008000A7" w:rsidRPr="008123F4" w:rsidRDefault="008000A7" w:rsidP="00471458">
            <w:pPr>
              <w:pStyle w:val="NoSpacing"/>
              <w:jc w:val="center"/>
              <w:rPr>
                <w:rFonts w:ascii="Times New Roman" w:hAnsi="Times New Roman" w:cs="Times New Roman"/>
                <w:sz w:val="20"/>
                <w:szCs w:val="20"/>
              </w:rPr>
            </w:pPr>
            <w:r w:rsidRPr="008123F4">
              <w:rPr>
                <w:rFonts w:ascii="Times New Roman" w:hAnsi="Times New Roman" w:cs="Times New Roman"/>
                <w:sz w:val="20"/>
                <w:szCs w:val="20"/>
              </w:rPr>
              <w:t>1.95</w:t>
            </w:r>
          </w:p>
        </w:tc>
        <w:tc>
          <w:tcPr>
            <w:tcW w:w="0" w:type="auto"/>
            <w:hideMark/>
          </w:tcPr>
          <w:p w14:paraId="6F05CD70" w14:textId="77777777" w:rsidR="008000A7" w:rsidRPr="008123F4" w:rsidRDefault="008000A7" w:rsidP="00471458">
            <w:pPr>
              <w:pStyle w:val="NoSpacing"/>
              <w:jc w:val="center"/>
              <w:rPr>
                <w:rFonts w:ascii="Times New Roman" w:hAnsi="Times New Roman" w:cs="Times New Roman"/>
                <w:sz w:val="20"/>
                <w:szCs w:val="20"/>
              </w:rPr>
            </w:pPr>
            <w:r w:rsidRPr="008123F4">
              <w:rPr>
                <w:rFonts w:ascii="Times New Roman" w:hAnsi="Times New Roman" w:cs="Times New Roman"/>
                <w:sz w:val="20"/>
                <w:szCs w:val="20"/>
              </w:rPr>
              <w:t>1.60</w:t>
            </w:r>
          </w:p>
        </w:tc>
        <w:tc>
          <w:tcPr>
            <w:tcW w:w="0" w:type="auto"/>
            <w:hideMark/>
          </w:tcPr>
          <w:p w14:paraId="4CA73B98" w14:textId="77777777" w:rsidR="008000A7" w:rsidRPr="008123F4" w:rsidRDefault="008000A7" w:rsidP="00471458">
            <w:pPr>
              <w:pStyle w:val="NoSpacing"/>
              <w:jc w:val="center"/>
              <w:rPr>
                <w:rFonts w:ascii="Times New Roman" w:hAnsi="Times New Roman" w:cs="Times New Roman"/>
                <w:sz w:val="20"/>
                <w:szCs w:val="20"/>
              </w:rPr>
            </w:pPr>
            <w:r w:rsidRPr="008123F4">
              <w:rPr>
                <w:rFonts w:ascii="Times New Roman" w:hAnsi="Times New Roman" w:cs="Times New Roman"/>
                <w:sz w:val="20"/>
                <w:szCs w:val="20"/>
              </w:rPr>
              <w:t>1.16</w:t>
            </w:r>
          </w:p>
        </w:tc>
        <w:tc>
          <w:tcPr>
            <w:tcW w:w="0" w:type="auto"/>
            <w:hideMark/>
          </w:tcPr>
          <w:p w14:paraId="46A62470" w14:textId="77777777" w:rsidR="008000A7" w:rsidRPr="008123F4" w:rsidRDefault="008000A7" w:rsidP="00471458">
            <w:pPr>
              <w:pStyle w:val="NoSpacing"/>
              <w:jc w:val="center"/>
              <w:rPr>
                <w:rFonts w:ascii="Times New Roman" w:hAnsi="Times New Roman" w:cs="Times New Roman"/>
                <w:sz w:val="20"/>
                <w:szCs w:val="20"/>
              </w:rPr>
            </w:pPr>
            <w:r w:rsidRPr="008123F4">
              <w:rPr>
                <w:rFonts w:ascii="Times New Roman" w:hAnsi="Times New Roman" w:cs="Times New Roman"/>
                <w:sz w:val="20"/>
                <w:szCs w:val="20"/>
              </w:rPr>
              <w:t>-0.81</w:t>
            </w:r>
          </w:p>
        </w:tc>
      </w:tr>
      <w:tr w:rsidR="008000A7" w:rsidRPr="008123F4" w14:paraId="15F29CA9" w14:textId="77777777" w:rsidTr="003874AC">
        <w:trPr>
          <w:trHeight w:val="443"/>
          <w:jc w:val="center"/>
        </w:trPr>
        <w:tc>
          <w:tcPr>
            <w:tcW w:w="1279" w:type="dxa"/>
            <w:hideMark/>
          </w:tcPr>
          <w:p w14:paraId="5913BDE9" w14:textId="77777777" w:rsidR="008000A7" w:rsidRPr="008123F4" w:rsidRDefault="008000A7" w:rsidP="00B77C0B">
            <w:pPr>
              <w:pStyle w:val="NoSpacing"/>
              <w:rPr>
                <w:rFonts w:ascii="Times New Roman" w:hAnsi="Times New Roman" w:cs="Times New Roman"/>
                <w:sz w:val="20"/>
                <w:szCs w:val="20"/>
              </w:rPr>
            </w:pPr>
            <w:r w:rsidRPr="008123F4">
              <w:rPr>
                <w:rFonts w:ascii="Times New Roman" w:hAnsi="Times New Roman" w:cs="Times New Roman"/>
                <w:sz w:val="20"/>
                <w:szCs w:val="20"/>
              </w:rPr>
              <w:t>Jammu &amp; Kashmir</w:t>
            </w:r>
          </w:p>
        </w:tc>
        <w:tc>
          <w:tcPr>
            <w:tcW w:w="0" w:type="auto"/>
            <w:hideMark/>
          </w:tcPr>
          <w:p w14:paraId="65697B1E" w14:textId="77777777" w:rsidR="008000A7" w:rsidRPr="008123F4" w:rsidRDefault="008000A7" w:rsidP="00471458">
            <w:pPr>
              <w:pStyle w:val="NoSpacing"/>
              <w:jc w:val="center"/>
              <w:rPr>
                <w:rFonts w:ascii="Times New Roman" w:hAnsi="Times New Roman" w:cs="Times New Roman"/>
                <w:sz w:val="20"/>
                <w:szCs w:val="20"/>
              </w:rPr>
            </w:pPr>
            <w:r w:rsidRPr="008123F4">
              <w:rPr>
                <w:rFonts w:ascii="Times New Roman" w:hAnsi="Times New Roman" w:cs="Times New Roman"/>
                <w:sz w:val="20"/>
                <w:szCs w:val="20"/>
              </w:rPr>
              <w:t>..</w:t>
            </w:r>
          </w:p>
        </w:tc>
        <w:tc>
          <w:tcPr>
            <w:tcW w:w="0" w:type="auto"/>
            <w:hideMark/>
          </w:tcPr>
          <w:p w14:paraId="1AA5282F" w14:textId="77777777" w:rsidR="008000A7" w:rsidRPr="008123F4" w:rsidRDefault="008000A7" w:rsidP="00471458">
            <w:pPr>
              <w:pStyle w:val="NoSpacing"/>
              <w:jc w:val="center"/>
              <w:rPr>
                <w:rFonts w:ascii="Times New Roman" w:hAnsi="Times New Roman" w:cs="Times New Roman"/>
                <w:sz w:val="20"/>
                <w:szCs w:val="20"/>
              </w:rPr>
            </w:pPr>
            <w:r w:rsidRPr="008123F4">
              <w:rPr>
                <w:rFonts w:ascii="Times New Roman" w:hAnsi="Times New Roman" w:cs="Times New Roman"/>
                <w:sz w:val="20"/>
                <w:szCs w:val="20"/>
              </w:rPr>
              <w:t>0.16</w:t>
            </w:r>
          </w:p>
        </w:tc>
        <w:tc>
          <w:tcPr>
            <w:tcW w:w="0" w:type="auto"/>
            <w:hideMark/>
          </w:tcPr>
          <w:p w14:paraId="4D035755" w14:textId="77777777" w:rsidR="008000A7" w:rsidRPr="008123F4" w:rsidRDefault="008000A7" w:rsidP="00471458">
            <w:pPr>
              <w:pStyle w:val="NoSpacing"/>
              <w:jc w:val="center"/>
              <w:rPr>
                <w:rFonts w:ascii="Times New Roman" w:hAnsi="Times New Roman" w:cs="Times New Roman"/>
                <w:sz w:val="20"/>
                <w:szCs w:val="20"/>
              </w:rPr>
            </w:pPr>
            <w:r w:rsidRPr="008123F4">
              <w:rPr>
                <w:rFonts w:ascii="Times New Roman" w:hAnsi="Times New Roman" w:cs="Times New Roman"/>
                <w:sz w:val="20"/>
                <w:szCs w:val="20"/>
              </w:rPr>
              <w:t>..</w:t>
            </w:r>
          </w:p>
        </w:tc>
        <w:tc>
          <w:tcPr>
            <w:tcW w:w="0" w:type="auto"/>
            <w:hideMark/>
          </w:tcPr>
          <w:p w14:paraId="143A43EE" w14:textId="77777777" w:rsidR="008000A7" w:rsidRPr="008123F4" w:rsidRDefault="008000A7" w:rsidP="00471458">
            <w:pPr>
              <w:pStyle w:val="NoSpacing"/>
              <w:jc w:val="center"/>
              <w:rPr>
                <w:rFonts w:ascii="Times New Roman" w:hAnsi="Times New Roman" w:cs="Times New Roman"/>
                <w:sz w:val="20"/>
                <w:szCs w:val="20"/>
              </w:rPr>
            </w:pPr>
            <w:r w:rsidRPr="008123F4">
              <w:rPr>
                <w:rFonts w:ascii="Times New Roman" w:hAnsi="Times New Roman" w:cs="Times New Roman"/>
                <w:sz w:val="20"/>
                <w:szCs w:val="20"/>
              </w:rPr>
              <w:t>-0.16</w:t>
            </w:r>
          </w:p>
        </w:tc>
        <w:tc>
          <w:tcPr>
            <w:tcW w:w="0" w:type="auto"/>
            <w:hideMark/>
          </w:tcPr>
          <w:p w14:paraId="1A4CB218" w14:textId="77777777" w:rsidR="008000A7" w:rsidRPr="008123F4" w:rsidRDefault="008000A7" w:rsidP="00471458">
            <w:pPr>
              <w:pStyle w:val="NoSpacing"/>
              <w:jc w:val="center"/>
              <w:rPr>
                <w:rFonts w:ascii="Times New Roman" w:hAnsi="Times New Roman" w:cs="Times New Roman"/>
                <w:sz w:val="20"/>
                <w:szCs w:val="20"/>
              </w:rPr>
            </w:pPr>
            <w:r w:rsidRPr="008123F4">
              <w:rPr>
                <w:rFonts w:ascii="Times New Roman" w:hAnsi="Times New Roman" w:cs="Times New Roman"/>
                <w:sz w:val="20"/>
                <w:szCs w:val="20"/>
              </w:rPr>
              <w:t>..</w:t>
            </w:r>
          </w:p>
        </w:tc>
        <w:tc>
          <w:tcPr>
            <w:tcW w:w="0" w:type="auto"/>
            <w:hideMark/>
          </w:tcPr>
          <w:p w14:paraId="0B58F1C7" w14:textId="77777777" w:rsidR="008000A7" w:rsidRPr="008123F4" w:rsidRDefault="008000A7" w:rsidP="00471458">
            <w:pPr>
              <w:pStyle w:val="NoSpacing"/>
              <w:jc w:val="center"/>
              <w:rPr>
                <w:rFonts w:ascii="Times New Roman" w:hAnsi="Times New Roman" w:cs="Times New Roman"/>
                <w:sz w:val="20"/>
                <w:szCs w:val="20"/>
              </w:rPr>
            </w:pPr>
            <w:r w:rsidRPr="008123F4">
              <w:rPr>
                <w:rFonts w:ascii="Times New Roman" w:hAnsi="Times New Roman" w:cs="Times New Roman"/>
                <w:sz w:val="20"/>
                <w:szCs w:val="20"/>
              </w:rPr>
              <w:t>0.15</w:t>
            </w:r>
          </w:p>
        </w:tc>
        <w:tc>
          <w:tcPr>
            <w:tcW w:w="0" w:type="auto"/>
            <w:hideMark/>
          </w:tcPr>
          <w:p w14:paraId="6E401577" w14:textId="77777777" w:rsidR="008000A7" w:rsidRPr="008123F4" w:rsidRDefault="008000A7" w:rsidP="00471458">
            <w:pPr>
              <w:pStyle w:val="NoSpacing"/>
              <w:jc w:val="center"/>
              <w:rPr>
                <w:rFonts w:ascii="Times New Roman" w:hAnsi="Times New Roman" w:cs="Times New Roman"/>
                <w:sz w:val="20"/>
                <w:szCs w:val="20"/>
              </w:rPr>
            </w:pPr>
            <w:r w:rsidRPr="008123F4">
              <w:rPr>
                <w:rFonts w:ascii="Times New Roman" w:hAnsi="Times New Roman" w:cs="Times New Roman"/>
                <w:sz w:val="20"/>
                <w:szCs w:val="20"/>
              </w:rPr>
              <w:t>..</w:t>
            </w:r>
          </w:p>
        </w:tc>
        <w:tc>
          <w:tcPr>
            <w:tcW w:w="847" w:type="dxa"/>
            <w:hideMark/>
          </w:tcPr>
          <w:p w14:paraId="2B845C96" w14:textId="77777777" w:rsidR="008000A7" w:rsidRPr="008123F4" w:rsidRDefault="008000A7" w:rsidP="00471458">
            <w:pPr>
              <w:pStyle w:val="NoSpacing"/>
              <w:jc w:val="center"/>
              <w:rPr>
                <w:rFonts w:ascii="Times New Roman" w:hAnsi="Times New Roman" w:cs="Times New Roman"/>
                <w:sz w:val="20"/>
                <w:szCs w:val="20"/>
              </w:rPr>
            </w:pPr>
            <w:r w:rsidRPr="008123F4">
              <w:rPr>
                <w:rFonts w:ascii="Times New Roman" w:hAnsi="Times New Roman" w:cs="Times New Roman"/>
                <w:sz w:val="20"/>
                <w:szCs w:val="20"/>
              </w:rPr>
              <w:t>-0.15</w:t>
            </w:r>
          </w:p>
        </w:tc>
        <w:tc>
          <w:tcPr>
            <w:tcW w:w="853" w:type="dxa"/>
            <w:hideMark/>
          </w:tcPr>
          <w:p w14:paraId="0FE09EC4" w14:textId="77777777" w:rsidR="008000A7" w:rsidRPr="008123F4" w:rsidRDefault="008000A7" w:rsidP="00471458">
            <w:pPr>
              <w:pStyle w:val="NoSpacing"/>
              <w:jc w:val="center"/>
              <w:rPr>
                <w:rFonts w:ascii="Times New Roman" w:hAnsi="Times New Roman" w:cs="Times New Roman"/>
                <w:sz w:val="20"/>
                <w:szCs w:val="20"/>
              </w:rPr>
            </w:pPr>
            <w:r w:rsidRPr="008123F4">
              <w:rPr>
                <w:rFonts w:ascii="Times New Roman" w:hAnsi="Times New Roman" w:cs="Times New Roman"/>
                <w:sz w:val="20"/>
                <w:szCs w:val="20"/>
              </w:rPr>
              <w:t>..</w:t>
            </w:r>
          </w:p>
        </w:tc>
        <w:tc>
          <w:tcPr>
            <w:tcW w:w="0" w:type="auto"/>
            <w:hideMark/>
          </w:tcPr>
          <w:p w14:paraId="3737887D" w14:textId="77777777" w:rsidR="008000A7" w:rsidRPr="008123F4" w:rsidRDefault="008000A7" w:rsidP="00471458">
            <w:pPr>
              <w:pStyle w:val="NoSpacing"/>
              <w:jc w:val="center"/>
              <w:rPr>
                <w:rFonts w:ascii="Times New Roman" w:hAnsi="Times New Roman" w:cs="Times New Roman"/>
                <w:sz w:val="20"/>
                <w:szCs w:val="20"/>
              </w:rPr>
            </w:pPr>
            <w:r w:rsidRPr="008123F4">
              <w:rPr>
                <w:rFonts w:ascii="Times New Roman" w:hAnsi="Times New Roman" w:cs="Times New Roman"/>
                <w:sz w:val="20"/>
                <w:szCs w:val="20"/>
              </w:rPr>
              <w:t>0.18</w:t>
            </w:r>
          </w:p>
        </w:tc>
        <w:tc>
          <w:tcPr>
            <w:tcW w:w="0" w:type="auto"/>
            <w:hideMark/>
          </w:tcPr>
          <w:p w14:paraId="687C0198" w14:textId="77777777" w:rsidR="008000A7" w:rsidRPr="008123F4" w:rsidRDefault="008000A7" w:rsidP="00471458">
            <w:pPr>
              <w:pStyle w:val="NoSpacing"/>
              <w:jc w:val="center"/>
              <w:rPr>
                <w:rFonts w:ascii="Times New Roman" w:hAnsi="Times New Roman" w:cs="Times New Roman"/>
                <w:sz w:val="20"/>
                <w:szCs w:val="20"/>
              </w:rPr>
            </w:pPr>
            <w:r w:rsidRPr="008123F4">
              <w:rPr>
                <w:rFonts w:ascii="Times New Roman" w:hAnsi="Times New Roman" w:cs="Times New Roman"/>
                <w:sz w:val="20"/>
                <w:szCs w:val="20"/>
              </w:rPr>
              <w:t>0.34</w:t>
            </w:r>
          </w:p>
        </w:tc>
        <w:tc>
          <w:tcPr>
            <w:tcW w:w="0" w:type="auto"/>
            <w:hideMark/>
          </w:tcPr>
          <w:p w14:paraId="78560A6B" w14:textId="77777777" w:rsidR="008000A7" w:rsidRPr="008123F4" w:rsidRDefault="008000A7" w:rsidP="00471458">
            <w:pPr>
              <w:pStyle w:val="NoSpacing"/>
              <w:jc w:val="center"/>
              <w:rPr>
                <w:rFonts w:ascii="Times New Roman" w:hAnsi="Times New Roman" w:cs="Times New Roman"/>
                <w:sz w:val="20"/>
                <w:szCs w:val="20"/>
              </w:rPr>
            </w:pPr>
            <w:r w:rsidRPr="008123F4">
              <w:rPr>
                <w:rFonts w:ascii="Times New Roman" w:hAnsi="Times New Roman" w:cs="Times New Roman"/>
                <w:sz w:val="20"/>
                <w:szCs w:val="20"/>
              </w:rPr>
              <w:t>-0.52</w:t>
            </w:r>
          </w:p>
        </w:tc>
        <w:tc>
          <w:tcPr>
            <w:tcW w:w="0" w:type="auto"/>
            <w:hideMark/>
          </w:tcPr>
          <w:p w14:paraId="17DAA1C9" w14:textId="77777777" w:rsidR="008000A7" w:rsidRPr="008123F4" w:rsidRDefault="008000A7" w:rsidP="00471458">
            <w:pPr>
              <w:pStyle w:val="NoSpacing"/>
              <w:jc w:val="center"/>
              <w:rPr>
                <w:rFonts w:ascii="Times New Roman" w:hAnsi="Times New Roman" w:cs="Times New Roman"/>
                <w:sz w:val="20"/>
                <w:szCs w:val="20"/>
              </w:rPr>
            </w:pPr>
            <w:r w:rsidRPr="008123F4">
              <w:rPr>
                <w:rFonts w:ascii="Times New Roman" w:hAnsi="Times New Roman" w:cs="Times New Roman"/>
                <w:sz w:val="20"/>
                <w:szCs w:val="20"/>
              </w:rPr>
              <w:t>0.11</w:t>
            </w:r>
          </w:p>
        </w:tc>
        <w:tc>
          <w:tcPr>
            <w:tcW w:w="0" w:type="auto"/>
            <w:hideMark/>
          </w:tcPr>
          <w:p w14:paraId="397D59B0" w14:textId="77777777" w:rsidR="008000A7" w:rsidRPr="008123F4" w:rsidRDefault="008000A7" w:rsidP="00471458">
            <w:pPr>
              <w:pStyle w:val="NoSpacing"/>
              <w:jc w:val="center"/>
              <w:rPr>
                <w:rFonts w:ascii="Times New Roman" w:hAnsi="Times New Roman" w:cs="Times New Roman"/>
                <w:sz w:val="20"/>
                <w:szCs w:val="20"/>
              </w:rPr>
            </w:pPr>
            <w:r w:rsidRPr="008123F4">
              <w:rPr>
                <w:rFonts w:ascii="Times New Roman" w:hAnsi="Times New Roman" w:cs="Times New Roman"/>
                <w:sz w:val="20"/>
                <w:szCs w:val="20"/>
              </w:rPr>
              <w:t>0.20</w:t>
            </w:r>
          </w:p>
        </w:tc>
        <w:tc>
          <w:tcPr>
            <w:tcW w:w="0" w:type="auto"/>
            <w:hideMark/>
          </w:tcPr>
          <w:p w14:paraId="18E67B39" w14:textId="77777777" w:rsidR="008000A7" w:rsidRPr="008123F4" w:rsidRDefault="008000A7" w:rsidP="00471458">
            <w:pPr>
              <w:pStyle w:val="NoSpacing"/>
              <w:jc w:val="center"/>
              <w:rPr>
                <w:rFonts w:ascii="Times New Roman" w:hAnsi="Times New Roman" w:cs="Times New Roman"/>
                <w:sz w:val="20"/>
                <w:szCs w:val="20"/>
              </w:rPr>
            </w:pPr>
            <w:r w:rsidRPr="008123F4">
              <w:rPr>
                <w:rFonts w:ascii="Times New Roman" w:hAnsi="Times New Roman" w:cs="Times New Roman"/>
                <w:sz w:val="20"/>
                <w:szCs w:val="20"/>
              </w:rPr>
              <w:t>0.33</w:t>
            </w:r>
          </w:p>
        </w:tc>
        <w:tc>
          <w:tcPr>
            <w:tcW w:w="0" w:type="auto"/>
            <w:hideMark/>
          </w:tcPr>
          <w:p w14:paraId="5D11FBB8" w14:textId="77777777" w:rsidR="008000A7" w:rsidRPr="008123F4" w:rsidRDefault="008000A7" w:rsidP="00471458">
            <w:pPr>
              <w:pStyle w:val="NoSpacing"/>
              <w:jc w:val="center"/>
              <w:rPr>
                <w:rFonts w:ascii="Times New Roman" w:hAnsi="Times New Roman" w:cs="Times New Roman"/>
                <w:sz w:val="20"/>
                <w:szCs w:val="20"/>
              </w:rPr>
            </w:pPr>
            <w:r w:rsidRPr="008123F4">
              <w:rPr>
                <w:rFonts w:ascii="Times New Roman" w:hAnsi="Times New Roman" w:cs="Times New Roman"/>
                <w:sz w:val="20"/>
                <w:szCs w:val="20"/>
              </w:rPr>
              <w:t>-0.42</w:t>
            </w:r>
          </w:p>
        </w:tc>
      </w:tr>
      <w:tr w:rsidR="008000A7" w:rsidRPr="008123F4" w14:paraId="4B318836" w14:textId="77777777" w:rsidTr="003874AC">
        <w:trPr>
          <w:trHeight w:val="221"/>
          <w:jc w:val="center"/>
        </w:trPr>
        <w:tc>
          <w:tcPr>
            <w:tcW w:w="0" w:type="auto"/>
            <w:hideMark/>
          </w:tcPr>
          <w:p w14:paraId="1770B891" w14:textId="77777777" w:rsidR="008000A7" w:rsidRPr="008123F4" w:rsidRDefault="008000A7" w:rsidP="00B77C0B">
            <w:pPr>
              <w:pStyle w:val="NoSpacing"/>
              <w:rPr>
                <w:rFonts w:ascii="Times New Roman" w:hAnsi="Times New Roman" w:cs="Times New Roman"/>
                <w:sz w:val="20"/>
                <w:szCs w:val="20"/>
              </w:rPr>
            </w:pPr>
            <w:r w:rsidRPr="008123F4">
              <w:rPr>
                <w:rFonts w:ascii="Times New Roman" w:hAnsi="Times New Roman" w:cs="Times New Roman"/>
                <w:sz w:val="20"/>
                <w:szCs w:val="20"/>
              </w:rPr>
              <w:t>Kerala</w:t>
            </w:r>
          </w:p>
        </w:tc>
        <w:tc>
          <w:tcPr>
            <w:tcW w:w="0" w:type="auto"/>
            <w:hideMark/>
          </w:tcPr>
          <w:p w14:paraId="5A655CDA" w14:textId="77777777" w:rsidR="008000A7" w:rsidRPr="008123F4" w:rsidRDefault="008000A7" w:rsidP="00471458">
            <w:pPr>
              <w:pStyle w:val="NoSpacing"/>
              <w:jc w:val="center"/>
              <w:rPr>
                <w:rFonts w:ascii="Times New Roman" w:hAnsi="Times New Roman" w:cs="Times New Roman"/>
                <w:sz w:val="20"/>
                <w:szCs w:val="20"/>
              </w:rPr>
            </w:pPr>
            <w:r w:rsidRPr="008123F4">
              <w:rPr>
                <w:rFonts w:ascii="Times New Roman" w:hAnsi="Times New Roman" w:cs="Times New Roman"/>
                <w:sz w:val="20"/>
                <w:szCs w:val="20"/>
              </w:rPr>
              <w:t>0.09</w:t>
            </w:r>
          </w:p>
        </w:tc>
        <w:tc>
          <w:tcPr>
            <w:tcW w:w="0" w:type="auto"/>
            <w:hideMark/>
          </w:tcPr>
          <w:p w14:paraId="7DA810A7" w14:textId="77777777" w:rsidR="008000A7" w:rsidRPr="008123F4" w:rsidRDefault="008000A7" w:rsidP="00471458">
            <w:pPr>
              <w:pStyle w:val="NoSpacing"/>
              <w:jc w:val="center"/>
              <w:rPr>
                <w:rFonts w:ascii="Times New Roman" w:hAnsi="Times New Roman" w:cs="Times New Roman"/>
                <w:sz w:val="20"/>
                <w:szCs w:val="20"/>
              </w:rPr>
            </w:pPr>
            <w:r w:rsidRPr="008123F4">
              <w:rPr>
                <w:rFonts w:ascii="Times New Roman" w:hAnsi="Times New Roman" w:cs="Times New Roman"/>
                <w:sz w:val="20"/>
                <w:szCs w:val="20"/>
              </w:rPr>
              <w:t>0.17</w:t>
            </w:r>
          </w:p>
        </w:tc>
        <w:tc>
          <w:tcPr>
            <w:tcW w:w="0" w:type="auto"/>
            <w:hideMark/>
          </w:tcPr>
          <w:p w14:paraId="3393C15E" w14:textId="77777777" w:rsidR="008000A7" w:rsidRPr="008123F4" w:rsidRDefault="008000A7" w:rsidP="00471458">
            <w:pPr>
              <w:pStyle w:val="NoSpacing"/>
              <w:jc w:val="center"/>
              <w:rPr>
                <w:rFonts w:ascii="Times New Roman" w:hAnsi="Times New Roman" w:cs="Times New Roman"/>
                <w:sz w:val="20"/>
                <w:szCs w:val="20"/>
              </w:rPr>
            </w:pPr>
            <w:r w:rsidRPr="008123F4">
              <w:rPr>
                <w:rFonts w:ascii="Times New Roman" w:hAnsi="Times New Roman" w:cs="Times New Roman"/>
                <w:sz w:val="20"/>
                <w:szCs w:val="20"/>
              </w:rPr>
              <w:t>1.10</w:t>
            </w:r>
          </w:p>
        </w:tc>
        <w:tc>
          <w:tcPr>
            <w:tcW w:w="0" w:type="auto"/>
            <w:hideMark/>
          </w:tcPr>
          <w:p w14:paraId="466DFFCD" w14:textId="77777777" w:rsidR="008000A7" w:rsidRPr="008123F4" w:rsidRDefault="008000A7" w:rsidP="00471458">
            <w:pPr>
              <w:pStyle w:val="NoSpacing"/>
              <w:jc w:val="center"/>
              <w:rPr>
                <w:rFonts w:ascii="Times New Roman" w:hAnsi="Times New Roman" w:cs="Times New Roman"/>
                <w:sz w:val="20"/>
                <w:szCs w:val="20"/>
              </w:rPr>
            </w:pPr>
            <w:r w:rsidRPr="008123F4">
              <w:rPr>
                <w:rFonts w:ascii="Times New Roman" w:hAnsi="Times New Roman" w:cs="Times New Roman"/>
                <w:sz w:val="20"/>
                <w:szCs w:val="20"/>
              </w:rPr>
              <w:t>-1.18</w:t>
            </w:r>
          </w:p>
        </w:tc>
        <w:tc>
          <w:tcPr>
            <w:tcW w:w="0" w:type="auto"/>
            <w:hideMark/>
          </w:tcPr>
          <w:p w14:paraId="04FB2E59" w14:textId="77777777" w:rsidR="008000A7" w:rsidRPr="008123F4" w:rsidRDefault="008000A7" w:rsidP="00471458">
            <w:pPr>
              <w:pStyle w:val="NoSpacing"/>
              <w:jc w:val="center"/>
              <w:rPr>
                <w:rFonts w:ascii="Times New Roman" w:hAnsi="Times New Roman" w:cs="Times New Roman"/>
                <w:sz w:val="20"/>
                <w:szCs w:val="20"/>
              </w:rPr>
            </w:pPr>
            <w:r w:rsidRPr="008123F4">
              <w:rPr>
                <w:rFonts w:ascii="Times New Roman" w:hAnsi="Times New Roman" w:cs="Times New Roman"/>
                <w:sz w:val="20"/>
                <w:szCs w:val="20"/>
              </w:rPr>
              <w:t>0.13</w:t>
            </w:r>
          </w:p>
        </w:tc>
        <w:tc>
          <w:tcPr>
            <w:tcW w:w="0" w:type="auto"/>
            <w:hideMark/>
          </w:tcPr>
          <w:p w14:paraId="332DBBC3" w14:textId="77777777" w:rsidR="008000A7" w:rsidRPr="008123F4" w:rsidRDefault="008000A7" w:rsidP="00471458">
            <w:pPr>
              <w:pStyle w:val="NoSpacing"/>
              <w:jc w:val="center"/>
              <w:rPr>
                <w:rFonts w:ascii="Times New Roman" w:hAnsi="Times New Roman" w:cs="Times New Roman"/>
                <w:sz w:val="20"/>
                <w:szCs w:val="20"/>
              </w:rPr>
            </w:pPr>
            <w:r w:rsidRPr="008123F4">
              <w:rPr>
                <w:rFonts w:ascii="Times New Roman" w:hAnsi="Times New Roman" w:cs="Times New Roman"/>
                <w:sz w:val="20"/>
                <w:szCs w:val="20"/>
              </w:rPr>
              <w:t>0.17</w:t>
            </w:r>
          </w:p>
        </w:tc>
        <w:tc>
          <w:tcPr>
            <w:tcW w:w="0" w:type="auto"/>
            <w:hideMark/>
          </w:tcPr>
          <w:p w14:paraId="7C8900DA" w14:textId="77777777" w:rsidR="008000A7" w:rsidRPr="008123F4" w:rsidRDefault="008000A7" w:rsidP="00471458">
            <w:pPr>
              <w:pStyle w:val="NoSpacing"/>
              <w:jc w:val="center"/>
              <w:rPr>
                <w:rFonts w:ascii="Times New Roman" w:hAnsi="Times New Roman" w:cs="Times New Roman"/>
                <w:sz w:val="20"/>
                <w:szCs w:val="20"/>
              </w:rPr>
            </w:pPr>
            <w:r w:rsidRPr="008123F4">
              <w:rPr>
                <w:rFonts w:ascii="Times New Roman" w:hAnsi="Times New Roman" w:cs="Times New Roman"/>
                <w:sz w:val="20"/>
                <w:szCs w:val="20"/>
              </w:rPr>
              <w:t>1.16</w:t>
            </w:r>
          </w:p>
        </w:tc>
        <w:tc>
          <w:tcPr>
            <w:tcW w:w="847" w:type="dxa"/>
            <w:hideMark/>
          </w:tcPr>
          <w:p w14:paraId="2EF2A34F" w14:textId="77777777" w:rsidR="008000A7" w:rsidRPr="008123F4" w:rsidRDefault="008000A7" w:rsidP="00471458">
            <w:pPr>
              <w:pStyle w:val="NoSpacing"/>
              <w:jc w:val="center"/>
              <w:rPr>
                <w:rFonts w:ascii="Times New Roman" w:hAnsi="Times New Roman" w:cs="Times New Roman"/>
                <w:sz w:val="20"/>
                <w:szCs w:val="20"/>
              </w:rPr>
            </w:pPr>
            <w:r w:rsidRPr="008123F4">
              <w:rPr>
                <w:rFonts w:ascii="Times New Roman" w:hAnsi="Times New Roman" w:cs="Times New Roman"/>
                <w:sz w:val="20"/>
                <w:szCs w:val="20"/>
              </w:rPr>
              <w:t>-1.20</w:t>
            </w:r>
          </w:p>
        </w:tc>
        <w:tc>
          <w:tcPr>
            <w:tcW w:w="853" w:type="dxa"/>
            <w:hideMark/>
          </w:tcPr>
          <w:p w14:paraId="2D6FC7C5" w14:textId="77777777" w:rsidR="008000A7" w:rsidRPr="008123F4" w:rsidRDefault="008000A7" w:rsidP="00471458">
            <w:pPr>
              <w:pStyle w:val="NoSpacing"/>
              <w:jc w:val="center"/>
              <w:rPr>
                <w:rFonts w:ascii="Times New Roman" w:hAnsi="Times New Roman" w:cs="Times New Roman"/>
                <w:sz w:val="20"/>
                <w:szCs w:val="20"/>
              </w:rPr>
            </w:pPr>
            <w:r w:rsidRPr="008123F4">
              <w:rPr>
                <w:rFonts w:ascii="Times New Roman" w:hAnsi="Times New Roman" w:cs="Times New Roman"/>
                <w:sz w:val="20"/>
                <w:szCs w:val="20"/>
              </w:rPr>
              <w:t>0.10</w:t>
            </w:r>
          </w:p>
        </w:tc>
        <w:tc>
          <w:tcPr>
            <w:tcW w:w="0" w:type="auto"/>
            <w:hideMark/>
          </w:tcPr>
          <w:p w14:paraId="344FA1A4" w14:textId="77777777" w:rsidR="008000A7" w:rsidRPr="008123F4" w:rsidRDefault="008000A7" w:rsidP="00471458">
            <w:pPr>
              <w:pStyle w:val="NoSpacing"/>
              <w:jc w:val="center"/>
              <w:rPr>
                <w:rFonts w:ascii="Times New Roman" w:hAnsi="Times New Roman" w:cs="Times New Roman"/>
                <w:sz w:val="20"/>
                <w:szCs w:val="20"/>
              </w:rPr>
            </w:pPr>
            <w:r w:rsidRPr="008123F4">
              <w:rPr>
                <w:rFonts w:ascii="Times New Roman" w:hAnsi="Times New Roman" w:cs="Times New Roman"/>
                <w:sz w:val="20"/>
                <w:szCs w:val="20"/>
              </w:rPr>
              <w:t>0.16</w:t>
            </w:r>
          </w:p>
        </w:tc>
        <w:tc>
          <w:tcPr>
            <w:tcW w:w="0" w:type="auto"/>
            <w:hideMark/>
          </w:tcPr>
          <w:p w14:paraId="6DF8D895" w14:textId="77777777" w:rsidR="008000A7" w:rsidRPr="008123F4" w:rsidRDefault="008000A7" w:rsidP="00471458">
            <w:pPr>
              <w:pStyle w:val="NoSpacing"/>
              <w:jc w:val="center"/>
              <w:rPr>
                <w:rFonts w:ascii="Times New Roman" w:hAnsi="Times New Roman" w:cs="Times New Roman"/>
                <w:sz w:val="20"/>
                <w:szCs w:val="20"/>
              </w:rPr>
            </w:pPr>
            <w:r w:rsidRPr="008123F4">
              <w:rPr>
                <w:rFonts w:ascii="Times New Roman" w:hAnsi="Times New Roman" w:cs="Times New Roman"/>
                <w:sz w:val="20"/>
                <w:szCs w:val="20"/>
              </w:rPr>
              <w:t>1.25</w:t>
            </w:r>
          </w:p>
        </w:tc>
        <w:tc>
          <w:tcPr>
            <w:tcW w:w="0" w:type="auto"/>
            <w:hideMark/>
          </w:tcPr>
          <w:p w14:paraId="7E99BB52" w14:textId="77777777" w:rsidR="008000A7" w:rsidRPr="008123F4" w:rsidRDefault="008000A7" w:rsidP="00471458">
            <w:pPr>
              <w:pStyle w:val="NoSpacing"/>
              <w:jc w:val="center"/>
              <w:rPr>
                <w:rFonts w:ascii="Times New Roman" w:hAnsi="Times New Roman" w:cs="Times New Roman"/>
                <w:sz w:val="20"/>
                <w:szCs w:val="20"/>
              </w:rPr>
            </w:pPr>
            <w:r w:rsidRPr="008123F4">
              <w:rPr>
                <w:rFonts w:ascii="Times New Roman" w:hAnsi="Times New Roman" w:cs="Times New Roman"/>
                <w:sz w:val="20"/>
                <w:szCs w:val="20"/>
              </w:rPr>
              <w:t>-1.31</w:t>
            </w:r>
          </w:p>
        </w:tc>
        <w:tc>
          <w:tcPr>
            <w:tcW w:w="0" w:type="auto"/>
            <w:hideMark/>
          </w:tcPr>
          <w:p w14:paraId="6AB427E8" w14:textId="77777777" w:rsidR="008000A7" w:rsidRPr="008123F4" w:rsidRDefault="008000A7" w:rsidP="00471458">
            <w:pPr>
              <w:pStyle w:val="NoSpacing"/>
              <w:jc w:val="center"/>
              <w:rPr>
                <w:rFonts w:ascii="Times New Roman" w:hAnsi="Times New Roman" w:cs="Times New Roman"/>
                <w:sz w:val="20"/>
                <w:szCs w:val="20"/>
              </w:rPr>
            </w:pPr>
            <w:r w:rsidRPr="008123F4">
              <w:rPr>
                <w:rFonts w:ascii="Times New Roman" w:hAnsi="Times New Roman" w:cs="Times New Roman"/>
                <w:sz w:val="20"/>
                <w:szCs w:val="20"/>
              </w:rPr>
              <w:t>0.13</w:t>
            </w:r>
          </w:p>
        </w:tc>
        <w:tc>
          <w:tcPr>
            <w:tcW w:w="0" w:type="auto"/>
            <w:hideMark/>
          </w:tcPr>
          <w:p w14:paraId="1C6BD782" w14:textId="77777777" w:rsidR="008000A7" w:rsidRPr="008123F4" w:rsidRDefault="008000A7" w:rsidP="00471458">
            <w:pPr>
              <w:pStyle w:val="NoSpacing"/>
              <w:jc w:val="center"/>
              <w:rPr>
                <w:rFonts w:ascii="Times New Roman" w:hAnsi="Times New Roman" w:cs="Times New Roman"/>
                <w:sz w:val="20"/>
                <w:szCs w:val="20"/>
              </w:rPr>
            </w:pPr>
            <w:r w:rsidRPr="008123F4">
              <w:rPr>
                <w:rFonts w:ascii="Times New Roman" w:hAnsi="Times New Roman" w:cs="Times New Roman"/>
                <w:sz w:val="20"/>
                <w:szCs w:val="20"/>
              </w:rPr>
              <w:t>0.24</w:t>
            </w:r>
          </w:p>
        </w:tc>
        <w:tc>
          <w:tcPr>
            <w:tcW w:w="0" w:type="auto"/>
            <w:hideMark/>
          </w:tcPr>
          <w:p w14:paraId="7037631A" w14:textId="77777777" w:rsidR="008000A7" w:rsidRPr="008123F4" w:rsidRDefault="008000A7" w:rsidP="00471458">
            <w:pPr>
              <w:pStyle w:val="NoSpacing"/>
              <w:jc w:val="center"/>
              <w:rPr>
                <w:rFonts w:ascii="Times New Roman" w:hAnsi="Times New Roman" w:cs="Times New Roman"/>
                <w:sz w:val="20"/>
                <w:szCs w:val="20"/>
              </w:rPr>
            </w:pPr>
            <w:r w:rsidRPr="008123F4">
              <w:rPr>
                <w:rFonts w:ascii="Times New Roman" w:hAnsi="Times New Roman" w:cs="Times New Roman"/>
                <w:sz w:val="20"/>
                <w:szCs w:val="20"/>
              </w:rPr>
              <w:t>1.28</w:t>
            </w:r>
          </w:p>
        </w:tc>
        <w:tc>
          <w:tcPr>
            <w:tcW w:w="0" w:type="auto"/>
            <w:hideMark/>
          </w:tcPr>
          <w:p w14:paraId="17E1C439" w14:textId="77777777" w:rsidR="008000A7" w:rsidRPr="008123F4" w:rsidRDefault="008000A7" w:rsidP="00471458">
            <w:pPr>
              <w:pStyle w:val="NoSpacing"/>
              <w:jc w:val="center"/>
              <w:rPr>
                <w:rFonts w:ascii="Times New Roman" w:hAnsi="Times New Roman" w:cs="Times New Roman"/>
                <w:sz w:val="20"/>
                <w:szCs w:val="20"/>
              </w:rPr>
            </w:pPr>
            <w:r w:rsidRPr="008123F4">
              <w:rPr>
                <w:rFonts w:ascii="Times New Roman" w:hAnsi="Times New Roman" w:cs="Times New Roman"/>
                <w:sz w:val="20"/>
                <w:szCs w:val="20"/>
              </w:rPr>
              <w:t>-1.39</w:t>
            </w:r>
          </w:p>
        </w:tc>
      </w:tr>
      <w:tr w:rsidR="008000A7" w:rsidRPr="008123F4" w14:paraId="7143658A" w14:textId="77777777" w:rsidTr="003874AC">
        <w:trPr>
          <w:trHeight w:val="443"/>
          <w:jc w:val="center"/>
        </w:trPr>
        <w:tc>
          <w:tcPr>
            <w:tcW w:w="0" w:type="auto"/>
            <w:hideMark/>
          </w:tcPr>
          <w:p w14:paraId="464360B9" w14:textId="77777777" w:rsidR="008000A7" w:rsidRPr="008123F4" w:rsidRDefault="008000A7" w:rsidP="00B77C0B">
            <w:pPr>
              <w:pStyle w:val="NoSpacing"/>
              <w:rPr>
                <w:rFonts w:ascii="Times New Roman" w:hAnsi="Times New Roman" w:cs="Times New Roman"/>
                <w:sz w:val="20"/>
                <w:szCs w:val="20"/>
              </w:rPr>
            </w:pPr>
            <w:r w:rsidRPr="008123F4">
              <w:rPr>
                <w:rFonts w:ascii="Times New Roman" w:hAnsi="Times New Roman" w:cs="Times New Roman"/>
                <w:sz w:val="20"/>
                <w:szCs w:val="20"/>
              </w:rPr>
              <w:t>Madhya Pradesh*</w:t>
            </w:r>
          </w:p>
        </w:tc>
        <w:tc>
          <w:tcPr>
            <w:tcW w:w="0" w:type="auto"/>
            <w:hideMark/>
          </w:tcPr>
          <w:p w14:paraId="21E282A2" w14:textId="77777777" w:rsidR="008000A7" w:rsidRPr="008123F4" w:rsidRDefault="008000A7" w:rsidP="00471458">
            <w:pPr>
              <w:pStyle w:val="NoSpacing"/>
              <w:jc w:val="center"/>
              <w:rPr>
                <w:rFonts w:ascii="Times New Roman" w:hAnsi="Times New Roman" w:cs="Times New Roman"/>
                <w:sz w:val="20"/>
                <w:szCs w:val="20"/>
              </w:rPr>
            </w:pPr>
            <w:r w:rsidRPr="008123F4">
              <w:rPr>
                <w:rFonts w:ascii="Times New Roman" w:hAnsi="Times New Roman" w:cs="Times New Roman"/>
                <w:sz w:val="20"/>
                <w:szCs w:val="20"/>
              </w:rPr>
              <w:t>..</w:t>
            </w:r>
          </w:p>
        </w:tc>
        <w:tc>
          <w:tcPr>
            <w:tcW w:w="0" w:type="auto"/>
            <w:hideMark/>
          </w:tcPr>
          <w:p w14:paraId="09BA4A23" w14:textId="77777777" w:rsidR="008000A7" w:rsidRPr="008123F4" w:rsidRDefault="008000A7" w:rsidP="00471458">
            <w:pPr>
              <w:pStyle w:val="NoSpacing"/>
              <w:jc w:val="center"/>
              <w:rPr>
                <w:rFonts w:ascii="Times New Roman" w:hAnsi="Times New Roman" w:cs="Times New Roman"/>
                <w:sz w:val="20"/>
                <w:szCs w:val="20"/>
              </w:rPr>
            </w:pPr>
            <w:r w:rsidRPr="008123F4">
              <w:rPr>
                <w:rFonts w:ascii="Times New Roman" w:hAnsi="Times New Roman" w:cs="Times New Roman"/>
                <w:sz w:val="20"/>
                <w:szCs w:val="20"/>
              </w:rPr>
              <w:t>..</w:t>
            </w:r>
          </w:p>
        </w:tc>
        <w:tc>
          <w:tcPr>
            <w:tcW w:w="0" w:type="auto"/>
            <w:hideMark/>
          </w:tcPr>
          <w:p w14:paraId="4ABAC68E" w14:textId="77777777" w:rsidR="008000A7" w:rsidRPr="008123F4" w:rsidRDefault="008000A7" w:rsidP="00471458">
            <w:pPr>
              <w:pStyle w:val="NoSpacing"/>
              <w:jc w:val="center"/>
              <w:rPr>
                <w:rFonts w:ascii="Times New Roman" w:hAnsi="Times New Roman" w:cs="Times New Roman"/>
                <w:sz w:val="20"/>
                <w:szCs w:val="20"/>
              </w:rPr>
            </w:pPr>
            <w:r w:rsidRPr="008123F4">
              <w:rPr>
                <w:rFonts w:ascii="Times New Roman" w:hAnsi="Times New Roman" w:cs="Times New Roman"/>
                <w:sz w:val="20"/>
                <w:szCs w:val="20"/>
              </w:rPr>
              <w:t>..</w:t>
            </w:r>
          </w:p>
        </w:tc>
        <w:tc>
          <w:tcPr>
            <w:tcW w:w="0" w:type="auto"/>
            <w:hideMark/>
          </w:tcPr>
          <w:p w14:paraId="7A600502" w14:textId="77777777" w:rsidR="008000A7" w:rsidRPr="008123F4" w:rsidRDefault="008000A7" w:rsidP="00471458">
            <w:pPr>
              <w:pStyle w:val="NoSpacing"/>
              <w:jc w:val="center"/>
              <w:rPr>
                <w:rFonts w:ascii="Times New Roman" w:hAnsi="Times New Roman" w:cs="Times New Roman"/>
                <w:sz w:val="20"/>
                <w:szCs w:val="20"/>
              </w:rPr>
            </w:pPr>
            <w:r w:rsidRPr="008123F4">
              <w:rPr>
                <w:rFonts w:ascii="Times New Roman" w:hAnsi="Times New Roman" w:cs="Times New Roman"/>
                <w:sz w:val="20"/>
                <w:szCs w:val="20"/>
              </w:rPr>
              <w:t>..</w:t>
            </w:r>
          </w:p>
        </w:tc>
        <w:tc>
          <w:tcPr>
            <w:tcW w:w="0" w:type="auto"/>
            <w:hideMark/>
          </w:tcPr>
          <w:p w14:paraId="50AD0C3F" w14:textId="77777777" w:rsidR="008000A7" w:rsidRPr="008123F4" w:rsidRDefault="008000A7" w:rsidP="00471458">
            <w:pPr>
              <w:pStyle w:val="NoSpacing"/>
              <w:jc w:val="center"/>
              <w:rPr>
                <w:rFonts w:ascii="Times New Roman" w:hAnsi="Times New Roman" w:cs="Times New Roman"/>
                <w:sz w:val="20"/>
                <w:szCs w:val="20"/>
              </w:rPr>
            </w:pPr>
            <w:r w:rsidRPr="008123F4">
              <w:rPr>
                <w:rFonts w:ascii="Times New Roman" w:hAnsi="Times New Roman" w:cs="Times New Roman"/>
                <w:sz w:val="20"/>
                <w:szCs w:val="20"/>
              </w:rPr>
              <w:t>..</w:t>
            </w:r>
          </w:p>
        </w:tc>
        <w:tc>
          <w:tcPr>
            <w:tcW w:w="0" w:type="auto"/>
            <w:hideMark/>
          </w:tcPr>
          <w:p w14:paraId="19BBA3BB" w14:textId="77777777" w:rsidR="008000A7" w:rsidRPr="008123F4" w:rsidRDefault="008000A7" w:rsidP="00471458">
            <w:pPr>
              <w:pStyle w:val="NoSpacing"/>
              <w:jc w:val="center"/>
              <w:rPr>
                <w:rFonts w:ascii="Times New Roman" w:hAnsi="Times New Roman" w:cs="Times New Roman"/>
                <w:sz w:val="20"/>
                <w:szCs w:val="20"/>
              </w:rPr>
            </w:pPr>
            <w:r w:rsidRPr="008123F4">
              <w:rPr>
                <w:rFonts w:ascii="Times New Roman" w:hAnsi="Times New Roman" w:cs="Times New Roman"/>
                <w:sz w:val="20"/>
                <w:szCs w:val="20"/>
              </w:rPr>
              <w:t>..</w:t>
            </w:r>
          </w:p>
        </w:tc>
        <w:tc>
          <w:tcPr>
            <w:tcW w:w="0" w:type="auto"/>
            <w:hideMark/>
          </w:tcPr>
          <w:p w14:paraId="4E85046A" w14:textId="77777777" w:rsidR="008000A7" w:rsidRPr="008123F4" w:rsidRDefault="008000A7" w:rsidP="00471458">
            <w:pPr>
              <w:pStyle w:val="NoSpacing"/>
              <w:jc w:val="center"/>
              <w:rPr>
                <w:rFonts w:ascii="Times New Roman" w:hAnsi="Times New Roman" w:cs="Times New Roman"/>
                <w:sz w:val="20"/>
                <w:szCs w:val="20"/>
              </w:rPr>
            </w:pPr>
            <w:r w:rsidRPr="008123F4">
              <w:rPr>
                <w:rFonts w:ascii="Times New Roman" w:hAnsi="Times New Roman" w:cs="Times New Roman"/>
                <w:sz w:val="20"/>
                <w:szCs w:val="20"/>
              </w:rPr>
              <w:t>..</w:t>
            </w:r>
          </w:p>
        </w:tc>
        <w:tc>
          <w:tcPr>
            <w:tcW w:w="847" w:type="dxa"/>
            <w:hideMark/>
          </w:tcPr>
          <w:p w14:paraId="60073B49" w14:textId="77777777" w:rsidR="008000A7" w:rsidRPr="008123F4" w:rsidRDefault="008000A7" w:rsidP="00471458">
            <w:pPr>
              <w:pStyle w:val="NoSpacing"/>
              <w:jc w:val="center"/>
              <w:rPr>
                <w:rFonts w:ascii="Times New Roman" w:hAnsi="Times New Roman" w:cs="Times New Roman"/>
                <w:sz w:val="20"/>
                <w:szCs w:val="20"/>
              </w:rPr>
            </w:pPr>
            <w:r w:rsidRPr="008123F4">
              <w:rPr>
                <w:rFonts w:ascii="Times New Roman" w:hAnsi="Times New Roman" w:cs="Times New Roman"/>
                <w:sz w:val="20"/>
                <w:szCs w:val="20"/>
              </w:rPr>
              <w:t>..</w:t>
            </w:r>
          </w:p>
        </w:tc>
        <w:tc>
          <w:tcPr>
            <w:tcW w:w="853" w:type="dxa"/>
            <w:hideMark/>
          </w:tcPr>
          <w:p w14:paraId="107A4520" w14:textId="77777777" w:rsidR="008000A7" w:rsidRPr="008123F4" w:rsidRDefault="008000A7" w:rsidP="00471458">
            <w:pPr>
              <w:pStyle w:val="NoSpacing"/>
              <w:jc w:val="center"/>
              <w:rPr>
                <w:rFonts w:ascii="Times New Roman" w:hAnsi="Times New Roman" w:cs="Times New Roman"/>
                <w:sz w:val="20"/>
                <w:szCs w:val="20"/>
              </w:rPr>
            </w:pPr>
            <w:r w:rsidRPr="008123F4">
              <w:rPr>
                <w:rFonts w:ascii="Times New Roman" w:hAnsi="Times New Roman" w:cs="Times New Roman"/>
                <w:sz w:val="20"/>
                <w:szCs w:val="20"/>
              </w:rPr>
              <w:t>..</w:t>
            </w:r>
          </w:p>
        </w:tc>
        <w:tc>
          <w:tcPr>
            <w:tcW w:w="0" w:type="auto"/>
            <w:hideMark/>
          </w:tcPr>
          <w:p w14:paraId="3DBA9BCA" w14:textId="77777777" w:rsidR="008000A7" w:rsidRPr="008123F4" w:rsidRDefault="008000A7" w:rsidP="00471458">
            <w:pPr>
              <w:pStyle w:val="NoSpacing"/>
              <w:jc w:val="center"/>
              <w:rPr>
                <w:rFonts w:ascii="Times New Roman" w:hAnsi="Times New Roman" w:cs="Times New Roman"/>
                <w:sz w:val="20"/>
                <w:szCs w:val="20"/>
              </w:rPr>
            </w:pPr>
            <w:r w:rsidRPr="008123F4">
              <w:rPr>
                <w:rFonts w:ascii="Times New Roman" w:hAnsi="Times New Roman" w:cs="Times New Roman"/>
                <w:sz w:val="20"/>
                <w:szCs w:val="20"/>
              </w:rPr>
              <w:t>..</w:t>
            </w:r>
          </w:p>
        </w:tc>
        <w:tc>
          <w:tcPr>
            <w:tcW w:w="0" w:type="auto"/>
            <w:hideMark/>
          </w:tcPr>
          <w:p w14:paraId="3AF772F1" w14:textId="77777777" w:rsidR="008000A7" w:rsidRPr="008123F4" w:rsidRDefault="008000A7" w:rsidP="00471458">
            <w:pPr>
              <w:pStyle w:val="NoSpacing"/>
              <w:jc w:val="center"/>
              <w:rPr>
                <w:rFonts w:ascii="Times New Roman" w:hAnsi="Times New Roman" w:cs="Times New Roman"/>
                <w:sz w:val="20"/>
                <w:szCs w:val="20"/>
              </w:rPr>
            </w:pPr>
            <w:r w:rsidRPr="008123F4">
              <w:rPr>
                <w:rFonts w:ascii="Times New Roman" w:hAnsi="Times New Roman" w:cs="Times New Roman"/>
                <w:sz w:val="20"/>
                <w:szCs w:val="20"/>
              </w:rPr>
              <w:t>..</w:t>
            </w:r>
          </w:p>
        </w:tc>
        <w:tc>
          <w:tcPr>
            <w:tcW w:w="0" w:type="auto"/>
            <w:hideMark/>
          </w:tcPr>
          <w:p w14:paraId="42016A3B" w14:textId="77777777" w:rsidR="008000A7" w:rsidRPr="008123F4" w:rsidRDefault="008000A7" w:rsidP="00471458">
            <w:pPr>
              <w:pStyle w:val="NoSpacing"/>
              <w:jc w:val="center"/>
              <w:rPr>
                <w:rFonts w:ascii="Times New Roman" w:hAnsi="Times New Roman" w:cs="Times New Roman"/>
                <w:sz w:val="20"/>
                <w:szCs w:val="20"/>
              </w:rPr>
            </w:pPr>
            <w:r w:rsidRPr="008123F4">
              <w:rPr>
                <w:rFonts w:ascii="Times New Roman" w:hAnsi="Times New Roman" w:cs="Times New Roman"/>
                <w:sz w:val="20"/>
                <w:szCs w:val="20"/>
              </w:rPr>
              <w:t>..</w:t>
            </w:r>
          </w:p>
        </w:tc>
        <w:tc>
          <w:tcPr>
            <w:tcW w:w="0" w:type="auto"/>
            <w:hideMark/>
          </w:tcPr>
          <w:p w14:paraId="4B553BBD" w14:textId="77777777" w:rsidR="008000A7" w:rsidRPr="008123F4" w:rsidRDefault="008000A7" w:rsidP="00471458">
            <w:pPr>
              <w:pStyle w:val="NoSpacing"/>
              <w:jc w:val="center"/>
              <w:rPr>
                <w:rFonts w:ascii="Times New Roman" w:hAnsi="Times New Roman" w:cs="Times New Roman"/>
                <w:sz w:val="20"/>
                <w:szCs w:val="20"/>
              </w:rPr>
            </w:pPr>
            <w:r w:rsidRPr="008123F4">
              <w:rPr>
                <w:rFonts w:ascii="Times New Roman" w:hAnsi="Times New Roman" w:cs="Times New Roman"/>
                <w:sz w:val="20"/>
                <w:szCs w:val="20"/>
              </w:rPr>
              <w:t>..</w:t>
            </w:r>
          </w:p>
        </w:tc>
        <w:tc>
          <w:tcPr>
            <w:tcW w:w="0" w:type="auto"/>
            <w:hideMark/>
          </w:tcPr>
          <w:p w14:paraId="1FE1A77D" w14:textId="77777777" w:rsidR="008000A7" w:rsidRPr="008123F4" w:rsidRDefault="008000A7" w:rsidP="00471458">
            <w:pPr>
              <w:pStyle w:val="NoSpacing"/>
              <w:jc w:val="center"/>
              <w:rPr>
                <w:rFonts w:ascii="Times New Roman" w:hAnsi="Times New Roman" w:cs="Times New Roman"/>
                <w:sz w:val="20"/>
                <w:szCs w:val="20"/>
              </w:rPr>
            </w:pPr>
            <w:r w:rsidRPr="008123F4">
              <w:rPr>
                <w:rFonts w:ascii="Times New Roman" w:hAnsi="Times New Roman" w:cs="Times New Roman"/>
                <w:sz w:val="20"/>
                <w:szCs w:val="20"/>
              </w:rPr>
              <w:t>..</w:t>
            </w:r>
          </w:p>
        </w:tc>
        <w:tc>
          <w:tcPr>
            <w:tcW w:w="0" w:type="auto"/>
            <w:hideMark/>
          </w:tcPr>
          <w:p w14:paraId="2EE33A7B" w14:textId="77777777" w:rsidR="008000A7" w:rsidRPr="008123F4" w:rsidRDefault="008000A7" w:rsidP="00471458">
            <w:pPr>
              <w:pStyle w:val="NoSpacing"/>
              <w:jc w:val="center"/>
              <w:rPr>
                <w:rFonts w:ascii="Times New Roman" w:hAnsi="Times New Roman" w:cs="Times New Roman"/>
                <w:sz w:val="20"/>
                <w:szCs w:val="20"/>
              </w:rPr>
            </w:pPr>
            <w:r w:rsidRPr="008123F4">
              <w:rPr>
                <w:rFonts w:ascii="Times New Roman" w:hAnsi="Times New Roman" w:cs="Times New Roman"/>
                <w:sz w:val="20"/>
                <w:szCs w:val="20"/>
              </w:rPr>
              <w:t>..</w:t>
            </w:r>
          </w:p>
        </w:tc>
        <w:tc>
          <w:tcPr>
            <w:tcW w:w="0" w:type="auto"/>
            <w:hideMark/>
          </w:tcPr>
          <w:p w14:paraId="5E4752E1" w14:textId="77777777" w:rsidR="008000A7" w:rsidRPr="008123F4" w:rsidRDefault="008000A7" w:rsidP="00471458">
            <w:pPr>
              <w:pStyle w:val="NoSpacing"/>
              <w:jc w:val="center"/>
              <w:rPr>
                <w:rFonts w:ascii="Times New Roman" w:hAnsi="Times New Roman" w:cs="Times New Roman"/>
                <w:sz w:val="20"/>
                <w:szCs w:val="20"/>
              </w:rPr>
            </w:pPr>
            <w:r w:rsidRPr="008123F4">
              <w:rPr>
                <w:rFonts w:ascii="Times New Roman" w:hAnsi="Times New Roman" w:cs="Times New Roman"/>
                <w:sz w:val="20"/>
                <w:szCs w:val="20"/>
              </w:rPr>
              <w:t>..</w:t>
            </w:r>
          </w:p>
        </w:tc>
      </w:tr>
      <w:tr w:rsidR="008000A7" w:rsidRPr="008123F4" w14:paraId="18BAAE7D" w14:textId="77777777" w:rsidTr="003874AC">
        <w:trPr>
          <w:trHeight w:val="443"/>
          <w:jc w:val="center"/>
        </w:trPr>
        <w:tc>
          <w:tcPr>
            <w:tcW w:w="0" w:type="auto"/>
            <w:hideMark/>
          </w:tcPr>
          <w:p w14:paraId="419B5D3D" w14:textId="6A861A3A" w:rsidR="008000A7" w:rsidRPr="008123F4" w:rsidRDefault="008000A7" w:rsidP="00B77C0B">
            <w:pPr>
              <w:pStyle w:val="NoSpacing"/>
              <w:rPr>
                <w:rFonts w:ascii="Times New Roman" w:hAnsi="Times New Roman" w:cs="Times New Roman"/>
                <w:sz w:val="20"/>
                <w:szCs w:val="20"/>
              </w:rPr>
            </w:pPr>
            <w:r w:rsidRPr="008123F4">
              <w:rPr>
                <w:rFonts w:ascii="Times New Roman" w:hAnsi="Times New Roman" w:cs="Times New Roman"/>
                <w:sz w:val="20"/>
                <w:szCs w:val="20"/>
              </w:rPr>
              <w:t>Maharashtra</w:t>
            </w:r>
          </w:p>
        </w:tc>
        <w:tc>
          <w:tcPr>
            <w:tcW w:w="0" w:type="auto"/>
            <w:hideMark/>
          </w:tcPr>
          <w:p w14:paraId="0054BB9D" w14:textId="77777777" w:rsidR="008000A7" w:rsidRPr="008123F4" w:rsidRDefault="008000A7" w:rsidP="00471458">
            <w:pPr>
              <w:pStyle w:val="NoSpacing"/>
              <w:jc w:val="center"/>
              <w:rPr>
                <w:rFonts w:ascii="Times New Roman" w:hAnsi="Times New Roman" w:cs="Times New Roman"/>
                <w:sz w:val="20"/>
                <w:szCs w:val="20"/>
              </w:rPr>
            </w:pPr>
            <w:r w:rsidRPr="008123F4">
              <w:rPr>
                <w:rFonts w:ascii="Times New Roman" w:hAnsi="Times New Roman" w:cs="Times New Roman"/>
                <w:sz w:val="20"/>
                <w:szCs w:val="20"/>
              </w:rPr>
              <w:t>1.88</w:t>
            </w:r>
          </w:p>
        </w:tc>
        <w:tc>
          <w:tcPr>
            <w:tcW w:w="0" w:type="auto"/>
            <w:hideMark/>
          </w:tcPr>
          <w:p w14:paraId="4DAE3054" w14:textId="77777777" w:rsidR="008000A7" w:rsidRPr="008123F4" w:rsidRDefault="008000A7" w:rsidP="00471458">
            <w:pPr>
              <w:pStyle w:val="NoSpacing"/>
              <w:jc w:val="center"/>
              <w:rPr>
                <w:rFonts w:ascii="Times New Roman" w:hAnsi="Times New Roman" w:cs="Times New Roman"/>
                <w:sz w:val="20"/>
                <w:szCs w:val="20"/>
              </w:rPr>
            </w:pPr>
            <w:r w:rsidRPr="008123F4">
              <w:rPr>
                <w:rFonts w:ascii="Times New Roman" w:hAnsi="Times New Roman" w:cs="Times New Roman"/>
                <w:sz w:val="20"/>
                <w:szCs w:val="20"/>
              </w:rPr>
              <w:t>0.99</w:t>
            </w:r>
          </w:p>
        </w:tc>
        <w:tc>
          <w:tcPr>
            <w:tcW w:w="0" w:type="auto"/>
            <w:hideMark/>
          </w:tcPr>
          <w:p w14:paraId="2E80EC7F" w14:textId="77777777" w:rsidR="008000A7" w:rsidRPr="008123F4" w:rsidRDefault="008000A7" w:rsidP="00471458">
            <w:pPr>
              <w:pStyle w:val="NoSpacing"/>
              <w:jc w:val="center"/>
              <w:rPr>
                <w:rFonts w:ascii="Times New Roman" w:hAnsi="Times New Roman" w:cs="Times New Roman"/>
                <w:sz w:val="20"/>
                <w:szCs w:val="20"/>
              </w:rPr>
            </w:pPr>
            <w:r w:rsidRPr="008123F4">
              <w:rPr>
                <w:rFonts w:ascii="Times New Roman" w:hAnsi="Times New Roman" w:cs="Times New Roman"/>
                <w:sz w:val="20"/>
                <w:szCs w:val="20"/>
              </w:rPr>
              <w:t>4.97</w:t>
            </w:r>
          </w:p>
        </w:tc>
        <w:tc>
          <w:tcPr>
            <w:tcW w:w="0" w:type="auto"/>
            <w:hideMark/>
          </w:tcPr>
          <w:p w14:paraId="22FD8E2B" w14:textId="77777777" w:rsidR="008000A7" w:rsidRPr="008123F4" w:rsidRDefault="008000A7" w:rsidP="00471458">
            <w:pPr>
              <w:pStyle w:val="NoSpacing"/>
              <w:jc w:val="center"/>
              <w:rPr>
                <w:rFonts w:ascii="Times New Roman" w:hAnsi="Times New Roman" w:cs="Times New Roman"/>
                <w:sz w:val="20"/>
                <w:szCs w:val="20"/>
              </w:rPr>
            </w:pPr>
            <w:r w:rsidRPr="008123F4">
              <w:rPr>
                <w:rFonts w:ascii="Times New Roman" w:hAnsi="Times New Roman" w:cs="Times New Roman"/>
                <w:sz w:val="20"/>
                <w:szCs w:val="20"/>
              </w:rPr>
              <w:t>-4.08</w:t>
            </w:r>
          </w:p>
        </w:tc>
        <w:tc>
          <w:tcPr>
            <w:tcW w:w="0" w:type="auto"/>
            <w:hideMark/>
          </w:tcPr>
          <w:p w14:paraId="7443CCC7" w14:textId="77777777" w:rsidR="008000A7" w:rsidRPr="008123F4" w:rsidRDefault="008000A7" w:rsidP="00471458">
            <w:pPr>
              <w:pStyle w:val="NoSpacing"/>
              <w:jc w:val="center"/>
              <w:rPr>
                <w:rFonts w:ascii="Times New Roman" w:hAnsi="Times New Roman" w:cs="Times New Roman"/>
                <w:sz w:val="20"/>
                <w:szCs w:val="20"/>
              </w:rPr>
            </w:pPr>
            <w:r w:rsidRPr="008123F4">
              <w:rPr>
                <w:rFonts w:ascii="Times New Roman" w:hAnsi="Times New Roman" w:cs="Times New Roman"/>
                <w:sz w:val="20"/>
                <w:szCs w:val="20"/>
              </w:rPr>
              <w:t>2.07</w:t>
            </w:r>
          </w:p>
        </w:tc>
        <w:tc>
          <w:tcPr>
            <w:tcW w:w="0" w:type="auto"/>
            <w:hideMark/>
          </w:tcPr>
          <w:p w14:paraId="6813E13B" w14:textId="77777777" w:rsidR="008000A7" w:rsidRPr="008123F4" w:rsidRDefault="008000A7" w:rsidP="00471458">
            <w:pPr>
              <w:pStyle w:val="NoSpacing"/>
              <w:jc w:val="center"/>
              <w:rPr>
                <w:rFonts w:ascii="Times New Roman" w:hAnsi="Times New Roman" w:cs="Times New Roman"/>
                <w:sz w:val="20"/>
                <w:szCs w:val="20"/>
              </w:rPr>
            </w:pPr>
            <w:r w:rsidRPr="008123F4">
              <w:rPr>
                <w:rFonts w:ascii="Times New Roman" w:hAnsi="Times New Roman" w:cs="Times New Roman"/>
                <w:sz w:val="20"/>
                <w:szCs w:val="20"/>
              </w:rPr>
              <w:t>1.02</w:t>
            </w:r>
          </w:p>
        </w:tc>
        <w:tc>
          <w:tcPr>
            <w:tcW w:w="0" w:type="auto"/>
            <w:hideMark/>
          </w:tcPr>
          <w:p w14:paraId="5DB486D9" w14:textId="77777777" w:rsidR="008000A7" w:rsidRPr="008123F4" w:rsidRDefault="008000A7" w:rsidP="00471458">
            <w:pPr>
              <w:pStyle w:val="NoSpacing"/>
              <w:jc w:val="center"/>
              <w:rPr>
                <w:rFonts w:ascii="Times New Roman" w:hAnsi="Times New Roman" w:cs="Times New Roman"/>
                <w:sz w:val="20"/>
                <w:szCs w:val="20"/>
              </w:rPr>
            </w:pPr>
            <w:r w:rsidRPr="008123F4">
              <w:rPr>
                <w:rFonts w:ascii="Times New Roman" w:hAnsi="Times New Roman" w:cs="Times New Roman"/>
                <w:sz w:val="20"/>
                <w:szCs w:val="20"/>
              </w:rPr>
              <w:t>5.97</w:t>
            </w:r>
          </w:p>
        </w:tc>
        <w:tc>
          <w:tcPr>
            <w:tcW w:w="847" w:type="dxa"/>
            <w:hideMark/>
          </w:tcPr>
          <w:p w14:paraId="71A61AAE" w14:textId="77777777" w:rsidR="008000A7" w:rsidRPr="008123F4" w:rsidRDefault="008000A7" w:rsidP="00471458">
            <w:pPr>
              <w:pStyle w:val="NoSpacing"/>
              <w:jc w:val="center"/>
              <w:rPr>
                <w:rFonts w:ascii="Times New Roman" w:hAnsi="Times New Roman" w:cs="Times New Roman"/>
                <w:sz w:val="20"/>
                <w:szCs w:val="20"/>
              </w:rPr>
            </w:pPr>
            <w:r w:rsidRPr="008123F4">
              <w:rPr>
                <w:rFonts w:ascii="Times New Roman" w:hAnsi="Times New Roman" w:cs="Times New Roman"/>
                <w:sz w:val="20"/>
                <w:szCs w:val="20"/>
              </w:rPr>
              <w:t>-4.92</w:t>
            </w:r>
          </w:p>
        </w:tc>
        <w:tc>
          <w:tcPr>
            <w:tcW w:w="853" w:type="dxa"/>
            <w:hideMark/>
          </w:tcPr>
          <w:p w14:paraId="0C5A7BFA" w14:textId="77777777" w:rsidR="008000A7" w:rsidRPr="008123F4" w:rsidRDefault="008000A7" w:rsidP="00471458">
            <w:pPr>
              <w:pStyle w:val="NoSpacing"/>
              <w:jc w:val="center"/>
              <w:rPr>
                <w:rFonts w:ascii="Times New Roman" w:hAnsi="Times New Roman" w:cs="Times New Roman"/>
                <w:sz w:val="20"/>
                <w:szCs w:val="20"/>
              </w:rPr>
            </w:pPr>
            <w:r w:rsidRPr="008123F4">
              <w:rPr>
                <w:rFonts w:ascii="Times New Roman" w:hAnsi="Times New Roman" w:cs="Times New Roman"/>
                <w:sz w:val="20"/>
                <w:szCs w:val="20"/>
              </w:rPr>
              <w:t>2.52</w:t>
            </w:r>
          </w:p>
        </w:tc>
        <w:tc>
          <w:tcPr>
            <w:tcW w:w="0" w:type="auto"/>
            <w:hideMark/>
          </w:tcPr>
          <w:p w14:paraId="0652D58E" w14:textId="77777777" w:rsidR="008000A7" w:rsidRPr="008123F4" w:rsidRDefault="008000A7" w:rsidP="00471458">
            <w:pPr>
              <w:pStyle w:val="NoSpacing"/>
              <w:jc w:val="center"/>
              <w:rPr>
                <w:rFonts w:ascii="Times New Roman" w:hAnsi="Times New Roman" w:cs="Times New Roman"/>
                <w:sz w:val="20"/>
                <w:szCs w:val="20"/>
              </w:rPr>
            </w:pPr>
            <w:r w:rsidRPr="008123F4">
              <w:rPr>
                <w:rFonts w:ascii="Times New Roman" w:hAnsi="Times New Roman" w:cs="Times New Roman"/>
                <w:sz w:val="20"/>
                <w:szCs w:val="20"/>
              </w:rPr>
              <w:t>1.07</w:t>
            </w:r>
          </w:p>
        </w:tc>
        <w:tc>
          <w:tcPr>
            <w:tcW w:w="0" w:type="auto"/>
            <w:hideMark/>
          </w:tcPr>
          <w:p w14:paraId="32D750C0" w14:textId="77777777" w:rsidR="008000A7" w:rsidRPr="008123F4" w:rsidRDefault="008000A7" w:rsidP="00471458">
            <w:pPr>
              <w:pStyle w:val="NoSpacing"/>
              <w:jc w:val="center"/>
              <w:rPr>
                <w:rFonts w:ascii="Times New Roman" w:hAnsi="Times New Roman" w:cs="Times New Roman"/>
                <w:sz w:val="20"/>
                <w:szCs w:val="20"/>
              </w:rPr>
            </w:pPr>
            <w:r w:rsidRPr="008123F4">
              <w:rPr>
                <w:rFonts w:ascii="Times New Roman" w:hAnsi="Times New Roman" w:cs="Times New Roman"/>
                <w:sz w:val="20"/>
                <w:szCs w:val="20"/>
              </w:rPr>
              <w:t>7.08</w:t>
            </w:r>
          </w:p>
        </w:tc>
        <w:tc>
          <w:tcPr>
            <w:tcW w:w="0" w:type="auto"/>
            <w:hideMark/>
          </w:tcPr>
          <w:p w14:paraId="09419704" w14:textId="77777777" w:rsidR="008000A7" w:rsidRPr="008123F4" w:rsidRDefault="008000A7" w:rsidP="00471458">
            <w:pPr>
              <w:pStyle w:val="NoSpacing"/>
              <w:jc w:val="center"/>
              <w:rPr>
                <w:rFonts w:ascii="Times New Roman" w:hAnsi="Times New Roman" w:cs="Times New Roman"/>
                <w:sz w:val="20"/>
                <w:szCs w:val="20"/>
              </w:rPr>
            </w:pPr>
            <w:r w:rsidRPr="008123F4">
              <w:rPr>
                <w:rFonts w:ascii="Times New Roman" w:hAnsi="Times New Roman" w:cs="Times New Roman"/>
                <w:sz w:val="20"/>
                <w:szCs w:val="20"/>
              </w:rPr>
              <w:t>-5.63</w:t>
            </w:r>
          </w:p>
        </w:tc>
        <w:tc>
          <w:tcPr>
            <w:tcW w:w="0" w:type="auto"/>
            <w:hideMark/>
          </w:tcPr>
          <w:p w14:paraId="344B2FF2" w14:textId="77777777" w:rsidR="008000A7" w:rsidRPr="008123F4" w:rsidRDefault="008000A7" w:rsidP="00471458">
            <w:pPr>
              <w:pStyle w:val="NoSpacing"/>
              <w:jc w:val="center"/>
              <w:rPr>
                <w:rFonts w:ascii="Times New Roman" w:hAnsi="Times New Roman" w:cs="Times New Roman"/>
                <w:sz w:val="20"/>
                <w:szCs w:val="20"/>
              </w:rPr>
            </w:pPr>
            <w:r w:rsidRPr="008123F4">
              <w:rPr>
                <w:rFonts w:ascii="Times New Roman" w:hAnsi="Times New Roman" w:cs="Times New Roman"/>
                <w:sz w:val="20"/>
                <w:szCs w:val="20"/>
              </w:rPr>
              <w:t>2.74</w:t>
            </w:r>
          </w:p>
        </w:tc>
        <w:tc>
          <w:tcPr>
            <w:tcW w:w="0" w:type="auto"/>
            <w:hideMark/>
          </w:tcPr>
          <w:p w14:paraId="437B394C" w14:textId="77777777" w:rsidR="008000A7" w:rsidRPr="008123F4" w:rsidRDefault="008000A7" w:rsidP="00471458">
            <w:pPr>
              <w:pStyle w:val="NoSpacing"/>
              <w:jc w:val="center"/>
              <w:rPr>
                <w:rFonts w:ascii="Times New Roman" w:hAnsi="Times New Roman" w:cs="Times New Roman"/>
                <w:sz w:val="20"/>
                <w:szCs w:val="20"/>
              </w:rPr>
            </w:pPr>
            <w:r w:rsidRPr="008123F4">
              <w:rPr>
                <w:rFonts w:ascii="Times New Roman" w:hAnsi="Times New Roman" w:cs="Times New Roman"/>
                <w:sz w:val="20"/>
                <w:szCs w:val="20"/>
              </w:rPr>
              <w:t>1.74</w:t>
            </w:r>
          </w:p>
        </w:tc>
        <w:tc>
          <w:tcPr>
            <w:tcW w:w="0" w:type="auto"/>
            <w:hideMark/>
          </w:tcPr>
          <w:p w14:paraId="6951DF0A" w14:textId="77777777" w:rsidR="008000A7" w:rsidRPr="008123F4" w:rsidRDefault="008000A7" w:rsidP="00471458">
            <w:pPr>
              <w:pStyle w:val="NoSpacing"/>
              <w:jc w:val="center"/>
              <w:rPr>
                <w:rFonts w:ascii="Times New Roman" w:hAnsi="Times New Roman" w:cs="Times New Roman"/>
                <w:sz w:val="20"/>
                <w:szCs w:val="20"/>
              </w:rPr>
            </w:pPr>
            <w:r w:rsidRPr="008123F4">
              <w:rPr>
                <w:rFonts w:ascii="Times New Roman" w:hAnsi="Times New Roman" w:cs="Times New Roman"/>
                <w:sz w:val="20"/>
                <w:szCs w:val="20"/>
              </w:rPr>
              <w:t>8.41</w:t>
            </w:r>
          </w:p>
        </w:tc>
        <w:tc>
          <w:tcPr>
            <w:tcW w:w="0" w:type="auto"/>
            <w:hideMark/>
          </w:tcPr>
          <w:p w14:paraId="04E678F3" w14:textId="77777777" w:rsidR="008000A7" w:rsidRPr="008123F4" w:rsidRDefault="008000A7" w:rsidP="00471458">
            <w:pPr>
              <w:pStyle w:val="NoSpacing"/>
              <w:jc w:val="center"/>
              <w:rPr>
                <w:rFonts w:ascii="Times New Roman" w:hAnsi="Times New Roman" w:cs="Times New Roman"/>
                <w:sz w:val="20"/>
                <w:szCs w:val="20"/>
              </w:rPr>
            </w:pPr>
            <w:r w:rsidRPr="008123F4">
              <w:rPr>
                <w:rFonts w:ascii="Times New Roman" w:hAnsi="Times New Roman" w:cs="Times New Roman"/>
                <w:sz w:val="20"/>
                <w:szCs w:val="20"/>
              </w:rPr>
              <w:t>-7.41</w:t>
            </w:r>
          </w:p>
        </w:tc>
      </w:tr>
      <w:tr w:rsidR="008000A7" w:rsidRPr="008123F4" w14:paraId="08CC93F9" w14:textId="77777777" w:rsidTr="003874AC">
        <w:trPr>
          <w:trHeight w:val="221"/>
          <w:jc w:val="center"/>
        </w:trPr>
        <w:tc>
          <w:tcPr>
            <w:tcW w:w="0" w:type="auto"/>
            <w:hideMark/>
          </w:tcPr>
          <w:p w14:paraId="4CC4AB54" w14:textId="77777777" w:rsidR="008000A7" w:rsidRPr="008123F4" w:rsidRDefault="008000A7" w:rsidP="00B77C0B">
            <w:pPr>
              <w:pStyle w:val="NoSpacing"/>
              <w:rPr>
                <w:rFonts w:ascii="Times New Roman" w:hAnsi="Times New Roman" w:cs="Times New Roman"/>
                <w:sz w:val="20"/>
                <w:szCs w:val="20"/>
              </w:rPr>
            </w:pPr>
            <w:r w:rsidRPr="008123F4">
              <w:rPr>
                <w:rFonts w:ascii="Times New Roman" w:hAnsi="Times New Roman" w:cs="Times New Roman"/>
                <w:sz w:val="20"/>
                <w:szCs w:val="20"/>
              </w:rPr>
              <w:t>Mysore</w:t>
            </w:r>
          </w:p>
        </w:tc>
        <w:tc>
          <w:tcPr>
            <w:tcW w:w="0" w:type="auto"/>
            <w:hideMark/>
          </w:tcPr>
          <w:p w14:paraId="2FED9F04" w14:textId="77777777" w:rsidR="008000A7" w:rsidRPr="008123F4" w:rsidRDefault="008000A7" w:rsidP="00471458">
            <w:pPr>
              <w:pStyle w:val="NoSpacing"/>
              <w:jc w:val="center"/>
              <w:rPr>
                <w:rFonts w:ascii="Times New Roman" w:hAnsi="Times New Roman" w:cs="Times New Roman"/>
                <w:sz w:val="20"/>
                <w:szCs w:val="20"/>
              </w:rPr>
            </w:pPr>
            <w:r w:rsidRPr="008123F4">
              <w:rPr>
                <w:rFonts w:ascii="Times New Roman" w:hAnsi="Times New Roman" w:cs="Times New Roman"/>
                <w:sz w:val="20"/>
                <w:szCs w:val="20"/>
              </w:rPr>
              <w:t>0.45</w:t>
            </w:r>
          </w:p>
        </w:tc>
        <w:tc>
          <w:tcPr>
            <w:tcW w:w="0" w:type="auto"/>
            <w:hideMark/>
          </w:tcPr>
          <w:p w14:paraId="49FA2CB3" w14:textId="77777777" w:rsidR="008000A7" w:rsidRPr="008123F4" w:rsidRDefault="008000A7" w:rsidP="00471458">
            <w:pPr>
              <w:pStyle w:val="NoSpacing"/>
              <w:jc w:val="center"/>
              <w:rPr>
                <w:rFonts w:ascii="Times New Roman" w:hAnsi="Times New Roman" w:cs="Times New Roman"/>
                <w:sz w:val="20"/>
                <w:szCs w:val="20"/>
              </w:rPr>
            </w:pPr>
            <w:r w:rsidRPr="008123F4">
              <w:rPr>
                <w:rFonts w:ascii="Times New Roman" w:hAnsi="Times New Roman" w:cs="Times New Roman"/>
                <w:sz w:val="20"/>
                <w:szCs w:val="20"/>
              </w:rPr>
              <w:t>0.93</w:t>
            </w:r>
          </w:p>
        </w:tc>
        <w:tc>
          <w:tcPr>
            <w:tcW w:w="0" w:type="auto"/>
            <w:hideMark/>
          </w:tcPr>
          <w:p w14:paraId="1D91BD79" w14:textId="77777777" w:rsidR="008000A7" w:rsidRPr="008123F4" w:rsidRDefault="008000A7" w:rsidP="00471458">
            <w:pPr>
              <w:pStyle w:val="NoSpacing"/>
              <w:jc w:val="center"/>
              <w:rPr>
                <w:rFonts w:ascii="Times New Roman" w:hAnsi="Times New Roman" w:cs="Times New Roman"/>
                <w:sz w:val="20"/>
                <w:szCs w:val="20"/>
              </w:rPr>
            </w:pPr>
            <w:r w:rsidRPr="008123F4">
              <w:rPr>
                <w:rFonts w:ascii="Times New Roman" w:hAnsi="Times New Roman" w:cs="Times New Roman"/>
                <w:sz w:val="20"/>
                <w:szCs w:val="20"/>
              </w:rPr>
              <w:t>5.59</w:t>
            </w:r>
          </w:p>
        </w:tc>
        <w:tc>
          <w:tcPr>
            <w:tcW w:w="0" w:type="auto"/>
            <w:hideMark/>
          </w:tcPr>
          <w:p w14:paraId="7B1E9AC1" w14:textId="77777777" w:rsidR="008000A7" w:rsidRPr="008123F4" w:rsidRDefault="008000A7" w:rsidP="00471458">
            <w:pPr>
              <w:pStyle w:val="NoSpacing"/>
              <w:jc w:val="center"/>
              <w:rPr>
                <w:rFonts w:ascii="Times New Roman" w:hAnsi="Times New Roman" w:cs="Times New Roman"/>
                <w:sz w:val="20"/>
                <w:szCs w:val="20"/>
              </w:rPr>
            </w:pPr>
            <w:r w:rsidRPr="008123F4">
              <w:rPr>
                <w:rFonts w:ascii="Times New Roman" w:hAnsi="Times New Roman" w:cs="Times New Roman"/>
                <w:sz w:val="20"/>
                <w:szCs w:val="20"/>
              </w:rPr>
              <w:t>-6.07</w:t>
            </w:r>
          </w:p>
        </w:tc>
        <w:tc>
          <w:tcPr>
            <w:tcW w:w="0" w:type="auto"/>
            <w:hideMark/>
          </w:tcPr>
          <w:p w14:paraId="6023C91C" w14:textId="77777777" w:rsidR="008000A7" w:rsidRPr="008123F4" w:rsidRDefault="008000A7" w:rsidP="00471458">
            <w:pPr>
              <w:pStyle w:val="NoSpacing"/>
              <w:jc w:val="center"/>
              <w:rPr>
                <w:rFonts w:ascii="Times New Roman" w:hAnsi="Times New Roman" w:cs="Times New Roman"/>
                <w:sz w:val="20"/>
                <w:szCs w:val="20"/>
              </w:rPr>
            </w:pPr>
            <w:r w:rsidRPr="008123F4">
              <w:rPr>
                <w:rFonts w:ascii="Times New Roman" w:hAnsi="Times New Roman" w:cs="Times New Roman"/>
                <w:sz w:val="20"/>
                <w:szCs w:val="20"/>
              </w:rPr>
              <w:t>0.39</w:t>
            </w:r>
          </w:p>
        </w:tc>
        <w:tc>
          <w:tcPr>
            <w:tcW w:w="0" w:type="auto"/>
            <w:hideMark/>
          </w:tcPr>
          <w:p w14:paraId="57E71FB2" w14:textId="77777777" w:rsidR="008000A7" w:rsidRPr="008123F4" w:rsidRDefault="008000A7" w:rsidP="00471458">
            <w:pPr>
              <w:pStyle w:val="NoSpacing"/>
              <w:jc w:val="center"/>
              <w:rPr>
                <w:rFonts w:ascii="Times New Roman" w:hAnsi="Times New Roman" w:cs="Times New Roman"/>
                <w:sz w:val="20"/>
                <w:szCs w:val="20"/>
              </w:rPr>
            </w:pPr>
            <w:r w:rsidRPr="008123F4">
              <w:rPr>
                <w:rFonts w:ascii="Times New Roman" w:hAnsi="Times New Roman" w:cs="Times New Roman"/>
                <w:sz w:val="20"/>
                <w:szCs w:val="20"/>
              </w:rPr>
              <w:t>1.21</w:t>
            </w:r>
          </w:p>
        </w:tc>
        <w:tc>
          <w:tcPr>
            <w:tcW w:w="0" w:type="auto"/>
            <w:hideMark/>
          </w:tcPr>
          <w:p w14:paraId="58B7D86A" w14:textId="77777777" w:rsidR="008000A7" w:rsidRPr="008123F4" w:rsidRDefault="008000A7" w:rsidP="00471458">
            <w:pPr>
              <w:pStyle w:val="NoSpacing"/>
              <w:jc w:val="center"/>
              <w:rPr>
                <w:rFonts w:ascii="Times New Roman" w:hAnsi="Times New Roman" w:cs="Times New Roman"/>
                <w:sz w:val="20"/>
                <w:szCs w:val="20"/>
              </w:rPr>
            </w:pPr>
            <w:r w:rsidRPr="008123F4">
              <w:rPr>
                <w:rFonts w:ascii="Times New Roman" w:hAnsi="Times New Roman" w:cs="Times New Roman"/>
                <w:sz w:val="20"/>
                <w:szCs w:val="20"/>
              </w:rPr>
              <w:t>6.51</w:t>
            </w:r>
          </w:p>
        </w:tc>
        <w:tc>
          <w:tcPr>
            <w:tcW w:w="847" w:type="dxa"/>
            <w:hideMark/>
          </w:tcPr>
          <w:p w14:paraId="1FF631CD" w14:textId="77777777" w:rsidR="008000A7" w:rsidRPr="008123F4" w:rsidRDefault="008000A7" w:rsidP="00471458">
            <w:pPr>
              <w:pStyle w:val="NoSpacing"/>
              <w:jc w:val="center"/>
              <w:rPr>
                <w:rFonts w:ascii="Times New Roman" w:hAnsi="Times New Roman" w:cs="Times New Roman"/>
                <w:sz w:val="20"/>
                <w:szCs w:val="20"/>
              </w:rPr>
            </w:pPr>
            <w:r w:rsidRPr="008123F4">
              <w:rPr>
                <w:rFonts w:ascii="Times New Roman" w:hAnsi="Times New Roman" w:cs="Times New Roman"/>
                <w:sz w:val="20"/>
                <w:szCs w:val="20"/>
              </w:rPr>
              <w:t>-7.33</w:t>
            </w:r>
          </w:p>
        </w:tc>
        <w:tc>
          <w:tcPr>
            <w:tcW w:w="853" w:type="dxa"/>
            <w:hideMark/>
          </w:tcPr>
          <w:p w14:paraId="42E15067" w14:textId="77777777" w:rsidR="008000A7" w:rsidRPr="008123F4" w:rsidRDefault="008000A7" w:rsidP="00471458">
            <w:pPr>
              <w:pStyle w:val="NoSpacing"/>
              <w:jc w:val="center"/>
              <w:rPr>
                <w:rFonts w:ascii="Times New Roman" w:hAnsi="Times New Roman" w:cs="Times New Roman"/>
                <w:sz w:val="20"/>
                <w:szCs w:val="20"/>
              </w:rPr>
            </w:pPr>
            <w:r w:rsidRPr="008123F4">
              <w:rPr>
                <w:rFonts w:ascii="Times New Roman" w:hAnsi="Times New Roman" w:cs="Times New Roman"/>
                <w:sz w:val="20"/>
                <w:szCs w:val="20"/>
              </w:rPr>
              <w:t>0.33(b)</w:t>
            </w:r>
          </w:p>
        </w:tc>
        <w:tc>
          <w:tcPr>
            <w:tcW w:w="0" w:type="auto"/>
            <w:hideMark/>
          </w:tcPr>
          <w:p w14:paraId="58D64B78" w14:textId="77777777" w:rsidR="008000A7" w:rsidRPr="008123F4" w:rsidRDefault="008000A7" w:rsidP="00471458">
            <w:pPr>
              <w:pStyle w:val="NoSpacing"/>
              <w:jc w:val="center"/>
              <w:rPr>
                <w:rFonts w:ascii="Times New Roman" w:hAnsi="Times New Roman" w:cs="Times New Roman"/>
                <w:sz w:val="20"/>
                <w:szCs w:val="20"/>
              </w:rPr>
            </w:pPr>
            <w:r w:rsidRPr="008123F4">
              <w:rPr>
                <w:rFonts w:ascii="Times New Roman" w:hAnsi="Times New Roman" w:cs="Times New Roman"/>
                <w:sz w:val="20"/>
                <w:szCs w:val="20"/>
              </w:rPr>
              <w:t>1.11</w:t>
            </w:r>
          </w:p>
        </w:tc>
        <w:tc>
          <w:tcPr>
            <w:tcW w:w="0" w:type="auto"/>
            <w:hideMark/>
          </w:tcPr>
          <w:p w14:paraId="301A2272" w14:textId="77777777" w:rsidR="008000A7" w:rsidRPr="008123F4" w:rsidRDefault="008000A7" w:rsidP="00471458">
            <w:pPr>
              <w:pStyle w:val="NoSpacing"/>
              <w:jc w:val="center"/>
              <w:rPr>
                <w:rFonts w:ascii="Times New Roman" w:hAnsi="Times New Roman" w:cs="Times New Roman"/>
                <w:sz w:val="20"/>
                <w:szCs w:val="20"/>
              </w:rPr>
            </w:pPr>
            <w:r w:rsidRPr="008123F4">
              <w:rPr>
                <w:rFonts w:ascii="Times New Roman" w:hAnsi="Times New Roman" w:cs="Times New Roman"/>
                <w:sz w:val="20"/>
                <w:szCs w:val="20"/>
              </w:rPr>
              <w:t>7.16</w:t>
            </w:r>
          </w:p>
        </w:tc>
        <w:tc>
          <w:tcPr>
            <w:tcW w:w="0" w:type="auto"/>
            <w:hideMark/>
          </w:tcPr>
          <w:p w14:paraId="75A83FCF" w14:textId="77777777" w:rsidR="008000A7" w:rsidRPr="008123F4" w:rsidRDefault="008000A7" w:rsidP="00471458">
            <w:pPr>
              <w:pStyle w:val="NoSpacing"/>
              <w:jc w:val="center"/>
              <w:rPr>
                <w:rFonts w:ascii="Times New Roman" w:hAnsi="Times New Roman" w:cs="Times New Roman"/>
                <w:sz w:val="20"/>
                <w:szCs w:val="20"/>
              </w:rPr>
            </w:pPr>
            <w:r w:rsidRPr="008123F4">
              <w:rPr>
                <w:rFonts w:ascii="Times New Roman" w:hAnsi="Times New Roman" w:cs="Times New Roman"/>
                <w:sz w:val="20"/>
                <w:szCs w:val="20"/>
              </w:rPr>
              <w:t>-7.94</w:t>
            </w:r>
          </w:p>
        </w:tc>
        <w:tc>
          <w:tcPr>
            <w:tcW w:w="0" w:type="auto"/>
            <w:hideMark/>
          </w:tcPr>
          <w:p w14:paraId="52A4E494" w14:textId="77777777" w:rsidR="008000A7" w:rsidRPr="008123F4" w:rsidRDefault="008000A7" w:rsidP="00471458">
            <w:pPr>
              <w:pStyle w:val="NoSpacing"/>
              <w:jc w:val="center"/>
              <w:rPr>
                <w:rFonts w:ascii="Times New Roman" w:hAnsi="Times New Roman" w:cs="Times New Roman"/>
                <w:sz w:val="20"/>
                <w:szCs w:val="20"/>
              </w:rPr>
            </w:pPr>
            <w:r w:rsidRPr="008123F4">
              <w:rPr>
                <w:rFonts w:ascii="Times New Roman" w:hAnsi="Times New Roman" w:cs="Times New Roman"/>
                <w:sz w:val="20"/>
                <w:szCs w:val="20"/>
              </w:rPr>
              <w:t>0.81</w:t>
            </w:r>
          </w:p>
        </w:tc>
        <w:tc>
          <w:tcPr>
            <w:tcW w:w="0" w:type="auto"/>
            <w:hideMark/>
          </w:tcPr>
          <w:p w14:paraId="1AE1EFB0" w14:textId="77777777" w:rsidR="008000A7" w:rsidRPr="008123F4" w:rsidRDefault="008000A7" w:rsidP="00471458">
            <w:pPr>
              <w:pStyle w:val="NoSpacing"/>
              <w:jc w:val="center"/>
              <w:rPr>
                <w:rFonts w:ascii="Times New Roman" w:hAnsi="Times New Roman" w:cs="Times New Roman"/>
                <w:sz w:val="20"/>
                <w:szCs w:val="20"/>
              </w:rPr>
            </w:pPr>
            <w:r w:rsidRPr="008123F4">
              <w:rPr>
                <w:rFonts w:ascii="Times New Roman" w:hAnsi="Times New Roman" w:cs="Times New Roman"/>
                <w:sz w:val="20"/>
                <w:szCs w:val="20"/>
              </w:rPr>
              <w:t>1.72</w:t>
            </w:r>
          </w:p>
        </w:tc>
        <w:tc>
          <w:tcPr>
            <w:tcW w:w="0" w:type="auto"/>
            <w:hideMark/>
          </w:tcPr>
          <w:p w14:paraId="68B4F852" w14:textId="77777777" w:rsidR="008000A7" w:rsidRPr="008123F4" w:rsidRDefault="008000A7" w:rsidP="00471458">
            <w:pPr>
              <w:pStyle w:val="NoSpacing"/>
              <w:jc w:val="center"/>
              <w:rPr>
                <w:rFonts w:ascii="Times New Roman" w:hAnsi="Times New Roman" w:cs="Times New Roman"/>
                <w:sz w:val="20"/>
                <w:szCs w:val="20"/>
              </w:rPr>
            </w:pPr>
            <w:r w:rsidRPr="008123F4">
              <w:rPr>
                <w:rFonts w:ascii="Times New Roman" w:hAnsi="Times New Roman" w:cs="Times New Roman"/>
                <w:sz w:val="20"/>
                <w:szCs w:val="20"/>
              </w:rPr>
              <w:t>7.00</w:t>
            </w:r>
          </w:p>
        </w:tc>
        <w:tc>
          <w:tcPr>
            <w:tcW w:w="0" w:type="auto"/>
            <w:hideMark/>
          </w:tcPr>
          <w:p w14:paraId="01A74346" w14:textId="77777777" w:rsidR="008000A7" w:rsidRPr="008123F4" w:rsidRDefault="008000A7" w:rsidP="00471458">
            <w:pPr>
              <w:pStyle w:val="NoSpacing"/>
              <w:jc w:val="center"/>
              <w:rPr>
                <w:rFonts w:ascii="Times New Roman" w:hAnsi="Times New Roman" w:cs="Times New Roman"/>
                <w:sz w:val="20"/>
                <w:szCs w:val="20"/>
              </w:rPr>
            </w:pPr>
            <w:r w:rsidRPr="008123F4">
              <w:rPr>
                <w:rFonts w:ascii="Times New Roman" w:hAnsi="Times New Roman" w:cs="Times New Roman"/>
                <w:sz w:val="20"/>
                <w:szCs w:val="20"/>
              </w:rPr>
              <w:t>-7.91</w:t>
            </w:r>
          </w:p>
        </w:tc>
      </w:tr>
      <w:tr w:rsidR="008000A7" w:rsidRPr="008123F4" w14:paraId="4047ED79" w14:textId="77777777" w:rsidTr="003874AC">
        <w:trPr>
          <w:trHeight w:val="221"/>
          <w:jc w:val="center"/>
        </w:trPr>
        <w:tc>
          <w:tcPr>
            <w:tcW w:w="0" w:type="auto"/>
            <w:hideMark/>
          </w:tcPr>
          <w:p w14:paraId="2B556C22" w14:textId="77777777" w:rsidR="008000A7" w:rsidRPr="008123F4" w:rsidRDefault="008000A7" w:rsidP="00B77C0B">
            <w:pPr>
              <w:pStyle w:val="NoSpacing"/>
              <w:rPr>
                <w:rFonts w:ascii="Times New Roman" w:hAnsi="Times New Roman" w:cs="Times New Roman"/>
                <w:sz w:val="20"/>
                <w:szCs w:val="20"/>
              </w:rPr>
            </w:pPr>
            <w:r w:rsidRPr="008123F4">
              <w:rPr>
                <w:rFonts w:ascii="Times New Roman" w:hAnsi="Times New Roman" w:cs="Times New Roman"/>
                <w:sz w:val="20"/>
                <w:szCs w:val="20"/>
              </w:rPr>
              <w:t>Nagaland*</w:t>
            </w:r>
          </w:p>
        </w:tc>
        <w:tc>
          <w:tcPr>
            <w:tcW w:w="0" w:type="auto"/>
            <w:hideMark/>
          </w:tcPr>
          <w:p w14:paraId="07222DEF" w14:textId="77777777" w:rsidR="008000A7" w:rsidRPr="008123F4" w:rsidRDefault="008000A7" w:rsidP="00471458">
            <w:pPr>
              <w:pStyle w:val="NoSpacing"/>
              <w:jc w:val="center"/>
              <w:rPr>
                <w:rFonts w:ascii="Times New Roman" w:hAnsi="Times New Roman" w:cs="Times New Roman"/>
                <w:sz w:val="20"/>
                <w:szCs w:val="20"/>
              </w:rPr>
            </w:pPr>
            <w:r w:rsidRPr="008123F4">
              <w:rPr>
                <w:rFonts w:ascii="Times New Roman" w:hAnsi="Times New Roman" w:cs="Times New Roman"/>
                <w:sz w:val="20"/>
                <w:szCs w:val="20"/>
              </w:rPr>
              <w:t>..</w:t>
            </w:r>
          </w:p>
        </w:tc>
        <w:tc>
          <w:tcPr>
            <w:tcW w:w="0" w:type="auto"/>
            <w:hideMark/>
          </w:tcPr>
          <w:p w14:paraId="4548CFED" w14:textId="77777777" w:rsidR="008000A7" w:rsidRPr="008123F4" w:rsidRDefault="008000A7" w:rsidP="00471458">
            <w:pPr>
              <w:pStyle w:val="NoSpacing"/>
              <w:jc w:val="center"/>
              <w:rPr>
                <w:rFonts w:ascii="Times New Roman" w:hAnsi="Times New Roman" w:cs="Times New Roman"/>
                <w:sz w:val="20"/>
                <w:szCs w:val="20"/>
              </w:rPr>
            </w:pPr>
            <w:r w:rsidRPr="008123F4">
              <w:rPr>
                <w:rFonts w:ascii="Times New Roman" w:hAnsi="Times New Roman" w:cs="Times New Roman"/>
                <w:sz w:val="20"/>
                <w:szCs w:val="20"/>
              </w:rPr>
              <w:t>..</w:t>
            </w:r>
          </w:p>
        </w:tc>
        <w:tc>
          <w:tcPr>
            <w:tcW w:w="0" w:type="auto"/>
            <w:hideMark/>
          </w:tcPr>
          <w:p w14:paraId="155D8BBB" w14:textId="77777777" w:rsidR="008000A7" w:rsidRPr="008123F4" w:rsidRDefault="008000A7" w:rsidP="00471458">
            <w:pPr>
              <w:pStyle w:val="NoSpacing"/>
              <w:jc w:val="center"/>
              <w:rPr>
                <w:rFonts w:ascii="Times New Roman" w:hAnsi="Times New Roman" w:cs="Times New Roman"/>
                <w:sz w:val="20"/>
                <w:szCs w:val="20"/>
              </w:rPr>
            </w:pPr>
            <w:r w:rsidRPr="008123F4">
              <w:rPr>
                <w:rFonts w:ascii="Times New Roman" w:hAnsi="Times New Roman" w:cs="Times New Roman"/>
                <w:sz w:val="20"/>
                <w:szCs w:val="20"/>
              </w:rPr>
              <w:t>..</w:t>
            </w:r>
          </w:p>
        </w:tc>
        <w:tc>
          <w:tcPr>
            <w:tcW w:w="0" w:type="auto"/>
            <w:hideMark/>
          </w:tcPr>
          <w:p w14:paraId="40C651CF" w14:textId="77777777" w:rsidR="008000A7" w:rsidRPr="008123F4" w:rsidRDefault="008000A7" w:rsidP="00471458">
            <w:pPr>
              <w:pStyle w:val="NoSpacing"/>
              <w:jc w:val="center"/>
              <w:rPr>
                <w:rFonts w:ascii="Times New Roman" w:hAnsi="Times New Roman" w:cs="Times New Roman"/>
                <w:sz w:val="20"/>
                <w:szCs w:val="20"/>
              </w:rPr>
            </w:pPr>
            <w:r w:rsidRPr="008123F4">
              <w:rPr>
                <w:rFonts w:ascii="Times New Roman" w:hAnsi="Times New Roman" w:cs="Times New Roman"/>
                <w:sz w:val="20"/>
                <w:szCs w:val="20"/>
              </w:rPr>
              <w:t>..</w:t>
            </w:r>
          </w:p>
        </w:tc>
        <w:tc>
          <w:tcPr>
            <w:tcW w:w="0" w:type="auto"/>
            <w:hideMark/>
          </w:tcPr>
          <w:p w14:paraId="133D59FA" w14:textId="77777777" w:rsidR="008000A7" w:rsidRPr="008123F4" w:rsidRDefault="008000A7" w:rsidP="00471458">
            <w:pPr>
              <w:pStyle w:val="NoSpacing"/>
              <w:jc w:val="center"/>
              <w:rPr>
                <w:rFonts w:ascii="Times New Roman" w:hAnsi="Times New Roman" w:cs="Times New Roman"/>
                <w:sz w:val="20"/>
                <w:szCs w:val="20"/>
              </w:rPr>
            </w:pPr>
            <w:r w:rsidRPr="008123F4">
              <w:rPr>
                <w:rFonts w:ascii="Times New Roman" w:hAnsi="Times New Roman" w:cs="Times New Roman"/>
                <w:sz w:val="20"/>
                <w:szCs w:val="20"/>
              </w:rPr>
              <w:t>..</w:t>
            </w:r>
          </w:p>
        </w:tc>
        <w:tc>
          <w:tcPr>
            <w:tcW w:w="0" w:type="auto"/>
            <w:hideMark/>
          </w:tcPr>
          <w:p w14:paraId="33B19540" w14:textId="77777777" w:rsidR="008000A7" w:rsidRPr="008123F4" w:rsidRDefault="008000A7" w:rsidP="00471458">
            <w:pPr>
              <w:pStyle w:val="NoSpacing"/>
              <w:jc w:val="center"/>
              <w:rPr>
                <w:rFonts w:ascii="Times New Roman" w:hAnsi="Times New Roman" w:cs="Times New Roman"/>
                <w:sz w:val="20"/>
                <w:szCs w:val="20"/>
              </w:rPr>
            </w:pPr>
            <w:r w:rsidRPr="008123F4">
              <w:rPr>
                <w:rFonts w:ascii="Times New Roman" w:hAnsi="Times New Roman" w:cs="Times New Roman"/>
                <w:sz w:val="20"/>
                <w:szCs w:val="20"/>
              </w:rPr>
              <w:t>..</w:t>
            </w:r>
          </w:p>
        </w:tc>
        <w:tc>
          <w:tcPr>
            <w:tcW w:w="0" w:type="auto"/>
            <w:hideMark/>
          </w:tcPr>
          <w:p w14:paraId="3EB79264" w14:textId="77777777" w:rsidR="008000A7" w:rsidRPr="008123F4" w:rsidRDefault="008000A7" w:rsidP="00471458">
            <w:pPr>
              <w:pStyle w:val="NoSpacing"/>
              <w:jc w:val="center"/>
              <w:rPr>
                <w:rFonts w:ascii="Times New Roman" w:hAnsi="Times New Roman" w:cs="Times New Roman"/>
                <w:sz w:val="20"/>
                <w:szCs w:val="20"/>
              </w:rPr>
            </w:pPr>
            <w:r w:rsidRPr="008123F4">
              <w:rPr>
                <w:rFonts w:ascii="Times New Roman" w:hAnsi="Times New Roman" w:cs="Times New Roman"/>
                <w:sz w:val="20"/>
                <w:szCs w:val="20"/>
              </w:rPr>
              <w:t>..</w:t>
            </w:r>
          </w:p>
        </w:tc>
        <w:tc>
          <w:tcPr>
            <w:tcW w:w="847" w:type="dxa"/>
            <w:hideMark/>
          </w:tcPr>
          <w:p w14:paraId="2377CD83" w14:textId="77777777" w:rsidR="008000A7" w:rsidRPr="008123F4" w:rsidRDefault="008000A7" w:rsidP="00471458">
            <w:pPr>
              <w:pStyle w:val="NoSpacing"/>
              <w:jc w:val="center"/>
              <w:rPr>
                <w:rFonts w:ascii="Times New Roman" w:hAnsi="Times New Roman" w:cs="Times New Roman"/>
                <w:sz w:val="20"/>
                <w:szCs w:val="20"/>
              </w:rPr>
            </w:pPr>
            <w:r w:rsidRPr="008123F4">
              <w:rPr>
                <w:rFonts w:ascii="Times New Roman" w:hAnsi="Times New Roman" w:cs="Times New Roman"/>
                <w:sz w:val="20"/>
                <w:szCs w:val="20"/>
              </w:rPr>
              <w:t>..</w:t>
            </w:r>
          </w:p>
        </w:tc>
        <w:tc>
          <w:tcPr>
            <w:tcW w:w="853" w:type="dxa"/>
            <w:hideMark/>
          </w:tcPr>
          <w:p w14:paraId="4613E37F" w14:textId="77777777" w:rsidR="008000A7" w:rsidRPr="008123F4" w:rsidRDefault="008000A7" w:rsidP="00471458">
            <w:pPr>
              <w:pStyle w:val="NoSpacing"/>
              <w:jc w:val="center"/>
              <w:rPr>
                <w:rFonts w:ascii="Times New Roman" w:hAnsi="Times New Roman" w:cs="Times New Roman"/>
                <w:sz w:val="20"/>
                <w:szCs w:val="20"/>
              </w:rPr>
            </w:pPr>
            <w:r w:rsidRPr="008123F4">
              <w:rPr>
                <w:rFonts w:ascii="Times New Roman" w:hAnsi="Times New Roman" w:cs="Times New Roman"/>
                <w:sz w:val="20"/>
                <w:szCs w:val="20"/>
              </w:rPr>
              <w:t>..</w:t>
            </w:r>
          </w:p>
        </w:tc>
        <w:tc>
          <w:tcPr>
            <w:tcW w:w="0" w:type="auto"/>
            <w:hideMark/>
          </w:tcPr>
          <w:p w14:paraId="040B4EDD" w14:textId="77777777" w:rsidR="008000A7" w:rsidRPr="008123F4" w:rsidRDefault="008000A7" w:rsidP="00471458">
            <w:pPr>
              <w:pStyle w:val="NoSpacing"/>
              <w:jc w:val="center"/>
              <w:rPr>
                <w:rFonts w:ascii="Times New Roman" w:hAnsi="Times New Roman" w:cs="Times New Roman"/>
                <w:sz w:val="20"/>
                <w:szCs w:val="20"/>
              </w:rPr>
            </w:pPr>
            <w:r w:rsidRPr="008123F4">
              <w:rPr>
                <w:rFonts w:ascii="Times New Roman" w:hAnsi="Times New Roman" w:cs="Times New Roman"/>
                <w:sz w:val="20"/>
                <w:szCs w:val="20"/>
              </w:rPr>
              <w:t>..</w:t>
            </w:r>
          </w:p>
        </w:tc>
        <w:tc>
          <w:tcPr>
            <w:tcW w:w="0" w:type="auto"/>
            <w:hideMark/>
          </w:tcPr>
          <w:p w14:paraId="40DD31F4" w14:textId="77777777" w:rsidR="008000A7" w:rsidRPr="008123F4" w:rsidRDefault="008000A7" w:rsidP="00471458">
            <w:pPr>
              <w:pStyle w:val="NoSpacing"/>
              <w:jc w:val="center"/>
              <w:rPr>
                <w:rFonts w:ascii="Times New Roman" w:hAnsi="Times New Roman" w:cs="Times New Roman"/>
                <w:sz w:val="20"/>
                <w:szCs w:val="20"/>
              </w:rPr>
            </w:pPr>
            <w:r w:rsidRPr="008123F4">
              <w:rPr>
                <w:rFonts w:ascii="Times New Roman" w:hAnsi="Times New Roman" w:cs="Times New Roman"/>
                <w:sz w:val="20"/>
                <w:szCs w:val="20"/>
              </w:rPr>
              <w:t>..</w:t>
            </w:r>
          </w:p>
        </w:tc>
        <w:tc>
          <w:tcPr>
            <w:tcW w:w="0" w:type="auto"/>
            <w:hideMark/>
          </w:tcPr>
          <w:p w14:paraId="00D223ED" w14:textId="77777777" w:rsidR="008000A7" w:rsidRPr="008123F4" w:rsidRDefault="008000A7" w:rsidP="00471458">
            <w:pPr>
              <w:pStyle w:val="NoSpacing"/>
              <w:jc w:val="center"/>
              <w:rPr>
                <w:rFonts w:ascii="Times New Roman" w:hAnsi="Times New Roman" w:cs="Times New Roman"/>
                <w:sz w:val="20"/>
                <w:szCs w:val="20"/>
              </w:rPr>
            </w:pPr>
            <w:r w:rsidRPr="008123F4">
              <w:rPr>
                <w:rFonts w:ascii="Times New Roman" w:hAnsi="Times New Roman" w:cs="Times New Roman"/>
                <w:sz w:val="20"/>
                <w:szCs w:val="20"/>
              </w:rPr>
              <w:t>..</w:t>
            </w:r>
          </w:p>
        </w:tc>
        <w:tc>
          <w:tcPr>
            <w:tcW w:w="0" w:type="auto"/>
            <w:hideMark/>
          </w:tcPr>
          <w:p w14:paraId="18B8FD1D" w14:textId="77777777" w:rsidR="008000A7" w:rsidRPr="008123F4" w:rsidRDefault="008000A7" w:rsidP="00471458">
            <w:pPr>
              <w:pStyle w:val="NoSpacing"/>
              <w:jc w:val="center"/>
              <w:rPr>
                <w:rFonts w:ascii="Times New Roman" w:hAnsi="Times New Roman" w:cs="Times New Roman"/>
                <w:sz w:val="20"/>
                <w:szCs w:val="20"/>
              </w:rPr>
            </w:pPr>
            <w:r w:rsidRPr="008123F4">
              <w:rPr>
                <w:rFonts w:ascii="Times New Roman" w:hAnsi="Times New Roman" w:cs="Times New Roman"/>
                <w:sz w:val="20"/>
                <w:szCs w:val="20"/>
              </w:rPr>
              <w:t>..</w:t>
            </w:r>
          </w:p>
        </w:tc>
        <w:tc>
          <w:tcPr>
            <w:tcW w:w="0" w:type="auto"/>
            <w:hideMark/>
          </w:tcPr>
          <w:p w14:paraId="0BD2F5FD" w14:textId="77777777" w:rsidR="008000A7" w:rsidRPr="008123F4" w:rsidRDefault="008000A7" w:rsidP="00471458">
            <w:pPr>
              <w:pStyle w:val="NoSpacing"/>
              <w:jc w:val="center"/>
              <w:rPr>
                <w:rFonts w:ascii="Times New Roman" w:hAnsi="Times New Roman" w:cs="Times New Roman"/>
                <w:sz w:val="20"/>
                <w:szCs w:val="20"/>
              </w:rPr>
            </w:pPr>
            <w:r w:rsidRPr="008123F4">
              <w:rPr>
                <w:rFonts w:ascii="Times New Roman" w:hAnsi="Times New Roman" w:cs="Times New Roman"/>
                <w:sz w:val="20"/>
                <w:szCs w:val="20"/>
              </w:rPr>
              <w:t>..</w:t>
            </w:r>
          </w:p>
        </w:tc>
        <w:tc>
          <w:tcPr>
            <w:tcW w:w="0" w:type="auto"/>
            <w:hideMark/>
          </w:tcPr>
          <w:p w14:paraId="3733AF95" w14:textId="77777777" w:rsidR="008000A7" w:rsidRPr="008123F4" w:rsidRDefault="008000A7" w:rsidP="00471458">
            <w:pPr>
              <w:pStyle w:val="NoSpacing"/>
              <w:jc w:val="center"/>
              <w:rPr>
                <w:rFonts w:ascii="Times New Roman" w:hAnsi="Times New Roman" w:cs="Times New Roman"/>
                <w:sz w:val="20"/>
                <w:szCs w:val="20"/>
              </w:rPr>
            </w:pPr>
            <w:r w:rsidRPr="008123F4">
              <w:rPr>
                <w:rFonts w:ascii="Times New Roman" w:hAnsi="Times New Roman" w:cs="Times New Roman"/>
                <w:sz w:val="20"/>
                <w:szCs w:val="20"/>
              </w:rPr>
              <w:t>..</w:t>
            </w:r>
          </w:p>
        </w:tc>
        <w:tc>
          <w:tcPr>
            <w:tcW w:w="0" w:type="auto"/>
            <w:hideMark/>
          </w:tcPr>
          <w:p w14:paraId="54E3BFF5" w14:textId="77777777" w:rsidR="008000A7" w:rsidRPr="008123F4" w:rsidRDefault="008000A7" w:rsidP="00471458">
            <w:pPr>
              <w:pStyle w:val="NoSpacing"/>
              <w:jc w:val="center"/>
              <w:rPr>
                <w:rFonts w:ascii="Times New Roman" w:hAnsi="Times New Roman" w:cs="Times New Roman"/>
                <w:sz w:val="20"/>
                <w:szCs w:val="20"/>
              </w:rPr>
            </w:pPr>
            <w:r w:rsidRPr="008123F4">
              <w:rPr>
                <w:rFonts w:ascii="Times New Roman" w:hAnsi="Times New Roman" w:cs="Times New Roman"/>
                <w:sz w:val="20"/>
                <w:szCs w:val="20"/>
              </w:rPr>
              <w:t>..</w:t>
            </w:r>
          </w:p>
        </w:tc>
      </w:tr>
      <w:tr w:rsidR="008000A7" w:rsidRPr="008123F4" w14:paraId="367BDBFC" w14:textId="77777777" w:rsidTr="003874AC">
        <w:trPr>
          <w:trHeight w:val="221"/>
          <w:jc w:val="center"/>
        </w:trPr>
        <w:tc>
          <w:tcPr>
            <w:tcW w:w="0" w:type="auto"/>
            <w:hideMark/>
          </w:tcPr>
          <w:p w14:paraId="226E2223" w14:textId="77777777" w:rsidR="008000A7" w:rsidRPr="008123F4" w:rsidRDefault="008000A7" w:rsidP="00B77C0B">
            <w:pPr>
              <w:pStyle w:val="NoSpacing"/>
              <w:rPr>
                <w:rFonts w:ascii="Times New Roman" w:hAnsi="Times New Roman" w:cs="Times New Roman"/>
                <w:sz w:val="20"/>
                <w:szCs w:val="20"/>
              </w:rPr>
            </w:pPr>
            <w:r w:rsidRPr="008123F4">
              <w:rPr>
                <w:rFonts w:ascii="Times New Roman" w:hAnsi="Times New Roman" w:cs="Times New Roman"/>
                <w:sz w:val="20"/>
                <w:szCs w:val="20"/>
              </w:rPr>
              <w:t>Orissa</w:t>
            </w:r>
          </w:p>
        </w:tc>
        <w:tc>
          <w:tcPr>
            <w:tcW w:w="0" w:type="auto"/>
            <w:hideMark/>
          </w:tcPr>
          <w:p w14:paraId="762050C2" w14:textId="77777777" w:rsidR="008000A7" w:rsidRPr="008123F4" w:rsidRDefault="008000A7" w:rsidP="00471458">
            <w:pPr>
              <w:pStyle w:val="NoSpacing"/>
              <w:jc w:val="center"/>
              <w:rPr>
                <w:rFonts w:ascii="Times New Roman" w:hAnsi="Times New Roman" w:cs="Times New Roman"/>
                <w:sz w:val="20"/>
                <w:szCs w:val="20"/>
              </w:rPr>
            </w:pPr>
            <w:r w:rsidRPr="008123F4">
              <w:rPr>
                <w:rFonts w:ascii="Times New Roman" w:hAnsi="Times New Roman" w:cs="Times New Roman"/>
                <w:sz w:val="20"/>
                <w:szCs w:val="20"/>
              </w:rPr>
              <w:t>0.40</w:t>
            </w:r>
          </w:p>
        </w:tc>
        <w:tc>
          <w:tcPr>
            <w:tcW w:w="0" w:type="auto"/>
            <w:hideMark/>
          </w:tcPr>
          <w:p w14:paraId="50C71D95" w14:textId="77777777" w:rsidR="008000A7" w:rsidRPr="008123F4" w:rsidRDefault="008000A7" w:rsidP="00471458">
            <w:pPr>
              <w:pStyle w:val="NoSpacing"/>
              <w:jc w:val="center"/>
              <w:rPr>
                <w:rFonts w:ascii="Times New Roman" w:hAnsi="Times New Roman" w:cs="Times New Roman"/>
                <w:sz w:val="20"/>
                <w:szCs w:val="20"/>
              </w:rPr>
            </w:pPr>
            <w:r w:rsidRPr="008123F4">
              <w:rPr>
                <w:rFonts w:ascii="Times New Roman" w:hAnsi="Times New Roman" w:cs="Times New Roman"/>
                <w:sz w:val="20"/>
                <w:szCs w:val="20"/>
              </w:rPr>
              <w:t>0.25</w:t>
            </w:r>
          </w:p>
        </w:tc>
        <w:tc>
          <w:tcPr>
            <w:tcW w:w="0" w:type="auto"/>
            <w:hideMark/>
          </w:tcPr>
          <w:p w14:paraId="01C6C7C2" w14:textId="77777777" w:rsidR="008000A7" w:rsidRPr="008123F4" w:rsidRDefault="008000A7" w:rsidP="00471458">
            <w:pPr>
              <w:pStyle w:val="NoSpacing"/>
              <w:jc w:val="center"/>
              <w:rPr>
                <w:rFonts w:ascii="Times New Roman" w:hAnsi="Times New Roman" w:cs="Times New Roman"/>
                <w:sz w:val="20"/>
                <w:szCs w:val="20"/>
              </w:rPr>
            </w:pPr>
            <w:r w:rsidRPr="008123F4">
              <w:rPr>
                <w:rFonts w:ascii="Times New Roman" w:hAnsi="Times New Roman" w:cs="Times New Roman"/>
                <w:sz w:val="20"/>
                <w:szCs w:val="20"/>
              </w:rPr>
              <w:t>1.02</w:t>
            </w:r>
          </w:p>
        </w:tc>
        <w:tc>
          <w:tcPr>
            <w:tcW w:w="0" w:type="auto"/>
            <w:hideMark/>
          </w:tcPr>
          <w:p w14:paraId="41E9FCCC" w14:textId="77777777" w:rsidR="008000A7" w:rsidRPr="008123F4" w:rsidRDefault="008000A7" w:rsidP="00471458">
            <w:pPr>
              <w:pStyle w:val="NoSpacing"/>
              <w:jc w:val="center"/>
              <w:rPr>
                <w:rFonts w:ascii="Times New Roman" w:hAnsi="Times New Roman" w:cs="Times New Roman"/>
                <w:sz w:val="20"/>
                <w:szCs w:val="20"/>
              </w:rPr>
            </w:pPr>
            <w:r w:rsidRPr="008123F4">
              <w:rPr>
                <w:rFonts w:ascii="Times New Roman" w:hAnsi="Times New Roman" w:cs="Times New Roman"/>
                <w:sz w:val="20"/>
                <w:szCs w:val="20"/>
              </w:rPr>
              <w:t>-0.87</w:t>
            </w:r>
          </w:p>
        </w:tc>
        <w:tc>
          <w:tcPr>
            <w:tcW w:w="0" w:type="auto"/>
            <w:hideMark/>
          </w:tcPr>
          <w:p w14:paraId="4893F51A" w14:textId="77777777" w:rsidR="008000A7" w:rsidRPr="008123F4" w:rsidRDefault="008000A7" w:rsidP="00471458">
            <w:pPr>
              <w:pStyle w:val="NoSpacing"/>
              <w:jc w:val="center"/>
              <w:rPr>
                <w:rFonts w:ascii="Times New Roman" w:hAnsi="Times New Roman" w:cs="Times New Roman"/>
                <w:sz w:val="20"/>
                <w:szCs w:val="20"/>
              </w:rPr>
            </w:pPr>
            <w:r w:rsidRPr="008123F4">
              <w:rPr>
                <w:rFonts w:ascii="Times New Roman" w:hAnsi="Times New Roman" w:cs="Times New Roman"/>
                <w:sz w:val="20"/>
                <w:szCs w:val="20"/>
              </w:rPr>
              <w:t>0.25</w:t>
            </w:r>
          </w:p>
        </w:tc>
        <w:tc>
          <w:tcPr>
            <w:tcW w:w="0" w:type="auto"/>
            <w:hideMark/>
          </w:tcPr>
          <w:p w14:paraId="6F2ED2DD" w14:textId="77777777" w:rsidR="008000A7" w:rsidRPr="008123F4" w:rsidRDefault="008000A7" w:rsidP="00471458">
            <w:pPr>
              <w:pStyle w:val="NoSpacing"/>
              <w:jc w:val="center"/>
              <w:rPr>
                <w:rFonts w:ascii="Times New Roman" w:hAnsi="Times New Roman" w:cs="Times New Roman"/>
                <w:sz w:val="20"/>
                <w:szCs w:val="20"/>
              </w:rPr>
            </w:pPr>
            <w:r w:rsidRPr="008123F4">
              <w:rPr>
                <w:rFonts w:ascii="Times New Roman" w:hAnsi="Times New Roman" w:cs="Times New Roman"/>
                <w:sz w:val="20"/>
                <w:szCs w:val="20"/>
              </w:rPr>
              <w:t>0.40</w:t>
            </w:r>
          </w:p>
        </w:tc>
        <w:tc>
          <w:tcPr>
            <w:tcW w:w="0" w:type="auto"/>
            <w:hideMark/>
          </w:tcPr>
          <w:p w14:paraId="725C621E" w14:textId="77777777" w:rsidR="008000A7" w:rsidRPr="008123F4" w:rsidRDefault="008000A7" w:rsidP="00471458">
            <w:pPr>
              <w:pStyle w:val="NoSpacing"/>
              <w:jc w:val="center"/>
              <w:rPr>
                <w:rFonts w:ascii="Times New Roman" w:hAnsi="Times New Roman" w:cs="Times New Roman"/>
                <w:sz w:val="20"/>
                <w:szCs w:val="20"/>
              </w:rPr>
            </w:pPr>
            <w:r w:rsidRPr="008123F4">
              <w:rPr>
                <w:rFonts w:ascii="Times New Roman" w:hAnsi="Times New Roman" w:cs="Times New Roman"/>
                <w:sz w:val="20"/>
                <w:szCs w:val="20"/>
              </w:rPr>
              <w:t>2.75</w:t>
            </w:r>
          </w:p>
        </w:tc>
        <w:tc>
          <w:tcPr>
            <w:tcW w:w="847" w:type="dxa"/>
            <w:hideMark/>
          </w:tcPr>
          <w:p w14:paraId="5D2D0039" w14:textId="77777777" w:rsidR="008000A7" w:rsidRPr="008123F4" w:rsidRDefault="008000A7" w:rsidP="00471458">
            <w:pPr>
              <w:pStyle w:val="NoSpacing"/>
              <w:jc w:val="center"/>
              <w:rPr>
                <w:rFonts w:ascii="Times New Roman" w:hAnsi="Times New Roman" w:cs="Times New Roman"/>
                <w:sz w:val="20"/>
                <w:szCs w:val="20"/>
              </w:rPr>
            </w:pPr>
            <w:r w:rsidRPr="008123F4">
              <w:rPr>
                <w:rFonts w:ascii="Times New Roman" w:hAnsi="Times New Roman" w:cs="Times New Roman"/>
                <w:sz w:val="20"/>
                <w:szCs w:val="20"/>
              </w:rPr>
              <w:t>-2.90</w:t>
            </w:r>
          </w:p>
        </w:tc>
        <w:tc>
          <w:tcPr>
            <w:tcW w:w="853" w:type="dxa"/>
            <w:hideMark/>
          </w:tcPr>
          <w:p w14:paraId="226E7721" w14:textId="77777777" w:rsidR="008000A7" w:rsidRPr="008123F4" w:rsidRDefault="008000A7" w:rsidP="00471458">
            <w:pPr>
              <w:pStyle w:val="NoSpacing"/>
              <w:jc w:val="center"/>
              <w:rPr>
                <w:rFonts w:ascii="Times New Roman" w:hAnsi="Times New Roman" w:cs="Times New Roman"/>
                <w:sz w:val="20"/>
                <w:szCs w:val="20"/>
              </w:rPr>
            </w:pPr>
            <w:r w:rsidRPr="008123F4">
              <w:rPr>
                <w:rFonts w:ascii="Times New Roman" w:hAnsi="Times New Roman" w:cs="Times New Roman"/>
                <w:sz w:val="20"/>
                <w:szCs w:val="20"/>
              </w:rPr>
              <w:t>0.26</w:t>
            </w:r>
          </w:p>
        </w:tc>
        <w:tc>
          <w:tcPr>
            <w:tcW w:w="0" w:type="auto"/>
            <w:hideMark/>
          </w:tcPr>
          <w:p w14:paraId="02DD0076" w14:textId="77777777" w:rsidR="008000A7" w:rsidRPr="008123F4" w:rsidRDefault="008000A7" w:rsidP="00471458">
            <w:pPr>
              <w:pStyle w:val="NoSpacing"/>
              <w:jc w:val="center"/>
              <w:rPr>
                <w:rFonts w:ascii="Times New Roman" w:hAnsi="Times New Roman" w:cs="Times New Roman"/>
                <w:sz w:val="20"/>
                <w:szCs w:val="20"/>
              </w:rPr>
            </w:pPr>
            <w:r w:rsidRPr="008123F4">
              <w:rPr>
                <w:rFonts w:ascii="Times New Roman" w:hAnsi="Times New Roman" w:cs="Times New Roman"/>
                <w:sz w:val="20"/>
                <w:szCs w:val="20"/>
              </w:rPr>
              <w:t>0.46</w:t>
            </w:r>
          </w:p>
        </w:tc>
        <w:tc>
          <w:tcPr>
            <w:tcW w:w="0" w:type="auto"/>
            <w:hideMark/>
          </w:tcPr>
          <w:p w14:paraId="73676FAD" w14:textId="77777777" w:rsidR="008000A7" w:rsidRPr="008123F4" w:rsidRDefault="008000A7" w:rsidP="00471458">
            <w:pPr>
              <w:pStyle w:val="NoSpacing"/>
              <w:jc w:val="center"/>
              <w:rPr>
                <w:rFonts w:ascii="Times New Roman" w:hAnsi="Times New Roman" w:cs="Times New Roman"/>
                <w:sz w:val="20"/>
                <w:szCs w:val="20"/>
              </w:rPr>
            </w:pPr>
            <w:r w:rsidRPr="008123F4">
              <w:rPr>
                <w:rFonts w:ascii="Times New Roman" w:hAnsi="Times New Roman" w:cs="Times New Roman"/>
                <w:sz w:val="20"/>
                <w:szCs w:val="20"/>
              </w:rPr>
              <w:t>3.38</w:t>
            </w:r>
          </w:p>
        </w:tc>
        <w:tc>
          <w:tcPr>
            <w:tcW w:w="0" w:type="auto"/>
            <w:hideMark/>
          </w:tcPr>
          <w:p w14:paraId="6234449F" w14:textId="77777777" w:rsidR="008000A7" w:rsidRPr="008123F4" w:rsidRDefault="008000A7" w:rsidP="00471458">
            <w:pPr>
              <w:pStyle w:val="NoSpacing"/>
              <w:jc w:val="center"/>
              <w:rPr>
                <w:rFonts w:ascii="Times New Roman" w:hAnsi="Times New Roman" w:cs="Times New Roman"/>
                <w:sz w:val="20"/>
                <w:szCs w:val="20"/>
              </w:rPr>
            </w:pPr>
            <w:r w:rsidRPr="008123F4">
              <w:rPr>
                <w:rFonts w:ascii="Times New Roman" w:hAnsi="Times New Roman" w:cs="Times New Roman"/>
                <w:sz w:val="20"/>
                <w:szCs w:val="20"/>
              </w:rPr>
              <w:t>-3.58</w:t>
            </w:r>
          </w:p>
        </w:tc>
        <w:tc>
          <w:tcPr>
            <w:tcW w:w="0" w:type="auto"/>
            <w:hideMark/>
          </w:tcPr>
          <w:p w14:paraId="0A397396" w14:textId="77777777" w:rsidR="008000A7" w:rsidRPr="008123F4" w:rsidRDefault="008000A7" w:rsidP="00471458">
            <w:pPr>
              <w:pStyle w:val="NoSpacing"/>
              <w:jc w:val="center"/>
              <w:rPr>
                <w:rFonts w:ascii="Times New Roman" w:hAnsi="Times New Roman" w:cs="Times New Roman"/>
                <w:sz w:val="20"/>
                <w:szCs w:val="20"/>
              </w:rPr>
            </w:pPr>
            <w:r w:rsidRPr="008123F4">
              <w:rPr>
                <w:rFonts w:ascii="Times New Roman" w:hAnsi="Times New Roman" w:cs="Times New Roman"/>
                <w:sz w:val="20"/>
                <w:szCs w:val="20"/>
              </w:rPr>
              <w:t>0.35</w:t>
            </w:r>
          </w:p>
        </w:tc>
        <w:tc>
          <w:tcPr>
            <w:tcW w:w="0" w:type="auto"/>
            <w:hideMark/>
          </w:tcPr>
          <w:p w14:paraId="59140394" w14:textId="77777777" w:rsidR="008000A7" w:rsidRPr="008123F4" w:rsidRDefault="008000A7" w:rsidP="00471458">
            <w:pPr>
              <w:pStyle w:val="NoSpacing"/>
              <w:jc w:val="center"/>
              <w:rPr>
                <w:rFonts w:ascii="Times New Roman" w:hAnsi="Times New Roman" w:cs="Times New Roman"/>
                <w:sz w:val="20"/>
                <w:szCs w:val="20"/>
              </w:rPr>
            </w:pPr>
            <w:r w:rsidRPr="008123F4">
              <w:rPr>
                <w:rFonts w:ascii="Times New Roman" w:hAnsi="Times New Roman" w:cs="Times New Roman"/>
                <w:sz w:val="20"/>
                <w:szCs w:val="20"/>
              </w:rPr>
              <w:t>0.70</w:t>
            </w:r>
          </w:p>
        </w:tc>
        <w:tc>
          <w:tcPr>
            <w:tcW w:w="0" w:type="auto"/>
            <w:hideMark/>
          </w:tcPr>
          <w:p w14:paraId="6FDA268B" w14:textId="77777777" w:rsidR="008000A7" w:rsidRPr="008123F4" w:rsidRDefault="008000A7" w:rsidP="00471458">
            <w:pPr>
              <w:pStyle w:val="NoSpacing"/>
              <w:jc w:val="center"/>
              <w:rPr>
                <w:rFonts w:ascii="Times New Roman" w:hAnsi="Times New Roman" w:cs="Times New Roman"/>
                <w:sz w:val="20"/>
                <w:szCs w:val="20"/>
              </w:rPr>
            </w:pPr>
            <w:r w:rsidRPr="008123F4">
              <w:rPr>
                <w:rFonts w:ascii="Times New Roman" w:hAnsi="Times New Roman" w:cs="Times New Roman"/>
                <w:sz w:val="20"/>
                <w:szCs w:val="20"/>
              </w:rPr>
              <w:t>3.74</w:t>
            </w:r>
          </w:p>
        </w:tc>
        <w:tc>
          <w:tcPr>
            <w:tcW w:w="0" w:type="auto"/>
            <w:hideMark/>
          </w:tcPr>
          <w:p w14:paraId="1F05A446" w14:textId="77777777" w:rsidR="008000A7" w:rsidRPr="008123F4" w:rsidRDefault="008000A7" w:rsidP="00471458">
            <w:pPr>
              <w:pStyle w:val="NoSpacing"/>
              <w:jc w:val="center"/>
              <w:rPr>
                <w:rFonts w:ascii="Times New Roman" w:hAnsi="Times New Roman" w:cs="Times New Roman"/>
                <w:sz w:val="20"/>
                <w:szCs w:val="20"/>
              </w:rPr>
            </w:pPr>
            <w:r w:rsidRPr="008123F4">
              <w:rPr>
                <w:rFonts w:ascii="Times New Roman" w:hAnsi="Times New Roman" w:cs="Times New Roman"/>
                <w:sz w:val="20"/>
                <w:szCs w:val="20"/>
              </w:rPr>
              <w:t>-4.09</w:t>
            </w:r>
          </w:p>
        </w:tc>
      </w:tr>
      <w:tr w:rsidR="008000A7" w:rsidRPr="008123F4" w14:paraId="14319129" w14:textId="77777777" w:rsidTr="003874AC">
        <w:trPr>
          <w:trHeight w:val="221"/>
          <w:jc w:val="center"/>
        </w:trPr>
        <w:tc>
          <w:tcPr>
            <w:tcW w:w="0" w:type="auto"/>
            <w:hideMark/>
          </w:tcPr>
          <w:p w14:paraId="48B3221F" w14:textId="77777777" w:rsidR="008000A7" w:rsidRPr="008123F4" w:rsidRDefault="008000A7" w:rsidP="00B77C0B">
            <w:pPr>
              <w:pStyle w:val="NoSpacing"/>
              <w:rPr>
                <w:rFonts w:ascii="Times New Roman" w:hAnsi="Times New Roman" w:cs="Times New Roman"/>
                <w:sz w:val="20"/>
                <w:szCs w:val="20"/>
              </w:rPr>
            </w:pPr>
            <w:r w:rsidRPr="008123F4">
              <w:rPr>
                <w:rFonts w:ascii="Times New Roman" w:hAnsi="Times New Roman" w:cs="Times New Roman"/>
                <w:sz w:val="20"/>
                <w:szCs w:val="20"/>
              </w:rPr>
              <w:t>Punjab</w:t>
            </w:r>
          </w:p>
        </w:tc>
        <w:tc>
          <w:tcPr>
            <w:tcW w:w="0" w:type="auto"/>
            <w:hideMark/>
          </w:tcPr>
          <w:p w14:paraId="1B30D55B" w14:textId="77777777" w:rsidR="008000A7" w:rsidRPr="008123F4" w:rsidRDefault="008000A7" w:rsidP="00471458">
            <w:pPr>
              <w:pStyle w:val="NoSpacing"/>
              <w:jc w:val="center"/>
              <w:rPr>
                <w:rFonts w:ascii="Times New Roman" w:hAnsi="Times New Roman" w:cs="Times New Roman"/>
                <w:sz w:val="20"/>
                <w:szCs w:val="20"/>
              </w:rPr>
            </w:pPr>
            <w:r w:rsidRPr="008123F4">
              <w:rPr>
                <w:rFonts w:ascii="Times New Roman" w:hAnsi="Times New Roman" w:cs="Times New Roman"/>
                <w:sz w:val="20"/>
                <w:szCs w:val="20"/>
              </w:rPr>
              <w:t>..</w:t>
            </w:r>
          </w:p>
        </w:tc>
        <w:tc>
          <w:tcPr>
            <w:tcW w:w="0" w:type="auto"/>
            <w:hideMark/>
          </w:tcPr>
          <w:p w14:paraId="3B75D296" w14:textId="77777777" w:rsidR="008000A7" w:rsidRPr="008123F4" w:rsidRDefault="008000A7" w:rsidP="00471458">
            <w:pPr>
              <w:pStyle w:val="NoSpacing"/>
              <w:jc w:val="center"/>
              <w:rPr>
                <w:rFonts w:ascii="Times New Roman" w:hAnsi="Times New Roman" w:cs="Times New Roman"/>
                <w:sz w:val="20"/>
                <w:szCs w:val="20"/>
              </w:rPr>
            </w:pPr>
            <w:r w:rsidRPr="008123F4">
              <w:rPr>
                <w:rFonts w:ascii="Times New Roman" w:hAnsi="Times New Roman" w:cs="Times New Roman"/>
                <w:sz w:val="20"/>
                <w:szCs w:val="20"/>
              </w:rPr>
              <w:t>..</w:t>
            </w:r>
          </w:p>
        </w:tc>
        <w:tc>
          <w:tcPr>
            <w:tcW w:w="0" w:type="auto"/>
            <w:hideMark/>
          </w:tcPr>
          <w:p w14:paraId="321C85C2" w14:textId="77777777" w:rsidR="008000A7" w:rsidRPr="008123F4" w:rsidRDefault="008000A7" w:rsidP="00471458">
            <w:pPr>
              <w:pStyle w:val="NoSpacing"/>
              <w:jc w:val="center"/>
              <w:rPr>
                <w:rFonts w:ascii="Times New Roman" w:hAnsi="Times New Roman" w:cs="Times New Roman"/>
                <w:sz w:val="20"/>
                <w:szCs w:val="20"/>
              </w:rPr>
            </w:pPr>
            <w:r w:rsidRPr="008123F4">
              <w:rPr>
                <w:rFonts w:ascii="Times New Roman" w:hAnsi="Times New Roman" w:cs="Times New Roman"/>
                <w:sz w:val="20"/>
                <w:szCs w:val="20"/>
              </w:rPr>
              <w:t>..</w:t>
            </w:r>
          </w:p>
        </w:tc>
        <w:tc>
          <w:tcPr>
            <w:tcW w:w="0" w:type="auto"/>
            <w:hideMark/>
          </w:tcPr>
          <w:p w14:paraId="0B441EF9" w14:textId="77777777" w:rsidR="008000A7" w:rsidRPr="008123F4" w:rsidRDefault="008000A7" w:rsidP="00471458">
            <w:pPr>
              <w:pStyle w:val="NoSpacing"/>
              <w:jc w:val="center"/>
              <w:rPr>
                <w:rFonts w:ascii="Times New Roman" w:hAnsi="Times New Roman" w:cs="Times New Roman"/>
                <w:sz w:val="20"/>
                <w:szCs w:val="20"/>
              </w:rPr>
            </w:pPr>
            <w:r w:rsidRPr="008123F4">
              <w:rPr>
                <w:rFonts w:ascii="Times New Roman" w:hAnsi="Times New Roman" w:cs="Times New Roman"/>
                <w:sz w:val="20"/>
                <w:szCs w:val="20"/>
              </w:rPr>
              <w:t>N.A.</w:t>
            </w:r>
          </w:p>
        </w:tc>
        <w:tc>
          <w:tcPr>
            <w:tcW w:w="0" w:type="auto"/>
            <w:hideMark/>
          </w:tcPr>
          <w:p w14:paraId="4F64F279" w14:textId="77777777" w:rsidR="008000A7" w:rsidRPr="008123F4" w:rsidRDefault="008000A7" w:rsidP="00471458">
            <w:pPr>
              <w:pStyle w:val="NoSpacing"/>
              <w:jc w:val="center"/>
              <w:rPr>
                <w:rFonts w:ascii="Times New Roman" w:hAnsi="Times New Roman" w:cs="Times New Roman"/>
                <w:sz w:val="20"/>
                <w:szCs w:val="20"/>
              </w:rPr>
            </w:pPr>
            <w:r w:rsidRPr="008123F4">
              <w:rPr>
                <w:rFonts w:ascii="Times New Roman" w:hAnsi="Times New Roman" w:cs="Times New Roman"/>
                <w:sz w:val="20"/>
                <w:szCs w:val="20"/>
              </w:rPr>
              <w:t>..</w:t>
            </w:r>
          </w:p>
        </w:tc>
        <w:tc>
          <w:tcPr>
            <w:tcW w:w="0" w:type="auto"/>
            <w:hideMark/>
          </w:tcPr>
          <w:p w14:paraId="6EB6F8C0" w14:textId="77777777" w:rsidR="008000A7" w:rsidRPr="008123F4" w:rsidRDefault="008000A7" w:rsidP="00471458">
            <w:pPr>
              <w:pStyle w:val="NoSpacing"/>
              <w:jc w:val="center"/>
              <w:rPr>
                <w:rFonts w:ascii="Times New Roman" w:hAnsi="Times New Roman" w:cs="Times New Roman"/>
                <w:sz w:val="20"/>
                <w:szCs w:val="20"/>
              </w:rPr>
            </w:pPr>
            <w:r w:rsidRPr="008123F4">
              <w:rPr>
                <w:rFonts w:ascii="Times New Roman" w:hAnsi="Times New Roman" w:cs="Times New Roman"/>
                <w:sz w:val="20"/>
                <w:szCs w:val="20"/>
              </w:rPr>
              <w:t>..</w:t>
            </w:r>
          </w:p>
        </w:tc>
        <w:tc>
          <w:tcPr>
            <w:tcW w:w="0" w:type="auto"/>
            <w:hideMark/>
          </w:tcPr>
          <w:p w14:paraId="7C71D40F" w14:textId="77777777" w:rsidR="008000A7" w:rsidRPr="008123F4" w:rsidRDefault="008000A7" w:rsidP="00471458">
            <w:pPr>
              <w:pStyle w:val="NoSpacing"/>
              <w:jc w:val="center"/>
              <w:rPr>
                <w:rFonts w:ascii="Times New Roman" w:hAnsi="Times New Roman" w:cs="Times New Roman"/>
                <w:sz w:val="20"/>
                <w:szCs w:val="20"/>
              </w:rPr>
            </w:pPr>
            <w:r w:rsidRPr="008123F4">
              <w:rPr>
                <w:rFonts w:ascii="Times New Roman" w:hAnsi="Times New Roman" w:cs="Times New Roman"/>
                <w:sz w:val="20"/>
                <w:szCs w:val="20"/>
              </w:rPr>
              <w:t>..</w:t>
            </w:r>
          </w:p>
        </w:tc>
        <w:tc>
          <w:tcPr>
            <w:tcW w:w="847" w:type="dxa"/>
            <w:hideMark/>
          </w:tcPr>
          <w:p w14:paraId="35E13C76" w14:textId="77777777" w:rsidR="008000A7" w:rsidRPr="008123F4" w:rsidRDefault="008000A7" w:rsidP="00471458">
            <w:pPr>
              <w:pStyle w:val="NoSpacing"/>
              <w:jc w:val="center"/>
              <w:rPr>
                <w:rFonts w:ascii="Times New Roman" w:hAnsi="Times New Roman" w:cs="Times New Roman"/>
                <w:sz w:val="20"/>
                <w:szCs w:val="20"/>
              </w:rPr>
            </w:pPr>
            <w:r w:rsidRPr="008123F4">
              <w:rPr>
                <w:rFonts w:ascii="Times New Roman" w:hAnsi="Times New Roman" w:cs="Times New Roman"/>
                <w:sz w:val="20"/>
                <w:szCs w:val="20"/>
              </w:rPr>
              <w:t>N.A.</w:t>
            </w:r>
          </w:p>
        </w:tc>
        <w:tc>
          <w:tcPr>
            <w:tcW w:w="853" w:type="dxa"/>
            <w:hideMark/>
          </w:tcPr>
          <w:p w14:paraId="1CD93BD5" w14:textId="77777777" w:rsidR="008000A7" w:rsidRPr="008123F4" w:rsidRDefault="008000A7" w:rsidP="00471458">
            <w:pPr>
              <w:pStyle w:val="NoSpacing"/>
              <w:jc w:val="center"/>
              <w:rPr>
                <w:rFonts w:ascii="Times New Roman" w:hAnsi="Times New Roman" w:cs="Times New Roman"/>
                <w:sz w:val="20"/>
                <w:szCs w:val="20"/>
              </w:rPr>
            </w:pPr>
            <w:r w:rsidRPr="008123F4">
              <w:rPr>
                <w:rFonts w:ascii="Times New Roman" w:hAnsi="Times New Roman" w:cs="Times New Roman"/>
                <w:sz w:val="20"/>
                <w:szCs w:val="20"/>
              </w:rPr>
              <w:t>3.14</w:t>
            </w:r>
          </w:p>
        </w:tc>
        <w:tc>
          <w:tcPr>
            <w:tcW w:w="0" w:type="auto"/>
            <w:hideMark/>
          </w:tcPr>
          <w:p w14:paraId="54D9205C" w14:textId="77777777" w:rsidR="008000A7" w:rsidRPr="008123F4" w:rsidRDefault="008000A7" w:rsidP="00471458">
            <w:pPr>
              <w:pStyle w:val="NoSpacing"/>
              <w:jc w:val="center"/>
              <w:rPr>
                <w:rFonts w:ascii="Times New Roman" w:hAnsi="Times New Roman" w:cs="Times New Roman"/>
                <w:sz w:val="20"/>
                <w:szCs w:val="20"/>
              </w:rPr>
            </w:pPr>
            <w:r w:rsidRPr="008123F4">
              <w:rPr>
                <w:rFonts w:ascii="Times New Roman" w:hAnsi="Times New Roman" w:cs="Times New Roman"/>
                <w:sz w:val="20"/>
                <w:szCs w:val="20"/>
              </w:rPr>
              <w:t>2.43</w:t>
            </w:r>
          </w:p>
        </w:tc>
        <w:tc>
          <w:tcPr>
            <w:tcW w:w="0" w:type="auto"/>
            <w:hideMark/>
          </w:tcPr>
          <w:p w14:paraId="28BB5C4A" w14:textId="77777777" w:rsidR="008000A7" w:rsidRPr="008123F4" w:rsidRDefault="008000A7" w:rsidP="00471458">
            <w:pPr>
              <w:pStyle w:val="NoSpacing"/>
              <w:jc w:val="center"/>
              <w:rPr>
                <w:rFonts w:ascii="Times New Roman" w:hAnsi="Times New Roman" w:cs="Times New Roman"/>
                <w:sz w:val="20"/>
                <w:szCs w:val="20"/>
              </w:rPr>
            </w:pPr>
            <w:r w:rsidRPr="008123F4">
              <w:rPr>
                <w:rFonts w:ascii="Times New Roman" w:hAnsi="Times New Roman" w:cs="Times New Roman"/>
                <w:sz w:val="20"/>
                <w:szCs w:val="20"/>
              </w:rPr>
              <w:t>2.73</w:t>
            </w:r>
          </w:p>
        </w:tc>
        <w:tc>
          <w:tcPr>
            <w:tcW w:w="0" w:type="auto"/>
            <w:hideMark/>
          </w:tcPr>
          <w:p w14:paraId="36D047D1" w14:textId="77777777" w:rsidR="008000A7" w:rsidRPr="008123F4" w:rsidRDefault="008000A7" w:rsidP="00471458">
            <w:pPr>
              <w:pStyle w:val="NoSpacing"/>
              <w:jc w:val="center"/>
              <w:rPr>
                <w:rFonts w:ascii="Times New Roman" w:hAnsi="Times New Roman" w:cs="Times New Roman"/>
                <w:sz w:val="20"/>
                <w:szCs w:val="20"/>
              </w:rPr>
            </w:pPr>
            <w:r w:rsidRPr="008123F4">
              <w:rPr>
                <w:rFonts w:ascii="Times New Roman" w:hAnsi="Times New Roman" w:cs="Times New Roman"/>
                <w:sz w:val="20"/>
                <w:szCs w:val="20"/>
              </w:rPr>
              <w:t>-2.02</w:t>
            </w:r>
          </w:p>
        </w:tc>
        <w:tc>
          <w:tcPr>
            <w:tcW w:w="0" w:type="auto"/>
            <w:hideMark/>
          </w:tcPr>
          <w:p w14:paraId="6F5FFAF5" w14:textId="77777777" w:rsidR="008000A7" w:rsidRPr="008123F4" w:rsidRDefault="008000A7" w:rsidP="00471458">
            <w:pPr>
              <w:pStyle w:val="NoSpacing"/>
              <w:jc w:val="center"/>
              <w:rPr>
                <w:rFonts w:ascii="Times New Roman" w:hAnsi="Times New Roman" w:cs="Times New Roman"/>
                <w:sz w:val="20"/>
                <w:szCs w:val="20"/>
              </w:rPr>
            </w:pPr>
            <w:r w:rsidRPr="008123F4">
              <w:rPr>
                <w:rFonts w:ascii="Times New Roman" w:hAnsi="Times New Roman" w:cs="Times New Roman"/>
                <w:sz w:val="20"/>
                <w:szCs w:val="20"/>
              </w:rPr>
              <w:t>3.45</w:t>
            </w:r>
          </w:p>
        </w:tc>
        <w:tc>
          <w:tcPr>
            <w:tcW w:w="0" w:type="auto"/>
            <w:hideMark/>
          </w:tcPr>
          <w:p w14:paraId="502B87A2" w14:textId="77777777" w:rsidR="008000A7" w:rsidRPr="008123F4" w:rsidRDefault="008000A7" w:rsidP="00471458">
            <w:pPr>
              <w:pStyle w:val="NoSpacing"/>
              <w:jc w:val="center"/>
              <w:rPr>
                <w:rFonts w:ascii="Times New Roman" w:hAnsi="Times New Roman" w:cs="Times New Roman"/>
                <w:sz w:val="20"/>
                <w:szCs w:val="20"/>
              </w:rPr>
            </w:pPr>
            <w:r w:rsidRPr="008123F4">
              <w:rPr>
                <w:rFonts w:ascii="Times New Roman" w:hAnsi="Times New Roman" w:cs="Times New Roman"/>
                <w:sz w:val="20"/>
                <w:szCs w:val="20"/>
              </w:rPr>
              <w:t>2.53</w:t>
            </w:r>
          </w:p>
        </w:tc>
        <w:tc>
          <w:tcPr>
            <w:tcW w:w="0" w:type="auto"/>
            <w:hideMark/>
          </w:tcPr>
          <w:p w14:paraId="30FF2ACB" w14:textId="77777777" w:rsidR="008000A7" w:rsidRPr="008123F4" w:rsidRDefault="008000A7" w:rsidP="00471458">
            <w:pPr>
              <w:pStyle w:val="NoSpacing"/>
              <w:jc w:val="center"/>
              <w:rPr>
                <w:rFonts w:ascii="Times New Roman" w:hAnsi="Times New Roman" w:cs="Times New Roman"/>
                <w:sz w:val="20"/>
                <w:szCs w:val="20"/>
              </w:rPr>
            </w:pPr>
            <w:r w:rsidRPr="008123F4">
              <w:rPr>
                <w:rFonts w:ascii="Times New Roman" w:hAnsi="Times New Roman" w:cs="Times New Roman"/>
                <w:sz w:val="20"/>
                <w:szCs w:val="20"/>
              </w:rPr>
              <w:t>3.32</w:t>
            </w:r>
          </w:p>
        </w:tc>
        <w:tc>
          <w:tcPr>
            <w:tcW w:w="0" w:type="auto"/>
            <w:hideMark/>
          </w:tcPr>
          <w:p w14:paraId="48197886" w14:textId="77777777" w:rsidR="008000A7" w:rsidRPr="008123F4" w:rsidRDefault="008000A7" w:rsidP="00471458">
            <w:pPr>
              <w:pStyle w:val="NoSpacing"/>
              <w:jc w:val="center"/>
              <w:rPr>
                <w:rFonts w:ascii="Times New Roman" w:hAnsi="Times New Roman" w:cs="Times New Roman"/>
                <w:sz w:val="20"/>
                <w:szCs w:val="20"/>
              </w:rPr>
            </w:pPr>
            <w:r w:rsidRPr="008123F4">
              <w:rPr>
                <w:rFonts w:ascii="Times New Roman" w:hAnsi="Times New Roman" w:cs="Times New Roman"/>
                <w:sz w:val="20"/>
                <w:szCs w:val="20"/>
              </w:rPr>
              <w:t>-2.40</w:t>
            </w:r>
          </w:p>
        </w:tc>
      </w:tr>
      <w:tr w:rsidR="008000A7" w:rsidRPr="008123F4" w14:paraId="38B14CB0" w14:textId="77777777" w:rsidTr="003874AC">
        <w:trPr>
          <w:trHeight w:val="221"/>
          <w:jc w:val="center"/>
        </w:trPr>
        <w:tc>
          <w:tcPr>
            <w:tcW w:w="0" w:type="auto"/>
            <w:hideMark/>
          </w:tcPr>
          <w:p w14:paraId="4C9A9BA0" w14:textId="77777777" w:rsidR="008000A7" w:rsidRPr="008123F4" w:rsidRDefault="008000A7" w:rsidP="00B77C0B">
            <w:pPr>
              <w:pStyle w:val="NoSpacing"/>
              <w:rPr>
                <w:rFonts w:ascii="Times New Roman" w:hAnsi="Times New Roman" w:cs="Times New Roman"/>
                <w:sz w:val="20"/>
                <w:szCs w:val="20"/>
              </w:rPr>
            </w:pPr>
            <w:r w:rsidRPr="008123F4">
              <w:rPr>
                <w:rFonts w:ascii="Times New Roman" w:hAnsi="Times New Roman" w:cs="Times New Roman"/>
                <w:sz w:val="20"/>
                <w:szCs w:val="20"/>
              </w:rPr>
              <w:t>Rajasthan</w:t>
            </w:r>
          </w:p>
        </w:tc>
        <w:tc>
          <w:tcPr>
            <w:tcW w:w="0" w:type="auto"/>
            <w:hideMark/>
          </w:tcPr>
          <w:p w14:paraId="625118C6" w14:textId="77777777" w:rsidR="008000A7" w:rsidRPr="008123F4" w:rsidRDefault="008000A7" w:rsidP="00471458">
            <w:pPr>
              <w:pStyle w:val="NoSpacing"/>
              <w:jc w:val="center"/>
              <w:rPr>
                <w:rFonts w:ascii="Times New Roman" w:hAnsi="Times New Roman" w:cs="Times New Roman"/>
                <w:sz w:val="20"/>
                <w:szCs w:val="20"/>
              </w:rPr>
            </w:pPr>
            <w:r w:rsidRPr="008123F4">
              <w:rPr>
                <w:rFonts w:ascii="Times New Roman" w:hAnsi="Times New Roman" w:cs="Times New Roman"/>
                <w:sz w:val="20"/>
                <w:szCs w:val="20"/>
              </w:rPr>
              <w:t>0.53</w:t>
            </w:r>
          </w:p>
        </w:tc>
        <w:tc>
          <w:tcPr>
            <w:tcW w:w="0" w:type="auto"/>
            <w:hideMark/>
          </w:tcPr>
          <w:p w14:paraId="5C3040FD" w14:textId="77777777" w:rsidR="008000A7" w:rsidRPr="008123F4" w:rsidRDefault="008000A7" w:rsidP="00471458">
            <w:pPr>
              <w:pStyle w:val="NoSpacing"/>
              <w:jc w:val="center"/>
              <w:rPr>
                <w:rFonts w:ascii="Times New Roman" w:hAnsi="Times New Roman" w:cs="Times New Roman"/>
                <w:sz w:val="20"/>
                <w:szCs w:val="20"/>
              </w:rPr>
            </w:pPr>
            <w:r w:rsidRPr="008123F4">
              <w:rPr>
                <w:rFonts w:ascii="Times New Roman" w:hAnsi="Times New Roman" w:cs="Times New Roman"/>
                <w:sz w:val="20"/>
                <w:szCs w:val="20"/>
              </w:rPr>
              <w:t>0.22</w:t>
            </w:r>
          </w:p>
        </w:tc>
        <w:tc>
          <w:tcPr>
            <w:tcW w:w="0" w:type="auto"/>
            <w:hideMark/>
          </w:tcPr>
          <w:p w14:paraId="423A1AAD" w14:textId="77777777" w:rsidR="008000A7" w:rsidRPr="008123F4" w:rsidRDefault="008000A7" w:rsidP="00471458">
            <w:pPr>
              <w:pStyle w:val="NoSpacing"/>
              <w:jc w:val="center"/>
              <w:rPr>
                <w:rFonts w:ascii="Times New Roman" w:hAnsi="Times New Roman" w:cs="Times New Roman"/>
                <w:sz w:val="20"/>
                <w:szCs w:val="20"/>
              </w:rPr>
            </w:pPr>
            <w:r w:rsidRPr="008123F4">
              <w:rPr>
                <w:rFonts w:ascii="Times New Roman" w:hAnsi="Times New Roman" w:cs="Times New Roman"/>
                <w:sz w:val="20"/>
                <w:szCs w:val="20"/>
              </w:rPr>
              <w:t>0.49</w:t>
            </w:r>
          </w:p>
        </w:tc>
        <w:tc>
          <w:tcPr>
            <w:tcW w:w="0" w:type="auto"/>
            <w:hideMark/>
          </w:tcPr>
          <w:p w14:paraId="4A1E46D9" w14:textId="77777777" w:rsidR="008000A7" w:rsidRPr="008123F4" w:rsidRDefault="008000A7" w:rsidP="00471458">
            <w:pPr>
              <w:pStyle w:val="NoSpacing"/>
              <w:jc w:val="center"/>
              <w:rPr>
                <w:rFonts w:ascii="Times New Roman" w:hAnsi="Times New Roman" w:cs="Times New Roman"/>
                <w:sz w:val="20"/>
                <w:szCs w:val="20"/>
              </w:rPr>
            </w:pPr>
            <w:r w:rsidRPr="008123F4">
              <w:rPr>
                <w:rFonts w:ascii="Times New Roman" w:hAnsi="Times New Roman" w:cs="Times New Roman"/>
                <w:sz w:val="20"/>
                <w:szCs w:val="20"/>
              </w:rPr>
              <w:t>-0.18</w:t>
            </w:r>
          </w:p>
        </w:tc>
        <w:tc>
          <w:tcPr>
            <w:tcW w:w="0" w:type="auto"/>
            <w:hideMark/>
          </w:tcPr>
          <w:p w14:paraId="0690D12C" w14:textId="77777777" w:rsidR="008000A7" w:rsidRPr="008123F4" w:rsidRDefault="008000A7" w:rsidP="00471458">
            <w:pPr>
              <w:pStyle w:val="NoSpacing"/>
              <w:jc w:val="center"/>
              <w:rPr>
                <w:rFonts w:ascii="Times New Roman" w:hAnsi="Times New Roman" w:cs="Times New Roman"/>
                <w:sz w:val="20"/>
                <w:szCs w:val="20"/>
              </w:rPr>
            </w:pPr>
            <w:r w:rsidRPr="008123F4">
              <w:rPr>
                <w:rFonts w:ascii="Times New Roman" w:hAnsi="Times New Roman" w:cs="Times New Roman"/>
                <w:sz w:val="20"/>
                <w:szCs w:val="20"/>
              </w:rPr>
              <w:t>0.52</w:t>
            </w:r>
          </w:p>
        </w:tc>
        <w:tc>
          <w:tcPr>
            <w:tcW w:w="0" w:type="auto"/>
            <w:hideMark/>
          </w:tcPr>
          <w:p w14:paraId="7CB52C65" w14:textId="77777777" w:rsidR="008000A7" w:rsidRPr="008123F4" w:rsidRDefault="008000A7" w:rsidP="00471458">
            <w:pPr>
              <w:pStyle w:val="NoSpacing"/>
              <w:jc w:val="center"/>
              <w:rPr>
                <w:rFonts w:ascii="Times New Roman" w:hAnsi="Times New Roman" w:cs="Times New Roman"/>
                <w:sz w:val="20"/>
                <w:szCs w:val="20"/>
              </w:rPr>
            </w:pPr>
            <w:r w:rsidRPr="008123F4">
              <w:rPr>
                <w:rFonts w:ascii="Times New Roman" w:hAnsi="Times New Roman" w:cs="Times New Roman"/>
                <w:sz w:val="20"/>
                <w:szCs w:val="20"/>
              </w:rPr>
              <w:t>0.34</w:t>
            </w:r>
          </w:p>
        </w:tc>
        <w:tc>
          <w:tcPr>
            <w:tcW w:w="0" w:type="auto"/>
            <w:hideMark/>
          </w:tcPr>
          <w:p w14:paraId="4D750D5C" w14:textId="77777777" w:rsidR="008000A7" w:rsidRPr="008123F4" w:rsidRDefault="008000A7" w:rsidP="00471458">
            <w:pPr>
              <w:pStyle w:val="NoSpacing"/>
              <w:jc w:val="center"/>
              <w:rPr>
                <w:rFonts w:ascii="Times New Roman" w:hAnsi="Times New Roman" w:cs="Times New Roman"/>
                <w:sz w:val="20"/>
                <w:szCs w:val="20"/>
              </w:rPr>
            </w:pPr>
            <w:r w:rsidRPr="008123F4">
              <w:rPr>
                <w:rFonts w:ascii="Times New Roman" w:hAnsi="Times New Roman" w:cs="Times New Roman"/>
                <w:sz w:val="20"/>
                <w:szCs w:val="20"/>
              </w:rPr>
              <w:t>0.58</w:t>
            </w:r>
          </w:p>
        </w:tc>
        <w:tc>
          <w:tcPr>
            <w:tcW w:w="847" w:type="dxa"/>
            <w:hideMark/>
          </w:tcPr>
          <w:p w14:paraId="1E8E6734" w14:textId="77777777" w:rsidR="008000A7" w:rsidRPr="008123F4" w:rsidRDefault="008000A7" w:rsidP="00471458">
            <w:pPr>
              <w:pStyle w:val="NoSpacing"/>
              <w:jc w:val="center"/>
              <w:rPr>
                <w:rFonts w:ascii="Times New Roman" w:hAnsi="Times New Roman" w:cs="Times New Roman"/>
                <w:sz w:val="20"/>
                <w:szCs w:val="20"/>
              </w:rPr>
            </w:pPr>
            <w:r w:rsidRPr="008123F4">
              <w:rPr>
                <w:rFonts w:ascii="Times New Roman" w:hAnsi="Times New Roman" w:cs="Times New Roman"/>
                <w:sz w:val="20"/>
                <w:szCs w:val="20"/>
              </w:rPr>
              <w:t>-0.40</w:t>
            </w:r>
          </w:p>
        </w:tc>
        <w:tc>
          <w:tcPr>
            <w:tcW w:w="853" w:type="dxa"/>
            <w:hideMark/>
          </w:tcPr>
          <w:p w14:paraId="5819F521" w14:textId="77777777" w:rsidR="008000A7" w:rsidRPr="008123F4" w:rsidRDefault="008000A7" w:rsidP="00471458">
            <w:pPr>
              <w:pStyle w:val="NoSpacing"/>
              <w:jc w:val="center"/>
              <w:rPr>
                <w:rFonts w:ascii="Times New Roman" w:hAnsi="Times New Roman" w:cs="Times New Roman"/>
                <w:sz w:val="20"/>
                <w:szCs w:val="20"/>
              </w:rPr>
            </w:pPr>
            <w:r w:rsidRPr="008123F4">
              <w:rPr>
                <w:rFonts w:ascii="Times New Roman" w:hAnsi="Times New Roman" w:cs="Times New Roman"/>
                <w:sz w:val="20"/>
                <w:szCs w:val="20"/>
              </w:rPr>
              <w:t>0.69</w:t>
            </w:r>
          </w:p>
        </w:tc>
        <w:tc>
          <w:tcPr>
            <w:tcW w:w="0" w:type="auto"/>
            <w:hideMark/>
          </w:tcPr>
          <w:p w14:paraId="76DDD883" w14:textId="77777777" w:rsidR="008000A7" w:rsidRPr="008123F4" w:rsidRDefault="008000A7" w:rsidP="00471458">
            <w:pPr>
              <w:pStyle w:val="NoSpacing"/>
              <w:jc w:val="center"/>
              <w:rPr>
                <w:rFonts w:ascii="Times New Roman" w:hAnsi="Times New Roman" w:cs="Times New Roman"/>
                <w:sz w:val="20"/>
                <w:szCs w:val="20"/>
              </w:rPr>
            </w:pPr>
            <w:r w:rsidRPr="008123F4">
              <w:rPr>
                <w:rFonts w:ascii="Times New Roman" w:hAnsi="Times New Roman" w:cs="Times New Roman"/>
                <w:sz w:val="20"/>
                <w:szCs w:val="20"/>
              </w:rPr>
              <w:t>0.34</w:t>
            </w:r>
          </w:p>
        </w:tc>
        <w:tc>
          <w:tcPr>
            <w:tcW w:w="0" w:type="auto"/>
            <w:hideMark/>
          </w:tcPr>
          <w:p w14:paraId="37C81E83" w14:textId="77777777" w:rsidR="008000A7" w:rsidRPr="008123F4" w:rsidRDefault="008000A7" w:rsidP="00471458">
            <w:pPr>
              <w:pStyle w:val="NoSpacing"/>
              <w:jc w:val="center"/>
              <w:rPr>
                <w:rFonts w:ascii="Times New Roman" w:hAnsi="Times New Roman" w:cs="Times New Roman"/>
                <w:sz w:val="20"/>
                <w:szCs w:val="20"/>
              </w:rPr>
            </w:pPr>
            <w:r w:rsidRPr="008123F4">
              <w:rPr>
                <w:rFonts w:ascii="Times New Roman" w:hAnsi="Times New Roman" w:cs="Times New Roman"/>
                <w:sz w:val="20"/>
                <w:szCs w:val="20"/>
              </w:rPr>
              <w:t>3.36</w:t>
            </w:r>
          </w:p>
        </w:tc>
        <w:tc>
          <w:tcPr>
            <w:tcW w:w="0" w:type="auto"/>
            <w:hideMark/>
          </w:tcPr>
          <w:p w14:paraId="13476A6C" w14:textId="77777777" w:rsidR="008000A7" w:rsidRPr="008123F4" w:rsidRDefault="008000A7" w:rsidP="00471458">
            <w:pPr>
              <w:pStyle w:val="NoSpacing"/>
              <w:jc w:val="center"/>
              <w:rPr>
                <w:rFonts w:ascii="Times New Roman" w:hAnsi="Times New Roman" w:cs="Times New Roman"/>
                <w:sz w:val="20"/>
                <w:szCs w:val="20"/>
              </w:rPr>
            </w:pPr>
            <w:r w:rsidRPr="008123F4">
              <w:rPr>
                <w:rFonts w:ascii="Times New Roman" w:hAnsi="Times New Roman" w:cs="Times New Roman"/>
                <w:sz w:val="20"/>
                <w:szCs w:val="20"/>
              </w:rPr>
              <w:t>-3.01</w:t>
            </w:r>
          </w:p>
        </w:tc>
        <w:tc>
          <w:tcPr>
            <w:tcW w:w="0" w:type="auto"/>
            <w:hideMark/>
          </w:tcPr>
          <w:p w14:paraId="35CA7B1D" w14:textId="77777777" w:rsidR="008000A7" w:rsidRPr="008123F4" w:rsidRDefault="008000A7" w:rsidP="00471458">
            <w:pPr>
              <w:pStyle w:val="NoSpacing"/>
              <w:jc w:val="center"/>
              <w:rPr>
                <w:rFonts w:ascii="Times New Roman" w:hAnsi="Times New Roman" w:cs="Times New Roman"/>
                <w:sz w:val="20"/>
                <w:szCs w:val="20"/>
              </w:rPr>
            </w:pPr>
            <w:r w:rsidRPr="008123F4">
              <w:rPr>
                <w:rFonts w:ascii="Times New Roman" w:hAnsi="Times New Roman" w:cs="Times New Roman"/>
                <w:sz w:val="20"/>
                <w:szCs w:val="20"/>
              </w:rPr>
              <w:t>0.87</w:t>
            </w:r>
          </w:p>
        </w:tc>
        <w:tc>
          <w:tcPr>
            <w:tcW w:w="0" w:type="auto"/>
            <w:hideMark/>
          </w:tcPr>
          <w:p w14:paraId="33E1E51F" w14:textId="77777777" w:rsidR="008000A7" w:rsidRPr="008123F4" w:rsidRDefault="008000A7" w:rsidP="00471458">
            <w:pPr>
              <w:pStyle w:val="NoSpacing"/>
              <w:jc w:val="center"/>
              <w:rPr>
                <w:rFonts w:ascii="Times New Roman" w:hAnsi="Times New Roman" w:cs="Times New Roman"/>
                <w:sz w:val="20"/>
                <w:szCs w:val="20"/>
              </w:rPr>
            </w:pPr>
            <w:r w:rsidRPr="008123F4">
              <w:rPr>
                <w:rFonts w:ascii="Times New Roman" w:hAnsi="Times New Roman" w:cs="Times New Roman"/>
                <w:sz w:val="20"/>
                <w:szCs w:val="20"/>
              </w:rPr>
              <w:t>0.49</w:t>
            </w:r>
          </w:p>
        </w:tc>
        <w:tc>
          <w:tcPr>
            <w:tcW w:w="0" w:type="auto"/>
            <w:hideMark/>
          </w:tcPr>
          <w:p w14:paraId="7C1FAB14" w14:textId="77777777" w:rsidR="008000A7" w:rsidRPr="008123F4" w:rsidRDefault="008000A7" w:rsidP="00471458">
            <w:pPr>
              <w:pStyle w:val="NoSpacing"/>
              <w:jc w:val="center"/>
              <w:rPr>
                <w:rFonts w:ascii="Times New Roman" w:hAnsi="Times New Roman" w:cs="Times New Roman"/>
                <w:sz w:val="20"/>
                <w:szCs w:val="20"/>
              </w:rPr>
            </w:pPr>
            <w:r w:rsidRPr="008123F4">
              <w:rPr>
                <w:rFonts w:ascii="Times New Roman" w:hAnsi="Times New Roman" w:cs="Times New Roman"/>
                <w:sz w:val="20"/>
                <w:szCs w:val="20"/>
              </w:rPr>
              <w:t>3.59</w:t>
            </w:r>
          </w:p>
        </w:tc>
        <w:tc>
          <w:tcPr>
            <w:tcW w:w="0" w:type="auto"/>
            <w:hideMark/>
          </w:tcPr>
          <w:p w14:paraId="65F30FC8" w14:textId="77777777" w:rsidR="008000A7" w:rsidRPr="008123F4" w:rsidRDefault="008000A7" w:rsidP="00471458">
            <w:pPr>
              <w:pStyle w:val="NoSpacing"/>
              <w:jc w:val="center"/>
              <w:rPr>
                <w:rFonts w:ascii="Times New Roman" w:hAnsi="Times New Roman" w:cs="Times New Roman"/>
                <w:sz w:val="20"/>
                <w:szCs w:val="20"/>
              </w:rPr>
            </w:pPr>
            <w:r w:rsidRPr="008123F4">
              <w:rPr>
                <w:rFonts w:ascii="Times New Roman" w:hAnsi="Times New Roman" w:cs="Times New Roman"/>
                <w:sz w:val="20"/>
                <w:szCs w:val="20"/>
              </w:rPr>
              <w:t>-3.21</w:t>
            </w:r>
          </w:p>
        </w:tc>
      </w:tr>
      <w:tr w:rsidR="008000A7" w:rsidRPr="008123F4" w14:paraId="5BFFEC9F" w14:textId="77777777" w:rsidTr="003874AC">
        <w:trPr>
          <w:trHeight w:val="209"/>
          <w:jc w:val="center"/>
        </w:trPr>
        <w:tc>
          <w:tcPr>
            <w:tcW w:w="0" w:type="auto"/>
            <w:hideMark/>
          </w:tcPr>
          <w:p w14:paraId="04D7DE66" w14:textId="77777777" w:rsidR="008000A7" w:rsidRPr="008123F4" w:rsidRDefault="008000A7" w:rsidP="00B77C0B">
            <w:pPr>
              <w:pStyle w:val="NoSpacing"/>
              <w:rPr>
                <w:rFonts w:ascii="Times New Roman" w:hAnsi="Times New Roman" w:cs="Times New Roman"/>
                <w:sz w:val="20"/>
                <w:szCs w:val="20"/>
              </w:rPr>
            </w:pPr>
            <w:r w:rsidRPr="008123F4">
              <w:rPr>
                <w:rFonts w:ascii="Times New Roman" w:hAnsi="Times New Roman" w:cs="Times New Roman"/>
                <w:sz w:val="20"/>
                <w:szCs w:val="20"/>
              </w:rPr>
              <w:t>Tamil Nadu</w:t>
            </w:r>
          </w:p>
        </w:tc>
        <w:tc>
          <w:tcPr>
            <w:tcW w:w="0" w:type="auto"/>
            <w:hideMark/>
          </w:tcPr>
          <w:p w14:paraId="687B9617" w14:textId="77777777" w:rsidR="008000A7" w:rsidRPr="008123F4" w:rsidRDefault="008000A7" w:rsidP="00471458">
            <w:pPr>
              <w:pStyle w:val="NoSpacing"/>
              <w:jc w:val="center"/>
              <w:rPr>
                <w:rFonts w:ascii="Times New Roman" w:hAnsi="Times New Roman" w:cs="Times New Roman"/>
                <w:sz w:val="20"/>
                <w:szCs w:val="20"/>
              </w:rPr>
            </w:pPr>
            <w:r w:rsidRPr="008123F4">
              <w:rPr>
                <w:rFonts w:ascii="Times New Roman" w:hAnsi="Times New Roman" w:cs="Times New Roman"/>
                <w:sz w:val="20"/>
                <w:szCs w:val="20"/>
              </w:rPr>
              <w:t>1.41</w:t>
            </w:r>
          </w:p>
        </w:tc>
        <w:tc>
          <w:tcPr>
            <w:tcW w:w="0" w:type="auto"/>
            <w:hideMark/>
          </w:tcPr>
          <w:p w14:paraId="6839E28B" w14:textId="77777777" w:rsidR="008000A7" w:rsidRPr="008123F4" w:rsidRDefault="008000A7" w:rsidP="00471458">
            <w:pPr>
              <w:pStyle w:val="NoSpacing"/>
              <w:jc w:val="center"/>
              <w:rPr>
                <w:rFonts w:ascii="Times New Roman" w:hAnsi="Times New Roman" w:cs="Times New Roman"/>
                <w:sz w:val="20"/>
                <w:szCs w:val="20"/>
              </w:rPr>
            </w:pPr>
            <w:r w:rsidRPr="008123F4">
              <w:rPr>
                <w:rFonts w:ascii="Times New Roman" w:hAnsi="Times New Roman" w:cs="Times New Roman"/>
                <w:sz w:val="20"/>
                <w:szCs w:val="20"/>
              </w:rPr>
              <w:t>1.03</w:t>
            </w:r>
          </w:p>
        </w:tc>
        <w:tc>
          <w:tcPr>
            <w:tcW w:w="0" w:type="auto"/>
            <w:hideMark/>
          </w:tcPr>
          <w:p w14:paraId="0FB4E7CF" w14:textId="77777777" w:rsidR="008000A7" w:rsidRPr="008123F4" w:rsidRDefault="008000A7" w:rsidP="00471458">
            <w:pPr>
              <w:pStyle w:val="NoSpacing"/>
              <w:jc w:val="center"/>
              <w:rPr>
                <w:rFonts w:ascii="Times New Roman" w:hAnsi="Times New Roman" w:cs="Times New Roman"/>
                <w:sz w:val="20"/>
                <w:szCs w:val="20"/>
              </w:rPr>
            </w:pPr>
            <w:r w:rsidRPr="008123F4">
              <w:rPr>
                <w:rFonts w:ascii="Times New Roman" w:hAnsi="Times New Roman" w:cs="Times New Roman"/>
                <w:sz w:val="20"/>
                <w:szCs w:val="20"/>
              </w:rPr>
              <w:t>4.10</w:t>
            </w:r>
          </w:p>
        </w:tc>
        <w:tc>
          <w:tcPr>
            <w:tcW w:w="0" w:type="auto"/>
            <w:hideMark/>
          </w:tcPr>
          <w:p w14:paraId="2A2DA699" w14:textId="77777777" w:rsidR="008000A7" w:rsidRPr="008123F4" w:rsidRDefault="008000A7" w:rsidP="00471458">
            <w:pPr>
              <w:pStyle w:val="NoSpacing"/>
              <w:jc w:val="center"/>
              <w:rPr>
                <w:rFonts w:ascii="Times New Roman" w:hAnsi="Times New Roman" w:cs="Times New Roman"/>
                <w:sz w:val="20"/>
                <w:szCs w:val="20"/>
              </w:rPr>
            </w:pPr>
            <w:r w:rsidRPr="008123F4">
              <w:rPr>
                <w:rFonts w:ascii="Times New Roman" w:hAnsi="Times New Roman" w:cs="Times New Roman"/>
                <w:sz w:val="20"/>
                <w:szCs w:val="20"/>
              </w:rPr>
              <w:t>-3.72</w:t>
            </w:r>
          </w:p>
        </w:tc>
        <w:tc>
          <w:tcPr>
            <w:tcW w:w="0" w:type="auto"/>
            <w:hideMark/>
          </w:tcPr>
          <w:p w14:paraId="345D107A" w14:textId="77777777" w:rsidR="008000A7" w:rsidRPr="008123F4" w:rsidRDefault="008000A7" w:rsidP="00471458">
            <w:pPr>
              <w:pStyle w:val="NoSpacing"/>
              <w:jc w:val="center"/>
              <w:rPr>
                <w:rFonts w:ascii="Times New Roman" w:hAnsi="Times New Roman" w:cs="Times New Roman"/>
                <w:sz w:val="20"/>
                <w:szCs w:val="20"/>
              </w:rPr>
            </w:pPr>
            <w:r w:rsidRPr="008123F4">
              <w:rPr>
                <w:rFonts w:ascii="Times New Roman" w:hAnsi="Times New Roman" w:cs="Times New Roman"/>
                <w:sz w:val="20"/>
                <w:szCs w:val="20"/>
              </w:rPr>
              <w:t>1.65</w:t>
            </w:r>
          </w:p>
        </w:tc>
        <w:tc>
          <w:tcPr>
            <w:tcW w:w="0" w:type="auto"/>
            <w:hideMark/>
          </w:tcPr>
          <w:p w14:paraId="714DEA70" w14:textId="77777777" w:rsidR="008000A7" w:rsidRPr="008123F4" w:rsidRDefault="008000A7" w:rsidP="00471458">
            <w:pPr>
              <w:pStyle w:val="NoSpacing"/>
              <w:jc w:val="center"/>
              <w:rPr>
                <w:rFonts w:ascii="Times New Roman" w:hAnsi="Times New Roman" w:cs="Times New Roman"/>
                <w:sz w:val="20"/>
                <w:szCs w:val="20"/>
              </w:rPr>
            </w:pPr>
            <w:r w:rsidRPr="008123F4">
              <w:rPr>
                <w:rFonts w:ascii="Times New Roman" w:hAnsi="Times New Roman" w:cs="Times New Roman"/>
                <w:sz w:val="20"/>
                <w:szCs w:val="20"/>
              </w:rPr>
              <w:t>1.15</w:t>
            </w:r>
          </w:p>
        </w:tc>
        <w:tc>
          <w:tcPr>
            <w:tcW w:w="0" w:type="auto"/>
            <w:hideMark/>
          </w:tcPr>
          <w:p w14:paraId="5527CDE3" w14:textId="77777777" w:rsidR="008000A7" w:rsidRPr="008123F4" w:rsidRDefault="008000A7" w:rsidP="00471458">
            <w:pPr>
              <w:pStyle w:val="NoSpacing"/>
              <w:jc w:val="center"/>
              <w:rPr>
                <w:rFonts w:ascii="Times New Roman" w:hAnsi="Times New Roman" w:cs="Times New Roman"/>
                <w:sz w:val="20"/>
                <w:szCs w:val="20"/>
              </w:rPr>
            </w:pPr>
            <w:r w:rsidRPr="008123F4">
              <w:rPr>
                <w:rFonts w:ascii="Times New Roman" w:hAnsi="Times New Roman" w:cs="Times New Roman"/>
                <w:sz w:val="20"/>
                <w:szCs w:val="20"/>
              </w:rPr>
              <w:t>4.52</w:t>
            </w:r>
          </w:p>
        </w:tc>
        <w:tc>
          <w:tcPr>
            <w:tcW w:w="847" w:type="dxa"/>
            <w:hideMark/>
          </w:tcPr>
          <w:p w14:paraId="73125966" w14:textId="77777777" w:rsidR="008000A7" w:rsidRPr="008123F4" w:rsidRDefault="008000A7" w:rsidP="00471458">
            <w:pPr>
              <w:pStyle w:val="NoSpacing"/>
              <w:jc w:val="center"/>
              <w:rPr>
                <w:rFonts w:ascii="Times New Roman" w:hAnsi="Times New Roman" w:cs="Times New Roman"/>
                <w:sz w:val="20"/>
                <w:szCs w:val="20"/>
              </w:rPr>
            </w:pPr>
            <w:r w:rsidRPr="008123F4">
              <w:rPr>
                <w:rFonts w:ascii="Times New Roman" w:hAnsi="Times New Roman" w:cs="Times New Roman"/>
                <w:sz w:val="20"/>
                <w:szCs w:val="20"/>
              </w:rPr>
              <w:t>-4.02</w:t>
            </w:r>
          </w:p>
        </w:tc>
        <w:tc>
          <w:tcPr>
            <w:tcW w:w="853" w:type="dxa"/>
            <w:hideMark/>
          </w:tcPr>
          <w:p w14:paraId="21FC9964" w14:textId="77777777" w:rsidR="008000A7" w:rsidRPr="008123F4" w:rsidRDefault="008000A7" w:rsidP="00471458">
            <w:pPr>
              <w:pStyle w:val="NoSpacing"/>
              <w:jc w:val="center"/>
              <w:rPr>
                <w:rFonts w:ascii="Times New Roman" w:hAnsi="Times New Roman" w:cs="Times New Roman"/>
                <w:sz w:val="20"/>
                <w:szCs w:val="20"/>
              </w:rPr>
            </w:pPr>
            <w:r w:rsidRPr="008123F4">
              <w:rPr>
                <w:rFonts w:ascii="Times New Roman" w:hAnsi="Times New Roman" w:cs="Times New Roman"/>
                <w:sz w:val="20"/>
                <w:szCs w:val="20"/>
              </w:rPr>
              <w:t>1.83</w:t>
            </w:r>
          </w:p>
        </w:tc>
        <w:tc>
          <w:tcPr>
            <w:tcW w:w="0" w:type="auto"/>
            <w:hideMark/>
          </w:tcPr>
          <w:p w14:paraId="72954434" w14:textId="77777777" w:rsidR="008000A7" w:rsidRPr="008123F4" w:rsidRDefault="008000A7" w:rsidP="00471458">
            <w:pPr>
              <w:pStyle w:val="NoSpacing"/>
              <w:jc w:val="center"/>
              <w:rPr>
                <w:rFonts w:ascii="Times New Roman" w:hAnsi="Times New Roman" w:cs="Times New Roman"/>
                <w:sz w:val="20"/>
                <w:szCs w:val="20"/>
              </w:rPr>
            </w:pPr>
            <w:r w:rsidRPr="008123F4">
              <w:rPr>
                <w:rFonts w:ascii="Times New Roman" w:hAnsi="Times New Roman" w:cs="Times New Roman"/>
                <w:sz w:val="20"/>
                <w:szCs w:val="20"/>
              </w:rPr>
              <w:t>1.68</w:t>
            </w:r>
          </w:p>
        </w:tc>
        <w:tc>
          <w:tcPr>
            <w:tcW w:w="0" w:type="auto"/>
            <w:hideMark/>
          </w:tcPr>
          <w:p w14:paraId="6366658A" w14:textId="77777777" w:rsidR="008000A7" w:rsidRPr="008123F4" w:rsidRDefault="008000A7" w:rsidP="00471458">
            <w:pPr>
              <w:pStyle w:val="NoSpacing"/>
              <w:jc w:val="center"/>
              <w:rPr>
                <w:rFonts w:ascii="Times New Roman" w:hAnsi="Times New Roman" w:cs="Times New Roman"/>
                <w:sz w:val="20"/>
                <w:szCs w:val="20"/>
              </w:rPr>
            </w:pPr>
            <w:r w:rsidRPr="008123F4">
              <w:rPr>
                <w:rFonts w:ascii="Times New Roman" w:hAnsi="Times New Roman" w:cs="Times New Roman"/>
                <w:sz w:val="20"/>
                <w:szCs w:val="20"/>
              </w:rPr>
              <w:t>4.84</w:t>
            </w:r>
          </w:p>
        </w:tc>
        <w:tc>
          <w:tcPr>
            <w:tcW w:w="0" w:type="auto"/>
            <w:hideMark/>
          </w:tcPr>
          <w:p w14:paraId="6A5259A3" w14:textId="77777777" w:rsidR="008000A7" w:rsidRPr="008123F4" w:rsidRDefault="008000A7" w:rsidP="00471458">
            <w:pPr>
              <w:pStyle w:val="NoSpacing"/>
              <w:jc w:val="center"/>
              <w:rPr>
                <w:rFonts w:ascii="Times New Roman" w:hAnsi="Times New Roman" w:cs="Times New Roman"/>
                <w:sz w:val="20"/>
                <w:szCs w:val="20"/>
              </w:rPr>
            </w:pPr>
            <w:r w:rsidRPr="008123F4">
              <w:rPr>
                <w:rFonts w:ascii="Times New Roman" w:hAnsi="Times New Roman" w:cs="Times New Roman"/>
                <w:sz w:val="20"/>
                <w:szCs w:val="20"/>
              </w:rPr>
              <w:t>-4.69</w:t>
            </w:r>
          </w:p>
        </w:tc>
        <w:tc>
          <w:tcPr>
            <w:tcW w:w="0" w:type="auto"/>
            <w:hideMark/>
          </w:tcPr>
          <w:p w14:paraId="7445C1BD" w14:textId="77777777" w:rsidR="008000A7" w:rsidRPr="008123F4" w:rsidRDefault="008000A7" w:rsidP="00471458">
            <w:pPr>
              <w:pStyle w:val="NoSpacing"/>
              <w:jc w:val="center"/>
              <w:rPr>
                <w:rFonts w:ascii="Times New Roman" w:hAnsi="Times New Roman" w:cs="Times New Roman"/>
                <w:sz w:val="20"/>
                <w:szCs w:val="20"/>
              </w:rPr>
            </w:pPr>
            <w:r w:rsidRPr="008123F4">
              <w:rPr>
                <w:rFonts w:ascii="Times New Roman" w:hAnsi="Times New Roman" w:cs="Times New Roman"/>
                <w:sz w:val="20"/>
                <w:szCs w:val="20"/>
              </w:rPr>
              <w:t>1.97</w:t>
            </w:r>
          </w:p>
        </w:tc>
        <w:tc>
          <w:tcPr>
            <w:tcW w:w="0" w:type="auto"/>
            <w:hideMark/>
          </w:tcPr>
          <w:p w14:paraId="332675B5" w14:textId="77777777" w:rsidR="008000A7" w:rsidRPr="008123F4" w:rsidRDefault="008000A7" w:rsidP="00471458">
            <w:pPr>
              <w:pStyle w:val="NoSpacing"/>
              <w:jc w:val="center"/>
              <w:rPr>
                <w:rFonts w:ascii="Times New Roman" w:hAnsi="Times New Roman" w:cs="Times New Roman"/>
                <w:sz w:val="20"/>
                <w:szCs w:val="20"/>
              </w:rPr>
            </w:pPr>
            <w:r w:rsidRPr="008123F4">
              <w:rPr>
                <w:rFonts w:ascii="Times New Roman" w:hAnsi="Times New Roman" w:cs="Times New Roman"/>
                <w:sz w:val="20"/>
                <w:szCs w:val="20"/>
              </w:rPr>
              <w:t>1.84</w:t>
            </w:r>
          </w:p>
        </w:tc>
        <w:tc>
          <w:tcPr>
            <w:tcW w:w="0" w:type="auto"/>
            <w:hideMark/>
          </w:tcPr>
          <w:p w14:paraId="657E78F1" w14:textId="77777777" w:rsidR="008000A7" w:rsidRPr="008123F4" w:rsidRDefault="008000A7" w:rsidP="00471458">
            <w:pPr>
              <w:pStyle w:val="NoSpacing"/>
              <w:jc w:val="center"/>
              <w:rPr>
                <w:rFonts w:ascii="Times New Roman" w:hAnsi="Times New Roman" w:cs="Times New Roman"/>
                <w:sz w:val="20"/>
                <w:szCs w:val="20"/>
              </w:rPr>
            </w:pPr>
            <w:r w:rsidRPr="008123F4">
              <w:rPr>
                <w:rFonts w:ascii="Times New Roman" w:hAnsi="Times New Roman" w:cs="Times New Roman"/>
                <w:sz w:val="20"/>
                <w:szCs w:val="20"/>
              </w:rPr>
              <w:t>5.15</w:t>
            </w:r>
          </w:p>
        </w:tc>
        <w:tc>
          <w:tcPr>
            <w:tcW w:w="0" w:type="auto"/>
            <w:hideMark/>
          </w:tcPr>
          <w:p w14:paraId="3FF2ADBC" w14:textId="77777777" w:rsidR="008000A7" w:rsidRPr="008123F4" w:rsidRDefault="008000A7" w:rsidP="00471458">
            <w:pPr>
              <w:pStyle w:val="NoSpacing"/>
              <w:jc w:val="center"/>
              <w:rPr>
                <w:rFonts w:ascii="Times New Roman" w:hAnsi="Times New Roman" w:cs="Times New Roman"/>
                <w:sz w:val="20"/>
                <w:szCs w:val="20"/>
              </w:rPr>
            </w:pPr>
            <w:r w:rsidRPr="008123F4">
              <w:rPr>
                <w:rFonts w:ascii="Times New Roman" w:hAnsi="Times New Roman" w:cs="Times New Roman"/>
                <w:sz w:val="20"/>
                <w:szCs w:val="20"/>
              </w:rPr>
              <w:t>-5.02</w:t>
            </w:r>
          </w:p>
        </w:tc>
      </w:tr>
      <w:tr w:rsidR="008000A7" w:rsidRPr="008123F4" w14:paraId="5EC62DC6" w14:textId="77777777" w:rsidTr="003874AC">
        <w:trPr>
          <w:trHeight w:val="443"/>
          <w:jc w:val="center"/>
        </w:trPr>
        <w:tc>
          <w:tcPr>
            <w:tcW w:w="0" w:type="auto"/>
            <w:hideMark/>
          </w:tcPr>
          <w:p w14:paraId="04257C1D" w14:textId="77777777" w:rsidR="008000A7" w:rsidRPr="008123F4" w:rsidRDefault="008000A7" w:rsidP="00B77C0B">
            <w:pPr>
              <w:pStyle w:val="NoSpacing"/>
              <w:rPr>
                <w:rFonts w:ascii="Times New Roman" w:hAnsi="Times New Roman" w:cs="Times New Roman"/>
                <w:sz w:val="20"/>
                <w:szCs w:val="20"/>
              </w:rPr>
            </w:pPr>
            <w:r w:rsidRPr="008123F4">
              <w:rPr>
                <w:rFonts w:ascii="Times New Roman" w:hAnsi="Times New Roman" w:cs="Times New Roman"/>
                <w:sz w:val="20"/>
                <w:szCs w:val="20"/>
              </w:rPr>
              <w:t>Uttar Pradesh</w:t>
            </w:r>
          </w:p>
        </w:tc>
        <w:tc>
          <w:tcPr>
            <w:tcW w:w="0" w:type="auto"/>
            <w:hideMark/>
          </w:tcPr>
          <w:p w14:paraId="2D170AAD" w14:textId="77777777" w:rsidR="008000A7" w:rsidRPr="008123F4" w:rsidRDefault="008000A7" w:rsidP="00471458">
            <w:pPr>
              <w:pStyle w:val="NoSpacing"/>
              <w:jc w:val="center"/>
              <w:rPr>
                <w:rFonts w:ascii="Times New Roman" w:hAnsi="Times New Roman" w:cs="Times New Roman"/>
                <w:sz w:val="20"/>
                <w:szCs w:val="20"/>
              </w:rPr>
            </w:pPr>
            <w:r w:rsidRPr="008123F4">
              <w:rPr>
                <w:rFonts w:ascii="Times New Roman" w:hAnsi="Times New Roman" w:cs="Times New Roman"/>
                <w:sz w:val="20"/>
                <w:szCs w:val="20"/>
              </w:rPr>
              <w:t>14.41</w:t>
            </w:r>
          </w:p>
        </w:tc>
        <w:tc>
          <w:tcPr>
            <w:tcW w:w="0" w:type="auto"/>
            <w:hideMark/>
          </w:tcPr>
          <w:p w14:paraId="680153C8" w14:textId="77777777" w:rsidR="008000A7" w:rsidRPr="008123F4" w:rsidRDefault="008000A7" w:rsidP="00471458">
            <w:pPr>
              <w:pStyle w:val="NoSpacing"/>
              <w:jc w:val="center"/>
              <w:rPr>
                <w:rFonts w:ascii="Times New Roman" w:hAnsi="Times New Roman" w:cs="Times New Roman"/>
                <w:sz w:val="20"/>
                <w:szCs w:val="20"/>
              </w:rPr>
            </w:pPr>
            <w:r w:rsidRPr="008123F4">
              <w:rPr>
                <w:rFonts w:ascii="Times New Roman" w:hAnsi="Times New Roman" w:cs="Times New Roman"/>
                <w:sz w:val="20"/>
                <w:szCs w:val="20"/>
              </w:rPr>
              <w:t>13.22</w:t>
            </w:r>
          </w:p>
        </w:tc>
        <w:tc>
          <w:tcPr>
            <w:tcW w:w="0" w:type="auto"/>
            <w:hideMark/>
          </w:tcPr>
          <w:p w14:paraId="15F7FDB2" w14:textId="77777777" w:rsidR="008000A7" w:rsidRPr="008123F4" w:rsidRDefault="008000A7" w:rsidP="00471458">
            <w:pPr>
              <w:pStyle w:val="NoSpacing"/>
              <w:jc w:val="center"/>
              <w:rPr>
                <w:rFonts w:ascii="Times New Roman" w:hAnsi="Times New Roman" w:cs="Times New Roman"/>
                <w:sz w:val="20"/>
                <w:szCs w:val="20"/>
              </w:rPr>
            </w:pPr>
            <w:r w:rsidRPr="008123F4">
              <w:rPr>
                <w:rFonts w:ascii="Times New Roman" w:hAnsi="Times New Roman" w:cs="Times New Roman"/>
                <w:sz w:val="20"/>
                <w:szCs w:val="20"/>
              </w:rPr>
              <w:t>7.49</w:t>
            </w:r>
          </w:p>
        </w:tc>
        <w:tc>
          <w:tcPr>
            <w:tcW w:w="0" w:type="auto"/>
            <w:hideMark/>
          </w:tcPr>
          <w:p w14:paraId="65CC4790" w14:textId="77777777" w:rsidR="008000A7" w:rsidRPr="008123F4" w:rsidRDefault="008000A7" w:rsidP="00471458">
            <w:pPr>
              <w:pStyle w:val="NoSpacing"/>
              <w:jc w:val="center"/>
              <w:rPr>
                <w:rFonts w:ascii="Times New Roman" w:hAnsi="Times New Roman" w:cs="Times New Roman"/>
                <w:sz w:val="20"/>
                <w:szCs w:val="20"/>
              </w:rPr>
            </w:pPr>
            <w:r w:rsidRPr="008123F4">
              <w:rPr>
                <w:rFonts w:ascii="Times New Roman" w:hAnsi="Times New Roman" w:cs="Times New Roman"/>
                <w:sz w:val="20"/>
                <w:szCs w:val="20"/>
              </w:rPr>
              <w:t>-6.30</w:t>
            </w:r>
          </w:p>
        </w:tc>
        <w:tc>
          <w:tcPr>
            <w:tcW w:w="0" w:type="auto"/>
            <w:hideMark/>
          </w:tcPr>
          <w:p w14:paraId="68E25E77" w14:textId="77777777" w:rsidR="008000A7" w:rsidRPr="008123F4" w:rsidRDefault="008000A7" w:rsidP="00471458">
            <w:pPr>
              <w:pStyle w:val="NoSpacing"/>
              <w:jc w:val="center"/>
              <w:rPr>
                <w:rFonts w:ascii="Times New Roman" w:hAnsi="Times New Roman" w:cs="Times New Roman"/>
                <w:sz w:val="20"/>
                <w:szCs w:val="20"/>
              </w:rPr>
            </w:pPr>
            <w:r w:rsidRPr="008123F4">
              <w:rPr>
                <w:rFonts w:ascii="Times New Roman" w:hAnsi="Times New Roman" w:cs="Times New Roman"/>
                <w:sz w:val="20"/>
                <w:szCs w:val="20"/>
              </w:rPr>
              <w:t>13.72</w:t>
            </w:r>
          </w:p>
        </w:tc>
        <w:tc>
          <w:tcPr>
            <w:tcW w:w="0" w:type="auto"/>
            <w:hideMark/>
          </w:tcPr>
          <w:p w14:paraId="4F4EDE6F" w14:textId="77777777" w:rsidR="008000A7" w:rsidRPr="008123F4" w:rsidRDefault="008000A7" w:rsidP="00471458">
            <w:pPr>
              <w:pStyle w:val="NoSpacing"/>
              <w:jc w:val="center"/>
              <w:rPr>
                <w:rFonts w:ascii="Times New Roman" w:hAnsi="Times New Roman" w:cs="Times New Roman"/>
                <w:sz w:val="20"/>
                <w:szCs w:val="20"/>
              </w:rPr>
            </w:pPr>
            <w:r w:rsidRPr="008123F4">
              <w:rPr>
                <w:rFonts w:ascii="Times New Roman" w:hAnsi="Times New Roman" w:cs="Times New Roman"/>
                <w:sz w:val="20"/>
                <w:szCs w:val="20"/>
              </w:rPr>
              <w:t>15.15</w:t>
            </w:r>
          </w:p>
        </w:tc>
        <w:tc>
          <w:tcPr>
            <w:tcW w:w="0" w:type="auto"/>
            <w:hideMark/>
          </w:tcPr>
          <w:p w14:paraId="1FB8350C" w14:textId="77777777" w:rsidR="008000A7" w:rsidRPr="008123F4" w:rsidRDefault="008000A7" w:rsidP="00471458">
            <w:pPr>
              <w:pStyle w:val="NoSpacing"/>
              <w:jc w:val="center"/>
              <w:rPr>
                <w:rFonts w:ascii="Times New Roman" w:hAnsi="Times New Roman" w:cs="Times New Roman"/>
                <w:sz w:val="20"/>
                <w:szCs w:val="20"/>
              </w:rPr>
            </w:pPr>
            <w:r w:rsidRPr="008123F4">
              <w:rPr>
                <w:rFonts w:ascii="Times New Roman" w:hAnsi="Times New Roman" w:cs="Times New Roman"/>
                <w:sz w:val="20"/>
                <w:szCs w:val="20"/>
              </w:rPr>
              <w:t>7.00</w:t>
            </w:r>
          </w:p>
        </w:tc>
        <w:tc>
          <w:tcPr>
            <w:tcW w:w="847" w:type="dxa"/>
            <w:hideMark/>
          </w:tcPr>
          <w:p w14:paraId="78D7D656" w14:textId="77777777" w:rsidR="008000A7" w:rsidRPr="008123F4" w:rsidRDefault="008000A7" w:rsidP="00471458">
            <w:pPr>
              <w:pStyle w:val="NoSpacing"/>
              <w:jc w:val="center"/>
              <w:rPr>
                <w:rFonts w:ascii="Times New Roman" w:hAnsi="Times New Roman" w:cs="Times New Roman"/>
                <w:sz w:val="20"/>
                <w:szCs w:val="20"/>
              </w:rPr>
            </w:pPr>
            <w:r w:rsidRPr="008123F4">
              <w:rPr>
                <w:rFonts w:ascii="Times New Roman" w:hAnsi="Times New Roman" w:cs="Times New Roman"/>
                <w:sz w:val="20"/>
                <w:szCs w:val="20"/>
              </w:rPr>
              <w:t>-8.43</w:t>
            </w:r>
          </w:p>
        </w:tc>
        <w:tc>
          <w:tcPr>
            <w:tcW w:w="853" w:type="dxa"/>
            <w:hideMark/>
          </w:tcPr>
          <w:p w14:paraId="0B469E4D" w14:textId="77777777" w:rsidR="008000A7" w:rsidRPr="008123F4" w:rsidRDefault="008000A7" w:rsidP="00471458">
            <w:pPr>
              <w:pStyle w:val="NoSpacing"/>
              <w:jc w:val="center"/>
              <w:rPr>
                <w:rFonts w:ascii="Times New Roman" w:hAnsi="Times New Roman" w:cs="Times New Roman"/>
                <w:sz w:val="20"/>
                <w:szCs w:val="20"/>
              </w:rPr>
            </w:pPr>
            <w:r w:rsidRPr="008123F4">
              <w:rPr>
                <w:rFonts w:ascii="Times New Roman" w:hAnsi="Times New Roman" w:cs="Times New Roman"/>
                <w:sz w:val="20"/>
                <w:szCs w:val="20"/>
              </w:rPr>
              <w:t>16.33</w:t>
            </w:r>
          </w:p>
        </w:tc>
        <w:tc>
          <w:tcPr>
            <w:tcW w:w="0" w:type="auto"/>
            <w:hideMark/>
          </w:tcPr>
          <w:p w14:paraId="2F33A998" w14:textId="77777777" w:rsidR="008000A7" w:rsidRPr="008123F4" w:rsidRDefault="008000A7" w:rsidP="00471458">
            <w:pPr>
              <w:pStyle w:val="NoSpacing"/>
              <w:jc w:val="center"/>
              <w:rPr>
                <w:rFonts w:ascii="Times New Roman" w:hAnsi="Times New Roman" w:cs="Times New Roman"/>
                <w:sz w:val="20"/>
                <w:szCs w:val="20"/>
              </w:rPr>
            </w:pPr>
            <w:r w:rsidRPr="008123F4">
              <w:rPr>
                <w:rFonts w:ascii="Times New Roman" w:hAnsi="Times New Roman" w:cs="Times New Roman"/>
                <w:sz w:val="20"/>
                <w:szCs w:val="20"/>
              </w:rPr>
              <w:t>16.43(d)</w:t>
            </w:r>
          </w:p>
        </w:tc>
        <w:tc>
          <w:tcPr>
            <w:tcW w:w="0" w:type="auto"/>
            <w:hideMark/>
          </w:tcPr>
          <w:p w14:paraId="6BFDF9D8" w14:textId="77777777" w:rsidR="008000A7" w:rsidRPr="008123F4" w:rsidRDefault="008000A7" w:rsidP="00471458">
            <w:pPr>
              <w:pStyle w:val="NoSpacing"/>
              <w:jc w:val="center"/>
              <w:rPr>
                <w:rFonts w:ascii="Times New Roman" w:hAnsi="Times New Roman" w:cs="Times New Roman"/>
                <w:sz w:val="20"/>
                <w:szCs w:val="20"/>
              </w:rPr>
            </w:pPr>
            <w:r w:rsidRPr="008123F4">
              <w:rPr>
                <w:rFonts w:ascii="Times New Roman" w:hAnsi="Times New Roman" w:cs="Times New Roman"/>
                <w:sz w:val="20"/>
                <w:szCs w:val="20"/>
              </w:rPr>
              <w:t>9.35</w:t>
            </w:r>
          </w:p>
        </w:tc>
        <w:tc>
          <w:tcPr>
            <w:tcW w:w="0" w:type="auto"/>
            <w:hideMark/>
          </w:tcPr>
          <w:p w14:paraId="0966B434" w14:textId="77777777" w:rsidR="008000A7" w:rsidRPr="008123F4" w:rsidRDefault="008000A7" w:rsidP="00471458">
            <w:pPr>
              <w:pStyle w:val="NoSpacing"/>
              <w:jc w:val="center"/>
              <w:rPr>
                <w:rFonts w:ascii="Times New Roman" w:hAnsi="Times New Roman" w:cs="Times New Roman"/>
                <w:sz w:val="20"/>
                <w:szCs w:val="20"/>
              </w:rPr>
            </w:pPr>
            <w:r w:rsidRPr="008123F4">
              <w:rPr>
                <w:rFonts w:ascii="Times New Roman" w:hAnsi="Times New Roman" w:cs="Times New Roman"/>
                <w:sz w:val="20"/>
                <w:szCs w:val="20"/>
              </w:rPr>
              <w:t>-9.45</w:t>
            </w:r>
          </w:p>
        </w:tc>
        <w:tc>
          <w:tcPr>
            <w:tcW w:w="0" w:type="auto"/>
            <w:hideMark/>
          </w:tcPr>
          <w:p w14:paraId="441BF58C" w14:textId="77777777" w:rsidR="008000A7" w:rsidRPr="008123F4" w:rsidRDefault="008000A7" w:rsidP="00471458">
            <w:pPr>
              <w:pStyle w:val="NoSpacing"/>
              <w:jc w:val="center"/>
              <w:rPr>
                <w:rFonts w:ascii="Times New Roman" w:hAnsi="Times New Roman" w:cs="Times New Roman"/>
                <w:sz w:val="20"/>
                <w:szCs w:val="20"/>
              </w:rPr>
            </w:pPr>
            <w:r w:rsidRPr="008123F4">
              <w:rPr>
                <w:rFonts w:ascii="Times New Roman" w:hAnsi="Times New Roman" w:cs="Times New Roman"/>
                <w:sz w:val="20"/>
                <w:szCs w:val="20"/>
              </w:rPr>
              <w:t>16.49</w:t>
            </w:r>
          </w:p>
        </w:tc>
        <w:tc>
          <w:tcPr>
            <w:tcW w:w="0" w:type="auto"/>
            <w:hideMark/>
          </w:tcPr>
          <w:p w14:paraId="7FA7E0B6" w14:textId="77777777" w:rsidR="008000A7" w:rsidRPr="008123F4" w:rsidRDefault="008000A7" w:rsidP="00471458">
            <w:pPr>
              <w:pStyle w:val="NoSpacing"/>
              <w:jc w:val="center"/>
              <w:rPr>
                <w:rFonts w:ascii="Times New Roman" w:hAnsi="Times New Roman" w:cs="Times New Roman"/>
                <w:sz w:val="20"/>
                <w:szCs w:val="20"/>
              </w:rPr>
            </w:pPr>
            <w:r w:rsidRPr="008123F4">
              <w:rPr>
                <w:rFonts w:ascii="Times New Roman" w:hAnsi="Times New Roman" w:cs="Times New Roman"/>
                <w:sz w:val="20"/>
                <w:szCs w:val="20"/>
              </w:rPr>
              <w:t>18.34</w:t>
            </w:r>
          </w:p>
        </w:tc>
        <w:tc>
          <w:tcPr>
            <w:tcW w:w="0" w:type="auto"/>
            <w:hideMark/>
          </w:tcPr>
          <w:p w14:paraId="666492B0" w14:textId="77777777" w:rsidR="008000A7" w:rsidRPr="008123F4" w:rsidRDefault="008000A7" w:rsidP="00471458">
            <w:pPr>
              <w:pStyle w:val="NoSpacing"/>
              <w:jc w:val="center"/>
              <w:rPr>
                <w:rFonts w:ascii="Times New Roman" w:hAnsi="Times New Roman" w:cs="Times New Roman"/>
                <w:sz w:val="20"/>
                <w:szCs w:val="20"/>
              </w:rPr>
            </w:pPr>
            <w:r w:rsidRPr="008123F4">
              <w:rPr>
                <w:rFonts w:ascii="Times New Roman" w:hAnsi="Times New Roman" w:cs="Times New Roman"/>
                <w:sz w:val="20"/>
                <w:szCs w:val="20"/>
              </w:rPr>
              <w:t>8.63</w:t>
            </w:r>
          </w:p>
        </w:tc>
        <w:tc>
          <w:tcPr>
            <w:tcW w:w="0" w:type="auto"/>
            <w:hideMark/>
          </w:tcPr>
          <w:p w14:paraId="3B5C4B6B" w14:textId="77777777" w:rsidR="008000A7" w:rsidRPr="008123F4" w:rsidRDefault="008000A7" w:rsidP="00471458">
            <w:pPr>
              <w:pStyle w:val="NoSpacing"/>
              <w:jc w:val="center"/>
              <w:rPr>
                <w:rFonts w:ascii="Times New Roman" w:hAnsi="Times New Roman" w:cs="Times New Roman"/>
                <w:sz w:val="20"/>
                <w:szCs w:val="20"/>
              </w:rPr>
            </w:pPr>
            <w:r w:rsidRPr="008123F4">
              <w:rPr>
                <w:rFonts w:ascii="Times New Roman" w:hAnsi="Times New Roman" w:cs="Times New Roman"/>
                <w:sz w:val="20"/>
                <w:szCs w:val="20"/>
              </w:rPr>
              <w:t>-10.48</w:t>
            </w:r>
          </w:p>
        </w:tc>
      </w:tr>
      <w:tr w:rsidR="008000A7" w:rsidRPr="008123F4" w14:paraId="25CEC400" w14:textId="77777777" w:rsidTr="003874AC">
        <w:trPr>
          <w:trHeight w:val="221"/>
          <w:jc w:val="center"/>
        </w:trPr>
        <w:tc>
          <w:tcPr>
            <w:tcW w:w="0" w:type="auto"/>
            <w:hideMark/>
          </w:tcPr>
          <w:p w14:paraId="73D6DFF7" w14:textId="77777777" w:rsidR="008000A7" w:rsidRPr="008123F4" w:rsidRDefault="008000A7" w:rsidP="00B77C0B">
            <w:pPr>
              <w:pStyle w:val="NoSpacing"/>
              <w:rPr>
                <w:rFonts w:ascii="Times New Roman" w:hAnsi="Times New Roman" w:cs="Times New Roman"/>
                <w:sz w:val="20"/>
                <w:szCs w:val="20"/>
              </w:rPr>
            </w:pPr>
            <w:r w:rsidRPr="008123F4">
              <w:rPr>
                <w:rFonts w:ascii="Times New Roman" w:hAnsi="Times New Roman" w:cs="Times New Roman"/>
                <w:sz w:val="20"/>
                <w:szCs w:val="20"/>
              </w:rPr>
              <w:t>West Bengal</w:t>
            </w:r>
          </w:p>
        </w:tc>
        <w:tc>
          <w:tcPr>
            <w:tcW w:w="0" w:type="auto"/>
            <w:hideMark/>
          </w:tcPr>
          <w:p w14:paraId="155AFB2C" w14:textId="77777777" w:rsidR="008000A7" w:rsidRPr="008123F4" w:rsidRDefault="008000A7" w:rsidP="00471458">
            <w:pPr>
              <w:pStyle w:val="NoSpacing"/>
              <w:jc w:val="center"/>
              <w:rPr>
                <w:rFonts w:ascii="Times New Roman" w:hAnsi="Times New Roman" w:cs="Times New Roman"/>
                <w:sz w:val="20"/>
                <w:szCs w:val="20"/>
              </w:rPr>
            </w:pPr>
            <w:r w:rsidRPr="008123F4">
              <w:rPr>
                <w:rFonts w:ascii="Times New Roman" w:hAnsi="Times New Roman" w:cs="Times New Roman"/>
                <w:sz w:val="20"/>
                <w:szCs w:val="20"/>
              </w:rPr>
              <w:t>0.32</w:t>
            </w:r>
          </w:p>
        </w:tc>
        <w:tc>
          <w:tcPr>
            <w:tcW w:w="0" w:type="auto"/>
            <w:hideMark/>
          </w:tcPr>
          <w:p w14:paraId="5E6284F3" w14:textId="77777777" w:rsidR="008000A7" w:rsidRPr="008123F4" w:rsidRDefault="008000A7" w:rsidP="00471458">
            <w:pPr>
              <w:pStyle w:val="NoSpacing"/>
              <w:jc w:val="center"/>
              <w:rPr>
                <w:rFonts w:ascii="Times New Roman" w:hAnsi="Times New Roman" w:cs="Times New Roman"/>
                <w:sz w:val="20"/>
                <w:szCs w:val="20"/>
              </w:rPr>
            </w:pPr>
            <w:r w:rsidRPr="008123F4">
              <w:rPr>
                <w:rFonts w:ascii="Times New Roman" w:hAnsi="Times New Roman" w:cs="Times New Roman"/>
                <w:sz w:val="20"/>
                <w:szCs w:val="20"/>
              </w:rPr>
              <w:t>0.34</w:t>
            </w:r>
          </w:p>
        </w:tc>
        <w:tc>
          <w:tcPr>
            <w:tcW w:w="0" w:type="auto"/>
            <w:hideMark/>
          </w:tcPr>
          <w:p w14:paraId="04934070" w14:textId="77777777" w:rsidR="008000A7" w:rsidRPr="008123F4" w:rsidRDefault="008000A7" w:rsidP="00471458">
            <w:pPr>
              <w:pStyle w:val="NoSpacing"/>
              <w:jc w:val="center"/>
              <w:rPr>
                <w:rFonts w:ascii="Times New Roman" w:hAnsi="Times New Roman" w:cs="Times New Roman"/>
                <w:sz w:val="20"/>
                <w:szCs w:val="20"/>
              </w:rPr>
            </w:pPr>
            <w:r w:rsidRPr="008123F4">
              <w:rPr>
                <w:rFonts w:ascii="Times New Roman" w:hAnsi="Times New Roman" w:cs="Times New Roman"/>
                <w:sz w:val="20"/>
                <w:szCs w:val="20"/>
              </w:rPr>
              <w:t>0.32</w:t>
            </w:r>
          </w:p>
        </w:tc>
        <w:tc>
          <w:tcPr>
            <w:tcW w:w="0" w:type="auto"/>
            <w:hideMark/>
          </w:tcPr>
          <w:p w14:paraId="201BBA38" w14:textId="77777777" w:rsidR="008000A7" w:rsidRPr="008123F4" w:rsidRDefault="008000A7" w:rsidP="00471458">
            <w:pPr>
              <w:pStyle w:val="NoSpacing"/>
              <w:jc w:val="center"/>
              <w:rPr>
                <w:rFonts w:ascii="Times New Roman" w:hAnsi="Times New Roman" w:cs="Times New Roman"/>
                <w:sz w:val="20"/>
                <w:szCs w:val="20"/>
              </w:rPr>
            </w:pPr>
            <w:r w:rsidRPr="008123F4">
              <w:rPr>
                <w:rFonts w:ascii="Times New Roman" w:hAnsi="Times New Roman" w:cs="Times New Roman"/>
                <w:sz w:val="20"/>
                <w:szCs w:val="20"/>
              </w:rPr>
              <w:t>-0.34</w:t>
            </w:r>
          </w:p>
        </w:tc>
        <w:tc>
          <w:tcPr>
            <w:tcW w:w="0" w:type="auto"/>
            <w:hideMark/>
          </w:tcPr>
          <w:p w14:paraId="62C3AC4A" w14:textId="77777777" w:rsidR="008000A7" w:rsidRPr="008123F4" w:rsidRDefault="008000A7" w:rsidP="00471458">
            <w:pPr>
              <w:pStyle w:val="NoSpacing"/>
              <w:jc w:val="center"/>
              <w:rPr>
                <w:rFonts w:ascii="Times New Roman" w:hAnsi="Times New Roman" w:cs="Times New Roman"/>
                <w:sz w:val="20"/>
                <w:szCs w:val="20"/>
              </w:rPr>
            </w:pPr>
            <w:r w:rsidRPr="008123F4">
              <w:rPr>
                <w:rFonts w:ascii="Times New Roman" w:hAnsi="Times New Roman" w:cs="Times New Roman"/>
                <w:sz w:val="20"/>
                <w:szCs w:val="20"/>
              </w:rPr>
              <w:t>0.35</w:t>
            </w:r>
          </w:p>
        </w:tc>
        <w:tc>
          <w:tcPr>
            <w:tcW w:w="0" w:type="auto"/>
            <w:hideMark/>
          </w:tcPr>
          <w:p w14:paraId="07B58AB2" w14:textId="77777777" w:rsidR="008000A7" w:rsidRPr="008123F4" w:rsidRDefault="008000A7" w:rsidP="00471458">
            <w:pPr>
              <w:pStyle w:val="NoSpacing"/>
              <w:jc w:val="center"/>
              <w:rPr>
                <w:rFonts w:ascii="Times New Roman" w:hAnsi="Times New Roman" w:cs="Times New Roman"/>
                <w:sz w:val="20"/>
                <w:szCs w:val="20"/>
              </w:rPr>
            </w:pPr>
            <w:r w:rsidRPr="008123F4">
              <w:rPr>
                <w:rFonts w:ascii="Times New Roman" w:hAnsi="Times New Roman" w:cs="Times New Roman"/>
                <w:sz w:val="20"/>
                <w:szCs w:val="20"/>
              </w:rPr>
              <w:t>0.36</w:t>
            </w:r>
          </w:p>
        </w:tc>
        <w:tc>
          <w:tcPr>
            <w:tcW w:w="0" w:type="auto"/>
            <w:hideMark/>
          </w:tcPr>
          <w:p w14:paraId="5A969326" w14:textId="77777777" w:rsidR="008000A7" w:rsidRPr="008123F4" w:rsidRDefault="008000A7" w:rsidP="00471458">
            <w:pPr>
              <w:pStyle w:val="NoSpacing"/>
              <w:jc w:val="center"/>
              <w:rPr>
                <w:rFonts w:ascii="Times New Roman" w:hAnsi="Times New Roman" w:cs="Times New Roman"/>
                <w:sz w:val="20"/>
                <w:szCs w:val="20"/>
              </w:rPr>
            </w:pPr>
            <w:r w:rsidRPr="008123F4">
              <w:rPr>
                <w:rFonts w:ascii="Times New Roman" w:hAnsi="Times New Roman" w:cs="Times New Roman"/>
                <w:sz w:val="20"/>
                <w:szCs w:val="20"/>
              </w:rPr>
              <w:t>0.40</w:t>
            </w:r>
          </w:p>
        </w:tc>
        <w:tc>
          <w:tcPr>
            <w:tcW w:w="847" w:type="dxa"/>
            <w:hideMark/>
          </w:tcPr>
          <w:p w14:paraId="5D97F364" w14:textId="77777777" w:rsidR="008000A7" w:rsidRPr="008123F4" w:rsidRDefault="008000A7" w:rsidP="00471458">
            <w:pPr>
              <w:pStyle w:val="NoSpacing"/>
              <w:jc w:val="center"/>
              <w:rPr>
                <w:rFonts w:ascii="Times New Roman" w:hAnsi="Times New Roman" w:cs="Times New Roman"/>
                <w:sz w:val="20"/>
                <w:szCs w:val="20"/>
              </w:rPr>
            </w:pPr>
            <w:r w:rsidRPr="008123F4">
              <w:rPr>
                <w:rFonts w:ascii="Times New Roman" w:hAnsi="Times New Roman" w:cs="Times New Roman"/>
                <w:sz w:val="20"/>
                <w:szCs w:val="20"/>
              </w:rPr>
              <w:t>-0.41</w:t>
            </w:r>
          </w:p>
        </w:tc>
        <w:tc>
          <w:tcPr>
            <w:tcW w:w="853" w:type="dxa"/>
            <w:hideMark/>
          </w:tcPr>
          <w:p w14:paraId="29613452" w14:textId="77777777" w:rsidR="008000A7" w:rsidRPr="008123F4" w:rsidRDefault="008000A7" w:rsidP="00471458">
            <w:pPr>
              <w:pStyle w:val="NoSpacing"/>
              <w:jc w:val="center"/>
              <w:rPr>
                <w:rFonts w:ascii="Times New Roman" w:hAnsi="Times New Roman" w:cs="Times New Roman"/>
                <w:sz w:val="20"/>
                <w:szCs w:val="20"/>
              </w:rPr>
            </w:pPr>
            <w:r w:rsidRPr="008123F4">
              <w:rPr>
                <w:rFonts w:ascii="Times New Roman" w:hAnsi="Times New Roman" w:cs="Times New Roman"/>
                <w:sz w:val="20"/>
                <w:szCs w:val="20"/>
              </w:rPr>
              <w:t>0.17</w:t>
            </w:r>
          </w:p>
        </w:tc>
        <w:tc>
          <w:tcPr>
            <w:tcW w:w="0" w:type="auto"/>
            <w:hideMark/>
          </w:tcPr>
          <w:p w14:paraId="11210456" w14:textId="77777777" w:rsidR="008000A7" w:rsidRPr="008123F4" w:rsidRDefault="008000A7" w:rsidP="00471458">
            <w:pPr>
              <w:pStyle w:val="NoSpacing"/>
              <w:jc w:val="center"/>
              <w:rPr>
                <w:rFonts w:ascii="Times New Roman" w:hAnsi="Times New Roman" w:cs="Times New Roman"/>
                <w:sz w:val="20"/>
                <w:szCs w:val="20"/>
              </w:rPr>
            </w:pPr>
            <w:r w:rsidRPr="008123F4">
              <w:rPr>
                <w:rFonts w:ascii="Times New Roman" w:hAnsi="Times New Roman" w:cs="Times New Roman"/>
                <w:sz w:val="20"/>
                <w:szCs w:val="20"/>
              </w:rPr>
              <w:t>0.35</w:t>
            </w:r>
          </w:p>
        </w:tc>
        <w:tc>
          <w:tcPr>
            <w:tcW w:w="0" w:type="auto"/>
            <w:hideMark/>
          </w:tcPr>
          <w:p w14:paraId="3AB002DA" w14:textId="77777777" w:rsidR="008000A7" w:rsidRPr="008123F4" w:rsidRDefault="008000A7" w:rsidP="00471458">
            <w:pPr>
              <w:pStyle w:val="NoSpacing"/>
              <w:jc w:val="center"/>
              <w:rPr>
                <w:rFonts w:ascii="Times New Roman" w:hAnsi="Times New Roman" w:cs="Times New Roman"/>
                <w:sz w:val="20"/>
                <w:szCs w:val="20"/>
              </w:rPr>
            </w:pPr>
            <w:r w:rsidRPr="008123F4">
              <w:rPr>
                <w:rFonts w:ascii="Times New Roman" w:hAnsi="Times New Roman" w:cs="Times New Roman"/>
                <w:sz w:val="20"/>
                <w:szCs w:val="20"/>
              </w:rPr>
              <w:t>0.43</w:t>
            </w:r>
          </w:p>
        </w:tc>
        <w:tc>
          <w:tcPr>
            <w:tcW w:w="0" w:type="auto"/>
            <w:hideMark/>
          </w:tcPr>
          <w:p w14:paraId="0D6A3419" w14:textId="77777777" w:rsidR="008000A7" w:rsidRPr="008123F4" w:rsidRDefault="008000A7" w:rsidP="00471458">
            <w:pPr>
              <w:pStyle w:val="NoSpacing"/>
              <w:jc w:val="center"/>
              <w:rPr>
                <w:rFonts w:ascii="Times New Roman" w:hAnsi="Times New Roman" w:cs="Times New Roman"/>
                <w:sz w:val="20"/>
                <w:szCs w:val="20"/>
              </w:rPr>
            </w:pPr>
            <w:r w:rsidRPr="008123F4">
              <w:rPr>
                <w:rFonts w:ascii="Times New Roman" w:hAnsi="Times New Roman" w:cs="Times New Roman"/>
                <w:sz w:val="20"/>
                <w:szCs w:val="20"/>
              </w:rPr>
              <w:t>-0.61</w:t>
            </w:r>
          </w:p>
        </w:tc>
        <w:tc>
          <w:tcPr>
            <w:tcW w:w="0" w:type="auto"/>
            <w:hideMark/>
          </w:tcPr>
          <w:p w14:paraId="3E5D60D3" w14:textId="77777777" w:rsidR="008000A7" w:rsidRPr="008123F4" w:rsidRDefault="008000A7" w:rsidP="00471458">
            <w:pPr>
              <w:pStyle w:val="NoSpacing"/>
              <w:jc w:val="center"/>
              <w:rPr>
                <w:rFonts w:ascii="Times New Roman" w:hAnsi="Times New Roman" w:cs="Times New Roman"/>
                <w:sz w:val="20"/>
                <w:szCs w:val="20"/>
              </w:rPr>
            </w:pPr>
            <w:r w:rsidRPr="008123F4">
              <w:rPr>
                <w:rFonts w:ascii="Times New Roman" w:hAnsi="Times New Roman" w:cs="Times New Roman"/>
                <w:sz w:val="20"/>
                <w:szCs w:val="20"/>
              </w:rPr>
              <w:t>0.15</w:t>
            </w:r>
          </w:p>
        </w:tc>
        <w:tc>
          <w:tcPr>
            <w:tcW w:w="0" w:type="auto"/>
            <w:hideMark/>
          </w:tcPr>
          <w:p w14:paraId="1F584BE8" w14:textId="77777777" w:rsidR="008000A7" w:rsidRPr="008123F4" w:rsidRDefault="008000A7" w:rsidP="00471458">
            <w:pPr>
              <w:pStyle w:val="NoSpacing"/>
              <w:jc w:val="center"/>
              <w:rPr>
                <w:rFonts w:ascii="Times New Roman" w:hAnsi="Times New Roman" w:cs="Times New Roman"/>
                <w:sz w:val="20"/>
                <w:szCs w:val="20"/>
              </w:rPr>
            </w:pPr>
            <w:r w:rsidRPr="008123F4">
              <w:rPr>
                <w:rFonts w:ascii="Times New Roman" w:hAnsi="Times New Roman" w:cs="Times New Roman"/>
                <w:sz w:val="20"/>
                <w:szCs w:val="20"/>
              </w:rPr>
              <w:t>0.31</w:t>
            </w:r>
          </w:p>
        </w:tc>
        <w:tc>
          <w:tcPr>
            <w:tcW w:w="0" w:type="auto"/>
            <w:hideMark/>
          </w:tcPr>
          <w:p w14:paraId="1964C12D" w14:textId="77777777" w:rsidR="008000A7" w:rsidRPr="008123F4" w:rsidRDefault="008000A7" w:rsidP="00471458">
            <w:pPr>
              <w:pStyle w:val="NoSpacing"/>
              <w:jc w:val="center"/>
              <w:rPr>
                <w:rFonts w:ascii="Times New Roman" w:hAnsi="Times New Roman" w:cs="Times New Roman"/>
                <w:sz w:val="20"/>
                <w:szCs w:val="20"/>
              </w:rPr>
            </w:pPr>
            <w:r w:rsidRPr="008123F4">
              <w:rPr>
                <w:rFonts w:ascii="Times New Roman" w:hAnsi="Times New Roman" w:cs="Times New Roman"/>
                <w:sz w:val="20"/>
                <w:szCs w:val="20"/>
              </w:rPr>
              <w:t>0.46</w:t>
            </w:r>
          </w:p>
        </w:tc>
        <w:tc>
          <w:tcPr>
            <w:tcW w:w="0" w:type="auto"/>
            <w:hideMark/>
          </w:tcPr>
          <w:p w14:paraId="4953902C" w14:textId="77777777" w:rsidR="008000A7" w:rsidRPr="008123F4" w:rsidRDefault="008000A7" w:rsidP="00471458">
            <w:pPr>
              <w:pStyle w:val="NoSpacing"/>
              <w:jc w:val="center"/>
              <w:rPr>
                <w:rFonts w:ascii="Times New Roman" w:hAnsi="Times New Roman" w:cs="Times New Roman"/>
                <w:sz w:val="20"/>
                <w:szCs w:val="20"/>
              </w:rPr>
            </w:pPr>
            <w:r w:rsidRPr="008123F4">
              <w:rPr>
                <w:rFonts w:ascii="Times New Roman" w:hAnsi="Times New Roman" w:cs="Times New Roman"/>
                <w:sz w:val="20"/>
                <w:szCs w:val="20"/>
              </w:rPr>
              <w:t>-0.62</w:t>
            </w:r>
          </w:p>
        </w:tc>
      </w:tr>
      <w:tr w:rsidR="008000A7" w:rsidRPr="008123F4" w14:paraId="111152E9" w14:textId="77777777" w:rsidTr="003874AC">
        <w:trPr>
          <w:trHeight w:val="443"/>
          <w:jc w:val="center"/>
        </w:trPr>
        <w:tc>
          <w:tcPr>
            <w:tcW w:w="0" w:type="auto"/>
            <w:hideMark/>
          </w:tcPr>
          <w:p w14:paraId="0841E994" w14:textId="77777777" w:rsidR="008000A7" w:rsidRPr="008123F4" w:rsidRDefault="008000A7" w:rsidP="00B77C0B">
            <w:pPr>
              <w:pStyle w:val="NoSpacing"/>
              <w:rPr>
                <w:rFonts w:ascii="Times New Roman" w:hAnsi="Times New Roman" w:cs="Times New Roman"/>
                <w:sz w:val="20"/>
                <w:szCs w:val="20"/>
              </w:rPr>
            </w:pPr>
            <w:r w:rsidRPr="008123F4">
              <w:rPr>
                <w:rFonts w:ascii="Times New Roman" w:hAnsi="Times New Roman" w:cs="Times New Roman"/>
                <w:sz w:val="20"/>
                <w:szCs w:val="20"/>
              </w:rPr>
              <w:t>TOTAL</w:t>
            </w:r>
          </w:p>
        </w:tc>
        <w:tc>
          <w:tcPr>
            <w:tcW w:w="0" w:type="auto"/>
            <w:hideMark/>
          </w:tcPr>
          <w:p w14:paraId="63AA815F" w14:textId="77777777" w:rsidR="008000A7" w:rsidRPr="008123F4" w:rsidRDefault="008000A7" w:rsidP="00471458">
            <w:pPr>
              <w:pStyle w:val="NoSpacing"/>
              <w:jc w:val="center"/>
              <w:rPr>
                <w:rFonts w:ascii="Times New Roman" w:hAnsi="Times New Roman" w:cs="Times New Roman"/>
                <w:sz w:val="20"/>
                <w:szCs w:val="20"/>
              </w:rPr>
            </w:pPr>
            <w:r w:rsidRPr="008123F4">
              <w:rPr>
                <w:rFonts w:ascii="Times New Roman" w:hAnsi="Times New Roman" w:cs="Times New Roman"/>
                <w:sz w:val="20"/>
                <w:szCs w:val="20"/>
              </w:rPr>
              <w:t>22.21</w:t>
            </w:r>
          </w:p>
        </w:tc>
        <w:tc>
          <w:tcPr>
            <w:tcW w:w="0" w:type="auto"/>
            <w:hideMark/>
          </w:tcPr>
          <w:p w14:paraId="1F31F29B" w14:textId="77777777" w:rsidR="008000A7" w:rsidRPr="008123F4" w:rsidRDefault="008000A7" w:rsidP="00471458">
            <w:pPr>
              <w:pStyle w:val="NoSpacing"/>
              <w:jc w:val="center"/>
              <w:rPr>
                <w:rFonts w:ascii="Times New Roman" w:hAnsi="Times New Roman" w:cs="Times New Roman"/>
                <w:sz w:val="20"/>
                <w:szCs w:val="20"/>
              </w:rPr>
            </w:pPr>
            <w:r w:rsidRPr="008123F4">
              <w:rPr>
                <w:rFonts w:ascii="Times New Roman" w:hAnsi="Times New Roman" w:cs="Times New Roman"/>
                <w:sz w:val="20"/>
                <w:szCs w:val="20"/>
              </w:rPr>
              <w:t>22.03</w:t>
            </w:r>
          </w:p>
        </w:tc>
        <w:tc>
          <w:tcPr>
            <w:tcW w:w="0" w:type="auto"/>
            <w:hideMark/>
          </w:tcPr>
          <w:p w14:paraId="5A34D6A9" w14:textId="77777777" w:rsidR="008000A7" w:rsidRPr="008123F4" w:rsidRDefault="008000A7" w:rsidP="00471458">
            <w:pPr>
              <w:pStyle w:val="NoSpacing"/>
              <w:jc w:val="center"/>
              <w:rPr>
                <w:rFonts w:ascii="Times New Roman" w:hAnsi="Times New Roman" w:cs="Times New Roman"/>
                <w:sz w:val="20"/>
                <w:szCs w:val="20"/>
              </w:rPr>
            </w:pPr>
            <w:r w:rsidRPr="008123F4">
              <w:rPr>
                <w:rFonts w:ascii="Times New Roman" w:hAnsi="Times New Roman" w:cs="Times New Roman"/>
                <w:sz w:val="20"/>
                <w:szCs w:val="20"/>
              </w:rPr>
              <w:t>34.21</w:t>
            </w:r>
          </w:p>
        </w:tc>
        <w:tc>
          <w:tcPr>
            <w:tcW w:w="0" w:type="auto"/>
            <w:hideMark/>
          </w:tcPr>
          <w:p w14:paraId="381BEDA2" w14:textId="77777777" w:rsidR="008000A7" w:rsidRPr="008123F4" w:rsidRDefault="008000A7" w:rsidP="00471458">
            <w:pPr>
              <w:pStyle w:val="NoSpacing"/>
              <w:jc w:val="center"/>
              <w:rPr>
                <w:rFonts w:ascii="Times New Roman" w:hAnsi="Times New Roman" w:cs="Times New Roman"/>
                <w:sz w:val="20"/>
                <w:szCs w:val="20"/>
              </w:rPr>
            </w:pPr>
            <w:r w:rsidRPr="008123F4">
              <w:rPr>
                <w:rFonts w:ascii="Times New Roman" w:hAnsi="Times New Roman" w:cs="Times New Roman"/>
                <w:sz w:val="20"/>
                <w:szCs w:val="20"/>
              </w:rPr>
              <w:t>-34.03</w:t>
            </w:r>
          </w:p>
        </w:tc>
        <w:tc>
          <w:tcPr>
            <w:tcW w:w="0" w:type="auto"/>
            <w:hideMark/>
          </w:tcPr>
          <w:p w14:paraId="22782A55" w14:textId="77777777" w:rsidR="008000A7" w:rsidRPr="008123F4" w:rsidRDefault="008000A7" w:rsidP="00471458">
            <w:pPr>
              <w:pStyle w:val="NoSpacing"/>
              <w:jc w:val="center"/>
              <w:rPr>
                <w:rFonts w:ascii="Times New Roman" w:hAnsi="Times New Roman" w:cs="Times New Roman"/>
                <w:sz w:val="20"/>
                <w:szCs w:val="20"/>
              </w:rPr>
            </w:pPr>
            <w:r w:rsidRPr="008123F4">
              <w:rPr>
                <w:rFonts w:ascii="Times New Roman" w:hAnsi="Times New Roman" w:cs="Times New Roman"/>
                <w:sz w:val="20"/>
                <w:szCs w:val="20"/>
              </w:rPr>
              <w:t>21.52</w:t>
            </w:r>
          </w:p>
        </w:tc>
        <w:tc>
          <w:tcPr>
            <w:tcW w:w="0" w:type="auto"/>
            <w:hideMark/>
          </w:tcPr>
          <w:p w14:paraId="76FCC77B" w14:textId="77777777" w:rsidR="008000A7" w:rsidRPr="008123F4" w:rsidRDefault="008000A7" w:rsidP="00471458">
            <w:pPr>
              <w:pStyle w:val="NoSpacing"/>
              <w:jc w:val="center"/>
              <w:rPr>
                <w:rFonts w:ascii="Times New Roman" w:hAnsi="Times New Roman" w:cs="Times New Roman"/>
                <w:sz w:val="20"/>
                <w:szCs w:val="20"/>
              </w:rPr>
            </w:pPr>
            <w:r w:rsidRPr="008123F4">
              <w:rPr>
                <w:rFonts w:ascii="Times New Roman" w:hAnsi="Times New Roman" w:cs="Times New Roman"/>
                <w:sz w:val="20"/>
                <w:szCs w:val="20"/>
              </w:rPr>
              <w:t>25.26</w:t>
            </w:r>
          </w:p>
        </w:tc>
        <w:tc>
          <w:tcPr>
            <w:tcW w:w="0" w:type="auto"/>
            <w:hideMark/>
          </w:tcPr>
          <w:p w14:paraId="5A7DBA42" w14:textId="77777777" w:rsidR="008000A7" w:rsidRPr="008123F4" w:rsidRDefault="008000A7" w:rsidP="00471458">
            <w:pPr>
              <w:pStyle w:val="NoSpacing"/>
              <w:jc w:val="center"/>
              <w:rPr>
                <w:rFonts w:ascii="Times New Roman" w:hAnsi="Times New Roman" w:cs="Times New Roman"/>
                <w:sz w:val="20"/>
                <w:szCs w:val="20"/>
              </w:rPr>
            </w:pPr>
            <w:r w:rsidRPr="008123F4">
              <w:rPr>
                <w:rFonts w:ascii="Times New Roman" w:hAnsi="Times New Roman" w:cs="Times New Roman"/>
                <w:sz w:val="20"/>
                <w:szCs w:val="20"/>
              </w:rPr>
              <w:t>38.76</w:t>
            </w:r>
          </w:p>
        </w:tc>
        <w:tc>
          <w:tcPr>
            <w:tcW w:w="847" w:type="dxa"/>
            <w:hideMark/>
          </w:tcPr>
          <w:p w14:paraId="245F6A7E" w14:textId="77777777" w:rsidR="008000A7" w:rsidRPr="008123F4" w:rsidRDefault="008000A7" w:rsidP="00471458">
            <w:pPr>
              <w:pStyle w:val="NoSpacing"/>
              <w:jc w:val="center"/>
              <w:rPr>
                <w:rFonts w:ascii="Times New Roman" w:hAnsi="Times New Roman" w:cs="Times New Roman"/>
                <w:sz w:val="20"/>
                <w:szCs w:val="20"/>
              </w:rPr>
            </w:pPr>
            <w:r w:rsidRPr="008123F4">
              <w:rPr>
                <w:rFonts w:ascii="Times New Roman" w:hAnsi="Times New Roman" w:cs="Times New Roman"/>
                <w:sz w:val="20"/>
                <w:szCs w:val="20"/>
              </w:rPr>
              <w:t>-42.50</w:t>
            </w:r>
          </w:p>
        </w:tc>
        <w:tc>
          <w:tcPr>
            <w:tcW w:w="853" w:type="dxa"/>
            <w:hideMark/>
          </w:tcPr>
          <w:p w14:paraId="7B85288E" w14:textId="77777777" w:rsidR="008000A7" w:rsidRPr="008123F4" w:rsidRDefault="008000A7" w:rsidP="00471458">
            <w:pPr>
              <w:pStyle w:val="NoSpacing"/>
              <w:jc w:val="center"/>
              <w:rPr>
                <w:rFonts w:ascii="Times New Roman" w:hAnsi="Times New Roman" w:cs="Times New Roman"/>
                <w:sz w:val="20"/>
                <w:szCs w:val="20"/>
              </w:rPr>
            </w:pPr>
            <w:r w:rsidRPr="008123F4">
              <w:rPr>
                <w:rFonts w:ascii="Times New Roman" w:hAnsi="Times New Roman" w:cs="Times New Roman"/>
                <w:sz w:val="20"/>
                <w:szCs w:val="20"/>
              </w:rPr>
              <w:t>29.96(a)</w:t>
            </w:r>
          </w:p>
        </w:tc>
        <w:tc>
          <w:tcPr>
            <w:tcW w:w="0" w:type="auto"/>
            <w:hideMark/>
          </w:tcPr>
          <w:p w14:paraId="3E71C60C" w14:textId="77777777" w:rsidR="008000A7" w:rsidRPr="008123F4" w:rsidRDefault="008000A7" w:rsidP="00471458">
            <w:pPr>
              <w:pStyle w:val="NoSpacing"/>
              <w:jc w:val="center"/>
              <w:rPr>
                <w:rFonts w:ascii="Times New Roman" w:hAnsi="Times New Roman" w:cs="Times New Roman"/>
                <w:sz w:val="20"/>
                <w:szCs w:val="20"/>
              </w:rPr>
            </w:pPr>
            <w:r w:rsidRPr="008123F4">
              <w:rPr>
                <w:rFonts w:ascii="Times New Roman" w:hAnsi="Times New Roman" w:cs="Times New Roman"/>
                <w:sz w:val="20"/>
                <w:szCs w:val="20"/>
              </w:rPr>
              <w:t>30.66(a)</w:t>
            </w:r>
          </w:p>
        </w:tc>
        <w:tc>
          <w:tcPr>
            <w:tcW w:w="0" w:type="auto"/>
            <w:hideMark/>
          </w:tcPr>
          <w:p w14:paraId="2DC79AF2" w14:textId="77777777" w:rsidR="008000A7" w:rsidRPr="008123F4" w:rsidRDefault="008000A7" w:rsidP="00471458">
            <w:pPr>
              <w:pStyle w:val="NoSpacing"/>
              <w:jc w:val="center"/>
              <w:rPr>
                <w:rFonts w:ascii="Times New Roman" w:hAnsi="Times New Roman" w:cs="Times New Roman"/>
                <w:sz w:val="20"/>
                <w:szCs w:val="20"/>
              </w:rPr>
            </w:pPr>
            <w:r w:rsidRPr="008123F4">
              <w:rPr>
                <w:rFonts w:ascii="Times New Roman" w:hAnsi="Times New Roman" w:cs="Times New Roman"/>
                <w:sz w:val="20"/>
                <w:szCs w:val="20"/>
              </w:rPr>
              <w:t>51.05(a)</w:t>
            </w:r>
          </w:p>
        </w:tc>
        <w:tc>
          <w:tcPr>
            <w:tcW w:w="0" w:type="auto"/>
            <w:hideMark/>
          </w:tcPr>
          <w:p w14:paraId="5D8FEE8F" w14:textId="77777777" w:rsidR="008000A7" w:rsidRPr="008123F4" w:rsidRDefault="008000A7" w:rsidP="00471458">
            <w:pPr>
              <w:pStyle w:val="NoSpacing"/>
              <w:jc w:val="center"/>
              <w:rPr>
                <w:rFonts w:ascii="Times New Roman" w:hAnsi="Times New Roman" w:cs="Times New Roman"/>
                <w:sz w:val="20"/>
                <w:szCs w:val="20"/>
              </w:rPr>
            </w:pPr>
            <w:r w:rsidRPr="008123F4">
              <w:rPr>
                <w:rFonts w:ascii="Times New Roman" w:hAnsi="Times New Roman" w:cs="Times New Roman"/>
                <w:sz w:val="20"/>
                <w:szCs w:val="20"/>
              </w:rPr>
              <w:t>-51.73</w:t>
            </w:r>
          </w:p>
        </w:tc>
        <w:tc>
          <w:tcPr>
            <w:tcW w:w="0" w:type="auto"/>
            <w:hideMark/>
          </w:tcPr>
          <w:p w14:paraId="75BFCA13" w14:textId="77777777" w:rsidR="008000A7" w:rsidRPr="008123F4" w:rsidRDefault="008000A7" w:rsidP="00471458">
            <w:pPr>
              <w:pStyle w:val="NoSpacing"/>
              <w:jc w:val="center"/>
              <w:rPr>
                <w:rFonts w:ascii="Times New Roman" w:hAnsi="Times New Roman" w:cs="Times New Roman"/>
                <w:sz w:val="20"/>
                <w:szCs w:val="20"/>
              </w:rPr>
            </w:pPr>
            <w:r w:rsidRPr="008123F4">
              <w:rPr>
                <w:rFonts w:ascii="Times New Roman" w:hAnsi="Times New Roman" w:cs="Times New Roman"/>
                <w:sz w:val="20"/>
                <w:szCs w:val="20"/>
              </w:rPr>
              <w:t>33.04</w:t>
            </w:r>
          </w:p>
        </w:tc>
        <w:tc>
          <w:tcPr>
            <w:tcW w:w="0" w:type="auto"/>
            <w:hideMark/>
          </w:tcPr>
          <w:p w14:paraId="59B82AD8" w14:textId="77777777" w:rsidR="008000A7" w:rsidRPr="008123F4" w:rsidRDefault="008000A7" w:rsidP="00471458">
            <w:pPr>
              <w:pStyle w:val="NoSpacing"/>
              <w:jc w:val="center"/>
              <w:rPr>
                <w:rFonts w:ascii="Times New Roman" w:hAnsi="Times New Roman" w:cs="Times New Roman"/>
                <w:sz w:val="20"/>
                <w:szCs w:val="20"/>
              </w:rPr>
            </w:pPr>
            <w:r w:rsidRPr="008123F4">
              <w:rPr>
                <w:rFonts w:ascii="Times New Roman" w:hAnsi="Times New Roman" w:cs="Times New Roman"/>
                <w:sz w:val="20"/>
                <w:szCs w:val="20"/>
              </w:rPr>
              <w:t>36.39</w:t>
            </w:r>
          </w:p>
        </w:tc>
        <w:tc>
          <w:tcPr>
            <w:tcW w:w="0" w:type="auto"/>
            <w:hideMark/>
          </w:tcPr>
          <w:p w14:paraId="095088B3" w14:textId="77777777" w:rsidR="008000A7" w:rsidRPr="008123F4" w:rsidRDefault="008000A7" w:rsidP="00471458">
            <w:pPr>
              <w:pStyle w:val="NoSpacing"/>
              <w:jc w:val="center"/>
              <w:rPr>
                <w:rFonts w:ascii="Times New Roman" w:hAnsi="Times New Roman" w:cs="Times New Roman"/>
                <w:sz w:val="20"/>
                <w:szCs w:val="20"/>
              </w:rPr>
            </w:pPr>
            <w:r w:rsidRPr="008123F4">
              <w:rPr>
                <w:rFonts w:ascii="Times New Roman" w:hAnsi="Times New Roman" w:cs="Times New Roman"/>
                <w:sz w:val="20"/>
                <w:szCs w:val="20"/>
              </w:rPr>
              <w:t>54.24</w:t>
            </w:r>
          </w:p>
        </w:tc>
        <w:tc>
          <w:tcPr>
            <w:tcW w:w="0" w:type="auto"/>
            <w:hideMark/>
          </w:tcPr>
          <w:p w14:paraId="7198E18A" w14:textId="77777777" w:rsidR="008000A7" w:rsidRPr="008123F4" w:rsidRDefault="008000A7" w:rsidP="00471458">
            <w:pPr>
              <w:pStyle w:val="NoSpacing"/>
              <w:jc w:val="center"/>
              <w:rPr>
                <w:rFonts w:ascii="Times New Roman" w:hAnsi="Times New Roman" w:cs="Times New Roman"/>
                <w:sz w:val="20"/>
                <w:szCs w:val="20"/>
              </w:rPr>
            </w:pPr>
            <w:r w:rsidRPr="008123F4">
              <w:rPr>
                <w:rFonts w:ascii="Times New Roman" w:hAnsi="Times New Roman" w:cs="Times New Roman"/>
                <w:sz w:val="20"/>
                <w:szCs w:val="20"/>
              </w:rPr>
              <w:t>-57.59</w:t>
            </w:r>
          </w:p>
        </w:tc>
      </w:tr>
    </w:tbl>
    <w:p w14:paraId="6A198694" w14:textId="488A402C" w:rsidR="008000A7" w:rsidRPr="008123F4" w:rsidRDefault="008000A7" w:rsidP="003874AC">
      <w:pPr>
        <w:pStyle w:val="Sources"/>
      </w:pPr>
      <w:r w:rsidRPr="008123F4">
        <w:t>* No commercial accounts are kept.</w:t>
      </w:r>
    </w:p>
    <w:p w14:paraId="704CD2AD" w14:textId="285FE74B" w:rsidR="008000A7" w:rsidRPr="008123F4" w:rsidRDefault="008000A7" w:rsidP="003874AC">
      <w:pPr>
        <w:pStyle w:val="Sources"/>
      </w:pPr>
      <w:r w:rsidRPr="008123F4">
        <w:t>(a) Revised Estimate.</w:t>
      </w:r>
    </w:p>
    <w:p w14:paraId="4E3B1ACD" w14:textId="77777777" w:rsidR="008000A7" w:rsidRPr="008123F4" w:rsidRDefault="008000A7" w:rsidP="003874AC">
      <w:pPr>
        <w:pStyle w:val="Sources"/>
      </w:pPr>
      <w:r w:rsidRPr="008123F4">
        <w:t>(b) Preliminary actuals.</w:t>
      </w:r>
    </w:p>
    <w:p w14:paraId="4C80104D" w14:textId="77777777" w:rsidR="008000A7" w:rsidRPr="008123F4" w:rsidRDefault="008000A7" w:rsidP="003874AC">
      <w:pPr>
        <w:pStyle w:val="Sources"/>
      </w:pPr>
      <w:r w:rsidRPr="008123F4">
        <w:t>(c) Excludes land revenue attributable to irrigation.</w:t>
      </w:r>
    </w:p>
    <w:p w14:paraId="67FE2E0A" w14:textId="77777777" w:rsidR="008000A7" w:rsidRPr="008123F4" w:rsidRDefault="008000A7" w:rsidP="003874AC">
      <w:pPr>
        <w:pStyle w:val="Sources"/>
      </w:pPr>
      <w:r w:rsidRPr="008123F4">
        <w:t>(d) Estimates.</w:t>
      </w:r>
    </w:p>
    <w:p w14:paraId="46F0F620" w14:textId="539F33AB" w:rsidR="008000A7" w:rsidRPr="007315B3" w:rsidRDefault="003874AC" w:rsidP="00471458">
      <w:pPr>
        <w:pStyle w:val="Heading4"/>
        <w:rPr>
          <w:i/>
          <w:iCs/>
        </w:rPr>
      </w:pPr>
      <w:r w:rsidRPr="008123F4">
        <w:rPr>
          <w:szCs w:val="24"/>
        </w:rPr>
        <w:br w:type="page"/>
      </w:r>
      <w:bookmarkStart w:id="138" w:name="_Toc220949716"/>
      <w:bookmarkStart w:id="139" w:name="_Toc221114316"/>
      <w:bookmarkStart w:id="140" w:name="_Toc221115339"/>
      <w:r w:rsidR="00574BCE">
        <w:lastRenderedPageBreak/>
        <w:t>Table</w:t>
      </w:r>
      <w:r w:rsidR="008000A7" w:rsidRPr="007315B3">
        <w:t xml:space="preserve"> 35: Financial Results of Electricity Schemes run Departmentally</w:t>
      </w:r>
      <w:bookmarkEnd w:id="138"/>
      <w:bookmarkEnd w:id="139"/>
      <w:bookmarkEnd w:id="140"/>
    </w:p>
    <w:p w14:paraId="251F06EA" w14:textId="77777777" w:rsidR="008000A7" w:rsidRPr="007315B3" w:rsidRDefault="008000A7" w:rsidP="008000A7">
      <w:pPr>
        <w:tabs>
          <w:tab w:val="left" w:pos="3306"/>
        </w:tabs>
        <w:spacing w:after="0"/>
        <w:jc w:val="right"/>
        <w:rPr>
          <w:rFonts w:ascii="Times New Roman" w:hAnsi="Times New Roman" w:cs="Times New Roman"/>
          <w:szCs w:val="24"/>
        </w:rPr>
      </w:pPr>
      <w:r w:rsidRPr="007315B3">
        <w:rPr>
          <w:rFonts w:ascii="Times New Roman" w:hAnsi="Times New Roman" w:cs="Times New Roman"/>
          <w:i/>
          <w:iCs/>
          <w:szCs w:val="24"/>
        </w:rPr>
        <w:t>(Rs. crores)</w:t>
      </w:r>
    </w:p>
    <w:tbl>
      <w:tblPr>
        <w:tblW w:w="13398" w:type="dxa"/>
        <w:jc w:val="center"/>
        <w:tblLook w:val="04A0" w:firstRow="1" w:lastRow="0" w:firstColumn="1" w:lastColumn="0" w:noHBand="0" w:noVBand="1"/>
      </w:tblPr>
      <w:tblGrid>
        <w:gridCol w:w="870"/>
        <w:gridCol w:w="650"/>
        <w:gridCol w:w="711"/>
        <w:gridCol w:w="651"/>
        <w:gridCol w:w="651"/>
        <w:gridCol w:w="651"/>
        <w:gridCol w:w="712"/>
        <w:gridCol w:w="651"/>
        <w:gridCol w:w="651"/>
        <w:gridCol w:w="651"/>
        <w:gridCol w:w="712"/>
        <w:gridCol w:w="651"/>
        <w:gridCol w:w="935"/>
        <w:gridCol w:w="651"/>
        <w:gridCol w:w="651"/>
        <w:gridCol w:w="712"/>
        <w:gridCol w:w="651"/>
        <w:gridCol w:w="935"/>
        <w:gridCol w:w="651"/>
      </w:tblGrid>
      <w:tr w:rsidR="008000A7" w:rsidRPr="007315B3" w14:paraId="3D3895F9" w14:textId="77777777" w:rsidTr="00537910">
        <w:trPr>
          <w:trHeight w:val="65"/>
          <w:jc w:val="center"/>
        </w:trPr>
        <w:tc>
          <w:tcPr>
            <w:tcW w:w="870" w:type="dxa"/>
            <w:vMerge w:val="restart"/>
            <w:tcBorders>
              <w:top w:val="single" w:sz="4" w:space="0" w:color="auto"/>
              <w:left w:val="single" w:sz="4" w:space="0" w:color="auto"/>
              <w:bottom w:val="single" w:sz="4" w:space="0" w:color="000000"/>
              <w:right w:val="single" w:sz="4" w:space="0" w:color="auto"/>
            </w:tcBorders>
            <w:noWrap/>
            <w:vAlign w:val="center"/>
            <w:hideMark/>
          </w:tcPr>
          <w:p w14:paraId="3258F7F4" w14:textId="77777777" w:rsidR="008000A7" w:rsidRPr="00471458" w:rsidRDefault="008000A7" w:rsidP="00471458">
            <w:pPr>
              <w:pStyle w:val="NoSpacing"/>
              <w:jc w:val="center"/>
              <w:rPr>
                <w:rFonts w:ascii="Times New Roman" w:hAnsi="Times New Roman" w:cs="Times New Roman"/>
                <w:b/>
                <w:bCs/>
                <w:sz w:val="18"/>
                <w:szCs w:val="18"/>
                <w:lang w:eastAsia="en-IN"/>
              </w:rPr>
            </w:pPr>
            <w:r w:rsidRPr="00471458">
              <w:rPr>
                <w:rFonts w:ascii="Times New Roman" w:hAnsi="Times New Roman" w:cs="Times New Roman"/>
                <w:b/>
                <w:bCs/>
                <w:sz w:val="18"/>
                <w:szCs w:val="18"/>
                <w:lang w:eastAsia="en-IN"/>
              </w:rPr>
              <w:t>States</w:t>
            </w:r>
          </w:p>
        </w:tc>
        <w:tc>
          <w:tcPr>
            <w:tcW w:w="2663" w:type="dxa"/>
            <w:gridSpan w:val="4"/>
            <w:tcBorders>
              <w:top w:val="single" w:sz="4" w:space="0" w:color="auto"/>
              <w:left w:val="nil"/>
              <w:bottom w:val="single" w:sz="4" w:space="0" w:color="auto"/>
              <w:right w:val="single" w:sz="4" w:space="0" w:color="000000"/>
            </w:tcBorders>
            <w:noWrap/>
            <w:vAlign w:val="center"/>
            <w:hideMark/>
          </w:tcPr>
          <w:p w14:paraId="1A2D2748" w14:textId="77777777" w:rsidR="008000A7" w:rsidRPr="00471458" w:rsidRDefault="008000A7" w:rsidP="00471458">
            <w:pPr>
              <w:pStyle w:val="NoSpacing"/>
              <w:jc w:val="center"/>
              <w:rPr>
                <w:rFonts w:ascii="Times New Roman" w:hAnsi="Times New Roman" w:cs="Times New Roman"/>
                <w:b/>
                <w:bCs/>
                <w:sz w:val="18"/>
                <w:szCs w:val="18"/>
                <w:lang w:eastAsia="en-IN"/>
              </w:rPr>
            </w:pPr>
            <w:r w:rsidRPr="00471458">
              <w:rPr>
                <w:rFonts w:ascii="Times New Roman" w:hAnsi="Times New Roman" w:cs="Times New Roman"/>
                <w:b/>
                <w:bCs/>
                <w:sz w:val="18"/>
                <w:szCs w:val="18"/>
                <w:lang w:eastAsia="en-IN"/>
              </w:rPr>
              <w:t>1965-66</w:t>
            </w:r>
          </w:p>
        </w:tc>
        <w:tc>
          <w:tcPr>
            <w:tcW w:w="2665" w:type="dxa"/>
            <w:gridSpan w:val="4"/>
            <w:tcBorders>
              <w:top w:val="single" w:sz="4" w:space="0" w:color="auto"/>
              <w:left w:val="nil"/>
              <w:bottom w:val="single" w:sz="4" w:space="0" w:color="auto"/>
              <w:right w:val="nil"/>
            </w:tcBorders>
            <w:noWrap/>
            <w:vAlign w:val="center"/>
            <w:hideMark/>
          </w:tcPr>
          <w:p w14:paraId="5148AE40" w14:textId="77777777" w:rsidR="008000A7" w:rsidRPr="00471458" w:rsidRDefault="008000A7" w:rsidP="00471458">
            <w:pPr>
              <w:pStyle w:val="NoSpacing"/>
              <w:jc w:val="center"/>
              <w:rPr>
                <w:rFonts w:ascii="Times New Roman" w:hAnsi="Times New Roman" w:cs="Times New Roman"/>
                <w:b/>
                <w:bCs/>
                <w:sz w:val="18"/>
                <w:szCs w:val="18"/>
                <w:lang w:eastAsia="en-IN"/>
              </w:rPr>
            </w:pPr>
            <w:r w:rsidRPr="00471458">
              <w:rPr>
                <w:rFonts w:ascii="Times New Roman" w:hAnsi="Times New Roman" w:cs="Times New Roman"/>
                <w:b/>
                <w:bCs/>
                <w:sz w:val="18"/>
                <w:szCs w:val="18"/>
                <w:lang w:eastAsia="en-IN"/>
              </w:rPr>
              <w:t>1966-67</w:t>
            </w:r>
          </w:p>
        </w:tc>
        <w:tc>
          <w:tcPr>
            <w:tcW w:w="4251" w:type="dxa"/>
            <w:gridSpan w:val="6"/>
            <w:tcBorders>
              <w:top w:val="single" w:sz="4" w:space="0" w:color="auto"/>
              <w:left w:val="single" w:sz="4" w:space="0" w:color="auto"/>
              <w:bottom w:val="single" w:sz="4" w:space="0" w:color="auto"/>
              <w:right w:val="single" w:sz="4" w:space="0" w:color="000000"/>
            </w:tcBorders>
            <w:noWrap/>
            <w:vAlign w:val="center"/>
            <w:hideMark/>
          </w:tcPr>
          <w:p w14:paraId="6C51B6D2" w14:textId="77777777" w:rsidR="008000A7" w:rsidRPr="00471458" w:rsidRDefault="008000A7" w:rsidP="00471458">
            <w:pPr>
              <w:pStyle w:val="NoSpacing"/>
              <w:jc w:val="center"/>
              <w:rPr>
                <w:rFonts w:ascii="Times New Roman" w:hAnsi="Times New Roman" w:cs="Times New Roman"/>
                <w:b/>
                <w:bCs/>
                <w:sz w:val="18"/>
                <w:szCs w:val="18"/>
                <w:lang w:eastAsia="en-IN"/>
              </w:rPr>
            </w:pPr>
            <w:r w:rsidRPr="00471458">
              <w:rPr>
                <w:rFonts w:ascii="Times New Roman" w:hAnsi="Times New Roman" w:cs="Times New Roman"/>
                <w:b/>
                <w:bCs/>
                <w:sz w:val="18"/>
                <w:szCs w:val="18"/>
                <w:lang w:eastAsia="en-IN"/>
              </w:rPr>
              <w:t>1967-68</w:t>
            </w:r>
          </w:p>
        </w:tc>
        <w:tc>
          <w:tcPr>
            <w:tcW w:w="2949" w:type="dxa"/>
            <w:gridSpan w:val="4"/>
            <w:tcBorders>
              <w:top w:val="single" w:sz="4" w:space="0" w:color="auto"/>
              <w:left w:val="nil"/>
              <w:bottom w:val="single" w:sz="4" w:space="0" w:color="auto"/>
              <w:right w:val="single" w:sz="4" w:space="0" w:color="000000"/>
            </w:tcBorders>
            <w:noWrap/>
            <w:vAlign w:val="center"/>
            <w:hideMark/>
          </w:tcPr>
          <w:p w14:paraId="15DF93DF" w14:textId="77777777" w:rsidR="008000A7" w:rsidRPr="00471458" w:rsidRDefault="008000A7" w:rsidP="00471458">
            <w:pPr>
              <w:pStyle w:val="NoSpacing"/>
              <w:jc w:val="center"/>
              <w:rPr>
                <w:rFonts w:ascii="Times New Roman" w:hAnsi="Times New Roman" w:cs="Times New Roman"/>
                <w:b/>
                <w:bCs/>
                <w:sz w:val="18"/>
                <w:szCs w:val="18"/>
                <w:lang w:eastAsia="en-IN"/>
              </w:rPr>
            </w:pPr>
            <w:r w:rsidRPr="00471458">
              <w:rPr>
                <w:rFonts w:ascii="Times New Roman" w:hAnsi="Times New Roman" w:cs="Times New Roman"/>
                <w:b/>
                <w:bCs/>
                <w:sz w:val="18"/>
                <w:szCs w:val="18"/>
                <w:lang w:eastAsia="en-IN"/>
              </w:rPr>
              <w:t>1968-69 R.E.</w:t>
            </w:r>
          </w:p>
        </w:tc>
      </w:tr>
      <w:tr w:rsidR="008000A7" w:rsidRPr="007315B3" w14:paraId="43040B44" w14:textId="77777777" w:rsidTr="00537910">
        <w:trPr>
          <w:trHeight w:val="65"/>
          <w:jc w:val="center"/>
        </w:trPr>
        <w:tc>
          <w:tcPr>
            <w:tcW w:w="870" w:type="dxa"/>
            <w:vMerge/>
            <w:tcBorders>
              <w:top w:val="single" w:sz="4" w:space="0" w:color="auto"/>
              <w:left w:val="single" w:sz="4" w:space="0" w:color="auto"/>
              <w:bottom w:val="single" w:sz="4" w:space="0" w:color="000000"/>
              <w:right w:val="single" w:sz="4" w:space="0" w:color="auto"/>
            </w:tcBorders>
            <w:vAlign w:val="center"/>
            <w:hideMark/>
          </w:tcPr>
          <w:p w14:paraId="3EDE41A1" w14:textId="77777777" w:rsidR="008000A7" w:rsidRPr="00471458" w:rsidRDefault="008000A7" w:rsidP="00471458">
            <w:pPr>
              <w:pStyle w:val="NoSpacing"/>
              <w:jc w:val="center"/>
              <w:rPr>
                <w:rFonts w:ascii="Times New Roman" w:hAnsi="Times New Roman" w:cs="Times New Roman"/>
                <w:b/>
                <w:bCs/>
                <w:sz w:val="18"/>
                <w:szCs w:val="18"/>
                <w:lang w:eastAsia="en-IN"/>
              </w:rPr>
            </w:pPr>
          </w:p>
        </w:tc>
        <w:tc>
          <w:tcPr>
            <w:tcW w:w="650" w:type="dxa"/>
            <w:tcBorders>
              <w:top w:val="nil"/>
              <w:left w:val="nil"/>
              <w:bottom w:val="single" w:sz="4" w:space="0" w:color="auto"/>
              <w:right w:val="single" w:sz="4" w:space="0" w:color="auto"/>
            </w:tcBorders>
            <w:noWrap/>
            <w:vAlign w:val="center"/>
            <w:hideMark/>
          </w:tcPr>
          <w:p w14:paraId="6F88A4F6" w14:textId="77777777" w:rsidR="008000A7" w:rsidRPr="00471458" w:rsidRDefault="008000A7" w:rsidP="00471458">
            <w:pPr>
              <w:pStyle w:val="NoSpacing"/>
              <w:jc w:val="center"/>
              <w:rPr>
                <w:rFonts w:ascii="Times New Roman" w:hAnsi="Times New Roman" w:cs="Times New Roman"/>
                <w:b/>
                <w:bCs/>
                <w:sz w:val="18"/>
                <w:szCs w:val="18"/>
                <w:lang w:eastAsia="en-IN"/>
              </w:rPr>
            </w:pPr>
            <w:r w:rsidRPr="00471458">
              <w:rPr>
                <w:rFonts w:ascii="Times New Roman" w:hAnsi="Times New Roman" w:cs="Times New Roman"/>
                <w:b/>
                <w:bCs/>
                <w:sz w:val="18"/>
                <w:szCs w:val="18"/>
                <w:lang w:eastAsia="en-IN"/>
              </w:rPr>
              <w:t>Gross receipts</w:t>
            </w:r>
          </w:p>
        </w:tc>
        <w:tc>
          <w:tcPr>
            <w:tcW w:w="711" w:type="dxa"/>
            <w:tcBorders>
              <w:top w:val="nil"/>
              <w:left w:val="nil"/>
              <w:bottom w:val="single" w:sz="4" w:space="0" w:color="auto"/>
              <w:right w:val="single" w:sz="4" w:space="0" w:color="auto"/>
            </w:tcBorders>
            <w:noWrap/>
            <w:vAlign w:val="center"/>
            <w:hideMark/>
          </w:tcPr>
          <w:p w14:paraId="682D6BA6" w14:textId="77777777" w:rsidR="008000A7" w:rsidRPr="00471458" w:rsidRDefault="008000A7" w:rsidP="00471458">
            <w:pPr>
              <w:pStyle w:val="NoSpacing"/>
              <w:jc w:val="center"/>
              <w:rPr>
                <w:rFonts w:ascii="Times New Roman" w:hAnsi="Times New Roman" w:cs="Times New Roman"/>
                <w:b/>
                <w:bCs/>
                <w:sz w:val="18"/>
                <w:szCs w:val="18"/>
                <w:lang w:eastAsia="en-IN"/>
              </w:rPr>
            </w:pPr>
            <w:r w:rsidRPr="00471458">
              <w:rPr>
                <w:rFonts w:ascii="Times New Roman" w:hAnsi="Times New Roman" w:cs="Times New Roman"/>
                <w:b/>
                <w:bCs/>
                <w:sz w:val="18"/>
                <w:szCs w:val="18"/>
                <w:lang w:eastAsia="en-IN"/>
              </w:rPr>
              <w:t>Working expenses</w:t>
            </w:r>
          </w:p>
        </w:tc>
        <w:tc>
          <w:tcPr>
            <w:tcW w:w="651" w:type="dxa"/>
            <w:tcBorders>
              <w:top w:val="nil"/>
              <w:left w:val="nil"/>
              <w:bottom w:val="single" w:sz="4" w:space="0" w:color="auto"/>
              <w:right w:val="single" w:sz="4" w:space="0" w:color="auto"/>
            </w:tcBorders>
            <w:noWrap/>
            <w:vAlign w:val="center"/>
            <w:hideMark/>
          </w:tcPr>
          <w:p w14:paraId="3187A9EE" w14:textId="77777777" w:rsidR="008000A7" w:rsidRPr="00471458" w:rsidRDefault="008000A7" w:rsidP="00471458">
            <w:pPr>
              <w:pStyle w:val="NoSpacing"/>
              <w:jc w:val="center"/>
              <w:rPr>
                <w:rFonts w:ascii="Times New Roman" w:hAnsi="Times New Roman" w:cs="Times New Roman"/>
                <w:b/>
                <w:bCs/>
                <w:sz w:val="18"/>
                <w:szCs w:val="18"/>
                <w:lang w:eastAsia="en-IN"/>
              </w:rPr>
            </w:pPr>
            <w:r w:rsidRPr="00471458">
              <w:rPr>
                <w:rFonts w:ascii="Times New Roman" w:hAnsi="Times New Roman" w:cs="Times New Roman"/>
                <w:b/>
                <w:bCs/>
                <w:sz w:val="18"/>
                <w:szCs w:val="18"/>
                <w:lang w:eastAsia="en-IN"/>
              </w:rPr>
              <w:t>Interest charges</w:t>
            </w:r>
          </w:p>
        </w:tc>
        <w:tc>
          <w:tcPr>
            <w:tcW w:w="651" w:type="dxa"/>
            <w:tcBorders>
              <w:top w:val="nil"/>
              <w:left w:val="nil"/>
              <w:bottom w:val="single" w:sz="4" w:space="0" w:color="auto"/>
              <w:right w:val="single" w:sz="4" w:space="0" w:color="auto"/>
            </w:tcBorders>
            <w:noWrap/>
            <w:vAlign w:val="center"/>
            <w:hideMark/>
          </w:tcPr>
          <w:p w14:paraId="3C8ED525" w14:textId="77777777" w:rsidR="008000A7" w:rsidRPr="00471458" w:rsidRDefault="008000A7" w:rsidP="00471458">
            <w:pPr>
              <w:pStyle w:val="NoSpacing"/>
              <w:jc w:val="center"/>
              <w:rPr>
                <w:rFonts w:ascii="Times New Roman" w:hAnsi="Times New Roman" w:cs="Times New Roman"/>
                <w:b/>
                <w:bCs/>
                <w:sz w:val="18"/>
                <w:szCs w:val="18"/>
                <w:lang w:eastAsia="en-IN"/>
              </w:rPr>
            </w:pPr>
            <w:r w:rsidRPr="00471458">
              <w:rPr>
                <w:rFonts w:ascii="Times New Roman" w:hAnsi="Times New Roman" w:cs="Times New Roman"/>
                <w:b/>
                <w:bCs/>
                <w:sz w:val="18"/>
                <w:szCs w:val="18"/>
                <w:lang w:eastAsia="en-IN"/>
              </w:rPr>
              <w:t>Net receipts</w:t>
            </w:r>
          </w:p>
        </w:tc>
        <w:tc>
          <w:tcPr>
            <w:tcW w:w="651" w:type="dxa"/>
            <w:tcBorders>
              <w:top w:val="nil"/>
              <w:left w:val="nil"/>
              <w:bottom w:val="single" w:sz="4" w:space="0" w:color="auto"/>
              <w:right w:val="single" w:sz="4" w:space="0" w:color="auto"/>
            </w:tcBorders>
            <w:noWrap/>
            <w:vAlign w:val="center"/>
            <w:hideMark/>
          </w:tcPr>
          <w:p w14:paraId="4E93C36F" w14:textId="77777777" w:rsidR="008000A7" w:rsidRPr="00471458" w:rsidRDefault="008000A7" w:rsidP="00471458">
            <w:pPr>
              <w:pStyle w:val="NoSpacing"/>
              <w:jc w:val="center"/>
              <w:rPr>
                <w:rFonts w:ascii="Times New Roman" w:hAnsi="Times New Roman" w:cs="Times New Roman"/>
                <w:b/>
                <w:bCs/>
                <w:sz w:val="18"/>
                <w:szCs w:val="18"/>
                <w:lang w:eastAsia="en-IN"/>
              </w:rPr>
            </w:pPr>
            <w:r w:rsidRPr="00471458">
              <w:rPr>
                <w:rFonts w:ascii="Times New Roman" w:hAnsi="Times New Roman" w:cs="Times New Roman"/>
                <w:b/>
                <w:bCs/>
                <w:sz w:val="18"/>
                <w:szCs w:val="18"/>
                <w:lang w:eastAsia="en-IN"/>
              </w:rPr>
              <w:t>Gross receipts</w:t>
            </w:r>
          </w:p>
        </w:tc>
        <w:tc>
          <w:tcPr>
            <w:tcW w:w="712" w:type="dxa"/>
            <w:tcBorders>
              <w:top w:val="nil"/>
              <w:left w:val="nil"/>
              <w:bottom w:val="single" w:sz="4" w:space="0" w:color="auto"/>
              <w:right w:val="single" w:sz="4" w:space="0" w:color="auto"/>
            </w:tcBorders>
            <w:noWrap/>
            <w:vAlign w:val="center"/>
            <w:hideMark/>
          </w:tcPr>
          <w:p w14:paraId="15BD4EBF" w14:textId="77777777" w:rsidR="008000A7" w:rsidRPr="00471458" w:rsidRDefault="008000A7" w:rsidP="00471458">
            <w:pPr>
              <w:pStyle w:val="NoSpacing"/>
              <w:jc w:val="center"/>
              <w:rPr>
                <w:rFonts w:ascii="Times New Roman" w:hAnsi="Times New Roman" w:cs="Times New Roman"/>
                <w:b/>
                <w:bCs/>
                <w:sz w:val="18"/>
                <w:szCs w:val="18"/>
                <w:lang w:eastAsia="en-IN"/>
              </w:rPr>
            </w:pPr>
            <w:r w:rsidRPr="00471458">
              <w:rPr>
                <w:rFonts w:ascii="Times New Roman" w:hAnsi="Times New Roman" w:cs="Times New Roman"/>
                <w:b/>
                <w:bCs/>
                <w:sz w:val="18"/>
                <w:szCs w:val="18"/>
                <w:lang w:eastAsia="en-IN"/>
              </w:rPr>
              <w:t>Working expenses</w:t>
            </w:r>
          </w:p>
        </w:tc>
        <w:tc>
          <w:tcPr>
            <w:tcW w:w="651" w:type="dxa"/>
            <w:tcBorders>
              <w:top w:val="nil"/>
              <w:left w:val="nil"/>
              <w:bottom w:val="single" w:sz="4" w:space="0" w:color="auto"/>
              <w:right w:val="single" w:sz="4" w:space="0" w:color="auto"/>
            </w:tcBorders>
            <w:noWrap/>
            <w:vAlign w:val="center"/>
            <w:hideMark/>
          </w:tcPr>
          <w:p w14:paraId="1A82AB90" w14:textId="77777777" w:rsidR="008000A7" w:rsidRPr="00471458" w:rsidRDefault="008000A7" w:rsidP="00471458">
            <w:pPr>
              <w:pStyle w:val="NoSpacing"/>
              <w:jc w:val="center"/>
              <w:rPr>
                <w:rFonts w:ascii="Times New Roman" w:hAnsi="Times New Roman" w:cs="Times New Roman"/>
                <w:b/>
                <w:bCs/>
                <w:sz w:val="18"/>
                <w:szCs w:val="18"/>
                <w:lang w:eastAsia="en-IN"/>
              </w:rPr>
            </w:pPr>
            <w:r w:rsidRPr="00471458">
              <w:rPr>
                <w:rFonts w:ascii="Times New Roman" w:hAnsi="Times New Roman" w:cs="Times New Roman"/>
                <w:b/>
                <w:bCs/>
                <w:sz w:val="18"/>
                <w:szCs w:val="18"/>
                <w:lang w:eastAsia="en-IN"/>
              </w:rPr>
              <w:t>Interest charges</w:t>
            </w:r>
          </w:p>
        </w:tc>
        <w:tc>
          <w:tcPr>
            <w:tcW w:w="651" w:type="dxa"/>
            <w:tcBorders>
              <w:top w:val="nil"/>
              <w:left w:val="nil"/>
              <w:bottom w:val="single" w:sz="4" w:space="0" w:color="auto"/>
              <w:right w:val="single" w:sz="4" w:space="0" w:color="auto"/>
            </w:tcBorders>
            <w:noWrap/>
            <w:vAlign w:val="center"/>
            <w:hideMark/>
          </w:tcPr>
          <w:p w14:paraId="21FC734E" w14:textId="77777777" w:rsidR="008000A7" w:rsidRPr="00471458" w:rsidRDefault="008000A7" w:rsidP="00471458">
            <w:pPr>
              <w:pStyle w:val="NoSpacing"/>
              <w:jc w:val="center"/>
              <w:rPr>
                <w:rFonts w:ascii="Times New Roman" w:hAnsi="Times New Roman" w:cs="Times New Roman"/>
                <w:b/>
                <w:bCs/>
                <w:sz w:val="18"/>
                <w:szCs w:val="18"/>
                <w:lang w:eastAsia="en-IN"/>
              </w:rPr>
            </w:pPr>
            <w:r w:rsidRPr="00471458">
              <w:rPr>
                <w:rFonts w:ascii="Times New Roman" w:hAnsi="Times New Roman" w:cs="Times New Roman"/>
                <w:b/>
                <w:bCs/>
                <w:sz w:val="18"/>
                <w:szCs w:val="18"/>
                <w:lang w:eastAsia="en-IN"/>
              </w:rPr>
              <w:t>Net receipts</w:t>
            </w:r>
          </w:p>
        </w:tc>
        <w:tc>
          <w:tcPr>
            <w:tcW w:w="651" w:type="dxa"/>
            <w:tcBorders>
              <w:top w:val="nil"/>
              <w:left w:val="nil"/>
              <w:bottom w:val="single" w:sz="4" w:space="0" w:color="auto"/>
              <w:right w:val="single" w:sz="4" w:space="0" w:color="auto"/>
            </w:tcBorders>
            <w:noWrap/>
            <w:vAlign w:val="center"/>
            <w:hideMark/>
          </w:tcPr>
          <w:p w14:paraId="6CE02F74" w14:textId="77777777" w:rsidR="008000A7" w:rsidRPr="00471458" w:rsidRDefault="008000A7" w:rsidP="00471458">
            <w:pPr>
              <w:pStyle w:val="NoSpacing"/>
              <w:jc w:val="center"/>
              <w:rPr>
                <w:rFonts w:ascii="Times New Roman" w:hAnsi="Times New Roman" w:cs="Times New Roman"/>
                <w:b/>
                <w:bCs/>
                <w:sz w:val="18"/>
                <w:szCs w:val="18"/>
                <w:lang w:eastAsia="en-IN"/>
              </w:rPr>
            </w:pPr>
            <w:r w:rsidRPr="00471458">
              <w:rPr>
                <w:rFonts w:ascii="Times New Roman" w:hAnsi="Times New Roman" w:cs="Times New Roman"/>
                <w:b/>
                <w:bCs/>
                <w:sz w:val="18"/>
                <w:szCs w:val="18"/>
                <w:lang w:eastAsia="en-IN"/>
              </w:rPr>
              <w:t>Gross receipts</w:t>
            </w:r>
          </w:p>
        </w:tc>
        <w:tc>
          <w:tcPr>
            <w:tcW w:w="712" w:type="dxa"/>
            <w:tcBorders>
              <w:top w:val="nil"/>
              <w:left w:val="nil"/>
              <w:bottom w:val="single" w:sz="4" w:space="0" w:color="auto"/>
              <w:right w:val="single" w:sz="4" w:space="0" w:color="auto"/>
            </w:tcBorders>
            <w:noWrap/>
            <w:vAlign w:val="center"/>
            <w:hideMark/>
          </w:tcPr>
          <w:p w14:paraId="6F897737" w14:textId="77777777" w:rsidR="008000A7" w:rsidRPr="00471458" w:rsidRDefault="008000A7" w:rsidP="00471458">
            <w:pPr>
              <w:pStyle w:val="NoSpacing"/>
              <w:jc w:val="center"/>
              <w:rPr>
                <w:rFonts w:ascii="Times New Roman" w:hAnsi="Times New Roman" w:cs="Times New Roman"/>
                <w:b/>
                <w:bCs/>
                <w:sz w:val="18"/>
                <w:szCs w:val="18"/>
                <w:lang w:eastAsia="en-IN"/>
              </w:rPr>
            </w:pPr>
            <w:r w:rsidRPr="00471458">
              <w:rPr>
                <w:rFonts w:ascii="Times New Roman" w:hAnsi="Times New Roman" w:cs="Times New Roman"/>
                <w:b/>
                <w:bCs/>
                <w:sz w:val="18"/>
                <w:szCs w:val="18"/>
                <w:lang w:eastAsia="en-IN"/>
              </w:rPr>
              <w:t>Working expenses</w:t>
            </w:r>
          </w:p>
        </w:tc>
        <w:tc>
          <w:tcPr>
            <w:tcW w:w="651" w:type="dxa"/>
            <w:tcBorders>
              <w:top w:val="nil"/>
              <w:left w:val="nil"/>
              <w:bottom w:val="single" w:sz="4" w:space="0" w:color="auto"/>
              <w:right w:val="single" w:sz="4" w:space="0" w:color="auto"/>
            </w:tcBorders>
            <w:noWrap/>
            <w:vAlign w:val="center"/>
            <w:hideMark/>
          </w:tcPr>
          <w:p w14:paraId="07AF5F69" w14:textId="77777777" w:rsidR="008000A7" w:rsidRPr="00471458" w:rsidRDefault="008000A7" w:rsidP="00471458">
            <w:pPr>
              <w:pStyle w:val="NoSpacing"/>
              <w:jc w:val="center"/>
              <w:rPr>
                <w:rFonts w:ascii="Times New Roman" w:hAnsi="Times New Roman" w:cs="Times New Roman"/>
                <w:b/>
                <w:bCs/>
                <w:sz w:val="18"/>
                <w:szCs w:val="18"/>
                <w:lang w:eastAsia="en-IN"/>
              </w:rPr>
            </w:pPr>
            <w:r w:rsidRPr="00471458">
              <w:rPr>
                <w:rFonts w:ascii="Times New Roman" w:hAnsi="Times New Roman" w:cs="Times New Roman"/>
                <w:b/>
                <w:bCs/>
                <w:sz w:val="18"/>
                <w:szCs w:val="18"/>
                <w:lang w:eastAsia="en-IN"/>
              </w:rPr>
              <w:t>Interest charges</w:t>
            </w:r>
          </w:p>
        </w:tc>
        <w:tc>
          <w:tcPr>
            <w:tcW w:w="935" w:type="dxa"/>
            <w:tcBorders>
              <w:top w:val="nil"/>
              <w:left w:val="nil"/>
              <w:bottom w:val="single" w:sz="4" w:space="0" w:color="auto"/>
              <w:right w:val="single" w:sz="4" w:space="0" w:color="auto"/>
            </w:tcBorders>
            <w:noWrap/>
            <w:vAlign w:val="center"/>
            <w:hideMark/>
          </w:tcPr>
          <w:p w14:paraId="6DEBFE4E" w14:textId="702EFC53" w:rsidR="008000A7" w:rsidRPr="00471458" w:rsidRDefault="000F608C" w:rsidP="00471458">
            <w:pPr>
              <w:pStyle w:val="NoSpacing"/>
              <w:jc w:val="center"/>
              <w:rPr>
                <w:rFonts w:ascii="Times New Roman" w:hAnsi="Times New Roman" w:cs="Times New Roman"/>
                <w:b/>
                <w:bCs/>
                <w:sz w:val="18"/>
                <w:szCs w:val="18"/>
                <w:lang w:eastAsia="en-IN"/>
              </w:rPr>
            </w:pPr>
            <w:r w:rsidRPr="00471458">
              <w:rPr>
                <w:rFonts w:ascii="Times New Roman" w:hAnsi="Times New Roman" w:cs="Times New Roman"/>
                <w:b/>
                <w:bCs/>
                <w:sz w:val="18"/>
                <w:szCs w:val="18"/>
                <w:lang w:eastAsia="en-IN"/>
              </w:rPr>
              <w:t>Depreciation</w:t>
            </w:r>
            <w:r w:rsidR="008000A7" w:rsidRPr="00471458">
              <w:rPr>
                <w:rFonts w:ascii="Times New Roman" w:hAnsi="Times New Roman" w:cs="Times New Roman"/>
                <w:b/>
                <w:bCs/>
                <w:sz w:val="18"/>
                <w:szCs w:val="18"/>
                <w:lang w:eastAsia="en-IN"/>
              </w:rPr>
              <w:t xml:space="preserve"> Fund</w:t>
            </w:r>
          </w:p>
        </w:tc>
        <w:tc>
          <w:tcPr>
            <w:tcW w:w="651" w:type="dxa"/>
            <w:tcBorders>
              <w:top w:val="nil"/>
              <w:left w:val="nil"/>
              <w:bottom w:val="single" w:sz="4" w:space="0" w:color="auto"/>
              <w:right w:val="single" w:sz="4" w:space="0" w:color="auto"/>
            </w:tcBorders>
            <w:noWrap/>
            <w:vAlign w:val="center"/>
            <w:hideMark/>
          </w:tcPr>
          <w:p w14:paraId="1187FB43" w14:textId="77777777" w:rsidR="008000A7" w:rsidRPr="00471458" w:rsidRDefault="008000A7" w:rsidP="00471458">
            <w:pPr>
              <w:pStyle w:val="NoSpacing"/>
              <w:jc w:val="center"/>
              <w:rPr>
                <w:rFonts w:ascii="Times New Roman" w:hAnsi="Times New Roman" w:cs="Times New Roman"/>
                <w:b/>
                <w:bCs/>
                <w:sz w:val="18"/>
                <w:szCs w:val="18"/>
                <w:lang w:eastAsia="en-IN"/>
              </w:rPr>
            </w:pPr>
            <w:r w:rsidRPr="00471458">
              <w:rPr>
                <w:rFonts w:ascii="Times New Roman" w:hAnsi="Times New Roman" w:cs="Times New Roman"/>
                <w:b/>
                <w:bCs/>
                <w:sz w:val="18"/>
                <w:szCs w:val="18"/>
                <w:lang w:eastAsia="en-IN"/>
              </w:rPr>
              <w:t>Net receipts</w:t>
            </w:r>
          </w:p>
        </w:tc>
        <w:tc>
          <w:tcPr>
            <w:tcW w:w="651" w:type="dxa"/>
            <w:tcBorders>
              <w:top w:val="nil"/>
              <w:left w:val="nil"/>
              <w:bottom w:val="single" w:sz="4" w:space="0" w:color="auto"/>
              <w:right w:val="single" w:sz="4" w:space="0" w:color="auto"/>
            </w:tcBorders>
            <w:noWrap/>
            <w:vAlign w:val="center"/>
            <w:hideMark/>
          </w:tcPr>
          <w:p w14:paraId="28BEF5CF" w14:textId="77777777" w:rsidR="008000A7" w:rsidRPr="00471458" w:rsidRDefault="008000A7" w:rsidP="00471458">
            <w:pPr>
              <w:pStyle w:val="NoSpacing"/>
              <w:jc w:val="center"/>
              <w:rPr>
                <w:rFonts w:ascii="Times New Roman" w:hAnsi="Times New Roman" w:cs="Times New Roman"/>
                <w:b/>
                <w:bCs/>
                <w:sz w:val="18"/>
                <w:szCs w:val="18"/>
                <w:lang w:eastAsia="en-IN"/>
              </w:rPr>
            </w:pPr>
            <w:r w:rsidRPr="00471458">
              <w:rPr>
                <w:rFonts w:ascii="Times New Roman" w:hAnsi="Times New Roman" w:cs="Times New Roman"/>
                <w:b/>
                <w:bCs/>
                <w:sz w:val="18"/>
                <w:szCs w:val="18"/>
                <w:lang w:eastAsia="en-IN"/>
              </w:rPr>
              <w:t>Gross receipts</w:t>
            </w:r>
          </w:p>
        </w:tc>
        <w:tc>
          <w:tcPr>
            <w:tcW w:w="712" w:type="dxa"/>
            <w:tcBorders>
              <w:top w:val="nil"/>
              <w:left w:val="nil"/>
              <w:bottom w:val="single" w:sz="4" w:space="0" w:color="auto"/>
              <w:right w:val="single" w:sz="4" w:space="0" w:color="auto"/>
            </w:tcBorders>
            <w:noWrap/>
            <w:vAlign w:val="center"/>
            <w:hideMark/>
          </w:tcPr>
          <w:p w14:paraId="40E8D014" w14:textId="77777777" w:rsidR="008000A7" w:rsidRPr="00471458" w:rsidRDefault="008000A7" w:rsidP="00471458">
            <w:pPr>
              <w:pStyle w:val="NoSpacing"/>
              <w:jc w:val="center"/>
              <w:rPr>
                <w:rFonts w:ascii="Times New Roman" w:hAnsi="Times New Roman" w:cs="Times New Roman"/>
                <w:b/>
                <w:bCs/>
                <w:sz w:val="18"/>
                <w:szCs w:val="18"/>
                <w:lang w:eastAsia="en-IN"/>
              </w:rPr>
            </w:pPr>
            <w:r w:rsidRPr="00471458">
              <w:rPr>
                <w:rFonts w:ascii="Times New Roman" w:hAnsi="Times New Roman" w:cs="Times New Roman"/>
                <w:b/>
                <w:bCs/>
                <w:sz w:val="18"/>
                <w:szCs w:val="18"/>
                <w:lang w:eastAsia="en-IN"/>
              </w:rPr>
              <w:t>Working expenses</w:t>
            </w:r>
          </w:p>
        </w:tc>
        <w:tc>
          <w:tcPr>
            <w:tcW w:w="651" w:type="dxa"/>
            <w:tcBorders>
              <w:top w:val="nil"/>
              <w:left w:val="nil"/>
              <w:bottom w:val="single" w:sz="4" w:space="0" w:color="auto"/>
              <w:right w:val="single" w:sz="4" w:space="0" w:color="auto"/>
            </w:tcBorders>
            <w:noWrap/>
            <w:vAlign w:val="center"/>
            <w:hideMark/>
          </w:tcPr>
          <w:p w14:paraId="3E836CDA" w14:textId="77777777" w:rsidR="008000A7" w:rsidRPr="00471458" w:rsidRDefault="008000A7" w:rsidP="00471458">
            <w:pPr>
              <w:pStyle w:val="NoSpacing"/>
              <w:jc w:val="center"/>
              <w:rPr>
                <w:rFonts w:ascii="Times New Roman" w:hAnsi="Times New Roman" w:cs="Times New Roman"/>
                <w:b/>
                <w:bCs/>
                <w:sz w:val="18"/>
                <w:szCs w:val="18"/>
                <w:lang w:eastAsia="en-IN"/>
              </w:rPr>
            </w:pPr>
            <w:r w:rsidRPr="00471458">
              <w:rPr>
                <w:rFonts w:ascii="Times New Roman" w:hAnsi="Times New Roman" w:cs="Times New Roman"/>
                <w:b/>
                <w:bCs/>
                <w:sz w:val="18"/>
                <w:szCs w:val="18"/>
                <w:lang w:eastAsia="en-IN"/>
              </w:rPr>
              <w:t>Interest charges</w:t>
            </w:r>
          </w:p>
        </w:tc>
        <w:tc>
          <w:tcPr>
            <w:tcW w:w="935" w:type="dxa"/>
            <w:tcBorders>
              <w:top w:val="nil"/>
              <w:left w:val="nil"/>
              <w:bottom w:val="single" w:sz="4" w:space="0" w:color="auto"/>
              <w:right w:val="single" w:sz="4" w:space="0" w:color="auto"/>
            </w:tcBorders>
            <w:noWrap/>
            <w:vAlign w:val="center"/>
            <w:hideMark/>
          </w:tcPr>
          <w:p w14:paraId="52F3BC03" w14:textId="7F364B6D" w:rsidR="008000A7" w:rsidRPr="00471458" w:rsidRDefault="000F608C" w:rsidP="00471458">
            <w:pPr>
              <w:pStyle w:val="NoSpacing"/>
              <w:jc w:val="center"/>
              <w:rPr>
                <w:rFonts w:ascii="Times New Roman" w:hAnsi="Times New Roman" w:cs="Times New Roman"/>
                <w:b/>
                <w:bCs/>
                <w:sz w:val="18"/>
                <w:szCs w:val="18"/>
                <w:lang w:eastAsia="en-IN"/>
              </w:rPr>
            </w:pPr>
            <w:r w:rsidRPr="00471458">
              <w:rPr>
                <w:rFonts w:ascii="Times New Roman" w:hAnsi="Times New Roman" w:cs="Times New Roman"/>
                <w:b/>
                <w:bCs/>
                <w:sz w:val="18"/>
                <w:szCs w:val="18"/>
                <w:lang w:eastAsia="en-IN"/>
              </w:rPr>
              <w:t>Depreciation</w:t>
            </w:r>
            <w:r w:rsidR="008000A7" w:rsidRPr="00471458">
              <w:rPr>
                <w:rFonts w:ascii="Times New Roman" w:hAnsi="Times New Roman" w:cs="Times New Roman"/>
                <w:b/>
                <w:bCs/>
                <w:sz w:val="18"/>
                <w:szCs w:val="18"/>
                <w:lang w:eastAsia="en-IN"/>
              </w:rPr>
              <w:t xml:space="preserve"> Fund</w:t>
            </w:r>
          </w:p>
        </w:tc>
        <w:tc>
          <w:tcPr>
            <w:tcW w:w="651" w:type="dxa"/>
            <w:tcBorders>
              <w:top w:val="nil"/>
              <w:left w:val="nil"/>
              <w:bottom w:val="single" w:sz="4" w:space="0" w:color="auto"/>
              <w:right w:val="single" w:sz="4" w:space="0" w:color="auto"/>
            </w:tcBorders>
            <w:noWrap/>
            <w:vAlign w:val="center"/>
            <w:hideMark/>
          </w:tcPr>
          <w:p w14:paraId="6B80B09B" w14:textId="77777777" w:rsidR="008000A7" w:rsidRPr="00471458" w:rsidRDefault="008000A7" w:rsidP="00471458">
            <w:pPr>
              <w:pStyle w:val="NoSpacing"/>
              <w:jc w:val="center"/>
              <w:rPr>
                <w:rFonts w:ascii="Times New Roman" w:hAnsi="Times New Roman" w:cs="Times New Roman"/>
                <w:b/>
                <w:bCs/>
                <w:sz w:val="18"/>
                <w:szCs w:val="18"/>
                <w:lang w:eastAsia="en-IN"/>
              </w:rPr>
            </w:pPr>
            <w:r w:rsidRPr="00471458">
              <w:rPr>
                <w:rFonts w:ascii="Times New Roman" w:hAnsi="Times New Roman" w:cs="Times New Roman"/>
                <w:b/>
                <w:bCs/>
                <w:sz w:val="18"/>
                <w:szCs w:val="18"/>
                <w:lang w:eastAsia="en-IN"/>
              </w:rPr>
              <w:t>Net receipts</w:t>
            </w:r>
          </w:p>
        </w:tc>
      </w:tr>
      <w:tr w:rsidR="008000A7" w:rsidRPr="007315B3" w14:paraId="14902428" w14:textId="77777777" w:rsidTr="00537910">
        <w:trPr>
          <w:trHeight w:val="65"/>
          <w:jc w:val="center"/>
        </w:trPr>
        <w:tc>
          <w:tcPr>
            <w:tcW w:w="870" w:type="dxa"/>
            <w:tcBorders>
              <w:top w:val="nil"/>
              <w:left w:val="single" w:sz="4" w:space="0" w:color="auto"/>
              <w:bottom w:val="single" w:sz="4" w:space="0" w:color="auto"/>
              <w:right w:val="single" w:sz="4" w:space="0" w:color="auto"/>
            </w:tcBorders>
            <w:noWrap/>
            <w:vAlign w:val="center"/>
            <w:hideMark/>
          </w:tcPr>
          <w:p w14:paraId="0D310B58" w14:textId="77777777" w:rsidR="008000A7" w:rsidRPr="00471458" w:rsidRDefault="008000A7" w:rsidP="00471458">
            <w:pPr>
              <w:pStyle w:val="NoSpacing"/>
              <w:jc w:val="center"/>
              <w:rPr>
                <w:rFonts w:ascii="Times New Roman" w:hAnsi="Times New Roman" w:cs="Times New Roman"/>
                <w:b/>
                <w:bCs/>
                <w:sz w:val="18"/>
                <w:szCs w:val="18"/>
                <w:lang w:eastAsia="en-IN"/>
              </w:rPr>
            </w:pPr>
            <w:r w:rsidRPr="00471458">
              <w:rPr>
                <w:rFonts w:ascii="Times New Roman" w:hAnsi="Times New Roman" w:cs="Times New Roman"/>
                <w:b/>
                <w:bCs/>
                <w:sz w:val="18"/>
                <w:szCs w:val="18"/>
                <w:lang w:eastAsia="en-IN"/>
              </w:rPr>
              <w:t>1</w:t>
            </w:r>
          </w:p>
        </w:tc>
        <w:tc>
          <w:tcPr>
            <w:tcW w:w="650" w:type="dxa"/>
            <w:tcBorders>
              <w:top w:val="nil"/>
              <w:left w:val="nil"/>
              <w:bottom w:val="single" w:sz="4" w:space="0" w:color="auto"/>
              <w:right w:val="single" w:sz="4" w:space="0" w:color="auto"/>
            </w:tcBorders>
            <w:noWrap/>
            <w:vAlign w:val="center"/>
            <w:hideMark/>
          </w:tcPr>
          <w:p w14:paraId="2D8CE811" w14:textId="77777777" w:rsidR="008000A7" w:rsidRPr="00471458" w:rsidRDefault="008000A7" w:rsidP="00471458">
            <w:pPr>
              <w:pStyle w:val="NoSpacing"/>
              <w:jc w:val="center"/>
              <w:rPr>
                <w:rFonts w:ascii="Times New Roman" w:hAnsi="Times New Roman" w:cs="Times New Roman"/>
                <w:b/>
                <w:bCs/>
                <w:sz w:val="18"/>
                <w:szCs w:val="18"/>
                <w:lang w:eastAsia="en-IN"/>
              </w:rPr>
            </w:pPr>
            <w:r w:rsidRPr="00471458">
              <w:rPr>
                <w:rFonts w:ascii="Times New Roman" w:hAnsi="Times New Roman" w:cs="Times New Roman"/>
                <w:b/>
                <w:bCs/>
                <w:sz w:val="18"/>
                <w:szCs w:val="18"/>
                <w:lang w:eastAsia="en-IN"/>
              </w:rPr>
              <w:t>2</w:t>
            </w:r>
          </w:p>
        </w:tc>
        <w:tc>
          <w:tcPr>
            <w:tcW w:w="711" w:type="dxa"/>
            <w:tcBorders>
              <w:top w:val="nil"/>
              <w:left w:val="nil"/>
              <w:bottom w:val="single" w:sz="4" w:space="0" w:color="auto"/>
              <w:right w:val="single" w:sz="4" w:space="0" w:color="auto"/>
            </w:tcBorders>
            <w:noWrap/>
            <w:vAlign w:val="center"/>
            <w:hideMark/>
          </w:tcPr>
          <w:p w14:paraId="11AF9764" w14:textId="77777777" w:rsidR="008000A7" w:rsidRPr="00471458" w:rsidRDefault="008000A7" w:rsidP="00471458">
            <w:pPr>
              <w:pStyle w:val="NoSpacing"/>
              <w:jc w:val="center"/>
              <w:rPr>
                <w:rFonts w:ascii="Times New Roman" w:hAnsi="Times New Roman" w:cs="Times New Roman"/>
                <w:b/>
                <w:bCs/>
                <w:sz w:val="18"/>
                <w:szCs w:val="18"/>
                <w:lang w:eastAsia="en-IN"/>
              </w:rPr>
            </w:pPr>
            <w:r w:rsidRPr="00471458">
              <w:rPr>
                <w:rFonts w:ascii="Times New Roman" w:hAnsi="Times New Roman" w:cs="Times New Roman"/>
                <w:b/>
                <w:bCs/>
                <w:sz w:val="18"/>
                <w:szCs w:val="18"/>
                <w:lang w:eastAsia="en-IN"/>
              </w:rPr>
              <w:t>3</w:t>
            </w:r>
          </w:p>
        </w:tc>
        <w:tc>
          <w:tcPr>
            <w:tcW w:w="651" w:type="dxa"/>
            <w:tcBorders>
              <w:top w:val="nil"/>
              <w:left w:val="nil"/>
              <w:bottom w:val="single" w:sz="4" w:space="0" w:color="auto"/>
              <w:right w:val="single" w:sz="4" w:space="0" w:color="auto"/>
            </w:tcBorders>
            <w:noWrap/>
            <w:vAlign w:val="center"/>
            <w:hideMark/>
          </w:tcPr>
          <w:p w14:paraId="184F882F" w14:textId="77777777" w:rsidR="008000A7" w:rsidRPr="00471458" w:rsidRDefault="008000A7" w:rsidP="00471458">
            <w:pPr>
              <w:pStyle w:val="NoSpacing"/>
              <w:jc w:val="center"/>
              <w:rPr>
                <w:rFonts w:ascii="Times New Roman" w:hAnsi="Times New Roman" w:cs="Times New Roman"/>
                <w:b/>
                <w:bCs/>
                <w:sz w:val="18"/>
                <w:szCs w:val="18"/>
                <w:lang w:eastAsia="en-IN"/>
              </w:rPr>
            </w:pPr>
            <w:r w:rsidRPr="00471458">
              <w:rPr>
                <w:rFonts w:ascii="Times New Roman" w:hAnsi="Times New Roman" w:cs="Times New Roman"/>
                <w:b/>
                <w:bCs/>
                <w:sz w:val="18"/>
                <w:szCs w:val="18"/>
                <w:lang w:eastAsia="en-IN"/>
              </w:rPr>
              <w:t>4</w:t>
            </w:r>
          </w:p>
        </w:tc>
        <w:tc>
          <w:tcPr>
            <w:tcW w:w="651" w:type="dxa"/>
            <w:tcBorders>
              <w:top w:val="nil"/>
              <w:left w:val="nil"/>
              <w:bottom w:val="single" w:sz="4" w:space="0" w:color="auto"/>
              <w:right w:val="single" w:sz="4" w:space="0" w:color="auto"/>
            </w:tcBorders>
            <w:noWrap/>
            <w:vAlign w:val="center"/>
            <w:hideMark/>
          </w:tcPr>
          <w:p w14:paraId="3E283709" w14:textId="77777777" w:rsidR="008000A7" w:rsidRPr="00471458" w:rsidRDefault="008000A7" w:rsidP="00471458">
            <w:pPr>
              <w:pStyle w:val="NoSpacing"/>
              <w:jc w:val="center"/>
              <w:rPr>
                <w:rFonts w:ascii="Times New Roman" w:hAnsi="Times New Roman" w:cs="Times New Roman"/>
                <w:b/>
                <w:bCs/>
                <w:sz w:val="18"/>
                <w:szCs w:val="18"/>
                <w:lang w:eastAsia="en-IN"/>
              </w:rPr>
            </w:pPr>
            <w:r w:rsidRPr="00471458">
              <w:rPr>
                <w:rFonts w:ascii="Times New Roman" w:hAnsi="Times New Roman" w:cs="Times New Roman"/>
                <w:b/>
                <w:bCs/>
                <w:sz w:val="18"/>
                <w:szCs w:val="18"/>
                <w:lang w:eastAsia="en-IN"/>
              </w:rPr>
              <w:t>5</w:t>
            </w:r>
          </w:p>
        </w:tc>
        <w:tc>
          <w:tcPr>
            <w:tcW w:w="651" w:type="dxa"/>
            <w:tcBorders>
              <w:top w:val="nil"/>
              <w:left w:val="nil"/>
              <w:bottom w:val="single" w:sz="4" w:space="0" w:color="auto"/>
              <w:right w:val="single" w:sz="4" w:space="0" w:color="auto"/>
            </w:tcBorders>
            <w:noWrap/>
            <w:vAlign w:val="center"/>
            <w:hideMark/>
          </w:tcPr>
          <w:p w14:paraId="27D42472" w14:textId="77777777" w:rsidR="008000A7" w:rsidRPr="00471458" w:rsidRDefault="008000A7" w:rsidP="00471458">
            <w:pPr>
              <w:pStyle w:val="NoSpacing"/>
              <w:jc w:val="center"/>
              <w:rPr>
                <w:rFonts w:ascii="Times New Roman" w:hAnsi="Times New Roman" w:cs="Times New Roman"/>
                <w:b/>
                <w:bCs/>
                <w:sz w:val="18"/>
                <w:szCs w:val="18"/>
                <w:lang w:eastAsia="en-IN"/>
              </w:rPr>
            </w:pPr>
            <w:r w:rsidRPr="00471458">
              <w:rPr>
                <w:rFonts w:ascii="Times New Roman" w:hAnsi="Times New Roman" w:cs="Times New Roman"/>
                <w:b/>
                <w:bCs/>
                <w:sz w:val="18"/>
                <w:szCs w:val="18"/>
                <w:lang w:eastAsia="en-IN"/>
              </w:rPr>
              <w:t>6</w:t>
            </w:r>
          </w:p>
        </w:tc>
        <w:tc>
          <w:tcPr>
            <w:tcW w:w="712" w:type="dxa"/>
            <w:tcBorders>
              <w:top w:val="nil"/>
              <w:left w:val="nil"/>
              <w:bottom w:val="single" w:sz="4" w:space="0" w:color="auto"/>
              <w:right w:val="single" w:sz="4" w:space="0" w:color="auto"/>
            </w:tcBorders>
            <w:noWrap/>
            <w:vAlign w:val="center"/>
            <w:hideMark/>
          </w:tcPr>
          <w:p w14:paraId="1086EA88" w14:textId="77777777" w:rsidR="008000A7" w:rsidRPr="00471458" w:rsidRDefault="008000A7" w:rsidP="00471458">
            <w:pPr>
              <w:pStyle w:val="NoSpacing"/>
              <w:jc w:val="center"/>
              <w:rPr>
                <w:rFonts w:ascii="Times New Roman" w:hAnsi="Times New Roman" w:cs="Times New Roman"/>
                <w:b/>
                <w:bCs/>
                <w:sz w:val="18"/>
                <w:szCs w:val="18"/>
                <w:lang w:eastAsia="en-IN"/>
              </w:rPr>
            </w:pPr>
            <w:r w:rsidRPr="00471458">
              <w:rPr>
                <w:rFonts w:ascii="Times New Roman" w:hAnsi="Times New Roman" w:cs="Times New Roman"/>
                <w:b/>
                <w:bCs/>
                <w:sz w:val="18"/>
                <w:szCs w:val="18"/>
                <w:lang w:eastAsia="en-IN"/>
              </w:rPr>
              <w:t>7</w:t>
            </w:r>
          </w:p>
        </w:tc>
        <w:tc>
          <w:tcPr>
            <w:tcW w:w="651" w:type="dxa"/>
            <w:tcBorders>
              <w:top w:val="nil"/>
              <w:left w:val="nil"/>
              <w:bottom w:val="single" w:sz="4" w:space="0" w:color="auto"/>
              <w:right w:val="single" w:sz="4" w:space="0" w:color="auto"/>
            </w:tcBorders>
            <w:noWrap/>
            <w:vAlign w:val="center"/>
            <w:hideMark/>
          </w:tcPr>
          <w:p w14:paraId="22E010F7" w14:textId="77777777" w:rsidR="008000A7" w:rsidRPr="00471458" w:rsidRDefault="008000A7" w:rsidP="00471458">
            <w:pPr>
              <w:pStyle w:val="NoSpacing"/>
              <w:jc w:val="center"/>
              <w:rPr>
                <w:rFonts w:ascii="Times New Roman" w:hAnsi="Times New Roman" w:cs="Times New Roman"/>
                <w:b/>
                <w:bCs/>
                <w:sz w:val="18"/>
                <w:szCs w:val="18"/>
                <w:lang w:eastAsia="en-IN"/>
              </w:rPr>
            </w:pPr>
            <w:r w:rsidRPr="00471458">
              <w:rPr>
                <w:rFonts w:ascii="Times New Roman" w:hAnsi="Times New Roman" w:cs="Times New Roman"/>
                <w:b/>
                <w:bCs/>
                <w:sz w:val="18"/>
                <w:szCs w:val="18"/>
                <w:lang w:eastAsia="en-IN"/>
              </w:rPr>
              <w:t>8</w:t>
            </w:r>
          </w:p>
        </w:tc>
        <w:tc>
          <w:tcPr>
            <w:tcW w:w="651" w:type="dxa"/>
            <w:tcBorders>
              <w:top w:val="nil"/>
              <w:left w:val="nil"/>
              <w:bottom w:val="single" w:sz="4" w:space="0" w:color="auto"/>
              <w:right w:val="single" w:sz="4" w:space="0" w:color="auto"/>
            </w:tcBorders>
            <w:noWrap/>
            <w:vAlign w:val="center"/>
            <w:hideMark/>
          </w:tcPr>
          <w:p w14:paraId="08F797FE" w14:textId="77777777" w:rsidR="008000A7" w:rsidRPr="00471458" w:rsidRDefault="008000A7" w:rsidP="00471458">
            <w:pPr>
              <w:pStyle w:val="NoSpacing"/>
              <w:jc w:val="center"/>
              <w:rPr>
                <w:rFonts w:ascii="Times New Roman" w:hAnsi="Times New Roman" w:cs="Times New Roman"/>
                <w:b/>
                <w:bCs/>
                <w:sz w:val="18"/>
                <w:szCs w:val="18"/>
                <w:lang w:eastAsia="en-IN"/>
              </w:rPr>
            </w:pPr>
            <w:r w:rsidRPr="00471458">
              <w:rPr>
                <w:rFonts w:ascii="Times New Roman" w:hAnsi="Times New Roman" w:cs="Times New Roman"/>
                <w:b/>
                <w:bCs/>
                <w:sz w:val="18"/>
                <w:szCs w:val="18"/>
                <w:lang w:eastAsia="en-IN"/>
              </w:rPr>
              <w:t>9</w:t>
            </w:r>
          </w:p>
        </w:tc>
        <w:tc>
          <w:tcPr>
            <w:tcW w:w="651" w:type="dxa"/>
            <w:tcBorders>
              <w:top w:val="nil"/>
              <w:left w:val="nil"/>
              <w:bottom w:val="single" w:sz="4" w:space="0" w:color="auto"/>
              <w:right w:val="single" w:sz="4" w:space="0" w:color="auto"/>
            </w:tcBorders>
            <w:noWrap/>
            <w:vAlign w:val="center"/>
            <w:hideMark/>
          </w:tcPr>
          <w:p w14:paraId="1D8EB0F6" w14:textId="77777777" w:rsidR="008000A7" w:rsidRPr="00471458" w:rsidRDefault="008000A7" w:rsidP="00471458">
            <w:pPr>
              <w:pStyle w:val="NoSpacing"/>
              <w:jc w:val="center"/>
              <w:rPr>
                <w:rFonts w:ascii="Times New Roman" w:hAnsi="Times New Roman" w:cs="Times New Roman"/>
                <w:b/>
                <w:bCs/>
                <w:sz w:val="18"/>
                <w:szCs w:val="18"/>
                <w:lang w:eastAsia="en-IN"/>
              </w:rPr>
            </w:pPr>
            <w:r w:rsidRPr="00471458">
              <w:rPr>
                <w:rFonts w:ascii="Times New Roman" w:hAnsi="Times New Roman" w:cs="Times New Roman"/>
                <w:b/>
                <w:bCs/>
                <w:sz w:val="18"/>
                <w:szCs w:val="18"/>
                <w:lang w:eastAsia="en-IN"/>
              </w:rPr>
              <w:t>10</w:t>
            </w:r>
          </w:p>
        </w:tc>
        <w:tc>
          <w:tcPr>
            <w:tcW w:w="712" w:type="dxa"/>
            <w:tcBorders>
              <w:top w:val="nil"/>
              <w:left w:val="nil"/>
              <w:bottom w:val="single" w:sz="4" w:space="0" w:color="auto"/>
              <w:right w:val="single" w:sz="4" w:space="0" w:color="auto"/>
            </w:tcBorders>
            <w:noWrap/>
            <w:vAlign w:val="center"/>
            <w:hideMark/>
          </w:tcPr>
          <w:p w14:paraId="06277E00" w14:textId="77777777" w:rsidR="008000A7" w:rsidRPr="00471458" w:rsidRDefault="008000A7" w:rsidP="00471458">
            <w:pPr>
              <w:pStyle w:val="NoSpacing"/>
              <w:jc w:val="center"/>
              <w:rPr>
                <w:rFonts w:ascii="Times New Roman" w:hAnsi="Times New Roman" w:cs="Times New Roman"/>
                <w:b/>
                <w:bCs/>
                <w:sz w:val="18"/>
                <w:szCs w:val="18"/>
                <w:lang w:eastAsia="en-IN"/>
              </w:rPr>
            </w:pPr>
            <w:r w:rsidRPr="00471458">
              <w:rPr>
                <w:rFonts w:ascii="Times New Roman" w:hAnsi="Times New Roman" w:cs="Times New Roman"/>
                <w:b/>
                <w:bCs/>
                <w:sz w:val="18"/>
                <w:szCs w:val="18"/>
                <w:lang w:eastAsia="en-IN"/>
              </w:rPr>
              <w:t>11</w:t>
            </w:r>
          </w:p>
        </w:tc>
        <w:tc>
          <w:tcPr>
            <w:tcW w:w="651" w:type="dxa"/>
            <w:tcBorders>
              <w:top w:val="nil"/>
              <w:left w:val="nil"/>
              <w:bottom w:val="single" w:sz="4" w:space="0" w:color="auto"/>
              <w:right w:val="single" w:sz="4" w:space="0" w:color="auto"/>
            </w:tcBorders>
            <w:noWrap/>
            <w:vAlign w:val="center"/>
            <w:hideMark/>
          </w:tcPr>
          <w:p w14:paraId="3419750E" w14:textId="77777777" w:rsidR="008000A7" w:rsidRPr="00471458" w:rsidRDefault="008000A7" w:rsidP="00471458">
            <w:pPr>
              <w:pStyle w:val="NoSpacing"/>
              <w:jc w:val="center"/>
              <w:rPr>
                <w:rFonts w:ascii="Times New Roman" w:hAnsi="Times New Roman" w:cs="Times New Roman"/>
                <w:b/>
                <w:bCs/>
                <w:sz w:val="18"/>
                <w:szCs w:val="18"/>
                <w:lang w:eastAsia="en-IN"/>
              </w:rPr>
            </w:pPr>
            <w:r w:rsidRPr="00471458">
              <w:rPr>
                <w:rFonts w:ascii="Times New Roman" w:hAnsi="Times New Roman" w:cs="Times New Roman"/>
                <w:b/>
                <w:bCs/>
                <w:sz w:val="18"/>
                <w:szCs w:val="18"/>
                <w:lang w:eastAsia="en-IN"/>
              </w:rPr>
              <w:t>12</w:t>
            </w:r>
          </w:p>
        </w:tc>
        <w:tc>
          <w:tcPr>
            <w:tcW w:w="935" w:type="dxa"/>
            <w:tcBorders>
              <w:top w:val="nil"/>
              <w:left w:val="nil"/>
              <w:bottom w:val="single" w:sz="4" w:space="0" w:color="auto"/>
              <w:right w:val="single" w:sz="4" w:space="0" w:color="auto"/>
            </w:tcBorders>
            <w:noWrap/>
            <w:vAlign w:val="center"/>
            <w:hideMark/>
          </w:tcPr>
          <w:p w14:paraId="4FAC769F" w14:textId="77777777" w:rsidR="008000A7" w:rsidRPr="00471458" w:rsidRDefault="008000A7" w:rsidP="00471458">
            <w:pPr>
              <w:pStyle w:val="NoSpacing"/>
              <w:jc w:val="center"/>
              <w:rPr>
                <w:rFonts w:ascii="Times New Roman" w:hAnsi="Times New Roman" w:cs="Times New Roman"/>
                <w:b/>
                <w:bCs/>
                <w:sz w:val="18"/>
                <w:szCs w:val="18"/>
                <w:lang w:eastAsia="en-IN"/>
              </w:rPr>
            </w:pPr>
            <w:r w:rsidRPr="00471458">
              <w:rPr>
                <w:rFonts w:ascii="Times New Roman" w:hAnsi="Times New Roman" w:cs="Times New Roman"/>
                <w:b/>
                <w:bCs/>
                <w:sz w:val="18"/>
                <w:szCs w:val="18"/>
                <w:lang w:eastAsia="en-IN"/>
              </w:rPr>
              <w:t>13</w:t>
            </w:r>
          </w:p>
        </w:tc>
        <w:tc>
          <w:tcPr>
            <w:tcW w:w="651" w:type="dxa"/>
            <w:tcBorders>
              <w:top w:val="nil"/>
              <w:left w:val="nil"/>
              <w:bottom w:val="single" w:sz="4" w:space="0" w:color="auto"/>
              <w:right w:val="single" w:sz="4" w:space="0" w:color="auto"/>
            </w:tcBorders>
            <w:noWrap/>
            <w:vAlign w:val="center"/>
            <w:hideMark/>
          </w:tcPr>
          <w:p w14:paraId="264F981E" w14:textId="77777777" w:rsidR="008000A7" w:rsidRPr="00471458" w:rsidRDefault="008000A7" w:rsidP="00471458">
            <w:pPr>
              <w:pStyle w:val="NoSpacing"/>
              <w:jc w:val="center"/>
              <w:rPr>
                <w:rFonts w:ascii="Times New Roman" w:hAnsi="Times New Roman" w:cs="Times New Roman"/>
                <w:b/>
                <w:bCs/>
                <w:sz w:val="18"/>
                <w:szCs w:val="18"/>
                <w:lang w:eastAsia="en-IN"/>
              </w:rPr>
            </w:pPr>
            <w:r w:rsidRPr="00471458">
              <w:rPr>
                <w:rFonts w:ascii="Times New Roman" w:hAnsi="Times New Roman" w:cs="Times New Roman"/>
                <w:b/>
                <w:bCs/>
                <w:sz w:val="18"/>
                <w:szCs w:val="18"/>
                <w:lang w:eastAsia="en-IN"/>
              </w:rPr>
              <w:t>14</w:t>
            </w:r>
          </w:p>
        </w:tc>
        <w:tc>
          <w:tcPr>
            <w:tcW w:w="651" w:type="dxa"/>
            <w:tcBorders>
              <w:top w:val="nil"/>
              <w:left w:val="nil"/>
              <w:bottom w:val="single" w:sz="4" w:space="0" w:color="auto"/>
              <w:right w:val="single" w:sz="4" w:space="0" w:color="auto"/>
            </w:tcBorders>
            <w:noWrap/>
            <w:vAlign w:val="center"/>
            <w:hideMark/>
          </w:tcPr>
          <w:p w14:paraId="568B6F05" w14:textId="77777777" w:rsidR="008000A7" w:rsidRPr="00471458" w:rsidRDefault="008000A7" w:rsidP="00471458">
            <w:pPr>
              <w:pStyle w:val="NoSpacing"/>
              <w:jc w:val="center"/>
              <w:rPr>
                <w:rFonts w:ascii="Times New Roman" w:hAnsi="Times New Roman" w:cs="Times New Roman"/>
                <w:b/>
                <w:bCs/>
                <w:sz w:val="18"/>
                <w:szCs w:val="18"/>
                <w:lang w:eastAsia="en-IN"/>
              </w:rPr>
            </w:pPr>
            <w:r w:rsidRPr="00471458">
              <w:rPr>
                <w:rFonts w:ascii="Times New Roman" w:hAnsi="Times New Roman" w:cs="Times New Roman"/>
                <w:b/>
                <w:bCs/>
                <w:sz w:val="18"/>
                <w:szCs w:val="18"/>
                <w:lang w:eastAsia="en-IN"/>
              </w:rPr>
              <w:t>15</w:t>
            </w:r>
          </w:p>
        </w:tc>
        <w:tc>
          <w:tcPr>
            <w:tcW w:w="712" w:type="dxa"/>
            <w:tcBorders>
              <w:top w:val="nil"/>
              <w:left w:val="nil"/>
              <w:bottom w:val="single" w:sz="4" w:space="0" w:color="auto"/>
              <w:right w:val="single" w:sz="4" w:space="0" w:color="auto"/>
            </w:tcBorders>
            <w:noWrap/>
            <w:vAlign w:val="center"/>
            <w:hideMark/>
          </w:tcPr>
          <w:p w14:paraId="3E2EEE87" w14:textId="77777777" w:rsidR="008000A7" w:rsidRPr="00471458" w:rsidRDefault="008000A7" w:rsidP="00471458">
            <w:pPr>
              <w:pStyle w:val="NoSpacing"/>
              <w:jc w:val="center"/>
              <w:rPr>
                <w:rFonts w:ascii="Times New Roman" w:hAnsi="Times New Roman" w:cs="Times New Roman"/>
                <w:b/>
                <w:bCs/>
                <w:sz w:val="18"/>
                <w:szCs w:val="18"/>
                <w:lang w:eastAsia="en-IN"/>
              </w:rPr>
            </w:pPr>
            <w:r w:rsidRPr="00471458">
              <w:rPr>
                <w:rFonts w:ascii="Times New Roman" w:hAnsi="Times New Roman" w:cs="Times New Roman"/>
                <w:b/>
                <w:bCs/>
                <w:sz w:val="18"/>
                <w:szCs w:val="18"/>
                <w:lang w:eastAsia="en-IN"/>
              </w:rPr>
              <w:t>16</w:t>
            </w:r>
          </w:p>
        </w:tc>
        <w:tc>
          <w:tcPr>
            <w:tcW w:w="651" w:type="dxa"/>
            <w:tcBorders>
              <w:top w:val="nil"/>
              <w:left w:val="nil"/>
              <w:bottom w:val="single" w:sz="4" w:space="0" w:color="auto"/>
              <w:right w:val="single" w:sz="4" w:space="0" w:color="auto"/>
            </w:tcBorders>
            <w:noWrap/>
            <w:vAlign w:val="center"/>
            <w:hideMark/>
          </w:tcPr>
          <w:p w14:paraId="29819779" w14:textId="77777777" w:rsidR="008000A7" w:rsidRPr="00471458" w:rsidRDefault="008000A7" w:rsidP="00471458">
            <w:pPr>
              <w:pStyle w:val="NoSpacing"/>
              <w:jc w:val="center"/>
              <w:rPr>
                <w:rFonts w:ascii="Times New Roman" w:hAnsi="Times New Roman" w:cs="Times New Roman"/>
                <w:b/>
                <w:bCs/>
                <w:sz w:val="18"/>
                <w:szCs w:val="18"/>
                <w:lang w:eastAsia="en-IN"/>
              </w:rPr>
            </w:pPr>
            <w:r w:rsidRPr="00471458">
              <w:rPr>
                <w:rFonts w:ascii="Times New Roman" w:hAnsi="Times New Roman" w:cs="Times New Roman"/>
                <w:b/>
                <w:bCs/>
                <w:sz w:val="18"/>
                <w:szCs w:val="18"/>
                <w:lang w:eastAsia="en-IN"/>
              </w:rPr>
              <w:t>17</w:t>
            </w:r>
          </w:p>
        </w:tc>
        <w:tc>
          <w:tcPr>
            <w:tcW w:w="935" w:type="dxa"/>
            <w:tcBorders>
              <w:top w:val="nil"/>
              <w:left w:val="nil"/>
              <w:bottom w:val="single" w:sz="4" w:space="0" w:color="auto"/>
              <w:right w:val="single" w:sz="4" w:space="0" w:color="auto"/>
            </w:tcBorders>
            <w:noWrap/>
            <w:vAlign w:val="center"/>
            <w:hideMark/>
          </w:tcPr>
          <w:p w14:paraId="6B9CBC0B" w14:textId="77777777" w:rsidR="008000A7" w:rsidRPr="00471458" w:rsidRDefault="008000A7" w:rsidP="00471458">
            <w:pPr>
              <w:pStyle w:val="NoSpacing"/>
              <w:jc w:val="center"/>
              <w:rPr>
                <w:rFonts w:ascii="Times New Roman" w:hAnsi="Times New Roman" w:cs="Times New Roman"/>
                <w:b/>
                <w:bCs/>
                <w:sz w:val="18"/>
                <w:szCs w:val="18"/>
                <w:lang w:eastAsia="en-IN"/>
              </w:rPr>
            </w:pPr>
            <w:r w:rsidRPr="00471458">
              <w:rPr>
                <w:rFonts w:ascii="Times New Roman" w:hAnsi="Times New Roman" w:cs="Times New Roman"/>
                <w:b/>
                <w:bCs/>
                <w:sz w:val="18"/>
                <w:szCs w:val="18"/>
                <w:lang w:eastAsia="en-IN"/>
              </w:rPr>
              <w:t>18</w:t>
            </w:r>
          </w:p>
        </w:tc>
        <w:tc>
          <w:tcPr>
            <w:tcW w:w="651" w:type="dxa"/>
            <w:tcBorders>
              <w:top w:val="nil"/>
              <w:left w:val="nil"/>
              <w:bottom w:val="single" w:sz="4" w:space="0" w:color="auto"/>
              <w:right w:val="single" w:sz="4" w:space="0" w:color="auto"/>
            </w:tcBorders>
            <w:noWrap/>
            <w:vAlign w:val="center"/>
            <w:hideMark/>
          </w:tcPr>
          <w:p w14:paraId="76E6EFF3" w14:textId="77777777" w:rsidR="008000A7" w:rsidRPr="00471458" w:rsidRDefault="008000A7" w:rsidP="00471458">
            <w:pPr>
              <w:pStyle w:val="NoSpacing"/>
              <w:jc w:val="center"/>
              <w:rPr>
                <w:rFonts w:ascii="Times New Roman" w:hAnsi="Times New Roman" w:cs="Times New Roman"/>
                <w:b/>
                <w:bCs/>
                <w:sz w:val="18"/>
                <w:szCs w:val="18"/>
                <w:lang w:eastAsia="en-IN"/>
              </w:rPr>
            </w:pPr>
            <w:r w:rsidRPr="00471458">
              <w:rPr>
                <w:rFonts w:ascii="Times New Roman" w:hAnsi="Times New Roman" w:cs="Times New Roman"/>
                <w:b/>
                <w:bCs/>
                <w:sz w:val="18"/>
                <w:szCs w:val="18"/>
                <w:lang w:eastAsia="en-IN"/>
              </w:rPr>
              <w:t>19</w:t>
            </w:r>
          </w:p>
        </w:tc>
      </w:tr>
      <w:tr w:rsidR="008000A7" w:rsidRPr="007315B3" w14:paraId="7B0D62E7" w14:textId="77777777" w:rsidTr="00537910">
        <w:trPr>
          <w:trHeight w:val="65"/>
          <w:jc w:val="center"/>
        </w:trPr>
        <w:tc>
          <w:tcPr>
            <w:tcW w:w="870" w:type="dxa"/>
            <w:tcBorders>
              <w:top w:val="nil"/>
              <w:left w:val="single" w:sz="4" w:space="0" w:color="auto"/>
              <w:bottom w:val="single" w:sz="4" w:space="0" w:color="auto"/>
              <w:right w:val="single" w:sz="4" w:space="0" w:color="auto"/>
            </w:tcBorders>
            <w:noWrap/>
            <w:vAlign w:val="bottom"/>
            <w:hideMark/>
          </w:tcPr>
          <w:p w14:paraId="78C7D524" w14:textId="77777777" w:rsidR="008000A7" w:rsidRPr="007315B3" w:rsidRDefault="008000A7" w:rsidP="00B77C0B">
            <w:pPr>
              <w:pStyle w:val="NoSpacing"/>
              <w:rPr>
                <w:rFonts w:ascii="Times New Roman" w:hAnsi="Times New Roman" w:cs="Times New Roman"/>
                <w:sz w:val="18"/>
                <w:szCs w:val="18"/>
                <w:lang w:eastAsia="en-IN"/>
              </w:rPr>
            </w:pPr>
            <w:r w:rsidRPr="007315B3">
              <w:rPr>
                <w:rFonts w:ascii="Times New Roman" w:hAnsi="Times New Roman" w:cs="Times New Roman"/>
                <w:sz w:val="18"/>
                <w:szCs w:val="18"/>
                <w:lang w:eastAsia="en-IN"/>
              </w:rPr>
              <w:t>Andhra Pradesh</w:t>
            </w:r>
          </w:p>
        </w:tc>
        <w:tc>
          <w:tcPr>
            <w:tcW w:w="650" w:type="dxa"/>
            <w:tcBorders>
              <w:top w:val="nil"/>
              <w:left w:val="nil"/>
              <w:bottom w:val="single" w:sz="4" w:space="0" w:color="auto"/>
              <w:right w:val="single" w:sz="4" w:space="0" w:color="auto"/>
            </w:tcBorders>
            <w:noWrap/>
            <w:vAlign w:val="center"/>
            <w:hideMark/>
          </w:tcPr>
          <w:p w14:paraId="2548B247" w14:textId="77777777" w:rsidR="008000A7" w:rsidRPr="007315B3" w:rsidRDefault="008000A7" w:rsidP="00471458">
            <w:pPr>
              <w:pStyle w:val="NoSpacing"/>
              <w:jc w:val="center"/>
              <w:rPr>
                <w:rFonts w:ascii="Times New Roman" w:hAnsi="Times New Roman" w:cs="Times New Roman"/>
                <w:sz w:val="18"/>
                <w:szCs w:val="18"/>
                <w:lang w:eastAsia="en-IN"/>
              </w:rPr>
            </w:pPr>
            <w:r w:rsidRPr="007315B3">
              <w:rPr>
                <w:rFonts w:ascii="Times New Roman" w:hAnsi="Times New Roman" w:cs="Times New Roman"/>
                <w:sz w:val="18"/>
                <w:szCs w:val="18"/>
                <w:lang w:eastAsia="en-IN"/>
              </w:rPr>
              <w:t>1.79</w:t>
            </w:r>
          </w:p>
        </w:tc>
        <w:tc>
          <w:tcPr>
            <w:tcW w:w="711" w:type="dxa"/>
            <w:tcBorders>
              <w:top w:val="nil"/>
              <w:left w:val="nil"/>
              <w:bottom w:val="single" w:sz="4" w:space="0" w:color="auto"/>
              <w:right w:val="single" w:sz="4" w:space="0" w:color="auto"/>
            </w:tcBorders>
            <w:noWrap/>
            <w:vAlign w:val="center"/>
            <w:hideMark/>
          </w:tcPr>
          <w:p w14:paraId="70EC0C5B" w14:textId="16209772" w:rsidR="008000A7" w:rsidRPr="007315B3" w:rsidRDefault="008000A7" w:rsidP="00471458">
            <w:pPr>
              <w:pStyle w:val="NoSpacing"/>
              <w:jc w:val="center"/>
              <w:rPr>
                <w:rFonts w:ascii="Times New Roman" w:hAnsi="Times New Roman" w:cs="Times New Roman"/>
                <w:sz w:val="18"/>
                <w:szCs w:val="18"/>
                <w:lang w:eastAsia="en-IN"/>
              </w:rPr>
            </w:pPr>
            <w:r w:rsidRPr="007315B3">
              <w:rPr>
                <w:rFonts w:ascii="Times New Roman" w:hAnsi="Times New Roman" w:cs="Times New Roman"/>
                <w:sz w:val="18"/>
                <w:szCs w:val="18"/>
                <w:lang w:eastAsia="en-IN"/>
              </w:rPr>
              <w:t>1</w:t>
            </w:r>
            <w:r w:rsidR="00F8055F">
              <w:rPr>
                <w:rFonts w:ascii="Times New Roman" w:hAnsi="Times New Roman" w:cs="Times New Roman"/>
                <w:sz w:val="18"/>
                <w:szCs w:val="18"/>
                <w:lang w:eastAsia="en-IN"/>
              </w:rPr>
              <w:t>.00</w:t>
            </w:r>
          </w:p>
        </w:tc>
        <w:tc>
          <w:tcPr>
            <w:tcW w:w="651" w:type="dxa"/>
            <w:tcBorders>
              <w:top w:val="nil"/>
              <w:left w:val="nil"/>
              <w:bottom w:val="single" w:sz="4" w:space="0" w:color="auto"/>
              <w:right w:val="single" w:sz="4" w:space="0" w:color="auto"/>
            </w:tcBorders>
            <w:noWrap/>
            <w:vAlign w:val="center"/>
            <w:hideMark/>
          </w:tcPr>
          <w:p w14:paraId="2AA2F29A" w14:textId="77777777" w:rsidR="008000A7" w:rsidRPr="007315B3" w:rsidRDefault="008000A7" w:rsidP="00471458">
            <w:pPr>
              <w:pStyle w:val="NoSpacing"/>
              <w:jc w:val="center"/>
              <w:rPr>
                <w:rFonts w:ascii="Times New Roman" w:hAnsi="Times New Roman" w:cs="Times New Roman"/>
                <w:sz w:val="18"/>
                <w:szCs w:val="18"/>
                <w:lang w:eastAsia="en-IN"/>
              </w:rPr>
            </w:pPr>
            <w:r w:rsidRPr="007315B3">
              <w:rPr>
                <w:rFonts w:ascii="Times New Roman" w:hAnsi="Times New Roman" w:cs="Times New Roman"/>
                <w:sz w:val="18"/>
                <w:szCs w:val="18"/>
                <w:lang w:eastAsia="en-IN"/>
              </w:rPr>
              <w:t>3.09</w:t>
            </w:r>
          </w:p>
        </w:tc>
        <w:tc>
          <w:tcPr>
            <w:tcW w:w="651" w:type="dxa"/>
            <w:tcBorders>
              <w:top w:val="nil"/>
              <w:left w:val="nil"/>
              <w:bottom w:val="single" w:sz="4" w:space="0" w:color="auto"/>
              <w:right w:val="single" w:sz="4" w:space="0" w:color="auto"/>
            </w:tcBorders>
            <w:noWrap/>
            <w:vAlign w:val="center"/>
            <w:hideMark/>
          </w:tcPr>
          <w:p w14:paraId="4841B504" w14:textId="7B5EADDA" w:rsidR="008000A7" w:rsidRPr="007315B3" w:rsidRDefault="008000A7" w:rsidP="00471458">
            <w:pPr>
              <w:pStyle w:val="NoSpacing"/>
              <w:jc w:val="center"/>
              <w:rPr>
                <w:rFonts w:ascii="Times New Roman" w:hAnsi="Times New Roman" w:cs="Times New Roman"/>
                <w:sz w:val="18"/>
                <w:szCs w:val="18"/>
                <w:lang w:eastAsia="en-IN"/>
              </w:rPr>
            </w:pPr>
            <w:r w:rsidRPr="007315B3">
              <w:rPr>
                <w:rFonts w:ascii="Times New Roman" w:hAnsi="Times New Roman" w:cs="Times New Roman"/>
                <w:sz w:val="18"/>
                <w:szCs w:val="18"/>
                <w:lang w:eastAsia="en-IN"/>
              </w:rPr>
              <w:t>-2.3</w:t>
            </w:r>
            <w:r w:rsidR="00F8055F">
              <w:rPr>
                <w:rFonts w:ascii="Times New Roman" w:hAnsi="Times New Roman" w:cs="Times New Roman"/>
                <w:sz w:val="18"/>
                <w:szCs w:val="18"/>
                <w:lang w:eastAsia="en-IN"/>
              </w:rPr>
              <w:t>0</w:t>
            </w:r>
          </w:p>
        </w:tc>
        <w:tc>
          <w:tcPr>
            <w:tcW w:w="651" w:type="dxa"/>
            <w:tcBorders>
              <w:top w:val="nil"/>
              <w:left w:val="nil"/>
              <w:bottom w:val="single" w:sz="4" w:space="0" w:color="auto"/>
              <w:right w:val="single" w:sz="4" w:space="0" w:color="auto"/>
            </w:tcBorders>
            <w:noWrap/>
            <w:vAlign w:val="center"/>
            <w:hideMark/>
          </w:tcPr>
          <w:p w14:paraId="1BCA47B3" w14:textId="77777777" w:rsidR="008000A7" w:rsidRPr="007315B3" w:rsidRDefault="008000A7" w:rsidP="00471458">
            <w:pPr>
              <w:pStyle w:val="NoSpacing"/>
              <w:jc w:val="center"/>
              <w:rPr>
                <w:rFonts w:ascii="Times New Roman" w:hAnsi="Times New Roman" w:cs="Times New Roman"/>
                <w:sz w:val="18"/>
                <w:szCs w:val="18"/>
                <w:lang w:eastAsia="en-IN"/>
              </w:rPr>
            </w:pPr>
            <w:r w:rsidRPr="007315B3">
              <w:rPr>
                <w:rFonts w:ascii="Times New Roman" w:hAnsi="Times New Roman" w:cs="Times New Roman"/>
                <w:sz w:val="18"/>
                <w:szCs w:val="18"/>
                <w:lang w:eastAsia="en-IN"/>
              </w:rPr>
              <w:t>1.97</w:t>
            </w:r>
          </w:p>
        </w:tc>
        <w:tc>
          <w:tcPr>
            <w:tcW w:w="712" w:type="dxa"/>
            <w:tcBorders>
              <w:top w:val="nil"/>
              <w:left w:val="nil"/>
              <w:bottom w:val="single" w:sz="4" w:space="0" w:color="auto"/>
              <w:right w:val="single" w:sz="4" w:space="0" w:color="auto"/>
            </w:tcBorders>
            <w:noWrap/>
            <w:vAlign w:val="center"/>
            <w:hideMark/>
          </w:tcPr>
          <w:p w14:paraId="3A2D716C" w14:textId="77777777" w:rsidR="008000A7" w:rsidRPr="007315B3" w:rsidRDefault="008000A7" w:rsidP="00471458">
            <w:pPr>
              <w:pStyle w:val="NoSpacing"/>
              <w:jc w:val="center"/>
              <w:rPr>
                <w:rFonts w:ascii="Times New Roman" w:hAnsi="Times New Roman" w:cs="Times New Roman"/>
                <w:sz w:val="18"/>
                <w:szCs w:val="18"/>
                <w:lang w:eastAsia="en-IN"/>
              </w:rPr>
            </w:pPr>
            <w:r w:rsidRPr="007315B3">
              <w:rPr>
                <w:rFonts w:ascii="Times New Roman" w:hAnsi="Times New Roman" w:cs="Times New Roman"/>
                <w:sz w:val="18"/>
                <w:szCs w:val="18"/>
                <w:lang w:eastAsia="en-IN"/>
              </w:rPr>
              <w:t>1.18</w:t>
            </w:r>
          </w:p>
        </w:tc>
        <w:tc>
          <w:tcPr>
            <w:tcW w:w="651" w:type="dxa"/>
            <w:tcBorders>
              <w:top w:val="nil"/>
              <w:left w:val="nil"/>
              <w:bottom w:val="single" w:sz="4" w:space="0" w:color="auto"/>
              <w:right w:val="single" w:sz="4" w:space="0" w:color="auto"/>
            </w:tcBorders>
            <w:noWrap/>
            <w:vAlign w:val="center"/>
            <w:hideMark/>
          </w:tcPr>
          <w:p w14:paraId="7C651C70" w14:textId="77777777" w:rsidR="008000A7" w:rsidRPr="007315B3" w:rsidRDefault="008000A7" w:rsidP="00471458">
            <w:pPr>
              <w:pStyle w:val="NoSpacing"/>
              <w:jc w:val="center"/>
              <w:rPr>
                <w:rFonts w:ascii="Times New Roman" w:hAnsi="Times New Roman" w:cs="Times New Roman"/>
                <w:sz w:val="18"/>
                <w:szCs w:val="18"/>
                <w:lang w:eastAsia="en-IN"/>
              </w:rPr>
            </w:pPr>
            <w:r w:rsidRPr="007315B3">
              <w:rPr>
                <w:rFonts w:ascii="Times New Roman" w:hAnsi="Times New Roman" w:cs="Times New Roman"/>
                <w:sz w:val="18"/>
                <w:szCs w:val="18"/>
                <w:lang w:eastAsia="en-IN"/>
              </w:rPr>
              <w:t>3.76</w:t>
            </w:r>
          </w:p>
        </w:tc>
        <w:tc>
          <w:tcPr>
            <w:tcW w:w="651" w:type="dxa"/>
            <w:tcBorders>
              <w:top w:val="nil"/>
              <w:left w:val="nil"/>
              <w:bottom w:val="single" w:sz="4" w:space="0" w:color="auto"/>
              <w:right w:val="single" w:sz="4" w:space="0" w:color="auto"/>
            </w:tcBorders>
            <w:noWrap/>
            <w:vAlign w:val="center"/>
            <w:hideMark/>
          </w:tcPr>
          <w:p w14:paraId="4E00FD95" w14:textId="77777777" w:rsidR="008000A7" w:rsidRPr="007315B3" w:rsidRDefault="008000A7" w:rsidP="00471458">
            <w:pPr>
              <w:pStyle w:val="NoSpacing"/>
              <w:jc w:val="center"/>
              <w:rPr>
                <w:rFonts w:ascii="Times New Roman" w:hAnsi="Times New Roman" w:cs="Times New Roman"/>
                <w:sz w:val="18"/>
                <w:szCs w:val="18"/>
                <w:lang w:eastAsia="en-IN"/>
              </w:rPr>
            </w:pPr>
            <w:r w:rsidRPr="007315B3">
              <w:rPr>
                <w:rFonts w:ascii="Times New Roman" w:hAnsi="Times New Roman" w:cs="Times New Roman"/>
                <w:sz w:val="18"/>
                <w:szCs w:val="18"/>
                <w:lang w:eastAsia="en-IN"/>
              </w:rPr>
              <w:t>-2.97</w:t>
            </w:r>
          </w:p>
        </w:tc>
        <w:tc>
          <w:tcPr>
            <w:tcW w:w="651" w:type="dxa"/>
            <w:tcBorders>
              <w:top w:val="nil"/>
              <w:left w:val="nil"/>
              <w:bottom w:val="single" w:sz="4" w:space="0" w:color="auto"/>
              <w:right w:val="single" w:sz="4" w:space="0" w:color="auto"/>
            </w:tcBorders>
            <w:noWrap/>
            <w:vAlign w:val="center"/>
            <w:hideMark/>
          </w:tcPr>
          <w:p w14:paraId="170D1193" w14:textId="77777777" w:rsidR="008000A7" w:rsidRPr="007315B3" w:rsidRDefault="008000A7" w:rsidP="00471458">
            <w:pPr>
              <w:pStyle w:val="NoSpacing"/>
              <w:jc w:val="center"/>
              <w:rPr>
                <w:rFonts w:ascii="Times New Roman" w:hAnsi="Times New Roman" w:cs="Times New Roman"/>
                <w:sz w:val="18"/>
                <w:szCs w:val="18"/>
                <w:lang w:eastAsia="en-IN"/>
              </w:rPr>
            </w:pPr>
            <w:r w:rsidRPr="007315B3">
              <w:rPr>
                <w:rFonts w:ascii="Times New Roman" w:hAnsi="Times New Roman" w:cs="Times New Roman"/>
                <w:sz w:val="18"/>
                <w:szCs w:val="18"/>
                <w:lang w:eastAsia="en-IN"/>
              </w:rPr>
              <w:t>2.12</w:t>
            </w:r>
          </w:p>
        </w:tc>
        <w:tc>
          <w:tcPr>
            <w:tcW w:w="712" w:type="dxa"/>
            <w:tcBorders>
              <w:top w:val="nil"/>
              <w:left w:val="nil"/>
              <w:bottom w:val="single" w:sz="4" w:space="0" w:color="auto"/>
              <w:right w:val="single" w:sz="4" w:space="0" w:color="auto"/>
            </w:tcBorders>
            <w:noWrap/>
            <w:vAlign w:val="center"/>
            <w:hideMark/>
          </w:tcPr>
          <w:p w14:paraId="6B680313" w14:textId="77777777" w:rsidR="008000A7" w:rsidRPr="007315B3" w:rsidRDefault="008000A7" w:rsidP="00471458">
            <w:pPr>
              <w:pStyle w:val="NoSpacing"/>
              <w:jc w:val="center"/>
              <w:rPr>
                <w:rFonts w:ascii="Times New Roman" w:hAnsi="Times New Roman" w:cs="Times New Roman"/>
                <w:sz w:val="18"/>
                <w:szCs w:val="18"/>
                <w:lang w:eastAsia="en-IN"/>
              </w:rPr>
            </w:pPr>
            <w:r w:rsidRPr="007315B3">
              <w:rPr>
                <w:rFonts w:ascii="Times New Roman" w:hAnsi="Times New Roman" w:cs="Times New Roman"/>
                <w:sz w:val="18"/>
                <w:szCs w:val="18"/>
                <w:lang w:eastAsia="en-IN"/>
              </w:rPr>
              <w:t>0.81</w:t>
            </w:r>
          </w:p>
        </w:tc>
        <w:tc>
          <w:tcPr>
            <w:tcW w:w="651" w:type="dxa"/>
            <w:tcBorders>
              <w:top w:val="nil"/>
              <w:left w:val="nil"/>
              <w:bottom w:val="single" w:sz="4" w:space="0" w:color="auto"/>
              <w:right w:val="single" w:sz="4" w:space="0" w:color="auto"/>
            </w:tcBorders>
            <w:noWrap/>
            <w:vAlign w:val="center"/>
            <w:hideMark/>
          </w:tcPr>
          <w:p w14:paraId="104AE578" w14:textId="77777777" w:rsidR="008000A7" w:rsidRPr="007315B3" w:rsidRDefault="008000A7" w:rsidP="00471458">
            <w:pPr>
              <w:pStyle w:val="NoSpacing"/>
              <w:jc w:val="center"/>
              <w:rPr>
                <w:rFonts w:ascii="Times New Roman" w:hAnsi="Times New Roman" w:cs="Times New Roman"/>
                <w:sz w:val="18"/>
                <w:szCs w:val="18"/>
                <w:lang w:eastAsia="en-IN"/>
              </w:rPr>
            </w:pPr>
            <w:r w:rsidRPr="007315B3">
              <w:rPr>
                <w:rFonts w:ascii="Times New Roman" w:hAnsi="Times New Roman" w:cs="Times New Roman"/>
                <w:sz w:val="18"/>
                <w:szCs w:val="18"/>
                <w:lang w:eastAsia="en-IN"/>
              </w:rPr>
              <w:t>4.36</w:t>
            </w:r>
          </w:p>
        </w:tc>
        <w:tc>
          <w:tcPr>
            <w:tcW w:w="935" w:type="dxa"/>
            <w:tcBorders>
              <w:top w:val="nil"/>
              <w:left w:val="nil"/>
              <w:bottom w:val="single" w:sz="4" w:space="0" w:color="auto"/>
              <w:right w:val="single" w:sz="4" w:space="0" w:color="auto"/>
            </w:tcBorders>
            <w:noWrap/>
            <w:vAlign w:val="center"/>
            <w:hideMark/>
          </w:tcPr>
          <w:p w14:paraId="2451DFEC" w14:textId="77777777" w:rsidR="008000A7" w:rsidRPr="007315B3" w:rsidRDefault="008000A7" w:rsidP="00471458">
            <w:pPr>
              <w:pStyle w:val="NoSpacing"/>
              <w:jc w:val="center"/>
              <w:rPr>
                <w:rFonts w:ascii="Times New Roman" w:hAnsi="Times New Roman" w:cs="Times New Roman"/>
                <w:sz w:val="18"/>
                <w:szCs w:val="18"/>
                <w:lang w:eastAsia="en-IN"/>
              </w:rPr>
            </w:pPr>
            <w:r w:rsidRPr="007315B3">
              <w:rPr>
                <w:rFonts w:ascii="Times New Roman" w:hAnsi="Times New Roman" w:cs="Times New Roman"/>
                <w:sz w:val="18"/>
                <w:szCs w:val="18"/>
                <w:lang w:eastAsia="en-IN"/>
              </w:rPr>
              <w:t>..</w:t>
            </w:r>
          </w:p>
        </w:tc>
        <w:tc>
          <w:tcPr>
            <w:tcW w:w="651" w:type="dxa"/>
            <w:tcBorders>
              <w:top w:val="nil"/>
              <w:left w:val="nil"/>
              <w:bottom w:val="single" w:sz="4" w:space="0" w:color="auto"/>
              <w:right w:val="single" w:sz="4" w:space="0" w:color="auto"/>
            </w:tcBorders>
            <w:noWrap/>
            <w:vAlign w:val="center"/>
            <w:hideMark/>
          </w:tcPr>
          <w:p w14:paraId="74082477" w14:textId="77777777" w:rsidR="008000A7" w:rsidRPr="007315B3" w:rsidRDefault="008000A7" w:rsidP="00471458">
            <w:pPr>
              <w:pStyle w:val="NoSpacing"/>
              <w:jc w:val="center"/>
              <w:rPr>
                <w:rFonts w:ascii="Times New Roman" w:hAnsi="Times New Roman" w:cs="Times New Roman"/>
                <w:sz w:val="18"/>
                <w:szCs w:val="18"/>
                <w:lang w:eastAsia="en-IN"/>
              </w:rPr>
            </w:pPr>
            <w:r w:rsidRPr="007315B3">
              <w:rPr>
                <w:rFonts w:ascii="Times New Roman" w:hAnsi="Times New Roman" w:cs="Times New Roman"/>
                <w:sz w:val="18"/>
                <w:szCs w:val="18"/>
                <w:lang w:eastAsia="en-IN"/>
              </w:rPr>
              <w:t>-3.05</w:t>
            </w:r>
          </w:p>
        </w:tc>
        <w:tc>
          <w:tcPr>
            <w:tcW w:w="651" w:type="dxa"/>
            <w:tcBorders>
              <w:top w:val="nil"/>
              <w:left w:val="nil"/>
              <w:bottom w:val="single" w:sz="4" w:space="0" w:color="auto"/>
              <w:right w:val="single" w:sz="4" w:space="0" w:color="auto"/>
            </w:tcBorders>
            <w:noWrap/>
            <w:vAlign w:val="center"/>
            <w:hideMark/>
          </w:tcPr>
          <w:p w14:paraId="776BF139" w14:textId="77777777" w:rsidR="008000A7" w:rsidRPr="007315B3" w:rsidRDefault="008000A7" w:rsidP="00471458">
            <w:pPr>
              <w:pStyle w:val="NoSpacing"/>
              <w:jc w:val="center"/>
              <w:rPr>
                <w:rFonts w:ascii="Times New Roman" w:hAnsi="Times New Roman" w:cs="Times New Roman"/>
                <w:sz w:val="18"/>
                <w:szCs w:val="18"/>
                <w:lang w:eastAsia="en-IN"/>
              </w:rPr>
            </w:pPr>
            <w:r w:rsidRPr="007315B3">
              <w:rPr>
                <w:rFonts w:ascii="Times New Roman" w:hAnsi="Times New Roman" w:cs="Times New Roman"/>
                <w:sz w:val="18"/>
                <w:szCs w:val="18"/>
                <w:lang w:eastAsia="en-IN"/>
              </w:rPr>
              <w:t>3.66</w:t>
            </w:r>
          </w:p>
        </w:tc>
        <w:tc>
          <w:tcPr>
            <w:tcW w:w="712" w:type="dxa"/>
            <w:tcBorders>
              <w:top w:val="nil"/>
              <w:left w:val="nil"/>
              <w:bottom w:val="single" w:sz="4" w:space="0" w:color="auto"/>
              <w:right w:val="single" w:sz="4" w:space="0" w:color="auto"/>
            </w:tcBorders>
            <w:noWrap/>
            <w:vAlign w:val="center"/>
            <w:hideMark/>
          </w:tcPr>
          <w:p w14:paraId="03120BA0" w14:textId="77777777" w:rsidR="008000A7" w:rsidRPr="007315B3" w:rsidRDefault="008000A7" w:rsidP="00471458">
            <w:pPr>
              <w:pStyle w:val="NoSpacing"/>
              <w:jc w:val="center"/>
              <w:rPr>
                <w:rFonts w:ascii="Times New Roman" w:hAnsi="Times New Roman" w:cs="Times New Roman"/>
                <w:sz w:val="18"/>
                <w:szCs w:val="18"/>
                <w:lang w:eastAsia="en-IN"/>
              </w:rPr>
            </w:pPr>
            <w:r w:rsidRPr="007315B3">
              <w:rPr>
                <w:rFonts w:ascii="Times New Roman" w:hAnsi="Times New Roman" w:cs="Times New Roman"/>
                <w:sz w:val="18"/>
                <w:szCs w:val="18"/>
                <w:lang w:eastAsia="en-IN"/>
              </w:rPr>
              <w:t>1.26</w:t>
            </w:r>
          </w:p>
        </w:tc>
        <w:tc>
          <w:tcPr>
            <w:tcW w:w="651" w:type="dxa"/>
            <w:tcBorders>
              <w:top w:val="nil"/>
              <w:left w:val="nil"/>
              <w:bottom w:val="single" w:sz="4" w:space="0" w:color="auto"/>
              <w:right w:val="single" w:sz="4" w:space="0" w:color="auto"/>
            </w:tcBorders>
            <w:noWrap/>
            <w:vAlign w:val="center"/>
            <w:hideMark/>
          </w:tcPr>
          <w:p w14:paraId="6654AC99" w14:textId="31DE0715" w:rsidR="008000A7" w:rsidRPr="007315B3" w:rsidRDefault="008000A7" w:rsidP="00471458">
            <w:pPr>
              <w:pStyle w:val="NoSpacing"/>
              <w:jc w:val="center"/>
              <w:rPr>
                <w:rFonts w:ascii="Times New Roman" w:hAnsi="Times New Roman" w:cs="Times New Roman"/>
                <w:sz w:val="18"/>
                <w:szCs w:val="18"/>
                <w:lang w:eastAsia="en-IN"/>
              </w:rPr>
            </w:pPr>
            <w:r w:rsidRPr="007315B3">
              <w:rPr>
                <w:rFonts w:ascii="Times New Roman" w:hAnsi="Times New Roman" w:cs="Times New Roman"/>
                <w:sz w:val="18"/>
                <w:szCs w:val="18"/>
                <w:lang w:eastAsia="en-IN"/>
              </w:rPr>
              <w:t>4</w:t>
            </w:r>
            <w:r w:rsidR="00F8055F">
              <w:rPr>
                <w:rFonts w:ascii="Times New Roman" w:hAnsi="Times New Roman" w:cs="Times New Roman"/>
                <w:sz w:val="18"/>
                <w:szCs w:val="18"/>
                <w:lang w:eastAsia="en-IN"/>
              </w:rPr>
              <w:t>.0</w:t>
            </w:r>
            <w:r w:rsidR="00A55F3A">
              <w:rPr>
                <w:rFonts w:ascii="Times New Roman" w:hAnsi="Times New Roman" w:cs="Times New Roman"/>
                <w:sz w:val="18"/>
                <w:szCs w:val="18"/>
                <w:lang w:eastAsia="en-IN"/>
              </w:rPr>
              <w:t>9</w:t>
            </w:r>
          </w:p>
        </w:tc>
        <w:tc>
          <w:tcPr>
            <w:tcW w:w="935" w:type="dxa"/>
            <w:tcBorders>
              <w:top w:val="nil"/>
              <w:left w:val="nil"/>
              <w:bottom w:val="single" w:sz="4" w:space="0" w:color="auto"/>
              <w:right w:val="single" w:sz="4" w:space="0" w:color="auto"/>
            </w:tcBorders>
            <w:noWrap/>
            <w:vAlign w:val="center"/>
            <w:hideMark/>
          </w:tcPr>
          <w:p w14:paraId="596E619E" w14:textId="77777777" w:rsidR="008000A7" w:rsidRPr="007315B3" w:rsidRDefault="008000A7" w:rsidP="00471458">
            <w:pPr>
              <w:pStyle w:val="NoSpacing"/>
              <w:jc w:val="center"/>
              <w:rPr>
                <w:rFonts w:ascii="Times New Roman" w:hAnsi="Times New Roman" w:cs="Times New Roman"/>
                <w:sz w:val="18"/>
                <w:szCs w:val="18"/>
                <w:lang w:eastAsia="en-IN"/>
              </w:rPr>
            </w:pPr>
            <w:r w:rsidRPr="007315B3">
              <w:rPr>
                <w:rFonts w:ascii="Times New Roman" w:hAnsi="Times New Roman" w:cs="Times New Roman"/>
                <w:sz w:val="18"/>
                <w:szCs w:val="18"/>
                <w:lang w:eastAsia="en-IN"/>
              </w:rPr>
              <w:t>..</w:t>
            </w:r>
          </w:p>
        </w:tc>
        <w:tc>
          <w:tcPr>
            <w:tcW w:w="651" w:type="dxa"/>
            <w:tcBorders>
              <w:top w:val="nil"/>
              <w:left w:val="nil"/>
              <w:bottom w:val="single" w:sz="4" w:space="0" w:color="auto"/>
              <w:right w:val="single" w:sz="4" w:space="0" w:color="auto"/>
            </w:tcBorders>
            <w:noWrap/>
            <w:vAlign w:val="center"/>
            <w:hideMark/>
          </w:tcPr>
          <w:p w14:paraId="7AA3DACA" w14:textId="77777777" w:rsidR="008000A7" w:rsidRPr="007315B3" w:rsidRDefault="008000A7" w:rsidP="00471458">
            <w:pPr>
              <w:pStyle w:val="NoSpacing"/>
              <w:jc w:val="center"/>
              <w:rPr>
                <w:rFonts w:ascii="Times New Roman" w:hAnsi="Times New Roman" w:cs="Times New Roman"/>
                <w:sz w:val="18"/>
                <w:szCs w:val="18"/>
                <w:lang w:eastAsia="en-IN"/>
              </w:rPr>
            </w:pPr>
            <w:r w:rsidRPr="007315B3">
              <w:rPr>
                <w:rFonts w:ascii="Times New Roman" w:hAnsi="Times New Roman" w:cs="Times New Roman"/>
                <w:sz w:val="18"/>
                <w:szCs w:val="18"/>
                <w:lang w:eastAsia="en-IN"/>
              </w:rPr>
              <w:t>-1.69</w:t>
            </w:r>
          </w:p>
        </w:tc>
      </w:tr>
      <w:tr w:rsidR="008000A7" w:rsidRPr="007315B3" w14:paraId="6B71A3CC" w14:textId="77777777" w:rsidTr="00537910">
        <w:trPr>
          <w:trHeight w:val="65"/>
          <w:jc w:val="center"/>
        </w:trPr>
        <w:tc>
          <w:tcPr>
            <w:tcW w:w="870" w:type="dxa"/>
            <w:tcBorders>
              <w:top w:val="nil"/>
              <w:left w:val="single" w:sz="4" w:space="0" w:color="auto"/>
              <w:bottom w:val="single" w:sz="4" w:space="0" w:color="auto"/>
              <w:right w:val="single" w:sz="4" w:space="0" w:color="auto"/>
            </w:tcBorders>
            <w:noWrap/>
            <w:vAlign w:val="bottom"/>
            <w:hideMark/>
          </w:tcPr>
          <w:p w14:paraId="4B982AEF" w14:textId="77777777" w:rsidR="008000A7" w:rsidRPr="007315B3" w:rsidRDefault="008000A7" w:rsidP="00B77C0B">
            <w:pPr>
              <w:pStyle w:val="NoSpacing"/>
              <w:rPr>
                <w:rFonts w:ascii="Times New Roman" w:hAnsi="Times New Roman" w:cs="Times New Roman"/>
                <w:sz w:val="18"/>
                <w:szCs w:val="18"/>
                <w:lang w:eastAsia="en-IN"/>
              </w:rPr>
            </w:pPr>
            <w:r w:rsidRPr="007315B3">
              <w:rPr>
                <w:rFonts w:ascii="Times New Roman" w:hAnsi="Times New Roman" w:cs="Times New Roman"/>
                <w:sz w:val="18"/>
                <w:szCs w:val="18"/>
                <w:lang w:eastAsia="en-IN"/>
              </w:rPr>
              <w:t>Assam</w:t>
            </w:r>
          </w:p>
        </w:tc>
        <w:tc>
          <w:tcPr>
            <w:tcW w:w="650" w:type="dxa"/>
            <w:tcBorders>
              <w:top w:val="nil"/>
              <w:left w:val="nil"/>
              <w:bottom w:val="single" w:sz="4" w:space="0" w:color="auto"/>
              <w:right w:val="single" w:sz="4" w:space="0" w:color="auto"/>
            </w:tcBorders>
            <w:noWrap/>
            <w:vAlign w:val="center"/>
            <w:hideMark/>
          </w:tcPr>
          <w:p w14:paraId="27B3E5C6" w14:textId="77777777" w:rsidR="008000A7" w:rsidRPr="007315B3" w:rsidRDefault="008000A7" w:rsidP="00471458">
            <w:pPr>
              <w:pStyle w:val="NoSpacing"/>
              <w:jc w:val="center"/>
              <w:rPr>
                <w:rFonts w:ascii="Times New Roman" w:hAnsi="Times New Roman" w:cs="Times New Roman"/>
                <w:sz w:val="18"/>
                <w:szCs w:val="18"/>
                <w:lang w:eastAsia="en-IN"/>
              </w:rPr>
            </w:pPr>
            <w:r w:rsidRPr="007315B3">
              <w:rPr>
                <w:rFonts w:ascii="Times New Roman" w:hAnsi="Times New Roman" w:cs="Times New Roman"/>
                <w:sz w:val="18"/>
                <w:szCs w:val="18"/>
                <w:lang w:eastAsia="en-IN"/>
              </w:rPr>
              <w:t>..</w:t>
            </w:r>
          </w:p>
        </w:tc>
        <w:tc>
          <w:tcPr>
            <w:tcW w:w="711" w:type="dxa"/>
            <w:tcBorders>
              <w:top w:val="nil"/>
              <w:left w:val="nil"/>
              <w:bottom w:val="single" w:sz="4" w:space="0" w:color="auto"/>
              <w:right w:val="single" w:sz="4" w:space="0" w:color="auto"/>
            </w:tcBorders>
            <w:noWrap/>
            <w:vAlign w:val="center"/>
            <w:hideMark/>
          </w:tcPr>
          <w:p w14:paraId="3B829354" w14:textId="77777777" w:rsidR="008000A7" w:rsidRPr="007315B3" w:rsidRDefault="008000A7" w:rsidP="00471458">
            <w:pPr>
              <w:pStyle w:val="NoSpacing"/>
              <w:jc w:val="center"/>
              <w:rPr>
                <w:rFonts w:ascii="Times New Roman" w:hAnsi="Times New Roman" w:cs="Times New Roman"/>
                <w:sz w:val="18"/>
                <w:szCs w:val="18"/>
                <w:lang w:eastAsia="en-IN"/>
              </w:rPr>
            </w:pPr>
            <w:r w:rsidRPr="007315B3">
              <w:rPr>
                <w:rFonts w:ascii="Times New Roman" w:hAnsi="Times New Roman" w:cs="Times New Roman"/>
                <w:sz w:val="18"/>
                <w:szCs w:val="18"/>
                <w:lang w:eastAsia="en-IN"/>
              </w:rPr>
              <w:t>..</w:t>
            </w:r>
          </w:p>
        </w:tc>
        <w:tc>
          <w:tcPr>
            <w:tcW w:w="651" w:type="dxa"/>
            <w:tcBorders>
              <w:top w:val="nil"/>
              <w:left w:val="nil"/>
              <w:bottom w:val="single" w:sz="4" w:space="0" w:color="auto"/>
              <w:right w:val="single" w:sz="4" w:space="0" w:color="auto"/>
            </w:tcBorders>
            <w:noWrap/>
            <w:vAlign w:val="center"/>
            <w:hideMark/>
          </w:tcPr>
          <w:p w14:paraId="1B5AD269" w14:textId="77777777" w:rsidR="008000A7" w:rsidRPr="007315B3" w:rsidRDefault="008000A7" w:rsidP="00471458">
            <w:pPr>
              <w:pStyle w:val="NoSpacing"/>
              <w:jc w:val="center"/>
              <w:rPr>
                <w:rFonts w:ascii="Times New Roman" w:hAnsi="Times New Roman" w:cs="Times New Roman"/>
                <w:sz w:val="18"/>
                <w:szCs w:val="18"/>
                <w:lang w:eastAsia="en-IN"/>
              </w:rPr>
            </w:pPr>
            <w:r w:rsidRPr="007315B3">
              <w:rPr>
                <w:rFonts w:ascii="Times New Roman" w:hAnsi="Times New Roman" w:cs="Times New Roman"/>
                <w:sz w:val="18"/>
                <w:szCs w:val="18"/>
                <w:lang w:eastAsia="en-IN"/>
              </w:rPr>
              <w:t>..</w:t>
            </w:r>
          </w:p>
        </w:tc>
        <w:tc>
          <w:tcPr>
            <w:tcW w:w="651" w:type="dxa"/>
            <w:tcBorders>
              <w:top w:val="nil"/>
              <w:left w:val="nil"/>
              <w:bottom w:val="single" w:sz="4" w:space="0" w:color="auto"/>
              <w:right w:val="single" w:sz="4" w:space="0" w:color="auto"/>
            </w:tcBorders>
            <w:noWrap/>
            <w:vAlign w:val="center"/>
            <w:hideMark/>
          </w:tcPr>
          <w:p w14:paraId="0646D845" w14:textId="77777777" w:rsidR="008000A7" w:rsidRPr="007315B3" w:rsidRDefault="008000A7" w:rsidP="00471458">
            <w:pPr>
              <w:pStyle w:val="NoSpacing"/>
              <w:jc w:val="center"/>
              <w:rPr>
                <w:rFonts w:ascii="Times New Roman" w:hAnsi="Times New Roman" w:cs="Times New Roman"/>
                <w:sz w:val="18"/>
                <w:szCs w:val="18"/>
                <w:lang w:eastAsia="en-IN"/>
              </w:rPr>
            </w:pPr>
            <w:r w:rsidRPr="007315B3">
              <w:rPr>
                <w:rFonts w:ascii="Times New Roman" w:hAnsi="Times New Roman" w:cs="Times New Roman"/>
                <w:sz w:val="18"/>
                <w:szCs w:val="18"/>
                <w:lang w:eastAsia="en-IN"/>
              </w:rPr>
              <w:t>..</w:t>
            </w:r>
          </w:p>
        </w:tc>
        <w:tc>
          <w:tcPr>
            <w:tcW w:w="651" w:type="dxa"/>
            <w:tcBorders>
              <w:top w:val="nil"/>
              <w:left w:val="nil"/>
              <w:bottom w:val="single" w:sz="4" w:space="0" w:color="auto"/>
              <w:right w:val="single" w:sz="4" w:space="0" w:color="auto"/>
            </w:tcBorders>
            <w:noWrap/>
            <w:vAlign w:val="center"/>
            <w:hideMark/>
          </w:tcPr>
          <w:p w14:paraId="66E3858A" w14:textId="77777777" w:rsidR="008000A7" w:rsidRPr="007315B3" w:rsidRDefault="008000A7" w:rsidP="00471458">
            <w:pPr>
              <w:pStyle w:val="NoSpacing"/>
              <w:jc w:val="center"/>
              <w:rPr>
                <w:rFonts w:ascii="Times New Roman" w:hAnsi="Times New Roman" w:cs="Times New Roman"/>
                <w:sz w:val="18"/>
                <w:szCs w:val="18"/>
                <w:lang w:eastAsia="en-IN"/>
              </w:rPr>
            </w:pPr>
            <w:r w:rsidRPr="007315B3">
              <w:rPr>
                <w:rFonts w:ascii="Times New Roman" w:hAnsi="Times New Roman" w:cs="Times New Roman"/>
                <w:sz w:val="18"/>
                <w:szCs w:val="18"/>
                <w:lang w:eastAsia="en-IN"/>
              </w:rPr>
              <w:t>..</w:t>
            </w:r>
          </w:p>
        </w:tc>
        <w:tc>
          <w:tcPr>
            <w:tcW w:w="712" w:type="dxa"/>
            <w:tcBorders>
              <w:top w:val="nil"/>
              <w:left w:val="nil"/>
              <w:bottom w:val="single" w:sz="4" w:space="0" w:color="auto"/>
              <w:right w:val="single" w:sz="4" w:space="0" w:color="auto"/>
            </w:tcBorders>
            <w:noWrap/>
            <w:vAlign w:val="center"/>
            <w:hideMark/>
          </w:tcPr>
          <w:p w14:paraId="4186DAFF" w14:textId="77777777" w:rsidR="008000A7" w:rsidRPr="007315B3" w:rsidRDefault="008000A7" w:rsidP="00471458">
            <w:pPr>
              <w:pStyle w:val="NoSpacing"/>
              <w:jc w:val="center"/>
              <w:rPr>
                <w:rFonts w:ascii="Times New Roman" w:hAnsi="Times New Roman" w:cs="Times New Roman"/>
                <w:sz w:val="18"/>
                <w:szCs w:val="18"/>
                <w:lang w:eastAsia="en-IN"/>
              </w:rPr>
            </w:pPr>
            <w:r w:rsidRPr="007315B3">
              <w:rPr>
                <w:rFonts w:ascii="Times New Roman" w:hAnsi="Times New Roman" w:cs="Times New Roman"/>
                <w:sz w:val="18"/>
                <w:szCs w:val="18"/>
                <w:lang w:eastAsia="en-IN"/>
              </w:rPr>
              <w:t>..</w:t>
            </w:r>
          </w:p>
        </w:tc>
        <w:tc>
          <w:tcPr>
            <w:tcW w:w="651" w:type="dxa"/>
            <w:tcBorders>
              <w:top w:val="nil"/>
              <w:left w:val="nil"/>
              <w:bottom w:val="single" w:sz="4" w:space="0" w:color="auto"/>
              <w:right w:val="single" w:sz="4" w:space="0" w:color="auto"/>
            </w:tcBorders>
            <w:noWrap/>
            <w:vAlign w:val="center"/>
            <w:hideMark/>
          </w:tcPr>
          <w:p w14:paraId="6D8C36A2" w14:textId="77777777" w:rsidR="008000A7" w:rsidRPr="007315B3" w:rsidRDefault="008000A7" w:rsidP="00471458">
            <w:pPr>
              <w:pStyle w:val="NoSpacing"/>
              <w:jc w:val="center"/>
              <w:rPr>
                <w:rFonts w:ascii="Times New Roman" w:hAnsi="Times New Roman" w:cs="Times New Roman"/>
                <w:sz w:val="18"/>
                <w:szCs w:val="18"/>
                <w:lang w:eastAsia="en-IN"/>
              </w:rPr>
            </w:pPr>
            <w:r w:rsidRPr="007315B3">
              <w:rPr>
                <w:rFonts w:ascii="Times New Roman" w:hAnsi="Times New Roman" w:cs="Times New Roman"/>
                <w:sz w:val="18"/>
                <w:szCs w:val="18"/>
                <w:lang w:eastAsia="en-IN"/>
              </w:rPr>
              <w:t>..</w:t>
            </w:r>
          </w:p>
        </w:tc>
        <w:tc>
          <w:tcPr>
            <w:tcW w:w="651" w:type="dxa"/>
            <w:tcBorders>
              <w:top w:val="nil"/>
              <w:left w:val="nil"/>
              <w:bottom w:val="single" w:sz="4" w:space="0" w:color="auto"/>
              <w:right w:val="single" w:sz="4" w:space="0" w:color="auto"/>
            </w:tcBorders>
            <w:noWrap/>
            <w:vAlign w:val="center"/>
            <w:hideMark/>
          </w:tcPr>
          <w:p w14:paraId="3718E86D" w14:textId="77777777" w:rsidR="008000A7" w:rsidRPr="007315B3" w:rsidRDefault="008000A7" w:rsidP="00471458">
            <w:pPr>
              <w:pStyle w:val="NoSpacing"/>
              <w:jc w:val="center"/>
              <w:rPr>
                <w:rFonts w:ascii="Times New Roman" w:hAnsi="Times New Roman" w:cs="Times New Roman"/>
                <w:sz w:val="18"/>
                <w:szCs w:val="18"/>
                <w:lang w:eastAsia="en-IN"/>
              </w:rPr>
            </w:pPr>
            <w:r w:rsidRPr="007315B3">
              <w:rPr>
                <w:rFonts w:ascii="Times New Roman" w:hAnsi="Times New Roman" w:cs="Times New Roman"/>
                <w:sz w:val="18"/>
                <w:szCs w:val="18"/>
                <w:lang w:eastAsia="en-IN"/>
              </w:rPr>
              <w:t>..</w:t>
            </w:r>
          </w:p>
        </w:tc>
        <w:tc>
          <w:tcPr>
            <w:tcW w:w="651" w:type="dxa"/>
            <w:tcBorders>
              <w:top w:val="nil"/>
              <w:left w:val="nil"/>
              <w:bottom w:val="single" w:sz="4" w:space="0" w:color="auto"/>
              <w:right w:val="single" w:sz="4" w:space="0" w:color="auto"/>
            </w:tcBorders>
            <w:noWrap/>
            <w:vAlign w:val="center"/>
            <w:hideMark/>
          </w:tcPr>
          <w:p w14:paraId="519975F0" w14:textId="77777777" w:rsidR="008000A7" w:rsidRPr="007315B3" w:rsidRDefault="008000A7" w:rsidP="00471458">
            <w:pPr>
              <w:pStyle w:val="NoSpacing"/>
              <w:jc w:val="center"/>
              <w:rPr>
                <w:rFonts w:ascii="Times New Roman" w:hAnsi="Times New Roman" w:cs="Times New Roman"/>
                <w:sz w:val="18"/>
                <w:szCs w:val="18"/>
                <w:lang w:eastAsia="en-IN"/>
              </w:rPr>
            </w:pPr>
            <w:r w:rsidRPr="007315B3">
              <w:rPr>
                <w:rFonts w:ascii="Times New Roman" w:hAnsi="Times New Roman" w:cs="Times New Roman"/>
                <w:sz w:val="18"/>
                <w:szCs w:val="18"/>
                <w:lang w:eastAsia="en-IN"/>
              </w:rPr>
              <w:t>..</w:t>
            </w:r>
          </w:p>
        </w:tc>
        <w:tc>
          <w:tcPr>
            <w:tcW w:w="712" w:type="dxa"/>
            <w:tcBorders>
              <w:top w:val="nil"/>
              <w:left w:val="nil"/>
              <w:bottom w:val="single" w:sz="4" w:space="0" w:color="auto"/>
              <w:right w:val="single" w:sz="4" w:space="0" w:color="auto"/>
            </w:tcBorders>
            <w:noWrap/>
            <w:vAlign w:val="center"/>
            <w:hideMark/>
          </w:tcPr>
          <w:p w14:paraId="074E57F3" w14:textId="77777777" w:rsidR="008000A7" w:rsidRPr="007315B3" w:rsidRDefault="008000A7" w:rsidP="00471458">
            <w:pPr>
              <w:pStyle w:val="NoSpacing"/>
              <w:jc w:val="center"/>
              <w:rPr>
                <w:rFonts w:ascii="Times New Roman" w:hAnsi="Times New Roman" w:cs="Times New Roman"/>
                <w:sz w:val="18"/>
                <w:szCs w:val="18"/>
                <w:lang w:eastAsia="en-IN"/>
              </w:rPr>
            </w:pPr>
            <w:r w:rsidRPr="007315B3">
              <w:rPr>
                <w:rFonts w:ascii="Times New Roman" w:hAnsi="Times New Roman" w:cs="Times New Roman"/>
                <w:sz w:val="18"/>
                <w:szCs w:val="18"/>
                <w:lang w:eastAsia="en-IN"/>
              </w:rPr>
              <w:t>..</w:t>
            </w:r>
          </w:p>
        </w:tc>
        <w:tc>
          <w:tcPr>
            <w:tcW w:w="651" w:type="dxa"/>
            <w:tcBorders>
              <w:top w:val="nil"/>
              <w:left w:val="nil"/>
              <w:bottom w:val="single" w:sz="4" w:space="0" w:color="auto"/>
              <w:right w:val="single" w:sz="4" w:space="0" w:color="auto"/>
            </w:tcBorders>
            <w:noWrap/>
            <w:vAlign w:val="center"/>
            <w:hideMark/>
          </w:tcPr>
          <w:p w14:paraId="6390BDFF" w14:textId="77777777" w:rsidR="008000A7" w:rsidRPr="007315B3" w:rsidRDefault="008000A7" w:rsidP="00471458">
            <w:pPr>
              <w:pStyle w:val="NoSpacing"/>
              <w:jc w:val="center"/>
              <w:rPr>
                <w:rFonts w:ascii="Times New Roman" w:hAnsi="Times New Roman" w:cs="Times New Roman"/>
                <w:sz w:val="18"/>
                <w:szCs w:val="18"/>
                <w:lang w:eastAsia="en-IN"/>
              </w:rPr>
            </w:pPr>
            <w:r w:rsidRPr="007315B3">
              <w:rPr>
                <w:rFonts w:ascii="Times New Roman" w:hAnsi="Times New Roman" w:cs="Times New Roman"/>
                <w:sz w:val="18"/>
                <w:szCs w:val="18"/>
                <w:lang w:eastAsia="en-IN"/>
              </w:rPr>
              <w:t>..</w:t>
            </w:r>
          </w:p>
        </w:tc>
        <w:tc>
          <w:tcPr>
            <w:tcW w:w="935" w:type="dxa"/>
            <w:tcBorders>
              <w:top w:val="nil"/>
              <w:left w:val="nil"/>
              <w:bottom w:val="single" w:sz="4" w:space="0" w:color="auto"/>
              <w:right w:val="single" w:sz="4" w:space="0" w:color="auto"/>
            </w:tcBorders>
            <w:noWrap/>
            <w:vAlign w:val="center"/>
            <w:hideMark/>
          </w:tcPr>
          <w:p w14:paraId="42D5CCBC" w14:textId="77777777" w:rsidR="008000A7" w:rsidRPr="007315B3" w:rsidRDefault="008000A7" w:rsidP="00471458">
            <w:pPr>
              <w:pStyle w:val="NoSpacing"/>
              <w:jc w:val="center"/>
              <w:rPr>
                <w:rFonts w:ascii="Times New Roman" w:hAnsi="Times New Roman" w:cs="Times New Roman"/>
                <w:sz w:val="18"/>
                <w:szCs w:val="18"/>
                <w:lang w:eastAsia="en-IN"/>
              </w:rPr>
            </w:pPr>
            <w:r w:rsidRPr="007315B3">
              <w:rPr>
                <w:rFonts w:ascii="Times New Roman" w:hAnsi="Times New Roman" w:cs="Times New Roman"/>
                <w:sz w:val="18"/>
                <w:szCs w:val="18"/>
                <w:lang w:eastAsia="en-IN"/>
              </w:rPr>
              <w:t>..</w:t>
            </w:r>
          </w:p>
        </w:tc>
        <w:tc>
          <w:tcPr>
            <w:tcW w:w="651" w:type="dxa"/>
            <w:tcBorders>
              <w:top w:val="nil"/>
              <w:left w:val="nil"/>
              <w:bottom w:val="single" w:sz="4" w:space="0" w:color="auto"/>
              <w:right w:val="single" w:sz="4" w:space="0" w:color="auto"/>
            </w:tcBorders>
            <w:noWrap/>
            <w:vAlign w:val="center"/>
            <w:hideMark/>
          </w:tcPr>
          <w:p w14:paraId="1F1C0DC2" w14:textId="77777777" w:rsidR="008000A7" w:rsidRPr="007315B3" w:rsidRDefault="008000A7" w:rsidP="00471458">
            <w:pPr>
              <w:pStyle w:val="NoSpacing"/>
              <w:jc w:val="center"/>
              <w:rPr>
                <w:rFonts w:ascii="Times New Roman" w:hAnsi="Times New Roman" w:cs="Times New Roman"/>
                <w:sz w:val="18"/>
                <w:szCs w:val="18"/>
                <w:lang w:eastAsia="en-IN"/>
              </w:rPr>
            </w:pPr>
            <w:r w:rsidRPr="007315B3">
              <w:rPr>
                <w:rFonts w:ascii="Times New Roman" w:hAnsi="Times New Roman" w:cs="Times New Roman"/>
                <w:sz w:val="18"/>
                <w:szCs w:val="18"/>
                <w:lang w:eastAsia="en-IN"/>
              </w:rPr>
              <w:t>..</w:t>
            </w:r>
          </w:p>
        </w:tc>
        <w:tc>
          <w:tcPr>
            <w:tcW w:w="651" w:type="dxa"/>
            <w:tcBorders>
              <w:top w:val="nil"/>
              <w:left w:val="nil"/>
              <w:bottom w:val="single" w:sz="4" w:space="0" w:color="auto"/>
              <w:right w:val="single" w:sz="4" w:space="0" w:color="auto"/>
            </w:tcBorders>
            <w:noWrap/>
            <w:vAlign w:val="center"/>
            <w:hideMark/>
          </w:tcPr>
          <w:p w14:paraId="12488D91" w14:textId="77777777" w:rsidR="008000A7" w:rsidRPr="007315B3" w:rsidRDefault="008000A7" w:rsidP="00471458">
            <w:pPr>
              <w:pStyle w:val="NoSpacing"/>
              <w:jc w:val="center"/>
              <w:rPr>
                <w:rFonts w:ascii="Times New Roman" w:hAnsi="Times New Roman" w:cs="Times New Roman"/>
                <w:sz w:val="18"/>
                <w:szCs w:val="18"/>
                <w:lang w:eastAsia="en-IN"/>
              </w:rPr>
            </w:pPr>
            <w:r w:rsidRPr="007315B3">
              <w:rPr>
                <w:rFonts w:ascii="Times New Roman" w:hAnsi="Times New Roman" w:cs="Times New Roman"/>
                <w:sz w:val="18"/>
                <w:szCs w:val="18"/>
                <w:lang w:eastAsia="en-IN"/>
              </w:rPr>
              <w:t>..</w:t>
            </w:r>
          </w:p>
        </w:tc>
        <w:tc>
          <w:tcPr>
            <w:tcW w:w="712" w:type="dxa"/>
            <w:tcBorders>
              <w:top w:val="nil"/>
              <w:left w:val="nil"/>
              <w:bottom w:val="single" w:sz="4" w:space="0" w:color="auto"/>
              <w:right w:val="single" w:sz="4" w:space="0" w:color="auto"/>
            </w:tcBorders>
            <w:noWrap/>
            <w:vAlign w:val="center"/>
            <w:hideMark/>
          </w:tcPr>
          <w:p w14:paraId="046BAF19" w14:textId="77777777" w:rsidR="008000A7" w:rsidRPr="007315B3" w:rsidRDefault="008000A7" w:rsidP="00471458">
            <w:pPr>
              <w:pStyle w:val="NoSpacing"/>
              <w:jc w:val="center"/>
              <w:rPr>
                <w:rFonts w:ascii="Times New Roman" w:hAnsi="Times New Roman" w:cs="Times New Roman"/>
                <w:sz w:val="18"/>
                <w:szCs w:val="18"/>
                <w:lang w:eastAsia="en-IN"/>
              </w:rPr>
            </w:pPr>
            <w:r w:rsidRPr="007315B3">
              <w:rPr>
                <w:rFonts w:ascii="Times New Roman" w:hAnsi="Times New Roman" w:cs="Times New Roman"/>
                <w:sz w:val="18"/>
                <w:szCs w:val="18"/>
                <w:lang w:eastAsia="en-IN"/>
              </w:rPr>
              <w:t>..</w:t>
            </w:r>
          </w:p>
        </w:tc>
        <w:tc>
          <w:tcPr>
            <w:tcW w:w="651" w:type="dxa"/>
            <w:tcBorders>
              <w:top w:val="nil"/>
              <w:left w:val="nil"/>
              <w:bottom w:val="single" w:sz="4" w:space="0" w:color="auto"/>
              <w:right w:val="single" w:sz="4" w:space="0" w:color="auto"/>
            </w:tcBorders>
            <w:noWrap/>
            <w:vAlign w:val="center"/>
            <w:hideMark/>
          </w:tcPr>
          <w:p w14:paraId="32290722" w14:textId="77777777" w:rsidR="008000A7" w:rsidRPr="007315B3" w:rsidRDefault="008000A7" w:rsidP="00471458">
            <w:pPr>
              <w:pStyle w:val="NoSpacing"/>
              <w:jc w:val="center"/>
              <w:rPr>
                <w:rFonts w:ascii="Times New Roman" w:hAnsi="Times New Roman" w:cs="Times New Roman"/>
                <w:sz w:val="18"/>
                <w:szCs w:val="18"/>
                <w:lang w:eastAsia="en-IN"/>
              </w:rPr>
            </w:pPr>
            <w:r w:rsidRPr="007315B3">
              <w:rPr>
                <w:rFonts w:ascii="Times New Roman" w:hAnsi="Times New Roman" w:cs="Times New Roman"/>
                <w:sz w:val="18"/>
                <w:szCs w:val="18"/>
                <w:lang w:eastAsia="en-IN"/>
              </w:rPr>
              <w:t>..</w:t>
            </w:r>
          </w:p>
        </w:tc>
        <w:tc>
          <w:tcPr>
            <w:tcW w:w="935" w:type="dxa"/>
            <w:tcBorders>
              <w:top w:val="nil"/>
              <w:left w:val="nil"/>
              <w:bottom w:val="single" w:sz="4" w:space="0" w:color="auto"/>
              <w:right w:val="single" w:sz="4" w:space="0" w:color="auto"/>
            </w:tcBorders>
            <w:noWrap/>
            <w:vAlign w:val="center"/>
            <w:hideMark/>
          </w:tcPr>
          <w:p w14:paraId="6B036DE7" w14:textId="77777777" w:rsidR="008000A7" w:rsidRPr="007315B3" w:rsidRDefault="008000A7" w:rsidP="00471458">
            <w:pPr>
              <w:pStyle w:val="NoSpacing"/>
              <w:jc w:val="center"/>
              <w:rPr>
                <w:rFonts w:ascii="Times New Roman" w:hAnsi="Times New Roman" w:cs="Times New Roman"/>
                <w:sz w:val="18"/>
                <w:szCs w:val="18"/>
                <w:lang w:eastAsia="en-IN"/>
              </w:rPr>
            </w:pPr>
            <w:r w:rsidRPr="007315B3">
              <w:rPr>
                <w:rFonts w:ascii="Times New Roman" w:hAnsi="Times New Roman" w:cs="Times New Roman"/>
                <w:sz w:val="18"/>
                <w:szCs w:val="18"/>
                <w:lang w:eastAsia="en-IN"/>
              </w:rPr>
              <w:t>..</w:t>
            </w:r>
          </w:p>
        </w:tc>
        <w:tc>
          <w:tcPr>
            <w:tcW w:w="651" w:type="dxa"/>
            <w:tcBorders>
              <w:top w:val="nil"/>
              <w:left w:val="nil"/>
              <w:bottom w:val="single" w:sz="4" w:space="0" w:color="auto"/>
              <w:right w:val="single" w:sz="4" w:space="0" w:color="auto"/>
            </w:tcBorders>
            <w:noWrap/>
            <w:vAlign w:val="center"/>
            <w:hideMark/>
          </w:tcPr>
          <w:p w14:paraId="7D9C2CDA" w14:textId="77777777" w:rsidR="008000A7" w:rsidRPr="007315B3" w:rsidRDefault="008000A7" w:rsidP="00471458">
            <w:pPr>
              <w:pStyle w:val="NoSpacing"/>
              <w:jc w:val="center"/>
              <w:rPr>
                <w:rFonts w:ascii="Times New Roman" w:hAnsi="Times New Roman" w:cs="Times New Roman"/>
                <w:sz w:val="18"/>
                <w:szCs w:val="18"/>
                <w:lang w:eastAsia="en-IN"/>
              </w:rPr>
            </w:pPr>
            <w:r w:rsidRPr="007315B3">
              <w:rPr>
                <w:rFonts w:ascii="Times New Roman" w:hAnsi="Times New Roman" w:cs="Times New Roman"/>
                <w:sz w:val="18"/>
                <w:szCs w:val="18"/>
                <w:lang w:eastAsia="en-IN"/>
              </w:rPr>
              <w:t>..</w:t>
            </w:r>
          </w:p>
        </w:tc>
      </w:tr>
      <w:tr w:rsidR="008000A7" w:rsidRPr="007315B3" w14:paraId="15BCB015" w14:textId="77777777" w:rsidTr="00537910">
        <w:trPr>
          <w:trHeight w:val="65"/>
          <w:jc w:val="center"/>
        </w:trPr>
        <w:tc>
          <w:tcPr>
            <w:tcW w:w="870" w:type="dxa"/>
            <w:tcBorders>
              <w:top w:val="nil"/>
              <w:left w:val="single" w:sz="4" w:space="0" w:color="auto"/>
              <w:bottom w:val="single" w:sz="4" w:space="0" w:color="auto"/>
              <w:right w:val="single" w:sz="4" w:space="0" w:color="auto"/>
            </w:tcBorders>
            <w:noWrap/>
            <w:vAlign w:val="bottom"/>
            <w:hideMark/>
          </w:tcPr>
          <w:p w14:paraId="01A5CC03" w14:textId="77777777" w:rsidR="008000A7" w:rsidRPr="007315B3" w:rsidRDefault="008000A7" w:rsidP="00B77C0B">
            <w:pPr>
              <w:pStyle w:val="NoSpacing"/>
              <w:rPr>
                <w:rFonts w:ascii="Times New Roman" w:hAnsi="Times New Roman" w:cs="Times New Roman"/>
                <w:sz w:val="18"/>
                <w:szCs w:val="18"/>
                <w:lang w:eastAsia="en-IN"/>
              </w:rPr>
            </w:pPr>
            <w:r w:rsidRPr="007315B3">
              <w:rPr>
                <w:rFonts w:ascii="Times New Roman" w:hAnsi="Times New Roman" w:cs="Times New Roman"/>
                <w:sz w:val="18"/>
                <w:szCs w:val="18"/>
                <w:lang w:eastAsia="en-IN"/>
              </w:rPr>
              <w:t>Bihar</w:t>
            </w:r>
          </w:p>
        </w:tc>
        <w:tc>
          <w:tcPr>
            <w:tcW w:w="650" w:type="dxa"/>
            <w:tcBorders>
              <w:top w:val="nil"/>
              <w:left w:val="nil"/>
              <w:bottom w:val="single" w:sz="4" w:space="0" w:color="auto"/>
              <w:right w:val="single" w:sz="4" w:space="0" w:color="auto"/>
            </w:tcBorders>
            <w:noWrap/>
            <w:vAlign w:val="center"/>
            <w:hideMark/>
          </w:tcPr>
          <w:p w14:paraId="50904F27" w14:textId="77777777" w:rsidR="008000A7" w:rsidRPr="007315B3" w:rsidRDefault="008000A7" w:rsidP="00471458">
            <w:pPr>
              <w:pStyle w:val="NoSpacing"/>
              <w:jc w:val="center"/>
              <w:rPr>
                <w:rFonts w:ascii="Times New Roman" w:hAnsi="Times New Roman" w:cs="Times New Roman"/>
                <w:sz w:val="18"/>
                <w:szCs w:val="18"/>
                <w:lang w:eastAsia="en-IN"/>
              </w:rPr>
            </w:pPr>
            <w:r w:rsidRPr="007315B3">
              <w:rPr>
                <w:rFonts w:ascii="Times New Roman" w:hAnsi="Times New Roman" w:cs="Times New Roman"/>
                <w:sz w:val="18"/>
                <w:szCs w:val="18"/>
                <w:lang w:eastAsia="en-IN"/>
              </w:rPr>
              <w:t>..</w:t>
            </w:r>
          </w:p>
        </w:tc>
        <w:tc>
          <w:tcPr>
            <w:tcW w:w="711" w:type="dxa"/>
            <w:tcBorders>
              <w:top w:val="nil"/>
              <w:left w:val="nil"/>
              <w:bottom w:val="single" w:sz="4" w:space="0" w:color="auto"/>
              <w:right w:val="single" w:sz="4" w:space="0" w:color="auto"/>
            </w:tcBorders>
            <w:noWrap/>
            <w:vAlign w:val="center"/>
            <w:hideMark/>
          </w:tcPr>
          <w:p w14:paraId="4B39709F" w14:textId="77777777" w:rsidR="008000A7" w:rsidRPr="007315B3" w:rsidRDefault="008000A7" w:rsidP="00471458">
            <w:pPr>
              <w:pStyle w:val="NoSpacing"/>
              <w:jc w:val="center"/>
              <w:rPr>
                <w:rFonts w:ascii="Times New Roman" w:hAnsi="Times New Roman" w:cs="Times New Roman"/>
                <w:sz w:val="18"/>
                <w:szCs w:val="18"/>
                <w:lang w:eastAsia="en-IN"/>
              </w:rPr>
            </w:pPr>
            <w:r w:rsidRPr="007315B3">
              <w:rPr>
                <w:rFonts w:ascii="Times New Roman" w:hAnsi="Times New Roman" w:cs="Times New Roman"/>
                <w:sz w:val="18"/>
                <w:szCs w:val="18"/>
                <w:lang w:eastAsia="en-IN"/>
              </w:rPr>
              <w:t>..</w:t>
            </w:r>
          </w:p>
        </w:tc>
        <w:tc>
          <w:tcPr>
            <w:tcW w:w="651" w:type="dxa"/>
            <w:tcBorders>
              <w:top w:val="nil"/>
              <w:left w:val="nil"/>
              <w:bottom w:val="single" w:sz="4" w:space="0" w:color="auto"/>
              <w:right w:val="single" w:sz="4" w:space="0" w:color="auto"/>
            </w:tcBorders>
            <w:noWrap/>
            <w:vAlign w:val="center"/>
            <w:hideMark/>
          </w:tcPr>
          <w:p w14:paraId="75A266D0" w14:textId="77777777" w:rsidR="008000A7" w:rsidRPr="007315B3" w:rsidRDefault="008000A7" w:rsidP="00471458">
            <w:pPr>
              <w:pStyle w:val="NoSpacing"/>
              <w:jc w:val="center"/>
              <w:rPr>
                <w:rFonts w:ascii="Times New Roman" w:hAnsi="Times New Roman" w:cs="Times New Roman"/>
                <w:sz w:val="18"/>
                <w:szCs w:val="18"/>
                <w:lang w:eastAsia="en-IN"/>
              </w:rPr>
            </w:pPr>
            <w:r w:rsidRPr="007315B3">
              <w:rPr>
                <w:rFonts w:ascii="Times New Roman" w:hAnsi="Times New Roman" w:cs="Times New Roman"/>
                <w:sz w:val="18"/>
                <w:szCs w:val="18"/>
                <w:lang w:eastAsia="en-IN"/>
              </w:rPr>
              <w:t>..</w:t>
            </w:r>
          </w:p>
        </w:tc>
        <w:tc>
          <w:tcPr>
            <w:tcW w:w="651" w:type="dxa"/>
            <w:tcBorders>
              <w:top w:val="nil"/>
              <w:left w:val="nil"/>
              <w:bottom w:val="single" w:sz="4" w:space="0" w:color="auto"/>
              <w:right w:val="single" w:sz="4" w:space="0" w:color="auto"/>
            </w:tcBorders>
            <w:noWrap/>
            <w:vAlign w:val="center"/>
            <w:hideMark/>
          </w:tcPr>
          <w:p w14:paraId="724F3EB5" w14:textId="77777777" w:rsidR="008000A7" w:rsidRPr="007315B3" w:rsidRDefault="008000A7" w:rsidP="00471458">
            <w:pPr>
              <w:pStyle w:val="NoSpacing"/>
              <w:jc w:val="center"/>
              <w:rPr>
                <w:rFonts w:ascii="Times New Roman" w:hAnsi="Times New Roman" w:cs="Times New Roman"/>
                <w:sz w:val="18"/>
                <w:szCs w:val="18"/>
                <w:lang w:eastAsia="en-IN"/>
              </w:rPr>
            </w:pPr>
            <w:r w:rsidRPr="007315B3">
              <w:rPr>
                <w:rFonts w:ascii="Times New Roman" w:hAnsi="Times New Roman" w:cs="Times New Roman"/>
                <w:sz w:val="18"/>
                <w:szCs w:val="18"/>
                <w:lang w:eastAsia="en-IN"/>
              </w:rPr>
              <w:t>..</w:t>
            </w:r>
          </w:p>
        </w:tc>
        <w:tc>
          <w:tcPr>
            <w:tcW w:w="651" w:type="dxa"/>
            <w:tcBorders>
              <w:top w:val="nil"/>
              <w:left w:val="nil"/>
              <w:bottom w:val="single" w:sz="4" w:space="0" w:color="auto"/>
              <w:right w:val="single" w:sz="4" w:space="0" w:color="auto"/>
            </w:tcBorders>
            <w:noWrap/>
            <w:vAlign w:val="center"/>
            <w:hideMark/>
          </w:tcPr>
          <w:p w14:paraId="65259D6A" w14:textId="77777777" w:rsidR="008000A7" w:rsidRPr="007315B3" w:rsidRDefault="008000A7" w:rsidP="00471458">
            <w:pPr>
              <w:pStyle w:val="NoSpacing"/>
              <w:jc w:val="center"/>
              <w:rPr>
                <w:rFonts w:ascii="Times New Roman" w:hAnsi="Times New Roman" w:cs="Times New Roman"/>
                <w:sz w:val="18"/>
                <w:szCs w:val="18"/>
                <w:lang w:eastAsia="en-IN"/>
              </w:rPr>
            </w:pPr>
            <w:r w:rsidRPr="007315B3">
              <w:rPr>
                <w:rFonts w:ascii="Times New Roman" w:hAnsi="Times New Roman" w:cs="Times New Roman"/>
                <w:sz w:val="18"/>
                <w:szCs w:val="18"/>
                <w:lang w:eastAsia="en-IN"/>
              </w:rPr>
              <w:t>..</w:t>
            </w:r>
          </w:p>
        </w:tc>
        <w:tc>
          <w:tcPr>
            <w:tcW w:w="712" w:type="dxa"/>
            <w:tcBorders>
              <w:top w:val="nil"/>
              <w:left w:val="nil"/>
              <w:bottom w:val="single" w:sz="4" w:space="0" w:color="auto"/>
              <w:right w:val="single" w:sz="4" w:space="0" w:color="auto"/>
            </w:tcBorders>
            <w:noWrap/>
            <w:vAlign w:val="center"/>
            <w:hideMark/>
          </w:tcPr>
          <w:p w14:paraId="6F14C87E" w14:textId="77777777" w:rsidR="008000A7" w:rsidRPr="007315B3" w:rsidRDefault="008000A7" w:rsidP="00471458">
            <w:pPr>
              <w:pStyle w:val="NoSpacing"/>
              <w:jc w:val="center"/>
              <w:rPr>
                <w:rFonts w:ascii="Times New Roman" w:hAnsi="Times New Roman" w:cs="Times New Roman"/>
                <w:sz w:val="18"/>
                <w:szCs w:val="18"/>
                <w:lang w:eastAsia="en-IN"/>
              </w:rPr>
            </w:pPr>
            <w:r w:rsidRPr="007315B3">
              <w:rPr>
                <w:rFonts w:ascii="Times New Roman" w:hAnsi="Times New Roman" w:cs="Times New Roman"/>
                <w:sz w:val="18"/>
                <w:szCs w:val="18"/>
                <w:lang w:eastAsia="en-IN"/>
              </w:rPr>
              <w:t>..</w:t>
            </w:r>
          </w:p>
        </w:tc>
        <w:tc>
          <w:tcPr>
            <w:tcW w:w="651" w:type="dxa"/>
            <w:tcBorders>
              <w:top w:val="nil"/>
              <w:left w:val="nil"/>
              <w:bottom w:val="single" w:sz="4" w:space="0" w:color="auto"/>
              <w:right w:val="single" w:sz="4" w:space="0" w:color="auto"/>
            </w:tcBorders>
            <w:noWrap/>
            <w:vAlign w:val="center"/>
            <w:hideMark/>
          </w:tcPr>
          <w:p w14:paraId="0B5C7393" w14:textId="77777777" w:rsidR="008000A7" w:rsidRPr="007315B3" w:rsidRDefault="008000A7" w:rsidP="00471458">
            <w:pPr>
              <w:pStyle w:val="NoSpacing"/>
              <w:jc w:val="center"/>
              <w:rPr>
                <w:rFonts w:ascii="Times New Roman" w:hAnsi="Times New Roman" w:cs="Times New Roman"/>
                <w:sz w:val="18"/>
                <w:szCs w:val="18"/>
                <w:lang w:eastAsia="en-IN"/>
              </w:rPr>
            </w:pPr>
            <w:r w:rsidRPr="007315B3">
              <w:rPr>
                <w:rFonts w:ascii="Times New Roman" w:hAnsi="Times New Roman" w:cs="Times New Roman"/>
                <w:sz w:val="18"/>
                <w:szCs w:val="18"/>
                <w:lang w:eastAsia="en-IN"/>
              </w:rPr>
              <w:t>..</w:t>
            </w:r>
          </w:p>
        </w:tc>
        <w:tc>
          <w:tcPr>
            <w:tcW w:w="651" w:type="dxa"/>
            <w:tcBorders>
              <w:top w:val="nil"/>
              <w:left w:val="nil"/>
              <w:bottom w:val="single" w:sz="4" w:space="0" w:color="auto"/>
              <w:right w:val="single" w:sz="4" w:space="0" w:color="auto"/>
            </w:tcBorders>
            <w:noWrap/>
            <w:vAlign w:val="center"/>
            <w:hideMark/>
          </w:tcPr>
          <w:p w14:paraId="74CA9428" w14:textId="77777777" w:rsidR="008000A7" w:rsidRPr="007315B3" w:rsidRDefault="008000A7" w:rsidP="00471458">
            <w:pPr>
              <w:pStyle w:val="NoSpacing"/>
              <w:jc w:val="center"/>
              <w:rPr>
                <w:rFonts w:ascii="Times New Roman" w:hAnsi="Times New Roman" w:cs="Times New Roman"/>
                <w:sz w:val="18"/>
                <w:szCs w:val="18"/>
                <w:lang w:eastAsia="en-IN"/>
              </w:rPr>
            </w:pPr>
            <w:r w:rsidRPr="007315B3">
              <w:rPr>
                <w:rFonts w:ascii="Times New Roman" w:hAnsi="Times New Roman" w:cs="Times New Roman"/>
                <w:sz w:val="18"/>
                <w:szCs w:val="18"/>
                <w:lang w:eastAsia="en-IN"/>
              </w:rPr>
              <w:t>..</w:t>
            </w:r>
          </w:p>
        </w:tc>
        <w:tc>
          <w:tcPr>
            <w:tcW w:w="651" w:type="dxa"/>
            <w:tcBorders>
              <w:top w:val="nil"/>
              <w:left w:val="nil"/>
              <w:bottom w:val="single" w:sz="4" w:space="0" w:color="auto"/>
              <w:right w:val="single" w:sz="4" w:space="0" w:color="auto"/>
            </w:tcBorders>
            <w:noWrap/>
            <w:vAlign w:val="center"/>
            <w:hideMark/>
          </w:tcPr>
          <w:p w14:paraId="1AA2C6DB" w14:textId="77777777" w:rsidR="008000A7" w:rsidRPr="007315B3" w:rsidRDefault="008000A7" w:rsidP="00471458">
            <w:pPr>
              <w:pStyle w:val="NoSpacing"/>
              <w:jc w:val="center"/>
              <w:rPr>
                <w:rFonts w:ascii="Times New Roman" w:hAnsi="Times New Roman" w:cs="Times New Roman"/>
                <w:sz w:val="18"/>
                <w:szCs w:val="18"/>
                <w:lang w:eastAsia="en-IN"/>
              </w:rPr>
            </w:pPr>
            <w:r w:rsidRPr="007315B3">
              <w:rPr>
                <w:rFonts w:ascii="Times New Roman" w:hAnsi="Times New Roman" w:cs="Times New Roman"/>
                <w:sz w:val="18"/>
                <w:szCs w:val="18"/>
                <w:lang w:eastAsia="en-IN"/>
              </w:rPr>
              <w:t>..</w:t>
            </w:r>
          </w:p>
        </w:tc>
        <w:tc>
          <w:tcPr>
            <w:tcW w:w="712" w:type="dxa"/>
            <w:tcBorders>
              <w:top w:val="nil"/>
              <w:left w:val="nil"/>
              <w:bottom w:val="single" w:sz="4" w:space="0" w:color="auto"/>
              <w:right w:val="single" w:sz="4" w:space="0" w:color="auto"/>
            </w:tcBorders>
            <w:noWrap/>
            <w:vAlign w:val="center"/>
            <w:hideMark/>
          </w:tcPr>
          <w:p w14:paraId="71B39101" w14:textId="77777777" w:rsidR="008000A7" w:rsidRPr="007315B3" w:rsidRDefault="008000A7" w:rsidP="00471458">
            <w:pPr>
              <w:pStyle w:val="NoSpacing"/>
              <w:jc w:val="center"/>
              <w:rPr>
                <w:rFonts w:ascii="Times New Roman" w:hAnsi="Times New Roman" w:cs="Times New Roman"/>
                <w:sz w:val="18"/>
                <w:szCs w:val="18"/>
                <w:lang w:eastAsia="en-IN"/>
              </w:rPr>
            </w:pPr>
            <w:r w:rsidRPr="007315B3">
              <w:rPr>
                <w:rFonts w:ascii="Times New Roman" w:hAnsi="Times New Roman" w:cs="Times New Roman"/>
                <w:sz w:val="18"/>
                <w:szCs w:val="18"/>
                <w:lang w:eastAsia="en-IN"/>
              </w:rPr>
              <w:t>..</w:t>
            </w:r>
          </w:p>
        </w:tc>
        <w:tc>
          <w:tcPr>
            <w:tcW w:w="651" w:type="dxa"/>
            <w:tcBorders>
              <w:top w:val="nil"/>
              <w:left w:val="nil"/>
              <w:bottom w:val="single" w:sz="4" w:space="0" w:color="auto"/>
              <w:right w:val="single" w:sz="4" w:space="0" w:color="auto"/>
            </w:tcBorders>
            <w:noWrap/>
            <w:vAlign w:val="center"/>
            <w:hideMark/>
          </w:tcPr>
          <w:p w14:paraId="10CEBE37" w14:textId="77777777" w:rsidR="008000A7" w:rsidRPr="007315B3" w:rsidRDefault="008000A7" w:rsidP="00471458">
            <w:pPr>
              <w:pStyle w:val="NoSpacing"/>
              <w:jc w:val="center"/>
              <w:rPr>
                <w:rFonts w:ascii="Times New Roman" w:hAnsi="Times New Roman" w:cs="Times New Roman"/>
                <w:sz w:val="18"/>
                <w:szCs w:val="18"/>
                <w:lang w:eastAsia="en-IN"/>
              </w:rPr>
            </w:pPr>
            <w:r w:rsidRPr="007315B3">
              <w:rPr>
                <w:rFonts w:ascii="Times New Roman" w:hAnsi="Times New Roman" w:cs="Times New Roman"/>
                <w:sz w:val="18"/>
                <w:szCs w:val="18"/>
                <w:lang w:eastAsia="en-IN"/>
              </w:rPr>
              <w:t>..</w:t>
            </w:r>
          </w:p>
        </w:tc>
        <w:tc>
          <w:tcPr>
            <w:tcW w:w="935" w:type="dxa"/>
            <w:tcBorders>
              <w:top w:val="nil"/>
              <w:left w:val="nil"/>
              <w:bottom w:val="single" w:sz="4" w:space="0" w:color="auto"/>
              <w:right w:val="single" w:sz="4" w:space="0" w:color="auto"/>
            </w:tcBorders>
            <w:noWrap/>
            <w:vAlign w:val="center"/>
            <w:hideMark/>
          </w:tcPr>
          <w:p w14:paraId="6663F85A" w14:textId="77777777" w:rsidR="008000A7" w:rsidRPr="007315B3" w:rsidRDefault="008000A7" w:rsidP="00471458">
            <w:pPr>
              <w:pStyle w:val="NoSpacing"/>
              <w:jc w:val="center"/>
              <w:rPr>
                <w:rFonts w:ascii="Times New Roman" w:hAnsi="Times New Roman" w:cs="Times New Roman"/>
                <w:sz w:val="18"/>
                <w:szCs w:val="18"/>
                <w:lang w:eastAsia="en-IN"/>
              </w:rPr>
            </w:pPr>
            <w:r w:rsidRPr="007315B3">
              <w:rPr>
                <w:rFonts w:ascii="Times New Roman" w:hAnsi="Times New Roman" w:cs="Times New Roman"/>
                <w:sz w:val="18"/>
                <w:szCs w:val="18"/>
                <w:lang w:eastAsia="en-IN"/>
              </w:rPr>
              <w:t>..</w:t>
            </w:r>
          </w:p>
        </w:tc>
        <w:tc>
          <w:tcPr>
            <w:tcW w:w="651" w:type="dxa"/>
            <w:tcBorders>
              <w:top w:val="nil"/>
              <w:left w:val="nil"/>
              <w:bottom w:val="single" w:sz="4" w:space="0" w:color="auto"/>
              <w:right w:val="single" w:sz="4" w:space="0" w:color="auto"/>
            </w:tcBorders>
            <w:noWrap/>
            <w:vAlign w:val="center"/>
            <w:hideMark/>
          </w:tcPr>
          <w:p w14:paraId="243B93A0" w14:textId="77777777" w:rsidR="008000A7" w:rsidRPr="007315B3" w:rsidRDefault="008000A7" w:rsidP="00471458">
            <w:pPr>
              <w:pStyle w:val="NoSpacing"/>
              <w:jc w:val="center"/>
              <w:rPr>
                <w:rFonts w:ascii="Times New Roman" w:hAnsi="Times New Roman" w:cs="Times New Roman"/>
                <w:sz w:val="18"/>
                <w:szCs w:val="18"/>
                <w:lang w:eastAsia="en-IN"/>
              </w:rPr>
            </w:pPr>
            <w:r w:rsidRPr="007315B3">
              <w:rPr>
                <w:rFonts w:ascii="Times New Roman" w:hAnsi="Times New Roman" w:cs="Times New Roman"/>
                <w:sz w:val="18"/>
                <w:szCs w:val="18"/>
                <w:lang w:eastAsia="en-IN"/>
              </w:rPr>
              <w:t>..</w:t>
            </w:r>
          </w:p>
        </w:tc>
        <w:tc>
          <w:tcPr>
            <w:tcW w:w="651" w:type="dxa"/>
            <w:tcBorders>
              <w:top w:val="nil"/>
              <w:left w:val="nil"/>
              <w:bottom w:val="single" w:sz="4" w:space="0" w:color="auto"/>
              <w:right w:val="single" w:sz="4" w:space="0" w:color="auto"/>
            </w:tcBorders>
            <w:noWrap/>
            <w:vAlign w:val="center"/>
            <w:hideMark/>
          </w:tcPr>
          <w:p w14:paraId="1C9B2F6D" w14:textId="77777777" w:rsidR="008000A7" w:rsidRPr="007315B3" w:rsidRDefault="008000A7" w:rsidP="00471458">
            <w:pPr>
              <w:pStyle w:val="NoSpacing"/>
              <w:jc w:val="center"/>
              <w:rPr>
                <w:rFonts w:ascii="Times New Roman" w:hAnsi="Times New Roman" w:cs="Times New Roman"/>
                <w:sz w:val="18"/>
                <w:szCs w:val="18"/>
                <w:lang w:eastAsia="en-IN"/>
              </w:rPr>
            </w:pPr>
            <w:r w:rsidRPr="007315B3">
              <w:rPr>
                <w:rFonts w:ascii="Times New Roman" w:hAnsi="Times New Roman" w:cs="Times New Roman"/>
                <w:sz w:val="18"/>
                <w:szCs w:val="18"/>
                <w:lang w:eastAsia="en-IN"/>
              </w:rPr>
              <w:t>..</w:t>
            </w:r>
          </w:p>
        </w:tc>
        <w:tc>
          <w:tcPr>
            <w:tcW w:w="712" w:type="dxa"/>
            <w:tcBorders>
              <w:top w:val="nil"/>
              <w:left w:val="nil"/>
              <w:bottom w:val="single" w:sz="4" w:space="0" w:color="auto"/>
              <w:right w:val="single" w:sz="4" w:space="0" w:color="auto"/>
            </w:tcBorders>
            <w:noWrap/>
            <w:vAlign w:val="center"/>
            <w:hideMark/>
          </w:tcPr>
          <w:p w14:paraId="08773B52" w14:textId="77777777" w:rsidR="008000A7" w:rsidRPr="007315B3" w:rsidRDefault="008000A7" w:rsidP="00471458">
            <w:pPr>
              <w:pStyle w:val="NoSpacing"/>
              <w:jc w:val="center"/>
              <w:rPr>
                <w:rFonts w:ascii="Times New Roman" w:hAnsi="Times New Roman" w:cs="Times New Roman"/>
                <w:sz w:val="18"/>
                <w:szCs w:val="18"/>
                <w:lang w:eastAsia="en-IN"/>
              </w:rPr>
            </w:pPr>
            <w:r w:rsidRPr="007315B3">
              <w:rPr>
                <w:rFonts w:ascii="Times New Roman" w:hAnsi="Times New Roman" w:cs="Times New Roman"/>
                <w:sz w:val="18"/>
                <w:szCs w:val="18"/>
                <w:lang w:eastAsia="en-IN"/>
              </w:rPr>
              <w:t>..</w:t>
            </w:r>
          </w:p>
        </w:tc>
        <w:tc>
          <w:tcPr>
            <w:tcW w:w="651" w:type="dxa"/>
            <w:tcBorders>
              <w:top w:val="nil"/>
              <w:left w:val="nil"/>
              <w:bottom w:val="single" w:sz="4" w:space="0" w:color="auto"/>
              <w:right w:val="single" w:sz="4" w:space="0" w:color="auto"/>
            </w:tcBorders>
            <w:noWrap/>
            <w:vAlign w:val="center"/>
            <w:hideMark/>
          </w:tcPr>
          <w:p w14:paraId="612B80A5" w14:textId="77777777" w:rsidR="008000A7" w:rsidRPr="007315B3" w:rsidRDefault="008000A7" w:rsidP="00471458">
            <w:pPr>
              <w:pStyle w:val="NoSpacing"/>
              <w:jc w:val="center"/>
              <w:rPr>
                <w:rFonts w:ascii="Times New Roman" w:hAnsi="Times New Roman" w:cs="Times New Roman"/>
                <w:sz w:val="18"/>
                <w:szCs w:val="18"/>
                <w:lang w:eastAsia="en-IN"/>
              </w:rPr>
            </w:pPr>
            <w:r w:rsidRPr="007315B3">
              <w:rPr>
                <w:rFonts w:ascii="Times New Roman" w:hAnsi="Times New Roman" w:cs="Times New Roman"/>
                <w:sz w:val="18"/>
                <w:szCs w:val="18"/>
                <w:lang w:eastAsia="en-IN"/>
              </w:rPr>
              <w:t>..</w:t>
            </w:r>
          </w:p>
        </w:tc>
        <w:tc>
          <w:tcPr>
            <w:tcW w:w="935" w:type="dxa"/>
            <w:tcBorders>
              <w:top w:val="nil"/>
              <w:left w:val="nil"/>
              <w:bottom w:val="single" w:sz="4" w:space="0" w:color="auto"/>
              <w:right w:val="single" w:sz="4" w:space="0" w:color="auto"/>
            </w:tcBorders>
            <w:noWrap/>
            <w:vAlign w:val="center"/>
            <w:hideMark/>
          </w:tcPr>
          <w:p w14:paraId="5CF31B32" w14:textId="77777777" w:rsidR="008000A7" w:rsidRPr="007315B3" w:rsidRDefault="008000A7" w:rsidP="00471458">
            <w:pPr>
              <w:pStyle w:val="NoSpacing"/>
              <w:jc w:val="center"/>
              <w:rPr>
                <w:rFonts w:ascii="Times New Roman" w:hAnsi="Times New Roman" w:cs="Times New Roman"/>
                <w:sz w:val="18"/>
                <w:szCs w:val="18"/>
                <w:lang w:eastAsia="en-IN"/>
              </w:rPr>
            </w:pPr>
            <w:r w:rsidRPr="007315B3">
              <w:rPr>
                <w:rFonts w:ascii="Times New Roman" w:hAnsi="Times New Roman" w:cs="Times New Roman"/>
                <w:sz w:val="18"/>
                <w:szCs w:val="18"/>
                <w:lang w:eastAsia="en-IN"/>
              </w:rPr>
              <w:t>..</w:t>
            </w:r>
          </w:p>
        </w:tc>
        <w:tc>
          <w:tcPr>
            <w:tcW w:w="651" w:type="dxa"/>
            <w:tcBorders>
              <w:top w:val="nil"/>
              <w:left w:val="nil"/>
              <w:bottom w:val="single" w:sz="4" w:space="0" w:color="auto"/>
              <w:right w:val="single" w:sz="4" w:space="0" w:color="auto"/>
            </w:tcBorders>
            <w:noWrap/>
            <w:vAlign w:val="center"/>
            <w:hideMark/>
          </w:tcPr>
          <w:p w14:paraId="75674486" w14:textId="77777777" w:rsidR="008000A7" w:rsidRPr="007315B3" w:rsidRDefault="008000A7" w:rsidP="00471458">
            <w:pPr>
              <w:pStyle w:val="NoSpacing"/>
              <w:jc w:val="center"/>
              <w:rPr>
                <w:rFonts w:ascii="Times New Roman" w:hAnsi="Times New Roman" w:cs="Times New Roman"/>
                <w:sz w:val="18"/>
                <w:szCs w:val="18"/>
                <w:lang w:eastAsia="en-IN"/>
              </w:rPr>
            </w:pPr>
            <w:r w:rsidRPr="007315B3">
              <w:rPr>
                <w:rFonts w:ascii="Times New Roman" w:hAnsi="Times New Roman" w:cs="Times New Roman"/>
                <w:sz w:val="18"/>
                <w:szCs w:val="18"/>
                <w:lang w:eastAsia="en-IN"/>
              </w:rPr>
              <w:t>..</w:t>
            </w:r>
          </w:p>
        </w:tc>
      </w:tr>
      <w:tr w:rsidR="008000A7" w:rsidRPr="007315B3" w14:paraId="48090147" w14:textId="77777777" w:rsidTr="00537910">
        <w:trPr>
          <w:trHeight w:val="65"/>
          <w:jc w:val="center"/>
        </w:trPr>
        <w:tc>
          <w:tcPr>
            <w:tcW w:w="870" w:type="dxa"/>
            <w:tcBorders>
              <w:top w:val="nil"/>
              <w:left w:val="single" w:sz="4" w:space="0" w:color="auto"/>
              <w:bottom w:val="single" w:sz="4" w:space="0" w:color="auto"/>
              <w:right w:val="single" w:sz="4" w:space="0" w:color="auto"/>
            </w:tcBorders>
            <w:noWrap/>
            <w:vAlign w:val="bottom"/>
            <w:hideMark/>
          </w:tcPr>
          <w:p w14:paraId="02BBE296" w14:textId="77777777" w:rsidR="008000A7" w:rsidRPr="007315B3" w:rsidRDefault="008000A7" w:rsidP="00B77C0B">
            <w:pPr>
              <w:pStyle w:val="NoSpacing"/>
              <w:rPr>
                <w:rFonts w:ascii="Times New Roman" w:hAnsi="Times New Roman" w:cs="Times New Roman"/>
                <w:sz w:val="18"/>
                <w:szCs w:val="18"/>
                <w:lang w:eastAsia="en-IN"/>
              </w:rPr>
            </w:pPr>
            <w:r w:rsidRPr="007315B3">
              <w:rPr>
                <w:rFonts w:ascii="Times New Roman" w:hAnsi="Times New Roman" w:cs="Times New Roman"/>
                <w:sz w:val="18"/>
                <w:szCs w:val="18"/>
                <w:lang w:eastAsia="en-IN"/>
              </w:rPr>
              <w:t>Gujarat</w:t>
            </w:r>
          </w:p>
        </w:tc>
        <w:tc>
          <w:tcPr>
            <w:tcW w:w="650" w:type="dxa"/>
            <w:tcBorders>
              <w:top w:val="nil"/>
              <w:left w:val="nil"/>
              <w:bottom w:val="single" w:sz="4" w:space="0" w:color="auto"/>
              <w:right w:val="single" w:sz="4" w:space="0" w:color="auto"/>
            </w:tcBorders>
            <w:noWrap/>
            <w:vAlign w:val="center"/>
            <w:hideMark/>
          </w:tcPr>
          <w:p w14:paraId="7CF03682" w14:textId="77777777" w:rsidR="008000A7" w:rsidRPr="007315B3" w:rsidRDefault="008000A7" w:rsidP="00471458">
            <w:pPr>
              <w:pStyle w:val="NoSpacing"/>
              <w:jc w:val="center"/>
              <w:rPr>
                <w:rFonts w:ascii="Times New Roman" w:hAnsi="Times New Roman" w:cs="Times New Roman"/>
                <w:sz w:val="18"/>
                <w:szCs w:val="18"/>
                <w:lang w:eastAsia="en-IN"/>
              </w:rPr>
            </w:pPr>
            <w:r w:rsidRPr="007315B3">
              <w:rPr>
                <w:rFonts w:ascii="Times New Roman" w:hAnsi="Times New Roman" w:cs="Times New Roman"/>
                <w:sz w:val="18"/>
                <w:szCs w:val="18"/>
                <w:lang w:eastAsia="en-IN"/>
              </w:rPr>
              <w:t>..</w:t>
            </w:r>
          </w:p>
        </w:tc>
        <w:tc>
          <w:tcPr>
            <w:tcW w:w="711" w:type="dxa"/>
            <w:tcBorders>
              <w:top w:val="nil"/>
              <w:left w:val="nil"/>
              <w:bottom w:val="single" w:sz="4" w:space="0" w:color="auto"/>
              <w:right w:val="single" w:sz="4" w:space="0" w:color="auto"/>
            </w:tcBorders>
            <w:noWrap/>
            <w:vAlign w:val="center"/>
            <w:hideMark/>
          </w:tcPr>
          <w:p w14:paraId="266804E7" w14:textId="77777777" w:rsidR="008000A7" w:rsidRPr="007315B3" w:rsidRDefault="008000A7" w:rsidP="00471458">
            <w:pPr>
              <w:pStyle w:val="NoSpacing"/>
              <w:jc w:val="center"/>
              <w:rPr>
                <w:rFonts w:ascii="Times New Roman" w:hAnsi="Times New Roman" w:cs="Times New Roman"/>
                <w:sz w:val="18"/>
                <w:szCs w:val="18"/>
                <w:lang w:eastAsia="en-IN"/>
              </w:rPr>
            </w:pPr>
            <w:r w:rsidRPr="007315B3">
              <w:rPr>
                <w:rFonts w:ascii="Times New Roman" w:hAnsi="Times New Roman" w:cs="Times New Roman"/>
                <w:sz w:val="18"/>
                <w:szCs w:val="18"/>
                <w:lang w:eastAsia="en-IN"/>
              </w:rPr>
              <w:t>..</w:t>
            </w:r>
          </w:p>
        </w:tc>
        <w:tc>
          <w:tcPr>
            <w:tcW w:w="651" w:type="dxa"/>
            <w:tcBorders>
              <w:top w:val="nil"/>
              <w:left w:val="nil"/>
              <w:bottom w:val="single" w:sz="4" w:space="0" w:color="auto"/>
              <w:right w:val="single" w:sz="4" w:space="0" w:color="auto"/>
            </w:tcBorders>
            <w:noWrap/>
            <w:vAlign w:val="center"/>
            <w:hideMark/>
          </w:tcPr>
          <w:p w14:paraId="7F90DD11" w14:textId="77777777" w:rsidR="008000A7" w:rsidRPr="007315B3" w:rsidRDefault="008000A7" w:rsidP="00471458">
            <w:pPr>
              <w:pStyle w:val="NoSpacing"/>
              <w:jc w:val="center"/>
              <w:rPr>
                <w:rFonts w:ascii="Times New Roman" w:hAnsi="Times New Roman" w:cs="Times New Roman"/>
                <w:sz w:val="18"/>
                <w:szCs w:val="18"/>
                <w:lang w:eastAsia="en-IN"/>
              </w:rPr>
            </w:pPr>
            <w:r w:rsidRPr="007315B3">
              <w:rPr>
                <w:rFonts w:ascii="Times New Roman" w:hAnsi="Times New Roman" w:cs="Times New Roman"/>
                <w:sz w:val="18"/>
                <w:szCs w:val="18"/>
                <w:lang w:eastAsia="en-IN"/>
              </w:rPr>
              <w:t>..</w:t>
            </w:r>
          </w:p>
        </w:tc>
        <w:tc>
          <w:tcPr>
            <w:tcW w:w="651" w:type="dxa"/>
            <w:tcBorders>
              <w:top w:val="nil"/>
              <w:left w:val="nil"/>
              <w:bottom w:val="single" w:sz="4" w:space="0" w:color="auto"/>
              <w:right w:val="single" w:sz="4" w:space="0" w:color="auto"/>
            </w:tcBorders>
            <w:noWrap/>
            <w:vAlign w:val="center"/>
            <w:hideMark/>
          </w:tcPr>
          <w:p w14:paraId="737DDC7E" w14:textId="77777777" w:rsidR="008000A7" w:rsidRPr="007315B3" w:rsidRDefault="008000A7" w:rsidP="00471458">
            <w:pPr>
              <w:pStyle w:val="NoSpacing"/>
              <w:jc w:val="center"/>
              <w:rPr>
                <w:rFonts w:ascii="Times New Roman" w:hAnsi="Times New Roman" w:cs="Times New Roman"/>
                <w:sz w:val="18"/>
                <w:szCs w:val="18"/>
                <w:lang w:eastAsia="en-IN"/>
              </w:rPr>
            </w:pPr>
            <w:r w:rsidRPr="007315B3">
              <w:rPr>
                <w:rFonts w:ascii="Times New Roman" w:hAnsi="Times New Roman" w:cs="Times New Roman"/>
                <w:sz w:val="18"/>
                <w:szCs w:val="18"/>
                <w:lang w:eastAsia="en-IN"/>
              </w:rPr>
              <w:t>..</w:t>
            </w:r>
          </w:p>
        </w:tc>
        <w:tc>
          <w:tcPr>
            <w:tcW w:w="651" w:type="dxa"/>
            <w:tcBorders>
              <w:top w:val="nil"/>
              <w:left w:val="nil"/>
              <w:bottom w:val="single" w:sz="4" w:space="0" w:color="auto"/>
              <w:right w:val="single" w:sz="4" w:space="0" w:color="auto"/>
            </w:tcBorders>
            <w:noWrap/>
            <w:vAlign w:val="center"/>
            <w:hideMark/>
          </w:tcPr>
          <w:p w14:paraId="3E80CFC6" w14:textId="77777777" w:rsidR="008000A7" w:rsidRPr="007315B3" w:rsidRDefault="008000A7" w:rsidP="00471458">
            <w:pPr>
              <w:pStyle w:val="NoSpacing"/>
              <w:jc w:val="center"/>
              <w:rPr>
                <w:rFonts w:ascii="Times New Roman" w:hAnsi="Times New Roman" w:cs="Times New Roman"/>
                <w:sz w:val="18"/>
                <w:szCs w:val="18"/>
                <w:lang w:eastAsia="en-IN"/>
              </w:rPr>
            </w:pPr>
            <w:r w:rsidRPr="007315B3">
              <w:rPr>
                <w:rFonts w:ascii="Times New Roman" w:hAnsi="Times New Roman" w:cs="Times New Roman"/>
                <w:sz w:val="18"/>
                <w:szCs w:val="18"/>
                <w:lang w:eastAsia="en-IN"/>
              </w:rPr>
              <w:t>..</w:t>
            </w:r>
          </w:p>
        </w:tc>
        <w:tc>
          <w:tcPr>
            <w:tcW w:w="712" w:type="dxa"/>
            <w:tcBorders>
              <w:top w:val="nil"/>
              <w:left w:val="nil"/>
              <w:bottom w:val="single" w:sz="4" w:space="0" w:color="auto"/>
              <w:right w:val="single" w:sz="4" w:space="0" w:color="auto"/>
            </w:tcBorders>
            <w:noWrap/>
            <w:vAlign w:val="center"/>
            <w:hideMark/>
          </w:tcPr>
          <w:p w14:paraId="6EAFBE76" w14:textId="77777777" w:rsidR="008000A7" w:rsidRPr="007315B3" w:rsidRDefault="008000A7" w:rsidP="00471458">
            <w:pPr>
              <w:pStyle w:val="NoSpacing"/>
              <w:jc w:val="center"/>
              <w:rPr>
                <w:rFonts w:ascii="Times New Roman" w:hAnsi="Times New Roman" w:cs="Times New Roman"/>
                <w:sz w:val="18"/>
                <w:szCs w:val="18"/>
                <w:lang w:eastAsia="en-IN"/>
              </w:rPr>
            </w:pPr>
            <w:r w:rsidRPr="007315B3">
              <w:rPr>
                <w:rFonts w:ascii="Times New Roman" w:hAnsi="Times New Roman" w:cs="Times New Roman"/>
                <w:sz w:val="18"/>
                <w:szCs w:val="18"/>
                <w:lang w:eastAsia="en-IN"/>
              </w:rPr>
              <w:t>..</w:t>
            </w:r>
          </w:p>
        </w:tc>
        <w:tc>
          <w:tcPr>
            <w:tcW w:w="651" w:type="dxa"/>
            <w:tcBorders>
              <w:top w:val="nil"/>
              <w:left w:val="nil"/>
              <w:bottom w:val="single" w:sz="4" w:space="0" w:color="auto"/>
              <w:right w:val="single" w:sz="4" w:space="0" w:color="auto"/>
            </w:tcBorders>
            <w:noWrap/>
            <w:vAlign w:val="center"/>
            <w:hideMark/>
          </w:tcPr>
          <w:p w14:paraId="672AA568" w14:textId="77777777" w:rsidR="008000A7" w:rsidRPr="007315B3" w:rsidRDefault="008000A7" w:rsidP="00471458">
            <w:pPr>
              <w:pStyle w:val="NoSpacing"/>
              <w:jc w:val="center"/>
              <w:rPr>
                <w:rFonts w:ascii="Times New Roman" w:hAnsi="Times New Roman" w:cs="Times New Roman"/>
                <w:sz w:val="18"/>
                <w:szCs w:val="18"/>
                <w:lang w:eastAsia="en-IN"/>
              </w:rPr>
            </w:pPr>
            <w:r w:rsidRPr="007315B3">
              <w:rPr>
                <w:rFonts w:ascii="Times New Roman" w:hAnsi="Times New Roman" w:cs="Times New Roman"/>
                <w:sz w:val="18"/>
                <w:szCs w:val="18"/>
                <w:lang w:eastAsia="en-IN"/>
              </w:rPr>
              <w:t>..</w:t>
            </w:r>
          </w:p>
        </w:tc>
        <w:tc>
          <w:tcPr>
            <w:tcW w:w="651" w:type="dxa"/>
            <w:tcBorders>
              <w:top w:val="nil"/>
              <w:left w:val="nil"/>
              <w:bottom w:val="single" w:sz="4" w:space="0" w:color="auto"/>
              <w:right w:val="single" w:sz="4" w:space="0" w:color="auto"/>
            </w:tcBorders>
            <w:noWrap/>
            <w:vAlign w:val="center"/>
            <w:hideMark/>
          </w:tcPr>
          <w:p w14:paraId="6A188063" w14:textId="77777777" w:rsidR="008000A7" w:rsidRPr="007315B3" w:rsidRDefault="008000A7" w:rsidP="00471458">
            <w:pPr>
              <w:pStyle w:val="NoSpacing"/>
              <w:jc w:val="center"/>
              <w:rPr>
                <w:rFonts w:ascii="Times New Roman" w:hAnsi="Times New Roman" w:cs="Times New Roman"/>
                <w:sz w:val="18"/>
                <w:szCs w:val="18"/>
                <w:lang w:eastAsia="en-IN"/>
              </w:rPr>
            </w:pPr>
            <w:r w:rsidRPr="007315B3">
              <w:rPr>
                <w:rFonts w:ascii="Times New Roman" w:hAnsi="Times New Roman" w:cs="Times New Roman"/>
                <w:sz w:val="18"/>
                <w:szCs w:val="18"/>
                <w:lang w:eastAsia="en-IN"/>
              </w:rPr>
              <w:t>..</w:t>
            </w:r>
          </w:p>
        </w:tc>
        <w:tc>
          <w:tcPr>
            <w:tcW w:w="651" w:type="dxa"/>
            <w:tcBorders>
              <w:top w:val="nil"/>
              <w:left w:val="nil"/>
              <w:bottom w:val="single" w:sz="4" w:space="0" w:color="auto"/>
              <w:right w:val="single" w:sz="4" w:space="0" w:color="auto"/>
            </w:tcBorders>
            <w:noWrap/>
            <w:vAlign w:val="center"/>
            <w:hideMark/>
          </w:tcPr>
          <w:p w14:paraId="49024E99" w14:textId="77777777" w:rsidR="008000A7" w:rsidRPr="007315B3" w:rsidRDefault="008000A7" w:rsidP="00471458">
            <w:pPr>
              <w:pStyle w:val="NoSpacing"/>
              <w:jc w:val="center"/>
              <w:rPr>
                <w:rFonts w:ascii="Times New Roman" w:hAnsi="Times New Roman" w:cs="Times New Roman"/>
                <w:sz w:val="18"/>
                <w:szCs w:val="18"/>
                <w:lang w:eastAsia="en-IN"/>
              </w:rPr>
            </w:pPr>
            <w:r w:rsidRPr="007315B3">
              <w:rPr>
                <w:rFonts w:ascii="Times New Roman" w:hAnsi="Times New Roman" w:cs="Times New Roman"/>
                <w:sz w:val="18"/>
                <w:szCs w:val="18"/>
                <w:lang w:eastAsia="en-IN"/>
              </w:rPr>
              <w:t>..</w:t>
            </w:r>
          </w:p>
        </w:tc>
        <w:tc>
          <w:tcPr>
            <w:tcW w:w="712" w:type="dxa"/>
            <w:tcBorders>
              <w:top w:val="nil"/>
              <w:left w:val="nil"/>
              <w:bottom w:val="single" w:sz="4" w:space="0" w:color="auto"/>
              <w:right w:val="single" w:sz="4" w:space="0" w:color="auto"/>
            </w:tcBorders>
            <w:noWrap/>
            <w:vAlign w:val="center"/>
            <w:hideMark/>
          </w:tcPr>
          <w:p w14:paraId="788E2E5A" w14:textId="77777777" w:rsidR="008000A7" w:rsidRPr="007315B3" w:rsidRDefault="008000A7" w:rsidP="00471458">
            <w:pPr>
              <w:pStyle w:val="NoSpacing"/>
              <w:jc w:val="center"/>
              <w:rPr>
                <w:rFonts w:ascii="Times New Roman" w:hAnsi="Times New Roman" w:cs="Times New Roman"/>
                <w:sz w:val="18"/>
                <w:szCs w:val="18"/>
                <w:lang w:eastAsia="en-IN"/>
              </w:rPr>
            </w:pPr>
            <w:r w:rsidRPr="007315B3">
              <w:rPr>
                <w:rFonts w:ascii="Times New Roman" w:hAnsi="Times New Roman" w:cs="Times New Roman"/>
                <w:sz w:val="18"/>
                <w:szCs w:val="18"/>
                <w:lang w:eastAsia="en-IN"/>
              </w:rPr>
              <w:t>..</w:t>
            </w:r>
          </w:p>
        </w:tc>
        <w:tc>
          <w:tcPr>
            <w:tcW w:w="651" w:type="dxa"/>
            <w:tcBorders>
              <w:top w:val="nil"/>
              <w:left w:val="nil"/>
              <w:bottom w:val="single" w:sz="4" w:space="0" w:color="auto"/>
              <w:right w:val="single" w:sz="4" w:space="0" w:color="auto"/>
            </w:tcBorders>
            <w:noWrap/>
            <w:vAlign w:val="center"/>
            <w:hideMark/>
          </w:tcPr>
          <w:p w14:paraId="01952CAF" w14:textId="77777777" w:rsidR="008000A7" w:rsidRPr="007315B3" w:rsidRDefault="008000A7" w:rsidP="00471458">
            <w:pPr>
              <w:pStyle w:val="NoSpacing"/>
              <w:jc w:val="center"/>
              <w:rPr>
                <w:rFonts w:ascii="Times New Roman" w:hAnsi="Times New Roman" w:cs="Times New Roman"/>
                <w:sz w:val="18"/>
                <w:szCs w:val="18"/>
                <w:lang w:eastAsia="en-IN"/>
              </w:rPr>
            </w:pPr>
            <w:r w:rsidRPr="007315B3">
              <w:rPr>
                <w:rFonts w:ascii="Times New Roman" w:hAnsi="Times New Roman" w:cs="Times New Roman"/>
                <w:sz w:val="18"/>
                <w:szCs w:val="18"/>
                <w:lang w:eastAsia="en-IN"/>
              </w:rPr>
              <w:t>..</w:t>
            </w:r>
          </w:p>
        </w:tc>
        <w:tc>
          <w:tcPr>
            <w:tcW w:w="935" w:type="dxa"/>
            <w:tcBorders>
              <w:top w:val="nil"/>
              <w:left w:val="nil"/>
              <w:bottom w:val="single" w:sz="4" w:space="0" w:color="auto"/>
              <w:right w:val="single" w:sz="4" w:space="0" w:color="auto"/>
            </w:tcBorders>
            <w:noWrap/>
            <w:vAlign w:val="center"/>
            <w:hideMark/>
          </w:tcPr>
          <w:p w14:paraId="52DFDDF6" w14:textId="77777777" w:rsidR="008000A7" w:rsidRPr="007315B3" w:rsidRDefault="008000A7" w:rsidP="00471458">
            <w:pPr>
              <w:pStyle w:val="NoSpacing"/>
              <w:jc w:val="center"/>
              <w:rPr>
                <w:rFonts w:ascii="Times New Roman" w:hAnsi="Times New Roman" w:cs="Times New Roman"/>
                <w:sz w:val="18"/>
                <w:szCs w:val="18"/>
                <w:lang w:eastAsia="en-IN"/>
              </w:rPr>
            </w:pPr>
            <w:r w:rsidRPr="007315B3">
              <w:rPr>
                <w:rFonts w:ascii="Times New Roman" w:hAnsi="Times New Roman" w:cs="Times New Roman"/>
                <w:sz w:val="18"/>
                <w:szCs w:val="18"/>
                <w:lang w:eastAsia="en-IN"/>
              </w:rPr>
              <w:t>..</w:t>
            </w:r>
          </w:p>
        </w:tc>
        <w:tc>
          <w:tcPr>
            <w:tcW w:w="651" w:type="dxa"/>
            <w:tcBorders>
              <w:top w:val="nil"/>
              <w:left w:val="nil"/>
              <w:bottom w:val="single" w:sz="4" w:space="0" w:color="auto"/>
              <w:right w:val="single" w:sz="4" w:space="0" w:color="auto"/>
            </w:tcBorders>
            <w:noWrap/>
            <w:vAlign w:val="center"/>
            <w:hideMark/>
          </w:tcPr>
          <w:p w14:paraId="7152FC89" w14:textId="77777777" w:rsidR="008000A7" w:rsidRPr="007315B3" w:rsidRDefault="008000A7" w:rsidP="00471458">
            <w:pPr>
              <w:pStyle w:val="NoSpacing"/>
              <w:jc w:val="center"/>
              <w:rPr>
                <w:rFonts w:ascii="Times New Roman" w:hAnsi="Times New Roman" w:cs="Times New Roman"/>
                <w:sz w:val="18"/>
                <w:szCs w:val="18"/>
                <w:lang w:eastAsia="en-IN"/>
              </w:rPr>
            </w:pPr>
            <w:r w:rsidRPr="007315B3">
              <w:rPr>
                <w:rFonts w:ascii="Times New Roman" w:hAnsi="Times New Roman" w:cs="Times New Roman"/>
                <w:sz w:val="18"/>
                <w:szCs w:val="18"/>
                <w:lang w:eastAsia="en-IN"/>
              </w:rPr>
              <w:t>..</w:t>
            </w:r>
          </w:p>
        </w:tc>
        <w:tc>
          <w:tcPr>
            <w:tcW w:w="651" w:type="dxa"/>
            <w:tcBorders>
              <w:top w:val="nil"/>
              <w:left w:val="nil"/>
              <w:bottom w:val="single" w:sz="4" w:space="0" w:color="auto"/>
              <w:right w:val="single" w:sz="4" w:space="0" w:color="auto"/>
            </w:tcBorders>
            <w:noWrap/>
            <w:vAlign w:val="center"/>
            <w:hideMark/>
          </w:tcPr>
          <w:p w14:paraId="17AEF4BB" w14:textId="77777777" w:rsidR="008000A7" w:rsidRPr="007315B3" w:rsidRDefault="008000A7" w:rsidP="00471458">
            <w:pPr>
              <w:pStyle w:val="NoSpacing"/>
              <w:jc w:val="center"/>
              <w:rPr>
                <w:rFonts w:ascii="Times New Roman" w:hAnsi="Times New Roman" w:cs="Times New Roman"/>
                <w:sz w:val="18"/>
                <w:szCs w:val="18"/>
                <w:lang w:eastAsia="en-IN"/>
              </w:rPr>
            </w:pPr>
            <w:r w:rsidRPr="007315B3">
              <w:rPr>
                <w:rFonts w:ascii="Times New Roman" w:hAnsi="Times New Roman" w:cs="Times New Roman"/>
                <w:sz w:val="18"/>
                <w:szCs w:val="18"/>
                <w:lang w:eastAsia="en-IN"/>
              </w:rPr>
              <w:t>..</w:t>
            </w:r>
          </w:p>
        </w:tc>
        <w:tc>
          <w:tcPr>
            <w:tcW w:w="712" w:type="dxa"/>
            <w:tcBorders>
              <w:top w:val="nil"/>
              <w:left w:val="nil"/>
              <w:bottom w:val="single" w:sz="4" w:space="0" w:color="auto"/>
              <w:right w:val="single" w:sz="4" w:space="0" w:color="auto"/>
            </w:tcBorders>
            <w:noWrap/>
            <w:vAlign w:val="center"/>
            <w:hideMark/>
          </w:tcPr>
          <w:p w14:paraId="2DEF5F36" w14:textId="77777777" w:rsidR="008000A7" w:rsidRPr="007315B3" w:rsidRDefault="008000A7" w:rsidP="00471458">
            <w:pPr>
              <w:pStyle w:val="NoSpacing"/>
              <w:jc w:val="center"/>
              <w:rPr>
                <w:rFonts w:ascii="Times New Roman" w:hAnsi="Times New Roman" w:cs="Times New Roman"/>
                <w:sz w:val="18"/>
                <w:szCs w:val="18"/>
                <w:lang w:eastAsia="en-IN"/>
              </w:rPr>
            </w:pPr>
            <w:r w:rsidRPr="007315B3">
              <w:rPr>
                <w:rFonts w:ascii="Times New Roman" w:hAnsi="Times New Roman" w:cs="Times New Roman"/>
                <w:sz w:val="18"/>
                <w:szCs w:val="18"/>
                <w:lang w:eastAsia="en-IN"/>
              </w:rPr>
              <w:t>..</w:t>
            </w:r>
          </w:p>
        </w:tc>
        <w:tc>
          <w:tcPr>
            <w:tcW w:w="651" w:type="dxa"/>
            <w:tcBorders>
              <w:top w:val="nil"/>
              <w:left w:val="nil"/>
              <w:bottom w:val="single" w:sz="4" w:space="0" w:color="auto"/>
              <w:right w:val="single" w:sz="4" w:space="0" w:color="auto"/>
            </w:tcBorders>
            <w:noWrap/>
            <w:vAlign w:val="center"/>
            <w:hideMark/>
          </w:tcPr>
          <w:p w14:paraId="532453B6" w14:textId="77777777" w:rsidR="008000A7" w:rsidRPr="007315B3" w:rsidRDefault="008000A7" w:rsidP="00471458">
            <w:pPr>
              <w:pStyle w:val="NoSpacing"/>
              <w:jc w:val="center"/>
              <w:rPr>
                <w:rFonts w:ascii="Times New Roman" w:hAnsi="Times New Roman" w:cs="Times New Roman"/>
                <w:sz w:val="18"/>
                <w:szCs w:val="18"/>
                <w:lang w:eastAsia="en-IN"/>
              </w:rPr>
            </w:pPr>
            <w:r w:rsidRPr="007315B3">
              <w:rPr>
                <w:rFonts w:ascii="Times New Roman" w:hAnsi="Times New Roman" w:cs="Times New Roman"/>
                <w:sz w:val="18"/>
                <w:szCs w:val="18"/>
                <w:lang w:eastAsia="en-IN"/>
              </w:rPr>
              <w:t>..</w:t>
            </w:r>
          </w:p>
        </w:tc>
        <w:tc>
          <w:tcPr>
            <w:tcW w:w="935" w:type="dxa"/>
            <w:tcBorders>
              <w:top w:val="nil"/>
              <w:left w:val="nil"/>
              <w:bottom w:val="single" w:sz="4" w:space="0" w:color="auto"/>
              <w:right w:val="single" w:sz="4" w:space="0" w:color="auto"/>
            </w:tcBorders>
            <w:noWrap/>
            <w:vAlign w:val="center"/>
            <w:hideMark/>
          </w:tcPr>
          <w:p w14:paraId="33AC56B1" w14:textId="77777777" w:rsidR="008000A7" w:rsidRPr="007315B3" w:rsidRDefault="008000A7" w:rsidP="00471458">
            <w:pPr>
              <w:pStyle w:val="NoSpacing"/>
              <w:jc w:val="center"/>
              <w:rPr>
                <w:rFonts w:ascii="Times New Roman" w:hAnsi="Times New Roman" w:cs="Times New Roman"/>
                <w:sz w:val="18"/>
                <w:szCs w:val="18"/>
                <w:lang w:eastAsia="en-IN"/>
              </w:rPr>
            </w:pPr>
            <w:r w:rsidRPr="007315B3">
              <w:rPr>
                <w:rFonts w:ascii="Times New Roman" w:hAnsi="Times New Roman" w:cs="Times New Roman"/>
                <w:sz w:val="18"/>
                <w:szCs w:val="18"/>
                <w:lang w:eastAsia="en-IN"/>
              </w:rPr>
              <w:t>..</w:t>
            </w:r>
          </w:p>
        </w:tc>
        <w:tc>
          <w:tcPr>
            <w:tcW w:w="651" w:type="dxa"/>
            <w:tcBorders>
              <w:top w:val="nil"/>
              <w:left w:val="nil"/>
              <w:bottom w:val="single" w:sz="4" w:space="0" w:color="auto"/>
              <w:right w:val="single" w:sz="4" w:space="0" w:color="auto"/>
            </w:tcBorders>
            <w:noWrap/>
            <w:vAlign w:val="center"/>
            <w:hideMark/>
          </w:tcPr>
          <w:p w14:paraId="75869B84" w14:textId="77777777" w:rsidR="008000A7" w:rsidRPr="007315B3" w:rsidRDefault="008000A7" w:rsidP="00471458">
            <w:pPr>
              <w:pStyle w:val="NoSpacing"/>
              <w:jc w:val="center"/>
              <w:rPr>
                <w:rFonts w:ascii="Times New Roman" w:hAnsi="Times New Roman" w:cs="Times New Roman"/>
                <w:sz w:val="18"/>
                <w:szCs w:val="18"/>
                <w:lang w:eastAsia="en-IN"/>
              </w:rPr>
            </w:pPr>
            <w:r w:rsidRPr="007315B3">
              <w:rPr>
                <w:rFonts w:ascii="Times New Roman" w:hAnsi="Times New Roman" w:cs="Times New Roman"/>
                <w:sz w:val="18"/>
                <w:szCs w:val="18"/>
                <w:lang w:eastAsia="en-IN"/>
              </w:rPr>
              <w:t>..</w:t>
            </w:r>
          </w:p>
        </w:tc>
      </w:tr>
      <w:tr w:rsidR="008000A7" w:rsidRPr="007315B3" w14:paraId="4920C0DA" w14:textId="77777777" w:rsidTr="00537910">
        <w:trPr>
          <w:trHeight w:val="65"/>
          <w:jc w:val="center"/>
        </w:trPr>
        <w:tc>
          <w:tcPr>
            <w:tcW w:w="870" w:type="dxa"/>
            <w:tcBorders>
              <w:top w:val="nil"/>
              <w:left w:val="single" w:sz="4" w:space="0" w:color="auto"/>
              <w:bottom w:val="single" w:sz="4" w:space="0" w:color="auto"/>
              <w:right w:val="single" w:sz="4" w:space="0" w:color="auto"/>
            </w:tcBorders>
            <w:noWrap/>
            <w:vAlign w:val="bottom"/>
            <w:hideMark/>
          </w:tcPr>
          <w:p w14:paraId="1C82D10B" w14:textId="77777777" w:rsidR="008000A7" w:rsidRPr="007315B3" w:rsidRDefault="008000A7" w:rsidP="00B77C0B">
            <w:pPr>
              <w:pStyle w:val="NoSpacing"/>
              <w:rPr>
                <w:rFonts w:ascii="Times New Roman" w:hAnsi="Times New Roman" w:cs="Times New Roman"/>
                <w:sz w:val="18"/>
                <w:szCs w:val="18"/>
                <w:lang w:eastAsia="en-IN"/>
              </w:rPr>
            </w:pPr>
            <w:r w:rsidRPr="007315B3">
              <w:rPr>
                <w:rFonts w:ascii="Times New Roman" w:hAnsi="Times New Roman" w:cs="Times New Roman"/>
                <w:sz w:val="18"/>
                <w:szCs w:val="18"/>
                <w:lang w:eastAsia="en-IN"/>
              </w:rPr>
              <w:t>Haryana</w:t>
            </w:r>
          </w:p>
        </w:tc>
        <w:tc>
          <w:tcPr>
            <w:tcW w:w="650" w:type="dxa"/>
            <w:tcBorders>
              <w:top w:val="nil"/>
              <w:left w:val="nil"/>
              <w:bottom w:val="single" w:sz="4" w:space="0" w:color="auto"/>
              <w:right w:val="single" w:sz="4" w:space="0" w:color="auto"/>
            </w:tcBorders>
            <w:noWrap/>
            <w:vAlign w:val="center"/>
            <w:hideMark/>
          </w:tcPr>
          <w:p w14:paraId="619A5B13" w14:textId="77777777" w:rsidR="008000A7" w:rsidRPr="007315B3" w:rsidRDefault="008000A7" w:rsidP="00471458">
            <w:pPr>
              <w:pStyle w:val="NoSpacing"/>
              <w:jc w:val="center"/>
              <w:rPr>
                <w:rFonts w:ascii="Times New Roman" w:hAnsi="Times New Roman" w:cs="Times New Roman"/>
                <w:sz w:val="18"/>
                <w:szCs w:val="18"/>
                <w:lang w:eastAsia="en-IN"/>
              </w:rPr>
            </w:pPr>
            <w:r w:rsidRPr="007315B3">
              <w:rPr>
                <w:rFonts w:ascii="Times New Roman" w:hAnsi="Times New Roman" w:cs="Times New Roman"/>
                <w:sz w:val="18"/>
                <w:szCs w:val="18"/>
                <w:lang w:eastAsia="en-IN"/>
              </w:rPr>
              <w:t>..</w:t>
            </w:r>
          </w:p>
        </w:tc>
        <w:tc>
          <w:tcPr>
            <w:tcW w:w="711" w:type="dxa"/>
            <w:tcBorders>
              <w:top w:val="nil"/>
              <w:left w:val="nil"/>
              <w:bottom w:val="single" w:sz="4" w:space="0" w:color="auto"/>
              <w:right w:val="single" w:sz="4" w:space="0" w:color="auto"/>
            </w:tcBorders>
            <w:noWrap/>
            <w:vAlign w:val="center"/>
            <w:hideMark/>
          </w:tcPr>
          <w:p w14:paraId="79A4DE10" w14:textId="77777777" w:rsidR="008000A7" w:rsidRPr="007315B3" w:rsidRDefault="008000A7" w:rsidP="00471458">
            <w:pPr>
              <w:pStyle w:val="NoSpacing"/>
              <w:jc w:val="center"/>
              <w:rPr>
                <w:rFonts w:ascii="Times New Roman" w:hAnsi="Times New Roman" w:cs="Times New Roman"/>
                <w:sz w:val="18"/>
                <w:szCs w:val="18"/>
                <w:lang w:eastAsia="en-IN"/>
              </w:rPr>
            </w:pPr>
            <w:r w:rsidRPr="007315B3">
              <w:rPr>
                <w:rFonts w:ascii="Times New Roman" w:hAnsi="Times New Roman" w:cs="Times New Roman"/>
                <w:sz w:val="18"/>
                <w:szCs w:val="18"/>
                <w:lang w:eastAsia="en-IN"/>
              </w:rPr>
              <w:t>..</w:t>
            </w:r>
          </w:p>
        </w:tc>
        <w:tc>
          <w:tcPr>
            <w:tcW w:w="651" w:type="dxa"/>
            <w:tcBorders>
              <w:top w:val="nil"/>
              <w:left w:val="nil"/>
              <w:bottom w:val="single" w:sz="4" w:space="0" w:color="auto"/>
              <w:right w:val="single" w:sz="4" w:space="0" w:color="auto"/>
            </w:tcBorders>
            <w:noWrap/>
            <w:vAlign w:val="center"/>
            <w:hideMark/>
          </w:tcPr>
          <w:p w14:paraId="44E7F6CF" w14:textId="77777777" w:rsidR="008000A7" w:rsidRPr="007315B3" w:rsidRDefault="008000A7" w:rsidP="00471458">
            <w:pPr>
              <w:pStyle w:val="NoSpacing"/>
              <w:jc w:val="center"/>
              <w:rPr>
                <w:rFonts w:ascii="Times New Roman" w:hAnsi="Times New Roman" w:cs="Times New Roman"/>
                <w:sz w:val="18"/>
                <w:szCs w:val="18"/>
                <w:lang w:eastAsia="en-IN"/>
              </w:rPr>
            </w:pPr>
            <w:r w:rsidRPr="007315B3">
              <w:rPr>
                <w:rFonts w:ascii="Times New Roman" w:hAnsi="Times New Roman" w:cs="Times New Roman"/>
                <w:sz w:val="18"/>
                <w:szCs w:val="18"/>
                <w:lang w:eastAsia="en-IN"/>
              </w:rPr>
              <w:t>..</w:t>
            </w:r>
          </w:p>
        </w:tc>
        <w:tc>
          <w:tcPr>
            <w:tcW w:w="651" w:type="dxa"/>
            <w:tcBorders>
              <w:top w:val="nil"/>
              <w:left w:val="nil"/>
              <w:bottom w:val="single" w:sz="4" w:space="0" w:color="auto"/>
              <w:right w:val="single" w:sz="4" w:space="0" w:color="auto"/>
            </w:tcBorders>
            <w:noWrap/>
            <w:vAlign w:val="center"/>
            <w:hideMark/>
          </w:tcPr>
          <w:p w14:paraId="11F44BBA" w14:textId="77777777" w:rsidR="008000A7" w:rsidRPr="007315B3" w:rsidRDefault="008000A7" w:rsidP="00471458">
            <w:pPr>
              <w:pStyle w:val="NoSpacing"/>
              <w:jc w:val="center"/>
              <w:rPr>
                <w:rFonts w:ascii="Times New Roman" w:hAnsi="Times New Roman" w:cs="Times New Roman"/>
                <w:sz w:val="18"/>
                <w:szCs w:val="18"/>
                <w:lang w:eastAsia="en-IN"/>
              </w:rPr>
            </w:pPr>
            <w:r w:rsidRPr="007315B3">
              <w:rPr>
                <w:rFonts w:ascii="Times New Roman" w:hAnsi="Times New Roman" w:cs="Times New Roman"/>
                <w:sz w:val="18"/>
                <w:szCs w:val="18"/>
                <w:lang w:eastAsia="en-IN"/>
              </w:rPr>
              <w:t>..</w:t>
            </w:r>
          </w:p>
        </w:tc>
        <w:tc>
          <w:tcPr>
            <w:tcW w:w="651" w:type="dxa"/>
            <w:tcBorders>
              <w:top w:val="nil"/>
              <w:left w:val="nil"/>
              <w:bottom w:val="single" w:sz="4" w:space="0" w:color="auto"/>
              <w:right w:val="single" w:sz="4" w:space="0" w:color="auto"/>
            </w:tcBorders>
            <w:noWrap/>
            <w:vAlign w:val="center"/>
            <w:hideMark/>
          </w:tcPr>
          <w:p w14:paraId="6409E0F4" w14:textId="77777777" w:rsidR="008000A7" w:rsidRPr="007315B3" w:rsidRDefault="008000A7" w:rsidP="00471458">
            <w:pPr>
              <w:pStyle w:val="NoSpacing"/>
              <w:jc w:val="center"/>
              <w:rPr>
                <w:rFonts w:ascii="Times New Roman" w:hAnsi="Times New Roman" w:cs="Times New Roman"/>
                <w:sz w:val="18"/>
                <w:szCs w:val="18"/>
                <w:lang w:eastAsia="en-IN"/>
              </w:rPr>
            </w:pPr>
            <w:r w:rsidRPr="007315B3">
              <w:rPr>
                <w:rFonts w:ascii="Times New Roman" w:hAnsi="Times New Roman" w:cs="Times New Roman"/>
                <w:sz w:val="18"/>
                <w:szCs w:val="18"/>
                <w:lang w:eastAsia="en-IN"/>
              </w:rPr>
              <w:t>..</w:t>
            </w:r>
          </w:p>
        </w:tc>
        <w:tc>
          <w:tcPr>
            <w:tcW w:w="712" w:type="dxa"/>
            <w:tcBorders>
              <w:top w:val="nil"/>
              <w:left w:val="nil"/>
              <w:bottom w:val="single" w:sz="4" w:space="0" w:color="auto"/>
              <w:right w:val="single" w:sz="4" w:space="0" w:color="auto"/>
            </w:tcBorders>
            <w:noWrap/>
            <w:vAlign w:val="center"/>
            <w:hideMark/>
          </w:tcPr>
          <w:p w14:paraId="6A07EE4B" w14:textId="77777777" w:rsidR="008000A7" w:rsidRPr="007315B3" w:rsidRDefault="008000A7" w:rsidP="00471458">
            <w:pPr>
              <w:pStyle w:val="NoSpacing"/>
              <w:jc w:val="center"/>
              <w:rPr>
                <w:rFonts w:ascii="Times New Roman" w:hAnsi="Times New Roman" w:cs="Times New Roman"/>
                <w:sz w:val="18"/>
                <w:szCs w:val="18"/>
                <w:lang w:eastAsia="en-IN"/>
              </w:rPr>
            </w:pPr>
            <w:r w:rsidRPr="007315B3">
              <w:rPr>
                <w:rFonts w:ascii="Times New Roman" w:hAnsi="Times New Roman" w:cs="Times New Roman"/>
                <w:sz w:val="18"/>
                <w:szCs w:val="18"/>
                <w:lang w:eastAsia="en-IN"/>
              </w:rPr>
              <w:t>..</w:t>
            </w:r>
          </w:p>
        </w:tc>
        <w:tc>
          <w:tcPr>
            <w:tcW w:w="651" w:type="dxa"/>
            <w:tcBorders>
              <w:top w:val="nil"/>
              <w:left w:val="nil"/>
              <w:bottom w:val="single" w:sz="4" w:space="0" w:color="auto"/>
              <w:right w:val="single" w:sz="4" w:space="0" w:color="auto"/>
            </w:tcBorders>
            <w:noWrap/>
            <w:vAlign w:val="center"/>
            <w:hideMark/>
          </w:tcPr>
          <w:p w14:paraId="4D4DA48A" w14:textId="77777777" w:rsidR="008000A7" w:rsidRPr="007315B3" w:rsidRDefault="008000A7" w:rsidP="00471458">
            <w:pPr>
              <w:pStyle w:val="NoSpacing"/>
              <w:jc w:val="center"/>
              <w:rPr>
                <w:rFonts w:ascii="Times New Roman" w:hAnsi="Times New Roman" w:cs="Times New Roman"/>
                <w:sz w:val="18"/>
                <w:szCs w:val="18"/>
                <w:lang w:eastAsia="en-IN"/>
              </w:rPr>
            </w:pPr>
            <w:r w:rsidRPr="007315B3">
              <w:rPr>
                <w:rFonts w:ascii="Times New Roman" w:hAnsi="Times New Roman" w:cs="Times New Roman"/>
                <w:sz w:val="18"/>
                <w:szCs w:val="18"/>
                <w:lang w:eastAsia="en-IN"/>
              </w:rPr>
              <w:t>..</w:t>
            </w:r>
          </w:p>
        </w:tc>
        <w:tc>
          <w:tcPr>
            <w:tcW w:w="651" w:type="dxa"/>
            <w:tcBorders>
              <w:top w:val="nil"/>
              <w:left w:val="nil"/>
              <w:bottom w:val="single" w:sz="4" w:space="0" w:color="auto"/>
              <w:right w:val="single" w:sz="4" w:space="0" w:color="auto"/>
            </w:tcBorders>
            <w:noWrap/>
            <w:vAlign w:val="center"/>
            <w:hideMark/>
          </w:tcPr>
          <w:p w14:paraId="36AE0E30" w14:textId="77777777" w:rsidR="008000A7" w:rsidRPr="007315B3" w:rsidRDefault="008000A7" w:rsidP="00471458">
            <w:pPr>
              <w:pStyle w:val="NoSpacing"/>
              <w:jc w:val="center"/>
              <w:rPr>
                <w:rFonts w:ascii="Times New Roman" w:hAnsi="Times New Roman" w:cs="Times New Roman"/>
                <w:sz w:val="18"/>
                <w:szCs w:val="18"/>
                <w:lang w:eastAsia="en-IN"/>
              </w:rPr>
            </w:pPr>
            <w:r w:rsidRPr="007315B3">
              <w:rPr>
                <w:rFonts w:ascii="Times New Roman" w:hAnsi="Times New Roman" w:cs="Times New Roman"/>
                <w:sz w:val="18"/>
                <w:szCs w:val="18"/>
                <w:lang w:eastAsia="en-IN"/>
              </w:rPr>
              <w:t>..</w:t>
            </w:r>
          </w:p>
        </w:tc>
        <w:tc>
          <w:tcPr>
            <w:tcW w:w="651" w:type="dxa"/>
            <w:tcBorders>
              <w:top w:val="nil"/>
              <w:left w:val="nil"/>
              <w:bottom w:val="single" w:sz="4" w:space="0" w:color="auto"/>
              <w:right w:val="single" w:sz="4" w:space="0" w:color="auto"/>
            </w:tcBorders>
            <w:noWrap/>
            <w:vAlign w:val="center"/>
            <w:hideMark/>
          </w:tcPr>
          <w:p w14:paraId="4E6308ED" w14:textId="77777777" w:rsidR="008000A7" w:rsidRPr="007315B3" w:rsidRDefault="008000A7" w:rsidP="00471458">
            <w:pPr>
              <w:pStyle w:val="NoSpacing"/>
              <w:jc w:val="center"/>
              <w:rPr>
                <w:rFonts w:ascii="Times New Roman" w:hAnsi="Times New Roman" w:cs="Times New Roman"/>
                <w:sz w:val="18"/>
                <w:szCs w:val="18"/>
                <w:lang w:eastAsia="en-IN"/>
              </w:rPr>
            </w:pPr>
            <w:r w:rsidRPr="007315B3">
              <w:rPr>
                <w:rFonts w:ascii="Times New Roman" w:hAnsi="Times New Roman" w:cs="Times New Roman"/>
                <w:sz w:val="18"/>
                <w:szCs w:val="18"/>
                <w:lang w:eastAsia="en-IN"/>
              </w:rPr>
              <w:t>..</w:t>
            </w:r>
          </w:p>
        </w:tc>
        <w:tc>
          <w:tcPr>
            <w:tcW w:w="712" w:type="dxa"/>
            <w:tcBorders>
              <w:top w:val="nil"/>
              <w:left w:val="nil"/>
              <w:bottom w:val="single" w:sz="4" w:space="0" w:color="auto"/>
              <w:right w:val="single" w:sz="4" w:space="0" w:color="auto"/>
            </w:tcBorders>
            <w:noWrap/>
            <w:vAlign w:val="center"/>
            <w:hideMark/>
          </w:tcPr>
          <w:p w14:paraId="485A3C7F" w14:textId="77777777" w:rsidR="008000A7" w:rsidRPr="007315B3" w:rsidRDefault="008000A7" w:rsidP="00471458">
            <w:pPr>
              <w:pStyle w:val="NoSpacing"/>
              <w:jc w:val="center"/>
              <w:rPr>
                <w:rFonts w:ascii="Times New Roman" w:hAnsi="Times New Roman" w:cs="Times New Roman"/>
                <w:sz w:val="18"/>
                <w:szCs w:val="18"/>
                <w:lang w:eastAsia="en-IN"/>
              </w:rPr>
            </w:pPr>
            <w:r w:rsidRPr="007315B3">
              <w:rPr>
                <w:rFonts w:ascii="Times New Roman" w:hAnsi="Times New Roman" w:cs="Times New Roman"/>
                <w:sz w:val="18"/>
                <w:szCs w:val="18"/>
                <w:lang w:eastAsia="en-IN"/>
              </w:rPr>
              <w:t>..</w:t>
            </w:r>
          </w:p>
        </w:tc>
        <w:tc>
          <w:tcPr>
            <w:tcW w:w="651" w:type="dxa"/>
            <w:tcBorders>
              <w:top w:val="nil"/>
              <w:left w:val="nil"/>
              <w:bottom w:val="single" w:sz="4" w:space="0" w:color="auto"/>
              <w:right w:val="single" w:sz="4" w:space="0" w:color="auto"/>
            </w:tcBorders>
            <w:noWrap/>
            <w:vAlign w:val="center"/>
            <w:hideMark/>
          </w:tcPr>
          <w:p w14:paraId="48CFAA27" w14:textId="77777777" w:rsidR="008000A7" w:rsidRPr="007315B3" w:rsidRDefault="008000A7" w:rsidP="00471458">
            <w:pPr>
              <w:pStyle w:val="NoSpacing"/>
              <w:jc w:val="center"/>
              <w:rPr>
                <w:rFonts w:ascii="Times New Roman" w:hAnsi="Times New Roman" w:cs="Times New Roman"/>
                <w:sz w:val="18"/>
                <w:szCs w:val="18"/>
                <w:lang w:eastAsia="en-IN"/>
              </w:rPr>
            </w:pPr>
            <w:r w:rsidRPr="007315B3">
              <w:rPr>
                <w:rFonts w:ascii="Times New Roman" w:hAnsi="Times New Roman" w:cs="Times New Roman"/>
                <w:sz w:val="18"/>
                <w:szCs w:val="18"/>
                <w:lang w:eastAsia="en-IN"/>
              </w:rPr>
              <w:t>..</w:t>
            </w:r>
          </w:p>
        </w:tc>
        <w:tc>
          <w:tcPr>
            <w:tcW w:w="935" w:type="dxa"/>
            <w:tcBorders>
              <w:top w:val="nil"/>
              <w:left w:val="nil"/>
              <w:bottom w:val="single" w:sz="4" w:space="0" w:color="auto"/>
              <w:right w:val="single" w:sz="4" w:space="0" w:color="auto"/>
            </w:tcBorders>
            <w:noWrap/>
            <w:vAlign w:val="center"/>
            <w:hideMark/>
          </w:tcPr>
          <w:p w14:paraId="61BF8816" w14:textId="77777777" w:rsidR="008000A7" w:rsidRPr="007315B3" w:rsidRDefault="008000A7" w:rsidP="00471458">
            <w:pPr>
              <w:pStyle w:val="NoSpacing"/>
              <w:jc w:val="center"/>
              <w:rPr>
                <w:rFonts w:ascii="Times New Roman" w:hAnsi="Times New Roman" w:cs="Times New Roman"/>
                <w:sz w:val="18"/>
                <w:szCs w:val="18"/>
                <w:lang w:eastAsia="en-IN"/>
              </w:rPr>
            </w:pPr>
            <w:r w:rsidRPr="007315B3">
              <w:rPr>
                <w:rFonts w:ascii="Times New Roman" w:hAnsi="Times New Roman" w:cs="Times New Roman"/>
                <w:sz w:val="18"/>
                <w:szCs w:val="18"/>
                <w:lang w:eastAsia="en-IN"/>
              </w:rPr>
              <w:t>..</w:t>
            </w:r>
          </w:p>
        </w:tc>
        <w:tc>
          <w:tcPr>
            <w:tcW w:w="651" w:type="dxa"/>
            <w:tcBorders>
              <w:top w:val="nil"/>
              <w:left w:val="nil"/>
              <w:bottom w:val="single" w:sz="4" w:space="0" w:color="auto"/>
              <w:right w:val="single" w:sz="4" w:space="0" w:color="auto"/>
            </w:tcBorders>
            <w:noWrap/>
            <w:vAlign w:val="center"/>
            <w:hideMark/>
          </w:tcPr>
          <w:p w14:paraId="0BD49FBE" w14:textId="77777777" w:rsidR="008000A7" w:rsidRPr="007315B3" w:rsidRDefault="008000A7" w:rsidP="00471458">
            <w:pPr>
              <w:pStyle w:val="NoSpacing"/>
              <w:jc w:val="center"/>
              <w:rPr>
                <w:rFonts w:ascii="Times New Roman" w:hAnsi="Times New Roman" w:cs="Times New Roman"/>
                <w:sz w:val="18"/>
                <w:szCs w:val="18"/>
                <w:lang w:eastAsia="en-IN"/>
              </w:rPr>
            </w:pPr>
            <w:r w:rsidRPr="007315B3">
              <w:rPr>
                <w:rFonts w:ascii="Times New Roman" w:hAnsi="Times New Roman" w:cs="Times New Roman"/>
                <w:sz w:val="18"/>
                <w:szCs w:val="18"/>
                <w:lang w:eastAsia="en-IN"/>
              </w:rPr>
              <w:t>..</w:t>
            </w:r>
          </w:p>
        </w:tc>
        <w:tc>
          <w:tcPr>
            <w:tcW w:w="651" w:type="dxa"/>
            <w:tcBorders>
              <w:top w:val="nil"/>
              <w:left w:val="nil"/>
              <w:bottom w:val="single" w:sz="4" w:space="0" w:color="auto"/>
              <w:right w:val="single" w:sz="4" w:space="0" w:color="auto"/>
            </w:tcBorders>
            <w:noWrap/>
            <w:vAlign w:val="center"/>
            <w:hideMark/>
          </w:tcPr>
          <w:p w14:paraId="7700F724" w14:textId="77777777" w:rsidR="008000A7" w:rsidRPr="007315B3" w:rsidRDefault="008000A7" w:rsidP="00471458">
            <w:pPr>
              <w:pStyle w:val="NoSpacing"/>
              <w:jc w:val="center"/>
              <w:rPr>
                <w:rFonts w:ascii="Times New Roman" w:hAnsi="Times New Roman" w:cs="Times New Roman"/>
                <w:sz w:val="18"/>
                <w:szCs w:val="18"/>
                <w:lang w:eastAsia="en-IN"/>
              </w:rPr>
            </w:pPr>
            <w:r w:rsidRPr="007315B3">
              <w:rPr>
                <w:rFonts w:ascii="Times New Roman" w:hAnsi="Times New Roman" w:cs="Times New Roman"/>
                <w:sz w:val="18"/>
                <w:szCs w:val="18"/>
                <w:lang w:eastAsia="en-IN"/>
              </w:rPr>
              <w:t>..</w:t>
            </w:r>
          </w:p>
        </w:tc>
        <w:tc>
          <w:tcPr>
            <w:tcW w:w="712" w:type="dxa"/>
            <w:tcBorders>
              <w:top w:val="nil"/>
              <w:left w:val="nil"/>
              <w:bottom w:val="single" w:sz="4" w:space="0" w:color="auto"/>
              <w:right w:val="single" w:sz="4" w:space="0" w:color="auto"/>
            </w:tcBorders>
            <w:noWrap/>
            <w:vAlign w:val="center"/>
            <w:hideMark/>
          </w:tcPr>
          <w:p w14:paraId="7B1605FA" w14:textId="77777777" w:rsidR="008000A7" w:rsidRPr="007315B3" w:rsidRDefault="008000A7" w:rsidP="00471458">
            <w:pPr>
              <w:pStyle w:val="NoSpacing"/>
              <w:jc w:val="center"/>
              <w:rPr>
                <w:rFonts w:ascii="Times New Roman" w:hAnsi="Times New Roman" w:cs="Times New Roman"/>
                <w:sz w:val="18"/>
                <w:szCs w:val="18"/>
                <w:lang w:eastAsia="en-IN"/>
              </w:rPr>
            </w:pPr>
            <w:r w:rsidRPr="007315B3">
              <w:rPr>
                <w:rFonts w:ascii="Times New Roman" w:hAnsi="Times New Roman" w:cs="Times New Roman"/>
                <w:sz w:val="18"/>
                <w:szCs w:val="18"/>
                <w:lang w:eastAsia="en-IN"/>
              </w:rPr>
              <w:t>..</w:t>
            </w:r>
          </w:p>
        </w:tc>
        <w:tc>
          <w:tcPr>
            <w:tcW w:w="651" w:type="dxa"/>
            <w:tcBorders>
              <w:top w:val="nil"/>
              <w:left w:val="nil"/>
              <w:bottom w:val="single" w:sz="4" w:space="0" w:color="auto"/>
              <w:right w:val="single" w:sz="4" w:space="0" w:color="auto"/>
            </w:tcBorders>
            <w:noWrap/>
            <w:vAlign w:val="center"/>
            <w:hideMark/>
          </w:tcPr>
          <w:p w14:paraId="16F04939" w14:textId="77777777" w:rsidR="008000A7" w:rsidRPr="007315B3" w:rsidRDefault="008000A7" w:rsidP="00471458">
            <w:pPr>
              <w:pStyle w:val="NoSpacing"/>
              <w:jc w:val="center"/>
              <w:rPr>
                <w:rFonts w:ascii="Times New Roman" w:hAnsi="Times New Roman" w:cs="Times New Roman"/>
                <w:sz w:val="18"/>
                <w:szCs w:val="18"/>
                <w:lang w:eastAsia="en-IN"/>
              </w:rPr>
            </w:pPr>
            <w:r w:rsidRPr="007315B3">
              <w:rPr>
                <w:rFonts w:ascii="Times New Roman" w:hAnsi="Times New Roman" w:cs="Times New Roman"/>
                <w:sz w:val="18"/>
                <w:szCs w:val="18"/>
                <w:lang w:eastAsia="en-IN"/>
              </w:rPr>
              <w:t>..</w:t>
            </w:r>
          </w:p>
        </w:tc>
        <w:tc>
          <w:tcPr>
            <w:tcW w:w="935" w:type="dxa"/>
            <w:tcBorders>
              <w:top w:val="nil"/>
              <w:left w:val="nil"/>
              <w:bottom w:val="single" w:sz="4" w:space="0" w:color="auto"/>
              <w:right w:val="single" w:sz="4" w:space="0" w:color="auto"/>
            </w:tcBorders>
            <w:noWrap/>
            <w:vAlign w:val="center"/>
            <w:hideMark/>
          </w:tcPr>
          <w:p w14:paraId="1B35DDDC" w14:textId="77777777" w:rsidR="008000A7" w:rsidRPr="007315B3" w:rsidRDefault="008000A7" w:rsidP="00471458">
            <w:pPr>
              <w:pStyle w:val="NoSpacing"/>
              <w:jc w:val="center"/>
              <w:rPr>
                <w:rFonts w:ascii="Times New Roman" w:hAnsi="Times New Roman" w:cs="Times New Roman"/>
                <w:sz w:val="18"/>
                <w:szCs w:val="18"/>
                <w:lang w:eastAsia="en-IN"/>
              </w:rPr>
            </w:pPr>
            <w:r w:rsidRPr="007315B3">
              <w:rPr>
                <w:rFonts w:ascii="Times New Roman" w:hAnsi="Times New Roman" w:cs="Times New Roman"/>
                <w:sz w:val="18"/>
                <w:szCs w:val="18"/>
                <w:lang w:eastAsia="en-IN"/>
              </w:rPr>
              <w:t>..</w:t>
            </w:r>
          </w:p>
        </w:tc>
        <w:tc>
          <w:tcPr>
            <w:tcW w:w="651" w:type="dxa"/>
            <w:tcBorders>
              <w:top w:val="nil"/>
              <w:left w:val="nil"/>
              <w:bottom w:val="single" w:sz="4" w:space="0" w:color="auto"/>
              <w:right w:val="single" w:sz="4" w:space="0" w:color="auto"/>
            </w:tcBorders>
            <w:noWrap/>
            <w:vAlign w:val="center"/>
            <w:hideMark/>
          </w:tcPr>
          <w:p w14:paraId="7C8D05B4" w14:textId="77777777" w:rsidR="008000A7" w:rsidRPr="007315B3" w:rsidRDefault="008000A7" w:rsidP="00471458">
            <w:pPr>
              <w:pStyle w:val="NoSpacing"/>
              <w:jc w:val="center"/>
              <w:rPr>
                <w:rFonts w:ascii="Times New Roman" w:hAnsi="Times New Roman" w:cs="Times New Roman"/>
                <w:sz w:val="18"/>
                <w:szCs w:val="18"/>
                <w:lang w:eastAsia="en-IN"/>
              </w:rPr>
            </w:pPr>
            <w:r w:rsidRPr="007315B3">
              <w:rPr>
                <w:rFonts w:ascii="Times New Roman" w:hAnsi="Times New Roman" w:cs="Times New Roman"/>
                <w:sz w:val="18"/>
                <w:szCs w:val="18"/>
                <w:lang w:eastAsia="en-IN"/>
              </w:rPr>
              <w:t>..</w:t>
            </w:r>
          </w:p>
        </w:tc>
      </w:tr>
      <w:tr w:rsidR="008000A7" w:rsidRPr="007315B3" w14:paraId="156AF3AF" w14:textId="77777777" w:rsidTr="00537910">
        <w:trPr>
          <w:trHeight w:val="65"/>
          <w:jc w:val="center"/>
        </w:trPr>
        <w:tc>
          <w:tcPr>
            <w:tcW w:w="870" w:type="dxa"/>
            <w:tcBorders>
              <w:top w:val="nil"/>
              <w:left w:val="single" w:sz="4" w:space="0" w:color="auto"/>
              <w:bottom w:val="single" w:sz="4" w:space="0" w:color="auto"/>
              <w:right w:val="single" w:sz="4" w:space="0" w:color="auto"/>
            </w:tcBorders>
            <w:noWrap/>
            <w:vAlign w:val="bottom"/>
            <w:hideMark/>
          </w:tcPr>
          <w:p w14:paraId="08934BC8" w14:textId="77777777" w:rsidR="008000A7" w:rsidRPr="007315B3" w:rsidRDefault="008000A7" w:rsidP="00B77C0B">
            <w:pPr>
              <w:pStyle w:val="NoSpacing"/>
              <w:rPr>
                <w:rFonts w:ascii="Times New Roman" w:hAnsi="Times New Roman" w:cs="Times New Roman"/>
                <w:sz w:val="18"/>
                <w:szCs w:val="18"/>
                <w:lang w:eastAsia="en-IN"/>
              </w:rPr>
            </w:pPr>
            <w:r w:rsidRPr="007315B3">
              <w:rPr>
                <w:rFonts w:ascii="Times New Roman" w:hAnsi="Times New Roman" w:cs="Times New Roman"/>
                <w:sz w:val="18"/>
                <w:szCs w:val="18"/>
                <w:lang w:eastAsia="en-IN"/>
              </w:rPr>
              <w:t>Jammu &amp; Kashmir</w:t>
            </w:r>
          </w:p>
        </w:tc>
        <w:tc>
          <w:tcPr>
            <w:tcW w:w="650" w:type="dxa"/>
            <w:tcBorders>
              <w:top w:val="nil"/>
              <w:left w:val="nil"/>
              <w:bottom w:val="single" w:sz="4" w:space="0" w:color="auto"/>
              <w:right w:val="single" w:sz="4" w:space="0" w:color="auto"/>
            </w:tcBorders>
            <w:noWrap/>
            <w:vAlign w:val="center"/>
            <w:hideMark/>
          </w:tcPr>
          <w:p w14:paraId="15CEF04E" w14:textId="77777777" w:rsidR="008000A7" w:rsidRPr="007315B3" w:rsidRDefault="008000A7" w:rsidP="00471458">
            <w:pPr>
              <w:pStyle w:val="NoSpacing"/>
              <w:jc w:val="center"/>
              <w:rPr>
                <w:rFonts w:ascii="Times New Roman" w:hAnsi="Times New Roman" w:cs="Times New Roman"/>
                <w:sz w:val="18"/>
                <w:szCs w:val="18"/>
                <w:lang w:eastAsia="en-IN"/>
              </w:rPr>
            </w:pPr>
            <w:r w:rsidRPr="007315B3">
              <w:rPr>
                <w:rFonts w:ascii="Times New Roman" w:hAnsi="Times New Roman" w:cs="Times New Roman"/>
                <w:sz w:val="18"/>
                <w:szCs w:val="18"/>
                <w:lang w:eastAsia="en-IN"/>
              </w:rPr>
              <w:t>0.99</w:t>
            </w:r>
          </w:p>
        </w:tc>
        <w:tc>
          <w:tcPr>
            <w:tcW w:w="711" w:type="dxa"/>
            <w:tcBorders>
              <w:top w:val="nil"/>
              <w:left w:val="nil"/>
              <w:bottom w:val="single" w:sz="4" w:space="0" w:color="auto"/>
              <w:right w:val="single" w:sz="4" w:space="0" w:color="auto"/>
            </w:tcBorders>
            <w:noWrap/>
            <w:vAlign w:val="center"/>
            <w:hideMark/>
          </w:tcPr>
          <w:p w14:paraId="3EE5A01A" w14:textId="77777777" w:rsidR="008000A7" w:rsidRPr="007315B3" w:rsidRDefault="008000A7" w:rsidP="00471458">
            <w:pPr>
              <w:pStyle w:val="NoSpacing"/>
              <w:jc w:val="center"/>
              <w:rPr>
                <w:rFonts w:ascii="Times New Roman" w:hAnsi="Times New Roman" w:cs="Times New Roman"/>
                <w:sz w:val="18"/>
                <w:szCs w:val="18"/>
                <w:lang w:eastAsia="en-IN"/>
              </w:rPr>
            </w:pPr>
            <w:r w:rsidRPr="007315B3">
              <w:rPr>
                <w:rFonts w:ascii="Times New Roman" w:hAnsi="Times New Roman" w:cs="Times New Roman"/>
                <w:sz w:val="18"/>
                <w:szCs w:val="18"/>
                <w:lang w:eastAsia="en-IN"/>
              </w:rPr>
              <w:t>0.43</w:t>
            </w:r>
          </w:p>
        </w:tc>
        <w:tc>
          <w:tcPr>
            <w:tcW w:w="651" w:type="dxa"/>
            <w:tcBorders>
              <w:top w:val="nil"/>
              <w:left w:val="nil"/>
              <w:bottom w:val="single" w:sz="4" w:space="0" w:color="auto"/>
              <w:right w:val="single" w:sz="4" w:space="0" w:color="auto"/>
            </w:tcBorders>
            <w:noWrap/>
            <w:vAlign w:val="center"/>
            <w:hideMark/>
          </w:tcPr>
          <w:p w14:paraId="0A3BCF07" w14:textId="77777777" w:rsidR="008000A7" w:rsidRPr="007315B3" w:rsidRDefault="008000A7" w:rsidP="00471458">
            <w:pPr>
              <w:pStyle w:val="NoSpacing"/>
              <w:jc w:val="center"/>
              <w:rPr>
                <w:rFonts w:ascii="Times New Roman" w:hAnsi="Times New Roman" w:cs="Times New Roman"/>
                <w:sz w:val="18"/>
                <w:szCs w:val="18"/>
                <w:lang w:eastAsia="en-IN"/>
              </w:rPr>
            </w:pPr>
            <w:r w:rsidRPr="007315B3">
              <w:rPr>
                <w:rFonts w:ascii="Times New Roman" w:hAnsi="Times New Roman" w:cs="Times New Roman"/>
                <w:sz w:val="18"/>
                <w:szCs w:val="18"/>
                <w:lang w:eastAsia="en-IN"/>
              </w:rPr>
              <w:t>0.68</w:t>
            </w:r>
          </w:p>
        </w:tc>
        <w:tc>
          <w:tcPr>
            <w:tcW w:w="651" w:type="dxa"/>
            <w:tcBorders>
              <w:top w:val="nil"/>
              <w:left w:val="nil"/>
              <w:bottom w:val="single" w:sz="4" w:space="0" w:color="auto"/>
              <w:right w:val="single" w:sz="4" w:space="0" w:color="auto"/>
            </w:tcBorders>
            <w:noWrap/>
            <w:vAlign w:val="center"/>
            <w:hideMark/>
          </w:tcPr>
          <w:p w14:paraId="33820142" w14:textId="77777777" w:rsidR="008000A7" w:rsidRPr="007315B3" w:rsidRDefault="008000A7" w:rsidP="00471458">
            <w:pPr>
              <w:pStyle w:val="NoSpacing"/>
              <w:jc w:val="center"/>
              <w:rPr>
                <w:rFonts w:ascii="Times New Roman" w:hAnsi="Times New Roman" w:cs="Times New Roman"/>
                <w:sz w:val="18"/>
                <w:szCs w:val="18"/>
                <w:lang w:eastAsia="en-IN"/>
              </w:rPr>
            </w:pPr>
            <w:r w:rsidRPr="007315B3">
              <w:rPr>
                <w:rFonts w:ascii="Times New Roman" w:hAnsi="Times New Roman" w:cs="Times New Roman"/>
                <w:sz w:val="18"/>
                <w:szCs w:val="18"/>
                <w:lang w:eastAsia="en-IN"/>
              </w:rPr>
              <w:t>-0.12</w:t>
            </w:r>
          </w:p>
        </w:tc>
        <w:tc>
          <w:tcPr>
            <w:tcW w:w="651" w:type="dxa"/>
            <w:tcBorders>
              <w:top w:val="nil"/>
              <w:left w:val="nil"/>
              <w:bottom w:val="single" w:sz="4" w:space="0" w:color="auto"/>
              <w:right w:val="single" w:sz="4" w:space="0" w:color="auto"/>
            </w:tcBorders>
            <w:noWrap/>
            <w:vAlign w:val="center"/>
            <w:hideMark/>
          </w:tcPr>
          <w:p w14:paraId="1D76FFEB" w14:textId="77777777" w:rsidR="008000A7" w:rsidRPr="007315B3" w:rsidRDefault="008000A7" w:rsidP="00471458">
            <w:pPr>
              <w:pStyle w:val="NoSpacing"/>
              <w:jc w:val="center"/>
              <w:rPr>
                <w:rFonts w:ascii="Times New Roman" w:hAnsi="Times New Roman" w:cs="Times New Roman"/>
                <w:sz w:val="18"/>
                <w:szCs w:val="18"/>
                <w:lang w:eastAsia="en-IN"/>
              </w:rPr>
            </w:pPr>
            <w:r w:rsidRPr="007315B3">
              <w:rPr>
                <w:rFonts w:ascii="Times New Roman" w:hAnsi="Times New Roman" w:cs="Times New Roman"/>
                <w:sz w:val="18"/>
                <w:szCs w:val="18"/>
                <w:lang w:eastAsia="en-IN"/>
              </w:rPr>
              <w:t>1.16</w:t>
            </w:r>
          </w:p>
        </w:tc>
        <w:tc>
          <w:tcPr>
            <w:tcW w:w="712" w:type="dxa"/>
            <w:tcBorders>
              <w:top w:val="nil"/>
              <w:left w:val="nil"/>
              <w:bottom w:val="single" w:sz="4" w:space="0" w:color="auto"/>
              <w:right w:val="single" w:sz="4" w:space="0" w:color="auto"/>
            </w:tcBorders>
            <w:noWrap/>
            <w:vAlign w:val="center"/>
            <w:hideMark/>
          </w:tcPr>
          <w:p w14:paraId="7944A406" w14:textId="77777777" w:rsidR="008000A7" w:rsidRPr="007315B3" w:rsidRDefault="008000A7" w:rsidP="00471458">
            <w:pPr>
              <w:pStyle w:val="NoSpacing"/>
              <w:jc w:val="center"/>
              <w:rPr>
                <w:rFonts w:ascii="Times New Roman" w:hAnsi="Times New Roman" w:cs="Times New Roman"/>
                <w:sz w:val="18"/>
                <w:szCs w:val="18"/>
                <w:lang w:eastAsia="en-IN"/>
              </w:rPr>
            </w:pPr>
            <w:r w:rsidRPr="007315B3">
              <w:rPr>
                <w:rFonts w:ascii="Times New Roman" w:hAnsi="Times New Roman" w:cs="Times New Roman"/>
                <w:sz w:val="18"/>
                <w:szCs w:val="18"/>
                <w:lang w:eastAsia="en-IN"/>
              </w:rPr>
              <w:t>0.84</w:t>
            </w:r>
          </w:p>
        </w:tc>
        <w:tc>
          <w:tcPr>
            <w:tcW w:w="651" w:type="dxa"/>
            <w:tcBorders>
              <w:top w:val="nil"/>
              <w:left w:val="nil"/>
              <w:bottom w:val="single" w:sz="4" w:space="0" w:color="auto"/>
              <w:right w:val="single" w:sz="4" w:space="0" w:color="auto"/>
            </w:tcBorders>
            <w:noWrap/>
            <w:vAlign w:val="center"/>
            <w:hideMark/>
          </w:tcPr>
          <w:p w14:paraId="59556939" w14:textId="77777777" w:rsidR="008000A7" w:rsidRPr="007315B3" w:rsidRDefault="008000A7" w:rsidP="00471458">
            <w:pPr>
              <w:pStyle w:val="NoSpacing"/>
              <w:jc w:val="center"/>
              <w:rPr>
                <w:rFonts w:ascii="Times New Roman" w:hAnsi="Times New Roman" w:cs="Times New Roman"/>
                <w:sz w:val="18"/>
                <w:szCs w:val="18"/>
                <w:lang w:eastAsia="en-IN"/>
              </w:rPr>
            </w:pPr>
            <w:r w:rsidRPr="007315B3">
              <w:rPr>
                <w:rFonts w:ascii="Times New Roman" w:hAnsi="Times New Roman" w:cs="Times New Roman"/>
                <w:sz w:val="18"/>
                <w:szCs w:val="18"/>
                <w:lang w:eastAsia="en-IN"/>
              </w:rPr>
              <w:t>0.77</w:t>
            </w:r>
          </w:p>
        </w:tc>
        <w:tc>
          <w:tcPr>
            <w:tcW w:w="651" w:type="dxa"/>
            <w:tcBorders>
              <w:top w:val="nil"/>
              <w:left w:val="nil"/>
              <w:bottom w:val="single" w:sz="4" w:space="0" w:color="auto"/>
              <w:right w:val="single" w:sz="4" w:space="0" w:color="auto"/>
            </w:tcBorders>
            <w:noWrap/>
            <w:vAlign w:val="center"/>
            <w:hideMark/>
          </w:tcPr>
          <w:p w14:paraId="3CB2910A" w14:textId="77777777" w:rsidR="008000A7" w:rsidRPr="007315B3" w:rsidRDefault="008000A7" w:rsidP="00471458">
            <w:pPr>
              <w:pStyle w:val="NoSpacing"/>
              <w:jc w:val="center"/>
              <w:rPr>
                <w:rFonts w:ascii="Times New Roman" w:hAnsi="Times New Roman" w:cs="Times New Roman"/>
                <w:sz w:val="18"/>
                <w:szCs w:val="18"/>
                <w:lang w:eastAsia="en-IN"/>
              </w:rPr>
            </w:pPr>
            <w:r w:rsidRPr="007315B3">
              <w:rPr>
                <w:rFonts w:ascii="Times New Roman" w:hAnsi="Times New Roman" w:cs="Times New Roman"/>
                <w:sz w:val="18"/>
                <w:szCs w:val="18"/>
                <w:lang w:eastAsia="en-IN"/>
              </w:rPr>
              <w:t>-0.45</w:t>
            </w:r>
          </w:p>
        </w:tc>
        <w:tc>
          <w:tcPr>
            <w:tcW w:w="651" w:type="dxa"/>
            <w:tcBorders>
              <w:top w:val="nil"/>
              <w:left w:val="nil"/>
              <w:bottom w:val="single" w:sz="4" w:space="0" w:color="auto"/>
              <w:right w:val="single" w:sz="4" w:space="0" w:color="auto"/>
            </w:tcBorders>
            <w:noWrap/>
            <w:vAlign w:val="center"/>
            <w:hideMark/>
          </w:tcPr>
          <w:p w14:paraId="2973049A" w14:textId="77777777" w:rsidR="008000A7" w:rsidRPr="007315B3" w:rsidRDefault="008000A7" w:rsidP="00471458">
            <w:pPr>
              <w:pStyle w:val="NoSpacing"/>
              <w:jc w:val="center"/>
              <w:rPr>
                <w:rFonts w:ascii="Times New Roman" w:hAnsi="Times New Roman" w:cs="Times New Roman"/>
                <w:sz w:val="18"/>
                <w:szCs w:val="18"/>
                <w:lang w:eastAsia="en-IN"/>
              </w:rPr>
            </w:pPr>
            <w:r w:rsidRPr="007315B3">
              <w:rPr>
                <w:rFonts w:ascii="Times New Roman" w:hAnsi="Times New Roman" w:cs="Times New Roman"/>
                <w:sz w:val="18"/>
                <w:szCs w:val="18"/>
                <w:lang w:eastAsia="en-IN"/>
              </w:rPr>
              <w:t>1.29</w:t>
            </w:r>
          </w:p>
        </w:tc>
        <w:tc>
          <w:tcPr>
            <w:tcW w:w="712" w:type="dxa"/>
            <w:tcBorders>
              <w:top w:val="nil"/>
              <w:left w:val="nil"/>
              <w:bottom w:val="single" w:sz="4" w:space="0" w:color="auto"/>
              <w:right w:val="single" w:sz="4" w:space="0" w:color="auto"/>
            </w:tcBorders>
            <w:noWrap/>
            <w:vAlign w:val="center"/>
            <w:hideMark/>
          </w:tcPr>
          <w:p w14:paraId="3C8444DD" w14:textId="77777777" w:rsidR="008000A7" w:rsidRPr="007315B3" w:rsidRDefault="008000A7" w:rsidP="00471458">
            <w:pPr>
              <w:pStyle w:val="NoSpacing"/>
              <w:jc w:val="center"/>
              <w:rPr>
                <w:rFonts w:ascii="Times New Roman" w:hAnsi="Times New Roman" w:cs="Times New Roman"/>
                <w:sz w:val="18"/>
                <w:szCs w:val="18"/>
                <w:lang w:eastAsia="en-IN"/>
              </w:rPr>
            </w:pPr>
            <w:r w:rsidRPr="007315B3">
              <w:rPr>
                <w:rFonts w:ascii="Times New Roman" w:hAnsi="Times New Roman" w:cs="Times New Roman"/>
                <w:sz w:val="18"/>
                <w:szCs w:val="18"/>
                <w:lang w:eastAsia="en-IN"/>
              </w:rPr>
              <w:t>1.32</w:t>
            </w:r>
          </w:p>
        </w:tc>
        <w:tc>
          <w:tcPr>
            <w:tcW w:w="651" w:type="dxa"/>
            <w:tcBorders>
              <w:top w:val="nil"/>
              <w:left w:val="nil"/>
              <w:bottom w:val="single" w:sz="4" w:space="0" w:color="auto"/>
              <w:right w:val="single" w:sz="4" w:space="0" w:color="auto"/>
            </w:tcBorders>
            <w:noWrap/>
            <w:vAlign w:val="center"/>
            <w:hideMark/>
          </w:tcPr>
          <w:p w14:paraId="39529F9D" w14:textId="77777777" w:rsidR="008000A7" w:rsidRPr="007315B3" w:rsidRDefault="008000A7" w:rsidP="00471458">
            <w:pPr>
              <w:pStyle w:val="NoSpacing"/>
              <w:jc w:val="center"/>
              <w:rPr>
                <w:rFonts w:ascii="Times New Roman" w:hAnsi="Times New Roman" w:cs="Times New Roman"/>
                <w:sz w:val="18"/>
                <w:szCs w:val="18"/>
                <w:lang w:eastAsia="en-IN"/>
              </w:rPr>
            </w:pPr>
            <w:r w:rsidRPr="007315B3">
              <w:rPr>
                <w:rFonts w:ascii="Times New Roman" w:hAnsi="Times New Roman" w:cs="Times New Roman"/>
                <w:sz w:val="18"/>
                <w:szCs w:val="18"/>
                <w:lang w:eastAsia="en-IN"/>
              </w:rPr>
              <w:t>0.51</w:t>
            </w:r>
          </w:p>
        </w:tc>
        <w:tc>
          <w:tcPr>
            <w:tcW w:w="935" w:type="dxa"/>
            <w:tcBorders>
              <w:top w:val="nil"/>
              <w:left w:val="nil"/>
              <w:bottom w:val="single" w:sz="4" w:space="0" w:color="auto"/>
              <w:right w:val="single" w:sz="4" w:space="0" w:color="auto"/>
            </w:tcBorders>
            <w:noWrap/>
            <w:vAlign w:val="center"/>
            <w:hideMark/>
          </w:tcPr>
          <w:p w14:paraId="31C20EE5" w14:textId="77777777" w:rsidR="008000A7" w:rsidRPr="007315B3" w:rsidRDefault="008000A7" w:rsidP="00471458">
            <w:pPr>
              <w:pStyle w:val="NoSpacing"/>
              <w:jc w:val="center"/>
              <w:rPr>
                <w:rFonts w:ascii="Times New Roman" w:hAnsi="Times New Roman" w:cs="Times New Roman"/>
                <w:sz w:val="18"/>
                <w:szCs w:val="18"/>
                <w:lang w:eastAsia="en-IN"/>
              </w:rPr>
            </w:pPr>
            <w:r w:rsidRPr="007315B3">
              <w:rPr>
                <w:rFonts w:ascii="Times New Roman" w:hAnsi="Times New Roman" w:cs="Times New Roman"/>
                <w:sz w:val="18"/>
                <w:szCs w:val="18"/>
                <w:lang w:eastAsia="en-IN"/>
              </w:rPr>
              <w:t>0.23</w:t>
            </w:r>
          </w:p>
        </w:tc>
        <w:tc>
          <w:tcPr>
            <w:tcW w:w="651" w:type="dxa"/>
            <w:tcBorders>
              <w:top w:val="nil"/>
              <w:left w:val="nil"/>
              <w:bottom w:val="single" w:sz="4" w:space="0" w:color="auto"/>
              <w:right w:val="single" w:sz="4" w:space="0" w:color="auto"/>
            </w:tcBorders>
            <w:noWrap/>
            <w:vAlign w:val="center"/>
            <w:hideMark/>
          </w:tcPr>
          <w:p w14:paraId="7CC23E41" w14:textId="77777777" w:rsidR="008000A7" w:rsidRPr="007315B3" w:rsidRDefault="008000A7" w:rsidP="00471458">
            <w:pPr>
              <w:pStyle w:val="NoSpacing"/>
              <w:jc w:val="center"/>
              <w:rPr>
                <w:rFonts w:ascii="Times New Roman" w:hAnsi="Times New Roman" w:cs="Times New Roman"/>
                <w:sz w:val="18"/>
                <w:szCs w:val="18"/>
                <w:lang w:eastAsia="en-IN"/>
              </w:rPr>
            </w:pPr>
            <w:r w:rsidRPr="007315B3">
              <w:rPr>
                <w:rFonts w:ascii="Times New Roman" w:hAnsi="Times New Roman" w:cs="Times New Roman"/>
                <w:sz w:val="18"/>
                <w:szCs w:val="18"/>
                <w:lang w:eastAsia="en-IN"/>
              </w:rPr>
              <w:t>-0.77</w:t>
            </w:r>
          </w:p>
        </w:tc>
        <w:tc>
          <w:tcPr>
            <w:tcW w:w="651" w:type="dxa"/>
            <w:tcBorders>
              <w:top w:val="nil"/>
              <w:left w:val="nil"/>
              <w:bottom w:val="single" w:sz="4" w:space="0" w:color="auto"/>
              <w:right w:val="single" w:sz="4" w:space="0" w:color="auto"/>
            </w:tcBorders>
            <w:noWrap/>
            <w:vAlign w:val="center"/>
            <w:hideMark/>
          </w:tcPr>
          <w:p w14:paraId="42DB465D" w14:textId="1AE205AE" w:rsidR="008000A7" w:rsidRPr="007315B3" w:rsidRDefault="008000A7" w:rsidP="00471458">
            <w:pPr>
              <w:pStyle w:val="NoSpacing"/>
              <w:jc w:val="center"/>
              <w:rPr>
                <w:rFonts w:ascii="Times New Roman" w:hAnsi="Times New Roman" w:cs="Times New Roman"/>
                <w:sz w:val="18"/>
                <w:szCs w:val="18"/>
                <w:lang w:eastAsia="en-IN"/>
              </w:rPr>
            </w:pPr>
            <w:r w:rsidRPr="007315B3">
              <w:rPr>
                <w:rFonts w:ascii="Times New Roman" w:hAnsi="Times New Roman" w:cs="Times New Roman"/>
                <w:sz w:val="18"/>
                <w:szCs w:val="18"/>
                <w:lang w:eastAsia="en-IN"/>
              </w:rPr>
              <w:t>1.5</w:t>
            </w:r>
            <w:r w:rsidR="00F8055F">
              <w:rPr>
                <w:rFonts w:ascii="Times New Roman" w:hAnsi="Times New Roman" w:cs="Times New Roman"/>
                <w:sz w:val="18"/>
                <w:szCs w:val="18"/>
                <w:lang w:eastAsia="en-IN"/>
              </w:rPr>
              <w:t>0</w:t>
            </w:r>
          </w:p>
        </w:tc>
        <w:tc>
          <w:tcPr>
            <w:tcW w:w="712" w:type="dxa"/>
            <w:tcBorders>
              <w:top w:val="nil"/>
              <w:left w:val="nil"/>
              <w:bottom w:val="single" w:sz="4" w:space="0" w:color="auto"/>
              <w:right w:val="single" w:sz="4" w:space="0" w:color="auto"/>
            </w:tcBorders>
            <w:noWrap/>
            <w:vAlign w:val="center"/>
            <w:hideMark/>
          </w:tcPr>
          <w:p w14:paraId="71273646" w14:textId="77777777" w:rsidR="008000A7" w:rsidRPr="007315B3" w:rsidRDefault="008000A7" w:rsidP="00471458">
            <w:pPr>
              <w:pStyle w:val="NoSpacing"/>
              <w:jc w:val="center"/>
              <w:rPr>
                <w:rFonts w:ascii="Times New Roman" w:hAnsi="Times New Roman" w:cs="Times New Roman"/>
                <w:sz w:val="18"/>
                <w:szCs w:val="18"/>
                <w:lang w:eastAsia="en-IN"/>
              </w:rPr>
            </w:pPr>
            <w:r w:rsidRPr="007315B3">
              <w:rPr>
                <w:rFonts w:ascii="Times New Roman" w:hAnsi="Times New Roman" w:cs="Times New Roman"/>
                <w:sz w:val="18"/>
                <w:szCs w:val="18"/>
                <w:lang w:eastAsia="en-IN"/>
              </w:rPr>
              <w:t>1.49</w:t>
            </w:r>
          </w:p>
        </w:tc>
        <w:tc>
          <w:tcPr>
            <w:tcW w:w="651" w:type="dxa"/>
            <w:tcBorders>
              <w:top w:val="nil"/>
              <w:left w:val="nil"/>
              <w:bottom w:val="single" w:sz="4" w:space="0" w:color="auto"/>
              <w:right w:val="single" w:sz="4" w:space="0" w:color="auto"/>
            </w:tcBorders>
            <w:noWrap/>
            <w:vAlign w:val="center"/>
            <w:hideMark/>
          </w:tcPr>
          <w:p w14:paraId="085A0921" w14:textId="77777777" w:rsidR="008000A7" w:rsidRPr="007315B3" w:rsidRDefault="008000A7" w:rsidP="00471458">
            <w:pPr>
              <w:pStyle w:val="NoSpacing"/>
              <w:jc w:val="center"/>
              <w:rPr>
                <w:rFonts w:ascii="Times New Roman" w:hAnsi="Times New Roman" w:cs="Times New Roman"/>
                <w:sz w:val="18"/>
                <w:szCs w:val="18"/>
                <w:lang w:eastAsia="en-IN"/>
              </w:rPr>
            </w:pPr>
            <w:r w:rsidRPr="007315B3">
              <w:rPr>
                <w:rFonts w:ascii="Times New Roman" w:hAnsi="Times New Roman" w:cs="Times New Roman"/>
                <w:sz w:val="18"/>
                <w:szCs w:val="18"/>
                <w:lang w:eastAsia="en-IN"/>
              </w:rPr>
              <w:t>0.64</w:t>
            </w:r>
          </w:p>
        </w:tc>
        <w:tc>
          <w:tcPr>
            <w:tcW w:w="935" w:type="dxa"/>
            <w:tcBorders>
              <w:top w:val="nil"/>
              <w:left w:val="nil"/>
              <w:bottom w:val="single" w:sz="4" w:space="0" w:color="auto"/>
              <w:right w:val="single" w:sz="4" w:space="0" w:color="auto"/>
            </w:tcBorders>
            <w:noWrap/>
            <w:vAlign w:val="center"/>
            <w:hideMark/>
          </w:tcPr>
          <w:p w14:paraId="011CE779" w14:textId="77777777" w:rsidR="008000A7" w:rsidRPr="007315B3" w:rsidRDefault="008000A7" w:rsidP="00471458">
            <w:pPr>
              <w:pStyle w:val="NoSpacing"/>
              <w:jc w:val="center"/>
              <w:rPr>
                <w:rFonts w:ascii="Times New Roman" w:hAnsi="Times New Roman" w:cs="Times New Roman"/>
                <w:sz w:val="18"/>
                <w:szCs w:val="18"/>
                <w:lang w:eastAsia="en-IN"/>
              </w:rPr>
            </w:pPr>
            <w:r w:rsidRPr="007315B3">
              <w:rPr>
                <w:rFonts w:ascii="Times New Roman" w:hAnsi="Times New Roman" w:cs="Times New Roman"/>
                <w:sz w:val="18"/>
                <w:szCs w:val="18"/>
                <w:lang w:eastAsia="en-IN"/>
              </w:rPr>
              <w:t>0.24</w:t>
            </w:r>
          </w:p>
        </w:tc>
        <w:tc>
          <w:tcPr>
            <w:tcW w:w="651" w:type="dxa"/>
            <w:tcBorders>
              <w:top w:val="nil"/>
              <w:left w:val="nil"/>
              <w:bottom w:val="single" w:sz="4" w:space="0" w:color="auto"/>
              <w:right w:val="single" w:sz="4" w:space="0" w:color="auto"/>
            </w:tcBorders>
            <w:noWrap/>
            <w:vAlign w:val="center"/>
            <w:hideMark/>
          </w:tcPr>
          <w:p w14:paraId="4CE8AE13" w14:textId="77777777" w:rsidR="008000A7" w:rsidRPr="007315B3" w:rsidRDefault="008000A7" w:rsidP="00471458">
            <w:pPr>
              <w:pStyle w:val="NoSpacing"/>
              <w:jc w:val="center"/>
              <w:rPr>
                <w:rFonts w:ascii="Times New Roman" w:hAnsi="Times New Roman" w:cs="Times New Roman"/>
                <w:sz w:val="18"/>
                <w:szCs w:val="18"/>
                <w:lang w:eastAsia="en-IN"/>
              </w:rPr>
            </w:pPr>
            <w:r w:rsidRPr="007315B3">
              <w:rPr>
                <w:rFonts w:ascii="Times New Roman" w:hAnsi="Times New Roman" w:cs="Times New Roman"/>
                <w:sz w:val="18"/>
                <w:szCs w:val="18"/>
                <w:lang w:eastAsia="en-IN"/>
              </w:rPr>
              <w:t>-0.87</w:t>
            </w:r>
          </w:p>
        </w:tc>
      </w:tr>
      <w:tr w:rsidR="008000A7" w:rsidRPr="007315B3" w14:paraId="48CCDECB" w14:textId="77777777" w:rsidTr="00537910">
        <w:trPr>
          <w:trHeight w:val="65"/>
          <w:jc w:val="center"/>
        </w:trPr>
        <w:tc>
          <w:tcPr>
            <w:tcW w:w="870" w:type="dxa"/>
            <w:tcBorders>
              <w:top w:val="nil"/>
              <w:left w:val="single" w:sz="4" w:space="0" w:color="auto"/>
              <w:bottom w:val="single" w:sz="4" w:space="0" w:color="auto"/>
              <w:right w:val="single" w:sz="4" w:space="0" w:color="auto"/>
            </w:tcBorders>
            <w:noWrap/>
            <w:vAlign w:val="bottom"/>
            <w:hideMark/>
          </w:tcPr>
          <w:p w14:paraId="43134B47" w14:textId="77777777" w:rsidR="008000A7" w:rsidRPr="007315B3" w:rsidRDefault="008000A7" w:rsidP="00B77C0B">
            <w:pPr>
              <w:pStyle w:val="NoSpacing"/>
              <w:rPr>
                <w:rFonts w:ascii="Times New Roman" w:hAnsi="Times New Roman" w:cs="Times New Roman"/>
                <w:sz w:val="18"/>
                <w:szCs w:val="18"/>
                <w:lang w:eastAsia="en-IN"/>
              </w:rPr>
            </w:pPr>
            <w:r w:rsidRPr="007315B3">
              <w:rPr>
                <w:rFonts w:ascii="Times New Roman" w:hAnsi="Times New Roman" w:cs="Times New Roman"/>
                <w:sz w:val="18"/>
                <w:szCs w:val="18"/>
                <w:lang w:eastAsia="en-IN"/>
              </w:rPr>
              <w:t>Kerala</w:t>
            </w:r>
          </w:p>
        </w:tc>
        <w:tc>
          <w:tcPr>
            <w:tcW w:w="650" w:type="dxa"/>
            <w:tcBorders>
              <w:top w:val="nil"/>
              <w:left w:val="nil"/>
              <w:bottom w:val="single" w:sz="4" w:space="0" w:color="auto"/>
              <w:right w:val="single" w:sz="4" w:space="0" w:color="auto"/>
            </w:tcBorders>
            <w:noWrap/>
            <w:vAlign w:val="center"/>
            <w:hideMark/>
          </w:tcPr>
          <w:p w14:paraId="563BC04D" w14:textId="77777777" w:rsidR="008000A7" w:rsidRPr="007315B3" w:rsidRDefault="008000A7" w:rsidP="00471458">
            <w:pPr>
              <w:pStyle w:val="NoSpacing"/>
              <w:jc w:val="center"/>
              <w:rPr>
                <w:rFonts w:ascii="Times New Roman" w:hAnsi="Times New Roman" w:cs="Times New Roman"/>
                <w:sz w:val="18"/>
                <w:szCs w:val="18"/>
                <w:lang w:eastAsia="en-IN"/>
              </w:rPr>
            </w:pPr>
            <w:r w:rsidRPr="007315B3">
              <w:rPr>
                <w:rFonts w:ascii="Times New Roman" w:hAnsi="Times New Roman" w:cs="Times New Roman"/>
                <w:sz w:val="18"/>
                <w:szCs w:val="18"/>
                <w:lang w:eastAsia="en-IN"/>
              </w:rPr>
              <w:t>..</w:t>
            </w:r>
          </w:p>
        </w:tc>
        <w:tc>
          <w:tcPr>
            <w:tcW w:w="711" w:type="dxa"/>
            <w:tcBorders>
              <w:top w:val="nil"/>
              <w:left w:val="nil"/>
              <w:bottom w:val="single" w:sz="4" w:space="0" w:color="auto"/>
              <w:right w:val="single" w:sz="4" w:space="0" w:color="auto"/>
            </w:tcBorders>
            <w:noWrap/>
            <w:vAlign w:val="center"/>
            <w:hideMark/>
          </w:tcPr>
          <w:p w14:paraId="4D4D3E30" w14:textId="77777777" w:rsidR="008000A7" w:rsidRPr="007315B3" w:rsidRDefault="008000A7" w:rsidP="00471458">
            <w:pPr>
              <w:pStyle w:val="NoSpacing"/>
              <w:jc w:val="center"/>
              <w:rPr>
                <w:rFonts w:ascii="Times New Roman" w:hAnsi="Times New Roman" w:cs="Times New Roman"/>
                <w:sz w:val="18"/>
                <w:szCs w:val="18"/>
                <w:lang w:eastAsia="en-IN"/>
              </w:rPr>
            </w:pPr>
            <w:r w:rsidRPr="007315B3">
              <w:rPr>
                <w:rFonts w:ascii="Times New Roman" w:hAnsi="Times New Roman" w:cs="Times New Roman"/>
                <w:sz w:val="18"/>
                <w:szCs w:val="18"/>
                <w:lang w:eastAsia="en-IN"/>
              </w:rPr>
              <w:t>..</w:t>
            </w:r>
          </w:p>
        </w:tc>
        <w:tc>
          <w:tcPr>
            <w:tcW w:w="651" w:type="dxa"/>
            <w:tcBorders>
              <w:top w:val="nil"/>
              <w:left w:val="nil"/>
              <w:bottom w:val="single" w:sz="4" w:space="0" w:color="auto"/>
              <w:right w:val="single" w:sz="4" w:space="0" w:color="auto"/>
            </w:tcBorders>
            <w:noWrap/>
            <w:vAlign w:val="center"/>
            <w:hideMark/>
          </w:tcPr>
          <w:p w14:paraId="275786B7" w14:textId="77777777" w:rsidR="008000A7" w:rsidRPr="007315B3" w:rsidRDefault="008000A7" w:rsidP="00471458">
            <w:pPr>
              <w:pStyle w:val="NoSpacing"/>
              <w:jc w:val="center"/>
              <w:rPr>
                <w:rFonts w:ascii="Times New Roman" w:hAnsi="Times New Roman" w:cs="Times New Roman"/>
                <w:sz w:val="18"/>
                <w:szCs w:val="18"/>
                <w:lang w:eastAsia="en-IN"/>
              </w:rPr>
            </w:pPr>
            <w:r w:rsidRPr="007315B3">
              <w:rPr>
                <w:rFonts w:ascii="Times New Roman" w:hAnsi="Times New Roman" w:cs="Times New Roman"/>
                <w:sz w:val="18"/>
                <w:szCs w:val="18"/>
                <w:lang w:eastAsia="en-IN"/>
              </w:rPr>
              <w:t>..</w:t>
            </w:r>
          </w:p>
        </w:tc>
        <w:tc>
          <w:tcPr>
            <w:tcW w:w="651" w:type="dxa"/>
            <w:tcBorders>
              <w:top w:val="nil"/>
              <w:left w:val="nil"/>
              <w:bottom w:val="single" w:sz="4" w:space="0" w:color="auto"/>
              <w:right w:val="single" w:sz="4" w:space="0" w:color="auto"/>
            </w:tcBorders>
            <w:noWrap/>
            <w:vAlign w:val="center"/>
            <w:hideMark/>
          </w:tcPr>
          <w:p w14:paraId="63D7D4B3" w14:textId="77777777" w:rsidR="008000A7" w:rsidRPr="007315B3" w:rsidRDefault="008000A7" w:rsidP="00471458">
            <w:pPr>
              <w:pStyle w:val="NoSpacing"/>
              <w:jc w:val="center"/>
              <w:rPr>
                <w:rFonts w:ascii="Times New Roman" w:hAnsi="Times New Roman" w:cs="Times New Roman"/>
                <w:sz w:val="18"/>
                <w:szCs w:val="18"/>
                <w:lang w:eastAsia="en-IN"/>
              </w:rPr>
            </w:pPr>
            <w:r w:rsidRPr="007315B3">
              <w:rPr>
                <w:rFonts w:ascii="Times New Roman" w:hAnsi="Times New Roman" w:cs="Times New Roman"/>
                <w:sz w:val="18"/>
                <w:szCs w:val="18"/>
                <w:lang w:eastAsia="en-IN"/>
              </w:rPr>
              <w:t>..</w:t>
            </w:r>
          </w:p>
        </w:tc>
        <w:tc>
          <w:tcPr>
            <w:tcW w:w="651" w:type="dxa"/>
            <w:tcBorders>
              <w:top w:val="nil"/>
              <w:left w:val="nil"/>
              <w:bottom w:val="single" w:sz="4" w:space="0" w:color="auto"/>
              <w:right w:val="single" w:sz="4" w:space="0" w:color="auto"/>
            </w:tcBorders>
            <w:noWrap/>
            <w:vAlign w:val="center"/>
            <w:hideMark/>
          </w:tcPr>
          <w:p w14:paraId="6A07B609" w14:textId="77777777" w:rsidR="008000A7" w:rsidRPr="007315B3" w:rsidRDefault="008000A7" w:rsidP="00471458">
            <w:pPr>
              <w:pStyle w:val="NoSpacing"/>
              <w:jc w:val="center"/>
              <w:rPr>
                <w:rFonts w:ascii="Times New Roman" w:hAnsi="Times New Roman" w:cs="Times New Roman"/>
                <w:sz w:val="18"/>
                <w:szCs w:val="18"/>
                <w:lang w:eastAsia="en-IN"/>
              </w:rPr>
            </w:pPr>
            <w:r w:rsidRPr="007315B3">
              <w:rPr>
                <w:rFonts w:ascii="Times New Roman" w:hAnsi="Times New Roman" w:cs="Times New Roman"/>
                <w:sz w:val="18"/>
                <w:szCs w:val="18"/>
                <w:lang w:eastAsia="en-IN"/>
              </w:rPr>
              <w:t>..</w:t>
            </w:r>
          </w:p>
        </w:tc>
        <w:tc>
          <w:tcPr>
            <w:tcW w:w="712" w:type="dxa"/>
            <w:tcBorders>
              <w:top w:val="nil"/>
              <w:left w:val="nil"/>
              <w:bottom w:val="single" w:sz="4" w:space="0" w:color="auto"/>
              <w:right w:val="single" w:sz="4" w:space="0" w:color="auto"/>
            </w:tcBorders>
            <w:noWrap/>
            <w:vAlign w:val="center"/>
            <w:hideMark/>
          </w:tcPr>
          <w:p w14:paraId="44DF5D66" w14:textId="77777777" w:rsidR="008000A7" w:rsidRPr="007315B3" w:rsidRDefault="008000A7" w:rsidP="00471458">
            <w:pPr>
              <w:pStyle w:val="NoSpacing"/>
              <w:jc w:val="center"/>
              <w:rPr>
                <w:rFonts w:ascii="Times New Roman" w:hAnsi="Times New Roman" w:cs="Times New Roman"/>
                <w:sz w:val="18"/>
                <w:szCs w:val="18"/>
                <w:lang w:eastAsia="en-IN"/>
              </w:rPr>
            </w:pPr>
            <w:r w:rsidRPr="007315B3">
              <w:rPr>
                <w:rFonts w:ascii="Times New Roman" w:hAnsi="Times New Roman" w:cs="Times New Roman"/>
                <w:sz w:val="18"/>
                <w:szCs w:val="18"/>
                <w:lang w:eastAsia="en-IN"/>
              </w:rPr>
              <w:t>..</w:t>
            </w:r>
          </w:p>
        </w:tc>
        <w:tc>
          <w:tcPr>
            <w:tcW w:w="651" w:type="dxa"/>
            <w:tcBorders>
              <w:top w:val="nil"/>
              <w:left w:val="nil"/>
              <w:bottom w:val="single" w:sz="4" w:space="0" w:color="auto"/>
              <w:right w:val="single" w:sz="4" w:space="0" w:color="auto"/>
            </w:tcBorders>
            <w:noWrap/>
            <w:vAlign w:val="center"/>
            <w:hideMark/>
          </w:tcPr>
          <w:p w14:paraId="480EDBA2" w14:textId="77777777" w:rsidR="008000A7" w:rsidRPr="007315B3" w:rsidRDefault="008000A7" w:rsidP="00471458">
            <w:pPr>
              <w:pStyle w:val="NoSpacing"/>
              <w:jc w:val="center"/>
              <w:rPr>
                <w:rFonts w:ascii="Times New Roman" w:hAnsi="Times New Roman" w:cs="Times New Roman"/>
                <w:sz w:val="18"/>
                <w:szCs w:val="18"/>
                <w:lang w:eastAsia="en-IN"/>
              </w:rPr>
            </w:pPr>
            <w:r w:rsidRPr="007315B3">
              <w:rPr>
                <w:rFonts w:ascii="Times New Roman" w:hAnsi="Times New Roman" w:cs="Times New Roman"/>
                <w:sz w:val="18"/>
                <w:szCs w:val="18"/>
                <w:lang w:eastAsia="en-IN"/>
              </w:rPr>
              <w:t>..</w:t>
            </w:r>
          </w:p>
        </w:tc>
        <w:tc>
          <w:tcPr>
            <w:tcW w:w="651" w:type="dxa"/>
            <w:tcBorders>
              <w:top w:val="nil"/>
              <w:left w:val="nil"/>
              <w:bottom w:val="single" w:sz="4" w:space="0" w:color="auto"/>
              <w:right w:val="single" w:sz="4" w:space="0" w:color="auto"/>
            </w:tcBorders>
            <w:noWrap/>
            <w:vAlign w:val="center"/>
            <w:hideMark/>
          </w:tcPr>
          <w:p w14:paraId="7D0CBDEC" w14:textId="77777777" w:rsidR="008000A7" w:rsidRPr="007315B3" w:rsidRDefault="008000A7" w:rsidP="00471458">
            <w:pPr>
              <w:pStyle w:val="NoSpacing"/>
              <w:jc w:val="center"/>
              <w:rPr>
                <w:rFonts w:ascii="Times New Roman" w:hAnsi="Times New Roman" w:cs="Times New Roman"/>
                <w:sz w:val="18"/>
                <w:szCs w:val="18"/>
                <w:lang w:eastAsia="en-IN"/>
              </w:rPr>
            </w:pPr>
            <w:r w:rsidRPr="007315B3">
              <w:rPr>
                <w:rFonts w:ascii="Times New Roman" w:hAnsi="Times New Roman" w:cs="Times New Roman"/>
                <w:sz w:val="18"/>
                <w:szCs w:val="18"/>
                <w:lang w:eastAsia="en-IN"/>
              </w:rPr>
              <w:t>..</w:t>
            </w:r>
          </w:p>
        </w:tc>
        <w:tc>
          <w:tcPr>
            <w:tcW w:w="651" w:type="dxa"/>
            <w:tcBorders>
              <w:top w:val="nil"/>
              <w:left w:val="nil"/>
              <w:bottom w:val="single" w:sz="4" w:space="0" w:color="auto"/>
              <w:right w:val="single" w:sz="4" w:space="0" w:color="auto"/>
            </w:tcBorders>
            <w:noWrap/>
            <w:vAlign w:val="center"/>
            <w:hideMark/>
          </w:tcPr>
          <w:p w14:paraId="6CDF1266" w14:textId="77777777" w:rsidR="008000A7" w:rsidRPr="007315B3" w:rsidRDefault="008000A7" w:rsidP="00471458">
            <w:pPr>
              <w:pStyle w:val="NoSpacing"/>
              <w:jc w:val="center"/>
              <w:rPr>
                <w:rFonts w:ascii="Times New Roman" w:hAnsi="Times New Roman" w:cs="Times New Roman"/>
                <w:sz w:val="18"/>
                <w:szCs w:val="18"/>
                <w:lang w:eastAsia="en-IN"/>
              </w:rPr>
            </w:pPr>
            <w:r w:rsidRPr="007315B3">
              <w:rPr>
                <w:rFonts w:ascii="Times New Roman" w:hAnsi="Times New Roman" w:cs="Times New Roman"/>
                <w:sz w:val="18"/>
                <w:szCs w:val="18"/>
                <w:lang w:eastAsia="en-IN"/>
              </w:rPr>
              <w:t>..</w:t>
            </w:r>
          </w:p>
        </w:tc>
        <w:tc>
          <w:tcPr>
            <w:tcW w:w="712" w:type="dxa"/>
            <w:tcBorders>
              <w:top w:val="nil"/>
              <w:left w:val="nil"/>
              <w:bottom w:val="single" w:sz="4" w:space="0" w:color="auto"/>
              <w:right w:val="single" w:sz="4" w:space="0" w:color="auto"/>
            </w:tcBorders>
            <w:noWrap/>
            <w:vAlign w:val="center"/>
            <w:hideMark/>
          </w:tcPr>
          <w:p w14:paraId="44D1C313" w14:textId="77777777" w:rsidR="008000A7" w:rsidRPr="007315B3" w:rsidRDefault="008000A7" w:rsidP="00471458">
            <w:pPr>
              <w:pStyle w:val="NoSpacing"/>
              <w:jc w:val="center"/>
              <w:rPr>
                <w:rFonts w:ascii="Times New Roman" w:hAnsi="Times New Roman" w:cs="Times New Roman"/>
                <w:sz w:val="18"/>
                <w:szCs w:val="18"/>
                <w:lang w:eastAsia="en-IN"/>
              </w:rPr>
            </w:pPr>
            <w:r w:rsidRPr="007315B3">
              <w:rPr>
                <w:rFonts w:ascii="Times New Roman" w:hAnsi="Times New Roman" w:cs="Times New Roman"/>
                <w:sz w:val="18"/>
                <w:szCs w:val="18"/>
                <w:lang w:eastAsia="en-IN"/>
              </w:rPr>
              <w:t>..</w:t>
            </w:r>
          </w:p>
        </w:tc>
        <w:tc>
          <w:tcPr>
            <w:tcW w:w="651" w:type="dxa"/>
            <w:tcBorders>
              <w:top w:val="nil"/>
              <w:left w:val="nil"/>
              <w:bottom w:val="single" w:sz="4" w:space="0" w:color="auto"/>
              <w:right w:val="single" w:sz="4" w:space="0" w:color="auto"/>
            </w:tcBorders>
            <w:noWrap/>
            <w:vAlign w:val="center"/>
            <w:hideMark/>
          </w:tcPr>
          <w:p w14:paraId="3E3578A8" w14:textId="77777777" w:rsidR="008000A7" w:rsidRPr="007315B3" w:rsidRDefault="008000A7" w:rsidP="00471458">
            <w:pPr>
              <w:pStyle w:val="NoSpacing"/>
              <w:jc w:val="center"/>
              <w:rPr>
                <w:rFonts w:ascii="Times New Roman" w:hAnsi="Times New Roman" w:cs="Times New Roman"/>
                <w:sz w:val="18"/>
                <w:szCs w:val="18"/>
                <w:lang w:eastAsia="en-IN"/>
              </w:rPr>
            </w:pPr>
            <w:r w:rsidRPr="007315B3">
              <w:rPr>
                <w:rFonts w:ascii="Times New Roman" w:hAnsi="Times New Roman" w:cs="Times New Roman"/>
                <w:sz w:val="18"/>
                <w:szCs w:val="18"/>
                <w:lang w:eastAsia="en-IN"/>
              </w:rPr>
              <w:t>..</w:t>
            </w:r>
          </w:p>
        </w:tc>
        <w:tc>
          <w:tcPr>
            <w:tcW w:w="935" w:type="dxa"/>
            <w:tcBorders>
              <w:top w:val="nil"/>
              <w:left w:val="nil"/>
              <w:bottom w:val="single" w:sz="4" w:space="0" w:color="auto"/>
              <w:right w:val="single" w:sz="4" w:space="0" w:color="auto"/>
            </w:tcBorders>
            <w:noWrap/>
            <w:vAlign w:val="center"/>
            <w:hideMark/>
          </w:tcPr>
          <w:p w14:paraId="2462AD2F" w14:textId="77777777" w:rsidR="008000A7" w:rsidRPr="007315B3" w:rsidRDefault="008000A7" w:rsidP="00471458">
            <w:pPr>
              <w:pStyle w:val="NoSpacing"/>
              <w:jc w:val="center"/>
              <w:rPr>
                <w:rFonts w:ascii="Times New Roman" w:hAnsi="Times New Roman" w:cs="Times New Roman"/>
                <w:sz w:val="18"/>
                <w:szCs w:val="18"/>
                <w:lang w:eastAsia="en-IN"/>
              </w:rPr>
            </w:pPr>
            <w:r w:rsidRPr="007315B3">
              <w:rPr>
                <w:rFonts w:ascii="Times New Roman" w:hAnsi="Times New Roman" w:cs="Times New Roman"/>
                <w:sz w:val="18"/>
                <w:szCs w:val="18"/>
                <w:lang w:eastAsia="en-IN"/>
              </w:rPr>
              <w:t>..</w:t>
            </w:r>
          </w:p>
        </w:tc>
        <w:tc>
          <w:tcPr>
            <w:tcW w:w="651" w:type="dxa"/>
            <w:tcBorders>
              <w:top w:val="nil"/>
              <w:left w:val="nil"/>
              <w:bottom w:val="single" w:sz="4" w:space="0" w:color="auto"/>
              <w:right w:val="single" w:sz="4" w:space="0" w:color="auto"/>
            </w:tcBorders>
            <w:noWrap/>
            <w:vAlign w:val="center"/>
            <w:hideMark/>
          </w:tcPr>
          <w:p w14:paraId="789AA9FB" w14:textId="77777777" w:rsidR="008000A7" w:rsidRPr="007315B3" w:rsidRDefault="008000A7" w:rsidP="00471458">
            <w:pPr>
              <w:pStyle w:val="NoSpacing"/>
              <w:jc w:val="center"/>
              <w:rPr>
                <w:rFonts w:ascii="Times New Roman" w:hAnsi="Times New Roman" w:cs="Times New Roman"/>
                <w:sz w:val="18"/>
                <w:szCs w:val="18"/>
                <w:lang w:eastAsia="en-IN"/>
              </w:rPr>
            </w:pPr>
            <w:r w:rsidRPr="007315B3">
              <w:rPr>
                <w:rFonts w:ascii="Times New Roman" w:hAnsi="Times New Roman" w:cs="Times New Roman"/>
                <w:sz w:val="18"/>
                <w:szCs w:val="18"/>
                <w:lang w:eastAsia="en-IN"/>
              </w:rPr>
              <w:t>..</w:t>
            </w:r>
          </w:p>
        </w:tc>
        <w:tc>
          <w:tcPr>
            <w:tcW w:w="651" w:type="dxa"/>
            <w:tcBorders>
              <w:top w:val="nil"/>
              <w:left w:val="nil"/>
              <w:bottom w:val="single" w:sz="4" w:space="0" w:color="auto"/>
              <w:right w:val="single" w:sz="4" w:space="0" w:color="auto"/>
            </w:tcBorders>
            <w:noWrap/>
            <w:vAlign w:val="center"/>
            <w:hideMark/>
          </w:tcPr>
          <w:p w14:paraId="6077EE14" w14:textId="77777777" w:rsidR="008000A7" w:rsidRPr="007315B3" w:rsidRDefault="008000A7" w:rsidP="00471458">
            <w:pPr>
              <w:pStyle w:val="NoSpacing"/>
              <w:jc w:val="center"/>
              <w:rPr>
                <w:rFonts w:ascii="Times New Roman" w:hAnsi="Times New Roman" w:cs="Times New Roman"/>
                <w:sz w:val="18"/>
                <w:szCs w:val="18"/>
                <w:lang w:eastAsia="en-IN"/>
              </w:rPr>
            </w:pPr>
            <w:r w:rsidRPr="007315B3">
              <w:rPr>
                <w:rFonts w:ascii="Times New Roman" w:hAnsi="Times New Roman" w:cs="Times New Roman"/>
                <w:sz w:val="18"/>
                <w:szCs w:val="18"/>
                <w:lang w:eastAsia="en-IN"/>
              </w:rPr>
              <w:t>..</w:t>
            </w:r>
          </w:p>
        </w:tc>
        <w:tc>
          <w:tcPr>
            <w:tcW w:w="712" w:type="dxa"/>
            <w:tcBorders>
              <w:top w:val="nil"/>
              <w:left w:val="nil"/>
              <w:bottom w:val="single" w:sz="4" w:space="0" w:color="auto"/>
              <w:right w:val="single" w:sz="4" w:space="0" w:color="auto"/>
            </w:tcBorders>
            <w:noWrap/>
            <w:vAlign w:val="center"/>
            <w:hideMark/>
          </w:tcPr>
          <w:p w14:paraId="73F564AE" w14:textId="77777777" w:rsidR="008000A7" w:rsidRPr="007315B3" w:rsidRDefault="008000A7" w:rsidP="00471458">
            <w:pPr>
              <w:pStyle w:val="NoSpacing"/>
              <w:jc w:val="center"/>
              <w:rPr>
                <w:rFonts w:ascii="Times New Roman" w:hAnsi="Times New Roman" w:cs="Times New Roman"/>
                <w:sz w:val="18"/>
                <w:szCs w:val="18"/>
                <w:lang w:eastAsia="en-IN"/>
              </w:rPr>
            </w:pPr>
            <w:r w:rsidRPr="007315B3">
              <w:rPr>
                <w:rFonts w:ascii="Times New Roman" w:hAnsi="Times New Roman" w:cs="Times New Roman"/>
                <w:sz w:val="18"/>
                <w:szCs w:val="18"/>
                <w:lang w:eastAsia="en-IN"/>
              </w:rPr>
              <w:t>..</w:t>
            </w:r>
          </w:p>
        </w:tc>
        <w:tc>
          <w:tcPr>
            <w:tcW w:w="651" w:type="dxa"/>
            <w:tcBorders>
              <w:top w:val="nil"/>
              <w:left w:val="nil"/>
              <w:bottom w:val="single" w:sz="4" w:space="0" w:color="auto"/>
              <w:right w:val="single" w:sz="4" w:space="0" w:color="auto"/>
            </w:tcBorders>
            <w:noWrap/>
            <w:vAlign w:val="center"/>
            <w:hideMark/>
          </w:tcPr>
          <w:p w14:paraId="28246B3D" w14:textId="77777777" w:rsidR="008000A7" w:rsidRPr="007315B3" w:rsidRDefault="008000A7" w:rsidP="00471458">
            <w:pPr>
              <w:pStyle w:val="NoSpacing"/>
              <w:jc w:val="center"/>
              <w:rPr>
                <w:rFonts w:ascii="Times New Roman" w:hAnsi="Times New Roman" w:cs="Times New Roman"/>
                <w:sz w:val="18"/>
                <w:szCs w:val="18"/>
                <w:lang w:eastAsia="en-IN"/>
              </w:rPr>
            </w:pPr>
            <w:r w:rsidRPr="007315B3">
              <w:rPr>
                <w:rFonts w:ascii="Times New Roman" w:hAnsi="Times New Roman" w:cs="Times New Roman"/>
                <w:sz w:val="18"/>
                <w:szCs w:val="18"/>
                <w:lang w:eastAsia="en-IN"/>
              </w:rPr>
              <w:t>..</w:t>
            </w:r>
          </w:p>
        </w:tc>
        <w:tc>
          <w:tcPr>
            <w:tcW w:w="935" w:type="dxa"/>
            <w:tcBorders>
              <w:top w:val="nil"/>
              <w:left w:val="nil"/>
              <w:bottom w:val="single" w:sz="4" w:space="0" w:color="auto"/>
              <w:right w:val="single" w:sz="4" w:space="0" w:color="auto"/>
            </w:tcBorders>
            <w:noWrap/>
            <w:vAlign w:val="center"/>
            <w:hideMark/>
          </w:tcPr>
          <w:p w14:paraId="1832B8BD" w14:textId="77777777" w:rsidR="008000A7" w:rsidRPr="007315B3" w:rsidRDefault="008000A7" w:rsidP="00471458">
            <w:pPr>
              <w:pStyle w:val="NoSpacing"/>
              <w:jc w:val="center"/>
              <w:rPr>
                <w:rFonts w:ascii="Times New Roman" w:hAnsi="Times New Roman" w:cs="Times New Roman"/>
                <w:sz w:val="18"/>
                <w:szCs w:val="18"/>
                <w:lang w:eastAsia="en-IN"/>
              </w:rPr>
            </w:pPr>
            <w:r w:rsidRPr="007315B3">
              <w:rPr>
                <w:rFonts w:ascii="Times New Roman" w:hAnsi="Times New Roman" w:cs="Times New Roman"/>
                <w:sz w:val="18"/>
                <w:szCs w:val="18"/>
                <w:lang w:eastAsia="en-IN"/>
              </w:rPr>
              <w:t>..</w:t>
            </w:r>
          </w:p>
        </w:tc>
        <w:tc>
          <w:tcPr>
            <w:tcW w:w="651" w:type="dxa"/>
            <w:tcBorders>
              <w:top w:val="nil"/>
              <w:left w:val="nil"/>
              <w:bottom w:val="single" w:sz="4" w:space="0" w:color="auto"/>
              <w:right w:val="single" w:sz="4" w:space="0" w:color="auto"/>
            </w:tcBorders>
            <w:noWrap/>
            <w:vAlign w:val="center"/>
            <w:hideMark/>
          </w:tcPr>
          <w:p w14:paraId="6CE5D943" w14:textId="77777777" w:rsidR="008000A7" w:rsidRPr="007315B3" w:rsidRDefault="008000A7" w:rsidP="00471458">
            <w:pPr>
              <w:pStyle w:val="NoSpacing"/>
              <w:jc w:val="center"/>
              <w:rPr>
                <w:rFonts w:ascii="Times New Roman" w:hAnsi="Times New Roman" w:cs="Times New Roman"/>
                <w:sz w:val="18"/>
                <w:szCs w:val="18"/>
                <w:lang w:eastAsia="en-IN"/>
              </w:rPr>
            </w:pPr>
            <w:r w:rsidRPr="007315B3">
              <w:rPr>
                <w:rFonts w:ascii="Times New Roman" w:hAnsi="Times New Roman" w:cs="Times New Roman"/>
                <w:sz w:val="18"/>
                <w:szCs w:val="18"/>
                <w:lang w:eastAsia="en-IN"/>
              </w:rPr>
              <w:t>..</w:t>
            </w:r>
          </w:p>
        </w:tc>
      </w:tr>
      <w:tr w:rsidR="008000A7" w:rsidRPr="007315B3" w14:paraId="2F54B667" w14:textId="77777777" w:rsidTr="00537910">
        <w:trPr>
          <w:trHeight w:val="65"/>
          <w:jc w:val="center"/>
        </w:trPr>
        <w:tc>
          <w:tcPr>
            <w:tcW w:w="870" w:type="dxa"/>
            <w:tcBorders>
              <w:top w:val="nil"/>
              <w:left w:val="single" w:sz="4" w:space="0" w:color="auto"/>
              <w:bottom w:val="single" w:sz="4" w:space="0" w:color="auto"/>
              <w:right w:val="single" w:sz="4" w:space="0" w:color="auto"/>
            </w:tcBorders>
            <w:noWrap/>
            <w:vAlign w:val="bottom"/>
            <w:hideMark/>
          </w:tcPr>
          <w:p w14:paraId="768BEA88" w14:textId="77777777" w:rsidR="008000A7" w:rsidRPr="007315B3" w:rsidRDefault="008000A7" w:rsidP="00B77C0B">
            <w:pPr>
              <w:pStyle w:val="NoSpacing"/>
              <w:rPr>
                <w:rFonts w:ascii="Times New Roman" w:hAnsi="Times New Roman" w:cs="Times New Roman"/>
                <w:sz w:val="18"/>
                <w:szCs w:val="18"/>
                <w:lang w:eastAsia="en-IN"/>
              </w:rPr>
            </w:pPr>
            <w:r w:rsidRPr="007315B3">
              <w:rPr>
                <w:rFonts w:ascii="Times New Roman" w:hAnsi="Times New Roman" w:cs="Times New Roman"/>
                <w:sz w:val="18"/>
                <w:szCs w:val="18"/>
                <w:lang w:eastAsia="en-IN"/>
              </w:rPr>
              <w:t>Madhya Pradesh</w:t>
            </w:r>
          </w:p>
        </w:tc>
        <w:tc>
          <w:tcPr>
            <w:tcW w:w="650" w:type="dxa"/>
            <w:tcBorders>
              <w:top w:val="nil"/>
              <w:left w:val="nil"/>
              <w:bottom w:val="single" w:sz="4" w:space="0" w:color="auto"/>
              <w:right w:val="single" w:sz="4" w:space="0" w:color="auto"/>
            </w:tcBorders>
            <w:noWrap/>
            <w:vAlign w:val="center"/>
            <w:hideMark/>
          </w:tcPr>
          <w:p w14:paraId="70B16CF9" w14:textId="77777777" w:rsidR="008000A7" w:rsidRPr="007315B3" w:rsidRDefault="008000A7" w:rsidP="00471458">
            <w:pPr>
              <w:pStyle w:val="NoSpacing"/>
              <w:jc w:val="center"/>
              <w:rPr>
                <w:rFonts w:ascii="Times New Roman" w:hAnsi="Times New Roman" w:cs="Times New Roman"/>
                <w:sz w:val="18"/>
                <w:szCs w:val="18"/>
                <w:lang w:eastAsia="en-IN"/>
              </w:rPr>
            </w:pPr>
            <w:r w:rsidRPr="007315B3">
              <w:rPr>
                <w:rFonts w:ascii="Times New Roman" w:hAnsi="Times New Roman" w:cs="Times New Roman"/>
                <w:sz w:val="18"/>
                <w:szCs w:val="18"/>
                <w:lang w:eastAsia="en-IN"/>
              </w:rPr>
              <w:t>..</w:t>
            </w:r>
          </w:p>
        </w:tc>
        <w:tc>
          <w:tcPr>
            <w:tcW w:w="711" w:type="dxa"/>
            <w:tcBorders>
              <w:top w:val="nil"/>
              <w:left w:val="nil"/>
              <w:bottom w:val="single" w:sz="4" w:space="0" w:color="auto"/>
              <w:right w:val="single" w:sz="4" w:space="0" w:color="auto"/>
            </w:tcBorders>
            <w:noWrap/>
            <w:vAlign w:val="center"/>
            <w:hideMark/>
          </w:tcPr>
          <w:p w14:paraId="61AE792D" w14:textId="77777777" w:rsidR="008000A7" w:rsidRPr="007315B3" w:rsidRDefault="008000A7" w:rsidP="00471458">
            <w:pPr>
              <w:pStyle w:val="NoSpacing"/>
              <w:jc w:val="center"/>
              <w:rPr>
                <w:rFonts w:ascii="Times New Roman" w:hAnsi="Times New Roman" w:cs="Times New Roman"/>
                <w:sz w:val="18"/>
                <w:szCs w:val="18"/>
                <w:lang w:eastAsia="en-IN"/>
              </w:rPr>
            </w:pPr>
            <w:r w:rsidRPr="007315B3">
              <w:rPr>
                <w:rFonts w:ascii="Times New Roman" w:hAnsi="Times New Roman" w:cs="Times New Roman"/>
                <w:sz w:val="18"/>
                <w:szCs w:val="18"/>
                <w:lang w:eastAsia="en-IN"/>
              </w:rPr>
              <w:t>..</w:t>
            </w:r>
          </w:p>
        </w:tc>
        <w:tc>
          <w:tcPr>
            <w:tcW w:w="651" w:type="dxa"/>
            <w:tcBorders>
              <w:top w:val="nil"/>
              <w:left w:val="nil"/>
              <w:bottom w:val="single" w:sz="4" w:space="0" w:color="auto"/>
              <w:right w:val="single" w:sz="4" w:space="0" w:color="auto"/>
            </w:tcBorders>
            <w:noWrap/>
            <w:vAlign w:val="center"/>
            <w:hideMark/>
          </w:tcPr>
          <w:p w14:paraId="7D6BA2C3" w14:textId="77777777" w:rsidR="008000A7" w:rsidRPr="007315B3" w:rsidRDefault="008000A7" w:rsidP="00471458">
            <w:pPr>
              <w:pStyle w:val="NoSpacing"/>
              <w:jc w:val="center"/>
              <w:rPr>
                <w:rFonts w:ascii="Times New Roman" w:hAnsi="Times New Roman" w:cs="Times New Roman"/>
                <w:sz w:val="18"/>
                <w:szCs w:val="18"/>
                <w:lang w:eastAsia="en-IN"/>
              </w:rPr>
            </w:pPr>
            <w:r w:rsidRPr="007315B3">
              <w:rPr>
                <w:rFonts w:ascii="Times New Roman" w:hAnsi="Times New Roman" w:cs="Times New Roman"/>
                <w:sz w:val="18"/>
                <w:szCs w:val="18"/>
                <w:lang w:eastAsia="en-IN"/>
              </w:rPr>
              <w:t>..</w:t>
            </w:r>
          </w:p>
        </w:tc>
        <w:tc>
          <w:tcPr>
            <w:tcW w:w="651" w:type="dxa"/>
            <w:tcBorders>
              <w:top w:val="nil"/>
              <w:left w:val="nil"/>
              <w:bottom w:val="single" w:sz="4" w:space="0" w:color="auto"/>
              <w:right w:val="single" w:sz="4" w:space="0" w:color="auto"/>
            </w:tcBorders>
            <w:noWrap/>
            <w:vAlign w:val="center"/>
            <w:hideMark/>
          </w:tcPr>
          <w:p w14:paraId="255016DE" w14:textId="77777777" w:rsidR="008000A7" w:rsidRPr="007315B3" w:rsidRDefault="008000A7" w:rsidP="00471458">
            <w:pPr>
              <w:pStyle w:val="NoSpacing"/>
              <w:jc w:val="center"/>
              <w:rPr>
                <w:rFonts w:ascii="Times New Roman" w:hAnsi="Times New Roman" w:cs="Times New Roman"/>
                <w:sz w:val="18"/>
                <w:szCs w:val="18"/>
                <w:lang w:eastAsia="en-IN"/>
              </w:rPr>
            </w:pPr>
            <w:r w:rsidRPr="007315B3">
              <w:rPr>
                <w:rFonts w:ascii="Times New Roman" w:hAnsi="Times New Roman" w:cs="Times New Roman"/>
                <w:sz w:val="18"/>
                <w:szCs w:val="18"/>
                <w:lang w:eastAsia="en-IN"/>
              </w:rPr>
              <w:t>..</w:t>
            </w:r>
          </w:p>
        </w:tc>
        <w:tc>
          <w:tcPr>
            <w:tcW w:w="651" w:type="dxa"/>
            <w:tcBorders>
              <w:top w:val="nil"/>
              <w:left w:val="nil"/>
              <w:bottom w:val="single" w:sz="4" w:space="0" w:color="auto"/>
              <w:right w:val="single" w:sz="4" w:space="0" w:color="auto"/>
            </w:tcBorders>
            <w:noWrap/>
            <w:vAlign w:val="center"/>
            <w:hideMark/>
          </w:tcPr>
          <w:p w14:paraId="0C89F83A" w14:textId="77777777" w:rsidR="008000A7" w:rsidRPr="007315B3" w:rsidRDefault="008000A7" w:rsidP="00471458">
            <w:pPr>
              <w:pStyle w:val="NoSpacing"/>
              <w:jc w:val="center"/>
              <w:rPr>
                <w:rFonts w:ascii="Times New Roman" w:hAnsi="Times New Roman" w:cs="Times New Roman"/>
                <w:sz w:val="18"/>
                <w:szCs w:val="18"/>
                <w:lang w:eastAsia="en-IN"/>
              </w:rPr>
            </w:pPr>
            <w:r w:rsidRPr="007315B3">
              <w:rPr>
                <w:rFonts w:ascii="Times New Roman" w:hAnsi="Times New Roman" w:cs="Times New Roman"/>
                <w:sz w:val="18"/>
                <w:szCs w:val="18"/>
                <w:lang w:eastAsia="en-IN"/>
              </w:rPr>
              <w:t>..</w:t>
            </w:r>
          </w:p>
        </w:tc>
        <w:tc>
          <w:tcPr>
            <w:tcW w:w="712" w:type="dxa"/>
            <w:tcBorders>
              <w:top w:val="nil"/>
              <w:left w:val="nil"/>
              <w:bottom w:val="single" w:sz="4" w:space="0" w:color="auto"/>
              <w:right w:val="single" w:sz="4" w:space="0" w:color="auto"/>
            </w:tcBorders>
            <w:noWrap/>
            <w:vAlign w:val="center"/>
            <w:hideMark/>
          </w:tcPr>
          <w:p w14:paraId="240477AE" w14:textId="77777777" w:rsidR="008000A7" w:rsidRPr="007315B3" w:rsidRDefault="008000A7" w:rsidP="00471458">
            <w:pPr>
              <w:pStyle w:val="NoSpacing"/>
              <w:jc w:val="center"/>
              <w:rPr>
                <w:rFonts w:ascii="Times New Roman" w:hAnsi="Times New Roman" w:cs="Times New Roman"/>
                <w:sz w:val="18"/>
                <w:szCs w:val="18"/>
                <w:lang w:eastAsia="en-IN"/>
              </w:rPr>
            </w:pPr>
            <w:r w:rsidRPr="007315B3">
              <w:rPr>
                <w:rFonts w:ascii="Times New Roman" w:hAnsi="Times New Roman" w:cs="Times New Roman"/>
                <w:sz w:val="18"/>
                <w:szCs w:val="18"/>
                <w:lang w:eastAsia="en-IN"/>
              </w:rPr>
              <w:t>..</w:t>
            </w:r>
          </w:p>
        </w:tc>
        <w:tc>
          <w:tcPr>
            <w:tcW w:w="651" w:type="dxa"/>
            <w:tcBorders>
              <w:top w:val="nil"/>
              <w:left w:val="nil"/>
              <w:bottom w:val="single" w:sz="4" w:space="0" w:color="auto"/>
              <w:right w:val="single" w:sz="4" w:space="0" w:color="auto"/>
            </w:tcBorders>
            <w:noWrap/>
            <w:vAlign w:val="center"/>
            <w:hideMark/>
          </w:tcPr>
          <w:p w14:paraId="5A7000F0" w14:textId="77777777" w:rsidR="008000A7" w:rsidRPr="007315B3" w:rsidRDefault="008000A7" w:rsidP="00471458">
            <w:pPr>
              <w:pStyle w:val="NoSpacing"/>
              <w:jc w:val="center"/>
              <w:rPr>
                <w:rFonts w:ascii="Times New Roman" w:hAnsi="Times New Roman" w:cs="Times New Roman"/>
                <w:sz w:val="18"/>
                <w:szCs w:val="18"/>
                <w:lang w:eastAsia="en-IN"/>
              </w:rPr>
            </w:pPr>
            <w:r w:rsidRPr="007315B3">
              <w:rPr>
                <w:rFonts w:ascii="Times New Roman" w:hAnsi="Times New Roman" w:cs="Times New Roman"/>
                <w:sz w:val="18"/>
                <w:szCs w:val="18"/>
                <w:lang w:eastAsia="en-IN"/>
              </w:rPr>
              <w:t>..</w:t>
            </w:r>
          </w:p>
        </w:tc>
        <w:tc>
          <w:tcPr>
            <w:tcW w:w="651" w:type="dxa"/>
            <w:tcBorders>
              <w:top w:val="nil"/>
              <w:left w:val="nil"/>
              <w:bottom w:val="single" w:sz="4" w:space="0" w:color="auto"/>
              <w:right w:val="single" w:sz="4" w:space="0" w:color="auto"/>
            </w:tcBorders>
            <w:noWrap/>
            <w:vAlign w:val="center"/>
            <w:hideMark/>
          </w:tcPr>
          <w:p w14:paraId="15E0CFE8" w14:textId="77777777" w:rsidR="008000A7" w:rsidRPr="007315B3" w:rsidRDefault="008000A7" w:rsidP="00471458">
            <w:pPr>
              <w:pStyle w:val="NoSpacing"/>
              <w:jc w:val="center"/>
              <w:rPr>
                <w:rFonts w:ascii="Times New Roman" w:hAnsi="Times New Roman" w:cs="Times New Roman"/>
                <w:sz w:val="18"/>
                <w:szCs w:val="18"/>
                <w:lang w:eastAsia="en-IN"/>
              </w:rPr>
            </w:pPr>
            <w:r w:rsidRPr="007315B3">
              <w:rPr>
                <w:rFonts w:ascii="Times New Roman" w:hAnsi="Times New Roman" w:cs="Times New Roman"/>
                <w:sz w:val="18"/>
                <w:szCs w:val="18"/>
                <w:lang w:eastAsia="en-IN"/>
              </w:rPr>
              <w:t>..</w:t>
            </w:r>
          </w:p>
        </w:tc>
        <w:tc>
          <w:tcPr>
            <w:tcW w:w="651" w:type="dxa"/>
            <w:tcBorders>
              <w:top w:val="nil"/>
              <w:left w:val="nil"/>
              <w:bottom w:val="single" w:sz="4" w:space="0" w:color="auto"/>
              <w:right w:val="single" w:sz="4" w:space="0" w:color="auto"/>
            </w:tcBorders>
            <w:noWrap/>
            <w:vAlign w:val="center"/>
            <w:hideMark/>
          </w:tcPr>
          <w:p w14:paraId="6C94AD27" w14:textId="77777777" w:rsidR="008000A7" w:rsidRPr="007315B3" w:rsidRDefault="008000A7" w:rsidP="00471458">
            <w:pPr>
              <w:pStyle w:val="NoSpacing"/>
              <w:jc w:val="center"/>
              <w:rPr>
                <w:rFonts w:ascii="Times New Roman" w:hAnsi="Times New Roman" w:cs="Times New Roman"/>
                <w:sz w:val="18"/>
                <w:szCs w:val="18"/>
                <w:lang w:eastAsia="en-IN"/>
              </w:rPr>
            </w:pPr>
            <w:r w:rsidRPr="007315B3">
              <w:rPr>
                <w:rFonts w:ascii="Times New Roman" w:hAnsi="Times New Roman" w:cs="Times New Roman"/>
                <w:sz w:val="18"/>
                <w:szCs w:val="18"/>
                <w:lang w:eastAsia="en-IN"/>
              </w:rPr>
              <w:t>..</w:t>
            </w:r>
          </w:p>
        </w:tc>
        <w:tc>
          <w:tcPr>
            <w:tcW w:w="712" w:type="dxa"/>
            <w:tcBorders>
              <w:top w:val="nil"/>
              <w:left w:val="nil"/>
              <w:bottom w:val="single" w:sz="4" w:space="0" w:color="auto"/>
              <w:right w:val="single" w:sz="4" w:space="0" w:color="auto"/>
            </w:tcBorders>
            <w:noWrap/>
            <w:vAlign w:val="center"/>
            <w:hideMark/>
          </w:tcPr>
          <w:p w14:paraId="1EC3A203" w14:textId="77777777" w:rsidR="008000A7" w:rsidRPr="007315B3" w:rsidRDefault="008000A7" w:rsidP="00471458">
            <w:pPr>
              <w:pStyle w:val="NoSpacing"/>
              <w:jc w:val="center"/>
              <w:rPr>
                <w:rFonts w:ascii="Times New Roman" w:hAnsi="Times New Roman" w:cs="Times New Roman"/>
                <w:sz w:val="18"/>
                <w:szCs w:val="18"/>
                <w:lang w:eastAsia="en-IN"/>
              </w:rPr>
            </w:pPr>
            <w:r w:rsidRPr="007315B3">
              <w:rPr>
                <w:rFonts w:ascii="Times New Roman" w:hAnsi="Times New Roman" w:cs="Times New Roman"/>
                <w:sz w:val="18"/>
                <w:szCs w:val="18"/>
                <w:lang w:eastAsia="en-IN"/>
              </w:rPr>
              <w:t>..</w:t>
            </w:r>
          </w:p>
        </w:tc>
        <w:tc>
          <w:tcPr>
            <w:tcW w:w="651" w:type="dxa"/>
            <w:tcBorders>
              <w:top w:val="nil"/>
              <w:left w:val="nil"/>
              <w:bottom w:val="single" w:sz="4" w:space="0" w:color="auto"/>
              <w:right w:val="single" w:sz="4" w:space="0" w:color="auto"/>
            </w:tcBorders>
            <w:noWrap/>
            <w:vAlign w:val="center"/>
            <w:hideMark/>
          </w:tcPr>
          <w:p w14:paraId="522B15D8" w14:textId="77777777" w:rsidR="008000A7" w:rsidRPr="007315B3" w:rsidRDefault="008000A7" w:rsidP="00471458">
            <w:pPr>
              <w:pStyle w:val="NoSpacing"/>
              <w:jc w:val="center"/>
              <w:rPr>
                <w:rFonts w:ascii="Times New Roman" w:hAnsi="Times New Roman" w:cs="Times New Roman"/>
                <w:sz w:val="18"/>
                <w:szCs w:val="18"/>
                <w:lang w:eastAsia="en-IN"/>
              </w:rPr>
            </w:pPr>
            <w:r w:rsidRPr="007315B3">
              <w:rPr>
                <w:rFonts w:ascii="Times New Roman" w:hAnsi="Times New Roman" w:cs="Times New Roman"/>
                <w:sz w:val="18"/>
                <w:szCs w:val="18"/>
                <w:lang w:eastAsia="en-IN"/>
              </w:rPr>
              <w:t>..</w:t>
            </w:r>
          </w:p>
        </w:tc>
        <w:tc>
          <w:tcPr>
            <w:tcW w:w="935" w:type="dxa"/>
            <w:tcBorders>
              <w:top w:val="nil"/>
              <w:left w:val="nil"/>
              <w:bottom w:val="single" w:sz="4" w:space="0" w:color="auto"/>
              <w:right w:val="single" w:sz="4" w:space="0" w:color="auto"/>
            </w:tcBorders>
            <w:noWrap/>
            <w:vAlign w:val="center"/>
            <w:hideMark/>
          </w:tcPr>
          <w:p w14:paraId="59F1E79E" w14:textId="77777777" w:rsidR="008000A7" w:rsidRPr="007315B3" w:rsidRDefault="008000A7" w:rsidP="00471458">
            <w:pPr>
              <w:pStyle w:val="NoSpacing"/>
              <w:jc w:val="center"/>
              <w:rPr>
                <w:rFonts w:ascii="Times New Roman" w:hAnsi="Times New Roman" w:cs="Times New Roman"/>
                <w:sz w:val="18"/>
                <w:szCs w:val="18"/>
                <w:lang w:eastAsia="en-IN"/>
              </w:rPr>
            </w:pPr>
            <w:r w:rsidRPr="007315B3">
              <w:rPr>
                <w:rFonts w:ascii="Times New Roman" w:hAnsi="Times New Roman" w:cs="Times New Roman"/>
                <w:sz w:val="18"/>
                <w:szCs w:val="18"/>
                <w:lang w:eastAsia="en-IN"/>
              </w:rPr>
              <w:t>..</w:t>
            </w:r>
          </w:p>
        </w:tc>
        <w:tc>
          <w:tcPr>
            <w:tcW w:w="651" w:type="dxa"/>
            <w:tcBorders>
              <w:top w:val="nil"/>
              <w:left w:val="nil"/>
              <w:bottom w:val="single" w:sz="4" w:space="0" w:color="auto"/>
              <w:right w:val="single" w:sz="4" w:space="0" w:color="auto"/>
            </w:tcBorders>
            <w:noWrap/>
            <w:vAlign w:val="center"/>
            <w:hideMark/>
          </w:tcPr>
          <w:p w14:paraId="304F84AC" w14:textId="77777777" w:rsidR="008000A7" w:rsidRPr="007315B3" w:rsidRDefault="008000A7" w:rsidP="00471458">
            <w:pPr>
              <w:pStyle w:val="NoSpacing"/>
              <w:jc w:val="center"/>
              <w:rPr>
                <w:rFonts w:ascii="Times New Roman" w:hAnsi="Times New Roman" w:cs="Times New Roman"/>
                <w:sz w:val="18"/>
                <w:szCs w:val="18"/>
                <w:lang w:eastAsia="en-IN"/>
              </w:rPr>
            </w:pPr>
            <w:r w:rsidRPr="007315B3">
              <w:rPr>
                <w:rFonts w:ascii="Times New Roman" w:hAnsi="Times New Roman" w:cs="Times New Roman"/>
                <w:sz w:val="18"/>
                <w:szCs w:val="18"/>
                <w:lang w:eastAsia="en-IN"/>
              </w:rPr>
              <w:t>..</w:t>
            </w:r>
          </w:p>
        </w:tc>
        <w:tc>
          <w:tcPr>
            <w:tcW w:w="651" w:type="dxa"/>
            <w:tcBorders>
              <w:top w:val="nil"/>
              <w:left w:val="nil"/>
              <w:bottom w:val="single" w:sz="4" w:space="0" w:color="auto"/>
              <w:right w:val="single" w:sz="4" w:space="0" w:color="auto"/>
            </w:tcBorders>
            <w:noWrap/>
            <w:vAlign w:val="center"/>
            <w:hideMark/>
          </w:tcPr>
          <w:p w14:paraId="75A18004" w14:textId="77777777" w:rsidR="008000A7" w:rsidRPr="007315B3" w:rsidRDefault="008000A7" w:rsidP="00471458">
            <w:pPr>
              <w:pStyle w:val="NoSpacing"/>
              <w:jc w:val="center"/>
              <w:rPr>
                <w:rFonts w:ascii="Times New Roman" w:hAnsi="Times New Roman" w:cs="Times New Roman"/>
                <w:sz w:val="18"/>
                <w:szCs w:val="18"/>
                <w:lang w:eastAsia="en-IN"/>
              </w:rPr>
            </w:pPr>
            <w:r w:rsidRPr="007315B3">
              <w:rPr>
                <w:rFonts w:ascii="Times New Roman" w:hAnsi="Times New Roman" w:cs="Times New Roman"/>
                <w:sz w:val="18"/>
                <w:szCs w:val="18"/>
                <w:lang w:eastAsia="en-IN"/>
              </w:rPr>
              <w:t>..</w:t>
            </w:r>
          </w:p>
        </w:tc>
        <w:tc>
          <w:tcPr>
            <w:tcW w:w="712" w:type="dxa"/>
            <w:tcBorders>
              <w:top w:val="nil"/>
              <w:left w:val="nil"/>
              <w:bottom w:val="single" w:sz="4" w:space="0" w:color="auto"/>
              <w:right w:val="single" w:sz="4" w:space="0" w:color="auto"/>
            </w:tcBorders>
            <w:noWrap/>
            <w:vAlign w:val="center"/>
            <w:hideMark/>
          </w:tcPr>
          <w:p w14:paraId="4FB908DF" w14:textId="77777777" w:rsidR="008000A7" w:rsidRPr="007315B3" w:rsidRDefault="008000A7" w:rsidP="00471458">
            <w:pPr>
              <w:pStyle w:val="NoSpacing"/>
              <w:jc w:val="center"/>
              <w:rPr>
                <w:rFonts w:ascii="Times New Roman" w:hAnsi="Times New Roman" w:cs="Times New Roman"/>
                <w:sz w:val="18"/>
                <w:szCs w:val="18"/>
                <w:lang w:eastAsia="en-IN"/>
              </w:rPr>
            </w:pPr>
            <w:r w:rsidRPr="007315B3">
              <w:rPr>
                <w:rFonts w:ascii="Times New Roman" w:hAnsi="Times New Roman" w:cs="Times New Roman"/>
                <w:sz w:val="18"/>
                <w:szCs w:val="18"/>
                <w:lang w:eastAsia="en-IN"/>
              </w:rPr>
              <w:t>..</w:t>
            </w:r>
          </w:p>
        </w:tc>
        <w:tc>
          <w:tcPr>
            <w:tcW w:w="651" w:type="dxa"/>
            <w:tcBorders>
              <w:top w:val="nil"/>
              <w:left w:val="nil"/>
              <w:bottom w:val="single" w:sz="4" w:space="0" w:color="auto"/>
              <w:right w:val="single" w:sz="4" w:space="0" w:color="auto"/>
            </w:tcBorders>
            <w:noWrap/>
            <w:vAlign w:val="center"/>
            <w:hideMark/>
          </w:tcPr>
          <w:p w14:paraId="089630C0" w14:textId="77777777" w:rsidR="008000A7" w:rsidRPr="007315B3" w:rsidRDefault="008000A7" w:rsidP="00471458">
            <w:pPr>
              <w:pStyle w:val="NoSpacing"/>
              <w:jc w:val="center"/>
              <w:rPr>
                <w:rFonts w:ascii="Times New Roman" w:hAnsi="Times New Roman" w:cs="Times New Roman"/>
                <w:sz w:val="18"/>
                <w:szCs w:val="18"/>
                <w:lang w:eastAsia="en-IN"/>
              </w:rPr>
            </w:pPr>
            <w:r w:rsidRPr="007315B3">
              <w:rPr>
                <w:rFonts w:ascii="Times New Roman" w:hAnsi="Times New Roman" w:cs="Times New Roman"/>
                <w:sz w:val="18"/>
                <w:szCs w:val="18"/>
                <w:lang w:eastAsia="en-IN"/>
              </w:rPr>
              <w:t>..</w:t>
            </w:r>
          </w:p>
        </w:tc>
        <w:tc>
          <w:tcPr>
            <w:tcW w:w="935" w:type="dxa"/>
            <w:tcBorders>
              <w:top w:val="nil"/>
              <w:left w:val="nil"/>
              <w:bottom w:val="single" w:sz="4" w:space="0" w:color="auto"/>
              <w:right w:val="single" w:sz="4" w:space="0" w:color="auto"/>
            </w:tcBorders>
            <w:noWrap/>
            <w:vAlign w:val="center"/>
            <w:hideMark/>
          </w:tcPr>
          <w:p w14:paraId="04D8F225" w14:textId="77777777" w:rsidR="008000A7" w:rsidRPr="007315B3" w:rsidRDefault="008000A7" w:rsidP="00471458">
            <w:pPr>
              <w:pStyle w:val="NoSpacing"/>
              <w:jc w:val="center"/>
              <w:rPr>
                <w:rFonts w:ascii="Times New Roman" w:hAnsi="Times New Roman" w:cs="Times New Roman"/>
                <w:sz w:val="18"/>
                <w:szCs w:val="18"/>
                <w:lang w:eastAsia="en-IN"/>
              </w:rPr>
            </w:pPr>
            <w:r w:rsidRPr="007315B3">
              <w:rPr>
                <w:rFonts w:ascii="Times New Roman" w:hAnsi="Times New Roman" w:cs="Times New Roman"/>
                <w:sz w:val="18"/>
                <w:szCs w:val="18"/>
                <w:lang w:eastAsia="en-IN"/>
              </w:rPr>
              <w:t>..</w:t>
            </w:r>
          </w:p>
        </w:tc>
        <w:tc>
          <w:tcPr>
            <w:tcW w:w="651" w:type="dxa"/>
            <w:tcBorders>
              <w:top w:val="nil"/>
              <w:left w:val="nil"/>
              <w:bottom w:val="single" w:sz="4" w:space="0" w:color="auto"/>
              <w:right w:val="single" w:sz="4" w:space="0" w:color="auto"/>
            </w:tcBorders>
            <w:noWrap/>
            <w:vAlign w:val="center"/>
            <w:hideMark/>
          </w:tcPr>
          <w:p w14:paraId="11CE385B" w14:textId="77777777" w:rsidR="008000A7" w:rsidRPr="007315B3" w:rsidRDefault="008000A7" w:rsidP="00471458">
            <w:pPr>
              <w:pStyle w:val="NoSpacing"/>
              <w:jc w:val="center"/>
              <w:rPr>
                <w:rFonts w:ascii="Times New Roman" w:hAnsi="Times New Roman" w:cs="Times New Roman"/>
                <w:sz w:val="18"/>
                <w:szCs w:val="18"/>
                <w:lang w:eastAsia="en-IN"/>
              </w:rPr>
            </w:pPr>
            <w:r w:rsidRPr="007315B3">
              <w:rPr>
                <w:rFonts w:ascii="Times New Roman" w:hAnsi="Times New Roman" w:cs="Times New Roman"/>
                <w:sz w:val="18"/>
                <w:szCs w:val="18"/>
                <w:lang w:eastAsia="en-IN"/>
              </w:rPr>
              <w:t>..</w:t>
            </w:r>
          </w:p>
        </w:tc>
      </w:tr>
      <w:tr w:rsidR="00F8055F" w:rsidRPr="007315B3" w14:paraId="0BD8784F" w14:textId="77777777" w:rsidTr="00537910">
        <w:trPr>
          <w:trHeight w:val="65"/>
          <w:jc w:val="center"/>
        </w:trPr>
        <w:tc>
          <w:tcPr>
            <w:tcW w:w="870" w:type="dxa"/>
            <w:tcBorders>
              <w:top w:val="nil"/>
              <w:left w:val="single" w:sz="4" w:space="0" w:color="auto"/>
              <w:bottom w:val="single" w:sz="4" w:space="0" w:color="auto"/>
              <w:right w:val="single" w:sz="4" w:space="0" w:color="auto"/>
            </w:tcBorders>
            <w:noWrap/>
            <w:vAlign w:val="bottom"/>
            <w:hideMark/>
          </w:tcPr>
          <w:p w14:paraId="5FE661DC" w14:textId="77777777" w:rsidR="00F8055F" w:rsidRPr="007315B3" w:rsidRDefault="00F8055F" w:rsidP="00B77C0B">
            <w:pPr>
              <w:pStyle w:val="NoSpacing"/>
              <w:rPr>
                <w:rFonts w:ascii="Times New Roman" w:hAnsi="Times New Roman" w:cs="Times New Roman"/>
                <w:sz w:val="18"/>
                <w:szCs w:val="18"/>
                <w:lang w:eastAsia="en-IN"/>
              </w:rPr>
            </w:pPr>
            <w:r w:rsidRPr="007315B3">
              <w:rPr>
                <w:rFonts w:ascii="Times New Roman" w:hAnsi="Times New Roman" w:cs="Times New Roman"/>
                <w:sz w:val="18"/>
                <w:szCs w:val="18"/>
                <w:lang w:eastAsia="en-IN"/>
              </w:rPr>
              <w:t>Maharashtra</w:t>
            </w:r>
          </w:p>
        </w:tc>
        <w:tc>
          <w:tcPr>
            <w:tcW w:w="650" w:type="dxa"/>
            <w:tcBorders>
              <w:top w:val="nil"/>
              <w:left w:val="nil"/>
              <w:bottom w:val="single" w:sz="4" w:space="0" w:color="auto"/>
              <w:right w:val="single" w:sz="4" w:space="0" w:color="auto"/>
            </w:tcBorders>
            <w:noWrap/>
            <w:vAlign w:val="center"/>
            <w:hideMark/>
          </w:tcPr>
          <w:p w14:paraId="244529F6" w14:textId="77777777" w:rsidR="00F8055F" w:rsidRPr="007315B3" w:rsidRDefault="00F8055F" w:rsidP="00471458">
            <w:pPr>
              <w:pStyle w:val="NoSpacing"/>
              <w:jc w:val="center"/>
              <w:rPr>
                <w:rFonts w:ascii="Times New Roman" w:hAnsi="Times New Roman" w:cs="Times New Roman"/>
                <w:sz w:val="18"/>
                <w:szCs w:val="18"/>
                <w:lang w:eastAsia="en-IN"/>
              </w:rPr>
            </w:pPr>
            <w:r w:rsidRPr="007315B3">
              <w:rPr>
                <w:rFonts w:ascii="Times New Roman" w:hAnsi="Times New Roman" w:cs="Times New Roman"/>
                <w:sz w:val="18"/>
                <w:szCs w:val="18"/>
                <w:lang w:eastAsia="en-IN"/>
              </w:rPr>
              <w:t>1.73</w:t>
            </w:r>
          </w:p>
        </w:tc>
        <w:tc>
          <w:tcPr>
            <w:tcW w:w="711" w:type="dxa"/>
            <w:tcBorders>
              <w:top w:val="nil"/>
              <w:left w:val="nil"/>
              <w:bottom w:val="single" w:sz="4" w:space="0" w:color="auto"/>
              <w:right w:val="single" w:sz="4" w:space="0" w:color="auto"/>
            </w:tcBorders>
            <w:noWrap/>
            <w:vAlign w:val="center"/>
            <w:hideMark/>
          </w:tcPr>
          <w:p w14:paraId="0C679192" w14:textId="77777777" w:rsidR="00F8055F" w:rsidRPr="007315B3" w:rsidRDefault="00F8055F" w:rsidP="00471458">
            <w:pPr>
              <w:pStyle w:val="NoSpacing"/>
              <w:jc w:val="center"/>
              <w:rPr>
                <w:rFonts w:ascii="Times New Roman" w:hAnsi="Times New Roman" w:cs="Times New Roman"/>
                <w:sz w:val="18"/>
                <w:szCs w:val="18"/>
                <w:lang w:eastAsia="en-IN"/>
              </w:rPr>
            </w:pPr>
            <w:r w:rsidRPr="007315B3">
              <w:rPr>
                <w:rFonts w:ascii="Times New Roman" w:hAnsi="Times New Roman" w:cs="Times New Roman"/>
                <w:sz w:val="18"/>
                <w:szCs w:val="18"/>
                <w:lang w:eastAsia="en-IN"/>
              </w:rPr>
              <w:t>..</w:t>
            </w:r>
          </w:p>
        </w:tc>
        <w:tc>
          <w:tcPr>
            <w:tcW w:w="651" w:type="dxa"/>
            <w:tcBorders>
              <w:top w:val="nil"/>
              <w:left w:val="nil"/>
              <w:bottom w:val="single" w:sz="4" w:space="0" w:color="auto"/>
              <w:right w:val="single" w:sz="4" w:space="0" w:color="auto"/>
            </w:tcBorders>
            <w:noWrap/>
            <w:vAlign w:val="center"/>
            <w:hideMark/>
          </w:tcPr>
          <w:p w14:paraId="7C484149" w14:textId="3CC8DA4B" w:rsidR="00F8055F" w:rsidRPr="007315B3" w:rsidRDefault="00F8055F" w:rsidP="00471458">
            <w:pPr>
              <w:pStyle w:val="NoSpacing"/>
              <w:jc w:val="center"/>
              <w:rPr>
                <w:rFonts w:ascii="Times New Roman" w:hAnsi="Times New Roman" w:cs="Times New Roman"/>
                <w:sz w:val="18"/>
                <w:szCs w:val="18"/>
                <w:lang w:eastAsia="en-IN"/>
              </w:rPr>
            </w:pPr>
            <w:r w:rsidRPr="007315B3">
              <w:rPr>
                <w:rFonts w:ascii="Times New Roman" w:hAnsi="Times New Roman" w:cs="Times New Roman"/>
                <w:sz w:val="18"/>
                <w:szCs w:val="18"/>
                <w:lang w:eastAsia="en-IN"/>
              </w:rPr>
              <w:t>1.55</w:t>
            </w:r>
            <w:r w:rsidR="00471458">
              <w:rPr>
                <w:rFonts w:ascii="Times New Roman" w:hAnsi="Times New Roman" w:cs="Times New Roman"/>
                <w:sz w:val="18"/>
                <w:szCs w:val="18"/>
                <w:lang w:eastAsia="en-IN"/>
              </w:rPr>
              <w:t xml:space="preserve"> </w:t>
            </w:r>
            <w:r w:rsidRPr="007315B3">
              <w:rPr>
                <w:rFonts w:ascii="Times New Roman" w:hAnsi="Times New Roman" w:cs="Times New Roman"/>
                <w:sz w:val="18"/>
                <w:szCs w:val="18"/>
                <w:lang w:eastAsia="en-IN"/>
              </w:rPr>
              <w:t>(b)</w:t>
            </w:r>
          </w:p>
        </w:tc>
        <w:tc>
          <w:tcPr>
            <w:tcW w:w="651" w:type="dxa"/>
            <w:tcBorders>
              <w:top w:val="nil"/>
              <w:left w:val="nil"/>
              <w:bottom w:val="single" w:sz="4" w:space="0" w:color="auto"/>
              <w:right w:val="single" w:sz="4" w:space="0" w:color="auto"/>
            </w:tcBorders>
            <w:noWrap/>
            <w:vAlign w:val="center"/>
            <w:hideMark/>
          </w:tcPr>
          <w:p w14:paraId="7AFD9702" w14:textId="6E6345A0" w:rsidR="00F8055F" w:rsidRPr="007315B3" w:rsidRDefault="00F8055F" w:rsidP="00471458">
            <w:pPr>
              <w:pStyle w:val="NoSpacing"/>
              <w:jc w:val="center"/>
              <w:rPr>
                <w:rFonts w:ascii="Times New Roman" w:hAnsi="Times New Roman" w:cs="Times New Roman"/>
                <w:sz w:val="18"/>
                <w:szCs w:val="18"/>
                <w:lang w:eastAsia="en-IN"/>
              </w:rPr>
            </w:pPr>
            <w:r>
              <w:rPr>
                <w:rFonts w:ascii="Times New Roman" w:hAnsi="Times New Roman" w:cs="Times New Roman"/>
                <w:sz w:val="18"/>
                <w:szCs w:val="18"/>
                <w:lang w:eastAsia="en-IN"/>
              </w:rPr>
              <w:t>+</w:t>
            </w:r>
            <w:r w:rsidRPr="007315B3">
              <w:rPr>
                <w:rFonts w:ascii="Times New Roman" w:hAnsi="Times New Roman" w:cs="Times New Roman"/>
                <w:sz w:val="18"/>
                <w:szCs w:val="18"/>
                <w:lang w:eastAsia="en-IN"/>
              </w:rPr>
              <w:t>0.18</w:t>
            </w:r>
          </w:p>
        </w:tc>
        <w:tc>
          <w:tcPr>
            <w:tcW w:w="651" w:type="dxa"/>
            <w:tcBorders>
              <w:top w:val="nil"/>
              <w:left w:val="nil"/>
              <w:bottom w:val="single" w:sz="4" w:space="0" w:color="auto"/>
              <w:right w:val="single" w:sz="4" w:space="0" w:color="auto"/>
            </w:tcBorders>
            <w:noWrap/>
            <w:vAlign w:val="center"/>
            <w:hideMark/>
          </w:tcPr>
          <w:p w14:paraId="6D9733EA" w14:textId="6C009BBB" w:rsidR="00F8055F" w:rsidRPr="007315B3" w:rsidRDefault="00F8055F" w:rsidP="00471458">
            <w:pPr>
              <w:pStyle w:val="NoSpacing"/>
              <w:jc w:val="center"/>
              <w:rPr>
                <w:rFonts w:ascii="Times New Roman" w:hAnsi="Times New Roman" w:cs="Times New Roman"/>
                <w:sz w:val="18"/>
                <w:szCs w:val="18"/>
                <w:lang w:eastAsia="en-IN"/>
              </w:rPr>
            </w:pPr>
            <w:r w:rsidRPr="007315B3">
              <w:rPr>
                <w:rFonts w:ascii="Times New Roman" w:hAnsi="Times New Roman" w:cs="Times New Roman"/>
                <w:sz w:val="18"/>
                <w:szCs w:val="18"/>
                <w:lang w:eastAsia="en-IN"/>
              </w:rPr>
              <w:t>0.3</w:t>
            </w:r>
            <w:r>
              <w:rPr>
                <w:rFonts w:ascii="Times New Roman" w:hAnsi="Times New Roman" w:cs="Times New Roman"/>
                <w:sz w:val="18"/>
                <w:szCs w:val="18"/>
                <w:lang w:eastAsia="en-IN"/>
              </w:rPr>
              <w:t>0</w:t>
            </w:r>
          </w:p>
        </w:tc>
        <w:tc>
          <w:tcPr>
            <w:tcW w:w="712" w:type="dxa"/>
            <w:tcBorders>
              <w:top w:val="nil"/>
              <w:left w:val="nil"/>
              <w:bottom w:val="single" w:sz="4" w:space="0" w:color="auto"/>
              <w:right w:val="single" w:sz="4" w:space="0" w:color="auto"/>
            </w:tcBorders>
            <w:noWrap/>
            <w:vAlign w:val="center"/>
            <w:hideMark/>
          </w:tcPr>
          <w:p w14:paraId="5CAF9284" w14:textId="77777777" w:rsidR="00F8055F" w:rsidRPr="007315B3" w:rsidRDefault="00F8055F" w:rsidP="00471458">
            <w:pPr>
              <w:pStyle w:val="NoSpacing"/>
              <w:jc w:val="center"/>
              <w:rPr>
                <w:rFonts w:ascii="Times New Roman" w:hAnsi="Times New Roman" w:cs="Times New Roman"/>
                <w:sz w:val="18"/>
                <w:szCs w:val="18"/>
                <w:lang w:eastAsia="en-IN"/>
              </w:rPr>
            </w:pPr>
            <w:r w:rsidRPr="007315B3">
              <w:rPr>
                <w:rFonts w:ascii="Times New Roman" w:hAnsi="Times New Roman" w:cs="Times New Roman"/>
                <w:sz w:val="18"/>
                <w:szCs w:val="18"/>
                <w:lang w:eastAsia="en-IN"/>
              </w:rPr>
              <w:t>..</w:t>
            </w:r>
          </w:p>
        </w:tc>
        <w:tc>
          <w:tcPr>
            <w:tcW w:w="651" w:type="dxa"/>
            <w:tcBorders>
              <w:top w:val="nil"/>
              <w:left w:val="nil"/>
              <w:bottom w:val="single" w:sz="4" w:space="0" w:color="auto"/>
              <w:right w:val="single" w:sz="4" w:space="0" w:color="auto"/>
            </w:tcBorders>
            <w:noWrap/>
            <w:vAlign w:val="center"/>
            <w:hideMark/>
          </w:tcPr>
          <w:p w14:paraId="5694AB31" w14:textId="006B4E7C" w:rsidR="00F8055F" w:rsidRPr="007315B3" w:rsidRDefault="00F8055F" w:rsidP="00471458">
            <w:pPr>
              <w:pStyle w:val="NoSpacing"/>
              <w:jc w:val="center"/>
              <w:rPr>
                <w:rFonts w:ascii="Times New Roman" w:hAnsi="Times New Roman" w:cs="Times New Roman"/>
                <w:sz w:val="18"/>
                <w:szCs w:val="18"/>
                <w:lang w:eastAsia="en-IN"/>
              </w:rPr>
            </w:pPr>
            <w:r w:rsidRPr="007315B3">
              <w:rPr>
                <w:rFonts w:ascii="Times New Roman" w:hAnsi="Times New Roman" w:cs="Times New Roman"/>
                <w:sz w:val="18"/>
                <w:szCs w:val="18"/>
                <w:lang w:eastAsia="en-IN"/>
              </w:rPr>
              <w:t>0.92</w:t>
            </w:r>
            <w:r w:rsidR="00471458">
              <w:rPr>
                <w:rFonts w:ascii="Times New Roman" w:hAnsi="Times New Roman" w:cs="Times New Roman"/>
                <w:sz w:val="18"/>
                <w:szCs w:val="18"/>
                <w:lang w:eastAsia="en-IN"/>
              </w:rPr>
              <w:t xml:space="preserve"> </w:t>
            </w:r>
            <w:r w:rsidRPr="007315B3">
              <w:rPr>
                <w:rFonts w:ascii="Times New Roman" w:hAnsi="Times New Roman" w:cs="Times New Roman"/>
                <w:sz w:val="18"/>
                <w:szCs w:val="18"/>
                <w:lang w:eastAsia="en-IN"/>
              </w:rPr>
              <w:t>(b)</w:t>
            </w:r>
          </w:p>
        </w:tc>
        <w:tc>
          <w:tcPr>
            <w:tcW w:w="651" w:type="dxa"/>
            <w:tcBorders>
              <w:top w:val="nil"/>
              <w:left w:val="nil"/>
              <w:bottom w:val="single" w:sz="4" w:space="0" w:color="auto"/>
              <w:right w:val="single" w:sz="4" w:space="0" w:color="auto"/>
            </w:tcBorders>
            <w:noWrap/>
            <w:vAlign w:val="center"/>
            <w:hideMark/>
          </w:tcPr>
          <w:p w14:paraId="20785D74" w14:textId="77777777" w:rsidR="00F8055F" w:rsidRPr="007315B3" w:rsidRDefault="00F8055F" w:rsidP="00471458">
            <w:pPr>
              <w:pStyle w:val="NoSpacing"/>
              <w:jc w:val="center"/>
              <w:rPr>
                <w:rFonts w:ascii="Times New Roman" w:hAnsi="Times New Roman" w:cs="Times New Roman"/>
                <w:sz w:val="18"/>
                <w:szCs w:val="18"/>
                <w:lang w:eastAsia="en-IN"/>
              </w:rPr>
            </w:pPr>
            <w:r w:rsidRPr="007315B3">
              <w:rPr>
                <w:rFonts w:ascii="Times New Roman" w:hAnsi="Times New Roman" w:cs="Times New Roman"/>
                <w:sz w:val="18"/>
                <w:szCs w:val="18"/>
                <w:lang w:eastAsia="en-IN"/>
              </w:rPr>
              <w:t>-0.62</w:t>
            </w:r>
          </w:p>
        </w:tc>
        <w:tc>
          <w:tcPr>
            <w:tcW w:w="651" w:type="dxa"/>
            <w:tcBorders>
              <w:top w:val="nil"/>
              <w:left w:val="nil"/>
              <w:bottom w:val="single" w:sz="4" w:space="0" w:color="auto"/>
              <w:right w:val="single" w:sz="4" w:space="0" w:color="auto"/>
            </w:tcBorders>
            <w:noWrap/>
            <w:vAlign w:val="center"/>
            <w:hideMark/>
          </w:tcPr>
          <w:p w14:paraId="44A5FF23" w14:textId="77777777" w:rsidR="00F8055F" w:rsidRPr="007315B3" w:rsidRDefault="00F8055F" w:rsidP="00471458">
            <w:pPr>
              <w:pStyle w:val="NoSpacing"/>
              <w:jc w:val="center"/>
              <w:rPr>
                <w:rFonts w:ascii="Times New Roman" w:hAnsi="Times New Roman" w:cs="Times New Roman"/>
                <w:sz w:val="18"/>
                <w:szCs w:val="18"/>
                <w:lang w:eastAsia="en-IN"/>
              </w:rPr>
            </w:pPr>
            <w:r w:rsidRPr="007315B3">
              <w:rPr>
                <w:rFonts w:ascii="Times New Roman" w:hAnsi="Times New Roman" w:cs="Times New Roman"/>
                <w:sz w:val="18"/>
                <w:szCs w:val="18"/>
                <w:lang w:eastAsia="en-IN"/>
              </w:rPr>
              <w:t>3.32</w:t>
            </w:r>
          </w:p>
        </w:tc>
        <w:tc>
          <w:tcPr>
            <w:tcW w:w="712" w:type="dxa"/>
            <w:tcBorders>
              <w:top w:val="nil"/>
              <w:left w:val="nil"/>
              <w:bottom w:val="single" w:sz="4" w:space="0" w:color="auto"/>
              <w:right w:val="single" w:sz="4" w:space="0" w:color="auto"/>
            </w:tcBorders>
            <w:noWrap/>
            <w:vAlign w:val="center"/>
            <w:hideMark/>
          </w:tcPr>
          <w:p w14:paraId="2F39ACF2" w14:textId="77777777" w:rsidR="00F8055F" w:rsidRPr="007315B3" w:rsidRDefault="00F8055F" w:rsidP="00471458">
            <w:pPr>
              <w:pStyle w:val="NoSpacing"/>
              <w:jc w:val="center"/>
              <w:rPr>
                <w:rFonts w:ascii="Times New Roman" w:hAnsi="Times New Roman" w:cs="Times New Roman"/>
                <w:sz w:val="18"/>
                <w:szCs w:val="18"/>
                <w:lang w:eastAsia="en-IN"/>
              </w:rPr>
            </w:pPr>
            <w:r w:rsidRPr="007315B3">
              <w:rPr>
                <w:rFonts w:ascii="Times New Roman" w:hAnsi="Times New Roman" w:cs="Times New Roman"/>
                <w:sz w:val="18"/>
                <w:szCs w:val="18"/>
                <w:lang w:eastAsia="en-IN"/>
              </w:rPr>
              <w:t>..</w:t>
            </w:r>
          </w:p>
        </w:tc>
        <w:tc>
          <w:tcPr>
            <w:tcW w:w="651" w:type="dxa"/>
            <w:tcBorders>
              <w:top w:val="nil"/>
              <w:left w:val="nil"/>
              <w:bottom w:val="single" w:sz="4" w:space="0" w:color="auto"/>
              <w:right w:val="single" w:sz="4" w:space="0" w:color="auto"/>
            </w:tcBorders>
            <w:noWrap/>
            <w:vAlign w:val="center"/>
            <w:hideMark/>
          </w:tcPr>
          <w:p w14:paraId="52AC817A" w14:textId="2FAE995B" w:rsidR="00F8055F" w:rsidRPr="007315B3" w:rsidRDefault="00F8055F" w:rsidP="00471458">
            <w:pPr>
              <w:pStyle w:val="NoSpacing"/>
              <w:jc w:val="center"/>
              <w:rPr>
                <w:rFonts w:ascii="Times New Roman" w:hAnsi="Times New Roman" w:cs="Times New Roman"/>
                <w:sz w:val="18"/>
                <w:szCs w:val="18"/>
                <w:lang w:eastAsia="en-IN"/>
              </w:rPr>
            </w:pPr>
            <w:r w:rsidRPr="007315B3">
              <w:rPr>
                <w:rFonts w:ascii="Times New Roman" w:hAnsi="Times New Roman" w:cs="Times New Roman"/>
                <w:sz w:val="18"/>
                <w:szCs w:val="18"/>
                <w:lang w:eastAsia="en-IN"/>
              </w:rPr>
              <w:t>1.87</w:t>
            </w:r>
            <w:r w:rsidR="00471458">
              <w:rPr>
                <w:rFonts w:ascii="Times New Roman" w:hAnsi="Times New Roman" w:cs="Times New Roman"/>
                <w:sz w:val="18"/>
                <w:szCs w:val="18"/>
                <w:lang w:eastAsia="en-IN"/>
              </w:rPr>
              <w:t xml:space="preserve"> </w:t>
            </w:r>
            <w:r w:rsidRPr="007315B3">
              <w:rPr>
                <w:rFonts w:ascii="Times New Roman" w:hAnsi="Times New Roman" w:cs="Times New Roman"/>
                <w:sz w:val="18"/>
                <w:szCs w:val="18"/>
                <w:lang w:eastAsia="en-IN"/>
              </w:rPr>
              <w:t>(b)</w:t>
            </w:r>
          </w:p>
        </w:tc>
        <w:tc>
          <w:tcPr>
            <w:tcW w:w="935" w:type="dxa"/>
            <w:tcBorders>
              <w:top w:val="nil"/>
              <w:left w:val="nil"/>
              <w:bottom w:val="single" w:sz="4" w:space="0" w:color="auto"/>
              <w:right w:val="single" w:sz="4" w:space="0" w:color="auto"/>
            </w:tcBorders>
            <w:noWrap/>
            <w:vAlign w:val="center"/>
            <w:hideMark/>
          </w:tcPr>
          <w:p w14:paraId="3EEFFCB0" w14:textId="77777777" w:rsidR="00F8055F" w:rsidRPr="007315B3" w:rsidRDefault="00F8055F" w:rsidP="00471458">
            <w:pPr>
              <w:pStyle w:val="NoSpacing"/>
              <w:jc w:val="center"/>
              <w:rPr>
                <w:rFonts w:ascii="Times New Roman" w:hAnsi="Times New Roman" w:cs="Times New Roman"/>
                <w:sz w:val="18"/>
                <w:szCs w:val="18"/>
                <w:lang w:eastAsia="en-IN"/>
              </w:rPr>
            </w:pPr>
            <w:r w:rsidRPr="007315B3">
              <w:rPr>
                <w:rFonts w:ascii="Times New Roman" w:hAnsi="Times New Roman" w:cs="Times New Roman"/>
                <w:sz w:val="18"/>
                <w:szCs w:val="18"/>
                <w:lang w:eastAsia="en-IN"/>
              </w:rPr>
              <w:t>..</w:t>
            </w:r>
          </w:p>
        </w:tc>
        <w:tc>
          <w:tcPr>
            <w:tcW w:w="651" w:type="dxa"/>
            <w:tcBorders>
              <w:top w:val="nil"/>
              <w:left w:val="nil"/>
              <w:bottom w:val="single" w:sz="4" w:space="0" w:color="auto"/>
              <w:right w:val="single" w:sz="4" w:space="0" w:color="auto"/>
            </w:tcBorders>
            <w:noWrap/>
            <w:vAlign w:val="center"/>
            <w:hideMark/>
          </w:tcPr>
          <w:p w14:paraId="17BDBDD6" w14:textId="77777777" w:rsidR="00F8055F" w:rsidRPr="007315B3" w:rsidRDefault="00F8055F" w:rsidP="00471458">
            <w:pPr>
              <w:pStyle w:val="NoSpacing"/>
              <w:jc w:val="center"/>
              <w:rPr>
                <w:rFonts w:ascii="Times New Roman" w:hAnsi="Times New Roman" w:cs="Times New Roman"/>
                <w:sz w:val="18"/>
                <w:szCs w:val="18"/>
                <w:lang w:eastAsia="en-IN"/>
              </w:rPr>
            </w:pPr>
            <w:r w:rsidRPr="007315B3">
              <w:rPr>
                <w:rFonts w:ascii="Times New Roman" w:hAnsi="Times New Roman" w:cs="Times New Roman"/>
                <w:sz w:val="18"/>
                <w:szCs w:val="18"/>
                <w:lang w:eastAsia="en-IN"/>
              </w:rPr>
              <w:t>1.45</w:t>
            </w:r>
          </w:p>
        </w:tc>
        <w:tc>
          <w:tcPr>
            <w:tcW w:w="651" w:type="dxa"/>
            <w:tcBorders>
              <w:top w:val="nil"/>
              <w:left w:val="nil"/>
              <w:bottom w:val="single" w:sz="4" w:space="0" w:color="auto"/>
              <w:right w:val="single" w:sz="4" w:space="0" w:color="auto"/>
            </w:tcBorders>
            <w:noWrap/>
            <w:vAlign w:val="center"/>
            <w:hideMark/>
          </w:tcPr>
          <w:p w14:paraId="652882AC" w14:textId="77777777" w:rsidR="00F8055F" w:rsidRPr="007315B3" w:rsidRDefault="00F8055F" w:rsidP="00471458">
            <w:pPr>
              <w:pStyle w:val="NoSpacing"/>
              <w:jc w:val="center"/>
              <w:rPr>
                <w:rFonts w:ascii="Times New Roman" w:hAnsi="Times New Roman" w:cs="Times New Roman"/>
                <w:sz w:val="18"/>
                <w:szCs w:val="18"/>
                <w:lang w:eastAsia="en-IN"/>
              </w:rPr>
            </w:pPr>
            <w:r w:rsidRPr="007315B3">
              <w:rPr>
                <w:rFonts w:ascii="Times New Roman" w:hAnsi="Times New Roman" w:cs="Times New Roman"/>
                <w:sz w:val="18"/>
                <w:szCs w:val="18"/>
                <w:lang w:eastAsia="en-IN"/>
              </w:rPr>
              <w:t>6.34</w:t>
            </w:r>
          </w:p>
        </w:tc>
        <w:tc>
          <w:tcPr>
            <w:tcW w:w="2298" w:type="dxa"/>
            <w:gridSpan w:val="3"/>
            <w:tcBorders>
              <w:top w:val="nil"/>
              <w:left w:val="nil"/>
              <w:bottom w:val="single" w:sz="4" w:space="0" w:color="auto"/>
              <w:right w:val="single" w:sz="4" w:space="0" w:color="auto"/>
            </w:tcBorders>
            <w:noWrap/>
            <w:vAlign w:val="center"/>
            <w:hideMark/>
          </w:tcPr>
          <w:p w14:paraId="629CAA0C" w14:textId="1A94275F" w:rsidR="00F8055F" w:rsidRPr="007315B3" w:rsidRDefault="00F8055F" w:rsidP="00471458">
            <w:pPr>
              <w:pStyle w:val="NoSpacing"/>
              <w:jc w:val="center"/>
              <w:rPr>
                <w:rFonts w:ascii="Times New Roman" w:hAnsi="Times New Roman" w:cs="Times New Roman"/>
                <w:sz w:val="18"/>
                <w:szCs w:val="18"/>
                <w:lang w:eastAsia="en-IN"/>
              </w:rPr>
            </w:pPr>
            <w:r w:rsidRPr="007315B3">
              <w:rPr>
                <w:rFonts w:ascii="Times New Roman" w:hAnsi="Times New Roman" w:cs="Times New Roman"/>
                <w:sz w:val="18"/>
                <w:szCs w:val="18"/>
                <w:lang w:eastAsia="en-IN"/>
              </w:rPr>
              <w:t>2.05</w:t>
            </w:r>
          </w:p>
        </w:tc>
        <w:tc>
          <w:tcPr>
            <w:tcW w:w="651" w:type="dxa"/>
            <w:tcBorders>
              <w:top w:val="nil"/>
              <w:left w:val="nil"/>
              <w:bottom w:val="single" w:sz="4" w:space="0" w:color="auto"/>
              <w:right w:val="single" w:sz="4" w:space="0" w:color="auto"/>
            </w:tcBorders>
            <w:noWrap/>
            <w:vAlign w:val="center"/>
            <w:hideMark/>
          </w:tcPr>
          <w:p w14:paraId="2F347E27" w14:textId="40B71824" w:rsidR="00F8055F" w:rsidRPr="007315B3" w:rsidRDefault="00F8055F" w:rsidP="00471458">
            <w:pPr>
              <w:pStyle w:val="NoSpacing"/>
              <w:jc w:val="center"/>
              <w:rPr>
                <w:rFonts w:ascii="Times New Roman" w:hAnsi="Times New Roman" w:cs="Times New Roman"/>
                <w:sz w:val="18"/>
                <w:szCs w:val="18"/>
                <w:lang w:eastAsia="en-IN"/>
              </w:rPr>
            </w:pPr>
            <w:r>
              <w:rPr>
                <w:rFonts w:ascii="Times New Roman" w:hAnsi="Times New Roman" w:cs="Times New Roman"/>
                <w:sz w:val="18"/>
                <w:szCs w:val="18"/>
                <w:lang w:eastAsia="en-IN"/>
              </w:rPr>
              <w:t>+</w:t>
            </w:r>
            <w:r w:rsidRPr="007315B3">
              <w:rPr>
                <w:rFonts w:ascii="Times New Roman" w:hAnsi="Times New Roman" w:cs="Times New Roman"/>
                <w:sz w:val="18"/>
                <w:szCs w:val="18"/>
                <w:lang w:eastAsia="en-IN"/>
              </w:rPr>
              <w:t>4.29</w:t>
            </w:r>
          </w:p>
        </w:tc>
      </w:tr>
      <w:tr w:rsidR="00F8055F" w:rsidRPr="007315B3" w14:paraId="7CED5272" w14:textId="77777777" w:rsidTr="00537910">
        <w:trPr>
          <w:trHeight w:val="65"/>
          <w:jc w:val="center"/>
        </w:trPr>
        <w:tc>
          <w:tcPr>
            <w:tcW w:w="870" w:type="dxa"/>
            <w:tcBorders>
              <w:top w:val="nil"/>
              <w:left w:val="single" w:sz="4" w:space="0" w:color="auto"/>
              <w:bottom w:val="single" w:sz="4" w:space="0" w:color="auto"/>
              <w:right w:val="single" w:sz="4" w:space="0" w:color="auto"/>
            </w:tcBorders>
            <w:noWrap/>
            <w:vAlign w:val="bottom"/>
            <w:hideMark/>
          </w:tcPr>
          <w:p w14:paraId="0A8C35E2" w14:textId="77777777" w:rsidR="00F8055F" w:rsidRPr="007315B3" w:rsidRDefault="00F8055F" w:rsidP="00B77C0B">
            <w:pPr>
              <w:pStyle w:val="NoSpacing"/>
              <w:rPr>
                <w:rFonts w:ascii="Times New Roman" w:hAnsi="Times New Roman" w:cs="Times New Roman"/>
                <w:sz w:val="18"/>
                <w:szCs w:val="18"/>
                <w:lang w:eastAsia="en-IN"/>
              </w:rPr>
            </w:pPr>
            <w:r w:rsidRPr="007315B3">
              <w:rPr>
                <w:rFonts w:ascii="Times New Roman" w:hAnsi="Times New Roman" w:cs="Times New Roman"/>
                <w:sz w:val="18"/>
                <w:szCs w:val="18"/>
                <w:lang w:eastAsia="en-IN"/>
              </w:rPr>
              <w:t>Mysore</w:t>
            </w:r>
          </w:p>
        </w:tc>
        <w:tc>
          <w:tcPr>
            <w:tcW w:w="650" w:type="dxa"/>
            <w:tcBorders>
              <w:top w:val="nil"/>
              <w:left w:val="nil"/>
              <w:bottom w:val="single" w:sz="4" w:space="0" w:color="auto"/>
              <w:right w:val="single" w:sz="4" w:space="0" w:color="auto"/>
            </w:tcBorders>
            <w:noWrap/>
            <w:vAlign w:val="center"/>
            <w:hideMark/>
          </w:tcPr>
          <w:p w14:paraId="3FFBE802" w14:textId="77777777" w:rsidR="00F8055F" w:rsidRPr="007315B3" w:rsidRDefault="00F8055F" w:rsidP="00471458">
            <w:pPr>
              <w:pStyle w:val="NoSpacing"/>
              <w:jc w:val="center"/>
              <w:rPr>
                <w:rFonts w:ascii="Times New Roman" w:hAnsi="Times New Roman" w:cs="Times New Roman"/>
                <w:sz w:val="18"/>
                <w:szCs w:val="18"/>
                <w:lang w:eastAsia="en-IN"/>
              </w:rPr>
            </w:pPr>
            <w:r w:rsidRPr="007315B3">
              <w:rPr>
                <w:rFonts w:ascii="Times New Roman" w:hAnsi="Times New Roman" w:cs="Times New Roman"/>
                <w:sz w:val="18"/>
                <w:szCs w:val="18"/>
                <w:lang w:eastAsia="en-IN"/>
              </w:rPr>
              <w:t>0.5</w:t>
            </w:r>
          </w:p>
        </w:tc>
        <w:tc>
          <w:tcPr>
            <w:tcW w:w="711" w:type="dxa"/>
            <w:tcBorders>
              <w:top w:val="nil"/>
              <w:left w:val="nil"/>
              <w:bottom w:val="single" w:sz="4" w:space="0" w:color="auto"/>
              <w:right w:val="single" w:sz="4" w:space="0" w:color="auto"/>
            </w:tcBorders>
            <w:noWrap/>
            <w:vAlign w:val="center"/>
            <w:hideMark/>
          </w:tcPr>
          <w:p w14:paraId="3E006473" w14:textId="77777777" w:rsidR="00F8055F" w:rsidRPr="007315B3" w:rsidRDefault="00F8055F" w:rsidP="00471458">
            <w:pPr>
              <w:pStyle w:val="NoSpacing"/>
              <w:jc w:val="center"/>
              <w:rPr>
                <w:rFonts w:ascii="Times New Roman" w:hAnsi="Times New Roman" w:cs="Times New Roman"/>
                <w:sz w:val="18"/>
                <w:szCs w:val="18"/>
                <w:lang w:eastAsia="en-IN"/>
              </w:rPr>
            </w:pPr>
            <w:r w:rsidRPr="007315B3">
              <w:rPr>
                <w:rFonts w:ascii="Times New Roman" w:hAnsi="Times New Roman" w:cs="Times New Roman"/>
                <w:sz w:val="18"/>
                <w:szCs w:val="18"/>
                <w:lang w:eastAsia="en-IN"/>
              </w:rPr>
              <w:t>0.04</w:t>
            </w:r>
          </w:p>
        </w:tc>
        <w:tc>
          <w:tcPr>
            <w:tcW w:w="651" w:type="dxa"/>
            <w:tcBorders>
              <w:top w:val="nil"/>
              <w:left w:val="nil"/>
              <w:bottom w:val="single" w:sz="4" w:space="0" w:color="auto"/>
              <w:right w:val="single" w:sz="4" w:space="0" w:color="auto"/>
            </w:tcBorders>
            <w:noWrap/>
            <w:vAlign w:val="center"/>
            <w:hideMark/>
          </w:tcPr>
          <w:p w14:paraId="301A73CF" w14:textId="77777777" w:rsidR="00F8055F" w:rsidRPr="007315B3" w:rsidRDefault="00F8055F" w:rsidP="00471458">
            <w:pPr>
              <w:pStyle w:val="NoSpacing"/>
              <w:jc w:val="center"/>
              <w:rPr>
                <w:rFonts w:ascii="Times New Roman" w:hAnsi="Times New Roman" w:cs="Times New Roman"/>
                <w:sz w:val="18"/>
                <w:szCs w:val="18"/>
                <w:lang w:eastAsia="en-IN"/>
              </w:rPr>
            </w:pPr>
            <w:r w:rsidRPr="007315B3">
              <w:rPr>
                <w:rFonts w:ascii="Times New Roman" w:hAnsi="Times New Roman" w:cs="Times New Roman"/>
                <w:sz w:val="18"/>
                <w:szCs w:val="18"/>
                <w:lang w:eastAsia="en-IN"/>
              </w:rPr>
              <w:t>..</w:t>
            </w:r>
          </w:p>
        </w:tc>
        <w:tc>
          <w:tcPr>
            <w:tcW w:w="651" w:type="dxa"/>
            <w:tcBorders>
              <w:top w:val="nil"/>
              <w:left w:val="nil"/>
              <w:bottom w:val="single" w:sz="4" w:space="0" w:color="auto"/>
              <w:right w:val="single" w:sz="4" w:space="0" w:color="auto"/>
            </w:tcBorders>
            <w:noWrap/>
            <w:vAlign w:val="center"/>
            <w:hideMark/>
          </w:tcPr>
          <w:p w14:paraId="01D9927C" w14:textId="7172EC28" w:rsidR="00F8055F" w:rsidRPr="007315B3" w:rsidRDefault="00F8055F" w:rsidP="00471458">
            <w:pPr>
              <w:pStyle w:val="NoSpacing"/>
              <w:jc w:val="center"/>
              <w:rPr>
                <w:rFonts w:ascii="Times New Roman" w:hAnsi="Times New Roman" w:cs="Times New Roman"/>
                <w:sz w:val="18"/>
                <w:szCs w:val="18"/>
                <w:lang w:eastAsia="en-IN"/>
              </w:rPr>
            </w:pPr>
            <w:r>
              <w:rPr>
                <w:rFonts w:ascii="Times New Roman" w:hAnsi="Times New Roman" w:cs="Times New Roman"/>
                <w:sz w:val="18"/>
                <w:szCs w:val="18"/>
                <w:lang w:eastAsia="en-IN"/>
              </w:rPr>
              <w:t>+</w:t>
            </w:r>
            <w:r w:rsidRPr="007315B3">
              <w:rPr>
                <w:rFonts w:ascii="Times New Roman" w:hAnsi="Times New Roman" w:cs="Times New Roman"/>
                <w:sz w:val="18"/>
                <w:szCs w:val="18"/>
                <w:lang w:eastAsia="en-IN"/>
              </w:rPr>
              <w:t>0.46</w:t>
            </w:r>
          </w:p>
        </w:tc>
        <w:tc>
          <w:tcPr>
            <w:tcW w:w="651" w:type="dxa"/>
            <w:tcBorders>
              <w:top w:val="nil"/>
              <w:left w:val="nil"/>
              <w:bottom w:val="single" w:sz="4" w:space="0" w:color="auto"/>
              <w:right w:val="single" w:sz="4" w:space="0" w:color="auto"/>
            </w:tcBorders>
            <w:noWrap/>
            <w:vAlign w:val="center"/>
            <w:hideMark/>
          </w:tcPr>
          <w:p w14:paraId="12D56110" w14:textId="77777777" w:rsidR="00F8055F" w:rsidRPr="007315B3" w:rsidRDefault="00F8055F" w:rsidP="00471458">
            <w:pPr>
              <w:pStyle w:val="NoSpacing"/>
              <w:jc w:val="center"/>
              <w:rPr>
                <w:rFonts w:ascii="Times New Roman" w:hAnsi="Times New Roman" w:cs="Times New Roman"/>
                <w:sz w:val="18"/>
                <w:szCs w:val="18"/>
                <w:lang w:eastAsia="en-IN"/>
              </w:rPr>
            </w:pPr>
            <w:r w:rsidRPr="007315B3">
              <w:rPr>
                <w:rFonts w:ascii="Times New Roman" w:hAnsi="Times New Roman" w:cs="Times New Roman"/>
                <w:sz w:val="18"/>
                <w:szCs w:val="18"/>
                <w:lang w:eastAsia="en-IN"/>
              </w:rPr>
              <w:t>8</w:t>
            </w:r>
          </w:p>
        </w:tc>
        <w:tc>
          <w:tcPr>
            <w:tcW w:w="712" w:type="dxa"/>
            <w:tcBorders>
              <w:top w:val="nil"/>
              <w:left w:val="nil"/>
              <w:bottom w:val="single" w:sz="4" w:space="0" w:color="auto"/>
              <w:right w:val="single" w:sz="4" w:space="0" w:color="auto"/>
            </w:tcBorders>
            <w:noWrap/>
            <w:vAlign w:val="center"/>
            <w:hideMark/>
          </w:tcPr>
          <w:p w14:paraId="1EF95744" w14:textId="77777777" w:rsidR="00F8055F" w:rsidRPr="007315B3" w:rsidRDefault="00F8055F" w:rsidP="00471458">
            <w:pPr>
              <w:pStyle w:val="NoSpacing"/>
              <w:jc w:val="center"/>
              <w:rPr>
                <w:rFonts w:ascii="Times New Roman" w:hAnsi="Times New Roman" w:cs="Times New Roman"/>
                <w:sz w:val="18"/>
                <w:szCs w:val="18"/>
                <w:lang w:eastAsia="en-IN"/>
              </w:rPr>
            </w:pPr>
            <w:r w:rsidRPr="007315B3">
              <w:rPr>
                <w:rFonts w:ascii="Times New Roman" w:hAnsi="Times New Roman" w:cs="Times New Roman"/>
                <w:sz w:val="18"/>
                <w:szCs w:val="18"/>
                <w:lang w:eastAsia="en-IN"/>
              </w:rPr>
              <w:t>0.12</w:t>
            </w:r>
          </w:p>
        </w:tc>
        <w:tc>
          <w:tcPr>
            <w:tcW w:w="651" w:type="dxa"/>
            <w:tcBorders>
              <w:top w:val="nil"/>
              <w:left w:val="nil"/>
              <w:bottom w:val="single" w:sz="4" w:space="0" w:color="auto"/>
              <w:right w:val="single" w:sz="4" w:space="0" w:color="auto"/>
            </w:tcBorders>
            <w:noWrap/>
            <w:vAlign w:val="center"/>
            <w:hideMark/>
          </w:tcPr>
          <w:p w14:paraId="5E959BE0" w14:textId="77777777" w:rsidR="00F8055F" w:rsidRPr="007315B3" w:rsidRDefault="00F8055F" w:rsidP="00471458">
            <w:pPr>
              <w:pStyle w:val="NoSpacing"/>
              <w:jc w:val="center"/>
              <w:rPr>
                <w:rFonts w:ascii="Times New Roman" w:hAnsi="Times New Roman" w:cs="Times New Roman"/>
                <w:sz w:val="18"/>
                <w:szCs w:val="18"/>
                <w:lang w:eastAsia="en-IN"/>
              </w:rPr>
            </w:pPr>
            <w:r w:rsidRPr="007315B3">
              <w:rPr>
                <w:rFonts w:ascii="Times New Roman" w:hAnsi="Times New Roman" w:cs="Times New Roman"/>
                <w:sz w:val="18"/>
                <w:szCs w:val="18"/>
                <w:lang w:eastAsia="en-IN"/>
              </w:rPr>
              <w:t>..</w:t>
            </w:r>
          </w:p>
        </w:tc>
        <w:tc>
          <w:tcPr>
            <w:tcW w:w="651" w:type="dxa"/>
            <w:tcBorders>
              <w:top w:val="nil"/>
              <w:left w:val="nil"/>
              <w:bottom w:val="single" w:sz="4" w:space="0" w:color="auto"/>
              <w:right w:val="single" w:sz="4" w:space="0" w:color="auto"/>
            </w:tcBorders>
            <w:noWrap/>
            <w:vAlign w:val="center"/>
            <w:hideMark/>
          </w:tcPr>
          <w:p w14:paraId="2C89C7DA" w14:textId="77777777" w:rsidR="00F8055F" w:rsidRPr="007315B3" w:rsidRDefault="00F8055F" w:rsidP="00471458">
            <w:pPr>
              <w:pStyle w:val="NoSpacing"/>
              <w:jc w:val="center"/>
              <w:rPr>
                <w:rFonts w:ascii="Times New Roman" w:hAnsi="Times New Roman" w:cs="Times New Roman"/>
                <w:sz w:val="18"/>
                <w:szCs w:val="18"/>
                <w:lang w:eastAsia="en-IN"/>
              </w:rPr>
            </w:pPr>
            <w:r w:rsidRPr="007315B3">
              <w:rPr>
                <w:rFonts w:ascii="Times New Roman" w:hAnsi="Times New Roman" w:cs="Times New Roman"/>
                <w:sz w:val="18"/>
                <w:szCs w:val="18"/>
                <w:lang w:eastAsia="en-IN"/>
              </w:rPr>
              <w:t>7.88</w:t>
            </w:r>
          </w:p>
        </w:tc>
        <w:tc>
          <w:tcPr>
            <w:tcW w:w="651" w:type="dxa"/>
            <w:tcBorders>
              <w:top w:val="nil"/>
              <w:left w:val="nil"/>
              <w:bottom w:val="single" w:sz="4" w:space="0" w:color="auto"/>
              <w:right w:val="single" w:sz="4" w:space="0" w:color="auto"/>
            </w:tcBorders>
            <w:noWrap/>
            <w:vAlign w:val="center"/>
            <w:hideMark/>
          </w:tcPr>
          <w:p w14:paraId="3CC4CA1E" w14:textId="77777777" w:rsidR="00F8055F" w:rsidRPr="007315B3" w:rsidRDefault="00F8055F" w:rsidP="00471458">
            <w:pPr>
              <w:pStyle w:val="NoSpacing"/>
              <w:jc w:val="center"/>
              <w:rPr>
                <w:rFonts w:ascii="Times New Roman" w:hAnsi="Times New Roman" w:cs="Times New Roman"/>
                <w:sz w:val="18"/>
                <w:szCs w:val="18"/>
                <w:lang w:eastAsia="en-IN"/>
              </w:rPr>
            </w:pPr>
            <w:r w:rsidRPr="007315B3">
              <w:rPr>
                <w:rFonts w:ascii="Times New Roman" w:hAnsi="Times New Roman" w:cs="Times New Roman"/>
                <w:sz w:val="18"/>
                <w:szCs w:val="18"/>
                <w:lang w:eastAsia="en-IN"/>
              </w:rPr>
              <w:t>4.88</w:t>
            </w:r>
          </w:p>
        </w:tc>
        <w:tc>
          <w:tcPr>
            <w:tcW w:w="712" w:type="dxa"/>
            <w:tcBorders>
              <w:top w:val="nil"/>
              <w:left w:val="nil"/>
              <w:bottom w:val="single" w:sz="4" w:space="0" w:color="auto"/>
              <w:right w:val="single" w:sz="4" w:space="0" w:color="auto"/>
            </w:tcBorders>
            <w:noWrap/>
            <w:vAlign w:val="center"/>
            <w:hideMark/>
          </w:tcPr>
          <w:p w14:paraId="648AA528" w14:textId="77777777" w:rsidR="00F8055F" w:rsidRPr="007315B3" w:rsidRDefault="00F8055F" w:rsidP="00471458">
            <w:pPr>
              <w:pStyle w:val="NoSpacing"/>
              <w:jc w:val="center"/>
              <w:rPr>
                <w:rFonts w:ascii="Times New Roman" w:hAnsi="Times New Roman" w:cs="Times New Roman"/>
                <w:sz w:val="18"/>
                <w:szCs w:val="18"/>
                <w:lang w:eastAsia="en-IN"/>
              </w:rPr>
            </w:pPr>
            <w:r w:rsidRPr="007315B3">
              <w:rPr>
                <w:rFonts w:ascii="Times New Roman" w:hAnsi="Times New Roman" w:cs="Times New Roman"/>
                <w:sz w:val="18"/>
                <w:szCs w:val="18"/>
                <w:lang w:eastAsia="en-IN"/>
              </w:rPr>
              <w:t>0.16</w:t>
            </w:r>
          </w:p>
        </w:tc>
        <w:tc>
          <w:tcPr>
            <w:tcW w:w="651" w:type="dxa"/>
            <w:tcBorders>
              <w:top w:val="nil"/>
              <w:left w:val="nil"/>
              <w:bottom w:val="single" w:sz="4" w:space="0" w:color="auto"/>
              <w:right w:val="single" w:sz="4" w:space="0" w:color="auto"/>
            </w:tcBorders>
            <w:noWrap/>
            <w:vAlign w:val="center"/>
            <w:hideMark/>
          </w:tcPr>
          <w:p w14:paraId="35EEDB94" w14:textId="77777777" w:rsidR="00F8055F" w:rsidRPr="007315B3" w:rsidRDefault="00F8055F" w:rsidP="00471458">
            <w:pPr>
              <w:pStyle w:val="NoSpacing"/>
              <w:jc w:val="center"/>
              <w:rPr>
                <w:rFonts w:ascii="Times New Roman" w:hAnsi="Times New Roman" w:cs="Times New Roman"/>
                <w:sz w:val="18"/>
                <w:szCs w:val="18"/>
                <w:lang w:eastAsia="en-IN"/>
              </w:rPr>
            </w:pPr>
            <w:r w:rsidRPr="007315B3">
              <w:rPr>
                <w:rFonts w:ascii="Times New Roman" w:hAnsi="Times New Roman" w:cs="Times New Roman"/>
                <w:sz w:val="18"/>
                <w:szCs w:val="18"/>
                <w:lang w:eastAsia="en-IN"/>
              </w:rPr>
              <w:t>..</w:t>
            </w:r>
          </w:p>
        </w:tc>
        <w:tc>
          <w:tcPr>
            <w:tcW w:w="935" w:type="dxa"/>
            <w:tcBorders>
              <w:top w:val="nil"/>
              <w:left w:val="nil"/>
              <w:bottom w:val="single" w:sz="4" w:space="0" w:color="auto"/>
              <w:right w:val="single" w:sz="4" w:space="0" w:color="auto"/>
            </w:tcBorders>
            <w:noWrap/>
            <w:vAlign w:val="center"/>
            <w:hideMark/>
          </w:tcPr>
          <w:p w14:paraId="276A93C2" w14:textId="77777777" w:rsidR="00F8055F" w:rsidRPr="007315B3" w:rsidRDefault="00F8055F" w:rsidP="00471458">
            <w:pPr>
              <w:pStyle w:val="NoSpacing"/>
              <w:jc w:val="center"/>
              <w:rPr>
                <w:rFonts w:ascii="Times New Roman" w:hAnsi="Times New Roman" w:cs="Times New Roman"/>
                <w:sz w:val="18"/>
                <w:szCs w:val="18"/>
                <w:lang w:eastAsia="en-IN"/>
              </w:rPr>
            </w:pPr>
            <w:r w:rsidRPr="007315B3">
              <w:rPr>
                <w:rFonts w:ascii="Times New Roman" w:hAnsi="Times New Roman" w:cs="Times New Roman"/>
                <w:sz w:val="18"/>
                <w:szCs w:val="18"/>
                <w:lang w:eastAsia="en-IN"/>
              </w:rPr>
              <w:t>..</w:t>
            </w:r>
          </w:p>
        </w:tc>
        <w:tc>
          <w:tcPr>
            <w:tcW w:w="651" w:type="dxa"/>
            <w:tcBorders>
              <w:top w:val="nil"/>
              <w:left w:val="nil"/>
              <w:bottom w:val="single" w:sz="4" w:space="0" w:color="auto"/>
              <w:right w:val="single" w:sz="4" w:space="0" w:color="auto"/>
            </w:tcBorders>
            <w:noWrap/>
            <w:vAlign w:val="center"/>
            <w:hideMark/>
          </w:tcPr>
          <w:p w14:paraId="3EB34EE5" w14:textId="77777777" w:rsidR="00F8055F" w:rsidRPr="007315B3" w:rsidRDefault="00F8055F" w:rsidP="00471458">
            <w:pPr>
              <w:pStyle w:val="NoSpacing"/>
              <w:jc w:val="center"/>
              <w:rPr>
                <w:rFonts w:ascii="Times New Roman" w:hAnsi="Times New Roman" w:cs="Times New Roman"/>
                <w:sz w:val="18"/>
                <w:szCs w:val="18"/>
                <w:lang w:eastAsia="en-IN"/>
              </w:rPr>
            </w:pPr>
            <w:r w:rsidRPr="007315B3">
              <w:rPr>
                <w:rFonts w:ascii="Times New Roman" w:hAnsi="Times New Roman" w:cs="Times New Roman"/>
                <w:sz w:val="18"/>
                <w:szCs w:val="18"/>
                <w:lang w:eastAsia="en-IN"/>
              </w:rPr>
              <w:t>4.72</w:t>
            </w:r>
          </w:p>
        </w:tc>
        <w:tc>
          <w:tcPr>
            <w:tcW w:w="651" w:type="dxa"/>
            <w:tcBorders>
              <w:top w:val="nil"/>
              <w:left w:val="nil"/>
              <w:bottom w:val="single" w:sz="4" w:space="0" w:color="auto"/>
              <w:right w:val="single" w:sz="4" w:space="0" w:color="auto"/>
            </w:tcBorders>
            <w:noWrap/>
            <w:vAlign w:val="center"/>
            <w:hideMark/>
          </w:tcPr>
          <w:p w14:paraId="7FE683B9" w14:textId="77777777" w:rsidR="00F8055F" w:rsidRPr="007315B3" w:rsidRDefault="00F8055F" w:rsidP="00471458">
            <w:pPr>
              <w:pStyle w:val="NoSpacing"/>
              <w:jc w:val="center"/>
              <w:rPr>
                <w:rFonts w:ascii="Times New Roman" w:hAnsi="Times New Roman" w:cs="Times New Roman"/>
                <w:sz w:val="18"/>
                <w:szCs w:val="18"/>
                <w:lang w:eastAsia="en-IN"/>
              </w:rPr>
            </w:pPr>
            <w:r w:rsidRPr="007315B3">
              <w:rPr>
                <w:rFonts w:ascii="Times New Roman" w:hAnsi="Times New Roman" w:cs="Times New Roman"/>
                <w:sz w:val="18"/>
                <w:szCs w:val="18"/>
                <w:lang w:eastAsia="en-IN"/>
              </w:rPr>
              <w:t>9.64</w:t>
            </w:r>
          </w:p>
        </w:tc>
        <w:tc>
          <w:tcPr>
            <w:tcW w:w="2298" w:type="dxa"/>
            <w:gridSpan w:val="3"/>
            <w:tcBorders>
              <w:top w:val="nil"/>
              <w:left w:val="nil"/>
              <w:bottom w:val="single" w:sz="4" w:space="0" w:color="auto"/>
              <w:right w:val="single" w:sz="4" w:space="0" w:color="auto"/>
            </w:tcBorders>
            <w:noWrap/>
            <w:vAlign w:val="center"/>
            <w:hideMark/>
          </w:tcPr>
          <w:p w14:paraId="1AD507CD" w14:textId="03B38F7C" w:rsidR="00F8055F" w:rsidRPr="007315B3" w:rsidRDefault="00F8055F" w:rsidP="00471458">
            <w:pPr>
              <w:pStyle w:val="NoSpacing"/>
              <w:jc w:val="center"/>
              <w:rPr>
                <w:rFonts w:ascii="Times New Roman" w:hAnsi="Times New Roman" w:cs="Times New Roman"/>
                <w:sz w:val="18"/>
                <w:szCs w:val="18"/>
                <w:lang w:eastAsia="en-IN"/>
              </w:rPr>
            </w:pPr>
            <w:r w:rsidRPr="007315B3">
              <w:rPr>
                <w:rFonts w:ascii="Times New Roman" w:hAnsi="Times New Roman" w:cs="Times New Roman"/>
                <w:sz w:val="18"/>
                <w:szCs w:val="18"/>
                <w:lang w:eastAsia="en-IN"/>
              </w:rPr>
              <w:t>19.89</w:t>
            </w:r>
          </w:p>
        </w:tc>
        <w:tc>
          <w:tcPr>
            <w:tcW w:w="651" w:type="dxa"/>
            <w:tcBorders>
              <w:top w:val="nil"/>
              <w:left w:val="nil"/>
              <w:bottom w:val="single" w:sz="4" w:space="0" w:color="auto"/>
              <w:right w:val="single" w:sz="4" w:space="0" w:color="auto"/>
            </w:tcBorders>
            <w:noWrap/>
            <w:vAlign w:val="center"/>
            <w:hideMark/>
          </w:tcPr>
          <w:p w14:paraId="7998FB4B" w14:textId="77777777" w:rsidR="00F8055F" w:rsidRPr="007315B3" w:rsidRDefault="00F8055F" w:rsidP="00471458">
            <w:pPr>
              <w:pStyle w:val="NoSpacing"/>
              <w:jc w:val="center"/>
              <w:rPr>
                <w:rFonts w:ascii="Times New Roman" w:hAnsi="Times New Roman" w:cs="Times New Roman"/>
                <w:sz w:val="18"/>
                <w:szCs w:val="18"/>
                <w:lang w:eastAsia="en-IN"/>
              </w:rPr>
            </w:pPr>
            <w:r w:rsidRPr="007315B3">
              <w:rPr>
                <w:rFonts w:ascii="Times New Roman" w:hAnsi="Times New Roman" w:cs="Times New Roman"/>
                <w:sz w:val="18"/>
                <w:szCs w:val="18"/>
                <w:lang w:eastAsia="en-IN"/>
              </w:rPr>
              <w:t>-10.25</w:t>
            </w:r>
          </w:p>
        </w:tc>
      </w:tr>
      <w:tr w:rsidR="008000A7" w:rsidRPr="007315B3" w14:paraId="46D939C5" w14:textId="77777777" w:rsidTr="00537910">
        <w:trPr>
          <w:trHeight w:val="65"/>
          <w:jc w:val="center"/>
        </w:trPr>
        <w:tc>
          <w:tcPr>
            <w:tcW w:w="870" w:type="dxa"/>
            <w:tcBorders>
              <w:top w:val="nil"/>
              <w:left w:val="single" w:sz="4" w:space="0" w:color="auto"/>
              <w:bottom w:val="single" w:sz="4" w:space="0" w:color="auto"/>
              <w:right w:val="single" w:sz="4" w:space="0" w:color="auto"/>
            </w:tcBorders>
            <w:noWrap/>
            <w:vAlign w:val="bottom"/>
            <w:hideMark/>
          </w:tcPr>
          <w:p w14:paraId="3780D653" w14:textId="77777777" w:rsidR="008000A7" w:rsidRPr="007315B3" w:rsidRDefault="008000A7" w:rsidP="00B77C0B">
            <w:pPr>
              <w:pStyle w:val="NoSpacing"/>
              <w:rPr>
                <w:rFonts w:ascii="Times New Roman" w:hAnsi="Times New Roman" w:cs="Times New Roman"/>
                <w:sz w:val="18"/>
                <w:szCs w:val="18"/>
                <w:lang w:eastAsia="en-IN"/>
              </w:rPr>
            </w:pPr>
            <w:r w:rsidRPr="007315B3">
              <w:rPr>
                <w:rFonts w:ascii="Times New Roman" w:hAnsi="Times New Roman" w:cs="Times New Roman"/>
                <w:sz w:val="18"/>
                <w:szCs w:val="18"/>
                <w:lang w:eastAsia="en-IN"/>
              </w:rPr>
              <w:t>Nagaland</w:t>
            </w:r>
          </w:p>
        </w:tc>
        <w:tc>
          <w:tcPr>
            <w:tcW w:w="650" w:type="dxa"/>
            <w:tcBorders>
              <w:top w:val="nil"/>
              <w:left w:val="nil"/>
              <w:bottom w:val="single" w:sz="4" w:space="0" w:color="auto"/>
              <w:right w:val="single" w:sz="4" w:space="0" w:color="auto"/>
            </w:tcBorders>
            <w:noWrap/>
            <w:vAlign w:val="center"/>
            <w:hideMark/>
          </w:tcPr>
          <w:p w14:paraId="64AB122E" w14:textId="77777777" w:rsidR="008000A7" w:rsidRPr="007315B3" w:rsidRDefault="008000A7" w:rsidP="00471458">
            <w:pPr>
              <w:pStyle w:val="NoSpacing"/>
              <w:jc w:val="center"/>
              <w:rPr>
                <w:rFonts w:ascii="Times New Roman" w:hAnsi="Times New Roman" w:cs="Times New Roman"/>
                <w:sz w:val="18"/>
                <w:szCs w:val="18"/>
                <w:lang w:eastAsia="en-IN"/>
              </w:rPr>
            </w:pPr>
            <w:r w:rsidRPr="007315B3">
              <w:rPr>
                <w:rFonts w:ascii="Times New Roman" w:hAnsi="Times New Roman" w:cs="Times New Roman"/>
                <w:sz w:val="18"/>
                <w:szCs w:val="18"/>
                <w:lang w:eastAsia="en-IN"/>
              </w:rPr>
              <w:t>0.06</w:t>
            </w:r>
          </w:p>
        </w:tc>
        <w:tc>
          <w:tcPr>
            <w:tcW w:w="711" w:type="dxa"/>
            <w:tcBorders>
              <w:top w:val="nil"/>
              <w:left w:val="nil"/>
              <w:bottom w:val="single" w:sz="4" w:space="0" w:color="auto"/>
              <w:right w:val="single" w:sz="4" w:space="0" w:color="auto"/>
            </w:tcBorders>
            <w:noWrap/>
            <w:vAlign w:val="center"/>
            <w:hideMark/>
          </w:tcPr>
          <w:p w14:paraId="11E55B5C" w14:textId="5EF38F82" w:rsidR="008000A7" w:rsidRPr="007315B3" w:rsidRDefault="008000A7" w:rsidP="00471458">
            <w:pPr>
              <w:pStyle w:val="NoSpacing"/>
              <w:jc w:val="center"/>
              <w:rPr>
                <w:rFonts w:ascii="Times New Roman" w:hAnsi="Times New Roman" w:cs="Times New Roman"/>
                <w:sz w:val="18"/>
                <w:szCs w:val="18"/>
                <w:lang w:eastAsia="en-IN"/>
              </w:rPr>
            </w:pPr>
            <w:r w:rsidRPr="007315B3">
              <w:rPr>
                <w:rFonts w:ascii="Times New Roman" w:hAnsi="Times New Roman" w:cs="Times New Roman"/>
                <w:sz w:val="18"/>
                <w:szCs w:val="18"/>
                <w:lang w:eastAsia="en-IN"/>
              </w:rPr>
              <w:t>0.02</w:t>
            </w:r>
            <w:r w:rsidR="00537910">
              <w:rPr>
                <w:rFonts w:ascii="Times New Roman" w:hAnsi="Times New Roman" w:cs="Times New Roman"/>
                <w:sz w:val="18"/>
                <w:szCs w:val="18"/>
                <w:lang w:eastAsia="en-IN"/>
              </w:rPr>
              <w:t xml:space="preserve"> </w:t>
            </w:r>
            <w:r w:rsidRPr="007315B3">
              <w:rPr>
                <w:rFonts w:ascii="Times New Roman" w:hAnsi="Times New Roman" w:cs="Times New Roman"/>
                <w:sz w:val="18"/>
                <w:szCs w:val="18"/>
                <w:lang w:eastAsia="en-IN"/>
              </w:rPr>
              <w:t>(d)</w:t>
            </w:r>
          </w:p>
        </w:tc>
        <w:tc>
          <w:tcPr>
            <w:tcW w:w="651" w:type="dxa"/>
            <w:tcBorders>
              <w:top w:val="nil"/>
              <w:left w:val="nil"/>
              <w:bottom w:val="single" w:sz="4" w:space="0" w:color="auto"/>
              <w:right w:val="single" w:sz="4" w:space="0" w:color="auto"/>
            </w:tcBorders>
            <w:noWrap/>
            <w:vAlign w:val="center"/>
            <w:hideMark/>
          </w:tcPr>
          <w:p w14:paraId="26EE9A70" w14:textId="77777777" w:rsidR="008000A7" w:rsidRPr="007315B3" w:rsidRDefault="008000A7" w:rsidP="00471458">
            <w:pPr>
              <w:pStyle w:val="NoSpacing"/>
              <w:jc w:val="center"/>
              <w:rPr>
                <w:rFonts w:ascii="Times New Roman" w:hAnsi="Times New Roman" w:cs="Times New Roman"/>
                <w:sz w:val="18"/>
                <w:szCs w:val="18"/>
                <w:lang w:eastAsia="en-IN"/>
              </w:rPr>
            </w:pPr>
            <w:r w:rsidRPr="007315B3">
              <w:rPr>
                <w:rFonts w:ascii="Times New Roman" w:hAnsi="Times New Roman" w:cs="Times New Roman"/>
                <w:sz w:val="18"/>
                <w:szCs w:val="18"/>
                <w:lang w:eastAsia="en-IN"/>
              </w:rPr>
              <w:t>..</w:t>
            </w:r>
          </w:p>
        </w:tc>
        <w:tc>
          <w:tcPr>
            <w:tcW w:w="651" w:type="dxa"/>
            <w:tcBorders>
              <w:top w:val="nil"/>
              <w:left w:val="nil"/>
              <w:bottom w:val="single" w:sz="4" w:space="0" w:color="auto"/>
              <w:right w:val="single" w:sz="4" w:space="0" w:color="auto"/>
            </w:tcBorders>
            <w:noWrap/>
            <w:vAlign w:val="center"/>
            <w:hideMark/>
          </w:tcPr>
          <w:p w14:paraId="2AA76F24" w14:textId="60DA9D0F" w:rsidR="008000A7" w:rsidRPr="007315B3" w:rsidRDefault="00F8055F" w:rsidP="00471458">
            <w:pPr>
              <w:pStyle w:val="NoSpacing"/>
              <w:jc w:val="center"/>
              <w:rPr>
                <w:rFonts w:ascii="Times New Roman" w:hAnsi="Times New Roman" w:cs="Times New Roman"/>
                <w:sz w:val="18"/>
                <w:szCs w:val="18"/>
                <w:lang w:eastAsia="en-IN"/>
              </w:rPr>
            </w:pPr>
            <w:r>
              <w:rPr>
                <w:rFonts w:ascii="Times New Roman" w:hAnsi="Times New Roman" w:cs="Times New Roman"/>
                <w:sz w:val="18"/>
                <w:szCs w:val="18"/>
                <w:lang w:eastAsia="en-IN"/>
              </w:rPr>
              <w:t>+</w:t>
            </w:r>
            <w:r w:rsidR="008000A7" w:rsidRPr="007315B3">
              <w:rPr>
                <w:rFonts w:ascii="Times New Roman" w:hAnsi="Times New Roman" w:cs="Times New Roman"/>
                <w:sz w:val="18"/>
                <w:szCs w:val="18"/>
                <w:lang w:eastAsia="en-IN"/>
              </w:rPr>
              <w:t>0.04</w:t>
            </w:r>
          </w:p>
        </w:tc>
        <w:tc>
          <w:tcPr>
            <w:tcW w:w="651" w:type="dxa"/>
            <w:tcBorders>
              <w:top w:val="nil"/>
              <w:left w:val="nil"/>
              <w:bottom w:val="single" w:sz="4" w:space="0" w:color="auto"/>
              <w:right w:val="single" w:sz="4" w:space="0" w:color="auto"/>
            </w:tcBorders>
            <w:noWrap/>
            <w:vAlign w:val="center"/>
            <w:hideMark/>
          </w:tcPr>
          <w:p w14:paraId="745F713F" w14:textId="77777777" w:rsidR="008000A7" w:rsidRPr="007315B3" w:rsidRDefault="008000A7" w:rsidP="00471458">
            <w:pPr>
              <w:pStyle w:val="NoSpacing"/>
              <w:jc w:val="center"/>
              <w:rPr>
                <w:rFonts w:ascii="Times New Roman" w:hAnsi="Times New Roman" w:cs="Times New Roman"/>
                <w:sz w:val="18"/>
                <w:szCs w:val="18"/>
                <w:lang w:eastAsia="en-IN"/>
              </w:rPr>
            </w:pPr>
            <w:r w:rsidRPr="007315B3">
              <w:rPr>
                <w:rFonts w:ascii="Times New Roman" w:hAnsi="Times New Roman" w:cs="Times New Roman"/>
                <w:sz w:val="18"/>
                <w:szCs w:val="18"/>
                <w:lang w:eastAsia="en-IN"/>
              </w:rPr>
              <w:t>0.06</w:t>
            </w:r>
          </w:p>
        </w:tc>
        <w:tc>
          <w:tcPr>
            <w:tcW w:w="712" w:type="dxa"/>
            <w:tcBorders>
              <w:top w:val="nil"/>
              <w:left w:val="nil"/>
              <w:bottom w:val="single" w:sz="4" w:space="0" w:color="auto"/>
              <w:right w:val="single" w:sz="4" w:space="0" w:color="auto"/>
            </w:tcBorders>
            <w:noWrap/>
            <w:vAlign w:val="center"/>
            <w:hideMark/>
          </w:tcPr>
          <w:p w14:paraId="0C886E6F" w14:textId="3473F10F" w:rsidR="008000A7" w:rsidRPr="007315B3" w:rsidRDefault="008000A7" w:rsidP="00471458">
            <w:pPr>
              <w:pStyle w:val="NoSpacing"/>
              <w:jc w:val="center"/>
              <w:rPr>
                <w:rFonts w:ascii="Times New Roman" w:hAnsi="Times New Roman" w:cs="Times New Roman"/>
                <w:sz w:val="18"/>
                <w:szCs w:val="18"/>
                <w:lang w:eastAsia="en-IN"/>
              </w:rPr>
            </w:pPr>
            <w:r w:rsidRPr="007315B3">
              <w:rPr>
                <w:rFonts w:ascii="Times New Roman" w:hAnsi="Times New Roman" w:cs="Times New Roman"/>
                <w:sz w:val="18"/>
                <w:szCs w:val="18"/>
                <w:lang w:eastAsia="en-IN"/>
              </w:rPr>
              <w:t>0.17</w:t>
            </w:r>
            <w:r w:rsidR="00537910">
              <w:rPr>
                <w:rFonts w:ascii="Times New Roman" w:hAnsi="Times New Roman" w:cs="Times New Roman"/>
                <w:sz w:val="18"/>
                <w:szCs w:val="18"/>
                <w:lang w:eastAsia="en-IN"/>
              </w:rPr>
              <w:t xml:space="preserve"> </w:t>
            </w:r>
            <w:r w:rsidRPr="007315B3">
              <w:rPr>
                <w:rFonts w:ascii="Times New Roman" w:hAnsi="Times New Roman" w:cs="Times New Roman"/>
                <w:sz w:val="18"/>
                <w:szCs w:val="18"/>
                <w:lang w:eastAsia="en-IN"/>
              </w:rPr>
              <w:t>(d)</w:t>
            </w:r>
          </w:p>
        </w:tc>
        <w:tc>
          <w:tcPr>
            <w:tcW w:w="651" w:type="dxa"/>
            <w:tcBorders>
              <w:top w:val="nil"/>
              <w:left w:val="nil"/>
              <w:bottom w:val="single" w:sz="4" w:space="0" w:color="auto"/>
              <w:right w:val="single" w:sz="4" w:space="0" w:color="auto"/>
            </w:tcBorders>
            <w:noWrap/>
            <w:vAlign w:val="center"/>
            <w:hideMark/>
          </w:tcPr>
          <w:p w14:paraId="69014534" w14:textId="77777777" w:rsidR="008000A7" w:rsidRPr="007315B3" w:rsidRDefault="008000A7" w:rsidP="00471458">
            <w:pPr>
              <w:pStyle w:val="NoSpacing"/>
              <w:jc w:val="center"/>
              <w:rPr>
                <w:rFonts w:ascii="Times New Roman" w:hAnsi="Times New Roman" w:cs="Times New Roman"/>
                <w:sz w:val="18"/>
                <w:szCs w:val="18"/>
                <w:lang w:eastAsia="en-IN"/>
              </w:rPr>
            </w:pPr>
            <w:r w:rsidRPr="007315B3">
              <w:rPr>
                <w:rFonts w:ascii="Times New Roman" w:hAnsi="Times New Roman" w:cs="Times New Roman"/>
                <w:sz w:val="18"/>
                <w:szCs w:val="18"/>
                <w:lang w:eastAsia="en-IN"/>
              </w:rPr>
              <w:t>..</w:t>
            </w:r>
          </w:p>
        </w:tc>
        <w:tc>
          <w:tcPr>
            <w:tcW w:w="651" w:type="dxa"/>
            <w:tcBorders>
              <w:top w:val="nil"/>
              <w:left w:val="nil"/>
              <w:bottom w:val="single" w:sz="4" w:space="0" w:color="auto"/>
              <w:right w:val="single" w:sz="4" w:space="0" w:color="auto"/>
            </w:tcBorders>
            <w:noWrap/>
            <w:vAlign w:val="center"/>
            <w:hideMark/>
          </w:tcPr>
          <w:p w14:paraId="70C8D486" w14:textId="77777777" w:rsidR="008000A7" w:rsidRPr="007315B3" w:rsidRDefault="008000A7" w:rsidP="00471458">
            <w:pPr>
              <w:pStyle w:val="NoSpacing"/>
              <w:jc w:val="center"/>
              <w:rPr>
                <w:rFonts w:ascii="Times New Roman" w:hAnsi="Times New Roman" w:cs="Times New Roman"/>
                <w:sz w:val="18"/>
                <w:szCs w:val="18"/>
                <w:lang w:eastAsia="en-IN"/>
              </w:rPr>
            </w:pPr>
            <w:r w:rsidRPr="007315B3">
              <w:rPr>
                <w:rFonts w:ascii="Times New Roman" w:hAnsi="Times New Roman" w:cs="Times New Roman"/>
                <w:sz w:val="18"/>
                <w:szCs w:val="18"/>
                <w:lang w:eastAsia="en-IN"/>
              </w:rPr>
              <w:t>-0.11</w:t>
            </w:r>
          </w:p>
        </w:tc>
        <w:tc>
          <w:tcPr>
            <w:tcW w:w="651" w:type="dxa"/>
            <w:tcBorders>
              <w:top w:val="nil"/>
              <w:left w:val="nil"/>
              <w:bottom w:val="single" w:sz="4" w:space="0" w:color="auto"/>
              <w:right w:val="single" w:sz="4" w:space="0" w:color="auto"/>
            </w:tcBorders>
            <w:noWrap/>
            <w:vAlign w:val="center"/>
            <w:hideMark/>
          </w:tcPr>
          <w:p w14:paraId="638E0373" w14:textId="77777777" w:rsidR="008000A7" w:rsidRPr="007315B3" w:rsidRDefault="008000A7" w:rsidP="00471458">
            <w:pPr>
              <w:pStyle w:val="NoSpacing"/>
              <w:jc w:val="center"/>
              <w:rPr>
                <w:rFonts w:ascii="Times New Roman" w:hAnsi="Times New Roman" w:cs="Times New Roman"/>
                <w:sz w:val="18"/>
                <w:szCs w:val="18"/>
                <w:lang w:eastAsia="en-IN"/>
              </w:rPr>
            </w:pPr>
            <w:r w:rsidRPr="007315B3">
              <w:rPr>
                <w:rFonts w:ascii="Times New Roman" w:hAnsi="Times New Roman" w:cs="Times New Roman"/>
                <w:sz w:val="18"/>
                <w:szCs w:val="18"/>
                <w:lang w:eastAsia="en-IN"/>
              </w:rPr>
              <w:t>0.06</w:t>
            </w:r>
          </w:p>
        </w:tc>
        <w:tc>
          <w:tcPr>
            <w:tcW w:w="712" w:type="dxa"/>
            <w:tcBorders>
              <w:top w:val="nil"/>
              <w:left w:val="nil"/>
              <w:bottom w:val="single" w:sz="4" w:space="0" w:color="auto"/>
              <w:right w:val="single" w:sz="4" w:space="0" w:color="auto"/>
            </w:tcBorders>
            <w:noWrap/>
            <w:vAlign w:val="center"/>
            <w:hideMark/>
          </w:tcPr>
          <w:p w14:paraId="5A274CD6" w14:textId="77777777" w:rsidR="008000A7" w:rsidRPr="007315B3" w:rsidRDefault="008000A7" w:rsidP="00471458">
            <w:pPr>
              <w:pStyle w:val="NoSpacing"/>
              <w:jc w:val="center"/>
              <w:rPr>
                <w:rFonts w:ascii="Times New Roman" w:hAnsi="Times New Roman" w:cs="Times New Roman"/>
                <w:sz w:val="18"/>
                <w:szCs w:val="18"/>
                <w:lang w:eastAsia="en-IN"/>
              </w:rPr>
            </w:pPr>
            <w:r w:rsidRPr="007315B3">
              <w:rPr>
                <w:rFonts w:ascii="Times New Roman" w:hAnsi="Times New Roman" w:cs="Times New Roman"/>
                <w:sz w:val="18"/>
                <w:szCs w:val="18"/>
                <w:lang w:eastAsia="en-IN"/>
              </w:rPr>
              <w:t>0.15</w:t>
            </w:r>
          </w:p>
        </w:tc>
        <w:tc>
          <w:tcPr>
            <w:tcW w:w="651" w:type="dxa"/>
            <w:tcBorders>
              <w:top w:val="nil"/>
              <w:left w:val="nil"/>
              <w:bottom w:val="single" w:sz="4" w:space="0" w:color="auto"/>
              <w:right w:val="single" w:sz="4" w:space="0" w:color="auto"/>
            </w:tcBorders>
            <w:noWrap/>
            <w:vAlign w:val="center"/>
            <w:hideMark/>
          </w:tcPr>
          <w:p w14:paraId="30BB8376" w14:textId="77777777" w:rsidR="008000A7" w:rsidRPr="007315B3" w:rsidRDefault="008000A7" w:rsidP="00471458">
            <w:pPr>
              <w:pStyle w:val="NoSpacing"/>
              <w:jc w:val="center"/>
              <w:rPr>
                <w:rFonts w:ascii="Times New Roman" w:hAnsi="Times New Roman" w:cs="Times New Roman"/>
                <w:sz w:val="18"/>
                <w:szCs w:val="18"/>
                <w:lang w:eastAsia="en-IN"/>
              </w:rPr>
            </w:pPr>
            <w:r w:rsidRPr="007315B3">
              <w:rPr>
                <w:rFonts w:ascii="Times New Roman" w:hAnsi="Times New Roman" w:cs="Times New Roman"/>
                <w:sz w:val="18"/>
                <w:szCs w:val="18"/>
                <w:lang w:eastAsia="en-IN"/>
              </w:rPr>
              <w:t>0.02</w:t>
            </w:r>
          </w:p>
        </w:tc>
        <w:tc>
          <w:tcPr>
            <w:tcW w:w="935" w:type="dxa"/>
            <w:tcBorders>
              <w:top w:val="nil"/>
              <w:left w:val="nil"/>
              <w:bottom w:val="single" w:sz="4" w:space="0" w:color="auto"/>
              <w:right w:val="single" w:sz="4" w:space="0" w:color="auto"/>
            </w:tcBorders>
            <w:noWrap/>
            <w:vAlign w:val="center"/>
            <w:hideMark/>
          </w:tcPr>
          <w:p w14:paraId="24AF17EA" w14:textId="77777777" w:rsidR="008000A7" w:rsidRPr="007315B3" w:rsidRDefault="008000A7" w:rsidP="00471458">
            <w:pPr>
              <w:pStyle w:val="NoSpacing"/>
              <w:jc w:val="center"/>
              <w:rPr>
                <w:rFonts w:ascii="Times New Roman" w:hAnsi="Times New Roman" w:cs="Times New Roman"/>
                <w:sz w:val="18"/>
                <w:szCs w:val="18"/>
                <w:lang w:eastAsia="en-IN"/>
              </w:rPr>
            </w:pPr>
            <w:r w:rsidRPr="007315B3">
              <w:rPr>
                <w:rFonts w:ascii="Times New Roman" w:hAnsi="Times New Roman" w:cs="Times New Roman"/>
                <w:sz w:val="18"/>
                <w:szCs w:val="18"/>
                <w:lang w:eastAsia="en-IN"/>
              </w:rPr>
              <w:t>..</w:t>
            </w:r>
          </w:p>
        </w:tc>
        <w:tc>
          <w:tcPr>
            <w:tcW w:w="651" w:type="dxa"/>
            <w:tcBorders>
              <w:top w:val="nil"/>
              <w:left w:val="nil"/>
              <w:bottom w:val="single" w:sz="4" w:space="0" w:color="auto"/>
              <w:right w:val="single" w:sz="4" w:space="0" w:color="auto"/>
            </w:tcBorders>
            <w:noWrap/>
            <w:vAlign w:val="center"/>
            <w:hideMark/>
          </w:tcPr>
          <w:p w14:paraId="6C3541E0" w14:textId="77777777" w:rsidR="008000A7" w:rsidRPr="007315B3" w:rsidRDefault="008000A7" w:rsidP="00471458">
            <w:pPr>
              <w:pStyle w:val="NoSpacing"/>
              <w:jc w:val="center"/>
              <w:rPr>
                <w:rFonts w:ascii="Times New Roman" w:hAnsi="Times New Roman" w:cs="Times New Roman"/>
                <w:sz w:val="18"/>
                <w:szCs w:val="18"/>
                <w:lang w:eastAsia="en-IN"/>
              </w:rPr>
            </w:pPr>
            <w:r w:rsidRPr="007315B3">
              <w:rPr>
                <w:rFonts w:ascii="Times New Roman" w:hAnsi="Times New Roman" w:cs="Times New Roman"/>
                <w:sz w:val="18"/>
                <w:szCs w:val="18"/>
                <w:lang w:eastAsia="en-IN"/>
              </w:rPr>
              <w:t>-0.11</w:t>
            </w:r>
          </w:p>
        </w:tc>
        <w:tc>
          <w:tcPr>
            <w:tcW w:w="651" w:type="dxa"/>
            <w:tcBorders>
              <w:top w:val="nil"/>
              <w:left w:val="nil"/>
              <w:bottom w:val="single" w:sz="4" w:space="0" w:color="auto"/>
              <w:right w:val="single" w:sz="4" w:space="0" w:color="auto"/>
            </w:tcBorders>
            <w:noWrap/>
            <w:vAlign w:val="center"/>
            <w:hideMark/>
          </w:tcPr>
          <w:p w14:paraId="522D0E5B" w14:textId="77777777" w:rsidR="008000A7" w:rsidRPr="007315B3" w:rsidRDefault="008000A7" w:rsidP="00471458">
            <w:pPr>
              <w:pStyle w:val="NoSpacing"/>
              <w:jc w:val="center"/>
              <w:rPr>
                <w:rFonts w:ascii="Times New Roman" w:hAnsi="Times New Roman" w:cs="Times New Roman"/>
                <w:sz w:val="18"/>
                <w:szCs w:val="18"/>
                <w:lang w:eastAsia="en-IN"/>
              </w:rPr>
            </w:pPr>
            <w:r w:rsidRPr="007315B3">
              <w:rPr>
                <w:rFonts w:ascii="Times New Roman" w:hAnsi="Times New Roman" w:cs="Times New Roman"/>
                <w:sz w:val="18"/>
                <w:szCs w:val="18"/>
                <w:lang w:eastAsia="en-IN"/>
              </w:rPr>
              <w:t>0.09</w:t>
            </w:r>
          </w:p>
        </w:tc>
        <w:tc>
          <w:tcPr>
            <w:tcW w:w="712" w:type="dxa"/>
            <w:tcBorders>
              <w:top w:val="nil"/>
              <w:left w:val="nil"/>
              <w:bottom w:val="single" w:sz="4" w:space="0" w:color="auto"/>
              <w:right w:val="single" w:sz="4" w:space="0" w:color="auto"/>
            </w:tcBorders>
            <w:noWrap/>
            <w:vAlign w:val="center"/>
            <w:hideMark/>
          </w:tcPr>
          <w:p w14:paraId="258CAD20" w14:textId="77777777" w:rsidR="008000A7" w:rsidRPr="007315B3" w:rsidRDefault="008000A7" w:rsidP="00471458">
            <w:pPr>
              <w:pStyle w:val="NoSpacing"/>
              <w:jc w:val="center"/>
              <w:rPr>
                <w:rFonts w:ascii="Times New Roman" w:hAnsi="Times New Roman" w:cs="Times New Roman"/>
                <w:sz w:val="18"/>
                <w:szCs w:val="18"/>
                <w:lang w:eastAsia="en-IN"/>
              </w:rPr>
            </w:pPr>
            <w:r w:rsidRPr="007315B3">
              <w:rPr>
                <w:rFonts w:ascii="Times New Roman" w:hAnsi="Times New Roman" w:cs="Times New Roman"/>
                <w:sz w:val="18"/>
                <w:szCs w:val="18"/>
                <w:lang w:eastAsia="en-IN"/>
              </w:rPr>
              <w:t>0.23</w:t>
            </w:r>
          </w:p>
        </w:tc>
        <w:tc>
          <w:tcPr>
            <w:tcW w:w="651" w:type="dxa"/>
            <w:tcBorders>
              <w:top w:val="nil"/>
              <w:left w:val="nil"/>
              <w:bottom w:val="single" w:sz="4" w:space="0" w:color="auto"/>
              <w:right w:val="single" w:sz="4" w:space="0" w:color="auto"/>
            </w:tcBorders>
            <w:noWrap/>
            <w:vAlign w:val="center"/>
            <w:hideMark/>
          </w:tcPr>
          <w:p w14:paraId="20DA65F7" w14:textId="77777777" w:rsidR="008000A7" w:rsidRPr="007315B3" w:rsidRDefault="008000A7" w:rsidP="00471458">
            <w:pPr>
              <w:pStyle w:val="NoSpacing"/>
              <w:jc w:val="center"/>
              <w:rPr>
                <w:rFonts w:ascii="Times New Roman" w:hAnsi="Times New Roman" w:cs="Times New Roman"/>
                <w:sz w:val="18"/>
                <w:szCs w:val="18"/>
                <w:lang w:eastAsia="en-IN"/>
              </w:rPr>
            </w:pPr>
            <w:r w:rsidRPr="007315B3">
              <w:rPr>
                <w:rFonts w:ascii="Times New Roman" w:hAnsi="Times New Roman" w:cs="Times New Roman"/>
                <w:sz w:val="18"/>
                <w:szCs w:val="18"/>
                <w:lang w:eastAsia="en-IN"/>
              </w:rPr>
              <w:t>..</w:t>
            </w:r>
          </w:p>
        </w:tc>
        <w:tc>
          <w:tcPr>
            <w:tcW w:w="935" w:type="dxa"/>
            <w:tcBorders>
              <w:top w:val="nil"/>
              <w:left w:val="nil"/>
              <w:bottom w:val="single" w:sz="4" w:space="0" w:color="auto"/>
              <w:right w:val="single" w:sz="4" w:space="0" w:color="auto"/>
            </w:tcBorders>
            <w:noWrap/>
            <w:vAlign w:val="center"/>
            <w:hideMark/>
          </w:tcPr>
          <w:p w14:paraId="75867730" w14:textId="77777777" w:rsidR="008000A7" w:rsidRPr="007315B3" w:rsidRDefault="008000A7" w:rsidP="00471458">
            <w:pPr>
              <w:pStyle w:val="NoSpacing"/>
              <w:jc w:val="center"/>
              <w:rPr>
                <w:rFonts w:ascii="Times New Roman" w:hAnsi="Times New Roman" w:cs="Times New Roman"/>
                <w:sz w:val="18"/>
                <w:szCs w:val="18"/>
                <w:lang w:eastAsia="en-IN"/>
              </w:rPr>
            </w:pPr>
            <w:r w:rsidRPr="007315B3">
              <w:rPr>
                <w:rFonts w:ascii="Times New Roman" w:hAnsi="Times New Roman" w:cs="Times New Roman"/>
                <w:sz w:val="18"/>
                <w:szCs w:val="18"/>
                <w:lang w:eastAsia="en-IN"/>
              </w:rPr>
              <w:t>..</w:t>
            </w:r>
          </w:p>
        </w:tc>
        <w:tc>
          <w:tcPr>
            <w:tcW w:w="651" w:type="dxa"/>
            <w:tcBorders>
              <w:top w:val="nil"/>
              <w:left w:val="nil"/>
              <w:bottom w:val="single" w:sz="4" w:space="0" w:color="auto"/>
              <w:right w:val="single" w:sz="4" w:space="0" w:color="auto"/>
            </w:tcBorders>
            <w:noWrap/>
            <w:vAlign w:val="center"/>
            <w:hideMark/>
          </w:tcPr>
          <w:p w14:paraId="42977110" w14:textId="77777777" w:rsidR="008000A7" w:rsidRPr="007315B3" w:rsidRDefault="008000A7" w:rsidP="00471458">
            <w:pPr>
              <w:pStyle w:val="NoSpacing"/>
              <w:jc w:val="center"/>
              <w:rPr>
                <w:rFonts w:ascii="Times New Roman" w:hAnsi="Times New Roman" w:cs="Times New Roman"/>
                <w:sz w:val="18"/>
                <w:szCs w:val="18"/>
                <w:lang w:eastAsia="en-IN"/>
              </w:rPr>
            </w:pPr>
            <w:r w:rsidRPr="007315B3">
              <w:rPr>
                <w:rFonts w:ascii="Times New Roman" w:hAnsi="Times New Roman" w:cs="Times New Roman"/>
                <w:sz w:val="18"/>
                <w:szCs w:val="18"/>
                <w:lang w:eastAsia="en-IN"/>
              </w:rPr>
              <w:t>-0.14</w:t>
            </w:r>
          </w:p>
        </w:tc>
      </w:tr>
      <w:tr w:rsidR="008000A7" w:rsidRPr="007315B3" w14:paraId="3CFD9BFD" w14:textId="77777777" w:rsidTr="00537910">
        <w:trPr>
          <w:trHeight w:val="65"/>
          <w:jc w:val="center"/>
        </w:trPr>
        <w:tc>
          <w:tcPr>
            <w:tcW w:w="870" w:type="dxa"/>
            <w:tcBorders>
              <w:top w:val="nil"/>
              <w:left w:val="single" w:sz="4" w:space="0" w:color="auto"/>
              <w:bottom w:val="single" w:sz="4" w:space="0" w:color="auto"/>
              <w:right w:val="single" w:sz="4" w:space="0" w:color="auto"/>
            </w:tcBorders>
            <w:noWrap/>
            <w:vAlign w:val="bottom"/>
            <w:hideMark/>
          </w:tcPr>
          <w:p w14:paraId="168A14EF" w14:textId="77777777" w:rsidR="008000A7" w:rsidRPr="007315B3" w:rsidRDefault="008000A7" w:rsidP="00B77C0B">
            <w:pPr>
              <w:pStyle w:val="NoSpacing"/>
              <w:rPr>
                <w:rFonts w:ascii="Times New Roman" w:hAnsi="Times New Roman" w:cs="Times New Roman"/>
                <w:sz w:val="18"/>
                <w:szCs w:val="18"/>
                <w:lang w:eastAsia="en-IN"/>
              </w:rPr>
            </w:pPr>
            <w:r w:rsidRPr="007315B3">
              <w:rPr>
                <w:rFonts w:ascii="Times New Roman" w:hAnsi="Times New Roman" w:cs="Times New Roman"/>
                <w:sz w:val="18"/>
                <w:szCs w:val="18"/>
                <w:lang w:eastAsia="en-IN"/>
              </w:rPr>
              <w:t>Orissa</w:t>
            </w:r>
          </w:p>
        </w:tc>
        <w:tc>
          <w:tcPr>
            <w:tcW w:w="650" w:type="dxa"/>
            <w:tcBorders>
              <w:top w:val="nil"/>
              <w:left w:val="nil"/>
              <w:bottom w:val="single" w:sz="4" w:space="0" w:color="auto"/>
              <w:right w:val="single" w:sz="4" w:space="0" w:color="auto"/>
            </w:tcBorders>
            <w:noWrap/>
            <w:vAlign w:val="center"/>
            <w:hideMark/>
          </w:tcPr>
          <w:p w14:paraId="4A51CA8C" w14:textId="77777777" w:rsidR="008000A7" w:rsidRPr="007315B3" w:rsidRDefault="008000A7" w:rsidP="00471458">
            <w:pPr>
              <w:pStyle w:val="NoSpacing"/>
              <w:jc w:val="center"/>
              <w:rPr>
                <w:rFonts w:ascii="Times New Roman" w:hAnsi="Times New Roman" w:cs="Times New Roman"/>
                <w:sz w:val="18"/>
                <w:szCs w:val="18"/>
                <w:lang w:eastAsia="en-IN"/>
              </w:rPr>
            </w:pPr>
            <w:r w:rsidRPr="007315B3">
              <w:rPr>
                <w:rFonts w:ascii="Times New Roman" w:hAnsi="Times New Roman" w:cs="Times New Roman"/>
                <w:sz w:val="18"/>
                <w:szCs w:val="18"/>
                <w:lang w:eastAsia="en-IN"/>
              </w:rPr>
              <w:t>1.59</w:t>
            </w:r>
          </w:p>
        </w:tc>
        <w:tc>
          <w:tcPr>
            <w:tcW w:w="711" w:type="dxa"/>
            <w:tcBorders>
              <w:top w:val="nil"/>
              <w:left w:val="nil"/>
              <w:bottom w:val="single" w:sz="4" w:space="0" w:color="auto"/>
              <w:right w:val="single" w:sz="4" w:space="0" w:color="auto"/>
            </w:tcBorders>
            <w:noWrap/>
            <w:vAlign w:val="center"/>
            <w:hideMark/>
          </w:tcPr>
          <w:p w14:paraId="3ED43FC4" w14:textId="77777777" w:rsidR="008000A7" w:rsidRPr="007315B3" w:rsidRDefault="008000A7" w:rsidP="00471458">
            <w:pPr>
              <w:pStyle w:val="NoSpacing"/>
              <w:jc w:val="center"/>
              <w:rPr>
                <w:rFonts w:ascii="Times New Roman" w:hAnsi="Times New Roman" w:cs="Times New Roman"/>
                <w:sz w:val="18"/>
                <w:szCs w:val="18"/>
                <w:lang w:eastAsia="en-IN"/>
              </w:rPr>
            </w:pPr>
            <w:r w:rsidRPr="007315B3">
              <w:rPr>
                <w:rFonts w:ascii="Times New Roman" w:hAnsi="Times New Roman" w:cs="Times New Roman"/>
                <w:sz w:val="18"/>
                <w:szCs w:val="18"/>
                <w:lang w:eastAsia="en-IN"/>
              </w:rPr>
              <w:t>0.67(a)</w:t>
            </w:r>
          </w:p>
        </w:tc>
        <w:tc>
          <w:tcPr>
            <w:tcW w:w="651" w:type="dxa"/>
            <w:tcBorders>
              <w:top w:val="nil"/>
              <w:left w:val="nil"/>
              <w:bottom w:val="single" w:sz="4" w:space="0" w:color="auto"/>
              <w:right w:val="single" w:sz="4" w:space="0" w:color="auto"/>
            </w:tcBorders>
            <w:noWrap/>
            <w:vAlign w:val="center"/>
            <w:hideMark/>
          </w:tcPr>
          <w:p w14:paraId="6F9F130C" w14:textId="77777777" w:rsidR="008000A7" w:rsidRPr="007315B3" w:rsidRDefault="008000A7" w:rsidP="00471458">
            <w:pPr>
              <w:pStyle w:val="NoSpacing"/>
              <w:jc w:val="center"/>
              <w:rPr>
                <w:rFonts w:ascii="Times New Roman" w:hAnsi="Times New Roman" w:cs="Times New Roman"/>
                <w:sz w:val="18"/>
                <w:szCs w:val="18"/>
                <w:lang w:eastAsia="en-IN"/>
              </w:rPr>
            </w:pPr>
            <w:r w:rsidRPr="007315B3">
              <w:rPr>
                <w:rFonts w:ascii="Times New Roman" w:hAnsi="Times New Roman" w:cs="Times New Roman"/>
                <w:sz w:val="18"/>
                <w:szCs w:val="18"/>
                <w:lang w:eastAsia="en-IN"/>
              </w:rPr>
              <w:t>1.23</w:t>
            </w:r>
          </w:p>
        </w:tc>
        <w:tc>
          <w:tcPr>
            <w:tcW w:w="651" w:type="dxa"/>
            <w:tcBorders>
              <w:top w:val="nil"/>
              <w:left w:val="nil"/>
              <w:bottom w:val="single" w:sz="4" w:space="0" w:color="auto"/>
              <w:right w:val="single" w:sz="4" w:space="0" w:color="auto"/>
            </w:tcBorders>
            <w:noWrap/>
            <w:vAlign w:val="center"/>
            <w:hideMark/>
          </w:tcPr>
          <w:p w14:paraId="44AAB330" w14:textId="77777777" w:rsidR="008000A7" w:rsidRPr="007315B3" w:rsidRDefault="008000A7" w:rsidP="00471458">
            <w:pPr>
              <w:pStyle w:val="NoSpacing"/>
              <w:jc w:val="center"/>
              <w:rPr>
                <w:rFonts w:ascii="Times New Roman" w:hAnsi="Times New Roman" w:cs="Times New Roman"/>
                <w:sz w:val="18"/>
                <w:szCs w:val="18"/>
                <w:lang w:eastAsia="en-IN"/>
              </w:rPr>
            </w:pPr>
            <w:r w:rsidRPr="007315B3">
              <w:rPr>
                <w:rFonts w:ascii="Times New Roman" w:hAnsi="Times New Roman" w:cs="Times New Roman"/>
                <w:sz w:val="18"/>
                <w:szCs w:val="18"/>
                <w:lang w:eastAsia="en-IN"/>
              </w:rPr>
              <w:t>-0.31</w:t>
            </w:r>
          </w:p>
        </w:tc>
        <w:tc>
          <w:tcPr>
            <w:tcW w:w="651" w:type="dxa"/>
            <w:tcBorders>
              <w:top w:val="nil"/>
              <w:left w:val="nil"/>
              <w:bottom w:val="single" w:sz="4" w:space="0" w:color="auto"/>
              <w:right w:val="single" w:sz="4" w:space="0" w:color="auto"/>
            </w:tcBorders>
            <w:noWrap/>
            <w:vAlign w:val="center"/>
            <w:hideMark/>
          </w:tcPr>
          <w:p w14:paraId="63A90DC7" w14:textId="77777777" w:rsidR="008000A7" w:rsidRPr="007315B3" w:rsidRDefault="008000A7" w:rsidP="00471458">
            <w:pPr>
              <w:pStyle w:val="NoSpacing"/>
              <w:jc w:val="center"/>
              <w:rPr>
                <w:rFonts w:ascii="Times New Roman" w:hAnsi="Times New Roman" w:cs="Times New Roman"/>
                <w:sz w:val="18"/>
                <w:szCs w:val="18"/>
                <w:lang w:eastAsia="en-IN"/>
              </w:rPr>
            </w:pPr>
            <w:r w:rsidRPr="007315B3">
              <w:rPr>
                <w:rFonts w:ascii="Times New Roman" w:hAnsi="Times New Roman" w:cs="Times New Roman"/>
                <w:sz w:val="18"/>
                <w:szCs w:val="18"/>
                <w:lang w:eastAsia="en-IN"/>
              </w:rPr>
              <w:t>0.84</w:t>
            </w:r>
          </w:p>
        </w:tc>
        <w:tc>
          <w:tcPr>
            <w:tcW w:w="712" w:type="dxa"/>
            <w:tcBorders>
              <w:top w:val="nil"/>
              <w:left w:val="nil"/>
              <w:bottom w:val="single" w:sz="4" w:space="0" w:color="auto"/>
              <w:right w:val="single" w:sz="4" w:space="0" w:color="auto"/>
            </w:tcBorders>
            <w:noWrap/>
            <w:vAlign w:val="center"/>
            <w:hideMark/>
          </w:tcPr>
          <w:p w14:paraId="67828739" w14:textId="40D55DDF" w:rsidR="008000A7" w:rsidRPr="007315B3" w:rsidRDefault="008000A7" w:rsidP="00471458">
            <w:pPr>
              <w:pStyle w:val="NoSpacing"/>
              <w:jc w:val="center"/>
              <w:rPr>
                <w:rFonts w:ascii="Times New Roman" w:hAnsi="Times New Roman" w:cs="Times New Roman"/>
                <w:sz w:val="18"/>
                <w:szCs w:val="18"/>
                <w:lang w:eastAsia="en-IN"/>
              </w:rPr>
            </w:pPr>
            <w:r w:rsidRPr="007315B3">
              <w:rPr>
                <w:rFonts w:ascii="Times New Roman" w:hAnsi="Times New Roman" w:cs="Times New Roman"/>
                <w:sz w:val="18"/>
                <w:szCs w:val="18"/>
                <w:lang w:eastAsia="en-IN"/>
              </w:rPr>
              <w:t>0.32</w:t>
            </w:r>
            <w:r w:rsidR="00537910">
              <w:rPr>
                <w:rFonts w:ascii="Times New Roman" w:hAnsi="Times New Roman" w:cs="Times New Roman"/>
                <w:sz w:val="18"/>
                <w:szCs w:val="18"/>
                <w:lang w:eastAsia="en-IN"/>
              </w:rPr>
              <w:t xml:space="preserve"> </w:t>
            </w:r>
            <w:r w:rsidRPr="007315B3">
              <w:rPr>
                <w:rFonts w:ascii="Times New Roman" w:hAnsi="Times New Roman" w:cs="Times New Roman"/>
                <w:sz w:val="18"/>
                <w:szCs w:val="18"/>
                <w:lang w:eastAsia="en-IN"/>
              </w:rPr>
              <w:t>(a)</w:t>
            </w:r>
          </w:p>
        </w:tc>
        <w:tc>
          <w:tcPr>
            <w:tcW w:w="651" w:type="dxa"/>
            <w:tcBorders>
              <w:top w:val="nil"/>
              <w:left w:val="nil"/>
              <w:bottom w:val="single" w:sz="4" w:space="0" w:color="auto"/>
              <w:right w:val="single" w:sz="4" w:space="0" w:color="auto"/>
            </w:tcBorders>
            <w:noWrap/>
            <w:vAlign w:val="center"/>
            <w:hideMark/>
          </w:tcPr>
          <w:p w14:paraId="158A802F" w14:textId="77777777" w:rsidR="008000A7" w:rsidRPr="007315B3" w:rsidRDefault="008000A7" w:rsidP="00471458">
            <w:pPr>
              <w:pStyle w:val="NoSpacing"/>
              <w:jc w:val="center"/>
              <w:rPr>
                <w:rFonts w:ascii="Times New Roman" w:hAnsi="Times New Roman" w:cs="Times New Roman"/>
                <w:sz w:val="18"/>
                <w:szCs w:val="18"/>
                <w:lang w:eastAsia="en-IN"/>
              </w:rPr>
            </w:pPr>
            <w:r w:rsidRPr="007315B3">
              <w:rPr>
                <w:rFonts w:ascii="Times New Roman" w:hAnsi="Times New Roman" w:cs="Times New Roman"/>
                <w:sz w:val="18"/>
                <w:szCs w:val="18"/>
                <w:lang w:eastAsia="en-IN"/>
              </w:rPr>
              <w:t>1.44</w:t>
            </w:r>
          </w:p>
        </w:tc>
        <w:tc>
          <w:tcPr>
            <w:tcW w:w="651" w:type="dxa"/>
            <w:tcBorders>
              <w:top w:val="nil"/>
              <w:left w:val="nil"/>
              <w:bottom w:val="single" w:sz="4" w:space="0" w:color="auto"/>
              <w:right w:val="single" w:sz="4" w:space="0" w:color="auto"/>
            </w:tcBorders>
            <w:noWrap/>
            <w:vAlign w:val="center"/>
            <w:hideMark/>
          </w:tcPr>
          <w:p w14:paraId="7D6442D1" w14:textId="77777777" w:rsidR="008000A7" w:rsidRPr="007315B3" w:rsidRDefault="008000A7" w:rsidP="00471458">
            <w:pPr>
              <w:pStyle w:val="NoSpacing"/>
              <w:jc w:val="center"/>
              <w:rPr>
                <w:rFonts w:ascii="Times New Roman" w:hAnsi="Times New Roman" w:cs="Times New Roman"/>
                <w:sz w:val="18"/>
                <w:szCs w:val="18"/>
                <w:lang w:eastAsia="en-IN"/>
              </w:rPr>
            </w:pPr>
            <w:r w:rsidRPr="007315B3">
              <w:rPr>
                <w:rFonts w:ascii="Times New Roman" w:hAnsi="Times New Roman" w:cs="Times New Roman"/>
                <w:sz w:val="18"/>
                <w:szCs w:val="18"/>
                <w:lang w:eastAsia="en-IN"/>
              </w:rPr>
              <w:t>-0.92</w:t>
            </w:r>
          </w:p>
        </w:tc>
        <w:tc>
          <w:tcPr>
            <w:tcW w:w="651" w:type="dxa"/>
            <w:tcBorders>
              <w:top w:val="nil"/>
              <w:left w:val="nil"/>
              <w:bottom w:val="single" w:sz="4" w:space="0" w:color="auto"/>
              <w:right w:val="single" w:sz="4" w:space="0" w:color="auto"/>
            </w:tcBorders>
            <w:noWrap/>
            <w:vAlign w:val="center"/>
            <w:hideMark/>
          </w:tcPr>
          <w:p w14:paraId="0A645187" w14:textId="77777777" w:rsidR="008000A7" w:rsidRPr="007315B3" w:rsidRDefault="008000A7" w:rsidP="00471458">
            <w:pPr>
              <w:pStyle w:val="NoSpacing"/>
              <w:jc w:val="center"/>
              <w:rPr>
                <w:rFonts w:ascii="Times New Roman" w:hAnsi="Times New Roman" w:cs="Times New Roman"/>
                <w:sz w:val="18"/>
                <w:szCs w:val="18"/>
                <w:lang w:eastAsia="en-IN"/>
              </w:rPr>
            </w:pPr>
            <w:r w:rsidRPr="007315B3">
              <w:rPr>
                <w:rFonts w:ascii="Times New Roman" w:hAnsi="Times New Roman" w:cs="Times New Roman"/>
                <w:sz w:val="18"/>
                <w:szCs w:val="18"/>
                <w:lang w:eastAsia="en-IN"/>
              </w:rPr>
              <w:t>0.48</w:t>
            </w:r>
          </w:p>
        </w:tc>
        <w:tc>
          <w:tcPr>
            <w:tcW w:w="712" w:type="dxa"/>
            <w:tcBorders>
              <w:top w:val="nil"/>
              <w:left w:val="nil"/>
              <w:bottom w:val="single" w:sz="4" w:space="0" w:color="auto"/>
              <w:right w:val="single" w:sz="4" w:space="0" w:color="auto"/>
            </w:tcBorders>
            <w:noWrap/>
            <w:vAlign w:val="center"/>
            <w:hideMark/>
          </w:tcPr>
          <w:p w14:paraId="4598566C" w14:textId="547F0036" w:rsidR="008000A7" w:rsidRPr="007315B3" w:rsidRDefault="008000A7" w:rsidP="00471458">
            <w:pPr>
              <w:pStyle w:val="NoSpacing"/>
              <w:jc w:val="center"/>
              <w:rPr>
                <w:rFonts w:ascii="Times New Roman" w:hAnsi="Times New Roman" w:cs="Times New Roman"/>
                <w:sz w:val="18"/>
                <w:szCs w:val="18"/>
                <w:lang w:eastAsia="en-IN"/>
              </w:rPr>
            </w:pPr>
            <w:r w:rsidRPr="007315B3">
              <w:rPr>
                <w:rFonts w:ascii="Times New Roman" w:hAnsi="Times New Roman" w:cs="Times New Roman"/>
                <w:sz w:val="18"/>
                <w:szCs w:val="18"/>
                <w:lang w:eastAsia="en-IN"/>
              </w:rPr>
              <w:t>0.11</w:t>
            </w:r>
            <w:r w:rsidR="00537910">
              <w:rPr>
                <w:rFonts w:ascii="Times New Roman" w:hAnsi="Times New Roman" w:cs="Times New Roman"/>
                <w:sz w:val="18"/>
                <w:szCs w:val="18"/>
                <w:lang w:eastAsia="en-IN"/>
              </w:rPr>
              <w:t xml:space="preserve"> </w:t>
            </w:r>
            <w:r w:rsidRPr="007315B3">
              <w:rPr>
                <w:rFonts w:ascii="Times New Roman" w:hAnsi="Times New Roman" w:cs="Times New Roman"/>
                <w:sz w:val="18"/>
                <w:szCs w:val="18"/>
                <w:lang w:eastAsia="en-IN"/>
              </w:rPr>
              <w:t>(a)</w:t>
            </w:r>
          </w:p>
        </w:tc>
        <w:tc>
          <w:tcPr>
            <w:tcW w:w="651" w:type="dxa"/>
            <w:tcBorders>
              <w:top w:val="nil"/>
              <w:left w:val="nil"/>
              <w:bottom w:val="single" w:sz="4" w:space="0" w:color="auto"/>
              <w:right w:val="single" w:sz="4" w:space="0" w:color="auto"/>
            </w:tcBorders>
            <w:noWrap/>
            <w:vAlign w:val="center"/>
            <w:hideMark/>
          </w:tcPr>
          <w:p w14:paraId="003857C9" w14:textId="77777777" w:rsidR="008000A7" w:rsidRPr="007315B3" w:rsidRDefault="008000A7" w:rsidP="00471458">
            <w:pPr>
              <w:pStyle w:val="NoSpacing"/>
              <w:jc w:val="center"/>
              <w:rPr>
                <w:rFonts w:ascii="Times New Roman" w:hAnsi="Times New Roman" w:cs="Times New Roman"/>
                <w:sz w:val="18"/>
                <w:szCs w:val="18"/>
                <w:lang w:eastAsia="en-IN"/>
              </w:rPr>
            </w:pPr>
            <w:r w:rsidRPr="007315B3">
              <w:rPr>
                <w:rFonts w:ascii="Times New Roman" w:hAnsi="Times New Roman" w:cs="Times New Roman"/>
                <w:sz w:val="18"/>
                <w:szCs w:val="18"/>
                <w:lang w:eastAsia="en-IN"/>
              </w:rPr>
              <w:t>2.09</w:t>
            </w:r>
          </w:p>
        </w:tc>
        <w:tc>
          <w:tcPr>
            <w:tcW w:w="935" w:type="dxa"/>
            <w:tcBorders>
              <w:top w:val="nil"/>
              <w:left w:val="nil"/>
              <w:bottom w:val="single" w:sz="4" w:space="0" w:color="auto"/>
              <w:right w:val="single" w:sz="4" w:space="0" w:color="auto"/>
            </w:tcBorders>
            <w:noWrap/>
            <w:vAlign w:val="center"/>
            <w:hideMark/>
          </w:tcPr>
          <w:p w14:paraId="0C8C78BD" w14:textId="77777777" w:rsidR="008000A7" w:rsidRPr="007315B3" w:rsidRDefault="008000A7" w:rsidP="00471458">
            <w:pPr>
              <w:pStyle w:val="NoSpacing"/>
              <w:jc w:val="center"/>
              <w:rPr>
                <w:rFonts w:ascii="Times New Roman" w:hAnsi="Times New Roman" w:cs="Times New Roman"/>
                <w:sz w:val="18"/>
                <w:szCs w:val="18"/>
                <w:lang w:eastAsia="en-IN"/>
              </w:rPr>
            </w:pPr>
            <w:r w:rsidRPr="007315B3">
              <w:rPr>
                <w:rFonts w:ascii="Times New Roman" w:hAnsi="Times New Roman" w:cs="Times New Roman"/>
                <w:sz w:val="18"/>
                <w:szCs w:val="18"/>
                <w:lang w:eastAsia="en-IN"/>
              </w:rPr>
              <w:t>..</w:t>
            </w:r>
          </w:p>
        </w:tc>
        <w:tc>
          <w:tcPr>
            <w:tcW w:w="651" w:type="dxa"/>
            <w:tcBorders>
              <w:top w:val="nil"/>
              <w:left w:val="nil"/>
              <w:bottom w:val="single" w:sz="4" w:space="0" w:color="auto"/>
              <w:right w:val="single" w:sz="4" w:space="0" w:color="auto"/>
            </w:tcBorders>
            <w:noWrap/>
            <w:vAlign w:val="center"/>
            <w:hideMark/>
          </w:tcPr>
          <w:p w14:paraId="04009F6A" w14:textId="77777777" w:rsidR="008000A7" w:rsidRPr="007315B3" w:rsidRDefault="008000A7" w:rsidP="00471458">
            <w:pPr>
              <w:pStyle w:val="NoSpacing"/>
              <w:jc w:val="center"/>
              <w:rPr>
                <w:rFonts w:ascii="Times New Roman" w:hAnsi="Times New Roman" w:cs="Times New Roman"/>
                <w:sz w:val="18"/>
                <w:szCs w:val="18"/>
                <w:lang w:eastAsia="en-IN"/>
              </w:rPr>
            </w:pPr>
            <w:r w:rsidRPr="007315B3">
              <w:rPr>
                <w:rFonts w:ascii="Times New Roman" w:hAnsi="Times New Roman" w:cs="Times New Roman"/>
                <w:sz w:val="18"/>
                <w:szCs w:val="18"/>
                <w:lang w:eastAsia="en-IN"/>
              </w:rPr>
              <w:t>-1.72</w:t>
            </w:r>
          </w:p>
        </w:tc>
        <w:tc>
          <w:tcPr>
            <w:tcW w:w="651" w:type="dxa"/>
            <w:tcBorders>
              <w:top w:val="nil"/>
              <w:left w:val="nil"/>
              <w:bottom w:val="single" w:sz="4" w:space="0" w:color="auto"/>
              <w:right w:val="single" w:sz="4" w:space="0" w:color="auto"/>
            </w:tcBorders>
            <w:noWrap/>
            <w:vAlign w:val="center"/>
            <w:hideMark/>
          </w:tcPr>
          <w:p w14:paraId="26F06291" w14:textId="77777777" w:rsidR="008000A7" w:rsidRPr="007315B3" w:rsidRDefault="008000A7" w:rsidP="00471458">
            <w:pPr>
              <w:pStyle w:val="NoSpacing"/>
              <w:jc w:val="center"/>
              <w:rPr>
                <w:rFonts w:ascii="Times New Roman" w:hAnsi="Times New Roman" w:cs="Times New Roman"/>
                <w:sz w:val="18"/>
                <w:szCs w:val="18"/>
                <w:lang w:eastAsia="en-IN"/>
              </w:rPr>
            </w:pPr>
            <w:r w:rsidRPr="007315B3">
              <w:rPr>
                <w:rFonts w:ascii="Times New Roman" w:hAnsi="Times New Roman" w:cs="Times New Roman"/>
                <w:sz w:val="18"/>
                <w:szCs w:val="18"/>
                <w:lang w:eastAsia="en-IN"/>
              </w:rPr>
              <w:t>1.01</w:t>
            </w:r>
          </w:p>
        </w:tc>
        <w:tc>
          <w:tcPr>
            <w:tcW w:w="712" w:type="dxa"/>
            <w:tcBorders>
              <w:top w:val="nil"/>
              <w:left w:val="nil"/>
              <w:bottom w:val="single" w:sz="4" w:space="0" w:color="auto"/>
              <w:right w:val="single" w:sz="4" w:space="0" w:color="auto"/>
            </w:tcBorders>
            <w:noWrap/>
            <w:vAlign w:val="center"/>
            <w:hideMark/>
          </w:tcPr>
          <w:p w14:paraId="6F0220AE" w14:textId="77777777" w:rsidR="008000A7" w:rsidRPr="007315B3" w:rsidRDefault="008000A7" w:rsidP="00471458">
            <w:pPr>
              <w:pStyle w:val="NoSpacing"/>
              <w:jc w:val="center"/>
              <w:rPr>
                <w:rFonts w:ascii="Times New Roman" w:hAnsi="Times New Roman" w:cs="Times New Roman"/>
                <w:sz w:val="18"/>
                <w:szCs w:val="18"/>
                <w:lang w:eastAsia="en-IN"/>
              </w:rPr>
            </w:pPr>
            <w:r w:rsidRPr="007315B3">
              <w:rPr>
                <w:rFonts w:ascii="Times New Roman" w:hAnsi="Times New Roman" w:cs="Times New Roman"/>
                <w:sz w:val="18"/>
                <w:szCs w:val="18"/>
                <w:lang w:eastAsia="en-IN"/>
              </w:rPr>
              <w:t>1.42</w:t>
            </w:r>
          </w:p>
        </w:tc>
        <w:tc>
          <w:tcPr>
            <w:tcW w:w="651" w:type="dxa"/>
            <w:tcBorders>
              <w:top w:val="nil"/>
              <w:left w:val="nil"/>
              <w:bottom w:val="single" w:sz="4" w:space="0" w:color="auto"/>
              <w:right w:val="single" w:sz="4" w:space="0" w:color="auto"/>
            </w:tcBorders>
            <w:noWrap/>
            <w:vAlign w:val="center"/>
            <w:hideMark/>
          </w:tcPr>
          <w:p w14:paraId="3FAC9B83" w14:textId="77777777" w:rsidR="008000A7" w:rsidRPr="007315B3" w:rsidRDefault="008000A7" w:rsidP="00471458">
            <w:pPr>
              <w:pStyle w:val="NoSpacing"/>
              <w:jc w:val="center"/>
              <w:rPr>
                <w:rFonts w:ascii="Times New Roman" w:hAnsi="Times New Roman" w:cs="Times New Roman"/>
                <w:sz w:val="18"/>
                <w:szCs w:val="18"/>
                <w:lang w:eastAsia="en-IN"/>
              </w:rPr>
            </w:pPr>
            <w:r w:rsidRPr="007315B3">
              <w:rPr>
                <w:rFonts w:ascii="Times New Roman" w:hAnsi="Times New Roman" w:cs="Times New Roman"/>
                <w:sz w:val="18"/>
                <w:szCs w:val="18"/>
                <w:lang w:eastAsia="en-IN"/>
              </w:rPr>
              <w:t>2.13</w:t>
            </w:r>
          </w:p>
        </w:tc>
        <w:tc>
          <w:tcPr>
            <w:tcW w:w="935" w:type="dxa"/>
            <w:tcBorders>
              <w:top w:val="nil"/>
              <w:left w:val="nil"/>
              <w:bottom w:val="single" w:sz="4" w:space="0" w:color="auto"/>
              <w:right w:val="single" w:sz="4" w:space="0" w:color="auto"/>
            </w:tcBorders>
            <w:noWrap/>
            <w:vAlign w:val="center"/>
            <w:hideMark/>
          </w:tcPr>
          <w:p w14:paraId="5BD6C46F" w14:textId="77777777" w:rsidR="008000A7" w:rsidRPr="007315B3" w:rsidRDefault="008000A7" w:rsidP="00471458">
            <w:pPr>
              <w:pStyle w:val="NoSpacing"/>
              <w:jc w:val="center"/>
              <w:rPr>
                <w:rFonts w:ascii="Times New Roman" w:hAnsi="Times New Roman" w:cs="Times New Roman"/>
                <w:sz w:val="18"/>
                <w:szCs w:val="18"/>
                <w:lang w:eastAsia="en-IN"/>
              </w:rPr>
            </w:pPr>
            <w:r w:rsidRPr="007315B3">
              <w:rPr>
                <w:rFonts w:ascii="Times New Roman" w:hAnsi="Times New Roman" w:cs="Times New Roman"/>
                <w:sz w:val="18"/>
                <w:szCs w:val="18"/>
                <w:lang w:eastAsia="en-IN"/>
              </w:rPr>
              <w:t>..</w:t>
            </w:r>
          </w:p>
        </w:tc>
        <w:tc>
          <w:tcPr>
            <w:tcW w:w="651" w:type="dxa"/>
            <w:tcBorders>
              <w:top w:val="nil"/>
              <w:left w:val="nil"/>
              <w:bottom w:val="single" w:sz="4" w:space="0" w:color="auto"/>
              <w:right w:val="single" w:sz="4" w:space="0" w:color="auto"/>
            </w:tcBorders>
            <w:noWrap/>
            <w:vAlign w:val="center"/>
            <w:hideMark/>
          </w:tcPr>
          <w:p w14:paraId="593AB9FA" w14:textId="77777777" w:rsidR="008000A7" w:rsidRPr="007315B3" w:rsidRDefault="008000A7" w:rsidP="00471458">
            <w:pPr>
              <w:pStyle w:val="NoSpacing"/>
              <w:jc w:val="center"/>
              <w:rPr>
                <w:rFonts w:ascii="Times New Roman" w:hAnsi="Times New Roman" w:cs="Times New Roman"/>
                <w:sz w:val="18"/>
                <w:szCs w:val="18"/>
                <w:lang w:eastAsia="en-IN"/>
              </w:rPr>
            </w:pPr>
            <w:r w:rsidRPr="007315B3">
              <w:rPr>
                <w:rFonts w:ascii="Times New Roman" w:hAnsi="Times New Roman" w:cs="Times New Roman"/>
                <w:sz w:val="18"/>
                <w:szCs w:val="18"/>
                <w:lang w:eastAsia="en-IN"/>
              </w:rPr>
              <w:t>-2.54</w:t>
            </w:r>
          </w:p>
        </w:tc>
      </w:tr>
      <w:tr w:rsidR="008000A7" w:rsidRPr="007315B3" w14:paraId="0C07AF8A" w14:textId="77777777" w:rsidTr="00537910">
        <w:trPr>
          <w:trHeight w:val="65"/>
          <w:jc w:val="center"/>
        </w:trPr>
        <w:tc>
          <w:tcPr>
            <w:tcW w:w="870" w:type="dxa"/>
            <w:tcBorders>
              <w:top w:val="nil"/>
              <w:left w:val="single" w:sz="4" w:space="0" w:color="auto"/>
              <w:bottom w:val="single" w:sz="4" w:space="0" w:color="auto"/>
              <w:right w:val="single" w:sz="4" w:space="0" w:color="auto"/>
            </w:tcBorders>
            <w:noWrap/>
            <w:vAlign w:val="bottom"/>
            <w:hideMark/>
          </w:tcPr>
          <w:p w14:paraId="68560F86" w14:textId="77777777" w:rsidR="008000A7" w:rsidRPr="007315B3" w:rsidRDefault="008000A7" w:rsidP="00B77C0B">
            <w:pPr>
              <w:pStyle w:val="NoSpacing"/>
              <w:rPr>
                <w:rFonts w:ascii="Times New Roman" w:hAnsi="Times New Roman" w:cs="Times New Roman"/>
                <w:sz w:val="18"/>
                <w:szCs w:val="18"/>
                <w:lang w:eastAsia="en-IN"/>
              </w:rPr>
            </w:pPr>
            <w:r w:rsidRPr="007315B3">
              <w:rPr>
                <w:rFonts w:ascii="Times New Roman" w:hAnsi="Times New Roman" w:cs="Times New Roman"/>
                <w:sz w:val="18"/>
                <w:szCs w:val="18"/>
                <w:lang w:eastAsia="en-IN"/>
              </w:rPr>
              <w:t>Punjab</w:t>
            </w:r>
          </w:p>
        </w:tc>
        <w:tc>
          <w:tcPr>
            <w:tcW w:w="650" w:type="dxa"/>
            <w:tcBorders>
              <w:top w:val="nil"/>
              <w:left w:val="nil"/>
              <w:bottom w:val="single" w:sz="4" w:space="0" w:color="auto"/>
              <w:right w:val="single" w:sz="4" w:space="0" w:color="auto"/>
            </w:tcBorders>
            <w:noWrap/>
            <w:vAlign w:val="center"/>
            <w:hideMark/>
          </w:tcPr>
          <w:p w14:paraId="489E86FC" w14:textId="77777777" w:rsidR="008000A7" w:rsidRPr="007315B3" w:rsidRDefault="008000A7" w:rsidP="00471458">
            <w:pPr>
              <w:pStyle w:val="NoSpacing"/>
              <w:jc w:val="center"/>
              <w:rPr>
                <w:rFonts w:ascii="Times New Roman" w:hAnsi="Times New Roman" w:cs="Times New Roman"/>
                <w:sz w:val="18"/>
                <w:szCs w:val="18"/>
                <w:lang w:eastAsia="en-IN"/>
              </w:rPr>
            </w:pPr>
            <w:r w:rsidRPr="007315B3">
              <w:rPr>
                <w:rFonts w:ascii="Times New Roman" w:hAnsi="Times New Roman" w:cs="Times New Roman"/>
                <w:sz w:val="18"/>
                <w:szCs w:val="18"/>
                <w:lang w:eastAsia="en-IN"/>
              </w:rPr>
              <w:t>..</w:t>
            </w:r>
          </w:p>
        </w:tc>
        <w:tc>
          <w:tcPr>
            <w:tcW w:w="711" w:type="dxa"/>
            <w:tcBorders>
              <w:top w:val="nil"/>
              <w:left w:val="nil"/>
              <w:bottom w:val="single" w:sz="4" w:space="0" w:color="auto"/>
              <w:right w:val="single" w:sz="4" w:space="0" w:color="auto"/>
            </w:tcBorders>
            <w:noWrap/>
            <w:vAlign w:val="center"/>
            <w:hideMark/>
          </w:tcPr>
          <w:p w14:paraId="04AD3C54" w14:textId="77777777" w:rsidR="008000A7" w:rsidRPr="007315B3" w:rsidRDefault="008000A7" w:rsidP="00471458">
            <w:pPr>
              <w:pStyle w:val="NoSpacing"/>
              <w:jc w:val="center"/>
              <w:rPr>
                <w:rFonts w:ascii="Times New Roman" w:hAnsi="Times New Roman" w:cs="Times New Roman"/>
                <w:sz w:val="18"/>
                <w:szCs w:val="18"/>
                <w:lang w:eastAsia="en-IN"/>
              </w:rPr>
            </w:pPr>
            <w:r w:rsidRPr="007315B3">
              <w:rPr>
                <w:rFonts w:ascii="Times New Roman" w:hAnsi="Times New Roman" w:cs="Times New Roman"/>
                <w:sz w:val="18"/>
                <w:szCs w:val="18"/>
                <w:lang w:eastAsia="en-IN"/>
              </w:rPr>
              <w:t>..</w:t>
            </w:r>
          </w:p>
        </w:tc>
        <w:tc>
          <w:tcPr>
            <w:tcW w:w="651" w:type="dxa"/>
            <w:tcBorders>
              <w:top w:val="nil"/>
              <w:left w:val="nil"/>
              <w:bottom w:val="single" w:sz="4" w:space="0" w:color="auto"/>
              <w:right w:val="single" w:sz="4" w:space="0" w:color="auto"/>
            </w:tcBorders>
            <w:noWrap/>
            <w:vAlign w:val="center"/>
            <w:hideMark/>
          </w:tcPr>
          <w:p w14:paraId="04F020A3" w14:textId="77777777" w:rsidR="008000A7" w:rsidRPr="007315B3" w:rsidRDefault="008000A7" w:rsidP="00471458">
            <w:pPr>
              <w:pStyle w:val="NoSpacing"/>
              <w:jc w:val="center"/>
              <w:rPr>
                <w:rFonts w:ascii="Times New Roman" w:hAnsi="Times New Roman" w:cs="Times New Roman"/>
                <w:sz w:val="18"/>
                <w:szCs w:val="18"/>
                <w:lang w:eastAsia="en-IN"/>
              </w:rPr>
            </w:pPr>
            <w:r w:rsidRPr="007315B3">
              <w:rPr>
                <w:rFonts w:ascii="Times New Roman" w:hAnsi="Times New Roman" w:cs="Times New Roman"/>
                <w:sz w:val="18"/>
                <w:szCs w:val="18"/>
                <w:lang w:eastAsia="en-IN"/>
              </w:rPr>
              <w:t>..</w:t>
            </w:r>
          </w:p>
        </w:tc>
        <w:tc>
          <w:tcPr>
            <w:tcW w:w="651" w:type="dxa"/>
            <w:tcBorders>
              <w:top w:val="nil"/>
              <w:left w:val="nil"/>
              <w:bottom w:val="single" w:sz="4" w:space="0" w:color="auto"/>
              <w:right w:val="single" w:sz="4" w:space="0" w:color="auto"/>
            </w:tcBorders>
            <w:noWrap/>
            <w:vAlign w:val="center"/>
            <w:hideMark/>
          </w:tcPr>
          <w:p w14:paraId="0B20B096" w14:textId="77777777" w:rsidR="008000A7" w:rsidRPr="007315B3" w:rsidRDefault="008000A7" w:rsidP="00471458">
            <w:pPr>
              <w:pStyle w:val="NoSpacing"/>
              <w:jc w:val="center"/>
              <w:rPr>
                <w:rFonts w:ascii="Times New Roman" w:hAnsi="Times New Roman" w:cs="Times New Roman"/>
                <w:sz w:val="18"/>
                <w:szCs w:val="18"/>
                <w:lang w:eastAsia="en-IN"/>
              </w:rPr>
            </w:pPr>
            <w:r w:rsidRPr="007315B3">
              <w:rPr>
                <w:rFonts w:ascii="Times New Roman" w:hAnsi="Times New Roman" w:cs="Times New Roman"/>
                <w:sz w:val="18"/>
                <w:szCs w:val="18"/>
                <w:lang w:eastAsia="en-IN"/>
              </w:rPr>
              <w:t>..</w:t>
            </w:r>
          </w:p>
        </w:tc>
        <w:tc>
          <w:tcPr>
            <w:tcW w:w="651" w:type="dxa"/>
            <w:tcBorders>
              <w:top w:val="nil"/>
              <w:left w:val="nil"/>
              <w:bottom w:val="single" w:sz="4" w:space="0" w:color="auto"/>
              <w:right w:val="single" w:sz="4" w:space="0" w:color="auto"/>
            </w:tcBorders>
            <w:noWrap/>
            <w:vAlign w:val="center"/>
            <w:hideMark/>
          </w:tcPr>
          <w:p w14:paraId="002313C8" w14:textId="77777777" w:rsidR="008000A7" w:rsidRPr="007315B3" w:rsidRDefault="008000A7" w:rsidP="00471458">
            <w:pPr>
              <w:pStyle w:val="NoSpacing"/>
              <w:jc w:val="center"/>
              <w:rPr>
                <w:rFonts w:ascii="Times New Roman" w:hAnsi="Times New Roman" w:cs="Times New Roman"/>
                <w:sz w:val="18"/>
                <w:szCs w:val="18"/>
                <w:lang w:eastAsia="en-IN"/>
              </w:rPr>
            </w:pPr>
            <w:r w:rsidRPr="007315B3">
              <w:rPr>
                <w:rFonts w:ascii="Times New Roman" w:hAnsi="Times New Roman" w:cs="Times New Roman"/>
                <w:sz w:val="18"/>
                <w:szCs w:val="18"/>
                <w:lang w:eastAsia="en-IN"/>
              </w:rPr>
              <w:t>..</w:t>
            </w:r>
          </w:p>
        </w:tc>
        <w:tc>
          <w:tcPr>
            <w:tcW w:w="712" w:type="dxa"/>
            <w:tcBorders>
              <w:top w:val="nil"/>
              <w:left w:val="nil"/>
              <w:bottom w:val="single" w:sz="4" w:space="0" w:color="auto"/>
              <w:right w:val="single" w:sz="4" w:space="0" w:color="auto"/>
            </w:tcBorders>
            <w:noWrap/>
            <w:vAlign w:val="center"/>
            <w:hideMark/>
          </w:tcPr>
          <w:p w14:paraId="5CBA965A" w14:textId="77777777" w:rsidR="008000A7" w:rsidRPr="007315B3" w:rsidRDefault="008000A7" w:rsidP="00471458">
            <w:pPr>
              <w:pStyle w:val="NoSpacing"/>
              <w:jc w:val="center"/>
              <w:rPr>
                <w:rFonts w:ascii="Times New Roman" w:hAnsi="Times New Roman" w:cs="Times New Roman"/>
                <w:sz w:val="18"/>
                <w:szCs w:val="18"/>
                <w:lang w:eastAsia="en-IN"/>
              </w:rPr>
            </w:pPr>
            <w:r w:rsidRPr="007315B3">
              <w:rPr>
                <w:rFonts w:ascii="Times New Roman" w:hAnsi="Times New Roman" w:cs="Times New Roman"/>
                <w:sz w:val="18"/>
                <w:szCs w:val="18"/>
                <w:lang w:eastAsia="en-IN"/>
              </w:rPr>
              <w:t>..</w:t>
            </w:r>
          </w:p>
        </w:tc>
        <w:tc>
          <w:tcPr>
            <w:tcW w:w="651" w:type="dxa"/>
            <w:tcBorders>
              <w:top w:val="nil"/>
              <w:left w:val="nil"/>
              <w:bottom w:val="single" w:sz="4" w:space="0" w:color="auto"/>
              <w:right w:val="single" w:sz="4" w:space="0" w:color="auto"/>
            </w:tcBorders>
            <w:noWrap/>
            <w:vAlign w:val="center"/>
            <w:hideMark/>
          </w:tcPr>
          <w:p w14:paraId="7D26EB76" w14:textId="77777777" w:rsidR="008000A7" w:rsidRPr="007315B3" w:rsidRDefault="008000A7" w:rsidP="00471458">
            <w:pPr>
              <w:pStyle w:val="NoSpacing"/>
              <w:jc w:val="center"/>
              <w:rPr>
                <w:rFonts w:ascii="Times New Roman" w:hAnsi="Times New Roman" w:cs="Times New Roman"/>
                <w:sz w:val="18"/>
                <w:szCs w:val="18"/>
                <w:lang w:eastAsia="en-IN"/>
              </w:rPr>
            </w:pPr>
            <w:r w:rsidRPr="007315B3">
              <w:rPr>
                <w:rFonts w:ascii="Times New Roman" w:hAnsi="Times New Roman" w:cs="Times New Roman"/>
                <w:sz w:val="18"/>
                <w:szCs w:val="18"/>
                <w:lang w:eastAsia="en-IN"/>
              </w:rPr>
              <w:t>..</w:t>
            </w:r>
          </w:p>
        </w:tc>
        <w:tc>
          <w:tcPr>
            <w:tcW w:w="651" w:type="dxa"/>
            <w:tcBorders>
              <w:top w:val="nil"/>
              <w:left w:val="nil"/>
              <w:bottom w:val="single" w:sz="4" w:space="0" w:color="auto"/>
              <w:right w:val="single" w:sz="4" w:space="0" w:color="auto"/>
            </w:tcBorders>
            <w:noWrap/>
            <w:vAlign w:val="center"/>
            <w:hideMark/>
          </w:tcPr>
          <w:p w14:paraId="59240441" w14:textId="77777777" w:rsidR="008000A7" w:rsidRPr="007315B3" w:rsidRDefault="008000A7" w:rsidP="00471458">
            <w:pPr>
              <w:pStyle w:val="NoSpacing"/>
              <w:jc w:val="center"/>
              <w:rPr>
                <w:rFonts w:ascii="Times New Roman" w:hAnsi="Times New Roman" w:cs="Times New Roman"/>
                <w:sz w:val="18"/>
                <w:szCs w:val="18"/>
                <w:lang w:eastAsia="en-IN"/>
              </w:rPr>
            </w:pPr>
            <w:r w:rsidRPr="007315B3">
              <w:rPr>
                <w:rFonts w:ascii="Times New Roman" w:hAnsi="Times New Roman" w:cs="Times New Roman"/>
                <w:sz w:val="18"/>
                <w:szCs w:val="18"/>
                <w:lang w:eastAsia="en-IN"/>
              </w:rPr>
              <w:t>..</w:t>
            </w:r>
          </w:p>
        </w:tc>
        <w:tc>
          <w:tcPr>
            <w:tcW w:w="651" w:type="dxa"/>
            <w:tcBorders>
              <w:top w:val="nil"/>
              <w:left w:val="nil"/>
              <w:bottom w:val="single" w:sz="4" w:space="0" w:color="auto"/>
              <w:right w:val="single" w:sz="4" w:space="0" w:color="auto"/>
            </w:tcBorders>
            <w:noWrap/>
            <w:vAlign w:val="center"/>
            <w:hideMark/>
          </w:tcPr>
          <w:p w14:paraId="55C40B27" w14:textId="77777777" w:rsidR="008000A7" w:rsidRPr="007315B3" w:rsidRDefault="008000A7" w:rsidP="00471458">
            <w:pPr>
              <w:pStyle w:val="NoSpacing"/>
              <w:jc w:val="center"/>
              <w:rPr>
                <w:rFonts w:ascii="Times New Roman" w:hAnsi="Times New Roman" w:cs="Times New Roman"/>
                <w:sz w:val="18"/>
                <w:szCs w:val="18"/>
                <w:lang w:eastAsia="en-IN"/>
              </w:rPr>
            </w:pPr>
            <w:r w:rsidRPr="007315B3">
              <w:rPr>
                <w:rFonts w:ascii="Times New Roman" w:hAnsi="Times New Roman" w:cs="Times New Roman"/>
                <w:sz w:val="18"/>
                <w:szCs w:val="18"/>
                <w:lang w:eastAsia="en-IN"/>
              </w:rPr>
              <w:t>..</w:t>
            </w:r>
          </w:p>
        </w:tc>
        <w:tc>
          <w:tcPr>
            <w:tcW w:w="712" w:type="dxa"/>
            <w:tcBorders>
              <w:top w:val="nil"/>
              <w:left w:val="nil"/>
              <w:bottom w:val="single" w:sz="4" w:space="0" w:color="auto"/>
              <w:right w:val="single" w:sz="4" w:space="0" w:color="auto"/>
            </w:tcBorders>
            <w:noWrap/>
            <w:vAlign w:val="center"/>
            <w:hideMark/>
          </w:tcPr>
          <w:p w14:paraId="5CECB354" w14:textId="77777777" w:rsidR="008000A7" w:rsidRPr="007315B3" w:rsidRDefault="008000A7" w:rsidP="00471458">
            <w:pPr>
              <w:pStyle w:val="NoSpacing"/>
              <w:jc w:val="center"/>
              <w:rPr>
                <w:rFonts w:ascii="Times New Roman" w:hAnsi="Times New Roman" w:cs="Times New Roman"/>
                <w:sz w:val="18"/>
                <w:szCs w:val="18"/>
                <w:lang w:eastAsia="en-IN"/>
              </w:rPr>
            </w:pPr>
            <w:r w:rsidRPr="007315B3">
              <w:rPr>
                <w:rFonts w:ascii="Times New Roman" w:hAnsi="Times New Roman" w:cs="Times New Roman"/>
                <w:sz w:val="18"/>
                <w:szCs w:val="18"/>
                <w:lang w:eastAsia="en-IN"/>
              </w:rPr>
              <w:t>..</w:t>
            </w:r>
          </w:p>
        </w:tc>
        <w:tc>
          <w:tcPr>
            <w:tcW w:w="651" w:type="dxa"/>
            <w:tcBorders>
              <w:top w:val="nil"/>
              <w:left w:val="nil"/>
              <w:bottom w:val="single" w:sz="4" w:space="0" w:color="auto"/>
              <w:right w:val="single" w:sz="4" w:space="0" w:color="auto"/>
            </w:tcBorders>
            <w:noWrap/>
            <w:vAlign w:val="center"/>
            <w:hideMark/>
          </w:tcPr>
          <w:p w14:paraId="7FA88763" w14:textId="77777777" w:rsidR="008000A7" w:rsidRPr="007315B3" w:rsidRDefault="008000A7" w:rsidP="00471458">
            <w:pPr>
              <w:pStyle w:val="NoSpacing"/>
              <w:jc w:val="center"/>
              <w:rPr>
                <w:rFonts w:ascii="Times New Roman" w:hAnsi="Times New Roman" w:cs="Times New Roman"/>
                <w:sz w:val="18"/>
                <w:szCs w:val="18"/>
                <w:lang w:eastAsia="en-IN"/>
              </w:rPr>
            </w:pPr>
            <w:r w:rsidRPr="007315B3">
              <w:rPr>
                <w:rFonts w:ascii="Times New Roman" w:hAnsi="Times New Roman" w:cs="Times New Roman"/>
                <w:sz w:val="18"/>
                <w:szCs w:val="18"/>
                <w:lang w:eastAsia="en-IN"/>
              </w:rPr>
              <w:t>..</w:t>
            </w:r>
          </w:p>
        </w:tc>
        <w:tc>
          <w:tcPr>
            <w:tcW w:w="935" w:type="dxa"/>
            <w:tcBorders>
              <w:top w:val="nil"/>
              <w:left w:val="nil"/>
              <w:bottom w:val="single" w:sz="4" w:space="0" w:color="auto"/>
              <w:right w:val="single" w:sz="4" w:space="0" w:color="auto"/>
            </w:tcBorders>
            <w:noWrap/>
            <w:vAlign w:val="center"/>
            <w:hideMark/>
          </w:tcPr>
          <w:p w14:paraId="7F5ED40D" w14:textId="77777777" w:rsidR="008000A7" w:rsidRPr="007315B3" w:rsidRDefault="008000A7" w:rsidP="00471458">
            <w:pPr>
              <w:pStyle w:val="NoSpacing"/>
              <w:jc w:val="center"/>
              <w:rPr>
                <w:rFonts w:ascii="Times New Roman" w:hAnsi="Times New Roman" w:cs="Times New Roman"/>
                <w:sz w:val="18"/>
                <w:szCs w:val="18"/>
                <w:lang w:eastAsia="en-IN"/>
              </w:rPr>
            </w:pPr>
            <w:r w:rsidRPr="007315B3">
              <w:rPr>
                <w:rFonts w:ascii="Times New Roman" w:hAnsi="Times New Roman" w:cs="Times New Roman"/>
                <w:sz w:val="18"/>
                <w:szCs w:val="18"/>
                <w:lang w:eastAsia="en-IN"/>
              </w:rPr>
              <w:t>..</w:t>
            </w:r>
          </w:p>
        </w:tc>
        <w:tc>
          <w:tcPr>
            <w:tcW w:w="651" w:type="dxa"/>
            <w:tcBorders>
              <w:top w:val="nil"/>
              <w:left w:val="nil"/>
              <w:bottom w:val="single" w:sz="4" w:space="0" w:color="auto"/>
              <w:right w:val="single" w:sz="4" w:space="0" w:color="auto"/>
            </w:tcBorders>
            <w:noWrap/>
            <w:vAlign w:val="center"/>
            <w:hideMark/>
          </w:tcPr>
          <w:p w14:paraId="73F9F6EC" w14:textId="77777777" w:rsidR="008000A7" w:rsidRPr="007315B3" w:rsidRDefault="008000A7" w:rsidP="00471458">
            <w:pPr>
              <w:pStyle w:val="NoSpacing"/>
              <w:jc w:val="center"/>
              <w:rPr>
                <w:rFonts w:ascii="Times New Roman" w:hAnsi="Times New Roman" w:cs="Times New Roman"/>
                <w:sz w:val="18"/>
                <w:szCs w:val="18"/>
                <w:lang w:eastAsia="en-IN"/>
              </w:rPr>
            </w:pPr>
            <w:r w:rsidRPr="007315B3">
              <w:rPr>
                <w:rFonts w:ascii="Times New Roman" w:hAnsi="Times New Roman" w:cs="Times New Roman"/>
                <w:sz w:val="18"/>
                <w:szCs w:val="18"/>
                <w:lang w:eastAsia="en-IN"/>
              </w:rPr>
              <w:t>..</w:t>
            </w:r>
          </w:p>
        </w:tc>
        <w:tc>
          <w:tcPr>
            <w:tcW w:w="651" w:type="dxa"/>
            <w:tcBorders>
              <w:top w:val="nil"/>
              <w:left w:val="nil"/>
              <w:bottom w:val="single" w:sz="4" w:space="0" w:color="auto"/>
              <w:right w:val="single" w:sz="4" w:space="0" w:color="auto"/>
            </w:tcBorders>
            <w:noWrap/>
            <w:vAlign w:val="center"/>
            <w:hideMark/>
          </w:tcPr>
          <w:p w14:paraId="5782B3D8" w14:textId="77777777" w:rsidR="008000A7" w:rsidRPr="007315B3" w:rsidRDefault="008000A7" w:rsidP="00471458">
            <w:pPr>
              <w:pStyle w:val="NoSpacing"/>
              <w:jc w:val="center"/>
              <w:rPr>
                <w:rFonts w:ascii="Times New Roman" w:hAnsi="Times New Roman" w:cs="Times New Roman"/>
                <w:sz w:val="18"/>
                <w:szCs w:val="18"/>
                <w:lang w:eastAsia="en-IN"/>
              </w:rPr>
            </w:pPr>
            <w:r w:rsidRPr="007315B3">
              <w:rPr>
                <w:rFonts w:ascii="Times New Roman" w:hAnsi="Times New Roman" w:cs="Times New Roman"/>
                <w:sz w:val="18"/>
                <w:szCs w:val="18"/>
                <w:lang w:eastAsia="en-IN"/>
              </w:rPr>
              <w:t>..</w:t>
            </w:r>
          </w:p>
        </w:tc>
        <w:tc>
          <w:tcPr>
            <w:tcW w:w="712" w:type="dxa"/>
            <w:tcBorders>
              <w:top w:val="nil"/>
              <w:left w:val="nil"/>
              <w:bottom w:val="single" w:sz="4" w:space="0" w:color="auto"/>
              <w:right w:val="single" w:sz="4" w:space="0" w:color="auto"/>
            </w:tcBorders>
            <w:noWrap/>
            <w:vAlign w:val="center"/>
            <w:hideMark/>
          </w:tcPr>
          <w:p w14:paraId="4C3A45E7" w14:textId="77777777" w:rsidR="008000A7" w:rsidRPr="007315B3" w:rsidRDefault="008000A7" w:rsidP="00471458">
            <w:pPr>
              <w:pStyle w:val="NoSpacing"/>
              <w:jc w:val="center"/>
              <w:rPr>
                <w:rFonts w:ascii="Times New Roman" w:hAnsi="Times New Roman" w:cs="Times New Roman"/>
                <w:sz w:val="18"/>
                <w:szCs w:val="18"/>
                <w:lang w:eastAsia="en-IN"/>
              </w:rPr>
            </w:pPr>
            <w:r w:rsidRPr="007315B3">
              <w:rPr>
                <w:rFonts w:ascii="Times New Roman" w:hAnsi="Times New Roman" w:cs="Times New Roman"/>
                <w:sz w:val="18"/>
                <w:szCs w:val="18"/>
                <w:lang w:eastAsia="en-IN"/>
              </w:rPr>
              <w:t>..</w:t>
            </w:r>
          </w:p>
        </w:tc>
        <w:tc>
          <w:tcPr>
            <w:tcW w:w="651" w:type="dxa"/>
            <w:tcBorders>
              <w:top w:val="nil"/>
              <w:left w:val="nil"/>
              <w:bottom w:val="single" w:sz="4" w:space="0" w:color="auto"/>
              <w:right w:val="single" w:sz="4" w:space="0" w:color="auto"/>
            </w:tcBorders>
            <w:noWrap/>
            <w:vAlign w:val="center"/>
            <w:hideMark/>
          </w:tcPr>
          <w:p w14:paraId="72987FFD" w14:textId="77777777" w:rsidR="008000A7" w:rsidRPr="007315B3" w:rsidRDefault="008000A7" w:rsidP="00471458">
            <w:pPr>
              <w:pStyle w:val="NoSpacing"/>
              <w:jc w:val="center"/>
              <w:rPr>
                <w:rFonts w:ascii="Times New Roman" w:hAnsi="Times New Roman" w:cs="Times New Roman"/>
                <w:sz w:val="18"/>
                <w:szCs w:val="18"/>
                <w:lang w:eastAsia="en-IN"/>
              </w:rPr>
            </w:pPr>
            <w:r w:rsidRPr="007315B3">
              <w:rPr>
                <w:rFonts w:ascii="Times New Roman" w:hAnsi="Times New Roman" w:cs="Times New Roman"/>
                <w:sz w:val="18"/>
                <w:szCs w:val="18"/>
                <w:lang w:eastAsia="en-IN"/>
              </w:rPr>
              <w:t>..</w:t>
            </w:r>
          </w:p>
        </w:tc>
        <w:tc>
          <w:tcPr>
            <w:tcW w:w="935" w:type="dxa"/>
            <w:tcBorders>
              <w:top w:val="nil"/>
              <w:left w:val="nil"/>
              <w:bottom w:val="single" w:sz="4" w:space="0" w:color="auto"/>
              <w:right w:val="single" w:sz="4" w:space="0" w:color="auto"/>
            </w:tcBorders>
            <w:noWrap/>
            <w:vAlign w:val="center"/>
            <w:hideMark/>
          </w:tcPr>
          <w:p w14:paraId="5F72FB47" w14:textId="77777777" w:rsidR="008000A7" w:rsidRPr="007315B3" w:rsidRDefault="008000A7" w:rsidP="00471458">
            <w:pPr>
              <w:pStyle w:val="NoSpacing"/>
              <w:jc w:val="center"/>
              <w:rPr>
                <w:rFonts w:ascii="Times New Roman" w:hAnsi="Times New Roman" w:cs="Times New Roman"/>
                <w:sz w:val="18"/>
                <w:szCs w:val="18"/>
                <w:lang w:eastAsia="en-IN"/>
              </w:rPr>
            </w:pPr>
            <w:r w:rsidRPr="007315B3">
              <w:rPr>
                <w:rFonts w:ascii="Times New Roman" w:hAnsi="Times New Roman" w:cs="Times New Roman"/>
                <w:sz w:val="18"/>
                <w:szCs w:val="18"/>
                <w:lang w:eastAsia="en-IN"/>
              </w:rPr>
              <w:t>..</w:t>
            </w:r>
          </w:p>
        </w:tc>
        <w:tc>
          <w:tcPr>
            <w:tcW w:w="651" w:type="dxa"/>
            <w:tcBorders>
              <w:top w:val="nil"/>
              <w:left w:val="nil"/>
              <w:bottom w:val="single" w:sz="4" w:space="0" w:color="auto"/>
              <w:right w:val="single" w:sz="4" w:space="0" w:color="auto"/>
            </w:tcBorders>
            <w:noWrap/>
            <w:vAlign w:val="center"/>
            <w:hideMark/>
          </w:tcPr>
          <w:p w14:paraId="591EC20F" w14:textId="77777777" w:rsidR="008000A7" w:rsidRPr="007315B3" w:rsidRDefault="008000A7" w:rsidP="00471458">
            <w:pPr>
              <w:pStyle w:val="NoSpacing"/>
              <w:jc w:val="center"/>
              <w:rPr>
                <w:rFonts w:ascii="Times New Roman" w:hAnsi="Times New Roman" w:cs="Times New Roman"/>
                <w:sz w:val="18"/>
                <w:szCs w:val="18"/>
                <w:lang w:eastAsia="en-IN"/>
              </w:rPr>
            </w:pPr>
            <w:r w:rsidRPr="007315B3">
              <w:rPr>
                <w:rFonts w:ascii="Times New Roman" w:hAnsi="Times New Roman" w:cs="Times New Roman"/>
                <w:sz w:val="18"/>
                <w:szCs w:val="18"/>
                <w:lang w:eastAsia="en-IN"/>
              </w:rPr>
              <w:t>..</w:t>
            </w:r>
          </w:p>
        </w:tc>
      </w:tr>
      <w:tr w:rsidR="008000A7" w:rsidRPr="007315B3" w14:paraId="1C6EF3D3" w14:textId="77777777" w:rsidTr="00537910">
        <w:trPr>
          <w:trHeight w:val="65"/>
          <w:jc w:val="center"/>
        </w:trPr>
        <w:tc>
          <w:tcPr>
            <w:tcW w:w="870" w:type="dxa"/>
            <w:tcBorders>
              <w:top w:val="nil"/>
              <w:left w:val="single" w:sz="4" w:space="0" w:color="auto"/>
              <w:bottom w:val="single" w:sz="4" w:space="0" w:color="auto"/>
              <w:right w:val="single" w:sz="4" w:space="0" w:color="auto"/>
            </w:tcBorders>
            <w:noWrap/>
            <w:vAlign w:val="bottom"/>
            <w:hideMark/>
          </w:tcPr>
          <w:p w14:paraId="1DE5FECD" w14:textId="77777777" w:rsidR="008000A7" w:rsidRPr="007315B3" w:rsidRDefault="008000A7" w:rsidP="00B77C0B">
            <w:pPr>
              <w:pStyle w:val="NoSpacing"/>
              <w:rPr>
                <w:rFonts w:ascii="Times New Roman" w:hAnsi="Times New Roman" w:cs="Times New Roman"/>
                <w:sz w:val="18"/>
                <w:szCs w:val="18"/>
                <w:lang w:eastAsia="en-IN"/>
              </w:rPr>
            </w:pPr>
            <w:r w:rsidRPr="007315B3">
              <w:rPr>
                <w:rFonts w:ascii="Times New Roman" w:hAnsi="Times New Roman" w:cs="Times New Roman"/>
                <w:sz w:val="18"/>
                <w:szCs w:val="18"/>
                <w:lang w:eastAsia="en-IN"/>
              </w:rPr>
              <w:t>Rajasthan</w:t>
            </w:r>
          </w:p>
        </w:tc>
        <w:tc>
          <w:tcPr>
            <w:tcW w:w="650" w:type="dxa"/>
            <w:tcBorders>
              <w:top w:val="nil"/>
              <w:left w:val="nil"/>
              <w:bottom w:val="single" w:sz="4" w:space="0" w:color="auto"/>
              <w:right w:val="single" w:sz="4" w:space="0" w:color="auto"/>
            </w:tcBorders>
            <w:noWrap/>
            <w:vAlign w:val="center"/>
            <w:hideMark/>
          </w:tcPr>
          <w:p w14:paraId="1B6CC4C2" w14:textId="77777777" w:rsidR="008000A7" w:rsidRPr="007315B3" w:rsidRDefault="008000A7" w:rsidP="00471458">
            <w:pPr>
              <w:pStyle w:val="NoSpacing"/>
              <w:jc w:val="center"/>
              <w:rPr>
                <w:rFonts w:ascii="Times New Roman" w:hAnsi="Times New Roman" w:cs="Times New Roman"/>
                <w:sz w:val="18"/>
                <w:szCs w:val="18"/>
                <w:lang w:eastAsia="en-IN"/>
              </w:rPr>
            </w:pPr>
            <w:r w:rsidRPr="007315B3">
              <w:rPr>
                <w:rFonts w:ascii="Times New Roman" w:hAnsi="Times New Roman" w:cs="Times New Roman"/>
                <w:sz w:val="18"/>
                <w:szCs w:val="18"/>
                <w:lang w:eastAsia="en-IN"/>
              </w:rPr>
              <w:t>..</w:t>
            </w:r>
          </w:p>
        </w:tc>
        <w:tc>
          <w:tcPr>
            <w:tcW w:w="711" w:type="dxa"/>
            <w:tcBorders>
              <w:top w:val="nil"/>
              <w:left w:val="nil"/>
              <w:bottom w:val="single" w:sz="4" w:space="0" w:color="auto"/>
              <w:right w:val="single" w:sz="4" w:space="0" w:color="auto"/>
            </w:tcBorders>
            <w:noWrap/>
            <w:vAlign w:val="center"/>
            <w:hideMark/>
          </w:tcPr>
          <w:p w14:paraId="36C5087D" w14:textId="77777777" w:rsidR="008000A7" w:rsidRPr="007315B3" w:rsidRDefault="008000A7" w:rsidP="00471458">
            <w:pPr>
              <w:pStyle w:val="NoSpacing"/>
              <w:jc w:val="center"/>
              <w:rPr>
                <w:rFonts w:ascii="Times New Roman" w:hAnsi="Times New Roman" w:cs="Times New Roman"/>
                <w:sz w:val="18"/>
                <w:szCs w:val="18"/>
                <w:lang w:eastAsia="en-IN"/>
              </w:rPr>
            </w:pPr>
            <w:r w:rsidRPr="007315B3">
              <w:rPr>
                <w:rFonts w:ascii="Times New Roman" w:hAnsi="Times New Roman" w:cs="Times New Roman"/>
                <w:sz w:val="18"/>
                <w:szCs w:val="18"/>
                <w:lang w:eastAsia="en-IN"/>
              </w:rPr>
              <w:t>..</w:t>
            </w:r>
          </w:p>
        </w:tc>
        <w:tc>
          <w:tcPr>
            <w:tcW w:w="651" w:type="dxa"/>
            <w:tcBorders>
              <w:top w:val="nil"/>
              <w:left w:val="nil"/>
              <w:bottom w:val="single" w:sz="4" w:space="0" w:color="auto"/>
              <w:right w:val="single" w:sz="4" w:space="0" w:color="auto"/>
            </w:tcBorders>
            <w:noWrap/>
            <w:vAlign w:val="center"/>
            <w:hideMark/>
          </w:tcPr>
          <w:p w14:paraId="3FE37E39" w14:textId="77777777" w:rsidR="008000A7" w:rsidRPr="007315B3" w:rsidRDefault="008000A7" w:rsidP="00471458">
            <w:pPr>
              <w:pStyle w:val="NoSpacing"/>
              <w:jc w:val="center"/>
              <w:rPr>
                <w:rFonts w:ascii="Times New Roman" w:hAnsi="Times New Roman" w:cs="Times New Roman"/>
                <w:sz w:val="18"/>
                <w:szCs w:val="18"/>
                <w:lang w:eastAsia="en-IN"/>
              </w:rPr>
            </w:pPr>
            <w:r w:rsidRPr="007315B3">
              <w:rPr>
                <w:rFonts w:ascii="Times New Roman" w:hAnsi="Times New Roman" w:cs="Times New Roman"/>
                <w:sz w:val="18"/>
                <w:szCs w:val="18"/>
                <w:lang w:eastAsia="en-IN"/>
              </w:rPr>
              <w:t>..</w:t>
            </w:r>
          </w:p>
        </w:tc>
        <w:tc>
          <w:tcPr>
            <w:tcW w:w="651" w:type="dxa"/>
            <w:tcBorders>
              <w:top w:val="nil"/>
              <w:left w:val="nil"/>
              <w:bottom w:val="single" w:sz="4" w:space="0" w:color="auto"/>
              <w:right w:val="single" w:sz="4" w:space="0" w:color="auto"/>
            </w:tcBorders>
            <w:noWrap/>
            <w:vAlign w:val="center"/>
            <w:hideMark/>
          </w:tcPr>
          <w:p w14:paraId="156E303E" w14:textId="77777777" w:rsidR="008000A7" w:rsidRPr="007315B3" w:rsidRDefault="008000A7" w:rsidP="00471458">
            <w:pPr>
              <w:pStyle w:val="NoSpacing"/>
              <w:jc w:val="center"/>
              <w:rPr>
                <w:rFonts w:ascii="Times New Roman" w:hAnsi="Times New Roman" w:cs="Times New Roman"/>
                <w:sz w:val="18"/>
                <w:szCs w:val="18"/>
                <w:lang w:eastAsia="en-IN"/>
              </w:rPr>
            </w:pPr>
            <w:r w:rsidRPr="007315B3">
              <w:rPr>
                <w:rFonts w:ascii="Times New Roman" w:hAnsi="Times New Roman" w:cs="Times New Roman"/>
                <w:sz w:val="18"/>
                <w:szCs w:val="18"/>
                <w:lang w:eastAsia="en-IN"/>
              </w:rPr>
              <w:t>..</w:t>
            </w:r>
          </w:p>
        </w:tc>
        <w:tc>
          <w:tcPr>
            <w:tcW w:w="651" w:type="dxa"/>
            <w:tcBorders>
              <w:top w:val="nil"/>
              <w:left w:val="nil"/>
              <w:bottom w:val="single" w:sz="4" w:space="0" w:color="auto"/>
              <w:right w:val="single" w:sz="4" w:space="0" w:color="auto"/>
            </w:tcBorders>
            <w:noWrap/>
            <w:vAlign w:val="center"/>
            <w:hideMark/>
          </w:tcPr>
          <w:p w14:paraId="3F3D84B4" w14:textId="77777777" w:rsidR="008000A7" w:rsidRPr="007315B3" w:rsidRDefault="008000A7" w:rsidP="00471458">
            <w:pPr>
              <w:pStyle w:val="NoSpacing"/>
              <w:jc w:val="center"/>
              <w:rPr>
                <w:rFonts w:ascii="Times New Roman" w:hAnsi="Times New Roman" w:cs="Times New Roman"/>
                <w:sz w:val="18"/>
                <w:szCs w:val="18"/>
                <w:lang w:eastAsia="en-IN"/>
              </w:rPr>
            </w:pPr>
            <w:r w:rsidRPr="007315B3">
              <w:rPr>
                <w:rFonts w:ascii="Times New Roman" w:hAnsi="Times New Roman" w:cs="Times New Roman"/>
                <w:sz w:val="18"/>
                <w:szCs w:val="18"/>
                <w:lang w:eastAsia="en-IN"/>
              </w:rPr>
              <w:t>..</w:t>
            </w:r>
          </w:p>
        </w:tc>
        <w:tc>
          <w:tcPr>
            <w:tcW w:w="712" w:type="dxa"/>
            <w:tcBorders>
              <w:top w:val="nil"/>
              <w:left w:val="nil"/>
              <w:bottom w:val="single" w:sz="4" w:space="0" w:color="auto"/>
              <w:right w:val="single" w:sz="4" w:space="0" w:color="auto"/>
            </w:tcBorders>
            <w:noWrap/>
            <w:vAlign w:val="center"/>
            <w:hideMark/>
          </w:tcPr>
          <w:p w14:paraId="3618C07D" w14:textId="77777777" w:rsidR="008000A7" w:rsidRPr="007315B3" w:rsidRDefault="008000A7" w:rsidP="00471458">
            <w:pPr>
              <w:pStyle w:val="NoSpacing"/>
              <w:jc w:val="center"/>
              <w:rPr>
                <w:rFonts w:ascii="Times New Roman" w:hAnsi="Times New Roman" w:cs="Times New Roman"/>
                <w:sz w:val="18"/>
                <w:szCs w:val="18"/>
                <w:lang w:eastAsia="en-IN"/>
              </w:rPr>
            </w:pPr>
            <w:r w:rsidRPr="007315B3">
              <w:rPr>
                <w:rFonts w:ascii="Times New Roman" w:hAnsi="Times New Roman" w:cs="Times New Roman"/>
                <w:sz w:val="18"/>
                <w:szCs w:val="18"/>
                <w:lang w:eastAsia="en-IN"/>
              </w:rPr>
              <w:t>..</w:t>
            </w:r>
          </w:p>
        </w:tc>
        <w:tc>
          <w:tcPr>
            <w:tcW w:w="651" w:type="dxa"/>
            <w:tcBorders>
              <w:top w:val="nil"/>
              <w:left w:val="nil"/>
              <w:bottom w:val="single" w:sz="4" w:space="0" w:color="auto"/>
              <w:right w:val="single" w:sz="4" w:space="0" w:color="auto"/>
            </w:tcBorders>
            <w:noWrap/>
            <w:vAlign w:val="center"/>
            <w:hideMark/>
          </w:tcPr>
          <w:p w14:paraId="6E9D3FBE" w14:textId="77777777" w:rsidR="008000A7" w:rsidRPr="007315B3" w:rsidRDefault="008000A7" w:rsidP="00471458">
            <w:pPr>
              <w:pStyle w:val="NoSpacing"/>
              <w:jc w:val="center"/>
              <w:rPr>
                <w:rFonts w:ascii="Times New Roman" w:hAnsi="Times New Roman" w:cs="Times New Roman"/>
                <w:sz w:val="18"/>
                <w:szCs w:val="18"/>
                <w:lang w:eastAsia="en-IN"/>
              </w:rPr>
            </w:pPr>
            <w:r w:rsidRPr="007315B3">
              <w:rPr>
                <w:rFonts w:ascii="Times New Roman" w:hAnsi="Times New Roman" w:cs="Times New Roman"/>
                <w:sz w:val="18"/>
                <w:szCs w:val="18"/>
                <w:lang w:eastAsia="en-IN"/>
              </w:rPr>
              <w:t>..</w:t>
            </w:r>
          </w:p>
        </w:tc>
        <w:tc>
          <w:tcPr>
            <w:tcW w:w="651" w:type="dxa"/>
            <w:tcBorders>
              <w:top w:val="nil"/>
              <w:left w:val="nil"/>
              <w:bottom w:val="single" w:sz="4" w:space="0" w:color="auto"/>
              <w:right w:val="single" w:sz="4" w:space="0" w:color="auto"/>
            </w:tcBorders>
            <w:noWrap/>
            <w:vAlign w:val="center"/>
            <w:hideMark/>
          </w:tcPr>
          <w:p w14:paraId="21A34F0A" w14:textId="77777777" w:rsidR="008000A7" w:rsidRPr="007315B3" w:rsidRDefault="008000A7" w:rsidP="00471458">
            <w:pPr>
              <w:pStyle w:val="NoSpacing"/>
              <w:jc w:val="center"/>
              <w:rPr>
                <w:rFonts w:ascii="Times New Roman" w:hAnsi="Times New Roman" w:cs="Times New Roman"/>
                <w:sz w:val="18"/>
                <w:szCs w:val="18"/>
                <w:lang w:eastAsia="en-IN"/>
              </w:rPr>
            </w:pPr>
            <w:r w:rsidRPr="007315B3">
              <w:rPr>
                <w:rFonts w:ascii="Times New Roman" w:hAnsi="Times New Roman" w:cs="Times New Roman"/>
                <w:sz w:val="18"/>
                <w:szCs w:val="18"/>
                <w:lang w:eastAsia="en-IN"/>
              </w:rPr>
              <w:t>..</w:t>
            </w:r>
          </w:p>
        </w:tc>
        <w:tc>
          <w:tcPr>
            <w:tcW w:w="651" w:type="dxa"/>
            <w:tcBorders>
              <w:top w:val="nil"/>
              <w:left w:val="nil"/>
              <w:bottom w:val="single" w:sz="4" w:space="0" w:color="auto"/>
              <w:right w:val="single" w:sz="4" w:space="0" w:color="auto"/>
            </w:tcBorders>
            <w:noWrap/>
            <w:vAlign w:val="center"/>
            <w:hideMark/>
          </w:tcPr>
          <w:p w14:paraId="111C0595" w14:textId="77777777" w:rsidR="008000A7" w:rsidRPr="007315B3" w:rsidRDefault="008000A7" w:rsidP="00471458">
            <w:pPr>
              <w:pStyle w:val="NoSpacing"/>
              <w:jc w:val="center"/>
              <w:rPr>
                <w:rFonts w:ascii="Times New Roman" w:hAnsi="Times New Roman" w:cs="Times New Roman"/>
                <w:sz w:val="18"/>
                <w:szCs w:val="18"/>
                <w:lang w:eastAsia="en-IN"/>
              </w:rPr>
            </w:pPr>
            <w:r w:rsidRPr="007315B3">
              <w:rPr>
                <w:rFonts w:ascii="Times New Roman" w:hAnsi="Times New Roman" w:cs="Times New Roman"/>
                <w:sz w:val="18"/>
                <w:szCs w:val="18"/>
                <w:lang w:eastAsia="en-IN"/>
              </w:rPr>
              <w:t>..</w:t>
            </w:r>
          </w:p>
        </w:tc>
        <w:tc>
          <w:tcPr>
            <w:tcW w:w="712" w:type="dxa"/>
            <w:tcBorders>
              <w:top w:val="nil"/>
              <w:left w:val="nil"/>
              <w:bottom w:val="single" w:sz="4" w:space="0" w:color="auto"/>
              <w:right w:val="single" w:sz="4" w:space="0" w:color="auto"/>
            </w:tcBorders>
            <w:noWrap/>
            <w:vAlign w:val="center"/>
            <w:hideMark/>
          </w:tcPr>
          <w:p w14:paraId="7B0EDB86" w14:textId="77777777" w:rsidR="008000A7" w:rsidRPr="007315B3" w:rsidRDefault="008000A7" w:rsidP="00471458">
            <w:pPr>
              <w:pStyle w:val="NoSpacing"/>
              <w:jc w:val="center"/>
              <w:rPr>
                <w:rFonts w:ascii="Times New Roman" w:hAnsi="Times New Roman" w:cs="Times New Roman"/>
                <w:sz w:val="18"/>
                <w:szCs w:val="18"/>
                <w:lang w:eastAsia="en-IN"/>
              </w:rPr>
            </w:pPr>
            <w:r w:rsidRPr="007315B3">
              <w:rPr>
                <w:rFonts w:ascii="Times New Roman" w:hAnsi="Times New Roman" w:cs="Times New Roman"/>
                <w:sz w:val="18"/>
                <w:szCs w:val="18"/>
                <w:lang w:eastAsia="en-IN"/>
              </w:rPr>
              <w:t>..</w:t>
            </w:r>
          </w:p>
        </w:tc>
        <w:tc>
          <w:tcPr>
            <w:tcW w:w="651" w:type="dxa"/>
            <w:tcBorders>
              <w:top w:val="nil"/>
              <w:left w:val="nil"/>
              <w:bottom w:val="single" w:sz="4" w:space="0" w:color="auto"/>
              <w:right w:val="single" w:sz="4" w:space="0" w:color="auto"/>
            </w:tcBorders>
            <w:noWrap/>
            <w:vAlign w:val="center"/>
            <w:hideMark/>
          </w:tcPr>
          <w:p w14:paraId="04089EF1" w14:textId="77777777" w:rsidR="008000A7" w:rsidRPr="007315B3" w:rsidRDefault="008000A7" w:rsidP="00471458">
            <w:pPr>
              <w:pStyle w:val="NoSpacing"/>
              <w:jc w:val="center"/>
              <w:rPr>
                <w:rFonts w:ascii="Times New Roman" w:hAnsi="Times New Roman" w:cs="Times New Roman"/>
                <w:sz w:val="18"/>
                <w:szCs w:val="18"/>
                <w:lang w:eastAsia="en-IN"/>
              </w:rPr>
            </w:pPr>
            <w:r w:rsidRPr="007315B3">
              <w:rPr>
                <w:rFonts w:ascii="Times New Roman" w:hAnsi="Times New Roman" w:cs="Times New Roman"/>
                <w:sz w:val="18"/>
                <w:szCs w:val="18"/>
                <w:lang w:eastAsia="en-IN"/>
              </w:rPr>
              <w:t>..</w:t>
            </w:r>
          </w:p>
        </w:tc>
        <w:tc>
          <w:tcPr>
            <w:tcW w:w="935" w:type="dxa"/>
            <w:tcBorders>
              <w:top w:val="nil"/>
              <w:left w:val="nil"/>
              <w:bottom w:val="single" w:sz="4" w:space="0" w:color="auto"/>
              <w:right w:val="single" w:sz="4" w:space="0" w:color="auto"/>
            </w:tcBorders>
            <w:noWrap/>
            <w:vAlign w:val="center"/>
            <w:hideMark/>
          </w:tcPr>
          <w:p w14:paraId="59C62F62" w14:textId="77777777" w:rsidR="008000A7" w:rsidRPr="007315B3" w:rsidRDefault="008000A7" w:rsidP="00471458">
            <w:pPr>
              <w:pStyle w:val="NoSpacing"/>
              <w:jc w:val="center"/>
              <w:rPr>
                <w:rFonts w:ascii="Times New Roman" w:hAnsi="Times New Roman" w:cs="Times New Roman"/>
                <w:sz w:val="18"/>
                <w:szCs w:val="18"/>
                <w:lang w:eastAsia="en-IN"/>
              </w:rPr>
            </w:pPr>
            <w:r w:rsidRPr="007315B3">
              <w:rPr>
                <w:rFonts w:ascii="Times New Roman" w:hAnsi="Times New Roman" w:cs="Times New Roman"/>
                <w:sz w:val="18"/>
                <w:szCs w:val="18"/>
                <w:lang w:eastAsia="en-IN"/>
              </w:rPr>
              <w:t>..</w:t>
            </w:r>
          </w:p>
        </w:tc>
        <w:tc>
          <w:tcPr>
            <w:tcW w:w="651" w:type="dxa"/>
            <w:tcBorders>
              <w:top w:val="nil"/>
              <w:left w:val="nil"/>
              <w:bottom w:val="single" w:sz="4" w:space="0" w:color="auto"/>
              <w:right w:val="single" w:sz="4" w:space="0" w:color="auto"/>
            </w:tcBorders>
            <w:noWrap/>
            <w:vAlign w:val="center"/>
            <w:hideMark/>
          </w:tcPr>
          <w:p w14:paraId="2314A668" w14:textId="77777777" w:rsidR="008000A7" w:rsidRPr="007315B3" w:rsidRDefault="008000A7" w:rsidP="00471458">
            <w:pPr>
              <w:pStyle w:val="NoSpacing"/>
              <w:jc w:val="center"/>
              <w:rPr>
                <w:rFonts w:ascii="Times New Roman" w:hAnsi="Times New Roman" w:cs="Times New Roman"/>
                <w:sz w:val="18"/>
                <w:szCs w:val="18"/>
                <w:lang w:eastAsia="en-IN"/>
              </w:rPr>
            </w:pPr>
            <w:r w:rsidRPr="007315B3">
              <w:rPr>
                <w:rFonts w:ascii="Times New Roman" w:hAnsi="Times New Roman" w:cs="Times New Roman"/>
                <w:sz w:val="18"/>
                <w:szCs w:val="18"/>
                <w:lang w:eastAsia="en-IN"/>
              </w:rPr>
              <w:t>..</w:t>
            </w:r>
          </w:p>
        </w:tc>
        <w:tc>
          <w:tcPr>
            <w:tcW w:w="651" w:type="dxa"/>
            <w:tcBorders>
              <w:top w:val="nil"/>
              <w:left w:val="nil"/>
              <w:bottom w:val="single" w:sz="4" w:space="0" w:color="auto"/>
              <w:right w:val="single" w:sz="4" w:space="0" w:color="auto"/>
            </w:tcBorders>
            <w:noWrap/>
            <w:vAlign w:val="center"/>
            <w:hideMark/>
          </w:tcPr>
          <w:p w14:paraId="6A40BB85" w14:textId="77777777" w:rsidR="008000A7" w:rsidRPr="007315B3" w:rsidRDefault="008000A7" w:rsidP="00471458">
            <w:pPr>
              <w:pStyle w:val="NoSpacing"/>
              <w:jc w:val="center"/>
              <w:rPr>
                <w:rFonts w:ascii="Times New Roman" w:hAnsi="Times New Roman" w:cs="Times New Roman"/>
                <w:sz w:val="18"/>
                <w:szCs w:val="18"/>
                <w:lang w:eastAsia="en-IN"/>
              </w:rPr>
            </w:pPr>
            <w:r w:rsidRPr="007315B3">
              <w:rPr>
                <w:rFonts w:ascii="Times New Roman" w:hAnsi="Times New Roman" w:cs="Times New Roman"/>
                <w:sz w:val="18"/>
                <w:szCs w:val="18"/>
                <w:lang w:eastAsia="en-IN"/>
              </w:rPr>
              <w:t>..</w:t>
            </w:r>
          </w:p>
        </w:tc>
        <w:tc>
          <w:tcPr>
            <w:tcW w:w="712" w:type="dxa"/>
            <w:tcBorders>
              <w:top w:val="nil"/>
              <w:left w:val="nil"/>
              <w:bottom w:val="single" w:sz="4" w:space="0" w:color="auto"/>
              <w:right w:val="single" w:sz="4" w:space="0" w:color="auto"/>
            </w:tcBorders>
            <w:noWrap/>
            <w:vAlign w:val="center"/>
            <w:hideMark/>
          </w:tcPr>
          <w:p w14:paraId="5066D20E" w14:textId="77777777" w:rsidR="008000A7" w:rsidRPr="007315B3" w:rsidRDefault="008000A7" w:rsidP="00471458">
            <w:pPr>
              <w:pStyle w:val="NoSpacing"/>
              <w:jc w:val="center"/>
              <w:rPr>
                <w:rFonts w:ascii="Times New Roman" w:hAnsi="Times New Roman" w:cs="Times New Roman"/>
                <w:sz w:val="18"/>
                <w:szCs w:val="18"/>
                <w:lang w:eastAsia="en-IN"/>
              </w:rPr>
            </w:pPr>
            <w:r w:rsidRPr="007315B3">
              <w:rPr>
                <w:rFonts w:ascii="Times New Roman" w:hAnsi="Times New Roman" w:cs="Times New Roman"/>
                <w:sz w:val="18"/>
                <w:szCs w:val="18"/>
                <w:lang w:eastAsia="en-IN"/>
              </w:rPr>
              <w:t>..</w:t>
            </w:r>
          </w:p>
        </w:tc>
        <w:tc>
          <w:tcPr>
            <w:tcW w:w="651" w:type="dxa"/>
            <w:tcBorders>
              <w:top w:val="nil"/>
              <w:left w:val="nil"/>
              <w:bottom w:val="single" w:sz="4" w:space="0" w:color="auto"/>
              <w:right w:val="single" w:sz="4" w:space="0" w:color="auto"/>
            </w:tcBorders>
            <w:noWrap/>
            <w:vAlign w:val="center"/>
            <w:hideMark/>
          </w:tcPr>
          <w:p w14:paraId="13953CC7" w14:textId="77777777" w:rsidR="008000A7" w:rsidRPr="007315B3" w:rsidRDefault="008000A7" w:rsidP="00471458">
            <w:pPr>
              <w:pStyle w:val="NoSpacing"/>
              <w:jc w:val="center"/>
              <w:rPr>
                <w:rFonts w:ascii="Times New Roman" w:hAnsi="Times New Roman" w:cs="Times New Roman"/>
                <w:sz w:val="18"/>
                <w:szCs w:val="18"/>
                <w:lang w:eastAsia="en-IN"/>
              </w:rPr>
            </w:pPr>
            <w:r w:rsidRPr="007315B3">
              <w:rPr>
                <w:rFonts w:ascii="Times New Roman" w:hAnsi="Times New Roman" w:cs="Times New Roman"/>
                <w:sz w:val="18"/>
                <w:szCs w:val="18"/>
                <w:lang w:eastAsia="en-IN"/>
              </w:rPr>
              <w:t>..</w:t>
            </w:r>
          </w:p>
        </w:tc>
        <w:tc>
          <w:tcPr>
            <w:tcW w:w="935" w:type="dxa"/>
            <w:tcBorders>
              <w:top w:val="nil"/>
              <w:left w:val="nil"/>
              <w:bottom w:val="single" w:sz="4" w:space="0" w:color="auto"/>
              <w:right w:val="single" w:sz="4" w:space="0" w:color="auto"/>
            </w:tcBorders>
            <w:noWrap/>
            <w:vAlign w:val="center"/>
            <w:hideMark/>
          </w:tcPr>
          <w:p w14:paraId="5F496207" w14:textId="77777777" w:rsidR="008000A7" w:rsidRPr="007315B3" w:rsidRDefault="008000A7" w:rsidP="00471458">
            <w:pPr>
              <w:pStyle w:val="NoSpacing"/>
              <w:jc w:val="center"/>
              <w:rPr>
                <w:rFonts w:ascii="Times New Roman" w:hAnsi="Times New Roman" w:cs="Times New Roman"/>
                <w:sz w:val="18"/>
                <w:szCs w:val="18"/>
                <w:lang w:eastAsia="en-IN"/>
              </w:rPr>
            </w:pPr>
            <w:r w:rsidRPr="007315B3">
              <w:rPr>
                <w:rFonts w:ascii="Times New Roman" w:hAnsi="Times New Roman" w:cs="Times New Roman"/>
                <w:sz w:val="18"/>
                <w:szCs w:val="18"/>
                <w:lang w:eastAsia="en-IN"/>
              </w:rPr>
              <w:t>..</w:t>
            </w:r>
          </w:p>
        </w:tc>
        <w:tc>
          <w:tcPr>
            <w:tcW w:w="651" w:type="dxa"/>
            <w:tcBorders>
              <w:top w:val="nil"/>
              <w:left w:val="nil"/>
              <w:bottom w:val="single" w:sz="4" w:space="0" w:color="auto"/>
              <w:right w:val="single" w:sz="4" w:space="0" w:color="auto"/>
            </w:tcBorders>
            <w:noWrap/>
            <w:vAlign w:val="center"/>
            <w:hideMark/>
          </w:tcPr>
          <w:p w14:paraId="1D42882D" w14:textId="77777777" w:rsidR="008000A7" w:rsidRPr="007315B3" w:rsidRDefault="008000A7" w:rsidP="00471458">
            <w:pPr>
              <w:pStyle w:val="NoSpacing"/>
              <w:jc w:val="center"/>
              <w:rPr>
                <w:rFonts w:ascii="Times New Roman" w:hAnsi="Times New Roman" w:cs="Times New Roman"/>
                <w:sz w:val="18"/>
                <w:szCs w:val="18"/>
                <w:lang w:eastAsia="en-IN"/>
              </w:rPr>
            </w:pPr>
            <w:r w:rsidRPr="007315B3">
              <w:rPr>
                <w:rFonts w:ascii="Times New Roman" w:hAnsi="Times New Roman" w:cs="Times New Roman"/>
                <w:sz w:val="18"/>
                <w:szCs w:val="18"/>
                <w:lang w:eastAsia="en-IN"/>
              </w:rPr>
              <w:t>..</w:t>
            </w:r>
          </w:p>
        </w:tc>
      </w:tr>
      <w:tr w:rsidR="008000A7" w:rsidRPr="007315B3" w14:paraId="262CFE33" w14:textId="77777777" w:rsidTr="00537910">
        <w:trPr>
          <w:trHeight w:val="65"/>
          <w:jc w:val="center"/>
        </w:trPr>
        <w:tc>
          <w:tcPr>
            <w:tcW w:w="870" w:type="dxa"/>
            <w:tcBorders>
              <w:top w:val="nil"/>
              <w:left w:val="single" w:sz="4" w:space="0" w:color="auto"/>
              <w:bottom w:val="single" w:sz="4" w:space="0" w:color="auto"/>
              <w:right w:val="single" w:sz="4" w:space="0" w:color="auto"/>
            </w:tcBorders>
            <w:noWrap/>
            <w:vAlign w:val="bottom"/>
            <w:hideMark/>
          </w:tcPr>
          <w:p w14:paraId="678CB872" w14:textId="77777777" w:rsidR="008000A7" w:rsidRPr="007315B3" w:rsidRDefault="008000A7" w:rsidP="00B77C0B">
            <w:pPr>
              <w:pStyle w:val="NoSpacing"/>
              <w:rPr>
                <w:rFonts w:ascii="Times New Roman" w:hAnsi="Times New Roman" w:cs="Times New Roman"/>
                <w:sz w:val="18"/>
                <w:szCs w:val="18"/>
                <w:lang w:eastAsia="en-IN"/>
              </w:rPr>
            </w:pPr>
            <w:r w:rsidRPr="007315B3">
              <w:rPr>
                <w:rFonts w:ascii="Times New Roman" w:hAnsi="Times New Roman" w:cs="Times New Roman"/>
                <w:sz w:val="18"/>
                <w:szCs w:val="18"/>
                <w:lang w:eastAsia="en-IN"/>
              </w:rPr>
              <w:t>Tamil Nadu</w:t>
            </w:r>
          </w:p>
        </w:tc>
        <w:tc>
          <w:tcPr>
            <w:tcW w:w="650" w:type="dxa"/>
            <w:tcBorders>
              <w:top w:val="nil"/>
              <w:left w:val="nil"/>
              <w:bottom w:val="single" w:sz="4" w:space="0" w:color="auto"/>
              <w:right w:val="single" w:sz="4" w:space="0" w:color="auto"/>
            </w:tcBorders>
            <w:noWrap/>
            <w:vAlign w:val="center"/>
            <w:hideMark/>
          </w:tcPr>
          <w:p w14:paraId="1C8CE29B" w14:textId="77777777" w:rsidR="008000A7" w:rsidRPr="007315B3" w:rsidRDefault="008000A7" w:rsidP="00471458">
            <w:pPr>
              <w:pStyle w:val="NoSpacing"/>
              <w:jc w:val="center"/>
              <w:rPr>
                <w:rFonts w:ascii="Times New Roman" w:hAnsi="Times New Roman" w:cs="Times New Roman"/>
                <w:sz w:val="18"/>
                <w:szCs w:val="18"/>
                <w:lang w:eastAsia="en-IN"/>
              </w:rPr>
            </w:pPr>
            <w:r w:rsidRPr="007315B3">
              <w:rPr>
                <w:rFonts w:ascii="Times New Roman" w:hAnsi="Times New Roman" w:cs="Times New Roman"/>
                <w:sz w:val="18"/>
                <w:szCs w:val="18"/>
                <w:lang w:eastAsia="en-IN"/>
              </w:rPr>
              <w:t>..</w:t>
            </w:r>
          </w:p>
        </w:tc>
        <w:tc>
          <w:tcPr>
            <w:tcW w:w="711" w:type="dxa"/>
            <w:tcBorders>
              <w:top w:val="nil"/>
              <w:left w:val="nil"/>
              <w:bottom w:val="single" w:sz="4" w:space="0" w:color="auto"/>
              <w:right w:val="single" w:sz="4" w:space="0" w:color="auto"/>
            </w:tcBorders>
            <w:noWrap/>
            <w:vAlign w:val="center"/>
            <w:hideMark/>
          </w:tcPr>
          <w:p w14:paraId="63DE0B14" w14:textId="77777777" w:rsidR="008000A7" w:rsidRPr="007315B3" w:rsidRDefault="008000A7" w:rsidP="00471458">
            <w:pPr>
              <w:pStyle w:val="NoSpacing"/>
              <w:jc w:val="center"/>
              <w:rPr>
                <w:rFonts w:ascii="Times New Roman" w:hAnsi="Times New Roman" w:cs="Times New Roman"/>
                <w:sz w:val="18"/>
                <w:szCs w:val="18"/>
                <w:lang w:eastAsia="en-IN"/>
              </w:rPr>
            </w:pPr>
            <w:r w:rsidRPr="007315B3">
              <w:rPr>
                <w:rFonts w:ascii="Times New Roman" w:hAnsi="Times New Roman" w:cs="Times New Roman"/>
                <w:sz w:val="18"/>
                <w:szCs w:val="18"/>
                <w:lang w:eastAsia="en-IN"/>
              </w:rPr>
              <w:t>..</w:t>
            </w:r>
          </w:p>
        </w:tc>
        <w:tc>
          <w:tcPr>
            <w:tcW w:w="651" w:type="dxa"/>
            <w:tcBorders>
              <w:top w:val="nil"/>
              <w:left w:val="nil"/>
              <w:bottom w:val="single" w:sz="4" w:space="0" w:color="auto"/>
              <w:right w:val="single" w:sz="4" w:space="0" w:color="auto"/>
            </w:tcBorders>
            <w:noWrap/>
            <w:vAlign w:val="center"/>
            <w:hideMark/>
          </w:tcPr>
          <w:p w14:paraId="585BF600" w14:textId="77777777" w:rsidR="008000A7" w:rsidRPr="007315B3" w:rsidRDefault="008000A7" w:rsidP="00471458">
            <w:pPr>
              <w:pStyle w:val="NoSpacing"/>
              <w:jc w:val="center"/>
              <w:rPr>
                <w:rFonts w:ascii="Times New Roman" w:hAnsi="Times New Roman" w:cs="Times New Roman"/>
                <w:sz w:val="18"/>
                <w:szCs w:val="18"/>
                <w:lang w:eastAsia="en-IN"/>
              </w:rPr>
            </w:pPr>
            <w:r w:rsidRPr="007315B3">
              <w:rPr>
                <w:rFonts w:ascii="Times New Roman" w:hAnsi="Times New Roman" w:cs="Times New Roman"/>
                <w:sz w:val="18"/>
                <w:szCs w:val="18"/>
                <w:lang w:eastAsia="en-IN"/>
              </w:rPr>
              <w:t>..</w:t>
            </w:r>
          </w:p>
        </w:tc>
        <w:tc>
          <w:tcPr>
            <w:tcW w:w="651" w:type="dxa"/>
            <w:tcBorders>
              <w:top w:val="nil"/>
              <w:left w:val="nil"/>
              <w:bottom w:val="single" w:sz="4" w:space="0" w:color="auto"/>
              <w:right w:val="single" w:sz="4" w:space="0" w:color="auto"/>
            </w:tcBorders>
            <w:noWrap/>
            <w:vAlign w:val="center"/>
            <w:hideMark/>
          </w:tcPr>
          <w:p w14:paraId="5AF941E1" w14:textId="77777777" w:rsidR="008000A7" w:rsidRPr="007315B3" w:rsidRDefault="008000A7" w:rsidP="00471458">
            <w:pPr>
              <w:pStyle w:val="NoSpacing"/>
              <w:jc w:val="center"/>
              <w:rPr>
                <w:rFonts w:ascii="Times New Roman" w:hAnsi="Times New Roman" w:cs="Times New Roman"/>
                <w:sz w:val="18"/>
                <w:szCs w:val="18"/>
                <w:lang w:eastAsia="en-IN"/>
              </w:rPr>
            </w:pPr>
            <w:r w:rsidRPr="007315B3">
              <w:rPr>
                <w:rFonts w:ascii="Times New Roman" w:hAnsi="Times New Roman" w:cs="Times New Roman"/>
                <w:sz w:val="18"/>
                <w:szCs w:val="18"/>
                <w:lang w:eastAsia="en-IN"/>
              </w:rPr>
              <w:t>..</w:t>
            </w:r>
          </w:p>
        </w:tc>
        <w:tc>
          <w:tcPr>
            <w:tcW w:w="651" w:type="dxa"/>
            <w:tcBorders>
              <w:top w:val="nil"/>
              <w:left w:val="nil"/>
              <w:bottom w:val="single" w:sz="4" w:space="0" w:color="auto"/>
              <w:right w:val="single" w:sz="4" w:space="0" w:color="auto"/>
            </w:tcBorders>
            <w:noWrap/>
            <w:vAlign w:val="center"/>
            <w:hideMark/>
          </w:tcPr>
          <w:p w14:paraId="27613373" w14:textId="77777777" w:rsidR="008000A7" w:rsidRPr="007315B3" w:rsidRDefault="008000A7" w:rsidP="00471458">
            <w:pPr>
              <w:pStyle w:val="NoSpacing"/>
              <w:jc w:val="center"/>
              <w:rPr>
                <w:rFonts w:ascii="Times New Roman" w:hAnsi="Times New Roman" w:cs="Times New Roman"/>
                <w:sz w:val="18"/>
                <w:szCs w:val="18"/>
                <w:lang w:eastAsia="en-IN"/>
              </w:rPr>
            </w:pPr>
            <w:r w:rsidRPr="007315B3">
              <w:rPr>
                <w:rFonts w:ascii="Times New Roman" w:hAnsi="Times New Roman" w:cs="Times New Roman"/>
                <w:sz w:val="18"/>
                <w:szCs w:val="18"/>
                <w:lang w:eastAsia="en-IN"/>
              </w:rPr>
              <w:t>..</w:t>
            </w:r>
          </w:p>
        </w:tc>
        <w:tc>
          <w:tcPr>
            <w:tcW w:w="712" w:type="dxa"/>
            <w:tcBorders>
              <w:top w:val="nil"/>
              <w:left w:val="nil"/>
              <w:bottom w:val="single" w:sz="4" w:space="0" w:color="auto"/>
              <w:right w:val="single" w:sz="4" w:space="0" w:color="auto"/>
            </w:tcBorders>
            <w:noWrap/>
            <w:vAlign w:val="center"/>
            <w:hideMark/>
          </w:tcPr>
          <w:p w14:paraId="56FF8D08" w14:textId="77777777" w:rsidR="008000A7" w:rsidRPr="007315B3" w:rsidRDefault="008000A7" w:rsidP="00471458">
            <w:pPr>
              <w:pStyle w:val="NoSpacing"/>
              <w:jc w:val="center"/>
              <w:rPr>
                <w:rFonts w:ascii="Times New Roman" w:hAnsi="Times New Roman" w:cs="Times New Roman"/>
                <w:sz w:val="18"/>
                <w:szCs w:val="18"/>
                <w:lang w:eastAsia="en-IN"/>
              </w:rPr>
            </w:pPr>
            <w:r w:rsidRPr="007315B3">
              <w:rPr>
                <w:rFonts w:ascii="Times New Roman" w:hAnsi="Times New Roman" w:cs="Times New Roman"/>
                <w:sz w:val="18"/>
                <w:szCs w:val="18"/>
                <w:lang w:eastAsia="en-IN"/>
              </w:rPr>
              <w:t>..</w:t>
            </w:r>
          </w:p>
        </w:tc>
        <w:tc>
          <w:tcPr>
            <w:tcW w:w="651" w:type="dxa"/>
            <w:tcBorders>
              <w:top w:val="nil"/>
              <w:left w:val="nil"/>
              <w:bottom w:val="single" w:sz="4" w:space="0" w:color="auto"/>
              <w:right w:val="single" w:sz="4" w:space="0" w:color="auto"/>
            </w:tcBorders>
            <w:noWrap/>
            <w:vAlign w:val="center"/>
            <w:hideMark/>
          </w:tcPr>
          <w:p w14:paraId="24D245F9" w14:textId="77777777" w:rsidR="008000A7" w:rsidRPr="007315B3" w:rsidRDefault="008000A7" w:rsidP="00471458">
            <w:pPr>
              <w:pStyle w:val="NoSpacing"/>
              <w:jc w:val="center"/>
              <w:rPr>
                <w:rFonts w:ascii="Times New Roman" w:hAnsi="Times New Roman" w:cs="Times New Roman"/>
                <w:sz w:val="18"/>
                <w:szCs w:val="18"/>
                <w:lang w:eastAsia="en-IN"/>
              </w:rPr>
            </w:pPr>
            <w:r w:rsidRPr="007315B3">
              <w:rPr>
                <w:rFonts w:ascii="Times New Roman" w:hAnsi="Times New Roman" w:cs="Times New Roman"/>
                <w:sz w:val="18"/>
                <w:szCs w:val="18"/>
                <w:lang w:eastAsia="en-IN"/>
              </w:rPr>
              <w:t>..</w:t>
            </w:r>
          </w:p>
        </w:tc>
        <w:tc>
          <w:tcPr>
            <w:tcW w:w="651" w:type="dxa"/>
            <w:tcBorders>
              <w:top w:val="nil"/>
              <w:left w:val="nil"/>
              <w:bottom w:val="single" w:sz="4" w:space="0" w:color="auto"/>
              <w:right w:val="single" w:sz="4" w:space="0" w:color="auto"/>
            </w:tcBorders>
            <w:noWrap/>
            <w:vAlign w:val="center"/>
            <w:hideMark/>
          </w:tcPr>
          <w:p w14:paraId="31D321AC" w14:textId="77777777" w:rsidR="008000A7" w:rsidRPr="007315B3" w:rsidRDefault="008000A7" w:rsidP="00471458">
            <w:pPr>
              <w:pStyle w:val="NoSpacing"/>
              <w:jc w:val="center"/>
              <w:rPr>
                <w:rFonts w:ascii="Times New Roman" w:hAnsi="Times New Roman" w:cs="Times New Roman"/>
                <w:sz w:val="18"/>
                <w:szCs w:val="18"/>
                <w:lang w:eastAsia="en-IN"/>
              </w:rPr>
            </w:pPr>
            <w:r w:rsidRPr="007315B3">
              <w:rPr>
                <w:rFonts w:ascii="Times New Roman" w:hAnsi="Times New Roman" w:cs="Times New Roman"/>
                <w:sz w:val="18"/>
                <w:szCs w:val="18"/>
                <w:lang w:eastAsia="en-IN"/>
              </w:rPr>
              <w:t>..</w:t>
            </w:r>
          </w:p>
        </w:tc>
        <w:tc>
          <w:tcPr>
            <w:tcW w:w="651" w:type="dxa"/>
            <w:tcBorders>
              <w:top w:val="nil"/>
              <w:left w:val="nil"/>
              <w:bottom w:val="single" w:sz="4" w:space="0" w:color="auto"/>
              <w:right w:val="single" w:sz="4" w:space="0" w:color="auto"/>
            </w:tcBorders>
            <w:noWrap/>
            <w:vAlign w:val="center"/>
            <w:hideMark/>
          </w:tcPr>
          <w:p w14:paraId="0BBF9084" w14:textId="77777777" w:rsidR="008000A7" w:rsidRPr="007315B3" w:rsidRDefault="008000A7" w:rsidP="00471458">
            <w:pPr>
              <w:pStyle w:val="NoSpacing"/>
              <w:jc w:val="center"/>
              <w:rPr>
                <w:rFonts w:ascii="Times New Roman" w:hAnsi="Times New Roman" w:cs="Times New Roman"/>
                <w:sz w:val="18"/>
                <w:szCs w:val="18"/>
                <w:lang w:eastAsia="en-IN"/>
              </w:rPr>
            </w:pPr>
            <w:r w:rsidRPr="007315B3">
              <w:rPr>
                <w:rFonts w:ascii="Times New Roman" w:hAnsi="Times New Roman" w:cs="Times New Roman"/>
                <w:sz w:val="18"/>
                <w:szCs w:val="18"/>
                <w:lang w:eastAsia="en-IN"/>
              </w:rPr>
              <w:t>..</w:t>
            </w:r>
          </w:p>
        </w:tc>
        <w:tc>
          <w:tcPr>
            <w:tcW w:w="712" w:type="dxa"/>
            <w:tcBorders>
              <w:top w:val="nil"/>
              <w:left w:val="nil"/>
              <w:bottom w:val="single" w:sz="4" w:space="0" w:color="auto"/>
              <w:right w:val="single" w:sz="4" w:space="0" w:color="auto"/>
            </w:tcBorders>
            <w:noWrap/>
            <w:vAlign w:val="center"/>
            <w:hideMark/>
          </w:tcPr>
          <w:p w14:paraId="4F17C0F0" w14:textId="77777777" w:rsidR="008000A7" w:rsidRPr="007315B3" w:rsidRDefault="008000A7" w:rsidP="00471458">
            <w:pPr>
              <w:pStyle w:val="NoSpacing"/>
              <w:jc w:val="center"/>
              <w:rPr>
                <w:rFonts w:ascii="Times New Roman" w:hAnsi="Times New Roman" w:cs="Times New Roman"/>
                <w:sz w:val="18"/>
                <w:szCs w:val="18"/>
                <w:lang w:eastAsia="en-IN"/>
              </w:rPr>
            </w:pPr>
            <w:r w:rsidRPr="007315B3">
              <w:rPr>
                <w:rFonts w:ascii="Times New Roman" w:hAnsi="Times New Roman" w:cs="Times New Roman"/>
                <w:sz w:val="18"/>
                <w:szCs w:val="18"/>
                <w:lang w:eastAsia="en-IN"/>
              </w:rPr>
              <w:t>..</w:t>
            </w:r>
          </w:p>
        </w:tc>
        <w:tc>
          <w:tcPr>
            <w:tcW w:w="651" w:type="dxa"/>
            <w:tcBorders>
              <w:top w:val="nil"/>
              <w:left w:val="nil"/>
              <w:bottom w:val="single" w:sz="4" w:space="0" w:color="auto"/>
              <w:right w:val="single" w:sz="4" w:space="0" w:color="auto"/>
            </w:tcBorders>
            <w:noWrap/>
            <w:vAlign w:val="center"/>
            <w:hideMark/>
          </w:tcPr>
          <w:p w14:paraId="5D519EBD" w14:textId="77777777" w:rsidR="008000A7" w:rsidRPr="007315B3" w:rsidRDefault="008000A7" w:rsidP="00471458">
            <w:pPr>
              <w:pStyle w:val="NoSpacing"/>
              <w:jc w:val="center"/>
              <w:rPr>
                <w:rFonts w:ascii="Times New Roman" w:hAnsi="Times New Roman" w:cs="Times New Roman"/>
                <w:sz w:val="18"/>
                <w:szCs w:val="18"/>
                <w:lang w:eastAsia="en-IN"/>
              </w:rPr>
            </w:pPr>
            <w:r w:rsidRPr="007315B3">
              <w:rPr>
                <w:rFonts w:ascii="Times New Roman" w:hAnsi="Times New Roman" w:cs="Times New Roman"/>
                <w:sz w:val="18"/>
                <w:szCs w:val="18"/>
                <w:lang w:eastAsia="en-IN"/>
              </w:rPr>
              <w:t>..</w:t>
            </w:r>
          </w:p>
        </w:tc>
        <w:tc>
          <w:tcPr>
            <w:tcW w:w="935" w:type="dxa"/>
            <w:tcBorders>
              <w:top w:val="nil"/>
              <w:left w:val="nil"/>
              <w:bottom w:val="single" w:sz="4" w:space="0" w:color="auto"/>
              <w:right w:val="single" w:sz="4" w:space="0" w:color="auto"/>
            </w:tcBorders>
            <w:noWrap/>
            <w:vAlign w:val="center"/>
            <w:hideMark/>
          </w:tcPr>
          <w:p w14:paraId="1F43938D" w14:textId="77777777" w:rsidR="008000A7" w:rsidRPr="007315B3" w:rsidRDefault="008000A7" w:rsidP="00471458">
            <w:pPr>
              <w:pStyle w:val="NoSpacing"/>
              <w:jc w:val="center"/>
              <w:rPr>
                <w:rFonts w:ascii="Times New Roman" w:hAnsi="Times New Roman" w:cs="Times New Roman"/>
                <w:sz w:val="18"/>
                <w:szCs w:val="18"/>
                <w:lang w:eastAsia="en-IN"/>
              </w:rPr>
            </w:pPr>
            <w:r w:rsidRPr="007315B3">
              <w:rPr>
                <w:rFonts w:ascii="Times New Roman" w:hAnsi="Times New Roman" w:cs="Times New Roman"/>
                <w:sz w:val="18"/>
                <w:szCs w:val="18"/>
                <w:lang w:eastAsia="en-IN"/>
              </w:rPr>
              <w:t>..</w:t>
            </w:r>
          </w:p>
        </w:tc>
        <w:tc>
          <w:tcPr>
            <w:tcW w:w="651" w:type="dxa"/>
            <w:tcBorders>
              <w:top w:val="nil"/>
              <w:left w:val="nil"/>
              <w:bottom w:val="single" w:sz="4" w:space="0" w:color="auto"/>
              <w:right w:val="single" w:sz="4" w:space="0" w:color="auto"/>
            </w:tcBorders>
            <w:noWrap/>
            <w:vAlign w:val="center"/>
            <w:hideMark/>
          </w:tcPr>
          <w:p w14:paraId="7E80485C" w14:textId="77777777" w:rsidR="008000A7" w:rsidRPr="007315B3" w:rsidRDefault="008000A7" w:rsidP="00471458">
            <w:pPr>
              <w:pStyle w:val="NoSpacing"/>
              <w:jc w:val="center"/>
              <w:rPr>
                <w:rFonts w:ascii="Times New Roman" w:hAnsi="Times New Roman" w:cs="Times New Roman"/>
                <w:sz w:val="18"/>
                <w:szCs w:val="18"/>
                <w:lang w:eastAsia="en-IN"/>
              </w:rPr>
            </w:pPr>
            <w:r w:rsidRPr="007315B3">
              <w:rPr>
                <w:rFonts w:ascii="Times New Roman" w:hAnsi="Times New Roman" w:cs="Times New Roman"/>
                <w:sz w:val="18"/>
                <w:szCs w:val="18"/>
                <w:lang w:eastAsia="en-IN"/>
              </w:rPr>
              <w:t>..</w:t>
            </w:r>
          </w:p>
        </w:tc>
        <w:tc>
          <w:tcPr>
            <w:tcW w:w="651" w:type="dxa"/>
            <w:tcBorders>
              <w:top w:val="nil"/>
              <w:left w:val="nil"/>
              <w:bottom w:val="single" w:sz="4" w:space="0" w:color="auto"/>
              <w:right w:val="single" w:sz="4" w:space="0" w:color="auto"/>
            </w:tcBorders>
            <w:noWrap/>
            <w:vAlign w:val="center"/>
            <w:hideMark/>
          </w:tcPr>
          <w:p w14:paraId="1A64DDD9" w14:textId="77777777" w:rsidR="008000A7" w:rsidRPr="007315B3" w:rsidRDefault="008000A7" w:rsidP="00471458">
            <w:pPr>
              <w:pStyle w:val="NoSpacing"/>
              <w:jc w:val="center"/>
              <w:rPr>
                <w:rFonts w:ascii="Times New Roman" w:hAnsi="Times New Roman" w:cs="Times New Roman"/>
                <w:sz w:val="18"/>
                <w:szCs w:val="18"/>
                <w:lang w:eastAsia="en-IN"/>
              </w:rPr>
            </w:pPr>
            <w:r w:rsidRPr="007315B3">
              <w:rPr>
                <w:rFonts w:ascii="Times New Roman" w:hAnsi="Times New Roman" w:cs="Times New Roman"/>
                <w:sz w:val="18"/>
                <w:szCs w:val="18"/>
                <w:lang w:eastAsia="en-IN"/>
              </w:rPr>
              <w:t>..</w:t>
            </w:r>
          </w:p>
        </w:tc>
        <w:tc>
          <w:tcPr>
            <w:tcW w:w="712" w:type="dxa"/>
            <w:tcBorders>
              <w:top w:val="nil"/>
              <w:left w:val="nil"/>
              <w:bottom w:val="single" w:sz="4" w:space="0" w:color="auto"/>
              <w:right w:val="single" w:sz="4" w:space="0" w:color="auto"/>
            </w:tcBorders>
            <w:noWrap/>
            <w:vAlign w:val="center"/>
            <w:hideMark/>
          </w:tcPr>
          <w:p w14:paraId="2A9F7B04" w14:textId="77777777" w:rsidR="008000A7" w:rsidRPr="007315B3" w:rsidRDefault="008000A7" w:rsidP="00471458">
            <w:pPr>
              <w:pStyle w:val="NoSpacing"/>
              <w:jc w:val="center"/>
              <w:rPr>
                <w:rFonts w:ascii="Times New Roman" w:hAnsi="Times New Roman" w:cs="Times New Roman"/>
                <w:sz w:val="18"/>
                <w:szCs w:val="18"/>
                <w:lang w:eastAsia="en-IN"/>
              </w:rPr>
            </w:pPr>
            <w:r w:rsidRPr="007315B3">
              <w:rPr>
                <w:rFonts w:ascii="Times New Roman" w:hAnsi="Times New Roman" w:cs="Times New Roman"/>
                <w:sz w:val="18"/>
                <w:szCs w:val="18"/>
                <w:lang w:eastAsia="en-IN"/>
              </w:rPr>
              <w:t>..</w:t>
            </w:r>
          </w:p>
        </w:tc>
        <w:tc>
          <w:tcPr>
            <w:tcW w:w="651" w:type="dxa"/>
            <w:tcBorders>
              <w:top w:val="nil"/>
              <w:left w:val="nil"/>
              <w:bottom w:val="single" w:sz="4" w:space="0" w:color="auto"/>
              <w:right w:val="single" w:sz="4" w:space="0" w:color="auto"/>
            </w:tcBorders>
            <w:noWrap/>
            <w:vAlign w:val="center"/>
            <w:hideMark/>
          </w:tcPr>
          <w:p w14:paraId="433F103C" w14:textId="77777777" w:rsidR="008000A7" w:rsidRPr="007315B3" w:rsidRDefault="008000A7" w:rsidP="00471458">
            <w:pPr>
              <w:pStyle w:val="NoSpacing"/>
              <w:jc w:val="center"/>
              <w:rPr>
                <w:rFonts w:ascii="Times New Roman" w:hAnsi="Times New Roman" w:cs="Times New Roman"/>
                <w:sz w:val="18"/>
                <w:szCs w:val="18"/>
                <w:lang w:eastAsia="en-IN"/>
              </w:rPr>
            </w:pPr>
            <w:r w:rsidRPr="007315B3">
              <w:rPr>
                <w:rFonts w:ascii="Times New Roman" w:hAnsi="Times New Roman" w:cs="Times New Roman"/>
                <w:sz w:val="18"/>
                <w:szCs w:val="18"/>
                <w:lang w:eastAsia="en-IN"/>
              </w:rPr>
              <w:t>..</w:t>
            </w:r>
          </w:p>
        </w:tc>
        <w:tc>
          <w:tcPr>
            <w:tcW w:w="935" w:type="dxa"/>
            <w:tcBorders>
              <w:top w:val="nil"/>
              <w:left w:val="nil"/>
              <w:bottom w:val="single" w:sz="4" w:space="0" w:color="auto"/>
              <w:right w:val="single" w:sz="4" w:space="0" w:color="auto"/>
            </w:tcBorders>
            <w:noWrap/>
            <w:vAlign w:val="center"/>
            <w:hideMark/>
          </w:tcPr>
          <w:p w14:paraId="655EA815" w14:textId="77777777" w:rsidR="008000A7" w:rsidRPr="007315B3" w:rsidRDefault="008000A7" w:rsidP="00471458">
            <w:pPr>
              <w:pStyle w:val="NoSpacing"/>
              <w:jc w:val="center"/>
              <w:rPr>
                <w:rFonts w:ascii="Times New Roman" w:hAnsi="Times New Roman" w:cs="Times New Roman"/>
                <w:sz w:val="18"/>
                <w:szCs w:val="18"/>
                <w:lang w:eastAsia="en-IN"/>
              </w:rPr>
            </w:pPr>
            <w:r w:rsidRPr="007315B3">
              <w:rPr>
                <w:rFonts w:ascii="Times New Roman" w:hAnsi="Times New Roman" w:cs="Times New Roman"/>
                <w:sz w:val="18"/>
                <w:szCs w:val="18"/>
                <w:lang w:eastAsia="en-IN"/>
              </w:rPr>
              <w:t>..</w:t>
            </w:r>
          </w:p>
        </w:tc>
        <w:tc>
          <w:tcPr>
            <w:tcW w:w="651" w:type="dxa"/>
            <w:tcBorders>
              <w:top w:val="nil"/>
              <w:left w:val="nil"/>
              <w:bottom w:val="single" w:sz="4" w:space="0" w:color="auto"/>
              <w:right w:val="single" w:sz="4" w:space="0" w:color="auto"/>
            </w:tcBorders>
            <w:noWrap/>
            <w:vAlign w:val="center"/>
            <w:hideMark/>
          </w:tcPr>
          <w:p w14:paraId="7B63291C" w14:textId="77777777" w:rsidR="008000A7" w:rsidRPr="007315B3" w:rsidRDefault="008000A7" w:rsidP="00471458">
            <w:pPr>
              <w:pStyle w:val="NoSpacing"/>
              <w:jc w:val="center"/>
              <w:rPr>
                <w:rFonts w:ascii="Times New Roman" w:hAnsi="Times New Roman" w:cs="Times New Roman"/>
                <w:sz w:val="18"/>
                <w:szCs w:val="18"/>
                <w:lang w:eastAsia="en-IN"/>
              </w:rPr>
            </w:pPr>
            <w:r w:rsidRPr="007315B3">
              <w:rPr>
                <w:rFonts w:ascii="Times New Roman" w:hAnsi="Times New Roman" w:cs="Times New Roman"/>
                <w:sz w:val="18"/>
                <w:szCs w:val="18"/>
                <w:lang w:eastAsia="en-IN"/>
              </w:rPr>
              <w:t>..</w:t>
            </w:r>
          </w:p>
        </w:tc>
      </w:tr>
      <w:tr w:rsidR="008000A7" w:rsidRPr="007315B3" w14:paraId="489F9FA6" w14:textId="77777777" w:rsidTr="00537910">
        <w:trPr>
          <w:trHeight w:val="65"/>
          <w:jc w:val="center"/>
        </w:trPr>
        <w:tc>
          <w:tcPr>
            <w:tcW w:w="870" w:type="dxa"/>
            <w:tcBorders>
              <w:top w:val="nil"/>
              <w:left w:val="single" w:sz="4" w:space="0" w:color="auto"/>
              <w:bottom w:val="single" w:sz="4" w:space="0" w:color="auto"/>
              <w:right w:val="single" w:sz="4" w:space="0" w:color="auto"/>
            </w:tcBorders>
            <w:noWrap/>
            <w:vAlign w:val="bottom"/>
            <w:hideMark/>
          </w:tcPr>
          <w:p w14:paraId="2720BB14" w14:textId="77777777" w:rsidR="008000A7" w:rsidRPr="007315B3" w:rsidRDefault="008000A7" w:rsidP="00B77C0B">
            <w:pPr>
              <w:pStyle w:val="NoSpacing"/>
              <w:rPr>
                <w:rFonts w:ascii="Times New Roman" w:hAnsi="Times New Roman" w:cs="Times New Roman"/>
                <w:sz w:val="18"/>
                <w:szCs w:val="18"/>
                <w:lang w:eastAsia="en-IN"/>
              </w:rPr>
            </w:pPr>
            <w:r w:rsidRPr="007315B3">
              <w:rPr>
                <w:rFonts w:ascii="Times New Roman" w:hAnsi="Times New Roman" w:cs="Times New Roman"/>
                <w:sz w:val="18"/>
                <w:szCs w:val="18"/>
                <w:lang w:eastAsia="en-IN"/>
              </w:rPr>
              <w:t>Uttar Pradesh</w:t>
            </w:r>
          </w:p>
        </w:tc>
        <w:tc>
          <w:tcPr>
            <w:tcW w:w="650" w:type="dxa"/>
            <w:tcBorders>
              <w:top w:val="nil"/>
              <w:left w:val="nil"/>
              <w:bottom w:val="single" w:sz="4" w:space="0" w:color="auto"/>
              <w:right w:val="single" w:sz="4" w:space="0" w:color="auto"/>
            </w:tcBorders>
            <w:noWrap/>
            <w:vAlign w:val="center"/>
            <w:hideMark/>
          </w:tcPr>
          <w:p w14:paraId="2DB5ABDC" w14:textId="77777777" w:rsidR="008000A7" w:rsidRPr="007315B3" w:rsidRDefault="008000A7" w:rsidP="00471458">
            <w:pPr>
              <w:pStyle w:val="NoSpacing"/>
              <w:jc w:val="center"/>
              <w:rPr>
                <w:rFonts w:ascii="Times New Roman" w:hAnsi="Times New Roman" w:cs="Times New Roman"/>
                <w:sz w:val="18"/>
                <w:szCs w:val="18"/>
                <w:lang w:eastAsia="en-IN"/>
              </w:rPr>
            </w:pPr>
            <w:r w:rsidRPr="007315B3">
              <w:rPr>
                <w:rFonts w:ascii="Times New Roman" w:hAnsi="Times New Roman" w:cs="Times New Roman"/>
                <w:sz w:val="18"/>
                <w:szCs w:val="18"/>
                <w:lang w:eastAsia="en-IN"/>
              </w:rPr>
              <w:t>..</w:t>
            </w:r>
          </w:p>
        </w:tc>
        <w:tc>
          <w:tcPr>
            <w:tcW w:w="711" w:type="dxa"/>
            <w:tcBorders>
              <w:top w:val="nil"/>
              <w:left w:val="nil"/>
              <w:bottom w:val="single" w:sz="4" w:space="0" w:color="auto"/>
              <w:right w:val="single" w:sz="4" w:space="0" w:color="auto"/>
            </w:tcBorders>
            <w:noWrap/>
            <w:vAlign w:val="center"/>
            <w:hideMark/>
          </w:tcPr>
          <w:p w14:paraId="2D8ED63D" w14:textId="77777777" w:rsidR="008000A7" w:rsidRPr="007315B3" w:rsidRDefault="008000A7" w:rsidP="00471458">
            <w:pPr>
              <w:pStyle w:val="NoSpacing"/>
              <w:jc w:val="center"/>
              <w:rPr>
                <w:rFonts w:ascii="Times New Roman" w:hAnsi="Times New Roman" w:cs="Times New Roman"/>
                <w:sz w:val="18"/>
                <w:szCs w:val="18"/>
                <w:lang w:eastAsia="en-IN"/>
              </w:rPr>
            </w:pPr>
            <w:r w:rsidRPr="007315B3">
              <w:rPr>
                <w:rFonts w:ascii="Times New Roman" w:hAnsi="Times New Roman" w:cs="Times New Roman"/>
                <w:sz w:val="18"/>
                <w:szCs w:val="18"/>
                <w:lang w:eastAsia="en-IN"/>
              </w:rPr>
              <w:t>..</w:t>
            </w:r>
          </w:p>
        </w:tc>
        <w:tc>
          <w:tcPr>
            <w:tcW w:w="651" w:type="dxa"/>
            <w:tcBorders>
              <w:top w:val="nil"/>
              <w:left w:val="nil"/>
              <w:bottom w:val="single" w:sz="4" w:space="0" w:color="auto"/>
              <w:right w:val="single" w:sz="4" w:space="0" w:color="auto"/>
            </w:tcBorders>
            <w:noWrap/>
            <w:vAlign w:val="center"/>
            <w:hideMark/>
          </w:tcPr>
          <w:p w14:paraId="5BBDA84B" w14:textId="77777777" w:rsidR="008000A7" w:rsidRPr="007315B3" w:rsidRDefault="008000A7" w:rsidP="00471458">
            <w:pPr>
              <w:pStyle w:val="NoSpacing"/>
              <w:jc w:val="center"/>
              <w:rPr>
                <w:rFonts w:ascii="Times New Roman" w:hAnsi="Times New Roman" w:cs="Times New Roman"/>
                <w:sz w:val="18"/>
                <w:szCs w:val="18"/>
                <w:lang w:eastAsia="en-IN"/>
              </w:rPr>
            </w:pPr>
            <w:r w:rsidRPr="007315B3">
              <w:rPr>
                <w:rFonts w:ascii="Times New Roman" w:hAnsi="Times New Roman" w:cs="Times New Roman"/>
                <w:sz w:val="18"/>
                <w:szCs w:val="18"/>
                <w:lang w:eastAsia="en-IN"/>
              </w:rPr>
              <w:t>..</w:t>
            </w:r>
          </w:p>
        </w:tc>
        <w:tc>
          <w:tcPr>
            <w:tcW w:w="651" w:type="dxa"/>
            <w:tcBorders>
              <w:top w:val="nil"/>
              <w:left w:val="nil"/>
              <w:bottom w:val="single" w:sz="4" w:space="0" w:color="auto"/>
              <w:right w:val="single" w:sz="4" w:space="0" w:color="auto"/>
            </w:tcBorders>
            <w:noWrap/>
            <w:vAlign w:val="center"/>
            <w:hideMark/>
          </w:tcPr>
          <w:p w14:paraId="15EE1FB0" w14:textId="77777777" w:rsidR="008000A7" w:rsidRPr="007315B3" w:rsidRDefault="008000A7" w:rsidP="00471458">
            <w:pPr>
              <w:pStyle w:val="NoSpacing"/>
              <w:jc w:val="center"/>
              <w:rPr>
                <w:rFonts w:ascii="Times New Roman" w:hAnsi="Times New Roman" w:cs="Times New Roman"/>
                <w:sz w:val="18"/>
                <w:szCs w:val="18"/>
                <w:lang w:eastAsia="en-IN"/>
              </w:rPr>
            </w:pPr>
            <w:r w:rsidRPr="007315B3">
              <w:rPr>
                <w:rFonts w:ascii="Times New Roman" w:hAnsi="Times New Roman" w:cs="Times New Roman"/>
                <w:sz w:val="18"/>
                <w:szCs w:val="18"/>
                <w:lang w:eastAsia="en-IN"/>
              </w:rPr>
              <w:t>..</w:t>
            </w:r>
          </w:p>
        </w:tc>
        <w:tc>
          <w:tcPr>
            <w:tcW w:w="651" w:type="dxa"/>
            <w:tcBorders>
              <w:top w:val="nil"/>
              <w:left w:val="nil"/>
              <w:bottom w:val="single" w:sz="4" w:space="0" w:color="auto"/>
              <w:right w:val="single" w:sz="4" w:space="0" w:color="auto"/>
            </w:tcBorders>
            <w:noWrap/>
            <w:vAlign w:val="center"/>
            <w:hideMark/>
          </w:tcPr>
          <w:p w14:paraId="6B425FA1" w14:textId="77777777" w:rsidR="008000A7" w:rsidRPr="007315B3" w:rsidRDefault="008000A7" w:rsidP="00471458">
            <w:pPr>
              <w:pStyle w:val="NoSpacing"/>
              <w:jc w:val="center"/>
              <w:rPr>
                <w:rFonts w:ascii="Times New Roman" w:hAnsi="Times New Roman" w:cs="Times New Roman"/>
                <w:sz w:val="18"/>
                <w:szCs w:val="18"/>
                <w:lang w:eastAsia="en-IN"/>
              </w:rPr>
            </w:pPr>
            <w:r w:rsidRPr="007315B3">
              <w:rPr>
                <w:rFonts w:ascii="Times New Roman" w:hAnsi="Times New Roman" w:cs="Times New Roman"/>
                <w:sz w:val="18"/>
                <w:szCs w:val="18"/>
                <w:lang w:eastAsia="en-IN"/>
              </w:rPr>
              <w:t>..</w:t>
            </w:r>
          </w:p>
        </w:tc>
        <w:tc>
          <w:tcPr>
            <w:tcW w:w="712" w:type="dxa"/>
            <w:tcBorders>
              <w:top w:val="nil"/>
              <w:left w:val="nil"/>
              <w:bottom w:val="single" w:sz="4" w:space="0" w:color="auto"/>
              <w:right w:val="single" w:sz="4" w:space="0" w:color="auto"/>
            </w:tcBorders>
            <w:noWrap/>
            <w:vAlign w:val="center"/>
            <w:hideMark/>
          </w:tcPr>
          <w:p w14:paraId="6C5B8245" w14:textId="77777777" w:rsidR="008000A7" w:rsidRPr="007315B3" w:rsidRDefault="008000A7" w:rsidP="00471458">
            <w:pPr>
              <w:pStyle w:val="NoSpacing"/>
              <w:jc w:val="center"/>
              <w:rPr>
                <w:rFonts w:ascii="Times New Roman" w:hAnsi="Times New Roman" w:cs="Times New Roman"/>
                <w:sz w:val="18"/>
                <w:szCs w:val="18"/>
                <w:lang w:eastAsia="en-IN"/>
              </w:rPr>
            </w:pPr>
            <w:r w:rsidRPr="007315B3">
              <w:rPr>
                <w:rFonts w:ascii="Times New Roman" w:hAnsi="Times New Roman" w:cs="Times New Roman"/>
                <w:sz w:val="18"/>
                <w:szCs w:val="18"/>
                <w:lang w:eastAsia="en-IN"/>
              </w:rPr>
              <w:t>..</w:t>
            </w:r>
          </w:p>
        </w:tc>
        <w:tc>
          <w:tcPr>
            <w:tcW w:w="651" w:type="dxa"/>
            <w:tcBorders>
              <w:top w:val="nil"/>
              <w:left w:val="nil"/>
              <w:bottom w:val="single" w:sz="4" w:space="0" w:color="auto"/>
              <w:right w:val="single" w:sz="4" w:space="0" w:color="auto"/>
            </w:tcBorders>
            <w:noWrap/>
            <w:vAlign w:val="center"/>
            <w:hideMark/>
          </w:tcPr>
          <w:p w14:paraId="0DA188BB" w14:textId="77777777" w:rsidR="008000A7" w:rsidRPr="007315B3" w:rsidRDefault="008000A7" w:rsidP="00471458">
            <w:pPr>
              <w:pStyle w:val="NoSpacing"/>
              <w:jc w:val="center"/>
              <w:rPr>
                <w:rFonts w:ascii="Times New Roman" w:hAnsi="Times New Roman" w:cs="Times New Roman"/>
                <w:sz w:val="18"/>
                <w:szCs w:val="18"/>
                <w:lang w:eastAsia="en-IN"/>
              </w:rPr>
            </w:pPr>
            <w:r w:rsidRPr="007315B3">
              <w:rPr>
                <w:rFonts w:ascii="Times New Roman" w:hAnsi="Times New Roman" w:cs="Times New Roman"/>
                <w:sz w:val="18"/>
                <w:szCs w:val="18"/>
                <w:lang w:eastAsia="en-IN"/>
              </w:rPr>
              <w:t>..</w:t>
            </w:r>
          </w:p>
        </w:tc>
        <w:tc>
          <w:tcPr>
            <w:tcW w:w="651" w:type="dxa"/>
            <w:tcBorders>
              <w:top w:val="nil"/>
              <w:left w:val="nil"/>
              <w:bottom w:val="single" w:sz="4" w:space="0" w:color="auto"/>
              <w:right w:val="single" w:sz="4" w:space="0" w:color="auto"/>
            </w:tcBorders>
            <w:noWrap/>
            <w:vAlign w:val="center"/>
            <w:hideMark/>
          </w:tcPr>
          <w:p w14:paraId="0907248F" w14:textId="77777777" w:rsidR="008000A7" w:rsidRPr="007315B3" w:rsidRDefault="008000A7" w:rsidP="00471458">
            <w:pPr>
              <w:pStyle w:val="NoSpacing"/>
              <w:jc w:val="center"/>
              <w:rPr>
                <w:rFonts w:ascii="Times New Roman" w:hAnsi="Times New Roman" w:cs="Times New Roman"/>
                <w:sz w:val="18"/>
                <w:szCs w:val="18"/>
                <w:lang w:eastAsia="en-IN"/>
              </w:rPr>
            </w:pPr>
            <w:r w:rsidRPr="007315B3">
              <w:rPr>
                <w:rFonts w:ascii="Times New Roman" w:hAnsi="Times New Roman" w:cs="Times New Roman"/>
                <w:sz w:val="18"/>
                <w:szCs w:val="18"/>
                <w:lang w:eastAsia="en-IN"/>
              </w:rPr>
              <w:t>..</w:t>
            </w:r>
          </w:p>
        </w:tc>
        <w:tc>
          <w:tcPr>
            <w:tcW w:w="651" w:type="dxa"/>
            <w:tcBorders>
              <w:top w:val="nil"/>
              <w:left w:val="nil"/>
              <w:bottom w:val="single" w:sz="4" w:space="0" w:color="auto"/>
              <w:right w:val="single" w:sz="4" w:space="0" w:color="auto"/>
            </w:tcBorders>
            <w:noWrap/>
            <w:vAlign w:val="center"/>
            <w:hideMark/>
          </w:tcPr>
          <w:p w14:paraId="72124562" w14:textId="77777777" w:rsidR="008000A7" w:rsidRPr="007315B3" w:rsidRDefault="008000A7" w:rsidP="00471458">
            <w:pPr>
              <w:pStyle w:val="NoSpacing"/>
              <w:jc w:val="center"/>
              <w:rPr>
                <w:rFonts w:ascii="Times New Roman" w:hAnsi="Times New Roman" w:cs="Times New Roman"/>
                <w:sz w:val="18"/>
                <w:szCs w:val="18"/>
                <w:lang w:eastAsia="en-IN"/>
              </w:rPr>
            </w:pPr>
            <w:r w:rsidRPr="007315B3">
              <w:rPr>
                <w:rFonts w:ascii="Times New Roman" w:hAnsi="Times New Roman" w:cs="Times New Roman"/>
                <w:sz w:val="18"/>
                <w:szCs w:val="18"/>
                <w:lang w:eastAsia="en-IN"/>
              </w:rPr>
              <w:t>..</w:t>
            </w:r>
          </w:p>
        </w:tc>
        <w:tc>
          <w:tcPr>
            <w:tcW w:w="712" w:type="dxa"/>
            <w:tcBorders>
              <w:top w:val="nil"/>
              <w:left w:val="nil"/>
              <w:bottom w:val="single" w:sz="4" w:space="0" w:color="auto"/>
              <w:right w:val="single" w:sz="4" w:space="0" w:color="auto"/>
            </w:tcBorders>
            <w:noWrap/>
            <w:vAlign w:val="center"/>
            <w:hideMark/>
          </w:tcPr>
          <w:p w14:paraId="41FCACB9" w14:textId="77777777" w:rsidR="008000A7" w:rsidRPr="007315B3" w:rsidRDefault="008000A7" w:rsidP="00471458">
            <w:pPr>
              <w:pStyle w:val="NoSpacing"/>
              <w:jc w:val="center"/>
              <w:rPr>
                <w:rFonts w:ascii="Times New Roman" w:hAnsi="Times New Roman" w:cs="Times New Roman"/>
                <w:sz w:val="18"/>
                <w:szCs w:val="18"/>
                <w:lang w:eastAsia="en-IN"/>
              </w:rPr>
            </w:pPr>
            <w:r w:rsidRPr="007315B3">
              <w:rPr>
                <w:rFonts w:ascii="Times New Roman" w:hAnsi="Times New Roman" w:cs="Times New Roman"/>
                <w:sz w:val="18"/>
                <w:szCs w:val="18"/>
                <w:lang w:eastAsia="en-IN"/>
              </w:rPr>
              <w:t>..</w:t>
            </w:r>
          </w:p>
        </w:tc>
        <w:tc>
          <w:tcPr>
            <w:tcW w:w="651" w:type="dxa"/>
            <w:tcBorders>
              <w:top w:val="nil"/>
              <w:left w:val="nil"/>
              <w:bottom w:val="single" w:sz="4" w:space="0" w:color="auto"/>
              <w:right w:val="single" w:sz="4" w:space="0" w:color="auto"/>
            </w:tcBorders>
            <w:noWrap/>
            <w:vAlign w:val="center"/>
            <w:hideMark/>
          </w:tcPr>
          <w:p w14:paraId="157B133F" w14:textId="77777777" w:rsidR="008000A7" w:rsidRPr="007315B3" w:rsidRDefault="008000A7" w:rsidP="00471458">
            <w:pPr>
              <w:pStyle w:val="NoSpacing"/>
              <w:jc w:val="center"/>
              <w:rPr>
                <w:rFonts w:ascii="Times New Roman" w:hAnsi="Times New Roman" w:cs="Times New Roman"/>
                <w:sz w:val="18"/>
                <w:szCs w:val="18"/>
                <w:lang w:eastAsia="en-IN"/>
              </w:rPr>
            </w:pPr>
            <w:r w:rsidRPr="007315B3">
              <w:rPr>
                <w:rFonts w:ascii="Times New Roman" w:hAnsi="Times New Roman" w:cs="Times New Roman"/>
                <w:sz w:val="18"/>
                <w:szCs w:val="18"/>
                <w:lang w:eastAsia="en-IN"/>
              </w:rPr>
              <w:t>..</w:t>
            </w:r>
          </w:p>
        </w:tc>
        <w:tc>
          <w:tcPr>
            <w:tcW w:w="935" w:type="dxa"/>
            <w:tcBorders>
              <w:top w:val="nil"/>
              <w:left w:val="nil"/>
              <w:bottom w:val="single" w:sz="4" w:space="0" w:color="auto"/>
              <w:right w:val="single" w:sz="4" w:space="0" w:color="auto"/>
            </w:tcBorders>
            <w:noWrap/>
            <w:vAlign w:val="center"/>
            <w:hideMark/>
          </w:tcPr>
          <w:p w14:paraId="2D9E09CA" w14:textId="77777777" w:rsidR="008000A7" w:rsidRPr="007315B3" w:rsidRDefault="008000A7" w:rsidP="00471458">
            <w:pPr>
              <w:pStyle w:val="NoSpacing"/>
              <w:jc w:val="center"/>
              <w:rPr>
                <w:rFonts w:ascii="Times New Roman" w:hAnsi="Times New Roman" w:cs="Times New Roman"/>
                <w:sz w:val="18"/>
                <w:szCs w:val="18"/>
                <w:lang w:eastAsia="en-IN"/>
              </w:rPr>
            </w:pPr>
            <w:r w:rsidRPr="007315B3">
              <w:rPr>
                <w:rFonts w:ascii="Times New Roman" w:hAnsi="Times New Roman" w:cs="Times New Roman"/>
                <w:sz w:val="18"/>
                <w:szCs w:val="18"/>
                <w:lang w:eastAsia="en-IN"/>
              </w:rPr>
              <w:t>..</w:t>
            </w:r>
          </w:p>
        </w:tc>
        <w:tc>
          <w:tcPr>
            <w:tcW w:w="651" w:type="dxa"/>
            <w:tcBorders>
              <w:top w:val="nil"/>
              <w:left w:val="nil"/>
              <w:bottom w:val="single" w:sz="4" w:space="0" w:color="auto"/>
              <w:right w:val="single" w:sz="4" w:space="0" w:color="auto"/>
            </w:tcBorders>
            <w:noWrap/>
            <w:vAlign w:val="center"/>
            <w:hideMark/>
          </w:tcPr>
          <w:p w14:paraId="22EA632D" w14:textId="77777777" w:rsidR="008000A7" w:rsidRPr="007315B3" w:rsidRDefault="008000A7" w:rsidP="00471458">
            <w:pPr>
              <w:pStyle w:val="NoSpacing"/>
              <w:jc w:val="center"/>
              <w:rPr>
                <w:rFonts w:ascii="Times New Roman" w:hAnsi="Times New Roman" w:cs="Times New Roman"/>
                <w:sz w:val="18"/>
                <w:szCs w:val="18"/>
                <w:lang w:eastAsia="en-IN"/>
              </w:rPr>
            </w:pPr>
            <w:r w:rsidRPr="007315B3">
              <w:rPr>
                <w:rFonts w:ascii="Times New Roman" w:hAnsi="Times New Roman" w:cs="Times New Roman"/>
                <w:sz w:val="18"/>
                <w:szCs w:val="18"/>
                <w:lang w:eastAsia="en-IN"/>
              </w:rPr>
              <w:t>..</w:t>
            </w:r>
          </w:p>
        </w:tc>
        <w:tc>
          <w:tcPr>
            <w:tcW w:w="651" w:type="dxa"/>
            <w:tcBorders>
              <w:top w:val="nil"/>
              <w:left w:val="nil"/>
              <w:bottom w:val="single" w:sz="4" w:space="0" w:color="auto"/>
              <w:right w:val="single" w:sz="4" w:space="0" w:color="auto"/>
            </w:tcBorders>
            <w:noWrap/>
            <w:vAlign w:val="center"/>
            <w:hideMark/>
          </w:tcPr>
          <w:p w14:paraId="14EB7231" w14:textId="77777777" w:rsidR="008000A7" w:rsidRPr="007315B3" w:rsidRDefault="008000A7" w:rsidP="00471458">
            <w:pPr>
              <w:pStyle w:val="NoSpacing"/>
              <w:jc w:val="center"/>
              <w:rPr>
                <w:rFonts w:ascii="Times New Roman" w:hAnsi="Times New Roman" w:cs="Times New Roman"/>
                <w:sz w:val="18"/>
                <w:szCs w:val="18"/>
                <w:lang w:eastAsia="en-IN"/>
              </w:rPr>
            </w:pPr>
            <w:r w:rsidRPr="007315B3">
              <w:rPr>
                <w:rFonts w:ascii="Times New Roman" w:hAnsi="Times New Roman" w:cs="Times New Roman"/>
                <w:sz w:val="18"/>
                <w:szCs w:val="18"/>
                <w:lang w:eastAsia="en-IN"/>
              </w:rPr>
              <w:t>..</w:t>
            </w:r>
          </w:p>
        </w:tc>
        <w:tc>
          <w:tcPr>
            <w:tcW w:w="712" w:type="dxa"/>
            <w:tcBorders>
              <w:top w:val="nil"/>
              <w:left w:val="nil"/>
              <w:bottom w:val="single" w:sz="4" w:space="0" w:color="auto"/>
              <w:right w:val="single" w:sz="4" w:space="0" w:color="auto"/>
            </w:tcBorders>
            <w:noWrap/>
            <w:vAlign w:val="center"/>
            <w:hideMark/>
          </w:tcPr>
          <w:p w14:paraId="27888829" w14:textId="77777777" w:rsidR="008000A7" w:rsidRPr="007315B3" w:rsidRDefault="008000A7" w:rsidP="00471458">
            <w:pPr>
              <w:pStyle w:val="NoSpacing"/>
              <w:jc w:val="center"/>
              <w:rPr>
                <w:rFonts w:ascii="Times New Roman" w:hAnsi="Times New Roman" w:cs="Times New Roman"/>
                <w:sz w:val="18"/>
                <w:szCs w:val="18"/>
                <w:lang w:eastAsia="en-IN"/>
              </w:rPr>
            </w:pPr>
            <w:r w:rsidRPr="007315B3">
              <w:rPr>
                <w:rFonts w:ascii="Times New Roman" w:hAnsi="Times New Roman" w:cs="Times New Roman"/>
                <w:sz w:val="18"/>
                <w:szCs w:val="18"/>
                <w:lang w:eastAsia="en-IN"/>
              </w:rPr>
              <w:t>..</w:t>
            </w:r>
          </w:p>
        </w:tc>
        <w:tc>
          <w:tcPr>
            <w:tcW w:w="651" w:type="dxa"/>
            <w:tcBorders>
              <w:top w:val="nil"/>
              <w:left w:val="nil"/>
              <w:bottom w:val="single" w:sz="4" w:space="0" w:color="auto"/>
              <w:right w:val="single" w:sz="4" w:space="0" w:color="auto"/>
            </w:tcBorders>
            <w:noWrap/>
            <w:vAlign w:val="center"/>
            <w:hideMark/>
          </w:tcPr>
          <w:p w14:paraId="3BDC55E0" w14:textId="77777777" w:rsidR="008000A7" w:rsidRPr="007315B3" w:rsidRDefault="008000A7" w:rsidP="00471458">
            <w:pPr>
              <w:pStyle w:val="NoSpacing"/>
              <w:jc w:val="center"/>
              <w:rPr>
                <w:rFonts w:ascii="Times New Roman" w:hAnsi="Times New Roman" w:cs="Times New Roman"/>
                <w:sz w:val="18"/>
                <w:szCs w:val="18"/>
                <w:lang w:eastAsia="en-IN"/>
              </w:rPr>
            </w:pPr>
            <w:r w:rsidRPr="007315B3">
              <w:rPr>
                <w:rFonts w:ascii="Times New Roman" w:hAnsi="Times New Roman" w:cs="Times New Roman"/>
                <w:sz w:val="18"/>
                <w:szCs w:val="18"/>
                <w:lang w:eastAsia="en-IN"/>
              </w:rPr>
              <w:t>..</w:t>
            </w:r>
          </w:p>
        </w:tc>
        <w:tc>
          <w:tcPr>
            <w:tcW w:w="935" w:type="dxa"/>
            <w:tcBorders>
              <w:top w:val="nil"/>
              <w:left w:val="nil"/>
              <w:bottom w:val="single" w:sz="4" w:space="0" w:color="auto"/>
              <w:right w:val="single" w:sz="4" w:space="0" w:color="auto"/>
            </w:tcBorders>
            <w:noWrap/>
            <w:vAlign w:val="center"/>
            <w:hideMark/>
          </w:tcPr>
          <w:p w14:paraId="0ED74912" w14:textId="77777777" w:rsidR="008000A7" w:rsidRPr="007315B3" w:rsidRDefault="008000A7" w:rsidP="00471458">
            <w:pPr>
              <w:pStyle w:val="NoSpacing"/>
              <w:jc w:val="center"/>
              <w:rPr>
                <w:rFonts w:ascii="Times New Roman" w:hAnsi="Times New Roman" w:cs="Times New Roman"/>
                <w:sz w:val="18"/>
                <w:szCs w:val="18"/>
                <w:lang w:eastAsia="en-IN"/>
              </w:rPr>
            </w:pPr>
            <w:r w:rsidRPr="007315B3">
              <w:rPr>
                <w:rFonts w:ascii="Times New Roman" w:hAnsi="Times New Roman" w:cs="Times New Roman"/>
                <w:sz w:val="18"/>
                <w:szCs w:val="18"/>
                <w:lang w:eastAsia="en-IN"/>
              </w:rPr>
              <w:t>..</w:t>
            </w:r>
          </w:p>
        </w:tc>
        <w:tc>
          <w:tcPr>
            <w:tcW w:w="651" w:type="dxa"/>
            <w:tcBorders>
              <w:top w:val="nil"/>
              <w:left w:val="nil"/>
              <w:bottom w:val="single" w:sz="4" w:space="0" w:color="auto"/>
              <w:right w:val="single" w:sz="4" w:space="0" w:color="auto"/>
            </w:tcBorders>
            <w:noWrap/>
            <w:vAlign w:val="center"/>
            <w:hideMark/>
          </w:tcPr>
          <w:p w14:paraId="741AF115" w14:textId="77777777" w:rsidR="008000A7" w:rsidRPr="007315B3" w:rsidRDefault="008000A7" w:rsidP="00471458">
            <w:pPr>
              <w:pStyle w:val="NoSpacing"/>
              <w:jc w:val="center"/>
              <w:rPr>
                <w:rFonts w:ascii="Times New Roman" w:hAnsi="Times New Roman" w:cs="Times New Roman"/>
                <w:sz w:val="18"/>
                <w:szCs w:val="18"/>
                <w:lang w:eastAsia="en-IN"/>
              </w:rPr>
            </w:pPr>
            <w:r w:rsidRPr="007315B3">
              <w:rPr>
                <w:rFonts w:ascii="Times New Roman" w:hAnsi="Times New Roman" w:cs="Times New Roman"/>
                <w:sz w:val="18"/>
                <w:szCs w:val="18"/>
                <w:lang w:eastAsia="en-IN"/>
              </w:rPr>
              <w:t>..</w:t>
            </w:r>
          </w:p>
        </w:tc>
      </w:tr>
      <w:tr w:rsidR="008000A7" w:rsidRPr="007315B3" w14:paraId="5CA6B02A" w14:textId="77777777" w:rsidTr="00537910">
        <w:trPr>
          <w:trHeight w:val="65"/>
          <w:jc w:val="center"/>
        </w:trPr>
        <w:tc>
          <w:tcPr>
            <w:tcW w:w="870" w:type="dxa"/>
            <w:tcBorders>
              <w:top w:val="nil"/>
              <w:left w:val="single" w:sz="4" w:space="0" w:color="auto"/>
              <w:bottom w:val="single" w:sz="4" w:space="0" w:color="auto"/>
              <w:right w:val="single" w:sz="4" w:space="0" w:color="auto"/>
            </w:tcBorders>
            <w:noWrap/>
            <w:vAlign w:val="bottom"/>
            <w:hideMark/>
          </w:tcPr>
          <w:p w14:paraId="2EBC883C" w14:textId="77777777" w:rsidR="008000A7" w:rsidRPr="007315B3" w:rsidRDefault="008000A7" w:rsidP="00B77C0B">
            <w:pPr>
              <w:pStyle w:val="NoSpacing"/>
              <w:rPr>
                <w:rFonts w:ascii="Times New Roman" w:hAnsi="Times New Roman" w:cs="Times New Roman"/>
                <w:sz w:val="18"/>
                <w:szCs w:val="18"/>
                <w:lang w:eastAsia="en-IN"/>
              </w:rPr>
            </w:pPr>
            <w:r w:rsidRPr="007315B3">
              <w:rPr>
                <w:rFonts w:ascii="Times New Roman" w:hAnsi="Times New Roman" w:cs="Times New Roman"/>
                <w:sz w:val="18"/>
                <w:szCs w:val="18"/>
                <w:lang w:eastAsia="en-IN"/>
              </w:rPr>
              <w:t>West Bengal</w:t>
            </w:r>
          </w:p>
        </w:tc>
        <w:tc>
          <w:tcPr>
            <w:tcW w:w="650" w:type="dxa"/>
            <w:tcBorders>
              <w:top w:val="nil"/>
              <w:left w:val="nil"/>
              <w:bottom w:val="single" w:sz="4" w:space="0" w:color="auto"/>
              <w:right w:val="single" w:sz="4" w:space="0" w:color="auto"/>
            </w:tcBorders>
            <w:noWrap/>
            <w:vAlign w:val="center"/>
            <w:hideMark/>
          </w:tcPr>
          <w:p w14:paraId="11C332FA" w14:textId="77777777" w:rsidR="008000A7" w:rsidRPr="007315B3" w:rsidRDefault="008000A7" w:rsidP="00471458">
            <w:pPr>
              <w:pStyle w:val="NoSpacing"/>
              <w:jc w:val="center"/>
              <w:rPr>
                <w:rFonts w:ascii="Times New Roman" w:hAnsi="Times New Roman" w:cs="Times New Roman"/>
                <w:sz w:val="18"/>
                <w:szCs w:val="18"/>
                <w:lang w:eastAsia="en-IN"/>
              </w:rPr>
            </w:pPr>
            <w:r w:rsidRPr="007315B3">
              <w:rPr>
                <w:rFonts w:ascii="Times New Roman" w:hAnsi="Times New Roman" w:cs="Times New Roman"/>
                <w:sz w:val="18"/>
                <w:szCs w:val="18"/>
                <w:lang w:eastAsia="en-IN"/>
              </w:rPr>
              <w:t>..</w:t>
            </w:r>
          </w:p>
        </w:tc>
        <w:tc>
          <w:tcPr>
            <w:tcW w:w="711" w:type="dxa"/>
            <w:tcBorders>
              <w:top w:val="nil"/>
              <w:left w:val="nil"/>
              <w:bottom w:val="single" w:sz="4" w:space="0" w:color="auto"/>
              <w:right w:val="single" w:sz="4" w:space="0" w:color="auto"/>
            </w:tcBorders>
            <w:noWrap/>
            <w:vAlign w:val="center"/>
            <w:hideMark/>
          </w:tcPr>
          <w:p w14:paraId="088757BF" w14:textId="77777777" w:rsidR="008000A7" w:rsidRPr="007315B3" w:rsidRDefault="008000A7" w:rsidP="00471458">
            <w:pPr>
              <w:pStyle w:val="NoSpacing"/>
              <w:jc w:val="center"/>
              <w:rPr>
                <w:rFonts w:ascii="Times New Roman" w:hAnsi="Times New Roman" w:cs="Times New Roman"/>
                <w:sz w:val="18"/>
                <w:szCs w:val="18"/>
                <w:lang w:eastAsia="en-IN"/>
              </w:rPr>
            </w:pPr>
            <w:r w:rsidRPr="007315B3">
              <w:rPr>
                <w:rFonts w:ascii="Times New Roman" w:hAnsi="Times New Roman" w:cs="Times New Roman"/>
                <w:sz w:val="18"/>
                <w:szCs w:val="18"/>
                <w:lang w:eastAsia="en-IN"/>
              </w:rPr>
              <w:t>..</w:t>
            </w:r>
          </w:p>
        </w:tc>
        <w:tc>
          <w:tcPr>
            <w:tcW w:w="651" w:type="dxa"/>
            <w:tcBorders>
              <w:top w:val="nil"/>
              <w:left w:val="nil"/>
              <w:bottom w:val="single" w:sz="4" w:space="0" w:color="auto"/>
              <w:right w:val="single" w:sz="4" w:space="0" w:color="auto"/>
            </w:tcBorders>
            <w:noWrap/>
            <w:vAlign w:val="center"/>
            <w:hideMark/>
          </w:tcPr>
          <w:p w14:paraId="4B3DF355" w14:textId="77777777" w:rsidR="008000A7" w:rsidRPr="007315B3" w:rsidRDefault="008000A7" w:rsidP="00471458">
            <w:pPr>
              <w:pStyle w:val="NoSpacing"/>
              <w:jc w:val="center"/>
              <w:rPr>
                <w:rFonts w:ascii="Times New Roman" w:hAnsi="Times New Roman" w:cs="Times New Roman"/>
                <w:sz w:val="18"/>
                <w:szCs w:val="18"/>
                <w:lang w:eastAsia="en-IN"/>
              </w:rPr>
            </w:pPr>
            <w:r w:rsidRPr="007315B3">
              <w:rPr>
                <w:rFonts w:ascii="Times New Roman" w:hAnsi="Times New Roman" w:cs="Times New Roman"/>
                <w:sz w:val="18"/>
                <w:szCs w:val="18"/>
                <w:lang w:eastAsia="en-IN"/>
              </w:rPr>
              <w:t>..</w:t>
            </w:r>
          </w:p>
        </w:tc>
        <w:tc>
          <w:tcPr>
            <w:tcW w:w="651" w:type="dxa"/>
            <w:tcBorders>
              <w:top w:val="nil"/>
              <w:left w:val="nil"/>
              <w:bottom w:val="single" w:sz="4" w:space="0" w:color="auto"/>
              <w:right w:val="single" w:sz="4" w:space="0" w:color="auto"/>
            </w:tcBorders>
            <w:noWrap/>
            <w:vAlign w:val="center"/>
            <w:hideMark/>
          </w:tcPr>
          <w:p w14:paraId="22ACDF85" w14:textId="77777777" w:rsidR="008000A7" w:rsidRPr="007315B3" w:rsidRDefault="008000A7" w:rsidP="00471458">
            <w:pPr>
              <w:pStyle w:val="NoSpacing"/>
              <w:jc w:val="center"/>
              <w:rPr>
                <w:rFonts w:ascii="Times New Roman" w:hAnsi="Times New Roman" w:cs="Times New Roman"/>
                <w:sz w:val="18"/>
                <w:szCs w:val="18"/>
                <w:lang w:eastAsia="en-IN"/>
              </w:rPr>
            </w:pPr>
            <w:r w:rsidRPr="007315B3">
              <w:rPr>
                <w:rFonts w:ascii="Times New Roman" w:hAnsi="Times New Roman" w:cs="Times New Roman"/>
                <w:sz w:val="18"/>
                <w:szCs w:val="18"/>
                <w:lang w:eastAsia="en-IN"/>
              </w:rPr>
              <w:t>..</w:t>
            </w:r>
          </w:p>
        </w:tc>
        <w:tc>
          <w:tcPr>
            <w:tcW w:w="651" w:type="dxa"/>
            <w:tcBorders>
              <w:top w:val="nil"/>
              <w:left w:val="nil"/>
              <w:bottom w:val="single" w:sz="4" w:space="0" w:color="auto"/>
              <w:right w:val="single" w:sz="4" w:space="0" w:color="auto"/>
            </w:tcBorders>
            <w:noWrap/>
            <w:vAlign w:val="center"/>
            <w:hideMark/>
          </w:tcPr>
          <w:p w14:paraId="5D07AA69" w14:textId="77777777" w:rsidR="008000A7" w:rsidRPr="007315B3" w:rsidRDefault="008000A7" w:rsidP="00471458">
            <w:pPr>
              <w:pStyle w:val="NoSpacing"/>
              <w:jc w:val="center"/>
              <w:rPr>
                <w:rFonts w:ascii="Times New Roman" w:hAnsi="Times New Roman" w:cs="Times New Roman"/>
                <w:sz w:val="18"/>
                <w:szCs w:val="18"/>
                <w:lang w:eastAsia="en-IN"/>
              </w:rPr>
            </w:pPr>
            <w:r w:rsidRPr="007315B3">
              <w:rPr>
                <w:rFonts w:ascii="Times New Roman" w:hAnsi="Times New Roman" w:cs="Times New Roman"/>
                <w:sz w:val="18"/>
                <w:szCs w:val="18"/>
                <w:lang w:eastAsia="en-IN"/>
              </w:rPr>
              <w:t>..</w:t>
            </w:r>
          </w:p>
        </w:tc>
        <w:tc>
          <w:tcPr>
            <w:tcW w:w="712" w:type="dxa"/>
            <w:tcBorders>
              <w:top w:val="nil"/>
              <w:left w:val="nil"/>
              <w:bottom w:val="single" w:sz="4" w:space="0" w:color="auto"/>
              <w:right w:val="single" w:sz="4" w:space="0" w:color="auto"/>
            </w:tcBorders>
            <w:noWrap/>
            <w:vAlign w:val="center"/>
            <w:hideMark/>
          </w:tcPr>
          <w:p w14:paraId="0A2167B9" w14:textId="77777777" w:rsidR="008000A7" w:rsidRPr="007315B3" w:rsidRDefault="008000A7" w:rsidP="00471458">
            <w:pPr>
              <w:pStyle w:val="NoSpacing"/>
              <w:jc w:val="center"/>
              <w:rPr>
                <w:rFonts w:ascii="Times New Roman" w:hAnsi="Times New Roman" w:cs="Times New Roman"/>
                <w:sz w:val="18"/>
                <w:szCs w:val="18"/>
                <w:lang w:eastAsia="en-IN"/>
              </w:rPr>
            </w:pPr>
            <w:r w:rsidRPr="007315B3">
              <w:rPr>
                <w:rFonts w:ascii="Times New Roman" w:hAnsi="Times New Roman" w:cs="Times New Roman"/>
                <w:sz w:val="18"/>
                <w:szCs w:val="18"/>
                <w:lang w:eastAsia="en-IN"/>
              </w:rPr>
              <w:t>..</w:t>
            </w:r>
          </w:p>
        </w:tc>
        <w:tc>
          <w:tcPr>
            <w:tcW w:w="651" w:type="dxa"/>
            <w:tcBorders>
              <w:top w:val="nil"/>
              <w:left w:val="nil"/>
              <w:bottom w:val="single" w:sz="4" w:space="0" w:color="auto"/>
              <w:right w:val="single" w:sz="4" w:space="0" w:color="auto"/>
            </w:tcBorders>
            <w:noWrap/>
            <w:vAlign w:val="center"/>
            <w:hideMark/>
          </w:tcPr>
          <w:p w14:paraId="3E94D510" w14:textId="77777777" w:rsidR="008000A7" w:rsidRPr="007315B3" w:rsidRDefault="008000A7" w:rsidP="00471458">
            <w:pPr>
              <w:pStyle w:val="NoSpacing"/>
              <w:jc w:val="center"/>
              <w:rPr>
                <w:rFonts w:ascii="Times New Roman" w:hAnsi="Times New Roman" w:cs="Times New Roman"/>
                <w:sz w:val="18"/>
                <w:szCs w:val="18"/>
                <w:lang w:eastAsia="en-IN"/>
              </w:rPr>
            </w:pPr>
            <w:r w:rsidRPr="007315B3">
              <w:rPr>
                <w:rFonts w:ascii="Times New Roman" w:hAnsi="Times New Roman" w:cs="Times New Roman"/>
                <w:sz w:val="18"/>
                <w:szCs w:val="18"/>
                <w:lang w:eastAsia="en-IN"/>
              </w:rPr>
              <w:t>..</w:t>
            </w:r>
          </w:p>
        </w:tc>
        <w:tc>
          <w:tcPr>
            <w:tcW w:w="651" w:type="dxa"/>
            <w:tcBorders>
              <w:top w:val="nil"/>
              <w:left w:val="nil"/>
              <w:bottom w:val="single" w:sz="4" w:space="0" w:color="auto"/>
              <w:right w:val="single" w:sz="4" w:space="0" w:color="auto"/>
            </w:tcBorders>
            <w:noWrap/>
            <w:vAlign w:val="center"/>
            <w:hideMark/>
          </w:tcPr>
          <w:p w14:paraId="6EBE8AC5" w14:textId="77777777" w:rsidR="008000A7" w:rsidRPr="007315B3" w:rsidRDefault="008000A7" w:rsidP="00471458">
            <w:pPr>
              <w:pStyle w:val="NoSpacing"/>
              <w:jc w:val="center"/>
              <w:rPr>
                <w:rFonts w:ascii="Times New Roman" w:hAnsi="Times New Roman" w:cs="Times New Roman"/>
                <w:sz w:val="18"/>
                <w:szCs w:val="18"/>
                <w:lang w:eastAsia="en-IN"/>
              </w:rPr>
            </w:pPr>
            <w:r w:rsidRPr="007315B3">
              <w:rPr>
                <w:rFonts w:ascii="Times New Roman" w:hAnsi="Times New Roman" w:cs="Times New Roman"/>
                <w:sz w:val="18"/>
                <w:szCs w:val="18"/>
                <w:lang w:eastAsia="en-IN"/>
              </w:rPr>
              <w:t>..</w:t>
            </w:r>
          </w:p>
        </w:tc>
        <w:tc>
          <w:tcPr>
            <w:tcW w:w="651" w:type="dxa"/>
            <w:tcBorders>
              <w:top w:val="nil"/>
              <w:left w:val="nil"/>
              <w:bottom w:val="single" w:sz="4" w:space="0" w:color="auto"/>
              <w:right w:val="single" w:sz="4" w:space="0" w:color="auto"/>
            </w:tcBorders>
            <w:noWrap/>
            <w:vAlign w:val="center"/>
            <w:hideMark/>
          </w:tcPr>
          <w:p w14:paraId="1EDE9E1B" w14:textId="77777777" w:rsidR="008000A7" w:rsidRPr="007315B3" w:rsidRDefault="008000A7" w:rsidP="00471458">
            <w:pPr>
              <w:pStyle w:val="NoSpacing"/>
              <w:jc w:val="center"/>
              <w:rPr>
                <w:rFonts w:ascii="Times New Roman" w:hAnsi="Times New Roman" w:cs="Times New Roman"/>
                <w:sz w:val="18"/>
                <w:szCs w:val="18"/>
                <w:lang w:eastAsia="en-IN"/>
              </w:rPr>
            </w:pPr>
            <w:r w:rsidRPr="007315B3">
              <w:rPr>
                <w:rFonts w:ascii="Times New Roman" w:hAnsi="Times New Roman" w:cs="Times New Roman"/>
                <w:sz w:val="18"/>
                <w:szCs w:val="18"/>
                <w:lang w:eastAsia="en-IN"/>
              </w:rPr>
              <w:t>..</w:t>
            </w:r>
          </w:p>
        </w:tc>
        <w:tc>
          <w:tcPr>
            <w:tcW w:w="712" w:type="dxa"/>
            <w:tcBorders>
              <w:top w:val="nil"/>
              <w:left w:val="nil"/>
              <w:bottom w:val="single" w:sz="4" w:space="0" w:color="auto"/>
              <w:right w:val="single" w:sz="4" w:space="0" w:color="auto"/>
            </w:tcBorders>
            <w:noWrap/>
            <w:vAlign w:val="center"/>
            <w:hideMark/>
          </w:tcPr>
          <w:p w14:paraId="5D643312" w14:textId="77777777" w:rsidR="008000A7" w:rsidRPr="007315B3" w:rsidRDefault="008000A7" w:rsidP="00471458">
            <w:pPr>
              <w:pStyle w:val="NoSpacing"/>
              <w:jc w:val="center"/>
              <w:rPr>
                <w:rFonts w:ascii="Times New Roman" w:hAnsi="Times New Roman" w:cs="Times New Roman"/>
                <w:sz w:val="18"/>
                <w:szCs w:val="18"/>
                <w:lang w:eastAsia="en-IN"/>
              </w:rPr>
            </w:pPr>
            <w:r w:rsidRPr="007315B3">
              <w:rPr>
                <w:rFonts w:ascii="Times New Roman" w:hAnsi="Times New Roman" w:cs="Times New Roman"/>
                <w:sz w:val="18"/>
                <w:szCs w:val="18"/>
                <w:lang w:eastAsia="en-IN"/>
              </w:rPr>
              <w:t>..</w:t>
            </w:r>
          </w:p>
        </w:tc>
        <w:tc>
          <w:tcPr>
            <w:tcW w:w="651" w:type="dxa"/>
            <w:tcBorders>
              <w:top w:val="nil"/>
              <w:left w:val="nil"/>
              <w:bottom w:val="single" w:sz="4" w:space="0" w:color="auto"/>
              <w:right w:val="single" w:sz="4" w:space="0" w:color="auto"/>
            </w:tcBorders>
            <w:noWrap/>
            <w:vAlign w:val="center"/>
            <w:hideMark/>
          </w:tcPr>
          <w:p w14:paraId="68081B65" w14:textId="77777777" w:rsidR="008000A7" w:rsidRPr="007315B3" w:rsidRDefault="008000A7" w:rsidP="00471458">
            <w:pPr>
              <w:pStyle w:val="NoSpacing"/>
              <w:jc w:val="center"/>
              <w:rPr>
                <w:rFonts w:ascii="Times New Roman" w:hAnsi="Times New Roman" w:cs="Times New Roman"/>
                <w:sz w:val="18"/>
                <w:szCs w:val="18"/>
                <w:lang w:eastAsia="en-IN"/>
              </w:rPr>
            </w:pPr>
            <w:r w:rsidRPr="007315B3">
              <w:rPr>
                <w:rFonts w:ascii="Times New Roman" w:hAnsi="Times New Roman" w:cs="Times New Roman"/>
                <w:sz w:val="18"/>
                <w:szCs w:val="18"/>
                <w:lang w:eastAsia="en-IN"/>
              </w:rPr>
              <w:t>..</w:t>
            </w:r>
          </w:p>
        </w:tc>
        <w:tc>
          <w:tcPr>
            <w:tcW w:w="935" w:type="dxa"/>
            <w:tcBorders>
              <w:top w:val="nil"/>
              <w:left w:val="nil"/>
              <w:bottom w:val="single" w:sz="4" w:space="0" w:color="auto"/>
              <w:right w:val="single" w:sz="4" w:space="0" w:color="auto"/>
            </w:tcBorders>
            <w:noWrap/>
            <w:vAlign w:val="center"/>
            <w:hideMark/>
          </w:tcPr>
          <w:p w14:paraId="1A0FD413" w14:textId="77777777" w:rsidR="008000A7" w:rsidRPr="007315B3" w:rsidRDefault="008000A7" w:rsidP="00471458">
            <w:pPr>
              <w:pStyle w:val="NoSpacing"/>
              <w:jc w:val="center"/>
              <w:rPr>
                <w:rFonts w:ascii="Times New Roman" w:hAnsi="Times New Roman" w:cs="Times New Roman"/>
                <w:sz w:val="18"/>
                <w:szCs w:val="18"/>
                <w:lang w:eastAsia="en-IN"/>
              </w:rPr>
            </w:pPr>
            <w:r w:rsidRPr="007315B3">
              <w:rPr>
                <w:rFonts w:ascii="Times New Roman" w:hAnsi="Times New Roman" w:cs="Times New Roman"/>
                <w:sz w:val="18"/>
                <w:szCs w:val="18"/>
                <w:lang w:eastAsia="en-IN"/>
              </w:rPr>
              <w:t>..</w:t>
            </w:r>
          </w:p>
        </w:tc>
        <w:tc>
          <w:tcPr>
            <w:tcW w:w="651" w:type="dxa"/>
            <w:tcBorders>
              <w:top w:val="nil"/>
              <w:left w:val="nil"/>
              <w:bottom w:val="single" w:sz="4" w:space="0" w:color="auto"/>
              <w:right w:val="single" w:sz="4" w:space="0" w:color="auto"/>
            </w:tcBorders>
            <w:noWrap/>
            <w:vAlign w:val="center"/>
            <w:hideMark/>
          </w:tcPr>
          <w:p w14:paraId="6C47A355" w14:textId="77777777" w:rsidR="008000A7" w:rsidRPr="007315B3" w:rsidRDefault="008000A7" w:rsidP="00471458">
            <w:pPr>
              <w:pStyle w:val="NoSpacing"/>
              <w:jc w:val="center"/>
              <w:rPr>
                <w:rFonts w:ascii="Times New Roman" w:hAnsi="Times New Roman" w:cs="Times New Roman"/>
                <w:sz w:val="18"/>
                <w:szCs w:val="18"/>
                <w:lang w:eastAsia="en-IN"/>
              </w:rPr>
            </w:pPr>
            <w:r w:rsidRPr="007315B3">
              <w:rPr>
                <w:rFonts w:ascii="Times New Roman" w:hAnsi="Times New Roman" w:cs="Times New Roman"/>
                <w:sz w:val="18"/>
                <w:szCs w:val="18"/>
                <w:lang w:eastAsia="en-IN"/>
              </w:rPr>
              <w:t>..</w:t>
            </w:r>
          </w:p>
        </w:tc>
        <w:tc>
          <w:tcPr>
            <w:tcW w:w="651" w:type="dxa"/>
            <w:tcBorders>
              <w:top w:val="nil"/>
              <w:left w:val="nil"/>
              <w:bottom w:val="single" w:sz="4" w:space="0" w:color="auto"/>
              <w:right w:val="single" w:sz="4" w:space="0" w:color="auto"/>
            </w:tcBorders>
            <w:noWrap/>
            <w:vAlign w:val="center"/>
            <w:hideMark/>
          </w:tcPr>
          <w:p w14:paraId="1351EA32" w14:textId="77777777" w:rsidR="008000A7" w:rsidRPr="007315B3" w:rsidRDefault="008000A7" w:rsidP="00471458">
            <w:pPr>
              <w:pStyle w:val="NoSpacing"/>
              <w:jc w:val="center"/>
              <w:rPr>
                <w:rFonts w:ascii="Times New Roman" w:hAnsi="Times New Roman" w:cs="Times New Roman"/>
                <w:sz w:val="18"/>
                <w:szCs w:val="18"/>
                <w:lang w:eastAsia="en-IN"/>
              </w:rPr>
            </w:pPr>
            <w:r w:rsidRPr="007315B3">
              <w:rPr>
                <w:rFonts w:ascii="Times New Roman" w:hAnsi="Times New Roman" w:cs="Times New Roman"/>
                <w:sz w:val="18"/>
                <w:szCs w:val="18"/>
                <w:lang w:eastAsia="en-IN"/>
              </w:rPr>
              <w:t>..</w:t>
            </w:r>
          </w:p>
        </w:tc>
        <w:tc>
          <w:tcPr>
            <w:tcW w:w="712" w:type="dxa"/>
            <w:tcBorders>
              <w:top w:val="nil"/>
              <w:left w:val="nil"/>
              <w:bottom w:val="single" w:sz="4" w:space="0" w:color="auto"/>
              <w:right w:val="single" w:sz="4" w:space="0" w:color="auto"/>
            </w:tcBorders>
            <w:noWrap/>
            <w:vAlign w:val="center"/>
            <w:hideMark/>
          </w:tcPr>
          <w:p w14:paraId="48922C72" w14:textId="77777777" w:rsidR="008000A7" w:rsidRPr="007315B3" w:rsidRDefault="008000A7" w:rsidP="00471458">
            <w:pPr>
              <w:pStyle w:val="NoSpacing"/>
              <w:jc w:val="center"/>
              <w:rPr>
                <w:rFonts w:ascii="Times New Roman" w:hAnsi="Times New Roman" w:cs="Times New Roman"/>
                <w:sz w:val="18"/>
                <w:szCs w:val="18"/>
                <w:lang w:eastAsia="en-IN"/>
              </w:rPr>
            </w:pPr>
            <w:r w:rsidRPr="007315B3">
              <w:rPr>
                <w:rFonts w:ascii="Times New Roman" w:hAnsi="Times New Roman" w:cs="Times New Roman"/>
                <w:sz w:val="18"/>
                <w:szCs w:val="18"/>
                <w:lang w:eastAsia="en-IN"/>
              </w:rPr>
              <w:t>..</w:t>
            </w:r>
          </w:p>
        </w:tc>
        <w:tc>
          <w:tcPr>
            <w:tcW w:w="651" w:type="dxa"/>
            <w:tcBorders>
              <w:top w:val="nil"/>
              <w:left w:val="nil"/>
              <w:bottom w:val="single" w:sz="4" w:space="0" w:color="auto"/>
              <w:right w:val="single" w:sz="4" w:space="0" w:color="auto"/>
            </w:tcBorders>
            <w:noWrap/>
            <w:vAlign w:val="center"/>
            <w:hideMark/>
          </w:tcPr>
          <w:p w14:paraId="2ABFF8AB" w14:textId="77777777" w:rsidR="008000A7" w:rsidRPr="007315B3" w:rsidRDefault="008000A7" w:rsidP="00471458">
            <w:pPr>
              <w:pStyle w:val="NoSpacing"/>
              <w:jc w:val="center"/>
              <w:rPr>
                <w:rFonts w:ascii="Times New Roman" w:hAnsi="Times New Roman" w:cs="Times New Roman"/>
                <w:sz w:val="18"/>
                <w:szCs w:val="18"/>
                <w:lang w:eastAsia="en-IN"/>
              </w:rPr>
            </w:pPr>
            <w:r w:rsidRPr="007315B3">
              <w:rPr>
                <w:rFonts w:ascii="Times New Roman" w:hAnsi="Times New Roman" w:cs="Times New Roman"/>
                <w:sz w:val="18"/>
                <w:szCs w:val="18"/>
                <w:lang w:eastAsia="en-IN"/>
              </w:rPr>
              <w:t>..</w:t>
            </w:r>
          </w:p>
        </w:tc>
        <w:tc>
          <w:tcPr>
            <w:tcW w:w="935" w:type="dxa"/>
            <w:tcBorders>
              <w:top w:val="nil"/>
              <w:left w:val="nil"/>
              <w:bottom w:val="single" w:sz="4" w:space="0" w:color="auto"/>
              <w:right w:val="single" w:sz="4" w:space="0" w:color="auto"/>
            </w:tcBorders>
            <w:noWrap/>
            <w:vAlign w:val="center"/>
            <w:hideMark/>
          </w:tcPr>
          <w:p w14:paraId="21B37723" w14:textId="77777777" w:rsidR="008000A7" w:rsidRPr="007315B3" w:rsidRDefault="008000A7" w:rsidP="00471458">
            <w:pPr>
              <w:pStyle w:val="NoSpacing"/>
              <w:jc w:val="center"/>
              <w:rPr>
                <w:rFonts w:ascii="Times New Roman" w:hAnsi="Times New Roman" w:cs="Times New Roman"/>
                <w:sz w:val="18"/>
                <w:szCs w:val="18"/>
                <w:lang w:eastAsia="en-IN"/>
              </w:rPr>
            </w:pPr>
            <w:r w:rsidRPr="007315B3">
              <w:rPr>
                <w:rFonts w:ascii="Times New Roman" w:hAnsi="Times New Roman" w:cs="Times New Roman"/>
                <w:sz w:val="18"/>
                <w:szCs w:val="18"/>
                <w:lang w:eastAsia="en-IN"/>
              </w:rPr>
              <w:t>..</w:t>
            </w:r>
          </w:p>
        </w:tc>
        <w:tc>
          <w:tcPr>
            <w:tcW w:w="651" w:type="dxa"/>
            <w:tcBorders>
              <w:top w:val="nil"/>
              <w:left w:val="nil"/>
              <w:bottom w:val="single" w:sz="4" w:space="0" w:color="auto"/>
              <w:right w:val="single" w:sz="4" w:space="0" w:color="auto"/>
            </w:tcBorders>
            <w:noWrap/>
            <w:vAlign w:val="center"/>
            <w:hideMark/>
          </w:tcPr>
          <w:p w14:paraId="7CEE4A56" w14:textId="77777777" w:rsidR="008000A7" w:rsidRPr="007315B3" w:rsidRDefault="008000A7" w:rsidP="00471458">
            <w:pPr>
              <w:pStyle w:val="NoSpacing"/>
              <w:jc w:val="center"/>
              <w:rPr>
                <w:rFonts w:ascii="Times New Roman" w:hAnsi="Times New Roman" w:cs="Times New Roman"/>
                <w:sz w:val="18"/>
                <w:szCs w:val="18"/>
                <w:lang w:eastAsia="en-IN"/>
              </w:rPr>
            </w:pPr>
            <w:r w:rsidRPr="007315B3">
              <w:rPr>
                <w:rFonts w:ascii="Times New Roman" w:hAnsi="Times New Roman" w:cs="Times New Roman"/>
                <w:sz w:val="18"/>
                <w:szCs w:val="18"/>
                <w:lang w:eastAsia="en-IN"/>
              </w:rPr>
              <w:t>..</w:t>
            </w:r>
          </w:p>
        </w:tc>
      </w:tr>
      <w:tr w:rsidR="008000A7" w:rsidRPr="007315B3" w14:paraId="183A2FB0" w14:textId="77777777" w:rsidTr="00537910">
        <w:trPr>
          <w:trHeight w:val="65"/>
          <w:jc w:val="center"/>
        </w:trPr>
        <w:tc>
          <w:tcPr>
            <w:tcW w:w="870" w:type="dxa"/>
            <w:tcBorders>
              <w:top w:val="nil"/>
              <w:left w:val="single" w:sz="4" w:space="0" w:color="auto"/>
              <w:bottom w:val="single" w:sz="4" w:space="0" w:color="auto"/>
              <w:right w:val="single" w:sz="4" w:space="0" w:color="auto"/>
            </w:tcBorders>
            <w:noWrap/>
            <w:vAlign w:val="bottom"/>
            <w:hideMark/>
          </w:tcPr>
          <w:p w14:paraId="01C11CE5" w14:textId="77777777" w:rsidR="008000A7" w:rsidRPr="007315B3" w:rsidRDefault="008000A7" w:rsidP="00B77C0B">
            <w:pPr>
              <w:pStyle w:val="NoSpacing"/>
              <w:rPr>
                <w:rFonts w:ascii="Times New Roman" w:hAnsi="Times New Roman" w:cs="Times New Roman"/>
                <w:sz w:val="18"/>
                <w:szCs w:val="18"/>
                <w:lang w:eastAsia="en-IN"/>
              </w:rPr>
            </w:pPr>
            <w:r w:rsidRPr="007315B3">
              <w:rPr>
                <w:rFonts w:ascii="Times New Roman" w:hAnsi="Times New Roman" w:cs="Times New Roman"/>
                <w:sz w:val="18"/>
                <w:szCs w:val="18"/>
                <w:lang w:eastAsia="en-IN"/>
              </w:rPr>
              <w:t>TOTAL</w:t>
            </w:r>
          </w:p>
        </w:tc>
        <w:tc>
          <w:tcPr>
            <w:tcW w:w="650" w:type="dxa"/>
            <w:tcBorders>
              <w:top w:val="nil"/>
              <w:left w:val="nil"/>
              <w:bottom w:val="single" w:sz="4" w:space="0" w:color="auto"/>
              <w:right w:val="single" w:sz="4" w:space="0" w:color="auto"/>
            </w:tcBorders>
            <w:noWrap/>
            <w:vAlign w:val="center"/>
            <w:hideMark/>
          </w:tcPr>
          <w:p w14:paraId="687E244D" w14:textId="77777777" w:rsidR="008000A7" w:rsidRPr="007315B3" w:rsidRDefault="008000A7" w:rsidP="00471458">
            <w:pPr>
              <w:pStyle w:val="NoSpacing"/>
              <w:jc w:val="center"/>
              <w:rPr>
                <w:rFonts w:ascii="Times New Roman" w:hAnsi="Times New Roman" w:cs="Times New Roman"/>
                <w:sz w:val="18"/>
                <w:szCs w:val="18"/>
                <w:lang w:eastAsia="en-IN"/>
              </w:rPr>
            </w:pPr>
            <w:r w:rsidRPr="007315B3">
              <w:rPr>
                <w:rFonts w:ascii="Times New Roman" w:hAnsi="Times New Roman" w:cs="Times New Roman"/>
                <w:sz w:val="18"/>
                <w:szCs w:val="18"/>
                <w:lang w:eastAsia="en-IN"/>
              </w:rPr>
              <w:t>6.66</w:t>
            </w:r>
          </w:p>
        </w:tc>
        <w:tc>
          <w:tcPr>
            <w:tcW w:w="711" w:type="dxa"/>
            <w:tcBorders>
              <w:top w:val="nil"/>
              <w:left w:val="nil"/>
              <w:bottom w:val="single" w:sz="4" w:space="0" w:color="auto"/>
              <w:right w:val="single" w:sz="4" w:space="0" w:color="auto"/>
            </w:tcBorders>
            <w:noWrap/>
            <w:vAlign w:val="center"/>
            <w:hideMark/>
          </w:tcPr>
          <w:p w14:paraId="4A439722" w14:textId="77777777" w:rsidR="008000A7" w:rsidRPr="007315B3" w:rsidRDefault="008000A7" w:rsidP="00471458">
            <w:pPr>
              <w:pStyle w:val="NoSpacing"/>
              <w:jc w:val="center"/>
              <w:rPr>
                <w:rFonts w:ascii="Times New Roman" w:hAnsi="Times New Roman" w:cs="Times New Roman"/>
                <w:sz w:val="18"/>
                <w:szCs w:val="18"/>
                <w:lang w:eastAsia="en-IN"/>
              </w:rPr>
            </w:pPr>
            <w:r w:rsidRPr="007315B3">
              <w:rPr>
                <w:rFonts w:ascii="Times New Roman" w:hAnsi="Times New Roman" w:cs="Times New Roman"/>
                <w:sz w:val="18"/>
                <w:szCs w:val="18"/>
                <w:lang w:eastAsia="en-IN"/>
              </w:rPr>
              <w:t>2.16</w:t>
            </w:r>
          </w:p>
        </w:tc>
        <w:tc>
          <w:tcPr>
            <w:tcW w:w="651" w:type="dxa"/>
            <w:tcBorders>
              <w:top w:val="nil"/>
              <w:left w:val="nil"/>
              <w:bottom w:val="single" w:sz="4" w:space="0" w:color="auto"/>
              <w:right w:val="single" w:sz="4" w:space="0" w:color="auto"/>
            </w:tcBorders>
            <w:noWrap/>
            <w:vAlign w:val="center"/>
            <w:hideMark/>
          </w:tcPr>
          <w:p w14:paraId="1E09D92E" w14:textId="77777777" w:rsidR="008000A7" w:rsidRPr="007315B3" w:rsidRDefault="008000A7" w:rsidP="00471458">
            <w:pPr>
              <w:pStyle w:val="NoSpacing"/>
              <w:jc w:val="center"/>
              <w:rPr>
                <w:rFonts w:ascii="Times New Roman" w:hAnsi="Times New Roman" w:cs="Times New Roman"/>
                <w:sz w:val="18"/>
                <w:szCs w:val="18"/>
                <w:lang w:eastAsia="en-IN"/>
              </w:rPr>
            </w:pPr>
            <w:r w:rsidRPr="007315B3">
              <w:rPr>
                <w:rFonts w:ascii="Times New Roman" w:hAnsi="Times New Roman" w:cs="Times New Roman"/>
                <w:sz w:val="18"/>
                <w:szCs w:val="18"/>
                <w:lang w:eastAsia="en-IN"/>
              </w:rPr>
              <w:t>6.55</w:t>
            </w:r>
          </w:p>
        </w:tc>
        <w:tc>
          <w:tcPr>
            <w:tcW w:w="651" w:type="dxa"/>
            <w:tcBorders>
              <w:top w:val="nil"/>
              <w:left w:val="nil"/>
              <w:bottom w:val="single" w:sz="4" w:space="0" w:color="auto"/>
              <w:right w:val="single" w:sz="4" w:space="0" w:color="auto"/>
            </w:tcBorders>
            <w:noWrap/>
            <w:vAlign w:val="center"/>
            <w:hideMark/>
          </w:tcPr>
          <w:p w14:paraId="7ADD8DC7" w14:textId="77777777" w:rsidR="008000A7" w:rsidRPr="007315B3" w:rsidRDefault="008000A7" w:rsidP="00471458">
            <w:pPr>
              <w:pStyle w:val="NoSpacing"/>
              <w:jc w:val="center"/>
              <w:rPr>
                <w:rFonts w:ascii="Times New Roman" w:hAnsi="Times New Roman" w:cs="Times New Roman"/>
                <w:sz w:val="18"/>
                <w:szCs w:val="18"/>
                <w:lang w:eastAsia="en-IN"/>
              </w:rPr>
            </w:pPr>
            <w:r w:rsidRPr="007315B3">
              <w:rPr>
                <w:rFonts w:ascii="Times New Roman" w:hAnsi="Times New Roman" w:cs="Times New Roman"/>
                <w:sz w:val="18"/>
                <w:szCs w:val="18"/>
                <w:lang w:eastAsia="en-IN"/>
              </w:rPr>
              <w:t>-2.05</w:t>
            </w:r>
          </w:p>
        </w:tc>
        <w:tc>
          <w:tcPr>
            <w:tcW w:w="651" w:type="dxa"/>
            <w:tcBorders>
              <w:top w:val="nil"/>
              <w:left w:val="nil"/>
              <w:bottom w:val="single" w:sz="4" w:space="0" w:color="auto"/>
              <w:right w:val="single" w:sz="4" w:space="0" w:color="auto"/>
            </w:tcBorders>
            <w:noWrap/>
            <w:vAlign w:val="center"/>
            <w:hideMark/>
          </w:tcPr>
          <w:p w14:paraId="209503DB" w14:textId="77777777" w:rsidR="008000A7" w:rsidRPr="007315B3" w:rsidRDefault="008000A7" w:rsidP="00471458">
            <w:pPr>
              <w:pStyle w:val="NoSpacing"/>
              <w:jc w:val="center"/>
              <w:rPr>
                <w:rFonts w:ascii="Times New Roman" w:hAnsi="Times New Roman" w:cs="Times New Roman"/>
                <w:sz w:val="18"/>
                <w:szCs w:val="18"/>
                <w:lang w:eastAsia="en-IN"/>
              </w:rPr>
            </w:pPr>
            <w:r w:rsidRPr="007315B3">
              <w:rPr>
                <w:rFonts w:ascii="Times New Roman" w:hAnsi="Times New Roman" w:cs="Times New Roman"/>
                <w:sz w:val="18"/>
                <w:szCs w:val="18"/>
                <w:lang w:eastAsia="en-IN"/>
              </w:rPr>
              <w:t>12.33</w:t>
            </w:r>
          </w:p>
        </w:tc>
        <w:tc>
          <w:tcPr>
            <w:tcW w:w="712" w:type="dxa"/>
            <w:tcBorders>
              <w:top w:val="nil"/>
              <w:left w:val="nil"/>
              <w:bottom w:val="single" w:sz="4" w:space="0" w:color="auto"/>
              <w:right w:val="single" w:sz="4" w:space="0" w:color="auto"/>
            </w:tcBorders>
            <w:noWrap/>
            <w:vAlign w:val="center"/>
            <w:hideMark/>
          </w:tcPr>
          <w:p w14:paraId="0FC1A614" w14:textId="77777777" w:rsidR="008000A7" w:rsidRPr="007315B3" w:rsidRDefault="008000A7" w:rsidP="00471458">
            <w:pPr>
              <w:pStyle w:val="NoSpacing"/>
              <w:jc w:val="center"/>
              <w:rPr>
                <w:rFonts w:ascii="Times New Roman" w:hAnsi="Times New Roman" w:cs="Times New Roman"/>
                <w:sz w:val="18"/>
                <w:szCs w:val="18"/>
                <w:lang w:eastAsia="en-IN"/>
              </w:rPr>
            </w:pPr>
            <w:r w:rsidRPr="007315B3">
              <w:rPr>
                <w:rFonts w:ascii="Times New Roman" w:hAnsi="Times New Roman" w:cs="Times New Roman"/>
                <w:sz w:val="18"/>
                <w:szCs w:val="18"/>
                <w:lang w:eastAsia="en-IN"/>
              </w:rPr>
              <w:t>2.63</w:t>
            </w:r>
          </w:p>
        </w:tc>
        <w:tc>
          <w:tcPr>
            <w:tcW w:w="651" w:type="dxa"/>
            <w:tcBorders>
              <w:top w:val="nil"/>
              <w:left w:val="nil"/>
              <w:bottom w:val="single" w:sz="4" w:space="0" w:color="auto"/>
              <w:right w:val="single" w:sz="4" w:space="0" w:color="auto"/>
            </w:tcBorders>
            <w:noWrap/>
            <w:vAlign w:val="center"/>
            <w:hideMark/>
          </w:tcPr>
          <w:p w14:paraId="130D059D" w14:textId="77777777" w:rsidR="008000A7" w:rsidRPr="007315B3" w:rsidRDefault="008000A7" w:rsidP="00471458">
            <w:pPr>
              <w:pStyle w:val="NoSpacing"/>
              <w:jc w:val="center"/>
              <w:rPr>
                <w:rFonts w:ascii="Times New Roman" w:hAnsi="Times New Roman" w:cs="Times New Roman"/>
                <w:sz w:val="18"/>
                <w:szCs w:val="18"/>
                <w:lang w:eastAsia="en-IN"/>
              </w:rPr>
            </w:pPr>
            <w:r w:rsidRPr="007315B3">
              <w:rPr>
                <w:rFonts w:ascii="Times New Roman" w:hAnsi="Times New Roman" w:cs="Times New Roman"/>
                <w:sz w:val="18"/>
                <w:szCs w:val="18"/>
                <w:lang w:eastAsia="en-IN"/>
              </w:rPr>
              <w:t>6.89</w:t>
            </w:r>
          </w:p>
        </w:tc>
        <w:tc>
          <w:tcPr>
            <w:tcW w:w="651" w:type="dxa"/>
            <w:tcBorders>
              <w:top w:val="nil"/>
              <w:left w:val="nil"/>
              <w:bottom w:val="single" w:sz="4" w:space="0" w:color="auto"/>
              <w:right w:val="single" w:sz="4" w:space="0" w:color="auto"/>
            </w:tcBorders>
            <w:noWrap/>
            <w:vAlign w:val="center"/>
            <w:hideMark/>
          </w:tcPr>
          <w:p w14:paraId="759D2249" w14:textId="09D4CEAD" w:rsidR="008000A7" w:rsidRPr="007315B3" w:rsidRDefault="00F8055F" w:rsidP="00471458">
            <w:pPr>
              <w:pStyle w:val="NoSpacing"/>
              <w:jc w:val="center"/>
              <w:rPr>
                <w:rFonts w:ascii="Times New Roman" w:hAnsi="Times New Roman" w:cs="Times New Roman"/>
                <w:sz w:val="18"/>
                <w:szCs w:val="18"/>
                <w:lang w:eastAsia="en-IN"/>
              </w:rPr>
            </w:pPr>
            <w:r>
              <w:rPr>
                <w:rFonts w:ascii="Times New Roman" w:hAnsi="Times New Roman" w:cs="Times New Roman"/>
                <w:sz w:val="18"/>
                <w:szCs w:val="18"/>
                <w:lang w:eastAsia="en-IN"/>
              </w:rPr>
              <w:t>+</w:t>
            </w:r>
            <w:r w:rsidR="008000A7" w:rsidRPr="007315B3">
              <w:rPr>
                <w:rFonts w:ascii="Times New Roman" w:hAnsi="Times New Roman" w:cs="Times New Roman"/>
                <w:sz w:val="18"/>
                <w:szCs w:val="18"/>
                <w:lang w:eastAsia="en-IN"/>
              </w:rPr>
              <w:t>2.81</w:t>
            </w:r>
          </w:p>
        </w:tc>
        <w:tc>
          <w:tcPr>
            <w:tcW w:w="651" w:type="dxa"/>
            <w:tcBorders>
              <w:top w:val="nil"/>
              <w:left w:val="nil"/>
              <w:bottom w:val="single" w:sz="4" w:space="0" w:color="auto"/>
              <w:right w:val="single" w:sz="4" w:space="0" w:color="auto"/>
            </w:tcBorders>
            <w:noWrap/>
            <w:vAlign w:val="center"/>
            <w:hideMark/>
          </w:tcPr>
          <w:p w14:paraId="28394AF3" w14:textId="77777777" w:rsidR="008000A7" w:rsidRPr="007315B3" w:rsidRDefault="008000A7" w:rsidP="00471458">
            <w:pPr>
              <w:pStyle w:val="NoSpacing"/>
              <w:jc w:val="center"/>
              <w:rPr>
                <w:rFonts w:ascii="Times New Roman" w:hAnsi="Times New Roman" w:cs="Times New Roman"/>
                <w:sz w:val="18"/>
                <w:szCs w:val="18"/>
                <w:lang w:eastAsia="en-IN"/>
              </w:rPr>
            </w:pPr>
            <w:r w:rsidRPr="007315B3">
              <w:rPr>
                <w:rFonts w:ascii="Times New Roman" w:hAnsi="Times New Roman" w:cs="Times New Roman"/>
                <w:sz w:val="18"/>
                <w:szCs w:val="18"/>
                <w:lang w:eastAsia="en-IN"/>
              </w:rPr>
              <w:t>12.15</w:t>
            </w:r>
          </w:p>
        </w:tc>
        <w:tc>
          <w:tcPr>
            <w:tcW w:w="712" w:type="dxa"/>
            <w:tcBorders>
              <w:top w:val="nil"/>
              <w:left w:val="nil"/>
              <w:bottom w:val="single" w:sz="4" w:space="0" w:color="auto"/>
              <w:right w:val="single" w:sz="4" w:space="0" w:color="auto"/>
            </w:tcBorders>
            <w:noWrap/>
            <w:vAlign w:val="center"/>
            <w:hideMark/>
          </w:tcPr>
          <w:p w14:paraId="38FD0CA4" w14:textId="77777777" w:rsidR="008000A7" w:rsidRPr="007315B3" w:rsidRDefault="008000A7" w:rsidP="00471458">
            <w:pPr>
              <w:pStyle w:val="NoSpacing"/>
              <w:jc w:val="center"/>
              <w:rPr>
                <w:rFonts w:ascii="Times New Roman" w:hAnsi="Times New Roman" w:cs="Times New Roman"/>
                <w:sz w:val="18"/>
                <w:szCs w:val="18"/>
                <w:lang w:eastAsia="en-IN"/>
              </w:rPr>
            </w:pPr>
            <w:r w:rsidRPr="007315B3">
              <w:rPr>
                <w:rFonts w:ascii="Times New Roman" w:hAnsi="Times New Roman" w:cs="Times New Roman"/>
                <w:sz w:val="18"/>
                <w:szCs w:val="18"/>
                <w:lang w:eastAsia="en-IN"/>
              </w:rPr>
              <w:t>2.55</w:t>
            </w:r>
          </w:p>
        </w:tc>
        <w:tc>
          <w:tcPr>
            <w:tcW w:w="651" w:type="dxa"/>
            <w:tcBorders>
              <w:top w:val="nil"/>
              <w:left w:val="nil"/>
              <w:bottom w:val="single" w:sz="4" w:space="0" w:color="auto"/>
              <w:right w:val="single" w:sz="4" w:space="0" w:color="auto"/>
            </w:tcBorders>
            <w:noWrap/>
            <w:vAlign w:val="center"/>
            <w:hideMark/>
          </w:tcPr>
          <w:p w14:paraId="5EDACA8A" w14:textId="77777777" w:rsidR="008000A7" w:rsidRPr="007315B3" w:rsidRDefault="008000A7" w:rsidP="00471458">
            <w:pPr>
              <w:pStyle w:val="NoSpacing"/>
              <w:jc w:val="center"/>
              <w:rPr>
                <w:rFonts w:ascii="Times New Roman" w:hAnsi="Times New Roman" w:cs="Times New Roman"/>
                <w:sz w:val="18"/>
                <w:szCs w:val="18"/>
                <w:lang w:eastAsia="en-IN"/>
              </w:rPr>
            </w:pPr>
            <w:r w:rsidRPr="007315B3">
              <w:rPr>
                <w:rFonts w:ascii="Times New Roman" w:hAnsi="Times New Roman" w:cs="Times New Roman"/>
                <w:sz w:val="18"/>
                <w:szCs w:val="18"/>
                <w:lang w:eastAsia="en-IN"/>
              </w:rPr>
              <w:t>8.85</w:t>
            </w:r>
          </w:p>
        </w:tc>
        <w:tc>
          <w:tcPr>
            <w:tcW w:w="935" w:type="dxa"/>
            <w:tcBorders>
              <w:top w:val="nil"/>
              <w:left w:val="nil"/>
              <w:bottom w:val="single" w:sz="4" w:space="0" w:color="auto"/>
              <w:right w:val="single" w:sz="4" w:space="0" w:color="auto"/>
            </w:tcBorders>
            <w:noWrap/>
            <w:vAlign w:val="center"/>
            <w:hideMark/>
          </w:tcPr>
          <w:p w14:paraId="0A98FD9B" w14:textId="77777777" w:rsidR="008000A7" w:rsidRPr="007315B3" w:rsidRDefault="008000A7" w:rsidP="00471458">
            <w:pPr>
              <w:pStyle w:val="NoSpacing"/>
              <w:jc w:val="center"/>
              <w:rPr>
                <w:rFonts w:ascii="Times New Roman" w:hAnsi="Times New Roman" w:cs="Times New Roman"/>
                <w:sz w:val="18"/>
                <w:szCs w:val="18"/>
                <w:lang w:eastAsia="en-IN"/>
              </w:rPr>
            </w:pPr>
            <w:r w:rsidRPr="007315B3">
              <w:rPr>
                <w:rFonts w:ascii="Times New Roman" w:hAnsi="Times New Roman" w:cs="Times New Roman"/>
                <w:sz w:val="18"/>
                <w:szCs w:val="18"/>
                <w:lang w:eastAsia="en-IN"/>
              </w:rPr>
              <w:t>0.23</w:t>
            </w:r>
          </w:p>
        </w:tc>
        <w:tc>
          <w:tcPr>
            <w:tcW w:w="651" w:type="dxa"/>
            <w:tcBorders>
              <w:top w:val="nil"/>
              <w:left w:val="nil"/>
              <w:bottom w:val="single" w:sz="4" w:space="0" w:color="auto"/>
              <w:right w:val="single" w:sz="4" w:space="0" w:color="auto"/>
            </w:tcBorders>
            <w:noWrap/>
            <w:vAlign w:val="center"/>
            <w:hideMark/>
          </w:tcPr>
          <w:p w14:paraId="2A45E53F" w14:textId="4B25F27F" w:rsidR="008000A7" w:rsidRPr="007315B3" w:rsidRDefault="00F8055F" w:rsidP="00471458">
            <w:pPr>
              <w:pStyle w:val="NoSpacing"/>
              <w:jc w:val="center"/>
              <w:rPr>
                <w:rFonts w:ascii="Times New Roman" w:hAnsi="Times New Roman" w:cs="Times New Roman"/>
                <w:sz w:val="18"/>
                <w:szCs w:val="18"/>
                <w:lang w:eastAsia="en-IN"/>
              </w:rPr>
            </w:pPr>
            <w:r>
              <w:rPr>
                <w:rFonts w:ascii="Times New Roman" w:hAnsi="Times New Roman" w:cs="Times New Roman"/>
                <w:sz w:val="18"/>
                <w:szCs w:val="18"/>
                <w:lang w:eastAsia="en-IN"/>
              </w:rPr>
              <w:t>+</w:t>
            </w:r>
            <w:r w:rsidR="008000A7" w:rsidRPr="007315B3">
              <w:rPr>
                <w:rFonts w:ascii="Times New Roman" w:hAnsi="Times New Roman" w:cs="Times New Roman"/>
                <w:sz w:val="18"/>
                <w:szCs w:val="18"/>
                <w:lang w:eastAsia="en-IN"/>
              </w:rPr>
              <w:t>0.52</w:t>
            </w:r>
          </w:p>
        </w:tc>
        <w:tc>
          <w:tcPr>
            <w:tcW w:w="651" w:type="dxa"/>
            <w:tcBorders>
              <w:top w:val="nil"/>
              <w:left w:val="nil"/>
              <w:bottom w:val="single" w:sz="4" w:space="0" w:color="auto"/>
              <w:right w:val="single" w:sz="4" w:space="0" w:color="auto"/>
            </w:tcBorders>
            <w:noWrap/>
            <w:vAlign w:val="center"/>
            <w:hideMark/>
          </w:tcPr>
          <w:p w14:paraId="567875BB" w14:textId="77777777" w:rsidR="008000A7" w:rsidRPr="007315B3" w:rsidRDefault="008000A7" w:rsidP="00471458">
            <w:pPr>
              <w:pStyle w:val="NoSpacing"/>
              <w:jc w:val="center"/>
              <w:rPr>
                <w:rFonts w:ascii="Times New Roman" w:hAnsi="Times New Roman" w:cs="Times New Roman"/>
                <w:sz w:val="18"/>
                <w:szCs w:val="18"/>
                <w:lang w:eastAsia="en-IN"/>
              </w:rPr>
            </w:pPr>
            <w:r w:rsidRPr="007315B3">
              <w:rPr>
                <w:rFonts w:ascii="Times New Roman" w:hAnsi="Times New Roman" w:cs="Times New Roman"/>
                <w:sz w:val="18"/>
                <w:szCs w:val="18"/>
                <w:lang w:eastAsia="en-IN"/>
              </w:rPr>
              <w:t>22.24</w:t>
            </w:r>
          </w:p>
        </w:tc>
        <w:tc>
          <w:tcPr>
            <w:tcW w:w="712" w:type="dxa"/>
            <w:tcBorders>
              <w:top w:val="nil"/>
              <w:left w:val="nil"/>
              <w:bottom w:val="single" w:sz="4" w:space="0" w:color="auto"/>
              <w:right w:val="single" w:sz="4" w:space="0" w:color="auto"/>
            </w:tcBorders>
            <w:noWrap/>
            <w:vAlign w:val="center"/>
            <w:hideMark/>
          </w:tcPr>
          <w:p w14:paraId="66496A96" w14:textId="77777777" w:rsidR="008000A7" w:rsidRPr="007315B3" w:rsidRDefault="008000A7" w:rsidP="00471458">
            <w:pPr>
              <w:pStyle w:val="NoSpacing"/>
              <w:jc w:val="center"/>
              <w:rPr>
                <w:rFonts w:ascii="Times New Roman" w:hAnsi="Times New Roman" w:cs="Times New Roman"/>
                <w:sz w:val="18"/>
                <w:szCs w:val="18"/>
                <w:lang w:eastAsia="en-IN"/>
              </w:rPr>
            </w:pPr>
            <w:r w:rsidRPr="007315B3">
              <w:rPr>
                <w:rFonts w:ascii="Times New Roman" w:hAnsi="Times New Roman" w:cs="Times New Roman"/>
                <w:sz w:val="18"/>
                <w:szCs w:val="18"/>
                <w:lang w:eastAsia="en-IN"/>
              </w:rPr>
              <w:t>26.34</w:t>
            </w:r>
          </w:p>
        </w:tc>
        <w:tc>
          <w:tcPr>
            <w:tcW w:w="651" w:type="dxa"/>
            <w:tcBorders>
              <w:top w:val="nil"/>
              <w:left w:val="nil"/>
              <w:bottom w:val="single" w:sz="4" w:space="0" w:color="auto"/>
              <w:right w:val="single" w:sz="4" w:space="0" w:color="auto"/>
            </w:tcBorders>
            <w:noWrap/>
            <w:vAlign w:val="center"/>
            <w:hideMark/>
          </w:tcPr>
          <w:p w14:paraId="298AECA9" w14:textId="77777777" w:rsidR="008000A7" w:rsidRPr="007315B3" w:rsidRDefault="008000A7" w:rsidP="00471458">
            <w:pPr>
              <w:pStyle w:val="NoSpacing"/>
              <w:jc w:val="center"/>
              <w:rPr>
                <w:rFonts w:ascii="Times New Roman" w:hAnsi="Times New Roman" w:cs="Times New Roman"/>
                <w:sz w:val="18"/>
                <w:szCs w:val="18"/>
                <w:lang w:eastAsia="en-IN"/>
              </w:rPr>
            </w:pPr>
            <w:r w:rsidRPr="007315B3">
              <w:rPr>
                <w:rFonts w:ascii="Times New Roman" w:hAnsi="Times New Roman" w:cs="Times New Roman"/>
                <w:sz w:val="18"/>
                <w:szCs w:val="18"/>
                <w:lang w:eastAsia="en-IN"/>
              </w:rPr>
              <w:t>6.86</w:t>
            </w:r>
          </w:p>
        </w:tc>
        <w:tc>
          <w:tcPr>
            <w:tcW w:w="935" w:type="dxa"/>
            <w:tcBorders>
              <w:top w:val="nil"/>
              <w:left w:val="nil"/>
              <w:bottom w:val="single" w:sz="4" w:space="0" w:color="auto"/>
              <w:right w:val="single" w:sz="4" w:space="0" w:color="auto"/>
            </w:tcBorders>
            <w:noWrap/>
            <w:vAlign w:val="center"/>
            <w:hideMark/>
          </w:tcPr>
          <w:p w14:paraId="51A5E603" w14:textId="77777777" w:rsidR="008000A7" w:rsidRPr="007315B3" w:rsidRDefault="008000A7" w:rsidP="00471458">
            <w:pPr>
              <w:pStyle w:val="NoSpacing"/>
              <w:jc w:val="center"/>
              <w:rPr>
                <w:rFonts w:ascii="Times New Roman" w:hAnsi="Times New Roman" w:cs="Times New Roman"/>
                <w:sz w:val="18"/>
                <w:szCs w:val="18"/>
                <w:lang w:eastAsia="en-IN"/>
              </w:rPr>
            </w:pPr>
            <w:r w:rsidRPr="007315B3">
              <w:rPr>
                <w:rFonts w:ascii="Times New Roman" w:hAnsi="Times New Roman" w:cs="Times New Roman"/>
                <w:sz w:val="18"/>
                <w:szCs w:val="18"/>
                <w:lang w:eastAsia="en-IN"/>
              </w:rPr>
              <w:t>0.24</w:t>
            </w:r>
          </w:p>
        </w:tc>
        <w:tc>
          <w:tcPr>
            <w:tcW w:w="651" w:type="dxa"/>
            <w:tcBorders>
              <w:top w:val="nil"/>
              <w:left w:val="nil"/>
              <w:bottom w:val="single" w:sz="4" w:space="0" w:color="auto"/>
              <w:right w:val="single" w:sz="4" w:space="0" w:color="auto"/>
            </w:tcBorders>
            <w:noWrap/>
            <w:vAlign w:val="center"/>
            <w:hideMark/>
          </w:tcPr>
          <w:p w14:paraId="6475DA07" w14:textId="77777777" w:rsidR="008000A7" w:rsidRPr="007315B3" w:rsidRDefault="008000A7" w:rsidP="00471458">
            <w:pPr>
              <w:pStyle w:val="NoSpacing"/>
              <w:jc w:val="center"/>
              <w:rPr>
                <w:rFonts w:ascii="Times New Roman" w:hAnsi="Times New Roman" w:cs="Times New Roman"/>
                <w:sz w:val="18"/>
                <w:szCs w:val="18"/>
                <w:lang w:eastAsia="en-IN"/>
              </w:rPr>
            </w:pPr>
            <w:r w:rsidRPr="007315B3">
              <w:rPr>
                <w:rFonts w:ascii="Times New Roman" w:hAnsi="Times New Roman" w:cs="Times New Roman"/>
                <w:sz w:val="18"/>
                <w:szCs w:val="18"/>
                <w:lang w:eastAsia="en-IN"/>
              </w:rPr>
              <w:t>-11.2</w:t>
            </w:r>
          </w:p>
        </w:tc>
      </w:tr>
    </w:tbl>
    <w:p w14:paraId="0B44310E" w14:textId="77777777" w:rsidR="008000A7" w:rsidRPr="007315B3" w:rsidRDefault="008000A7" w:rsidP="003874AC">
      <w:pPr>
        <w:pStyle w:val="Sources"/>
      </w:pPr>
      <w:r w:rsidRPr="007315B3">
        <w:t>(a) Includes transfer to depreciation fund.</w:t>
      </w:r>
    </w:p>
    <w:p w14:paraId="521AAFD1" w14:textId="77777777" w:rsidR="008000A7" w:rsidRPr="007315B3" w:rsidRDefault="008000A7" w:rsidP="003874AC">
      <w:pPr>
        <w:pStyle w:val="Sources"/>
      </w:pPr>
      <w:r w:rsidRPr="007315B3">
        <w:t>(b) Includes working expenses and other expenditure.</w:t>
      </w:r>
    </w:p>
    <w:p w14:paraId="64D7B493" w14:textId="77777777" w:rsidR="008000A7" w:rsidRPr="007245B0" w:rsidRDefault="008000A7" w:rsidP="003874AC">
      <w:pPr>
        <w:pStyle w:val="Sources"/>
      </w:pPr>
      <w:r w:rsidRPr="007315B3">
        <w:t>(d) Includes maintenance expenditure on Plan schemes.</w:t>
      </w:r>
    </w:p>
    <w:p w14:paraId="1A3044D5" w14:textId="77777777" w:rsidR="00537910" w:rsidRDefault="00537910">
      <w:pPr>
        <w:rPr>
          <w:rFonts w:ascii="Times New Roman" w:eastAsiaTheme="majorEastAsia" w:hAnsi="Times New Roman" w:cs="Times New Roman"/>
          <w:b/>
          <w:bCs/>
        </w:rPr>
      </w:pPr>
      <w:r>
        <w:lastRenderedPageBreak/>
        <w:br w:type="page"/>
      </w:r>
    </w:p>
    <w:p w14:paraId="01BC6CB5" w14:textId="6B99B11B" w:rsidR="003874AC" w:rsidRDefault="00574BCE" w:rsidP="00537910">
      <w:pPr>
        <w:pStyle w:val="Heading4"/>
      </w:pPr>
      <w:bookmarkStart w:id="141" w:name="_Toc220949717"/>
      <w:bookmarkStart w:id="142" w:name="_Toc221114317"/>
      <w:bookmarkStart w:id="143" w:name="_Toc221115340"/>
      <w:r>
        <w:lastRenderedPageBreak/>
        <w:t>Table</w:t>
      </w:r>
      <w:r w:rsidR="008000A7" w:rsidRPr="007245B0">
        <w:t xml:space="preserve"> 36: Financial working of State Electricity Boards</w:t>
      </w:r>
      <w:bookmarkEnd w:id="141"/>
      <w:bookmarkEnd w:id="142"/>
      <w:bookmarkEnd w:id="143"/>
      <w:r w:rsidR="008000A7" w:rsidRPr="007245B0">
        <w:t xml:space="preserve"> </w:t>
      </w:r>
    </w:p>
    <w:p w14:paraId="6283C945" w14:textId="116C45BF" w:rsidR="008000A7" w:rsidRPr="00537910" w:rsidRDefault="008000A7" w:rsidP="00537910">
      <w:pPr>
        <w:jc w:val="right"/>
        <w:rPr>
          <w:rFonts w:ascii="Times New Roman" w:hAnsi="Times New Roman" w:cs="Times New Roman"/>
          <w:i/>
          <w:iCs/>
        </w:rPr>
      </w:pPr>
      <w:r w:rsidRPr="00537910">
        <w:rPr>
          <w:rFonts w:ascii="Times New Roman" w:hAnsi="Times New Roman" w:cs="Times New Roman"/>
          <w:i/>
          <w:iCs/>
        </w:rPr>
        <w:t>(Rs. crores)</w:t>
      </w:r>
    </w:p>
    <w:tbl>
      <w:tblPr>
        <w:tblStyle w:val="TableGrid"/>
        <w:tblW w:w="0" w:type="auto"/>
        <w:tblLook w:val="04A0" w:firstRow="1" w:lastRow="0" w:firstColumn="1" w:lastColumn="0" w:noHBand="0" w:noVBand="1"/>
      </w:tblPr>
      <w:tblGrid>
        <w:gridCol w:w="1362"/>
        <w:gridCol w:w="1043"/>
        <w:gridCol w:w="1031"/>
        <w:gridCol w:w="1104"/>
        <w:gridCol w:w="1524"/>
        <w:gridCol w:w="1176"/>
        <w:gridCol w:w="1558"/>
        <w:gridCol w:w="1034"/>
        <w:gridCol w:w="970"/>
        <w:gridCol w:w="1431"/>
        <w:gridCol w:w="1165"/>
      </w:tblGrid>
      <w:tr w:rsidR="008000A7" w:rsidRPr="00537910" w14:paraId="7CC2CF7C" w14:textId="77777777" w:rsidTr="00B77C0B">
        <w:tc>
          <w:tcPr>
            <w:tcW w:w="0" w:type="auto"/>
          </w:tcPr>
          <w:p w14:paraId="7C3F888F" w14:textId="77777777" w:rsidR="008000A7" w:rsidRPr="00537910" w:rsidRDefault="008000A7" w:rsidP="00B77C0B">
            <w:pPr>
              <w:pStyle w:val="NoSpacing"/>
              <w:rPr>
                <w:rFonts w:ascii="Times New Roman" w:hAnsi="Times New Roman" w:cs="Times New Roman"/>
                <w:sz w:val="22"/>
                <w:szCs w:val="22"/>
              </w:rPr>
            </w:pPr>
          </w:p>
        </w:tc>
        <w:tc>
          <w:tcPr>
            <w:tcW w:w="0" w:type="auto"/>
            <w:gridSpan w:val="10"/>
          </w:tcPr>
          <w:p w14:paraId="2C66BF3A" w14:textId="77777777" w:rsidR="008000A7" w:rsidRPr="00537910" w:rsidRDefault="008000A7" w:rsidP="00B77C0B">
            <w:pPr>
              <w:pStyle w:val="NoSpacing"/>
              <w:jc w:val="center"/>
              <w:rPr>
                <w:rFonts w:ascii="Times New Roman" w:hAnsi="Times New Roman" w:cs="Times New Roman"/>
                <w:b/>
                <w:bCs/>
                <w:sz w:val="22"/>
                <w:szCs w:val="22"/>
              </w:rPr>
            </w:pPr>
            <w:r w:rsidRPr="00537910">
              <w:rPr>
                <w:rFonts w:ascii="Times New Roman" w:hAnsi="Times New Roman" w:cs="Times New Roman"/>
                <w:b/>
                <w:bCs/>
                <w:sz w:val="22"/>
                <w:szCs w:val="22"/>
              </w:rPr>
              <w:t>1966-1967</w:t>
            </w:r>
          </w:p>
        </w:tc>
      </w:tr>
      <w:tr w:rsidR="008000A7" w:rsidRPr="00537910" w14:paraId="08BFCBEF" w14:textId="77777777" w:rsidTr="00537910">
        <w:tc>
          <w:tcPr>
            <w:tcW w:w="0" w:type="auto"/>
            <w:vAlign w:val="center"/>
            <w:hideMark/>
          </w:tcPr>
          <w:p w14:paraId="589EC9D2" w14:textId="77777777" w:rsidR="008000A7" w:rsidRPr="00537910" w:rsidRDefault="008000A7" w:rsidP="00537910">
            <w:pPr>
              <w:pStyle w:val="NoSpacing"/>
              <w:jc w:val="center"/>
              <w:rPr>
                <w:rFonts w:ascii="Times New Roman" w:hAnsi="Times New Roman" w:cs="Times New Roman"/>
                <w:b/>
                <w:bCs/>
                <w:sz w:val="22"/>
                <w:szCs w:val="22"/>
              </w:rPr>
            </w:pPr>
            <w:r w:rsidRPr="00537910">
              <w:rPr>
                <w:rFonts w:ascii="Times New Roman" w:hAnsi="Times New Roman" w:cs="Times New Roman"/>
                <w:b/>
                <w:bCs/>
                <w:sz w:val="22"/>
                <w:szCs w:val="22"/>
              </w:rPr>
              <w:t>States</w:t>
            </w:r>
          </w:p>
        </w:tc>
        <w:tc>
          <w:tcPr>
            <w:tcW w:w="0" w:type="auto"/>
            <w:vAlign w:val="center"/>
            <w:hideMark/>
          </w:tcPr>
          <w:p w14:paraId="5EB16E34" w14:textId="48CD6895" w:rsidR="008000A7" w:rsidRPr="00537910" w:rsidRDefault="008000A7" w:rsidP="00537910">
            <w:pPr>
              <w:pStyle w:val="NoSpacing"/>
              <w:jc w:val="center"/>
              <w:rPr>
                <w:rFonts w:ascii="Times New Roman" w:hAnsi="Times New Roman" w:cs="Times New Roman"/>
                <w:b/>
                <w:bCs/>
                <w:sz w:val="22"/>
                <w:szCs w:val="22"/>
              </w:rPr>
            </w:pPr>
            <w:r w:rsidRPr="00537910">
              <w:rPr>
                <w:rFonts w:ascii="Times New Roman" w:hAnsi="Times New Roman" w:cs="Times New Roman"/>
                <w:b/>
                <w:bCs/>
                <w:sz w:val="22"/>
                <w:szCs w:val="22"/>
              </w:rPr>
              <w:t>Block Capital as on 1-4-66</w:t>
            </w:r>
          </w:p>
        </w:tc>
        <w:tc>
          <w:tcPr>
            <w:tcW w:w="0" w:type="auto"/>
            <w:vAlign w:val="center"/>
            <w:hideMark/>
          </w:tcPr>
          <w:p w14:paraId="57DDB6D4" w14:textId="0B3207BB" w:rsidR="008000A7" w:rsidRPr="00537910" w:rsidRDefault="008000A7" w:rsidP="00537910">
            <w:pPr>
              <w:pStyle w:val="NoSpacing"/>
              <w:jc w:val="center"/>
              <w:rPr>
                <w:rFonts w:ascii="Times New Roman" w:hAnsi="Times New Roman" w:cs="Times New Roman"/>
                <w:b/>
                <w:bCs/>
                <w:sz w:val="22"/>
                <w:szCs w:val="22"/>
              </w:rPr>
            </w:pPr>
            <w:r w:rsidRPr="00537910">
              <w:rPr>
                <w:rFonts w:ascii="Times New Roman" w:hAnsi="Times New Roman" w:cs="Times New Roman"/>
                <w:b/>
                <w:bCs/>
                <w:sz w:val="22"/>
                <w:szCs w:val="22"/>
              </w:rPr>
              <w:t>Receipts (a)</w:t>
            </w:r>
          </w:p>
        </w:tc>
        <w:tc>
          <w:tcPr>
            <w:tcW w:w="0" w:type="auto"/>
            <w:vAlign w:val="center"/>
            <w:hideMark/>
          </w:tcPr>
          <w:p w14:paraId="6FBBB91B" w14:textId="195F3E1E" w:rsidR="008000A7" w:rsidRPr="00537910" w:rsidRDefault="008000A7" w:rsidP="00537910">
            <w:pPr>
              <w:pStyle w:val="NoSpacing"/>
              <w:jc w:val="center"/>
              <w:rPr>
                <w:rFonts w:ascii="Times New Roman" w:hAnsi="Times New Roman" w:cs="Times New Roman"/>
                <w:b/>
                <w:bCs/>
                <w:sz w:val="22"/>
                <w:szCs w:val="22"/>
              </w:rPr>
            </w:pPr>
            <w:r w:rsidRPr="00537910">
              <w:rPr>
                <w:rFonts w:ascii="Times New Roman" w:hAnsi="Times New Roman" w:cs="Times New Roman"/>
                <w:b/>
                <w:bCs/>
                <w:sz w:val="22"/>
                <w:szCs w:val="22"/>
              </w:rPr>
              <w:t>Working expenses</w:t>
            </w:r>
          </w:p>
        </w:tc>
        <w:tc>
          <w:tcPr>
            <w:tcW w:w="0" w:type="auto"/>
            <w:vAlign w:val="center"/>
            <w:hideMark/>
          </w:tcPr>
          <w:p w14:paraId="0FB935B3" w14:textId="75DECCAD" w:rsidR="008000A7" w:rsidRPr="00537910" w:rsidRDefault="008000A7" w:rsidP="00537910">
            <w:pPr>
              <w:pStyle w:val="NoSpacing"/>
              <w:jc w:val="center"/>
              <w:rPr>
                <w:rFonts w:ascii="Times New Roman" w:hAnsi="Times New Roman" w:cs="Times New Roman"/>
                <w:b/>
                <w:bCs/>
                <w:sz w:val="22"/>
                <w:szCs w:val="22"/>
              </w:rPr>
            </w:pPr>
            <w:r w:rsidRPr="00537910">
              <w:rPr>
                <w:rFonts w:ascii="Times New Roman" w:hAnsi="Times New Roman" w:cs="Times New Roman"/>
                <w:b/>
                <w:bCs/>
                <w:sz w:val="22"/>
                <w:szCs w:val="22"/>
              </w:rPr>
              <w:t>Transfer to Depreciation fund</w:t>
            </w:r>
          </w:p>
        </w:tc>
        <w:tc>
          <w:tcPr>
            <w:tcW w:w="0" w:type="auto"/>
            <w:vAlign w:val="center"/>
            <w:hideMark/>
          </w:tcPr>
          <w:p w14:paraId="4F4DD54A" w14:textId="7F5F097F" w:rsidR="008000A7" w:rsidRPr="00537910" w:rsidRDefault="008000A7" w:rsidP="00537910">
            <w:pPr>
              <w:pStyle w:val="NoSpacing"/>
              <w:jc w:val="center"/>
              <w:rPr>
                <w:rFonts w:ascii="Times New Roman" w:hAnsi="Times New Roman" w:cs="Times New Roman"/>
                <w:b/>
                <w:bCs/>
                <w:sz w:val="22"/>
                <w:szCs w:val="22"/>
              </w:rPr>
            </w:pPr>
            <w:r w:rsidRPr="00537910">
              <w:rPr>
                <w:rFonts w:ascii="Times New Roman" w:hAnsi="Times New Roman" w:cs="Times New Roman"/>
                <w:b/>
                <w:bCs/>
                <w:sz w:val="22"/>
                <w:szCs w:val="22"/>
              </w:rPr>
              <w:t>Transfer to General Reserve fund</w:t>
            </w:r>
          </w:p>
        </w:tc>
        <w:tc>
          <w:tcPr>
            <w:tcW w:w="0" w:type="auto"/>
            <w:vAlign w:val="center"/>
            <w:hideMark/>
          </w:tcPr>
          <w:p w14:paraId="77FC59BC" w14:textId="7BFC48B1" w:rsidR="008000A7" w:rsidRPr="00537910" w:rsidRDefault="008000A7" w:rsidP="00537910">
            <w:pPr>
              <w:pStyle w:val="NoSpacing"/>
              <w:jc w:val="center"/>
              <w:rPr>
                <w:rFonts w:ascii="Times New Roman" w:hAnsi="Times New Roman" w:cs="Times New Roman"/>
                <w:b/>
                <w:bCs/>
                <w:sz w:val="22"/>
                <w:szCs w:val="22"/>
              </w:rPr>
            </w:pPr>
            <w:r w:rsidRPr="00537910">
              <w:rPr>
                <w:rFonts w:ascii="Times New Roman" w:hAnsi="Times New Roman" w:cs="Times New Roman"/>
                <w:b/>
                <w:bCs/>
                <w:sz w:val="22"/>
                <w:szCs w:val="22"/>
              </w:rPr>
              <w:t>Interest to State Government (accrual)</w:t>
            </w:r>
          </w:p>
        </w:tc>
        <w:tc>
          <w:tcPr>
            <w:tcW w:w="0" w:type="auto"/>
            <w:vAlign w:val="center"/>
            <w:hideMark/>
          </w:tcPr>
          <w:p w14:paraId="270B8A0B" w14:textId="187D9C60" w:rsidR="008000A7" w:rsidRPr="00537910" w:rsidRDefault="008000A7" w:rsidP="00537910">
            <w:pPr>
              <w:pStyle w:val="NoSpacing"/>
              <w:jc w:val="center"/>
              <w:rPr>
                <w:rFonts w:ascii="Times New Roman" w:hAnsi="Times New Roman" w:cs="Times New Roman"/>
                <w:b/>
                <w:bCs/>
                <w:sz w:val="22"/>
                <w:szCs w:val="22"/>
              </w:rPr>
            </w:pPr>
            <w:r w:rsidRPr="00537910">
              <w:rPr>
                <w:rFonts w:ascii="Times New Roman" w:hAnsi="Times New Roman" w:cs="Times New Roman"/>
                <w:b/>
                <w:bCs/>
                <w:sz w:val="22"/>
                <w:szCs w:val="22"/>
              </w:rPr>
              <w:t>Interest on other loans</w:t>
            </w:r>
          </w:p>
        </w:tc>
        <w:tc>
          <w:tcPr>
            <w:tcW w:w="0" w:type="auto"/>
            <w:vAlign w:val="center"/>
            <w:hideMark/>
          </w:tcPr>
          <w:p w14:paraId="00BB8E82" w14:textId="25E4BBE9" w:rsidR="008000A7" w:rsidRPr="00537910" w:rsidRDefault="008000A7" w:rsidP="00537910">
            <w:pPr>
              <w:pStyle w:val="NoSpacing"/>
              <w:jc w:val="center"/>
              <w:rPr>
                <w:rFonts w:ascii="Times New Roman" w:hAnsi="Times New Roman" w:cs="Times New Roman"/>
                <w:b/>
                <w:bCs/>
                <w:sz w:val="22"/>
                <w:szCs w:val="22"/>
              </w:rPr>
            </w:pPr>
            <w:r w:rsidRPr="00537910">
              <w:rPr>
                <w:rFonts w:ascii="Times New Roman" w:hAnsi="Times New Roman" w:cs="Times New Roman"/>
                <w:b/>
                <w:bCs/>
                <w:sz w:val="22"/>
                <w:szCs w:val="22"/>
              </w:rPr>
              <w:t>Net receipts</w:t>
            </w:r>
          </w:p>
        </w:tc>
        <w:tc>
          <w:tcPr>
            <w:tcW w:w="0" w:type="auto"/>
            <w:vAlign w:val="center"/>
            <w:hideMark/>
          </w:tcPr>
          <w:p w14:paraId="3656C1C8" w14:textId="5309937D" w:rsidR="008000A7" w:rsidRPr="00537910" w:rsidRDefault="008000A7" w:rsidP="00537910">
            <w:pPr>
              <w:pStyle w:val="NoSpacing"/>
              <w:jc w:val="center"/>
              <w:rPr>
                <w:rFonts w:ascii="Times New Roman" w:hAnsi="Times New Roman" w:cs="Times New Roman"/>
                <w:b/>
                <w:bCs/>
                <w:sz w:val="22"/>
                <w:szCs w:val="22"/>
              </w:rPr>
            </w:pPr>
            <w:r w:rsidRPr="00537910">
              <w:rPr>
                <w:rFonts w:ascii="Times New Roman" w:hAnsi="Times New Roman" w:cs="Times New Roman"/>
                <w:b/>
                <w:bCs/>
                <w:sz w:val="22"/>
                <w:szCs w:val="22"/>
              </w:rPr>
              <w:t>Transfer to loan redemption fund</w:t>
            </w:r>
          </w:p>
        </w:tc>
        <w:tc>
          <w:tcPr>
            <w:tcW w:w="0" w:type="auto"/>
            <w:vAlign w:val="center"/>
            <w:hideMark/>
          </w:tcPr>
          <w:p w14:paraId="3954E41C" w14:textId="316C04F1" w:rsidR="008000A7" w:rsidRPr="00537910" w:rsidRDefault="008000A7" w:rsidP="00537910">
            <w:pPr>
              <w:pStyle w:val="NoSpacing"/>
              <w:jc w:val="center"/>
              <w:rPr>
                <w:rFonts w:ascii="Times New Roman" w:hAnsi="Times New Roman" w:cs="Times New Roman"/>
                <w:b/>
                <w:bCs/>
                <w:sz w:val="22"/>
                <w:szCs w:val="22"/>
              </w:rPr>
            </w:pPr>
            <w:r w:rsidRPr="00537910">
              <w:rPr>
                <w:rFonts w:ascii="Times New Roman" w:hAnsi="Times New Roman" w:cs="Times New Roman"/>
                <w:b/>
                <w:bCs/>
                <w:sz w:val="22"/>
                <w:szCs w:val="22"/>
              </w:rPr>
              <w:t>Net receipts after taking into account item 9</w:t>
            </w:r>
          </w:p>
        </w:tc>
      </w:tr>
      <w:tr w:rsidR="008000A7" w:rsidRPr="00537910" w14:paraId="4F4DACEE" w14:textId="77777777" w:rsidTr="00537910">
        <w:tc>
          <w:tcPr>
            <w:tcW w:w="0" w:type="auto"/>
            <w:vAlign w:val="center"/>
          </w:tcPr>
          <w:p w14:paraId="40FF476C" w14:textId="77777777" w:rsidR="008000A7" w:rsidRPr="00537910" w:rsidRDefault="008000A7" w:rsidP="00537910">
            <w:pPr>
              <w:pStyle w:val="NoSpacing"/>
              <w:jc w:val="center"/>
              <w:rPr>
                <w:rFonts w:ascii="Times New Roman" w:hAnsi="Times New Roman" w:cs="Times New Roman"/>
                <w:b/>
                <w:bCs/>
                <w:sz w:val="22"/>
                <w:szCs w:val="22"/>
              </w:rPr>
            </w:pPr>
          </w:p>
        </w:tc>
        <w:tc>
          <w:tcPr>
            <w:tcW w:w="0" w:type="auto"/>
            <w:vAlign w:val="center"/>
          </w:tcPr>
          <w:p w14:paraId="1C63CB89" w14:textId="77777777" w:rsidR="008000A7" w:rsidRPr="00537910" w:rsidRDefault="008000A7" w:rsidP="00537910">
            <w:pPr>
              <w:pStyle w:val="NoSpacing"/>
              <w:jc w:val="center"/>
              <w:rPr>
                <w:rFonts w:ascii="Times New Roman" w:hAnsi="Times New Roman" w:cs="Times New Roman"/>
                <w:b/>
                <w:bCs/>
                <w:sz w:val="22"/>
                <w:szCs w:val="22"/>
              </w:rPr>
            </w:pPr>
            <w:r w:rsidRPr="00537910">
              <w:rPr>
                <w:rFonts w:ascii="Times New Roman" w:hAnsi="Times New Roman" w:cs="Times New Roman"/>
                <w:b/>
                <w:bCs/>
                <w:sz w:val="22"/>
                <w:szCs w:val="22"/>
              </w:rPr>
              <w:t>1</w:t>
            </w:r>
          </w:p>
        </w:tc>
        <w:tc>
          <w:tcPr>
            <w:tcW w:w="0" w:type="auto"/>
            <w:vAlign w:val="center"/>
          </w:tcPr>
          <w:p w14:paraId="3B83FD51" w14:textId="77777777" w:rsidR="008000A7" w:rsidRPr="00537910" w:rsidRDefault="008000A7" w:rsidP="00537910">
            <w:pPr>
              <w:pStyle w:val="NoSpacing"/>
              <w:jc w:val="center"/>
              <w:rPr>
                <w:rFonts w:ascii="Times New Roman" w:hAnsi="Times New Roman" w:cs="Times New Roman"/>
                <w:b/>
                <w:bCs/>
                <w:sz w:val="22"/>
                <w:szCs w:val="22"/>
              </w:rPr>
            </w:pPr>
            <w:r w:rsidRPr="00537910">
              <w:rPr>
                <w:rFonts w:ascii="Times New Roman" w:hAnsi="Times New Roman" w:cs="Times New Roman"/>
                <w:b/>
                <w:bCs/>
                <w:sz w:val="22"/>
                <w:szCs w:val="22"/>
              </w:rPr>
              <w:t>2</w:t>
            </w:r>
          </w:p>
        </w:tc>
        <w:tc>
          <w:tcPr>
            <w:tcW w:w="0" w:type="auto"/>
            <w:vAlign w:val="center"/>
          </w:tcPr>
          <w:p w14:paraId="5199EF41" w14:textId="77777777" w:rsidR="008000A7" w:rsidRPr="00537910" w:rsidRDefault="008000A7" w:rsidP="00537910">
            <w:pPr>
              <w:pStyle w:val="NoSpacing"/>
              <w:jc w:val="center"/>
              <w:rPr>
                <w:rFonts w:ascii="Times New Roman" w:hAnsi="Times New Roman" w:cs="Times New Roman"/>
                <w:b/>
                <w:bCs/>
                <w:sz w:val="22"/>
                <w:szCs w:val="22"/>
              </w:rPr>
            </w:pPr>
            <w:r w:rsidRPr="00537910">
              <w:rPr>
                <w:rFonts w:ascii="Times New Roman" w:hAnsi="Times New Roman" w:cs="Times New Roman"/>
                <w:b/>
                <w:bCs/>
                <w:sz w:val="22"/>
                <w:szCs w:val="22"/>
              </w:rPr>
              <w:t>3</w:t>
            </w:r>
          </w:p>
        </w:tc>
        <w:tc>
          <w:tcPr>
            <w:tcW w:w="0" w:type="auto"/>
            <w:vAlign w:val="center"/>
          </w:tcPr>
          <w:p w14:paraId="197C80DC" w14:textId="77777777" w:rsidR="008000A7" w:rsidRPr="00537910" w:rsidRDefault="008000A7" w:rsidP="00537910">
            <w:pPr>
              <w:pStyle w:val="NoSpacing"/>
              <w:jc w:val="center"/>
              <w:rPr>
                <w:rFonts w:ascii="Times New Roman" w:hAnsi="Times New Roman" w:cs="Times New Roman"/>
                <w:b/>
                <w:bCs/>
                <w:sz w:val="22"/>
                <w:szCs w:val="22"/>
              </w:rPr>
            </w:pPr>
            <w:r w:rsidRPr="00537910">
              <w:rPr>
                <w:rFonts w:ascii="Times New Roman" w:hAnsi="Times New Roman" w:cs="Times New Roman"/>
                <w:b/>
                <w:bCs/>
                <w:sz w:val="22"/>
                <w:szCs w:val="22"/>
              </w:rPr>
              <w:t>4</w:t>
            </w:r>
          </w:p>
        </w:tc>
        <w:tc>
          <w:tcPr>
            <w:tcW w:w="0" w:type="auto"/>
            <w:vAlign w:val="center"/>
          </w:tcPr>
          <w:p w14:paraId="58682F25" w14:textId="77777777" w:rsidR="008000A7" w:rsidRPr="00537910" w:rsidRDefault="008000A7" w:rsidP="00537910">
            <w:pPr>
              <w:pStyle w:val="NoSpacing"/>
              <w:jc w:val="center"/>
              <w:rPr>
                <w:rFonts w:ascii="Times New Roman" w:hAnsi="Times New Roman" w:cs="Times New Roman"/>
                <w:b/>
                <w:bCs/>
                <w:sz w:val="22"/>
                <w:szCs w:val="22"/>
              </w:rPr>
            </w:pPr>
            <w:r w:rsidRPr="00537910">
              <w:rPr>
                <w:rFonts w:ascii="Times New Roman" w:hAnsi="Times New Roman" w:cs="Times New Roman"/>
                <w:b/>
                <w:bCs/>
                <w:sz w:val="22"/>
                <w:szCs w:val="22"/>
              </w:rPr>
              <w:t>5</w:t>
            </w:r>
          </w:p>
        </w:tc>
        <w:tc>
          <w:tcPr>
            <w:tcW w:w="0" w:type="auto"/>
            <w:vAlign w:val="center"/>
          </w:tcPr>
          <w:p w14:paraId="2FE57343" w14:textId="77777777" w:rsidR="008000A7" w:rsidRPr="00537910" w:rsidRDefault="008000A7" w:rsidP="00537910">
            <w:pPr>
              <w:pStyle w:val="NoSpacing"/>
              <w:jc w:val="center"/>
              <w:rPr>
                <w:rFonts w:ascii="Times New Roman" w:hAnsi="Times New Roman" w:cs="Times New Roman"/>
                <w:b/>
                <w:bCs/>
                <w:sz w:val="22"/>
                <w:szCs w:val="22"/>
              </w:rPr>
            </w:pPr>
            <w:r w:rsidRPr="00537910">
              <w:rPr>
                <w:rFonts w:ascii="Times New Roman" w:hAnsi="Times New Roman" w:cs="Times New Roman"/>
                <w:b/>
                <w:bCs/>
                <w:sz w:val="22"/>
                <w:szCs w:val="22"/>
              </w:rPr>
              <w:t>6</w:t>
            </w:r>
          </w:p>
        </w:tc>
        <w:tc>
          <w:tcPr>
            <w:tcW w:w="0" w:type="auto"/>
            <w:vAlign w:val="center"/>
          </w:tcPr>
          <w:p w14:paraId="10839C7F" w14:textId="77777777" w:rsidR="008000A7" w:rsidRPr="00537910" w:rsidRDefault="008000A7" w:rsidP="00537910">
            <w:pPr>
              <w:pStyle w:val="NoSpacing"/>
              <w:jc w:val="center"/>
              <w:rPr>
                <w:rFonts w:ascii="Times New Roman" w:hAnsi="Times New Roman" w:cs="Times New Roman"/>
                <w:b/>
                <w:bCs/>
                <w:sz w:val="22"/>
                <w:szCs w:val="22"/>
              </w:rPr>
            </w:pPr>
            <w:r w:rsidRPr="00537910">
              <w:rPr>
                <w:rFonts w:ascii="Times New Roman" w:hAnsi="Times New Roman" w:cs="Times New Roman"/>
                <w:b/>
                <w:bCs/>
                <w:sz w:val="22"/>
                <w:szCs w:val="22"/>
              </w:rPr>
              <w:t>7</w:t>
            </w:r>
          </w:p>
        </w:tc>
        <w:tc>
          <w:tcPr>
            <w:tcW w:w="0" w:type="auto"/>
            <w:vAlign w:val="center"/>
          </w:tcPr>
          <w:p w14:paraId="24176EBC" w14:textId="77777777" w:rsidR="008000A7" w:rsidRPr="00537910" w:rsidRDefault="008000A7" w:rsidP="00537910">
            <w:pPr>
              <w:pStyle w:val="NoSpacing"/>
              <w:jc w:val="center"/>
              <w:rPr>
                <w:rFonts w:ascii="Times New Roman" w:hAnsi="Times New Roman" w:cs="Times New Roman"/>
                <w:b/>
                <w:bCs/>
                <w:sz w:val="22"/>
                <w:szCs w:val="22"/>
              </w:rPr>
            </w:pPr>
            <w:r w:rsidRPr="00537910">
              <w:rPr>
                <w:rFonts w:ascii="Times New Roman" w:hAnsi="Times New Roman" w:cs="Times New Roman"/>
                <w:b/>
                <w:bCs/>
                <w:sz w:val="22"/>
                <w:szCs w:val="22"/>
              </w:rPr>
              <w:t>8</w:t>
            </w:r>
          </w:p>
        </w:tc>
        <w:tc>
          <w:tcPr>
            <w:tcW w:w="0" w:type="auto"/>
            <w:vAlign w:val="center"/>
          </w:tcPr>
          <w:p w14:paraId="31FFD76C" w14:textId="77777777" w:rsidR="008000A7" w:rsidRPr="00537910" w:rsidRDefault="008000A7" w:rsidP="00537910">
            <w:pPr>
              <w:pStyle w:val="NoSpacing"/>
              <w:jc w:val="center"/>
              <w:rPr>
                <w:rFonts w:ascii="Times New Roman" w:hAnsi="Times New Roman" w:cs="Times New Roman"/>
                <w:b/>
                <w:bCs/>
                <w:sz w:val="22"/>
                <w:szCs w:val="22"/>
              </w:rPr>
            </w:pPr>
            <w:r w:rsidRPr="00537910">
              <w:rPr>
                <w:rFonts w:ascii="Times New Roman" w:hAnsi="Times New Roman" w:cs="Times New Roman"/>
                <w:b/>
                <w:bCs/>
                <w:sz w:val="22"/>
                <w:szCs w:val="22"/>
              </w:rPr>
              <w:t>9</w:t>
            </w:r>
          </w:p>
        </w:tc>
        <w:tc>
          <w:tcPr>
            <w:tcW w:w="0" w:type="auto"/>
            <w:vAlign w:val="center"/>
          </w:tcPr>
          <w:p w14:paraId="3EF81BC2" w14:textId="77777777" w:rsidR="008000A7" w:rsidRPr="00537910" w:rsidRDefault="008000A7" w:rsidP="00537910">
            <w:pPr>
              <w:pStyle w:val="NoSpacing"/>
              <w:jc w:val="center"/>
              <w:rPr>
                <w:rFonts w:ascii="Times New Roman" w:hAnsi="Times New Roman" w:cs="Times New Roman"/>
                <w:b/>
                <w:bCs/>
                <w:sz w:val="22"/>
                <w:szCs w:val="22"/>
              </w:rPr>
            </w:pPr>
            <w:r w:rsidRPr="00537910">
              <w:rPr>
                <w:rFonts w:ascii="Times New Roman" w:hAnsi="Times New Roman" w:cs="Times New Roman"/>
                <w:b/>
                <w:bCs/>
                <w:sz w:val="22"/>
                <w:szCs w:val="22"/>
              </w:rPr>
              <w:t>10</w:t>
            </w:r>
          </w:p>
        </w:tc>
      </w:tr>
      <w:tr w:rsidR="008000A7" w:rsidRPr="00537910" w14:paraId="7B9F06AD" w14:textId="77777777" w:rsidTr="00537910">
        <w:tc>
          <w:tcPr>
            <w:tcW w:w="0" w:type="auto"/>
            <w:hideMark/>
          </w:tcPr>
          <w:p w14:paraId="71EFFCED" w14:textId="77777777" w:rsidR="008000A7" w:rsidRPr="00537910" w:rsidRDefault="008000A7" w:rsidP="00B77C0B">
            <w:pPr>
              <w:pStyle w:val="NoSpacing"/>
              <w:rPr>
                <w:rFonts w:ascii="Times New Roman" w:hAnsi="Times New Roman" w:cs="Times New Roman"/>
                <w:sz w:val="22"/>
                <w:szCs w:val="22"/>
              </w:rPr>
            </w:pPr>
            <w:r w:rsidRPr="00537910">
              <w:rPr>
                <w:rFonts w:ascii="Times New Roman" w:hAnsi="Times New Roman" w:cs="Times New Roman"/>
                <w:sz w:val="22"/>
                <w:szCs w:val="22"/>
              </w:rPr>
              <w:t>Andhra Pradesh</w:t>
            </w:r>
          </w:p>
        </w:tc>
        <w:tc>
          <w:tcPr>
            <w:tcW w:w="0" w:type="auto"/>
            <w:vAlign w:val="center"/>
            <w:hideMark/>
          </w:tcPr>
          <w:p w14:paraId="1EC70177" w14:textId="77777777" w:rsidR="008000A7" w:rsidRPr="00537910" w:rsidRDefault="008000A7" w:rsidP="00537910">
            <w:pPr>
              <w:pStyle w:val="NoSpacing"/>
              <w:jc w:val="center"/>
              <w:rPr>
                <w:rFonts w:ascii="Times New Roman" w:hAnsi="Times New Roman" w:cs="Times New Roman"/>
                <w:sz w:val="22"/>
                <w:szCs w:val="22"/>
              </w:rPr>
            </w:pPr>
            <w:r w:rsidRPr="00537910">
              <w:rPr>
                <w:rFonts w:ascii="Times New Roman" w:hAnsi="Times New Roman" w:cs="Times New Roman"/>
                <w:sz w:val="22"/>
                <w:szCs w:val="22"/>
              </w:rPr>
              <w:t>135.54</w:t>
            </w:r>
          </w:p>
        </w:tc>
        <w:tc>
          <w:tcPr>
            <w:tcW w:w="0" w:type="auto"/>
            <w:vAlign w:val="center"/>
            <w:hideMark/>
          </w:tcPr>
          <w:p w14:paraId="53900553" w14:textId="77777777" w:rsidR="008000A7" w:rsidRPr="00537910" w:rsidRDefault="008000A7" w:rsidP="00537910">
            <w:pPr>
              <w:pStyle w:val="NoSpacing"/>
              <w:jc w:val="center"/>
              <w:rPr>
                <w:rFonts w:ascii="Times New Roman" w:hAnsi="Times New Roman" w:cs="Times New Roman"/>
                <w:sz w:val="22"/>
                <w:szCs w:val="22"/>
              </w:rPr>
            </w:pPr>
            <w:r w:rsidRPr="00537910">
              <w:rPr>
                <w:rFonts w:ascii="Times New Roman" w:hAnsi="Times New Roman" w:cs="Times New Roman"/>
                <w:sz w:val="22"/>
                <w:szCs w:val="22"/>
              </w:rPr>
              <w:t>18.08</w:t>
            </w:r>
          </w:p>
        </w:tc>
        <w:tc>
          <w:tcPr>
            <w:tcW w:w="0" w:type="auto"/>
            <w:vAlign w:val="center"/>
            <w:hideMark/>
          </w:tcPr>
          <w:p w14:paraId="57292BD9" w14:textId="77777777" w:rsidR="008000A7" w:rsidRPr="00537910" w:rsidRDefault="008000A7" w:rsidP="00537910">
            <w:pPr>
              <w:pStyle w:val="NoSpacing"/>
              <w:jc w:val="center"/>
              <w:rPr>
                <w:rFonts w:ascii="Times New Roman" w:hAnsi="Times New Roman" w:cs="Times New Roman"/>
                <w:sz w:val="22"/>
                <w:szCs w:val="22"/>
              </w:rPr>
            </w:pPr>
            <w:r w:rsidRPr="00537910">
              <w:rPr>
                <w:rFonts w:ascii="Times New Roman" w:hAnsi="Times New Roman" w:cs="Times New Roman"/>
                <w:sz w:val="22"/>
                <w:szCs w:val="22"/>
              </w:rPr>
              <w:t>11.81</w:t>
            </w:r>
          </w:p>
        </w:tc>
        <w:tc>
          <w:tcPr>
            <w:tcW w:w="0" w:type="auto"/>
            <w:vAlign w:val="center"/>
            <w:hideMark/>
          </w:tcPr>
          <w:p w14:paraId="618416D8" w14:textId="77777777" w:rsidR="008000A7" w:rsidRPr="00537910" w:rsidRDefault="008000A7" w:rsidP="00537910">
            <w:pPr>
              <w:pStyle w:val="NoSpacing"/>
              <w:jc w:val="center"/>
              <w:rPr>
                <w:rFonts w:ascii="Times New Roman" w:hAnsi="Times New Roman" w:cs="Times New Roman"/>
                <w:sz w:val="22"/>
                <w:szCs w:val="22"/>
              </w:rPr>
            </w:pPr>
            <w:r w:rsidRPr="00537910">
              <w:rPr>
                <w:rFonts w:ascii="Times New Roman" w:hAnsi="Times New Roman" w:cs="Times New Roman"/>
                <w:sz w:val="22"/>
                <w:szCs w:val="22"/>
              </w:rPr>
              <w:t>3.25</w:t>
            </w:r>
          </w:p>
        </w:tc>
        <w:tc>
          <w:tcPr>
            <w:tcW w:w="0" w:type="auto"/>
            <w:vAlign w:val="center"/>
            <w:hideMark/>
          </w:tcPr>
          <w:p w14:paraId="236D55B4" w14:textId="77777777" w:rsidR="008000A7" w:rsidRPr="00537910" w:rsidRDefault="008000A7" w:rsidP="00537910">
            <w:pPr>
              <w:pStyle w:val="NoSpacing"/>
              <w:jc w:val="center"/>
              <w:rPr>
                <w:rFonts w:ascii="Times New Roman" w:hAnsi="Times New Roman" w:cs="Times New Roman"/>
                <w:sz w:val="22"/>
                <w:szCs w:val="22"/>
              </w:rPr>
            </w:pPr>
            <w:r w:rsidRPr="00537910">
              <w:rPr>
                <w:rFonts w:ascii="Times New Roman" w:hAnsi="Times New Roman" w:cs="Times New Roman"/>
                <w:sz w:val="22"/>
                <w:szCs w:val="22"/>
              </w:rPr>
              <w:t>0.61</w:t>
            </w:r>
          </w:p>
        </w:tc>
        <w:tc>
          <w:tcPr>
            <w:tcW w:w="0" w:type="auto"/>
            <w:vAlign w:val="center"/>
            <w:hideMark/>
          </w:tcPr>
          <w:p w14:paraId="347DB02F" w14:textId="77777777" w:rsidR="008000A7" w:rsidRPr="00537910" w:rsidRDefault="008000A7" w:rsidP="00537910">
            <w:pPr>
              <w:pStyle w:val="NoSpacing"/>
              <w:jc w:val="center"/>
              <w:rPr>
                <w:rFonts w:ascii="Times New Roman" w:hAnsi="Times New Roman" w:cs="Times New Roman"/>
                <w:sz w:val="22"/>
                <w:szCs w:val="22"/>
              </w:rPr>
            </w:pPr>
            <w:r w:rsidRPr="00537910">
              <w:rPr>
                <w:rFonts w:ascii="Times New Roman" w:hAnsi="Times New Roman" w:cs="Times New Roman"/>
                <w:sz w:val="22"/>
                <w:szCs w:val="22"/>
              </w:rPr>
              <w:t>6.35</w:t>
            </w:r>
          </w:p>
        </w:tc>
        <w:tc>
          <w:tcPr>
            <w:tcW w:w="0" w:type="auto"/>
            <w:vAlign w:val="center"/>
            <w:hideMark/>
          </w:tcPr>
          <w:p w14:paraId="54DCD417" w14:textId="77777777" w:rsidR="008000A7" w:rsidRPr="00537910" w:rsidRDefault="008000A7" w:rsidP="00537910">
            <w:pPr>
              <w:pStyle w:val="NoSpacing"/>
              <w:jc w:val="center"/>
              <w:rPr>
                <w:rFonts w:ascii="Times New Roman" w:hAnsi="Times New Roman" w:cs="Times New Roman"/>
                <w:sz w:val="22"/>
                <w:szCs w:val="22"/>
              </w:rPr>
            </w:pPr>
            <w:r w:rsidRPr="00537910">
              <w:rPr>
                <w:rFonts w:ascii="Times New Roman" w:hAnsi="Times New Roman" w:cs="Times New Roman"/>
                <w:sz w:val="22"/>
                <w:szCs w:val="22"/>
              </w:rPr>
              <w:t>1.00</w:t>
            </w:r>
          </w:p>
        </w:tc>
        <w:tc>
          <w:tcPr>
            <w:tcW w:w="0" w:type="auto"/>
            <w:vAlign w:val="center"/>
            <w:hideMark/>
          </w:tcPr>
          <w:p w14:paraId="36C1481A" w14:textId="77777777" w:rsidR="008000A7" w:rsidRPr="00537910" w:rsidRDefault="008000A7" w:rsidP="00537910">
            <w:pPr>
              <w:pStyle w:val="NoSpacing"/>
              <w:jc w:val="center"/>
              <w:rPr>
                <w:rFonts w:ascii="Times New Roman" w:hAnsi="Times New Roman" w:cs="Times New Roman"/>
                <w:sz w:val="22"/>
                <w:szCs w:val="22"/>
              </w:rPr>
            </w:pPr>
            <w:r w:rsidRPr="00537910">
              <w:rPr>
                <w:rFonts w:ascii="Times New Roman" w:hAnsi="Times New Roman" w:cs="Times New Roman"/>
                <w:sz w:val="22"/>
                <w:szCs w:val="22"/>
              </w:rPr>
              <w:t>-4.94</w:t>
            </w:r>
          </w:p>
        </w:tc>
        <w:tc>
          <w:tcPr>
            <w:tcW w:w="0" w:type="auto"/>
            <w:vAlign w:val="center"/>
            <w:hideMark/>
          </w:tcPr>
          <w:p w14:paraId="2FF7EDCE" w14:textId="77777777" w:rsidR="008000A7" w:rsidRPr="00537910" w:rsidRDefault="008000A7" w:rsidP="00537910">
            <w:pPr>
              <w:pStyle w:val="NoSpacing"/>
              <w:jc w:val="center"/>
              <w:rPr>
                <w:rFonts w:ascii="Times New Roman" w:hAnsi="Times New Roman" w:cs="Times New Roman"/>
                <w:sz w:val="22"/>
                <w:szCs w:val="22"/>
              </w:rPr>
            </w:pPr>
            <w:r w:rsidRPr="00537910">
              <w:rPr>
                <w:rFonts w:ascii="Times New Roman" w:hAnsi="Times New Roman" w:cs="Times New Roman"/>
                <w:sz w:val="22"/>
                <w:szCs w:val="22"/>
              </w:rPr>
              <w:t>-1.17</w:t>
            </w:r>
          </w:p>
        </w:tc>
        <w:tc>
          <w:tcPr>
            <w:tcW w:w="0" w:type="auto"/>
            <w:vAlign w:val="center"/>
            <w:hideMark/>
          </w:tcPr>
          <w:p w14:paraId="556AC1F0" w14:textId="77777777" w:rsidR="008000A7" w:rsidRPr="00537910" w:rsidRDefault="008000A7" w:rsidP="00537910">
            <w:pPr>
              <w:pStyle w:val="NoSpacing"/>
              <w:jc w:val="center"/>
              <w:rPr>
                <w:rFonts w:ascii="Times New Roman" w:hAnsi="Times New Roman" w:cs="Times New Roman"/>
                <w:sz w:val="22"/>
                <w:szCs w:val="22"/>
              </w:rPr>
            </w:pPr>
            <w:r w:rsidRPr="00537910">
              <w:rPr>
                <w:rFonts w:ascii="Times New Roman" w:hAnsi="Times New Roman" w:cs="Times New Roman"/>
                <w:sz w:val="22"/>
                <w:szCs w:val="22"/>
              </w:rPr>
              <w:t>-6.11</w:t>
            </w:r>
          </w:p>
        </w:tc>
      </w:tr>
      <w:tr w:rsidR="008000A7" w:rsidRPr="00537910" w14:paraId="629DDAD5" w14:textId="77777777" w:rsidTr="00537910">
        <w:tc>
          <w:tcPr>
            <w:tcW w:w="0" w:type="auto"/>
            <w:hideMark/>
          </w:tcPr>
          <w:p w14:paraId="1ED009AB" w14:textId="77777777" w:rsidR="008000A7" w:rsidRPr="00537910" w:rsidRDefault="008000A7" w:rsidP="00B77C0B">
            <w:pPr>
              <w:pStyle w:val="NoSpacing"/>
              <w:rPr>
                <w:rFonts w:ascii="Times New Roman" w:hAnsi="Times New Roman" w:cs="Times New Roman"/>
                <w:sz w:val="22"/>
                <w:szCs w:val="22"/>
              </w:rPr>
            </w:pPr>
            <w:r w:rsidRPr="00537910">
              <w:rPr>
                <w:rFonts w:ascii="Times New Roman" w:hAnsi="Times New Roman" w:cs="Times New Roman"/>
                <w:sz w:val="22"/>
                <w:szCs w:val="22"/>
              </w:rPr>
              <w:t>Assam</w:t>
            </w:r>
          </w:p>
        </w:tc>
        <w:tc>
          <w:tcPr>
            <w:tcW w:w="0" w:type="auto"/>
            <w:vAlign w:val="center"/>
            <w:hideMark/>
          </w:tcPr>
          <w:p w14:paraId="2E0FB179" w14:textId="77777777" w:rsidR="008000A7" w:rsidRPr="00537910" w:rsidRDefault="008000A7" w:rsidP="00537910">
            <w:pPr>
              <w:pStyle w:val="NoSpacing"/>
              <w:jc w:val="center"/>
              <w:rPr>
                <w:rFonts w:ascii="Times New Roman" w:hAnsi="Times New Roman" w:cs="Times New Roman"/>
                <w:sz w:val="22"/>
                <w:szCs w:val="22"/>
              </w:rPr>
            </w:pPr>
            <w:r w:rsidRPr="00537910">
              <w:rPr>
                <w:rFonts w:ascii="Times New Roman" w:hAnsi="Times New Roman" w:cs="Times New Roman"/>
                <w:sz w:val="22"/>
                <w:szCs w:val="22"/>
              </w:rPr>
              <w:t>51.60</w:t>
            </w:r>
          </w:p>
        </w:tc>
        <w:tc>
          <w:tcPr>
            <w:tcW w:w="0" w:type="auto"/>
            <w:vAlign w:val="center"/>
            <w:hideMark/>
          </w:tcPr>
          <w:p w14:paraId="2B184C52" w14:textId="77777777" w:rsidR="008000A7" w:rsidRPr="00537910" w:rsidRDefault="008000A7" w:rsidP="00537910">
            <w:pPr>
              <w:pStyle w:val="NoSpacing"/>
              <w:jc w:val="center"/>
              <w:rPr>
                <w:rFonts w:ascii="Times New Roman" w:hAnsi="Times New Roman" w:cs="Times New Roman"/>
                <w:sz w:val="22"/>
                <w:szCs w:val="22"/>
              </w:rPr>
            </w:pPr>
            <w:r w:rsidRPr="00537910">
              <w:rPr>
                <w:rFonts w:ascii="Times New Roman" w:hAnsi="Times New Roman" w:cs="Times New Roman"/>
                <w:sz w:val="22"/>
                <w:szCs w:val="22"/>
              </w:rPr>
              <w:t>1.89</w:t>
            </w:r>
          </w:p>
        </w:tc>
        <w:tc>
          <w:tcPr>
            <w:tcW w:w="0" w:type="auto"/>
            <w:vAlign w:val="center"/>
            <w:hideMark/>
          </w:tcPr>
          <w:p w14:paraId="5E34A5B4" w14:textId="77777777" w:rsidR="008000A7" w:rsidRPr="00537910" w:rsidRDefault="008000A7" w:rsidP="00537910">
            <w:pPr>
              <w:pStyle w:val="NoSpacing"/>
              <w:jc w:val="center"/>
              <w:rPr>
                <w:rFonts w:ascii="Times New Roman" w:hAnsi="Times New Roman" w:cs="Times New Roman"/>
                <w:sz w:val="22"/>
                <w:szCs w:val="22"/>
              </w:rPr>
            </w:pPr>
            <w:r w:rsidRPr="00537910">
              <w:rPr>
                <w:rFonts w:ascii="Times New Roman" w:hAnsi="Times New Roman" w:cs="Times New Roman"/>
                <w:sz w:val="22"/>
                <w:szCs w:val="22"/>
              </w:rPr>
              <w:t>1.27</w:t>
            </w:r>
          </w:p>
        </w:tc>
        <w:tc>
          <w:tcPr>
            <w:tcW w:w="0" w:type="auto"/>
            <w:vAlign w:val="center"/>
            <w:hideMark/>
          </w:tcPr>
          <w:p w14:paraId="24C5C1E9" w14:textId="77777777" w:rsidR="008000A7" w:rsidRPr="00537910" w:rsidRDefault="008000A7" w:rsidP="00537910">
            <w:pPr>
              <w:pStyle w:val="NoSpacing"/>
              <w:jc w:val="center"/>
              <w:rPr>
                <w:rFonts w:ascii="Times New Roman" w:hAnsi="Times New Roman" w:cs="Times New Roman"/>
                <w:sz w:val="22"/>
                <w:szCs w:val="22"/>
              </w:rPr>
            </w:pPr>
            <w:r w:rsidRPr="00537910">
              <w:rPr>
                <w:rFonts w:ascii="Times New Roman" w:hAnsi="Times New Roman" w:cs="Times New Roman"/>
                <w:sz w:val="22"/>
                <w:szCs w:val="22"/>
              </w:rPr>
              <w:t>0.54</w:t>
            </w:r>
          </w:p>
        </w:tc>
        <w:tc>
          <w:tcPr>
            <w:tcW w:w="0" w:type="auto"/>
            <w:vAlign w:val="center"/>
            <w:hideMark/>
          </w:tcPr>
          <w:p w14:paraId="51ACC11D" w14:textId="77777777" w:rsidR="008000A7" w:rsidRPr="00537910" w:rsidRDefault="008000A7" w:rsidP="00537910">
            <w:pPr>
              <w:pStyle w:val="NoSpacing"/>
              <w:jc w:val="center"/>
              <w:rPr>
                <w:rFonts w:ascii="Times New Roman" w:hAnsi="Times New Roman" w:cs="Times New Roman"/>
                <w:sz w:val="22"/>
                <w:szCs w:val="22"/>
              </w:rPr>
            </w:pPr>
            <w:r w:rsidRPr="00537910">
              <w:rPr>
                <w:rFonts w:ascii="Times New Roman" w:hAnsi="Times New Roman" w:cs="Times New Roman"/>
                <w:sz w:val="22"/>
                <w:szCs w:val="22"/>
              </w:rPr>
              <w:t>..</w:t>
            </w:r>
          </w:p>
        </w:tc>
        <w:tc>
          <w:tcPr>
            <w:tcW w:w="0" w:type="auto"/>
            <w:vAlign w:val="center"/>
            <w:hideMark/>
          </w:tcPr>
          <w:p w14:paraId="6B795B96" w14:textId="77777777" w:rsidR="008000A7" w:rsidRPr="00537910" w:rsidRDefault="008000A7" w:rsidP="00537910">
            <w:pPr>
              <w:pStyle w:val="NoSpacing"/>
              <w:jc w:val="center"/>
              <w:rPr>
                <w:rFonts w:ascii="Times New Roman" w:hAnsi="Times New Roman" w:cs="Times New Roman"/>
                <w:sz w:val="22"/>
                <w:szCs w:val="22"/>
              </w:rPr>
            </w:pPr>
            <w:r w:rsidRPr="00537910">
              <w:rPr>
                <w:rFonts w:ascii="Times New Roman" w:hAnsi="Times New Roman" w:cs="Times New Roman"/>
                <w:sz w:val="22"/>
                <w:szCs w:val="22"/>
              </w:rPr>
              <w:t>..</w:t>
            </w:r>
          </w:p>
        </w:tc>
        <w:tc>
          <w:tcPr>
            <w:tcW w:w="0" w:type="auto"/>
            <w:vAlign w:val="center"/>
            <w:hideMark/>
          </w:tcPr>
          <w:p w14:paraId="29BB7278" w14:textId="77777777" w:rsidR="008000A7" w:rsidRPr="00537910" w:rsidRDefault="008000A7" w:rsidP="00537910">
            <w:pPr>
              <w:pStyle w:val="NoSpacing"/>
              <w:jc w:val="center"/>
              <w:rPr>
                <w:rFonts w:ascii="Times New Roman" w:hAnsi="Times New Roman" w:cs="Times New Roman"/>
                <w:sz w:val="22"/>
                <w:szCs w:val="22"/>
              </w:rPr>
            </w:pPr>
            <w:r w:rsidRPr="00537910">
              <w:rPr>
                <w:rFonts w:ascii="Times New Roman" w:hAnsi="Times New Roman" w:cs="Times New Roman"/>
                <w:sz w:val="22"/>
                <w:szCs w:val="22"/>
              </w:rPr>
              <w:t>0.08</w:t>
            </w:r>
          </w:p>
        </w:tc>
        <w:tc>
          <w:tcPr>
            <w:tcW w:w="0" w:type="auto"/>
            <w:vAlign w:val="center"/>
            <w:hideMark/>
          </w:tcPr>
          <w:p w14:paraId="17232B81" w14:textId="77777777" w:rsidR="008000A7" w:rsidRPr="00537910" w:rsidRDefault="008000A7" w:rsidP="00537910">
            <w:pPr>
              <w:pStyle w:val="NoSpacing"/>
              <w:jc w:val="center"/>
              <w:rPr>
                <w:rFonts w:ascii="Times New Roman" w:hAnsi="Times New Roman" w:cs="Times New Roman"/>
                <w:sz w:val="22"/>
                <w:szCs w:val="22"/>
              </w:rPr>
            </w:pPr>
            <w:r w:rsidRPr="00537910">
              <w:rPr>
                <w:rFonts w:ascii="Times New Roman" w:hAnsi="Times New Roman" w:cs="Times New Roman"/>
                <w:sz w:val="22"/>
                <w:szCs w:val="22"/>
              </w:rPr>
              <w:t>..</w:t>
            </w:r>
          </w:p>
        </w:tc>
        <w:tc>
          <w:tcPr>
            <w:tcW w:w="0" w:type="auto"/>
            <w:vAlign w:val="center"/>
            <w:hideMark/>
          </w:tcPr>
          <w:p w14:paraId="3B48B966" w14:textId="77777777" w:rsidR="008000A7" w:rsidRPr="00537910" w:rsidRDefault="008000A7" w:rsidP="00537910">
            <w:pPr>
              <w:pStyle w:val="NoSpacing"/>
              <w:jc w:val="center"/>
              <w:rPr>
                <w:rFonts w:ascii="Times New Roman" w:hAnsi="Times New Roman" w:cs="Times New Roman"/>
                <w:sz w:val="22"/>
                <w:szCs w:val="22"/>
              </w:rPr>
            </w:pPr>
            <w:r w:rsidRPr="00537910">
              <w:rPr>
                <w:rFonts w:ascii="Times New Roman" w:hAnsi="Times New Roman" w:cs="Times New Roman"/>
                <w:sz w:val="22"/>
                <w:szCs w:val="22"/>
              </w:rPr>
              <w:t>..</w:t>
            </w:r>
          </w:p>
        </w:tc>
        <w:tc>
          <w:tcPr>
            <w:tcW w:w="0" w:type="auto"/>
            <w:vAlign w:val="center"/>
            <w:hideMark/>
          </w:tcPr>
          <w:p w14:paraId="6FFD471B" w14:textId="77777777" w:rsidR="008000A7" w:rsidRPr="00537910" w:rsidRDefault="008000A7" w:rsidP="00537910">
            <w:pPr>
              <w:pStyle w:val="NoSpacing"/>
              <w:jc w:val="center"/>
              <w:rPr>
                <w:rFonts w:ascii="Times New Roman" w:hAnsi="Times New Roman" w:cs="Times New Roman"/>
                <w:sz w:val="22"/>
                <w:szCs w:val="22"/>
              </w:rPr>
            </w:pPr>
            <w:r w:rsidRPr="00537910">
              <w:rPr>
                <w:rFonts w:ascii="Times New Roman" w:hAnsi="Times New Roman" w:cs="Times New Roman"/>
                <w:sz w:val="22"/>
                <w:szCs w:val="22"/>
              </w:rPr>
              <w:t>..</w:t>
            </w:r>
          </w:p>
        </w:tc>
      </w:tr>
      <w:tr w:rsidR="008000A7" w:rsidRPr="00537910" w14:paraId="7CDCA123" w14:textId="77777777" w:rsidTr="00537910">
        <w:tc>
          <w:tcPr>
            <w:tcW w:w="0" w:type="auto"/>
            <w:hideMark/>
          </w:tcPr>
          <w:p w14:paraId="5CE0F951" w14:textId="77777777" w:rsidR="008000A7" w:rsidRPr="00537910" w:rsidRDefault="008000A7" w:rsidP="00B77C0B">
            <w:pPr>
              <w:pStyle w:val="NoSpacing"/>
              <w:rPr>
                <w:rFonts w:ascii="Times New Roman" w:hAnsi="Times New Roman" w:cs="Times New Roman"/>
                <w:sz w:val="22"/>
                <w:szCs w:val="22"/>
              </w:rPr>
            </w:pPr>
            <w:r w:rsidRPr="00537910">
              <w:rPr>
                <w:rFonts w:ascii="Times New Roman" w:hAnsi="Times New Roman" w:cs="Times New Roman"/>
                <w:sz w:val="22"/>
                <w:szCs w:val="22"/>
              </w:rPr>
              <w:t>Bihar</w:t>
            </w:r>
          </w:p>
        </w:tc>
        <w:tc>
          <w:tcPr>
            <w:tcW w:w="0" w:type="auto"/>
            <w:vAlign w:val="center"/>
            <w:hideMark/>
          </w:tcPr>
          <w:p w14:paraId="3DC96D65" w14:textId="77777777" w:rsidR="008000A7" w:rsidRPr="00537910" w:rsidRDefault="008000A7" w:rsidP="00537910">
            <w:pPr>
              <w:pStyle w:val="NoSpacing"/>
              <w:jc w:val="center"/>
              <w:rPr>
                <w:rFonts w:ascii="Times New Roman" w:hAnsi="Times New Roman" w:cs="Times New Roman"/>
                <w:sz w:val="22"/>
                <w:szCs w:val="22"/>
              </w:rPr>
            </w:pPr>
            <w:r w:rsidRPr="00537910">
              <w:rPr>
                <w:rFonts w:ascii="Times New Roman" w:hAnsi="Times New Roman" w:cs="Times New Roman"/>
                <w:sz w:val="22"/>
                <w:szCs w:val="22"/>
              </w:rPr>
              <w:t>111.12</w:t>
            </w:r>
          </w:p>
        </w:tc>
        <w:tc>
          <w:tcPr>
            <w:tcW w:w="0" w:type="auto"/>
            <w:vAlign w:val="center"/>
            <w:hideMark/>
          </w:tcPr>
          <w:p w14:paraId="737694C7" w14:textId="77777777" w:rsidR="008000A7" w:rsidRPr="00537910" w:rsidRDefault="008000A7" w:rsidP="00537910">
            <w:pPr>
              <w:pStyle w:val="NoSpacing"/>
              <w:jc w:val="center"/>
              <w:rPr>
                <w:rFonts w:ascii="Times New Roman" w:hAnsi="Times New Roman" w:cs="Times New Roman"/>
                <w:sz w:val="22"/>
                <w:szCs w:val="22"/>
              </w:rPr>
            </w:pPr>
            <w:r w:rsidRPr="00537910">
              <w:rPr>
                <w:rFonts w:ascii="Times New Roman" w:hAnsi="Times New Roman" w:cs="Times New Roman"/>
                <w:sz w:val="22"/>
                <w:szCs w:val="22"/>
              </w:rPr>
              <w:t>14.01</w:t>
            </w:r>
          </w:p>
        </w:tc>
        <w:tc>
          <w:tcPr>
            <w:tcW w:w="0" w:type="auto"/>
            <w:vAlign w:val="center"/>
            <w:hideMark/>
          </w:tcPr>
          <w:p w14:paraId="27369560" w14:textId="77777777" w:rsidR="008000A7" w:rsidRPr="00537910" w:rsidRDefault="008000A7" w:rsidP="00537910">
            <w:pPr>
              <w:pStyle w:val="NoSpacing"/>
              <w:jc w:val="center"/>
              <w:rPr>
                <w:rFonts w:ascii="Times New Roman" w:hAnsi="Times New Roman" w:cs="Times New Roman"/>
                <w:sz w:val="22"/>
                <w:szCs w:val="22"/>
              </w:rPr>
            </w:pPr>
            <w:r w:rsidRPr="00537910">
              <w:rPr>
                <w:rFonts w:ascii="Times New Roman" w:hAnsi="Times New Roman" w:cs="Times New Roman"/>
                <w:sz w:val="22"/>
                <w:szCs w:val="22"/>
              </w:rPr>
              <w:t>11.36</w:t>
            </w:r>
          </w:p>
        </w:tc>
        <w:tc>
          <w:tcPr>
            <w:tcW w:w="0" w:type="auto"/>
            <w:vAlign w:val="center"/>
            <w:hideMark/>
          </w:tcPr>
          <w:p w14:paraId="740D39BF" w14:textId="77777777" w:rsidR="008000A7" w:rsidRPr="00537910" w:rsidRDefault="008000A7" w:rsidP="00537910">
            <w:pPr>
              <w:pStyle w:val="NoSpacing"/>
              <w:jc w:val="center"/>
              <w:rPr>
                <w:rFonts w:ascii="Times New Roman" w:hAnsi="Times New Roman" w:cs="Times New Roman"/>
                <w:sz w:val="22"/>
                <w:szCs w:val="22"/>
              </w:rPr>
            </w:pPr>
            <w:r w:rsidRPr="00537910">
              <w:rPr>
                <w:rFonts w:ascii="Times New Roman" w:hAnsi="Times New Roman" w:cs="Times New Roman"/>
                <w:sz w:val="22"/>
                <w:szCs w:val="22"/>
              </w:rPr>
              <w:t>1.78</w:t>
            </w:r>
          </w:p>
        </w:tc>
        <w:tc>
          <w:tcPr>
            <w:tcW w:w="0" w:type="auto"/>
            <w:vAlign w:val="center"/>
            <w:hideMark/>
          </w:tcPr>
          <w:p w14:paraId="3A6D453B" w14:textId="77777777" w:rsidR="008000A7" w:rsidRPr="00537910" w:rsidRDefault="008000A7" w:rsidP="00537910">
            <w:pPr>
              <w:pStyle w:val="NoSpacing"/>
              <w:jc w:val="center"/>
              <w:rPr>
                <w:rFonts w:ascii="Times New Roman" w:hAnsi="Times New Roman" w:cs="Times New Roman"/>
                <w:sz w:val="22"/>
                <w:szCs w:val="22"/>
              </w:rPr>
            </w:pPr>
            <w:r w:rsidRPr="00537910">
              <w:rPr>
                <w:rFonts w:ascii="Times New Roman" w:hAnsi="Times New Roman" w:cs="Times New Roman"/>
                <w:sz w:val="22"/>
                <w:szCs w:val="22"/>
              </w:rPr>
              <w:t>..</w:t>
            </w:r>
          </w:p>
        </w:tc>
        <w:tc>
          <w:tcPr>
            <w:tcW w:w="0" w:type="auto"/>
            <w:vAlign w:val="center"/>
            <w:hideMark/>
          </w:tcPr>
          <w:p w14:paraId="0D05B131" w14:textId="77777777" w:rsidR="008000A7" w:rsidRPr="00537910" w:rsidRDefault="008000A7" w:rsidP="00537910">
            <w:pPr>
              <w:pStyle w:val="NoSpacing"/>
              <w:jc w:val="center"/>
              <w:rPr>
                <w:rFonts w:ascii="Times New Roman" w:hAnsi="Times New Roman" w:cs="Times New Roman"/>
                <w:sz w:val="22"/>
                <w:szCs w:val="22"/>
              </w:rPr>
            </w:pPr>
            <w:r w:rsidRPr="00537910">
              <w:rPr>
                <w:rFonts w:ascii="Times New Roman" w:hAnsi="Times New Roman" w:cs="Times New Roman"/>
                <w:sz w:val="22"/>
                <w:szCs w:val="22"/>
              </w:rPr>
              <w:t>5.88</w:t>
            </w:r>
          </w:p>
        </w:tc>
        <w:tc>
          <w:tcPr>
            <w:tcW w:w="0" w:type="auto"/>
            <w:vAlign w:val="center"/>
            <w:hideMark/>
          </w:tcPr>
          <w:p w14:paraId="2E6B6697" w14:textId="77777777" w:rsidR="008000A7" w:rsidRPr="00537910" w:rsidRDefault="008000A7" w:rsidP="00537910">
            <w:pPr>
              <w:pStyle w:val="NoSpacing"/>
              <w:jc w:val="center"/>
              <w:rPr>
                <w:rFonts w:ascii="Times New Roman" w:hAnsi="Times New Roman" w:cs="Times New Roman"/>
                <w:sz w:val="22"/>
                <w:szCs w:val="22"/>
              </w:rPr>
            </w:pPr>
            <w:r w:rsidRPr="00537910">
              <w:rPr>
                <w:rFonts w:ascii="Times New Roman" w:hAnsi="Times New Roman" w:cs="Times New Roman"/>
                <w:sz w:val="22"/>
                <w:szCs w:val="22"/>
              </w:rPr>
              <w:t>0.54</w:t>
            </w:r>
          </w:p>
        </w:tc>
        <w:tc>
          <w:tcPr>
            <w:tcW w:w="0" w:type="auto"/>
            <w:vAlign w:val="center"/>
            <w:hideMark/>
          </w:tcPr>
          <w:p w14:paraId="694B74C3" w14:textId="77777777" w:rsidR="008000A7" w:rsidRPr="00537910" w:rsidRDefault="008000A7" w:rsidP="00537910">
            <w:pPr>
              <w:pStyle w:val="NoSpacing"/>
              <w:jc w:val="center"/>
              <w:rPr>
                <w:rFonts w:ascii="Times New Roman" w:hAnsi="Times New Roman" w:cs="Times New Roman"/>
                <w:sz w:val="22"/>
                <w:szCs w:val="22"/>
              </w:rPr>
            </w:pPr>
            <w:r w:rsidRPr="00537910">
              <w:rPr>
                <w:rFonts w:ascii="Times New Roman" w:hAnsi="Times New Roman" w:cs="Times New Roman"/>
                <w:sz w:val="22"/>
                <w:szCs w:val="22"/>
              </w:rPr>
              <w:t>-5.55</w:t>
            </w:r>
          </w:p>
        </w:tc>
        <w:tc>
          <w:tcPr>
            <w:tcW w:w="0" w:type="auto"/>
            <w:vAlign w:val="center"/>
            <w:hideMark/>
          </w:tcPr>
          <w:p w14:paraId="0ECB48BD" w14:textId="77777777" w:rsidR="008000A7" w:rsidRPr="00537910" w:rsidRDefault="008000A7" w:rsidP="00537910">
            <w:pPr>
              <w:pStyle w:val="NoSpacing"/>
              <w:jc w:val="center"/>
              <w:rPr>
                <w:rFonts w:ascii="Times New Roman" w:hAnsi="Times New Roman" w:cs="Times New Roman"/>
                <w:sz w:val="22"/>
                <w:szCs w:val="22"/>
              </w:rPr>
            </w:pPr>
            <w:r w:rsidRPr="00537910">
              <w:rPr>
                <w:rFonts w:ascii="Times New Roman" w:hAnsi="Times New Roman" w:cs="Times New Roman"/>
                <w:sz w:val="22"/>
                <w:szCs w:val="22"/>
              </w:rPr>
              <w:t>-0.23</w:t>
            </w:r>
          </w:p>
        </w:tc>
        <w:tc>
          <w:tcPr>
            <w:tcW w:w="0" w:type="auto"/>
            <w:vAlign w:val="center"/>
            <w:hideMark/>
          </w:tcPr>
          <w:p w14:paraId="27B243B8" w14:textId="77777777" w:rsidR="008000A7" w:rsidRPr="00537910" w:rsidRDefault="008000A7" w:rsidP="00537910">
            <w:pPr>
              <w:pStyle w:val="NoSpacing"/>
              <w:jc w:val="center"/>
              <w:rPr>
                <w:rFonts w:ascii="Times New Roman" w:hAnsi="Times New Roman" w:cs="Times New Roman"/>
                <w:sz w:val="22"/>
                <w:szCs w:val="22"/>
              </w:rPr>
            </w:pPr>
            <w:r w:rsidRPr="00537910">
              <w:rPr>
                <w:rFonts w:ascii="Times New Roman" w:hAnsi="Times New Roman" w:cs="Times New Roman"/>
                <w:sz w:val="22"/>
                <w:szCs w:val="22"/>
              </w:rPr>
              <w:t>-5.78</w:t>
            </w:r>
          </w:p>
        </w:tc>
      </w:tr>
      <w:tr w:rsidR="008000A7" w:rsidRPr="00537910" w14:paraId="3439D892" w14:textId="77777777" w:rsidTr="00537910">
        <w:tc>
          <w:tcPr>
            <w:tcW w:w="0" w:type="auto"/>
            <w:hideMark/>
          </w:tcPr>
          <w:p w14:paraId="371EBDDE" w14:textId="77777777" w:rsidR="008000A7" w:rsidRPr="00537910" w:rsidRDefault="008000A7" w:rsidP="00B77C0B">
            <w:pPr>
              <w:pStyle w:val="NoSpacing"/>
              <w:rPr>
                <w:rFonts w:ascii="Times New Roman" w:hAnsi="Times New Roman" w:cs="Times New Roman"/>
                <w:sz w:val="22"/>
                <w:szCs w:val="22"/>
              </w:rPr>
            </w:pPr>
            <w:r w:rsidRPr="00537910">
              <w:rPr>
                <w:rFonts w:ascii="Times New Roman" w:hAnsi="Times New Roman" w:cs="Times New Roman"/>
                <w:sz w:val="22"/>
                <w:szCs w:val="22"/>
              </w:rPr>
              <w:t>Gujarat</w:t>
            </w:r>
          </w:p>
        </w:tc>
        <w:tc>
          <w:tcPr>
            <w:tcW w:w="0" w:type="auto"/>
            <w:vAlign w:val="center"/>
            <w:hideMark/>
          </w:tcPr>
          <w:p w14:paraId="3166B4C2" w14:textId="77777777" w:rsidR="008000A7" w:rsidRPr="00537910" w:rsidRDefault="008000A7" w:rsidP="00537910">
            <w:pPr>
              <w:pStyle w:val="NoSpacing"/>
              <w:jc w:val="center"/>
              <w:rPr>
                <w:rFonts w:ascii="Times New Roman" w:hAnsi="Times New Roman" w:cs="Times New Roman"/>
                <w:sz w:val="22"/>
                <w:szCs w:val="22"/>
              </w:rPr>
            </w:pPr>
            <w:r w:rsidRPr="00537910">
              <w:rPr>
                <w:rFonts w:ascii="Times New Roman" w:hAnsi="Times New Roman" w:cs="Times New Roman"/>
                <w:sz w:val="22"/>
                <w:szCs w:val="22"/>
              </w:rPr>
              <w:t>90.65</w:t>
            </w:r>
          </w:p>
        </w:tc>
        <w:tc>
          <w:tcPr>
            <w:tcW w:w="0" w:type="auto"/>
            <w:vAlign w:val="center"/>
            <w:hideMark/>
          </w:tcPr>
          <w:p w14:paraId="4C31386A" w14:textId="77777777" w:rsidR="008000A7" w:rsidRPr="00537910" w:rsidRDefault="008000A7" w:rsidP="00537910">
            <w:pPr>
              <w:pStyle w:val="NoSpacing"/>
              <w:jc w:val="center"/>
              <w:rPr>
                <w:rFonts w:ascii="Times New Roman" w:hAnsi="Times New Roman" w:cs="Times New Roman"/>
                <w:sz w:val="22"/>
                <w:szCs w:val="22"/>
              </w:rPr>
            </w:pPr>
            <w:r w:rsidRPr="00537910">
              <w:rPr>
                <w:rFonts w:ascii="Times New Roman" w:hAnsi="Times New Roman" w:cs="Times New Roman"/>
                <w:sz w:val="22"/>
                <w:szCs w:val="22"/>
              </w:rPr>
              <w:t>16.39</w:t>
            </w:r>
          </w:p>
        </w:tc>
        <w:tc>
          <w:tcPr>
            <w:tcW w:w="0" w:type="auto"/>
            <w:vAlign w:val="center"/>
            <w:hideMark/>
          </w:tcPr>
          <w:p w14:paraId="174E0E5B" w14:textId="77777777" w:rsidR="008000A7" w:rsidRPr="00537910" w:rsidRDefault="008000A7" w:rsidP="00537910">
            <w:pPr>
              <w:pStyle w:val="NoSpacing"/>
              <w:jc w:val="center"/>
              <w:rPr>
                <w:rFonts w:ascii="Times New Roman" w:hAnsi="Times New Roman" w:cs="Times New Roman"/>
                <w:sz w:val="22"/>
                <w:szCs w:val="22"/>
              </w:rPr>
            </w:pPr>
            <w:r w:rsidRPr="00537910">
              <w:rPr>
                <w:rFonts w:ascii="Times New Roman" w:hAnsi="Times New Roman" w:cs="Times New Roman"/>
                <w:sz w:val="22"/>
                <w:szCs w:val="22"/>
              </w:rPr>
              <w:t>9.27</w:t>
            </w:r>
          </w:p>
        </w:tc>
        <w:tc>
          <w:tcPr>
            <w:tcW w:w="0" w:type="auto"/>
            <w:vAlign w:val="center"/>
            <w:hideMark/>
          </w:tcPr>
          <w:p w14:paraId="2889765A" w14:textId="77777777" w:rsidR="008000A7" w:rsidRPr="00537910" w:rsidRDefault="008000A7" w:rsidP="00537910">
            <w:pPr>
              <w:pStyle w:val="NoSpacing"/>
              <w:jc w:val="center"/>
              <w:rPr>
                <w:rFonts w:ascii="Times New Roman" w:hAnsi="Times New Roman" w:cs="Times New Roman"/>
                <w:sz w:val="22"/>
                <w:szCs w:val="22"/>
              </w:rPr>
            </w:pPr>
            <w:r w:rsidRPr="00537910">
              <w:rPr>
                <w:rFonts w:ascii="Times New Roman" w:hAnsi="Times New Roman" w:cs="Times New Roman"/>
                <w:sz w:val="22"/>
                <w:szCs w:val="22"/>
              </w:rPr>
              <w:t>3.06</w:t>
            </w:r>
          </w:p>
        </w:tc>
        <w:tc>
          <w:tcPr>
            <w:tcW w:w="0" w:type="auto"/>
            <w:vAlign w:val="center"/>
            <w:hideMark/>
          </w:tcPr>
          <w:p w14:paraId="3C8E2480" w14:textId="77777777" w:rsidR="008000A7" w:rsidRPr="00537910" w:rsidRDefault="008000A7" w:rsidP="00537910">
            <w:pPr>
              <w:pStyle w:val="NoSpacing"/>
              <w:jc w:val="center"/>
              <w:rPr>
                <w:rFonts w:ascii="Times New Roman" w:hAnsi="Times New Roman" w:cs="Times New Roman"/>
                <w:sz w:val="22"/>
                <w:szCs w:val="22"/>
              </w:rPr>
            </w:pPr>
            <w:r w:rsidRPr="00537910">
              <w:rPr>
                <w:rFonts w:ascii="Times New Roman" w:hAnsi="Times New Roman" w:cs="Times New Roman"/>
                <w:sz w:val="22"/>
                <w:szCs w:val="22"/>
              </w:rPr>
              <w:t>0.44</w:t>
            </w:r>
          </w:p>
        </w:tc>
        <w:tc>
          <w:tcPr>
            <w:tcW w:w="0" w:type="auto"/>
            <w:vAlign w:val="center"/>
            <w:hideMark/>
          </w:tcPr>
          <w:p w14:paraId="341B191E" w14:textId="77777777" w:rsidR="008000A7" w:rsidRPr="00537910" w:rsidRDefault="008000A7" w:rsidP="00537910">
            <w:pPr>
              <w:pStyle w:val="NoSpacing"/>
              <w:jc w:val="center"/>
              <w:rPr>
                <w:rFonts w:ascii="Times New Roman" w:hAnsi="Times New Roman" w:cs="Times New Roman"/>
                <w:sz w:val="22"/>
                <w:szCs w:val="22"/>
              </w:rPr>
            </w:pPr>
            <w:r w:rsidRPr="00537910">
              <w:rPr>
                <w:rFonts w:ascii="Times New Roman" w:hAnsi="Times New Roman" w:cs="Times New Roman"/>
                <w:sz w:val="22"/>
                <w:szCs w:val="22"/>
              </w:rPr>
              <w:t>4.38</w:t>
            </w:r>
          </w:p>
        </w:tc>
        <w:tc>
          <w:tcPr>
            <w:tcW w:w="0" w:type="auto"/>
            <w:vAlign w:val="center"/>
            <w:hideMark/>
          </w:tcPr>
          <w:p w14:paraId="0E9F6CD7" w14:textId="77777777" w:rsidR="008000A7" w:rsidRPr="00537910" w:rsidRDefault="008000A7" w:rsidP="00537910">
            <w:pPr>
              <w:pStyle w:val="NoSpacing"/>
              <w:jc w:val="center"/>
              <w:rPr>
                <w:rFonts w:ascii="Times New Roman" w:hAnsi="Times New Roman" w:cs="Times New Roman"/>
                <w:sz w:val="22"/>
                <w:szCs w:val="22"/>
              </w:rPr>
            </w:pPr>
            <w:r w:rsidRPr="00537910">
              <w:rPr>
                <w:rFonts w:ascii="Times New Roman" w:hAnsi="Times New Roman" w:cs="Times New Roman"/>
                <w:sz w:val="22"/>
                <w:szCs w:val="22"/>
              </w:rPr>
              <w:t>0.69</w:t>
            </w:r>
          </w:p>
        </w:tc>
        <w:tc>
          <w:tcPr>
            <w:tcW w:w="0" w:type="auto"/>
            <w:vAlign w:val="center"/>
            <w:hideMark/>
          </w:tcPr>
          <w:p w14:paraId="151F3EE3" w14:textId="77777777" w:rsidR="008000A7" w:rsidRPr="00537910" w:rsidRDefault="008000A7" w:rsidP="00537910">
            <w:pPr>
              <w:pStyle w:val="NoSpacing"/>
              <w:jc w:val="center"/>
              <w:rPr>
                <w:rFonts w:ascii="Times New Roman" w:hAnsi="Times New Roman" w:cs="Times New Roman"/>
                <w:sz w:val="22"/>
                <w:szCs w:val="22"/>
              </w:rPr>
            </w:pPr>
            <w:r w:rsidRPr="00537910">
              <w:rPr>
                <w:rFonts w:ascii="Times New Roman" w:hAnsi="Times New Roman" w:cs="Times New Roman"/>
                <w:sz w:val="22"/>
                <w:szCs w:val="22"/>
              </w:rPr>
              <w:t>-1.45</w:t>
            </w:r>
          </w:p>
        </w:tc>
        <w:tc>
          <w:tcPr>
            <w:tcW w:w="0" w:type="auto"/>
            <w:vAlign w:val="center"/>
            <w:hideMark/>
          </w:tcPr>
          <w:p w14:paraId="6ABC4894" w14:textId="77777777" w:rsidR="008000A7" w:rsidRPr="00537910" w:rsidRDefault="008000A7" w:rsidP="00537910">
            <w:pPr>
              <w:pStyle w:val="NoSpacing"/>
              <w:jc w:val="center"/>
              <w:rPr>
                <w:rFonts w:ascii="Times New Roman" w:hAnsi="Times New Roman" w:cs="Times New Roman"/>
                <w:sz w:val="22"/>
                <w:szCs w:val="22"/>
              </w:rPr>
            </w:pPr>
            <w:r w:rsidRPr="00537910">
              <w:rPr>
                <w:rFonts w:ascii="Times New Roman" w:hAnsi="Times New Roman" w:cs="Times New Roman"/>
                <w:sz w:val="22"/>
                <w:szCs w:val="22"/>
              </w:rPr>
              <w:t>..</w:t>
            </w:r>
          </w:p>
        </w:tc>
        <w:tc>
          <w:tcPr>
            <w:tcW w:w="0" w:type="auto"/>
            <w:vAlign w:val="center"/>
            <w:hideMark/>
          </w:tcPr>
          <w:p w14:paraId="543945DC" w14:textId="77777777" w:rsidR="008000A7" w:rsidRPr="00537910" w:rsidRDefault="008000A7" w:rsidP="00537910">
            <w:pPr>
              <w:pStyle w:val="NoSpacing"/>
              <w:jc w:val="center"/>
              <w:rPr>
                <w:rFonts w:ascii="Times New Roman" w:hAnsi="Times New Roman" w:cs="Times New Roman"/>
                <w:sz w:val="22"/>
                <w:szCs w:val="22"/>
              </w:rPr>
            </w:pPr>
            <w:r w:rsidRPr="00537910">
              <w:rPr>
                <w:rFonts w:ascii="Times New Roman" w:hAnsi="Times New Roman" w:cs="Times New Roman"/>
                <w:sz w:val="22"/>
                <w:szCs w:val="22"/>
              </w:rPr>
              <w:t>-1.45</w:t>
            </w:r>
          </w:p>
        </w:tc>
      </w:tr>
      <w:tr w:rsidR="009E3803" w:rsidRPr="00537910" w14:paraId="5B923983" w14:textId="77777777" w:rsidTr="00537910">
        <w:tc>
          <w:tcPr>
            <w:tcW w:w="0" w:type="auto"/>
            <w:hideMark/>
          </w:tcPr>
          <w:p w14:paraId="2A36361A" w14:textId="77777777" w:rsidR="009E3803" w:rsidRPr="00537910" w:rsidRDefault="009E3803" w:rsidP="00B77C0B">
            <w:pPr>
              <w:pStyle w:val="NoSpacing"/>
              <w:rPr>
                <w:rFonts w:ascii="Times New Roman" w:hAnsi="Times New Roman" w:cs="Times New Roman"/>
                <w:sz w:val="22"/>
                <w:szCs w:val="22"/>
              </w:rPr>
            </w:pPr>
            <w:r w:rsidRPr="00537910">
              <w:rPr>
                <w:rFonts w:ascii="Times New Roman" w:hAnsi="Times New Roman" w:cs="Times New Roman"/>
                <w:sz w:val="22"/>
                <w:szCs w:val="22"/>
              </w:rPr>
              <w:t>Haryana</w:t>
            </w:r>
          </w:p>
        </w:tc>
        <w:tc>
          <w:tcPr>
            <w:tcW w:w="0" w:type="auto"/>
            <w:gridSpan w:val="10"/>
            <w:vAlign w:val="center"/>
          </w:tcPr>
          <w:p w14:paraId="4161AF63" w14:textId="3086A82A" w:rsidR="009E3803" w:rsidRPr="00537910" w:rsidRDefault="009E3803" w:rsidP="00537910">
            <w:pPr>
              <w:pStyle w:val="NoSpacing"/>
              <w:jc w:val="center"/>
              <w:rPr>
                <w:rFonts w:ascii="Times New Roman" w:hAnsi="Times New Roman" w:cs="Times New Roman"/>
                <w:sz w:val="22"/>
                <w:szCs w:val="22"/>
              </w:rPr>
            </w:pPr>
            <w:r w:rsidRPr="00537910">
              <w:rPr>
                <w:rFonts w:ascii="Times New Roman" w:hAnsi="Times New Roman" w:cs="Times New Roman"/>
                <w:sz w:val="22"/>
                <w:szCs w:val="22"/>
              </w:rPr>
              <w:t>Not available</w:t>
            </w:r>
          </w:p>
        </w:tc>
      </w:tr>
      <w:tr w:rsidR="008000A7" w:rsidRPr="00537910" w14:paraId="0B722E81" w14:textId="77777777" w:rsidTr="00537910">
        <w:tc>
          <w:tcPr>
            <w:tcW w:w="0" w:type="auto"/>
            <w:hideMark/>
          </w:tcPr>
          <w:p w14:paraId="13B53A8C" w14:textId="77777777" w:rsidR="008000A7" w:rsidRPr="00537910" w:rsidRDefault="008000A7" w:rsidP="00B77C0B">
            <w:pPr>
              <w:pStyle w:val="NoSpacing"/>
              <w:rPr>
                <w:rFonts w:ascii="Times New Roman" w:hAnsi="Times New Roman" w:cs="Times New Roman"/>
                <w:sz w:val="22"/>
                <w:szCs w:val="22"/>
              </w:rPr>
            </w:pPr>
            <w:r w:rsidRPr="00537910">
              <w:rPr>
                <w:rFonts w:ascii="Times New Roman" w:hAnsi="Times New Roman" w:cs="Times New Roman"/>
                <w:sz w:val="22"/>
                <w:szCs w:val="22"/>
              </w:rPr>
              <w:t>Jammu and Kashmir</w:t>
            </w:r>
          </w:p>
        </w:tc>
        <w:tc>
          <w:tcPr>
            <w:tcW w:w="0" w:type="auto"/>
            <w:vAlign w:val="center"/>
            <w:hideMark/>
          </w:tcPr>
          <w:p w14:paraId="2A93CC2D" w14:textId="77777777" w:rsidR="008000A7" w:rsidRPr="00537910" w:rsidRDefault="008000A7" w:rsidP="00537910">
            <w:pPr>
              <w:pStyle w:val="NoSpacing"/>
              <w:jc w:val="center"/>
              <w:rPr>
                <w:rFonts w:ascii="Times New Roman" w:hAnsi="Times New Roman" w:cs="Times New Roman"/>
                <w:sz w:val="22"/>
                <w:szCs w:val="22"/>
              </w:rPr>
            </w:pPr>
            <w:r w:rsidRPr="00537910">
              <w:rPr>
                <w:rFonts w:ascii="Times New Roman" w:hAnsi="Times New Roman" w:cs="Times New Roman"/>
                <w:sz w:val="22"/>
                <w:szCs w:val="22"/>
              </w:rPr>
              <w:t>..</w:t>
            </w:r>
          </w:p>
        </w:tc>
        <w:tc>
          <w:tcPr>
            <w:tcW w:w="0" w:type="auto"/>
            <w:vAlign w:val="center"/>
            <w:hideMark/>
          </w:tcPr>
          <w:p w14:paraId="030CA07C" w14:textId="77777777" w:rsidR="008000A7" w:rsidRPr="00537910" w:rsidRDefault="008000A7" w:rsidP="00537910">
            <w:pPr>
              <w:pStyle w:val="NoSpacing"/>
              <w:jc w:val="center"/>
              <w:rPr>
                <w:rFonts w:ascii="Times New Roman" w:hAnsi="Times New Roman" w:cs="Times New Roman"/>
                <w:sz w:val="22"/>
                <w:szCs w:val="22"/>
              </w:rPr>
            </w:pPr>
            <w:r w:rsidRPr="00537910">
              <w:rPr>
                <w:rFonts w:ascii="Times New Roman" w:hAnsi="Times New Roman" w:cs="Times New Roman"/>
                <w:sz w:val="22"/>
                <w:szCs w:val="22"/>
              </w:rPr>
              <w:t>..</w:t>
            </w:r>
          </w:p>
        </w:tc>
        <w:tc>
          <w:tcPr>
            <w:tcW w:w="0" w:type="auto"/>
            <w:vAlign w:val="center"/>
            <w:hideMark/>
          </w:tcPr>
          <w:p w14:paraId="16756920" w14:textId="77777777" w:rsidR="008000A7" w:rsidRPr="00537910" w:rsidRDefault="008000A7" w:rsidP="00537910">
            <w:pPr>
              <w:pStyle w:val="NoSpacing"/>
              <w:jc w:val="center"/>
              <w:rPr>
                <w:rFonts w:ascii="Times New Roman" w:hAnsi="Times New Roman" w:cs="Times New Roman"/>
                <w:sz w:val="22"/>
                <w:szCs w:val="22"/>
              </w:rPr>
            </w:pPr>
            <w:r w:rsidRPr="00537910">
              <w:rPr>
                <w:rFonts w:ascii="Times New Roman" w:hAnsi="Times New Roman" w:cs="Times New Roman"/>
                <w:sz w:val="22"/>
                <w:szCs w:val="22"/>
              </w:rPr>
              <w:t>..</w:t>
            </w:r>
          </w:p>
        </w:tc>
        <w:tc>
          <w:tcPr>
            <w:tcW w:w="0" w:type="auto"/>
            <w:vAlign w:val="center"/>
            <w:hideMark/>
          </w:tcPr>
          <w:p w14:paraId="314EAD52" w14:textId="77777777" w:rsidR="008000A7" w:rsidRPr="00537910" w:rsidRDefault="008000A7" w:rsidP="00537910">
            <w:pPr>
              <w:pStyle w:val="NoSpacing"/>
              <w:jc w:val="center"/>
              <w:rPr>
                <w:rFonts w:ascii="Times New Roman" w:hAnsi="Times New Roman" w:cs="Times New Roman"/>
                <w:sz w:val="22"/>
                <w:szCs w:val="22"/>
              </w:rPr>
            </w:pPr>
            <w:r w:rsidRPr="00537910">
              <w:rPr>
                <w:rFonts w:ascii="Times New Roman" w:hAnsi="Times New Roman" w:cs="Times New Roman"/>
                <w:sz w:val="22"/>
                <w:szCs w:val="22"/>
              </w:rPr>
              <w:t>..</w:t>
            </w:r>
          </w:p>
        </w:tc>
        <w:tc>
          <w:tcPr>
            <w:tcW w:w="0" w:type="auto"/>
            <w:vAlign w:val="center"/>
            <w:hideMark/>
          </w:tcPr>
          <w:p w14:paraId="325BF237" w14:textId="77777777" w:rsidR="008000A7" w:rsidRPr="00537910" w:rsidRDefault="008000A7" w:rsidP="00537910">
            <w:pPr>
              <w:pStyle w:val="NoSpacing"/>
              <w:jc w:val="center"/>
              <w:rPr>
                <w:rFonts w:ascii="Times New Roman" w:hAnsi="Times New Roman" w:cs="Times New Roman"/>
                <w:sz w:val="22"/>
                <w:szCs w:val="22"/>
              </w:rPr>
            </w:pPr>
            <w:r w:rsidRPr="00537910">
              <w:rPr>
                <w:rFonts w:ascii="Times New Roman" w:hAnsi="Times New Roman" w:cs="Times New Roman"/>
                <w:sz w:val="22"/>
                <w:szCs w:val="22"/>
              </w:rPr>
              <w:t>..</w:t>
            </w:r>
          </w:p>
        </w:tc>
        <w:tc>
          <w:tcPr>
            <w:tcW w:w="0" w:type="auto"/>
            <w:vAlign w:val="center"/>
            <w:hideMark/>
          </w:tcPr>
          <w:p w14:paraId="0C67F024" w14:textId="77777777" w:rsidR="008000A7" w:rsidRPr="00537910" w:rsidRDefault="008000A7" w:rsidP="00537910">
            <w:pPr>
              <w:pStyle w:val="NoSpacing"/>
              <w:jc w:val="center"/>
              <w:rPr>
                <w:rFonts w:ascii="Times New Roman" w:hAnsi="Times New Roman" w:cs="Times New Roman"/>
                <w:sz w:val="22"/>
                <w:szCs w:val="22"/>
              </w:rPr>
            </w:pPr>
            <w:r w:rsidRPr="00537910">
              <w:rPr>
                <w:rFonts w:ascii="Times New Roman" w:hAnsi="Times New Roman" w:cs="Times New Roman"/>
                <w:sz w:val="22"/>
                <w:szCs w:val="22"/>
              </w:rPr>
              <w:t>..</w:t>
            </w:r>
          </w:p>
        </w:tc>
        <w:tc>
          <w:tcPr>
            <w:tcW w:w="0" w:type="auto"/>
            <w:vAlign w:val="center"/>
            <w:hideMark/>
          </w:tcPr>
          <w:p w14:paraId="0A74457C" w14:textId="77777777" w:rsidR="008000A7" w:rsidRPr="00537910" w:rsidRDefault="008000A7" w:rsidP="00537910">
            <w:pPr>
              <w:pStyle w:val="NoSpacing"/>
              <w:jc w:val="center"/>
              <w:rPr>
                <w:rFonts w:ascii="Times New Roman" w:hAnsi="Times New Roman" w:cs="Times New Roman"/>
                <w:sz w:val="22"/>
                <w:szCs w:val="22"/>
              </w:rPr>
            </w:pPr>
            <w:r w:rsidRPr="00537910">
              <w:rPr>
                <w:rFonts w:ascii="Times New Roman" w:hAnsi="Times New Roman" w:cs="Times New Roman"/>
                <w:sz w:val="22"/>
                <w:szCs w:val="22"/>
              </w:rPr>
              <w:t>..</w:t>
            </w:r>
          </w:p>
        </w:tc>
        <w:tc>
          <w:tcPr>
            <w:tcW w:w="0" w:type="auto"/>
            <w:vAlign w:val="center"/>
            <w:hideMark/>
          </w:tcPr>
          <w:p w14:paraId="299A6690" w14:textId="77777777" w:rsidR="008000A7" w:rsidRPr="00537910" w:rsidRDefault="008000A7" w:rsidP="00537910">
            <w:pPr>
              <w:pStyle w:val="NoSpacing"/>
              <w:jc w:val="center"/>
              <w:rPr>
                <w:rFonts w:ascii="Times New Roman" w:hAnsi="Times New Roman" w:cs="Times New Roman"/>
                <w:sz w:val="22"/>
                <w:szCs w:val="22"/>
              </w:rPr>
            </w:pPr>
            <w:r w:rsidRPr="00537910">
              <w:rPr>
                <w:rFonts w:ascii="Times New Roman" w:hAnsi="Times New Roman" w:cs="Times New Roman"/>
                <w:sz w:val="22"/>
                <w:szCs w:val="22"/>
              </w:rPr>
              <w:t>..</w:t>
            </w:r>
          </w:p>
        </w:tc>
        <w:tc>
          <w:tcPr>
            <w:tcW w:w="0" w:type="auto"/>
            <w:vAlign w:val="center"/>
            <w:hideMark/>
          </w:tcPr>
          <w:p w14:paraId="235D64DA" w14:textId="77777777" w:rsidR="008000A7" w:rsidRPr="00537910" w:rsidRDefault="008000A7" w:rsidP="00537910">
            <w:pPr>
              <w:pStyle w:val="NoSpacing"/>
              <w:jc w:val="center"/>
              <w:rPr>
                <w:rFonts w:ascii="Times New Roman" w:hAnsi="Times New Roman" w:cs="Times New Roman"/>
                <w:sz w:val="22"/>
                <w:szCs w:val="22"/>
              </w:rPr>
            </w:pPr>
            <w:r w:rsidRPr="00537910">
              <w:rPr>
                <w:rFonts w:ascii="Times New Roman" w:hAnsi="Times New Roman" w:cs="Times New Roman"/>
                <w:sz w:val="22"/>
                <w:szCs w:val="22"/>
              </w:rPr>
              <w:t>..</w:t>
            </w:r>
          </w:p>
        </w:tc>
        <w:tc>
          <w:tcPr>
            <w:tcW w:w="0" w:type="auto"/>
            <w:vAlign w:val="center"/>
            <w:hideMark/>
          </w:tcPr>
          <w:p w14:paraId="50F2BE0F" w14:textId="77777777" w:rsidR="008000A7" w:rsidRPr="00537910" w:rsidRDefault="008000A7" w:rsidP="00537910">
            <w:pPr>
              <w:pStyle w:val="NoSpacing"/>
              <w:jc w:val="center"/>
              <w:rPr>
                <w:rFonts w:ascii="Times New Roman" w:hAnsi="Times New Roman" w:cs="Times New Roman"/>
                <w:sz w:val="22"/>
                <w:szCs w:val="22"/>
              </w:rPr>
            </w:pPr>
            <w:r w:rsidRPr="00537910">
              <w:rPr>
                <w:rFonts w:ascii="Times New Roman" w:hAnsi="Times New Roman" w:cs="Times New Roman"/>
                <w:sz w:val="22"/>
                <w:szCs w:val="22"/>
              </w:rPr>
              <w:t>..</w:t>
            </w:r>
          </w:p>
        </w:tc>
      </w:tr>
      <w:tr w:rsidR="008000A7" w:rsidRPr="00537910" w14:paraId="0D9C95CC" w14:textId="77777777" w:rsidTr="00537910">
        <w:tc>
          <w:tcPr>
            <w:tcW w:w="0" w:type="auto"/>
            <w:hideMark/>
          </w:tcPr>
          <w:p w14:paraId="366EB14D" w14:textId="77777777" w:rsidR="008000A7" w:rsidRPr="00537910" w:rsidRDefault="008000A7" w:rsidP="00B77C0B">
            <w:pPr>
              <w:pStyle w:val="NoSpacing"/>
              <w:rPr>
                <w:rFonts w:ascii="Times New Roman" w:hAnsi="Times New Roman" w:cs="Times New Roman"/>
                <w:sz w:val="22"/>
                <w:szCs w:val="22"/>
              </w:rPr>
            </w:pPr>
            <w:r w:rsidRPr="00537910">
              <w:rPr>
                <w:rFonts w:ascii="Times New Roman" w:hAnsi="Times New Roman" w:cs="Times New Roman"/>
                <w:sz w:val="22"/>
                <w:szCs w:val="22"/>
              </w:rPr>
              <w:t>Kerala</w:t>
            </w:r>
          </w:p>
        </w:tc>
        <w:tc>
          <w:tcPr>
            <w:tcW w:w="0" w:type="auto"/>
            <w:vAlign w:val="center"/>
            <w:hideMark/>
          </w:tcPr>
          <w:p w14:paraId="4F94B7C8" w14:textId="77777777" w:rsidR="008000A7" w:rsidRPr="00537910" w:rsidRDefault="008000A7" w:rsidP="00537910">
            <w:pPr>
              <w:pStyle w:val="NoSpacing"/>
              <w:jc w:val="center"/>
              <w:rPr>
                <w:rFonts w:ascii="Times New Roman" w:hAnsi="Times New Roman" w:cs="Times New Roman"/>
                <w:sz w:val="22"/>
                <w:szCs w:val="22"/>
              </w:rPr>
            </w:pPr>
            <w:r w:rsidRPr="00537910">
              <w:rPr>
                <w:rFonts w:ascii="Times New Roman" w:hAnsi="Times New Roman" w:cs="Times New Roman"/>
                <w:sz w:val="22"/>
                <w:szCs w:val="22"/>
              </w:rPr>
              <w:t>94.24</w:t>
            </w:r>
          </w:p>
        </w:tc>
        <w:tc>
          <w:tcPr>
            <w:tcW w:w="0" w:type="auto"/>
            <w:vAlign w:val="center"/>
            <w:hideMark/>
          </w:tcPr>
          <w:p w14:paraId="175B4136" w14:textId="77777777" w:rsidR="008000A7" w:rsidRPr="00537910" w:rsidRDefault="008000A7" w:rsidP="00537910">
            <w:pPr>
              <w:pStyle w:val="NoSpacing"/>
              <w:jc w:val="center"/>
              <w:rPr>
                <w:rFonts w:ascii="Times New Roman" w:hAnsi="Times New Roman" w:cs="Times New Roman"/>
                <w:sz w:val="22"/>
                <w:szCs w:val="22"/>
              </w:rPr>
            </w:pPr>
            <w:r w:rsidRPr="00537910">
              <w:rPr>
                <w:rFonts w:ascii="Times New Roman" w:hAnsi="Times New Roman" w:cs="Times New Roman"/>
                <w:sz w:val="22"/>
                <w:szCs w:val="22"/>
              </w:rPr>
              <w:t>8.62</w:t>
            </w:r>
          </w:p>
        </w:tc>
        <w:tc>
          <w:tcPr>
            <w:tcW w:w="0" w:type="auto"/>
            <w:vAlign w:val="center"/>
            <w:hideMark/>
          </w:tcPr>
          <w:p w14:paraId="22E16805" w14:textId="77777777" w:rsidR="008000A7" w:rsidRPr="00537910" w:rsidRDefault="008000A7" w:rsidP="00537910">
            <w:pPr>
              <w:pStyle w:val="NoSpacing"/>
              <w:jc w:val="center"/>
              <w:rPr>
                <w:rFonts w:ascii="Times New Roman" w:hAnsi="Times New Roman" w:cs="Times New Roman"/>
                <w:sz w:val="22"/>
                <w:szCs w:val="22"/>
              </w:rPr>
            </w:pPr>
            <w:r w:rsidRPr="00537910">
              <w:rPr>
                <w:rFonts w:ascii="Times New Roman" w:hAnsi="Times New Roman" w:cs="Times New Roman"/>
                <w:sz w:val="22"/>
                <w:szCs w:val="22"/>
              </w:rPr>
              <w:t>3.51</w:t>
            </w:r>
          </w:p>
        </w:tc>
        <w:tc>
          <w:tcPr>
            <w:tcW w:w="0" w:type="auto"/>
            <w:vAlign w:val="center"/>
            <w:hideMark/>
          </w:tcPr>
          <w:p w14:paraId="3C605285" w14:textId="77777777" w:rsidR="008000A7" w:rsidRPr="00537910" w:rsidRDefault="008000A7" w:rsidP="00537910">
            <w:pPr>
              <w:pStyle w:val="NoSpacing"/>
              <w:jc w:val="center"/>
              <w:rPr>
                <w:rFonts w:ascii="Times New Roman" w:hAnsi="Times New Roman" w:cs="Times New Roman"/>
                <w:sz w:val="22"/>
                <w:szCs w:val="22"/>
              </w:rPr>
            </w:pPr>
            <w:r w:rsidRPr="00537910">
              <w:rPr>
                <w:rFonts w:ascii="Times New Roman" w:hAnsi="Times New Roman" w:cs="Times New Roman"/>
                <w:sz w:val="22"/>
                <w:szCs w:val="22"/>
              </w:rPr>
              <w:t>1.13</w:t>
            </w:r>
          </w:p>
        </w:tc>
        <w:tc>
          <w:tcPr>
            <w:tcW w:w="0" w:type="auto"/>
            <w:vAlign w:val="center"/>
            <w:hideMark/>
          </w:tcPr>
          <w:p w14:paraId="564A95D3" w14:textId="77777777" w:rsidR="008000A7" w:rsidRPr="00537910" w:rsidRDefault="008000A7" w:rsidP="00537910">
            <w:pPr>
              <w:pStyle w:val="NoSpacing"/>
              <w:jc w:val="center"/>
              <w:rPr>
                <w:rFonts w:ascii="Times New Roman" w:hAnsi="Times New Roman" w:cs="Times New Roman"/>
                <w:sz w:val="22"/>
                <w:szCs w:val="22"/>
              </w:rPr>
            </w:pPr>
            <w:r w:rsidRPr="00537910">
              <w:rPr>
                <w:rFonts w:ascii="Times New Roman" w:hAnsi="Times New Roman" w:cs="Times New Roman"/>
                <w:sz w:val="22"/>
                <w:szCs w:val="22"/>
              </w:rPr>
              <w:t>0.05</w:t>
            </w:r>
          </w:p>
        </w:tc>
        <w:tc>
          <w:tcPr>
            <w:tcW w:w="0" w:type="auto"/>
            <w:vAlign w:val="center"/>
            <w:hideMark/>
          </w:tcPr>
          <w:p w14:paraId="0662B3DF" w14:textId="77777777" w:rsidR="008000A7" w:rsidRPr="00537910" w:rsidRDefault="008000A7" w:rsidP="00537910">
            <w:pPr>
              <w:pStyle w:val="NoSpacing"/>
              <w:jc w:val="center"/>
              <w:rPr>
                <w:rFonts w:ascii="Times New Roman" w:hAnsi="Times New Roman" w:cs="Times New Roman"/>
                <w:sz w:val="22"/>
                <w:szCs w:val="22"/>
              </w:rPr>
            </w:pPr>
            <w:r w:rsidRPr="00537910">
              <w:rPr>
                <w:rFonts w:ascii="Times New Roman" w:hAnsi="Times New Roman" w:cs="Times New Roman"/>
                <w:sz w:val="22"/>
                <w:szCs w:val="22"/>
              </w:rPr>
              <w:t>4.46</w:t>
            </w:r>
          </w:p>
        </w:tc>
        <w:tc>
          <w:tcPr>
            <w:tcW w:w="0" w:type="auto"/>
            <w:vAlign w:val="center"/>
            <w:hideMark/>
          </w:tcPr>
          <w:p w14:paraId="139B1AED" w14:textId="77777777" w:rsidR="008000A7" w:rsidRPr="00537910" w:rsidRDefault="008000A7" w:rsidP="00537910">
            <w:pPr>
              <w:pStyle w:val="NoSpacing"/>
              <w:jc w:val="center"/>
              <w:rPr>
                <w:rFonts w:ascii="Times New Roman" w:hAnsi="Times New Roman" w:cs="Times New Roman"/>
                <w:sz w:val="22"/>
                <w:szCs w:val="22"/>
              </w:rPr>
            </w:pPr>
            <w:r w:rsidRPr="00537910">
              <w:rPr>
                <w:rFonts w:ascii="Times New Roman" w:hAnsi="Times New Roman" w:cs="Times New Roman"/>
                <w:sz w:val="22"/>
                <w:szCs w:val="22"/>
              </w:rPr>
              <w:t>0.23</w:t>
            </w:r>
          </w:p>
        </w:tc>
        <w:tc>
          <w:tcPr>
            <w:tcW w:w="0" w:type="auto"/>
            <w:vAlign w:val="center"/>
            <w:hideMark/>
          </w:tcPr>
          <w:p w14:paraId="4064B051" w14:textId="77777777" w:rsidR="008000A7" w:rsidRPr="00537910" w:rsidRDefault="008000A7" w:rsidP="00537910">
            <w:pPr>
              <w:pStyle w:val="NoSpacing"/>
              <w:jc w:val="center"/>
              <w:rPr>
                <w:rFonts w:ascii="Times New Roman" w:hAnsi="Times New Roman" w:cs="Times New Roman"/>
                <w:sz w:val="22"/>
                <w:szCs w:val="22"/>
              </w:rPr>
            </w:pPr>
            <w:r w:rsidRPr="00537910">
              <w:rPr>
                <w:rFonts w:ascii="Times New Roman" w:hAnsi="Times New Roman" w:cs="Times New Roman"/>
                <w:sz w:val="22"/>
                <w:szCs w:val="22"/>
              </w:rPr>
              <w:t>-0.76</w:t>
            </w:r>
          </w:p>
        </w:tc>
        <w:tc>
          <w:tcPr>
            <w:tcW w:w="0" w:type="auto"/>
            <w:vAlign w:val="center"/>
            <w:hideMark/>
          </w:tcPr>
          <w:p w14:paraId="71CCF26F" w14:textId="77777777" w:rsidR="008000A7" w:rsidRPr="00537910" w:rsidRDefault="008000A7" w:rsidP="00537910">
            <w:pPr>
              <w:pStyle w:val="NoSpacing"/>
              <w:jc w:val="center"/>
              <w:rPr>
                <w:rFonts w:ascii="Times New Roman" w:hAnsi="Times New Roman" w:cs="Times New Roman"/>
                <w:sz w:val="22"/>
                <w:szCs w:val="22"/>
              </w:rPr>
            </w:pPr>
            <w:r w:rsidRPr="00537910">
              <w:rPr>
                <w:rFonts w:ascii="Times New Roman" w:hAnsi="Times New Roman" w:cs="Times New Roman"/>
                <w:sz w:val="22"/>
                <w:szCs w:val="22"/>
              </w:rPr>
              <w:t>-0.48</w:t>
            </w:r>
          </w:p>
        </w:tc>
        <w:tc>
          <w:tcPr>
            <w:tcW w:w="0" w:type="auto"/>
            <w:vAlign w:val="center"/>
            <w:hideMark/>
          </w:tcPr>
          <w:p w14:paraId="5E7D7273" w14:textId="77777777" w:rsidR="008000A7" w:rsidRPr="00537910" w:rsidRDefault="008000A7" w:rsidP="00537910">
            <w:pPr>
              <w:pStyle w:val="NoSpacing"/>
              <w:jc w:val="center"/>
              <w:rPr>
                <w:rFonts w:ascii="Times New Roman" w:hAnsi="Times New Roman" w:cs="Times New Roman"/>
                <w:sz w:val="22"/>
                <w:szCs w:val="22"/>
              </w:rPr>
            </w:pPr>
            <w:r w:rsidRPr="00537910">
              <w:rPr>
                <w:rFonts w:ascii="Times New Roman" w:hAnsi="Times New Roman" w:cs="Times New Roman"/>
                <w:sz w:val="22"/>
                <w:szCs w:val="22"/>
              </w:rPr>
              <w:t>-1.24</w:t>
            </w:r>
          </w:p>
        </w:tc>
      </w:tr>
      <w:tr w:rsidR="008000A7" w:rsidRPr="00537910" w14:paraId="5EBFD108" w14:textId="77777777" w:rsidTr="00537910">
        <w:tc>
          <w:tcPr>
            <w:tcW w:w="0" w:type="auto"/>
            <w:hideMark/>
          </w:tcPr>
          <w:p w14:paraId="4B2B7BCA" w14:textId="77777777" w:rsidR="008000A7" w:rsidRPr="00537910" w:rsidRDefault="008000A7" w:rsidP="00B77C0B">
            <w:pPr>
              <w:pStyle w:val="NoSpacing"/>
              <w:rPr>
                <w:rFonts w:ascii="Times New Roman" w:hAnsi="Times New Roman" w:cs="Times New Roman"/>
                <w:sz w:val="22"/>
                <w:szCs w:val="22"/>
              </w:rPr>
            </w:pPr>
            <w:r w:rsidRPr="00537910">
              <w:rPr>
                <w:rFonts w:ascii="Times New Roman" w:hAnsi="Times New Roman" w:cs="Times New Roman"/>
                <w:sz w:val="22"/>
                <w:szCs w:val="22"/>
              </w:rPr>
              <w:t>Madhya Pradesh</w:t>
            </w:r>
          </w:p>
        </w:tc>
        <w:tc>
          <w:tcPr>
            <w:tcW w:w="0" w:type="auto"/>
            <w:vAlign w:val="center"/>
            <w:hideMark/>
          </w:tcPr>
          <w:p w14:paraId="5E38D590" w14:textId="77777777" w:rsidR="008000A7" w:rsidRPr="00537910" w:rsidRDefault="008000A7" w:rsidP="00537910">
            <w:pPr>
              <w:pStyle w:val="NoSpacing"/>
              <w:jc w:val="center"/>
              <w:rPr>
                <w:rFonts w:ascii="Times New Roman" w:hAnsi="Times New Roman" w:cs="Times New Roman"/>
                <w:sz w:val="22"/>
                <w:szCs w:val="22"/>
              </w:rPr>
            </w:pPr>
            <w:r w:rsidRPr="00537910">
              <w:rPr>
                <w:rFonts w:ascii="Times New Roman" w:hAnsi="Times New Roman" w:cs="Times New Roman"/>
                <w:sz w:val="22"/>
                <w:szCs w:val="22"/>
              </w:rPr>
              <w:t>123.14</w:t>
            </w:r>
          </w:p>
        </w:tc>
        <w:tc>
          <w:tcPr>
            <w:tcW w:w="0" w:type="auto"/>
            <w:vAlign w:val="center"/>
            <w:hideMark/>
          </w:tcPr>
          <w:p w14:paraId="4565E5B4" w14:textId="77777777" w:rsidR="008000A7" w:rsidRPr="00537910" w:rsidRDefault="008000A7" w:rsidP="00537910">
            <w:pPr>
              <w:pStyle w:val="NoSpacing"/>
              <w:jc w:val="center"/>
              <w:rPr>
                <w:rFonts w:ascii="Times New Roman" w:hAnsi="Times New Roman" w:cs="Times New Roman"/>
                <w:sz w:val="22"/>
                <w:szCs w:val="22"/>
              </w:rPr>
            </w:pPr>
            <w:r w:rsidRPr="00537910">
              <w:rPr>
                <w:rFonts w:ascii="Times New Roman" w:hAnsi="Times New Roman" w:cs="Times New Roman"/>
                <w:sz w:val="22"/>
                <w:szCs w:val="22"/>
              </w:rPr>
              <w:t>16.53</w:t>
            </w:r>
          </w:p>
        </w:tc>
        <w:tc>
          <w:tcPr>
            <w:tcW w:w="0" w:type="auto"/>
            <w:vAlign w:val="center"/>
            <w:hideMark/>
          </w:tcPr>
          <w:p w14:paraId="712A15E9" w14:textId="77777777" w:rsidR="008000A7" w:rsidRPr="00537910" w:rsidRDefault="008000A7" w:rsidP="00537910">
            <w:pPr>
              <w:pStyle w:val="NoSpacing"/>
              <w:jc w:val="center"/>
              <w:rPr>
                <w:rFonts w:ascii="Times New Roman" w:hAnsi="Times New Roman" w:cs="Times New Roman"/>
                <w:sz w:val="22"/>
                <w:szCs w:val="22"/>
              </w:rPr>
            </w:pPr>
            <w:r w:rsidRPr="00537910">
              <w:rPr>
                <w:rFonts w:ascii="Times New Roman" w:hAnsi="Times New Roman" w:cs="Times New Roman"/>
                <w:sz w:val="22"/>
                <w:szCs w:val="22"/>
              </w:rPr>
              <w:t>7.28</w:t>
            </w:r>
          </w:p>
        </w:tc>
        <w:tc>
          <w:tcPr>
            <w:tcW w:w="0" w:type="auto"/>
            <w:vAlign w:val="center"/>
            <w:hideMark/>
          </w:tcPr>
          <w:p w14:paraId="76977E95" w14:textId="77777777" w:rsidR="008000A7" w:rsidRPr="00537910" w:rsidRDefault="008000A7" w:rsidP="00537910">
            <w:pPr>
              <w:pStyle w:val="NoSpacing"/>
              <w:jc w:val="center"/>
              <w:rPr>
                <w:rFonts w:ascii="Times New Roman" w:hAnsi="Times New Roman" w:cs="Times New Roman"/>
                <w:sz w:val="22"/>
                <w:szCs w:val="22"/>
              </w:rPr>
            </w:pPr>
            <w:r w:rsidRPr="00537910">
              <w:rPr>
                <w:rFonts w:ascii="Times New Roman" w:hAnsi="Times New Roman" w:cs="Times New Roman"/>
                <w:sz w:val="22"/>
                <w:szCs w:val="22"/>
              </w:rPr>
              <w:t>2.34</w:t>
            </w:r>
          </w:p>
        </w:tc>
        <w:tc>
          <w:tcPr>
            <w:tcW w:w="0" w:type="auto"/>
            <w:vAlign w:val="center"/>
            <w:hideMark/>
          </w:tcPr>
          <w:p w14:paraId="2CE00C8C" w14:textId="77777777" w:rsidR="008000A7" w:rsidRPr="00537910" w:rsidRDefault="008000A7" w:rsidP="00537910">
            <w:pPr>
              <w:pStyle w:val="NoSpacing"/>
              <w:jc w:val="center"/>
              <w:rPr>
                <w:rFonts w:ascii="Times New Roman" w:hAnsi="Times New Roman" w:cs="Times New Roman"/>
                <w:sz w:val="22"/>
                <w:szCs w:val="22"/>
              </w:rPr>
            </w:pPr>
            <w:r w:rsidRPr="00537910">
              <w:rPr>
                <w:rFonts w:ascii="Times New Roman" w:hAnsi="Times New Roman" w:cs="Times New Roman"/>
                <w:sz w:val="22"/>
                <w:szCs w:val="22"/>
              </w:rPr>
              <w:t>0.33</w:t>
            </w:r>
          </w:p>
        </w:tc>
        <w:tc>
          <w:tcPr>
            <w:tcW w:w="0" w:type="auto"/>
            <w:vAlign w:val="center"/>
            <w:hideMark/>
          </w:tcPr>
          <w:p w14:paraId="2A4E186C" w14:textId="77777777" w:rsidR="008000A7" w:rsidRPr="00537910" w:rsidRDefault="008000A7" w:rsidP="00537910">
            <w:pPr>
              <w:pStyle w:val="NoSpacing"/>
              <w:jc w:val="center"/>
              <w:rPr>
                <w:rFonts w:ascii="Times New Roman" w:hAnsi="Times New Roman" w:cs="Times New Roman"/>
                <w:sz w:val="22"/>
                <w:szCs w:val="22"/>
              </w:rPr>
            </w:pPr>
            <w:r w:rsidRPr="00537910">
              <w:rPr>
                <w:rFonts w:ascii="Times New Roman" w:hAnsi="Times New Roman" w:cs="Times New Roman"/>
                <w:sz w:val="22"/>
                <w:szCs w:val="22"/>
              </w:rPr>
              <w:t>6.58</w:t>
            </w:r>
          </w:p>
        </w:tc>
        <w:tc>
          <w:tcPr>
            <w:tcW w:w="0" w:type="auto"/>
            <w:vAlign w:val="center"/>
            <w:hideMark/>
          </w:tcPr>
          <w:p w14:paraId="110BBE9B" w14:textId="77777777" w:rsidR="008000A7" w:rsidRPr="00537910" w:rsidRDefault="008000A7" w:rsidP="00537910">
            <w:pPr>
              <w:pStyle w:val="NoSpacing"/>
              <w:jc w:val="center"/>
              <w:rPr>
                <w:rFonts w:ascii="Times New Roman" w:hAnsi="Times New Roman" w:cs="Times New Roman"/>
                <w:sz w:val="22"/>
                <w:szCs w:val="22"/>
              </w:rPr>
            </w:pPr>
            <w:r w:rsidRPr="00537910">
              <w:rPr>
                <w:rFonts w:ascii="Times New Roman" w:hAnsi="Times New Roman" w:cs="Times New Roman"/>
                <w:sz w:val="22"/>
                <w:szCs w:val="22"/>
              </w:rPr>
              <w:t>..</w:t>
            </w:r>
          </w:p>
        </w:tc>
        <w:tc>
          <w:tcPr>
            <w:tcW w:w="0" w:type="auto"/>
            <w:vAlign w:val="center"/>
            <w:hideMark/>
          </w:tcPr>
          <w:p w14:paraId="0A9BEBD8" w14:textId="77777777" w:rsidR="008000A7" w:rsidRPr="00537910" w:rsidRDefault="008000A7" w:rsidP="00537910">
            <w:pPr>
              <w:pStyle w:val="NoSpacing"/>
              <w:jc w:val="center"/>
              <w:rPr>
                <w:rFonts w:ascii="Times New Roman" w:hAnsi="Times New Roman" w:cs="Times New Roman"/>
                <w:sz w:val="22"/>
                <w:szCs w:val="22"/>
              </w:rPr>
            </w:pPr>
            <w:r w:rsidRPr="00537910">
              <w:rPr>
                <w:rFonts w:ascii="Times New Roman" w:hAnsi="Times New Roman" w:cs="Times New Roman"/>
                <w:sz w:val="22"/>
                <w:szCs w:val="22"/>
              </w:rPr>
              <w:t>..</w:t>
            </w:r>
          </w:p>
        </w:tc>
        <w:tc>
          <w:tcPr>
            <w:tcW w:w="0" w:type="auto"/>
            <w:vAlign w:val="center"/>
            <w:hideMark/>
          </w:tcPr>
          <w:p w14:paraId="1AB38567" w14:textId="77777777" w:rsidR="008000A7" w:rsidRPr="00537910" w:rsidRDefault="008000A7" w:rsidP="00537910">
            <w:pPr>
              <w:pStyle w:val="NoSpacing"/>
              <w:jc w:val="center"/>
              <w:rPr>
                <w:rFonts w:ascii="Times New Roman" w:hAnsi="Times New Roman" w:cs="Times New Roman"/>
                <w:sz w:val="22"/>
                <w:szCs w:val="22"/>
              </w:rPr>
            </w:pPr>
            <w:r w:rsidRPr="00537910">
              <w:rPr>
                <w:rFonts w:ascii="Times New Roman" w:hAnsi="Times New Roman" w:cs="Times New Roman"/>
                <w:sz w:val="22"/>
                <w:szCs w:val="22"/>
              </w:rPr>
              <w:t>..</w:t>
            </w:r>
          </w:p>
        </w:tc>
        <w:tc>
          <w:tcPr>
            <w:tcW w:w="0" w:type="auto"/>
            <w:vAlign w:val="center"/>
            <w:hideMark/>
          </w:tcPr>
          <w:p w14:paraId="74118247" w14:textId="77777777" w:rsidR="008000A7" w:rsidRPr="00537910" w:rsidRDefault="008000A7" w:rsidP="00537910">
            <w:pPr>
              <w:pStyle w:val="NoSpacing"/>
              <w:jc w:val="center"/>
              <w:rPr>
                <w:rFonts w:ascii="Times New Roman" w:hAnsi="Times New Roman" w:cs="Times New Roman"/>
                <w:sz w:val="22"/>
                <w:szCs w:val="22"/>
              </w:rPr>
            </w:pPr>
            <w:r w:rsidRPr="00537910">
              <w:rPr>
                <w:rFonts w:ascii="Times New Roman" w:hAnsi="Times New Roman" w:cs="Times New Roman"/>
                <w:sz w:val="22"/>
                <w:szCs w:val="22"/>
              </w:rPr>
              <w:t>..</w:t>
            </w:r>
          </w:p>
        </w:tc>
      </w:tr>
      <w:tr w:rsidR="008000A7" w:rsidRPr="00537910" w14:paraId="167BAF8F" w14:textId="77777777" w:rsidTr="00537910">
        <w:tc>
          <w:tcPr>
            <w:tcW w:w="0" w:type="auto"/>
            <w:hideMark/>
          </w:tcPr>
          <w:p w14:paraId="7FC307D4" w14:textId="77777777" w:rsidR="008000A7" w:rsidRPr="00537910" w:rsidRDefault="008000A7" w:rsidP="00B77C0B">
            <w:pPr>
              <w:pStyle w:val="NoSpacing"/>
              <w:rPr>
                <w:rFonts w:ascii="Times New Roman" w:hAnsi="Times New Roman" w:cs="Times New Roman"/>
                <w:sz w:val="22"/>
                <w:szCs w:val="22"/>
              </w:rPr>
            </w:pPr>
            <w:r w:rsidRPr="00537910">
              <w:rPr>
                <w:rFonts w:ascii="Times New Roman" w:hAnsi="Times New Roman" w:cs="Times New Roman"/>
                <w:sz w:val="22"/>
                <w:szCs w:val="22"/>
              </w:rPr>
              <w:t>Maharashtra</w:t>
            </w:r>
          </w:p>
        </w:tc>
        <w:tc>
          <w:tcPr>
            <w:tcW w:w="0" w:type="auto"/>
            <w:vAlign w:val="center"/>
            <w:hideMark/>
          </w:tcPr>
          <w:p w14:paraId="78104DBE" w14:textId="77777777" w:rsidR="008000A7" w:rsidRPr="00537910" w:rsidRDefault="008000A7" w:rsidP="00537910">
            <w:pPr>
              <w:pStyle w:val="NoSpacing"/>
              <w:jc w:val="center"/>
              <w:rPr>
                <w:rFonts w:ascii="Times New Roman" w:hAnsi="Times New Roman" w:cs="Times New Roman"/>
                <w:sz w:val="22"/>
                <w:szCs w:val="22"/>
              </w:rPr>
            </w:pPr>
            <w:r w:rsidRPr="00537910">
              <w:rPr>
                <w:rFonts w:ascii="Times New Roman" w:hAnsi="Times New Roman" w:cs="Times New Roman"/>
                <w:sz w:val="22"/>
                <w:szCs w:val="22"/>
              </w:rPr>
              <w:t>99.51</w:t>
            </w:r>
          </w:p>
        </w:tc>
        <w:tc>
          <w:tcPr>
            <w:tcW w:w="0" w:type="auto"/>
            <w:vAlign w:val="center"/>
            <w:hideMark/>
          </w:tcPr>
          <w:p w14:paraId="24836A6F" w14:textId="77777777" w:rsidR="008000A7" w:rsidRPr="00537910" w:rsidRDefault="008000A7" w:rsidP="00537910">
            <w:pPr>
              <w:pStyle w:val="NoSpacing"/>
              <w:jc w:val="center"/>
              <w:rPr>
                <w:rFonts w:ascii="Times New Roman" w:hAnsi="Times New Roman" w:cs="Times New Roman"/>
                <w:sz w:val="22"/>
                <w:szCs w:val="22"/>
              </w:rPr>
            </w:pPr>
            <w:r w:rsidRPr="00537910">
              <w:rPr>
                <w:rFonts w:ascii="Times New Roman" w:hAnsi="Times New Roman" w:cs="Times New Roman"/>
                <w:sz w:val="22"/>
                <w:szCs w:val="22"/>
              </w:rPr>
              <w:t>25.28</w:t>
            </w:r>
          </w:p>
        </w:tc>
        <w:tc>
          <w:tcPr>
            <w:tcW w:w="0" w:type="auto"/>
            <w:vAlign w:val="center"/>
            <w:hideMark/>
          </w:tcPr>
          <w:p w14:paraId="6096FA44" w14:textId="77777777" w:rsidR="008000A7" w:rsidRPr="00537910" w:rsidRDefault="008000A7" w:rsidP="00537910">
            <w:pPr>
              <w:pStyle w:val="NoSpacing"/>
              <w:jc w:val="center"/>
              <w:rPr>
                <w:rFonts w:ascii="Times New Roman" w:hAnsi="Times New Roman" w:cs="Times New Roman"/>
                <w:sz w:val="22"/>
                <w:szCs w:val="22"/>
              </w:rPr>
            </w:pPr>
            <w:r w:rsidRPr="00537910">
              <w:rPr>
                <w:rFonts w:ascii="Times New Roman" w:hAnsi="Times New Roman" w:cs="Times New Roman"/>
                <w:sz w:val="22"/>
                <w:szCs w:val="22"/>
              </w:rPr>
              <w:t>16.83</w:t>
            </w:r>
          </w:p>
        </w:tc>
        <w:tc>
          <w:tcPr>
            <w:tcW w:w="0" w:type="auto"/>
            <w:vAlign w:val="center"/>
            <w:hideMark/>
          </w:tcPr>
          <w:p w14:paraId="1B0BE9A8" w14:textId="77777777" w:rsidR="008000A7" w:rsidRPr="00537910" w:rsidRDefault="008000A7" w:rsidP="00537910">
            <w:pPr>
              <w:pStyle w:val="NoSpacing"/>
              <w:jc w:val="center"/>
              <w:rPr>
                <w:rFonts w:ascii="Times New Roman" w:hAnsi="Times New Roman" w:cs="Times New Roman"/>
                <w:sz w:val="22"/>
                <w:szCs w:val="22"/>
              </w:rPr>
            </w:pPr>
            <w:r w:rsidRPr="00537910">
              <w:rPr>
                <w:rFonts w:ascii="Times New Roman" w:hAnsi="Times New Roman" w:cs="Times New Roman"/>
                <w:sz w:val="22"/>
                <w:szCs w:val="22"/>
              </w:rPr>
              <w:t>2.23</w:t>
            </w:r>
          </w:p>
        </w:tc>
        <w:tc>
          <w:tcPr>
            <w:tcW w:w="0" w:type="auto"/>
            <w:vAlign w:val="center"/>
            <w:hideMark/>
          </w:tcPr>
          <w:p w14:paraId="330F9B89" w14:textId="77777777" w:rsidR="008000A7" w:rsidRPr="00537910" w:rsidRDefault="008000A7" w:rsidP="00537910">
            <w:pPr>
              <w:pStyle w:val="NoSpacing"/>
              <w:jc w:val="center"/>
              <w:rPr>
                <w:rFonts w:ascii="Times New Roman" w:hAnsi="Times New Roman" w:cs="Times New Roman"/>
                <w:sz w:val="22"/>
                <w:szCs w:val="22"/>
              </w:rPr>
            </w:pPr>
            <w:r w:rsidRPr="00537910">
              <w:rPr>
                <w:rFonts w:ascii="Times New Roman" w:hAnsi="Times New Roman" w:cs="Times New Roman"/>
                <w:sz w:val="22"/>
                <w:szCs w:val="22"/>
              </w:rPr>
              <w:t>0.43</w:t>
            </w:r>
          </w:p>
        </w:tc>
        <w:tc>
          <w:tcPr>
            <w:tcW w:w="0" w:type="auto"/>
            <w:vAlign w:val="center"/>
            <w:hideMark/>
          </w:tcPr>
          <w:p w14:paraId="78CEB7E0" w14:textId="77777777" w:rsidR="008000A7" w:rsidRPr="00537910" w:rsidRDefault="008000A7" w:rsidP="00537910">
            <w:pPr>
              <w:pStyle w:val="NoSpacing"/>
              <w:jc w:val="center"/>
              <w:rPr>
                <w:rFonts w:ascii="Times New Roman" w:hAnsi="Times New Roman" w:cs="Times New Roman"/>
                <w:sz w:val="22"/>
                <w:szCs w:val="22"/>
              </w:rPr>
            </w:pPr>
            <w:r w:rsidRPr="00537910">
              <w:rPr>
                <w:rFonts w:ascii="Times New Roman" w:hAnsi="Times New Roman" w:cs="Times New Roman"/>
                <w:sz w:val="22"/>
                <w:szCs w:val="22"/>
              </w:rPr>
              <w:t>3.02</w:t>
            </w:r>
          </w:p>
        </w:tc>
        <w:tc>
          <w:tcPr>
            <w:tcW w:w="0" w:type="auto"/>
            <w:vAlign w:val="center"/>
            <w:hideMark/>
          </w:tcPr>
          <w:p w14:paraId="2D70F5CD" w14:textId="77777777" w:rsidR="008000A7" w:rsidRPr="00537910" w:rsidRDefault="008000A7" w:rsidP="00537910">
            <w:pPr>
              <w:pStyle w:val="NoSpacing"/>
              <w:jc w:val="center"/>
              <w:rPr>
                <w:rFonts w:ascii="Times New Roman" w:hAnsi="Times New Roman" w:cs="Times New Roman"/>
                <w:sz w:val="22"/>
                <w:szCs w:val="22"/>
              </w:rPr>
            </w:pPr>
            <w:r w:rsidRPr="00537910">
              <w:rPr>
                <w:rFonts w:ascii="Times New Roman" w:hAnsi="Times New Roman" w:cs="Times New Roman"/>
                <w:sz w:val="22"/>
                <w:szCs w:val="22"/>
              </w:rPr>
              <w:t>1.92</w:t>
            </w:r>
          </w:p>
        </w:tc>
        <w:tc>
          <w:tcPr>
            <w:tcW w:w="0" w:type="auto"/>
            <w:vAlign w:val="center"/>
            <w:hideMark/>
          </w:tcPr>
          <w:p w14:paraId="619282D3" w14:textId="77777777" w:rsidR="008000A7" w:rsidRPr="00537910" w:rsidRDefault="008000A7" w:rsidP="00537910">
            <w:pPr>
              <w:pStyle w:val="NoSpacing"/>
              <w:jc w:val="center"/>
              <w:rPr>
                <w:rFonts w:ascii="Times New Roman" w:hAnsi="Times New Roman" w:cs="Times New Roman"/>
                <w:sz w:val="22"/>
                <w:szCs w:val="22"/>
              </w:rPr>
            </w:pPr>
            <w:r w:rsidRPr="00537910">
              <w:rPr>
                <w:rFonts w:ascii="Times New Roman" w:hAnsi="Times New Roman" w:cs="Times New Roman"/>
                <w:sz w:val="22"/>
                <w:szCs w:val="22"/>
              </w:rPr>
              <w:t>+0.85</w:t>
            </w:r>
          </w:p>
        </w:tc>
        <w:tc>
          <w:tcPr>
            <w:tcW w:w="0" w:type="auto"/>
            <w:vAlign w:val="center"/>
            <w:hideMark/>
          </w:tcPr>
          <w:p w14:paraId="4CB1D230" w14:textId="77777777" w:rsidR="008000A7" w:rsidRPr="00537910" w:rsidRDefault="008000A7" w:rsidP="00537910">
            <w:pPr>
              <w:pStyle w:val="NoSpacing"/>
              <w:jc w:val="center"/>
              <w:rPr>
                <w:rFonts w:ascii="Times New Roman" w:hAnsi="Times New Roman" w:cs="Times New Roman"/>
                <w:sz w:val="22"/>
                <w:szCs w:val="22"/>
              </w:rPr>
            </w:pPr>
            <w:r w:rsidRPr="00537910">
              <w:rPr>
                <w:rFonts w:ascii="Times New Roman" w:hAnsi="Times New Roman" w:cs="Times New Roman"/>
                <w:sz w:val="22"/>
                <w:szCs w:val="22"/>
              </w:rPr>
              <w:t>-0.86</w:t>
            </w:r>
          </w:p>
        </w:tc>
        <w:tc>
          <w:tcPr>
            <w:tcW w:w="0" w:type="auto"/>
            <w:vAlign w:val="center"/>
            <w:hideMark/>
          </w:tcPr>
          <w:p w14:paraId="5CD946BD" w14:textId="77777777" w:rsidR="008000A7" w:rsidRPr="00537910" w:rsidRDefault="008000A7" w:rsidP="00537910">
            <w:pPr>
              <w:pStyle w:val="NoSpacing"/>
              <w:jc w:val="center"/>
              <w:rPr>
                <w:rFonts w:ascii="Times New Roman" w:hAnsi="Times New Roman" w:cs="Times New Roman"/>
                <w:sz w:val="22"/>
                <w:szCs w:val="22"/>
              </w:rPr>
            </w:pPr>
            <w:r w:rsidRPr="00537910">
              <w:rPr>
                <w:rFonts w:ascii="Times New Roman" w:hAnsi="Times New Roman" w:cs="Times New Roman"/>
                <w:sz w:val="22"/>
                <w:szCs w:val="22"/>
              </w:rPr>
              <w:t>-0.01</w:t>
            </w:r>
          </w:p>
        </w:tc>
      </w:tr>
      <w:tr w:rsidR="008000A7" w:rsidRPr="00537910" w14:paraId="18296068" w14:textId="77777777" w:rsidTr="00537910">
        <w:tc>
          <w:tcPr>
            <w:tcW w:w="0" w:type="auto"/>
            <w:hideMark/>
          </w:tcPr>
          <w:p w14:paraId="220AADD5" w14:textId="77777777" w:rsidR="008000A7" w:rsidRPr="00537910" w:rsidRDefault="008000A7" w:rsidP="00B77C0B">
            <w:pPr>
              <w:pStyle w:val="NoSpacing"/>
              <w:rPr>
                <w:rFonts w:ascii="Times New Roman" w:hAnsi="Times New Roman" w:cs="Times New Roman"/>
                <w:sz w:val="22"/>
                <w:szCs w:val="22"/>
              </w:rPr>
            </w:pPr>
            <w:r w:rsidRPr="00537910">
              <w:rPr>
                <w:rFonts w:ascii="Times New Roman" w:hAnsi="Times New Roman" w:cs="Times New Roman"/>
                <w:sz w:val="22"/>
                <w:szCs w:val="22"/>
              </w:rPr>
              <w:t>Mysore</w:t>
            </w:r>
          </w:p>
        </w:tc>
        <w:tc>
          <w:tcPr>
            <w:tcW w:w="0" w:type="auto"/>
            <w:vAlign w:val="center"/>
            <w:hideMark/>
          </w:tcPr>
          <w:p w14:paraId="0EBB96A7" w14:textId="77777777" w:rsidR="008000A7" w:rsidRPr="00537910" w:rsidRDefault="008000A7" w:rsidP="00537910">
            <w:pPr>
              <w:pStyle w:val="NoSpacing"/>
              <w:jc w:val="center"/>
              <w:rPr>
                <w:rFonts w:ascii="Times New Roman" w:hAnsi="Times New Roman" w:cs="Times New Roman"/>
                <w:sz w:val="22"/>
                <w:szCs w:val="22"/>
              </w:rPr>
            </w:pPr>
            <w:r w:rsidRPr="00537910">
              <w:rPr>
                <w:rFonts w:ascii="Times New Roman" w:hAnsi="Times New Roman" w:cs="Times New Roman"/>
                <w:sz w:val="22"/>
                <w:szCs w:val="22"/>
              </w:rPr>
              <w:t>74.55</w:t>
            </w:r>
          </w:p>
        </w:tc>
        <w:tc>
          <w:tcPr>
            <w:tcW w:w="0" w:type="auto"/>
            <w:vAlign w:val="center"/>
            <w:hideMark/>
          </w:tcPr>
          <w:p w14:paraId="4D8F4914" w14:textId="77777777" w:rsidR="008000A7" w:rsidRPr="00537910" w:rsidRDefault="008000A7" w:rsidP="00537910">
            <w:pPr>
              <w:pStyle w:val="NoSpacing"/>
              <w:jc w:val="center"/>
              <w:rPr>
                <w:rFonts w:ascii="Times New Roman" w:hAnsi="Times New Roman" w:cs="Times New Roman"/>
                <w:sz w:val="22"/>
                <w:szCs w:val="22"/>
              </w:rPr>
            </w:pPr>
            <w:r w:rsidRPr="00537910">
              <w:rPr>
                <w:rFonts w:ascii="Times New Roman" w:hAnsi="Times New Roman" w:cs="Times New Roman"/>
                <w:sz w:val="22"/>
                <w:szCs w:val="22"/>
              </w:rPr>
              <w:t>21.24</w:t>
            </w:r>
          </w:p>
        </w:tc>
        <w:tc>
          <w:tcPr>
            <w:tcW w:w="0" w:type="auto"/>
            <w:vAlign w:val="center"/>
            <w:hideMark/>
          </w:tcPr>
          <w:p w14:paraId="0CF357E4" w14:textId="77777777" w:rsidR="008000A7" w:rsidRPr="00537910" w:rsidRDefault="008000A7" w:rsidP="00537910">
            <w:pPr>
              <w:pStyle w:val="NoSpacing"/>
              <w:jc w:val="center"/>
              <w:rPr>
                <w:rFonts w:ascii="Times New Roman" w:hAnsi="Times New Roman" w:cs="Times New Roman"/>
                <w:sz w:val="22"/>
                <w:szCs w:val="22"/>
              </w:rPr>
            </w:pPr>
            <w:r w:rsidRPr="00537910">
              <w:rPr>
                <w:rFonts w:ascii="Times New Roman" w:hAnsi="Times New Roman" w:cs="Times New Roman"/>
                <w:sz w:val="22"/>
                <w:szCs w:val="22"/>
              </w:rPr>
              <w:t>12.37</w:t>
            </w:r>
          </w:p>
        </w:tc>
        <w:tc>
          <w:tcPr>
            <w:tcW w:w="0" w:type="auto"/>
            <w:vAlign w:val="center"/>
            <w:hideMark/>
          </w:tcPr>
          <w:p w14:paraId="6E7F6E36" w14:textId="77777777" w:rsidR="008000A7" w:rsidRPr="00537910" w:rsidRDefault="008000A7" w:rsidP="00537910">
            <w:pPr>
              <w:pStyle w:val="NoSpacing"/>
              <w:jc w:val="center"/>
              <w:rPr>
                <w:rFonts w:ascii="Times New Roman" w:hAnsi="Times New Roman" w:cs="Times New Roman"/>
                <w:sz w:val="22"/>
                <w:szCs w:val="22"/>
              </w:rPr>
            </w:pPr>
            <w:r w:rsidRPr="00537910">
              <w:rPr>
                <w:rFonts w:ascii="Times New Roman" w:hAnsi="Times New Roman" w:cs="Times New Roman"/>
                <w:sz w:val="22"/>
                <w:szCs w:val="22"/>
              </w:rPr>
              <w:t>2.14</w:t>
            </w:r>
          </w:p>
        </w:tc>
        <w:tc>
          <w:tcPr>
            <w:tcW w:w="0" w:type="auto"/>
            <w:vAlign w:val="center"/>
            <w:hideMark/>
          </w:tcPr>
          <w:p w14:paraId="29B40A26" w14:textId="77777777" w:rsidR="008000A7" w:rsidRPr="00537910" w:rsidRDefault="008000A7" w:rsidP="00537910">
            <w:pPr>
              <w:pStyle w:val="NoSpacing"/>
              <w:jc w:val="center"/>
              <w:rPr>
                <w:rFonts w:ascii="Times New Roman" w:hAnsi="Times New Roman" w:cs="Times New Roman"/>
                <w:sz w:val="22"/>
                <w:szCs w:val="22"/>
              </w:rPr>
            </w:pPr>
            <w:r w:rsidRPr="00537910">
              <w:rPr>
                <w:rFonts w:ascii="Times New Roman" w:hAnsi="Times New Roman" w:cs="Times New Roman"/>
                <w:sz w:val="22"/>
                <w:szCs w:val="22"/>
              </w:rPr>
              <w:t>..</w:t>
            </w:r>
          </w:p>
        </w:tc>
        <w:tc>
          <w:tcPr>
            <w:tcW w:w="0" w:type="auto"/>
            <w:vAlign w:val="center"/>
            <w:hideMark/>
          </w:tcPr>
          <w:p w14:paraId="7AF62972" w14:textId="77777777" w:rsidR="008000A7" w:rsidRPr="00537910" w:rsidRDefault="008000A7" w:rsidP="00537910">
            <w:pPr>
              <w:pStyle w:val="NoSpacing"/>
              <w:jc w:val="center"/>
              <w:rPr>
                <w:rFonts w:ascii="Times New Roman" w:hAnsi="Times New Roman" w:cs="Times New Roman"/>
                <w:sz w:val="22"/>
                <w:szCs w:val="22"/>
              </w:rPr>
            </w:pPr>
            <w:r w:rsidRPr="00537910">
              <w:rPr>
                <w:rFonts w:ascii="Times New Roman" w:hAnsi="Times New Roman" w:cs="Times New Roman"/>
                <w:sz w:val="22"/>
                <w:szCs w:val="22"/>
              </w:rPr>
              <w:t>2.31</w:t>
            </w:r>
          </w:p>
        </w:tc>
        <w:tc>
          <w:tcPr>
            <w:tcW w:w="0" w:type="auto"/>
            <w:vAlign w:val="center"/>
            <w:hideMark/>
          </w:tcPr>
          <w:p w14:paraId="50A0EBDB" w14:textId="77777777" w:rsidR="008000A7" w:rsidRPr="00537910" w:rsidRDefault="008000A7" w:rsidP="00537910">
            <w:pPr>
              <w:pStyle w:val="NoSpacing"/>
              <w:jc w:val="center"/>
              <w:rPr>
                <w:rFonts w:ascii="Times New Roman" w:hAnsi="Times New Roman" w:cs="Times New Roman"/>
                <w:sz w:val="22"/>
                <w:szCs w:val="22"/>
              </w:rPr>
            </w:pPr>
            <w:r w:rsidRPr="00537910">
              <w:rPr>
                <w:rFonts w:ascii="Times New Roman" w:hAnsi="Times New Roman" w:cs="Times New Roman"/>
                <w:sz w:val="22"/>
                <w:szCs w:val="22"/>
              </w:rPr>
              <w:t>0.76</w:t>
            </w:r>
          </w:p>
        </w:tc>
        <w:tc>
          <w:tcPr>
            <w:tcW w:w="0" w:type="auto"/>
            <w:vAlign w:val="center"/>
            <w:hideMark/>
          </w:tcPr>
          <w:p w14:paraId="48850AB2" w14:textId="77777777" w:rsidR="008000A7" w:rsidRPr="00537910" w:rsidRDefault="008000A7" w:rsidP="00537910">
            <w:pPr>
              <w:pStyle w:val="NoSpacing"/>
              <w:jc w:val="center"/>
              <w:rPr>
                <w:rFonts w:ascii="Times New Roman" w:hAnsi="Times New Roman" w:cs="Times New Roman"/>
                <w:sz w:val="22"/>
                <w:szCs w:val="22"/>
              </w:rPr>
            </w:pPr>
            <w:r w:rsidRPr="00537910">
              <w:rPr>
                <w:rFonts w:ascii="Times New Roman" w:hAnsi="Times New Roman" w:cs="Times New Roman"/>
                <w:sz w:val="22"/>
                <w:szCs w:val="22"/>
              </w:rPr>
              <w:t>+3.66</w:t>
            </w:r>
          </w:p>
        </w:tc>
        <w:tc>
          <w:tcPr>
            <w:tcW w:w="0" w:type="auto"/>
            <w:vAlign w:val="center"/>
            <w:hideMark/>
          </w:tcPr>
          <w:p w14:paraId="32F83C36" w14:textId="77777777" w:rsidR="008000A7" w:rsidRPr="00537910" w:rsidRDefault="008000A7" w:rsidP="00537910">
            <w:pPr>
              <w:pStyle w:val="NoSpacing"/>
              <w:jc w:val="center"/>
              <w:rPr>
                <w:rFonts w:ascii="Times New Roman" w:hAnsi="Times New Roman" w:cs="Times New Roman"/>
                <w:sz w:val="22"/>
                <w:szCs w:val="22"/>
              </w:rPr>
            </w:pPr>
            <w:r w:rsidRPr="00537910">
              <w:rPr>
                <w:rFonts w:ascii="Times New Roman" w:hAnsi="Times New Roman" w:cs="Times New Roman"/>
                <w:sz w:val="22"/>
                <w:szCs w:val="22"/>
              </w:rPr>
              <w:t>..</w:t>
            </w:r>
          </w:p>
        </w:tc>
        <w:tc>
          <w:tcPr>
            <w:tcW w:w="0" w:type="auto"/>
            <w:vAlign w:val="center"/>
            <w:hideMark/>
          </w:tcPr>
          <w:p w14:paraId="782AAC85" w14:textId="77777777" w:rsidR="008000A7" w:rsidRPr="00537910" w:rsidRDefault="008000A7" w:rsidP="00537910">
            <w:pPr>
              <w:pStyle w:val="NoSpacing"/>
              <w:jc w:val="center"/>
              <w:rPr>
                <w:rFonts w:ascii="Times New Roman" w:hAnsi="Times New Roman" w:cs="Times New Roman"/>
                <w:sz w:val="22"/>
                <w:szCs w:val="22"/>
              </w:rPr>
            </w:pPr>
            <w:r w:rsidRPr="00537910">
              <w:rPr>
                <w:rFonts w:ascii="Times New Roman" w:hAnsi="Times New Roman" w:cs="Times New Roman"/>
                <w:sz w:val="22"/>
                <w:szCs w:val="22"/>
              </w:rPr>
              <w:t>+3.66</w:t>
            </w:r>
          </w:p>
        </w:tc>
      </w:tr>
      <w:tr w:rsidR="008000A7" w:rsidRPr="00537910" w14:paraId="6A09C309" w14:textId="77777777" w:rsidTr="00537910">
        <w:tc>
          <w:tcPr>
            <w:tcW w:w="0" w:type="auto"/>
            <w:hideMark/>
          </w:tcPr>
          <w:p w14:paraId="06643373" w14:textId="77777777" w:rsidR="008000A7" w:rsidRPr="00537910" w:rsidRDefault="008000A7" w:rsidP="00B77C0B">
            <w:pPr>
              <w:pStyle w:val="NoSpacing"/>
              <w:rPr>
                <w:rFonts w:ascii="Times New Roman" w:hAnsi="Times New Roman" w:cs="Times New Roman"/>
                <w:sz w:val="22"/>
                <w:szCs w:val="22"/>
              </w:rPr>
            </w:pPr>
            <w:r w:rsidRPr="00537910">
              <w:rPr>
                <w:rFonts w:ascii="Times New Roman" w:hAnsi="Times New Roman" w:cs="Times New Roman"/>
                <w:sz w:val="22"/>
                <w:szCs w:val="22"/>
              </w:rPr>
              <w:t>Nagaland</w:t>
            </w:r>
          </w:p>
        </w:tc>
        <w:tc>
          <w:tcPr>
            <w:tcW w:w="0" w:type="auto"/>
            <w:vAlign w:val="center"/>
            <w:hideMark/>
          </w:tcPr>
          <w:p w14:paraId="4D16890F" w14:textId="77777777" w:rsidR="008000A7" w:rsidRPr="00537910" w:rsidRDefault="008000A7" w:rsidP="00537910">
            <w:pPr>
              <w:pStyle w:val="NoSpacing"/>
              <w:jc w:val="center"/>
              <w:rPr>
                <w:rFonts w:ascii="Times New Roman" w:hAnsi="Times New Roman" w:cs="Times New Roman"/>
                <w:sz w:val="22"/>
                <w:szCs w:val="22"/>
              </w:rPr>
            </w:pPr>
            <w:r w:rsidRPr="00537910">
              <w:rPr>
                <w:rFonts w:ascii="Times New Roman" w:hAnsi="Times New Roman" w:cs="Times New Roman"/>
                <w:sz w:val="22"/>
                <w:szCs w:val="22"/>
              </w:rPr>
              <w:t>..</w:t>
            </w:r>
          </w:p>
        </w:tc>
        <w:tc>
          <w:tcPr>
            <w:tcW w:w="0" w:type="auto"/>
            <w:vAlign w:val="center"/>
            <w:hideMark/>
          </w:tcPr>
          <w:p w14:paraId="7494ECD2" w14:textId="77777777" w:rsidR="008000A7" w:rsidRPr="00537910" w:rsidRDefault="008000A7" w:rsidP="00537910">
            <w:pPr>
              <w:pStyle w:val="NoSpacing"/>
              <w:jc w:val="center"/>
              <w:rPr>
                <w:rFonts w:ascii="Times New Roman" w:hAnsi="Times New Roman" w:cs="Times New Roman"/>
                <w:sz w:val="22"/>
                <w:szCs w:val="22"/>
              </w:rPr>
            </w:pPr>
            <w:r w:rsidRPr="00537910">
              <w:rPr>
                <w:rFonts w:ascii="Times New Roman" w:hAnsi="Times New Roman" w:cs="Times New Roman"/>
                <w:sz w:val="22"/>
                <w:szCs w:val="22"/>
              </w:rPr>
              <w:t>..</w:t>
            </w:r>
          </w:p>
        </w:tc>
        <w:tc>
          <w:tcPr>
            <w:tcW w:w="0" w:type="auto"/>
            <w:vAlign w:val="center"/>
            <w:hideMark/>
          </w:tcPr>
          <w:p w14:paraId="104E3578" w14:textId="77777777" w:rsidR="008000A7" w:rsidRPr="00537910" w:rsidRDefault="008000A7" w:rsidP="00537910">
            <w:pPr>
              <w:pStyle w:val="NoSpacing"/>
              <w:jc w:val="center"/>
              <w:rPr>
                <w:rFonts w:ascii="Times New Roman" w:hAnsi="Times New Roman" w:cs="Times New Roman"/>
                <w:sz w:val="22"/>
                <w:szCs w:val="22"/>
              </w:rPr>
            </w:pPr>
            <w:r w:rsidRPr="00537910">
              <w:rPr>
                <w:rFonts w:ascii="Times New Roman" w:hAnsi="Times New Roman" w:cs="Times New Roman"/>
                <w:sz w:val="22"/>
                <w:szCs w:val="22"/>
              </w:rPr>
              <w:t>..</w:t>
            </w:r>
          </w:p>
        </w:tc>
        <w:tc>
          <w:tcPr>
            <w:tcW w:w="0" w:type="auto"/>
            <w:vAlign w:val="center"/>
            <w:hideMark/>
          </w:tcPr>
          <w:p w14:paraId="2365F5C4" w14:textId="77777777" w:rsidR="008000A7" w:rsidRPr="00537910" w:rsidRDefault="008000A7" w:rsidP="00537910">
            <w:pPr>
              <w:pStyle w:val="NoSpacing"/>
              <w:jc w:val="center"/>
              <w:rPr>
                <w:rFonts w:ascii="Times New Roman" w:hAnsi="Times New Roman" w:cs="Times New Roman"/>
                <w:sz w:val="22"/>
                <w:szCs w:val="22"/>
              </w:rPr>
            </w:pPr>
            <w:r w:rsidRPr="00537910">
              <w:rPr>
                <w:rFonts w:ascii="Times New Roman" w:hAnsi="Times New Roman" w:cs="Times New Roman"/>
                <w:sz w:val="22"/>
                <w:szCs w:val="22"/>
              </w:rPr>
              <w:t>..</w:t>
            </w:r>
          </w:p>
        </w:tc>
        <w:tc>
          <w:tcPr>
            <w:tcW w:w="0" w:type="auto"/>
            <w:vAlign w:val="center"/>
            <w:hideMark/>
          </w:tcPr>
          <w:p w14:paraId="19922A63" w14:textId="77777777" w:rsidR="008000A7" w:rsidRPr="00537910" w:rsidRDefault="008000A7" w:rsidP="00537910">
            <w:pPr>
              <w:pStyle w:val="NoSpacing"/>
              <w:jc w:val="center"/>
              <w:rPr>
                <w:rFonts w:ascii="Times New Roman" w:hAnsi="Times New Roman" w:cs="Times New Roman"/>
                <w:sz w:val="22"/>
                <w:szCs w:val="22"/>
              </w:rPr>
            </w:pPr>
            <w:r w:rsidRPr="00537910">
              <w:rPr>
                <w:rFonts w:ascii="Times New Roman" w:hAnsi="Times New Roman" w:cs="Times New Roman"/>
                <w:sz w:val="22"/>
                <w:szCs w:val="22"/>
              </w:rPr>
              <w:t>..</w:t>
            </w:r>
          </w:p>
        </w:tc>
        <w:tc>
          <w:tcPr>
            <w:tcW w:w="0" w:type="auto"/>
            <w:vAlign w:val="center"/>
            <w:hideMark/>
          </w:tcPr>
          <w:p w14:paraId="1770C4B3" w14:textId="77777777" w:rsidR="008000A7" w:rsidRPr="00537910" w:rsidRDefault="008000A7" w:rsidP="00537910">
            <w:pPr>
              <w:pStyle w:val="NoSpacing"/>
              <w:jc w:val="center"/>
              <w:rPr>
                <w:rFonts w:ascii="Times New Roman" w:hAnsi="Times New Roman" w:cs="Times New Roman"/>
                <w:sz w:val="22"/>
                <w:szCs w:val="22"/>
              </w:rPr>
            </w:pPr>
            <w:r w:rsidRPr="00537910">
              <w:rPr>
                <w:rFonts w:ascii="Times New Roman" w:hAnsi="Times New Roman" w:cs="Times New Roman"/>
                <w:sz w:val="22"/>
                <w:szCs w:val="22"/>
              </w:rPr>
              <w:t>..</w:t>
            </w:r>
          </w:p>
        </w:tc>
        <w:tc>
          <w:tcPr>
            <w:tcW w:w="0" w:type="auto"/>
            <w:vAlign w:val="center"/>
            <w:hideMark/>
          </w:tcPr>
          <w:p w14:paraId="5C36CB5C" w14:textId="77777777" w:rsidR="008000A7" w:rsidRPr="00537910" w:rsidRDefault="008000A7" w:rsidP="00537910">
            <w:pPr>
              <w:pStyle w:val="NoSpacing"/>
              <w:jc w:val="center"/>
              <w:rPr>
                <w:rFonts w:ascii="Times New Roman" w:hAnsi="Times New Roman" w:cs="Times New Roman"/>
                <w:sz w:val="22"/>
                <w:szCs w:val="22"/>
              </w:rPr>
            </w:pPr>
            <w:r w:rsidRPr="00537910">
              <w:rPr>
                <w:rFonts w:ascii="Times New Roman" w:hAnsi="Times New Roman" w:cs="Times New Roman"/>
                <w:sz w:val="22"/>
                <w:szCs w:val="22"/>
              </w:rPr>
              <w:t>..</w:t>
            </w:r>
          </w:p>
        </w:tc>
        <w:tc>
          <w:tcPr>
            <w:tcW w:w="0" w:type="auto"/>
            <w:vAlign w:val="center"/>
            <w:hideMark/>
          </w:tcPr>
          <w:p w14:paraId="3D247B70" w14:textId="77777777" w:rsidR="008000A7" w:rsidRPr="00537910" w:rsidRDefault="008000A7" w:rsidP="00537910">
            <w:pPr>
              <w:pStyle w:val="NoSpacing"/>
              <w:jc w:val="center"/>
              <w:rPr>
                <w:rFonts w:ascii="Times New Roman" w:hAnsi="Times New Roman" w:cs="Times New Roman"/>
                <w:sz w:val="22"/>
                <w:szCs w:val="22"/>
              </w:rPr>
            </w:pPr>
            <w:r w:rsidRPr="00537910">
              <w:rPr>
                <w:rFonts w:ascii="Times New Roman" w:hAnsi="Times New Roman" w:cs="Times New Roman"/>
                <w:sz w:val="22"/>
                <w:szCs w:val="22"/>
              </w:rPr>
              <w:t>..</w:t>
            </w:r>
          </w:p>
        </w:tc>
        <w:tc>
          <w:tcPr>
            <w:tcW w:w="0" w:type="auto"/>
            <w:vAlign w:val="center"/>
            <w:hideMark/>
          </w:tcPr>
          <w:p w14:paraId="3BA04A8F" w14:textId="77777777" w:rsidR="008000A7" w:rsidRPr="00537910" w:rsidRDefault="008000A7" w:rsidP="00537910">
            <w:pPr>
              <w:pStyle w:val="NoSpacing"/>
              <w:jc w:val="center"/>
              <w:rPr>
                <w:rFonts w:ascii="Times New Roman" w:hAnsi="Times New Roman" w:cs="Times New Roman"/>
                <w:sz w:val="22"/>
                <w:szCs w:val="22"/>
              </w:rPr>
            </w:pPr>
            <w:r w:rsidRPr="00537910">
              <w:rPr>
                <w:rFonts w:ascii="Times New Roman" w:hAnsi="Times New Roman" w:cs="Times New Roman"/>
                <w:sz w:val="22"/>
                <w:szCs w:val="22"/>
              </w:rPr>
              <w:t>..</w:t>
            </w:r>
          </w:p>
        </w:tc>
        <w:tc>
          <w:tcPr>
            <w:tcW w:w="0" w:type="auto"/>
            <w:vAlign w:val="center"/>
            <w:hideMark/>
          </w:tcPr>
          <w:p w14:paraId="0F5925BF" w14:textId="77777777" w:rsidR="008000A7" w:rsidRPr="00537910" w:rsidRDefault="008000A7" w:rsidP="00537910">
            <w:pPr>
              <w:pStyle w:val="NoSpacing"/>
              <w:jc w:val="center"/>
              <w:rPr>
                <w:rFonts w:ascii="Times New Roman" w:hAnsi="Times New Roman" w:cs="Times New Roman"/>
                <w:sz w:val="22"/>
                <w:szCs w:val="22"/>
              </w:rPr>
            </w:pPr>
            <w:r w:rsidRPr="00537910">
              <w:rPr>
                <w:rFonts w:ascii="Times New Roman" w:hAnsi="Times New Roman" w:cs="Times New Roman"/>
                <w:sz w:val="22"/>
                <w:szCs w:val="22"/>
              </w:rPr>
              <w:t>..</w:t>
            </w:r>
          </w:p>
        </w:tc>
      </w:tr>
      <w:tr w:rsidR="008000A7" w:rsidRPr="00537910" w14:paraId="2DEDD147" w14:textId="77777777" w:rsidTr="00537910">
        <w:tc>
          <w:tcPr>
            <w:tcW w:w="0" w:type="auto"/>
            <w:hideMark/>
          </w:tcPr>
          <w:p w14:paraId="138C2862" w14:textId="77777777" w:rsidR="008000A7" w:rsidRPr="00537910" w:rsidRDefault="008000A7" w:rsidP="00B77C0B">
            <w:pPr>
              <w:pStyle w:val="NoSpacing"/>
              <w:rPr>
                <w:rFonts w:ascii="Times New Roman" w:hAnsi="Times New Roman" w:cs="Times New Roman"/>
                <w:sz w:val="22"/>
                <w:szCs w:val="22"/>
              </w:rPr>
            </w:pPr>
            <w:r w:rsidRPr="00537910">
              <w:rPr>
                <w:rFonts w:ascii="Times New Roman" w:hAnsi="Times New Roman" w:cs="Times New Roman"/>
                <w:sz w:val="22"/>
                <w:szCs w:val="22"/>
              </w:rPr>
              <w:t>Orissa</w:t>
            </w:r>
          </w:p>
        </w:tc>
        <w:tc>
          <w:tcPr>
            <w:tcW w:w="0" w:type="auto"/>
            <w:vAlign w:val="center"/>
            <w:hideMark/>
          </w:tcPr>
          <w:p w14:paraId="02F5F19A" w14:textId="77777777" w:rsidR="008000A7" w:rsidRPr="00537910" w:rsidRDefault="008000A7" w:rsidP="00537910">
            <w:pPr>
              <w:pStyle w:val="NoSpacing"/>
              <w:jc w:val="center"/>
              <w:rPr>
                <w:rFonts w:ascii="Times New Roman" w:hAnsi="Times New Roman" w:cs="Times New Roman"/>
                <w:sz w:val="22"/>
                <w:szCs w:val="22"/>
              </w:rPr>
            </w:pPr>
            <w:r w:rsidRPr="00537910">
              <w:rPr>
                <w:rFonts w:ascii="Times New Roman" w:hAnsi="Times New Roman" w:cs="Times New Roman"/>
                <w:sz w:val="22"/>
                <w:szCs w:val="22"/>
              </w:rPr>
              <w:t>40.02</w:t>
            </w:r>
          </w:p>
        </w:tc>
        <w:tc>
          <w:tcPr>
            <w:tcW w:w="0" w:type="auto"/>
            <w:vAlign w:val="center"/>
            <w:hideMark/>
          </w:tcPr>
          <w:p w14:paraId="304244B0" w14:textId="77777777" w:rsidR="008000A7" w:rsidRPr="00537910" w:rsidRDefault="008000A7" w:rsidP="00537910">
            <w:pPr>
              <w:pStyle w:val="NoSpacing"/>
              <w:jc w:val="center"/>
              <w:rPr>
                <w:rFonts w:ascii="Times New Roman" w:hAnsi="Times New Roman" w:cs="Times New Roman"/>
                <w:sz w:val="22"/>
                <w:szCs w:val="22"/>
              </w:rPr>
            </w:pPr>
            <w:r w:rsidRPr="00537910">
              <w:rPr>
                <w:rFonts w:ascii="Times New Roman" w:hAnsi="Times New Roman" w:cs="Times New Roman"/>
                <w:sz w:val="22"/>
                <w:szCs w:val="22"/>
              </w:rPr>
              <w:t>6.43</w:t>
            </w:r>
          </w:p>
        </w:tc>
        <w:tc>
          <w:tcPr>
            <w:tcW w:w="0" w:type="auto"/>
            <w:vAlign w:val="center"/>
            <w:hideMark/>
          </w:tcPr>
          <w:p w14:paraId="7951E010" w14:textId="77777777" w:rsidR="008000A7" w:rsidRPr="00537910" w:rsidRDefault="008000A7" w:rsidP="00537910">
            <w:pPr>
              <w:pStyle w:val="NoSpacing"/>
              <w:jc w:val="center"/>
              <w:rPr>
                <w:rFonts w:ascii="Times New Roman" w:hAnsi="Times New Roman" w:cs="Times New Roman"/>
                <w:sz w:val="22"/>
                <w:szCs w:val="22"/>
              </w:rPr>
            </w:pPr>
            <w:r w:rsidRPr="00537910">
              <w:rPr>
                <w:rFonts w:ascii="Times New Roman" w:hAnsi="Times New Roman" w:cs="Times New Roman"/>
                <w:sz w:val="22"/>
                <w:szCs w:val="22"/>
              </w:rPr>
              <w:t>4.90</w:t>
            </w:r>
          </w:p>
        </w:tc>
        <w:tc>
          <w:tcPr>
            <w:tcW w:w="0" w:type="auto"/>
            <w:vAlign w:val="center"/>
            <w:hideMark/>
          </w:tcPr>
          <w:p w14:paraId="550DCBA2" w14:textId="77777777" w:rsidR="008000A7" w:rsidRPr="00537910" w:rsidRDefault="008000A7" w:rsidP="00537910">
            <w:pPr>
              <w:pStyle w:val="NoSpacing"/>
              <w:jc w:val="center"/>
              <w:rPr>
                <w:rFonts w:ascii="Times New Roman" w:hAnsi="Times New Roman" w:cs="Times New Roman"/>
                <w:sz w:val="22"/>
                <w:szCs w:val="22"/>
              </w:rPr>
            </w:pPr>
            <w:r w:rsidRPr="00537910">
              <w:rPr>
                <w:rFonts w:ascii="Times New Roman" w:hAnsi="Times New Roman" w:cs="Times New Roman"/>
                <w:sz w:val="22"/>
                <w:szCs w:val="22"/>
              </w:rPr>
              <w:t>0.80</w:t>
            </w:r>
          </w:p>
        </w:tc>
        <w:tc>
          <w:tcPr>
            <w:tcW w:w="0" w:type="auto"/>
            <w:vAlign w:val="center"/>
            <w:hideMark/>
          </w:tcPr>
          <w:p w14:paraId="0D49EF94" w14:textId="77777777" w:rsidR="008000A7" w:rsidRPr="00537910" w:rsidRDefault="008000A7" w:rsidP="00537910">
            <w:pPr>
              <w:pStyle w:val="NoSpacing"/>
              <w:jc w:val="center"/>
              <w:rPr>
                <w:rFonts w:ascii="Times New Roman" w:hAnsi="Times New Roman" w:cs="Times New Roman"/>
                <w:sz w:val="22"/>
                <w:szCs w:val="22"/>
              </w:rPr>
            </w:pPr>
            <w:r w:rsidRPr="00537910">
              <w:rPr>
                <w:rFonts w:ascii="Times New Roman" w:hAnsi="Times New Roman" w:cs="Times New Roman"/>
                <w:sz w:val="22"/>
                <w:szCs w:val="22"/>
              </w:rPr>
              <w:t>0.15</w:t>
            </w:r>
          </w:p>
        </w:tc>
        <w:tc>
          <w:tcPr>
            <w:tcW w:w="0" w:type="auto"/>
            <w:vAlign w:val="center"/>
            <w:hideMark/>
          </w:tcPr>
          <w:p w14:paraId="6878BF8E" w14:textId="77777777" w:rsidR="008000A7" w:rsidRPr="00537910" w:rsidRDefault="008000A7" w:rsidP="00537910">
            <w:pPr>
              <w:pStyle w:val="NoSpacing"/>
              <w:jc w:val="center"/>
              <w:rPr>
                <w:rFonts w:ascii="Times New Roman" w:hAnsi="Times New Roman" w:cs="Times New Roman"/>
                <w:sz w:val="22"/>
                <w:szCs w:val="22"/>
              </w:rPr>
            </w:pPr>
            <w:r w:rsidRPr="00537910">
              <w:rPr>
                <w:rFonts w:ascii="Times New Roman" w:hAnsi="Times New Roman" w:cs="Times New Roman"/>
                <w:sz w:val="22"/>
                <w:szCs w:val="22"/>
              </w:rPr>
              <w:t>1.14</w:t>
            </w:r>
          </w:p>
        </w:tc>
        <w:tc>
          <w:tcPr>
            <w:tcW w:w="0" w:type="auto"/>
            <w:vAlign w:val="center"/>
            <w:hideMark/>
          </w:tcPr>
          <w:p w14:paraId="7B598CAA" w14:textId="77777777" w:rsidR="008000A7" w:rsidRPr="00537910" w:rsidRDefault="008000A7" w:rsidP="00537910">
            <w:pPr>
              <w:pStyle w:val="NoSpacing"/>
              <w:jc w:val="center"/>
              <w:rPr>
                <w:rFonts w:ascii="Times New Roman" w:hAnsi="Times New Roman" w:cs="Times New Roman"/>
                <w:sz w:val="22"/>
                <w:szCs w:val="22"/>
              </w:rPr>
            </w:pPr>
            <w:r w:rsidRPr="00537910">
              <w:rPr>
                <w:rFonts w:ascii="Times New Roman" w:hAnsi="Times New Roman" w:cs="Times New Roman"/>
                <w:sz w:val="22"/>
                <w:szCs w:val="22"/>
              </w:rPr>
              <w:t>0.77</w:t>
            </w:r>
          </w:p>
        </w:tc>
        <w:tc>
          <w:tcPr>
            <w:tcW w:w="0" w:type="auto"/>
            <w:vAlign w:val="center"/>
            <w:hideMark/>
          </w:tcPr>
          <w:p w14:paraId="35764D0B" w14:textId="77777777" w:rsidR="008000A7" w:rsidRPr="00537910" w:rsidRDefault="008000A7" w:rsidP="00537910">
            <w:pPr>
              <w:pStyle w:val="NoSpacing"/>
              <w:jc w:val="center"/>
              <w:rPr>
                <w:rFonts w:ascii="Times New Roman" w:hAnsi="Times New Roman" w:cs="Times New Roman"/>
                <w:sz w:val="22"/>
                <w:szCs w:val="22"/>
              </w:rPr>
            </w:pPr>
            <w:r w:rsidRPr="00537910">
              <w:rPr>
                <w:rFonts w:ascii="Times New Roman" w:hAnsi="Times New Roman" w:cs="Times New Roman"/>
                <w:sz w:val="22"/>
                <w:szCs w:val="22"/>
              </w:rPr>
              <w:t>-1.33</w:t>
            </w:r>
          </w:p>
        </w:tc>
        <w:tc>
          <w:tcPr>
            <w:tcW w:w="0" w:type="auto"/>
            <w:vAlign w:val="center"/>
            <w:hideMark/>
          </w:tcPr>
          <w:p w14:paraId="16767F6F" w14:textId="77777777" w:rsidR="008000A7" w:rsidRPr="00537910" w:rsidRDefault="008000A7" w:rsidP="00537910">
            <w:pPr>
              <w:pStyle w:val="NoSpacing"/>
              <w:jc w:val="center"/>
              <w:rPr>
                <w:rFonts w:ascii="Times New Roman" w:hAnsi="Times New Roman" w:cs="Times New Roman"/>
                <w:sz w:val="22"/>
                <w:szCs w:val="22"/>
              </w:rPr>
            </w:pPr>
            <w:r w:rsidRPr="00537910">
              <w:rPr>
                <w:rFonts w:ascii="Times New Roman" w:hAnsi="Times New Roman" w:cs="Times New Roman"/>
                <w:sz w:val="22"/>
                <w:szCs w:val="22"/>
              </w:rPr>
              <w:t>-0.54</w:t>
            </w:r>
          </w:p>
        </w:tc>
        <w:tc>
          <w:tcPr>
            <w:tcW w:w="0" w:type="auto"/>
            <w:vAlign w:val="center"/>
            <w:hideMark/>
          </w:tcPr>
          <w:p w14:paraId="5B037008" w14:textId="77777777" w:rsidR="008000A7" w:rsidRPr="00537910" w:rsidRDefault="008000A7" w:rsidP="00537910">
            <w:pPr>
              <w:pStyle w:val="NoSpacing"/>
              <w:jc w:val="center"/>
              <w:rPr>
                <w:rFonts w:ascii="Times New Roman" w:hAnsi="Times New Roman" w:cs="Times New Roman"/>
                <w:sz w:val="22"/>
                <w:szCs w:val="22"/>
              </w:rPr>
            </w:pPr>
            <w:r w:rsidRPr="00537910">
              <w:rPr>
                <w:rFonts w:ascii="Times New Roman" w:hAnsi="Times New Roman" w:cs="Times New Roman"/>
                <w:sz w:val="22"/>
                <w:szCs w:val="22"/>
              </w:rPr>
              <w:t>-1.87</w:t>
            </w:r>
          </w:p>
        </w:tc>
      </w:tr>
      <w:tr w:rsidR="009E3803" w:rsidRPr="00537910" w14:paraId="757A1356" w14:textId="77777777" w:rsidTr="00537910">
        <w:tc>
          <w:tcPr>
            <w:tcW w:w="0" w:type="auto"/>
            <w:hideMark/>
          </w:tcPr>
          <w:p w14:paraId="178259A0" w14:textId="77777777" w:rsidR="009E3803" w:rsidRPr="00537910" w:rsidRDefault="009E3803" w:rsidP="009E3803">
            <w:pPr>
              <w:pStyle w:val="NoSpacing"/>
              <w:rPr>
                <w:rFonts w:ascii="Times New Roman" w:hAnsi="Times New Roman" w:cs="Times New Roman"/>
                <w:sz w:val="22"/>
                <w:szCs w:val="22"/>
              </w:rPr>
            </w:pPr>
            <w:r w:rsidRPr="00537910">
              <w:rPr>
                <w:rFonts w:ascii="Times New Roman" w:hAnsi="Times New Roman" w:cs="Times New Roman"/>
                <w:sz w:val="22"/>
                <w:szCs w:val="22"/>
              </w:rPr>
              <w:t>Punjab</w:t>
            </w:r>
          </w:p>
        </w:tc>
        <w:tc>
          <w:tcPr>
            <w:tcW w:w="0" w:type="auto"/>
            <w:gridSpan w:val="10"/>
            <w:vAlign w:val="center"/>
          </w:tcPr>
          <w:p w14:paraId="3E203ABC" w14:textId="1F931507" w:rsidR="009E3803" w:rsidRPr="00537910" w:rsidRDefault="009E3803" w:rsidP="00537910">
            <w:pPr>
              <w:pStyle w:val="NoSpacing"/>
              <w:jc w:val="center"/>
              <w:rPr>
                <w:rFonts w:ascii="Times New Roman" w:hAnsi="Times New Roman" w:cs="Times New Roman"/>
                <w:sz w:val="22"/>
                <w:szCs w:val="22"/>
              </w:rPr>
            </w:pPr>
            <w:r w:rsidRPr="00537910">
              <w:rPr>
                <w:rFonts w:ascii="Times New Roman" w:hAnsi="Times New Roman" w:cs="Times New Roman"/>
                <w:sz w:val="22"/>
                <w:szCs w:val="22"/>
              </w:rPr>
              <w:t>Not available</w:t>
            </w:r>
          </w:p>
        </w:tc>
      </w:tr>
      <w:tr w:rsidR="008000A7" w:rsidRPr="00537910" w14:paraId="169A295F" w14:textId="77777777" w:rsidTr="00537910">
        <w:tc>
          <w:tcPr>
            <w:tcW w:w="0" w:type="auto"/>
            <w:hideMark/>
          </w:tcPr>
          <w:p w14:paraId="6744D0A9" w14:textId="77777777" w:rsidR="008000A7" w:rsidRPr="00537910" w:rsidRDefault="008000A7" w:rsidP="00B77C0B">
            <w:pPr>
              <w:pStyle w:val="NoSpacing"/>
              <w:rPr>
                <w:rFonts w:ascii="Times New Roman" w:hAnsi="Times New Roman" w:cs="Times New Roman"/>
                <w:sz w:val="22"/>
                <w:szCs w:val="22"/>
              </w:rPr>
            </w:pPr>
            <w:r w:rsidRPr="00537910">
              <w:rPr>
                <w:rFonts w:ascii="Times New Roman" w:hAnsi="Times New Roman" w:cs="Times New Roman"/>
                <w:sz w:val="22"/>
                <w:szCs w:val="22"/>
              </w:rPr>
              <w:t>Rajasthan</w:t>
            </w:r>
          </w:p>
        </w:tc>
        <w:tc>
          <w:tcPr>
            <w:tcW w:w="0" w:type="auto"/>
            <w:vAlign w:val="center"/>
            <w:hideMark/>
          </w:tcPr>
          <w:p w14:paraId="5605DE80" w14:textId="77777777" w:rsidR="008000A7" w:rsidRPr="00537910" w:rsidRDefault="008000A7" w:rsidP="00537910">
            <w:pPr>
              <w:pStyle w:val="NoSpacing"/>
              <w:jc w:val="center"/>
              <w:rPr>
                <w:rFonts w:ascii="Times New Roman" w:hAnsi="Times New Roman" w:cs="Times New Roman"/>
                <w:sz w:val="22"/>
                <w:szCs w:val="22"/>
              </w:rPr>
            </w:pPr>
            <w:r w:rsidRPr="00537910">
              <w:rPr>
                <w:rFonts w:ascii="Times New Roman" w:hAnsi="Times New Roman" w:cs="Times New Roman"/>
                <w:sz w:val="22"/>
                <w:szCs w:val="22"/>
              </w:rPr>
              <w:t>N.A.</w:t>
            </w:r>
          </w:p>
        </w:tc>
        <w:tc>
          <w:tcPr>
            <w:tcW w:w="0" w:type="auto"/>
            <w:vAlign w:val="center"/>
            <w:hideMark/>
          </w:tcPr>
          <w:p w14:paraId="3A35BF0C" w14:textId="77777777" w:rsidR="008000A7" w:rsidRPr="00537910" w:rsidRDefault="008000A7" w:rsidP="00537910">
            <w:pPr>
              <w:pStyle w:val="NoSpacing"/>
              <w:jc w:val="center"/>
              <w:rPr>
                <w:rFonts w:ascii="Times New Roman" w:hAnsi="Times New Roman" w:cs="Times New Roman"/>
                <w:sz w:val="22"/>
                <w:szCs w:val="22"/>
              </w:rPr>
            </w:pPr>
            <w:r w:rsidRPr="00537910">
              <w:rPr>
                <w:rFonts w:ascii="Times New Roman" w:hAnsi="Times New Roman" w:cs="Times New Roman"/>
                <w:sz w:val="22"/>
                <w:szCs w:val="22"/>
              </w:rPr>
              <w:t>7.27</w:t>
            </w:r>
          </w:p>
        </w:tc>
        <w:tc>
          <w:tcPr>
            <w:tcW w:w="0" w:type="auto"/>
            <w:vAlign w:val="center"/>
            <w:hideMark/>
          </w:tcPr>
          <w:p w14:paraId="3AEF1470" w14:textId="77777777" w:rsidR="008000A7" w:rsidRPr="00537910" w:rsidRDefault="008000A7" w:rsidP="00537910">
            <w:pPr>
              <w:pStyle w:val="NoSpacing"/>
              <w:jc w:val="center"/>
              <w:rPr>
                <w:rFonts w:ascii="Times New Roman" w:hAnsi="Times New Roman" w:cs="Times New Roman"/>
                <w:sz w:val="22"/>
                <w:szCs w:val="22"/>
              </w:rPr>
            </w:pPr>
            <w:r w:rsidRPr="00537910">
              <w:rPr>
                <w:rFonts w:ascii="Times New Roman" w:hAnsi="Times New Roman" w:cs="Times New Roman"/>
                <w:sz w:val="22"/>
                <w:szCs w:val="22"/>
              </w:rPr>
              <w:t>5.83</w:t>
            </w:r>
          </w:p>
        </w:tc>
        <w:tc>
          <w:tcPr>
            <w:tcW w:w="0" w:type="auto"/>
            <w:vAlign w:val="center"/>
            <w:hideMark/>
          </w:tcPr>
          <w:p w14:paraId="00EFE7CE" w14:textId="77777777" w:rsidR="008000A7" w:rsidRPr="00537910" w:rsidRDefault="008000A7" w:rsidP="00537910">
            <w:pPr>
              <w:pStyle w:val="NoSpacing"/>
              <w:jc w:val="center"/>
              <w:rPr>
                <w:rFonts w:ascii="Times New Roman" w:hAnsi="Times New Roman" w:cs="Times New Roman"/>
                <w:sz w:val="22"/>
                <w:szCs w:val="22"/>
              </w:rPr>
            </w:pPr>
            <w:r w:rsidRPr="00537910">
              <w:rPr>
                <w:rFonts w:ascii="Times New Roman" w:hAnsi="Times New Roman" w:cs="Times New Roman"/>
                <w:sz w:val="22"/>
                <w:szCs w:val="22"/>
              </w:rPr>
              <w:t>1.06</w:t>
            </w:r>
          </w:p>
        </w:tc>
        <w:tc>
          <w:tcPr>
            <w:tcW w:w="0" w:type="auto"/>
            <w:vAlign w:val="center"/>
            <w:hideMark/>
          </w:tcPr>
          <w:p w14:paraId="0E9C7885" w14:textId="77777777" w:rsidR="008000A7" w:rsidRPr="00537910" w:rsidRDefault="008000A7" w:rsidP="00537910">
            <w:pPr>
              <w:pStyle w:val="NoSpacing"/>
              <w:jc w:val="center"/>
              <w:rPr>
                <w:rFonts w:ascii="Times New Roman" w:hAnsi="Times New Roman" w:cs="Times New Roman"/>
                <w:sz w:val="22"/>
                <w:szCs w:val="22"/>
              </w:rPr>
            </w:pPr>
            <w:r w:rsidRPr="00537910">
              <w:rPr>
                <w:rFonts w:ascii="Times New Roman" w:hAnsi="Times New Roman" w:cs="Times New Roman"/>
                <w:sz w:val="22"/>
                <w:szCs w:val="22"/>
              </w:rPr>
              <w:t>0.23</w:t>
            </w:r>
          </w:p>
        </w:tc>
        <w:tc>
          <w:tcPr>
            <w:tcW w:w="0" w:type="auto"/>
            <w:vAlign w:val="center"/>
            <w:hideMark/>
          </w:tcPr>
          <w:p w14:paraId="23C84004" w14:textId="77777777" w:rsidR="008000A7" w:rsidRPr="00537910" w:rsidRDefault="008000A7" w:rsidP="00537910">
            <w:pPr>
              <w:pStyle w:val="NoSpacing"/>
              <w:jc w:val="center"/>
              <w:rPr>
                <w:rFonts w:ascii="Times New Roman" w:hAnsi="Times New Roman" w:cs="Times New Roman"/>
                <w:sz w:val="22"/>
                <w:szCs w:val="22"/>
              </w:rPr>
            </w:pPr>
            <w:r w:rsidRPr="00537910">
              <w:rPr>
                <w:rFonts w:ascii="Times New Roman" w:hAnsi="Times New Roman" w:cs="Times New Roman"/>
                <w:sz w:val="22"/>
                <w:szCs w:val="22"/>
              </w:rPr>
              <w:t>3.72</w:t>
            </w:r>
          </w:p>
        </w:tc>
        <w:tc>
          <w:tcPr>
            <w:tcW w:w="0" w:type="auto"/>
            <w:vAlign w:val="center"/>
            <w:hideMark/>
          </w:tcPr>
          <w:p w14:paraId="544C932F" w14:textId="77777777" w:rsidR="008000A7" w:rsidRPr="00537910" w:rsidRDefault="008000A7" w:rsidP="00537910">
            <w:pPr>
              <w:pStyle w:val="NoSpacing"/>
              <w:jc w:val="center"/>
              <w:rPr>
                <w:rFonts w:ascii="Times New Roman" w:hAnsi="Times New Roman" w:cs="Times New Roman"/>
                <w:sz w:val="22"/>
                <w:szCs w:val="22"/>
              </w:rPr>
            </w:pPr>
            <w:r w:rsidRPr="00537910">
              <w:rPr>
                <w:rFonts w:ascii="Times New Roman" w:hAnsi="Times New Roman" w:cs="Times New Roman"/>
                <w:sz w:val="22"/>
                <w:szCs w:val="22"/>
              </w:rPr>
              <w:t>0.15</w:t>
            </w:r>
          </w:p>
        </w:tc>
        <w:tc>
          <w:tcPr>
            <w:tcW w:w="0" w:type="auto"/>
            <w:vAlign w:val="center"/>
            <w:hideMark/>
          </w:tcPr>
          <w:p w14:paraId="18B75D56" w14:textId="77777777" w:rsidR="008000A7" w:rsidRPr="00537910" w:rsidRDefault="008000A7" w:rsidP="00537910">
            <w:pPr>
              <w:pStyle w:val="NoSpacing"/>
              <w:jc w:val="center"/>
              <w:rPr>
                <w:rFonts w:ascii="Times New Roman" w:hAnsi="Times New Roman" w:cs="Times New Roman"/>
                <w:sz w:val="22"/>
                <w:szCs w:val="22"/>
              </w:rPr>
            </w:pPr>
            <w:r w:rsidRPr="00537910">
              <w:rPr>
                <w:rFonts w:ascii="Times New Roman" w:hAnsi="Times New Roman" w:cs="Times New Roman"/>
                <w:sz w:val="22"/>
                <w:szCs w:val="22"/>
              </w:rPr>
              <w:t>-3.72</w:t>
            </w:r>
          </w:p>
        </w:tc>
        <w:tc>
          <w:tcPr>
            <w:tcW w:w="0" w:type="auto"/>
            <w:vAlign w:val="center"/>
            <w:hideMark/>
          </w:tcPr>
          <w:p w14:paraId="4D847393" w14:textId="77777777" w:rsidR="008000A7" w:rsidRPr="00537910" w:rsidRDefault="008000A7" w:rsidP="00537910">
            <w:pPr>
              <w:pStyle w:val="NoSpacing"/>
              <w:jc w:val="center"/>
              <w:rPr>
                <w:rFonts w:ascii="Times New Roman" w:hAnsi="Times New Roman" w:cs="Times New Roman"/>
                <w:sz w:val="22"/>
                <w:szCs w:val="22"/>
              </w:rPr>
            </w:pPr>
            <w:r w:rsidRPr="00537910">
              <w:rPr>
                <w:rFonts w:ascii="Times New Roman" w:hAnsi="Times New Roman" w:cs="Times New Roman"/>
                <w:sz w:val="22"/>
                <w:szCs w:val="22"/>
              </w:rPr>
              <w:t>..</w:t>
            </w:r>
          </w:p>
        </w:tc>
        <w:tc>
          <w:tcPr>
            <w:tcW w:w="0" w:type="auto"/>
            <w:vAlign w:val="center"/>
            <w:hideMark/>
          </w:tcPr>
          <w:p w14:paraId="6D52A53E" w14:textId="77777777" w:rsidR="008000A7" w:rsidRPr="00537910" w:rsidRDefault="008000A7" w:rsidP="00537910">
            <w:pPr>
              <w:pStyle w:val="NoSpacing"/>
              <w:jc w:val="center"/>
              <w:rPr>
                <w:rFonts w:ascii="Times New Roman" w:hAnsi="Times New Roman" w:cs="Times New Roman"/>
                <w:sz w:val="22"/>
                <w:szCs w:val="22"/>
              </w:rPr>
            </w:pPr>
            <w:r w:rsidRPr="00537910">
              <w:rPr>
                <w:rFonts w:ascii="Times New Roman" w:hAnsi="Times New Roman" w:cs="Times New Roman"/>
                <w:sz w:val="22"/>
                <w:szCs w:val="22"/>
              </w:rPr>
              <w:t>-3.72</w:t>
            </w:r>
          </w:p>
        </w:tc>
      </w:tr>
      <w:tr w:rsidR="008000A7" w:rsidRPr="00537910" w14:paraId="1135559E" w14:textId="77777777" w:rsidTr="00537910">
        <w:tc>
          <w:tcPr>
            <w:tcW w:w="0" w:type="auto"/>
            <w:hideMark/>
          </w:tcPr>
          <w:p w14:paraId="3331E014" w14:textId="77777777" w:rsidR="008000A7" w:rsidRPr="00537910" w:rsidRDefault="008000A7" w:rsidP="00B77C0B">
            <w:pPr>
              <w:pStyle w:val="NoSpacing"/>
              <w:rPr>
                <w:rFonts w:ascii="Times New Roman" w:hAnsi="Times New Roman" w:cs="Times New Roman"/>
                <w:sz w:val="22"/>
                <w:szCs w:val="22"/>
              </w:rPr>
            </w:pPr>
            <w:r w:rsidRPr="00537910">
              <w:rPr>
                <w:rFonts w:ascii="Times New Roman" w:hAnsi="Times New Roman" w:cs="Times New Roman"/>
                <w:sz w:val="22"/>
                <w:szCs w:val="22"/>
              </w:rPr>
              <w:t>Tamil Nadu</w:t>
            </w:r>
          </w:p>
        </w:tc>
        <w:tc>
          <w:tcPr>
            <w:tcW w:w="0" w:type="auto"/>
            <w:vAlign w:val="center"/>
            <w:hideMark/>
          </w:tcPr>
          <w:p w14:paraId="1B6E2C72" w14:textId="77777777" w:rsidR="008000A7" w:rsidRPr="00537910" w:rsidRDefault="008000A7" w:rsidP="00537910">
            <w:pPr>
              <w:pStyle w:val="NoSpacing"/>
              <w:jc w:val="center"/>
              <w:rPr>
                <w:rFonts w:ascii="Times New Roman" w:hAnsi="Times New Roman" w:cs="Times New Roman"/>
                <w:sz w:val="22"/>
                <w:szCs w:val="22"/>
              </w:rPr>
            </w:pPr>
            <w:r w:rsidRPr="00537910">
              <w:rPr>
                <w:rFonts w:ascii="Times New Roman" w:hAnsi="Times New Roman" w:cs="Times New Roman"/>
                <w:sz w:val="22"/>
                <w:szCs w:val="22"/>
              </w:rPr>
              <w:t>253.28</w:t>
            </w:r>
          </w:p>
        </w:tc>
        <w:tc>
          <w:tcPr>
            <w:tcW w:w="0" w:type="auto"/>
            <w:vAlign w:val="center"/>
            <w:hideMark/>
          </w:tcPr>
          <w:p w14:paraId="6CABC856" w14:textId="77777777" w:rsidR="008000A7" w:rsidRPr="00537910" w:rsidRDefault="008000A7" w:rsidP="00537910">
            <w:pPr>
              <w:pStyle w:val="NoSpacing"/>
              <w:jc w:val="center"/>
              <w:rPr>
                <w:rFonts w:ascii="Times New Roman" w:hAnsi="Times New Roman" w:cs="Times New Roman"/>
                <w:sz w:val="22"/>
                <w:szCs w:val="22"/>
              </w:rPr>
            </w:pPr>
            <w:r w:rsidRPr="00537910">
              <w:rPr>
                <w:rFonts w:ascii="Times New Roman" w:hAnsi="Times New Roman" w:cs="Times New Roman"/>
                <w:sz w:val="22"/>
                <w:szCs w:val="22"/>
              </w:rPr>
              <w:t>40.30</w:t>
            </w:r>
          </w:p>
        </w:tc>
        <w:tc>
          <w:tcPr>
            <w:tcW w:w="0" w:type="auto"/>
            <w:vAlign w:val="center"/>
            <w:hideMark/>
          </w:tcPr>
          <w:p w14:paraId="15316A8E" w14:textId="77777777" w:rsidR="008000A7" w:rsidRPr="00537910" w:rsidRDefault="008000A7" w:rsidP="00537910">
            <w:pPr>
              <w:pStyle w:val="NoSpacing"/>
              <w:jc w:val="center"/>
              <w:rPr>
                <w:rFonts w:ascii="Times New Roman" w:hAnsi="Times New Roman" w:cs="Times New Roman"/>
                <w:sz w:val="22"/>
                <w:szCs w:val="22"/>
              </w:rPr>
            </w:pPr>
            <w:r w:rsidRPr="00537910">
              <w:rPr>
                <w:rFonts w:ascii="Times New Roman" w:hAnsi="Times New Roman" w:cs="Times New Roman"/>
                <w:sz w:val="22"/>
                <w:szCs w:val="22"/>
              </w:rPr>
              <w:t>22.67</w:t>
            </w:r>
          </w:p>
        </w:tc>
        <w:tc>
          <w:tcPr>
            <w:tcW w:w="0" w:type="auto"/>
            <w:vAlign w:val="center"/>
            <w:hideMark/>
          </w:tcPr>
          <w:p w14:paraId="23D17EDD" w14:textId="77777777" w:rsidR="008000A7" w:rsidRPr="00537910" w:rsidRDefault="008000A7" w:rsidP="00537910">
            <w:pPr>
              <w:pStyle w:val="NoSpacing"/>
              <w:jc w:val="center"/>
              <w:rPr>
                <w:rFonts w:ascii="Times New Roman" w:hAnsi="Times New Roman" w:cs="Times New Roman"/>
                <w:sz w:val="22"/>
                <w:szCs w:val="22"/>
              </w:rPr>
            </w:pPr>
            <w:r w:rsidRPr="00537910">
              <w:rPr>
                <w:rFonts w:ascii="Times New Roman" w:hAnsi="Times New Roman" w:cs="Times New Roman"/>
                <w:sz w:val="22"/>
                <w:szCs w:val="22"/>
              </w:rPr>
              <w:t>6.43</w:t>
            </w:r>
          </w:p>
        </w:tc>
        <w:tc>
          <w:tcPr>
            <w:tcW w:w="0" w:type="auto"/>
            <w:vAlign w:val="center"/>
            <w:hideMark/>
          </w:tcPr>
          <w:p w14:paraId="36FC9D62" w14:textId="77777777" w:rsidR="008000A7" w:rsidRPr="00537910" w:rsidRDefault="008000A7" w:rsidP="00537910">
            <w:pPr>
              <w:pStyle w:val="NoSpacing"/>
              <w:jc w:val="center"/>
              <w:rPr>
                <w:rFonts w:ascii="Times New Roman" w:hAnsi="Times New Roman" w:cs="Times New Roman"/>
                <w:sz w:val="22"/>
                <w:szCs w:val="22"/>
              </w:rPr>
            </w:pPr>
            <w:r w:rsidRPr="00537910">
              <w:rPr>
                <w:rFonts w:ascii="Times New Roman" w:hAnsi="Times New Roman" w:cs="Times New Roman"/>
                <w:sz w:val="22"/>
                <w:szCs w:val="22"/>
              </w:rPr>
              <w:t>0.92</w:t>
            </w:r>
          </w:p>
        </w:tc>
        <w:tc>
          <w:tcPr>
            <w:tcW w:w="0" w:type="auto"/>
            <w:vAlign w:val="center"/>
            <w:hideMark/>
          </w:tcPr>
          <w:p w14:paraId="142E7BD1" w14:textId="77777777" w:rsidR="008000A7" w:rsidRPr="00537910" w:rsidRDefault="008000A7" w:rsidP="00537910">
            <w:pPr>
              <w:pStyle w:val="NoSpacing"/>
              <w:jc w:val="center"/>
              <w:rPr>
                <w:rFonts w:ascii="Times New Roman" w:hAnsi="Times New Roman" w:cs="Times New Roman"/>
                <w:sz w:val="22"/>
                <w:szCs w:val="22"/>
              </w:rPr>
            </w:pPr>
            <w:r w:rsidRPr="00537910">
              <w:rPr>
                <w:rFonts w:ascii="Times New Roman" w:hAnsi="Times New Roman" w:cs="Times New Roman"/>
                <w:sz w:val="22"/>
                <w:szCs w:val="22"/>
              </w:rPr>
              <w:t>8.64</w:t>
            </w:r>
          </w:p>
        </w:tc>
        <w:tc>
          <w:tcPr>
            <w:tcW w:w="0" w:type="auto"/>
            <w:vAlign w:val="center"/>
            <w:hideMark/>
          </w:tcPr>
          <w:p w14:paraId="5650B1C7" w14:textId="77777777" w:rsidR="008000A7" w:rsidRPr="00537910" w:rsidRDefault="008000A7" w:rsidP="00537910">
            <w:pPr>
              <w:pStyle w:val="NoSpacing"/>
              <w:jc w:val="center"/>
              <w:rPr>
                <w:rFonts w:ascii="Times New Roman" w:hAnsi="Times New Roman" w:cs="Times New Roman"/>
                <w:sz w:val="22"/>
                <w:szCs w:val="22"/>
              </w:rPr>
            </w:pPr>
            <w:r w:rsidRPr="00537910">
              <w:rPr>
                <w:rFonts w:ascii="Times New Roman" w:hAnsi="Times New Roman" w:cs="Times New Roman"/>
                <w:sz w:val="22"/>
                <w:szCs w:val="22"/>
              </w:rPr>
              <w:t>1.64</w:t>
            </w:r>
          </w:p>
        </w:tc>
        <w:tc>
          <w:tcPr>
            <w:tcW w:w="0" w:type="auto"/>
            <w:vAlign w:val="center"/>
            <w:hideMark/>
          </w:tcPr>
          <w:p w14:paraId="70C1099D" w14:textId="77777777" w:rsidR="008000A7" w:rsidRPr="00537910" w:rsidRDefault="008000A7" w:rsidP="00537910">
            <w:pPr>
              <w:pStyle w:val="NoSpacing"/>
              <w:jc w:val="center"/>
              <w:rPr>
                <w:rFonts w:ascii="Times New Roman" w:hAnsi="Times New Roman" w:cs="Times New Roman"/>
                <w:sz w:val="22"/>
                <w:szCs w:val="22"/>
              </w:rPr>
            </w:pPr>
            <w:r w:rsidRPr="00537910">
              <w:rPr>
                <w:rFonts w:ascii="Times New Roman" w:hAnsi="Times New Roman" w:cs="Times New Roman"/>
                <w:sz w:val="22"/>
                <w:szCs w:val="22"/>
              </w:rPr>
              <w:t>..</w:t>
            </w:r>
          </w:p>
        </w:tc>
        <w:tc>
          <w:tcPr>
            <w:tcW w:w="0" w:type="auto"/>
            <w:vAlign w:val="center"/>
            <w:hideMark/>
          </w:tcPr>
          <w:p w14:paraId="389AC293" w14:textId="77777777" w:rsidR="008000A7" w:rsidRPr="00537910" w:rsidRDefault="008000A7" w:rsidP="00537910">
            <w:pPr>
              <w:pStyle w:val="NoSpacing"/>
              <w:jc w:val="center"/>
              <w:rPr>
                <w:rFonts w:ascii="Times New Roman" w:hAnsi="Times New Roman" w:cs="Times New Roman"/>
                <w:sz w:val="22"/>
                <w:szCs w:val="22"/>
              </w:rPr>
            </w:pPr>
            <w:r w:rsidRPr="00537910">
              <w:rPr>
                <w:rFonts w:ascii="Times New Roman" w:hAnsi="Times New Roman" w:cs="Times New Roman"/>
                <w:sz w:val="22"/>
                <w:szCs w:val="22"/>
              </w:rPr>
              <w:t>..</w:t>
            </w:r>
          </w:p>
        </w:tc>
        <w:tc>
          <w:tcPr>
            <w:tcW w:w="0" w:type="auto"/>
            <w:vAlign w:val="center"/>
            <w:hideMark/>
          </w:tcPr>
          <w:p w14:paraId="242742AB" w14:textId="77777777" w:rsidR="008000A7" w:rsidRPr="00537910" w:rsidRDefault="008000A7" w:rsidP="00537910">
            <w:pPr>
              <w:pStyle w:val="NoSpacing"/>
              <w:jc w:val="center"/>
              <w:rPr>
                <w:rFonts w:ascii="Times New Roman" w:hAnsi="Times New Roman" w:cs="Times New Roman"/>
                <w:sz w:val="22"/>
                <w:szCs w:val="22"/>
              </w:rPr>
            </w:pPr>
            <w:r w:rsidRPr="00537910">
              <w:rPr>
                <w:rFonts w:ascii="Times New Roman" w:hAnsi="Times New Roman" w:cs="Times New Roman"/>
                <w:sz w:val="22"/>
                <w:szCs w:val="22"/>
              </w:rPr>
              <w:t>..</w:t>
            </w:r>
          </w:p>
        </w:tc>
      </w:tr>
      <w:tr w:rsidR="008000A7" w:rsidRPr="00537910" w14:paraId="719EAEE4" w14:textId="77777777" w:rsidTr="00537910">
        <w:tc>
          <w:tcPr>
            <w:tcW w:w="0" w:type="auto"/>
            <w:hideMark/>
          </w:tcPr>
          <w:p w14:paraId="46224A6A" w14:textId="77777777" w:rsidR="008000A7" w:rsidRPr="00537910" w:rsidRDefault="008000A7" w:rsidP="00B77C0B">
            <w:pPr>
              <w:pStyle w:val="NoSpacing"/>
              <w:rPr>
                <w:rFonts w:ascii="Times New Roman" w:hAnsi="Times New Roman" w:cs="Times New Roman"/>
                <w:sz w:val="22"/>
                <w:szCs w:val="22"/>
              </w:rPr>
            </w:pPr>
            <w:r w:rsidRPr="00537910">
              <w:rPr>
                <w:rFonts w:ascii="Times New Roman" w:hAnsi="Times New Roman" w:cs="Times New Roman"/>
                <w:sz w:val="22"/>
                <w:szCs w:val="22"/>
              </w:rPr>
              <w:t>Uttar Pradesh</w:t>
            </w:r>
          </w:p>
        </w:tc>
        <w:tc>
          <w:tcPr>
            <w:tcW w:w="0" w:type="auto"/>
            <w:vAlign w:val="center"/>
            <w:hideMark/>
          </w:tcPr>
          <w:p w14:paraId="2C8DB14E" w14:textId="77777777" w:rsidR="008000A7" w:rsidRPr="00537910" w:rsidRDefault="008000A7" w:rsidP="00537910">
            <w:pPr>
              <w:pStyle w:val="NoSpacing"/>
              <w:jc w:val="center"/>
              <w:rPr>
                <w:rFonts w:ascii="Times New Roman" w:hAnsi="Times New Roman" w:cs="Times New Roman"/>
                <w:sz w:val="22"/>
                <w:szCs w:val="22"/>
              </w:rPr>
            </w:pPr>
            <w:r w:rsidRPr="00537910">
              <w:rPr>
                <w:rFonts w:ascii="Times New Roman" w:hAnsi="Times New Roman" w:cs="Times New Roman"/>
                <w:sz w:val="22"/>
                <w:szCs w:val="22"/>
              </w:rPr>
              <w:t>254.77</w:t>
            </w:r>
          </w:p>
        </w:tc>
        <w:tc>
          <w:tcPr>
            <w:tcW w:w="0" w:type="auto"/>
            <w:vAlign w:val="center"/>
            <w:hideMark/>
          </w:tcPr>
          <w:p w14:paraId="52D7CD49" w14:textId="77777777" w:rsidR="008000A7" w:rsidRPr="00537910" w:rsidRDefault="008000A7" w:rsidP="00537910">
            <w:pPr>
              <w:pStyle w:val="NoSpacing"/>
              <w:jc w:val="center"/>
              <w:rPr>
                <w:rFonts w:ascii="Times New Roman" w:hAnsi="Times New Roman" w:cs="Times New Roman"/>
                <w:sz w:val="22"/>
                <w:szCs w:val="22"/>
              </w:rPr>
            </w:pPr>
            <w:r w:rsidRPr="00537910">
              <w:rPr>
                <w:rFonts w:ascii="Times New Roman" w:hAnsi="Times New Roman" w:cs="Times New Roman"/>
                <w:sz w:val="22"/>
                <w:szCs w:val="22"/>
              </w:rPr>
              <w:t>29.63</w:t>
            </w:r>
          </w:p>
        </w:tc>
        <w:tc>
          <w:tcPr>
            <w:tcW w:w="0" w:type="auto"/>
            <w:vAlign w:val="center"/>
            <w:hideMark/>
          </w:tcPr>
          <w:p w14:paraId="3BEB3C17" w14:textId="77777777" w:rsidR="008000A7" w:rsidRPr="00537910" w:rsidRDefault="008000A7" w:rsidP="00537910">
            <w:pPr>
              <w:pStyle w:val="NoSpacing"/>
              <w:jc w:val="center"/>
              <w:rPr>
                <w:rFonts w:ascii="Times New Roman" w:hAnsi="Times New Roman" w:cs="Times New Roman"/>
                <w:sz w:val="22"/>
                <w:szCs w:val="22"/>
              </w:rPr>
            </w:pPr>
            <w:r w:rsidRPr="00537910">
              <w:rPr>
                <w:rFonts w:ascii="Times New Roman" w:hAnsi="Times New Roman" w:cs="Times New Roman"/>
                <w:sz w:val="22"/>
                <w:szCs w:val="22"/>
              </w:rPr>
              <w:t>15.88</w:t>
            </w:r>
          </w:p>
        </w:tc>
        <w:tc>
          <w:tcPr>
            <w:tcW w:w="0" w:type="auto"/>
            <w:vAlign w:val="center"/>
            <w:hideMark/>
          </w:tcPr>
          <w:p w14:paraId="4A6D1EA3" w14:textId="77777777" w:rsidR="008000A7" w:rsidRPr="00537910" w:rsidRDefault="008000A7" w:rsidP="00537910">
            <w:pPr>
              <w:pStyle w:val="NoSpacing"/>
              <w:jc w:val="center"/>
              <w:rPr>
                <w:rFonts w:ascii="Times New Roman" w:hAnsi="Times New Roman" w:cs="Times New Roman"/>
                <w:sz w:val="22"/>
                <w:szCs w:val="22"/>
              </w:rPr>
            </w:pPr>
            <w:r w:rsidRPr="00537910">
              <w:rPr>
                <w:rFonts w:ascii="Times New Roman" w:hAnsi="Times New Roman" w:cs="Times New Roman"/>
                <w:sz w:val="22"/>
                <w:szCs w:val="22"/>
              </w:rPr>
              <w:t>3.25</w:t>
            </w:r>
          </w:p>
        </w:tc>
        <w:tc>
          <w:tcPr>
            <w:tcW w:w="0" w:type="auto"/>
            <w:vAlign w:val="center"/>
            <w:hideMark/>
          </w:tcPr>
          <w:p w14:paraId="573D3CB6" w14:textId="77777777" w:rsidR="008000A7" w:rsidRPr="00537910" w:rsidRDefault="008000A7" w:rsidP="00537910">
            <w:pPr>
              <w:pStyle w:val="NoSpacing"/>
              <w:jc w:val="center"/>
              <w:rPr>
                <w:rFonts w:ascii="Times New Roman" w:hAnsi="Times New Roman" w:cs="Times New Roman"/>
                <w:sz w:val="22"/>
                <w:szCs w:val="22"/>
              </w:rPr>
            </w:pPr>
            <w:r w:rsidRPr="00537910">
              <w:rPr>
                <w:rFonts w:ascii="Times New Roman" w:hAnsi="Times New Roman" w:cs="Times New Roman"/>
                <w:sz w:val="22"/>
                <w:szCs w:val="22"/>
              </w:rPr>
              <w:t>..</w:t>
            </w:r>
          </w:p>
        </w:tc>
        <w:tc>
          <w:tcPr>
            <w:tcW w:w="0" w:type="auto"/>
            <w:vAlign w:val="center"/>
            <w:hideMark/>
          </w:tcPr>
          <w:p w14:paraId="634F08BA" w14:textId="77777777" w:rsidR="008000A7" w:rsidRPr="00537910" w:rsidRDefault="008000A7" w:rsidP="00537910">
            <w:pPr>
              <w:pStyle w:val="NoSpacing"/>
              <w:jc w:val="center"/>
              <w:rPr>
                <w:rFonts w:ascii="Times New Roman" w:hAnsi="Times New Roman" w:cs="Times New Roman"/>
                <w:sz w:val="22"/>
                <w:szCs w:val="22"/>
              </w:rPr>
            </w:pPr>
            <w:r w:rsidRPr="00537910">
              <w:rPr>
                <w:rFonts w:ascii="Times New Roman" w:hAnsi="Times New Roman" w:cs="Times New Roman"/>
                <w:sz w:val="22"/>
                <w:szCs w:val="22"/>
              </w:rPr>
              <w:t>13.67</w:t>
            </w:r>
          </w:p>
        </w:tc>
        <w:tc>
          <w:tcPr>
            <w:tcW w:w="0" w:type="auto"/>
            <w:vAlign w:val="center"/>
            <w:hideMark/>
          </w:tcPr>
          <w:p w14:paraId="6A0EB603" w14:textId="77777777" w:rsidR="008000A7" w:rsidRPr="00537910" w:rsidRDefault="008000A7" w:rsidP="00537910">
            <w:pPr>
              <w:pStyle w:val="NoSpacing"/>
              <w:jc w:val="center"/>
              <w:rPr>
                <w:rFonts w:ascii="Times New Roman" w:hAnsi="Times New Roman" w:cs="Times New Roman"/>
                <w:sz w:val="22"/>
                <w:szCs w:val="22"/>
              </w:rPr>
            </w:pPr>
            <w:r w:rsidRPr="00537910">
              <w:rPr>
                <w:rFonts w:ascii="Times New Roman" w:hAnsi="Times New Roman" w:cs="Times New Roman"/>
                <w:sz w:val="22"/>
                <w:szCs w:val="22"/>
              </w:rPr>
              <w:t>0.68</w:t>
            </w:r>
          </w:p>
        </w:tc>
        <w:tc>
          <w:tcPr>
            <w:tcW w:w="0" w:type="auto"/>
            <w:vAlign w:val="center"/>
            <w:hideMark/>
          </w:tcPr>
          <w:p w14:paraId="51698740" w14:textId="77777777" w:rsidR="008000A7" w:rsidRPr="00537910" w:rsidRDefault="008000A7" w:rsidP="00537910">
            <w:pPr>
              <w:pStyle w:val="NoSpacing"/>
              <w:jc w:val="center"/>
              <w:rPr>
                <w:rFonts w:ascii="Times New Roman" w:hAnsi="Times New Roman" w:cs="Times New Roman"/>
                <w:sz w:val="22"/>
                <w:szCs w:val="22"/>
              </w:rPr>
            </w:pPr>
            <w:r w:rsidRPr="00537910">
              <w:rPr>
                <w:rFonts w:ascii="Times New Roman" w:hAnsi="Times New Roman" w:cs="Times New Roman"/>
                <w:sz w:val="22"/>
                <w:szCs w:val="22"/>
              </w:rPr>
              <w:t>-3.85</w:t>
            </w:r>
          </w:p>
        </w:tc>
        <w:tc>
          <w:tcPr>
            <w:tcW w:w="0" w:type="auto"/>
            <w:vAlign w:val="center"/>
            <w:hideMark/>
          </w:tcPr>
          <w:p w14:paraId="58768D3F" w14:textId="77777777" w:rsidR="008000A7" w:rsidRPr="00537910" w:rsidRDefault="008000A7" w:rsidP="00537910">
            <w:pPr>
              <w:pStyle w:val="NoSpacing"/>
              <w:jc w:val="center"/>
              <w:rPr>
                <w:rFonts w:ascii="Times New Roman" w:hAnsi="Times New Roman" w:cs="Times New Roman"/>
                <w:sz w:val="22"/>
                <w:szCs w:val="22"/>
              </w:rPr>
            </w:pPr>
            <w:r w:rsidRPr="00537910">
              <w:rPr>
                <w:rFonts w:ascii="Times New Roman" w:hAnsi="Times New Roman" w:cs="Times New Roman"/>
                <w:sz w:val="22"/>
                <w:szCs w:val="22"/>
              </w:rPr>
              <w:t>-0.66</w:t>
            </w:r>
          </w:p>
        </w:tc>
        <w:tc>
          <w:tcPr>
            <w:tcW w:w="0" w:type="auto"/>
            <w:vAlign w:val="center"/>
            <w:hideMark/>
          </w:tcPr>
          <w:p w14:paraId="57159269" w14:textId="77777777" w:rsidR="008000A7" w:rsidRPr="00537910" w:rsidRDefault="008000A7" w:rsidP="00537910">
            <w:pPr>
              <w:pStyle w:val="NoSpacing"/>
              <w:jc w:val="center"/>
              <w:rPr>
                <w:rFonts w:ascii="Times New Roman" w:hAnsi="Times New Roman" w:cs="Times New Roman"/>
                <w:sz w:val="22"/>
                <w:szCs w:val="22"/>
              </w:rPr>
            </w:pPr>
            <w:r w:rsidRPr="00537910">
              <w:rPr>
                <w:rFonts w:ascii="Times New Roman" w:hAnsi="Times New Roman" w:cs="Times New Roman"/>
                <w:sz w:val="22"/>
                <w:szCs w:val="22"/>
              </w:rPr>
              <w:t>-4.51</w:t>
            </w:r>
          </w:p>
        </w:tc>
      </w:tr>
      <w:tr w:rsidR="008000A7" w:rsidRPr="00537910" w14:paraId="49F25004" w14:textId="77777777" w:rsidTr="00537910">
        <w:tc>
          <w:tcPr>
            <w:tcW w:w="0" w:type="auto"/>
            <w:hideMark/>
          </w:tcPr>
          <w:p w14:paraId="6FA85E7B" w14:textId="77777777" w:rsidR="008000A7" w:rsidRPr="00537910" w:rsidRDefault="008000A7" w:rsidP="00B77C0B">
            <w:pPr>
              <w:pStyle w:val="NoSpacing"/>
              <w:rPr>
                <w:rFonts w:ascii="Times New Roman" w:hAnsi="Times New Roman" w:cs="Times New Roman"/>
                <w:sz w:val="22"/>
                <w:szCs w:val="22"/>
              </w:rPr>
            </w:pPr>
            <w:r w:rsidRPr="00537910">
              <w:rPr>
                <w:rFonts w:ascii="Times New Roman" w:hAnsi="Times New Roman" w:cs="Times New Roman"/>
                <w:sz w:val="22"/>
                <w:szCs w:val="22"/>
              </w:rPr>
              <w:t>West Bengal</w:t>
            </w:r>
          </w:p>
        </w:tc>
        <w:tc>
          <w:tcPr>
            <w:tcW w:w="0" w:type="auto"/>
            <w:vAlign w:val="center"/>
            <w:hideMark/>
          </w:tcPr>
          <w:p w14:paraId="293D860D" w14:textId="77777777" w:rsidR="008000A7" w:rsidRPr="00537910" w:rsidRDefault="008000A7" w:rsidP="00537910">
            <w:pPr>
              <w:pStyle w:val="NoSpacing"/>
              <w:jc w:val="center"/>
              <w:rPr>
                <w:rFonts w:ascii="Times New Roman" w:hAnsi="Times New Roman" w:cs="Times New Roman"/>
                <w:sz w:val="22"/>
                <w:szCs w:val="22"/>
              </w:rPr>
            </w:pPr>
            <w:r w:rsidRPr="00537910">
              <w:rPr>
                <w:rFonts w:ascii="Times New Roman" w:hAnsi="Times New Roman" w:cs="Times New Roman"/>
                <w:sz w:val="22"/>
                <w:szCs w:val="22"/>
              </w:rPr>
              <w:t>65.02</w:t>
            </w:r>
          </w:p>
        </w:tc>
        <w:tc>
          <w:tcPr>
            <w:tcW w:w="0" w:type="auto"/>
            <w:vAlign w:val="center"/>
            <w:hideMark/>
          </w:tcPr>
          <w:p w14:paraId="384C73D2" w14:textId="77777777" w:rsidR="008000A7" w:rsidRPr="00537910" w:rsidRDefault="008000A7" w:rsidP="00537910">
            <w:pPr>
              <w:pStyle w:val="NoSpacing"/>
              <w:jc w:val="center"/>
              <w:rPr>
                <w:rFonts w:ascii="Times New Roman" w:hAnsi="Times New Roman" w:cs="Times New Roman"/>
                <w:sz w:val="22"/>
                <w:szCs w:val="22"/>
              </w:rPr>
            </w:pPr>
            <w:r w:rsidRPr="00537910">
              <w:rPr>
                <w:rFonts w:ascii="Times New Roman" w:hAnsi="Times New Roman" w:cs="Times New Roman"/>
                <w:sz w:val="22"/>
                <w:szCs w:val="22"/>
              </w:rPr>
              <w:t>14.22</w:t>
            </w:r>
          </w:p>
        </w:tc>
        <w:tc>
          <w:tcPr>
            <w:tcW w:w="0" w:type="auto"/>
            <w:vAlign w:val="center"/>
            <w:hideMark/>
          </w:tcPr>
          <w:p w14:paraId="6804039F" w14:textId="77777777" w:rsidR="008000A7" w:rsidRPr="00537910" w:rsidRDefault="008000A7" w:rsidP="00537910">
            <w:pPr>
              <w:pStyle w:val="NoSpacing"/>
              <w:jc w:val="center"/>
              <w:rPr>
                <w:rFonts w:ascii="Times New Roman" w:hAnsi="Times New Roman" w:cs="Times New Roman"/>
                <w:sz w:val="22"/>
                <w:szCs w:val="22"/>
              </w:rPr>
            </w:pPr>
            <w:r w:rsidRPr="00537910">
              <w:rPr>
                <w:rFonts w:ascii="Times New Roman" w:hAnsi="Times New Roman" w:cs="Times New Roman"/>
                <w:sz w:val="22"/>
                <w:szCs w:val="22"/>
              </w:rPr>
              <w:t>8.80</w:t>
            </w:r>
          </w:p>
        </w:tc>
        <w:tc>
          <w:tcPr>
            <w:tcW w:w="0" w:type="auto"/>
            <w:vAlign w:val="center"/>
            <w:hideMark/>
          </w:tcPr>
          <w:p w14:paraId="7D0BDDC6" w14:textId="77777777" w:rsidR="008000A7" w:rsidRPr="00537910" w:rsidRDefault="008000A7" w:rsidP="00537910">
            <w:pPr>
              <w:pStyle w:val="NoSpacing"/>
              <w:jc w:val="center"/>
              <w:rPr>
                <w:rFonts w:ascii="Times New Roman" w:hAnsi="Times New Roman" w:cs="Times New Roman"/>
                <w:sz w:val="22"/>
                <w:szCs w:val="22"/>
              </w:rPr>
            </w:pPr>
            <w:r w:rsidRPr="00537910">
              <w:rPr>
                <w:rFonts w:ascii="Times New Roman" w:hAnsi="Times New Roman" w:cs="Times New Roman"/>
                <w:sz w:val="22"/>
                <w:szCs w:val="22"/>
              </w:rPr>
              <w:t>1.43</w:t>
            </w:r>
          </w:p>
        </w:tc>
        <w:tc>
          <w:tcPr>
            <w:tcW w:w="0" w:type="auto"/>
            <w:vAlign w:val="center"/>
            <w:hideMark/>
          </w:tcPr>
          <w:p w14:paraId="4B47EE2A" w14:textId="77777777" w:rsidR="008000A7" w:rsidRPr="00537910" w:rsidRDefault="008000A7" w:rsidP="00537910">
            <w:pPr>
              <w:pStyle w:val="NoSpacing"/>
              <w:jc w:val="center"/>
              <w:rPr>
                <w:rFonts w:ascii="Times New Roman" w:hAnsi="Times New Roman" w:cs="Times New Roman"/>
                <w:sz w:val="22"/>
                <w:szCs w:val="22"/>
              </w:rPr>
            </w:pPr>
            <w:r w:rsidRPr="00537910">
              <w:rPr>
                <w:rFonts w:ascii="Times New Roman" w:hAnsi="Times New Roman" w:cs="Times New Roman"/>
                <w:sz w:val="22"/>
                <w:szCs w:val="22"/>
              </w:rPr>
              <w:t>0.24</w:t>
            </w:r>
          </w:p>
        </w:tc>
        <w:tc>
          <w:tcPr>
            <w:tcW w:w="0" w:type="auto"/>
            <w:vAlign w:val="center"/>
            <w:hideMark/>
          </w:tcPr>
          <w:p w14:paraId="21889734" w14:textId="77777777" w:rsidR="008000A7" w:rsidRPr="00537910" w:rsidRDefault="008000A7" w:rsidP="00537910">
            <w:pPr>
              <w:pStyle w:val="NoSpacing"/>
              <w:jc w:val="center"/>
              <w:rPr>
                <w:rFonts w:ascii="Times New Roman" w:hAnsi="Times New Roman" w:cs="Times New Roman"/>
                <w:sz w:val="22"/>
                <w:szCs w:val="22"/>
              </w:rPr>
            </w:pPr>
            <w:r w:rsidRPr="00537910">
              <w:rPr>
                <w:rFonts w:ascii="Times New Roman" w:hAnsi="Times New Roman" w:cs="Times New Roman"/>
                <w:sz w:val="22"/>
                <w:szCs w:val="22"/>
              </w:rPr>
              <w:t>3.58</w:t>
            </w:r>
          </w:p>
        </w:tc>
        <w:tc>
          <w:tcPr>
            <w:tcW w:w="0" w:type="auto"/>
            <w:vAlign w:val="center"/>
            <w:hideMark/>
          </w:tcPr>
          <w:p w14:paraId="101D667B" w14:textId="77777777" w:rsidR="008000A7" w:rsidRPr="00537910" w:rsidRDefault="008000A7" w:rsidP="00537910">
            <w:pPr>
              <w:pStyle w:val="NoSpacing"/>
              <w:jc w:val="center"/>
              <w:rPr>
                <w:rFonts w:ascii="Times New Roman" w:hAnsi="Times New Roman" w:cs="Times New Roman"/>
                <w:sz w:val="22"/>
                <w:szCs w:val="22"/>
              </w:rPr>
            </w:pPr>
            <w:r w:rsidRPr="00537910">
              <w:rPr>
                <w:rFonts w:ascii="Times New Roman" w:hAnsi="Times New Roman" w:cs="Times New Roman"/>
                <w:sz w:val="22"/>
                <w:szCs w:val="22"/>
              </w:rPr>
              <w:t>0.25</w:t>
            </w:r>
          </w:p>
        </w:tc>
        <w:tc>
          <w:tcPr>
            <w:tcW w:w="0" w:type="auto"/>
            <w:vAlign w:val="center"/>
            <w:hideMark/>
          </w:tcPr>
          <w:p w14:paraId="52F14630" w14:textId="77777777" w:rsidR="008000A7" w:rsidRPr="00537910" w:rsidRDefault="008000A7" w:rsidP="00537910">
            <w:pPr>
              <w:pStyle w:val="NoSpacing"/>
              <w:jc w:val="center"/>
              <w:rPr>
                <w:rFonts w:ascii="Times New Roman" w:hAnsi="Times New Roman" w:cs="Times New Roman"/>
                <w:sz w:val="22"/>
                <w:szCs w:val="22"/>
              </w:rPr>
            </w:pPr>
            <w:r w:rsidRPr="00537910">
              <w:rPr>
                <w:rFonts w:ascii="Times New Roman" w:hAnsi="Times New Roman" w:cs="Times New Roman"/>
                <w:sz w:val="22"/>
                <w:szCs w:val="22"/>
              </w:rPr>
              <w:t>-0.08</w:t>
            </w:r>
          </w:p>
        </w:tc>
        <w:tc>
          <w:tcPr>
            <w:tcW w:w="0" w:type="auto"/>
            <w:vAlign w:val="center"/>
            <w:hideMark/>
          </w:tcPr>
          <w:p w14:paraId="0D1E808C" w14:textId="77777777" w:rsidR="008000A7" w:rsidRPr="00537910" w:rsidRDefault="008000A7" w:rsidP="00537910">
            <w:pPr>
              <w:pStyle w:val="NoSpacing"/>
              <w:jc w:val="center"/>
              <w:rPr>
                <w:rFonts w:ascii="Times New Roman" w:hAnsi="Times New Roman" w:cs="Times New Roman"/>
                <w:sz w:val="22"/>
                <w:szCs w:val="22"/>
              </w:rPr>
            </w:pPr>
            <w:r w:rsidRPr="00537910">
              <w:rPr>
                <w:rFonts w:ascii="Times New Roman" w:hAnsi="Times New Roman" w:cs="Times New Roman"/>
                <w:sz w:val="22"/>
                <w:szCs w:val="22"/>
              </w:rPr>
              <w:t>-0.47</w:t>
            </w:r>
          </w:p>
        </w:tc>
        <w:tc>
          <w:tcPr>
            <w:tcW w:w="0" w:type="auto"/>
            <w:vAlign w:val="center"/>
            <w:hideMark/>
          </w:tcPr>
          <w:p w14:paraId="66363DEB" w14:textId="77777777" w:rsidR="008000A7" w:rsidRPr="00537910" w:rsidRDefault="008000A7" w:rsidP="00537910">
            <w:pPr>
              <w:pStyle w:val="NoSpacing"/>
              <w:jc w:val="center"/>
              <w:rPr>
                <w:rFonts w:ascii="Times New Roman" w:hAnsi="Times New Roman" w:cs="Times New Roman"/>
                <w:sz w:val="22"/>
                <w:szCs w:val="22"/>
              </w:rPr>
            </w:pPr>
            <w:r w:rsidRPr="00537910">
              <w:rPr>
                <w:rFonts w:ascii="Times New Roman" w:hAnsi="Times New Roman" w:cs="Times New Roman"/>
                <w:sz w:val="22"/>
                <w:szCs w:val="22"/>
              </w:rPr>
              <w:t>-0.55</w:t>
            </w:r>
          </w:p>
        </w:tc>
      </w:tr>
      <w:tr w:rsidR="008000A7" w:rsidRPr="00537910" w14:paraId="2D111E9B" w14:textId="77777777" w:rsidTr="00537910">
        <w:tc>
          <w:tcPr>
            <w:tcW w:w="0" w:type="auto"/>
            <w:hideMark/>
          </w:tcPr>
          <w:p w14:paraId="6FF475A7" w14:textId="77777777" w:rsidR="008000A7" w:rsidRPr="00537910" w:rsidRDefault="008000A7" w:rsidP="00B77C0B">
            <w:pPr>
              <w:pStyle w:val="NoSpacing"/>
              <w:rPr>
                <w:rFonts w:ascii="Times New Roman" w:hAnsi="Times New Roman" w:cs="Times New Roman"/>
                <w:sz w:val="22"/>
                <w:szCs w:val="22"/>
              </w:rPr>
            </w:pPr>
            <w:r w:rsidRPr="00537910">
              <w:rPr>
                <w:rFonts w:ascii="Times New Roman" w:hAnsi="Times New Roman" w:cs="Times New Roman"/>
                <w:sz w:val="22"/>
                <w:szCs w:val="22"/>
              </w:rPr>
              <w:t>TOTAL</w:t>
            </w:r>
          </w:p>
        </w:tc>
        <w:tc>
          <w:tcPr>
            <w:tcW w:w="0" w:type="auto"/>
            <w:vAlign w:val="center"/>
            <w:hideMark/>
          </w:tcPr>
          <w:p w14:paraId="10527D75" w14:textId="77777777" w:rsidR="008000A7" w:rsidRPr="00537910" w:rsidRDefault="008000A7" w:rsidP="00537910">
            <w:pPr>
              <w:pStyle w:val="NoSpacing"/>
              <w:jc w:val="center"/>
              <w:rPr>
                <w:rFonts w:ascii="Times New Roman" w:hAnsi="Times New Roman" w:cs="Times New Roman"/>
                <w:sz w:val="22"/>
                <w:szCs w:val="22"/>
              </w:rPr>
            </w:pPr>
            <w:r w:rsidRPr="00537910">
              <w:rPr>
                <w:rFonts w:ascii="Times New Roman" w:hAnsi="Times New Roman" w:cs="Times New Roman"/>
                <w:sz w:val="22"/>
                <w:szCs w:val="22"/>
              </w:rPr>
              <w:t>1393.44</w:t>
            </w:r>
          </w:p>
        </w:tc>
        <w:tc>
          <w:tcPr>
            <w:tcW w:w="0" w:type="auto"/>
            <w:vAlign w:val="center"/>
            <w:hideMark/>
          </w:tcPr>
          <w:p w14:paraId="47A3B9A9" w14:textId="77777777" w:rsidR="008000A7" w:rsidRPr="00537910" w:rsidRDefault="008000A7" w:rsidP="00537910">
            <w:pPr>
              <w:pStyle w:val="NoSpacing"/>
              <w:jc w:val="center"/>
              <w:rPr>
                <w:rFonts w:ascii="Times New Roman" w:hAnsi="Times New Roman" w:cs="Times New Roman"/>
                <w:sz w:val="22"/>
                <w:szCs w:val="22"/>
              </w:rPr>
            </w:pPr>
            <w:r w:rsidRPr="00537910">
              <w:rPr>
                <w:rFonts w:ascii="Times New Roman" w:hAnsi="Times New Roman" w:cs="Times New Roman"/>
                <w:sz w:val="22"/>
                <w:szCs w:val="22"/>
              </w:rPr>
              <w:t>219.89</w:t>
            </w:r>
          </w:p>
        </w:tc>
        <w:tc>
          <w:tcPr>
            <w:tcW w:w="0" w:type="auto"/>
            <w:vAlign w:val="center"/>
            <w:hideMark/>
          </w:tcPr>
          <w:p w14:paraId="6F165F29" w14:textId="77777777" w:rsidR="008000A7" w:rsidRPr="00537910" w:rsidRDefault="008000A7" w:rsidP="00537910">
            <w:pPr>
              <w:pStyle w:val="NoSpacing"/>
              <w:jc w:val="center"/>
              <w:rPr>
                <w:rFonts w:ascii="Times New Roman" w:hAnsi="Times New Roman" w:cs="Times New Roman"/>
                <w:sz w:val="22"/>
                <w:szCs w:val="22"/>
              </w:rPr>
            </w:pPr>
            <w:r w:rsidRPr="00537910">
              <w:rPr>
                <w:rFonts w:ascii="Times New Roman" w:hAnsi="Times New Roman" w:cs="Times New Roman"/>
                <w:sz w:val="22"/>
                <w:szCs w:val="22"/>
              </w:rPr>
              <w:t>131.78</w:t>
            </w:r>
          </w:p>
        </w:tc>
        <w:tc>
          <w:tcPr>
            <w:tcW w:w="0" w:type="auto"/>
            <w:vAlign w:val="center"/>
            <w:hideMark/>
          </w:tcPr>
          <w:p w14:paraId="484D8EC5" w14:textId="77777777" w:rsidR="008000A7" w:rsidRPr="00537910" w:rsidRDefault="008000A7" w:rsidP="00537910">
            <w:pPr>
              <w:pStyle w:val="NoSpacing"/>
              <w:jc w:val="center"/>
              <w:rPr>
                <w:rFonts w:ascii="Times New Roman" w:hAnsi="Times New Roman" w:cs="Times New Roman"/>
                <w:sz w:val="22"/>
                <w:szCs w:val="22"/>
              </w:rPr>
            </w:pPr>
            <w:r w:rsidRPr="00537910">
              <w:rPr>
                <w:rFonts w:ascii="Times New Roman" w:hAnsi="Times New Roman" w:cs="Times New Roman"/>
                <w:sz w:val="22"/>
                <w:szCs w:val="22"/>
              </w:rPr>
              <w:t>29.44</w:t>
            </w:r>
          </w:p>
        </w:tc>
        <w:tc>
          <w:tcPr>
            <w:tcW w:w="0" w:type="auto"/>
            <w:vAlign w:val="center"/>
            <w:hideMark/>
          </w:tcPr>
          <w:p w14:paraId="626B048A" w14:textId="77777777" w:rsidR="008000A7" w:rsidRPr="00537910" w:rsidRDefault="008000A7" w:rsidP="00537910">
            <w:pPr>
              <w:pStyle w:val="NoSpacing"/>
              <w:jc w:val="center"/>
              <w:rPr>
                <w:rFonts w:ascii="Times New Roman" w:hAnsi="Times New Roman" w:cs="Times New Roman"/>
                <w:sz w:val="22"/>
                <w:szCs w:val="22"/>
              </w:rPr>
            </w:pPr>
            <w:r w:rsidRPr="00537910">
              <w:rPr>
                <w:rFonts w:ascii="Times New Roman" w:hAnsi="Times New Roman" w:cs="Times New Roman"/>
                <w:sz w:val="22"/>
                <w:szCs w:val="22"/>
              </w:rPr>
              <w:t>3.40</w:t>
            </w:r>
          </w:p>
        </w:tc>
        <w:tc>
          <w:tcPr>
            <w:tcW w:w="0" w:type="auto"/>
            <w:vAlign w:val="center"/>
            <w:hideMark/>
          </w:tcPr>
          <w:p w14:paraId="3E9A0E54" w14:textId="77777777" w:rsidR="008000A7" w:rsidRPr="00537910" w:rsidRDefault="008000A7" w:rsidP="00537910">
            <w:pPr>
              <w:pStyle w:val="NoSpacing"/>
              <w:jc w:val="center"/>
              <w:rPr>
                <w:rFonts w:ascii="Times New Roman" w:hAnsi="Times New Roman" w:cs="Times New Roman"/>
                <w:sz w:val="22"/>
                <w:szCs w:val="22"/>
              </w:rPr>
            </w:pPr>
            <w:r w:rsidRPr="00537910">
              <w:rPr>
                <w:rFonts w:ascii="Times New Roman" w:hAnsi="Times New Roman" w:cs="Times New Roman"/>
                <w:sz w:val="22"/>
                <w:szCs w:val="22"/>
              </w:rPr>
              <w:t>63.73</w:t>
            </w:r>
          </w:p>
        </w:tc>
        <w:tc>
          <w:tcPr>
            <w:tcW w:w="0" w:type="auto"/>
            <w:vAlign w:val="center"/>
            <w:hideMark/>
          </w:tcPr>
          <w:p w14:paraId="37249172" w14:textId="77777777" w:rsidR="008000A7" w:rsidRPr="00537910" w:rsidRDefault="008000A7" w:rsidP="00537910">
            <w:pPr>
              <w:pStyle w:val="NoSpacing"/>
              <w:jc w:val="center"/>
              <w:rPr>
                <w:rFonts w:ascii="Times New Roman" w:hAnsi="Times New Roman" w:cs="Times New Roman"/>
                <w:sz w:val="22"/>
                <w:szCs w:val="22"/>
              </w:rPr>
            </w:pPr>
            <w:r w:rsidRPr="00537910">
              <w:rPr>
                <w:rFonts w:ascii="Times New Roman" w:hAnsi="Times New Roman" w:cs="Times New Roman"/>
                <w:sz w:val="22"/>
                <w:szCs w:val="22"/>
              </w:rPr>
              <w:t>8.71</w:t>
            </w:r>
          </w:p>
        </w:tc>
        <w:tc>
          <w:tcPr>
            <w:tcW w:w="0" w:type="auto"/>
            <w:vAlign w:val="center"/>
            <w:hideMark/>
          </w:tcPr>
          <w:p w14:paraId="10EC8F98" w14:textId="77777777" w:rsidR="008000A7" w:rsidRPr="00537910" w:rsidRDefault="008000A7" w:rsidP="00537910">
            <w:pPr>
              <w:pStyle w:val="NoSpacing"/>
              <w:jc w:val="center"/>
              <w:rPr>
                <w:rFonts w:ascii="Times New Roman" w:hAnsi="Times New Roman" w:cs="Times New Roman"/>
                <w:sz w:val="22"/>
                <w:szCs w:val="22"/>
              </w:rPr>
            </w:pPr>
            <w:r w:rsidRPr="00537910">
              <w:rPr>
                <w:rFonts w:ascii="Times New Roman" w:hAnsi="Times New Roman" w:cs="Times New Roman"/>
                <w:sz w:val="22"/>
                <w:szCs w:val="22"/>
              </w:rPr>
              <w:t>-17.17</w:t>
            </w:r>
          </w:p>
        </w:tc>
        <w:tc>
          <w:tcPr>
            <w:tcW w:w="0" w:type="auto"/>
            <w:vAlign w:val="center"/>
            <w:hideMark/>
          </w:tcPr>
          <w:p w14:paraId="5E4D7124" w14:textId="77777777" w:rsidR="008000A7" w:rsidRPr="00537910" w:rsidRDefault="008000A7" w:rsidP="00537910">
            <w:pPr>
              <w:pStyle w:val="NoSpacing"/>
              <w:jc w:val="center"/>
              <w:rPr>
                <w:rFonts w:ascii="Times New Roman" w:hAnsi="Times New Roman" w:cs="Times New Roman"/>
                <w:sz w:val="22"/>
                <w:szCs w:val="22"/>
              </w:rPr>
            </w:pPr>
            <w:r w:rsidRPr="00537910">
              <w:rPr>
                <w:rFonts w:ascii="Times New Roman" w:hAnsi="Times New Roman" w:cs="Times New Roman"/>
                <w:sz w:val="22"/>
                <w:szCs w:val="22"/>
              </w:rPr>
              <w:t>-4.41</w:t>
            </w:r>
          </w:p>
        </w:tc>
        <w:tc>
          <w:tcPr>
            <w:tcW w:w="0" w:type="auto"/>
            <w:vAlign w:val="center"/>
            <w:hideMark/>
          </w:tcPr>
          <w:p w14:paraId="5BFA5163" w14:textId="77777777" w:rsidR="008000A7" w:rsidRPr="00537910" w:rsidRDefault="008000A7" w:rsidP="00537910">
            <w:pPr>
              <w:pStyle w:val="NoSpacing"/>
              <w:jc w:val="center"/>
              <w:rPr>
                <w:rFonts w:ascii="Times New Roman" w:hAnsi="Times New Roman" w:cs="Times New Roman"/>
                <w:sz w:val="22"/>
                <w:szCs w:val="22"/>
              </w:rPr>
            </w:pPr>
            <w:r w:rsidRPr="00537910">
              <w:rPr>
                <w:rFonts w:ascii="Times New Roman" w:hAnsi="Times New Roman" w:cs="Times New Roman"/>
                <w:sz w:val="22"/>
                <w:szCs w:val="22"/>
              </w:rPr>
              <w:t>-21.58</w:t>
            </w:r>
          </w:p>
        </w:tc>
      </w:tr>
    </w:tbl>
    <w:p w14:paraId="3298CA5F" w14:textId="77777777" w:rsidR="00165F6F" w:rsidRPr="007245B0" w:rsidRDefault="00165F6F" w:rsidP="003874AC">
      <w:pPr>
        <w:pStyle w:val="Sources"/>
      </w:pPr>
      <w:r w:rsidRPr="007245B0">
        <w:t>(a) Includes recovery of arrears.</w:t>
      </w:r>
    </w:p>
    <w:p w14:paraId="0C0AF5B9" w14:textId="77777777" w:rsidR="00416FA8" w:rsidRPr="007245B0" w:rsidRDefault="00416FA8" w:rsidP="00416FA8">
      <w:pPr>
        <w:tabs>
          <w:tab w:val="left" w:pos="7880"/>
        </w:tabs>
        <w:rPr>
          <w:rFonts w:ascii="Times New Roman" w:hAnsi="Times New Roman" w:cs="Times New Roman"/>
        </w:rPr>
      </w:pPr>
    </w:p>
    <w:p w14:paraId="56B4E3D1" w14:textId="78B06D3B" w:rsidR="00165F6F" w:rsidRPr="007245B0" w:rsidRDefault="00574BCE" w:rsidP="00165F6F">
      <w:pPr>
        <w:tabs>
          <w:tab w:val="left" w:pos="3306"/>
        </w:tabs>
        <w:ind w:left="720"/>
        <w:jc w:val="center"/>
        <w:rPr>
          <w:rFonts w:ascii="Times New Roman" w:hAnsi="Times New Roman" w:cs="Times New Roman"/>
          <w:i/>
          <w:iCs/>
          <w:szCs w:val="24"/>
        </w:rPr>
      </w:pPr>
      <w:r>
        <w:rPr>
          <w:rFonts w:ascii="Times New Roman" w:hAnsi="Times New Roman" w:cs="Times New Roman"/>
          <w:b/>
          <w:bCs/>
          <w:szCs w:val="24"/>
        </w:rPr>
        <w:lastRenderedPageBreak/>
        <w:t>Table</w:t>
      </w:r>
      <w:r w:rsidR="00165F6F" w:rsidRPr="007245B0">
        <w:rPr>
          <w:rFonts w:ascii="Times New Roman" w:hAnsi="Times New Roman" w:cs="Times New Roman"/>
          <w:b/>
          <w:bCs/>
          <w:szCs w:val="24"/>
        </w:rPr>
        <w:t xml:space="preserve"> 36: Financial working of State Electricity Boards—contd.</w:t>
      </w:r>
    </w:p>
    <w:p w14:paraId="74949B92" w14:textId="77777777" w:rsidR="00165F6F" w:rsidRPr="007245B0" w:rsidRDefault="00165F6F" w:rsidP="00165F6F">
      <w:pPr>
        <w:tabs>
          <w:tab w:val="left" w:pos="3306"/>
        </w:tabs>
        <w:jc w:val="right"/>
        <w:rPr>
          <w:rFonts w:ascii="Times New Roman" w:hAnsi="Times New Roman" w:cs="Times New Roman"/>
          <w:i/>
          <w:iCs/>
          <w:szCs w:val="24"/>
        </w:rPr>
      </w:pPr>
      <w:r w:rsidRPr="007245B0">
        <w:rPr>
          <w:rFonts w:ascii="Times New Roman" w:hAnsi="Times New Roman" w:cs="Times New Roman"/>
          <w:i/>
          <w:iCs/>
          <w:szCs w:val="24"/>
        </w:rPr>
        <w:t>(Rs. crores)</w:t>
      </w:r>
    </w:p>
    <w:tbl>
      <w:tblPr>
        <w:tblStyle w:val="TableGrid"/>
        <w:tblW w:w="0" w:type="auto"/>
        <w:tblLook w:val="04A0" w:firstRow="1" w:lastRow="0" w:firstColumn="1" w:lastColumn="0" w:noHBand="0" w:noVBand="1"/>
      </w:tblPr>
      <w:tblGrid>
        <w:gridCol w:w="1361"/>
        <w:gridCol w:w="1042"/>
        <w:gridCol w:w="1031"/>
        <w:gridCol w:w="1103"/>
        <w:gridCol w:w="1523"/>
        <w:gridCol w:w="1179"/>
        <w:gridCol w:w="1557"/>
        <w:gridCol w:w="1033"/>
        <w:gridCol w:w="969"/>
        <w:gridCol w:w="1430"/>
        <w:gridCol w:w="1170"/>
      </w:tblGrid>
      <w:tr w:rsidR="00165F6F" w:rsidRPr="00537910" w14:paraId="573135B4" w14:textId="77777777" w:rsidTr="00537910">
        <w:tc>
          <w:tcPr>
            <w:tcW w:w="0" w:type="auto"/>
            <w:vMerge w:val="restart"/>
            <w:vAlign w:val="center"/>
          </w:tcPr>
          <w:p w14:paraId="0421174B" w14:textId="77777777" w:rsidR="00165F6F" w:rsidRPr="00537910" w:rsidRDefault="00165F6F" w:rsidP="00537910">
            <w:pPr>
              <w:pStyle w:val="NoSpacing"/>
              <w:jc w:val="center"/>
              <w:rPr>
                <w:rFonts w:ascii="Times New Roman" w:hAnsi="Times New Roman" w:cs="Times New Roman"/>
                <w:b/>
                <w:bCs/>
                <w:sz w:val="22"/>
                <w:szCs w:val="22"/>
              </w:rPr>
            </w:pPr>
            <w:r w:rsidRPr="00537910">
              <w:rPr>
                <w:rFonts w:ascii="Times New Roman" w:hAnsi="Times New Roman" w:cs="Times New Roman"/>
                <w:b/>
                <w:bCs/>
                <w:sz w:val="22"/>
                <w:szCs w:val="22"/>
              </w:rPr>
              <w:t>States</w:t>
            </w:r>
          </w:p>
        </w:tc>
        <w:tc>
          <w:tcPr>
            <w:tcW w:w="0" w:type="auto"/>
            <w:gridSpan w:val="10"/>
            <w:vAlign w:val="center"/>
          </w:tcPr>
          <w:p w14:paraId="0487576A" w14:textId="77777777" w:rsidR="00165F6F" w:rsidRPr="00537910" w:rsidRDefault="00165F6F" w:rsidP="00537910">
            <w:pPr>
              <w:pStyle w:val="NoSpacing"/>
              <w:jc w:val="center"/>
              <w:rPr>
                <w:rFonts w:ascii="Times New Roman" w:hAnsi="Times New Roman" w:cs="Times New Roman"/>
                <w:b/>
                <w:bCs/>
                <w:sz w:val="22"/>
                <w:szCs w:val="22"/>
              </w:rPr>
            </w:pPr>
            <w:r w:rsidRPr="00537910">
              <w:rPr>
                <w:rFonts w:ascii="Times New Roman" w:hAnsi="Times New Roman" w:cs="Times New Roman"/>
                <w:b/>
                <w:bCs/>
                <w:sz w:val="22"/>
                <w:szCs w:val="22"/>
              </w:rPr>
              <w:t>1967-1968</w:t>
            </w:r>
          </w:p>
        </w:tc>
      </w:tr>
      <w:tr w:rsidR="00165F6F" w:rsidRPr="00537910" w14:paraId="4E538651" w14:textId="77777777" w:rsidTr="00537910">
        <w:tc>
          <w:tcPr>
            <w:tcW w:w="0" w:type="auto"/>
            <w:vMerge/>
            <w:vAlign w:val="center"/>
            <w:hideMark/>
          </w:tcPr>
          <w:p w14:paraId="15E61D13" w14:textId="77777777" w:rsidR="00165F6F" w:rsidRPr="00537910" w:rsidRDefault="00165F6F" w:rsidP="00537910">
            <w:pPr>
              <w:pStyle w:val="NoSpacing"/>
              <w:jc w:val="center"/>
              <w:rPr>
                <w:rFonts w:ascii="Times New Roman" w:hAnsi="Times New Roman" w:cs="Times New Roman"/>
                <w:b/>
                <w:bCs/>
                <w:sz w:val="22"/>
                <w:szCs w:val="22"/>
              </w:rPr>
            </w:pPr>
          </w:p>
        </w:tc>
        <w:tc>
          <w:tcPr>
            <w:tcW w:w="0" w:type="auto"/>
            <w:vAlign w:val="center"/>
            <w:hideMark/>
          </w:tcPr>
          <w:p w14:paraId="37F61DD9" w14:textId="485AFA1E" w:rsidR="00165F6F" w:rsidRPr="00537910" w:rsidRDefault="00165F6F" w:rsidP="00537910">
            <w:pPr>
              <w:pStyle w:val="NoSpacing"/>
              <w:jc w:val="center"/>
              <w:rPr>
                <w:rFonts w:ascii="Times New Roman" w:hAnsi="Times New Roman" w:cs="Times New Roman"/>
                <w:b/>
                <w:bCs/>
                <w:sz w:val="22"/>
                <w:szCs w:val="22"/>
              </w:rPr>
            </w:pPr>
            <w:r w:rsidRPr="00537910">
              <w:rPr>
                <w:rFonts w:ascii="Times New Roman" w:hAnsi="Times New Roman" w:cs="Times New Roman"/>
                <w:b/>
                <w:bCs/>
                <w:sz w:val="22"/>
                <w:szCs w:val="22"/>
              </w:rPr>
              <w:t>Block Capital as on 1-4-6</w:t>
            </w:r>
            <w:r w:rsidR="00886EB4">
              <w:rPr>
                <w:rFonts w:ascii="Times New Roman" w:hAnsi="Times New Roman" w:cs="Times New Roman"/>
                <w:b/>
                <w:bCs/>
                <w:sz w:val="22"/>
                <w:szCs w:val="22"/>
              </w:rPr>
              <w:t>7</w:t>
            </w:r>
          </w:p>
        </w:tc>
        <w:tc>
          <w:tcPr>
            <w:tcW w:w="0" w:type="auto"/>
            <w:vAlign w:val="center"/>
            <w:hideMark/>
          </w:tcPr>
          <w:p w14:paraId="77E3CD4B" w14:textId="77777777" w:rsidR="00165F6F" w:rsidRPr="00537910" w:rsidRDefault="00165F6F" w:rsidP="00537910">
            <w:pPr>
              <w:pStyle w:val="NoSpacing"/>
              <w:jc w:val="center"/>
              <w:rPr>
                <w:rFonts w:ascii="Times New Roman" w:hAnsi="Times New Roman" w:cs="Times New Roman"/>
                <w:b/>
                <w:bCs/>
                <w:sz w:val="22"/>
                <w:szCs w:val="22"/>
              </w:rPr>
            </w:pPr>
            <w:r w:rsidRPr="00537910">
              <w:rPr>
                <w:rFonts w:ascii="Times New Roman" w:hAnsi="Times New Roman" w:cs="Times New Roman"/>
                <w:b/>
                <w:bCs/>
                <w:sz w:val="22"/>
                <w:szCs w:val="22"/>
              </w:rPr>
              <w:t>Receipts (a)</w:t>
            </w:r>
          </w:p>
        </w:tc>
        <w:tc>
          <w:tcPr>
            <w:tcW w:w="0" w:type="auto"/>
            <w:vAlign w:val="center"/>
            <w:hideMark/>
          </w:tcPr>
          <w:p w14:paraId="7947B0AD" w14:textId="0298220D" w:rsidR="00165F6F" w:rsidRPr="00537910" w:rsidRDefault="00165F6F" w:rsidP="00537910">
            <w:pPr>
              <w:pStyle w:val="NoSpacing"/>
              <w:jc w:val="center"/>
              <w:rPr>
                <w:rFonts w:ascii="Times New Roman" w:hAnsi="Times New Roman" w:cs="Times New Roman"/>
                <w:b/>
                <w:bCs/>
                <w:sz w:val="22"/>
                <w:szCs w:val="22"/>
              </w:rPr>
            </w:pPr>
            <w:r w:rsidRPr="00537910">
              <w:rPr>
                <w:rFonts w:ascii="Times New Roman" w:hAnsi="Times New Roman" w:cs="Times New Roman"/>
                <w:b/>
                <w:bCs/>
                <w:sz w:val="22"/>
                <w:szCs w:val="22"/>
              </w:rPr>
              <w:t>Working expenses</w:t>
            </w:r>
          </w:p>
        </w:tc>
        <w:tc>
          <w:tcPr>
            <w:tcW w:w="0" w:type="auto"/>
            <w:vAlign w:val="center"/>
            <w:hideMark/>
          </w:tcPr>
          <w:p w14:paraId="4E51D58E" w14:textId="215EF99B" w:rsidR="00165F6F" w:rsidRPr="00537910" w:rsidRDefault="00165F6F" w:rsidP="00537910">
            <w:pPr>
              <w:pStyle w:val="NoSpacing"/>
              <w:jc w:val="center"/>
              <w:rPr>
                <w:rFonts w:ascii="Times New Roman" w:hAnsi="Times New Roman" w:cs="Times New Roman"/>
                <w:b/>
                <w:bCs/>
                <w:sz w:val="22"/>
                <w:szCs w:val="22"/>
              </w:rPr>
            </w:pPr>
            <w:r w:rsidRPr="00537910">
              <w:rPr>
                <w:rFonts w:ascii="Times New Roman" w:hAnsi="Times New Roman" w:cs="Times New Roman"/>
                <w:b/>
                <w:bCs/>
                <w:sz w:val="22"/>
                <w:szCs w:val="22"/>
              </w:rPr>
              <w:t>Transfer to Depreciation fund</w:t>
            </w:r>
          </w:p>
        </w:tc>
        <w:tc>
          <w:tcPr>
            <w:tcW w:w="0" w:type="auto"/>
            <w:vAlign w:val="center"/>
            <w:hideMark/>
          </w:tcPr>
          <w:p w14:paraId="347A9A67" w14:textId="77777777" w:rsidR="00165F6F" w:rsidRPr="00537910" w:rsidRDefault="00165F6F" w:rsidP="00537910">
            <w:pPr>
              <w:pStyle w:val="NoSpacing"/>
              <w:jc w:val="center"/>
              <w:rPr>
                <w:rFonts w:ascii="Times New Roman" w:hAnsi="Times New Roman" w:cs="Times New Roman"/>
                <w:b/>
                <w:bCs/>
                <w:sz w:val="22"/>
                <w:szCs w:val="22"/>
              </w:rPr>
            </w:pPr>
            <w:r w:rsidRPr="00537910">
              <w:rPr>
                <w:rFonts w:ascii="Times New Roman" w:hAnsi="Times New Roman" w:cs="Times New Roman"/>
                <w:b/>
                <w:bCs/>
                <w:sz w:val="22"/>
                <w:szCs w:val="22"/>
              </w:rPr>
              <w:t>Transfer to General Reserve Fund</w:t>
            </w:r>
          </w:p>
        </w:tc>
        <w:tc>
          <w:tcPr>
            <w:tcW w:w="0" w:type="auto"/>
            <w:vAlign w:val="center"/>
            <w:hideMark/>
          </w:tcPr>
          <w:p w14:paraId="5E8237E2" w14:textId="539A8195" w:rsidR="00165F6F" w:rsidRPr="00537910" w:rsidRDefault="00165F6F" w:rsidP="00537910">
            <w:pPr>
              <w:pStyle w:val="NoSpacing"/>
              <w:jc w:val="center"/>
              <w:rPr>
                <w:rFonts w:ascii="Times New Roman" w:hAnsi="Times New Roman" w:cs="Times New Roman"/>
                <w:b/>
                <w:bCs/>
                <w:sz w:val="22"/>
                <w:szCs w:val="22"/>
              </w:rPr>
            </w:pPr>
            <w:r w:rsidRPr="00537910">
              <w:rPr>
                <w:rFonts w:ascii="Times New Roman" w:hAnsi="Times New Roman" w:cs="Times New Roman"/>
                <w:b/>
                <w:bCs/>
                <w:sz w:val="22"/>
                <w:szCs w:val="22"/>
              </w:rPr>
              <w:t>Interest to State Government (accrual)</w:t>
            </w:r>
          </w:p>
        </w:tc>
        <w:tc>
          <w:tcPr>
            <w:tcW w:w="0" w:type="auto"/>
            <w:vAlign w:val="center"/>
            <w:hideMark/>
          </w:tcPr>
          <w:p w14:paraId="44A6CA78" w14:textId="77777777" w:rsidR="00165F6F" w:rsidRPr="00537910" w:rsidRDefault="00165F6F" w:rsidP="00537910">
            <w:pPr>
              <w:pStyle w:val="NoSpacing"/>
              <w:jc w:val="center"/>
              <w:rPr>
                <w:rFonts w:ascii="Times New Roman" w:hAnsi="Times New Roman" w:cs="Times New Roman"/>
                <w:b/>
                <w:bCs/>
                <w:sz w:val="22"/>
                <w:szCs w:val="22"/>
              </w:rPr>
            </w:pPr>
            <w:r w:rsidRPr="00537910">
              <w:rPr>
                <w:rFonts w:ascii="Times New Roman" w:hAnsi="Times New Roman" w:cs="Times New Roman"/>
                <w:b/>
                <w:bCs/>
                <w:sz w:val="22"/>
                <w:szCs w:val="22"/>
              </w:rPr>
              <w:t>Interest on other loans</w:t>
            </w:r>
          </w:p>
        </w:tc>
        <w:tc>
          <w:tcPr>
            <w:tcW w:w="0" w:type="auto"/>
            <w:vAlign w:val="center"/>
            <w:hideMark/>
          </w:tcPr>
          <w:p w14:paraId="4DB2309D" w14:textId="77777777" w:rsidR="00165F6F" w:rsidRPr="00537910" w:rsidRDefault="00165F6F" w:rsidP="00537910">
            <w:pPr>
              <w:pStyle w:val="NoSpacing"/>
              <w:jc w:val="center"/>
              <w:rPr>
                <w:rFonts w:ascii="Times New Roman" w:hAnsi="Times New Roman" w:cs="Times New Roman"/>
                <w:b/>
                <w:bCs/>
                <w:sz w:val="22"/>
                <w:szCs w:val="22"/>
              </w:rPr>
            </w:pPr>
            <w:r w:rsidRPr="00537910">
              <w:rPr>
                <w:rFonts w:ascii="Times New Roman" w:hAnsi="Times New Roman" w:cs="Times New Roman"/>
                <w:b/>
                <w:bCs/>
                <w:sz w:val="22"/>
                <w:szCs w:val="22"/>
              </w:rPr>
              <w:t>Net receipts</w:t>
            </w:r>
          </w:p>
        </w:tc>
        <w:tc>
          <w:tcPr>
            <w:tcW w:w="0" w:type="auto"/>
            <w:vAlign w:val="center"/>
            <w:hideMark/>
          </w:tcPr>
          <w:p w14:paraId="47FFDAC4" w14:textId="696A0C8A" w:rsidR="00165F6F" w:rsidRPr="00537910" w:rsidRDefault="00165F6F" w:rsidP="00537910">
            <w:pPr>
              <w:pStyle w:val="NoSpacing"/>
              <w:jc w:val="center"/>
              <w:rPr>
                <w:rFonts w:ascii="Times New Roman" w:hAnsi="Times New Roman" w:cs="Times New Roman"/>
                <w:b/>
                <w:bCs/>
                <w:sz w:val="22"/>
                <w:szCs w:val="22"/>
              </w:rPr>
            </w:pPr>
            <w:r w:rsidRPr="00537910">
              <w:rPr>
                <w:rFonts w:ascii="Times New Roman" w:hAnsi="Times New Roman" w:cs="Times New Roman"/>
                <w:b/>
                <w:bCs/>
                <w:sz w:val="22"/>
                <w:szCs w:val="22"/>
              </w:rPr>
              <w:t>Transfer to loan redemption fund</w:t>
            </w:r>
          </w:p>
        </w:tc>
        <w:tc>
          <w:tcPr>
            <w:tcW w:w="0" w:type="auto"/>
            <w:vAlign w:val="center"/>
            <w:hideMark/>
          </w:tcPr>
          <w:p w14:paraId="3D7861FA" w14:textId="77777777" w:rsidR="00165F6F" w:rsidRPr="00537910" w:rsidRDefault="00165F6F" w:rsidP="00537910">
            <w:pPr>
              <w:pStyle w:val="NoSpacing"/>
              <w:jc w:val="center"/>
              <w:rPr>
                <w:rFonts w:ascii="Times New Roman" w:hAnsi="Times New Roman" w:cs="Times New Roman"/>
                <w:b/>
                <w:bCs/>
                <w:sz w:val="22"/>
                <w:szCs w:val="22"/>
              </w:rPr>
            </w:pPr>
            <w:r w:rsidRPr="00537910">
              <w:rPr>
                <w:rFonts w:ascii="Times New Roman" w:hAnsi="Times New Roman" w:cs="Times New Roman"/>
                <w:b/>
                <w:bCs/>
                <w:sz w:val="22"/>
                <w:szCs w:val="22"/>
              </w:rPr>
              <w:t>Net receipts after taking into account item 19</w:t>
            </w:r>
          </w:p>
        </w:tc>
      </w:tr>
      <w:tr w:rsidR="00165F6F" w:rsidRPr="00537910" w14:paraId="39CE336F" w14:textId="77777777" w:rsidTr="00537910">
        <w:tc>
          <w:tcPr>
            <w:tcW w:w="0" w:type="auto"/>
            <w:vAlign w:val="center"/>
          </w:tcPr>
          <w:p w14:paraId="7554AABD" w14:textId="77777777" w:rsidR="00165F6F" w:rsidRPr="00537910" w:rsidRDefault="00165F6F" w:rsidP="00537910">
            <w:pPr>
              <w:pStyle w:val="NoSpacing"/>
              <w:jc w:val="center"/>
              <w:rPr>
                <w:rFonts w:ascii="Times New Roman" w:hAnsi="Times New Roman" w:cs="Times New Roman"/>
                <w:b/>
                <w:bCs/>
                <w:sz w:val="22"/>
                <w:szCs w:val="22"/>
              </w:rPr>
            </w:pPr>
          </w:p>
        </w:tc>
        <w:tc>
          <w:tcPr>
            <w:tcW w:w="0" w:type="auto"/>
            <w:vAlign w:val="center"/>
          </w:tcPr>
          <w:p w14:paraId="4C270248" w14:textId="77777777" w:rsidR="00165F6F" w:rsidRPr="00537910" w:rsidRDefault="00165F6F" w:rsidP="00537910">
            <w:pPr>
              <w:pStyle w:val="NoSpacing"/>
              <w:jc w:val="center"/>
              <w:rPr>
                <w:rFonts w:ascii="Times New Roman" w:hAnsi="Times New Roman" w:cs="Times New Roman"/>
                <w:b/>
                <w:bCs/>
                <w:sz w:val="22"/>
                <w:szCs w:val="22"/>
              </w:rPr>
            </w:pPr>
            <w:r w:rsidRPr="00537910">
              <w:rPr>
                <w:rFonts w:ascii="Times New Roman" w:hAnsi="Times New Roman" w:cs="Times New Roman"/>
                <w:b/>
                <w:bCs/>
                <w:sz w:val="22"/>
                <w:szCs w:val="22"/>
              </w:rPr>
              <w:t>11</w:t>
            </w:r>
          </w:p>
        </w:tc>
        <w:tc>
          <w:tcPr>
            <w:tcW w:w="0" w:type="auto"/>
            <w:vAlign w:val="center"/>
          </w:tcPr>
          <w:p w14:paraId="0F8F541C" w14:textId="77777777" w:rsidR="00165F6F" w:rsidRPr="00537910" w:rsidRDefault="00165F6F" w:rsidP="00537910">
            <w:pPr>
              <w:pStyle w:val="NoSpacing"/>
              <w:jc w:val="center"/>
              <w:rPr>
                <w:rFonts w:ascii="Times New Roman" w:hAnsi="Times New Roman" w:cs="Times New Roman"/>
                <w:b/>
                <w:bCs/>
                <w:sz w:val="22"/>
                <w:szCs w:val="22"/>
              </w:rPr>
            </w:pPr>
            <w:r w:rsidRPr="00537910">
              <w:rPr>
                <w:rFonts w:ascii="Times New Roman" w:hAnsi="Times New Roman" w:cs="Times New Roman"/>
                <w:b/>
                <w:bCs/>
                <w:sz w:val="22"/>
                <w:szCs w:val="22"/>
              </w:rPr>
              <w:t>12</w:t>
            </w:r>
          </w:p>
        </w:tc>
        <w:tc>
          <w:tcPr>
            <w:tcW w:w="0" w:type="auto"/>
            <w:vAlign w:val="center"/>
          </w:tcPr>
          <w:p w14:paraId="089A6262" w14:textId="77777777" w:rsidR="00165F6F" w:rsidRPr="00537910" w:rsidRDefault="00165F6F" w:rsidP="00537910">
            <w:pPr>
              <w:pStyle w:val="NoSpacing"/>
              <w:jc w:val="center"/>
              <w:rPr>
                <w:rFonts w:ascii="Times New Roman" w:hAnsi="Times New Roman" w:cs="Times New Roman"/>
                <w:b/>
                <w:bCs/>
                <w:sz w:val="22"/>
                <w:szCs w:val="22"/>
              </w:rPr>
            </w:pPr>
            <w:r w:rsidRPr="00537910">
              <w:rPr>
                <w:rFonts w:ascii="Times New Roman" w:hAnsi="Times New Roman" w:cs="Times New Roman"/>
                <w:b/>
                <w:bCs/>
                <w:sz w:val="22"/>
                <w:szCs w:val="22"/>
              </w:rPr>
              <w:t>13</w:t>
            </w:r>
          </w:p>
        </w:tc>
        <w:tc>
          <w:tcPr>
            <w:tcW w:w="0" w:type="auto"/>
            <w:vAlign w:val="center"/>
          </w:tcPr>
          <w:p w14:paraId="25BD0386" w14:textId="77777777" w:rsidR="00165F6F" w:rsidRPr="00537910" w:rsidRDefault="00165F6F" w:rsidP="00537910">
            <w:pPr>
              <w:pStyle w:val="NoSpacing"/>
              <w:jc w:val="center"/>
              <w:rPr>
                <w:rFonts w:ascii="Times New Roman" w:hAnsi="Times New Roman" w:cs="Times New Roman"/>
                <w:b/>
                <w:bCs/>
                <w:sz w:val="22"/>
                <w:szCs w:val="22"/>
              </w:rPr>
            </w:pPr>
            <w:r w:rsidRPr="00537910">
              <w:rPr>
                <w:rFonts w:ascii="Times New Roman" w:hAnsi="Times New Roman" w:cs="Times New Roman"/>
                <w:b/>
                <w:bCs/>
                <w:sz w:val="22"/>
                <w:szCs w:val="22"/>
              </w:rPr>
              <w:t>14</w:t>
            </w:r>
          </w:p>
        </w:tc>
        <w:tc>
          <w:tcPr>
            <w:tcW w:w="0" w:type="auto"/>
            <w:vAlign w:val="center"/>
          </w:tcPr>
          <w:p w14:paraId="5F3CEED0" w14:textId="77777777" w:rsidR="00165F6F" w:rsidRPr="00537910" w:rsidRDefault="00165F6F" w:rsidP="00537910">
            <w:pPr>
              <w:pStyle w:val="NoSpacing"/>
              <w:jc w:val="center"/>
              <w:rPr>
                <w:rFonts w:ascii="Times New Roman" w:hAnsi="Times New Roman" w:cs="Times New Roman"/>
                <w:b/>
                <w:bCs/>
                <w:sz w:val="22"/>
                <w:szCs w:val="22"/>
              </w:rPr>
            </w:pPr>
            <w:r w:rsidRPr="00537910">
              <w:rPr>
                <w:rFonts w:ascii="Times New Roman" w:hAnsi="Times New Roman" w:cs="Times New Roman"/>
                <w:b/>
                <w:bCs/>
                <w:sz w:val="22"/>
                <w:szCs w:val="22"/>
              </w:rPr>
              <w:t>15</w:t>
            </w:r>
          </w:p>
        </w:tc>
        <w:tc>
          <w:tcPr>
            <w:tcW w:w="0" w:type="auto"/>
            <w:vAlign w:val="center"/>
          </w:tcPr>
          <w:p w14:paraId="3FA2982D" w14:textId="77777777" w:rsidR="00165F6F" w:rsidRPr="00537910" w:rsidRDefault="00165F6F" w:rsidP="00537910">
            <w:pPr>
              <w:pStyle w:val="NoSpacing"/>
              <w:jc w:val="center"/>
              <w:rPr>
                <w:rFonts w:ascii="Times New Roman" w:hAnsi="Times New Roman" w:cs="Times New Roman"/>
                <w:b/>
                <w:bCs/>
                <w:sz w:val="22"/>
                <w:szCs w:val="22"/>
              </w:rPr>
            </w:pPr>
            <w:r w:rsidRPr="00537910">
              <w:rPr>
                <w:rFonts w:ascii="Times New Roman" w:hAnsi="Times New Roman" w:cs="Times New Roman"/>
                <w:b/>
                <w:bCs/>
                <w:sz w:val="22"/>
                <w:szCs w:val="22"/>
              </w:rPr>
              <w:t>16</w:t>
            </w:r>
          </w:p>
        </w:tc>
        <w:tc>
          <w:tcPr>
            <w:tcW w:w="0" w:type="auto"/>
            <w:vAlign w:val="center"/>
          </w:tcPr>
          <w:p w14:paraId="5BB4BE6D" w14:textId="77777777" w:rsidR="00165F6F" w:rsidRPr="00537910" w:rsidRDefault="00165F6F" w:rsidP="00537910">
            <w:pPr>
              <w:pStyle w:val="NoSpacing"/>
              <w:jc w:val="center"/>
              <w:rPr>
                <w:rFonts w:ascii="Times New Roman" w:hAnsi="Times New Roman" w:cs="Times New Roman"/>
                <w:b/>
                <w:bCs/>
                <w:sz w:val="22"/>
                <w:szCs w:val="22"/>
              </w:rPr>
            </w:pPr>
            <w:r w:rsidRPr="00537910">
              <w:rPr>
                <w:rFonts w:ascii="Times New Roman" w:hAnsi="Times New Roman" w:cs="Times New Roman"/>
                <w:b/>
                <w:bCs/>
                <w:sz w:val="22"/>
                <w:szCs w:val="22"/>
              </w:rPr>
              <w:t>17</w:t>
            </w:r>
          </w:p>
        </w:tc>
        <w:tc>
          <w:tcPr>
            <w:tcW w:w="0" w:type="auto"/>
            <w:vAlign w:val="center"/>
          </w:tcPr>
          <w:p w14:paraId="3FFA51C3" w14:textId="77777777" w:rsidR="00165F6F" w:rsidRPr="00537910" w:rsidRDefault="00165F6F" w:rsidP="00537910">
            <w:pPr>
              <w:pStyle w:val="NoSpacing"/>
              <w:jc w:val="center"/>
              <w:rPr>
                <w:rFonts w:ascii="Times New Roman" w:hAnsi="Times New Roman" w:cs="Times New Roman"/>
                <w:b/>
                <w:bCs/>
                <w:sz w:val="22"/>
                <w:szCs w:val="22"/>
              </w:rPr>
            </w:pPr>
            <w:r w:rsidRPr="00537910">
              <w:rPr>
                <w:rFonts w:ascii="Times New Roman" w:hAnsi="Times New Roman" w:cs="Times New Roman"/>
                <w:b/>
                <w:bCs/>
                <w:sz w:val="22"/>
                <w:szCs w:val="22"/>
              </w:rPr>
              <w:t>18</w:t>
            </w:r>
          </w:p>
        </w:tc>
        <w:tc>
          <w:tcPr>
            <w:tcW w:w="0" w:type="auto"/>
            <w:vAlign w:val="center"/>
          </w:tcPr>
          <w:p w14:paraId="011F6A7A" w14:textId="77777777" w:rsidR="00165F6F" w:rsidRPr="00537910" w:rsidRDefault="00165F6F" w:rsidP="00537910">
            <w:pPr>
              <w:pStyle w:val="NoSpacing"/>
              <w:jc w:val="center"/>
              <w:rPr>
                <w:rFonts w:ascii="Times New Roman" w:hAnsi="Times New Roman" w:cs="Times New Roman"/>
                <w:b/>
                <w:bCs/>
                <w:sz w:val="22"/>
                <w:szCs w:val="22"/>
              </w:rPr>
            </w:pPr>
            <w:r w:rsidRPr="00537910">
              <w:rPr>
                <w:rFonts w:ascii="Times New Roman" w:hAnsi="Times New Roman" w:cs="Times New Roman"/>
                <w:b/>
                <w:bCs/>
                <w:sz w:val="22"/>
                <w:szCs w:val="22"/>
              </w:rPr>
              <w:t>19</w:t>
            </w:r>
          </w:p>
        </w:tc>
        <w:tc>
          <w:tcPr>
            <w:tcW w:w="0" w:type="auto"/>
            <w:vAlign w:val="center"/>
          </w:tcPr>
          <w:p w14:paraId="2D448C7C" w14:textId="77777777" w:rsidR="00165F6F" w:rsidRPr="00537910" w:rsidRDefault="00165F6F" w:rsidP="00537910">
            <w:pPr>
              <w:pStyle w:val="NoSpacing"/>
              <w:jc w:val="center"/>
              <w:rPr>
                <w:rFonts w:ascii="Times New Roman" w:hAnsi="Times New Roman" w:cs="Times New Roman"/>
                <w:b/>
                <w:bCs/>
                <w:sz w:val="22"/>
                <w:szCs w:val="22"/>
              </w:rPr>
            </w:pPr>
            <w:r w:rsidRPr="00537910">
              <w:rPr>
                <w:rFonts w:ascii="Times New Roman" w:hAnsi="Times New Roman" w:cs="Times New Roman"/>
                <w:b/>
                <w:bCs/>
                <w:sz w:val="22"/>
                <w:szCs w:val="22"/>
              </w:rPr>
              <w:t>20</w:t>
            </w:r>
          </w:p>
        </w:tc>
      </w:tr>
      <w:tr w:rsidR="00165F6F" w:rsidRPr="00537910" w14:paraId="4ED077EF" w14:textId="77777777" w:rsidTr="00537910">
        <w:tc>
          <w:tcPr>
            <w:tcW w:w="0" w:type="auto"/>
            <w:hideMark/>
          </w:tcPr>
          <w:p w14:paraId="36980C1E" w14:textId="77777777" w:rsidR="00165F6F" w:rsidRPr="00537910" w:rsidRDefault="00165F6F" w:rsidP="00B77C0B">
            <w:pPr>
              <w:pStyle w:val="NoSpacing"/>
              <w:rPr>
                <w:rFonts w:ascii="Times New Roman" w:hAnsi="Times New Roman" w:cs="Times New Roman"/>
                <w:sz w:val="22"/>
                <w:szCs w:val="22"/>
              </w:rPr>
            </w:pPr>
            <w:r w:rsidRPr="00537910">
              <w:rPr>
                <w:rFonts w:ascii="Times New Roman" w:hAnsi="Times New Roman" w:cs="Times New Roman"/>
                <w:sz w:val="22"/>
                <w:szCs w:val="22"/>
              </w:rPr>
              <w:t>Andhra Pradesh</w:t>
            </w:r>
          </w:p>
        </w:tc>
        <w:tc>
          <w:tcPr>
            <w:tcW w:w="0" w:type="auto"/>
            <w:vAlign w:val="center"/>
            <w:hideMark/>
          </w:tcPr>
          <w:p w14:paraId="0215B484" w14:textId="77777777" w:rsidR="00165F6F" w:rsidRPr="00537910" w:rsidRDefault="00165F6F" w:rsidP="00537910">
            <w:pPr>
              <w:pStyle w:val="NoSpacing"/>
              <w:jc w:val="center"/>
              <w:rPr>
                <w:rFonts w:ascii="Times New Roman" w:hAnsi="Times New Roman" w:cs="Times New Roman"/>
                <w:sz w:val="22"/>
                <w:szCs w:val="22"/>
              </w:rPr>
            </w:pPr>
            <w:r w:rsidRPr="00537910">
              <w:rPr>
                <w:rFonts w:ascii="Times New Roman" w:hAnsi="Times New Roman" w:cs="Times New Roman"/>
                <w:sz w:val="22"/>
                <w:szCs w:val="22"/>
              </w:rPr>
              <w:t>161.43</w:t>
            </w:r>
          </w:p>
        </w:tc>
        <w:tc>
          <w:tcPr>
            <w:tcW w:w="0" w:type="auto"/>
            <w:vAlign w:val="center"/>
            <w:hideMark/>
          </w:tcPr>
          <w:p w14:paraId="15BAE8B9" w14:textId="77777777" w:rsidR="00165F6F" w:rsidRPr="00537910" w:rsidRDefault="00165F6F" w:rsidP="00537910">
            <w:pPr>
              <w:pStyle w:val="NoSpacing"/>
              <w:jc w:val="center"/>
              <w:rPr>
                <w:rFonts w:ascii="Times New Roman" w:hAnsi="Times New Roman" w:cs="Times New Roman"/>
                <w:sz w:val="22"/>
                <w:szCs w:val="22"/>
              </w:rPr>
            </w:pPr>
            <w:r w:rsidRPr="00537910">
              <w:rPr>
                <w:rFonts w:ascii="Times New Roman" w:hAnsi="Times New Roman" w:cs="Times New Roman"/>
                <w:sz w:val="22"/>
                <w:szCs w:val="22"/>
              </w:rPr>
              <w:t>24.50</w:t>
            </w:r>
          </w:p>
        </w:tc>
        <w:tc>
          <w:tcPr>
            <w:tcW w:w="0" w:type="auto"/>
            <w:vAlign w:val="center"/>
            <w:hideMark/>
          </w:tcPr>
          <w:p w14:paraId="3E7EC099" w14:textId="77777777" w:rsidR="00165F6F" w:rsidRPr="00537910" w:rsidRDefault="00165F6F" w:rsidP="00537910">
            <w:pPr>
              <w:pStyle w:val="NoSpacing"/>
              <w:jc w:val="center"/>
              <w:rPr>
                <w:rFonts w:ascii="Times New Roman" w:hAnsi="Times New Roman" w:cs="Times New Roman"/>
                <w:sz w:val="22"/>
                <w:szCs w:val="22"/>
              </w:rPr>
            </w:pPr>
            <w:r w:rsidRPr="00537910">
              <w:rPr>
                <w:rFonts w:ascii="Times New Roman" w:hAnsi="Times New Roman" w:cs="Times New Roman"/>
                <w:sz w:val="22"/>
                <w:szCs w:val="22"/>
              </w:rPr>
              <w:t>12.20</w:t>
            </w:r>
          </w:p>
        </w:tc>
        <w:tc>
          <w:tcPr>
            <w:tcW w:w="0" w:type="auto"/>
            <w:vAlign w:val="center"/>
            <w:hideMark/>
          </w:tcPr>
          <w:p w14:paraId="1FAF91B0" w14:textId="77777777" w:rsidR="00165F6F" w:rsidRPr="00537910" w:rsidRDefault="00165F6F" w:rsidP="00537910">
            <w:pPr>
              <w:pStyle w:val="NoSpacing"/>
              <w:jc w:val="center"/>
              <w:rPr>
                <w:rFonts w:ascii="Times New Roman" w:hAnsi="Times New Roman" w:cs="Times New Roman"/>
                <w:sz w:val="22"/>
                <w:szCs w:val="22"/>
              </w:rPr>
            </w:pPr>
            <w:r w:rsidRPr="00537910">
              <w:rPr>
                <w:rFonts w:ascii="Times New Roman" w:hAnsi="Times New Roman" w:cs="Times New Roman"/>
                <w:sz w:val="22"/>
                <w:szCs w:val="22"/>
              </w:rPr>
              <w:t>5.60</w:t>
            </w:r>
          </w:p>
        </w:tc>
        <w:tc>
          <w:tcPr>
            <w:tcW w:w="0" w:type="auto"/>
            <w:vAlign w:val="center"/>
            <w:hideMark/>
          </w:tcPr>
          <w:p w14:paraId="2D74DA31" w14:textId="77777777" w:rsidR="00165F6F" w:rsidRPr="00537910" w:rsidRDefault="00165F6F" w:rsidP="00537910">
            <w:pPr>
              <w:pStyle w:val="NoSpacing"/>
              <w:jc w:val="center"/>
              <w:rPr>
                <w:rFonts w:ascii="Times New Roman" w:hAnsi="Times New Roman" w:cs="Times New Roman"/>
                <w:sz w:val="22"/>
                <w:szCs w:val="22"/>
              </w:rPr>
            </w:pPr>
            <w:r w:rsidRPr="00537910">
              <w:rPr>
                <w:rFonts w:ascii="Times New Roman" w:hAnsi="Times New Roman" w:cs="Times New Roman"/>
                <w:sz w:val="22"/>
                <w:szCs w:val="22"/>
              </w:rPr>
              <w:t>0.70</w:t>
            </w:r>
          </w:p>
        </w:tc>
        <w:tc>
          <w:tcPr>
            <w:tcW w:w="0" w:type="auto"/>
            <w:vAlign w:val="center"/>
            <w:hideMark/>
          </w:tcPr>
          <w:p w14:paraId="76E347B0" w14:textId="77777777" w:rsidR="00165F6F" w:rsidRPr="00537910" w:rsidRDefault="00165F6F" w:rsidP="00537910">
            <w:pPr>
              <w:pStyle w:val="NoSpacing"/>
              <w:jc w:val="center"/>
              <w:rPr>
                <w:rFonts w:ascii="Times New Roman" w:hAnsi="Times New Roman" w:cs="Times New Roman"/>
                <w:sz w:val="22"/>
                <w:szCs w:val="22"/>
              </w:rPr>
            </w:pPr>
            <w:r w:rsidRPr="00537910">
              <w:rPr>
                <w:rFonts w:ascii="Times New Roman" w:hAnsi="Times New Roman" w:cs="Times New Roman"/>
                <w:sz w:val="22"/>
                <w:szCs w:val="22"/>
              </w:rPr>
              <w:t>4.46</w:t>
            </w:r>
          </w:p>
        </w:tc>
        <w:tc>
          <w:tcPr>
            <w:tcW w:w="0" w:type="auto"/>
            <w:vAlign w:val="center"/>
            <w:hideMark/>
          </w:tcPr>
          <w:p w14:paraId="08422C7E" w14:textId="77777777" w:rsidR="00165F6F" w:rsidRPr="00537910" w:rsidRDefault="00165F6F" w:rsidP="00537910">
            <w:pPr>
              <w:pStyle w:val="NoSpacing"/>
              <w:jc w:val="center"/>
              <w:rPr>
                <w:rFonts w:ascii="Times New Roman" w:hAnsi="Times New Roman" w:cs="Times New Roman"/>
                <w:sz w:val="22"/>
                <w:szCs w:val="22"/>
              </w:rPr>
            </w:pPr>
            <w:r w:rsidRPr="00537910">
              <w:rPr>
                <w:rFonts w:ascii="Times New Roman" w:hAnsi="Times New Roman" w:cs="Times New Roman"/>
                <w:sz w:val="22"/>
                <w:szCs w:val="22"/>
              </w:rPr>
              <w:t>1.27</w:t>
            </w:r>
          </w:p>
        </w:tc>
        <w:tc>
          <w:tcPr>
            <w:tcW w:w="0" w:type="auto"/>
            <w:vAlign w:val="center"/>
            <w:hideMark/>
          </w:tcPr>
          <w:p w14:paraId="6DB1937F" w14:textId="77777777" w:rsidR="00165F6F" w:rsidRPr="00537910" w:rsidRDefault="00165F6F" w:rsidP="00537910">
            <w:pPr>
              <w:pStyle w:val="NoSpacing"/>
              <w:jc w:val="center"/>
              <w:rPr>
                <w:rFonts w:ascii="Times New Roman" w:hAnsi="Times New Roman" w:cs="Times New Roman"/>
                <w:sz w:val="22"/>
                <w:szCs w:val="22"/>
              </w:rPr>
            </w:pPr>
            <w:r w:rsidRPr="00537910">
              <w:rPr>
                <w:rFonts w:ascii="Times New Roman" w:hAnsi="Times New Roman" w:cs="Times New Roman"/>
                <w:sz w:val="22"/>
                <w:szCs w:val="22"/>
              </w:rPr>
              <w:t>+0.27</w:t>
            </w:r>
          </w:p>
        </w:tc>
        <w:tc>
          <w:tcPr>
            <w:tcW w:w="0" w:type="auto"/>
            <w:vAlign w:val="center"/>
            <w:hideMark/>
          </w:tcPr>
          <w:p w14:paraId="5074520B" w14:textId="77777777" w:rsidR="00165F6F" w:rsidRPr="00537910" w:rsidRDefault="00165F6F" w:rsidP="00537910">
            <w:pPr>
              <w:pStyle w:val="NoSpacing"/>
              <w:jc w:val="center"/>
              <w:rPr>
                <w:rFonts w:ascii="Times New Roman" w:hAnsi="Times New Roman" w:cs="Times New Roman"/>
                <w:sz w:val="22"/>
                <w:szCs w:val="22"/>
              </w:rPr>
            </w:pPr>
            <w:r w:rsidRPr="00537910">
              <w:rPr>
                <w:rFonts w:ascii="Times New Roman" w:hAnsi="Times New Roman" w:cs="Times New Roman"/>
                <w:sz w:val="22"/>
                <w:szCs w:val="22"/>
              </w:rPr>
              <w:t>-1.30</w:t>
            </w:r>
          </w:p>
        </w:tc>
        <w:tc>
          <w:tcPr>
            <w:tcW w:w="0" w:type="auto"/>
            <w:vAlign w:val="center"/>
            <w:hideMark/>
          </w:tcPr>
          <w:p w14:paraId="197C40D9" w14:textId="77777777" w:rsidR="00165F6F" w:rsidRPr="00537910" w:rsidRDefault="00165F6F" w:rsidP="00537910">
            <w:pPr>
              <w:pStyle w:val="NoSpacing"/>
              <w:jc w:val="center"/>
              <w:rPr>
                <w:rFonts w:ascii="Times New Roman" w:hAnsi="Times New Roman" w:cs="Times New Roman"/>
                <w:sz w:val="22"/>
                <w:szCs w:val="22"/>
              </w:rPr>
            </w:pPr>
            <w:r w:rsidRPr="00537910">
              <w:rPr>
                <w:rFonts w:ascii="Times New Roman" w:hAnsi="Times New Roman" w:cs="Times New Roman"/>
                <w:sz w:val="22"/>
                <w:szCs w:val="22"/>
              </w:rPr>
              <w:t>-1.03</w:t>
            </w:r>
          </w:p>
        </w:tc>
      </w:tr>
      <w:tr w:rsidR="00165F6F" w:rsidRPr="00537910" w14:paraId="71F971A7" w14:textId="77777777" w:rsidTr="00537910">
        <w:tc>
          <w:tcPr>
            <w:tcW w:w="0" w:type="auto"/>
            <w:hideMark/>
          </w:tcPr>
          <w:p w14:paraId="2E95E105" w14:textId="77777777" w:rsidR="00165F6F" w:rsidRPr="00537910" w:rsidRDefault="00165F6F" w:rsidP="00B77C0B">
            <w:pPr>
              <w:pStyle w:val="NoSpacing"/>
              <w:rPr>
                <w:rFonts w:ascii="Times New Roman" w:hAnsi="Times New Roman" w:cs="Times New Roman"/>
                <w:sz w:val="22"/>
                <w:szCs w:val="22"/>
              </w:rPr>
            </w:pPr>
            <w:r w:rsidRPr="00537910">
              <w:rPr>
                <w:rFonts w:ascii="Times New Roman" w:hAnsi="Times New Roman" w:cs="Times New Roman"/>
                <w:sz w:val="22"/>
                <w:szCs w:val="22"/>
              </w:rPr>
              <w:t>Assam</w:t>
            </w:r>
          </w:p>
        </w:tc>
        <w:tc>
          <w:tcPr>
            <w:tcW w:w="0" w:type="auto"/>
            <w:vAlign w:val="center"/>
            <w:hideMark/>
          </w:tcPr>
          <w:p w14:paraId="46E64473" w14:textId="77777777" w:rsidR="00165F6F" w:rsidRPr="00537910" w:rsidRDefault="00165F6F" w:rsidP="00537910">
            <w:pPr>
              <w:pStyle w:val="NoSpacing"/>
              <w:jc w:val="center"/>
              <w:rPr>
                <w:rFonts w:ascii="Times New Roman" w:hAnsi="Times New Roman" w:cs="Times New Roman"/>
                <w:sz w:val="22"/>
                <w:szCs w:val="22"/>
              </w:rPr>
            </w:pPr>
            <w:r w:rsidRPr="00537910">
              <w:rPr>
                <w:rFonts w:ascii="Times New Roman" w:hAnsi="Times New Roman" w:cs="Times New Roman"/>
                <w:sz w:val="22"/>
                <w:szCs w:val="22"/>
              </w:rPr>
              <w:t>56.37</w:t>
            </w:r>
          </w:p>
        </w:tc>
        <w:tc>
          <w:tcPr>
            <w:tcW w:w="0" w:type="auto"/>
            <w:vAlign w:val="center"/>
            <w:hideMark/>
          </w:tcPr>
          <w:p w14:paraId="0ADCBC22" w14:textId="77777777" w:rsidR="00165F6F" w:rsidRPr="00537910" w:rsidRDefault="00165F6F" w:rsidP="00537910">
            <w:pPr>
              <w:pStyle w:val="NoSpacing"/>
              <w:jc w:val="center"/>
              <w:rPr>
                <w:rFonts w:ascii="Times New Roman" w:hAnsi="Times New Roman" w:cs="Times New Roman"/>
                <w:sz w:val="22"/>
                <w:szCs w:val="22"/>
              </w:rPr>
            </w:pPr>
            <w:r w:rsidRPr="00537910">
              <w:rPr>
                <w:rFonts w:ascii="Times New Roman" w:hAnsi="Times New Roman" w:cs="Times New Roman"/>
                <w:sz w:val="22"/>
                <w:szCs w:val="22"/>
              </w:rPr>
              <w:t>2.55</w:t>
            </w:r>
          </w:p>
        </w:tc>
        <w:tc>
          <w:tcPr>
            <w:tcW w:w="0" w:type="auto"/>
            <w:vAlign w:val="center"/>
            <w:hideMark/>
          </w:tcPr>
          <w:p w14:paraId="512A1B59" w14:textId="77777777" w:rsidR="00165F6F" w:rsidRPr="00537910" w:rsidRDefault="00165F6F" w:rsidP="00537910">
            <w:pPr>
              <w:pStyle w:val="NoSpacing"/>
              <w:jc w:val="center"/>
              <w:rPr>
                <w:rFonts w:ascii="Times New Roman" w:hAnsi="Times New Roman" w:cs="Times New Roman"/>
                <w:sz w:val="22"/>
                <w:szCs w:val="22"/>
              </w:rPr>
            </w:pPr>
            <w:r w:rsidRPr="00537910">
              <w:rPr>
                <w:rFonts w:ascii="Times New Roman" w:hAnsi="Times New Roman" w:cs="Times New Roman"/>
                <w:sz w:val="22"/>
                <w:szCs w:val="22"/>
              </w:rPr>
              <w:t>1.68</w:t>
            </w:r>
          </w:p>
        </w:tc>
        <w:tc>
          <w:tcPr>
            <w:tcW w:w="0" w:type="auto"/>
            <w:vAlign w:val="center"/>
            <w:hideMark/>
          </w:tcPr>
          <w:p w14:paraId="57680B9C" w14:textId="77777777" w:rsidR="00165F6F" w:rsidRPr="00537910" w:rsidRDefault="00165F6F" w:rsidP="00537910">
            <w:pPr>
              <w:pStyle w:val="NoSpacing"/>
              <w:jc w:val="center"/>
              <w:rPr>
                <w:rFonts w:ascii="Times New Roman" w:hAnsi="Times New Roman" w:cs="Times New Roman"/>
                <w:sz w:val="22"/>
                <w:szCs w:val="22"/>
              </w:rPr>
            </w:pPr>
            <w:r w:rsidRPr="00537910">
              <w:rPr>
                <w:rFonts w:ascii="Times New Roman" w:hAnsi="Times New Roman" w:cs="Times New Roman"/>
                <w:sz w:val="22"/>
                <w:szCs w:val="22"/>
              </w:rPr>
              <w:t>0.74</w:t>
            </w:r>
          </w:p>
        </w:tc>
        <w:tc>
          <w:tcPr>
            <w:tcW w:w="0" w:type="auto"/>
            <w:vAlign w:val="center"/>
            <w:hideMark/>
          </w:tcPr>
          <w:p w14:paraId="4D923730" w14:textId="77777777" w:rsidR="00165F6F" w:rsidRPr="00537910" w:rsidRDefault="00165F6F" w:rsidP="00537910">
            <w:pPr>
              <w:pStyle w:val="NoSpacing"/>
              <w:jc w:val="center"/>
              <w:rPr>
                <w:rFonts w:ascii="Times New Roman" w:hAnsi="Times New Roman" w:cs="Times New Roman"/>
                <w:sz w:val="22"/>
                <w:szCs w:val="22"/>
              </w:rPr>
            </w:pPr>
            <w:r w:rsidRPr="00537910">
              <w:rPr>
                <w:rFonts w:ascii="Times New Roman" w:hAnsi="Times New Roman" w:cs="Times New Roman"/>
                <w:sz w:val="22"/>
                <w:szCs w:val="22"/>
              </w:rPr>
              <w:t>..</w:t>
            </w:r>
          </w:p>
        </w:tc>
        <w:tc>
          <w:tcPr>
            <w:tcW w:w="0" w:type="auto"/>
            <w:vAlign w:val="center"/>
            <w:hideMark/>
          </w:tcPr>
          <w:p w14:paraId="7D5C0C44" w14:textId="77777777" w:rsidR="00165F6F" w:rsidRPr="00537910" w:rsidRDefault="00165F6F" w:rsidP="00537910">
            <w:pPr>
              <w:pStyle w:val="NoSpacing"/>
              <w:jc w:val="center"/>
              <w:rPr>
                <w:rFonts w:ascii="Times New Roman" w:hAnsi="Times New Roman" w:cs="Times New Roman"/>
                <w:sz w:val="22"/>
                <w:szCs w:val="22"/>
              </w:rPr>
            </w:pPr>
            <w:r w:rsidRPr="00537910">
              <w:rPr>
                <w:rFonts w:ascii="Times New Roman" w:hAnsi="Times New Roman" w:cs="Times New Roman"/>
                <w:sz w:val="22"/>
                <w:szCs w:val="22"/>
              </w:rPr>
              <w:t>N.A.</w:t>
            </w:r>
          </w:p>
        </w:tc>
        <w:tc>
          <w:tcPr>
            <w:tcW w:w="0" w:type="auto"/>
            <w:vAlign w:val="center"/>
            <w:hideMark/>
          </w:tcPr>
          <w:p w14:paraId="4F4F991E" w14:textId="77777777" w:rsidR="00165F6F" w:rsidRPr="00537910" w:rsidRDefault="00165F6F" w:rsidP="00537910">
            <w:pPr>
              <w:pStyle w:val="NoSpacing"/>
              <w:jc w:val="center"/>
              <w:rPr>
                <w:rFonts w:ascii="Times New Roman" w:hAnsi="Times New Roman" w:cs="Times New Roman"/>
                <w:sz w:val="22"/>
                <w:szCs w:val="22"/>
              </w:rPr>
            </w:pPr>
            <w:r w:rsidRPr="00537910">
              <w:rPr>
                <w:rFonts w:ascii="Times New Roman" w:hAnsi="Times New Roman" w:cs="Times New Roman"/>
                <w:sz w:val="22"/>
                <w:szCs w:val="22"/>
              </w:rPr>
              <w:t>0.13</w:t>
            </w:r>
          </w:p>
        </w:tc>
        <w:tc>
          <w:tcPr>
            <w:tcW w:w="0" w:type="auto"/>
            <w:vAlign w:val="center"/>
            <w:hideMark/>
          </w:tcPr>
          <w:p w14:paraId="3BB1FD06" w14:textId="77777777" w:rsidR="00165F6F" w:rsidRPr="00537910" w:rsidRDefault="00165F6F" w:rsidP="00537910">
            <w:pPr>
              <w:pStyle w:val="NoSpacing"/>
              <w:jc w:val="center"/>
              <w:rPr>
                <w:rFonts w:ascii="Times New Roman" w:hAnsi="Times New Roman" w:cs="Times New Roman"/>
                <w:sz w:val="22"/>
                <w:szCs w:val="22"/>
              </w:rPr>
            </w:pPr>
            <w:r w:rsidRPr="00537910">
              <w:rPr>
                <w:rFonts w:ascii="Times New Roman" w:hAnsi="Times New Roman" w:cs="Times New Roman"/>
                <w:sz w:val="22"/>
                <w:szCs w:val="22"/>
              </w:rPr>
              <w:t>..</w:t>
            </w:r>
          </w:p>
        </w:tc>
        <w:tc>
          <w:tcPr>
            <w:tcW w:w="0" w:type="auto"/>
            <w:vAlign w:val="center"/>
            <w:hideMark/>
          </w:tcPr>
          <w:p w14:paraId="3644A2F3" w14:textId="77777777" w:rsidR="00165F6F" w:rsidRPr="00537910" w:rsidRDefault="00165F6F" w:rsidP="00537910">
            <w:pPr>
              <w:pStyle w:val="NoSpacing"/>
              <w:jc w:val="center"/>
              <w:rPr>
                <w:rFonts w:ascii="Times New Roman" w:hAnsi="Times New Roman" w:cs="Times New Roman"/>
                <w:sz w:val="22"/>
                <w:szCs w:val="22"/>
              </w:rPr>
            </w:pPr>
            <w:r w:rsidRPr="00537910">
              <w:rPr>
                <w:rFonts w:ascii="Times New Roman" w:hAnsi="Times New Roman" w:cs="Times New Roman"/>
                <w:sz w:val="22"/>
                <w:szCs w:val="22"/>
              </w:rPr>
              <w:t>..</w:t>
            </w:r>
          </w:p>
        </w:tc>
        <w:tc>
          <w:tcPr>
            <w:tcW w:w="0" w:type="auto"/>
            <w:vAlign w:val="center"/>
            <w:hideMark/>
          </w:tcPr>
          <w:p w14:paraId="022C20F8" w14:textId="77777777" w:rsidR="00165F6F" w:rsidRPr="00537910" w:rsidRDefault="00165F6F" w:rsidP="00537910">
            <w:pPr>
              <w:pStyle w:val="NoSpacing"/>
              <w:jc w:val="center"/>
              <w:rPr>
                <w:rFonts w:ascii="Times New Roman" w:hAnsi="Times New Roman" w:cs="Times New Roman"/>
                <w:sz w:val="22"/>
                <w:szCs w:val="22"/>
              </w:rPr>
            </w:pPr>
            <w:r w:rsidRPr="00537910">
              <w:rPr>
                <w:rFonts w:ascii="Times New Roman" w:hAnsi="Times New Roman" w:cs="Times New Roman"/>
                <w:sz w:val="22"/>
                <w:szCs w:val="22"/>
              </w:rPr>
              <w:t>..</w:t>
            </w:r>
          </w:p>
        </w:tc>
      </w:tr>
      <w:tr w:rsidR="00165F6F" w:rsidRPr="00537910" w14:paraId="23EA7D6A" w14:textId="77777777" w:rsidTr="00537910">
        <w:tc>
          <w:tcPr>
            <w:tcW w:w="0" w:type="auto"/>
            <w:hideMark/>
          </w:tcPr>
          <w:p w14:paraId="098A1048" w14:textId="77777777" w:rsidR="00165F6F" w:rsidRPr="00537910" w:rsidRDefault="00165F6F" w:rsidP="00B77C0B">
            <w:pPr>
              <w:pStyle w:val="NoSpacing"/>
              <w:rPr>
                <w:rFonts w:ascii="Times New Roman" w:hAnsi="Times New Roman" w:cs="Times New Roman"/>
                <w:sz w:val="22"/>
                <w:szCs w:val="22"/>
              </w:rPr>
            </w:pPr>
            <w:r w:rsidRPr="00537910">
              <w:rPr>
                <w:rFonts w:ascii="Times New Roman" w:hAnsi="Times New Roman" w:cs="Times New Roman"/>
                <w:sz w:val="22"/>
                <w:szCs w:val="22"/>
              </w:rPr>
              <w:t>Bihar</w:t>
            </w:r>
          </w:p>
        </w:tc>
        <w:tc>
          <w:tcPr>
            <w:tcW w:w="0" w:type="auto"/>
            <w:vAlign w:val="center"/>
            <w:hideMark/>
          </w:tcPr>
          <w:p w14:paraId="109F40E6" w14:textId="77777777" w:rsidR="00165F6F" w:rsidRPr="00537910" w:rsidRDefault="00165F6F" w:rsidP="00537910">
            <w:pPr>
              <w:pStyle w:val="NoSpacing"/>
              <w:jc w:val="center"/>
              <w:rPr>
                <w:rFonts w:ascii="Times New Roman" w:hAnsi="Times New Roman" w:cs="Times New Roman"/>
                <w:sz w:val="22"/>
                <w:szCs w:val="22"/>
              </w:rPr>
            </w:pPr>
            <w:r w:rsidRPr="00537910">
              <w:rPr>
                <w:rFonts w:ascii="Times New Roman" w:hAnsi="Times New Roman" w:cs="Times New Roman"/>
                <w:sz w:val="22"/>
                <w:szCs w:val="22"/>
              </w:rPr>
              <w:t>135.17</w:t>
            </w:r>
          </w:p>
        </w:tc>
        <w:tc>
          <w:tcPr>
            <w:tcW w:w="0" w:type="auto"/>
            <w:vAlign w:val="center"/>
            <w:hideMark/>
          </w:tcPr>
          <w:p w14:paraId="48896782" w14:textId="77777777" w:rsidR="00165F6F" w:rsidRPr="00537910" w:rsidRDefault="00165F6F" w:rsidP="00537910">
            <w:pPr>
              <w:pStyle w:val="NoSpacing"/>
              <w:jc w:val="center"/>
              <w:rPr>
                <w:rFonts w:ascii="Times New Roman" w:hAnsi="Times New Roman" w:cs="Times New Roman"/>
                <w:sz w:val="22"/>
                <w:szCs w:val="22"/>
              </w:rPr>
            </w:pPr>
            <w:r w:rsidRPr="00537910">
              <w:rPr>
                <w:rFonts w:ascii="Times New Roman" w:hAnsi="Times New Roman" w:cs="Times New Roman"/>
                <w:sz w:val="22"/>
                <w:szCs w:val="22"/>
              </w:rPr>
              <w:t>15.67</w:t>
            </w:r>
          </w:p>
        </w:tc>
        <w:tc>
          <w:tcPr>
            <w:tcW w:w="0" w:type="auto"/>
            <w:vAlign w:val="center"/>
            <w:hideMark/>
          </w:tcPr>
          <w:p w14:paraId="5A54C9A8" w14:textId="77777777" w:rsidR="00165F6F" w:rsidRPr="00537910" w:rsidRDefault="00165F6F" w:rsidP="00537910">
            <w:pPr>
              <w:pStyle w:val="NoSpacing"/>
              <w:jc w:val="center"/>
              <w:rPr>
                <w:rFonts w:ascii="Times New Roman" w:hAnsi="Times New Roman" w:cs="Times New Roman"/>
                <w:sz w:val="22"/>
                <w:szCs w:val="22"/>
              </w:rPr>
            </w:pPr>
            <w:r w:rsidRPr="00537910">
              <w:rPr>
                <w:rFonts w:ascii="Times New Roman" w:hAnsi="Times New Roman" w:cs="Times New Roman"/>
                <w:sz w:val="22"/>
                <w:szCs w:val="22"/>
              </w:rPr>
              <w:t>13.22</w:t>
            </w:r>
          </w:p>
        </w:tc>
        <w:tc>
          <w:tcPr>
            <w:tcW w:w="0" w:type="auto"/>
            <w:vAlign w:val="center"/>
            <w:hideMark/>
          </w:tcPr>
          <w:p w14:paraId="01C90D4C" w14:textId="77777777" w:rsidR="00165F6F" w:rsidRPr="00537910" w:rsidRDefault="00165F6F" w:rsidP="00537910">
            <w:pPr>
              <w:pStyle w:val="NoSpacing"/>
              <w:jc w:val="center"/>
              <w:rPr>
                <w:rFonts w:ascii="Times New Roman" w:hAnsi="Times New Roman" w:cs="Times New Roman"/>
                <w:sz w:val="22"/>
                <w:szCs w:val="22"/>
              </w:rPr>
            </w:pPr>
            <w:r w:rsidRPr="00537910">
              <w:rPr>
                <w:rFonts w:ascii="Times New Roman" w:hAnsi="Times New Roman" w:cs="Times New Roman"/>
                <w:sz w:val="22"/>
                <w:szCs w:val="22"/>
              </w:rPr>
              <w:t>2.77</w:t>
            </w:r>
          </w:p>
        </w:tc>
        <w:tc>
          <w:tcPr>
            <w:tcW w:w="0" w:type="auto"/>
            <w:vAlign w:val="center"/>
            <w:hideMark/>
          </w:tcPr>
          <w:p w14:paraId="190FD93B" w14:textId="77777777" w:rsidR="00165F6F" w:rsidRPr="00537910" w:rsidRDefault="00165F6F" w:rsidP="00537910">
            <w:pPr>
              <w:pStyle w:val="NoSpacing"/>
              <w:jc w:val="center"/>
              <w:rPr>
                <w:rFonts w:ascii="Times New Roman" w:hAnsi="Times New Roman" w:cs="Times New Roman"/>
                <w:sz w:val="22"/>
                <w:szCs w:val="22"/>
              </w:rPr>
            </w:pPr>
            <w:r w:rsidRPr="00537910">
              <w:rPr>
                <w:rFonts w:ascii="Times New Roman" w:hAnsi="Times New Roman" w:cs="Times New Roman"/>
                <w:sz w:val="22"/>
                <w:szCs w:val="22"/>
              </w:rPr>
              <w:t>0.01</w:t>
            </w:r>
          </w:p>
        </w:tc>
        <w:tc>
          <w:tcPr>
            <w:tcW w:w="0" w:type="auto"/>
            <w:vAlign w:val="center"/>
            <w:hideMark/>
          </w:tcPr>
          <w:p w14:paraId="100D5DE4" w14:textId="77777777" w:rsidR="00165F6F" w:rsidRPr="00537910" w:rsidRDefault="00165F6F" w:rsidP="00537910">
            <w:pPr>
              <w:pStyle w:val="NoSpacing"/>
              <w:jc w:val="center"/>
              <w:rPr>
                <w:rFonts w:ascii="Times New Roman" w:hAnsi="Times New Roman" w:cs="Times New Roman"/>
                <w:sz w:val="22"/>
                <w:szCs w:val="22"/>
              </w:rPr>
            </w:pPr>
            <w:r w:rsidRPr="00537910">
              <w:rPr>
                <w:rFonts w:ascii="Times New Roman" w:hAnsi="Times New Roman" w:cs="Times New Roman"/>
                <w:sz w:val="22"/>
                <w:szCs w:val="22"/>
              </w:rPr>
              <w:t>6.96</w:t>
            </w:r>
          </w:p>
        </w:tc>
        <w:tc>
          <w:tcPr>
            <w:tcW w:w="0" w:type="auto"/>
            <w:vAlign w:val="center"/>
            <w:hideMark/>
          </w:tcPr>
          <w:p w14:paraId="6BD7B9CF" w14:textId="77777777" w:rsidR="00165F6F" w:rsidRPr="00537910" w:rsidRDefault="00165F6F" w:rsidP="00537910">
            <w:pPr>
              <w:pStyle w:val="NoSpacing"/>
              <w:jc w:val="center"/>
              <w:rPr>
                <w:rFonts w:ascii="Times New Roman" w:hAnsi="Times New Roman" w:cs="Times New Roman"/>
                <w:sz w:val="22"/>
                <w:szCs w:val="22"/>
              </w:rPr>
            </w:pPr>
            <w:r w:rsidRPr="00537910">
              <w:rPr>
                <w:rFonts w:ascii="Times New Roman" w:hAnsi="Times New Roman" w:cs="Times New Roman"/>
                <w:sz w:val="22"/>
                <w:szCs w:val="22"/>
              </w:rPr>
              <w:t>0.79</w:t>
            </w:r>
          </w:p>
        </w:tc>
        <w:tc>
          <w:tcPr>
            <w:tcW w:w="0" w:type="auto"/>
            <w:vAlign w:val="center"/>
            <w:hideMark/>
          </w:tcPr>
          <w:p w14:paraId="4E002D10" w14:textId="77777777" w:rsidR="00165F6F" w:rsidRPr="00537910" w:rsidRDefault="00165F6F" w:rsidP="00537910">
            <w:pPr>
              <w:pStyle w:val="NoSpacing"/>
              <w:jc w:val="center"/>
              <w:rPr>
                <w:rFonts w:ascii="Times New Roman" w:hAnsi="Times New Roman" w:cs="Times New Roman"/>
                <w:sz w:val="22"/>
                <w:szCs w:val="22"/>
              </w:rPr>
            </w:pPr>
            <w:r w:rsidRPr="00537910">
              <w:rPr>
                <w:rFonts w:ascii="Times New Roman" w:hAnsi="Times New Roman" w:cs="Times New Roman"/>
                <w:sz w:val="22"/>
                <w:szCs w:val="22"/>
              </w:rPr>
              <w:t>-8.08</w:t>
            </w:r>
          </w:p>
        </w:tc>
        <w:tc>
          <w:tcPr>
            <w:tcW w:w="0" w:type="auto"/>
            <w:vAlign w:val="center"/>
            <w:hideMark/>
          </w:tcPr>
          <w:p w14:paraId="77CDAA2F" w14:textId="77777777" w:rsidR="00165F6F" w:rsidRPr="00537910" w:rsidRDefault="00165F6F" w:rsidP="00537910">
            <w:pPr>
              <w:pStyle w:val="NoSpacing"/>
              <w:jc w:val="center"/>
              <w:rPr>
                <w:rFonts w:ascii="Times New Roman" w:hAnsi="Times New Roman" w:cs="Times New Roman"/>
                <w:sz w:val="22"/>
                <w:szCs w:val="22"/>
              </w:rPr>
            </w:pPr>
            <w:r w:rsidRPr="00537910">
              <w:rPr>
                <w:rFonts w:ascii="Times New Roman" w:hAnsi="Times New Roman" w:cs="Times New Roman"/>
                <w:sz w:val="22"/>
                <w:szCs w:val="22"/>
              </w:rPr>
              <w:t>-0.23</w:t>
            </w:r>
          </w:p>
        </w:tc>
        <w:tc>
          <w:tcPr>
            <w:tcW w:w="0" w:type="auto"/>
            <w:vAlign w:val="center"/>
            <w:hideMark/>
          </w:tcPr>
          <w:p w14:paraId="2806B214" w14:textId="77777777" w:rsidR="00165F6F" w:rsidRPr="00537910" w:rsidRDefault="00165F6F" w:rsidP="00537910">
            <w:pPr>
              <w:pStyle w:val="NoSpacing"/>
              <w:jc w:val="center"/>
              <w:rPr>
                <w:rFonts w:ascii="Times New Roman" w:hAnsi="Times New Roman" w:cs="Times New Roman"/>
                <w:sz w:val="22"/>
                <w:szCs w:val="22"/>
              </w:rPr>
            </w:pPr>
            <w:r w:rsidRPr="00537910">
              <w:rPr>
                <w:rFonts w:ascii="Times New Roman" w:hAnsi="Times New Roman" w:cs="Times New Roman"/>
                <w:sz w:val="22"/>
                <w:szCs w:val="22"/>
              </w:rPr>
              <w:t>-8.31</w:t>
            </w:r>
          </w:p>
        </w:tc>
      </w:tr>
      <w:tr w:rsidR="00165F6F" w:rsidRPr="00537910" w14:paraId="29435278" w14:textId="77777777" w:rsidTr="00537910">
        <w:tc>
          <w:tcPr>
            <w:tcW w:w="0" w:type="auto"/>
            <w:hideMark/>
          </w:tcPr>
          <w:p w14:paraId="75D9FE4E" w14:textId="77777777" w:rsidR="00165F6F" w:rsidRPr="00537910" w:rsidRDefault="00165F6F" w:rsidP="00B77C0B">
            <w:pPr>
              <w:pStyle w:val="NoSpacing"/>
              <w:rPr>
                <w:rFonts w:ascii="Times New Roman" w:hAnsi="Times New Roman" w:cs="Times New Roman"/>
                <w:sz w:val="22"/>
                <w:szCs w:val="22"/>
              </w:rPr>
            </w:pPr>
            <w:r w:rsidRPr="00537910">
              <w:rPr>
                <w:rFonts w:ascii="Times New Roman" w:hAnsi="Times New Roman" w:cs="Times New Roman"/>
                <w:sz w:val="22"/>
                <w:szCs w:val="22"/>
              </w:rPr>
              <w:t>Gujarat</w:t>
            </w:r>
          </w:p>
        </w:tc>
        <w:tc>
          <w:tcPr>
            <w:tcW w:w="0" w:type="auto"/>
            <w:vAlign w:val="center"/>
            <w:hideMark/>
          </w:tcPr>
          <w:p w14:paraId="46FDFC62" w14:textId="77777777" w:rsidR="00165F6F" w:rsidRPr="00537910" w:rsidRDefault="00165F6F" w:rsidP="00537910">
            <w:pPr>
              <w:pStyle w:val="NoSpacing"/>
              <w:jc w:val="center"/>
              <w:rPr>
                <w:rFonts w:ascii="Times New Roman" w:hAnsi="Times New Roman" w:cs="Times New Roman"/>
                <w:sz w:val="22"/>
                <w:szCs w:val="22"/>
              </w:rPr>
            </w:pPr>
            <w:r w:rsidRPr="00537910">
              <w:rPr>
                <w:rFonts w:ascii="Times New Roman" w:hAnsi="Times New Roman" w:cs="Times New Roman"/>
                <w:sz w:val="22"/>
                <w:szCs w:val="22"/>
              </w:rPr>
              <w:t>103.27</w:t>
            </w:r>
          </w:p>
        </w:tc>
        <w:tc>
          <w:tcPr>
            <w:tcW w:w="0" w:type="auto"/>
            <w:vAlign w:val="center"/>
            <w:hideMark/>
          </w:tcPr>
          <w:p w14:paraId="18C813CB" w14:textId="77777777" w:rsidR="00165F6F" w:rsidRPr="00537910" w:rsidRDefault="00165F6F" w:rsidP="00537910">
            <w:pPr>
              <w:pStyle w:val="NoSpacing"/>
              <w:jc w:val="center"/>
              <w:rPr>
                <w:rFonts w:ascii="Times New Roman" w:hAnsi="Times New Roman" w:cs="Times New Roman"/>
                <w:sz w:val="22"/>
                <w:szCs w:val="22"/>
              </w:rPr>
            </w:pPr>
            <w:r w:rsidRPr="00537910">
              <w:rPr>
                <w:rFonts w:ascii="Times New Roman" w:hAnsi="Times New Roman" w:cs="Times New Roman"/>
                <w:sz w:val="22"/>
                <w:szCs w:val="22"/>
              </w:rPr>
              <w:t>19.00</w:t>
            </w:r>
          </w:p>
        </w:tc>
        <w:tc>
          <w:tcPr>
            <w:tcW w:w="0" w:type="auto"/>
            <w:vAlign w:val="center"/>
            <w:hideMark/>
          </w:tcPr>
          <w:p w14:paraId="4EAC2491" w14:textId="77777777" w:rsidR="00165F6F" w:rsidRPr="00537910" w:rsidRDefault="00165F6F" w:rsidP="00537910">
            <w:pPr>
              <w:pStyle w:val="NoSpacing"/>
              <w:jc w:val="center"/>
              <w:rPr>
                <w:rFonts w:ascii="Times New Roman" w:hAnsi="Times New Roman" w:cs="Times New Roman"/>
                <w:sz w:val="22"/>
                <w:szCs w:val="22"/>
              </w:rPr>
            </w:pPr>
            <w:r w:rsidRPr="00537910">
              <w:rPr>
                <w:rFonts w:ascii="Times New Roman" w:hAnsi="Times New Roman" w:cs="Times New Roman"/>
                <w:sz w:val="22"/>
                <w:szCs w:val="22"/>
              </w:rPr>
              <w:t>11.66</w:t>
            </w:r>
          </w:p>
        </w:tc>
        <w:tc>
          <w:tcPr>
            <w:tcW w:w="0" w:type="auto"/>
            <w:vAlign w:val="center"/>
            <w:hideMark/>
          </w:tcPr>
          <w:p w14:paraId="3D03B601" w14:textId="77777777" w:rsidR="00165F6F" w:rsidRPr="00537910" w:rsidRDefault="00165F6F" w:rsidP="00537910">
            <w:pPr>
              <w:pStyle w:val="NoSpacing"/>
              <w:jc w:val="center"/>
              <w:rPr>
                <w:rFonts w:ascii="Times New Roman" w:hAnsi="Times New Roman" w:cs="Times New Roman"/>
                <w:sz w:val="22"/>
                <w:szCs w:val="22"/>
              </w:rPr>
            </w:pPr>
            <w:r w:rsidRPr="00537910">
              <w:rPr>
                <w:rFonts w:ascii="Times New Roman" w:hAnsi="Times New Roman" w:cs="Times New Roman"/>
                <w:sz w:val="22"/>
                <w:szCs w:val="22"/>
              </w:rPr>
              <w:t>3.54</w:t>
            </w:r>
          </w:p>
        </w:tc>
        <w:tc>
          <w:tcPr>
            <w:tcW w:w="0" w:type="auto"/>
            <w:vAlign w:val="center"/>
            <w:hideMark/>
          </w:tcPr>
          <w:p w14:paraId="526A0A58" w14:textId="77777777" w:rsidR="00165F6F" w:rsidRPr="00537910" w:rsidRDefault="00165F6F" w:rsidP="00537910">
            <w:pPr>
              <w:pStyle w:val="NoSpacing"/>
              <w:jc w:val="center"/>
              <w:rPr>
                <w:rFonts w:ascii="Times New Roman" w:hAnsi="Times New Roman" w:cs="Times New Roman"/>
                <w:sz w:val="22"/>
                <w:szCs w:val="22"/>
              </w:rPr>
            </w:pPr>
            <w:r w:rsidRPr="00537910">
              <w:rPr>
                <w:rFonts w:ascii="Times New Roman" w:hAnsi="Times New Roman" w:cs="Times New Roman"/>
                <w:sz w:val="22"/>
                <w:szCs w:val="22"/>
              </w:rPr>
              <w:t>0.50</w:t>
            </w:r>
          </w:p>
        </w:tc>
        <w:tc>
          <w:tcPr>
            <w:tcW w:w="0" w:type="auto"/>
            <w:vAlign w:val="center"/>
            <w:hideMark/>
          </w:tcPr>
          <w:p w14:paraId="491BC4D5" w14:textId="77777777" w:rsidR="00165F6F" w:rsidRPr="00537910" w:rsidRDefault="00165F6F" w:rsidP="00537910">
            <w:pPr>
              <w:pStyle w:val="NoSpacing"/>
              <w:jc w:val="center"/>
              <w:rPr>
                <w:rFonts w:ascii="Times New Roman" w:hAnsi="Times New Roman" w:cs="Times New Roman"/>
                <w:sz w:val="22"/>
                <w:szCs w:val="22"/>
              </w:rPr>
            </w:pPr>
            <w:r w:rsidRPr="00537910">
              <w:rPr>
                <w:rFonts w:ascii="Times New Roman" w:hAnsi="Times New Roman" w:cs="Times New Roman"/>
                <w:sz w:val="22"/>
                <w:szCs w:val="22"/>
              </w:rPr>
              <w:t>4.94</w:t>
            </w:r>
          </w:p>
        </w:tc>
        <w:tc>
          <w:tcPr>
            <w:tcW w:w="0" w:type="auto"/>
            <w:vAlign w:val="center"/>
            <w:hideMark/>
          </w:tcPr>
          <w:p w14:paraId="495B0AAD" w14:textId="77777777" w:rsidR="00165F6F" w:rsidRPr="00537910" w:rsidRDefault="00165F6F" w:rsidP="00537910">
            <w:pPr>
              <w:pStyle w:val="NoSpacing"/>
              <w:jc w:val="center"/>
              <w:rPr>
                <w:rFonts w:ascii="Times New Roman" w:hAnsi="Times New Roman" w:cs="Times New Roman"/>
                <w:sz w:val="22"/>
                <w:szCs w:val="22"/>
              </w:rPr>
            </w:pPr>
            <w:r w:rsidRPr="00537910">
              <w:rPr>
                <w:rFonts w:ascii="Times New Roman" w:hAnsi="Times New Roman" w:cs="Times New Roman"/>
                <w:sz w:val="22"/>
                <w:szCs w:val="22"/>
              </w:rPr>
              <w:t>0.83</w:t>
            </w:r>
          </w:p>
        </w:tc>
        <w:tc>
          <w:tcPr>
            <w:tcW w:w="0" w:type="auto"/>
            <w:vAlign w:val="center"/>
            <w:hideMark/>
          </w:tcPr>
          <w:p w14:paraId="44B56CE2" w14:textId="77777777" w:rsidR="00165F6F" w:rsidRPr="00537910" w:rsidRDefault="00165F6F" w:rsidP="00537910">
            <w:pPr>
              <w:pStyle w:val="NoSpacing"/>
              <w:jc w:val="center"/>
              <w:rPr>
                <w:rFonts w:ascii="Times New Roman" w:hAnsi="Times New Roman" w:cs="Times New Roman"/>
                <w:sz w:val="22"/>
                <w:szCs w:val="22"/>
              </w:rPr>
            </w:pPr>
            <w:r w:rsidRPr="00537910">
              <w:rPr>
                <w:rFonts w:ascii="Times New Roman" w:hAnsi="Times New Roman" w:cs="Times New Roman"/>
                <w:sz w:val="22"/>
                <w:szCs w:val="22"/>
              </w:rPr>
              <w:t>-2.47</w:t>
            </w:r>
          </w:p>
        </w:tc>
        <w:tc>
          <w:tcPr>
            <w:tcW w:w="0" w:type="auto"/>
            <w:vAlign w:val="center"/>
            <w:hideMark/>
          </w:tcPr>
          <w:p w14:paraId="7F1EF25D" w14:textId="77777777" w:rsidR="00165F6F" w:rsidRPr="00537910" w:rsidRDefault="00165F6F" w:rsidP="00537910">
            <w:pPr>
              <w:pStyle w:val="NoSpacing"/>
              <w:jc w:val="center"/>
              <w:rPr>
                <w:rFonts w:ascii="Times New Roman" w:hAnsi="Times New Roman" w:cs="Times New Roman"/>
                <w:sz w:val="22"/>
                <w:szCs w:val="22"/>
              </w:rPr>
            </w:pPr>
            <w:r w:rsidRPr="00537910">
              <w:rPr>
                <w:rFonts w:ascii="Times New Roman" w:hAnsi="Times New Roman" w:cs="Times New Roman"/>
                <w:sz w:val="22"/>
                <w:szCs w:val="22"/>
              </w:rPr>
              <w:t>..</w:t>
            </w:r>
          </w:p>
        </w:tc>
        <w:tc>
          <w:tcPr>
            <w:tcW w:w="0" w:type="auto"/>
            <w:vAlign w:val="center"/>
            <w:hideMark/>
          </w:tcPr>
          <w:p w14:paraId="6144D8F0" w14:textId="77777777" w:rsidR="00165F6F" w:rsidRPr="00537910" w:rsidRDefault="00165F6F" w:rsidP="00537910">
            <w:pPr>
              <w:pStyle w:val="NoSpacing"/>
              <w:jc w:val="center"/>
              <w:rPr>
                <w:rFonts w:ascii="Times New Roman" w:hAnsi="Times New Roman" w:cs="Times New Roman"/>
                <w:sz w:val="22"/>
                <w:szCs w:val="22"/>
              </w:rPr>
            </w:pPr>
            <w:r w:rsidRPr="00537910">
              <w:rPr>
                <w:rFonts w:ascii="Times New Roman" w:hAnsi="Times New Roman" w:cs="Times New Roman"/>
                <w:sz w:val="22"/>
                <w:szCs w:val="22"/>
              </w:rPr>
              <w:t>-2.47</w:t>
            </w:r>
          </w:p>
        </w:tc>
      </w:tr>
      <w:tr w:rsidR="00165F6F" w:rsidRPr="00537910" w14:paraId="15F10E27" w14:textId="77777777" w:rsidTr="00537910">
        <w:tc>
          <w:tcPr>
            <w:tcW w:w="0" w:type="auto"/>
            <w:hideMark/>
          </w:tcPr>
          <w:p w14:paraId="16BF92EC" w14:textId="77777777" w:rsidR="00165F6F" w:rsidRPr="00537910" w:rsidRDefault="00165F6F" w:rsidP="00B77C0B">
            <w:pPr>
              <w:pStyle w:val="NoSpacing"/>
              <w:rPr>
                <w:rFonts w:ascii="Times New Roman" w:hAnsi="Times New Roman" w:cs="Times New Roman"/>
                <w:sz w:val="22"/>
                <w:szCs w:val="22"/>
              </w:rPr>
            </w:pPr>
            <w:r w:rsidRPr="00537910">
              <w:rPr>
                <w:rFonts w:ascii="Times New Roman" w:hAnsi="Times New Roman" w:cs="Times New Roman"/>
                <w:sz w:val="22"/>
                <w:szCs w:val="22"/>
              </w:rPr>
              <w:t>Haryana</w:t>
            </w:r>
          </w:p>
        </w:tc>
        <w:tc>
          <w:tcPr>
            <w:tcW w:w="0" w:type="auto"/>
            <w:vAlign w:val="center"/>
            <w:hideMark/>
          </w:tcPr>
          <w:p w14:paraId="4E742C98" w14:textId="77777777" w:rsidR="00165F6F" w:rsidRPr="00537910" w:rsidRDefault="00165F6F" w:rsidP="00537910">
            <w:pPr>
              <w:pStyle w:val="NoSpacing"/>
              <w:jc w:val="center"/>
              <w:rPr>
                <w:rFonts w:ascii="Times New Roman" w:hAnsi="Times New Roman" w:cs="Times New Roman"/>
                <w:sz w:val="22"/>
                <w:szCs w:val="22"/>
              </w:rPr>
            </w:pPr>
            <w:r w:rsidRPr="00537910">
              <w:rPr>
                <w:rFonts w:ascii="Times New Roman" w:hAnsi="Times New Roman" w:cs="Times New Roman"/>
                <w:sz w:val="22"/>
                <w:szCs w:val="22"/>
              </w:rPr>
              <w:t>13.15</w:t>
            </w:r>
          </w:p>
        </w:tc>
        <w:tc>
          <w:tcPr>
            <w:tcW w:w="0" w:type="auto"/>
            <w:vAlign w:val="center"/>
            <w:hideMark/>
          </w:tcPr>
          <w:p w14:paraId="59DF9A49" w14:textId="77777777" w:rsidR="00165F6F" w:rsidRPr="00537910" w:rsidRDefault="00165F6F" w:rsidP="00537910">
            <w:pPr>
              <w:pStyle w:val="NoSpacing"/>
              <w:jc w:val="center"/>
              <w:rPr>
                <w:rFonts w:ascii="Times New Roman" w:hAnsi="Times New Roman" w:cs="Times New Roman"/>
                <w:sz w:val="22"/>
                <w:szCs w:val="22"/>
              </w:rPr>
            </w:pPr>
            <w:r w:rsidRPr="00537910">
              <w:rPr>
                <w:rFonts w:ascii="Times New Roman" w:hAnsi="Times New Roman" w:cs="Times New Roman"/>
                <w:sz w:val="22"/>
                <w:szCs w:val="22"/>
              </w:rPr>
              <w:t>7.60</w:t>
            </w:r>
          </w:p>
        </w:tc>
        <w:tc>
          <w:tcPr>
            <w:tcW w:w="0" w:type="auto"/>
            <w:vAlign w:val="center"/>
            <w:hideMark/>
          </w:tcPr>
          <w:p w14:paraId="722EBEE7" w14:textId="77777777" w:rsidR="00165F6F" w:rsidRPr="00537910" w:rsidRDefault="00165F6F" w:rsidP="00537910">
            <w:pPr>
              <w:pStyle w:val="NoSpacing"/>
              <w:jc w:val="center"/>
              <w:rPr>
                <w:rFonts w:ascii="Times New Roman" w:hAnsi="Times New Roman" w:cs="Times New Roman"/>
                <w:sz w:val="22"/>
                <w:szCs w:val="22"/>
              </w:rPr>
            </w:pPr>
            <w:r w:rsidRPr="00537910">
              <w:rPr>
                <w:rFonts w:ascii="Times New Roman" w:hAnsi="Times New Roman" w:cs="Times New Roman"/>
                <w:sz w:val="22"/>
                <w:szCs w:val="22"/>
              </w:rPr>
              <w:t>2.70</w:t>
            </w:r>
          </w:p>
        </w:tc>
        <w:tc>
          <w:tcPr>
            <w:tcW w:w="0" w:type="auto"/>
            <w:vAlign w:val="center"/>
            <w:hideMark/>
          </w:tcPr>
          <w:p w14:paraId="065EA2B3" w14:textId="77777777" w:rsidR="00165F6F" w:rsidRPr="00537910" w:rsidRDefault="00165F6F" w:rsidP="00537910">
            <w:pPr>
              <w:pStyle w:val="NoSpacing"/>
              <w:jc w:val="center"/>
              <w:rPr>
                <w:rFonts w:ascii="Times New Roman" w:hAnsi="Times New Roman" w:cs="Times New Roman"/>
                <w:sz w:val="22"/>
                <w:szCs w:val="22"/>
              </w:rPr>
            </w:pPr>
            <w:r w:rsidRPr="00537910">
              <w:rPr>
                <w:rFonts w:ascii="Times New Roman" w:hAnsi="Times New Roman" w:cs="Times New Roman"/>
                <w:sz w:val="22"/>
                <w:szCs w:val="22"/>
              </w:rPr>
              <w:t>1.11</w:t>
            </w:r>
          </w:p>
        </w:tc>
        <w:tc>
          <w:tcPr>
            <w:tcW w:w="0" w:type="auto"/>
            <w:vAlign w:val="center"/>
            <w:hideMark/>
          </w:tcPr>
          <w:p w14:paraId="77946D63" w14:textId="77777777" w:rsidR="00165F6F" w:rsidRPr="00537910" w:rsidRDefault="00165F6F" w:rsidP="00537910">
            <w:pPr>
              <w:pStyle w:val="NoSpacing"/>
              <w:jc w:val="center"/>
              <w:rPr>
                <w:rFonts w:ascii="Times New Roman" w:hAnsi="Times New Roman" w:cs="Times New Roman"/>
                <w:sz w:val="22"/>
                <w:szCs w:val="22"/>
              </w:rPr>
            </w:pPr>
            <w:r w:rsidRPr="00537910">
              <w:rPr>
                <w:rFonts w:ascii="Times New Roman" w:hAnsi="Times New Roman" w:cs="Times New Roman"/>
                <w:sz w:val="22"/>
                <w:szCs w:val="22"/>
              </w:rPr>
              <w:t>0.29</w:t>
            </w:r>
          </w:p>
        </w:tc>
        <w:tc>
          <w:tcPr>
            <w:tcW w:w="0" w:type="auto"/>
            <w:vAlign w:val="center"/>
            <w:hideMark/>
          </w:tcPr>
          <w:p w14:paraId="1435704B" w14:textId="77777777" w:rsidR="00165F6F" w:rsidRPr="00537910" w:rsidRDefault="00165F6F" w:rsidP="00537910">
            <w:pPr>
              <w:pStyle w:val="NoSpacing"/>
              <w:jc w:val="center"/>
              <w:rPr>
                <w:rFonts w:ascii="Times New Roman" w:hAnsi="Times New Roman" w:cs="Times New Roman"/>
                <w:sz w:val="22"/>
                <w:szCs w:val="22"/>
              </w:rPr>
            </w:pPr>
            <w:r w:rsidRPr="00537910">
              <w:rPr>
                <w:rFonts w:ascii="Times New Roman" w:hAnsi="Times New Roman" w:cs="Times New Roman"/>
                <w:sz w:val="22"/>
                <w:szCs w:val="22"/>
              </w:rPr>
              <w:t>3.10</w:t>
            </w:r>
          </w:p>
        </w:tc>
        <w:tc>
          <w:tcPr>
            <w:tcW w:w="0" w:type="auto"/>
            <w:vAlign w:val="center"/>
            <w:hideMark/>
          </w:tcPr>
          <w:p w14:paraId="6121B480" w14:textId="77777777" w:rsidR="00165F6F" w:rsidRPr="00537910" w:rsidRDefault="00165F6F" w:rsidP="00537910">
            <w:pPr>
              <w:pStyle w:val="NoSpacing"/>
              <w:jc w:val="center"/>
              <w:rPr>
                <w:rFonts w:ascii="Times New Roman" w:hAnsi="Times New Roman" w:cs="Times New Roman"/>
                <w:sz w:val="22"/>
                <w:szCs w:val="22"/>
              </w:rPr>
            </w:pPr>
            <w:r w:rsidRPr="00537910">
              <w:rPr>
                <w:rFonts w:ascii="Times New Roman" w:hAnsi="Times New Roman" w:cs="Times New Roman"/>
                <w:sz w:val="22"/>
                <w:szCs w:val="22"/>
              </w:rPr>
              <w:t>0.10</w:t>
            </w:r>
          </w:p>
        </w:tc>
        <w:tc>
          <w:tcPr>
            <w:tcW w:w="0" w:type="auto"/>
            <w:vAlign w:val="center"/>
            <w:hideMark/>
          </w:tcPr>
          <w:p w14:paraId="651688BC" w14:textId="77777777" w:rsidR="00165F6F" w:rsidRPr="00537910" w:rsidRDefault="00165F6F" w:rsidP="00537910">
            <w:pPr>
              <w:pStyle w:val="NoSpacing"/>
              <w:jc w:val="center"/>
              <w:rPr>
                <w:rFonts w:ascii="Times New Roman" w:hAnsi="Times New Roman" w:cs="Times New Roman"/>
                <w:sz w:val="22"/>
                <w:szCs w:val="22"/>
              </w:rPr>
            </w:pPr>
            <w:r w:rsidRPr="00537910">
              <w:rPr>
                <w:rFonts w:ascii="Times New Roman" w:hAnsi="Times New Roman" w:cs="Times New Roman"/>
                <w:sz w:val="22"/>
                <w:szCs w:val="22"/>
              </w:rPr>
              <w:t>+0.30</w:t>
            </w:r>
          </w:p>
        </w:tc>
        <w:tc>
          <w:tcPr>
            <w:tcW w:w="0" w:type="auto"/>
            <w:vAlign w:val="center"/>
            <w:hideMark/>
          </w:tcPr>
          <w:p w14:paraId="2C888644" w14:textId="77777777" w:rsidR="00165F6F" w:rsidRPr="00537910" w:rsidRDefault="00165F6F" w:rsidP="00537910">
            <w:pPr>
              <w:pStyle w:val="NoSpacing"/>
              <w:jc w:val="center"/>
              <w:rPr>
                <w:rFonts w:ascii="Times New Roman" w:hAnsi="Times New Roman" w:cs="Times New Roman"/>
                <w:sz w:val="22"/>
                <w:szCs w:val="22"/>
              </w:rPr>
            </w:pPr>
            <w:r w:rsidRPr="00537910">
              <w:rPr>
                <w:rFonts w:ascii="Times New Roman" w:hAnsi="Times New Roman" w:cs="Times New Roman"/>
                <w:sz w:val="22"/>
                <w:szCs w:val="22"/>
              </w:rPr>
              <w:t>-0.13</w:t>
            </w:r>
          </w:p>
        </w:tc>
        <w:tc>
          <w:tcPr>
            <w:tcW w:w="0" w:type="auto"/>
            <w:vAlign w:val="center"/>
            <w:hideMark/>
          </w:tcPr>
          <w:p w14:paraId="0C939CBF" w14:textId="77777777" w:rsidR="00165F6F" w:rsidRPr="00537910" w:rsidRDefault="00165F6F" w:rsidP="00537910">
            <w:pPr>
              <w:pStyle w:val="NoSpacing"/>
              <w:jc w:val="center"/>
              <w:rPr>
                <w:rFonts w:ascii="Times New Roman" w:hAnsi="Times New Roman" w:cs="Times New Roman"/>
                <w:sz w:val="22"/>
                <w:szCs w:val="22"/>
              </w:rPr>
            </w:pPr>
            <w:r w:rsidRPr="00537910">
              <w:rPr>
                <w:rFonts w:ascii="Times New Roman" w:hAnsi="Times New Roman" w:cs="Times New Roman"/>
                <w:sz w:val="22"/>
                <w:szCs w:val="22"/>
              </w:rPr>
              <w:t>+0.17</w:t>
            </w:r>
          </w:p>
        </w:tc>
      </w:tr>
      <w:tr w:rsidR="00165F6F" w:rsidRPr="00537910" w14:paraId="2BAE2480" w14:textId="77777777" w:rsidTr="00537910">
        <w:tc>
          <w:tcPr>
            <w:tcW w:w="0" w:type="auto"/>
            <w:hideMark/>
          </w:tcPr>
          <w:p w14:paraId="5BB89B93" w14:textId="77777777" w:rsidR="00165F6F" w:rsidRPr="00537910" w:rsidRDefault="00165F6F" w:rsidP="00B77C0B">
            <w:pPr>
              <w:pStyle w:val="NoSpacing"/>
              <w:rPr>
                <w:rFonts w:ascii="Times New Roman" w:hAnsi="Times New Roman" w:cs="Times New Roman"/>
                <w:sz w:val="22"/>
                <w:szCs w:val="22"/>
              </w:rPr>
            </w:pPr>
            <w:r w:rsidRPr="00537910">
              <w:rPr>
                <w:rFonts w:ascii="Times New Roman" w:hAnsi="Times New Roman" w:cs="Times New Roman"/>
                <w:sz w:val="22"/>
                <w:szCs w:val="22"/>
              </w:rPr>
              <w:t>Jammu and Kashmir</w:t>
            </w:r>
          </w:p>
        </w:tc>
        <w:tc>
          <w:tcPr>
            <w:tcW w:w="0" w:type="auto"/>
            <w:vAlign w:val="center"/>
            <w:hideMark/>
          </w:tcPr>
          <w:p w14:paraId="54353316" w14:textId="77777777" w:rsidR="00165F6F" w:rsidRPr="00537910" w:rsidRDefault="00165F6F" w:rsidP="00537910">
            <w:pPr>
              <w:pStyle w:val="NoSpacing"/>
              <w:jc w:val="center"/>
              <w:rPr>
                <w:rFonts w:ascii="Times New Roman" w:hAnsi="Times New Roman" w:cs="Times New Roman"/>
                <w:sz w:val="22"/>
                <w:szCs w:val="22"/>
              </w:rPr>
            </w:pPr>
            <w:r w:rsidRPr="00537910">
              <w:rPr>
                <w:rFonts w:ascii="Times New Roman" w:hAnsi="Times New Roman" w:cs="Times New Roman"/>
                <w:sz w:val="22"/>
                <w:szCs w:val="22"/>
              </w:rPr>
              <w:t>..</w:t>
            </w:r>
          </w:p>
        </w:tc>
        <w:tc>
          <w:tcPr>
            <w:tcW w:w="0" w:type="auto"/>
            <w:vAlign w:val="center"/>
            <w:hideMark/>
          </w:tcPr>
          <w:p w14:paraId="17F5C749" w14:textId="77777777" w:rsidR="00165F6F" w:rsidRPr="00537910" w:rsidRDefault="00165F6F" w:rsidP="00537910">
            <w:pPr>
              <w:pStyle w:val="NoSpacing"/>
              <w:jc w:val="center"/>
              <w:rPr>
                <w:rFonts w:ascii="Times New Roman" w:hAnsi="Times New Roman" w:cs="Times New Roman"/>
                <w:sz w:val="22"/>
                <w:szCs w:val="22"/>
              </w:rPr>
            </w:pPr>
            <w:r w:rsidRPr="00537910">
              <w:rPr>
                <w:rFonts w:ascii="Times New Roman" w:hAnsi="Times New Roman" w:cs="Times New Roman"/>
                <w:sz w:val="22"/>
                <w:szCs w:val="22"/>
              </w:rPr>
              <w:t>..</w:t>
            </w:r>
          </w:p>
        </w:tc>
        <w:tc>
          <w:tcPr>
            <w:tcW w:w="0" w:type="auto"/>
            <w:vAlign w:val="center"/>
            <w:hideMark/>
          </w:tcPr>
          <w:p w14:paraId="4AEAEB66" w14:textId="77777777" w:rsidR="00165F6F" w:rsidRPr="00537910" w:rsidRDefault="00165F6F" w:rsidP="00537910">
            <w:pPr>
              <w:pStyle w:val="NoSpacing"/>
              <w:jc w:val="center"/>
              <w:rPr>
                <w:rFonts w:ascii="Times New Roman" w:hAnsi="Times New Roman" w:cs="Times New Roman"/>
                <w:sz w:val="22"/>
                <w:szCs w:val="22"/>
              </w:rPr>
            </w:pPr>
            <w:r w:rsidRPr="00537910">
              <w:rPr>
                <w:rFonts w:ascii="Times New Roman" w:hAnsi="Times New Roman" w:cs="Times New Roman"/>
                <w:sz w:val="22"/>
                <w:szCs w:val="22"/>
              </w:rPr>
              <w:t>..</w:t>
            </w:r>
          </w:p>
        </w:tc>
        <w:tc>
          <w:tcPr>
            <w:tcW w:w="0" w:type="auto"/>
            <w:vAlign w:val="center"/>
            <w:hideMark/>
          </w:tcPr>
          <w:p w14:paraId="31558484" w14:textId="77777777" w:rsidR="00165F6F" w:rsidRPr="00537910" w:rsidRDefault="00165F6F" w:rsidP="00537910">
            <w:pPr>
              <w:pStyle w:val="NoSpacing"/>
              <w:jc w:val="center"/>
              <w:rPr>
                <w:rFonts w:ascii="Times New Roman" w:hAnsi="Times New Roman" w:cs="Times New Roman"/>
                <w:sz w:val="22"/>
                <w:szCs w:val="22"/>
              </w:rPr>
            </w:pPr>
            <w:r w:rsidRPr="00537910">
              <w:rPr>
                <w:rFonts w:ascii="Times New Roman" w:hAnsi="Times New Roman" w:cs="Times New Roman"/>
                <w:sz w:val="22"/>
                <w:szCs w:val="22"/>
              </w:rPr>
              <w:t>..</w:t>
            </w:r>
          </w:p>
        </w:tc>
        <w:tc>
          <w:tcPr>
            <w:tcW w:w="0" w:type="auto"/>
            <w:vAlign w:val="center"/>
            <w:hideMark/>
          </w:tcPr>
          <w:p w14:paraId="38C99B56" w14:textId="77777777" w:rsidR="00165F6F" w:rsidRPr="00537910" w:rsidRDefault="00165F6F" w:rsidP="00537910">
            <w:pPr>
              <w:pStyle w:val="NoSpacing"/>
              <w:jc w:val="center"/>
              <w:rPr>
                <w:rFonts w:ascii="Times New Roman" w:hAnsi="Times New Roman" w:cs="Times New Roman"/>
                <w:sz w:val="22"/>
                <w:szCs w:val="22"/>
              </w:rPr>
            </w:pPr>
            <w:r w:rsidRPr="00537910">
              <w:rPr>
                <w:rFonts w:ascii="Times New Roman" w:hAnsi="Times New Roman" w:cs="Times New Roman"/>
                <w:sz w:val="22"/>
                <w:szCs w:val="22"/>
              </w:rPr>
              <w:t>..</w:t>
            </w:r>
          </w:p>
        </w:tc>
        <w:tc>
          <w:tcPr>
            <w:tcW w:w="0" w:type="auto"/>
            <w:vAlign w:val="center"/>
            <w:hideMark/>
          </w:tcPr>
          <w:p w14:paraId="295914D9" w14:textId="77777777" w:rsidR="00165F6F" w:rsidRPr="00537910" w:rsidRDefault="00165F6F" w:rsidP="00537910">
            <w:pPr>
              <w:pStyle w:val="NoSpacing"/>
              <w:jc w:val="center"/>
              <w:rPr>
                <w:rFonts w:ascii="Times New Roman" w:hAnsi="Times New Roman" w:cs="Times New Roman"/>
                <w:sz w:val="22"/>
                <w:szCs w:val="22"/>
              </w:rPr>
            </w:pPr>
            <w:r w:rsidRPr="00537910">
              <w:rPr>
                <w:rFonts w:ascii="Times New Roman" w:hAnsi="Times New Roman" w:cs="Times New Roman"/>
                <w:sz w:val="22"/>
                <w:szCs w:val="22"/>
              </w:rPr>
              <w:t>..</w:t>
            </w:r>
          </w:p>
        </w:tc>
        <w:tc>
          <w:tcPr>
            <w:tcW w:w="0" w:type="auto"/>
            <w:vAlign w:val="center"/>
            <w:hideMark/>
          </w:tcPr>
          <w:p w14:paraId="5981A42B" w14:textId="77777777" w:rsidR="00165F6F" w:rsidRPr="00537910" w:rsidRDefault="00165F6F" w:rsidP="00537910">
            <w:pPr>
              <w:pStyle w:val="NoSpacing"/>
              <w:jc w:val="center"/>
              <w:rPr>
                <w:rFonts w:ascii="Times New Roman" w:hAnsi="Times New Roman" w:cs="Times New Roman"/>
                <w:sz w:val="22"/>
                <w:szCs w:val="22"/>
              </w:rPr>
            </w:pPr>
            <w:r w:rsidRPr="00537910">
              <w:rPr>
                <w:rFonts w:ascii="Times New Roman" w:hAnsi="Times New Roman" w:cs="Times New Roman"/>
                <w:sz w:val="22"/>
                <w:szCs w:val="22"/>
              </w:rPr>
              <w:t>..</w:t>
            </w:r>
          </w:p>
        </w:tc>
        <w:tc>
          <w:tcPr>
            <w:tcW w:w="0" w:type="auto"/>
            <w:vAlign w:val="center"/>
            <w:hideMark/>
          </w:tcPr>
          <w:p w14:paraId="5D83EF91" w14:textId="77777777" w:rsidR="00165F6F" w:rsidRPr="00537910" w:rsidRDefault="00165F6F" w:rsidP="00537910">
            <w:pPr>
              <w:pStyle w:val="NoSpacing"/>
              <w:jc w:val="center"/>
              <w:rPr>
                <w:rFonts w:ascii="Times New Roman" w:hAnsi="Times New Roman" w:cs="Times New Roman"/>
                <w:sz w:val="22"/>
                <w:szCs w:val="22"/>
              </w:rPr>
            </w:pPr>
            <w:r w:rsidRPr="00537910">
              <w:rPr>
                <w:rFonts w:ascii="Times New Roman" w:hAnsi="Times New Roman" w:cs="Times New Roman"/>
                <w:sz w:val="22"/>
                <w:szCs w:val="22"/>
              </w:rPr>
              <w:t>..</w:t>
            </w:r>
          </w:p>
        </w:tc>
        <w:tc>
          <w:tcPr>
            <w:tcW w:w="0" w:type="auto"/>
            <w:vAlign w:val="center"/>
            <w:hideMark/>
          </w:tcPr>
          <w:p w14:paraId="298A87BC" w14:textId="77777777" w:rsidR="00165F6F" w:rsidRPr="00537910" w:rsidRDefault="00165F6F" w:rsidP="00537910">
            <w:pPr>
              <w:pStyle w:val="NoSpacing"/>
              <w:jc w:val="center"/>
              <w:rPr>
                <w:rFonts w:ascii="Times New Roman" w:hAnsi="Times New Roman" w:cs="Times New Roman"/>
                <w:sz w:val="22"/>
                <w:szCs w:val="22"/>
              </w:rPr>
            </w:pPr>
            <w:r w:rsidRPr="00537910">
              <w:rPr>
                <w:rFonts w:ascii="Times New Roman" w:hAnsi="Times New Roman" w:cs="Times New Roman"/>
                <w:sz w:val="22"/>
                <w:szCs w:val="22"/>
              </w:rPr>
              <w:t>..</w:t>
            </w:r>
          </w:p>
        </w:tc>
        <w:tc>
          <w:tcPr>
            <w:tcW w:w="0" w:type="auto"/>
            <w:vAlign w:val="center"/>
            <w:hideMark/>
          </w:tcPr>
          <w:p w14:paraId="42860D04" w14:textId="77777777" w:rsidR="00165F6F" w:rsidRPr="00537910" w:rsidRDefault="00165F6F" w:rsidP="00537910">
            <w:pPr>
              <w:pStyle w:val="NoSpacing"/>
              <w:jc w:val="center"/>
              <w:rPr>
                <w:rFonts w:ascii="Times New Roman" w:hAnsi="Times New Roman" w:cs="Times New Roman"/>
                <w:sz w:val="22"/>
                <w:szCs w:val="22"/>
              </w:rPr>
            </w:pPr>
            <w:r w:rsidRPr="00537910">
              <w:rPr>
                <w:rFonts w:ascii="Times New Roman" w:hAnsi="Times New Roman" w:cs="Times New Roman"/>
                <w:sz w:val="22"/>
                <w:szCs w:val="22"/>
              </w:rPr>
              <w:t>..</w:t>
            </w:r>
          </w:p>
        </w:tc>
      </w:tr>
      <w:tr w:rsidR="00165F6F" w:rsidRPr="00537910" w14:paraId="149C77BD" w14:textId="77777777" w:rsidTr="00537910">
        <w:tc>
          <w:tcPr>
            <w:tcW w:w="0" w:type="auto"/>
            <w:hideMark/>
          </w:tcPr>
          <w:p w14:paraId="52BB185E" w14:textId="77777777" w:rsidR="00165F6F" w:rsidRPr="00537910" w:rsidRDefault="00165F6F" w:rsidP="00B77C0B">
            <w:pPr>
              <w:pStyle w:val="NoSpacing"/>
              <w:rPr>
                <w:rFonts w:ascii="Times New Roman" w:hAnsi="Times New Roman" w:cs="Times New Roman"/>
                <w:sz w:val="22"/>
                <w:szCs w:val="22"/>
              </w:rPr>
            </w:pPr>
            <w:r w:rsidRPr="00537910">
              <w:rPr>
                <w:rFonts w:ascii="Times New Roman" w:hAnsi="Times New Roman" w:cs="Times New Roman"/>
                <w:sz w:val="22"/>
                <w:szCs w:val="22"/>
              </w:rPr>
              <w:t>Kerala</w:t>
            </w:r>
          </w:p>
        </w:tc>
        <w:tc>
          <w:tcPr>
            <w:tcW w:w="0" w:type="auto"/>
            <w:vAlign w:val="center"/>
            <w:hideMark/>
          </w:tcPr>
          <w:p w14:paraId="6EA2AE21" w14:textId="77777777" w:rsidR="00165F6F" w:rsidRPr="00537910" w:rsidRDefault="00165F6F" w:rsidP="00537910">
            <w:pPr>
              <w:pStyle w:val="NoSpacing"/>
              <w:jc w:val="center"/>
              <w:rPr>
                <w:rFonts w:ascii="Times New Roman" w:hAnsi="Times New Roman" w:cs="Times New Roman"/>
                <w:sz w:val="22"/>
                <w:szCs w:val="22"/>
              </w:rPr>
            </w:pPr>
            <w:r w:rsidRPr="00537910">
              <w:rPr>
                <w:rFonts w:ascii="Times New Roman" w:hAnsi="Times New Roman" w:cs="Times New Roman"/>
                <w:sz w:val="22"/>
                <w:szCs w:val="22"/>
              </w:rPr>
              <w:t>107.74</w:t>
            </w:r>
          </w:p>
        </w:tc>
        <w:tc>
          <w:tcPr>
            <w:tcW w:w="0" w:type="auto"/>
            <w:vAlign w:val="center"/>
            <w:hideMark/>
          </w:tcPr>
          <w:p w14:paraId="71FF1BF9" w14:textId="77777777" w:rsidR="00165F6F" w:rsidRPr="00537910" w:rsidRDefault="00165F6F" w:rsidP="00537910">
            <w:pPr>
              <w:pStyle w:val="NoSpacing"/>
              <w:jc w:val="center"/>
              <w:rPr>
                <w:rFonts w:ascii="Times New Roman" w:hAnsi="Times New Roman" w:cs="Times New Roman"/>
                <w:sz w:val="22"/>
                <w:szCs w:val="22"/>
              </w:rPr>
            </w:pPr>
            <w:r w:rsidRPr="00537910">
              <w:rPr>
                <w:rFonts w:ascii="Times New Roman" w:hAnsi="Times New Roman" w:cs="Times New Roman"/>
                <w:sz w:val="22"/>
                <w:szCs w:val="22"/>
              </w:rPr>
              <w:t>9.42</w:t>
            </w:r>
          </w:p>
        </w:tc>
        <w:tc>
          <w:tcPr>
            <w:tcW w:w="0" w:type="auto"/>
            <w:vAlign w:val="center"/>
            <w:hideMark/>
          </w:tcPr>
          <w:p w14:paraId="62E1268D" w14:textId="77777777" w:rsidR="00165F6F" w:rsidRPr="00537910" w:rsidRDefault="00165F6F" w:rsidP="00537910">
            <w:pPr>
              <w:pStyle w:val="NoSpacing"/>
              <w:jc w:val="center"/>
              <w:rPr>
                <w:rFonts w:ascii="Times New Roman" w:hAnsi="Times New Roman" w:cs="Times New Roman"/>
                <w:sz w:val="22"/>
                <w:szCs w:val="22"/>
              </w:rPr>
            </w:pPr>
            <w:r w:rsidRPr="00537910">
              <w:rPr>
                <w:rFonts w:ascii="Times New Roman" w:hAnsi="Times New Roman" w:cs="Times New Roman"/>
                <w:sz w:val="22"/>
                <w:szCs w:val="22"/>
              </w:rPr>
              <w:t>4.26</w:t>
            </w:r>
          </w:p>
        </w:tc>
        <w:tc>
          <w:tcPr>
            <w:tcW w:w="0" w:type="auto"/>
            <w:vAlign w:val="center"/>
            <w:hideMark/>
          </w:tcPr>
          <w:p w14:paraId="7290DC3E" w14:textId="77777777" w:rsidR="00165F6F" w:rsidRPr="00537910" w:rsidRDefault="00165F6F" w:rsidP="00537910">
            <w:pPr>
              <w:pStyle w:val="NoSpacing"/>
              <w:jc w:val="center"/>
              <w:rPr>
                <w:rFonts w:ascii="Times New Roman" w:hAnsi="Times New Roman" w:cs="Times New Roman"/>
                <w:sz w:val="22"/>
                <w:szCs w:val="22"/>
              </w:rPr>
            </w:pPr>
            <w:r w:rsidRPr="00537910">
              <w:rPr>
                <w:rFonts w:ascii="Times New Roman" w:hAnsi="Times New Roman" w:cs="Times New Roman"/>
                <w:sz w:val="22"/>
                <w:szCs w:val="22"/>
              </w:rPr>
              <w:t>1.90</w:t>
            </w:r>
          </w:p>
        </w:tc>
        <w:tc>
          <w:tcPr>
            <w:tcW w:w="0" w:type="auto"/>
            <w:vAlign w:val="center"/>
            <w:hideMark/>
          </w:tcPr>
          <w:p w14:paraId="3A5E1B61" w14:textId="77777777" w:rsidR="00165F6F" w:rsidRPr="00537910" w:rsidRDefault="00165F6F" w:rsidP="00537910">
            <w:pPr>
              <w:pStyle w:val="NoSpacing"/>
              <w:jc w:val="center"/>
              <w:rPr>
                <w:rFonts w:ascii="Times New Roman" w:hAnsi="Times New Roman" w:cs="Times New Roman"/>
                <w:sz w:val="22"/>
                <w:szCs w:val="22"/>
              </w:rPr>
            </w:pPr>
            <w:r w:rsidRPr="00537910">
              <w:rPr>
                <w:rFonts w:ascii="Times New Roman" w:hAnsi="Times New Roman" w:cs="Times New Roman"/>
                <w:sz w:val="22"/>
                <w:szCs w:val="22"/>
              </w:rPr>
              <w:t>0.05</w:t>
            </w:r>
          </w:p>
        </w:tc>
        <w:tc>
          <w:tcPr>
            <w:tcW w:w="0" w:type="auto"/>
            <w:vAlign w:val="center"/>
            <w:hideMark/>
          </w:tcPr>
          <w:p w14:paraId="474D1E99" w14:textId="77777777" w:rsidR="00165F6F" w:rsidRPr="00537910" w:rsidRDefault="00165F6F" w:rsidP="00537910">
            <w:pPr>
              <w:pStyle w:val="NoSpacing"/>
              <w:jc w:val="center"/>
              <w:rPr>
                <w:rFonts w:ascii="Times New Roman" w:hAnsi="Times New Roman" w:cs="Times New Roman"/>
                <w:sz w:val="22"/>
                <w:szCs w:val="22"/>
              </w:rPr>
            </w:pPr>
            <w:r w:rsidRPr="00537910">
              <w:rPr>
                <w:rFonts w:ascii="Times New Roman" w:hAnsi="Times New Roman" w:cs="Times New Roman"/>
                <w:sz w:val="22"/>
                <w:szCs w:val="22"/>
              </w:rPr>
              <w:t>5.18</w:t>
            </w:r>
          </w:p>
        </w:tc>
        <w:tc>
          <w:tcPr>
            <w:tcW w:w="0" w:type="auto"/>
            <w:vAlign w:val="center"/>
            <w:hideMark/>
          </w:tcPr>
          <w:p w14:paraId="749B9C8F" w14:textId="77777777" w:rsidR="00165F6F" w:rsidRPr="00537910" w:rsidRDefault="00165F6F" w:rsidP="00537910">
            <w:pPr>
              <w:pStyle w:val="NoSpacing"/>
              <w:jc w:val="center"/>
              <w:rPr>
                <w:rFonts w:ascii="Times New Roman" w:hAnsi="Times New Roman" w:cs="Times New Roman"/>
                <w:sz w:val="22"/>
                <w:szCs w:val="22"/>
              </w:rPr>
            </w:pPr>
            <w:r w:rsidRPr="00537910">
              <w:rPr>
                <w:rFonts w:ascii="Times New Roman" w:hAnsi="Times New Roman" w:cs="Times New Roman"/>
                <w:sz w:val="22"/>
                <w:szCs w:val="22"/>
              </w:rPr>
              <w:t>0.23</w:t>
            </w:r>
          </w:p>
        </w:tc>
        <w:tc>
          <w:tcPr>
            <w:tcW w:w="0" w:type="auto"/>
            <w:vAlign w:val="center"/>
            <w:hideMark/>
          </w:tcPr>
          <w:p w14:paraId="10D21702" w14:textId="77777777" w:rsidR="00165F6F" w:rsidRPr="00537910" w:rsidRDefault="00165F6F" w:rsidP="00537910">
            <w:pPr>
              <w:pStyle w:val="NoSpacing"/>
              <w:jc w:val="center"/>
              <w:rPr>
                <w:rFonts w:ascii="Times New Roman" w:hAnsi="Times New Roman" w:cs="Times New Roman"/>
                <w:sz w:val="22"/>
                <w:szCs w:val="22"/>
              </w:rPr>
            </w:pPr>
            <w:r w:rsidRPr="00537910">
              <w:rPr>
                <w:rFonts w:ascii="Times New Roman" w:hAnsi="Times New Roman" w:cs="Times New Roman"/>
                <w:sz w:val="22"/>
                <w:szCs w:val="22"/>
              </w:rPr>
              <w:t>-2.20</w:t>
            </w:r>
          </w:p>
        </w:tc>
        <w:tc>
          <w:tcPr>
            <w:tcW w:w="0" w:type="auto"/>
            <w:vAlign w:val="center"/>
            <w:hideMark/>
          </w:tcPr>
          <w:p w14:paraId="66C96158" w14:textId="77777777" w:rsidR="00165F6F" w:rsidRPr="00537910" w:rsidRDefault="00165F6F" w:rsidP="00537910">
            <w:pPr>
              <w:pStyle w:val="NoSpacing"/>
              <w:jc w:val="center"/>
              <w:rPr>
                <w:rFonts w:ascii="Times New Roman" w:hAnsi="Times New Roman" w:cs="Times New Roman"/>
                <w:sz w:val="22"/>
                <w:szCs w:val="22"/>
              </w:rPr>
            </w:pPr>
            <w:r w:rsidRPr="00537910">
              <w:rPr>
                <w:rFonts w:ascii="Times New Roman" w:hAnsi="Times New Roman" w:cs="Times New Roman"/>
                <w:sz w:val="22"/>
                <w:szCs w:val="22"/>
              </w:rPr>
              <w:t>-0.49</w:t>
            </w:r>
          </w:p>
        </w:tc>
        <w:tc>
          <w:tcPr>
            <w:tcW w:w="0" w:type="auto"/>
            <w:vAlign w:val="center"/>
            <w:hideMark/>
          </w:tcPr>
          <w:p w14:paraId="56A860F5" w14:textId="77777777" w:rsidR="00165F6F" w:rsidRPr="00537910" w:rsidRDefault="00165F6F" w:rsidP="00537910">
            <w:pPr>
              <w:pStyle w:val="NoSpacing"/>
              <w:jc w:val="center"/>
              <w:rPr>
                <w:rFonts w:ascii="Times New Roman" w:hAnsi="Times New Roman" w:cs="Times New Roman"/>
                <w:sz w:val="22"/>
                <w:szCs w:val="22"/>
              </w:rPr>
            </w:pPr>
            <w:r w:rsidRPr="00537910">
              <w:rPr>
                <w:rFonts w:ascii="Times New Roman" w:hAnsi="Times New Roman" w:cs="Times New Roman"/>
                <w:sz w:val="22"/>
                <w:szCs w:val="22"/>
              </w:rPr>
              <w:t>-2.69</w:t>
            </w:r>
          </w:p>
        </w:tc>
      </w:tr>
      <w:tr w:rsidR="00165F6F" w:rsidRPr="00537910" w14:paraId="08E36651" w14:textId="77777777" w:rsidTr="00537910">
        <w:tc>
          <w:tcPr>
            <w:tcW w:w="0" w:type="auto"/>
            <w:hideMark/>
          </w:tcPr>
          <w:p w14:paraId="51AA543E" w14:textId="77777777" w:rsidR="00165F6F" w:rsidRPr="00537910" w:rsidRDefault="00165F6F" w:rsidP="00B77C0B">
            <w:pPr>
              <w:pStyle w:val="NoSpacing"/>
              <w:rPr>
                <w:rFonts w:ascii="Times New Roman" w:hAnsi="Times New Roman" w:cs="Times New Roman"/>
                <w:sz w:val="22"/>
                <w:szCs w:val="22"/>
              </w:rPr>
            </w:pPr>
            <w:r w:rsidRPr="00537910">
              <w:rPr>
                <w:rFonts w:ascii="Times New Roman" w:hAnsi="Times New Roman" w:cs="Times New Roman"/>
                <w:sz w:val="22"/>
                <w:szCs w:val="22"/>
              </w:rPr>
              <w:t>Madhya Pradesh</w:t>
            </w:r>
          </w:p>
        </w:tc>
        <w:tc>
          <w:tcPr>
            <w:tcW w:w="0" w:type="auto"/>
            <w:vAlign w:val="center"/>
            <w:hideMark/>
          </w:tcPr>
          <w:p w14:paraId="0E6EAC69" w14:textId="77777777" w:rsidR="00165F6F" w:rsidRPr="00537910" w:rsidRDefault="00165F6F" w:rsidP="00537910">
            <w:pPr>
              <w:pStyle w:val="NoSpacing"/>
              <w:jc w:val="center"/>
              <w:rPr>
                <w:rFonts w:ascii="Times New Roman" w:hAnsi="Times New Roman" w:cs="Times New Roman"/>
                <w:sz w:val="22"/>
                <w:szCs w:val="22"/>
              </w:rPr>
            </w:pPr>
            <w:r w:rsidRPr="00537910">
              <w:rPr>
                <w:rFonts w:ascii="Times New Roman" w:hAnsi="Times New Roman" w:cs="Times New Roman"/>
                <w:sz w:val="22"/>
                <w:szCs w:val="22"/>
              </w:rPr>
              <w:t>131.26</w:t>
            </w:r>
          </w:p>
        </w:tc>
        <w:tc>
          <w:tcPr>
            <w:tcW w:w="0" w:type="auto"/>
            <w:vAlign w:val="center"/>
            <w:hideMark/>
          </w:tcPr>
          <w:p w14:paraId="46D90279" w14:textId="77777777" w:rsidR="00165F6F" w:rsidRPr="00537910" w:rsidRDefault="00165F6F" w:rsidP="00537910">
            <w:pPr>
              <w:pStyle w:val="NoSpacing"/>
              <w:jc w:val="center"/>
              <w:rPr>
                <w:rFonts w:ascii="Times New Roman" w:hAnsi="Times New Roman" w:cs="Times New Roman"/>
                <w:sz w:val="22"/>
                <w:szCs w:val="22"/>
              </w:rPr>
            </w:pPr>
            <w:r w:rsidRPr="00537910">
              <w:rPr>
                <w:rFonts w:ascii="Times New Roman" w:hAnsi="Times New Roman" w:cs="Times New Roman"/>
                <w:sz w:val="22"/>
                <w:szCs w:val="22"/>
              </w:rPr>
              <w:t>17.97</w:t>
            </w:r>
          </w:p>
        </w:tc>
        <w:tc>
          <w:tcPr>
            <w:tcW w:w="0" w:type="auto"/>
            <w:vAlign w:val="center"/>
            <w:hideMark/>
          </w:tcPr>
          <w:p w14:paraId="0E40BCFE" w14:textId="77777777" w:rsidR="00165F6F" w:rsidRPr="00537910" w:rsidRDefault="00165F6F" w:rsidP="00537910">
            <w:pPr>
              <w:pStyle w:val="NoSpacing"/>
              <w:jc w:val="center"/>
              <w:rPr>
                <w:rFonts w:ascii="Times New Roman" w:hAnsi="Times New Roman" w:cs="Times New Roman"/>
                <w:sz w:val="22"/>
                <w:szCs w:val="22"/>
              </w:rPr>
            </w:pPr>
            <w:r w:rsidRPr="00537910">
              <w:rPr>
                <w:rFonts w:ascii="Times New Roman" w:hAnsi="Times New Roman" w:cs="Times New Roman"/>
                <w:sz w:val="22"/>
                <w:szCs w:val="22"/>
              </w:rPr>
              <w:t>9.23</w:t>
            </w:r>
          </w:p>
        </w:tc>
        <w:tc>
          <w:tcPr>
            <w:tcW w:w="0" w:type="auto"/>
            <w:vAlign w:val="center"/>
            <w:hideMark/>
          </w:tcPr>
          <w:p w14:paraId="649F185D" w14:textId="77777777" w:rsidR="00165F6F" w:rsidRPr="00537910" w:rsidRDefault="00165F6F" w:rsidP="00537910">
            <w:pPr>
              <w:pStyle w:val="NoSpacing"/>
              <w:jc w:val="center"/>
              <w:rPr>
                <w:rFonts w:ascii="Times New Roman" w:hAnsi="Times New Roman" w:cs="Times New Roman"/>
                <w:sz w:val="22"/>
                <w:szCs w:val="22"/>
              </w:rPr>
            </w:pPr>
            <w:r w:rsidRPr="00537910">
              <w:rPr>
                <w:rFonts w:ascii="Times New Roman" w:hAnsi="Times New Roman" w:cs="Times New Roman"/>
                <w:sz w:val="22"/>
                <w:szCs w:val="22"/>
              </w:rPr>
              <w:t>2.93</w:t>
            </w:r>
          </w:p>
        </w:tc>
        <w:tc>
          <w:tcPr>
            <w:tcW w:w="0" w:type="auto"/>
            <w:vAlign w:val="center"/>
            <w:hideMark/>
          </w:tcPr>
          <w:p w14:paraId="46769B8D" w14:textId="77777777" w:rsidR="00165F6F" w:rsidRPr="00537910" w:rsidRDefault="00165F6F" w:rsidP="00537910">
            <w:pPr>
              <w:pStyle w:val="NoSpacing"/>
              <w:jc w:val="center"/>
              <w:rPr>
                <w:rFonts w:ascii="Times New Roman" w:hAnsi="Times New Roman" w:cs="Times New Roman"/>
                <w:sz w:val="22"/>
                <w:szCs w:val="22"/>
              </w:rPr>
            </w:pPr>
            <w:r w:rsidRPr="00537910">
              <w:rPr>
                <w:rFonts w:ascii="Times New Roman" w:hAnsi="Times New Roman" w:cs="Times New Roman"/>
                <w:sz w:val="22"/>
                <w:szCs w:val="22"/>
              </w:rPr>
              <w:t>0.43</w:t>
            </w:r>
          </w:p>
        </w:tc>
        <w:tc>
          <w:tcPr>
            <w:tcW w:w="0" w:type="auto"/>
            <w:vAlign w:val="center"/>
            <w:hideMark/>
          </w:tcPr>
          <w:p w14:paraId="4F3A3C0D" w14:textId="77777777" w:rsidR="00165F6F" w:rsidRPr="00537910" w:rsidRDefault="00165F6F" w:rsidP="00537910">
            <w:pPr>
              <w:pStyle w:val="NoSpacing"/>
              <w:jc w:val="center"/>
              <w:rPr>
                <w:rFonts w:ascii="Times New Roman" w:hAnsi="Times New Roman" w:cs="Times New Roman"/>
                <w:sz w:val="22"/>
                <w:szCs w:val="22"/>
              </w:rPr>
            </w:pPr>
            <w:r w:rsidRPr="00537910">
              <w:rPr>
                <w:rFonts w:ascii="Times New Roman" w:hAnsi="Times New Roman" w:cs="Times New Roman"/>
                <w:sz w:val="22"/>
                <w:szCs w:val="22"/>
              </w:rPr>
              <w:t>5.38</w:t>
            </w:r>
          </w:p>
        </w:tc>
        <w:tc>
          <w:tcPr>
            <w:tcW w:w="0" w:type="auto"/>
            <w:vAlign w:val="center"/>
            <w:hideMark/>
          </w:tcPr>
          <w:p w14:paraId="081E91AC" w14:textId="77777777" w:rsidR="00165F6F" w:rsidRPr="00537910" w:rsidRDefault="00165F6F" w:rsidP="00537910">
            <w:pPr>
              <w:pStyle w:val="NoSpacing"/>
              <w:jc w:val="center"/>
              <w:rPr>
                <w:rFonts w:ascii="Times New Roman" w:hAnsi="Times New Roman" w:cs="Times New Roman"/>
                <w:sz w:val="22"/>
                <w:szCs w:val="22"/>
              </w:rPr>
            </w:pPr>
            <w:r w:rsidRPr="00537910">
              <w:rPr>
                <w:rFonts w:ascii="Times New Roman" w:hAnsi="Times New Roman" w:cs="Times New Roman"/>
                <w:sz w:val="22"/>
                <w:szCs w:val="22"/>
              </w:rPr>
              <w:t>..</w:t>
            </w:r>
          </w:p>
        </w:tc>
        <w:tc>
          <w:tcPr>
            <w:tcW w:w="0" w:type="auto"/>
            <w:vAlign w:val="center"/>
            <w:hideMark/>
          </w:tcPr>
          <w:p w14:paraId="17C729E3" w14:textId="77777777" w:rsidR="00165F6F" w:rsidRPr="00537910" w:rsidRDefault="00165F6F" w:rsidP="00537910">
            <w:pPr>
              <w:pStyle w:val="NoSpacing"/>
              <w:jc w:val="center"/>
              <w:rPr>
                <w:rFonts w:ascii="Times New Roman" w:hAnsi="Times New Roman" w:cs="Times New Roman"/>
                <w:sz w:val="22"/>
                <w:szCs w:val="22"/>
              </w:rPr>
            </w:pPr>
            <w:r w:rsidRPr="00537910">
              <w:rPr>
                <w:rFonts w:ascii="Times New Roman" w:hAnsi="Times New Roman" w:cs="Times New Roman"/>
                <w:sz w:val="22"/>
                <w:szCs w:val="22"/>
              </w:rPr>
              <w:t>..</w:t>
            </w:r>
          </w:p>
        </w:tc>
        <w:tc>
          <w:tcPr>
            <w:tcW w:w="0" w:type="auto"/>
            <w:vAlign w:val="center"/>
            <w:hideMark/>
          </w:tcPr>
          <w:p w14:paraId="4E9E97FF" w14:textId="77777777" w:rsidR="00165F6F" w:rsidRPr="00537910" w:rsidRDefault="00165F6F" w:rsidP="00537910">
            <w:pPr>
              <w:pStyle w:val="NoSpacing"/>
              <w:jc w:val="center"/>
              <w:rPr>
                <w:rFonts w:ascii="Times New Roman" w:hAnsi="Times New Roman" w:cs="Times New Roman"/>
                <w:sz w:val="22"/>
                <w:szCs w:val="22"/>
              </w:rPr>
            </w:pPr>
            <w:r w:rsidRPr="00537910">
              <w:rPr>
                <w:rFonts w:ascii="Times New Roman" w:hAnsi="Times New Roman" w:cs="Times New Roman"/>
                <w:sz w:val="22"/>
                <w:szCs w:val="22"/>
              </w:rPr>
              <w:t>..</w:t>
            </w:r>
          </w:p>
        </w:tc>
        <w:tc>
          <w:tcPr>
            <w:tcW w:w="0" w:type="auto"/>
            <w:vAlign w:val="center"/>
            <w:hideMark/>
          </w:tcPr>
          <w:p w14:paraId="3539E3C2" w14:textId="77777777" w:rsidR="00165F6F" w:rsidRPr="00537910" w:rsidRDefault="00165F6F" w:rsidP="00537910">
            <w:pPr>
              <w:pStyle w:val="NoSpacing"/>
              <w:jc w:val="center"/>
              <w:rPr>
                <w:rFonts w:ascii="Times New Roman" w:hAnsi="Times New Roman" w:cs="Times New Roman"/>
                <w:sz w:val="22"/>
                <w:szCs w:val="22"/>
              </w:rPr>
            </w:pPr>
            <w:r w:rsidRPr="00537910">
              <w:rPr>
                <w:rFonts w:ascii="Times New Roman" w:hAnsi="Times New Roman" w:cs="Times New Roman"/>
                <w:sz w:val="22"/>
                <w:szCs w:val="22"/>
              </w:rPr>
              <w:t>..</w:t>
            </w:r>
          </w:p>
        </w:tc>
      </w:tr>
      <w:tr w:rsidR="00165F6F" w:rsidRPr="00537910" w14:paraId="1DE53436" w14:textId="77777777" w:rsidTr="00537910">
        <w:tc>
          <w:tcPr>
            <w:tcW w:w="0" w:type="auto"/>
            <w:hideMark/>
          </w:tcPr>
          <w:p w14:paraId="16D8E6ED" w14:textId="77777777" w:rsidR="00165F6F" w:rsidRPr="00537910" w:rsidRDefault="00165F6F" w:rsidP="00B77C0B">
            <w:pPr>
              <w:pStyle w:val="NoSpacing"/>
              <w:rPr>
                <w:rFonts w:ascii="Times New Roman" w:hAnsi="Times New Roman" w:cs="Times New Roman"/>
                <w:sz w:val="22"/>
                <w:szCs w:val="22"/>
              </w:rPr>
            </w:pPr>
            <w:r w:rsidRPr="00537910">
              <w:rPr>
                <w:rFonts w:ascii="Times New Roman" w:hAnsi="Times New Roman" w:cs="Times New Roman"/>
                <w:sz w:val="22"/>
                <w:szCs w:val="22"/>
              </w:rPr>
              <w:t>Maharashtra</w:t>
            </w:r>
          </w:p>
        </w:tc>
        <w:tc>
          <w:tcPr>
            <w:tcW w:w="0" w:type="auto"/>
            <w:vAlign w:val="center"/>
            <w:hideMark/>
          </w:tcPr>
          <w:p w14:paraId="1A1FE01A" w14:textId="77777777" w:rsidR="00165F6F" w:rsidRPr="00537910" w:rsidRDefault="00165F6F" w:rsidP="00537910">
            <w:pPr>
              <w:pStyle w:val="NoSpacing"/>
              <w:jc w:val="center"/>
              <w:rPr>
                <w:rFonts w:ascii="Times New Roman" w:hAnsi="Times New Roman" w:cs="Times New Roman"/>
                <w:sz w:val="22"/>
                <w:szCs w:val="22"/>
              </w:rPr>
            </w:pPr>
            <w:r w:rsidRPr="00537910">
              <w:rPr>
                <w:rFonts w:ascii="Times New Roman" w:hAnsi="Times New Roman" w:cs="Times New Roman"/>
                <w:sz w:val="22"/>
                <w:szCs w:val="22"/>
              </w:rPr>
              <w:t>125.92</w:t>
            </w:r>
          </w:p>
        </w:tc>
        <w:tc>
          <w:tcPr>
            <w:tcW w:w="0" w:type="auto"/>
            <w:vAlign w:val="center"/>
            <w:hideMark/>
          </w:tcPr>
          <w:p w14:paraId="53E4FC4B" w14:textId="77777777" w:rsidR="00165F6F" w:rsidRPr="00537910" w:rsidRDefault="00165F6F" w:rsidP="00537910">
            <w:pPr>
              <w:pStyle w:val="NoSpacing"/>
              <w:jc w:val="center"/>
              <w:rPr>
                <w:rFonts w:ascii="Times New Roman" w:hAnsi="Times New Roman" w:cs="Times New Roman"/>
                <w:sz w:val="22"/>
                <w:szCs w:val="22"/>
              </w:rPr>
            </w:pPr>
            <w:r w:rsidRPr="00537910">
              <w:rPr>
                <w:rFonts w:ascii="Times New Roman" w:hAnsi="Times New Roman" w:cs="Times New Roman"/>
                <w:sz w:val="22"/>
                <w:szCs w:val="22"/>
              </w:rPr>
              <w:t>28.09</w:t>
            </w:r>
          </w:p>
        </w:tc>
        <w:tc>
          <w:tcPr>
            <w:tcW w:w="0" w:type="auto"/>
            <w:vAlign w:val="center"/>
            <w:hideMark/>
          </w:tcPr>
          <w:p w14:paraId="12AFA197" w14:textId="77777777" w:rsidR="00165F6F" w:rsidRPr="00537910" w:rsidRDefault="00165F6F" w:rsidP="00537910">
            <w:pPr>
              <w:pStyle w:val="NoSpacing"/>
              <w:jc w:val="center"/>
              <w:rPr>
                <w:rFonts w:ascii="Times New Roman" w:hAnsi="Times New Roman" w:cs="Times New Roman"/>
                <w:sz w:val="22"/>
                <w:szCs w:val="22"/>
              </w:rPr>
            </w:pPr>
            <w:r w:rsidRPr="00537910">
              <w:rPr>
                <w:rFonts w:ascii="Times New Roman" w:hAnsi="Times New Roman" w:cs="Times New Roman"/>
                <w:sz w:val="22"/>
                <w:szCs w:val="22"/>
              </w:rPr>
              <w:t>18.52</w:t>
            </w:r>
          </w:p>
        </w:tc>
        <w:tc>
          <w:tcPr>
            <w:tcW w:w="0" w:type="auto"/>
            <w:vAlign w:val="center"/>
            <w:hideMark/>
          </w:tcPr>
          <w:p w14:paraId="76D6D73F" w14:textId="77777777" w:rsidR="00165F6F" w:rsidRPr="00537910" w:rsidRDefault="00165F6F" w:rsidP="00537910">
            <w:pPr>
              <w:pStyle w:val="NoSpacing"/>
              <w:jc w:val="center"/>
              <w:rPr>
                <w:rFonts w:ascii="Times New Roman" w:hAnsi="Times New Roman" w:cs="Times New Roman"/>
                <w:sz w:val="22"/>
                <w:szCs w:val="22"/>
              </w:rPr>
            </w:pPr>
            <w:r w:rsidRPr="00537910">
              <w:rPr>
                <w:rFonts w:ascii="Times New Roman" w:hAnsi="Times New Roman" w:cs="Times New Roman"/>
                <w:sz w:val="22"/>
                <w:szCs w:val="22"/>
              </w:rPr>
              <w:t>3.25</w:t>
            </w:r>
          </w:p>
        </w:tc>
        <w:tc>
          <w:tcPr>
            <w:tcW w:w="0" w:type="auto"/>
            <w:vAlign w:val="center"/>
            <w:hideMark/>
          </w:tcPr>
          <w:p w14:paraId="2B0C9156" w14:textId="77777777" w:rsidR="00165F6F" w:rsidRPr="00537910" w:rsidRDefault="00165F6F" w:rsidP="00537910">
            <w:pPr>
              <w:pStyle w:val="NoSpacing"/>
              <w:jc w:val="center"/>
              <w:rPr>
                <w:rFonts w:ascii="Times New Roman" w:hAnsi="Times New Roman" w:cs="Times New Roman"/>
                <w:sz w:val="22"/>
                <w:szCs w:val="22"/>
              </w:rPr>
            </w:pPr>
            <w:r w:rsidRPr="00537910">
              <w:rPr>
                <w:rFonts w:ascii="Times New Roman" w:hAnsi="Times New Roman" w:cs="Times New Roman"/>
                <w:sz w:val="22"/>
                <w:szCs w:val="22"/>
              </w:rPr>
              <w:t>0.51</w:t>
            </w:r>
          </w:p>
        </w:tc>
        <w:tc>
          <w:tcPr>
            <w:tcW w:w="0" w:type="auto"/>
            <w:vAlign w:val="center"/>
            <w:hideMark/>
          </w:tcPr>
          <w:p w14:paraId="1C30570D" w14:textId="77777777" w:rsidR="00165F6F" w:rsidRPr="00537910" w:rsidRDefault="00165F6F" w:rsidP="00537910">
            <w:pPr>
              <w:pStyle w:val="NoSpacing"/>
              <w:jc w:val="center"/>
              <w:rPr>
                <w:rFonts w:ascii="Times New Roman" w:hAnsi="Times New Roman" w:cs="Times New Roman"/>
                <w:sz w:val="22"/>
                <w:szCs w:val="22"/>
              </w:rPr>
            </w:pPr>
            <w:r w:rsidRPr="00537910">
              <w:rPr>
                <w:rFonts w:ascii="Times New Roman" w:hAnsi="Times New Roman" w:cs="Times New Roman"/>
                <w:sz w:val="22"/>
                <w:szCs w:val="22"/>
              </w:rPr>
              <w:t>3.80</w:t>
            </w:r>
          </w:p>
        </w:tc>
        <w:tc>
          <w:tcPr>
            <w:tcW w:w="0" w:type="auto"/>
            <w:vAlign w:val="center"/>
            <w:hideMark/>
          </w:tcPr>
          <w:p w14:paraId="05885A27" w14:textId="77777777" w:rsidR="00165F6F" w:rsidRPr="00537910" w:rsidRDefault="00165F6F" w:rsidP="00537910">
            <w:pPr>
              <w:pStyle w:val="NoSpacing"/>
              <w:jc w:val="center"/>
              <w:rPr>
                <w:rFonts w:ascii="Times New Roman" w:hAnsi="Times New Roman" w:cs="Times New Roman"/>
                <w:sz w:val="22"/>
                <w:szCs w:val="22"/>
              </w:rPr>
            </w:pPr>
            <w:r w:rsidRPr="00537910">
              <w:rPr>
                <w:rFonts w:ascii="Times New Roman" w:hAnsi="Times New Roman" w:cs="Times New Roman"/>
                <w:sz w:val="22"/>
                <w:szCs w:val="22"/>
              </w:rPr>
              <w:t>-0.09</w:t>
            </w:r>
          </w:p>
        </w:tc>
        <w:tc>
          <w:tcPr>
            <w:tcW w:w="0" w:type="auto"/>
            <w:vAlign w:val="center"/>
            <w:hideMark/>
          </w:tcPr>
          <w:p w14:paraId="5AF74822" w14:textId="77777777" w:rsidR="00165F6F" w:rsidRPr="00537910" w:rsidRDefault="00165F6F" w:rsidP="00537910">
            <w:pPr>
              <w:pStyle w:val="NoSpacing"/>
              <w:jc w:val="center"/>
              <w:rPr>
                <w:rFonts w:ascii="Times New Roman" w:hAnsi="Times New Roman" w:cs="Times New Roman"/>
                <w:sz w:val="22"/>
                <w:szCs w:val="22"/>
              </w:rPr>
            </w:pPr>
            <w:r w:rsidRPr="00537910">
              <w:rPr>
                <w:rFonts w:ascii="Times New Roman" w:hAnsi="Times New Roman" w:cs="Times New Roman"/>
                <w:sz w:val="22"/>
                <w:szCs w:val="22"/>
              </w:rPr>
              <w:t>+2.10</w:t>
            </w:r>
          </w:p>
        </w:tc>
        <w:tc>
          <w:tcPr>
            <w:tcW w:w="0" w:type="auto"/>
            <w:vAlign w:val="center"/>
            <w:hideMark/>
          </w:tcPr>
          <w:p w14:paraId="5B972282" w14:textId="77777777" w:rsidR="00165F6F" w:rsidRPr="00537910" w:rsidRDefault="00165F6F" w:rsidP="00537910">
            <w:pPr>
              <w:pStyle w:val="NoSpacing"/>
              <w:jc w:val="center"/>
              <w:rPr>
                <w:rFonts w:ascii="Times New Roman" w:hAnsi="Times New Roman" w:cs="Times New Roman"/>
                <w:sz w:val="22"/>
                <w:szCs w:val="22"/>
              </w:rPr>
            </w:pPr>
            <w:r w:rsidRPr="00537910">
              <w:rPr>
                <w:rFonts w:ascii="Times New Roman" w:hAnsi="Times New Roman" w:cs="Times New Roman"/>
                <w:sz w:val="22"/>
                <w:szCs w:val="22"/>
              </w:rPr>
              <w:t>-1.14</w:t>
            </w:r>
          </w:p>
        </w:tc>
        <w:tc>
          <w:tcPr>
            <w:tcW w:w="0" w:type="auto"/>
            <w:vAlign w:val="center"/>
            <w:hideMark/>
          </w:tcPr>
          <w:p w14:paraId="5013AD1E" w14:textId="77777777" w:rsidR="00165F6F" w:rsidRPr="00537910" w:rsidRDefault="00165F6F" w:rsidP="00537910">
            <w:pPr>
              <w:pStyle w:val="NoSpacing"/>
              <w:jc w:val="center"/>
              <w:rPr>
                <w:rFonts w:ascii="Times New Roman" w:hAnsi="Times New Roman" w:cs="Times New Roman"/>
                <w:sz w:val="22"/>
                <w:szCs w:val="22"/>
              </w:rPr>
            </w:pPr>
            <w:r w:rsidRPr="00537910">
              <w:rPr>
                <w:rFonts w:ascii="Times New Roman" w:hAnsi="Times New Roman" w:cs="Times New Roman"/>
                <w:sz w:val="22"/>
                <w:szCs w:val="22"/>
              </w:rPr>
              <w:t>+0.96</w:t>
            </w:r>
          </w:p>
        </w:tc>
      </w:tr>
      <w:tr w:rsidR="00165F6F" w:rsidRPr="00537910" w14:paraId="63D55B83" w14:textId="77777777" w:rsidTr="00537910">
        <w:tc>
          <w:tcPr>
            <w:tcW w:w="0" w:type="auto"/>
            <w:hideMark/>
          </w:tcPr>
          <w:p w14:paraId="7D10CD10" w14:textId="77777777" w:rsidR="00165F6F" w:rsidRPr="00537910" w:rsidRDefault="00165F6F" w:rsidP="00B77C0B">
            <w:pPr>
              <w:pStyle w:val="NoSpacing"/>
              <w:rPr>
                <w:rFonts w:ascii="Times New Roman" w:hAnsi="Times New Roman" w:cs="Times New Roman"/>
                <w:sz w:val="22"/>
                <w:szCs w:val="22"/>
              </w:rPr>
            </w:pPr>
            <w:r w:rsidRPr="00537910">
              <w:rPr>
                <w:rFonts w:ascii="Times New Roman" w:hAnsi="Times New Roman" w:cs="Times New Roman"/>
                <w:sz w:val="22"/>
                <w:szCs w:val="22"/>
              </w:rPr>
              <w:t>Mysore</w:t>
            </w:r>
          </w:p>
        </w:tc>
        <w:tc>
          <w:tcPr>
            <w:tcW w:w="0" w:type="auto"/>
            <w:vAlign w:val="center"/>
            <w:hideMark/>
          </w:tcPr>
          <w:p w14:paraId="0897C9AA" w14:textId="77777777" w:rsidR="00165F6F" w:rsidRPr="00537910" w:rsidRDefault="00165F6F" w:rsidP="00537910">
            <w:pPr>
              <w:pStyle w:val="NoSpacing"/>
              <w:jc w:val="center"/>
              <w:rPr>
                <w:rFonts w:ascii="Times New Roman" w:hAnsi="Times New Roman" w:cs="Times New Roman"/>
                <w:sz w:val="22"/>
                <w:szCs w:val="22"/>
              </w:rPr>
            </w:pPr>
            <w:r w:rsidRPr="00537910">
              <w:rPr>
                <w:rFonts w:ascii="Times New Roman" w:hAnsi="Times New Roman" w:cs="Times New Roman"/>
                <w:sz w:val="22"/>
                <w:szCs w:val="22"/>
              </w:rPr>
              <w:t>83.33</w:t>
            </w:r>
          </w:p>
        </w:tc>
        <w:tc>
          <w:tcPr>
            <w:tcW w:w="0" w:type="auto"/>
            <w:vAlign w:val="center"/>
            <w:hideMark/>
          </w:tcPr>
          <w:p w14:paraId="42203322" w14:textId="77777777" w:rsidR="00165F6F" w:rsidRPr="00537910" w:rsidRDefault="00165F6F" w:rsidP="00537910">
            <w:pPr>
              <w:pStyle w:val="NoSpacing"/>
              <w:jc w:val="center"/>
              <w:rPr>
                <w:rFonts w:ascii="Times New Roman" w:hAnsi="Times New Roman" w:cs="Times New Roman"/>
                <w:sz w:val="22"/>
                <w:szCs w:val="22"/>
              </w:rPr>
            </w:pPr>
            <w:r w:rsidRPr="00537910">
              <w:rPr>
                <w:rFonts w:ascii="Times New Roman" w:hAnsi="Times New Roman" w:cs="Times New Roman"/>
                <w:sz w:val="22"/>
                <w:szCs w:val="22"/>
              </w:rPr>
              <w:t>20.56</w:t>
            </w:r>
          </w:p>
        </w:tc>
        <w:tc>
          <w:tcPr>
            <w:tcW w:w="0" w:type="auto"/>
            <w:vAlign w:val="center"/>
            <w:hideMark/>
          </w:tcPr>
          <w:p w14:paraId="685677EA" w14:textId="77777777" w:rsidR="00165F6F" w:rsidRPr="00537910" w:rsidRDefault="00165F6F" w:rsidP="00537910">
            <w:pPr>
              <w:pStyle w:val="NoSpacing"/>
              <w:jc w:val="center"/>
              <w:rPr>
                <w:rFonts w:ascii="Times New Roman" w:hAnsi="Times New Roman" w:cs="Times New Roman"/>
                <w:sz w:val="22"/>
                <w:szCs w:val="22"/>
              </w:rPr>
            </w:pPr>
            <w:r w:rsidRPr="00537910">
              <w:rPr>
                <w:rFonts w:ascii="Times New Roman" w:hAnsi="Times New Roman" w:cs="Times New Roman"/>
                <w:sz w:val="22"/>
                <w:szCs w:val="22"/>
              </w:rPr>
              <w:t>10.07</w:t>
            </w:r>
          </w:p>
        </w:tc>
        <w:tc>
          <w:tcPr>
            <w:tcW w:w="0" w:type="auto"/>
            <w:vAlign w:val="center"/>
            <w:hideMark/>
          </w:tcPr>
          <w:p w14:paraId="584340AC" w14:textId="77777777" w:rsidR="00165F6F" w:rsidRPr="00537910" w:rsidRDefault="00165F6F" w:rsidP="00537910">
            <w:pPr>
              <w:pStyle w:val="NoSpacing"/>
              <w:jc w:val="center"/>
              <w:rPr>
                <w:rFonts w:ascii="Times New Roman" w:hAnsi="Times New Roman" w:cs="Times New Roman"/>
                <w:sz w:val="22"/>
                <w:szCs w:val="22"/>
              </w:rPr>
            </w:pPr>
            <w:r w:rsidRPr="00537910">
              <w:rPr>
                <w:rFonts w:ascii="Times New Roman" w:hAnsi="Times New Roman" w:cs="Times New Roman"/>
                <w:sz w:val="22"/>
                <w:szCs w:val="22"/>
              </w:rPr>
              <w:t>2.52</w:t>
            </w:r>
          </w:p>
        </w:tc>
        <w:tc>
          <w:tcPr>
            <w:tcW w:w="0" w:type="auto"/>
            <w:vAlign w:val="center"/>
            <w:hideMark/>
          </w:tcPr>
          <w:p w14:paraId="2714D935" w14:textId="77777777" w:rsidR="00165F6F" w:rsidRPr="00537910" w:rsidRDefault="00165F6F" w:rsidP="00537910">
            <w:pPr>
              <w:pStyle w:val="NoSpacing"/>
              <w:jc w:val="center"/>
              <w:rPr>
                <w:rFonts w:ascii="Times New Roman" w:hAnsi="Times New Roman" w:cs="Times New Roman"/>
                <w:sz w:val="22"/>
                <w:szCs w:val="22"/>
              </w:rPr>
            </w:pPr>
            <w:r w:rsidRPr="00537910">
              <w:rPr>
                <w:rFonts w:ascii="Times New Roman" w:hAnsi="Times New Roman" w:cs="Times New Roman"/>
                <w:sz w:val="22"/>
                <w:szCs w:val="22"/>
              </w:rPr>
              <w:t>..</w:t>
            </w:r>
          </w:p>
        </w:tc>
        <w:tc>
          <w:tcPr>
            <w:tcW w:w="0" w:type="auto"/>
            <w:vAlign w:val="center"/>
            <w:hideMark/>
          </w:tcPr>
          <w:p w14:paraId="65DD8E1C" w14:textId="77777777" w:rsidR="00165F6F" w:rsidRPr="00537910" w:rsidRDefault="00165F6F" w:rsidP="00537910">
            <w:pPr>
              <w:pStyle w:val="NoSpacing"/>
              <w:jc w:val="center"/>
              <w:rPr>
                <w:rFonts w:ascii="Times New Roman" w:hAnsi="Times New Roman" w:cs="Times New Roman"/>
                <w:sz w:val="22"/>
                <w:szCs w:val="22"/>
              </w:rPr>
            </w:pPr>
            <w:r w:rsidRPr="00537910">
              <w:rPr>
                <w:rFonts w:ascii="Times New Roman" w:hAnsi="Times New Roman" w:cs="Times New Roman"/>
                <w:sz w:val="22"/>
                <w:szCs w:val="22"/>
              </w:rPr>
              <w:t>3.39</w:t>
            </w:r>
          </w:p>
        </w:tc>
        <w:tc>
          <w:tcPr>
            <w:tcW w:w="0" w:type="auto"/>
            <w:vAlign w:val="center"/>
            <w:hideMark/>
          </w:tcPr>
          <w:p w14:paraId="7FA1A96D" w14:textId="77777777" w:rsidR="00165F6F" w:rsidRPr="00537910" w:rsidRDefault="00165F6F" w:rsidP="00537910">
            <w:pPr>
              <w:pStyle w:val="NoSpacing"/>
              <w:jc w:val="center"/>
              <w:rPr>
                <w:rFonts w:ascii="Times New Roman" w:hAnsi="Times New Roman" w:cs="Times New Roman"/>
                <w:sz w:val="22"/>
                <w:szCs w:val="22"/>
              </w:rPr>
            </w:pPr>
            <w:r w:rsidRPr="00537910">
              <w:rPr>
                <w:rFonts w:ascii="Times New Roman" w:hAnsi="Times New Roman" w:cs="Times New Roman"/>
                <w:sz w:val="22"/>
                <w:szCs w:val="22"/>
              </w:rPr>
              <w:t>0.95</w:t>
            </w:r>
          </w:p>
        </w:tc>
        <w:tc>
          <w:tcPr>
            <w:tcW w:w="0" w:type="auto"/>
            <w:vAlign w:val="center"/>
            <w:hideMark/>
          </w:tcPr>
          <w:p w14:paraId="77EDB1F5" w14:textId="77777777" w:rsidR="00165F6F" w:rsidRPr="00537910" w:rsidRDefault="00165F6F" w:rsidP="00537910">
            <w:pPr>
              <w:pStyle w:val="NoSpacing"/>
              <w:jc w:val="center"/>
              <w:rPr>
                <w:rFonts w:ascii="Times New Roman" w:hAnsi="Times New Roman" w:cs="Times New Roman"/>
                <w:sz w:val="22"/>
                <w:szCs w:val="22"/>
              </w:rPr>
            </w:pPr>
            <w:r w:rsidRPr="00537910">
              <w:rPr>
                <w:rFonts w:ascii="Times New Roman" w:hAnsi="Times New Roman" w:cs="Times New Roman"/>
                <w:sz w:val="22"/>
                <w:szCs w:val="22"/>
              </w:rPr>
              <w:t>+3.63</w:t>
            </w:r>
          </w:p>
        </w:tc>
        <w:tc>
          <w:tcPr>
            <w:tcW w:w="0" w:type="auto"/>
            <w:vAlign w:val="center"/>
            <w:hideMark/>
          </w:tcPr>
          <w:p w14:paraId="74D0EB7A" w14:textId="77777777" w:rsidR="00165F6F" w:rsidRPr="00537910" w:rsidRDefault="00165F6F" w:rsidP="00537910">
            <w:pPr>
              <w:pStyle w:val="NoSpacing"/>
              <w:jc w:val="center"/>
              <w:rPr>
                <w:rFonts w:ascii="Times New Roman" w:hAnsi="Times New Roman" w:cs="Times New Roman"/>
                <w:sz w:val="22"/>
                <w:szCs w:val="22"/>
              </w:rPr>
            </w:pPr>
            <w:r w:rsidRPr="00537910">
              <w:rPr>
                <w:rFonts w:ascii="Times New Roman" w:hAnsi="Times New Roman" w:cs="Times New Roman"/>
                <w:sz w:val="22"/>
                <w:szCs w:val="22"/>
              </w:rPr>
              <w:t>..</w:t>
            </w:r>
          </w:p>
        </w:tc>
        <w:tc>
          <w:tcPr>
            <w:tcW w:w="0" w:type="auto"/>
            <w:vAlign w:val="center"/>
            <w:hideMark/>
          </w:tcPr>
          <w:p w14:paraId="0DE6A1AE" w14:textId="77777777" w:rsidR="00165F6F" w:rsidRPr="00537910" w:rsidRDefault="00165F6F" w:rsidP="00537910">
            <w:pPr>
              <w:pStyle w:val="NoSpacing"/>
              <w:jc w:val="center"/>
              <w:rPr>
                <w:rFonts w:ascii="Times New Roman" w:hAnsi="Times New Roman" w:cs="Times New Roman"/>
                <w:sz w:val="22"/>
                <w:szCs w:val="22"/>
              </w:rPr>
            </w:pPr>
            <w:r w:rsidRPr="00537910">
              <w:rPr>
                <w:rFonts w:ascii="Times New Roman" w:hAnsi="Times New Roman" w:cs="Times New Roman"/>
                <w:sz w:val="22"/>
                <w:szCs w:val="22"/>
              </w:rPr>
              <w:t>+3.63</w:t>
            </w:r>
          </w:p>
        </w:tc>
      </w:tr>
      <w:tr w:rsidR="00165F6F" w:rsidRPr="00537910" w14:paraId="10374366" w14:textId="77777777" w:rsidTr="00537910">
        <w:tc>
          <w:tcPr>
            <w:tcW w:w="0" w:type="auto"/>
            <w:hideMark/>
          </w:tcPr>
          <w:p w14:paraId="0B249F7D" w14:textId="77777777" w:rsidR="00165F6F" w:rsidRPr="00537910" w:rsidRDefault="00165F6F" w:rsidP="00B77C0B">
            <w:pPr>
              <w:pStyle w:val="NoSpacing"/>
              <w:rPr>
                <w:rFonts w:ascii="Times New Roman" w:hAnsi="Times New Roman" w:cs="Times New Roman"/>
                <w:sz w:val="22"/>
                <w:szCs w:val="22"/>
              </w:rPr>
            </w:pPr>
            <w:r w:rsidRPr="00537910">
              <w:rPr>
                <w:rFonts w:ascii="Times New Roman" w:hAnsi="Times New Roman" w:cs="Times New Roman"/>
                <w:sz w:val="22"/>
                <w:szCs w:val="22"/>
              </w:rPr>
              <w:t>Nagaland</w:t>
            </w:r>
          </w:p>
        </w:tc>
        <w:tc>
          <w:tcPr>
            <w:tcW w:w="0" w:type="auto"/>
            <w:vAlign w:val="center"/>
            <w:hideMark/>
          </w:tcPr>
          <w:p w14:paraId="17072B4C" w14:textId="77777777" w:rsidR="00165F6F" w:rsidRPr="00537910" w:rsidRDefault="00165F6F" w:rsidP="00537910">
            <w:pPr>
              <w:pStyle w:val="NoSpacing"/>
              <w:jc w:val="center"/>
              <w:rPr>
                <w:rFonts w:ascii="Times New Roman" w:hAnsi="Times New Roman" w:cs="Times New Roman"/>
                <w:sz w:val="22"/>
                <w:szCs w:val="22"/>
              </w:rPr>
            </w:pPr>
            <w:r w:rsidRPr="00537910">
              <w:rPr>
                <w:rFonts w:ascii="Times New Roman" w:hAnsi="Times New Roman" w:cs="Times New Roman"/>
                <w:sz w:val="22"/>
                <w:szCs w:val="22"/>
              </w:rPr>
              <w:t>..</w:t>
            </w:r>
          </w:p>
        </w:tc>
        <w:tc>
          <w:tcPr>
            <w:tcW w:w="0" w:type="auto"/>
            <w:vAlign w:val="center"/>
            <w:hideMark/>
          </w:tcPr>
          <w:p w14:paraId="0914AE85" w14:textId="77777777" w:rsidR="00165F6F" w:rsidRPr="00537910" w:rsidRDefault="00165F6F" w:rsidP="00537910">
            <w:pPr>
              <w:pStyle w:val="NoSpacing"/>
              <w:jc w:val="center"/>
              <w:rPr>
                <w:rFonts w:ascii="Times New Roman" w:hAnsi="Times New Roman" w:cs="Times New Roman"/>
                <w:sz w:val="22"/>
                <w:szCs w:val="22"/>
              </w:rPr>
            </w:pPr>
            <w:r w:rsidRPr="00537910">
              <w:rPr>
                <w:rFonts w:ascii="Times New Roman" w:hAnsi="Times New Roman" w:cs="Times New Roman"/>
                <w:sz w:val="22"/>
                <w:szCs w:val="22"/>
              </w:rPr>
              <w:t>..</w:t>
            </w:r>
          </w:p>
        </w:tc>
        <w:tc>
          <w:tcPr>
            <w:tcW w:w="0" w:type="auto"/>
            <w:vAlign w:val="center"/>
            <w:hideMark/>
          </w:tcPr>
          <w:p w14:paraId="7977E8B9" w14:textId="77777777" w:rsidR="00165F6F" w:rsidRPr="00537910" w:rsidRDefault="00165F6F" w:rsidP="00537910">
            <w:pPr>
              <w:pStyle w:val="NoSpacing"/>
              <w:jc w:val="center"/>
              <w:rPr>
                <w:rFonts w:ascii="Times New Roman" w:hAnsi="Times New Roman" w:cs="Times New Roman"/>
                <w:sz w:val="22"/>
                <w:szCs w:val="22"/>
              </w:rPr>
            </w:pPr>
            <w:r w:rsidRPr="00537910">
              <w:rPr>
                <w:rFonts w:ascii="Times New Roman" w:hAnsi="Times New Roman" w:cs="Times New Roman"/>
                <w:sz w:val="22"/>
                <w:szCs w:val="22"/>
              </w:rPr>
              <w:t>..</w:t>
            </w:r>
          </w:p>
        </w:tc>
        <w:tc>
          <w:tcPr>
            <w:tcW w:w="0" w:type="auto"/>
            <w:vAlign w:val="center"/>
            <w:hideMark/>
          </w:tcPr>
          <w:p w14:paraId="0827FB32" w14:textId="77777777" w:rsidR="00165F6F" w:rsidRPr="00537910" w:rsidRDefault="00165F6F" w:rsidP="00537910">
            <w:pPr>
              <w:pStyle w:val="NoSpacing"/>
              <w:jc w:val="center"/>
              <w:rPr>
                <w:rFonts w:ascii="Times New Roman" w:hAnsi="Times New Roman" w:cs="Times New Roman"/>
                <w:sz w:val="22"/>
                <w:szCs w:val="22"/>
              </w:rPr>
            </w:pPr>
            <w:r w:rsidRPr="00537910">
              <w:rPr>
                <w:rFonts w:ascii="Times New Roman" w:hAnsi="Times New Roman" w:cs="Times New Roman"/>
                <w:sz w:val="22"/>
                <w:szCs w:val="22"/>
              </w:rPr>
              <w:t>..</w:t>
            </w:r>
          </w:p>
        </w:tc>
        <w:tc>
          <w:tcPr>
            <w:tcW w:w="0" w:type="auto"/>
            <w:vAlign w:val="center"/>
            <w:hideMark/>
          </w:tcPr>
          <w:p w14:paraId="00DC558E" w14:textId="77777777" w:rsidR="00165F6F" w:rsidRPr="00537910" w:rsidRDefault="00165F6F" w:rsidP="00537910">
            <w:pPr>
              <w:pStyle w:val="NoSpacing"/>
              <w:jc w:val="center"/>
              <w:rPr>
                <w:rFonts w:ascii="Times New Roman" w:hAnsi="Times New Roman" w:cs="Times New Roman"/>
                <w:sz w:val="22"/>
                <w:szCs w:val="22"/>
              </w:rPr>
            </w:pPr>
            <w:r w:rsidRPr="00537910">
              <w:rPr>
                <w:rFonts w:ascii="Times New Roman" w:hAnsi="Times New Roman" w:cs="Times New Roman"/>
                <w:sz w:val="22"/>
                <w:szCs w:val="22"/>
              </w:rPr>
              <w:t>..</w:t>
            </w:r>
          </w:p>
        </w:tc>
        <w:tc>
          <w:tcPr>
            <w:tcW w:w="0" w:type="auto"/>
            <w:vAlign w:val="center"/>
            <w:hideMark/>
          </w:tcPr>
          <w:p w14:paraId="1FCAD864" w14:textId="77777777" w:rsidR="00165F6F" w:rsidRPr="00537910" w:rsidRDefault="00165F6F" w:rsidP="00537910">
            <w:pPr>
              <w:pStyle w:val="NoSpacing"/>
              <w:jc w:val="center"/>
              <w:rPr>
                <w:rFonts w:ascii="Times New Roman" w:hAnsi="Times New Roman" w:cs="Times New Roman"/>
                <w:sz w:val="22"/>
                <w:szCs w:val="22"/>
              </w:rPr>
            </w:pPr>
            <w:r w:rsidRPr="00537910">
              <w:rPr>
                <w:rFonts w:ascii="Times New Roman" w:hAnsi="Times New Roman" w:cs="Times New Roman"/>
                <w:sz w:val="22"/>
                <w:szCs w:val="22"/>
              </w:rPr>
              <w:t>..</w:t>
            </w:r>
          </w:p>
        </w:tc>
        <w:tc>
          <w:tcPr>
            <w:tcW w:w="0" w:type="auto"/>
            <w:vAlign w:val="center"/>
            <w:hideMark/>
          </w:tcPr>
          <w:p w14:paraId="43DC49D3" w14:textId="77777777" w:rsidR="00165F6F" w:rsidRPr="00537910" w:rsidRDefault="00165F6F" w:rsidP="00537910">
            <w:pPr>
              <w:pStyle w:val="NoSpacing"/>
              <w:jc w:val="center"/>
              <w:rPr>
                <w:rFonts w:ascii="Times New Roman" w:hAnsi="Times New Roman" w:cs="Times New Roman"/>
                <w:sz w:val="22"/>
                <w:szCs w:val="22"/>
              </w:rPr>
            </w:pPr>
            <w:r w:rsidRPr="00537910">
              <w:rPr>
                <w:rFonts w:ascii="Times New Roman" w:hAnsi="Times New Roman" w:cs="Times New Roman"/>
                <w:sz w:val="22"/>
                <w:szCs w:val="22"/>
              </w:rPr>
              <w:t>..</w:t>
            </w:r>
          </w:p>
        </w:tc>
        <w:tc>
          <w:tcPr>
            <w:tcW w:w="0" w:type="auto"/>
            <w:vAlign w:val="center"/>
            <w:hideMark/>
          </w:tcPr>
          <w:p w14:paraId="7508EC4B" w14:textId="77777777" w:rsidR="00165F6F" w:rsidRPr="00537910" w:rsidRDefault="00165F6F" w:rsidP="00537910">
            <w:pPr>
              <w:pStyle w:val="NoSpacing"/>
              <w:jc w:val="center"/>
              <w:rPr>
                <w:rFonts w:ascii="Times New Roman" w:hAnsi="Times New Roman" w:cs="Times New Roman"/>
                <w:sz w:val="22"/>
                <w:szCs w:val="22"/>
              </w:rPr>
            </w:pPr>
            <w:r w:rsidRPr="00537910">
              <w:rPr>
                <w:rFonts w:ascii="Times New Roman" w:hAnsi="Times New Roman" w:cs="Times New Roman"/>
                <w:sz w:val="22"/>
                <w:szCs w:val="22"/>
              </w:rPr>
              <w:t>..</w:t>
            </w:r>
          </w:p>
        </w:tc>
        <w:tc>
          <w:tcPr>
            <w:tcW w:w="0" w:type="auto"/>
            <w:vAlign w:val="center"/>
            <w:hideMark/>
          </w:tcPr>
          <w:p w14:paraId="725DEA16" w14:textId="77777777" w:rsidR="00165F6F" w:rsidRPr="00537910" w:rsidRDefault="00165F6F" w:rsidP="00537910">
            <w:pPr>
              <w:pStyle w:val="NoSpacing"/>
              <w:jc w:val="center"/>
              <w:rPr>
                <w:rFonts w:ascii="Times New Roman" w:hAnsi="Times New Roman" w:cs="Times New Roman"/>
                <w:sz w:val="22"/>
                <w:szCs w:val="22"/>
              </w:rPr>
            </w:pPr>
            <w:r w:rsidRPr="00537910">
              <w:rPr>
                <w:rFonts w:ascii="Times New Roman" w:hAnsi="Times New Roman" w:cs="Times New Roman"/>
                <w:sz w:val="22"/>
                <w:szCs w:val="22"/>
              </w:rPr>
              <w:t>..</w:t>
            </w:r>
          </w:p>
        </w:tc>
        <w:tc>
          <w:tcPr>
            <w:tcW w:w="0" w:type="auto"/>
            <w:vAlign w:val="center"/>
            <w:hideMark/>
          </w:tcPr>
          <w:p w14:paraId="17EA3D1D" w14:textId="77777777" w:rsidR="00165F6F" w:rsidRPr="00537910" w:rsidRDefault="00165F6F" w:rsidP="00537910">
            <w:pPr>
              <w:pStyle w:val="NoSpacing"/>
              <w:jc w:val="center"/>
              <w:rPr>
                <w:rFonts w:ascii="Times New Roman" w:hAnsi="Times New Roman" w:cs="Times New Roman"/>
                <w:sz w:val="22"/>
                <w:szCs w:val="22"/>
              </w:rPr>
            </w:pPr>
            <w:r w:rsidRPr="00537910">
              <w:rPr>
                <w:rFonts w:ascii="Times New Roman" w:hAnsi="Times New Roman" w:cs="Times New Roman"/>
                <w:sz w:val="22"/>
                <w:szCs w:val="22"/>
              </w:rPr>
              <w:t>..</w:t>
            </w:r>
          </w:p>
        </w:tc>
      </w:tr>
      <w:tr w:rsidR="00165F6F" w:rsidRPr="00537910" w14:paraId="23191E29" w14:textId="77777777" w:rsidTr="00537910">
        <w:tc>
          <w:tcPr>
            <w:tcW w:w="0" w:type="auto"/>
            <w:hideMark/>
          </w:tcPr>
          <w:p w14:paraId="33216CEF" w14:textId="77777777" w:rsidR="00165F6F" w:rsidRPr="00537910" w:rsidRDefault="00165F6F" w:rsidP="00B77C0B">
            <w:pPr>
              <w:pStyle w:val="NoSpacing"/>
              <w:rPr>
                <w:rFonts w:ascii="Times New Roman" w:hAnsi="Times New Roman" w:cs="Times New Roman"/>
                <w:sz w:val="22"/>
                <w:szCs w:val="22"/>
              </w:rPr>
            </w:pPr>
            <w:r w:rsidRPr="00537910">
              <w:rPr>
                <w:rFonts w:ascii="Times New Roman" w:hAnsi="Times New Roman" w:cs="Times New Roman"/>
                <w:sz w:val="22"/>
                <w:szCs w:val="22"/>
              </w:rPr>
              <w:t>Orissa</w:t>
            </w:r>
          </w:p>
        </w:tc>
        <w:tc>
          <w:tcPr>
            <w:tcW w:w="0" w:type="auto"/>
            <w:vAlign w:val="center"/>
            <w:hideMark/>
          </w:tcPr>
          <w:p w14:paraId="245CCE3D" w14:textId="77777777" w:rsidR="00165F6F" w:rsidRPr="00537910" w:rsidRDefault="00165F6F" w:rsidP="00537910">
            <w:pPr>
              <w:pStyle w:val="NoSpacing"/>
              <w:jc w:val="center"/>
              <w:rPr>
                <w:rFonts w:ascii="Times New Roman" w:hAnsi="Times New Roman" w:cs="Times New Roman"/>
                <w:sz w:val="22"/>
                <w:szCs w:val="22"/>
              </w:rPr>
            </w:pPr>
            <w:r w:rsidRPr="00537910">
              <w:rPr>
                <w:rFonts w:ascii="Times New Roman" w:hAnsi="Times New Roman" w:cs="Times New Roman"/>
                <w:sz w:val="22"/>
                <w:szCs w:val="22"/>
              </w:rPr>
              <w:t>43.23</w:t>
            </w:r>
          </w:p>
        </w:tc>
        <w:tc>
          <w:tcPr>
            <w:tcW w:w="0" w:type="auto"/>
            <w:vAlign w:val="center"/>
            <w:hideMark/>
          </w:tcPr>
          <w:p w14:paraId="1760C398" w14:textId="77777777" w:rsidR="00165F6F" w:rsidRPr="00537910" w:rsidRDefault="00165F6F" w:rsidP="00537910">
            <w:pPr>
              <w:pStyle w:val="NoSpacing"/>
              <w:jc w:val="center"/>
              <w:rPr>
                <w:rFonts w:ascii="Times New Roman" w:hAnsi="Times New Roman" w:cs="Times New Roman"/>
                <w:sz w:val="22"/>
                <w:szCs w:val="22"/>
              </w:rPr>
            </w:pPr>
            <w:r w:rsidRPr="00537910">
              <w:rPr>
                <w:rFonts w:ascii="Times New Roman" w:hAnsi="Times New Roman" w:cs="Times New Roman"/>
                <w:sz w:val="22"/>
                <w:szCs w:val="22"/>
              </w:rPr>
              <w:t>7.11</w:t>
            </w:r>
          </w:p>
        </w:tc>
        <w:tc>
          <w:tcPr>
            <w:tcW w:w="0" w:type="auto"/>
            <w:vAlign w:val="center"/>
            <w:hideMark/>
          </w:tcPr>
          <w:p w14:paraId="763C51FE" w14:textId="77777777" w:rsidR="00165F6F" w:rsidRPr="00537910" w:rsidRDefault="00165F6F" w:rsidP="00537910">
            <w:pPr>
              <w:pStyle w:val="NoSpacing"/>
              <w:jc w:val="center"/>
              <w:rPr>
                <w:rFonts w:ascii="Times New Roman" w:hAnsi="Times New Roman" w:cs="Times New Roman"/>
                <w:sz w:val="22"/>
                <w:szCs w:val="22"/>
              </w:rPr>
            </w:pPr>
            <w:r w:rsidRPr="00537910">
              <w:rPr>
                <w:rFonts w:ascii="Times New Roman" w:hAnsi="Times New Roman" w:cs="Times New Roman"/>
                <w:sz w:val="22"/>
                <w:szCs w:val="22"/>
              </w:rPr>
              <w:t>5.13</w:t>
            </w:r>
          </w:p>
        </w:tc>
        <w:tc>
          <w:tcPr>
            <w:tcW w:w="0" w:type="auto"/>
            <w:vAlign w:val="center"/>
            <w:hideMark/>
          </w:tcPr>
          <w:p w14:paraId="03226AD3" w14:textId="77777777" w:rsidR="00165F6F" w:rsidRPr="00537910" w:rsidRDefault="00165F6F" w:rsidP="00537910">
            <w:pPr>
              <w:pStyle w:val="NoSpacing"/>
              <w:jc w:val="center"/>
              <w:rPr>
                <w:rFonts w:ascii="Times New Roman" w:hAnsi="Times New Roman" w:cs="Times New Roman"/>
                <w:sz w:val="22"/>
                <w:szCs w:val="22"/>
              </w:rPr>
            </w:pPr>
            <w:r w:rsidRPr="00537910">
              <w:rPr>
                <w:rFonts w:ascii="Times New Roman" w:hAnsi="Times New Roman" w:cs="Times New Roman"/>
                <w:sz w:val="22"/>
                <w:szCs w:val="22"/>
              </w:rPr>
              <w:t>0.90</w:t>
            </w:r>
          </w:p>
        </w:tc>
        <w:tc>
          <w:tcPr>
            <w:tcW w:w="0" w:type="auto"/>
            <w:vAlign w:val="center"/>
            <w:hideMark/>
          </w:tcPr>
          <w:p w14:paraId="5A68C358" w14:textId="77777777" w:rsidR="00165F6F" w:rsidRPr="00537910" w:rsidRDefault="00165F6F" w:rsidP="00537910">
            <w:pPr>
              <w:pStyle w:val="NoSpacing"/>
              <w:jc w:val="center"/>
              <w:rPr>
                <w:rFonts w:ascii="Times New Roman" w:hAnsi="Times New Roman" w:cs="Times New Roman"/>
                <w:sz w:val="22"/>
                <w:szCs w:val="22"/>
              </w:rPr>
            </w:pPr>
            <w:r w:rsidRPr="00537910">
              <w:rPr>
                <w:rFonts w:ascii="Times New Roman" w:hAnsi="Times New Roman" w:cs="Times New Roman"/>
                <w:sz w:val="22"/>
                <w:szCs w:val="22"/>
              </w:rPr>
              <w:t>0.14</w:t>
            </w:r>
          </w:p>
        </w:tc>
        <w:tc>
          <w:tcPr>
            <w:tcW w:w="0" w:type="auto"/>
            <w:vAlign w:val="center"/>
            <w:hideMark/>
          </w:tcPr>
          <w:p w14:paraId="001AE4A3" w14:textId="77777777" w:rsidR="00165F6F" w:rsidRPr="00537910" w:rsidRDefault="00165F6F" w:rsidP="00537910">
            <w:pPr>
              <w:pStyle w:val="NoSpacing"/>
              <w:jc w:val="center"/>
              <w:rPr>
                <w:rFonts w:ascii="Times New Roman" w:hAnsi="Times New Roman" w:cs="Times New Roman"/>
                <w:sz w:val="22"/>
                <w:szCs w:val="22"/>
              </w:rPr>
            </w:pPr>
            <w:r w:rsidRPr="00537910">
              <w:rPr>
                <w:rFonts w:ascii="Times New Roman" w:hAnsi="Times New Roman" w:cs="Times New Roman"/>
                <w:sz w:val="22"/>
                <w:szCs w:val="22"/>
              </w:rPr>
              <w:t>1.23</w:t>
            </w:r>
          </w:p>
        </w:tc>
        <w:tc>
          <w:tcPr>
            <w:tcW w:w="0" w:type="auto"/>
            <w:vAlign w:val="center"/>
            <w:hideMark/>
          </w:tcPr>
          <w:p w14:paraId="22C1E748" w14:textId="77777777" w:rsidR="00165F6F" w:rsidRPr="00537910" w:rsidRDefault="00165F6F" w:rsidP="00537910">
            <w:pPr>
              <w:pStyle w:val="NoSpacing"/>
              <w:jc w:val="center"/>
              <w:rPr>
                <w:rFonts w:ascii="Times New Roman" w:hAnsi="Times New Roman" w:cs="Times New Roman"/>
                <w:sz w:val="22"/>
                <w:szCs w:val="22"/>
              </w:rPr>
            </w:pPr>
            <w:r w:rsidRPr="00537910">
              <w:rPr>
                <w:rFonts w:ascii="Times New Roman" w:hAnsi="Times New Roman" w:cs="Times New Roman"/>
                <w:sz w:val="22"/>
                <w:szCs w:val="22"/>
              </w:rPr>
              <w:t>0.84</w:t>
            </w:r>
          </w:p>
        </w:tc>
        <w:tc>
          <w:tcPr>
            <w:tcW w:w="0" w:type="auto"/>
            <w:vAlign w:val="center"/>
            <w:hideMark/>
          </w:tcPr>
          <w:p w14:paraId="03D27321" w14:textId="77777777" w:rsidR="00165F6F" w:rsidRPr="00537910" w:rsidRDefault="00165F6F" w:rsidP="00537910">
            <w:pPr>
              <w:pStyle w:val="NoSpacing"/>
              <w:jc w:val="center"/>
              <w:rPr>
                <w:rFonts w:ascii="Times New Roman" w:hAnsi="Times New Roman" w:cs="Times New Roman"/>
                <w:sz w:val="22"/>
                <w:szCs w:val="22"/>
              </w:rPr>
            </w:pPr>
            <w:r w:rsidRPr="00537910">
              <w:rPr>
                <w:rFonts w:ascii="Times New Roman" w:hAnsi="Times New Roman" w:cs="Times New Roman"/>
                <w:sz w:val="22"/>
                <w:szCs w:val="22"/>
              </w:rPr>
              <w:t>-1.23</w:t>
            </w:r>
          </w:p>
        </w:tc>
        <w:tc>
          <w:tcPr>
            <w:tcW w:w="0" w:type="auto"/>
            <w:vAlign w:val="center"/>
            <w:hideMark/>
          </w:tcPr>
          <w:p w14:paraId="3B975CCE" w14:textId="77777777" w:rsidR="00165F6F" w:rsidRPr="00537910" w:rsidRDefault="00165F6F" w:rsidP="00537910">
            <w:pPr>
              <w:pStyle w:val="NoSpacing"/>
              <w:jc w:val="center"/>
              <w:rPr>
                <w:rFonts w:ascii="Times New Roman" w:hAnsi="Times New Roman" w:cs="Times New Roman"/>
                <w:sz w:val="22"/>
                <w:szCs w:val="22"/>
              </w:rPr>
            </w:pPr>
            <w:r w:rsidRPr="00537910">
              <w:rPr>
                <w:rFonts w:ascii="Times New Roman" w:hAnsi="Times New Roman" w:cs="Times New Roman"/>
                <w:sz w:val="22"/>
                <w:szCs w:val="22"/>
              </w:rPr>
              <w:t>-0.87</w:t>
            </w:r>
          </w:p>
        </w:tc>
        <w:tc>
          <w:tcPr>
            <w:tcW w:w="0" w:type="auto"/>
            <w:vAlign w:val="center"/>
            <w:hideMark/>
          </w:tcPr>
          <w:p w14:paraId="38D01DEF" w14:textId="77777777" w:rsidR="00165F6F" w:rsidRPr="00537910" w:rsidRDefault="00165F6F" w:rsidP="00537910">
            <w:pPr>
              <w:pStyle w:val="NoSpacing"/>
              <w:jc w:val="center"/>
              <w:rPr>
                <w:rFonts w:ascii="Times New Roman" w:hAnsi="Times New Roman" w:cs="Times New Roman"/>
                <w:sz w:val="22"/>
                <w:szCs w:val="22"/>
              </w:rPr>
            </w:pPr>
            <w:r w:rsidRPr="00537910">
              <w:rPr>
                <w:rFonts w:ascii="Times New Roman" w:hAnsi="Times New Roman" w:cs="Times New Roman"/>
                <w:sz w:val="22"/>
                <w:szCs w:val="22"/>
              </w:rPr>
              <w:t>-2.10</w:t>
            </w:r>
          </w:p>
        </w:tc>
      </w:tr>
      <w:tr w:rsidR="00165F6F" w:rsidRPr="00537910" w14:paraId="423080B6" w14:textId="77777777" w:rsidTr="00537910">
        <w:tc>
          <w:tcPr>
            <w:tcW w:w="0" w:type="auto"/>
            <w:hideMark/>
          </w:tcPr>
          <w:p w14:paraId="15A6D78D" w14:textId="77777777" w:rsidR="00165F6F" w:rsidRPr="00537910" w:rsidRDefault="00165F6F" w:rsidP="00B77C0B">
            <w:pPr>
              <w:pStyle w:val="NoSpacing"/>
              <w:rPr>
                <w:rFonts w:ascii="Times New Roman" w:hAnsi="Times New Roman" w:cs="Times New Roman"/>
                <w:sz w:val="22"/>
                <w:szCs w:val="22"/>
              </w:rPr>
            </w:pPr>
            <w:r w:rsidRPr="00537910">
              <w:rPr>
                <w:rFonts w:ascii="Times New Roman" w:hAnsi="Times New Roman" w:cs="Times New Roman"/>
                <w:sz w:val="22"/>
                <w:szCs w:val="22"/>
              </w:rPr>
              <w:t>Punjab</w:t>
            </w:r>
          </w:p>
        </w:tc>
        <w:tc>
          <w:tcPr>
            <w:tcW w:w="0" w:type="auto"/>
            <w:vAlign w:val="center"/>
            <w:hideMark/>
          </w:tcPr>
          <w:p w14:paraId="3CA7E8BB" w14:textId="77777777" w:rsidR="00165F6F" w:rsidRPr="00537910" w:rsidRDefault="00165F6F" w:rsidP="00537910">
            <w:pPr>
              <w:pStyle w:val="NoSpacing"/>
              <w:jc w:val="center"/>
              <w:rPr>
                <w:rFonts w:ascii="Times New Roman" w:hAnsi="Times New Roman" w:cs="Times New Roman"/>
                <w:sz w:val="22"/>
                <w:szCs w:val="22"/>
              </w:rPr>
            </w:pPr>
            <w:r w:rsidRPr="00537910">
              <w:rPr>
                <w:rFonts w:ascii="Times New Roman" w:hAnsi="Times New Roman" w:cs="Times New Roman"/>
                <w:sz w:val="22"/>
                <w:szCs w:val="22"/>
              </w:rPr>
              <w:t>105.66</w:t>
            </w:r>
          </w:p>
        </w:tc>
        <w:tc>
          <w:tcPr>
            <w:tcW w:w="0" w:type="auto"/>
            <w:vAlign w:val="center"/>
            <w:hideMark/>
          </w:tcPr>
          <w:p w14:paraId="109823BB" w14:textId="77777777" w:rsidR="00165F6F" w:rsidRPr="00537910" w:rsidRDefault="00165F6F" w:rsidP="00537910">
            <w:pPr>
              <w:pStyle w:val="NoSpacing"/>
              <w:jc w:val="center"/>
              <w:rPr>
                <w:rFonts w:ascii="Times New Roman" w:hAnsi="Times New Roman" w:cs="Times New Roman"/>
                <w:sz w:val="22"/>
                <w:szCs w:val="22"/>
              </w:rPr>
            </w:pPr>
            <w:r w:rsidRPr="00537910">
              <w:rPr>
                <w:rFonts w:ascii="Times New Roman" w:hAnsi="Times New Roman" w:cs="Times New Roman"/>
                <w:sz w:val="22"/>
                <w:szCs w:val="22"/>
              </w:rPr>
              <w:t>10.77</w:t>
            </w:r>
          </w:p>
        </w:tc>
        <w:tc>
          <w:tcPr>
            <w:tcW w:w="0" w:type="auto"/>
            <w:vAlign w:val="center"/>
            <w:hideMark/>
          </w:tcPr>
          <w:p w14:paraId="379F6F96" w14:textId="77777777" w:rsidR="00165F6F" w:rsidRPr="00537910" w:rsidRDefault="00165F6F" w:rsidP="00537910">
            <w:pPr>
              <w:pStyle w:val="NoSpacing"/>
              <w:jc w:val="center"/>
              <w:rPr>
                <w:rFonts w:ascii="Times New Roman" w:hAnsi="Times New Roman" w:cs="Times New Roman"/>
                <w:sz w:val="22"/>
                <w:szCs w:val="22"/>
              </w:rPr>
            </w:pPr>
            <w:r w:rsidRPr="00537910">
              <w:rPr>
                <w:rFonts w:ascii="Times New Roman" w:hAnsi="Times New Roman" w:cs="Times New Roman"/>
                <w:sz w:val="22"/>
                <w:szCs w:val="22"/>
              </w:rPr>
              <w:t>3.84</w:t>
            </w:r>
          </w:p>
        </w:tc>
        <w:tc>
          <w:tcPr>
            <w:tcW w:w="0" w:type="auto"/>
            <w:vAlign w:val="center"/>
            <w:hideMark/>
          </w:tcPr>
          <w:p w14:paraId="7A889F3C" w14:textId="77777777" w:rsidR="00165F6F" w:rsidRPr="00537910" w:rsidRDefault="00165F6F" w:rsidP="00537910">
            <w:pPr>
              <w:pStyle w:val="NoSpacing"/>
              <w:jc w:val="center"/>
              <w:rPr>
                <w:rFonts w:ascii="Times New Roman" w:hAnsi="Times New Roman" w:cs="Times New Roman"/>
                <w:sz w:val="22"/>
                <w:szCs w:val="22"/>
              </w:rPr>
            </w:pPr>
            <w:r w:rsidRPr="00537910">
              <w:rPr>
                <w:rFonts w:ascii="Times New Roman" w:hAnsi="Times New Roman" w:cs="Times New Roman"/>
                <w:sz w:val="22"/>
                <w:szCs w:val="22"/>
              </w:rPr>
              <w:t>2.20</w:t>
            </w:r>
          </w:p>
        </w:tc>
        <w:tc>
          <w:tcPr>
            <w:tcW w:w="0" w:type="auto"/>
            <w:vAlign w:val="center"/>
            <w:hideMark/>
          </w:tcPr>
          <w:p w14:paraId="6651C784" w14:textId="77777777" w:rsidR="00165F6F" w:rsidRPr="00537910" w:rsidRDefault="00165F6F" w:rsidP="00537910">
            <w:pPr>
              <w:pStyle w:val="NoSpacing"/>
              <w:jc w:val="center"/>
              <w:rPr>
                <w:rFonts w:ascii="Times New Roman" w:hAnsi="Times New Roman" w:cs="Times New Roman"/>
                <w:sz w:val="22"/>
                <w:szCs w:val="22"/>
              </w:rPr>
            </w:pPr>
            <w:r w:rsidRPr="00537910">
              <w:rPr>
                <w:rFonts w:ascii="Times New Roman" w:hAnsi="Times New Roman" w:cs="Times New Roman"/>
                <w:sz w:val="22"/>
                <w:szCs w:val="22"/>
              </w:rPr>
              <w:t>0.25</w:t>
            </w:r>
          </w:p>
        </w:tc>
        <w:tc>
          <w:tcPr>
            <w:tcW w:w="0" w:type="auto"/>
            <w:vAlign w:val="center"/>
            <w:hideMark/>
          </w:tcPr>
          <w:p w14:paraId="6A600391" w14:textId="77777777" w:rsidR="00165F6F" w:rsidRPr="00537910" w:rsidRDefault="00165F6F" w:rsidP="00537910">
            <w:pPr>
              <w:pStyle w:val="NoSpacing"/>
              <w:jc w:val="center"/>
              <w:rPr>
                <w:rFonts w:ascii="Times New Roman" w:hAnsi="Times New Roman" w:cs="Times New Roman"/>
                <w:sz w:val="22"/>
                <w:szCs w:val="22"/>
              </w:rPr>
            </w:pPr>
            <w:r w:rsidRPr="00537910">
              <w:rPr>
                <w:rFonts w:ascii="Times New Roman" w:hAnsi="Times New Roman" w:cs="Times New Roman"/>
                <w:sz w:val="22"/>
                <w:szCs w:val="22"/>
              </w:rPr>
              <w:t>5.60</w:t>
            </w:r>
          </w:p>
        </w:tc>
        <w:tc>
          <w:tcPr>
            <w:tcW w:w="0" w:type="auto"/>
            <w:vAlign w:val="center"/>
            <w:hideMark/>
          </w:tcPr>
          <w:p w14:paraId="0075D21B" w14:textId="77777777" w:rsidR="00165F6F" w:rsidRPr="00537910" w:rsidRDefault="00165F6F" w:rsidP="00537910">
            <w:pPr>
              <w:pStyle w:val="NoSpacing"/>
              <w:jc w:val="center"/>
              <w:rPr>
                <w:rFonts w:ascii="Times New Roman" w:hAnsi="Times New Roman" w:cs="Times New Roman"/>
                <w:sz w:val="22"/>
                <w:szCs w:val="22"/>
              </w:rPr>
            </w:pPr>
            <w:r w:rsidRPr="00537910">
              <w:rPr>
                <w:rFonts w:ascii="Times New Roman" w:hAnsi="Times New Roman" w:cs="Times New Roman"/>
                <w:sz w:val="22"/>
                <w:szCs w:val="22"/>
              </w:rPr>
              <w:t>0.15</w:t>
            </w:r>
          </w:p>
        </w:tc>
        <w:tc>
          <w:tcPr>
            <w:tcW w:w="0" w:type="auto"/>
            <w:vAlign w:val="center"/>
            <w:hideMark/>
          </w:tcPr>
          <w:p w14:paraId="430A1606" w14:textId="77777777" w:rsidR="00165F6F" w:rsidRPr="00537910" w:rsidRDefault="00165F6F" w:rsidP="00537910">
            <w:pPr>
              <w:pStyle w:val="NoSpacing"/>
              <w:jc w:val="center"/>
              <w:rPr>
                <w:rFonts w:ascii="Times New Roman" w:hAnsi="Times New Roman" w:cs="Times New Roman"/>
                <w:sz w:val="22"/>
                <w:szCs w:val="22"/>
              </w:rPr>
            </w:pPr>
            <w:r w:rsidRPr="00537910">
              <w:rPr>
                <w:rFonts w:ascii="Times New Roman" w:hAnsi="Times New Roman" w:cs="Times New Roman"/>
                <w:sz w:val="22"/>
                <w:szCs w:val="22"/>
              </w:rPr>
              <w:t>-1.27</w:t>
            </w:r>
          </w:p>
        </w:tc>
        <w:tc>
          <w:tcPr>
            <w:tcW w:w="0" w:type="auto"/>
            <w:vAlign w:val="center"/>
            <w:hideMark/>
          </w:tcPr>
          <w:p w14:paraId="74FBB134" w14:textId="77777777" w:rsidR="00165F6F" w:rsidRPr="00537910" w:rsidRDefault="00165F6F" w:rsidP="00537910">
            <w:pPr>
              <w:pStyle w:val="NoSpacing"/>
              <w:jc w:val="center"/>
              <w:rPr>
                <w:rFonts w:ascii="Times New Roman" w:hAnsi="Times New Roman" w:cs="Times New Roman"/>
                <w:sz w:val="22"/>
                <w:szCs w:val="22"/>
              </w:rPr>
            </w:pPr>
            <w:r w:rsidRPr="00537910">
              <w:rPr>
                <w:rFonts w:ascii="Times New Roman" w:hAnsi="Times New Roman" w:cs="Times New Roman"/>
                <w:sz w:val="22"/>
                <w:szCs w:val="22"/>
              </w:rPr>
              <w:t>-0.19</w:t>
            </w:r>
          </w:p>
        </w:tc>
        <w:tc>
          <w:tcPr>
            <w:tcW w:w="0" w:type="auto"/>
            <w:vAlign w:val="center"/>
            <w:hideMark/>
          </w:tcPr>
          <w:p w14:paraId="76CA1910" w14:textId="77777777" w:rsidR="00165F6F" w:rsidRPr="00537910" w:rsidRDefault="00165F6F" w:rsidP="00537910">
            <w:pPr>
              <w:pStyle w:val="NoSpacing"/>
              <w:jc w:val="center"/>
              <w:rPr>
                <w:rFonts w:ascii="Times New Roman" w:hAnsi="Times New Roman" w:cs="Times New Roman"/>
                <w:sz w:val="22"/>
                <w:szCs w:val="22"/>
              </w:rPr>
            </w:pPr>
            <w:r w:rsidRPr="00537910">
              <w:rPr>
                <w:rFonts w:ascii="Times New Roman" w:hAnsi="Times New Roman" w:cs="Times New Roman"/>
                <w:sz w:val="22"/>
                <w:szCs w:val="22"/>
              </w:rPr>
              <w:t>-1.46</w:t>
            </w:r>
          </w:p>
        </w:tc>
      </w:tr>
      <w:tr w:rsidR="00165F6F" w:rsidRPr="00537910" w14:paraId="36077602" w14:textId="77777777" w:rsidTr="00537910">
        <w:tc>
          <w:tcPr>
            <w:tcW w:w="0" w:type="auto"/>
            <w:hideMark/>
          </w:tcPr>
          <w:p w14:paraId="59C6905F" w14:textId="77777777" w:rsidR="00165F6F" w:rsidRPr="00537910" w:rsidRDefault="00165F6F" w:rsidP="00B77C0B">
            <w:pPr>
              <w:pStyle w:val="NoSpacing"/>
              <w:rPr>
                <w:rFonts w:ascii="Times New Roman" w:hAnsi="Times New Roman" w:cs="Times New Roman"/>
                <w:sz w:val="22"/>
                <w:szCs w:val="22"/>
              </w:rPr>
            </w:pPr>
            <w:r w:rsidRPr="00537910">
              <w:rPr>
                <w:rFonts w:ascii="Times New Roman" w:hAnsi="Times New Roman" w:cs="Times New Roman"/>
                <w:sz w:val="22"/>
                <w:szCs w:val="22"/>
              </w:rPr>
              <w:t>Rajasthan</w:t>
            </w:r>
          </w:p>
        </w:tc>
        <w:tc>
          <w:tcPr>
            <w:tcW w:w="0" w:type="auto"/>
            <w:vAlign w:val="center"/>
            <w:hideMark/>
          </w:tcPr>
          <w:p w14:paraId="319D6694" w14:textId="77777777" w:rsidR="00165F6F" w:rsidRPr="00537910" w:rsidRDefault="00165F6F" w:rsidP="00537910">
            <w:pPr>
              <w:pStyle w:val="NoSpacing"/>
              <w:jc w:val="center"/>
              <w:rPr>
                <w:rFonts w:ascii="Times New Roman" w:hAnsi="Times New Roman" w:cs="Times New Roman"/>
                <w:sz w:val="22"/>
                <w:szCs w:val="22"/>
              </w:rPr>
            </w:pPr>
            <w:r w:rsidRPr="00537910">
              <w:rPr>
                <w:rFonts w:ascii="Times New Roman" w:hAnsi="Times New Roman" w:cs="Times New Roman"/>
                <w:sz w:val="22"/>
                <w:szCs w:val="22"/>
              </w:rPr>
              <w:t>N.A.</w:t>
            </w:r>
          </w:p>
        </w:tc>
        <w:tc>
          <w:tcPr>
            <w:tcW w:w="0" w:type="auto"/>
            <w:vAlign w:val="center"/>
            <w:hideMark/>
          </w:tcPr>
          <w:p w14:paraId="7E74FBFA" w14:textId="77777777" w:rsidR="00165F6F" w:rsidRPr="00537910" w:rsidRDefault="00165F6F" w:rsidP="00537910">
            <w:pPr>
              <w:pStyle w:val="NoSpacing"/>
              <w:jc w:val="center"/>
              <w:rPr>
                <w:rFonts w:ascii="Times New Roman" w:hAnsi="Times New Roman" w:cs="Times New Roman"/>
                <w:sz w:val="22"/>
                <w:szCs w:val="22"/>
              </w:rPr>
            </w:pPr>
            <w:r w:rsidRPr="00537910">
              <w:rPr>
                <w:rFonts w:ascii="Times New Roman" w:hAnsi="Times New Roman" w:cs="Times New Roman"/>
                <w:sz w:val="22"/>
                <w:szCs w:val="22"/>
              </w:rPr>
              <w:t>10.11</w:t>
            </w:r>
          </w:p>
        </w:tc>
        <w:tc>
          <w:tcPr>
            <w:tcW w:w="0" w:type="auto"/>
            <w:vAlign w:val="center"/>
            <w:hideMark/>
          </w:tcPr>
          <w:p w14:paraId="68F39935" w14:textId="77777777" w:rsidR="00165F6F" w:rsidRPr="00537910" w:rsidRDefault="00165F6F" w:rsidP="00537910">
            <w:pPr>
              <w:pStyle w:val="NoSpacing"/>
              <w:jc w:val="center"/>
              <w:rPr>
                <w:rFonts w:ascii="Times New Roman" w:hAnsi="Times New Roman" w:cs="Times New Roman"/>
                <w:sz w:val="22"/>
                <w:szCs w:val="22"/>
              </w:rPr>
            </w:pPr>
            <w:r w:rsidRPr="00537910">
              <w:rPr>
                <w:rFonts w:ascii="Times New Roman" w:hAnsi="Times New Roman" w:cs="Times New Roman"/>
                <w:sz w:val="22"/>
                <w:szCs w:val="22"/>
              </w:rPr>
              <w:t>7.88</w:t>
            </w:r>
          </w:p>
        </w:tc>
        <w:tc>
          <w:tcPr>
            <w:tcW w:w="0" w:type="auto"/>
            <w:vAlign w:val="center"/>
            <w:hideMark/>
          </w:tcPr>
          <w:p w14:paraId="64497BF7" w14:textId="77777777" w:rsidR="00165F6F" w:rsidRPr="00537910" w:rsidRDefault="00165F6F" w:rsidP="00537910">
            <w:pPr>
              <w:pStyle w:val="NoSpacing"/>
              <w:jc w:val="center"/>
              <w:rPr>
                <w:rFonts w:ascii="Times New Roman" w:hAnsi="Times New Roman" w:cs="Times New Roman"/>
                <w:sz w:val="22"/>
                <w:szCs w:val="22"/>
              </w:rPr>
            </w:pPr>
            <w:r w:rsidRPr="00537910">
              <w:rPr>
                <w:rFonts w:ascii="Times New Roman" w:hAnsi="Times New Roman" w:cs="Times New Roman"/>
                <w:sz w:val="22"/>
                <w:szCs w:val="22"/>
              </w:rPr>
              <w:t>1.83</w:t>
            </w:r>
          </w:p>
        </w:tc>
        <w:tc>
          <w:tcPr>
            <w:tcW w:w="0" w:type="auto"/>
            <w:vAlign w:val="center"/>
            <w:hideMark/>
          </w:tcPr>
          <w:p w14:paraId="72259A47" w14:textId="77777777" w:rsidR="00165F6F" w:rsidRPr="00537910" w:rsidRDefault="00165F6F" w:rsidP="00537910">
            <w:pPr>
              <w:pStyle w:val="NoSpacing"/>
              <w:jc w:val="center"/>
              <w:rPr>
                <w:rFonts w:ascii="Times New Roman" w:hAnsi="Times New Roman" w:cs="Times New Roman"/>
                <w:sz w:val="22"/>
                <w:szCs w:val="22"/>
              </w:rPr>
            </w:pPr>
            <w:r w:rsidRPr="00537910">
              <w:rPr>
                <w:rFonts w:ascii="Times New Roman" w:hAnsi="Times New Roman" w:cs="Times New Roman"/>
                <w:sz w:val="22"/>
                <w:szCs w:val="22"/>
              </w:rPr>
              <w:t>0.21</w:t>
            </w:r>
          </w:p>
        </w:tc>
        <w:tc>
          <w:tcPr>
            <w:tcW w:w="0" w:type="auto"/>
            <w:vAlign w:val="center"/>
            <w:hideMark/>
          </w:tcPr>
          <w:p w14:paraId="279C970C" w14:textId="77777777" w:rsidR="00165F6F" w:rsidRPr="00537910" w:rsidRDefault="00165F6F" w:rsidP="00537910">
            <w:pPr>
              <w:pStyle w:val="NoSpacing"/>
              <w:jc w:val="center"/>
              <w:rPr>
                <w:rFonts w:ascii="Times New Roman" w:hAnsi="Times New Roman" w:cs="Times New Roman"/>
                <w:sz w:val="22"/>
                <w:szCs w:val="22"/>
              </w:rPr>
            </w:pPr>
            <w:r w:rsidRPr="00537910">
              <w:rPr>
                <w:rFonts w:ascii="Times New Roman" w:hAnsi="Times New Roman" w:cs="Times New Roman"/>
                <w:sz w:val="22"/>
                <w:szCs w:val="22"/>
              </w:rPr>
              <w:t>5.05</w:t>
            </w:r>
          </w:p>
        </w:tc>
        <w:tc>
          <w:tcPr>
            <w:tcW w:w="0" w:type="auto"/>
            <w:vAlign w:val="center"/>
            <w:hideMark/>
          </w:tcPr>
          <w:p w14:paraId="3D5B6793" w14:textId="77777777" w:rsidR="00165F6F" w:rsidRPr="00537910" w:rsidRDefault="00165F6F" w:rsidP="00537910">
            <w:pPr>
              <w:pStyle w:val="NoSpacing"/>
              <w:jc w:val="center"/>
              <w:rPr>
                <w:rFonts w:ascii="Times New Roman" w:hAnsi="Times New Roman" w:cs="Times New Roman"/>
                <w:sz w:val="22"/>
                <w:szCs w:val="22"/>
              </w:rPr>
            </w:pPr>
            <w:r w:rsidRPr="00537910">
              <w:rPr>
                <w:rFonts w:ascii="Times New Roman" w:hAnsi="Times New Roman" w:cs="Times New Roman"/>
                <w:sz w:val="22"/>
                <w:szCs w:val="22"/>
              </w:rPr>
              <w:t>0.19</w:t>
            </w:r>
          </w:p>
        </w:tc>
        <w:tc>
          <w:tcPr>
            <w:tcW w:w="0" w:type="auto"/>
            <w:vAlign w:val="center"/>
            <w:hideMark/>
          </w:tcPr>
          <w:p w14:paraId="76A13F6D" w14:textId="77777777" w:rsidR="00165F6F" w:rsidRPr="00537910" w:rsidRDefault="00165F6F" w:rsidP="00537910">
            <w:pPr>
              <w:pStyle w:val="NoSpacing"/>
              <w:jc w:val="center"/>
              <w:rPr>
                <w:rFonts w:ascii="Times New Roman" w:hAnsi="Times New Roman" w:cs="Times New Roman"/>
                <w:sz w:val="22"/>
                <w:szCs w:val="22"/>
              </w:rPr>
            </w:pPr>
            <w:r w:rsidRPr="00537910">
              <w:rPr>
                <w:rFonts w:ascii="Times New Roman" w:hAnsi="Times New Roman" w:cs="Times New Roman"/>
                <w:sz w:val="22"/>
                <w:szCs w:val="22"/>
              </w:rPr>
              <w:t>-5.05</w:t>
            </w:r>
          </w:p>
        </w:tc>
        <w:tc>
          <w:tcPr>
            <w:tcW w:w="0" w:type="auto"/>
            <w:vAlign w:val="center"/>
            <w:hideMark/>
          </w:tcPr>
          <w:p w14:paraId="230B2E50" w14:textId="77777777" w:rsidR="00165F6F" w:rsidRPr="00537910" w:rsidRDefault="00165F6F" w:rsidP="00537910">
            <w:pPr>
              <w:pStyle w:val="NoSpacing"/>
              <w:jc w:val="center"/>
              <w:rPr>
                <w:rFonts w:ascii="Times New Roman" w:hAnsi="Times New Roman" w:cs="Times New Roman"/>
                <w:sz w:val="22"/>
                <w:szCs w:val="22"/>
              </w:rPr>
            </w:pPr>
            <w:r w:rsidRPr="00537910">
              <w:rPr>
                <w:rFonts w:ascii="Times New Roman" w:hAnsi="Times New Roman" w:cs="Times New Roman"/>
                <w:sz w:val="22"/>
                <w:szCs w:val="22"/>
              </w:rPr>
              <w:t>..</w:t>
            </w:r>
          </w:p>
        </w:tc>
        <w:tc>
          <w:tcPr>
            <w:tcW w:w="0" w:type="auto"/>
            <w:vAlign w:val="center"/>
            <w:hideMark/>
          </w:tcPr>
          <w:p w14:paraId="7EFC7452" w14:textId="77777777" w:rsidR="00165F6F" w:rsidRPr="00537910" w:rsidRDefault="00165F6F" w:rsidP="00537910">
            <w:pPr>
              <w:pStyle w:val="NoSpacing"/>
              <w:jc w:val="center"/>
              <w:rPr>
                <w:rFonts w:ascii="Times New Roman" w:hAnsi="Times New Roman" w:cs="Times New Roman"/>
                <w:sz w:val="22"/>
                <w:szCs w:val="22"/>
              </w:rPr>
            </w:pPr>
            <w:r w:rsidRPr="00537910">
              <w:rPr>
                <w:rFonts w:ascii="Times New Roman" w:hAnsi="Times New Roman" w:cs="Times New Roman"/>
                <w:sz w:val="22"/>
                <w:szCs w:val="22"/>
              </w:rPr>
              <w:t>-5.05</w:t>
            </w:r>
          </w:p>
        </w:tc>
      </w:tr>
      <w:tr w:rsidR="00165F6F" w:rsidRPr="00537910" w14:paraId="467043AF" w14:textId="77777777" w:rsidTr="00537910">
        <w:tc>
          <w:tcPr>
            <w:tcW w:w="0" w:type="auto"/>
            <w:hideMark/>
          </w:tcPr>
          <w:p w14:paraId="57470D42" w14:textId="77777777" w:rsidR="00165F6F" w:rsidRPr="00537910" w:rsidRDefault="00165F6F" w:rsidP="00B77C0B">
            <w:pPr>
              <w:pStyle w:val="NoSpacing"/>
              <w:rPr>
                <w:rFonts w:ascii="Times New Roman" w:hAnsi="Times New Roman" w:cs="Times New Roman"/>
                <w:sz w:val="22"/>
                <w:szCs w:val="22"/>
              </w:rPr>
            </w:pPr>
            <w:r w:rsidRPr="00537910">
              <w:rPr>
                <w:rFonts w:ascii="Times New Roman" w:hAnsi="Times New Roman" w:cs="Times New Roman"/>
                <w:sz w:val="22"/>
                <w:szCs w:val="22"/>
              </w:rPr>
              <w:t>Tamil Nadu</w:t>
            </w:r>
          </w:p>
        </w:tc>
        <w:tc>
          <w:tcPr>
            <w:tcW w:w="0" w:type="auto"/>
            <w:vAlign w:val="center"/>
            <w:hideMark/>
          </w:tcPr>
          <w:p w14:paraId="5BD47158" w14:textId="77777777" w:rsidR="00165F6F" w:rsidRPr="00537910" w:rsidRDefault="00165F6F" w:rsidP="00537910">
            <w:pPr>
              <w:pStyle w:val="NoSpacing"/>
              <w:jc w:val="center"/>
              <w:rPr>
                <w:rFonts w:ascii="Times New Roman" w:hAnsi="Times New Roman" w:cs="Times New Roman"/>
                <w:sz w:val="22"/>
                <w:szCs w:val="22"/>
              </w:rPr>
            </w:pPr>
            <w:r w:rsidRPr="00537910">
              <w:rPr>
                <w:rFonts w:ascii="Times New Roman" w:hAnsi="Times New Roman" w:cs="Times New Roman"/>
                <w:sz w:val="22"/>
                <w:szCs w:val="22"/>
              </w:rPr>
              <w:t>280.42</w:t>
            </w:r>
          </w:p>
        </w:tc>
        <w:tc>
          <w:tcPr>
            <w:tcW w:w="0" w:type="auto"/>
            <w:vAlign w:val="center"/>
            <w:hideMark/>
          </w:tcPr>
          <w:p w14:paraId="000D2B0B" w14:textId="77777777" w:rsidR="00165F6F" w:rsidRPr="00537910" w:rsidRDefault="00165F6F" w:rsidP="00537910">
            <w:pPr>
              <w:pStyle w:val="NoSpacing"/>
              <w:jc w:val="center"/>
              <w:rPr>
                <w:rFonts w:ascii="Times New Roman" w:hAnsi="Times New Roman" w:cs="Times New Roman"/>
                <w:sz w:val="22"/>
                <w:szCs w:val="22"/>
              </w:rPr>
            </w:pPr>
            <w:r w:rsidRPr="00537910">
              <w:rPr>
                <w:rFonts w:ascii="Times New Roman" w:hAnsi="Times New Roman" w:cs="Times New Roman"/>
                <w:sz w:val="22"/>
                <w:szCs w:val="22"/>
              </w:rPr>
              <w:t>44.62</w:t>
            </w:r>
          </w:p>
        </w:tc>
        <w:tc>
          <w:tcPr>
            <w:tcW w:w="0" w:type="auto"/>
            <w:vAlign w:val="center"/>
            <w:hideMark/>
          </w:tcPr>
          <w:p w14:paraId="1438F1F5" w14:textId="77777777" w:rsidR="00165F6F" w:rsidRPr="00537910" w:rsidRDefault="00165F6F" w:rsidP="00537910">
            <w:pPr>
              <w:pStyle w:val="NoSpacing"/>
              <w:jc w:val="center"/>
              <w:rPr>
                <w:rFonts w:ascii="Times New Roman" w:hAnsi="Times New Roman" w:cs="Times New Roman"/>
                <w:sz w:val="22"/>
                <w:szCs w:val="22"/>
              </w:rPr>
            </w:pPr>
            <w:r w:rsidRPr="00537910">
              <w:rPr>
                <w:rFonts w:ascii="Times New Roman" w:hAnsi="Times New Roman" w:cs="Times New Roman"/>
                <w:sz w:val="22"/>
                <w:szCs w:val="22"/>
              </w:rPr>
              <w:t>22.23</w:t>
            </w:r>
          </w:p>
        </w:tc>
        <w:tc>
          <w:tcPr>
            <w:tcW w:w="0" w:type="auto"/>
            <w:vAlign w:val="center"/>
            <w:hideMark/>
          </w:tcPr>
          <w:p w14:paraId="67A6F6E1" w14:textId="77777777" w:rsidR="00165F6F" w:rsidRPr="00537910" w:rsidRDefault="00165F6F" w:rsidP="00537910">
            <w:pPr>
              <w:pStyle w:val="NoSpacing"/>
              <w:jc w:val="center"/>
              <w:rPr>
                <w:rFonts w:ascii="Times New Roman" w:hAnsi="Times New Roman" w:cs="Times New Roman"/>
                <w:sz w:val="22"/>
                <w:szCs w:val="22"/>
              </w:rPr>
            </w:pPr>
            <w:r w:rsidRPr="00537910">
              <w:rPr>
                <w:rFonts w:ascii="Times New Roman" w:hAnsi="Times New Roman" w:cs="Times New Roman"/>
                <w:sz w:val="22"/>
                <w:szCs w:val="22"/>
              </w:rPr>
              <w:t>7.50</w:t>
            </w:r>
          </w:p>
        </w:tc>
        <w:tc>
          <w:tcPr>
            <w:tcW w:w="0" w:type="auto"/>
            <w:vAlign w:val="center"/>
            <w:hideMark/>
          </w:tcPr>
          <w:p w14:paraId="0B5A0A0D" w14:textId="77777777" w:rsidR="00165F6F" w:rsidRPr="00537910" w:rsidRDefault="00165F6F" w:rsidP="00537910">
            <w:pPr>
              <w:pStyle w:val="NoSpacing"/>
              <w:jc w:val="center"/>
              <w:rPr>
                <w:rFonts w:ascii="Times New Roman" w:hAnsi="Times New Roman" w:cs="Times New Roman"/>
                <w:sz w:val="22"/>
                <w:szCs w:val="22"/>
              </w:rPr>
            </w:pPr>
            <w:r w:rsidRPr="00537910">
              <w:rPr>
                <w:rFonts w:ascii="Times New Roman" w:hAnsi="Times New Roman" w:cs="Times New Roman"/>
                <w:sz w:val="22"/>
                <w:szCs w:val="22"/>
              </w:rPr>
              <w:t>1.23</w:t>
            </w:r>
          </w:p>
        </w:tc>
        <w:tc>
          <w:tcPr>
            <w:tcW w:w="0" w:type="auto"/>
            <w:vAlign w:val="center"/>
            <w:hideMark/>
          </w:tcPr>
          <w:p w14:paraId="18403CBD" w14:textId="77777777" w:rsidR="00165F6F" w:rsidRPr="00537910" w:rsidRDefault="00165F6F" w:rsidP="00537910">
            <w:pPr>
              <w:pStyle w:val="NoSpacing"/>
              <w:jc w:val="center"/>
              <w:rPr>
                <w:rFonts w:ascii="Times New Roman" w:hAnsi="Times New Roman" w:cs="Times New Roman"/>
                <w:sz w:val="22"/>
                <w:szCs w:val="22"/>
              </w:rPr>
            </w:pPr>
            <w:r w:rsidRPr="00537910">
              <w:rPr>
                <w:rFonts w:ascii="Times New Roman" w:hAnsi="Times New Roman" w:cs="Times New Roman"/>
                <w:sz w:val="22"/>
                <w:szCs w:val="22"/>
              </w:rPr>
              <w:t>11.49</w:t>
            </w:r>
          </w:p>
        </w:tc>
        <w:tc>
          <w:tcPr>
            <w:tcW w:w="0" w:type="auto"/>
            <w:vAlign w:val="center"/>
            <w:hideMark/>
          </w:tcPr>
          <w:p w14:paraId="7366D1FC" w14:textId="77777777" w:rsidR="00165F6F" w:rsidRPr="00537910" w:rsidRDefault="00165F6F" w:rsidP="00537910">
            <w:pPr>
              <w:pStyle w:val="NoSpacing"/>
              <w:jc w:val="center"/>
              <w:rPr>
                <w:rFonts w:ascii="Times New Roman" w:hAnsi="Times New Roman" w:cs="Times New Roman"/>
                <w:sz w:val="22"/>
                <w:szCs w:val="22"/>
              </w:rPr>
            </w:pPr>
            <w:r w:rsidRPr="00537910">
              <w:rPr>
                <w:rFonts w:ascii="Times New Roman" w:hAnsi="Times New Roman" w:cs="Times New Roman"/>
                <w:sz w:val="22"/>
                <w:szCs w:val="22"/>
              </w:rPr>
              <w:t>2.17</w:t>
            </w:r>
          </w:p>
        </w:tc>
        <w:tc>
          <w:tcPr>
            <w:tcW w:w="0" w:type="auto"/>
            <w:vAlign w:val="center"/>
            <w:hideMark/>
          </w:tcPr>
          <w:p w14:paraId="4A929AA5" w14:textId="77777777" w:rsidR="00165F6F" w:rsidRPr="00537910" w:rsidRDefault="00165F6F" w:rsidP="00537910">
            <w:pPr>
              <w:pStyle w:val="NoSpacing"/>
              <w:jc w:val="center"/>
              <w:rPr>
                <w:rFonts w:ascii="Times New Roman" w:hAnsi="Times New Roman" w:cs="Times New Roman"/>
                <w:sz w:val="22"/>
                <w:szCs w:val="22"/>
              </w:rPr>
            </w:pPr>
            <w:r w:rsidRPr="00537910">
              <w:rPr>
                <w:rFonts w:ascii="Times New Roman" w:hAnsi="Times New Roman" w:cs="Times New Roman"/>
                <w:sz w:val="22"/>
                <w:szCs w:val="22"/>
              </w:rPr>
              <w:t>..</w:t>
            </w:r>
          </w:p>
        </w:tc>
        <w:tc>
          <w:tcPr>
            <w:tcW w:w="0" w:type="auto"/>
            <w:vAlign w:val="center"/>
            <w:hideMark/>
          </w:tcPr>
          <w:p w14:paraId="75438D92" w14:textId="77777777" w:rsidR="00165F6F" w:rsidRPr="00537910" w:rsidRDefault="00165F6F" w:rsidP="00537910">
            <w:pPr>
              <w:pStyle w:val="NoSpacing"/>
              <w:jc w:val="center"/>
              <w:rPr>
                <w:rFonts w:ascii="Times New Roman" w:hAnsi="Times New Roman" w:cs="Times New Roman"/>
                <w:sz w:val="22"/>
                <w:szCs w:val="22"/>
              </w:rPr>
            </w:pPr>
            <w:r w:rsidRPr="00537910">
              <w:rPr>
                <w:rFonts w:ascii="Times New Roman" w:hAnsi="Times New Roman" w:cs="Times New Roman"/>
                <w:sz w:val="22"/>
                <w:szCs w:val="22"/>
              </w:rPr>
              <w:t>..</w:t>
            </w:r>
          </w:p>
        </w:tc>
        <w:tc>
          <w:tcPr>
            <w:tcW w:w="0" w:type="auto"/>
            <w:vAlign w:val="center"/>
            <w:hideMark/>
          </w:tcPr>
          <w:p w14:paraId="3B9B0DE1" w14:textId="77777777" w:rsidR="00165F6F" w:rsidRPr="00537910" w:rsidRDefault="00165F6F" w:rsidP="00537910">
            <w:pPr>
              <w:pStyle w:val="NoSpacing"/>
              <w:jc w:val="center"/>
              <w:rPr>
                <w:rFonts w:ascii="Times New Roman" w:hAnsi="Times New Roman" w:cs="Times New Roman"/>
                <w:sz w:val="22"/>
                <w:szCs w:val="22"/>
              </w:rPr>
            </w:pPr>
            <w:r w:rsidRPr="00537910">
              <w:rPr>
                <w:rFonts w:ascii="Times New Roman" w:hAnsi="Times New Roman" w:cs="Times New Roman"/>
                <w:sz w:val="22"/>
                <w:szCs w:val="22"/>
              </w:rPr>
              <w:t>..</w:t>
            </w:r>
          </w:p>
        </w:tc>
      </w:tr>
      <w:tr w:rsidR="00165F6F" w:rsidRPr="00537910" w14:paraId="4AC675EA" w14:textId="77777777" w:rsidTr="00537910">
        <w:tc>
          <w:tcPr>
            <w:tcW w:w="0" w:type="auto"/>
            <w:hideMark/>
          </w:tcPr>
          <w:p w14:paraId="5BE16D56" w14:textId="77777777" w:rsidR="00165F6F" w:rsidRPr="00537910" w:rsidRDefault="00165F6F" w:rsidP="00B77C0B">
            <w:pPr>
              <w:pStyle w:val="NoSpacing"/>
              <w:rPr>
                <w:rFonts w:ascii="Times New Roman" w:hAnsi="Times New Roman" w:cs="Times New Roman"/>
                <w:sz w:val="22"/>
                <w:szCs w:val="22"/>
              </w:rPr>
            </w:pPr>
            <w:r w:rsidRPr="00537910">
              <w:rPr>
                <w:rFonts w:ascii="Times New Roman" w:hAnsi="Times New Roman" w:cs="Times New Roman"/>
                <w:sz w:val="22"/>
                <w:szCs w:val="22"/>
              </w:rPr>
              <w:t>Uttar Pradesh</w:t>
            </w:r>
          </w:p>
        </w:tc>
        <w:tc>
          <w:tcPr>
            <w:tcW w:w="0" w:type="auto"/>
            <w:vAlign w:val="center"/>
            <w:hideMark/>
          </w:tcPr>
          <w:p w14:paraId="722C5122" w14:textId="77777777" w:rsidR="00165F6F" w:rsidRPr="00537910" w:rsidRDefault="00165F6F" w:rsidP="00537910">
            <w:pPr>
              <w:pStyle w:val="NoSpacing"/>
              <w:jc w:val="center"/>
              <w:rPr>
                <w:rFonts w:ascii="Times New Roman" w:hAnsi="Times New Roman" w:cs="Times New Roman"/>
                <w:sz w:val="22"/>
                <w:szCs w:val="22"/>
              </w:rPr>
            </w:pPr>
            <w:r w:rsidRPr="00537910">
              <w:rPr>
                <w:rFonts w:ascii="Times New Roman" w:hAnsi="Times New Roman" w:cs="Times New Roman"/>
                <w:sz w:val="22"/>
                <w:szCs w:val="22"/>
              </w:rPr>
              <w:t>309.31</w:t>
            </w:r>
          </w:p>
        </w:tc>
        <w:tc>
          <w:tcPr>
            <w:tcW w:w="0" w:type="auto"/>
            <w:vAlign w:val="center"/>
            <w:hideMark/>
          </w:tcPr>
          <w:p w14:paraId="29317DD7" w14:textId="77777777" w:rsidR="00165F6F" w:rsidRPr="00537910" w:rsidRDefault="00165F6F" w:rsidP="00537910">
            <w:pPr>
              <w:pStyle w:val="NoSpacing"/>
              <w:jc w:val="center"/>
              <w:rPr>
                <w:rFonts w:ascii="Times New Roman" w:hAnsi="Times New Roman" w:cs="Times New Roman"/>
                <w:sz w:val="22"/>
                <w:szCs w:val="22"/>
              </w:rPr>
            </w:pPr>
            <w:r w:rsidRPr="00537910">
              <w:rPr>
                <w:rFonts w:ascii="Times New Roman" w:hAnsi="Times New Roman" w:cs="Times New Roman"/>
                <w:sz w:val="22"/>
                <w:szCs w:val="22"/>
              </w:rPr>
              <w:t>34.39</w:t>
            </w:r>
          </w:p>
        </w:tc>
        <w:tc>
          <w:tcPr>
            <w:tcW w:w="0" w:type="auto"/>
            <w:vAlign w:val="center"/>
            <w:hideMark/>
          </w:tcPr>
          <w:p w14:paraId="6AB55793" w14:textId="77777777" w:rsidR="00165F6F" w:rsidRPr="00537910" w:rsidRDefault="00165F6F" w:rsidP="00537910">
            <w:pPr>
              <w:pStyle w:val="NoSpacing"/>
              <w:jc w:val="center"/>
              <w:rPr>
                <w:rFonts w:ascii="Times New Roman" w:hAnsi="Times New Roman" w:cs="Times New Roman"/>
                <w:sz w:val="22"/>
                <w:szCs w:val="22"/>
              </w:rPr>
            </w:pPr>
            <w:r w:rsidRPr="00537910">
              <w:rPr>
                <w:rFonts w:ascii="Times New Roman" w:hAnsi="Times New Roman" w:cs="Times New Roman"/>
                <w:sz w:val="22"/>
                <w:szCs w:val="22"/>
              </w:rPr>
              <w:t>19.46</w:t>
            </w:r>
          </w:p>
        </w:tc>
        <w:tc>
          <w:tcPr>
            <w:tcW w:w="0" w:type="auto"/>
            <w:vAlign w:val="center"/>
            <w:hideMark/>
          </w:tcPr>
          <w:p w14:paraId="49EDA4A1" w14:textId="77777777" w:rsidR="00165F6F" w:rsidRPr="00537910" w:rsidRDefault="00165F6F" w:rsidP="00537910">
            <w:pPr>
              <w:pStyle w:val="NoSpacing"/>
              <w:jc w:val="center"/>
              <w:rPr>
                <w:rFonts w:ascii="Times New Roman" w:hAnsi="Times New Roman" w:cs="Times New Roman"/>
                <w:sz w:val="22"/>
                <w:szCs w:val="22"/>
              </w:rPr>
            </w:pPr>
            <w:r w:rsidRPr="00537910">
              <w:rPr>
                <w:rFonts w:ascii="Times New Roman" w:hAnsi="Times New Roman" w:cs="Times New Roman"/>
                <w:sz w:val="22"/>
                <w:szCs w:val="22"/>
              </w:rPr>
              <w:t>5.01</w:t>
            </w:r>
          </w:p>
        </w:tc>
        <w:tc>
          <w:tcPr>
            <w:tcW w:w="0" w:type="auto"/>
            <w:vAlign w:val="center"/>
            <w:hideMark/>
          </w:tcPr>
          <w:p w14:paraId="3CD1827D" w14:textId="77777777" w:rsidR="00165F6F" w:rsidRPr="00537910" w:rsidRDefault="00165F6F" w:rsidP="00537910">
            <w:pPr>
              <w:pStyle w:val="NoSpacing"/>
              <w:jc w:val="center"/>
              <w:rPr>
                <w:rFonts w:ascii="Times New Roman" w:hAnsi="Times New Roman" w:cs="Times New Roman"/>
                <w:sz w:val="22"/>
                <w:szCs w:val="22"/>
              </w:rPr>
            </w:pPr>
            <w:r w:rsidRPr="00537910">
              <w:rPr>
                <w:rFonts w:ascii="Times New Roman" w:hAnsi="Times New Roman" w:cs="Times New Roman"/>
                <w:sz w:val="22"/>
                <w:szCs w:val="22"/>
              </w:rPr>
              <w:t>..</w:t>
            </w:r>
          </w:p>
        </w:tc>
        <w:tc>
          <w:tcPr>
            <w:tcW w:w="0" w:type="auto"/>
            <w:vAlign w:val="center"/>
            <w:hideMark/>
          </w:tcPr>
          <w:p w14:paraId="4C87D29F" w14:textId="77777777" w:rsidR="00165F6F" w:rsidRPr="00537910" w:rsidRDefault="00165F6F" w:rsidP="00537910">
            <w:pPr>
              <w:pStyle w:val="NoSpacing"/>
              <w:jc w:val="center"/>
              <w:rPr>
                <w:rFonts w:ascii="Times New Roman" w:hAnsi="Times New Roman" w:cs="Times New Roman"/>
                <w:sz w:val="22"/>
                <w:szCs w:val="22"/>
              </w:rPr>
            </w:pPr>
            <w:r w:rsidRPr="00537910">
              <w:rPr>
                <w:rFonts w:ascii="Times New Roman" w:hAnsi="Times New Roman" w:cs="Times New Roman"/>
                <w:sz w:val="22"/>
                <w:szCs w:val="22"/>
              </w:rPr>
              <w:t>16.97</w:t>
            </w:r>
          </w:p>
        </w:tc>
        <w:tc>
          <w:tcPr>
            <w:tcW w:w="0" w:type="auto"/>
            <w:vAlign w:val="center"/>
            <w:hideMark/>
          </w:tcPr>
          <w:p w14:paraId="11A7F61B" w14:textId="77777777" w:rsidR="00165F6F" w:rsidRPr="00537910" w:rsidRDefault="00165F6F" w:rsidP="00537910">
            <w:pPr>
              <w:pStyle w:val="NoSpacing"/>
              <w:jc w:val="center"/>
              <w:rPr>
                <w:rFonts w:ascii="Times New Roman" w:hAnsi="Times New Roman" w:cs="Times New Roman"/>
                <w:sz w:val="22"/>
                <w:szCs w:val="22"/>
              </w:rPr>
            </w:pPr>
            <w:r w:rsidRPr="00537910">
              <w:rPr>
                <w:rFonts w:ascii="Times New Roman" w:hAnsi="Times New Roman" w:cs="Times New Roman"/>
                <w:sz w:val="22"/>
                <w:szCs w:val="22"/>
              </w:rPr>
              <w:t>0.91</w:t>
            </w:r>
          </w:p>
        </w:tc>
        <w:tc>
          <w:tcPr>
            <w:tcW w:w="0" w:type="auto"/>
            <w:vAlign w:val="center"/>
            <w:hideMark/>
          </w:tcPr>
          <w:p w14:paraId="73992333" w14:textId="77777777" w:rsidR="00165F6F" w:rsidRPr="00537910" w:rsidRDefault="00165F6F" w:rsidP="00537910">
            <w:pPr>
              <w:pStyle w:val="NoSpacing"/>
              <w:jc w:val="center"/>
              <w:rPr>
                <w:rFonts w:ascii="Times New Roman" w:hAnsi="Times New Roman" w:cs="Times New Roman"/>
                <w:sz w:val="22"/>
                <w:szCs w:val="22"/>
              </w:rPr>
            </w:pPr>
            <w:r w:rsidRPr="00537910">
              <w:rPr>
                <w:rFonts w:ascii="Times New Roman" w:hAnsi="Times New Roman" w:cs="Times New Roman"/>
                <w:sz w:val="22"/>
                <w:szCs w:val="22"/>
              </w:rPr>
              <w:t>-7.96</w:t>
            </w:r>
          </w:p>
        </w:tc>
        <w:tc>
          <w:tcPr>
            <w:tcW w:w="0" w:type="auto"/>
            <w:vAlign w:val="center"/>
            <w:hideMark/>
          </w:tcPr>
          <w:p w14:paraId="54E860F9" w14:textId="77777777" w:rsidR="00165F6F" w:rsidRPr="00537910" w:rsidRDefault="00165F6F" w:rsidP="00537910">
            <w:pPr>
              <w:pStyle w:val="NoSpacing"/>
              <w:jc w:val="center"/>
              <w:rPr>
                <w:rFonts w:ascii="Times New Roman" w:hAnsi="Times New Roman" w:cs="Times New Roman"/>
                <w:sz w:val="22"/>
                <w:szCs w:val="22"/>
              </w:rPr>
            </w:pPr>
            <w:r w:rsidRPr="00537910">
              <w:rPr>
                <w:rFonts w:ascii="Times New Roman" w:hAnsi="Times New Roman" w:cs="Times New Roman"/>
                <w:sz w:val="22"/>
                <w:szCs w:val="22"/>
              </w:rPr>
              <w:t>-0.96</w:t>
            </w:r>
          </w:p>
        </w:tc>
        <w:tc>
          <w:tcPr>
            <w:tcW w:w="0" w:type="auto"/>
            <w:vAlign w:val="center"/>
            <w:hideMark/>
          </w:tcPr>
          <w:p w14:paraId="71DD1DA0" w14:textId="77777777" w:rsidR="00165F6F" w:rsidRPr="00537910" w:rsidRDefault="00165F6F" w:rsidP="00537910">
            <w:pPr>
              <w:pStyle w:val="NoSpacing"/>
              <w:jc w:val="center"/>
              <w:rPr>
                <w:rFonts w:ascii="Times New Roman" w:hAnsi="Times New Roman" w:cs="Times New Roman"/>
                <w:sz w:val="22"/>
                <w:szCs w:val="22"/>
              </w:rPr>
            </w:pPr>
            <w:r w:rsidRPr="00537910">
              <w:rPr>
                <w:rFonts w:ascii="Times New Roman" w:hAnsi="Times New Roman" w:cs="Times New Roman"/>
                <w:sz w:val="22"/>
                <w:szCs w:val="22"/>
              </w:rPr>
              <w:t>-8.92</w:t>
            </w:r>
          </w:p>
        </w:tc>
      </w:tr>
      <w:tr w:rsidR="00165F6F" w:rsidRPr="00537910" w14:paraId="28D96D22" w14:textId="77777777" w:rsidTr="00537910">
        <w:tc>
          <w:tcPr>
            <w:tcW w:w="0" w:type="auto"/>
            <w:hideMark/>
          </w:tcPr>
          <w:p w14:paraId="3AA67656" w14:textId="77777777" w:rsidR="00165F6F" w:rsidRPr="00537910" w:rsidRDefault="00165F6F" w:rsidP="00B77C0B">
            <w:pPr>
              <w:pStyle w:val="NoSpacing"/>
              <w:rPr>
                <w:rFonts w:ascii="Times New Roman" w:hAnsi="Times New Roman" w:cs="Times New Roman"/>
                <w:sz w:val="22"/>
                <w:szCs w:val="22"/>
              </w:rPr>
            </w:pPr>
            <w:r w:rsidRPr="00537910">
              <w:rPr>
                <w:rFonts w:ascii="Times New Roman" w:hAnsi="Times New Roman" w:cs="Times New Roman"/>
                <w:sz w:val="22"/>
                <w:szCs w:val="22"/>
              </w:rPr>
              <w:t>West Bengal</w:t>
            </w:r>
          </w:p>
        </w:tc>
        <w:tc>
          <w:tcPr>
            <w:tcW w:w="0" w:type="auto"/>
            <w:vAlign w:val="center"/>
            <w:hideMark/>
          </w:tcPr>
          <w:p w14:paraId="1F16A367" w14:textId="77777777" w:rsidR="00165F6F" w:rsidRPr="00537910" w:rsidRDefault="00165F6F" w:rsidP="00537910">
            <w:pPr>
              <w:pStyle w:val="NoSpacing"/>
              <w:jc w:val="center"/>
              <w:rPr>
                <w:rFonts w:ascii="Times New Roman" w:hAnsi="Times New Roman" w:cs="Times New Roman"/>
                <w:sz w:val="22"/>
                <w:szCs w:val="22"/>
              </w:rPr>
            </w:pPr>
            <w:r w:rsidRPr="00537910">
              <w:rPr>
                <w:rFonts w:ascii="Times New Roman" w:hAnsi="Times New Roman" w:cs="Times New Roman"/>
                <w:sz w:val="22"/>
                <w:szCs w:val="22"/>
              </w:rPr>
              <w:t>74.32</w:t>
            </w:r>
          </w:p>
        </w:tc>
        <w:tc>
          <w:tcPr>
            <w:tcW w:w="0" w:type="auto"/>
            <w:vAlign w:val="center"/>
            <w:hideMark/>
          </w:tcPr>
          <w:p w14:paraId="428757F2" w14:textId="77777777" w:rsidR="00165F6F" w:rsidRPr="00537910" w:rsidRDefault="00165F6F" w:rsidP="00537910">
            <w:pPr>
              <w:pStyle w:val="NoSpacing"/>
              <w:jc w:val="center"/>
              <w:rPr>
                <w:rFonts w:ascii="Times New Roman" w:hAnsi="Times New Roman" w:cs="Times New Roman"/>
                <w:sz w:val="22"/>
                <w:szCs w:val="22"/>
              </w:rPr>
            </w:pPr>
            <w:r w:rsidRPr="00537910">
              <w:rPr>
                <w:rFonts w:ascii="Times New Roman" w:hAnsi="Times New Roman" w:cs="Times New Roman"/>
                <w:sz w:val="22"/>
                <w:szCs w:val="22"/>
              </w:rPr>
              <w:t>15.88</w:t>
            </w:r>
          </w:p>
        </w:tc>
        <w:tc>
          <w:tcPr>
            <w:tcW w:w="0" w:type="auto"/>
            <w:vAlign w:val="center"/>
            <w:hideMark/>
          </w:tcPr>
          <w:p w14:paraId="5D45BB39" w14:textId="77777777" w:rsidR="00165F6F" w:rsidRPr="00537910" w:rsidRDefault="00165F6F" w:rsidP="00537910">
            <w:pPr>
              <w:pStyle w:val="NoSpacing"/>
              <w:jc w:val="center"/>
              <w:rPr>
                <w:rFonts w:ascii="Times New Roman" w:hAnsi="Times New Roman" w:cs="Times New Roman"/>
                <w:sz w:val="22"/>
                <w:szCs w:val="22"/>
              </w:rPr>
            </w:pPr>
            <w:r w:rsidRPr="00537910">
              <w:rPr>
                <w:rFonts w:ascii="Times New Roman" w:hAnsi="Times New Roman" w:cs="Times New Roman"/>
                <w:sz w:val="22"/>
                <w:szCs w:val="22"/>
              </w:rPr>
              <w:t>9.03</w:t>
            </w:r>
          </w:p>
        </w:tc>
        <w:tc>
          <w:tcPr>
            <w:tcW w:w="0" w:type="auto"/>
            <w:vAlign w:val="center"/>
            <w:hideMark/>
          </w:tcPr>
          <w:p w14:paraId="572C7184" w14:textId="77777777" w:rsidR="00165F6F" w:rsidRPr="00537910" w:rsidRDefault="00165F6F" w:rsidP="00537910">
            <w:pPr>
              <w:pStyle w:val="NoSpacing"/>
              <w:jc w:val="center"/>
              <w:rPr>
                <w:rFonts w:ascii="Times New Roman" w:hAnsi="Times New Roman" w:cs="Times New Roman"/>
                <w:sz w:val="22"/>
                <w:szCs w:val="22"/>
              </w:rPr>
            </w:pPr>
            <w:r w:rsidRPr="00537910">
              <w:rPr>
                <w:rFonts w:ascii="Times New Roman" w:hAnsi="Times New Roman" w:cs="Times New Roman"/>
                <w:sz w:val="22"/>
                <w:szCs w:val="22"/>
              </w:rPr>
              <w:t>1.97</w:t>
            </w:r>
          </w:p>
        </w:tc>
        <w:tc>
          <w:tcPr>
            <w:tcW w:w="0" w:type="auto"/>
            <w:vAlign w:val="center"/>
            <w:hideMark/>
          </w:tcPr>
          <w:p w14:paraId="5F0BBFCD" w14:textId="77777777" w:rsidR="00165F6F" w:rsidRPr="00537910" w:rsidRDefault="00165F6F" w:rsidP="00537910">
            <w:pPr>
              <w:pStyle w:val="NoSpacing"/>
              <w:jc w:val="center"/>
              <w:rPr>
                <w:rFonts w:ascii="Times New Roman" w:hAnsi="Times New Roman" w:cs="Times New Roman"/>
                <w:sz w:val="22"/>
                <w:szCs w:val="22"/>
              </w:rPr>
            </w:pPr>
            <w:r w:rsidRPr="00537910">
              <w:rPr>
                <w:rFonts w:ascii="Times New Roman" w:hAnsi="Times New Roman" w:cs="Times New Roman"/>
                <w:sz w:val="22"/>
                <w:szCs w:val="22"/>
              </w:rPr>
              <w:t>0.35</w:t>
            </w:r>
          </w:p>
        </w:tc>
        <w:tc>
          <w:tcPr>
            <w:tcW w:w="0" w:type="auto"/>
            <w:vAlign w:val="center"/>
            <w:hideMark/>
          </w:tcPr>
          <w:p w14:paraId="60C9F60F" w14:textId="77777777" w:rsidR="00165F6F" w:rsidRPr="00537910" w:rsidRDefault="00165F6F" w:rsidP="00537910">
            <w:pPr>
              <w:pStyle w:val="NoSpacing"/>
              <w:jc w:val="center"/>
              <w:rPr>
                <w:rFonts w:ascii="Times New Roman" w:hAnsi="Times New Roman" w:cs="Times New Roman"/>
                <w:sz w:val="22"/>
                <w:szCs w:val="22"/>
              </w:rPr>
            </w:pPr>
            <w:r w:rsidRPr="00537910">
              <w:rPr>
                <w:rFonts w:ascii="Times New Roman" w:hAnsi="Times New Roman" w:cs="Times New Roman"/>
                <w:sz w:val="22"/>
                <w:szCs w:val="22"/>
              </w:rPr>
              <w:t>3.48</w:t>
            </w:r>
          </w:p>
        </w:tc>
        <w:tc>
          <w:tcPr>
            <w:tcW w:w="0" w:type="auto"/>
            <w:vAlign w:val="center"/>
            <w:hideMark/>
          </w:tcPr>
          <w:p w14:paraId="3EF18E71" w14:textId="77777777" w:rsidR="00165F6F" w:rsidRPr="00537910" w:rsidRDefault="00165F6F" w:rsidP="00537910">
            <w:pPr>
              <w:pStyle w:val="NoSpacing"/>
              <w:jc w:val="center"/>
              <w:rPr>
                <w:rFonts w:ascii="Times New Roman" w:hAnsi="Times New Roman" w:cs="Times New Roman"/>
                <w:sz w:val="22"/>
                <w:szCs w:val="22"/>
              </w:rPr>
            </w:pPr>
            <w:r w:rsidRPr="00537910">
              <w:rPr>
                <w:rFonts w:ascii="Times New Roman" w:hAnsi="Times New Roman" w:cs="Times New Roman"/>
                <w:sz w:val="22"/>
                <w:szCs w:val="22"/>
              </w:rPr>
              <w:t>0.60</w:t>
            </w:r>
          </w:p>
        </w:tc>
        <w:tc>
          <w:tcPr>
            <w:tcW w:w="0" w:type="auto"/>
            <w:vAlign w:val="center"/>
            <w:hideMark/>
          </w:tcPr>
          <w:p w14:paraId="53F25B98" w14:textId="77777777" w:rsidR="00165F6F" w:rsidRPr="00537910" w:rsidRDefault="00165F6F" w:rsidP="00537910">
            <w:pPr>
              <w:pStyle w:val="NoSpacing"/>
              <w:jc w:val="center"/>
              <w:rPr>
                <w:rFonts w:ascii="Times New Roman" w:hAnsi="Times New Roman" w:cs="Times New Roman"/>
                <w:sz w:val="22"/>
                <w:szCs w:val="22"/>
              </w:rPr>
            </w:pPr>
            <w:r w:rsidRPr="00537910">
              <w:rPr>
                <w:rFonts w:ascii="Times New Roman" w:hAnsi="Times New Roman" w:cs="Times New Roman"/>
                <w:sz w:val="22"/>
                <w:szCs w:val="22"/>
              </w:rPr>
              <w:t>+0.45</w:t>
            </w:r>
          </w:p>
        </w:tc>
        <w:tc>
          <w:tcPr>
            <w:tcW w:w="0" w:type="auto"/>
            <w:vAlign w:val="center"/>
            <w:hideMark/>
          </w:tcPr>
          <w:p w14:paraId="13B0A831" w14:textId="77777777" w:rsidR="00165F6F" w:rsidRPr="00537910" w:rsidRDefault="00165F6F" w:rsidP="00537910">
            <w:pPr>
              <w:pStyle w:val="NoSpacing"/>
              <w:jc w:val="center"/>
              <w:rPr>
                <w:rFonts w:ascii="Times New Roman" w:hAnsi="Times New Roman" w:cs="Times New Roman"/>
                <w:sz w:val="22"/>
                <w:szCs w:val="22"/>
              </w:rPr>
            </w:pPr>
            <w:r w:rsidRPr="00537910">
              <w:rPr>
                <w:rFonts w:ascii="Times New Roman" w:hAnsi="Times New Roman" w:cs="Times New Roman"/>
                <w:sz w:val="22"/>
                <w:szCs w:val="22"/>
              </w:rPr>
              <w:t>-0.47</w:t>
            </w:r>
          </w:p>
        </w:tc>
        <w:tc>
          <w:tcPr>
            <w:tcW w:w="0" w:type="auto"/>
            <w:vAlign w:val="center"/>
            <w:hideMark/>
          </w:tcPr>
          <w:p w14:paraId="7B312EB2" w14:textId="77777777" w:rsidR="00165F6F" w:rsidRPr="00537910" w:rsidRDefault="00165F6F" w:rsidP="00537910">
            <w:pPr>
              <w:pStyle w:val="NoSpacing"/>
              <w:jc w:val="center"/>
              <w:rPr>
                <w:rFonts w:ascii="Times New Roman" w:hAnsi="Times New Roman" w:cs="Times New Roman"/>
                <w:sz w:val="22"/>
                <w:szCs w:val="22"/>
              </w:rPr>
            </w:pPr>
            <w:r w:rsidRPr="00537910">
              <w:rPr>
                <w:rFonts w:ascii="Times New Roman" w:hAnsi="Times New Roman" w:cs="Times New Roman"/>
                <w:sz w:val="22"/>
                <w:szCs w:val="22"/>
              </w:rPr>
              <w:t>-0.02</w:t>
            </w:r>
          </w:p>
        </w:tc>
      </w:tr>
      <w:tr w:rsidR="00165F6F" w:rsidRPr="00537910" w14:paraId="3C744EB4" w14:textId="77777777" w:rsidTr="00537910">
        <w:tc>
          <w:tcPr>
            <w:tcW w:w="0" w:type="auto"/>
            <w:hideMark/>
          </w:tcPr>
          <w:p w14:paraId="383C7E9A" w14:textId="77777777" w:rsidR="00165F6F" w:rsidRPr="00537910" w:rsidRDefault="00165F6F" w:rsidP="00B77C0B">
            <w:pPr>
              <w:pStyle w:val="NoSpacing"/>
              <w:rPr>
                <w:rFonts w:ascii="Times New Roman" w:hAnsi="Times New Roman" w:cs="Times New Roman"/>
                <w:sz w:val="22"/>
                <w:szCs w:val="22"/>
              </w:rPr>
            </w:pPr>
            <w:r w:rsidRPr="00537910">
              <w:rPr>
                <w:rFonts w:ascii="Times New Roman" w:hAnsi="Times New Roman" w:cs="Times New Roman"/>
                <w:sz w:val="22"/>
                <w:szCs w:val="22"/>
              </w:rPr>
              <w:t>TOTAL</w:t>
            </w:r>
          </w:p>
        </w:tc>
        <w:tc>
          <w:tcPr>
            <w:tcW w:w="0" w:type="auto"/>
            <w:vAlign w:val="center"/>
            <w:hideMark/>
          </w:tcPr>
          <w:p w14:paraId="03D1BE34" w14:textId="77777777" w:rsidR="00165F6F" w:rsidRPr="00537910" w:rsidRDefault="00165F6F" w:rsidP="00537910">
            <w:pPr>
              <w:pStyle w:val="NoSpacing"/>
              <w:jc w:val="center"/>
              <w:rPr>
                <w:rFonts w:ascii="Times New Roman" w:hAnsi="Times New Roman" w:cs="Times New Roman"/>
                <w:sz w:val="22"/>
                <w:szCs w:val="22"/>
              </w:rPr>
            </w:pPr>
            <w:r w:rsidRPr="00537910">
              <w:rPr>
                <w:rFonts w:ascii="Times New Roman" w:hAnsi="Times New Roman" w:cs="Times New Roman"/>
                <w:sz w:val="22"/>
                <w:szCs w:val="22"/>
              </w:rPr>
              <w:t>1730.58</w:t>
            </w:r>
          </w:p>
        </w:tc>
        <w:tc>
          <w:tcPr>
            <w:tcW w:w="0" w:type="auto"/>
            <w:vAlign w:val="center"/>
            <w:hideMark/>
          </w:tcPr>
          <w:p w14:paraId="207A85B8" w14:textId="77777777" w:rsidR="00165F6F" w:rsidRPr="00537910" w:rsidRDefault="00165F6F" w:rsidP="00537910">
            <w:pPr>
              <w:pStyle w:val="NoSpacing"/>
              <w:jc w:val="center"/>
              <w:rPr>
                <w:rFonts w:ascii="Times New Roman" w:hAnsi="Times New Roman" w:cs="Times New Roman"/>
                <w:sz w:val="22"/>
                <w:szCs w:val="22"/>
              </w:rPr>
            </w:pPr>
            <w:r w:rsidRPr="00537910">
              <w:rPr>
                <w:rFonts w:ascii="Times New Roman" w:hAnsi="Times New Roman" w:cs="Times New Roman"/>
                <w:sz w:val="22"/>
                <w:szCs w:val="22"/>
              </w:rPr>
              <w:t>268.24</w:t>
            </w:r>
          </w:p>
        </w:tc>
        <w:tc>
          <w:tcPr>
            <w:tcW w:w="0" w:type="auto"/>
            <w:vAlign w:val="center"/>
            <w:hideMark/>
          </w:tcPr>
          <w:p w14:paraId="1768997F" w14:textId="77777777" w:rsidR="00165F6F" w:rsidRPr="00537910" w:rsidRDefault="00165F6F" w:rsidP="00537910">
            <w:pPr>
              <w:pStyle w:val="NoSpacing"/>
              <w:jc w:val="center"/>
              <w:rPr>
                <w:rFonts w:ascii="Times New Roman" w:hAnsi="Times New Roman" w:cs="Times New Roman"/>
                <w:sz w:val="22"/>
                <w:szCs w:val="22"/>
              </w:rPr>
            </w:pPr>
            <w:r w:rsidRPr="00537910">
              <w:rPr>
                <w:rFonts w:ascii="Times New Roman" w:hAnsi="Times New Roman" w:cs="Times New Roman"/>
                <w:sz w:val="22"/>
                <w:szCs w:val="22"/>
              </w:rPr>
              <w:t>151.11</w:t>
            </w:r>
          </w:p>
        </w:tc>
        <w:tc>
          <w:tcPr>
            <w:tcW w:w="0" w:type="auto"/>
            <w:vAlign w:val="center"/>
            <w:hideMark/>
          </w:tcPr>
          <w:p w14:paraId="22D552B6" w14:textId="77777777" w:rsidR="00165F6F" w:rsidRPr="00537910" w:rsidRDefault="00165F6F" w:rsidP="00537910">
            <w:pPr>
              <w:pStyle w:val="NoSpacing"/>
              <w:jc w:val="center"/>
              <w:rPr>
                <w:rFonts w:ascii="Times New Roman" w:hAnsi="Times New Roman" w:cs="Times New Roman"/>
                <w:sz w:val="22"/>
                <w:szCs w:val="22"/>
              </w:rPr>
            </w:pPr>
            <w:r w:rsidRPr="00537910">
              <w:rPr>
                <w:rFonts w:ascii="Times New Roman" w:hAnsi="Times New Roman" w:cs="Times New Roman"/>
                <w:sz w:val="22"/>
                <w:szCs w:val="22"/>
              </w:rPr>
              <w:t>43.86</w:t>
            </w:r>
          </w:p>
        </w:tc>
        <w:tc>
          <w:tcPr>
            <w:tcW w:w="0" w:type="auto"/>
            <w:vAlign w:val="center"/>
            <w:hideMark/>
          </w:tcPr>
          <w:p w14:paraId="6CD2E515" w14:textId="77777777" w:rsidR="00165F6F" w:rsidRPr="00537910" w:rsidRDefault="00165F6F" w:rsidP="00537910">
            <w:pPr>
              <w:pStyle w:val="NoSpacing"/>
              <w:jc w:val="center"/>
              <w:rPr>
                <w:rFonts w:ascii="Times New Roman" w:hAnsi="Times New Roman" w:cs="Times New Roman"/>
                <w:sz w:val="22"/>
                <w:szCs w:val="22"/>
              </w:rPr>
            </w:pPr>
            <w:r w:rsidRPr="00537910">
              <w:rPr>
                <w:rFonts w:ascii="Times New Roman" w:hAnsi="Times New Roman" w:cs="Times New Roman"/>
                <w:sz w:val="22"/>
                <w:szCs w:val="22"/>
              </w:rPr>
              <w:t>4.68</w:t>
            </w:r>
          </w:p>
        </w:tc>
        <w:tc>
          <w:tcPr>
            <w:tcW w:w="0" w:type="auto"/>
            <w:vAlign w:val="center"/>
            <w:hideMark/>
          </w:tcPr>
          <w:p w14:paraId="71AB5614" w14:textId="77777777" w:rsidR="00165F6F" w:rsidRPr="00537910" w:rsidRDefault="00165F6F" w:rsidP="00537910">
            <w:pPr>
              <w:pStyle w:val="NoSpacing"/>
              <w:jc w:val="center"/>
              <w:rPr>
                <w:rFonts w:ascii="Times New Roman" w:hAnsi="Times New Roman" w:cs="Times New Roman"/>
                <w:sz w:val="22"/>
                <w:szCs w:val="22"/>
              </w:rPr>
            </w:pPr>
            <w:r w:rsidRPr="00537910">
              <w:rPr>
                <w:rFonts w:ascii="Times New Roman" w:hAnsi="Times New Roman" w:cs="Times New Roman"/>
                <w:sz w:val="22"/>
                <w:szCs w:val="22"/>
              </w:rPr>
              <w:t>81.03</w:t>
            </w:r>
          </w:p>
        </w:tc>
        <w:tc>
          <w:tcPr>
            <w:tcW w:w="0" w:type="auto"/>
            <w:vAlign w:val="center"/>
            <w:hideMark/>
          </w:tcPr>
          <w:p w14:paraId="55123C6B" w14:textId="77777777" w:rsidR="00165F6F" w:rsidRPr="00537910" w:rsidRDefault="00165F6F" w:rsidP="00537910">
            <w:pPr>
              <w:pStyle w:val="NoSpacing"/>
              <w:jc w:val="center"/>
              <w:rPr>
                <w:rFonts w:ascii="Times New Roman" w:hAnsi="Times New Roman" w:cs="Times New Roman"/>
                <w:sz w:val="22"/>
                <w:szCs w:val="22"/>
              </w:rPr>
            </w:pPr>
            <w:r w:rsidRPr="00537910">
              <w:rPr>
                <w:rFonts w:ascii="Times New Roman" w:hAnsi="Times New Roman" w:cs="Times New Roman"/>
                <w:sz w:val="22"/>
                <w:szCs w:val="22"/>
              </w:rPr>
              <w:t>9.07</w:t>
            </w:r>
          </w:p>
        </w:tc>
        <w:tc>
          <w:tcPr>
            <w:tcW w:w="0" w:type="auto"/>
            <w:vAlign w:val="center"/>
            <w:hideMark/>
          </w:tcPr>
          <w:p w14:paraId="37A4B827" w14:textId="77777777" w:rsidR="00165F6F" w:rsidRPr="00537910" w:rsidRDefault="00165F6F" w:rsidP="00537910">
            <w:pPr>
              <w:pStyle w:val="NoSpacing"/>
              <w:jc w:val="center"/>
              <w:rPr>
                <w:rFonts w:ascii="Times New Roman" w:hAnsi="Times New Roman" w:cs="Times New Roman"/>
                <w:sz w:val="22"/>
                <w:szCs w:val="22"/>
              </w:rPr>
            </w:pPr>
            <w:r w:rsidRPr="00537910">
              <w:rPr>
                <w:rFonts w:ascii="Times New Roman" w:hAnsi="Times New Roman" w:cs="Times New Roman"/>
                <w:sz w:val="22"/>
                <w:szCs w:val="22"/>
              </w:rPr>
              <w:t>-21.51</w:t>
            </w:r>
          </w:p>
        </w:tc>
        <w:tc>
          <w:tcPr>
            <w:tcW w:w="0" w:type="auto"/>
            <w:vAlign w:val="center"/>
            <w:hideMark/>
          </w:tcPr>
          <w:p w14:paraId="45397D7E" w14:textId="77777777" w:rsidR="00165F6F" w:rsidRPr="00537910" w:rsidRDefault="00165F6F" w:rsidP="00537910">
            <w:pPr>
              <w:pStyle w:val="NoSpacing"/>
              <w:jc w:val="center"/>
              <w:rPr>
                <w:rFonts w:ascii="Times New Roman" w:hAnsi="Times New Roman" w:cs="Times New Roman"/>
                <w:sz w:val="22"/>
                <w:szCs w:val="22"/>
              </w:rPr>
            </w:pPr>
            <w:r w:rsidRPr="00537910">
              <w:rPr>
                <w:rFonts w:ascii="Times New Roman" w:hAnsi="Times New Roman" w:cs="Times New Roman"/>
                <w:sz w:val="22"/>
                <w:szCs w:val="22"/>
              </w:rPr>
              <w:t>-5.78</w:t>
            </w:r>
          </w:p>
        </w:tc>
        <w:tc>
          <w:tcPr>
            <w:tcW w:w="0" w:type="auto"/>
            <w:vAlign w:val="center"/>
            <w:hideMark/>
          </w:tcPr>
          <w:p w14:paraId="499035FF" w14:textId="77777777" w:rsidR="00165F6F" w:rsidRPr="00537910" w:rsidRDefault="00165F6F" w:rsidP="00537910">
            <w:pPr>
              <w:pStyle w:val="NoSpacing"/>
              <w:jc w:val="center"/>
              <w:rPr>
                <w:rFonts w:ascii="Times New Roman" w:hAnsi="Times New Roman" w:cs="Times New Roman"/>
                <w:sz w:val="22"/>
                <w:szCs w:val="22"/>
              </w:rPr>
            </w:pPr>
            <w:r w:rsidRPr="00537910">
              <w:rPr>
                <w:rFonts w:ascii="Times New Roman" w:hAnsi="Times New Roman" w:cs="Times New Roman"/>
                <w:sz w:val="22"/>
                <w:szCs w:val="22"/>
              </w:rPr>
              <w:t>-27.29</w:t>
            </w:r>
          </w:p>
        </w:tc>
      </w:tr>
    </w:tbl>
    <w:p w14:paraId="54FC2BC7" w14:textId="77777777" w:rsidR="00165F6F" w:rsidRPr="007245B0" w:rsidRDefault="00165F6F" w:rsidP="003874AC">
      <w:pPr>
        <w:pStyle w:val="Sources"/>
      </w:pPr>
      <w:r w:rsidRPr="007245B0">
        <w:t>(a) Includes recovery of arrears.</w:t>
      </w:r>
    </w:p>
    <w:p w14:paraId="4209C8F7" w14:textId="079DD337" w:rsidR="00165F6F" w:rsidRPr="007245B0" w:rsidRDefault="00574BCE" w:rsidP="00165F6F">
      <w:pPr>
        <w:tabs>
          <w:tab w:val="left" w:pos="3306"/>
        </w:tabs>
        <w:jc w:val="center"/>
        <w:rPr>
          <w:rFonts w:ascii="Times New Roman" w:hAnsi="Times New Roman" w:cs="Times New Roman"/>
          <w:i/>
          <w:iCs/>
          <w:szCs w:val="24"/>
        </w:rPr>
      </w:pPr>
      <w:r>
        <w:rPr>
          <w:rFonts w:ascii="Times New Roman" w:hAnsi="Times New Roman" w:cs="Times New Roman"/>
          <w:b/>
          <w:bCs/>
          <w:szCs w:val="24"/>
        </w:rPr>
        <w:lastRenderedPageBreak/>
        <w:t>Table</w:t>
      </w:r>
      <w:r w:rsidR="00165F6F" w:rsidRPr="007245B0">
        <w:rPr>
          <w:rFonts w:ascii="Times New Roman" w:hAnsi="Times New Roman" w:cs="Times New Roman"/>
          <w:b/>
          <w:bCs/>
          <w:szCs w:val="24"/>
        </w:rPr>
        <w:t xml:space="preserve"> 36: Financial working of State Electricity Boards—contd.</w:t>
      </w:r>
    </w:p>
    <w:p w14:paraId="0C6F7730" w14:textId="77777777" w:rsidR="00165F6F" w:rsidRPr="007245B0" w:rsidRDefault="00165F6F" w:rsidP="00165F6F">
      <w:pPr>
        <w:tabs>
          <w:tab w:val="left" w:pos="3306"/>
        </w:tabs>
        <w:jc w:val="right"/>
        <w:rPr>
          <w:rFonts w:ascii="Times New Roman" w:hAnsi="Times New Roman" w:cs="Times New Roman"/>
          <w:i/>
          <w:iCs/>
          <w:szCs w:val="24"/>
        </w:rPr>
      </w:pPr>
      <w:r w:rsidRPr="007245B0">
        <w:rPr>
          <w:rFonts w:ascii="Times New Roman" w:hAnsi="Times New Roman" w:cs="Times New Roman"/>
          <w:i/>
          <w:iCs/>
          <w:szCs w:val="24"/>
        </w:rPr>
        <w:t>(Rs. crores)</w:t>
      </w:r>
    </w:p>
    <w:tbl>
      <w:tblPr>
        <w:tblStyle w:val="TableGrid"/>
        <w:tblW w:w="0" w:type="auto"/>
        <w:tblLook w:val="04A0" w:firstRow="1" w:lastRow="0" w:firstColumn="1" w:lastColumn="0" w:noHBand="0" w:noVBand="1"/>
      </w:tblPr>
      <w:tblGrid>
        <w:gridCol w:w="1362"/>
        <w:gridCol w:w="1042"/>
        <w:gridCol w:w="1031"/>
        <w:gridCol w:w="1103"/>
        <w:gridCol w:w="1523"/>
        <w:gridCol w:w="1176"/>
        <w:gridCol w:w="1557"/>
        <w:gridCol w:w="1034"/>
        <w:gridCol w:w="969"/>
        <w:gridCol w:w="1430"/>
        <w:gridCol w:w="1171"/>
      </w:tblGrid>
      <w:tr w:rsidR="008259E2" w:rsidRPr="00537910" w14:paraId="03A8E13C" w14:textId="77777777" w:rsidTr="00537910">
        <w:tc>
          <w:tcPr>
            <w:tcW w:w="0" w:type="auto"/>
            <w:vAlign w:val="center"/>
          </w:tcPr>
          <w:p w14:paraId="1716938F" w14:textId="77777777" w:rsidR="008259E2" w:rsidRPr="00537910" w:rsidRDefault="008259E2" w:rsidP="00537910">
            <w:pPr>
              <w:pStyle w:val="NoSpacing"/>
              <w:jc w:val="center"/>
              <w:rPr>
                <w:rFonts w:ascii="Times New Roman" w:hAnsi="Times New Roman" w:cs="Times New Roman"/>
                <w:b/>
                <w:bCs/>
                <w:sz w:val="22"/>
                <w:szCs w:val="22"/>
              </w:rPr>
            </w:pPr>
          </w:p>
        </w:tc>
        <w:tc>
          <w:tcPr>
            <w:tcW w:w="0" w:type="auto"/>
            <w:gridSpan w:val="10"/>
            <w:vAlign w:val="center"/>
          </w:tcPr>
          <w:p w14:paraId="5827A319" w14:textId="77777777" w:rsidR="008259E2" w:rsidRPr="00537910" w:rsidRDefault="008259E2" w:rsidP="00537910">
            <w:pPr>
              <w:pStyle w:val="NoSpacing"/>
              <w:jc w:val="center"/>
              <w:rPr>
                <w:rFonts w:ascii="Times New Roman" w:hAnsi="Times New Roman" w:cs="Times New Roman"/>
                <w:b/>
                <w:bCs/>
                <w:sz w:val="22"/>
                <w:szCs w:val="22"/>
              </w:rPr>
            </w:pPr>
            <w:r w:rsidRPr="00537910">
              <w:rPr>
                <w:rFonts w:ascii="Times New Roman" w:hAnsi="Times New Roman" w:cs="Times New Roman"/>
                <w:b/>
                <w:bCs/>
                <w:sz w:val="22"/>
                <w:szCs w:val="22"/>
              </w:rPr>
              <w:t>1968-1969</w:t>
            </w:r>
          </w:p>
        </w:tc>
      </w:tr>
      <w:tr w:rsidR="008259E2" w:rsidRPr="00537910" w14:paraId="7D1BDB91" w14:textId="77777777" w:rsidTr="00537910">
        <w:tc>
          <w:tcPr>
            <w:tcW w:w="0" w:type="auto"/>
            <w:vAlign w:val="center"/>
            <w:hideMark/>
          </w:tcPr>
          <w:p w14:paraId="00D56489" w14:textId="77777777" w:rsidR="008259E2" w:rsidRPr="00537910" w:rsidRDefault="008259E2" w:rsidP="00537910">
            <w:pPr>
              <w:pStyle w:val="NoSpacing"/>
              <w:jc w:val="center"/>
              <w:rPr>
                <w:rFonts w:ascii="Times New Roman" w:hAnsi="Times New Roman" w:cs="Times New Roman"/>
                <w:b/>
                <w:bCs/>
                <w:sz w:val="22"/>
                <w:szCs w:val="22"/>
              </w:rPr>
            </w:pPr>
            <w:r w:rsidRPr="00537910">
              <w:rPr>
                <w:rFonts w:ascii="Times New Roman" w:hAnsi="Times New Roman" w:cs="Times New Roman"/>
                <w:b/>
                <w:bCs/>
                <w:sz w:val="22"/>
                <w:szCs w:val="22"/>
              </w:rPr>
              <w:t>States</w:t>
            </w:r>
          </w:p>
        </w:tc>
        <w:tc>
          <w:tcPr>
            <w:tcW w:w="0" w:type="auto"/>
            <w:vAlign w:val="center"/>
            <w:hideMark/>
          </w:tcPr>
          <w:p w14:paraId="157E95EB" w14:textId="0549B208" w:rsidR="008259E2" w:rsidRPr="00537910" w:rsidRDefault="008259E2" w:rsidP="00537910">
            <w:pPr>
              <w:pStyle w:val="NoSpacing"/>
              <w:jc w:val="center"/>
              <w:rPr>
                <w:rFonts w:ascii="Times New Roman" w:hAnsi="Times New Roman" w:cs="Times New Roman"/>
                <w:b/>
                <w:bCs/>
                <w:sz w:val="22"/>
                <w:szCs w:val="22"/>
              </w:rPr>
            </w:pPr>
            <w:r w:rsidRPr="00537910">
              <w:rPr>
                <w:rFonts w:ascii="Times New Roman" w:hAnsi="Times New Roman" w:cs="Times New Roman"/>
                <w:b/>
                <w:bCs/>
                <w:sz w:val="22"/>
                <w:szCs w:val="22"/>
              </w:rPr>
              <w:t>Block Capital as on 1-4-6</w:t>
            </w:r>
            <w:r w:rsidR="00886EB4">
              <w:rPr>
                <w:rFonts w:ascii="Times New Roman" w:hAnsi="Times New Roman" w:cs="Times New Roman"/>
                <w:b/>
                <w:bCs/>
                <w:sz w:val="22"/>
                <w:szCs w:val="22"/>
              </w:rPr>
              <w:t>8</w:t>
            </w:r>
          </w:p>
        </w:tc>
        <w:tc>
          <w:tcPr>
            <w:tcW w:w="0" w:type="auto"/>
            <w:vAlign w:val="center"/>
            <w:hideMark/>
          </w:tcPr>
          <w:p w14:paraId="344A0A0D" w14:textId="10D80327" w:rsidR="008259E2" w:rsidRPr="00537910" w:rsidRDefault="008259E2" w:rsidP="00537910">
            <w:pPr>
              <w:pStyle w:val="NoSpacing"/>
              <w:jc w:val="center"/>
              <w:rPr>
                <w:rFonts w:ascii="Times New Roman" w:hAnsi="Times New Roman" w:cs="Times New Roman"/>
                <w:b/>
                <w:bCs/>
                <w:sz w:val="22"/>
                <w:szCs w:val="22"/>
              </w:rPr>
            </w:pPr>
            <w:r w:rsidRPr="00537910">
              <w:rPr>
                <w:rFonts w:ascii="Times New Roman" w:hAnsi="Times New Roman" w:cs="Times New Roman"/>
                <w:b/>
                <w:bCs/>
                <w:sz w:val="22"/>
                <w:szCs w:val="22"/>
              </w:rPr>
              <w:t>Receipts (a)</w:t>
            </w:r>
          </w:p>
        </w:tc>
        <w:tc>
          <w:tcPr>
            <w:tcW w:w="0" w:type="auto"/>
            <w:vAlign w:val="center"/>
            <w:hideMark/>
          </w:tcPr>
          <w:p w14:paraId="1770641D" w14:textId="09CB966E" w:rsidR="008259E2" w:rsidRPr="00537910" w:rsidRDefault="008259E2" w:rsidP="00537910">
            <w:pPr>
              <w:pStyle w:val="NoSpacing"/>
              <w:jc w:val="center"/>
              <w:rPr>
                <w:rFonts w:ascii="Times New Roman" w:hAnsi="Times New Roman" w:cs="Times New Roman"/>
                <w:b/>
                <w:bCs/>
                <w:sz w:val="22"/>
                <w:szCs w:val="22"/>
              </w:rPr>
            </w:pPr>
            <w:r w:rsidRPr="00537910">
              <w:rPr>
                <w:rFonts w:ascii="Times New Roman" w:hAnsi="Times New Roman" w:cs="Times New Roman"/>
                <w:b/>
                <w:bCs/>
                <w:sz w:val="22"/>
                <w:szCs w:val="22"/>
              </w:rPr>
              <w:t>Working expenses</w:t>
            </w:r>
          </w:p>
        </w:tc>
        <w:tc>
          <w:tcPr>
            <w:tcW w:w="0" w:type="auto"/>
            <w:vAlign w:val="center"/>
            <w:hideMark/>
          </w:tcPr>
          <w:p w14:paraId="4DBD5E06" w14:textId="6256C077" w:rsidR="008259E2" w:rsidRPr="00537910" w:rsidRDefault="008259E2" w:rsidP="00537910">
            <w:pPr>
              <w:pStyle w:val="NoSpacing"/>
              <w:jc w:val="center"/>
              <w:rPr>
                <w:rFonts w:ascii="Times New Roman" w:hAnsi="Times New Roman" w:cs="Times New Roman"/>
                <w:b/>
                <w:bCs/>
                <w:sz w:val="22"/>
                <w:szCs w:val="22"/>
              </w:rPr>
            </w:pPr>
            <w:r w:rsidRPr="00537910">
              <w:rPr>
                <w:rFonts w:ascii="Times New Roman" w:hAnsi="Times New Roman" w:cs="Times New Roman"/>
                <w:b/>
                <w:bCs/>
                <w:sz w:val="22"/>
                <w:szCs w:val="22"/>
              </w:rPr>
              <w:t>Transfer to Depreciation fund</w:t>
            </w:r>
          </w:p>
        </w:tc>
        <w:tc>
          <w:tcPr>
            <w:tcW w:w="0" w:type="auto"/>
            <w:vAlign w:val="center"/>
            <w:hideMark/>
          </w:tcPr>
          <w:p w14:paraId="74CCF830" w14:textId="35229283" w:rsidR="008259E2" w:rsidRPr="00537910" w:rsidRDefault="008259E2" w:rsidP="00537910">
            <w:pPr>
              <w:pStyle w:val="NoSpacing"/>
              <w:jc w:val="center"/>
              <w:rPr>
                <w:rFonts w:ascii="Times New Roman" w:hAnsi="Times New Roman" w:cs="Times New Roman"/>
                <w:b/>
                <w:bCs/>
                <w:sz w:val="22"/>
                <w:szCs w:val="22"/>
              </w:rPr>
            </w:pPr>
            <w:r w:rsidRPr="00537910">
              <w:rPr>
                <w:rFonts w:ascii="Times New Roman" w:hAnsi="Times New Roman" w:cs="Times New Roman"/>
                <w:b/>
                <w:bCs/>
                <w:sz w:val="22"/>
                <w:szCs w:val="22"/>
              </w:rPr>
              <w:t>Transfer to General Reserve fund</w:t>
            </w:r>
          </w:p>
        </w:tc>
        <w:tc>
          <w:tcPr>
            <w:tcW w:w="0" w:type="auto"/>
            <w:vAlign w:val="center"/>
            <w:hideMark/>
          </w:tcPr>
          <w:p w14:paraId="765A3016" w14:textId="0A5B7A0B" w:rsidR="008259E2" w:rsidRPr="00537910" w:rsidRDefault="008259E2" w:rsidP="00537910">
            <w:pPr>
              <w:pStyle w:val="NoSpacing"/>
              <w:jc w:val="center"/>
              <w:rPr>
                <w:rFonts w:ascii="Times New Roman" w:hAnsi="Times New Roman" w:cs="Times New Roman"/>
                <w:b/>
                <w:bCs/>
                <w:sz w:val="22"/>
                <w:szCs w:val="22"/>
              </w:rPr>
            </w:pPr>
            <w:r w:rsidRPr="00537910">
              <w:rPr>
                <w:rFonts w:ascii="Times New Roman" w:hAnsi="Times New Roman" w:cs="Times New Roman"/>
                <w:b/>
                <w:bCs/>
                <w:sz w:val="22"/>
                <w:szCs w:val="22"/>
              </w:rPr>
              <w:t>Interest to State Government (accrual)</w:t>
            </w:r>
          </w:p>
        </w:tc>
        <w:tc>
          <w:tcPr>
            <w:tcW w:w="0" w:type="auto"/>
            <w:vAlign w:val="center"/>
            <w:hideMark/>
          </w:tcPr>
          <w:p w14:paraId="7CF3B67F" w14:textId="7265B24A" w:rsidR="008259E2" w:rsidRPr="00537910" w:rsidRDefault="008259E2" w:rsidP="00537910">
            <w:pPr>
              <w:pStyle w:val="NoSpacing"/>
              <w:jc w:val="center"/>
              <w:rPr>
                <w:rFonts w:ascii="Times New Roman" w:hAnsi="Times New Roman" w:cs="Times New Roman"/>
                <w:b/>
                <w:bCs/>
                <w:sz w:val="22"/>
                <w:szCs w:val="22"/>
              </w:rPr>
            </w:pPr>
            <w:r w:rsidRPr="00537910">
              <w:rPr>
                <w:rFonts w:ascii="Times New Roman" w:hAnsi="Times New Roman" w:cs="Times New Roman"/>
                <w:b/>
                <w:bCs/>
                <w:sz w:val="22"/>
                <w:szCs w:val="22"/>
              </w:rPr>
              <w:t>Interest on other loans</w:t>
            </w:r>
          </w:p>
        </w:tc>
        <w:tc>
          <w:tcPr>
            <w:tcW w:w="0" w:type="auto"/>
            <w:vAlign w:val="center"/>
            <w:hideMark/>
          </w:tcPr>
          <w:p w14:paraId="2CAD25BE" w14:textId="4275A6DC" w:rsidR="008259E2" w:rsidRPr="00537910" w:rsidRDefault="008259E2" w:rsidP="00537910">
            <w:pPr>
              <w:pStyle w:val="NoSpacing"/>
              <w:jc w:val="center"/>
              <w:rPr>
                <w:rFonts w:ascii="Times New Roman" w:hAnsi="Times New Roman" w:cs="Times New Roman"/>
                <w:b/>
                <w:bCs/>
                <w:sz w:val="22"/>
                <w:szCs w:val="22"/>
              </w:rPr>
            </w:pPr>
            <w:r w:rsidRPr="00537910">
              <w:rPr>
                <w:rFonts w:ascii="Times New Roman" w:hAnsi="Times New Roman" w:cs="Times New Roman"/>
                <w:b/>
                <w:bCs/>
                <w:sz w:val="22"/>
                <w:szCs w:val="22"/>
              </w:rPr>
              <w:t>Net receipts</w:t>
            </w:r>
          </w:p>
        </w:tc>
        <w:tc>
          <w:tcPr>
            <w:tcW w:w="0" w:type="auto"/>
            <w:vAlign w:val="center"/>
            <w:hideMark/>
          </w:tcPr>
          <w:p w14:paraId="098DAA64" w14:textId="368F2801" w:rsidR="008259E2" w:rsidRPr="00537910" w:rsidRDefault="008259E2" w:rsidP="00537910">
            <w:pPr>
              <w:pStyle w:val="NoSpacing"/>
              <w:jc w:val="center"/>
              <w:rPr>
                <w:rFonts w:ascii="Times New Roman" w:hAnsi="Times New Roman" w:cs="Times New Roman"/>
                <w:b/>
                <w:bCs/>
                <w:sz w:val="22"/>
                <w:szCs w:val="22"/>
              </w:rPr>
            </w:pPr>
            <w:r w:rsidRPr="00537910">
              <w:rPr>
                <w:rFonts w:ascii="Times New Roman" w:hAnsi="Times New Roman" w:cs="Times New Roman"/>
                <w:b/>
                <w:bCs/>
                <w:sz w:val="22"/>
                <w:szCs w:val="22"/>
              </w:rPr>
              <w:t>Transfer to loan redemption fund</w:t>
            </w:r>
          </w:p>
        </w:tc>
        <w:tc>
          <w:tcPr>
            <w:tcW w:w="0" w:type="auto"/>
            <w:vAlign w:val="center"/>
            <w:hideMark/>
          </w:tcPr>
          <w:p w14:paraId="1ACE72EE" w14:textId="2CFE7F4A" w:rsidR="008259E2" w:rsidRPr="00537910" w:rsidRDefault="008259E2" w:rsidP="00537910">
            <w:pPr>
              <w:pStyle w:val="NoSpacing"/>
              <w:jc w:val="center"/>
              <w:rPr>
                <w:rFonts w:ascii="Times New Roman" w:hAnsi="Times New Roman" w:cs="Times New Roman"/>
                <w:b/>
                <w:bCs/>
                <w:sz w:val="22"/>
                <w:szCs w:val="22"/>
              </w:rPr>
            </w:pPr>
            <w:r w:rsidRPr="00537910">
              <w:rPr>
                <w:rFonts w:ascii="Times New Roman" w:hAnsi="Times New Roman" w:cs="Times New Roman"/>
                <w:b/>
                <w:bCs/>
                <w:sz w:val="22"/>
                <w:szCs w:val="22"/>
              </w:rPr>
              <w:t>Net receipts after taking into account item 29</w:t>
            </w:r>
          </w:p>
        </w:tc>
      </w:tr>
      <w:tr w:rsidR="008259E2" w:rsidRPr="00537910" w14:paraId="21EEEF9C" w14:textId="77777777" w:rsidTr="00537910">
        <w:tc>
          <w:tcPr>
            <w:tcW w:w="0" w:type="auto"/>
            <w:vAlign w:val="center"/>
          </w:tcPr>
          <w:p w14:paraId="30C331FA" w14:textId="77777777" w:rsidR="008259E2" w:rsidRPr="00537910" w:rsidRDefault="008259E2" w:rsidP="00537910">
            <w:pPr>
              <w:pStyle w:val="NoSpacing"/>
              <w:jc w:val="center"/>
              <w:rPr>
                <w:rFonts w:ascii="Times New Roman" w:hAnsi="Times New Roman" w:cs="Times New Roman"/>
                <w:b/>
                <w:bCs/>
                <w:sz w:val="22"/>
                <w:szCs w:val="22"/>
              </w:rPr>
            </w:pPr>
          </w:p>
        </w:tc>
        <w:tc>
          <w:tcPr>
            <w:tcW w:w="0" w:type="auto"/>
            <w:vAlign w:val="center"/>
          </w:tcPr>
          <w:p w14:paraId="4B6117AA" w14:textId="77777777" w:rsidR="008259E2" w:rsidRPr="00537910" w:rsidRDefault="008259E2" w:rsidP="00537910">
            <w:pPr>
              <w:pStyle w:val="NoSpacing"/>
              <w:jc w:val="center"/>
              <w:rPr>
                <w:rFonts w:ascii="Times New Roman" w:hAnsi="Times New Roman" w:cs="Times New Roman"/>
                <w:b/>
                <w:bCs/>
                <w:sz w:val="22"/>
                <w:szCs w:val="22"/>
              </w:rPr>
            </w:pPr>
            <w:r w:rsidRPr="00537910">
              <w:rPr>
                <w:rFonts w:ascii="Times New Roman" w:hAnsi="Times New Roman" w:cs="Times New Roman"/>
                <w:b/>
                <w:bCs/>
                <w:sz w:val="22"/>
                <w:szCs w:val="22"/>
              </w:rPr>
              <w:t>21</w:t>
            </w:r>
          </w:p>
        </w:tc>
        <w:tc>
          <w:tcPr>
            <w:tcW w:w="0" w:type="auto"/>
            <w:vAlign w:val="center"/>
          </w:tcPr>
          <w:p w14:paraId="66D5B869" w14:textId="77777777" w:rsidR="008259E2" w:rsidRPr="00537910" w:rsidRDefault="008259E2" w:rsidP="00537910">
            <w:pPr>
              <w:pStyle w:val="NoSpacing"/>
              <w:jc w:val="center"/>
              <w:rPr>
                <w:rFonts w:ascii="Times New Roman" w:hAnsi="Times New Roman" w:cs="Times New Roman"/>
                <w:b/>
                <w:bCs/>
                <w:sz w:val="22"/>
                <w:szCs w:val="22"/>
              </w:rPr>
            </w:pPr>
            <w:r w:rsidRPr="00537910">
              <w:rPr>
                <w:rFonts w:ascii="Times New Roman" w:hAnsi="Times New Roman" w:cs="Times New Roman"/>
                <w:b/>
                <w:bCs/>
                <w:sz w:val="22"/>
                <w:szCs w:val="22"/>
              </w:rPr>
              <w:t>22</w:t>
            </w:r>
          </w:p>
        </w:tc>
        <w:tc>
          <w:tcPr>
            <w:tcW w:w="0" w:type="auto"/>
            <w:vAlign w:val="center"/>
          </w:tcPr>
          <w:p w14:paraId="30108450" w14:textId="77777777" w:rsidR="008259E2" w:rsidRPr="00537910" w:rsidRDefault="008259E2" w:rsidP="00537910">
            <w:pPr>
              <w:pStyle w:val="NoSpacing"/>
              <w:jc w:val="center"/>
              <w:rPr>
                <w:rFonts w:ascii="Times New Roman" w:hAnsi="Times New Roman" w:cs="Times New Roman"/>
                <w:b/>
                <w:bCs/>
                <w:sz w:val="22"/>
                <w:szCs w:val="22"/>
              </w:rPr>
            </w:pPr>
            <w:r w:rsidRPr="00537910">
              <w:rPr>
                <w:rFonts w:ascii="Times New Roman" w:hAnsi="Times New Roman" w:cs="Times New Roman"/>
                <w:b/>
                <w:bCs/>
                <w:sz w:val="22"/>
                <w:szCs w:val="22"/>
              </w:rPr>
              <w:t>23</w:t>
            </w:r>
          </w:p>
        </w:tc>
        <w:tc>
          <w:tcPr>
            <w:tcW w:w="0" w:type="auto"/>
            <w:vAlign w:val="center"/>
          </w:tcPr>
          <w:p w14:paraId="04B0C7AF" w14:textId="77777777" w:rsidR="008259E2" w:rsidRPr="00537910" w:rsidRDefault="008259E2" w:rsidP="00537910">
            <w:pPr>
              <w:pStyle w:val="NoSpacing"/>
              <w:jc w:val="center"/>
              <w:rPr>
                <w:rFonts w:ascii="Times New Roman" w:hAnsi="Times New Roman" w:cs="Times New Roman"/>
                <w:b/>
                <w:bCs/>
                <w:sz w:val="22"/>
                <w:szCs w:val="22"/>
              </w:rPr>
            </w:pPr>
            <w:r w:rsidRPr="00537910">
              <w:rPr>
                <w:rFonts w:ascii="Times New Roman" w:hAnsi="Times New Roman" w:cs="Times New Roman"/>
                <w:b/>
                <w:bCs/>
                <w:sz w:val="22"/>
                <w:szCs w:val="22"/>
              </w:rPr>
              <w:t>24</w:t>
            </w:r>
          </w:p>
        </w:tc>
        <w:tc>
          <w:tcPr>
            <w:tcW w:w="0" w:type="auto"/>
            <w:vAlign w:val="center"/>
          </w:tcPr>
          <w:p w14:paraId="0CE93727" w14:textId="77777777" w:rsidR="008259E2" w:rsidRPr="00537910" w:rsidRDefault="008259E2" w:rsidP="00537910">
            <w:pPr>
              <w:pStyle w:val="NoSpacing"/>
              <w:jc w:val="center"/>
              <w:rPr>
                <w:rFonts w:ascii="Times New Roman" w:hAnsi="Times New Roman" w:cs="Times New Roman"/>
                <w:b/>
                <w:bCs/>
                <w:sz w:val="22"/>
                <w:szCs w:val="22"/>
              </w:rPr>
            </w:pPr>
            <w:r w:rsidRPr="00537910">
              <w:rPr>
                <w:rFonts w:ascii="Times New Roman" w:hAnsi="Times New Roman" w:cs="Times New Roman"/>
                <w:b/>
                <w:bCs/>
                <w:sz w:val="22"/>
                <w:szCs w:val="22"/>
              </w:rPr>
              <w:t>25</w:t>
            </w:r>
          </w:p>
        </w:tc>
        <w:tc>
          <w:tcPr>
            <w:tcW w:w="0" w:type="auto"/>
            <w:vAlign w:val="center"/>
          </w:tcPr>
          <w:p w14:paraId="69F59DF2" w14:textId="77777777" w:rsidR="008259E2" w:rsidRPr="00537910" w:rsidRDefault="008259E2" w:rsidP="00537910">
            <w:pPr>
              <w:pStyle w:val="NoSpacing"/>
              <w:jc w:val="center"/>
              <w:rPr>
                <w:rFonts w:ascii="Times New Roman" w:hAnsi="Times New Roman" w:cs="Times New Roman"/>
                <w:b/>
                <w:bCs/>
                <w:sz w:val="22"/>
                <w:szCs w:val="22"/>
              </w:rPr>
            </w:pPr>
            <w:r w:rsidRPr="00537910">
              <w:rPr>
                <w:rFonts w:ascii="Times New Roman" w:hAnsi="Times New Roman" w:cs="Times New Roman"/>
                <w:b/>
                <w:bCs/>
                <w:sz w:val="22"/>
                <w:szCs w:val="22"/>
              </w:rPr>
              <w:t>26</w:t>
            </w:r>
          </w:p>
        </w:tc>
        <w:tc>
          <w:tcPr>
            <w:tcW w:w="0" w:type="auto"/>
            <w:vAlign w:val="center"/>
          </w:tcPr>
          <w:p w14:paraId="0EB93165" w14:textId="77777777" w:rsidR="008259E2" w:rsidRPr="00537910" w:rsidRDefault="008259E2" w:rsidP="00537910">
            <w:pPr>
              <w:pStyle w:val="NoSpacing"/>
              <w:jc w:val="center"/>
              <w:rPr>
                <w:rFonts w:ascii="Times New Roman" w:hAnsi="Times New Roman" w:cs="Times New Roman"/>
                <w:b/>
                <w:bCs/>
                <w:sz w:val="22"/>
                <w:szCs w:val="22"/>
              </w:rPr>
            </w:pPr>
            <w:r w:rsidRPr="00537910">
              <w:rPr>
                <w:rFonts w:ascii="Times New Roman" w:hAnsi="Times New Roman" w:cs="Times New Roman"/>
                <w:b/>
                <w:bCs/>
                <w:sz w:val="22"/>
                <w:szCs w:val="22"/>
              </w:rPr>
              <w:t>27</w:t>
            </w:r>
          </w:p>
        </w:tc>
        <w:tc>
          <w:tcPr>
            <w:tcW w:w="0" w:type="auto"/>
            <w:vAlign w:val="center"/>
          </w:tcPr>
          <w:p w14:paraId="71A8B96B" w14:textId="77777777" w:rsidR="008259E2" w:rsidRPr="00537910" w:rsidRDefault="008259E2" w:rsidP="00537910">
            <w:pPr>
              <w:pStyle w:val="NoSpacing"/>
              <w:jc w:val="center"/>
              <w:rPr>
                <w:rFonts w:ascii="Times New Roman" w:hAnsi="Times New Roman" w:cs="Times New Roman"/>
                <w:b/>
                <w:bCs/>
                <w:sz w:val="22"/>
                <w:szCs w:val="22"/>
              </w:rPr>
            </w:pPr>
            <w:r w:rsidRPr="00537910">
              <w:rPr>
                <w:rFonts w:ascii="Times New Roman" w:hAnsi="Times New Roman" w:cs="Times New Roman"/>
                <w:b/>
                <w:bCs/>
                <w:sz w:val="22"/>
                <w:szCs w:val="22"/>
              </w:rPr>
              <w:t>28</w:t>
            </w:r>
          </w:p>
        </w:tc>
        <w:tc>
          <w:tcPr>
            <w:tcW w:w="0" w:type="auto"/>
            <w:vAlign w:val="center"/>
          </w:tcPr>
          <w:p w14:paraId="70DE33E1" w14:textId="77777777" w:rsidR="008259E2" w:rsidRPr="00537910" w:rsidRDefault="008259E2" w:rsidP="00537910">
            <w:pPr>
              <w:pStyle w:val="NoSpacing"/>
              <w:jc w:val="center"/>
              <w:rPr>
                <w:rFonts w:ascii="Times New Roman" w:hAnsi="Times New Roman" w:cs="Times New Roman"/>
                <w:b/>
                <w:bCs/>
                <w:sz w:val="22"/>
                <w:szCs w:val="22"/>
              </w:rPr>
            </w:pPr>
            <w:r w:rsidRPr="00537910">
              <w:rPr>
                <w:rFonts w:ascii="Times New Roman" w:hAnsi="Times New Roman" w:cs="Times New Roman"/>
                <w:b/>
                <w:bCs/>
                <w:sz w:val="22"/>
                <w:szCs w:val="22"/>
              </w:rPr>
              <w:t>29</w:t>
            </w:r>
          </w:p>
        </w:tc>
        <w:tc>
          <w:tcPr>
            <w:tcW w:w="0" w:type="auto"/>
            <w:vAlign w:val="center"/>
          </w:tcPr>
          <w:p w14:paraId="1779423E" w14:textId="77777777" w:rsidR="008259E2" w:rsidRPr="00537910" w:rsidRDefault="008259E2" w:rsidP="00537910">
            <w:pPr>
              <w:pStyle w:val="NoSpacing"/>
              <w:jc w:val="center"/>
              <w:rPr>
                <w:rFonts w:ascii="Times New Roman" w:hAnsi="Times New Roman" w:cs="Times New Roman"/>
                <w:b/>
                <w:bCs/>
                <w:sz w:val="22"/>
                <w:szCs w:val="22"/>
              </w:rPr>
            </w:pPr>
            <w:r w:rsidRPr="00537910">
              <w:rPr>
                <w:rFonts w:ascii="Times New Roman" w:hAnsi="Times New Roman" w:cs="Times New Roman"/>
                <w:b/>
                <w:bCs/>
                <w:sz w:val="22"/>
                <w:szCs w:val="22"/>
              </w:rPr>
              <w:t>30</w:t>
            </w:r>
          </w:p>
        </w:tc>
      </w:tr>
      <w:tr w:rsidR="008259E2" w:rsidRPr="00537910" w14:paraId="1F145CA5" w14:textId="77777777" w:rsidTr="00537910">
        <w:tc>
          <w:tcPr>
            <w:tcW w:w="0" w:type="auto"/>
            <w:hideMark/>
          </w:tcPr>
          <w:p w14:paraId="666AF828" w14:textId="77777777" w:rsidR="008259E2" w:rsidRPr="00537910" w:rsidRDefault="008259E2" w:rsidP="00B77C0B">
            <w:pPr>
              <w:pStyle w:val="NoSpacing"/>
              <w:rPr>
                <w:rFonts w:ascii="Times New Roman" w:hAnsi="Times New Roman" w:cs="Times New Roman"/>
                <w:sz w:val="22"/>
                <w:szCs w:val="22"/>
              </w:rPr>
            </w:pPr>
            <w:r w:rsidRPr="00537910">
              <w:rPr>
                <w:rFonts w:ascii="Times New Roman" w:hAnsi="Times New Roman" w:cs="Times New Roman"/>
                <w:sz w:val="22"/>
                <w:szCs w:val="22"/>
              </w:rPr>
              <w:t>Andhra Pradesh</w:t>
            </w:r>
          </w:p>
        </w:tc>
        <w:tc>
          <w:tcPr>
            <w:tcW w:w="0" w:type="auto"/>
            <w:vAlign w:val="center"/>
            <w:hideMark/>
          </w:tcPr>
          <w:p w14:paraId="30BEF11F" w14:textId="77777777" w:rsidR="008259E2" w:rsidRPr="00537910" w:rsidRDefault="008259E2" w:rsidP="00537910">
            <w:pPr>
              <w:pStyle w:val="NoSpacing"/>
              <w:jc w:val="center"/>
              <w:rPr>
                <w:rFonts w:ascii="Times New Roman" w:hAnsi="Times New Roman" w:cs="Times New Roman"/>
                <w:sz w:val="22"/>
                <w:szCs w:val="22"/>
              </w:rPr>
            </w:pPr>
            <w:r w:rsidRPr="00537910">
              <w:rPr>
                <w:rFonts w:ascii="Times New Roman" w:hAnsi="Times New Roman" w:cs="Times New Roman"/>
                <w:sz w:val="22"/>
                <w:szCs w:val="22"/>
              </w:rPr>
              <w:t>181.43</w:t>
            </w:r>
          </w:p>
        </w:tc>
        <w:tc>
          <w:tcPr>
            <w:tcW w:w="0" w:type="auto"/>
            <w:vAlign w:val="center"/>
            <w:hideMark/>
          </w:tcPr>
          <w:p w14:paraId="2834FCE4" w14:textId="77777777" w:rsidR="008259E2" w:rsidRPr="00537910" w:rsidRDefault="008259E2" w:rsidP="00537910">
            <w:pPr>
              <w:pStyle w:val="NoSpacing"/>
              <w:jc w:val="center"/>
              <w:rPr>
                <w:rFonts w:ascii="Times New Roman" w:hAnsi="Times New Roman" w:cs="Times New Roman"/>
                <w:sz w:val="22"/>
                <w:szCs w:val="22"/>
              </w:rPr>
            </w:pPr>
            <w:r w:rsidRPr="00537910">
              <w:rPr>
                <w:rFonts w:ascii="Times New Roman" w:hAnsi="Times New Roman" w:cs="Times New Roman"/>
                <w:sz w:val="22"/>
                <w:szCs w:val="22"/>
              </w:rPr>
              <w:t>31.70</w:t>
            </w:r>
          </w:p>
        </w:tc>
        <w:tc>
          <w:tcPr>
            <w:tcW w:w="0" w:type="auto"/>
            <w:vAlign w:val="center"/>
            <w:hideMark/>
          </w:tcPr>
          <w:p w14:paraId="13D68D60" w14:textId="77777777" w:rsidR="008259E2" w:rsidRPr="00537910" w:rsidRDefault="008259E2" w:rsidP="00537910">
            <w:pPr>
              <w:pStyle w:val="NoSpacing"/>
              <w:jc w:val="center"/>
              <w:rPr>
                <w:rFonts w:ascii="Times New Roman" w:hAnsi="Times New Roman" w:cs="Times New Roman"/>
                <w:sz w:val="22"/>
                <w:szCs w:val="22"/>
              </w:rPr>
            </w:pPr>
            <w:r w:rsidRPr="00537910">
              <w:rPr>
                <w:rFonts w:ascii="Times New Roman" w:hAnsi="Times New Roman" w:cs="Times New Roman"/>
                <w:sz w:val="22"/>
                <w:szCs w:val="22"/>
              </w:rPr>
              <w:t>13.80</w:t>
            </w:r>
          </w:p>
        </w:tc>
        <w:tc>
          <w:tcPr>
            <w:tcW w:w="0" w:type="auto"/>
            <w:vAlign w:val="center"/>
            <w:hideMark/>
          </w:tcPr>
          <w:p w14:paraId="28FA477C" w14:textId="77777777" w:rsidR="008259E2" w:rsidRPr="00537910" w:rsidRDefault="008259E2" w:rsidP="00537910">
            <w:pPr>
              <w:pStyle w:val="NoSpacing"/>
              <w:jc w:val="center"/>
              <w:rPr>
                <w:rFonts w:ascii="Times New Roman" w:hAnsi="Times New Roman" w:cs="Times New Roman"/>
                <w:sz w:val="22"/>
                <w:szCs w:val="22"/>
              </w:rPr>
            </w:pPr>
            <w:r w:rsidRPr="00537910">
              <w:rPr>
                <w:rFonts w:ascii="Times New Roman" w:hAnsi="Times New Roman" w:cs="Times New Roman"/>
                <w:sz w:val="22"/>
                <w:szCs w:val="22"/>
              </w:rPr>
              <w:t>7.00</w:t>
            </w:r>
          </w:p>
        </w:tc>
        <w:tc>
          <w:tcPr>
            <w:tcW w:w="0" w:type="auto"/>
            <w:vAlign w:val="center"/>
            <w:hideMark/>
          </w:tcPr>
          <w:p w14:paraId="24952EF3" w14:textId="77777777" w:rsidR="008259E2" w:rsidRPr="00537910" w:rsidRDefault="008259E2" w:rsidP="00537910">
            <w:pPr>
              <w:pStyle w:val="NoSpacing"/>
              <w:jc w:val="center"/>
              <w:rPr>
                <w:rFonts w:ascii="Times New Roman" w:hAnsi="Times New Roman" w:cs="Times New Roman"/>
                <w:sz w:val="22"/>
                <w:szCs w:val="22"/>
              </w:rPr>
            </w:pPr>
            <w:r w:rsidRPr="00537910">
              <w:rPr>
                <w:rFonts w:ascii="Times New Roman" w:hAnsi="Times New Roman" w:cs="Times New Roman"/>
                <w:sz w:val="22"/>
                <w:szCs w:val="22"/>
              </w:rPr>
              <w:t>0.90</w:t>
            </w:r>
          </w:p>
        </w:tc>
        <w:tc>
          <w:tcPr>
            <w:tcW w:w="0" w:type="auto"/>
            <w:vAlign w:val="center"/>
            <w:hideMark/>
          </w:tcPr>
          <w:p w14:paraId="0A36DE06" w14:textId="77777777" w:rsidR="008259E2" w:rsidRPr="00537910" w:rsidRDefault="008259E2" w:rsidP="00537910">
            <w:pPr>
              <w:pStyle w:val="NoSpacing"/>
              <w:jc w:val="center"/>
              <w:rPr>
                <w:rFonts w:ascii="Times New Roman" w:hAnsi="Times New Roman" w:cs="Times New Roman"/>
                <w:sz w:val="22"/>
                <w:szCs w:val="22"/>
              </w:rPr>
            </w:pPr>
            <w:r w:rsidRPr="00537910">
              <w:rPr>
                <w:rFonts w:ascii="Times New Roman" w:hAnsi="Times New Roman" w:cs="Times New Roman"/>
                <w:sz w:val="22"/>
                <w:szCs w:val="22"/>
              </w:rPr>
              <w:t>6.90</w:t>
            </w:r>
          </w:p>
        </w:tc>
        <w:tc>
          <w:tcPr>
            <w:tcW w:w="0" w:type="auto"/>
            <w:vAlign w:val="center"/>
            <w:hideMark/>
          </w:tcPr>
          <w:p w14:paraId="75F03311" w14:textId="77777777" w:rsidR="008259E2" w:rsidRPr="00537910" w:rsidRDefault="008259E2" w:rsidP="00537910">
            <w:pPr>
              <w:pStyle w:val="NoSpacing"/>
              <w:jc w:val="center"/>
              <w:rPr>
                <w:rFonts w:ascii="Times New Roman" w:hAnsi="Times New Roman" w:cs="Times New Roman"/>
                <w:sz w:val="22"/>
                <w:szCs w:val="22"/>
              </w:rPr>
            </w:pPr>
            <w:r w:rsidRPr="00537910">
              <w:rPr>
                <w:rFonts w:ascii="Times New Roman" w:hAnsi="Times New Roman" w:cs="Times New Roman"/>
                <w:sz w:val="22"/>
                <w:szCs w:val="22"/>
              </w:rPr>
              <w:t>1.60</w:t>
            </w:r>
          </w:p>
        </w:tc>
        <w:tc>
          <w:tcPr>
            <w:tcW w:w="0" w:type="auto"/>
            <w:vAlign w:val="center"/>
            <w:hideMark/>
          </w:tcPr>
          <w:p w14:paraId="1AE3F76F" w14:textId="77777777" w:rsidR="008259E2" w:rsidRPr="00537910" w:rsidRDefault="008259E2" w:rsidP="00537910">
            <w:pPr>
              <w:pStyle w:val="NoSpacing"/>
              <w:jc w:val="center"/>
              <w:rPr>
                <w:rFonts w:ascii="Times New Roman" w:hAnsi="Times New Roman" w:cs="Times New Roman"/>
                <w:sz w:val="22"/>
                <w:szCs w:val="22"/>
              </w:rPr>
            </w:pPr>
            <w:r w:rsidRPr="00537910">
              <w:rPr>
                <w:rFonts w:ascii="Times New Roman" w:hAnsi="Times New Roman" w:cs="Times New Roman"/>
                <w:sz w:val="22"/>
                <w:szCs w:val="22"/>
              </w:rPr>
              <w:t>+1.50</w:t>
            </w:r>
          </w:p>
        </w:tc>
        <w:tc>
          <w:tcPr>
            <w:tcW w:w="0" w:type="auto"/>
            <w:vAlign w:val="center"/>
            <w:hideMark/>
          </w:tcPr>
          <w:p w14:paraId="3698124D" w14:textId="77777777" w:rsidR="008259E2" w:rsidRPr="00537910" w:rsidRDefault="008259E2" w:rsidP="00537910">
            <w:pPr>
              <w:pStyle w:val="NoSpacing"/>
              <w:jc w:val="center"/>
              <w:rPr>
                <w:rFonts w:ascii="Times New Roman" w:hAnsi="Times New Roman" w:cs="Times New Roman"/>
                <w:sz w:val="22"/>
                <w:szCs w:val="22"/>
              </w:rPr>
            </w:pPr>
            <w:r w:rsidRPr="00537910">
              <w:rPr>
                <w:rFonts w:ascii="Times New Roman" w:hAnsi="Times New Roman" w:cs="Times New Roman"/>
                <w:sz w:val="22"/>
                <w:szCs w:val="22"/>
              </w:rPr>
              <w:t>-1.50</w:t>
            </w:r>
          </w:p>
        </w:tc>
        <w:tc>
          <w:tcPr>
            <w:tcW w:w="0" w:type="auto"/>
            <w:vAlign w:val="center"/>
            <w:hideMark/>
          </w:tcPr>
          <w:p w14:paraId="0302D790" w14:textId="77777777" w:rsidR="008259E2" w:rsidRPr="00537910" w:rsidRDefault="008259E2" w:rsidP="00537910">
            <w:pPr>
              <w:pStyle w:val="NoSpacing"/>
              <w:jc w:val="center"/>
              <w:rPr>
                <w:rFonts w:ascii="Times New Roman" w:hAnsi="Times New Roman" w:cs="Times New Roman"/>
                <w:sz w:val="22"/>
                <w:szCs w:val="22"/>
              </w:rPr>
            </w:pPr>
            <w:r w:rsidRPr="00537910">
              <w:rPr>
                <w:rFonts w:ascii="Times New Roman" w:hAnsi="Times New Roman" w:cs="Times New Roman"/>
                <w:sz w:val="22"/>
                <w:szCs w:val="22"/>
              </w:rPr>
              <w:t>..</w:t>
            </w:r>
          </w:p>
        </w:tc>
      </w:tr>
      <w:tr w:rsidR="008259E2" w:rsidRPr="00537910" w14:paraId="1E4536AF" w14:textId="77777777" w:rsidTr="00537910">
        <w:tc>
          <w:tcPr>
            <w:tcW w:w="0" w:type="auto"/>
            <w:hideMark/>
          </w:tcPr>
          <w:p w14:paraId="6B32FBA9" w14:textId="77777777" w:rsidR="008259E2" w:rsidRPr="00537910" w:rsidRDefault="008259E2" w:rsidP="00B77C0B">
            <w:pPr>
              <w:pStyle w:val="NoSpacing"/>
              <w:rPr>
                <w:rFonts w:ascii="Times New Roman" w:hAnsi="Times New Roman" w:cs="Times New Roman"/>
                <w:sz w:val="22"/>
                <w:szCs w:val="22"/>
              </w:rPr>
            </w:pPr>
            <w:r w:rsidRPr="00537910">
              <w:rPr>
                <w:rFonts w:ascii="Times New Roman" w:hAnsi="Times New Roman" w:cs="Times New Roman"/>
                <w:sz w:val="22"/>
                <w:szCs w:val="22"/>
              </w:rPr>
              <w:t>Assam</w:t>
            </w:r>
          </w:p>
        </w:tc>
        <w:tc>
          <w:tcPr>
            <w:tcW w:w="0" w:type="auto"/>
            <w:vAlign w:val="center"/>
            <w:hideMark/>
          </w:tcPr>
          <w:p w14:paraId="1DED6B72" w14:textId="77777777" w:rsidR="008259E2" w:rsidRPr="00537910" w:rsidRDefault="008259E2" w:rsidP="00537910">
            <w:pPr>
              <w:pStyle w:val="NoSpacing"/>
              <w:jc w:val="center"/>
              <w:rPr>
                <w:rFonts w:ascii="Times New Roman" w:hAnsi="Times New Roman" w:cs="Times New Roman"/>
                <w:sz w:val="22"/>
                <w:szCs w:val="22"/>
              </w:rPr>
            </w:pPr>
            <w:r w:rsidRPr="00537910">
              <w:rPr>
                <w:rFonts w:ascii="Times New Roman" w:hAnsi="Times New Roman" w:cs="Times New Roman"/>
                <w:sz w:val="22"/>
                <w:szCs w:val="22"/>
              </w:rPr>
              <w:t>65.47</w:t>
            </w:r>
          </w:p>
        </w:tc>
        <w:tc>
          <w:tcPr>
            <w:tcW w:w="0" w:type="auto"/>
            <w:vAlign w:val="center"/>
            <w:hideMark/>
          </w:tcPr>
          <w:p w14:paraId="383FC15E" w14:textId="77777777" w:rsidR="008259E2" w:rsidRPr="00537910" w:rsidRDefault="008259E2" w:rsidP="00537910">
            <w:pPr>
              <w:pStyle w:val="NoSpacing"/>
              <w:jc w:val="center"/>
              <w:rPr>
                <w:rFonts w:ascii="Times New Roman" w:hAnsi="Times New Roman" w:cs="Times New Roman"/>
                <w:sz w:val="22"/>
                <w:szCs w:val="22"/>
              </w:rPr>
            </w:pPr>
            <w:r w:rsidRPr="00537910">
              <w:rPr>
                <w:rFonts w:ascii="Times New Roman" w:hAnsi="Times New Roman" w:cs="Times New Roman"/>
                <w:sz w:val="22"/>
                <w:szCs w:val="22"/>
              </w:rPr>
              <w:t>3.82</w:t>
            </w:r>
          </w:p>
        </w:tc>
        <w:tc>
          <w:tcPr>
            <w:tcW w:w="0" w:type="auto"/>
            <w:vAlign w:val="center"/>
            <w:hideMark/>
          </w:tcPr>
          <w:p w14:paraId="00E9FB89" w14:textId="77777777" w:rsidR="008259E2" w:rsidRPr="00537910" w:rsidRDefault="008259E2" w:rsidP="00537910">
            <w:pPr>
              <w:pStyle w:val="NoSpacing"/>
              <w:jc w:val="center"/>
              <w:rPr>
                <w:rFonts w:ascii="Times New Roman" w:hAnsi="Times New Roman" w:cs="Times New Roman"/>
                <w:sz w:val="22"/>
                <w:szCs w:val="22"/>
              </w:rPr>
            </w:pPr>
            <w:r w:rsidRPr="00537910">
              <w:rPr>
                <w:rFonts w:ascii="Times New Roman" w:hAnsi="Times New Roman" w:cs="Times New Roman"/>
                <w:sz w:val="22"/>
                <w:szCs w:val="22"/>
              </w:rPr>
              <w:t>1.71</w:t>
            </w:r>
          </w:p>
        </w:tc>
        <w:tc>
          <w:tcPr>
            <w:tcW w:w="0" w:type="auto"/>
            <w:vAlign w:val="center"/>
            <w:hideMark/>
          </w:tcPr>
          <w:p w14:paraId="2B6355B7" w14:textId="77777777" w:rsidR="008259E2" w:rsidRPr="00537910" w:rsidRDefault="008259E2" w:rsidP="00537910">
            <w:pPr>
              <w:pStyle w:val="NoSpacing"/>
              <w:jc w:val="center"/>
              <w:rPr>
                <w:rFonts w:ascii="Times New Roman" w:hAnsi="Times New Roman" w:cs="Times New Roman"/>
                <w:sz w:val="22"/>
                <w:szCs w:val="22"/>
              </w:rPr>
            </w:pPr>
            <w:r w:rsidRPr="00537910">
              <w:rPr>
                <w:rFonts w:ascii="Times New Roman" w:hAnsi="Times New Roman" w:cs="Times New Roman"/>
                <w:sz w:val="22"/>
                <w:szCs w:val="22"/>
              </w:rPr>
              <w:t>1.40</w:t>
            </w:r>
          </w:p>
        </w:tc>
        <w:tc>
          <w:tcPr>
            <w:tcW w:w="0" w:type="auto"/>
            <w:vAlign w:val="center"/>
            <w:hideMark/>
          </w:tcPr>
          <w:p w14:paraId="1CDC27FF" w14:textId="77777777" w:rsidR="008259E2" w:rsidRPr="00537910" w:rsidRDefault="008259E2" w:rsidP="00537910">
            <w:pPr>
              <w:pStyle w:val="NoSpacing"/>
              <w:jc w:val="center"/>
              <w:rPr>
                <w:rFonts w:ascii="Times New Roman" w:hAnsi="Times New Roman" w:cs="Times New Roman"/>
                <w:sz w:val="22"/>
                <w:szCs w:val="22"/>
              </w:rPr>
            </w:pPr>
            <w:r w:rsidRPr="00537910">
              <w:rPr>
                <w:rFonts w:ascii="Times New Roman" w:hAnsi="Times New Roman" w:cs="Times New Roman"/>
                <w:sz w:val="22"/>
                <w:szCs w:val="22"/>
              </w:rPr>
              <w:t>..</w:t>
            </w:r>
          </w:p>
        </w:tc>
        <w:tc>
          <w:tcPr>
            <w:tcW w:w="0" w:type="auto"/>
            <w:vAlign w:val="center"/>
            <w:hideMark/>
          </w:tcPr>
          <w:p w14:paraId="44F730CC" w14:textId="77777777" w:rsidR="008259E2" w:rsidRPr="00537910" w:rsidRDefault="008259E2" w:rsidP="00537910">
            <w:pPr>
              <w:pStyle w:val="NoSpacing"/>
              <w:jc w:val="center"/>
              <w:rPr>
                <w:rFonts w:ascii="Times New Roman" w:hAnsi="Times New Roman" w:cs="Times New Roman"/>
                <w:sz w:val="22"/>
                <w:szCs w:val="22"/>
              </w:rPr>
            </w:pPr>
            <w:r w:rsidRPr="00537910">
              <w:rPr>
                <w:rFonts w:ascii="Times New Roman" w:hAnsi="Times New Roman" w:cs="Times New Roman"/>
                <w:sz w:val="22"/>
                <w:szCs w:val="22"/>
              </w:rPr>
              <w:t>NA</w:t>
            </w:r>
          </w:p>
        </w:tc>
        <w:tc>
          <w:tcPr>
            <w:tcW w:w="0" w:type="auto"/>
            <w:vAlign w:val="center"/>
            <w:hideMark/>
          </w:tcPr>
          <w:p w14:paraId="5A17EB6B" w14:textId="77777777" w:rsidR="008259E2" w:rsidRPr="00537910" w:rsidRDefault="008259E2" w:rsidP="00537910">
            <w:pPr>
              <w:pStyle w:val="NoSpacing"/>
              <w:jc w:val="center"/>
              <w:rPr>
                <w:rFonts w:ascii="Times New Roman" w:hAnsi="Times New Roman" w:cs="Times New Roman"/>
                <w:sz w:val="22"/>
                <w:szCs w:val="22"/>
              </w:rPr>
            </w:pPr>
            <w:r w:rsidRPr="00537910">
              <w:rPr>
                <w:rFonts w:ascii="Times New Roman" w:hAnsi="Times New Roman" w:cs="Times New Roman"/>
                <w:sz w:val="22"/>
                <w:szCs w:val="22"/>
              </w:rPr>
              <w:t>0.39</w:t>
            </w:r>
          </w:p>
        </w:tc>
        <w:tc>
          <w:tcPr>
            <w:tcW w:w="0" w:type="auto"/>
            <w:vAlign w:val="center"/>
            <w:hideMark/>
          </w:tcPr>
          <w:p w14:paraId="62AF6034" w14:textId="77777777" w:rsidR="008259E2" w:rsidRPr="00537910" w:rsidRDefault="008259E2" w:rsidP="00537910">
            <w:pPr>
              <w:pStyle w:val="NoSpacing"/>
              <w:jc w:val="center"/>
              <w:rPr>
                <w:rFonts w:ascii="Times New Roman" w:hAnsi="Times New Roman" w:cs="Times New Roman"/>
                <w:sz w:val="22"/>
                <w:szCs w:val="22"/>
              </w:rPr>
            </w:pPr>
            <w:r w:rsidRPr="00537910">
              <w:rPr>
                <w:rFonts w:ascii="Times New Roman" w:hAnsi="Times New Roman" w:cs="Times New Roman"/>
                <w:sz w:val="22"/>
                <w:szCs w:val="22"/>
              </w:rPr>
              <w:t>+0.32</w:t>
            </w:r>
          </w:p>
        </w:tc>
        <w:tc>
          <w:tcPr>
            <w:tcW w:w="0" w:type="auto"/>
            <w:vAlign w:val="center"/>
            <w:hideMark/>
          </w:tcPr>
          <w:p w14:paraId="7D0AA026" w14:textId="77777777" w:rsidR="008259E2" w:rsidRPr="00537910" w:rsidRDefault="008259E2" w:rsidP="00537910">
            <w:pPr>
              <w:pStyle w:val="NoSpacing"/>
              <w:jc w:val="center"/>
              <w:rPr>
                <w:rFonts w:ascii="Times New Roman" w:hAnsi="Times New Roman" w:cs="Times New Roman"/>
                <w:sz w:val="22"/>
                <w:szCs w:val="22"/>
              </w:rPr>
            </w:pPr>
            <w:r w:rsidRPr="00537910">
              <w:rPr>
                <w:rFonts w:ascii="Times New Roman" w:hAnsi="Times New Roman" w:cs="Times New Roman"/>
                <w:sz w:val="22"/>
                <w:szCs w:val="22"/>
              </w:rPr>
              <w:t>-0.32</w:t>
            </w:r>
          </w:p>
        </w:tc>
        <w:tc>
          <w:tcPr>
            <w:tcW w:w="0" w:type="auto"/>
            <w:vAlign w:val="center"/>
            <w:hideMark/>
          </w:tcPr>
          <w:p w14:paraId="1BAEDC46" w14:textId="77777777" w:rsidR="008259E2" w:rsidRPr="00537910" w:rsidRDefault="008259E2" w:rsidP="00537910">
            <w:pPr>
              <w:pStyle w:val="NoSpacing"/>
              <w:jc w:val="center"/>
              <w:rPr>
                <w:rFonts w:ascii="Times New Roman" w:hAnsi="Times New Roman" w:cs="Times New Roman"/>
                <w:sz w:val="22"/>
                <w:szCs w:val="22"/>
              </w:rPr>
            </w:pPr>
            <w:r w:rsidRPr="00537910">
              <w:rPr>
                <w:rFonts w:ascii="Times New Roman" w:hAnsi="Times New Roman" w:cs="Times New Roman"/>
                <w:sz w:val="22"/>
                <w:szCs w:val="22"/>
              </w:rPr>
              <w:t>..</w:t>
            </w:r>
          </w:p>
        </w:tc>
      </w:tr>
      <w:tr w:rsidR="008259E2" w:rsidRPr="00537910" w14:paraId="6B593D3C" w14:textId="77777777" w:rsidTr="00537910">
        <w:tc>
          <w:tcPr>
            <w:tcW w:w="0" w:type="auto"/>
            <w:hideMark/>
          </w:tcPr>
          <w:p w14:paraId="604F9577" w14:textId="77777777" w:rsidR="008259E2" w:rsidRPr="00537910" w:rsidRDefault="008259E2" w:rsidP="00B77C0B">
            <w:pPr>
              <w:pStyle w:val="NoSpacing"/>
              <w:rPr>
                <w:rFonts w:ascii="Times New Roman" w:hAnsi="Times New Roman" w:cs="Times New Roman"/>
                <w:sz w:val="22"/>
                <w:szCs w:val="22"/>
              </w:rPr>
            </w:pPr>
            <w:r w:rsidRPr="00537910">
              <w:rPr>
                <w:rFonts w:ascii="Times New Roman" w:hAnsi="Times New Roman" w:cs="Times New Roman"/>
                <w:sz w:val="22"/>
                <w:szCs w:val="22"/>
              </w:rPr>
              <w:t>Bihar</w:t>
            </w:r>
          </w:p>
        </w:tc>
        <w:tc>
          <w:tcPr>
            <w:tcW w:w="0" w:type="auto"/>
            <w:vAlign w:val="center"/>
            <w:hideMark/>
          </w:tcPr>
          <w:p w14:paraId="6825D16B" w14:textId="77777777" w:rsidR="008259E2" w:rsidRPr="00537910" w:rsidRDefault="008259E2" w:rsidP="00537910">
            <w:pPr>
              <w:pStyle w:val="NoSpacing"/>
              <w:jc w:val="center"/>
              <w:rPr>
                <w:rFonts w:ascii="Times New Roman" w:hAnsi="Times New Roman" w:cs="Times New Roman"/>
                <w:sz w:val="22"/>
                <w:szCs w:val="22"/>
              </w:rPr>
            </w:pPr>
            <w:r w:rsidRPr="00537910">
              <w:rPr>
                <w:rFonts w:ascii="Times New Roman" w:hAnsi="Times New Roman" w:cs="Times New Roman"/>
                <w:sz w:val="22"/>
                <w:szCs w:val="22"/>
              </w:rPr>
              <w:t>157.07</w:t>
            </w:r>
          </w:p>
        </w:tc>
        <w:tc>
          <w:tcPr>
            <w:tcW w:w="0" w:type="auto"/>
            <w:vAlign w:val="center"/>
            <w:hideMark/>
          </w:tcPr>
          <w:p w14:paraId="0DDFD1E3" w14:textId="77777777" w:rsidR="008259E2" w:rsidRPr="00537910" w:rsidRDefault="008259E2" w:rsidP="00537910">
            <w:pPr>
              <w:pStyle w:val="NoSpacing"/>
              <w:jc w:val="center"/>
              <w:rPr>
                <w:rFonts w:ascii="Times New Roman" w:hAnsi="Times New Roman" w:cs="Times New Roman"/>
                <w:sz w:val="22"/>
                <w:szCs w:val="22"/>
              </w:rPr>
            </w:pPr>
            <w:r w:rsidRPr="00537910">
              <w:rPr>
                <w:rFonts w:ascii="Times New Roman" w:hAnsi="Times New Roman" w:cs="Times New Roman"/>
                <w:sz w:val="22"/>
                <w:szCs w:val="22"/>
              </w:rPr>
              <w:t>18.87</w:t>
            </w:r>
          </w:p>
        </w:tc>
        <w:tc>
          <w:tcPr>
            <w:tcW w:w="0" w:type="auto"/>
            <w:vAlign w:val="center"/>
            <w:hideMark/>
          </w:tcPr>
          <w:p w14:paraId="5E83A709" w14:textId="77777777" w:rsidR="008259E2" w:rsidRPr="00537910" w:rsidRDefault="008259E2" w:rsidP="00537910">
            <w:pPr>
              <w:pStyle w:val="NoSpacing"/>
              <w:jc w:val="center"/>
              <w:rPr>
                <w:rFonts w:ascii="Times New Roman" w:hAnsi="Times New Roman" w:cs="Times New Roman"/>
                <w:sz w:val="22"/>
                <w:szCs w:val="22"/>
              </w:rPr>
            </w:pPr>
            <w:r w:rsidRPr="00537910">
              <w:rPr>
                <w:rFonts w:ascii="Times New Roman" w:hAnsi="Times New Roman" w:cs="Times New Roman"/>
                <w:sz w:val="22"/>
                <w:szCs w:val="22"/>
              </w:rPr>
              <w:t>13.29</w:t>
            </w:r>
          </w:p>
        </w:tc>
        <w:tc>
          <w:tcPr>
            <w:tcW w:w="0" w:type="auto"/>
            <w:vAlign w:val="center"/>
            <w:hideMark/>
          </w:tcPr>
          <w:p w14:paraId="7BABFF99" w14:textId="77777777" w:rsidR="008259E2" w:rsidRPr="00537910" w:rsidRDefault="008259E2" w:rsidP="00537910">
            <w:pPr>
              <w:pStyle w:val="NoSpacing"/>
              <w:jc w:val="center"/>
              <w:rPr>
                <w:rFonts w:ascii="Times New Roman" w:hAnsi="Times New Roman" w:cs="Times New Roman"/>
                <w:sz w:val="22"/>
                <w:szCs w:val="22"/>
              </w:rPr>
            </w:pPr>
            <w:r w:rsidRPr="00537910">
              <w:rPr>
                <w:rFonts w:ascii="Times New Roman" w:hAnsi="Times New Roman" w:cs="Times New Roman"/>
                <w:sz w:val="22"/>
                <w:szCs w:val="22"/>
              </w:rPr>
              <w:t>3.52</w:t>
            </w:r>
          </w:p>
        </w:tc>
        <w:tc>
          <w:tcPr>
            <w:tcW w:w="0" w:type="auto"/>
            <w:vAlign w:val="center"/>
            <w:hideMark/>
          </w:tcPr>
          <w:p w14:paraId="1079900A" w14:textId="77777777" w:rsidR="008259E2" w:rsidRPr="00537910" w:rsidRDefault="008259E2" w:rsidP="00537910">
            <w:pPr>
              <w:pStyle w:val="NoSpacing"/>
              <w:jc w:val="center"/>
              <w:rPr>
                <w:rFonts w:ascii="Times New Roman" w:hAnsi="Times New Roman" w:cs="Times New Roman"/>
                <w:sz w:val="22"/>
                <w:szCs w:val="22"/>
              </w:rPr>
            </w:pPr>
            <w:r w:rsidRPr="00537910">
              <w:rPr>
                <w:rFonts w:ascii="Times New Roman" w:hAnsi="Times New Roman" w:cs="Times New Roman"/>
                <w:sz w:val="22"/>
                <w:szCs w:val="22"/>
              </w:rPr>
              <w:t>0.01</w:t>
            </w:r>
          </w:p>
        </w:tc>
        <w:tc>
          <w:tcPr>
            <w:tcW w:w="0" w:type="auto"/>
            <w:vAlign w:val="center"/>
            <w:hideMark/>
          </w:tcPr>
          <w:p w14:paraId="22978210" w14:textId="77777777" w:rsidR="008259E2" w:rsidRPr="00537910" w:rsidRDefault="008259E2" w:rsidP="00537910">
            <w:pPr>
              <w:pStyle w:val="NoSpacing"/>
              <w:jc w:val="center"/>
              <w:rPr>
                <w:rFonts w:ascii="Times New Roman" w:hAnsi="Times New Roman" w:cs="Times New Roman"/>
                <w:sz w:val="22"/>
                <w:szCs w:val="22"/>
              </w:rPr>
            </w:pPr>
            <w:r w:rsidRPr="00537910">
              <w:rPr>
                <w:rFonts w:ascii="Times New Roman" w:hAnsi="Times New Roman" w:cs="Times New Roman"/>
                <w:sz w:val="22"/>
                <w:szCs w:val="22"/>
              </w:rPr>
              <w:t>8.07</w:t>
            </w:r>
          </w:p>
        </w:tc>
        <w:tc>
          <w:tcPr>
            <w:tcW w:w="0" w:type="auto"/>
            <w:vAlign w:val="center"/>
            <w:hideMark/>
          </w:tcPr>
          <w:p w14:paraId="29655CA8" w14:textId="77777777" w:rsidR="008259E2" w:rsidRPr="00537910" w:rsidRDefault="008259E2" w:rsidP="00537910">
            <w:pPr>
              <w:pStyle w:val="NoSpacing"/>
              <w:jc w:val="center"/>
              <w:rPr>
                <w:rFonts w:ascii="Times New Roman" w:hAnsi="Times New Roman" w:cs="Times New Roman"/>
                <w:sz w:val="22"/>
                <w:szCs w:val="22"/>
              </w:rPr>
            </w:pPr>
            <w:r w:rsidRPr="00537910">
              <w:rPr>
                <w:rFonts w:ascii="Times New Roman" w:hAnsi="Times New Roman" w:cs="Times New Roman"/>
                <w:sz w:val="22"/>
                <w:szCs w:val="22"/>
              </w:rPr>
              <w:t>0.81</w:t>
            </w:r>
          </w:p>
        </w:tc>
        <w:tc>
          <w:tcPr>
            <w:tcW w:w="0" w:type="auto"/>
            <w:vAlign w:val="center"/>
            <w:hideMark/>
          </w:tcPr>
          <w:p w14:paraId="30A05F64" w14:textId="77777777" w:rsidR="008259E2" w:rsidRPr="00537910" w:rsidRDefault="008259E2" w:rsidP="00537910">
            <w:pPr>
              <w:pStyle w:val="NoSpacing"/>
              <w:jc w:val="center"/>
              <w:rPr>
                <w:rFonts w:ascii="Times New Roman" w:hAnsi="Times New Roman" w:cs="Times New Roman"/>
                <w:sz w:val="22"/>
                <w:szCs w:val="22"/>
              </w:rPr>
            </w:pPr>
            <w:r w:rsidRPr="00537910">
              <w:rPr>
                <w:rFonts w:ascii="Times New Roman" w:hAnsi="Times New Roman" w:cs="Times New Roman"/>
                <w:sz w:val="22"/>
                <w:szCs w:val="22"/>
              </w:rPr>
              <w:t>-6.83</w:t>
            </w:r>
          </w:p>
        </w:tc>
        <w:tc>
          <w:tcPr>
            <w:tcW w:w="0" w:type="auto"/>
            <w:vAlign w:val="center"/>
            <w:hideMark/>
          </w:tcPr>
          <w:p w14:paraId="13784850" w14:textId="77777777" w:rsidR="008259E2" w:rsidRPr="00537910" w:rsidRDefault="008259E2" w:rsidP="00537910">
            <w:pPr>
              <w:pStyle w:val="NoSpacing"/>
              <w:jc w:val="center"/>
              <w:rPr>
                <w:rFonts w:ascii="Times New Roman" w:hAnsi="Times New Roman" w:cs="Times New Roman"/>
                <w:sz w:val="22"/>
                <w:szCs w:val="22"/>
              </w:rPr>
            </w:pPr>
            <w:r w:rsidRPr="00537910">
              <w:rPr>
                <w:rFonts w:ascii="Times New Roman" w:hAnsi="Times New Roman" w:cs="Times New Roman"/>
                <w:sz w:val="22"/>
                <w:szCs w:val="22"/>
              </w:rPr>
              <w:t>-0.23</w:t>
            </w:r>
          </w:p>
        </w:tc>
        <w:tc>
          <w:tcPr>
            <w:tcW w:w="0" w:type="auto"/>
            <w:vAlign w:val="center"/>
            <w:hideMark/>
          </w:tcPr>
          <w:p w14:paraId="087AD565" w14:textId="77777777" w:rsidR="008259E2" w:rsidRPr="00537910" w:rsidRDefault="008259E2" w:rsidP="00537910">
            <w:pPr>
              <w:pStyle w:val="NoSpacing"/>
              <w:jc w:val="center"/>
              <w:rPr>
                <w:rFonts w:ascii="Times New Roman" w:hAnsi="Times New Roman" w:cs="Times New Roman"/>
                <w:sz w:val="22"/>
                <w:szCs w:val="22"/>
              </w:rPr>
            </w:pPr>
            <w:r w:rsidRPr="00537910">
              <w:rPr>
                <w:rFonts w:ascii="Times New Roman" w:hAnsi="Times New Roman" w:cs="Times New Roman"/>
                <w:sz w:val="22"/>
                <w:szCs w:val="22"/>
              </w:rPr>
              <w:t>-7.06</w:t>
            </w:r>
          </w:p>
        </w:tc>
      </w:tr>
      <w:tr w:rsidR="008259E2" w:rsidRPr="00537910" w14:paraId="06427E24" w14:textId="77777777" w:rsidTr="00537910">
        <w:tc>
          <w:tcPr>
            <w:tcW w:w="0" w:type="auto"/>
            <w:hideMark/>
          </w:tcPr>
          <w:p w14:paraId="598F13D1" w14:textId="77777777" w:rsidR="008259E2" w:rsidRPr="00537910" w:rsidRDefault="008259E2" w:rsidP="00B77C0B">
            <w:pPr>
              <w:pStyle w:val="NoSpacing"/>
              <w:rPr>
                <w:rFonts w:ascii="Times New Roman" w:hAnsi="Times New Roman" w:cs="Times New Roman"/>
                <w:sz w:val="22"/>
                <w:szCs w:val="22"/>
              </w:rPr>
            </w:pPr>
            <w:r w:rsidRPr="00537910">
              <w:rPr>
                <w:rFonts w:ascii="Times New Roman" w:hAnsi="Times New Roman" w:cs="Times New Roman"/>
                <w:sz w:val="22"/>
                <w:szCs w:val="22"/>
              </w:rPr>
              <w:t>Gujarat</w:t>
            </w:r>
          </w:p>
        </w:tc>
        <w:tc>
          <w:tcPr>
            <w:tcW w:w="0" w:type="auto"/>
            <w:vAlign w:val="center"/>
            <w:hideMark/>
          </w:tcPr>
          <w:p w14:paraId="60F81DDA" w14:textId="77777777" w:rsidR="008259E2" w:rsidRPr="00537910" w:rsidRDefault="008259E2" w:rsidP="00537910">
            <w:pPr>
              <w:pStyle w:val="NoSpacing"/>
              <w:jc w:val="center"/>
              <w:rPr>
                <w:rFonts w:ascii="Times New Roman" w:hAnsi="Times New Roman" w:cs="Times New Roman"/>
                <w:sz w:val="22"/>
                <w:szCs w:val="22"/>
              </w:rPr>
            </w:pPr>
            <w:r w:rsidRPr="00537910">
              <w:rPr>
                <w:rFonts w:ascii="Times New Roman" w:hAnsi="Times New Roman" w:cs="Times New Roman"/>
                <w:sz w:val="22"/>
                <w:szCs w:val="22"/>
              </w:rPr>
              <w:t>115.36</w:t>
            </w:r>
          </w:p>
        </w:tc>
        <w:tc>
          <w:tcPr>
            <w:tcW w:w="0" w:type="auto"/>
            <w:vAlign w:val="center"/>
            <w:hideMark/>
          </w:tcPr>
          <w:p w14:paraId="299E27BD" w14:textId="77777777" w:rsidR="008259E2" w:rsidRPr="00537910" w:rsidRDefault="008259E2" w:rsidP="00537910">
            <w:pPr>
              <w:pStyle w:val="NoSpacing"/>
              <w:jc w:val="center"/>
              <w:rPr>
                <w:rFonts w:ascii="Times New Roman" w:hAnsi="Times New Roman" w:cs="Times New Roman"/>
                <w:sz w:val="22"/>
                <w:szCs w:val="22"/>
              </w:rPr>
            </w:pPr>
            <w:r w:rsidRPr="00537910">
              <w:rPr>
                <w:rFonts w:ascii="Times New Roman" w:hAnsi="Times New Roman" w:cs="Times New Roman"/>
                <w:sz w:val="22"/>
                <w:szCs w:val="22"/>
              </w:rPr>
              <w:t>22.05</w:t>
            </w:r>
          </w:p>
        </w:tc>
        <w:tc>
          <w:tcPr>
            <w:tcW w:w="0" w:type="auto"/>
            <w:vAlign w:val="center"/>
            <w:hideMark/>
          </w:tcPr>
          <w:p w14:paraId="33673495" w14:textId="77777777" w:rsidR="008259E2" w:rsidRPr="00537910" w:rsidRDefault="008259E2" w:rsidP="00537910">
            <w:pPr>
              <w:pStyle w:val="NoSpacing"/>
              <w:jc w:val="center"/>
              <w:rPr>
                <w:rFonts w:ascii="Times New Roman" w:hAnsi="Times New Roman" w:cs="Times New Roman"/>
                <w:sz w:val="22"/>
                <w:szCs w:val="22"/>
              </w:rPr>
            </w:pPr>
            <w:r w:rsidRPr="00537910">
              <w:rPr>
                <w:rFonts w:ascii="Times New Roman" w:hAnsi="Times New Roman" w:cs="Times New Roman"/>
                <w:sz w:val="22"/>
                <w:szCs w:val="22"/>
              </w:rPr>
              <w:t>12.55</w:t>
            </w:r>
          </w:p>
        </w:tc>
        <w:tc>
          <w:tcPr>
            <w:tcW w:w="0" w:type="auto"/>
            <w:vAlign w:val="center"/>
            <w:hideMark/>
          </w:tcPr>
          <w:p w14:paraId="19591771" w14:textId="77777777" w:rsidR="008259E2" w:rsidRPr="00537910" w:rsidRDefault="008259E2" w:rsidP="00537910">
            <w:pPr>
              <w:pStyle w:val="NoSpacing"/>
              <w:jc w:val="center"/>
              <w:rPr>
                <w:rFonts w:ascii="Times New Roman" w:hAnsi="Times New Roman" w:cs="Times New Roman"/>
                <w:sz w:val="22"/>
                <w:szCs w:val="22"/>
              </w:rPr>
            </w:pPr>
            <w:r w:rsidRPr="00537910">
              <w:rPr>
                <w:rFonts w:ascii="Times New Roman" w:hAnsi="Times New Roman" w:cs="Times New Roman"/>
                <w:sz w:val="22"/>
                <w:szCs w:val="22"/>
              </w:rPr>
              <w:t>3.90</w:t>
            </w:r>
          </w:p>
        </w:tc>
        <w:tc>
          <w:tcPr>
            <w:tcW w:w="0" w:type="auto"/>
            <w:vAlign w:val="center"/>
            <w:hideMark/>
          </w:tcPr>
          <w:p w14:paraId="09E4FF54" w14:textId="77777777" w:rsidR="008259E2" w:rsidRPr="00537910" w:rsidRDefault="008259E2" w:rsidP="00537910">
            <w:pPr>
              <w:pStyle w:val="NoSpacing"/>
              <w:jc w:val="center"/>
              <w:rPr>
                <w:rFonts w:ascii="Times New Roman" w:hAnsi="Times New Roman" w:cs="Times New Roman"/>
                <w:sz w:val="22"/>
                <w:szCs w:val="22"/>
              </w:rPr>
            </w:pPr>
            <w:r w:rsidRPr="00537910">
              <w:rPr>
                <w:rFonts w:ascii="Times New Roman" w:hAnsi="Times New Roman" w:cs="Times New Roman"/>
                <w:sz w:val="22"/>
                <w:szCs w:val="22"/>
              </w:rPr>
              <w:t>0.55</w:t>
            </w:r>
          </w:p>
        </w:tc>
        <w:tc>
          <w:tcPr>
            <w:tcW w:w="0" w:type="auto"/>
            <w:vAlign w:val="center"/>
            <w:hideMark/>
          </w:tcPr>
          <w:p w14:paraId="3123F29D" w14:textId="77777777" w:rsidR="008259E2" w:rsidRPr="00537910" w:rsidRDefault="008259E2" w:rsidP="00537910">
            <w:pPr>
              <w:pStyle w:val="NoSpacing"/>
              <w:jc w:val="center"/>
              <w:rPr>
                <w:rFonts w:ascii="Times New Roman" w:hAnsi="Times New Roman" w:cs="Times New Roman"/>
                <w:sz w:val="22"/>
                <w:szCs w:val="22"/>
              </w:rPr>
            </w:pPr>
            <w:r w:rsidRPr="00537910">
              <w:rPr>
                <w:rFonts w:ascii="Times New Roman" w:hAnsi="Times New Roman" w:cs="Times New Roman"/>
                <w:sz w:val="22"/>
                <w:szCs w:val="22"/>
              </w:rPr>
              <w:t>5.38</w:t>
            </w:r>
          </w:p>
        </w:tc>
        <w:tc>
          <w:tcPr>
            <w:tcW w:w="0" w:type="auto"/>
            <w:vAlign w:val="center"/>
            <w:hideMark/>
          </w:tcPr>
          <w:p w14:paraId="4B1F343F" w14:textId="77777777" w:rsidR="008259E2" w:rsidRPr="00537910" w:rsidRDefault="008259E2" w:rsidP="00537910">
            <w:pPr>
              <w:pStyle w:val="NoSpacing"/>
              <w:jc w:val="center"/>
              <w:rPr>
                <w:rFonts w:ascii="Times New Roman" w:hAnsi="Times New Roman" w:cs="Times New Roman"/>
                <w:sz w:val="22"/>
                <w:szCs w:val="22"/>
              </w:rPr>
            </w:pPr>
            <w:r w:rsidRPr="00537910">
              <w:rPr>
                <w:rFonts w:ascii="Times New Roman" w:hAnsi="Times New Roman" w:cs="Times New Roman"/>
                <w:sz w:val="22"/>
                <w:szCs w:val="22"/>
              </w:rPr>
              <w:t>1.22</w:t>
            </w:r>
          </w:p>
        </w:tc>
        <w:tc>
          <w:tcPr>
            <w:tcW w:w="0" w:type="auto"/>
            <w:vAlign w:val="center"/>
            <w:hideMark/>
          </w:tcPr>
          <w:p w14:paraId="07242C1B" w14:textId="77777777" w:rsidR="008259E2" w:rsidRPr="00537910" w:rsidRDefault="008259E2" w:rsidP="00537910">
            <w:pPr>
              <w:pStyle w:val="NoSpacing"/>
              <w:jc w:val="center"/>
              <w:rPr>
                <w:rFonts w:ascii="Times New Roman" w:hAnsi="Times New Roman" w:cs="Times New Roman"/>
                <w:sz w:val="22"/>
                <w:szCs w:val="22"/>
              </w:rPr>
            </w:pPr>
            <w:r w:rsidRPr="00537910">
              <w:rPr>
                <w:rFonts w:ascii="Times New Roman" w:hAnsi="Times New Roman" w:cs="Times New Roman"/>
                <w:sz w:val="22"/>
                <w:szCs w:val="22"/>
              </w:rPr>
              <w:t>-1.55</w:t>
            </w:r>
          </w:p>
        </w:tc>
        <w:tc>
          <w:tcPr>
            <w:tcW w:w="0" w:type="auto"/>
            <w:vAlign w:val="center"/>
            <w:hideMark/>
          </w:tcPr>
          <w:p w14:paraId="11BCCBC6" w14:textId="77777777" w:rsidR="008259E2" w:rsidRPr="00537910" w:rsidRDefault="008259E2" w:rsidP="00537910">
            <w:pPr>
              <w:pStyle w:val="NoSpacing"/>
              <w:jc w:val="center"/>
              <w:rPr>
                <w:rFonts w:ascii="Times New Roman" w:hAnsi="Times New Roman" w:cs="Times New Roman"/>
                <w:sz w:val="22"/>
                <w:szCs w:val="22"/>
              </w:rPr>
            </w:pPr>
            <w:r w:rsidRPr="00537910">
              <w:rPr>
                <w:rFonts w:ascii="Times New Roman" w:hAnsi="Times New Roman" w:cs="Times New Roman"/>
                <w:sz w:val="22"/>
                <w:szCs w:val="22"/>
              </w:rPr>
              <w:t>..</w:t>
            </w:r>
          </w:p>
        </w:tc>
        <w:tc>
          <w:tcPr>
            <w:tcW w:w="0" w:type="auto"/>
            <w:vAlign w:val="center"/>
            <w:hideMark/>
          </w:tcPr>
          <w:p w14:paraId="12E214BE" w14:textId="77777777" w:rsidR="008259E2" w:rsidRPr="00537910" w:rsidRDefault="008259E2" w:rsidP="00537910">
            <w:pPr>
              <w:pStyle w:val="NoSpacing"/>
              <w:jc w:val="center"/>
              <w:rPr>
                <w:rFonts w:ascii="Times New Roman" w:hAnsi="Times New Roman" w:cs="Times New Roman"/>
                <w:sz w:val="22"/>
                <w:szCs w:val="22"/>
              </w:rPr>
            </w:pPr>
            <w:r w:rsidRPr="00537910">
              <w:rPr>
                <w:rFonts w:ascii="Times New Roman" w:hAnsi="Times New Roman" w:cs="Times New Roman"/>
                <w:sz w:val="22"/>
                <w:szCs w:val="22"/>
              </w:rPr>
              <w:t>-1.55</w:t>
            </w:r>
          </w:p>
        </w:tc>
      </w:tr>
      <w:tr w:rsidR="008259E2" w:rsidRPr="00537910" w14:paraId="76FB1CD4" w14:textId="77777777" w:rsidTr="00537910">
        <w:tc>
          <w:tcPr>
            <w:tcW w:w="0" w:type="auto"/>
            <w:hideMark/>
          </w:tcPr>
          <w:p w14:paraId="3FEDD8A3" w14:textId="77777777" w:rsidR="008259E2" w:rsidRPr="00537910" w:rsidRDefault="008259E2" w:rsidP="00B77C0B">
            <w:pPr>
              <w:pStyle w:val="NoSpacing"/>
              <w:rPr>
                <w:rFonts w:ascii="Times New Roman" w:hAnsi="Times New Roman" w:cs="Times New Roman"/>
                <w:sz w:val="22"/>
                <w:szCs w:val="22"/>
              </w:rPr>
            </w:pPr>
            <w:r w:rsidRPr="00537910">
              <w:rPr>
                <w:rFonts w:ascii="Times New Roman" w:hAnsi="Times New Roman" w:cs="Times New Roman"/>
                <w:sz w:val="22"/>
                <w:szCs w:val="22"/>
              </w:rPr>
              <w:t>Haryana</w:t>
            </w:r>
          </w:p>
        </w:tc>
        <w:tc>
          <w:tcPr>
            <w:tcW w:w="0" w:type="auto"/>
            <w:vAlign w:val="center"/>
            <w:hideMark/>
          </w:tcPr>
          <w:p w14:paraId="229CA97A" w14:textId="77777777" w:rsidR="008259E2" w:rsidRPr="00537910" w:rsidRDefault="008259E2" w:rsidP="00537910">
            <w:pPr>
              <w:pStyle w:val="NoSpacing"/>
              <w:jc w:val="center"/>
              <w:rPr>
                <w:rFonts w:ascii="Times New Roman" w:hAnsi="Times New Roman" w:cs="Times New Roman"/>
                <w:sz w:val="22"/>
                <w:szCs w:val="22"/>
              </w:rPr>
            </w:pPr>
            <w:r w:rsidRPr="00537910">
              <w:rPr>
                <w:rFonts w:ascii="Times New Roman" w:hAnsi="Times New Roman" w:cs="Times New Roman"/>
                <w:sz w:val="22"/>
                <w:szCs w:val="22"/>
              </w:rPr>
              <w:t>13.15</w:t>
            </w:r>
          </w:p>
        </w:tc>
        <w:tc>
          <w:tcPr>
            <w:tcW w:w="0" w:type="auto"/>
            <w:vAlign w:val="center"/>
            <w:hideMark/>
          </w:tcPr>
          <w:p w14:paraId="6F1E7300" w14:textId="77777777" w:rsidR="008259E2" w:rsidRPr="00537910" w:rsidRDefault="008259E2" w:rsidP="00537910">
            <w:pPr>
              <w:pStyle w:val="NoSpacing"/>
              <w:jc w:val="center"/>
              <w:rPr>
                <w:rFonts w:ascii="Times New Roman" w:hAnsi="Times New Roman" w:cs="Times New Roman"/>
                <w:sz w:val="22"/>
                <w:szCs w:val="22"/>
              </w:rPr>
            </w:pPr>
            <w:r w:rsidRPr="00537910">
              <w:rPr>
                <w:rFonts w:ascii="Times New Roman" w:hAnsi="Times New Roman" w:cs="Times New Roman"/>
                <w:sz w:val="22"/>
                <w:szCs w:val="22"/>
              </w:rPr>
              <w:t>10.92</w:t>
            </w:r>
          </w:p>
        </w:tc>
        <w:tc>
          <w:tcPr>
            <w:tcW w:w="0" w:type="auto"/>
            <w:vAlign w:val="center"/>
            <w:hideMark/>
          </w:tcPr>
          <w:p w14:paraId="7E2EC45A" w14:textId="77777777" w:rsidR="008259E2" w:rsidRPr="00537910" w:rsidRDefault="008259E2" w:rsidP="00537910">
            <w:pPr>
              <w:pStyle w:val="NoSpacing"/>
              <w:jc w:val="center"/>
              <w:rPr>
                <w:rFonts w:ascii="Times New Roman" w:hAnsi="Times New Roman" w:cs="Times New Roman"/>
                <w:sz w:val="22"/>
                <w:szCs w:val="22"/>
              </w:rPr>
            </w:pPr>
            <w:r w:rsidRPr="00537910">
              <w:rPr>
                <w:rFonts w:ascii="Times New Roman" w:hAnsi="Times New Roman" w:cs="Times New Roman"/>
                <w:sz w:val="22"/>
                <w:szCs w:val="22"/>
              </w:rPr>
              <w:t>4.17</w:t>
            </w:r>
          </w:p>
        </w:tc>
        <w:tc>
          <w:tcPr>
            <w:tcW w:w="0" w:type="auto"/>
            <w:vAlign w:val="center"/>
            <w:hideMark/>
          </w:tcPr>
          <w:p w14:paraId="632FAC8D" w14:textId="77777777" w:rsidR="008259E2" w:rsidRPr="00537910" w:rsidRDefault="008259E2" w:rsidP="00537910">
            <w:pPr>
              <w:pStyle w:val="NoSpacing"/>
              <w:jc w:val="center"/>
              <w:rPr>
                <w:rFonts w:ascii="Times New Roman" w:hAnsi="Times New Roman" w:cs="Times New Roman"/>
                <w:sz w:val="22"/>
                <w:szCs w:val="22"/>
              </w:rPr>
            </w:pPr>
            <w:r w:rsidRPr="00537910">
              <w:rPr>
                <w:rFonts w:ascii="Times New Roman" w:hAnsi="Times New Roman" w:cs="Times New Roman"/>
                <w:sz w:val="22"/>
                <w:szCs w:val="22"/>
              </w:rPr>
              <w:t>1.88</w:t>
            </w:r>
          </w:p>
        </w:tc>
        <w:tc>
          <w:tcPr>
            <w:tcW w:w="0" w:type="auto"/>
            <w:vAlign w:val="center"/>
            <w:hideMark/>
          </w:tcPr>
          <w:p w14:paraId="36FB80CE" w14:textId="77777777" w:rsidR="008259E2" w:rsidRPr="00537910" w:rsidRDefault="008259E2" w:rsidP="00537910">
            <w:pPr>
              <w:pStyle w:val="NoSpacing"/>
              <w:jc w:val="center"/>
              <w:rPr>
                <w:rFonts w:ascii="Times New Roman" w:hAnsi="Times New Roman" w:cs="Times New Roman"/>
                <w:sz w:val="22"/>
                <w:szCs w:val="22"/>
              </w:rPr>
            </w:pPr>
            <w:r w:rsidRPr="00537910">
              <w:rPr>
                <w:rFonts w:ascii="Times New Roman" w:hAnsi="Times New Roman" w:cs="Times New Roman"/>
                <w:sz w:val="22"/>
                <w:szCs w:val="22"/>
              </w:rPr>
              <w:t>0.34</w:t>
            </w:r>
          </w:p>
        </w:tc>
        <w:tc>
          <w:tcPr>
            <w:tcW w:w="0" w:type="auto"/>
            <w:vAlign w:val="center"/>
            <w:hideMark/>
          </w:tcPr>
          <w:p w14:paraId="698921AB" w14:textId="77777777" w:rsidR="008259E2" w:rsidRPr="00537910" w:rsidRDefault="008259E2" w:rsidP="00537910">
            <w:pPr>
              <w:pStyle w:val="NoSpacing"/>
              <w:jc w:val="center"/>
              <w:rPr>
                <w:rFonts w:ascii="Times New Roman" w:hAnsi="Times New Roman" w:cs="Times New Roman"/>
                <w:sz w:val="22"/>
                <w:szCs w:val="22"/>
              </w:rPr>
            </w:pPr>
            <w:r w:rsidRPr="00537910">
              <w:rPr>
                <w:rFonts w:ascii="Times New Roman" w:hAnsi="Times New Roman" w:cs="Times New Roman"/>
                <w:sz w:val="22"/>
                <w:szCs w:val="22"/>
              </w:rPr>
              <w:t>4.09</w:t>
            </w:r>
          </w:p>
        </w:tc>
        <w:tc>
          <w:tcPr>
            <w:tcW w:w="0" w:type="auto"/>
            <w:vAlign w:val="center"/>
            <w:hideMark/>
          </w:tcPr>
          <w:p w14:paraId="4CDD9E39" w14:textId="77777777" w:rsidR="008259E2" w:rsidRPr="00537910" w:rsidRDefault="008259E2" w:rsidP="00537910">
            <w:pPr>
              <w:pStyle w:val="NoSpacing"/>
              <w:jc w:val="center"/>
              <w:rPr>
                <w:rFonts w:ascii="Times New Roman" w:hAnsi="Times New Roman" w:cs="Times New Roman"/>
                <w:sz w:val="22"/>
                <w:szCs w:val="22"/>
              </w:rPr>
            </w:pPr>
            <w:r w:rsidRPr="00537910">
              <w:rPr>
                <w:rFonts w:ascii="Times New Roman" w:hAnsi="Times New Roman" w:cs="Times New Roman"/>
                <w:sz w:val="22"/>
                <w:szCs w:val="22"/>
              </w:rPr>
              <w:t>0.25</w:t>
            </w:r>
          </w:p>
        </w:tc>
        <w:tc>
          <w:tcPr>
            <w:tcW w:w="0" w:type="auto"/>
            <w:vAlign w:val="center"/>
            <w:hideMark/>
          </w:tcPr>
          <w:p w14:paraId="6D0BC945" w14:textId="77777777" w:rsidR="008259E2" w:rsidRPr="00537910" w:rsidRDefault="008259E2" w:rsidP="00537910">
            <w:pPr>
              <w:pStyle w:val="NoSpacing"/>
              <w:jc w:val="center"/>
              <w:rPr>
                <w:rFonts w:ascii="Times New Roman" w:hAnsi="Times New Roman" w:cs="Times New Roman"/>
                <w:sz w:val="22"/>
                <w:szCs w:val="22"/>
              </w:rPr>
            </w:pPr>
            <w:r w:rsidRPr="00537910">
              <w:rPr>
                <w:rFonts w:ascii="Times New Roman" w:hAnsi="Times New Roman" w:cs="Times New Roman"/>
                <w:sz w:val="22"/>
                <w:szCs w:val="22"/>
              </w:rPr>
              <w:t>+0.19</w:t>
            </w:r>
          </w:p>
        </w:tc>
        <w:tc>
          <w:tcPr>
            <w:tcW w:w="0" w:type="auto"/>
            <w:vAlign w:val="center"/>
            <w:hideMark/>
          </w:tcPr>
          <w:p w14:paraId="783550BA" w14:textId="77777777" w:rsidR="008259E2" w:rsidRPr="00537910" w:rsidRDefault="008259E2" w:rsidP="00537910">
            <w:pPr>
              <w:pStyle w:val="NoSpacing"/>
              <w:jc w:val="center"/>
              <w:rPr>
                <w:rFonts w:ascii="Times New Roman" w:hAnsi="Times New Roman" w:cs="Times New Roman"/>
                <w:sz w:val="22"/>
                <w:szCs w:val="22"/>
              </w:rPr>
            </w:pPr>
            <w:r w:rsidRPr="00537910">
              <w:rPr>
                <w:rFonts w:ascii="Times New Roman" w:hAnsi="Times New Roman" w:cs="Times New Roman"/>
                <w:sz w:val="22"/>
                <w:szCs w:val="22"/>
              </w:rPr>
              <w:t>-0.22</w:t>
            </w:r>
          </w:p>
        </w:tc>
        <w:tc>
          <w:tcPr>
            <w:tcW w:w="0" w:type="auto"/>
            <w:vAlign w:val="center"/>
            <w:hideMark/>
          </w:tcPr>
          <w:p w14:paraId="3066E8BB" w14:textId="77777777" w:rsidR="008259E2" w:rsidRPr="00537910" w:rsidRDefault="008259E2" w:rsidP="00537910">
            <w:pPr>
              <w:pStyle w:val="NoSpacing"/>
              <w:jc w:val="center"/>
              <w:rPr>
                <w:rFonts w:ascii="Times New Roman" w:hAnsi="Times New Roman" w:cs="Times New Roman"/>
                <w:sz w:val="22"/>
                <w:szCs w:val="22"/>
              </w:rPr>
            </w:pPr>
            <w:r w:rsidRPr="00537910">
              <w:rPr>
                <w:rFonts w:ascii="Times New Roman" w:hAnsi="Times New Roman" w:cs="Times New Roman"/>
                <w:sz w:val="22"/>
                <w:szCs w:val="22"/>
              </w:rPr>
              <w:t>-0.03</w:t>
            </w:r>
          </w:p>
        </w:tc>
      </w:tr>
      <w:tr w:rsidR="008259E2" w:rsidRPr="00537910" w14:paraId="03BB6B49" w14:textId="77777777" w:rsidTr="00537910">
        <w:tc>
          <w:tcPr>
            <w:tcW w:w="0" w:type="auto"/>
            <w:hideMark/>
          </w:tcPr>
          <w:p w14:paraId="1A8DFB7C" w14:textId="77777777" w:rsidR="008259E2" w:rsidRPr="00537910" w:rsidRDefault="008259E2" w:rsidP="00B77C0B">
            <w:pPr>
              <w:pStyle w:val="NoSpacing"/>
              <w:rPr>
                <w:rFonts w:ascii="Times New Roman" w:hAnsi="Times New Roman" w:cs="Times New Roman"/>
                <w:sz w:val="22"/>
                <w:szCs w:val="22"/>
              </w:rPr>
            </w:pPr>
            <w:r w:rsidRPr="00537910">
              <w:rPr>
                <w:rFonts w:ascii="Times New Roman" w:hAnsi="Times New Roman" w:cs="Times New Roman"/>
                <w:sz w:val="22"/>
                <w:szCs w:val="22"/>
              </w:rPr>
              <w:t>Jammu and Kashmir</w:t>
            </w:r>
          </w:p>
        </w:tc>
        <w:tc>
          <w:tcPr>
            <w:tcW w:w="0" w:type="auto"/>
            <w:vAlign w:val="center"/>
            <w:hideMark/>
          </w:tcPr>
          <w:p w14:paraId="53F5914C" w14:textId="77777777" w:rsidR="008259E2" w:rsidRPr="00537910" w:rsidRDefault="008259E2" w:rsidP="00537910">
            <w:pPr>
              <w:pStyle w:val="NoSpacing"/>
              <w:jc w:val="center"/>
              <w:rPr>
                <w:rFonts w:ascii="Times New Roman" w:hAnsi="Times New Roman" w:cs="Times New Roman"/>
                <w:sz w:val="22"/>
                <w:szCs w:val="22"/>
              </w:rPr>
            </w:pPr>
            <w:r w:rsidRPr="00537910">
              <w:rPr>
                <w:rFonts w:ascii="Times New Roman" w:hAnsi="Times New Roman" w:cs="Times New Roman"/>
                <w:sz w:val="22"/>
                <w:szCs w:val="22"/>
              </w:rPr>
              <w:t>..</w:t>
            </w:r>
          </w:p>
        </w:tc>
        <w:tc>
          <w:tcPr>
            <w:tcW w:w="0" w:type="auto"/>
            <w:vAlign w:val="center"/>
            <w:hideMark/>
          </w:tcPr>
          <w:p w14:paraId="0ED3F4DE" w14:textId="77777777" w:rsidR="008259E2" w:rsidRPr="00537910" w:rsidRDefault="008259E2" w:rsidP="00537910">
            <w:pPr>
              <w:pStyle w:val="NoSpacing"/>
              <w:jc w:val="center"/>
              <w:rPr>
                <w:rFonts w:ascii="Times New Roman" w:hAnsi="Times New Roman" w:cs="Times New Roman"/>
                <w:sz w:val="22"/>
                <w:szCs w:val="22"/>
              </w:rPr>
            </w:pPr>
            <w:r w:rsidRPr="00537910">
              <w:rPr>
                <w:rFonts w:ascii="Times New Roman" w:hAnsi="Times New Roman" w:cs="Times New Roman"/>
                <w:sz w:val="22"/>
                <w:szCs w:val="22"/>
              </w:rPr>
              <w:t>..</w:t>
            </w:r>
          </w:p>
        </w:tc>
        <w:tc>
          <w:tcPr>
            <w:tcW w:w="0" w:type="auto"/>
            <w:vAlign w:val="center"/>
            <w:hideMark/>
          </w:tcPr>
          <w:p w14:paraId="74659D78" w14:textId="77777777" w:rsidR="008259E2" w:rsidRPr="00537910" w:rsidRDefault="008259E2" w:rsidP="00537910">
            <w:pPr>
              <w:pStyle w:val="NoSpacing"/>
              <w:jc w:val="center"/>
              <w:rPr>
                <w:rFonts w:ascii="Times New Roman" w:hAnsi="Times New Roman" w:cs="Times New Roman"/>
                <w:sz w:val="22"/>
                <w:szCs w:val="22"/>
              </w:rPr>
            </w:pPr>
            <w:r w:rsidRPr="00537910">
              <w:rPr>
                <w:rFonts w:ascii="Times New Roman" w:hAnsi="Times New Roman" w:cs="Times New Roman"/>
                <w:sz w:val="22"/>
                <w:szCs w:val="22"/>
              </w:rPr>
              <w:t>..</w:t>
            </w:r>
          </w:p>
        </w:tc>
        <w:tc>
          <w:tcPr>
            <w:tcW w:w="0" w:type="auto"/>
            <w:vAlign w:val="center"/>
            <w:hideMark/>
          </w:tcPr>
          <w:p w14:paraId="795706F7" w14:textId="77777777" w:rsidR="008259E2" w:rsidRPr="00537910" w:rsidRDefault="008259E2" w:rsidP="00537910">
            <w:pPr>
              <w:pStyle w:val="NoSpacing"/>
              <w:jc w:val="center"/>
              <w:rPr>
                <w:rFonts w:ascii="Times New Roman" w:hAnsi="Times New Roman" w:cs="Times New Roman"/>
                <w:sz w:val="22"/>
                <w:szCs w:val="22"/>
              </w:rPr>
            </w:pPr>
            <w:r w:rsidRPr="00537910">
              <w:rPr>
                <w:rFonts w:ascii="Times New Roman" w:hAnsi="Times New Roman" w:cs="Times New Roman"/>
                <w:sz w:val="22"/>
                <w:szCs w:val="22"/>
              </w:rPr>
              <w:t>..</w:t>
            </w:r>
          </w:p>
        </w:tc>
        <w:tc>
          <w:tcPr>
            <w:tcW w:w="0" w:type="auto"/>
            <w:vAlign w:val="center"/>
            <w:hideMark/>
          </w:tcPr>
          <w:p w14:paraId="1AB33409" w14:textId="77777777" w:rsidR="008259E2" w:rsidRPr="00537910" w:rsidRDefault="008259E2" w:rsidP="00537910">
            <w:pPr>
              <w:pStyle w:val="NoSpacing"/>
              <w:jc w:val="center"/>
              <w:rPr>
                <w:rFonts w:ascii="Times New Roman" w:hAnsi="Times New Roman" w:cs="Times New Roman"/>
                <w:sz w:val="22"/>
                <w:szCs w:val="22"/>
              </w:rPr>
            </w:pPr>
            <w:r w:rsidRPr="00537910">
              <w:rPr>
                <w:rFonts w:ascii="Times New Roman" w:hAnsi="Times New Roman" w:cs="Times New Roman"/>
                <w:sz w:val="22"/>
                <w:szCs w:val="22"/>
              </w:rPr>
              <w:t>..</w:t>
            </w:r>
          </w:p>
        </w:tc>
        <w:tc>
          <w:tcPr>
            <w:tcW w:w="0" w:type="auto"/>
            <w:vAlign w:val="center"/>
            <w:hideMark/>
          </w:tcPr>
          <w:p w14:paraId="67DFEBF3" w14:textId="77777777" w:rsidR="008259E2" w:rsidRPr="00537910" w:rsidRDefault="008259E2" w:rsidP="00537910">
            <w:pPr>
              <w:pStyle w:val="NoSpacing"/>
              <w:jc w:val="center"/>
              <w:rPr>
                <w:rFonts w:ascii="Times New Roman" w:hAnsi="Times New Roman" w:cs="Times New Roman"/>
                <w:sz w:val="22"/>
                <w:szCs w:val="22"/>
              </w:rPr>
            </w:pPr>
            <w:r w:rsidRPr="00537910">
              <w:rPr>
                <w:rFonts w:ascii="Times New Roman" w:hAnsi="Times New Roman" w:cs="Times New Roman"/>
                <w:sz w:val="22"/>
                <w:szCs w:val="22"/>
              </w:rPr>
              <w:t>..</w:t>
            </w:r>
          </w:p>
        </w:tc>
        <w:tc>
          <w:tcPr>
            <w:tcW w:w="0" w:type="auto"/>
            <w:vAlign w:val="center"/>
            <w:hideMark/>
          </w:tcPr>
          <w:p w14:paraId="146BA957" w14:textId="77777777" w:rsidR="008259E2" w:rsidRPr="00537910" w:rsidRDefault="008259E2" w:rsidP="00537910">
            <w:pPr>
              <w:pStyle w:val="NoSpacing"/>
              <w:jc w:val="center"/>
              <w:rPr>
                <w:rFonts w:ascii="Times New Roman" w:hAnsi="Times New Roman" w:cs="Times New Roman"/>
                <w:sz w:val="22"/>
                <w:szCs w:val="22"/>
              </w:rPr>
            </w:pPr>
            <w:r w:rsidRPr="00537910">
              <w:rPr>
                <w:rFonts w:ascii="Times New Roman" w:hAnsi="Times New Roman" w:cs="Times New Roman"/>
                <w:sz w:val="22"/>
                <w:szCs w:val="22"/>
              </w:rPr>
              <w:t>..</w:t>
            </w:r>
          </w:p>
        </w:tc>
        <w:tc>
          <w:tcPr>
            <w:tcW w:w="0" w:type="auto"/>
            <w:vAlign w:val="center"/>
            <w:hideMark/>
          </w:tcPr>
          <w:p w14:paraId="014C1CD7" w14:textId="77777777" w:rsidR="008259E2" w:rsidRPr="00537910" w:rsidRDefault="008259E2" w:rsidP="00537910">
            <w:pPr>
              <w:pStyle w:val="NoSpacing"/>
              <w:jc w:val="center"/>
              <w:rPr>
                <w:rFonts w:ascii="Times New Roman" w:hAnsi="Times New Roman" w:cs="Times New Roman"/>
                <w:sz w:val="22"/>
                <w:szCs w:val="22"/>
              </w:rPr>
            </w:pPr>
            <w:r w:rsidRPr="00537910">
              <w:rPr>
                <w:rFonts w:ascii="Times New Roman" w:hAnsi="Times New Roman" w:cs="Times New Roman"/>
                <w:sz w:val="22"/>
                <w:szCs w:val="22"/>
              </w:rPr>
              <w:t>..</w:t>
            </w:r>
          </w:p>
        </w:tc>
        <w:tc>
          <w:tcPr>
            <w:tcW w:w="0" w:type="auto"/>
            <w:vAlign w:val="center"/>
            <w:hideMark/>
          </w:tcPr>
          <w:p w14:paraId="5FFB1A5A" w14:textId="77777777" w:rsidR="008259E2" w:rsidRPr="00537910" w:rsidRDefault="008259E2" w:rsidP="00537910">
            <w:pPr>
              <w:pStyle w:val="NoSpacing"/>
              <w:jc w:val="center"/>
              <w:rPr>
                <w:rFonts w:ascii="Times New Roman" w:hAnsi="Times New Roman" w:cs="Times New Roman"/>
                <w:sz w:val="22"/>
                <w:szCs w:val="22"/>
              </w:rPr>
            </w:pPr>
            <w:r w:rsidRPr="00537910">
              <w:rPr>
                <w:rFonts w:ascii="Times New Roman" w:hAnsi="Times New Roman" w:cs="Times New Roman"/>
                <w:sz w:val="22"/>
                <w:szCs w:val="22"/>
              </w:rPr>
              <w:t>..</w:t>
            </w:r>
          </w:p>
        </w:tc>
        <w:tc>
          <w:tcPr>
            <w:tcW w:w="0" w:type="auto"/>
            <w:vAlign w:val="center"/>
            <w:hideMark/>
          </w:tcPr>
          <w:p w14:paraId="3F2EDC04" w14:textId="77777777" w:rsidR="008259E2" w:rsidRPr="00537910" w:rsidRDefault="008259E2" w:rsidP="00537910">
            <w:pPr>
              <w:pStyle w:val="NoSpacing"/>
              <w:jc w:val="center"/>
              <w:rPr>
                <w:rFonts w:ascii="Times New Roman" w:hAnsi="Times New Roman" w:cs="Times New Roman"/>
                <w:sz w:val="22"/>
                <w:szCs w:val="22"/>
              </w:rPr>
            </w:pPr>
            <w:r w:rsidRPr="00537910">
              <w:rPr>
                <w:rFonts w:ascii="Times New Roman" w:hAnsi="Times New Roman" w:cs="Times New Roman"/>
                <w:sz w:val="22"/>
                <w:szCs w:val="22"/>
              </w:rPr>
              <w:t>..</w:t>
            </w:r>
          </w:p>
        </w:tc>
      </w:tr>
      <w:tr w:rsidR="008259E2" w:rsidRPr="00537910" w14:paraId="27F2240E" w14:textId="77777777" w:rsidTr="00537910">
        <w:tc>
          <w:tcPr>
            <w:tcW w:w="0" w:type="auto"/>
            <w:hideMark/>
          </w:tcPr>
          <w:p w14:paraId="480F7D3A" w14:textId="77777777" w:rsidR="008259E2" w:rsidRPr="00537910" w:rsidRDefault="008259E2" w:rsidP="00B77C0B">
            <w:pPr>
              <w:pStyle w:val="NoSpacing"/>
              <w:rPr>
                <w:rFonts w:ascii="Times New Roman" w:hAnsi="Times New Roman" w:cs="Times New Roman"/>
                <w:sz w:val="22"/>
                <w:szCs w:val="22"/>
              </w:rPr>
            </w:pPr>
            <w:r w:rsidRPr="00537910">
              <w:rPr>
                <w:rFonts w:ascii="Times New Roman" w:hAnsi="Times New Roman" w:cs="Times New Roman"/>
                <w:sz w:val="22"/>
                <w:szCs w:val="22"/>
              </w:rPr>
              <w:t>Kerala</w:t>
            </w:r>
          </w:p>
        </w:tc>
        <w:tc>
          <w:tcPr>
            <w:tcW w:w="0" w:type="auto"/>
            <w:vAlign w:val="center"/>
            <w:hideMark/>
          </w:tcPr>
          <w:p w14:paraId="1543EC45" w14:textId="77777777" w:rsidR="008259E2" w:rsidRPr="00537910" w:rsidRDefault="008259E2" w:rsidP="00537910">
            <w:pPr>
              <w:pStyle w:val="NoSpacing"/>
              <w:jc w:val="center"/>
              <w:rPr>
                <w:rFonts w:ascii="Times New Roman" w:hAnsi="Times New Roman" w:cs="Times New Roman"/>
                <w:sz w:val="22"/>
                <w:szCs w:val="22"/>
              </w:rPr>
            </w:pPr>
            <w:r w:rsidRPr="00537910">
              <w:rPr>
                <w:rFonts w:ascii="Times New Roman" w:hAnsi="Times New Roman" w:cs="Times New Roman"/>
                <w:sz w:val="22"/>
                <w:szCs w:val="22"/>
              </w:rPr>
              <w:t>123.56</w:t>
            </w:r>
          </w:p>
        </w:tc>
        <w:tc>
          <w:tcPr>
            <w:tcW w:w="0" w:type="auto"/>
            <w:vAlign w:val="center"/>
            <w:hideMark/>
          </w:tcPr>
          <w:p w14:paraId="69CBD081" w14:textId="77777777" w:rsidR="008259E2" w:rsidRPr="00537910" w:rsidRDefault="008259E2" w:rsidP="00537910">
            <w:pPr>
              <w:pStyle w:val="NoSpacing"/>
              <w:jc w:val="center"/>
              <w:rPr>
                <w:rFonts w:ascii="Times New Roman" w:hAnsi="Times New Roman" w:cs="Times New Roman"/>
                <w:sz w:val="22"/>
                <w:szCs w:val="22"/>
              </w:rPr>
            </w:pPr>
            <w:r w:rsidRPr="00537910">
              <w:rPr>
                <w:rFonts w:ascii="Times New Roman" w:hAnsi="Times New Roman" w:cs="Times New Roman"/>
                <w:sz w:val="22"/>
                <w:szCs w:val="22"/>
              </w:rPr>
              <w:t>12.00</w:t>
            </w:r>
          </w:p>
        </w:tc>
        <w:tc>
          <w:tcPr>
            <w:tcW w:w="0" w:type="auto"/>
            <w:vAlign w:val="center"/>
            <w:hideMark/>
          </w:tcPr>
          <w:p w14:paraId="4B0AE2F8" w14:textId="77777777" w:rsidR="008259E2" w:rsidRPr="00537910" w:rsidRDefault="008259E2" w:rsidP="00537910">
            <w:pPr>
              <w:pStyle w:val="NoSpacing"/>
              <w:jc w:val="center"/>
              <w:rPr>
                <w:rFonts w:ascii="Times New Roman" w:hAnsi="Times New Roman" w:cs="Times New Roman"/>
                <w:sz w:val="22"/>
                <w:szCs w:val="22"/>
              </w:rPr>
            </w:pPr>
            <w:r w:rsidRPr="00537910">
              <w:rPr>
                <w:rFonts w:ascii="Times New Roman" w:hAnsi="Times New Roman" w:cs="Times New Roman"/>
                <w:sz w:val="22"/>
                <w:szCs w:val="22"/>
              </w:rPr>
              <w:t>5.72</w:t>
            </w:r>
          </w:p>
        </w:tc>
        <w:tc>
          <w:tcPr>
            <w:tcW w:w="0" w:type="auto"/>
            <w:vAlign w:val="center"/>
            <w:hideMark/>
          </w:tcPr>
          <w:p w14:paraId="7BB21277" w14:textId="77777777" w:rsidR="008259E2" w:rsidRPr="00537910" w:rsidRDefault="008259E2" w:rsidP="00537910">
            <w:pPr>
              <w:pStyle w:val="NoSpacing"/>
              <w:jc w:val="center"/>
              <w:rPr>
                <w:rFonts w:ascii="Times New Roman" w:hAnsi="Times New Roman" w:cs="Times New Roman"/>
                <w:sz w:val="22"/>
                <w:szCs w:val="22"/>
              </w:rPr>
            </w:pPr>
            <w:r w:rsidRPr="00537910">
              <w:rPr>
                <w:rFonts w:ascii="Times New Roman" w:hAnsi="Times New Roman" w:cs="Times New Roman"/>
                <w:sz w:val="22"/>
                <w:szCs w:val="22"/>
              </w:rPr>
              <w:t>2.34</w:t>
            </w:r>
          </w:p>
        </w:tc>
        <w:tc>
          <w:tcPr>
            <w:tcW w:w="0" w:type="auto"/>
            <w:vAlign w:val="center"/>
            <w:hideMark/>
          </w:tcPr>
          <w:p w14:paraId="797B5F48" w14:textId="77777777" w:rsidR="008259E2" w:rsidRPr="00537910" w:rsidRDefault="008259E2" w:rsidP="00537910">
            <w:pPr>
              <w:pStyle w:val="NoSpacing"/>
              <w:jc w:val="center"/>
              <w:rPr>
                <w:rFonts w:ascii="Times New Roman" w:hAnsi="Times New Roman" w:cs="Times New Roman"/>
                <w:sz w:val="22"/>
                <w:szCs w:val="22"/>
              </w:rPr>
            </w:pPr>
            <w:r w:rsidRPr="00537910">
              <w:rPr>
                <w:rFonts w:ascii="Times New Roman" w:hAnsi="Times New Roman" w:cs="Times New Roman"/>
                <w:sz w:val="22"/>
                <w:szCs w:val="22"/>
              </w:rPr>
              <w:t>0.05</w:t>
            </w:r>
          </w:p>
        </w:tc>
        <w:tc>
          <w:tcPr>
            <w:tcW w:w="0" w:type="auto"/>
            <w:vAlign w:val="center"/>
            <w:hideMark/>
          </w:tcPr>
          <w:p w14:paraId="0D033755" w14:textId="77777777" w:rsidR="008259E2" w:rsidRPr="00537910" w:rsidRDefault="008259E2" w:rsidP="00537910">
            <w:pPr>
              <w:pStyle w:val="NoSpacing"/>
              <w:jc w:val="center"/>
              <w:rPr>
                <w:rFonts w:ascii="Times New Roman" w:hAnsi="Times New Roman" w:cs="Times New Roman"/>
                <w:sz w:val="22"/>
                <w:szCs w:val="22"/>
              </w:rPr>
            </w:pPr>
            <w:r w:rsidRPr="00537910">
              <w:rPr>
                <w:rFonts w:ascii="Times New Roman" w:hAnsi="Times New Roman" w:cs="Times New Roman"/>
                <w:sz w:val="22"/>
                <w:szCs w:val="22"/>
              </w:rPr>
              <w:t>5.79</w:t>
            </w:r>
          </w:p>
        </w:tc>
        <w:tc>
          <w:tcPr>
            <w:tcW w:w="0" w:type="auto"/>
            <w:vAlign w:val="center"/>
            <w:hideMark/>
          </w:tcPr>
          <w:p w14:paraId="4F6E7A31" w14:textId="77777777" w:rsidR="008259E2" w:rsidRPr="00537910" w:rsidRDefault="008259E2" w:rsidP="00537910">
            <w:pPr>
              <w:pStyle w:val="NoSpacing"/>
              <w:jc w:val="center"/>
              <w:rPr>
                <w:rFonts w:ascii="Times New Roman" w:hAnsi="Times New Roman" w:cs="Times New Roman"/>
                <w:sz w:val="22"/>
                <w:szCs w:val="22"/>
              </w:rPr>
            </w:pPr>
            <w:r w:rsidRPr="00537910">
              <w:rPr>
                <w:rFonts w:ascii="Times New Roman" w:hAnsi="Times New Roman" w:cs="Times New Roman"/>
                <w:sz w:val="22"/>
                <w:szCs w:val="22"/>
              </w:rPr>
              <w:t>0.32</w:t>
            </w:r>
          </w:p>
        </w:tc>
        <w:tc>
          <w:tcPr>
            <w:tcW w:w="0" w:type="auto"/>
            <w:vAlign w:val="center"/>
            <w:hideMark/>
          </w:tcPr>
          <w:p w14:paraId="5C527A1F" w14:textId="77777777" w:rsidR="008259E2" w:rsidRPr="00537910" w:rsidRDefault="008259E2" w:rsidP="00537910">
            <w:pPr>
              <w:pStyle w:val="NoSpacing"/>
              <w:jc w:val="center"/>
              <w:rPr>
                <w:rFonts w:ascii="Times New Roman" w:hAnsi="Times New Roman" w:cs="Times New Roman"/>
                <w:sz w:val="22"/>
                <w:szCs w:val="22"/>
              </w:rPr>
            </w:pPr>
            <w:r w:rsidRPr="00537910">
              <w:rPr>
                <w:rFonts w:ascii="Times New Roman" w:hAnsi="Times New Roman" w:cs="Times New Roman"/>
                <w:sz w:val="22"/>
                <w:szCs w:val="22"/>
              </w:rPr>
              <w:t>-2.22</w:t>
            </w:r>
          </w:p>
        </w:tc>
        <w:tc>
          <w:tcPr>
            <w:tcW w:w="0" w:type="auto"/>
            <w:vAlign w:val="center"/>
            <w:hideMark/>
          </w:tcPr>
          <w:p w14:paraId="6323ECAC" w14:textId="77777777" w:rsidR="008259E2" w:rsidRPr="00537910" w:rsidRDefault="008259E2" w:rsidP="00537910">
            <w:pPr>
              <w:pStyle w:val="NoSpacing"/>
              <w:jc w:val="center"/>
              <w:rPr>
                <w:rFonts w:ascii="Times New Roman" w:hAnsi="Times New Roman" w:cs="Times New Roman"/>
                <w:sz w:val="22"/>
                <w:szCs w:val="22"/>
              </w:rPr>
            </w:pPr>
            <w:r w:rsidRPr="00537910">
              <w:rPr>
                <w:rFonts w:ascii="Times New Roman" w:hAnsi="Times New Roman" w:cs="Times New Roman"/>
                <w:sz w:val="22"/>
                <w:szCs w:val="22"/>
              </w:rPr>
              <w:t>-0.51</w:t>
            </w:r>
          </w:p>
        </w:tc>
        <w:tc>
          <w:tcPr>
            <w:tcW w:w="0" w:type="auto"/>
            <w:vAlign w:val="center"/>
            <w:hideMark/>
          </w:tcPr>
          <w:p w14:paraId="743B7486" w14:textId="77777777" w:rsidR="008259E2" w:rsidRPr="00537910" w:rsidRDefault="008259E2" w:rsidP="00537910">
            <w:pPr>
              <w:pStyle w:val="NoSpacing"/>
              <w:jc w:val="center"/>
              <w:rPr>
                <w:rFonts w:ascii="Times New Roman" w:hAnsi="Times New Roman" w:cs="Times New Roman"/>
                <w:sz w:val="22"/>
                <w:szCs w:val="22"/>
              </w:rPr>
            </w:pPr>
            <w:r w:rsidRPr="00537910">
              <w:rPr>
                <w:rFonts w:ascii="Times New Roman" w:hAnsi="Times New Roman" w:cs="Times New Roman"/>
                <w:sz w:val="22"/>
                <w:szCs w:val="22"/>
              </w:rPr>
              <w:t>-2.73</w:t>
            </w:r>
          </w:p>
        </w:tc>
      </w:tr>
      <w:tr w:rsidR="008259E2" w:rsidRPr="00537910" w14:paraId="4639BE29" w14:textId="77777777" w:rsidTr="00537910">
        <w:tc>
          <w:tcPr>
            <w:tcW w:w="0" w:type="auto"/>
            <w:hideMark/>
          </w:tcPr>
          <w:p w14:paraId="0F5DEBCE" w14:textId="77777777" w:rsidR="008259E2" w:rsidRPr="00537910" w:rsidRDefault="008259E2" w:rsidP="00B77C0B">
            <w:pPr>
              <w:pStyle w:val="NoSpacing"/>
              <w:rPr>
                <w:rFonts w:ascii="Times New Roman" w:hAnsi="Times New Roman" w:cs="Times New Roman"/>
                <w:sz w:val="22"/>
                <w:szCs w:val="22"/>
              </w:rPr>
            </w:pPr>
            <w:r w:rsidRPr="00537910">
              <w:rPr>
                <w:rFonts w:ascii="Times New Roman" w:hAnsi="Times New Roman" w:cs="Times New Roman"/>
                <w:sz w:val="22"/>
                <w:szCs w:val="22"/>
              </w:rPr>
              <w:t>Madhya Pradesh</w:t>
            </w:r>
          </w:p>
        </w:tc>
        <w:tc>
          <w:tcPr>
            <w:tcW w:w="0" w:type="auto"/>
            <w:vAlign w:val="center"/>
            <w:hideMark/>
          </w:tcPr>
          <w:p w14:paraId="212BF296" w14:textId="77777777" w:rsidR="008259E2" w:rsidRPr="00537910" w:rsidRDefault="008259E2" w:rsidP="00537910">
            <w:pPr>
              <w:pStyle w:val="NoSpacing"/>
              <w:jc w:val="center"/>
              <w:rPr>
                <w:rFonts w:ascii="Times New Roman" w:hAnsi="Times New Roman" w:cs="Times New Roman"/>
                <w:sz w:val="22"/>
                <w:szCs w:val="22"/>
              </w:rPr>
            </w:pPr>
            <w:r w:rsidRPr="00537910">
              <w:rPr>
                <w:rFonts w:ascii="Times New Roman" w:hAnsi="Times New Roman" w:cs="Times New Roman"/>
                <w:sz w:val="22"/>
                <w:szCs w:val="22"/>
              </w:rPr>
              <w:t>144.04</w:t>
            </w:r>
          </w:p>
        </w:tc>
        <w:tc>
          <w:tcPr>
            <w:tcW w:w="0" w:type="auto"/>
            <w:vAlign w:val="center"/>
            <w:hideMark/>
          </w:tcPr>
          <w:p w14:paraId="2E06398A" w14:textId="77777777" w:rsidR="008259E2" w:rsidRPr="00537910" w:rsidRDefault="008259E2" w:rsidP="00537910">
            <w:pPr>
              <w:pStyle w:val="NoSpacing"/>
              <w:jc w:val="center"/>
              <w:rPr>
                <w:rFonts w:ascii="Times New Roman" w:hAnsi="Times New Roman" w:cs="Times New Roman"/>
                <w:sz w:val="22"/>
                <w:szCs w:val="22"/>
              </w:rPr>
            </w:pPr>
            <w:r w:rsidRPr="00537910">
              <w:rPr>
                <w:rFonts w:ascii="Times New Roman" w:hAnsi="Times New Roman" w:cs="Times New Roman"/>
                <w:sz w:val="22"/>
                <w:szCs w:val="22"/>
              </w:rPr>
              <w:t>20.89</w:t>
            </w:r>
          </w:p>
        </w:tc>
        <w:tc>
          <w:tcPr>
            <w:tcW w:w="0" w:type="auto"/>
            <w:vAlign w:val="center"/>
            <w:hideMark/>
          </w:tcPr>
          <w:p w14:paraId="3FDA1CD4" w14:textId="77777777" w:rsidR="008259E2" w:rsidRPr="00537910" w:rsidRDefault="008259E2" w:rsidP="00537910">
            <w:pPr>
              <w:pStyle w:val="NoSpacing"/>
              <w:jc w:val="center"/>
              <w:rPr>
                <w:rFonts w:ascii="Times New Roman" w:hAnsi="Times New Roman" w:cs="Times New Roman"/>
                <w:sz w:val="22"/>
                <w:szCs w:val="22"/>
              </w:rPr>
            </w:pPr>
            <w:r w:rsidRPr="00537910">
              <w:rPr>
                <w:rFonts w:ascii="Times New Roman" w:hAnsi="Times New Roman" w:cs="Times New Roman"/>
                <w:sz w:val="22"/>
                <w:szCs w:val="22"/>
              </w:rPr>
              <w:t>8.84</w:t>
            </w:r>
          </w:p>
        </w:tc>
        <w:tc>
          <w:tcPr>
            <w:tcW w:w="0" w:type="auto"/>
            <w:vAlign w:val="center"/>
            <w:hideMark/>
          </w:tcPr>
          <w:p w14:paraId="2D90C59C" w14:textId="77777777" w:rsidR="008259E2" w:rsidRPr="00537910" w:rsidRDefault="008259E2" w:rsidP="00537910">
            <w:pPr>
              <w:pStyle w:val="NoSpacing"/>
              <w:jc w:val="center"/>
              <w:rPr>
                <w:rFonts w:ascii="Times New Roman" w:hAnsi="Times New Roman" w:cs="Times New Roman"/>
                <w:sz w:val="22"/>
                <w:szCs w:val="22"/>
              </w:rPr>
            </w:pPr>
            <w:r w:rsidRPr="00537910">
              <w:rPr>
                <w:rFonts w:ascii="Times New Roman" w:hAnsi="Times New Roman" w:cs="Times New Roman"/>
                <w:sz w:val="22"/>
                <w:szCs w:val="22"/>
              </w:rPr>
              <w:t>4.00</w:t>
            </w:r>
          </w:p>
        </w:tc>
        <w:tc>
          <w:tcPr>
            <w:tcW w:w="0" w:type="auto"/>
            <w:vAlign w:val="center"/>
            <w:hideMark/>
          </w:tcPr>
          <w:p w14:paraId="25F9CE49" w14:textId="77777777" w:rsidR="008259E2" w:rsidRPr="00537910" w:rsidRDefault="008259E2" w:rsidP="00537910">
            <w:pPr>
              <w:pStyle w:val="NoSpacing"/>
              <w:jc w:val="center"/>
              <w:rPr>
                <w:rFonts w:ascii="Times New Roman" w:hAnsi="Times New Roman" w:cs="Times New Roman"/>
                <w:sz w:val="22"/>
                <w:szCs w:val="22"/>
              </w:rPr>
            </w:pPr>
            <w:r w:rsidRPr="00537910">
              <w:rPr>
                <w:rFonts w:ascii="Times New Roman" w:hAnsi="Times New Roman" w:cs="Times New Roman"/>
                <w:sz w:val="22"/>
                <w:szCs w:val="22"/>
              </w:rPr>
              <w:t>0.61</w:t>
            </w:r>
          </w:p>
        </w:tc>
        <w:tc>
          <w:tcPr>
            <w:tcW w:w="0" w:type="auto"/>
            <w:vAlign w:val="center"/>
            <w:hideMark/>
          </w:tcPr>
          <w:p w14:paraId="7B6B8D79" w14:textId="77777777" w:rsidR="008259E2" w:rsidRPr="00537910" w:rsidRDefault="008259E2" w:rsidP="00537910">
            <w:pPr>
              <w:pStyle w:val="NoSpacing"/>
              <w:jc w:val="center"/>
              <w:rPr>
                <w:rFonts w:ascii="Times New Roman" w:hAnsi="Times New Roman" w:cs="Times New Roman"/>
                <w:sz w:val="22"/>
                <w:szCs w:val="22"/>
              </w:rPr>
            </w:pPr>
            <w:r w:rsidRPr="00537910">
              <w:rPr>
                <w:rFonts w:ascii="Times New Roman" w:hAnsi="Times New Roman" w:cs="Times New Roman"/>
                <w:sz w:val="22"/>
                <w:szCs w:val="22"/>
              </w:rPr>
              <w:t>7.37</w:t>
            </w:r>
          </w:p>
        </w:tc>
        <w:tc>
          <w:tcPr>
            <w:tcW w:w="0" w:type="auto"/>
            <w:vAlign w:val="center"/>
            <w:hideMark/>
          </w:tcPr>
          <w:p w14:paraId="681F5BAF" w14:textId="77777777" w:rsidR="008259E2" w:rsidRPr="00537910" w:rsidRDefault="008259E2" w:rsidP="00537910">
            <w:pPr>
              <w:pStyle w:val="NoSpacing"/>
              <w:jc w:val="center"/>
              <w:rPr>
                <w:rFonts w:ascii="Times New Roman" w:hAnsi="Times New Roman" w:cs="Times New Roman"/>
                <w:sz w:val="22"/>
                <w:szCs w:val="22"/>
              </w:rPr>
            </w:pPr>
            <w:r w:rsidRPr="00537910">
              <w:rPr>
                <w:rFonts w:ascii="Times New Roman" w:hAnsi="Times New Roman" w:cs="Times New Roman"/>
                <w:sz w:val="22"/>
                <w:szCs w:val="22"/>
              </w:rPr>
              <w:t>..</w:t>
            </w:r>
          </w:p>
        </w:tc>
        <w:tc>
          <w:tcPr>
            <w:tcW w:w="0" w:type="auto"/>
            <w:vAlign w:val="center"/>
            <w:hideMark/>
          </w:tcPr>
          <w:p w14:paraId="160D24D0" w14:textId="77777777" w:rsidR="008259E2" w:rsidRPr="00537910" w:rsidRDefault="008259E2" w:rsidP="00537910">
            <w:pPr>
              <w:pStyle w:val="NoSpacing"/>
              <w:jc w:val="center"/>
              <w:rPr>
                <w:rFonts w:ascii="Times New Roman" w:hAnsi="Times New Roman" w:cs="Times New Roman"/>
                <w:sz w:val="22"/>
                <w:szCs w:val="22"/>
              </w:rPr>
            </w:pPr>
            <w:r w:rsidRPr="00537910">
              <w:rPr>
                <w:rFonts w:ascii="Times New Roman" w:hAnsi="Times New Roman" w:cs="Times New Roman"/>
                <w:sz w:val="22"/>
                <w:szCs w:val="22"/>
              </w:rPr>
              <w:t>+0.07</w:t>
            </w:r>
          </w:p>
        </w:tc>
        <w:tc>
          <w:tcPr>
            <w:tcW w:w="0" w:type="auto"/>
            <w:vAlign w:val="center"/>
            <w:hideMark/>
          </w:tcPr>
          <w:p w14:paraId="114A0A0B" w14:textId="77777777" w:rsidR="008259E2" w:rsidRPr="00537910" w:rsidRDefault="008259E2" w:rsidP="00537910">
            <w:pPr>
              <w:pStyle w:val="NoSpacing"/>
              <w:jc w:val="center"/>
              <w:rPr>
                <w:rFonts w:ascii="Times New Roman" w:hAnsi="Times New Roman" w:cs="Times New Roman"/>
                <w:sz w:val="22"/>
                <w:szCs w:val="22"/>
              </w:rPr>
            </w:pPr>
            <w:r w:rsidRPr="00537910">
              <w:rPr>
                <w:rFonts w:ascii="Times New Roman" w:hAnsi="Times New Roman" w:cs="Times New Roman"/>
                <w:sz w:val="22"/>
                <w:szCs w:val="22"/>
              </w:rPr>
              <w:t>..</w:t>
            </w:r>
          </w:p>
        </w:tc>
        <w:tc>
          <w:tcPr>
            <w:tcW w:w="0" w:type="auto"/>
            <w:vAlign w:val="center"/>
            <w:hideMark/>
          </w:tcPr>
          <w:p w14:paraId="6070109A" w14:textId="77777777" w:rsidR="008259E2" w:rsidRPr="00537910" w:rsidRDefault="008259E2" w:rsidP="00537910">
            <w:pPr>
              <w:pStyle w:val="NoSpacing"/>
              <w:jc w:val="center"/>
              <w:rPr>
                <w:rFonts w:ascii="Times New Roman" w:hAnsi="Times New Roman" w:cs="Times New Roman"/>
                <w:sz w:val="22"/>
                <w:szCs w:val="22"/>
              </w:rPr>
            </w:pPr>
            <w:r w:rsidRPr="00537910">
              <w:rPr>
                <w:rFonts w:ascii="Times New Roman" w:hAnsi="Times New Roman" w:cs="Times New Roman"/>
                <w:sz w:val="22"/>
                <w:szCs w:val="22"/>
              </w:rPr>
              <w:t>+0.07</w:t>
            </w:r>
          </w:p>
        </w:tc>
      </w:tr>
      <w:tr w:rsidR="008259E2" w:rsidRPr="00537910" w14:paraId="57A22907" w14:textId="77777777" w:rsidTr="00537910">
        <w:tc>
          <w:tcPr>
            <w:tcW w:w="0" w:type="auto"/>
            <w:hideMark/>
          </w:tcPr>
          <w:p w14:paraId="3040F90C" w14:textId="77777777" w:rsidR="008259E2" w:rsidRPr="00537910" w:rsidRDefault="008259E2" w:rsidP="00B77C0B">
            <w:pPr>
              <w:pStyle w:val="NoSpacing"/>
              <w:rPr>
                <w:rFonts w:ascii="Times New Roman" w:hAnsi="Times New Roman" w:cs="Times New Roman"/>
                <w:sz w:val="22"/>
                <w:szCs w:val="22"/>
              </w:rPr>
            </w:pPr>
            <w:r w:rsidRPr="00537910">
              <w:rPr>
                <w:rFonts w:ascii="Times New Roman" w:hAnsi="Times New Roman" w:cs="Times New Roman"/>
                <w:sz w:val="22"/>
                <w:szCs w:val="22"/>
              </w:rPr>
              <w:t>Maharashtra</w:t>
            </w:r>
          </w:p>
        </w:tc>
        <w:tc>
          <w:tcPr>
            <w:tcW w:w="0" w:type="auto"/>
            <w:vAlign w:val="center"/>
            <w:hideMark/>
          </w:tcPr>
          <w:p w14:paraId="479F0625" w14:textId="77777777" w:rsidR="008259E2" w:rsidRPr="00537910" w:rsidRDefault="008259E2" w:rsidP="00537910">
            <w:pPr>
              <w:pStyle w:val="NoSpacing"/>
              <w:jc w:val="center"/>
              <w:rPr>
                <w:rFonts w:ascii="Times New Roman" w:hAnsi="Times New Roman" w:cs="Times New Roman"/>
                <w:sz w:val="22"/>
                <w:szCs w:val="22"/>
              </w:rPr>
            </w:pPr>
            <w:r w:rsidRPr="00537910">
              <w:rPr>
                <w:rFonts w:ascii="Times New Roman" w:hAnsi="Times New Roman" w:cs="Times New Roman"/>
                <w:sz w:val="22"/>
                <w:szCs w:val="22"/>
              </w:rPr>
              <w:t>162.65</w:t>
            </w:r>
          </w:p>
        </w:tc>
        <w:tc>
          <w:tcPr>
            <w:tcW w:w="0" w:type="auto"/>
            <w:vAlign w:val="center"/>
            <w:hideMark/>
          </w:tcPr>
          <w:p w14:paraId="3ABB898A" w14:textId="77777777" w:rsidR="008259E2" w:rsidRPr="00537910" w:rsidRDefault="008259E2" w:rsidP="00537910">
            <w:pPr>
              <w:pStyle w:val="NoSpacing"/>
              <w:jc w:val="center"/>
              <w:rPr>
                <w:rFonts w:ascii="Times New Roman" w:hAnsi="Times New Roman" w:cs="Times New Roman"/>
                <w:sz w:val="22"/>
                <w:szCs w:val="22"/>
              </w:rPr>
            </w:pPr>
            <w:r w:rsidRPr="00537910">
              <w:rPr>
                <w:rFonts w:ascii="Times New Roman" w:hAnsi="Times New Roman" w:cs="Times New Roman"/>
                <w:sz w:val="22"/>
                <w:szCs w:val="22"/>
              </w:rPr>
              <w:t>33.98</w:t>
            </w:r>
          </w:p>
        </w:tc>
        <w:tc>
          <w:tcPr>
            <w:tcW w:w="0" w:type="auto"/>
            <w:vAlign w:val="center"/>
            <w:hideMark/>
          </w:tcPr>
          <w:p w14:paraId="479853A4" w14:textId="77777777" w:rsidR="008259E2" w:rsidRPr="00537910" w:rsidRDefault="008259E2" w:rsidP="00537910">
            <w:pPr>
              <w:pStyle w:val="NoSpacing"/>
              <w:jc w:val="center"/>
              <w:rPr>
                <w:rFonts w:ascii="Times New Roman" w:hAnsi="Times New Roman" w:cs="Times New Roman"/>
                <w:sz w:val="22"/>
                <w:szCs w:val="22"/>
              </w:rPr>
            </w:pPr>
            <w:r w:rsidRPr="00537910">
              <w:rPr>
                <w:rFonts w:ascii="Times New Roman" w:hAnsi="Times New Roman" w:cs="Times New Roman"/>
                <w:sz w:val="22"/>
                <w:szCs w:val="22"/>
              </w:rPr>
              <w:t>21.90</w:t>
            </w:r>
          </w:p>
        </w:tc>
        <w:tc>
          <w:tcPr>
            <w:tcW w:w="0" w:type="auto"/>
            <w:vAlign w:val="center"/>
            <w:hideMark/>
          </w:tcPr>
          <w:p w14:paraId="39CD929F" w14:textId="77777777" w:rsidR="008259E2" w:rsidRPr="00537910" w:rsidRDefault="008259E2" w:rsidP="00537910">
            <w:pPr>
              <w:pStyle w:val="NoSpacing"/>
              <w:jc w:val="center"/>
              <w:rPr>
                <w:rFonts w:ascii="Times New Roman" w:hAnsi="Times New Roman" w:cs="Times New Roman"/>
                <w:sz w:val="22"/>
                <w:szCs w:val="22"/>
              </w:rPr>
            </w:pPr>
            <w:r w:rsidRPr="00537910">
              <w:rPr>
                <w:rFonts w:ascii="Times New Roman" w:hAnsi="Times New Roman" w:cs="Times New Roman"/>
                <w:sz w:val="22"/>
                <w:szCs w:val="22"/>
              </w:rPr>
              <w:t>3.80</w:t>
            </w:r>
          </w:p>
        </w:tc>
        <w:tc>
          <w:tcPr>
            <w:tcW w:w="0" w:type="auto"/>
            <w:vAlign w:val="center"/>
            <w:hideMark/>
          </w:tcPr>
          <w:p w14:paraId="1E7EA1A6" w14:textId="77777777" w:rsidR="008259E2" w:rsidRPr="00537910" w:rsidRDefault="008259E2" w:rsidP="00537910">
            <w:pPr>
              <w:pStyle w:val="NoSpacing"/>
              <w:jc w:val="center"/>
              <w:rPr>
                <w:rFonts w:ascii="Times New Roman" w:hAnsi="Times New Roman" w:cs="Times New Roman"/>
                <w:sz w:val="22"/>
                <w:szCs w:val="22"/>
              </w:rPr>
            </w:pPr>
            <w:r w:rsidRPr="00537910">
              <w:rPr>
                <w:rFonts w:ascii="Times New Roman" w:hAnsi="Times New Roman" w:cs="Times New Roman"/>
                <w:sz w:val="22"/>
                <w:szCs w:val="22"/>
              </w:rPr>
              <w:t>0.63</w:t>
            </w:r>
          </w:p>
        </w:tc>
        <w:tc>
          <w:tcPr>
            <w:tcW w:w="0" w:type="auto"/>
            <w:vAlign w:val="center"/>
            <w:hideMark/>
          </w:tcPr>
          <w:p w14:paraId="7B0C2682" w14:textId="77777777" w:rsidR="008259E2" w:rsidRPr="00537910" w:rsidRDefault="008259E2" w:rsidP="00537910">
            <w:pPr>
              <w:pStyle w:val="NoSpacing"/>
              <w:jc w:val="center"/>
              <w:rPr>
                <w:rFonts w:ascii="Times New Roman" w:hAnsi="Times New Roman" w:cs="Times New Roman"/>
                <w:sz w:val="22"/>
                <w:szCs w:val="22"/>
              </w:rPr>
            </w:pPr>
            <w:r w:rsidRPr="00537910">
              <w:rPr>
                <w:rFonts w:ascii="Times New Roman" w:hAnsi="Times New Roman" w:cs="Times New Roman"/>
                <w:sz w:val="22"/>
                <w:szCs w:val="22"/>
              </w:rPr>
              <w:t>4.41</w:t>
            </w:r>
          </w:p>
        </w:tc>
        <w:tc>
          <w:tcPr>
            <w:tcW w:w="0" w:type="auto"/>
            <w:vAlign w:val="center"/>
            <w:hideMark/>
          </w:tcPr>
          <w:p w14:paraId="1C2E34D3" w14:textId="77777777" w:rsidR="008259E2" w:rsidRPr="00537910" w:rsidRDefault="008259E2" w:rsidP="00537910">
            <w:pPr>
              <w:pStyle w:val="NoSpacing"/>
              <w:jc w:val="center"/>
              <w:rPr>
                <w:rFonts w:ascii="Times New Roman" w:hAnsi="Times New Roman" w:cs="Times New Roman"/>
                <w:sz w:val="22"/>
                <w:szCs w:val="22"/>
              </w:rPr>
            </w:pPr>
            <w:r w:rsidRPr="00537910">
              <w:rPr>
                <w:rFonts w:ascii="Times New Roman" w:hAnsi="Times New Roman" w:cs="Times New Roman"/>
                <w:sz w:val="22"/>
                <w:szCs w:val="22"/>
              </w:rPr>
              <w:t>1.89</w:t>
            </w:r>
          </w:p>
        </w:tc>
        <w:tc>
          <w:tcPr>
            <w:tcW w:w="0" w:type="auto"/>
            <w:vAlign w:val="center"/>
            <w:hideMark/>
          </w:tcPr>
          <w:p w14:paraId="33AD5633" w14:textId="77777777" w:rsidR="008259E2" w:rsidRPr="00537910" w:rsidRDefault="008259E2" w:rsidP="00537910">
            <w:pPr>
              <w:pStyle w:val="NoSpacing"/>
              <w:jc w:val="center"/>
              <w:rPr>
                <w:rFonts w:ascii="Times New Roman" w:hAnsi="Times New Roman" w:cs="Times New Roman"/>
                <w:sz w:val="22"/>
                <w:szCs w:val="22"/>
              </w:rPr>
            </w:pPr>
            <w:r w:rsidRPr="00537910">
              <w:rPr>
                <w:rFonts w:ascii="Times New Roman" w:hAnsi="Times New Roman" w:cs="Times New Roman"/>
                <w:sz w:val="22"/>
                <w:szCs w:val="22"/>
              </w:rPr>
              <w:t>+1.35</w:t>
            </w:r>
          </w:p>
        </w:tc>
        <w:tc>
          <w:tcPr>
            <w:tcW w:w="0" w:type="auto"/>
            <w:vAlign w:val="center"/>
            <w:hideMark/>
          </w:tcPr>
          <w:p w14:paraId="1BD0AA50" w14:textId="77777777" w:rsidR="008259E2" w:rsidRPr="00537910" w:rsidRDefault="008259E2" w:rsidP="00537910">
            <w:pPr>
              <w:pStyle w:val="NoSpacing"/>
              <w:jc w:val="center"/>
              <w:rPr>
                <w:rFonts w:ascii="Times New Roman" w:hAnsi="Times New Roman" w:cs="Times New Roman"/>
                <w:sz w:val="22"/>
                <w:szCs w:val="22"/>
              </w:rPr>
            </w:pPr>
            <w:r w:rsidRPr="00537910">
              <w:rPr>
                <w:rFonts w:ascii="Times New Roman" w:hAnsi="Times New Roman" w:cs="Times New Roman"/>
                <w:sz w:val="22"/>
                <w:szCs w:val="22"/>
              </w:rPr>
              <w:t>-1.65</w:t>
            </w:r>
          </w:p>
        </w:tc>
        <w:tc>
          <w:tcPr>
            <w:tcW w:w="0" w:type="auto"/>
            <w:vAlign w:val="center"/>
            <w:hideMark/>
          </w:tcPr>
          <w:p w14:paraId="2F2272FD" w14:textId="77777777" w:rsidR="008259E2" w:rsidRPr="00537910" w:rsidRDefault="008259E2" w:rsidP="00537910">
            <w:pPr>
              <w:pStyle w:val="NoSpacing"/>
              <w:jc w:val="center"/>
              <w:rPr>
                <w:rFonts w:ascii="Times New Roman" w:hAnsi="Times New Roman" w:cs="Times New Roman"/>
                <w:sz w:val="22"/>
                <w:szCs w:val="22"/>
              </w:rPr>
            </w:pPr>
            <w:r w:rsidRPr="00537910">
              <w:rPr>
                <w:rFonts w:ascii="Times New Roman" w:hAnsi="Times New Roman" w:cs="Times New Roman"/>
                <w:sz w:val="22"/>
                <w:szCs w:val="22"/>
              </w:rPr>
              <w:t>-0.30</w:t>
            </w:r>
          </w:p>
        </w:tc>
      </w:tr>
      <w:tr w:rsidR="008259E2" w:rsidRPr="00537910" w14:paraId="7922AE11" w14:textId="77777777" w:rsidTr="00537910">
        <w:tc>
          <w:tcPr>
            <w:tcW w:w="0" w:type="auto"/>
            <w:hideMark/>
          </w:tcPr>
          <w:p w14:paraId="030CD893" w14:textId="77777777" w:rsidR="008259E2" w:rsidRPr="00537910" w:rsidRDefault="008259E2" w:rsidP="00B77C0B">
            <w:pPr>
              <w:pStyle w:val="NoSpacing"/>
              <w:rPr>
                <w:rFonts w:ascii="Times New Roman" w:hAnsi="Times New Roman" w:cs="Times New Roman"/>
                <w:sz w:val="22"/>
                <w:szCs w:val="22"/>
              </w:rPr>
            </w:pPr>
            <w:r w:rsidRPr="00537910">
              <w:rPr>
                <w:rFonts w:ascii="Times New Roman" w:hAnsi="Times New Roman" w:cs="Times New Roman"/>
                <w:sz w:val="22"/>
                <w:szCs w:val="22"/>
              </w:rPr>
              <w:t>Mysore</w:t>
            </w:r>
          </w:p>
        </w:tc>
        <w:tc>
          <w:tcPr>
            <w:tcW w:w="0" w:type="auto"/>
            <w:vAlign w:val="center"/>
            <w:hideMark/>
          </w:tcPr>
          <w:p w14:paraId="1EDD2984" w14:textId="77777777" w:rsidR="008259E2" w:rsidRPr="00537910" w:rsidRDefault="008259E2" w:rsidP="00537910">
            <w:pPr>
              <w:pStyle w:val="NoSpacing"/>
              <w:jc w:val="center"/>
              <w:rPr>
                <w:rFonts w:ascii="Times New Roman" w:hAnsi="Times New Roman" w:cs="Times New Roman"/>
                <w:sz w:val="22"/>
                <w:szCs w:val="22"/>
              </w:rPr>
            </w:pPr>
            <w:r w:rsidRPr="00537910">
              <w:rPr>
                <w:rFonts w:ascii="Times New Roman" w:hAnsi="Times New Roman" w:cs="Times New Roman"/>
                <w:sz w:val="22"/>
                <w:szCs w:val="22"/>
              </w:rPr>
              <w:t>98.91</w:t>
            </w:r>
          </w:p>
        </w:tc>
        <w:tc>
          <w:tcPr>
            <w:tcW w:w="0" w:type="auto"/>
            <w:vAlign w:val="center"/>
            <w:hideMark/>
          </w:tcPr>
          <w:p w14:paraId="258E6395" w14:textId="77777777" w:rsidR="008259E2" w:rsidRPr="00537910" w:rsidRDefault="008259E2" w:rsidP="00537910">
            <w:pPr>
              <w:pStyle w:val="NoSpacing"/>
              <w:jc w:val="center"/>
              <w:rPr>
                <w:rFonts w:ascii="Times New Roman" w:hAnsi="Times New Roman" w:cs="Times New Roman"/>
                <w:sz w:val="22"/>
                <w:szCs w:val="22"/>
              </w:rPr>
            </w:pPr>
            <w:r w:rsidRPr="00537910">
              <w:rPr>
                <w:rFonts w:ascii="Times New Roman" w:hAnsi="Times New Roman" w:cs="Times New Roman"/>
                <w:sz w:val="22"/>
                <w:szCs w:val="22"/>
              </w:rPr>
              <w:t>15.96</w:t>
            </w:r>
          </w:p>
        </w:tc>
        <w:tc>
          <w:tcPr>
            <w:tcW w:w="0" w:type="auto"/>
            <w:vAlign w:val="center"/>
            <w:hideMark/>
          </w:tcPr>
          <w:p w14:paraId="628EFF34" w14:textId="77777777" w:rsidR="008259E2" w:rsidRPr="00537910" w:rsidRDefault="008259E2" w:rsidP="00537910">
            <w:pPr>
              <w:pStyle w:val="NoSpacing"/>
              <w:jc w:val="center"/>
              <w:rPr>
                <w:rFonts w:ascii="Times New Roman" w:hAnsi="Times New Roman" w:cs="Times New Roman"/>
                <w:sz w:val="22"/>
                <w:szCs w:val="22"/>
              </w:rPr>
            </w:pPr>
            <w:r w:rsidRPr="00537910">
              <w:rPr>
                <w:rFonts w:ascii="Times New Roman" w:hAnsi="Times New Roman" w:cs="Times New Roman"/>
                <w:sz w:val="22"/>
                <w:szCs w:val="22"/>
              </w:rPr>
              <w:t>10.35</w:t>
            </w:r>
          </w:p>
        </w:tc>
        <w:tc>
          <w:tcPr>
            <w:tcW w:w="0" w:type="auto"/>
            <w:vAlign w:val="center"/>
            <w:hideMark/>
          </w:tcPr>
          <w:p w14:paraId="22E150F3" w14:textId="77777777" w:rsidR="008259E2" w:rsidRPr="00537910" w:rsidRDefault="008259E2" w:rsidP="00537910">
            <w:pPr>
              <w:pStyle w:val="NoSpacing"/>
              <w:jc w:val="center"/>
              <w:rPr>
                <w:rFonts w:ascii="Times New Roman" w:hAnsi="Times New Roman" w:cs="Times New Roman"/>
                <w:sz w:val="22"/>
                <w:szCs w:val="22"/>
              </w:rPr>
            </w:pPr>
            <w:r w:rsidRPr="00537910">
              <w:rPr>
                <w:rFonts w:ascii="Times New Roman" w:hAnsi="Times New Roman" w:cs="Times New Roman"/>
                <w:sz w:val="22"/>
                <w:szCs w:val="22"/>
              </w:rPr>
              <w:t>2.77</w:t>
            </w:r>
          </w:p>
        </w:tc>
        <w:tc>
          <w:tcPr>
            <w:tcW w:w="0" w:type="auto"/>
            <w:vAlign w:val="center"/>
            <w:hideMark/>
          </w:tcPr>
          <w:p w14:paraId="38EB32B3" w14:textId="77777777" w:rsidR="008259E2" w:rsidRPr="00537910" w:rsidRDefault="008259E2" w:rsidP="00537910">
            <w:pPr>
              <w:pStyle w:val="NoSpacing"/>
              <w:jc w:val="center"/>
              <w:rPr>
                <w:rFonts w:ascii="Times New Roman" w:hAnsi="Times New Roman" w:cs="Times New Roman"/>
                <w:sz w:val="22"/>
                <w:szCs w:val="22"/>
              </w:rPr>
            </w:pPr>
            <w:r w:rsidRPr="00537910">
              <w:rPr>
                <w:rFonts w:ascii="Times New Roman" w:hAnsi="Times New Roman" w:cs="Times New Roman"/>
                <w:sz w:val="22"/>
                <w:szCs w:val="22"/>
              </w:rPr>
              <w:t>..</w:t>
            </w:r>
          </w:p>
        </w:tc>
        <w:tc>
          <w:tcPr>
            <w:tcW w:w="0" w:type="auto"/>
            <w:vAlign w:val="center"/>
            <w:hideMark/>
          </w:tcPr>
          <w:p w14:paraId="3204CE40" w14:textId="77777777" w:rsidR="008259E2" w:rsidRPr="00537910" w:rsidRDefault="008259E2" w:rsidP="00537910">
            <w:pPr>
              <w:pStyle w:val="NoSpacing"/>
              <w:jc w:val="center"/>
              <w:rPr>
                <w:rFonts w:ascii="Times New Roman" w:hAnsi="Times New Roman" w:cs="Times New Roman"/>
                <w:sz w:val="22"/>
                <w:szCs w:val="22"/>
              </w:rPr>
            </w:pPr>
            <w:r w:rsidRPr="00537910">
              <w:rPr>
                <w:rFonts w:ascii="Times New Roman" w:hAnsi="Times New Roman" w:cs="Times New Roman"/>
                <w:sz w:val="22"/>
                <w:szCs w:val="22"/>
              </w:rPr>
              <w:t>4.88</w:t>
            </w:r>
          </w:p>
        </w:tc>
        <w:tc>
          <w:tcPr>
            <w:tcW w:w="0" w:type="auto"/>
            <w:vAlign w:val="center"/>
            <w:hideMark/>
          </w:tcPr>
          <w:p w14:paraId="7D694330" w14:textId="77777777" w:rsidR="008259E2" w:rsidRPr="00537910" w:rsidRDefault="008259E2" w:rsidP="00537910">
            <w:pPr>
              <w:pStyle w:val="NoSpacing"/>
              <w:jc w:val="center"/>
              <w:rPr>
                <w:rFonts w:ascii="Times New Roman" w:hAnsi="Times New Roman" w:cs="Times New Roman"/>
                <w:sz w:val="22"/>
                <w:szCs w:val="22"/>
              </w:rPr>
            </w:pPr>
            <w:r w:rsidRPr="00537910">
              <w:rPr>
                <w:rFonts w:ascii="Times New Roman" w:hAnsi="Times New Roman" w:cs="Times New Roman"/>
                <w:sz w:val="22"/>
                <w:szCs w:val="22"/>
              </w:rPr>
              <w:t>1.23</w:t>
            </w:r>
          </w:p>
        </w:tc>
        <w:tc>
          <w:tcPr>
            <w:tcW w:w="0" w:type="auto"/>
            <w:vAlign w:val="center"/>
            <w:hideMark/>
          </w:tcPr>
          <w:p w14:paraId="4A4395C1" w14:textId="77777777" w:rsidR="008259E2" w:rsidRPr="00537910" w:rsidRDefault="008259E2" w:rsidP="00537910">
            <w:pPr>
              <w:pStyle w:val="NoSpacing"/>
              <w:jc w:val="center"/>
              <w:rPr>
                <w:rFonts w:ascii="Times New Roman" w:hAnsi="Times New Roman" w:cs="Times New Roman"/>
                <w:sz w:val="22"/>
                <w:szCs w:val="22"/>
              </w:rPr>
            </w:pPr>
            <w:r w:rsidRPr="00537910">
              <w:rPr>
                <w:rFonts w:ascii="Times New Roman" w:hAnsi="Times New Roman" w:cs="Times New Roman"/>
                <w:sz w:val="22"/>
                <w:szCs w:val="22"/>
              </w:rPr>
              <w:t>-3.27</w:t>
            </w:r>
          </w:p>
        </w:tc>
        <w:tc>
          <w:tcPr>
            <w:tcW w:w="0" w:type="auto"/>
            <w:vAlign w:val="center"/>
            <w:hideMark/>
          </w:tcPr>
          <w:p w14:paraId="1DD4D6C5" w14:textId="77777777" w:rsidR="008259E2" w:rsidRPr="00537910" w:rsidRDefault="008259E2" w:rsidP="00537910">
            <w:pPr>
              <w:pStyle w:val="NoSpacing"/>
              <w:jc w:val="center"/>
              <w:rPr>
                <w:rFonts w:ascii="Times New Roman" w:hAnsi="Times New Roman" w:cs="Times New Roman"/>
                <w:sz w:val="22"/>
                <w:szCs w:val="22"/>
              </w:rPr>
            </w:pPr>
            <w:r w:rsidRPr="00537910">
              <w:rPr>
                <w:rFonts w:ascii="Times New Roman" w:hAnsi="Times New Roman" w:cs="Times New Roman"/>
                <w:sz w:val="22"/>
                <w:szCs w:val="22"/>
              </w:rPr>
              <w:t>..</w:t>
            </w:r>
          </w:p>
        </w:tc>
        <w:tc>
          <w:tcPr>
            <w:tcW w:w="0" w:type="auto"/>
            <w:vAlign w:val="center"/>
            <w:hideMark/>
          </w:tcPr>
          <w:p w14:paraId="09400C40" w14:textId="77777777" w:rsidR="008259E2" w:rsidRPr="00537910" w:rsidRDefault="008259E2" w:rsidP="00537910">
            <w:pPr>
              <w:pStyle w:val="NoSpacing"/>
              <w:jc w:val="center"/>
              <w:rPr>
                <w:rFonts w:ascii="Times New Roman" w:hAnsi="Times New Roman" w:cs="Times New Roman"/>
                <w:sz w:val="22"/>
                <w:szCs w:val="22"/>
              </w:rPr>
            </w:pPr>
            <w:r w:rsidRPr="00537910">
              <w:rPr>
                <w:rFonts w:ascii="Times New Roman" w:hAnsi="Times New Roman" w:cs="Times New Roman"/>
                <w:sz w:val="22"/>
                <w:szCs w:val="22"/>
              </w:rPr>
              <w:t>-3.27</w:t>
            </w:r>
          </w:p>
        </w:tc>
      </w:tr>
      <w:tr w:rsidR="008259E2" w:rsidRPr="00537910" w14:paraId="549D486D" w14:textId="77777777" w:rsidTr="00537910">
        <w:tc>
          <w:tcPr>
            <w:tcW w:w="0" w:type="auto"/>
            <w:hideMark/>
          </w:tcPr>
          <w:p w14:paraId="427CB292" w14:textId="77777777" w:rsidR="008259E2" w:rsidRPr="00537910" w:rsidRDefault="008259E2" w:rsidP="00B77C0B">
            <w:pPr>
              <w:pStyle w:val="NoSpacing"/>
              <w:rPr>
                <w:rFonts w:ascii="Times New Roman" w:hAnsi="Times New Roman" w:cs="Times New Roman"/>
                <w:sz w:val="22"/>
                <w:szCs w:val="22"/>
              </w:rPr>
            </w:pPr>
            <w:r w:rsidRPr="00537910">
              <w:rPr>
                <w:rFonts w:ascii="Times New Roman" w:hAnsi="Times New Roman" w:cs="Times New Roman"/>
                <w:sz w:val="22"/>
                <w:szCs w:val="22"/>
              </w:rPr>
              <w:t>Nagaland</w:t>
            </w:r>
          </w:p>
        </w:tc>
        <w:tc>
          <w:tcPr>
            <w:tcW w:w="0" w:type="auto"/>
            <w:vAlign w:val="center"/>
            <w:hideMark/>
          </w:tcPr>
          <w:p w14:paraId="44DB5033" w14:textId="77777777" w:rsidR="008259E2" w:rsidRPr="00537910" w:rsidRDefault="008259E2" w:rsidP="00537910">
            <w:pPr>
              <w:pStyle w:val="NoSpacing"/>
              <w:jc w:val="center"/>
              <w:rPr>
                <w:rFonts w:ascii="Times New Roman" w:hAnsi="Times New Roman" w:cs="Times New Roman"/>
                <w:sz w:val="22"/>
                <w:szCs w:val="22"/>
              </w:rPr>
            </w:pPr>
            <w:r w:rsidRPr="00537910">
              <w:rPr>
                <w:rFonts w:ascii="Times New Roman" w:hAnsi="Times New Roman" w:cs="Times New Roman"/>
                <w:sz w:val="22"/>
                <w:szCs w:val="22"/>
              </w:rPr>
              <w:t>..</w:t>
            </w:r>
          </w:p>
        </w:tc>
        <w:tc>
          <w:tcPr>
            <w:tcW w:w="0" w:type="auto"/>
            <w:vAlign w:val="center"/>
            <w:hideMark/>
          </w:tcPr>
          <w:p w14:paraId="2CA0811B" w14:textId="77777777" w:rsidR="008259E2" w:rsidRPr="00537910" w:rsidRDefault="008259E2" w:rsidP="00537910">
            <w:pPr>
              <w:pStyle w:val="NoSpacing"/>
              <w:jc w:val="center"/>
              <w:rPr>
                <w:rFonts w:ascii="Times New Roman" w:hAnsi="Times New Roman" w:cs="Times New Roman"/>
                <w:sz w:val="22"/>
                <w:szCs w:val="22"/>
              </w:rPr>
            </w:pPr>
            <w:r w:rsidRPr="00537910">
              <w:rPr>
                <w:rFonts w:ascii="Times New Roman" w:hAnsi="Times New Roman" w:cs="Times New Roman"/>
                <w:sz w:val="22"/>
                <w:szCs w:val="22"/>
              </w:rPr>
              <w:t>..</w:t>
            </w:r>
          </w:p>
        </w:tc>
        <w:tc>
          <w:tcPr>
            <w:tcW w:w="0" w:type="auto"/>
            <w:vAlign w:val="center"/>
            <w:hideMark/>
          </w:tcPr>
          <w:p w14:paraId="2485B4B7" w14:textId="77777777" w:rsidR="008259E2" w:rsidRPr="00537910" w:rsidRDefault="008259E2" w:rsidP="00537910">
            <w:pPr>
              <w:pStyle w:val="NoSpacing"/>
              <w:jc w:val="center"/>
              <w:rPr>
                <w:rFonts w:ascii="Times New Roman" w:hAnsi="Times New Roman" w:cs="Times New Roman"/>
                <w:sz w:val="22"/>
                <w:szCs w:val="22"/>
              </w:rPr>
            </w:pPr>
            <w:r w:rsidRPr="00537910">
              <w:rPr>
                <w:rFonts w:ascii="Times New Roman" w:hAnsi="Times New Roman" w:cs="Times New Roman"/>
                <w:sz w:val="22"/>
                <w:szCs w:val="22"/>
              </w:rPr>
              <w:t>..</w:t>
            </w:r>
          </w:p>
        </w:tc>
        <w:tc>
          <w:tcPr>
            <w:tcW w:w="0" w:type="auto"/>
            <w:vAlign w:val="center"/>
            <w:hideMark/>
          </w:tcPr>
          <w:p w14:paraId="38728408" w14:textId="77777777" w:rsidR="008259E2" w:rsidRPr="00537910" w:rsidRDefault="008259E2" w:rsidP="00537910">
            <w:pPr>
              <w:pStyle w:val="NoSpacing"/>
              <w:jc w:val="center"/>
              <w:rPr>
                <w:rFonts w:ascii="Times New Roman" w:hAnsi="Times New Roman" w:cs="Times New Roman"/>
                <w:sz w:val="22"/>
                <w:szCs w:val="22"/>
              </w:rPr>
            </w:pPr>
            <w:r w:rsidRPr="00537910">
              <w:rPr>
                <w:rFonts w:ascii="Times New Roman" w:hAnsi="Times New Roman" w:cs="Times New Roman"/>
                <w:sz w:val="22"/>
                <w:szCs w:val="22"/>
              </w:rPr>
              <w:t>..</w:t>
            </w:r>
          </w:p>
        </w:tc>
        <w:tc>
          <w:tcPr>
            <w:tcW w:w="0" w:type="auto"/>
            <w:vAlign w:val="center"/>
            <w:hideMark/>
          </w:tcPr>
          <w:p w14:paraId="1C3FFF8D" w14:textId="77777777" w:rsidR="008259E2" w:rsidRPr="00537910" w:rsidRDefault="008259E2" w:rsidP="00537910">
            <w:pPr>
              <w:pStyle w:val="NoSpacing"/>
              <w:jc w:val="center"/>
              <w:rPr>
                <w:rFonts w:ascii="Times New Roman" w:hAnsi="Times New Roman" w:cs="Times New Roman"/>
                <w:sz w:val="22"/>
                <w:szCs w:val="22"/>
              </w:rPr>
            </w:pPr>
            <w:r w:rsidRPr="00537910">
              <w:rPr>
                <w:rFonts w:ascii="Times New Roman" w:hAnsi="Times New Roman" w:cs="Times New Roman"/>
                <w:sz w:val="22"/>
                <w:szCs w:val="22"/>
              </w:rPr>
              <w:t>..</w:t>
            </w:r>
          </w:p>
        </w:tc>
        <w:tc>
          <w:tcPr>
            <w:tcW w:w="0" w:type="auto"/>
            <w:vAlign w:val="center"/>
            <w:hideMark/>
          </w:tcPr>
          <w:p w14:paraId="5E3B7320" w14:textId="77777777" w:rsidR="008259E2" w:rsidRPr="00537910" w:rsidRDefault="008259E2" w:rsidP="00537910">
            <w:pPr>
              <w:pStyle w:val="NoSpacing"/>
              <w:jc w:val="center"/>
              <w:rPr>
                <w:rFonts w:ascii="Times New Roman" w:hAnsi="Times New Roman" w:cs="Times New Roman"/>
                <w:sz w:val="22"/>
                <w:szCs w:val="22"/>
              </w:rPr>
            </w:pPr>
            <w:r w:rsidRPr="00537910">
              <w:rPr>
                <w:rFonts w:ascii="Times New Roman" w:hAnsi="Times New Roman" w:cs="Times New Roman"/>
                <w:sz w:val="22"/>
                <w:szCs w:val="22"/>
              </w:rPr>
              <w:t>..</w:t>
            </w:r>
          </w:p>
        </w:tc>
        <w:tc>
          <w:tcPr>
            <w:tcW w:w="0" w:type="auto"/>
            <w:vAlign w:val="center"/>
            <w:hideMark/>
          </w:tcPr>
          <w:p w14:paraId="29BC8797" w14:textId="77777777" w:rsidR="008259E2" w:rsidRPr="00537910" w:rsidRDefault="008259E2" w:rsidP="00537910">
            <w:pPr>
              <w:pStyle w:val="NoSpacing"/>
              <w:jc w:val="center"/>
              <w:rPr>
                <w:rFonts w:ascii="Times New Roman" w:hAnsi="Times New Roman" w:cs="Times New Roman"/>
                <w:sz w:val="22"/>
                <w:szCs w:val="22"/>
              </w:rPr>
            </w:pPr>
            <w:r w:rsidRPr="00537910">
              <w:rPr>
                <w:rFonts w:ascii="Times New Roman" w:hAnsi="Times New Roman" w:cs="Times New Roman"/>
                <w:sz w:val="22"/>
                <w:szCs w:val="22"/>
              </w:rPr>
              <w:t>..</w:t>
            </w:r>
          </w:p>
        </w:tc>
        <w:tc>
          <w:tcPr>
            <w:tcW w:w="0" w:type="auto"/>
            <w:vAlign w:val="center"/>
            <w:hideMark/>
          </w:tcPr>
          <w:p w14:paraId="40AA7416" w14:textId="77777777" w:rsidR="008259E2" w:rsidRPr="00537910" w:rsidRDefault="008259E2" w:rsidP="00537910">
            <w:pPr>
              <w:pStyle w:val="NoSpacing"/>
              <w:jc w:val="center"/>
              <w:rPr>
                <w:rFonts w:ascii="Times New Roman" w:hAnsi="Times New Roman" w:cs="Times New Roman"/>
                <w:sz w:val="22"/>
                <w:szCs w:val="22"/>
              </w:rPr>
            </w:pPr>
            <w:r w:rsidRPr="00537910">
              <w:rPr>
                <w:rFonts w:ascii="Times New Roman" w:hAnsi="Times New Roman" w:cs="Times New Roman"/>
                <w:sz w:val="22"/>
                <w:szCs w:val="22"/>
              </w:rPr>
              <w:t>..</w:t>
            </w:r>
          </w:p>
        </w:tc>
        <w:tc>
          <w:tcPr>
            <w:tcW w:w="0" w:type="auto"/>
            <w:vAlign w:val="center"/>
            <w:hideMark/>
          </w:tcPr>
          <w:p w14:paraId="66344DBA" w14:textId="77777777" w:rsidR="008259E2" w:rsidRPr="00537910" w:rsidRDefault="008259E2" w:rsidP="00537910">
            <w:pPr>
              <w:pStyle w:val="NoSpacing"/>
              <w:jc w:val="center"/>
              <w:rPr>
                <w:rFonts w:ascii="Times New Roman" w:hAnsi="Times New Roman" w:cs="Times New Roman"/>
                <w:sz w:val="22"/>
                <w:szCs w:val="22"/>
              </w:rPr>
            </w:pPr>
            <w:r w:rsidRPr="00537910">
              <w:rPr>
                <w:rFonts w:ascii="Times New Roman" w:hAnsi="Times New Roman" w:cs="Times New Roman"/>
                <w:sz w:val="22"/>
                <w:szCs w:val="22"/>
              </w:rPr>
              <w:t>..</w:t>
            </w:r>
          </w:p>
        </w:tc>
        <w:tc>
          <w:tcPr>
            <w:tcW w:w="0" w:type="auto"/>
            <w:vAlign w:val="center"/>
            <w:hideMark/>
          </w:tcPr>
          <w:p w14:paraId="7F96BB52" w14:textId="77777777" w:rsidR="008259E2" w:rsidRPr="00537910" w:rsidRDefault="008259E2" w:rsidP="00537910">
            <w:pPr>
              <w:pStyle w:val="NoSpacing"/>
              <w:jc w:val="center"/>
              <w:rPr>
                <w:rFonts w:ascii="Times New Roman" w:hAnsi="Times New Roman" w:cs="Times New Roman"/>
                <w:sz w:val="22"/>
                <w:szCs w:val="22"/>
              </w:rPr>
            </w:pPr>
            <w:r w:rsidRPr="00537910">
              <w:rPr>
                <w:rFonts w:ascii="Times New Roman" w:hAnsi="Times New Roman" w:cs="Times New Roman"/>
                <w:sz w:val="22"/>
                <w:szCs w:val="22"/>
              </w:rPr>
              <w:t>..</w:t>
            </w:r>
          </w:p>
        </w:tc>
      </w:tr>
      <w:tr w:rsidR="008259E2" w:rsidRPr="00537910" w14:paraId="42DBF22B" w14:textId="77777777" w:rsidTr="00537910">
        <w:tc>
          <w:tcPr>
            <w:tcW w:w="0" w:type="auto"/>
            <w:hideMark/>
          </w:tcPr>
          <w:p w14:paraId="30F05F61" w14:textId="77777777" w:rsidR="008259E2" w:rsidRPr="00537910" w:rsidRDefault="008259E2" w:rsidP="00B77C0B">
            <w:pPr>
              <w:pStyle w:val="NoSpacing"/>
              <w:rPr>
                <w:rFonts w:ascii="Times New Roman" w:hAnsi="Times New Roman" w:cs="Times New Roman"/>
                <w:sz w:val="22"/>
                <w:szCs w:val="22"/>
              </w:rPr>
            </w:pPr>
            <w:r w:rsidRPr="00537910">
              <w:rPr>
                <w:rFonts w:ascii="Times New Roman" w:hAnsi="Times New Roman" w:cs="Times New Roman"/>
                <w:sz w:val="22"/>
                <w:szCs w:val="22"/>
              </w:rPr>
              <w:t>Orissa</w:t>
            </w:r>
          </w:p>
        </w:tc>
        <w:tc>
          <w:tcPr>
            <w:tcW w:w="0" w:type="auto"/>
            <w:vAlign w:val="center"/>
            <w:hideMark/>
          </w:tcPr>
          <w:p w14:paraId="1087E7A7" w14:textId="77777777" w:rsidR="008259E2" w:rsidRPr="00537910" w:rsidRDefault="008259E2" w:rsidP="00537910">
            <w:pPr>
              <w:pStyle w:val="NoSpacing"/>
              <w:jc w:val="center"/>
              <w:rPr>
                <w:rFonts w:ascii="Times New Roman" w:hAnsi="Times New Roman" w:cs="Times New Roman"/>
                <w:sz w:val="22"/>
                <w:szCs w:val="22"/>
              </w:rPr>
            </w:pPr>
            <w:r w:rsidRPr="00537910">
              <w:rPr>
                <w:rFonts w:ascii="Times New Roman" w:hAnsi="Times New Roman" w:cs="Times New Roman"/>
                <w:sz w:val="22"/>
                <w:szCs w:val="22"/>
              </w:rPr>
              <w:t>63.78</w:t>
            </w:r>
          </w:p>
        </w:tc>
        <w:tc>
          <w:tcPr>
            <w:tcW w:w="0" w:type="auto"/>
            <w:vAlign w:val="center"/>
            <w:hideMark/>
          </w:tcPr>
          <w:p w14:paraId="48CEBC39" w14:textId="77777777" w:rsidR="008259E2" w:rsidRPr="00537910" w:rsidRDefault="008259E2" w:rsidP="00537910">
            <w:pPr>
              <w:pStyle w:val="NoSpacing"/>
              <w:jc w:val="center"/>
              <w:rPr>
                <w:rFonts w:ascii="Times New Roman" w:hAnsi="Times New Roman" w:cs="Times New Roman"/>
                <w:sz w:val="22"/>
                <w:szCs w:val="22"/>
              </w:rPr>
            </w:pPr>
            <w:r w:rsidRPr="00537910">
              <w:rPr>
                <w:rFonts w:ascii="Times New Roman" w:hAnsi="Times New Roman" w:cs="Times New Roman"/>
                <w:sz w:val="22"/>
                <w:szCs w:val="22"/>
              </w:rPr>
              <w:t>8.38</w:t>
            </w:r>
          </w:p>
        </w:tc>
        <w:tc>
          <w:tcPr>
            <w:tcW w:w="0" w:type="auto"/>
            <w:vAlign w:val="center"/>
            <w:hideMark/>
          </w:tcPr>
          <w:p w14:paraId="3E17A648" w14:textId="77777777" w:rsidR="008259E2" w:rsidRPr="00537910" w:rsidRDefault="008259E2" w:rsidP="00537910">
            <w:pPr>
              <w:pStyle w:val="NoSpacing"/>
              <w:jc w:val="center"/>
              <w:rPr>
                <w:rFonts w:ascii="Times New Roman" w:hAnsi="Times New Roman" w:cs="Times New Roman"/>
                <w:sz w:val="22"/>
                <w:szCs w:val="22"/>
              </w:rPr>
            </w:pPr>
            <w:r w:rsidRPr="00537910">
              <w:rPr>
                <w:rFonts w:ascii="Times New Roman" w:hAnsi="Times New Roman" w:cs="Times New Roman"/>
                <w:sz w:val="22"/>
                <w:szCs w:val="22"/>
              </w:rPr>
              <w:t>3.77</w:t>
            </w:r>
          </w:p>
        </w:tc>
        <w:tc>
          <w:tcPr>
            <w:tcW w:w="0" w:type="auto"/>
            <w:vAlign w:val="center"/>
            <w:hideMark/>
          </w:tcPr>
          <w:p w14:paraId="2C52EE40" w14:textId="77777777" w:rsidR="008259E2" w:rsidRPr="00537910" w:rsidRDefault="008259E2" w:rsidP="00537910">
            <w:pPr>
              <w:pStyle w:val="NoSpacing"/>
              <w:jc w:val="center"/>
              <w:rPr>
                <w:rFonts w:ascii="Times New Roman" w:hAnsi="Times New Roman" w:cs="Times New Roman"/>
                <w:sz w:val="22"/>
                <w:szCs w:val="22"/>
              </w:rPr>
            </w:pPr>
            <w:r w:rsidRPr="00537910">
              <w:rPr>
                <w:rFonts w:ascii="Times New Roman" w:hAnsi="Times New Roman" w:cs="Times New Roman"/>
                <w:sz w:val="22"/>
                <w:szCs w:val="22"/>
              </w:rPr>
              <w:t>1.51</w:t>
            </w:r>
          </w:p>
        </w:tc>
        <w:tc>
          <w:tcPr>
            <w:tcW w:w="0" w:type="auto"/>
            <w:vAlign w:val="center"/>
            <w:hideMark/>
          </w:tcPr>
          <w:p w14:paraId="048ADBC7" w14:textId="77777777" w:rsidR="008259E2" w:rsidRPr="00537910" w:rsidRDefault="008259E2" w:rsidP="00537910">
            <w:pPr>
              <w:pStyle w:val="NoSpacing"/>
              <w:jc w:val="center"/>
              <w:rPr>
                <w:rFonts w:ascii="Times New Roman" w:hAnsi="Times New Roman" w:cs="Times New Roman"/>
                <w:sz w:val="22"/>
                <w:szCs w:val="22"/>
              </w:rPr>
            </w:pPr>
            <w:r w:rsidRPr="00537910">
              <w:rPr>
                <w:rFonts w:ascii="Times New Roman" w:hAnsi="Times New Roman" w:cs="Times New Roman"/>
                <w:sz w:val="22"/>
                <w:szCs w:val="22"/>
              </w:rPr>
              <w:t>0.16</w:t>
            </w:r>
          </w:p>
        </w:tc>
        <w:tc>
          <w:tcPr>
            <w:tcW w:w="0" w:type="auto"/>
            <w:vAlign w:val="center"/>
            <w:hideMark/>
          </w:tcPr>
          <w:p w14:paraId="5E1E228E" w14:textId="77777777" w:rsidR="008259E2" w:rsidRPr="00537910" w:rsidRDefault="008259E2" w:rsidP="00537910">
            <w:pPr>
              <w:pStyle w:val="NoSpacing"/>
              <w:jc w:val="center"/>
              <w:rPr>
                <w:rFonts w:ascii="Times New Roman" w:hAnsi="Times New Roman" w:cs="Times New Roman"/>
                <w:sz w:val="22"/>
                <w:szCs w:val="22"/>
              </w:rPr>
            </w:pPr>
            <w:r w:rsidRPr="00537910">
              <w:rPr>
                <w:rFonts w:ascii="Times New Roman" w:hAnsi="Times New Roman" w:cs="Times New Roman"/>
                <w:sz w:val="22"/>
                <w:szCs w:val="22"/>
              </w:rPr>
              <w:t>2.13</w:t>
            </w:r>
          </w:p>
        </w:tc>
        <w:tc>
          <w:tcPr>
            <w:tcW w:w="0" w:type="auto"/>
            <w:vAlign w:val="center"/>
            <w:hideMark/>
          </w:tcPr>
          <w:p w14:paraId="45208371" w14:textId="77777777" w:rsidR="008259E2" w:rsidRPr="00537910" w:rsidRDefault="008259E2" w:rsidP="00537910">
            <w:pPr>
              <w:pStyle w:val="NoSpacing"/>
              <w:jc w:val="center"/>
              <w:rPr>
                <w:rFonts w:ascii="Times New Roman" w:hAnsi="Times New Roman" w:cs="Times New Roman"/>
                <w:sz w:val="22"/>
                <w:szCs w:val="22"/>
              </w:rPr>
            </w:pPr>
            <w:r w:rsidRPr="00537910">
              <w:rPr>
                <w:rFonts w:ascii="Times New Roman" w:hAnsi="Times New Roman" w:cs="Times New Roman"/>
                <w:sz w:val="22"/>
                <w:szCs w:val="22"/>
              </w:rPr>
              <w:t>0.97</w:t>
            </w:r>
          </w:p>
        </w:tc>
        <w:tc>
          <w:tcPr>
            <w:tcW w:w="0" w:type="auto"/>
            <w:vAlign w:val="center"/>
            <w:hideMark/>
          </w:tcPr>
          <w:p w14:paraId="0B5F686F" w14:textId="77777777" w:rsidR="008259E2" w:rsidRPr="00537910" w:rsidRDefault="008259E2" w:rsidP="00537910">
            <w:pPr>
              <w:pStyle w:val="NoSpacing"/>
              <w:jc w:val="center"/>
              <w:rPr>
                <w:rFonts w:ascii="Times New Roman" w:hAnsi="Times New Roman" w:cs="Times New Roman"/>
                <w:sz w:val="22"/>
                <w:szCs w:val="22"/>
              </w:rPr>
            </w:pPr>
            <w:r w:rsidRPr="00537910">
              <w:rPr>
                <w:rFonts w:ascii="Times New Roman" w:hAnsi="Times New Roman" w:cs="Times New Roman"/>
                <w:sz w:val="22"/>
                <w:szCs w:val="22"/>
              </w:rPr>
              <w:t>-0.16</w:t>
            </w:r>
          </w:p>
        </w:tc>
        <w:tc>
          <w:tcPr>
            <w:tcW w:w="0" w:type="auto"/>
            <w:vAlign w:val="center"/>
            <w:hideMark/>
          </w:tcPr>
          <w:p w14:paraId="663630C1" w14:textId="77777777" w:rsidR="008259E2" w:rsidRPr="00537910" w:rsidRDefault="008259E2" w:rsidP="00537910">
            <w:pPr>
              <w:pStyle w:val="NoSpacing"/>
              <w:jc w:val="center"/>
              <w:rPr>
                <w:rFonts w:ascii="Times New Roman" w:hAnsi="Times New Roman" w:cs="Times New Roman"/>
                <w:sz w:val="22"/>
                <w:szCs w:val="22"/>
              </w:rPr>
            </w:pPr>
            <w:r w:rsidRPr="00537910">
              <w:rPr>
                <w:rFonts w:ascii="Times New Roman" w:hAnsi="Times New Roman" w:cs="Times New Roman"/>
                <w:sz w:val="22"/>
                <w:szCs w:val="22"/>
              </w:rPr>
              <w:t>-1.01</w:t>
            </w:r>
          </w:p>
        </w:tc>
        <w:tc>
          <w:tcPr>
            <w:tcW w:w="0" w:type="auto"/>
            <w:vAlign w:val="center"/>
            <w:hideMark/>
          </w:tcPr>
          <w:p w14:paraId="47F9526D" w14:textId="77777777" w:rsidR="008259E2" w:rsidRPr="00537910" w:rsidRDefault="008259E2" w:rsidP="00537910">
            <w:pPr>
              <w:pStyle w:val="NoSpacing"/>
              <w:jc w:val="center"/>
              <w:rPr>
                <w:rFonts w:ascii="Times New Roman" w:hAnsi="Times New Roman" w:cs="Times New Roman"/>
                <w:sz w:val="22"/>
                <w:szCs w:val="22"/>
              </w:rPr>
            </w:pPr>
            <w:r w:rsidRPr="00537910">
              <w:rPr>
                <w:rFonts w:ascii="Times New Roman" w:hAnsi="Times New Roman" w:cs="Times New Roman"/>
                <w:sz w:val="22"/>
                <w:szCs w:val="22"/>
              </w:rPr>
              <w:t>-1.17</w:t>
            </w:r>
          </w:p>
        </w:tc>
      </w:tr>
      <w:tr w:rsidR="008259E2" w:rsidRPr="00537910" w14:paraId="2E746119" w14:textId="77777777" w:rsidTr="00537910">
        <w:tc>
          <w:tcPr>
            <w:tcW w:w="0" w:type="auto"/>
            <w:hideMark/>
          </w:tcPr>
          <w:p w14:paraId="0AE63BE8" w14:textId="77777777" w:rsidR="008259E2" w:rsidRPr="00537910" w:rsidRDefault="008259E2" w:rsidP="00B77C0B">
            <w:pPr>
              <w:pStyle w:val="NoSpacing"/>
              <w:rPr>
                <w:rFonts w:ascii="Times New Roman" w:hAnsi="Times New Roman" w:cs="Times New Roman"/>
                <w:sz w:val="22"/>
                <w:szCs w:val="22"/>
              </w:rPr>
            </w:pPr>
            <w:r w:rsidRPr="00537910">
              <w:rPr>
                <w:rFonts w:ascii="Times New Roman" w:hAnsi="Times New Roman" w:cs="Times New Roman"/>
                <w:sz w:val="22"/>
                <w:szCs w:val="22"/>
              </w:rPr>
              <w:t>Punjab</w:t>
            </w:r>
          </w:p>
        </w:tc>
        <w:tc>
          <w:tcPr>
            <w:tcW w:w="0" w:type="auto"/>
            <w:vAlign w:val="center"/>
            <w:hideMark/>
          </w:tcPr>
          <w:p w14:paraId="3D94F66B" w14:textId="77777777" w:rsidR="008259E2" w:rsidRPr="00537910" w:rsidRDefault="008259E2" w:rsidP="00537910">
            <w:pPr>
              <w:pStyle w:val="NoSpacing"/>
              <w:jc w:val="center"/>
              <w:rPr>
                <w:rFonts w:ascii="Times New Roman" w:hAnsi="Times New Roman" w:cs="Times New Roman"/>
                <w:sz w:val="22"/>
                <w:szCs w:val="22"/>
              </w:rPr>
            </w:pPr>
            <w:r w:rsidRPr="00537910">
              <w:rPr>
                <w:rFonts w:ascii="Times New Roman" w:hAnsi="Times New Roman" w:cs="Times New Roman"/>
                <w:sz w:val="22"/>
                <w:szCs w:val="22"/>
              </w:rPr>
              <w:t>127.37</w:t>
            </w:r>
          </w:p>
        </w:tc>
        <w:tc>
          <w:tcPr>
            <w:tcW w:w="0" w:type="auto"/>
            <w:vAlign w:val="center"/>
            <w:hideMark/>
          </w:tcPr>
          <w:p w14:paraId="16BE371F" w14:textId="77777777" w:rsidR="008259E2" w:rsidRPr="00537910" w:rsidRDefault="008259E2" w:rsidP="00537910">
            <w:pPr>
              <w:pStyle w:val="NoSpacing"/>
              <w:jc w:val="center"/>
              <w:rPr>
                <w:rFonts w:ascii="Times New Roman" w:hAnsi="Times New Roman" w:cs="Times New Roman"/>
                <w:sz w:val="22"/>
                <w:szCs w:val="22"/>
              </w:rPr>
            </w:pPr>
            <w:r w:rsidRPr="00537910">
              <w:rPr>
                <w:rFonts w:ascii="Times New Roman" w:hAnsi="Times New Roman" w:cs="Times New Roman"/>
                <w:sz w:val="22"/>
                <w:szCs w:val="22"/>
              </w:rPr>
              <w:t>14.63</w:t>
            </w:r>
          </w:p>
        </w:tc>
        <w:tc>
          <w:tcPr>
            <w:tcW w:w="0" w:type="auto"/>
            <w:vAlign w:val="center"/>
            <w:hideMark/>
          </w:tcPr>
          <w:p w14:paraId="1A556858" w14:textId="77777777" w:rsidR="008259E2" w:rsidRPr="00537910" w:rsidRDefault="008259E2" w:rsidP="00537910">
            <w:pPr>
              <w:pStyle w:val="NoSpacing"/>
              <w:jc w:val="center"/>
              <w:rPr>
                <w:rFonts w:ascii="Times New Roman" w:hAnsi="Times New Roman" w:cs="Times New Roman"/>
                <w:sz w:val="22"/>
                <w:szCs w:val="22"/>
              </w:rPr>
            </w:pPr>
            <w:r w:rsidRPr="00537910">
              <w:rPr>
                <w:rFonts w:ascii="Times New Roman" w:hAnsi="Times New Roman" w:cs="Times New Roman"/>
                <w:sz w:val="22"/>
                <w:szCs w:val="22"/>
              </w:rPr>
              <w:t>5.00</w:t>
            </w:r>
          </w:p>
        </w:tc>
        <w:tc>
          <w:tcPr>
            <w:tcW w:w="0" w:type="auto"/>
            <w:vAlign w:val="center"/>
            <w:hideMark/>
          </w:tcPr>
          <w:p w14:paraId="5990C7C4" w14:textId="77777777" w:rsidR="008259E2" w:rsidRPr="00537910" w:rsidRDefault="008259E2" w:rsidP="00537910">
            <w:pPr>
              <w:pStyle w:val="NoSpacing"/>
              <w:jc w:val="center"/>
              <w:rPr>
                <w:rFonts w:ascii="Times New Roman" w:hAnsi="Times New Roman" w:cs="Times New Roman"/>
                <w:sz w:val="22"/>
                <w:szCs w:val="22"/>
              </w:rPr>
            </w:pPr>
            <w:r w:rsidRPr="00537910">
              <w:rPr>
                <w:rFonts w:ascii="Times New Roman" w:hAnsi="Times New Roman" w:cs="Times New Roman"/>
                <w:sz w:val="22"/>
                <w:szCs w:val="22"/>
              </w:rPr>
              <w:t>2.59</w:t>
            </w:r>
          </w:p>
        </w:tc>
        <w:tc>
          <w:tcPr>
            <w:tcW w:w="0" w:type="auto"/>
            <w:vAlign w:val="center"/>
            <w:hideMark/>
          </w:tcPr>
          <w:p w14:paraId="224C9534" w14:textId="77777777" w:rsidR="008259E2" w:rsidRPr="00537910" w:rsidRDefault="008259E2" w:rsidP="00537910">
            <w:pPr>
              <w:pStyle w:val="NoSpacing"/>
              <w:jc w:val="center"/>
              <w:rPr>
                <w:rFonts w:ascii="Times New Roman" w:hAnsi="Times New Roman" w:cs="Times New Roman"/>
                <w:sz w:val="22"/>
                <w:szCs w:val="22"/>
              </w:rPr>
            </w:pPr>
            <w:r w:rsidRPr="00537910">
              <w:rPr>
                <w:rFonts w:ascii="Times New Roman" w:hAnsi="Times New Roman" w:cs="Times New Roman"/>
                <w:sz w:val="22"/>
                <w:szCs w:val="22"/>
              </w:rPr>
              <w:t>..</w:t>
            </w:r>
          </w:p>
        </w:tc>
        <w:tc>
          <w:tcPr>
            <w:tcW w:w="0" w:type="auto"/>
            <w:vAlign w:val="center"/>
            <w:hideMark/>
          </w:tcPr>
          <w:p w14:paraId="6F04AE0D" w14:textId="77777777" w:rsidR="008259E2" w:rsidRPr="00537910" w:rsidRDefault="008259E2" w:rsidP="00537910">
            <w:pPr>
              <w:pStyle w:val="NoSpacing"/>
              <w:jc w:val="center"/>
              <w:rPr>
                <w:rFonts w:ascii="Times New Roman" w:hAnsi="Times New Roman" w:cs="Times New Roman"/>
                <w:sz w:val="22"/>
                <w:szCs w:val="22"/>
              </w:rPr>
            </w:pPr>
            <w:r w:rsidRPr="00537910">
              <w:rPr>
                <w:rFonts w:ascii="Times New Roman" w:hAnsi="Times New Roman" w:cs="Times New Roman"/>
                <w:sz w:val="22"/>
                <w:szCs w:val="22"/>
              </w:rPr>
              <w:t>6.17</w:t>
            </w:r>
          </w:p>
        </w:tc>
        <w:tc>
          <w:tcPr>
            <w:tcW w:w="0" w:type="auto"/>
            <w:vAlign w:val="center"/>
            <w:hideMark/>
          </w:tcPr>
          <w:p w14:paraId="21961179" w14:textId="7756C376" w:rsidR="008259E2" w:rsidRPr="00537910" w:rsidRDefault="008259E2" w:rsidP="00537910">
            <w:pPr>
              <w:pStyle w:val="NoSpacing"/>
              <w:jc w:val="center"/>
              <w:rPr>
                <w:rFonts w:ascii="Times New Roman" w:hAnsi="Times New Roman" w:cs="Times New Roman"/>
                <w:sz w:val="22"/>
                <w:szCs w:val="22"/>
              </w:rPr>
            </w:pPr>
            <w:r w:rsidRPr="00537910">
              <w:rPr>
                <w:rFonts w:ascii="Times New Roman" w:hAnsi="Times New Roman" w:cs="Times New Roman"/>
                <w:sz w:val="22"/>
                <w:szCs w:val="22"/>
              </w:rPr>
              <w:t>0.5</w:t>
            </w:r>
          </w:p>
        </w:tc>
        <w:tc>
          <w:tcPr>
            <w:tcW w:w="0" w:type="auto"/>
            <w:vAlign w:val="center"/>
            <w:hideMark/>
          </w:tcPr>
          <w:p w14:paraId="15292667" w14:textId="77777777" w:rsidR="008259E2" w:rsidRPr="00537910" w:rsidRDefault="008259E2" w:rsidP="00537910">
            <w:pPr>
              <w:pStyle w:val="NoSpacing"/>
              <w:jc w:val="center"/>
              <w:rPr>
                <w:rFonts w:ascii="Times New Roman" w:hAnsi="Times New Roman" w:cs="Times New Roman"/>
                <w:sz w:val="22"/>
                <w:szCs w:val="22"/>
              </w:rPr>
            </w:pPr>
            <w:r w:rsidRPr="00537910">
              <w:rPr>
                <w:rFonts w:ascii="Times New Roman" w:hAnsi="Times New Roman" w:cs="Times New Roman"/>
                <w:sz w:val="22"/>
                <w:szCs w:val="22"/>
              </w:rPr>
              <w:t>+0.28</w:t>
            </w:r>
          </w:p>
        </w:tc>
        <w:tc>
          <w:tcPr>
            <w:tcW w:w="0" w:type="auto"/>
            <w:vAlign w:val="center"/>
            <w:hideMark/>
          </w:tcPr>
          <w:p w14:paraId="66B2EFEB" w14:textId="77777777" w:rsidR="008259E2" w:rsidRPr="00537910" w:rsidRDefault="008259E2" w:rsidP="00537910">
            <w:pPr>
              <w:pStyle w:val="NoSpacing"/>
              <w:jc w:val="center"/>
              <w:rPr>
                <w:rFonts w:ascii="Times New Roman" w:hAnsi="Times New Roman" w:cs="Times New Roman"/>
                <w:sz w:val="22"/>
                <w:szCs w:val="22"/>
              </w:rPr>
            </w:pPr>
            <w:r w:rsidRPr="00537910">
              <w:rPr>
                <w:rFonts w:ascii="Times New Roman" w:hAnsi="Times New Roman" w:cs="Times New Roman"/>
                <w:sz w:val="22"/>
                <w:szCs w:val="22"/>
              </w:rPr>
              <w:t>-0.19</w:t>
            </w:r>
          </w:p>
        </w:tc>
        <w:tc>
          <w:tcPr>
            <w:tcW w:w="0" w:type="auto"/>
            <w:vAlign w:val="center"/>
            <w:hideMark/>
          </w:tcPr>
          <w:p w14:paraId="79AAF48B" w14:textId="77777777" w:rsidR="008259E2" w:rsidRPr="00537910" w:rsidRDefault="008259E2" w:rsidP="00537910">
            <w:pPr>
              <w:pStyle w:val="NoSpacing"/>
              <w:jc w:val="center"/>
              <w:rPr>
                <w:rFonts w:ascii="Times New Roman" w:hAnsi="Times New Roman" w:cs="Times New Roman"/>
                <w:sz w:val="22"/>
                <w:szCs w:val="22"/>
              </w:rPr>
            </w:pPr>
            <w:r w:rsidRPr="00537910">
              <w:rPr>
                <w:rFonts w:ascii="Times New Roman" w:hAnsi="Times New Roman" w:cs="Times New Roman"/>
                <w:sz w:val="22"/>
                <w:szCs w:val="22"/>
              </w:rPr>
              <w:t>+0.09</w:t>
            </w:r>
          </w:p>
        </w:tc>
      </w:tr>
      <w:tr w:rsidR="008259E2" w:rsidRPr="00537910" w14:paraId="2FA2D91D" w14:textId="77777777" w:rsidTr="00537910">
        <w:tc>
          <w:tcPr>
            <w:tcW w:w="0" w:type="auto"/>
            <w:hideMark/>
          </w:tcPr>
          <w:p w14:paraId="41BDC570" w14:textId="77777777" w:rsidR="008259E2" w:rsidRPr="00537910" w:rsidRDefault="008259E2" w:rsidP="00B77C0B">
            <w:pPr>
              <w:pStyle w:val="NoSpacing"/>
              <w:rPr>
                <w:rFonts w:ascii="Times New Roman" w:hAnsi="Times New Roman" w:cs="Times New Roman"/>
                <w:sz w:val="22"/>
                <w:szCs w:val="22"/>
              </w:rPr>
            </w:pPr>
            <w:r w:rsidRPr="00537910">
              <w:rPr>
                <w:rFonts w:ascii="Times New Roman" w:hAnsi="Times New Roman" w:cs="Times New Roman"/>
                <w:sz w:val="22"/>
                <w:szCs w:val="22"/>
              </w:rPr>
              <w:t>Rajasthan</w:t>
            </w:r>
          </w:p>
        </w:tc>
        <w:tc>
          <w:tcPr>
            <w:tcW w:w="0" w:type="auto"/>
            <w:vAlign w:val="center"/>
            <w:hideMark/>
          </w:tcPr>
          <w:p w14:paraId="284C2CDC" w14:textId="77777777" w:rsidR="008259E2" w:rsidRPr="00537910" w:rsidRDefault="008259E2" w:rsidP="00537910">
            <w:pPr>
              <w:pStyle w:val="NoSpacing"/>
              <w:jc w:val="center"/>
              <w:rPr>
                <w:rFonts w:ascii="Times New Roman" w:hAnsi="Times New Roman" w:cs="Times New Roman"/>
                <w:sz w:val="22"/>
                <w:szCs w:val="22"/>
              </w:rPr>
            </w:pPr>
            <w:r w:rsidRPr="00537910">
              <w:rPr>
                <w:rFonts w:ascii="Times New Roman" w:hAnsi="Times New Roman" w:cs="Times New Roman"/>
                <w:sz w:val="22"/>
                <w:szCs w:val="22"/>
              </w:rPr>
              <w:t>NA</w:t>
            </w:r>
          </w:p>
        </w:tc>
        <w:tc>
          <w:tcPr>
            <w:tcW w:w="0" w:type="auto"/>
            <w:vAlign w:val="center"/>
            <w:hideMark/>
          </w:tcPr>
          <w:p w14:paraId="0D61BF3A" w14:textId="77777777" w:rsidR="008259E2" w:rsidRPr="00537910" w:rsidRDefault="008259E2" w:rsidP="00537910">
            <w:pPr>
              <w:pStyle w:val="NoSpacing"/>
              <w:jc w:val="center"/>
              <w:rPr>
                <w:rFonts w:ascii="Times New Roman" w:hAnsi="Times New Roman" w:cs="Times New Roman"/>
                <w:sz w:val="22"/>
                <w:szCs w:val="22"/>
              </w:rPr>
            </w:pPr>
            <w:r w:rsidRPr="00537910">
              <w:rPr>
                <w:rFonts w:ascii="Times New Roman" w:hAnsi="Times New Roman" w:cs="Times New Roman"/>
                <w:sz w:val="22"/>
                <w:szCs w:val="22"/>
              </w:rPr>
              <w:t>12.32</w:t>
            </w:r>
          </w:p>
        </w:tc>
        <w:tc>
          <w:tcPr>
            <w:tcW w:w="0" w:type="auto"/>
            <w:vAlign w:val="center"/>
            <w:hideMark/>
          </w:tcPr>
          <w:p w14:paraId="79F1DC99" w14:textId="77777777" w:rsidR="008259E2" w:rsidRPr="00537910" w:rsidRDefault="008259E2" w:rsidP="00537910">
            <w:pPr>
              <w:pStyle w:val="NoSpacing"/>
              <w:jc w:val="center"/>
              <w:rPr>
                <w:rFonts w:ascii="Times New Roman" w:hAnsi="Times New Roman" w:cs="Times New Roman"/>
                <w:sz w:val="22"/>
                <w:szCs w:val="22"/>
              </w:rPr>
            </w:pPr>
            <w:r w:rsidRPr="00537910">
              <w:rPr>
                <w:rFonts w:ascii="Times New Roman" w:hAnsi="Times New Roman" w:cs="Times New Roman"/>
                <w:sz w:val="22"/>
                <w:szCs w:val="22"/>
              </w:rPr>
              <w:t>7.93</w:t>
            </w:r>
          </w:p>
        </w:tc>
        <w:tc>
          <w:tcPr>
            <w:tcW w:w="0" w:type="auto"/>
            <w:vAlign w:val="center"/>
            <w:hideMark/>
          </w:tcPr>
          <w:p w14:paraId="4EA8D331" w14:textId="77777777" w:rsidR="008259E2" w:rsidRPr="00537910" w:rsidRDefault="008259E2" w:rsidP="00537910">
            <w:pPr>
              <w:pStyle w:val="NoSpacing"/>
              <w:jc w:val="center"/>
              <w:rPr>
                <w:rFonts w:ascii="Times New Roman" w:hAnsi="Times New Roman" w:cs="Times New Roman"/>
                <w:sz w:val="22"/>
                <w:szCs w:val="22"/>
              </w:rPr>
            </w:pPr>
            <w:r w:rsidRPr="00537910">
              <w:rPr>
                <w:rFonts w:ascii="Times New Roman" w:hAnsi="Times New Roman" w:cs="Times New Roman"/>
                <w:sz w:val="22"/>
                <w:szCs w:val="22"/>
              </w:rPr>
              <w:t>2.25</w:t>
            </w:r>
          </w:p>
        </w:tc>
        <w:tc>
          <w:tcPr>
            <w:tcW w:w="0" w:type="auto"/>
            <w:vAlign w:val="center"/>
            <w:hideMark/>
          </w:tcPr>
          <w:p w14:paraId="3DBAD126" w14:textId="77777777" w:rsidR="008259E2" w:rsidRPr="00537910" w:rsidRDefault="008259E2" w:rsidP="00537910">
            <w:pPr>
              <w:pStyle w:val="NoSpacing"/>
              <w:jc w:val="center"/>
              <w:rPr>
                <w:rFonts w:ascii="Times New Roman" w:hAnsi="Times New Roman" w:cs="Times New Roman"/>
                <w:sz w:val="22"/>
                <w:szCs w:val="22"/>
              </w:rPr>
            </w:pPr>
            <w:r w:rsidRPr="00537910">
              <w:rPr>
                <w:rFonts w:ascii="Times New Roman" w:hAnsi="Times New Roman" w:cs="Times New Roman"/>
                <w:sz w:val="22"/>
                <w:szCs w:val="22"/>
              </w:rPr>
              <w:t>0.49</w:t>
            </w:r>
          </w:p>
        </w:tc>
        <w:tc>
          <w:tcPr>
            <w:tcW w:w="0" w:type="auto"/>
            <w:vAlign w:val="center"/>
            <w:hideMark/>
          </w:tcPr>
          <w:p w14:paraId="42F66A2F" w14:textId="77777777" w:rsidR="008259E2" w:rsidRPr="00537910" w:rsidRDefault="008259E2" w:rsidP="00537910">
            <w:pPr>
              <w:pStyle w:val="NoSpacing"/>
              <w:jc w:val="center"/>
              <w:rPr>
                <w:rFonts w:ascii="Times New Roman" w:hAnsi="Times New Roman" w:cs="Times New Roman"/>
                <w:sz w:val="22"/>
                <w:szCs w:val="22"/>
              </w:rPr>
            </w:pPr>
            <w:r w:rsidRPr="00537910">
              <w:rPr>
                <w:rFonts w:ascii="Times New Roman" w:hAnsi="Times New Roman" w:cs="Times New Roman"/>
                <w:sz w:val="22"/>
                <w:szCs w:val="22"/>
              </w:rPr>
              <w:t>5.82</w:t>
            </w:r>
          </w:p>
        </w:tc>
        <w:tc>
          <w:tcPr>
            <w:tcW w:w="0" w:type="auto"/>
            <w:vAlign w:val="center"/>
            <w:hideMark/>
          </w:tcPr>
          <w:p w14:paraId="02545C94" w14:textId="77777777" w:rsidR="008259E2" w:rsidRPr="00537910" w:rsidRDefault="008259E2" w:rsidP="00537910">
            <w:pPr>
              <w:pStyle w:val="NoSpacing"/>
              <w:jc w:val="center"/>
              <w:rPr>
                <w:rFonts w:ascii="Times New Roman" w:hAnsi="Times New Roman" w:cs="Times New Roman"/>
                <w:sz w:val="22"/>
                <w:szCs w:val="22"/>
              </w:rPr>
            </w:pPr>
            <w:r w:rsidRPr="00537910">
              <w:rPr>
                <w:rFonts w:ascii="Times New Roman" w:hAnsi="Times New Roman" w:cs="Times New Roman"/>
                <w:sz w:val="22"/>
                <w:szCs w:val="22"/>
              </w:rPr>
              <w:t>0.28</w:t>
            </w:r>
          </w:p>
        </w:tc>
        <w:tc>
          <w:tcPr>
            <w:tcW w:w="0" w:type="auto"/>
            <w:vAlign w:val="center"/>
            <w:hideMark/>
          </w:tcPr>
          <w:p w14:paraId="79704286" w14:textId="77777777" w:rsidR="008259E2" w:rsidRPr="00537910" w:rsidRDefault="008259E2" w:rsidP="00537910">
            <w:pPr>
              <w:pStyle w:val="NoSpacing"/>
              <w:jc w:val="center"/>
              <w:rPr>
                <w:rFonts w:ascii="Times New Roman" w:hAnsi="Times New Roman" w:cs="Times New Roman"/>
                <w:sz w:val="22"/>
                <w:szCs w:val="22"/>
              </w:rPr>
            </w:pPr>
            <w:r w:rsidRPr="00537910">
              <w:rPr>
                <w:rFonts w:ascii="Times New Roman" w:hAnsi="Times New Roman" w:cs="Times New Roman"/>
                <w:sz w:val="22"/>
                <w:szCs w:val="22"/>
              </w:rPr>
              <w:t>-4.45</w:t>
            </w:r>
          </w:p>
        </w:tc>
        <w:tc>
          <w:tcPr>
            <w:tcW w:w="0" w:type="auto"/>
            <w:vAlign w:val="center"/>
            <w:hideMark/>
          </w:tcPr>
          <w:p w14:paraId="62B507B0" w14:textId="77777777" w:rsidR="008259E2" w:rsidRPr="00537910" w:rsidRDefault="008259E2" w:rsidP="00537910">
            <w:pPr>
              <w:pStyle w:val="NoSpacing"/>
              <w:jc w:val="center"/>
              <w:rPr>
                <w:rFonts w:ascii="Times New Roman" w:hAnsi="Times New Roman" w:cs="Times New Roman"/>
                <w:sz w:val="22"/>
                <w:szCs w:val="22"/>
              </w:rPr>
            </w:pPr>
            <w:r w:rsidRPr="00537910">
              <w:rPr>
                <w:rFonts w:ascii="Times New Roman" w:hAnsi="Times New Roman" w:cs="Times New Roman"/>
                <w:sz w:val="22"/>
                <w:szCs w:val="22"/>
              </w:rPr>
              <w:t>..</w:t>
            </w:r>
          </w:p>
        </w:tc>
        <w:tc>
          <w:tcPr>
            <w:tcW w:w="0" w:type="auto"/>
            <w:vAlign w:val="center"/>
            <w:hideMark/>
          </w:tcPr>
          <w:p w14:paraId="55F4E931" w14:textId="77777777" w:rsidR="008259E2" w:rsidRPr="00537910" w:rsidRDefault="008259E2" w:rsidP="00537910">
            <w:pPr>
              <w:pStyle w:val="NoSpacing"/>
              <w:jc w:val="center"/>
              <w:rPr>
                <w:rFonts w:ascii="Times New Roman" w:hAnsi="Times New Roman" w:cs="Times New Roman"/>
                <w:sz w:val="22"/>
                <w:szCs w:val="22"/>
              </w:rPr>
            </w:pPr>
            <w:r w:rsidRPr="00537910">
              <w:rPr>
                <w:rFonts w:ascii="Times New Roman" w:hAnsi="Times New Roman" w:cs="Times New Roman"/>
                <w:sz w:val="22"/>
                <w:szCs w:val="22"/>
              </w:rPr>
              <w:t>-4.45</w:t>
            </w:r>
          </w:p>
        </w:tc>
      </w:tr>
      <w:tr w:rsidR="008259E2" w:rsidRPr="00537910" w14:paraId="4277BFFB" w14:textId="77777777" w:rsidTr="00537910">
        <w:tc>
          <w:tcPr>
            <w:tcW w:w="0" w:type="auto"/>
            <w:hideMark/>
          </w:tcPr>
          <w:p w14:paraId="156FFEFC" w14:textId="77777777" w:rsidR="008259E2" w:rsidRPr="00537910" w:rsidRDefault="008259E2" w:rsidP="00B77C0B">
            <w:pPr>
              <w:pStyle w:val="NoSpacing"/>
              <w:rPr>
                <w:rFonts w:ascii="Times New Roman" w:hAnsi="Times New Roman" w:cs="Times New Roman"/>
                <w:sz w:val="22"/>
                <w:szCs w:val="22"/>
              </w:rPr>
            </w:pPr>
            <w:r w:rsidRPr="00537910">
              <w:rPr>
                <w:rFonts w:ascii="Times New Roman" w:hAnsi="Times New Roman" w:cs="Times New Roman"/>
                <w:sz w:val="22"/>
                <w:szCs w:val="22"/>
              </w:rPr>
              <w:t>Tamil Nadu</w:t>
            </w:r>
          </w:p>
        </w:tc>
        <w:tc>
          <w:tcPr>
            <w:tcW w:w="0" w:type="auto"/>
            <w:vAlign w:val="center"/>
            <w:hideMark/>
          </w:tcPr>
          <w:p w14:paraId="0495CE09" w14:textId="77777777" w:rsidR="008259E2" w:rsidRPr="00537910" w:rsidRDefault="008259E2" w:rsidP="00537910">
            <w:pPr>
              <w:pStyle w:val="NoSpacing"/>
              <w:jc w:val="center"/>
              <w:rPr>
                <w:rFonts w:ascii="Times New Roman" w:hAnsi="Times New Roman" w:cs="Times New Roman"/>
                <w:sz w:val="22"/>
                <w:szCs w:val="22"/>
              </w:rPr>
            </w:pPr>
            <w:r w:rsidRPr="00537910">
              <w:rPr>
                <w:rFonts w:ascii="Times New Roman" w:hAnsi="Times New Roman" w:cs="Times New Roman"/>
                <w:sz w:val="22"/>
                <w:szCs w:val="22"/>
              </w:rPr>
              <w:t>315.46</w:t>
            </w:r>
          </w:p>
        </w:tc>
        <w:tc>
          <w:tcPr>
            <w:tcW w:w="0" w:type="auto"/>
            <w:vAlign w:val="center"/>
            <w:hideMark/>
          </w:tcPr>
          <w:p w14:paraId="020DE380" w14:textId="77777777" w:rsidR="008259E2" w:rsidRPr="00537910" w:rsidRDefault="008259E2" w:rsidP="00537910">
            <w:pPr>
              <w:pStyle w:val="NoSpacing"/>
              <w:jc w:val="center"/>
              <w:rPr>
                <w:rFonts w:ascii="Times New Roman" w:hAnsi="Times New Roman" w:cs="Times New Roman"/>
                <w:sz w:val="22"/>
                <w:szCs w:val="22"/>
              </w:rPr>
            </w:pPr>
            <w:r w:rsidRPr="00537910">
              <w:rPr>
                <w:rFonts w:ascii="Times New Roman" w:hAnsi="Times New Roman" w:cs="Times New Roman"/>
                <w:sz w:val="22"/>
                <w:szCs w:val="22"/>
              </w:rPr>
              <w:t>48.41</w:t>
            </w:r>
          </w:p>
        </w:tc>
        <w:tc>
          <w:tcPr>
            <w:tcW w:w="0" w:type="auto"/>
            <w:vAlign w:val="center"/>
            <w:hideMark/>
          </w:tcPr>
          <w:p w14:paraId="69DD49C3" w14:textId="77777777" w:rsidR="008259E2" w:rsidRPr="00537910" w:rsidRDefault="008259E2" w:rsidP="00537910">
            <w:pPr>
              <w:pStyle w:val="NoSpacing"/>
              <w:jc w:val="center"/>
              <w:rPr>
                <w:rFonts w:ascii="Times New Roman" w:hAnsi="Times New Roman" w:cs="Times New Roman"/>
                <w:sz w:val="22"/>
                <w:szCs w:val="22"/>
              </w:rPr>
            </w:pPr>
            <w:r w:rsidRPr="00537910">
              <w:rPr>
                <w:rFonts w:ascii="Times New Roman" w:hAnsi="Times New Roman" w:cs="Times New Roman"/>
                <w:sz w:val="22"/>
                <w:szCs w:val="22"/>
              </w:rPr>
              <w:t>26.68</w:t>
            </w:r>
          </w:p>
        </w:tc>
        <w:tc>
          <w:tcPr>
            <w:tcW w:w="0" w:type="auto"/>
            <w:vAlign w:val="center"/>
            <w:hideMark/>
          </w:tcPr>
          <w:p w14:paraId="6963BABF" w14:textId="77777777" w:rsidR="008259E2" w:rsidRPr="00537910" w:rsidRDefault="008259E2" w:rsidP="00537910">
            <w:pPr>
              <w:pStyle w:val="NoSpacing"/>
              <w:jc w:val="center"/>
              <w:rPr>
                <w:rFonts w:ascii="Times New Roman" w:hAnsi="Times New Roman" w:cs="Times New Roman"/>
                <w:sz w:val="22"/>
                <w:szCs w:val="22"/>
              </w:rPr>
            </w:pPr>
            <w:r w:rsidRPr="00537910">
              <w:rPr>
                <w:rFonts w:ascii="Times New Roman" w:hAnsi="Times New Roman" w:cs="Times New Roman"/>
                <w:sz w:val="22"/>
                <w:szCs w:val="22"/>
              </w:rPr>
              <w:t>8.05</w:t>
            </w:r>
          </w:p>
        </w:tc>
        <w:tc>
          <w:tcPr>
            <w:tcW w:w="0" w:type="auto"/>
            <w:vAlign w:val="center"/>
            <w:hideMark/>
          </w:tcPr>
          <w:p w14:paraId="32001A5D" w14:textId="77777777" w:rsidR="008259E2" w:rsidRPr="00537910" w:rsidRDefault="008259E2" w:rsidP="00537910">
            <w:pPr>
              <w:pStyle w:val="NoSpacing"/>
              <w:jc w:val="center"/>
              <w:rPr>
                <w:rFonts w:ascii="Times New Roman" w:hAnsi="Times New Roman" w:cs="Times New Roman"/>
                <w:sz w:val="22"/>
                <w:szCs w:val="22"/>
              </w:rPr>
            </w:pPr>
            <w:r w:rsidRPr="00537910">
              <w:rPr>
                <w:rFonts w:ascii="Times New Roman" w:hAnsi="Times New Roman" w:cs="Times New Roman"/>
                <w:sz w:val="22"/>
                <w:szCs w:val="22"/>
              </w:rPr>
              <w:t>1.41</w:t>
            </w:r>
          </w:p>
        </w:tc>
        <w:tc>
          <w:tcPr>
            <w:tcW w:w="0" w:type="auto"/>
            <w:vAlign w:val="center"/>
            <w:hideMark/>
          </w:tcPr>
          <w:p w14:paraId="4900279E" w14:textId="77777777" w:rsidR="008259E2" w:rsidRPr="00537910" w:rsidRDefault="008259E2" w:rsidP="00537910">
            <w:pPr>
              <w:pStyle w:val="NoSpacing"/>
              <w:jc w:val="center"/>
              <w:rPr>
                <w:rFonts w:ascii="Times New Roman" w:hAnsi="Times New Roman" w:cs="Times New Roman"/>
                <w:sz w:val="22"/>
                <w:szCs w:val="22"/>
              </w:rPr>
            </w:pPr>
            <w:r w:rsidRPr="00537910">
              <w:rPr>
                <w:rFonts w:ascii="Times New Roman" w:hAnsi="Times New Roman" w:cs="Times New Roman"/>
                <w:sz w:val="22"/>
                <w:szCs w:val="22"/>
              </w:rPr>
              <w:t>9.54</w:t>
            </w:r>
          </w:p>
        </w:tc>
        <w:tc>
          <w:tcPr>
            <w:tcW w:w="0" w:type="auto"/>
            <w:vAlign w:val="center"/>
            <w:hideMark/>
          </w:tcPr>
          <w:p w14:paraId="25FCBD54" w14:textId="77777777" w:rsidR="008259E2" w:rsidRPr="00537910" w:rsidRDefault="008259E2" w:rsidP="00537910">
            <w:pPr>
              <w:pStyle w:val="NoSpacing"/>
              <w:jc w:val="center"/>
              <w:rPr>
                <w:rFonts w:ascii="Times New Roman" w:hAnsi="Times New Roman" w:cs="Times New Roman"/>
                <w:sz w:val="22"/>
                <w:szCs w:val="22"/>
              </w:rPr>
            </w:pPr>
            <w:r w:rsidRPr="00537910">
              <w:rPr>
                <w:rFonts w:ascii="Times New Roman" w:hAnsi="Times New Roman" w:cs="Times New Roman"/>
                <w:sz w:val="22"/>
                <w:szCs w:val="22"/>
              </w:rPr>
              <w:t>2.73</w:t>
            </w:r>
          </w:p>
        </w:tc>
        <w:tc>
          <w:tcPr>
            <w:tcW w:w="0" w:type="auto"/>
            <w:vAlign w:val="center"/>
            <w:hideMark/>
          </w:tcPr>
          <w:p w14:paraId="6BF80CB0" w14:textId="77777777" w:rsidR="008259E2" w:rsidRPr="00537910" w:rsidRDefault="008259E2" w:rsidP="00537910">
            <w:pPr>
              <w:pStyle w:val="NoSpacing"/>
              <w:jc w:val="center"/>
              <w:rPr>
                <w:rFonts w:ascii="Times New Roman" w:hAnsi="Times New Roman" w:cs="Times New Roman"/>
                <w:sz w:val="22"/>
                <w:szCs w:val="22"/>
              </w:rPr>
            </w:pPr>
            <w:r w:rsidRPr="00537910">
              <w:rPr>
                <w:rFonts w:ascii="Times New Roman" w:hAnsi="Times New Roman" w:cs="Times New Roman"/>
                <w:sz w:val="22"/>
                <w:szCs w:val="22"/>
              </w:rPr>
              <w:t>..</w:t>
            </w:r>
          </w:p>
        </w:tc>
        <w:tc>
          <w:tcPr>
            <w:tcW w:w="0" w:type="auto"/>
            <w:vAlign w:val="center"/>
            <w:hideMark/>
          </w:tcPr>
          <w:p w14:paraId="260BBF97" w14:textId="77777777" w:rsidR="008259E2" w:rsidRPr="00537910" w:rsidRDefault="008259E2" w:rsidP="00537910">
            <w:pPr>
              <w:pStyle w:val="NoSpacing"/>
              <w:jc w:val="center"/>
              <w:rPr>
                <w:rFonts w:ascii="Times New Roman" w:hAnsi="Times New Roman" w:cs="Times New Roman"/>
                <w:sz w:val="22"/>
                <w:szCs w:val="22"/>
              </w:rPr>
            </w:pPr>
            <w:r w:rsidRPr="00537910">
              <w:rPr>
                <w:rFonts w:ascii="Times New Roman" w:hAnsi="Times New Roman" w:cs="Times New Roman"/>
                <w:sz w:val="22"/>
                <w:szCs w:val="22"/>
              </w:rPr>
              <w:t>..</w:t>
            </w:r>
          </w:p>
        </w:tc>
        <w:tc>
          <w:tcPr>
            <w:tcW w:w="0" w:type="auto"/>
            <w:vAlign w:val="center"/>
            <w:hideMark/>
          </w:tcPr>
          <w:p w14:paraId="2BC1BCE1" w14:textId="77777777" w:rsidR="008259E2" w:rsidRPr="00537910" w:rsidRDefault="008259E2" w:rsidP="00537910">
            <w:pPr>
              <w:pStyle w:val="NoSpacing"/>
              <w:jc w:val="center"/>
              <w:rPr>
                <w:rFonts w:ascii="Times New Roman" w:hAnsi="Times New Roman" w:cs="Times New Roman"/>
                <w:sz w:val="22"/>
                <w:szCs w:val="22"/>
              </w:rPr>
            </w:pPr>
            <w:r w:rsidRPr="00537910">
              <w:rPr>
                <w:rFonts w:ascii="Times New Roman" w:hAnsi="Times New Roman" w:cs="Times New Roman"/>
                <w:sz w:val="22"/>
                <w:szCs w:val="22"/>
              </w:rPr>
              <w:t>..</w:t>
            </w:r>
          </w:p>
        </w:tc>
      </w:tr>
      <w:tr w:rsidR="008259E2" w:rsidRPr="00537910" w14:paraId="685FC290" w14:textId="77777777" w:rsidTr="00537910">
        <w:tc>
          <w:tcPr>
            <w:tcW w:w="0" w:type="auto"/>
            <w:hideMark/>
          </w:tcPr>
          <w:p w14:paraId="070CDB86" w14:textId="77777777" w:rsidR="008259E2" w:rsidRPr="00537910" w:rsidRDefault="008259E2" w:rsidP="00B77C0B">
            <w:pPr>
              <w:pStyle w:val="NoSpacing"/>
              <w:rPr>
                <w:rFonts w:ascii="Times New Roman" w:hAnsi="Times New Roman" w:cs="Times New Roman"/>
                <w:sz w:val="22"/>
                <w:szCs w:val="22"/>
              </w:rPr>
            </w:pPr>
            <w:r w:rsidRPr="00537910">
              <w:rPr>
                <w:rFonts w:ascii="Times New Roman" w:hAnsi="Times New Roman" w:cs="Times New Roman"/>
                <w:sz w:val="22"/>
                <w:szCs w:val="22"/>
              </w:rPr>
              <w:t>Uttar Pradesh</w:t>
            </w:r>
          </w:p>
        </w:tc>
        <w:tc>
          <w:tcPr>
            <w:tcW w:w="0" w:type="auto"/>
            <w:vAlign w:val="center"/>
            <w:hideMark/>
          </w:tcPr>
          <w:p w14:paraId="134E6745" w14:textId="77777777" w:rsidR="008259E2" w:rsidRPr="00537910" w:rsidRDefault="008259E2" w:rsidP="00537910">
            <w:pPr>
              <w:pStyle w:val="NoSpacing"/>
              <w:jc w:val="center"/>
              <w:rPr>
                <w:rFonts w:ascii="Times New Roman" w:hAnsi="Times New Roman" w:cs="Times New Roman"/>
                <w:sz w:val="22"/>
                <w:szCs w:val="22"/>
              </w:rPr>
            </w:pPr>
            <w:r w:rsidRPr="00537910">
              <w:rPr>
                <w:rFonts w:ascii="Times New Roman" w:hAnsi="Times New Roman" w:cs="Times New Roman"/>
                <w:sz w:val="22"/>
                <w:szCs w:val="22"/>
              </w:rPr>
              <w:t>366.95</w:t>
            </w:r>
          </w:p>
        </w:tc>
        <w:tc>
          <w:tcPr>
            <w:tcW w:w="0" w:type="auto"/>
            <w:vAlign w:val="center"/>
            <w:hideMark/>
          </w:tcPr>
          <w:p w14:paraId="41DC6F66" w14:textId="77777777" w:rsidR="008259E2" w:rsidRPr="00537910" w:rsidRDefault="008259E2" w:rsidP="00537910">
            <w:pPr>
              <w:pStyle w:val="NoSpacing"/>
              <w:jc w:val="center"/>
              <w:rPr>
                <w:rFonts w:ascii="Times New Roman" w:hAnsi="Times New Roman" w:cs="Times New Roman"/>
                <w:sz w:val="22"/>
                <w:szCs w:val="22"/>
              </w:rPr>
            </w:pPr>
            <w:r w:rsidRPr="00537910">
              <w:rPr>
                <w:rFonts w:ascii="Times New Roman" w:hAnsi="Times New Roman" w:cs="Times New Roman"/>
                <w:sz w:val="22"/>
                <w:szCs w:val="22"/>
              </w:rPr>
              <w:t>43.26</w:t>
            </w:r>
          </w:p>
        </w:tc>
        <w:tc>
          <w:tcPr>
            <w:tcW w:w="0" w:type="auto"/>
            <w:vAlign w:val="center"/>
            <w:hideMark/>
          </w:tcPr>
          <w:p w14:paraId="40AA71C6" w14:textId="77777777" w:rsidR="008259E2" w:rsidRPr="00537910" w:rsidRDefault="008259E2" w:rsidP="00537910">
            <w:pPr>
              <w:pStyle w:val="NoSpacing"/>
              <w:jc w:val="center"/>
              <w:rPr>
                <w:rFonts w:ascii="Times New Roman" w:hAnsi="Times New Roman" w:cs="Times New Roman"/>
                <w:sz w:val="22"/>
                <w:szCs w:val="22"/>
              </w:rPr>
            </w:pPr>
            <w:r w:rsidRPr="00537910">
              <w:rPr>
                <w:rFonts w:ascii="Times New Roman" w:hAnsi="Times New Roman" w:cs="Times New Roman"/>
                <w:sz w:val="22"/>
                <w:szCs w:val="22"/>
              </w:rPr>
              <w:t>22.42</w:t>
            </w:r>
          </w:p>
        </w:tc>
        <w:tc>
          <w:tcPr>
            <w:tcW w:w="0" w:type="auto"/>
            <w:vAlign w:val="center"/>
            <w:hideMark/>
          </w:tcPr>
          <w:p w14:paraId="65DB8AF9" w14:textId="77777777" w:rsidR="008259E2" w:rsidRPr="00537910" w:rsidRDefault="008259E2" w:rsidP="00537910">
            <w:pPr>
              <w:pStyle w:val="NoSpacing"/>
              <w:jc w:val="center"/>
              <w:rPr>
                <w:rFonts w:ascii="Times New Roman" w:hAnsi="Times New Roman" w:cs="Times New Roman"/>
                <w:sz w:val="22"/>
                <w:szCs w:val="22"/>
              </w:rPr>
            </w:pPr>
            <w:r w:rsidRPr="00537910">
              <w:rPr>
                <w:rFonts w:ascii="Times New Roman" w:hAnsi="Times New Roman" w:cs="Times New Roman"/>
                <w:sz w:val="22"/>
                <w:szCs w:val="22"/>
              </w:rPr>
              <w:t>6.40</w:t>
            </w:r>
          </w:p>
        </w:tc>
        <w:tc>
          <w:tcPr>
            <w:tcW w:w="0" w:type="auto"/>
            <w:vAlign w:val="center"/>
            <w:hideMark/>
          </w:tcPr>
          <w:p w14:paraId="326F6EB0" w14:textId="77777777" w:rsidR="008259E2" w:rsidRPr="00537910" w:rsidRDefault="008259E2" w:rsidP="00537910">
            <w:pPr>
              <w:pStyle w:val="NoSpacing"/>
              <w:jc w:val="center"/>
              <w:rPr>
                <w:rFonts w:ascii="Times New Roman" w:hAnsi="Times New Roman" w:cs="Times New Roman"/>
                <w:sz w:val="22"/>
                <w:szCs w:val="22"/>
              </w:rPr>
            </w:pPr>
            <w:r w:rsidRPr="00537910">
              <w:rPr>
                <w:rFonts w:ascii="Times New Roman" w:hAnsi="Times New Roman" w:cs="Times New Roman"/>
                <w:sz w:val="22"/>
                <w:szCs w:val="22"/>
              </w:rPr>
              <w:t>..</w:t>
            </w:r>
          </w:p>
        </w:tc>
        <w:tc>
          <w:tcPr>
            <w:tcW w:w="0" w:type="auto"/>
            <w:vAlign w:val="center"/>
            <w:hideMark/>
          </w:tcPr>
          <w:p w14:paraId="77F635EB" w14:textId="77777777" w:rsidR="008259E2" w:rsidRPr="00537910" w:rsidRDefault="008259E2" w:rsidP="00537910">
            <w:pPr>
              <w:pStyle w:val="NoSpacing"/>
              <w:jc w:val="center"/>
              <w:rPr>
                <w:rFonts w:ascii="Times New Roman" w:hAnsi="Times New Roman" w:cs="Times New Roman"/>
                <w:sz w:val="22"/>
                <w:szCs w:val="22"/>
              </w:rPr>
            </w:pPr>
            <w:r w:rsidRPr="00537910">
              <w:rPr>
                <w:rFonts w:ascii="Times New Roman" w:hAnsi="Times New Roman" w:cs="Times New Roman"/>
                <w:sz w:val="22"/>
                <w:szCs w:val="22"/>
              </w:rPr>
              <w:t>20.93</w:t>
            </w:r>
          </w:p>
        </w:tc>
        <w:tc>
          <w:tcPr>
            <w:tcW w:w="0" w:type="auto"/>
            <w:vAlign w:val="center"/>
            <w:hideMark/>
          </w:tcPr>
          <w:p w14:paraId="3B7F6C5C" w14:textId="77777777" w:rsidR="008259E2" w:rsidRPr="00537910" w:rsidRDefault="008259E2" w:rsidP="00537910">
            <w:pPr>
              <w:pStyle w:val="NoSpacing"/>
              <w:jc w:val="center"/>
              <w:rPr>
                <w:rFonts w:ascii="Times New Roman" w:hAnsi="Times New Roman" w:cs="Times New Roman"/>
                <w:sz w:val="22"/>
                <w:szCs w:val="22"/>
              </w:rPr>
            </w:pPr>
            <w:r w:rsidRPr="00537910">
              <w:rPr>
                <w:rFonts w:ascii="Times New Roman" w:hAnsi="Times New Roman" w:cs="Times New Roman"/>
                <w:sz w:val="22"/>
                <w:szCs w:val="22"/>
              </w:rPr>
              <w:t>1.14</w:t>
            </w:r>
          </w:p>
        </w:tc>
        <w:tc>
          <w:tcPr>
            <w:tcW w:w="0" w:type="auto"/>
            <w:vAlign w:val="center"/>
            <w:hideMark/>
          </w:tcPr>
          <w:p w14:paraId="226CE628" w14:textId="77777777" w:rsidR="008259E2" w:rsidRPr="00537910" w:rsidRDefault="008259E2" w:rsidP="00537910">
            <w:pPr>
              <w:pStyle w:val="NoSpacing"/>
              <w:jc w:val="center"/>
              <w:rPr>
                <w:rFonts w:ascii="Times New Roman" w:hAnsi="Times New Roman" w:cs="Times New Roman"/>
                <w:sz w:val="22"/>
                <w:szCs w:val="22"/>
              </w:rPr>
            </w:pPr>
            <w:r w:rsidRPr="00537910">
              <w:rPr>
                <w:rFonts w:ascii="Times New Roman" w:hAnsi="Times New Roman" w:cs="Times New Roman"/>
                <w:sz w:val="22"/>
                <w:szCs w:val="22"/>
              </w:rPr>
              <w:t>-7.63</w:t>
            </w:r>
          </w:p>
        </w:tc>
        <w:tc>
          <w:tcPr>
            <w:tcW w:w="0" w:type="auto"/>
            <w:vAlign w:val="center"/>
            <w:hideMark/>
          </w:tcPr>
          <w:p w14:paraId="46C6531D" w14:textId="77777777" w:rsidR="008259E2" w:rsidRPr="00537910" w:rsidRDefault="008259E2" w:rsidP="00537910">
            <w:pPr>
              <w:pStyle w:val="NoSpacing"/>
              <w:jc w:val="center"/>
              <w:rPr>
                <w:rFonts w:ascii="Times New Roman" w:hAnsi="Times New Roman" w:cs="Times New Roman"/>
                <w:sz w:val="22"/>
                <w:szCs w:val="22"/>
              </w:rPr>
            </w:pPr>
            <w:r w:rsidRPr="00537910">
              <w:rPr>
                <w:rFonts w:ascii="Times New Roman" w:hAnsi="Times New Roman" w:cs="Times New Roman"/>
                <w:sz w:val="22"/>
                <w:szCs w:val="22"/>
              </w:rPr>
              <w:t>..</w:t>
            </w:r>
          </w:p>
        </w:tc>
        <w:tc>
          <w:tcPr>
            <w:tcW w:w="0" w:type="auto"/>
            <w:vAlign w:val="center"/>
            <w:hideMark/>
          </w:tcPr>
          <w:p w14:paraId="416F5D6C" w14:textId="77777777" w:rsidR="008259E2" w:rsidRPr="00537910" w:rsidRDefault="008259E2" w:rsidP="00537910">
            <w:pPr>
              <w:pStyle w:val="NoSpacing"/>
              <w:jc w:val="center"/>
              <w:rPr>
                <w:rFonts w:ascii="Times New Roman" w:hAnsi="Times New Roman" w:cs="Times New Roman"/>
                <w:sz w:val="22"/>
                <w:szCs w:val="22"/>
              </w:rPr>
            </w:pPr>
            <w:r w:rsidRPr="00537910">
              <w:rPr>
                <w:rFonts w:ascii="Times New Roman" w:hAnsi="Times New Roman" w:cs="Times New Roman"/>
                <w:sz w:val="22"/>
                <w:szCs w:val="22"/>
              </w:rPr>
              <w:t>-7.63</w:t>
            </w:r>
          </w:p>
        </w:tc>
      </w:tr>
      <w:tr w:rsidR="008259E2" w:rsidRPr="00537910" w14:paraId="16BF7D27" w14:textId="77777777" w:rsidTr="00537910">
        <w:tc>
          <w:tcPr>
            <w:tcW w:w="0" w:type="auto"/>
            <w:hideMark/>
          </w:tcPr>
          <w:p w14:paraId="3CB7EF58" w14:textId="77777777" w:rsidR="008259E2" w:rsidRPr="00537910" w:rsidRDefault="008259E2" w:rsidP="00B77C0B">
            <w:pPr>
              <w:pStyle w:val="NoSpacing"/>
              <w:rPr>
                <w:rFonts w:ascii="Times New Roman" w:hAnsi="Times New Roman" w:cs="Times New Roman"/>
                <w:sz w:val="22"/>
                <w:szCs w:val="22"/>
              </w:rPr>
            </w:pPr>
            <w:r w:rsidRPr="00537910">
              <w:rPr>
                <w:rFonts w:ascii="Times New Roman" w:hAnsi="Times New Roman" w:cs="Times New Roman"/>
                <w:sz w:val="22"/>
                <w:szCs w:val="22"/>
              </w:rPr>
              <w:t>West Bengal</w:t>
            </w:r>
          </w:p>
        </w:tc>
        <w:tc>
          <w:tcPr>
            <w:tcW w:w="0" w:type="auto"/>
            <w:vAlign w:val="center"/>
            <w:hideMark/>
          </w:tcPr>
          <w:p w14:paraId="7765E56C" w14:textId="77777777" w:rsidR="008259E2" w:rsidRPr="00537910" w:rsidRDefault="008259E2" w:rsidP="00537910">
            <w:pPr>
              <w:pStyle w:val="NoSpacing"/>
              <w:jc w:val="center"/>
              <w:rPr>
                <w:rFonts w:ascii="Times New Roman" w:hAnsi="Times New Roman" w:cs="Times New Roman"/>
                <w:sz w:val="22"/>
                <w:szCs w:val="22"/>
              </w:rPr>
            </w:pPr>
            <w:r w:rsidRPr="00537910">
              <w:rPr>
                <w:rFonts w:ascii="Times New Roman" w:hAnsi="Times New Roman" w:cs="Times New Roman"/>
                <w:sz w:val="22"/>
                <w:szCs w:val="22"/>
              </w:rPr>
              <w:t>83.79</w:t>
            </w:r>
          </w:p>
        </w:tc>
        <w:tc>
          <w:tcPr>
            <w:tcW w:w="0" w:type="auto"/>
            <w:vAlign w:val="center"/>
            <w:hideMark/>
          </w:tcPr>
          <w:p w14:paraId="1B1F5400" w14:textId="77777777" w:rsidR="008259E2" w:rsidRPr="00537910" w:rsidRDefault="008259E2" w:rsidP="00537910">
            <w:pPr>
              <w:pStyle w:val="NoSpacing"/>
              <w:jc w:val="center"/>
              <w:rPr>
                <w:rFonts w:ascii="Times New Roman" w:hAnsi="Times New Roman" w:cs="Times New Roman"/>
                <w:sz w:val="22"/>
                <w:szCs w:val="22"/>
              </w:rPr>
            </w:pPr>
            <w:r w:rsidRPr="00537910">
              <w:rPr>
                <w:rFonts w:ascii="Times New Roman" w:hAnsi="Times New Roman" w:cs="Times New Roman"/>
                <w:sz w:val="22"/>
                <w:szCs w:val="22"/>
              </w:rPr>
              <w:t>18.82</w:t>
            </w:r>
          </w:p>
        </w:tc>
        <w:tc>
          <w:tcPr>
            <w:tcW w:w="0" w:type="auto"/>
            <w:vAlign w:val="center"/>
            <w:hideMark/>
          </w:tcPr>
          <w:p w14:paraId="1BE64FE8" w14:textId="77777777" w:rsidR="008259E2" w:rsidRPr="00537910" w:rsidRDefault="008259E2" w:rsidP="00537910">
            <w:pPr>
              <w:pStyle w:val="NoSpacing"/>
              <w:jc w:val="center"/>
              <w:rPr>
                <w:rFonts w:ascii="Times New Roman" w:hAnsi="Times New Roman" w:cs="Times New Roman"/>
                <w:sz w:val="22"/>
                <w:szCs w:val="22"/>
              </w:rPr>
            </w:pPr>
            <w:r w:rsidRPr="00537910">
              <w:rPr>
                <w:rFonts w:ascii="Times New Roman" w:hAnsi="Times New Roman" w:cs="Times New Roman"/>
                <w:sz w:val="22"/>
                <w:szCs w:val="22"/>
              </w:rPr>
              <w:t>11.96</w:t>
            </w:r>
          </w:p>
        </w:tc>
        <w:tc>
          <w:tcPr>
            <w:tcW w:w="0" w:type="auto"/>
            <w:vAlign w:val="center"/>
            <w:hideMark/>
          </w:tcPr>
          <w:p w14:paraId="6D942AD4" w14:textId="77777777" w:rsidR="008259E2" w:rsidRPr="00537910" w:rsidRDefault="008259E2" w:rsidP="00537910">
            <w:pPr>
              <w:pStyle w:val="NoSpacing"/>
              <w:jc w:val="center"/>
              <w:rPr>
                <w:rFonts w:ascii="Times New Roman" w:hAnsi="Times New Roman" w:cs="Times New Roman"/>
                <w:sz w:val="22"/>
                <w:szCs w:val="22"/>
              </w:rPr>
            </w:pPr>
            <w:r w:rsidRPr="00537910">
              <w:rPr>
                <w:rFonts w:ascii="Times New Roman" w:hAnsi="Times New Roman" w:cs="Times New Roman"/>
                <w:sz w:val="22"/>
                <w:szCs w:val="22"/>
              </w:rPr>
              <w:t>2.39</w:t>
            </w:r>
          </w:p>
        </w:tc>
        <w:tc>
          <w:tcPr>
            <w:tcW w:w="0" w:type="auto"/>
            <w:vAlign w:val="center"/>
            <w:hideMark/>
          </w:tcPr>
          <w:p w14:paraId="683C0604" w14:textId="77777777" w:rsidR="008259E2" w:rsidRPr="00537910" w:rsidRDefault="008259E2" w:rsidP="00537910">
            <w:pPr>
              <w:pStyle w:val="NoSpacing"/>
              <w:jc w:val="center"/>
              <w:rPr>
                <w:rFonts w:ascii="Times New Roman" w:hAnsi="Times New Roman" w:cs="Times New Roman"/>
                <w:sz w:val="22"/>
                <w:szCs w:val="22"/>
              </w:rPr>
            </w:pPr>
            <w:r w:rsidRPr="00537910">
              <w:rPr>
                <w:rFonts w:ascii="Times New Roman" w:hAnsi="Times New Roman" w:cs="Times New Roman"/>
                <w:sz w:val="22"/>
                <w:szCs w:val="22"/>
              </w:rPr>
              <w:t>0.40</w:t>
            </w:r>
          </w:p>
        </w:tc>
        <w:tc>
          <w:tcPr>
            <w:tcW w:w="0" w:type="auto"/>
            <w:vAlign w:val="center"/>
            <w:hideMark/>
          </w:tcPr>
          <w:p w14:paraId="61BFC328" w14:textId="77777777" w:rsidR="008259E2" w:rsidRPr="00537910" w:rsidRDefault="008259E2" w:rsidP="00537910">
            <w:pPr>
              <w:pStyle w:val="NoSpacing"/>
              <w:jc w:val="center"/>
              <w:rPr>
                <w:rFonts w:ascii="Times New Roman" w:hAnsi="Times New Roman" w:cs="Times New Roman"/>
                <w:sz w:val="22"/>
                <w:szCs w:val="22"/>
              </w:rPr>
            </w:pPr>
            <w:r w:rsidRPr="00537910">
              <w:rPr>
                <w:rFonts w:ascii="Times New Roman" w:hAnsi="Times New Roman" w:cs="Times New Roman"/>
                <w:sz w:val="22"/>
                <w:szCs w:val="22"/>
              </w:rPr>
              <w:t>3.76</w:t>
            </w:r>
          </w:p>
        </w:tc>
        <w:tc>
          <w:tcPr>
            <w:tcW w:w="0" w:type="auto"/>
            <w:vAlign w:val="center"/>
            <w:hideMark/>
          </w:tcPr>
          <w:p w14:paraId="14AED177" w14:textId="77777777" w:rsidR="008259E2" w:rsidRPr="00537910" w:rsidRDefault="008259E2" w:rsidP="00537910">
            <w:pPr>
              <w:pStyle w:val="NoSpacing"/>
              <w:jc w:val="center"/>
              <w:rPr>
                <w:rFonts w:ascii="Times New Roman" w:hAnsi="Times New Roman" w:cs="Times New Roman"/>
                <w:sz w:val="22"/>
                <w:szCs w:val="22"/>
              </w:rPr>
            </w:pPr>
            <w:r w:rsidRPr="00537910">
              <w:rPr>
                <w:rFonts w:ascii="Times New Roman" w:hAnsi="Times New Roman" w:cs="Times New Roman"/>
                <w:sz w:val="22"/>
                <w:szCs w:val="22"/>
              </w:rPr>
              <w:t>0.41</w:t>
            </w:r>
          </w:p>
        </w:tc>
        <w:tc>
          <w:tcPr>
            <w:tcW w:w="0" w:type="auto"/>
            <w:vAlign w:val="center"/>
            <w:hideMark/>
          </w:tcPr>
          <w:p w14:paraId="11A68658" w14:textId="77777777" w:rsidR="008259E2" w:rsidRPr="00537910" w:rsidRDefault="008259E2" w:rsidP="00537910">
            <w:pPr>
              <w:pStyle w:val="NoSpacing"/>
              <w:jc w:val="center"/>
              <w:rPr>
                <w:rFonts w:ascii="Times New Roman" w:hAnsi="Times New Roman" w:cs="Times New Roman"/>
                <w:sz w:val="22"/>
                <w:szCs w:val="22"/>
              </w:rPr>
            </w:pPr>
            <w:r w:rsidRPr="00537910">
              <w:rPr>
                <w:rFonts w:ascii="Times New Roman" w:hAnsi="Times New Roman" w:cs="Times New Roman"/>
                <w:sz w:val="22"/>
                <w:szCs w:val="22"/>
              </w:rPr>
              <w:t>-0.10</w:t>
            </w:r>
          </w:p>
        </w:tc>
        <w:tc>
          <w:tcPr>
            <w:tcW w:w="0" w:type="auto"/>
            <w:vAlign w:val="center"/>
            <w:hideMark/>
          </w:tcPr>
          <w:p w14:paraId="3C7C95B7" w14:textId="77777777" w:rsidR="008259E2" w:rsidRPr="00537910" w:rsidRDefault="008259E2" w:rsidP="00537910">
            <w:pPr>
              <w:pStyle w:val="NoSpacing"/>
              <w:jc w:val="center"/>
              <w:rPr>
                <w:rFonts w:ascii="Times New Roman" w:hAnsi="Times New Roman" w:cs="Times New Roman"/>
                <w:sz w:val="22"/>
                <w:szCs w:val="22"/>
              </w:rPr>
            </w:pPr>
            <w:r w:rsidRPr="00537910">
              <w:rPr>
                <w:rFonts w:ascii="Times New Roman" w:hAnsi="Times New Roman" w:cs="Times New Roman"/>
                <w:sz w:val="22"/>
                <w:szCs w:val="22"/>
              </w:rPr>
              <w:t>-0.56</w:t>
            </w:r>
          </w:p>
        </w:tc>
        <w:tc>
          <w:tcPr>
            <w:tcW w:w="0" w:type="auto"/>
            <w:vAlign w:val="center"/>
            <w:hideMark/>
          </w:tcPr>
          <w:p w14:paraId="12886CB8" w14:textId="77777777" w:rsidR="008259E2" w:rsidRPr="00537910" w:rsidRDefault="008259E2" w:rsidP="00537910">
            <w:pPr>
              <w:pStyle w:val="NoSpacing"/>
              <w:jc w:val="center"/>
              <w:rPr>
                <w:rFonts w:ascii="Times New Roman" w:hAnsi="Times New Roman" w:cs="Times New Roman"/>
                <w:sz w:val="22"/>
                <w:szCs w:val="22"/>
              </w:rPr>
            </w:pPr>
            <w:r w:rsidRPr="00537910">
              <w:rPr>
                <w:rFonts w:ascii="Times New Roman" w:hAnsi="Times New Roman" w:cs="Times New Roman"/>
                <w:sz w:val="22"/>
                <w:szCs w:val="22"/>
              </w:rPr>
              <w:t>-0.66</w:t>
            </w:r>
          </w:p>
        </w:tc>
      </w:tr>
      <w:tr w:rsidR="008259E2" w:rsidRPr="00537910" w14:paraId="5FF33334" w14:textId="77777777" w:rsidTr="00537910">
        <w:tc>
          <w:tcPr>
            <w:tcW w:w="0" w:type="auto"/>
            <w:hideMark/>
          </w:tcPr>
          <w:p w14:paraId="4B30FE62" w14:textId="77777777" w:rsidR="008259E2" w:rsidRPr="00537910" w:rsidRDefault="008259E2" w:rsidP="00B77C0B">
            <w:pPr>
              <w:pStyle w:val="NoSpacing"/>
              <w:rPr>
                <w:rFonts w:ascii="Times New Roman" w:hAnsi="Times New Roman" w:cs="Times New Roman"/>
                <w:sz w:val="22"/>
                <w:szCs w:val="22"/>
              </w:rPr>
            </w:pPr>
            <w:r w:rsidRPr="00537910">
              <w:rPr>
                <w:rFonts w:ascii="Times New Roman" w:hAnsi="Times New Roman" w:cs="Times New Roman"/>
                <w:sz w:val="22"/>
                <w:szCs w:val="22"/>
              </w:rPr>
              <w:t>TOTAL</w:t>
            </w:r>
          </w:p>
        </w:tc>
        <w:tc>
          <w:tcPr>
            <w:tcW w:w="0" w:type="auto"/>
            <w:vAlign w:val="center"/>
            <w:hideMark/>
          </w:tcPr>
          <w:p w14:paraId="319BDECD" w14:textId="77777777" w:rsidR="008259E2" w:rsidRPr="00537910" w:rsidRDefault="008259E2" w:rsidP="00537910">
            <w:pPr>
              <w:pStyle w:val="NoSpacing"/>
              <w:jc w:val="center"/>
              <w:rPr>
                <w:rFonts w:ascii="Times New Roman" w:hAnsi="Times New Roman" w:cs="Times New Roman"/>
                <w:sz w:val="22"/>
                <w:szCs w:val="22"/>
              </w:rPr>
            </w:pPr>
            <w:r w:rsidRPr="00537910">
              <w:rPr>
                <w:rFonts w:ascii="Times New Roman" w:hAnsi="Times New Roman" w:cs="Times New Roman"/>
                <w:sz w:val="22"/>
                <w:szCs w:val="22"/>
              </w:rPr>
              <w:t>2018.99</w:t>
            </w:r>
          </w:p>
        </w:tc>
        <w:tc>
          <w:tcPr>
            <w:tcW w:w="0" w:type="auto"/>
            <w:vAlign w:val="center"/>
            <w:hideMark/>
          </w:tcPr>
          <w:p w14:paraId="43BF3936" w14:textId="77777777" w:rsidR="008259E2" w:rsidRPr="00537910" w:rsidRDefault="008259E2" w:rsidP="00537910">
            <w:pPr>
              <w:pStyle w:val="NoSpacing"/>
              <w:jc w:val="center"/>
              <w:rPr>
                <w:rFonts w:ascii="Times New Roman" w:hAnsi="Times New Roman" w:cs="Times New Roman"/>
                <w:sz w:val="22"/>
                <w:szCs w:val="22"/>
              </w:rPr>
            </w:pPr>
            <w:r w:rsidRPr="00537910">
              <w:rPr>
                <w:rFonts w:ascii="Times New Roman" w:hAnsi="Times New Roman" w:cs="Times New Roman"/>
                <w:sz w:val="22"/>
                <w:szCs w:val="22"/>
              </w:rPr>
              <w:t>316.01</w:t>
            </w:r>
          </w:p>
        </w:tc>
        <w:tc>
          <w:tcPr>
            <w:tcW w:w="0" w:type="auto"/>
            <w:vAlign w:val="center"/>
            <w:hideMark/>
          </w:tcPr>
          <w:p w14:paraId="1A02A52F" w14:textId="77777777" w:rsidR="008259E2" w:rsidRPr="00537910" w:rsidRDefault="008259E2" w:rsidP="00537910">
            <w:pPr>
              <w:pStyle w:val="NoSpacing"/>
              <w:jc w:val="center"/>
              <w:rPr>
                <w:rFonts w:ascii="Times New Roman" w:hAnsi="Times New Roman" w:cs="Times New Roman"/>
                <w:sz w:val="22"/>
                <w:szCs w:val="22"/>
              </w:rPr>
            </w:pPr>
            <w:r w:rsidRPr="00537910">
              <w:rPr>
                <w:rFonts w:ascii="Times New Roman" w:hAnsi="Times New Roman" w:cs="Times New Roman"/>
                <w:sz w:val="22"/>
                <w:szCs w:val="22"/>
              </w:rPr>
              <w:t>170.09</w:t>
            </w:r>
          </w:p>
        </w:tc>
        <w:tc>
          <w:tcPr>
            <w:tcW w:w="0" w:type="auto"/>
            <w:vAlign w:val="center"/>
            <w:hideMark/>
          </w:tcPr>
          <w:p w14:paraId="7287CA5F" w14:textId="77777777" w:rsidR="008259E2" w:rsidRPr="00537910" w:rsidRDefault="008259E2" w:rsidP="00537910">
            <w:pPr>
              <w:pStyle w:val="NoSpacing"/>
              <w:jc w:val="center"/>
              <w:rPr>
                <w:rFonts w:ascii="Times New Roman" w:hAnsi="Times New Roman" w:cs="Times New Roman"/>
                <w:sz w:val="22"/>
                <w:szCs w:val="22"/>
              </w:rPr>
            </w:pPr>
            <w:r w:rsidRPr="00537910">
              <w:rPr>
                <w:rFonts w:ascii="Times New Roman" w:hAnsi="Times New Roman" w:cs="Times New Roman"/>
                <w:sz w:val="22"/>
                <w:szCs w:val="22"/>
              </w:rPr>
              <w:t>53.80</w:t>
            </w:r>
          </w:p>
        </w:tc>
        <w:tc>
          <w:tcPr>
            <w:tcW w:w="0" w:type="auto"/>
            <w:vAlign w:val="center"/>
            <w:hideMark/>
          </w:tcPr>
          <w:p w14:paraId="5E6B9798" w14:textId="77777777" w:rsidR="008259E2" w:rsidRPr="00537910" w:rsidRDefault="008259E2" w:rsidP="00537910">
            <w:pPr>
              <w:pStyle w:val="NoSpacing"/>
              <w:jc w:val="center"/>
              <w:rPr>
                <w:rFonts w:ascii="Times New Roman" w:hAnsi="Times New Roman" w:cs="Times New Roman"/>
                <w:sz w:val="22"/>
                <w:szCs w:val="22"/>
              </w:rPr>
            </w:pPr>
            <w:r w:rsidRPr="00537910">
              <w:rPr>
                <w:rFonts w:ascii="Times New Roman" w:hAnsi="Times New Roman" w:cs="Times New Roman"/>
                <w:sz w:val="22"/>
                <w:szCs w:val="22"/>
              </w:rPr>
              <w:t>5.55</w:t>
            </w:r>
          </w:p>
        </w:tc>
        <w:tc>
          <w:tcPr>
            <w:tcW w:w="0" w:type="auto"/>
            <w:vAlign w:val="center"/>
            <w:hideMark/>
          </w:tcPr>
          <w:p w14:paraId="60A39070" w14:textId="77777777" w:rsidR="008259E2" w:rsidRPr="00537910" w:rsidRDefault="008259E2" w:rsidP="00537910">
            <w:pPr>
              <w:pStyle w:val="NoSpacing"/>
              <w:jc w:val="center"/>
              <w:rPr>
                <w:rFonts w:ascii="Times New Roman" w:hAnsi="Times New Roman" w:cs="Times New Roman"/>
                <w:sz w:val="22"/>
                <w:szCs w:val="22"/>
              </w:rPr>
            </w:pPr>
            <w:r w:rsidRPr="00537910">
              <w:rPr>
                <w:rFonts w:ascii="Times New Roman" w:hAnsi="Times New Roman" w:cs="Times New Roman"/>
                <w:sz w:val="22"/>
                <w:szCs w:val="22"/>
              </w:rPr>
              <w:t>95.24</w:t>
            </w:r>
          </w:p>
        </w:tc>
        <w:tc>
          <w:tcPr>
            <w:tcW w:w="0" w:type="auto"/>
            <w:vAlign w:val="center"/>
            <w:hideMark/>
          </w:tcPr>
          <w:p w14:paraId="7DE8F9F1" w14:textId="77777777" w:rsidR="008259E2" w:rsidRPr="00537910" w:rsidRDefault="008259E2" w:rsidP="00537910">
            <w:pPr>
              <w:pStyle w:val="NoSpacing"/>
              <w:jc w:val="center"/>
              <w:rPr>
                <w:rFonts w:ascii="Times New Roman" w:hAnsi="Times New Roman" w:cs="Times New Roman"/>
                <w:sz w:val="22"/>
                <w:szCs w:val="22"/>
              </w:rPr>
            </w:pPr>
            <w:r w:rsidRPr="00537910">
              <w:rPr>
                <w:rFonts w:ascii="Times New Roman" w:hAnsi="Times New Roman" w:cs="Times New Roman"/>
                <w:sz w:val="22"/>
                <w:szCs w:val="22"/>
              </w:rPr>
              <w:t>13.83</w:t>
            </w:r>
          </w:p>
        </w:tc>
        <w:tc>
          <w:tcPr>
            <w:tcW w:w="0" w:type="auto"/>
            <w:vAlign w:val="center"/>
            <w:hideMark/>
          </w:tcPr>
          <w:p w14:paraId="6DC989E9" w14:textId="77777777" w:rsidR="008259E2" w:rsidRPr="00537910" w:rsidRDefault="008259E2" w:rsidP="00537910">
            <w:pPr>
              <w:pStyle w:val="NoSpacing"/>
              <w:jc w:val="center"/>
              <w:rPr>
                <w:rFonts w:ascii="Times New Roman" w:hAnsi="Times New Roman" w:cs="Times New Roman"/>
                <w:sz w:val="22"/>
                <w:szCs w:val="22"/>
              </w:rPr>
            </w:pPr>
            <w:r w:rsidRPr="00537910">
              <w:rPr>
                <w:rFonts w:ascii="Times New Roman" w:hAnsi="Times New Roman" w:cs="Times New Roman"/>
                <w:sz w:val="22"/>
                <w:szCs w:val="22"/>
              </w:rPr>
              <w:t>-22.50</w:t>
            </w:r>
          </w:p>
        </w:tc>
        <w:tc>
          <w:tcPr>
            <w:tcW w:w="0" w:type="auto"/>
            <w:vAlign w:val="center"/>
            <w:hideMark/>
          </w:tcPr>
          <w:p w14:paraId="67BC971E" w14:textId="77777777" w:rsidR="008259E2" w:rsidRPr="00537910" w:rsidRDefault="008259E2" w:rsidP="00537910">
            <w:pPr>
              <w:pStyle w:val="NoSpacing"/>
              <w:jc w:val="center"/>
              <w:rPr>
                <w:rFonts w:ascii="Times New Roman" w:hAnsi="Times New Roman" w:cs="Times New Roman"/>
                <w:sz w:val="22"/>
                <w:szCs w:val="22"/>
              </w:rPr>
            </w:pPr>
            <w:r w:rsidRPr="00537910">
              <w:rPr>
                <w:rFonts w:ascii="Times New Roman" w:hAnsi="Times New Roman" w:cs="Times New Roman"/>
                <w:sz w:val="22"/>
                <w:szCs w:val="22"/>
              </w:rPr>
              <w:t>-6.19</w:t>
            </w:r>
          </w:p>
        </w:tc>
        <w:tc>
          <w:tcPr>
            <w:tcW w:w="0" w:type="auto"/>
            <w:vAlign w:val="center"/>
            <w:hideMark/>
          </w:tcPr>
          <w:p w14:paraId="48FE5442" w14:textId="77777777" w:rsidR="008259E2" w:rsidRPr="00537910" w:rsidRDefault="008259E2" w:rsidP="00537910">
            <w:pPr>
              <w:pStyle w:val="NoSpacing"/>
              <w:jc w:val="center"/>
              <w:rPr>
                <w:rFonts w:ascii="Times New Roman" w:hAnsi="Times New Roman" w:cs="Times New Roman"/>
                <w:sz w:val="22"/>
                <w:szCs w:val="22"/>
              </w:rPr>
            </w:pPr>
            <w:r w:rsidRPr="00537910">
              <w:rPr>
                <w:rFonts w:ascii="Times New Roman" w:hAnsi="Times New Roman" w:cs="Times New Roman"/>
                <w:sz w:val="22"/>
                <w:szCs w:val="22"/>
              </w:rPr>
              <w:t>-28.69</w:t>
            </w:r>
          </w:p>
        </w:tc>
      </w:tr>
    </w:tbl>
    <w:p w14:paraId="07EDBD2F" w14:textId="1A175E94" w:rsidR="00695869" w:rsidRPr="007245B0" w:rsidRDefault="008259E2" w:rsidP="003874AC">
      <w:pPr>
        <w:pStyle w:val="Sources"/>
      </w:pPr>
      <w:r w:rsidRPr="007245B0">
        <w:t>(a) Includes recovery of arrears.</w:t>
      </w:r>
    </w:p>
    <w:p w14:paraId="441AEC23" w14:textId="4CED2613" w:rsidR="00BA4141" w:rsidRPr="00537910" w:rsidRDefault="00BA4141" w:rsidP="00537910">
      <w:pPr>
        <w:rPr>
          <w:rFonts w:ascii="Times New Roman" w:hAnsi="Times New Roman" w:cs="Times New Roman"/>
          <w:i/>
          <w:iCs/>
          <w:szCs w:val="24"/>
        </w:rPr>
        <w:sectPr w:rsidR="00BA4141" w:rsidRPr="00537910" w:rsidSect="006B6440">
          <w:pgSz w:w="15840" w:h="12240" w:orient="landscape"/>
          <w:pgMar w:top="993" w:right="992" w:bottom="1440" w:left="1440" w:header="720" w:footer="720" w:gutter="0"/>
          <w:cols w:space="720"/>
        </w:sectPr>
      </w:pPr>
    </w:p>
    <w:p w14:paraId="4BB88500" w14:textId="7C3F9A81" w:rsidR="00BA4141" w:rsidRPr="007245B0" w:rsidRDefault="00574BCE" w:rsidP="007D2EE4">
      <w:pPr>
        <w:pStyle w:val="Heading4"/>
        <w:rPr>
          <w:i/>
          <w:iCs/>
        </w:rPr>
      </w:pPr>
      <w:bookmarkStart w:id="144" w:name="_Toc220949718"/>
      <w:bookmarkStart w:id="145" w:name="_Toc221114318"/>
      <w:bookmarkStart w:id="146" w:name="_Toc221115341"/>
      <w:r>
        <w:lastRenderedPageBreak/>
        <w:t>Table</w:t>
      </w:r>
      <w:r w:rsidR="00BA4141" w:rsidRPr="007245B0">
        <w:t xml:space="preserve"> 37: Rate of return on total capital outlays of Electricity Boards from 1966-67 to 1968-69</w:t>
      </w:r>
      <w:bookmarkEnd w:id="144"/>
      <w:bookmarkEnd w:id="145"/>
      <w:bookmarkEnd w:id="146"/>
    </w:p>
    <w:p w14:paraId="00D31CAF" w14:textId="77777777" w:rsidR="00BA4141" w:rsidRPr="007245B0" w:rsidRDefault="00BA4141" w:rsidP="00BA4141">
      <w:pPr>
        <w:tabs>
          <w:tab w:val="left" w:pos="3306"/>
        </w:tabs>
        <w:jc w:val="right"/>
        <w:rPr>
          <w:rFonts w:ascii="Times New Roman" w:hAnsi="Times New Roman" w:cs="Times New Roman"/>
          <w:i/>
          <w:iCs/>
          <w:szCs w:val="24"/>
        </w:rPr>
      </w:pPr>
      <w:r w:rsidRPr="007245B0">
        <w:rPr>
          <w:rFonts w:ascii="Times New Roman" w:hAnsi="Times New Roman" w:cs="Times New Roman"/>
          <w:i/>
          <w:iCs/>
          <w:szCs w:val="24"/>
        </w:rPr>
        <w:t>(Percentages)</w:t>
      </w:r>
    </w:p>
    <w:tbl>
      <w:tblPr>
        <w:tblStyle w:val="TableGrid"/>
        <w:tblW w:w="10413" w:type="dxa"/>
        <w:tblLook w:val="04A0" w:firstRow="1" w:lastRow="0" w:firstColumn="1" w:lastColumn="0" w:noHBand="0" w:noVBand="1"/>
      </w:tblPr>
      <w:tblGrid>
        <w:gridCol w:w="4179"/>
        <w:gridCol w:w="2078"/>
        <w:gridCol w:w="2078"/>
        <w:gridCol w:w="2078"/>
      </w:tblGrid>
      <w:tr w:rsidR="00BA4141" w:rsidRPr="007245B0" w14:paraId="19192D81" w14:textId="77777777" w:rsidTr="00537910">
        <w:trPr>
          <w:trHeight w:val="470"/>
        </w:trPr>
        <w:tc>
          <w:tcPr>
            <w:tcW w:w="0" w:type="auto"/>
            <w:hideMark/>
          </w:tcPr>
          <w:p w14:paraId="74F0B018" w14:textId="77777777" w:rsidR="00BA4141" w:rsidRPr="007D2EE4" w:rsidRDefault="00BA4141" w:rsidP="00B77C0B">
            <w:pPr>
              <w:pStyle w:val="NoSpacing"/>
              <w:rPr>
                <w:rFonts w:ascii="Times New Roman" w:hAnsi="Times New Roman" w:cs="Times New Roman"/>
                <w:b/>
                <w:bCs/>
              </w:rPr>
            </w:pPr>
            <w:r w:rsidRPr="007D2EE4">
              <w:rPr>
                <w:rFonts w:ascii="Times New Roman" w:hAnsi="Times New Roman" w:cs="Times New Roman"/>
                <w:b/>
                <w:bCs/>
              </w:rPr>
              <w:t>States</w:t>
            </w:r>
          </w:p>
        </w:tc>
        <w:tc>
          <w:tcPr>
            <w:tcW w:w="0" w:type="auto"/>
            <w:vAlign w:val="center"/>
            <w:hideMark/>
          </w:tcPr>
          <w:p w14:paraId="50A090CA" w14:textId="77777777" w:rsidR="00BA4141" w:rsidRPr="007D2EE4" w:rsidRDefault="00BA4141" w:rsidP="00537910">
            <w:pPr>
              <w:pStyle w:val="NoSpacing"/>
              <w:jc w:val="center"/>
              <w:rPr>
                <w:rFonts w:ascii="Times New Roman" w:hAnsi="Times New Roman" w:cs="Times New Roman"/>
                <w:b/>
                <w:bCs/>
              </w:rPr>
            </w:pPr>
            <w:r w:rsidRPr="007D2EE4">
              <w:rPr>
                <w:rFonts w:ascii="Times New Roman" w:hAnsi="Times New Roman" w:cs="Times New Roman"/>
                <w:b/>
                <w:bCs/>
              </w:rPr>
              <w:t>1966-67</w:t>
            </w:r>
          </w:p>
        </w:tc>
        <w:tc>
          <w:tcPr>
            <w:tcW w:w="0" w:type="auto"/>
            <w:vAlign w:val="center"/>
            <w:hideMark/>
          </w:tcPr>
          <w:p w14:paraId="3ADF69D4" w14:textId="77777777" w:rsidR="00BA4141" w:rsidRPr="007D2EE4" w:rsidRDefault="00BA4141" w:rsidP="00537910">
            <w:pPr>
              <w:pStyle w:val="NoSpacing"/>
              <w:jc w:val="center"/>
              <w:rPr>
                <w:rFonts w:ascii="Times New Roman" w:hAnsi="Times New Roman" w:cs="Times New Roman"/>
                <w:b/>
                <w:bCs/>
              </w:rPr>
            </w:pPr>
            <w:r w:rsidRPr="007D2EE4">
              <w:rPr>
                <w:rFonts w:ascii="Times New Roman" w:hAnsi="Times New Roman" w:cs="Times New Roman"/>
                <w:b/>
                <w:bCs/>
              </w:rPr>
              <w:t>1967-68</w:t>
            </w:r>
          </w:p>
        </w:tc>
        <w:tc>
          <w:tcPr>
            <w:tcW w:w="0" w:type="auto"/>
            <w:vAlign w:val="center"/>
            <w:hideMark/>
          </w:tcPr>
          <w:p w14:paraId="27EBB8B1" w14:textId="77777777" w:rsidR="00BA4141" w:rsidRPr="007D2EE4" w:rsidRDefault="00BA4141" w:rsidP="00537910">
            <w:pPr>
              <w:pStyle w:val="NoSpacing"/>
              <w:jc w:val="center"/>
              <w:rPr>
                <w:rFonts w:ascii="Times New Roman" w:hAnsi="Times New Roman" w:cs="Times New Roman"/>
                <w:b/>
                <w:bCs/>
              </w:rPr>
            </w:pPr>
            <w:r w:rsidRPr="007D2EE4">
              <w:rPr>
                <w:rFonts w:ascii="Times New Roman" w:hAnsi="Times New Roman" w:cs="Times New Roman"/>
                <w:b/>
                <w:bCs/>
              </w:rPr>
              <w:t>1968-69</w:t>
            </w:r>
          </w:p>
        </w:tc>
      </w:tr>
      <w:tr w:rsidR="00BA4141" w:rsidRPr="007245B0" w14:paraId="30F4AB83" w14:textId="77777777" w:rsidTr="00537910">
        <w:trPr>
          <w:trHeight w:val="470"/>
        </w:trPr>
        <w:tc>
          <w:tcPr>
            <w:tcW w:w="0" w:type="auto"/>
          </w:tcPr>
          <w:p w14:paraId="75F3611C" w14:textId="77777777" w:rsidR="00BA4141" w:rsidRPr="007245B0" w:rsidRDefault="00BA4141" w:rsidP="00B77C0B">
            <w:pPr>
              <w:pStyle w:val="NoSpacing"/>
              <w:jc w:val="center"/>
              <w:rPr>
                <w:rFonts w:ascii="Times New Roman" w:hAnsi="Times New Roman" w:cs="Times New Roman"/>
                <w:b/>
                <w:bCs/>
              </w:rPr>
            </w:pPr>
            <w:r w:rsidRPr="007245B0">
              <w:rPr>
                <w:rFonts w:ascii="Times New Roman" w:hAnsi="Times New Roman" w:cs="Times New Roman"/>
                <w:b/>
                <w:bCs/>
              </w:rPr>
              <w:t>1</w:t>
            </w:r>
          </w:p>
        </w:tc>
        <w:tc>
          <w:tcPr>
            <w:tcW w:w="0" w:type="auto"/>
            <w:vAlign w:val="center"/>
          </w:tcPr>
          <w:p w14:paraId="14E178AB" w14:textId="77777777" w:rsidR="00BA4141" w:rsidRPr="007245B0" w:rsidRDefault="00BA4141" w:rsidP="00537910">
            <w:pPr>
              <w:pStyle w:val="NoSpacing"/>
              <w:jc w:val="center"/>
              <w:rPr>
                <w:rFonts w:ascii="Times New Roman" w:hAnsi="Times New Roman" w:cs="Times New Roman"/>
                <w:b/>
                <w:bCs/>
              </w:rPr>
            </w:pPr>
            <w:r w:rsidRPr="007245B0">
              <w:rPr>
                <w:rFonts w:ascii="Times New Roman" w:hAnsi="Times New Roman" w:cs="Times New Roman"/>
                <w:b/>
                <w:bCs/>
              </w:rPr>
              <w:t>2</w:t>
            </w:r>
          </w:p>
        </w:tc>
        <w:tc>
          <w:tcPr>
            <w:tcW w:w="0" w:type="auto"/>
            <w:vAlign w:val="center"/>
          </w:tcPr>
          <w:p w14:paraId="28DEF796" w14:textId="77777777" w:rsidR="00BA4141" w:rsidRPr="007245B0" w:rsidRDefault="00BA4141" w:rsidP="00537910">
            <w:pPr>
              <w:pStyle w:val="NoSpacing"/>
              <w:jc w:val="center"/>
              <w:rPr>
                <w:rFonts w:ascii="Times New Roman" w:hAnsi="Times New Roman" w:cs="Times New Roman"/>
                <w:b/>
                <w:bCs/>
              </w:rPr>
            </w:pPr>
            <w:r w:rsidRPr="007245B0">
              <w:rPr>
                <w:rFonts w:ascii="Times New Roman" w:hAnsi="Times New Roman" w:cs="Times New Roman"/>
                <w:b/>
                <w:bCs/>
              </w:rPr>
              <w:t>3</w:t>
            </w:r>
          </w:p>
        </w:tc>
        <w:tc>
          <w:tcPr>
            <w:tcW w:w="0" w:type="auto"/>
            <w:vAlign w:val="center"/>
          </w:tcPr>
          <w:p w14:paraId="0CCD0991" w14:textId="77777777" w:rsidR="00BA4141" w:rsidRPr="007245B0" w:rsidRDefault="00BA4141" w:rsidP="00537910">
            <w:pPr>
              <w:pStyle w:val="NoSpacing"/>
              <w:jc w:val="center"/>
              <w:rPr>
                <w:rFonts w:ascii="Times New Roman" w:hAnsi="Times New Roman" w:cs="Times New Roman"/>
                <w:b/>
                <w:bCs/>
              </w:rPr>
            </w:pPr>
            <w:r w:rsidRPr="007245B0">
              <w:rPr>
                <w:rFonts w:ascii="Times New Roman" w:hAnsi="Times New Roman" w:cs="Times New Roman"/>
                <w:b/>
                <w:bCs/>
              </w:rPr>
              <w:t>4</w:t>
            </w:r>
          </w:p>
        </w:tc>
      </w:tr>
      <w:tr w:rsidR="00BA4141" w:rsidRPr="007245B0" w14:paraId="363F8B65" w14:textId="77777777" w:rsidTr="00537910">
        <w:trPr>
          <w:trHeight w:val="445"/>
        </w:trPr>
        <w:tc>
          <w:tcPr>
            <w:tcW w:w="0" w:type="auto"/>
            <w:hideMark/>
          </w:tcPr>
          <w:p w14:paraId="35647E08" w14:textId="77777777" w:rsidR="00BA4141" w:rsidRPr="007245B0" w:rsidRDefault="00BA4141" w:rsidP="00B77C0B">
            <w:pPr>
              <w:pStyle w:val="NoSpacing"/>
              <w:rPr>
                <w:rFonts w:ascii="Times New Roman" w:hAnsi="Times New Roman" w:cs="Times New Roman"/>
              </w:rPr>
            </w:pPr>
            <w:r w:rsidRPr="007245B0">
              <w:rPr>
                <w:rFonts w:ascii="Times New Roman" w:hAnsi="Times New Roman" w:cs="Times New Roman"/>
              </w:rPr>
              <w:t>Andhra Pradesh</w:t>
            </w:r>
          </w:p>
        </w:tc>
        <w:tc>
          <w:tcPr>
            <w:tcW w:w="0" w:type="auto"/>
            <w:vAlign w:val="center"/>
            <w:hideMark/>
          </w:tcPr>
          <w:p w14:paraId="6B43D0A5" w14:textId="77777777" w:rsidR="00BA4141" w:rsidRPr="007245B0" w:rsidRDefault="00BA4141" w:rsidP="00537910">
            <w:pPr>
              <w:pStyle w:val="NoSpacing"/>
              <w:jc w:val="center"/>
              <w:rPr>
                <w:rFonts w:ascii="Times New Roman" w:hAnsi="Times New Roman" w:cs="Times New Roman"/>
              </w:rPr>
            </w:pPr>
            <w:r w:rsidRPr="007245B0">
              <w:rPr>
                <w:rFonts w:ascii="Times New Roman" w:hAnsi="Times New Roman" w:cs="Times New Roman"/>
              </w:rPr>
              <w:t>2.2</w:t>
            </w:r>
          </w:p>
        </w:tc>
        <w:tc>
          <w:tcPr>
            <w:tcW w:w="0" w:type="auto"/>
            <w:vAlign w:val="center"/>
            <w:hideMark/>
          </w:tcPr>
          <w:p w14:paraId="23A83EAF" w14:textId="77777777" w:rsidR="00BA4141" w:rsidRPr="007245B0" w:rsidRDefault="00BA4141" w:rsidP="00537910">
            <w:pPr>
              <w:pStyle w:val="NoSpacing"/>
              <w:jc w:val="center"/>
              <w:rPr>
                <w:rFonts w:ascii="Times New Roman" w:hAnsi="Times New Roman" w:cs="Times New Roman"/>
              </w:rPr>
            </w:pPr>
            <w:r w:rsidRPr="007245B0">
              <w:rPr>
                <w:rFonts w:ascii="Times New Roman" w:hAnsi="Times New Roman" w:cs="Times New Roman"/>
              </w:rPr>
              <w:t>4.2</w:t>
            </w:r>
          </w:p>
        </w:tc>
        <w:tc>
          <w:tcPr>
            <w:tcW w:w="0" w:type="auto"/>
            <w:vAlign w:val="center"/>
            <w:hideMark/>
          </w:tcPr>
          <w:p w14:paraId="0879730E" w14:textId="77777777" w:rsidR="00BA4141" w:rsidRPr="007245B0" w:rsidRDefault="00BA4141" w:rsidP="00537910">
            <w:pPr>
              <w:pStyle w:val="NoSpacing"/>
              <w:jc w:val="center"/>
              <w:rPr>
                <w:rFonts w:ascii="Times New Roman" w:hAnsi="Times New Roman" w:cs="Times New Roman"/>
              </w:rPr>
            </w:pPr>
            <w:r w:rsidRPr="007245B0">
              <w:rPr>
                <w:rFonts w:ascii="Times New Roman" w:hAnsi="Times New Roman" w:cs="Times New Roman"/>
              </w:rPr>
              <w:t>6.0</w:t>
            </w:r>
          </w:p>
        </w:tc>
      </w:tr>
      <w:tr w:rsidR="00BA4141" w:rsidRPr="007245B0" w14:paraId="4EEAD484" w14:textId="77777777" w:rsidTr="00537910">
        <w:trPr>
          <w:trHeight w:val="470"/>
        </w:trPr>
        <w:tc>
          <w:tcPr>
            <w:tcW w:w="0" w:type="auto"/>
            <w:hideMark/>
          </w:tcPr>
          <w:p w14:paraId="3ED37B15" w14:textId="77777777" w:rsidR="00BA4141" w:rsidRPr="007245B0" w:rsidRDefault="00BA4141" w:rsidP="00B77C0B">
            <w:pPr>
              <w:pStyle w:val="NoSpacing"/>
              <w:rPr>
                <w:rFonts w:ascii="Times New Roman" w:hAnsi="Times New Roman" w:cs="Times New Roman"/>
              </w:rPr>
            </w:pPr>
            <w:r w:rsidRPr="007245B0">
              <w:rPr>
                <w:rFonts w:ascii="Times New Roman" w:hAnsi="Times New Roman" w:cs="Times New Roman"/>
              </w:rPr>
              <w:t>Assam</w:t>
            </w:r>
          </w:p>
        </w:tc>
        <w:tc>
          <w:tcPr>
            <w:tcW w:w="0" w:type="auto"/>
            <w:vAlign w:val="center"/>
            <w:hideMark/>
          </w:tcPr>
          <w:p w14:paraId="5225A2DA" w14:textId="77777777" w:rsidR="00BA4141" w:rsidRPr="007245B0" w:rsidRDefault="00BA4141" w:rsidP="00537910">
            <w:pPr>
              <w:pStyle w:val="NoSpacing"/>
              <w:jc w:val="center"/>
              <w:rPr>
                <w:rFonts w:ascii="Times New Roman" w:hAnsi="Times New Roman" w:cs="Times New Roman"/>
              </w:rPr>
            </w:pPr>
            <w:r w:rsidRPr="007245B0">
              <w:rPr>
                <w:rFonts w:ascii="Times New Roman" w:hAnsi="Times New Roman" w:cs="Times New Roman"/>
              </w:rPr>
              <w:t>0.2</w:t>
            </w:r>
          </w:p>
        </w:tc>
        <w:tc>
          <w:tcPr>
            <w:tcW w:w="0" w:type="auto"/>
            <w:vAlign w:val="center"/>
            <w:hideMark/>
          </w:tcPr>
          <w:p w14:paraId="08E57751" w14:textId="77777777" w:rsidR="00BA4141" w:rsidRPr="007245B0" w:rsidRDefault="00BA4141" w:rsidP="00537910">
            <w:pPr>
              <w:pStyle w:val="NoSpacing"/>
              <w:jc w:val="center"/>
              <w:rPr>
                <w:rFonts w:ascii="Times New Roman" w:hAnsi="Times New Roman" w:cs="Times New Roman"/>
              </w:rPr>
            </w:pPr>
            <w:r w:rsidRPr="007245B0">
              <w:rPr>
                <w:rFonts w:ascii="Times New Roman" w:hAnsi="Times New Roman" w:cs="Times New Roman"/>
              </w:rPr>
              <w:t>0.2</w:t>
            </w:r>
          </w:p>
        </w:tc>
        <w:tc>
          <w:tcPr>
            <w:tcW w:w="0" w:type="auto"/>
            <w:vAlign w:val="center"/>
            <w:hideMark/>
          </w:tcPr>
          <w:p w14:paraId="661F040A" w14:textId="77777777" w:rsidR="00BA4141" w:rsidRPr="007245B0" w:rsidRDefault="00BA4141" w:rsidP="00537910">
            <w:pPr>
              <w:pStyle w:val="NoSpacing"/>
              <w:jc w:val="center"/>
              <w:rPr>
                <w:rFonts w:ascii="Times New Roman" w:hAnsi="Times New Roman" w:cs="Times New Roman"/>
              </w:rPr>
            </w:pPr>
            <w:r w:rsidRPr="007245B0">
              <w:rPr>
                <w:rFonts w:ascii="Times New Roman" w:hAnsi="Times New Roman" w:cs="Times New Roman"/>
              </w:rPr>
              <w:t>1.1</w:t>
            </w:r>
          </w:p>
        </w:tc>
      </w:tr>
      <w:tr w:rsidR="00BA4141" w:rsidRPr="007245B0" w14:paraId="526B9B3B" w14:textId="77777777" w:rsidTr="00537910">
        <w:trPr>
          <w:trHeight w:val="445"/>
        </w:trPr>
        <w:tc>
          <w:tcPr>
            <w:tcW w:w="0" w:type="auto"/>
            <w:hideMark/>
          </w:tcPr>
          <w:p w14:paraId="21E7A079" w14:textId="77777777" w:rsidR="00BA4141" w:rsidRPr="007245B0" w:rsidRDefault="00BA4141" w:rsidP="00B77C0B">
            <w:pPr>
              <w:pStyle w:val="NoSpacing"/>
              <w:rPr>
                <w:rFonts w:ascii="Times New Roman" w:hAnsi="Times New Roman" w:cs="Times New Roman"/>
              </w:rPr>
            </w:pPr>
            <w:r w:rsidRPr="007245B0">
              <w:rPr>
                <w:rFonts w:ascii="Times New Roman" w:hAnsi="Times New Roman" w:cs="Times New Roman"/>
              </w:rPr>
              <w:t>Bihar</w:t>
            </w:r>
          </w:p>
        </w:tc>
        <w:tc>
          <w:tcPr>
            <w:tcW w:w="0" w:type="auto"/>
            <w:vAlign w:val="center"/>
            <w:hideMark/>
          </w:tcPr>
          <w:p w14:paraId="4E041799" w14:textId="77777777" w:rsidR="00BA4141" w:rsidRPr="007245B0" w:rsidRDefault="00BA4141" w:rsidP="00537910">
            <w:pPr>
              <w:pStyle w:val="NoSpacing"/>
              <w:jc w:val="center"/>
              <w:rPr>
                <w:rFonts w:ascii="Times New Roman" w:hAnsi="Times New Roman" w:cs="Times New Roman"/>
              </w:rPr>
            </w:pPr>
            <w:r w:rsidRPr="007245B0">
              <w:rPr>
                <w:rFonts w:ascii="Times New Roman" w:hAnsi="Times New Roman" w:cs="Times New Roman"/>
              </w:rPr>
              <w:t>0.8</w:t>
            </w:r>
          </w:p>
        </w:tc>
        <w:tc>
          <w:tcPr>
            <w:tcW w:w="0" w:type="auto"/>
            <w:vAlign w:val="center"/>
            <w:hideMark/>
          </w:tcPr>
          <w:p w14:paraId="0E0A3A07" w14:textId="77777777" w:rsidR="00BA4141" w:rsidRPr="007245B0" w:rsidRDefault="00BA4141" w:rsidP="00537910">
            <w:pPr>
              <w:pStyle w:val="NoSpacing"/>
              <w:jc w:val="center"/>
              <w:rPr>
                <w:rFonts w:ascii="Times New Roman" w:hAnsi="Times New Roman" w:cs="Times New Roman"/>
              </w:rPr>
            </w:pPr>
            <w:r w:rsidRPr="007245B0">
              <w:rPr>
                <w:rFonts w:ascii="Times New Roman" w:hAnsi="Times New Roman" w:cs="Times New Roman"/>
              </w:rPr>
              <w:t>Neg.</w:t>
            </w:r>
          </w:p>
        </w:tc>
        <w:tc>
          <w:tcPr>
            <w:tcW w:w="0" w:type="auto"/>
            <w:vAlign w:val="center"/>
            <w:hideMark/>
          </w:tcPr>
          <w:p w14:paraId="3960D22B" w14:textId="77777777" w:rsidR="00BA4141" w:rsidRPr="007245B0" w:rsidRDefault="00BA4141" w:rsidP="00537910">
            <w:pPr>
              <w:pStyle w:val="NoSpacing"/>
              <w:jc w:val="center"/>
              <w:rPr>
                <w:rFonts w:ascii="Times New Roman" w:hAnsi="Times New Roman" w:cs="Times New Roman"/>
              </w:rPr>
            </w:pPr>
            <w:r w:rsidRPr="007245B0">
              <w:rPr>
                <w:rFonts w:ascii="Times New Roman" w:hAnsi="Times New Roman" w:cs="Times New Roman"/>
              </w:rPr>
              <w:t>1.3</w:t>
            </w:r>
          </w:p>
        </w:tc>
      </w:tr>
      <w:tr w:rsidR="00BA4141" w:rsidRPr="007245B0" w14:paraId="7FB0FAE9" w14:textId="77777777" w:rsidTr="00537910">
        <w:trPr>
          <w:trHeight w:val="470"/>
        </w:trPr>
        <w:tc>
          <w:tcPr>
            <w:tcW w:w="0" w:type="auto"/>
            <w:hideMark/>
          </w:tcPr>
          <w:p w14:paraId="052EF796" w14:textId="77777777" w:rsidR="00BA4141" w:rsidRPr="007245B0" w:rsidRDefault="00BA4141" w:rsidP="00B77C0B">
            <w:pPr>
              <w:pStyle w:val="NoSpacing"/>
              <w:rPr>
                <w:rFonts w:ascii="Times New Roman" w:hAnsi="Times New Roman" w:cs="Times New Roman"/>
              </w:rPr>
            </w:pPr>
            <w:r w:rsidRPr="007245B0">
              <w:rPr>
                <w:rFonts w:ascii="Times New Roman" w:hAnsi="Times New Roman" w:cs="Times New Roman"/>
              </w:rPr>
              <w:t>Gujarat</w:t>
            </w:r>
          </w:p>
        </w:tc>
        <w:tc>
          <w:tcPr>
            <w:tcW w:w="0" w:type="auto"/>
            <w:vAlign w:val="center"/>
            <w:hideMark/>
          </w:tcPr>
          <w:p w14:paraId="75DCDE1A" w14:textId="77777777" w:rsidR="00BA4141" w:rsidRPr="007245B0" w:rsidRDefault="00BA4141" w:rsidP="00537910">
            <w:pPr>
              <w:pStyle w:val="NoSpacing"/>
              <w:jc w:val="center"/>
              <w:rPr>
                <w:rFonts w:ascii="Times New Roman" w:hAnsi="Times New Roman" w:cs="Times New Roman"/>
              </w:rPr>
            </w:pPr>
            <w:r w:rsidRPr="007245B0">
              <w:rPr>
                <w:rFonts w:ascii="Times New Roman" w:hAnsi="Times New Roman" w:cs="Times New Roman"/>
              </w:rPr>
              <w:t>4.5</w:t>
            </w:r>
          </w:p>
        </w:tc>
        <w:tc>
          <w:tcPr>
            <w:tcW w:w="0" w:type="auto"/>
            <w:vAlign w:val="center"/>
            <w:hideMark/>
          </w:tcPr>
          <w:p w14:paraId="35417685" w14:textId="77777777" w:rsidR="00BA4141" w:rsidRPr="007245B0" w:rsidRDefault="00BA4141" w:rsidP="00537910">
            <w:pPr>
              <w:pStyle w:val="NoSpacing"/>
              <w:jc w:val="center"/>
              <w:rPr>
                <w:rFonts w:ascii="Times New Roman" w:hAnsi="Times New Roman" w:cs="Times New Roman"/>
              </w:rPr>
            </w:pPr>
            <w:r w:rsidRPr="007245B0">
              <w:rPr>
                <w:rFonts w:ascii="Times New Roman" w:hAnsi="Times New Roman" w:cs="Times New Roman"/>
              </w:rPr>
              <w:t>3.7</w:t>
            </w:r>
          </w:p>
        </w:tc>
        <w:tc>
          <w:tcPr>
            <w:tcW w:w="0" w:type="auto"/>
            <w:vAlign w:val="center"/>
            <w:hideMark/>
          </w:tcPr>
          <w:p w14:paraId="2B6C9586" w14:textId="77777777" w:rsidR="00BA4141" w:rsidRPr="007245B0" w:rsidRDefault="00BA4141" w:rsidP="00537910">
            <w:pPr>
              <w:pStyle w:val="NoSpacing"/>
              <w:jc w:val="center"/>
              <w:rPr>
                <w:rFonts w:ascii="Times New Roman" w:hAnsi="Times New Roman" w:cs="Times New Roman"/>
              </w:rPr>
            </w:pPr>
            <w:r w:rsidRPr="007245B0">
              <w:rPr>
                <w:rFonts w:ascii="Times New Roman" w:hAnsi="Times New Roman" w:cs="Times New Roman"/>
              </w:rPr>
              <w:t>4.8</w:t>
            </w:r>
          </w:p>
        </w:tc>
      </w:tr>
      <w:tr w:rsidR="00BA4141" w:rsidRPr="007245B0" w14:paraId="2A857011" w14:textId="77777777" w:rsidTr="00537910">
        <w:trPr>
          <w:trHeight w:val="445"/>
        </w:trPr>
        <w:tc>
          <w:tcPr>
            <w:tcW w:w="0" w:type="auto"/>
            <w:hideMark/>
          </w:tcPr>
          <w:p w14:paraId="4396B68E" w14:textId="77777777" w:rsidR="00BA4141" w:rsidRPr="007245B0" w:rsidRDefault="00BA4141" w:rsidP="00B77C0B">
            <w:pPr>
              <w:pStyle w:val="NoSpacing"/>
              <w:rPr>
                <w:rFonts w:ascii="Times New Roman" w:hAnsi="Times New Roman" w:cs="Times New Roman"/>
              </w:rPr>
            </w:pPr>
            <w:r w:rsidRPr="007245B0">
              <w:rPr>
                <w:rFonts w:ascii="Times New Roman" w:hAnsi="Times New Roman" w:cs="Times New Roman"/>
              </w:rPr>
              <w:t>Haryana</w:t>
            </w:r>
          </w:p>
        </w:tc>
        <w:tc>
          <w:tcPr>
            <w:tcW w:w="0" w:type="auto"/>
            <w:vAlign w:val="center"/>
            <w:hideMark/>
          </w:tcPr>
          <w:p w14:paraId="07E62D72" w14:textId="77777777" w:rsidR="00BA4141" w:rsidRPr="007245B0" w:rsidRDefault="00BA4141" w:rsidP="00537910">
            <w:pPr>
              <w:pStyle w:val="NoSpacing"/>
              <w:jc w:val="center"/>
              <w:rPr>
                <w:rFonts w:ascii="Times New Roman" w:hAnsi="Times New Roman" w:cs="Times New Roman"/>
              </w:rPr>
            </w:pPr>
            <w:r w:rsidRPr="007245B0">
              <w:rPr>
                <w:rFonts w:ascii="Times New Roman" w:hAnsi="Times New Roman" w:cs="Times New Roman"/>
              </w:rPr>
              <w:t>..</w:t>
            </w:r>
          </w:p>
        </w:tc>
        <w:tc>
          <w:tcPr>
            <w:tcW w:w="0" w:type="auto"/>
            <w:vAlign w:val="center"/>
            <w:hideMark/>
          </w:tcPr>
          <w:p w14:paraId="246A294F" w14:textId="77777777" w:rsidR="00BA4141" w:rsidRPr="007245B0" w:rsidRDefault="00BA4141" w:rsidP="00537910">
            <w:pPr>
              <w:pStyle w:val="NoSpacing"/>
              <w:jc w:val="center"/>
              <w:rPr>
                <w:rFonts w:ascii="Times New Roman" w:hAnsi="Times New Roman" w:cs="Times New Roman"/>
              </w:rPr>
            </w:pPr>
            <w:r w:rsidRPr="007245B0">
              <w:rPr>
                <w:rFonts w:ascii="Times New Roman" w:hAnsi="Times New Roman" w:cs="Times New Roman"/>
              </w:rPr>
              <w:t>N.A.</w:t>
            </w:r>
          </w:p>
        </w:tc>
        <w:tc>
          <w:tcPr>
            <w:tcW w:w="0" w:type="auto"/>
            <w:vAlign w:val="center"/>
            <w:hideMark/>
          </w:tcPr>
          <w:p w14:paraId="17BF8CB3" w14:textId="77777777" w:rsidR="00BA4141" w:rsidRPr="007245B0" w:rsidRDefault="00BA4141" w:rsidP="00537910">
            <w:pPr>
              <w:pStyle w:val="NoSpacing"/>
              <w:jc w:val="center"/>
              <w:rPr>
                <w:rFonts w:ascii="Times New Roman" w:hAnsi="Times New Roman" w:cs="Times New Roman"/>
              </w:rPr>
            </w:pPr>
            <w:r w:rsidRPr="007245B0">
              <w:rPr>
                <w:rFonts w:ascii="Times New Roman" w:hAnsi="Times New Roman" w:cs="Times New Roman"/>
              </w:rPr>
              <w:t>N.A.</w:t>
            </w:r>
          </w:p>
        </w:tc>
      </w:tr>
      <w:tr w:rsidR="00BA4141" w:rsidRPr="007245B0" w14:paraId="142A3080" w14:textId="77777777" w:rsidTr="00537910">
        <w:trPr>
          <w:trHeight w:val="470"/>
        </w:trPr>
        <w:tc>
          <w:tcPr>
            <w:tcW w:w="0" w:type="auto"/>
            <w:hideMark/>
          </w:tcPr>
          <w:p w14:paraId="5C290920" w14:textId="77777777" w:rsidR="00BA4141" w:rsidRPr="007245B0" w:rsidRDefault="00BA4141" w:rsidP="00B77C0B">
            <w:pPr>
              <w:pStyle w:val="NoSpacing"/>
              <w:rPr>
                <w:rFonts w:ascii="Times New Roman" w:hAnsi="Times New Roman" w:cs="Times New Roman"/>
              </w:rPr>
            </w:pPr>
            <w:r w:rsidRPr="007245B0">
              <w:rPr>
                <w:rFonts w:ascii="Times New Roman" w:hAnsi="Times New Roman" w:cs="Times New Roman"/>
              </w:rPr>
              <w:t>Jammu &amp; Kashmir</w:t>
            </w:r>
          </w:p>
        </w:tc>
        <w:tc>
          <w:tcPr>
            <w:tcW w:w="0" w:type="auto"/>
            <w:vAlign w:val="center"/>
            <w:hideMark/>
          </w:tcPr>
          <w:p w14:paraId="2D4FFF5F" w14:textId="77777777" w:rsidR="00BA4141" w:rsidRPr="007245B0" w:rsidRDefault="00BA4141" w:rsidP="00537910">
            <w:pPr>
              <w:pStyle w:val="NoSpacing"/>
              <w:jc w:val="center"/>
              <w:rPr>
                <w:rFonts w:ascii="Times New Roman" w:hAnsi="Times New Roman" w:cs="Times New Roman"/>
              </w:rPr>
            </w:pPr>
            <w:r w:rsidRPr="007245B0">
              <w:rPr>
                <w:rFonts w:ascii="Times New Roman" w:hAnsi="Times New Roman" w:cs="Times New Roman"/>
              </w:rPr>
              <w:t>..</w:t>
            </w:r>
          </w:p>
        </w:tc>
        <w:tc>
          <w:tcPr>
            <w:tcW w:w="0" w:type="auto"/>
            <w:vAlign w:val="center"/>
            <w:hideMark/>
          </w:tcPr>
          <w:p w14:paraId="7104A4D1" w14:textId="77777777" w:rsidR="00BA4141" w:rsidRPr="007245B0" w:rsidRDefault="00BA4141" w:rsidP="00537910">
            <w:pPr>
              <w:pStyle w:val="NoSpacing"/>
              <w:jc w:val="center"/>
              <w:rPr>
                <w:rFonts w:ascii="Times New Roman" w:hAnsi="Times New Roman" w:cs="Times New Roman"/>
              </w:rPr>
            </w:pPr>
            <w:r w:rsidRPr="007245B0">
              <w:rPr>
                <w:rFonts w:ascii="Times New Roman" w:hAnsi="Times New Roman" w:cs="Times New Roman"/>
              </w:rPr>
              <w:t>..</w:t>
            </w:r>
          </w:p>
        </w:tc>
        <w:tc>
          <w:tcPr>
            <w:tcW w:w="0" w:type="auto"/>
            <w:vAlign w:val="center"/>
            <w:hideMark/>
          </w:tcPr>
          <w:p w14:paraId="5A33E6CD" w14:textId="77777777" w:rsidR="00BA4141" w:rsidRPr="007245B0" w:rsidRDefault="00BA4141" w:rsidP="00537910">
            <w:pPr>
              <w:pStyle w:val="NoSpacing"/>
              <w:jc w:val="center"/>
              <w:rPr>
                <w:rFonts w:ascii="Times New Roman" w:hAnsi="Times New Roman" w:cs="Times New Roman"/>
              </w:rPr>
            </w:pPr>
            <w:r w:rsidRPr="007245B0">
              <w:rPr>
                <w:rFonts w:ascii="Times New Roman" w:hAnsi="Times New Roman" w:cs="Times New Roman"/>
              </w:rPr>
              <w:t>..</w:t>
            </w:r>
          </w:p>
        </w:tc>
      </w:tr>
      <w:tr w:rsidR="00BA4141" w:rsidRPr="007245B0" w14:paraId="54BF12DB" w14:textId="77777777" w:rsidTr="00537910">
        <w:trPr>
          <w:trHeight w:val="445"/>
        </w:trPr>
        <w:tc>
          <w:tcPr>
            <w:tcW w:w="0" w:type="auto"/>
            <w:hideMark/>
          </w:tcPr>
          <w:p w14:paraId="319352CD" w14:textId="77777777" w:rsidR="00BA4141" w:rsidRPr="007245B0" w:rsidRDefault="00BA4141" w:rsidP="00B77C0B">
            <w:pPr>
              <w:pStyle w:val="NoSpacing"/>
              <w:rPr>
                <w:rFonts w:ascii="Times New Roman" w:hAnsi="Times New Roman" w:cs="Times New Roman"/>
              </w:rPr>
            </w:pPr>
            <w:r w:rsidRPr="007245B0">
              <w:rPr>
                <w:rFonts w:ascii="Times New Roman" w:hAnsi="Times New Roman" w:cs="Times New Roman"/>
              </w:rPr>
              <w:t>Kerala</w:t>
            </w:r>
          </w:p>
        </w:tc>
        <w:tc>
          <w:tcPr>
            <w:tcW w:w="0" w:type="auto"/>
            <w:vAlign w:val="center"/>
            <w:hideMark/>
          </w:tcPr>
          <w:p w14:paraId="7BDC5411" w14:textId="77777777" w:rsidR="00BA4141" w:rsidRPr="007245B0" w:rsidRDefault="00BA4141" w:rsidP="00537910">
            <w:pPr>
              <w:pStyle w:val="NoSpacing"/>
              <w:jc w:val="center"/>
              <w:rPr>
                <w:rFonts w:ascii="Times New Roman" w:hAnsi="Times New Roman" w:cs="Times New Roman"/>
              </w:rPr>
            </w:pPr>
            <w:r w:rsidRPr="007245B0">
              <w:rPr>
                <w:rFonts w:ascii="Times New Roman" w:hAnsi="Times New Roman" w:cs="Times New Roman"/>
              </w:rPr>
              <w:t>4.2</w:t>
            </w:r>
          </w:p>
        </w:tc>
        <w:tc>
          <w:tcPr>
            <w:tcW w:w="0" w:type="auto"/>
            <w:vAlign w:val="center"/>
            <w:hideMark/>
          </w:tcPr>
          <w:p w14:paraId="4E9208F6" w14:textId="77777777" w:rsidR="00BA4141" w:rsidRPr="007245B0" w:rsidRDefault="00BA4141" w:rsidP="00537910">
            <w:pPr>
              <w:pStyle w:val="NoSpacing"/>
              <w:jc w:val="center"/>
              <w:rPr>
                <w:rFonts w:ascii="Times New Roman" w:hAnsi="Times New Roman" w:cs="Times New Roman"/>
              </w:rPr>
            </w:pPr>
            <w:r w:rsidRPr="007245B0">
              <w:rPr>
                <w:rFonts w:ascii="Times New Roman" w:hAnsi="Times New Roman" w:cs="Times New Roman"/>
              </w:rPr>
              <w:t>3.0</w:t>
            </w:r>
          </w:p>
        </w:tc>
        <w:tc>
          <w:tcPr>
            <w:tcW w:w="0" w:type="auto"/>
            <w:vAlign w:val="center"/>
            <w:hideMark/>
          </w:tcPr>
          <w:p w14:paraId="536E97B6" w14:textId="77777777" w:rsidR="00BA4141" w:rsidRPr="007245B0" w:rsidRDefault="00BA4141" w:rsidP="00537910">
            <w:pPr>
              <w:pStyle w:val="NoSpacing"/>
              <w:jc w:val="center"/>
              <w:rPr>
                <w:rFonts w:ascii="Times New Roman" w:hAnsi="Times New Roman" w:cs="Times New Roman"/>
              </w:rPr>
            </w:pPr>
            <w:r w:rsidRPr="007245B0">
              <w:rPr>
                <w:rFonts w:ascii="Times New Roman" w:hAnsi="Times New Roman" w:cs="Times New Roman"/>
              </w:rPr>
              <w:t>3.2</w:t>
            </w:r>
          </w:p>
        </w:tc>
      </w:tr>
      <w:tr w:rsidR="00BA4141" w:rsidRPr="007245B0" w14:paraId="116994FB" w14:textId="77777777" w:rsidTr="00537910">
        <w:trPr>
          <w:trHeight w:val="470"/>
        </w:trPr>
        <w:tc>
          <w:tcPr>
            <w:tcW w:w="0" w:type="auto"/>
            <w:hideMark/>
          </w:tcPr>
          <w:p w14:paraId="4143516C" w14:textId="77777777" w:rsidR="00BA4141" w:rsidRPr="007245B0" w:rsidRDefault="00BA4141" w:rsidP="00B77C0B">
            <w:pPr>
              <w:pStyle w:val="NoSpacing"/>
              <w:rPr>
                <w:rFonts w:ascii="Times New Roman" w:hAnsi="Times New Roman" w:cs="Times New Roman"/>
              </w:rPr>
            </w:pPr>
            <w:r w:rsidRPr="007245B0">
              <w:rPr>
                <w:rFonts w:ascii="Times New Roman" w:hAnsi="Times New Roman" w:cs="Times New Roman"/>
              </w:rPr>
              <w:t>Madhya Pradesh</w:t>
            </w:r>
          </w:p>
        </w:tc>
        <w:tc>
          <w:tcPr>
            <w:tcW w:w="0" w:type="auto"/>
            <w:vAlign w:val="center"/>
            <w:hideMark/>
          </w:tcPr>
          <w:p w14:paraId="4E976B5C" w14:textId="77777777" w:rsidR="00BA4141" w:rsidRPr="007245B0" w:rsidRDefault="00BA4141" w:rsidP="00537910">
            <w:pPr>
              <w:pStyle w:val="NoSpacing"/>
              <w:jc w:val="center"/>
              <w:rPr>
                <w:rFonts w:ascii="Times New Roman" w:hAnsi="Times New Roman" w:cs="Times New Roman"/>
              </w:rPr>
            </w:pPr>
            <w:r w:rsidRPr="007245B0">
              <w:rPr>
                <w:rFonts w:ascii="Times New Roman" w:hAnsi="Times New Roman" w:cs="Times New Roman"/>
              </w:rPr>
              <w:t>5.6</w:t>
            </w:r>
          </w:p>
        </w:tc>
        <w:tc>
          <w:tcPr>
            <w:tcW w:w="0" w:type="auto"/>
            <w:vAlign w:val="center"/>
            <w:hideMark/>
          </w:tcPr>
          <w:p w14:paraId="21FE7B12" w14:textId="77777777" w:rsidR="00BA4141" w:rsidRPr="007245B0" w:rsidRDefault="00BA4141" w:rsidP="00537910">
            <w:pPr>
              <w:pStyle w:val="NoSpacing"/>
              <w:jc w:val="center"/>
              <w:rPr>
                <w:rFonts w:ascii="Times New Roman" w:hAnsi="Times New Roman" w:cs="Times New Roman"/>
              </w:rPr>
            </w:pPr>
            <w:r w:rsidRPr="007245B0">
              <w:rPr>
                <w:rFonts w:ascii="Times New Roman" w:hAnsi="Times New Roman" w:cs="Times New Roman"/>
              </w:rPr>
              <w:t>4.4</w:t>
            </w:r>
          </w:p>
        </w:tc>
        <w:tc>
          <w:tcPr>
            <w:tcW w:w="0" w:type="auto"/>
            <w:vAlign w:val="center"/>
            <w:hideMark/>
          </w:tcPr>
          <w:p w14:paraId="3AC4226D" w14:textId="77777777" w:rsidR="00BA4141" w:rsidRPr="007245B0" w:rsidRDefault="00BA4141" w:rsidP="00537910">
            <w:pPr>
              <w:pStyle w:val="NoSpacing"/>
              <w:jc w:val="center"/>
              <w:rPr>
                <w:rFonts w:ascii="Times New Roman" w:hAnsi="Times New Roman" w:cs="Times New Roman"/>
              </w:rPr>
            </w:pPr>
            <w:r w:rsidRPr="007245B0">
              <w:rPr>
                <w:rFonts w:ascii="Times New Roman" w:hAnsi="Times New Roman" w:cs="Times New Roman"/>
              </w:rPr>
              <w:t>5.6</w:t>
            </w:r>
          </w:p>
        </w:tc>
      </w:tr>
      <w:tr w:rsidR="00BA4141" w:rsidRPr="007245B0" w14:paraId="64A87106" w14:textId="77777777" w:rsidTr="00537910">
        <w:trPr>
          <w:trHeight w:val="445"/>
        </w:trPr>
        <w:tc>
          <w:tcPr>
            <w:tcW w:w="0" w:type="auto"/>
            <w:hideMark/>
          </w:tcPr>
          <w:p w14:paraId="1A850B72" w14:textId="77777777" w:rsidR="00BA4141" w:rsidRPr="007245B0" w:rsidRDefault="00BA4141" w:rsidP="00B77C0B">
            <w:pPr>
              <w:pStyle w:val="NoSpacing"/>
              <w:rPr>
                <w:rFonts w:ascii="Times New Roman" w:hAnsi="Times New Roman" w:cs="Times New Roman"/>
              </w:rPr>
            </w:pPr>
            <w:r w:rsidRPr="007245B0">
              <w:rPr>
                <w:rFonts w:ascii="Times New Roman" w:hAnsi="Times New Roman" w:cs="Times New Roman"/>
              </w:rPr>
              <w:t>Maharashtra</w:t>
            </w:r>
          </w:p>
        </w:tc>
        <w:tc>
          <w:tcPr>
            <w:tcW w:w="0" w:type="auto"/>
            <w:vAlign w:val="center"/>
            <w:hideMark/>
          </w:tcPr>
          <w:p w14:paraId="7D14D8F8" w14:textId="77777777" w:rsidR="00BA4141" w:rsidRPr="007245B0" w:rsidRDefault="00BA4141" w:rsidP="00537910">
            <w:pPr>
              <w:pStyle w:val="NoSpacing"/>
              <w:jc w:val="center"/>
              <w:rPr>
                <w:rFonts w:ascii="Times New Roman" w:hAnsi="Times New Roman" w:cs="Times New Roman"/>
              </w:rPr>
            </w:pPr>
            <w:r w:rsidRPr="007245B0">
              <w:rPr>
                <w:rFonts w:ascii="Times New Roman" w:hAnsi="Times New Roman" w:cs="Times New Roman"/>
              </w:rPr>
              <w:t>6.3</w:t>
            </w:r>
          </w:p>
        </w:tc>
        <w:tc>
          <w:tcPr>
            <w:tcW w:w="0" w:type="auto"/>
            <w:vAlign w:val="center"/>
            <w:hideMark/>
          </w:tcPr>
          <w:p w14:paraId="23D4AA04" w14:textId="77777777" w:rsidR="00BA4141" w:rsidRPr="007245B0" w:rsidRDefault="00BA4141" w:rsidP="00537910">
            <w:pPr>
              <w:pStyle w:val="NoSpacing"/>
              <w:jc w:val="center"/>
              <w:rPr>
                <w:rFonts w:ascii="Times New Roman" w:hAnsi="Times New Roman" w:cs="Times New Roman"/>
              </w:rPr>
            </w:pPr>
            <w:r w:rsidRPr="007245B0">
              <w:rPr>
                <w:rFonts w:ascii="Times New Roman" w:hAnsi="Times New Roman" w:cs="Times New Roman"/>
              </w:rPr>
              <w:t>5.0</w:t>
            </w:r>
          </w:p>
        </w:tc>
        <w:tc>
          <w:tcPr>
            <w:tcW w:w="0" w:type="auto"/>
            <w:vAlign w:val="center"/>
            <w:hideMark/>
          </w:tcPr>
          <w:p w14:paraId="308B221D" w14:textId="77777777" w:rsidR="00BA4141" w:rsidRPr="007245B0" w:rsidRDefault="00BA4141" w:rsidP="00537910">
            <w:pPr>
              <w:pStyle w:val="NoSpacing"/>
              <w:jc w:val="center"/>
              <w:rPr>
                <w:rFonts w:ascii="Times New Roman" w:hAnsi="Times New Roman" w:cs="Times New Roman"/>
              </w:rPr>
            </w:pPr>
            <w:r w:rsidRPr="007245B0">
              <w:rPr>
                <w:rFonts w:ascii="Times New Roman" w:hAnsi="Times New Roman" w:cs="Times New Roman"/>
              </w:rPr>
              <w:t>5.1</w:t>
            </w:r>
          </w:p>
        </w:tc>
      </w:tr>
      <w:tr w:rsidR="00BA4141" w:rsidRPr="007245B0" w14:paraId="63EF052D" w14:textId="77777777" w:rsidTr="00537910">
        <w:trPr>
          <w:trHeight w:val="470"/>
        </w:trPr>
        <w:tc>
          <w:tcPr>
            <w:tcW w:w="0" w:type="auto"/>
            <w:hideMark/>
          </w:tcPr>
          <w:p w14:paraId="2D04DFC1" w14:textId="77777777" w:rsidR="00BA4141" w:rsidRPr="007245B0" w:rsidRDefault="00BA4141" w:rsidP="00B77C0B">
            <w:pPr>
              <w:pStyle w:val="NoSpacing"/>
              <w:rPr>
                <w:rFonts w:ascii="Times New Roman" w:hAnsi="Times New Roman" w:cs="Times New Roman"/>
              </w:rPr>
            </w:pPr>
            <w:r w:rsidRPr="007245B0">
              <w:rPr>
                <w:rFonts w:ascii="Times New Roman" w:hAnsi="Times New Roman" w:cs="Times New Roman"/>
              </w:rPr>
              <w:t>Mysore</w:t>
            </w:r>
          </w:p>
        </w:tc>
        <w:tc>
          <w:tcPr>
            <w:tcW w:w="0" w:type="auto"/>
            <w:vAlign w:val="center"/>
            <w:hideMark/>
          </w:tcPr>
          <w:p w14:paraId="2F08AA28" w14:textId="77777777" w:rsidR="00BA4141" w:rsidRPr="007245B0" w:rsidRDefault="00BA4141" w:rsidP="00537910">
            <w:pPr>
              <w:pStyle w:val="NoSpacing"/>
              <w:jc w:val="center"/>
              <w:rPr>
                <w:rFonts w:ascii="Times New Roman" w:hAnsi="Times New Roman" w:cs="Times New Roman"/>
              </w:rPr>
            </w:pPr>
            <w:r w:rsidRPr="007245B0">
              <w:rPr>
                <w:rFonts w:ascii="Times New Roman" w:hAnsi="Times New Roman" w:cs="Times New Roman"/>
              </w:rPr>
              <w:t>9.0</w:t>
            </w:r>
          </w:p>
        </w:tc>
        <w:tc>
          <w:tcPr>
            <w:tcW w:w="0" w:type="auto"/>
            <w:vAlign w:val="center"/>
            <w:hideMark/>
          </w:tcPr>
          <w:p w14:paraId="7A749F76" w14:textId="77777777" w:rsidR="00BA4141" w:rsidRPr="007245B0" w:rsidRDefault="00BA4141" w:rsidP="00537910">
            <w:pPr>
              <w:pStyle w:val="NoSpacing"/>
              <w:jc w:val="center"/>
              <w:rPr>
                <w:rFonts w:ascii="Times New Roman" w:hAnsi="Times New Roman" w:cs="Times New Roman"/>
              </w:rPr>
            </w:pPr>
            <w:r w:rsidRPr="007245B0">
              <w:rPr>
                <w:rFonts w:ascii="Times New Roman" w:hAnsi="Times New Roman" w:cs="Times New Roman"/>
              </w:rPr>
              <w:t>9.6</w:t>
            </w:r>
          </w:p>
        </w:tc>
        <w:tc>
          <w:tcPr>
            <w:tcW w:w="0" w:type="auto"/>
            <w:vAlign w:val="center"/>
            <w:hideMark/>
          </w:tcPr>
          <w:p w14:paraId="67167763" w14:textId="77777777" w:rsidR="00BA4141" w:rsidRPr="007245B0" w:rsidRDefault="00BA4141" w:rsidP="00537910">
            <w:pPr>
              <w:pStyle w:val="NoSpacing"/>
              <w:jc w:val="center"/>
              <w:rPr>
                <w:rFonts w:ascii="Times New Roman" w:hAnsi="Times New Roman" w:cs="Times New Roman"/>
              </w:rPr>
            </w:pPr>
            <w:r w:rsidRPr="007245B0">
              <w:rPr>
                <w:rFonts w:ascii="Times New Roman" w:hAnsi="Times New Roman" w:cs="Times New Roman"/>
              </w:rPr>
              <w:t>2.9</w:t>
            </w:r>
          </w:p>
        </w:tc>
      </w:tr>
      <w:tr w:rsidR="00BA4141" w:rsidRPr="007245B0" w14:paraId="489A9CC8" w14:textId="77777777" w:rsidTr="00537910">
        <w:trPr>
          <w:trHeight w:val="445"/>
        </w:trPr>
        <w:tc>
          <w:tcPr>
            <w:tcW w:w="0" w:type="auto"/>
            <w:hideMark/>
          </w:tcPr>
          <w:p w14:paraId="63A684FC" w14:textId="77777777" w:rsidR="00BA4141" w:rsidRPr="007245B0" w:rsidRDefault="00BA4141" w:rsidP="00B77C0B">
            <w:pPr>
              <w:pStyle w:val="NoSpacing"/>
              <w:rPr>
                <w:rFonts w:ascii="Times New Roman" w:hAnsi="Times New Roman" w:cs="Times New Roman"/>
              </w:rPr>
            </w:pPr>
            <w:r w:rsidRPr="007245B0">
              <w:rPr>
                <w:rFonts w:ascii="Times New Roman" w:hAnsi="Times New Roman" w:cs="Times New Roman"/>
              </w:rPr>
              <w:t>Orissa</w:t>
            </w:r>
          </w:p>
        </w:tc>
        <w:tc>
          <w:tcPr>
            <w:tcW w:w="0" w:type="auto"/>
            <w:vAlign w:val="center"/>
            <w:hideMark/>
          </w:tcPr>
          <w:p w14:paraId="06489822" w14:textId="77777777" w:rsidR="00BA4141" w:rsidRPr="007245B0" w:rsidRDefault="00BA4141" w:rsidP="00537910">
            <w:pPr>
              <w:pStyle w:val="NoSpacing"/>
              <w:jc w:val="center"/>
              <w:rPr>
                <w:rFonts w:ascii="Times New Roman" w:hAnsi="Times New Roman" w:cs="Times New Roman"/>
              </w:rPr>
            </w:pPr>
            <w:r w:rsidRPr="007245B0">
              <w:rPr>
                <w:rFonts w:ascii="Times New Roman" w:hAnsi="Times New Roman" w:cs="Times New Roman"/>
              </w:rPr>
              <w:t>1.8</w:t>
            </w:r>
          </w:p>
        </w:tc>
        <w:tc>
          <w:tcPr>
            <w:tcW w:w="0" w:type="auto"/>
            <w:vAlign w:val="center"/>
            <w:hideMark/>
          </w:tcPr>
          <w:p w14:paraId="2A010900" w14:textId="77777777" w:rsidR="00BA4141" w:rsidRPr="007245B0" w:rsidRDefault="00BA4141" w:rsidP="00537910">
            <w:pPr>
              <w:pStyle w:val="NoSpacing"/>
              <w:jc w:val="center"/>
              <w:rPr>
                <w:rFonts w:ascii="Times New Roman" w:hAnsi="Times New Roman" w:cs="Times New Roman"/>
              </w:rPr>
            </w:pPr>
            <w:r w:rsidRPr="007245B0">
              <w:rPr>
                <w:rFonts w:ascii="Times New Roman" w:hAnsi="Times New Roman" w:cs="Times New Roman"/>
              </w:rPr>
              <w:t>2.3</w:t>
            </w:r>
          </w:p>
        </w:tc>
        <w:tc>
          <w:tcPr>
            <w:tcW w:w="0" w:type="auto"/>
            <w:vAlign w:val="center"/>
            <w:hideMark/>
          </w:tcPr>
          <w:p w14:paraId="04C304C5" w14:textId="77777777" w:rsidR="00BA4141" w:rsidRPr="007245B0" w:rsidRDefault="00BA4141" w:rsidP="00537910">
            <w:pPr>
              <w:pStyle w:val="NoSpacing"/>
              <w:jc w:val="center"/>
              <w:rPr>
                <w:rFonts w:ascii="Times New Roman" w:hAnsi="Times New Roman" w:cs="Times New Roman"/>
              </w:rPr>
            </w:pPr>
            <w:r w:rsidRPr="007245B0">
              <w:rPr>
                <w:rFonts w:ascii="Times New Roman" w:hAnsi="Times New Roman" w:cs="Times New Roman"/>
              </w:rPr>
              <w:t>4.9</w:t>
            </w:r>
          </w:p>
        </w:tc>
      </w:tr>
      <w:tr w:rsidR="00BA4141" w:rsidRPr="007245B0" w14:paraId="356D85A4" w14:textId="77777777" w:rsidTr="00537910">
        <w:trPr>
          <w:trHeight w:val="470"/>
        </w:trPr>
        <w:tc>
          <w:tcPr>
            <w:tcW w:w="0" w:type="auto"/>
            <w:hideMark/>
          </w:tcPr>
          <w:p w14:paraId="6E7D8CBB" w14:textId="77777777" w:rsidR="00BA4141" w:rsidRPr="007245B0" w:rsidRDefault="00BA4141" w:rsidP="00B77C0B">
            <w:pPr>
              <w:pStyle w:val="NoSpacing"/>
              <w:rPr>
                <w:rFonts w:ascii="Times New Roman" w:hAnsi="Times New Roman" w:cs="Times New Roman"/>
              </w:rPr>
            </w:pPr>
            <w:r w:rsidRPr="007245B0">
              <w:rPr>
                <w:rFonts w:ascii="Times New Roman" w:hAnsi="Times New Roman" w:cs="Times New Roman"/>
              </w:rPr>
              <w:t>Punjab</w:t>
            </w:r>
          </w:p>
        </w:tc>
        <w:tc>
          <w:tcPr>
            <w:tcW w:w="0" w:type="auto"/>
            <w:vAlign w:val="center"/>
            <w:hideMark/>
          </w:tcPr>
          <w:p w14:paraId="618CC73C" w14:textId="77777777" w:rsidR="00BA4141" w:rsidRPr="007245B0" w:rsidRDefault="00BA4141" w:rsidP="00537910">
            <w:pPr>
              <w:pStyle w:val="NoSpacing"/>
              <w:jc w:val="center"/>
              <w:rPr>
                <w:rFonts w:ascii="Times New Roman" w:hAnsi="Times New Roman" w:cs="Times New Roman"/>
              </w:rPr>
            </w:pPr>
            <w:r w:rsidRPr="007245B0">
              <w:rPr>
                <w:rFonts w:ascii="Times New Roman" w:hAnsi="Times New Roman" w:cs="Times New Roman"/>
              </w:rPr>
              <w:t>..</w:t>
            </w:r>
          </w:p>
        </w:tc>
        <w:tc>
          <w:tcPr>
            <w:tcW w:w="0" w:type="auto"/>
            <w:vAlign w:val="center"/>
            <w:hideMark/>
          </w:tcPr>
          <w:p w14:paraId="70C438D0" w14:textId="77777777" w:rsidR="00BA4141" w:rsidRPr="007245B0" w:rsidRDefault="00BA4141" w:rsidP="00537910">
            <w:pPr>
              <w:pStyle w:val="NoSpacing"/>
              <w:jc w:val="center"/>
              <w:rPr>
                <w:rFonts w:ascii="Times New Roman" w:hAnsi="Times New Roman" w:cs="Times New Roman"/>
              </w:rPr>
            </w:pPr>
            <w:r w:rsidRPr="007245B0">
              <w:rPr>
                <w:rFonts w:ascii="Times New Roman" w:hAnsi="Times New Roman" w:cs="Times New Roman"/>
              </w:rPr>
              <w:t>4.5</w:t>
            </w:r>
          </w:p>
        </w:tc>
        <w:tc>
          <w:tcPr>
            <w:tcW w:w="0" w:type="auto"/>
            <w:vAlign w:val="center"/>
            <w:hideMark/>
          </w:tcPr>
          <w:p w14:paraId="32C4729B" w14:textId="77777777" w:rsidR="00BA4141" w:rsidRPr="007245B0" w:rsidRDefault="00BA4141" w:rsidP="00537910">
            <w:pPr>
              <w:pStyle w:val="NoSpacing"/>
              <w:jc w:val="center"/>
              <w:rPr>
                <w:rFonts w:ascii="Times New Roman" w:hAnsi="Times New Roman" w:cs="Times New Roman"/>
              </w:rPr>
            </w:pPr>
            <w:r w:rsidRPr="007245B0">
              <w:rPr>
                <w:rFonts w:ascii="Times New Roman" w:hAnsi="Times New Roman" w:cs="Times New Roman"/>
              </w:rPr>
              <w:t>5.5</w:t>
            </w:r>
          </w:p>
        </w:tc>
      </w:tr>
      <w:tr w:rsidR="00BA4141" w:rsidRPr="007245B0" w14:paraId="6823C8E7" w14:textId="77777777" w:rsidTr="00537910">
        <w:trPr>
          <w:trHeight w:val="445"/>
        </w:trPr>
        <w:tc>
          <w:tcPr>
            <w:tcW w:w="0" w:type="auto"/>
            <w:hideMark/>
          </w:tcPr>
          <w:p w14:paraId="45ACBC8B" w14:textId="77777777" w:rsidR="00BA4141" w:rsidRPr="007245B0" w:rsidRDefault="00BA4141" w:rsidP="00B77C0B">
            <w:pPr>
              <w:pStyle w:val="NoSpacing"/>
              <w:rPr>
                <w:rFonts w:ascii="Times New Roman" w:hAnsi="Times New Roman" w:cs="Times New Roman"/>
              </w:rPr>
            </w:pPr>
            <w:r w:rsidRPr="007245B0">
              <w:rPr>
                <w:rFonts w:ascii="Times New Roman" w:hAnsi="Times New Roman" w:cs="Times New Roman"/>
              </w:rPr>
              <w:t>Rajasthan</w:t>
            </w:r>
          </w:p>
        </w:tc>
        <w:tc>
          <w:tcPr>
            <w:tcW w:w="0" w:type="auto"/>
            <w:vAlign w:val="center"/>
            <w:hideMark/>
          </w:tcPr>
          <w:p w14:paraId="0ECA03C8" w14:textId="77777777" w:rsidR="00BA4141" w:rsidRPr="007245B0" w:rsidRDefault="00BA4141" w:rsidP="00537910">
            <w:pPr>
              <w:pStyle w:val="NoSpacing"/>
              <w:jc w:val="center"/>
              <w:rPr>
                <w:rFonts w:ascii="Times New Roman" w:hAnsi="Times New Roman" w:cs="Times New Roman"/>
              </w:rPr>
            </w:pPr>
            <w:r w:rsidRPr="007245B0">
              <w:rPr>
                <w:rFonts w:ascii="Times New Roman" w:hAnsi="Times New Roman" w:cs="Times New Roman"/>
              </w:rPr>
              <w:t>N.A.</w:t>
            </w:r>
          </w:p>
        </w:tc>
        <w:tc>
          <w:tcPr>
            <w:tcW w:w="0" w:type="auto"/>
            <w:vAlign w:val="center"/>
            <w:hideMark/>
          </w:tcPr>
          <w:p w14:paraId="76FFB69E" w14:textId="77777777" w:rsidR="00BA4141" w:rsidRPr="007245B0" w:rsidRDefault="00BA4141" w:rsidP="00537910">
            <w:pPr>
              <w:pStyle w:val="NoSpacing"/>
              <w:jc w:val="center"/>
              <w:rPr>
                <w:rFonts w:ascii="Times New Roman" w:hAnsi="Times New Roman" w:cs="Times New Roman"/>
              </w:rPr>
            </w:pPr>
            <w:r w:rsidRPr="007245B0">
              <w:rPr>
                <w:rFonts w:ascii="Times New Roman" w:hAnsi="Times New Roman" w:cs="Times New Roman"/>
              </w:rPr>
              <w:t>N.A.</w:t>
            </w:r>
          </w:p>
        </w:tc>
        <w:tc>
          <w:tcPr>
            <w:tcW w:w="0" w:type="auto"/>
            <w:vAlign w:val="center"/>
            <w:hideMark/>
          </w:tcPr>
          <w:p w14:paraId="4B0DB69F" w14:textId="77777777" w:rsidR="00BA4141" w:rsidRPr="007245B0" w:rsidRDefault="00BA4141" w:rsidP="00537910">
            <w:pPr>
              <w:pStyle w:val="NoSpacing"/>
              <w:jc w:val="center"/>
              <w:rPr>
                <w:rFonts w:ascii="Times New Roman" w:hAnsi="Times New Roman" w:cs="Times New Roman"/>
              </w:rPr>
            </w:pPr>
            <w:r w:rsidRPr="007245B0">
              <w:rPr>
                <w:rFonts w:ascii="Times New Roman" w:hAnsi="Times New Roman" w:cs="Times New Roman"/>
              </w:rPr>
              <w:t>..</w:t>
            </w:r>
          </w:p>
        </w:tc>
      </w:tr>
      <w:tr w:rsidR="00BA4141" w:rsidRPr="007245B0" w14:paraId="5E4F21F1" w14:textId="77777777" w:rsidTr="00537910">
        <w:trPr>
          <w:trHeight w:val="470"/>
        </w:trPr>
        <w:tc>
          <w:tcPr>
            <w:tcW w:w="0" w:type="auto"/>
            <w:hideMark/>
          </w:tcPr>
          <w:p w14:paraId="3FDF2946" w14:textId="77777777" w:rsidR="00BA4141" w:rsidRPr="007245B0" w:rsidRDefault="00BA4141" w:rsidP="00B77C0B">
            <w:pPr>
              <w:pStyle w:val="NoSpacing"/>
              <w:rPr>
                <w:rFonts w:ascii="Times New Roman" w:hAnsi="Times New Roman" w:cs="Times New Roman"/>
              </w:rPr>
            </w:pPr>
            <w:r w:rsidRPr="007245B0">
              <w:rPr>
                <w:rFonts w:ascii="Times New Roman" w:hAnsi="Times New Roman" w:cs="Times New Roman"/>
              </w:rPr>
              <w:t>Tamil Nadu</w:t>
            </w:r>
          </w:p>
        </w:tc>
        <w:tc>
          <w:tcPr>
            <w:tcW w:w="0" w:type="auto"/>
            <w:vAlign w:val="center"/>
            <w:hideMark/>
          </w:tcPr>
          <w:p w14:paraId="6F3F36B9" w14:textId="77777777" w:rsidR="00BA4141" w:rsidRPr="007245B0" w:rsidRDefault="00BA4141" w:rsidP="00537910">
            <w:pPr>
              <w:pStyle w:val="NoSpacing"/>
              <w:jc w:val="center"/>
              <w:rPr>
                <w:rFonts w:ascii="Times New Roman" w:hAnsi="Times New Roman" w:cs="Times New Roman"/>
              </w:rPr>
            </w:pPr>
            <w:r w:rsidRPr="007245B0">
              <w:rPr>
                <w:rFonts w:ascii="Times New Roman" w:hAnsi="Times New Roman" w:cs="Times New Roman"/>
              </w:rPr>
              <w:t>4.4</w:t>
            </w:r>
          </w:p>
        </w:tc>
        <w:tc>
          <w:tcPr>
            <w:tcW w:w="0" w:type="auto"/>
            <w:vAlign w:val="center"/>
            <w:hideMark/>
          </w:tcPr>
          <w:p w14:paraId="67233E4E" w14:textId="77777777" w:rsidR="00BA4141" w:rsidRPr="007245B0" w:rsidRDefault="00BA4141" w:rsidP="00537910">
            <w:pPr>
              <w:pStyle w:val="NoSpacing"/>
              <w:jc w:val="center"/>
              <w:rPr>
                <w:rFonts w:ascii="Times New Roman" w:hAnsi="Times New Roman" w:cs="Times New Roman"/>
              </w:rPr>
            </w:pPr>
            <w:r w:rsidRPr="007245B0">
              <w:rPr>
                <w:rFonts w:ascii="Times New Roman" w:hAnsi="Times New Roman" w:cs="Times New Roman"/>
              </w:rPr>
              <w:t>5.3</w:t>
            </w:r>
          </w:p>
        </w:tc>
        <w:tc>
          <w:tcPr>
            <w:tcW w:w="0" w:type="auto"/>
            <w:vAlign w:val="center"/>
            <w:hideMark/>
          </w:tcPr>
          <w:p w14:paraId="4E1A3424" w14:textId="77777777" w:rsidR="00BA4141" w:rsidRPr="007245B0" w:rsidRDefault="00BA4141" w:rsidP="00537910">
            <w:pPr>
              <w:pStyle w:val="NoSpacing"/>
              <w:jc w:val="center"/>
              <w:rPr>
                <w:rFonts w:ascii="Times New Roman" w:hAnsi="Times New Roman" w:cs="Times New Roman"/>
              </w:rPr>
            </w:pPr>
            <w:r w:rsidRPr="007245B0">
              <w:rPr>
                <w:rFonts w:ascii="Times New Roman" w:hAnsi="Times New Roman" w:cs="Times New Roman"/>
              </w:rPr>
              <w:t>4.3</w:t>
            </w:r>
          </w:p>
        </w:tc>
      </w:tr>
      <w:tr w:rsidR="00BA4141" w:rsidRPr="007245B0" w14:paraId="03CC76C9" w14:textId="77777777" w:rsidTr="00537910">
        <w:trPr>
          <w:trHeight w:val="445"/>
        </w:trPr>
        <w:tc>
          <w:tcPr>
            <w:tcW w:w="0" w:type="auto"/>
            <w:hideMark/>
          </w:tcPr>
          <w:p w14:paraId="1CD604BA" w14:textId="77777777" w:rsidR="00BA4141" w:rsidRPr="007245B0" w:rsidRDefault="00BA4141" w:rsidP="00B77C0B">
            <w:pPr>
              <w:pStyle w:val="NoSpacing"/>
              <w:rPr>
                <w:rFonts w:ascii="Times New Roman" w:hAnsi="Times New Roman" w:cs="Times New Roman"/>
              </w:rPr>
            </w:pPr>
            <w:r w:rsidRPr="007245B0">
              <w:rPr>
                <w:rFonts w:ascii="Times New Roman" w:hAnsi="Times New Roman" w:cs="Times New Roman"/>
              </w:rPr>
              <w:t>Uttar Pradesh</w:t>
            </w:r>
          </w:p>
        </w:tc>
        <w:tc>
          <w:tcPr>
            <w:tcW w:w="0" w:type="auto"/>
            <w:vAlign w:val="center"/>
            <w:hideMark/>
          </w:tcPr>
          <w:p w14:paraId="598015CE" w14:textId="77777777" w:rsidR="00BA4141" w:rsidRPr="007245B0" w:rsidRDefault="00BA4141" w:rsidP="00537910">
            <w:pPr>
              <w:pStyle w:val="NoSpacing"/>
              <w:jc w:val="center"/>
              <w:rPr>
                <w:rFonts w:ascii="Times New Roman" w:hAnsi="Times New Roman" w:cs="Times New Roman"/>
              </w:rPr>
            </w:pPr>
            <w:r w:rsidRPr="007245B0">
              <w:rPr>
                <w:rFonts w:ascii="Times New Roman" w:hAnsi="Times New Roman" w:cs="Times New Roman"/>
              </w:rPr>
              <w:t>4.1</w:t>
            </w:r>
          </w:p>
        </w:tc>
        <w:tc>
          <w:tcPr>
            <w:tcW w:w="0" w:type="auto"/>
            <w:vAlign w:val="center"/>
            <w:hideMark/>
          </w:tcPr>
          <w:p w14:paraId="21D16F8E" w14:textId="77777777" w:rsidR="00BA4141" w:rsidRPr="007245B0" w:rsidRDefault="00BA4141" w:rsidP="00537910">
            <w:pPr>
              <w:pStyle w:val="NoSpacing"/>
              <w:jc w:val="center"/>
              <w:rPr>
                <w:rFonts w:ascii="Times New Roman" w:hAnsi="Times New Roman" w:cs="Times New Roman"/>
              </w:rPr>
            </w:pPr>
            <w:r w:rsidRPr="007245B0">
              <w:rPr>
                <w:rFonts w:ascii="Times New Roman" w:hAnsi="Times New Roman" w:cs="Times New Roman"/>
              </w:rPr>
              <w:t>3.2</w:t>
            </w:r>
          </w:p>
        </w:tc>
        <w:tc>
          <w:tcPr>
            <w:tcW w:w="0" w:type="auto"/>
            <w:vAlign w:val="center"/>
            <w:hideMark/>
          </w:tcPr>
          <w:p w14:paraId="7AB16DC1" w14:textId="77777777" w:rsidR="00BA4141" w:rsidRPr="007245B0" w:rsidRDefault="00BA4141" w:rsidP="00537910">
            <w:pPr>
              <w:pStyle w:val="NoSpacing"/>
              <w:jc w:val="center"/>
              <w:rPr>
                <w:rFonts w:ascii="Times New Roman" w:hAnsi="Times New Roman" w:cs="Times New Roman"/>
              </w:rPr>
            </w:pPr>
            <w:r w:rsidRPr="007245B0">
              <w:rPr>
                <w:rFonts w:ascii="Times New Roman" w:hAnsi="Times New Roman" w:cs="Times New Roman"/>
              </w:rPr>
              <w:t>3.9</w:t>
            </w:r>
          </w:p>
        </w:tc>
      </w:tr>
      <w:tr w:rsidR="00BA4141" w:rsidRPr="007245B0" w14:paraId="6ACB0083" w14:textId="77777777" w:rsidTr="00537910">
        <w:trPr>
          <w:trHeight w:val="470"/>
        </w:trPr>
        <w:tc>
          <w:tcPr>
            <w:tcW w:w="0" w:type="auto"/>
            <w:hideMark/>
          </w:tcPr>
          <w:p w14:paraId="55F59F43" w14:textId="77777777" w:rsidR="00BA4141" w:rsidRPr="007245B0" w:rsidRDefault="00BA4141" w:rsidP="00B77C0B">
            <w:pPr>
              <w:pStyle w:val="NoSpacing"/>
              <w:rPr>
                <w:rFonts w:ascii="Times New Roman" w:hAnsi="Times New Roman" w:cs="Times New Roman"/>
              </w:rPr>
            </w:pPr>
            <w:r w:rsidRPr="007245B0">
              <w:rPr>
                <w:rFonts w:ascii="Times New Roman" w:hAnsi="Times New Roman" w:cs="Times New Roman"/>
              </w:rPr>
              <w:t>West Bengal</w:t>
            </w:r>
          </w:p>
        </w:tc>
        <w:tc>
          <w:tcPr>
            <w:tcW w:w="0" w:type="auto"/>
            <w:vAlign w:val="center"/>
            <w:hideMark/>
          </w:tcPr>
          <w:p w14:paraId="4AEBA78E" w14:textId="77777777" w:rsidR="00BA4141" w:rsidRPr="007245B0" w:rsidRDefault="00BA4141" w:rsidP="00537910">
            <w:pPr>
              <w:pStyle w:val="NoSpacing"/>
              <w:jc w:val="center"/>
              <w:rPr>
                <w:rFonts w:ascii="Times New Roman" w:hAnsi="Times New Roman" w:cs="Times New Roman"/>
              </w:rPr>
            </w:pPr>
            <w:r w:rsidRPr="007245B0">
              <w:rPr>
                <w:rFonts w:ascii="Times New Roman" w:hAnsi="Times New Roman" w:cs="Times New Roman"/>
              </w:rPr>
              <w:t>6.1</w:t>
            </w:r>
          </w:p>
        </w:tc>
        <w:tc>
          <w:tcPr>
            <w:tcW w:w="0" w:type="auto"/>
            <w:vAlign w:val="center"/>
            <w:hideMark/>
          </w:tcPr>
          <w:p w14:paraId="4D87C0BC" w14:textId="77777777" w:rsidR="00BA4141" w:rsidRPr="007245B0" w:rsidRDefault="00BA4141" w:rsidP="00537910">
            <w:pPr>
              <w:pStyle w:val="NoSpacing"/>
              <w:jc w:val="center"/>
              <w:rPr>
                <w:rFonts w:ascii="Times New Roman" w:hAnsi="Times New Roman" w:cs="Times New Roman"/>
              </w:rPr>
            </w:pPr>
            <w:r w:rsidRPr="007245B0">
              <w:rPr>
                <w:rFonts w:ascii="Times New Roman" w:hAnsi="Times New Roman" w:cs="Times New Roman"/>
              </w:rPr>
              <w:t>6.6</w:t>
            </w:r>
          </w:p>
        </w:tc>
        <w:tc>
          <w:tcPr>
            <w:tcW w:w="0" w:type="auto"/>
            <w:vAlign w:val="center"/>
            <w:hideMark/>
          </w:tcPr>
          <w:p w14:paraId="6BF9D771" w14:textId="77777777" w:rsidR="00BA4141" w:rsidRPr="007245B0" w:rsidRDefault="00BA4141" w:rsidP="00537910">
            <w:pPr>
              <w:pStyle w:val="NoSpacing"/>
              <w:jc w:val="center"/>
              <w:rPr>
                <w:rFonts w:ascii="Times New Roman" w:hAnsi="Times New Roman" w:cs="Times New Roman"/>
              </w:rPr>
            </w:pPr>
            <w:r w:rsidRPr="007245B0">
              <w:rPr>
                <w:rFonts w:ascii="Times New Roman" w:hAnsi="Times New Roman" w:cs="Times New Roman"/>
              </w:rPr>
              <w:t>5.3</w:t>
            </w:r>
          </w:p>
        </w:tc>
      </w:tr>
      <w:tr w:rsidR="00BA4141" w:rsidRPr="007245B0" w14:paraId="16096862" w14:textId="77777777" w:rsidTr="00537910">
        <w:trPr>
          <w:trHeight w:val="445"/>
        </w:trPr>
        <w:tc>
          <w:tcPr>
            <w:tcW w:w="0" w:type="auto"/>
            <w:hideMark/>
          </w:tcPr>
          <w:p w14:paraId="08DF822D" w14:textId="77777777" w:rsidR="00BA4141" w:rsidRPr="007245B0" w:rsidRDefault="00BA4141" w:rsidP="00B77C0B">
            <w:pPr>
              <w:pStyle w:val="NoSpacing"/>
              <w:rPr>
                <w:rFonts w:ascii="Times New Roman" w:hAnsi="Times New Roman" w:cs="Times New Roman"/>
              </w:rPr>
            </w:pPr>
            <w:r w:rsidRPr="007245B0">
              <w:rPr>
                <w:rFonts w:ascii="Times New Roman" w:hAnsi="Times New Roman" w:cs="Times New Roman"/>
              </w:rPr>
              <w:t>TOTAL</w:t>
            </w:r>
          </w:p>
        </w:tc>
        <w:tc>
          <w:tcPr>
            <w:tcW w:w="0" w:type="auto"/>
            <w:vAlign w:val="center"/>
            <w:hideMark/>
          </w:tcPr>
          <w:p w14:paraId="0191B113" w14:textId="77777777" w:rsidR="00BA4141" w:rsidRPr="007245B0" w:rsidRDefault="00BA4141" w:rsidP="00537910">
            <w:pPr>
              <w:pStyle w:val="NoSpacing"/>
              <w:jc w:val="center"/>
              <w:rPr>
                <w:rFonts w:ascii="Times New Roman" w:hAnsi="Times New Roman" w:cs="Times New Roman"/>
              </w:rPr>
            </w:pPr>
            <w:r w:rsidRPr="007245B0">
              <w:rPr>
                <w:rFonts w:ascii="Times New Roman" w:hAnsi="Times New Roman" w:cs="Times New Roman"/>
              </w:rPr>
              <w:t>4.2</w:t>
            </w:r>
          </w:p>
        </w:tc>
        <w:tc>
          <w:tcPr>
            <w:tcW w:w="0" w:type="auto"/>
            <w:vAlign w:val="center"/>
            <w:hideMark/>
          </w:tcPr>
          <w:p w14:paraId="4D42C645" w14:textId="77777777" w:rsidR="00BA4141" w:rsidRPr="007245B0" w:rsidRDefault="00BA4141" w:rsidP="00537910">
            <w:pPr>
              <w:pStyle w:val="NoSpacing"/>
              <w:jc w:val="center"/>
              <w:rPr>
                <w:rFonts w:ascii="Times New Roman" w:hAnsi="Times New Roman" w:cs="Times New Roman"/>
              </w:rPr>
            </w:pPr>
            <w:r w:rsidRPr="007245B0">
              <w:rPr>
                <w:rFonts w:ascii="Times New Roman" w:hAnsi="Times New Roman" w:cs="Times New Roman"/>
              </w:rPr>
              <w:t>4.0</w:t>
            </w:r>
          </w:p>
        </w:tc>
        <w:tc>
          <w:tcPr>
            <w:tcW w:w="0" w:type="auto"/>
            <w:vAlign w:val="center"/>
            <w:hideMark/>
          </w:tcPr>
          <w:p w14:paraId="15BD30E4" w14:textId="77777777" w:rsidR="00BA4141" w:rsidRPr="007245B0" w:rsidRDefault="00BA4141" w:rsidP="00537910">
            <w:pPr>
              <w:pStyle w:val="NoSpacing"/>
              <w:jc w:val="center"/>
              <w:rPr>
                <w:rFonts w:ascii="Times New Roman" w:hAnsi="Times New Roman" w:cs="Times New Roman"/>
              </w:rPr>
            </w:pPr>
            <w:r w:rsidRPr="007245B0">
              <w:rPr>
                <w:rFonts w:ascii="Times New Roman" w:hAnsi="Times New Roman" w:cs="Times New Roman"/>
              </w:rPr>
              <w:t>4.4</w:t>
            </w:r>
          </w:p>
        </w:tc>
      </w:tr>
    </w:tbl>
    <w:p w14:paraId="4BFEBEDC" w14:textId="3A7FEBFD" w:rsidR="00BA4141" w:rsidRPr="007245B0" w:rsidRDefault="00BA4141" w:rsidP="003874AC">
      <w:pPr>
        <w:pStyle w:val="Sources"/>
      </w:pPr>
      <w:r w:rsidRPr="007245B0">
        <w:t>Source: Material received from State Governments.</w:t>
      </w:r>
      <w:r w:rsidRPr="007245B0">
        <w:br/>
        <w:t>N.A.: Not available.</w:t>
      </w:r>
      <w:r w:rsidRPr="007245B0">
        <w:br/>
        <w:t>Neg: Negligible.</w:t>
      </w:r>
      <w:r w:rsidRPr="007245B0">
        <w:br/>
        <w:t>N. B: Rates of return have been worked out by excluding from gross receipts, working expenses and transfers to depreciation Reserve Fund.</w:t>
      </w:r>
    </w:p>
    <w:p w14:paraId="36F96EAB" w14:textId="3A04EB37" w:rsidR="00BA4141" w:rsidRPr="007245B0" w:rsidRDefault="00BA4141">
      <w:pPr>
        <w:rPr>
          <w:rFonts w:ascii="Times New Roman" w:hAnsi="Times New Roman" w:cs="Times New Roman"/>
        </w:rPr>
      </w:pPr>
      <w:r w:rsidRPr="007245B0">
        <w:rPr>
          <w:rFonts w:ascii="Times New Roman" w:hAnsi="Times New Roman" w:cs="Times New Roman"/>
        </w:rPr>
        <w:br w:type="page"/>
      </w:r>
    </w:p>
    <w:p w14:paraId="2AB14F29" w14:textId="77777777" w:rsidR="00BA4141" w:rsidRPr="007245B0" w:rsidRDefault="00BA4141">
      <w:pPr>
        <w:tabs>
          <w:tab w:val="left" w:pos="7880"/>
        </w:tabs>
        <w:rPr>
          <w:rFonts w:ascii="Times New Roman" w:hAnsi="Times New Roman" w:cs="Times New Roman"/>
        </w:rPr>
        <w:sectPr w:rsidR="00BA4141" w:rsidRPr="007245B0" w:rsidSect="00BA4141">
          <w:pgSz w:w="12240" w:h="15840"/>
          <w:pgMar w:top="992" w:right="1440" w:bottom="1440" w:left="1440" w:header="720" w:footer="720" w:gutter="0"/>
          <w:cols w:space="720"/>
        </w:sectPr>
      </w:pPr>
    </w:p>
    <w:p w14:paraId="641690CA" w14:textId="2CF3F2FE" w:rsidR="00BA4141" w:rsidRDefault="00574BCE" w:rsidP="007D2EE4">
      <w:pPr>
        <w:pStyle w:val="Heading4"/>
      </w:pPr>
      <w:bookmarkStart w:id="147" w:name="_Toc220949719"/>
      <w:bookmarkStart w:id="148" w:name="_Toc221114319"/>
      <w:bookmarkStart w:id="149" w:name="_Toc221115342"/>
      <w:r>
        <w:lastRenderedPageBreak/>
        <w:t>Table</w:t>
      </w:r>
      <w:r w:rsidR="00BA4141" w:rsidRPr="007245B0">
        <w:t xml:space="preserve"> 38: Electricity Boards: Installed capacity, Average cost per unit sold and Average price charged per unit sold: 1967-68</w:t>
      </w:r>
      <w:bookmarkEnd w:id="147"/>
      <w:bookmarkEnd w:id="148"/>
      <w:bookmarkEnd w:id="149"/>
    </w:p>
    <w:p w14:paraId="1875D71D" w14:textId="77777777" w:rsidR="00537910" w:rsidRPr="00537910" w:rsidRDefault="00537910" w:rsidP="00537910"/>
    <w:tbl>
      <w:tblPr>
        <w:tblStyle w:val="TableGrid"/>
        <w:tblW w:w="13575" w:type="dxa"/>
        <w:tblLook w:val="04A0" w:firstRow="1" w:lastRow="0" w:firstColumn="1" w:lastColumn="0" w:noHBand="0" w:noVBand="1"/>
      </w:tblPr>
      <w:tblGrid>
        <w:gridCol w:w="1138"/>
        <w:gridCol w:w="980"/>
        <w:gridCol w:w="941"/>
        <w:gridCol w:w="1153"/>
        <w:gridCol w:w="1150"/>
        <w:gridCol w:w="937"/>
        <w:gridCol w:w="1255"/>
        <w:gridCol w:w="1271"/>
        <w:gridCol w:w="976"/>
        <w:gridCol w:w="834"/>
        <w:gridCol w:w="985"/>
        <w:gridCol w:w="914"/>
        <w:gridCol w:w="1041"/>
      </w:tblGrid>
      <w:tr w:rsidR="00BA4141" w:rsidRPr="007245B0" w14:paraId="40ACA71B" w14:textId="77777777" w:rsidTr="00537910">
        <w:trPr>
          <w:trHeight w:val="1505"/>
        </w:trPr>
        <w:tc>
          <w:tcPr>
            <w:tcW w:w="0" w:type="auto"/>
            <w:vAlign w:val="center"/>
            <w:hideMark/>
          </w:tcPr>
          <w:p w14:paraId="50BD8E51" w14:textId="77777777" w:rsidR="00BA4141" w:rsidRPr="00537910" w:rsidRDefault="00BA4141" w:rsidP="00537910">
            <w:pPr>
              <w:pStyle w:val="NoSpacing"/>
              <w:jc w:val="center"/>
              <w:rPr>
                <w:rFonts w:ascii="Times New Roman" w:hAnsi="Times New Roman" w:cs="Times New Roman"/>
                <w:b/>
                <w:bCs/>
                <w:sz w:val="18"/>
                <w:szCs w:val="18"/>
              </w:rPr>
            </w:pPr>
            <w:r w:rsidRPr="00537910">
              <w:rPr>
                <w:rFonts w:ascii="Times New Roman" w:hAnsi="Times New Roman" w:cs="Times New Roman"/>
                <w:b/>
                <w:bCs/>
                <w:sz w:val="18"/>
                <w:szCs w:val="18"/>
              </w:rPr>
              <w:t>States</w:t>
            </w:r>
          </w:p>
        </w:tc>
        <w:tc>
          <w:tcPr>
            <w:tcW w:w="0" w:type="auto"/>
            <w:vAlign w:val="center"/>
            <w:hideMark/>
          </w:tcPr>
          <w:p w14:paraId="130999B6" w14:textId="77777777" w:rsidR="00BA4141" w:rsidRPr="00537910" w:rsidRDefault="00BA4141" w:rsidP="00537910">
            <w:pPr>
              <w:pStyle w:val="NoSpacing"/>
              <w:jc w:val="center"/>
              <w:rPr>
                <w:rFonts w:ascii="Times New Roman" w:hAnsi="Times New Roman" w:cs="Times New Roman"/>
                <w:b/>
                <w:bCs/>
                <w:sz w:val="18"/>
                <w:szCs w:val="18"/>
              </w:rPr>
            </w:pPr>
            <w:r w:rsidRPr="00537910">
              <w:rPr>
                <w:rFonts w:ascii="Times New Roman" w:hAnsi="Times New Roman" w:cs="Times New Roman"/>
                <w:b/>
                <w:bCs/>
                <w:sz w:val="18"/>
                <w:szCs w:val="18"/>
              </w:rPr>
              <w:t>Installed capacity (M.W.)</w:t>
            </w:r>
          </w:p>
        </w:tc>
        <w:tc>
          <w:tcPr>
            <w:tcW w:w="0" w:type="auto"/>
            <w:vAlign w:val="center"/>
            <w:hideMark/>
          </w:tcPr>
          <w:p w14:paraId="725A9E40" w14:textId="77777777" w:rsidR="00BA4141" w:rsidRPr="00537910" w:rsidRDefault="00BA4141" w:rsidP="00537910">
            <w:pPr>
              <w:pStyle w:val="NoSpacing"/>
              <w:jc w:val="center"/>
              <w:rPr>
                <w:rFonts w:ascii="Times New Roman" w:hAnsi="Times New Roman" w:cs="Times New Roman"/>
                <w:b/>
                <w:bCs/>
                <w:sz w:val="18"/>
                <w:szCs w:val="18"/>
              </w:rPr>
            </w:pPr>
            <w:r w:rsidRPr="00537910">
              <w:rPr>
                <w:rFonts w:ascii="Times New Roman" w:hAnsi="Times New Roman" w:cs="Times New Roman"/>
                <w:b/>
                <w:bCs/>
                <w:sz w:val="18"/>
                <w:szCs w:val="18"/>
              </w:rPr>
              <w:t>Peak Demand (M.W.)</w:t>
            </w:r>
          </w:p>
        </w:tc>
        <w:tc>
          <w:tcPr>
            <w:tcW w:w="0" w:type="auto"/>
            <w:vAlign w:val="center"/>
            <w:hideMark/>
          </w:tcPr>
          <w:p w14:paraId="1975F3DD" w14:textId="77777777" w:rsidR="00BA4141" w:rsidRPr="00537910" w:rsidRDefault="00BA4141" w:rsidP="00537910">
            <w:pPr>
              <w:pStyle w:val="NoSpacing"/>
              <w:jc w:val="center"/>
              <w:rPr>
                <w:rFonts w:ascii="Times New Roman" w:hAnsi="Times New Roman" w:cs="Times New Roman"/>
                <w:b/>
                <w:bCs/>
                <w:sz w:val="18"/>
                <w:szCs w:val="18"/>
              </w:rPr>
            </w:pPr>
            <w:r w:rsidRPr="00537910">
              <w:rPr>
                <w:rFonts w:ascii="Times New Roman" w:hAnsi="Times New Roman" w:cs="Times New Roman"/>
                <w:b/>
                <w:bCs/>
                <w:sz w:val="18"/>
                <w:szCs w:val="18"/>
              </w:rPr>
              <w:t>Power Generated (Million Kwh.)</w:t>
            </w:r>
          </w:p>
        </w:tc>
        <w:tc>
          <w:tcPr>
            <w:tcW w:w="0" w:type="auto"/>
            <w:vAlign w:val="center"/>
            <w:hideMark/>
          </w:tcPr>
          <w:p w14:paraId="5D192D71" w14:textId="77777777" w:rsidR="00BA4141" w:rsidRPr="00537910" w:rsidRDefault="00BA4141" w:rsidP="00537910">
            <w:pPr>
              <w:pStyle w:val="NoSpacing"/>
              <w:jc w:val="center"/>
              <w:rPr>
                <w:rFonts w:ascii="Times New Roman" w:hAnsi="Times New Roman" w:cs="Times New Roman"/>
                <w:b/>
                <w:bCs/>
                <w:sz w:val="18"/>
                <w:szCs w:val="18"/>
              </w:rPr>
            </w:pPr>
            <w:r w:rsidRPr="00537910">
              <w:rPr>
                <w:rFonts w:ascii="Times New Roman" w:hAnsi="Times New Roman" w:cs="Times New Roman"/>
                <w:b/>
                <w:bCs/>
                <w:sz w:val="18"/>
                <w:szCs w:val="18"/>
              </w:rPr>
              <w:t>Power Purchased (Million Kwh.)</w:t>
            </w:r>
          </w:p>
        </w:tc>
        <w:tc>
          <w:tcPr>
            <w:tcW w:w="0" w:type="auto"/>
            <w:vAlign w:val="center"/>
            <w:hideMark/>
          </w:tcPr>
          <w:p w14:paraId="29F11ED2" w14:textId="77777777" w:rsidR="00BA4141" w:rsidRPr="00537910" w:rsidRDefault="00BA4141" w:rsidP="00537910">
            <w:pPr>
              <w:pStyle w:val="NoSpacing"/>
              <w:jc w:val="center"/>
              <w:rPr>
                <w:rFonts w:ascii="Times New Roman" w:hAnsi="Times New Roman" w:cs="Times New Roman"/>
                <w:b/>
                <w:bCs/>
                <w:sz w:val="18"/>
                <w:szCs w:val="18"/>
              </w:rPr>
            </w:pPr>
            <w:r w:rsidRPr="00537910">
              <w:rPr>
                <w:rFonts w:ascii="Times New Roman" w:hAnsi="Times New Roman" w:cs="Times New Roman"/>
                <w:b/>
                <w:bCs/>
                <w:sz w:val="18"/>
                <w:szCs w:val="18"/>
              </w:rPr>
              <w:t>Power sold (Million Kwh)</w:t>
            </w:r>
          </w:p>
        </w:tc>
        <w:tc>
          <w:tcPr>
            <w:tcW w:w="0" w:type="auto"/>
            <w:vAlign w:val="center"/>
            <w:hideMark/>
          </w:tcPr>
          <w:p w14:paraId="22381ECE" w14:textId="77777777" w:rsidR="00BA4141" w:rsidRPr="00537910" w:rsidRDefault="00BA4141" w:rsidP="00537910">
            <w:pPr>
              <w:pStyle w:val="NoSpacing"/>
              <w:jc w:val="center"/>
              <w:rPr>
                <w:rFonts w:ascii="Times New Roman" w:hAnsi="Times New Roman" w:cs="Times New Roman"/>
                <w:b/>
                <w:bCs/>
                <w:sz w:val="18"/>
                <w:szCs w:val="18"/>
              </w:rPr>
            </w:pPr>
            <w:r w:rsidRPr="00537910">
              <w:rPr>
                <w:rFonts w:ascii="Times New Roman" w:hAnsi="Times New Roman" w:cs="Times New Roman"/>
                <w:b/>
                <w:bCs/>
                <w:sz w:val="18"/>
                <w:szCs w:val="18"/>
              </w:rPr>
              <w:t>Working expenditure (Rs. crores)</w:t>
            </w:r>
          </w:p>
        </w:tc>
        <w:tc>
          <w:tcPr>
            <w:tcW w:w="0" w:type="auto"/>
            <w:vAlign w:val="center"/>
            <w:hideMark/>
          </w:tcPr>
          <w:p w14:paraId="5E02875F" w14:textId="77777777" w:rsidR="00BA4141" w:rsidRPr="00537910" w:rsidRDefault="00BA4141" w:rsidP="00537910">
            <w:pPr>
              <w:pStyle w:val="NoSpacing"/>
              <w:jc w:val="center"/>
              <w:rPr>
                <w:rFonts w:ascii="Times New Roman" w:hAnsi="Times New Roman" w:cs="Times New Roman"/>
                <w:b/>
                <w:bCs/>
                <w:sz w:val="18"/>
                <w:szCs w:val="18"/>
              </w:rPr>
            </w:pPr>
            <w:r w:rsidRPr="00537910">
              <w:rPr>
                <w:rFonts w:ascii="Times New Roman" w:hAnsi="Times New Roman" w:cs="Times New Roman"/>
                <w:b/>
                <w:bCs/>
                <w:sz w:val="18"/>
                <w:szCs w:val="18"/>
              </w:rPr>
              <w:t>Depreciation (Rs. crores)</w:t>
            </w:r>
          </w:p>
        </w:tc>
        <w:tc>
          <w:tcPr>
            <w:tcW w:w="0" w:type="auto"/>
            <w:vAlign w:val="center"/>
            <w:hideMark/>
          </w:tcPr>
          <w:p w14:paraId="22102CBE" w14:textId="77777777" w:rsidR="00BA4141" w:rsidRPr="00537910" w:rsidRDefault="00BA4141" w:rsidP="00537910">
            <w:pPr>
              <w:pStyle w:val="NoSpacing"/>
              <w:jc w:val="center"/>
              <w:rPr>
                <w:rFonts w:ascii="Times New Roman" w:hAnsi="Times New Roman" w:cs="Times New Roman"/>
                <w:b/>
                <w:bCs/>
                <w:sz w:val="18"/>
                <w:szCs w:val="18"/>
              </w:rPr>
            </w:pPr>
            <w:r w:rsidRPr="00537910">
              <w:rPr>
                <w:rFonts w:ascii="Times New Roman" w:hAnsi="Times New Roman" w:cs="Times New Roman"/>
                <w:b/>
                <w:bCs/>
                <w:sz w:val="18"/>
                <w:szCs w:val="18"/>
              </w:rPr>
              <w:t>Interest on accrual basis (Rs. crores)</w:t>
            </w:r>
          </w:p>
        </w:tc>
        <w:tc>
          <w:tcPr>
            <w:tcW w:w="0" w:type="auto"/>
            <w:vAlign w:val="center"/>
            <w:hideMark/>
          </w:tcPr>
          <w:p w14:paraId="619137B5" w14:textId="77777777" w:rsidR="00BA4141" w:rsidRPr="00537910" w:rsidRDefault="00BA4141" w:rsidP="00537910">
            <w:pPr>
              <w:pStyle w:val="NoSpacing"/>
              <w:jc w:val="center"/>
              <w:rPr>
                <w:rFonts w:ascii="Times New Roman" w:hAnsi="Times New Roman" w:cs="Times New Roman"/>
                <w:b/>
                <w:bCs/>
                <w:sz w:val="18"/>
                <w:szCs w:val="18"/>
              </w:rPr>
            </w:pPr>
            <w:r w:rsidRPr="00537910">
              <w:rPr>
                <w:rFonts w:ascii="Times New Roman" w:hAnsi="Times New Roman" w:cs="Times New Roman"/>
                <w:b/>
                <w:bCs/>
                <w:sz w:val="18"/>
                <w:szCs w:val="18"/>
              </w:rPr>
              <w:t>Total cost (Rs. crores)</w:t>
            </w:r>
          </w:p>
        </w:tc>
        <w:tc>
          <w:tcPr>
            <w:tcW w:w="0" w:type="auto"/>
            <w:vAlign w:val="center"/>
            <w:hideMark/>
          </w:tcPr>
          <w:p w14:paraId="1B130DEC" w14:textId="77777777" w:rsidR="00BA4141" w:rsidRPr="00537910" w:rsidRDefault="00BA4141" w:rsidP="00537910">
            <w:pPr>
              <w:pStyle w:val="NoSpacing"/>
              <w:jc w:val="center"/>
              <w:rPr>
                <w:rFonts w:ascii="Times New Roman" w:hAnsi="Times New Roman" w:cs="Times New Roman"/>
                <w:b/>
                <w:bCs/>
                <w:sz w:val="18"/>
                <w:szCs w:val="18"/>
              </w:rPr>
            </w:pPr>
            <w:r w:rsidRPr="00537910">
              <w:rPr>
                <w:rFonts w:ascii="Times New Roman" w:hAnsi="Times New Roman" w:cs="Times New Roman"/>
                <w:b/>
                <w:bCs/>
                <w:sz w:val="18"/>
                <w:szCs w:val="18"/>
              </w:rPr>
              <w:t>Average cost per unit sold (Paise)</w:t>
            </w:r>
          </w:p>
        </w:tc>
        <w:tc>
          <w:tcPr>
            <w:tcW w:w="0" w:type="auto"/>
            <w:vAlign w:val="center"/>
            <w:hideMark/>
          </w:tcPr>
          <w:p w14:paraId="4509D12E" w14:textId="77777777" w:rsidR="00BA4141" w:rsidRPr="00537910" w:rsidRDefault="00BA4141" w:rsidP="00537910">
            <w:pPr>
              <w:pStyle w:val="NoSpacing"/>
              <w:jc w:val="center"/>
              <w:rPr>
                <w:rFonts w:ascii="Times New Roman" w:hAnsi="Times New Roman" w:cs="Times New Roman"/>
                <w:b/>
                <w:bCs/>
                <w:sz w:val="18"/>
                <w:szCs w:val="18"/>
              </w:rPr>
            </w:pPr>
            <w:r w:rsidRPr="00537910">
              <w:rPr>
                <w:rFonts w:ascii="Times New Roman" w:hAnsi="Times New Roman" w:cs="Times New Roman"/>
                <w:b/>
                <w:bCs/>
                <w:sz w:val="18"/>
                <w:szCs w:val="18"/>
              </w:rPr>
              <w:t>Total receipts (Rs. crores)</w:t>
            </w:r>
          </w:p>
        </w:tc>
        <w:tc>
          <w:tcPr>
            <w:tcW w:w="0" w:type="auto"/>
            <w:vAlign w:val="center"/>
            <w:hideMark/>
          </w:tcPr>
          <w:p w14:paraId="24AA9F44" w14:textId="77777777" w:rsidR="00BA4141" w:rsidRPr="00537910" w:rsidRDefault="00BA4141" w:rsidP="00537910">
            <w:pPr>
              <w:pStyle w:val="NoSpacing"/>
              <w:jc w:val="center"/>
              <w:rPr>
                <w:rFonts w:ascii="Times New Roman" w:hAnsi="Times New Roman" w:cs="Times New Roman"/>
                <w:b/>
                <w:bCs/>
                <w:sz w:val="18"/>
                <w:szCs w:val="18"/>
              </w:rPr>
            </w:pPr>
            <w:r w:rsidRPr="00537910">
              <w:rPr>
                <w:rFonts w:ascii="Times New Roman" w:hAnsi="Times New Roman" w:cs="Times New Roman"/>
                <w:b/>
                <w:bCs/>
                <w:sz w:val="18"/>
                <w:szCs w:val="18"/>
              </w:rPr>
              <w:t>Average price charged per unit sold (Paise)</w:t>
            </w:r>
          </w:p>
        </w:tc>
      </w:tr>
      <w:tr w:rsidR="00BA4141" w:rsidRPr="007245B0" w14:paraId="5838567E" w14:textId="77777777" w:rsidTr="00537910">
        <w:trPr>
          <w:trHeight w:val="294"/>
        </w:trPr>
        <w:tc>
          <w:tcPr>
            <w:tcW w:w="0" w:type="auto"/>
            <w:vAlign w:val="center"/>
          </w:tcPr>
          <w:p w14:paraId="3A938183" w14:textId="77777777" w:rsidR="00BA4141" w:rsidRPr="00537910" w:rsidRDefault="00BA4141" w:rsidP="00537910">
            <w:pPr>
              <w:pStyle w:val="NoSpacing"/>
              <w:jc w:val="center"/>
              <w:rPr>
                <w:rFonts w:ascii="Times New Roman" w:hAnsi="Times New Roman" w:cs="Times New Roman"/>
                <w:b/>
                <w:bCs/>
                <w:sz w:val="18"/>
                <w:szCs w:val="18"/>
              </w:rPr>
            </w:pPr>
            <w:r w:rsidRPr="00537910">
              <w:rPr>
                <w:rFonts w:ascii="Times New Roman" w:hAnsi="Times New Roman" w:cs="Times New Roman"/>
                <w:b/>
                <w:bCs/>
                <w:sz w:val="18"/>
                <w:szCs w:val="18"/>
              </w:rPr>
              <w:t>1</w:t>
            </w:r>
          </w:p>
        </w:tc>
        <w:tc>
          <w:tcPr>
            <w:tcW w:w="0" w:type="auto"/>
            <w:vAlign w:val="center"/>
          </w:tcPr>
          <w:p w14:paraId="47DC5C1A" w14:textId="77777777" w:rsidR="00BA4141" w:rsidRPr="00537910" w:rsidRDefault="00BA4141" w:rsidP="00537910">
            <w:pPr>
              <w:pStyle w:val="NoSpacing"/>
              <w:jc w:val="center"/>
              <w:rPr>
                <w:rFonts w:ascii="Times New Roman" w:hAnsi="Times New Roman" w:cs="Times New Roman"/>
                <w:b/>
                <w:bCs/>
                <w:sz w:val="18"/>
                <w:szCs w:val="18"/>
              </w:rPr>
            </w:pPr>
            <w:r w:rsidRPr="00537910">
              <w:rPr>
                <w:rFonts w:ascii="Times New Roman" w:hAnsi="Times New Roman" w:cs="Times New Roman"/>
                <w:b/>
                <w:bCs/>
                <w:sz w:val="18"/>
                <w:szCs w:val="18"/>
              </w:rPr>
              <w:t>2</w:t>
            </w:r>
          </w:p>
        </w:tc>
        <w:tc>
          <w:tcPr>
            <w:tcW w:w="0" w:type="auto"/>
            <w:vAlign w:val="center"/>
          </w:tcPr>
          <w:p w14:paraId="6BC61F4B" w14:textId="77777777" w:rsidR="00BA4141" w:rsidRPr="00537910" w:rsidRDefault="00BA4141" w:rsidP="00537910">
            <w:pPr>
              <w:pStyle w:val="NoSpacing"/>
              <w:jc w:val="center"/>
              <w:rPr>
                <w:rFonts w:ascii="Times New Roman" w:hAnsi="Times New Roman" w:cs="Times New Roman"/>
                <w:b/>
                <w:bCs/>
                <w:sz w:val="18"/>
                <w:szCs w:val="18"/>
              </w:rPr>
            </w:pPr>
            <w:r w:rsidRPr="00537910">
              <w:rPr>
                <w:rFonts w:ascii="Times New Roman" w:hAnsi="Times New Roman" w:cs="Times New Roman"/>
                <w:b/>
                <w:bCs/>
                <w:sz w:val="18"/>
                <w:szCs w:val="18"/>
              </w:rPr>
              <w:t>3</w:t>
            </w:r>
          </w:p>
        </w:tc>
        <w:tc>
          <w:tcPr>
            <w:tcW w:w="0" w:type="auto"/>
            <w:vAlign w:val="center"/>
          </w:tcPr>
          <w:p w14:paraId="2AAB75E3" w14:textId="77777777" w:rsidR="00BA4141" w:rsidRPr="00537910" w:rsidRDefault="00BA4141" w:rsidP="00537910">
            <w:pPr>
              <w:pStyle w:val="NoSpacing"/>
              <w:jc w:val="center"/>
              <w:rPr>
                <w:rFonts w:ascii="Times New Roman" w:hAnsi="Times New Roman" w:cs="Times New Roman"/>
                <w:b/>
                <w:bCs/>
                <w:sz w:val="18"/>
                <w:szCs w:val="18"/>
              </w:rPr>
            </w:pPr>
            <w:r w:rsidRPr="00537910">
              <w:rPr>
                <w:rFonts w:ascii="Times New Roman" w:hAnsi="Times New Roman" w:cs="Times New Roman"/>
                <w:b/>
                <w:bCs/>
                <w:sz w:val="18"/>
                <w:szCs w:val="18"/>
              </w:rPr>
              <w:t>4</w:t>
            </w:r>
          </w:p>
        </w:tc>
        <w:tc>
          <w:tcPr>
            <w:tcW w:w="0" w:type="auto"/>
            <w:vAlign w:val="center"/>
          </w:tcPr>
          <w:p w14:paraId="0ED63FD6" w14:textId="77777777" w:rsidR="00BA4141" w:rsidRPr="00537910" w:rsidRDefault="00BA4141" w:rsidP="00537910">
            <w:pPr>
              <w:pStyle w:val="NoSpacing"/>
              <w:jc w:val="center"/>
              <w:rPr>
                <w:rFonts w:ascii="Times New Roman" w:hAnsi="Times New Roman" w:cs="Times New Roman"/>
                <w:b/>
                <w:bCs/>
                <w:sz w:val="18"/>
                <w:szCs w:val="18"/>
              </w:rPr>
            </w:pPr>
            <w:r w:rsidRPr="00537910">
              <w:rPr>
                <w:rFonts w:ascii="Times New Roman" w:hAnsi="Times New Roman" w:cs="Times New Roman"/>
                <w:b/>
                <w:bCs/>
                <w:sz w:val="18"/>
                <w:szCs w:val="18"/>
              </w:rPr>
              <w:t>5</w:t>
            </w:r>
          </w:p>
        </w:tc>
        <w:tc>
          <w:tcPr>
            <w:tcW w:w="0" w:type="auto"/>
            <w:vAlign w:val="center"/>
          </w:tcPr>
          <w:p w14:paraId="4C5BBB53" w14:textId="77777777" w:rsidR="00BA4141" w:rsidRPr="00537910" w:rsidRDefault="00BA4141" w:rsidP="00537910">
            <w:pPr>
              <w:pStyle w:val="NoSpacing"/>
              <w:jc w:val="center"/>
              <w:rPr>
                <w:rFonts w:ascii="Times New Roman" w:hAnsi="Times New Roman" w:cs="Times New Roman"/>
                <w:b/>
                <w:bCs/>
                <w:sz w:val="18"/>
                <w:szCs w:val="18"/>
              </w:rPr>
            </w:pPr>
            <w:r w:rsidRPr="00537910">
              <w:rPr>
                <w:rFonts w:ascii="Times New Roman" w:hAnsi="Times New Roman" w:cs="Times New Roman"/>
                <w:b/>
                <w:bCs/>
                <w:sz w:val="18"/>
                <w:szCs w:val="18"/>
              </w:rPr>
              <w:t>6</w:t>
            </w:r>
          </w:p>
        </w:tc>
        <w:tc>
          <w:tcPr>
            <w:tcW w:w="0" w:type="auto"/>
            <w:vAlign w:val="center"/>
          </w:tcPr>
          <w:p w14:paraId="762E3D09" w14:textId="77777777" w:rsidR="00BA4141" w:rsidRPr="00537910" w:rsidRDefault="00BA4141" w:rsidP="00537910">
            <w:pPr>
              <w:pStyle w:val="NoSpacing"/>
              <w:jc w:val="center"/>
              <w:rPr>
                <w:rFonts w:ascii="Times New Roman" w:hAnsi="Times New Roman" w:cs="Times New Roman"/>
                <w:b/>
                <w:bCs/>
                <w:sz w:val="18"/>
                <w:szCs w:val="18"/>
              </w:rPr>
            </w:pPr>
            <w:r w:rsidRPr="00537910">
              <w:rPr>
                <w:rFonts w:ascii="Times New Roman" w:hAnsi="Times New Roman" w:cs="Times New Roman"/>
                <w:b/>
                <w:bCs/>
                <w:sz w:val="18"/>
                <w:szCs w:val="18"/>
              </w:rPr>
              <w:t>7</w:t>
            </w:r>
          </w:p>
        </w:tc>
        <w:tc>
          <w:tcPr>
            <w:tcW w:w="0" w:type="auto"/>
            <w:vAlign w:val="center"/>
          </w:tcPr>
          <w:p w14:paraId="66E872F6" w14:textId="77777777" w:rsidR="00BA4141" w:rsidRPr="00537910" w:rsidRDefault="00BA4141" w:rsidP="00537910">
            <w:pPr>
              <w:pStyle w:val="NoSpacing"/>
              <w:jc w:val="center"/>
              <w:rPr>
                <w:rFonts w:ascii="Times New Roman" w:hAnsi="Times New Roman" w:cs="Times New Roman"/>
                <w:b/>
                <w:bCs/>
                <w:sz w:val="18"/>
                <w:szCs w:val="18"/>
              </w:rPr>
            </w:pPr>
            <w:r w:rsidRPr="00537910">
              <w:rPr>
                <w:rFonts w:ascii="Times New Roman" w:hAnsi="Times New Roman" w:cs="Times New Roman"/>
                <w:b/>
                <w:bCs/>
                <w:sz w:val="18"/>
                <w:szCs w:val="18"/>
              </w:rPr>
              <w:t>8</w:t>
            </w:r>
          </w:p>
        </w:tc>
        <w:tc>
          <w:tcPr>
            <w:tcW w:w="0" w:type="auto"/>
            <w:vAlign w:val="center"/>
          </w:tcPr>
          <w:p w14:paraId="7E8F2865" w14:textId="77777777" w:rsidR="00BA4141" w:rsidRPr="00537910" w:rsidRDefault="00BA4141" w:rsidP="00537910">
            <w:pPr>
              <w:pStyle w:val="NoSpacing"/>
              <w:jc w:val="center"/>
              <w:rPr>
                <w:rFonts w:ascii="Times New Roman" w:hAnsi="Times New Roman" w:cs="Times New Roman"/>
                <w:b/>
                <w:bCs/>
                <w:sz w:val="18"/>
                <w:szCs w:val="18"/>
              </w:rPr>
            </w:pPr>
            <w:r w:rsidRPr="00537910">
              <w:rPr>
                <w:rFonts w:ascii="Times New Roman" w:hAnsi="Times New Roman" w:cs="Times New Roman"/>
                <w:b/>
                <w:bCs/>
                <w:sz w:val="18"/>
                <w:szCs w:val="18"/>
              </w:rPr>
              <w:t>9</w:t>
            </w:r>
          </w:p>
        </w:tc>
        <w:tc>
          <w:tcPr>
            <w:tcW w:w="0" w:type="auto"/>
            <w:vAlign w:val="center"/>
          </w:tcPr>
          <w:p w14:paraId="550DB382" w14:textId="77777777" w:rsidR="00BA4141" w:rsidRPr="00537910" w:rsidRDefault="00BA4141" w:rsidP="00537910">
            <w:pPr>
              <w:pStyle w:val="NoSpacing"/>
              <w:jc w:val="center"/>
              <w:rPr>
                <w:rFonts w:ascii="Times New Roman" w:hAnsi="Times New Roman" w:cs="Times New Roman"/>
                <w:b/>
                <w:bCs/>
                <w:sz w:val="18"/>
                <w:szCs w:val="18"/>
              </w:rPr>
            </w:pPr>
            <w:r w:rsidRPr="00537910">
              <w:rPr>
                <w:rFonts w:ascii="Times New Roman" w:hAnsi="Times New Roman" w:cs="Times New Roman"/>
                <w:b/>
                <w:bCs/>
                <w:sz w:val="18"/>
                <w:szCs w:val="18"/>
              </w:rPr>
              <w:t>10</w:t>
            </w:r>
          </w:p>
        </w:tc>
        <w:tc>
          <w:tcPr>
            <w:tcW w:w="0" w:type="auto"/>
            <w:vAlign w:val="center"/>
          </w:tcPr>
          <w:p w14:paraId="09AC7625" w14:textId="77777777" w:rsidR="00BA4141" w:rsidRPr="00537910" w:rsidRDefault="00BA4141" w:rsidP="00537910">
            <w:pPr>
              <w:pStyle w:val="NoSpacing"/>
              <w:jc w:val="center"/>
              <w:rPr>
                <w:rFonts w:ascii="Times New Roman" w:hAnsi="Times New Roman" w:cs="Times New Roman"/>
                <w:b/>
                <w:bCs/>
                <w:sz w:val="18"/>
                <w:szCs w:val="18"/>
              </w:rPr>
            </w:pPr>
            <w:r w:rsidRPr="00537910">
              <w:rPr>
                <w:rFonts w:ascii="Times New Roman" w:hAnsi="Times New Roman" w:cs="Times New Roman"/>
                <w:b/>
                <w:bCs/>
                <w:sz w:val="18"/>
                <w:szCs w:val="18"/>
              </w:rPr>
              <w:t>11</w:t>
            </w:r>
          </w:p>
        </w:tc>
        <w:tc>
          <w:tcPr>
            <w:tcW w:w="0" w:type="auto"/>
            <w:vAlign w:val="center"/>
          </w:tcPr>
          <w:p w14:paraId="383D1CD8" w14:textId="77777777" w:rsidR="00BA4141" w:rsidRPr="00537910" w:rsidRDefault="00BA4141" w:rsidP="00537910">
            <w:pPr>
              <w:pStyle w:val="NoSpacing"/>
              <w:jc w:val="center"/>
              <w:rPr>
                <w:rFonts w:ascii="Times New Roman" w:hAnsi="Times New Roman" w:cs="Times New Roman"/>
                <w:b/>
                <w:bCs/>
                <w:sz w:val="18"/>
                <w:szCs w:val="18"/>
              </w:rPr>
            </w:pPr>
            <w:r w:rsidRPr="00537910">
              <w:rPr>
                <w:rFonts w:ascii="Times New Roman" w:hAnsi="Times New Roman" w:cs="Times New Roman"/>
                <w:b/>
                <w:bCs/>
                <w:sz w:val="18"/>
                <w:szCs w:val="18"/>
              </w:rPr>
              <w:t>12</w:t>
            </w:r>
          </w:p>
        </w:tc>
        <w:tc>
          <w:tcPr>
            <w:tcW w:w="0" w:type="auto"/>
            <w:vAlign w:val="center"/>
          </w:tcPr>
          <w:p w14:paraId="1B88552D" w14:textId="77777777" w:rsidR="00BA4141" w:rsidRPr="00537910" w:rsidRDefault="00BA4141" w:rsidP="00537910">
            <w:pPr>
              <w:pStyle w:val="NoSpacing"/>
              <w:jc w:val="center"/>
              <w:rPr>
                <w:rFonts w:ascii="Times New Roman" w:hAnsi="Times New Roman" w:cs="Times New Roman"/>
                <w:b/>
                <w:bCs/>
                <w:sz w:val="18"/>
                <w:szCs w:val="18"/>
              </w:rPr>
            </w:pPr>
            <w:r w:rsidRPr="00537910">
              <w:rPr>
                <w:rFonts w:ascii="Times New Roman" w:hAnsi="Times New Roman" w:cs="Times New Roman"/>
                <w:b/>
                <w:bCs/>
                <w:sz w:val="18"/>
                <w:szCs w:val="18"/>
              </w:rPr>
              <w:t>13</w:t>
            </w:r>
          </w:p>
        </w:tc>
      </w:tr>
      <w:tr w:rsidR="00BA4141" w:rsidRPr="007245B0" w14:paraId="42443518" w14:textId="77777777" w:rsidTr="00537910">
        <w:trPr>
          <w:trHeight w:val="604"/>
        </w:trPr>
        <w:tc>
          <w:tcPr>
            <w:tcW w:w="0" w:type="auto"/>
            <w:hideMark/>
          </w:tcPr>
          <w:p w14:paraId="045B13FE" w14:textId="77777777" w:rsidR="00BA4141" w:rsidRPr="007245B0" w:rsidRDefault="00BA4141" w:rsidP="00B77C0B">
            <w:pPr>
              <w:pStyle w:val="NoSpacing"/>
              <w:rPr>
                <w:rFonts w:ascii="Times New Roman" w:hAnsi="Times New Roman" w:cs="Times New Roman"/>
                <w:sz w:val="18"/>
                <w:szCs w:val="18"/>
              </w:rPr>
            </w:pPr>
            <w:r w:rsidRPr="007245B0">
              <w:rPr>
                <w:rFonts w:ascii="Times New Roman" w:hAnsi="Times New Roman" w:cs="Times New Roman"/>
                <w:sz w:val="18"/>
                <w:szCs w:val="18"/>
              </w:rPr>
              <w:t>Andhra Pradesh</w:t>
            </w:r>
          </w:p>
        </w:tc>
        <w:tc>
          <w:tcPr>
            <w:tcW w:w="0" w:type="auto"/>
            <w:vAlign w:val="center"/>
            <w:hideMark/>
          </w:tcPr>
          <w:p w14:paraId="351AA02F" w14:textId="77777777" w:rsidR="00BA4141" w:rsidRPr="007245B0" w:rsidRDefault="00BA4141" w:rsidP="00537910">
            <w:pPr>
              <w:pStyle w:val="NoSpacing"/>
              <w:jc w:val="center"/>
              <w:rPr>
                <w:rFonts w:ascii="Times New Roman" w:hAnsi="Times New Roman" w:cs="Times New Roman"/>
                <w:sz w:val="18"/>
                <w:szCs w:val="18"/>
              </w:rPr>
            </w:pPr>
            <w:r w:rsidRPr="007245B0">
              <w:rPr>
                <w:rFonts w:ascii="Times New Roman" w:hAnsi="Times New Roman" w:cs="Times New Roman"/>
                <w:sz w:val="18"/>
                <w:szCs w:val="18"/>
              </w:rPr>
              <w:t>646</w:t>
            </w:r>
          </w:p>
        </w:tc>
        <w:tc>
          <w:tcPr>
            <w:tcW w:w="0" w:type="auto"/>
            <w:vAlign w:val="center"/>
            <w:hideMark/>
          </w:tcPr>
          <w:p w14:paraId="59800BA8" w14:textId="77777777" w:rsidR="00BA4141" w:rsidRPr="007245B0" w:rsidRDefault="00BA4141" w:rsidP="00537910">
            <w:pPr>
              <w:pStyle w:val="NoSpacing"/>
              <w:jc w:val="center"/>
              <w:rPr>
                <w:rFonts w:ascii="Times New Roman" w:hAnsi="Times New Roman" w:cs="Times New Roman"/>
                <w:sz w:val="18"/>
                <w:szCs w:val="18"/>
              </w:rPr>
            </w:pPr>
            <w:r w:rsidRPr="007245B0">
              <w:rPr>
                <w:rFonts w:ascii="Times New Roman" w:hAnsi="Times New Roman" w:cs="Times New Roman"/>
                <w:sz w:val="18"/>
                <w:szCs w:val="18"/>
              </w:rPr>
              <w:t>356</w:t>
            </w:r>
          </w:p>
        </w:tc>
        <w:tc>
          <w:tcPr>
            <w:tcW w:w="0" w:type="auto"/>
            <w:vAlign w:val="center"/>
            <w:hideMark/>
          </w:tcPr>
          <w:p w14:paraId="204C0B0B" w14:textId="77777777" w:rsidR="00BA4141" w:rsidRPr="007245B0" w:rsidRDefault="00BA4141" w:rsidP="00537910">
            <w:pPr>
              <w:pStyle w:val="NoSpacing"/>
              <w:jc w:val="center"/>
              <w:rPr>
                <w:rFonts w:ascii="Times New Roman" w:hAnsi="Times New Roman" w:cs="Times New Roman"/>
                <w:sz w:val="18"/>
                <w:szCs w:val="18"/>
              </w:rPr>
            </w:pPr>
            <w:r w:rsidRPr="007245B0">
              <w:rPr>
                <w:rFonts w:ascii="Times New Roman" w:hAnsi="Times New Roman" w:cs="Times New Roman"/>
                <w:sz w:val="18"/>
                <w:szCs w:val="18"/>
              </w:rPr>
              <w:t>1299</w:t>
            </w:r>
          </w:p>
        </w:tc>
        <w:tc>
          <w:tcPr>
            <w:tcW w:w="0" w:type="auto"/>
            <w:vAlign w:val="center"/>
            <w:hideMark/>
          </w:tcPr>
          <w:p w14:paraId="205064C3" w14:textId="77777777" w:rsidR="00BA4141" w:rsidRPr="007245B0" w:rsidRDefault="00BA4141" w:rsidP="00537910">
            <w:pPr>
              <w:pStyle w:val="NoSpacing"/>
              <w:jc w:val="center"/>
              <w:rPr>
                <w:rFonts w:ascii="Times New Roman" w:hAnsi="Times New Roman" w:cs="Times New Roman"/>
                <w:sz w:val="18"/>
                <w:szCs w:val="18"/>
              </w:rPr>
            </w:pPr>
            <w:r w:rsidRPr="007245B0">
              <w:rPr>
                <w:rFonts w:ascii="Times New Roman" w:hAnsi="Times New Roman" w:cs="Times New Roman"/>
                <w:sz w:val="18"/>
                <w:szCs w:val="18"/>
              </w:rPr>
              <w:t>620</w:t>
            </w:r>
          </w:p>
        </w:tc>
        <w:tc>
          <w:tcPr>
            <w:tcW w:w="0" w:type="auto"/>
            <w:vAlign w:val="center"/>
            <w:hideMark/>
          </w:tcPr>
          <w:p w14:paraId="4736566B" w14:textId="77777777" w:rsidR="00BA4141" w:rsidRPr="007245B0" w:rsidRDefault="00BA4141" w:rsidP="00537910">
            <w:pPr>
              <w:pStyle w:val="NoSpacing"/>
              <w:jc w:val="center"/>
              <w:rPr>
                <w:rFonts w:ascii="Times New Roman" w:hAnsi="Times New Roman" w:cs="Times New Roman"/>
                <w:sz w:val="18"/>
                <w:szCs w:val="18"/>
              </w:rPr>
            </w:pPr>
            <w:r w:rsidRPr="007245B0">
              <w:rPr>
                <w:rFonts w:ascii="Times New Roman" w:hAnsi="Times New Roman" w:cs="Times New Roman"/>
                <w:sz w:val="18"/>
                <w:szCs w:val="18"/>
              </w:rPr>
              <w:t>1334</w:t>
            </w:r>
          </w:p>
        </w:tc>
        <w:tc>
          <w:tcPr>
            <w:tcW w:w="0" w:type="auto"/>
            <w:vAlign w:val="center"/>
            <w:hideMark/>
          </w:tcPr>
          <w:p w14:paraId="0A9E2EF3" w14:textId="77777777" w:rsidR="00BA4141" w:rsidRPr="007245B0" w:rsidRDefault="00BA4141" w:rsidP="00537910">
            <w:pPr>
              <w:pStyle w:val="NoSpacing"/>
              <w:jc w:val="center"/>
              <w:rPr>
                <w:rFonts w:ascii="Times New Roman" w:hAnsi="Times New Roman" w:cs="Times New Roman"/>
                <w:sz w:val="18"/>
                <w:szCs w:val="18"/>
              </w:rPr>
            </w:pPr>
            <w:r w:rsidRPr="007245B0">
              <w:rPr>
                <w:rFonts w:ascii="Times New Roman" w:hAnsi="Times New Roman" w:cs="Times New Roman"/>
                <w:sz w:val="18"/>
                <w:szCs w:val="18"/>
              </w:rPr>
              <w:t>12.20</w:t>
            </w:r>
          </w:p>
        </w:tc>
        <w:tc>
          <w:tcPr>
            <w:tcW w:w="0" w:type="auto"/>
            <w:vAlign w:val="center"/>
            <w:hideMark/>
          </w:tcPr>
          <w:p w14:paraId="717BDF37" w14:textId="77777777" w:rsidR="00BA4141" w:rsidRPr="007245B0" w:rsidRDefault="00BA4141" w:rsidP="00537910">
            <w:pPr>
              <w:pStyle w:val="NoSpacing"/>
              <w:jc w:val="center"/>
              <w:rPr>
                <w:rFonts w:ascii="Times New Roman" w:hAnsi="Times New Roman" w:cs="Times New Roman"/>
                <w:sz w:val="18"/>
                <w:szCs w:val="18"/>
              </w:rPr>
            </w:pPr>
            <w:r w:rsidRPr="007245B0">
              <w:rPr>
                <w:rFonts w:ascii="Times New Roman" w:hAnsi="Times New Roman" w:cs="Times New Roman"/>
                <w:sz w:val="18"/>
                <w:szCs w:val="18"/>
              </w:rPr>
              <w:t>5.60</w:t>
            </w:r>
          </w:p>
        </w:tc>
        <w:tc>
          <w:tcPr>
            <w:tcW w:w="0" w:type="auto"/>
            <w:vAlign w:val="center"/>
            <w:hideMark/>
          </w:tcPr>
          <w:p w14:paraId="382F3100" w14:textId="77777777" w:rsidR="00BA4141" w:rsidRPr="007245B0" w:rsidRDefault="00BA4141" w:rsidP="00537910">
            <w:pPr>
              <w:pStyle w:val="NoSpacing"/>
              <w:jc w:val="center"/>
              <w:rPr>
                <w:rFonts w:ascii="Times New Roman" w:hAnsi="Times New Roman" w:cs="Times New Roman"/>
                <w:sz w:val="18"/>
                <w:szCs w:val="18"/>
              </w:rPr>
            </w:pPr>
            <w:r w:rsidRPr="007245B0">
              <w:rPr>
                <w:rFonts w:ascii="Times New Roman" w:hAnsi="Times New Roman" w:cs="Times New Roman"/>
                <w:sz w:val="18"/>
                <w:szCs w:val="18"/>
              </w:rPr>
              <w:t>5.73</w:t>
            </w:r>
          </w:p>
        </w:tc>
        <w:tc>
          <w:tcPr>
            <w:tcW w:w="0" w:type="auto"/>
            <w:vAlign w:val="center"/>
            <w:hideMark/>
          </w:tcPr>
          <w:p w14:paraId="057795C2" w14:textId="77777777" w:rsidR="00BA4141" w:rsidRPr="007245B0" w:rsidRDefault="00BA4141" w:rsidP="00537910">
            <w:pPr>
              <w:pStyle w:val="NoSpacing"/>
              <w:jc w:val="center"/>
              <w:rPr>
                <w:rFonts w:ascii="Times New Roman" w:hAnsi="Times New Roman" w:cs="Times New Roman"/>
                <w:sz w:val="18"/>
                <w:szCs w:val="18"/>
              </w:rPr>
            </w:pPr>
            <w:r w:rsidRPr="007245B0">
              <w:rPr>
                <w:rFonts w:ascii="Times New Roman" w:hAnsi="Times New Roman" w:cs="Times New Roman"/>
                <w:sz w:val="18"/>
                <w:szCs w:val="18"/>
              </w:rPr>
              <w:t>23.53</w:t>
            </w:r>
          </w:p>
        </w:tc>
        <w:tc>
          <w:tcPr>
            <w:tcW w:w="0" w:type="auto"/>
            <w:vAlign w:val="center"/>
            <w:hideMark/>
          </w:tcPr>
          <w:p w14:paraId="57B8F543" w14:textId="77777777" w:rsidR="00BA4141" w:rsidRPr="007245B0" w:rsidRDefault="00BA4141" w:rsidP="00537910">
            <w:pPr>
              <w:pStyle w:val="NoSpacing"/>
              <w:jc w:val="center"/>
              <w:rPr>
                <w:rFonts w:ascii="Times New Roman" w:hAnsi="Times New Roman" w:cs="Times New Roman"/>
                <w:sz w:val="18"/>
                <w:szCs w:val="18"/>
              </w:rPr>
            </w:pPr>
            <w:r w:rsidRPr="007245B0">
              <w:rPr>
                <w:rFonts w:ascii="Times New Roman" w:hAnsi="Times New Roman" w:cs="Times New Roman"/>
                <w:sz w:val="18"/>
                <w:szCs w:val="18"/>
              </w:rPr>
              <w:t>17.6</w:t>
            </w:r>
          </w:p>
        </w:tc>
        <w:tc>
          <w:tcPr>
            <w:tcW w:w="0" w:type="auto"/>
            <w:vAlign w:val="center"/>
            <w:hideMark/>
          </w:tcPr>
          <w:p w14:paraId="6DA5F79C" w14:textId="77777777" w:rsidR="00BA4141" w:rsidRPr="007245B0" w:rsidRDefault="00BA4141" w:rsidP="00537910">
            <w:pPr>
              <w:pStyle w:val="NoSpacing"/>
              <w:jc w:val="center"/>
              <w:rPr>
                <w:rFonts w:ascii="Times New Roman" w:hAnsi="Times New Roman" w:cs="Times New Roman"/>
                <w:sz w:val="18"/>
                <w:szCs w:val="18"/>
              </w:rPr>
            </w:pPr>
            <w:r w:rsidRPr="007245B0">
              <w:rPr>
                <w:rFonts w:ascii="Times New Roman" w:hAnsi="Times New Roman" w:cs="Times New Roman"/>
                <w:sz w:val="18"/>
                <w:szCs w:val="18"/>
              </w:rPr>
              <w:t>24.50</w:t>
            </w:r>
          </w:p>
        </w:tc>
        <w:tc>
          <w:tcPr>
            <w:tcW w:w="0" w:type="auto"/>
            <w:vAlign w:val="center"/>
            <w:hideMark/>
          </w:tcPr>
          <w:p w14:paraId="13190792" w14:textId="77777777" w:rsidR="00BA4141" w:rsidRPr="007245B0" w:rsidRDefault="00BA4141" w:rsidP="00537910">
            <w:pPr>
              <w:pStyle w:val="NoSpacing"/>
              <w:jc w:val="center"/>
              <w:rPr>
                <w:rFonts w:ascii="Times New Roman" w:hAnsi="Times New Roman" w:cs="Times New Roman"/>
                <w:sz w:val="18"/>
                <w:szCs w:val="18"/>
              </w:rPr>
            </w:pPr>
            <w:r w:rsidRPr="007245B0">
              <w:rPr>
                <w:rFonts w:ascii="Times New Roman" w:hAnsi="Times New Roman" w:cs="Times New Roman"/>
                <w:sz w:val="18"/>
                <w:szCs w:val="18"/>
              </w:rPr>
              <w:t>18.4</w:t>
            </w:r>
          </w:p>
        </w:tc>
      </w:tr>
      <w:tr w:rsidR="00BA4141" w:rsidRPr="007245B0" w14:paraId="2B43599F" w14:textId="77777777" w:rsidTr="00537910">
        <w:trPr>
          <w:trHeight w:val="294"/>
        </w:trPr>
        <w:tc>
          <w:tcPr>
            <w:tcW w:w="0" w:type="auto"/>
            <w:hideMark/>
          </w:tcPr>
          <w:p w14:paraId="4DB5B761" w14:textId="77777777" w:rsidR="00BA4141" w:rsidRPr="007245B0" w:rsidRDefault="00BA4141" w:rsidP="00B77C0B">
            <w:pPr>
              <w:pStyle w:val="NoSpacing"/>
              <w:rPr>
                <w:rFonts w:ascii="Times New Roman" w:hAnsi="Times New Roman" w:cs="Times New Roman"/>
                <w:sz w:val="18"/>
                <w:szCs w:val="18"/>
              </w:rPr>
            </w:pPr>
            <w:r w:rsidRPr="007245B0">
              <w:rPr>
                <w:rFonts w:ascii="Times New Roman" w:hAnsi="Times New Roman" w:cs="Times New Roman"/>
                <w:sz w:val="18"/>
                <w:szCs w:val="18"/>
              </w:rPr>
              <w:t>Assam</w:t>
            </w:r>
          </w:p>
        </w:tc>
        <w:tc>
          <w:tcPr>
            <w:tcW w:w="0" w:type="auto"/>
            <w:vAlign w:val="center"/>
            <w:hideMark/>
          </w:tcPr>
          <w:p w14:paraId="4F48E006" w14:textId="77777777" w:rsidR="00BA4141" w:rsidRPr="007245B0" w:rsidRDefault="00BA4141" w:rsidP="00537910">
            <w:pPr>
              <w:pStyle w:val="NoSpacing"/>
              <w:jc w:val="center"/>
              <w:rPr>
                <w:rFonts w:ascii="Times New Roman" w:hAnsi="Times New Roman" w:cs="Times New Roman"/>
                <w:sz w:val="18"/>
                <w:szCs w:val="18"/>
              </w:rPr>
            </w:pPr>
            <w:r w:rsidRPr="007245B0">
              <w:rPr>
                <w:rFonts w:ascii="Times New Roman" w:hAnsi="Times New Roman" w:cs="Times New Roman"/>
                <w:sz w:val="18"/>
                <w:szCs w:val="18"/>
              </w:rPr>
              <w:t>152</w:t>
            </w:r>
          </w:p>
        </w:tc>
        <w:tc>
          <w:tcPr>
            <w:tcW w:w="0" w:type="auto"/>
            <w:vAlign w:val="center"/>
            <w:hideMark/>
          </w:tcPr>
          <w:p w14:paraId="39C73393" w14:textId="77777777" w:rsidR="00BA4141" w:rsidRPr="007245B0" w:rsidRDefault="00BA4141" w:rsidP="00537910">
            <w:pPr>
              <w:pStyle w:val="NoSpacing"/>
              <w:jc w:val="center"/>
              <w:rPr>
                <w:rFonts w:ascii="Times New Roman" w:hAnsi="Times New Roman" w:cs="Times New Roman"/>
                <w:sz w:val="18"/>
                <w:szCs w:val="18"/>
              </w:rPr>
            </w:pPr>
            <w:r w:rsidRPr="007245B0">
              <w:rPr>
                <w:rFonts w:ascii="Times New Roman" w:hAnsi="Times New Roman" w:cs="Times New Roman"/>
                <w:sz w:val="18"/>
                <w:szCs w:val="18"/>
              </w:rPr>
              <w:t>36</w:t>
            </w:r>
          </w:p>
        </w:tc>
        <w:tc>
          <w:tcPr>
            <w:tcW w:w="0" w:type="auto"/>
            <w:vAlign w:val="center"/>
            <w:hideMark/>
          </w:tcPr>
          <w:p w14:paraId="2A126FBC" w14:textId="77777777" w:rsidR="00BA4141" w:rsidRPr="007245B0" w:rsidRDefault="00BA4141" w:rsidP="00537910">
            <w:pPr>
              <w:pStyle w:val="NoSpacing"/>
              <w:jc w:val="center"/>
              <w:rPr>
                <w:rFonts w:ascii="Times New Roman" w:hAnsi="Times New Roman" w:cs="Times New Roman"/>
                <w:sz w:val="18"/>
                <w:szCs w:val="18"/>
              </w:rPr>
            </w:pPr>
            <w:r w:rsidRPr="007245B0">
              <w:rPr>
                <w:rFonts w:ascii="Times New Roman" w:hAnsi="Times New Roman" w:cs="Times New Roman"/>
                <w:sz w:val="18"/>
                <w:szCs w:val="18"/>
              </w:rPr>
              <w:t>157</w:t>
            </w:r>
          </w:p>
        </w:tc>
        <w:tc>
          <w:tcPr>
            <w:tcW w:w="0" w:type="auto"/>
            <w:vAlign w:val="center"/>
            <w:hideMark/>
          </w:tcPr>
          <w:p w14:paraId="20555744" w14:textId="77777777" w:rsidR="00BA4141" w:rsidRPr="007245B0" w:rsidRDefault="00BA4141" w:rsidP="00537910">
            <w:pPr>
              <w:pStyle w:val="NoSpacing"/>
              <w:jc w:val="center"/>
              <w:rPr>
                <w:rFonts w:ascii="Times New Roman" w:hAnsi="Times New Roman" w:cs="Times New Roman"/>
                <w:sz w:val="18"/>
                <w:szCs w:val="18"/>
              </w:rPr>
            </w:pPr>
            <w:r w:rsidRPr="007245B0">
              <w:rPr>
                <w:rFonts w:ascii="Times New Roman" w:hAnsi="Times New Roman" w:cs="Times New Roman"/>
                <w:sz w:val="18"/>
                <w:szCs w:val="18"/>
              </w:rPr>
              <w:t>..</w:t>
            </w:r>
          </w:p>
        </w:tc>
        <w:tc>
          <w:tcPr>
            <w:tcW w:w="0" w:type="auto"/>
            <w:vAlign w:val="center"/>
            <w:hideMark/>
          </w:tcPr>
          <w:p w14:paraId="050188A0" w14:textId="77777777" w:rsidR="00BA4141" w:rsidRPr="007245B0" w:rsidRDefault="00BA4141" w:rsidP="00537910">
            <w:pPr>
              <w:pStyle w:val="NoSpacing"/>
              <w:jc w:val="center"/>
              <w:rPr>
                <w:rFonts w:ascii="Times New Roman" w:hAnsi="Times New Roman" w:cs="Times New Roman"/>
                <w:sz w:val="18"/>
                <w:szCs w:val="18"/>
              </w:rPr>
            </w:pPr>
            <w:r w:rsidRPr="007245B0">
              <w:rPr>
                <w:rFonts w:ascii="Times New Roman" w:hAnsi="Times New Roman" w:cs="Times New Roman"/>
                <w:sz w:val="18"/>
                <w:szCs w:val="18"/>
              </w:rPr>
              <w:t>115</w:t>
            </w:r>
          </w:p>
        </w:tc>
        <w:tc>
          <w:tcPr>
            <w:tcW w:w="0" w:type="auto"/>
            <w:vAlign w:val="center"/>
            <w:hideMark/>
          </w:tcPr>
          <w:p w14:paraId="26E30917" w14:textId="77777777" w:rsidR="00BA4141" w:rsidRPr="007245B0" w:rsidRDefault="00BA4141" w:rsidP="00537910">
            <w:pPr>
              <w:pStyle w:val="NoSpacing"/>
              <w:jc w:val="center"/>
              <w:rPr>
                <w:rFonts w:ascii="Times New Roman" w:hAnsi="Times New Roman" w:cs="Times New Roman"/>
                <w:sz w:val="18"/>
                <w:szCs w:val="18"/>
              </w:rPr>
            </w:pPr>
            <w:r w:rsidRPr="007245B0">
              <w:rPr>
                <w:rFonts w:ascii="Times New Roman" w:hAnsi="Times New Roman" w:cs="Times New Roman"/>
                <w:sz w:val="18"/>
                <w:szCs w:val="18"/>
              </w:rPr>
              <w:t>1.68</w:t>
            </w:r>
          </w:p>
        </w:tc>
        <w:tc>
          <w:tcPr>
            <w:tcW w:w="0" w:type="auto"/>
            <w:vAlign w:val="center"/>
            <w:hideMark/>
          </w:tcPr>
          <w:p w14:paraId="6EE07C36" w14:textId="77777777" w:rsidR="00BA4141" w:rsidRPr="007245B0" w:rsidRDefault="00BA4141" w:rsidP="00537910">
            <w:pPr>
              <w:pStyle w:val="NoSpacing"/>
              <w:jc w:val="center"/>
              <w:rPr>
                <w:rFonts w:ascii="Times New Roman" w:hAnsi="Times New Roman" w:cs="Times New Roman"/>
                <w:sz w:val="18"/>
                <w:szCs w:val="18"/>
              </w:rPr>
            </w:pPr>
            <w:r w:rsidRPr="007245B0">
              <w:rPr>
                <w:rFonts w:ascii="Times New Roman" w:hAnsi="Times New Roman" w:cs="Times New Roman"/>
                <w:sz w:val="18"/>
                <w:szCs w:val="18"/>
              </w:rPr>
              <w:t>0.74</w:t>
            </w:r>
          </w:p>
        </w:tc>
        <w:tc>
          <w:tcPr>
            <w:tcW w:w="0" w:type="auto"/>
            <w:vAlign w:val="center"/>
            <w:hideMark/>
          </w:tcPr>
          <w:p w14:paraId="350A210C" w14:textId="77777777" w:rsidR="00BA4141" w:rsidRPr="007245B0" w:rsidRDefault="00BA4141" w:rsidP="00537910">
            <w:pPr>
              <w:pStyle w:val="NoSpacing"/>
              <w:jc w:val="center"/>
              <w:rPr>
                <w:rFonts w:ascii="Times New Roman" w:hAnsi="Times New Roman" w:cs="Times New Roman"/>
                <w:sz w:val="18"/>
                <w:szCs w:val="18"/>
              </w:rPr>
            </w:pPr>
            <w:r w:rsidRPr="007245B0">
              <w:rPr>
                <w:rFonts w:ascii="Times New Roman" w:hAnsi="Times New Roman" w:cs="Times New Roman"/>
                <w:sz w:val="18"/>
                <w:szCs w:val="18"/>
              </w:rPr>
              <w:t>0.13(a)</w:t>
            </w:r>
          </w:p>
        </w:tc>
        <w:tc>
          <w:tcPr>
            <w:tcW w:w="0" w:type="auto"/>
            <w:vAlign w:val="center"/>
            <w:hideMark/>
          </w:tcPr>
          <w:p w14:paraId="60A2A5E5" w14:textId="77777777" w:rsidR="00BA4141" w:rsidRPr="007245B0" w:rsidRDefault="00BA4141" w:rsidP="00537910">
            <w:pPr>
              <w:pStyle w:val="NoSpacing"/>
              <w:jc w:val="center"/>
              <w:rPr>
                <w:rFonts w:ascii="Times New Roman" w:hAnsi="Times New Roman" w:cs="Times New Roman"/>
                <w:sz w:val="18"/>
                <w:szCs w:val="18"/>
              </w:rPr>
            </w:pPr>
            <w:r w:rsidRPr="007245B0">
              <w:rPr>
                <w:rFonts w:ascii="Times New Roman" w:hAnsi="Times New Roman" w:cs="Times New Roman"/>
                <w:sz w:val="18"/>
                <w:szCs w:val="18"/>
              </w:rPr>
              <w:t>2.55</w:t>
            </w:r>
          </w:p>
        </w:tc>
        <w:tc>
          <w:tcPr>
            <w:tcW w:w="0" w:type="auto"/>
            <w:vAlign w:val="center"/>
            <w:hideMark/>
          </w:tcPr>
          <w:p w14:paraId="5AC3288B" w14:textId="77777777" w:rsidR="00BA4141" w:rsidRPr="007245B0" w:rsidRDefault="00BA4141" w:rsidP="00537910">
            <w:pPr>
              <w:pStyle w:val="NoSpacing"/>
              <w:jc w:val="center"/>
              <w:rPr>
                <w:rFonts w:ascii="Times New Roman" w:hAnsi="Times New Roman" w:cs="Times New Roman"/>
                <w:sz w:val="18"/>
                <w:szCs w:val="18"/>
              </w:rPr>
            </w:pPr>
            <w:r w:rsidRPr="007245B0">
              <w:rPr>
                <w:rFonts w:ascii="Times New Roman" w:hAnsi="Times New Roman" w:cs="Times New Roman"/>
                <w:sz w:val="18"/>
                <w:szCs w:val="18"/>
              </w:rPr>
              <w:t>22.4</w:t>
            </w:r>
          </w:p>
        </w:tc>
        <w:tc>
          <w:tcPr>
            <w:tcW w:w="0" w:type="auto"/>
            <w:vAlign w:val="center"/>
            <w:hideMark/>
          </w:tcPr>
          <w:p w14:paraId="0BF73AFC" w14:textId="77777777" w:rsidR="00BA4141" w:rsidRPr="007245B0" w:rsidRDefault="00BA4141" w:rsidP="00537910">
            <w:pPr>
              <w:pStyle w:val="NoSpacing"/>
              <w:jc w:val="center"/>
              <w:rPr>
                <w:rFonts w:ascii="Times New Roman" w:hAnsi="Times New Roman" w:cs="Times New Roman"/>
                <w:sz w:val="18"/>
                <w:szCs w:val="18"/>
              </w:rPr>
            </w:pPr>
            <w:r w:rsidRPr="007245B0">
              <w:rPr>
                <w:rFonts w:ascii="Times New Roman" w:hAnsi="Times New Roman" w:cs="Times New Roman"/>
                <w:sz w:val="18"/>
                <w:szCs w:val="18"/>
              </w:rPr>
              <w:t>2.55</w:t>
            </w:r>
          </w:p>
        </w:tc>
        <w:tc>
          <w:tcPr>
            <w:tcW w:w="0" w:type="auto"/>
            <w:vAlign w:val="center"/>
            <w:hideMark/>
          </w:tcPr>
          <w:p w14:paraId="269E8AE6" w14:textId="77777777" w:rsidR="00BA4141" w:rsidRPr="007245B0" w:rsidRDefault="00BA4141" w:rsidP="00537910">
            <w:pPr>
              <w:pStyle w:val="NoSpacing"/>
              <w:jc w:val="center"/>
              <w:rPr>
                <w:rFonts w:ascii="Times New Roman" w:hAnsi="Times New Roman" w:cs="Times New Roman"/>
                <w:sz w:val="18"/>
                <w:szCs w:val="18"/>
              </w:rPr>
            </w:pPr>
            <w:r w:rsidRPr="007245B0">
              <w:rPr>
                <w:rFonts w:ascii="Times New Roman" w:hAnsi="Times New Roman" w:cs="Times New Roman"/>
                <w:sz w:val="18"/>
                <w:szCs w:val="18"/>
              </w:rPr>
              <w:t>22.2</w:t>
            </w:r>
          </w:p>
        </w:tc>
      </w:tr>
      <w:tr w:rsidR="00BA4141" w:rsidRPr="007245B0" w14:paraId="1CB0B030" w14:textId="77777777" w:rsidTr="00537910">
        <w:trPr>
          <w:trHeight w:val="294"/>
        </w:trPr>
        <w:tc>
          <w:tcPr>
            <w:tcW w:w="0" w:type="auto"/>
            <w:hideMark/>
          </w:tcPr>
          <w:p w14:paraId="51D1E7DA" w14:textId="77777777" w:rsidR="00BA4141" w:rsidRPr="007245B0" w:rsidRDefault="00BA4141" w:rsidP="00B77C0B">
            <w:pPr>
              <w:pStyle w:val="NoSpacing"/>
              <w:rPr>
                <w:rFonts w:ascii="Times New Roman" w:hAnsi="Times New Roman" w:cs="Times New Roman"/>
                <w:sz w:val="18"/>
                <w:szCs w:val="18"/>
              </w:rPr>
            </w:pPr>
            <w:r w:rsidRPr="007245B0">
              <w:rPr>
                <w:rFonts w:ascii="Times New Roman" w:hAnsi="Times New Roman" w:cs="Times New Roman"/>
                <w:sz w:val="18"/>
                <w:szCs w:val="18"/>
              </w:rPr>
              <w:t>Bihar</w:t>
            </w:r>
          </w:p>
        </w:tc>
        <w:tc>
          <w:tcPr>
            <w:tcW w:w="0" w:type="auto"/>
            <w:vAlign w:val="center"/>
            <w:hideMark/>
          </w:tcPr>
          <w:p w14:paraId="7CB86DC8" w14:textId="77777777" w:rsidR="00BA4141" w:rsidRPr="007245B0" w:rsidRDefault="00BA4141" w:rsidP="00537910">
            <w:pPr>
              <w:pStyle w:val="NoSpacing"/>
              <w:jc w:val="center"/>
              <w:rPr>
                <w:rFonts w:ascii="Times New Roman" w:hAnsi="Times New Roman" w:cs="Times New Roman"/>
                <w:sz w:val="18"/>
                <w:szCs w:val="18"/>
              </w:rPr>
            </w:pPr>
            <w:r w:rsidRPr="007245B0">
              <w:rPr>
                <w:rFonts w:ascii="Times New Roman" w:hAnsi="Times New Roman" w:cs="Times New Roman"/>
                <w:sz w:val="18"/>
                <w:szCs w:val="18"/>
              </w:rPr>
              <w:t>159</w:t>
            </w:r>
          </w:p>
        </w:tc>
        <w:tc>
          <w:tcPr>
            <w:tcW w:w="0" w:type="auto"/>
            <w:vAlign w:val="center"/>
            <w:hideMark/>
          </w:tcPr>
          <w:p w14:paraId="4A589ED2" w14:textId="77777777" w:rsidR="00BA4141" w:rsidRPr="007245B0" w:rsidRDefault="00BA4141" w:rsidP="00537910">
            <w:pPr>
              <w:pStyle w:val="NoSpacing"/>
              <w:jc w:val="center"/>
              <w:rPr>
                <w:rFonts w:ascii="Times New Roman" w:hAnsi="Times New Roman" w:cs="Times New Roman"/>
                <w:sz w:val="18"/>
                <w:szCs w:val="18"/>
              </w:rPr>
            </w:pPr>
            <w:r w:rsidRPr="007245B0">
              <w:rPr>
                <w:rFonts w:ascii="Times New Roman" w:hAnsi="Times New Roman" w:cs="Times New Roman"/>
                <w:sz w:val="18"/>
                <w:szCs w:val="18"/>
              </w:rPr>
              <w:t>300</w:t>
            </w:r>
          </w:p>
        </w:tc>
        <w:tc>
          <w:tcPr>
            <w:tcW w:w="0" w:type="auto"/>
            <w:vAlign w:val="center"/>
            <w:hideMark/>
          </w:tcPr>
          <w:p w14:paraId="44D1C038" w14:textId="77777777" w:rsidR="00BA4141" w:rsidRPr="007245B0" w:rsidRDefault="00BA4141" w:rsidP="00537910">
            <w:pPr>
              <w:pStyle w:val="NoSpacing"/>
              <w:jc w:val="center"/>
              <w:rPr>
                <w:rFonts w:ascii="Times New Roman" w:hAnsi="Times New Roman" w:cs="Times New Roman"/>
                <w:sz w:val="18"/>
                <w:szCs w:val="18"/>
              </w:rPr>
            </w:pPr>
            <w:r w:rsidRPr="007245B0">
              <w:rPr>
                <w:rFonts w:ascii="Times New Roman" w:hAnsi="Times New Roman" w:cs="Times New Roman"/>
                <w:sz w:val="18"/>
                <w:szCs w:val="18"/>
              </w:rPr>
              <w:t>685</w:t>
            </w:r>
          </w:p>
        </w:tc>
        <w:tc>
          <w:tcPr>
            <w:tcW w:w="0" w:type="auto"/>
            <w:vAlign w:val="center"/>
            <w:hideMark/>
          </w:tcPr>
          <w:p w14:paraId="3DC80DB2" w14:textId="77777777" w:rsidR="00BA4141" w:rsidRPr="007245B0" w:rsidRDefault="00BA4141" w:rsidP="00537910">
            <w:pPr>
              <w:pStyle w:val="NoSpacing"/>
              <w:jc w:val="center"/>
              <w:rPr>
                <w:rFonts w:ascii="Times New Roman" w:hAnsi="Times New Roman" w:cs="Times New Roman"/>
                <w:sz w:val="18"/>
                <w:szCs w:val="18"/>
              </w:rPr>
            </w:pPr>
            <w:r w:rsidRPr="007245B0">
              <w:rPr>
                <w:rFonts w:ascii="Times New Roman" w:hAnsi="Times New Roman" w:cs="Times New Roman"/>
                <w:sz w:val="18"/>
                <w:szCs w:val="18"/>
              </w:rPr>
              <w:t>1067</w:t>
            </w:r>
          </w:p>
        </w:tc>
        <w:tc>
          <w:tcPr>
            <w:tcW w:w="0" w:type="auto"/>
            <w:vAlign w:val="center"/>
            <w:hideMark/>
          </w:tcPr>
          <w:p w14:paraId="3EC227FA" w14:textId="77777777" w:rsidR="00BA4141" w:rsidRPr="007245B0" w:rsidRDefault="00BA4141" w:rsidP="00537910">
            <w:pPr>
              <w:pStyle w:val="NoSpacing"/>
              <w:jc w:val="center"/>
              <w:rPr>
                <w:rFonts w:ascii="Times New Roman" w:hAnsi="Times New Roman" w:cs="Times New Roman"/>
                <w:sz w:val="18"/>
                <w:szCs w:val="18"/>
              </w:rPr>
            </w:pPr>
            <w:r w:rsidRPr="007245B0">
              <w:rPr>
                <w:rFonts w:ascii="Times New Roman" w:hAnsi="Times New Roman" w:cs="Times New Roman"/>
                <w:sz w:val="18"/>
                <w:szCs w:val="18"/>
              </w:rPr>
              <w:t>1327</w:t>
            </w:r>
          </w:p>
        </w:tc>
        <w:tc>
          <w:tcPr>
            <w:tcW w:w="0" w:type="auto"/>
            <w:vAlign w:val="center"/>
            <w:hideMark/>
          </w:tcPr>
          <w:p w14:paraId="39847225" w14:textId="77777777" w:rsidR="00BA4141" w:rsidRPr="007245B0" w:rsidRDefault="00BA4141" w:rsidP="00537910">
            <w:pPr>
              <w:pStyle w:val="NoSpacing"/>
              <w:jc w:val="center"/>
              <w:rPr>
                <w:rFonts w:ascii="Times New Roman" w:hAnsi="Times New Roman" w:cs="Times New Roman"/>
                <w:sz w:val="18"/>
                <w:szCs w:val="18"/>
              </w:rPr>
            </w:pPr>
            <w:r w:rsidRPr="007245B0">
              <w:rPr>
                <w:rFonts w:ascii="Times New Roman" w:hAnsi="Times New Roman" w:cs="Times New Roman"/>
                <w:sz w:val="18"/>
                <w:szCs w:val="18"/>
              </w:rPr>
              <w:t>13.22</w:t>
            </w:r>
          </w:p>
        </w:tc>
        <w:tc>
          <w:tcPr>
            <w:tcW w:w="0" w:type="auto"/>
            <w:vAlign w:val="center"/>
            <w:hideMark/>
          </w:tcPr>
          <w:p w14:paraId="291BC47E" w14:textId="77777777" w:rsidR="00BA4141" w:rsidRPr="007245B0" w:rsidRDefault="00BA4141" w:rsidP="00537910">
            <w:pPr>
              <w:pStyle w:val="NoSpacing"/>
              <w:jc w:val="center"/>
              <w:rPr>
                <w:rFonts w:ascii="Times New Roman" w:hAnsi="Times New Roman" w:cs="Times New Roman"/>
                <w:sz w:val="18"/>
                <w:szCs w:val="18"/>
              </w:rPr>
            </w:pPr>
            <w:r w:rsidRPr="007245B0">
              <w:rPr>
                <w:rFonts w:ascii="Times New Roman" w:hAnsi="Times New Roman" w:cs="Times New Roman"/>
                <w:sz w:val="18"/>
                <w:szCs w:val="18"/>
              </w:rPr>
              <w:t>2.77</w:t>
            </w:r>
          </w:p>
        </w:tc>
        <w:tc>
          <w:tcPr>
            <w:tcW w:w="0" w:type="auto"/>
            <w:vAlign w:val="center"/>
            <w:hideMark/>
          </w:tcPr>
          <w:p w14:paraId="294DE174" w14:textId="77777777" w:rsidR="00BA4141" w:rsidRPr="007245B0" w:rsidRDefault="00BA4141" w:rsidP="00537910">
            <w:pPr>
              <w:pStyle w:val="NoSpacing"/>
              <w:jc w:val="center"/>
              <w:rPr>
                <w:rFonts w:ascii="Times New Roman" w:hAnsi="Times New Roman" w:cs="Times New Roman"/>
                <w:sz w:val="18"/>
                <w:szCs w:val="18"/>
              </w:rPr>
            </w:pPr>
            <w:r w:rsidRPr="007245B0">
              <w:rPr>
                <w:rFonts w:ascii="Times New Roman" w:hAnsi="Times New Roman" w:cs="Times New Roman"/>
                <w:sz w:val="18"/>
                <w:szCs w:val="18"/>
              </w:rPr>
              <w:t>7.75</w:t>
            </w:r>
          </w:p>
        </w:tc>
        <w:tc>
          <w:tcPr>
            <w:tcW w:w="0" w:type="auto"/>
            <w:vAlign w:val="center"/>
            <w:hideMark/>
          </w:tcPr>
          <w:p w14:paraId="2BCEE427" w14:textId="77777777" w:rsidR="00BA4141" w:rsidRPr="007245B0" w:rsidRDefault="00BA4141" w:rsidP="00537910">
            <w:pPr>
              <w:pStyle w:val="NoSpacing"/>
              <w:jc w:val="center"/>
              <w:rPr>
                <w:rFonts w:ascii="Times New Roman" w:hAnsi="Times New Roman" w:cs="Times New Roman"/>
                <w:sz w:val="18"/>
                <w:szCs w:val="18"/>
              </w:rPr>
            </w:pPr>
            <w:r w:rsidRPr="007245B0">
              <w:rPr>
                <w:rFonts w:ascii="Times New Roman" w:hAnsi="Times New Roman" w:cs="Times New Roman"/>
                <w:sz w:val="18"/>
                <w:szCs w:val="18"/>
              </w:rPr>
              <w:t>23.74</w:t>
            </w:r>
          </w:p>
        </w:tc>
        <w:tc>
          <w:tcPr>
            <w:tcW w:w="0" w:type="auto"/>
            <w:vAlign w:val="center"/>
            <w:hideMark/>
          </w:tcPr>
          <w:p w14:paraId="3B136ACF" w14:textId="77777777" w:rsidR="00BA4141" w:rsidRPr="007245B0" w:rsidRDefault="00BA4141" w:rsidP="00537910">
            <w:pPr>
              <w:pStyle w:val="NoSpacing"/>
              <w:jc w:val="center"/>
              <w:rPr>
                <w:rFonts w:ascii="Times New Roman" w:hAnsi="Times New Roman" w:cs="Times New Roman"/>
                <w:sz w:val="18"/>
                <w:szCs w:val="18"/>
              </w:rPr>
            </w:pPr>
            <w:r w:rsidRPr="007245B0">
              <w:rPr>
                <w:rFonts w:ascii="Times New Roman" w:hAnsi="Times New Roman" w:cs="Times New Roman"/>
                <w:sz w:val="18"/>
                <w:szCs w:val="18"/>
              </w:rPr>
              <w:t>17.9</w:t>
            </w:r>
          </w:p>
        </w:tc>
        <w:tc>
          <w:tcPr>
            <w:tcW w:w="0" w:type="auto"/>
            <w:vAlign w:val="center"/>
            <w:hideMark/>
          </w:tcPr>
          <w:p w14:paraId="72F55B57" w14:textId="77777777" w:rsidR="00BA4141" w:rsidRPr="007245B0" w:rsidRDefault="00BA4141" w:rsidP="00537910">
            <w:pPr>
              <w:pStyle w:val="NoSpacing"/>
              <w:jc w:val="center"/>
              <w:rPr>
                <w:rFonts w:ascii="Times New Roman" w:hAnsi="Times New Roman" w:cs="Times New Roman"/>
                <w:sz w:val="18"/>
                <w:szCs w:val="18"/>
              </w:rPr>
            </w:pPr>
            <w:r w:rsidRPr="007245B0">
              <w:rPr>
                <w:rFonts w:ascii="Times New Roman" w:hAnsi="Times New Roman" w:cs="Times New Roman"/>
                <w:sz w:val="18"/>
                <w:szCs w:val="18"/>
              </w:rPr>
              <w:t>15.67</w:t>
            </w:r>
          </w:p>
        </w:tc>
        <w:tc>
          <w:tcPr>
            <w:tcW w:w="0" w:type="auto"/>
            <w:vAlign w:val="center"/>
            <w:hideMark/>
          </w:tcPr>
          <w:p w14:paraId="49BE1822" w14:textId="77777777" w:rsidR="00BA4141" w:rsidRPr="007245B0" w:rsidRDefault="00BA4141" w:rsidP="00537910">
            <w:pPr>
              <w:pStyle w:val="NoSpacing"/>
              <w:jc w:val="center"/>
              <w:rPr>
                <w:rFonts w:ascii="Times New Roman" w:hAnsi="Times New Roman" w:cs="Times New Roman"/>
                <w:sz w:val="18"/>
                <w:szCs w:val="18"/>
              </w:rPr>
            </w:pPr>
            <w:r w:rsidRPr="007245B0">
              <w:rPr>
                <w:rFonts w:ascii="Times New Roman" w:hAnsi="Times New Roman" w:cs="Times New Roman"/>
                <w:sz w:val="18"/>
                <w:szCs w:val="18"/>
              </w:rPr>
              <w:t>11.8</w:t>
            </w:r>
          </w:p>
        </w:tc>
      </w:tr>
      <w:tr w:rsidR="00BA4141" w:rsidRPr="007245B0" w14:paraId="4594DDB1" w14:textId="77777777" w:rsidTr="00537910">
        <w:trPr>
          <w:trHeight w:val="308"/>
        </w:trPr>
        <w:tc>
          <w:tcPr>
            <w:tcW w:w="0" w:type="auto"/>
            <w:hideMark/>
          </w:tcPr>
          <w:p w14:paraId="4163E120" w14:textId="77777777" w:rsidR="00BA4141" w:rsidRPr="007245B0" w:rsidRDefault="00BA4141" w:rsidP="00B77C0B">
            <w:pPr>
              <w:pStyle w:val="NoSpacing"/>
              <w:rPr>
                <w:rFonts w:ascii="Times New Roman" w:hAnsi="Times New Roman" w:cs="Times New Roman"/>
                <w:sz w:val="18"/>
                <w:szCs w:val="18"/>
              </w:rPr>
            </w:pPr>
            <w:r w:rsidRPr="007245B0">
              <w:rPr>
                <w:rFonts w:ascii="Times New Roman" w:hAnsi="Times New Roman" w:cs="Times New Roman"/>
                <w:sz w:val="18"/>
                <w:szCs w:val="18"/>
              </w:rPr>
              <w:t>Gujarat</w:t>
            </w:r>
          </w:p>
        </w:tc>
        <w:tc>
          <w:tcPr>
            <w:tcW w:w="0" w:type="auto"/>
            <w:vAlign w:val="center"/>
            <w:hideMark/>
          </w:tcPr>
          <w:p w14:paraId="2FC0719A" w14:textId="77777777" w:rsidR="00BA4141" w:rsidRPr="007245B0" w:rsidRDefault="00BA4141" w:rsidP="00537910">
            <w:pPr>
              <w:pStyle w:val="NoSpacing"/>
              <w:jc w:val="center"/>
              <w:rPr>
                <w:rFonts w:ascii="Times New Roman" w:hAnsi="Times New Roman" w:cs="Times New Roman"/>
                <w:sz w:val="18"/>
                <w:szCs w:val="18"/>
              </w:rPr>
            </w:pPr>
            <w:r w:rsidRPr="007245B0">
              <w:rPr>
                <w:rFonts w:ascii="Times New Roman" w:hAnsi="Times New Roman" w:cs="Times New Roman"/>
                <w:sz w:val="18"/>
                <w:szCs w:val="18"/>
              </w:rPr>
              <w:t>424</w:t>
            </w:r>
          </w:p>
        </w:tc>
        <w:tc>
          <w:tcPr>
            <w:tcW w:w="0" w:type="auto"/>
            <w:vAlign w:val="center"/>
            <w:hideMark/>
          </w:tcPr>
          <w:p w14:paraId="04D2E6C8" w14:textId="77777777" w:rsidR="00BA4141" w:rsidRPr="007245B0" w:rsidRDefault="00BA4141" w:rsidP="00537910">
            <w:pPr>
              <w:pStyle w:val="NoSpacing"/>
              <w:jc w:val="center"/>
              <w:rPr>
                <w:rFonts w:ascii="Times New Roman" w:hAnsi="Times New Roman" w:cs="Times New Roman"/>
                <w:sz w:val="18"/>
                <w:szCs w:val="18"/>
              </w:rPr>
            </w:pPr>
            <w:r w:rsidRPr="007245B0">
              <w:rPr>
                <w:rFonts w:ascii="Times New Roman" w:hAnsi="Times New Roman" w:cs="Times New Roman"/>
                <w:sz w:val="18"/>
                <w:szCs w:val="18"/>
              </w:rPr>
              <w:t>NA</w:t>
            </w:r>
          </w:p>
        </w:tc>
        <w:tc>
          <w:tcPr>
            <w:tcW w:w="0" w:type="auto"/>
            <w:vAlign w:val="center"/>
            <w:hideMark/>
          </w:tcPr>
          <w:p w14:paraId="29EC4539" w14:textId="77777777" w:rsidR="00BA4141" w:rsidRPr="007245B0" w:rsidRDefault="00BA4141" w:rsidP="00537910">
            <w:pPr>
              <w:pStyle w:val="NoSpacing"/>
              <w:jc w:val="center"/>
              <w:rPr>
                <w:rFonts w:ascii="Times New Roman" w:hAnsi="Times New Roman" w:cs="Times New Roman"/>
                <w:sz w:val="18"/>
                <w:szCs w:val="18"/>
              </w:rPr>
            </w:pPr>
            <w:r w:rsidRPr="007245B0">
              <w:rPr>
                <w:rFonts w:ascii="Times New Roman" w:hAnsi="Times New Roman" w:cs="Times New Roman"/>
                <w:sz w:val="18"/>
                <w:szCs w:val="18"/>
              </w:rPr>
              <w:t>1689</w:t>
            </w:r>
          </w:p>
        </w:tc>
        <w:tc>
          <w:tcPr>
            <w:tcW w:w="0" w:type="auto"/>
            <w:vAlign w:val="center"/>
            <w:hideMark/>
          </w:tcPr>
          <w:p w14:paraId="682868E2" w14:textId="77777777" w:rsidR="00BA4141" w:rsidRPr="007245B0" w:rsidRDefault="00BA4141" w:rsidP="00537910">
            <w:pPr>
              <w:pStyle w:val="NoSpacing"/>
              <w:jc w:val="center"/>
              <w:rPr>
                <w:rFonts w:ascii="Times New Roman" w:hAnsi="Times New Roman" w:cs="Times New Roman"/>
                <w:sz w:val="18"/>
                <w:szCs w:val="18"/>
              </w:rPr>
            </w:pPr>
            <w:r w:rsidRPr="007245B0">
              <w:rPr>
                <w:rFonts w:ascii="Times New Roman" w:hAnsi="Times New Roman" w:cs="Times New Roman"/>
                <w:sz w:val="18"/>
                <w:szCs w:val="18"/>
              </w:rPr>
              <w:t>143</w:t>
            </w:r>
          </w:p>
        </w:tc>
        <w:tc>
          <w:tcPr>
            <w:tcW w:w="0" w:type="auto"/>
            <w:vAlign w:val="center"/>
            <w:hideMark/>
          </w:tcPr>
          <w:p w14:paraId="714C8362" w14:textId="77777777" w:rsidR="00BA4141" w:rsidRPr="007245B0" w:rsidRDefault="00BA4141" w:rsidP="00537910">
            <w:pPr>
              <w:pStyle w:val="NoSpacing"/>
              <w:jc w:val="center"/>
              <w:rPr>
                <w:rFonts w:ascii="Times New Roman" w:hAnsi="Times New Roman" w:cs="Times New Roman"/>
                <w:sz w:val="18"/>
                <w:szCs w:val="18"/>
              </w:rPr>
            </w:pPr>
            <w:r w:rsidRPr="007245B0">
              <w:rPr>
                <w:rFonts w:ascii="Times New Roman" w:hAnsi="Times New Roman" w:cs="Times New Roman"/>
                <w:sz w:val="18"/>
                <w:szCs w:val="18"/>
              </w:rPr>
              <w:t>1404</w:t>
            </w:r>
          </w:p>
        </w:tc>
        <w:tc>
          <w:tcPr>
            <w:tcW w:w="0" w:type="auto"/>
            <w:vAlign w:val="center"/>
            <w:hideMark/>
          </w:tcPr>
          <w:p w14:paraId="1F594C47" w14:textId="77777777" w:rsidR="00BA4141" w:rsidRPr="007245B0" w:rsidRDefault="00BA4141" w:rsidP="00537910">
            <w:pPr>
              <w:pStyle w:val="NoSpacing"/>
              <w:jc w:val="center"/>
              <w:rPr>
                <w:rFonts w:ascii="Times New Roman" w:hAnsi="Times New Roman" w:cs="Times New Roman"/>
                <w:sz w:val="18"/>
                <w:szCs w:val="18"/>
              </w:rPr>
            </w:pPr>
            <w:r w:rsidRPr="007245B0">
              <w:rPr>
                <w:rFonts w:ascii="Times New Roman" w:hAnsi="Times New Roman" w:cs="Times New Roman"/>
                <w:sz w:val="18"/>
                <w:szCs w:val="18"/>
              </w:rPr>
              <w:t>11.66</w:t>
            </w:r>
          </w:p>
        </w:tc>
        <w:tc>
          <w:tcPr>
            <w:tcW w:w="0" w:type="auto"/>
            <w:vAlign w:val="center"/>
            <w:hideMark/>
          </w:tcPr>
          <w:p w14:paraId="3FCFF511" w14:textId="77777777" w:rsidR="00BA4141" w:rsidRPr="007245B0" w:rsidRDefault="00BA4141" w:rsidP="00537910">
            <w:pPr>
              <w:pStyle w:val="NoSpacing"/>
              <w:jc w:val="center"/>
              <w:rPr>
                <w:rFonts w:ascii="Times New Roman" w:hAnsi="Times New Roman" w:cs="Times New Roman"/>
                <w:sz w:val="18"/>
                <w:szCs w:val="18"/>
              </w:rPr>
            </w:pPr>
            <w:r w:rsidRPr="007245B0">
              <w:rPr>
                <w:rFonts w:ascii="Times New Roman" w:hAnsi="Times New Roman" w:cs="Times New Roman"/>
                <w:sz w:val="18"/>
                <w:szCs w:val="18"/>
              </w:rPr>
              <w:t>3.54</w:t>
            </w:r>
          </w:p>
        </w:tc>
        <w:tc>
          <w:tcPr>
            <w:tcW w:w="0" w:type="auto"/>
            <w:vAlign w:val="center"/>
            <w:hideMark/>
          </w:tcPr>
          <w:p w14:paraId="27F96CA3" w14:textId="77777777" w:rsidR="00BA4141" w:rsidRPr="007245B0" w:rsidRDefault="00BA4141" w:rsidP="00537910">
            <w:pPr>
              <w:pStyle w:val="NoSpacing"/>
              <w:jc w:val="center"/>
              <w:rPr>
                <w:rFonts w:ascii="Times New Roman" w:hAnsi="Times New Roman" w:cs="Times New Roman"/>
                <w:sz w:val="18"/>
                <w:szCs w:val="18"/>
              </w:rPr>
            </w:pPr>
            <w:r w:rsidRPr="007245B0">
              <w:rPr>
                <w:rFonts w:ascii="Times New Roman" w:hAnsi="Times New Roman" w:cs="Times New Roman"/>
                <w:sz w:val="18"/>
                <w:szCs w:val="18"/>
              </w:rPr>
              <w:t>5.77</w:t>
            </w:r>
          </w:p>
        </w:tc>
        <w:tc>
          <w:tcPr>
            <w:tcW w:w="0" w:type="auto"/>
            <w:vAlign w:val="center"/>
            <w:hideMark/>
          </w:tcPr>
          <w:p w14:paraId="26C96C6D" w14:textId="77777777" w:rsidR="00BA4141" w:rsidRPr="007245B0" w:rsidRDefault="00BA4141" w:rsidP="00537910">
            <w:pPr>
              <w:pStyle w:val="NoSpacing"/>
              <w:jc w:val="center"/>
              <w:rPr>
                <w:rFonts w:ascii="Times New Roman" w:hAnsi="Times New Roman" w:cs="Times New Roman"/>
                <w:sz w:val="18"/>
                <w:szCs w:val="18"/>
              </w:rPr>
            </w:pPr>
            <w:r w:rsidRPr="007245B0">
              <w:rPr>
                <w:rFonts w:ascii="Times New Roman" w:hAnsi="Times New Roman" w:cs="Times New Roman"/>
                <w:sz w:val="18"/>
                <w:szCs w:val="18"/>
              </w:rPr>
              <w:t>20.97</w:t>
            </w:r>
          </w:p>
        </w:tc>
        <w:tc>
          <w:tcPr>
            <w:tcW w:w="0" w:type="auto"/>
            <w:vAlign w:val="center"/>
            <w:hideMark/>
          </w:tcPr>
          <w:p w14:paraId="185168D1" w14:textId="77777777" w:rsidR="00BA4141" w:rsidRPr="007245B0" w:rsidRDefault="00BA4141" w:rsidP="00537910">
            <w:pPr>
              <w:pStyle w:val="NoSpacing"/>
              <w:jc w:val="center"/>
              <w:rPr>
                <w:rFonts w:ascii="Times New Roman" w:hAnsi="Times New Roman" w:cs="Times New Roman"/>
                <w:sz w:val="18"/>
                <w:szCs w:val="18"/>
              </w:rPr>
            </w:pPr>
            <w:r w:rsidRPr="007245B0">
              <w:rPr>
                <w:rFonts w:ascii="Times New Roman" w:hAnsi="Times New Roman" w:cs="Times New Roman"/>
                <w:sz w:val="18"/>
                <w:szCs w:val="18"/>
              </w:rPr>
              <w:t>14.9</w:t>
            </w:r>
          </w:p>
        </w:tc>
        <w:tc>
          <w:tcPr>
            <w:tcW w:w="0" w:type="auto"/>
            <w:vAlign w:val="center"/>
            <w:hideMark/>
          </w:tcPr>
          <w:p w14:paraId="062EDDE4" w14:textId="77777777" w:rsidR="00BA4141" w:rsidRPr="007245B0" w:rsidRDefault="00BA4141" w:rsidP="00537910">
            <w:pPr>
              <w:pStyle w:val="NoSpacing"/>
              <w:jc w:val="center"/>
              <w:rPr>
                <w:rFonts w:ascii="Times New Roman" w:hAnsi="Times New Roman" w:cs="Times New Roman"/>
                <w:sz w:val="18"/>
                <w:szCs w:val="18"/>
              </w:rPr>
            </w:pPr>
            <w:r w:rsidRPr="007245B0">
              <w:rPr>
                <w:rFonts w:ascii="Times New Roman" w:hAnsi="Times New Roman" w:cs="Times New Roman"/>
                <w:sz w:val="18"/>
                <w:szCs w:val="18"/>
              </w:rPr>
              <w:t>19.00</w:t>
            </w:r>
          </w:p>
        </w:tc>
        <w:tc>
          <w:tcPr>
            <w:tcW w:w="0" w:type="auto"/>
            <w:vAlign w:val="center"/>
            <w:hideMark/>
          </w:tcPr>
          <w:p w14:paraId="4F031DA3" w14:textId="77777777" w:rsidR="00BA4141" w:rsidRPr="007245B0" w:rsidRDefault="00BA4141" w:rsidP="00537910">
            <w:pPr>
              <w:pStyle w:val="NoSpacing"/>
              <w:jc w:val="center"/>
              <w:rPr>
                <w:rFonts w:ascii="Times New Roman" w:hAnsi="Times New Roman" w:cs="Times New Roman"/>
                <w:sz w:val="18"/>
                <w:szCs w:val="18"/>
              </w:rPr>
            </w:pPr>
            <w:r w:rsidRPr="007245B0">
              <w:rPr>
                <w:rFonts w:ascii="Times New Roman" w:hAnsi="Times New Roman" w:cs="Times New Roman"/>
                <w:sz w:val="18"/>
                <w:szCs w:val="18"/>
              </w:rPr>
              <w:t>13.5</w:t>
            </w:r>
          </w:p>
        </w:tc>
      </w:tr>
      <w:tr w:rsidR="00BA4141" w:rsidRPr="007245B0" w14:paraId="56C12A36" w14:textId="77777777" w:rsidTr="00537910">
        <w:trPr>
          <w:trHeight w:val="294"/>
        </w:trPr>
        <w:tc>
          <w:tcPr>
            <w:tcW w:w="0" w:type="auto"/>
            <w:hideMark/>
          </w:tcPr>
          <w:p w14:paraId="7B09A338" w14:textId="77777777" w:rsidR="00BA4141" w:rsidRPr="007245B0" w:rsidRDefault="00BA4141" w:rsidP="00B77C0B">
            <w:pPr>
              <w:pStyle w:val="NoSpacing"/>
              <w:rPr>
                <w:rFonts w:ascii="Times New Roman" w:hAnsi="Times New Roman" w:cs="Times New Roman"/>
                <w:sz w:val="18"/>
                <w:szCs w:val="18"/>
              </w:rPr>
            </w:pPr>
            <w:r w:rsidRPr="007245B0">
              <w:rPr>
                <w:rFonts w:ascii="Times New Roman" w:hAnsi="Times New Roman" w:cs="Times New Roman"/>
                <w:sz w:val="18"/>
                <w:szCs w:val="18"/>
              </w:rPr>
              <w:t>Haryana</w:t>
            </w:r>
          </w:p>
        </w:tc>
        <w:tc>
          <w:tcPr>
            <w:tcW w:w="0" w:type="auto"/>
            <w:vAlign w:val="center"/>
            <w:hideMark/>
          </w:tcPr>
          <w:p w14:paraId="3BC785F8" w14:textId="77777777" w:rsidR="00BA4141" w:rsidRPr="007245B0" w:rsidRDefault="00BA4141" w:rsidP="00537910">
            <w:pPr>
              <w:pStyle w:val="NoSpacing"/>
              <w:jc w:val="center"/>
              <w:rPr>
                <w:rFonts w:ascii="Times New Roman" w:hAnsi="Times New Roman" w:cs="Times New Roman"/>
                <w:sz w:val="18"/>
                <w:szCs w:val="18"/>
              </w:rPr>
            </w:pPr>
            <w:r w:rsidRPr="007245B0">
              <w:rPr>
                <w:rFonts w:ascii="Times New Roman" w:hAnsi="Times New Roman" w:cs="Times New Roman"/>
                <w:sz w:val="18"/>
                <w:szCs w:val="18"/>
              </w:rPr>
              <w:t>1173</w:t>
            </w:r>
          </w:p>
        </w:tc>
        <w:tc>
          <w:tcPr>
            <w:tcW w:w="0" w:type="auto"/>
            <w:vAlign w:val="center"/>
            <w:hideMark/>
          </w:tcPr>
          <w:p w14:paraId="706B40D9" w14:textId="77777777" w:rsidR="00BA4141" w:rsidRPr="007245B0" w:rsidRDefault="00BA4141" w:rsidP="00537910">
            <w:pPr>
              <w:pStyle w:val="NoSpacing"/>
              <w:jc w:val="center"/>
              <w:rPr>
                <w:rFonts w:ascii="Times New Roman" w:hAnsi="Times New Roman" w:cs="Times New Roman"/>
                <w:sz w:val="18"/>
                <w:szCs w:val="18"/>
              </w:rPr>
            </w:pPr>
            <w:r w:rsidRPr="007245B0">
              <w:rPr>
                <w:rFonts w:ascii="Times New Roman" w:hAnsi="Times New Roman" w:cs="Times New Roman"/>
                <w:sz w:val="18"/>
                <w:szCs w:val="18"/>
              </w:rPr>
              <w:t>NA</w:t>
            </w:r>
          </w:p>
        </w:tc>
        <w:tc>
          <w:tcPr>
            <w:tcW w:w="0" w:type="auto"/>
            <w:vAlign w:val="center"/>
            <w:hideMark/>
          </w:tcPr>
          <w:p w14:paraId="5DA3C927" w14:textId="77777777" w:rsidR="00BA4141" w:rsidRPr="007245B0" w:rsidRDefault="00BA4141" w:rsidP="00537910">
            <w:pPr>
              <w:pStyle w:val="NoSpacing"/>
              <w:jc w:val="center"/>
              <w:rPr>
                <w:rFonts w:ascii="Times New Roman" w:hAnsi="Times New Roman" w:cs="Times New Roman"/>
                <w:sz w:val="18"/>
                <w:szCs w:val="18"/>
              </w:rPr>
            </w:pPr>
            <w:r w:rsidRPr="007245B0">
              <w:rPr>
                <w:rFonts w:ascii="Times New Roman" w:hAnsi="Times New Roman" w:cs="Times New Roman"/>
                <w:sz w:val="18"/>
                <w:szCs w:val="18"/>
              </w:rPr>
              <w:t>604</w:t>
            </w:r>
          </w:p>
        </w:tc>
        <w:tc>
          <w:tcPr>
            <w:tcW w:w="0" w:type="auto"/>
            <w:vAlign w:val="center"/>
            <w:hideMark/>
          </w:tcPr>
          <w:p w14:paraId="6F68D4FA" w14:textId="77777777" w:rsidR="00BA4141" w:rsidRPr="007245B0" w:rsidRDefault="00BA4141" w:rsidP="00537910">
            <w:pPr>
              <w:pStyle w:val="NoSpacing"/>
              <w:jc w:val="center"/>
              <w:rPr>
                <w:rFonts w:ascii="Times New Roman" w:hAnsi="Times New Roman" w:cs="Times New Roman"/>
                <w:sz w:val="18"/>
                <w:szCs w:val="18"/>
              </w:rPr>
            </w:pPr>
            <w:r w:rsidRPr="007245B0">
              <w:rPr>
                <w:rFonts w:ascii="Times New Roman" w:hAnsi="Times New Roman" w:cs="Times New Roman"/>
                <w:sz w:val="18"/>
                <w:szCs w:val="18"/>
              </w:rPr>
              <w:t>..</w:t>
            </w:r>
          </w:p>
        </w:tc>
        <w:tc>
          <w:tcPr>
            <w:tcW w:w="0" w:type="auto"/>
            <w:vAlign w:val="center"/>
            <w:hideMark/>
          </w:tcPr>
          <w:p w14:paraId="23BF65AC" w14:textId="77777777" w:rsidR="00BA4141" w:rsidRPr="007245B0" w:rsidRDefault="00BA4141" w:rsidP="00537910">
            <w:pPr>
              <w:pStyle w:val="NoSpacing"/>
              <w:jc w:val="center"/>
              <w:rPr>
                <w:rFonts w:ascii="Times New Roman" w:hAnsi="Times New Roman" w:cs="Times New Roman"/>
                <w:sz w:val="18"/>
                <w:szCs w:val="18"/>
              </w:rPr>
            </w:pPr>
            <w:r w:rsidRPr="007245B0">
              <w:rPr>
                <w:rFonts w:ascii="Times New Roman" w:hAnsi="Times New Roman" w:cs="Times New Roman"/>
                <w:sz w:val="18"/>
                <w:szCs w:val="18"/>
              </w:rPr>
              <w:t>501</w:t>
            </w:r>
          </w:p>
        </w:tc>
        <w:tc>
          <w:tcPr>
            <w:tcW w:w="0" w:type="auto"/>
            <w:vAlign w:val="center"/>
            <w:hideMark/>
          </w:tcPr>
          <w:p w14:paraId="00AC2BDD" w14:textId="77777777" w:rsidR="00BA4141" w:rsidRPr="007245B0" w:rsidRDefault="00BA4141" w:rsidP="00537910">
            <w:pPr>
              <w:pStyle w:val="NoSpacing"/>
              <w:jc w:val="center"/>
              <w:rPr>
                <w:rFonts w:ascii="Times New Roman" w:hAnsi="Times New Roman" w:cs="Times New Roman"/>
                <w:sz w:val="18"/>
                <w:szCs w:val="18"/>
              </w:rPr>
            </w:pPr>
            <w:r w:rsidRPr="007245B0">
              <w:rPr>
                <w:rFonts w:ascii="Times New Roman" w:hAnsi="Times New Roman" w:cs="Times New Roman"/>
                <w:sz w:val="18"/>
                <w:szCs w:val="18"/>
              </w:rPr>
              <w:t>2.70</w:t>
            </w:r>
          </w:p>
        </w:tc>
        <w:tc>
          <w:tcPr>
            <w:tcW w:w="0" w:type="auto"/>
            <w:vAlign w:val="center"/>
            <w:hideMark/>
          </w:tcPr>
          <w:p w14:paraId="681B6F7C" w14:textId="77777777" w:rsidR="00BA4141" w:rsidRPr="007245B0" w:rsidRDefault="00BA4141" w:rsidP="00537910">
            <w:pPr>
              <w:pStyle w:val="NoSpacing"/>
              <w:jc w:val="center"/>
              <w:rPr>
                <w:rFonts w:ascii="Times New Roman" w:hAnsi="Times New Roman" w:cs="Times New Roman"/>
                <w:sz w:val="18"/>
                <w:szCs w:val="18"/>
              </w:rPr>
            </w:pPr>
            <w:r w:rsidRPr="007245B0">
              <w:rPr>
                <w:rFonts w:ascii="Times New Roman" w:hAnsi="Times New Roman" w:cs="Times New Roman"/>
                <w:sz w:val="18"/>
                <w:szCs w:val="18"/>
              </w:rPr>
              <w:t>1.11</w:t>
            </w:r>
          </w:p>
        </w:tc>
        <w:tc>
          <w:tcPr>
            <w:tcW w:w="0" w:type="auto"/>
            <w:vAlign w:val="center"/>
            <w:hideMark/>
          </w:tcPr>
          <w:p w14:paraId="7F90DCB5" w14:textId="77777777" w:rsidR="00BA4141" w:rsidRPr="007245B0" w:rsidRDefault="00BA4141" w:rsidP="00537910">
            <w:pPr>
              <w:pStyle w:val="NoSpacing"/>
              <w:jc w:val="center"/>
              <w:rPr>
                <w:rFonts w:ascii="Times New Roman" w:hAnsi="Times New Roman" w:cs="Times New Roman"/>
                <w:sz w:val="18"/>
                <w:szCs w:val="18"/>
              </w:rPr>
            </w:pPr>
            <w:r w:rsidRPr="007245B0">
              <w:rPr>
                <w:rFonts w:ascii="Times New Roman" w:hAnsi="Times New Roman" w:cs="Times New Roman"/>
                <w:sz w:val="18"/>
                <w:szCs w:val="18"/>
              </w:rPr>
              <w:t>3.20</w:t>
            </w:r>
          </w:p>
        </w:tc>
        <w:tc>
          <w:tcPr>
            <w:tcW w:w="0" w:type="auto"/>
            <w:vAlign w:val="center"/>
            <w:hideMark/>
          </w:tcPr>
          <w:p w14:paraId="7370104D" w14:textId="77777777" w:rsidR="00BA4141" w:rsidRPr="007245B0" w:rsidRDefault="00BA4141" w:rsidP="00537910">
            <w:pPr>
              <w:pStyle w:val="NoSpacing"/>
              <w:jc w:val="center"/>
              <w:rPr>
                <w:rFonts w:ascii="Times New Roman" w:hAnsi="Times New Roman" w:cs="Times New Roman"/>
                <w:sz w:val="18"/>
                <w:szCs w:val="18"/>
              </w:rPr>
            </w:pPr>
            <w:r w:rsidRPr="007245B0">
              <w:rPr>
                <w:rFonts w:ascii="Times New Roman" w:hAnsi="Times New Roman" w:cs="Times New Roman"/>
                <w:sz w:val="18"/>
                <w:szCs w:val="18"/>
              </w:rPr>
              <w:t>7.01</w:t>
            </w:r>
          </w:p>
        </w:tc>
        <w:tc>
          <w:tcPr>
            <w:tcW w:w="0" w:type="auto"/>
            <w:vAlign w:val="center"/>
            <w:hideMark/>
          </w:tcPr>
          <w:p w14:paraId="2D2E4040" w14:textId="77777777" w:rsidR="00BA4141" w:rsidRPr="007245B0" w:rsidRDefault="00BA4141" w:rsidP="00537910">
            <w:pPr>
              <w:pStyle w:val="NoSpacing"/>
              <w:jc w:val="center"/>
              <w:rPr>
                <w:rFonts w:ascii="Times New Roman" w:hAnsi="Times New Roman" w:cs="Times New Roman"/>
                <w:sz w:val="18"/>
                <w:szCs w:val="18"/>
              </w:rPr>
            </w:pPr>
            <w:r w:rsidRPr="007245B0">
              <w:rPr>
                <w:rFonts w:ascii="Times New Roman" w:hAnsi="Times New Roman" w:cs="Times New Roman"/>
                <w:sz w:val="18"/>
                <w:szCs w:val="18"/>
              </w:rPr>
              <w:t>14.0</w:t>
            </w:r>
          </w:p>
        </w:tc>
        <w:tc>
          <w:tcPr>
            <w:tcW w:w="0" w:type="auto"/>
            <w:vAlign w:val="center"/>
            <w:hideMark/>
          </w:tcPr>
          <w:p w14:paraId="6263AED7" w14:textId="77777777" w:rsidR="00BA4141" w:rsidRPr="007245B0" w:rsidRDefault="00BA4141" w:rsidP="00537910">
            <w:pPr>
              <w:pStyle w:val="NoSpacing"/>
              <w:jc w:val="center"/>
              <w:rPr>
                <w:rFonts w:ascii="Times New Roman" w:hAnsi="Times New Roman" w:cs="Times New Roman"/>
                <w:sz w:val="18"/>
                <w:szCs w:val="18"/>
              </w:rPr>
            </w:pPr>
            <w:r w:rsidRPr="007245B0">
              <w:rPr>
                <w:rFonts w:ascii="Times New Roman" w:hAnsi="Times New Roman" w:cs="Times New Roman"/>
                <w:sz w:val="18"/>
                <w:szCs w:val="18"/>
              </w:rPr>
              <w:t>7.60</w:t>
            </w:r>
          </w:p>
        </w:tc>
        <w:tc>
          <w:tcPr>
            <w:tcW w:w="0" w:type="auto"/>
            <w:vAlign w:val="center"/>
            <w:hideMark/>
          </w:tcPr>
          <w:p w14:paraId="253754E9" w14:textId="77777777" w:rsidR="00BA4141" w:rsidRPr="007245B0" w:rsidRDefault="00BA4141" w:rsidP="00537910">
            <w:pPr>
              <w:pStyle w:val="NoSpacing"/>
              <w:jc w:val="center"/>
              <w:rPr>
                <w:rFonts w:ascii="Times New Roman" w:hAnsi="Times New Roman" w:cs="Times New Roman"/>
                <w:sz w:val="18"/>
                <w:szCs w:val="18"/>
              </w:rPr>
            </w:pPr>
            <w:r w:rsidRPr="007245B0">
              <w:rPr>
                <w:rFonts w:ascii="Times New Roman" w:hAnsi="Times New Roman" w:cs="Times New Roman"/>
                <w:sz w:val="18"/>
                <w:szCs w:val="18"/>
              </w:rPr>
              <w:t>15.1</w:t>
            </w:r>
          </w:p>
        </w:tc>
      </w:tr>
      <w:tr w:rsidR="00BA4141" w:rsidRPr="007245B0" w14:paraId="65184109" w14:textId="77777777" w:rsidTr="00537910">
        <w:trPr>
          <w:trHeight w:val="294"/>
        </w:trPr>
        <w:tc>
          <w:tcPr>
            <w:tcW w:w="0" w:type="auto"/>
            <w:hideMark/>
          </w:tcPr>
          <w:p w14:paraId="4B7D42F7" w14:textId="77777777" w:rsidR="00BA4141" w:rsidRPr="007245B0" w:rsidRDefault="00BA4141" w:rsidP="00B77C0B">
            <w:pPr>
              <w:pStyle w:val="NoSpacing"/>
              <w:rPr>
                <w:rFonts w:ascii="Times New Roman" w:hAnsi="Times New Roman" w:cs="Times New Roman"/>
                <w:sz w:val="18"/>
                <w:szCs w:val="18"/>
              </w:rPr>
            </w:pPr>
            <w:r w:rsidRPr="007245B0">
              <w:rPr>
                <w:rFonts w:ascii="Times New Roman" w:hAnsi="Times New Roman" w:cs="Times New Roman"/>
                <w:sz w:val="18"/>
                <w:szCs w:val="18"/>
              </w:rPr>
              <w:t>Kerala</w:t>
            </w:r>
          </w:p>
        </w:tc>
        <w:tc>
          <w:tcPr>
            <w:tcW w:w="0" w:type="auto"/>
            <w:vAlign w:val="center"/>
            <w:hideMark/>
          </w:tcPr>
          <w:p w14:paraId="1F7EE668" w14:textId="77777777" w:rsidR="00BA4141" w:rsidRPr="007245B0" w:rsidRDefault="00BA4141" w:rsidP="00537910">
            <w:pPr>
              <w:pStyle w:val="NoSpacing"/>
              <w:jc w:val="center"/>
              <w:rPr>
                <w:rFonts w:ascii="Times New Roman" w:hAnsi="Times New Roman" w:cs="Times New Roman"/>
                <w:sz w:val="18"/>
                <w:szCs w:val="18"/>
              </w:rPr>
            </w:pPr>
            <w:r w:rsidRPr="007245B0">
              <w:rPr>
                <w:rFonts w:ascii="Times New Roman" w:hAnsi="Times New Roman" w:cs="Times New Roman"/>
                <w:sz w:val="18"/>
                <w:szCs w:val="18"/>
              </w:rPr>
              <w:t>528</w:t>
            </w:r>
          </w:p>
        </w:tc>
        <w:tc>
          <w:tcPr>
            <w:tcW w:w="0" w:type="auto"/>
            <w:vAlign w:val="center"/>
            <w:hideMark/>
          </w:tcPr>
          <w:p w14:paraId="6259F41A" w14:textId="77777777" w:rsidR="00BA4141" w:rsidRPr="007245B0" w:rsidRDefault="00BA4141" w:rsidP="00537910">
            <w:pPr>
              <w:pStyle w:val="NoSpacing"/>
              <w:jc w:val="center"/>
              <w:rPr>
                <w:rFonts w:ascii="Times New Roman" w:hAnsi="Times New Roman" w:cs="Times New Roman"/>
                <w:sz w:val="18"/>
                <w:szCs w:val="18"/>
              </w:rPr>
            </w:pPr>
            <w:r w:rsidRPr="007245B0">
              <w:rPr>
                <w:rFonts w:ascii="Times New Roman" w:hAnsi="Times New Roman" w:cs="Times New Roman"/>
                <w:sz w:val="18"/>
                <w:szCs w:val="18"/>
              </w:rPr>
              <w:t>247</w:t>
            </w:r>
          </w:p>
        </w:tc>
        <w:tc>
          <w:tcPr>
            <w:tcW w:w="0" w:type="auto"/>
            <w:vAlign w:val="center"/>
            <w:hideMark/>
          </w:tcPr>
          <w:p w14:paraId="2FF67EDC" w14:textId="77777777" w:rsidR="00BA4141" w:rsidRPr="007245B0" w:rsidRDefault="00BA4141" w:rsidP="00537910">
            <w:pPr>
              <w:pStyle w:val="NoSpacing"/>
              <w:jc w:val="center"/>
              <w:rPr>
                <w:rFonts w:ascii="Times New Roman" w:hAnsi="Times New Roman" w:cs="Times New Roman"/>
                <w:sz w:val="18"/>
                <w:szCs w:val="18"/>
              </w:rPr>
            </w:pPr>
            <w:r w:rsidRPr="007245B0">
              <w:rPr>
                <w:rFonts w:ascii="Times New Roman" w:hAnsi="Times New Roman" w:cs="Times New Roman"/>
                <w:sz w:val="18"/>
                <w:szCs w:val="18"/>
              </w:rPr>
              <w:t>1407</w:t>
            </w:r>
          </w:p>
        </w:tc>
        <w:tc>
          <w:tcPr>
            <w:tcW w:w="0" w:type="auto"/>
            <w:vAlign w:val="center"/>
            <w:hideMark/>
          </w:tcPr>
          <w:p w14:paraId="1E6D899A" w14:textId="77777777" w:rsidR="00BA4141" w:rsidRPr="007245B0" w:rsidRDefault="00BA4141" w:rsidP="00537910">
            <w:pPr>
              <w:pStyle w:val="NoSpacing"/>
              <w:jc w:val="center"/>
              <w:rPr>
                <w:rFonts w:ascii="Times New Roman" w:hAnsi="Times New Roman" w:cs="Times New Roman"/>
                <w:sz w:val="18"/>
                <w:szCs w:val="18"/>
              </w:rPr>
            </w:pPr>
            <w:r w:rsidRPr="007245B0">
              <w:rPr>
                <w:rFonts w:ascii="Times New Roman" w:hAnsi="Times New Roman" w:cs="Times New Roman"/>
                <w:sz w:val="18"/>
                <w:szCs w:val="18"/>
              </w:rPr>
              <w:t>32</w:t>
            </w:r>
          </w:p>
        </w:tc>
        <w:tc>
          <w:tcPr>
            <w:tcW w:w="0" w:type="auto"/>
            <w:vAlign w:val="center"/>
            <w:hideMark/>
          </w:tcPr>
          <w:p w14:paraId="6B449DF4" w14:textId="77777777" w:rsidR="00BA4141" w:rsidRPr="007245B0" w:rsidRDefault="00BA4141" w:rsidP="00537910">
            <w:pPr>
              <w:pStyle w:val="NoSpacing"/>
              <w:jc w:val="center"/>
              <w:rPr>
                <w:rFonts w:ascii="Times New Roman" w:hAnsi="Times New Roman" w:cs="Times New Roman"/>
                <w:sz w:val="18"/>
                <w:szCs w:val="18"/>
              </w:rPr>
            </w:pPr>
            <w:r w:rsidRPr="007245B0">
              <w:rPr>
                <w:rFonts w:ascii="Times New Roman" w:hAnsi="Times New Roman" w:cs="Times New Roman"/>
                <w:sz w:val="18"/>
                <w:szCs w:val="18"/>
              </w:rPr>
              <w:t>1208</w:t>
            </w:r>
          </w:p>
        </w:tc>
        <w:tc>
          <w:tcPr>
            <w:tcW w:w="0" w:type="auto"/>
            <w:vAlign w:val="center"/>
            <w:hideMark/>
          </w:tcPr>
          <w:p w14:paraId="426C7EA5" w14:textId="77777777" w:rsidR="00BA4141" w:rsidRPr="007245B0" w:rsidRDefault="00BA4141" w:rsidP="00537910">
            <w:pPr>
              <w:pStyle w:val="NoSpacing"/>
              <w:jc w:val="center"/>
              <w:rPr>
                <w:rFonts w:ascii="Times New Roman" w:hAnsi="Times New Roman" w:cs="Times New Roman"/>
                <w:sz w:val="18"/>
                <w:szCs w:val="18"/>
              </w:rPr>
            </w:pPr>
            <w:r w:rsidRPr="007245B0">
              <w:rPr>
                <w:rFonts w:ascii="Times New Roman" w:hAnsi="Times New Roman" w:cs="Times New Roman"/>
                <w:sz w:val="18"/>
                <w:szCs w:val="18"/>
              </w:rPr>
              <w:t>4.26</w:t>
            </w:r>
          </w:p>
        </w:tc>
        <w:tc>
          <w:tcPr>
            <w:tcW w:w="0" w:type="auto"/>
            <w:vAlign w:val="center"/>
            <w:hideMark/>
          </w:tcPr>
          <w:p w14:paraId="57435416" w14:textId="77777777" w:rsidR="00BA4141" w:rsidRPr="007245B0" w:rsidRDefault="00BA4141" w:rsidP="00537910">
            <w:pPr>
              <w:pStyle w:val="NoSpacing"/>
              <w:jc w:val="center"/>
              <w:rPr>
                <w:rFonts w:ascii="Times New Roman" w:hAnsi="Times New Roman" w:cs="Times New Roman"/>
                <w:sz w:val="18"/>
                <w:szCs w:val="18"/>
              </w:rPr>
            </w:pPr>
            <w:r w:rsidRPr="007245B0">
              <w:rPr>
                <w:rFonts w:ascii="Times New Roman" w:hAnsi="Times New Roman" w:cs="Times New Roman"/>
                <w:sz w:val="18"/>
                <w:szCs w:val="18"/>
              </w:rPr>
              <w:t>1.90</w:t>
            </w:r>
          </w:p>
        </w:tc>
        <w:tc>
          <w:tcPr>
            <w:tcW w:w="0" w:type="auto"/>
            <w:vAlign w:val="center"/>
            <w:hideMark/>
          </w:tcPr>
          <w:p w14:paraId="4CFDA928" w14:textId="77777777" w:rsidR="00BA4141" w:rsidRPr="007245B0" w:rsidRDefault="00BA4141" w:rsidP="00537910">
            <w:pPr>
              <w:pStyle w:val="NoSpacing"/>
              <w:jc w:val="center"/>
              <w:rPr>
                <w:rFonts w:ascii="Times New Roman" w:hAnsi="Times New Roman" w:cs="Times New Roman"/>
                <w:sz w:val="18"/>
                <w:szCs w:val="18"/>
              </w:rPr>
            </w:pPr>
            <w:r w:rsidRPr="007245B0">
              <w:rPr>
                <w:rFonts w:ascii="Times New Roman" w:hAnsi="Times New Roman" w:cs="Times New Roman"/>
                <w:sz w:val="18"/>
                <w:szCs w:val="18"/>
              </w:rPr>
              <w:t>5.41</w:t>
            </w:r>
          </w:p>
        </w:tc>
        <w:tc>
          <w:tcPr>
            <w:tcW w:w="0" w:type="auto"/>
            <w:vAlign w:val="center"/>
            <w:hideMark/>
          </w:tcPr>
          <w:p w14:paraId="3A4F4337" w14:textId="77777777" w:rsidR="00BA4141" w:rsidRPr="007245B0" w:rsidRDefault="00BA4141" w:rsidP="00537910">
            <w:pPr>
              <w:pStyle w:val="NoSpacing"/>
              <w:jc w:val="center"/>
              <w:rPr>
                <w:rFonts w:ascii="Times New Roman" w:hAnsi="Times New Roman" w:cs="Times New Roman"/>
                <w:sz w:val="18"/>
                <w:szCs w:val="18"/>
              </w:rPr>
            </w:pPr>
            <w:r w:rsidRPr="007245B0">
              <w:rPr>
                <w:rFonts w:ascii="Times New Roman" w:hAnsi="Times New Roman" w:cs="Times New Roman"/>
                <w:sz w:val="18"/>
                <w:szCs w:val="18"/>
              </w:rPr>
              <w:t>11.57</w:t>
            </w:r>
          </w:p>
        </w:tc>
        <w:tc>
          <w:tcPr>
            <w:tcW w:w="0" w:type="auto"/>
            <w:vAlign w:val="center"/>
            <w:hideMark/>
          </w:tcPr>
          <w:p w14:paraId="0DD26D19" w14:textId="77777777" w:rsidR="00BA4141" w:rsidRPr="007245B0" w:rsidRDefault="00BA4141" w:rsidP="00537910">
            <w:pPr>
              <w:pStyle w:val="NoSpacing"/>
              <w:jc w:val="center"/>
              <w:rPr>
                <w:rFonts w:ascii="Times New Roman" w:hAnsi="Times New Roman" w:cs="Times New Roman"/>
                <w:sz w:val="18"/>
                <w:szCs w:val="18"/>
              </w:rPr>
            </w:pPr>
            <w:r w:rsidRPr="007245B0">
              <w:rPr>
                <w:rFonts w:ascii="Times New Roman" w:hAnsi="Times New Roman" w:cs="Times New Roman"/>
                <w:sz w:val="18"/>
                <w:szCs w:val="18"/>
              </w:rPr>
              <w:t>9.6</w:t>
            </w:r>
          </w:p>
        </w:tc>
        <w:tc>
          <w:tcPr>
            <w:tcW w:w="0" w:type="auto"/>
            <w:vAlign w:val="center"/>
            <w:hideMark/>
          </w:tcPr>
          <w:p w14:paraId="5CB022EF" w14:textId="77777777" w:rsidR="00BA4141" w:rsidRPr="007245B0" w:rsidRDefault="00BA4141" w:rsidP="00537910">
            <w:pPr>
              <w:pStyle w:val="NoSpacing"/>
              <w:jc w:val="center"/>
              <w:rPr>
                <w:rFonts w:ascii="Times New Roman" w:hAnsi="Times New Roman" w:cs="Times New Roman"/>
                <w:sz w:val="18"/>
                <w:szCs w:val="18"/>
              </w:rPr>
            </w:pPr>
            <w:r w:rsidRPr="007245B0">
              <w:rPr>
                <w:rFonts w:ascii="Times New Roman" w:hAnsi="Times New Roman" w:cs="Times New Roman"/>
                <w:sz w:val="18"/>
                <w:szCs w:val="18"/>
              </w:rPr>
              <w:t>9.42</w:t>
            </w:r>
          </w:p>
        </w:tc>
        <w:tc>
          <w:tcPr>
            <w:tcW w:w="0" w:type="auto"/>
            <w:vAlign w:val="center"/>
            <w:hideMark/>
          </w:tcPr>
          <w:p w14:paraId="6C391645" w14:textId="77777777" w:rsidR="00BA4141" w:rsidRPr="007245B0" w:rsidRDefault="00BA4141" w:rsidP="00537910">
            <w:pPr>
              <w:pStyle w:val="NoSpacing"/>
              <w:jc w:val="center"/>
              <w:rPr>
                <w:rFonts w:ascii="Times New Roman" w:hAnsi="Times New Roman" w:cs="Times New Roman"/>
                <w:sz w:val="18"/>
                <w:szCs w:val="18"/>
              </w:rPr>
            </w:pPr>
            <w:r w:rsidRPr="007245B0">
              <w:rPr>
                <w:rFonts w:ascii="Times New Roman" w:hAnsi="Times New Roman" w:cs="Times New Roman"/>
                <w:sz w:val="18"/>
                <w:szCs w:val="18"/>
              </w:rPr>
              <w:t>7.8</w:t>
            </w:r>
          </w:p>
        </w:tc>
      </w:tr>
      <w:tr w:rsidR="00BA4141" w:rsidRPr="007245B0" w14:paraId="5D7E6AC3" w14:textId="77777777" w:rsidTr="00537910">
        <w:trPr>
          <w:trHeight w:val="604"/>
        </w:trPr>
        <w:tc>
          <w:tcPr>
            <w:tcW w:w="0" w:type="auto"/>
            <w:hideMark/>
          </w:tcPr>
          <w:p w14:paraId="6E83ECBB" w14:textId="77777777" w:rsidR="00BA4141" w:rsidRPr="007245B0" w:rsidRDefault="00BA4141" w:rsidP="00B77C0B">
            <w:pPr>
              <w:pStyle w:val="NoSpacing"/>
              <w:rPr>
                <w:rFonts w:ascii="Times New Roman" w:hAnsi="Times New Roman" w:cs="Times New Roman"/>
                <w:sz w:val="18"/>
                <w:szCs w:val="18"/>
              </w:rPr>
            </w:pPr>
            <w:r w:rsidRPr="007245B0">
              <w:rPr>
                <w:rFonts w:ascii="Times New Roman" w:hAnsi="Times New Roman" w:cs="Times New Roman"/>
                <w:sz w:val="18"/>
                <w:szCs w:val="18"/>
              </w:rPr>
              <w:t>Madhya Pradesh</w:t>
            </w:r>
          </w:p>
        </w:tc>
        <w:tc>
          <w:tcPr>
            <w:tcW w:w="0" w:type="auto"/>
            <w:vAlign w:val="center"/>
            <w:hideMark/>
          </w:tcPr>
          <w:p w14:paraId="561DA271" w14:textId="77777777" w:rsidR="00BA4141" w:rsidRPr="007245B0" w:rsidRDefault="00BA4141" w:rsidP="00537910">
            <w:pPr>
              <w:pStyle w:val="NoSpacing"/>
              <w:jc w:val="center"/>
              <w:rPr>
                <w:rFonts w:ascii="Times New Roman" w:hAnsi="Times New Roman" w:cs="Times New Roman"/>
                <w:sz w:val="18"/>
                <w:szCs w:val="18"/>
              </w:rPr>
            </w:pPr>
            <w:r w:rsidRPr="007245B0">
              <w:rPr>
                <w:rFonts w:ascii="Times New Roman" w:hAnsi="Times New Roman" w:cs="Times New Roman"/>
                <w:sz w:val="18"/>
                <w:szCs w:val="18"/>
              </w:rPr>
              <w:t>471</w:t>
            </w:r>
          </w:p>
        </w:tc>
        <w:tc>
          <w:tcPr>
            <w:tcW w:w="0" w:type="auto"/>
            <w:vAlign w:val="center"/>
            <w:hideMark/>
          </w:tcPr>
          <w:p w14:paraId="49EDA117" w14:textId="77777777" w:rsidR="00BA4141" w:rsidRPr="007245B0" w:rsidRDefault="00BA4141" w:rsidP="00537910">
            <w:pPr>
              <w:pStyle w:val="NoSpacing"/>
              <w:jc w:val="center"/>
              <w:rPr>
                <w:rFonts w:ascii="Times New Roman" w:hAnsi="Times New Roman" w:cs="Times New Roman"/>
                <w:sz w:val="18"/>
                <w:szCs w:val="18"/>
              </w:rPr>
            </w:pPr>
            <w:r w:rsidRPr="007245B0">
              <w:rPr>
                <w:rFonts w:ascii="Times New Roman" w:hAnsi="Times New Roman" w:cs="Times New Roman"/>
                <w:sz w:val="18"/>
                <w:szCs w:val="18"/>
              </w:rPr>
              <w:t>322</w:t>
            </w:r>
          </w:p>
        </w:tc>
        <w:tc>
          <w:tcPr>
            <w:tcW w:w="0" w:type="auto"/>
            <w:vAlign w:val="center"/>
            <w:hideMark/>
          </w:tcPr>
          <w:p w14:paraId="3C49D99B" w14:textId="77777777" w:rsidR="00BA4141" w:rsidRPr="007245B0" w:rsidRDefault="00BA4141" w:rsidP="00537910">
            <w:pPr>
              <w:pStyle w:val="NoSpacing"/>
              <w:jc w:val="center"/>
              <w:rPr>
                <w:rFonts w:ascii="Times New Roman" w:hAnsi="Times New Roman" w:cs="Times New Roman"/>
                <w:sz w:val="18"/>
                <w:szCs w:val="18"/>
              </w:rPr>
            </w:pPr>
            <w:r w:rsidRPr="007245B0">
              <w:rPr>
                <w:rFonts w:ascii="Times New Roman" w:hAnsi="Times New Roman" w:cs="Times New Roman"/>
                <w:sz w:val="18"/>
                <w:szCs w:val="18"/>
              </w:rPr>
              <w:t>1758</w:t>
            </w:r>
          </w:p>
        </w:tc>
        <w:tc>
          <w:tcPr>
            <w:tcW w:w="0" w:type="auto"/>
            <w:vAlign w:val="center"/>
            <w:hideMark/>
          </w:tcPr>
          <w:p w14:paraId="782DD883" w14:textId="77777777" w:rsidR="00BA4141" w:rsidRPr="007245B0" w:rsidRDefault="00BA4141" w:rsidP="00537910">
            <w:pPr>
              <w:pStyle w:val="NoSpacing"/>
              <w:jc w:val="center"/>
              <w:rPr>
                <w:rFonts w:ascii="Times New Roman" w:hAnsi="Times New Roman" w:cs="Times New Roman"/>
                <w:sz w:val="18"/>
                <w:szCs w:val="18"/>
              </w:rPr>
            </w:pPr>
            <w:r w:rsidRPr="007245B0">
              <w:rPr>
                <w:rFonts w:ascii="Times New Roman" w:hAnsi="Times New Roman" w:cs="Times New Roman"/>
                <w:sz w:val="18"/>
                <w:szCs w:val="18"/>
              </w:rPr>
              <w:t>53</w:t>
            </w:r>
          </w:p>
        </w:tc>
        <w:tc>
          <w:tcPr>
            <w:tcW w:w="0" w:type="auto"/>
            <w:vAlign w:val="center"/>
            <w:hideMark/>
          </w:tcPr>
          <w:p w14:paraId="11D80531" w14:textId="77777777" w:rsidR="00BA4141" w:rsidRPr="007245B0" w:rsidRDefault="00BA4141" w:rsidP="00537910">
            <w:pPr>
              <w:pStyle w:val="NoSpacing"/>
              <w:jc w:val="center"/>
              <w:rPr>
                <w:rFonts w:ascii="Times New Roman" w:hAnsi="Times New Roman" w:cs="Times New Roman"/>
                <w:sz w:val="18"/>
                <w:szCs w:val="18"/>
              </w:rPr>
            </w:pPr>
            <w:r w:rsidRPr="007245B0">
              <w:rPr>
                <w:rFonts w:ascii="Times New Roman" w:hAnsi="Times New Roman" w:cs="Times New Roman"/>
                <w:sz w:val="18"/>
                <w:szCs w:val="18"/>
              </w:rPr>
              <w:t>1438</w:t>
            </w:r>
          </w:p>
        </w:tc>
        <w:tc>
          <w:tcPr>
            <w:tcW w:w="0" w:type="auto"/>
            <w:vAlign w:val="center"/>
            <w:hideMark/>
          </w:tcPr>
          <w:p w14:paraId="274BD5FC" w14:textId="77777777" w:rsidR="00BA4141" w:rsidRPr="007245B0" w:rsidRDefault="00BA4141" w:rsidP="00537910">
            <w:pPr>
              <w:pStyle w:val="NoSpacing"/>
              <w:jc w:val="center"/>
              <w:rPr>
                <w:rFonts w:ascii="Times New Roman" w:hAnsi="Times New Roman" w:cs="Times New Roman"/>
                <w:sz w:val="18"/>
                <w:szCs w:val="18"/>
              </w:rPr>
            </w:pPr>
            <w:r w:rsidRPr="007245B0">
              <w:rPr>
                <w:rFonts w:ascii="Times New Roman" w:hAnsi="Times New Roman" w:cs="Times New Roman"/>
                <w:sz w:val="18"/>
                <w:szCs w:val="18"/>
              </w:rPr>
              <w:t>9.23</w:t>
            </w:r>
          </w:p>
        </w:tc>
        <w:tc>
          <w:tcPr>
            <w:tcW w:w="0" w:type="auto"/>
            <w:vAlign w:val="center"/>
            <w:hideMark/>
          </w:tcPr>
          <w:p w14:paraId="235CEC55" w14:textId="77777777" w:rsidR="00BA4141" w:rsidRPr="007245B0" w:rsidRDefault="00BA4141" w:rsidP="00537910">
            <w:pPr>
              <w:pStyle w:val="NoSpacing"/>
              <w:jc w:val="center"/>
              <w:rPr>
                <w:rFonts w:ascii="Times New Roman" w:hAnsi="Times New Roman" w:cs="Times New Roman"/>
                <w:sz w:val="18"/>
                <w:szCs w:val="18"/>
              </w:rPr>
            </w:pPr>
            <w:r w:rsidRPr="007245B0">
              <w:rPr>
                <w:rFonts w:ascii="Times New Roman" w:hAnsi="Times New Roman" w:cs="Times New Roman"/>
                <w:sz w:val="18"/>
                <w:szCs w:val="18"/>
              </w:rPr>
              <w:t>2.93</w:t>
            </w:r>
          </w:p>
        </w:tc>
        <w:tc>
          <w:tcPr>
            <w:tcW w:w="0" w:type="auto"/>
            <w:vAlign w:val="center"/>
            <w:hideMark/>
          </w:tcPr>
          <w:p w14:paraId="3EE32CCE" w14:textId="77777777" w:rsidR="00BA4141" w:rsidRPr="007245B0" w:rsidRDefault="00BA4141" w:rsidP="00537910">
            <w:pPr>
              <w:pStyle w:val="NoSpacing"/>
              <w:jc w:val="center"/>
              <w:rPr>
                <w:rFonts w:ascii="Times New Roman" w:hAnsi="Times New Roman" w:cs="Times New Roman"/>
                <w:sz w:val="18"/>
                <w:szCs w:val="18"/>
              </w:rPr>
            </w:pPr>
            <w:r w:rsidRPr="007245B0">
              <w:rPr>
                <w:rFonts w:ascii="Times New Roman" w:hAnsi="Times New Roman" w:cs="Times New Roman"/>
                <w:sz w:val="18"/>
                <w:szCs w:val="18"/>
              </w:rPr>
              <w:t>5.38</w:t>
            </w:r>
          </w:p>
        </w:tc>
        <w:tc>
          <w:tcPr>
            <w:tcW w:w="0" w:type="auto"/>
            <w:vAlign w:val="center"/>
            <w:hideMark/>
          </w:tcPr>
          <w:p w14:paraId="2C3AAFF5" w14:textId="77777777" w:rsidR="00BA4141" w:rsidRPr="007245B0" w:rsidRDefault="00BA4141" w:rsidP="00537910">
            <w:pPr>
              <w:pStyle w:val="NoSpacing"/>
              <w:jc w:val="center"/>
              <w:rPr>
                <w:rFonts w:ascii="Times New Roman" w:hAnsi="Times New Roman" w:cs="Times New Roman"/>
                <w:sz w:val="18"/>
                <w:szCs w:val="18"/>
              </w:rPr>
            </w:pPr>
            <w:r w:rsidRPr="007245B0">
              <w:rPr>
                <w:rFonts w:ascii="Times New Roman" w:hAnsi="Times New Roman" w:cs="Times New Roman"/>
                <w:sz w:val="18"/>
                <w:szCs w:val="18"/>
              </w:rPr>
              <w:t>17.54</w:t>
            </w:r>
          </w:p>
        </w:tc>
        <w:tc>
          <w:tcPr>
            <w:tcW w:w="0" w:type="auto"/>
            <w:vAlign w:val="center"/>
            <w:hideMark/>
          </w:tcPr>
          <w:p w14:paraId="627D0AAA" w14:textId="77777777" w:rsidR="00BA4141" w:rsidRPr="007245B0" w:rsidRDefault="00BA4141" w:rsidP="00537910">
            <w:pPr>
              <w:pStyle w:val="NoSpacing"/>
              <w:jc w:val="center"/>
              <w:rPr>
                <w:rFonts w:ascii="Times New Roman" w:hAnsi="Times New Roman" w:cs="Times New Roman"/>
                <w:sz w:val="18"/>
                <w:szCs w:val="18"/>
              </w:rPr>
            </w:pPr>
            <w:r w:rsidRPr="007245B0">
              <w:rPr>
                <w:rFonts w:ascii="Times New Roman" w:hAnsi="Times New Roman" w:cs="Times New Roman"/>
                <w:sz w:val="18"/>
                <w:szCs w:val="18"/>
              </w:rPr>
              <w:t>12.2</w:t>
            </w:r>
          </w:p>
        </w:tc>
        <w:tc>
          <w:tcPr>
            <w:tcW w:w="0" w:type="auto"/>
            <w:vAlign w:val="center"/>
            <w:hideMark/>
          </w:tcPr>
          <w:p w14:paraId="720F1297" w14:textId="77777777" w:rsidR="00BA4141" w:rsidRPr="007245B0" w:rsidRDefault="00BA4141" w:rsidP="00537910">
            <w:pPr>
              <w:pStyle w:val="NoSpacing"/>
              <w:jc w:val="center"/>
              <w:rPr>
                <w:rFonts w:ascii="Times New Roman" w:hAnsi="Times New Roman" w:cs="Times New Roman"/>
                <w:sz w:val="18"/>
                <w:szCs w:val="18"/>
              </w:rPr>
            </w:pPr>
            <w:r w:rsidRPr="007245B0">
              <w:rPr>
                <w:rFonts w:ascii="Times New Roman" w:hAnsi="Times New Roman" w:cs="Times New Roman"/>
                <w:sz w:val="18"/>
                <w:szCs w:val="18"/>
              </w:rPr>
              <w:t>17.97</w:t>
            </w:r>
          </w:p>
        </w:tc>
        <w:tc>
          <w:tcPr>
            <w:tcW w:w="0" w:type="auto"/>
            <w:vAlign w:val="center"/>
            <w:hideMark/>
          </w:tcPr>
          <w:p w14:paraId="47492E34" w14:textId="77777777" w:rsidR="00BA4141" w:rsidRPr="007245B0" w:rsidRDefault="00BA4141" w:rsidP="00537910">
            <w:pPr>
              <w:pStyle w:val="NoSpacing"/>
              <w:jc w:val="center"/>
              <w:rPr>
                <w:rFonts w:ascii="Times New Roman" w:hAnsi="Times New Roman" w:cs="Times New Roman"/>
                <w:sz w:val="18"/>
                <w:szCs w:val="18"/>
              </w:rPr>
            </w:pPr>
            <w:r w:rsidRPr="007245B0">
              <w:rPr>
                <w:rFonts w:ascii="Times New Roman" w:hAnsi="Times New Roman" w:cs="Times New Roman"/>
                <w:sz w:val="18"/>
                <w:szCs w:val="18"/>
              </w:rPr>
              <w:t>12.5</w:t>
            </w:r>
          </w:p>
        </w:tc>
      </w:tr>
      <w:tr w:rsidR="00BA4141" w:rsidRPr="007245B0" w14:paraId="6236FA2D" w14:textId="77777777" w:rsidTr="00537910">
        <w:trPr>
          <w:trHeight w:val="294"/>
        </w:trPr>
        <w:tc>
          <w:tcPr>
            <w:tcW w:w="0" w:type="auto"/>
            <w:hideMark/>
          </w:tcPr>
          <w:p w14:paraId="55D2ADEE" w14:textId="77777777" w:rsidR="00BA4141" w:rsidRPr="007245B0" w:rsidRDefault="00BA4141" w:rsidP="00B77C0B">
            <w:pPr>
              <w:pStyle w:val="NoSpacing"/>
              <w:rPr>
                <w:rFonts w:ascii="Times New Roman" w:hAnsi="Times New Roman" w:cs="Times New Roman"/>
                <w:sz w:val="18"/>
                <w:szCs w:val="18"/>
              </w:rPr>
            </w:pPr>
            <w:r w:rsidRPr="007245B0">
              <w:rPr>
                <w:rFonts w:ascii="Times New Roman" w:hAnsi="Times New Roman" w:cs="Times New Roman"/>
                <w:sz w:val="18"/>
                <w:szCs w:val="18"/>
              </w:rPr>
              <w:t>Maharashtra</w:t>
            </w:r>
          </w:p>
        </w:tc>
        <w:tc>
          <w:tcPr>
            <w:tcW w:w="0" w:type="auto"/>
            <w:vAlign w:val="center"/>
            <w:hideMark/>
          </w:tcPr>
          <w:p w14:paraId="0E675D4E" w14:textId="77777777" w:rsidR="00BA4141" w:rsidRPr="007245B0" w:rsidRDefault="00BA4141" w:rsidP="00537910">
            <w:pPr>
              <w:pStyle w:val="NoSpacing"/>
              <w:jc w:val="center"/>
              <w:rPr>
                <w:rFonts w:ascii="Times New Roman" w:hAnsi="Times New Roman" w:cs="Times New Roman"/>
                <w:sz w:val="18"/>
                <w:szCs w:val="18"/>
              </w:rPr>
            </w:pPr>
            <w:r w:rsidRPr="007245B0">
              <w:rPr>
                <w:rFonts w:ascii="Times New Roman" w:hAnsi="Times New Roman" w:cs="Times New Roman"/>
                <w:sz w:val="18"/>
                <w:szCs w:val="18"/>
              </w:rPr>
              <w:t>786</w:t>
            </w:r>
          </w:p>
        </w:tc>
        <w:tc>
          <w:tcPr>
            <w:tcW w:w="0" w:type="auto"/>
            <w:vAlign w:val="center"/>
            <w:hideMark/>
          </w:tcPr>
          <w:p w14:paraId="2E7324A5" w14:textId="77777777" w:rsidR="00BA4141" w:rsidRPr="007245B0" w:rsidRDefault="00BA4141" w:rsidP="00537910">
            <w:pPr>
              <w:pStyle w:val="NoSpacing"/>
              <w:jc w:val="center"/>
              <w:rPr>
                <w:rFonts w:ascii="Times New Roman" w:hAnsi="Times New Roman" w:cs="Times New Roman"/>
                <w:sz w:val="18"/>
                <w:szCs w:val="18"/>
              </w:rPr>
            </w:pPr>
            <w:r w:rsidRPr="007245B0">
              <w:rPr>
                <w:rFonts w:ascii="Times New Roman" w:hAnsi="Times New Roman" w:cs="Times New Roman"/>
                <w:sz w:val="18"/>
                <w:szCs w:val="18"/>
              </w:rPr>
              <w:t>745</w:t>
            </w:r>
          </w:p>
        </w:tc>
        <w:tc>
          <w:tcPr>
            <w:tcW w:w="0" w:type="auto"/>
            <w:vAlign w:val="center"/>
            <w:hideMark/>
          </w:tcPr>
          <w:p w14:paraId="1251A755" w14:textId="77777777" w:rsidR="00BA4141" w:rsidRPr="007245B0" w:rsidRDefault="00BA4141" w:rsidP="00537910">
            <w:pPr>
              <w:pStyle w:val="NoSpacing"/>
              <w:jc w:val="center"/>
              <w:rPr>
                <w:rFonts w:ascii="Times New Roman" w:hAnsi="Times New Roman" w:cs="Times New Roman"/>
                <w:sz w:val="18"/>
                <w:szCs w:val="18"/>
              </w:rPr>
            </w:pPr>
            <w:r w:rsidRPr="007245B0">
              <w:rPr>
                <w:rFonts w:ascii="Times New Roman" w:hAnsi="Times New Roman" w:cs="Times New Roman"/>
                <w:sz w:val="18"/>
                <w:szCs w:val="18"/>
              </w:rPr>
              <w:t>3726</w:t>
            </w:r>
          </w:p>
        </w:tc>
        <w:tc>
          <w:tcPr>
            <w:tcW w:w="0" w:type="auto"/>
            <w:vAlign w:val="center"/>
            <w:hideMark/>
          </w:tcPr>
          <w:p w14:paraId="618D361A" w14:textId="77777777" w:rsidR="00BA4141" w:rsidRPr="007245B0" w:rsidRDefault="00BA4141" w:rsidP="00537910">
            <w:pPr>
              <w:pStyle w:val="NoSpacing"/>
              <w:jc w:val="center"/>
              <w:rPr>
                <w:rFonts w:ascii="Times New Roman" w:hAnsi="Times New Roman" w:cs="Times New Roman"/>
                <w:sz w:val="18"/>
                <w:szCs w:val="18"/>
              </w:rPr>
            </w:pPr>
            <w:r w:rsidRPr="007245B0">
              <w:rPr>
                <w:rFonts w:ascii="Times New Roman" w:hAnsi="Times New Roman" w:cs="Times New Roman"/>
                <w:sz w:val="18"/>
                <w:szCs w:val="18"/>
              </w:rPr>
              <w:t>348</w:t>
            </w:r>
          </w:p>
        </w:tc>
        <w:tc>
          <w:tcPr>
            <w:tcW w:w="0" w:type="auto"/>
            <w:vAlign w:val="center"/>
            <w:hideMark/>
          </w:tcPr>
          <w:p w14:paraId="01617591" w14:textId="77777777" w:rsidR="00BA4141" w:rsidRPr="007245B0" w:rsidRDefault="00BA4141" w:rsidP="00537910">
            <w:pPr>
              <w:pStyle w:val="NoSpacing"/>
              <w:jc w:val="center"/>
              <w:rPr>
                <w:rFonts w:ascii="Times New Roman" w:hAnsi="Times New Roman" w:cs="Times New Roman"/>
                <w:sz w:val="18"/>
                <w:szCs w:val="18"/>
              </w:rPr>
            </w:pPr>
            <w:r w:rsidRPr="007245B0">
              <w:rPr>
                <w:rFonts w:ascii="Times New Roman" w:hAnsi="Times New Roman" w:cs="Times New Roman"/>
                <w:sz w:val="18"/>
                <w:szCs w:val="18"/>
              </w:rPr>
              <w:t>3429</w:t>
            </w:r>
          </w:p>
        </w:tc>
        <w:tc>
          <w:tcPr>
            <w:tcW w:w="0" w:type="auto"/>
            <w:vAlign w:val="center"/>
            <w:hideMark/>
          </w:tcPr>
          <w:p w14:paraId="12E7E14B" w14:textId="77777777" w:rsidR="00BA4141" w:rsidRPr="007245B0" w:rsidRDefault="00BA4141" w:rsidP="00537910">
            <w:pPr>
              <w:pStyle w:val="NoSpacing"/>
              <w:jc w:val="center"/>
              <w:rPr>
                <w:rFonts w:ascii="Times New Roman" w:hAnsi="Times New Roman" w:cs="Times New Roman"/>
                <w:sz w:val="18"/>
                <w:szCs w:val="18"/>
              </w:rPr>
            </w:pPr>
            <w:r w:rsidRPr="007245B0">
              <w:rPr>
                <w:rFonts w:ascii="Times New Roman" w:hAnsi="Times New Roman" w:cs="Times New Roman"/>
                <w:sz w:val="18"/>
                <w:szCs w:val="18"/>
              </w:rPr>
              <w:t>18.52</w:t>
            </w:r>
          </w:p>
        </w:tc>
        <w:tc>
          <w:tcPr>
            <w:tcW w:w="0" w:type="auto"/>
            <w:vAlign w:val="center"/>
            <w:hideMark/>
          </w:tcPr>
          <w:p w14:paraId="64BAB4C4" w14:textId="77777777" w:rsidR="00BA4141" w:rsidRPr="007245B0" w:rsidRDefault="00BA4141" w:rsidP="00537910">
            <w:pPr>
              <w:pStyle w:val="NoSpacing"/>
              <w:jc w:val="center"/>
              <w:rPr>
                <w:rFonts w:ascii="Times New Roman" w:hAnsi="Times New Roman" w:cs="Times New Roman"/>
                <w:sz w:val="18"/>
                <w:szCs w:val="18"/>
              </w:rPr>
            </w:pPr>
            <w:r w:rsidRPr="007245B0">
              <w:rPr>
                <w:rFonts w:ascii="Times New Roman" w:hAnsi="Times New Roman" w:cs="Times New Roman"/>
                <w:sz w:val="18"/>
                <w:szCs w:val="18"/>
              </w:rPr>
              <w:t>3.25</w:t>
            </w:r>
          </w:p>
        </w:tc>
        <w:tc>
          <w:tcPr>
            <w:tcW w:w="0" w:type="auto"/>
            <w:vAlign w:val="center"/>
            <w:hideMark/>
          </w:tcPr>
          <w:p w14:paraId="69B5A339" w14:textId="77777777" w:rsidR="00BA4141" w:rsidRPr="007245B0" w:rsidRDefault="00BA4141" w:rsidP="00537910">
            <w:pPr>
              <w:pStyle w:val="NoSpacing"/>
              <w:jc w:val="center"/>
              <w:rPr>
                <w:rFonts w:ascii="Times New Roman" w:hAnsi="Times New Roman" w:cs="Times New Roman"/>
                <w:sz w:val="18"/>
                <w:szCs w:val="18"/>
              </w:rPr>
            </w:pPr>
            <w:r w:rsidRPr="007245B0">
              <w:rPr>
                <w:rFonts w:ascii="Times New Roman" w:hAnsi="Times New Roman" w:cs="Times New Roman"/>
                <w:sz w:val="18"/>
                <w:szCs w:val="18"/>
              </w:rPr>
              <w:t>3.71</w:t>
            </w:r>
          </w:p>
        </w:tc>
        <w:tc>
          <w:tcPr>
            <w:tcW w:w="0" w:type="auto"/>
            <w:vAlign w:val="center"/>
            <w:hideMark/>
          </w:tcPr>
          <w:p w14:paraId="7843A5F5" w14:textId="77777777" w:rsidR="00BA4141" w:rsidRPr="007245B0" w:rsidRDefault="00BA4141" w:rsidP="00537910">
            <w:pPr>
              <w:pStyle w:val="NoSpacing"/>
              <w:jc w:val="center"/>
              <w:rPr>
                <w:rFonts w:ascii="Times New Roman" w:hAnsi="Times New Roman" w:cs="Times New Roman"/>
                <w:sz w:val="18"/>
                <w:szCs w:val="18"/>
              </w:rPr>
            </w:pPr>
            <w:r w:rsidRPr="007245B0">
              <w:rPr>
                <w:rFonts w:ascii="Times New Roman" w:hAnsi="Times New Roman" w:cs="Times New Roman"/>
                <w:sz w:val="18"/>
                <w:szCs w:val="18"/>
              </w:rPr>
              <w:t>25.48</w:t>
            </w:r>
          </w:p>
        </w:tc>
        <w:tc>
          <w:tcPr>
            <w:tcW w:w="0" w:type="auto"/>
            <w:vAlign w:val="center"/>
            <w:hideMark/>
          </w:tcPr>
          <w:p w14:paraId="5642A98E" w14:textId="77777777" w:rsidR="00BA4141" w:rsidRPr="007245B0" w:rsidRDefault="00BA4141" w:rsidP="00537910">
            <w:pPr>
              <w:pStyle w:val="NoSpacing"/>
              <w:jc w:val="center"/>
              <w:rPr>
                <w:rFonts w:ascii="Times New Roman" w:hAnsi="Times New Roman" w:cs="Times New Roman"/>
                <w:sz w:val="18"/>
                <w:szCs w:val="18"/>
              </w:rPr>
            </w:pPr>
            <w:r w:rsidRPr="007245B0">
              <w:rPr>
                <w:rFonts w:ascii="Times New Roman" w:hAnsi="Times New Roman" w:cs="Times New Roman"/>
                <w:sz w:val="18"/>
                <w:szCs w:val="18"/>
              </w:rPr>
              <w:t>7.4</w:t>
            </w:r>
          </w:p>
        </w:tc>
        <w:tc>
          <w:tcPr>
            <w:tcW w:w="0" w:type="auto"/>
            <w:vAlign w:val="center"/>
            <w:hideMark/>
          </w:tcPr>
          <w:p w14:paraId="566F88AC" w14:textId="77777777" w:rsidR="00BA4141" w:rsidRPr="007245B0" w:rsidRDefault="00BA4141" w:rsidP="00537910">
            <w:pPr>
              <w:pStyle w:val="NoSpacing"/>
              <w:jc w:val="center"/>
              <w:rPr>
                <w:rFonts w:ascii="Times New Roman" w:hAnsi="Times New Roman" w:cs="Times New Roman"/>
                <w:sz w:val="18"/>
                <w:szCs w:val="18"/>
              </w:rPr>
            </w:pPr>
            <w:r w:rsidRPr="007245B0">
              <w:rPr>
                <w:rFonts w:ascii="Times New Roman" w:hAnsi="Times New Roman" w:cs="Times New Roman"/>
                <w:sz w:val="18"/>
                <w:szCs w:val="18"/>
              </w:rPr>
              <w:t>28.09</w:t>
            </w:r>
          </w:p>
        </w:tc>
        <w:tc>
          <w:tcPr>
            <w:tcW w:w="0" w:type="auto"/>
            <w:vAlign w:val="center"/>
            <w:hideMark/>
          </w:tcPr>
          <w:p w14:paraId="0FDB1165" w14:textId="77777777" w:rsidR="00BA4141" w:rsidRPr="007245B0" w:rsidRDefault="00BA4141" w:rsidP="00537910">
            <w:pPr>
              <w:pStyle w:val="NoSpacing"/>
              <w:jc w:val="center"/>
              <w:rPr>
                <w:rFonts w:ascii="Times New Roman" w:hAnsi="Times New Roman" w:cs="Times New Roman"/>
                <w:sz w:val="18"/>
                <w:szCs w:val="18"/>
              </w:rPr>
            </w:pPr>
            <w:r w:rsidRPr="007245B0">
              <w:rPr>
                <w:rFonts w:ascii="Times New Roman" w:hAnsi="Times New Roman" w:cs="Times New Roman"/>
                <w:sz w:val="18"/>
                <w:szCs w:val="18"/>
              </w:rPr>
              <w:t>8.2</w:t>
            </w:r>
          </w:p>
        </w:tc>
      </w:tr>
      <w:tr w:rsidR="00BA4141" w:rsidRPr="007245B0" w14:paraId="2D17E448" w14:textId="77777777" w:rsidTr="00537910">
        <w:trPr>
          <w:trHeight w:val="294"/>
        </w:trPr>
        <w:tc>
          <w:tcPr>
            <w:tcW w:w="0" w:type="auto"/>
            <w:hideMark/>
          </w:tcPr>
          <w:p w14:paraId="722869CF" w14:textId="77777777" w:rsidR="00BA4141" w:rsidRPr="007245B0" w:rsidRDefault="00BA4141" w:rsidP="00B77C0B">
            <w:pPr>
              <w:pStyle w:val="NoSpacing"/>
              <w:rPr>
                <w:rFonts w:ascii="Times New Roman" w:hAnsi="Times New Roman" w:cs="Times New Roman"/>
                <w:sz w:val="18"/>
                <w:szCs w:val="18"/>
              </w:rPr>
            </w:pPr>
            <w:r w:rsidRPr="007245B0">
              <w:rPr>
                <w:rFonts w:ascii="Times New Roman" w:hAnsi="Times New Roman" w:cs="Times New Roman"/>
                <w:sz w:val="18"/>
                <w:szCs w:val="18"/>
              </w:rPr>
              <w:t>Mysore</w:t>
            </w:r>
          </w:p>
        </w:tc>
        <w:tc>
          <w:tcPr>
            <w:tcW w:w="0" w:type="auto"/>
            <w:vAlign w:val="center"/>
            <w:hideMark/>
          </w:tcPr>
          <w:p w14:paraId="137025C2" w14:textId="77777777" w:rsidR="00BA4141" w:rsidRPr="007245B0" w:rsidRDefault="00BA4141" w:rsidP="00537910">
            <w:pPr>
              <w:pStyle w:val="NoSpacing"/>
              <w:jc w:val="center"/>
              <w:rPr>
                <w:rFonts w:ascii="Times New Roman" w:hAnsi="Times New Roman" w:cs="Times New Roman"/>
                <w:sz w:val="18"/>
                <w:szCs w:val="18"/>
              </w:rPr>
            </w:pPr>
            <w:r w:rsidRPr="007245B0">
              <w:rPr>
                <w:rFonts w:ascii="Times New Roman" w:hAnsi="Times New Roman" w:cs="Times New Roman"/>
                <w:sz w:val="18"/>
                <w:szCs w:val="18"/>
              </w:rPr>
              <w:t>231</w:t>
            </w:r>
          </w:p>
        </w:tc>
        <w:tc>
          <w:tcPr>
            <w:tcW w:w="0" w:type="auto"/>
            <w:vAlign w:val="center"/>
            <w:hideMark/>
          </w:tcPr>
          <w:p w14:paraId="50654B2F" w14:textId="77777777" w:rsidR="00BA4141" w:rsidRPr="007245B0" w:rsidRDefault="00BA4141" w:rsidP="00537910">
            <w:pPr>
              <w:pStyle w:val="NoSpacing"/>
              <w:jc w:val="center"/>
              <w:rPr>
                <w:rFonts w:ascii="Times New Roman" w:hAnsi="Times New Roman" w:cs="Times New Roman"/>
                <w:sz w:val="18"/>
                <w:szCs w:val="18"/>
              </w:rPr>
            </w:pPr>
            <w:r w:rsidRPr="007245B0">
              <w:rPr>
                <w:rFonts w:ascii="Times New Roman" w:hAnsi="Times New Roman" w:cs="Times New Roman"/>
                <w:sz w:val="18"/>
                <w:szCs w:val="18"/>
              </w:rPr>
              <w:t>527</w:t>
            </w:r>
          </w:p>
        </w:tc>
        <w:tc>
          <w:tcPr>
            <w:tcW w:w="0" w:type="auto"/>
            <w:vAlign w:val="center"/>
            <w:hideMark/>
          </w:tcPr>
          <w:p w14:paraId="59021D65" w14:textId="77777777" w:rsidR="00BA4141" w:rsidRPr="007245B0" w:rsidRDefault="00BA4141" w:rsidP="00537910">
            <w:pPr>
              <w:pStyle w:val="NoSpacing"/>
              <w:jc w:val="center"/>
              <w:rPr>
                <w:rFonts w:ascii="Times New Roman" w:hAnsi="Times New Roman" w:cs="Times New Roman"/>
                <w:sz w:val="18"/>
                <w:szCs w:val="18"/>
              </w:rPr>
            </w:pPr>
            <w:r w:rsidRPr="007245B0">
              <w:rPr>
                <w:rFonts w:ascii="Times New Roman" w:hAnsi="Times New Roman" w:cs="Times New Roman"/>
                <w:sz w:val="18"/>
                <w:szCs w:val="18"/>
              </w:rPr>
              <w:t>1120</w:t>
            </w:r>
          </w:p>
        </w:tc>
        <w:tc>
          <w:tcPr>
            <w:tcW w:w="0" w:type="auto"/>
            <w:vAlign w:val="center"/>
            <w:hideMark/>
          </w:tcPr>
          <w:p w14:paraId="412E84EE" w14:textId="77777777" w:rsidR="00BA4141" w:rsidRPr="007245B0" w:rsidRDefault="00BA4141" w:rsidP="00537910">
            <w:pPr>
              <w:pStyle w:val="NoSpacing"/>
              <w:jc w:val="center"/>
              <w:rPr>
                <w:rFonts w:ascii="Times New Roman" w:hAnsi="Times New Roman" w:cs="Times New Roman"/>
                <w:sz w:val="18"/>
                <w:szCs w:val="18"/>
              </w:rPr>
            </w:pPr>
            <w:r w:rsidRPr="007245B0">
              <w:rPr>
                <w:rFonts w:ascii="Times New Roman" w:hAnsi="Times New Roman" w:cs="Times New Roman"/>
                <w:sz w:val="18"/>
                <w:szCs w:val="18"/>
              </w:rPr>
              <w:t>1146</w:t>
            </w:r>
          </w:p>
        </w:tc>
        <w:tc>
          <w:tcPr>
            <w:tcW w:w="0" w:type="auto"/>
            <w:vAlign w:val="center"/>
            <w:hideMark/>
          </w:tcPr>
          <w:p w14:paraId="30AE851D" w14:textId="77777777" w:rsidR="00BA4141" w:rsidRPr="007245B0" w:rsidRDefault="00BA4141" w:rsidP="00537910">
            <w:pPr>
              <w:pStyle w:val="NoSpacing"/>
              <w:jc w:val="center"/>
              <w:rPr>
                <w:rFonts w:ascii="Times New Roman" w:hAnsi="Times New Roman" w:cs="Times New Roman"/>
                <w:sz w:val="18"/>
                <w:szCs w:val="18"/>
              </w:rPr>
            </w:pPr>
            <w:r w:rsidRPr="007245B0">
              <w:rPr>
                <w:rFonts w:ascii="Times New Roman" w:hAnsi="Times New Roman" w:cs="Times New Roman"/>
                <w:sz w:val="18"/>
                <w:szCs w:val="18"/>
              </w:rPr>
              <w:t>1915</w:t>
            </w:r>
          </w:p>
        </w:tc>
        <w:tc>
          <w:tcPr>
            <w:tcW w:w="0" w:type="auto"/>
            <w:vAlign w:val="center"/>
            <w:hideMark/>
          </w:tcPr>
          <w:p w14:paraId="32357D88" w14:textId="77777777" w:rsidR="00BA4141" w:rsidRPr="007245B0" w:rsidRDefault="00BA4141" w:rsidP="00537910">
            <w:pPr>
              <w:pStyle w:val="NoSpacing"/>
              <w:jc w:val="center"/>
              <w:rPr>
                <w:rFonts w:ascii="Times New Roman" w:hAnsi="Times New Roman" w:cs="Times New Roman"/>
                <w:sz w:val="18"/>
                <w:szCs w:val="18"/>
              </w:rPr>
            </w:pPr>
            <w:r w:rsidRPr="007245B0">
              <w:rPr>
                <w:rFonts w:ascii="Times New Roman" w:hAnsi="Times New Roman" w:cs="Times New Roman"/>
                <w:sz w:val="18"/>
                <w:szCs w:val="18"/>
              </w:rPr>
              <w:t>10.07</w:t>
            </w:r>
          </w:p>
        </w:tc>
        <w:tc>
          <w:tcPr>
            <w:tcW w:w="0" w:type="auto"/>
            <w:vAlign w:val="center"/>
            <w:hideMark/>
          </w:tcPr>
          <w:p w14:paraId="491D95A2" w14:textId="77777777" w:rsidR="00BA4141" w:rsidRPr="007245B0" w:rsidRDefault="00BA4141" w:rsidP="00537910">
            <w:pPr>
              <w:pStyle w:val="NoSpacing"/>
              <w:jc w:val="center"/>
              <w:rPr>
                <w:rFonts w:ascii="Times New Roman" w:hAnsi="Times New Roman" w:cs="Times New Roman"/>
                <w:sz w:val="18"/>
                <w:szCs w:val="18"/>
              </w:rPr>
            </w:pPr>
            <w:r w:rsidRPr="007245B0">
              <w:rPr>
                <w:rFonts w:ascii="Times New Roman" w:hAnsi="Times New Roman" w:cs="Times New Roman"/>
                <w:sz w:val="18"/>
                <w:szCs w:val="18"/>
              </w:rPr>
              <w:t>2.52</w:t>
            </w:r>
          </w:p>
        </w:tc>
        <w:tc>
          <w:tcPr>
            <w:tcW w:w="0" w:type="auto"/>
            <w:vAlign w:val="center"/>
            <w:hideMark/>
          </w:tcPr>
          <w:p w14:paraId="0F024FC8" w14:textId="77777777" w:rsidR="00BA4141" w:rsidRPr="007245B0" w:rsidRDefault="00BA4141" w:rsidP="00537910">
            <w:pPr>
              <w:pStyle w:val="NoSpacing"/>
              <w:jc w:val="center"/>
              <w:rPr>
                <w:rFonts w:ascii="Times New Roman" w:hAnsi="Times New Roman" w:cs="Times New Roman"/>
                <w:sz w:val="18"/>
                <w:szCs w:val="18"/>
              </w:rPr>
            </w:pPr>
            <w:r w:rsidRPr="007245B0">
              <w:rPr>
                <w:rFonts w:ascii="Times New Roman" w:hAnsi="Times New Roman" w:cs="Times New Roman"/>
                <w:sz w:val="18"/>
                <w:szCs w:val="18"/>
              </w:rPr>
              <w:t>4.34</w:t>
            </w:r>
          </w:p>
        </w:tc>
        <w:tc>
          <w:tcPr>
            <w:tcW w:w="0" w:type="auto"/>
            <w:vAlign w:val="center"/>
            <w:hideMark/>
          </w:tcPr>
          <w:p w14:paraId="66BB5CA8" w14:textId="77777777" w:rsidR="00BA4141" w:rsidRPr="007245B0" w:rsidRDefault="00BA4141" w:rsidP="00537910">
            <w:pPr>
              <w:pStyle w:val="NoSpacing"/>
              <w:jc w:val="center"/>
              <w:rPr>
                <w:rFonts w:ascii="Times New Roman" w:hAnsi="Times New Roman" w:cs="Times New Roman"/>
                <w:sz w:val="18"/>
                <w:szCs w:val="18"/>
              </w:rPr>
            </w:pPr>
            <w:r w:rsidRPr="007245B0">
              <w:rPr>
                <w:rFonts w:ascii="Times New Roman" w:hAnsi="Times New Roman" w:cs="Times New Roman"/>
                <w:sz w:val="18"/>
                <w:szCs w:val="18"/>
              </w:rPr>
              <w:t>16.93</w:t>
            </w:r>
          </w:p>
        </w:tc>
        <w:tc>
          <w:tcPr>
            <w:tcW w:w="0" w:type="auto"/>
            <w:vAlign w:val="center"/>
            <w:hideMark/>
          </w:tcPr>
          <w:p w14:paraId="3CDE914B" w14:textId="77777777" w:rsidR="00BA4141" w:rsidRPr="007245B0" w:rsidRDefault="00BA4141" w:rsidP="00537910">
            <w:pPr>
              <w:pStyle w:val="NoSpacing"/>
              <w:jc w:val="center"/>
              <w:rPr>
                <w:rFonts w:ascii="Times New Roman" w:hAnsi="Times New Roman" w:cs="Times New Roman"/>
                <w:sz w:val="18"/>
                <w:szCs w:val="18"/>
              </w:rPr>
            </w:pPr>
            <w:r w:rsidRPr="007245B0">
              <w:rPr>
                <w:rFonts w:ascii="Times New Roman" w:hAnsi="Times New Roman" w:cs="Times New Roman"/>
                <w:sz w:val="18"/>
                <w:szCs w:val="18"/>
              </w:rPr>
              <w:t>8.8</w:t>
            </w:r>
          </w:p>
        </w:tc>
        <w:tc>
          <w:tcPr>
            <w:tcW w:w="0" w:type="auto"/>
            <w:vAlign w:val="center"/>
            <w:hideMark/>
          </w:tcPr>
          <w:p w14:paraId="4178B22D" w14:textId="77777777" w:rsidR="00BA4141" w:rsidRPr="007245B0" w:rsidRDefault="00BA4141" w:rsidP="00537910">
            <w:pPr>
              <w:pStyle w:val="NoSpacing"/>
              <w:jc w:val="center"/>
              <w:rPr>
                <w:rFonts w:ascii="Times New Roman" w:hAnsi="Times New Roman" w:cs="Times New Roman"/>
                <w:sz w:val="18"/>
                <w:szCs w:val="18"/>
              </w:rPr>
            </w:pPr>
            <w:r w:rsidRPr="007245B0">
              <w:rPr>
                <w:rFonts w:ascii="Times New Roman" w:hAnsi="Times New Roman" w:cs="Times New Roman"/>
                <w:sz w:val="18"/>
                <w:szCs w:val="18"/>
              </w:rPr>
              <w:t>16.77</w:t>
            </w:r>
          </w:p>
        </w:tc>
        <w:tc>
          <w:tcPr>
            <w:tcW w:w="0" w:type="auto"/>
            <w:vAlign w:val="center"/>
            <w:hideMark/>
          </w:tcPr>
          <w:p w14:paraId="4E585093" w14:textId="77777777" w:rsidR="00BA4141" w:rsidRPr="007245B0" w:rsidRDefault="00BA4141" w:rsidP="00537910">
            <w:pPr>
              <w:pStyle w:val="NoSpacing"/>
              <w:jc w:val="center"/>
              <w:rPr>
                <w:rFonts w:ascii="Times New Roman" w:hAnsi="Times New Roman" w:cs="Times New Roman"/>
                <w:sz w:val="18"/>
                <w:szCs w:val="18"/>
              </w:rPr>
            </w:pPr>
            <w:r w:rsidRPr="007245B0">
              <w:rPr>
                <w:rFonts w:ascii="Times New Roman" w:hAnsi="Times New Roman" w:cs="Times New Roman"/>
                <w:sz w:val="18"/>
                <w:szCs w:val="18"/>
              </w:rPr>
              <w:t>8.8</w:t>
            </w:r>
          </w:p>
        </w:tc>
      </w:tr>
      <w:tr w:rsidR="00BA4141" w:rsidRPr="007245B0" w14:paraId="6D04C5C6" w14:textId="77777777" w:rsidTr="00537910">
        <w:trPr>
          <w:trHeight w:val="308"/>
        </w:trPr>
        <w:tc>
          <w:tcPr>
            <w:tcW w:w="0" w:type="auto"/>
            <w:hideMark/>
          </w:tcPr>
          <w:p w14:paraId="089D5F93" w14:textId="77777777" w:rsidR="00BA4141" w:rsidRPr="007245B0" w:rsidRDefault="00BA4141" w:rsidP="00B77C0B">
            <w:pPr>
              <w:pStyle w:val="NoSpacing"/>
              <w:rPr>
                <w:rFonts w:ascii="Times New Roman" w:hAnsi="Times New Roman" w:cs="Times New Roman"/>
                <w:sz w:val="18"/>
                <w:szCs w:val="18"/>
              </w:rPr>
            </w:pPr>
            <w:r w:rsidRPr="007245B0">
              <w:rPr>
                <w:rFonts w:ascii="Times New Roman" w:hAnsi="Times New Roman" w:cs="Times New Roman"/>
                <w:sz w:val="18"/>
                <w:szCs w:val="18"/>
              </w:rPr>
              <w:t>Orissa</w:t>
            </w:r>
          </w:p>
        </w:tc>
        <w:tc>
          <w:tcPr>
            <w:tcW w:w="0" w:type="auto"/>
            <w:vAlign w:val="center"/>
            <w:hideMark/>
          </w:tcPr>
          <w:p w14:paraId="18682D79" w14:textId="77777777" w:rsidR="00BA4141" w:rsidRPr="007245B0" w:rsidRDefault="00BA4141" w:rsidP="00537910">
            <w:pPr>
              <w:pStyle w:val="NoSpacing"/>
              <w:jc w:val="center"/>
              <w:rPr>
                <w:rFonts w:ascii="Times New Roman" w:hAnsi="Times New Roman" w:cs="Times New Roman"/>
                <w:sz w:val="18"/>
                <w:szCs w:val="18"/>
              </w:rPr>
            </w:pPr>
            <w:r w:rsidRPr="007245B0">
              <w:rPr>
                <w:rFonts w:ascii="Times New Roman" w:hAnsi="Times New Roman" w:cs="Times New Roman"/>
                <w:sz w:val="18"/>
                <w:szCs w:val="18"/>
              </w:rPr>
              <w:t>366</w:t>
            </w:r>
          </w:p>
        </w:tc>
        <w:tc>
          <w:tcPr>
            <w:tcW w:w="0" w:type="auto"/>
            <w:vAlign w:val="center"/>
            <w:hideMark/>
          </w:tcPr>
          <w:p w14:paraId="6FA52EBB" w14:textId="77777777" w:rsidR="00BA4141" w:rsidRPr="007245B0" w:rsidRDefault="00BA4141" w:rsidP="00537910">
            <w:pPr>
              <w:pStyle w:val="NoSpacing"/>
              <w:jc w:val="center"/>
              <w:rPr>
                <w:rFonts w:ascii="Times New Roman" w:hAnsi="Times New Roman" w:cs="Times New Roman"/>
                <w:sz w:val="18"/>
                <w:szCs w:val="18"/>
              </w:rPr>
            </w:pPr>
            <w:r w:rsidRPr="007245B0">
              <w:rPr>
                <w:rFonts w:ascii="Times New Roman" w:hAnsi="Times New Roman" w:cs="Times New Roman"/>
                <w:sz w:val="18"/>
                <w:szCs w:val="18"/>
              </w:rPr>
              <w:t>216</w:t>
            </w:r>
          </w:p>
        </w:tc>
        <w:tc>
          <w:tcPr>
            <w:tcW w:w="0" w:type="auto"/>
            <w:vAlign w:val="center"/>
            <w:hideMark/>
          </w:tcPr>
          <w:p w14:paraId="2EFEA97B" w14:textId="77777777" w:rsidR="00BA4141" w:rsidRPr="007245B0" w:rsidRDefault="00BA4141" w:rsidP="00537910">
            <w:pPr>
              <w:pStyle w:val="NoSpacing"/>
              <w:jc w:val="center"/>
              <w:rPr>
                <w:rFonts w:ascii="Times New Roman" w:hAnsi="Times New Roman" w:cs="Times New Roman"/>
                <w:sz w:val="18"/>
                <w:szCs w:val="18"/>
              </w:rPr>
            </w:pPr>
            <w:r w:rsidRPr="007245B0">
              <w:rPr>
                <w:rFonts w:ascii="Times New Roman" w:hAnsi="Times New Roman" w:cs="Times New Roman"/>
                <w:sz w:val="18"/>
                <w:szCs w:val="18"/>
              </w:rPr>
              <w:t>4</w:t>
            </w:r>
          </w:p>
        </w:tc>
        <w:tc>
          <w:tcPr>
            <w:tcW w:w="0" w:type="auto"/>
            <w:vAlign w:val="center"/>
            <w:hideMark/>
          </w:tcPr>
          <w:p w14:paraId="7AB89CBC" w14:textId="77777777" w:rsidR="00BA4141" w:rsidRPr="007245B0" w:rsidRDefault="00BA4141" w:rsidP="00537910">
            <w:pPr>
              <w:pStyle w:val="NoSpacing"/>
              <w:jc w:val="center"/>
              <w:rPr>
                <w:rFonts w:ascii="Times New Roman" w:hAnsi="Times New Roman" w:cs="Times New Roman"/>
                <w:sz w:val="18"/>
                <w:szCs w:val="18"/>
              </w:rPr>
            </w:pPr>
            <w:r w:rsidRPr="007245B0">
              <w:rPr>
                <w:rFonts w:ascii="Times New Roman" w:hAnsi="Times New Roman" w:cs="Times New Roman"/>
                <w:sz w:val="18"/>
                <w:szCs w:val="18"/>
              </w:rPr>
              <w:t>1061</w:t>
            </w:r>
          </w:p>
        </w:tc>
        <w:tc>
          <w:tcPr>
            <w:tcW w:w="0" w:type="auto"/>
            <w:vAlign w:val="center"/>
            <w:hideMark/>
          </w:tcPr>
          <w:p w14:paraId="1761DC53" w14:textId="77777777" w:rsidR="00BA4141" w:rsidRPr="007245B0" w:rsidRDefault="00BA4141" w:rsidP="00537910">
            <w:pPr>
              <w:pStyle w:val="NoSpacing"/>
              <w:jc w:val="center"/>
              <w:rPr>
                <w:rFonts w:ascii="Times New Roman" w:hAnsi="Times New Roman" w:cs="Times New Roman"/>
                <w:sz w:val="18"/>
                <w:szCs w:val="18"/>
              </w:rPr>
            </w:pPr>
            <w:r w:rsidRPr="007245B0">
              <w:rPr>
                <w:rFonts w:ascii="Times New Roman" w:hAnsi="Times New Roman" w:cs="Times New Roman"/>
                <w:sz w:val="18"/>
                <w:szCs w:val="18"/>
              </w:rPr>
              <w:t>1024</w:t>
            </w:r>
          </w:p>
        </w:tc>
        <w:tc>
          <w:tcPr>
            <w:tcW w:w="0" w:type="auto"/>
            <w:vAlign w:val="center"/>
            <w:hideMark/>
          </w:tcPr>
          <w:p w14:paraId="204E11BA" w14:textId="77777777" w:rsidR="00BA4141" w:rsidRPr="007245B0" w:rsidRDefault="00BA4141" w:rsidP="00537910">
            <w:pPr>
              <w:pStyle w:val="NoSpacing"/>
              <w:jc w:val="center"/>
              <w:rPr>
                <w:rFonts w:ascii="Times New Roman" w:hAnsi="Times New Roman" w:cs="Times New Roman"/>
                <w:sz w:val="18"/>
                <w:szCs w:val="18"/>
              </w:rPr>
            </w:pPr>
            <w:r w:rsidRPr="007245B0">
              <w:rPr>
                <w:rFonts w:ascii="Times New Roman" w:hAnsi="Times New Roman" w:cs="Times New Roman"/>
                <w:sz w:val="18"/>
                <w:szCs w:val="18"/>
              </w:rPr>
              <w:t>5.13</w:t>
            </w:r>
          </w:p>
        </w:tc>
        <w:tc>
          <w:tcPr>
            <w:tcW w:w="0" w:type="auto"/>
            <w:vAlign w:val="center"/>
            <w:hideMark/>
          </w:tcPr>
          <w:p w14:paraId="6E0AE189" w14:textId="77777777" w:rsidR="00BA4141" w:rsidRPr="007245B0" w:rsidRDefault="00BA4141" w:rsidP="00537910">
            <w:pPr>
              <w:pStyle w:val="NoSpacing"/>
              <w:jc w:val="center"/>
              <w:rPr>
                <w:rFonts w:ascii="Times New Roman" w:hAnsi="Times New Roman" w:cs="Times New Roman"/>
                <w:sz w:val="18"/>
                <w:szCs w:val="18"/>
              </w:rPr>
            </w:pPr>
            <w:r w:rsidRPr="007245B0">
              <w:rPr>
                <w:rFonts w:ascii="Times New Roman" w:hAnsi="Times New Roman" w:cs="Times New Roman"/>
                <w:sz w:val="18"/>
                <w:szCs w:val="18"/>
              </w:rPr>
              <w:t>1.14</w:t>
            </w:r>
          </w:p>
        </w:tc>
        <w:tc>
          <w:tcPr>
            <w:tcW w:w="0" w:type="auto"/>
            <w:vAlign w:val="center"/>
            <w:hideMark/>
          </w:tcPr>
          <w:p w14:paraId="327B4439" w14:textId="77777777" w:rsidR="00BA4141" w:rsidRPr="007245B0" w:rsidRDefault="00BA4141" w:rsidP="00537910">
            <w:pPr>
              <w:pStyle w:val="NoSpacing"/>
              <w:jc w:val="center"/>
              <w:rPr>
                <w:rFonts w:ascii="Times New Roman" w:hAnsi="Times New Roman" w:cs="Times New Roman"/>
                <w:sz w:val="18"/>
                <w:szCs w:val="18"/>
              </w:rPr>
            </w:pPr>
            <w:r w:rsidRPr="007245B0">
              <w:rPr>
                <w:rFonts w:ascii="Times New Roman" w:hAnsi="Times New Roman" w:cs="Times New Roman"/>
                <w:sz w:val="18"/>
                <w:szCs w:val="18"/>
              </w:rPr>
              <w:t>2.07</w:t>
            </w:r>
          </w:p>
        </w:tc>
        <w:tc>
          <w:tcPr>
            <w:tcW w:w="0" w:type="auto"/>
            <w:vAlign w:val="center"/>
            <w:hideMark/>
          </w:tcPr>
          <w:p w14:paraId="3DF5177F" w14:textId="77777777" w:rsidR="00BA4141" w:rsidRPr="007245B0" w:rsidRDefault="00BA4141" w:rsidP="00537910">
            <w:pPr>
              <w:pStyle w:val="NoSpacing"/>
              <w:jc w:val="center"/>
              <w:rPr>
                <w:rFonts w:ascii="Times New Roman" w:hAnsi="Times New Roman" w:cs="Times New Roman"/>
                <w:sz w:val="18"/>
                <w:szCs w:val="18"/>
              </w:rPr>
            </w:pPr>
            <w:r w:rsidRPr="007245B0">
              <w:rPr>
                <w:rFonts w:ascii="Times New Roman" w:hAnsi="Times New Roman" w:cs="Times New Roman"/>
                <w:sz w:val="18"/>
                <w:szCs w:val="18"/>
              </w:rPr>
              <w:t>8.34</w:t>
            </w:r>
          </w:p>
        </w:tc>
        <w:tc>
          <w:tcPr>
            <w:tcW w:w="0" w:type="auto"/>
            <w:vAlign w:val="center"/>
            <w:hideMark/>
          </w:tcPr>
          <w:p w14:paraId="7E934657" w14:textId="77777777" w:rsidR="00BA4141" w:rsidRPr="007245B0" w:rsidRDefault="00BA4141" w:rsidP="00537910">
            <w:pPr>
              <w:pStyle w:val="NoSpacing"/>
              <w:jc w:val="center"/>
              <w:rPr>
                <w:rFonts w:ascii="Times New Roman" w:hAnsi="Times New Roman" w:cs="Times New Roman"/>
                <w:sz w:val="18"/>
                <w:szCs w:val="18"/>
              </w:rPr>
            </w:pPr>
            <w:r w:rsidRPr="007245B0">
              <w:rPr>
                <w:rFonts w:ascii="Times New Roman" w:hAnsi="Times New Roman" w:cs="Times New Roman"/>
                <w:sz w:val="18"/>
                <w:szCs w:val="18"/>
              </w:rPr>
              <w:t>8.1</w:t>
            </w:r>
          </w:p>
        </w:tc>
        <w:tc>
          <w:tcPr>
            <w:tcW w:w="0" w:type="auto"/>
            <w:vAlign w:val="center"/>
            <w:hideMark/>
          </w:tcPr>
          <w:p w14:paraId="72FE6453" w14:textId="77777777" w:rsidR="00BA4141" w:rsidRPr="007245B0" w:rsidRDefault="00BA4141" w:rsidP="00537910">
            <w:pPr>
              <w:pStyle w:val="NoSpacing"/>
              <w:jc w:val="center"/>
              <w:rPr>
                <w:rFonts w:ascii="Times New Roman" w:hAnsi="Times New Roman" w:cs="Times New Roman"/>
                <w:sz w:val="18"/>
                <w:szCs w:val="18"/>
              </w:rPr>
            </w:pPr>
            <w:r w:rsidRPr="007245B0">
              <w:rPr>
                <w:rFonts w:ascii="Times New Roman" w:hAnsi="Times New Roman" w:cs="Times New Roman"/>
                <w:sz w:val="18"/>
                <w:szCs w:val="18"/>
              </w:rPr>
              <w:t>7.11</w:t>
            </w:r>
          </w:p>
        </w:tc>
        <w:tc>
          <w:tcPr>
            <w:tcW w:w="0" w:type="auto"/>
            <w:vAlign w:val="center"/>
            <w:hideMark/>
          </w:tcPr>
          <w:p w14:paraId="245BB393" w14:textId="77777777" w:rsidR="00BA4141" w:rsidRPr="007245B0" w:rsidRDefault="00BA4141" w:rsidP="00537910">
            <w:pPr>
              <w:pStyle w:val="NoSpacing"/>
              <w:jc w:val="center"/>
              <w:rPr>
                <w:rFonts w:ascii="Times New Roman" w:hAnsi="Times New Roman" w:cs="Times New Roman"/>
                <w:sz w:val="18"/>
                <w:szCs w:val="18"/>
              </w:rPr>
            </w:pPr>
            <w:r w:rsidRPr="007245B0">
              <w:rPr>
                <w:rFonts w:ascii="Times New Roman" w:hAnsi="Times New Roman" w:cs="Times New Roman"/>
                <w:sz w:val="18"/>
                <w:szCs w:val="18"/>
              </w:rPr>
              <w:t>6.9</w:t>
            </w:r>
          </w:p>
        </w:tc>
      </w:tr>
      <w:tr w:rsidR="00BA4141" w:rsidRPr="007245B0" w14:paraId="72D86DFA" w14:textId="77777777" w:rsidTr="00537910">
        <w:trPr>
          <w:trHeight w:val="294"/>
        </w:trPr>
        <w:tc>
          <w:tcPr>
            <w:tcW w:w="0" w:type="auto"/>
            <w:hideMark/>
          </w:tcPr>
          <w:p w14:paraId="6B241FAF" w14:textId="77777777" w:rsidR="00BA4141" w:rsidRPr="007245B0" w:rsidRDefault="00BA4141" w:rsidP="00B77C0B">
            <w:pPr>
              <w:pStyle w:val="NoSpacing"/>
              <w:rPr>
                <w:rFonts w:ascii="Times New Roman" w:hAnsi="Times New Roman" w:cs="Times New Roman"/>
                <w:sz w:val="18"/>
                <w:szCs w:val="18"/>
              </w:rPr>
            </w:pPr>
            <w:r w:rsidRPr="007245B0">
              <w:rPr>
                <w:rFonts w:ascii="Times New Roman" w:hAnsi="Times New Roman" w:cs="Times New Roman"/>
                <w:sz w:val="18"/>
                <w:szCs w:val="18"/>
              </w:rPr>
              <w:t>Punjab</w:t>
            </w:r>
          </w:p>
        </w:tc>
        <w:tc>
          <w:tcPr>
            <w:tcW w:w="0" w:type="auto"/>
            <w:vAlign w:val="center"/>
            <w:hideMark/>
          </w:tcPr>
          <w:p w14:paraId="63E065FF" w14:textId="77777777" w:rsidR="00BA4141" w:rsidRPr="007245B0" w:rsidRDefault="00BA4141" w:rsidP="00537910">
            <w:pPr>
              <w:pStyle w:val="NoSpacing"/>
              <w:jc w:val="center"/>
              <w:rPr>
                <w:rFonts w:ascii="Times New Roman" w:hAnsi="Times New Roman" w:cs="Times New Roman"/>
                <w:sz w:val="18"/>
                <w:szCs w:val="18"/>
              </w:rPr>
            </w:pPr>
            <w:r w:rsidRPr="007245B0">
              <w:rPr>
                <w:rFonts w:ascii="Times New Roman" w:hAnsi="Times New Roman" w:cs="Times New Roman"/>
                <w:sz w:val="18"/>
                <w:szCs w:val="18"/>
              </w:rPr>
              <w:t>1138</w:t>
            </w:r>
          </w:p>
        </w:tc>
        <w:tc>
          <w:tcPr>
            <w:tcW w:w="0" w:type="auto"/>
            <w:vAlign w:val="center"/>
            <w:hideMark/>
          </w:tcPr>
          <w:p w14:paraId="32B5D75B" w14:textId="77777777" w:rsidR="00BA4141" w:rsidRPr="007245B0" w:rsidRDefault="00BA4141" w:rsidP="00537910">
            <w:pPr>
              <w:pStyle w:val="NoSpacing"/>
              <w:jc w:val="center"/>
              <w:rPr>
                <w:rFonts w:ascii="Times New Roman" w:hAnsi="Times New Roman" w:cs="Times New Roman"/>
                <w:sz w:val="18"/>
                <w:szCs w:val="18"/>
              </w:rPr>
            </w:pPr>
            <w:r w:rsidRPr="007245B0">
              <w:rPr>
                <w:rFonts w:ascii="Times New Roman" w:hAnsi="Times New Roman" w:cs="Times New Roman"/>
                <w:sz w:val="18"/>
                <w:szCs w:val="18"/>
              </w:rPr>
              <w:t>217</w:t>
            </w:r>
          </w:p>
        </w:tc>
        <w:tc>
          <w:tcPr>
            <w:tcW w:w="0" w:type="auto"/>
            <w:vAlign w:val="center"/>
            <w:hideMark/>
          </w:tcPr>
          <w:p w14:paraId="0513913C" w14:textId="77777777" w:rsidR="00BA4141" w:rsidRPr="007245B0" w:rsidRDefault="00BA4141" w:rsidP="00537910">
            <w:pPr>
              <w:pStyle w:val="NoSpacing"/>
              <w:jc w:val="center"/>
              <w:rPr>
                <w:rFonts w:ascii="Times New Roman" w:hAnsi="Times New Roman" w:cs="Times New Roman"/>
                <w:sz w:val="18"/>
                <w:szCs w:val="18"/>
              </w:rPr>
            </w:pPr>
            <w:r w:rsidRPr="007245B0">
              <w:rPr>
                <w:rFonts w:ascii="Times New Roman" w:hAnsi="Times New Roman" w:cs="Times New Roman"/>
                <w:sz w:val="18"/>
                <w:szCs w:val="18"/>
              </w:rPr>
              <w:t>2043</w:t>
            </w:r>
          </w:p>
        </w:tc>
        <w:tc>
          <w:tcPr>
            <w:tcW w:w="0" w:type="auto"/>
            <w:vAlign w:val="center"/>
            <w:hideMark/>
          </w:tcPr>
          <w:p w14:paraId="5AB74FBC" w14:textId="77777777" w:rsidR="00BA4141" w:rsidRPr="007245B0" w:rsidRDefault="00BA4141" w:rsidP="00537910">
            <w:pPr>
              <w:pStyle w:val="NoSpacing"/>
              <w:jc w:val="center"/>
              <w:rPr>
                <w:rFonts w:ascii="Times New Roman" w:hAnsi="Times New Roman" w:cs="Times New Roman"/>
                <w:sz w:val="18"/>
                <w:szCs w:val="18"/>
              </w:rPr>
            </w:pPr>
            <w:r w:rsidRPr="007245B0">
              <w:rPr>
                <w:rFonts w:ascii="Times New Roman" w:hAnsi="Times New Roman" w:cs="Times New Roman"/>
                <w:sz w:val="18"/>
                <w:szCs w:val="18"/>
              </w:rPr>
              <w:t>..</w:t>
            </w:r>
          </w:p>
        </w:tc>
        <w:tc>
          <w:tcPr>
            <w:tcW w:w="0" w:type="auto"/>
            <w:vAlign w:val="center"/>
            <w:hideMark/>
          </w:tcPr>
          <w:p w14:paraId="457ACE31" w14:textId="77777777" w:rsidR="00BA4141" w:rsidRPr="007245B0" w:rsidRDefault="00BA4141" w:rsidP="00537910">
            <w:pPr>
              <w:pStyle w:val="NoSpacing"/>
              <w:jc w:val="center"/>
              <w:rPr>
                <w:rFonts w:ascii="Times New Roman" w:hAnsi="Times New Roman" w:cs="Times New Roman"/>
                <w:sz w:val="18"/>
                <w:szCs w:val="18"/>
              </w:rPr>
            </w:pPr>
            <w:r w:rsidRPr="007245B0">
              <w:rPr>
                <w:rFonts w:ascii="Times New Roman" w:hAnsi="Times New Roman" w:cs="Times New Roman"/>
                <w:sz w:val="18"/>
                <w:szCs w:val="18"/>
              </w:rPr>
              <w:t>1709</w:t>
            </w:r>
          </w:p>
        </w:tc>
        <w:tc>
          <w:tcPr>
            <w:tcW w:w="0" w:type="auto"/>
            <w:vAlign w:val="center"/>
            <w:hideMark/>
          </w:tcPr>
          <w:p w14:paraId="1345010D" w14:textId="77777777" w:rsidR="00BA4141" w:rsidRPr="007245B0" w:rsidRDefault="00BA4141" w:rsidP="00537910">
            <w:pPr>
              <w:pStyle w:val="NoSpacing"/>
              <w:jc w:val="center"/>
              <w:rPr>
                <w:rFonts w:ascii="Times New Roman" w:hAnsi="Times New Roman" w:cs="Times New Roman"/>
                <w:sz w:val="18"/>
                <w:szCs w:val="18"/>
              </w:rPr>
            </w:pPr>
            <w:r w:rsidRPr="007245B0">
              <w:rPr>
                <w:rFonts w:ascii="Times New Roman" w:hAnsi="Times New Roman" w:cs="Times New Roman"/>
                <w:sz w:val="18"/>
                <w:szCs w:val="18"/>
              </w:rPr>
              <w:t>3.84</w:t>
            </w:r>
          </w:p>
        </w:tc>
        <w:tc>
          <w:tcPr>
            <w:tcW w:w="0" w:type="auto"/>
            <w:vAlign w:val="center"/>
            <w:hideMark/>
          </w:tcPr>
          <w:p w14:paraId="5945FBA1" w14:textId="77777777" w:rsidR="00BA4141" w:rsidRPr="007245B0" w:rsidRDefault="00BA4141" w:rsidP="00537910">
            <w:pPr>
              <w:pStyle w:val="NoSpacing"/>
              <w:jc w:val="center"/>
              <w:rPr>
                <w:rFonts w:ascii="Times New Roman" w:hAnsi="Times New Roman" w:cs="Times New Roman"/>
                <w:sz w:val="18"/>
                <w:szCs w:val="18"/>
              </w:rPr>
            </w:pPr>
            <w:r w:rsidRPr="007245B0">
              <w:rPr>
                <w:rFonts w:ascii="Times New Roman" w:hAnsi="Times New Roman" w:cs="Times New Roman"/>
                <w:sz w:val="18"/>
                <w:szCs w:val="18"/>
              </w:rPr>
              <w:t>2.20</w:t>
            </w:r>
          </w:p>
        </w:tc>
        <w:tc>
          <w:tcPr>
            <w:tcW w:w="0" w:type="auto"/>
            <w:vAlign w:val="center"/>
            <w:hideMark/>
          </w:tcPr>
          <w:p w14:paraId="6CD33A42" w14:textId="77777777" w:rsidR="00BA4141" w:rsidRPr="007245B0" w:rsidRDefault="00BA4141" w:rsidP="00537910">
            <w:pPr>
              <w:pStyle w:val="NoSpacing"/>
              <w:jc w:val="center"/>
              <w:rPr>
                <w:rFonts w:ascii="Times New Roman" w:hAnsi="Times New Roman" w:cs="Times New Roman"/>
                <w:sz w:val="18"/>
                <w:szCs w:val="18"/>
              </w:rPr>
            </w:pPr>
            <w:r w:rsidRPr="007245B0">
              <w:rPr>
                <w:rFonts w:ascii="Times New Roman" w:hAnsi="Times New Roman" w:cs="Times New Roman"/>
                <w:sz w:val="18"/>
                <w:szCs w:val="18"/>
              </w:rPr>
              <w:t>5.75</w:t>
            </w:r>
          </w:p>
        </w:tc>
        <w:tc>
          <w:tcPr>
            <w:tcW w:w="0" w:type="auto"/>
            <w:vAlign w:val="center"/>
            <w:hideMark/>
          </w:tcPr>
          <w:p w14:paraId="7E6EEFF5" w14:textId="77777777" w:rsidR="00BA4141" w:rsidRPr="007245B0" w:rsidRDefault="00BA4141" w:rsidP="00537910">
            <w:pPr>
              <w:pStyle w:val="NoSpacing"/>
              <w:jc w:val="center"/>
              <w:rPr>
                <w:rFonts w:ascii="Times New Roman" w:hAnsi="Times New Roman" w:cs="Times New Roman"/>
                <w:sz w:val="18"/>
                <w:szCs w:val="18"/>
              </w:rPr>
            </w:pPr>
            <w:r w:rsidRPr="007245B0">
              <w:rPr>
                <w:rFonts w:ascii="Times New Roman" w:hAnsi="Times New Roman" w:cs="Times New Roman"/>
                <w:sz w:val="18"/>
                <w:szCs w:val="18"/>
              </w:rPr>
              <w:t>11.79</w:t>
            </w:r>
          </w:p>
        </w:tc>
        <w:tc>
          <w:tcPr>
            <w:tcW w:w="0" w:type="auto"/>
            <w:vAlign w:val="center"/>
            <w:hideMark/>
          </w:tcPr>
          <w:p w14:paraId="00F87F1F" w14:textId="77777777" w:rsidR="00BA4141" w:rsidRPr="007245B0" w:rsidRDefault="00BA4141" w:rsidP="00537910">
            <w:pPr>
              <w:pStyle w:val="NoSpacing"/>
              <w:jc w:val="center"/>
              <w:rPr>
                <w:rFonts w:ascii="Times New Roman" w:hAnsi="Times New Roman" w:cs="Times New Roman"/>
                <w:sz w:val="18"/>
                <w:szCs w:val="18"/>
              </w:rPr>
            </w:pPr>
            <w:r w:rsidRPr="007245B0">
              <w:rPr>
                <w:rFonts w:ascii="Times New Roman" w:hAnsi="Times New Roman" w:cs="Times New Roman"/>
                <w:sz w:val="18"/>
                <w:szCs w:val="18"/>
              </w:rPr>
              <w:t>6.9</w:t>
            </w:r>
          </w:p>
        </w:tc>
        <w:tc>
          <w:tcPr>
            <w:tcW w:w="0" w:type="auto"/>
            <w:vAlign w:val="center"/>
            <w:hideMark/>
          </w:tcPr>
          <w:p w14:paraId="58317824" w14:textId="77777777" w:rsidR="00BA4141" w:rsidRPr="007245B0" w:rsidRDefault="00BA4141" w:rsidP="00537910">
            <w:pPr>
              <w:pStyle w:val="NoSpacing"/>
              <w:jc w:val="center"/>
              <w:rPr>
                <w:rFonts w:ascii="Times New Roman" w:hAnsi="Times New Roman" w:cs="Times New Roman"/>
                <w:sz w:val="18"/>
                <w:szCs w:val="18"/>
              </w:rPr>
            </w:pPr>
            <w:r w:rsidRPr="007245B0">
              <w:rPr>
                <w:rFonts w:ascii="Times New Roman" w:hAnsi="Times New Roman" w:cs="Times New Roman"/>
                <w:sz w:val="18"/>
                <w:szCs w:val="18"/>
              </w:rPr>
              <w:t>10.77</w:t>
            </w:r>
          </w:p>
        </w:tc>
        <w:tc>
          <w:tcPr>
            <w:tcW w:w="0" w:type="auto"/>
            <w:vAlign w:val="center"/>
            <w:hideMark/>
          </w:tcPr>
          <w:p w14:paraId="7CDAD98A" w14:textId="77777777" w:rsidR="00BA4141" w:rsidRPr="007245B0" w:rsidRDefault="00BA4141" w:rsidP="00537910">
            <w:pPr>
              <w:pStyle w:val="NoSpacing"/>
              <w:jc w:val="center"/>
              <w:rPr>
                <w:rFonts w:ascii="Times New Roman" w:hAnsi="Times New Roman" w:cs="Times New Roman"/>
                <w:sz w:val="18"/>
                <w:szCs w:val="18"/>
              </w:rPr>
            </w:pPr>
            <w:r w:rsidRPr="007245B0">
              <w:rPr>
                <w:rFonts w:ascii="Times New Roman" w:hAnsi="Times New Roman" w:cs="Times New Roman"/>
                <w:sz w:val="18"/>
                <w:szCs w:val="18"/>
              </w:rPr>
              <w:t>6.3</w:t>
            </w:r>
          </w:p>
        </w:tc>
      </w:tr>
      <w:tr w:rsidR="00BA4141" w:rsidRPr="007245B0" w14:paraId="36BBBFCE" w14:textId="77777777" w:rsidTr="00537910">
        <w:trPr>
          <w:trHeight w:val="294"/>
        </w:trPr>
        <w:tc>
          <w:tcPr>
            <w:tcW w:w="0" w:type="auto"/>
            <w:hideMark/>
          </w:tcPr>
          <w:p w14:paraId="740010EB" w14:textId="77777777" w:rsidR="00BA4141" w:rsidRPr="007245B0" w:rsidRDefault="00BA4141" w:rsidP="00B77C0B">
            <w:pPr>
              <w:pStyle w:val="NoSpacing"/>
              <w:rPr>
                <w:rFonts w:ascii="Times New Roman" w:hAnsi="Times New Roman" w:cs="Times New Roman"/>
                <w:sz w:val="18"/>
                <w:szCs w:val="18"/>
              </w:rPr>
            </w:pPr>
            <w:r w:rsidRPr="007245B0">
              <w:rPr>
                <w:rFonts w:ascii="Times New Roman" w:hAnsi="Times New Roman" w:cs="Times New Roman"/>
                <w:sz w:val="18"/>
                <w:szCs w:val="18"/>
              </w:rPr>
              <w:t>Rajasthan</w:t>
            </w:r>
          </w:p>
        </w:tc>
        <w:tc>
          <w:tcPr>
            <w:tcW w:w="0" w:type="auto"/>
            <w:vAlign w:val="center"/>
            <w:hideMark/>
          </w:tcPr>
          <w:p w14:paraId="41960660" w14:textId="77777777" w:rsidR="00BA4141" w:rsidRPr="007245B0" w:rsidRDefault="00BA4141" w:rsidP="00537910">
            <w:pPr>
              <w:pStyle w:val="NoSpacing"/>
              <w:jc w:val="center"/>
              <w:rPr>
                <w:rFonts w:ascii="Times New Roman" w:hAnsi="Times New Roman" w:cs="Times New Roman"/>
                <w:sz w:val="18"/>
                <w:szCs w:val="18"/>
              </w:rPr>
            </w:pPr>
            <w:r w:rsidRPr="007245B0">
              <w:rPr>
                <w:rFonts w:ascii="Times New Roman" w:hAnsi="Times New Roman" w:cs="Times New Roman"/>
                <w:sz w:val="18"/>
                <w:szCs w:val="18"/>
              </w:rPr>
              <w:t>361</w:t>
            </w:r>
          </w:p>
        </w:tc>
        <w:tc>
          <w:tcPr>
            <w:tcW w:w="0" w:type="auto"/>
            <w:vAlign w:val="center"/>
            <w:hideMark/>
          </w:tcPr>
          <w:p w14:paraId="337F6638" w14:textId="77777777" w:rsidR="00BA4141" w:rsidRPr="007245B0" w:rsidRDefault="00BA4141" w:rsidP="00537910">
            <w:pPr>
              <w:pStyle w:val="NoSpacing"/>
              <w:jc w:val="center"/>
              <w:rPr>
                <w:rFonts w:ascii="Times New Roman" w:hAnsi="Times New Roman" w:cs="Times New Roman"/>
                <w:sz w:val="18"/>
                <w:szCs w:val="18"/>
              </w:rPr>
            </w:pPr>
            <w:r w:rsidRPr="007245B0">
              <w:rPr>
                <w:rFonts w:ascii="Times New Roman" w:hAnsi="Times New Roman" w:cs="Times New Roman"/>
                <w:sz w:val="18"/>
                <w:szCs w:val="18"/>
              </w:rPr>
              <w:t>128</w:t>
            </w:r>
          </w:p>
        </w:tc>
        <w:tc>
          <w:tcPr>
            <w:tcW w:w="0" w:type="auto"/>
            <w:vAlign w:val="center"/>
            <w:hideMark/>
          </w:tcPr>
          <w:p w14:paraId="398147EA" w14:textId="77777777" w:rsidR="00BA4141" w:rsidRPr="007245B0" w:rsidRDefault="00BA4141" w:rsidP="00537910">
            <w:pPr>
              <w:pStyle w:val="NoSpacing"/>
              <w:jc w:val="center"/>
              <w:rPr>
                <w:rFonts w:ascii="Times New Roman" w:hAnsi="Times New Roman" w:cs="Times New Roman"/>
                <w:sz w:val="18"/>
                <w:szCs w:val="18"/>
              </w:rPr>
            </w:pPr>
            <w:r w:rsidRPr="007245B0">
              <w:rPr>
                <w:rFonts w:ascii="Times New Roman" w:hAnsi="Times New Roman" w:cs="Times New Roman"/>
                <w:sz w:val="18"/>
                <w:szCs w:val="18"/>
              </w:rPr>
              <w:t>256</w:t>
            </w:r>
          </w:p>
        </w:tc>
        <w:tc>
          <w:tcPr>
            <w:tcW w:w="0" w:type="auto"/>
            <w:vAlign w:val="center"/>
            <w:hideMark/>
          </w:tcPr>
          <w:p w14:paraId="2FB0A01E" w14:textId="77777777" w:rsidR="00BA4141" w:rsidRPr="007245B0" w:rsidRDefault="00BA4141" w:rsidP="00537910">
            <w:pPr>
              <w:pStyle w:val="NoSpacing"/>
              <w:jc w:val="center"/>
              <w:rPr>
                <w:rFonts w:ascii="Times New Roman" w:hAnsi="Times New Roman" w:cs="Times New Roman"/>
                <w:sz w:val="18"/>
                <w:szCs w:val="18"/>
              </w:rPr>
            </w:pPr>
            <w:r w:rsidRPr="007245B0">
              <w:rPr>
                <w:rFonts w:ascii="Times New Roman" w:hAnsi="Times New Roman" w:cs="Times New Roman"/>
                <w:sz w:val="18"/>
                <w:szCs w:val="18"/>
              </w:rPr>
              <w:t>290</w:t>
            </w:r>
          </w:p>
        </w:tc>
        <w:tc>
          <w:tcPr>
            <w:tcW w:w="0" w:type="auto"/>
            <w:vAlign w:val="center"/>
            <w:hideMark/>
          </w:tcPr>
          <w:p w14:paraId="25FB7D03" w14:textId="77777777" w:rsidR="00BA4141" w:rsidRPr="007245B0" w:rsidRDefault="00BA4141" w:rsidP="00537910">
            <w:pPr>
              <w:pStyle w:val="NoSpacing"/>
              <w:jc w:val="center"/>
              <w:rPr>
                <w:rFonts w:ascii="Times New Roman" w:hAnsi="Times New Roman" w:cs="Times New Roman"/>
                <w:sz w:val="18"/>
                <w:szCs w:val="18"/>
              </w:rPr>
            </w:pPr>
            <w:r w:rsidRPr="007245B0">
              <w:rPr>
                <w:rFonts w:ascii="Times New Roman" w:hAnsi="Times New Roman" w:cs="Times New Roman"/>
                <w:sz w:val="18"/>
                <w:szCs w:val="18"/>
              </w:rPr>
              <w:t>400</w:t>
            </w:r>
          </w:p>
        </w:tc>
        <w:tc>
          <w:tcPr>
            <w:tcW w:w="0" w:type="auto"/>
            <w:vAlign w:val="center"/>
            <w:hideMark/>
          </w:tcPr>
          <w:p w14:paraId="3BF794F6" w14:textId="77777777" w:rsidR="00BA4141" w:rsidRPr="007245B0" w:rsidRDefault="00BA4141" w:rsidP="00537910">
            <w:pPr>
              <w:pStyle w:val="NoSpacing"/>
              <w:jc w:val="center"/>
              <w:rPr>
                <w:rFonts w:ascii="Times New Roman" w:hAnsi="Times New Roman" w:cs="Times New Roman"/>
                <w:sz w:val="18"/>
                <w:szCs w:val="18"/>
              </w:rPr>
            </w:pPr>
            <w:r w:rsidRPr="007245B0">
              <w:rPr>
                <w:rFonts w:ascii="Times New Roman" w:hAnsi="Times New Roman" w:cs="Times New Roman"/>
                <w:sz w:val="18"/>
                <w:szCs w:val="18"/>
              </w:rPr>
              <w:t>7.88</w:t>
            </w:r>
          </w:p>
        </w:tc>
        <w:tc>
          <w:tcPr>
            <w:tcW w:w="0" w:type="auto"/>
            <w:vAlign w:val="center"/>
            <w:hideMark/>
          </w:tcPr>
          <w:p w14:paraId="241A760A" w14:textId="77777777" w:rsidR="00BA4141" w:rsidRPr="007245B0" w:rsidRDefault="00BA4141" w:rsidP="00537910">
            <w:pPr>
              <w:pStyle w:val="NoSpacing"/>
              <w:jc w:val="center"/>
              <w:rPr>
                <w:rFonts w:ascii="Times New Roman" w:hAnsi="Times New Roman" w:cs="Times New Roman"/>
                <w:sz w:val="18"/>
                <w:szCs w:val="18"/>
              </w:rPr>
            </w:pPr>
            <w:r w:rsidRPr="007245B0">
              <w:rPr>
                <w:rFonts w:ascii="Times New Roman" w:hAnsi="Times New Roman" w:cs="Times New Roman"/>
                <w:sz w:val="18"/>
                <w:szCs w:val="18"/>
              </w:rPr>
              <w:t>1.83</w:t>
            </w:r>
          </w:p>
        </w:tc>
        <w:tc>
          <w:tcPr>
            <w:tcW w:w="0" w:type="auto"/>
            <w:vAlign w:val="center"/>
            <w:hideMark/>
          </w:tcPr>
          <w:p w14:paraId="262F1ADA" w14:textId="77777777" w:rsidR="00BA4141" w:rsidRPr="007245B0" w:rsidRDefault="00BA4141" w:rsidP="00537910">
            <w:pPr>
              <w:pStyle w:val="NoSpacing"/>
              <w:jc w:val="center"/>
              <w:rPr>
                <w:rFonts w:ascii="Times New Roman" w:hAnsi="Times New Roman" w:cs="Times New Roman"/>
                <w:sz w:val="18"/>
                <w:szCs w:val="18"/>
              </w:rPr>
            </w:pPr>
            <w:r w:rsidRPr="007245B0">
              <w:rPr>
                <w:rFonts w:ascii="Times New Roman" w:hAnsi="Times New Roman" w:cs="Times New Roman"/>
                <w:sz w:val="18"/>
                <w:szCs w:val="18"/>
              </w:rPr>
              <w:t>5.25</w:t>
            </w:r>
          </w:p>
        </w:tc>
        <w:tc>
          <w:tcPr>
            <w:tcW w:w="0" w:type="auto"/>
            <w:vAlign w:val="center"/>
            <w:hideMark/>
          </w:tcPr>
          <w:p w14:paraId="7825E007" w14:textId="77777777" w:rsidR="00BA4141" w:rsidRPr="007245B0" w:rsidRDefault="00BA4141" w:rsidP="00537910">
            <w:pPr>
              <w:pStyle w:val="NoSpacing"/>
              <w:jc w:val="center"/>
              <w:rPr>
                <w:rFonts w:ascii="Times New Roman" w:hAnsi="Times New Roman" w:cs="Times New Roman"/>
                <w:sz w:val="18"/>
                <w:szCs w:val="18"/>
              </w:rPr>
            </w:pPr>
            <w:r w:rsidRPr="007245B0">
              <w:rPr>
                <w:rFonts w:ascii="Times New Roman" w:hAnsi="Times New Roman" w:cs="Times New Roman"/>
                <w:sz w:val="18"/>
                <w:szCs w:val="18"/>
              </w:rPr>
              <w:t>14.96</w:t>
            </w:r>
          </w:p>
        </w:tc>
        <w:tc>
          <w:tcPr>
            <w:tcW w:w="0" w:type="auto"/>
            <w:vAlign w:val="center"/>
            <w:hideMark/>
          </w:tcPr>
          <w:p w14:paraId="60106DA5" w14:textId="77777777" w:rsidR="00BA4141" w:rsidRPr="007245B0" w:rsidRDefault="00BA4141" w:rsidP="00537910">
            <w:pPr>
              <w:pStyle w:val="NoSpacing"/>
              <w:jc w:val="center"/>
              <w:rPr>
                <w:rFonts w:ascii="Times New Roman" w:hAnsi="Times New Roman" w:cs="Times New Roman"/>
                <w:sz w:val="18"/>
                <w:szCs w:val="18"/>
              </w:rPr>
            </w:pPr>
            <w:r w:rsidRPr="007245B0">
              <w:rPr>
                <w:rFonts w:ascii="Times New Roman" w:hAnsi="Times New Roman" w:cs="Times New Roman"/>
                <w:sz w:val="18"/>
                <w:szCs w:val="18"/>
              </w:rPr>
              <w:t>37.4</w:t>
            </w:r>
          </w:p>
        </w:tc>
        <w:tc>
          <w:tcPr>
            <w:tcW w:w="0" w:type="auto"/>
            <w:vAlign w:val="center"/>
            <w:hideMark/>
          </w:tcPr>
          <w:p w14:paraId="714B2B94" w14:textId="77777777" w:rsidR="00BA4141" w:rsidRPr="007245B0" w:rsidRDefault="00BA4141" w:rsidP="00537910">
            <w:pPr>
              <w:pStyle w:val="NoSpacing"/>
              <w:jc w:val="center"/>
              <w:rPr>
                <w:rFonts w:ascii="Times New Roman" w:hAnsi="Times New Roman" w:cs="Times New Roman"/>
                <w:sz w:val="18"/>
                <w:szCs w:val="18"/>
              </w:rPr>
            </w:pPr>
            <w:r w:rsidRPr="007245B0">
              <w:rPr>
                <w:rFonts w:ascii="Times New Roman" w:hAnsi="Times New Roman" w:cs="Times New Roman"/>
                <w:sz w:val="18"/>
                <w:szCs w:val="18"/>
              </w:rPr>
              <w:t>10.11</w:t>
            </w:r>
          </w:p>
        </w:tc>
        <w:tc>
          <w:tcPr>
            <w:tcW w:w="0" w:type="auto"/>
            <w:vAlign w:val="center"/>
            <w:hideMark/>
          </w:tcPr>
          <w:p w14:paraId="6BD3C865" w14:textId="77777777" w:rsidR="00BA4141" w:rsidRPr="007245B0" w:rsidRDefault="00BA4141" w:rsidP="00537910">
            <w:pPr>
              <w:pStyle w:val="NoSpacing"/>
              <w:jc w:val="center"/>
              <w:rPr>
                <w:rFonts w:ascii="Times New Roman" w:hAnsi="Times New Roman" w:cs="Times New Roman"/>
                <w:sz w:val="18"/>
                <w:szCs w:val="18"/>
              </w:rPr>
            </w:pPr>
            <w:r w:rsidRPr="007245B0">
              <w:rPr>
                <w:rFonts w:ascii="Times New Roman" w:hAnsi="Times New Roman" w:cs="Times New Roman"/>
                <w:sz w:val="18"/>
                <w:szCs w:val="18"/>
              </w:rPr>
              <w:t>25.3</w:t>
            </w:r>
          </w:p>
        </w:tc>
      </w:tr>
      <w:tr w:rsidR="00BA4141" w:rsidRPr="007245B0" w14:paraId="63997675" w14:textId="77777777" w:rsidTr="00537910">
        <w:trPr>
          <w:trHeight w:val="294"/>
        </w:trPr>
        <w:tc>
          <w:tcPr>
            <w:tcW w:w="0" w:type="auto"/>
            <w:hideMark/>
          </w:tcPr>
          <w:p w14:paraId="5BBA1814" w14:textId="77777777" w:rsidR="00BA4141" w:rsidRPr="007245B0" w:rsidRDefault="00BA4141" w:rsidP="00B77C0B">
            <w:pPr>
              <w:pStyle w:val="NoSpacing"/>
              <w:rPr>
                <w:rFonts w:ascii="Times New Roman" w:hAnsi="Times New Roman" w:cs="Times New Roman"/>
                <w:sz w:val="18"/>
                <w:szCs w:val="18"/>
              </w:rPr>
            </w:pPr>
            <w:r w:rsidRPr="007245B0">
              <w:rPr>
                <w:rFonts w:ascii="Times New Roman" w:hAnsi="Times New Roman" w:cs="Times New Roman"/>
                <w:sz w:val="18"/>
                <w:szCs w:val="18"/>
              </w:rPr>
              <w:t>Tamil Nadu</w:t>
            </w:r>
          </w:p>
        </w:tc>
        <w:tc>
          <w:tcPr>
            <w:tcW w:w="0" w:type="auto"/>
            <w:vAlign w:val="center"/>
            <w:hideMark/>
          </w:tcPr>
          <w:p w14:paraId="0D3A93BB" w14:textId="77777777" w:rsidR="00BA4141" w:rsidRPr="007245B0" w:rsidRDefault="00BA4141" w:rsidP="00537910">
            <w:pPr>
              <w:pStyle w:val="NoSpacing"/>
              <w:jc w:val="center"/>
              <w:rPr>
                <w:rFonts w:ascii="Times New Roman" w:hAnsi="Times New Roman" w:cs="Times New Roman"/>
                <w:sz w:val="18"/>
                <w:szCs w:val="18"/>
              </w:rPr>
            </w:pPr>
            <w:r w:rsidRPr="007245B0">
              <w:rPr>
                <w:rFonts w:ascii="Times New Roman" w:hAnsi="Times New Roman" w:cs="Times New Roman"/>
                <w:sz w:val="18"/>
                <w:szCs w:val="18"/>
              </w:rPr>
              <w:t>1070</w:t>
            </w:r>
          </w:p>
        </w:tc>
        <w:tc>
          <w:tcPr>
            <w:tcW w:w="0" w:type="auto"/>
            <w:vAlign w:val="center"/>
            <w:hideMark/>
          </w:tcPr>
          <w:p w14:paraId="1B4225F5" w14:textId="77777777" w:rsidR="00BA4141" w:rsidRPr="007245B0" w:rsidRDefault="00BA4141" w:rsidP="00537910">
            <w:pPr>
              <w:pStyle w:val="NoSpacing"/>
              <w:jc w:val="center"/>
              <w:rPr>
                <w:rFonts w:ascii="Times New Roman" w:hAnsi="Times New Roman" w:cs="Times New Roman"/>
                <w:sz w:val="18"/>
                <w:szCs w:val="18"/>
              </w:rPr>
            </w:pPr>
            <w:r w:rsidRPr="007245B0">
              <w:rPr>
                <w:rFonts w:ascii="Times New Roman" w:hAnsi="Times New Roman" w:cs="Times New Roman"/>
                <w:sz w:val="18"/>
                <w:szCs w:val="18"/>
              </w:rPr>
              <w:t>964</w:t>
            </w:r>
          </w:p>
        </w:tc>
        <w:tc>
          <w:tcPr>
            <w:tcW w:w="0" w:type="auto"/>
            <w:vAlign w:val="center"/>
            <w:hideMark/>
          </w:tcPr>
          <w:p w14:paraId="53B6E43F" w14:textId="77777777" w:rsidR="00BA4141" w:rsidRPr="007245B0" w:rsidRDefault="00BA4141" w:rsidP="00537910">
            <w:pPr>
              <w:pStyle w:val="NoSpacing"/>
              <w:jc w:val="center"/>
              <w:rPr>
                <w:rFonts w:ascii="Times New Roman" w:hAnsi="Times New Roman" w:cs="Times New Roman"/>
                <w:sz w:val="18"/>
                <w:szCs w:val="18"/>
              </w:rPr>
            </w:pPr>
            <w:r w:rsidRPr="007245B0">
              <w:rPr>
                <w:rFonts w:ascii="Times New Roman" w:hAnsi="Times New Roman" w:cs="Times New Roman"/>
                <w:sz w:val="18"/>
                <w:szCs w:val="18"/>
              </w:rPr>
              <w:t>3057</w:t>
            </w:r>
          </w:p>
        </w:tc>
        <w:tc>
          <w:tcPr>
            <w:tcW w:w="0" w:type="auto"/>
            <w:vAlign w:val="center"/>
            <w:hideMark/>
          </w:tcPr>
          <w:p w14:paraId="2A5F203A" w14:textId="77777777" w:rsidR="00BA4141" w:rsidRPr="007245B0" w:rsidRDefault="00BA4141" w:rsidP="00537910">
            <w:pPr>
              <w:pStyle w:val="NoSpacing"/>
              <w:jc w:val="center"/>
              <w:rPr>
                <w:rFonts w:ascii="Times New Roman" w:hAnsi="Times New Roman" w:cs="Times New Roman"/>
                <w:sz w:val="18"/>
                <w:szCs w:val="18"/>
              </w:rPr>
            </w:pPr>
            <w:r w:rsidRPr="007245B0">
              <w:rPr>
                <w:rFonts w:ascii="Times New Roman" w:hAnsi="Times New Roman" w:cs="Times New Roman"/>
                <w:sz w:val="18"/>
                <w:szCs w:val="18"/>
              </w:rPr>
              <w:t>1753</w:t>
            </w:r>
          </w:p>
        </w:tc>
        <w:tc>
          <w:tcPr>
            <w:tcW w:w="0" w:type="auto"/>
            <w:vAlign w:val="center"/>
            <w:hideMark/>
          </w:tcPr>
          <w:p w14:paraId="1E6414A8" w14:textId="77777777" w:rsidR="00BA4141" w:rsidRPr="007245B0" w:rsidRDefault="00BA4141" w:rsidP="00537910">
            <w:pPr>
              <w:pStyle w:val="NoSpacing"/>
              <w:jc w:val="center"/>
              <w:rPr>
                <w:rFonts w:ascii="Times New Roman" w:hAnsi="Times New Roman" w:cs="Times New Roman"/>
                <w:sz w:val="18"/>
                <w:szCs w:val="18"/>
              </w:rPr>
            </w:pPr>
            <w:r w:rsidRPr="007245B0">
              <w:rPr>
                <w:rFonts w:ascii="Times New Roman" w:hAnsi="Times New Roman" w:cs="Times New Roman"/>
                <w:sz w:val="18"/>
                <w:szCs w:val="18"/>
              </w:rPr>
              <w:t>3966</w:t>
            </w:r>
          </w:p>
        </w:tc>
        <w:tc>
          <w:tcPr>
            <w:tcW w:w="0" w:type="auto"/>
            <w:vAlign w:val="center"/>
            <w:hideMark/>
          </w:tcPr>
          <w:p w14:paraId="007944BB" w14:textId="77777777" w:rsidR="00BA4141" w:rsidRPr="007245B0" w:rsidRDefault="00BA4141" w:rsidP="00537910">
            <w:pPr>
              <w:pStyle w:val="NoSpacing"/>
              <w:jc w:val="center"/>
              <w:rPr>
                <w:rFonts w:ascii="Times New Roman" w:hAnsi="Times New Roman" w:cs="Times New Roman"/>
                <w:sz w:val="18"/>
                <w:szCs w:val="18"/>
              </w:rPr>
            </w:pPr>
            <w:r w:rsidRPr="007245B0">
              <w:rPr>
                <w:rFonts w:ascii="Times New Roman" w:hAnsi="Times New Roman" w:cs="Times New Roman"/>
                <w:sz w:val="18"/>
                <w:szCs w:val="18"/>
              </w:rPr>
              <w:t>22.23</w:t>
            </w:r>
          </w:p>
        </w:tc>
        <w:tc>
          <w:tcPr>
            <w:tcW w:w="0" w:type="auto"/>
            <w:vAlign w:val="center"/>
            <w:hideMark/>
          </w:tcPr>
          <w:p w14:paraId="474E694A" w14:textId="77777777" w:rsidR="00BA4141" w:rsidRPr="007245B0" w:rsidRDefault="00BA4141" w:rsidP="00537910">
            <w:pPr>
              <w:pStyle w:val="NoSpacing"/>
              <w:jc w:val="center"/>
              <w:rPr>
                <w:rFonts w:ascii="Times New Roman" w:hAnsi="Times New Roman" w:cs="Times New Roman"/>
                <w:sz w:val="18"/>
                <w:szCs w:val="18"/>
              </w:rPr>
            </w:pPr>
            <w:r w:rsidRPr="007245B0">
              <w:rPr>
                <w:rFonts w:ascii="Times New Roman" w:hAnsi="Times New Roman" w:cs="Times New Roman"/>
                <w:sz w:val="18"/>
                <w:szCs w:val="18"/>
              </w:rPr>
              <w:t>7.50</w:t>
            </w:r>
          </w:p>
        </w:tc>
        <w:tc>
          <w:tcPr>
            <w:tcW w:w="0" w:type="auto"/>
            <w:vAlign w:val="center"/>
            <w:hideMark/>
          </w:tcPr>
          <w:p w14:paraId="262A0DEF" w14:textId="77777777" w:rsidR="00BA4141" w:rsidRPr="007245B0" w:rsidRDefault="00BA4141" w:rsidP="00537910">
            <w:pPr>
              <w:pStyle w:val="NoSpacing"/>
              <w:jc w:val="center"/>
              <w:rPr>
                <w:rFonts w:ascii="Times New Roman" w:hAnsi="Times New Roman" w:cs="Times New Roman"/>
                <w:sz w:val="18"/>
                <w:szCs w:val="18"/>
              </w:rPr>
            </w:pPr>
            <w:r w:rsidRPr="007245B0">
              <w:rPr>
                <w:rFonts w:ascii="Times New Roman" w:hAnsi="Times New Roman" w:cs="Times New Roman"/>
                <w:sz w:val="18"/>
                <w:szCs w:val="18"/>
              </w:rPr>
              <w:t>13.66</w:t>
            </w:r>
          </w:p>
        </w:tc>
        <w:tc>
          <w:tcPr>
            <w:tcW w:w="0" w:type="auto"/>
            <w:vAlign w:val="center"/>
            <w:hideMark/>
          </w:tcPr>
          <w:p w14:paraId="366544CB" w14:textId="77777777" w:rsidR="00BA4141" w:rsidRPr="007245B0" w:rsidRDefault="00BA4141" w:rsidP="00537910">
            <w:pPr>
              <w:pStyle w:val="NoSpacing"/>
              <w:jc w:val="center"/>
              <w:rPr>
                <w:rFonts w:ascii="Times New Roman" w:hAnsi="Times New Roman" w:cs="Times New Roman"/>
                <w:sz w:val="18"/>
                <w:szCs w:val="18"/>
              </w:rPr>
            </w:pPr>
            <w:r w:rsidRPr="007245B0">
              <w:rPr>
                <w:rFonts w:ascii="Times New Roman" w:hAnsi="Times New Roman" w:cs="Times New Roman"/>
                <w:sz w:val="18"/>
                <w:szCs w:val="18"/>
              </w:rPr>
              <w:t>43.39</w:t>
            </w:r>
          </w:p>
        </w:tc>
        <w:tc>
          <w:tcPr>
            <w:tcW w:w="0" w:type="auto"/>
            <w:vAlign w:val="center"/>
            <w:hideMark/>
          </w:tcPr>
          <w:p w14:paraId="660CF7B6" w14:textId="77777777" w:rsidR="00BA4141" w:rsidRPr="007245B0" w:rsidRDefault="00BA4141" w:rsidP="00537910">
            <w:pPr>
              <w:pStyle w:val="NoSpacing"/>
              <w:jc w:val="center"/>
              <w:rPr>
                <w:rFonts w:ascii="Times New Roman" w:hAnsi="Times New Roman" w:cs="Times New Roman"/>
                <w:sz w:val="18"/>
                <w:szCs w:val="18"/>
              </w:rPr>
            </w:pPr>
            <w:r w:rsidRPr="007245B0">
              <w:rPr>
                <w:rFonts w:ascii="Times New Roman" w:hAnsi="Times New Roman" w:cs="Times New Roman"/>
                <w:sz w:val="18"/>
                <w:szCs w:val="18"/>
              </w:rPr>
              <w:t>10.9</w:t>
            </w:r>
          </w:p>
        </w:tc>
        <w:tc>
          <w:tcPr>
            <w:tcW w:w="0" w:type="auto"/>
            <w:vAlign w:val="center"/>
            <w:hideMark/>
          </w:tcPr>
          <w:p w14:paraId="1A87E466" w14:textId="77777777" w:rsidR="00BA4141" w:rsidRPr="007245B0" w:rsidRDefault="00BA4141" w:rsidP="00537910">
            <w:pPr>
              <w:pStyle w:val="NoSpacing"/>
              <w:jc w:val="center"/>
              <w:rPr>
                <w:rFonts w:ascii="Times New Roman" w:hAnsi="Times New Roman" w:cs="Times New Roman"/>
                <w:sz w:val="18"/>
                <w:szCs w:val="18"/>
              </w:rPr>
            </w:pPr>
            <w:r w:rsidRPr="007245B0">
              <w:rPr>
                <w:rFonts w:ascii="Times New Roman" w:hAnsi="Times New Roman" w:cs="Times New Roman"/>
                <w:sz w:val="18"/>
                <w:szCs w:val="18"/>
              </w:rPr>
              <w:t>44.62</w:t>
            </w:r>
          </w:p>
        </w:tc>
        <w:tc>
          <w:tcPr>
            <w:tcW w:w="0" w:type="auto"/>
            <w:vAlign w:val="center"/>
            <w:hideMark/>
          </w:tcPr>
          <w:p w14:paraId="6A51EA61" w14:textId="77777777" w:rsidR="00BA4141" w:rsidRPr="007245B0" w:rsidRDefault="00BA4141" w:rsidP="00537910">
            <w:pPr>
              <w:pStyle w:val="NoSpacing"/>
              <w:jc w:val="center"/>
              <w:rPr>
                <w:rFonts w:ascii="Times New Roman" w:hAnsi="Times New Roman" w:cs="Times New Roman"/>
                <w:sz w:val="18"/>
                <w:szCs w:val="18"/>
              </w:rPr>
            </w:pPr>
            <w:r w:rsidRPr="007245B0">
              <w:rPr>
                <w:rFonts w:ascii="Times New Roman" w:hAnsi="Times New Roman" w:cs="Times New Roman"/>
                <w:sz w:val="18"/>
                <w:szCs w:val="18"/>
              </w:rPr>
              <w:t>11.3</w:t>
            </w:r>
          </w:p>
        </w:tc>
      </w:tr>
      <w:tr w:rsidR="00BA4141" w:rsidRPr="007245B0" w14:paraId="253B0370" w14:textId="77777777" w:rsidTr="00537910">
        <w:trPr>
          <w:trHeight w:val="604"/>
        </w:trPr>
        <w:tc>
          <w:tcPr>
            <w:tcW w:w="0" w:type="auto"/>
            <w:hideMark/>
          </w:tcPr>
          <w:p w14:paraId="116263F0" w14:textId="77777777" w:rsidR="00BA4141" w:rsidRPr="007245B0" w:rsidRDefault="00BA4141" w:rsidP="00B77C0B">
            <w:pPr>
              <w:pStyle w:val="NoSpacing"/>
              <w:rPr>
                <w:rFonts w:ascii="Times New Roman" w:hAnsi="Times New Roman" w:cs="Times New Roman"/>
                <w:sz w:val="18"/>
                <w:szCs w:val="18"/>
              </w:rPr>
            </w:pPr>
            <w:r w:rsidRPr="007245B0">
              <w:rPr>
                <w:rFonts w:ascii="Times New Roman" w:hAnsi="Times New Roman" w:cs="Times New Roman"/>
                <w:sz w:val="18"/>
                <w:szCs w:val="18"/>
              </w:rPr>
              <w:t>Uttar Pradesh</w:t>
            </w:r>
          </w:p>
        </w:tc>
        <w:tc>
          <w:tcPr>
            <w:tcW w:w="0" w:type="auto"/>
            <w:vAlign w:val="center"/>
            <w:hideMark/>
          </w:tcPr>
          <w:p w14:paraId="06A0A437" w14:textId="77777777" w:rsidR="00BA4141" w:rsidRPr="007245B0" w:rsidRDefault="00BA4141" w:rsidP="00537910">
            <w:pPr>
              <w:pStyle w:val="NoSpacing"/>
              <w:jc w:val="center"/>
              <w:rPr>
                <w:rFonts w:ascii="Times New Roman" w:hAnsi="Times New Roman" w:cs="Times New Roman"/>
                <w:sz w:val="18"/>
                <w:szCs w:val="18"/>
              </w:rPr>
            </w:pPr>
            <w:r w:rsidRPr="007245B0">
              <w:rPr>
                <w:rFonts w:ascii="Times New Roman" w:hAnsi="Times New Roman" w:cs="Times New Roman"/>
                <w:sz w:val="18"/>
                <w:szCs w:val="18"/>
              </w:rPr>
              <w:t>1075</w:t>
            </w:r>
          </w:p>
        </w:tc>
        <w:tc>
          <w:tcPr>
            <w:tcW w:w="0" w:type="auto"/>
            <w:vAlign w:val="center"/>
            <w:hideMark/>
          </w:tcPr>
          <w:p w14:paraId="5BC88408" w14:textId="77777777" w:rsidR="00BA4141" w:rsidRPr="007245B0" w:rsidRDefault="00BA4141" w:rsidP="00537910">
            <w:pPr>
              <w:pStyle w:val="NoSpacing"/>
              <w:jc w:val="center"/>
              <w:rPr>
                <w:rFonts w:ascii="Times New Roman" w:hAnsi="Times New Roman" w:cs="Times New Roman"/>
                <w:sz w:val="18"/>
                <w:szCs w:val="18"/>
              </w:rPr>
            </w:pPr>
            <w:r w:rsidRPr="007245B0">
              <w:rPr>
                <w:rFonts w:ascii="Times New Roman" w:hAnsi="Times New Roman" w:cs="Times New Roman"/>
                <w:sz w:val="18"/>
                <w:szCs w:val="18"/>
              </w:rPr>
              <w:t>712</w:t>
            </w:r>
          </w:p>
        </w:tc>
        <w:tc>
          <w:tcPr>
            <w:tcW w:w="0" w:type="auto"/>
            <w:vAlign w:val="center"/>
            <w:hideMark/>
          </w:tcPr>
          <w:p w14:paraId="367E0DA2" w14:textId="77777777" w:rsidR="00BA4141" w:rsidRPr="007245B0" w:rsidRDefault="00BA4141" w:rsidP="00537910">
            <w:pPr>
              <w:pStyle w:val="NoSpacing"/>
              <w:jc w:val="center"/>
              <w:rPr>
                <w:rFonts w:ascii="Times New Roman" w:hAnsi="Times New Roman" w:cs="Times New Roman"/>
                <w:sz w:val="18"/>
                <w:szCs w:val="18"/>
              </w:rPr>
            </w:pPr>
            <w:r w:rsidRPr="007245B0">
              <w:rPr>
                <w:rFonts w:ascii="Times New Roman" w:hAnsi="Times New Roman" w:cs="Times New Roman"/>
                <w:sz w:val="18"/>
                <w:szCs w:val="18"/>
              </w:rPr>
              <w:t>3294</w:t>
            </w:r>
          </w:p>
        </w:tc>
        <w:tc>
          <w:tcPr>
            <w:tcW w:w="0" w:type="auto"/>
            <w:vAlign w:val="center"/>
            <w:hideMark/>
          </w:tcPr>
          <w:p w14:paraId="1CDDDAD1" w14:textId="77777777" w:rsidR="00BA4141" w:rsidRPr="007245B0" w:rsidRDefault="00BA4141" w:rsidP="00537910">
            <w:pPr>
              <w:pStyle w:val="NoSpacing"/>
              <w:jc w:val="center"/>
              <w:rPr>
                <w:rFonts w:ascii="Times New Roman" w:hAnsi="Times New Roman" w:cs="Times New Roman"/>
                <w:sz w:val="18"/>
                <w:szCs w:val="18"/>
              </w:rPr>
            </w:pPr>
            <w:r w:rsidRPr="007245B0">
              <w:rPr>
                <w:rFonts w:ascii="Times New Roman" w:hAnsi="Times New Roman" w:cs="Times New Roman"/>
                <w:sz w:val="18"/>
                <w:szCs w:val="18"/>
              </w:rPr>
              <w:t>496</w:t>
            </w:r>
          </w:p>
        </w:tc>
        <w:tc>
          <w:tcPr>
            <w:tcW w:w="0" w:type="auto"/>
            <w:vAlign w:val="center"/>
            <w:hideMark/>
          </w:tcPr>
          <w:p w14:paraId="06204B09" w14:textId="77777777" w:rsidR="00BA4141" w:rsidRPr="007245B0" w:rsidRDefault="00BA4141" w:rsidP="00537910">
            <w:pPr>
              <w:pStyle w:val="NoSpacing"/>
              <w:jc w:val="center"/>
              <w:rPr>
                <w:rFonts w:ascii="Times New Roman" w:hAnsi="Times New Roman" w:cs="Times New Roman"/>
                <w:sz w:val="18"/>
                <w:szCs w:val="18"/>
              </w:rPr>
            </w:pPr>
            <w:r w:rsidRPr="007245B0">
              <w:rPr>
                <w:rFonts w:ascii="Times New Roman" w:hAnsi="Times New Roman" w:cs="Times New Roman"/>
                <w:sz w:val="18"/>
                <w:szCs w:val="18"/>
              </w:rPr>
              <w:t>2953</w:t>
            </w:r>
          </w:p>
        </w:tc>
        <w:tc>
          <w:tcPr>
            <w:tcW w:w="0" w:type="auto"/>
            <w:vAlign w:val="center"/>
            <w:hideMark/>
          </w:tcPr>
          <w:p w14:paraId="1FEB5A35" w14:textId="77777777" w:rsidR="00BA4141" w:rsidRPr="007245B0" w:rsidRDefault="00BA4141" w:rsidP="00537910">
            <w:pPr>
              <w:pStyle w:val="NoSpacing"/>
              <w:jc w:val="center"/>
              <w:rPr>
                <w:rFonts w:ascii="Times New Roman" w:hAnsi="Times New Roman" w:cs="Times New Roman"/>
                <w:sz w:val="18"/>
                <w:szCs w:val="18"/>
              </w:rPr>
            </w:pPr>
            <w:r w:rsidRPr="007245B0">
              <w:rPr>
                <w:rFonts w:ascii="Times New Roman" w:hAnsi="Times New Roman" w:cs="Times New Roman"/>
                <w:sz w:val="18"/>
                <w:szCs w:val="18"/>
              </w:rPr>
              <w:t>19.46</w:t>
            </w:r>
          </w:p>
        </w:tc>
        <w:tc>
          <w:tcPr>
            <w:tcW w:w="0" w:type="auto"/>
            <w:vAlign w:val="center"/>
            <w:hideMark/>
          </w:tcPr>
          <w:p w14:paraId="22F0771A" w14:textId="77777777" w:rsidR="00BA4141" w:rsidRPr="007245B0" w:rsidRDefault="00BA4141" w:rsidP="00537910">
            <w:pPr>
              <w:pStyle w:val="NoSpacing"/>
              <w:jc w:val="center"/>
              <w:rPr>
                <w:rFonts w:ascii="Times New Roman" w:hAnsi="Times New Roman" w:cs="Times New Roman"/>
                <w:sz w:val="18"/>
                <w:szCs w:val="18"/>
              </w:rPr>
            </w:pPr>
            <w:r w:rsidRPr="007245B0">
              <w:rPr>
                <w:rFonts w:ascii="Times New Roman" w:hAnsi="Times New Roman" w:cs="Times New Roman"/>
                <w:sz w:val="18"/>
                <w:szCs w:val="18"/>
              </w:rPr>
              <w:t>5.01</w:t>
            </w:r>
          </w:p>
        </w:tc>
        <w:tc>
          <w:tcPr>
            <w:tcW w:w="0" w:type="auto"/>
            <w:vAlign w:val="center"/>
            <w:hideMark/>
          </w:tcPr>
          <w:p w14:paraId="7E15DDBC" w14:textId="77777777" w:rsidR="00BA4141" w:rsidRPr="007245B0" w:rsidRDefault="00BA4141" w:rsidP="00537910">
            <w:pPr>
              <w:pStyle w:val="NoSpacing"/>
              <w:jc w:val="center"/>
              <w:rPr>
                <w:rFonts w:ascii="Times New Roman" w:hAnsi="Times New Roman" w:cs="Times New Roman"/>
                <w:sz w:val="18"/>
                <w:szCs w:val="18"/>
              </w:rPr>
            </w:pPr>
            <w:r w:rsidRPr="007245B0">
              <w:rPr>
                <w:rFonts w:ascii="Times New Roman" w:hAnsi="Times New Roman" w:cs="Times New Roman"/>
                <w:sz w:val="18"/>
                <w:szCs w:val="18"/>
              </w:rPr>
              <w:t>17.88</w:t>
            </w:r>
          </w:p>
        </w:tc>
        <w:tc>
          <w:tcPr>
            <w:tcW w:w="0" w:type="auto"/>
            <w:vAlign w:val="center"/>
            <w:hideMark/>
          </w:tcPr>
          <w:p w14:paraId="27E86577" w14:textId="77777777" w:rsidR="00BA4141" w:rsidRPr="007245B0" w:rsidRDefault="00BA4141" w:rsidP="00537910">
            <w:pPr>
              <w:pStyle w:val="NoSpacing"/>
              <w:jc w:val="center"/>
              <w:rPr>
                <w:rFonts w:ascii="Times New Roman" w:hAnsi="Times New Roman" w:cs="Times New Roman"/>
                <w:sz w:val="18"/>
                <w:szCs w:val="18"/>
              </w:rPr>
            </w:pPr>
            <w:r w:rsidRPr="007245B0">
              <w:rPr>
                <w:rFonts w:ascii="Times New Roman" w:hAnsi="Times New Roman" w:cs="Times New Roman"/>
                <w:sz w:val="18"/>
                <w:szCs w:val="18"/>
              </w:rPr>
              <w:t>42.35</w:t>
            </w:r>
          </w:p>
        </w:tc>
        <w:tc>
          <w:tcPr>
            <w:tcW w:w="0" w:type="auto"/>
            <w:vAlign w:val="center"/>
            <w:hideMark/>
          </w:tcPr>
          <w:p w14:paraId="19895CED" w14:textId="77777777" w:rsidR="00BA4141" w:rsidRPr="007245B0" w:rsidRDefault="00BA4141" w:rsidP="00537910">
            <w:pPr>
              <w:pStyle w:val="NoSpacing"/>
              <w:jc w:val="center"/>
              <w:rPr>
                <w:rFonts w:ascii="Times New Roman" w:hAnsi="Times New Roman" w:cs="Times New Roman"/>
                <w:sz w:val="18"/>
                <w:szCs w:val="18"/>
              </w:rPr>
            </w:pPr>
            <w:r w:rsidRPr="007245B0">
              <w:rPr>
                <w:rFonts w:ascii="Times New Roman" w:hAnsi="Times New Roman" w:cs="Times New Roman"/>
                <w:sz w:val="18"/>
                <w:szCs w:val="18"/>
              </w:rPr>
              <w:t>14.0</w:t>
            </w:r>
          </w:p>
        </w:tc>
        <w:tc>
          <w:tcPr>
            <w:tcW w:w="0" w:type="auto"/>
            <w:vAlign w:val="center"/>
            <w:hideMark/>
          </w:tcPr>
          <w:p w14:paraId="45BEA9A4" w14:textId="77777777" w:rsidR="00BA4141" w:rsidRPr="007245B0" w:rsidRDefault="00BA4141" w:rsidP="00537910">
            <w:pPr>
              <w:pStyle w:val="NoSpacing"/>
              <w:jc w:val="center"/>
              <w:rPr>
                <w:rFonts w:ascii="Times New Roman" w:hAnsi="Times New Roman" w:cs="Times New Roman"/>
                <w:sz w:val="18"/>
                <w:szCs w:val="18"/>
              </w:rPr>
            </w:pPr>
            <w:r w:rsidRPr="007245B0">
              <w:rPr>
                <w:rFonts w:ascii="Times New Roman" w:hAnsi="Times New Roman" w:cs="Times New Roman"/>
                <w:sz w:val="18"/>
                <w:szCs w:val="18"/>
              </w:rPr>
              <w:t>34.39</w:t>
            </w:r>
          </w:p>
        </w:tc>
        <w:tc>
          <w:tcPr>
            <w:tcW w:w="0" w:type="auto"/>
            <w:vAlign w:val="center"/>
            <w:hideMark/>
          </w:tcPr>
          <w:p w14:paraId="3E7EE599" w14:textId="77777777" w:rsidR="00BA4141" w:rsidRPr="007245B0" w:rsidRDefault="00BA4141" w:rsidP="00537910">
            <w:pPr>
              <w:pStyle w:val="NoSpacing"/>
              <w:jc w:val="center"/>
              <w:rPr>
                <w:rFonts w:ascii="Times New Roman" w:hAnsi="Times New Roman" w:cs="Times New Roman"/>
                <w:sz w:val="18"/>
                <w:szCs w:val="18"/>
              </w:rPr>
            </w:pPr>
            <w:r w:rsidRPr="007245B0">
              <w:rPr>
                <w:rFonts w:ascii="Times New Roman" w:hAnsi="Times New Roman" w:cs="Times New Roman"/>
                <w:sz w:val="18"/>
                <w:szCs w:val="18"/>
              </w:rPr>
              <w:t>11.6</w:t>
            </w:r>
          </w:p>
        </w:tc>
      </w:tr>
      <w:tr w:rsidR="00BA4141" w:rsidRPr="007245B0" w14:paraId="03507093" w14:textId="77777777" w:rsidTr="00537910">
        <w:trPr>
          <w:trHeight w:val="294"/>
        </w:trPr>
        <w:tc>
          <w:tcPr>
            <w:tcW w:w="0" w:type="auto"/>
            <w:hideMark/>
          </w:tcPr>
          <w:p w14:paraId="63FFA5E5" w14:textId="77777777" w:rsidR="00BA4141" w:rsidRPr="007245B0" w:rsidRDefault="00BA4141" w:rsidP="00B77C0B">
            <w:pPr>
              <w:pStyle w:val="NoSpacing"/>
              <w:rPr>
                <w:rFonts w:ascii="Times New Roman" w:hAnsi="Times New Roman" w:cs="Times New Roman"/>
                <w:sz w:val="18"/>
                <w:szCs w:val="18"/>
              </w:rPr>
            </w:pPr>
            <w:r w:rsidRPr="007245B0">
              <w:rPr>
                <w:rFonts w:ascii="Times New Roman" w:hAnsi="Times New Roman" w:cs="Times New Roman"/>
                <w:sz w:val="18"/>
                <w:szCs w:val="18"/>
              </w:rPr>
              <w:t>West Bengal</w:t>
            </w:r>
          </w:p>
        </w:tc>
        <w:tc>
          <w:tcPr>
            <w:tcW w:w="0" w:type="auto"/>
            <w:vAlign w:val="center"/>
            <w:hideMark/>
          </w:tcPr>
          <w:p w14:paraId="618C2399" w14:textId="77777777" w:rsidR="00BA4141" w:rsidRPr="007245B0" w:rsidRDefault="00BA4141" w:rsidP="00537910">
            <w:pPr>
              <w:pStyle w:val="NoSpacing"/>
              <w:jc w:val="center"/>
              <w:rPr>
                <w:rFonts w:ascii="Times New Roman" w:hAnsi="Times New Roman" w:cs="Times New Roman"/>
                <w:sz w:val="18"/>
                <w:szCs w:val="18"/>
              </w:rPr>
            </w:pPr>
            <w:r w:rsidRPr="007245B0">
              <w:rPr>
                <w:rFonts w:ascii="Times New Roman" w:hAnsi="Times New Roman" w:cs="Times New Roman"/>
                <w:sz w:val="18"/>
                <w:szCs w:val="18"/>
              </w:rPr>
              <w:t>392</w:t>
            </w:r>
          </w:p>
        </w:tc>
        <w:tc>
          <w:tcPr>
            <w:tcW w:w="0" w:type="auto"/>
            <w:vAlign w:val="center"/>
            <w:hideMark/>
          </w:tcPr>
          <w:p w14:paraId="583E8384" w14:textId="77777777" w:rsidR="00BA4141" w:rsidRPr="007245B0" w:rsidRDefault="00BA4141" w:rsidP="00537910">
            <w:pPr>
              <w:pStyle w:val="NoSpacing"/>
              <w:jc w:val="center"/>
              <w:rPr>
                <w:rFonts w:ascii="Times New Roman" w:hAnsi="Times New Roman" w:cs="Times New Roman"/>
                <w:sz w:val="18"/>
                <w:szCs w:val="18"/>
              </w:rPr>
            </w:pPr>
            <w:r w:rsidRPr="007245B0">
              <w:rPr>
                <w:rFonts w:ascii="Times New Roman" w:hAnsi="Times New Roman" w:cs="Times New Roman"/>
                <w:sz w:val="18"/>
                <w:szCs w:val="18"/>
              </w:rPr>
              <w:t>325</w:t>
            </w:r>
          </w:p>
        </w:tc>
        <w:tc>
          <w:tcPr>
            <w:tcW w:w="0" w:type="auto"/>
            <w:vAlign w:val="center"/>
            <w:hideMark/>
          </w:tcPr>
          <w:p w14:paraId="71483E1C" w14:textId="77777777" w:rsidR="00BA4141" w:rsidRPr="007245B0" w:rsidRDefault="00BA4141" w:rsidP="00537910">
            <w:pPr>
              <w:pStyle w:val="NoSpacing"/>
              <w:jc w:val="center"/>
              <w:rPr>
                <w:rFonts w:ascii="Times New Roman" w:hAnsi="Times New Roman" w:cs="Times New Roman"/>
                <w:sz w:val="18"/>
                <w:szCs w:val="18"/>
              </w:rPr>
            </w:pPr>
            <w:r w:rsidRPr="007245B0">
              <w:rPr>
                <w:rFonts w:ascii="Times New Roman" w:hAnsi="Times New Roman" w:cs="Times New Roman"/>
                <w:sz w:val="18"/>
                <w:szCs w:val="18"/>
              </w:rPr>
              <w:t>1026</w:t>
            </w:r>
          </w:p>
        </w:tc>
        <w:tc>
          <w:tcPr>
            <w:tcW w:w="0" w:type="auto"/>
            <w:vAlign w:val="center"/>
            <w:hideMark/>
          </w:tcPr>
          <w:p w14:paraId="7B83AC3C" w14:textId="77777777" w:rsidR="00BA4141" w:rsidRPr="007245B0" w:rsidRDefault="00BA4141" w:rsidP="00537910">
            <w:pPr>
              <w:pStyle w:val="NoSpacing"/>
              <w:jc w:val="center"/>
              <w:rPr>
                <w:rFonts w:ascii="Times New Roman" w:hAnsi="Times New Roman" w:cs="Times New Roman"/>
                <w:sz w:val="18"/>
                <w:szCs w:val="18"/>
              </w:rPr>
            </w:pPr>
            <w:r w:rsidRPr="007245B0">
              <w:rPr>
                <w:rFonts w:ascii="Times New Roman" w:hAnsi="Times New Roman" w:cs="Times New Roman"/>
                <w:sz w:val="18"/>
                <w:szCs w:val="18"/>
              </w:rPr>
              <w:t>481</w:t>
            </w:r>
          </w:p>
        </w:tc>
        <w:tc>
          <w:tcPr>
            <w:tcW w:w="0" w:type="auto"/>
            <w:vAlign w:val="center"/>
            <w:hideMark/>
          </w:tcPr>
          <w:p w14:paraId="05736194" w14:textId="77777777" w:rsidR="00BA4141" w:rsidRPr="007245B0" w:rsidRDefault="00BA4141" w:rsidP="00537910">
            <w:pPr>
              <w:pStyle w:val="NoSpacing"/>
              <w:jc w:val="center"/>
              <w:rPr>
                <w:rFonts w:ascii="Times New Roman" w:hAnsi="Times New Roman" w:cs="Times New Roman"/>
                <w:sz w:val="18"/>
                <w:szCs w:val="18"/>
              </w:rPr>
            </w:pPr>
            <w:r w:rsidRPr="007245B0">
              <w:rPr>
                <w:rFonts w:ascii="Times New Roman" w:hAnsi="Times New Roman" w:cs="Times New Roman"/>
                <w:sz w:val="18"/>
                <w:szCs w:val="18"/>
              </w:rPr>
              <w:t>1337</w:t>
            </w:r>
          </w:p>
        </w:tc>
        <w:tc>
          <w:tcPr>
            <w:tcW w:w="0" w:type="auto"/>
            <w:vAlign w:val="center"/>
            <w:hideMark/>
          </w:tcPr>
          <w:p w14:paraId="36730DE8" w14:textId="77777777" w:rsidR="00BA4141" w:rsidRPr="007245B0" w:rsidRDefault="00BA4141" w:rsidP="00537910">
            <w:pPr>
              <w:pStyle w:val="NoSpacing"/>
              <w:jc w:val="center"/>
              <w:rPr>
                <w:rFonts w:ascii="Times New Roman" w:hAnsi="Times New Roman" w:cs="Times New Roman"/>
                <w:sz w:val="18"/>
                <w:szCs w:val="18"/>
              </w:rPr>
            </w:pPr>
            <w:r w:rsidRPr="007245B0">
              <w:rPr>
                <w:rFonts w:ascii="Times New Roman" w:hAnsi="Times New Roman" w:cs="Times New Roman"/>
                <w:sz w:val="18"/>
                <w:szCs w:val="18"/>
              </w:rPr>
              <w:t>9.03</w:t>
            </w:r>
          </w:p>
        </w:tc>
        <w:tc>
          <w:tcPr>
            <w:tcW w:w="0" w:type="auto"/>
            <w:vAlign w:val="center"/>
            <w:hideMark/>
          </w:tcPr>
          <w:p w14:paraId="76E95E63" w14:textId="77777777" w:rsidR="00BA4141" w:rsidRPr="007245B0" w:rsidRDefault="00BA4141" w:rsidP="00537910">
            <w:pPr>
              <w:pStyle w:val="NoSpacing"/>
              <w:jc w:val="center"/>
              <w:rPr>
                <w:rFonts w:ascii="Times New Roman" w:hAnsi="Times New Roman" w:cs="Times New Roman"/>
                <w:sz w:val="18"/>
                <w:szCs w:val="18"/>
              </w:rPr>
            </w:pPr>
            <w:r w:rsidRPr="007245B0">
              <w:rPr>
                <w:rFonts w:ascii="Times New Roman" w:hAnsi="Times New Roman" w:cs="Times New Roman"/>
                <w:sz w:val="18"/>
                <w:szCs w:val="18"/>
              </w:rPr>
              <w:t>1.97</w:t>
            </w:r>
          </w:p>
        </w:tc>
        <w:tc>
          <w:tcPr>
            <w:tcW w:w="0" w:type="auto"/>
            <w:vAlign w:val="center"/>
            <w:hideMark/>
          </w:tcPr>
          <w:p w14:paraId="71D6E563" w14:textId="77777777" w:rsidR="00BA4141" w:rsidRPr="007245B0" w:rsidRDefault="00BA4141" w:rsidP="00537910">
            <w:pPr>
              <w:pStyle w:val="NoSpacing"/>
              <w:jc w:val="center"/>
              <w:rPr>
                <w:rFonts w:ascii="Times New Roman" w:hAnsi="Times New Roman" w:cs="Times New Roman"/>
                <w:sz w:val="18"/>
                <w:szCs w:val="18"/>
              </w:rPr>
            </w:pPr>
            <w:r w:rsidRPr="007245B0">
              <w:rPr>
                <w:rFonts w:ascii="Times New Roman" w:hAnsi="Times New Roman" w:cs="Times New Roman"/>
                <w:sz w:val="18"/>
                <w:szCs w:val="18"/>
              </w:rPr>
              <w:t>4.08</w:t>
            </w:r>
          </w:p>
        </w:tc>
        <w:tc>
          <w:tcPr>
            <w:tcW w:w="0" w:type="auto"/>
            <w:vAlign w:val="center"/>
            <w:hideMark/>
          </w:tcPr>
          <w:p w14:paraId="5C2AF6AE" w14:textId="77777777" w:rsidR="00BA4141" w:rsidRPr="007245B0" w:rsidRDefault="00BA4141" w:rsidP="00537910">
            <w:pPr>
              <w:pStyle w:val="NoSpacing"/>
              <w:jc w:val="center"/>
              <w:rPr>
                <w:rFonts w:ascii="Times New Roman" w:hAnsi="Times New Roman" w:cs="Times New Roman"/>
                <w:sz w:val="18"/>
                <w:szCs w:val="18"/>
              </w:rPr>
            </w:pPr>
            <w:r w:rsidRPr="007245B0">
              <w:rPr>
                <w:rFonts w:ascii="Times New Roman" w:hAnsi="Times New Roman" w:cs="Times New Roman"/>
                <w:sz w:val="18"/>
                <w:szCs w:val="18"/>
              </w:rPr>
              <w:t>15.08</w:t>
            </w:r>
          </w:p>
        </w:tc>
        <w:tc>
          <w:tcPr>
            <w:tcW w:w="0" w:type="auto"/>
            <w:vAlign w:val="center"/>
            <w:hideMark/>
          </w:tcPr>
          <w:p w14:paraId="77466AD1" w14:textId="77777777" w:rsidR="00BA4141" w:rsidRPr="007245B0" w:rsidRDefault="00BA4141" w:rsidP="00537910">
            <w:pPr>
              <w:pStyle w:val="NoSpacing"/>
              <w:jc w:val="center"/>
              <w:rPr>
                <w:rFonts w:ascii="Times New Roman" w:hAnsi="Times New Roman" w:cs="Times New Roman"/>
                <w:sz w:val="18"/>
                <w:szCs w:val="18"/>
              </w:rPr>
            </w:pPr>
            <w:r w:rsidRPr="007245B0">
              <w:rPr>
                <w:rFonts w:ascii="Times New Roman" w:hAnsi="Times New Roman" w:cs="Times New Roman"/>
                <w:sz w:val="18"/>
                <w:szCs w:val="18"/>
              </w:rPr>
              <w:t>11.3</w:t>
            </w:r>
          </w:p>
        </w:tc>
        <w:tc>
          <w:tcPr>
            <w:tcW w:w="0" w:type="auto"/>
            <w:vAlign w:val="center"/>
            <w:hideMark/>
          </w:tcPr>
          <w:p w14:paraId="637CCC8F" w14:textId="77777777" w:rsidR="00BA4141" w:rsidRPr="007245B0" w:rsidRDefault="00BA4141" w:rsidP="00537910">
            <w:pPr>
              <w:pStyle w:val="NoSpacing"/>
              <w:jc w:val="center"/>
              <w:rPr>
                <w:rFonts w:ascii="Times New Roman" w:hAnsi="Times New Roman" w:cs="Times New Roman"/>
                <w:sz w:val="18"/>
                <w:szCs w:val="18"/>
              </w:rPr>
            </w:pPr>
            <w:r w:rsidRPr="007245B0">
              <w:rPr>
                <w:rFonts w:ascii="Times New Roman" w:hAnsi="Times New Roman" w:cs="Times New Roman"/>
                <w:sz w:val="18"/>
                <w:szCs w:val="18"/>
              </w:rPr>
              <w:t>15.88</w:t>
            </w:r>
          </w:p>
        </w:tc>
        <w:tc>
          <w:tcPr>
            <w:tcW w:w="0" w:type="auto"/>
            <w:vAlign w:val="center"/>
            <w:hideMark/>
          </w:tcPr>
          <w:p w14:paraId="45C074DF" w14:textId="77777777" w:rsidR="00BA4141" w:rsidRPr="007245B0" w:rsidRDefault="00BA4141" w:rsidP="00537910">
            <w:pPr>
              <w:pStyle w:val="NoSpacing"/>
              <w:jc w:val="center"/>
              <w:rPr>
                <w:rFonts w:ascii="Times New Roman" w:hAnsi="Times New Roman" w:cs="Times New Roman"/>
                <w:sz w:val="18"/>
                <w:szCs w:val="18"/>
              </w:rPr>
            </w:pPr>
            <w:r w:rsidRPr="007245B0">
              <w:rPr>
                <w:rFonts w:ascii="Times New Roman" w:hAnsi="Times New Roman" w:cs="Times New Roman"/>
                <w:sz w:val="18"/>
                <w:szCs w:val="18"/>
              </w:rPr>
              <w:t>11.9</w:t>
            </w:r>
          </w:p>
        </w:tc>
      </w:tr>
    </w:tbl>
    <w:p w14:paraId="285A6CC8" w14:textId="3ED28E7B" w:rsidR="00BA4141" w:rsidRPr="00537910" w:rsidRDefault="00B45E2F" w:rsidP="00BA4141">
      <w:pPr>
        <w:tabs>
          <w:tab w:val="left" w:pos="3306"/>
        </w:tabs>
        <w:rPr>
          <w:rFonts w:ascii="Times New Roman" w:hAnsi="Times New Roman" w:cs="Times New Roman"/>
          <w:sz w:val="20"/>
          <w:szCs w:val="20"/>
        </w:rPr>
      </w:pPr>
      <w:r w:rsidRPr="00537910">
        <w:rPr>
          <w:rFonts w:ascii="Times New Roman" w:hAnsi="Times New Roman" w:cs="Times New Roman"/>
          <w:sz w:val="20"/>
          <w:szCs w:val="20"/>
        </w:rPr>
        <w:t>Source:</w:t>
      </w:r>
      <w:r w:rsidR="00BA4141" w:rsidRPr="00537910">
        <w:rPr>
          <w:rFonts w:ascii="Times New Roman" w:hAnsi="Times New Roman" w:cs="Times New Roman"/>
          <w:sz w:val="20"/>
          <w:szCs w:val="20"/>
        </w:rPr>
        <w:t xml:space="preserve"> Information obtained from State Governments.</w:t>
      </w:r>
      <w:r w:rsidR="00BA4141" w:rsidRPr="00537910">
        <w:rPr>
          <w:rFonts w:ascii="Times New Roman" w:hAnsi="Times New Roman" w:cs="Times New Roman"/>
          <w:sz w:val="20"/>
          <w:szCs w:val="20"/>
        </w:rPr>
        <w:br/>
        <w:t>(a) Amount actually paid. Due amount not available.</w:t>
      </w:r>
    </w:p>
    <w:p w14:paraId="4974AED8" w14:textId="77777777" w:rsidR="007D2EE4" w:rsidRDefault="007D2EE4">
      <w:pPr>
        <w:rPr>
          <w:rFonts w:ascii="Times New Roman" w:hAnsi="Times New Roman" w:cs="Times New Roman"/>
          <w:b/>
          <w:bCs/>
          <w:i/>
          <w:iCs/>
          <w:szCs w:val="24"/>
        </w:rPr>
      </w:pPr>
      <w:r>
        <w:rPr>
          <w:rFonts w:ascii="Times New Roman" w:hAnsi="Times New Roman" w:cs="Times New Roman"/>
          <w:b/>
          <w:bCs/>
          <w:i/>
          <w:iCs/>
          <w:szCs w:val="24"/>
        </w:rPr>
        <w:br w:type="page"/>
      </w:r>
    </w:p>
    <w:p w14:paraId="1F983744" w14:textId="65911237" w:rsidR="00BA4141" w:rsidRPr="007245B0" w:rsidRDefault="00574BCE" w:rsidP="007D2EE4">
      <w:pPr>
        <w:pStyle w:val="Heading4"/>
      </w:pPr>
      <w:bookmarkStart w:id="150" w:name="_Toc220949720"/>
      <w:bookmarkStart w:id="151" w:name="_Toc221114320"/>
      <w:bookmarkStart w:id="152" w:name="_Toc221115343"/>
      <w:r>
        <w:lastRenderedPageBreak/>
        <w:t>Table</w:t>
      </w:r>
      <w:r w:rsidR="00BA4141" w:rsidRPr="007245B0">
        <w:t xml:space="preserve"> 39: Financial Results of Road </w:t>
      </w:r>
      <w:r w:rsidR="006935D2">
        <w:t xml:space="preserve">and Water </w:t>
      </w:r>
      <w:r w:rsidR="00BA4141" w:rsidRPr="007245B0">
        <w:t xml:space="preserve">Transport </w:t>
      </w:r>
      <w:bookmarkEnd w:id="150"/>
      <w:r w:rsidR="006935D2">
        <w:t>Schemes run departmentally</w:t>
      </w:r>
      <w:bookmarkEnd w:id="151"/>
      <w:bookmarkEnd w:id="152"/>
    </w:p>
    <w:p w14:paraId="2D8CECE4" w14:textId="77777777" w:rsidR="00BA4141" w:rsidRPr="007245B0" w:rsidRDefault="00BA4141" w:rsidP="00BA4141">
      <w:pPr>
        <w:tabs>
          <w:tab w:val="left" w:pos="3306"/>
        </w:tabs>
        <w:jc w:val="right"/>
        <w:rPr>
          <w:rFonts w:ascii="Times New Roman" w:hAnsi="Times New Roman" w:cs="Times New Roman"/>
          <w:i/>
          <w:iCs/>
          <w:szCs w:val="24"/>
        </w:rPr>
      </w:pPr>
      <w:r w:rsidRPr="007245B0">
        <w:rPr>
          <w:rFonts w:ascii="Times New Roman" w:hAnsi="Times New Roman" w:cs="Times New Roman"/>
          <w:i/>
          <w:iCs/>
          <w:szCs w:val="24"/>
        </w:rPr>
        <w:t>(Rs. in crores)</w:t>
      </w:r>
    </w:p>
    <w:tbl>
      <w:tblPr>
        <w:tblStyle w:val="TableGrid"/>
        <w:tblW w:w="14601" w:type="dxa"/>
        <w:tblInd w:w="-1281" w:type="dxa"/>
        <w:tblLook w:val="04A0" w:firstRow="1" w:lastRow="0" w:firstColumn="1" w:lastColumn="0" w:noHBand="0" w:noVBand="1"/>
      </w:tblPr>
      <w:tblGrid>
        <w:gridCol w:w="833"/>
        <w:gridCol w:w="625"/>
        <w:gridCol w:w="682"/>
        <w:gridCol w:w="625"/>
        <w:gridCol w:w="892"/>
        <w:gridCol w:w="625"/>
        <w:gridCol w:w="625"/>
        <w:gridCol w:w="682"/>
        <w:gridCol w:w="675"/>
        <w:gridCol w:w="892"/>
        <w:gridCol w:w="625"/>
        <w:gridCol w:w="625"/>
        <w:gridCol w:w="682"/>
        <w:gridCol w:w="625"/>
        <w:gridCol w:w="892"/>
        <w:gridCol w:w="625"/>
        <w:gridCol w:w="625"/>
        <w:gridCol w:w="682"/>
        <w:gridCol w:w="625"/>
        <w:gridCol w:w="892"/>
        <w:gridCol w:w="625"/>
      </w:tblGrid>
      <w:tr w:rsidR="00BA4141" w:rsidRPr="00505A37" w14:paraId="1839C1FD" w14:textId="77777777" w:rsidTr="00505A37">
        <w:trPr>
          <w:trHeight w:val="20"/>
        </w:trPr>
        <w:tc>
          <w:tcPr>
            <w:tcW w:w="833" w:type="dxa"/>
            <w:vMerge w:val="restart"/>
            <w:noWrap/>
            <w:vAlign w:val="center"/>
            <w:hideMark/>
          </w:tcPr>
          <w:p w14:paraId="17001D0A" w14:textId="77777777" w:rsidR="00BA4141" w:rsidRPr="00505A37" w:rsidRDefault="00BA4141" w:rsidP="00505A37">
            <w:pPr>
              <w:pStyle w:val="NoSpacing"/>
              <w:jc w:val="center"/>
              <w:rPr>
                <w:rFonts w:ascii="Times New Roman" w:hAnsi="Times New Roman" w:cs="Times New Roman"/>
                <w:b/>
                <w:bCs/>
                <w:sz w:val="22"/>
                <w:szCs w:val="22"/>
                <w:lang w:eastAsia="en-IN"/>
              </w:rPr>
            </w:pPr>
            <w:r w:rsidRPr="00505A37">
              <w:rPr>
                <w:rFonts w:ascii="Times New Roman" w:hAnsi="Times New Roman" w:cs="Times New Roman"/>
                <w:b/>
                <w:bCs/>
                <w:sz w:val="22"/>
                <w:szCs w:val="22"/>
                <w:lang w:eastAsia="en-IN"/>
              </w:rPr>
              <w:t>States</w:t>
            </w:r>
          </w:p>
        </w:tc>
        <w:tc>
          <w:tcPr>
            <w:tcW w:w="3449" w:type="dxa"/>
            <w:gridSpan w:val="5"/>
            <w:noWrap/>
            <w:vAlign w:val="center"/>
            <w:hideMark/>
          </w:tcPr>
          <w:p w14:paraId="7A66D97A" w14:textId="77777777" w:rsidR="00BA4141" w:rsidRPr="00505A37" w:rsidRDefault="00BA4141" w:rsidP="00505A37">
            <w:pPr>
              <w:pStyle w:val="NoSpacing"/>
              <w:jc w:val="center"/>
              <w:rPr>
                <w:rFonts w:ascii="Times New Roman" w:hAnsi="Times New Roman" w:cs="Times New Roman"/>
                <w:b/>
                <w:bCs/>
                <w:sz w:val="22"/>
                <w:szCs w:val="22"/>
                <w:lang w:eastAsia="en-IN"/>
              </w:rPr>
            </w:pPr>
            <w:r w:rsidRPr="00505A37">
              <w:rPr>
                <w:rFonts w:ascii="Times New Roman" w:hAnsi="Times New Roman" w:cs="Times New Roman"/>
                <w:b/>
                <w:bCs/>
                <w:sz w:val="22"/>
                <w:szCs w:val="22"/>
                <w:lang w:eastAsia="en-IN"/>
              </w:rPr>
              <w:t>1965-66</w:t>
            </w:r>
          </w:p>
        </w:tc>
        <w:tc>
          <w:tcPr>
            <w:tcW w:w="3499" w:type="dxa"/>
            <w:gridSpan w:val="5"/>
            <w:noWrap/>
            <w:vAlign w:val="center"/>
            <w:hideMark/>
          </w:tcPr>
          <w:p w14:paraId="56B21D26" w14:textId="77777777" w:rsidR="00BA4141" w:rsidRPr="00505A37" w:rsidRDefault="00BA4141" w:rsidP="00505A37">
            <w:pPr>
              <w:pStyle w:val="NoSpacing"/>
              <w:jc w:val="center"/>
              <w:rPr>
                <w:rFonts w:ascii="Times New Roman" w:hAnsi="Times New Roman" w:cs="Times New Roman"/>
                <w:b/>
                <w:bCs/>
                <w:sz w:val="22"/>
                <w:szCs w:val="22"/>
                <w:lang w:eastAsia="en-IN"/>
              </w:rPr>
            </w:pPr>
            <w:r w:rsidRPr="00505A37">
              <w:rPr>
                <w:rFonts w:ascii="Times New Roman" w:hAnsi="Times New Roman" w:cs="Times New Roman"/>
                <w:b/>
                <w:bCs/>
                <w:sz w:val="22"/>
                <w:szCs w:val="22"/>
                <w:lang w:eastAsia="en-IN"/>
              </w:rPr>
              <w:t>1966-67</w:t>
            </w:r>
          </w:p>
        </w:tc>
        <w:tc>
          <w:tcPr>
            <w:tcW w:w="3449" w:type="dxa"/>
            <w:gridSpan w:val="5"/>
            <w:noWrap/>
            <w:vAlign w:val="center"/>
            <w:hideMark/>
          </w:tcPr>
          <w:p w14:paraId="0A151027" w14:textId="77777777" w:rsidR="00BA4141" w:rsidRPr="00505A37" w:rsidRDefault="00BA4141" w:rsidP="00505A37">
            <w:pPr>
              <w:pStyle w:val="NoSpacing"/>
              <w:jc w:val="center"/>
              <w:rPr>
                <w:rFonts w:ascii="Times New Roman" w:hAnsi="Times New Roman" w:cs="Times New Roman"/>
                <w:b/>
                <w:bCs/>
                <w:sz w:val="22"/>
                <w:szCs w:val="22"/>
                <w:lang w:eastAsia="en-IN"/>
              </w:rPr>
            </w:pPr>
            <w:r w:rsidRPr="00505A37">
              <w:rPr>
                <w:rFonts w:ascii="Times New Roman" w:hAnsi="Times New Roman" w:cs="Times New Roman"/>
                <w:b/>
                <w:bCs/>
                <w:sz w:val="22"/>
                <w:szCs w:val="22"/>
                <w:lang w:eastAsia="en-IN"/>
              </w:rPr>
              <w:t>1967-68</w:t>
            </w:r>
          </w:p>
        </w:tc>
        <w:tc>
          <w:tcPr>
            <w:tcW w:w="3371" w:type="dxa"/>
            <w:gridSpan w:val="5"/>
            <w:noWrap/>
            <w:vAlign w:val="center"/>
            <w:hideMark/>
          </w:tcPr>
          <w:p w14:paraId="6519575F" w14:textId="77777777" w:rsidR="00BA4141" w:rsidRPr="00505A37" w:rsidRDefault="00BA4141" w:rsidP="00505A37">
            <w:pPr>
              <w:pStyle w:val="NoSpacing"/>
              <w:jc w:val="center"/>
              <w:rPr>
                <w:rFonts w:ascii="Times New Roman" w:hAnsi="Times New Roman" w:cs="Times New Roman"/>
                <w:b/>
                <w:bCs/>
                <w:sz w:val="22"/>
                <w:szCs w:val="22"/>
                <w:lang w:eastAsia="en-IN"/>
              </w:rPr>
            </w:pPr>
            <w:r w:rsidRPr="00505A37">
              <w:rPr>
                <w:rFonts w:ascii="Times New Roman" w:hAnsi="Times New Roman" w:cs="Times New Roman"/>
                <w:b/>
                <w:bCs/>
                <w:sz w:val="22"/>
                <w:szCs w:val="22"/>
                <w:lang w:eastAsia="en-IN"/>
              </w:rPr>
              <w:t>1968-69 R.E.</w:t>
            </w:r>
          </w:p>
        </w:tc>
      </w:tr>
      <w:tr w:rsidR="00BA4141" w:rsidRPr="00505A37" w14:paraId="01DF89C7" w14:textId="77777777" w:rsidTr="00505A37">
        <w:trPr>
          <w:trHeight w:val="20"/>
        </w:trPr>
        <w:tc>
          <w:tcPr>
            <w:tcW w:w="833" w:type="dxa"/>
            <w:vMerge/>
            <w:vAlign w:val="center"/>
            <w:hideMark/>
          </w:tcPr>
          <w:p w14:paraId="7AD3BEA7" w14:textId="77777777" w:rsidR="00BA4141" w:rsidRPr="00505A37" w:rsidRDefault="00BA4141" w:rsidP="00505A37">
            <w:pPr>
              <w:pStyle w:val="NoSpacing"/>
              <w:jc w:val="center"/>
              <w:rPr>
                <w:rFonts w:ascii="Times New Roman" w:hAnsi="Times New Roman" w:cs="Times New Roman"/>
                <w:b/>
                <w:bCs/>
                <w:sz w:val="22"/>
                <w:szCs w:val="22"/>
                <w:lang w:eastAsia="en-IN"/>
              </w:rPr>
            </w:pPr>
          </w:p>
        </w:tc>
        <w:tc>
          <w:tcPr>
            <w:tcW w:w="625" w:type="dxa"/>
            <w:noWrap/>
            <w:vAlign w:val="center"/>
            <w:hideMark/>
          </w:tcPr>
          <w:p w14:paraId="28461244" w14:textId="77777777" w:rsidR="00BA4141" w:rsidRPr="00505A37" w:rsidRDefault="00BA4141" w:rsidP="00505A37">
            <w:pPr>
              <w:pStyle w:val="NoSpacing"/>
              <w:jc w:val="center"/>
              <w:rPr>
                <w:rFonts w:ascii="Times New Roman" w:hAnsi="Times New Roman" w:cs="Times New Roman"/>
                <w:b/>
                <w:bCs/>
                <w:sz w:val="22"/>
                <w:szCs w:val="22"/>
                <w:lang w:eastAsia="en-IN"/>
              </w:rPr>
            </w:pPr>
            <w:r w:rsidRPr="00505A37">
              <w:rPr>
                <w:rFonts w:ascii="Times New Roman" w:hAnsi="Times New Roman" w:cs="Times New Roman"/>
                <w:b/>
                <w:bCs/>
                <w:sz w:val="22"/>
                <w:szCs w:val="22"/>
                <w:lang w:eastAsia="en-IN"/>
              </w:rPr>
              <w:t>Gross receipts</w:t>
            </w:r>
          </w:p>
        </w:tc>
        <w:tc>
          <w:tcPr>
            <w:tcW w:w="682" w:type="dxa"/>
            <w:noWrap/>
            <w:vAlign w:val="center"/>
            <w:hideMark/>
          </w:tcPr>
          <w:p w14:paraId="23378F73" w14:textId="77777777" w:rsidR="00BA4141" w:rsidRPr="00505A37" w:rsidRDefault="00BA4141" w:rsidP="00505A37">
            <w:pPr>
              <w:pStyle w:val="NoSpacing"/>
              <w:jc w:val="center"/>
              <w:rPr>
                <w:rFonts w:ascii="Times New Roman" w:hAnsi="Times New Roman" w:cs="Times New Roman"/>
                <w:b/>
                <w:bCs/>
                <w:sz w:val="22"/>
                <w:szCs w:val="22"/>
                <w:lang w:eastAsia="en-IN"/>
              </w:rPr>
            </w:pPr>
            <w:r w:rsidRPr="00505A37">
              <w:rPr>
                <w:rFonts w:ascii="Times New Roman" w:hAnsi="Times New Roman" w:cs="Times New Roman"/>
                <w:b/>
                <w:bCs/>
                <w:sz w:val="22"/>
                <w:szCs w:val="22"/>
                <w:lang w:eastAsia="en-IN"/>
              </w:rPr>
              <w:t>Working expenses</w:t>
            </w:r>
          </w:p>
        </w:tc>
        <w:tc>
          <w:tcPr>
            <w:tcW w:w="625" w:type="dxa"/>
            <w:noWrap/>
            <w:vAlign w:val="center"/>
            <w:hideMark/>
          </w:tcPr>
          <w:p w14:paraId="2586F2F7" w14:textId="77777777" w:rsidR="00BA4141" w:rsidRPr="00505A37" w:rsidRDefault="00BA4141" w:rsidP="00505A37">
            <w:pPr>
              <w:pStyle w:val="NoSpacing"/>
              <w:jc w:val="center"/>
              <w:rPr>
                <w:rFonts w:ascii="Times New Roman" w:hAnsi="Times New Roman" w:cs="Times New Roman"/>
                <w:b/>
                <w:bCs/>
                <w:sz w:val="22"/>
                <w:szCs w:val="22"/>
                <w:lang w:eastAsia="en-IN"/>
              </w:rPr>
            </w:pPr>
            <w:r w:rsidRPr="00505A37">
              <w:rPr>
                <w:rFonts w:ascii="Times New Roman" w:hAnsi="Times New Roman" w:cs="Times New Roman"/>
                <w:b/>
                <w:bCs/>
                <w:sz w:val="22"/>
                <w:szCs w:val="22"/>
                <w:lang w:eastAsia="en-IN"/>
              </w:rPr>
              <w:t>Interest charges</w:t>
            </w:r>
          </w:p>
        </w:tc>
        <w:tc>
          <w:tcPr>
            <w:tcW w:w="892" w:type="dxa"/>
            <w:noWrap/>
            <w:vAlign w:val="center"/>
            <w:hideMark/>
          </w:tcPr>
          <w:p w14:paraId="4523AC72" w14:textId="77777777" w:rsidR="00BA4141" w:rsidRPr="00505A37" w:rsidRDefault="00BA4141" w:rsidP="00505A37">
            <w:pPr>
              <w:pStyle w:val="NoSpacing"/>
              <w:jc w:val="center"/>
              <w:rPr>
                <w:rFonts w:ascii="Times New Roman" w:hAnsi="Times New Roman" w:cs="Times New Roman"/>
                <w:b/>
                <w:bCs/>
                <w:sz w:val="22"/>
                <w:szCs w:val="22"/>
                <w:lang w:eastAsia="en-IN"/>
              </w:rPr>
            </w:pPr>
            <w:r w:rsidRPr="00505A37">
              <w:rPr>
                <w:rFonts w:ascii="Times New Roman" w:hAnsi="Times New Roman" w:cs="Times New Roman"/>
                <w:b/>
                <w:bCs/>
                <w:sz w:val="22"/>
                <w:szCs w:val="22"/>
                <w:lang w:eastAsia="en-IN"/>
              </w:rPr>
              <w:t>Depreciation Fund</w:t>
            </w:r>
          </w:p>
        </w:tc>
        <w:tc>
          <w:tcPr>
            <w:tcW w:w="625" w:type="dxa"/>
            <w:noWrap/>
            <w:vAlign w:val="center"/>
            <w:hideMark/>
          </w:tcPr>
          <w:p w14:paraId="049B6C88" w14:textId="77777777" w:rsidR="00BA4141" w:rsidRPr="00505A37" w:rsidRDefault="00BA4141" w:rsidP="00505A37">
            <w:pPr>
              <w:pStyle w:val="NoSpacing"/>
              <w:jc w:val="center"/>
              <w:rPr>
                <w:rFonts w:ascii="Times New Roman" w:hAnsi="Times New Roman" w:cs="Times New Roman"/>
                <w:b/>
                <w:bCs/>
                <w:sz w:val="22"/>
                <w:szCs w:val="22"/>
                <w:lang w:eastAsia="en-IN"/>
              </w:rPr>
            </w:pPr>
            <w:r w:rsidRPr="00505A37">
              <w:rPr>
                <w:rFonts w:ascii="Times New Roman" w:hAnsi="Times New Roman" w:cs="Times New Roman"/>
                <w:b/>
                <w:bCs/>
                <w:sz w:val="22"/>
                <w:szCs w:val="22"/>
                <w:lang w:eastAsia="en-IN"/>
              </w:rPr>
              <w:t>Net receipts</w:t>
            </w:r>
          </w:p>
        </w:tc>
        <w:tc>
          <w:tcPr>
            <w:tcW w:w="625" w:type="dxa"/>
            <w:noWrap/>
            <w:vAlign w:val="center"/>
            <w:hideMark/>
          </w:tcPr>
          <w:p w14:paraId="599F4C16" w14:textId="77777777" w:rsidR="00BA4141" w:rsidRPr="00505A37" w:rsidRDefault="00BA4141" w:rsidP="00505A37">
            <w:pPr>
              <w:pStyle w:val="NoSpacing"/>
              <w:jc w:val="center"/>
              <w:rPr>
                <w:rFonts w:ascii="Times New Roman" w:hAnsi="Times New Roman" w:cs="Times New Roman"/>
                <w:b/>
                <w:bCs/>
                <w:sz w:val="22"/>
                <w:szCs w:val="22"/>
                <w:lang w:eastAsia="en-IN"/>
              </w:rPr>
            </w:pPr>
            <w:r w:rsidRPr="00505A37">
              <w:rPr>
                <w:rFonts w:ascii="Times New Roman" w:hAnsi="Times New Roman" w:cs="Times New Roman"/>
                <w:b/>
                <w:bCs/>
                <w:sz w:val="22"/>
                <w:szCs w:val="22"/>
                <w:lang w:eastAsia="en-IN"/>
              </w:rPr>
              <w:t>Gross receipts</w:t>
            </w:r>
          </w:p>
        </w:tc>
        <w:tc>
          <w:tcPr>
            <w:tcW w:w="682" w:type="dxa"/>
            <w:noWrap/>
            <w:vAlign w:val="center"/>
            <w:hideMark/>
          </w:tcPr>
          <w:p w14:paraId="4F36C80D" w14:textId="77777777" w:rsidR="00BA4141" w:rsidRPr="00505A37" w:rsidRDefault="00BA4141" w:rsidP="00505A37">
            <w:pPr>
              <w:pStyle w:val="NoSpacing"/>
              <w:jc w:val="center"/>
              <w:rPr>
                <w:rFonts w:ascii="Times New Roman" w:hAnsi="Times New Roman" w:cs="Times New Roman"/>
                <w:b/>
                <w:bCs/>
                <w:sz w:val="22"/>
                <w:szCs w:val="22"/>
                <w:lang w:eastAsia="en-IN"/>
              </w:rPr>
            </w:pPr>
            <w:r w:rsidRPr="00505A37">
              <w:rPr>
                <w:rFonts w:ascii="Times New Roman" w:hAnsi="Times New Roman" w:cs="Times New Roman"/>
                <w:b/>
                <w:bCs/>
                <w:sz w:val="22"/>
                <w:szCs w:val="22"/>
                <w:lang w:eastAsia="en-IN"/>
              </w:rPr>
              <w:t>Working charges</w:t>
            </w:r>
          </w:p>
        </w:tc>
        <w:tc>
          <w:tcPr>
            <w:tcW w:w="675" w:type="dxa"/>
            <w:noWrap/>
            <w:vAlign w:val="center"/>
            <w:hideMark/>
          </w:tcPr>
          <w:p w14:paraId="03A56F52" w14:textId="77777777" w:rsidR="00BA4141" w:rsidRPr="00505A37" w:rsidRDefault="00BA4141" w:rsidP="00505A37">
            <w:pPr>
              <w:pStyle w:val="NoSpacing"/>
              <w:jc w:val="center"/>
              <w:rPr>
                <w:rFonts w:ascii="Times New Roman" w:hAnsi="Times New Roman" w:cs="Times New Roman"/>
                <w:b/>
                <w:bCs/>
                <w:sz w:val="22"/>
                <w:szCs w:val="22"/>
                <w:lang w:eastAsia="en-IN"/>
              </w:rPr>
            </w:pPr>
            <w:r w:rsidRPr="00505A37">
              <w:rPr>
                <w:rFonts w:ascii="Times New Roman" w:hAnsi="Times New Roman" w:cs="Times New Roman"/>
                <w:b/>
                <w:bCs/>
                <w:sz w:val="22"/>
                <w:szCs w:val="22"/>
                <w:lang w:eastAsia="en-IN"/>
              </w:rPr>
              <w:t>Interest expenses</w:t>
            </w:r>
          </w:p>
        </w:tc>
        <w:tc>
          <w:tcPr>
            <w:tcW w:w="892" w:type="dxa"/>
            <w:noWrap/>
            <w:vAlign w:val="center"/>
            <w:hideMark/>
          </w:tcPr>
          <w:p w14:paraId="7CAC5309" w14:textId="77777777" w:rsidR="00BA4141" w:rsidRPr="00505A37" w:rsidRDefault="00BA4141" w:rsidP="00505A37">
            <w:pPr>
              <w:pStyle w:val="NoSpacing"/>
              <w:jc w:val="center"/>
              <w:rPr>
                <w:rFonts w:ascii="Times New Roman" w:hAnsi="Times New Roman" w:cs="Times New Roman"/>
                <w:b/>
                <w:bCs/>
                <w:sz w:val="22"/>
                <w:szCs w:val="22"/>
                <w:lang w:eastAsia="en-IN"/>
              </w:rPr>
            </w:pPr>
            <w:r w:rsidRPr="00505A37">
              <w:rPr>
                <w:rFonts w:ascii="Times New Roman" w:hAnsi="Times New Roman" w:cs="Times New Roman"/>
                <w:b/>
                <w:bCs/>
                <w:sz w:val="22"/>
                <w:szCs w:val="22"/>
                <w:lang w:eastAsia="en-IN"/>
              </w:rPr>
              <w:t>Depreciation Fund</w:t>
            </w:r>
          </w:p>
        </w:tc>
        <w:tc>
          <w:tcPr>
            <w:tcW w:w="625" w:type="dxa"/>
            <w:noWrap/>
            <w:vAlign w:val="center"/>
            <w:hideMark/>
          </w:tcPr>
          <w:p w14:paraId="79FA6D96" w14:textId="77777777" w:rsidR="00BA4141" w:rsidRPr="00505A37" w:rsidRDefault="00BA4141" w:rsidP="00505A37">
            <w:pPr>
              <w:pStyle w:val="NoSpacing"/>
              <w:jc w:val="center"/>
              <w:rPr>
                <w:rFonts w:ascii="Times New Roman" w:hAnsi="Times New Roman" w:cs="Times New Roman"/>
                <w:b/>
                <w:bCs/>
                <w:sz w:val="22"/>
                <w:szCs w:val="22"/>
                <w:lang w:eastAsia="en-IN"/>
              </w:rPr>
            </w:pPr>
            <w:r w:rsidRPr="00505A37">
              <w:rPr>
                <w:rFonts w:ascii="Times New Roman" w:hAnsi="Times New Roman" w:cs="Times New Roman"/>
                <w:b/>
                <w:bCs/>
                <w:sz w:val="22"/>
                <w:szCs w:val="22"/>
                <w:lang w:eastAsia="en-IN"/>
              </w:rPr>
              <w:t>Net receipts</w:t>
            </w:r>
          </w:p>
        </w:tc>
        <w:tc>
          <w:tcPr>
            <w:tcW w:w="625" w:type="dxa"/>
            <w:noWrap/>
            <w:vAlign w:val="center"/>
            <w:hideMark/>
          </w:tcPr>
          <w:p w14:paraId="174B144C" w14:textId="77777777" w:rsidR="00BA4141" w:rsidRPr="00505A37" w:rsidRDefault="00BA4141" w:rsidP="00505A37">
            <w:pPr>
              <w:pStyle w:val="NoSpacing"/>
              <w:jc w:val="center"/>
              <w:rPr>
                <w:rFonts w:ascii="Times New Roman" w:hAnsi="Times New Roman" w:cs="Times New Roman"/>
                <w:b/>
                <w:bCs/>
                <w:sz w:val="22"/>
                <w:szCs w:val="22"/>
                <w:lang w:eastAsia="en-IN"/>
              </w:rPr>
            </w:pPr>
            <w:r w:rsidRPr="00505A37">
              <w:rPr>
                <w:rFonts w:ascii="Times New Roman" w:hAnsi="Times New Roman" w:cs="Times New Roman"/>
                <w:b/>
                <w:bCs/>
                <w:sz w:val="22"/>
                <w:szCs w:val="22"/>
                <w:lang w:eastAsia="en-IN"/>
              </w:rPr>
              <w:t>Gross receipts</w:t>
            </w:r>
          </w:p>
        </w:tc>
        <w:tc>
          <w:tcPr>
            <w:tcW w:w="682" w:type="dxa"/>
            <w:noWrap/>
            <w:vAlign w:val="center"/>
            <w:hideMark/>
          </w:tcPr>
          <w:p w14:paraId="36566461" w14:textId="77777777" w:rsidR="00BA4141" w:rsidRPr="00505A37" w:rsidRDefault="00BA4141" w:rsidP="00505A37">
            <w:pPr>
              <w:pStyle w:val="NoSpacing"/>
              <w:jc w:val="center"/>
              <w:rPr>
                <w:rFonts w:ascii="Times New Roman" w:hAnsi="Times New Roman" w:cs="Times New Roman"/>
                <w:b/>
                <w:bCs/>
                <w:sz w:val="22"/>
                <w:szCs w:val="22"/>
                <w:lang w:eastAsia="en-IN"/>
              </w:rPr>
            </w:pPr>
            <w:r w:rsidRPr="00505A37">
              <w:rPr>
                <w:rFonts w:ascii="Times New Roman" w:hAnsi="Times New Roman" w:cs="Times New Roman"/>
                <w:b/>
                <w:bCs/>
                <w:sz w:val="22"/>
                <w:szCs w:val="22"/>
                <w:lang w:eastAsia="en-IN"/>
              </w:rPr>
              <w:t>Working expenses</w:t>
            </w:r>
          </w:p>
        </w:tc>
        <w:tc>
          <w:tcPr>
            <w:tcW w:w="625" w:type="dxa"/>
            <w:noWrap/>
            <w:vAlign w:val="center"/>
            <w:hideMark/>
          </w:tcPr>
          <w:p w14:paraId="2B559CA1" w14:textId="77777777" w:rsidR="00BA4141" w:rsidRPr="00505A37" w:rsidRDefault="00BA4141" w:rsidP="00505A37">
            <w:pPr>
              <w:pStyle w:val="NoSpacing"/>
              <w:jc w:val="center"/>
              <w:rPr>
                <w:rFonts w:ascii="Times New Roman" w:hAnsi="Times New Roman" w:cs="Times New Roman"/>
                <w:b/>
                <w:bCs/>
                <w:sz w:val="22"/>
                <w:szCs w:val="22"/>
                <w:lang w:eastAsia="en-IN"/>
              </w:rPr>
            </w:pPr>
            <w:r w:rsidRPr="00505A37">
              <w:rPr>
                <w:rFonts w:ascii="Times New Roman" w:hAnsi="Times New Roman" w:cs="Times New Roman"/>
                <w:b/>
                <w:bCs/>
                <w:sz w:val="22"/>
                <w:szCs w:val="22"/>
                <w:lang w:eastAsia="en-IN"/>
              </w:rPr>
              <w:t>Interest charges</w:t>
            </w:r>
          </w:p>
        </w:tc>
        <w:tc>
          <w:tcPr>
            <w:tcW w:w="892" w:type="dxa"/>
            <w:noWrap/>
            <w:vAlign w:val="center"/>
            <w:hideMark/>
          </w:tcPr>
          <w:p w14:paraId="0E669998" w14:textId="77777777" w:rsidR="00BA4141" w:rsidRPr="00505A37" w:rsidRDefault="00BA4141" w:rsidP="00505A37">
            <w:pPr>
              <w:pStyle w:val="NoSpacing"/>
              <w:jc w:val="center"/>
              <w:rPr>
                <w:rFonts w:ascii="Times New Roman" w:hAnsi="Times New Roman" w:cs="Times New Roman"/>
                <w:b/>
                <w:bCs/>
                <w:sz w:val="22"/>
                <w:szCs w:val="22"/>
                <w:lang w:eastAsia="en-IN"/>
              </w:rPr>
            </w:pPr>
            <w:r w:rsidRPr="00505A37">
              <w:rPr>
                <w:rFonts w:ascii="Times New Roman" w:hAnsi="Times New Roman" w:cs="Times New Roman"/>
                <w:b/>
                <w:bCs/>
                <w:sz w:val="22"/>
                <w:szCs w:val="22"/>
                <w:lang w:eastAsia="en-IN"/>
              </w:rPr>
              <w:t>Depreciation Fund</w:t>
            </w:r>
          </w:p>
        </w:tc>
        <w:tc>
          <w:tcPr>
            <w:tcW w:w="625" w:type="dxa"/>
            <w:noWrap/>
            <w:vAlign w:val="center"/>
            <w:hideMark/>
          </w:tcPr>
          <w:p w14:paraId="111F0C2D" w14:textId="77777777" w:rsidR="00BA4141" w:rsidRPr="00505A37" w:rsidRDefault="00BA4141" w:rsidP="00505A37">
            <w:pPr>
              <w:pStyle w:val="NoSpacing"/>
              <w:jc w:val="center"/>
              <w:rPr>
                <w:rFonts w:ascii="Times New Roman" w:hAnsi="Times New Roman" w:cs="Times New Roman"/>
                <w:b/>
                <w:bCs/>
                <w:sz w:val="22"/>
                <w:szCs w:val="22"/>
                <w:lang w:eastAsia="en-IN"/>
              </w:rPr>
            </w:pPr>
            <w:r w:rsidRPr="00505A37">
              <w:rPr>
                <w:rFonts w:ascii="Times New Roman" w:hAnsi="Times New Roman" w:cs="Times New Roman"/>
                <w:b/>
                <w:bCs/>
                <w:sz w:val="22"/>
                <w:szCs w:val="22"/>
                <w:lang w:eastAsia="en-IN"/>
              </w:rPr>
              <w:t>Net receipts</w:t>
            </w:r>
          </w:p>
        </w:tc>
        <w:tc>
          <w:tcPr>
            <w:tcW w:w="625" w:type="dxa"/>
            <w:noWrap/>
            <w:vAlign w:val="center"/>
            <w:hideMark/>
          </w:tcPr>
          <w:p w14:paraId="6F22D769" w14:textId="77777777" w:rsidR="00BA4141" w:rsidRPr="00505A37" w:rsidRDefault="00BA4141" w:rsidP="00505A37">
            <w:pPr>
              <w:pStyle w:val="NoSpacing"/>
              <w:jc w:val="center"/>
              <w:rPr>
                <w:rFonts w:ascii="Times New Roman" w:hAnsi="Times New Roman" w:cs="Times New Roman"/>
                <w:b/>
                <w:bCs/>
                <w:sz w:val="22"/>
                <w:szCs w:val="22"/>
                <w:lang w:eastAsia="en-IN"/>
              </w:rPr>
            </w:pPr>
            <w:r w:rsidRPr="00505A37">
              <w:rPr>
                <w:rFonts w:ascii="Times New Roman" w:hAnsi="Times New Roman" w:cs="Times New Roman"/>
                <w:b/>
                <w:bCs/>
                <w:sz w:val="22"/>
                <w:szCs w:val="22"/>
                <w:lang w:eastAsia="en-IN"/>
              </w:rPr>
              <w:t>Gross receipts</w:t>
            </w:r>
          </w:p>
        </w:tc>
        <w:tc>
          <w:tcPr>
            <w:tcW w:w="682" w:type="dxa"/>
            <w:noWrap/>
            <w:vAlign w:val="center"/>
            <w:hideMark/>
          </w:tcPr>
          <w:p w14:paraId="26AED8C6" w14:textId="77777777" w:rsidR="00BA4141" w:rsidRPr="00505A37" w:rsidRDefault="00BA4141" w:rsidP="00505A37">
            <w:pPr>
              <w:pStyle w:val="NoSpacing"/>
              <w:jc w:val="center"/>
              <w:rPr>
                <w:rFonts w:ascii="Times New Roman" w:hAnsi="Times New Roman" w:cs="Times New Roman"/>
                <w:b/>
                <w:bCs/>
                <w:sz w:val="22"/>
                <w:szCs w:val="22"/>
                <w:lang w:eastAsia="en-IN"/>
              </w:rPr>
            </w:pPr>
            <w:r w:rsidRPr="00505A37">
              <w:rPr>
                <w:rFonts w:ascii="Times New Roman" w:hAnsi="Times New Roman" w:cs="Times New Roman"/>
                <w:b/>
                <w:bCs/>
                <w:sz w:val="22"/>
                <w:szCs w:val="22"/>
                <w:lang w:eastAsia="en-IN"/>
              </w:rPr>
              <w:t>Working expenses</w:t>
            </w:r>
          </w:p>
        </w:tc>
        <w:tc>
          <w:tcPr>
            <w:tcW w:w="625" w:type="dxa"/>
            <w:noWrap/>
            <w:vAlign w:val="center"/>
            <w:hideMark/>
          </w:tcPr>
          <w:p w14:paraId="1CBEE0B3" w14:textId="77777777" w:rsidR="00BA4141" w:rsidRPr="00505A37" w:rsidRDefault="00BA4141" w:rsidP="00505A37">
            <w:pPr>
              <w:pStyle w:val="NoSpacing"/>
              <w:jc w:val="center"/>
              <w:rPr>
                <w:rFonts w:ascii="Times New Roman" w:hAnsi="Times New Roman" w:cs="Times New Roman"/>
                <w:b/>
                <w:bCs/>
                <w:sz w:val="22"/>
                <w:szCs w:val="22"/>
                <w:lang w:eastAsia="en-IN"/>
              </w:rPr>
            </w:pPr>
            <w:r w:rsidRPr="00505A37">
              <w:rPr>
                <w:rFonts w:ascii="Times New Roman" w:hAnsi="Times New Roman" w:cs="Times New Roman"/>
                <w:b/>
                <w:bCs/>
                <w:sz w:val="22"/>
                <w:szCs w:val="22"/>
                <w:lang w:eastAsia="en-IN"/>
              </w:rPr>
              <w:t>Interest charges</w:t>
            </w:r>
          </w:p>
        </w:tc>
        <w:tc>
          <w:tcPr>
            <w:tcW w:w="892" w:type="dxa"/>
            <w:noWrap/>
            <w:vAlign w:val="center"/>
            <w:hideMark/>
          </w:tcPr>
          <w:p w14:paraId="61BEF26A" w14:textId="77777777" w:rsidR="00BA4141" w:rsidRPr="00505A37" w:rsidRDefault="00BA4141" w:rsidP="00505A37">
            <w:pPr>
              <w:pStyle w:val="NoSpacing"/>
              <w:jc w:val="center"/>
              <w:rPr>
                <w:rFonts w:ascii="Times New Roman" w:hAnsi="Times New Roman" w:cs="Times New Roman"/>
                <w:b/>
                <w:bCs/>
                <w:sz w:val="22"/>
                <w:szCs w:val="22"/>
                <w:lang w:eastAsia="en-IN"/>
              </w:rPr>
            </w:pPr>
            <w:r w:rsidRPr="00505A37">
              <w:rPr>
                <w:rFonts w:ascii="Times New Roman" w:hAnsi="Times New Roman" w:cs="Times New Roman"/>
                <w:b/>
                <w:bCs/>
                <w:sz w:val="22"/>
                <w:szCs w:val="22"/>
                <w:lang w:eastAsia="en-IN"/>
              </w:rPr>
              <w:t>Depreciation Fund</w:t>
            </w:r>
          </w:p>
        </w:tc>
        <w:tc>
          <w:tcPr>
            <w:tcW w:w="547" w:type="dxa"/>
            <w:noWrap/>
            <w:vAlign w:val="center"/>
            <w:hideMark/>
          </w:tcPr>
          <w:p w14:paraId="7566BFF8" w14:textId="77777777" w:rsidR="00BA4141" w:rsidRPr="00505A37" w:rsidRDefault="00BA4141" w:rsidP="00505A37">
            <w:pPr>
              <w:pStyle w:val="NoSpacing"/>
              <w:jc w:val="center"/>
              <w:rPr>
                <w:rFonts w:ascii="Times New Roman" w:hAnsi="Times New Roman" w:cs="Times New Roman"/>
                <w:b/>
                <w:bCs/>
                <w:sz w:val="22"/>
                <w:szCs w:val="22"/>
                <w:lang w:eastAsia="en-IN"/>
              </w:rPr>
            </w:pPr>
            <w:r w:rsidRPr="00505A37">
              <w:rPr>
                <w:rFonts w:ascii="Times New Roman" w:hAnsi="Times New Roman" w:cs="Times New Roman"/>
                <w:b/>
                <w:bCs/>
                <w:sz w:val="22"/>
                <w:szCs w:val="22"/>
                <w:lang w:eastAsia="en-IN"/>
              </w:rPr>
              <w:t>Net receipts</w:t>
            </w:r>
          </w:p>
        </w:tc>
      </w:tr>
      <w:tr w:rsidR="00BA4141" w:rsidRPr="00505A37" w14:paraId="40D9FA08" w14:textId="77777777" w:rsidTr="00505A37">
        <w:trPr>
          <w:trHeight w:val="20"/>
        </w:trPr>
        <w:tc>
          <w:tcPr>
            <w:tcW w:w="833" w:type="dxa"/>
            <w:noWrap/>
            <w:vAlign w:val="center"/>
            <w:hideMark/>
          </w:tcPr>
          <w:p w14:paraId="77B5545B" w14:textId="77777777" w:rsidR="00BA4141" w:rsidRPr="00505A37" w:rsidRDefault="00BA4141" w:rsidP="00505A37">
            <w:pPr>
              <w:pStyle w:val="NoSpacing"/>
              <w:jc w:val="center"/>
              <w:rPr>
                <w:rFonts w:ascii="Times New Roman" w:hAnsi="Times New Roman" w:cs="Times New Roman"/>
                <w:b/>
                <w:bCs/>
                <w:sz w:val="22"/>
                <w:szCs w:val="22"/>
                <w:lang w:eastAsia="en-IN"/>
              </w:rPr>
            </w:pPr>
          </w:p>
        </w:tc>
        <w:tc>
          <w:tcPr>
            <w:tcW w:w="625" w:type="dxa"/>
            <w:noWrap/>
            <w:vAlign w:val="center"/>
            <w:hideMark/>
          </w:tcPr>
          <w:p w14:paraId="027228B1" w14:textId="5511868E" w:rsidR="00BA4141" w:rsidRPr="00505A37" w:rsidRDefault="00BA4141" w:rsidP="00505A37">
            <w:pPr>
              <w:pStyle w:val="NoSpacing"/>
              <w:jc w:val="center"/>
              <w:rPr>
                <w:rFonts w:ascii="Times New Roman" w:hAnsi="Times New Roman" w:cs="Times New Roman"/>
                <w:b/>
                <w:bCs/>
                <w:sz w:val="22"/>
                <w:szCs w:val="22"/>
                <w:lang w:eastAsia="en-IN"/>
              </w:rPr>
            </w:pPr>
            <w:r w:rsidRPr="00505A37">
              <w:rPr>
                <w:rFonts w:ascii="Times New Roman" w:hAnsi="Times New Roman" w:cs="Times New Roman"/>
                <w:b/>
                <w:bCs/>
                <w:sz w:val="22"/>
                <w:szCs w:val="22"/>
                <w:lang w:eastAsia="en-IN"/>
              </w:rPr>
              <w:t>1</w:t>
            </w:r>
          </w:p>
        </w:tc>
        <w:tc>
          <w:tcPr>
            <w:tcW w:w="682" w:type="dxa"/>
            <w:noWrap/>
            <w:vAlign w:val="center"/>
            <w:hideMark/>
          </w:tcPr>
          <w:p w14:paraId="708FBBA1" w14:textId="7E85260C" w:rsidR="00BA4141" w:rsidRPr="00505A37" w:rsidRDefault="00BA4141" w:rsidP="00505A37">
            <w:pPr>
              <w:pStyle w:val="NoSpacing"/>
              <w:jc w:val="center"/>
              <w:rPr>
                <w:rFonts w:ascii="Times New Roman" w:hAnsi="Times New Roman" w:cs="Times New Roman"/>
                <w:b/>
                <w:bCs/>
                <w:sz w:val="22"/>
                <w:szCs w:val="22"/>
                <w:lang w:eastAsia="en-IN"/>
              </w:rPr>
            </w:pPr>
            <w:r w:rsidRPr="00505A37">
              <w:rPr>
                <w:rFonts w:ascii="Times New Roman" w:hAnsi="Times New Roman" w:cs="Times New Roman"/>
                <w:b/>
                <w:bCs/>
                <w:sz w:val="22"/>
                <w:szCs w:val="22"/>
                <w:lang w:eastAsia="en-IN"/>
              </w:rPr>
              <w:t>2</w:t>
            </w:r>
          </w:p>
        </w:tc>
        <w:tc>
          <w:tcPr>
            <w:tcW w:w="625" w:type="dxa"/>
            <w:noWrap/>
            <w:vAlign w:val="center"/>
            <w:hideMark/>
          </w:tcPr>
          <w:p w14:paraId="551E0B92" w14:textId="557EDA2F" w:rsidR="00BA4141" w:rsidRPr="00505A37" w:rsidRDefault="00BA4141" w:rsidP="00505A37">
            <w:pPr>
              <w:pStyle w:val="NoSpacing"/>
              <w:jc w:val="center"/>
              <w:rPr>
                <w:rFonts w:ascii="Times New Roman" w:hAnsi="Times New Roman" w:cs="Times New Roman"/>
                <w:b/>
                <w:bCs/>
                <w:sz w:val="22"/>
                <w:szCs w:val="22"/>
                <w:lang w:eastAsia="en-IN"/>
              </w:rPr>
            </w:pPr>
            <w:r w:rsidRPr="00505A37">
              <w:rPr>
                <w:rFonts w:ascii="Times New Roman" w:hAnsi="Times New Roman" w:cs="Times New Roman"/>
                <w:b/>
                <w:bCs/>
                <w:sz w:val="22"/>
                <w:szCs w:val="22"/>
                <w:lang w:eastAsia="en-IN"/>
              </w:rPr>
              <w:t>3</w:t>
            </w:r>
          </w:p>
        </w:tc>
        <w:tc>
          <w:tcPr>
            <w:tcW w:w="892" w:type="dxa"/>
            <w:noWrap/>
            <w:vAlign w:val="center"/>
            <w:hideMark/>
          </w:tcPr>
          <w:p w14:paraId="7CAEC929" w14:textId="66B1FE8A" w:rsidR="00BA4141" w:rsidRPr="00505A37" w:rsidRDefault="00BA4141" w:rsidP="00505A37">
            <w:pPr>
              <w:pStyle w:val="NoSpacing"/>
              <w:jc w:val="center"/>
              <w:rPr>
                <w:rFonts w:ascii="Times New Roman" w:hAnsi="Times New Roman" w:cs="Times New Roman"/>
                <w:b/>
                <w:bCs/>
                <w:sz w:val="22"/>
                <w:szCs w:val="22"/>
                <w:lang w:eastAsia="en-IN"/>
              </w:rPr>
            </w:pPr>
            <w:r w:rsidRPr="00505A37">
              <w:rPr>
                <w:rFonts w:ascii="Times New Roman" w:hAnsi="Times New Roman" w:cs="Times New Roman"/>
                <w:b/>
                <w:bCs/>
                <w:sz w:val="22"/>
                <w:szCs w:val="22"/>
                <w:lang w:eastAsia="en-IN"/>
              </w:rPr>
              <w:t>4</w:t>
            </w:r>
          </w:p>
        </w:tc>
        <w:tc>
          <w:tcPr>
            <w:tcW w:w="625" w:type="dxa"/>
            <w:noWrap/>
            <w:vAlign w:val="center"/>
            <w:hideMark/>
          </w:tcPr>
          <w:p w14:paraId="58682407" w14:textId="1C9DA43A" w:rsidR="00BA4141" w:rsidRPr="00505A37" w:rsidRDefault="00BA4141" w:rsidP="00505A37">
            <w:pPr>
              <w:pStyle w:val="NoSpacing"/>
              <w:jc w:val="center"/>
              <w:rPr>
                <w:rFonts w:ascii="Times New Roman" w:hAnsi="Times New Roman" w:cs="Times New Roman"/>
                <w:b/>
                <w:bCs/>
                <w:sz w:val="22"/>
                <w:szCs w:val="22"/>
                <w:lang w:eastAsia="en-IN"/>
              </w:rPr>
            </w:pPr>
            <w:r w:rsidRPr="00505A37">
              <w:rPr>
                <w:rFonts w:ascii="Times New Roman" w:hAnsi="Times New Roman" w:cs="Times New Roman"/>
                <w:b/>
                <w:bCs/>
                <w:sz w:val="22"/>
                <w:szCs w:val="22"/>
                <w:lang w:eastAsia="en-IN"/>
              </w:rPr>
              <w:t>5</w:t>
            </w:r>
          </w:p>
        </w:tc>
        <w:tc>
          <w:tcPr>
            <w:tcW w:w="625" w:type="dxa"/>
            <w:noWrap/>
            <w:vAlign w:val="center"/>
            <w:hideMark/>
          </w:tcPr>
          <w:p w14:paraId="2E3AFD61" w14:textId="77373949" w:rsidR="00BA4141" w:rsidRPr="00505A37" w:rsidRDefault="00BA4141" w:rsidP="00505A37">
            <w:pPr>
              <w:pStyle w:val="NoSpacing"/>
              <w:jc w:val="center"/>
              <w:rPr>
                <w:rFonts w:ascii="Times New Roman" w:hAnsi="Times New Roman" w:cs="Times New Roman"/>
                <w:b/>
                <w:bCs/>
                <w:sz w:val="22"/>
                <w:szCs w:val="22"/>
                <w:lang w:eastAsia="en-IN"/>
              </w:rPr>
            </w:pPr>
            <w:r w:rsidRPr="00505A37">
              <w:rPr>
                <w:rFonts w:ascii="Times New Roman" w:hAnsi="Times New Roman" w:cs="Times New Roman"/>
                <w:b/>
                <w:bCs/>
                <w:sz w:val="22"/>
                <w:szCs w:val="22"/>
                <w:lang w:eastAsia="en-IN"/>
              </w:rPr>
              <w:t>6</w:t>
            </w:r>
          </w:p>
        </w:tc>
        <w:tc>
          <w:tcPr>
            <w:tcW w:w="682" w:type="dxa"/>
            <w:noWrap/>
            <w:vAlign w:val="center"/>
            <w:hideMark/>
          </w:tcPr>
          <w:p w14:paraId="28174E1A" w14:textId="2F9B6324" w:rsidR="00BA4141" w:rsidRPr="00505A37" w:rsidRDefault="00BA4141" w:rsidP="00505A37">
            <w:pPr>
              <w:pStyle w:val="NoSpacing"/>
              <w:jc w:val="center"/>
              <w:rPr>
                <w:rFonts w:ascii="Times New Roman" w:hAnsi="Times New Roman" w:cs="Times New Roman"/>
                <w:b/>
                <w:bCs/>
                <w:sz w:val="22"/>
                <w:szCs w:val="22"/>
                <w:lang w:eastAsia="en-IN"/>
              </w:rPr>
            </w:pPr>
            <w:r w:rsidRPr="00505A37">
              <w:rPr>
                <w:rFonts w:ascii="Times New Roman" w:hAnsi="Times New Roman" w:cs="Times New Roman"/>
                <w:b/>
                <w:bCs/>
                <w:sz w:val="22"/>
                <w:szCs w:val="22"/>
                <w:lang w:eastAsia="en-IN"/>
              </w:rPr>
              <w:t>7</w:t>
            </w:r>
          </w:p>
        </w:tc>
        <w:tc>
          <w:tcPr>
            <w:tcW w:w="675" w:type="dxa"/>
            <w:noWrap/>
            <w:vAlign w:val="center"/>
            <w:hideMark/>
          </w:tcPr>
          <w:p w14:paraId="211C0973" w14:textId="03D8CF75" w:rsidR="00BA4141" w:rsidRPr="00505A37" w:rsidRDefault="00BA4141" w:rsidP="00505A37">
            <w:pPr>
              <w:pStyle w:val="NoSpacing"/>
              <w:jc w:val="center"/>
              <w:rPr>
                <w:rFonts w:ascii="Times New Roman" w:hAnsi="Times New Roman" w:cs="Times New Roman"/>
                <w:b/>
                <w:bCs/>
                <w:sz w:val="22"/>
                <w:szCs w:val="22"/>
                <w:lang w:eastAsia="en-IN"/>
              </w:rPr>
            </w:pPr>
            <w:r w:rsidRPr="00505A37">
              <w:rPr>
                <w:rFonts w:ascii="Times New Roman" w:hAnsi="Times New Roman" w:cs="Times New Roman"/>
                <w:b/>
                <w:bCs/>
                <w:sz w:val="22"/>
                <w:szCs w:val="22"/>
                <w:lang w:eastAsia="en-IN"/>
              </w:rPr>
              <w:t>8</w:t>
            </w:r>
          </w:p>
        </w:tc>
        <w:tc>
          <w:tcPr>
            <w:tcW w:w="892" w:type="dxa"/>
            <w:noWrap/>
            <w:vAlign w:val="center"/>
            <w:hideMark/>
          </w:tcPr>
          <w:p w14:paraId="4BA337A0" w14:textId="69307A82" w:rsidR="00BA4141" w:rsidRPr="00505A37" w:rsidRDefault="00BA4141" w:rsidP="00505A37">
            <w:pPr>
              <w:pStyle w:val="NoSpacing"/>
              <w:jc w:val="center"/>
              <w:rPr>
                <w:rFonts w:ascii="Times New Roman" w:hAnsi="Times New Roman" w:cs="Times New Roman"/>
                <w:b/>
                <w:bCs/>
                <w:sz w:val="22"/>
                <w:szCs w:val="22"/>
                <w:lang w:eastAsia="en-IN"/>
              </w:rPr>
            </w:pPr>
            <w:r w:rsidRPr="00505A37">
              <w:rPr>
                <w:rFonts w:ascii="Times New Roman" w:hAnsi="Times New Roman" w:cs="Times New Roman"/>
                <w:b/>
                <w:bCs/>
                <w:sz w:val="22"/>
                <w:szCs w:val="22"/>
                <w:lang w:eastAsia="en-IN"/>
              </w:rPr>
              <w:t>9</w:t>
            </w:r>
          </w:p>
        </w:tc>
        <w:tc>
          <w:tcPr>
            <w:tcW w:w="625" w:type="dxa"/>
            <w:noWrap/>
            <w:vAlign w:val="center"/>
            <w:hideMark/>
          </w:tcPr>
          <w:p w14:paraId="4F99CD77" w14:textId="33413F91" w:rsidR="00BA4141" w:rsidRPr="00505A37" w:rsidRDefault="00BA4141" w:rsidP="00505A37">
            <w:pPr>
              <w:pStyle w:val="NoSpacing"/>
              <w:jc w:val="center"/>
              <w:rPr>
                <w:rFonts w:ascii="Times New Roman" w:hAnsi="Times New Roman" w:cs="Times New Roman"/>
                <w:b/>
                <w:bCs/>
                <w:sz w:val="22"/>
                <w:szCs w:val="22"/>
                <w:lang w:eastAsia="en-IN"/>
              </w:rPr>
            </w:pPr>
            <w:r w:rsidRPr="00505A37">
              <w:rPr>
                <w:rFonts w:ascii="Times New Roman" w:hAnsi="Times New Roman" w:cs="Times New Roman"/>
                <w:b/>
                <w:bCs/>
                <w:sz w:val="22"/>
                <w:szCs w:val="22"/>
                <w:lang w:eastAsia="en-IN"/>
              </w:rPr>
              <w:t>10</w:t>
            </w:r>
          </w:p>
        </w:tc>
        <w:tc>
          <w:tcPr>
            <w:tcW w:w="625" w:type="dxa"/>
            <w:noWrap/>
            <w:vAlign w:val="center"/>
            <w:hideMark/>
          </w:tcPr>
          <w:p w14:paraId="5A6C2DFD" w14:textId="13DA281B" w:rsidR="00BA4141" w:rsidRPr="00505A37" w:rsidRDefault="00BA4141" w:rsidP="00505A37">
            <w:pPr>
              <w:pStyle w:val="NoSpacing"/>
              <w:jc w:val="center"/>
              <w:rPr>
                <w:rFonts w:ascii="Times New Roman" w:hAnsi="Times New Roman" w:cs="Times New Roman"/>
                <w:b/>
                <w:bCs/>
                <w:sz w:val="22"/>
                <w:szCs w:val="22"/>
                <w:lang w:eastAsia="en-IN"/>
              </w:rPr>
            </w:pPr>
            <w:r w:rsidRPr="00505A37">
              <w:rPr>
                <w:rFonts w:ascii="Times New Roman" w:hAnsi="Times New Roman" w:cs="Times New Roman"/>
                <w:b/>
                <w:bCs/>
                <w:sz w:val="22"/>
                <w:szCs w:val="22"/>
                <w:lang w:eastAsia="en-IN"/>
              </w:rPr>
              <w:t>11</w:t>
            </w:r>
          </w:p>
        </w:tc>
        <w:tc>
          <w:tcPr>
            <w:tcW w:w="682" w:type="dxa"/>
            <w:noWrap/>
            <w:vAlign w:val="center"/>
            <w:hideMark/>
          </w:tcPr>
          <w:p w14:paraId="032D2200" w14:textId="2DEA62B9" w:rsidR="00BA4141" w:rsidRPr="00505A37" w:rsidRDefault="00BA4141" w:rsidP="00505A37">
            <w:pPr>
              <w:pStyle w:val="NoSpacing"/>
              <w:jc w:val="center"/>
              <w:rPr>
                <w:rFonts w:ascii="Times New Roman" w:hAnsi="Times New Roman" w:cs="Times New Roman"/>
                <w:b/>
                <w:bCs/>
                <w:sz w:val="22"/>
                <w:szCs w:val="22"/>
                <w:lang w:eastAsia="en-IN"/>
              </w:rPr>
            </w:pPr>
            <w:r w:rsidRPr="00505A37">
              <w:rPr>
                <w:rFonts w:ascii="Times New Roman" w:hAnsi="Times New Roman" w:cs="Times New Roman"/>
                <w:b/>
                <w:bCs/>
                <w:sz w:val="22"/>
                <w:szCs w:val="22"/>
                <w:lang w:eastAsia="en-IN"/>
              </w:rPr>
              <w:t>12</w:t>
            </w:r>
          </w:p>
        </w:tc>
        <w:tc>
          <w:tcPr>
            <w:tcW w:w="625" w:type="dxa"/>
            <w:noWrap/>
            <w:vAlign w:val="center"/>
            <w:hideMark/>
          </w:tcPr>
          <w:p w14:paraId="757DFA5E" w14:textId="49DC926E" w:rsidR="00BA4141" w:rsidRPr="00505A37" w:rsidRDefault="00BA4141" w:rsidP="00505A37">
            <w:pPr>
              <w:pStyle w:val="NoSpacing"/>
              <w:jc w:val="center"/>
              <w:rPr>
                <w:rFonts w:ascii="Times New Roman" w:hAnsi="Times New Roman" w:cs="Times New Roman"/>
                <w:b/>
                <w:bCs/>
                <w:sz w:val="22"/>
                <w:szCs w:val="22"/>
                <w:lang w:eastAsia="en-IN"/>
              </w:rPr>
            </w:pPr>
            <w:r w:rsidRPr="00505A37">
              <w:rPr>
                <w:rFonts w:ascii="Times New Roman" w:hAnsi="Times New Roman" w:cs="Times New Roman"/>
                <w:b/>
                <w:bCs/>
                <w:sz w:val="22"/>
                <w:szCs w:val="22"/>
                <w:lang w:eastAsia="en-IN"/>
              </w:rPr>
              <w:t>13</w:t>
            </w:r>
          </w:p>
        </w:tc>
        <w:tc>
          <w:tcPr>
            <w:tcW w:w="892" w:type="dxa"/>
            <w:noWrap/>
            <w:vAlign w:val="center"/>
            <w:hideMark/>
          </w:tcPr>
          <w:p w14:paraId="7CFAD3F8" w14:textId="251C4DAC" w:rsidR="00BA4141" w:rsidRPr="00505A37" w:rsidRDefault="00BA4141" w:rsidP="00505A37">
            <w:pPr>
              <w:pStyle w:val="NoSpacing"/>
              <w:jc w:val="center"/>
              <w:rPr>
                <w:rFonts w:ascii="Times New Roman" w:hAnsi="Times New Roman" w:cs="Times New Roman"/>
                <w:b/>
                <w:bCs/>
                <w:sz w:val="22"/>
                <w:szCs w:val="22"/>
                <w:lang w:eastAsia="en-IN"/>
              </w:rPr>
            </w:pPr>
            <w:r w:rsidRPr="00505A37">
              <w:rPr>
                <w:rFonts w:ascii="Times New Roman" w:hAnsi="Times New Roman" w:cs="Times New Roman"/>
                <w:b/>
                <w:bCs/>
                <w:sz w:val="22"/>
                <w:szCs w:val="22"/>
                <w:lang w:eastAsia="en-IN"/>
              </w:rPr>
              <w:t>14</w:t>
            </w:r>
          </w:p>
        </w:tc>
        <w:tc>
          <w:tcPr>
            <w:tcW w:w="625" w:type="dxa"/>
            <w:noWrap/>
            <w:vAlign w:val="center"/>
            <w:hideMark/>
          </w:tcPr>
          <w:p w14:paraId="3DA2D08C" w14:textId="2AC6BBB8" w:rsidR="00BA4141" w:rsidRPr="00505A37" w:rsidRDefault="00BA4141" w:rsidP="00505A37">
            <w:pPr>
              <w:pStyle w:val="NoSpacing"/>
              <w:jc w:val="center"/>
              <w:rPr>
                <w:rFonts w:ascii="Times New Roman" w:hAnsi="Times New Roman" w:cs="Times New Roman"/>
                <w:b/>
                <w:bCs/>
                <w:sz w:val="22"/>
                <w:szCs w:val="22"/>
                <w:lang w:eastAsia="en-IN"/>
              </w:rPr>
            </w:pPr>
            <w:r w:rsidRPr="00505A37">
              <w:rPr>
                <w:rFonts w:ascii="Times New Roman" w:hAnsi="Times New Roman" w:cs="Times New Roman"/>
                <w:b/>
                <w:bCs/>
                <w:sz w:val="22"/>
                <w:szCs w:val="22"/>
                <w:lang w:eastAsia="en-IN"/>
              </w:rPr>
              <w:t>15</w:t>
            </w:r>
          </w:p>
        </w:tc>
        <w:tc>
          <w:tcPr>
            <w:tcW w:w="625" w:type="dxa"/>
            <w:noWrap/>
            <w:vAlign w:val="center"/>
            <w:hideMark/>
          </w:tcPr>
          <w:p w14:paraId="2A2763A7" w14:textId="47DE0085" w:rsidR="00BA4141" w:rsidRPr="00505A37" w:rsidRDefault="00BA4141" w:rsidP="00505A37">
            <w:pPr>
              <w:pStyle w:val="NoSpacing"/>
              <w:jc w:val="center"/>
              <w:rPr>
                <w:rFonts w:ascii="Times New Roman" w:hAnsi="Times New Roman" w:cs="Times New Roman"/>
                <w:b/>
                <w:bCs/>
                <w:sz w:val="22"/>
                <w:szCs w:val="22"/>
                <w:lang w:eastAsia="en-IN"/>
              </w:rPr>
            </w:pPr>
            <w:r w:rsidRPr="00505A37">
              <w:rPr>
                <w:rFonts w:ascii="Times New Roman" w:hAnsi="Times New Roman" w:cs="Times New Roman"/>
                <w:b/>
                <w:bCs/>
                <w:sz w:val="22"/>
                <w:szCs w:val="22"/>
                <w:lang w:eastAsia="en-IN"/>
              </w:rPr>
              <w:t>16</w:t>
            </w:r>
          </w:p>
        </w:tc>
        <w:tc>
          <w:tcPr>
            <w:tcW w:w="682" w:type="dxa"/>
            <w:noWrap/>
            <w:vAlign w:val="center"/>
            <w:hideMark/>
          </w:tcPr>
          <w:p w14:paraId="4426BA83" w14:textId="07259551" w:rsidR="00BA4141" w:rsidRPr="00505A37" w:rsidRDefault="00BA4141" w:rsidP="00505A37">
            <w:pPr>
              <w:pStyle w:val="NoSpacing"/>
              <w:jc w:val="center"/>
              <w:rPr>
                <w:rFonts w:ascii="Times New Roman" w:hAnsi="Times New Roman" w:cs="Times New Roman"/>
                <w:b/>
                <w:bCs/>
                <w:sz w:val="22"/>
                <w:szCs w:val="22"/>
                <w:lang w:eastAsia="en-IN"/>
              </w:rPr>
            </w:pPr>
            <w:r w:rsidRPr="00505A37">
              <w:rPr>
                <w:rFonts w:ascii="Times New Roman" w:hAnsi="Times New Roman" w:cs="Times New Roman"/>
                <w:b/>
                <w:bCs/>
                <w:sz w:val="22"/>
                <w:szCs w:val="22"/>
                <w:lang w:eastAsia="en-IN"/>
              </w:rPr>
              <w:t>17</w:t>
            </w:r>
          </w:p>
        </w:tc>
        <w:tc>
          <w:tcPr>
            <w:tcW w:w="625" w:type="dxa"/>
            <w:noWrap/>
            <w:vAlign w:val="center"/>
            <w:hideMark/>
          </w:tcPr>
          <w:p w14:paraId="1CCDF9F3" w14:textId="128EB0E9" w:rsidR="00BA4141" w:rsidRPr="00505A37" w:rsidRDefault="00BA4141" w:rsidP="00505A37">
            <w:pPr>
              <w:pStyle w:val="NoSpacing"/>
              <w:jc w:val="center"/>
              <w:rPr>
                <w:rFonts w:ascii="Times New Roman" w:hAnsi="Times New Roman" w:cs="Times New Roman"/>
                <w:b/>
                <w:bCs/>
                <w:sz w:val="22"/>
                <w:szCs w:val="22"/>
                <w:lang w:eastAsia="en-IN"/>
              </w:rPr>
            </w:pPr>
            <w:r w:rsidRPr="00505A37">
              <w:rPr>
                <w:rFonts w:ascii="Times New Roman" w:hAnsi="Times New Roman" w:cs="Times New Roman"/>
                <w:b/>
                <w:bCs/>
                <w:sz w:val="22"/>
                <w:szCs w:val="22"/>
                <w:lang w:eastAsia="en-IN"/>
              </w:rPr>
              <w:t>18</w:t>
            </w:r>
          </w:p>
        </w:tc>
        <w:tc>
          <w:tcPr>
            <w:tcW w:w="892" w:type="dxa"/>
            <w:noWrap/>
            <w:vAlign w:val="center"/>
            <w:hideMark/>
          </w:tcPr>
          <w:p w14:paraId="24FAA842" w14:textId="27736FA4" w:rsidR="00BA4141" w:rsidRPr="00505A37" w:rsidRDefault="00BA4141" w:rsidP="00505A37">
            <w:pPr>
              <w:pStyle w:val="NoSpacing"/>
              <w:jc w:val="center"/>
              <w:rPr>
                <w:rFonts w:ascii="Times New Roman" w:hAnsi="Times New Roman" w:cs="Times New Roman"/>
                <w:b/>
                <w:bCs/>
                <w:sz w:val="22"/>
                <w:szCs w:val="22"/>
                <w:lang w:eastAsia="en-IN"/>
              </w:rPr>
            </w:pPr>
            <w:r w:rsidRPr="00505A37">
              <w:rPr>
                <w:rFonts w:ascii="Times New Roman" w:hAnsi="Times New Roman" w:cs="Times New Roman"/>
                <w:b/>
                <w:bCs/>
                <w:sz w:val="22"/>
                <w:szCs w:val="22"/>
                <w:lang w:eastAsia="en-IN"/>
              </w:rPr>
              <w:t>19</w:t>
            </w:r>
          </w:p>
        </w:tc>
        <w:tc>
          <w:tcPr>
            <w:tcW w:w="547" w:type="dxa"/>
            <w:noWrap/>
            <w:vAlign w:val="center"/>
            <w:hideMark/>
          </w:tcPr>
          <w:p w14:paraId="3F15C2AB" w14:textId="179E1AB6" w:rsidR="00BA4141" w:rsidRPr="00505A37" w:rsidRDefault="00BA4141" w:rsidP="00505A37">
            <w:pPr>
              <w:pStyle w:val="NoSpacing"/>
              <w:jc w:val="center"/>
              <w:rPr>
                <w:rFonts w:ascii="Times New Roman" w:hAnsi="Times New Roman" w:cs="Times New Roman"/>
                <w:b/>
                <w:bCs/>
                <w:sz w:val="22"/>
                <w:szCs w:val="22"/>
                <w:lang w:eastAsia="en-IN"/>
              </w:rPr>
            </w:pPr>
            <w:r w:rsidRPr="00505A37">
              <w:rPr>
                <w:rFonts w:ascii="Times New Roman" w:hAnsi="Times New Roman" w:cs="Times New Roman"/>
                <w:b/>
                <w:bCs/>
                <w:sz w:val="22"/>
                <w:szCs w:val="22"/>
                <w:lang w:eastAsia="en-IN"/>
              </w:rPr>
              <w:t>20</w:t>
            </w:r>
          </w:p>
        </w:tc>
      </w:tr>
      <w:tr w:rsidR="00BA4141" w:rsidRPr="00505A37" w14:paraId="64D6F9C7" w14:textId="77777777" w:rsidTr="00505A37">
        <w:trPr>
          <w:trHeight w:val="20"/>
        </w:trPr>
        <w:tc>
          <w:tcPr>
            <w:tcW w:w="833" w:type="dxa"/>
            <w:noWrap/>
            <w:hideMark/>
          </w:tcPr>
          <w:p w14:paraId="0559CB91" w14:textId="77777777" w:rsidR="00BA4141" w:rsidRPr="00505A37" w:rsidRDefault="00BA4141" w:rsidP="00B77C0B">
            <w:pPr>
              <w:pStyle w:val="NoSpacing"/>
              <w:rPr>
                <w:rFonts w:ascii="Times New Roman" w:hAnsi="Times New Roman" w:cs="Times New Roman"/>
                <w:sz w:val="22"/>
                <w:szCs w:val="22"/>
                <w:lang w:eastAsia="en-IN"/>
              </w:rPr>
            </w:pPr>
            <w:r w:rsidRPr="00505A37">
              <w:rPr>
                <w:rFonts w:ascii="Times New Roman" w:hAnsi="Times New Roman" w:cs="Times New Roman"/>
                <w:sz w:val="22"/>
                <w:szCs w:val="22"/>
                <w:lang w:eastAsia="en-IN"/>
              </w:rPr>
              <w:t>Andhra Pradesh</w:t>
            </w:r>
          </w:p>
        </w:tc>
        <w:tc>
          <w:tcPr>
            <w:tcW w:w="625" w:type="dxa"/>
            <w:noWrap/>
            <w:vAlign w:val="center"/>
            <w:hideMark/>
          </w:tcPr>
          <w:p w14:paraId="60E3382A" w14:textId="77777777" w:rsidR="00BA4141" w:rsidRPr="00505A37" w:rsidRDefault="00BA4141" w:rsidP="00505A37">
            <w:pPr>
              <w:pStyle w:val="NoSpacing"/>
              <w:jc w:val="center"/>
              <w:rPr>
                <w:rFonts w:ascii="Times New Roman" w:hAnsi="Times New Roman" w:cs="Times New Roman"/>
                <w:sz w:val="22"/>
                <w:szCs w:val="22"/>
                <w:lang w:eastAsia="en-IN"/>
              </w:rPr>
            </w:pPr>
            <w:r w:rsidRPr="00505A37">
              <w:rPr>
                <w:rFonts w:ascii="Times New Roman" w:hAnsi="Times New Roman" w:cs="Times New Roman"/>
                <w:sz w:val="22"/>
                <w:szCs w:val="22"/>
                <w:lang w:eastAsia="en-IN"/>
              </w:rPr>
              <w:t>..</w:t>
            </w:r>
          </w:p>
        </w:tc>
        <w:tc>
          <w:tcPr>
            <w:tcW w:w="682" w:type="dxa"/>
            <w:noWrap/>
            <w:vAlign w:val="center"/>
            <w:hideMark/>
          </w:tcPr>
          <w:p w14:paraId="07EE8FD5" w14:textId="77777777" w:rsidR="00BA4141" w:rsidRPr="00505A37" w:rsidRDefault="00BA4141" w:rsidP="00505A37">
            <w:pPr>
              <w:pStyle w:val="NoSpacing"/>
              <w:jc w:val="center"/>
              <w:rPr>
                <w:rFonts w:ascii="Times New Roman" w:hAnsi="Times New Roman" w:cs="Times New Roman"/>
                <w:sz w:val="22"/>
                <w:szCs w:val="22"/>
                <w:lang w:eastAsia="en-IN"/>
              </w:rPr>
            </w:pPr>
            <w:r w:rsidRPr="00505A37">
              <w:rPr>
                <w:rFonts w:ascii="Times New Roman" w:hAnsi="Times New Roman" w:cs="Times New Roman"/>
                <w:sz w:val="22"/>
                <w:szCs w:val="22"/>
                <w:lang w:eastAsia="en-IN"/>
              </w:rPr>
              <w:t>..</w:t>
            </w:r>
          </w:p>
        </w:tc>
        <w:tc>
          <w:tcPr>
            <w:tcW w:w="625" w:type="dxa"/>
            <w:noWrap/>
            <w:vAlign w:val="center"/>
            <w:hideMark/>
          </w:tcPr>
          <w:p w14:paraId="6610996C" w14:textId="77777777" w:rsidR="00BA4141" w:rsidRPr="00505A37" w:rsidRDefault="00BA4141" w:rsidP="00505A37">
            <w:pPr>
              <w:pStyle w:val="NoSpacing"/>
              <w:jc w:val="center"/>
              <w:rPr>
                <w:rFonts w:ascii="Times New Roman" w:hAnsi="Times New Roman" w:cs="Times New Roman"/>
                <w:sz w:val="22"/>
                <w:szCs w:val="22"/>
                <w:lang w:eastAsia="en-IN"/>
              </w:rPr>
            </w:pPr>
            <w:r w:rsidRPr="00505A37">
              <w:rPr>
                <w:rFonts w:ascii="Times New Roman" w:hAnsi="Times New Roman" w:cs="Times New Roman"/>
                <w:sz w:val="22"/>
                <w:szCs w:val="22"/>
                <w:lang w:eastAsia="en-IN"/>
              </w:rPr>
              <w:t>..</w:t>
            </w:r>
          </w:p>
        </w:tc>
        <w:tc>
          <w:tcPr>
            <w:tcW w:w="892" w:type="dxa"/>
            <w:noWrap/>
            <w:vAlign w:val="center"/>
            <w:hideMark/>
          </w:tcPr>
          <w:p w14:paraId="25DAA32C" w14:textId="77777777" w:rsidR="00BA4141" w:rsidRPr="00505A37" w:rsidRDefault="00BA4141" w:rsidP="00505A37">
            <w:pPr>
              <w:pStyle w:val="NoSpacing"/>
              <w:jc w:val="center"/>
              <w:rPr>
                <w:rFonts w:ascii="Times New Roman" w:hAnsi="Times New Roman" w:cs="Times New Roman"/>
                <w:sz w:val="22"/>
                <w:szCs w:val="22"/>
                <w:lang w:eastAsia="en-IN"/>
              </w:rPr>
            </w:pPr>
            <w:r w:rsidRPr="00505A37">
              <w:rPr>
                <w:rFonts w:ascii="Times New Roman" w:hAnsi="Times New Roman" w:cs="Times New Roman"/>
                <w:sz w:val="22"/>
                <w:szCs w:val="22"/>
                <w:lang w:eastAsia="en-IN"/>
              </w:rPr>
              <w:t>..</w:t>
            </w:r>
          </w:p>
        </w:tc>
        <w:tc>
          <w:tcPr>
            <w:tcW w:w="625" w:type="dxa"/>
            <w:noWrap/>
            <w:vAlign w:val="center"/>
            <w:hideMark/>
          </w:tcPr>
          <w:p w14:paraId="4FB287C8" w14:textId="77777777" w:rsidR="00BA4141" w:rsidRPr="00505A37" w:rsidRDefault="00BA4141" w:rsidP="00505A37">
            <w:pPr>
              <w:pStyle w:val="NoSpacing"/>
              <w:jc w:val="center"/>
              <w:rPr>
                <w:rFonts w:ascii="Times New Roman" w:hAnsi="Times New Roman" w:cs="Times New Roman"/>
                <w:sz w:val="22"/>
                <w:szCs w:val="22"/>
                <w:lang w:eastAsia="en-IN"/>
              </w:rPr>
            </w:pPr>
            <w:r w:rsidRPr="00505A37">
              <w:rPr>
                <w:rFonts w:ascii="Times New Roman" w:hAnsi="Times New Roman" w:cs="Times New Roman"/>
                <w:sz w:val="22"/>
                <w:szCs w:val="22"/>
                <w:lang w:eastAsia="en-IN"/>
              </w:rPr>
              <w:t>..</w:t>
            </w:r>
          </w:p>
        </w:tc>
        <w:tc>
          <w:tcPr>
            <w:tcW w:w="625" w:type="dxa"/>
            <w:noWrap/>
            <w:vAlign w:val="center"/>
            <w:hideMark/>
          </w:tcPr>
          <w:p w14:paraId="0F0FD15C" w14:textId="77777777" w:rsidR="00BA4141" w:rsidRPr="00505A37" w:rsidRDefault="00BA4141" w:rsidP="00505A37">
            <w:pPr>
              <w:pStyle w:val="NoSpacing"/>
              <w:jc w:val="center"/>
              <w:rPr>
                <w:rFonts w:ascii="Times New Roman" w:hAnsi="Times New Roman" w:cs="Times New Roman"/>
                <w:sz w:val="22"/>
                <w:szCs w:val="22"/>
                <w:lang w:eastAsia="en-IN"/>
              </w:rPr>
            </w:pPr>
            <w:r w:rsidRPr="00505A37">
              <w:rPr>
                <w:rFonts w:ascii="Times New Roman" w:hAnsi="Times New Roman" w:cs="Times New Roman"/>
                <w:sz w:val="22"/>
                <w:szCs w:val="22"/>
                <w:lang w:eastAsia="en-IN"/>
              </w:rPr>
              <w:t>..</w:t>
            </w:r>
          </w:p>
        </w:tc>
        <w:tc>
          <w:tcPr>
            <w:tcW w:w="682" w:type="dxa"/>
            <w:noWrap/>
            <w:vAlign w:val="center"/>
            <w:hideMark/>
          </w:tcPr>
          <w:p w14:paraId="6CDF77C2" w14:textId="77777777" w:rsidR="00BA4141" w:rsidRPr="00505A37" w:rsidRDefault="00BA4141" w:rsidP="00505A37">
            <w:pPr>
              <w:pStyle w:val="NoSpacing"/>
              <w:jc w:val="center"/>
              <w:rPr>
                <w:rFonts w:ascii="Times New Roman" w:hAnsi="Times New Roman" w:cs="Times New Roman"/>
                <w:sz w:val="22"/>
                <w:szCs w:val="22"/>
                <w:lang w:eastAsia="en-IN"/>
              </w:rPr>
            </w:pPr>
            <w:r w:rsidRPr="00505A37">
              <w:rPr>
                <w:rFonts w:ascii="Times New Roman" w:hAnsi="Times New Roman" w:cs="Times New Roman"/>
                <w:sz w:val="22"/>
                <w:szCs w:val="22"/>
                <w:lang w:eastAsia="en-IN"/>
              </w:rPr>
              <w:t>..</w:t>
            </w:r>
          </w:p>
        </w:tc>
        <w:tc>
          <w:tcPr>
            <w:tcW w:w="675" w:type="dxa"/>
            <w:noWrap/>
            <w:vAlign w:val="center"/>
            <w:hideMark/>
          </w:tcPr>
          <w:p w14:paraId="5402364D" w14:textId="77777777" w:rsidR="00BA4141" w:rsidRPr="00505A37" w:rsidRDefault="00BA4141" w:rsidP="00505A37">
            <w:pPr>
              <w:pStyle w:val="NoSpacing"/>
              <w:jc w:val="center"/>
              <w:rPr>
                <w:rFonts w:ascii="Times New Roman" w:hAnsi="Times New Roman" w:cs="Times New Roman"/>
                <w:sz w:val="22"/>
                <w:szCs w:val="22"/>
                <w:lang w:eastAsia="en-IN"/>
              </w:rPr>
            </w:pPr>
            <w:r w:rsidRPr="00505A37">
              <w:rPr>
                <w:rFonts w:ascii="Times New Roman" w:hAnsi="Times New Roman" w:cs="Times New Roman"/>
                <w:sz w:val="22"/>
                <w:szCs w:val="22"/>
                <w:lang w:eastAsia="en-IN"/>
              </w:rPr>
              <w:t>..</w:t>
            </w:r>
          </w:p>
        </w:tc>
        <w:tc>
          <w:tcPr>
            <w:tcW w:w="892" w:type="dxa"/>
            <w:noWrap/>
            <w:vAlign w:val="center"/>
            <w:hideMark/>
          </w:tcPr>
          <w:p w14:paraId="73EA064E" w14:textId="77777777" w:rsidR="00BA4141" w:rsidRPr="00505A37" w:rsidRDefault="00BA4141" w:rsidP="00505A37">
            <w:pPr>
              <w:pStyle w:val="NoSpacing"/>
              <w:jc w:val="center"/>
              <w:rPr>
                <w:rFonts w:ascii="Times New Roman" w:hAnsi="Times New Roman" w:cs="Times New Roman"/>
                <w:sz w:val="22"/>
                <w:szCs w:val="22"/>
                <w:lang w:eastAsia="en-IN"/>
              </w:rPr>
            </w:pPr>
            <w:r w:rsidRPr="00505A37">
              <w:rPr>
                <w:rFonts w:ascii="Times New Roman" w:hAnsi="Times New Roman" w:cs="Times New Roman"/>
                <w:sz w:val="22"/>
                <w:szCs w:val="22"/>
                <w:lang w:eastAsia="en-IN"/>
              </w:rPr>
              <w:t>..</w:t>
            </w:r>
          </w:p>
        </w:tc>
        <w:tc>
          <w:tcPr>
            <w:tcW w:w="625" w:type="dxa"/>
            <w:noWrap/>
            <w:vAlign w:val="center"/>
            <w:hideMark/>
          </w:tcPr>
          <w:p w14:paraId="7400D279" w14:textId="77777777" w:rsidR="00BA4141" w:rsidRPr="00505A37" w:rsidRDefault="00BA4141" w:rsidP="00505A37">
            <w:pPr>
              <w:pStyle w:val="NoSpacing"/>
              <w:jc w:val="center"/>
              <w:rPr>
                <w:rFonts w:ascii="Times New Roman" w:hAnsi="Times New Roman" w:cs="Times New Roman"/>
                <w:sz w:val="22"/>
                <w:szCs w:val="22"/>
                <w:lang w:eastAsia="en-IN"/>
              </w:rPr>
            </w:pPr>
            <w:r w:rsidRPr="00505A37">
              <w:rPr>
                <w:rFonts w:ascii="Times New Roman" w:hAnsi="Times New Roman" w:cs="Times New Roman"/>
                <w:sz w:val="22"/>
                <w:szCs w:val="22"/>
                <w:lang w:eastAsia="en-IN"/>
              </w:rPr>
              <w:t>..</w:t>
            </w:r>
          </w:p>
        </w:tc>
        <w:tc>
          <w:tcPr>
            <w:tcW w:w="625" w:type="dxa"/>
            <w:noWrap/>
            <w:vAlign w:val="center"/>
            <w:hideMark/>
          </w:tcPr>
          <w:p w14:paraId="5E975AC6" w14:textId="77777777" w:rsidR="00BA4141" w:rsidRPr="00505A37" w:rsidRDefault="00BA4141" w:rsidP="00505A37">
            <w:pPr>
              <w:pStyle w:val="NoSpacing"/>
              <w:jc w:val="center"/>
              <w:rPr>
                <w:rFonts w:ascii="Times New Roman" w:hAnsi="Times New Roman" w:cs="Times New Roman"/>
                <w:sz w:val="22"/>
                <w:szCs w:val="22"/>
                <w:lang w:eastAsia="en-IN"/>
              </w:rPr>
            </w:pPr>
            <w:r w:rsidRPr="00505A37">
              <w:rPr>
                <w:rFonts w:ascii="Times New Roman" w:hAnsi="Times New Roman" w:cs="Times New Roman"/>
                <w:sz w:val="22"/>
                <w:szCs w:val="22"/>
                <w:lang w:eastAsia="en-IN"/>
              </w:rPr>
              <w:t>..</w:t>
            </w:r>
          </w:p>
        </w:tc>
        <w:tc>
          <w:tcPr>
            <w:tcW w:w="682" w:type="dxa"/>
            <w:noWrap/>
            <w:vAlign w:val="center"/>
            <w:hideMark/>
          </w:tcPr>
          <w:p w14:paraId="6F8250A4" w14:textId="77777777" w:rsidR="00BA4141" w:rsidRPr="00505A37" w:rsidRDefault="00BA4141" w:rsidP="00505A37">
            <w:pPr>
              <w:pStyle w:val="NoSpacing"/>
              <w:jc w:val="center"/>
              <w:rPr>
                <w:rFonts w:ascii="Times New Roman" w:hAnsi="Times New Roman" w:cs="Times New Roman"/>
                <w:sz w:val="22"/>
                <w:szCs w:val="22"/>
                <w:lang w:eastAsia="en-IN"/>
              </w:rPr>
            </w:pPr>
            <w:r w:rsidRPr="00505A37">
              <w:rPr>
                <w:rFonts w:ascii="Times New Roman" w:hAnsi="Times New Roman" w:cs="Times New Roman"/>
                <w:sz w:val="22"/>
                <w:szCs w:val="22"/>
                <w:lang w:eastAsia="en-IN"/>
              </w:rPr>
              <w:t>..</w:t>
            </w:r>
          </w:p>
        </w:tc>
        <w:tc>
          <w:tcPr>
            <w:tcW w:w="625" w:type="dxa"/>
            <w:noWrap/>
            <w:vAlign w:val="center"/>
            <w:hideMark/>
          </w:tcPr>
          <w:p w14:paraId="755CA74D" w14:textId="77777777" w:rsidR="00BA4141" w:rsidRPr="00505A37" w:rsidRDefault="00BA4141" w:rsidP="00505A37">
            <w:pPr>
              <w:pStyle w:val="NoSpacing"/>
              <w:jc w:val="center"/>
              <w:rPr>
                <w:rFonts w:ascii="Times New Roman" w:hAnsi="Times New Roman" w:cs="Times New Roman"/>
                <w:sz w:val="22"/>
                <w:szCs w:val="22"/>
                <w:lang w:eastAsia="en-IN"/>
              </w:rPr>
            </w:pPr>
            <w:r w:rsidRPr="00505A37">
              <w:rPr>
                <w:rFonts w:ascii="Times New Roman" w:hAnsi="Times New Roman" w:cs="Times New Roman"/>
                <w:sz w:val="22"/>
                <w:szCs w:val="22"/>
                <w:lang w:eastAsia="en-IN"/>
              </w:rPr>
              <w:t>..</w:t>
            </w:r>
          </w:p>
        </w:tc>
        <w:tc>
          <w:tcPr>
            <w:tcW w:w="892" w:type="dxa"/>
            <w:noWrap/>
            <w:vAlign w:val="center"/>
            <w:hideMark/>
          </w:tcPr>
          <w:p w14:paraId="7E8B1B65" w14:textId="77777777" w:rsidR="00BA4141" w:rsidRPr="00505A37" w:rsidRDefault="00BA4141" w:rsidP="00505A37">
            <w:pPr>
              <w:pStyle w:val="NoSpacing"/>
              <w:jc w:val="center"/>
              <w:rPr>
                <w:rFonts w:ascii="Times New Roman" w:hAnsi="Times New Roman" w:cs="Times New Roman"/>
                <w:sz w:val="22"/>
                <w:szCs w:val="22"/>
                <w:lang w:eastAsia="en-IN"/>
              </w:rPr>
            </w:pPr>
            <w:r w:rsidRPr="00505A37">
              <w:rPr>
                <w:rFonts w:ascii="Times New Roman" w:hAnsi="Times New Roman" w:cs="Times New Roman"/>
                <w:sz w:val="22"/>
                <w:szCs w:val="22"/>
                <w:lang w:eastAsia="en-IN"/>
              </w:rPr>
              <w:t>..</w:t>
            </w:r>
          </w:p>
        </w:tc>
        <w:tc>
          <w:tcPr>
            <w:tcW w:w="625" w:type="dxa"/>
            <w:noWrap/>
            <w:vAlign w:val="center"/>
            <w:hideMark/>
          </w:tcPr>
          <w:p w14:paraId="39A6FD95" w14:textId="77777777" w:rsidR="00BA4141" w:rsidRPr="00505A37" w:rsidRDefault="00BA4141" w:rsidP="00505A37">
            <w:pPr>
              <w:pStyle w:val="NoSpacing"/>
              <w:jc w:val="center"/>
              <w:rPr>
                <w:rFonts w:ascii="Times New Roman" w:hAnsi="Times New Roman" w:cs="Times New Roman"/>
                <w:sz w:val="22"/>
                <w:szCs w:val="22"/>
                <w:lang w:eastAsia="en-IN"/>
              </w:rPr>
            </w:pPr>
            <w:r w:rsidRPr="00505A37">
              <w:rPr>
                <w:rFonts w:ascii="Times New Roman" w:hAnsi="Times New Roman" w:cs="Times New Roman"/>
                <w:sz w:val="22"/>
                <w:szCs w:val="22"/>
                <w:lang w:eastAsia="en-IN"/>
              </w:rPr>
              <w:t>..</w:t>
            </w:r>
          </w:p>
        </w:tc>
        <w:tc>
          <w:tcPr>
            <w:tcW w:w="625" w:type="dxa"/>
            <w:noWrap/>
            <w:vAlign w:val="center"/>
            <w:hideMark/>
          </w:tcPr>
          <w:p w14:paraId="565B1BC3" w14:textId="77777777" w:rsidR="00BA4141" w:rsidRPr="00505A37" w:rsidRDefault="00BA4141" w:rsidP="00505A37">
            <w:pPr>
              <w:pStyle w:val="NoSpacing"/>
              <w:jc w:val="center"/>
              <w:rPr>
                <w:rFonts w:ascii="Times New Roman" w:hAnsi="Times New Roman" w:cs="Times New Roman"/>
                <w:sz w:val="22"/>
                <w:szCs w:val="22"/>
                <w:lang w:eastAsia="en-IN"/>
              </w:rPr>
            </w:pPr>
            <w:r w:rsidRPr="00505A37">
              <w:rPr>
                <w:rFonts w:ascii="Times New Roman" w:hAnsi="Times New Roman" w:cs="Times New Roman"/>
                <w:sz w:val="22"/>
                <w:szCs w:val="22"/>
                <w:lang w:eastAsia="en-IN"/>
              </w:rPr>
              <w:t>..</w:t>
            </w:r>
          </w:p>
        </w:tc>
        <w:tc>
          <w:tcPr>
            <w:tcW w:w="682" w:type="dxa"/>
            <w:noWrap/>
            <w:vAlign w:val="center"/>
            <w:hideMark/>
          </w:tcPr>
          <w:p w14:paraId="0044F17E" w14:textId="77777777" w:rsidR="00BA4141" w:rsidRPr="00505A37" w:rsidRDefault="00BA4141" w:rsidP="00505A37">
            <w:pPr>
              <w:pStyle w:val="NoSpacing"/>
              <w:jc w:val="center"/>
              <w:rPr>
                <w:rFonts w:ascii="Times New Roman" w:hAnsi="Times New Roman" w:cs="Times New Roman"/>
                <w:sz w:val="22"/>
                <w:szCs w:val="22"/>
                <w:lang w:eastAsia="en-IN"/>
              </w:rPr>
            </w:pPr>
            <w:r w:rsidRPr="00505A37">
              <w:rPr>
                <w:rFonts w:ascii="Times New Roman" w:hAnsi="Times New Roman" w:cs="Times New Roman"/>
                <w:sz w:val="22"/>
                <w:szCs w:val="22"/>
                <w:lang w:eastAsia="en-IN"/>
              </w:rPr>
              <w:t>..</w:t>
            </w:r>
          </w:p>
        </w:tc>
        <w:tc>
          <w:tcPr>
            <w:tcW w:w="625" w:type="dxa"/>
            <w:noWrap/>
            <w:vAlign w:val="center"/>
            <w:hideMark/>
          </w:tcPr>
          <w:p w14:paraId="6FF12698" w14:textId="77777777" w:rsidR="00BA4141" w:rsidRPr="00505A37" w:rsidRDefault="00BA4141" w:rsidP="00505A37">
            <w:pPr>
              <w:pStyle w:val="NoSpacing"/>
              <w:jc w:val="center"/>
              <w:rPr>
                <w:rFonts w:ascii="Times New Roman" w:hAnsi="Times New Roman" w:cs="Times New Roman"/>
                <w:sz w:val="22"/>
                <w:szCs w:val="22"/>
                <w:lang w:eastAsia="en-IN"/>
              </w:rPr>
            </w:pPr>
            <w:r w:rsidRPr="00505A37">
              <w:rPr>
                <w:rFonts w:ascii="Times New Roman" w:hAnsi="Times New Roman" w:cs="Times New Roman"/>
                <w:sz w:val="22"/>
                <w:szCs w:val="22"/>
                <w:lang w:eastAsia="en-IN"/>
              </w:rPr>
              <w:t>..</w:t>
            </w:r>
          </w:p>
        </w:tc>
        <w:tc>
          <w:tcPr>
            <w:tcW w:w="892" w:type="dxa"/>
            <w:noWrap/>
            <w:vAlign w:val="center"/>
            <w:hideMark/>
          </w:tcPr>
          <w:p w14:paraId="11627B6D" w14:textId="77777777" w:rsidR="00BA4141" w:rsidRPr="00505A37" w:rsidRDefault="00BA4141" w:rsidP="00505A37">
            <w:pPr>
              <w:pStyle w:val="NoSpacing"/>
              <w:jc w:val="center"/>
              <w:rPr>
                <w:rFonts w:ascii="Times New Roman" w:hAnsi="Times New Roman" w:cs="Times New Roman"/>
                <w:sz w:val="22"/>
                <w:szCs w:val="22"/>
                <w:lang w:eastAsia="en-IN"/>
              </w:rPr>
            </w:pPr>
            <w:r w:rsidRPr="00505A37">
              <w:rPr>
                <w:rFonts w:ascii="Times New Roman" w:hAnsi="Times New Roman" w:cs="Times New Roman"/>
                <w:sz w:val="22"/>
                <w:szCs w:val="22"/>
                <w:lang w:eastAsia="en-IN"/>
              </w:rPr>
              <w:t>..</w:t>
            </w:r>
          </w:p>
        </w:tc>
        <w:tc>
          <w:tcPr>
            <w:tcW w:w="547" w:type="dxa"/>
            <w:noWrap/>
            <w:vAlign w:val="center"/>
            <w:hideMark/>
          </w:tcPr>
          <w:p w14:paraId="0A25BD2C" w14:textId="77777777" w:rsidR="00BA4141" w:rsidRPr="00505A37" w:rsidRDefault="00BA4141" w:rsidP="00505A37">
            <w:pPr>
              <w:pStyle w:val="NoSpacing"/>
              <w:jc w:val="center"/>
              <w:rPr>
                <w:rFonts w:ascii="Times New Roman" w:hAnsi="Times New Roman" w:cs="Times New Roman"/>
                <w:sz w:val="22"/>
                <w:szCs w:val="22"/>
                <w:lang w:eastAsia="en-IN"/>
              </w:rPr>
            </w:pPr>
            <w:r w:rsidRPr="00505A37">
              <w:rPr>
                <w:rFonts w:ascii="Times New Roman" w:hAnsi="Times New Roman" w:cs="Times New Roman"/>
                <w:sz w:val="22"/>
                <w:szCs w:val="22"/>
                <w:lang w:eastAsia="en-IN"/>
              </w:rPr>
              <w:t>..</w:t>
            </w:r>
          </w:p>
        </w:tc>
      </w:tr>
      <w:tr w:rsidR="00BA4141" w:rsidRPr="00505A37" w14:paraId="283860EA" w14:textId="77777777" w:rsidTr="00505A37">
        <w:trPr>
          <w:trHeight w:val="20"/>
        </w:trPr>
        <w:tc>
          <w:tcPr>
            <w:tcW w:w="833" w:type="dxa"/>
            <w:noWrap/>
            <w:hideMark/>
          </w:tcPr>
          <w:p w14:paraId="26393B5C" w14:textId="77777777" w:rsidR="00BA4141" w:rsidRPr="00505A37" w:rsidRDefault="00BA4141" w:rsidP="00B77C0B">
            <w:pPr>
              <w:pStyle w:val="NoSpacing"/>
              <w:rPr>
                <w:rFonts w:ascii="Times New Roman" w:hAnsi="Times New Roman" w:cs="Times New Roman"/>
                <w:sz w:val="22"/>
                <w:szCs w:val="22"/>
                <w:lang w:eastAsia="en-IN"/>
              </w:rPr>
            </w:pPr>
            <w:r w:rsidRPr="00505A37">
              <w:rPr>
                <w:rFonts w:ascii="Times New Roman" w:hAnsi="Times New Roman" w:cs="Times New Roman"/>
                <w:sz w:val="22"/>
                <w:szCs w:val="22"/>
                <w:lang w:eastAsia="en-IN"/>
              </w:rPr>
              <w:t>Assam</w:t>
            </w:r>
          </w:p>
        </w:tc>
        <w:tc>
          <w:tcPr>
            <w:tcW w:w="625" w:type="dxa"/>
            <w:noWrap/>
            <w:vAlign w:val="center"/>
            <w:hideMark/>
          </w:tcPr>
          <w:p w14:paraId="7CA6F9C2" w14:textId="77777777" w:rsidR="00BA4141" w:rsidRPr="00505A37" w:rsidRDefault="00BA4141" w:rsidP="00505A37">
            <w:pPr>
              <w:pStyle w:val="NoSpacing"/>
              <w:jc w:val="center"/>
              <w:rPr>
                <w:rFonts w:ascii="Times New Roman" w:hAnsi="Times New Roman" w:cs="Times New Roman"/>
                <w:sz w:val="22"/>
                <w:szCs w:val="22"/>
                <w:lang w:eastAsia="en-IN"/>
              </w:rPr>
            </w:pPr>
            <w:r w:rsidRPr="00505A37">
              <w:rPr>
                <w:rFonts w:ascii="Times New Roman" w:hAnsi="Times New Roman" w:cs="Times New Roman"/>
                <w:sz w:val="22"/>
                <w:szCs w:val="22"/>
                <w:lang w:eastAsia="en-IN"/>
              </w:rPr>
              <w:t>2.03</w:t>
            </w:r>
          </w:p>
        </w:tc>
        <w:tc>
          <w:tcPr>
            <w:tcW w:w="682" w:type="dxa"/>
            <w:noWrap/>
            <w:vAlign w:val="center"/>
            <w:hideMark/>
          </w:tcPr>
          <w:p w14:paraId="0D87B6E3" w14:textId="77777777" w:rsidR="00BA4141" w:rsidRPr="00505A37" w:rsidRDefault="00BA4141" w:rsidP="00505A37">
            <w:pPr>
              <w:pStyle w:val="NoSpacing"/>
              <w:jc w:val="center"/>
              <w:rPr>
                <w:rFonts w:ascii="Times New Roman" w:hAnsi="Times New Roman" w:cs="Times New Roman"/>
                <w:sz w:val="22"/>
                <w:szCs w:val="22"/>
                <w:lang w:eastAsia="en-IN"/>
              </w:rPr>
            </w:pPr>
            <w:r w:rsidRPr="00505A37">
              <w:rPr>
                <w:rFonts w:ascii="Times New Roman" w:hAnsi="Times New Roman" w:cs="Times New Roman"/>
                <w:sz w:val="22"/>
                <w:szCs w:val="22"/>
                <w:lang w:eastAsia="en-IN"/>
              </w:rPr>
              <w:t>1.97</w:t>
            </w:r>
          </w:p>
          <w:p w14:paraId="2CC8704E" w14:textId="35FEDD97" w:rsidR="00BA4141" w:rsidRPr="00505A37" w:rsidRDefault="00BA4141" w:rsidP="00505A37">
            <w:pPr>
              <w:pStyle w:val="NoSpacing"/>
              <w:jc w:val="center"/>
              <w:rPr>
                <w:rFonts w:ascii="Times New Roman" w:hAnsi="Times New Roman" w:cs="Times New Roman"/>
                <w:sz w:val="22"/>
                <w:szCs w:val="22"/>
                <w:lang w:eastAsia="en-IN"/>
              </w:rPr>
            </w:pPr>
            <w:r w:rsidRPr="00505A37">
              <w:rPr>
                <w:rFonts w:ascii="Times New Roman" w:hAnsi="Times New Roman" w:cs="Times New Roman"/>
                <w:sz w:val="22"/>
                <w:szCs w:val="22"/>
                <w:lang w:eastAsia="en-IN"/>
              </w:rPr>
              <w:t>(a)</w:t>
            </w:r>
          </w:p>
        </w:tc>
        <w:tc>
          <w:tcPr>
            <w:tcW w:w="625" w:type="dxa"/>
            <w:noWrap/>
            <w:vAlign w:val="center"/>
            <w:hideMark/>
          </w:tcPr>
          <w:p w14:paraId="2089184F" w14:textId="77777777" w:rsidR="00BA4141" w:rsidRPr="00505A37" w:rsidRDefault="00BA4141" w:rsidP="00505A37">
            <w:pPr>
              <w:pStyle w:val="NoSpacing"/>
              <w:jc w:val="center"/>
              <w:rPr>
                <w:rFonts w:ascii="Times New Roman" w:hAnsi="Times New Roman" w:cs="Times New Roman"/>
                <w:sz w:val="22"/>
                <w:szCs w:val="22"/>
                <w:lang w:eastAsia="en-IN"/>
              </w:rPr>
            </w:pPr>
            <w:r w:rsidRPr="00505A37">
              <w:rPr>
                <w:rFonts w:ascii="Times New Roman" w:hAnsi="Times New Roman" w:cs="Times New Roman"/>
                <w:sz w:val="22"/>
                <w:szCs w:val="22"/>
                <w:lang w:eastAsia="en-IN"/>
              </w:rPr>
              <w:t>..</w:t>
            </w:r>
          </w:p>
        </w:tc>
        <w:tc>
          <w:tcPr>
            <w:tcW w:w="892" w:type="dxa"/>
            <w:noWrap/>
            <w:vAlign w:val="center"/>
            <w:hideMark/>
          </w:tcPr>
          <w:p w14:paraId="46765C7A" w14:textId="77777777" w:rsidR="00BA4141" w:rsidRPr="00505A37" w:rsidRDefault="00BA4141" w:rsidP="00505A37">
            <w:pPr>
              <w:pStyle w:val="NoSpacing"/>
              <w:jc w:val="center"/>
              <w:rPr>
                <w:rFonts w:ascii="Times New Roman" w:hAnsi="Times New Roman" w:cs="Times New Roman"/>
                <w:sz w:val="22"/>
                <w:szCs w:val="22"/>
                <w:lang w:eastAsia="en-IN"/>
              </w:rPr>
            </w:pPr>
            <w:r w:rsidRPr="00505A37">
              <w:rPr>
                <w:rFonts w:ascii="Times New Roman" w:hAnsi="Times New Roman" w:cs="Times New Roman"/>
                <w:sz w:val="22"/>
                <w:szCs w:val="22"/>
                <w:lang w:eastAsia="en-IN"/>
              </w:rPr>
              <w:t>..</w:t>
            </w:r>
          </w:p>
        </w:tc>
        <w:tc>
          <w:tcPr>
            <w:tcW w:w="625" w:type="dxa"/>
            <w:noWrap/>
            <w:vAlign w:val="center"/>
            <w:hideMark/>
          </w:tcPr>
          <w:p w14:paraId="45C67CA0" w14:textId="6862344C" w:rsidR="00BA4141" w:rsidRPr="00505A37" w:rsidRDefault="000C3AB2" w:rsidP="00505A37">
            <w:pPr>
              <w:pStyle w:val="NoSpacing"/>
              <w:jc w:val="center"/>
              <w:rPr>
                <w:rFonts w:ascii="Times New Roman" w:hAnsi="Times New Roman" w:cs="Times New Roman"/>
                <w:sz w:val="22"/>
                <w:szCs w:val="22"/>
                <w:lang w:eastAsia="en-IN"/>
              </w:rPr>
            </w:pPr>
            <w:r w:rsidRPr="00505A37">
              <w:rPr>
                <w:rFonts w:ascii="Times New Roman" w:hAnsi="Times New Roman" w:cs="Times New Roman"/>
                <w:sz w:val="22"/>
                <w:szCs w:val="22"/>
                <w:lang w:eastAsia="en-IN"/>
              </w:rPr>
              <w:t>+</w:t>
            </w:r>
            <w:r w:rsidR="00BA4141" w:rsidRPr="00505A37">
              <w:rPr>
                <w:rFonts w:ascii="Times New Roman" w:hAnsi="Times New Roman" w:cs="Times New Roman"/>
                <w:sz w:val="22"/>
                <w:szCs w:val="22"/>
                <w:lang w:eastAsia="en-IN"/>
              </w:rPr>
              <w:t>0.06</w:t>
            </w:r>
          </w:p>
        </w:tc>
        <w:tc>
          <w:tcPr>
            <w:tcW w:w="625" w:type="dxa"/>
            <w:noWrap/>
            <w:vAlign w:val="center"/>
            <w:hideMark/>
          </w:tcPr>
          <w:p w14:paraId="6AA7EAD4" w14:textId="77777777" w:rsidR="00BA4141" w:rsidRPr="00505A37" w:rsidRDefault="00BA4141" w:rsidP="00505A37">
            <w:pPr>
              <w:pStyle w:val="NoSpacing"/>
              <w:jc w:val="center"/>
              <w:rPr>
                <w:rFonts w:ascii="Times New Roman" w:hAnsi="Times New Roman" w:cs="Times New Roman"/>
                <w:sz w:val="22"/>
                <w:szCs w:val="22"/>
                <w:lang w:eastAsia="en-IN"/>
              </w:rPr>
            </w:pPr>
            <w:r w:rsidRPr="00505A37">
              <w:rPr>
                <w:rFonts w:ascii="Times New Roman" w:hAnsi="Times New Roman" w:cs="Times New Roman"/>
                <w:sz w:val="22"/>
                <w:szCs w:val="22"/>
                <w:lang w:eastAsia="en-IN"/>
              </w:rPr>
              <w:t>2.26</w:t>
            </w:r>
          </w:p>
        </w:tc>
        <w:tc>
          <w:tcPr>
            <w:tcW w:w="682" w:type="dxa"/>
            <w:noWrap/>
            <w:vAlign w:val="center"/>
            <w:hideMark/>
          </w:tcPr>
          <w:p w14:paraId="46E8A5A6" w14:textId="4B41D815" w:rsidR="00BA4141" w:rsidRPr="00505A37" w:rsidRDefault="00BA4141" w:rsidP="00505A37">
            <w:pPr>
              <w:pStyle w:val="NoSpacing"/>
              <w:jc w:val="center"/>
              <w:rPr>
                <w:rFonts w:ascii="Times New Roman" w:hAnsi="Times New Roman" w:cs="Times New Roman"/>
                <w:sz w:val="22"/>
                <w:szCs w:val="22"/>
                <w:lang w:eastAsia="en-IN"/>
              </w:rPr>
            </w:pPr>
            <w:r w:rsidRPr="00505A37">
              <w:rPr>
                <w:rFonts w:ascii="Times New Roman" w:hAnsi="Times New Roman" w:cs="Times New Roman"/>
                <w:sz w:val="22"/>
                <w:szCs w:val="22"/>
                <w:lang w:eastAsia="en-IN"/>
              </w:rPr>
              <w:t>2.11</w:t>
            </w:r>
            <w:r w:rsidR="00505A37">
              <w:rPr>
                <w:rFonts w:ascii="Times New Roman" w:hAnsi="Times New Roman" w:cs="Times New Roman"/>
                <w:sz w:val="22"/>
                <w:szCs w:val="22"/>
                <w:lang w:eastAsia="en-IN"/>
              </w:rPr>
              <w:t xml:space="preserve"> </w:t>
            </w:r>
            <w:r w:rsidRPr="00505A37">
              <w:rPr>
                <w:rFonts w:ascii="Times New Roman" w:hAnsi="Times New Roman" w:cs="Times New Roman"/>
                <w:sz w:val="22"/>
                <w:szCs w:val="22"/>
                <w:lang w:eastAsia="en-IN"/>
              </w:rPr>
              <w:t>(a)</w:t>
            </w:r>
          </w:p>
        </w:tc>
        <w:tc>
          <w:tcPr>
            <w:tcW w:w="675" w:type="dxa"/>
            <w:noWrap/>
            <w:vAlign w:val="center"/>
            <w:hideMark/>
          </w:tcPr>
          <w:p w14:paraId="6627BAF4" w14:textId="77777777" w:rsidR="00BA4141" w:rsidRPr="00505A37" w:rsidRDefault="00BA4141" w:rsidP="00505A37">
            <w:pPr>
              <w:pStyle w:val="NoSpacing"/>
              <w:jc w:val="center"/>
              <w:rPr>
                <w:rFonts w:ascii="Times New Roman" w:hAnsi="Times New Roman" w:cs="Times New Roman"/>
                <w:sz w:val="22"/>
                <w:szCs w:val="22"/>
                <w:lang w:eastAsia="en-IN"/>
              </w:rPr>
            </w:pPr>
            <w:r w:rsidRPr="00505A37">
              <w:rPr>
                <w:rFonts w:ascii="Times New Roman" w:hAnsi="Times New Roman" w:cs="Times New Roman"/>
                <w:sz w:val="22"/>
                <w:szCs w:val="22"/>
                <w:lang w:eastAsia="en-IN"/>
              </w:rPr>
              <w:t>..</w:t>
            </w:r>
          </w:p>
        </w:tc>
        <w:tc>
          <w:tcPr>
            <w:tcW w:w="892" w:type="dxa"/>
            <w:noWrap/>
            <w:vAlign w:val="center"/>
            <w:hideMark/>
          </w:tcPr>
          <w:p w14:paraId="1D3C00D4" w14:textId="77777777" w:rsidR="00BA4141" w:rsidRPr="00505A37" w:rsidRDefault="00BA4141" w:rsidP="00505A37">
            <w:pPr>
              <w:pStyle w:val="NoSpacing"/>
              <w:jc w:val="center"/>
              <w:rPr>
                <w:rFonts w:ascii="Times New Roman" w:hAnsi="Times New Roman" w:cs="Times New Roman"/>
                <w:sz w:val="22"/>
                <w:szCs w:val="22"/>
                <w:lang w:eastAsia="en-IN"/>
              </w:rPr>
            </w:pPr>
            <w:r w:rsidRPr="00505A37">
              <w:rPr>
                <w:rFonts w:ascii="Times New Roman" w:hAnsi="Times New Roman" w:cs="Times New Roman"/>
                <w:sz w:val="22"/>
                <w:szCs w:val="22"/>
                <w:lang w:eastAsia="en-IN"/>
              </w:rPr>
              <w:t>..</w:t>
            </w:r>
          </w:p>
        </w:tc>
        <w:tc>
          <w:tcPr>
            <w:tcW w:w="625" w:type="dxa"/>
            <w:noWrap/>
            <w:vAlign w:val="center"/>
            <w:hideMark/>
          </w:tcPr>
          <w:p w14:paraId="21F884DB" w14:textId="77777777" w:rsidR="00BA4141" w:rsidRPr="00505A37" w:rsidRDefault="00BA4141" w:rsidP="00505A37">
            <w:pPr>
              <w:pStyle w:val="NoSpacing"/>
              <w:jc w:val="center"/>
              <w:rPr>
                <w:rFonts w:ascii="Times New Roman" w:hAnsi="Times New Roman" w:cs="Times New Roman"/>
                <w:sz w:val="22"/>
                <w:szCs w:val="22"/>
                <w:lang w:eastAsia="en-IN"/>
              </w:rPr>
            </w:pPr>
            <w:r w:rsidRPr="00505A37">
              <w:rPr>
                <w:rFonts w:ascii="Times New Roman" w:hAnsi="Times New Roman" w:cs="Times New Roman"/>
                <w:sz w:val="22"/>
                <w:szCs w:val="22"/>
                <w:lang w:eastAsia="en-IN"/>
              </w:rPr>
              <w:t>0.15</w:t>
            </w:r>
          </w:p>
        </w:tc>
        <w:tc>
          <w:tcPr>
            <w:tcW w:w="625" w:type="dxa"/>
            <w:noWrap/>
            <w:vAlign w:val="center"/>
            <w:hideMark/>
          </w:tcPr>
          <w:p w14:paraId="560D961B" w14:textId="77777777" w:rsidR="00BA4141" w:rsidRPr="00505A37" w:rsidRDefault="00BA4141" w:rsidP="00505A37">
            <w:pPr>
              <w:pStyle w:val="NoSpacing"/>
              <w:jc w:val="center"/>
              <w:rPr>
                <w:rFonts w:ascii="Times New Roman" w:hAnsi="Times New Roman" w:cs="Times New Roman"/>
                <w:sz w:val="22"/>
                <w:szCs w:val="22"/>
                <w:lang w:eastAsia="en-IN"/>
              </w:rPr>
            </w:pPr>
            <w:r w:rsidRPr="00505A37">
              <w:rPr>
                <w:rFonts w:ascii="Times New Roman" w:hAnsi="Times New Roman" w:cs="Times New Roman"/>
                <w:sz w:val="22"/>
                <w:szCs w:val="22"/>
                <w:lang w:eastAsia="en-IN"/>
              </w:rPr>
              <w:t>1.96</w:t>
            </w:r>
          </w:p>
        </w:tc>
        <w:tc>
          <w:tcPr>
            <w:tcW w:w="682" w:type="dxa"/>
            <w:noWrap/>
            <w:vAlign w:val="center"/>
            <w:hideMark/>
          </w:tcPr>
          <w:p w14:paraId="3E71FCDF" w14:textId="77777777" w:rsidR="00BA4141" w:rsidRPr="00505A37" w:rsidRDefault="00BA4141" w:rsidP="00505A37">
            <w:pPr>
              <w:pStyle w:val="NoSpacing"/>
              <w:jc w:val="center"/>
              <w:rPr>
                <w:rFonts w:ascii="Times New Roman" w:hAnsi="Times New Roman" w:cs="Times New Roman"/>
                <w:sz w:val="22"/>
                <w:szCs w:val="22"/>
                <w:lang w:eastAsia="en-IN"/>
              </w:rPr>
            </w:pPr>
            <w:r w:rsidRPr="00505A37">
              <w:rPr>
                <w:rFonts w:ascii="Times New Roman" w:hAnsi="Times New Roman" w:cs="Times New Roman"/>
                <w:sz w:val="22"/>
                <w:szCs w:val="22"/>
                <w:lang w:eastAsia="en-IN"/>
              </w:rPr>
              <w:t>2.19</w:t>
            </w:r>
          </w:p>
          <w:p w14:paraId="62446DC3" w14:textId="63C6031B" w:rsidR="00BA4141" w:rsidRPr="00505A37" w:rsidRDefault="00BA4141" w:rsidP="00505A37">
            <w:pPr>
              <w:pStyle w:val="NoSpacing"/>
              <w:jc w:val="center"/>
              <w:rPr>
                <w:rFonts w:ascii="Times New Roman" w:hAnsi="Times New Roman" w:cs="Times New Roman"/>
                <w:sz w:val="22"/>
                <w:szCs w:val="22"/>
                <w:lang w:eastAsia="en-IN"/>
              </w:rPr>
            </w:pPr>
            <w:r w:rsidRPr="00505A37">
              <w:rPr>
                <w:rFonts w:ascii="Times New Roman" w:hAnsi="Times New Roman" w:cs="Times New Roman"/>
                <w:sz w:val="22"/>
                <w:szCs w:val="22"/>
                <w:lang w:eastAsia="en-IN"/>
              </w:rPr>
              <w:t>(a)</w:t>
            </w:r>
          </w:p>
        </w:tc>
        <w:tc>
          <w:tcPr>
            <w:tcW w:w="625" w:type="dxa"/>
            <w:noWrap/>
            <w:vAlign w:val="center"/>
            <w:hideMark/>
          </w:tcPr>
          <w:p w14:paraId="7633B784" w14:textId="77777777" w:rsidR="00BA4141" w:rsidRPr="00505A37" w:rsidRDefault="00BA4141" w:rsidP="00505A37">
            <w:pPr>
              <w:pStyle w:val="NoSpacing"/>
              <w:jc w:val="center"/>
              <w:rPr>
                <w:rFonts w:ascii="Times New Roman" w:hAnsi="Times New Roman" w:cs="Times New Roman"/>
                <w:sz w:val="22"/>
                <w:szCs w:val="22"/>
                <w:lang w:eastAsia="en-IN"/>
              </w:rPr>
            </w:pPr>
            <w:r w:rsidRPr="00505A37">
              <w:rPr>
                <w:rFonts w:ascii="Times New Roman" w:hAnsi="Times New Roman" w:cs="Times New Roman"/>
                <w:sz w:val="22"/>
                <w:szCs w:val="22"/>
                <w:lang w:eastAsia="en-IN"/>
              </w:rPr>
              <w:t>..</w:t>
            </w:r>
          </w:p>
        </w:tc>
        <w:tc>
          <w:tcPr>
            <w:tcW w:w="892" w:type="dxa"/>
            <w:noWrap/>
            <w:vAlign w:val="center"/>
            <w:hideMark/>
          </w:tcPr>
          <w:p w14:paraId="39142F73" w14:textId="77777777" w:rsidR="00BA4141" w:rsidRPr="00505A37" w:rsidRDefault="00BA4141" w:rsidP="00505A37">
            <w:pPr>
              <w:pStyle w:val="NoSpacing"/>
              <w:jc w:val="center"/>
              <w:rPr>
                <w:rFonts w:ascii="Times New Roman" w:hAnsi="Times New Roman" w:cs="Times New Roman"/>
                <w:sz w:val="22"/>
                <w:szCs w:val="22"/>
                <w:lang w:eastAsia="en-IN"/>
              </w:rPr>
            </w:pPr>
            <w:r w:rsidRPr="00505A37">
              <w:rPr>
                <w:rFonts w:ascii="Times New Roman" w:hAnsi="Times New Roman" w:cs="Times New Roman"/>
                <w:sz w:val="22"/>
                <w:szCs w:val="22"/>
                <w:lang w:eastAsia="en-IN"/>
              </w:rPr>
              <w:t>..</w:t>
            </w:r>
          </w:p>
        </w:tc>
        <w:tc>
          <w:tcPr>
            <w:tcW w:w="625" w:type="dxa"/>
            <w:noWrap/>
            <w:vAlign w:val="center"/>
            <w:hideMark/>
          </w:tcPr>
          <w:p w14:paraId="566D2937" w14:textId="77777777" w:rsidR="00BA4141" w:rsidRPr="00505A37" w:rsidRDefault="00BA4141" w:rsidP="00505A37">
            <w:pPr>
              <w:pStyle w:val="NoSpacing"/>
              <w:jc w:val="center"/>
              <w:rPr>
                <w:rFonts w:ascii="Times New Roman" w:hAnsi="Times New Roman" w:cs="Times New Roman"/>
                <w:sz w:val="22"/>
                <w:szCs w:val="22"/>
                <w:lang w:eastAsia="en-IN"/>
              </w:rPr>
            </w:pPr>
            <w:r w:rsidRPr="00505A37">
              <w:rPr>
                <w:rFonts w:ascii="Times New Roman" w:hAnsi="Times New Roman" w:cs="Times New Roman"/>
                <w:sz w:val="22"/>
                <w:szCs w:val="22"/>
                <w:lang w:eastAsia="en-IN"/>
              </w:rPr>
              <w:t>-0.23(a)</w:t>
            </w:r>
          </w:p>
        </w:tc>
        <w:tc>
          <w:tcPr>
            <w:tcW w:w="625" w:type="dxa"/>
            <w:noWrap/>
            <w:vAlign w:val="center"/>
            <w:hideMark/>
          </w:tcPr>
          <w:p w14:paraId="34D30609" w14:textId="77777777" w:rsidR="00BA4141" w:rsidRPr="00505A37" w:rsidRDefault="00BA4141" w:rsidP="00505A37">
            <w:pPr>
              <w:pStyle w:val="NoSpacing"/>
              <w:jc w:val="center"/>
              <w:rPr>
                <w:rFonts w:ascii="Times New Roman" w:hAnsi="Times New Roman" w:cs="Times New Roman"/>
                <w:sz w:val="22"/>
                <w:szCs w:val="22"/>
                <w:lang w:eastAsia="en-IN"/>
              </w:rPr>
            </w:pPr>
            <w:r w:rsidRPr="00505A37">
              <w:rPr>
                <w:rFonts w:ascii="Times New Roman" w:hAnsi="Times New Roman" w:cs="Times New Roman"/>
                <w:sz w:val="22"/>
                <w:szCs w:val="22"/>
                <w:lang w:eastAsia="en-IN"/>
              </w:rPr>
              <w:t>2.43</w:t>
            </w:r>
          </w:p>
        </w:tc>
        <w:tc>
          <w:tcPr>
            <w:tcW w:w="682" w:type="dxa"/>
            <w:noWrap/>
            <w:vAlign w:val="center"/>
            <w:hideMark/>
          </w:tcPr>
          <w:p w14:paraId="1E9B660E" w14:textId="77777777" w:rsidR="00BA4141" w:rsidRPr="00505A37" w:rsidRDefault="00BA4141" w:rsidP="00505A37">
            <w:pPr>
              <w:pStyle w:val="NoSpacing"/>
              <w:jc w:val="center"/>
              <w:rPr>
                <w:rFonts w:ascii="Times New Roman" w:hAnsi="Times New Roman" w:cs="Times New Roman"/>
                <w:sz w:val="22"/>
                <w:szCs w:val="22"/>
                <w:lang w:eastAsia="en-IN"/>
              </w:rPr>
            </w:pPr>
            <w:r w:rsidRPr="00505A37">
              <w:rPr>
                <w:rFonts w:ascii="Times New Roman" w:hAnsi="Times New Roman" w:cs="Times New Roman"/>
                <w:sz w:val="22"/>
                <w:szCs w:val="22"/>
                <w:lang w:eastAsia="en-IN"/>
              </w:rPr>
              <w:t>2.46</w:t>
            </w:r>
          </w:p>
        </w:tc>
        <w:tc>
          <w:tcPr>
            <w:tcW w:w="625" w:type="dxa"/>
            <w:noWrap/>
            <w:vAlign w:val="center"/>
            <w:hideMark/>
          </w:tcPr>
          <w:p w14:paraId="4AA6F84F" w14:textId="77777777" w:rsidR="00BA4141" w:rsidRPr="00505A37" w:rsidRDefault="00BA4141" w:rsidP="00505A37">
            <w:pPr>
              <w:pStyle w:val="NoSpacing"/>
              <w:jc w:val="center"/>
              <w:rPr>
                <w:rFonts w:ascii="Times New Roman" w:hAnsi="Times New Roman" w:cs="Times New Roman"/>
                <w:sz w:val="22"/>
                <w:szCs w:val="22"/>
                <w:lang w:eastAsia="en-IN"/>
              </w:rPr>
            </w:pPr>
            <w:r w:rsidRPr="00505A37">
              <w:rPr>
                <w:rFonts w:ascii="Times New Roman" w:hAnsi="Times New Roman" w:cs="Times New Roman"/>
                <w:sz w:val="22"/>
                <w:szCs w:val="22"/>
                <w:lang w:eastAsia="en-IN"/>
              </w:rPr>
              <w:t>..</w:t>
            </w:r>
          </w:p>
        </w:tc>
        <w:tc>
          <w:tcPr>
            <w:tcW w:w="892" w:type="dxa"/>
            <w:noWrap/>
            <w:vAlign w:val="center"/>
            <w:hideMark/>
          </w:tcPr>
          <w:p w14:paraId="0290C4A5" w14:textId="77777777" w:rsidR="00BA4141" w:rsidRPr="00505A37" w:rsidRDefault="00BA4141" w:rsidP="00505A37">
            <w:pPr>
              <w:pStyle w:val="NoSpacing"/>
              <w:jc w:val="center"/>
              <w:rPr>
                <w:rFonts w:ascii="Times New Roman" w:hAnsi="Times New Roman" w:cs="Times New Roman"/>
                <w:sz w:val="22"/>
                <w:szCs w:val="22"/>
                <w:lang w:eastAsia="en-IN"/>
              </w:rPr>
            </w:pPr>
            <w:r w:rsidRPr="00505A37">
              <w:rPr>
                <w:rFonts w:ascii="Times New Roman" w:hAnsi="Times New Roman" w:cs="Times New Roman"/>
                <w:sz w:val="22"/>
                <w:szCs w:val="22"/>
                <w:lang w:eastAsia="en-IN"/>
              </w:rPr>
              <w:t>..</w:t>
            </w:r>
          </w:p>
        </w:tc>
        <w:tc>
          <w:tcPr>
            <w:tcW w:w="547" w:type="dxa"/>
            <w:noWrap/>
            <w:vAlign w:val="center"/>
            <w:hideMark/>
          </w:tcPr>
          <w:p w14:paraId="06D4AE89" w14:textId="77777777" w:rsidR="00BA4141" w:rsidRPr="00505A37" w:rsidRDefault="00BA4141" w:rsidP="00505A37">
            <w:pPr>
              <w:pStyle w:val="NoSpacing"/>
              <w:jc w:val="center"/>
              <w:rPr>
                <w:rFonts w:ascii="Times New Roman" w:hAnsi="Times New Roman" w:cs="Times New Roman"/>
                <w:sz w:val="22"/>
                <w:szCs w:val="22"/>
                <w:lang w:eastAsia="en-IN"/>
              </w:rPr>
            </w:pPr>
            <w:r w:rsidRPr="00505A37">
              <w:rPr>
                <w:rFonts w:ascii="Times New Roman" w:hAnsi="Times New Roman" w:cs="Times New Roman"/>
                <w:sz w:val="22"/>
                <w:szCs w:val="22"/>
                <w:lang w:eastAsia="en-IN"/>
              </w:rPr>
              <w:t>-0.03</w:t>
            </w:r>
          </w:p>
        </w:tc>
      </w:tr>
      <w:tr w:rsidR="00BA4141" w:rsidRPr="00505A37" w14:paraId="1250B4E8" w14:textId="77777777" w:rsidTr="00505A37">
        <w:trPr>
          <w:trHeight w:val="20"/>
        </w:trPr>
        <w:tc>
          <w:tcPr>
            <w:tcW w:w="833" w:type="dxa"/>
            <w:noWrap/>
            <w:hideMark/>
          </w:tcPr>
          <w:p w14:paraId="15EAC2C0" w14:textId="77777777" w:rsidR="00BA4141" w:rsidRPr="00505A37" w:rsidRDefault="00BA4141" w:rsidP="00B77C0B">
            <w:pPr>
              <w:pStyle w:val="NoSpacing"/>
              <w:rPr>
                <w:rFonts w:ascii="Times New Roman" w:hAnsi="Times New Roman" w:cs="Times New Roman"/>
                <w:sz w:val="22"/>
                <w:szCs w:val="22"/>
                <w:lang w:eastAsia="en-IN"/>
              </w:rPr>
            </w:pPr>
            <w:r w:rsidRPr="00505A37">
              <w:rPr>
                <w:rFonts w:ascii="Times New Roman" w:hAnsi="Times New Roman" w:cs="Times New Roman"/>
                <w:sz w:val="22"/>
                <w:szCs w:val="22"/>
                <w:lang w:eastAsia="en-IN"/>
              </w:rPr>
              <w:t>Bihar</w:t>
            </w:r>
          </w:p>
        </w:tc>
        <w:tc>
          <w:tcPr>
            <w:tcW w:w="625" w:type="dxa"/>
            <w:noWrap/>
            <w:vAlign w:val="center"/>
            <w:hideMark/>
          </w:tcPr>
          <w:p w14:paraId="6A3DEA7F" w14:textId="77777777" w:rsidR="00BA4141" w:rsidRPr="00505A37" w:rsidRDefault="00BA4141" w:rsidP="00505A37">
            <w:pPr>
              <w:pStyle w:val="NoSpacing"/>
              <w:jc w:val="center"/>
              <w:rPr>
                <w:rFonts w:ascii="Times New Roman" w:hAnsi="Times New Roman" w:cs="Times New Roman"/>
                <w:sz w:val="22"/>
                <w:szCs w:val="22"/>
                <w:lang w:eastAsia="en-IN"/>
              </w:rPr>
            </w:pPr>
            <w:r w:rsidRPr="00505A37">
              <w:rPr>
                <w:rFonts w:ascii="Times New Roman" w:hAnsi="Times New Roman" w:cs="Times New Roman"/>
                <w:sz w:val="22"/>
                <w:szCs w:val="22"/>
                <w:lang w:eastAsia="en-IN"/>
              </w:rPr>
              <w:t>..</w:t>
            </w:r>
          </w:p>
        </w:tc>
        <w:tc>
          <w:tcPr>
            <w:tcW w:w="682" w:type="dxa"/>
            <w:noWrap/>
            <w:vAlign w:val="center"/>
            <w:hideMark/>
          </w:tcPr>
          <w:p w14:paraId="6459E8CF" w14:textId="77777777" w:rsidR="00BA4141" w:rsidRPr="00505A37" w:rsidRDefault="00BA4141" w:rsidP="00505A37">
            <w:pPr>
              <w:pStyle w:val="NoSpacing"/>
              <w:jc w:val="center"/>
              <w:rPr>
                <w:rFonts w:ascii="Times New Roman" w:hAnsi="Times New Roman" w:cs="Times New Roman"/>
                <w:sz w:val="22"/>
                <w:szCs w:val="22"/>
                <w:lang w:eastAsia="en-IN"/>
              </w:rPr>
            </w:pPr>
            <w:r w:rsidRPr="00505A37">
              <w:rPr>
                <w:rFonts w:ascii="Times New Roman" w:hAnsi="Times New Roman" w:cs="Times New Roman"/>
                <w:sz w:val="22"/>
                <w:szCs w:val="22"/>
                <w:lang w:eastAsia="en-IN"/>
              </w:rPr>
              <w:t>..</w:t>
            </w:r>
          </w:p>
        </w:tc>
        <w:tc>
          <w:tcPr>
            <w:tcW w:w="625" w:type="dxa"/>
            <w:noWrap/>
            <w:vAlign w:val="center"/>
            <w:hideMark/>
          </w:tcPr>
          <w:p w14:paraId="6845271C" w14:textId="77777777" w:rsidR="00BA4141" w:rsidRPr="00505A37" w:rsidRDefault="00BA4141" w:rsidP="00505A37">
            <w:pPr>
              <w:pStyle w:val="NoSpacing"/>
              <w:jc w:val="center"/>
              <w:rPr>
                <w:rFonts w:ascii="Times New Roman" w:hAnsi="Times New Roman" w:cs="Times New Roman"/>
                <w:sz w:val="22"/>
                <w:szCs w:val="22"/>
                <w:lang w:eastAsia="en-IN"/>
              </w:rPr>
            </w:pPr>
            <w:r w:rsidRPr="00505A37">
              <w:rPr>
                <w:rFonts w:ascii="Times New Roman" w:hAnsi="Times New Roman" w:cs="Times New Roman"/>
                <w:sz w:val="22"/>
                <w:szCs w:val="22"/>
                <w:lang w:eastAsia="en-IN"/>
              </w:rPr>
              <w:t>..</w:t>
            </w:r>
          </w:p>
        </w:tc>
        <w:tc>
          <w:tcPr>
            <w:tcW w:w="892" w:type="dxa"/>
            <w:noWrap/>
            <w:vAlign w:val="center"/>
            <w:hideMark/>
          </w:tcPr>
          <w:p w14:paraId="3FFA5C2D" w14:textId="77777777" w:rsidR="00BA4141" w:rsidRPr="00505A37" w:rsidRDefault="00BA4141" w:rsidP="00505A37">
            <w:pPr>
              <w:pStyle w:val="NoSpacing"/>
              <w:jc w:val="center"/>
              <w:rPr>
                <w:rFonts w:ascii="Times New Roman" w:hAnsi="Times New Roman" w:cs="Times New Roman"/>
                <w:sz w:val="22"/>
                <w:szCs w:val="22"/>
                <w:lang w:eastAsia="en-IN"/>
              </w:rPr>
            </w:pPr>
            <w:r w:rsidRPr="00505A37">
              <w:rPr>
                <w:rFonts w:ascii="Times New Roman" w:hAnsi="Times New Roman" w:cs="Times New Roman"/>
                <w:sz w:val="22"/>
                <w:szCs w:val="22"/>
                <w:lang w:eastAsia="en-IN"/>
              </w:rPr>
              <w:t>..</w:t>
            </w:r>
          </w:p>
        </w:tc>
        <w:tc>
          <w:tcPr>
            <w:tcW w:w="625" w:type="dxa"/>
            <w:noWrap/>
            <w:vAlign w:val="center"/>
            <w:hideMark/>
          </w:tcPr>
          <w:p w14:paraId="02AEFF9F" w14:textId="77777777" w:rsidR="00BA4141" w:rsidRPr="00505A37" w:rsidRDefault="00BA4141" w:rsidP="00505A37">
            <w:pPr>
              <w:pStyle w:val="NoSpacing"/>
              <w:jc w:val="center"/>
              <w:rPr>
                <w:rFonts w:ascii="Times New Roman" w:hAnsi="Times New Roman" w:cs="Times New Roman"/>
                <w:sz w:val="22"/>
                <w:szCs w:val="22"/>
                <w:lang w:eastAsia="en-IN"/>
              </w:rPr>
            </w:pPr>
            <w:r w:rsidRPr="00505A37">
              <w:rPr>
                <w:rFonts w:ascii="Times New Roman" w:hAnsi="Times New Roman" w:cs="Times New Roman"/>
                <w:sz w:val="22"/>
                <w:szCs w:val="22"/>
                <w:lang w:eastAsia="en-IN"/>
              </w:rPr>
              <w:t>..</w:t>
            </w:r>
          </w:p>
        </w:tc>
        <w:tc>
          <w:tcPr>
            <w:tcW w:w="625" w:type="dxa"/>
            <w:noWrap/>
            <w:vAlign w:val="center"/>
            <w:hideMark/>
          </w:tcPr>
          <w:p w14:paraId="0E911F00" w14:textId="77777777" w:rsidR="00BA4141" w:rsidRPr="00505A37" w:rsidRDefault="00BA4141" w:rsidP="00505A37">
            <w:pPr>
              <w:pStyle w:val="NoSpacing"/>
              <w:jc w:val="center"/>
              <w:rPr>
                <w:rFonts w:ascii="Times New Roman" w:hAnsi="Times New Roman" w:cs="Times New Roman"/>
                <w:sz w:val="22"/>
                <w:szCs w:val="22"/>
                <w:lang w:eastAsia="en-IN"/>
              </w:rPr>
            </w:pPr>
            <w:r w:rsidRPr="00505A37">
              <w:rPr>
                <w:rFonts w:ascii="Times New Roman" w:hAnsi="Times New Roman" w:cs="Times New Roman"/>
                <w:sz w:val="22"/>
                <w:szCs w:val="22"/>
                <w:lang w:eastAsia="en-IN"/>
              </w:rPr>
              <w:t>..</w:t>
            </w:r>
          </w:p>
        </w:tc>
        <w:tc>
          <w:tcPr>
            <w:tcW w:w="682" w:type="dxa"/>
            <w:noWrap/>
            <w:vAlign w:val="center"/>
            <w:hideMark/>
          </w:tcPr>
          <w:p w14:paraId="705F0B3B" w14:textId="77777777" w:rsidR="00BA4141" w:rsidRPr="00505A37" w:rsidRDefault="00BA4141" w:rsidP="00505A37">
            <w:pPr>
              <w:pStyle w:val="NoSpacing"/>
              <w:jc w:val="center"/>
              <w:rPr>
                <w:rFonts w:ascii="Times New Roman" w:hAnsi="Times New Roman" w:cs="Times New Roman"/>
                <w:sz w:val="22"/>
                <w:szCs w:val="22"/>
                <w:lang w:eastAsia="en-IN"/>
              </w:rPr>
            </w:pPr>
            <w:r w:rsidRPr="00505A37">
              <w:rPr>
                <w:rFonts w:ascii="Times New Roman" w:hAnsi="Times New Roman" w:cs="Times New Roman"/>
                <w:sz w:val="22"/>
                <w:szCs w:val="22"/>
                <w:lang w:eastAsia="en-IN"/>
              </w:rPr>
              <w:t>..</w:t>
            </w:r>
          </w:p>
        </w:tc>
        <w:tc>
          <w:tcPr>
            <w:tcW w:w="675" w:type="dxa"/>
            <w:noWrap/>
            <w:vAlign w:val="center"/>
            <w:hideMark/>
          </w:tcPr>
          <w:p w14:paraId="093ECB2D" w14:textId="77777777" w:rsidR="00BA4141" w:rsidRPr="00505A37" w:rsidRDefault="00BA4141" w:rsidP="00505A37">
            <w:pPr>
              <w:pStyle w:val="NoSpacing"/>
              <w:jc w:val="center"/>
              <w:rPr>
                <w:rFonts w:ascii="Times New Roman" w:hAnsi="Times New Roman" w:cs="Times New Roman"/>
                <w:sz w:val="22"/>
                <w:szCs w:val="22"/>
                <w:lang w:eastAsia="en-IN"/>
              </w:rPr>
            </w:pPr>
            <w:r w:rsidRPr="00505A37">
              <w:rPr>
                <w:rFonts w:ascii="Times New Roman" w:hAnsi="Times New Roman" w:cs="Times New Roman"/>
                <w:sz w:val="22"/>
                <w:szCs w:val="22"/>
                <w:lang w:eastAsia="en-IN"/>
              </w:rPr>
              <w:t>..</w:t>
            </w:r>
          </w:p>
        </w:tc>
        <w:tc>
          <w:tcPr>
            <w:tcW w:w="892" w:type="dxa"/>
            <w:noWrap/>
            <w:vAlign w:val="center"/>
            <w:hideMark/>
          </w:tcPr>
          <w:p w14:paraId="490530D3" w14:textId="77777777" w:rsidR="00BA4141" w:rsidRPr="00505A37" w:rsidRDefault="00BA4141" w:rsidP="00505A37">
            <w:pPr>
              <w:pStyle w:val="NoSpacing"/>
              <w:jc w:val="center"/>
              <w:rPr>
                <w:rFonts w:ascii="Times New Roman" w:hAnsi="Times New Roman" w:cs="Times New Roman"/>
                <w:sz w:val="22"/>
                <w:szCs w:val="22"/>
                <w:lang w:eastAsia="en-IN"/>
              </w:rPr>
            </w:pPr>
            <w:r w:rsidRPr="00505A37">
              <w:rPr>
                <w:rFonts w:ascii="Times New Roman" w:hAnsi="Times New Roman" w:cs="Times New Roman"/>
                <w:sz w:val="22"/>
                <w:szCs w:val="22"/>
                <w:lang w:eastAsia="en-IN"/>
              </w:rPr>
              <w:t>..</w:t>
            </w:r>
          </w:p>
        </w:tc>
        <w:tc>
          <w:tcPr>
            <w:tcW w:w="625" w:type="dxa"/>
            <w:noWrap/>
            <w:vAlign w:val="center"/>
            <w:hideMark/>
          </w:tcPr>
          <w:p w14:paraId="672EE052" w14:textId="77777777" w:rsidR="00BA4141" w:rsidRPr="00505A37" w:rsidRDefault="00BA4141" w:rsidP="00505A37">
            <w:pPr>
              <w:pStyle w:val="NoSpacing"/>
              <w:jc w:val="center"/>
              <w:rPr>
                <w:rFonts w:ascii="Times New Roman" w:hAnsi="Times New Roman" w:cs="Times New Roman"/>
                <w:sz w:val="22"/>
                <w:szCs w:val="22"/>
                <w:lang w:eastAsia="en-IN"/>
              </w:rPr>
            </w:pPr>
            <w:r w:rsidRPr="00505A37">
              <w:rPr>
                <w:rFonts w:ascii="Times New Roman" w:hAnsi="Times New Roman" w:cs="Times New Roman"/>
                <w:sz w:val="22"/>
                <w:szCs w:val="22"/>
                <w:lang w:eastAsia="en-IN"/>
              </w:rPr>
              <w:t>..</w:t>
            </w:r>
          </w:p>
        </w:tc>
        <w:tc>
          <w:tcPr>
            <w:tcW w:w="625" w:type="dxa"/>
            <w:noWrap/>
            <w:vAlign w:val="center"/>
            <w:hideMark/>
          </w:tcPr>
          <w:p w14:paraId="0C60A98C" w14:textId="77777777" w:rsidR="00BA4141" w:rsidRPr="00505A37" w:rsidRDefault="00BA4141" w:rsidP="00505A37">
            <w:pPr>
              <w:pStyle w:val="NoSpacing"/>
              <w:jc w:val="center"/>
              <w:rPr>
                <w:rFonts w:ascii="Times New Roman" w:hAnsi="Times New Roman" w:cs="Times New Roman"/>
                <w:sz w:val="22"/>
                <w:szCs w:val="22"/>
                <w:lang w:eastAsia="en-IN"/>
              </w:rPr>
            </w:pPr>
            <w:r w:rsidRPr="00505A37">
              <w:rPr>
                <w:rFonts w:ascii="Times New Roman" w:hAnsi="Times New Roman" w:cs="Times New Roman"/>
                <w:sz w:val="22"/>
                <w:szCs w:val="22"/>
                <w:lang w:eastAsia="en-IN"/>
              </w:rPr>
              <w:t>..</w:t>
            </w:r>
          </w:p>
        </w:tc>
        <w:tc>
          <w:tcPr>
            <w:tcW w:w="682" w:type="dxa"/>
            <w:noWrap/>
            <w:vAlign w:val="center"/>
            <w:hideMark/>
          </w:tcPr>
          <w:p w14:paraId="735507B8" w14:textId="77777777" w:rsidR="00BA4141" w:rsidRPr="00505A37" w:rsidRDefault="00BA4141" w:rsidP="00505A37">
            <w:pPr>
              <w:pStyle w:val="NoSpacing"/>
              <w:jc w:val="center"/>
              <w:rPr>
                <w:rFonts w:ascii="Times New Roman" w:hAnsi="Times New Roman" w:cs="Times New Roman"/>
                <w:sz w:val="22"/>
                <w:szCs w:val="22"/>
                <w:lang w:eastAsia="en-IN"/>
              </w:rPr>
            </w:pPr>
            <w:r w:rsidRPr="00505A37">
              <w:rPr>
                <w:rFonts w:ascii="Times New Roman" w:hAnsi="Times New Roman" w:cs="Times New Roman"/>
                <w:sz w:val="22"/>
                <w:szCs w:val="22"/>
                <w:lang w:eastAsia="en-IN"/>
              </w:rPr>
              <w:t>..</w:t>
            </w:r>
          </w:p>
        </w:tc>
        <w:tc>
          <w:tcPr>
            <w:tcW w:w="625" w:type="dxa"/>
            <w:noWrap/>
            <w:vAlign w:val="center"/>
            <w:hideMark/>
          </w:tcPr>
          <w:p w14:paraId="20160FF6" w14:textId="77777777" w:rsidR="00BA4141" w:rsidRPr="00505A37" w:rsidRDefault="00BA4141" w:rsidP="00505A37">
            <w:pPr>
              <w:pStyle w:val="NoSpacing"/>
              <w:jc w:val="center"/>
              <w:rPr>
                <w:rFonts w:ascii="Times New Roman" w:hAnsi="Times New Roman" w:cs="Times New Roman"/>
                <w:sz w:val="22"/>
                <w:szCs w:val="22"/>
                <w:lang w:eastAsia="en-IN"/>
              </w:rPr>
            </w:pPr>
            <w:r w:rsidRPr="00505A37">
              <w:rPr>
                <w:rFonts w:ascii="Times New Roman" w:hAnsi="Times New Roman" w:cs="Times New Roman"/>
                <w:sz w:val="22"/>
                <w:szCs w:val="22"/>
                <w:lang w:eastAsia="en-IN"/>
              </w:rPr>
              <w:t>..</w:t>
            </w:r>
          </w:p>
        </w:tc>
        <w:tc>
          <w:tcPr>
            <w:tcW w:w="892" w:type="dxa"/>
            <w:noWrap/>
            <w:vAlign w:val="center"/>
            <w:hideMark/>
          </w:tcPr>
          <w:p w14:paraId="096F1C6C" w14:textId="77777777" w:rsidR="00BA4141" w:rsidRPr="00505A37" w:rsidRDefault="00BA4141" w:rsidP="00505A37">
            <w:pPr>
              <w:pStyle w:val="NoSpacing"/>
              <w:jc w:val="center"/>
              <w:rPr>
                <w:rFonts w:ascii="Times New Roman" w:hAnsi="Times New Roman" w:cs="Times New Roman"/>
                <w:sz w:val="22"/>
                <w:szCs w:val="22"/>
                <w:lang w:eastAsia="en-IN"/>
              </w:rPr>
            </w:pPr>
            <w:r w:rsidRPr="00505A37">
              <w:rPr>
                <w:rFonts w:ascii="Times New Roman" w:hAnsi="Times New Roman" w:cs="Times New Roman"/>
                <w:sz w:val="22"/>
                <w:szCs w:val="22"/>
                <w:lang w:eastAsia="en-IN"/>
              </w:rPr>
              <w:t>..</w:t>
            </w:r>
          </w:p>
        </w:tc>
        <w:tc>
          <w:tcPr>
            <w:tcW w:w="625" w:type="dxa"/>
            <w:noWrap/>
            <w:vAlign w:val="center"/>
            <w:hideMark/>
          </w:tcPr>
          <w:p w14:paraId="06A21CBA" w14:textId="77777777" w:rsidR="00BA4141" w:rsidRPr="00505A37" w:rsidRDefault="00BA4141" w:rsidP="00505A37">
            <w:pPr>
              <w:pStyle w:val="NoSpacing"/>
              <w:jc w:val="center"/>
              <w:rPr>
                <w:rFonts w:ascii="Times New Roman" w:hAnsi="Times New Roman" w:cs="Times New Roman"/>
                <w:sz w:val="22"/>
                <w:szCs w:val="22"/>
                <w:lang w:eastAsia="en-IN"/>
              </w:rPr>
            </w:pPr>
            <w:r w:rsidRPr="00505A37">
              <w:rPr>
                <w:rFonts w:ascii="Times New Roman" w:hAnsi="Times New Roman" w:cs="Times New Roman"/>
                <w:sz w:val="22"/>
                <w:szCs w:val="22"/>
                <w:lang w:eastAsia="en-IN"/>
              </w:rPr>
              <w:t>..</w:t>
            </w:r>
          </w:p>
        </w:tc>
        <w:tc>
          <w:tcPr>
            <w:tcW w:w="625" w:type="dxa"/>
            <w:noWrap/>
            <w:vAlign w:val="center"/>
            <w:hideMark/>
          </w:tcPr>
          <w:p w14:paraId="1434B59C" w14:textId="77777777" w:rsidR="00BA4141" w:rsidRPr="00505A37" w:rsidRDefault="00BA4141" w:rsidP="00505A37">
            <w:pPr>
              <w:pStyle w:val="NoSpacing"/>
              <w:jc w:val="center"/>
              <w:rPr>
                <w:rFonts w:ascii="Times New Roman" w:hAnsi="Times New Roman" w:cs="Times New Roman"/>
                <w:sz w:val="22"/>
                <w:szCs w:val="22"/>
                <w:lang w:eastAsia="en-IN"/>
              </w:rPr>
            </w:pPr>
            <w:r w:rsidRPr="00505A37">
              <w:rPr>
                <w:rFonts w:ascii="Times New Roman" w:hAnsi="Times New Roman" w:cs="Times New Roman"/>
                <w:sz w:val="22"/>
                <w:szCs w:val="22"/>
                <w:lang w:eastAsia="en-IN"/>
              </w:rPr>
              <w:t>..</w:t>
            </w:r>
          </w:p>
        </w:tc>
        <w:tc>
          <w:tcPr>
            <w:tcW w:w="682" w:type="dxa"/>
            <w:noWrap/>
            <w:vAlign w:val="center"/>
            <w:hideMark/>
          </w:tcPr>
          <w:p w14:paraId="4527D154" w14:textId="77777777" w:rsidR="00BA4141" w:rsidRPr="00505A37" w:rsidRDefault="00BA4141" w:rsidP="00505A37">
            <w:pPr>
              <w:pStyle w:val="NoSpacing"/>
              <w:jc w:val="center"/>
              <w:rPr>
                <w:rFonts w:ascii="Times New Roman" w:hAnsi="Times New Roman" w:cs="Times New Roman"/>
                <w:sz w:val="22"/>
                <w:szCs w:val="22"/>
                <w:lang w:eastAsia="en-IN"/>
              </w:rPr>
            </w:pPr>
            <w:r w:rsidRPr="00505A37">
              <w:rPr>
                <w:rFonts w:ascii="Times New Roman" w:hAnsi="Times New Roman" w:cs="Times New Roman"/>
                <w:sz w:val="22"/>
                <w:szCs w:val="22"/>
                <w:lang w:eastAsia="en-IN"/>
              </w:rPr>
              <w:t>..</w:t>
            </w:r>
          </w:p>
        </w:tc>
        <w:tc>
          <w:tcPr>
            <w:tcW w:w="625" w:type="dxa"/>
            <w:noWrap/>
            <w:vAlign w:val="center"/>
            <w:hideMark/>
          </w:tcPr>
          <w:p w14:paraId="23964B13" w14:textId="77777777" w:rsidR="00BA4141" w:rsidRPr="00505A37" w:rsidRDefault="00BA4141" w:rsidP="00505A37">
            <w:pPr>
              <w:pStyle w:val="NoSpacing"/>
              <w:jc w:val="center"/>
              <w:rPr>
                <w:rFonts w:ascii="Times New Roman" w:hAnsi="Times New Roman" w:cs="Times New Roman"/>
                <w:sz w:val="22"/>
                <w:szCs w:val="22"/>
                <w:lang w:eastAsia="en-IN"/>
              </w:rPr>
            </w:pPr>
            <w:r w:rsidRPr="00505A37">
              <w:rPr>
                <w:rFonts w:ascii="Times New Roman" w:hAnsi="Times New Roman" w:cs="Times New Roman"/>
                <w:sz w:val="22"/>
                <w:szCs w:val="22"/>
                <w:lang w:eastAsia="en-IN"/>
              </w:rPr>
              <w:t>..</w:t>
            </w:r>
          </w:p>
        </w:tc>
        <w:tc>
          <w:tcPr>
            <w:tcW w:w="892" w:type="dxa"/>
            <w:noWrap/>
            <w:vAlign w:val="center"/>
            <w:hideMark/>
          </w:tcPr>
          <w:p w14:paraId="57CADD49" w14:textId="77777777" w:rsidR="00BA4141" w:rsidRPr="00505A37" w:rsidRDefault="00BA4141" w:rsidP="00505A37">
            <w:pPr>
              <w:pStyle w:val="NoSpacing"/>
              <w:jc w:val="center"/>
              <w:rPr>
                <w:rFonts w:ascii="Times New Roman" w:hAnsi="Times New Roman" w:cs="Times New Roman"/>
                <w:sz w:val="22"/>
                <w:szCs w:val="22"/>
                <w:lang w:eastAsia="en-IN"/>
              </w:rPr>
            </w:pPr>
            <w:r w:rsidRPr="00505A37">
              <w:rPr>
                <w:rFonts w:ascii="Times New Roman" w:hAnsi="Times New Roman" w:cs="Times New Roman"/>
                <w:sz w:val="22"/>
                <w:szCs w:val="22"/>
                <w:lang w:eastAsia="en-IN"/>
              </w:rPr>
              <w:t>..</w:t>
            </w:r>
          </w:p>
        </w:tc>
        <w:tc>
          <w:tcPr>
            <w:tcW w:w="547" w:type="dxa"/>
            <w:noWrap/>
            <w:vAlign w:val="center"/>
            <w:hideMark/>
          </w:tcPr>
          <w:p w14:paraId="1C981B01" w14:textId="77777777" w:rsidR="00BA4141" w:rsidRPr="00505A37" w:rsidRDefault="00BA4141" w:rsidP="00505A37">
            <w:pPr>
              <w:pStyle w:val="NoSpacing"/>
              <w:jc w:val="center"/>
              <w:rPr>
                <w:rFonts w:ascii="Times New Roman" w:hAnsi="Times New Roman" w:cs="Times New Roman"/>
                <w:sz w:val="22"/>
                <w:szCs w:val="22"/>
                <w:lang w:eastAsia="en-IN"/>
              </w:rPr>
            </w:pPr>
            <w:r w:rsidRPr="00505A37">
              <w:rPr>
                <w:rFonts w:ascii="Times New Roman" w:hAnsi="Times New Roman" w:cs="Times New Roman"/>
                <w:sz w:val="22"/>
                <w:szCs w:val="22"/>
                <w:lang w:eastAsia="en-IN"/>
              </w:rPr>
              <w:t>..</w:t>
            </w:r>
          </w:p>
        </w:tc>
      </w:tr>
      <w:tr w:rsidR="00BA4141" w:rsidRPr="00505A37" w14:paraId="4FE7D510" w14:textId="77777777" w:rsidTr="00505A37">
        <w:trPr>
          <w:trHeight w:val="20"/>
        </w:trPr>
        <w:tc>
          <w:tcPr>
            <w:tcW w:w="833" w:type="dxa"/>
            <w:noWrap/>
            <w:hideMark/>
          </w:tcPr>
          <w:p w14:paraId="3D38DCF5" w14:textId="77777777" w:rsidR="00BA4141" w:rsidRPr="00505A37" w:rsidRDefault="00BA4141" w:rsidP="00B77C0B">
            <w:pPr>
              <w:pStyle w:val="NoSpacing"/>
              <w:rPr>
                <w:rFonts w:ascii="Times New Roman" w:hAnsi="Times New Roman" w:cs="Times New Roman"/>
                <w:sz w:val="22"/>
                <w:szCs w:val="22"/>
                <w:lang w:eastAsia="en-IN"/>
              </w:rPr>
            </w:pPr>
            <w:r w:rsidRPr="00505A37">
              <w:rPr>
                <w:rFonts w:ascii="Times New Roman" w:hAnsi="Times New Roman" w:cs="Times New Roman"/>
                <w:sz w:val="22"/>
                <w:szCs w:val="22"/>
                <w:lang w:eastAsia="en-IN"/>
              </w:rPr>
              <w:t>Gujarat</w:t>
            </w:r>
          </w:p>
        </w:tc>
        <w:tc>
          <w:tcPr>
            <w:tcW w:w="625" w:type="dxa"/>
            <w:noWrap/>
            <w:vAlign w:val="center"/>
            <w:hideMark/>
          </w:tcPr>
          <w:p w14:paraId="49817114" w14:textId="77777777" w:rsidR="00BA4141" w:rsidRPr="00505A37" w:rsidRDefault="00BA4141" w:rsidP="00505A37">
            <w:pPr>
              <w:pStyle w:val="NoSpacing"/>
              <w:jc w:val="center"/>
              <w:rPr>
                <w:rFonts w:ascii="Times New Roman" w:hAnsi="Times New Roman" w:cs="Times New Roman"/>
                <w:sz w:val="22"/>
                <w:szCs w:val="22"/>
                <w:lang w:eastAsia="en-IN"/>
              </w:rPr>
            </w:pPr>
            <w:r w:rsidRPr="00505A37">
              <w:rPr>
                <w:rFonts w:ascii="Times New Roman" w:hAnsi="Times New Roman" w:cs="Times New Roman"/>
                <w:sz w:val="22"/>
                <w:szCs w:val="22"/>
                <w:lang w:eastAsia="en-IN"/>
              </w:rPr>
              <w:t>..</w:t>
            </w:r>
          </w:p>
        </w:tc>
        <w:tc>
          <w:tcPr>
            <w:tcW w:w="682" w:type="dxa"/>
            <w:noWrap/>
            <w:vAlign w:val="center"/>
            <w:hideMark/>
          </w:tcPr>
          <w:p w14:paraId="05DBF073" w14:textId="77777777" w:rsidR="00BA4141" w:rsidRPr="00505A37" w:rsidRDefault="00BA4141" w:rsidP="00505A37">
            <w:pPr>
              <w:pStyle w:val="NoSpacing"/>
              <w:jc w:val="center"/>
              <w:rPr>
                <w:rFonts w:ascii="Times New Roman" w:hAnsi="Times New Roman" w:cs="Times New Roman"/>
                <w:sz w:val="22"/>
                <w:szCs w:val="22"/>
                <w:lang w:eastAsia="en-IN"/>
              </w:rPr>
            </w:pPr>
            <w:r w:rsidRPr="00505A37">
              <w:rPr>
                <w:rFonts w:ascii="Times New Roman" w:hAnsi="Times New Roman" w:cs="Times New Roman"/>
                <w:sz w:val="22"/>
                <w:szCs w:val="22"/>
                <w:lang w:eastAsia="en-IN"/>
              </w:rPr>
              <w:t>..</w:t>
            </w:r>
          </w:p>
        </w:tc>
        <w:tc>
          <w:tcPr>
            <w:tcW w:w="625" w:type="dxa"/>
            <w:noWrap/>
            <w:vAlign w:val="center"/>
            <w:hideMark/>
          </w:tcPr>
          <w:p w14:paraId="61A419A2" w14:textId="77777777" w:rsidR="00BA4141" w:rsidRPr="00505A37" w:rsidRDefault="00BA4141" w:rsidP="00505A37">
            <w:pPr>
              <w:pStyle w:val="NoSpacing"/>
              <w:jc w:val="center"/>
              <w:rPr>
                <w:rFonts w:ascii="Times New Roman" w:hAnsi="Times New Roman" w:cs="Times New Roman"/>
                <w:sz w:val="22"/>
                <w:szCs w:val="22"/>
                <w:lang w:eastAsia="en-IN"/>
              </w:rPr>
            </w:pPr>
            <w:r w:rsidRPr="00505A37">
              <w:rPr>
                <w:rFonts w:ascii="Times New Roman" w:hAnsi="Times New Roman" w:cs="Times New Roman"/>
                <w:sz w:val="22"/>
                <w:szCs w:val="22"/>
                <w:lang w:eastAsia="en-IN"/>
              </w:rPr>
              <w:t>..</w:t>
            </w:r>
          </w:p>
        </w:tc>
        <w:tc>
          <w:tcPr>
            <w:tcW w:w="892" w:type="dxa"/>
            <w:noWrap/>
            <w:vAlign w:val="center"/>
            <w:hideMark/>
          </w:tcPr>
          <w:p w14:paraId="6F783BFB" w14:textId="77777777" w:rsidR="00BA4141" w:rsidRPr="00505A37" w:rsidRDefault="00BA4141" w:rsidP="00505A37">
            <w:pPr>
              <w:pStyle w:val="NoSpacing"/>
              <w:jc w:val="center"/>
              <w:rPr>
                <w:rFonts w:ascii="Times New Roman" w:hAnsi="Times New Roman" w:cs="Times New Roman"/>
                <w:sz w:val="22"/>
                <w:szCs w:val="22"/>
                <w:lang w:eastAsia="en-IN"/>
              </w:rPr>
            </w:pPr>
            <w:r w:rsidRPr="00505A37">
              <w:rPr>
                <w:rFonts w:ascii="Times New Roman" w:hAnsi="Times New Roman" w:cs="Times New Roman"/>
                <w:sz w:val="22"/>
                <w:szCs w:val="22"/>
                <w:lang w:eastAsia="en-IN"/>
              </w:rPr>
              <w:t>..</w:t>
            </w:r>
          </w:p>
        </w:tc>
        <w:tc>
          <w:tcPr>
            <w:tcW w:w="625" w:type="dxa"/>
            <w:noWrap/>
            <w:vAlign w:val="center"/>
            <w:hideMark/>
          </w:tcPr>
          <w:p w14:paraId="72A20E1B" w14:textId="77777777" w:rsidR="00BA4141" w:rsidRPr="00505A37" w:rsidRDefault="00BA4141" w:rsidP="00505A37">
            <w:pPr>
              <w:pStyle w:val="NoSpacing"/>
              <w:jc w:val="center"/>
              <w:rPr>
                <w:rFonts w:ascii="Times New Roman" w:hAnsi="Times New Roman" w:cs="Times New Roman"/>
                <w:sz w:val="22"/>
                <w:szCs w:val="22"/>
                <w:lang w:eastAsia="en-IN"/>
              </w:rPr>
            </w:pPr>
            <w:r w:rsidRPr="00505A37">
              <w:rPr>
                <w:rFonts w:ascii="Times New Roman" w:hAnsi="Times New Roman" w:cs="Times New Roman"/>
                <w:sz w:val="22"/>
                <w:szCs w:val="22"/>
                <w:lang w:eastAsia="en-IN"/>
              </w:rPr>
              <w:t>..</w:t>
            </w:r>
          </w:p>
        </w:tc>
        <w:tc>
          <w:tcPr>
            <w:tcW w:w="625" w:type="dxa"/>
            <w:noWrap/>
            <w:vAlign w:val="center"/>
            <w:hideMark/>
          </w:tcPr>
          <w:p w14:paraId="4E0420D0" w14:textId="77777777" w:rsidR="00BA4141" w:rsidRPr="00505A37" w:rsidRDefault="00BA4141" w:rsidP="00505A37">
            <w:pPr>
              <w:pStyle w:val="NoSpacing"/>
              <w:jc w:val="center"/>
              <w:rPr>
                <w:rFonts w:ascii="Times New Roman" w:hAnsi="Times New Roman" w:cs="Times New Roman"/>
                <w:sz w:val="22"/>
                <w:szCs w:val="22"/>
                <w:lang w:eastAsia="en-IN"/>
              </w:rPr>
            </w:pPr>
            <w:r w:rsidRPr="00505A37">
              <w:rPr>
                <w:rFonts w:ascii="Times New Roman" w:hAnsi="Times New Roman" w:cs="Times New Roman"/>
                <w:sz w:val="22"/>
                <w:szCs w:val="22"/>
                <w:lang w:eastAsia="en-IN"/>
              </w:rPr>
              <w:t>..</w:t>
            </w:r>
          </w:p>
        </w:tc>
        <w:tc>
          <w:tcPr>
            <w:tcW w:w="682" w:type="dxa"/>
            <w:noWrap/>
            <w:vAlign w:val="center"/>
            <w:hideMark/>
          </w:tcPr>
          <w:p w14:paraId="0F6BA0E9" w14:textId="77777777" w:rsidR="00BA4141" w:rsidRPr="00505A37" w:rsidRDefault="00BA4141" w:rsidP="00505A37">
            <w:pPr>
              <w:pStyle w:val="NoSpacing"/>
              <w:jc w:val="center"/>
              <w:rPr>
                <w:rFonts w:ascii="Times New Roman" w:hAnsi="Times New Roman" w:cs="Times New Roman"/>
                <w:sz w:val="22"/>
                <w:szCs w:val="22"/>
                <w:lang w:eastAsia="en-IN"/>
              </w:rPr>
            </w:pPr>
            <w:r w:rsidRPr="00505A37">
              <w:rPr>
                <w:rFonts w:ascii="Times New Roman" w:hAnsi="Times New Roman" w:cs="Times New Roman"/>
                <w:sz w:val="22"/>
                <w:szCs w:val="22"/>
                <w:lang w:eastAsia="en-IN"/>
              </w:rPr>
              <w:t>..</w:t>
            </w:r>
          </w:p>
        </w:tc>
        <w:tc>
          <w:tcPr>
            <w:tcW w:w="675" w:type="dxa"/>
            <w:noWrap/>
            <w:vAlign w:val="center"/>
            <w:hideMark/>
          </w:tcPr>
          <w:p w14:paraId="2F08B9DA" w14:textId="77777777" w:rsidR="00BA4141" w:rsidRPr="00505A37" w:rsidRDefault="00BA4141" w:rsidP="00505A37">
            <w:pPr>
              <w:pStyle w:val="NoSpacing"/>
              <w:jc w:val="center"/>
              <w:rPr>
                <w:rFonts w:ascii="Times New Roman" w:hAnsi="Times New Roman" w:cs="Times New Roman"/>
                <w:sz w:val="22"/>
                <w:szCs w:val="22"/>
                <w:lang w:eastAsia="en-IN"/>
              </w:rPr>
            </w:pPr>
            <w:r w:rsidRPr="00505A37">
              <w:rPr>
                <w:rFonts w:ascii="Times New Roman" w:hAnsi="Times New Roman" w:cs="Times New Roman"/>
                <w:sz w:val="22"/>
                <w:szCs w:val="22"/>
                <w:lang w:eastAsia="en-IN"/>
              </w:rPr>
              <w:t>..</w:t>
            </w:r>
          </w:p>
        </w:tc>
        <w:tc>
          <w:tcPr>
            <w:tcW w:w="892" w:type="dxa"/>
            <w:noWrap/>
            <w:vAlign w:val="center"/>
            <w:hideMark/>
          </w:tcPr>
          <w:p w14:paraId="7CCEA44D" w14:textId="77777777" w:rsidR="00BA4141" w:rsidRPr="00505A37" w:rsidRDefault="00BA4141" w:rsidP="00505A37">
            <w:pPr>
              <w:pStyle w:val="NoSpacing"/>
              <w:jc w:val="center"/>
              <w:rPr>
                <w:rFonts w:ascii="Times New Roman" w:hAnsi="Times New Roman" w:cs="Times New Roman"/>
                <w:sz w:val="22"/>
                <w:szCs w:val="22"/>
                <w:lang w:eastAsia="en-IN"/>
              </w:rPr>
            </w:pPr>
            <w:r w:rsidRPr="00505A37">
              <w:rPr>
                <w:rFonts w:ascii="Times New Roman" w:hAnsi="Times New Roman" w:cs="Times New Roman"/>
                <w:sz w:val="22"/>
                <w:szCs w:val="22"/>
                <w:lang w:eastAsia="en-IN"/>
              </w:rPr>
              <w:t>..</w:t>
            </w:r>
          </w:p>
        </w:tc>
        <w:tc>
          <w:tcPr>
            <w:tcW w:w="625" w:type="dxa"/>
            <w:noWrap/>
            <w:vAlign w:val="center"/>
            <w:hideMark/>
          </w:tcPr>
          <w:p w14:paraId="1E822273" w14:textId="77777777" w:rsidR="00BA4141" w:rsidRPr="00505A37" w:rsidRDefault="00BA4141" w:rsidP="00505A37">
            <w:pPr>
              <w:pStyle w:val="NoSpacing"/>
              <w:jc w:val="center"/>
              <w:rPr>
                <w:rFonts w:ascii="Times New Roman" w:hAnsi="Times New Roman" w:cs="Times New Roman"/>
                <w:sz w:val="22"/>
                <w:szCs w:val="22"/>
                <w:lang w:eastAsia="en-IN"/>
              </w:rPr>
            </w:pPr>
            <w:r w:rsidRPr="00505A37">
              <w:rPr>
                <w:rFonts w:ascii="Times New Roman" w:hAnsi="Times New Roman" w:cs="Times New Roman"/>
                <w:sz w:val="22"/>
                <w:szCs w:val="22"/>
                <w:lang w:eastAsia="en-IN"/>
              </w:rPr>
              <w:t>..</w:t>
            </w:r>
          </w:p>
        </w:tc>
        <w:tc>
          <w:tcPr>
            <w:tcW w:w="625" w:type="dxa"/>
            <w:noWrap/>
            <w:vAlign w:val="center"/>
            <w:hideMark/>
          </w:tcPr>
          <w:p w14:paraId="01704EA7" w14:textId="77777777" w:rsidR="00BA4141" w:rsidRPr="00505A37" w:rsidRDefault="00BA4141" w:rsidP="00505A37">
            <w:pPr>
              <w:pStyle w:val="NoSpacing"/>
              <w:jc w:val="center"/>
              <w:rPr>
                <w:rFonts w:ascii="Times New Roman" w:hAnsi="Times New Roman" w:cs="Times New Roman"/>
                <w:sz w:val="22"/>
                <w:szCs w:val="22"/>
                <w:lang w:eastAsia="en-IN"/>
              </w:rPr>
            </w:pPr>
            <w:r w:rsidRPr="00505A37">
              <w:rPr>
                <w:rFonts w:ascii="Times New Roman" w:hAnsi="Times New Roman" w:cs="Times New Roman"/>
                <w:sz w:val="22"/>
                <w:szCs w:val="22"/>
                <w:lang w:eastAsia="en-IN"/>
              </w:rPr>
              <w:t>..</w:t>
            </w:r>
          </w:p>
        </w:tc>
        <w:tc>
          <w:tcPr>
            <w:tcW w:w="682" w:type="dxa"/>
            <w:noWrap/>
            <w:vAlign w:val="center"/>
            <w:hideMark/>
          </w:tcPr>
          <w:p w14:paraId="4C860AF9" w14:textId="77777777" w:rsidR="00BA4141" w:rsidRPr="00505A37" w:rsidRDefault="00BA4141" w:rsidP="00505A37">
            <w:pPr>
              <w:pStyle w:val="NoSpacing"/>
              <w:jc w:val="center"/>
              <w:rPr>
                <w:rFonts w:ascii="Times New Roman" w:hAnsi="Times New Roman" w:cs="Times New Roman"/>
                <w:sz w:val="22"/>
                <w:szCs w:val="22"/>
                <w:lang w:eastAsia="en-IN"/>
              </w:rPr>
            </w:pPr>
            <w:r w:rsidRPr="00505A37">
              <w:rPr>
                <w:rFonts w:ascii="Times New Roman" w:hAnsi="Times New Roman" w:cs="Times New Roman"/>
                <w:sz w:val="22"/>
                <w:szCs w:val="22"/>
                <w:lang w:eastAsia="en-IN"/>
              </w:rPr>
              <w:t>..</w:t>
            </w:r>
          </w:p>
        </w:tc>
        <w:tc>
          <w:tcPr>
            <w:tcW w:w="625" w:type="dxa"/>
            <w:noWrap/>
            <w:vAlign w:val="center"/>
            <w:hideMark/>
          </w:tcPr>
          <w:p w14:paraId="4D5FD60A" w14:textId="77777777" w:rsidR="00BA4141" w:rsidRPr="00505A37" w:rsidRDefault="00BA4141" w:rsidP="00505A37">
            <w:pPr>
              <w:pStyle w:val="NoSpacing"/>
              <w:jc w:val="center"/>
              <w:rPr>
                <w:rFonts w:ascii="Times New Roman" w:hAnsi="Times New Roman" w:cs="Times New Roman"/>
                <w:sz w:val="22"/>
                <w:szCs w:val="22"/>
                <w:lang w:eastAsia="en-IN"/>
              </w:rPr>
            </w:pPr>
            <w:r w:rsidRPr="00505A37">
              <w:rPr>
                <w:rFonts w:ascii="Times New Roman" w:hAnsi="Times New Roman" w:cs="Times New Roman"/>
                <w:sz w:val="22"/>
                <w:szCs w:val="22"/>
                <w:lang w:eastAsia="en-IN"/>
              </w:rPr>
              <w:t>..</w:t>
            </w:r>
          </w:p>
        </w:tc>
        <w:tc>
          <w:tcPr>
            <w:tcW w:w="892" w:type="dxa"/>
            <w:noWrap/>
            <w:vAlign w:val="center"/>
            <w:hideMark/>
          </w:tcPr>
          <w:p w14:paraId="70A30BEE" w14:textId="77777777" w:rsidR="00BA4141" w:rsidRPr="00505A37" w:rsidRDefault="00BA4141" w:rsidP="00505A37">
            <w:pPr>
              <w:pStyle w:val="NoSpacing"/>
              <w:jc w:val="center"/>
              <w:rPr>
                <w:rFonts w:ascii="Times New Roman" w:hAnsi="Times New Roman" w:cs="Times New Roman"/>
                <w:sz w:val="22"/>
                <w:szCs w:val="22"/>
                <w:lang w:eastAsia="en-IN"/>
              </w:rPr>
            </w:pPr>
            <w:r w:rsidRPr="00505A37">
              <w:rPr>
                <w:rFonts w:ascii="Times New Roman" w:hAnsi="Times New Roman" w:cs="Times New Roman"/>
                <w:sz w:val="22"/>
                <w:szCs w:val="22"/>
                <w:lang w:eastAsia="en-IN"/>
              </w:rPr>
              <w:t>..</w:t>
            </w:r>
          </w:p>
        </w:tc>
        <w:tc>
          <w:tcPr>
            <w:tcW w:w="625" w:type="dxa"/>
            <w:noWrap/>
            <w:vAlign w:val="center"/>
            <w:hideMark/>
          </w:tcPr>
          <w:p w14:paraId="3A0DA28C" w14:textId="77777777" w:rsidR="00BA4141" w:rsidRPr="00505A37" w:rsidRDefault="00BA4141" w:rsidP="00505A37">
            <w:pPr>
              <w:pStyle w:val="NoSpacing"/>
              <w:jc w:val="center"/>
              <w:rPr>
                <w:rFonts w:ascii="Times New Roman" w:hAnsi="Times New Roman" w:cs="Times New Roman"/>
                <w:sz w:val="22"/>
                <w:szCs w:val="22"/>
                <w:lang w:eastAsia="en-IN"/>
              </w:rPr>
            </w:pPr>
            <w:r w:rsidRPr="00505A37">
              <w:rPr>
                <w:rFonts w:ascii="Times New Roman" w:hAnsi="Times New Roman" w:cs="Times New Roman"/>
                <w:sz w:val="22"/>
                <w:szCs w:val="22"/>
                <w:lang w:eastAsia="en-IN"/>
              </w:rPr>
              <w:t>..</w:t>
            </w:r>
          </w:p>
        </w:tc>
        <w:tc>
          <w:tcPr>
            <w:tcW w:w="625" w:type="dxa"/>
            <w:noWrap/>
            <w:vAlign w:val="center"/>
            <w:hideMark/>
          </w:tcPr>
          <w:p w14:paraId="38219CB7" w14:textId="77777777" w:rsidR="00BA4141" w:rsidRPr="00505A37" w:rsidRDefault="00BA4141" w:rsidP="00505A37">
            <w:pPr>
              <w:pStyle w:val="NoSpacing"/>
              <w:jc w:val="center"/>
              <w:rPr>
                <w:rFonts w:ascii="Times New Roman" w:hAnsi="Times New Roman" w:cs="Times New Roman"/>
                <w:sz w:val="22"/>
                <w:szCs w:val="22"/>
                <w:lang w:eastAsia="en-IN"/>
              </w:rPr>
            </w:pPr>
            <w:r w:rsidRPr="00505A37">
              <w:rPr>
                <w:rFonts w:ascii="Times New Roman" w:hAnsi="Times New Roman" w:cs="Times New Roman"/>
                <w:sz w:val="22"/>
                <w:szCs w:val="22"/>
                <w:lang w:eastAsia="en-IN"/>
              </w:rPr>
              <w:t>..</w:t>
            </w:r>
          </w:p>
        </w:tc>
        <w:tc>
          <w:tcPr>
            <w:tcW w:w="682" w:type="dxa"/>
            <w:noWrap/>
            <w:vAlign w:val="center"/>
            <w:hideMark/>
          </w:tcPr>
          <w:p w14:paraId="7C85F9BC" w14:textId="77777777" w:rsidR="00BA4141" w:rsidRPr="00505A37" w:rsidRDefault="00BA4141" w:rsidP="00505A37">
            <w:pPr>
              <w:pStyle w:val="NoSpacing"/>
              <w:jc w:val="center"/>
              <w:rPr>
                <w:rFonts w:ascii="Times New Roman" w:hAnsi="Times New Roman" w:cs="Times New Roman"/>
                <w:sz w:val="22"/>
                <w:szCs w:val="22"/>
                <w:lang w:eastAsia="en-IN"/>
              </w:rPr>
            </w:pPr>
            <w:r w:rsidRPr="00505A37">
              <w:rPr>
                <w:rFonts w:ascii="Times New Roman" w:hAnsi="Times New Roman" w:cs="Times New Roman"/>
                <w:sz w:val="22"/>
                <w:szCs w:val="22"/>
                <w:lang w:eastAsia="en-IN"/>
              </w:rPr>
              <w:t>..</w:t>
            </w:r>
          </w:p>
        </w:tc>
        <w:tc>
          <w:tcPr>
            <w:tcW w:w="625" w:type="dxa"/>
            <w:noWrap/>
            <w:vAlign w:val="center"/>
            <w:hideMark/>
          </w:tcPr>
          <w:p w14:paraId="3ACA98A9" w14:textId="77777777" w:rsidR="00BA4141" w:rsidRPr="00505A37" w:rsidRDefault="00BA4141" w:rsidP="00505A37">
            <w:pPr>
              <w:pStyle w:val="NoSpacing"/>
              <w:jc w:val="center"/>
              <w:rPr>
                <w:rFonts w:ascii="Times New Roman" w:hAnsi="Times New Roman" w:cs="Times New Roman"/>
                <w:sz w:val="22"/>
                <w:szCs w:val="22"/>
                <w:lang w:eastAsia="en-IN"/>
              </w:rPr>
            </w:pPr>
            <w:r w:rsidRPr="00505A37">
              <w:rPr>
                <w:rFonts w:ascii="Times New Roman" w:hAnsi="Times New Roman" w:cs="Times New Roman"/>
                <w:sz w:val="22"/>
                <w:szCs w:val="22"/>
                <w:lang w:eastAsia="en-IN"/>
              </w:rPr>
              <w:t>..</w:t>
            </w:r>
          </w:p>
        </w:tc>
        <w:tc>
          <w:tcPr>
            <w:tcW w:w="892" w:type="dxa"/>
            <w:noWrap/>
            <w:vAlign w:val="center"/>
            <w:hideMark/>
          </w:tcPr>
          <w:p w14:paraId="094F4C83" w14:textId="77777777" w:rsidR="00BA4141" w:rsidRPr="00505A37" w:rsidRDefault="00BA4141" w:rsidP="00505A37">
            <w:pPr>
              <w:pStyle w:val="NoSpacing"/>
              <w:jc w:val="center"/>
              <w:rPr>
                <w:rFonts w:ascii="Times New Roman" w:hAnsi="Times New Roman" w:cs="Times New Roman"/>
                <w:sz w:val="22"/>
                <w:szCs w:val="22"/>
                <w:lang w:eastAsia="en-IN"/>
              </w:rPr>
            </w:pPr>
            <w:r w:rsidRPr="00505A37">
              <w:rPr>
                <w:rFonts w:ascii="Times New Roman" w:hAnsi="Times New Roman" w:cs="Times New Roman"/>
                <w:sz w:val="22"/>
                <w:szCs w:val="22"/>
                <w:lang w:eastAsia="en-IN"/>
              </w:rPr>
              <w:t>..</w:t>
            </w:r>
          </w:p>
        </w:tc>
        <w:tc>
          <w:tcPr>
            <w:tcW w:w="547" w:type="dxa"/>
            <w:noWrap/>
            <w:vAlign w:val="center"/>
            <w:hideMark/>
          </w:tcPr>
          <w:p w14:paraId="4236EB25" w14:textId="77777777" w:rsidR="00BA4141" w:rsidRPr="00505A37" w:rsidRDefault="00BA4141" w:rsidP="00505A37">
            <w:pPr>
              <w:pStyle w:val="NoSpacing"/>
              <w:jc w:val="center"/>
              <w:rPr>
                <w:rFonts w:ascii="Times New Roman" w:hAnsi="Times New Roman" w:cs="Times New Roman"/>
                <w:sz w:val="22"/>
                <w:szCs w:val="22"/>
                <w:lang w:eastAsia="en-IN"/>
              </w:rPr>
            </w:pPr>
            <w:r w:rsidRPr="00505A37">
              <w:rPr>
                <w:rFonts w:ascii="Times New Roman" w:hAnsi="Times New Roman" w:cs="Times New Roman"/>
                <w:sz w:val="22"/>
                <w:szCs w:val="22"/>
                <w:lang w:eastAsia="en-IN"/>
              </w:rPr>
              <w:t>..</w:t>
            </w:r>
          </w:p>
        </w:tc>
      </w:tr>
      <w:tr w:rsidR="000C3AB2" w:rsidRPr="00505A37" w14:paraId="53035A80" w14:textId="77777777" w:rsidTr="00505A37">
        <w:trPr>
          <w:trHeight w:val="20"/>
        </w:trPr>
        <w:tc>
          <w:tcPr>
            <w:tcW w:w="833" w:type="dxa"/>
            <w:noWrap/>
            <w:hideMark/>
          </w:tcPr>
          <w:p w14:paraId="0BE5B2DD" w14:textId="77777777" w:rsidR="000C3AB2" w:rsidRPr="00505A37" w:rsidRDefault="000C3AB2" w:rsidP="000C3AB2">
            <w:pPr>
              <w:pStyle w:val="NoSpacing"/>
              <w:rPr>
                <w:rFonts w:ascii="Times New Roman" w:hAnsi="Times New Roman" w:cs="Times New Roman"/>
                <w:sz w:val="22"/>
                <w:szCs w:val="22"/>
                <w:lang w:eastAsia="en-IN"/>
              </w:rPr>
            </w:pPr>
            <w:r w:rsidRPr="00505A37">
              <w:rPr>
                <w:rFonts w:ascii="Times New Roman" w:hAnsi="Times New Roman" w:cs="Times New Roman"/>
                <w:sz w:val="22"/>
                <w:szCs w:val="22"/>
                <w:lang w:eastAsia="en-IN"/>
              </w:rPr>
              <w:t>Haryana</w:t>
            </w:r>
          </w:p>
        </w:tc>
        <w:tc>
          <w:tcPr>
            <w:tcW w:w="625" w:type="dxa"/>
            <w:noWrap/>
            <w:vAlign w:val="center"/>
            <w:hideMark/>
          </w:tcPr>
          <w:p w14:paraId="060B78EB" w14:textId="77777777" w:rsidR="000C3AB2" w:rsidRPr="00505A37" w:rsidRDefault="000C3AB2" w:rsidP="00505A37">
            <w:pPr>
              <w:pStyle w:val="NoSpacing"/>
              <w:jc w:val="center"/>
              <w:rPr>
                <w:rFonts w:ascii="Times New Roman" w:hAnsi="Times New Roman" w:cs="Times New Roman"/>
                <w:sz w:val="22"/>
                <w:szCs w:val="22"/>
                <w:lang w:eastAsia="en-IN"/>
              </w:rPr>
            </w:pPr>
            <w:r w:rsidRPr="00505A37">
              <w:rPr>
                <w:rFonts w:ascii="Times New Roman" w:hAnsi="Times New Roman" w:cs="Times New Roman"/>
                <w:sz w:val="22"/>
                <w:szCs w:val="22"/>
                <w:lang w:eastAsia="en-IN"/>
              </w:rPr>
              <w:t>..</w:t>
            </w:r>
          </w:p>
        </w:tc>
        <w:tc>
          <w:tcPr>
            <w:tcW w:w="682" w:type="dxa"/>
            <w:noWrap/>
            <w:vAlign w:val="center"/>
            <w:hideMark/>
          </w:tcPr>
          <w:p w14:paraId="012A7E6E" w14:textId="77777777" w:rsidR="000C3AB2" w:rsidRPr="00505A37" w:rsidRDefault="000C3AB2" w:rsidP="00505A37">
            <w:pPr>
              <w:pStyle w:val="NoSpacing"/>
              <w:jc w:val="center"/>
              <w:rPr>
                <w:rFonts w:ascii="Times New Roman" w:hAnsi="Times New Roman" w:cs="Times New Roman"/>
                <w:sz w:val="22"/>
                <w:szCs w:val="22"/>
                <w:lang w:eastAsia="en-IN"/>
              </w:rPr>
            </w:pPr>
            <w:r w:rsidRPr="00505A37">
              <w:rPr>
                <w:rFonts w:ascii="Times New Roman" w:hAnsi="Times New Roman" w:cs="Times New Roman"/>
                <w:sz w:val="22"/>
                <w:szCs w:val="22"/>
                <w:lang w:eastAsia="en-IN"/>
              </w:rPr>
              <w:t>..</w:t>
            </w:r>
          </w:p>
        </w:tc>
        <w:tc>
          <w:tcPr>
            <w:tcW w:w="625" w:type="dxa"/>
            <w:noWrap/>
            <w:vAlign w:val="center"/>
            <w:hideMark/>
          </w:tcPr>
          <w:p w14:paraId="5640F822" w14:textId="77777777" w:rsidR="000C3AB2" w:rsidRPr="00505A37" w:rsidRDefault="000C3AB2" w:rsidP="00505A37">
            <w:pPr>
              <w:pStyle w:val="NoSpacing"/>
              <w:jc w:val="center"/>
              <w:rPr>
                <w:rFonts w:ascii="Times New Roman" w:hAnsi="Times New Roman" w:cs="Times New Roman"/>
                <w:sz w:val="22"/>
                <w:szCs w:val="22"/>
                <w:lang w:eastAsia="en-IN"/>
              </w:rPr>
            </w:pPr>
            <w:r w:rsidRPr="00505A37">
              <w:rPr>
                <w:rFonts w:ascii="Times New Roman" w:hAnsi="Times New Roman" w:cs="Times New Roman"/>
                <w:sz w:val="22"/>
                <w:szCs w:val="22"/>
                <w:lang w:eastAsia="en-IN"/>
              </w:rPr>
              <w:t>..</w:t>
            </w:r>
          </w:p>
        </w:tc>
        <w:tc>
          <w:tcPr>
            <w:tcW w:w="892" w:type="dxa"/>
            <w:noWrap/>
            <w:vAlign w:val="center"/>
            <w:hideMark/>
          </w:tcPr>
          <w:p w14:paraId="157C16B5" w14:textId="77777777" w:rsidR="000C3AB2" w:rsidRPr="00505A37" w:rsidRDefault="000C3AB2" w:rsidP="00505A37">
            <w:pPr>
              <w:pStyle w:val="NoSpacing"/>
              <w:jc w:val="center"/>
              <w:rPr>
                <w:rFonts w:ascii="Times New Roman" w:hAnsi="Times New Roman" w:cs="Times New Roman"/>
                <w:sz w:val="22"/>
                <w:szCs w:val="22"/>
                <w:lang w:eastAsia="en-IN"/>
              </w:rPr>
            </w:pPr>
            <w:r w:rsidRPr="00505A37">
              <w:rPr>
                <w:rFonts w:ascii="Times New Roman" w:hAnsi="Times New Roman" w:cs="Times New Roman"/>
                <w:sz w:val="22"/>
                <w:szCs w:val="22"/>
                <w:lang w:eastAsia="en-IN"/>
              </w:rPr>
              <w:t>..</w:t>
            </w:r>
          </w:p>
        </w:tc>
        <w:tc>
          <w:tcPr>
            <w:tcW w:w="625" w:type="dxa"/>
            <w:noWrap/>
            <w:vAlign w:val="center"/>
            <w:hideMark/>
          </w:tcPr>
          <w:p w14:paraId="547FE157" w14:textId="77777777" w:rsidR="000C3AB2" w:rsidRPr="00505A37" w:rsidRDefault="000C3AB2" w:rsidP="00505A37">
            <w:pPr>
              <w:pStyle w:val="NoSpacing"/>
              <w:jc w:val="center"/>
              <w:rPr>
                <w:rFonts w:ascii="Times New Roman" w:hAnsi="Times New Roman" w:cs="Times New Roman"/>
                <w:sz w:val="22"/>
                <w:szCs w:val="22"/>
                <w:lang w:eastAsia="en-IN"/>
              </w:rPr>
            </w:pPr>
            <w:r w:rsidRPr="00505A37">
              <w:rPr>
                <w:rFonts w:ascii="Times New Roman" w:hAnsi="Times New Roman" w:cs="Times New Roman"/>
                <w:sz w:val="22"/>
                <w:szCs w:val="22"/>
                <w:lang w:eastAsia="en-IN"/>
              </w:rPr>
              <w:t>..</w:t>
            </w:r>
          </w:p>
        </w:tc>
        <w:tc>
          <w:tcPr>
            <w:tcW w:w="625" w:type="dxa"/>
            <w:noWrap/>
            <w:vAlign w:val="center"/>
            <w:hideMark/>
          </w:tcPr>
          <w:p w14:paraId="48F49A4D" w14:textId="77777777" w:rsidR="000C3AB2" w:rsidRPr="00505A37" w:rsidRDefault="000C3AB2" w:rsidP="00505A37">
            <w:pPr>
              <w:pStyle w:val="NoSpacing"/>
              <w:jc w:val="center"/>
              <w:rPr>
                <w:rFonts w:ascii="Times New Roman" w:hAnsi="Times New Roman" w:cs="Times New Roman"/>
                <w:sz w:val="22"/>
                <w:szCs w:val="22"/>
                <w:lang w:eastAsia="en-IN"/>
              </w:rPr>
            </w:pPr>
            <w:r w:rsidRPr="00505A37">
              <w:rPr>
                <w:rFonts w:ascii="Times New Roman" w:hAnsi="Times New Roman" w:cs="Times New Roman"/>
                <w:sz w:val="22"/>
                <w:szCs w:val="22"/>
                <w:lang w:eastAsia="en-IN"/>
              </w:rPr>
              <w:t>..</w:t>
            </w:r>
          </w:p>
        </w:tc>
        <w:tc>
          <w:tcPr>
            <w:tcW w:w="682" w:type="dxa"/>
            <w:noWrap/>
            <w:vAlign w:val="center"/>
            <w:hideMark/>
          </w:tcPr>
          <w:p w14:paraId="6AD051B0" w14:textId="77777777" w:rsidR="000C3AB2" w:rsidRPr="00505A37" w:rsidRDefault="000C3AB2" w:rsidP="00505A37">
            <w:pPr>
              <w:pStyle w:val="NoSpacing"/>
              <w:jc w:val="center"/>
              <w:rPr>
                <w:rFonts w:ascii="Times New Roman" w:hAnsi="Times New Roman" w:cs="Times New Roman"/>
                <w:sz w:val="22"/>
                <w:szCs w:val="22"/>
                <w:lang w:eastAsia="en-IN"/>
              </w:rPr>
            </w:pPr>
            <w:r w:rsidRPr="00505A37">
              <w:rPr>
                <w:rFonts w:ascii="Times New Roman" w:hAnsi="Times New Roman" w:cs="Times New Roman"/>
                <w:sz w:val="22"/>
                <w:szCs w:val="22"/>
                <w:lang w:eastAsia="en-IN"/>
              </w:rPr>
              <w:t>..</w:t>
            </w:r>
          </w:p>
        </w:tc>
        <w:tc>
          <w:tcPr>
            <w:tcW w:w="675" w:type="dxa"/>
            <w:noWrap/>
            <w:vAlign w:val="center"/>
            <w:hideMark/>
          </w:tcPr>
          <w:p w14:paraId="54DAC559" w14:textId="77777777" w:rsidR="000C3AB2" w:rsidRPr="00505A37" w:rsidRDefault="000C3AB2" w:rsidP="00505A37">
            <w:pPr>
              <w:pStyle w:val="NoSpacing"/>
              <w:jc w:val="center"/>
              <w:rPr>
                <w:rFonts w:ascii="Times New Roman" w:hAnsi="Times New Roman" w:cs="Times New Roman"/>
                <w:sz w:val="22"/>
                <w:szCs w:val="22"/>
                <w:lang w:eastAsia="en-IN"/>
              </w:rPr>
            </w:pPr>
            <w:r w:rsidRPr="00505A37">
              <w:rPr>
                <w:rFonts w:ascii="Times New Roman" w:hAnsi="Times New Roman" w:cs="Times New Roman"/>
                <w:sz w:val="22"/>
                <w:szCs w:val="22"/>
                <w:lang w:eastAsia="en-IN"/>
              </w:rPr>
              <w:t>..</w:t>
            </w:r>
          </w:p>
        </w:tc>
        <w:tc>
          <w:tcPr>
            <w:tcW w:w="892" w:type="dxa"/>
            <w:noWrap/>
            <w:vAlign w:val="center"/>
            <w:hideMark/>
          </w:tcPr>
          <w:p w14:paraId="67D1BD46" w14:textId="77777777" w:rsidR="000C3AB2" w:rsidRPr="00505A37" w:rsidRDefault="000C3AB2" w:rsidP="00505A37">
            <w:pPr>
              <w:pStyle w:val="NoSpacing"/>
              <w:jc w:val="center"/>
              <w:rPr>
                <w:rFonts w:ascii="Times New Roman" w:hAnsi="Times New Roman" w:cs="Times New Roman"/>
                <w:sz w:val="22"/>
                <w:szCs w:val="22"/>
                <w:lang w:eastAsia="en-IN"/>
              </w:rPr>
            </w:pPr>
            <w:r w:rsidRPr="00505A37">
              <w:rPr>
                <w:rFonts w:ascii="Times New Roman" w:hAnsi="Times New Roman" w:cs="Times New Roman"/>
                <w:sz w:val="22"/>
                <w:szCs w:val="22"/>
                <w:lang w:eastAsia="en-IN"/>
              </w:rPr>
              <w:t>..</w:t>
            </w:r>
          </w:p>
        </w:tc>
        <w:tc>
          <w:tcPr>
            <w:tcW w:w="625" w:type="dxa"/>
            <w:noWrap/>
            <w:vAlign w:val="center"/>
            <w:hideMark/>
          </w:tcPr>
          <w:p w14:paraId="74570D61" w14:textId="77777777" w:rsidR="000C3AB2" w:rsidRPr="00505A37" w:rsidRDefault="000C3AB2" w:rsidP="00505A37">
            <w:pPr>
              <w:pStyle w:val="NoSpacing"/>
              <w:jc w:val="center"/>
              <w:rPr>
                <w:rFonts w:ascii="Times New Roman" w:hAnsi="Times New Roman" w:cs="Times New Roman"/>
                <w:sz w:val="22"/>
                <w:szCs w:val="22"/>
                <w:lang w:eastAsia="en-IN"/>
              </w:rPr>
            </w:pPr>
            <w:r w:rsidRPr="00505A37">
              <w:rPr>
                <w:rFonts w:ascii="Times New Roman" w:hAnsi="Times New Roman" w:cs="Times New Roman"/>
                <w:sz w:val="22"/>
                <w:szCs w:val="22"/>
                <w:lang w:eastAsia="en-IN"/>
              </w:rPr>
              <w:t>..</w:t>
            </w:r>
          </w:p>
        </w:tc>
        <w:tc>
          <w:tcPr>
            <w:tcW w:w="625" w:type="dxa"/>
            <w:noWrap/>
            <w:vAlign w:val="center"/>
            <w:hideMark/>
          </w:tcPr>
          <w:p w14:paraId="4AA9321B" w14:textId="3FABB1D9" w:rsidR="000C3AB2" w:rsidRPr="00505A37" w:rsidRDefault="000C3AB2" w:rsidP="00505A37">
            <w:pPr>
              <w:pStyle w:val="NoSpacing"/>
              <w:jc w:val="center"/>
              <w:rPr>
                <w:rFonts w:ascii="Times New Roman" w:hAnsi="Times New Roman" w:cs="Times New Roman"/>
                <w:sz w:val="22"/>
                <w:szCs w:val="22"/>
                <w:lang w:eastAsia="en-IN"/>
              </w:rPr>
            </w:pPr>
            <w:r w:rsidRPr="00505A37">
              <w:rPr>
                <w:rFonts w:ascii="Times New Roman" w:hAnsi="Times New Roman" w:cs="Times New Roman"/>
                <w:sz w:val="22"/>
                <w:szCs w:val="22"/>
                <w:lang w:eastAsia="en-IN"/>
              </w:rPr>
              <w:t>3.45</w:t>
            </w:r>
          </w:p>
        </w:tc>
        <w:tc>
          <w:tcPr>
            <w:tcW w:w="682" w:type="dxa"/>
            <w:noWrap/>
            <w:vAlign w:val="center"/>
            <w:hideMark/>
          </w:tcPr>
          <w:p w14:paraId="57F416FD" w14:textId="04DA199E" w:rsidR="000C3AB2" w:rsidRPr="00505A37" w:rsidRDefault="000C3AB2" w:rsidP="00505A37">
            <w:pPr>
              <w:pStyle w:val="NoSpacing"/>
              <w:jc w:val="center"/>
              <w:rPr>
                <w:rFonts w:ascii="Times New Roman" w:hAnsi="Times New Roman" w:cs="Times New Roman"/>
                <w:sz w:val="22"/>
                <w:szCs w:val="22"/>
                <w:lang w:eastAsia="en-IN"/>
              </w:rPr>
            </w:pPr>
            <w:r w:rsidRPr="00505A37">
              <w:rPr>
                <w:rFonts w:ascii="Times New Roman" w:hAnsi="Times New Roman" w:cs="Times New Roman"/>
                <w:sz w:val="22"/>
                <w:szCs w:val="22"/>
                <w:lang w:eastAsia="en-IN"/>
              </w:rPr>
              <w:t>2.67</w:t>
            </w:r>
          </w:p>
        </w:tc>
        <w:tc>
          <w:tcPr>
            <w:tcW w:w="625" w:type="dxa"/>
            <w:noWrap/>
            <w:vAlign w:val="center"/>
            <w:hideMark/>
          </w:tcPr>
          <w:p w14:paraId="4A22D84D" w14:textId="5883021B" w:rsidR="000C3AB2" w:rsidRPr="00505A37" w:rsidRDefault="000C3AB2" w:rsidP="00505A37">
            <w:pPr>
              <w:pStyle w:val="NoSpacing"/>
              <w:jc w:val="center"/>
              <w:rPr>
                <w:rFonts w:ascii="Times New Roman" w:hAnsi="Times New Roman" w:cs="Times New Roman"/>
                <w:sz w:val="22"/>
                <w:szCs w:val="22"/>
                <w:lang w:eastAsia="en-IN"/>
              </w:rPr>
            </w:pPr>
            <w:r w:rsidRPr="00505A37">
              <w:rPr>
                <w:rFonts w:ascii="Times New Roman" w:hAnsi="Times New Roman" w:cs="Times New Roman"/>
                <w:sz w:val="22"/>
                <w:szCs w:val="22"/>
                <w:lang w:eastAsia="en-IN"/>
              </w:rPr>
              <w:t>0.15</w:t>
            </w:r>
          </w:p>
        </w:tc>
        <w:tc>
          <w:tcPr>
            <w:tcW w:w="892" w:type="dxa"/>
            <w:noWrap/>
            <w:vAlign w:val="center"/>
            <w:hideMark/>
          </w:tcPr>
          <w:p w14:paraId="35D0ED7F" w14:textId="29C83C05" w:rsidR="000C3AB2" w:rsidRPr="00505A37" w:rsidRDefault="000C3AB2" w:rsidP="00505A37">
            <w:pPr>
              <w:pStyle w:val="NoSpacing"/>
              <w:jc w:val="center"/>
              <w:rPr>
                <w:rFonts w:ascii="Times New Roman" w:hAnsi="Times New Roman" w:cs="Times New Roman"/>
                <w:sz w:val="22"/>
                <w:szCs w:val="22"/>
                <w:lang w:eastAsia="en-IN"/>
              </w:rPr>
            </w:pPr>
            <w:r w:rsidRPr="00505A37">
              <w:rPr>
                <w:rFonts w:ascii="Times New Roman" w:hAnsi="Times New Roman" w:cs="Times New Roman"/>
                <w:sz w:val="22"/>
                <w:szCs w:val="22"/>
                <w:lang w:eastAsia="en-IN"/>
              </w:rPr>
              <w:t>..</w:t>
            </w:r>
          </w:p>
        </w:tc>
        <w:tc>
          <w:tcPr>
            <w:tcW w:w="625" w:type="dxa"/>
            <w:noWrap/>
            <w:vAlign w:val="center"/>
            <w:hideMark/>
          </w:tcPr>
          <w:p w14:paraId="2B33EDB7" w14:textId="560880FA" w:rsidR="000C3AB2" w:rsidRPr="00505A37" w:rsidRDefault="000C3AB2" w:rsidP="00505A37">
            <w:pPr>
              <w:pStyle w:val="NoSpacing"/>
              <w:jc w:val="center"/>
              <w:rPr>
                <w:rFonts w:ascii="Times New Roman" w:hAnsi="Times New Roman" w:cs="Times New Roman"/>
                <w:sz w:val="22"/>
                <w:szCs w:val="22"/>
                <w:lang w:eastAsia="en-IN"/>
              </w:rPr>
            </w:pPr>
            <w:r w:rsidRPr="00505A37">
              <w:rPr>
                <w:rFonts w:ascii="Times New Roman" w:hAnsi="Times New Roman" w:cs="Times New Roman"/>
                <w:sz w:val="22"/>
                <w:szCs w:val="22"/>
                <w:lang w:eastAsia="en-IN"/>
              </w:rPr>
              <w:t>0.63</w:t>
            </w:r>
          </w:p>
        </w:tc>
        <w:tc>
          <w:tcPr>
            <w:tcW w:w="625" w:type="dxa"/>
            <w:noWrap/>
            <w:vAlign w:val="center"/>
            <w:hideMark/>
          </w:tcPr>
          <w:p w14:paraId="02335163" w14:textId="46FE31A1" w:rsidR="000C3AB2" w:rsidRPr="00505A37" w:rsidRDefault="000C3AB2" w:rsidP="00505A37">
            <w:pPr>
              <w:pStyle w:val="NoSpacing"/>
              <w:jc w:val="center"/>
              <w:rPr>
                <w:rFonts w:ascii="Times New Roman" w:hAnsi="Times New Roman" w:cs="Times New Roman"/>
                <w:sz w:val="22"/>
                <w:szCs w:val="22"/>
                <w:lang w:eastAsia="en-IN"/>
              </w:rPr>
            </w:pPr>
            <w:r w:rsidRPr="00505A37">
              <w:rPr>
                <w:rFonts w:ascii="Times New Roman" w:hAnsi="Times New Roman" w:cs="Times New Roman"/>
                <w:sz w:val="22"/>
                <w:szCs w:val="22"/>
                <w:lang w:eastAsia="en-IN"/>
              </w:rPr>
              <w:t>4.57</w:t>
            </w:r>
          </w:p>
        </w:tc>
        <w:tc>
          <w:tcPr>
            <w:tcW w:w="682" w:type="dxa"/>
            <w:noWrap/>
            <w:vAlign w:val="center"/>
            <w:hideMark/>
          </w:tcPr>
          <w:p w14:paraId="05C5F685" w14:textId="6D87DA9D" w:rsidR="000C3AB2" w:rsidRPr="00505A37" w:rsidRDefault="000C3AB2" w:rsidP="00505A37">
            <w:pPr>
              <w:pStyle w:val="NoSpacing"/>
              <w:jc w:val="center"/>
              <w:rPr>
                <w:rFonts w:ascii="Times New Roman" w:hAnsi="Times New Roman" w:cs="Times New Roman"/>
                <w:sz w:val="22"/>
                <w:szCs w:val="22"/>
                <w:lang w:eastAsia="en-IN"/>
              </w:rPr>
            </w:pPr>
            <w:r w:rsidRPr="00505A37">
              <w:rPr>
                <w:rFonts w:ascii="Times New Roman" w:hAnsi="Times New Roman" w:cs="Times New Roman"/>
                <w:sz w:val="22"/>
                <w:szCs w:val="22"/>
                <w:lang w:eastAsia="en-IN"/>
              </w:rPr>
              <w:t>3.58</w:t>
            </w:r>
          </w:p>
        </w:tc>
        <w:tc>
          <w:tcPr>
            <w:tcW w:w="625" w:type="dxa"/>
            <w:noWrap/>
            <w:vAlign w:val="center"/>
            <w:hideMark/>
          </w:tcPr>
          <w:p w14:paraId="168EFE99" w14:textId="529446D7" w:rsidR="000C3AB2" w:rsidRPr="00505A37" w:rsidRDefault="000C3AB2" w:rsidP="00505A37">
            <w:pPr>
              <w:pStyle w:val="NoSpacing"/>
              <w:jc w:val="center"/>
              <w:rPr>
                <w:rFonts w:ascii="Times New Roman" w:hAnsi="Times New Roman" w:cs="Times New Roman"/>
                <w:sz w:val="22"/>
                <w:szCs w:val="22"/>
                <w:lang w:eastAsia="en-IN"/>
              </w:rPr>
            </w:pPr>
            <w:r w:rsidRPr="00505A37">
              <w:rPr>
                <w:rFonts w:ascii="Times New Roman" w:hAnsi="Times New Roman" w:cs="Times New Roman"/>
                <w:sz w:val="22"/>
                <w:szCs w:val="22"/>
                <w:lang w:eastAsia="en-IN"/>
              </w:rPr>
              <w:t>0.22</w:t>
            </w:r>
          </w:p>
        </w:tc>
        <w:tc>
          <w:tcPr>
            <w:tcW w:w="892" w:type="dxa"/>
            <w:noWrap/>
            <w:vAlign w:val="center"/>
            <w:hideMark/>
          </w:tcPr>
          <w:p w14:paraId="06C9F97C" w14:textId="35543FE3" w:rsidR="000C3AB2" w:rsidRPr="00505A37" w:rsidRDefault="000C3AB2" w:rsidP="00505A37">
            <w:pPr>
              <w:pStyle w:val="NoSpacing"/>
              <w:jc w:val="center"/>
              <w:rPr>
                <w:rFonts w:ascii="Times New Roman" w:hAnsi="Times New Roman" w:cs="Times New Roman"/>
                <w:sz w:val="22"/>
                <w:szCs w:val="22"/>
                <w:lang w:eastAsia="en-IN"/>
              </w:rPr>
            </w:pPr>
            <w:r w:rsidRPr="00505A37">
              <w:rPr>
                <w:rFonts w:ascii="Times New Roman" w:hAnsi="Times New Roman" w:cs="Times New Roman"/>
                <w:sz w:val="22"/>
                <w:szCs w:val="22"/>
                <w:lang w:eastAsia="en-IN"/>
              </w:rPr>
              <w:t>..</w:t>
            </w:r>
          </w:p>
        </w:tc>
        <w:tc>
          <w:tcPr>
            <w:tcW w:w="547" w:type="dxa"/>
            <w:noWrap/>
            <w:vAlign w:val="center"/>
            <w:hideMark/>
          </w:tcPr>
          <w:p w14:paraId="0D74C056" w14:textId="7FB0A20D" w:rsidR="000C3AB2" w:rsidRPr="00505A37" w:rsidRDefault="000C3AB2" w:rsidP="00505A37">
            <w:pPr>
              <w:pStyle w:val="NoSpacing"/>
              <w:jc w:val="center"/>
              <w:rPr>
                <w:rFonts w:ascii="Times New Roman" w:hAnsi="Times New Roman" w:cs="Times New Roman"/>
                <w:sz w:val="22"/>
                <w:szCs w:val="22"/>
                <w:lang w:eastAsia="en-IN"/>
              </w:rPr>
            </w:pPr>
            <w:r w:rsidRPr="00505A37">
              <w:rPr>
                <w:rFonts w:ascii="Times New Roman" w:hAnsi="Times New Roman" w:cs="Times New Roman"/>
                <w:sz w:val="22"/>
                <w:szCs w:val="22"/>
                <w:lang w:eastAsia="en-IN"/>
              </w:rPr>
              <w:t>0.77</w:t>
            </w:r>
          </w:p>
        </w:tc>
      </w:tr>
      <w:tr w:rsidR="000C3AB2" w:rsidRPr="00505A37" w14:paraId="177C265F" w14:textId="77777777" w:rsidTr="00505A37">
        <w:trPr>
          <w:trHeight w:val="20"/>
        </w:trPr>
        <w:tc>
          <w:tcPr>
            <w:tcW w:w="833" w:type="dxa"/>
            <w:noWrap/>
            <w:hideMark/>
          </w:tcPr>
          <w:p w14:paraId="42B3CBFC" w14:textId="77777777" w:rsidR="000C3AB2" w:rsidRPr="00505A37" w:rsidRDefault="000C3AB2" w:rsidP="000C3AB2">
            <w:pPr>
              <w:pStyle w:val="NoSpacing"/>
              <w:rPr>
                <w:rFonts w:ascii="Times New Roman" w:hAnsi="Times New Roman" w:cs="Times New Roman"/>
                <w:sz w:val="22"/>
                <w:szCs w:val="22"/>
                <w:lang w:eastAsia="en-IN"/>
              </w:rPr>
            </w:pPr>
            <w:r w:rsidRPr="00505A37">
              <w:rPr>
                <w:rFonts w:ascii="Times New Roman" w:hAnsi="Times New Roman" w:cs="Times New Roman"/>
                <w:sz w:val="22"/>
                <w:szCs w:val="22"/>
                <w:lang w:eastAsia="en-IN"/>
              </w:rPr>
              <w:t>Jammu &amp; Kashmir</w:t>
            </w:r>
          </w:p>
        </w:tc>
        <w:tc>
          <w:tcPr>
            <w:tcW w:w="625" w:type="dxa"/>
            <w:noWrap/>
            <w:vAlign w:val="center"/>
            <w:hideMark/>
          </w:tcPr>
          <w:p w14:paraId="06A55EDD" w14:textId="77777777" w:rsidR="000C3AB2" w:rsidRPr="00505A37" w:rsidRDefault="000C3AB2" w:rsidP="00505A37">
            <w:pPr>
              <w:pStyle w:val="NoSpacing"/>
              <w:jc w:val="center"/>
              <w:rPr>
                <w:rFonts w:ascii="Times New Roman" w:hAnsi="Times New Roman" w:cs="Times New Roman"/>
                <w:sz w:val="22"/>
                <w:szCs w:val="22"/>
                <w:lang w:eastAsia="en-IN"/>
              </w:rPr>
            </w:pPr>
            <w:r w:rsidRPr="00505A37">
              <w:rPr>
                <w:rFonts w:ascii="Times New Roman" w:hAnsi="Times New Roman" w:cs="Times New Roman"/>
                <w:sz w:val="22"/>
                <w:szCs w:val="22"/>
                <w:lang w:eastAsia="en-IN"/>
              </w:rPr>
              <w:t>3.08</w:t>
            </w:r>
          </w:p>
        </w:tc>
        <w:tc>
          <w:tcPr>
            <w:tcW w:w="682" w:type="dxa"/>
            <w:noWrap/>
            <w:vAlign w:val="center"/>
            <w:hideMark/>
          </w:tcPr>
          <w:p w14:paraId="1134EF5F" w14:textId="77777777" w:rsidR="000C3AB2" w:rsidRPr="00505A37" w:rsidRDefault="000C3AB2" w:rsidP="00505A37">
            <w:pPr>
              <w:pStyle w:val="NoSpacing"/>
              <w:jc w:val="center"/>
              <w:rPr>
                <w:rFonts w:ascii="Times New Roman" w:hAnsi="Times New Roman" w:cs="Times New Roman"/>
                <w:sz w:val="22"/>
                <w:szCs w:val="22"/>
                <w:lang w:eastAsia="en-IN"/>
              </w:rPr>
            </w:pPr>
            <w:r w:rsidRPr="00505A37">
              <w:rPr>
                <w:rFonts w:ascii="Times New Roman" w:hAnsi="Times New Roman" w:cs="Times New Roman"/>
                <w:sz w:val="22"/>
                <w:szCs w:val="22"/>
                <w:lang w:eastAsia="en-IN"/>
              </w:rPr>
              <w:t>2.45</w:t>
            </w:r>
          </w:p>
        </w:tc>
        <w:tc>
          <w:tcPr>
            <w:tcW w:w="625" w:type="dxa"/>
            <w:noWrap/>
            <w:vAlign w:val="center"/>
            <w:hideMark/>
          </w:tcPr>
          <w:p w14:paraId="36CFD3FF" w14:textId="77777777" w:rsidR="000C3AB2" w:rsidRPr="00505A37" w:rsidRDefault="000C3AB2" w:rsidP="00505A37">
            <w:pPr>
              <w:pStyle w:val="NoSpacing"/>
              <w:jc w:val="center"/>
              <w:rPr>
                <w:rFonts w:ascii="Times New Roman" w:hAnsi="Times New Roman" w:cs="Times New Roman"/>
                <w:sz w:val="22"/>
                <w:szCs w:val="22"/>
                <w:lang w:eastAsia="en-IN"/>
              </w:rPr>
            </w:pPr>
            <w:r w:rsidRPr="00505A37">
              <w:rPr>
                <w:rFonts w:ascii="Times New Roman" w:hAnsi="Times New Roman" w:cs="Times New Roman"/>
                <w:sz w:val="22"/>
                <w:szCs w:val="22"/>
                <w:lang w:eastAsia="en-IN"/>
              </w:rPr>
              <w:t>0.11</w:t>
            </w:r>
          </w:p>
        </w:tc>
        <w:tc>
          <w:tcPr>
            <w:tcW w:w="892" w:type="dxa"/>
            <w:noWrap/>
            <w:vAlign w:val="center"/>
            <w:hideMark/>
          </w:tcPr>
          <w:p w14:paraId="5E04B839" w14:textId="77777777" w:rsidR="000C3AB2" w:rsidRPr="00505A37" w:rsidRDefault="000C3AB2" w:rsidP="00505A37">
            <w:pPr>
              <w:pStyle w:val="NoSpacing"/>
              <w:jc w:val="center"/>
              <w:rPr>
                <w:rFonts w:ascii="Times New Roman" w:hAnsi="Times New Roman" w:cs="Times New Roman"/>
                <w:sz w:val="22"/>
                <w:szCs w:val="22"/>
                <w:lang w:eastAsia="en-IN"/>
              </w:rPr>
            </w:pPr>
            <w:r w:rsidRPr="00505A37">
              <w:rPr>
                <w:rFonts w:ascii="Times New Roman" w:hAnsi="Times New Roman" w:cs="Times New Roman"/>
                <w:sz w:val="22"/>
                <w:szCs w:val="22"/>
                <w:lang w:eastAsia="en-IN"/>
              </w:rPr>
              <w:t>0.39</w:t>
            </w:r>
          </w:p>
        </w:tc>
        <w:tc>
          <w:tcPr>
            <w:tcW w:w="625" w:type="dxa"/>
            <w:noWrap/>
            <w:vAlign w:val="center"/>
            <w:hideMark/>
          </w:tcPr>
          <w:p w14:paraId="761C53B2" w14:textId="1A7D2918" w:rsidR="000C3AB2" w:rsidRPr="00505A37" w:rsidRDefault="000C3AB2" w:rsidP="00505A37">
            <w:pPr>
              <w:pStyle w:val="NoSpacing"/>
              <w:jc w:val="center"/>
              <w:rPr>
                <w:rFonts w:ascii="Times New Roman" w:hAnsi="Times New Roman" w:cs="Times New Roman"/>
                <w:sz w:val="22"/>
                <w:szCs w:val="22"/>
                <w:lang w:eastAsia="en-IN"/>
              </w:rPr>
            </w:pPr>
            <w:r w:rsidRPr="00505A37">
              <w:rPr>
                <w:rFonts w:ascii="Times New Roman" w:hAnsi="Times New Roman" w:cs="Times New Roman"/>
                <w:sz w:val="22"/>
                <w:szCs w:val="22"/>
                <w:lang w:eastAsia="en-IN"/>
              </w:rPr>
              <w:t>+0.13</w:t>
            </w:r>
          </w:p>
        </w:tc>
        <w:tc>
          <w:tcPr>
            <w:tcW w:w="625" w:type="dxa"/>
            <w:noWrap/>
            <w:vAlign w:val="center"/>
            <w:hideMark/>
          </w:tcPr>
          <w:p w14:paraId="37C3D092" w14:textId="4E9E3D42" w:rsidR="000C3AB2" w:rsidRPr="00505A37" w:rsidRDefault="000C3AB2" w:rsidP="00505A37">
            <w:pPr>
              <w:pStyle w:val="NoSpacing"/>
              <w:jc w:val="center"/>
              <w:rPr>
                <w:rFonts w:ascii="Times New Roman" w:hAnsi="Times New Roman" w:cs="Times New Roman"/>
                <w:sz w:val="22"/>
                <w:szCs w:val="22"/>
                <w:lang w:eastAsia="en-IN"/>
              </w:rPr>
            </w:pPr>
            <w:r w:rsidRPr="00505A37">
              <w:rPr>
                <w:rFonts w:ascii="Times New Roman" w:hAnsi="Times New Roman" w:cs="Times New Roman"/>
                <w:sz w:val="22"/>
                <w:szCs w:val="22"/>
                <w:lang w:eastAsia="en-IN"/>
              </w:rPr>
              <w:t>-3.59</w:t>
            </w:r>
          </w:p>
        </w:tc>
        <w:tc>
          <w:tcPr>
            <w:tcW w:w="682" w:type="dxa"/>
            <w:noWrap/>
            <w:vAlign w:val="center"/>
            <w:hideMark/>
          </w:tcPr>
          <w:p w14:paraId="6E254315" w14:textId="27A0E804" w:rsidR="000C3AB2" w:rsidRPr="00505A37" w:rsidRDefault="000C3AB2" w:rsidP="00505A37">
            <w:pPr>
              <w:pStyle w:val="NoSpacing"/>
              <w:jc w:val="center"/>
              <w:rPr>
                <w:rFonts w:ascii="Times New Roman" w:hAnsi="Times New Roman" w:cs="Times New Roman"/>
                <w:sz w:val="22"/>
                <w:szCs w:val="22"/>
                <w:lang w:eastAsia="en-IN"/>
              </w:rPr>
            </w:pPr>
            <w:r w:rsidRPr="00505A37">
              <w:rPr>
                <w:rFonts w:ascii="Times New Roman" w:hAnsi="Times New Roman" w:cs="Times New Roman"/>
                <w:sz w:val="22"/>
                <w:szCs w:val="22"/>
                <w:lang w:eastAsia="en-IN"/>
              </w:rPr>
              <w:t>-2.8</w:t>
            </w:r>
          </w:p>
        </w:tc>
        <w:tc>
          <w:tcPr>
            <w:tcW w:w="675" w:type="dxa"/>
            <w:noWrap/>
            <w:vAlign w:val="center"/>
            <w:hideMark/>
          </w:tcPr>
          <w:p w14:paraId="268B78DD" w14:textId="77777777" w:rsidR="000C3AB2" w:rsidRPr="00505A37" w:rsidRDefault="000C3AB2" w:rsidP="00505A37">
            <w:pPr>
              <w:pStyle w:val="NoSpacing"/>
              <w:jc w:val="center"/>
              <w:rPr>
                <w:rFonts w:ascii="Times New Roman" w:hAnsi="Times New Roman" w:cs="Times New Roman"/>
                <w:sz w:val="22"/>
                <w:szCs w:val="22"/>
                <w:lang w:eastAsia="en-IN"/>
              </w:rPr>
            </w:pPr>
            <w:r w:rsidRPr="00505A37">
              <w:rPr>
                <w:rFonts w:ascii="Times New Roman" w:hAnsi="Times New Roman" w:cs="Times New Roman"/>
                <w:sz w:val="22"/>
                <w:szCs w:val="22"/>
                <w:lang w:eastAsia="en-IN"/>
              </w:rPr>
              <w:t>0.11</w:t>
            </w:r>
          </w:p>
        </w:tc>
        <w:tc>
          <w:tcPr>
            <w:tcW w:w="892" w:type="dxa"/>
            <w:noWrap/>
            <w:vAlign w:val="center"/>
            <w:hideMark/>
          </w:tcPr>
          <w:p w14:paraId="4FA8700E" w14:textId="77777777" w:rsidR="000C3AB2" w:rsidRPr="00505A37" w:rsidRDefault="000C3AB2" w:rsidP="00505A37">
            <w:pPr>
              <w:pStyle w:val="NoSpacing"/>
              <w:jc w:val="center"/>
              <w:rPr>
                <w:rFonts w:ascii="Times New Roman" w:hAnsi="Times New Roman" w:cs="Times New Roman"/>
                <w:sz w:val="22"/>
                <w:szCs w:val="22"/>
                <w:lang w:eastAsia="en-IN"/>
              </w:rPr>
            </w:pPr>
            <w:r w:rsidRPr="00505A37">
              <w:rPr>
                <w:rFonts w:ascii="Times New Roman" w:hAnsi="Times New Roman" w:cs="Times New Roman"/>
                <w:sz w:val="22"/>
                <w:szCs w:val="22"/>
                <w:lang w:eastAsia="en-IN"/>
              </w:rPr>
              <w:t>0.34</w:t>
            </w:r>
          </w:p>
        </w:tc>
        <w:tc>
          <w:tcPr>
            <w:tcW w:w="625" w:type="dxa"/>
            <w:noWrap/>
            <w:vAlign w:val="center"/>
            <w:hideMark/>
          </w:tcPr>
          <w:p w14:paraId="0BDFA4A7" w14:textId="62F1AF87" w:rsidR="000C3AB2" w:rsidRPr="00505A37" w:rsidRDefault="000C3AB2" w:rsidP="00505A37">
            <w:pPr>
              <w:pStyle w:val="NoSpacing"/>
              <w:jc w:val="center"/>
              <w:rPr>
                <w:rFonts w:ascii="Times New Roman" w:hAnsi="Times New Roman" w:cs="Times New Roman"/>
                <w:sz w:val="22"/>
                <w:szCs w:val="22"/>
                <w:lang w:eastAsia="en-IN"/>
              </w:rPr>
            </w:pPr>
            <w:r w:rsidRPr="00505A37">
              <w:rPr>
                <w:rFonts w:ascii="Times New Roman" w:hAnsi="Times New Roman" w:cs="Times New Roman"/>
                <w:sz w:val="22"/>
                <w:szCs w:val="22"/>
                <w:lang w:eastAsia="en-IN"/>
              </w:rPr>
              <w:t>+0.34</w:t>
            </w:r>
          </w:p>
        </w:tc>
        <w:tc>
          <w:tcPr>
            <w:tcW w:w="625" w:type="dxa"/>
            <w:noWrap/>
            <w:vAlign w:val="center"/>
          </w:tcPr>
          <w:p w14:paraId="1DBC4CCC" w14:textId="2EF4FECA" w:rsidR="000C3AB2" w:rsidRPr="00505A37" w:rsidRDefault="000C3AB2" w:rsidP="00505A37">
            <w:pPr>
              <w:pStyle w:val="NoSpacing"/>
              <w:jc w:val="center"/>
              <w:rPr>
                <w:rFonts w:ascii="Times New Roman" w:hAnsi="Times New Roman" w:cs="Times New Roman"/>
                <w:sz w:val="22"/>
                <w:szCs w:val="22"/>
                <w:lang w:eastAsia="en-IN"/>
              </w:rPr>
            </w:pPr>
            <w:r w:rsidRPr="00505A37">
              <w:rPr>
                <w:rFonts w:ascii="Times New Roman" w:hAnsi="Times New Roman" w:cs="Times New Roman"/>
                <w:sz w:val="22"/>
                <w:szCs w:val="22"/>
                <w:lang w:eastAsia="en-IN"/>
              </w:rPr>
              <w:t>4.18</w:t>
            </w:r>
          </w:p>
        </w:tc>
        <w:tc>
          <w:tcPr>
            <w:tcW w:w="682" w:type="dxa"/>
            <w:noWrap/>
            <w:vAlign w:val="center"/>
          </w:tcPr>
          <w:p w14:paraId="5BDAF571" w14:textId="07DF5C75" w:rsidR="000C3AB2" w:rsidRPr="00505A37" w:rsidRDefault="000C3AB2" w:rsidP="00505A37">
            <w:pPr>
              <w:pStyle w:val="NoSpacing"/>
              <w:jc w:val="center"/>
              <w:rPr>
                <w:rFonts w:ascii="Times New Roman" w:hAnsi="Times New Roman" w:cs="Times New Roman"/>
                <w:sz w:val="22"/>
                <w:szCs w:val="22"/>
                <w:lang w:eastAsia="en-IN"/>
              </w:rPr>
            </w:pPr>
            <w:r w:rsidRPr="00505A37">
              <w:rPr>
                <w:rFonts w:ascii="Times New Roman" w:hAnsi="Times New Roman" w:cs="Times New Roman"/>
                <w:sz w:val="22"/>
                <w:szCs w:val="22"/>
                <w:lang w:eastAsia="en-IN"/>
              </w:rPr>
              <w:t>3.4</w:t>
            </w:r>
          </w:p>
        </w:tc>
        <w:tc>
          <w:tcPr>
            <w:tcW w:w="625" w:type="dxa"/>
            <w:noWrap/>
            <w:vAlign w:val="center"/>
          </w:tcPr>
          <w:p w14:paraId="7A06C6E4" w14:textId="1EEABC83" w:rsidR="000C3AB2" w:rsidRPr="00505A37" w:rsidRDefault="000C3AB2" w:rsidP="00505A37">
            <w:pPr>
              <w:pStyle w:val="NoSpacing"/>
              <w:jc w:val="center"/>
              <w:rPr>
                <w:rFonts w:ascii="Times New Roman" w:hAnsi="Times New Roman" w:cs="Times New Roman"/>
                <w:sz w:val="22"/>
                <w:szCs w:val="22"/>
                <w:lang w:eastAsia="en-IN"/>
              </w:rPr>
            </w:pPr>
            <w:r w:rsidRPr="00505A37">
              <w:rPr>
                <w:rFonts w:ascii="Times New Roman" w:hAnsi="Times New Roman" w:cs="Times New Roman"/>
                <w:sz w:val="22"/>
                <w:szCs w:val="22"/>
                <w:lang w:eastAsia="en-IN"/>
              </w:rPr>
              <w:t>0.09</w:t>
            </w:r>
          </w:p>
        </w:tc>
        <w:tc>
          <w:tcPr>
            <w:tcW w:w="892" w:type="dxa"/>
            <w:noWrap/>
            <w:vAlign w:val="center"/>
          </w:tcPr>
          <w:p w14:paraId="710906AC" w14:textId="2E4EB66C" w:rsidR="000C3AB2" w:rsidRPr="00505A37" w:rsidRDefault="000C3AB2" w:rsidP="00505A37">
            <w:pPr>
              <w:pStyle w:val="NoSpacing"/>
              <w:jc w:val="center"/>
              <w:rPr>
                <w:rFonts w:ascii="Times New Roman" w:hAnsi="Times New Roman" w:cs="Times New Roman"/>
                <w:sz w:val="22"/>
                <w:szCs w:val="22"/>
                <w:lang w:eastAsia="en-IN"/>
              </w:rPr>
            </w:pPr>
            <w:r w:rsidRPr="00505A37">
              <w:rPr>
                <w:rFonts w:ascii="Times New Roman" w:hAnsi="Times New Roman" w:cs="Times New Roman"/>
                <w:sz w:val="22"/>
                <w:szCs w:val="22"/>
                <w:lang w:eastAsia="en-IN"/>
              </w:rPr>
              <w:t>0.22</w:t>
            </w:r>
          </w:p>
        </w:tc>
        <w:tc>
          <w:tcPr>
            <w:tcW w:w="625" w:type="dxa"/>
            <w:noWrap/>
            <w:vAlign w:val="center"/>
          </w:tcPr>
          <w:p w14:paraId="0251D96B" w14:textId="1CB915FE" w:rsidR="000C3AB2" w:rsidRPr="00505A37" w:rsidRDefault="000C3AB2" w:rsidP="00505A37">
            <w:pPr>
              <w:pStyle w:val="NoSpacing"/>
              <w:jc w:val="center"/>
              <w:rPr>
                <w:rFonts w:ascii="Times New Roman" w:hAnsi="Times New Roman" w:cs="Times New Roman"/>
                <w:sz w:val="22"/>
                <w:szCs w:val="22"/>
                <w:lang w:eastAsia="en-IN"/>
              </w:rPr>
            </w:pPr>
            <w:r w:rsidRPr="00505A37">
              <w:rPr>
                <w:rFonts w:ascii="Times New Roman" w:hAnsi="Times New Roman" w:cs="Times New Roman"/>
                <w:sz w:val="22"/>
                <w:szCs w:val="22"/>
                <w:lang w:eastAsia="en-IN"/>
              </w:rPr>
              <w:t>0.47</w:t>
            </w:r>
          </w:p>
        </w:tc>
        <w:tc>
          <w:tcPr>
            <w:tcW w:w="625" w:type="dxa"/>
            <w:noWrap/>
            <w:vAlign w:val="center"/>
          </w:tcPr>
          <w:p w14:paraId="190E84C3" w14:textId="038D7311" w:rsidR="000C3AB2" w:rsidRPr="00505A37" w:rsidRDefault="000C3AB2" w:rsidP="00505A37">
            <w:pPr>
              <w:pStyle w:val="NoSpacing"/>
              <w:jc w:val="center"/>
              <w:rPr>
                <w:rFonts w:ascii="Times New Roman" w:hAnsi="Times New Roman" w:cs="Times New Roman"/>
                <w:sz w:val="22"/>
                <w:szCs w:val="22"/>
                <w:lang w:eastAsia="en-IN"/>
              </w:rPr>
            </w:pPr>
            <w:r w:rsidRPr="00505A37">
              <w:rPr>
                <w:rFonts w:ascii="Times New Roman" w:hAnsi="Times New Roman" w:cs="Times New Roman"/>
                <w:sz w:val="22"/>
                <w:szCs w:val="22"/>
                <w:lang w:eastAsia="en-IN"/>
              </w:rPr>
              <w:t>4.4</w:t>
            </w:r>
          </w:p>
        </w:tc>
        <w:tc>
          <w:tcPr>
            <w:tcW w:w="682" w:type="dxa"/>
            <w:noWrap/>
            <w:vAlign w:val="center"/>
          </w:tcPr>
          <w:p w14:paraId="5D07EABB" w14:textId="6483F2B8" w:rsidR="000C3AB2" w:rsidRPr="00505A37" w:rsidRDefault="000C3AB2" w:rsidP="00505A37">
            <w:pPr>
              <w:pStyle w:val="NoSpacing"/>
              <w:jc w:val="center"/>
              <w:rPr>
                <w:rFonts w:ascii="Times New Roman" w:hAnsi="Times New Roman" w:cs="Times New Roman"/>
                <w:sz w:val="22"/>
                <w:szCs w:val="22"/>
                <w:lang w:eastAsia="en-IN"/>
              </w:rPr>
            </w:pPr>
            <w:r w:rsidRPr="00505A37">
              <w:rPr>
                <w:rFonts w:ascii="Times New Roman" w:hAnsi="Times New Roman" w:cs="Times New Roman"/>
                <w:sz w:val="22"/>
                <w:szCs w:val="22"/>
                <w:lang w:eastAsia="en-IN"/>
              </w:rPr>
              <w:t>3.33</w:t>
            </w:r>
          </w:p>
        </w:tc>
        <w:tc>
          <w:tcPr>
            <w:tcW w:w="625" w:type="dxa"/>
            <w:noWrap/>
            <w:vAlign w:val="center"/>
          </w:tcPr>
          <w:p w14:paraId="13C4FA21" w14:textId="350368BE" w:rsidR="000C3AB2" w:rsidRPr="00505A37" w:rsidRDefault="000C3AB2" w:rsidP="00505A37">
            <w:pPr>
              <w:pStyle w:val="NoSpacing"/>
              <w:jc w:val="center"/>
              <w:rPr>
                <w:rFonts w:ascii="Times New Roman" w:hAnsi="Times New Roman" w:cs="Times New Roman"/>
                <w:sz w:val="22"/>
                <w:szCs w:val="22"/>
                <w:lang w:eastAsia="en-IN"/>
              </w:rPr>
            </w:pPr>
            <w:r w:rsidRPr="00505A37">
              <w:rPr>
                <w:rFonts w:ascii="Times New Roman" w:hAnsi="Times New Roman" w:cs="Times New Roman"/>
                <w:sz w:val="22"/>
                <w:szCs w:val="22"/>
                <w:lang w:eastAsia="en-IN"/>
              </w:rPr>
              <w:t>0.12</w:t>
            </w:r>
          </w:p>
        </w:tc>
        <w:tc>
          <w:tcPr>
            <w:tcW w:w="892" w:type="dxa"/>
            <w:noWrap/>
            <w:vAlign w:val="center"/>
          </w:tcPr>
          <w:p w14:paraId="06BC7093" w14:textId="5ED60A14" w:rsidR="000C3AB2" w:rsidRPr="00505A37" w:rsidRDefault="000C3AB2" w:rsidP="00505A37">
            <w:pPr>
              <w:pStyle w:val="NoSpacing"/>
              <w:jc w:val="center"/>
              <w:rPr>
                <w:rFonts w:ascii="Times New Roman" w:hAnsi="Times New Roman" w:cs="Times New Roman"/>
                <w:sz w:val="22"/>
                <w:szCs w:val="22"/>
                <w:lang w:eastAsia="en-IN"/>
              </w:rPr>
            </w:pPr>
            <w:r w:rsidRPr="00505A37">
              <w:rPr>
                <w:rFonts w:ascii="Times New Roman" w:hAnsi="Times New Roman" w:cs="Times New Roman"/>
                <w:sz w:val="22"/>
                <w:szCs w:val="22"/>
                <w:lang w:eastAsia="en-IN"/>
              </w:rPr>
              <w:t>0.38</w:t>
            </w:r>
          </w:p>
        </w:tc>
        <w:tc>
          <w:tcPr>
            <w:tcW w:w="547" w:type="dxa"/>
            <w:noWrap/>
            <w:vAlign w:val="center"/>
          </w:tcPr>
          <w:p w14:paraId="06376DCE" w14:textId="544D7EED" w:rsidR="000C3AB2" w:rsidRPr="00505A37" w:rsidRDefault="000C3AB2" w:rsidP="00505A37">
            <w:pPr>
              <w:pStyle w:val="NoSpacing"/>
              <w:jc w:val="center"/>
              <w:rPr>
                <w:rFonts w:ascii="Times New Roman" w:hAnsi="Times New Roman" w:cs="Times New Roman"/>
                <w:sz w:val="22"/>
                <w:szCs w:val="22"/>
                <w:lang w:eastAsia="en-IN"/>
              </w:rPr>
            </w:pPr>
            <w:r w:rsidRPr="00505A37">
              <w:rPr>
                <w:rFonts w:ascii="Times New Roman" w:hAnsi="Times New Roman" w:cs="Times New Roman"/>
                <w:sz w:val="22"/>
                <w:szCs w:val="22"/>
                <w:lang w:eastAsia="en-IN"/>
              </w:rPr>
              <w:t>0.57</w:t>
            </w:r>
          </w:p>
        </w:tc>
      </w:tr>
      <w:tr w:rsidR="000C3AB2" w:rsidRPr="00505A37" w14:paraId="028928AA" w14:textId="77777777" w:rsidTr="00505A37">
        <w:trPr>
          <w:trHeight w:val="20"/>
        </w:trPr>
        <w:tc>
          <w:tcPr>
            <w:tcW w:w="833" w:type="dxa"/>
            <w:noWrap/>
            <w:hideMark/>
          </w:tcPr>
          <w:p w14:paraId="10D8B646" w14:textId="77777777" w:rsidR="000C3AB2" w:rsidRPr="00505A37" w:rsidRDefault="000C3AB2" w:rsidP="000C3AB2">
            <w:pPr>
              <w:pStyle w:val="NoSpacing"/>
              <w:rPr>
                <w:rFonts w:ascii="Times New Roman" w:hAnsi="Times New Roman" w:cs="Times New Roman"/>
                <w:sz w:val="22"/>
                <w:szCs w:val="22"/>
                <w:lang w:eastAsia="en-IN"/>
              </w:rPr>
            </w:pPr>
            <w:r w:rsidRPr="00505A37">
              <w:rPr>
                <w:rFonts w:ascii="Times New Roman" w:hAnsi="Times New Roman" w:cs="Times New Roman"/>
                <w:sz w:val="22"/>
                <w:szCs w:val="22"/>
                <w:lang w:eastAsia="en-IN"/>
              </w:rPr>
              <w:t>Kerala</w:t>
            </w:r>
          </w:p>
        </w:tc>
        <w:tc>
          <w:tcPr>
            <w:tcW w:w="625" w:type="dxa"/>
            <w:noWrap/>
            <w:vAlign w:val="center"/>
            <w:hideMark/>
          </w:tcPr>
          <w:p w14:paraId="64D551E7" w14:textId="77777777" w:rsidR="000C3AB2" w:rsidRPr="00505A37" w:rsidRDefault="000C3AB2" w:rsidP="00505A37">
            <w:pPr>
              <w:pStyle w:val="NoSpacing"/>
              <w:jc w:val="center"/>
              <w:rPr>
                <w:rFonts w:ascii="Times New Roman" w:hAnsi="Times New Roman" w:cs="Times New Roman"/>
                <w:sz w:val="22"/>
                <w:szCs w:val="22"/>
                <w:lang w:eastAsia="en-IN"/>
              </w:rPr>
            </w:pPr>
            <w:r w:rsidRPr="00505A37">
              <w:rPr>
                <w:rFonts w:ascii="Times New Roman" w:hAnsi="Times New Roman" w:cs="Times New Roman"/>
                <w:sz w:val="22"/>
                <w:szCs w:val="22"/>
                <w:lang w:eastAsia="en-IN"/>
              </w:rPr>
              <w:t>..</w:t>
            </w:r>
          </w:p>
        </w:tc>
        <w:tc>
          <w:tcPr>
            <w:tcW w:w="682" w:type="dxa"/>
            <w:noWrap/>
            <w:vAlign w:val="center"/>
            <w:hideMark/>
          </w:tcPr>
          <w:p w14:paraId="66B3E6C7" w14:textId="77777777" w:rsidR="000C3AB2" w:rsidRPr="00505A37" w:rsidRDefault="000C3AB2" w:rsidP="00505A37">
            <w:pPr>
              <w:pStyle w:val="NoSpacing"/>
              <w:jc w:val="center"/>
              <w:rPr>
                <w:rFonts w:ascii="Times New Roman" w:hAnsi="Times New Roman" w:cs="Times New Roman"/>
                <w:sz w:val="22"/>
                <w:szCs w:val="22"/>
                <w:lang w:eastAsia="en-IN"/>
              </w:rPr>
            </w:pPr>
            <w:r w:rsidRPr="00505A37">
              <w:rPr>
                <w:rFonts w:ascii="Times New Roman" w:hAnsi="Times New Roman" w:cs="Times New Roman"/>
                <w:sz w:val="22"/>
                <w:szCs w:val="22"/>
                <w:lang w:eastAsia="en-IN"/>
              </w:rPr>
              <w:t>..</w:t>
            </w:r>
          </w:p>
        </w:tc>
        <w:tc>
          <w:tcPr>
            <w:tcW w:w="625" w:type="dxa"/>
            <w:noWrap/>
            <w:vAlign w:val="center"/>
            <w:hideMark/>
          </w:tcPr>
          <w:p w14:paraId="1EA954A9" w14:textId="77777777" w:rsidR="000C3AB2" w:rsidRPr="00505A37" w:rsidRDefault="000C3AB2" w:rsidP="00505A37">
            <w:pPr>
              <w:pStyle w:val="NoSpacing"/>
              <w:jc w:val="center"/>
              <w:rPr>
                <w:rFonts w:ascii="Times New Roman" w:hAnsi="Times New Roman" w:cs="Times New Roman"/>
                <w:sz w:val="22"/>
                <w:szCs w:val="22"/>
                <w:lang w:eastAsia="en-IN"/>
              </w:rPr>
            </w:pPr>
            <w:r w:rsidRPr="00505A37">
              <w:rPr>
                <w:rFonts w:ascii="Times New Roman" w:hAnsi="Times New Roman" w:cs="Times New Roman"/>
                <w:sz w:val="22"/>
                <w:szCs w:val="22"/>
                <w:lang w:eastAsia="en-IN"/>
              </w:rPr>
              <w:t>..</w:t>
            </w:r>
          </w:p>
        </w:tc>
        <w:tc>
          <w:tcPr>
            <w:tcW w:w="892" w:type="dxa"/>
            <w:noWrap/>
            <w:vAlign w:val="center"/>
            <w:hideMark/>
          </w:tcPr>
          <w:p w14:paraId="61218E3E" w14:textId="77777777" w:rsidR="000C3AB2" w:rsidRPr="00505A37" w:rsidRDefault="000C3AB2" w:rsidP="00505A37">
            <w:pPr>
              <w:pStyle w:val="NoSpacing"/>
              <w:jc w:val="center"/>
              <w:rPr>
                <w:rFonts w:ascii="Times New Roman" w:hAnsi="Times New Roman" w:cs="Times New Roman"/>
                <w:sz w:val="22"/>
                <w:szCs w:val="22"/>
                <w:lang w:eastAsia="en-IN"/>
              </w:rPr>
            </w:pPr>
            <w:r w:rsidRPr="00505A37">
              <w:rPr>
                <w:rFonts w:ascii="Times New Roman" w:hAnsi="Times New Roman" w:cs="Times New Roman"/>
                <w:sz w:val="22"/>
                <w:szCs w:val="22"/>
                <w:lang w:eastAsia="en-IN"/>
              </w:rPr>
              <w:t>..</w:t>
            </w:r>
          </w:p>
        </w:tc>
        <w:tc>
          <w:tcPr>
            <w:tcW w:w="625" w:type="dxa"/>
            <w:noWrap/>
            <w:vAlign w:val="center"/>
            <w:hideMark/>
          </w:tcPr>
          <w:p w14:paraId="5F5AB8DD" w14:textId="77777777" w:rsidR="000C3AB2" w:rsidRPr="00505A37" w:rsidRDefault="000C3AB2" w:rsidP="00505A37">
            <w:pPr>
              <w:pStyle w:val="NoSpacing"/>
              <w:jc w:val="center"/>
              <w:rPr>
                <w:rFonts w:ascii="Times New Roman" w:hAnsi="Times New Roman" w:cs="Times New Roman"/>
                <w:sz w:val="22"/>
                <w:szCs w:val="22"/>
                <w:lang w:eastAsia="en-IN"/>
              </w:rPr>
            </w:pPr>
            <w:r w:rsidRPr="00505A37">
              <w:rPr>
                <w:rFonts w:ascii="Times New Roman" w:hAnsi="Times New Roman" w:cs="Times New Roman"/>
                <w:sz w:val="22"/>
                <w:szCs w:val="22"/>
                <w:lang w:eastAsia="en-IN"/>
              </w:rPr>
              <w:t>..</w:t>
            </w:r>
          </w:p>
        </w:tc>
        <w:tc>
          <w:tcPr>
            <w:tcW w:w="625" w:type="dxa"/>
            <w:noWrap/>
            <w:vAlign w:val="center"/>
            <w:hideMark/>
          </w:tcPr>
          <w:p w14:paraId="3672D60B" w14:textId="77777777" w:rsidR="000C3AB2" w:rsidRPr="00505A37" w:rsidRDefault="000C3AB2" w:rsidP="00505A37">
            <w:pPr>
              <w:pStyle w:val="NoSpacing"/>
              <w:jc w:val="center"/>
              <w:rPr>
                <w:rFonts w:ascii="Times New Roman" w:hAnsi="Times New Roman" w:cs="Times New Roman"/>
                <w:sz w:val="22"/>
                <w:szCs w:val="22"/>
                <w:lang w:eastAsia="en-IN"/>
              </w:rPr>
            </w:pPr>
            <w:r w:rsidRPr="00505A37">
              <w:rPr>
                <w:rFonts w:ascii="Times New Roman" w:hAnsi="Times New Roman" w:cs="Times New Roman"/>
                <w:sz w:val="22"/>
                <w:szCs w:val="22"/>
                <w:lang w:eastAsia="en-IN"/>
              </w:rPr>
              <w:t>..</w:t>
            </w:r>
          </w:p>
        </w:tc>
        <w:tc>
          <w:tcPr>
            <w:tcW w:w="682" w:type="dxa"/>
            <w:noWrap/>
            <w:vAlign w:val="center"/>
            <w:hideMark/>
          </w:tcPr>
          <w:p w14:paraId="6E8A4314" w14:textId="77777777" w:rsidR="000C3AB2" w:rsidRPr="00505A37" w:rsidRDefault="000C3AB2" w:rsidP="00505A37">
            <w:pPr>
              <w:pStyle w:val="NoSpacing"/>
              <w:jc w:val="center"/>
              <w:rPr>
                <w:rFonts w:ascii="Times New Roman" w:hAnsi="Times New Roman" w:cs="Times New Roman"/>
                <w:sz w:val="22"/>
                <w:szCs w:val="22"/>
                <w:lang w:eastAsia="en-IN"/>
              </w:rPr>
            </w:pPr>
            <w:r w:rsidRPr="00505A37">
              <w:rPr>
                <w:rFonts w:ascii="Times New Roman" w:hAnsi="Times New Roman" w:cs="Times New Roman"/>
                <w:sz w:val="22"/>
                <w:szCs w:val="22"/>
                <w:lang w:eastAsia="en-IN"/>
              </w:rPr>
              <w:t>..</w:t>
            </w:r>
          </w:p>
        </w:tc>
        <w:tc>
          <w:tcPr>
            <w:tcW w:w="675" w:type="dxa"/>
            <w:noWrap/>
            <w:vAlign w:val="center"/>
            <w:hideMark/>
          </w:tcPr>
          <w:p w14:paraId="493C435C" w14:textId="77777777" w:rsidR="000C3AB2" w:rsidRPr="00505A37" w:rsidRDefault="000C3AB2" w:rsidP="00505A37">
            <w:pPr>
              <w:pStyle w:val="NoSpacing"/>
              <w:jc w:val="center"/>
              <w:rPr>
                <w:rFonts w:ascii="Times New Roman" w:hAnsi="Times New Roman" w:cs="Times New Roman"/>
                <w:sz w:val="22"/>
                <w:szCs w:val="22"/>
                <w:lang w:eastAsia="en-IN"/>
              </w:rPr>
            </w:pPr>
            <w:r w:rsidRPr="00505A37">
              <w:rPr>
                <w:rFonts w:ascii="Times New Roman" w:hAnsi="Times New Roman" w:cs="Times New Roman"/>
                <w:sz w:val="22"/>
                <w:szCs w:val="22"/>
                <w:lang w:eastAsia="en-IN"/>
              </w:rPr>
              <w:t>..</w:t>
            </w:r>
          </w:p>
        </w:tc>
        <w:tc>
          <w:tcPr>
            <w:tcW w:w="892" w:type="dxa"/>
            <w:noWrap/>
            <w:vAlign w:val="center"/>
            <w:hideMark/>
          </w:tcPr>
          <w:p w14:paraId="27F10C3F" w14:textId="77777777" w:rsidR="000C3AB2" w:rsidRPr="00505A37" w:rsidRDefault="000C3AB2" w:rsidP="00505A37">
            <w:pPr>
              <w:pStyle w:val="NoSpacing"/>
              <w:jc w:val="center"/>
              <w:rPr>
                <w:rFonts w:ascii="Times New Roman" w:hAnsi="Times New Roman" w:cs="Times New Roman"/>
                <w:sz w:val="22"/>
                <w:szCs w:val="22"/>
                <w:lang w:eastAsia="en-IN"/>
              </w:rPr>
            </w:pPr>
            <w:r w:rsidRPr="00505A37">
              <w:rPr>
                <w:rFonts w:ascii="Times New Roman" w:hAnsi="Times New Roman" w:cs="Times New Roman"/>
                <w:sz w:val="22"/>
                <w:szCs w:val="22"/>
                <w:lang w:eastAsia="en-IN"/>
              </w:rPr>
              <w:t>..</w:t>
            </w:r>
          </w:p>
        </w:tc>
        <w:tc>
          <w:tcPr>
            <w:tcW w:w="625" w:type="dxa"/>
            <w:noWrap/>
            <w:vAlign w:val="center"/>
            <w:hideMark/>
          </w:tcPr>
          <w:p w14:paraId="656F8EF9" w14:textId="77777777" w:rsidR="000C3AB2" w:rsidRPr="00505A37" w:rsidRDefault="000C3AB2" w:rsidP="00505A37">
            <w:pPr>
              <w:pStyle w:val="NoSpacing"/>
              <w:jc w:val="center"/>
              <w:rPr>
                <w:rFonts w:ascii="Times New Roman" w:hAnsi="Times New Roman" w:cs="Times New Roman"/>
                <w:sz w:val="22"/>
                <w:szCs w:val="22"/>
                <w:lang w:eastAsia="en-IN"/>
              </w:rPr>
            </w:pPr>
            <w:r w:rsidRPr="00505A37">
              <w:rPr>
                <w:rFonts w:ascii="Times New Roman" w:hAnsi="Times New Roman" w:cs="Times New Roman"/>
                <w:sz w:val="22"/>
                <w:szCs w:val="22"/>
                <w:lang w:eastAsia="en-IN"/>
              </w:rPr>
              <w:t>..</w:t>
            </w:r>
          </w:p>
        </w:tc>
        <w:tc>
          <w:tcPr>
            <w:tcW w:w="625" w:type="dxa"/>
            <w:noWrap/>
            <w:vAlign w:val="center"/>
          </w:tcPr>
          <w:p w14:paraId="03CCC83E" w14:textId="136953E1" w:rsidR="000C3AB2" w:rsidRPr="00505A37" w:rsidRDefault="000C3AB2" w:rsidP="00505A37">
            <w:pPr>
              <w:pStyle w:val="NoSpacing"/>
              <w:jc w:val="center"/>
              <w:rPr>
                <w:rFonts w:ascii="Times New Roman" w:hAnsi="Times New Roman" w:cs="Times New Roman"/>
                <w:sz w:val="22"/>
                <w:szCs w:val="22"/>
                <w:lang w:eastAsia="en-IN"/>
              </w:rPr>
            </w:pPr>
            <w:r w:rsidRPr="00505A37">
              <w:rPr>
                <w:rFonts w:ascii="Times New Roman" w:hAnsi="Times New Roman" w:cs="Times New Roman"/>
                <w:sz w:val="22"/>
                <w:szCs w:val="22"/>
                <w:lang w:eastAsia="en-IN"/>
              </w:rPr>
              <w:t>..</w:t>
            </w:r>
          </w:p>
        </w:tc>
        <w:tc>
          <w:tcPr>
            <w:tcW w:w="682" w:type="dxa"/>
            <w:noWrap/>
            <w:vAlign w:val="center"/>
          </w:tcPr>
          <w:p w14:paraId="622AA792" w14:textId="4AC39429" w:rsidR="000C3AB2" w:rsidRPr="00505A37" w:rsidRDefault="000C3AB2" w:rsidP="00505A37">
            <w:pPr>
              <w:pStyle w:val="NoSpacing"/>
              <w:jc w:val="center"/>
              <w:rPr>
                <w:rFonts w:ascii="Times New Roman" w:hAnsi="Times New Roman" w:cs="Times New Roman"/>
                <w:sz w:val="22"/>
                <w:szCs w:val="22"/>
                <w:lang w:eastAsia="en-IN"/>
              </w:rPr>
            </w:pPr>
            <w:r w:rsidRPr="00505A37">
              <w:rPr>
                <w:rFonts w:ascii="Times New Roman" w:hAnsi="Times New Roman" w:cs="Times New Roman"/>
                <w:sz w:val="22"/>
                <w:szCs w:val="22"/>
                <w:lang w:eastAsia="en-IN"/>
              </w:rPr>
              <w:t>..</w:t>
            </w:r>
          </w:p>
        </w:tc>
        <w:tc>
          <w:tcPr>
            <w:tcW w:w="625" w:type="dxa"/>
            <w:noWrap/>
            <w:vAlign w:val="center"/>
          </w:tcPr>
          <w:p w14:paraId="196B7CF5" w14:textId="4C17D64A" w:rsidR="000C3AB2" w:rsidRPr="00505A37" w:rsidRDefault="000C3AB2" w:rsidP="00505A37">
            <w:pPr>
              <w:pStyle w:val="NoSpacing"/>
              <w:jc w:val="center"/>
              <w:rPr>
                <w:rFonts w:ascii="Times New Roman" w:hAnsi="Times New Roman" w:cs="Times New Roman"/>
                <w:sz w:val="22"/>
                <w:szCs w:val="22"/>
                <w:lang w:eastAsia="en-IN"/>
              </w:rPr>
            </w:pPr>
            <w:r w:rsidRPr="00505A37">
              <w:rPr>
                <w:rFonts w:ascii="Times New Roman" w:hAnsi="Times New Roman" w:cs="Times New Roman"/>
                <w:sz w:val="22"/>
                <w:szCs w:val="22"/>
                <w:lang w:eastAsia="en-IN"/>
              </w:rPr>
              <w:t>..</w:t>
            </w:r>
          </w:p>
        </w:tc>
        <w:tc>
          <w:tcPr>
            <w:tcW w:w="892" w:type="dxa"/>
            <w:noWrap/>
            <w:vAlign w:val="center"/>
          </w:tcPr>
          <w:p w14:paraId="4BA59294" w14:textId="4984B637" w:rsidR="000C3AB2" w:rsidRPr="00505A37" w:rsidRDefault="000C3AB2" w:rsidP="00505A37">
            <w:pPr>
              <w:pStyle w:val="NoSpacing"/>
              <w:jc w:val="center"/>
              <w:rPr>
                <w:rFonts w:ascii="Times New Roman" w:hAnsi="Times New Roman" w:cs="Times New Roman"/>
                <w:sz w:val="22"/>
                <w:szCs w:val="22"/>
                <w:lang w:eastAsia="en-IN"/>
              </w:rPr>
            </w:pPr>
            <w:r w:rsidRPr="00505A37">
              <w:rPr>
                <w:rFonts w:ascii="Times New Roman" w:hAnsi="Times New Roman" w:cs="Times New Roman"/>
                <w:sz w:val="22"/>
                <w:szCs w:val="22"/>
                <w:lang w:eastAsia="en-IN"/>
              </w:rPr>
              <w:t>..</w:t>
            </w:r>
          </w:p>
        </w:tc>
        <w:tc>
          <w:tcPr>
            <w:tcW w:w="625" w:type="dxa"/>
            <w:noWrap/>
            <w:vAlign w:val="center"/>
          </w:tcPr>
          <w:p w14:paraId="29F50DDC" w14:textId="034F33F3" w:rsidR="000C3AB2" w:rsidRPr="00505A37" w:rsidRDefault="000C3AB2" w:rsidP="00505A37">
            <w:pPr>
              <w:pStyle w:val="NoSpacing"/>
              <w:jc w:val="center"/>
              <w:rPr>
                <w:rFonts w:ascii="Times New Roman" w:hAnsi="Times New Roman" w:cs="Times New Roman"/>
                <w:sz w:val="22"/>
                <w:szCs w:val="22"/>
                <w:lang w:eastAsia="en-IN"/>
              </w:rPr>
            </w:pPr>
            <w:r w:rsidRPr="00505A37">
              <w:rPr>
                <w:rFonts w:ascii="Times New Roman" w:hAnsi="Times New Roman" w:cs="Times New Roman"/>
                <w:sz w:val="22"/>
                <w:szCs w:val="22"/>
                <w:lang w:eastAsia="en-IN"/>
              </w:rPr>
              <w:t>..</w:t>
            </w:r>
          </w:p>
        </w:tc>
        <w:tc>
          <w:tcPr>
            <w:tcW w:w="625" w:type="dxa"/>
            <w:noWrap/>
            <w:vAlign w:val="center"/>
          </w:tcPr>
          <w:p w14:paraId="39217F73" w14:textId="30949238" w:rsidR="000C3AB2" w:rsidRPr="00505A37" w:rsidRDefault="000C3AB2" w:rsidP="00505A37">
            <w:pPr>
              <w:pStyle w:val="NoSpacing"/>
              <w:jc w:val="center"/>
              <w:rPr>
                <w:rFonts w:ascii="Times New Roman" w:hAnsi="Times New Roman" w:cs="Times New Roman"/>
                <w:sz w:val="22"/>
                <w:szCs w:val="22"/>
                <w:lang w:eastAsia="en-IN"/>
              </w:rPr>
            </w:pPr>
            <w:r w:rsidRPr="00505A37">
              <w:rPr>
                <w:rFonts w:ascii="Times New Roman" w:hAnsi="Times New Roman" w:cs="Times New Roman"/>
                <w:sz w:val="22"/>
                <w:szCs w:val="22"/>
                <w:lang w:eastAsia="en-IN"/>
              </w:rPr>
              <w:t>0.21</w:t>
            </w:r>
          </w:p>
        </w:tc>
        <w:tc>
          <w:tcPr>
            <w:tcW w:w="682" w:type="dxa"/>
            <w:noWrap/>
            <w:vAlign w:val="center"/>
          </w:tcPr>
          <w:p w14:paraId="5523200A" w14:textId="57CCAEA6" w:rsidR="000C3AB2" w:rsidRPr="00505A37" w:rsidRDefault="000C3AB2" w:rsidP="00505A37">
            <w:pPr>
              <w:pStyle w:val="NoSpacing"/>
              <w:jc w:val="center"/>
              <w:rPr>
                <w:rFonts w:ascii="Times New Roman" w:hAnsi="Times New Roman" w:cs="Times New Roman"/>
                <w:sz w:val="22"/>
                <w:szCs w:val="22"/>
                <w:lang w:eastAsia="en-IN"/>
              </w:rPr>
            </w:pPr>
            <w:r w:rsidRPr="00505A37">
              <w:rPr>
                <w:rFonts w:ascii="Times New Roman" w:hAnsi="Times New Roman" w:cs="Times New Roman"/>
                <w:sz w:val="22"/>
                <w:szCs w:val="22"/>
                <w:lang w:eastAsia="en-IN"/>
              </w:rPr>
              <w:t>0.01</w:t>
            </w:r>
          </w:p>
        </w:tc>
        <w:tc>
          <w:tcPr>
            <w:tcW w:w="625" w:type="dxa"/>
            <w:noWrap/>
            <w:vAlign w:val="center"/>
          </w:tcPr>
          <w:p w14:paraId="3F91017D" w14:textId="6E5CDAD2" w:rsidR="000C3AB2" w:rsidRPr="00505A37" w:rsidRDefault="000C3AB2" w:rsidP="00505A37">
            <w:pPr>
              <w:pStyle w:val="NoSpacing"/>
              <w:jc w:val="center"/>
              <w:rPr>
                <w:rFonts w:ascii="Times New Roman" w:hAnsi="Times New Roman" w:cs="Times New Roman"/>
                <w:sz w:val="22"/>
                <w:szCs w:val="22"/>
                <w:lang w:eastAsia="en-IN"/>
              </w:rPr>
            </w:pPr>
            <w:r w:rsidRPr="00505A37">
              <w:rPr>
                <w:rFonts w:ascii="Times New Roman" w:hAnsi="Times New Roman" w:cs="Times New Roman"/>
                <w:sz w:val="22"/>
                <w:szCs w:val="22"/>
                <w:lang w:eastAsia="en-IN"/>
              </w:rPr>
              <w:t>0.21</w:t>
            </w:r>
          </w:p>
        </w:tc>
        <w:tc>
          <w:tcPr>
            <w:tcW w:w="892" w:type="dxa"/>
            <w:noWrap/>
            <w:vAlign w:val="center"/>
          </w:tcPr>
          <w:p w14:paraId="38F2FACB" w14:textId="6A589EE7" w:rsidR="000C3AB2" w:rsidRPr="00505A37" w:rsidRDefault="000C3AB2" w:rsidP="00505A37">
            <w:pPr>
              <w:pStyle w:val="NoSpacing"/>
              <w:jc w:val="center"/>
              <w:rPr>
                <w:rFonts w:ascii="Times New Roman" w:hAnsi="Times New Roman" w:cs="Times New Roman"/>
                <w:sz w:val="22"/>
                <w:szCs w:val="22"/>
                <w:lang w:eastAsia="en-IN"/>
              </w:rPr>
            </w:pPr>
            <w:r w:rsidRPr="00505A37">
              <w:rPr>
                <w:rFonts w:ascii="Times New Roman" w:hAnsi="Times New Roman" w:cs="Times New Roman"/>
                <w:sz w:val="22"/>
                <w:szCs w:val="22"/>
                <w:lang w:eastAsia="en-IN"/>
              </w:rPr>
              <w:t>..</w:t>
            </w:r>
          </w:p>
        </w:tc>
        <w:tc>
          <w:tcPr>
            <w:tcW w:w="547" w:type="dxa"/>
            <w:noWrap/>
            <w:vAlign w:val="center"/>
          </w:tcPr>
          <w:p w14:paraId="5C8C042D" w14:textId="587108F0" w:rsidR="000C3AB2" w:rsidRPr="00505A37" w:rsidRDefault="000C3AB2" w:rsidP="00505A37">
            <w:pPr>
              <w:pStyle w:val="NoSpacing"/>
              <w:jc w:val="center"/>
              <w:rPr>
                <w:rFonts w:ascii="Times New Roman" w:hAnsi="Times New Roman" w:cs="Times New Roman"/>
                <w:sz w:val="22"/>
                <w:szCs w:val="22"/>
                <w:lang w:eastAsia="en-IN"/>
              </w:rPr>
            </w:pPr>
            <w:r w:rsidRPr="00505A37">
              <w:rPr>
                <w:rFonts w:ascii="Times New Roman" w:hAnsi="Times New Roman" w:cs="Times New Roman"/>
                <w:sz w:val="22"/>
                <w:szCs w:val="22"/>
                <w:lang w:eastAsia="en-IN"/>
              </w:rPr>
              <w:t>-0.01</w:t>
            </w:r>
          </w:p>
        </w:tc>
      </w:tr>
      <w:tr w:rsidR="000C3AB2" w:rsidRPr="00505A37" w14:paraId="1B63F5A9" w14:textId="77777777" w:rsidTr="00505A37">
        <w:trPr>
          <w:trHeight w:val="20"/>
        </w:trPr>
        <w:tc>
          <w:tcPr>
            <w:tcW w:w="833" w:type="dxa"/>
            <w:noWrap/>
            <w:hideMark/>
          </w:tcPr>
          <w:p w14:paraId="62E9ADF7" w14:textId="77777777" w:rsidR="000C3AB2" w:rsidRPr="00505A37" w:rsidRDefault="000C3AB2" w:rsidP="000C3AB2">
            <w:pPr>
              <w:pStyle w:val="NoSpacing"/>
              <w:rPr>
                <w:rFonts w:ascii="Times New Roman" w:hAnsi="Times New Roman" w:cs="Times New Roman"/>
                <w:sz w:val="22"/>
                <w:szCs w:val="22"/>
                <w:lang w:eastAsia="en-IN"/>
              </w:rPr>
            </w:pPr>
            <w:r w:rsidRPr="00505A37">
              <w:rPr>
                <w:rFonts w:ascii="Times New Roman" w:hAnsi="Times New Roman" w:cs="Times New Roman"/>
                <w:sz w:val="22"/>
                <w:szCs w:val="22"/>
                <w:lang w:eastAsia="en-IN"/>
              </w:rPr>
              <w:t>Madhya Pradesh</w:t>
            </w:r>
          </w:p>
        </w:tc>
        <w:tc>
          <w:tcPr>
            <w:tcW w:w="625" w:type="dxa"/>
            <w:noWrap/>
            <w:vAlign w:val="center"/>
            <w:hideMark/>
          </w:tcPr>
          <w:p w14:paraId="39C3BD04" w14:textId="77777777" w:rsidR="000C3AB2" w:rsidRPr="00505A37" w:rsidRDefault="000C3AB2" w:rsidP="00505A37">
            <w:pPr>
              <w:pStyle w:val="NoSpacing"/>
              <w:jc w:val="center"/>
              <w:rPr>
                <w:rFonts w:ascii="Times New Roman" w:hAnsi="Times New Roman" w:cs="Times New Roman"/>
                <w:sz w:val="22"/>
                <w:szCs w:val="22"/>
                <w:lang w:eastAsia="en-IN"/>
              </w:rPr>
            </w:pPr>
            <w:r w:rsidRPr="00505A37">
              <w:rPr>
                <w:rFonts w:ascii="Times New Roman" w:hAnsi="Times New Roman" w:cs="Times New Roman"/>
                <w:sz w:val="22"/>
                <w:szCs w:val="22"/>
                <w:lang w:eastAsia="en-IN"/>
              </w:rPr>
              <w:t>..</w:t>
            </w:r>
          </w:p>
        </w:tc>
        <w:tc>
          <w:tcPr>
            <w:tcW w:w="682" w:type="dxa"/>
            <w:noWrap/>
            <w:vAlign w:val="center"/>
            <w:hideMark/>
          </w:tcPr>
          <w:p w14:paraId="25371C98" w14:textId="77777777" w:rsidR="000C3AB2" w:rsidRPr="00505A37" w:rsidRDefault="000C3AB2" w:rsidP="00505A37">
            <w:pPr>
              <w:pStyle w:val="NoSpacing"/>
              <w:jc w:val="center"/>
              <w:rPr>
                <w:rFonts w:ascii="Times New Roman" w:hAnsi="Times New Roman" w:cs="Times New Roman"/>
                <w:sz w:val="22"/>
                <w:szCs w:val="22"/>
                <w:lang w:eastAsia="en-IN"/>
              </w:rPr>
            </w:pPr>
            <w:r w:rsidRPr="00505A37">
              <w:rPr>
                <w:rFonts w:ascii="Times New Roman" w:hAnsi="Times New Roman" w:cs="Times New Roman"/>
                <w:sz w:val="22"/>
                <w:szCs w:val="22"/>
                <w:lang w:eastAsia="en-IN"/>
              </w:rPr>
              <w:t>..</w:t>
            </w:r>
          </w:p>
        </w:tc>
        <w:tc>
          <w:tcPr>
            <w:tcW w:w="625" w:type="dxa"/>
            <w:noWrap/>
            <w:vAlign w:val="center"/>
            <w:hideMark/>
          </w:tcPr>
          <w:p w14:paraId="4E50BA66" w14:textId="77777777" w:rsidR="000C3AB2" w:rsidRPr="00505A37" w:rsidRDefault="000C3AB2" w:rsidP="00505A37">
            <w:pPr>
              <w:pStyle w:val="NoSpacing"/>
              <w:jc w:val="center"/>
              <w:rPr>
                <w:rFonts w:ascii="Times New Roman" w:hAnsi="Times New Roman" w:cs="Times New Roman"/>
                <w:sz w:val="22"/>
                <w:szCs w:val="22"/>
                <w:lang w:eastAsia="en-IN"/>
              </w:rPr>
            </w:pPr>
            <w:r w:rsidRPr="00505A37">
              <w:rPr>
                <w:rFonts w:ascii="Times New Roman" w:hAnsi="Times New Roman" w:cs="Times New Roman"/>
                <w:sz w:val="22"/>
                <w:szCs w:val="22"/>
                <w:lang w:eastAsia="en-IN"/>
              </w:rPr>
              <w:t>..</w:t>
            </w:r>
          </w:p>
        </w:tc>
        <w:tc>
          <w:tcPr>
            <w:tcW w:w="892" w:type="dxa"/>
            <w:noWrap/>
            <w:vAlign w:val="center"/>
            <w:hideMark/>
          </w:tcPr>
          <w:p w14:paraId="0A0BCA54" w14:textId="77777777" w:rsidR="000C3AB2" w:rsidRPr="00505A37" w:rsidRDefault="000C3AB2" w:rsidP="00505A37">
            <w:pPr>
              <w:pStyle w:val="NoSpacing"/>
              <w:jc w:val="center"/>
              <w:rPr>
                <w:rFonts w:ascii="Times New Roman" w:hAnsi="Times New Roman" w:cs="Times New Roman"/>
                <w:sz w:val="22"/>
                <w:szCs w:val="22"/>
                <w:lang w:eastAsia="en-IN"/>
              </w:rPr>
            </w:pPr>
            <w:r w:rsidRPr="00505A37">
              <w:rPr>
                <w:rFonts w:ascii="Times New Roman" w:hAnsi="Times New Roman" w:cs="Times New Roman"/>
                <w:sz w:val="22"/>
                <w:szCs w:val="22"/>
                <w:lang w:eastAsia="en-IN"/>
              </w:rPr>
              <w:t>..</w:t>
            </w:r>
          </w:p>
        </w:tc>
        <w:tc>
          <w:tcPr>
            <w:tcW w:w="625" w:type="dxa"/>
            <w:noWrap/>
            <w:vAlign w:val="center"/>
            <w:hideMark/>
          </w:tcPr>
          <w:p w14:paraId="015DA1E1" w14:textId="77777777" w:rsidR="000C3AB2" w:rsidRPr="00505A37" w:rsidRDefault="000C3AB2" w:rsidP="00505A37">
            <w:pPr>
              <w:pStyle w:val="NoSpacing"/>
              <w:jc w:val="center"/>
              <w:rPr>
                <w:rFonts w:ascii="Times New Roman" w:hAnsi="Times New Roman" w:cs="Times New Roman"/>
                <w:sz w:val="22"/>
                <w:szCs w:val="22"/>
                <w:lang w:eastAsia="en-IN"/>
              </w:rPr>
            </w:pPr>
            <w:r w:rsidRPr="00505A37">
              <w:rPr>
                <w:rFonts w:ascii="Times New Roman" w:hAnsi="Times New Roman" w:cs="Times New Roman"/>
                <w:sz w:val="22"/>
                <w:szCs w:val="22"/>
                <w:lang w:eastAsia="en-IN"/>
              </w:rPr>
              <w:t>..</w:t>
            </w:r>
          </w:p>
        </w:tc>
        <w:tc>
          <w:tcPr>
            <w:tcW w:w="625" w:type="dxa"/>
            <w:noWrap/>
            <w:vAlign w:val="center"/>
            <w:hideMark/>
          </w:tcPr>
          <w:p w14:paraId="0017F269" w14:textId="77777777" w:rsidR="000C3AB2" w:rsidRPr="00505A37" w:rsidRDefault="000C3AB2" w:rsidP="00505A37">
            <w:pPr>
              <w:pStyle w:val="NoSpacing"/>
              <w:jc w:val="center"/>
              <w:rPr>
                <w:rFonts w:ascii="Times New Roman" w:hAnsi="Times New Roman" w:cs="Times New Roman"/>
                <w:sz w:val="22"/>
                <w:szCs w:val="22"/>
                <w:lang w:eastAsia="en-IN"/>
              </w:rPr>
            </w:pPr>
            <w:r w:rsidRPr="00505A37">
              <w:rPr>
                <w:rFonts w:ascii="Times New Roman" w:hAnsi="Times New Roman" w:cs="Times New Roman"/>
                <w:sz w:val="22"/>
                <w:szCs w:val="22"/>
                <w:lang w:eastAsia="en-IN"/>
              </w:rPr>
              <w:t>..</w:t>
            </w:r>
          </w:p>
        </w:tc>
        <w:tc>
          <w:tcPr>
            <w:tcW w:w="682" w:type="dxa"/>
            <w:noWrap/>
            <w:vAlign w:val="center"/>
            <w:hideMark/>
          </w:tcPr>
          <w:p w14:paraId="31BB4611" w14:textId="77777777" w:rsidR="000C3AB2" w:rsidRPr="00505A37" w:rsidRDefault="000C3AB2" w:rsidP="00505A37">
            <w:pPr>
              <w:pStyle w:val="NoSpacing"/>
              <w:jc w:val="center"/>
              <w:rPr>
                <w:rFonts w:ascii="Times New Roman" w:hAnsi="Times New Roman" w:cs="Times New Roman"/>
                <w:sz w:val="22"/>
                <w:szCs w:val="22"/>
                <w:lang w:eastAsia="en-IN"/>
              </w:rPr>
            </w:pPr>
            <w:r w:rsidRPr="00505A37">
              <w:rPr>
                <w:rFonts w:ascii="Times New Roman" w:hAnsi="Times New Roman" w:cs="Times New Roman"/>
                <w:sz w:val="22"/>
                <w:szCs w:val="22"/>
                <w:lang w:eastAsia="en-IN"/>
              </w:rPr>
              <w:t>..</w:t>
            </w:r>
          </w:p>
        </w:tc>
        <w:tc>
          <w:tcPr>
            <w:tcW w:w="675" w:type="dxa"/>
            <w:noWrap/>
            <w:vAlign w:val="center"/>
            <w:hideMark/>
          </w:tcPr>
          <w:p w14:paraId="787BC7AF" w14:textId="77777777" w:rsidR="000C3AB2" w:rsidRPr="00505A37" w:rsidRDefault="000C3AB2" w:rsidP="00505A37">
            <w:pPr>
              <w:pStyle w:val="NoSpacing"/>
              <w:jc w:val="center"/>
              <w:rPr>
                <w:rFonts w:ascii="Times New Roman" w:hAnsi="Times New Roman" w:cs="Times New Roman"/>
                <w:sz w:val="22"/>
                <w:szCs w:val="22"/>
                <w:lang w:eastAsia="en-IN"/>
              </w:rPr>
            </w:pPr>
            <w:r w:rsidRPr="00505A37">
              <w:rPr>
                <w:rFonts w:ascii="Times New Roman" w:hAnsi="Times New Roman" w:cs="Times New Roman"/>
                <w:sz w:val="22"/>
                <w:szCs w:val="22"/>
                <w:lang w:eastAsia="en-IN"/>
              </w:rPr>
              <w:t>..</w:t>
            </w:r>
          </w:p>
        </w:tc>
        <w:tc>
          <w:tcPr>
            <w:tcW w:w="892" w:type="dxa"/>
            <w:noWrap/>
            <w:vAlign w:val="center"/>
            <w:hideMark/>
          </w:tcPr>
          <w:p w14:paraId="3FA87F92" w14:textId="77777777" w:rsidR="000C3AB2" w:rsidRPr="00505A37" w:rsidRDefault="000C3AB2" w:rsidP="00505A37">
            <w:pPr>
              <w:pStyle w:val="NoSpacing"/>
              <w:jc w:val="center"/>
              <w:rPr>
                <w:rFonts w:ascii="Times New Roman" w:hAnsi="Times New Roman" w:cs="Times New Roman"/>
                <w:sz w:val="22"/>
                <w:szCs w:val="22"/>
                <w:lang w:eastAsia="en-IN"/>
              </w:rPr>
            </w:pPr>
            <w:r w:rsidRPr="00505A37">
              <w:rPr>
                <w:rFonts w:ascii="Times New Roman" w:hAnsi="Times New Roman" w:cs="Times New Roman"/>
                <w:sz w:val="22"/>
                <w:szCs w:val="22"/>
                <w:lang w:eastAsia="en-IN"/>
              </w:rPr>
              <w:t>..</w:t>
            </w:r>
          </w:p>
        </w:tc>
        <w:tc>
          <w:tcPr>
            <w:tcW w:w="625" w:type="dxa"/>
            <w:noWrap/>
            <w:vAlign w:val="center"/>
            <w:hideMark/>
          </w:tcPr>
          <w:p w14:paraId="3E32D0FE" w14:textId="77777777" w:rsidR="000C3AB2" w:rsidRPr="00505A37" w:rsidRDefault="000C3AB2" w:rsidP="00505A37">
            <w:pPr>
              <w:pStyle w:val="NoSpacing"/>
              <w:jc w:val="center"/>
              <w:rPr>
                <w:rFonts w:ascii="Times New Roman" w:hAnsi="Times New Roman" w:cs="Times New Roman"/>
                <w:sz w:val="22"/>
                <w:szCs w:val="22"/>
                <w:lang w:eastAsia="en-IN"/>
              </w:rPr>
            </w:pPr>
            <w:r w:rsidRPr="00505A37">
              <w:rPr>
                <w:rFonts w:ascii="Times New Roman" w:hAnsi="Times New Roman" w:cs="Times New Roman"/>
                <w:sz w:val="22"/>
                <w:szCs w:val="22"/>
                <w:lang w:eastAsia="en-IN"/>
              </w:rPr>
              <w:t>..</w:t>
            </w:r>
          </w:p>
        </w:tc>
        <w:tc>
          <w:tcPr>
            <w:tcW w:w="625" w:type="dxa"/>
            <w:noWrap/>
            <w:vAlign w:val="center"/>
            <w:hideMark/>
          </w:tcPr>
          <w:p w14:paraId="3E8868A8" w14:textId="77777777" w:rsidR="000C3AB2" w:rsidRPr="00505A37" w:rsidRDefault="000C3AB2" w:rsidP="00505A37">
            <w:pPr>
              <w:pStyle w:val="NoSpacing"/>
              <w:jc w:val="center"/>
              <w:rPr>
                <w:rFonts w:ascii="Times New Roman" w:hAnsi="Times New Roman" w:cs="Times New Roman"/>
                <w:sz w:val="22"/>
                <w:szCs w:val="22"/>
                <w:lang w:eastAsia="en-IN"/>
              </w:rPr>
            </w:pPr>
            <w:r w:rsidRPr="00505A37">
              <w:rPr>
                <w:rFonts w:ascii="Times New Roman" w:hAnsi="Times New Roman" w:cs="Times New Roman"/>
                <w:sz w:val="22"/>
                <w:szCs w:val="22"/>
                <w:lang w:eastAsia="en-IN"/>
              </w:rPr>
              <w:t>..</w:t>
            </w:r>
          </w:p>
        </w:tc>
        <w:tc>
          <w:tcPr>
            <w:tcW w:w="682" w:type="dxa"/>
            <w:noWrap/>
            <w:vAlign w:val="center"/>
            <w:hideMark/>
          </w:tcPr>
          <w:p w14:paraId="1223BA58" w14:textId="77777777" w:rsidR="000C3AB2" w:rsidRPr="00505A37" w:rsidRDefault="000C3AB2" w:rsidP="00505A37">
            <w:pPr>
              <w:pStyle w:val="NoSpacing"/>
              <w:jc w:val="center"/>
              <w:rPr>
                <w:rFonts w:ascii="Times New Roman" w:hAnsi="Times New Roman" w:cs="Times New Roman"/>
                <w:sz w:val="22"/>
                <w:szCs w:val="22"/>
                <w:lang w:eastAsia="en-IN"/>
              </w:rPr>
            </w:pPr>
            <w:r w:rsidRPr="00505A37">
              <w:rPr>
                <w:rFonts w:ascii="Times New Roman" w:hAnsi="Times New Roman" w:cs="Times New Roman"/>
                <w:sz w:val="22"/>
                <w:szCs w:val="22"/>
                <w:lang w:eastAsia="en-IN"/>
              </w:rPr>
              <w:t>..</w:t>
            </w:r>
          </w:p>
        </w:tc>
        <w:tc>
          <w:tcPr>
            <w:tcW w:w="625" w:type="dxa"/>
            <w:noWrap/>
            <w:vAlign w:val="center"/>
            <w:hideMark/>
          </w:tcPr>
          <w:p w14:paraId="7FB0761E" w14:textId="77777777" w:rsidR="000C3AB2" w:rsidRPr="00505A37" w:rsidRDefault="000C3AB2" w:rsidP="00505A37">
            <w:pPr>
              <w:pStyle w:val="NoSpacing"/>
              <w:jc w:val="center"/>
              <w:rPr>
                <w:rFonts w:ascii="Times New Roman" w:hAnsi="Times New Roman" w:cs="Times New Roman"/>
                <w:sz w:val="22"/>
                <w:szCs w:val="22"/>
                <w:lang w:eastAsia="en-IN"/>
              </w:rPr>
            </w:pPr>
            <w:r w:rsidRPr="00505A37">
              <w:rPr>
                <w:rFonts w:ascii="Times New Roman" w:hAnsi="Times New Roman" w:cs="Times New Roman"/>
                <w:sz w:val="22"/>
                <w:szCs w:val="22"/>
                <w:lang w:eastAsia="en-IN"/>
              </w:rPr>
              <w:t>..</w:t>
            </w:r>
          </w:p>
        </w:tc>
        <w:tc>
          <w:tcPr>
            <w:tcW w:w="892" w:type="dxa"/>
            <w:noWrap/>
            <w:vAlign w:val="center"/>
            <w:hideMark/>
          </w:tcPr>
          <w:p w14:paraId="2FB046EC" w14:textId="77777777" w:rsidR="000C3AB2" w:rsidRPr="00505A37" w:rsidRDefault="000C3AB2" w:rsidP="00505A37">
            <w:pPr>
              <w:pStyle w:val="NoSpacing"/>
              <w:jc w:val="center"/>
              <w:rPr>
                <w:rFonts w:ascii="Times New Roman" w:hAnsi="Times New Roman" w:cs="Times New Roman"/>
                <w:sz w:val="22"/>
                <w:szCs w:val="22"/>
                <w:lang w:eastAsia="en-IN"/>
              </w:rPr>
            </w:pPr>
            <w:r w:rsidRPr="00505A37">
              <w:rPr>
                <w:rFonts w:ascii="Times New Roman" w:hAnsi="Times New Roman" w:cs="Times New Roman"/>
                <w:sz w:val="22"/>
                <w:szCs w:val="22"/>
                <w:lang w:eastAsia="en-IN"/>
              </w:rPr>
              <w:t>..</w:t>
            </w:r>
          </w:p>
        </w:tc>
        <w:tc>
          <w:tcPr>
            <w:tcW w:w="625" w:type="dxa"/>
            <w:noWrap/>
            <w:vAlign w:val="center"/>
            <w:hideMark/>
          </w:tcPr>
          <w:p w14:paraId="189DA67A" w14:textId="77777777" w:rsidR="000C3AB2" w:rsidRPr="00505A37" w:rsidRDefault="000C3AB2" w:rsidP="00505A37">
            <w:pPr>
              <w:pStyle w:val="NoSpacing"/>
              <w:jc w:val="center"/>
              <w:rPr>
                <w:rFonts w:ascii="Times New Roman" w:hAnsi="Times New Roman" w:cs="Times New Roman"/>
                <w:sz w:val="22"/>
                <w:szCs w:val="22"/>
                <w:lang w:eastAsia="en-IN"/>
              </w:rPr>
            </w:pPr>
            <w:r w:rsidRPr="00505A37">
              <w:rPr>
                <w:rFonts w:ascii="Times New Roman" w:hAnsi="Times New Roman" w:cs="Times New Roman"/>
                <w:sz w:val="22"/>
                <w:szCs w:val="22"/>
                <w:lang w:eastAsia="en-IN"/>
              </w:rPr>
              <w:t>..</w:t>
            </w:r>
          </w:p>
        </w:tc>
        <w:tc>
          <w:tcPr>
            <w:tcW w:w="625" w:type="dxa"/>
            <w:noWrap/>
            <w:vAlign w:val="center"/>
          </w:tcPr>
          <w:p w14:paraId="73084885" w14:textId="50C119A5" w:rsidR="000C3AB2" w:rsidRPr="00505A37" w:rsidRDefault="000C3AB2" w:rsidP="00505A37">
            <w:pPr>
              <w:pStyle w:val="NoSpacing"/>
              <w:jc w:val="center"/>
              <w:rPr>
                <w:rFonts w:ascii="Times New Roman" w:hAnsi="Times New Roman" w:cs="Times New Roman"/>
                <w:sz w:val="22"/>
                <w:szCs w:val="22"/>
                <w:lang w:eastAsia="en-IN"/>
              </w:rPr>
            </w:pPr>
            <w:r w:rsidRPr="00505A37">
              <w:rPr>
                <w:rFonts w:ascii="Times New Roman" w:hAnsi="Times New Roman" w:cs="Times New Roman"/>
                <w:sz w:val="22"/>
                <w:szCs w:val="22"/>
                <w:lang w:eastAsia="en-IN"/>
              </w:rPr>
              <w:t>..</w:t>
            </w:r>
          </w:p>
        </w:tc>
        <w:tc>
          <w:tcPr>
            <w:tcW w:w="682" w:type="dxa"/>
            <w:noWrap/>
            <w:vAlign w:val="center"/>
          </w:tcPr>
          <w:p w14:paraId="1FD30AFB" w14:textId="1B01A26A" w:rsidR="000C3AB2" w:rsidRPr="00505A37" w:rsidRDefault="000C3AB2" w:rsidP="00505A37">
            <w:pPr>
              <w:pStyle w:val="NoSpacing"/>
              <w:jc w:val="center"/>
              <w:rPr>
                <w:rFonts w:ascii="Times New Roman" w:hAnsi="Times New Roman" w:cs="Times New Roman"/>
                <w:sz w:val="22"/>
                <w:szCs w:val="22"/>
                <w:lang w:eastAsia="en-IN"/>
              </w:rPr>
            </w:pPr>
            <w:r w:rsidRPr="00505A37">
              <w:rPr>
                <w:rFonts w:ascii="Times New Roman" w:hAnsi="Times New Roman" w:cs="Times New Roman"/>
                <w:sz w:val="22"/>
                <w:szCs w:val="22"/>
                <w:lang w:eastAsia="en-IN"/>
              </w:rPr>
              <w:t>..</w:t>
            </w:r>
          </w:p>
        </w:tc>
        <w:tc>
          <w:tcPr>
            <w:tcW w:w="625" w:type="dxa"/>
            <w:noWrap/>
            <w:vAlign w:val="center"/>
          </w:tcPr>
          <w:p w14:paraId="7E5911FA" w14:textId="28C07D53" w:rsidR="000C3AB2" w:rsidRPr="00505A37" w:rsidRDefault="000C3AB2" w:rsidP="00505A37">
            <w:pPr>
              <w:pStyle w:val="NoSpacing"/>
              <w:jc w:val="center"/>
              <w:rPr>
                <w:rFonts w:ascii="Times New Roman" w:hAnsi="Times New Roman" w:cs="Times New Roman"/>
                <w:sz w:val="22"/>
                <w:szCs w:val="22"/>
                <w:lang w:eastAsia="en-IN"/>
              </w:rPr>
            </w:pPr>
            <w:r w:rsidRPr="00505A37">
              <w:rPr>
                <w:rFonts w:ascii="Times New Roman" w:hAnsi="Times New Roman" w:cs="Times New Roman"/>
                <w:sz w:val="22"/>
                <w:szCs w:val="22"/>
                <w:lang w:eastAsia="en-IN"/>
              </w:rPr>
              <w:t>..</w:t>
            </w:r>
          </w:p>
        </w:tc>
        <w:tc>
          <w:tcPr>
            <w:tcW w:w="892" w:type="dxa"/>
            <w:noWrap/>
            <w:vAlign w:val="center"/>
          </w:tcPr>
          <w:p w14:paraId="3A139902" w14:textId="7B949132" w:rsidR="000C3AB2" w:rsidRPr="00505A37" w:rsidRDefault="000C3AB2" w:rsidP="00505A37">
            <w:pPr>
              <w:pStyle w:val="NoSpacing"/>
              <w:jc w:val="center"/>
              <w:rPr>
                <w:rFonts w:ascii="Times New Roman" w:hAnsi="Times New Roman" w:cs="Times New Roman"/>
                <w:sz w:val="22"/>
                <w:szCs w:val="22"/>
                <w:lang w:eastAsia="en-IN"/>
              </w:rPr>
            </w:pPr>
            <w:r w:rsidRPr="00505A37">
              <w:rPr>
                <w:rFonts w:ascii="Times New Roman" w:hAnsi="Times New Roman" w:cs="Times New Roman"/>
                <w:sz w:val="22"/>
                <w:szCs w:val="22"/>
                <w:lang w:eastAsia="en-IN"/>
              </w:rPr>
              <w:t>..</w:t>
            </w:r>
          </w:p>
        </w:tc>
        <w:tc>
          <w:tcPr>
            <w:tcW w:w="547" w:type="dxa"/>
            <w:noWrap/>
            <w:vAlign w:val="center"/>
          </w:tcPr>
          <w:p w14:paraId="1CE1BEDD" w14:textId="0D932646" w:rsidR="000C3AB2" w:rsidRPr="00505A37" w:rsidRDefault="000C3AB2" w:rsidP="00505A37">
            <w:pPr>
              <w:pStyle w:val="NoSpacing"/>
              <w:jc w:val="center"/>
              <w:rPr>
                <w:rFonts w:ascii="Times New Roman" w:hAnsi="Times New Roman" w:cs="Times New Roman"/>
                <w:sz w:val="22"/>
                <w:szCs w:val="22"/>
                <w:lang w:eastAsia="en-IN"/>
              </w:rPr>
            </w:pPr>
            <w:r w:rsidRPr="00505A37">
              <w:rPr>
                <w:rFonts w:ascii="Times New Roman" w:hAnsi="Times New Roman" w:cs="Times New Roman"/>
                <w:sz w:val="22"/>
                <w:szCs w:val="22"/>
                <w:lang w:eastAsia="en-IN"/>
              </w:rPr>
              <w:t>..</w:t>
            </w:r>
          </w:p>
        </w:tc>
      </w:tr>
      <w:tr w:rsidR="00BA4141" w:rsidRPr="00505A37" w14:paraId="1E05AFCD" w14:textId="77777777" w:rsidTr="00505A37">
        <w:trPr>
          <w:trHeight w:val="20"/>
        </w:trPr>
        <w:tc>
          <w:tcPr>
            <w:tcW w:w="833" w:type="dxa"/>
            <w:noWrap/>
            <w:hideMark/>
          </w:tcPr>
          <w:p w14:paraId="64D411E9" w14:textId="77777777" w:rsidR="00BA4141" w:rsidRPr="00505A37" w:rsidRDefault="00BA4141" w:rsidP="00B77C0B">
            <w:pPr>
              <w:pStyle w:val="NoSpacing"/>
              <w:rPr>
                <w:rFonts w:ascii="Times New Roman" w:hAnsi="Times New Roman" w:cs="Times New Roman"/>
                <w:sz w:val="22"/>
                <w:szCs w:val="22"/>
                <w:lang w:eastAsia="en-IN"/>
              </w:rPr>
            </w:pPr>
            <w:r w:rsidRPr="00505A37">
              <w:rPr>
                <w:rFonts w:ascii="Times New Roman" w:hAnsi="Times New Roman" w:cs="Times New Roman"/>
                <w:sz w:val="22"/>
                <w:szCs w:val="22"/>
                <w:lang w:eastAsia="en-IN"/>
              </w:rPr>
              <w:t>Maharashtra</w:t>
            </w:r>
          </w:p>
        </w:tc>
        <w:tc>
          <w:tcPr>
            <w:tcW w:w="625" w:type="dxa"/>
            <w:noWrap/>
            <w:vAlign w:val="center"/>
            <w:hideMark/>
          </w:tcPr>
          <w:p w14:paraId="36BFF65B" w14:textId="77777777" w:rsidR="00BA4141" w:rsidRPr="00505A37" w:rsidRDefault="00BA4141" w:rsidP="00505A37">
            <w:pPr>
              <w:pStyle w:val="NoSpacing"/>
              <w:jc w:val="center"/>
              <w:rPr>
                <w:rFonts w:ascii="Times New Roman" w:hAnsi="Times New Roman" w:cs="Times New Roman"/>
                <w:sz w:val="22"/>
                <w:szCs w:val="22"/>
                <w:lang w:eastAsia="en-IN"/>
              </w:rPr>
            </w:pPr>
            <w:r w:rsidRPr="00505A37">
              <w:rPr>
                <w:rFonts w:ascii="Times New Roman" w:hAnsi="Times New Roman" w:cs="Times New Roman"/>
                <w:sz w:val="22"/>
                <w:szCs w:val="22"/>
                <w:lang w:eastAsia="en-IN"/>
              </w:rPr>
              <w:t>..</w:t>
            </w:r>
          </w:p>
        </w:tc>
        <w:tc>
          <w:tcPr>
            <w:tcW w:w="682" w:type="dxa"/>
            <w:noWrap/>
            <w:vAlign w:val="center"/>
            <w:hideMark/>
          </w:tcPr>
          <w:p w14:paraId="7D5ACB4F" w14:textId="77777777" w:rsidR="00BA4141" w:rsidRPr="00505A37" w:rsidRDefault="00BA4141" w:rsidP="00505A37">
            <w:pPr>
              <w:pStyle w:val="NoSpacing"/>
              <w:jc w:val="center"/>
              <w:rPr>
                <w:rFonts w:ascii="Times New Roman" w:hAnsi="Times New Roman" w:cs="Times New Roman"/>
                <w:sz w:val="22"/>
                <w:szCs w:val="22"/>
                <w:lang w:eastAsia="en-IN"/>
              </w:rPr>
            </w:pPr>
            <w:r w:rsidRPr="00505A37">
              <w:rPr>
                <w:rFonts w:ascii="Times New Roman" w:hAnsi="Times New Roman" w:cs="Times New Roman"/>
                <w:sz w:val="22"/>
                <w:szCs w:val="22"/>
                <w:lang w:eastAsia="en-IN"/>
              </w:rPr>
              <w:t>..</w:t>
            </w:r>
          </w:p>
        </w:tc>
        <w:tc>
          <w:tcPr>
            <w:tcW w:w="625" w:type="dxa"/>
            <w:noWrap/>
            <w:vAlign w:val="center"/>
            <w:hideMark/>
          </w:tcPr>
          <w:p w14:paraId="1F369621" w14:textId="77777777" w:rsidR="00BA4141" w:rsidRPr="00505A37" w:rsidRDefault="00BA4141" w:rsidP="00505A37">
            <w:pPr>
              <w:pStyle w:val="NoSpacing"/>
              <w:jc w:val="center"/>
              <w:rPr>
                <w:rFonts w:ascii="Times New Roman" w:hAnsi="Times New Roman" w:cs="Times New Roman"/>
                <w:sz w:val="22"/>
                <w:szCs w:val="22"/>
                <w:lang w:eastAsia="en-IN"/>
              </w:rPr>
            </w:pPr>
            <w:r w:rsidRPr="00505A37">
              <w:rPr>
                <w:rFonts w:ascii="Times New Roman" w:hAnsi="Times New Roman" w:cs="Times New Roman"/>
                <w:sz w:val="22"/>
                <w:szCs w:val="22"/>
                <w:lang w:eastAsia="en-IN"/>
              </w:rPr>
              <w:t>..</w:t>
            </w:r>
          </w:p>
        </w:tc>
        <w:tc>
          <w:tcPr>
            <w:tcW w:w="892" w:type="dxa"/>
            <w:noWrap/>
            <w:vAlign w:val="center"/>
            <w:hideMark/>
          </w:tcPr>
          <w:p w14:paraId="0C2A305B" w14:textId="77777777" w:rsidR="00BA4141" w:rsidRPr="00505A37" w:rsidRDefault="00BA4141" w:rsidP="00505A37">
            <w:pPr>
              <w:pStyle w:val="NoSpacing"/>
              <w:jc w:val="center"/>
              <w:rPr>
                <w:rFonts w:ascii="Times New Roman" w:hAnsi="Times New Roman" w:cs="Times New Roman"/>
                <w:sz w:val="22"/>
                <w:szCs w:val="22"/>
                <w:lang w:eastAsia="en-IN"/>
              </w:rPr>
            </w:pPr>
            <w:r w:rsidRPr="00505A37">
              <w:rPr>
                <w:rFonts w:ascii="Times New Roman" w:hAnsi="Times New Roman" w:cs="Times New Roman"/>
                <w:sz w:val="22"/>
                <w:szCs w:val="22"/>
                <w:lang w:eastAsia="en-IN"/>
              </w:rPr>
              <w:t>..</w:t>
            </w:r>
          </w:p>
        </w:tc>
        <w:tc>
          <w:tcPr>
            <w:tcW w:w="625" w:type="dxa"/>
            <w:noWrap/>
            <w:vAlign w:val="center"/>
            <w:hideMark/>
          </w:tcPr>
          <w:p w14:paraId="498DC7A8" w14:textId="77777777" w:rsidR="00BA4141" w:rsidRPr="00505A37" w:rsidRDefault="00BA4141" w:rsidP="00505A37">
            <w:pPr>
              <w:pStyle w:val="NoSpacing"/>
              <w:jc w:val="center"/>
              <w:rPr>
                <w:rFonts w:ascii="Times New Roman" w:hAnsi="Times New Roman" w:cs="Times New Roman"/>
                <w:sz w:val="22"/>
                <w:szCs w:val="22"/>
                <w:lang w:eastAsia="en-IN"/>
              </w:rPr>
            </w:pPr>
            <w:r w:rsidRPr="00505A37">
              <w:rPr>
                <w:rFonts w:ascii="Times New Roman" w:hAnsi="Times New Roman" w:cs="Times New Roman"/>
                <w:sz w:val="22"/>
                <w:szCs w:val="22"/>
                <w:lang w:eastAsia="en-IN"/>
              </w:rPr>
              <w:t>..</w:t>
            </w:r>
          </w:p>
        </w:tc>
        <w:tc>
          <w:tcPr>
            <w:tcW w:w="625" w:type="dxa"/>
            <w:noWrap/>
            <w:vAlign w:val="center"/>
            <w:hideMark/>
          </w:tcPr>
          <w:p w14:paraId="5F316580" w14:textId="77777777" w:rsidR="00BA4141" w:rsidRPr="00505A37" w:rsidRDefault="00BA4141" w:rsidP="00505A37">
            <w:pPr>
              <w:pStyle w:val="NoSpacing"/>
              <w:jc w:val="center"/>
              <w:rPr>
                <w:rFonts w:ascii="Times New Roman" w:hAnsi="Times New Roman" w:cs="Times New Roman"/>
                <w:sz w:val="22"/>
                <w:szCs w:val="22"/>
                <w:lang w:eastAsia="en-IN"/>
              </w:rPr>
            </w:pPr>
            <w:r w:rsidRPr="00505A37">
              <w:rPr>
                <w:rFonts w:ascii="Times New Roman" w:hAnsi="Times New Roman" w:cs="Times New Roman"/>
                <w:sz w:val="22"/>
                <w:szCs w:val="22"/>
                <w:lang w:eastAsia="en-IN"/>
              </w:rPr>
              <w:t>..</w:t>
            </w:r>
          </w:p>
        </w:tc>
        <w:tc>
          <w:tcPr>
            <w:tcW w:w="682" w:type="dxa"/>
            <w:noWrap/>
            <w:vAlign w:val="center"/>
            <w:hideMark/>
          </w:tcPr>
          <w:p w14:paraId="050FC7CE" w14:textId="77777777" w:rsidR="00BA4141" w:rsidRPr="00505A37" w:rsidRDefault="00BA4141" w:rsidP="00505A37">
            <w:pPr>
              <w:pStyle w:val="NoSpacing"/>
              <w:jc w:val="center"/>
              <w:rPr>
                <w:rFonts w:ascii="Times New Roman" w:hAnsi="Times New Roman" w:cs="Times New Roman"/>
                <w:sz w:val="22"/>
                <w:szCs w:val="22"/>
                <w:lang w:eastAsia="en-IN"/>
              </w:rPr>
            </w:pPr>
            <w:r w:rsidRPr="00505A37">
              <w:rPr>
                <w:rFonts w:ascii="Times New Roman" w:hAnsi="Times New Roman" w:cs="Times New Roman"/>
                <w:sz w:val="22"/>
                <w:szCs w:val="22"/>
                <w:lang w:eastAsia="en-IN"/>
              </w:rPr>
              <w:t>..</w:t>
            </w:r>
          </w:p>
        </w:tc>
        <w:tc>
          <w:tcPr>
            <w:tcW w:w="675" w:type="dxa"/>
            <w:noWrap/>
            <w:vAlign w:val="center"/>
            <w:hideMark/>
          </w:tcPr>
          <w:p w14:paraId="4970D751" w14:textId="77777777" w:rsidR="00BA4141" w:rsidRPr="00505A37" w:rsidRDefault="00BA4141" w:rsidP="00505A37">
            <w:pPr>
              <w:pStyle w:val="NoSpacing"/>
              <w:jc w:val="center"/>
              <w:rPr>
                <w:rFonts w:ascii="Times New Roman" w:hAnsi="Times New Roman" w:cs="Times New Roman"/>
                <w:sz w:val="22"/>
                <w:szCs w:val="22"/>
                <w:lang w:eastAsia="en-IN"/>
              </w:rPr>
            </w:pPr>
            <w:r w:rsidRPr="00505A37">
              <w:rPr>
                <w:rFonts w:ascii="Times New Roman" w:hAnsi="Times New Roman" w:cs="Times New Roman"/>
                <w:sz w:val="22"/>
                <w:szCs w:val="22"/>
                <w:lang w:eastAsia="en-IN"/>
              </w:rPr>
              <w:t>..</w:t>
            </w:r>
          </w:p>
        </w:tc>
        <w:tc>
          <w:tcPr>
            <w:tcW w:w="892" w:type="dxa"/>
            <w:noWrap/>
            <w:vAlign w:val="center"/>
            <w:hideMark/>
          </w:tcPr>
          <w:p w14:paraId="09012216" w14:textId="77777777" w:rsidR="00BA4141" w:rsidRPr="00505A37" w:rsidRDefault="00BA4141" w:rsidP="00505A37">
            <w:pPr>
              <w:pStyle w:val="NoSpacing"/>
              <w:jc w:val="center"/>
              <w:rPr>
                <w:rFonts w:ascii="Times New Roman" w:hAnsi="Times New Roman" w:cs="Times New Roman"/>
                <w:sz w:val="22"/>
                <w:szCs w:val="22"/>
                <w:lang w:eastAsia="en-IN"/>
              </w:rPr>
            </w:pPr>
            <w:r w:rsidRPr="00505A37">
              <w:rPr>
                <w:rFonts w:ascii="Times New Roman" w:hAnsi="Times New Roman" w:cs="Times New Roman"/>
                <w:sz w:val="22"/>
                <w:szCs w:val="22"/>
                <w:lang w:eastAsia="en-IN"/>
              </w:rPr>
              <w:t>..</w:t>
            </w:r>
          </w:p>
        </w:tc>
        <w:tc>
          <w:tcPr>
            <w:tcW w:w="625" w:type="dxa"/>
            <w:noWrap/>
            <w:vAlign w:val="center"/>
            <w:hideMark/>
          </w:tcPr>
          <w:p w14:paraId="0B854970" w14:textId="77777777" w:rsidR="00BA4141" w:rsidRPr="00505A37" w:rsidRDefault="00BA4141" w:rsidP="00505A37">
            <w:pPr>
              <w:pStyle w:val="NoSpacing"/>
              <w:jc w:val="center"/>
              <w:rPr>
                <w:rFonts w:ascii="Times New Roman" w:hAnsi="Times New Roman" w:cs="Times New Roman"/>
                <w:sz w:val="22"/>
                <w:szCs w:val="22"/>
                <w:lang w:eastAsia="en-IN"/>
              </w:rPr>
            </w:pPr>
            <w:r w:rsidRPr="00505A37">
              <w:rPr>
                <w:rFonts w:ascii="Times New Roman" w:hAnsi="Times New Roman" w:cs="Times New Roman"/>
                <w:sz w:val="22"/>
                <w:szCs w:val="22"/>
                <w:lang w:eastAsia="en-IN"/>
              </w:rPr>
              <w:t>..</w:t>
            </w:r>
          </w:p>
        </w:tc>
        <w:tc>
          <w:tcPr>
            <w:tcW w:w="625" w:type="dxa"/>
            <w:noWrap/>
            <w:vAlign w:val="center"/>
            <w:hideMark/>
          </w:tcPr>
          <w:p w14:paraId="135EFDF2" w14:textId="77777777" w:rsidR="00BA4141" w:rsidRPr="00505A37" w:rsidRDefault="00BA4141" w:rsidP="00505A37">
            <w:pPr>
              <w:pStyle w:val="NoSpacing"/>
              <w:jc w:val="center"/>
              <w:rPr>
                <w:rFonts w:ascii="Times New Roman" w:hAnsi="Times New Roman" w:cs="Times New Roman"/>
                <w:sz w:val="22"/>
                <w:szCs w:val="22"/>
                <w:lang w:eastAsia="en-IN"/>
              </w:rPr>
            </w:pPr>
            <w:r w:rsidRPr="00505A37">
              <w:rPr>
                <w:rFonts w:ascii="Times New Roman" w:hAnsi="Times New Roman" w:cs="Times New Roman"/>
                <w:sz w:val="22"/>
                <w:szCs w:val="22"/>
                <w:lang w:eastAsia="en-IN"/>
              </w:rPr>
              <w:t>..</w:t>
            </w:r>
          </w:p>
        </w:tc>
        <w:tc>
          <w:tcPr>
            <w:tcW w:w="682" w:type="dxa"/>
            <w:noWrap/>
            <w:vAlign w:val="center"/>
            <w:hideMark/>
          </w:tcPr>
          <w:p w14:paraId="3E40DF7E" w14:textId="77777777" w:rsidR="00BA4141" w:rsidRPr="00505A37" w:rsidRDefault="00BA4141" w:rsidP="00505A37">
            <w:pPr>
              <w:pStyle w:val="NoSpacing"/>
              <w:jc w:val="center"/>
              <w:rPr>
                <w:rFonts w:ascii="Times New Roman" w:hAnsi="Times New Roman" w:cs="Times New Roman"/>
                <w:sz w:val="22"/>
                <w:szCs w:val="22"/>
                <w:lang w:eastAsia="en-IN"/>
              </w:rPr>
            </w:pPr>
            <w:r w:rsidRPr="00505A37">
              <w:rPr>
                <w:rFonts w:ascii="Times New Roman" w:hAnsi="Times New Roman" w:cs="Times New Roman"/>
                <w:sz w:val="22"/>
                <w:szCs w:val="22"/>
                <w:lang w:eastAsia="en-IN"/>
              </w:rPr>
              <w:t>..</w:t>
            </w:r>
          </w:p>
        </w:tc>
        <w:tc>
          <w:tcPr>
            <w:tcW w:w="625" w:type="dxa"/>
            <w:noWrap/>
            <w:vAlign w:val="center"/>
            <w:hideMark/>
          </w:tcPr>
          <w:p w14:paraId="59CAAF8D" w14:textId="77777777" w:rsidR="00BA4141" w:rsidRPr="00505A37" w:rsidRDefault="00BA4141" w:rsidP="00505A37">
            <w:pPr>
              <w:pStyle w:val="NoSpacing"/>
              <w:jc w:val="center"/>
              <w:rPr>
                <w:rFonts w:ascii="Times New Roman" w:hAnsi="Times New Roman" w:cs="Times New Roman"/>
                <w:sz w:val="22"/>
                <w:szCs w:val="22"/>
                <w:lang w:eastAsia="en-IN"/>
              </w:rPr>
            </w:pPr>
            <w:r w:rsidRPr="00505A37">
              <w:rPr>
                <w:rFonts w:ascii="Times New Roman" w:hAnsi="Times New Roman" w:cs="Times New Roman"/>
                <w:sz w:val="22"/>
                <w:szCs w:val="22"/>
                <w:lang w:eastAsia="en-IN"/>
              </w:rPr>
              <w:t>..</w:t>
            </w:r>
          </w:p>
        </w:tc>
        <w:tc>
          <w:tcPr>
            <w:tcW w:w="892" w:type="dxa"/>
            <w:noWrap/>
            <w:vAlign w:val="center"/>
            <w:hideMark/>
          </w:tcPr>
          <w:p w14:paraId="4FBD98B3" w14:textId="77777777" w:rsidR="00BA4141" w:rsidRPr="00505A37" w:rsidRDefault="00BA4141" w:rsidP="00505A37">
            <w:pPr>
              <w:pStyle w:val="NoSpacing"/>
              <w:jc w:val="center"/>
              <w:rPr>
                <w:rFonts w:ascii="Times New Roman" w:hAnsi="Times New Roman" w:cs="Times New Roman"/>
                <w:sz w:val="22"/>
                <w:szCs w:val="22"/>
                <w:lang w:eastAsia="en-IN"/>
              </w:rPr>
            </w:pPr>
            <w:r w:rsidRPr="00505A37">
              <w:rPr>
                <w:rFonts w:ascii="Times New Roman" w:hAnsi="Times New Roman" w:cs="Times New Roman"/>
                <w:sz w:val="22"/>
                <w:szCs w:val="22"/>
                <w:lang w:eastAsia="en-IN"/>
              </w:rPr>
              <w:t>..</w:t>
            </w:r>
          </w:p>
        </w:tc>
        <w:tc>
          <w:tcPr>
            <w:tcW w:w="625" w:type="dxa"/>
            <w:noWrap/>
            <w:vAlign w:val="center"/>
            <w:hideMark/>
          </w:tcPr>
          <w:p w14:paraId="3797FB1F" w14:textId="77777777" w:rsidR="00BA4141" w:rsidRPr="00505A37" w:rsidRDefault="00BA4141" w:rsidP="00505A37">
            <w:pPr>
              <w:pStyle w:val="NoSpacing"/>
              <w:jc w:val="center"/>
              <w:rPr>
                <w:rFonts w:ascii="Times New Roman" w:hAnsi="Times New Roman" w:cs="Times New Roman"/>
                <w:sz w:val="22"/>
                <w:szCs w:val="22"/>
                <w:lang w:eastAsia="en-IN"/>
              </w:rPr>
            </w:pPr>
            <w:r w:rsidRPr="00505A37">
              <w:rPr>
                <w:rFonts w:ascii="Times New Roman" w:hAnsi="Times New Roman" w:cs="Times New Roman"/>
                <w:sz w:val="22"/>
                <w:szCs w:val="22"/>
                <w:lang w:eastAsia="en-IN"/>
              </w:rPr>
              <w:t>..</w:t>
            </w:r>
          </w:p>
        </w:tc>
        <w:tc>
          <w:tcPr>
            <w:tcW w:w="625" w:type="dxa"/>
            <w:noWrap/>
            <w:vAlign w:val="center"/>
            <w:hideMark/>
          </w:tcPr>
          <w:p w14:paraId="5C89A3E9" w14:textId="77777777" w:rsidR="00BA4141" w:rsidRPr="00505A37" w:rsidRDefault="00BA4141" w:rsidP="00505A37">
            <w:pPr>
              <w:pStyle w:val="NoSpacing"/>
              <w:jc w:val="center"/>
              <w:rPr>
                <w:rFonts w:ascii="Times New Roman" w:hAnsi="Times New Roman" w:cs="Times New Roman"/>
                <w:sz w:val="22"/>
                <w:szCs w:val="22"/>
                <w:lang w:eastAsia="en-IN"/>
              </w:rPr>
            </w:pPr>
            <w:r w:rsidRPr="00505A37">
              <w:rPr>
                <w:rFonts w:ascii="Times New Roman" w:hAnsi="Times New Roman" w:cs="Times New Roman"/>
                <w:sz w:val="22"/>
                <w:szCs w:val="22"/>
                <w:lang w:eastAsia="en-IN"/>
              </w:rPr>
              <w:t>..</w:t>
            </w:r>
          </w:p>
        </w:tc>
        <w:tc>
          <w:tcPr>
            <w:tcW w:w="682" w:type="dxa"/>
            <w:noWrap/>
            <w:vAlign w:val="center"/>
            <w:hideMark/>
          </w:tcPr>
          <w:p w14:paraId="2761FEB5" w14:textId="77777777" w:rsidR="00BA4141" w:rsidRPr="00505A37" w:rsidRDefault="00BA4141" w:rsidP="00505A37">
            <w:pPr>
              <w:pStyle w:val="NoSpacing"/>
              <w:jc w:val="center"/>
              <w:rPr>
                <w:rFonts w:ascii="Times New Roman" w:hAnsi="Times New Roman" w:cs="Times New Roman"/>
                <w:sz w:val="22"/>
                <w:szCs w:val="22"/>
                <w:lang w:eastAsia="en-IN"/>
              </w:rPr>
            </w:pPr>
            <w:r w:rsidRPr="00505A37">
              <w:rPr>
                <w:rFonts w:ascii="Times New Roman" w:hAnsi="Times New Roman" w:cs="Times New Roman"/>
                <w:sz w:val="22"/>
                <w:szCs w:val="22"/>
                <w:lang w:eastAsia="en-IN"/>
              </w:rPr>
              <w:t>..</w:t>
            </w:r>
          </w:p>
        </w:tc>
        <w:tc>
          <w:tcPr>
            <w:tcW w:w="625" w:type="dxa"/>
            <w:noWrap/>
            <w:vAlign w:val="center"/>
            <w:hideMark/>
          </w:tcPr>
          <w:p w14:paraId="75753028" w14:textId="77777777" w:rsidR="00BA4141" w:rsidRPr="00505A37" w:rsidRDefault="00BA4141" w:rsidP="00505A37">
            <w:pPr>
              <w:pStyle w:val="NoSpacing"/>
              <w:jc w:val="center"/>
              <w:rPr>
                <w:rFonts w:ascii="Times New Roman" w:hAnsi="Times New Roman" w:cs="Times New Roman"/>
                <w:sz w:val="22"/>
                <w:szCs w:val="22"/>
                <w:lang w:eastAsia="en-IN"/>
              </w:rPr>
            </w:pPr>
            <w:r w:rsidRPr="00505A37">
              <w:rPr>
                <w:rFonts w:ascii="Times New Roman" w:hAnsi="Times New Roman" w:cs="Times New Roman"/>
                <w:sz w:val="22"/>
                <w:szCs w:val="22"/>
                <w:lang w:eastAsia="en-IN"/>
              </w:rPr>
              <w:t>..</w:t>
            </w:r>
          </w:p>
        </w:tc>
        <w:tc>
          <w:tcPr>
            <w:tcW w:w="892" w:type="dxa"/>
            <w:noWrap/>
            <w:vAlign w:val="center"/>
            <w:hideMark/>
          </w:tcPr>
          <w:p w14:paraId="2BC55689" w14:textId="77777777" w:rsidR="00BA4141" w:rsidRPr="00505A37" w:rsidRDefault="00BA4141" w:rsidP="00505A37">
            <w:pPr>
              <w:pStyle w:val="NoSpacing"/>
              <w:jc w:val="center"/>
              <w:rPr>
                <w:rFonts w:ascii="Times New Roman" w:hAnsi="Times New Roman" w:cs="Times New Roman"/>
                <w:sz w:val="22"/>
                <w:szCs w:val="22"/>
                <w:lang w:eastAsia="en-IN"/>
              </w:rPr>
            </w:pPr>
            <w:r w:rsidRPr="00505A37">
              <w:rPr>
                <w:rFonts w:ascii="Times New Roman" w:hAnsi="Times New Roman" w:cs="Times New Roman"/>
                <w:sz w:val="22"/>
                <w:szCs w:val="22"/>
                <w:lang w:eastAsia="en-IN"/>
              </w:rPr>
              <w:t>..</w:t>
            </w:r>
          </w:p>
        </w:tc>
        <w:tc>
          <w:tcPr>
            <w:tcW w:w="547" w:type="dxa"/>
            <w:noWrap/>
            <w:vAlign w:val="center"/>
            <w:hideMark/>
          </w:tcPr>
          <w:p w14:paraId="4C957DBE" w14:textId="77777777" w:rsidR="00BA4141" w:rsidRPr="00505A37" w:rsidRDefault="00BA4141" w:rsidP="00505A37">
            <w:pPr>
              <w:pStyle w:val="NoSpacing"/>
              <w:jc w:val="center"/>
              <w:rPr>
                <w:rFonts w:ascii="Times New Roman" w:hAnsi="Times New Roman" w:cs="Times New Roman"/>
                <w:sz w:val="22"/>
                <w:szCs w:val="22"/>
                <w:lang w:eastAsia="en-IN"/>
              </w:rPr>
            </w:pPr>
            <w:r w:rsidRPr="00505A37">
              <w:rPr>
                <w:rFonts w:ascii="Times New Roman" w:hAnsi="Times New Roman" w:cs="Times New Roman"/>
                <w:sz w:val="22"/>
                <w:szCs w:val="22"/>
                <w:lang w:eastAsia="en-IN"/>
              </w:rPr>
              <w:t>..</w:t>
            </w:r>
          </w:p>
        </w:tc>
      </w:tr>
      <w:tr w:rsidR="00BA4141" w:rsidRPr="00505A37" w14:paraId="404150CA" w14:textId="77777777" w:rsidTr="00505A37">
        <w:trPr>
          <w:trHeight w:val="20"/>
        </w:trPr>
        <w:tc>
          <w:tcPr>
            <w:tcW w:w="833" w:type="dxa"/>
            <w:noWrap/>
            <w:hideMark/>
          </w:tcPr>
          <w:p w14:paraId="5B3613C7" w14:textId="77777777" w:rsidR="00BA4141" w:rsidRPr="00505A37" w:rsidRDefault="00BA4141" w:rsidP="00B77C0B">
            <w:pPr>
              <w:pStyle w:val="NoSpacing"/>
              <w:rPr>
                <w:rFonts w:ascii="Times New Roman" w:hAnsi="Times New Roman" w:cs="Times New Roman"/>
                <w:sz w:val="22"/>
                <w:szCs w:val="22"/>
                <w:lang w:eastAsia="en-IN"/>
              </w:rPr>
            </w:pPr>
            <w:r w:rsidRPr="00505A37">
              <w:rPr>
                <w:rFonts w:ascii="Times New Roman" w:hAnsi="Times New Roman" w:cs="Times New Roman"/>
                <w:sz w:val="22"/>
                <w:szCs w:val="22"/>
                <w:lang w:eastAsia="en-IN"/>
              </w:rPr>
              <w:t>Mysore</w:t>
            </w:r>
          </w:p>
        </w:tc>
        <w:tc>
          <w:tcPr>
            <w:tcW w:w="625" w:type="dxa"/>
            <w:noWrap/>
            <w:vAlign w:val="center"/>
            <w:hideMark/>
          </w:tcPr>
          <w:p w14:paraId="44A19DFF" w14:textId="77777777" w:rsidR="00BA4141" w:rsidRPr="00505A37" w:rsidRDefault="00BA4141" w:rsidP="00505A37">
            <w:pPr>
              <w:pStyle w:val="NoSpacing"/>
              <w:jc w:val="center"/>
              <w:rPr>
                <w:rFonts w:ascii="Times New Roman" w:hAnsi="Times New Roman" w:cs="Times New Roman"/>
                <w:sz w:val="22"/>
                <w:szCs w:val="22"/>
                <w:lang w:eastAsia="en-IN"/>
              </w:rPr>
            </w:pPr>
            <w:r w:rsidRPr="00505A37">
              <w:rPr>
                <w:rFonts w:ascii="Times New Roman" w:hAnsi="Times New Roman" w:cs="Times New Roman"/>
                <w:sz w:val="22"/>
                <w:szCs w:val="22"/>
                <w:lang w:eastAsia="en-IN"/>
              </w:rPr>
              <w:t>..</w:t>
            </w:r>
          </w:p>
        </w:tc>
        <w:tc>
          <w:tcPr>
            <w:tcW w:w="682" w:type="dxa"/>
            <w:noWrap/>
            <w:vAlign w:val="center"/>
            <w:hideMark/>
          </w:tcPr>
          <w:p w14:paraId="07371E46" w14:textId="77777777" w:rsidR="00BA4141" w:rsidRPr="00505A37" w:rsidRDefault="00BA4141" w:rsidP="00505A37">
            <w:pPr>
              <w:pStyle w:val="NoSpacing"/>
              <w:jc w:val="center"/>
              <w:rPr>
                <w:rFonts w:ascii="Times New Roman" w:hAnsi="Times New Roman" w:cs="Times New Roman"/>
                <w:sz w:val="22"/>
                <w:szCs w:val="22"/>
                <w:lang w:eastAsia="en-IN"/>
              </w:rPr>
            </w:pPr>
            <w:r w:rsidRPr="00505A37">
              <w:rPr>
                <w:rFonts w:ascii="Times New Roman" w:hAnsi="Times New Roman" w:cs="Times New Roman"/>
                <w:sz w:val="22"/>
                <w:szCs w:val="22"/>
                <w:lang w:eastAsia="en-IN"/>
              </w:rPr>
              <w:t>..</w:t>
            </w:r>
          </w:p>
        </w:tc>
        <w:tc>
          <w:tcPr>
            <w:tcW w:w="625" w:type="dxa"/>
            <w:noWrap/>
            <w:vAlign w:val="center"/>
            <w:hideMark/>
          </w:tcPr>
          <w:p w14:paraId="689126B7" w14:textId="77777777" w:rsidR="00BA4141" w:rsidRPr="00505A37" w:rsidRDefault="00BA4141" w:rsidP="00505A37">
            <w:pPr>
              <w:pStyle w:val="NoSpacing"/>
              <w:jc w:val="center"/>
              <w:rPr>
                <w:rFonts w:ascii="Times New Roman" w:hAnsi="Times New Roman" w:cs="Times New Roman"/>
                <w:sz w:val="22"/>
                <w:szCs w:val="22"/>
                <w:lang w:eastAsia="en-IN"/>
              </w:rPr>
            </w:pPr>
            <w:r w:rsidRPr="00505A37">
              <w:rPr>
                <w:rFonts w:ascii="Times New Roman" w:hAnsi="Times New Roman" w:cs="Times New Roman"/>
                <w:sz w:val="22"/>
                <w:szCs w:val="22"/>
                <w:lang w:eastAsia="en-IN"/>
              </w:rPr>
              <w:t>..</w:t>
            </w:r>
          </w:p>
        </w:tc>
        <w:tc>
          <w:tcPr>
            <w:tcW w:w="892" w:type="dxa"/>
            <w:noWrap/>
            <w:vAlign w:val="center"/>
            <w:hideMark/>
          </w:tcPr>
          <w:p w14:paraId="238718AB" w14:textId="77777777" w:rsidR="00BA4141" w:rsidRPr="00505A37" w:rsidRDefault="00BA4141" w:rsidP="00505A37">
            <w:pPr>
              <w:pStyle w:val="NoSpacing"/>
              <w:jc w:val="center"/>
              <w:rPr>
                <w:rFonts w:ascii="Times New Roman" w:hAnsi="Times New Roman" w:cs="Times New Roman"/>
                <w:sz w:val="22"/>
                <w:szCs w:val="22"/>
                <w:lang w:eastAsia="en-IN"/>
              </w:rPr>
            </w:pPr>
            <w:r w:rsidRPr="00505A37">
              <w:rPr>
                <w:rFonts w:ascii="Times New Roman" w:hAnsi="Times New Roman" w:cs="Times New Roman"/>
                <w:sz w:val="22"/>
                <w:szCs w:val="22"/>
                <w:lang w:eastAsia="en-IN"/>
              </w:rPr>
              <w:t>..</w:t>
            </w:r>
          </w:p>
        </w:tc>
        <w:tc>
          <w:tcPr>
            <w:tcW w:w="625" w:type="dxa"/>
            <w:noWrap/>
            <w:vAlign w:val="center"/>
            <w:hideMark/>
          </w:tcPr>
          <w:p w14:paraId="10CA17F7" w14:textId="77777777" w:rsidR="00BA4141" w:rsidRPr="00505A37" w:rsidRDefault="00BA4141" w:rsidP="00505A37">
            <w:pPr>
              <w:pStyle w:val="NoSpacing"/>
              <w:jc w:val="center"/>
              <w:rPr>
                <w:rFonts w:ascii="Times New Roman" w:hAnsi="Times New Roman" w:cs="Times New Roman"/>
                <w:sz w:val="22"/>
                <w:szCs w:val="22"/>
                <w:lang w:eastAsia="en-IN"/>
              </w:rPr>
            </w:pPr>
            <w:r w:rsidRPr="00505A37">
              <w:rPr>
                <w:rFonts w:ascii="Times New Roman" w:hAnsi="Times New Roman" w:cs="Times New Roman"/>
                <w:sz w:val="22"/>
                <w:szCs w:val="22"/>
                <w:lang w:eastAsia="en-IN"/>
              </w:rPr>
              <w:t>..</w:t>
            </w:r>
          </w:p>
        </w:tc>
        <w:tc>
          <w:tcPr>
            <w:tcW w:w="625" w:type="dxa"/>
            <w:noWrap/>
            <w:vAlign w:val="center"/>
            <w:hideMark/>
          </w:tcPr>
          <w:p w14:paraId="340608EB" w14:textId="77777777" w:rsidR="00BA4141" w:rsidRPr="00505A37" w:rsidRDefault="00BA4141" w:rsidP="00505A37">
            <w:pPr>
              <w:pStyle w:val="NoSpacing"/>
              <w:jc w:val="center"/>
              <w:rPr>
                <w:rFonts w:ascii="Times New Roman" w:hAnsi="Times New Roman" w:cs="Times New Roman"/>
                <w:sz w:val="22"/>
                <w:szCs w:val="22"/>
                <w:lang w:eastAsia="en-IN"/>
              </w:rPr>
            </w:pPr>
            <w:r w:rsidRPr="00505A37">
              <w:rPr>
                <w:rFonts w:ascii="Times New Roman" w:hAnsi="Times New Roman" w:cs="Times New Roman"/>
                <w:sz w:val="22"/>
                <w:szCs w:val="22"/>
                <w:lang w:eastAsia="en-IN"/>
              </w:rPr>
              <w:t>..</w:t>
            </w:r>
          </w:p>
        </w:tc>
        <w:tc>
          <w:tcPr>
            <w:tcW w:w="682" w:type="dxa"/>
            <w:noWrap/>
            <w:vAlign w:val="center"/>
            <w:hideMark/>
          </w:tcPr>
          <w:p w14:paraId="6690DCF6" w14:textId="77777777" w:rsidR="00BA4141" w:rsidRPr="00505A37" w:rsidRDefault="00BA4141" w:rsidP="00505A37">
            <w:pPr>
              <w:pStyle w:val="NoSpacing"/>
              <w:jc w:val="center"/>
              <w:rPr>
                <w:rFonts w:ascii="Times New Roman" w:hAnsi="Times New Roman" w:cs="Times New Roman"/>
                <w:sz w:val="22"/>
                <w:szCs w:val="22"/>
                <w:lang w:eastAsia="en-IN"/>
              </w:rPr>
            </w:pPr>
            <w:r w:rsidRPr="00505A37">
              <w:rPr>
                <w:rFonts w:ascii="Times New Roman" w:hAnsi="Times New Roman" w:cs="Times New Roman"/>
                <w:sz w:val="22"/>
                <w:szCs w:val="22"/>
                <w:lang w:eastAsia="en-IN"/>
              </w:rPr>
              <w:t>..</w:t>
            </w:r>
          </w:p>
        </w:tc>
        <w:tc>
          <w:tcPr>
            <w:tcW w:w="675" w:type="dxa"/>
            <w:noWrap/>
            <w:vAlign w:val="center"/>
            <w:hideMark/>
          </w:tcPr>
          <w:p w14:paraId="5E79AF0B" w14:textId="77777777" w:rsidR="00BA4141" w:rsidRPr="00505A37" w:rsidRDefault="00BA4141" w:rsidP="00505A37">
            <w:pPr>
              <w:pStyle w:val="NoSpacing"/>
              <w:jc w:val="center"/>
              <w:rPr>
                <w:rFonts w:ascii="Times New Roman" w:hAnsi="Times New Roman" w:cs="Times New Roman"/>
                <w:sz w:val="22"/>
                <w:szCs w:val="22"/>
                <w:lang w:eastAsia="en-IN"/>
              </w:rPr>
            </w:pPr>
            <w:r w:rsidRPr="00505A37">
              <w:rPr>
                <w:rFonts w:ascii="Times New Roman" w:hAnsi="Times New Roman" w:cs="Times New Roman"/>
                <w:sz w:val="22"/>
                <w:szCs w:val="22"/>
                <w:lang w:eastAsia="en-IN"/>
              </w:rPr>
              <w:t>..</w:t>
            </w:r>
          </w:p>
        </w:tc>
        <w:tc>
          <w:tcPr>
            <w:tcW w:w="892" w:type="dxa"/>
            <w:noWrap/>
            <w:vAlign w:val="center"/>
            <w:hideMark/>
          </w:tcPr>
          <w:p w14:paraId="7D3D257D" w14:textId="77777777" w:rsidR="00BA4141" w:rsidRPr="00505A37" w:rsidRDefault="00BA4141" w:rsidP="00505A37">
            <w:pPr>
              <w:pStyle w:val="NoSpacing"/>
              <w:jc w:val="center"/>
              <w:rPr>
                <w:rFonts w:ascii="Times New Roman" w:hAnsi="Times New Roman" w:cs="Times New Roman"/>
                <w:sz w:val="22"/>
                <w:szCs w:val="22"/>
                <w:lang w:eastAsia="en-IN"/>
              </w:rPr>
            </w:pPr>
            <w:r w:rsidRPr="00505A37">
              <w:rPr>
                <w:rFonts w:ascii="Times New Roman" w:hAnsi="Times New Roman" w:cs="Times New Roman"/>
                <w:sz w:val="22"/>
                <w:szCs w:val="22"/>
                <w:lang w:eastAsia="en-IN"/>
              </w:rPr>
              <w:t>..</w:t>
            </w:r>
          </w:p>
        </w:tc>
        <w:tc>
          <w:tcPr>
            <w:tcW w:w="625" w:type="dxa"/>
            <w:noWrap/>
            <w:vAlign w:val="center"/>
            <w:hideMark/>
          </w:tcPr>
          <w:p w14:paraId="2DD42D37" w14:textId="77777777" w:rsidR="00BA4141" w:rsidRPr="00505A37" w:rsidRDefault="00BA4141" w:rsidP="00505A37">
            <w:pPr>
              <w:pStyle w:val="NoSpacing"/>
              <w:jc w:val="center"/>
              <w:rPr>
                <w:rFonts w:ascii="Times New Roman" w:hAnsi="Times New Roman" w:cs="Times New Roman"/>
                <w:sz w:val="22"/>
                <w:szCs w:val="22"/>
                <w:lang w:eastAsia="en-IN"/>
              </w:rPr>
            </w:pPr>
            <w:r w:rsidRPr="00505A37">
              <w:rPr>
                <w:rFonts w:ascii="Times New Roman" w:hAnsi="Times New Roman" w:cs="Times New Roman"/>
                <w:sz w:val="22"/>
                <w:szCs w:val="22"/>
                <w:lang w:eastAsia="en-IN"/>
              </w:rPr>
              <w:t>..</w:t>
            </w:r>
          </w:p>
        </w:tc>
        <w:tc>
          <w:tcPr>
            <w:tcW w:w="625" w:type="dxa"/>
            <w:noWrap/>
            <w:vAlign w:val="center"/>
            <w:hideMark/>
          </w:tcPr>
          <w:p w14:paraId="3FD753BF" w14:textId="77777777" w:rsidR="00BA4141" w:rsidRPr="00505A37" w:rsidRDefault="00BA4141" w:rsidP="00505A37">
            <w:pPr>
              <w:pStyle w:val="NoSpacing"/>
              <w:jc w:val="center"/>
              <w:rPr>
                <w:rFonts w:ascii="Times New Roman" w:hAnsi="Times New Roman" w:cs="Times New Roman"/>
                <w:sz w:val="22"/>
                <w:szCs w:val="22"/>
                <w:lang w:eastAsia="en-IN"/>
              </w:rPr>
            </w:pPr>
            <w:r w:rsidRPr="00505A37">
              <w:rPr>
                <w:rFonts w:ascii="Times New Roman" w:hAnsi="Times New Roman" w:cs="Times New Roman"/>
                <w:sz w:val="22"/>
                <w:szCs w:val="22"/>
                <w:lang w:eastAsia="en-IN"/>
              </w:rPr>
              <w:t>..</w:t>
            </w:r>
          </w:p>
        </w:tc>
        <w:tc>
          <w:tcPr>
            <w:tcW w:w="682" w:type="dxa"/>
            <w:noWrap/>
            <w:vAlign w:val="center"/>
            <w:hideMark/>
          </w:tcPr>
          <w:p w14:paraId="42B4AC24" w14:textId="77777777" w:rsidR="00BA4141" w:rsidRPr="00505A37" w:rsidRDefault="00BA4141" w:rsidP="00505A37">
            <w:pPr>
              <w:pStyle w:val="NoSpacing"/>
              <w:jc w:val="center"/>
              <w:rPr>
                <w:rFonts w:ascii="Times New Roman" w:hAnsi="Times New Roman" w:cs="Times New Roman"/>
                <w:sz w:val="22"/>
                <w:szCs w:val="22"/>
                <w:lang w:eastAsia="en-IN"/>
              </w:rPr>
            </w:pPr>
            <w:r w:rsidRPr="00505A37">
              <w:rPr>
                <w:rFonts w:ascii="Times New Roman" w:hAnsi="Times New Roman" w:cs="Times New Roman"/>
                <w:sz w:val="22"/>
                <w:szCs w:val="22"/>
                <w:lang w:eastAsia="en-IN"/>
              </w:rPr>
              <w:t>..</w:t>
            </w:r>
          </w:p>
        </w:tc>
        <w:tc>
          <w:tcPr>
            <w:tcW w:w="625" w:type="dxa"/>
            <w:noWrap/>
            <w:vAlign w:val="center"/>
            <w:hideMark/>
          </w:tcPr>
          <w:p w14:paraId="283CAE2E" w14:textId="77777777" w:rsidR="00BA4141" w:rsidRPr="00505A37" w:rsidRDefault="00BA4141" w:rsidP="00505A37">
            <w:pPr>
              <w:pStyle w:val="NoSpacing"/>
              <w:jc w:val="center"/>
              <w:rPr>
                <w:rFonts w:ascii="Times New Roman" w:hAnsi="Times New Roman" w:cs="Times New Roman"/>
                <w:sz w:val="22"/>
                <w:szCs w:val="22"/>
                <w:lang w:eastAsia="en-IN"/>
              </w:rPr>
            </w:pPr>
            <w:r w:rsidRPr="00505A37">
              <w:rPr>
                <w:rFonts w:ascii="Times New Roman" w:hAnsi="Times New Roman" w:cs="Times New Roman"/>
                <w:sz w:val="22"/>
                <w:szCs w:val="22"/>
                <w:lang w:eastAsia="en-IN"/>
              </w:rPr>
              <w:t>..</w:t>
            </w:r>
          </w:p>
        </w:tc>
        <w:tc>
          <w:tcPr>
            <w:tcW w:w="892" w:type="dxa"/>
            <w:noWrap/>
            <w:vAlign w:val="center"/>
            <w:hideMark/>
          </w:tcPr>
          <w:p w14:paraId="3AF2F107" w14:textId="77777777" w:rsidR="00BA4141" w:rsidRPr="00505A37" w:rsidRDefault="00BA4141" w:rsidP="00505A37">
            <w:pPr>
              <w:pStyle w:val="NoSpacing"/>
              <w:jc w:val="center"/>
              <w:rPr>
                <w:rFonts w:ascii="Times New Roman" w:hAnsi="Times New Roman" w:cs="Times New Roman"/>
                <w:sz w:val="22"/>
                <w:szCs w:val="22"/>
                <w:lang w:eastAsia="en-IN"/>
              </w:rPr>
            </w:pPr>
            <w:r w:rsidRPr="00505A37">
              <w:rPr>
                <w:rFonts w:ascii="Times New Roman" w:hAnsi="Times New Roman" w:cs="Times New Roman"/>
                <w:sz w:val="22"/>
                <w:szCs w:val="22"/>
                <w:lang w:eastAsia="en-IN"/>
              </w:rPr>
              <w:t>..</w:t>
            </w:r>
          </w:p>
        </w:tc>
        <w:tc>
          <w:tcPr>
            <w:tcW w:w="625" w:type="dxa"/>
            <w:noWrap/>
            <w:vAlign w:val="center"/>
            <w:hideMark/>
          </w:tcPr>
          <w:p w14:paraId="15157CFA" w14:textId="77777777" w:rsidR="00BA4141" w:rsidRPr="00505A37" w:rsidRDefault="00BA4141" w:rsidP="00505A37">
            <w:pPr>
              <w:pStyle w:val="NoSpacing"/>
              <w:jc w:val="center"/>
              <w:rPr>
                <w:rFonts w:ascii="Times New Roman" w:hAnsi="Times New Roman" w:cs="Times New Roman"/>
                <w:sz w:val="22"/>
                <w:szCs w:val="22"/>
                <w:lang w:eastAsia="en-IN"/>
              </w:rPr>
            </w:pPr>
            <w:r w:rsidRPr="00505A37">
              <w:rPr>
                <w:rFonts w:ascii="Times New Roman" w:hAnsi="Times New Roman" w:cs="Times New Roman"/>
                <w:sz w:val="22"/>
                <w:szCs w:val="22"/>
                <w:lang w:eastAsia="en-IN"/>
              </w:rPr>
              <w:t>..</w:t>
            </w:r>
          </w:p>
        </w:tc>
        <w:tc>
          <w:tcPr>
            <w:tcW w:w="625" w:type="dxa"/>
            <w:noWrap/>
            <w:vAlign w:val="center"/>
            <w:hideMark/>
          </w:tcPr>
          <w:p w14:paraId="746837B8" w14:textId="77777777" w:rsidR="00BA4141" w:rsidRPr="00505A37" w:rsidRDefault="00BA4141" w:rsidP="00505A37">
            <w:pPr>
              <w:pStyle w:val="NoSpacing"/>
              <w:jc w:val="center"/>
              <w:rPr>
                <w:rFonts w:ascii="Times New Roman" w:hAnsi="Times New Roman" w:cs="Times New Roman"/>
                <w:sz w:val="22"/>
                <w:szCs w:val="22"/>
                <w:lang w:eastAsia="en-IN"/>
              </w:rPr>
            </w:pPr>
            <w:r w:rsidRPr="00505A37">
              <w:rPr>
                <w:rFonts w:ascii="Times New Roman" w:hAnsi="Times New Roman" w:cs="Times New Roman"/>
                <w:sz w:val="22"/>
                <w:szCs w:val="22"/>
                <w:lang w:eastAsia="en-IN"/>
              </w:rPr>
              <w:t>..</w:t>
            </w:r>
          </w:p>
        </w:tc>
        <w:tc>
          <w:tcPr>
            <w:tcW w:w="682" w:type="dxa"/>
            <w:noWrap/>
            <w:vAlign w:val="center"/>
            <w:hideMark/>
          </w:tcPr>
          <w:p w14:paraId="5D2E70D3" w14:textId="77777777" w:rsidR="00BA4141" w:rsidRPr="00505A37" w:rsidRDefault="00BA4141" w:rsidP="00505A37">
            <w:pPr>
              <w:pStyle w:val="NoSpacing"/>
              <w:jc w:val="center"/>
              <w:rPr>
                <w:rFonts w:ascii="Times New Roman" w:hAnsi="Times New Roman" w:cs="Times New Roman"/>
                <w:sz w:val="22"/>
                <w:szCs w:val="22"/>
                <w:lang w:eastAsia="en-IN"/>
              </w:rPr>
            </w:pPr>
            <w:r w:rsidRPr="00505A37">
              <w:rPr>
                <w:rFonts w:ascii="Times New Roman" w:hAnsi="Times New Roman" w:cs="Times New Roman"/>
                <w:sz w:val="22"/>
                <w:szCs w:val="22"/>
                <w:lang w:eastAsia="en-IN"/>
              </w:rPr>
              <w:t>..</w:t>
            </w:r>
          </w:p>
        </w:tc>
        <w:tc>
          <w:tcPr>
            <w:tcW w:w="625" w:type="dxa"/>
            <w:noWrap/>
            <w:vAlign w:val="center"/>
            <w:hideMark/>
          </w:tcPr>
          <w:p w14:paraId="59AB268B" w14:textId="77777777" w:rsidR="00BA4141" w:rsidRPr="00505A37" w:rsidRDefault="00BA4141" w:rsidP="00505A37">
            <w:pPr>
              <w:pStyle w:val="NoSpacing"/>
              <w:jc w:val="center"/>
              <w:rPr>
                <w:rFonts w:ascii="Times New Roman" w:hAnsi="Times New Roman" w:cs="Times New Roman"/>
                <w:sz w:val="22"/>
                <w:szCs w:val="22"/>
                <w:lang w:eastAsia="en-IN"/>
              </w:rPr>
            </w:pPr>
            <w:r w:rsidRPr="00505A37">
              <w:rPr>
                <w:rFonts w:ascii="Times New Roman" w:hAnsi="Times New Roman" w:cs="Times New Roman"/>
                <w:sz w:val="22"/>
                <w:szCs w:val="22"/>
                <w:lang w:eastAsia="en-IN"/>
              </w:rPr>
              <w:t>..</w:t>
            </w:r>
          </w:p>
        </w:tc>
        <w:tc>
          <w:tcPr>
            <w:tcW w:w="892" w:type="dxa"/>
            <w:noWrap/>
            <w:vAlign w:val="center"/>
            <w:hideMark/>
          </w:tcPr>
          <w:p w14:paraId="15F27ED0" w14:textId="77777777" w:rsidR="00BA4141" w:rsidRPr="00505A37" w:rsidRDefault="00BA4141" w:rsidP="00505A37">
            <w:pPr>
              <w:pStyle w:val="NoSpacing"/>
              <w:jc w:val="center"/>
              <w:rPr>
                <w:rFonts w:ascii="Times New Roman" w:hAnsi="Times New Roman" w:cs="Times New Roman"/>
                <w:sz w:val="22"/>
                <w:szCs w:val="22"/>
                <w:lang w:eastAsia="en-IN"/>
              </w:rPr>
            </w:pPr>
            <w:r w:rsidRPr="00505A37">
              <w:rPr>
                <w:rFonts w:ascii="Times New Roman" w:hAnsi="Times New Roman" w:cs="Times New Roman"/>
                <w:sz w:val="22"/>
                <w:szCs w:val="22"/>
                <w:lang w:eastAsia="en-IN"/>
              </w:rPr>
              <w:t>..</w:t>
            </w:r>
          </w:p>
        </w:tc>
        <w:tc>
          <w:tcPr>
            <w:tcW w:w="547" w:type="dxa"/>
            <w:noWrap/>
            <w:vAlign w:val="center"/>
            <w:hideMark/>
          </w:tcPr>
          <w:p w14:paraId="12F79CA6" w14:textId="77777777" w:rsidR="00BA4141" w:rsidRPr="00505A37" w:rsidRDefault="00BA4141" w:rsidP="00505A37">
            <w:pPr>
              <w:pStyle w:val="NoSpacing"/>
              <w:jc w:val="center"/>
              <w:rPr>
                <w:rFonts w:ascii="Times New Roman" w:hAnsi="Times New Roman" w:cs="Times New Roman"/>
                <w:sz w:val="22"/>
                <w:szCs w:val="22"/>
                <w:lang w:eastAsia="en-IN"/>
              </w:rPr>
            </w:pPr>
            <w:r w:rsidRPr="00505A37">
              <w:rPr>
                <w:rFonts w:ascii="Times New Roman" w:hAnsi="Times New Roman" w:cs="Times New Roman"/>
                <w:sz w:val="22"/>
                <w:szCs w:val="22"/>
                <w:lang w:eastAsia="en-IN"/>
              </w:rPr>
              <w:t>..</w:t>
            </w:r>
          </w:p>
        </w:tc>
      </w:tr>
      <w:tr w:rsidR="00BA4141" w:rsidRPr="00505A37" w14:paraId="6383B9E2" w14:textId="77777777" w:rsidTr="00505A37">
        <w:trPr>
          <w:trHeight w:val="20"/>
        </w:trPr>
        <w:tc>
          <w:tcPr>
            <w:tcW w:w="833" w:type="dxa"/>
            <w:noWrap/>
            <w:hideMark/>
          </w:tcPr>
          <w:p w14:paraId="24C52FF9" w14:textId="77777777" w:rsidR="00BA4141" w:rsidRPr="00505A37" w:rsidRDefault="00BA4141" w:rsidP="00B77C0B">
            <w:pPr>
              <w:pStyle w:val="NoSpacing"/>
              <w:rPr>
                <w:rFonts w:ascii="Times New Roman" w:hAnsi="Times New Roman" w:cs="Times New Roman"/>
                <w:sz w:val="22"/>
                <w:szCs w:val="22"/>
                <w:lang w:eastAsia="en-IN"/>
              </w:rPr>
            </w:pPr>
            <w:r w:rsidRPr="00505A37">
              <w:rPr>
                <w:rFonts w:ascii="Times New Roman" w:hAnsi="Times New Roman" w:cs="Times New Roman"/>
                <w:sz w:val="22"/>
                <w:szCs w:val="22"/>
                <w:lang w:eastAsia="en-IN"/>
              </w:rPr>
              <w:lastRenderedPageBreak/>
              <w:t>Nagaland</w:t>
            </w:r>
          </w:p>
        </w:tc>
        <w:tc>
          <w:tcPr>
            <w:tcW w:w="625" w:type="dxa"/>
            <w:noWrap/>
            <w:vAlign w:val="center"/>
            <w:hideMark/>
          </w:tcPr>
          <w:p w14:paraId="3BCE2E16" w14:textId="77777777" w:rsidR="00BA4141" w:rsidRPr="00505A37" w:rsidRDefault="00BA4141" w:rsidP="00505A37">
            <w:pPr>
              <w:pStyle w:val="NoSpacing"/>
              <w:jc w:val="center"/>
              <w:rPr>
                <w:rFonts w:ascii="Times New Roman" w:hAnsi="Times New Roman" w:cs="Times New Roman"/>
                <w:sz w:val="22"/>
                <w:szCs w:val="22"/>
                <w:lang w:eastAsia="en-IN"/>
              </w:rPr>
            </w:pPr>
            <w:r w:rsidRPr="00505A37">
              <w:rPr>
                <w:rFonts w:ascii="Times New Roman" w:hAnsi="Times New Roman" w:cs="Times New Roman"/>
                <w:sz w:val="22"/>
                <w:szCs w:val="22"/>
                <w:lang w:eastAsia="en-IN"/>
              </w:rPr>
              <w:t>0.05</w:t>
            </w:r>
          </w:p>
        </w:tc>
        <w:tc>
          <w:tcPr>
            <w:tcW w:w="682" w:type="dxa"/>
            <w:noWrap/>
            <w:vAlign w:val="center"/>
            <w:hideMark/>
          </w:tcPr>
          <w:p w14:paraId="6FCAD888" w14:textId="77777777" w:rsidR="00BA4141" w:rsidRPr="00505A37" w:rsidRDefault="00BA4141" w:rsidP="00505A37">
            <w:pPr>
              <w:pStyle w:val="NoSpacing"/>
              <w:jc w:val="center"/>
              <w:rPr>
                <w:rFonts w:ascii="Times New Roman" w:hAnsi="Times New Roman" w:cs="Times New Roman"/>
                <w:sz w:val="22"/>
                <w:szCs w:val="22"/>
                <w:lang w:eastAsia="en-IN"/>
              </w:rPr>
            </w:pPr>
            <w:r w:rsidRPr="00505A37">
              <w:rPr>
                <w:rFonts w:ascii="Times New Roman" w:hAnsi="Times New Roman" w:cs="Times New Roman"/>
                <w:sz w:val="22"/>
                <w:szCs w:val="22"/>
                <w:lang w:eastAsia="en-IN"/>
              </w:rPr>
              <w:t>..</w:t>
            </w:r>
          </w:p>
        </w:tc>
        <w:tc>
          <w:tcPr>
            <w:tcW w:w="625" w:type="dxa"/>
            <w:noWrap/>
            <w:vAlign w:val="center"/>
            <w:hideMark/>
          </w:tcPr>
          <w:p w14:paraId="53E1D1BD" w14:textId="77777777" w:rsidR="00BA4141" w:rsidRPr="00505A37" w:rsidRDefault="00BA4141" w:rsidP="00505A37">
            <w:pPr>
              <w:pStyle w:val="NoSpacing"/>
              <w:jc w:val="center"/>
              <w:rPr>
                <w:rFonts w:ascii="Times New Roman" w:hAnsi="Times New Roman" w:cs="Times New Roman"/>
                <w:sz w:val="22"/>
                <w:szCs w:val="22"/>
                <w:lang w:eastAsia="en-IN"/>
              </w:rPr>
            </w:pPr>
            <w:r w:rsidRPr="00505A37">
              <w:rPr>
                <w:rFonts w:ascii="Times New Roman" w:hAnsi="Times New Roman" w:cs="Times New Roman"/>
                <w:sz w:val="22"/>
                <w:szCs w:val="22"/>
                <w:lang w:eastAsia="en-IN"/>
              </w:rPr>
              <w:t>..</w:t>
            </w:r>
          </w:p>
        </w:tc>
        <w:tc>
          <w:tcPr>
            <w:tcW w:w="892" w:type="dxa"/>
            <w:noWrap/>
            <w:vAlign w:val="center"/>
            <w:hideMark/>
          </w:tcPr>
          <w:p w14:paraId="19383513" w14:textId="77777777" w:rsidR="00BA4141" w:rsidRPr="00505A37" w:rsidRDefault="00BA4141" w:rsidP="00505A37">
            <w:pPr>
              <w:pStyle w:val="NoSpacing"/>
              <w:jc w:val="center"/>
              <w:rPr>
                <w:rFonts w:ascii="Times New Roman" w:hAnsi="Times New Roman" w:cs="Times New Roman"/>
                <w:sz w:val="22"/>
                <w:szCs w:val="22"/>
                <w:lang w:eastAsia="en-IN"/>
              </w:rPr>
            </w:pPr>
            <w:r w:rsidRPr="00505A37">
              <w:rPr>
                <w:rFonts w:ascii="Times New Roman" w:hAnsi="Times New Roman" w:cs="Times New Roman"/>
                <w:sz w:val="22"/>
                <w:szCs w:val="22"/>
                <w:lang w:eastAsia="en-IN"/>
              </w:rPr>
              <w:t>..</w:t>
            </w:r>
          </w:p>
        </w:tc>
        <w:tc>
          <w:tcPr>
            <w:tcW w:w="625" w:type="dxa"/>
            <w:noWrap/>
            <w:vAlign w:val="center"/>
            <w:hideMark/>
          </w:tcPr>
          <w:p w14:paraId="1C58E595" w14:textId="61300FB0" w:rsidR="00BA4141" w:rsidRPr="00505A37" w:rsidRDefault="000C3AB2" w:rsidP="00505A37">
            <w:pPr>
              <w:pStyle w:val="NoSpacing"/>
              <w:jc w:val="center"/>
              <w:rPr>
                <w:rFonts w:ascii="Times New Roman" w:hAnsi="Times New Roman" w:cs="Times New Roman"/>
                <w:sz w:val="22"/>
                <w:szCs w:val="22"/>
                <w:lang w:eastAsia="en-IN"/>
              </w:rPr>
            </w:pPr>
            <w:r w:rsidRPr="00505A37">
              <w:rPr>
                <w:rFonts w:ascii="Times New Roman" w:hAnsi="Times New Roman" w:cs="Times New Roman"/>
                <w:sz w:val="22"/>
                <w:szCs w:val="22"/>
                <w:lang w:eastAsia="en-IN"/>
              </w:rPr>
              <w:t>+</w:t>
            </w:r>
            <w:r w:rsidR="00BA4141" w:rsidRPr="00505A37">
              <w:rPr>
                <w:rFonts w:ascii="Times New Roman" w:hAnsi="Times New Roman" w:cs="Times New Roman"/>
                <w:sz w:val="22"/>
                <w:szCs w:val="22"/>
                <w:lang w:eastAsia="en-IN"/>
              </w:rPr>
              <w:t>0.05</w:t>
            </w:r>
          </w:p>
        </w:tc>
        <w:tc>
          <w:tcPr>
            <w:tcW w:w="625" w:type="dxa"/>
            <w:noWrap/>
            <w:vAlign w:val="center"/>
            <w:hideMark/>
          </w:tcPr>
          <w:p w14:paraId="196C4A24" w14:textId="77777777" w:rsidR="00BA4141" w:rsidRPr="00505A37" w:rsidRDefault="00BA4141" w:rsidP="00505A37">
            <w:pPr>
              <w:pStyle w:val="NoSpacing"/>
              <w:jc w:val="center"/>
              <w:rPr>
                <w:rFonts w:ascii="Times New Roman" w:hAnsi="Times New Roman" w:cs="Times New Roman"/>
                <w:sz w:val="22"/>
                <w:szCs w:val="22"/>
                <w:lang w:eastAsia="en-IN"/>
              </w:rPr>
            </w:pPr>
            <w:r w:rsidRPr="00505A37">
              <w:rPr>
                <w:rFonts w:ascii="Times New Roman" w:hAnsi="Times New Roman" w:cs="Times New Roman"/>
                <w:sz w:val="22"/>
                <w:szCs w:val="22"/>
                <w:lang w:eastAsia="en-IN"/>
              </w:rPr>
              <w:t>0.09</w:t>
            </w:r>
          </w:p>
        </w:tc>
        <w:tc>
          <w:tcPr>
            <w:tcW w:w="682" w:type="dxa"/>
            <w:noWrap/>
            <w:vAlign w:val="center"/>
            <w:hideMark/>
          </w:tcPr>
          <w:p w14:paraId="6A6505B7" w14:textId="77777777" w:rsidR="00BA4141" w:rsidRPr="00505A37" w:rsidRDefault="00BA4141" w:rsidP="00505A37">
            <w:pPr>
              <w:pStyle w:val="NoSpacing"/>
              <w:jc w:val="center"/>
              <w:rPr>
                <w:rFonts w:ascii="Times New Roman" w:hAnsi="Times New Roman" w:cs="Times New Roman"/>
                <w:sz w:val="22"/>
                <w:szCs w:val="22"/>
                <w:lang w:eastAsia="en-IN"/>
              </w:rPr>
            </w:pPr>
            <w:r w:rsidRPr="00505A37">
              <w:rPr>
                <w:rFonts w:ascii="Times New Roman" w:hAnsi="Times New Roman" w:cs="Times New Roman"/>
                <w:sz w:val="22"/>
                <w:szCs w:val="22"/>
                <w:lang w:eastAsia="en-IN"/>
              </w:rPr>
              <w:t>0.08</w:t>
            </w:r>
          </w:p>
        </w:tc>
        <w:tc>
          <w:tcPr>
            <w:tcW w:w="675" w:type="dxa"/>
            <w:noWrap/>
            <w:vAlign w:val="center"/>
            <w:hideMark/>
          </w:tcPr>
          <w:p w14:paraId="409937FD" w14:textId="77777777" w:rsidR="00BA4141" w:rsidRPr="00505A37" w:rsidRDefault="00BA4141" w:rsidP="00505A37">
            <w:pPr>
              <w:pStyle w:val="NoSpacing"/>
              <w:jc w:val="center"/>
              <w:rPr>
                <w:rFonts w:ascii="Times New Roman" w:hAnsi="Times New Roman" w:cs="Times New Roman"/>
                <w:sz w:val="22"/>
                <w:szCs w:val="22"/>
                <w:lang w:eastAsia="en-IN"/>
              </w:rPr>
            </w:pPr>
            <w:r w:rsidRPr="00505A37">
              <w:rPr>
                <w:rFonts w:ascii="Times New Roman" w:hAnsi="Times New Roman" w:cs="Times New Roman"/>
                <w:sz w:val="22"/>
                <w:szCs w:val="22"/>
                <w:lang w:eastAsia="en-IN"/>
              </w:rPr>
              <w:t>..</w:t>
            </w:r>
          </w:p>
        </w:tc>
        <w:tc>
          <w:tcPr>
            <w:tcW w:w="892" w:type="dxa"/>
            <w:noWrap/>
            <w:vAlign w:val="center"/>
            <w:hideMark/>
          </w:tcPr>
          <w:p w14:paraId="5105BE13" w14:textId="77777777" w:rsidR="00BA4141" w:rsidRPr="00505A37" w:rsidRDefault="00BA4141" w:rsidP="00505A37">
            <w:pPr>
              <w:pStyle w:val="NoSpacing"/>
              <w:jc w:val="center"/>
              <w:rPr>
                <w:rFonts w:ascii="Times New Roman" w:hAnsi="Times New Roman" w:cs="Times New Roman"/>
                <w:sz w:val="22"/>
                <w:szCs w:val="22"/>
                <w:lang w:eastAsia="en-IN"/>
              </w:rPr>
            </w:pPr>
            <w:r w:rsidRPr="00505A37">
              <w:rPr>
                <w:rFonts w:ascii="Times New Roman" w:hAnsi="Times New Roman" w:cs="Times New Roman"/>
                <w:sz w:val="22"/>
                <w:szCs w:val="22"/>
                <w:lang w:eastAsia="en-IN"/>
              </w:rPr>
              <w:t>..</w:t>
            </w:r>
          </w:p>
        </w:tc>
        <w:tc>
          <w:tcPr>
            <w:tcW w:w="625" w:type="dxa"/>
            <w:noWrap/>
            <w:vAlign w:val="center"/>
            <w:hideMark/>
          </w:tcPr>
          <w:p w14:paraId="6459BE95" w14:textId="78DCF3D6" w:rsidR="00BA4141" w:rsidRPr="00505A37" w:rsidRDefault="003146F9" w:rsidP="00505A37">
            <w:pPr>
              <w:pStyle w:val="NoSpacing"/>
              <w:jc w:val="center"/>
              <w:rPr>
                <w:rFonts w:ascii="Times New Roman" w:hAnsi="Times New Roman" w:cs="Times New Roman"/>
                <w:sz w:val="22"/>
                <w:szCs w:val="22"/>
                <w:lang w:eastAsia="en-IN"/>
              </w:rPr>
            </w:pPr>
            <w:r w:rsidRPr="00505A37">
              <w:rPr>
                <w:rFonts w:ascii="Times New Roman" w:hAnsi="Times New Roman" w:cs="Times New Roman"/>
                <w:sz w:val="22"/>
                <w:szCs w:val="22"/>
                <w:lang w:eastAsia="en-IN"/>
              </w:rPr>
              <w:t>+</w:t>
            </w:r>
            <w:r w:rsidR="00BA4141" w:rsidRPr="00505A37">
              <w:rPr>
                <w:rFonts w:ascii="Times New Roman" w:hAnsi="Times New Roman" w:cs="Times New Roman"/>
                <w:sz w:val="22"/>
                <w:szCs w:val="22"/>
                <w:lang w:eastAsia="en-IN"/>
              </w:rPr>
              <w:t>0.01</w:t>
            </w:r>
          </w:p>
        </w:tc>
        <w:tc>
          <w:tcPr>
            <w:tcW w:w="625" w:type="dxa"/>
            <w:noWrap/>
            <w:vAlign w:val="center"/>
            <w:hideMark/>
          </w:tcPr>
          <w:p w14:paraId="61F1589B" w14:textId="77777777" w:rsidR="00BA4141" w:rsidRPr="00505A37" w:rsidRDefault="00BA4141" w:rsidP="00505A37">
            <w:pPr>
              <w:pStyle w:val="NoSpacing"/>
              <w:jc w:val="center"/>
              <w:rPr>
                <w:rFonts w:ascii="Times New Roman" w:hAnsi="Times New Roman" w:cs="Times New Roman"/>
                <w:sz w:val="22"/>
                <w:szCs w:val="22"/>
                <w:lang w:eastAsia="en-IN"/>
              </w:rPr>
            </w:pPr>
            <w:r w:rsidRPr="00505A37">
              <w:rPr>
                <w:rFonts w:ascii="Times New Roman" w:hAnsi="Times New Roman" w:cs="Times New Roman"/>
                <w:sz w:val="22"/>
                <w:szCs w:val="22"/>
                <w:lang w:eastAsia="en-IN"/>
              </w:rPr>
              <w:t>0.12</w:t>
            </w:r>
          </w:p>
        </w:tc>
        <w:tc>
          <w:tcPr>
            <w:tcW w:w="682" w:type="dxa"/>
            <w:noWrap/>
            <w:vAlign w:val="center"/>
            <w:hideMark/>
          </w:tcPr>
          <w:p w14:paraId="02E12387" w14:textId="77777777" w:rsidR="00BA4141" w:rsidRPr="00505A37" w:rsidRDefault="00BA4141" w:rsidP="00505A37">
            <w:pPr>
              <w:pStyle w:val="NoSpacing"/>
              <w:jc w:val="center"/>
              <w:rPr>
                <w:rFonts w:ascii="Times New Roman" w:hAnsi="Times New Roman" w:cs="Times New Roman"/>
                <w:sz w:val="22"/>
                <w:szCs w:val="22"/>
                <w:lang w:eastAsia="en-IN"/>
              </w:rPr>
            </w:pPr>
            <w:r w:rsidRPr="00505A37">
              <w:rPr>
                <w:rFonts w:ascii="Times New Roman" w:hAnsi="Times New Roman" w:cs="Times New Roman"/>
                <w:sz w:val="22"/>
                <w:szCs w:val="22"/>
                <w:lang w:eastAsia="en-IN"/>
              </w:rPr>
              <w:t>0.15</w:t>
            </w:r>
          </w:p>
        </w:tc>
        <w:tc>
          <w:tcPr>
            <w:tcW w:w="625" w:type="dxa"/>
            <w:noWrap/>
            <w:vAlign w:val="center"/>
            <w:hideMark/>
          </w:tcPr>
          <w:p w14:paraId="121CB721" w14:textId="77777777" w:rsidR="00BA4141" w:rsidRPr="00505A37" w:rsidRDefault="00BA4141" w:rsidP="00505A37">
            <w:pPr>
              <w:pStyle w:val="NoSpacing"/>
              <w:jc w:val="center"/>
              <w:rPr>
                <w:rFonts w:ascii="Times New Roman" w:hAnsi="Times New Roman" w:cs="Times New Roman"/>
                <w:sz w:val="22"/>
                <w:szCs w:val="22"/>
                <w:lang w:eastAsia="en-IN"/>
              </w:rPr>
            </w:pPr>
            <w:r w:rsidRPr="00505A37">
              <w:rPr>
                <w:rFonts w:ascii="Times New Roman" w:hAnsi="Times New Roman" w:cs="Times New Roman"/>
                <w:sz w:val="22"/>
                <w:szCs w:val="22"/>
                <w:lang w:eastAsia="en-IN"/>
              </w:rPr>
              <w:t>..</w:t>
            </w:r>
          </w:p>
        </w:tc>
        <w:tc>
          <w:tcPr>
            <w:tcW w:w="892" w:type="dxa"/>
            <w:noWrap/>
            <w:vAlign w:val="center"/>
            <w:hideMark/>
          </w:tcPr>
          <w:p w14:paraId="72AA3299" w14:textId="77777777" w:rsidR="00BA4141" w:rsidRPr="00505A37" w:rsidRDefault="00BA4141" w:rsidP="00505A37">
            <w:pPr>
              <w:pStyle w:val="NoSpacing"/>
              <w:jc w:val="center"/>
              <w:rPr>
                <w:rFonts w:ascii="Times New Roman" w:hAnsi="Times New Roman" w:cs="Times New Roman"/>
                <w:sz w:val="22"/>
                <w:szCs w:val="22"/>
                <w:lang w:eastAsia="en-IN"/>
              </w:rPr>
            </w:pPr>
            <w:r w:rsidRPr="00505A37">
              <w:rPr>
                <w:rFonts w:ascii="Times New Roman" w:hAnsi="Times New Roman" w:cs="Times New Roman"/>
                <w:sz w:val="22"/>
                <w:szCs w:val="22"/>
                <w:lang w:eastAsia="en-IN"/>
              </w:rPr>
              <w:t>..</w:t>
            </w:r>
          </w:p>
        </w:tc>
        <w:tc>
          <w:tcPr>
            <w:tcW w:w="625" w:type="dxa"/>
            <w:noWrap/>
            <w:vAlign w:val="center"/>
            <w:hideMark/>
          </w:tcPr>
          <w:p w14:paraId="0663FE9D" w14:textId="77777777" w:rsidR="00BA4141" w:rsidRPr="00505A37" w:rsidRDefault="00BA4141" w:rsidP="00505A37">
            <w:pPr>
              <w:pStyle w:val="NoSpacing"/>
              <w:jc w:val="center"/>
              <w:rPr>
                <w:rFonts w:ascii="Times New Roman" w:hAnsi="Times New Roman" w:cs="Times New Roman"/>
                <w:sz w:val="22"/>
                <w:szCs w:val="22"/>
                <w:lang w:eastAsia="en-IN"/>
              </w:rPr>
            </w:pPr>
            <w:r w:rsidRPr="00505A37">
              <w:rPr>
                <w:rFonts w:ascii="Times New Roman" w:hAnsi="Times New Roman" w:cs="Times New Roman"/>
                <w:sz w:val="22"/>
                <w:szCs w:val="22"/>
                <w:lang w:eastAsia="en-IN"/>
              </w:rPr>
              <w:t>-0.03</w:t>
            </w:r>
          </w:p>
        </w:tc>
        <w:tc>
          <w:tcPr>
            <w:tcW w:w="625" w:type="dxa"/>
            <w:noWrap/>
            <w:vAlign w:val="center"/>
            <w:hideMark/>
          </w:tcPr>
          <w:p w14:paraId="452B7738" w14:textId="77777777" w:rsidR="00BA4141" w:rsidRPr="00505A37" w:rsidRDefault="00BA4141" w:rsidP="00505A37">
            <w:pPr>
              <w:pStyle w:val="NoSpacing"/>
              <w:jc w:val="center"/>
              <w:rPr>
                <w:rFonts w:ascii="Times New Roman" w:hAnsi="Times New Roman" w:cs="Times New Roman"/>
                <w:sz w:val="22"/>
                <w:szCs w:val="22"/>
                <w:lang w:eastAsia="en-IN"/>
              </w:rPr>
            </w:pPr>
            <w:r w:rsidRPr="00505A37">
              <w:rPr>
                <w:rFonts w:ascii="Times New Roman" w:hAnsi="Times New Roman" w:cs="Times New Roman"/>
                <w:sz w:val="22"/>
                <w:szCs w:val="22"/>
                <w:lang w:eastAsia="en-IN"/>
              </w:rPr>
              <w:t>0.23</w:t>
            </w:r>
          </w:p>
        </w:tc>
        <w:tc>
          <w:tcPr>
            <w:tcW w:w="682" w:type="dxa"/>
            <w:noWrap/>
            <w:vAlign w:val="center"/>
            <w:hideMark/>
          </w:tcPr>
          <w:p w14:paraId="2F89834D" w14:textId="77777777" w:rsidR="00BA4141" w:rsidRPr="00505A37" w:rsidRDefault="00BA4141" w:rsidP="00505A37">
            <w:pPr>
              <w:pStyle w:val="NoSpacing"/>
              <w:jc w:val="center"/>
              <w:rPr>
                <w:rFonts w:ascii="Times New Roman" w:hAnsi="Times New Roman" w:cs="Times New Roman"/>
                <w:sz w:val="22"/>
                <w:szCs w:val="22"/>
                <w:lang w:eastAsia="en-IN"/>
              </w:rPr>
            </w:pPr>
            <w:r w:rsidRPr="00505A37">
              <w:rPr>
                <w:rFonts w:ascii="Times New Roman" w:hAnsi="Times New Roman" w:cs="Times New Roman"/>
                <w:sz w:val="22"/>
                <w:szCs w:val="22"/>
                <w:lang w:eastAsia="en-IN"/>
              </w:rPr>
              <w:t>0.27</w:t>
            </w:r>
          </w:p>
        </w:tc>
        <w:tc>
          <w:tcPr>
            <w:tcW w:w="625" w:type="dxa"/>
            <w:noWrap/>
            <w:vAlign w:val="center"/>
            <w:hideMark/>
          </w:tcPr>
          <w:p w14:paraId="497EE049" w14:textId="77777777" w:rsidR="00BA4141" w:rsidRPr="00505A37" w:rsidRDefault="00BA4141" w:rsidP="00505A37">
            <w:pPr>
              <w:pStyle w:val="NoSpacing"/>
              <w:jc w:val="center"/>
              <w:rPr>
                <w:rFonts w:ascii="Times New Roman" w:hAnsi="Times New Roman" w:cs="Times New Roman"/>
                <w:sz w:val="22"/>
                <w:szCs w:val="22"/>
                <w:lang w:eastAsia="en-IN"/>
              </w:rPr>
            </w:pPr>
            <w:r w:rsidRPr="00505A37">
              <w:rPr>
                <w:rFonts w:ascii="Times New Roman" w:hAnsi="Times New Roman" w:cs="Times New Roman"/>
                <w:sz w:val="22"/>
                <w:szCs w:val="22"/>
                <w:lang w:eastAsia="en-IN"/>
              </w:rPr>
              <w:t>..</w:t>
            </w:r>
          </w:p>
        </w:tc>
        <w:tc>
          <w:tcPr>
            <w:tcW w:w="892" w:type="dxa"/>
            <w:noWrap/>
            <w:vAlign w:val="center"/>
            <w:hideMark/>
          </w:tcPr>
          <w:p w14:paraId="236F3D05" w14:textId="77777777" w:rsidR="00BA4141" w:rsidRPr="00505A37" w:rsidRDefault="00BA4141" w:rsidP="00505A37">
            <w:pPr>
              <w:pStyle w:val="NoSpacing"/>
              <w:jc w:val="center"/>
              <w:rPr>
                <w:rFonts w:ascii="Times New Roman" w:hAnsi="Times New Roman" w:cs="Times New Roman"/>
                <w:sz w:val="22"/>
                <w:szCs w:val="22"/>
                <w:lang w:eastAsia="en-IN"/>
              </w:rPr>
            </w:pPr>
            <w:r w:rsidRPr="00505A37">
              <w:rPr>
                <w:rFonts w:ascii="Times New Roman" w:hAnsi="Times New Roman" w:cs="Times New Roman"/>
                <w:sz w:val="22"/>
                <w:szCs w:val="22"/>
                <w:lang w:eastAsia="en-IN"/>
              </w:rPr>
              <w:t>..</w:t>
            </w:r>
          </w:p>
        </w:tc>
        <w:tc>
          <w:tcPr>
            <w:tcW w:w="547" w:type="dxa"/>
            <w:noWrap/>
            <w:vAlign w:val="center"/>
            <w:hideMark/>
          </w:tcPr>
          <w:p w14:paraId="7D849CE3" w14:textId="77777777" w:rsidR="00BA4141" w:rsidRPr="00505A37" w:rsidRDefault="00BA4141" w:rsidP="00505A37">
            <w:pPr>
              <w:pStyle w:val="NoSpacing"/>
              <w:jc w:val="center"/>
              <w:rPr>
                <w:rFonts w:ascii="Times New Roman" w:hAnsi="Times New Roman" w:cs="Times New Roman"/>
                <w:sz w:val="22"/>
                <w:szCs w:val="22"/>
                <w:lang w:eastAsia="en-IN"/>
              </w:rPr>
            </w:pPr>
            <w:r w:rsidRPr="00505A37">
              <w:rPr>
                <w:rFonts w:ascii="Times New Roman" w:hAnsi="Times New Roman" w:cs="Times New Roman"/>
                <w:sz w:val="22"/>
                <w:szCs w:val="22"/>
                <w:lang w:eastAsia="en-IN"/>
              </w:rPr>
              <w:t>-0.04</w:t>
            </w:r>
          </w:p>
        </w:tc>
      </w:tr>
      <w:tr w:rsidR="00BA4141" w:rsidRPr="00505A37" w14:paraId="306F61FD" w14:textId="77777777" w:rsidTr="00505A37">
        <w:trPr>
          <w:trHeight w:val="20"/>
        </w:trPr>
        <w:tc>
          <w:tcPr>
            <w:tcW w:w="833" w:type="dxa"/>
            <w:noWrap/>
            <w:hideMark/>
          </w:tcPr>
          <w:p w14:paraId="4F7EF209" w14:textId="77777777" w:rsidR="00BA4141" w:rsidRPr="00505A37" w:rsidRDefault="00BA4141" w:rsidP="00B77C0B">
            <w:pPr>
              <w:pStyle w:val="NoSpacing"/>
              <w:rPr>
                <w:rFonts w:ascii="Times New Roman" w:hAnsi="Times New Roman" w:cs="Times New Roman"/>
                <w:sz w:val="22"/>
                <w:szCs w:val="22"/>
                <w:lang w:eastAsia="en-IN"/>
              </w:rPr>
            </w:pPr>
            <w:r w:rsidRPr="00505A37">
              <w:rPr>
                <w:rFonts w:ascii="Times New Roman" w:hAnsi="Times New Roman" w:cs="Times New Roman"/>
                <w:sz w:val="22"/>
                <w:szCs w:val="22"/>
                <w:lang w:eastAsia="en-IN"/>
              </w:rPr>
              <w:t>Orissa</w:t>
            </w:r>
          </w:p>
        </w:tc>
        <w:tc>
          <w:tcPr>
            <w:tcW w:w="625" w:type="dxa"/>
            <w:noWrap/>
            <w:vAlign w:val="center"/>
            <w:hideMark/>
          </w:tcPr>
          <w:p w14:paraId="5418226D" w14:textId="77777777" w:rsidR="00BA4141" w:rsidRPr="00505A37" w:rsidRDefault="00BA4141" w:rsidP="00505A37">
            <w:pPr>
              <w:pStyle w:val="NoSpacing"/>
              <w:jc w:val="center"/>
              <w:rPr>
                <w:rFonts w:ascii="Times New Roman" w:hAnsi="Times New Roman" w:cs="Times New Roman"/>
                <w:sz w:val="22"/>
                <w:szCs w:val="22"/>
                <w:lang w:eastAsia="en-IN"/>
              </w:rPr>
            </w:pPr>
            <w:r w:rsidRPr="00505A37">
              <w:rPr>
                <w:rFonts w:ascii="Times New Roman" w:hAnsi="Times New Roman" w:cs="Times New Roman"/>
                <w:sz w:val="22"/>
                <w:szCs w:val="22"/>
                <w:lang w:eastAsia="en-IN"/>
              </w:rPr>
              <w:t>2.18</w:t>
            </w:r>
          </w:p>
        </w:tc>
        <w:tc>
          <w:tcPr>
            <w:tcW w:w="682" w:type="dxa"/>
            <w:noWrap/>
            <w:vAlign w:val="center"/>
            <w:hideMark/>
          </w:tcPr>
          <w:p w14:paraId="3CEDA3A9" w14:textId="2A8E6CCB" w:rsidR="00BA4141" w:rsidRPr="00505A37" w:rsidRDefault="00BA4141" w:rsidP="00505A37">
            <w:pPr>
              <w:pStyle w:val="NoSpacing"/>
              <w:jc w:val="center"/>
              <w:rPr>
                <w:rFonts w:ascii="Times New Roman" w:hAnsi="Times New Roman" w:cs="Times New Roman"/>
                <w:sz w:val="22"/>
                <w:szCs w:val="22"/>
                <w:lang w:eastAsia="en-IN"/>
              </w:rPr>
            </w:pPr>
            <w:r w:rsidRPr="00505A37">
              <w:rPr>
                <w:rFonts w:ascii="Times New Roman" w:hAnsi="Times New Roman" w:cs="Times New Roman"/>
                <w:sz w:val="22"/>
                <w:szCs w:val="22"/>
                <w:lang w:eastAsia="en-IN"/>
              </w:rPr>
              <w:t>1.68</w:t>
            </w:r>
            <w:r w:rsidR="00505A37">
              <w:rPr>
                <w:rFonts w:ascii="Times New Roman" w:hAnsi="Times New Roman" w:cs="Times New Roman"/>
                <w:sz w:val="22"/>
                <w:szCs w:val="22"/>
                <w:lang w:eastAsia="en-IN"/>
              </w:rPr>
              <w:t xml:space="preserve"> </w:t>
            </w:r>
            <w:r w:rsidRPr="00505A37">
              <w:rPr>
                <w:rFonts w:ascii="Times New Roman" w:hAnsi="Times New Roman" w:cs="Times New Roman"/>
                <w:sz w:val="22"/>
                <w:szCs w:val="22"/>
                <w:lang w:eastAsia="en-IN"/>
              </w:rPr>
              <w:t>(b)</w:t>
            </w:r>
          </w:p>
        </w:tc>
        <w:tc>
          <w:tcPr>
            <w:tcW w:w="625" w:type="dxa"/>
            <w:noWrap/>
            <w:vAlign w:val="center"/>
            <w:hideMark/>
          </w:tcPr>
          <w:p w14:paraId="03AC7219" w14:textId="77777777" w:rsidR="00BA4141" w:rsidRPr="00505A37" w:rsidRDefault="00BA4141" w:rsidP="00505A37">
            <w:pPr>
              <w:pStyle w:val="NoSpacing"/>
              <w:jc w:val="center"/>
              <w:rPr>
                <w:rFonts w:ascii="Times New Roman" w:hAnsi="Times New Roman" w:cs="Times New Roman"/>
                <w:sz w:val="22"/>
                <w:szCs w:val="22"/>
                <w:lang w:eastAsia="en-IN"/>
              </w:rPr>
            </w:pPr>
            <w:r w:rsidRPr="00505A37">
              <w:rPr>
                <w:rFonts w:ascii="Times New Roman" w:hAnsi="Times New Roman" w:cs="Times New Roman"/>
                <w:sz w:val="22"/>
                <w:szCs w:val="22"/>
                <w:lang w:eastAsia="en-IN"/>
              </w:rPr>
              <w:t>0.1</w:t>
            </w:r>
          </w:p>
        </w:tc>
        <w:tc>
          <w:tcPr>
            <w:tcW w:w="892" w:type="dxa"/>
            <w:noWrap/>
            <w:vAlign w:val="center"/>
            <w:hideMark/>
          </w:tcPr>
          <w:p w14:paraId="09A1EB8C" w14:textId="77777777" w:rsidR="00BA4141" w:rsidRPr="00505A37" w:rsidRDefault="00BA4141" w:rsidP="00505A37">
            <w:pPr>
              <w:pStyle w:val="NoSpacing"/>
              <w:jc w:val="center"/>
              <w:rPr>
                <w:rFonts w:ascii="Times New Roman" w:hAnsi="Times New Roman" w:cs="Times New Roman"/>
                <w:sz w:val="22"/>
                <w:szCs w:val="22"/>
                <w:lang w:eastAsia="en-IN"/>
              </w:rPr>
            </w:pPr>
            <w:r w:rsidRPr="00505A37">
              <w:rPr>
                <w:rFonts w:ascii="Times New Roman" w:hAnsi="Times New Roman" w:cs="Times New Roman"/>
                <w:sz w:val="22"/>
                <w:szCs w:val="22"/>
                <w:lang w:eastAsia="en-IN"/>
              </w:rPr>
              <w:t>..</w:t>
            </w:r>
          </w:p>
        </w:tc>
        <w:tc>
          <w:tcPr>
            <w:tcW w:w="625" w:type="dxa"/>
            <w:noWrap/>
            <w:vAlign w:val="center"/>
            <w:hideMark/>
          </w:tcPr>
          <w:p w14:paraId="23D611C2" w14:textId="2762044D" w:rsidR="00BA4141" w:rsidRPr="00505A37" w:rsidRDefault="003146F9" w:rsidP="00505A37">
            <w:pPr>
              <w:pStyle w:val="NoSpacing"/>
              <w:jc w:val="center"/>
              <w:rPr>
                <w:rFonts w:ascii="Times New Roman" w:hAnsi="Times New Roman" w:cs="Times New Roman"/>
                <w:sz w:val="22"/>
                <w:szCs w:val="22"/>
                <w:lang w:eastAsia="en-IN"/>
              </w:rPr>
            </w:pPr>
            <w:r w:rsidRPr="00505A37">
              <w:rPr>
                <w:rFonts w:ascii="Times New Roman" w:hAnsi="Times New Roman" w:cs="Times New Roman"/>
                <w:sz w:val="22"/>
                <w:szCs w:val="22"/>
                <w:lang w:eastAsia="en-IN"/>
              </w:rPr>
              <w:t>+</w:t>
            </w:r>
            <w:r w:rsidR="00BA4141" w:rsidRPr="00505A37">
              <w:rPr>
                <w:rFonts w:ascii="Times New Roman" w:hAnsi="Times New Roman" w:cs="Times New Roman"/>
                <w:sz w:val="22"/>
                <w:szCs w:val="22"/>
                <w:lang w:eastAsia="en-IN"/>
              </w:rPr>
              <w:t>0.4</w:t>
            </w:r>
            <w:r w:rsidRPr="00505A37">
              <w:rPr>
                <w:rFonts w:ascii="Times New Roman" w:hAnsi="Times New Roman" w:cs="Times New Roman"/>
                <w:sz w:val="22"/>
                <w:szCs w:val="22"/>
                <w:lang w:eastAsia="en-IN"/>
              </w:rPr>
              <w:t>0</w:t>
            </w:r>
          </w:p>
        </w:tc>
        <w:tc>
          <w:tcPr>
            <w:tcW w:w="625" w:type="dxa"/>
            <w:noWrap/>
            <w:vAlign w:val="center"/>
            <w:hideMark/>
          </w:tcPr>
          <w:p w14:paraId="66740648" w14:textId="77777777" w:rsidR="00BA4141" w:rsidRPr="00505A37" w:rsidRDefault="00BA4141" w:rsidP="00505A37">
            <w:pPr>
              <w:pStyle w:val="NoSpacing"/>
              <w:jc w:val="center"/>
              <w:rPr>
                <w:rFonts w:ascii="Times New Roman" w:hAnsi="Times New Roman" w:cs="Times New Roman"/>
                <w:sz w:val="22"/>
                <w:szCs w:val="22"/>
                <w:lang w:eastAsia="en-IN"/>
              </w:rPr>
            </w:pPr>
            <w:r w:rsidRPr="00505A37">
              <w:rPr>
                <w:rFonts w:ascii="Times New Roman" w:hAnsi="Times New Roman" w:cs="Times New Roman"/>
                <w:sz w:val="22"/>
                <w:szCs w:val="22"/>
                <w:lang w:eastAsia="en-IN"/>
              </w:rPr>
              <w:t>2.22</w:t>
            </w:r>
          </w:p>
        </w:tc>
        <w:tc>
          <w:tcPr>
            <w:tcW w:w="682" w:type="dxa"/>
            <w:noWrap/>
            <w:vAlign w:val="center"/>
            <w:hideMark/>
          </w:tcPr>
          <w:p w14:paraId="0C21EAF3" w14:textId="380B74D9" w:rsidR="00BA4141" w:rsidRPr="00505A37" w:rsidRDefault="00BA4141" w:rsidP="00505A37">
            <w:pPr>
              <w:pStyle w:val="NoSpacing"/>
              <w:jc w:val="center"/>
              <w:rPr>
                <w:rFonts w:ascii="Times New Roman" w:hAnsi="Times New Roman" w:cs="Times New Roman"/>
                <w:sz w:val="22"/>
                <w:szCs w:val="22"/>
                <w:lang w:eastAsia="en-IN"/>
              </w:rPr>
            </w:pPr>
            <w:r w:rsidRPr="00505A37">
              <w:rPr>
                <w:rFonts w:ascii="Times New Roman" w:hAnsi="Times New Roman" w:cs="Times New Roman"/>
                <w:sz w:val="22"/>
                <w:szCs w:val="22"/>
                <w:lang w:eastAsia="en-IN"/>
              </w:rPr>
              <w:t>1.72</w:t>
            </w:r>
            <w:r w:rsidR="00505A37">
              <w:rPr>
                <w:rFonts w:ascii="Times New Roman" w:hAnsi="Times New Roman" w:cs="Times New Roman"/>
                <w:sz w:val="22"/>
                <w:szCs w:val="22"/>
                <w:lang w:eastAsia="en-IN"/>
              </w:rPr>
              <w:t xml:space="preserve"> </w:t>
            </w:r>
            <w:r w:rsidRPr="00505A37">
              <w:rPr>
                <w:rFonts w:ascii="Times New Roman" w:hAnsi="Times New Roman" w:cs="Times New Roman"/>
                <w:sz w:val="22"/>
                <w:szCs w:val="22"/>
                <w:lang w:eastAsia="en-IN"/>
              </w:rPr>
              <w:t>(b)</w:t>
            </w:r>
          </w:p>
        </w:tc>
        <w:tc>
          <w:tcPr>
            <w:tcW w:w="675" w:type="dxa"/>
            <w:noWrap/>
            <w:vAlign w:val="center"/>
            <w:hideMark/>
          </w:tcPr>
          <w:p w14:paraId="0C3F2A3F" w14:textId="77777777" w:rsidR="00BA4141" w:rsidRPr="00505A37" w:rsidRDefault="00BA4141" w:rsidP="00505A37">
            <w:pPr>
              <w:pStyle w:val="NoSpacing"/>
              <w:jc w:val="center"/>
              <w:rPr>
                <w:rFonts w:ascii="Times New Roman" w:hAnsi="Times New Roman" w:cs="Times New Roman"/>
                <w:sz w:val="22"/>
                <w:szCs w:val="22"/>
                <w:lang w:eastAsia="en-IN"/>
              </w:rPr>
            </w:pPr>
            <w:r w:rsidRPr="00505A37">
              <w:rPr>
                <w:rFonts w:ascii="Times New Roman" w:hAnsi="Times New Roman" w:cs="Times New Roman"/>
                <w:sz w:val="22"/>
                <w:szCs w:val="22"/>
                <w:lang w:eastAsia="en-IN"/>
              </w:rPr>
              <w:t>0.11</w:t>
            </w:r>
          </w:p>
        </w:tc>
        <w:tc>
          <w:tcPr>
            <w:tcW w:w="892" w:type="dxa"/>
            <w:noWrap/>
            <w:vAlign w:val="center"/>
            <w:hideMark/>
          </w:tcPr>
          <w:p w14:paraId="6E446EAD" w14:textId="77777777" w:rsidR="00BA4141" w:rsidRPr="00505A37" w:rsidRDefault="00BA4141" w:rsidP="00505A37">
            <w:pPr>
              <w:pStyle w:val="NoSpacing"/>
              <w:jc w:val="center"/>
              <w:rPr>
                <w:rFonts w:ascii="Times New Roman" w:hAnsi="Times New Roman" w:cs="Times New Roman"/>
                <w:sz w:val="22"/>
                <w:szCs w:val="22"/>
                <w:lang w:eastAsia="en-IN"/>
              </w:rPr>
            </w:pPr>
            <w:r w:rsidRPr="00505A37">
              <w:rPr>
                <w:rFonts w:ascii="Times New Roman" w:hAnsi="Times New Roman" w:cs="Times New Roman"/>
                <w:sz w:val="22"/>
                <w:szCs w:val="22"/>
                <w:lang w:eastAsia="en-IN"/>
              </w:rPr>
              <w:t>..</w:t>
            </w:r>
          </w:p>
        </w:tc>
        <w:tc>
          <w:tcPr>
            <w:tcW w:w="625" w:type="dxa"/>
            <w:noWrap/>
            <w:vAlign w:val="center"/>
            <w:hideMark/>
          </w:tcPr>
          <w:p w14:paraId="5256E11A" w14:textId="0BB2CD0C" w:rsidR="00BA4141" w:rsidRPr="00505A37" w:rsidRDefault="003146F9" w:rsidP="00505A37">
            <w:pPr>
              <w:pStyle w:val="NoSpacing"/>
              <w:jc w:val="center"/>
              <w:rPr>
                <w:rFonts w:ascii="Times New Roman" w:hAnsi="Times New Roman" w:cs="Times New Roman"/>
                <w:sz w:val="22"/>
                <w:szCs w:val="22"/>
                <w:lang w:eastAsia="en-IN"/>
              </w:rPr>
            </w:pPr>
            <w:r w:rsidRPr="00505A37">
              <w:rPr>
                <w:rFonts w:ascii="Times New Roman" w:hAnsi="Times New Roman" w:cs="Times New Roman"/>
                <w:sz w:val="22"/>
                <w:szCs w:val="22"/>
                <w:lang w:eastAsia="en-IN"/>
              </w:rPr>
              <w:t>+</w:t>
            </w:r>
            <w:r w:rsidR="00BA4141" w:rsidRPr="00505A37">
              <w:rPr>
                <w:rFonts w:ascii="Times New Roman" w:hAnsi="Times New Roman" w:cs="Times New Roman"/>
                <w:sz w:val="22"/>
                <w:szCs w:val="22"/>
                <w:lang w:eastAsia="en-IN"/>
              </w:rPr>
              <w:t>0.39</w:t>
            </w:r>
          </w:p>
        </w:tc>
        <w:tc>
          <w:tcPr>
            <w:tcW w:w="625" w:type="dxa"/>
            <w:noWrap/>
            <w:vAlign w:val="center"/>
            <w:hideMark/>
          </w:tcPr>
          <w:p w14:paraId="6A067ED4" w14:textId="77777777" w:rsidR="00BA4141" w:rsidRPr="00505A37" w:rsidRDefault="00BA4141" w:rsidP="00505A37">
            <w:pPr>
              <w:pStyle w:val="NoSpacing"/>
              <w:jc w:val="center"/>
              <w:rPr>
                <w:rFonts w:ascii="Times New Roman" w:hAnsi="Times New Roman" w:cs="Times New Roman"/>
                <w:sz w:val="22"/>
                <w:szCs w:val="22"/>
                <w:lang w:eastAsia="en-IN"/>
              </w:rPr>
            </w:pPr>
            <w:r w:rsidRPr="00505A37">
              <w:rPr>
                <w:rFonts w:ascii="Times New Roman" w:hAnsi="Times New Roman" w:cs="Times New Roman"/>
                <w:sz w:val="22"/>
                <w:szCs w:val="22"/>
                <w:lang w:eastAsia="en-IN"/>
              </w:rPr>
              <w:t>2.39</w:t>
            </w:r>
          </w:p>
        </w:tc>
        <w:tc>
          <w:tcPr>
            <w:tcW w:w="682" w:type="dxa"/>
            <w:noWrap/>
            <w:vAlign w:val="center"/>
            <w:hideMark/>
          </w:tcPr>
          <w:p w14:paraId="163C89CC" w14:textId="77777777" w:rsidR="00BA4141" w:rsidRPr="00505A37" w:rsidRDefault="00BA4141" w:rsidP="00505A37">
            <w:pPr>
              <w:pStyle w:val="NoSpacing"/>
              <w:jc w:val="center"/>
              <w:rPr>
                <w:rFonts w:ascii="Times New Roman" w:hAnsi="Times New Roman" w:cs="Times New Roman"/>
                <w:sz w:val="22"/>
                <w:szCs w:val="22"/>
                <w:lang w:eastAsia="en-IN"/>
              </w:rPr>
            </w:pPr>
            <w:r w:rsidRPr="00505A37">
              <w:rPr>
                <w:rFonts w:ascii="Times New Roman" w:hAnsi="Times New Roman" w:cs="Times New Roman"/>
                <w:sz w:val="22"/>
                <w:szCs w:val="22"/>
                <w:lang w:eastAsia="en-IN"/>
              </w:rPr>
              <w:t>1.82</w:t>
            </w:r>
          </w:p>
        </w:tc>
        <w:tc>
          <w:tcPr>
            <w:tcW w:w="625" w:type="dxa"/>
            <w:noWrap/>
            <w:vAlign w:val="center"/>
            <w:hideMark/>
          </w:tcPr>
          <w:p w14:paraId="2B7F1779" w14:textId="77777777" w:rsidR="00BA4141" w:rsidRPr="00505A37" w:rsidRDefault="00BA4141" w:rsidP="00505A37">
            <w:pPr>
              <w:pStyle w:val="NoSpacing"/>
              <w:jc w:val="center"/>
              <w:rPr>
                <w:rFonts w:ascii="Times New Roman" w:hAnsi="Times New Roman" w:cs="Times New Roman"/>
                <w:sz w:val="22"/>
                <w:szCs w:val="22"/>
                <w:lang w:eastAsia="en-IN"/>
              </w:rPr>
            </w:pPr>
            <w:r w:rsidRPr="00505A37">
              <w:rPr>
                <w:rFonts w:ascii="Times New Roman" w:hAnsi="Times New Roman" w:cs="Times New Roman"/>
                <w:sz w:val="22"/>
                <w:szCs w:val="22"/>
                <w:lang w:eastAsia="en-IN"/>
              </w:rPr>
              <w:t>0.14</w:t>
            </w:r>
          </w:p>
        </w:tc>
        <w:tc>
          <w:tcPr>
            <w:tcW w:w="892" w:type="dxa"/>
            <w:noWrap/>
            <w:vAlign w:val="center"/>
            <w:hideMark/>
          </w:tcPr>
          <w:p w14:paraId="45B457EC" w14:textId="77777777" w:rsidR="00BA4141" w:rsidRPr="00505A37" w:rsidRDefault="00BA4141" w:rsidP="00505A37">
            <w:pPr>
              <w:pStyle w:val="NoSpacing"/>
              <w:jc w:val="center"/>
              <w:rPr>
                <w:rFonts w:ascii="Times New Roman" w:hAnsi="Times New Roman" w:cs="Times New Roman"/>
                <w:sz w:val="22"/>
                <w:szCs w:val="22"/>
                <w:lang w:eastAsia="en-IN"/>
              </w:rPr>
            </w:pPr>
            <w:r w:rsidRPr="00505A37">
              <w:rPr>
                <w:rFonts w:ascii="Times New Roman" w:hAnsi="Times New Roman" w:cs="Times New Roman"/>
                <w:sz w:val="22"/>
                <w:szCs w:val="22"/>
                <w:lang w:eastAsia="en-IN"/>
              </w:rPr>
              <w:t>0.06</w:t>
            </w:r>
          </w:p>
        </w:tc>
        <w:tc>
          <w:tcPr>
            <w:tcW w:w="625" w:type="dxa"/>
            <w:noWrap/>
            <w:vAlign w:val="center"/>
            <w:hideMark/>
          </w:tcPr>
          <w:p w14:paraId="329DBFD8" w14:textId="4DCAAE7C" w:rsidR="00BA4141" w:rsidRPr="00505A37" w:rsidRDefault="006F30EA" w:rsidP="00505A37">
            <w:pPr>
              <w:pStyle w:val="NoSpacing"/>
              <w:jc w:val="center"/>
              <w:rPr>
                <w:rFonts w:ascii="Times New Roman" w:hAnsi="Times New Roman" w:cs="Times New Roman"/>
                <w:sz w:val="22"/>
                <w:szCs w:val="22"/>
                <w:lang w:eastAsia="en-IN"/>
              </w:rPr>
            </w:pPr>
            <w:r w:rsidRPr="00505A37">
              <w:rPr>
                <w:rFonts w:ascii="Times New Roman" w:hAnsi="Times New Roman" w:cs="Times New Roman"/>
                <w:sz w:val="22"/>
                <w:szCs w:val="22"/>
                <w:lang w:eastAsia="en-IN"/>
              </w:rPr>
              <w:t>+</w:t>
            </w:r>
            <w:r w:rsidR="00BA4141" w:rsidRPr="00505A37">
              <w:rPr>
                <w:rFonts w:ascii="Times New Roman" w:hAnsi="Times New Roman" w:cs="Times New Roman"/>
                <w:sz w:val="22"/>
                <w:szCs w:val="22"/>
                <w:lang w:eastAsia="en-IN"/>
              </w:rPr>
              <w:t>0.37</w:t>
            </w:r>
          </w:p>
        </w:tc>
        <w:tc>
          <w:tcPr>
            <w:tcW w:w="625" w:type="dxa"/>
            <w:noWrap/>
            <w:vAlign w:val="center"/>
            <w:hideMark/>
          </w:tcPr>
          <w:p w14:paraId="68D58367" w14:textId="77777777" w:rsidR="00BA4141" w:rsidRPr="00505A37" w:rsidRDefault="00BA4141" w:rsidP="00505A37">
            <w:pPr>
              <w:pStyle w:val="NoSpacing"/>
              <w:jc w:val="center"/>
              <w:rPr>
                <w:rFonts w:ascii="Times New Roman" w:hAnsi="Times New Roman" w:cs="Times New Roman"/>
                <w:sz w:val="22"/>
                <w:szCs w:val="22"/>
                <w:lang w:eastAsia="en-IN"/>
              </w:rPr>
            </w:pPr>
            <w:r w:rsidRPr="00505A37">
              <w:rPr>
                <w:rFonts w:ascii="Times New Roman" w:hAnsi="Times New Roman" w:cs="Times New Roman"/>
                <w:sz w:val="22"/>
                <w:szCs w:val="22"/>
                <w:lang w:eastAsia="en-IN"/>
              </w:rPr>
              <w:t>2.5</w:t>
            </w:r>
          </w:p>
        </w:tc>
        <w:tc>
          <w:tcPr>
            <w:tcW w:w="682" w:type="dxa"/>
            <w:noWrap/>
            <w:vAlign w:val="center"/>
            <w:hideMark/>
          </w:tcPr>
          <w:p w14:paraId="621F00A0" w14:textId="77777777" w:rsidR="00BA4141" w:rsidRPr="00505A37" w:rsidRDefault="00BA4141" w:rsidP="00505A37">
            <w:pPr>
              <w:pStyle w:val="NoSpacing"/>
              <w:jc w:val="center"/>
              <w:rPr>
                <w:rFonts w:ascii="Times New Roman" w:hAnsi="Times New Roman" w:cs="Times New Roman"/>
                <w:sz w:val="22"/>
                <w:szCs w:val="22"/>
                <w:lang w:eastAsia="en-IN"/>
              </w:rPr>
            </w:pPr>
            <w:r w:rsidRPr="00505A37">
              <w:rPr>
                <w:rFonts w:ascii="Times New Roman" w:hAnsi="Times New Roman" w:cs="Times New Roman"/>
                <w:sz w:val="22"/>
                <w:szCs w:val="22"/>
                <w:lang w:eastAsia="en-IN"/>
              </w:rPr>
              <w:t>1.85</w:t>
            </w:r>
          </w:p>
        </w:tc>
        <w:tc>
          <w:tcPr>
            <w:tcW w:w="625" w:type="dxa"/>
            <w:noWrap/>
            <w:vAlign w:val="center"/>
            <w:hideMark/>
          </w:tcPr>
          <w:p w14:paraId="5A67DDC7" w14:textId="77777777" w:rsidR="00BA4141" w:rsidRPr="00505A37" w:rsidRDefault="00BA4141" w:rsidP="00505A37">
            <w:pPr>
              <w:pStyle w:val="NoSpacing"/>
              <w:jc w:val="center"/>
              <w:rPr>
                <w:rFonts w:ascii="Times New Roman" w:hAnsi="Times New Roman" w:cs="Times New Roman"/>
                <w:sz w:val="22"/>
                <w:szCs w:val="22"/>
                <w:lang w:eastAsia="en-IN"/>
              </w:rPr>
            </w:pPr>
            <w:r w:rsidRPr="00505A37">
              <w:rPr>
                <w:rFonts w:ascii="Times New Roman" w:hAnsi="Times New Roman" w:cs="Times New Roman"/>
                <w:sz w:val="22"/>
                <w:szCs w:val="22"/>
                <w:lang w:eastAsia="en-IN"/>
              </w:rPr>
              <w:t>0.15</w:t>
            </w:r>
          </w:p>
        </w:tc>
        <w:tc>
          <w:tcPr>
            <w:tcW w:w="892" w:type="dxa"/>
            <w:noWrap/>
            <w:vAlign w:val="center"/>
            <w:hideMark/>
          </w:tcPr>
          <w:p w14:paraId="5DB40B76" w14:textId="77777777" w:rsidR="00BA4141" w:rsidRPr="00505A37" w:rsidRDefault="00BA4141" w:rsidP="00505A37">
            <w:pPr>
              <w:pStyle w:val="NoSpacing"/>
              <w:jc w:val="center"/>
              <w:rPr>
                <w:rFonts w:ascii="Times New Roman" w:hAnsi="Times New Roman" w:cs="Times New Roman"/>
                <w:sz w:val="22"/>
                <w:szCs w:val="22"/>
                <w:lang w:eastAsia="en-IN"/>
              </w:rPr>
            </w:pPr>
            <w:r w:rsidRPr="00505A37">
              <w:rPr>
                <w:rFonts w:ascii="Times New Roman" w:hAnsi="Times New Roman" w:cs="Times New Roman"/>
                <w:sz w:val="22"/>
                <w:szCs w:val="22"/>
                <w:lang w:eastAsia="en-IN"/>
              </w:rPr>
              <w:t>0.26</w:t>
            </w:r>
          </w:p>
        </w:tc>
        <w:tc>
          <w:tcPr>
            <w:tcW w:w="547" w:type="dxa"/>
            <w:noWrap/>
            <w:vAlign w:val="center"/>
            <w:hideMark/>
          </w:tcPr>
          <w:p w14:paraId="5F28847C" w14:textId="7E3CDEF8" w:rsidR="00BA4141" w:rsidRPr="00505A37" w:rsidRDefault="003146F9" w:rsidP="00505A37">
            <w:pPr>
              <w:pStyle w:val="NoSpacing"/>
              <w:jc w:val="center"/>
              <w:rPr>
                <w:rFonts w:ascii="Times New Roman" w:hAnsi="Times New Roman" w:cs="Times New Roman"/>
                <w:sz w:val="22"/>
                <w:szCs w:val="22"/>
                <w:lang w:eastAsia="en-IN"/>
              </w:rPr>
            </w:pPr>
            <w:r w:rsidRPr="00505A37">
              <w:rPr>
                <w:rFonts w:ascii="Times New Roman" w:hAnsi="Times New Roman" w:cs="Times New Roman"/>
                <w:sz w:val="22"/>
                <w:szCs w:val="22"/>
                <w:lang w:eastAsia="en-IN"/>
              </w:rPr>
              <w:t>+</w:t>
            </w:r>
            <w:r w:rsidR="00BA4141" w:rsidRPr="00505A37">
              <w:rPr>
                <w:rFonts w:ascii="Times New Roman" w:hAnsi="Times New Roman" w:cs="Times New Roman"/>
                <w:sz w:val="22"/>
                <w:szCs w:val="22"/>
                <w:lang w:eastAsia="en-IN"/>
              </w:rPr>
              <w:t>0.2</w:t>
            </w:r>
          </w:p>
        </w:tc>
      </w:tr>
      <w:tr w:rsidR="00BA4141" w:rsidRPr="00505A37" w14:paraId="3CE2FC8C" w14:textId="77777777" w:rsidTr="00505A37">
        <w:trPr>
          <w:trHeight w:val="20"/>
        </w:trPr>
        <w:tc>
          <w:tcPr>
            <w:tcW w:w="833" w:type="dxa"/>
            <w:noWrap/>
            <w:hideMark/>
          </w:tcPr>
          <w:p w14:paraId="3C0EF1B0" w14:textId="77777777" w:rsidR="00BA4141" w:rsidRPr="00505A37" w:rsidRDefault="00BA4141" w:rsidP="00B77C0B">
            <w:pPr>
              <w:pStyle w:val="NoSpacing"/>
              <w:rPr>
                <w:rFonts w:ascii="Times New Roman" w:hAnsi="Times New Roman" w:cs="Times New Roman"/>
                <w:sz w:val="22"/>
                <w:szCs w:val="22"/>
                <w:lang w:eastAsia="en-IN"/>
              </w:rPr>
            </w:pPr>
            <w:r w:rsidRPr="00505A37">
              <w:rPr>
                <w:rFonts w:ascii="Times New Roman" w:hAnsi="Times New Roman" w:cs="Times New Roman"/>
                <w:sz w:val="22"/>
                <w:szCs w:val="22"/>
                <w:lang w:eastAsia="en-IN"/>
              </w:rPr>
              <w:t>Punjab</w:t>
            </w:r>
          </w:p>
        </w:tc>
        <w:tc>
          <w:tcPr>
            <w:tcW w:w="625" w:type="dxa"/>
            <w:noWrap/>
            <w:vAlign w:val="center"/>
            <w:hideMark/>
          </w:tcPr>
          <w:p w14:paraId="245AD16B" w14:textId="77777777" w:rsidR="00BA4141" w:rsidRPr="00505A37" w:rsidRDefault="00BA4141" w:rsidP="00505A37">
            <w:pPr>
              <w:pStyle w:val="NoSpacing"/>
              <w:jc w:val="center"/>
              <w:rPr>
                <w:rFonts w:ascii="Times New Roman" w:hAnsi="Times New Roman" w:cs="Times New Roman"/>
                <w:sz w:val="22"/>
                <w:szCs w:val="22"/>
                <w:lang w:eastAsia="en-IN"/>
              </w:rPr>
            </w:pPr>
            <w:r w:rsidRPr="00505A37">
              <w:rPr>
                <w:rFonts w:ascii="Times New Roman" w:hAnsi="Times New Roman" w:cs="Times New Roman"/>
                <w:sz w:val="22"/>
                <w:szCs w:val="22"/>
                <w:lang w:eastAsia="en-IN"/>
              </w:rPr>
              <w:t>..</w:t>
            </w:r>
          </w:p>
        </w:tc>
        <w:tc>
          <w:tcPr>
            <w:tcW w:w="682" w:type="dxa"/>
            <w:noWrap/>
            <w:vAlign w:val="center"/>
            <w:hideMark/>
          </w:tcPr>
          <w:p w14:paraId="4B20BF9A" w14:textId="77777777" w:rsidR="00BA4141" w:rsidRPr="00505A37" w:rsidRDefault="00BA4141" w:rsidP="00505A37">
            <w:pPr>
              <w:pStyle w:val="NoSpacing"/>
              <w:jc w:val="center"/>
              <w:rPr>
                <w:rFonts w:ascii="Times New Roman" w:hAnsi="Times New Roman" w:cs="Times New Roman"/>
                <w:sz w:val="22"/>
                <w:szCs w:val="22"/>
                <w:lang w:eastAsia="en-IN"/>
              </w:rPr>
            </w:pPr>
            <w:r w:rsidRPr="00505A37">
              <w:rPr>
                <w:rFonts w:ascii="Times New Roman" w:hAnsi="Times New Roman" w:cs="Times New Roman"/>
                <w:sz w:val="22"/>
                <w:szCs w:val="22"/>
                <w:lang w:eastAsia="en-IN"/>
              </w:rPr>
              <w:t>..</w:t>
            </w:r>
          </w:p>
        </w:tc>
        <w:tc>
          <w:tcPr>
            <w:tcW w:w="625" w:type="dxa"/>
            <w:noWrap/>
            <w:vAlign w:val="center"/>
            <w:hideMark/>
          </w:tcPr>
          <w:p w14:paraId="42634698" w14:textId="77777777" w:rsidR="00BA4141" w:rsidRPr="00505A37" w:rsidRDefault="00BA4141" w:rsidP="00505A37">
            <w:pPr>
              <w:pStyle w:val="NoSpacing"/>
              <w:jc w:val="center"/>
              <w:rPr>
                <w:rFonts w:ascii="Times New Roman" w:hAnsi="Times New Roman" w:cs="Times New Roman"/>
                <w:sz w:val="22"/>
                <w:szCs w:val="22"/>
                <w:lang w:eastAsia="en-IN"/>
              </w:rPr>
            </w:pPr>
            <w:r w:rsidRPr="00505A37">
              <w:rPr>
                <w:rFonts w:ascii="Times New Roman" w:hAnsi="Times New Roman" w:cs="Times New Roman"/>
                <w:sz w:val="22"/>
                <w:szCs w:val="22"/>
                <w:lang w:eastAsia="en-IN"/>
              </w:rPr>
              <w:t>..</w:t>
            </w:r>
          </w:p>
        </w:tc>
        <w:tc>
          <w:tcPr>
            <w:tcW w:w="892" w:type="dxa"/>
            <w:noWrap/>
            <w:vAlign w:val="center"/>
            <w:hideMark/>
          </w:tcPr>
          <w:p w14:paraId="75981247" w14:textId="77777777" w:rsidR="00BA4141" w:rsidRPr="00505A37" w:rsidRDefault="00BA4141" w:rsidP="00505A37">
            <w:pPr>
              <w:pStyle w:val="NoSpacing"/>
              <w:jc w:val="center"/>
              <w:rPr>
                <w:rFonts w:ascii="Times New Roman" w:hAnsi="Times New Roman" w:cs="Times New Roman"/>
                <w:sz w:val="22"/>
                <w:szCs w:val="22"/>
                <w:lang w:eastAsia="en-IN"/>
              </w:rPr>
            </w:pPr>
            <w:r w:rsidRPr="00505A37">
              <w:rPr>
                <w:rFonts w:ascii="Times New Roman" w:hAnsi="Times New Roman" w:cs="Times New Roman"/>
                <w:sz w:val="22"/>
                <w:szCs w:val="22"/>
                <w:lang w:eastAsia="en-IN"/>
              </w:rPr>
              <w:t>..</w:t>
            </w:r>
          </w:p>
        </w:tc>
        <w:tc>
          <w:tcPr>
            <w:tcW w:w="625" w:type="dxa"/>
            <w:noWrap/>
            <w:vAlign w:val="center"/>
            <w:hideMark/>
          </w:tcPr>
          <w:p w14:paraId="66021E8F" w14:textId="77777777" w:rsidR="00BA4141" w:rsidRPr="00505A37" w:rsidRDefault="00BA4141" w:rsidP="00505A37">
            <w:pPr>
              <w:pStyle w:val="NoSpacing"/>
              <w:jc w:val="center"/>
              <w:rPr>
                <w:rFonts w:ascii="Times New Roman" w:hAnsi="Times New Roman" w:cs="Times New Roman"/>
                <w:sz w:val="22"/>
                <w:szCs w:val="22"/>
                <w:lang w:eastAsia="en-IN"/>
              </w:rPr>
            </w:pPr>
            <w:r w:rsidRPr="00505A37">
              <w:rPr>
                <w:rFonts w:ascii="Times New Roman" w:hAnsi="Times New Roman" w:cs="Times New Roman"/>
                <w:sz w:val="22"/>
                <w:szCs w:val="22"/>
                <w:lang w:eastAsia="en-IN"/>
              </w:rPr>
              <w:t>N.A.</w:t>
            </w:r>
          </w:p>
        </w:tc>
        <w:tc>
          <w:tcPr>
            <w:tcW w:w="625" w:type="dxa"/>
            <w:noWrap/>
            <w:vAlign w:val="center"/>
            <w:hideMark/>
          </w:tcPr>
          <w:p w14:paraId="7A5B3C05" w14:textId="77777777" w:rsidR="00BA4141" w:rsidRPr="00505A37" w:rsidRDefault="00BA4141" w:rsidP="00505A37">
            <w:pPr>
              <w:pStyle w:val="NoSpacing"/>
              <w:jc w:val="center"/>
              <w:rPr>
                <w:rFonts w:ascii="Times New Roman" w:hAnsi="Times New Roman" w:cs="Times New Roman"/>
                <w:sz w:val="22"/>
                <w:szCs w:val="22"/>
                <w:lang w:eastAsia="en-IN"/>
              </w:rPr>
            </w:pPr>
            <w:r w:rsidRPr="00505A37">
              <w:rPr>
                <w:rFonts w:ascii="Times New Roman" w:hAnsi="Times New Roman" w:cs="Times New Roman"/>
                <w:sz w:val="22"/>
                <w:szCs w:val="22"/>
                <w:lang w:eastAsia="en-IN"/>
              </w:rPr>
              <w:t>..</w:t>
            </w:r>
          </w:p>
        </w:tc>
        <w:tc>
          <w:tcPr>
            <w:tcW w:w="682" w:type="dxa"/>
            <w:noWrap/>
            <w:vAlign w:val="center"/>
            <w:hideMark/>
          </w:tcPr>
          <w:p w14:paraId="191A977C" w14:textId="77777777" w:rsidR="00BA4141" w:rsidRPr="00505A37" w:rsidRDefault="00BA4141" w:rsidP="00505A37">
            <w:pPr>
              <w:pStyle w:val="NoSpacing"/>
              <w:jc w:val="center"/>
              <w:rPr>
                <w:rFonts w:ascii="Times New Roman" w:hAnsi="Times New Roman" w:cs="Times New Roman"/>
                <w:sz w:val="22"/>
                <w:szCs w:val="22"/>
                <w:lang w:eastAsia="en-IN"/>
              </w:rPr>
            </w:pPr>
            <w:r w:rsidRPr="00505A37">
              <w:rPr>
                <w:rFonts w:ascii="Times New Roman" w:hAnsi="Times New Roman" w:cs="Times New Roman"/>
                <w:sz w:val="22"/>
                <w:szCs w:val="22"/>
                <w:lang w:eastAsia="en-IN"/>
              </w:rPr>
              <w:t>..</w:t>
            </w:r>
          </w:p>
        </w:tc>
        <w:tc>
          <w:tcPr>
            <w:tcW w:w="675" w:type="dxa"/>
            <w:noWrap/>
            <w:vAlign w:val="center"/>
            <w:hideMark/>
          </w:tcPr>
          <w:p w14:paraId="2C3239B4" w14:textId="77777777" w:rsidR="00BA4141" w:rsidRPr="00505A37" w:rsidRDefault="00BA4141" w:rsidP="00505A37">
            <w:pPr>
              <w:pStyle w:val="NoSpacing"/>
              <w:jc w:val="center"/>
              <w:rPr>
                <w:rFonts w:ascii="Times New Roman" w:hAnsi="Times New Roman" w:cs="Times New Roman"/>
                <w:sz w:val="22"/>
                <w:szCs w:val="22"/>
                <w:lang w:eastAsia="en-IN"/>
              </w:rPr>
            </w:pPr>
            <w:r w:rsidRPr="00505A37">
              <w:rPr>
                <w:rFonts w:ascii="Times New Roman" w:hAnsi="Times New Roman" w:cs="Times New Roman"/>
                <w:sz w:val="22"/>
                <w:szCs w:val="22"/>
                <w:lang w:eastAsia="en-IN"/>
              </w:rPr>
              <w:t>..</w:t>
            </w:r>
          </w:p>
        </w:tc>
        <w:tc>
          <w:tcPr>
            <w:tcW w:w="892" w:type="dxa"/>
            <w:noWrap/>
            <w:vAlign w:val="center"/>
            <w:hideMark/>
          </w:tcPr>
          <w:p w14:paraId="1DDC7713" w14:textId="77777777" w:rsidR="00BA4141" w:rsidRPr="00505A37" w:rsidRDefault="00BA4141" w:rsidP="00505A37">
            <w:pPr>
              <w:pStyle w:val="NoSpacing"/>
              <w:jc w:val="center"/>
              <w:rPr>
                <w:rFonts w:ascii="Times New Roman" w:hAnsi="Times New Roman" w:cs="Times New Roman"/>
                <w:sz w:val="22"/>
                <w:szCs w:val="22"/>
                <w:lang w:eastAsia="en-IN"/>
              </w:rPr>
            </w:pPr>
            <w:r w:rsidRPr="00505A37">
              <w:rPr>
                <w:rFonts w:ascii="Times New Roman" w:hAnsi="Times New Roman" w:cs="Times New Roman"/>
                <w:sz w:val="22"/>
                <w:szCs w:val="22"/>
                <w:lang w:eastAsia="en-IN"/>
              </w:rPr>
              <w:t>..</w:t>
            </w:r>
          </w:p>
        </w:tc>
        <w:tc>
          <w:tcPr>
            <w:tcW w:w="625" w:type="dxa"/>
            <w:noWrap/>
            <w:vAlign w:val="center"/>
            <w:hideMark/>
          </w:tcPr>
          <w:p w14:paraId="2DD0CEB9" w14:textId="77777777" w:rsidR="00BA4141" w:rsidRPr="00505A37" w:rsidRDefault="00BA4141" w:rsidP="00505A37">
            <w:pPr>
              <w:pStyle w:val="NoSpacing"/>
              <w:jc w:val="center"/>
              <w:rPr>
                <w:rFonts w:ascii="Times New Roman" w:hAnsi="Times New Roman" w:cs="Times New Roman"/>
                <w:sz w:val="22"/>
                <w:szCs w:val="22"/>
                <w:lang w:eastAsia="en-IN"/>
              </w:rPr>
            </w:pPr>
            <w:r w:rsidRPr="00505A37">
              <w:rPr>
                <w:rFonts w:ascii="Times New Roman" w:hAnsi="Times New Roman" w:cs="Times New Roman"/>
                <w:sz w:val="22"/>
                <w:szCs w:val="22"/>
                <w:lang w:eastAsia="en-IN"/>
              </w:rPr>
              <w:t>N.A.</w:t>
            </w:r>
          </w:p>
        </w:tc>
        <w:tc>
          <w:tcPr>
            <w:tcW w:w="625" w:type="dxa"/>
            <w:noWrap/>
            <w:vAlign w:val="center"/>
            <w:hideMark/>
          </w:tcPr>
          <w:p w14:paraId="3E97593D" w14:textId="77777777" w:rsidR="00BA4141" w:rsidRPr="00505A37" w:rsidRDefault="00BA4141" w:rsidP="00505A37">
            <w:pPr>
              <w:pStyle w:val="NoSpacing"/>
              <w:jc w:val="center"/>
              <w:rPr>
                <w:rFonts w:ascii="Times New Roman" w:hAnsi="Times New Roman" w:cs="Times New Roman"/>
                <w:sz w:val="22"/>
                <w:szCs w:val="22"/>
                <w:lang w:eastAsia="en-IN"/>
              </w:rPr>
            </w:pPr>
            <w:r w:rsidRPr="00505A37">
              <w:rPr>
                <w:rFonts w:ascii="Times New Roman" w:hAnsi="Times New Roman" w:cs="Times New Roman"/>
                <w:sz w:val="22"/>
                <w:szCs w:val="22"/>
                <w:lang w:eastAsia="en-IN"/>
              </w:rPr>
              <w:t>4.91</w:t>
            </w:r>
          </w:p>
        </w:tc>
        <w:tc>
          <w:tcPr>
            <w:tcW w:w="682" w:type="dxa"/>
            <w:noWrap/>
            <w:vAlign w:val="center"/>
            <w:hideMark/>
          </w:tcPr>
          <w:p w14:paraId="4F473E52" w14:textId="77777777" w:rsidR="00BA4141" w:rsidRPr="00505A37" w:rsidRDefault="00BA4141" w:rsidP="00505A37">
            <w:pPr>
              <w:pStyle w:val="NoSpacing"/>
              <w:jc w:val="center"/>
              <w:rPr>
                <w:rFonts w:ascii="Times New Roman" w:hAnsi="Times New Roman" w:cs="Times New Roman"/>
                <w:sz w:val="22"/>
                <w:szCs w:val="22"/>
                <w:lang w:eastAsia="en-IN"/>
              </w:rPr>
            </w:pPr>
            <w:r w:rsidRPr="00505A37">
              <w:rPr>
                <w:rFonts w:ascii="Times New Roman" w:hAnsi="Times New Roman" w:cs="Times New Roman"/>
                <w:sz w:val="22"/>
                <w:szCs w:val="22"/>
                <w:lang w:eastAsia="en-IN"/>
              </w:rPr>
              <w:t>4.33</w:t>
            </w:r>
          </w:p>
        </w:tc>
        <w:tc>
          <w:tcPr>
            <w:tcW w:w="625" w:type="dxa"/>
            <w:noWrap/>
            <w:vAlign w:val="center"/>
            <w:hideMark/>
          </w:tcPr>
          <w:p w14:paraId="7B2E9C5D" w14:textId="77777777" w:rsidR="00BA4141" w:rsidRPr="00505A37" w:rsidRDefault="00BA4141" w:rsidP="00505A37">
            <w:pPr>
              <w:pStyle w:val="NoSpacing"/>
              <w:jc w:val="center"/>
              <w:rPr>
                <w:rFonts w:ascii="Times New Roman" w:hAnsi="Times New Roman" w:cs="Times New Roman"/>
                <w:sz w:val="22"/>
                <w:szCs w:val="22"/>
                <w:lang w:eastAsia="en-IN"/>
              </w:rPr>
            </w:pPr>
            <w:r w:rsidRPr="00505A37">
              <w:rPr>
                <w:rFonts w:ascii="Times New Roman" w:hAnsi="Times New Roman" w:cs="Times New Roman"/>
                <w:sz w:val="22"/>
                <w:szCs w:val="22"/>
                <w:lang w:eastAsia="en-IN"/>
              </w:rPr>
              <w:t>0.09</w:t>
            </w:r>
          </w:p>
        </w:tc>
        <w:tc>
          <w:tcPr>
            <w:tcW w:w="892" w:type="dxa"/>
            <w:noWrap/>
            <w:vAlign w:val="center"/>
            <w:hideMark/>
          </w:tcPr>
          <w:p w14:paraId="46318E0D" w14:textId="77777777" w:rsidR="00BA4141" w:rsidRPr="00505A37" w:rsidRDefault="00BA4141" w:rsidP="00505A37">
            <w:pPr>
              <w:pStyle w:val="NoSpacing"/>
              <w:jc w:val="center"/>
              <w:rPr>
                <w:rFonts w:ascii="Times New Roman" w:hAnsi="Times New Roman" w:cs="Times New Roman"/>
                <w:sz w:val="22"/>
                <w:szCs w:val="22"/>
                <w:lang w:eastAsia="en-IN"/>
              </w:rPr>
            </w:pPr>
            <w:r w:rsidRPr="00505A37">
              <w:rPr>
                <w:rFonts w:ascii="Times New Roman" w:hAnsi="Times New Roman" w:cs="Times New Roman"/>
                <w:sz w:val="22"/>
                <w:szCs w:val="22"/>
                <w:lang w:eastAsia="en-IN"/>
              </w:rPr>
              <w:t>..</w:t>
            </w:r>
          </w:p>
        </w:tc>
        <w:tc>
          <w:tcPr>
            <w:tcW w:w="625" w:type="dxa"/>
            <w:noWrap/>
            <w:vAlign w:val="center"/>
            <w:hideMark/>
          </w:tcPr>
          <w:p w14:paraId="762362B5" w14:textId="59AF49F1" w:rsidR="00BA4141" w:rsidRPr="00505A37" w:rsidRDefault="0076756B" w:rsidP="00505A37">
            <w:pPr>
              <w:pStyle w:val="NoSpacing"/>
              <w:jc w:val="center"/>
              <w:rPr>
                <w:rFonts w:ascii="Times New Roman" w:hAnsi="Times New Roman" w:cs="Times New Roman"/>
                <w:sz w:val="22"/>
                <w:szCs w:val="22"/>
                <w:lang w:eastAsia="en-IN"/>
              </w:rPr>
            </w:pPr>
            <w:r w:rsidRPr="00505A37">
              <w:rPr>
                <w:rFonts w:ascii="Times New Roman" w:hAnsi="Times New Roman" w:cs="Times New Roman"/>
                <w:sz w:val="22"/>
                <w:szCs w:val="22"/>
                <w:lang w:eastAsia="en-IN"/>
              </w:rPr>
              <w:t>+</w:t>
            </w:r>
            <w:r w:rsidR="00BA4141" w:rsidRPr="00505A37">
              <w:rPr>
                <w:rFonts w:ascii="Times New Roman" w:hAnsi="Times New Roman" w:cs="Times New Roman"/>
                <w:sz w:val="22"/>
                <w:szCs w:val="22"/>
                <w:lang w:eastAsia="en-IN"/>
              </w:rPr>
              <w:t>0.49</w:t>
            </w:r>
          </w:p>
        </w:tc>
        <w:tc>
          <w:tcPr>
            <w:tcW w:w="625" w:type="dxa"/>
            <w:noWrap/>
            <w:vAlign w:val="center"/>
            <w:hideMark/>
          </w:tcPr>
          <w:p w14:paraId="468EBFBA" w14:textId="77777777" w:rsidR="00BA4141" w:rsidRPr="00505A37" w:rsidRDefault="00BA4141" w:rsidP="00505A37">
            <w:pPr>
              <w:pStyle w:val="NoSpacing"/>
              <w:jc w:val="center"/>
              <w:rPr>
                <w:rFonts w:ascii="Times New Roman" w:hAnsi="Times New Roman" w:cs="Times New Roman"/>
                <w:sz w:val="22"/>
                <w:szCs w:val="22"/>
                <w:lang w:eastAsia="en-IN"/>
              </w:rPr>
            </w:pPr>
            <w:r w:rsidRPr="00505A37">
              <w:rPr>
                <w:rFonts w:ascii="Times New Roman" w:hAnsi="Times New Roman" w:cs="Times New Roman"/>
                <w:sz w:val="22"/>
                <w:szCs w:val="22"/>
                <w:lang w:eastAsia="en-IN"/>
              </w:rPr>
              <w:t>5.53</w:t>
            </w:r>
          </w:p>
        </w:tc>
        <w:tc>
          <w:tcPr>
            <w:tcW w:w="682" w:type="dxa"/>
            <w:noWrap/>
            <w:vAlign w:val="center"/>
            <w:hideMark/>
          </w:tcPr>
          <w:p w14:paraId="6D5E13B7" w14:textId="77777777" w:rsidR="00BA4141" w:rsidRPr="00505A37" w:rsidRDefault="00BA4141" w:rsidP="00505A37">
            <w:pPr>
              <w:pStyle w:val="NoSpacing"/>
              <w:jc w:val="center"/>
              <w:rPr>
                <w:rFonts w:ascii="Times New Roman" w:hAnsi="Times New Roman" w:cs="Times New Roman"/>
                <w:sz w:val="22"/>
                <w:szCs w:val="22"/>
                <w:lang w:eastAsia="en-IN"/>
              </w:rPr>
            </w:pPr>
            <w:r w:rsidRPr="00505A37">
              <w:rPr>
                <w:rFonts w:ascii="Times New Roman" w:hAnsi="Times New Roman" w:cs="Times New Roman"/>
                <w:sz w:val="22"/>
                <w:szCs w:val="22"/>
                <w:lang w:eastAsia="en-IN"/>
              </w:rPr>
              <w:t>4.61</w:t>
            </w:r>
          </w:p>
        </w:tc>
        <w:tc>
          <w:tcPr>
            <w:tcW w:w="625" w:type="dxa"/>
            <w:noWrap/>
            <w:vAlign w:val="center"/>
            <w:hideMark/>
          </w:tcPr>
          <w:p w14:paraId="4D2748D1" w14:textId="77777777" w:rsidR="00BA4141" w:rsidRPr="00505A37" w:rsidRDefault="00BA4141" w:rsidP="00505A37">
            <w:pPr>
              <w:pStyle w:val="NoSpacing"/>
              <w:jc w:val="center"/>
              <w:rPr>
                <w:rFonts w:ascii="Times New Roman" w:hAnsi="Times New Roman" w:cs="Times New Roman"/>
                <w:sz w:val="22"/>
                <w:szCs w:val="22"/>
                <w:lang w:eastAsia="en-IN"/>
              </w:rPr>
            </w:pPr>
            <w:r w:rsidRPr="00505A37">
              <w:rPr>
                <w:rFonts w:ascii="Times New Roman" w:hAnsi="Times New Roman" w:cs="Times New Roman"/>
                <w:sz w:val="22"/>
                <w:szCs w:val="22"/>
                <w:lang w:eastAsia="en-IN"/>
              </w:rPr>
              <w:t>0.22</w:t>
            </w:r>
          </w:p>
        </w:tc>
        <w:tc>
          <w:tcPr>
            <w:tcW w:w="892" w:type="dxa"/>
            <w:noWrap/>
            <w:vAlign w:val="center"/>
            <w:hideMark/>
          </w:tcPr>
          <w:p w14:paraId="77216525" w14:textId="77777777" w:rsidR="00BA4141" w:rsidRPr="00505A37" w:rsidRDefault="00BA4141" w:rsidP="00505A37">
            <w:pPr>
              <w:pStyle w:val="NoSpacing"/>
              <w:jc w:val="center"/>
              <w:rPr>
                <w:rFonts w:ascii="Times New Roman" w:hAnsi="Times New Roman" w:cs="Times New Roman"/>
                <w:sz w:val="22"/>
                <w:szCs w:val="22"/>
                <w:lang w:eastAsia="en-IN"/>
              </w:rPr>
            </w:pPr>
            <w:r w:rsidRPr="00505A37">
              <w:rPr>
                <w:rFonts w:ascii="Times New Roman" w:hAnsi="Times New Roman" w:cs="Times New Roman"/>
                <w:sz w:val="22"/>
                <w:szCs w:val="22"/>
                <w:lang w:eastAsia="en-IN"/>
              </w:rPr>
              <w:t>..</w:t>
            </w:r>
          </w:p>
        </w:tc>
        <w:tc>
          <w:tcPr>
            <w:tcW w:w="547" w:type="dxa"/>
            <w:noWrap/>
            <w:vAlign w:val="center"/>
            <w:hideMark/>
          </w:tcPr>
          <w:p w14:paraId="573239DF" w14:textId="0042CA88" w:rsidR="00BA4141" w:rsidRPr="00505A37" w:rsidRDefault="003146F9" w:rsidP="00505A37">
            <w:pPr>
              <w:pStyle w:val="NoSpacing"/>
              <w:jc w:val="center"/>
              <w:rPr>
                <w:rFonts w:ascii="Times New Roman" w:hAnsi="Times New Roman" w:cs="Times New Roman"/>
                <w:sz w:val="22"/>
                <w:szCs w:val="22"/>
                <w:lang w:eastAsia="en-IN"/>
              </w:rPr>
            </w:pPr>
            <w:r w:rsidRPr="00505A37">
              <w:rPr>
                <w:rFonts w:ascii="Times New Roman" w:hAnsi="Times New Roman" w:cs="Times New Roman"/>
                <w:sz w:val="22"/>
                <w:szCs w:val="22"/>
                <w:lang w:eastAsia="en-IN"/>
              </w:rPr>
              <w:t>+</w:t>
            </w:r>
            <w:r w:rsidR="00BA4141" w:rsidRPr="00505A37">
              <w:rPr>
                <w:rFonts w:ascii="Times New Roman" w:hAnsi="Times New Roman" w:cs="Times New Roman"/>
                <w:sz w:val="22"/>
                <w:szCs w:val="22"/>
                <w:lang w:eastAsia="en-IN"/>
              </w:rPr>
              <w:t>0.7</w:t>
            </w:r>
          </w:p>
        </w:tc>
      </w:tr>
      <w:tr w:rsidR="00BA4141" w:rsidRPr="00505A37" w14:paraId="42600371" w14:textId="77777777" w:rsidTr="00505A37">
        <w:trPr>
          <w:trHeight w:val="20"/>
        </w:trPr>
        <w:tc>
          <w:tcPr>
            <w:tcW w:w="833" w:type="dxa"/>
            <w:noWrap/>
            <w:hideMark/>
          </w:tcPr>
          <w:p w14:paraId="6AFF6D36" w14:textId="77777777" w:rsidR="00BA4141" w:rsidRPr="00505A37" w:rsidRDefault="00BA4141" w:rsidP="00B77C0B">
            <w:pPr>
              <w:pStyle w:val="NoSpacing"/>
              <w:rPr>
                <w:rFonts w:ascii="Times New Roman" w:hAnsi="Times New Roman" w:cs="Times New Roman"/>
                <w:sz w:val="22"/>
                <w:szCs w:val="22"/>
                <w:lang w:eastAsia="en-IN"/>
              </w:rPr>
            </w:pPr>
            <w:r w:rsidRPr="00505A37">
              <w:rPr>
                <w:rFonts w:ascii="Times New Roman" w:hAnsi="Times New Roman" w:cs="Times New Roman"/>
                <w:sz w:val="22"/>
                <w:szCs w:val="22"/>
                <w:lang w:eastAsia="en-IN"/>
              </w:rPr>
              <w:t>Rajasthan</w:t>
            </w:r>
          </w:p>
        </w:tc>
        <w:tc>
          <w:tcPr>
            <w:tcW w:w="625" w:type="dxa"/>
            <w:noWrap/>
            <w:vAlign w:val="center"/>
            <w:hideMark/>
          </w:tcPr>
          <w:p w14:paraId="640D8F1A" w14:textId="77777777" w:rsidR="00BA4141" w:rsidRPr="00505A37" w:rsidRDefault="00BA4141" w:rsidP="00505A37">
            <w:pPr>
              <w:pStyle w:val="NoSpacing"/>
              <w:jc w:val="center"/>
              <w:rPr>
                <w:rFonts w:ascii="Times New Roman" w:hAnsi="Times New Roman" w:cs="Times New Roman"/>
                <w:sz w:val="22"/>
                <w:szCs w:val="22"/>
                <w:lang w:eastAsia="en-IN"/>
              </w:rPr>
            </w:pPr>
            <w:r w:rsidRPr="00505A37">
              <w:rPr>
                <w:rFonts w:ascii="Times New Roman" w:hAnsi="Times New Roman" w:cs="Times New Roman"/>
                <w:sz w:val="22"/>
                <w:szCs w:val="22"/>
                <w:lang w:eastAsia="en-IN"/>
              </w:rPr>
              <w:t>..</w:t>
            </w:r>
          </w:p>
        </w:tc>
        <w:tc>
          <w:tcPr>
            <w:tcW w:w="682" w:type="dxa"/>
            <w:noWrap/>
            <w:vAlign w:val="center"/>
            <w:hideMark/>
          </w:tcPr>
          <w:p w14:paraId="7737B43B" w14:textId="77777777" w:rsidR="00BA4141" w:rsidRPr="00505A37" w:rsidRDefault="00BA4141" w:rsidP="00505A37">
            <w:pPr>
              <w:pStyle w:val="NoSpacing"/>
              <w:jc w:val="center"/>
              <w:rPr>
                <w:rFonts w:ascii="Times New Roman" w:hAnsi="Times New Roman" w:cs="Times New Roman"/>
                <w:sz w:val="22"/>
                <w:szCs w:val="22"/>
                <w:lang w:eastAsia="en-IN"/>
              </w:rPr>
            </w:pPr>
            <w:r w:rsidRPr="00505A37">
              <w:rPr>
                <w:rFonts w:ascii="Times New Roman" w:hAnsi="Times New Roman" w:cs="Times New Roman"/>
                <w:sz w:val="22"/>
                <w:szCs w:val="22"/>
                <w:lang w:eastAsia="en-IN"/>
              </w:rPr>
              <w:t>..</w:t>
            </w:r>
          </w:p>
        </w:tc>
        <w:tc>
          <w:tcPr>
            <w:tcW w:w="625" w:type="dxa"/>
            <w:noWrap/>
            <w:vAlign w:val="center"/>
            <w:hideMark/>
          </w:tcPr>
          <w:p w14:paraId="2F0A28D5" w14:textId="77777777" w:rsidR="00BA4141" w:rsidRPr="00505A37" w:rsidRDefault="00BA4141" w:rsidP="00505A37">
            <w:pPr>
              <w:pStyle w:val="NoSpacing"/>
              <w:jc w:val="center"/>
              <w:rPr>
                <w:rFonts w:ascii="Times New Roman" w:hAnsi="Times New Roman" w:cs="Times New Roman"/>
                <w:sz w:val="22"/>
                <w:szCs w:val="22"/>
                <w:lang w:eastAsia="en-IN"/>
              </w:rPr>
            </w:pPr>
            <w:r w:rsidRPr="00505A37">
              <w:rPr>
                <w:rFonts w:ascii="Times New Roman" w:hAnsi="Times New Roman" w:cs="Times New Roman"/>
                <w:sz w:val="22"/>
                <w:szCs w:val="22"/>
                <w:lang w:eastAsia="en-IN"/>
              </w:rPr>
              <w:t>..</w:t>
            </w:r>
          </w:p>
        </w:tc>
        <w:tc>
          <w:tcPr>
            <w:tcW w:w="892" w:type="dxa"/>
            <w:noWrap/>
            <w:vAlign w:val="center"/>
            <w:hideMark/>
          </w:tcPr>
          <w:p w14:paraId="33CD2E59" w14:textId="77777777" w:rsidR="00BA4141" w:rsidRPr="00505A37" w:rsidRDefault="00BA4141" w:rsidP="00505A37">
            <w:pPr>
              <w:pStyle w:val="NoSpacing"/>
              <w:jc w:val="center"/>
              <w:rPr>
                <w:rFonts w:ascii="Times New Roman" w:hAnsi="Times New Roman" w:cs="Times New Roman"/>
                <w:sz w:val="22"/>
                <w:szCs w:val="22"/>
                <w:lang w:eastAsia="en-IN"/>
              </w:rPr>
            </w:pPr>
            <w:r w:rsidRPr="00505A37">
              <w:rPr>
                <w:rFonts w:ascii="Times New Roman" w:hAnsi="Times New Roman" w:cs="Times New Roman"/>
                <w:sz w:val="22"/>
                <w:szCs w:val="22"/>
                <w:lang w:eastAsia="en-IN"/>
              </w:rPr>
              <w:t>..</w:t>
            </w:r>
          </w:p>
        </w:tc>
        <w:tc>
          <w:tcPr>
            <w:tcW w:w="625" w:type="dxa"/>
            <w:noWrap/>
            <w:vAlign w:val="center"/>
            <w:hideMark/>
          </w:tcPr>
          <w:p w14:paraId="6177E44C" w14:textId="77777777" w:rsidR="00BA4141" w:rsidRPr="00505A37" w:rsidRDefault="00BA4141" w:rsidP="00505A37">
            <w:pPr>
              <w:pStyle w:val="NoSpacing"/>
              <w:jc w:val="center"/>
              <w:rPr>
                <w:rFonts w:ascii="Times New Roman" w:hAnsi="Times New Roman" w:cs="Times New Roman"/>
                <w:sz w:val="22"/>
                <w:szCs w:val="22"/>
                <w:lang w:eastAsia="en-IN"/>
              </w:rPr>
            </w:pPr>
            <w:r w:rsidRPr="00505A37">
              <w:rPr>
                <w:rFonts w:ascii="Times New Roman" w:hAnsi="Times New Roman" w:cs="Times New Roman"/>
                <w:sz w:val="22"/>
                <w:szCs w:val="22"/>
                <w:lang w:eastAsia="en-IN"/>
              </w:rPr>
              <w:t>..</w:t>
            </w:r>
          </w:p>
        </w:tc>
        <w:tc>
          <w:tcPr>
            <w:tcW w:w="625" w:type="dxa"/>
            <w:noWrap/>
            <w:vAlign w:val="center"/>
            <w:hideMark/>
          </w:tcPr>
          <w:p w14:paraId="4F7E1AE4" w14:textId="77777777" w:rsidR="00BA4141" w:rsidRPr="00505A37" w:rsidRDefault="00BA4141" w:rsidP="00505A37">
            <w:pPr>
              <w:pStyle w:val="NoSpacing"/>
              <w:jc w:val="center"/>
              <w:rPr>
                <w:rFonts w:ascii="Times New Roman" w:hAnsi="Times New Roman" w:cs="Times New Roman"/>
                <w:sz w:val="22"/>
                <w:szCs w:val="22"/>
                <w:lang w:eastAsia="en-IN"/>
              </w:rPr>
            </w:pPr>
            <w:r w:rsidRPr="00505A37">
              <w:rPr>
                <w:rFonts w:ascii="Times New Roman" w:hAnsi="Times New Roman" w:cs="Times New Roman"/>
                <w:sz w:val="22"/>
                <w:szCs w:val="22"/>
                <w:lang w:eastAsia="en-IN"/>
              </w:rPr>
              <w:t>..</w:t>
            </w:r>
          </w:p>
        </w:tc>
        <w:tc>
          <w:tcPr>
            <w:tcW w:w="682" w:type="dxa"/>
            <w:noWrap/>
            <w:vAlign w:val="center"/>
            <w:hideMark/>
          </w:tcPr>
          <w:p w14:paraId="33DA6A28" w14:textId="77777777" w:rsidR="00BA4141" w:rsidRPr="00505A37" w:rsidRDefault="00BA4141" w:rsidP="00505A37">
            <w:pPr>
              <w:pStyle w:val="NoSpacing"/>
              <w:jc w:val="center"/>
              <w:rPr>
                <w:rFonts w:ascii="Times New Roman" w:hAnsi="Times New Roman" w:cs="Times New Roman"/>
                <w:sz w:val="22"/>
                <w:szCs w:val="22"/>
                <w:lang w:eastAsia="en-IN"/>
              </w:rPr>
            </w:pPr>
            <w:r w:rsidRPr="00505A37">
              <w:rPr>
                <w:rFonts w:ascii="Times New Roman" w:hAnsi="Times New Roman" w:cs="Times New Roman"/>
                <w:sz w:val="22"/>
                <w:szCs w:val="22"/>
                <w:lang w:eastAsia="en-IN"/>
              </w:rPr>
              <w:t>..</w:t>
            </w:r>
          </w:p>
        </w:tc>
        <w:tc>
          <w:tcPr>
            <w:tcW w:w="675" w:type="dxa"/>
            <w:noWrap/>
            <w:vAlign w:val="center"/>
            <w:hideMark/>
          </w:tcPr>
          <w:p w14:paraId="5D274564" w14:textId="77777777" w:rsidR="00BA4141" w:rsidRPr="00505A37" w:rsidRDefault="00BA4141" w:rsidP="00505A37">
            <w:pPr>
              <w:pStyle w:val="NoSpacing"/>
              <w:jc w:val="center"/>
              <w:rPr>
                <w:rFonts w:ascii="Times New Roman" w:hAnsi="Times New Roman" w:cs="Times New Roman"/>
                <w:sz w:val="22"/>
                <w:szCs w:val="22"/>
                <w:lang w:eastAsia="en-IN"/>
              </w:rPr>
            </w:pPr>
            <w:r w:rsidRPr="00505A37">
              <w:rPr>
                <w:rFonts w:ascii="Times New Roman" w:hAnsi="Times New Roman" w:cs="Times New Roman"/>
                <w:sz w:val="22"/>
                <w:szCs w:val="22"/>
                <w:lang w:eastAsia="en-IN"/>
              </w:rPr>
              <w:t>..</w:t>
            </w:r>
          </w:p>
        </w:tc>
        <w:tc>
          <w:tcPr>
            <w:tcW w:w="892" w:type="dxa"/>
            <w:noWrap/>
            <w:vAlign w:val="center"/>
            <w:hideMark/>
          </w:tcPr>
          <w:p w14:paraId="469DE465" w14:textId="77777777" w:rsidR="00BA4141" w:rsidRPr="00505A37" w:rsidRDefault="00BA4141" w:rsidP="00505A37">
            <w:pPr>
              <w:pStyle w:val="NoSpacing"/>
              <w:jc w:val="center"/>
              <w:rPr>
                <w:rFonts w:ascii="Times New Roman" w:hAnsi="Times New Roman" w:cs="Times New Roman"/>
                <w:sz w:val="22"/>
                <w:szCs w:val="22"/>
                <w:lang w:eastAsia="en-IN"/>
              </w:rPr>
            </w:pPr>
            <w:r w:rsidRPr="00505A37">
              <w:rPr>
                <w:rFonts w:ascii="Times New Roman" w:hAnsi="Times New Roman" w:cs="Times New Roman"/>
                <w:sz w:val="22"/>
                <w:szCs w:val="22"/>
                <w:lang w:eastAsia="en-IN"/>
              </w:rPr>
              <w:t>..</w:t>
            </w:r>
          </w:p>
        </w:tc>
        <w:tc>
          <w:tcPr>
            <w:tcW w:w="625" w:type="dxa"/>
            <w:noWrap/>
            <w:vAlign w:val="center"/>
            <w:hideMark/>
          </w:tcPr>
          <w:p w14:paraId="324FD314" w14:textId="77777777" w:rsidR="00BA4141" w:rsidRPr="00505A37" w:rsidRDefault="00BA4141" w:rsidP="00505A37">
            <w:pPr>
              <w:pStyle w:val="NoSpacing"/>
              <w:jc w:val="center"/>
              <w:rPr>
                <w:rFonts w:ascii="Times New Roman" w:hAnsi="Times New Roman" w:cs="Times New Roman"/>
                <w:sz w:val="22"/>
                <w:szCs w:val="22"/>
                <w:lang w:eastAsia="en-IN"/>
              </w:rPr>
            </w:pPr>
            <w:r w:rsidRPr="00505A37">
              <w:rPr>
                <w:rFonts w:ascii="Times New Roman" w:hAnsi="Times New Roman" w:cs="Times New Roman"/>
                <w:sz w:val="22"/>
                <w:szCs w:val="22"/>
                <w:lang w:eastAsia="en-IN"/>
              </w:rPr>
              <w:t>..</w:t>
            </w:r>
          </w:p>
        </w:tc>
        <w:tc>
          <w:tcPr>
            <w:tcW w:w="625" w:type="dxa"/>
            <w:noWrap/>
            <w:vAlign w:val="center"/>
            <w:hideMark/>
          </w:tcPr>
          <w:p w14:paraId="3B617EAE" w14:textId="77777777" w:rsidR="00BA4141" w:rsidRPr="00505A37" w:rsidRDefault="00BA4141" w:rsidP="00505A37">
            <w:pPr>
              <w:pStyle w:val="NoSpacing"/>
              <w:jc w:val="center"/>
              <w:rPr>
                <w:rFonts w:ascii="Times New Roman" w:hAnsi="Times New Roman" w:cs="Times New Roman"/>
                <w:sz w:val="22"/>
                <w:szCs w:val="22"/>
                <w:lang w:eastAsia="en-IN"/>
              </w:rPr>
            </w:pPr>
            <w:r w:rsidRPr="00505A37">
              <w:rPr>
                <w:rFonts w:ascii="Times New Roman" w:hAnsi="Times New Roman" w:cs="Times New Roman"/>
                <w:sz w:val="22"/>
                <w:szCs w:val="22"/>
                <w:lang w:eastAsia="en-IN"/>
              </w:rPr>
              <w:t>..</w:t>
            </w:r>
          </w:p>
        </w:tc>
        <w:tc>
          <w:tcPr>
            <w:tcW w:w="682" w:type="dxa"/>
            <w:noWrap/>
            <w:vAlign w:val="center"/>
            <w:hideMark/>
          </w:tcPr>
          <w:p w14:paraId="2645BFF1" w14:textId="77777777" w:rsidR="00BA4141" w:rsidRPr="00505A37" w:rsidRDefault="00BA4141" w:rsidP="00505A37">
            <w:pPr>
              <w:pStyle w:val="NoSpacing"/>
              <w:jc w:val="center"/>
              <w:rPr>
                <w:rFonts w:ascii="Times New Roman" w:hAnsi="Times New Roman" w:cs="Times New Roman"/>
                <w:sz w:val="22"/>
                <w:szCs w:val="22"/>
                <w:lang w:eastAsia="en-IN"/>
              </w:rPr>
            </w:pPr>
            <w:r w:rsidRPr="00505A37">
              <w:rPr>
                <w:rFonts w:ascii="Times New Roman" w:hAnsi="Times New Roman" w:cs="Times New Roman"/>
                <w:sz w:val="22"/>
                <w:szCs w:val="22"/>
                <w:lang w:eastAsia="en-IN"/>
              </w:rPr>
              <w:t>..</w:t>
            </w:r>
          </w:p>
        </w:tc>
        <w:tc>
          <w:tcPr>
            <w:tcW w:w="625" w:type="dxa"/>
            <w:noWrap/>
            <w:vAlign w:val="center"/>
            <w:hideMark/>
          </w:tcPr>
          <w:p w14:paraId="5CE13526" w14:textId="77777777" w:rsidR="00BA4141" w:rsidRPr="00505A37" w:rsidRDefault="00BA4141" w:rsidP="00505A37">
            <w:pPr>
              <w:pStyle w:val="NoSpacing"/>
              <w:jc w:val="center"/>
              <w:rPr>
                <w:rFonts w:ascii="Times New Roman" w:hAnsi="Times New Roman" w:cs="Times New Roman"/>
                <w:sz w:val="22"/>
                <w:szCs w:val="22"/>
                <w:lang w:eastAsia="en-IN"/>
              </w:rPr>
            </w:pPr>
            <w:r w:rsidRPr="00505A37">
              <w:rPr>
                <w:rFonts w:ascii="Times New Roman" w:hAnsi="Times New Roman" w:cs="Times New Roman"/>
                <w:sz w:val="22"/>
                <w:szCs w:val="22"/>
                <w:lang w:eastAsia="en-IN"/>
              </w:rPr>
              <w:t>..</w:t>
            </w:r>
          </w:p>
        </w:tc>
        <w:tc>
          <w:tcPr>
            <w:tcW w:w="892" w:type="dxa"/>
            <w:noWrap/>
            <w:vAlign w:val="center"/>
            <w:hideMark/>
          </w:tcPr>
          <w:p w14:paraId="46C0E046" w14:textId="77777777" w:rsidR="00BA4141" w:rsidRPr="00505A37" w:rsidRDefault="00BA4141" w:rsidP="00505A37">
            <w:pPr>
              <w:pStyle w:val="NoSpacing"/>
              <w:jc w:val="center"/>
              <w:rPr>
                <w:rFonts w:ascii="Times New Roman" w:hAnsi="Times New Roman" w:cs="Times New Roman"/>
                <w:sz w:val="22"/>
                <w:szCs w:val="22"/>
                <w:lang w:eastAsia="en-IN"/>
              </w:rPr>
            </w:pPr>
            <w:r w:rsidRPr="00505A37">
              <w:rPr>
                <w:rFonts w:ascii="Times New Roman" w:hAnsi="Times New Roman" w:cs="Times New Roman"/>
                <w:sz w:val="22"/>
                <w:szCs w:val="22"/>
                <w:lang w:eastAsia="en-IN"/>
              </w:rPr>
              <w:t>..</w:t>
            </w:r>
          </w:p>
        </w:tc>
        <w:tc>
          <w:tcPr>
            <w:tcW w:w="625" w:type="dxa"/>
            <w:noWrap/>
            <w:vAlign w:val="center"/>
            <w:hideMark/>
          </w:tcPr>
          <w:p w14:paraId="7068C5BA" w14:textId="77777777" w:rsidR="00BA4141" w:rsidRPr="00505A37" w:rsidRDefault="00BA4141" w:rsidP="00505A37">
            <w:pPr>
              <w:pStyle w:val="NoSpacing"/>
              <w:jc w:val="center"/>
              <w:rPr>
                <w:rFonts w:ascii="Times New Roman" w:hAnsi="Times New Roman" w:cs="Times New Roman"/>
                <w:sz w:val="22"/>
                <w:szCs w:val="22"/>
                <w:lang w:eastAsia="en-IN"/>
              </w:rPr>
            </w:pPr>
            <w:r w:rsidRPr="00505A37">
              <w:rPr>
                <w:rFonts w:ascii="Times New Roman" w:hAnsi="Times New Roman" w:cs="Times New Roman"/>
                <w:sz w:val="22"/>
                <w:szCs w:val="22"/>
                <w:lang w:eastAsia="en-IN"/>
              </w:rPr>
              <w:t>..</w:t>
            </w:r>
          </w:p>
        </w:tc>
        <w:tc>
          <w:tcPr>
            <w:tcW w:w="625" w:type="dxa"/>
            <w:noWrap/>
            <w:vAlign w:val="center"/>
            <w:hideMark/>
          </w:tcPr>
          <w:p w14:paraId="7E766AC6" w14:textId="77777777" w:rsidR="00BA4141" w:rsidRPr="00505A37" w:rsidRDefault="00BA4141" w:rsidP="00505A37">
            <w:pPr>
              <w:pStyle w:val="NoSpacing"/>
              <w:jc w:val="center"/>
              <w:rPr>
                <w:rFonts w:ascii="Times New Roman" w:hAnsi="Times New Roman" w:cs="Times New Roman"/>
                <w:sz w:val="22"/>
                <w:szCs w:val="22"/>
                <w:lang w:eastAsia="en-IN"/>
              </w:rPr>
            </w:pPr>
            <w:r w:rsidRPr="00505A37">
              <w:rPr>
                <w:rFonts w:ascii="Times New Roman" w:hAnsi="Times New Roman" w:cs="Times New Roman"/>
                <w:sz w:val="22"/>
                <w:szCs w:val="22"/>
                <w:lang w:eastAsia="en-IN"/>
              </w:rPr>
              <w:t>..</w:t>
            </w:r>
          </w:p>
        </w:tc>
        <w:tc>
          <w:tcPr>
            <w:tcW w:w="682" w:type="dxa"/>
            <w:noWrap/>
            <w:vAlign w:val="center"/>
            <w:hideMark/>
          </w:tcPr>
          <w:p w14:paraId="1FEB3806" w14:textId="77777777" w:rsidR="00BA4141" w:rsidRPr="00505A37" w:rsidRDefault="00BA4141" w:rsidP="00505A37">
            <w:pPr>
              <w:pStyle w:val="NoSpacing"/>
              <w:jc w:val="center"/>
              <w:rPr>
                <w:rFonts w:ascii="Times New Roman" w:hAnsi="Times New Roman" w:cs="Times New Roman"/>
                <w:sz w:val="22"/>
                <w:szCs w:val="22"/>
                <w:lang w:eastAsia="en-IN"/>
              </w:rPr>
            </w:pPr>
            <w:r w:rsidRPr="00505A37">
              <w:rPr>
                <w:rFonts w:ascii="Times New Roman" w:hAnsi="Times New Roman" w:cs="Times New Roman"/>
                <w:sz w:val="22"/>
                <w:szCs w:val="22"/>
                <w:lang w:eastAsia="en-IN"/>
              </w:rPr>
              <w:t>..</w:t>
            </w:r>
          </w:p>
        </w:tc>
        <w:tc>
          <w:tcPr>
            <w:tcW w:w="625" w:type="dxa"/>
            <w:noWrap/>
            <w:vAlign w:val="center"/>
            <w:hideMark/>
          </w:tcPr>
          <w:p w14:paraId="1DD10F08" w14:textId="77777777" w:rsidR="00BA4141" w:rsidRPr="00505A37" w:rsidRDefault="00BA4141" w:rsidP="00505A37">
            <w:pPr>
              <w:pStyle w:val="NoSpacing"/>
              <w:jc w:val="center"/>
              <w:rPr>
                <w:rFonts w:ascii="Times New Roman" w:hAnsi="Times New Roman" w:cs="Times New Roman"/>
                <w:sz w:val="22"/>
                <w:szCs w:val="22"/>
                <w:lang w:eastAsia="en-IN"/>
              </w:rPr>
            </w:pPr>
            <w:r w:rsidRPr="00505A37">
              <w:rPr>
                <w:rFonts w:ascii="Times New Roman" w:hAnsi="Times New Roman" w:cs="Times New Roman"/>
                <w:sz w:val="22"/>
                <w:szCs w:val="22"/>
                <w:lang w:eastAsia="en-IN"/>
              </w:rPr>
              <w:t>..</w:t>
            </w:r>
          </w:p>
        </w:tc>
        <w:tc>
          <w:tcPr>
            <w:tcW w:w="892" w:type="dxa"/>
            <w:noWrap/>
            <w:vAlign w:val="center"/>
            <w:hideMark/>
          </w:tcPr>
          <w:p w14:paraId="783A5901" w14:textId="77777777" w:rsidR="00BA4141" w:rsidRPr="00505A37" w:rsidRDefault="00BA4141" w:rsidP="00505A37">
            <w:pPr>
              <w:pStyle w:val="NoSpacing"/>
              <w:jc w:val="center"/>
              <w:rPr>
                <w:rFonts w:ascii="Times New Roman" w:hAnsi="Times New Roman" w:cs="Times New Roman"/>
                <w:sz w:val="22"/>
                <w:szCs w:val="22"/>
                <w:lang w:eastAsia="en-IN"/>
              </w:rPr>
            </w:pPr>
            <w:r w:rsidRPr="00505A37">
              <w:rPr>
                <w:rFonts w:ascii="Times New Roman" w:hAnsi="Times New Roman" w:cs="Times New Roman"/>
                <w:sz w:val="22"/>
                <w:szCs w:val="22"/>
                <w:lang w:eastAsia="en-IN"/>
              </w:rPr>
              <w:t>..</w:t>
            </w:r>
          </w:p>
        </w:tc>
        <w:tc>
          <w:tcPr>
            <w:tcW w:w="547" w:type="dxa"/>
            <w:noWrap/>
            <w:vAlign w:val="center"/>
            <w:hideMark/>
          </w:tcPr>
          <w:p w14:paraId="717576EB" w14:textId="77777777" w:rsidR="00BA4141" w:rsidRPr="00505A37" w:rsidRDefault="00BA4141" w:rsidP="00505A37">
            <w:pPr>
              <w:pStyle w:val="NoSpacing"/>
              <w:jc w:val="center"/>
              <w:rPr>
                <w:rFonts w:ascii="Times New Roman" w:hAnsi="Times New Roman" w:cs="Times New Roman"/>
                <w:sz w:val="22"/>
                <w:szCs w:val="22"/>
                <w:lang w:eastAsia="en-IN"/>
              </w:rPr>
            </w:pPr>
            <w:r w:rsidRPr="00505A37">
              <w:rPr>
                <w:rFonts w:ascii="Times New Roman" w:hAnsi="Times New Roman" w:cs="Times New Roman"/>
                <w:sz w:val="22"/>
                <w:szCs w:val="22"/>
                <w:lang w:eastAsia="en-IN"/>
              </w:rPr>
              <w:t>..</w:t>
            </w:r>
          </w:p>
        </w:tc>
      </w:tr>
      <w:tr w:rsidR="00BA4141" w:rsidRPr="00505A37" w14:paraId="52260A3B" w14:textId="77777777" w:rsidTr="00505A37">
        <w:trPr>
          <w:trHeight w:val="20"/>
        </w:trPr>
        <w:tc>
          <w:tcPr>
            <w:tcW w:w="833" w:type="dxa"/>
            <w:noWrap/>
            <w:hideMark/>
          </w:tcPr>
          <w:p w14:paraId="7870D971" w14:textId="77777777" w:rsidR="00BA4141" w:rsidRPr="00505A37" w:rsidRDefault="00BA4141" w:rsidP="00B77C0B">
            <w:pPr>
              <w:pStyle w:val="NoSpacing"/>
              <w:rPr>
                <w:rFonts w:ascii="Times New Roman" w:hAnsi="Times New Roman" w:cs="Times New Roman"/>
                <w:sz w:val="22"/>
                <w:szCs w:val="22"/>
                <w:lang w:eastAsia="en-IN"/>
              </w:rPr>
            </w:pPr>
            <w:r w:rsidRPr="00505A37">
              <w:rPr>
                <w:rFonts w:ascii="Times New Roman" w:hAnsi="Times New Roman" w:cs="Times New Roman"/>
                <w:sz w:val="22"/>
                <w:szCs w:val="22"/>
                <w:lang w:eastAsia="en-IN"/>
              </w:rPr>
              <w:t>Tamil Nadu</w:t>
            </w:r>
          </w:p>
        </w:tc>
        <w:tc>
          <w:tcPr>
            <w:tcW w:w="625" w:type="dxa"/>
            <w:noWrap/>
            <w:vAlign w:val="center"/>
            <w:hideMark/>
          </w:tcPr>
          <w:p w14:paraId="1C52CAA0" w14:textId="77777777" w:rsidR="00BA4141" w:rsidRPr="00505A37" w:rsidRDefault="00BA4141" w:rsidP="00505A37">
            <w:pPr>
              <w:pStyle w:val="NoSpacing"/>
              <w:jc w:val="center"/>
              <w:rPr>
                <w:rFonts w:ascii="Times New Roman" w:hAnsi="Times New Roman" w:cs="Times New Roman"/>
                <w:sz w:val="22"/>
                <w:szCs w:val="22"/>
                <w:lang w:eastAsia="en-IN"/>
              </w:rPr>
            </w:pPr>
            <w:r w:rsidRPr="00505A37">
              <w:rPr>
                <w:rFonts w:ascii="Times New Roman" w:hAnsi="Times New Roman" w:cs="Times New Roman"/>
                <w:sz w:val="22"/>
                <w:szCs w:val="22"/>
                <w:lang w:eastAsia="en-IN"/>
              </w:rPr>
              <w:t>7.75</w:t>
            </w:r>
          </w:p>
        </w:tc>
        <w:tc>
          <w:tcPr>
            <w:tcW w:w="682" w:type="dxa"/>
            <w:noWrap/>
            <w:vAlign w:val="center"/>
            <w:hideMark/>
          </w:tcPr>
          <w:p w14:paraId="2F34184B" w14:textId="77777777" w:rsidR="00BA4141" w:rsidRPr="00505A37" w:rsidRDefault="00BA4141" w:rsidP="00505A37">
            <w:pPr>
              <w:pStyle w:val="NoSpacing"/>
              <w:jc w:val="center"/>
              <w:rPr>
                <w:rFonts w:ascii="Times New Roman" w:hAnsi="Times New Roman" w:cs="Times New Roman"/>
                <w:sz w:val="22"/>
                <w:szCs w:val="22"/>
                <w:lang w:eastAsia="en-IN"/>
              </w:rPr>
            </w:pPr>
            <w:r w:rsidRPr="00505A37">
              <w:rPr>
                <w:rFonts w:ascii="Times New Roman" w:hAnsi="Times New Roman" w:cs="Times New Roman"/>
                <w:sz w:val="22"/>
                <w:szCs w:val="22"/>
                <w:lang w:eastAsia="en-IN"/>
              </w:rPr>
              <w:t>6.25</w:t>
            </w:r>
          </w:p>
        </w:tc>
        <w:tc>
          <w:tcPr>
            <w:tcW w:w="625" w:type="dxa"/>
            <w:noWrap/>
            <w:vAlign w:val="center"/>
            <w:hideMark/>
          </w:tcPr>
          <w:p w14:paraId="7C94C99D" w14:textId="77777777" w:rsidR="00BA4141" w:rsidRPr="00505A37" w:rsidRDefault="00BA4141" w:rsidP="00505A37">
            <w:pPr>
              <w:pStyle w:val="NoSpacing"/>
              <w:jc w:val="center"/>
              <w:rPr>
                <w:rFonts w:ascii="Times New Roman" w:hAnsi="Times New Roman" w:cs="Times New Roman"/>
                <w:sz w:val="22"/>
                <w:szCs w:val="22"/>
                <w:lang w:eastAsia="en-IN"/>
              </w:rPr>
            </w:pPr>
            <w:r w:rsidRPr="00505A37">
              <w:rPr>
                <w:rFonts w:ascii="Times New Roman" w:hAnsi="Times New Roman" w:cs="Times New Roman"/>
                <w:sz w:val="22"/>
                <w:szCs w:val="22"/>
                <w:lang w:eastAsia="en-IN"/>
              </w:rPr>
              <w:t>0.47</w:t>
            </w:r>
          </w:p>
        </w:tc>
        <w:tc>
          <w:tcPr>
            <w:tcW w:w="892" w:type="dxa"/>
            <w:noWrap/>
            <w:vAlign w:val="center"/>
            <w:hideMark/>
          </w:tcPr>
          <w:p w14:paraId="73077A1A" w14:textId="77777777" w:rsidR="00BA4141" w:rsidRPr="00505A37" w:rsidRDefault="00BA4141" w:rsidP="00505A37">
            <w:pPr>
              <w:pStyle w:val="NoSpacing"/>
              <w:jc w:val="center"/>
              <w:rPr>
                <w:rFonts w:ascii="Times New Roman" w:hAnsi="Times New Roman" w:cs="Times New Roman"/>
                <w:sz w:val="22"/>
                <w:szCs w:val="22"/>
                <w:lang w:eastAsia="en-IN"/>
              </w:rPr>
            </w:pPr>
            <w:r w:rsidRPr="00505A37">
              <w:rPr>
                <w:rFonts w:ascii="Times New Roman" w:hAnsi="Times New Roman" w:cs="Times New Roman"/>
                <w:sz w:val="22"/>
                <w:szCs w:val="22"/>
                <w:lang w:eastAsia="en-IN"/>
              </w:rPr>
              <w:t>1.16</w:t>
            </w:r>
          </w:p>
        </w:tc>
        <w:tc>
          <w:tcPr>
            <w:tcW w:w="625" w:type="dxa"/>
            <w:noWrap/>
            <w:vAlign w:val="center"/>
            <w:hideMark/>
          </w:tcPr>
          <w:p w14:paraId="00E43135" w14:textId="77777777" w:rsidR="00BA4141" w:rsidRPr="00505A37" w:rsidRDefault="00BA4141" w:rsidP="00505A37">
            <w:pPr>
              <w:pStyle w:val="NoSpacing"/>
              <w:jc w:val="center"/>
              <w:rPr>
                <w:rFonts w:ascii="Times New Roman" w:hAnsi="Times New Roman" w:cs="Times New Roman"/>
                <w:sz w:val="22"/>
                <w:szCs w:val="22"/>
                <w:lang w:eastAsia="en-IN"/>
              </w:rPr>
            </w:pPr>
            <w:r w:rsidRPr="00505A37">
              <w:rPr>
                <w:rFonts w:ascii="Times New Roman" w:hAnsi="Times New Roman" w:cs="Times New Roman"/>
                <w:sz w:val="22"/>
                <w:szCs w:val="22"/>
                <w:lang w:eastAsia="en-IN"/>
              </w:rPr>
              <w:t>-0.13</w:t>
            </w:r>
          </w:p>
        </w:tc>
        <w:tc>
          <w:tcPr>
            <w:tcW w:w="625" w:type="dxa"/>
            <w:noWrap/>
            <w:vAlign w:val="center"/>
            <w:hideMark/>
          </w:tcPr>
          <w:p w14:paraId="4D40782C" w14:textId="77777777" w:rsidR="00BA4141" w:rsidRPr="00505A37" w:rsidRDefault="00BA4141" w:rsidP="00505A37">
            <w:pPr>
              <w:pStyle w:val="NoSpacing"/>
              <w:jc w:val="center"/>
              <w:rPr>
                <w:rFonts w:ascii="Times New Roman" w:hAnsi="Times New Roman" w:cs="Times New Roman"/>
                <w:sz w:val="22"/>
                <w:szCs w:val="22"/>
                <w:lang w:eastAsia="en-IN"/>
              </w:rPr>
            </w:pPr>
            <w:r w:rsidRPr="00505A37">
              <w:rPr>
                <w:rFonts w:ascii="Times New Roman" w:hAnsi="Times New Roman" w:cs="Times New Roman"/>
                <w:sz w:val="22"/>
                <w:szCs w:val="22"/>
                <w:lang w:eastAsia="en-IN"/>
              </w:rPr>
              <w:t>8.99</w:t>
            </w:r>
          </w:p>
        </w:tc>
        <w:tc>
          <w:tcPr>
            <w:tcW w:w="682" w:type="dxa"/>
            <w:noWrap/>
            <w:vAlign w:val="center"/>
            <w:hideMark/>
          </w:tcPr>
          <w:p w14:paraId="3D4F197C" w14:textId="77777777" w:rsidR="00BA4141" w:rsidRPr="00505A37" w:rsidRDefault="00BA4141" w:rsidP="00505A37">
            <w:pPr>
              <w:pStyle w:val="NoSpacing"/>
              <w:jc w:val="center"/>
              <w:rPr>
                <w:rFonts w:ascii="Times New Roman" w:hAnsi="Times New Roman" w:cs="Times New Roman"/>
                <w:sz w:val="22"/>
                <w:szCs w:val="22"/>
                <w:lang w:eastAsia="en-IN"/>
              </w:rPr>
            </w:pPr>
            <w:r w:rsidRPr="00505A37">
              <w:rPr>
                <w:rFonts w:ascii="Times New Roman" w:hAnsi="Times New Roman" w:cs="Times New Roman"/>
                <w:sz w:val="22"/>
                <w:szCs w:val="22"/>
                <w:lang w:eastAsia="en-IN"/>
              </w:rPr>
              <w:t>7.6</w:t>
            </w:r>
          </w:p>
        </w:tc>
        <w:tc>
          <w:tcPr>
            <w:tcW w:w="675" w:type="dxa"/>
            <w:noWrap/>
            <w:vAlign w:val="center"/>
            <w:hideMark/>
          </w:tcPr>
          <w:p w14:paraId="1E9185C3" w14:textId="77777777" w:rsidR="00BA4141" w:rsidRPr="00505A37" w:rsidRDefault="00BA4141" w:rsidP="00505A37">
            <w:pPr>
              <w:pStyle w:val="NoSpacing"/>
              <w:jc w:val="center"/>
              <w:rPr>
                <w:rFonts w:ascii="Times New Roman" w:hAnsi="Times New Roman" w:cs="Times New Roman"/>
                <w:sz w:val="22"/>
                <w:szCs w:val="22"/>
                <w:lang w:eastAsia="en-IN"/>
              </w:rPr>
            </w:pPr>
            <w:r w:rsidRPr="00505A37">
              <w:rPr>
                <w:rFonts w:ascii="Times New Roman" w:hAnsi="Times New Roman" w:cs="Times New Roman"/>
                <w:sz w:val="22"/>
                <w:szCs w:val="22"/>
                <w:lang w:eastAsia="en-IN"/>
              </w:rPr>
              <w:t>0.53</w:t>
            </w:r>
          </w:p>
        </w:tc>
        <w:tc>
          <w:tcPr>
            <w:tcW w:w="892" w:type="dxa"/>
            <w:noWrap/>
            <w:vAlign w:val="center"/>
            <w:hideMark/>
          </w:tcPr>
          <w:p w14:paraId="4FC549E7" w14:textId="77777777" w:rsidR="00BA4141" w:rsidRPr="00505A37" w:rsidRDefault="00BA4141" w:rsidP="00505A37">
            <w:pPr>
              <w:pStyle w:val="NoSpacing"/>
              <w:jc w:val="center"/>
              <w:rPr>
                <w:rFonts w:ascii="Times New Roman" w:hAnsi="Times New Roman" w:cs="Times New Roman"/>
                <w:sz w:val="22"/>
                <w:szCs w:val="22"/>
                <w:lang w:eastAsia="en-IN"/>
              </w:rPr>
            </w:pPr>
            <w:r w:rsidRPr="00505A37">
              <w:rPr>
                <w:rFonts w:ascii="Times New Roman" w:hAnsi="Times New Roman" w:cs="Times New Roman"/>
                <w:sz w:val="22"/>
                <w:szCs w:val="22"/>
                <w:lang w:eastAsia="en-IN"/>
              </w:rPr>
              <w:t>1.31</w:t>
            </w:r>
          </w:p>
        </w:tc>
        <w:tc>
          <w:tcPr>
            <w:tcW w:w="625" w:type="dxa"/>
            <w:noWrap/>
            <w:vAlign w:val="center"/>
            <w:hideMark/>
          </w:tcPr>
          <w:p w14:paraId="5EB1085F" w14:textId="77777777" w:rsidR="00BA4141" w:rsidRPr="00505A37" w:rsidRDefault="00BA4141" w:rsidP="00505A37">
            <w:pPr>
              <w:pStyle w:val="NoSpacing"/>
              <w:jc w:val="center"/>
              <w:rPr>
                <w:rFonts w:ascii="Times New Roman" w:hAnsi="Times New Roman" w:cs="Times New Roman"/>
                <w:sz w:val="22"/>
                <w:szCs w:val="22"/>
                <w:lang w:eastAsia="en-IN"/>
              </w:rPr>
            </w:pPr>
            <w:r w:rsidRPr="00505A37">
              <w:rPr>
                <w:rFonts w:ascii="Times New Roman" w:hAnsi="Times New Roman" w:cs="Times New Roman"/>
                <w:sz w:val="22"/>
                <w:szCs w:val="22"/>
                <w:lang w:eastAsia="en-IN"/>
              </w:rPr>
              <w:t>-0.45</w:t>
            </w:r>
          </w:p>
        </w:tc>
        <w:tc>
          <w:tcPr>
            <w:tcW w:w="625" w:type="dxa"/>
            <w:noWrap/>
            <w:vAlign w:val="center"/>
            <w:hideMark/>
          </w:tcPr>
          <w:p w14:paraId="489AFC1A" w14:textId="77777777" w:rsidR="00BA4141" w:rsidRPr="00505A37" w:rsidRDefault="00BA4141" w:rsidP="00505A37">
            <w:pPr>
              <w:pStyle w:val="NoSpacing"/>
              <w:jc w:val="center"/>
              <w:rPr>
                <w:rFonts w:ascii="Times New Roman" w:hAnsi="Times New Roman" w:cs="Times New Roman"/>
                <w:sz w:val="22"/>
                <w:szCs w:val="22"/>
                <w:lang w:eastAsia="en-IN"/>
              </w:rPr>
            </w:pPr>
            <w:r w:rsidRPr="00505A37">
              <w:rPr>
                <w:rFonts w:ascii="Times New Roman" w:hAnsi="Times New Roman" w:cs="Times New Roman"/>
                <w:sz w:val="22"/>
                <w:szCs w:val="22"/>
                <w:lang w:eastAsia="en-IN"/>
              </w:rPr>
              <w:t>11.3</w:t>
            </w:r>
          </w:p>
        </w:tc>
        <w:tc>
          <w:tcPr>
            <w:tcW w:w="682" w:type="dxa"/>
            <w:noWrap/>
            <w:vAlign w:val="center"/>
            <w:hideMark/>
          </w:tcPr>
          <w:p w14:paraId="7CC6583E" w14:textId="77777777" w:rsidR="00BA4141" w:rsidRPr="00505A37" w:rsidRDefault="00BA4141" w:rsidP="00505A37">
            <w:pPr>
              <w:pStyle w:val="NoSpacing"/>
              <w:jc w:val="center"/>
              <w:rPr>
                <w:rFonts w:ascii="Times New Roman" w:hAnsi="Times New Roman" w:cs="Times New Roman"/>
                <w:sz w:val="22"/>
                <w:szCs w:val="22"/>
                <w:lang w:eastAsia="en-IN"/>
              </w:rPr>
            </w:pPr>
            <w:r w:rsidRPr="00505A37">
              <w:rPr>
                <w:rFonts w:ascii="Times New Roman" w:hAnsi="Times New Roman" w:cs="Times New Roman"/>
                <w:sz w:val="22"/>
                <w:szCs w:val="22"/>
                <w:lang w:eastAsia="en-IN"/>
              </w:rPr>
              <w:t>9.42</w:t>
            </w:r>
          </w:p>
        </w:tc>
        <w:tc>
          <w:tcPr>
            <w:tcW w:w="625" w:type="dxa"/>
            <w:noWrap/>
            <w:vAlign w:val="center"/>
            <w:hideMark/>
          </w:tcPr>
          <w:p w14:paraId="60344AD1" w14:textId="77777777" w:rsidR="00BA4141" w:rsidRPr="00505A37" w:rsidRDefault="00BA4141" w:rsidP="00505A37">
            <w:pPr>
              <w:pStyle w:val="NoSpacing"/>
              <w:jc w:val="center"/>
              <w:rPr>
                <w:rFonts w:ascii="Times New Roman" w:hAnsi="Times New Roman" w:cs="Times New Roman"/>
                <w:sz w:val="22"/>
                <w:szCs w:val="22"/>
                <w:lang w:eastAsia="en-IN"/>
              </w:rPr>
            </w:pPr>
            <w:r w:rsidRPr="00505A37">
              <w:rPr>
                <w:rFonts w:ascii="Times New Roman" w:hAnsi="Times New Roman" w:cs="Times New Roman"/>
                <w:sz w:val="22"/>
                <w:szCs w:val="22"/>
                <w:lang w:eastAsia="en-IN"/>
              </w:rPr>
              <w:t>0.69</w:t>
            </w:r>
          </w:p>
        </w:tc>
        <w:tc>
          <w:tcPr>
            <w:tcW w:w="892" w:type="dxa"/>
            <w:noWrap/>
            <w:vAlign w:val="center"/>
            <w:hideMark/>
          </w:tcPr>
          <w:p w14:paraId="51271D59" w14:textId="77777777" w:rsidR="00BA4141" w:rsidRPr="00505A37" w:rsidRDefault="00BA4141" w:rsidP="00505A37">
            <w:pPr>
              <w:pStyle w:val="NoSpacing"/>
              <w:jc w:val="center"/>
              <w:rPr>
                <w:rFonts w:ascii="Times New Roman" w:hAnsi="Times New Roman" w:cs="Times New Roman"/>
                <w:sz w:val="22"/>
                <w:szCs w:val="22"/>
                <w:lang w:eastAsia="en-IN"/>
              </w:rPr>
            </w:pPr>
            <w:r w:rsidRPr="00505A37">
              <w:rPr>
                <w:rFonts w:ascii="Times New Roman" w:hAnsi="Times New Roman" w:cs="Times New Roman"/>
                <w:sz w:val="22"/>
                <w:szCs w:val="22"/>
                <w:lang w:eastAsia="en-IN"/>
              </w:rPr>
              <w:t>1.45</w:t>
            </w:r>
          </w:p>
        </w:tc>
        <w:tc>
          <w:tcPr>
            <w:tcW w:w="625" w:type="dxa"/>
            <w:noWrap/>
            <w:vAlign w:val="center"/>
            <w:hideMark/>
          </w:tcPr>
          <w:p w14:paraId="649DCEF9" w14:textId="77777777" w:rsidR="00BA4141" w:rsidRPr="00505A37" w:rsidRDefault="00BA4141" w:rsidP="00505A37">
            <w:pPr>
              <w:pStyle w:val="NoSpacing"/>
              <w:jc w:val="center"/>
              <w:rPr>
                <w:rFonts w:ascii="Times New Roman" w:hAnsi="Times New Roman" w:cs="Times New Roman"/>
                <w:sz w:val="22"/>
                <w:szCs w:val="22"/>
                <w:lang w:eastAsia="en-IN"/>
              </w:rPr>
            </w:pPr>
            <w:r w:rsidRPr="00505A37">
              <w:rPr>
                <w:rFonts w:ascii="Times New Roman" w:hAnsi="Times New Roman" w:cs="Times New Roman"/>
                <w:sz w:val="22"/>
                <w:szCs w:val="22"/>
                <w:lang w:eastAsia="en-IN"/>
              </w:rPr>
              <w:t>-0.26</w:t>
            </w:r>
          </w:p>
        </w:tc>
        <w:tc>
          <w:tcPr>
            <w:tcW w:w="625" w:type="dxa"/>
            <w:noWrap/>
            <w:vAlign w:val="center"/>
            <w:hideMark/>
          </w:tcPr>
          <w:p w14:paraId="151A1906" w14:textId="77777777" w:rsidR="00BA4141" w:rsidRPr="00505A37" w:rsidRDefault="00BA4141" w:rsidP="00505A37">
            <w:pPr>
              <w:pStyle w:val="NoSpacing"/>
              <w:jc w:val="center"/>
              <w:rPr>
                <w:rFonts w:ascii="Times New Roman" w:hAnsi="Times New Roman" w:cs="Times New Roman"/>
                <w:sz w:val="22"/>
                <w:szCs w:val="22"/>
                <w:lang w:eastAsia="en-IN"/>
              </w:rPr>
            </w:pPr>
            <w:r w:rsidRPr="00505A37">
              <w:rPr>
                <w:rFonts w:ascii="Times New Roman" w:hAnsi="Times New Roman" w:cs="Times New Roman"/>
                <w:sz w:val="22"/>
                <w:szCs w:val="22"/>
                <w:lang w:eastAsia="en-IN"/>
              </w:rPr>
              <w:t>14.19</w:t>
            </w:r>
          </w:p>
        </w:tc>
        <w:tc>
          <w:tcPr>
            <w:tcW w:w="682" w:type="dxa"/>
            <w:noWrap/>
            <w:vAlign w:val="center"/>
            <w:hideMark/>
          </w:tcPr>
          <w:p w14:paraId="253ECA9B" w14:textId="77777777" w:rsidR="00BA4141" w:rsidRPr="00505A37" w:rsidRDefault="00BA4141" w:rsidP="00505A37">
            <w:pPr>
              <w:pStyle w:val="NoSpacing"/>
              <w:jc w:val="center"/>
              <w:rPr>
                <w:rFonts w:ascii="Times New Roman" w:hAnsi="Times New Roman" w:cs="Times New Roman"/>
                <w:sz w:val="22"/>
                <w:szCs w:val="22"/>
                <w:lang w:eastAsia="en-IN"/>
              </w:rPr>
            </w:pPr>
            <w:r w:rsidRPr="00505A37">
              <w:rPr>
                <w:rFonts w:ascii="Times New Roman" w:hAnsi="Times New Roman" w:cs="Times New Roman"/>
                <w:sz w:val="22"/>
                <w:szCs w:val="22"/>
                <w:lang w:eastAsia="en-IN"/>
              </w:rPr>
              <w:t>11.82</w:t>
            </w:r>
          </w:p>
        </w:tc>
        <w:tc>
          <w:tcPr>
            <w:tcW w:w="625" w:type="dxa"/>
            <w:noWrap/>
            <w:vAlign w:val="center"/>
            <w:hideMark/>
          </w:tcPr>
          <w:p w14:paraId="74EF6476" w14:textId="77777777" w:rsidR="00BA4141" w:rsidRPr="00505A37" w:rsidRDefault="00BA4141" w:rsidP="00505A37">
            <w:pPr>
              <w:pStyle w:val="NoSpacing"/>
              <w:jc w:val="center"/>
              <w:rPr>
                <w:rFonts w:ascii="Times New Roman" w:hAnsi="Times New Roman" w:cs="Times New Roman"/>
                <w:sz w:val="22"/>
                <w:szCs w:val="22"/>
                <w:lang w:eastAsia="en-IN"/>
              </w:rPr>
            </w:pPr>
            <w:r w:rsidRPr="00505A37">
              <w:rPr>
                <w:rFonts w:ascii="Times New Roman" w:hAnsi="Times New Roman" w:cs="Times New Roman"/>
                <w:sz w:val="22"/>
                <w:szCs w:val="22"/>
                <w:lang w:eastAsia="en-IN"/>
              </w:rPr>
              <w:t>0.77</w:t>
            </w:r>
          </w:p>
        </w:tc>
        <w:tc>
          <w:tcPr>
            <w:tcW w:w="892" w:type="dxa"/>
            <w:noWrap/>
            <w:vAlign w:val="center"/>
            <w:hideMark/>
          </w:tcPr>
          <w:p w14:paraId="1EEE0000" w14:textId="77777777" w:rsidR="00BA4141" w:rsidRPr="00505A37" w:rsidRDefault="00BA4141" w:rsidP="00505A37">
            <w:pPr>
              <w:pStyle w:val="NoSpacing"/>
              <w:jc w:val="center"/>
              <w:rPr>
                <w:rFonts w:ascii="Times New Roman" w:hAnsi="Times New Roman" w:cs="Times New Roman"/>
                <w:sz w:val="22"/>
                <w:szCs w:val="22"/>
                <w:lang w:eastAsia="en-IN"/>
              </w:rPr>
            </w:pPr>
            <w:r w:rsidRPr="00505A37">
              <w:rPr>
                <w:rFonts w:ascii="Times New Roman" w:hAnsi="Times New Roman" w:cs="Times New Roman"/>
                <w:sz w:val="22"/>
                <w:szCs w:val="22"/>
                <w:lang w:eastAsia="en-IN"/>
              </w:rPr>
              <w:t>1.5</w:t>
            </w:r>
          </w:p>
        </w:tc>
        <w:tc>
          <w:tcPr>
            <w:tcW w:w="547" w:type="dxa"/>
            <w:noWrap/>
            <w:vAlign w:val="center"/>
            <w:hideMark/>
          </w:tcPr>
          <w:p w14:paraId="2B82C0AA" w14:textId="77777777" w:rsidR="00BA4141" w:rsidRPr="00505A37" w:rsidRDefault="00BA4141" w:rsidP="00505A37">
            <w:pPr>
              <w:pStyle w:val="NoSpacing"/>
              <w:jc w:val="center"/>
              <w:rPr>
                <w:rFonts w:ascii="Times New Roman" w:hAnsi="Times New Roman" w:cs="Times New Roman"/>
                <w:sz w:val="22"/>
                <w:szCs w:val="22"/>
                <w:lang w:eastAsia="en-IN"/>
              </w:rPr>
            </w:pPr>
            <w:r w:rsidRPr="00505A37">
              <w:rPr>
                <w:rFonts w:ascii="Times New Roman" w:hAnsi="Times New Roman" w:cs="Times New Roman"/>
                <w:sz w:val="22"/>
                <w:szCs w:val="22"/>
                <w:lang w:eastAsia="en-IN"/>
              </w:rPr>
              <w:t>-0.3</w:t>
            </w:r>
          </w:p>
        </w:tc>
      </w:tr>
      <w:tr w:rsidR="00BA4141" w:rsidRPr="00505A37" w14:paraId="2F03A45D" w14:textId="77777777" w:rsidTr="00505A37">
        <w:trPr>
          <w:trHeight w:val="20"/>
        </w:trPr>
        <w:tc>
          <w:tcPr>
            <w:tcW w:w="833" w:type="dxa"/>
            <w:noWrap/>
            <w:hideMark/>
          </w:tcPr>
          <w:p w14:paraId="1863566C" w14:textId="77777777" w:rsidR="00BA4141" w:rsidRPr="00505A37" w:rsidRDefault="00BA4141" w:rsidP="00B77C0B">
            <w:pPr>
              <w:pStyle w:val="NoSpacing"/>
              <w:rPr>
                <w:rFonts w:ascii="Times New Roman" w:hAnsi="Times New Roman" w:cs="Times New Roman"/>
                <w:sz w:val="22"/>
                <w:szCs w:val="22"/>
                <w:lang w:eastAsia="en-IN"/>
              </w:rPr>
            </w:pPr>
            <w:r w:rsidRPr="00505A37">
              <w:rPr>
                <w:rFonts w:ascii="Times New Roman" w:hAnsi="Times New Roman" w:cs="Times New Roman"/>
                <w:sz w:val="22"/>
                <w:szCs w:val="22"/>
                <w:lang w:eastAsia="en-IN"/>
              </w:rPr>
              <w:t>Uttar Pradesh</w:t>
            </w:r>
          </w:p>
        </w:tc>
        <w:tc>
          <w:tcPr>
            <w:tcW w:w="625" w:type="dxa"/>
            <w:noWrap/>
            <w:vAlign w:val="center"/>
            <w:hideMark/>
          </w:tcPr>
          <w:p w14:paraId="35F730AC" w14:textId="77777777" w:rsidR="00BA4141" w:rsidRPr="00505A37" w:rsidRDefault="00BA4141" w:rsidP="00505A37">
            <w:pPr>
              <w:pStyle w:val="NoSpacing"/>
              <w:jc w:val="center"/>
              <w:rPr>
                <w:rFonts w:ascii="Times New Roman" w:hAnsi="Times New Roman" w:cs="Times New Roman"/>
                <w:sz w:val="22"/>
                <w:szCs w:val="22"/>
                <w:lang w:eastAsia="en-IN"/>
              </w:rPr>
            </w:pPr>
            <w:r w:rsidRPr="00505A37">
              <w:rPr>
                <w:rFonts w:ascii="Times New Roman" w:hAnsi="Times New Roman" w:cs="Times New Roman"/>
                <w:sz w:val="22"/>
                <w:szCs w:val="22"/>
                <w:lang w:eastAsia="en-IN"/>
              </w:rPr>
              <w:t>16.74</w:t>
            </w:r>
          </w:p>
        </w:tc>
        <w:tc>
          <w:tcPr>
            <w:tcW w:w="682" w:type="dxa"/>
            <w:noWrap/>
            <w:vAlign w:val="center"/>
            <w:hideMark/>
          </w:tcPr>
          <w:p w14:paraId="6712FC3E" w14:textId="77777777" w:rsidR="00BA4141" w:rsidRPr="00505A37" w:rsidRDefault="00BA4141" w:rsidP="00505A37">
            <w:pPr>
              <w:pStyle w:val="NoSpacing"/>
              <w:jc w:val="center"/>
              <w:rPr>
                <w:rFonts w:ascii="Times New Roman" w:hAnsi="Times New Roman" w:cs="Times New Roman"/>
                <w:sz w:val="22"/>
                <w:szCs w:val="22"/>
                <w:lang w:eastAsia="en-IN"/>
              </w:rPr>
            </w:pPr>
            <w:r w:rsidRPr="00505A37">
              <w:rPr>
                <w:rFonts w:ascii="Times New Roman" w:hAnsi="Times New Roman" w:cs="Times New Roman"/>
                <w:sz w:val="22"/>
                <w:szCs w:val="22"/>
                <w:lang w:eastAsia="en-IN"/>
              </w:rPr>
              <w:t>13.94</w:t>
            </w:r>
          </w:p>
        </w:tc>
        <w:tc>
          <w:tcPr>
            <w:tcW w:w="625" w:type="dxa"/>
            <w:noWrap/>
            <w:vAlign w:val="center"/>
            <w:hideMark/>
          </w:tcPr>
          <w:p w14:paraId="5E63B47B" w14:textId="77777777" w:rsidR="00BA4141" w:rsidRPr="00505A37" w:rsidRDefault="00BA4141" w:rsidP="00505A37">
            <w:pPr>
              <w:pStyle w:val="NoSpacing"/>
              <w:jc w:val="center"/>
              <w:rPr>
                <w:rFonts w:ascii="Times New Roman" w:hAnsi="Times New Roman" w:cs="Times New Roman"/>
                <w:sz w:val="22"/>
                <w:szCs w:val="22"/>
                <w:lang w:eastAsia="en-IN"/>
              </w:rPr>
            </w:pPr>
            <w:r w:rsidRPr="00505A37">
              <w:rPr>
                <w:rFonts w:ascii="Times New Roman" w:hAnsi="Times New Roman" w:cs="Times New Roman"/>
                <w:sz w:val="22"/>
                <w:szCs w:val="22"/>
                <w:lang w:eastAsia="en-IN"/>
              </w:rPr>
              <w:t>0.71</w:t>
            </w:r>
          </w:p>
        </w:tc>
        <w:tc>
          <w:tcPr>
            <w:tcW w:w="892" w:type="dxa"/>
            <w:noWrap/>
            <w:vAlign w:val="center"/>
            <w:hideMark/>
          </w:tcPr>
          <w:p w14:paraId="320FCA58" w14:textId="77777777" w:rsidR="00BA4141" w:rsidRPr="00505A37" w:rsidRDefault="00BA4141" w:rsidP="00505A37">
            <w:pPr>
              <w:pStyle w:val="NoSpacing"/>
              <w:jc w:val="center"/>
              <w:rPr>
                <w:rFonts w:ascii="Times New Roman" w:hAnsi="Times New Roman" w:cs="Times New Roman"/>
                <w:sz w:val="22"/>
                <w:szCs w:val="22"/>
                <w:lang w:eastAsia="en-IN"/>
              </w:rPr>
            </w:pPr>
            <w:r w:rsidRPr="00505A37">
              <w:rPr>
                <w:rFonts w:ascii="Times New Roman" w:hAnsi="Times New Roman" w:cs="Times New Roman"/>
                <w:sz w:val="22"/>
                <w:szCs w:val="22"/>
                <w:lang w:eastAsia="en-IN"/>
              </w:rPr>
              <w:t>..</w:t>
            </w:r>
          </w:p>
        </w:tc>
        <w:tc>
          <w:tcPr>
            <w:tcW w:w="625" w:type="dxa"/>
            <w:noWrap/>
            <w:vAlign w:val="center"/>
            <w:hideMark/>
          </w:tcPr>
          <w:p w14:paraId="22D26EE2" w14:textId="764BB711" w:rsidR="00BA4141" w:rsidRPr="00505A37" w:rsidRDefault="003146F9" w:rsidP="00505A37">
            <w:pPr>
              <w:pStyle w:val="NoSpacing"/>
              <w:jc w:val="center"/>
              <w:rPr>
                <w:rFonts w:ascii="Times New Roman" w:hAnsi="Times New Roman" w:cs="Times New Roman"/>
                <w:sz w:val="22"/>
                <w:szCs w:val="22"/>
                <w:lang w:eastAsia="en-IN"/>
              </w:rPr>
            </w:pPr>
            <w:r w:rsidRPr="00505A37">
              <w:rPr>
                <w:rFonts w:ascii="Times New Roman" w:hAnsi="Times New Roman" w:cs="Times New Roman"/>
                <w:sz w:val="22"/>
                <w:szCs w:val="22"/>
                <w:lang w:eastAsia="en-IN"/>
              </w:rPr>
              <w:t>+</w:t>
            </w:r>
            <w:r w:rsidR="00BA4141" w:rsidRPr="00505A37">
              <w:rPr>
                <w:rFonts w:ascii="Times New Roman" w:hAnsi="Times New Roman" w:cs="Times New Roman"/>
                <w:sz w:val="22"/>
                <w:szCs w:val="22"/>
                <w:lang w:eastAsia="en-IN"/>
              </w:rPr>
              <w:t>2.09</w:t>
            </w:r>
          </w:p>
        </w:tc>
        <w:tc>
          <w:tcPr>
            <w:tcW w:w="625" w:type="dxa"/>
            <w:noWrap/>
            <w:vAlign w:val="center"/>
            <w:hideMark/>
          </w:tcPr>
          <w:p w14:paraId="7DF49091" w14:textId="77777777" w:rsidR="00BA4141" w:rsidRPr="00505A37" w:rsidRDefault="00BA4141" w:rsidP="00505A37">
            <w:pPr>
              <w:pStyle w:val="NoSpacing"/>
              <w:jc w:val="center"/>
              <w:rPr>
                <w:rFonts w:ascii="Times New Roman" w:hAnsi="Times New Roman" w:cs="Times New Roman"/>
                <w:sz w:val="22"/>
                <w:szCs w:val="22"/>
                <w:lang w:eastAsia="en-IN"/>
              </w:rPr>
            </w:pPr>
            <w:r w:rsidRPr="00505A37">
              <w:rPr>
                <w:rFonts w:ascii="Times New Roman" w:hAnsi="Times New Roman" w:cs="Times New Roman"/>
                <w:sz w:val="22"/>
                <w:szCs w:val="22"/>
                <w:lang w:eastAsia="en-IN"/>
              </w:rPr>
              <w:t>15.08</w:t>
            </w:r>
          </w:p>
        </w:tc>
        <w:tc>
          <w:tcPr>
            <w:tcW w:w="682" w:type="dxa"/>
            <w:noWrap/>
            <w:vAlign w:val="center"/>
            <w:hideMark/>
          </w:tcPr>
          <w:p w14:paraId="2A5AFAEC" w14:textId="77777777" w:rsidR="00BA4141" w:rsidRPr="00505A37" w:rsidRDefault="00BA4141" w:rsidP="00505A37">
            <w:pPr>
              <w:pStyle w:val="NoSpacing"/>
              <w:jc w:val="center"/>
              <w:rPr>
                <w:rFonts w:ascii="Times New Roman" w:hAnsi="Times New Roman" w:cs="Times New Roman"/>
                <w:sz w:val="22"/>
                <w:szCs w:val="22"/>
                <w:lang w:eastAsia="en-IN"/>
              </w:rPr>
            </w:pPr>
            <w:r w:rsidRPr="00505A37">
              <w:rPr>
                <w:rFonts w:ascii="Times New Roman" w:hAnsi="Times New Roman" w:cs="Times New Roman"/>
                <w:sz w:val="22"/>
                <w:szCs w:val="22"/>
                <w:lang w:eastAsia="en-IN"/>
              </w:rPr>
              <w:t>14.1</w:t>
            </w:r>
          </w:p>
        </w:tc>
        <w:tc>
          <w:tcPr>
            <w:tcW w:w="675" w:type="dxa"/>
            <w:noWrap/>
            <w:vAlign w:val="center"/>
            <w:hideMark/>
          </w:tcPr>
          <w:p w14:paraId="7F58E71A" w14:textId="77777777" w:rsidR="00BA4141" w:rsidRPr="00505A37" w:rsidRDefault="00BA4141" w:rsidP="00505A37">
            <w:pPr>
              <w:pStyle w:val="NoSpacing"/>
              <w:jc w:val="center"/>
              <w:rPr>
                <w:rFonts w:ascii="Times New Roman" w:hAnsi="Times New Roman" w:cs="Times New Roman"/>
                <w:sz w:val="22"/>
                <w:szCs w:val="22"/>
                <w:lang w:eastAsia="en-IN"/>
              </w:rPr>
            </w:pPr>
            <w:r w:rsidRPr="00505A37">
              <w:rPr>
                <w:rFonts w:ascii="Times New Roman" w:hAnsi="Times New Roman" w:cs="Times New Roman"/>
                <w:sz w:val="22"/>
                <w:szCs w:val="22"/>
                <w:lang w:eastAsia="en-IN"/>
              </w:rPr>
              <w:t>0.94</w:t>
            </w:r>
          </w:p>
        </w:tc>
        <w:tc>
          <w:tcPr>
            <w:tcW w:w="892" w:type="dxa"/>
            <w:noWrap/>
            <w:vAlign w:val="center"/>
            <w:hideMark/>
          </w:tcPr>
          <w:p w14:paraId="10A6D991" w14:textId="77777777" w:rsidR="00BA4141" w:rsidRPr="00505A37" w:rsidRDefault="00BA4141" w:rsidP="00505A37">
            <w:pPr>
              <w:pStyle w:val="NoSpacing"/>
              <w:jc w:val="center"/>
              <w:rPr>
                <w:rFonts w:ascii="Times New Roman" w:hAnsi="Times New Roman" w:cs="Times New Roman"/>
                <w:sz w:val="22"/>
                <w:szCs w:val="22"/>
                <w:lang w:eastAsia="en-IN"/>
              </w:rPr>
            </w:pPr>
            <w:r w:rsidRPr="00505A37">
              <w:rPr>
                <w:rFonts w:ascii="Times New Roman" w:hAnsi="Times New Roman" w:cs="Times New Roman"/>
                <w:sz w:val="22"/>
                <w:szCs w:val="22"/>
                <w:lang w:eastAsia="en-IN"/>
              </w:rPr>
              <w:t>..</w:t>
            </w:r>
          </w:p>
        </w:tc>
        <w:tc>
          <w:tcPr>
            <w:tcW w:w="625" w:type="dxa"/>
            <w:noWrap/>
            <w:vAlign w:val="center"/>
            <w:hideMark/>
          </w:tcPr>
          <w:p w14:paraId="6BF552BC" w14:textId="51BAF0C0" w:rsidR="00BA4141" w:rsidRPr="00505A37" w:rsidRDefault="003146F9" w:rsidP="00505A37">
            <w:pPr>
              <w:pStyle w:val="NoSpacing"/>
              <w:jc w:val="center"/>
              <w:rPr>
                <w:rFonts w:ascii="Times New Roman" w:hAnsi="Times New Roman" w:cs="Times New Roman"/>
                <w:sz w:val="22"/>
                <w:szCs w:val="22"/>
                <w:lang w:eastAsia="en-IN"/>
              </w:rPr>
            </w:pPr>
            <w:r w:rsidRPr="00505A37">
              <w:rPr>
                <w:rFonts w:ascii="Times New Roman" w:hAnsi="Times New Roman" w:cs="Times New Roman"/>
                <w:sz w:val="22"/>
                <w:szCs w:val="22"/>
                <w:lang w:eastAsia="en-IN"/>
              </w:rPr>
              <w:t>+</w:t>
            </w:r>
            <w:r w:rsidR="00BA4141" w:rsidRPr="00505A37">
              <w:rPr>
                <w:rFonts w:ascii="Times New Roman" w:hAnsi="Times New Roman" w:cs="Times New Roman"/>
                <w:sz w:val="22"/>
                <w:szCs w:val="22"/>
                <w:lang w:eastAsia="en-IN"/>
              </w:rPr>
              <w:t>0.04</w:t>
            </w:r>
          </w:p>
        </w:tc>
        <w:tc>
          <w:tcPr>
            <w:tcW w:w="625" w:type="dxa"/>
            <w:noWrap/>
            <w:vAlign w:val="center"/>
            <w:hideMark/>
          </w:tcPr>
          <w:p w14:paraId="3D73E5F1" w14:textId="77777777" w:rsidR="00BA4141" w:rsidRPr="00505A37" w:rsidRDefault="00BA4141" w:rsidP="00505A37">
            <w:pPr>
              <w:pStyle w:val="NoSpacing"/>
              <w:jc w:val="center"/>
              <w:rPr>
                <w:rFonts w:ascii="Times New Roman" w:hAnsi="Times New Roman" w:cs="Times New Roman"/>
                <w:sz w:val="22"/>
                <w:szCs w:val="22"/>
                <w:lang w:eastAsia="en-IN"/>
              </w:rPr>
            </w:pPr>
            <w:r w:rsidRPr="00505A37">
              <w:rPr>
                <w:rFonts w:ascii="Times New Roman" w:hAnsi="Times New Roman" w:cs="Times New Roman"/>
                <w:sz w:val="22"/>
                <w:szCs w:val="22"/>
                <w:lang w:eastAsia="en-IN"/>
              </w:rPr>
              <w:t>19.89</w:t>
            </w:r>
          </w:p>
        </w:tc>
        <w:tc>
          <w:tcPr>
            <w:tcW w:w="682" w:type="dxa"/>
            <w:noWrap/>
            <w:vAlign w:val="center"/>
            <w:hideMark/>
          </w:tcPr>
          <w:p w14:paraId="22491AE8" w14:textId="77777777" w:rsidR="00BA4141" w:rsidRPr="00505A37" w:rsidRDefault="00BA4141" w:rsidP="00505A37">
            <w:pPr>
              <w:pStyle w:val="NoSpacing"/>
              <w:jc w:val="center"/>
              <w:rPr>
                <w:rFonts w:ascii="Times New Roman" w:hAnsi="Times New Roman" w:cs="Times New Roman"/>
                <w:sz w:val="22"/>
                <w:szCs w:val="22"/>
                <w:lang w:eastAsia="en-IN"/>
              </w:rPr>
            </w:pPr>
            <w:r w:rsidRPr="00505A37">
              <w:rPr>
                <w:rFonts w:ascii="Times New Roman" w:hAnsi="Times New Roman" w:cs="Times New Roman"/>
                <w:sz w:val="22"/>
                <w:szCs w:val="22"/>
                <w:lang w:eastAsia="en-IN"/>
              </w:rPr>
              <w:t>19.02</w:t>
            </w:r>
          </w:p>
        </w:tc>
        <w:tc>
          <w:tcPr>
            <w:tcW w:w="625" w:type="dxa"/>
            <w:noWrap/>
            <w:vAlign w:val="center"/>
            <w:hideMark/>
          </w:tcPr>
          <w:p w14:paraId="6999ED47" w14:textId="77777777" w:rsidR="00BA4141" w:rsidRPr="00505A37" w:rsidRDefault="00BA4141" w:rsidP="00505A37">
            <w:pPr>
              <w:pStyle w:val="NoSpacing"/>
              <w:jc w:val="center"/>
              <w:rPr>
                <w:rFonts w:ascii="Times New Roman" w:hAnsi="Times New Roman" w:cs="Times New Roman"/>
                <w:sz w:val="22"/>
                <w:szCs w:val="22"/>
                <w:lang w:eastAsia="en-IN"/>
              </w:rPr>
            </w:pPr>
            <w:r w:rsidRPr="00505A37">
              <w:rPr>
                <w:rFonts w:ascii="Times New Roman" w:hAnsi="Times New Roman" w:cs="Times New Roman"/>
                <w:sz w:val="22"/>
                <w:szCs w:val="22"/>
                <w:lang w:eastAsia="en-IN"/>
              </w:rPr>
              <w:t>0.99</w:t>
            </w:r>
          </w:p>
        </w:tc>
        <w:tc>
          <w:tcPr>
            <w:tcW w:w="892" w:type="dxa"/>
            <w:noWrap/>
            <w:vAlign w:val="center"/>
            <w:hideMark/>
          </w:tcPr>
          <w:p w14:paraId="5130A312" w14:textId="77777777" w:rsidR="00BA4141" w:rsidRPr="00505A37" w:rsidRDefault="00BA4141" w:rsidP="00505A37">
            <w:pPr>
              <w:pStyle w:val="NoSpacing"/>
              <w:jc w:val="center"/>
              <w:rPr>
                <w:rFonts w:ascii="Times New Roman" w:hAnsi="Times New Roman" w:cs="Times New Roman"/>
                <w:sz w:val="22"/>
                <w:szCs w:val="22"/>
                <w:lang w:eastAsia="en-IN"/>
              </w:rPr>
            </w:pPr>
            <w:r w:rsidRPr="00505A37">
              <w:rPr>
                <w:rFonts w:ascii="Times New Roman" w:hAnsi="Times New Roman" w:cs="Times New Roman"/>
                <w:sz w:val="22"/>
                <w:szCs w:val="22"/>
                <w:lang w:eastAsia="en-IN"/>
              </w:rPr>
              <w:t>..</w:t>
            </w:r>
          </w:p>
        </w:tc>
        <w:tc>
          <w:tcPr>
            <w:tcW w:w="625" w:type="dxa"/>
            <w:noWrap/>
            <w:vAlign w:val="center"/>
            <w:hideMark/>
          </w:tcPr>
          <w:p w14:paraId="51ECC10E" w14:textId="77777777" w:rsidR="00BA4141" w:rsidRPr="00505A37" w:rsidRDefault="00BA4141" w:rsidP="00505A37">
            <w:pPr>
              <w:pStyle w:val="NoSpacing"/>
              <w:jc w:val="center"/>
              <w:rPr>
                <w:rFonts w:ascii="Times New Roman" w:hAnsi="Times New Roman" w:cs="Times New Roman"/>
                <w:sz w:val="22"/>
                <w:szCs w:val="22"/>
                <w:lang w:eastAsia="en-IN"/>
              </w:rPr>
            </w:pPr>
            <w:r w:rsidRPr="00505A37">
              <w:rPr>
                <w:rFonts w:ascii="Times New Roman" w:hAnsi="Times New Roman" w:cs="Times New Roman"/>
                <w:sz w:val="22"/>
                <w:szCs w:val="22"/>
                <w:lang w:eastAsia="en-IN"/>
              </w:rPr>
              <w:t>-0.12</w:t>
            </w:r>
          </w:p>
        </w:tc>
        <w:tc>
          <w:tcPr>
            <w:tcW w:w="625" w:type="dxa"/>
            <w:noWrap/>
            <w:vAlign w:val="center"/>
            <w:hideMark/>
          </w:tcPr>
          <w:p w14:paraId="02B715EC" w14:textId="77777777" w:rsidR="00BA4141" w:rsidRPr="00505A37" w:rsidRDefault="00BA4141" w:rsidP="00505A37">
            <w:pPr>
              <w:pStyle w:val="NoSpacing"/>
              <w:jc w:val="center"/>
              <w:rPr>
                <w:rFonts w:ascii="Times New Roman" w:hAnsi="Times New Roman" w:cs="Times New Roman"/>
                <w:sz w:val="22"/>
                <w:szCs w:val="22"/>
                <w:lang w:eastAsia="en-IN"/>
              </w:rPr>
            </w:pPr>
            <w:r w:rsidRPr="00505A37">
              <w:rPr>
                <w:rFonts w:ascii="Times New Roman" w:hAnsi="Times New Roman" w:cs="Times New Roman"/>
                <w:sz w:val="22"/>
                <w:szCs w:val="22"/>
                <w:lang w:eastAsia="en-IN"/>
              </w:rPr>
              <w:t>20.14</w:t>
            </w:r>
          </w:p>
        </w:tc>
        <w:tc>
          <w:tcPr>
            <w:tcW w:w="682" w:type="dxa"/>
            <w:noWrap/>
            <w:vAlign w:val="center"/>
            <w:hideMark/>
          </w:tcPr>
          <w:p w14:paraId="44D0BE6C" w14:textId="77777777" w:rsidR="00BA4141" w:rsidRPr="00505A37" w:rsidRDefault="00BA4141" w:rsidP="00505A37">
            <w:pPr>
              <w:pStyle w:val="NoSpacing"/>
              <w:jc w:val="center"/>
              <w:rPr>
                <w:rFonts w:ascii="Times New Roman" w:hAnsi="Times New Roman" w:cs="Times New Roman"/>
                <w:sz w:val="22"/>
                <w:szCs w:val="22"/>
                <w:lang w:eastAsia="en-IN"/>
              </w:rPr>
            </w:pPr>
            <w:r w:rsidRPr="00505A37">
              <w:rPr>
                <w:rFonts w:ascii="Times New Roman" w:hAnsi="Times New Roman" w:cs="Times New Roman"/>
                <w:sz w:val="22"/>
                <w:szCs w:val="22"/>
                <w:lang w:eastAsia="en-IN"/>
              </w:rPr>
              <w:t>17.26</w:t>
            </w:r>
          </w:p>
        </w:tc>
        <w:tc>
          <w:tcPr>
            <w:tcW w:w="625" w:type="dxa"/>
            <w:noWrap/>
            <w:vAlign w:val="center"/>
            <w:hideMark/>
          </w:tcPr>
          <w:p w14:paraId="17261E37" w14:textId="77777777" w:rsidR="00BA4141" w:rsidRPr="00505A37" w:rsidRDefault="00BA4141" w:rsidP="00505A37">
            <w:pPr>
              <w:pStyle w:val="NoSpacing"/>
              <w:jc w:val="center"/>
              <w:rPr>
                <w:rFonts w:ascii="Times New Roman" w:hAnsi="Times New Roman" w:cs="Times New Roman"/>
                <w:sz w:val="22"/>
                <w:szCs w:val="22"/>
                <w:lang w:eastAsia="en-IN"/>
              </w:rPr>
            </w:pPr>
            <w:r w:rsidRPr="00505A37">
              <w:rPr>
                <w:rFonts w:ascii="Times New Roman" w:hAnsi="Times New Roman" w:cs="Times New Roman"/>
                <w:sz w:val="22"/>
                <w:szCs w:val="22"/>
                <w:lang w:eastAsia="en-IN"/>
              </w:rPr>
              <w:t>0.93</w:t>
            </w:r>
          </w:p>
        </w:tc>
        <w:tc>
          <w:tcPr>
            <w:tcW w:w="892" w:type="dxa"/>
            <w:noWrap/>
            <w:vAlign w:val="center"/>
            <w:hideMark/>
          </w:tcPr>
          <w:p w14:paraId="2C61DA74" w14:textId="77777777" w:rsidR="00BA4141" w:rsidRPr="00505A37" w:rsidRDefault="00BA4141" w:rsidP="00505A37">
            <w:pPr>
              <w:pStyle w:val="NoSpacing"/>
              <w:jc w:val="center"/>
              <w:rPr>
                <w:rFonts w:ascii="Times New Roman" w:hAnsi="Times New Roman" w:cs="Times New Roman"/>
                <w:sz w:val="22"/>
                <w:szCs w:val="22"/>
                <w:lang w:eastAsia="en-IN"/>
              </w:rPr>
            </w:pPr>
            <w:r w:rsidRPr="00505A37">
              <w:rPr>
                <w:rFonts w:ascii="Times New Roman" w:hAnsi="Times New Roman" w:cs="Times New Roman"/>
                <w:sz w:val="22"/>
                <w:szCs w:val="22"/>
                <w:lang w:eastAsia="en-IN"/>
              </w:rPr>
              <w:t>..</w:t>
            </w:r>
          </w:p>
        </w:tc>
        <w:tc>
          <w:tcPr>
            <w:tcW w:w="547" w:type="dxa"/>
            <w:noWrap/>
            <w:vAlign w:val="center"/>
            <w:hideMark/>
          </w:tcPr>
          <w:p w14:paraId="41067001" w14:textId="1D606F64" w:rsidR="00BA4141" w:rsidRPr="00505A37" w:rsidRDefault="003146F9" w:rsidP="00505A37">
            <w:pPr>
              <w:pStyle w:val="NoSpacing"/>
              <w:jc w:val="center"/>
              <w:rPr>
                <w:rFonts w:ascii="Times New Roman" w:hAnsi="Times New Roman" w:cs="Times New Roman"/>
                <w:sz w:val="22"/>
                <w:szCs w:val="22"/>
                <w:lang w:eastAsia="en-IN"/>
              </w:rPr>
            </w:pPr>
            <w:r w:rsidRPr="00505A37">
              <w:rPr>
                <w:rFonts w:ascii="Times New Roman" w:hAnsi="Times New Roman" w:cs="Times New Roman"/>
                <w:sz w:val="22"/>
                <w:szCs w:val="22"/>
                <w:lang w:eastAsia="en-IN"/>
              </w:rPr>
              <w:t>+</w:t>
            </w:r>
            <w:r w:rsidR="00BA4141" w:rsidRPr="00505A37">
              <w:rPr>
                <w:rFonts w:ascii="Times New Roman" w:hAnsi="Times New Roman" w:cs="Times New Roman"/>
                <w:sz w:val="22"/>
                <w:szCs w:val="22"/>
                <w:lang w:eastAsia="en-IN"/>
              </w:rPr>
              <w:t>1.95</w:t>
            </w:r>
          </w:p>
        </w:tc>
      </w:tr>
      <w:tr w:rsidR="00BA4141" w:rsidRPr="00505A37" w14:paraId="51462E03" w14:textId="77777777" w:rsidTr="00505A37">
        <w:trPr>
          <w:trHeight w:val="20"/>
        </w:trPr>
        <w:tc>
          <w:tcPr>
            <w:tcW w:w="833" w:type="dxa"/>
            <w:noWrap/>
            <w:hideMark/>
          </w:tcPr>
          <w:p w14:paraId="39C560FF" w14:textId="77777777" w:rsidR="00BA4141" w:rsidRPr="00505A37" w:rsidRDefault="00BA4141" w:rsidP="00B77C0B">
            <w:pPr>
              <w:pStyle w:val="NoSpacing"/>
              <w:rPr>
                <w:rFonts w:ascii="Times New Roman" w:hAnsi="Times New Roman" w:cs="Times New Roman"/>
                <w:sz w:val="22"/>
                <w:szCs w:val="22"/>
                <w:lang w:eastAsia="en-IN"/>
              </w:rPr>
            </w:pPr>
            <w:r w:rsidRPr="00505A37">
              <w:rPr>
                <w:rFonts w:ascii="Times New Roman" w:hAnsi="Times New Roman" w:cs="Times New Roman"/>
                <w:sz w:val="22"/>
                <w:szCs w:val="22"/>
                <w:lang w:eastAsia="en-IN"/>
              </w:rPr>
              <w:t>West Bengal</w:t>
            </w:r>
          </w:p>
        </w:tc>
        <w:tc>
          <w:tcPr>
            <w:tcW w:w="625" w:type="dxa"/>
            <w:noWrap/>
            <w:vAlign w:val="center"/>
            <w:hideMark/>
          </w:tcPr>
          <w:p w14:paraId="6426EEFA" w14:textId="77777777" w:rsidR="00BA4141" w:rsidRPr="00505A37" w:rsidRDefault="00BA4141" w:rsidP="00505A37">
            <w:pPr>
              <w:pStyle w:val="NoSpacing"/>
              <w:jc w:val="center"/>
              <w:rPr>
                <w:rFonts w:ascii="Times New Roman" w:hAnsi="Times New Roman" w:cs="Times New Roman"/>
                <w:sz w:val="22"/>
                <w:szCs w:val="22"/>
                <w:lang w:eastAsia="en-IN"/>
              </w:rPr>
            </w:pPr>
            <w:r w:rsidRPr="00505A37">
              <w:rPr>
                <w:rFonts w:ascii="Times New Roman" w:hAnsi="Times New Roman" w:cs="Times New Roman"/>
                <w:sz w:val="22"/>
                <w:szCs w:val="22"/>
                <w:lang w:eastAsia="en-IN"/>
              </w:rPr>
              <w:t>..</w:t>
            </w:r>
          </w:p>
        </w:tc>
        <w:tc>
          <w:tcPr>
            <w:tcW w:w="682" w:type="dxa"/>
            <w:noWrap/>
            <w:vAlign w:val="center"/>
            <w:hideMark/>
          </w:tcPr>
          <w:p w14:paraId="44AACC94" w14:textId="77777777" w:rsidR="00BA4141" w:rsidRPr="00505A37" w:rsidRDefault="00BA4141" w:rsidP="00505A37">
            <w:pPr>
              <w:pStyle w:val="NoSpacing"/>
              <w:jc w:val="center"/>
              <w:rPr>
                <w:rFonts w:ascii="Times New Roman" w:hAnsi="Times New Roman" w:cs="Times New Roman"/>
                <w:sz w:val="22"/>
                <w:szCs w:val="22"/>
                <w:lang w:eastAsia="en-IN"/>
              </w:rPr>
            </w:pPr>
            <w:r w:rsidRPr="00505A37">
              <w:rPr>
                <w:rFonts w:ascii="Times New Roman" w:hAnsi="Times New Roman" w:cs="Times New Roman"/>
                <w:sz w:val="22"/>
                <w:szCs w:val="22"/>
                <w:lang w:eastAsia="en-IN"/>
              </w:rPr>
              <w:t>..</w:t>
            </w:r>
          </w:p>
        </w:tc>
        <w:tc>
          <w:tcPr>
            <w:tcW w:w="625" w:type="dxa"/>
            <w:noWrap/>
            <w:vAlign w:val="center"/>
            <w:hideMark/>
          </w:tcPr>
          <w:p w14:paraId="677728D9" w14:textId="77777777" w:rsidR="00BA4141" w:rsidRPr="00505A37" w:rsidRDefault="00BA4141" w:rsidP="00505A37">
            <w:pPr>
              <w:pStyle w:val="NoSpacing"/>
              <w:jc w:val="center"/>
              <w:rPr>
                <w:rFonts w:ascii="Times New Roman" w:hAnsi="Times New Roman" w:cs="Times New Roman"/>
                <w:sz w:val="22"/>
                <w:szCs w:val="22"/>
                <w:lang w:eastAsia="en-IN"/>
              </w:rPr>
            </w:pPr>
            <w:r w:rsidRPr="00505A37">
              <w:rPr>
                <w:rFonts w:ascii="Times New Roman" w:hAnsi="Times New Roman" w:cs="Times New Roman"/>
                <w:sz w:val="22"/>
                <w:szCs w:val="22"/>
                <w:lang w:eastAsia="en-IN"/>
              </w:rPr>
              <w:t>..</w:t>
            </w:r>
          </w:p>
        </w:tc>
        <w:tc>
          <w:tcPr>
            <w:tcW w:w="892" w:type="dxa"/>
            <w:noWrap/>
            <w:vAlign w:val="center"/>
            <w:hideMark/>
          </w:tcPr>
          <w:p w14:paraId="6166F9ED" w14:textId="77777777" w:rsidR="00BA4141" w:rsidRPr="00505A37" w:rsidRDefault="00BA4141" w:rsidP="00505A37">
            <w:pPr>
              <w:pStyle w:val="NoSpacing"/>
              <w:jc w:val="center"/>
              <w:rPr>
                <w:rFonts w:ascii="Times New Roman" w:hAnsi="Times New Roman" w:cs="Times New Roman"/>
                <w:sz w:val="22"/>
                <w:szCs w:val="22"/>
                <w:lang w:eastAsia="en-IN"/>
              </w:rPr>
            </w:pPr>
            <w:r w:rsidRPr="00505A37">
              <w:rPr>
                <w:rFonts w:ascii="Times New Roman" w:hAnsi="Times New Roman" w:cs="Times New Roman"/>
                <w:sz w:val="22"/>
                <w:szCs w:val="22"/>
                <w:lang w:eastAsia="en-IN"/>
              </w:rPr>
              <w:t>..</w:t>
            </w:r>
          </w:p>
        </w:tc>
        <w:tc>
          <w:tcPr>
            <w:tcW w:w="625" w:type="dxa"/>
            <w:noWrap/>
            <w:vAlign w:val="center"/>
            <w:hideMark/>
          </w:tcPr>
          <w:p w14:paraId="468EE4EB" w14:textId="77777777" w:rsidR="00BA4141" w:rsidRPr="00505A37" w:rsidRDefault="00BA4141" w:rsidP="00505A37">
            <w:pPr>
              <w:pStyle w:val="NoSpacing"/>
              <w:jc w:val="center"/>
              <w:rPr>
                <w:rFonts w:ascii="Times New Roman" w:hAnsi="Times New Roman" w:cs="Times New Roman"/>
                <w:sz w:val="22"/>
                <w:szCs w:val="22"/>
                <w:lang w:eastAsia="en-IN"/>
              </w:rPr>
            </w:pPr>
            <w:r w:rsidRPr="00505A37">
              <w:rPr>
                <w:rFonts w:ascii="Times New Roman" w:hAnsi="Times New Roman" w:cs="Times New Roman"/>
                <w:sz w:val="22"/>
                <w:szCs w:val="22"/>
                <w:lang w:eastAsia="en-IN"/>
              </w:rPr>
              <w:t>..</w:t>
            </w:r>
          </w:p>
        </w:tc>
        <w:tc>
          <w:tcPr>
            <w:tcW w:w="625" w:type="dxa"/>
            <w:noWrap/>
            <w:vAlign w:val="center"/>
            <w:hideMark/>
          </w:tcPr>
          <w:p w14:paraId="72F0F3D1" w14:textId="77777777" w:rsidR="00BA4141" w:rsidRPr="00505A37" w:rsidRDefault="00BA4141" w:rsidP="00505A37">
            <w:pPr>
              <w:pStyle w:val="NoSpacing"/>
              <w:jc w:val="center"/>
              <w:rPr>
                <w:rFonts w:ascii="Times New Roman" w:hAnsi="Times New Roman" w:cs="Times New Roman"/>
                <w:sz w:val="22"/>
                <w:szCs w:val="22"/>
                <w:lang w:eastAsia="en-IN"/>
              </w:rPr>
            </w:pPr>
            <w:r w:rsidRPr="00505A37">
              <w:rPr>
                <w:rFonts w:ascii="Times New Roman" w:hAnsi="Times New Roman" w:cs="Times New Roman"/>
                <w:sz w:val="22"/>
                <w:szCs w:val="22"/>
                <w:lang w:eastAsia="en-IN"/>
              </w:rPr>
              <w:t>..</w:t>
            </w:r>
          </w:p>
        </w:tc>
        <w:tc>
          <w:tcPr>
            <w:tcW w:w="682" w:type="dxa"/>
            <w:noWrap/>
            <w:vAlign w:val="center"/>
            <w:hideMark/>
          </w:tcPr>
          <w:p w14:paraId="20C6A113" w14:textId="77777777" w:rsidR="00BA4141" w:rsidRPr="00505A37" w:rsidRDefault="00BA4141" w:rsidP="00505A37">
            <w:pPr>
              <w:pStyle w:val="NoSpacing"/>
              <w:jc w:val="center"/>
              <w:rPr>
                <w:rFonts w:ascii="Times New Roman" w:hAnsi="Times New Roman" w:cs="Times New Roman"/>
                <w:sz w:val="22"/>
                <w:szCs w:val="22"/>
                <w:lang w:eastAsia="en-IN"/>
              </w:rPr>
            </w:pPr>
            <w:r w:rsidRPr="00505A37">
              <w:rPr>
                <w:rFonts w:ascii="Times New Roman" w:hAnsi="Times New Roman" w:cs="Times New Roman"/>
                <w:sz w:val="22"/>
                <w:szCs w:val="22"/>
                <w:lang w:eastAsia="en-IN"/>
              </w:rPr>
              <w:t>..</w:t>
            </w:r>
          </w:p>
        </w:tc>
        <w:tc>
          <w:tcPr>
            <w:tcW w:w="675" w:type="dxa"/>
            <w:noWrap/>
            <w:vAlign w:val="center"/>
            <w:hideMark/>
          </w:tcPr>
          <w:p w14:paraId="7F1E0B06" w14:textId="77777777" w:rsidR="00BA4141" w:rsidRPr="00505A37" w:rsidRDefault="00BA4141" w:rsidP="00505A37">
            <w:pPr>
              <w:pStyle w:val="NoSpacing"/>
              <w:jc w:val="center"/>
              <w:rPr>
                <w:rFonts w:ascii="Times New Roman" w:hAnsi="Times New Roman" w:cs="Times New Roman"/>
                <w:sz w:val="22"/>
                <w:szCs w:val="22"/>
                <w:lang w:eastAsia="en-IN"/>
              </w:rPr>
            </w:pPr>
            <w:r w:rsidRPr="00505A37">
              <w:rPr>
                <w:rFonts w:ascii="Times New Roman" w:hAnsi="Times New Roman" w:cs="Times New Roman"/>
                <w:sz w:val="22"/>
                <w:szCs w:val="22"/>
                <w:lang w:eastAsia="en-IN"/>
              </w:rPr>
              <w:t>..</w:t>
            </w:r>
          </w:p>
        </w:tc>
        <w:tc>
          <w:tcPr>
            <w:tcW w:w="892" w:type="dxa"/>
            <w:noWrap/>
            <w:vAlign w:val="center"/>
            <w:hideMark/>
          </w:tcPr>
          <w:p w14:paraId="3E99DD11" w14:textId="77777777" w:rsidR="00BA4141" w:rsidRPr="00505A37" w:rsidRDefault="00BA4141" w:rsidP="00505A37">
            <w:pPr>
              <w:pStyle w:val="NoSpacing"/>
              <w:jc w:val="center"/>
              <w:rPr>
                <w:rFonts w:ascii="Times New Roman" w:hAnsi="Times New Roman" w:cs="Times New Roman"/>
                <w:sz w:val="22"/>
                <w:szCs w:val="22"/>
                <w:lang w:eastAsia="en-IN"/>
              </w:rPr>
            </w:pPr>
            <w:r w:rsidRPr="00505A37">
              <w:rPr>
                <w:rFonts w:ascii="Times New Roman" w:hAnsi="Times New Roman" w:cs="Times New Roman"/>
                <w:sz w:val="22"/>
                <w:szCs w:val="22"/>
                <w:lang w:eastAsia="en-IN"/>
              </w:rPr>
              <w:t>..</w:t>
            </w:r>
          </w:p>
        </w:tc>
        <w:tc>
          <w:tcPr>
            <w:tcW w:w="625" w:type="dxa"/>
            <w:noWrap/>
            <w:vAlign w:val="center"/>
            <w:hideMark/>
          </w:tcPr>
          <w:p w14:paraId="2FC2A0A1" w14:textId="77777777" w:rsidR="00BA4141" w:rsidRPr="00505A37" w:rsidRDefault="00BA4141" w:rsidP="00505A37">
            <w:pPr>
              <w:pStyle w:val="NoSpacing"/>
              <w:jc w:val="center"/>
              <w:rPr>
                <w:rFonts w:ascii="Times New Roman" w:hAnsi="Times New Roman" w:cs="Times New Roman"/>
                <w:sz w:val="22"/>
                <w:szCs w:val="22"/>
                <w:lang w:eastAsia="en-IN"/>
              </w:rPr>
            </w:pPr>
            <w:r w:rsidRPr="00505A37">
              <w:rPr>
                <w:rFonts w:ascii="Times New Roman" w:hAnsi="Times New Roman" w:cs="Times New Roman"/>
                <w:sz w:val="22"/>
                <w:szCs w:val="22"/>
                <w:lang w:eastAsia="en-IN"/>
              </w:rPr>
              <w:t>..</w:t>
            </w:r>
          </w:p>
        </w:tc>
        <w:tc>
          <w:tcPr>
            <w:tcW w:w="625" w:type="dxa"/>
            <w:noWrap/>
            <w:vAlign w:val="center"/>
            <w:hideMark/>
          </w:tcPr>
          <w:p w14:paraId="589916F4" w14:textId="77777777" w:rsidR="00BA4141" w:rsidRPr="00505A37" w:rsidRDefault="00BA4141" w:rsidP="00505A37">
            <w:pPr>
              <w:pStyle w:val="NoSpacing"/>
              <w:jc w:val="center"/>
              <w:rPr>
                <w:rFonts w:ascii="Times New Roman" w:hAnsi="Times New Roman" w:cs="Times New Roman"/>
                <w:sz w:val="22"/>
                <w:szCs w:val="22"/>
                <w:lang w:eastAsia="en-IN"/>
              </w:rPr>
            </w:pPr>
            <w:r w:rsidRPr="00505A37">
              <w:rPr>
                <w:rFonts w:ascii="Times New Roman" w:hAnsi="Times New Roman" w:cs="Times New Roman"/>
                <w:sz w:val="22"/>
                <w:szCs w:val="22"/>
                <w:lang w:eastAsia="en-IN"/>
              </w:rPr>
              <w:t>..</w:t>
            </w:r>
          </w:p>
        </w:tc>
        <w:tc>
          <w:tcPr>
            <w:tcW w:w="682" w:type="dxa"/>
            <w:noWrap/>
            <w:vAlign w:val="center"/>
            <w:hideMark/>
          </w:tcPr>
          <w:p w14:paraId="04128003" w14:textId="77777777" w:rsidR="00BA4141" w:rsidRPr="00505A37" w:rsidRDefault="00BA4141" w:rsidP="00505A37">
            <w:pPr>
              <w:pStyle w:val="NoSpacing"/>
              <w:jc w:val="center"/>
              <w:rPr>
                <w:rFonts w:ascii="Times New Roman" w:hAnsi="Times New Roman" w:cs="Times New Roman"/>
                <w:sz w:val="22"/>
                <w:szCs w:val="22"/>
                <w:lang w:eastAsia="en-IN"/>
              </w:rPr>
            </w:pPr>
            <w:r w:rsidRPr="00505A37">
              <w:rPr>
                <w:rFonts w:ascii="Times New Roman" w:hAnsi="Times New Roman" w:cs="Times New Roman"/>
                <w:sz w:val="22"/>
                <w:szCs w:val="22"/>
                <w:lang w:eastAsia="en-IN"/>
              </w:rPr>
              <w:t>..</w:t>
            </w:r>
          </w:p>
        </w:tc>
        <w:tc>
          <w:tcPr>
            <w:tcW w:w="625" w:type="dxa"/>
            <w:noWrap/>
            <w:vAlign w:val="center"/>
            <w:hideMark/>
          </w:tcPr>
          <w:p w14:paraId="54C59FBF" w14:textId="77777777" w:rsidR="00BA4141" w:rsidRPr="00505A37" w:rsidRDefault="00BA4141" w:rsidP="00505A37">
            <w:pPr>
              <w:pStyle w:val="NoSpacing"/>
              <w:jc w:val="center"/>
              <w:rPr>
                <w:rFonts w:ascii="Times New Roman" w:hAnsi="Times New Roman" w:cs="Times New Roman"/>
                <w:sz w:val="22"/>
                <w:szCs w:val="22"/>
                <w:lang w:eastAsia="en-IN"/>
              </w:rPr>
            </w:pPr>
            <w:r w:rsidRPr="00505A37">
              <w:rPr>
                <w:rFonts w:ascii="Times New Roman" w:hAnsi="Times New Roman" w:cs="Times New Roman"/>
                <w:sz w:val="22"/>
                <w:szCs w:val="22"/>
                <w:lang w:eastAsia="en-IN"/>
              </w:rPr>
              <w:t>..</w:t>
            </w:r>
          </w:p>
        </w:tc>
        <w:tc>
          <w:tcPr>
            <w:tcW w:w="892" w:type="dxa"/>
            <w:noWrap/>
            <w:vAlign w:val="center"/>
            <w:hideMark/>
          </w:tcPr>
          <w:p w14:paraId="3C8E461E" w14:textId="77777777" w:rsidR="00BA4141" w:rsidRPr="00505A37" w:rsidRDefault="00BA4141" w:rsidP="00505A37">
            <w:pPr>
              <w:pStyle w:val="NoSpacing"/>
              <w:jc w:val="center"/>
              <w:rPr>
                <w:rFonts w:ascii="Times New Roman" w:hAnsi="Times New Roman" w:cs="Times New Roman"/>
                <w:sz w:val="22"/>
                <w:szCs w:val="22"/>
                <w:lang w:eastAsia="en-IN"/>
              </w:rPr>
            </w:pPr>
            <w:r w:rsidRPr="00505A37">
              <w:rPr>
                <w:rFonts w:ascii="Times New Roman" w:hAnsi="Times New Roman" w:cs="Times New Roman"/>
                <w:sz w:val="22"/>
                <w:szCs w:val="22"/>
                <w:lang w:eastAsia="en-IN"/>
              </w:rPr>
              <w:t>..</w:t>
            </w:r>
          </w:p>
        </w:tc>
        <w:tc>
          <w:tcPr>
            <w:tcW w:w="625" w:type="dxa"/>
            <w:noWrap/>
            <w:vAlign w:val="center"/>
            <w:hideMark/>
          </w:tcPr>
          <w:p w14:paraId="3924BDAC" w14:textId="77777777" w:rsidR="00BA4141" w:rsidRPr="00505A37" w:rsidRDefault="00BA4141" w:rsidP="00505A37">
            <w:pPr>
              <w:pStyle w:val="NoSpacing"/>
              <w:jc w:val="center"/>
              <w:rPr>
                <w:rFonts w:ascii="Times New Roman" w:hAnsi="Times New Roman" w:cs="Times New Roman"/>
                <w:sz w:val="22"/>
                <w:szCs w:val="22"/>
                <w:lang w:eastAsia="en-IN"/>
              </w:rPr>
            </w:pPr>
            <w:r w:rsidRPr="00505A37">
              <w:rPr>
                <w:rFonts w:ascii="Times New Roman" w:hAnsi="Times New Roman" w:cs="Times New Roman"/>
                <w:sz w:val="22"/>
                <w:szCs w:val="22"/>
                <w:lang w:eastAsia="en-IN"/>
              </w:rPr>
              <w:t>..</w:t>
            </w:r>
          </w:p>
        </w:tc>
        <w:tc>
          <w:tcPr>
            <w:tcW w:w="625" w:type="dxa"/>
            <w:noWrap/>
            <w:vAlign w:val="center"/>
            <w:hideMark/>
          </w:tcPr>
          <w:p w14:paraId="518D41FB" w14:textId="77777777" w:rsidR="00BA4141" w:rsidRPr="00505A37" w:rsidRDefault="00BA4141" w:rsidP="00505A37">
            <w:pPr>
              <w:pStyle w:val="NoSpacing"/>
              <w:jc w:val="center"/>
              <w:rPr>
                <w:rFonts w:ascii="Times New Roman" w:hAnsi="Times New Roman" w:cs="Times New Roman"/>
                <w:sz w:val="22"/>
                <w:szCs w:val="22"/>
                <w:lang w:eastAsia="en-IN"/>
              </w:rPr>
            </w:pPr>
            <w:r w:rsidRPr="00505A37">
              <w:rPr>
                <w:rFonts w:ascii="Times New Roman" w:hAnsi="Times New Roman" w:cs="Times New Roman"/>
                <w:sz w:val="22"/>
                <w:szCs w:val="22"/>
                <w:lang w:eastAsia="en-IN"/>
              </w:rPr>
              <w:t>0.34</w:t>
            </w:r>
          </w:p>
        </w:tc>
        <w:tc>
          <w:tcPr>
            <w:tcW w:w="682" w:type="dxa"/>
            <w:noWrap/>
            <w:vAlign w:val="center"/>
            <w:hideMark/>
          </w:tcPr>
          <w:p w14:paraId="33291380" w14:textId="77777777" w:rsidR="00BA4141" w:rsidRPr="00505A37" w:rsidRDefault="00BA4141" w:rsidP="00505A37">
            <w:pPr>
              <w:pStyle w:val="NoSpacing"/>
              <w:jc w:val="center"/>
              <w:rPr>
                <w:rFonts w:ascii="Times New Roman" w:hAnsi="Times New Roman" w:cs="Times New Roman"/>
                <w:sz w:val="22"/>
                <w:szCs w:val="22"/>
                <w:lang w:eastAsia="en-IN"/>
              </w:rPr>
            </w:pPr>
            <w:r w:rsidRPr="00505A37">
              <w:rPr>
                <w:rFonts w:ascii="Times New Roman" w:hAnsi="Times New Roman" w:cs="Times New Roman"/>
                <w:sz w:val="22"/>
                <w:szCs w:val="22"/>
                <w:lang w:eastAsia="en-IN"/>
              </w:rPr>
              <w:t>0.56</w:t>
            </w:r>
          </w:p>
        </w:tc>
        <w:tc>
          <w:tcPr>
            <w:tcW w:w="625" w:type="dxa"/>
            <w:noWrap/>
            <w:vAlign w:val="center"/>
            <w:hideMark/>
          </w:tcPr>
          <w:p w14:paraId="49DDDCC2" w14:textId="77777777" w:rsidR="00BA4141" w:rsidRPr="00505A37" w:rsidRDefault="00BA4141" w:rsidP="00505A37">
            <w:pPr>
              <w:pStyle w:val="NoSpacing"/>
              <w:jc w:val="center"/>
              <w:rPr>
                <w:rFonts w:ascii="Times New Roman" w:hAnsi="Times New Roman" w:cs="Times New Roman"/>
                <w:sz w:val="22"/>
                <w:szCs w:val="22"/>
                <w:lang w:eastAsia="en-IN"/>
              </w:rPr>
            </w:pPr>
            <w:r w:rsidRPr="00505A37">
              <w:rPr>
                <w:rFonts w:ascii="Times New Roman" w:hAnsi="Times New Roman" w:cs="Times New Roman"/>
                <w:sz w:val="22"/>
                <w:szCs w:val="22"/>
                <w:lang w:eastAsia="en-IN"/>
              </w:rPr>
              <w:t>0.05</w:t>
            </w:r>
          </w:p>
        </w:tc>
        <w:tc>
          <w:tcPr>
            <w:tcW w:w="892" w:type="dxa"/>
            <w:noWrap/>
            <w:vAlign w:val="center"/>
            <w:hideMark/>
          </w:tcPr>
          <w:p w14:paraId="5F6ACE59" w14:textId="77777777" w:rsidR="00BA4141" w:rsidRPr="00505A37" w:rsidRDefault="00BA4141" w:rsidP="00505A37">
            <w:pPr>
              <w:pStyle w:val="NoSpacing"/>
              <w:jc w:val="center"/>
              <w:rPr>
                <w:rFonts w:ascii="Times New Roman" w:hAnsi="Times New Roman" w:cs="Times New Roman"/>
                <w:sz w:val="22"/>
                <w:szCs w:val="22"/>
                <w:lang w:eastAsia="en-IN"/>
              </w:rPr>
            </w:pPr>
            <w:r w:rsidRPr="00505A37">
              <w:rPr>
                <w:rFonts w:ascii="Times New Roman" w:hAnsi="Times New Roman" w:cs="Times New Roman"/>
                <w:sz w:val="22"/>
                <w:szCs w:val="22"/>
                <w:lang w:eastAsia="en-IN"/>
              </w:rPr>
              <w:t>..</w:t>
            </w:r>
          </w:p>
        </w:tc>
        <w:tc>
          <w:tcPr>
            <w:tcW w:w="547" w:type="dxa"/>
            <w:noWrap/>
            <w:vAlign w:val="center"/>
            <w:hideMark/>
          </w:tcPr>
          <w:p w14:paraId="1F7B1E4D" w14:textId="77777777" w:rsidR="00BA4141" w:rsidRPr="00505A37" w:rsidRDefault="00BA4141" w:rsidP="00505A37">
            <w:pPr>
              <w:pStyle w:val="NoSpacing"/>
              <w:jc w:val="center"/>
              <w:rPr>
                <w:rFonts w:ascii="Times New Roman" w:hAnsi="Times New Roman" w:cs="Times New Roman"/>
                <w:sz w:val="22"/>
                <w:szCs w:val="22"/>
                <w:lang w:eastAsia="en-IN"/>
              </w:rPr>
            </w:pPr>
            <w:r w:rsidRPr="00505A37">
              <w:rPr>
                <w:rFonts w:ascii="Times New Roman" w:hAnsi="Times New Roman" w:cs="Times New Roman"/>
                <w:sz w:val="22"/>
                <w:szCs w:val="22"/>
                <w:lang w:eastAsia="en-IN"/>
              </w:rPr>
              <w:t>-0.27</w:t>
            </w:r>
          </w:p>
        </w:tc>
      </w:tr>
      <w:tr w:rsidR="00BA4141" w:rsidRPr="00505A37" w14:paraId="61CA8963" w14:textId="77777777" w:rsidTr="00505A37">
        <w:trPr>
          <w:trHeight w:val="20"/>
        </w:trPr>
        <w:tc>
          <w:tcPr>
            <w:tcW w:w="833" w:type="dxa"/>
            <w:noWrap/>
            <w:hideMark/>
          </w:tcPr>
          <w:p w14:paraId="0C601238" w14:textId="77777777" w:rsidR="00BA4141" w:rsidRPr="00505A37" w:rsidRDefault="00BA4141" w:rsidP="00B77C0B">
            <w:pPr>
              <w:pStyle w:val="NoSpacing"/>
              <w:rPr>
                <w:rFonts w:ascii="Times New Roman" w:hAnsi="Times New Roman" w:cs="Times New Roman"/>
                <w:sz w:val="22"/>
                <w:szCs w:val="22"/>
                <w:lang w:eastAsia="en-IN"/>
              </w:rPr>
            </w:pPr>
            <w:r w:rsidRPr="00505A37">
              <w:rPr>
                <w:rFonts w:ascii="Times New Roman" w:hAnsi="Times New Roman" w:cs="Times New Roman"/>
                <w:sz w:val="22"/>
                <w:szCs w:val="22"/>
                <w:lang w:eastAsia="en-IN"/>
              </w:rPr>
              <w:t>TOTAL</w:t>
            </w:r>
          </w:p>
        </w:tc>
        <w:tc>
          <w:tcPr>
            <w:tcW w:w="625" w:type="dxa"/>
            <w:noWrap/>
            <w:vAlign w:val="center"/>
            <w:hideMark/>
          </w:tcPr>
          <w:p w14:paraId="5CA79BC0" w14:textId="77777777" w:rsidR="00BA4141" w:rsidRPr="00505A37" w:rsidRDefault="00BA4141" w:rsidP="00505A37">
            <w:pPr>
              <w:pStyle w:val="NoSpacing"/>
              <w:jc w:val="center"/>
              <w:rPr>
                <w:rFonts w:ascii="Times New Roman" w:hAnsi="Times New Roman" w:cs="Times New Roman"/>
                <w:sz w:val="22"/>
                <w:szCs w:val="22"/>
                <w:lang w:eastAsia="en-IN"/>
              </w:rPr>
            </w:pPr>
            <w:r w:rsidRPr="00505A37">
              <w:rPr>
                <w:rFonts w:ascii="Times New Roman" w:hAnsi="Times New Roman" w:cs="Times New Roman"/>
                <w:sz w:val="22"/>
                <w:szCs w:val="22"/>
                <w:lang w:eastAsia="en-IN"/>
              </w:rPr>
              <w:t>31.83</w:t>
            </w:r>
          </w:p>
        </w:tc>
        <w:tc>
          <w:tcPr>
            <w:tcW w:w="682" w:type="dxa"/>
            <w:noWrap/>
            <w:vAlign w:val="center"/>
            <w:hideMark/>
          </w:tcPr>
          <w:p w14:paraId="250EF170" w14:textId="77777777" w:rsidR="00BA4141" w:rsidRPr="00505A37" w:rsidRDefault="00BA4141" w:rsidP="00505A37">
            <w:pPr>
              <w:pStyle w:val="NoSpacing"/>
              <w:jc w:val="center"/>
              <w:rPr>
                <w:rFonts w:ascii="Times New Roman" w:hAnsi="Times New Roman" w:cs="Times New Roman"/>
                <w:sz w:val="22"/>
                <w:szCs w:val="22"/>
                <w:lang w:eastAsia="en-IN"/>
              </w:rPr>
            </w:pPr>
            <w:r w:rsidRPr="00505A37">
              <w:rPr>
                <w:rFonts w:ascii="Times New Roman" w:hAnsi="Times New Roman" w:cs="Times New Roman"/>
                <w:sz w:val="22"/>
                <w:szCs w:val="22"/>
                <w:lang w:eastAsia="en-IN"/>
              </w:rPr>
              <w:t>26.29</w:t>
            </w:r>
          </w:p>
        </w:tc>
        <w:tc>
          <w:tcPr>
            <w:tcW w:w="625" w:type="dxa"/>
            <w:noWrap/>
            <w:vAlign w:val="center"/>
            <w:hideMark/>
          </w:tcPr>
          <w:p w14:paraId="4951239D" w14:textId="77777777" w:rsidR="00BA4141" w:rsidRPr="00505A37" w:rsidRDefault="00BA4141" w:rsidP="00505A37">
            <w:pPr>
              <w:pStyle w:val="NoSpacing"/>
              <w:jc w:val="center"/>
              <w:rPr>
                <w:rFonts w:ascii="Times New Roman" w:hAnsi="Times New Roman" w:cs="Times New Roman"/>
                <w:sz w:val="22"/>
                <w:szCs w:val="22"/>
                <w:lang w:eastAsia="en-IN"/>
              </w:rPr>
            </w:pPr>
            <w:r w:rsidRPr="00505A37">
              <w:rPr>
                <w:rFonts w:ascii="Times New Roman" w:hAnsi="Times New Roman" w:cs="Times New Roman"/>
                <w:sz w:val="22"/>
                <w:szCs w:val="22"/>
                <w:lang w:eastAsia="en-IN"/>
              </w:rPr>
              <w:t>1.39</w:t>
            </w:r>
          </w:p>
        </w:tc>
        <w:tc>
          <w:tcPr>
            <w:tcW w:w="892" w:type="dxa"/>
            <w:noWrap/>
            <w:vAlign w:val="center"/>
            <w:hideMark/>
          </w:tcPr>
          <w:p w14:paraId="48D01447" w14:textId="77777777" w:rsidR="00BA4141" w:rsidRPr="00505A37" w:rsidRDefault="00BA4141" w:rsidP="00505A37">
            <w:pPr>
              <w:pStyle w:val="NoSpacing"/>
              <w:jc w:val="center"/>
              <w:rPr>
                <w:rFonts w:ascii="Times New Roman" w:hAnsi="Times New Roman" w:cs="Times New Roman"/>
                <w:sz w:val="22"/>
                <w:szCs w:val="22"/>
                <w:lang w:eastAsia="en-IN"/>
              </w:rPr>
            </w:pPr>
            <w:r w:rsidRPr="00505A37">
              <w:rPr>
                <w:rFonts w:ascii="Times New Roman" w:hAnsi="Times New Roman" w:cs="Times New Roman"/>
                <w:sz w:val="22"/>
                <w:szCs w:val="22"/>
                <w:lang w:eastAsia="en-IN"/>
              </w:rPr>
              <w:t>1.55</w:t>
            </w:r>
          </w:p>
        </w:tc>
        <w:tc>
          <w:tcPr>
            <w:tcW w:w="625" w:type="dxa"/>
            <w:noWrap/>
            <w:vAlign w:val="center"/>
            <w:hideMark/>
          </w:tcPr>
          <w:p w14:paraId="71A6C440" w14:textId="77777777" w:rsidR="00BA4141" w:rsidRPr="00505A37" w:rsidRDefault="00BA4141" w:rsidP="00505A37">
            <w:pPr>
              <w:pStyle w:val="NoSpacing"/>
              <w:jc w:val="center"/>
              <w:rPr>
                <w:rFonts w:ascii="Times New Roman" w:hAnsi="Times New Roman" w:cs="Times New Roman"/>
                <w:sz w:val="22"/>
                <w:szCs w:val="22"/>
                <w:lang w:eastAsia="en-IN"/>
              </w:rPr>
            </w:pPr>
            <w:r w:rsidRPr="00505A37">
              <w:rPr>
                <w:rFonts w:ascii="Times New Roman" w:hAnsi="Times New Roman" w:cs="Times New Roman"/>
                <w:sz w:val="22"/>
                <w:szCs w:val="22"/>
                <w:lang w:eastAsia="en-IN"/>
              </w:rPr>
              <w:t>2.6</w:t>
            </w:r>
          </w:p>
        </w:tc>
        <w:tc>
          <w:tcPr>
            <w:tcW w:w="625" w:type="dxa"/>
            <w:noWrap/>
            <w:vAlign w:val="center"/>
            <w:hideMark/>
          </w:tcPr>
          <w:p w14:paraId="25C3D100" w14:textId="77777777" w:rsidR="00BA4141" w:rsidRPr="00505A37" w:rsidRDefault="00BA4141" w:rsidP="00505A37">
            <w:pPr>
              <w:pStyle w:val="NoSpacing"/>
              <w:jc w:val="center"/>
              <w:rPr>
                <w:rFonts w:ascii="Times New Roman" w:hAnsi="Times New Roman" w:cs="Times New Roman"/>
                <w:sz w:val="22"/>
                <w:szCs w:val="22"/>
                <w:lang w:eastAsia="en-IN"/>
              </w:rPr>
            </w:pPr>
            <w:r w:rsidRPr="00505A37">
              <w:rPr>
                <w:rFonts w:ascii="Times New Roman" w:hAnsi="Times New Roman" w:cs="Times New Roman"/>
                <w:sz w:val="22"/>
                <w:szCs w:val="22"/>
                <w:lang w:eastAsia="en-IN"/>
              </w:rPr>
              <w:t>32.23</w:t>
            </w:r>
          </w:p>
        </w:tc>
        <w:tc>
          <w:tcPr>
            <w:tcW w:w="682" w:type="dxa"/>
            <w:noWrap/>
            <w:vAlign w:val="center"/>
            <w:hideMark/>
          </w:tcPr>
          <w:p w14:paraId="6435A951" w14:textId="77777777" w:rsidR="00BA4141" w:rsidRPr="00505A37" w:rsidRDefault="00BA4141" w:rsidP="00505A37">
            <w:pPr>
              <w:pStyle w:val="NoSpacing"/>
              <w:jc w:val="center"/>
              <w:rPr>
                <w:rFonts w:ascii="Times New Roman" w:hAnsi="Times New Roman" w:cs="Times New Roman"/>
                <w:sz w:val="22"/>
                <w:szCs w:val="22"/>
                <w:lang w:eastAsia="en-IN"/>
              </w:rPr>
            </w:pPr>
            <w:r w:rsidRPr="00505A37">
              <w:rPr>
                <w:rFonts w:ascii="Times New Roman" w:hAnsi="Times New Roman" w:cs="Times New Roman"/>
                <w:sz w:val="22"/>
                <w:szCs w:val="22"/>
                <w:lang w:eastAsia="en-IN"/>
              </w:rPr>
              <w:t>28.41</w:t>
            </w:r>
          </w:p>
        </w:tc>
        <w:tc>
          <w:tcPr>
            <w:tcW w:w="675" w:type="dxa"/>
            <w:noWrap/>
            <w:vAlign w:val="center"/>
            <w:hideMark/>
          </w:tcPr>
          <w:p w14:paraId="79AD6ABA" w14:textId="77777777" w:rsidR="00BA4141" w:rsidRPr="00505A37" w:rsidRDefault="00BA4141" w:rsidP="00505A37">
            <w:pPr>
              <w:pStyle w:val="NoSpacing"/>
              <w:jc w:val="center"/>
              <w:rPr>
                <w:rFonts w:ascii="Times New Roman" w:hAnsi="Times New Roman" w:cs="Times New Roman"/>
                <w:sz w:val="22"/>
                <w:szCs w:val="22"/>
                <w:lang w:eastAsia="en-IN"/>
              </w:rPr>
            </w:pPr>
            <w:r w:rsidRPr="00505A37">
              <w:rPr>
                <w:rFonts w:ascii="Times New Roman" w:hAnsi="Times New Roman" w:cs="Times New Roman"/>
                <w:sz w:val="22"/>
                <w:szCs w:val="22"/>
                <w:lang w:eastAsia="en-IN"/>
              </w:rPr>
              <w:t>1.69</w:t>
            </w:r>
          </w:p>
        </w:tc>
        <w:tc>
          <w:tcPr>
            <w:tcW w:w="892" w:type="dxa"/>
            <w:noWrap/>
            <w:vAlign w:val="center"/>
            <w:hideMark/>
          </w:tcPr>
          <w:p w14:paraId="0CE46DC4" w14:textId="77777777" w:rsidR="00BA4141" w:rsidRPr="00505A37" w:rsidRDefault="00BA4141" w:rsidP="00505A37">
            <w:pPr>
              <w:pStyle w:val="NoSpacing"/>
              <w:jc w:val="center"/>
              <w:rPr>
                <w:rFonts w:ascii="Times New Roman" w:hAnsi="Times New Roman" w:cs="Times New Roman"/>
                <w:sz w:val="22"/>
                <w:szCs w:val="22"/>
                <w:lang w:eastAsia="en-IN"/>
              </w:rPr>
            </w:pPr>
            <w:r w:rsidRPr="00505A37">
              <w:rPr>
                <w:rFonts w:ascii="Times New Roman" w:hAnsi="Times New Roman" w:cs="Times New Roman"/>
                <w:sz w:val="22"/>
                <w:szCs w:val="22"/>
                <w:lang w:eastAsia="en-IN"/>
              </w:rPr>
              <w:t>1.65</w:t>
            </w:r>
          </w:p>
        </w:tc>
        <w:tc>
          <w:tcPr>
            <w:tcW w:w="625" w:type="dxa"/>
            <w:noWrap/>
            <w:vAlign w:val="center"/>
            <w:hideMark/>
          </w:tcPr>
          <w:p w14:paraId="3253A5FC" w14:textId="77777777" w:rsidR="00BA4141" w:rsidRPr="00505A37" w:rsidRDefault="00BA4141" w:rsidP="00505A37">
            <w:pPr>
              <w:pStyle w:val="NoSpacing"/>
              <w:jc w:val="center"/>
              <w:rPr>
                <w:rFonts w:ascii="Times New Roman" w:hAnsi="Times New Roman" w:cs="Times New Roman"/>
                <w:sz w:val="22"/>
                <w:szCs w:val="22"/>
                <w:lang w:eastAsia="en-IN"/>
              </w:rPr>
            </w:pPr>
            <w:r w:rsidRPr="00505A37">
              <w:rPr>
                <w:rFonts w:ascii="Times New Roman" w:hAnsi="Times New Roman" w:cs="Times New Roman"/>
                <w:sz w:val="22"/>
                <w:szCs w:val="22"/>
                <w:lang w:eastAsia="en-IN"/>
              </w:rPr>
              <w:t>0.48</w:t>
            </w:r>
          </w:p>
        </w:tc>
        <w:tc>
          <w:tcPr>
            <w:tcW w:w="625" w:type="dxa"/>
            <w:noWrap/>
            <w:vAlign w:val="center"/>
            <w:hideMark/>
          </w:tcPr>
          <w:p w14:paraId="4E138DB6" w14:textId="77777777" w:rsidR="00BA4141" w:rsidRPr="00505A37" w:rsidRDefault="00BA4141" w:rsidP="00505A37">
            <w:pPr>
              <w:pStyle w:val="NoSpacing"/>
              <w:jc w:val="center"/>
              <w:rPr>
                <w:rFonts w:ascii="Times New Roman" w:hAnsi="Times New Roman" w:cs="Times New Roman"/>
                <w:sz w:val="22"/>
                <w:szCs w:val="22"/>
                <w:lang w:eastAsia="en-IN"/>
              </w:rPr>
            </w:pPr>
            <w:r w:rsidRPr="00505A37">
              <w:rPr>
                <w:rFonts w:ascii="Times New Roman" w:hAnsi="Times New Roman" w:cs="Times New Roman"/>
                <w:sz w:val="22"/>
                <w:szCs w:val="22"/>
                <w:lang w:eastAsia="en-IN"/>
              </w:rPr>
              <w:t>48.2</w:t>
            </w:r>
          </w:p>
        </w:tc>
        <w:tc>
          <w:tcPr>
            <w:tcW w:w="682" w:type="dxa"/>
            <w:noWrap/>
            <w:vAlign w:val="center"/>
            <w:hideMark/>
          </w:tcPr>
          <w:p w14:paraId="5F305ECD" w14:textId="77777777" w:rsidR="00BA4141" w:rsidRPr="00505A37" w:rsidRDefault="00BA4141" w:rsidP="00505A37">
            <w:pPr>
              <w:pStyle w:val="NoSpacing"/>
              <w:jc w:val="center"/>
              <w:rPr>
                <w:rFonts w:ascii="Times New Roman" w:hAnsi="Times New Roman" w:cs="Times New Roman"/>
                <w:sz w:val="22"/>
                <w:szCs w:val="22"/>
                <w:lang w:eastAsia="en-IN"/>
              </w:rPr>
            </w:pPr>
            <w:r w:rsidRPr="00505A37">
              <w:rPr>
                <w:rFonts w:ascii="Times New Roman" w:hAnsi="Times New Roman" w:cs="Times New Roman"/>
                <w:sz w:val="22"/>
                <w:szCs w:val="22"/>
                <w:lang w:eastAsia="en-IN"/>
              </w:rPr>
              <w:t>43</w:t>
            </w:r>
          </w:p>
        </w:tc>
        <w:tc>
          <w:tcPr>
            <w:tcW w:w="625" w:type="dxa"/>
            <w:noWrap/>
            <w:vAlign w:val="center"/>
            <w:hideMark/>
          </w:tcPr>
          <w:p w14:paraId="5DB1B696" w14:textId="77777777" w:rsidR="00BA4141" w:rsidRPr="00505A37" w:rsidRDefault="00BA4141" w:rsidP="00505A37">
            <w:pPr>
              <w:pStyle w:val="NoSpacing"/>
              <w:jc w:val="center"/>
              <w:rPr>
                <w:rFonts w:ascii="Times New Roman" w:hAnsi="Times New Roman" w:cs="Times New Roman"/>
                <w:sz w:val="22"/>
                <w:szCs w:val="22"/>
                <w:lang w:eastAsia="en-IN"/>
              </w:rPr>
            </w:pPr>
            <w:r w:rsidRPr="00505A37">
              <w:rPr>
                <w:rFonts w:ascii="Times New Roman" w:hAnsi="Times New Roman" w:cs="Times New Roman"/>
                <w:sz w:val="22"/>
                <w:szCs w:val="22"/>
                <w:lang w:eastAsia="en-IN"/>
              </w:rPr>
              <w:t>2.15</w:t>
            </w:r>
          </w:p>
        </w:tc>
        <w:tc>
          <w:tcPr>
            <w:tcW w:w="892" w:type="dxa"/>
            <w:noWrap/>
            <w:vAlign w:val="center"/>
            <w:hideMark/>
          </w:tcPr>
          <w:p w14:paraId="05B689B6" w14:textId="77777777" w:rsidR="00BA4141" w:rsidRPr="00505A37" w:rsidRDefault="00BA4141" w:rsidP="00505A37">
            <w:pPr>
              <w:pStyle w:val="NoSpacing"/>
              <w:jc w:val="center"/>
              <w:rPr>
                <w:rFonts w:ascii="Times New Roman" w:hAnsi="Times New Roman" w:cs="Times New Roman"/>
                <w:sz w:val="22"/>
                <w:szCs w:val="22"/>
                <w:lang w:eastAsia="en-IN"/>
              </w:rPr>
            </w:pPr>
            <w:r w:rsidRPr="00505A37">
              <w:rPr>
                <w:rFonts w:ascii="Times New Roman" w:hAnsi="Times New Roman" w:cs="Times New Roman"/>
                <w:sz w:val="22"/>
                <w:szCs w:val="22"/>
                <w:lang w:eastAsia="en-IN"/>
              </w:rPr>
              <w:t>1.73</w:t>
            </w:r>
          </w:p>
        </w:tc>
        <w:tc>
          <w:tcPr>
            <w:tcW w:w="625" w:type="dxa"/>
            <w:noWrap/>
            <w:vAlign w:val="center"/>
            <w:hideMark/>
          </w:tcPr>
          <w:p w14:paraId="46CDD033" w14:textId="77777777" w:rsidR="00BA4141" w:rsidRPr="00505A37" w:rsidRDefault="00BA4141" w:rsidP="00505A37">
            <w:pPr>
              <w:pStyle w:val="NoSpacing"/>
              <w:jc w:val="center"/>
              <w:rPr>
                <w:rFonts w:ascii="Times New Roman" w:hAnsi="Times New Roman" w:cs="Times New Roman"/>
                <w:sz w:val="22"/>
                <w:szCs w:val="22"/>
                <w:lang w:eastAsia="en-IN"/>
              </w:rPr>
            </w:pPr>
            <w:r w:rsidRPr="00505A37">
              <w:rPr>
                <w:rFonts w:ascii="Times New Roman" w:hAnsi="Times New Roman" w:cs="Times New Roman"/>
                <w:sz w:val="22"/>
                <w:szCs w:val="22"/>
                <w:lang w:eastAsia="en-IN"/>
              </w:rPr>
              <w:t>1.32</w:t>
            </w:r>
          </w:p>
        </w:tc>
        <w:tc>
          <w:tcPr>
            <w:tcW w:w="625" w:type="dxa"/>
            <w:noWrap/>
            <w:vAlign w:val="center"/>
            <w:hideMark/>
          </w:tcPr>
          <w:p w14:paraId="60B9207F" w14:textId="77777777" w:rsidR="00BA4141" w:rsidRPr="00505A37" w:rsidRDefault="00BA4141" w:rsidP="00505A37">
            <w:pPr>
              <w:pStyle w:val="NoSpacing"/>
              <w:jc w:val="center"/>
              <w:rPr>
                <w:rFonts w:ascii="Times New Roman" w:hAnsi="Times New Roman" w:cs="Times New Roman"/>
                <w:sz w:val="22"/>
                <w:szCs w:val="22"/>
                <w:lang w:eastAsia="en-IN"/>
              </w:rPr>
            </w:pPr>
            <w:r w:rsidRPr="00505A37">
              <w:rPr>
                <w:rFonts w:ascii="Times New Roman" w:hAnsi="Times New Roman" w:cs="Times New Roman"/>
                <w:sz w:val="22"/>
                <w:szCs w:val="22"/>
                <w:lang w:eastAsia="en-IN"/>
              </w:rPr>
              <w:t>54.54</w:t>
            </w:r>
          </w:p>
        </w:tc>
        <w:tc>
          <w:tcPr>
            <w:tcW w:w="682" w:type="dxa"/>
            <w:noWrap/>
            <w:vAlign w:val="center"/>
            <w:hideMark/>
          </w:tcPr>
          <w:p w14:paraId="39209E86" w14:textId="77777777" w:rsidR="00BA4141" w:rsidRPr="00505A37" w:rsidRDefault="00BA4141" w:rsidP="00505A37">
            <w:pPr>
              <w:pStyle w:val="NoSpacing"/>
              <w:jc w:val="center"/>
              <w:rPr>
                <w:rFonts w:ascii="Times New Roman" w:hAnsi="Times New Roman" w:cs="Times New Roman"/>
                <w:sz w:val="22"/>
                <w:szCs w:val="22"/>
                <w:lang w:eastAsia="en-IN"/>
              </w:rPr>
            </w:pPr>
            <w:r w:rsidRPr="00505A37">
              <w:rPr>
                <w:rFonts w:ascii="Times New Roman" w:hAnsi="Times New Roman" w:cs="Times New Roman"/>
                <w:sz w:val="22"/>
                <w:szCs w:val="22"/>
                <w:lang w:eastAsia="en-IN"/>
              </w:rPr>
              <w:t>45.75</w:t>
            </w:r>
          </w:p>
        </w:tc>
        <w:tc>
          <w:tcPr>
            <w:tcW w:w="625" w:type="dxa"/>
            <w:noWrap/>
            <w:vAlign w:val="center"/>
            <w:hideMark/>
          </w:tcPr>
          <w:p w14:paraId="336E5438" w14:textId="77777777" w:rsidR="00BA4141" w:rsidRPr="00505A37" w:rsidRDefault="00BA4141" w:rsidP="00505A37">
            <w:pPr>
              <w:pStyle w:val="NoSpacing"/>
              <w:jc w:val="center"/>
              <w:rPr>
                <w:rFonts w:ascii="Times New Roman" w:hAnsi="Times New Roman" w:cs="Times New Roman"/>
                <w:sz w:val="22"/>
                <w:szCs w:val="22"/>
                <w:lang w:eastAsia="en-IN"/>
              </w:rPr>
            </w:pPr>
            <w:r w:rsidRPr="00505A37">
              <w:rPr>
                <w:rFonts w:ascii="Times New Roman" w:hAnsi="Times New Roman" w:cs="Times New Roman"/>
                <w:sz w:val="22"/>
                <w:szCs w:val="22"/>
                <w:lang w:eastAsia="en-IN"/>
              </w:rPr>
              <w:t>2.67</w:t>
            </w:r>
          </w:p>
        </w:tc>
        <w:tc>
          <w:tcPr>
            <w:tcW w:w="892" w:type="dxa"/>
            <w:noWrap/>
            <w:vAlign w:val="center"/>
            <w:hideMark/>
          </w:tcPr>
          <w:p w14:paraId="2AA1C482" w14:textId="77777777" w:rsidR="00BA4141" w:rsidRPr="00505A37" w:rsidRDefault="00BA4141" w:rsidP="00505A37">
            <w:pPr>
              <w:pStyle w:val="NoSpacing"/>
              <w:jc w:val="center"/>
              <w:rPr>
                <w:rFonts w:ascii="Times New Roman" w:hAnsi="Times New Roman" w:cs="Times New Roman"/>
                <w:sz w:val="22"/>
                <w:szCs w:val="22"/>
                <w:lang w:eastAsia="en-IN"/>
              </w:rPr>
            </w:pPr>
            <w:r w:rsidRPr="00505A37">
              <w:rPr>
                <w:rFonts w:ascii="Times New Roman" w:hAnsi="Times New Roman" w:cs="Times New Roman"/>
                <w:sz w:val="22"/>
                <w:szCs w:val="22"/>
                <w:lang w:eastAsia="en-IN"/>
              </w:rPr>
              <w:t>2.54</w:t>
            </w:r>
          </w:p>
        </w:tc>
        <w:tc>
          <w:tcPr>
            <w:tcW w:w="547" w:type="dxa"/>
            <w:noWrap/>
            <w:vAlign w:val="center"/>
            <w:hideMark/>
          </w:tcPr>
          <w:p w14:paraId="1AFC72BD" w14:textId="1C63DA84" w:rsidR="00BA4141" w:rsidRPr="00505A37" w:rsidRDefault="003146F9" w:rsidP="00505A37">
            <w:pPr>
              <w:pStyle w:val="NoSpacing"/>
              <w:jc w:val="center"/>
              <w:rPr>
                <w:rFonts w:ascii="Times New Roman" w:hAnsi="Times New Roman" w:cs="Times New Roman"/>
                <w:sz w:val="22"/>
                <w:szCs w:val="22"/>
                <w:lang w:eastAsia="en-IN"/>
              </w:rPr>
            </w:pPr>
            <w:r w:rsidRPr="00505A37">
              <w:rPr>
                <w:rFonts w:ascii="Times New Roman" w:hAnsi="Times New Roman" w:cs="Times New Roman"/>
                <w:sz w:val="22"/>
                <w:szCs w:val="22"/>
                <w:lang w:eastAsia="en-IN"/>
              </w:rPr>
              <w:t>+</w:t>
            </w:r>
            <w:r w:rsidR="00BA4141" w:rsidRPr="00505A37">
              <w:rPr>
                <w:rFonts w:ascii="Times New Roman" w:hAnsi="Times New Roman" w:cs="Times New Roman"/>
                <w:sz w:val="22"/>
                <w:szCs w:val="22"/>
                <w:lang w:eastAsia="en-IN"/>
              </w:rPr>
              <w:t>3.58</w:t>
            </w:r>
          </w:p>
        </w:tc>
      </w:tr>
    </w:tbl>
    <w:p w14:paraId="7C4754C9" w14:textId="445B69FA" w:rsidR="00BA4141" w:rsidRPr="00505A37" w:rsidRDefault="00BA4141" w:rsidP="00BA4141">
      <w:pPr>
        <w:tabs>
          <w:tab w:val="left" w:pos="3306"/>
        </w:tabs>
        <w:rPr>
          <w:rFonts w:ascii="Times New Roman" w:hAnsi="Times New Roman" w:cs="Times New Roman"/>
          <w:sz w:val="20"/>
          <w:szCs w:val="20"/>
        </w:rPr>
      </w:pPr>
      <w:r w:rsidRPr="00505A37">
        <w:rPr>
          <w:rFonts w:ascii="Times New Roman" w:hAnsi="Times New Roman" w:cs="Times New Roman"/>
          <w:sz w:val="20"/>
          <w:szCs w:val="20"/>
        </w:rPr>
        <w:t>a) Includes interest charges also.</w:t>
      </w:r>
      <w:r w:rsidRPr="00505A37">
        <w:rPr>
          <w:rFonts w:ascii="Times New Roman" w:hAnsi="Times New Roman" w:cs="Times New Roman"/>
          <w:sz w:val="20"/>
          <w:szCs w:val="20"/>
        </w:rPr>
        <w:tab/>
      </w:r>
      <w:r w:rsidRPr="00505A37">
        <w:rPr>
          <w:rFonts w:ascii="Times New Roman" w:hAnsi="Times New Roman" w:cs="Times New Roman"/>
          <w:sz w:val="20"/>
          <w:szCs w:val="20"/>
        </w:rPr>
        <w:tab/>
      </w:r>
      <w:r w:rsidRPr="00505A37">
        <w:rPr>
          <w:rFonts w:ascii="Times New Roman" w:hAnsi="Times New Roman" w:cs="Times New Roman"/>
          <w:sz w:val="20"/>
          <w:szCs w:val="20"/>
        </w:rPr>
        <w:tab/>
      </w:r>
      <w:r w:rsidRPr="00505A37">
        <w:rPr>
          <w:rFonts w:ascii="Times New Roman" w:hAnsi="Times New Roman" w:cs="Times New Roman"/>
          <w:sz w:val="20"/>
          <w:szCs w:val="20"/>
        </w:rPr>
        <w:tab/>
      </w:r>
      <w:r w:rsidRPr="00505A37">
        <w:rPr>
          <w:rFonts w:ascii="Times New Roman" w:hAnsi="Times New Roman" w:cs="Times New Roman"/>
          <w:sz w:val="20"/>
          <w:szCs w:val="20"/>
        </w:rPr>
        <w:tab/>
      </w:r>
      <w:r w:rsidRPr="00505A37">
        <w:rPr>
          <w:rFonts w:ascii="Times New Roman" w:hAnsi="Times New Roman" w:cs="Times New Roman"/>
          <w:sz w:val="20"/>
          <w:szCs w:val="20"/>
        </w:rPr>
        <w:tab/>
      </w:r>
      <w:r w:rsidRPr="00505A37">
        <w:rPr>
          <w:rFonts w:ascii="Times New Roman" w:hAnsi="Times New Roman" w:cs="Times New Roman"/>
          <w:sz w:val="20"/>
          <w:szCs w:val="20"/>
        </w:rPr>
        <w:tab/>
      </w:r>
      <w:r w:rsidRPr="00505A37">
        <w:rPr>
          <w:rFonts w:ascii="Times New Roman" w:hAnsi="Times New Roman" w:cs="Times New Roman"/>
          <w:sz w:val="20"/>
          <w:szCs w:val="20"/>
        </w:rPr>
        <w:tab/>
        <w:t>(b) Includes transfer to depreciation fund.</w:t>
      </w:r>
    </w:p>
    <w:p w14:paraId="300BF3BF" w14:textId="24947783" w:rsidR="00BA4141" w:rsidRPr="007245B0" w:rsidRDefault="00BA4141" w:rsidP="00BA4141">
      <w:pPr>
        <w:rPr>
          <w:rFonts w:ascii="Times New Roman" w:hAnsi="Times New Roman" w:cs="Times New Roman"/>
          <w:i/>
          <w:iCs/>
          <w:szCs w:val="24"/>
        </w:rPr>
      </w:pPr>
    </w:p>
    <w:p w14:paraId="69C07060" w14:textId="1C8E94DD" w:rsidR="00BA4141" w:rsidRPr="007245B0" w:rsidRDefault="00BA4141">
      <w:pPr>
        <w:rPr>
          <w:rFonts w:ascii="Times New Roman" w:hAnsi="Times New Roman" w:cs="Times New Roman"/>
        </w:rPr>
      </w:pPr>
      <w:r w:rsidRPr="007245B0">
        <w:rPr>
          <w:rFonts w:ascii="Times New Roman" w:hAnsi="Times New Roman" w:cs="Times New Roman"/>
        </w:rPr>
        <w:br w:type="page"/>
      </w:r>
    </w:p>
    <w:p w14:paraId="702939AB" w14:textId="782966EE" w:rsidR="00937698" w:rsidRPr="007245B0" w:rsidRDefault="00574BCE" w:rsidP="007D2EE4">
      <w:pPr>
        <w:pStyle w:val="Heading4"/>
      </w:pPr>
      <w:bookmarkStart w:id="153" w:name="_Toc220949721"/>
      <w:bookmarkStart w:id="154" w:name="_Toc221114321"/>
      <w:bookmarkStart w:id="155" w:name="_Toc221115344"/>
      <w:r>
        <w:lastRenderedPageBreak/>
        <w:t>Table</w:t>
      </w:r>
      <w:r w:rsidR="00937698" w:rsidRPr="007245B0">
        <w:t xml:space="preserve"> 40: Outstanding public debt, loans and advances and productive capital outlays as at the end of 1968-69</w:t>
      </w:r>
      <w:bookmarkEnd w:id="153"/>
      <w:bookmarkEnd w:id="154"/>
      <w:bookmarkEnd w:id="155"/>
      <w:r w:rsidR="00937698" w:rsidRPr="007245B0">
        <w:br/>
      </w:r>
    </w:p>
    <w:p w14:paraId="78964AE8" w14:textId="77777777" w:rsidR="00937698" w:rsidRPr="007245B0" w:rsidRDefault="00937698" w:rsidP="00937698">
      <w:pPr>
        <w:tabs>
          <w:tab w:val="left" w:pos="3306"/>
        </w:tabs>
        <w:jc w:val="right"/>
        <w:rPr>
          <w:rFonts w:ascii="Times New Roman" w:hAnsi="Times New Roman" w:cs="Times New Roman"/>
          <w:i/>
          <w:iCs/>
          <w:szCs w:val="24"/>
        </w:rPr>
      </w:pPr>
      <w:r w:rsidRPr="007245B0">
        <w:rPr>
          <w:rFonts w:ascii="Times New Roman" w:hAnsi="Times New Roman" w:cs="Times New Roman"/>
          <w:i/>
          <w:iCs/>
          <w:szCs w:val="24"/>
        </w:rPr>
        <w:t>(Rs. crores)</w:t>
      </w:r>
    </w:p>
    <w:tbl>
      <w:tblPr>
        <w:tblStyle w:val="TableGrid"/>
        <w:tblW w:w="0" w:type="auto"/>
        <w:tblLook w:val="04A0" w:firstRow="1" w:lastRow="0" w:firstColumn="1" w:lastColumn="0" w:noHBand="0" w:noVBand="1"/>
      </w:tblPr>
      <w:tblGrid>
        <w:gridCol w:w="1434"/>
        <w:gridCol w:w="1518"/>
        <w:gridCol w:w="1215"/>
        <w:gridCol w:w="1314"/>
        <w:gridCol w:w="931"/>
        <w:gridCol w:w="1216"/>
        <w:gridCol w:w="1684"/>
        <w:gridCol w:w="1661"/>
        <w:gridCol w:w="1353"/>
        <w:gridCol w:w="1072"/>
      </w:tblGrid>
      <w:tr w:rsidR="00937698" w:rsidRPr="00871479" w14:paraId="2C61E30E" w14:textId="77777777" w:rsidTr="00871479">
        <w:tc>
          <w:tcPr>
            <w:tcW w:w="0" w:type="auto"/>
            <w:vAlign w:val="center"/>
          </w:tcPr>
          <w:p w14:paraId="38C494CD" w14:textId="77777777" w:rsidR="00937698" w:rsidRPr="00871479" w:rsidRDefault="00937698" w:rsidP="00871479">
            <w:pPr>
              <w:pStyle w:val="NoSpacing"/>
              <w:jc w:val="center"/>
              <w:rPr>
                <w:rFonts w:ascii="Times New Roman" w:hAnsi="Times New Roman" w:cs="Times New Roman"/>
                <w:b/>
                <w:bCs/>
                <w:sz w:val="22"/>
                <w:szCs w:val="22"/>
              </w:rPr>
            </w:pPr>
          </w:p>
        </w:tc>
        <w:tc>
          <w:tcPr>
            <w:tcW w:w="0" w:type="auto"/>
            <w:gridSpan w:val="2"/>
            <w:vAlign w:val="center"/>
          </w:tcPr>
          <w:p w14:paraId="688D5350" w14:textId="77777777" w:rsidR="00937698" w:rsidRPr="00871479" w:rsidRDefault="00937698" w:rsidP="00871479">
            <w:pPr>
              <w:pStyle w:val="NoSpacing"/>
              <w:jc w:val="center"/>
              <w:rPr>
                <w:rFonts w:ascii="Times New Roman" w:hAnsi="Times New Roman" w:cs="Times New Roman"/>
                <w:b/>
                <w:bCs/>
                <w:sz w:val="22"/>
                <w:szCs w:val="22"/>
              </w:rPr>
            </w:pPr>
            <w:r w:rsidRPr="00871479">
              <w:rPr>
                <w:rFonts w:ascii="Times New Roman" w:hAnsi="Times New Roman" w:cs="Times New Roman"/>
                <w:b/>
                <w:bCs/>
                <w:sz w:val="22"/>
                <w:szCs w:val="22"/>
              </w:rPr>
              <w:t>Public debt -</w:t>
            </w:r>
          </w:p>
        </w:tc>
        <w:tc>
          <w:tcPr>
            <w:tcW w:w="0" w:type="auto"/>
            <w:gridSpan w:val="3"/>
            <w:vAlign w:val="center"/>
          </w:tcPr>
          <w:p w14:paraId="10C211E9" w14:textId="77777777" w:rsidR="00937698" w:rsidRPr="00871479" w:rsidRDefault="00937698" w:rsidP="00871479">
            <w:pPr>
              <w:pStyle w:val="NoSpacing"/>
              <w:jc w:val="center"/>
              <w:rPr>
                <w:rFonts w:ascii="Times New Roman" w:hAnsi="Times New Roman" w:cs="Times New Roman"/>
                <w:b/>
                <w:bCs/>
                <w:sz w:val="22"/>
                <w:szCs w:val="22"/>
              </w:rPr>
            </w:pPr>
            <w:r w:rsidRPr="00871479">
              <w:rPr>
                <w:rFonts w:ascii="Times New Roman" w:hAnsi="Times New Roman" w:cs="Times New Roman"/>
                <w:b/>
                <w:bCs/>
                <w:sz w:val="22"/>
                <w:szCs w:val="22"/>
              </w:rPr>
              <w:t>Loans and advances by State Governments -</w:t>
            </w:r>
          </w:p>
        </w:tc>
        <w:tc>
          <w:tcPr>
            <w:tcW w:w="0" w:type="auto"/>
            <w:gridSpan w:val="4"/>
            <w:vAlign w:val="center"/>
          </w:tcPr>
          <w:p w14:paraId="0035D610" w14:textId="0F90B1B9" w:rsidR="00937698" w:rsidRPr="00871479" w:rsidRDefault="00937698" w:rsidP="00871479">
            <w:pPr>
              <w:pStyle w:val="NoSpacing"/>
              <w:jc w:val="center"/>
              <w:rPr>
                <w:rFonts w:ascii="Times New Roman" w:hAnsi="Times New Roman" w:cs="Times New Roman"/>
                <w:b/>
                <w:bCs/>
                <w:sz w:val="22"/>
                <w:szCs w:val="22"/>
              </w:rPr>
            </w:pPr>
            <w:r w:rsidRPr="00871479">
              <w:rPr>
                <w:rFonts w:ascii="Times New Roman" w:hAnsi="Times New Roman" w:cs="Times New Roman"/>
                <w:b/>
                <w:bCs/>
                <w:sz w:val="22"/>
                <w:szCs w:val="22"/>
              </w:rPr>
              <w:t>Productive capital outlay, i.e.,</w:t>
            </w:r>
            <w:r w:rsidR="00886EB4">
              <w:rPr>
                <w:rFonts w:ascii="Times New Roman" w:hAnsi="Times New Roman" w:cs="Times New Roman"/>
                <w:b/>
                <w:bCs/>
                <w:sz w:val="22"/>
                <w:szCs w:val="22"/>
              </w:rPr>
              <w:t xml:space="preserve"> Outlay</w:t>
            </w:r>
            <w:r w:rsidRPr="00871479">
              <w:rPr>
                <w:rFonts w:ascii="Times New Roman" w:hAnsi="Times New Roman" w:cs="Times New Roman"/>
                <w:b/>
                <w:bCs/>
                <w:sz w:val="22"/>
                <w:szCs w:val="22"/>
              </w:rPr>
              <w:t xml:space="preserve"> on Departmental Commercial Undertaking, etc</w:t>
            </w:r>
          </w:p>
        </w:tc>
      </w:tr>
      <w:tr w:rsidR="00937698" w:rsidRPr="00871479" w14:paraId="5DBA8C1E" w14:textId="77777777" w:rsidTr="00871479">
        <w:tc>
          <w:tcPr>
            <w:tcW w:w="0" w:type="auto"/>
            <w:vAlign w:val="center"/>
            <w:hideMark/>
          </w:tcPr>
          <w:p w14:paraId="42504F41" w14:textId="77777777" w:rsidR="00937698" w:rsidRPr="00871479" w:rsidRDefault="00937698" w:rsidP="00871479">
            <w:pPr>
              <w:pStyle w:val="NoSpacing"/>
              <w:jc w:val="center"/>
              <w:rPr>
                <w:rFonts w:ascii="Times New Roman" w:hAnsi="Times New Roman" w:cs="Times New Roman"/>
                <w:b/>
                <w:bCs/>
                <w:sz w:val="22"/>
                <w:szCs w:val="22"/>
              </w:rPr>
            </w:pPr>
            <w:r w:rsidRPr="00871479">
              <w:rPr>
                <w:rFonts w:ascii="Times New Roman" w:hAnsi="Times New Roman" w:cs="Times New Roman"/>
                <w:b/>
                <w:bCs/>
                <w:sz w:val="22"/>
                <w:szCs w:val="22"/>
              </w:rPr>
              <w:t>States</w:t>
            </w:r>
          </w:p>
        </w:tc>
        <w:tc>
          <w:tcPr>
            <w:tcW w:w="0" w:type="auto"/>
            <w:vAlign w:val="center"/>
            <w:hideMark/>
          </w:tcPr>
          <w:p w14:paraId="1DFD3733" w14:textId="77777777" w:rsidR="00937698" w:rsidRPr="00871479" w:rsidRDefault="00937698" w:rsidP="00871479">
            <w:pPr>
              <w:pStyle w:val="NoSpacing"/>
              <w:jc w:val="center"/>
              <w:rPr>
                <w:rFonts w:ascii="Times New Roman" w:hAnsi="Times New Roman" w:cs="Times New Roman"/>
                <w:b/>
                <w:bCs/>
                <w:sz w:val="22"/>
                <w:szCs w:val="22"/>
              </w:rPr>
            </w:pPr>
            <w:r w:rsidRPr="00871479">
              <w:rPr>
                <w:rFonts w:ascii="Times New Roman" w:hAnsi="Times New Roman" w:cs="Times New Roman"/>
                <w:b/>
                <w:bCs/>
                <w:sz w:val="22"/>
                <w:szCs w:val="22"/>
              </w:rPr>
              <w:t>Outstanding amount</w:t>
            </w:r>
          </w:p>
        </w:tc>
        <w:tc>
          <w:tcPr>
            <w:tcW w:w="0" w:type="auto"/>
            <w:vAlign w:val="center"/>
            <w:hideMark/>
          </w:tcPr>
          <w:p w14:paraId="163B570D" w14:textId="6431BF3D" w:rsidR="00937698" w:rsidRPr="00871479" w:rsidRDefault="00937698" w:rsidP="00871479">
            <w:pPr>
              <w:pStyle w:val="NoSpacing"/>
              <w:jc w:val="center"/>
              <w:rPr>
                <w:rFonts w:ascii="Times New Roman" w:hAnsi="Times New Roman" w:cs="Times New Roman"/>
                <w:b/>
                <w:bCs/>
                <w:sz w:val="22"/>
                <w:szCs w:val="22"/>
              </w:rPr>
            </w:pPr>
            <w:r w:rsidRPr="00871479">
              <w:rPr>
                <w:rFonts w:ascii="Times New Roman" w:hAnsi="Times New Roman" w:cs="Times New Roman"/>
                <w:b/>
                <w:bCs/>
                <w:sz w:val="22"/>
                <w:szCs w:val="22"/>
              </w:rPr>
              <w:t>Per capita (Rupees)</w:t>
            </w:r>
          </w:p>
        </w:tc>
        <w:tc>
          <w:tcPr>
            <w:tcW w:w="0" w:type="auto"/>
            <w:vAlign w:val="center"/>
            <w:hideMark/>
          </w:tcPr>
          <w:p w14:paraId="7D87580C" w14:textId="77777777" w:rsidR="00937698" w:rsidRPr="00871479" w:rsidRDefault="00937698" w:rsidP="00871479">
            <w:pPr>
              <w:pStyle w:val="NoSpacing"/>
              <w:jc w:val="center"/>
              <w:rPr>
                <w:rFonts w:ascii="Times New Roman" w:hAnsi="Times New Roman" w:cs="Times New Roman"/>
                <w:b/>
                <w:bCs/>
                <w:sz w:val="22"/>
                <w:szCs w:val="22"/>
              </w:rPr>
            </w:pPr>
            <w:r w:rsidRPr="00871479">
              <w:rPr>
                <w:rFonts w:ascii="Times New Roman" w:hAnsi="Times New Roman" w:cs="Times New Roman"/>
                <w:b/>
                <w:bCs/>
                <w:sz w:val="22"/>
                <w:szCs w:val="22"/>
              </w:rPr>
              <w:t>Electricity Boards</w:t>
            </w:r>
          </w:p>
        </w:tc>
        <w:tc>
          <w:tcPr>
            <w:tcW w:w="0" w:type="auto"/>
            <w:vAlign w:val="center"/>
            <w:hideMark/>
          </w:tcPr>
          <w:p w14:paraId="4C49CBC1" w14:textId="1F5F45AE" w:rsidR="00937698" w:rsidRPr="00871479" w:rsidRDefault="00937698" w:rsidP="00871479">
            <w:pPr>
              <w:pStyle w:val="NoSpacing"/>
              <w:jc w:val="center"/>
              <w:rPr>
                <w:rFonts w:ascii="Times New Roman" w:hAnsi="Times New Roman" w:cs="Times New Roman"/>
                <w:b/>
                <w:bCs/>
                <w:sz w:val="22"/>
                <w:szCs w:val="22"/>
              </w:rPr>
            </w:pPr>
            <w:r w:rsidRPr="00871479">
              <w:rPr>
                <w:rFonts w:ascii="Times New Roman" w:hAnsi="Times New Roman" w:cs="Times New Roman"/>
                <w:b/>
                <w:bCs/>
                <w:sz w:val="22"/>
                <w:szCs w:val="22"/>
              </w:rPr>
              <w:t>Others</w:t>
            </w:r>
          </w:p>
        </w:tc>
        <w:tc>
          <w:tcPr>
            <w:tcW w:w="0" w:type="auto"/>
            <w:vAlign w:val="center"/>
            <w:hideMark/>
          </w:tcPr>
          <w:p w14:paraId="461A8DA5" w14:textId="2500D537" w:rsidR="00937698" w:rsidRPr="00871479" w:rsidRDefault="00937698" w:rsidP="00871479">
            <w:pPr>
              <w:pStyle w:val="NoSpacing"/>
              <w:jc w:val="center"/>
              <w:rPr>
                <w:rFonts w:ascii="Times New Roman" w:hAnsi="Times New Roman" w:cs="Times New Roman"/>
                <w:b/>
                <w:bCs/>
                <w:sz w:val="22"/>
                <w:szCs w:val="22"/>
              </w:rPr>
            </w:pPr>
            <w:r w:rsidRPr="00871479">
              <w:rPr>
                <w:rFonts w:ascii="Times New Roman" w:hAnsi="Times New Roman" w:cs="Times New Roman"/>
                <w:b/>
                <w:bCs/>
                <w:sz w:val="22"/>
                <w:szCs w:val="22"/>
              </w:rPr>
              <w:t>Total  (cols.3+4)</w:t>
            </w:r>
          </w:p>
        </w:tc>
        <w:tc>
          <w:tcPr>
            <w:tcW w:w="0" w:type="auto"/>
            <w:vAlign w:val="center"/>
            <w:hideMark/>
          </w:tcPr>
          <w:p w14:paraId="03B8C751" w14:textId="2C0070E1" w:rsidR="00937698" w:rsidRPr="00871479" w:rsidRDefault="00937698" w:rsidP="00871479">
            <w:pPr>
              <w:pStyle w:val="NoSpacing"/>
              <w:jc w:val="center"/>
              <w:rPr>
                <w:rFonts w:ascii="Times New Roman" w:hAnsi="Times New Roman" w:cs="Times New Roman"/>
                <w:b/>
                <w:bCs/>
                <w:sz w:val="22"/>
                <w:szCs w:val="22"/>
              </w:rPr>
            </w:pPr>
            <w:r w:rsidRPr="00871479">
              <w:rPr>
                <w:rFonts w:ascii="Times New Roman" w:hAnsi="Times New Roman" w:cs="Times New Roman"/>
                <w:b/>
                <w:bCs/>
                <w:sz w:val="22"/>
                <w:szCs w:val="22"/>
              </w:rPr>
              <w:t>Irrigation and Multi-purpose River Schemes</w:t>
            </w:r>
          </w:p>
        </w:tc>
        <w:tc>
          <w:tcPr>
            <w:tcW w:w="0" w:type="auto"/>
            <w:vAlign w:val="center"/>
            <w:hideMark/>
          </w:tcPr>
          <w:p w14:paraId="62C30FC4" w14:textId="27F72FAC" w:rsidR="00937698" w:rsidRPr="00871479" w:rsidRDefault="00937698" w:rsidP="00871479">
            <w:pPr>
              <w:pStyle w:val="NoSpacing"/>
              <w:jc w:val="center"/>
              <w:rPr>
                <w:rFonts w:ascii="Times New Roman" w:hAnsi="Times New Roman" w:cs="Times New Roman"/>
                <w:b/>
                <w:bCs/>
                <w:sz w:val="22"/>
                <w:szCs w:val="22"/>
              </w:rPr>
            </w:pPr>
            <w:r w:rsidRPr="00871479">
              <w:rPr>
                <w:rFonts w:ascii="Times New Roman" w:hAnsi="Times New Roman" w:cs="Times New Roman"/>
                <w:b/>
                <w:bCs/>
                <w:sz w:val="22"/>
                <w:szCs w:val="22"/>
              </w:rPr>
              <w:t>Electricity and Road Transport Schemes</w:t>
            </w:r>
          </w:p>
        </w:tc>
        <w:tc>
          <w:tcPr>
            <w:tcW w:w="0" w:type="auto"/>
            <w:vAlign w:val="center"/>
            <w:hideMark/>
          </w:tcPr>
          <w:p w14:paraId="7040CBE2" w14:textId="50EC9B58" w:rsidR="00937698" w:rsidRPr="00871479" w:rsidRDefault="00937698" w:rsidP="00871479">
            <w:pPr>
              <w:pStyle w:val="NoSpacing"/>
              <w:jc w:val="center"/>
              <w:rPr>
                <w:rFonts w:ascii="Times New Roman" w:hAnsi="Times New Roman" w:cs="Times New Roman"/>
                <w:b/>
                <w:bCs/>
                <w:sz w:val="22"/>
                <w:szCs w:val="22"/>
              </w:rPr>
            </w:pPr>
            <w:r w:rsidRPr="00871479">
              <w:rPr>
                <w:rFonts w:ascii="Times New Roman" w:hAnsi="Times New Roman" w:cs="Times New Roman"/>
                <w:b/>
                <w:bCs/>
                <w:sz w:val="22"/>
                <w:szCs w:val="22"/>
              </w:rPr>
              <w:t>Investments</w:t>
            </w:r>
          </w:p>
        </w:tc>
        <w:tc>
          <w:tcPr>
            <w:tcW w:w="0" w:type="auto"/>
            <w:vAlign w:val="center"/>
            <w:hideMark/>
          </w:tcPr>
          <w:p w14:paraId="00DA9CB5" w14:textId="20107236" w:rsidR="00937698" w:rsidRPr="00871479" w:rsidRDefault="00937698" w:rsidP="00871479">
            <w:pPr>
              <w:pStyle w:val="NoSpacing"/>
              <w:jc w:val="center"/>
              <w:rPr>
                <w:rFonts w:ascii="Times New Roman" w:hAnsi="Times New Roman" w:cs="Times New Roman"/>
                <w:b/>
                <w:bCs/>
                <w:sz w:val="22"/>
                <w:szCs w:val="22"/>
              </w:rPr>
            </w:pPr>
            <w:r w:rsidRPr="00871479">
              <w:rPr>
                <w:rFonts w:ascii="Times New Roman" w:hAnsi="Times New Roman" w:cs="Times New Roman"/>
                <w:b/>
                <w:bCs/>
                <w:sz w:val="22"/>
                <w:szCs w:val="22"/>
              </w:rPr>
              <w:t>Total (cols 6 to 8)</w:t>
            </w:r>
          </w:p>
        </w:tc>
      </w:tr>
      <w:tr w:rsidR="00937698" w:rsidRPr="00871479" w14:paraId="072DBF31" w14:textId="77777777" w:rsidTr="00871479">
        <w:tc>
          <w:tcPr>
            <w:tcW w:w="0" w:type="auto"/>
            <w:vAlign w:val="center"/>
          </w:tcPr>
          <w:p w14:paraId="589E35DD" w14:textId="77777777" w:rsidR="00937698" w:rsidRPr="00871479" w:rsidRDefault="00937698" w:rsidP="00871479">
            <w:pPr>
              <w:pStyle w:val="NoSpacing"/>
              <w:jc w:val="center"/>
              <w:rPr>
                <w:rFonts w:ascii="Times New Roman" w:hAnsi="Times New Roman" w:cs="Times New Roman"/>
                <w:b/>
                <w:bCs/>
                <w:sz w:val="22"/>
                <w:szCs w:val="22"/>
              </w:rPr>
            </w:pPr>
          </w:p>
        </w:tc>
        <w:tc>
          <w:tcPr>
            <w:tcW w:w="0" w:type="auto"/>
            <w:vAlign w:val="center"/>
          </w:tcPr>
          <w:p w14:paraId="488531DB" w14:textId="77777777" w:rsidR="00937698" w:rsidRPr="00871479" w:rsidRDefault="00937698" w:rsidP="00871479">
            <w:pPr>
              <w:pStyle w:val="NoSpacing"/>
              <w:jc w:val="center"/>
              <w:rPr>
                <w:rFonts w:ascii="Times New Roman" w:hAnsi="Times New Roman" w:cs="Times New Roman"/>
                <w:b/>
                <w:bCs/>
                <w:sz w:val="22"/>
                <w:szCs w:val="22"/>
              </w:rPr>
            </w:pPr>
            <w:r w:rsidRPr="00871479">
              <w:rPr>
                <w:rFonts w:ascii="Times New Roman" w:hAnsi="Times New Roman" w:cs="Times New Roman"/>
                <w:b/>
                <w:bCs/>
                <w:sz w:val="22"/>
                <w:szCs w:val="22"/>
              </w:rPr>
              <w:t>1</w:t>
            </w:r>
          </w:p>
        </w:tc>
        <w:tc>
          <w:tcPr>
            <w:tcW w:w="0" w:type="auto"/>
            <w:vAlign w:val="center"/>
          </w:tcPr>
          <w:p w14:paraId="38D67ED8" w14:textId="77777777" w:rsidR="00937698" w:rsidRPr="00871479" w:rsidRDefault="00937698" w:rsidP="00871479">
            <w:pPr>
              <w:pStyle w:val="NoSpacing"/>
              <w:jc w:val="center"/>
              <w:rPr>
                <w:rFonts w:ascii="Times New Roman" w:hAnsi="Times New Roman" w:cs="Times New Roman"/>
                <w:b/>
                <w:bCs/>
                <w:sz w:val="22"/>
                <w:szCs w:val="22"/>
              </w:rPr>
            </w:pPr>
            <w:r w:rsidRPr="00871479">
              <w:rPr>
                <w:rFonts w:ascii="Times New Roman" w:hAnsi="Times New Roman" w:cs="Times New Roman"/>
                <w:b/>
                <w:bCs/>
                <w:sz w:val="22"/>
                <w:szCs w:val="22"/>
              </w:rPr>
              <w:t>2</w:t>
            </w:r>
          </w:p>
        </w:tc>
        <w:tc>
          <w:tcPr>
            <w:tcW w:w="0" w:type="auto"/>
            <w:vAlign w:val="center"/>
          </w:tcPr>
          <w:p w14:paraId="17CCE79B" w14:textId="77777777" w:rsidR="00937698" w:rsidRPr="00871479" w:rsidRDefault="00937698" w:rsidP="00871479">
            <w:pPr>
              <w:pStyle w:val="NoSpacing"/>
              <w:jc w:val="center"/>
              <w:rPr>
                <w:rFonts w:ascii="Times New Roman" w:hAnsi="Times New Roman" w:cs="Times New Roman"/>
                <w:b/>
                <w:bCs/>
                <w:sz w:val="22"/>
                <w:szCs w:val="22"/>
              </w:rPr>
            </w:pPr>
            <w:r w:rsidRPr="00871479">
              <w:rPr>
                <w:rFonts w:ascii="Times New Roman" w:hAnsi="Times New Roman" w:cs="Times New Roman"/>
                <w:b/>
                <w:bCs/>
                <w:sz w:val="22"/>
                <w:szCs w:val="22"/>
              </w:rPr>
              <w:t>3</w:t>
            </w:r>
          </w:p>
        </w:tc>
        <w:tc>
          <w:tcPr>
            <w:tcW w:w="0" w:type="auto"/>
            <w:vAlign w:val="center"/>
          </w:tcPr>
          <w:p w14:paraId="2ADDF58F" w14:textId="77777777" w:rsidR="00937698" w:rsidRPr="00871479" w:rsidRDefault="00937698" w:rsidP="00871479">
            <w:pPr>
              <w:pStyle w:val="NoSpacing"/>
              <w:jc w:val="center"/>
              <w:rPr>
                <w:rFonts w:ascii="Times New Roman" w:hAnsi="Times New Roman" w:cs="Times New Roman"/>
                <w:b/>
                <w:bCs/>
                <w:sz w:val="22"/>
                <w:szCs w:val="22"/>
              </w:rPr>
            </w:pPr>
            <w:r w:rsidRPr="00871479">
              <w:rPr>
                <w:rFonts w:ascii="Times New Roman" w:hAnsi="Times New Roman" w:cs="Times New Roman"/>
                <w:b/>
                <w:bCs/>
                <w:sz w:val="22"/>
                <w:szCs w:val="22"/>
              </w:rPr>
              <w:t>4</w:t>
            </w:r>
          </w:p>
        </w:tc>
        <w:tc>
          <w:tcPr>
            <w:tcW w:w="0" w:type="auto"/>
            <w:vAlign w:val="center"/>
          </w:tcPr>
          <w:p w14:paraId="20223708" w14:textId="77777777" w:rsidR="00937698" w:rsidRPr="00871479" w:rsidRDefault="00937698" w:rsidP="00871479">
            <w:pPr>
              <w:pStyle w:val="NoSpacing"/>
              <w:jc w:val="center"/>
              <w:rPr>
                <w:rFonts w:ascii="Times New Roman" w:hAnsi="Times New Roman" w:cs="Times New Roman"/>
                <w:b/>
                <w:bCs/>
                <w:sz w:val="22"/>
                <w:szCs w:val="22"/>
              </w:rPr>
            </w:pPr>
            <w:r w:rsidRPr="00871479">
              <w:rPr>
                <w:rFonts w:ascii="Times New Roman" w:hAnsi="Times New Roman" w:cs="Times New Roman"/>
                <w:b/>
                <w:bCs/>
                <w:sz w:val="22"/>
                <w:szCs w:val="22"/>
              </w:rPr>
              <w:t>5</w:t>
            </w:r>
          </w:p>
        </w:tc>
        <w:tc>
          <w:tcPr>
            <w:tcW w:w="0" w:type="auto"/>
            <w:vAlign w:val="center"/>
          </w:tcPr>
          <w:p w14:paraId="5BA5FDB4" w14:textId="77777777" w:rsidR="00937698" w:rsidRPr="00871479" w:rsidRDefault="00937698" w:rsidP="00871479">
            <w:pPr>
              <w:pStyle w:val="NoSpacing"/>
              <w:jc w:val="center"/>
              <w:rPr>
                <w:rFonts w:ascii="Times New Roman" w:hAnsi="Times New Roman" w:cs="Times New Roman"/>
                <w:b/>
                <w:bCs/>
                <w:sz w:val="22"/>
                <w:szCs w:val="22"/>
              </w:rPr>
            </w:pPr>
            <w:r w:rsidRPr="00871479">
              <w:rPr>
                <w:rFonts w:ascii="Times New Roman" w:hAnsi="Times New Roman" w:cs="Times New Roman"/>
                <w:b/>
                <w:bCs/>
                <w:sz w:val="22"/>
                <w:szCs w:val="22"/>
              </w:rPr>
              <w:t>6</w:t>
            </w:r>
          </w:p>
        </w:tc>
        <w:tc>
          <w:tcPr>
            <w:tcW w:w="0" w:type="auto"/>
            <w:vAlign w:val="center"/>
          </w:tcPr>
          <w:p w14:paraId="0A02CD64" w14:textId="77777777" w:rsidR="00937698" w:rsidRPr="00871479" w:rsidRDefault="00937698" w:rsidP="00871479">
            <w:pPr>
              <w:pStyle w:val="NoSpacing"/>
              <w:jc w:val="center"/>
              <w:rPr>
                <w:rFonts w:ascii="Times New Roman" w:hAnsi="Times New Roman" w:cs="Times New Roman"/>
                <w:b/>
                <w:bCs/>
                <w:sz w:val="22"/>
                <w:szCs w:val="22"/>
              </w:rPr>
            </w:pPr>
            <w:r w:rsidRPr="00871479">
              <w:rPr>
                <w:rFonts w:ascii="Times New Roman" w:hAnsi="Times New Roman" w:cs="Times New Roman"/>
                <w:b/>
                <w:bCs/>
                <w:sz w:val="22"/>
                <w:szCs w:val="22"/>
              </w:rPr>
              <w:t>7</w:t>
            </w:r>
          </w:p>
        </w:tc>
        <w:tc>
          <w:tcPr>
            <w:tcW w:w="0" w:type="auto"/>
            <w:vAlign w:val="center"/>
          </w:tcPr>
          <w:p w14:paraId="288E377E" w14:textId="77777777" w:rsidR="00937698" w:rsidRPr="00871479" w:rsidRDefault="00937698" w:rsidP="00871479">
            <w:pPr>
              <w:pStyle w:val="NoSpacing"/>
              <w:jc w:val="center"/>
              <w:rPr>
                <w:rFonts w:ascii="Times New Roman" w:hAnsi="Times New Roman" w:cs="Times New Roman"/>
                <w:b/>
                <w:bCs/>
                <w:sz w:val="22"/>
                <w:szCs w:val="22"/>
              </w:rPr>
            </w:pPr>
            <w:r w:rsidRPr="00871479">
              <w:rPr>
                <w:rFonts w:ascii="Times New Roman" w:hAnsi="Times New Roman" w:cs="Times New Roman"/>
                <w:b/>
                <w:bCs/>
                <w:sz w:val="22"/>
                <w:szCs w:val="22"/>
              </w:rPr>
              <w:t>8</w:t>
            </w:r>
          </w:p>
        </w:tc>
        <w:tc>
          <w:tcPr>
            <w:tcW w:w="0" w:type="auto"/>
            <w:vAlign w:val="center"/>
          </w:tcPr>
          <w:p w14:paraId="72F39F28" w14:textId="77777777" w:rsidR="00937698" w:rsidRPr="00871479" w:rsidRDefault="00937698" w:rsidP="00871479">
            <w:pPr>
              <w:pStyle w:val="NoSpacing"/>
              <w:jc w:val="center"/>
              <w:rPr>
                <w:rFonts w:ascii="Times New Roman" w:hAnsi="Times New Roman" w:cs="Times New Roman"/>
                <w:b/>
                <w:bCs/>
                <w:sz w:val="22"/>
                <w:szCs w:val="22"/>
              </w:rPr>
            </w:pPr>
            <w:r w:rsidRPr="00871479">
              <w:rPr>
                <w:rFonts w:ascii="Times New Roman" w:hAnsi="Times New Roman" w:cs="Times New Roman"/>
                <w:b/>
                <w:bCs/>
                <w:sz w:val="22"/>
                <w:szCs w:val="22"/>
              </w:rPr>
              <w:t>9</w:t>
            </w:r>
          </w:p>
        </w:tc>
      </w:tr>
      <w:tr w:rsidR="00937698" w:rsidRPr="00871479" w14:paraId="63DA4458" w14:textId="77777777" w:rsidTr="00871479">
        <w:tc>
          <w:tcPr>
            <w:tcW w:w="0" w:type="auto"/>
            <w:hideMark/>
          </w:tcPr>
          <w:p w14:paraId="010C5F72" w14:textId="77777777" w:rsidR="00937698" w:rsidRPr="00871479" w:rsidRDefault="00937698" w:rsidP="00B77C0B">
            <w:pPr>
              <w:pStyle w:val="NoSpacing"/>
              <w:rPr>
                <w:rFonts w:ascii="Times New Roman" w:hAnsi="Times New Roman" w:cs="Times New Roman"/>
                <w:sz w:val="22"/>
                <w:szCs w:val="22"/>
              </w:rPr>
            </w:pPr>
            <w:r w:rsidRPr="00871479">
              <w:rPr>
                <w:rFonts w:ascii="Times New Roman" w:hAnsi="Times New Roman" w:cs="Times New Roman"/>
                <w:sz w:val="22"/>
                <w:szCs w:val="22"/>
              </w:rPr>
              <w:t>Andhra Pradesh</w:t>
            </w:r>
          </w:p>
        </w:tc>
        <w:tc>
          <w:tcPr>
            <w:tcW w:w="0" w:type="auto"/>
            <w:vAlign w:val="center"/>
            <w:hideMark/>
          </w:tcPr>
          <w:p w14:paraId="52B64512" w14:textId="77777777" w:rsidR="00937698" w:rsidRPr="00871479" w:rsidRDefault="00937698" w:rsidP="00871479">
            <w:pPr>
              <w:pStyle w:val="NoSpacing"/>
              <w:jc w:val="center"/>
              <w:rPr>
                <w:rFonts w:ascii="Times New Roman" w:hAnsi="Times New Roman" w:cs="Times New Roman"/>
                <w:sz w:val="22"/>
                <w:szCs w:val="22"/>
              </w:rPr>
            </w:pPr>
            <w:r w:rsidRPr="00871479">
              <w:rPr>
                <w:rFonts w:ascii="Times New Roman" w:hAnsi="Times New Roman" w:cs="Times New Roman"/>
                <w:sz w:val="22"/>
                <w:szCs w:val="22"/>
              </w:rPr>
              <w:t>613.26</w:t>
            </w:r>
          </w:p>
        </w:tc>
        <w:tc>
          <w:tcPr>
            <w:tcW w:w="0" w:type="auto"/>
            <w:vAlign w:val="center"/>
            <w:hideMark/>
          </w:tcPr>
          <w:p w14:paraId="3584A745" w14:textId="77777777" w:rsidR="00937698" w:rsidRPr="00871479" w:rsidRDefault="00937698" w:rsidP="00871479">
            <w:pPr>
              <w:pStyle w:val="NoSpacing"/>
              <w:jc w:val="center"/>
              <w:rPr>
                <w:rFonts w:ascii="Times New Roman" w:hAnsi="Times New Roman" w:cs="Times New Roman"/>
                <w:sz w:val="22"/>
                <w:szCs w:val="22"/>
              </w:rPr>
            </w:pPr>
            <w:r w:rsidRPr="00871479">
              <w:rPr>
                <w:rFonts w:ascii="Times New Roman" w:hAnsi="Times New Roman" w:cs="Times New Roman"/>
                <w:sz w:val="22"/>
                <w:szCs w:val="22"/>
              </w:rPr>
              <w:t>145.56</w:t>
            </w:r>
          </w:p>
        </w:tc>
        <w:tc>
          <w:tcPr>
            <w:tcW w:w="0" w:type="auto"/>
            <w:vAlign w:val="center"/>
            <w:hideMark/>
          </w:tcPr>
          <w:p w14:paraId="3D11DE4E" w14:textId="77777777" w:rsidR="00937698" w:rsidRPr="00871479" w:rsidRDefault="00937698" w:rsidP="00871479">
            <w:pPr>
              <w:pStyle w:val="NoSpacing"/>
              <w:jc w:val="center"/>
              <w:rPr>
                <w:rFonts w:ascii="Times New Roman" w:hAnsi="Times New Roman" w:cs="Times New Roman"/>
                <w:sz w:val="22"/>
                <w:szCs w:val="22"/>
              </w:rPr>
            </w:pPr>
            <w:r w:rsidRPr="00871479">
              <w:rPr>
                <w:rFonts w:ascii="Times New Roman" w:hAnsi="Times New Roman" w:cs="Times New Roman"/>
                <w:sz w:val="22"/>
                <w:szCs w:val="22"/>
              </w:rPr>
              <w:t>131.97</w:t>
            </w:r>
          </w:p>
        </w:tc>
        <w:tc>
          <w:tcPr>
            <w:tcW w:w="0" w:type="auto"/>
            <w:vAlign w:val="center"/>
            <w:hideMark/>
          </w:tcPr>
          <w:p w14:paraId="718A20D0" w14:textId="77777777" w:rsidR="00937698" w:rsidRPr="00871479" w:rsidRDefault="00937698" w:rsidP="00871479">
            <w:pPr>
              <w:pStyle w:val="NoSpacing"/>
              <w:jc w:val="center"/>
              <w:rPr>
                <w:rFonts w:ascii="Times New Roman" w:hAnsi="Times New Roman" w:cs="Times New Roman"/>
                <w:sz w:val="22"/>
                <w:szCs w:val="22"/>
              </w:rPr>
            </w:pPr>
            <w:r w:rsidRPr="00871479">
              <w:rPr>
                <w:rFonts w:ascii="Times New Roman" w:hAnsi="Times New Roman" w:cs="Times New Roman"/>
                <w:sz w:val="22"/>
                <w:szCs w:val="22"/>
              </w:rPr>
              <w:t>72.61</w:t>
            </w:r>
          </w:p>
        </w:tc>
        <w:tc>
          <w:tcPr>
            <w:tcW w:w="0" w:type="auto"/>
            <w:vAlign w:val="center"/>
            <w:hideMark/>
          </w:tcPr>
          <w:p w14:paraId="5B19BA88" w14:textId="77777777" w:rsidR="00937698" w:rsidRPr="00871479" w:rsidRDefault="00937698" w:rsidP="00871479">
            <w:pPr>
              <w:pStyle w:val="NoSpacing"/>
              <w:jc w:val="center"/>
              <w:rPr>
                <w:rFonts w:ascii="Times New Roman" w:hAnsi="Times New Roman" w:cs="Times New Roman"/>
                <w:sz w:val="22"/>
                <w:szCs w:val="22"/>
              </w:rPr>
            </w:pPr>
            <w:r w:rsidRPr="00871479">
              <w:rPr>
                <w:rFonts w:ascii="Times New Roman" w:hAnsi="Times New Roman" w:cs="Times New Roman"/>
                <w:sz w:val="22"/>
                <w:szCs w:val="22"/>
              </w:rPr>
              <w:t>204.58</w:t>
            </w:r>
          </w:p>
        </w:tc>
        <w:tc>
          <w:tcPr>
            <w:tcW w:w="0" w:type="auto"/>
            <w:vAlign w:val="center"/>
            <w:hideMark/>
          </w:tcPr>
          <w:p w14:paraId="0515CDB3" w14:textId="77777777" w:rsidR="00937698" w:rsidRPr="00871479" w:rsidRDefault="00937698" w:rsidP="00871479">
            <w:pPr>
              <w:pStyle w:val="NoSpacing"/>
              <w:jc w:val="center"/>
              <w:rPr>
                <w:rFonts w:ascii="Times New Roman" w:hAnsi="Times New Roman" w:cs="Times New Roman"/>
                <w:sz w:val="22"/>
                <w:szCs w:val="22"/>
              </w:rPr>
            </w:pPr>
            <w:r w:rsidRPr="00871479">
              <w:rPr>
                <w:rFonts w:ascii="Times New Roman" w:hAnsi="Times New Roman" w:cs="Times New Roman"/>
                <w:sz w:val="22"/>
                <w:szCs w:val="22"/>
              </w:rPr>
              <w:t>267.75</w:t>
            </w:r>
          </w:p>
        </w:tc>
        <w:tc>
          <w:tcPr>
            <w:tcW w:w="0" w:type="auto"/>
            <w:vAlign w:val="center"/>
            <w:hideMark/>
          </w:tcPr>
          <w:p w14:paraId="3080FAC9" w14:textId="77777777" w:rsidR="00937698" w:rsidRPr="00871479" w:rsidRDefault="00937698" w:rsidP="00871479">
            <w:pPr>
              <w:pStyle w:val="NoSpacing"/>
              <w:jc w:val="center"/>
              <w:rPr>
                <w:rFonts w:ascii="Times New Roman" w:hAnsi="Times New Roman" w:cs="Times New Roman"/>
                <w:sz w:val="22"/>
                <w:szCs w:val="22"/>
              </w:rPr>
            </w:pPr>
            <w:r w:rsidRPr="00871479">
              <w:rPr>
                <w:rFonts w:ascii="Times New Roman" w:hAnsi="Times New Roman" w:cs="Times New Roman"/>
                <w:sz w:val="22"/>
                <w:szCs w:val="22"/>
              </w:rPr>
              <w:t>68.92</w:t>
            </w:r>
          </w:p>
        </w:tc>
        <w:tc>
          <w:tcPr>
            <w:tcW w:w="0" w:type="auto"/>
            <w:vAlign w:val="center"/>
            <w:hideMark/>
          </w:tcPr>
          <w:p w14:paraId="5F21B1AE" w14:textId="77777777" w:rsidR="00937698" w:rsidRPr="00871479" w:rsidRDefault="00937698" w:rsidP="00871479">
            <w:pPr>
              <w:pStyle w:val="NoSpacing"/>
              <w:jc w:val="center"/>
              <w:rPr>
                <w:rFonts w:ascii="Times New Roman" w:hAnsi="Times New Roman" w:cs="Times New Roman"/>
                <w:sz w:val="22"/>
                <w:szCs w:val="22"/>
              </w:rPr>
            </w:pPr>
            <w:r w:rsidRPr="00871479">
              <w:rPr>
                <w:rFonts w:ascii="Times New Roman" w:hAnsi="Times New Roman" w:cs="Times New Roman"/>
                <w:sz w:val="22"/>
                <w:szCs w:val="22"/>
              </w:rPr>
              <w:t>47.74</w:t>
            </w:r>
          </w:p>
        </w:tc>
        <w:tc>
          <w:tcPr>
            <w:tcW w:w="0" w:type="auto"/>
            <w:vAlign w:val="center"/>
            <w:hideMark/>
          </w:tcPr>
          <w:p w14:paraId="2AAA570D" w14:textId="77777777" w:rsidR="00937698" w:rsidRPr="00871479" w:rsidRDefault="00937698" w:rsidP="00871479">
            <w:pPr>
              <w:pStyle w:val="NoSpacing"/>
              <w:jc w:val="center"/>
              <w:rPr>
                <w:rFonts w:ascii="Times New Roman" w:hAnsi="Times New Roman" w:cs="Times New Roman"/>
                <w:sz w:val="22"/>
                <w:szCs w:val="22"/>
              </w:rPr>
            </w:pPr>
            <w:r w:rsidRPr="00871479">
              <w:rPr>
                <w:rFonts w:ascii="Times New Roman" w:hAnsi="Times New Roman" w:cs="Times New Roman"/>
                <w:sz w:val="22"/>
                <w:szCs w:val="22"/>
              </w:rPr>
              <w:t>384.41</w:t>
            </w:r>
          </w:p>
        </w:tc>
      </w:tr>
      <w:tr w:rsidR="00937698" w:rsidRPr="00871479" w14:paraId="5EFAC07A" w14:textId="77777777" w:rsidTr="00871479">
        <w:tc>
          <w:tcPr>
            <w:tcW w:w="0" w:type="auto"/>
            <w:hideMark/>
          </w:tcPr>
          <w:p w14:paraId="477CCDC4" w14:textId="77777777" w:rsidR="00937698" w:rsidRPr="00871479" w:rsidRDefault="00937698" w:rsidP="00B77C0B">
            <w:pPr>
              <w:pStyle w:val="NoSpacing"/>
              <w:rPr>
                <w:rFonts w:ascii="Times New Roman" w:hAnsi="Times New Roman" w:cs="Times New Roman"/>
                <w:sz w:val="22"/>
                <w:szCs w:val="22"/>
              </w:rPr>
            </w:pPr>
            <w:r w:rsidRPr="00871479">
              <w:rPr>
                <w:rFonts w:ascii="Times New Roman" w:hAnsi="Times New Roman" w:cs="Times New Roman"/>
                <w:sz w:val="22"/>
                <w:szCs w:val="22"/>
              </w:rPr>
              <w:t>Assam</w:t>
            </w:r>
          </w:p>
        </w:tc>
        <w:tc>
          <w:tcPr>
            <w:tcW w:w="0" w:type="auto"/>
            <w:vAlign w:val="center"/>
            <w:hideMark/>
          </w:tcPr>
          <w:p w14:paraId="19EEC454" w14:textId="77777777" w:rsidR="00937698" w:rsidRPr="00871479" w:rsidRDefault="00937698" w:rsidP="00871479">
            <w:pPr>
              <w:pStyle w:val="NoSpacing"/>
              <w:jc w:val="center"/>
              <w:rPr>
                <w:rFonts w:ascii="Times New Roman" w:hAnsi="Times New Roman" w:cs="Times New Roman"/>
                <w:sz w:val="22"/>
                <w:szCs w:val="22"/>
              </w:rPr>
            </w:pPr>
            <w:r w:rsidRPr="00871479">
              <w:rPr>
                <w:rFonts w:ascii="Times New Roman" w:hAnsi="Times New Roman" w:cs="Times New Roman"/>
                <w:sz w:val="22"/>
                <w:szCs w:val="22"/>
              </w:rPr>
              <w:t>239.93</w:t>
            </w:r>
          </w:p>
        </w:tc>
        <w:tc>
          <w:tcPr>
            <w:tcW w:w="0" w:type="auto"/>
            <w:vAlign w:val="center"/>
            <w:hideMark/>
          </w:tcPr>
          <w:p w14:paraId="77EE821C" w14:textId="77777777" w:rsidR="00937698" w:rsidRPr="00871479" w:rsidRDefault="00937698" w:rsidP="00871479">
            <w:pPr>
              <w:pStyle w:val="NoSpacing"/>
              <w:jc w:val="center"/>
              <w:rPr>
                <w:rFonts w:ascii="Times New Roman" w:hAnsi="Times New Roman" w:cs="Times New Roman"/>
                <w:sz w:val="22"/>
                <w:szCs w:val="22"/>
              </w:rPr>
            </w:pPr>
            <w:r w:rsidRPr="00871479">
              <w:rPr>
                <w:rFonts w:ascii="Times New Roman" w:hAnsi="Times New Roman" w:cs="Times New Roman"/>
                <w:sz w:val="22"/>
                <w:szCs w:val="22"/>
              </w:rPr>
              <w:t>159.45</w:t>
            </w:r>
          </w:p>
        </w:tc>
        <w:tc>
          <w:tcPr>
            <w:tcW w:w="0" w:type="auto"/>
            <w:vAlign w:val="center"/>
            <w:hideMark/>
          </w:tcPr>
          <w:p w14:paraId="140263D6" w14:textId="77777777" w:rsidR="00937698" w:rsidRPr="00871479" w:rsidRDefault="00937698" w:rsidP="00871479">
            <w:pPr>
              <w:pStyle w:val="NoSpacing"/>
              <w:jc w:val="center"/>
              <w:rPr>
                <w:rFonts w:ascii="Times New Roman" w:hAnsi="Times New Roman" w:cs="Times New Roman"/>
                <w:sz w:val="22"/>
                <w:szCs w:val="22"/>
              </w:rPr>
            </w:pPr>
            <w:r w:rsidRPr="00871479">
              <w:rPr>
                <w:rFonts w:ascii="Times New Roman" w:hAnsi="Times New Roman" w:cs="Times New Roman"/>
                <w:sz w:val="22"/>
                <w:szCs w:val="22"/>
              </w:rPr>
              <w:t>64.58</w:t>
            </w:r>
          </w:p>
        </w:tc>
        <w:tc>
          <w:tcPr>
            <w:tcW w:w="0" w:type="auto"/>
            <w:vAlign w:val="center"/>
            <w:hideMark/>
          </w:tcPr>
          <w:p w14:paraId="3ABCBF5E" w14:textId="77777777" w:rsidR="00937698" w:rsidRPr="00871479" w:rsidRDefault="00937698" w:rsidP="00871479">
            <w:pPr>
              <w:pStyle w:val="NoSpacing"/>
              <w:jc w:val="center"/>
              <w:rPr>
                <w:rFonts w:ascii="Times New Roman" w:hAnsi="Times New Roman" w:cs="Times New Roman"/>
                <w:sz w:val="22"/>
                <w:szCs w:val="22"/>
              </w:rPr>
            </w:pPr>
            <w:r w:rsidRPr="00871479">
              <w:rPr>
                <w:rFonts w:ascii="Times New Roman" w:hAnsi="Times New Roman" w:cs="Times New Roman"/>
                <w:sz w:val="22"/>
                <w:szCs w:val="22"/>
              </w:rPr>
              <w:t>31.49</w:t>
            </w:r>
          </w:p>
        </w:tc>
        <w:tc>
          <w:tcPr>
            <w:tcW w:w="0" w:type="auto"/>
            <w:vAlign w:val="center"/>
            <w:hideMark/>
          </w:tcPr>
          <w:p w14:paraId="76063C95" w14:textId="77777777" w:rsidR="00937698" w:rsidRPr="00871479" w:rsidRDefault="00937698" w:rsidP="00871479">
            <w:pPr>
              <w:pStyle w:val="NoSpacing"/>
              <w:jc w:val="center"/>
              <w:rPr>
                <w:rFonts w:ascii="Times New Roman" w:hAnsi="Times New Roman" w:cs="Times New Roman"/>
                <w:sz w:val="22"/>
                <w:szCs w:val="22"/>
              </w:rPr>
            </w:pPr>
            <w:r w:rsidRPr="00871479">
              <w:rPr>
                <w:rFonts w:ascii="Times New Roman" w:hAnsi="Times New Roman" w:cs="Times New Roman"/>
                <w:sz w:val="22"/>
                <w:szCs w:val="22"/>
              </w:rPr>
              <w:t>96.07</w:t>
            </w:r>
          </w:p>
        </w:tc>
        <w:tc>
          <w:tcPr>
            <w:tcW w:w="0" w:type="auto"/>
            <w:vAlign w:val="center"/>
            <w:hideMark/>
          </w:tcPr>
          <w:p w14:paraId="684F0C40" w14:textId="77777777" w:rsidR="00937698" w:rsidRPr="00871479" w:rsidRDefault="00937698" w:rsidP="00871479">
            <w:pPr>
              <w:pStyle w:val="NoSpacing"/>
              <w:jc w:val="center"/>
              <w:rPr>
                <w:rFonts w:ascii="Times New Roman" w:hAnsi="Times New Roman" w:cs="Times New Roman"/>
                <w:sz w:val="22"/>
                <w:szCs w:val="22"/>
              </w:rPr>
            </w:pPr>
            <w:r w:rsidRPr="00871479">
              <w:rPr>
                <w:rFonts w:ascii="Times New Roman" w:hAnsi="Times New Roman" w:cs="Times New Roman"/>
                <w:sz w:val="22"/>
                <w:szCs w:val="22"/>
              </w:rPr>
              <w:t>..</w:t>
            </w:r>
          </w:p>
        </w:tc>
        <w:tc>
          <w:tcPr>
            <w:tcW w:w="0" w:type="auto"/>
            <w:vAlign w:val="center"/>
            <w:hideMark/>
          </w:tcPr>
          <w:p w14:paraId="3B95D149" w14:textId="77777777" w:rsidR="00937698" w:rsidRPr="00871479" w:rsidRDefault="00937698" w:rsidP="00871479">
            <w:pPr>
              <w:pStyle w:val="NoSpacing"/>
              <w:jc w:val="center"/>
              <w:rPr>
                <w:rFonts w:ascii="Times New Roman" w:hAnsi="Times New Roman" w:cs="Times New Roman"/>
                <w:sz w:val="22"/>
                <w:szCs w:val="22"/>
              </w:rPr>
            </w:pPr>
            <w:r w:rsidRPr="00871479">
              <w:rPr>
                <w:rFonts w:ascii="Times New Roman" w:hAnsi="Times New Roman" w:cs="Times New Roman"/>
                <w:sz w:val="22"/>
                <w:szCs w:val="22"/>
              </w:rPr>
              <w:t>4.04</w:t>
            </w:r>
          </w:p>
        </w:tc>
        <w:tc>
          <w:tcPr>
            <w:tcW w:w="0" w:type="auto"/>
            <w:vAlign w:val="center"/>
            <w:hideMark/>
          </w:tcPr>
          <w:p w14:paraId="7D8AB5C8" w14:textId="77777777" w:rsidR="00937698" w:rsidRPr="00871479" w:rsidRDefault="00937698" w:rsidP="00871479">
            <w:pPr>
              <w:pStyle w:val="NoSpacing"/>
              <w:jc w:val="center"/>
              <w:rPr>
                <w:rFonts w:ascii="Times New Roman" w:hAnsi="Times New Roman" w:cs="Times New Roman"/>
                <w:sz w:val="22"/>
                <w:szCs w:val="22"/>
              </w:rPr>
            </w:pPr>
            <w:r w:rsidRPr="00871479">
              <w:rPr>
                <w:rFonts w:ascii="Times New Roman" w:hAnsi="Times New Roman" w:cs="Times New Roman"/>
                <w:sz w:val="22"/>
                <w:szCs w:val="22"/>
              </w:rPr>
              <w:t>13.92</w:t>
            </w:r>
          </w:p>
        </w:tc>
        <w:tc>
          <w:tcPr>
            <w:tcW w:w="0" w:type="auto"/>
            <w:vAlign w:val="center"/>
            <w:hideMark/>
          </w:tcPr>
          <w:p w14:paraId="4D6CB8CF" w14:textId="77777777" w:rsidR="00937698" w:rsidRPr="00871479" w:rsidRDefault="00937698" w:rsidP="00871479">
            <w:pPr>
              <w:pStyle w:val="NoSpacing"/>
              <w:jc w:val="center"/>
              <w:rPr>
                <w:rFonts w:ascii="Times New Roman" w:hAnsi="Times New Roman" w:cs="Times New Roman"/>
                <w:sz w:val="22"/>
                <w:szCs w:val="22"/>
              </w:rPr>
            </w:pPr>
            <w:r w:rsidRPr="00871479">
              <w:rPr>
                <w:rFonts w:ascii="Times New Roman" w:hAnsi="Times New Roman" w:cs="Times New Roman"/>
                <w:sz w:val="22"/>
                <w:szCs w:val="22"/>
              </w:rPr>
              <w:t>17.96</w:t>
            </w:r>
          </w:p>
        </w:tc>
      </w:tr>
      <w:tr w:rsidR="00937698" w:rsidRPr="00871479" w14:paraId="267EC325" w14:textId="77777777" w:rsidTr="00871479">
        <w:tc>
          <w:tcPr>
            <w:tcW w:w="0" w:type="auto"/>
            <w:hideMark/>
          </w:tcPr>
          <w:p w14:paraId="54B6FC02" w14:textId="77777777" w:rsidR="00937698" w:rsidRPr="00871479" w:rsidRDefault="00937698" w:rsidP="00B77C0B">
            <w:pPr>
              <w:pStyle w:val="NoSpacing"/>
              <w:rPr>
                <w:rFonts w:ascii="Times New Roman" w:hAnsi="Times New Roman" w:cs="Times New Roman"/>
                <w:sz w:val="22"/>
                <w:szCs w:val="22"/>
              </w:rPr>
            </w:pPr>
            <w:r w:rsidRPr="00871479">
              <w:rPr>
                <w:rFonts w:ascii="Times New Roman" w:hAnsi="Times New Roman" w:cs="Times New Roman"/>
                <w:sz w:val="22"/>
                <w:szCs w:val="22"/>
              </w:rPr>
              <w:t>Bihar</w:t>
            </w:r>
          </w:p>
        </w:tc>
        <w:tc>
          <w:tcPr>
            <w:tcW w:w="0" w:type="auto"/>
            <w:vAlign w:val="center"/>
            <w:hideMark/>
          </w:tcPr>
          <w:p w14:paraId="0AEEC3F4" w14:textId="77777777" w:rsidR="00937698" w:rsidRPr="00871479" w:rsidRDefault="00937698" w:rsidP="00871479">
            <w:pPr>
              <w:pStyle w:val="NoSpacing"/>
              <w:jc w:val="center"/>
              <w:rPr>
                <w:rFonts w:ascii="Times New Roman" w:hAnsi="Times New Roman" w:cs="Times New Roman"/>
                <w:sz w:val="22"/>
                <w:szCs w:val="22"/>
              </w:rPr>
            </w:pPr>
            <w:r w:rsidRPr="00871479">
              <w:rPr>
                <w:rFonts w:ascii="Times New Roman" w:hAnsi="Times New Roman" w:cs="Times New Roman"/>
                <w:sz w:val="22"/>
                <w:szCs w:val="22"/>
              </w:rPr>
              <w:t>620.47</w:t>
            </w:r>
          </w:p>
        </w:tc>
        <w:tc>
          <w:tcPr>
            <w:tcW w:w="0" w:type="auto"/>
            <w:vAlign w:val="center"/>
            <w:hideMark/>
          </w:tcPr>
          <w:p w14:paraId="04E01859" w14:textId="77777777" w:rsidR="00937698" w:rsidRPr="00871479" w:rsidRDefault="00937698" w:rsidP="00871479">
            <w:pPr>
              <w:pStyle w:val="NoSpacing"/>
              <w:jc w:val="center"/>
              <w:rPr>
                <w:rFonts w:ascii="Times New Roman" w:hAnsi="Times New Roman" w:cs="Times New Roman"/>
                <w:sz w:val="22"/>
                <w:szCs w:val="22"/>
              </w:rPr>
            </w:pPr>
            <w:r w:rsidRPr="00871479">
              <w:rPr>
                <w:rFonts w:ascii="Times New Roman" w:hAnsi="Times New Roman" w:cs="Times New Roman"/>
                <w:sz w:val="22"/>
                <w:szCs w:val="22"/>
              </w:rPr>
              <w:t>110.83</w:t>
            </w:r>
          </w:p>
        </w:tc>
        <w:tc>
          <w:tcPr>
            <w:tcW w:w="0" w:type="auto"/>
            <w:vAlign w:val="center"/>
            <w:hideMark/>
          </w:tcPr>
          <w:p w14:paraId="2412C45B" w14:textId="77777777" w:rsidR="00937698" w:rsidRPr="00871479" w:rsidRDefault="00937698" w:rsidP="00871479">
            <w:pPr>
              <w:pStyle w:val="NoSpacing"/>
              <w:jc w:val="center"/>
              <w:rPr>
                <w:rFonts w:ascii="Times New Roman" w:hAnsi="Times New Roman" w:cs="Times New Roman"/>
                <w:sz w:val="22"/>
                <w:szCs w:val="22"/>
              </w:rPr>
            </w:pPr>
            <w:r w:rsidRPr="00871479">
              <w:rPr>
                <w:rFonts w:ascii="Times New Roman" w:hAnsi="Times New Roman" w:cs="Times New Roman"/>
                <w:sz w:val="22"/>
                <w:szCs w:val="22"/>
              </w:rPr>
              <w:t>140.74</w:t>
            </w:r>
          </w:p>
        </w:tc>
        <w:tc>
          <w:tcPr>
            <w:tcW w:w="0" w:type="auto"/>
            <w:vAlign w:val="center"/>
            <w:hideMark/>
          </w:tcPr>
          <w:p w14:paraId="7F03AF78" w14:textId="77777777" w:rsidR="00937698" w:rsidRPr="00871479" w:rsidRDefault="00937698" w:rsidP="00871479">
            <w:pPr>
              <w:pStyle w:val="NoSpacing"/>
              <w:jc w:val="center"/>
              <w:rPr>
                <w:rFonts w:ascii="Times New Roman" w:hAnsi="Times New Roman" w:cs="Times New Roman"/>
                <w:sz w:val="22"/>
                <w:szCs w:val="22"/>
              </w:rPr>
            </w:pPr>
            <w:r w:rsidRPr="00871479">
              <w:rPr>
                <w:rFonts w:ascii="Times New Roman" w:hAnsi="Times New Roman" w:cs="Times New Roman"/>
                <w:sz w:val="22"/>
                <w:szCs w:val="22"/>
              </w:rPr>
              <w:t>71.52</w:t>
            </w:r>
          </w:p>
        </w:tc>
        <w:tc>
          <w:tcPr>
            <w:tcW w:w="0" w:type="auto"/>
            <w:vAlign w:val="center"/>
            <w:hideMark/>
          </w:tcPr>
          <w:p w14:paraId="4B6F9BAF" w14:textId="77777777" w:rsidR="00937698" w:rsidRPr="00871479" w:rsidRDefault="00937698" w:rsidP="00871479">
            <w:pPr>
              <w:pStyle w:val="NoSpacing"/>
              <w:jc w:val="center"/>
              <w:rPr>
                <w:rFonts w:ascii="Times New Roman" w:hAnsi="Times New Roman" w:cs="Times New Roman"/>
                <w:sz w:val="22"/>
                <w:szCs w:val="22"/>
              </w:rPr>
            </w:pPr>
            <w:r w:rsidRPr="00871479">
              <w:rPr>
                <w:rFonts w:ascii="Times New Roman" w:hAnsi="Times New Roman" w:cs="Times New Roman"/>
                <w:sz w:val="22"/>
                <w:szCs w:val="22"/>
              </w:rPr>
              <w:t>212.26</w:t>
            </w:r>
          </w:p>
        </w:tc>
        <w:tc>
          <w:tcPr>
            <w:tcW w:w="0" w:type="auto"/>
            <w:vAlign w:val="center"/>
            <w:hideMark/>
          </w:tcPr>
          <w:p w14:paraId="13B4639D" w14:textId="77777777" w:rsidR="00937698" w:rsidRPr="00871479" w:rsidRDefault="00937698" w:rsidP="00871479">
            <w:pPr>
              <w:pStyle w:val="NoSpacing"/>
              <w:jc w:val="center"/>
              <w:rPr>
                <w:rFonts w:ascii="Times New Roman" w:hAnsi="Times New Roman" w:cs="Times New Roman"/>
                <w:sz w:val="22"/>
                <w:szCs w:val="22"/>
              </w:rPr>
            </w:pPr>
            <w:r w:rsidRPr="00871479">
              <w:rPr>
                <w:rFonts w:ascii="Times New Roman" w:hAnsi="Times New Roman" w:cs="Times New Roman"/>
                <w:sz w:val="22"/>
                <w:szCs w:val="22"/>
              </w:rPr>
              <w:t>243.50</w:t>
            </w:r>
          </w:p>
        </w:tc>
        <w:tc>
          <w:tcPr>
            <w:tcW w:w="0" w:type="auto"/>
            <w:vAlign w:val="center"/>
            <w:hideMark/>
          </w:tcPr>
          <w:p w14:paraId="0A5E4C1D" w14:textId="77777777" w:rsidR="00937698" w:rsidRPr="00871479" w:rsidRDefault="00937698" w:rsidP="00871479">
            <w:pPr>
              <w:pStyle w:val="NoSpacing"/>
              <w:jc w:val="center"/>
              <w:rPr>
                <w:rFonts w:ascii="Times New Roman" w:hAnsi="Times New Roman" w:cs="Times New Roman"/>
                <w:sz w:val="22"/>
                <w:szCs w:val="22"/>
              </w:rPr>
            </w:pPr>
            <w:r w:rsidRPr="00871479">
              <w:rPr>
                <w:rFonts w:ascii="Times New Roman" w:hAnsi="Times New Roman" w:cs="Times New Roman"/>
                <w:sz w:val="22"/>
                <w:szCs w:val="22"/>
              </w:rPr>
              <w:t>21.44</w:t>
            </w:r>
          </w:p>
        </w:tc>
        <w:tc>
          <w:tcPr>
            <w:tcW w:w="0" w:type="auto"/>
            <w:vAlign w:val="center"/>
            <w:hideMark/>
          </w:tcPr>
          <w:p w14:paraId="5E9AB259" w14:textId="77777777" w:rsidR="00937698" w:rsidRPr="00871479" w:rsidRDefault="00937698" w:rsidP="00871479">
            <w:pPr>
              <w:pStyle w:val="NoSpacing"/>
              <w:jc w:val="center"/>
              <w:rPr>
                <w:rFonts w:ascii="Times New Roman" w:hAnsi="Times New Roman" w:cs="Times New Roman"/>
                <w:sz w:val="22"/>
                <w:szCs w:val="22"/>
              </w:rPr>
            </w:pPr>
            <w:r w:rsidRPr="00871479">
              <w:rPr>
                <w:rFonts w:ascii="Times New Roman" w:hAnsi="Times New Roman" w:cs="Times New Roman"/>
                <w:sz w:val="22"/>
                <w:szCs w:val="22"/>
              </w:rPr>
              <w:t>14.67</w:t>
            </w:r>
          </w:p>
        </w:tc>
        <w:tc>
          <w:tcPr>
            <w:tcW w:w="0" w:type="auto"/>
            <w:vAlign w:val="center"/>
            <w:hideMark/>
          </w:tcPr>
          <w:p w14:paraId="6FB8FAEA" w14:textId="77777777" w:rsidR="00937698" w:rsidRPr="00871479" w:rsidRDefault="00937698" w:rsidP="00871479">
            <w:pPr>
              <w:pStyle w:val="NoSpacing"/>
              <w:jc w:val="center"/>
              <w:rPr>
                <w:rFonts w:ascii="Times New Roman" w:hAnsi="Times New Roman" w:cs="Times New Roman"/>
                <w:sz w:val="22"/>
                <w:szCs w:val="22"/>
              </w:rPr>
            </w:pPr>
            <w:r w:rsidRPr="00871479">
              <w:rPr>
                <w:rFonts w:ascii="Times New Roman" w:hAnsi="Times New Roman" w:cs="Times New Roman"/>
                <w:sz w:val="22"/>
                <w:szCs w:val="22"/>
              </w:rPr>
              <w:t>279.61</w:t>
            </w:r>
          </w:p>
        </w:tc>
      </w:tr>
      <w:tr w:rsidR="00937698" w:rsidRPr="00871479" w14:paraId="36F01E73" w14:textId="77777777" w:rsidTr="00871479">
        <w:tc>
          <w:tcPr>
            <w:tcW w:w="0" w:type="auto"/>
            <w:hideMark/>
          </w:tcPr>
          <w:p w14:paraId="681117B7" w14:textId="77777777" w:rsidR="00937698" w:rsidRPr="00871479" w:rsidRDefault="00937698" w:rsidP="00B77C0B">
            <w:pPr>
              <w:pStyle w:val="NoSpacing"/>
              <w:rPr>
                <w:rFonts w:ascii="Times New Roman" w:hAnsi="Times New Roman" w:cs="Times New Roman"/>
                <w:sz w:val="22"/>
                <w:szCs w:val="22"/>
              </w:rPr>
            </w:pPr>
            <w:r w:rsidRPr="00871479">
              <w:rPr>
                <w:rFonts w:ascii="Times New Roman" w:hAnsi="Times New Roman" w:cs="Times New Roman"/>
                <w:sz w:val="22"/>
                <w:szCs w:val="22"/>
              </w:rPr>
              <w:t>Gujarat</w:t>
            </w:r>
          </w:p>
        </w:tc>
        <w:tc>
          <w:tcPr>
            <w:tcW w:w="0" w:type="auto"/>
            <w:vAlign w:val="center"/>
            <w:hideMark/>
          </w:tcPr>
          <w:p w14:paraId="72C7A6F0" w14:textId="77777777" w:rsidR="00937698" w:rsidRPr="00871479" w:rsidRDefault="00937698" w:rsidP="00871479">
            <w:pPr>
              <w:pStyle w:val="NoSpacing"/>
              <w:jc w:val="center"/>
              <w:rPr>
                <w:rFonts w:ascii="Times New Roman" w:hAnsi="Times New Roman" w:cs="Times New Roman"/>
                <w:sz w:val="22"/>
                <w:szCs w:val="22"/>
              </w:rPr>
            </w:pPr>
            <w:r w:rsidRPr="00871479">
              <w:rPr>
                <w:rFonts w:ascii="Times New Roman" w:hAnsi="Times New Roman" w:cs="Times New Roman"/>
                <w:sz w:val="22"/>
                <w:szCs w:val="22"/>
              </w:rPr>
              <w:t>306.64</w:t>
            </w:r>
          </w:p>
        </w:tc>
        <w:tc>
          <w:tcPr>
            <w:tcW w:w="0" w:type="auto"/>
            <w:vAlign w:val="center"/>
            <w:hideMark/>
          </w:tcPr>
          <w:p w14:paraId="705C2EC2" w14:textId="77777777" w:rsidR="00937698" w:rsidRPr="00871479" w:rsidRDefault="00937698" w:rsidP="00871479">
            <w:pPr>
              <w:pStyle w:val="NoSpacing"/>
              <w:jc w:val="center"/>
              <w:rPr>
                <w:rFonts w:ascii="Times New Roman" w:hAnsi="Times New Roman" w:cs="Times New Roman"/>
                <w:sz w:val="22"/>
                <w:szCs w:val="22"/>
              </w:rPr>
            </w:pPr>
            <w:r w:rsidRPr="00871479">
              <w:rPr>
                <w:rFonts w:ascii="Times New Roman" w:hAnsi="Times New Roman" w:cs="Times New Roman"/>
                <w:sz w:val="22"/>
                <w:szCs w:val="22"/>
              </w:rPr>
              <w:t>119.53</w:t>
            </w:r>
          </w:p>
        </w:tc>
        <w:tc>
          <w:tcPr>
            <w:tcW w:w="0" w:type="auto"/>
            <w:vAlign w:val="center"/>
            <w:hideMark/>
          </w:tcPr>
          <w:p w14:paraId="1B7AC622" w14:textId="77777777" w:rsidR="00937698" w:rsidRPr="00871479" w:rsidRDefault="00937698" w:rsidP="00871479">
            <w:pPr>
              <w:pStyle w:val="NoSpacing"/>
              <w:jc w:val="center"/>
              <w:rPr>
                <w:rFonts w:ascii="Times New Roman" w:hAnsi="Times New Roman" w:cs="Times New Roman"/>
                <w:sz w:val="22"/>
                <w:szCs w:val="22"/>
              </w:rPr>
            </w:pPr>
            <w:r w:rsidRPr="00871479">
              <w:rPr>
                <w:rFonts w:ascii="Times New Roman" w:hAnsi="Times New Roman" w:cs="Times New Roman"/>
                <w:sz w:val="22"/>
                <w:szCs w:val="22"/>
              </w:rPr>
              <w:t>73.18</w:t>
            </w:r>
          </w:p>
        </w:tc>
        <w:tc>
          <w:tcPr>
            <w:tcW w:w="0" w:type="auto"/>
            <w:vAlign w:val="center"/>
            <w:hideMark/>
          </w:tcPr>
          <w:p w14:paraId="500FD15B" w14:textId="77777777" w:rsidR="00937698" w:rsidRPr="00871479" w:rsidRDefault="00937698" w:rsidP="00871479">
            <w:pPr>
              <w:pStyle w:val="NoSpacing"/>
              <w:jc w:val="center"/>
              <w:rPr>
                <w:rFonts w:ascii="Times New Roman" w:hAnsi="Times New Roman" w:cs="Times New Roman"/>
                <w:sz w:val="22"/>
                <w:szCs w:val="22"/>
              </w:rPr>
            </w:pPr>
            <w:r w:rsidRPr="00871479">
              <w:rPr>
                <w:rFonts w:ascii="Times New Roman" w:hAnsi="Times New Roman" w:cs="Times New Roman"/>
                <w:sz w:val="22"/>
                <w:szCs w:val="22"/>
              </w:rPr>
              <w:t>59.15</w:t>
            </w:r>
          </w:p>
        </w:tc>
        <w:tc>
          <w:tcPr>
            <w:tcW w:w="0" w:type="auto"/>
            <w:vAlign w:val="center"/>
            <w:hideMark/>
          </w:tcPr>
          <w:p w14:paraId="09DF6315" w14:textId="77777777" w:rsidR="00937698" w:rsidRPr="00871479" w:rsidRDefault="00937698" w:rsidP="00871479">
            <w:pPr>
              <w:pStyle w:val="NoSpacing"/>
              <w:jc w:val="center"/>
              <w:rPr>
                <w:rFonts w:ascii="Times New Roman" w:hAnsi="Times New Roman" w:cs="Times New Roman"/>
                <w:sz w:val="22"/>
                <w:szCs w:val="22"/>
              </w:rPr>
            </w:pPr>
            <w:r w:rsidRPr="00871479">
              <w:rPr>
                <w:rFonts w:ascii="Times New Roman" w:hAnsi="Times New Roman" w:cs="Times New Roman"/>
                <w:sz w:val="22"/>
                <w:szCs w:val="22"/>
              </w:rPr>
              <w:t>132.33</w:t>
            </w:r>
          </w:p>
        </w:tc>
        <w:tc>
          <w:tcPr>
            <w:tcW w:w="0" w:type="auto"/>
            <w:vAlign w:val="center"/>
            <w:hideMark/>
          </w:tcPr>
          <w:p w14:paraId="59E8D9FE" w14:textId="77777777" w:rsidR="00937698" w:rsidRPr="00871479" w:rsidRDefault="00937698" w:rsidP="00871479">
            <w:pPr>
              <w:pStyle w:val="NoSpacing"/>
              <w:jc w:val="center"/>
              <w:rPr>
                <w:rFonts w:ascii="Times New Roman" w:hAnsi="Times New Roman" w:cs="Times New Roman"/>
                <w:sz w:val="22"/>
                <w:szCs w:val="22"/>
              </w:rPr>
            </w:pPr>
            <w:r w:rsidRPr="00871479">
              <w:rPr>
                <w:rFonts w:ascii="Times New Roman" w:hAnsi="Times New Roman" w:cs="Times New Roman"/>
                <w:sz w:val="22"/>
                <w:szCs w:val="22"/>
              </w:rPr>
              <w:t>141.52</w:t>
            </w:r>
          </w:p>
        </w:tc>
        <w:tc>
          <w:tcPr>
            <w:tcW w:w="0" w:type="auto"/>
            <w:vAlign w:val="center"/>
            <w:hideMark/>
          </w:tcPr>
          <w:p w14:paraId="54FFDC69" w14:textId="77777777" w:rsidR="00937698" w:rsidRPr="00871479" w:rsidRDefault="00937698" w:rsidP="00871479">
            <w:pPr>
              <w:pStyle w:val="NoSpacing"/>
              <w:jc w:val="center"/>
              <w:rPr>
                <w:rFonts w:ascii="Times New Roman" w:hAnsi="Times New Roman" w:cs="Times New Roman"/>
                <w:sz w:val="22"/>
                <w:szCs w:val="22"/>
              </w:rPr>
            </w:pPr>
            <w:r w:rsidRPr="00871479">
              <w:rPr>
                <w:rFonts w:ascii="Times New Roman" w:hAnsi="Times New Roman" w:cs="Times New Roman"/>
                <w:sz w:val="22"/>
                <w:szCs w:val="22"/>
              </w:rPr>
              <w:t>0.76</w:t>
            </w:r>
          </w:p>
        </w:tc>
        <w:tc>
          <w:tcPr>
            <w:tcW w:w="0" w:type="auto"/>
            <w:vAlign w:val="center"/>
            <w:hideMark/>
          </w:tcPr>
          <w:p w14:paraId="76B77AA3" w14:textId="77777777" w:rsidR="00937698" w:rsidRPr="00871479" w:rsidRDefault="00937698" w:rsidP="00871479">
            <w:pPr>
              <w:pStyle w:val="NoSpacing"/>
              <w:jc w:val="center"/>
              <w:rPr>
                <w:rFonts w:ascii="Times New Roman" w:hAnsi="Times New Roman" w:cs="Times New Roman"/>
                <w:sz w:val="22"/>
                <w:szCs w:val="22"/>
              </w:rPr>
            </w:pPr>
            <w:r w:rsidRPr="00871479">
              <w:rPr>
                <w:rFonts w:ascii="Times New Roman" w:hAnsi="Times New Roman" w:cs="Times New Roman"/>
                <w:sz w:val="22"/>
                <w:szCs w:val="22"/>
              </w:rPr>
              <w:t>36.51</w:t>
            </w:r>
          </w:p>
        </w:tc>
        <w:tc>
          <w:tcPr>
            <w:tcW w:w="0" w:type="auto"/>
            <w:vAlign w:val="center"/>
            <w:hideMark/>
          </w:tcPr>
          <w:p w14:paraId="77E8BEE4" w14:textId="77777777" w:rsidR="00937698" w:rsidRPr="00871479" w:rsidRDefault="00937698" w:rsidP="00871479">
            <w:pPr>
              <w:pStyle w:val="NoSpacing"/>
              <w:jc w:val="center"/>
              <w:rPr>
                <w:rFonts w:ascii="Times New Roman" w:hAnsi="Times New Roman" w:cs="Times New Roman"/>
                <w:sz w:val="22"/>
                <w:szCs w:val="22"/>
              </w:rPr>
            </w:pPr>
            <w:r w:rsidRPr="00871479">
              <w:rPr>
                <w:rFonts w:ascii="Times New Roman" w:hAnsi="Times New Roman" w:cs="Times New Roman"/>
                <w:sz w:val="22"/>
                <w:szCs w:val="22"/>
              </w:rPr>
              <w:t>178.79</w:t>
            </w:r>
          </w:p>
        </w:tc>
      </w:tr>
      <w:tr w:rsidR="00937698" w:rsidRPr="00871479" w14:paraId="38E393D5" w14:textId="77777777" w:rsidTr="00871479">
        <w:tc>
          <w:tcPr>
            <w:tcW w:w="0" w:type="auto"/>
            <w:hideMark/>
          </w:tcPr>
          <w:p w14:paraId="34CCF1BA" w14:textId="77777777" w:rsidR="00937698" w:rsidRPr="00871479" w:rsidRDefault="00937698" w:rsidP="00B77C0B">
            <w:pPr>
              <w:pStyle w:val="NoSpacing"/>
              <w:rPr>
                <w:rFonts w:ascii="Times New Roman" w:hAnsi="Times New Roman" w:cs="Times New Roman"/>
                <w:sz w:val="22"/>
                <w:szCs w:val="22"/>
              </w:rPr>
            </w:pPr>
            <w:r w:rsidRPr="00871479">
              <w:rPr>
                <w:rFonts w:ascii="Times New Roman" w:hAnsi="Times New Roman" w:cs="Times New Roman"/>
                <w:sz w:val="22"/>
                <w:szCs w:val="22"/>
              </w:rPr>
              <w:t>Haryana</w:t>
            </w:r>
          </w:p>
        </w:tc>
        <w:tc>
          <w:tcPr>
            <w:tcW w:w="0" w:type="auto"/>
            <w:vAlign w:val="center"/>
            <w:hideMark/>
          </w:tcPr>
          <w:p w14:paraId="35623F24" w14:textId="77777777" w:rsidR="00937698" w:rsidRPr="00871479" w:rsidRDefault="00937698" w:rsidP="00871479">
            <w:pPr>
              <w:pStyle w:val="NoSpacing"/>
              <w:jc w:val="center"/>
              <w:rPr>
                <w:rFonts w:ascii="Times New Roman" w:hAnsi="Times New Roman" w:cs="Times New Roman"/>
                <w:sz w:val="22"/>
                <w:szCs w:val="22"/>
              </w:rPr>
            </w:pPr>
            <w:r w:rsidRPr="00871479">
              <w:rPr>
                <w:rFonts w:ascii="Times New Roman" w:hAnsi="Times New Roman" w:cs="Times New Roman"/>
                <w:sz w:val="22"/>
                <w:szCs w:val="22"/>
              </w:rPr>
              <w:t>159.71</w:t>
            </w:r>
          </w:p>
        </w:tc>
        <w:tc>
          <w:tcPr>
            <w:tcW w:w="0" w:type="auto"/>
            <w:vAlign w:val="center"/>
            <w:hideMark/>
          </w:tcPr>
          <w:p w14:paraId="151D285D" w14:textId="77777777" w:rsidR="00937698" w:rsidRPr="00871479" w:rsidRDefault="00937698" w:rsidP="00871479">
            <w:pPr>
              <w:pStyle w:val="NoSpacing"/>
              <w:jc w:val="center"/>
              <w:rPr>
                <w:rFonts w:ascii="Times New Roman" w:hAnsi="Times New Roman" w:cs="Times New Roman"/>
                <w:sz w:val="22"/>
                <w:szCs w:val="22"/>
              </w:rPr>
            </w:pPr>
            <w:r w:rsidRPr="00871479">
              <w:rPr>
                <w:rFonts w:ascii="Times New Roman" w:hAnsi="Times New Roman" w:cs="Times New Roman"/>
                <w:sz w:val="22"/>
                <w:szCs w:val="22"/>
              </w:rPr>
              <w:t>164.73</w:t>
            </w:r>
          </w:p>
        </w:tc>
        <w:tc>
          <w:tcPr>
            <w:tcW w:w="0" w:type="auto"/>
            <w:vAlign w:val="center"/>
            <w:hideMark/>
          </w:tcPr>
          <w:p w14:paraId="1AA23AEC" w14:textId="77777777" w:rsidR="00937698" w:rsidRPr="00871479" w:rsidRDefault="00937698" w:rsidP="00871479">
            <w:pPr>
              <w:pStyle w:val="NoSpacing"/>
              <w:jc w:val="center"/>
              <w:rPr>
                <w:rFonts w:ascii="Times New Roman" w:hAnsi="Times New Roman" w:cs="Times New Roman"/>
                <w:sz w:val="22"/>
                <w:szCs w:val="22"/>
              </w:rPr>
            </w:pPr>
            <w:r w:rsidRPr="00871479">
              <w:rPr>
                <w:rFonts w:ascii="Times New Roman" w:hAnsi="Times New Roman" w:cs="Times New Roman"/>
                <w:sz w:val="22"/>
                <w:szCs w:val="22"/>
              </w:rPr>
              <w:t>18.01</w:t>
            </w:r>
          </w:p>
        </w:tc>
        <w:tc>
          <w:tcPr>
            <w:tcW w:w="0" w:type="auto"/>
            <w:vAlign w:val="center"/>
            <w:hideMark/>
          </w:tcPr>
          <w:p w14:paraId="5CBB3FFB" w14:textId="77777777" w:rsidR="00937698" w:rsidRPr="00871479" w:rsidRDefault="00937698" w:rsidP="00871479">
            <w:pPr>
              <w:pStyle w:val="NoSpacing"/>
              <w:jc w:val="center"/>
              <w:rPr>
                <w:rFonts w:ascii="Times New Roman" w:hAnsi="Times New Roman" w:cs="Times New Roman"/>
                <w:sz w:val="22"/>
                <w:szCs w:val="22"/>
              </w:rPr>
            </w:pPr>
            <w:r w:rsidRPr="00871479">
              <w:rPr>
                <w:rFonts w:ascii="Times New Roman" w:hAnsi="Times New Roman" w:cs="Times New Roman"/>
                <w:sz w:val="22"/>
                <w:szCs w:val="22"/>
              </w:rPr>
              <w:t>19.83</w:t>
            </w:r>
          </w:p>
        </w:tc>
        <w:tc>
          <w:tcPr>
            <w:tcW w:w="0" w:type="auto"/>
            <w:vAlign w:val="center"/>
            <w:hideMark/>
          </w:tcPr>
          <w:p w14:paraId="16926EA1" w14:textId="77777777" w:rsidR="00937698" w:rsidRPr="00871479" w:rsidRDefault="00937698" w:rsidP="00871479">
            <w:pPr>
              <w:pStyle w:val="NoSpacing"/>
              <w:jc w:val="center"/>
              <w:rPr>
                <w:rFonts w:ascii="Times New Roman" w:hAnsi="Times New Roman" w:cs="Times New Roman"/>
                <w:sz w:val="22"/>
                <w:szCs w:val="22"/>
              </w:rPr>
            </w:pPr>
            <w:r w:rsidRPr="00871479">
              <w:rPr>
                <w:rFonts w:ascii="Times New Roman" w:hAnsi="Times New Roman" w:cs="Times New Roman"/>
                <w:sz w:val="22"/>
                <w:szCs w:val="22"/>
              </w:rPr>
              <w:t>37.84</w:t>
            </w:r>
          </w:p>
        </w:tc>
        <w:tc>
          <w:tcPr>
            <w:tcW w:w="0" w:type="auto"/>
            <w:vAlign w:val="center"/>
            <w:hideMark/>
          </w:tcPr>
          <w:p w14:paraId="0AAAE64A" w14:textId="77777777" w:rsidR="00937698" w:rsidRPr="00871479" w:rsidRDefault="00937698" w:rsidP="00871479">
            <w:pPr>
              <w:pStyle w:val="NoSpacing"/>
              <w:jc w:val="center"/>
              <w:rPr>
                <w:rFonts w:ascii="Times New Roman" w:hAnsi="Times New Roman" w:cs="Times New Roman"/>
                <w:sz w:val="22"/>
                <w:szCs w:val="22"/>
              </w:rPr>
            </w:pPr>
            <w:r w:rsidRPr="00871479">
              <w:rPr>
                <w:rFonts w:ascii="Times New Roman" w:hAnsi="Times New Roman" w:cs="Times New Roman"/>
                <w:sz w:val="22"/>
                <w:szCs w:val="22"/>
              </w:rPr>
              <w:t>26.85</w:t>
            </w:r>
          </w:p>
        </w:tc>
        <w:tc>
          <w:tcPr>
            <w:tcW w:w="0" w:type="auto"/>
            <w:vAlign w:val="center"/>
            <w:hideMark/>
          </w:tcPr>
          <w:p w14:paraId="59516984" w14:textId="77777777" w:rsidR="00937698" w:rsidRPr="00871479" w:rsidRDefault="00937698" w:rsidP="00871479">
            <w:pPr>
              <w:pStyle w:val="NoSpacing"/>
              <w:jc w:val="center"/>
              <w:rPr>
                <w:rFonts w:ascii="Times New Roman" w:hAnsi="Times New Roman" w:cs="Times New Roman"/>
                <w:sz w:val="22"/>
                <w:szCs w:val="22"/>
              </w:rPr>
            </w:pPr>
            <w:r w:rsidRPr="00871479">
              <w:rPr>
                <w:rFonts w:ascii="Times New Roman" w:hAnsi="Times New Roman" w:cs="Times New Roman"/>
                <w:sz w:val="22"/>
                <w:szCs w:val="22"/>
              </w:rPr>
              <w:t>4.23</w:t>
            </w:r>
          </w:p>
        </w:tc>
        <w:tc>
          <w:tcPr>
            <w:tcW w:w="0" w:type="auto"/>
            <w:vAlign w:val="center"/>
            <w:hideMark/>
          </w:tcPr>
          <w:p w14:paraId="2349D57B" w14:textId="77777777" w:rsidR="00937698" w:rsidRPr="00871479" w:rsidRDefault="00937698" w:rsidP="00871479">
            <w:pPr>
              <w:pStyle w:val="NoSpacing"/>
              <w:jc w:val="center"/>
              <w:rPr>
                <w:rFonts w:ascii="Times New Roman" w:hAnsi="Times New Roman" w:cs="Times New Roman"/>
                <w:sz w:val="22"/>
                <w:szCs w:val="22"/>
              </w:rPr>
            </w:pPr>
            <w:r w:rsidRPr="00871479">
              <w:rPr>
                <w:rFonts w:ascii="Times New Roman" w:hAnsi="Times New Roman" w:cs="Times New Roman"/>
                <w:sz w:val="22"/>
                <w:szCs w:val="22"/>
              </w:rPr>
              <w:t>6.01</w:t>
            </w:r>
          </w:p>
        </w:tc>
        <w:tc>
          <w:tcPr>
            <w:tcW w:w="0" w:type="auto"/>
            <w:vAlign w:val="center"/>
            <w:hideMark/>
          </w:tcPr>
          <w:p w14:paraId="628F9211" w14:textId="77777777" w:rsidR="00937698" w:rsidRPr="00871479" w:rsidRDefault="00937698" w:rsidP="00871479">
            <w:pPr>
              <w:pStyle w:val="NoSpacing"/>
              <w:jc w:val="center"/>
              <w:rPr>
                <w:rFonts w:ascii="Times New Roman" w:hAnsi="Times New Roman" w:cs="Times New Roman"/>
                <w:sz w:val="22"/>
                <w:szCs w:val="22"/>
              </w:rPr>
            </w:pPr>
            <w:r w:rsidRPr="00871479">
              <w:rPr>
                <w:rFonts w:ascii="Times New Roman" w:hAnsi="Times New Roman" w:cs="Times New Roman"/>
                <w:sz w:val="22"/>
                <w:szCs w:val="22"/>
              </w:rPr>
              <w:t>37.09</w:t>
            </w:r>
          </w:p>
        </w:tc>
      </w:tr>
      <w:tr w:rsidR="00937698" w:rsidRPr="00871479" w14:paraId="5946BF6E" w14:textId="77777777" w:rsidTr="00871479">
        <w:tc>
          <w:tcPr>
            <w:tcW w:w="0" w:type="auto"/>
            <w:hideMark/>
          </w:tcPr>
          <w:p w14:paraId="0DAB1D50" w14:textId="77777777" w:rsidR="00937698" w:rsidRPr="00871479" w:rsidRDefault="00937698" w:rsidP="00B77C0B">
            <w:pPr>
              <w:pStyle w:val="NoSpacing"/>
              <w:rPr>
                <w:rFonts w:ascii="Times New Roman" w:hAnsi="Times New Roman" w:cs="Times New Roman"/>
                <w:sz w:val="22"/>
                <w:szCs w:val="22"/>
              </w:rPr>
            </w:pPr>
            <w:r w:rsidRPr="00871479">
              <w:rPr>
                <w:rFonts w:ascii="Times New Roman" w:hAnsi="Times New Roman" w:cs="Times New Roman"/>
                <w:sz w:val="22"/>
                <w:szCs w:val="22"/>
              </w:rPr>
              <w:t>Jammu and Kashmir</w:t>
            </w:r>
          </w:p>
        </w:tc>
        <w:tc>
          <w:tcPr>
            <w:tcW w:w="0" w:type="auto"/>
            <w:vAlign w:val="center"/>
            <w:hideMark/>
          </w:tcPr>
          <w:p w14:paraId="78902BC0" w14:textId="77777777" w:rsidR="00937698" w:rsidRPr="00871479" w:rsidRDefault="00937698" w:rsidP="00871479">
            <w:pPr>
              <w:pStyle w:val="NoSpacing"/>
              <w:jc w:val="center"/>
              <w:rPr>
                <w:rFonts w:ascii="Times New Roman" w:hAnsi="Times New Roman" w:cs="Times New Roman"/>
                <w:sz w:val="22"/>
                <w:szCs w:val="22"/>
              </w:rPr>
            </w:pPr>
            <w:r w:rsidRPr="00871479">
              <w:rPr>
                <w:rFonts w:ascii="Times New Roman" w:hAnsi="Times New Roman" w:cs="Times New Roman"/>
                <w:sz w:val="22"/>
                <w:szCs w:val="22"/>
              </w:rPr>
              <w:t>152.49</w:t>
            </w:r>
          </w:p>
        </w:tc>
        <w:tc>
          <w:tcPr>
            <w:tcW w:w="0" w:type="auto"/>
            <w:vAlign w:val="center"/>
            <w:hideMark/>
          </w:tcPr>
          <w:p w14:paraId="4DEB4C9A" w14:textId="77777777" w:rsidR="00937698" w:rsidRPr="00871479" w:rsidRDefault="00937698" w:rsidP="00871479">
            <w:pPr>
              <w:pStyle w:val="NoSpacing"/>
              <w:jc w:val="center"/>
              <w:rPr>
                <w:rFonts w:ascii="Times New Roman" w:hAnsi="Times New Roman" w:cs="Times New Roman"/>
                <w:sz w:val="22"/>
                <w:szCs w:val="22"/>
              </w:rPr>
            </w:pPr>
            <w:r w:rsidRPr="00871479">
              <w:rPr>
                <w:rFonts w:ascii="Times New Roman" w:hAnsi="Times New Roman" w:cs="Times New Roman"/>
                <w:sz w:val="22"/>
                <w:szCs w:val="22"/>
              </w:rPr>
              <w:t>383.53</w:t>
            </w:r>
          </w:p>
        </w:tc>
        <w:tc>
          <w:tcPr>
            <w:tcW w:w="0" w:type="auto"/>
            <w:vAlign w:val="center"/>
            <w:hideMark/>
          </w:tcPr>
          <w:p w14:paraId="56E6807E" w14:textId="77777777" w:rsidR="00937698" w:rsidRPr="00871479" w:rsidRDefault="00937698" w:rsidP="00871479">
            <w:pPr>
              <w:pStyle w:val="NoSpacing"/>
              <w:jc w:val="center"/>
              <w:rPr>
                <w:rFonts w:ascii="Times New Roman" w:hAnsi="Times New Roman" w:cs="Times New Roman"/>
                <w:sz w:val="22"/>
                <w:szCs w:val="22"/>
              </w:rPr>
            </w:pPr>
            <w:r w:rsidRPr="00871479">
              <w:rPr>
                <w:rFonts w:ascii="Times New Roman" w:hAnsi="Times New Roman" w:cs="Times New Roman"/>
                <w:sz w:val="22"/>
                <w:szCs w:val="22"/>
              </w:rPr>
              <w:t>..</w:t>
            </w:r>
          </w:p>
        </w:tc>
        <w:tc>
          <w:tcPr>
            <w:tcW w:w="0" w:type="auto"/>
            <w:vAlign w:val="center"/>
            <w:hideMark/>
          </w:tcPr>
          <w:p w14:paraId="63DC45BA" w14:textId="77777777" w:rsidR="00937698" w:rsidRPr="00871479" w:rsidRDefault="00937698" w:rsidP="00871479">
            <w:pPr>
              <w:pStyle w:val="NoSpacing"/>
              <w:jc w:val="center"/>
              <w:rPr>
                <w:rFonts w:ascii="Times New Roman" w:hAnsi="Times New Roman" w:cs="Times New Roman"/>
                <w:sz w:val="22"/>
                <w:szCs w:val="22"/>
              </w:rPr>
            </w:pPr>
            <w:r w:rsidRPr="00871479">
              <w:rPr>
                <w:rFonts w:ascii="Times New Roman" w:hAnsi="Times New Roman" w:cs="Times New Roman"/>
                <w:sz w:val="22"/>
                <w:szCs w:val="22"/>
              </w:rPr>
              <w:t>18.34</w:t>
            </w:r>
          </w:p>
        </w:tc>
        <w:tc>
          <w:tcPr>
            <w:tcW w:w="0" w:type="auto"/>
            <w:vAlign w:val="center"/>
            <w:hideMark/>
          </w:tcPr>
          <w:p w14:paraId="146BD640" w14:textId="77777777" w:rsidR="00937698" w:rsidRPr="00871479" w:rsidRDefault="00937698" w:rsidP="00871479">
            <w:pPr>
              <w:pStyle w:val="NoSpacing"/>
              <w:jc w:val="center"/>
              <w:rPr>
                <w:rFonts w:ascii="Times New Roman" w:hAnsi="Times New Roman" w:cs="Times New Roman"/>
                <w:sz w:val="22"/>
                <w:szCs w:val="22"/>
              </w:rPr>
            </w:pPr>
            <w:r w:rsidRPr="00871479">
              <w:rPr>
                <w:rFonts w:ascii="Times New Roman" w:hAnsi="Times New Roman" w:cs="Times New Roman"/>
                <w:sz w:val="22"/>
                <w:szCs w:val="22"/>
              </w:rPr>
              <w:t>18.34</w:t>
            </w:r>
          </w:p>
        </w:tc>
        <w:tc>
          <w:tcPr>
            <w:tcW w:w="0" w:type="auto"/>
            <w:vAlign w:val="center"/>
            <w:hideMark/>
          </w:tcPr>
          <w:p w14:paraId="08071B63" w14:textId="77777777" w:rsidR="00937698" w:rsidRPr="00871479" w:rsidRDefault="00937698" w:rsidP="00871479">
            <w:pPr>
              <w:pStyle w:val="NoSpacing"/>
              <w:jc w:val="center"/>
              <w:rPr>
                <w:rFonts w:ascii="Times New Roman" w:hAnsi="Times New Roman" w:cs="Times New Roman"/>
                <w:sz w:val="22"/>
                <w:szCs w:val="22"/>
              </w:rPr>
            </w:pPr>
            <w:r w:rsidRPr="00871479">
              <w:rPr>
                <w:rFonts w:ascii="Times New Roman" w:hAnsi="Times New Roman" w:cs="Times New Roman"/>
                <w:sz w:val="22"/>
                <w:szCs w:val="22"/>
              </w:rPr>
              <w:t>8.75</w:t>
            </w:r>
          </w:p>
        </w:tc>
        <w:tc>
          <w:tcPr>
            <w:tcW w:w="0" w:type="auto"/>
            <w:vAlign w:val="center"/>
            <w:hideMark/>
          </w:tcPr>
          <w:p w14:paraId="13B2590B" w14:textId="77777777" w:rsidR="00937698" w:rsidRPr="00871479" w:rsidRDefault="00937698" w:rsidP="00871479">
            <w:pPr>
              <w:pStyle w:val="NoSpacing"/>
              <w:jc w:val="center"/>
              <w:rPr>
                <w:rFonts w:ascii="Times New Roman" w:hAnsi="Times New Roman" w:cs="Times New Roman"/>
                <w:sz w:val="22"/>
                <w:szCs w:val="22"/>
              </w:rPr>
            </w:pPr>
            <w:r w:rsidRPr="00871479">
              <w:rPr>
                <w:rFonts w:ascii="Times New Roman" w:hAnsi="Times New Roman" w:cs="Times New Roman"/>
                <w:sz w:val="22"/>
                <w:szCs w:val="22"/>
              </w:rPr>
              <w:t>37.42</w:t>
            </w:r>
          </w:p>
        </w:tc>
        <w:tc>
          <w:tcPr>
            <w:tcW w:w="0" w:type="auto"/>
            <w:vAlign w:val="center"/>
            <w:hideMark/>
          </w:tcPr>
          <w:p w14:paraId="3C0EB7B0" w14:textId="77777777" w:rsidR="00937698" w:rsidRPr="00871479" w:rsidRDefault="00937698" w:rsidP="00871479">
            <w:pPr>
              <w:pStyle w:val="NoSpacing"/>
              <w:jc w:val="center"/>
              <w:rPr>
                <w:rFonts w:ascii="Times New Roman" w:hAnsi="Times New Roman" w:cs="Times New Roman"/>
                <w:sz w:val="22"/>
                <w:szCs w:val="22"/>
              </w:rPr>
            </w:pPr>
            <w:r w:rsidRPr="00871479">
              <w:rPr>
                <w:rFonts w:ascii="Times New Roman" w:hAnsi="Times New Roman" w:cs="Times New Roman"/>
                <w:sz w:val="22"/>
                <w:szCs w:val="22"/>
              </w:rPr>
              <w:t>13.30</w:t>
            </w:r>
          </w:p>
        </w:tc>
        <w:tc>
          <w:tcPr>
            <w:tcW w:w="0" w:type="auto"/>
            <w:vAlign w:val="center"/>
            <w:hideMark/>
          </w:tcPr>
          <w:p w14:paraId="1BA9B9B9" w14:textId="77777777" w:rsidR="00937698" w:rsidRPr="00871479" w:rsidRDefault="00937698" w:rsidP="00871479">
            <w:pPr>
              <w:pStyle w:val="NoSpacing"/>
              <w:jc w:val="center"/>
              <w:rPr>
                <w:rFonts w:ascii="Times New Roman" w:hAnsi="Times New Roman" w:cs="Times New Roman"/>
                <w:sz w:val="22"/>
                <w:szCs w:val="22"/>
              </w:rPr>
            </w:pPr>
            <w:r w:rsidRPr="00871479">
              <w:rPr>
                <w:rFonts w:ascii="Times New Roman" w:hAnsi="Times New Roman" w:cs="Times New Roman"/>
                <w:sz w:val="22"/>
                <w:szCs w:val="22"/>
              </w:rPr>
              <w:t>39.47</w:t>
            </w:r>
          </w:p>
        </w:tc>
      </w:tr>
      <w:tr w:rsidR="00937698" w:rsidRPr="00871479" w14:paraId="711F4856" w14:textId="77777777" w:rsidTr="00871479">
        <w:tc>
          <w:tcPr>
            <w:tcW w:w="0" w:type="auto"/>
            <w:hideMark/>
          </w:tcPr>
          <w:p w14:paraId="0A2AB4E8" w14:textId="77777777" w:rsidR="00937698" w:rsidRPr="00871479" w:rsidRDefault="00937698" w:rsidP="00B77C0B">
            <w:pPr>
              <w:pStyle w:val="NoSpacing"/>
              <w:rPr>
                <w:rFonts w:ascii="Times New Roman" w:hAnsi="Times New Roman" w:cs="Times New Roman"/>
                <w:sz w:val="22"/>
                <w:szCs w:val="22"/>
              </w:rPr>
            </w:pPr>
            <w:r w:rsidRPr="00871479">
              <w:rPr>
                <w:rFonts w:ascii="Times New Roman" w:hAnsi="Times New Roman" w:cs="Times New Roman"/>
                <w:sz w:val="22"/>
                <w:szCs w:val="22"/>
              </w:rPr>
              <w:t>Kerala</w:t>
            </w:r>
          </w:p>
        </w:tc>
        <w:tc>
          <w:tcPr>
            <w:tcW w:w="0" w:type="auto"/>
            <w:vAlign w:val="center"/>
            <w:hideMark/>
          </w:tcPr>
          <w:p w14:paraId="236AE8DF" w14:textId="77777777" w:rsidR="00937698" w:rsidRPr="00871479" w:rsidRDefault="00937698" w:rsidP="00871479">
            <w:pPr>
              <w:pStyle w:val="NoSpacing"/>
              <w:jc w:val="center"/>
              <w:rPr>
                <w:rFonts w:ascii="Times New Roman" w:hAnsi="Times New Roman" w:cs="Times New Roman"/>
                <w:sz w:val="22"/>
                <w:szCs w:val="22"/>
              </w:rPr>
            </w:pPr>
            <w:r w:rsidRPr="00871479">
              <w:rPr>
                <w:rFonts w:ascii="Times New Roman" w:hAnsi="Times New Roman" w:cs="Times New Roman"/>
                <w:sz w:val="22"/>
                <w:szCs w:val="22"/>
              </w:rPr>
              <w:t>261.86</w:t>
            </w:r>
          </w:p>
        </w:tc>
        <w:tc>
          <w:tcPr>
            <w:tcW w:w="0" w:type="auto"/>
            <w:vAlign w:val="center"/>
            <w:hideMark/>
          </w:tcPr>
          <w:p w14:paraId="57747C84" w14:textId="77777777" w:rsidR="00937698" w:rsidRPr="00871479" w:rsidRDefault="00937698" w:rsidP="00871479">
            <w:pPr>
              <w:pStyle w:val="NoSpacing"/>
              <w:jc w:val="center"/>
              <w:rPr>
                <w:rFonts w:ascii="Times New Roman" w:hAnsi="Times New Roman" w:cs="Times New Roman"/>
                <w:sz w:val="22"/>
                <w:szCs w:val="22"/>
              </w:rPr>
            </w:pPr>
            <w:r w:rsidRPr="00871479">
              <w:rPr>
                <w:rFonts w:ascii="Times New Roman" w:hAnsi="Times New Roman" w:cs="Times New Roman"/>
                <w:sz w:val="22"/>
                <w:szCs w:val="22"/>
              </w:rPr>
              <w:t>126.88</w:t>
            </w:r>
          </w:p>
        </w:tc>
        <w:tc>
          <w:tcPr>
            <w:tcW w:w="0" w:type="auto"/>
            <w:vAlign w:val="center"/>
            <w:hideMark/>
          </w:tcPr>
          <w:p w14:paraId="2AD9B510" w14:textId="77777777" w:rsidR="00937698" w:rsidRPr="00871479" w:rsidRDefault="00937698" w:rsidP="00871479">
            <w:pPr>
              <w:pStyle w:val="NoSpacing"/>
              <w:jc w:val="center"/>
              <w:rPr>
                <w:rFonts w:ascii="Times New Roman" w:hAnsi="Times New Roman" w:cs="Times New Roman"/>
                <w:sz w:val="22"/>
                <w:szCs w:val="22"/>
              </w:rPr>
            </w:pPr>
            <w:r w:rsidRPr="00871479">
              <w:rPr>
                <w:rFonts w:ascii="Times New Roman" w:hAnsi="Times New Roman" w:cs="Times New Roman"/>
                <w:sz w:val="22"/>
                <w:szCs w:val="22"/>
              </w:rPr>
              <w:t>112.47</w:t>
            </w:r>
          </w:p>
        </w:tc>
        <w:tc>
          <w:tcPr>
            <w:tcW w:w="0" w:type="auto"/>
            <w:vAlign w:val="center"/>
            <w:hideMark/>
          </w:tcPr>
          <w:p w14:paraId="7D03E9DF" w14:textId="77777777" w:rsidR="00937698" w:rsidRPr="00871479" w:rsidRDefault="00937698" w:rsidP="00871479">
            <w:pPr>
              <w:pStyle w:val="NoSpacing"/>
              <w:jc w:val="center"/>
              <w:rPr>
                <w:rFonts w:ascii="Times New Roman" w:hAnsi="Times New Roman" w:cs="Times New Roman"/>
                <w:sz w:val="22"/>
                <w:szCs w:val="22"/>
              </w:rPr>
            </w:pPr>
            <w:r w:rsidRPr="00871479">
              <w:rPr>
                <w:rFonts w:ascii="Times New Roman" w:hAnsi="Times New Roman" w:cs="Times New Roman"/>
                <w:sz w:val="22"/>
                <w:szCs w:val="22"/>
              </w:rPr>
              <w:t>39.86</w:t>
            </w:r>
          </w:p>
        </w:tc>
        <w:tc>
          <w:tcPr>
            <w:tcW w:w="0" w:type="auto"/>
            <w:vAlign w:val="center"/>
            <w:hideMark/>
          </w:tcPr>
          <w:p w14:paraId="1A2FFFA8" w14:textId="77777777" w:rsidR="00937698" w:rsidRPr="00871479" w:rsidRDefault="00937698" w:rsidP="00871479">
            <w:pPr>
              <w:pStyle w:val="NoSpacing"/>
              <w:jc w:val="center"/>
              <w:rPr>
                <w:rFonts w:ascii="Times New Roman" w:hAnsi="Times New Roman" w:cs="Times New Roman"/>
                <w:sz w:val="22"/>
                <w:szCs w:val="22"/>
              </w:rPr>
            </w:pPr>
            <w:r w:rsidRPr="00871479">
              <w:rPr>
                <w:rFonts w:ascii="Times New Roman" w:hAnsi="Times New Roman" w:cs="Times New Roman"/>
                <w:sz w:val="22"/>
                <w:szCs w:val="22"/>
              </w:rPr>
              <w:t>152.33</w:t>
            </w:r>
          </w:p>
        </w:tc>
        <w:tc>
          <w:tcPr>
            <w:tcW w:w="0" w:type="auto"/>
            <w:vAlign w:val="center"/>
            <w:hideMark/>
          </w:tcPr>
          <w:p w14:paraId="3E6F9C62" w14:textId="77777777" w:rsidR="00937698" w:rsidRPr="00871479" w:rsidRDefault="00937698" w:rsidP="00871479">
            <w:pPr>
              <w:pStyle w:val="NoSpacing"/>
              <w:jc w:val="center"/>
              <w:rPr>
                <w:rFonts w:ascii="Times New Roman" w:hAnsi="Times New Roman" w:cs="Times New Roman"/>
                <w:sz w:val="22"/>
                <w:szCs w:val="22"/>
              </w:rPr>
            </w:pPr>
            <w:r w:rsidRPr="00871479">
              <w:rPr>
                <w:rFonts w:ascii="Times New Roman" w:hAnsi="Times New Roman" w:cs="Times New Roman"/>
                <w:sz w:val="22"/>
                <w:szCs w:val="22"/>
              </w:rPr>
              <w:t>20.79</w:t>
            </w:r>
          </w:p>
        </w:tc>
        <w:tc>
          <w:tcPr>
            <w:tcW w:w="0" w:type="auto"/>
            <w:vAlign w:val="center"/>
            <w:hideMark/>
          </w:tcPr>
          <w:p w14:paraId="5ACF38F6" w14:textId="77777777" w:rsidR="00937698" w:rsidRPr="00871479" w:rsidRDefault="00937698" w:rsidP="00871479">
            <w:pPr>
              <w:pStyle w:val="NoSpacing"/>
              <w:jc w:val="center"/>
              <w:rPr>
                <w:rFonts w:ascii="Times New Roman" w:hAnsi="Times New Roman" w:cs="Times New Roman"/>
                <w:sz w:val="22"/>
                <w:szCs w:val="22"/>
              </w:rPr>
            </w:pPr>
            <w:r w:rsidRPr="00871479">
              <w:rPr>
                <w:rFonts w:ascii="Times New Roman" w:hAnsi="Times New Roman" w:cs="Times New Roman"/>
                <w:sz w:val="22"/>
                <w:szCs w:val="22"/>
              </w:rPr>
              <w:t>0.08</w:t>
            </w:r>
          </w:p>
        </w:tc>
        <w:tc>
          <w:tcPr>
            <w:tcW w:w="0" w:type="auto"/>
            <w:vAlign w:val="center"/>
            <w:hideMark/>
          </w:tcPr>
          <w:p w14:paraId="5AC91BA5" w14:textId="77777777" w:rsidR="00937698" w:rsidRPr="00871479" w:rsidRDefault="00937698" w:rsidP="00871479">
            <w:pPr>
              <w:pStyle w:val="NoSpacing"/>
              <w:jc w:val="center"/>
              <w:rPr>
                <w:rFonts w:ascii="Times New Roman" w:hAnsi="Times New Roman" w:cs="Times New Roman"/>
                <w:sz w:val="22"/>
                <w:szCs w:val="22"/>
              </w:rPr>
            </w:pPr>
            <w:r w:rsidRPr="00871479">
              <w:rPr>
                <w:rFonts w:ascii="Times New Roman" w:hAnsi="Times New Roman" w:cs="Times New Roman"/>
                <w:sz w:val="22"/>
                <w:szCs w:val="22"/>
              </w:rPr>
              <w:t>32.05</w:t>
            </w:r>
          </w:p>
        </w:tc>
        <w:tc>
          <w:tcPr>
            <w:tcW w:w="0" w:type="auto"/>
            <w:vAlign w:val="center"/>
            <w:hideMark/>
          </w:tcPr>
          <w:p w14:paraId="70366074" w14:textId="77777777" w:rsidR="00937698" w:rsidRPr="00871479" w:rsidRDefault="00937698" w:rsidP="00871479">
            <w:pPr>
              <w:pStyle w:val="NoSpacing"/>
              <w:jc w:val="center"/>
              <w:rPr>
                <w:rFonts w:ascii="Times New Roman" w:hAnsi="Times New Roman" w:cs="Times New Roman"/>
                <w:sz w:val="22"/>
                <w:szCs w:val="22"/>
              </w:rPr>
            </w:pPr>
            <w:r w:rsidRPr="00871479">
              <w:rPr>
                <w:rFonts w:ascii="Times New Roman" w:hAnsi="Times New Roman" w:cs="Times New Roman"/>
                <w:sz w:val="22"/>
                <w:szCs w:val="22"/>
              </w:rPr>
              <w:t>52.92</w:t>
            </w:r>
          </w:p>
        </w:tc>
      </w:tr>
      <w:tr w:rsidR="00937698" w:rsidRPr="00871479" w14:paraId="3EDBA157" w14:textId="77777777" w:rsidTr="00871479">
        <w:tc>
          <w:tcPr>
            <w:tcW w:w="0" w:type="auto"/>
            <w:hideMark/>
          </w:tcPr>
          <w:p w14:paraId="5826F15E" w14:textId="77777777" w:rsidR="00937698" w:rsidRPr="00871479" w:rsidRDefault="00937698" w:rsidP="00B77C0B">
            <w:pPr>
              <w:pStyle w:val="NoSpacing"/>
              <w:rPr>
                <w:rFonts w:ascii="Times New Roman" w:hAnsi="Times New Roman" w:cs="Times New Roman"/>
                <w:sz w:val="22"/>
                <w:szCs w:val="22"/>
              </w:rPr>
            </w:pPr>
            <w:r w:rsidRPr="00871479">
              <w:rPr>
                <w:rFonts w:ascii="Times New Roman" w:hAnsi="Times New Roman" w:cs="Times New Roman"/>
                <w:sz w:val="22"/>
                <w:szCs w:val="22"/>
              </w:rPr>
              <w:t>Madhya Pradesh</w:t>
            </w:r>
          </w:p>
        </w:tc>
        <w:tc>
          <w:tcPr>
            <w:tcW w:w="0" w:type="auto"/>
            <w:vAlign w:val="center"/>
            <w:hideMark/>
          </w:tcPr>
          <w:p w14:paraId="6906932A" w14:textId="77777777" w:rsidR="00937698" w:rsidRPr="00871479" w:rsidRDefault="00937698" w:rsidP="00871479">
            <w:pPr>
              <w:pStyle w:val="NoSpacing"/>
              <w:jc w:val="center"/>
              <w:rPr>
                <w:rFonts w:ascii="Times New Roman" w:hAnsi="Times New Roman" w:cs="Times New Roman"/>
                <w:sz w:val="22"/>
                <w:szCs w:val="22"/>
              </w:rPr>
            </w:pPr>
            <w:r w:rsidRPr="00871479">
              <w:rPr>
                <w:rFonts w:ascii="Times New Roman" w:hAnsi="Times New Roman" w:cs="Times New Roman"/>
                <w:sz w:val="22"/>
                <w:szCs w:val="22"/>
              </w:rPr>
              <w:t>465.89</w:t>
            </w:r>
          </w:p>
        </w:tc>
        <w:tc>
          <w:tcPr>
            <w:tcW w:w="0" w:type="auto"/>
            <w:vAlign w:val="center"/>
            <w:hideMark/>
          </w:tcPr>
          <w:p w14:paraId="3C48A14D" w14:textId="77777777" w:rsidR="00937698" w:rsidRPr="00871479" w:rsidRDefault="00937698" w:rsidP="00871479">
            <w:pPr>
              <w:pStyle w:val="NoSpacing"/>
              <w:jc w:val="center"/>
              <w:rPr>
                <w:rFonts w:ascii="Times New Roman" w:hAnsi="Times New Roman" w:cs="Times New Roman"/>
                <w:sz w:val="22"/>
                <w:szCs w:val="22"/>
              </w:rPr>
            </w:pPr>
            <w:r w:rsidRPr="00871479">
              <w:rPr>
                <w:rFonts w:ascii="Times New Roman" w:hAnsi="Times New Roman" w:cs="Times New Roman"/>
                <w:sz w:val="22"/>
                <w:szCs w:val="22"/>
              </w:rPr>
              <w:t>118.03</w:t>
            </w:r>
          </w:p>
        </w:tc>
        <w:tc>
          <w:tcPr>
            <w:tcW w:w="0" w:type="auto"/>
            <w:vAlign w:val="center"/>
            <w:hideMark/>
          </w:tcPr>
          <w:p w14:paraId="4960E828" w14:textId="77777777" w:rsidR="00937698" w:rsidRPr="00871479" w:rsidRDefault="00937698" w:rsidP="00871479">
            <w:pPr>
              <w:pStyle w:val="NoSpacing"/>
              <w:jc w:val="center"/>
              <w:rPr>
                <w:rFonts w:ascii="Times New Roman" w:hAnsi="Times New Roman" w:cs="Times New Roman"/>
                <w:sz w:val="22"/>
                <w:szCs w:val="22"/>
              </w:rPr>
            </w:pPr>
            <w:r w:rsidRPr="00871479">
              <w:rPr>
                <w:rFonts w:ascii="Times New Roman" w:hAnsi="Times New Roman" w:cs="Times New Roman"/>
                <w:sz w:val="22"/>
                <w:szCs w:val="22"/>
              </w:rPr>
              <w:t>137.10</w:t>
            </w:r>
          </w:p>
        </w:tc>
        <w:tc>
          <w:tcPr>
            <w:tcW w:w="0" w:type="auto"/>
            <w:vAlign w:val="center"/>
            <w:hideMark/>
          </w:tcPr>
          <w:p w14:paraId="25B71090" w14:textId="77777777" w:rsidR="00937698" w:rsidRPr="00871479" w:rsidRDefault="00937698" w:rsidP="00871479">
            <w:pPr>
              <w:pStyle w:val="NoSpacing"/>
              <w:jc w:val="center"/>
              <w:rPr>
                <w:rFonts w:ascii="Times New Roman" w:hAnsi="Times New Roman" w:cs="Times New Roman"/>
                <w:sz w:val="22"/>
                <w:szCs w:val="22"/>
              </w:rPr>
            </w:pPr>
            <w:r w:rsidRPr="00871479">
              <w:rPr>
                <w:rFonts w:ascii="Times New Roman" w:hAnsi="Times New Roman" w:cs="Times New Roman"/>
                <w:sz w:val="22"/>
                <w:szCs w:val="22"/>
              </w:rPr>
              <w:t>59.38</w:t>
            </w:r>
          </w:p>
        </w:tc>
        <w:tc>
          <w:tcPr>
            <w:tcW w:w="0" w:type="auto"/>
            <w:vAlign w:val="center"/>
            <w:hideMark/>
          </w:tcPr>
          <w:p w14:paraId="7B032978" w14:textId="77777777" w:rsidR="00937698" w:rsidRPr="00871479" w:rsidRDefault="00937698" w:rsidP="00871479">
            <w:pPr>
              <w:pStyle w:val="NoSpacing"/>
              <w:jc w:val="center"/>
              <w:rPr>
                <w:rFonts w:ascii="Times New Roman" w:hAnsi="Times New Roman" w:cs="Times New Roman"/>
                <w:sz w:val="22"/>
                <w:szCs w:val="22"/>
              </w:rPr>
            </w:pPr>
            <w:r w:rsidRPr="00871479">
              <w:rPr>
                <w:rFonts w:ascii="Times New Roman" w:hAnsi="Times New Roman" w:cs="Times New Roman"/>
                <w:sz w:val="22"/>
                <w:szCs w:val="22"/>
              </w:rPr>
              <w:t>196.48</w:t>
            </w:r>
          </w:p>
        </w:tc>
        <w:tc>
          <w:tcPr>
            <w:tcW w:w="0" w:type="auto"/>
            <w:vAlign w:val="center"/>
            <w:hideMark/>
          </w:tcPr>
          <w:p w14:paraId="435AD389" w14:textId="77777777" w:rsidR="00937698" w:rsidRPr="00871479" w:rsidRDefault="00937698" w:rsidP="00871479">
            <w:pPr>
              <w:pStyle w:val="NoSpacing"/>
              <w:jc w:val="center"/>
              <w:rPr>
                <w:rFonts w:ascii="Times New Roman" w:hAnsi="Times New Roman" w:cs="Times New Roman"/>
                <w:sz w:val="22"/>
                <w:szCs w:val="22"/>
              </w:rPr>
            </w:pPr>
            <w:r w:rsidRPr="00871479">
              <w:rPr>
                <w:rFonts w:ascii="Times New Roman" w:hAnsi="Times New Roman" w:cs="Times New Roman"/>
                <w:sz w:val="22"/>
                <w:szCs w:val="22"/>
              </w:rPr>
              <w:t>121.57</w:t>
            </w:r>
          </w:p>
        </w:tc>
        <w:tc>
          <w:tcPr>
            <w:tcW w:w="0" w:type="auto"/>
            <w:vAlign w:val="center"/>
            <w:hideMark/>
          </w:tcPr>
          <w:p w14:paraId="0E71FAD3" w14:textId="77777777" w:rsidR="00937698" w:rsidRPr="00871479" w:rsidRDefault="00937698" w:rsidP="00871479">
            <w:pPr>
              <w:pStyle w:val="NoSpacing"/>
              <w:jc w:val="center"/>
              <w:rPr>
                <w:rFonts w:ascii="Times New Roman" w:hAnsi="Times New Roman" w:cs="Times New Roman"/>
                <w:sz w:val="22"/>
                <w:szCs w:val="22"/>
              </w:rPr>
            </w:pPr>
            <w:r w:rsidRPr="00871479">
              <w:rPr>
                <w:rFonts w:ascii="Times New Roman" w:hAnsi="Times New Roman" w:cs="Times New Roman"/>
                <w:sz w:val="22"/>
                <w:szCs w:val="22"/>
              </w:rPr>
              <w:t>-0.19</w:t>
            </w:r>
          </w:p>
        </w:tc>
        <w:tc>
          <w:tcPr>
            <w:tcW w:w="0" w:type="auto"/>
            <w:vAlign w:val="center"/>
            <w:hideMark/>
          </w:tcPr>
          <w:p w14:paraId="45B03224" w14:textId="77777777" w:rsidR="00937698" w:rsidRPr="00871479" w:rsidRDefault="00937698" w:rsidP="00871479">
            <w:pPr>
              <w:pStyle w:val="NoSpacing"/>
              <w:jc w:val="center"/>
              <w:rPr>
                <w:rFonts w:ascii="Times New Roman" w:hAnsi="Times New Roman" w:cs="Times New Roman"/>
                <w:sz w:val="22"/>
                <w:szCs w:val="22"/>
              </w:rPr>
            </w:pPr>
            <w:r w:rsidRPr="00871479">
              <w:rPr>
                <w:rFonts w:ascii="Times New Roman" w:hAnsi="Times New Roman" w:cs="Times New Roman"/>
                <w:sz w:val="22"/>
                <w:szCs w:val="22"/>
              </w:rPr>
              <w:t>35.64</w:t>
            </w:r>
          </w:p>
        </w:tc>
        <w:tc>
          <w:tcPr>
            <w:tcW w:w="0" w:type="auto"/>
            <w:vAlign w:val="center"/>
            <w:hideMark/>
          </w:tcPr>
          <w:p w14:paraId="13805F7B" w14:textId="77777777" w:rsidR="00937698" w:rsidRPr="00871479" w:rsidRDefault="00937698" w:rsidP="00871479">
            <w:pPr>
              <w:pStyle w:val="NoSpacing"/>
              <w:jc w:val="center"/>
              <w:rPr>
                <w:rFonts w:ascii="Times New Roman" w:hAnsi="Times New Roman" w:cs="Times New Roman"/>
                <w:sz w:val="22"/>
                <w:szCs w:val="22"/>
              </w:rPr>
            </w:pPr>
            <w:r w:rsidRPr="00871479">
              <w:rPr>
                <w:rFonts w:ascii="Times New Roman" w:hAnsi="Times New Roman" w:cs="Times New Roman"/>
                <w:sz w:val="22"/>
                <w:szCs w:val="22"/>
              </w:rPr>
              <w:t>157.02</w:t>
            </w:r>
          </w:p>
        </w:tc>
      </w:tr>
      <w:tr w:rsidR="00937698" w:rsidRPr="00871479" w14:paraId="54873A18" w14:textId="77777777" w:rsidTr="00871479">
        <w:tc>
          <w:tcPr>
            <w:tcW w:w="0" w:type="auto"/>
            <w:hideMark/>
          </w:tcPr>
          <w:p w14:paraId="0AC94E2A" w14:textId="77777777" w:rsidR="00937698" w:rsidRPr="00871479" w:rsidRDefault="00937698" w:rsidP="00B77C0B">
            <w:pPr>
              <w:pStyle w:val="NoSpacing"/>
              <w:rPr>
                <w:rFonts w:ascii="Times New Roman" w:hAnsi="Times New Roman" w:cs="Times New Roman"/>
                <w:sz w:val="22"/>
                <w:szCs w:val="22"/>
              </w:rPr>
            </w:pPr>
            <w:r w:rsidRPr="00871479">
              <w:rPr>
                <w:rFonts w:ascii="Times New Roman" w:hAnsi="Times New Roman" w:cs="Times New Roman"/>
                <w:sz w:val="22"/>
                <w:szCs w:val="22"/>
              </w:rPr>
              <w:t>Maharashtra</w:t>
            </w:r>
          </w:p>
        </w:tc>
        <w:tc>
          <w:tcPr>
            <w:tcW w:w="0" w:type="auto"/>
            <w:vAlign w:val="center"/>
            <w:hideMark/>
          </w:tcPr>
          <w:p w14:paraId="67C866A4" w14:textId="77777777" w:rsidR="00937698" w:rsidRPr="00871479" w:rsidRDefault="00937698" w:rsidP="00871479">
            <w:pPr>
              <w:pStyle w:val="NoSpacing"/>
              <w:jc w:val="center"/>
              <w:rPr>
                <w:rFonts w:ascii="Times New Roman" w:hAnsi="Times New Roman" w:cs="Times New Roman"/>
                <w:sz w:val="22"/>
                <w:szCs w:val="22"/>
              </w:rPr>
            </w:pPr>
            <w:r w:rsidRPr="00871479">
              <w:rPr>
                <w:rFonts w:ascii="Times New Roman" w:hAnsi="Times New Roman" w:cs="Times New Roman"/>
                <w:sz w:val="22"/>
                <w:szCs w:val="22"/>
              </w:rPr>
              <w:t>650.83</w:t>
            </w:r>
          </w:p>
        </w:tc>
        <w:tc>
          <w:tcPr>
            <w:tcW w:w="0" w:type="auto"/>
            <w:vAlign w:val="center"/>
            <w:hideMark/>
          </w:tcPr>
          <w:p w14:paraId="0E168310" w14:textId="77777777" w:rsidR="00937698" w:rsidRPr="00871479" w:rsidRDefault="00937698" w:rsidP="00871479">
            <w:pPr>
              <w:pStyle w:val="NoSpacing"/>
              <w:jc w:val="center"/>
              <w:rPr>
                <w:rFonts w:ascii="Times New Roman" w:hAnsi="Times New Roman" w:cs="Times New Roman"/>
                <w:sz w:val="22"/>
                <w:szCs w:val="22"/>
              </w:rPr>
            </w:pPr>
            <w:r w:rsidRPr="00871479">
              <w:rPr>
                <w:rFonts w:ascii="Times New Roman" w:hAnsi="Times New Roman" w:cs="Times New Roman"/>
                <w:sz w:val="22"/>
                <w:szCs w:val="22"/>
              </w:rPr>
              <w:t>134.24</w:t>
            </w:r>
          </w:p>
        </w:tc>
        <w:tc>
          <w:tcPr>
            <w:tcW w:w="0" w:type="auto"/>
            <w:vAlign w:val="center"/>
            <w:hideMark/>
          </w:tcPr>
          <w:p w14:paraId="10AEBC5B" w14:textId="77777777" w:rsidR="00937698" w:rsidRPr="00871479" w:rsidRDefault="00937698" w:rsidP="00871479">
            <w:pPr>
              <w:pStyle w:val="NoSpacing"/>
              <w:jc w:val="center"/>
              <w:rPr>
                <w:rFonts w:ascii="Times New Roman" w:hAnsi="Times New Roman" w:cs="Times New Roman"/>
                <w:sz w:val="22"/>
                <w:szCs w:val="22"/>
              </w:rPr>
            </w:pPr>
            <w:r w:rsidRPr="00871479">
              <w:rPr>
                <w:rFonts w:ascii="Times New Roman" w:hAnsi="Times New Roman" w:cs="Times New Roman"/>
                <w:sz w:val="22"/>
                <w:szCs w:val="22"/>
              </w:rPr>
              <w:t>152.31</w:t>
            </w:r>
          </w:p>
        </w:tc>
        <w:tc>
          <w:tcPr>
            <w:tcW w:w="0" w:type="auto"/>
            <w:vAlign w:val="center"/>
            <w:hideMark/>
          </w:tcPr>
          <w:p w14:paraId="1A7CA3BC" w14:textId="77777777" w:rsidR="00937698" w:rsidRPr="00871479" w:rsidRDefault="00937698" w:rsidP="00871479">
            <w:pPr>
              <w:pStyle w:val="NoSpacing"/>
              <w:jc w:val="center"/>
              <w:rPr>
                <w:rFonts w:ascii="Times New Roman" w:hAnsi="Times New Roman" w:cs="Times New Roman"/>
                <w:sz w:val="22"/>
                <w:szCs w:val="22"/>
              </w:rPr>
            </w:pPr>
            <w:r w:rsidRPr="00871479">
              <w:rPr>
                <w:rFonts w:ascii="Times New Roman" w:hAnsi="Times New Roman" w:cs="Times New Roman"/>
                <w:sz w:val="22"/>
                <w:szCs w:val="22"/>
              </w:rPr>
              <w:t>195.81</w:t>
            </w:r>
          </w:p>
        </w:tc>
        <w:tc>
          <w:tcPr>
            <w:tcW w:w="0" w:type="auto"/>
            <w:vAlign w:val="center"/>
            <w:hideMark/>
          </w:tcPr>
          <w:p w14:paraId="3AA2315F" w14:textId="77777777" w:rsidR="00937698" w:rsidRPr="00871479" w:rsidRDefault="00937698" w:rsidP="00871479">
            <w:pPr>
              <w:pStyle w:val="NoSpacing"/>
              <w:jc w:val="center"/>
              <w:rPr>
                <w:rFonts w:ascii="Times New Roman" w:hAnsi="Times New Roman" w:cs="Times New Roman"/>
                <w:sz w:val="22"/>
                <w:szCs w:val="22"/>
              </w:rPr>
            </w:pPr>
            <w:r w:rsidRPr="00871479">
              <w:rPr>
                <w:rFonts w:ascii="Times New Roman" w:hAnsi="Times New Roman" w:cs="Times New Roman"/>
                <w:sz w:val="22"/>
                <w:szCs w:val="22"/>
              </w:rPr>
              <w:t>348.12</w:t>
            </w:r>
          </w:p>
        </w:tc>
        <w:tc>
          <w:tcPr>
            <w:tcW w:w="0" w:type="auto"/>
            <w:vAlign w:val="center"/>
            <w:hideMark/>
          </w:tcPr>
          <w:p w14:paraId="7B4CEDB0" w14:textId="77777777" w:rsidR="00937698" w:rsidRPr="00871479" w:rsidRDefault="00937698" w:rsidP="00871479">
            <w:pPr>
              <w:pStyle w:val="NoSpacing"/>
              <w:jc w:val="center"/>
              <w:rPr>
                <w:rFonts w:ascii="Times New Roman" w:hAnsi="Times New Roman" w:cs="Times New Roman"/>
                <w:sz w:val="22"/>
                <w:szCs w:val="22"/>
              </w:rPr>
            </w:pPr>
            <w:r w:rsidRPr="00871479">
              <w:rPr>
                <w:rFonts w:ascii="Times New Roman" w:hAnsi="Times New Roman" w:cs="Times New Roman"/>
                <w:sz w:val="22"/>
                <w:szCs w:val="22"/>
              </w:rPr>
              <w:t>167.46</w:t>
            </w:r>
          </w:p>
        </w:tc>
        <w:tc>
          <w:tcPr>
            <w:tcW w:w="0" w:type="auto"/>
            <w:vAlign w:val="center"/>
            <w:hideMark/>
          </w:tcPr>
          <w:p w14:paraId="51477385" w14:textId="77777777" w:rsidR="00937698" w:rsidRPr="00871479" w:rsidRDefault="00937698" w:rsidP="00871479">
            <w:pPr>
              <w:pStyle w:val="NoSpacing"/>
              <w:jc w:val="center"/>
              <w:rPr>
                <w:rFonts w:ascii="Times New Roman" w:hAnsi="Times New Roman" w:cs="Times New Roman"/>
                <w:sz w:val="22"/>
                <w:szCs w:val="22"/>
              </w:rPr>
            </w:pPr>
            <w:r w:rsidRPr="00871479">
              <w:rPr>
                <w:rFonts w:ascii="Times New Roman" w:hAnsi="Times New Roman" w:cs="Times New Roman"/>
                <w:sz w:val="22"/>
                <w:szCs w:val="22"/>
              </w:rPr>
              <w:t>74.51</w:t>
            </w:r>
          </w:p>
        </w:tc>
        <w:tc>
          <w:tcPr>
            <w:tcW w:w="0" w:type="auto"/>
            <w:vAlign w:val="center"/>
            <w:hideMark/>
          </w:tcPr>
          <w:p w14:paraId="3D279573" w14:textId="77777777" w:rsidR="00937698" w:rsidRPr="00871479" w:rsidRDefault="00937698" w:rsidP="00871479">
            <w:pPr>
              <w:pStyle w:val="NoSpacing"/>
              <w:jc w:val="center"/>
              <w:rPr>
                <w:rFonts w:ascii="Times New Roman" w:hAnsi="Times New Roman" w:cs="Times New Roman"/>
                <w:sz w:val="22"/>
                <w:szCs w:val="22"/>
              </w:rPr>
            </w:pPr>
            <w:r w:rsidRPr="00871479">
              <w:rPr>
                <w:rFonts w:ascii="Times New Roman" w:hAnsi="Times New Roman" w:cs="Times New Roman"/>
                <w:sz w:val="22"/>
                <w:szCs w:val="22"/>
              </w:rPr>
              <w:t>74.75</w:t>
            </w:r>
          </w:p>
        </w:tc>
        <w:tc>
          <w:tcPr>
            <w:tcW w:w="0" w:type="auto"/>
            <w:vAlign w:val="center"/>
            <w:hideMark/>
          </w:tcPr>
          <w:p w14:paraId="329D3857" w14:textId="77777777" w:rsidR="00937698" w:rsidRPr="00871479" w:rsidRDefault="00937698" w:rsidP="00871479">
            <w:pPr>
              <w:pStyle w:val="NoSpacing"/>
              <w:jc w:val="center"/>
              <w:rPr>
                <w:rFonts w:ascii="Times New Roman" w:hAnsi="Times New Roman" w:cs="Times New Roman"/>
                <w:sz w:val="22"/>
                <w:szCs w:val="22"/>
              </w:rPr>
            </w:pPr>
            <w:r w:rsidRPr="00871479">
              <w:rPr>
                <w:rFonts w:ascii="Times New Roman" w:hAnsi="Times New Roman" w:cs="Times New Roman"/>
                <w:sz w:val="22"/>
                <w:szCs w:val="22"/>
              </w:rPr>
              <w:t>315.72</w:t>
            </w:r>
          </w:p>
        </w:tc>
      </w:tr>
      <w:tr w:rsidR="00937698" w:rsidRPr="00871479" w14:paraId="0668891F" w14:textId="77777777" w:rsidTr="00871479">
        <w:tc>
          <w:tcPr>
            <w:tcW w:w="0" w:type="auto"/>
            <w:hideMark/>
          </w:tcPr>
          <w:p w14:paraId="62CC9869" w14:textId="77777777" w:rsidR="00937698" w:rsidRPr="00871479" w:rsidRDefault="00937698" w:rsidP="00B77C0B">
            <w:pPr>
              <w:pStyle w:val="NoSpacing"/>
              <w:rPr>
                <w:rFonts w:ascii="Times New Roman" w:hAnsi="Times New Roman" w:cs="Times New Roman"/>
                <w:sz w:val="22"/>
                <w:szCs w:val="22"/>
              </w:rPr>
            </w:pPr>
            <w:r w:rsidRPr="00871479">
              <w:rPr>
                <w:rFonts w:ascii="Times New Roman" w:hAnsi="Times New Roman" w:cs="Times New Roman"/>
                <w:sz w:val="22"/>
                <w:szCs w:val="22"/>
              </w:rPr>
              <w:t>Mysore</w:t>
            </w:r>
          </w:p>
        </w:tc>
        <w:tc>
          <w:tcPr>
            <w:tcW w:w="0" w:type="auto"/>
            <w:vAlign w:val="center"/>
            <w:hideMark/>
          </w:tcPr>
          <w:p w14:paraId="5DFFF159" w14:textId="77777777" w:rsidR="00937698" w:rsidRPr="00871479" w:rsidRDefault="00937698" w:rsidP="00871479">
            <w:pPr>
              <w:pStyle w:val="NoSpacing"/>
              <w:jc w:val="center"/>
              <w:rPr>
                <w:rFonts w:ascii="Times New Roman" w:hAnsi="Times New Roman" w:cs="Times New Roman"/>
                <w:sz w:val="22"/>
                <w:szCs w:val="22"/>
              </w:rPr>
            </w:pPr>
            <w:r w:rsidRPr="00871479">
              <w:rPr>
                <w:rFonts w:ascii="Times New Roman" w:hAnsi="Times New Roman" w:cs="Times New Roman"/>
                <w:sz w:val="22"/>
                <w:szCs w:val="22"/>
              </w:rPr>
              <w:t>386.47</w:t>
            </w:r>
          </w:p>
        </w:tc>
        <w:tc>
          <w:tcPr>
            <w:tcW w:w="0" w:type="auto"/>
            <w:vAlign w:val="center"/>
            <w:hideMark/>
          </w:tcPr>
          <w:p w14:paraId="3EDAD12D" w14:textId="77777777" w:rsidR="00937698" w:rsidRPr="00871479" w:rsidRDefault="00937698" w:rsidP="00871479">
            <w:pPr>
              <w:pStyle w:val="NoSpacing"/>
              <w:jc w:val="center"/>
              <w:rPr>
                <w:rFonts w:ascii="Times New Roman" w:hAnsi="Times New Roman" w:cs="Times New Roman"/>
                <w:sz w:val="22"/>
                <w:szCs w:val="22"/>
              </w:rPr>
            </w:pPr>
            <w:r w:rsidRPr="00871479">
              <w:rPr>
                <w:rFonts w:ascii="Times New Roman" w:hAnsi="Times New Roman" w:cs="Times New Roman"/>
                <w:sz w:val="22"/>
                <w:szCs w:val="22"/>
              </w:rPr>
              <w:t>135.91</w:t>
            </w:r>
          </w:p>
        </w:tc>
        <w:tc>
          <w:tcPr>
            <w:tcW w:w="0" w:type="auto"/>
            <w:vAlign w:val="center"/>
            <w:hideMark/>
          </w:tcPr>
          <w:p w14:paraId="6B979020" w14:textId="77777777" w:rsidR="00937698" w:rsidRPr="00871479" w:rsidRDefault="00937698" w:rsidP="00871479">
            <w:pPr>
              <w:pStyle w:val="NoSpacing"/>
              <w:jc w:val="center"/>
              <w:rPr>
                <w:rFonts w:ascii="Times New Roman" w:hAnsi="Times New Roman" w:cs="Times New Roman"/>
                <w:sz w:val="22"/>
                <w:szCs w:val="22"/>
              </w:rPr>
            </w:pPr>
            <w:r w:rsidRPr="00871479">
              <w:rPr>
                <w:rFonts w:ascii="Times New Roman" w:hAnsi="Times New Roman" w:cs="Times New Roman"/>
                <w:sz w:val="22"/>
                <w:szCs w:val="22"/>
              </w:rPr>
              <w:t>44.33</w:t>
            </w:r>
          </w:p>
        </w:tc>
        <w:tc>
          <w:tcPr>
            <w:tcW w:w="0" w:type="auto"/>
            <w:vAlign w:val="center"/>
            <w:hideMark/>
          </w:tcPr>
          <w:p w14:paraId="3081013B" w14:textId="77777777" w:rsidR="00937698" w:rsidRPr="00871479" w:rsidRDefault="00937698" w:rsidP="00871479">
            <w:pPr>
              <w:pStyle w:val="NoSpacing"/>
              <w:jc w:val="center"/>
              <w:rPr>
                <w:rFonts w:ascii="Times New Roman" w:hAnsi="Times New Roman" w:cs="Times New Roman"/>
                <w:sz w:val="22"/>
                <w:szCs w:val="22"/>
              </w:rPr>
            </w:pPr>
            <w:r w:rsidRPr="00871479">
              <w:rPr>
                <w:rFonts w:ascii="Times New Roman" w:hAnsi="Times New Roman" w:cs="Times New Roman"/>
                <w:sz w:val="22"/>
                <w:szCs w:val="22"/>
              </w:rPr>
              <w:t>112.06</w:t>
            </w:r>
          </w:p>
        </w:tc>
        <w:tc>
          <w:tcPr>
            <w:tcW w:w="0" w:type="auto"/>
            <w:vAlign w:val="center"/>
            <w:hideMark/>
          </w:tcPr>
          <w:p w14:paraId="6018F399" w14:textId="77777777" w:rsidR="00937698" w:rsidRPr="00871479" w:rsidRDefault="00937698" w:rsidP="00871479">
            <w:pPr>
              <w:pStyle w:val="NoSpacing"/>
              <w:jc w:val="center"/>
              <w:rPr>
                <w:rFonts w:ascii="Times New Roman" w:hAnsi="Times New Roman" w:cs="Times New Roman"/>
                <w:sz w:val="22"/>
                <w:szCs w:val="22"/>
              </w:rPr>
            </w:pPr>
            <w:r w:rsidRPr="00871479">
              <w:rPr>
                <w:rFonts w:ascii="Times New Roman" w:hAnsi="Times New Roman" w:cs="Times New Roman"/>
                <w:sz w:val="22"/>
                <w:szCs w:val="22"/>
              </w:rPr>
              <w:t>156.39</w:t>
            </w:r>
          </w:p>
        </w:tc>
        <w:tc>
          <w:tcPr>
            <w:tcW w:w="0" w:type="auto"/>
            <w:vAlign w:val="center"/>
            <w:hideMark/>
          </w:tcPr>
          <w:p w14:paraId="38461324" w14:textId="77777777" w:rsidR="00937698" w:rsidRPr="00871479" w:rsidRDefault="00937698" w:rsidP="00871479">
            <w:pPr>
              <w:pStyle w:val="NoSpacing"/>
              <w:jc w:val="center"/>
              <w:rPr>
                <w:rFonts w:ascii="Times New Roman" w:hAnsi="Times New Roman" w:cs="Times New Roman"/>
                <w:sz w:val="22"/>
                <w:szCs w:val="22"/>
              </w:rPr>
            </w:pPr>
            <w:r w:rsidRPr="00871479">
              <w:rPr>
                <w:rFonts w:ascii="Times New Roman" w:hAnsi="Times New Roman" w:cs="Times New Roman"/>
                <w:sz w:val="22"/>
                <w:szCs w:val="22"/>
              </w:rPr>
              <w:t>147.18</w:t>
            </w:r>
          </w:p>
        </w:tc>
        <w:tc>
          <w:tcPr>
            <w:tcW w:w="0" w:type="auto"/>
            <w:vAlign w:val="center"/>
            <w:hideMark/>
          </w:tcPr>
          <w:p w14:paraId="73592EC2" w14:textId="77777777" w:rsidR="00937698" w:rsidRPr="00871479" w:rsidRDefault="00937698" w:rsidP="00871479">
            <w:pPr>
              <w:pStyle w:val="NoSpacing"/>
              <w:jc w:val="center"/>
              <w:rPr>
                <w:rFonts w:ascii="Times New Roman" w:hAnsi="Times New Roman" w:cs="Times New Roman"/>
                <w:sz w:val="22"/>
                <w:szCs w:val="22"/>
              </w:rPr>
            </w:pPr>
            <w:r w:rsidRPr="00871479">
              <w:rPr>
                <w:rFonts w:ascii="Times New Roman" w:hAnsi="Times New Roman" w:cs="Times New Roman"/>
                <w:sz w:val="22"/>
                <w:szCs w:val="22"/>
              </w:rPr>
              <w:t>98.88</w:t>
            </w:r>
          </w:p>
        </w:tc>
        <w:tc>
          <w:tcPr>
            <w:tcW w:w="0" w:type="auto"/>
            <w:vAlign w:val="center"/>
            <w:hideMark/>
          </w:tcPr>
          <w:p w14:paraId="3F63AAC8" w14:textId="77777777" w:rsidR="00937698" w:rsidRPr="00871479" w:rsidRDefault="00937698" w:rsidP="00871479">
            <w:pPr>
              <w:pStyle w:val="NoSpacing"/>
              <w:jc w:val="center"/>
              <w:rPr>
                <w:rFonts w:ascii="Times New Roman" w:hAnsi="Times New Roman" w:cs="Times New Roman"/>
                <w:sz w:val="22"/>
                <w:szCs w:val="22"/>
              </w:rPr>
            </w:pPr>
            <w:r w:rsidRPr="00871479">
              <w:rPr>
                <w:rFonts w:ascii="Times New Roman" w:hAnsi="Times New Roman" w:cs="Times New Roman"/>
                <w:sz w:val="22"/>
                <w:szCs w:val="22"/>
              </w:rPr>
              <w:t>73.23</w:t>
            </w:r>
          </w:p>
        </w:tc>
        <w:tc>
          <w:tcPr>
            <w:tcW w:w="0" w:type="auto"/>
            <w:vAlign w:val="center"/>
            <w:hideMark/>
          </w:tcPr>
          <w:p w14:paraId="6D9BA07B" w14:textId="77777777" w:rsidR="00937698" w:rsidRPr="00871479" w:rsidRDefault="00937698" w:rsidP="00871479">
            <w:pPr>
              <w:pStyle w:val="NoSpacing"/>
              <w:jc w:val="center"/>
              <w:rPr>
                <w:rFonts w:ascii="Times New Roman" w:hAnsi="Times New Roman" w:cs="Times New Roman"/>
                <w:sz w:val="22"/>
                <w:szCs w:val="22"/>
              </w:rPr>
            </w:pPr>
            <w:r w:rsidRPr="00871479">
              <w:rPr>
                <w:rFonts w:ascii="Times New Roman" w:hAnsi="Times New Roman" w:cs="Times New Roman"/>
                <w:sz w:val="22"/>
                <w:szCs w:val="22"/>
              </w:rPr>
              <w:t>319.29</w:t>
            </w:r>
          </w:p>
        </w:tc>
      </w:tr>
      <w:tr w:rsidR="00937698" w:rsidRPr="00871479" w14:paraId="55FC0727" w14:textId="77777777" w:rsidTr="00871479">
        <w:tc>
          <w:tcPr>
            <w:tcW w:w="0" w:type="auto"/>
            <w:hideMark/>
          </w:tcPr>
          <w:p w14:paraId="7361163E" w14:textId="77777777" w:rsidR="00937698" w:rsidRPr="00871479" w:rsidRDefault="00937698" w:rsidP="00B77C0B">
            <w:pPr>
              <w:pStyle w:val="NoSpacing"/>
              <w:rPr>
                <w:rFonts w:ascii="Times New Roman" w:hAnsi="Times New Roman" w:cs="Times New Roman"/>
                <w:sz w:val="22"/>
                <w:szCs w:val="22"/>
              </w:rPr>
            </w:pPr>
            <w:r w:rsidRPr="00871479">
              <w:rPr>
                <w:rFonts w:ascii="Times New Roman" w:hAnsi="Times New Roman" w:cs="Times New Roman"/>
                <w:sz w:val="22"/>
                <w:szCs w:val="22"/>
              </w:rPr>
              <w:t>Nagaland</w:t>
            </w:r>
          </w:p>
        </w:tc>
        <w:tc>
          <w:tcPr>
            <w:tcW w:w="0" w:type="auto"/>
            <w:vAlign w:val="center"/>
            <w:hideMark/>
          </w:tcPr>
          <w:p w14:paraId="6E9F3A43" w14:textId="77777777" w:rsidR="00937698" w:rsidRPr="00871479" w:rsidRDefault="00937698" w:rsidP="00871479">
            <w:pPr>
              <w:pStyle w:val="NoSpacing"/>
              <w:jc w:val="center"/>
              <w:rPr>
                <w:rFonts w:ascii="Times New Roman" w:hAnsi="Times New Roman" w:cs="Times New Roman"/>
                <w:sz w:val="22"/>
                <w:szCs w:val="22"/>
              </w:rPr>
            </w:pPr>
            <w:r w:rsidRPr="00871479">
              <w:rPr>
                <w:rFonts w:ascii="Times New Roman" w:hAnsi="Times New Roman" w:cs="Times New Roman"/>
                <w:sz w:val="22"/>
                <w:szCs w:val="22"/>
              </w:rPr>
              <w:t>14.53</w:t>
            </w:r>
          </w:p>
        </w:tc>
        <w:tc>
          <w:tcPr>
            <w:tcW w:w="0" w:type="auto"/>
            <w:vAlign w:val="center"/>
            <w:hideMark/>
          </w:tcPr>
          <w:p w14:paraId="6D8B1259" w14:textId="77777777" w:rsidR="00937698" w:rsidRPr="00871479" w:rsidRDefault="00937698" w:rsidP="00871479">
            <w:pPr>
              <w:pStyle w:val="NoSpacing"/>
              <w:jc w:val="center"/>
              <w:rPr>
                <w:rFonts w:ascii="Times New Roman" w:hAnsi="Times New Roman" w:cs="Times New Roman"/>
                <w:sz w:val="22"/>
                <w:szCs w:val="22"/>
              </w:rPr>
            </w:pPr>
            <w:r w:rsidRPr="00871479">
              <w:rPr>
                <w:rFonts w:ascii="Times New Roman" w:hAnsi="Times New Roman" w:cs="Times New Roman"/>
                <w:sz w:val="22"/>
                <w:szCs w:val="22"/>
              </w:rPr>
              <w:t>343.50</w:t>
            </w:r>
          </w:p>
        </w:tc>
        <w:tc>
          <w:tcPr>
            <w:tcW w:w="0" w:type="auto"/>
            <w:vAlign w:val="center"/>
            <w:hideMark/>
          </w:tcPr>
          <w:p w14:paraId="0B4BE3D6" w14:textId="77777777" w:rsidR="00937698" w:rsidRPr="00871479" w:rsidRDefault="00937698" w:rsidP="00871479">
            <w:pPr>
              <w:pStyle w:val="NoSpacing"/>
              <w:jc w:val="center"/>
              <w:rPr>
                <w:rFonts w:ascii="Times New Roman" w:hAnsi="Times New Roman" w:cs="Times New Roman"/>
                <w:sz w:val="22"/>
                <w:szCs w:val="22"/>
              </w:rPr>
            </w:pPr>
            <w:r w:rsidRPr="00871479">
              <w:rPr>
                <w:rFonts w:ascii="Times New Roman" w:hAnsi="Times New Roman" w:cs="Times New Roman"/>
                <w:sz w:val="22"/>
                <w:szCs w:val="22"/>
              </w:rPr>
              <w:t>..</w:t>
            </w:r>
          </w:p>
        </w:tc>
        <w:tc>
          <w:tcPr>
            <w:tcW w:w="0" w:type="auto"/>
            <w:vAlign w:val="center"/>
            <w:hideMark/>
          </w:tcPr>
          <w:p w14:paraId="797033D3" w14:textId="77777777" w:rsidR="00937698" w:rsidRPr="00871479" w:rsidRDefault="00937698" w:rsidP="00871479">
            <w:pPr>
              <w:pStyle w:val="NoSpacing"/>
              <w:jc w:val="center"/>
              <w:rPr>
                <w:rFonts w:ascii="Times New Roman" w:hAnsi="Times New Roman" w:cs="Times New Roman"/>
                <w:sz w:val="22"/>
                <w:szCs w:val="22"/>
              </w:rPr>
            </w:pPr>
            <w:r w:rsidRPr="00871479">
              <w:rPr>
                <w:rFonts w:ascii="Times New Roman" w:hAnsi="Times New Roman" w:cs="Times New Roman"/>
                <w:sz w:val="22"/>
                <w:szCs w:val="22"/>
              </w:rPr>
              <w:t>1.75</w:t>
            </w:r>
          </w:p>
        </w:tc>
        <w:tc>
          <w:tcPr>
            <w:tcW w:w="0" w:type="auto"/>
            <w:vAlign w:val="center"/>
            <w:hideMark/>
          </w:tcPr>
          <w:p w14:paraId="60811080" w14:textId="77777777" w:rsidR="00937698" w:rsidRPr="00871479" w:rsidRDefault="00937698" w:rsidP="00871479">
            <w:pPr>
              <w:pStyle w:val="NoSpacing"/>
              <w:jc w:val="center"/>
              <w:rPr>
                <w:rFonts w:ascii="Times New Roman" w:hAnsi="Times New Roman" w:cs="Times New Roman"/>
                <w:sz w:val="22"/>
                <w:szCs w:val="22"/>
              </w:rPr>
            </w:pPr>
            <w:r w:rsidRPr="00871479">
              <w:rPr>
                <w:rFonts w:ascii="Times New Roman" w:hAnsi="Times New Roman" w:cs="Times New Roman"/>
                <w:sz w:val="22"/>
                <w:szCs w:val="22"/>
              </w:rPr>
              <w:t>1.75</w:t>
            </w:r>
          </w:p>
        </w:tc>
        <w:tc>
          <w:tcPr>
            <w:tcW w:w="0" w:type="auto"/>
            <w:vAlign w:val="center"/>
            <w:hideMark/>
          </w:tcPr>
          <w:p w14:paraId="5262D93D" w14:textId="77777777" w:rsidR="00937698" w:rsidRPr="00871479" w:rsidRDefault="00937698" w:rsidP="00871479">
            <w:pPr>
              <w:pStyle w:val="NoSpacing"/>
              <w:jc w:val="center"/>
              <w:rPr>
                <w:rFonts w:ascii="Times New Roman" w:hAnsi="Times New Roman" w:cs="Times New Roman"/>
                <w:sz w:val="22"/>
                <w:szCs w:val="22"/>
              </w:rPr>
            </w:pPr>
            <w:r w:rsidRPr="00871479">
              <w:rPr>
                <w:rFonts w:ascii="Times New Roman" w:hAnsi="Times New Roman" w:cs="Times New Roman"/>
                <w:sz w:val="22"/>
                <w:szCs w:val="22"/>
              </w:rPr>
              <w:t>..</w:t>
            </w:r>
          </w:p>
        </w:tc>
        <w:tc>
          <w:tcPr>
            <w:tcW w:w="0" w:type="auto"/>
            <w:vAlign w:val="center"/>
            <w:hideMark/>
          </w:tcPr>
          <w:p w14:paraId="3534D1BA" w14:textId="77777777" w:rsidR="00937698" w:rsidRPr="00871479" w:rsidRDefault="00937698" w:rsidP="00871479">
            <w:pPr>
              <w:pStyle w:val="NoSpacing"/>
              <w:jc w:val="center"/>
              <w:rPr>
                <w:rFonts w:ascii="Times New Roman" w:hAnsi="Times New Roman" w:cs="Times New Roman"/>
                <w:sz w:val="22"/>
                <w:szCs w:val="22"/>
              </w:rPr>
            </w:pPr>
            <w:r w:rsidRPr="00871479">
              <w:rPr>
                <w:rFonts w:ascii="Times New Roman" w:hAnsi="Times New Roman" w:cs="Times New Roman"/>
                <w:sz w:val="22"/>
                <w:szCs w:val="22"/>
              </w:rPr>
              <w:t>3.16</w:t>
            </w:r>
          </w:p>
        </w:tc>
        <w:tc>
          <w:tcPr>
            <w:tcW w:w="0" w:type="auto"/>
            <w:vAlign w:val="center"/>
            <w:hideMark/>
          </w:tcPr>
          <w:p w14:paraId="465E9ADF" w14:textId="77777777" w:rsidR="00937698" w:rsidRPr="00871479" w:rsidRDefault="00937698" w:rsidP="00871479">
            <w:pPr>
              <w:pStyle w:val="NoSpacing"/>
              <w:jc w:val="center"/>
              <w:rPr>
                <w:rFonts w:ascii="Times New Roman" w:hAnsi="Times New Roman" w:cs="Times New Roman"/>
                <w:sz w:val="22"/>
                <w:szCs w:val="22"/>
              </w:rPr>
            </w:pPr>
            <w:r w:rsidRPr="00871479">
              <w:rPr>
                <w:rFonts w:ascii="Times New Roman" w:hAnsi="Times New Roman" w:cs="Times New Roman"/>
                <w:sz w:val="22"/>
                <w:szCs w:val="22"/>
              </w:rPr>
              <w:t>0.30</w:t>
            </w:r>
          </w:p>
        </w:tc>
        <w:tc>
          <w:tcPr>
            <w:tcW w:w="0" w:type="auto"/>
            <w:vAlign w:val="center"/>
            <w:hideMark/>
          </w:tcPr>
          <w:p w14:paraId="36682FBC" w14:textId="77777777" w:rsidR="00937698" w:rsidRPr="00871479" w:rsidRDefault="00937698" w:rsidP="00871479">
            <w:pPr>
              <w:pStyle w:val="NoSpacing"/>
              <w:jc w:val="center"/>
              <w:rPr>
                <w:rFonts w:ascii="Times New Roman" w:hAnsi="Times New Roman" w:cs="Times New Roman"/>
                <w:sz w:val="22"/>
                <w:szCs w:val="22"/>
              </w:rPr>
            </w:pPr>
            <w:r w:rsidRPr="00871479">
              <w:rPr>
                <w:rFonts w:ascii="Times New Roman" w:hAnsi="Times New Roman" w:cs="Times New Roman"/>
                <w:sz w:val="22"/>
                <w:szCs w:val="22"/>
              </w:rPr>
              <w:t>3.46</w:t>
            </w:r>
          </w:p>
        </w:tc>
      </w:tr>
      <w:tr w:rsidR="00937698" w:rsidRPr="00871479" w14:paraId="3F8B6EA1" w14:textId="77777777" w:rsidTr="00871479">
        <w:tc>
          <w:tcPr>
            <w:tcW w:w="0" w:type="auto"/>
            <w:hideMark/>
          </w:tcPr>
          <w:p w14:paraId="40AB446D" w14:textId="77777777" w:rsidR="00937698" w:rsidRPr="00871479" w:rsidRDefault="00937698" w:rsidP="00B77C0B">
            <w:pPr>
              <w:pStyle w:val="NoSpacing"/>
              <w:rPr>
                <w:rFonts w:ascii="Times New Roman" w:hAnsi="Times New Roman" w:cs="Times New Roman"/>
                <w:sz w:val="22"/>
                <w:szCs w:val="22"/>
              </w:rPr>
            </w:pPr>
            <w:r w:rsidRPr="00871479">
              <w:rPr>
                <w:rFonts w:ascii="Times New Roman" w:hAnsi="Times New Roman" w:cs="Times New Roman"/>
                <w:sz w:val="22"/>
                <w:szCs w:val="22"/>
              </w:rPr>
              <w:t>Orissa</w:t>
            </w:r>
          </w:p>
        </w:tc>
        <w:tc>
          <w:tcPr>
            <w:tcW w:w="0" w:type="auto"/>
            <w:vAlign w:val="center"/>
            <w:hideMark/>
          </w:tcPr>
          <w:p w14:paraId="056CDA99" w14:textId="77777777" w:rsidR="00937698" w:rsidRPr="00871479" w:rsidRDefault="00937698" w:rsidP="00871479">
            <w:pPr>
              <w:pStyle w:val="NoSpacing"/>
              <w:jc w:val="center"/>
              <w:rPr>
                <w:rFonts w:ascii="Times New Roman" w:hAnsi="Times New Roman" w:cs="Times New Roman"/>
                <w:sz w:val="22"/>
                <w:szCs w:val="22"/>
              </w:rPr>
            </w:pPr>
            <w:r w:rsidRPr="00871479">
              <w:rPr>
                <w:rFonts w:ascii="Times New Roman" w:hAnsi="Times New Roman" w:cs="Times New Roman"/>
                <w:sz w:val="22"/>
                <w:szCs w:val="22"/>
              </w:rPr>
              <w:t>413.63</w:t>
            </w:r>
          </w:p>
        </w:tc>
        <w:tc>
          <w:tcPr>
            <w:tcW w:w="0" w:type="auto"/>
            <w:vAlign w:val="center"/>
            <w:hideMark/>
          </w:tcPr>
          <w:p w14:paraId="3C0AE09F" w14:textId="77777777" w:rsidR="00937698" w:rsidRPr="00871479" w:rsidRDefault="00937698" w:rsidP="00871479">
            <w:pPr>
              <w:pStyle w:val="NoSpacing"/>
              <w:jc w:val="center"/>
              <w:rPr>
                <w:rFonts w:ascii="Times New Roman" w:hAnsi="Times New Roman" w:cs="Times New Roman"/>
                <w:sz w:val="22"/>
                <w:szCs w:val="22"/>
              </w:rPr>
            </w:pPr>
            <w:r w:rsidRPr="00871479">
              <w:rPr>
                <w:rFonts w:ascii="Times New Roman" w:hAnsi="Times New Roman" w:cs="Times New Roman"/>
                <w:sz w:val="22"/>
                <w:szCs w:val="22"/>
              </w:rPr>
              <w:t>197.01</w:t>
            </w:r>
          </w:p>
        </w:tc>
        <w:tc>
          <w:tcPr>
            <w:tcW w:w="0" w:type="auto"/>
            <w:vAlign w:val="center"/>
            <w:hideMark/>
          </w:tcPr>
          <w:p w14:paraId="085800B8" w14:textId="77777777" w:rsidR="00937698" w:rsidRPr="00871479" w:rsidRDefault="00937698" w:rsidP="00871479">
            <w:pPr>
              <w:pStyle w:val="NoSpacing"/>
              <w:jc w:val="center"/>
              <w:rPr>
                <w:rFonts w:ascii="Times New Roman" w:hAnsi="Times New Roman" w:cs="Times New Roman"/>
                <w:sz w:val="22"/>
                <w:szCs w:val="22"/>
              </w:rPr>
            </w:pPr>
            <w:r w:rsidRPr="00871479">
              <w:rPr>
                <w:rFonts w:ascii="Times New Roman" w:hAnsi="Times New Roman" w:cs="Times New Roman"/>
                <w:sz w:val="22"/>
                <w:szCs w:val="22"/>
              </w:rPr>
              <w:t>24.03</w:t>
            </w:r>
          </w:p>
        </w:tc>
        <w:tc>
          <w:tcPr>
            <w:tcW w:w="0" w:type="auto"/>
            <w:vAlign w:val="center"/>
            <w:hideMark/>
          </w:tcPr>
          <w:p w14:paraId="332034DD" w14:textId="77777777" w:rsidR="00937698" w:rsidRPr="00871479" w:rsidRDefault="00937698" w:rsidP="00871479">
            <w:pPr>
              <w:pStyle w:val="NoSpacing"/>
              <w:jc w:val="center"/>
              <w:rPr>
                <w:rFonts w:ascii="Times New Roman" w:hAnsi="Times New Roman" w:cs="Times New Roman"/>
                <w:sz w:val="22"/>
                <w:szCs w:val="22"/>
              </w:rPr>
            </w:pPr>
            <w:r w:rsidRPr="00871479">
              <w:rPr>
                <w:rFonts w:ascii="Times New Roman" w:hAnsi="Times New Roman" w:cs="Times New Roman"/>
                <w:sz w:val="22"/>
                <w:szCs w:val="22"/>
              </w:rPr>
              <w:t>30.78</w:t>
            </w:r>
          </w:p>
        </w:tc>
        <w:tc>
          <w:tcPr>
            <w:tcW w:w="0" w:type="auto"/>
            <w:vAlign w:val="center"/>
            <w:hideMark/>
          </w:tcPr>
          <w:p w14:paraId="7598C797" w14:textId="77777777" w:rsidR="00937698" w:rsidRPr="00871479" w:rsidRDefault="00937698" w:rsidP="00871479">
            <w:pPr>
              <w:pStyle w:val="NoSpacing"/>
              <w:jc w:val="center"/>
              <w:rPr>
                <w:rFonts w:ascii="Times New Roman" w:hAnsi="Times New Roman" w:cs="Times New Roman"/>
                <w:sz w:val="22"/>
                <w:szCs w:val="22"/>
              </w:rPr>
            </w:pPr>
            <w:r w:rsidRPr="00871479">
              <w:rPr>
                <w:rFonts w:ascii="Times New Roman" w:hAnsi="Times New Roman" w:cs="Times New Roman"/>
                <w:sz w:val="22"/>
                <w:szCs w:val="22"/>
              </w:rPr>
              <w:t>54.81</w:t>
            </w:r>
          </w:p>
        </w:tc>
        <w:tc>
          <w:tcPr>
            <w:tcW w:w="0" w:type="auto"/>
            <w:vAlign w:val="center"/>
            <w:hideMark/>
          </w:tcPr>
          <w:p w14:paraId="012DECBC" w14:textId="77777777" w:rsidR="00937698" w:rsidRPr="00871479" w:rsidRDefault="00937698" w:rsidP="00871479">
            <w:pPr>
              <w:pStyle w:val="NoSpacing"/>
              <w:jc w:val="center"/>
              <w:rPr>
                <w:rFonts w:ascii="Times New Roman" w:hAnsi="Times New Roman" w:cs="Times New Roman"/>
                <w:sz w:val="22"/>
                <w:szCs w:val="22"/>
              </w:rPr>
            </w:pPr>
            <w:r w:rsidRPr="00871479">
              <w:rPr>
                <w:rFonts w:ascii="Times New Roman" w:hAnsi="Times New Roman" w:cs="Times New Roman"/>
                <w:sz w:val="22"/>
                <w:szCs w:val="22"/>
              </w:rPr>
              <w:t>172.91</w:t>
            </w:r>
          </w:p>
        </w:tc>
        <w:tc>
          <w:tcPr>
            <w:tcW w:w="0" w:type="auto"/>
            <w:vAlign w:val="center"/>
            <w:hideMark/>
          </w:tcPr>
          <w:p w14:paraId="59DFABF5" w14:textId="77777777" w:rsidR="00937698" w:rsidRPr="00871479" w:rsidRDefault="00937698" w:rsidP="00871479">
            <w:pPr>
              <w:pStyle w:val="NoSpacing"/>
              <w:jc w:val="center"/>
              <w:rPr>
                <w:rFonts w:ascii="Times New Roman" w:hAnsi="Times New Roman" w:cs="Times New Roman"/>
                <w:sz w:val="22"/>
                <w:szCs w:val="22"/>
              </w:rPr>
            </w:pPr>
            <w:r w:rsidRPr="00871479">
              <w:rPr>
                <w:rFonts w:ascii="Times New Roman" w:hAnsi="Times New Roman" w:cs="Times New Roman"/>
                <w:sz w:val="22"/>
                <w:szCs w:val="22"/>
              </w:rPr>
              <w:t>36.82</w:t>
            </w:r>
          </w:p>
        </w:tc>
        <w:tc>
          <w:tcPr>
            <w:tcW w:w="0" w:type="auto"/>
            <w:vAlign w:val="center"/>
            <w:hideMark/>
          </w:tcPr>
          <w:p w14:paraId="74D4B0AA" w14:textId="77777777" w:rsidR="00937698" w:rsidRPr="00871479" w:rsidRDefault="00937698" w:rsidP="00871479">
            <w:pPr>
              <w:pStyle w:val="NoSpacing"/>
              <w:jc w:val="center"/>
              <w:rPr>
                <w:rFonts w:ascii="Times New Roman" w:hAnsi="Times New Roman" w:cs="Times New Roman"/>
                <w:sz w:val="22"/>
                <w:szCs w:val="22"/>
              </w:rPr>
            </w:pPr>
            <w:r w:rsidRPr="00871479">
              <w:rPr>
                <w:rFonts w:ascii="Times New Roman" w:hAnsi="Times New Roman" w:cs="Times New Roman"/>
                <w:sz w:val="22"/>
                <w:szCs w:val="22"/>
              </w:rPr>
              <w:t>30.24</w:t>
            </w:r>
          </w:p>
        </w:tc>
        <w:tc>
          <w:tcPr>
            <w:tcW w:w="0" w:type="auto"/>
            <w:vAlign w:val="center"/>
            <w:hideMark/>
          </w:tcPr>
          <w:p w14:paraId="1E8A6D2F" w14:textId="77777777" w:rsidR="00937698" w:rsidRPr="00871479" w:rsidRDefault="00937698" w:rsidP="00871479">
            <w:pPr>
              <w:pStyle w:val="NoSpacing"/>
              <w:jc w:val="center"/>
              <w:rPr>
                <w:rFonts w:ascii="Times New Roman" w:hAnsi="Times New Roman" w:cs="Times New Roman"/>
                <w:sz w:val="22"/>
                <w:szCs w:val="22"/>
              </w:rPr>
            </w:pPr>
            <w:r w:rsidRPr="00871479">
              <w:rPr>
                <w:rFonts w:ascii="Times New Roman" w:hAnsi="Times New Roman" w:cs="Times New Roman"/>
                <w:sz w:val="22"/>
                <w:szCs w:val="22"/>
              </w:rPr>
              <w:t>239.97</w:t>
            </w:r>
          </w:p>
        </w:tc>
      </w:tr>
      <w:tr w:rsidR="00937698" w:rsidRPr="00871479" w14:paraId="30AF54A2" w14:textId="77777777" w:rsidTr="00871479">
        <w:tc>
          <w:tcPr>
            <w:tcW w:w="0" w:type="auto"/>
            <w:hideMark/>
          </w:tcPr>
          <w:p w14:paraId="631FE60F" w14:textId="77777777" w:rsidR="00937698" w:rsidRPr="00871479" w:rsidRDefault="00937698" w:rsidP="00B77C0B">
            <w:pPr>
              <w:pStyle w:val="NoSpacing"/>
              <w:rPr>
                <w:rFonts w:ascii="Times New Roman" w:hAnsi="Times New Roman" w:cs="Times New Roman"/>
                <w:sz w:val="22"/>
                <w:szCs w:val="22"/>
              </w:rPr>
            </w:pPr>
            <w:r w:rsidRPr="00871479">
              <w:rPr>
                <w:rFonts w:ascii="Times New Roman" w:hAnsi="Times New Roman" w:cs="Times New Roman"/>
                <w:sz w:val="22"/>
                <w:szCs w:val="22"/>
              </w:rPr>
              <w:t>Punjab</w:t>
            </w:r>
          </w:p>
        </w:tc>
        <w:tc>
          <w:tcPr>
            <w:tcW w:w="0" w:type="auto"/>
            <w:vAlign w:val="center"/>
            <w:hideMark/>
          </w:tcPr>
          <w:p w14:paraId="59C9C9E7" w14:textId="77777777" w:rsidR="00937698" w:rsidRPr="00871479" w:rsidRDefault="00937698" w:rsidP="00871479">
            <w:pPr>
              <w:pStyle w:val="NoSpacing"/>
              <w:jc w:val="center"/>
              <w:rPr>
                <w:rFonts w:ascii="Times New Roman" w:hAnsi="Times New Roman" w:cs="Times New Roman"/>
                <w:sz w:val="22"/>
                <w:szCs w:val="22"/>
              </w:rPr>
            </w:pPr>
            <w:r w:rsidRPr="00871479">
              <w:rPr>
                <w:rFonts w:ascii="Times New Roman" w:hAnsi="Times New Roman" w:cs="Times New Roman"/>
                <w:sz w:val="22"/>
                <w:szCs w:val="22"/>
              </w:rPr>
              <w:t>249.70</w:t>
            </w:r>
          </w:p>
        </w:tc>
        <w:tc>
          <w:tcPr>
            <w:tcW w:w="0" w:type="auto"/>
            <w:vAlign w:val="center"/>
            <w:hideMark/>
          </w:tcPr>
          <w:p w14:paraId="2D5397CF" w14:textId="77777777" w:rsidR="00937698" w:rsidRPr="00871479" w:rsidRDefault="00937698" w:rsidP="00871479">
            <w:pPr>
              <w:pStyle w:val="NoSpacing"/>
              <w:jc w:val="center"/>
              <w:rPr>
                <w:rFonts w:ascii="Times New Roman" w:hAnsi="Times New Roman" w:cs="Times New Roman"/>
                <w:sz w:val="22"/>
                <w:szCs w:val="22"/>
              </w:rPr>
            </w:pPr>
            <w:r w:rsidRPr="00871479">
              <w:rPr>
                <w:rFonts w:ascii="Times New Roman" w:hAnsi="Times New Roman" w:cs="Times New Roman"/>
                <w:sz w:val="22"/>
                <w:szCs w:val="22"/>
              </w:rPr>
              <w:t>176.59</w:t>
            </w:r>
          </w:p>
        </w:tc>
        <w:tc>
          <w:tcPr>
            <w:tcW w:w="0" w:type="auto"/>
            <w:vAlign w:val="center"/>
            <w:hideMark/>
          </w:tcPr>
          <w:p w14:paraId="7AF3A175" w14:textId="77777777" w:rsidR="00937698" w:rsidRPr="00871479" w:rsidRDefault="00937698" w:rsidP="00871479">
            <w:pPr>
              <w:pStyle w:val="NoSpacing"/>
              <w:jc w:val="center"/>
              <w:rPr>
                <w:rFonts w:ascii="Times New Roman" w:hAnsi="Times New Roman" w:cs="Times New Roman"/>
                <w:sz w:val="22"/>
                <w:szCs w:val="22"/>
              </w:rPr>
            </w:pPr>
            <w:r w:rsidRPr="00871479">
              <w:rPr>
                <w:rFonts w:ascii="Times New Roman" w:hAnsi="Times New Roman" w:cs="Times New Roman"/>
                <w:sz w:val="22"/>
                <w:szCs w:val="22"/>
              </w:rPr>
              <w:t>219.55</w:t>
            </w:r>
          </w:p>
        </w:tc>
        <w:tc>
          <w:tcPr>
            <w:tcW w:w="0" w:type="auto"/>
            <w:vAlign w:val="center"/>
            <w:hideMark/>
          </w:tcPr>
          <w:p w14:paraId="6F860DB9" w14:textId="77777777" w:rsidR="00937698" w:rsidRPr="00871479" w:rsidRDefault="00937698" w:rsidP="00871479">
            <w:pPr>
              <w:pStyle w:val="NoSpacing"/>
              <w:jc w:val="center"/>
              <w:rPr>
                <w:rFonts w:ascii="Times New Roman" w:hAnsi="Times New Roman" w:cs="Times New Roman"/>
                <w:sz w:val="22"/>
                <w:szCs w:val="22"/>
              </w:rPr>
            </w:pPr>
            <w:r w:rsidRPr="00871479">
              <w:rPr>
                <w:rFonts w:ascii="Times New Roman" w:hAnsi="Times New Roman" w:cs="Times New Roman"/>
                <w:sz w:val="22"/>
                <w:szCs w:val="22"/>
              </w:rPr>
              <w:t>47.95</w:t>
            </w:r>
          </w:p>
        </w:tc>
        <w:tc>
          <w:tcPr>
            <w:tcW w:w="0" w:type="auto"/>
            <w:vAlign w:val="center"/>
            <w:hideMark/>
          </w:tcPr>
          <w:p w14:paraId="04C954BE" w14:textId="77777777" w:rsidR="00937698" w:rsidRPr="00871479" w:rsidRDefault="00937698" w:rsidP="00871479">
            <w:pPr>
              <w:pStyle w:val="NoSpacing"/>
              <w:jc w:val="center"/>
              <w:rPr>
                <w:rFonts w:ascii="Times New Roman" w:hAnsi="Times New Roman" w:cs="Times New Roman"/>
                <w:sz w:val="22"/>
                <w:szCs w:val="22"/>
              </w:rPr>
            </w:pPr>
            <w:r w:rsidRPr="00871479">
              <w:rPr>
                <w:rFonts w:ascii="Times New Roman" w:hAnsi="Times New Roman" w:cs="Times New Roman"/>
                <w:sz w:val="22"/>
                <w:szCs w:val="22"/>
              </w:rPr>
              <w:t>267.50</w:t>
            </w:r>
          </w:p>
        </w:tc>
        <w:tc>
          <w:tcPr>
            <w:tcW w:w="0" w:type="auto"/>
            <w:vAlign w:val="center"/>
            <w:hideMark/>
          </w:tcPr>
          <w:p w14:paraId="3AC4AB1B" w14:textId="77777777" w:rsidR="00937698" w:rsidRPr="00871479" w:rsidRDefault="00937698" w:rsidP="00871479">
            <w:pPr>
              <w:pStyle w:val="NoSpacing"/>
              <w:jc w:val="center"/>
              <w:rPr>
                <w:rFonts w:ascii="Times New Roman" w:hAnsi="Times New Roman" w:cs="Times New Roman"/>
                <w:sz w:val="22"/>
                <w:szCs w:val="22"/>
              </w:rPr>
            </w:pPr>
            <w:r w:rsidRPr="00871479">
              <w:rPr>
                <w:rFonts w:ascii="Times New Roman" w:hAnsi="Times New Roman" w:cs="Times New Roman"/>
                <w:sz w:val="22"/>
                <w:szCs w:val="22"/>
              </w:rPr>
              <w:t>226.80</w:t>
            </w:r>
          </w:p>
        </w:tc>
        <w:tc>
          <w:tcPr>
            <w:tcW w:w="0" w:type="auto"/>
            <w:vAlign w:val="center"/>
            <w:hideMark/>
          </w:tcPr>
          <w:p w14:paraId="25E4F97C" w14:textId="77777777" w:rsidR="00937698" w:rsidRPr="00871479" w:rsidRDefault="00937698" w:rsidP="00871479">
            <w:pPr>
              <w:pStyle w:val="NoSpacing"/>
              <w:jc w:val="center"/>
              <w:rPr>
                <w:rFonts w:ascii="Times New Roman" w:hAnsi="Times New Roman" w:cs="Times New Roman"/>
                <w:sz w:val="22"/>
                <w:szCs w:val="22"/>
              </w:rPr>
            </w:pPr>
            <w:r w:rsidRPr="00871479">
              <w:rPr>
                <w:rFonts w:ascii="Times New Roman" w:hAnsi="Times New Roman" w:cs="Times New Roman"/>
                <w:sz w:val="22"/>
                <w:szCs w:val="22"/>
              </w:rPr>
              <w:t>5.48</w:t>
            </w:r>
          </w:p>
        </w:tc>
        <w:tc>
          <w:tcPr>
            <w:tcW w:w="0" w:type="auto"/>
            <w:vAlign w:val="center"/>
            <w:hideMark/>
          </w:tcPr>
          <w:p w14:paraId="5C43D93F" w14:textId="77777777" w:rsidR="00937698" w:rsidRPr="00871479" w:rsidRDefault="00937698" w:rsidP="00871479">
            <w:pPr>
              <w:pStyle w:val="NoSpacing"/>
              <w:jc w:val="center"/>
              <w:rPr>
                <w:rFonts w:ascii="Times New Roman" w:hAnsi="Times New Roman" w:cs="Times New Roman"/>
                <w:sz w:val="22"/>
                <w:szCs w:val="22"/>
              </w:rPr>
            </w:pPr>
            <w:r w:rsidRPr="00871479">
              <w:rPr>
                <w:rFonts w:ascii="Times New Roman" w:hAnsi="Times New Roman" w:cs="Times New Roman"/>
                <w:sz w:val="22"/>
                <w:szCs w:val="22"/>
              </w:rPr>
              <w:t>18.34</w:t>
            </w:r>
          </w:p>
        </w:tc>
        <w:tc>
          <w:tcPr>
            <w:tcW w:w="0" w:type="auto"/>
            <w:vAlign w:val="center"/>
            <w:hideMark/>
          </w:tcPr>
          <w:p w14:paraId="31F21F81" w14:textId="77777777" w:rsidR="00937698" w:rsidRPr="00871479" w:rsidRDefault="00937698" w:rsidP="00871479">
            <w:pPr>
              <w:pStyle w:val="NoSpacing"/>
              <w:jc w:val="center"/>
              <w:rPr>
                <w:rFonts w:ascii="Times New Roman" w:hAnsi="Times New Roman" w:cs="Times New Roman"/>
                <w:sz w:val="22"/>
                <w:szCs w:val="22"/>
              </w:rPr>
            </w:pPr>
            <w:r w:rsidRPr="00871479">
              <w:rPr>
                <w:rFonts w:ascii="Times New Roman" w:hAnsi="Times New Roman" w:cs="Times New Roman"/>
                <w:sz w:val="22"/>
                <w:szCs w:val="22"/>
              </w:rPr>
              <w:t>250.62</w:t>
            </w:r>
          </w:p>
        </w:tc>
      </w:tr>
      <w:tr w:rsidR="00937698" w:rsidRPr="00871479" w14:paraId="7471ABD1" w14:textId="77777777" w:rsidTr="00871479">
        <w:tc>
          <w:tcPr>
            <w:tcW w:w="0" w:type="auto"/>
            <w:hideMark/>
          </w:tcPr>
          <w:p w14:paraId="514E8A3D" w14:textId="77777777" w:rsidR="00937698" w:rsidRPr="00871479" w:rsidRDefault="00937698" w:rsidP="00B77C0B">
            <w:pPr>
              <w:pStyle w:val="NoSpacing"/>
              <w:rPr>
                <w:rFonts w:ascii="Times New Roman" w:hAnsi="Times New Roman" w:cs="Times New Roman"/>
                <w:sz w:val="22"/>
                <w:szCs w:val="22"/>
              </w:rPr>
            </w:pPr>
            <w:r w:rsidRPr="00871479">
              <w:rPr>
                <w:rFonts w:ascii="Times New Roman" w:hAnsi="Times New Roman" w:cs="Times New Roman"/>
                <w:sz w:val="22"/>
                <w:szCs w:val="22"/>
              </w:rPr>
              <w:t>Rajasthan</w:t>
            </w:r>
          </w:p>
        </w:tc>
        <w:tc>
          <w:tcPr>
            <w:tcW w:w="0" w:type="auto"/>
            <w:vAlign w:val="center"/>
            <w:hideMark/>
          </w:tcPr>
          <w:p w14:paraId="4D1A39A0" w14:textId="77777777" w:rsidR="00937698" w:rsidRPr="00871479" w:rsidRDefault="00937698" w:rsidP="00871479">
            <w:pPr>
              <w:pStyle w:val="NoSpacing"/>
              <w:jc w:val="center"/>
              <w:rPr>
                <w:rFonts w:ascii="Times New Roman" w:hAnsi="Times New Roman" w:cs="Times New Roman"/>
                <w:sz w:val="22"/>
                <w:szCs w:val="22"/>
              </w:rPr>
            </w:pPr>
            <w:r w:rsidRPr="00871479">
              <w:rPr>
                <w:rFonts w:ascii="Times New Roman" w:hAnsi="Times New Roman" w:cs="Times New Roman"/>
                <w:sz w:val="22"/>
                <w:szCs w:val="22"/>
              </w:rPr>
              <w:t>500.27</w:t>
            </w:r>
          </w:p>
        </w:tc>
        <w:tc>
          <w:tcPr>
            <w:tcW w:w="0" w:type="auto"/>
            <w:vAlign w:val="center"/>
            <w:hideMark/>
          </w:tcPr>
          <w:p w14:paraId="02218572" w14:textId="77777777" w:rsidR="00937698" w:rsidRPr="00871479" w:rsidRDefault="00937698" w:rsidP="00871479">
            <w:pPr>
              <w:pStyle w:val="NoSpacing"/>
              <w:jc w:val="center"/>
              <w:rPr>
                <w:rFonts w:ascii="Times New Roman" w:hAnsi="Times New Roman" w:cs="Times New Roman"/>
                <w:sz w:val="22"/>
                <w:szCs w:val="22"/>
              </w:rPr>
            </w:pPr>
            <w:r w:rsidRPr="00871479">
              <w:rPr>
                <w:rFonts w:ascii="Times New Roman" w:hAnsi="Times New Roman" w:cs="Times New Roman"/>
                <w:sz w:val="22"/>
                <w:szCs w:val="22"/>
              </w:rPr>
              <w:t>197.39</w:t>
            </w:r>
          </w:p>
        </w:tc>
        <w:tc>
          <w:tcPr>
            <w:tcW w:w="0" w:type="auto"/>
            <w:vAlign w:val="center"/>
            <w:hideMark/>
          </w:tcPr>
          <w:p w14:paraId="5B09237B" w14:textId="77777777" w:rsidR="00937698" w:rsidRPr="00871479" w:rsidRDefault="00937698" w:rsidP="00871479">
            <w:pPr>
              <w:pStyle w:val="NoSpacing"/>
              <w:jc w:val="center"/>
              <w:rPr>
                <w:rFonts w:ascii="Times New Roman" w:hAnsi="Times New Roman" w:cs="Times New Roman"/>
                <w:sz w:val="22"/>
                <w:szCs w:val="22"/>
              </w:rPr>
            </w:pPr>
            <w:r w:rsidRPr="00871479">
              <w:rPr>
                <w:rFonts w:ascii="Times New Roman" w:hAnsi="Times New Roman" w:cs="Times New Roman"/>
                <w:sz w:val="22"/>
                <w:szCs w:val="22"/>
              </w:rPr>
              <w:t>112.35</w:t>
            </w:r>
          </w:p>
        </w:tc>
        <w:tc>
          <w:tcPr>
            <w:tcW w:w="0" w:type="auto"/>
            <w:vAlign w:val="center"/>
            <w:hideMark/>
          </w:tcPr>
          <w:p w14:paraId="08A300F4" w14:textId="77777777" w:rsidR="00937698" w:rsidRPr="00871479" w:rsidRDefault="00937698" w:rsidP="00871479">
            <w:pPr>
              <w:pStyle w:val="NoSpacing"/>
              <w:jc w:val="center"/>
              <w:rPr>
                <w:rFonts w:ascii="Times New Roman" w:hAnsi="Times New Roman" w:cs="Times New Roman"/>
                <w:sz w:val="22"/>
                <w:szCs w:val="22"/>
              </w:rPr>
            </w:pPr>
            <w:r w:rsidRPr="00871479">
              <w:rPr>
                <w:rFonts w:ascii="Times New Roman" w:hAnsi="Times New Roman" w:cs="Times New Roman"/>
                <w:sz w:val="22"/>
                <w:szCs w:val="22"/>
              </w:rPr>
              <w:t>52.44</w:t>
            </w:r>
          </w:p>
        </w:tc>
        <w:tc>
          <w:tcPr>
            <w:tcW w:w="0" w:type="auto"/>
            <w:vAlign w:val="center"/>
            <w:hideMark/>
          </w:tcPr>
          <w:p w14:paraId="70683DE5" w14:textId="77777777" w:rsidR="00937698" w:rsidRPr="00871479" w:rsidRDefault="00937698" w:rsidP="00871479">
            <w:pPr>
              <w:pStyle w:val="NoSpacing"/>
              <w:jc w:val="center"/>
              <w:rPr>
                <w:rFonts w:ascii="Times New Roman" w:hAnsi="Times New Roman" w:cs="Times New Roman"/>
                <w:sz w:val="22"/>
                <w:szCs w:val="22"/>
              </w:rPr>
            </w:pPr>
            <w:r w:rsidRPr="00871479">
              <w:rPr>
                <w:rFonts w:ascii="Times New Roman" w:hAnsi="Times New Roman" w:cs="Times New Roman"/>
                <w:sz w:val="22"/>
                <w:szCs w:val="22"/>
              </w:rPr>
              <w:t>164.79</w:t>
            </w:r>
          </w:p>
        </w:tc>
        <w:tc>
          <w:tcPr>
            <w:tcW w:w="0" w:type="auto"/>
            <w:vAlign w:val="center"/>
            <w:hideMark/>
          </w:tcPr>
          <w:p w14:paraId="6A1B6F4D" w14:textId="77777777" w:rsidR="00937698" w:rsidRPr="00871479" w:rsidRDefault="00937698" w:rsidP="00871479">
            <w:pPr>
              <w:pStyle w:val="NoSpacing"/>
              <w:jc w:val="center"/>
              <w:rPr>
                <w:rFonts w:ascii="Times New Roman" w:hAnsi="Times New Roman" w:cs="Times New Roman"/>
                <w:sz w:val="22"/>
                <w:szCs w:val="22"/>
              </w:rPr>
            </w:pPr>
            <w:r w:rsidRPr="00871479">
              <w:rPr>
                <w:rFonts w:ascii="Times New Roman" w:hAnsi="Times New Roman" w:cs="Times New Roman"/>
                <w:sz w:val="22"/>
                <w:szCs w:val="22"/>
              </w:rPr>
              <w:t>162.59</w:t>
            </w:r>
          </w:p>
        </w:tc>
        <w:tc>
          <w:tcPr>
            <w:tcW w:w="0" w:type="auto"/>
            <w:vAlign w:val="center"/>
            <w:hideMark/>
          </w:tcPr>
          <w:p w14:paraId="3989D994" w14:textId="77777777" w:rsidR="00937698" w:rsidRPr="00871479" w:rsidRDefault="00937698" w:rsidP="00871479">
            <w:pPr>
              <w:pStyle w:val="NoSpacing"/>
              <w:jc w:val="center"/>
              <w:rPr>
                <w:rFonts w:ascii="Times New Roman" w:hAnsi="Times New Roman" w:cs="Times New Roman"/>
                <w:sz w:val="22"/>
                <w:szCs w:val="22"/>
              </w:rPr>
            </w:pPr>
            <w:r w:rsidRPr="00871479">
              <w:rPr>
                <w:rFonts w:ascii="Times New Roman" w:hAnsi="Times New Roman" w:cs="Times New Roman"/>
                <w:sz w:val="22"/>
                <w:szCs w:val="22"/>
              </w:rPr>
              <w:t>2.46</w:t>
            </w:r>
          </w:p>
        </w:tc>
        <w:tc>
          <w:tcPr>
            <w:tcW w:w="0" w:type="auto"/>
            <w:vAlign w:val="center"/>
            <w:hideMark/>
          </w:tcPr>
          <w:p w14:paraId="786CDF39" w14:textId="77777777" w:rsidR="00937698" w:rsidRPr="00871479" w:rsidRDefault="00937698" w:rsidP="00871479">
            <w:pPr>
              <w:pStyle w:val="NoSpacing"/>
              <w:jc w:val="center"/>
              <w:rPr>
                <w:rFonts w:ascii="Times New Roman" w:hAnsi="Times New Roman" w:cs="Times New Roman"/>
                <w:sz w:val="22"/>
                <w:szCs w:val="22"/>
              </w:rPr>
            </w:pPr>
            <w:r w:rsidRPr="00871479">
              <w:rPr>
                <w:rFonts w:ascii="Times New Roman" w:hAnsi="Times New Roman" w:cs="Times New Roman"/>
                <w:sz w:val="22"/>
                <w:szCs w:val="22"/>
              </w:rPr>
              <w:t>12.39</w:t>
            </w:r>
          </w:p>
        </w:tc>
        <w:tc>
          <w:tcPr>
            <w:tcW w:w="0" w:type="auto"/>
            <w:vAlign w:val="center"/>
            <w:hideMark/>
          </w:tcPr>
          <w:p w14:paraId="03BC9375" w14:textId="77777777" w:rsidR="00937698" w:rsidRPr="00871479" w:rsidRDefault="00937698" w:rsidP="00871479">
            <w:pPr>
              <w:pStyle w:val="NoSpacing"/>
              <w:jc w:val="center"/>
              <w:rPr>
                <w:rFonts w:ascii="Times New Roman" w:hAnsi="Times New Roman" w:cs="Times New Roman"/>
                <w:sz w:val="22"/>
                <w:szCs w:val="22"/>
              </w:rPr>
            </w:pPr>
            <w:r w:rsidRPr="00871479">
              <w:rPr>
                <w:rFonts w:ascii="Times New Roman" w:hAnsi="Times New Roman" w:cs="Times New Roman"/>
                <w:sz w:val="22"/>
                <w:szCs w:val="22"/>
              </w:rPr>
              <w:t>177.44</w:t>
            </w:r>
          </w:p>
        </w:tc>
      </w:tr>
      <w:tr w:rsidR="00937698" w:rsidRPr="00871479" w14:paraId="3438E431" w14:textId="77777777" w:rsidTr="00871479">
        <w:tc>
          <w:tcPr>
            <w:tcW w:w="0" w:type="auto"/>
            <w:hideMark/>
          </w:tcPr>
          <w:p w14:paraId="47D97998" w14:textId="77777777" w:rsidR="00937698" w:rsidRPr="00871479" w:rsidRDefault="00937698" w:rsidP="00B77C0B">
            <w:pPr>
              <w:pStyle w:val="NoSpacing"/>
              <w:rPr>
                <w:rFonts w:ascii="Times New Roman" w:hAnsi="Times New Roman" w:cs="Times New Roman"/>
                <w:sz w:val="22"/>
                <w:szCs w:val="22"/>
              </w:rPr>
            </w:pPr>
            <w:r w:rsidRPr="00871479">
              <w:rPr>
                <w:rFonts w:ascii="Times New Roman" w:hAnsi="Times New Roman" w:cs="Times New Roman"/>
                <w:sz w:val="22"/>
                <w:szCs w:val="22"/>
              </w:rPr>
              <w:t>Tamil Nadu</w:t>
            </w:r>
          </w:p>
        </w:tc>
        <w:tc>
          <w:tcPr>
            <w:tcW w:w="0" w:type="auto"/>
            <w:vAlign w:val="center"/>
            <w:hideMark/>
          </w:tcPr>
          <w:p w14:paraId="7D1AA20B" w14:textId="77777777" w:rsidR="00937698" w:rsidRPr="00871479" w:rsidRDefault="00937698" w:rsidP="00871479">
            <w:pPr>
              <w:pStyle w:val="NoSpacing"/>
              <w:jc w:val="center"/>
              <w:rPr>
                <w:rFonts w:ascii="Times New Roman" w:hAnsi="Times New Roman" w:cs="Times New Roman"/>
                <w:sz w:val="22"/>
                <w:szCs w:val="22"/>
              </w:rPr>
            </w:pPr>
            <w:r w:rsidRPr="00871479">
              <w:rPr>
                <w:rFonts w:ascii="Times New Roman" w:hAnsi="Times New Roman" w:cs="Times New Roman"/>
                <w:sz w:val="22"/>
                <w:szCs w:val="22"/>
              </w:rPr>
              <w:t>484.94</w:t>
            </w:r>
          </w:p>
        </w:tc>
        <w:tc>
          <w:tcPr>
            <w:tcW w:w="0" w:type="auto"/>
            <w:vAlign w:val="center"/>
            <w:hideMark/>
          </w:tcPr>
          <w:p w14:paraId="01C77A6F" w14:textId="77777777" w:rsidR="00937698" w:rsidRPr="00871479" w:rsidRDefault="00937698" w:rsidP="00871479">
            <w:pPr>
              <w:pStyle w:val="NoSpacing"/>
              <w:jc w:val="center"/>
              <w:rPr>
                <w:rFonts w:ascii="Times New Roman" w:hAnsi="Times New Roman" w:cs="Times New Roman"/>
                <w:sz w:val="22"/>
                <w:szCs w:val="22"/>
              </w:rPr>
            </w:pPr>
            <w:r w:rsidRPr="00871479">
              <w:rPr>
                <w:rFonts w:ascii="Times New Roman" w:hAnsi="Times New Roman" w:cs="Times New Roman"/>
                <w:sz w:val="22"/>
                <w:szCs w:val="22"/>
              </w:rPr>
              <w:t>125.54</w:t>
            </w:r>
          </w:p>
        </w:tc>
        <w:tc>
          <w:tcPr>
            <w:tcW w:w="0" w:type="auto"/>
            <w:vAlign w:val="center"/>
            <w:hideMark/>
          </w:tcPr>
          <w:p w14:paraId="5CB0A04E" w14:textId="77777777" w:rsidR="00937698" w:rsidRPr="00871479" w:rsidRDefault="00937698" w:rsidP="00871479">
            <w:pPr>
              <w:pStyle w:val="NoSpacing"/>
              <w:jc w:val="center"/>
              <w:rPr>
                <w:rFonts w:ascii="Times New Roman" w:hAnsi="Times New Roman" w:cs="Times New Roman"/>
                <w:sz w:val="22"/>
                <w:szCs w:val="22"/>
              </w:rPr>
            </w:pPr>
            <w:r w:rsidRPr="00871479">
              <w:rPr>
                <w:rFonts w:ascii="Times New Roman" w:hAnsi="Times New Roman" w:cs="Times New Roman"/>
                <w:sz w:val="22"/>
                <w:szCs w:val="22"/>
              </w:rPr>
              <w:t>220.96</w:t>
            </w:r>
          </w:p>
        </w:tc>
        <w:tc>
          <w:tcPr>
            <w:tcW w:w="0" w:type="auto"/>
            <w:vAlign w:val="center"/>
            <w:hideMark/>
          </w:tcPr>
          <w:p w14:paraId="7F02C213" w14:textId="77777777" w:rsidR="00937698" w:rsidRPr="00871479" w:rsidRDefault="00937698" w:rsidP="00871479">
            <w:pPr>
              <w:pStyle w:val="NoSpacing"/>
              <w:jc w:val="center"/>
              <w:rPr>
                <w:rFonts w:ascii="Times New Roman" w:hAnsi="Times New Roman" w:cs="Times New Roman"/>
                <w:sz w:val="22"/>
                <w:szCs w:val="22"/>
              </w:rPr>
            </w:pPr>
            <w:r w:rsidRPr="00871479">
              <w:rPr>
                <w:rFonts w:ascii="Times New Roman" w:hAnsi="Times New Roman" w:cs="Times New Roman"/>
                <w:sz w:val="22"/>
                <w:szCs w:val="22"/>
              </w:rPr>
              <w:t>137.23</w:t>
            </w:r>
          </w:p>
        </w:tc>
        <w:tc>
          <w:tcPr>
            <w:tcW w:w="0" w:type="auto"/>
            <w:vAlign w:val="center"/>
            <w:hideMark/>
          </w:tcPr>
          <w:p w14:paraId="27DC5FC5" w14:textId="77777777" w:rsidR="00937698" w:rsidRPr="00871479" w:rsidRDefault="00937698" w:rsidP="00871479">
            <w:pPr>
              <w:pStyle w:val="NoSpacing"/>
              <w:jc w:val="center"/>
              <w:rPr>
                <w:rFonts w:ascii="Times New Roman" w:hAnsi="Times New Roman" w:cs="Times New Roman"/>
                <w:sz w:val="22"/>
                <w:szCs w:val="22"/>
              </w:rPr>
            </w:pPr>
            <w:r w:rsidRPr="00871479">
              <w:rPr>
                <w:rFonts w:ascii="Times New Roman" w:hAnsi="Times New Roman" w:cs="Times New Roman"/>
                <w:sz w:val="22"/>
                <w:szCs w:val="22"/>
              </w:rPr>
              <w:t>358.19</w:t>
            </w:r>
          </w:p>
        </w:tc>
        <w:tc>
          <w:tcPr>
            <w:tcW w:w="0" w:type="auto"/>
            <w:vAlign w:val="center"/>
            <w:hideMark/>
          </w:tcPr>
          <w:p w14:paraId="4C52CEA0" w14:textId="77777777" w:rsidR="00937698" w:rsidRPr="00871479" w:rsidRDefault="00937698" w:rsidP="00871479">
            <w:pPr>
              <w:pStyle w:val="NoSpacing"/>
              <w:jc w:val="center"/>
              <w:rPr>
                <w:rFonts w:ascii="Times New Roman" w:hAnsi="Times New Roman" w:cs="Times New Roman"/>
                <w:sz w:val="22"/>
                <w:szCs w:val="22"/>
              </w:rPr>
            </w:pPr>
            <w:r w:rsidRPr="00871479">
              <w:rPr>
                <w:rFonts w:ascii="Times New Roman" w:hAnsi="Times New Roman" w:cs="Times New Roman"/>
                <w:sz w:val="22"/>
                <w:szCs w:val="22"/>
              </w:rPr>
              <w:t>96.55</w:t>
            </w:r>
          </w:p>
        </w:tc>
        <w:tc>
          <w:tcPr>
            <w:tcW w:w="0" w:type="auto"/>
            <w:vAlign w:val="center"/>
            <w:hideMark/>
          </w:tcPr>
          <w:p w14:paraId="1FCDA399" w14:textId="77777777" w:rsidR="00937698" w:rsidRPr="00871479" w:rsidRDefault="00937698" w:rsidP="00871479">
            <w:pPr>
              <w:pStyle w:val="NoSpacing"/>
              <w:jc w:val="center"/>
              <w:rPr>
                <w:rFonts w:ascii="Times New Roman" w:hAnsi="Times New Roman" w:cs="Times New Roman"/>
                <w:sz w:val="22"/>
                <w:szCs w:val="22"/>
              </w:rPr>
            </w:pPr>
            <w:r w:rsidRPr="00871479">
              <w:rPr>
                <w:rFonts w:ascii="Times New Roman" w:hAnsi="Times New Roman" w:cs="Times New Roman"/>
                <w:sz w:val="22"/>
                <w:szCs w:val="22"/>
              </w:rPr>
              <w:t>16.01</w:t>
            </w:r>
          </w:p>
        </w:tc>
        <w:tc>
          <w:tcPr>
            <w:tcW w:w="0" w:type="auto"/>
            <w:vAlign w:val="center"/>
            <w:hideMark/>
          </w:tcPr>
          <w:p w14:paraId="2F09E565" w14:textId="77777777" w:rsidR="00937698" w:rsidRPr="00871479" w:rsidRDefault="00937698" w:rsidP="00871479">
            <w:pPr>
              <w:pStyle w:val="NoSpacing"/>
              <w:jc w:val="center"/>
              <w:rPr>
                <w:rFonts w:ascii="Times New Roman" w:hAnsi="Times New Roman" w:cs="Times New Roman"/>
                <w:sz w:val="22"/>
                <w:szCs w:val="22"/>
              </w:rPr>
            </w:pPr>
            <w:r w:rsidRPr="00871479">
              <w:rPr>
                <w:rFonts w:ascii="Times New Roman" w:hAnsi="Times New Roman" w:cs="Times New Roman"/>
                <w:sz w:val="22"/>
                <w:szCs w:val="22"/>
              </w:rPr>
              <w:t>33.78</w:t>
            </w:r>
          </w:p>
        </w:tc>
        <w:tc>
          <w:tcPr>
            <w:tcW w:w="0" w:type="auto"/>
            <w:vAlign w:val="center"/>
            <w:hideMark/>
          </w:tcPr>
          <w:p w14:paraId="29B2321A" w14:textId="77777777" w:rsidR="00937698" w:rsidRPr="00871479" w:rsidRDefault="00937698" w:rsidP="00871479">
            <w:pPr>
              <w:pStyle w:val="NoSpacing"/>
              <w:jc w:val="center"/>
              <w:rPr>
                <w:rFonts w:ascii="Times New Roman" w:hAnsi="Times New Roman" w:cs="Times New Roman"/>
                <w:sz w:val="22"/>
                <w:szCs w:val="22"/>
              </w:rPr>
            </w:pPr>
            <w:r w:rsidRPr="00871479">
              <w:rPr>
                <w:rFonts w:ascii="Times New Roman" w:hAnsi="Times New Roman" w:cs="Times New Roman"/>
                <w:sz w:val="22"/>
                <w:szCs w:val="22"/>
              </w:rPr>
              <w:t>146.34</w:t>
            </w:r>
          </w:p>
        </w:tc>
      </w:tr>
      <w:tr w:rsidR="00937698" w:rsidRPr="00871479" w14:paraId="5657CC54" w14:textId="77777777" w:rsidTr="00871479">
        <w:tc>
          <w:tcPr>
            <w:tcW w:w="0" w:type="auto"/>
            <w:hideMark/>
          </w:tcPr>
          <w:p w14:paraId="0596EFFD" w14:textId="77777777" w:rsidR="00937698" w:rsidRPr="00871479" w:rsidRDefault="00937698" w:rsidP="00B77C0B">
            <w:pPr>
              <w:pStyle w:val="NoSpacing"/>
              <w:rPr>
                <w:rFonts w:ascii="Times New Roman" w:hAnsi="Times New Roman" w:cs="Times New Roman"/>
                <w:sz w:val="22"/>
                <w:szCs w:val="22"/>
              </w:rPr>
            </w:pPr>
            <w:r w:rsidRPr="00871479">
              <w:rPr>
                <w:rFonts w:ascii="Times New Roman" w:hAnsi="Times New Roman" w:cs="Times New Roman"/>
                <w:sz w:val="22"/>
                <w:szCs w:val="22"/>
              </w:rPr>
              <w:t>Uttar Pradesh</w:t>
            </w:r>
          </w:p>
        </w:tc>
        <w:tc>
          <w:tcPr>
            <w:tcW w:w="0" w:type="auto"/>
            <w:vAlign w:val="center"/>
            <w:hideMark/>
          </w:tcPr>
          <w:p w14:paraId="0A817BA1" w14:textId="77777777" w:rsidR="00937698" w:rsidRPr="00871479" w:rsidRDefault="00937698" w:rsidP="00871479">
            <w:pPr>
              <w:pStyle w:val="NoSpacing"/>
              <w:jc w:val="center"/>
              <w:rPr>
                <w:rFonts w:ascii="Times New Roman" w:hAnsi="Times New Roman" w:cs="Times New Roman"/>
                <w:sz w:val="22"/>
                <w:szCs w:val="22"/>
              </w:rPr>
            </w:pPr>
            <w:r w:rsidRPr="00871479">
              <w:rPr>
                <w:rFonts w:ascii="Times New Roman" w:hAnsi="Times New Roman" w:cs="Times New Roman"/>
                <w:sz w:val="22"/>
                <w:szCs w:val="22"/>
              </w:rPr>
              <w:t>812.28</w:t>
            </w:r>
          </w:p>
        </w:tc>
        <w:tc>
          <w:tcPr>
            <w:tcW w:w="0" w:type="auto"/>
            <w:vAlign w:val="center"/>
            <w:hideMark/>
          </w:tcPr>
          <w:p w14:paraId="2470843D" w14:textId="77777777" w:rsidR="00937698" w:rsidRPr="00871479" w:rsidRDefault="00937698" w:rsidP="00871479">
            <w:pPr>
              <w:pStyle w:val="NoSpacing"/>
              <w:jc w:val="center"/>
              <w:rPr>
                <w:rFonts w:ascii="Times New Roman" w:hAnsi="Times New Roman" w:cs="Times New Roman"/>
                <w:sz w:val="22"/>
                <w:szCs w:val="22"/>
              </w:rPr>
            </w:pPr>
            <w:r w:rsidRPr="00871479">
              <w:rPr>
                <w:rFonts w:ascii="Times New Roman" w:hAnsi="Times New Roman" w:cs="Times New Roman"/>
                <w:sz w:val="22"/>
                <w:szCs w:val="22"/>
              </w:rPr>
              <w:t>92.07</w:t>
            </w:r>
          </w:p>
        </w:tc>
        <w:tc>
          <w:tcPr>
            <w:tcW w:w="0" w:type="auto"/>
            <w:vAlign w:val="center"/>
            <w:hideMark/>
          </w:tcPr>
          <w:p w14:paraId="0B8DED35" w14:textId="77777777" w:rsidR="00937698" w:rsidRPr="00871479" w:rsidRDefault="00937698" w:rsidP="00871479">
            <w:pPr>
              <w:pStyle w:val="NoSpacing"/>
              <w:jc w:val="center"/>
              <w:rPr>
                <w:rFonts w:ascii="Times New Roman" w:hAnsi="Times New Roman" w:cs="Times New Roman"/>
                <w:sz w:val="22"/>
                <w:szCs w:val="22"/>
              </w:rPr>
            </w:pPr>
            <w:r w:rsidRPr="00871479">
              <w:rPr>
                <w:rFonts w:ascii="Times New Roman" w:hAnsi="Times New Roman" w:cs="Times New Roman"/>
                <w:sz w:val="22"/>
                <w:szCs w:val="22"/>
              </w:rPr>
              <w:t>410.82</w:t>
            </w:r>
          </w:p>
        </w:tc>
        <w:tc>
          <w:tcPr>
            <w:tcW w:w="0" w:type="auto"/>
            <w:vAlign w:val="center"/>
            <w:hideMark/>
          </w:tcPr>
          <w:p w14:paraId="5ED1C3F2" w14:textId="77777777" w:rsidR="00937698" w:rsidRPr="00871479" w:rsidRDefault="00937698" w:rsidP="00871479">
            <w:pPr>
              <w:pStyle w:val="NoSpacing"/>
              <w:jc w:val="center"/>
              <w:rPr>
                <w:rFonts w:ascii="Times New Roman" w:hAnsi="Times New Roman" w:cs="Times New Roman"/>
                <w:sz w:val="22"/>
                <w:szCs w:val="22"/>
              </w:rPr>
            </w:pPr>
            <w:r w:rsidRPr="00871479">
              <w:rPr>
                <w:rFonts w:ascii="Times New Roman" w:hAnsi="Times New Roman" w:cs="Times New Roman"/>
                <w:sz w:val="22"/>
                <w:szCs w:val="22"/>
              </w:rPr>
              <w:t>149.11</w:t>
            </w:r>
          </w:p>
        </w:tc>
        <w:tc>
          <w:tcPr>
            <w:tcW w:w="0" w:type="auto"/>
            <w:vAlign w:val="center"/>
            <w:hideMark/>
          </w:tcPr>
          <w:p w14:paraId="305715DF" w14:textId="77777777" w:rsidR="00937698" w:rsidRPr="00871479" w:rsidRDefault="00937698" w:rsidP="00871479">
            <w:pPr>
              <w:pStyle w:val="NoSpacing"/>
              <w:jc w:val="center"/>
              <w:rPr>
                <w:rFonts w:ascii="Times New Roman" w:hAnsi="Times New Roman" w:cs="Times New Roman"/>
                <w:sz w:val="22"/>
                <w:szCs w:val="22"/>
              </w:rPr>
            </w:pPr>
            <w:r w:rsidRPr="00871479">
              <w:rPr>
                <w:rFonts w:ascii="Times New Roman" w:hAnsi="Times New Roman" w:cs="Times New Roman"/>
                <w:sz w:val="22"/>
                <w:szCs w:val="22"/>
              </w:rPr>
              <w:t>559.93</w:t>
            </w:r>
          </w:p>
        </w:tc>
        <w:tc>
          <w:tcPr>
            <w:tcW w:w="0" w:type="auto"/>
            <w:vAlign w:val="center"/>
            <w:hideMark/>
          </w:tcPr>
          <w:p w14:paraId="17EEE8A0" w14:textId="77777777" w:rsidR="00937698" w:rsidRPr="00871479" w:rsidRDefault="00937698" w:rsidP="00871479">
            <w:pPr>
              <w:pStyle w:val="NoSpacing"/>
              <w:jc w:val="center"/>
              <w:rPr>
                <w:rFonts w:ascii="Times New Roman" w:hAnsi="Times New Roman" w:cs="Times New Roman"/>
                <w:sz w:val="22"/>
                <w:szCs w:val="22"/>
              </w:rPr>
            </w:pPr>
            <w:r w:rsidRPr="00871479">
              <w:rPr>
                <w:rFonts w:ascii="Times New Roman" w:hAnsi="Times New Roman" w:cs="Times New Roman"/>
                <w:sz w:val="22"/>
                <w:szCs w:val="22"/>
              </w:rPr>
              <w:t>244.61</w:t>
            </w:r>
          </w:p>
        </w:tc>
        <w:tc>
          <w:tcPr>
            <w:tcW w:w="0" w:type="auto"/>
            <w:vAlign w:val="center"/>
            <w:hideMark/>
          </w:tcPr>
          <w:p w14:paraId="435F0915" w14:textId="77777777" w:rsidR="00937698" w:rsidRPr="00871479" w:rsidRDefault="00937698" w:rsidP="00871479">
            <w:pPr>
              <w:pStyle w:val="NoSpacing"/>
              <w:jc w:val="center"/>
              <w:rPr>
                <w:rFonts w:ascii="Times New Roman" w:hAnsi="Times New Roman" w:cs="Times New Roman"/>
                <w:sz w:val="22"/>
                <w:szCs w:val="22"/>
              </w:rPr>
            </w:pPr>
            <w:r w:rsidRPr="00871479">
              <w:rPr>
                <w:rFonts w:ascii="Times New Roman" w:hAnsi="Times New Roman" w:cs="Times New Roman"/>
                <w:sz w:val="22"/>
                <w:szCs w:val="22"/>
              </w:rPr>
              <w:t>18.74</w:t>
            </w:r>
          </w:p>
        </w:tc>
        <w:tc>
          <w:tcPr>
            <w:tcW w:w="0" w:type="auto"/>
            <w:vAlign w:val="center"/>
            <w:hideMark/>
          </w:tcPr>
          <w:p w14:paraId="2FEC44FE" w14:textId="77777777" w:rsidR="00937698" w:rsidRPr="00871479" w:rsidRDefault="00937698" w:rsidP="00871479">
            <w:pPr>
              <w:pStyle w:val="NoSpacing"/>
              <w:jc w:val="center"/>
              <w:rPr>
                <w:rFonts w:ascii="Times New Roman" w:hAnsi="Times New Roman" w:cs="Times New Roman"/>
                <w:sz w:val="22"/>
                <w:szCs w:val="22"/>
              </w:rPr>
            </w:pPr>
            <w:r w:rsidRPr="00871479">
              <w:rPr>
                <w:rFonts w:ascii="Times New Roman" w:hAnsi="Times New Roman" w:cs="Times New Roman"/>
                <w:sz w:val="22"/>
                <w:szCs w:val="22"/>
              </w:rPr>
              <w:t>51.29</w:t>
            </w:r>
          </w:p>
        </w:tc>
        <w:tc>
          <w:tcPr>
            <w:tcW w:w="0" w:type="auto"/>
            <w:vAlign w:val="center"/>
            <w:hideMark/>
          </w:tcPr>
          <w:p w14:paraId="161FA05D" w14:textId="77777777" w:rsidR="00937698" w:rsidRPr="00871479" w:rsidRDefault="00937698" w:rsidP="00871479">
            <w:pPr>
              <w:pStyle w:val="NoSpacing"/>
              <w:jc w:val="center"/>
              <w:rPr>
                <w:rFonts w:ascii="Times New Roman" w:hAnsi="Times New Roman" w:cs="Times New Roman"/>
                <w:sz w:val="22"/>
                <w:szCs w:val="22"/>
              </w:rPr>
            </w:pPr>
            <w:r w:rsidRPr="00871479">
              <w:rPr>
                <w:rFonts w:ascii="Times New Roman" w:hAnsi="Times New Roman" w:cs="Times New Roman"/>
                <w:sz w:val="22"/>
                <w:szCs w:val="22"/>
              </w:rPr>
              <w:t>314.64</w:t>
            </w:r>
          </w:p>
        </w:tc>
      </w:tr>
      <w:tr w:rsidR="00937698" w:rsidRPr="00871479" w14:paraId="611F6B09" w14:textId="77777777" w:rsidTr="00871479">
        <w:tc>
          <w:tcPr>
            <w:tcW w:w="0" w:type="auto"/>
            <w:hideMark/>
          </w:tcPr>
          <w:p w14:paraId="0146835E" w14:textId="77777777" w:rsidR="00937698" w:rsidRPr="00871479" w:rsidRDefault="00937698" w:rsidP="00B77C0B">
            <w:pPr>
              <w:pStyle w:val="NoSpacing"/>
              <w:rPr>
                <w:rFonts w:ascii="Times New Roman" w:hAnsi="Times New Roman" w:cs="Times New Roman"/>
                <w:sz w:val="22"/>
                <w:szCs w:val="22"/>
              </w:rPr>
            </w:pPr>
            <w:r w:rsidRPr="00871479">
              <w:rPr>
                <w:rFonts w:ascii="Times New Roman" w:hAnsi="Times New Roman" w:cs="Times New Roman"/>
                <w:sz w:val="22"/>
                <w:szCs w:val="22"/>
              </w:rPr>
              <w:t>West Bengal</w:t>
            </w:r>
          </w:p>
        </w:tc>
        <w:tc>
          <w:tcPr>
            <w:tcW w:w="0" w:type="auto"/>
            <w:vAlign w:val="center"/>
            <w:hideMark/>
          </w:tcPr>
          <w:p w14:paraId="092A6041" w14:textId="77777777" w:rsidR="00937698" w:rsidRPr="00871479" w:rsidRDefault="00937698" w:rsidP="00871479">
            <w:pPr>
              <w:pStyle w:val="NoSpacing"/>
              <w:jc w:val="center"/>
              <w:rPr>
                <w:rFonts w:ascii="Times New Roman" w:hAnsi="Times New Roman" w:cs="Times New Roman"/>
                <w:sz w:val="22"/>
                <w:szCs w:val="22"/>
              </w:rPr>
            </w:pPr>
            <w:r w:rsidRPr="00871479">
              <w:rPr>
                <w:rFonts w:ascii="Times New Roman" w:hAnsi="Times New Roman" w:cs="Times New Roman"/>
                <w:sz w:val="22"/>
                <w:szCs w:val="22"/>
              </w:rPr>
              <w:t>590.91</w:t>
            </w:r>
          </w:p>
        </w:tc>
        <w:tc>
          <w:tcPr>
            <w:tcW w:w="0" w:type="auto"/>
            <w:vAlign w:val="center"/>
            <w:hideMark/>
          </w:tcPr>
          <w:p w14:paraId="39BB4C72" w14:textId="77777777" w:rsidR="00937698" w:rsidRPr="00871479" w:rsidRDefault="00937698" w:rsidP="00871479">
            <w:pPr>
              <w:pStyle w:val="NoSpacing"/>
              <w:jc w:val="center"/>
              <w:rPr>
                <w:rFonts w:ascii="Times New Roman" w:hAnsi="Times New Roman" w:cs="Times New Roman"/>
                <w:sz w:val="22"/>
                <w:szCs w:val="22"/>
              </w:rPr>
            </w:pPr>
            <w:r w:rsidRPr="00871479">
              <w:rPr>
                <w:rFonts w:ascii="Times New Roman" w:hAnsi="Times New Roman" w:cs="Times New Roman"/>
                <w:sz w:val="22"/>
                <w:szCs w:val="22"/>
              </w:rPr>
              <w:t>136.24</w:t>
            </w:r>
          </w:p>
        </w:tc>
        <w:tc>
          <w:tcPr>
            <w:tcW w:w="0" w:type="auto"/>
            <w:vAlign w:val="center"/>
            <w:hideMark/>
          </w:tcPr>
          <w:p w14:paraId="6170848C" w14:textId="77777777" w:rsidR="00937698" w:rsidRPr="00871479" w:rsidRDefault="00937698" w:rsidP="00871479">
            <w:pPr>
              <w:pStyle w:val="NoSpacing"/>
              <w:jc w:val="center"/>
              <w:rPr>
                <w:rFonts w:ascii="Times New Roman" w:hAnsi="Times New Roman" w:cs="Times New Roman"/>
                <w:sz w:val="22"/>
                <w:szCs w:val="22"/>
              </w:rPr>
            </w:pPr>
            <w:r w:rsidRPr="00871479">
              <w:rPr>
                <w:rFonts w:ascii="Times New Roman" w:hAnsi="Times New Roman" w:cs="Times New Roman"/>
                <w:sz w:val="22"/>
                <w:szCs w:val="22"/>
              </w:rPr>
              <w:t>68.50</w:t>
            </w:r>
          </w:p>
        </w:tc>
        <w:tc>
          <w:tcPr>
            <w:tcW w:w="0" w:type="auto"/>
            <w:vAlign w:val="center"/>
            <w:hideMark/>
          </w:tcPr>
          <w:p w14:paraId="3499C9D3" w14:textId="77777777" w:rsidR="00937698" w:rsidRPr="00871479" w:rsidRDefault="00937698" w:rsidP="00871479">
            <w:pPr>
              <w:pStyle w:val="NoSpacing"/>
              <w:jc w:val="center"/>
              <w:rPr>
                <w:rFonts w:ascii="Times New Roman" w:hAnsi="Times New Roman" w:cs="Times New Roman"/>
                <w:sz w:val="22"/>
                <w:szCs w:val="22"/>
              </w:rPr>
            </w:pPr>
            <w:r w:rsidRPr="00871479">
              <w:rPr>
                <w:rFonts w:ascii="Times New Roman" w:hAnsi="Times New Roman" w:cs="Times New Roman"/>
                <w:sz w:val="22"/>
                <w:szCs w:val="22"/>
              </w:rPr>
              <w:t>129.72</w:t>
            </w:r>
          </w:p>
        </w:tc>
        <w:tc>
          <w:tcPr>
            <w:tcW w:w="0" w:type="auto"/>
            <w:vAlign w:val="center"/>
            <w:hideMark/>
          </w:tcPr>
          <w:p w14:paraId="0AE06AC3" w14:textId="77777777" w:rsidR="00937698" w:rsidRPr="00871479" w:rsidRDefault="00937698" w:rsidP="00871479">
            <w:pPr>
              <w:pStyle w:val="NoSpacing"/>
              <w:jc w:val="center"/>
              <w:rPr>
                <w:rFonts w:ascii="Times New Roman" w:hAnsi="Times New Roman" w:cs="Times New Roman"/>
                <w:sz w:val="22"/>
                <w:szCs w:val="22"/>
              </w:rPr>
            </w:pPr>
            <w:r w:rsidRPr="00871479">
              <w:rPr>
                <w:rFonts w:ascii="Times New Roman" w:hAnsi="Times New Roman" w:cs="Times New Roman"/>
                <w:sz w:val="22"/>
                <w:szCs w:val="22"/>
              </w:rPr>
              <w:t>198.22</w:t>
            </w:r>
          </w:p>
        </w:tc>
        <w:tc>
          <w:tcPr>
            <w:tcW w:w="0" w:type="auto"/>
            <w:vAlign w:val="center"/>
            <w:hideMark/>
          </w:tcPr>
          <w:p w14:paraId="5E6C7CC6" w14:textId="77777777" w:rsidR="00937698" w:rsidRPr="00871479" w:rsidRDefault="00937698" w:rsidP="00871479">
            <w:pPr>
              <w:pStyle w:val="NoSpacing"/>
              <w:jc w:val="center"/>
              <w:rPr>
                <w:rFonts w:ascii="Times New Roman" w:hAnsi="Times New Roman" w:cs="Times New Roman"/>
                <w:sz w:val="22"/>
                <w:szCs w:val="22"/>
              </w:rPr>
            </w:pPr>
            <w:r w:rsidRPr="00871479">
              <w:rPr>
                <w:rFonts w:ascii="Times New Roman" w:hAnsi="Times New Roman" w:cs="Times New Roman"/>
                <w:sz w:val="22"/>
                <w:szCs w:val="22"/>
              </w:rPr>
              <w:t>157.98</w:t>
            </w:r>
          </w:p>
        </w:tc>
        <w:tc>
          <w:tcPr>
            <w:tcW w:w="0" w:type="auto"/>
            <w:vAlign w:val="center"/>
            <w:hideMark/>
          </w:tcPr>
          <w:p w14:paraId="02FBB224" w14:textId="77777777" w:rsidR="00937698" w:rsidRPr="00871479" w:rsidRDefault="00937698" w:rsidP="00871479">
            <w:pPr>
              <w:pStyle w:val="NoSpacing"/>
              <w:jc w:val="center"/>
              <w:rPr>
                <w:rFonts w:ascii="Times New Roman" w:hAnsi="Times New Roman" w:cs="Times New Roman"/>
                <w:sz w:val="22"/>
                <w:szCs w:val="22"/>
              </w:rPr>
            </w:pPr>
            <w:r w:rsidRPr="00871479">
              <w:rPr>
                <w:rFonts w:ascii="Times New Roman" w:hAnsi="Times New Roman" w:cs="Times New Roman"/>
                <w:sz w:val="22"/>
                <w:szCs w:val="22"/>
              </w:rPr>
              <w:t>8.60</w:t>
            </w:r>
          </w:p>
        </w:tc>
        <w:tc>
          <w:tcPr>
            <w:tcW w:w="0" w:type="auto"/>
            <w:vAlign w:val="center"/>
            <w:hideMark/>
          </w:tcPr>
          <w:p w14:paraId="0CEDCC5F" w14:textId="77777777" w:rsidR="00937698" w:rsidRPr="00871479" w:rsidRDefault="00937698" w:rsidP="00871479">
            <w:pPr>
              <w:pStyle w:val="NoSpacing"/>
              <w:jc w:val="center"/>
              <w:rPr>
                <w:rFonts w:ascii="Times New Roman" w:hAnsi="Times New Roman" w:cs="Times New Roman"/>
                <w:sz w:val="22"/>
                <w:szCs w:val="22"/>
              </w:rPr>
            </w:pPr>
            <w:r w:rsidRPr="00871479">
              <w:rPr>
                <w:rFonts w:ascii="Times New Roman" w:hAnsi="Times New Roman" w:cs="Times New Roman"/>
                <w:sz w:val="22"/>
                <w:szCs w:val="22"/>
              </w:rPr>
              <w:t>12.39</w:t>
            </w:r>
          </w:p>
        </w:tc>
        <w:tc>
          <w:tcPr>
            <w:tcW w:w="0" w:type="auto"/>
            <w:vAlign w:val="center"/>
            <w:hideMark/>
          </w:tcPr>
          <w:p w14:paraId="19C62252" w14:textId="77777777" w:rsidR="00937698" w:rsidRPr="00871479" w:rsidRDefault="00937698" w:rsidP="00871479">
            <w:pPr>
              <w:pStyle w:val="NoSpacing"/>
              <w:jc w:val="center"/>
              <w:rPr>
                <w:rFonts w:ascii="Times New Roman" w:hAnsi="Times New Roman" w:cs="Times New Roman"/>
                <w:sz w:val="22"/>
                <w:szCs w:val="22"/>
              </w:rPr>
            </w:pPr>
            <w:r w:rsidRPr="00871479">
              <w:rPr>
                <w:rFonts w:ascii="Times New Roman" w:hAnsi="Times New Roman" w:cs="Times New Roman"/>
                <w:sz w:val="22"/>
                <w:szCs w:val="22"/>
              </w:rPr>
              <w:t>178.97</w:t>
            </w:r>
          </w:p>
        </w:tc>
      </w:tr>
      <w:tr w:rsidR="00937698" w:rsidRPr="00871479" w14:paraId="0266F8CF" w14:textId="77777777" w:rsidTr="00871479">
        <w:tc>
          <w:tcPr>
            <w:tcW w:w="0" w:type="auto"/>
            <w:hideMark/>
          </w:tcPr>
          <w:p w14:paraId="0D5A1F43" w14:textId="77777777" w:rsidR="00937698" w:rsidRPr="00871479" w:rsidRDefault="00937698" w:rsidP="00B77C0B">
            <w:pPr>
              <w:pStyle w:val="NoSpacing"/>
              <w:rPr>
                <w:rFonts w:ascii="Times New Roman" w:hAnsi="Times New Roman" w:cs="Times New Roman"/>
                <w:sz w:val="22"/>
                <w:szCs w:val="22"/>
              </w:rPr>
            </w:pPr>
            <w:r w:rsidRPr="00871479">
              <w:rPr>
                <w:rFonts w:ascii="Times New Roman" w:hAnsi="Times New Roman" w:cs="Times New Roman"/>
                <w:sz w:val="22"/>
                <w:szCs w:val="22"/>
              </w:rPr>
              <w:t>TOTAL</w:t>
            </w:r>
          </w:p>
        </w:tc>
        <w:tc>
          <w:tcPr>
            <w:tcW w:w="0" w:type="auto"/>
            <w:vAlign w:val="center"/>
            <w:hideMark/>
          </w:tcPr>
          <w:p w14:paraId="556E072F" w14:textId="77777777" w:rsidR="00937698" w:rsidRPr="00871479" w:rsidRDefault="00937698" w:rsidP="00871479">
            <w:pPr>
              <w:pStyle w:val="NoSpacing"/>
              <w:jc w:val="center"/>
              <w:rPr>
                <w:rFonts w:ascii="Times New Roman" w:hAnsi="Times New Roman" w:cs="Times New Roman"/>
                <w:sz w:val="22"/>
                <w:szCs w:val="22"/>
              </w:rPr>
            </w:pPr>
            <w:r w:rsidRPr="00871479">
              <w:rPr>
                <w:rFonts w:ascii="Times New Roman" w:hAnsi="Times New Roman" w:cs="Times New Roman"/>
                <w:sz w:val="22"/>
                <w:szCs w:val="22"/>
              </w:rPr>
              <w:t>6923.81</w:t>
            </w:r>
          </w:p>
        </w:tc>
        <w:tc>
          <w:tcPr>
            <w:tcW w:w="0" w:type="auto"/>
            <w:vAlign w:val="center"/>
            <w:hideMark/>
          </w:tcPr>
          <w:p w14:paraId="7916789A" w14:textId="77777777" w:rsidR="00937698" w:rsidRPr="00871479" w:rsidRDefault="00937698" w:rsidP="00871479">
            <w:pPr>
              <w:pStyle w:val="NoSpacing"/>
              <w:jc w:val="center"/>
              <w:rPr>
                <w:rFonts w:ascii="Times New Roman" w:hAnsi="Times New Roman" w:cs="Times New Roman"/>
                <w:sz w:val="22"/>
                <w:szCs w:val="22"/>
              </w:rPr>
            </w:pPr>
            <w:r w:rsidRPr="00871479">
              <w:rPr>
                <w:rFonts w:ascii="Times New Roman" w:hAnsi="Times New Roman" w:cs="Times New Roman"/>
                <w:sz w:val="22"/>
                <w:szCs w:val="22"/>
              </w:rPr>
              <w:t>132.96</w:t>
            </w:r>
          </w:p>
        </w:tc>
        <w:tc>
          <w:tcPr>
            <w:tcW w:w="0" w:type="auto"/>
            <w:vAlign w:val="center"/>
            <w:hideMark/>
          </w:tcPr>
          <w:p w14:paraId="6E1DA6AD" w14:textId="77777777" w:rsidR="00937698" w:rsidRPr="00871479" w:rsidRDefault="00937698" w:rsidP="00871479">
            <w:pPr>
              <w:pStyle w:val="NoSpacing"/>
              <w:jc w:val="center"/>
              <w:rPr>
                <w:rFonts w:ascii="Times New Roman" w:hAnsi="Times New Roman" w:cs="Times New Roman"/>
                <w:sz w:val="22"/>
                <w:szCs w:val="22"/>
              </w:rPr>
            </w:pPr>
            <w:r w:rsidRPr="00871479">
              <w:rPr>
                <w:rFonts w:ascii="Times New Roman" w:hAnsi="Times New Roman" w:cs="Times New Roman"/>
                <w:sz w:val="22"/>
                <w:szCs w:val="22"/>
              </w:rPr>
              <w:t>1930.90</w:t>
            </w:r>
          </w:p>
        </w:tc>
        <w:tc>
          <w:tcPr>
            <w:tcW w:w="0" w:type="auto"/>
            <w:vAlign w:val="center"/>
            <w:hideMark/>
          </w:tcPr>
          <w:p w14:paraId="02902912" w14:textId="77777777" w:rsidR="00937698" w:rsidRPr="00871479" w:rsidRDefault="00937698" w:rsidP="00871479">
            <w:pPr>
              <w:pStyle w:val="NoSpacing"/>
              <w:jc w:val="center"/>
              <w:rPr>
                <w:rFonts w:ascii="Times New Roman" w:hAnsi="Times New Roman" w:cs="Times New Roman"/>
                <w:sz w:val="22"/>
                <w:szCs w:val="22"/>
              </w:rPr>
            </w:pPr>
            <w:r w:rsidRPr="00871479">
              <w:rPr>
                <w:rFonts w:ascii="Times New Roman" w:hAnsi="Times New Roman" w:cs="Times New Roman"/>
                <w:sz w:val="22"/>
                <w:szCs w:val="22"/>
              </w:rPr>
              <w:t>1229.03</w:t>
            </w:r>
          </w:p>
        </w:tc>
        <w:tc>
          <w:tcPr>
            <w:tcW w:w="0" w:type="auto"/>
            <w:vAlign w:val="center"/>
            <w:hideMark/>
          </w:tcPr>
          <w:p w14:paraId="6F845281" w14:textId="77777777" w:rsidR="00937698" w:rsidRPr="00871479" w:rsidRDefault="00937698" w:rsidP="00871479">
            <w:pPr>
              <w:pStyle w:val="NoSpacing"/>
              <w:jc w:val="center"/>
              <w:rPr>
                <w:rFonts w:ascii="Times New Roman" w:hAnsi="Times New Roman" w:cs="Times New Roman"/>
                <w:sz w:val="22"/>
                <w:szCs w:val="22"/>
              </w:rPr>
            </w:pPr>
            <w:r w:rsidRPr="00871479">
              <w:rPr>
                <w:rFonts w:ascii="Times New Roman" w:hAnsi="Times New Roman" w:cs="Times New Roman"/>
                <w:sz w:val="22"/>
                <w:szCs w:val="22"/>
              </w:rPr>
              <w:t>3159.93</w:t>
            </w:r>
          </w:p>
        </w:tc>
        <w:tc>
          <w:tcPr>
            <w:tcW w:w="0" w:type="auto"/>
            <w:vAlign w:val="center"/>
            <w:hideMark/>
          </w:tcPr>
          <w:p w14:paraId="425E1D32" w14:textId="77777777" w:rsidR="00937698" w:rsidRPr="00871479" w:rsidRDefault="00937698" w:rsidP="00871479">
            <w:pPr>
              <w:pStyle w:val="NoSpacing"/>
              <w:jc w:val="center"/>
              <w:rPr>
                <w:rFonts w:ascii="Times New Roman" w:hAnsi="Times New Roman" w:cs="Times New Roman"/>
                <w:sz w:val="22"/>
                <w:szCs w:val="22"/>
              </w:rPr>
            </w:pPr>
            <w:r w:rsidRPr="00871479">
              <w:rPr>
                <w:rFonts w:ascii="Times New Roman" w:hAnsi="Times New Roman" w:cs="Times New Roman"/>
                <w:sz w:val="22"/>
                <w:szCs w:val="22"/>
              </w:rPr>
              <w:t>2206.93</w:t>
            </w:r>
          </w:p>
        </w:tc>
        <w:tc>
          <w:tcPr>
            <w:tcW w:w="0" w:type="auto"/>
            <w:vAlign w:val="center"/>
            <w:hideMark/>
          </w:tcPr>
          <w:p w14:paraId="2F92DB29" w14:textId="77777777" w:rsidR="00937698" w:rsidRPr="00871479" w:rsidRDefault="00937698" w:rsidP="00871479">
            <w:pPr>
              <w:pStyle w:val="NoSpacing"/>
              <w:jc w:val="center"/>
              <w:rPr>
                <w:rFonts w:ascii="Times New Roman" w:hAnsi="Times New Roman" w:cs="Times New Roman"/>
                <w:sz w:val="22"/>
                <w:szCs w:val="22"/>
              </w:rPr>
            </w:pPr>
            <w:r w:rsidRPr="00871479">
              <w:rPr>
                <w:rFonts w:ascii="Times New Roman" w:hAnsi="Times New Roman" w:cs="Times New Roman"/>
                <w:sz w:val="22"/>
                <w:szCs w:val="22"/>
              </w:rPr>
              <w:t>401.36</w:t>
            </w:r>
          </w:p>
        </w:tc>
        <w:tc>
          <w:tcPr>
            <w:tcW w:w="0" w:type="auto"/>
            <w:vAlign w:val="center"/>
            <w:hideMark/>
          </w:tcPr>
          <w:p w14:paraId="2FEE7F20" w14:textId="77777777" w:rsidR="00937698" w:rsidRPr="00871479" w:rsidRDefault="00937698" w:rsidP="00871479">
            <w:pPr>
              <w:pStyle w:val="NoSpacing"/>
              <w:jc w:val="center"/>
              <w:rPr>
                <w:rFonts w:ascii="Times New Roman" w:hAnsi="Times New Roman" w:cs="Times New Roman"/>
                <w:sz w:val="22"/>
                <w:szCs w:val="22"/>
              </w:rPr>
            </w:pPr>
            <w:r w:rsidRPr="00871479">
              <w:rPr>
                <w:rFonts w:ascii="Times New Roman" w:hAnsi="Times New Roman" w:cs="Times New Roman"/>
                <w:sz w:val="22"/>
                <w:szCs w:val="22"/>
              </w:rPr>
              <w:t>505.55</w:t>
            </w:r>
          </w:p>
        </w:tc>
        <w:tc>
          <w:tcPr>
            <w:tcW w:w="0" w:type="auto"/>
            <w:vAlign w:val="center"/>
            <w:hideMark/>
          </w:tcPr>
          <w:p w14:paraId="6B8FB02F" w14:textId="77777777" w:rsidR="00937698" w:rsidRPr="00871479" w:rsidRDefault="00937698" w:rsidP="00871479">
            <w:pPr>
              <w:pStyle w:val="NoSpacing"/>
              <w:jc w:val="center"/>
              <w:rPr>
                <w:rFonts w:ascii="Times New Roman" w:hAnsi="Times New Roman" w:cs="Times New Roman"/>
                <w:sz w:val="22"/>
                <w:szCs w:val="22"/>
              </w:rPr>
            </w:pPr>
            <w:r w:rsidRPr="00871479">
              <w:rPr>
                <w:rFonts w:ascii="Times New Roman" w:hAnsi="Times New Roman" w:cs="Times New Roman"/>
                <w:sz w:val="22"/>
                <w:szCs w:val="22"/>
              </w:rPr>
              <w:t>3113.72</w:t>
            </w:r>
          </w:p>
        </w:tc>
      </w:tr>
    </w:tbl>
    <w:p w14:paraId="35BB3015" w14:textId="68EA5355" w:rsidR="00937698" w:rsidRPr="00871479" w:rsidRDefault="00937698" w:rsidP="00871479">
      <w:pPr>
        <w:tabs>
          <w:tab w:val="left" w:pos="3306"/>
        </w:tabs>
        <w:spacing w:after="0"/>
        <w:rPr>
          <w:rFonts w:ascii="Times New Roman" w:hAnsi="Times New Roman" w:cs="Times New Roman"/>
          <w:szCs w:val="24"/>
        </w:rPr>
      </w:pPr>
      <w:r w:rsidRPr="00871479">
        <w:rPr>
          <w:rFonts w:ascii="Times New Roman" w:hAnsi="Times New Roman" w:cs="Times New Roman"/>
          <w:sz w:val="20"/>
          <w:szCs w:val="20"/>
        </w:rPr>
        <w:t>Source: State Finance Accounts for 1967-68 and State Budgets for 1969-70.</w:t>
      </w:r>
      <w:r w:rsidRPr="00871479">
        <w:rPr>
          <w:rFonts w:ascii="Times New Roman" w:hAnsi="Times New Roman" w:cs="Times New Roman"/>
          <w:sz w:val="20"/>
          <w:szCs w:val="20"/>
        </w:rPr>
        <w:br/>
        <w:t>NOTE: Allocation of capital expenditure of the erstwhile State of Punjab between the reorganised States of Punjab and Haryana does not appear to have been</w:t>
      </w:r>
      <w:r w:rsidR="00A412CF" w:rsidRPr="00871479">
        <w:rPr>
          <w:rFonts w:ascii="Times New Roman" w:hAnsi="Times New Roman" w:cs="Times New Roman"/>
          <w:sz w:val="20"/>
          <w:szCs w:val="20"/>
        </w:rPr>
        <w:t xml:space="preserve"> </w:t>
      </w:r>
      <w:r w:rsidRPr="00871479">
        <w:rPr>
          <w:rFonts w:ascii="Times New Roman" w:hAnsi="Times New Roman" w:cs="Times New Roman"/>
          <w:sz w:val="20"/>
          <w:szCs w:val="20"/>
        </w:rPr>
        <w:t>carried out</w:t>
      </w:r>
      <w:r w:rsidRPr="00871479">
        <w:rPr>
          <w:rFonts w:ascii="Times New Roman" w:hAnsi="Times New Roman" w:cs="Times New Roman"/>
          <w:szCs w:val="24"/>
        </w:rPr>
        <w:t>.</w:t>
      </w:r>
    </w:p>
    <w:p w14:paraId="7AD5090D" w14:textId="34A068F5" w:rsidR="00937698" w:rsidRPr="0085699D" w:rsidRDefault="00574BCE" w:rsidP="007D2EE4">
      <w:pPr>
        <w:pStyle w:val="Heading4"/>
      </w:pPr>
      <w:bookmarkStart w:id="156" w:name="_Toc220949722"/>
      <w:bookmarkStart w:id="157" w:name="_Toc221114322"/>
      <w:bookmarkStart w:id="158" w:name="_Toc221115345"/>
      <w:r>
        <w:lastRenderedPageBreak/>
        <w:t>Table</w:t>
      </w:r>
      <w:r w:rsidR="00937698" w:rsidRPr="0085699D">
        <w:t xml:space="preserve"> 41: Details of total loans and advances and physical assets of State Governments as on 31-3-1969 (Estimates)</w:t>
      </w:r>
      <w:bookmarkEnd w:id="156"/>
      <w:bookmarkEnd w:id="157"/>
      <w:bookmarkEnd w:id="158"/>
    </w:p>
    <w:p w14:paraId="59C929FD" w14:textId="77777777" w:rsidR="00937698" w:rsidRPr="0085699D" w:rsidRDefault="00937698" w:rsidP="00937698">
      <w:pPr>
        <w:tabs>
          <w:tab w:val="left" w:pos="3306"/>
        </w:tabs>
        <w:spacing w:after="0"/>
        <w:jc w:val="right"/>
        <w:rPr>
          <w:rFonts w:ascii="Times New Roman" w:hAnsi="Times New Roman" w:cs="Times New Roman"/>
          <w:i/>
          <w:iCs/>
          <w:szCs w:val="24"/>
        </w:rPr>
      </w:pPr>
      <w:r w:rsidRPr="0085699D">
        <w:rPr>
          <w:rFonts w:ascii="Times New Roman" w:hAnsi="Times New Roman" w:cs="Times New Roman"/>
          <w:i/>
          <w:iCs/>
          <w:szCs w:val="24"/>
        </w:rPr>
        <w:t>(Rs. crores except figures in brackets)</w:t>
      </w:r>
    </w:p>
    <w:tbl>
      <w:tblPr>
        <w:tblStyle w:val="TableGrid"/>
        <w:tblW w:w="14743" w:type="dxa"/>
        <w:tblInd w:w="-714" w:type="dxa"/>
        <w:tblLayout w:type="fixed"/>
        <w:tblLook w:val="04A0" w:firstRow="1" w:lastRow="0" w:firstColumn="1" w:lastColumn="0" w:noHBand="0" w:noVBand="1"/>
      </w:tblPr>
      <w:tblGrid>
        <w:gridCol w:w="993"/>
        <w:gridCol w:w="992"/>
        <w:gridCol w:w="851"/>
        <w:gridCol w:w="914"/>
        <w:gridCol w:w="977"/>
        <w:gridCol w:w="709"/>
        <w:gridCol w:w="767"/>
        <w:gridCol w:w="594"/>
        <w:gridCol w:w="671"/>
        <w:gridCol w:w="988"/>
        <w:gridCol w:w="758"/>
        <w:gridCol w:w="947"/>
        <w:gridCol w:w="988"/>
        <w:gridCol w:w="900"/>
        <w:gridCol w:w="851"/>
        <w:gridCol w:w="850"/>
        <w:gridCol w:w="993"/>
      </w:tblGrid>
      <w:tr w:rsidR="0085699D" w:rsidRPr="0085699D" w14:paraId="335DB492" w14:textId="77777777" w:rsidTr="00871479">
        <w:trPr>
          <w:trHeight w:val="318"/>
        </w:trPr>
        <w:tc>
          <w:tcPr>
            <w:tcW w:w="993" w:type="dxa"/>
            <w:vMerge w:val="restart"/>
            <w:vAlign w:val="center"/>
          </w:tcPr>
          <w:p w14:paraId="155CA8E7" w14:textId="77777777" w:rsidR="0085699D" w:rsidRPr="00871479" w:rsidRDefault="0085699D" w:rsidP="00871479">
            <w:pPr>
              <w:pStyle w:val="NoSpacing"/>
              <w:jc w:val="center"/>
              <w:rPr>
                <w:rFonts w:ascii="Times New Roman" w:hAnsi="Times New Roman" w:cs="Times New Roman"/>
                <w:b/>
                <w:bCs/>
                <w:sz w:val="18"/>
                <w:szCs w:val="18"/>
              </w:rPr>
            </w:pPr>
            <w:r w:rsidRPr="00871479">
              <w:rPr>
                <w:rFonts w:ascii="Times New Roman" w:hAnsi="Times New Roman" w:cs="Times New Roman"/>
                <w:b/>
                <w:bCs/>
                <w:sz w:val="18"/>
                <w:szCs w:val="18"/>
              </w:rPr>
              <w:t>States</w:t>
            </w:r>
          </w:p>
        </w:tc>
        <w:tc>
          <w:tcPr>
            <w:tcW w:w="2757" w:type="dxa"/>
            <w:gridSpan w:val="3"/>
            <w:vAlign w:val="center"/>
          </w:tcPr>
          <w:p w14:paraId="1EC85F2A" w14:textId="77777777" w:rsidR="0085699D" w:rsidRPr="00871479" w:rsidRDefault="0085699D" w:rsidP="00871479">
            <w:pPr>
              <w:pStyle w:val="NoSpacing"/>
              <w:jc w:val="center"/>
              <w:rPr>
                <w:rFonts w:ascii="Times New Roman" w:hAnsi="Times New Roman" w:cs="Times New Roman"/>
                <w:b/>
                <w:bCs/>
                <w:sz w:val="18"/>
                <w:szCs w:val="18"/>
              </w:rPr>
            </w:pPr>
            <w:r w:rsidRPr="00871479">
              <w:rPr>
                <w:rFonts w:ascii="Times New Roman" w:hAnsi="Times New Roman" w:cs="Times New Roman"/>
                <w:b/>
                <w:bCs/>
                <w:sz w:val="18"/>
                <w:szCs w:val="18"/>
              </w:rPr>
              <w:t>Loans and Advances</w:t>
            </w:r>
          </w:p>
        </w:tc>
        <w:tc>
          <w:tcPr>
            <w:tcW w:w="3718" w:type="dxa"/>
            <w:gridSpan w:val="5"/>
            <w:vAlign w:val="center"/>
          </w:tcPr>
          <w:p w14:paraId="07F79F69" w14:textId="77777777" w:rsidR="0085699D" w:rsidRPr="00871479" w:rsidRDefault="0085699D" w:rsidP="00871479">
            <w:pPr>
              <w:pStyle w:val="NoSpacing"/>
              <w:jc w:val="center"/>
              <w:rPr>
                <w:rFonts w:ascii="Times New Roman" w:hAnsi="Times New Roman" w:cs="Times New Roman"/>
                <w:b/>
                <w:bCs/>
                <w:sz w:val="18"/>
                <w:szCs w:val="18"/>
              </w:rPr>
            </w:pPr>
            <w:r w:rsidRPr="00871479">
              <w:rPr>
                <w:rFonts w:ascii="Times New Roman" w:hAnsi="Times New Roman" w:cs="Times New Roman"/>
                <w:b/>
                <w:bCs/>
                <w:sz w:val="18"/>
                <w:szCs w:val="18"/>
              </w:rPr>
              <w:t>Productive outlays -</w:t>
            </w:r>
          </w:p>
        </w:tc>
        <w:tc>
          <w:tcPr>
            <w:tcW w:w="6282" w:type="dxa"/>
            <w:gridSpan w:val="7"/>
            <w:vAlign w:val="center"/>
          </w:tcPr>
          <w:p w14:paraId="41AB27C2" w14:textId="77777777" w:rsidR="0085699D" w:rsidRPr="00871479" w:rsidRDefault="0085699D" w:rsidP="00871479">
            <w:pPr>
              <w:pStyle w:val="NoSpacing"/>
              <w:jc w:val="center"/>
              <w:rPr>
                <w:rFonts w:ascii="Times New Roman" w:hAnsi="Times New Roman" w:cs="Times New Roman"/>
                <w:b/>
                <w:bCs/>
                <w:sz w:val="18"/>
                <w:szCs w:val="18"/>
              </w:rPr>
            </w:pPr>
            <w:r w:rsidRPr="00871479">
              <w:rPr>
                <w:rFonts w:ascii="Times New Roman" w:hAnsi="Times New Roman" w:cs="Times New Roman"/>
                <w:b/>
                <w:bCs/>
                <w:sz w:val="18"/>
                <w:szCs w:val="18"/>
              </w:rPr>
              <w:t>Unproductive outlays -</w:t>
            </w:r>
          </w:p>
        </w:tc>
        <w:tc>
          <w:tcPr>
            <w:tcW w:w="993" w:type="dxa"/>
            <w:vMerge w:val="restart"/>
            <w:vAlign w:val="center"/>
          </w:tcPr>
          <w:p w14:paraId="5E21022F" w14:textId="008BE463" w:rsidR="0085699D" w:rsidRPr="00871479" w:rsidRDefault="0085699D" w:rsidP="00871479">
            <w:pPr>
              <w:pStyle w:val="NoSpacing"/>
              <w:jc w:val="center"/>
              <w:rPr>
                <w:rFonts w:ascii="Times New Roman" w:hAnsi="Times New Roman" w:cs="Times New Roman"/>
                <w:b/>
                <w:bCs/>
                <w:sz w:val="18"/>
                <w:szCs w:val="18"/>
              </w:rPr>
            </w:pPr>
            <w:r w:rsidRPr="00871479">
              <w:rPr>
                <w:rFonts w:ascii="Times New Roman" w:hAnsi="Times New Roman" w:cs="Times New Roman"/>
                <w:b/>
                <w:bCs/>
                <w:sz w:val="18"/>
                <w:szCs w:val="18"/>
              </w:rPr>
              <w:br/>
              <w:t>Total Assets</w:t>
            </w:r>
          </w:p>
        </w:tc>
      </w:tr>
      <w:tr w:rsidR="0085699D" w:rsidRPr="0085699D" w14:paraId="61362A5B" w14:textId="77777777" w:rsidTr="00871479">
        <w:trPr>
          <w:trHeight w:val="651"/>
        </w:trPr>
        <w:tc>
          <w:tcPr>
            <w:tcW w:w="993" w:type="dxa"/>
            <w:vMerge/>
            <w:vAlign w:val="center"/>
            <w:hideMark/>
          </w:tcPr>
          <w:p w14:paraId="2CE5034E" w14:textId="77777777" w:rsidR="0085699D" w:rsidRPr="00871479" w:rsidRDefault="0085699D" w:rsidP="00871479">
            <w:pPr>
              <w:pStyle w:val="NoSpacing"/>
              <w:jc w:val="center"/>
              <w:rPr>
                <w:rFonts w:ascii="Times New Roman" w:hAnsi="Times New Roman" w:cs="Times New Roman"/>
                <w:b/>
                <w:bCs/>
                <w:sz w:val="18"/>
                <w:szCs w:val="18"/>
              </w:rPr>
            </w:pPr>
          </w:p>
        </w:tc>
        <w:tc>
          <w:tcPr>
            <w:tcW w:w="992" w:type="dxa"/>
            <w:vAlign w:val="center"/>
            <w:hideMark/>
          </w:tcPr>
          <w:p w14:paraId="68BC9F00" w14:textId="11C54AC9" w:rsidR="0085699D" w:rsidRPr="00871479" w:rsidRDefault="0085699D" w:rsidP="00871479">
            <w:pPr>
              <w:pStyle w:val="NoSpacing"/>
              <w:jc w:val="center"/>
              <w:rPr>
                <w:rFonts w:ascii="Times New Roman" w:hAnsi="Times New Roman" w:cs="Times New Roman"/>
                <w:b/>
                <w:bCs/>
                <w:sz w:val="18"/>
                <w:szCs w:val="18"/>
              </w:rPr>
            </w:pPr>
            <w:r w:rsidRPr="00871479">
              <w:rPr>
                <w:rFonts w:ascii="Times New Roman" w:hAnsi="Times New Roman" w:cs="Times New Roman"/>
                <w:b/>
                <w:bCs/>
                <w:sz w:val="18"/>
                <w:szCs w:val="18"/>
              </w:rPr>
              <w:t>Electricity Boards</w:t>
            </w:r>
          </w:p>
        </w:tc>
        <w:tc>
          <w:tcPr>
            <w:tcW w:w="851" w:type="dxa"/>
            <w:vAlign w:val="center"/>
            <w:hideMark/>
          </w:tcPr>
          <w:p w14:paraId="272CB0C6" w14:textId="58D2C9ED" w:rsidR="0085699D" w:rsidRPr="00871479" w:rsidRDefault="0085699D" w:rsidP="00871479">
            <w:pPr>
              <w:pStyle w:val="NoSpacing"/>
              <w:jc w:val="center"/>
              <w:rPr>
                <w:rFonts w:ascii="Times New Roman" w:hAnsi="Times New Roman" w:cs="Times New Roman"/>
                <w:b/>
                <w:bCs/>
                <w:sz w:val="18"/>
                <w:szCs w:val="18"/>
              </w:rPr>
            </w:pPr>
            <w:r w:rsidRPr="00871479">
              <w:rPr>
                <w:rFonts w:ascii="Times New Roman" w:hAnsi="Times New Roman" w:cs="Times New Roman"/>
                <w:b/>
                <w:bCs/>
                <w:sz w:val="18"/>
                <w:szCs w:val="18"/>
              </w:rPr>
              <w:t>Others</w:t>
            </w:r>
          </w:p>
        </w:tc>
        <w:tc>
          <w:tcPr>
            <w:tcW w:w="914" w:type="dxa"/>
            <w:vAlign w:val="center"/>
            <w:hideMark/>
          </w:tcPr>
          <w:p w14:paraId="78865360" w14:textId="77777777" w:rsidR="0085699D" w:rsidRPr="00871479" w:rsidRDefault="0085699D" w:rsidP="00871479">
            <w:pPr>
              <w:pStyle w:val="NoSpacing"/>
              <w:jc w:val="center"/>
              <w:rPr>
                <w:rFonts w:ascii="Times New Roman" w:hAnsi="Times New Roman" w:cs="Times New Roman"/>
                <w:b/>
                <w:bCs/>
                <w:sz w:val="18"/>
                <w:szCs w:val="18"/>
              </w:rPr>
            </w:pPr>
            <w:r w:rsidRPr="00871479">
              <w:rPr>
                <w:rFonts w:ascii="Times New Roman" w:hAnsi="Times New Roman" w:cs="Times New Roman"/>
                <w:b/>
                <w:bCs/>
                <w:sz w:val="18"/>
                <w:szCs w:val="18"/>
              </w:rPr>
              <w:t>Total</w:t>
            </w:r>
          </w:p>
        </w:tc>
        <w:tc>
          <w:tcPr>
            <w:tcW w:w="977" w:type="dxa"/>
            <w:vAlign w:val="center"/>
            <w:hideMark/>
          </w:tcPr>
          <w:p w14:paraId="54397399" w14:textId="29996453" w:rsidR="0085699D" w:rsidRPr="00871479" w:rsidRDefault="0085699D" w:rsidP="00871479">
            <w:pPr>
              <w:pStyle w:val="NoSpacing"/>
              <w:jc w:val="center"/>
              <w:rPr>
                <w:rFonts w:ascii="Times New Roman" w:hAnsi="Times New Roman" w:cs="Times New Roman"/>
                <w:b/>
                <w:bCs/>
                <w:sz w:val="18"/>
                <w:szCs w:val="18"/>
              </w:rPr>
            </w:pPr>
            <w:r w:rsidRPr="00871479">
              <w:rPr>
                <w:rFonts w:ascii="Times New Roman" w:hAnsi="Times New Roman" w:cs="Times New Roman"/>
                <w:b/>
                <w:bCs/>
                <w:sz w:val="18"/>
                <w:szCs w:val="18"/>
              </w:rPr>
              <w:t>Irrigation (Commercial)</w:t>
            </w:r>
          </w:p>
        </w:tc>
        <w:tc>
          <w:tcPr>
            <w:tcW w:w="709" w:type="dxa"/>
            <w:vAlign w:val="center"/>
            <w:hideMark/>
          </w:tcPr>
          <w:p w14:paraId="3B1499D0" w14:textId="7CAA906D" w:rsidR="0085699D" w:rsidRPr="00871479" w:rsidRDefault="0085699D" w:rsidP="00871479">
            <w:pPr>
              <w:pStyle w:val="NoSpacing"/>
              <w:jc w:val="center"/>
              <w:rPr>
                <w:rFonts w:ascii="Times New Roman" w:hAnsi="Times New Roman" w:cs="Times New Roman"/>
                <w:b/>
                <w:bCs/>
                <w:sz w:val="18"/>
                <w:szCs w:val="18"/>
              </w:rPr>
            </w:pPr>
            <w:r w:rsidRPr="00871479">
              <w:rPr>
                <w:rFonts w:ascii="Times New Roman" w:hAnsi="Times New Roman" w:cs="Times New Roman"/>
                <w:b/>
                <w:bCs/>
                <w:sz w:val="18"/>
                <w:szCs w:val="18"/>
              </w:rPr>
              <w:t>Multi-purpose River Schemes</w:t>
            </w:r>
          </w:p>
        </w:tc>
        <w:tc>
          <w:tcPr>
            <w:tcW w:w="767" w:type="dxa"/>
            <w:vAlign w:val="center"/>
            <w:hideMark/>
          </w:tcPr>
          <w:p w14:paraId="205D8340" w14:textId="3673A25B" w:rsidR="0085699D" w:rsidRPr="00871479" w:rsidRDefault="0085699D" w:rsidP="00871479">
            <w:pPr>
              <w:pStyle w:val="NoSpacing"/>
              <w:jc w:val="center"/>
              <w:rPr>
                <w:rFonts w:ascii="Times New Roman" w:hAnsi="Times New Roman" w:cs="Times New Roman"/>
                <w:b/>
                <w:bCs/>
                <w:sz w:val="18"/>
                <w:szCs w:val="18"/>
              </w:rPr>
            </w:pPr>
            <w:r w:rsidRPr="00871479">
              <w:rPr>
                <w:rFonts w:ascii="Times New Roman" w:hAnsi="Times New Roman" w:cs="Times New Roman"/>
                <w:b/>
                <w:bCs/>
                <w:sz w:val="18"/>
                <w:szCs w:val="18"/>
              </w:rPr>
              <w:t>Electricity Schemes</w:t>
            </w:r>
          </w:p>
        </w:tc>
        <w:tc>
          <w:tcPr>
            <w:tcW w:w="594" w:type="dxa"/>
            <w:vAlign w:val="center"/>
            <w:hideMark/>
          </w:tcPr>
          <w:p w14:paraId="3E80FB0D" w14:textId="0D28412C" w:rsidR="0085699D" w:rsidRPr="00871479" w:rsidRDefault="0085699D" w:rsidP="00871479">
            <w:pPr>
              <w:pStyle w:val="NoSpacing"/>
              <w:jc w:val="center"/>
              <w:rPr>
                <w:rFonts w:ascii="Times New Roman" w:hAnsi="Times New Roman" w:cs="Times New Roman"/>
                <w:b/>
                <w:bCs/>
                <w:sz w:val="18"/>
                <w:szCs w:val="18"/>
              </w:rPr>
            </w:pPr>
            <w:r w:rsidRPr="00871479">
              <w:rPr>
                <w:rFonts w:ascii="Times New Roman" w:hAnsi="Times New Roman" w:cs="Times New Roman"/>
                <w:b/>
                <w:bCs/>
                <w:sz w:val="18"/>
                <w:szCs w:val="18"/>
              </w:rPr>
              <w:t>Others</w:t>
            </w:r>
          </w:p>
        </w:tc>
        <w:tc>
          <w:tcPr>
            <w:tcW w:w="671" w:type="dxa"/>
            <w:vAlign w:val="center"/>
            <w:hideMark/>
          </w:tcPr>
          <w:p w14:paraId="752C0287" w14:textId="5C58ECBB" w:rsidR="0085699D" w:rsidRPr="00871479" w:rsidRDefault="0085699D" w:rsidP="00871479">
            <w:pPr>
              <w:pStyle w:val="NoSpacing"/>
              <w:jc w:val="center"/>
              <w:rPr>
                <w:rFonts w:ascii="Times New Roman" w:hAnsi="Times New Roman" w:cs="Times New Roman"/>
                <w:b/>
                <w:bCs/>
                <w:sz w:val="18"/>
                <w:szCs w:val="18"/>
              </w:rPr>
            </w:pPr>
            <w:r w:rsidRPr="00871479">
              <w:rPr>
                <w:rFonts w:ascii="Times New Roman" w:hAnsi="Times New Roman" w:cs="Times New Roman"/>
                <w:b/>
                <w:bCs/>
                <w:sz w:val="18"/>
                <w:szCs w:val="18"/>
              </w:rPr>
              <w:t>Total</w:t>
            </w:r>
          </w:p>
        </w:tc>
        <w:tc>
          <w:tcPr>
            <w:tcW w:w="988" w:type="dxa"/>
            <w:vAlign w:val="center"/>
            <w:hideMark/>
          </w:tcPr>
          <w:p w14:paraId="3469E8F5" w14:textId="5A7EA12B" w:rsidR="0085699D" w:rsidRPr="00871479" w:rsidRDefault="0085699D" w:rsidP="00871479">
            <w:pPr>
              <w:pStyle w:val="NoSpacing"/>
              <w:jc w:val="center"/>
              <w:rPr>
                <w:rFonts w:ascii="Times New Roman" w:hAnsi="Times New Roman" w:cs="Times New Roman"/>
                <w:b/>
                <w:bCs/>
                <w:sz w:val="18"/>
                <w:szCs w:val="18"/>
              </w:rPr>
            </w:pPr>
            <w:r w:rsidRPr="00871479">
              <w:rPr>
                <w:rFonts w:ascii="Times New Roman" w:hAnsi="Times New Roman" w:cs="Times New Roman"/>
                <w:b/>
                <w:bCs/>
                <w:sz w:val="18"/>
                <w:szCs w:val="18"/>
              </w:rPr>
              <w:t>Unproductive outlays - Irrigation (Non-Commercial)</w:t>
            </w:r>
          </w:p>
        </w:tc>
        <w:tc>
          <w:tcPr>
            <w:tcW w:w="758" w:type="dxa"/>
            <w:vAlign w:val="center"/>
            <w:hideMark/>
          </w:tcPr>
          <w:p w14:paraId="5E1AD8D7" w14:textId="46F9C34A" w:rsidR="0085699D" w:rsidRPr="00871479" w:rsidRDefault="0085699D" w:rsidP="00871479">
            <w:pPr>
              <w:pStyle w:val="NoSpacing"/>
              <w:jc w:val="center"/>
              <w:rPr>
                <w:rFonts w:ascii="Times New Roman" w:hAnsi="Times New Roman" w:cs="Times New Roman"/>
                <w:b/>
                <w:bCs/>
                <w:sz w:val="18"/>
                <w:szCs w:val="18"/>
              </w:rPr>
            </w:pPr>
            <w:r w:rsidRPr="00871479">
              <w:rPr>
                <w:rFonts w:ascii="Times New Roman" w:hAnsi="Times New Roman" w:cs="Times New Roman"/>
                <w:b/>
                <w:bCs/>
                <w:sz w:val="18"/>
                <w:szCs w:val="18"/>
              </w:rPr>
              <w:t>Public Works</w:t>
            </w:r>
          </w:p>
        </w:tc>
        <w:tc>
          <w:tcPr>
            <w:tcW w:w="947" w:type="dxa"/>
            <w:vAlign w:val="center"/>
            <w:hideMark/>
          </w:tcPr>
          <w:p w14:paraId="46FDA824" w14:textId="08D3D6C9" w:rsidR="0085699D" w:rsidRPr="00871479" w:rsidRDefault="0085699D" w:rsidP="00871479">
            <w:pPr>
              <w:pStyle w:val="NoSpacing"/>
              <w:jc w:val="center"/>
              <w:rPr>
                <w:rFonts w:ascii="Times New Roman" w:hAnsi="Times New Roman" w:cs="Times New Roman"/>
                <w:b/>
                <w:bCs/>
                <w:sz w:val="18"/>
                <w:szCs w:val="18"/>
              </w:rPr>
            </w:pPr>
            <w:r w:rsidRPr="00871479">
              <w:rPr>
                <w:rFonts w:ascii="Times New Roman" w:hAnsi="Times New Roman" w:cs="Times New Roman"/>
                <w:b/>
                <w:bCs/>
                <w:sz w:val="18"/>
                <w:szCs w:val="18"/>
              </w:rPr>
              <w:t>Compensation Bonds*</w:t>
            </w:r>
          </w:p>
        </w:tc>
        <w:tc>
          <w:tcPr>
            <w:tcW w:w="988" w:type="dxa"/>
            <w:vAlign w:val="center"/>
            <w:hideMark/>
          </w:tcPr>
          <w:p w14:paraId="0C284679" w14:textId="76C5D176" w:rsidR="0085699D" w:rsidRPr="00871479" w:rsidRDefault="0085699D" w:rsidP="00871479">
            <w:pPr>
              <w:pStyle w:val="NoSpacing"/>
              <w:jc w:val="center"/>
              <w:rPr>
                <w:rFonts w:ascii="Times New Roman" w:hAnsi="Times New Roman" w:cs="Times New Roman"/>
                <w:b/>
                <w:bCs/>
                <w:sz w:val="18"/>
                <w:szCs w:val="18"/>
              </w:rPr>
            </w:pPr>
            <w:r w:rsidRPr="00871479">
              <w:rPr>
                <w:rFonts w:ascii="Times New Roman" w:hAnsi="Times New Roman" w:cs="Times New Roman"/>
                <w:b/>
                <w:bCs/>
                <w:sz w:val="18"/>
                <w:szCs w:val="18"/>
              </w:rPr>
              <w:t>Agriculture</w:t>
            </w:r>
          </w:p>
        </w:tc>
        <w:tc>
          <w:tcPr>
            <w:tcW w:w="900" w:type="dxa"/>
            <w:vAlign w:val="center"/>
            <w:hideMark/>
          </w:tcPr>
          <w:p w14:paraId="002437D3" w14:textId="1E018512" w:rsidR="0085699D" w:rsidRPr="00871479" w:rsidRDefault="0085699D" w:rsidP="00871479">
            <w:pPr>
              <w:pStyle w:val="NoSpacing"/>
              <w:jc w:val="center"/>
              <w:rPr>
                <w:rFonts w:ascii="Times New Roman" w:hAnsi="Times New Roman" w:cs="Times New Roman"/>
                <w:b/>
                <w:bCs/>
                <w:sz w:val="18"/>
                <w:szCs w:val="18"/>
              </w:rPr>
            </w:pPr>
            <w:r w:rsidRPr="00871479">
              <w:rPr>
                <w:rFonts w:ascii="Times New Roman" w:hAnsi="Times New Roman" w:cs="Times New Roman"/>
                <w:b/>
                <w:bCs/>
                <w:sz w:val="18"/>
                <w:szCs w:val="18"/>
              </w:rPr>
              <w:t>Public Health</w:t>
            </w:r>
          </w:p>
        </w:tc>
        <w:tc>
          <w:tcPr>
            <w:tcW w:w="851" w:type="dxa"/>
            <w:vAlign w:val="center"/>
            <w:hideMark/>
          </w:tcPr>
          <w:p w14:paraId="087E3F0C" w14:textId="3B5AB7EA" w:rsidR="0085699D" w:rsidRPr="00871479" w:rsidRDefault="0085699D" w:rsidP="00871479">
            <w:pPr>
              <w:pStyle w:val="NoSpacing"/>
              <w:jc w:val="center"/>
              <w:rPr>
                <w:rFonts w:ascii="Times New Roman" w:hAnsi="Times New Roman" w:cs="Times New Roman"/>
                <w:b/>
                <w:bCs/>
                <w:sz w:val="18"/>
                <w:szCs w:val="18"/>
              </w:rPr>
            </w:pPr>
            <w:r w:rsidRPr="00871479">
              <w:rPr>
                <w:rFonts w:ascii="Times New Roman" w:hAnsi="Times New Roman" w:cs="Times New Roman"/>
                <w:b/>
                <w:bCs/>
                <w:sz w:val="18"/>
                <w:szCs w:val="18"/>
              </w:rPr>
              <w:t>Others</w:t>
            </w:r>
          </w:p>
        </w:tc>
        <w:tc>
          <w:tcPr>
            <w:tcW w:w="850" w:type="dxa"/>
            <w:vAlign w:val="center"/>
            <w:hideMark/>
          </w:tcPr>
          <w:p w14:paraId="6E4554F9" w14:textId="224E6493" w:rsidR="0085699D" w:rsidRPr="00871479" w:rsidRDefault="0085699D" w:rsidP="00871479">
            <w:pPr>
              <w:pStyle w:val="NoSpacing"/>
              <w:jc w:val="center"/>
              <w:rPr>
                <w:rFonts w:ascii="Times New Roman" w:hAnsi="Times New Roman" w:cs="Times New Roman"/>
                <w:b/>
                <w:bCs/>
                <w:sz w:val="18"/>
                <w:szCs w:val="18"/>
              </w:rPr>
            </w:pPr>
            <w:r w:rsidRPr="00871479">
              <w:rPr>
                <w:rFonts w:ascii="Times New Roman" w:hAnsi="Times New Roman" w:cs="Times New Roman"/>
                <w:b/>
                <w:bCs/>
                <w:sz w:val="18"/>
                <w:szCs w:val="18"/>
              </w:rPr>
              <w:t>Total</w:t>
            </w:r>
          </w:p>
        </w:tc>
        <w:tc>
          <w:tcPr>
            <w:tcW w:w="993" w:type="dxa"/>
            <w:vMerge/>
            <w:vAlign w:val="center"/>
            <w:hideMark/>
          </w:tcPr>
          <w:p w14:paraId="74D9C3B7" w14:textId="77777777" w:rsidR="0085699D" w:rsidRPr="00871479" w:rsidRDefault="0085699D" w:rsidP="00871479">
            <w:pPr>
              <w:pStyle w:val="NoSpacing"/>
              <w:jc w:val="center"/>
              <w:rPr>
                <w:rFonts w:ascii="Times New Roman" w:hAnsi="Times New Roman" w:cs="Times New Roman"/>
                <w:b/>
                <w:bCs/>
                <w:sz w:val="18"/>
                <w:szCs w:val="18"/>
              </w:rPr>
            </w:pPr>
          </w:p>
        </w:tc>
      </w:tr>
      <w:tr w:rsidR="00937698" w:rsidRPr="0085699D" w14:paraId="5A29DD03" w14:textId="77777777" w:rsidTr="00871479">
        <w:trPr>
          <w:trHeight w:val="226"/>
        </w:trPr>
        <w:tc>
          <w:tcPr>
            <w:tcW w:w="993" w:type="dxa"/>
            <w:vAlign w:val="center"/>
          </w:tcPr>
          <w:p w14:paraId="7603CE08" w14:textId="77777777" w:rsidR="00937698" w:rsidRPr="00871479" w:rsidRDefault="00937698" w:rsidP="00871479">
            <w:pPr>
              <w:pStyle w:val="NoSpacing"/>
              <w:jc w:val="center"/>
              <w:rPr>
                <w:rFonts w:ascii="Times New Roman" w:hAnsi="Times New Roman" w:cs="Times New Roman"/>
                <w:b/>
                <w:bCs/>
                <w:sz w:val="18"/>
                <w:szCs w:val="18"/>
              </w:rPr>
            </w:pPr>
            <w:r w:rsidRPr="00871479">
              <w:rPr>
                <w:rFonts w:ascii="Times New Roman" w:hAnsi="Times New Roman" w:cs="Times New Roman"/>
                <w:b/>
                <w:bCs/>
                <w:sz w:val="18"/>
                <w:szCs w:val="18"/>
              </w:rPr>
              <w:t>1</w:t>
            </w:r>
          </w:p>
        </w:tc>
        <w:tc>
          <w:tcPr>
            <w:tcW w:w="992" w:type="dxa"/>
            <w:vAlign w:val="center"/>
          </w:tcPr>
          <w:p w14:paraId="0B03F51B" w14:textId="77777777" w:rsidR="00937698" w:rsidRPr="00871479" w:rsidRDefault="00937698" w:rsidP="00871479">
            <w:pPr>
              <w:pStyle w:val="NoSpacing"/>
              <w:jc w:val="center"/>
              <w:rPr>
                <w:rFonts w:ascii="Times New Roman" w:hAnsi="Times New Roman" w:cs="Times New Roman"/>
                <w:b/>
                <w:bCs/>
                <w:sz w:val="18"/>
                <w:szCs w:val="18"/>
              </w:rPr>
            </w:pPr>
            <w:r w:rsidRPr="00871479">
              <w:rPr>
                <w:rFonts w:ascii="Times New Roman" w:hAnsi="Times New Roman" w:cs="Times New Roman"/>
                <w:b/>
                <w:bCs/>
                <w:sz w:val="18"/>
                <w:szCs w:val="18"/>
              </w:rPr>
              <w:t>2</w:t>
            </w:r>
          </w:p>
        </w:tc>
        <w:tc>
          <w:tcPr>
            <w:tcW w:w="851" w:type="dxa"/>
            <w:vAlign w:val="center"/>
          </w:tcPr>
          <w:p w14:paraId="31DECB60" w14:textId="77777777" w:rsidR="00937698" w:rsidRPr="00871479" w:rsidRDefault="00937698" w:rsidP="00871479">
            <w:pPr>
              <w:pStyle w:val="NoSpacing"/>
              <w:jc w:val="center"/>
              <w:rPr>
                <w:rFonts w:ascii="Times New Roman" w:hAnsi="Times New Roman" w:cs="Times New Roman"/>
                <w:b/>
                <w:bCs/>
                <w:sz w:val="18"/>
                <w:szCs w:val="18"/>
              </w:rPr>
            </w:pPr>
            <w:r w:rsidRPr="00871479">
              <w:rPr>
                <w:rFonts w:ascii="Times New Roman" w:hAnsi="Times New Roman" w:cs="Times New Roman"/>
                <w:b/>
                <w:bCs/>
                <w:sz w:val="18"/>
                <w:szCs w:val="18"/>
              </w:rPr>
              <w:t>3</w:t>
            </w:r>
          </w:p>
        </w:tc>
        <w:tc>
          <w:tcPr>
            <w:tcW w:w="914" w:type="dxa"/>
            <w:vAlign w:val="center"/>
          </w:tcPr>
          <w:p w14:paraId="4B2CEF0D" w14:textId="77777777" w:rsidR="00937698" w:rsidRPr="00871479" w:rsidRDefault="00937698" w:rsidP="00871479">
            <w:pPr>
              <w:pStyle w:val="NoSpacing"/>
              <w:jc w:val="center"/>
              <w:rPr>
                <w:rFonts w:ascii="Times New Roman" w:hAnsi="Times New Roman" w:cs="Times New Roman"/>
                <w:b/>
                <w:bCs/>
                <w:sz w:val="18"/>
                <w:szCs w:val="18"/>
              </w:rPr>
            </w:pPr>
            <w:r w:rsidRPr="00871479">
              <w:rPr>
                <w:rFonts w:ascii="Times New Roman" w:hAnsi="Times New Roman" w:cs="Times New Roman"/>
                <w:b/>
                <w:bCs/>
                <w:sz w:val="18"/>
                <w:szCs w:val="18"/>
              </w:rPr>
              <w:t>4</w:t>
            </w:r>
          </w:p>
        </w:tc>
        <w:tc>
          <w:tcPr>
            <w:tcW w:w="977" w:type="dxa"/>
            <w:vAlign w:val="center"/>
          </w:tcPr>
          <w:p w14:paraId="15DBA303" w14:textId="77777777" w:rsidR="00937698" w:rsidRPr="00871479" w:rsidRDefault="00937698" w:rsidP="00871479">
            <w:pPr>
              <w:pStyle w:val="NoSpacing"/>
              <w:jc w:val="center"/>
              <w:rPr>
                <w:rFonts w:ascii="Times New Roman" w:hAnsi="Times New Roman" w:cs="Times New Roman"/>
                <w:b/>
                <w:bCs/>
                <w:sz w:val="18"/>
                <w:szCs w:val="18"/>
              </w:rPr>
            </w:pPr>
            <w:r w:rsidRPr="00871479">
              <w:rPr>
                <w:rFonts w:ascii="Times New Roman" w:hAnsi="Times New Roman" w:cs="Times New Roman"/>
                <w:b/>
                <w:bCs/>
                <w:sz w:val="18"/>
                <w:szCs w:val="18"/>
              </w:rPr>
              <w:t>5</w:t>
            </w:r>
          </w:p>
        </w:tc>
        <w:tc>
          <w:tcPr>
            <w:tcW w:w="709" w:type="dxa"/>
            <w:vAlign w:val="center"/>
          </w:tcPr>
          <w:p w14:paraId="2609630A" w14:textId="77777777" w:rsidR="00937698" w:rsidRPr="00871479" w:rsidRDefault="00937698" w:rsidP="00871479">
            <w:pPr>
              <w:pStyle w:val="NoSpacing"/>
              <w:jc w:val="center"/>
              <w:rPr>
                <w:rFonts w:ascii="Times New Roman" w:hAnsi="Times New Roman" w:cs="Times New Roman"/>
                <w:b/>
                <w:bCs/>
                <w:sz w:val="18"/>
                <w:szCs w:val="18"/>
              </w:rPr>
            </w:pPr>
            <w:r w:rsidRPr="00871479">
              <w:rPr>
                <w:rFonts w:ascii="Times New Roman" w:hAnsi="Times New Roman" w:cs="Times New Roman"/>
                <w:b/>
                <w:bCs/>
                <w:sz w:val="18"/>
                <w:szCs w:val="18"/>
              </w:rPr>
              <w:t>6</w:t>
            </w:r>
          </w:p>
        </w:tc>
        <w:tc>
          <w:tcPr>
            <w:tcW w:w="767" w:type="dxa"/>
            <w:vAlign w:val="center"/>
          </w:tcPr>
          <w:p w14:paraId="51292BE8" w14:textId="77777777" w:rsidR="00937698" w:rsidRPr="00871479" w:rsidRDefault="00937698" w:rsidP="00871479">
            <w:pPr>
              <w:pStyle w:val="NoSpacing"/>
              <w:jc w:val="center"/>
              <w:rPr>
                <w:rFonts w:ascii="Times New Roman" w:hAnsi="Times New Roman" w:cs="Times New Roman"/>
                <w:b/>
                <w:bCs/>
                <w:sz w:val="18"/>
                <w:szCs w:val="18"/>
              </w:rPr>
            </w:pPr>
            <w:r w:rsidRPr="00871479">
              <w:rPr>
                <w:rFonts w:ascii="Times New Roman" w:hAnsi="Times New Roman" w:cs="Times New Roman"/>
                <w:b/>
                <w:bCs/>
                <w:sz w:val="18"/>
                <w:szCs w:val="18"/>
              </w:rPr>
              <w:t>7</w:t>
            </w:r>
          </w:p>
        </w:tc>
        <w:tc>
          <w:tcPr>
            <w:tcW w:w="594" w:type="dxa"/>
            <w:vAlign w:val="center"/>
          </w:tcPr>
          <w:p w14:paraId="338642BE" w14:textId="77777777" w:rsidR="00937698" w:rsidRPr="00871479" w:rsidRDefault="00937698" w:rsidP="00871479">
            <w:pPr>
              <w:pStyle w:val="NoSpacing"/>
              <w:jc w:val="center"/>
              <w:rPr>
                <w:rFonts w:ascii="Times New Roman" w:hAnsi="Times New Roman" w:cs="Times New Roman"/>
                <w:b/>
                <w:bCs/>
                <w:sz w:val="18"/>
                <w:szCs w:val="18"/>
              </w:rPr>
            </w:pPr>
            <w:r w:rsidRPr="00871479">
              <w:rPr>
                <w:rFonts w:ascii="Times New Roman" w:hAnsi="Times New Roman" w:cs="Times New Roman"/>
                <w:b/>
                <w:bCs/>
                <w:sz w:val="18"/>
                <w:szCs w:val="18"/>
              </w:rPr>
              <w:t>8</w:t>
            </w:r>
          </w:p>
        </w:tc>
        <w:tc>
          <w:tcPr>
            <w:tcW w:w="671" w:type="dxa"/>
            <w:vAlign w:val="center"/>
          </w:tcPr>
          <w:p w14:paraId="40BB363C" w14:textId="77777777" w:rsidR="00937698" w:rsidRPr="00871479" w:rsidRDefault="00937698" w:rsidP="00871479">
            <w:pPr>
              <w:pStyle w:val="NoSpacing"/>
              <w:jc w:val="center"/>
              <w:rPr>
                <w:rFonts w:ascii="Times New Roman" w:hAnsi="Times New Roman" w:cs="Times New Roman"/>
                <w:b/>
                <w:bCs/>
                <w:sz w:val="18"/>
                <w:szCs w:val="18"/>
              </w:rPr>
            </w:pPr>
            <w:r w:rsidRPr="00871479">
              <w:rPr>
                <w:rFonts w:ascii="Times New Roman" w:hAnsi="Times New Roman" w:cs="Times New Roman"/>
                <w:b/>
                <w:bCs/>
                <w:sz w:val="18"/>
                <w:szCs w:val="18"/>
              </w:rPr>
              <w:t>9</w:t>
            </w:r>
          </w:p>
        </w:tc>
        <w:tc>
          <w:tcPr>
            <w:tcW w:w="988" w:type="dxa"/>
            <w:vAlign w:val="center"/>
          </w:tcPr>
          <w:p w14:paraId="691C7303" w14:textId="77777777" w:rsidR="00937698" w:rsidRPr="00871479" w:rsidRDefault="00937698" w:rsidP="00871479">
            <w:pPr>
              <w:pStyle w:val="NoSpacing"/>
              <w:jc w:val="center"/>
              <w:rPr>
                <w:rFonts w:ascii="Times New Roman" w:hAnsi="Times New Roman" w:cs="Times New Roman"/>
                <w:b/>
                <w:bCs/>
                <w:sz w:val="18"/>
                <w:szCs w:val="18"/>
              </w:rPr>
            </w:pPr>
            <w:r w:rsidRPr="00871479">
              <w:rPr>
                <w:rFonts w:ascii="Times New Roman" w:hAnsi="Times New Roman" w:cs="Times New Roman"/>
                <w:b/>
                <w:bCs/>
                <w:sz w:val="18"/>
                <w:szCs w:val="18"/>
              </w:rPr>
              <w:t>10</w:t>
            </w:r>
          </w:p>
        </w:tc>
        <w:tc>
          <w:tcPr>
            <w:tcW w:w="758" w:type="dxa"/>
            <w:vAlign w:val="center"/>
          </w:tcPr>
          <w:p w14:paraId="0375246B" w14:textId="77777777" w:rsidR="00937698" w:rsidRPr="00871479" w:rsidRDefault="00937698" w:rsidP="00871479">
            <w:pPr>
              <w:pStyle w:val="NoSpacing"/>
              <w:jc w:val="center"/>
              <w:rPr>
                <w:rFonts w:ascii="Times New Roman" w:hAnsi="Times New Roman" w:cs="Times New Roman"/>
                <w:b/>
                <w:bCs/>
                <w:sz w:val="18"/>
                <w:szCs w:val="18"/>
              </w:rPr>
            </w:pPr>
            <w:r w:rsidRPr="00871479">
              <w:rPr>
                <w:rFonts w:ascii="Times New Roman" w:hAnsi="Times New Roman" w:cs="Times New Roman"/>
                <w:b/>
                <w:bCs/>
                <w:sz w:val="18"/>
                <w:szCs w:val="18"/>
              </w:rPr>
              <w:t>11</w:t>
            </w:r>
          </w:p>
        </w:tc>
        <w:tc>
          <w:tcPr>
            <w:tcW w:w="947" w:type="dxa"/>
            <w:vAlign w:val="center"/>
          </w:tcPr>
          <w:p w14:paraId="4002C6AE" w14:textId="77777777" w:rsidR="00937698" w:rsidRPr="00871479" w:rsidRDefault="00937698" w:rsidP="00871479">
            <w:pPr>
              <w:pStyle w:val="NoSpacing"/>
              <w:jc w:val="center"/>
              <w:rPr>
                <w:rFonts w:ascii="Times New Roman" w:hAnsi="Times New Roman" w:cs="Times New Roman"/>
                <w:b/>
                <w:bCs/>
                <w:sz w:val="18"/>
                <w:szCs w:val="18"/>
              </w:rPr>
            </w:pPr>
            <w:r w:rsidRPr="00871479">
              <w:rPr>
                <w:rFonts w:ascii="Times New Roman" w:hAnsi="Times New Roman" w:cs="Times New Roman"/>
                <w:b/>
                <w:bCs/>
                <w:sz w:val="18"/>
                <w:szCs w:val="18"/>
              </w:rPr>
              <w:t>12</w:t>
            </w:r>
          </w:p>
        </w:tc>
        <w:tc>
          <w:tcPr>
            <w:tcW w:w="988" w:type="dxa"/>
            <w:vAlign w:val="center"/>
          </w:tcPr>
          <w:p w14:paraId="458CE8B0" w14:textId="77777777" w:rsidR="00937698" w:rsidRPr="00871479" w:rsidRDefault="00937698" w:rsidP="00871479">
            <w:pPr>
              <w:pStyle w:val="NoSpacing"/>
              <w:jc w:val="center"/>
              <w:rPr>
                <w:rFonts w:ascii="Times New Roman" w:hAnsi="Times New Roman" w:cs="Times New Roman"/>
                <w:b/>
                <w:bCs/>
                <w:sz w:val="18"/>
                <w:szCs w:val="18"/>
              </w:rPr>
            </w:pPr>
            <w:r w:rsidRPr="00871479">
              <w:rPr>
                <w:rFonts w:ascii="Times New Roman" w:hAnsi="Times New Roman" w:cs="Times New Roman"/>
                <w:b/>
                <w:bCs/>
                <w:sz w:val="18"/>
                <w:szCs w:val="18"/>
              </w:rPr>
              <w:t>13</w:t>
            </w:r>
          </w:p>
        </w:tc>
        <w:tc>
          <w:tcPr>
            <w:tcW w:w="900" w:type="dxa"/>
            <w:vAlign w:val="center"/>
          </w:tcPr>
          <w:p w14:paraId="49C77BDB" w14:textId="77777777" w:rsidR="00937698" w:rsidRPr="00871479" w:rsidRDefault="00937698" w:rsidP="00871479">
            <w:pPr>
              <w:pStyle w:val="NoSpacing"/>
              <w:jc w:val="center"/>
              <w:rPr>
                <w:rFonts w:ascii="Times New Roman" w:hAnsi="Times New Roman" w:cs="Times New Roman"/>
                <w:b/>
                <w:bCs/>
                <w:sz w:val="18"/>
                <w:szCs w:val="18"/>
              </w:rPr>
            </w:pPr>
            <w:r w:rsidRPr="00871479">
              <w:rPr>
                <w:rFonts w:ascii="Times New Roman" w:hAnsi="Times New Roman" w:cs="Times New Roman"/>
                <w:b/>
                <w:bCs/>
                <w:sz w:val="18"/>
                <w:szCs w:val="18"/>
              </w:rPr>
              <w:t>14</w:t>
            </w:r>
          </w:p>
        </w:tc>
        <w:tc>
          <w:tcPr>
            <w:tcW w:w="851" w:type="dxa"/>
            <w:vAlign w:val="center"/>
          </w:tcPr>
          <w:p w14:paraId="04E76B2F" w14:textId="77777777" w:rsidR="00937698" w:rsidRPr="00871479" w:rsidRDefault="00937698" w:rsidP="00871479">
            <w:pPr>
              <w:pStyle w:val="NoSpacing"/>
              <w:jc w:val="center"/>
              <w:rPr>
                <w:rFonts w:ascii="Times New Roman" w:hAnsi="Times New Roman" w:cs="Times New Roman"/>
                <w:b/>
                <w:bCs/>
                <w:sz w:val="18"/>
                <w:szCs w:val="18"/>
              </w:rPr>
            </w:pPr>
            <w:r w:rsidRPr="00871479">
              <w:rPr>
                <w:rFonts w:ascii="Times New Roman" w:hAnsi="Times New Roman" w:cs="Times New Roman"/>
                <w:b/>
                <w:bCs/>
                <w:sz w:val="18"/>
                <w:szCs w:val="18"/>
              </w:rPr>
              <w:t>15</w:t>
            </w:r>
          </w:p>
        </w:tc>
        <w:tc>
          <w:tcPr>
            <w:tcW w:w="850" w:type="dxa"/>
            <w:vAlign w:val="center"/>
          </w:tcPr>
          <w:p w14:paraId="3D07AFC2" w14:textId="77777777" w:rsidR="00937698" w:rsidRPr="00871479" w:rsidRDefault="00937698" w:rsidP="00871479">
            <w:pPr>
              <w:pStyle w:val="NoSpacing"/>
              <w:jc w:val="center"/>
              <w:rPr>
                <w:rFonts w:ascii="Times New Roman" w:hAnsi="Times New Roman" w:cs="Times New Roman"/>
                <w:b/>
                <w:bCs/>
                <w:sz w:val="18"/>
                <w:szCs w:val="18"/>
              </w:rPr>
            </w:pPr>
            <w:r w:rsidRPr="00871479">
              <w:rPr>
                <w:rFonts w:ascii="Times New Roman" w:hAnsi="Times New Roman" w:cs="Times New Roman"/>
                <w:b/>
                <w:bCs/>
                <w:sz w:val="18"/>
                <w:szCs w:val="18"/>
              </w:rPr>
              <w:t>16</w:t>
            </w:r>
          </w:p>
        </w:tc>
        <w:tc>
          <w:tcPr>
            <w:tcW w:w="993" w:type="dxa"/>
            <w:vAlign w:val="center"/>
          </w:tcPr>
          <w:p w14:paraId="6AEE7C77" w14:textId="77777777" w:rsidR="00937698" w:rsidRPr="00871479" w:rsidRDefault="00937698" w:rsidP="00871479">
            <w:pPr>
              <w:pStyle w:val="NoSpacing"/>
              <w:jc w:val="center"/>
              <w:rPr>
                <w:rFonts w:ascii="Times New Roman" w:hAnsi="Times New Roman" w:cs="Times New Roman"/>
                <w:b/>
                <w:bCs/>
                <w:sz w:val="18"/>
                <w:szCs w:val="18"/>
              </w:rPr>
            </w:pPr>
            <w:r w:rsidRPr="00871479">
              <w:rPr>
                <w:rFonts w:ascii="Times New Roman" w:hAnsi="Times New Roman" w:cs="Times New Roman"/>
                <w:b/>
                <w:bCs/>
                <w:sz w:val="18"/>
                <w:szCs w:val="18"/>
              </w:rPr>
              <w:t>17</w:t>
            </w:r>
          </w:p>
        </w:tc>
      </w:tr>
      <w:tr w:rsidR="00937698" w:rsidRPr="0085699D" w14:paraId="3A3ECB3F" w14:textId="77777777" w:rsidTr="00871479">
        <w:trPr>
          <w:trHeight w:val="428"/>
        </w:trPr>
        <w:tc>
          <w:tcPr>
            <w:tcW w:w="993" w:type="dxa"/>
            <w:hideMark/>
          </w:tcPr>
          <w:p w14:paraId="131098A1" w14:textId="77777777" w:rsidR="00937698" w:rsidRPr="0085699D" w:rsidRDefault="00937698" w:rsidP="00B77C0B">
            <w:pPr>
              <w:pStyle w:val="NoSpacing"/>
              <w:rPr>
                <w:rFonts w:ascii="Times New Roman" w:hAnsi="Times New Roman" w:cs="Times New Roman"/>
                <w:sz w:val="18"/>
                <w:szCs w:val="18"/>
              </w:rPr>
            </w:pPr>
            <w:r w:rsidRPr="0085699D">
              <w:rPr>
                <w:rFonts w:ascii="Times New Roman" w:hAnsi="Times New Roman" w:cs="Times New Roman"/>
                <w:sz w:val="18"/>
                <w:szCs w:val="18"/>
              </w:rPr>
              <w:t>Andhra Pradesh</w:t>
            </w:r>
          </w:p>
        </w:tc>
        <w:tc>
          <w:tcPr>
            <w:tcW w:w="992" w:type="dxa"/>
            <w:vAlign w:val="center"/>
            <w:hideMark/>
          </w:tcPr>
          <w:p w14:paraId="7EBC1879" w14:textId="77777777" w:rsidR="00937698" w:rsidRPr="0085699D" w:rsidRDefault="00937698" w:rsidP="00871479">
            <w:pPr>
              <w:pStyle w:val="NoSpacing"/>
              <w:jc w:val="center"/>
              <w:rPr>
                <w:rFonts w:ascii="Times New Roman" w:hAnsi="Times New Roman" w:cs="Times New Roman"/>
                <w:sz w:val="18"/>
                <w:szCs w:val="18"/>
              </w:rPr>
            </w:pPr>
            <w:r w:rsidRPr="0085699D">
              <w:rPr>
                <w:rFonts w:ascii="Times New Roman" w:hAnsi="Times New Roman" w:cs="Times New Roman"/>
                <w:sz w:val="18"/>
                <w:szCs w:val="18"/>
              </w:rPr>
              <w:t>131.97 (18.0)</w:t>
            </w:r>
          </w:p>
        </w:tc>
        <w:tc>
          <w:tcPr>
            <w:tcW w:w="851" w:type="dxa"/>
            <w:vAlign w:val="center"/>
            <w:hideMark/>
          </w:tcPr>
          <w:p w14:paraId="1103DECF" w14:textId="77777777" w:rsidR="00937698" w:rsidRPr="0085699D" w:rsidRDefault="00937698" w:rsidP="00871479">
            <w:pPr>
              <w:pStyle w:val="NoSpacing"/>
              <w:jc w:val="center"/>
              <w:rPr>
                <w:rFonts w:ascii="Times New Roman" w:hAnsi="Times New Roman" w:cs="Times New Roman"/>
                <w:sz w:val="18"/>
                <w:szCs w:val="18"/>
              </w:rPr>
            </w:pPr>
            <w:r w:rsidRPr="0085699D">
              <w:rPr>
                <w:rFonts w:ascii="Times New Roman" w:hAnsi="Times New Roman" w:cs="Times New Roman"/>
                <w:sz w:val="18"/>
                <w:szCs w:val="18"/>
              </w:rPr>
              <w:t>72.61 (9.9)</w:t>
            </w:r>
          </w:p>
        </w:tc>
        <w:tc>
          <w:tcPr>
            <w:tcW w:w="914" w:type="dxa"/>
            <w:vAlign w:val="center"/>
            <w:hideMark/>
          </w:tcPr>
          <w:p w14:paraId="5C87609F" w14:textId="77777777" w:rsidR="00937698" w:rsidRPr="0085699D" w:rsidRDefault="00937698" w:rsidP="00871479">
            <w:pPr>
              <w:pStyle w:val="NoSpacing"/>
              <w:jc w:val="center"/>
              <w:rPr>
                <w:rFonts w:ascii="Times New Roman" w:hAnsi="Times New Roman" w:cs="Times New Roman"/>
                <w:sz w:val="18"/>
                <w:szCs w:val="18"/>
              </w:rPr>
            </w:pPr>
            <w:r w:rsidRPr="0085699D">
              <w:rPr>
                <w:rFonts w:ascii="Times New Roman" w:hAnsi="Times New Roman" w:cs="Times New Roman"/>
                <w:sz w:val="18"/>
                <w:szCs w:val="18"/>
              </w:rPr>
              <w:t>204.58 (27.9)</w:t>
            </w:r>
          </w:p>
        </w:tc>
        <w:tc>
          <w:tcPr>
            <w:tcW w:w="977" w:type="dxa"/>
            <w:vAlign w:val="center"/>
            <w:hideMark/>
          </w:tcPr>
          <w:p w14:paraId="5092A128" w14:textId="77777777" w:rsidR="00937698" w:rsidRPr="0085699D" w:rsidRDefault="00937698" w:rsidP="00871479">
            <w:pPr>
              <w:pStyle w:val="NoSpacing"/>
              <w:jc w:val="center"/>
              <w:rPr>
                <w:rFonts w:ascii="Times New Roman" w:hAnsi="Times New Roman" w:cs="Times New Roman"/>
                <w:sz w:val="18"/>
                <w:szCs w:val="18"/>
              </w:rPr>
            </w:pPr>
            <w:r w:rsidRPr="0085699D">
              <w:rPr>
                <w:rFonts w:ascii="Times New Roman" w:hAnsi="Times New Roman" w:cs="Times New Roman"/>
                <w:sz w:val="18"/>
                <w:szCs w:val="18"/>
              </w:rPr>
              <w:t>120.90 (16.5)</w:t>
            </w:r>
          </w:p>
        </w:tc>
        <w:tc>
          <w:tcPr>
            <w:tcW w:w="709" w:type="dxa"/>
            <w:vAlign w:val="center"/>
            <w:hideMark/>
          </w:tcPr>
          <w:p w14:paraId="243D5CDD" w14:textId="77777777" w:rsidR="00937698" w:rsidRPr="0085699D" w:rsidRDefault="00937698" w:rsidP="00871479">
            <w:pPr>
              <w:pStyle w:val="NoSpacing"/>
              <w:jc w:val="center"/>
              <w:rPr>
                <w:rFonts w:ascii="Times New Roman" w:hAnsi="Times New Roman" w:cs="Times New Roman"/>
                <w:sz w:val="18"/>
                <w:szCs w:val="18"/>
              </w:rPr>
            </w:pPr>
            <w:r w:rsidRPr="0085699D">
              <w:rPr>
                <w:rFonts w:ascii="Times New Roman" w:hAnsi="Times New Roman" w:cs="Times New Roman"/>
                <w:sz w:val="18"/>
                <w:szCs w:val="18"/>
              </w:rPr>
              <w:t>146.85 (20.0)</w:t>
            </w:r>
          </w:p>
        </w:tc>
        <w:tc>
          <w:tcPr>
            <w:tcW w:w="767" w:type="dxa"/>
            <w:vAlign w:val="center"/>
            <w:hideMark/>
          </w:tcPr>
          <w:p w14:paraId="61206240" w14:textId="77777777" w:rsidR="00937698" w:rsidRPr="0085699D" w:rsidRDefault="00937698" w:rsidP="00871479">
            <w:pPr>
              <w:pStyle w:val="NoSpacing"/>
              <w:jc w:val="center"/>
              <w:rPr>
                <w:rFonts w:ascii="Times New Roman" w:hAnsi="Times New Roman" w:cs="Times New Roman"/>
                <w:sz w:val="18"/>
                <w:szCs w:val="18"/>
              </w:rPr>
            </w:pPr>
            <w:r w:rsidRPr="0085699D">
              <w:rPr>
                <w:rFonts w:ascii="Times New Roman" w:hAnsi="Times New Roman" w:cs="Times New Roman"/>
                <w:sz w:val="18"/>
                <w:szCs w:val="18"/>
              </w:rPr>
              <w:t>65.41 (8.9)</w:t>
            </w:r>
          </w:p>
        </w:tc>
        <w:tc>
          <w:tcPr>
            <w:tcW w:w="594" w:type="dxa"/>
            <w:vAlign w:val="center"/>
            <w:hideMark/>
          </w:tcPr>
          <w:p w14:paraId="32661488" w14:textId="77777777" w:rsidR="00937698" w:rsidRPr="0085699D" w:rsidRDefault="00937698" w:rsidP="00871479">
            <w:pPr>
              <w:pStyle w:val="NoSpacing"/>
              <w:jc w:val="center"/>
              <w:rPr>
                <w:rFonts w:ascii="Times New Roman" w:hAnsi="Times New Roman" w:cs="Times New Roman"/>
                <w:sz w:val="18"/>
                <w:szCs w:val="18"/>
              </w:rPr>
            </w:pPr>
            <w:r w:rsidRPr="0085699D">
              <w:rPr>
                <w:rFonts w:ascii="Times New Roman" w:hAnsi="Times New Roman" w:cs="Times New Roman"/>
                <w:sz w:val="18"/>
                <w:szCs w:val="18"/>
              </w:rPr>
              <w:t>51.25 (7.0)</w:t>
            </w:r>
          </w:p>
        </w:tc>
        <w:tc>
          <w:tcPr>
            <w:tcW w:w="671" w:type="dxa"/>
            <w:vAlign w:val="center"/>
            <w:hideMark/>
          </w:tcPr>
          <w:p w14:paraId="112E72BC" w14:textId="77777777" w:rsidR="00937698" w:rsidRPr="0085699D" w:rsidRDefault="00937698" w:rsidP="00871479">
            <w:pPr>
              <w:pStyle w:val="NoSpacing"/>
              <w:jc w:val="center"/>
              <w:rPr>
                <w:rFonts w:ascii="Times New Roman" w:hAnsi="Times New Roman" w:cs="Times New Roman"/>
                <w:sz w:val="18"/>
                <w:szCs w:val="18"/>
              </w:rPr>
            </w:pPr>
            <w:r w:rsidRPr="0085699D">
              <w:rPr>
                <w:rFonts w:ascii="Times New Roman" w:hAnsi="Times New Roman" w:cs="Times New Roman"/>
                <w:sz w:val="18"/>
                <w:szCs w:val="18"/>
              </w:rPr>
              <w:t>384.41 (52.4)</w:t>
            </w:r>
          </w:p>
        </w:tc>
        <w:tc>
          <w:tcPr>
            <w:tcW w:w="988" w:type="dxa"/>
            <w:vAlign w:val="center"/>
            <w:hideMark/>
          </w:tcPr>
          <w:p w14:paraId="3DF45B28" w14:textId="77777777" w:rsidR="00937698" w:rsidRPr="0085699D" w:rsidRDefault="00937698" w:rsidP="00871479">
            <w:pPr>
              <w:pStyle w:val="NoSpacing"/>
              <w:jc w:val="center"/>
              <w:rPr>
                <w:rFonts w:ascii="Times New Roman" w:hAnsi="Times New Roman" w:cs="Times New Roman"/>
                <w:sz w:val="18"/>
                <w:szCs w:val="18"/>
              </w:rPr>
            </w:pPr>
            <w:r w:rsidRPr="0085699D">
              <w:rPr>
                <w:rFonts w:ascii="Times New Roman" w:hAnsi="Times New Roman" w:cs="Times New Roman"/>
                <w:sz w:val="18"/>
                <w:szCs w:val="18"/>
              </w:rPr>
              <w:t>41.34 (5.6)</w:t>
            </w:r>
          </w:p>
        </w:tc>
        <w:tc>
          <w:tcPr>
            <w:tcW w:w="758" w:type="dxa"/>
            <w:vAlign w:val="center"/>
            <w:hideMark/>
          </w:tcPr>
          <w:p w14:paraId="6259E499" w14:textId="77777777" w:rsidR="00937698" w:rsidRPr="0085699D" w:rsidRDefault="00937698" w:rsidP="00871479">
            <w:pPr>
              <w:pStyle w:val="NoSpacing"/>
              <w:jc w:val="center"/>
              <w:rPr>
                <w:rFonts w:ascii="Times New Roman" w:hAnsi="Times New Roman" w:cs="Times New Roman"/>
                <w:sz w:val="18"/>
                <w:szCs w:val="18"/>
              </w:rPr>
            </w:pPr>
            <w:r w:rsidRPr="0085699D">
              <w:rPr>
                <w:rFonts w:ascii="Times New Roman" w:hAnsi="Times New Roman" w:cs="Times New Roman"/>
                <w:sz w:val="18"/>
                <w:szCs w:val="18"/>
              </w:rPr>
              <w:t>70.76 (9.6)</w:t>
            </w:r>
          </w:p>
        </w:tc>
        <w:tc>
          <w:tcPr>
            <w:tcW w:w="947" w:type="dxa"/>
            <w:vAlign w:val="center"/>
            <w:hideMark/>
          </w:tcPr>
          <w:p w14:paraId="2DA39DF8" w14:textId="3BA69E73" w:rsidR="00937698" w:rsidRPr="0085699D" w:rsidRDefault="00937698" w:rsidP="00871479">
            <w:pPr>
              <w:pStyle w:val="NoSpacing"/>
              <w:jc w:val="center"/>
              <w:rPr>
                <w:rFonts w:ascii="Times New Roman" w:hAnsi="Times New Roman" w:cs="Times New Roman"/>
                <w:sz w:val="18"/>
                <w:szCs w:val="18"/>
              </w:rPr>
            </w:pPr>
            <w:r w:rsidRPr="0085699D">
              <w:rPr>
                <w:rFonts w:ascii="Times New Roman" w:hAnsi="Times New Roman" w:cs="Times New Roman"/>
                <w:sz w:val="18"/>
                <w:szCs w:val="18"/>
              </w:rPr>
              <w:t>12.02 (1</w:t>
            </w:r>
            <w:r w:rsidR="001D4119">
              <w:rPr>
                <w:rFonts w:ascii="Times New Roman" w:hAnsi="Times New Roman" w:cs="Times New Roman"/>
                <w:sz w:val="18"/>
                <w:szCs w:val="18"/>
              </w:rPr>
              <w:t>6</w:t>
            </w:r>
            <w:r w:rsidRPr="0085699D">
              <w:rPr>
                <w:rFonts w:ascii="Times New Roman" w:hAnsi="Times New Roman" w:cs="Times New Roman"/>
                <w:sz w:val="18"/>
                <w:szCs w:val="18"/>
              </w:rPr>
              <w:t>.</w:t>
            </w:r>
            <w:r w:rsidR="001D4119">
              <w:rPr>
                <w:rFonts w:ascii="Times New Roman" w:hAnsi="Times New Roman" w:cs="Times New Roman"/>
                <w:sz w:val="18"/>
                <w:szCs w:val="18"/>
              </w:rPr>
              <w:t>4</w:t>
            </w:r>
            <w:r w:rsidRPr="0085699D">
              <w:rPr>
                <w:rFonts w:ascii="Times New Roman" w:hAnsi="Times New Roman" w:cs="Times New Roman"/>
                <w:sz w:val="18"/>
                <w:szCs w:val="18"/>
              </w:rPr>
              <w:t>)</w:t>
            </w:r>
          </w:p>
        </w:tc>
        <w:tc>
          <w:tcPr>
            <w:tcW w:w="988" w:type="dxa"/>
            <w:vAlign w:val="center"/>
            <w:hideMark/>
          </w:tcPr>
          <w:p w14:paraId="78F00B82" w14:textId="77777777" w:rsidR="00937698" w:rsidRPr="0085699D" w:rsidRDefault="00937698" w:rsidP="00871479">
            <w:pPr>
              <w:pStyle w:val="NoSpacing"/>
              <w:jc w:val="center"/>
              <w:rPr>
                <w:rFonts w:ascii="Times New Roman" w:hAnsi="Times New Roman" w:cs="Times New Roman"/>
                <w:sz w:val="18"/>
                <w:szCs w:val="18"/>
              </w:rPr>
            </w:pPr>
            <w:r w:rsidRPr="0085699D">
              <w:rPr>
                <w:rFonts w:ascii="Times New Roman" w:hAnsi="Times New Roman" w:cs="Times New Roman"/>
                <w:sz w:val="18"/>
                <w:szCs w:val="18"/>
              </w:rPr>
              <w:t>4.67 (0.6)</w:t>
            </w:r>
          </w:p>
        </w:tc>
        <w:tc>
          <w:tcPr>
            <w:tcW w:w="900" w:type="dxa"/>
            <w:vAlign w:val="center"/>
            <w:hideMark/>
          </w:tcPr>
          <w:p w14:paraId="2BF660F4" w14:textId="77777777" w:rsidR="00937698" w:rsidRPr="0085699D" w:rsidRDefault="00937698" w:rsidP="00871479">
            <w:pPr>
              <w:pStyle w:val="NoSpacing"/>
              <w:jc w:val="center"/>
              <w:rPr>
                <w:rFonts w:ascii="Times New Roman" w:hAnsi="Times New Roman" w:cs="Times New Roman"/>
                <w:sz w:val="18"/>
                <w:szCs w:val="18"/>
              </w:rPr>
            </w:pPr>
            <w:r w:rsidRPr="0085699D">
              <w:rPr>
                <w:rFonts w:ascii="Times New Roman" w:hAnsi="Times New Roman" w:cs="Times New Roman"/>
                <w:sz w:val="18"/>
                <w:szCs w:val="18"/>
              </w:rPr>
              <w:t>12.89 (1.8)</w:t>
            </w:r>
          </w:p>
        </w:tc>
        <w:tc>
          <w:tcPr>
            <w:tcW w:w="851" w:type="dxa"/>
            <w:vAlign w:val="center"/>
            <w:hideMark/>
          </w:tcPr>
          <w:p w14:paraId="25F24BAE" w14:textId="77777777" w:rsidR="00937698" w:rsidRPr="0085699D" w:rsidRDefault="00937698" w:rsidP="00871479">
            <w:pPr>
              <w:pStyle w:val="NoSpacing"/>
              <w:jc w:val="center"/>
              <w:rPr>
                <w:rFonts w:ascii="Times New Roman" w:hAnsi="Times New Roman" w:cs="Times New Roman"/>
                <w:sz w:val="18"/>
                <w:szCs w:val="18"/>
              </w:rPr>
            </w:pPr>
            <w:r w:rsidRPr="0085699D">
              <w:rPr>
                <w:rFonts w:ascii="Times New Roman" w:hAnsi="Times New Roman" w:cs="Times New Roman"/>
                <w:sz w:val="18"/>
                <w:szCs w:val="18"/>
              </w:rPr>
              <w:t>3.32 (0.4)</w:t>
            </w:r>
          </w:p>
        </w:tc>
        <w:tc>
          <w:tcPr>
            <w:tcW w:w="850" w:type="dxa"/>
            <w:vAlign w:val="center"/>
            <w:hideMark/>
          </w:tcPr>
          <w:p w14:paraId="5B4E2049" w14:textId="77777777" w:rsidR="00937698" w:rsidRPr="0085699D" w:rsidRDefault="00937698" w:rsidP="00871479">
            <w:pPr>
              <w:pStyle w:val="NoSpacing"/>
              <w:jc w:val="center"/>
              <w:rPr>
                <w:rFonts w:ascii="Times New Roman" w:hAnsi="Times New Roman" w:cs="Times New Roman"/>
                <w:sz w:val="18"/>
                <w:szCs w:val="18"/>
              </w:rPr>
            </w:pPr>
            <w:r w:rsidRPr="0085699D">
              <w:rPr>
                <w:rFonts w:ascii="Times New Roman" w:hAnsi="Times New Roman" w:cs="Times New Roman"/>
                <w:sz w:val="18"/>
                <w:szCs w:val="18"/>
              </w:rPr>
              <w:t>145.00 (19.8)</w:t>
            </w:r>
          </w:p>
        </w:tc>
        <w:tc>
          <w:tcPr>
            <w:tcW w:w="993" w:type="dxa"/>
            <w:vAlign w:val="center"/>
            <w:hideMark/>
          </w:tcPr>
          <w:p w14:paraId="5F3974B2" w14:textId="77777777" w:rsidR="00937698" w:rsidRPr="0085699D" w:rsidRDefault="00937698" w:rsidP="00871479">
            <w:pPr>
              <w:pStyle w:val="NoSpacing"/>
              <w:jc w:val="center"/>
              <w:rPr>
                <w:rFonts w:ascii="Times New Roman" w:hAnsi="Times New Roman" w:cs="Times New Roman"/>
                <w:sz w:val="18"/>
                <w:szCs w:val="18"/>
              </w:rPr>
            </w:pPr>
            <w:r w:rsidRPr="0085699D">
              <w:rPr>
                <w:rFonts w:ascii="Times New Roman" w:hAnsi="Times New Roman" w:cs="Times New Roman"/>
                <w:sz w:val="18"/>
                <w:szCs w:val="18"/>
              </w:rPr>
              <w:t>733.59 (100.0)</w:t>
            </w:r>
          </w:p>
        </w:tc>
      </w:tr>
      <w:tr w:rsidR="00937698" w:rsidRPr="0085699D" w14:paraId="27338C02" w14:textId="77777777" w:rsidTr="00871479">
        <w:trPr>
          <w:trHeight w:val="406"/>
        </w:trPr>
        <w:tc>
          <w:tcPr>
            <w:tcW w:w="993" w:type="dxa"/>
            <w:hideMark/>
          </w:tcPr>
          <w:p w14:paraId="16081006" w14:textId="77777777" w:rsidR="00937698" w:rsidRPr="0085699D" w:rsidRDefault="00937698" w:rsidP="00B77C0B">
            <w:pPr>
              <w:pStyle w:val="NoSpacing"/>
              <w:rPr>
                <w:rFonts w:ascii="Times New Roman" w:hAnsi="Times New Roman" w:cs="Times New Roman"/>
                <w:sz w:val="18"/>
                <w:szCs w:val="18"/>
              </w:rPr>
            </w:pPr>
            <w:r w:rsidRPr="0085699D">
              <w:rPr>
                <w:rFonts w:ascii="Times New Roman" w:hAnsi="Times New Roman" w:cs="Times New Roman"/>
                <w:sz w:val="18"/>
                <w:szCs w:val="18"/>
              </w:rPr>
              <w:t>Assam</w:t>
            </w:r>
          </w:p>
        </w:tc>
        <w:tc>
          <w:tcPr>
            <w:tcW w:w="992" w:type="dxa"/>
            <w:vAlign w:val="center"/>
            <w:hideMark/>
          </w:tcPr>
          <w:p w14:paraId="4E5B6B61" w14:textId="77777777" w:rsidR="00937698" w:rsidRPr="0085699D" w:rsidRDefault="00937698" w:rsidP="00871479">
            <w:pPr>
              <w:pStyle w:val="NoSpacing"/>
              <w:jc w:val="center"/>
              <w:rPr>
                <w:rFonts w:ascii="Times New Roman" w:hAnsi="Times New Roman" w:cs="Times New Roman"/>
                <w:sz w:val="18"/>
                <w:szCs w:val="18"/>
              </w:rPr>
            </w:pPr>
            <w:r w:rsidRPr="0085699D">
              <w:rPr>
                <w:rFonts w:ascii="Times New Roman" w:hAnsi="Times New Roman" w:cs="Times New Roman"/>
                <w:sz w:val="18"/>
                <w:szCs w:val="18"/>
              </w:rPr>
              <w:t>64.58 (31.6)</w:t>
            </w:r>
          </w:p>
        </w:tc>
        <w:tc>
          <w:tcPr>
            <w:tcW w:w="851" w:type="dxa"/>
            <w:vAlign w:val="center"/>
            <w:hideMark/>
          </w:tcPr>
          <w:p w14:paraId="243340BB" w14:textId="77777777" w:rsidR="00937698" w:rsidRPr="0085699D" w:rsidRDefault="00937698" w:rsidP="00871479">
            <w:pPr>
              <w:pStyle w:val="NoSpacing"/>
              <w:jc w:val="center"/>
              <w:rPr>
                <w:rFonts w:ascii="Times New Roman" w:hAnsi="Times New Roman" w:cs="Times New Roman"/>
                <w:sz w:val="18"/>
                <w:szCs w:val="18"/>
              </w:rPr>
            </w:pPr>
            <w:r w:rsidRPr="0085699D">
              <w:rPr>
                <w:rFonts w:ascii="Times New Roman" w:hAnsi="Times New Roman" w:cs="Times New Roman"/>
                <w:sz w:val="18"/>
                <w:szCs w:val="18"/>
              </w:rPr>
              <w:t>31.49 (15.4)</w:t>
            </w:r>
          </w:p>
        </w:tc>
        <w:tc>
          <w:tcPr>
            <w:tcW w:w="914" w:type="dxa"/>
            <w:vAlign w:val="center"/>
            <w:hideMark/>
          </w:tcPr>
          <w:p w14:paraId="5D470D44" w14:textId="77777777" w:rsidR="00937698" w:rsidRPr="0085699D" w:rsidRDefault="00937698" w:rsidP="00871479">
            <w:pPr>
              <w:pStyle w:val="NoSpacing"/>
              <w:jc w:val="center"/>
              <w:rPr>
                <w:rFonts w:ascii="Times New Roman" w:hAnsi="Times New Roman" w:cs="Times New Roman"/>
                <w:sz w:val="18"/>
                <w:szCs w:val="18"/>
              </w:rPr>
            </w:pPr>
            <w:r w:rsidRPr="0085699D">
              <w:rPr>
                <w:rFonts w:ascii="Times New Roman" w:hAnsi="Times New Roman" w:cs="Times New Roman"/>
                <w:sz w:val="18"/>
                <w:szCs w:val="18"/>
              </w:rPr>
              <w:t>96.07 (47.0)</w:t>
            </w:r>
          </w:p>
        </w:tc>
        <w:tc>
          <w:tcPr>
            <w:tcW w:w="977" w:type="dxa"/>
            <w:vAlign w:val="center"/>
            <w:hideMark/>
          </w:tcPr>
          <w:p w14:paraId="09D4C08C" w14:textId="77777777" w:rsidR="00937698" w:rsidRPr="0085699D" w:rsidRDefault="00937698" w:rsidP="00871479">
            <w:pPr>
              <w:pStyle w:val="NoSpacing"/>
              <w:jc w:val="center"/>
              <w:rPr>
                <w:rFonts w:ascii="Times New Roman" w:hAnsi="Times New Roman" w:cs="Times New Roman"/>
                <w:sz w:val="18"/>
                <w:szCs w:val="18"/>
              </w:rPr>
            </w:pPr>
            <w:r w:rsidRPr="0085699D">
              <w:rPr>
                <w:rFonts w:ascii="Times New Roman" w:hAnsi="Times New Roman" w:cs="Times New Roman"/>
                <w:sz w:val="18"/>
                <w:szCs w:val="18"/>
              </w:rPr>
              <w:t>..</w:t>
            </w:r>
          </w:p>
        </w:tc>
        <w:tc>
          <w:tcPr>
            <w:tcW w:w="709" w:type="dxa"/>
            <w:vAlign w:val="center"/>
            <w:hideMark/>
          </w:tcPr>
          <w:p w14:paraId="41EB8257" w14:textId="77777777" w:rsidR="00937698" w:rsidRPr="0085699D" w:rsidRDefault="00937698" w:rsidP="00871479">
            <w:pPr>
              <w:pStyle w:val="NoSpacing"/>
              <w:jc w:val="center"/>
              <w:rPr>
                <w:rFonts w:ascii="Times New Roman" w:hAnsi="Times New Roman" w:cs="Times New Roman"/>
                <w:sz w:val="18"/>
                <w:szCs w:val="18"/>
              </w:rPr>
            </w:pPr>
            <w:r w:rsidRPr="0085699D">
              <w:rPr>
                <w:rFonts w:ascii="Times New Roman" w:hAnsi="Times New Roman" w:cs="Times New Roman"/>
                <w:sz w:val="18"/>
                <w:szCs w:val="18"/>
              </w:rPr>
              <w:t>..</w:t>
            </w:r>
          </w:p>
        </w:tc>
        <w:tc>
          <w:tcPr>
            <w:tcW w:w="767" w:type="dxa"/>
            <w:vAlign w:val="center"/>
            <w:hideMark/>
          </w:tcPr>
          <w:p w14:paraId="02F42863" w14:textId="77777777" w:rsidR="00937698" w:rsidRPr="0085699D" w:rsidRDefault="00937698" w:rsidP="00871479">
            <w:pPr>
              <w:pStyle w:val="NoSpacing"/>
              <w:jc w:val="center"/>
              <w:rPr>
                <w:rFonts w:ascii="Times New Roman" w:hAnsi="Times New Roman" w:cs="Times New Roman"/>
                <w:sz w:val="18"/>
                <w:szCs w:val="18"/>
              </w:rPr>
            </w:pPr>
            <w:r w:rsidRPr="0085699D">
              <w:rPr>
                <w:rFonts w:ascii="Times New Roman" w:hAnsi="Times New Roman" w:cs="Times New Roman"/>
                <w:sz w:val="18"/>
                <w:szCs w:val="18"/>
              </w:rPr>
              <w:t>..</w:t>
            </w:r>
          </w:p>
        </w:tc>
        <w:tc>
          <w:tcPr>
            <w:tcW w:w="594" w:type="dxa"/>
            <w:vAlign w:val="center"/>
            <w:hideMark/>
          </w:tcPr>
          <w:p w14:paraId="6BBE1D34" w14:textId="77777777" w:rsidR="00937698" w:rsidRPr="0085699D" w:rsidRDefault="00937698" w:rsidP="00871479">
            <w:pPr>
              <w:pStyle w:val="NoSpacing"/>
              <w:jc w:val="center"/>
              <w:rPr>
                <w:rFonts w:ascii="Times New Roman" w:hAnsi="Times New Roman" w:cs="Times New Roman"/>
                <w:sz w:val="18"/>
                <w:szCs w:val="18"/>
              </w:rPr>
            </w:pPr>
            <w:r w:rsidRPr="0085699D">
              <w:rPr>
                <w:rFonts w:ascii="Times New Roman" w:hAnsi="Times New Roman" w:cs="Times New Roman"/>
                <w:sz w:val="18"/>
                <w:szCs w:val="18"/>
              </w:rPr>
              <w:t>17.96 (8.8)</w:t>
            </w:r>
          </w:p>
        </w:tc>
        <w:tc>
          <w:tcPr>
            <w:tcW w:w="671" w:type="dxa"/>
            <w:vAlign w:val="center"/>
            <w:hideMark/>
          </w:tcPr>
          <w:p w14:paraId="7773396B" w14:textId="77777777" w:rsidR="00937698" w:rsidRPr="0085699D" w:rsidRDefault="00937698" w:rsidP="00871479">
            <w:pPr>
              <w:pStyle w:val="NoSpacing"/>
              <w:jc w:val="center"/>
              <w:rPr>
                <w:rFonts w:ascii="Times New Roman" w:hAnsi="Times New Roman" w:cs="Times New Roman"/>
                <w:sz w:val="18"/>
                <w:szCs w:val="18"/>
              </w:rPr>
            </w:pPr>
            <w:r w:rsidRPr="0085699D">
              <w:rPr>
                <w:rFonts w:ascii="Times New Roman" w:hAnsi="Times New Roman" w:cs="Times New Roman"/>
                <w:sz w:val="18"/>
                <w:szCs w:val="18"/>
              </w:rPr>
              <w:t>17.96 (8.8)</w:t>
            </w:r>
          </w:p>
        </w:tc>
        <w:tc>
          <w:tcPr>
            <w:tcW w:w="988" w:type="dxa"/>
            <w:vAlign w:val="center"/>
            <w:hideMark/>
          </w:tcPr>
          <w:p w14:paraId="1A6EB370" w14:textId="77777777" w:rsidR="00937698" w:rsidRPr="0085699D" w:rsidRDefault="00937698" w:rsidP="00871479">
            <w:pPr>
              <w:pStyle w:val="NoSpacing"/>
              <w:jc w:val="center"/>
              <w:rPr>
                <w:rFonts w:ascii="Times New Roman" w:hAnsi="Times New Roman" w:cs="Times New Roman"/>
                <w:sz w:val="18"/>
                <w:szCs w:val="18"/>
              </w:rPr>
            </w:pPr>
            <w:r w:rsidRPr="0085699D">
              <w:rPr>
                <w:rFonts w:ascii="Times New Roman" w:hAnsi="Times New Roman" w:cs="Times New Roman"/>
                <w:sz w:val="18"/>
                <w:szCs w:val="18"/>
              </w:rPr>
              <w:t>43.41 (21.2)</w:t>
            </w:r>
          </w:p>
        </w:tc>
        <w:tc>
          <w:tcPr>
            <w:tcW w:w="758" w:type="dxa"/>
            <w:vAlign w:val="center"/>
            <w:hideMark/>
          </w:tcPr>
          <w:p w14:paraId="23E68304" w14:textId="77777777" w:rsidR="00937698" w:rsidRPr="0085699D" w:rsidRDefault="00937698" w:rsidP="00871479">
            <w:pPr>
              <w:pStyle w:val="NoSpacing"/>
              <w:jc w:val="center"/>
              <w:rPr>
                <w:rFonts w:ascii="Times New Roman" w:hAnsi="Times New Roman" w:cs="Times New Roman"/>
                <w:sz w:val="18"/>
                <w:szCs w:val="18"/>
              </w:rPr>
            </w:pPr>
            <w:r w:rsidRPr="0085699D">
              <w:rPr>
                <w:rFonts w:ascii="Times New Roman" w:hAnsi="Times New Roman" w:cs="Times New Roman"/>
                <w:sz w:val="18"/>
                <w:szCs w:val="18"/>
              </w:rPr>
              <w:t>45.69 (22.3)</w:t>
            </w:r>
          </w:p>
        </w:tc>
        <w:tc>
          <w:tcPr>
            <w:tcW w:w="947" w:type="dxa"/>
            <w:vAlign w:val="center"/>
            <w:hideMark/>
          </w:tcPr>
          <w:p w14:paraId="5D3CF430" w14:textId="77777777" w:rsidR="00937698" w:rsidRPr="0085699D" w:rsidRDefault="00937698" w:rsidP="00871479">
            <w:pPr>
              <w:pStyle w:val="NoSpacing"/>
              <w:jc w:val="center"/>
              <w:rPr>
                <w:rFonts w:ascii="Times New Roman" w:hAnsi="Times New Roman" w:cs="Times New Roman"/>
                <w:sz w:val="18"/>
                <w:szCs w:val="18"/>
              </w:rPr>
            </w:pPr>
            <w:r w:rsidRPr="0085699D">
              <w:rPr>
                <w:rFonts w:ascii="Times New Roman" w:hAnsi="Times New Roman" w:cs="Times New Roman"/>
                <w:sz w:val="18"/>
                <w:szCs w:val="18"/>
              </w:rPr>
              <w:t>..</w:t>
            </w:r>
          </w:p>
        </w:tc>
        <w:tc>
          <w:tcPr>
            <w:tcW w:w="988" w:type="dxa"/>
            <w:vAlign w:val="center"/>
            <w:hideMark/>
          </w:tcPr>
          <w:p w14:paraId="0670B713" w14:textId="77777777" w:rsidR="00937698" w:rsidRPr="0085699D" w:rsidRDefault="00937698" w:rsidP="00871479">
            <w:pPr>
              <w:pStyle w:val="NoSpacing"/>
              <w:jc w:val="center"/>
              <w:rPr>
                <w:rFonts w:ascii="Times New Roman" w:hAnsi="Times New Roman" w:cs="Times New Roman"/>
                <w:sz w:val="18"/>
                <w:szCs w:val="18"/>
              </w:rPr>
            </w:pPr>
            <w:r w:rsidRPr="0085699D">
              <w:rPr>
                <w:rFonts w:ascii="Times New Roman" w:hAnsi="Times New Roman" w:cs="Times New Roman"/>
                <w:sz w:val="18"/>
                <w:szCs w:val="18"/>
              </w:rPr>
              <w:t>0.54 (0.3)</w:t>
            </w:r>
          </w:p>
        </w:tc>
        <w:tc>
          <w:tcPr>
            <w:tcW w:w="900" w:type="dxa"/>
            <w:vAlign w:val="center"/>
            <w:hideMark/>
          </w:tcPr>
          <w:p w14:paraId="2D2BFB04" w14:textId="77777777" w:rsidR="00937698" w:rsidRPr="0085699D" w:rsidRDefault="00937698" w:rsidP="00871479">
            <w:pPr>
              <w:pStyle w:val="NoSpacing"/>
              <w:jc w:val="center"/>
              <w:rPr>
                <w:rFonts w:ascii="Times New Roman" w:hAnsi="Times New Roman" w:cs="Times New Roman"/>
                <w:sz w:val="18"/>
                <w:szCs w:val="18"/>
              </w:rPr>
            </w:pPr>
            <w:r w:rsidRPr="0085699D">
              <w:rPr>
                <w:rFonts w:ascii="Times New Roman" w:hAnsi="Times New Roman" w:cs="Times New Roman"/>
                <w:sz w:val="18"/>
                <w:szCs w:val="18"/>
              </w:rPr>
              <w:t>..</w:t>
            </w:r>
          </w:p>
        </w:tc>
        <w:tc>
          <w:tcPr>
            <w:tcW w:w="851" w:type="dxa"/>
            <w:vAlign w:val="center"/>
            <w:hideMark/>
          </w:tcPr>
          <w:p w14:paraId="0B499B41" w14:textId="77777777" w:rsidR="00937698" w:rsidRPr="0085699D" w:rsidRDefault="00937698" w:rsidP="00871479">
            <w:pPr>
              <w:pStyle w:val="NoSpacing"/>
              <w:jc w:val="center"/>
              <w:rPr>
                <w:rFonts w:ascii="Times New Roman" w:hAnsi="Times New Roman" w:cs="Times New Roman"/>
                <w:sz w:val="18"/>
                <w:szCs w:val="18"/>
              </w:rPr>
            </w:pPr>
            <w:r w:rsidRPr="0085699D">
              <w:rPr>
                <w:rFonts w:ascii="Times New Roman" w:hAnsi="Times New Roman" w:cs="Times New Roman"/>
                <w:sz w:val="18"/>
                <w:szCs w:val="18"/>
              </w:rPr>
              <w:t>0.83 (0.4)</w:t>
            </w:r>
          </w:p>
        </w:tc>
        <w:tc>
          <w:tcPr>
            <w:tcW w:w="850" w:type="dxa"/>
            <w:vAlign w:val="center"/>
            <w:hideMark/>
          </w:tcPr>
          <w:p w14:paraId="21D5B514" w14:textId="77777777" w:rsidR="00937698" w:rsidRPr="0085699D" w:rsidRDefault="00937698" w:rsidP="00871479">
            <w:pPr>
              <w:pStyle w:val="NoSpacing"/>
              <w:jc w:val="center"/>
              <w:rPr>
                <w:rFonts w:ascii="Times New Roman" w:hAnsi="Times New Roman" w:cs="Times New Roman"/>
                <w:sz w:val="18"/>
                <w:szCs w:val="18"/>
              </w:rPr>
            </w:pPr>
            <w:r w:rsidRPr="0085699D">
              <w:rPr>
                <w:rFonts w:ascii="Times New Roman" w:hAnsi="Times New Roman" w:cs="Times New Roman"/>
                <w:sz w:val="18"/>
                <w:szCs w:val="18"/>
              </w:rPr>
              <w:t>90.47 (44.2)</w:t>
            </w:r>
          </w:p>
        </w:tc>
        <w:tc>
          <w:tcPr>
            <w:tcW w:w="993" w:type="dxa"/>
            <w:vAlign w:val="center"/>
            <w:hideMark/>
          </w:tcPr>
          <w:p w14:paraId="1E90770A" w14:textId="77777777" w:rsidR="00937698" w:rsidRPr="0085699D" w:rsidRDefault="00937698" w:rsidP="00871479">
            <w:pPr>
              <w:pStyle w:val="NoSpacing"/>
              <w:jc w:val="center"/>
              <w:rPr>
                <w:rFonts w:ascii="Times New Roman" w:hAnsi="Times New Roman" w:cs="Times New Roman"/>
                <w:sz w:val="18"/>
                <w:szCs w:val="18"/>
              </w:rPr>
            </w:pPr>
            <w:r w:rsidRPr="0085699D">
              <w:rPr>
                <w:rFonts w:ascii="Times New Roman" w:hAnsi="Times New Roman" w:cs="Times New Roman"/>
                <w:sz w:val="18"/>
                <w:szCs w:val="18"/>
              </w:rPr>
              <w:t>204.50 (100.0)</w:t>
            </w:r>
          </w:p>
        </w:tc>
      </w:tr>
      <w:tr w:rsidR="00937698" w:rsidRPr="0085699D" w14:paraId="7DD3B698" w14:textId="77777777" w:rsidTr="00871479">
        <w:trPr>
          <w:trHeight w:val="411"/>
        </w:trPr>
        <w:tc>
          <w:tcPr>
            <w:tcW w:w="993" w:type="dxa"/>
            <w:hideMark/>
          </w:tcPr>
          <w:p w14:paraId="7F8EE63D" w14:textId="77777777" w:rsidR="00937698" w:rsidRPr="0085699D" w:rsidRDefault="00937698" w:rsidP="00B77C0B">
            <w:pPr>
              <w:pStyle w:val="NoSpacing"/>
              <w:rPr>
                <w:rFonts w:ascii="Times New Roman" w:hAnsi="Times New Roman" w:cs="Times New Roman"/>
                <w:sz w:val="18"/>
                <w:szCs w:val="18"/>
              </w:rPr>
            </w:pPr>
            <w:r w:rsidRPr="0085699D">
              <w:rPr>
                <w:rFonts w:ascii="Times New Roman" w:hAnsi="Times New Roman" w:cs="Times New Roman"/>
                <w:sz w:val="18"/>
                <w:szCs w:val="18"/>
              </w:rPr>
              <w:t>Bihar</w:t>
            </w:r>
          </w:p>
        </w:tc>
        <w:tc>
          <w:tcPr>
            <w:tcW w:w="992" w:type="dxa"/>
            <w:vAlign w:val="center"/>
            <w:hideMark/>
          </w:tcPr>
          <w:p w14:paraId="2823B73C" w14:textId="77777777" w:rsidR="00937698" w:rsidRPr="0085699D" w:rsidRDefault="00937698" w:rsidP="00871479">
            <w:pPr>
              <w:pStyle w:val="NoSpacing"/>
              <w:jc w:val="center"/>
              <w:rPr>
                <w:rFonts w:ascii="Times New Roman" w:hAnsi="Times New Roman" w:cs="Times New Roman"/>
                <w:sz w:val="18"/>
                <w:szCs w:val="18"/>
              </w:rPr>
            </w:pPr>
            <w:r w:rsidRPr="0085699D">
              <w:rPr>
                <w:rFonts w:ascii="Times New Roman" w:hAnsi="Times New Roman" w:cs="Times New Roman"/>
                <w:sz w:val="18"/>
                <w:szCs w:val="18"/>
              </w:rPr>
              <w:t>140.74 (20.5)</w:t>
            </w:r>
          </w:p>
        </w:tc>
        <w:tc>
          <w:tcPr>
            <w:tcW w:w="851" w:type="dxa"/>
            <w:vAlign w:val="center"/>
            <w:hideMark/>
          </w:tcPr>
          <w:p w14:paraId="7D39430C" w14:textId="77777777" w:rsidR="00937698" w:rsidRPr="0085699D" w:rsidRDefault="00937698" w:rsidP="00871479">
            <w:pPr>
              <w:pStyle w:val="NoSpacing"/>
              <w:jc w:val="center"/>
              <w:rPr>
                <w:rFonts w:ascii="Times New Roman" w:hAnsi="Times New Roman" w:cs="Times New Roman"/>
                <w:sz w:val="18"/>
                <w:szCs w:val="18"/>
              </w:rPr>
            </w:pPr>
            <w:r w:rsidRPr="0085699D">
              <w:rPr>
                <w:rFonts w:ascii="Times New Roman" w:hAnsi="Times New Roman" w:cs="Times New Roman"/>
                <w:sz w:val="18"/>
                <w:szCs w:val="18"/>
              </w:rPr>
              <w:t>71.52 (10.4)</w:t>
            </w:r>
          </w:p>
        </w:tc>
        <w:tc>
          <w:tcPr>
            <w:tcW w:w="914" w:type="dxa"/>
            <w:vAlign w:val="center"/>
            <w:hideMark/>
          </w:tcPr>
          <w:p w14:paraId="18CE23CA" w14:textId="77777777" w:rsidR="00937698" w:rsidRPr="0085699D" w:rsidRDefault="00937698" w:rsidP="00871479">
            <w:pPr>
              <w:pStyle w:val="NoSpacing"/>
              <w:jc w:val="center"/>
              <w:rPr>
                <w:rFonts w:ascii="Times New Roman" w:hAnsi="Times New Roman" w:cs="Times New Roman"/>
                <w:sz w:val="18"/>
                <w:szCs w:val="18"/>
              </w:rPr>
            </w:pPr>
            <w:r w:rsidRPr="0085699D">
              <w:rPr>
                <w:rFonts w:ascii="Times New Roman" w:hAnsi="Times New Roman" w:cs="Times New Roman"/>
                <w:sz w:val="18"/>
                <w:szCs w:val="18"/>
              </w:rPr>
              <w:t>212.26 (30.9)</w:t>
            </w:r>
          </w:p>
        </w:tc>
        <w:tc>
          <w:tcPr>
            <w:tcW w:w="977" w:type="dxa"/>
            <w:vAlign w:val="center"/>
            <w:hideMark/>
          </w:tcPr>
          <w:p w14:paraId="373FBCBF" w14:textId="77777777" w:rsidR="00937698" w:rsidRPr="0085699D" w:rsidRDefault="00937698" w:rsidP="00871479">
            <w:pPr>
              <w:pStyle w:val="NoSpacing"/>
              <w:jc w:val="center"/>
              <w:rPr>
                <w:rFonts w:ascii="Times New Roman" w:hAnsi="Times New Roman" w:cs="Times New Roman"/>
                <w:sz w:val="18"/>
                <w:szCs w:val="18"/>
              </w:rPr>
            </w:pPr>
            <w:r w:rsidRPr="0085699D">
              <w:rPr>
                <w:rFonts w:ascii="Times New Roman" w:hAnsi="Times New Roman" w:cs="Times New Roman"/>
                <w:sz w:val="18"/>
                <w:szCs w:val="18"/>
              </w:rPr>
              <w:t>28.21 (3.8)</w:t>
            </w:r>
          </w:p>
        </w:tc>
        <w:tc>
          <w:tcPr>
            <w:tcW w:w="709" w:type="dxa"/>
            <w:vAlign w:val="center"/>
            <w:hideMark/>
          </w:tcPr>
          <w:p w14:paraId="2338C65A" w14:textId="77777777" w:rsidR="00937698" w:rsidRPr="0085699D" w:rsidRDefault="00937698" w:rsidP="00871479">
            <w:pPr>
              <w:pStyle w:val="NoSpacing"/>
              <w:jc w:val="center"/>
              <w:rPr>
                <w:rFonts w:ascii="Times New Roman" w:hAnsi="Times New Roman" w:cs="Times New Roman"/>
                <w:sz w:val="18"/>
                <w:szCs w:val="18"/>
              </w:rPr>
            </w:pPr>
            <w:r w:rsidRPr="0085699D">
              <w:rPr>
                <w:rFonts w:ascii="Times New Roman" w:hAnsi="Times New Roman" w:cs="Times New Roman"/>
                <w:sz w:val="18"/>
                <w:szCs w:val="18"/>
              </w:rPr>
              <w:t>215.29 (31.3)</w:t>
            </w:r>
          </w:p>
        </w:tc>
        <w:tc>
          <w:tcPr>
            <w:tcW w:w="767" w:type="dxa"/>
            <w:vAlign w:val="center"/>
            <w:hideMark/>
          </w:tcPr>
          <w:p w14:paraId="541E31CD" w14:textId="77777777" w:rsidR="00937698" w:rsidRPr="0085699D" w:rsidRDefault="00937698" w:rsidP="00871479">
            <w:pPr>
              <w:pStyle w:val="NoSpacing"/>
              <w:jc w:val="center"/>
              <w:rPr>
                <w:rFonts w:ascii="Times New Roman" w:hAnsi="Times New Roman" w:cs="Times New Roman"/>
                <w:sz w:val="18"/>
                <w:szCs w:val="18"/>
              </w:rPr>
            </w:pPr>
            <w:r w:rsidRPr="0085699D">
              <w:rPr>
                <w:rFonts w:ascii="Times New Roman" w:hAnsi="Times New Roman" w:cs="Times New Roman"/>
                <w:sz w:val="18"/>
                <w:szCs w:val="18"/>
              </w:rPr>
              <w:t>16.15 (2.4)</w:t>
            </w:r>
          </w:p>
        </w:tc>
        <w:tc>
          <w:tcPr>
            <w:tcW w:w="594" w:type="dxa"/>
            <w:vAlign w:val="center"/>
            <w:hideMark/>
          </w:tcPr>
          <w:p w14:paraId="25696DC6" w14:textId="77777777" w:rsidR="00937698" w:rsidRPr="0085699D" w:rsidRDefault="00937698" w:rsidP="00871479">
            <w:pPr>
              <w:pStyle w:val="NoSpacing"/>
              <w:jc w:val="center"/>
              <w:rPr>
                <w:rFonts w:ascii="Times New Roman" w:hAnsi="Times New Roman" w:cs="Times New Roman"/>
                <w:sz w:val="18"/>
                <w:szCs w:val="18"/>
              </w:rPr>
            </w:pPr>
            <w:r w:rsidRPr="0085699D">
              <w:rPr>
                <w:rFonts w:ascii="Times New Roman" w:hAnsi="Times New Roman" w:cs="Times New Roman"/>
                <w:sz w:val="18"/>
                <w:szCs w:val="18"/>
              </w:rPr>
              <w:t>19.96 (2.9)</w:t>
            </w:r>
          </w:p>
        </w:tc>
        <w:tc>
          <w:tcPr>
            <w:tcW w:w="671" w:type="dxa"/>
            <w:vAlign w:val="center"/>
            <w:hideMark/>
          </w:tcPr>
          <w:p w14:paraId="58A518C6" w14:textId="77777777" w:rsidR="00937698" w:rsidRPr="0085699D" w:rsidRDefault="00937698" w:rsidP="00871479">
            <w:pPr>
              <w:pStyle w:val="NoSpacing"/>
              <w:jc w:val="center"/>
              <w:rPr>
                <w:rFonts w:ascii="Times New Roman" w:hAnsi="Times New Roman" w:cs="Times New Roman"/>
                <w:sz w:val="18"/>
                <w:szCs w:val="18"/>
              </w:rPr>
            </w:pPr>
            <w:r w:rsidRPr="0085699D">
              <w:rPr>
                <w:rFonts w:ascii="Times New Roman" w:hAnsi="Times New Roman" w:cs="Times New Roman"/>
                <w:sz w:val="18"/>
                <w:szCs w:val="18"/>
              </w:rPr>
              <w:t>279.61 (40.7)</w:t>
            </w:r>
          </w:p>
        </w:tc>
        <w:tc>
          <w:tcPr>
            <w:tcW w:w="988" w:type="dxa"/>
            <w:vAlign w:val="center"/>
            <w:hideMark/>
          </w:tcPr>
          <w:p w14:paraId="50B44795" w14:textId="77777777" w:rsidR="00937698" w:rsidRPr="0085699D" w:rsidRDefault="00937698" w:rsidP="00871479">
            <w:pPr>
              <w:pStyle w:val="NoSpacing"/>
              <w:jc w:val="center"/>
              <w:rPr>
                <w:rFonts w:ascii="Times New Roman" w:hAnsi="Times New Roman" w:cs="Times New Roman"/>
                <w:sz w:val="18"/>
                <w:szCs w:val="18"/>
              </w:rPr>
            </w:pPr>
            <w:r w:rsidRPr="0085699D">
              <w:rPr>
                <w:rFonts w:ascii="Times New Roman" w:hAnsi="Times New Roman" w:cs="Times New Roman"/>
                <w:sz w:val="18"/>
                <w:szCs w:val="18"/>
              </w:rPr>
              <w:t>52.13 (7.6)</w:t>
            </w:r>
          </w:p>
        </w:tc>
        <w:tc>
          <w:tcPr>
            <w:tcW w:w="758" w:type="dxa"/>
            <w:vAlign w:val="center"/>
            <w:hideMark/>
          </w:tcPr>
          <w:p w14:paraId="2F2B0F4C" w14:textId="77777777" w:rsidR="00937698" w:rsidRPr="0085699D" w:rsidRDefault="00937698" w:rsidP="00871479">
            <w:pPr>
              <w:pStyle w:val="NoSpacing"/>
              <w:jc w:val="center"/>
              <w:rPr>
                <w:rFonts w:ascii="Times New Roman" w:hAnsi="Times New Roman" w:cs="Times New Roman"/>
                <w:sz w:val="18"/>
                <w:szCs w:val="18"/>
              </w:rPr>
            </w:pPr>
            <w:r w:rsidRPr="0085699D">
              <w:rPr>
                <w:rFonts w:ascii="Times New Roman" w:hAnsi="Times New Roman" w:cs="Times New Roman"/>
                <w:sz w:val="18"/>
                <w:szCs w:val="18"/>
              </w:rPr>
              <w:t>76.97 (11.2)</w:t>
            </w:r>
          </w:p>
        </w:tc>
        <w:tc>
          <w:tcPr>
            <w:tcW w:w="947" w:type="dxa"/>
            <w:vAlign w:val="center"/>
            <w:hideMark/>
          </w:tcPr>
          <w:p w14:paraId="21F6AD3B" w14:textId="77777777" w:rsidR="00937698" w:rsidRPr="0085699D" w:rsidRDefault="00937698" w:rsidP="00871479">
            <w:pPr>
              <w:pStyle w:val="NoSpacing"/>
              <w:jc w:val="center"/>
              <w:rPr>
                <w:rFonts w:ascii="Times New Roman" w:hAnsi="Times New Roman" w:cs="Times New Roman"/>
                <w:sz w:val="18"/>
                <w:szCs w:val="18"/>
              </w:rPr>
            </w:pPr>
            <w:r w:rsidRPr="0085699D">
              <w:rPr>
                <w:rFonts w:ascii="Times New Roman" w:hAnsi="Times New Roman" w:cs="Times New Roman"/>
                <w:sz w:val="18"/>
                <w:szCs w:val="18"/>
              </w:rPr>
              <w:t>24.69 (3.6)</w:t>
            </w:r>
          </w:p>
        </w:tc>
        <w:tc>
          <w:tcPr>
            <w:tcW w:w="988" w:type="dxa"/>
            <w:vAlign w:val="center"/>
            <w:hideMark/>
          </w:tcPr>
          <w:p w14:paraId="0F606303" w14:textId="77777777" w:rsidR="00937698" w:rsidRPr="0085699D" w:rsidRDefault="00937698" w:rsidP="00871479">
            <w:pPr>
              <w:pStyle w:val="NoSpacing"/>
              <w:jc w:val="center"/>
              <w:rPr>
                <w:rFonts w:ascii="Times New Roman" w:hAnsi="Times New Roman" w:cs="Times New Roman"/>
                <w:sz w:val="18"/>
                <w:szCs w:val="18"/>
              </w:rPr>
            </w:pPr>
            <w:r w:rsidRPr="0085699D">
              <w:rPr>
                <w:rFonts w:ascii="Times New Roman" w:hAnsi="Times New Roman" w:cs="Times New Roman"/>
                <w:sz w:val="18"/>
                <w:szCs w:val="18"/>
              </w:rPr>
              <w:t>16.84 (2.5)</w:t>
            </w:r>
          </w:p>
        </w:tc>
        <w:tc>
          <w:tcPr>
            <w:tcW w:w="900" w:type="dxa"/>
            <w:vAlign w:val="center"/>
            <w:hideMark/>
          </w:tcPr>
          <w:p w14:paraId="7FC334DD" w14:textId="77777777" w:rsidR="00937698" w:rsidRPr="0085699D" w:rsidRDefault="00937698" w:rsidP="00871479">
            <w:pPr>
              <w:pStyle w:val="NoSpacing"/>
              <w:jc w:val="center"/>
              <w:rPr>
                <w:rFonts w:ascii="Times New Roman" w:hAnsi="Times New Roman" w:cs="Times New Roman"/>
                <w:sz w:val="18"/>
                <w:szCs w:val="18"/>
              </w:rPr>
            </w:pPr>
            <w:r w:rsidRPr="0085699D">
              <w:rPr>
                <w:rFonts w:ascii="Times New Roman" w:hAnsi="Times New Roman" w:cs="Times New Roman"/>
                <w:sz w:val="18"/>
                <w:szCs w:val="18"/>
              </w:rPr>
              <w:t>19.46 (2.8)</w:t>
            </w:r>
          </w:p>
        </w:tc>
        <w:tc>
          <w:tcPr>
            <w:tcW w:w="851" w:type="dxa"/>
            <w:vAlign w:val="center"/>
            <w:hideMark/>
          </w:tcPr>
          <w:p w14:paraId="7ED00D20" w14:textId="77777777" w:rsidR="00937698" w:rsidRPr="0085699D" w:rsidRDefault="00937698" w:rsidP="00871479">
            <w:pPr>
              <w:pStyle w:val="NoSpacing"/>
              <w:jc w:val="center"/>
              <w:rPr>
                <w:rFonts w:ascii="Times New Roman" w:hAnsi="Times New Roman" w:cs="Times New Roman"/>
                <w:sz w:val="18"/>
                <w:szCs w:val="18"/>
              </w:rPr>
            </w:pPr>
            <w:r w:rsidRPr="0085699D">
              <w:rPr>
                <w:rFonts w:ascii="Times New Roman" w:hAnsi="Times New Roman" w:cs="Times New Roman"/>
                <w:sz w:val="18"/>
                <w:szCs w:val="18"/>
              </w:rPr>
              <w:t>4.90 (0.7)</w:t>
            </w:r>
          </w:p>
        </w:tc>
        <w:tc>
          <w:tcPr>
            <w:tcW w:w="850" w:type="dxa"/>
            <w:vAlign w:val="center"/>
            <w:hideMark/>
          </w:tcPr>
          <w:p w14:paraId="0E9474CC" w14:textId="77777777" w:rsidR="00937698" w:rsidRPr="0085699D" w:rsidRDefault="00937698" w:rsidP="00871479">
            <w:pPr>
              <w:pStyle w:val="NoSpacing"/>
              <w:jc w:val="center"/>
              <w:rPr>
                <w:rFonts w:ascii="Times New Roman" w:hAnsi="Times New Roman" w:cs="Times New Roman"/>
                <w:sz w:val="18"/>
                <w:szCs w:val="18"/>
              </w:rPr>
            </w:pPr>
            <w:r w:rsidRPr="0085699D">
              <w:rPr>
                <w:rFonts w:ascii="Times New Roman" w:hAnsi="Times New Roman" w:cs="Times New Roman"/>
                <w:sz w:val="18"/>
                <w:szCs w:val="18"/>
              </w:rPr>
              <w:t>194.99 (28.4)</w:t>
            </w:r>
          </w:p>
        </w:tc>
        <w:tc>
          <w:tcPr>
            <w:tcW w:w="993" w:type="dxa"/>
            <w:vAlign w:val="center"/>
            <w:hideMark/>
          </w:tcPr>
          <w:p w14:paraId="7051666F" w14:textId="77777777" w:rsidR="00937698" w:rsidRPr="0085699D" w:rsidRDefault="00937698" w:rsidP="00871479">
            <w:pPr>
              <w:pStyle w:val="NoSpacing"/>
              <w:jc w:val="center"/>
              <w:rPr>
                <w:rFonts w:ascii="Times New Roman" w:hAnsi="Times New Roman" w:cs="Times New Roman"/>
                <w:sz w:val="18"/>
                <w:szCs w:val="18"/>
              </w:rPr>
            </w:pPr>
            <w:r w:rsidRPr="0085699D">
              <w:rPr>
                <w:rFonts w:ascii="Times New Roman" w:hAnsi="Times New Roman" w:cs="Times New Roman"/>
                <w:sz w:val="18"/>
                <w:szCs w:val="18"/>
              </w:rPr>
              <w:t>686.86 (100.0)</w:t>
            </w:r>
          </w:p>
        </w:tc>
      </w:tr>
      <w:tr w:rsidR="00937698" w:rsidRPr="0085699D" w14:paraId="3A9FA269" w14:textId="77777777" w:rsidTr="00871479">
        <w:trPr>
          <w:trHeight w:val="417"/>
        </w:trPr>
        <w:tc>
          <w:tcPr>
            <w:tcW w:w="993" w:type="dxa"/>
            <w:hideMark/>
          </w:tcPr>
          <w:p w14:paraId="3E10D23D" w14:textId="77777777" w:rsidR="00937698" w:rsidRPr="0085699D" w:rsidRDefault="00937698" w:rsidP="00B77C0B">
            <w:pPr>
              <w:pStyle w:val="NoSpacing"/>
              <w:rPr>
                <w:rFonts w:ascii="Times New Roman" w:hAnsi="Times New Roman" w:cs="Times New Roman"/>
                <w:sz w:val="18"/>
                <w:szCs w:val="18"/>
              </w:rPr>
            </w:pPr>
            <w:r w:rsidRPr="0085699D">
              <w:rPr>
                <w:rFonts w:ascii="Times New Roman" w:hAnsi="Times New Roman" w:cs="Times New Roman"/>
                <w:sz w:val="18"/>
                <w:szCs w:val="18"/>
              </w:rPr>
              <w:t>Gujarat</w:t>
            </w:r>
          </w:p>
        </w:tc>
        <w:tc>
          <w:tcPr>
            <w:tcW w:w="992" w:type="dxa"/>
            <w:vAlign w:val="center"/>
            <w:hideMark/>
          </w:tcPr>
          <w:p w14:paraId="265E5317" w14:textId="77777777" w:rsidR="00937698" w:rsidRPr="0085699D" w:rsidRDefault="00937698" w:rsidP="00871479">
            <w:pPr>
              <w:pStyle w:val="NoSpacing"/>
              <w:jc w:val="center"/>
              <w:rPr>
                <w:rFonts w:ascii="Times New Roman" w:hAnsi="Times New Roman" w:cs="Times New Roman"/>
                <w:sz w:val="18"/>
                <w:szCs w:val="18"/>
              </w:rPr>
            </w:pPr>
            <w:r w:rsidRPr="0085699D">
              <w:rPr>
                <w:rFonts w:ascii="Times New Roman" w:hAnsi="Times New Roman" w:cs="Times New Roman"/>
                <w:sz w:val="18"/>
                <w:szCs w:val="18"/>
              </w:rPr>
              <w:t>73.18 (18.4)</w:t>
            </w:r>
          </w:p>
        </w:tc>
        <w:tc>
          <w:tcPr>
            <w:tcW w:w="851" w:type="dxa"/>
            <w:vAlign w:val="center"/>
            <w:hideMark/>
          </w:tcPr>
          <w:p w14:paraId="0BA66689" w14:textId="77777777" w:rsidR="00937698" w:rsidRPr="0085699D" w:rsidRDefault="00937698" w:rsidP="00871479">
            <w:pPr>
              <w:pStyle w:val="NoSpacing"/>
              <w:jc w:val="center"/>
              <w:rPr>
                <w:rFonts w:ascii="Times New Roman" w:hAnsi="Times New Roman" w:cs="Times New Roman"/>
                <w:sz w:val="18"/>
                <w:szCs w:val="18"/>
              </w:rPr>
            </w:pPr>
            <w:r w:rsidRPr="0085699D">
              <w:rPr>
                <w:rFonts w:ascii="Times New Roman" w:hAnsi="Times New Roman" w:cs="Times New Roman"/>
                <w:sz w:val="18"/>
                <w:szCs w:val="18"/>
              </w:rPr>
              <w:t>59.15 (14.9)</w:t>
            </w:r>
          </w:p>
        </w:tc>
        <w:tc>
          <w:tcPr>
            <w:tcW w:w="914" w:type="dxa"/>
            <w:vAlign w:val="center"/>
            <w:hideMark/>
          </w:tcPr>
          <w:p w14:paraId="09B84CB2" w14:textId="77777777" w:rsidR="00937698" w:rsidRPr="0085699D" w:rsidRDefault="00937698" w:rsidP="00871479">
            <w:pPr>
              <w:pStyle w:val="NoSpacing"/>
              <w:jc w:val="center"/>
              <w:rPr>
                <w:rFonts w:ascii="Times New Roman" w:hAnsi="Times New Roman" w:cs="Times New Roman"/>
                <w:sz w:val="18"/>
                <w:szCs w:val="18"/>
              </w:rPr>
            </w:pPr>
            <w:r w:rsidRPr="0085699D">
              <w:rPr>
                <w:rFonts w:ascii="Times New Roman" w:hAnsi="Times New Roman" w:cs="Times New Roman"/>
                <w:sz w:val="18"/>
                <w:szCs w:val="18"/>
              </w:rPr>
              <w:t>132.33 (33.3)</w:t>
            </w:r>
          </w:p>
        </w:tc>
        <w:tc>
          <w:tcPr>
            <w:tcW w:w="977" w:type="dxa"/>
            <w:vAlign w:val="center"/>
            <w:hideMark/>
          </w:tcPr>
          <w:p w14:paraId="7E63019B" w14:textId="77777777" w:rsidR="00937698" w:rsidRPr="0085699D" w:rsidRDefault="00937698" w:rsidP="00871479">
            <w:pPr>
              <w:pStyle w:val="NoSpacing"/>
              <w:jc w:val="center"/>
              <w:rPr>
                <w:rFonts w:ascii="Times New Roman" w:hAnsi="Times New Roman" w:cs="Times New Roman"/>
                <w:sz w:val="18"/>
                <w:szCs w:val="18"/>
              </w:rPr>
            </w:pPr>
            <w:r w:rsidRPr="0085699D">
              <w:rPr>
                <w:rFonts w:ascii="Times New Roman" w:hAnsi="Times New Roman" w:cs="Times New Roman"/>
                <w:sz w:val="18"/>
                <w:szCs w:val="18"/>
              </w:rPr>
              <w:t>87.69 (22.0)</w:t>
            </w:r>
          </w:p>
        </w:tc>
        <w:tc>
          <w:tcPr>
            <w:tcW w:w="709" w:type="dxa"/>
            <w:vAlign w:val="center"/>
            <w:hideMark/>
          </w:tcPr>
          <w:p w14:paraId="3741994F" w14:textId="77777777" w:rsidR="00937698" w:rsidRPr="0085699D" w:rsidRDefault="00937698" w:rsidP="00871479">
            <w:pPr>
              <w:pStyle w:val="NoSpacing"/>
              <w:jc w:val="center"/>
              <w:rPr>
                <w:rFonts w:ascii="Times New Roman" w:hAnsi="Times New Roman" w:cs="Times New Roman"/>
                <w:sz w:val="18"/>
                <w:szCs w:val="18"/>
              </w:rPr>
            </w:pPr>
            <w:r w:rsidRPr="0085699D">
              <w:rPr>
                <w:rFonts w:ascii="Times New Roman" w:hAnsi="Times New Roman" w:cs="Times New Roman"/>
                <w:sz w:val="18"/>
                <w:szCs w:val="18"/>
              </w:rPr>
              <w:t>53.83 (13.5)</w:t>
            </w:r>
          </w:p>
        </w:tc>
        <w:tc>
          <w:tcPr>
            <w:tcW w:w="767" w:type="dxa"/>
            <w:vAlign w:val="center"/>
            <w:hideMark/>
          </w:tcPr>
          <w:p w14:paraId="6AA34B3B" w14:textId="77777777" w:rsidR="00937698" w:rsidRPr="0085699D" w:rsidRDefault="00937698" w:rsidP="00871479">
            <w:pPr>
              <w:pStyle w:val="NoSpacing"/>
              <w:jc w:val="center"/>
              <w:rPr>
                <w:rFonts w:ascii="Times New Roman" w:hAnsi="Times New Roman" w:cs="Times New Roman"/>
                <w:sz w:val="18"/>
                <w:szCs w:val="18"/>
              </w:rPr>
            </w:pPr>
            <w:r w:rsidRPr="0085699D">
              <w:rPr>
                <w:rFonts w:ascii="Times New Roman" w:hAnsi="Times New Roman" w:cs="Times New Roman"/>
                <w:sz w:val="18"/>
                <w:szCs w:val="18"/>
              </w:rPr>
              <w:t>0.55 (0.1)</w:t>
            </w:r>
          </w:p>
        </w:tc>
        <w:tc>
          <w:tcPr>
            <w:tcW w:w="594" w:type="dxa"/>
            <w:vAlign w:val="center"/>
            <w:hideMark/>
          </w:tcPr>
          <w:p w14:paraId="158A06FB" w14:textId="77777777" w:rsidR="00937698" w:rsidRPr="0085699D" w:rsidRDefault="00937698" w:rsidP="00871479">
            <w:pPr>
              <w:pStyle w:val="NoSpacing"/>
              <w:jc w:val="center"/>
              <w:rPr>
                <w:rFonts w:ascii="Times New Roman" w:hAnsi="Times New Roman" w:cs="Times New Roman"/>
                <w:sz w:val="18"/>
                <w:szCs w:val="18"/>
              </w:rPr>
            </w:pPr>
            <w:r w:rsidRPr="0085699D">
              <w:rPr>
                <w:rFonts w:ascii="Times New Roman" w:hAnsi="Times New Roman" w:cs="Times New Roman"/>
                <w:sz w:val="18"/>
                <w:szCs w:val="18"/>
              </w:rPr>
              <w:t>36.72 (9.2)</w:t>
            </w:r>
          </w:p>
        </w:tc>
        <w:tc>
          <w:tcPr>
            <w:tcW w:w="671" w:type="dxa"/>
            <w:vAlign w:val="center"/>
            <w:hideMark/>
          </w:tcPr>
          <w:p w14:paraId="6B3A77EA" w14:textId="77777777" w:rsidR="00937698" w:rsidRPr="0085699D" w:rsidRDefault="00937698" w:rsidP="00871479">
            <w:pPr>
              <w:pStyle w:val="NoSpacing"/>
              <w:jc w:val="center"/>
              <w:rPr>
                <w:rFonts w:ascii="Times New Roman" w:hAnsi="Times New Roman" w:cs="Times New Roman"/>
                <w:sz w:val="18"/>
                <w:szCs w:val="18"/>
              </w:rPr>
            </w:pPr>
            <w:r w:rsidRPr="0085699D">
              <w:rPr>
                <w:rFonts w:ascii="Times New Roman" w:hAnsi="Times New Roman" w:cs="Times New Roman"/>
                <w:sz w:val="18"/>
                <w:szCs w:val="18"/>
              </w:rPr>
              <w:t>178.79 (44.8)</w:t>
            </w:r>
          </w:p>
        </w:tc>
        <w:tc>
          <w:tcPr>
            <w:tcW w:w="988" w:type="dxa"/>
            <w:vAlign w:val="center"/>
            <w:hideMark/>
          </w:tcPr>
          <w:p w14:paraId="3D1736B5" w14:textId="77777777" w:rsidR="00937698" w:rsidRPr="0085699D" w:rsidRDefault="00937698" w:rsidP="00871479">
            <w:pPr>
              <w:pStyle w:val="NoSpacing"/>
              <w:jc w:val="center"/>
              <w:rPr>
                <w:rFonts w:ascii="Times New Roman" w:hAnsi="Times New Roman" w:cs="Times New Roman"/>
                <w:sz w:val="18"/>
                <w:szCs w:val="18"/>
              </w:rPr>
            </w:pPr>
            <w:r w:rsidRPr="0085699D">
              <w:rPr>
                <w:rFonts w:ascii="Times New Roman" w:hAnsi="Times New Roman" w:cs="Times New Roman"/>
                <w:sz w:val="18"/>
                <w:szCs w:val="18"/>
              </w:rPr>
              <w:t>12.51 (3.1)</w:t>
            </w:r>
          </w:p>
        </w:tc>
        <w:tc>
          <w:tcPr>
            <w:tcW w:w="758" w:type="dxa"/>
            <w:vAlign w:val="center"/>
            <w:hideMark/>
          </w:tcPr>
          <w:p w14:paraId="3E9A8A68" w14:textId="77777777" w:rsidR="00937698" w:rsidRPr="0085699D" w:rsidRDefault="00937698" w:rsidP="00871479">
            <w:pPr>
              <w:pStyle w:val="NoSpacing"/>
              <w:jc w:val="center"/>
              <w:rPr>
                <w:rFonts w:ascii="Times New Roman" w:hAnsi="Times New Roman" w:cs="Times New Roman"/>
                <w:sz w:val="18"/>
                <w:szCs w:val="18"/>
              </w:rPr>
            </w:pPr>
            <w:r w:rsidRPr="0085699D">
              <w:rPr>
                <w:rFonts w:ascii="Times New Roman" w:hAnsi="Times New Roman" w:cs="Times New Roman"/>
                <w:sz w:val="18"/>
                <w:szCs w:val="18"/>
              </w:rPr>
              <w:t>52.90 (13.3)</w:t>
            </w:r>
          </w:p>
        </w:tc>
        <w:tc>
          <w:tcPr>
            <w:tcW w:w="947" w:type="dxa"/>
            <w:vAlign w:val="center"/>
            <w:hideMark/>
          </w:tcPr>
          <w:p w14:paraId="49BC8AA7" w14:textId="77777777" w:rsidR="00937698" w:rsidRPr="0085699D" w:rsidRDefault="00937698" w:rsidP="00871479">
            <w:pPr>
              <w:pStyle w:val="NoSpacing"/>
              <w:jc w:val="center"/>
              <w:rPr>
                <w:rFonts w:ascii="Times New Roman" w:hAnsi="Times New Roman" w:cs="Times New Roman"/>
                <w:sz w:val="18"/>
                <w:szCs w:val="18"/>
              </w:rPr>
            </w:pPr>
            <w:r w:rsidRPr="0085699D">
              <w:rPr>
                <w:rFonts w:ascii="Times New Roman" w:hAnsi="Times New Roman" w:cs="Times New Roman"/>
                <w:sz w:val="18"/>
                <w:szCs w:val="18"/>
              </w:rPr>
              <w:t>0.75 (0.2)</w:t>
            </w:r>
          </w:p>
        </w:tc>
        <w:tc>
          <w:tcPr>
            <w:tcW w:w="988" w:type="dxa"/>
            <w:vAlign w:val="center"/>
            <w:hideMark/>
          </w:tcPr>
          <w:p w14:paraId="611FFE76" w14:textId="77777777" w:rsidR="00937698" w:rsidRPr="0085699D" w:rsidRDefault="00937698" w:rsidP="00871479">
            <w:pPr>
              <w:pStyle w:val="NoSpacing"/>
              <w:jc w:val="center"/>
              <w:rPr>
                <w:rFonts w:ascii="Times New Roman" w:hAnsi="Times New Roman" w:cs="Times New Roman"/>
                <w:sz w:val="18"/>
                <w:szCs w:val="18"/>
              </w:rPr>
            </w:pPr>
            <w:r w:rsidRPr="0085699D">
              <w:rPr>
                <w:rFonts w:ascii="Times New Roman" w:hAnsi="Times New Roman" w:cs="Times New Roman"/>
                <w:sz w:val="18"/>
                <w:szCs w:val="18"/>
              </w:rPr>
              <w:t>2.47 (0.6)</w:t>
            </w:r>
          </w:p>
        </w:tc>
        <w:tc>
          <w:tcPr>
            <w:tcW w:w="900" w:type="dxa"/>
            <w:vAlign w:val="center"/>
            <w:hideMark/>
          </w:tcPr>
          <w:p w14:paraId="2371CDE2" w14:textId="77777777" w:rsidR="00937698" w:rsidRPr="0085699D" w:rsidRDefault="00937698" w:rsidP="00871479">
            <w:pPr>
              <w:pStyle w:val="NoSpacing"/>
              <w:jc w:val="center"/>
              <w:rPr>
                <w:rFonts w:ascii="Times New Roman" w:hAnsi="Times New Roman" w:cs="Times New Roman"/>
                <w:sz w:val="18"/>
                <w:szCs w:val="18"/>
              </w:rPr>
            </w:pPr>
            <w:r w:rsidRPr="0085699D">
              <w:rPr>
                <w:rFonts w:ascii="Times New Roman" w:hAnsi="Times New Roman" w:cs="Times New Roman"/>
                <w:sz w:val="18"/>
                <w:szCs w:val="18"/>
              </w:rPr>
              <w:t>7.37 (1.9)</w:t>
            </w:r>
          </w:p>
        </w:tc>
        <w:tc>
          <w:tcPr>
            <w:tcW w:w="851" w:type="dxa"/>
            <w:vAlign w:val="center"/>
            <w:hideMark/>
          </w:tcPr>
          <w:p w14:paraId="5FF428D9" w14:textId="77777777" w:rsidR="00937698" w:rsidRPr="0085699D" w:rsidRDefault="00937698" w:rsidP="00871479">
            <w:pPr>
              <w:pStyle w:val="NoSpacing"/>
              <w:jc w:val="center"/>
              <w:rPr>
                <w:rFonts w:ascii="Times New Roman" w:hAnsi="Times New Roman" w:cs="Times New Roman"/>
                <w:sz w:val="18"/>
                <w:szCs w:val="18"/>
              </w:rPr>
            </w:pPr>
            <w:r w:rsidRPr="0085699D">
              <w:rPr>
                <w:rFonts w:ascii="Times New Roman" w:hAnsi="Times New Roman" w:cs="Times New Roman"/>
                <w:sz w:val="18"/>
                <w:szCs w:val="18"/>
              </w:rPr>
              <w:t>11.18 (2.8)</w:t>
            </w:r>
          </w:p>
        </w:tc>
        <w:tc>
          <w:tcPr>
            <w:tcW w:w="850" w:type="dxa"/>
            <w:vAlign w:val="center"/>
            <w:hideMark/>
          </w:tcPr>
          <w:p w14:paraId="34CFED31" w14:textId="77777777" w:rsidR="00937698" w:rsidRPr="0085699D" w:rsidRDefault="00937698" w:rsidP="00871479">
            <w:pPr>
              <w:pStyle w:val="NoSpacing"/>
              <w:jc w:val="center"/>
              <w:rPr>
                <w:rFonts w:ascii="Times New Roman" w:hAnsi="Times New Roman" w:cs="Times New Roman"/>
                <w:sz w:val="18"/>
                <w:szCs w:val="18"/>
              </w:rPr>
            </w:pPr>
            <w:r w:rsidRPr="0085699D">
              <w:rPr>
                <w:rFonts w:ascii="Times New Roman" w:hAnsi="Times New Roman" w:cs="Times New Roman"/>
                <w:sz w:val="18"/>
                <w:szCs w:val="18"/>
              </w:rPr>
              <w:t>87.18 (21.9)</w:t>
            </w:r>
          </w:p>
        </w:tc>
        <w:tc>
          <w:tcPr>
            <w:tcW w:w="993" w:type="dxa"/>
            <w:vAlign w:val="center"/>
            <w:hideMark/>
          </w:tcPr>
          <w:p w14:paraId="27CB3AE8" w14:textId="77777777" w:rsidR="00937698" w:rsidRPr="0085699D" w:rsidRDefault="00937698" w:rsidP="00871479">
            <w:pPr>
              <w:pStyle w:val="NoSpacing"/>
              <w:jc w:val="center"/>
              <w:rPr>
                <w:rFonts w:ascii="Times New Roman" w:hAnsi="Times New Roman" w:cs="Times New Roman"/>
                <w:sz w:val="18"/>
                <w:szCs w:val="18"/>
              </w:rPr>
            </w:pPr>
            <w:r w:rsidRPr="0085699D">
              <w:rPr>
                <w:rFonts w:ascii="Times New Roman" w:hAnsi="Times New Roman" w:cs="Times New Roman"/>
                <w:sz w:val="18"/>
                <w:szCs w:val="18"/>
              </w:rPr>
              <w:t>398.30 (100.0)</w:t>
            </w:r>
          </w:p>
        </w:tc>
      </w:tr>
      <w:tr w:rsidR="00937698" w:rsidRPr="0085699D" w14:paraId="6B4C7322" w14:textId="77777777" w:rsidTr="00871479">
        <w:trPr>
          <w:trHeight w:val="410"/>
        </w:trPr>
        <w:tc>
          <w:tcPr>
            <w:tcW w:w="993" w:type="dxa"/>
            <w:hideMark/>
          </w:tcPr>
          <w:p w14:paraId="19265E9A" w14:textId="77777777" w:rsidR="00937698" w:rsidRPr="0085699D" w:rsidRDefault="00937698" w:rsidP="00B77C0B">
            <w:pPr>
              <w:pStyle w:val="NoSpacing"/>
              <w:rPr>
                <w:rFonts w:ascii="Times New Roman" w:hAnsi="Times New Roman" w:cs="Times New Roman"/>
                <w:sz w:val="18"/>
                <w:szCs w:val="18"/>
              </w:rPr>
            </w:pPr>
            <w:r w:rsidRPr="0085699D">
              <w:rPr>
                <w:rFonts w:ascii="Times New Roman" w:hAnsi="Times New Roman" w:cs="Times New Roman"/>
                <w:sz w:val="18"/>
                <w:szCs w:val="18"/>
              </w:rPr>
              <w:t>Haryana</w:t>
            </w:r>
          </w:p>
        </w:tc>
        <w:tc>
          <w:tcPr>
            <w:tcW w:w="992" w:type="dxa"/>
            <w:vAlign w:val="center"/>
            <w:hideMark/>
          </w:tcPr>
          <w:p w14:paraId="70080638" w14:textId="77777777" w:rsidR="00937698" w:rsidRPr="0085699D" w:rsidRDefault="00937698" w:rsidP="00871479">
            <w:pPr>
              <w:pStyle w:val="NoSpacing"/>
              <w:jc w:val="center"/>
              <w:rPr>
                <w:rFonts w:ascii="Times New Roman" w:hAnsi="Times New Roman" w:cs="Times New Roman"/>
                <w:sz w:val="18"/>
                <w:szCs w:val="18"/>
              </w:rPr>
            </w:pPr>
            <w:r w:rsidRPr="0085699D">
              <w:rPr>
                <w:rFonts w:ascii="Times New Roman" w:hAnsi="Times New Roman" w:cs="Times New Roman"/>
                <w:sz w:val="18"/>
                <w:szCs w:val="18"/>
              </w:rPr>
              <w:t>18.01 (23.2)</w:t>
            </w:r>
          </w:p>
        </w:tc>
        <w:tc>
          <w:tcPr>
            <w:tcW w:w="851" w:type="dxa"/>
            <w:vAlign w:val="center"/>
            <w:hideMark/>
          </w:tcPr>
          <w:p w14:paraId="7EE38F19" w14:textId="77777777" w:rsidR="00937698" w:rsidRPr="0085699D" w:rsidRDefault="00937698" w:rsidP="00871479">
            <w:pPr>
              <w:pStyle w:val="NoSpacing"/>
              <w:jc w:val="center"/>
              <w:rPr>
                <w:rFonts w:ascii="Times New Roman" w:hAnsi="Times New Roman" w:cs="Times New Roman"/>
                <w:sz w:val="18"/>
                <w:szCs w:val="18"/>
              </w:rPr>
            </w:pPr>
            <w:r w:rsidRPr="0085699D">
              <w:rPr>
                <w:rFonts w:ascii="Times New Roman" w:hAnsi="Times New Roman" w:cs="Times New Roman"/>
                <w:sz w:val="18"/>
                <w:szCs w:val="18"/>
              </w:rPr>
              <w:t>19.83 (25.5)</w:t>
            </w:r>
          </w:p>
        </w:tc>
        <w:tc>
          <w:tcPr>
            <w:tcW w:w="914" w:type="dxa"/>
            <w:vAlign w:val="center"/>
            <w:hideMark/>
          </w:tcPr>
          <w:p w14:paraId="7AF59C8D" w14:textId="77777777" w:rsidR="00937698" w:rsidRPr="0085699D" w:rsidRDefault="00937698" w:rsidP="00871479">
            <w:pPr>
              <w:pStyle w:val="NoSpacing"/>
              <w:jc w:val="center"/>
              <w:rPr>
                <w:rFonts w:ascii="Times New Roman" w:hAnsi="Times New Roman" w:cs="Times New Roman"/>
                <w:sz w:val="18"/>
                <w:szCs w:val="18"/>
              </w:rPr>
            </w:pPr>
            <w:r w:rsidRPr="0085699D">
              <w:rPr>
                <w:rFonts w:ascii="Times New Roman" w:hAnsi="Times New Roman" w:cs="Times New Roman"/>
                <w:sz w:val="18"/>
                <w:szCs w:val="18"/>
              </w:rPr>
              <w:t>37.84 (48.7)</w:t>
            </w:r>
          </w:p>
        </w:tc>
        <w:tc>
          <w:tcPr>
            <w:tcW w:w="977" w:type="dxa"/>
            <w:vAlign w:val="center"/>
            <w:hideMark/>
          </w:tcPr>
          <w:p w14:paraId="3B83D1C5" w14:textId="77777777" w:rsidR="00937698" w:rsidRPr="0085699D" w:rsidRDefault="00937698" w:rsidP="00871479">
            <w:pPr>
              <w:pStyle w:val="NoSpacing"/>
              <w:jc w:val="center"/>
              <w:rPr>
                <w:rFonts w:ascii="Times New Roman" w:hAnsi="Times New Roman" w:cs="Times New Roman"/>
                <w:sz w:val="18"/>
                <w:szCs w:val="18"/>
              </w:rPr>
            </w:pPr>
            <w:r w:rsidRPr="0085699D">
              <w:rPr>
                <w:rFonts w:ascii="Times New Roman" w:hAnsi="Times New Roman" w:cs="Times New Roman"/>
                <w:sz w:val="18"/>
                <w:szCs w:val="18"/>
              </w:rPr>
              <w:t>27.00 (34.8)</w:t>
            </w:r>
          </w:p>
        </w:tc>
        <w:tc>
          <w:tcPr>
            <w:tcW w:w="709" w:type="dxa"/>
            <w:vAlign w:val="center"/>
            <w:hideMark/>
          </w:tcPr>
          <w:p w14:paraId="4B1358D8" w14:textId="77777777" w:rsidR="00937698" w:rsidRPr="0085699D" w:rsidRDefault="00937698" w:rsidP="00871479">
            <w:pPr>
              <w:pStyle w:val="NoSpacing"/>
              <w:jc w:val="center"/>
              <w:rPr>
                <w:rFonts w:ascii="Times New Roman" w:hAnsi="Times New Roman" w:cs="Times New Roman"/>
                <w:sz w:val="18"/>
                <w:szCs w:val="18"/>
              </w:rPr>
            </w:pPr>
            <w:r w:rsidRPr="0085699D">
              <w:rPr>
                <w:rFonts w:ascii="Times New Roman" w:hAnsi="Times New Roman" w:cs="Times New Roman"/>
                <w:sz w:val="18"/>
                <w:szCs w:val="18"/>
              </w:rPr>
              <w:t>-0.15 (-0.2)</w:t>
            </w:r>
          </w:p>
        </w:tc>
        <w:tc>
          <w:tcPr>
            <w:tcW w:w="767" w:type="dxa"/>
            <w:vAlign w:val="center"/>
            <w:hideMark/>
          </w:tcPr>
          <w:p w14:paraId="40442DFC" w14:textId="77777777" w:rsidR="00937698" w:rsidRPr="0085699D" w:rsidRDefault="00937698" w:rsidP="00871479">
            <w:pPr>
              <w:pStyle w:val="NoSpacing"/>
              <w:jc w:val="center"/>
              <w:rPr>
                <w:rFonts w:ascii="Times New Roman" w:hAnsi="Times New Roman" w:cs="Times New Roman"/>
                <w:sz w:val="18"/>
                <w:szCs w:val="18"/>
              </w:rPr>
            </w:pPr>
            <w:r w:rsidRPr="0085699D">
              <w:rPr>
                <w:rFonts w:ascii="Times New Roman" w:hAnsi="Times New Roman" w:cs="Times New Roman"/>
                <w:sz w:val="18"/>
                <w:szCs w:val="18"/>
              </w:rPr>
              <w:t>..</w:t>
            </w:r>
          </w:p>
        </w:tc>
        <w:tc>
          <w:tcPr>
            <w:tcW w:w="594" w:type="dxa"/>
            <w:vAlign w:val="center"/>
            <w:hideMark/>
          </w:tcPr>
          <w:p w14:paraId="12A4FC62" w14:textId="77777777" w:rsidR="00937698" w:rsidRPr="0085699D" w:rsidRDefault="00937698" w:rsidP="00871479">
            <w:pPr>
              <w:pStyle w:val="NoSpacing"/>
              <w:jc w:val="center"/>
              <w:rPr>
                <w:rFonts w:ascii="Times New Roman" w:hAnsi="Times New Roman" w:cs="Times New Roman"/>
                <w:sz w:val="18"/>
                <w:szCs w:val="18"/>
              </w:rPr>
            </w:pPr>
            <w:r w:rsidRPr="0085699D">
              <w:rPr>
                <w:rFonts w:ascii="Times New Roman" w:hAnsi="Times New Roman" w:cs="Times New Roman"/>
                <w:sz w:val="18"/>
                <w:szCs w:val="18"/>
              </w:rPr>
              <w:t>10.24 (13.2)</w:t>
            </w:r>
          </w:p>
        </w:tc>
        <w:tc>
          <w:tcPr>
            <w:tcW w:w="671" w:type="dxa"/>
            <w:vAlign w:val="center"/>
            <w:hideMark/>
          </w:tcPr>
          <w:p w14:paraId="5E72FB4A" w14:textId="77777777" w:rsidR="00937698" w:rsidRPr="0085699D" w:rsidRDefault="00937698" w:rsidP="00871479">
            <w:pPr>
              <w:pStyle w:val="NoSpacing"/>
              <w:jc w:val="center"/>
              <w:rPr>
                <w:rFonts w:ascii="Times New Roman" w:hAnsi="Times New Roman" w:cs="Times New Roman"/>
                <w:sz w:val="18"/>
                <w:szCs w:val="18"/>
              </w:rPr>
            </w:pPr>
            <w:r w:rsidRPr="0085699D">
              <w:rPr>
                <w:rFonts w:ascii="Times New Roman" w:hAnsi="Times New Roman" w:cs="Times New Roman"/>
                <w:sz w:val="18"/>
                <w:szCs w:val="18"/>
              </w:rPr>
              <w:t>37.09 (47.8)</w:t>
            </w:r>
          </w:p>
        </w:tc>
        <w:tc>
          <w:tcPr>
            <w:tcW w:w="988" w:type="dxa"/>
            <w:vAlign w:val="center"/>
            <w:hideMark/>
          </w:tcPr>
          <w:p w14:paraId="7C1F2EDB" w14:textId="77777777" w:rsidR="00937698" w:rsidRPr="0085699D" w:rsidRDefault="00937698" w:rsidP="00871479">
            <w:pPr>
              <w:pStyle w:val="NoSpacing"/>
              <w:jc w:val="center"/>
              <w:rPr>
                <w:rFonts w:ascii="Times New Roman" w:hAnsi="Times New Roman" w:cs="Times New Roman"/>
                <w:sz w:val="18"/>
                <w:szCs w:val="18"/>
              </w:rPr>
            </w:pPr>
            <w:r w:rsidRPr="0085699D">
              <w:rPr>
                <w:rFonts w:ascii="Times New Roman" w:hAnsi="Times New Roman" w:cs="Times New Roman"/>
                <w:sz w:val="18"/>
                <w:szCs w:val="18"/>
              </w:rPr>
              <w:t>..</w:t>
            </w:r>
          </w:p>
        </w:tc>
        <w:tc>
          <w:tcPr>
            <w:tcW w:w="758" w:type="dxa"/>
            <w:vAlign w:val="center"/>
            <w:hideMark/>
          </w:tcPr>
          <w:p w14:paraId="535573C1" w14:textId="77777777" w:rsidR="00937698" w:rsidRPr="0085699D" w:rsidRDefault="00937698" w:rsidP="00871479">
            <w:pPr>
              <w:pStyle w:val="NoSpacing"/>
              <w:jc w:val="center"/>
              <w:rPr>
                <w:rFonts w:ascii="Times New Roman" w:hAnsi="Times New Roman" w:cs="Times New Roman"/>
                <w:sz w:val="18"/>
                <w:szCs w:val="18"/>
              </w:rPr>
            </w:pPr>
            <w:r w:rsidRPr="0085699D">
              <w:rPr>
                <w:rFonts w:ascii="Times New Roman" w:hAnsi="Times New Roman" w:cs="Times New Roman"/>
                <w:sz w:val="18"/>
                <w:szCs w:val="18"/>
              </w:rPr>
              <w:t>1.50 (1.9)</w:t>
            </w:r>
          </w:p>
        </w:tc>
        <w:tc>
          <w:tcPr>
            <w:tcW w:w="947" w:type="dxa"/>
            <w:vAlign w:val="center"/>
            <w:hideMark/>
          </w:tcPr>
          <w:p w14:paraId="1046980C" w14:textId="77777777" w:rsidR="00937698" w:rsidRPr="0085699D" w:rsidRDefault="00937698" w:rsidP="00871479">
            <w:pPr>
              <w:pStyle w:val="NoSpacing"/>
              <w:jc w:val="center"/>
              <w:rPr>
                <w:rFonts w:ascii="Times New Roman" w:hAnsi="Times New Roman" w:cs="Times New Roman"/>
                <w:sz w:val="18"/>
                <w:szCs w:val="18"/>
              </w:rPr>
            </w:pPr>
            <w:r w:rsidRPr="0085699D">
              <w:rPr>
                <w:rFonts w:ascii="Times New Roman" w:hAnsi="Times New Roman" w:cs="Times New Roman"/>
                <w:sz w:val="18"/>
                <w:szCs w:val="18"/>
              </w:rPr>
              <w:t>..</w:t>
            </w:r>
          </w:p>
        </w:tc>
        <w:tc>
          <w:tcPr>
            <w:tcW w:w="988" w:type="dxa"/>
            <w:vAlign w:val="center"/>
            <w:hideMark/>
          </w:tcPr>
          <w:p w14:paraId="7F43AB2B" w14:textId="77777777" w:rsidR="00937698" w:rsidRPr="0085699D" w:rsidRDefault="00937698" w:rsidP="00871479">
            <w:pPr>
              <w:pStyle w:val="NoSpacing"/>
              <w:jc w:val="center"/>
              <w:rPr>
                <w:rFonts w:ascii="Times New Roman" w:hAnsi="Times New Roman" w:cs="Times New Roman"/>
                <w:sz w:val="18"/>
                <w:szCs w:val="18"/>
              </w:rPr>
            </w:pPr>
            <w:r w:rsidRPr="0085699D">
              <w:rPr>
                <w:rFonts w:ascii="Times New Roman" w:hAnsi="Times New Roman" w:cs="Times New Roman"/>
                <w:sz w:val="18"/>
                <w:szCs w:val="18"/>
              </w:rPr>
              <w:t>0.99 (1.3)</w:t>
            </w:r>
          </w:p>
        </w:tc>
        <w:tc>
          <w:tcPr>
            <w:tcW w:w="900" w:type="dxa"/>
            <w:vAlign w:val="center"/>
            <w:hideMark/>
          </w:tcPr>
          <w:p w14:paraId="620A9445" w14:textId="77777777" w:rsidR="00937698" w:rsidRPr="0085699D" w:rsidRDefault="00937698" w:rsidP="00871479">
            <w:pPr>
              <w:pStyle w:val="NoSpacing"/>
              <w:jc w:val="center"/>
              <w:rPr>
                <w:rFonts w:ascii="Times New Roman" w:hAnsi="Times New Roman" w:cs="Times New Roman"/>
                <w:sz w:val="18"/>
                <w:szCs w:val="18"/>
              </w:rPr>
            </w:pPr>
            <w:r w:rsidRPr="0085699D">
              <w:rPr>
                <w:rFonts w:ascii="Times New Roman" w:hAnsi="Times New Roman" w:cs="Times New Roman"/>
                <w:sz w:val="18"/>
                <w:szCs w:val="18"/>
              </w:rPr>
              <w:t>..</w:t>
            </w:r>
          </w:p>
        </w:tc>
        <w:tc>
          <w:tcPr>
            <w:tcW w:w="851" w:type="dxa"/>
            <w:vAlign w:val="center"/>
            <w:hideMark/>
          </w:tcPr>
          <w:p w14:paraId="4AE6FA73" w14:textId="77777777" w:rsidR="00937698" w:rsidRPr="0085699D" w:rsidRDefault="00937698" w:rsidP="00871479">
            <w:pPr>
              <w:pStyle w:val="NoSpacing"/>
              <w:jc w:val="center"/>
              <w:rPr>
                <w:rFonts w:ascii="Times New Roman" w:hAnsi="Times New Roman" w:cs="Times New Roman"/>
                <w:sz w:val="18"/>
                <w:szCs w:val="18"/>
              </w:rPr>
            </w:pPr>
            <w:r w:rsidRPr="0085699D">
              <w:rPr>
                <w:rFonts w:ascii="Times New Roman" w:hAnsi="Times New Roman" w:cs="Times New Roman"/>
                <w:sz w:val="18"/>
                <w:szCs w:val="18"/>
              </w:rPr>
              <w:t>0.20 (0.3)</w:t>
            </w:r>
          </w:p>
        </w:tc>
        <w:tc>
          <w:tcPr>
            <w:tcW w:w="850" w:type="dxa"/>
            <w:vAlign w:val="center"/>
            <w:hideMark/>
          </w:tcPr>
          <w:p w14:paraId="1A22F063" w14:textId="77777777" w:rsidR="00937698" w:rsidRPr="0085699D" w:rsidRDefault="00937698" w:rsidP="00871479">
            <w:pPr>
              <w:pStyle w:val="NoSpacing"/>
              <w:jc w:val="center"/>
              <w:rPr>
                <w:rFonts w:ascii="Times New Roman" w:hAnsi="Times New Roman" w:cs="Times New Roman"/>
                <w:sz w:val="18"/>
                <w:szCs w:val="18"/>
              </w:rPr>
            </w:pPr>
            <w:r w:rsidRPr="0085699D">
              <w:rPr>
                <w:rFonts w:ascii="Times New Roman" w:hAnsi="Times New Roman" w:cs="Times New Roman"/>
                <w:sz w:val="18"/>
                <w:szCs w:val="18"/>
              </w:rPr>
              <w:t>2.69 (3.5)</w:t>
            </w:r>
          </w:p>
        </w:tc>
        <w:tc>
          <w:tcPr>
            <w:tcW w:w="993" w:type="dxa"/>
            <w:vAlign w:val="center"/>
            <w:hideMark/>
          </w:tcPr>
          <w:p w14:paraId="496CBAF0" w14:textId="77777777" w:rsidR="00937698" w:rsidRPr="0085699D" w:rsidRDefault="00937698" w:rsidP="00871479">
            <w:pPr>
              <w:pStyle w:val="NoSpacing"/>
              <w:jc w:val="center"/>
              <w:rPr>
                <w:rFonts w:ascii="Times New Roman" w:hAnsi="Times New Roman" w:cs="Times New Roman"/>
                <w:sz w:val="18"/>
                <w:szCs w:val="18"/>
              </w:rPr>
            </w:pPr>
            <w:r w:rsidRPr="0085699D">
              <w:rPr>
                <w:rFonts w:ascii="Times New Roman" w:hAnsi="Times New Roman" w:cs="Times New Roman"/>
                <w:sz w:val="18"/>
                <w:szCs w:val="18"/>
              </w:rPr>
              <w:t>77.62 (100.0)</w:t>
            </w:r>
          </w:p>
        </w:tc>
      </w:tr>
      <w:tr w:rsidR="001D4119" w:rsidRPr="0085699D" w14:paraId="5428A9C0" w14:textId="77777777" w:rsidTr="00871479">
        <w:trPr>
          <w:trHeight w:val="416"/>
        </w:trPr>
        <w:tc>
          <w:tcPr>
            <w:tcW w:w="993" w:type="dxa"/>
            <w:hideMark/>
          </w:tcPr>
          <w:p w14:paraId="6EE9D968" w14:textId="77777777" w:rsidR="001D4119" w:rsidRPr="0085699D" w:rsidRDefault="001D4119" w:rsidP="001D4119">
            <w:pPr>
              <w:pStyle w:val="NoSpacing"/>
              <w:rPr>
                <w:rFonts w:ascii="Times New Roman" w:hAnsi="Times New Roman" w:cs="Times New Roman"/>
                <w:sz w:val="18"/>
                <w:szCs w:val="18"/>
              </w:rPr>
            </w:pPr>
            <w:r w:rsidRPr="0085699D">
              <w:rPr>
                <w:rFonts w:ascii="Times New Roman" w:hAnsi="Times New Roman" w:cs="Times New Roman"/>
                <w:sz w:val="18"/>
                <w:szCs w:val="18"/>
              </w:rPr>
              <w:t>Jammu and Kashmir</w:t>
            </w:r>
          </w:p>
        </w:tc>
        <w:tc>
          <w:tcPr>
            <w:tcW w:w="992" w:type="dxa"/>
            <w:vAlign w:val="center"/>
            <w:hideMark/>
          </w:tcPr>
          <w:p w14:paraId="1C4666F1" w14:textId="0CE5DCD3" w:rsidR="001D4119" w:rsidRPr="0085699D" w:rsidRDefault="001D4119" w:rsidP="00871479">
            <w:pPr>
              <w:pStyle w:val="NoSpacing"/>
              <w:jc w:val="center"/>
              <w:rPr>
                <w:rFonts w:ascii="Times New Roman" w:hAnsi="Times New Roman" w:cs="Times New Roman"/>
                <w:sz w:val="18"/>
                <w:szCs w:val="18"/>
              </w:rPr>
            </w:pPr>
            <w:r w:rsidRPr="0085699D">
              <w:rPr>
                <w:rFonts w:ascii="Times New Roman" w:hAnsi="Times New Roman" w:cs="Times New Roman"/>
                <w:sz w:val="18"/>
                <w:szCs w:val="18"/>
              </w:rPr>
              <w:t>..</w:t>
            </w:r>
            <w:r>
              <w:rPr>
                <w:rFonts w:ascii="Times New Roman" w:hAnsi="Times New Roman" w:cs="Times New Roman"/>
                <w:sz w:val="18"/>
                <w:szCs w:val="18"/>
              </w:rPr>
              <w:br/>
              <w:t>(-)</w:t>
            </w:r>
          </w:p>
        </w:tc>
        <w:tc>
          <w:tcPr>
            <w:tcW w:w="851" w:type="dxa"/>
            <w:vAlign w:val="center"/>
            <w:hideMark/>
          </w:tcPr>
          <w:p w14:paraId="53E7DE47" w14:textId="77777777" w:rsidR="001D4119" w:rsidRPr="0085699D" w:rsidRDefault="001D4119" w:rsidP="00871479">
            <w:pPr>
              <w:pStyle w:val="NoSpacing"/>
              <w:jc w:val="center"/>
              <w:rPr>
                <w:rFonts w:ascii="Times New Roman" w:hAnsi="Times New Roman" w:cs="Times New Roman"/>
                <w:sz w:val="18"/>
                <w:szCs w:val="18"/>
              </w:rPr>
            </w:pPr>
            <w:r w:rsidRPr="0085699D">
              <w:rPr>
                <w:rFonts w:ascii="Times New Roman" w:hAnsi="Times New Roman" w:cs="Times New Roman"/>
                <w:sz w:val="18"/>
                <w:szCs w:val="18"/>
              </w:rPr>
              <w:t>18.34 (12.1)</w:t>
            </w:r>
          </w:p>
        </w:tc>
        <w:tc>
          <w:tcPr>
            <w:tcW w:w="914" w:type="dxa"/>
            <w:vAlign w:val="center"/>
            <w:hideMark/>
          </w:tcPr>
          <w:p w14:paraId="01472283" w14:textId="77777777" w:rsidR="001D4119" w:rsidRPr="0085699D" w:rsidRDefault="001D4119" w:rsidP="00871479">
            <w:pPr>
              <w:pStyle w:val="NoSpacing"/>
              <w:jc w:val="center"/>
              <w:rPr>
                <w:rFonts w:ascii="Times New Roman" w:hAnsi="Times New Roman" w:cs="Times New Roman"/>
                <w:sz w:val="18"/>
                <w:szCs w:val="18"/>
              </w:rPr>
            </w:pPr>
            <w:r w:rsidRPr="0085699D">
              <w:rPr>
                <w:rFonts w:ascii="Times New Roman" w:hAnsi="Times New Roman" w:cs="Times New Roman"/>
                <w:sz w:val="18"/>
                <w:szCs w:val="18"/>
              </w:rPr>
              <w:t>18.34 (12.1)</w:t>
            </w:r>
          </w:p>
        </w:tc>
        <w:tc>
          <w:tcPr>
            <w:tcW w:w="977" w:type="dxa"/>
            <w:vAlign w:val="center"/>
            <w:hideMark/>
          </w:tcPr>
          <w:p w14:paraId="2103B177" w14:textId="77777777" w:rsidR="001D4119" w:rsidRPr="0085699D" w:rsidRDefault="001D4119" w:rsidP="00871479">
            <w:pPr>
              <w:pStyle w:val="NoSpacing"/>
              <w:jc w:val="center"/>
              <w:rPr>
                <w:rFonts w:ascii="Times New Roman" w:hAnsi="Times New Roman" w:cs="Times New Roman"/>
                <w:sz w:val="18"/>
                <w:szCs w:val="18"/>
              </w:rPr>
            </w:pPr>
            <w:r w:rsidRPr="0085699D">
              <w:rPr>
                <w:rFonts w:ascii="Times New Roman" w:hAnsi="Times New Roman" w:cs="Times New Roman"/>
                <w:sz w:val="18"/>
                <w:szCs w:val="18"/>
              </w:rPr>
              <w:t>8.75 (5.8)</w:t>
            </w:r>
          </w:p>
        </w:tc>
        <w:tc>
          <w:tcPr>
            <w:tcW w:w="709" w:type="dxa"/>
            <w:vAlign w:val="center"/>
            <w:hideMark/>
          </w:tcPr>
          <w:p w14:paraId="25BBECB6" w14:textId="4558F2DC" w:rsidR="001D4119" w:rsidRPr="0085699D" w:rsidRDefault="001D4119" w:rsidP="00871479">
            <w:pPr>
              <w:pStyle w:val="NoSpacing"/>
              <w:jc w:val="center"/>
              <w:rPr>
                <w:rFonts w:ascii="Times New Roman" w:hAnsi="Times New Roman" w:cs="Times New Roman"/>
                <w:sz w:val="18"/>
                <w:szCs w:val="18"/>
              </w:rPr>
            </w:pPr>
            <w:r w:rsidRPr="0085699D">
              <w:rPr>
                <w:rFonts w:ascii="Times New Roman" w:hAnsi="Times New Roman" w:cs="Times New Roman"/>
                <w:sz w:val="18"/>
                <w:szCs w:val="18"/>
              </w:rPr>
              <w:t>..</w:t>
            </w:r>
            <w:r>
              <w:rPr>
                <w:rFonts w:ascii="Times New Roman" w:hAnsi="Times New Roman" w:cs="Times New Roman"/>
                <w:sz w:val="18"/>
                <w:szCs w:val="18"/>
              </w:rPr>
              <w:br/>
              <w:t>(-)</w:t>
            </w:r>
          </w:p>
        </w:tc>
        <w:tc>
          <w:tcPr>
            <w:tcW w:w="767" w:type="dxa"/>
            <w:vAlign w:val="center"/>
            <w:hideMark/>
          </w:tcPr>
          <w:p w14:paraId="3574D63A" w14:textId="77777777" w:rsidR="001D4119" w:rsidRPr="0085699D" w:rsidRDefault="001D4119" w:rsidP="00871479">
            <w:pPr>
              <w:pStyle w:val="NoSpacing"/>
              <w:jc w:val="center"/>
              <w:rPr>
                <w:rFonts w:ascii="Times New Roman" w:hAnsi="Times New Roman" w:cs="Times New Roman"/>
                <w:sz w:val="18"/>
                <w:szCs w:val="18"/>
              </w:rPr>
            </w:pPr>
            <w:r w:rsidRPr="0085699D">
              <w:rPr>
                <w:rFonts w:ascii="Times New Roman" w:hAnsi="Times New Roman" w:cs="Times New Roman"/>
                <w:sz w:val="18"/>
                <w:szCs w:val="18"/>
              </w:rPr>
              <w:t>31.62 (20.9)</w:t>
            </w:r>
          </w:p>
        </w:tc>
        <w:tc>
          <w:tcPr>
            <w:tcW w:w="594" w:type="dxa"/>
            <w:vAlign w:val="center"/>
            <w:hideMark/>
          </w:tcPr>
          <w:p w14:paraId="5E4B3191" w14:textId="77777777" w:rsidR="001D4119" w:rsidRPr="0085699D" w:rsidRDefault="001D4119" w:rsidP="00871479">
            <w:pPr>
              <w:pStyle w:val="NoSpacing"/>
              <w:jc w:val="center"/>
              <w:rPr>
                <w:rFonts w:ascii="Times New Roman" w:hAnsi="Times New Roman" w:cs="Times New Roman"/>
                <w:sz w:val="18"/>
                <w:szCs w:val="18"/>
              </w:rPr>
            </w:pPr>
            <w:r w:rsidRPr="0085699D">
              <w:rPr>
                <w:rFonts w:ascii="Times New Roman" w:hAnsi="Times New Roman" w:cs="Times New Roman"/>
                <w:sz w:val="18"/>
                <w:szCs w:val="18"/>
              </w:rPr>
              <w:t>19.10 (12.6)</w:t>
            </w:r>
          </w:p>
        </w:tc>
        <w:tc>
          <w:tcPr>
            <w:tcW w:w="671" w:type="dxa"/>
            <w:vAlign w:val="center"/>
            <w:hideMark/>
          </w:tcPr>
          <w:p w14:paraId="05B97C91" w14:textId="77777777" w:rsidR="001D4119" w:rsidRPr="0085699D" w:rsidRDefault="001D4119" w:rsidP="00871479">
            <w:pPr>
              <w:pStyle w:val="NoSpacing"/>
              <w:jc w:val="center"/>
              <w:rPr>
                <w:rFonts w:ascii="Times New Roman" w:hAnsi="Times New Roman" w:cs="Times New Roman"/>
                <w:sz w:val="18"/>
                <w:szCs w:val="18"/>
              </w:rPr>
            </w:pPr>
            <w:r w:rsidRPr="0085699D">
              <w:rPr>
                <w:rFonts w:ascii="Times New Roman" w:hAnsi="Times New Roman" w:cs="Times New Roman"/>
                <w:sz w:val="18"/>
                <w:szCs w:val="18"/>
              </w:rPr>
              <w:t>59.47 (39.3)</w:t>
            </w:r>
          </w:p>
        </w:tc>
        <w:tc>
          <w:tcPr>
            <w:tcW w:w="988" w:type="dxa"/>
            <w:vAlign w:val="center"/>
            <w:hideMark/>
          </w:tcPr>
          <w:p w14:paraId="37EC87F0" w14:textId="77777777" w:rsidR="001D4119" w:rsidRPr="0085699D" w:rsidRDefault="001D4119" w:rsidP="00871479">
            <w:pPr>
              <w:pStyle w:val="NoSpacing"/>
              <w:jc w:val="center"/>
              <w:rPr>
                <w:rFonts w:ascii="Times New Roman" w:hAnsi="Times New Roman" w:cs="Times New Roman"/>
                <w:sz w:val="18"/>
                <w:szCs w:val="18"/>
              </w:rPr>
            </w:pPr>
            <w:r w:rsidRPr="0085699D">
              <w:rPr>
                <w:rFonts w:ascii="Times New Roman" w:hAnsi="Times New Roman" w:cs="Times New Roman"/>
                <w:sz w:val="18"/>
                <w:szCs w:val="18"/>
              </w:rPr>
              <w:t>13.84 (9.1)</w:t>
            </w:r>
          </w:p>
        </w:tc>
        <w:tc>
          <w:tcPr>
            <w:tcW w:w="758" w:type="dxa"/>
            <w:vAlign w:val="center"/>
            <w:hideMark/>
          </w:tcPr>
          <w:p w14:paraId="0827E40C" w14:textId="77777777" w:rsidR="001D4119" w:rsidRPr="0085699D" w:rsidRDefault="001D4119" w:rsidP="00871479">
            <w:pPr>
              <w:pStyle w:val="NoSpacing"/>
              <w:jc w:val="center"/>
              <w:rPr>
                <w:rFonts w:ascii="Times New Roman" w:hAnsi="Times New Roman" w:cs="Times New Roman"/>
                <w:sz w:val="18"/>
                <w:szCs w:val="18"/>
              </w:rPr>
            </w:pPr>
            <w:r w:rsidRPr="0085699D">
              <w:rPr>
                <w:rFonts w:ascii="Times New Roman" w:hAnsi="Times New Roman" w:cs="Times New Roman"/>
                <w:sz w:val="18"/>
                <w:szCs w:val="18"/>
              </w:rPr>
              <w:t>50.58 (33.4)</w:t>
            </w:r>
          </w:p>
        </w:tc>
        <w:tc>
          <w:tcPr>
            <w:tcW w:w="947" w:type="dxa"/>
            <w:vAlign w:val="center"/>
            <w:hideMark/>
          </w:tcPr>
          <w:p w14:paraId="7D645C60" w14:textId="03D5328E" w:rsidR="001D4119" w:rsidRPr="0085699D" w:rsidRDefault="001D4119" w:rsidP="00871479">
            <w:pPr>
              <w:pStyle w:val="NoSpacing"/>
              <w:jc w:val="center"/>
              <w:rPr>
                <w:rFonts w:ascii="Times New Roman" w:hAnsi="Times New Roman" w:cs="Times New Roman"/>
                <w:sz w:val="18"/>
                <w:szCs w:val="18"/>
              </w:rPr>
            </w:pPr>
            <w:r w:rsidRPr="0085699D">
              <w:rPr>
                <w:rFonts w:ascii="Times New Roman" w:hAnsi="Times New Roman" w:cs="Times New Roman"/>
                <w:sz w:val="18"/>
                <w:szCs w:val="18"/>
              </w:rPr>
              <w:t>..</w:t>
            </w:r>
            <w:r>
              <w:rPr>
                <w:rFonts w:ascii="Times New Roman" w:hAnsi="Times New Roman" w:cs="Times New Roman"/>
                <w:sz w:val="18"/>
                <w:szCs w:val="18"/>
              </w:rPr>
              <w:br/>
              <w:t>(-)</w:t>
            </w:r>
          </w:p>
        </w:tc>
        <w:tc>
          <w:tcPr>
            <w:tcW w:w="988" w:type="dxa"/>
            <w:vAlign w:val="center"/>
            <w:hideMark/>
          </w:tcPr>
          <w:p w14:paraId="0E38BBAD" w14:textId="36BE5695" w:rsidR="001D4119" w:rsidRPr="0085699D" w:rsidRDefault="001D4119" w:rsidP="00871479">
            <w:pPr>
              <w:pStyle w:val="NoSpacing"/>
              <w:jc w:val="center"/>
              <w:rPr>
                <w:rFonts w:ascii="Times New Roman" w:hAnsi="Times New Roman" w:cs="Times New Roman"/>
                <w:sz w:val="18"/>
                <w:szCs w:val="18"/>
              </w:rPr>
            </w:pPr>
            <w:r w:rsidRPr="0085699D">
              <w:rPr>
                <w:rFonts w:ascii="Times New Roman" w:hAnsi="Times New Roman" w:cs="Times New Roman"/>
                <w:sz w:val="18"/>
                <w:szCs w:val="18"/>
              </w:rPr>
              <w:t>..</w:t>
            </w:r>
            <w:r>
              <w:rPr>
                <w:rFonts w:ascii="Times New Roman" w:hAnsi="Times New Roman" w:cs="Times New Roman"/>
                <w:sz w:val="18"/>
                <w:szCs w:val="18"/>
              </w:rPr>
              <w:br/>
              <w:t>(-)</w:t>
            </w:r>
          </w:p>
        </w:tc>
        <w:tc>
          <w:tcPr>
            <w:tcW w:w="900" w:type="dxa"/>
            <w:vAlign w:val="center"/>
            <w:hideMark/>
          </w:tcPr>
          <w:p w14:paraId="3184856F" w14:textId="77777777" w:rsidR="001D4119" w:rsidRPr="0085699D" w:rsidRDefault="001D4119" w:rsidP="00871479">
            <w:pPr>
              <w:pStyle w:val="NoSpacing"/>
              <w:jc w:val="center"/>
              <w:rPr>
                <w:rFonts w:ascii="Times New Roman" w:hAnsi="Times New Roman" w:cs="Times New Roman"/>
                <w:sz w:val="18"/>
                <w:szCs w:val="18"/>
              </w:rPr>
            </w:pPr>
            <w:r w:rsidRPr="0085699D">
              <w:rPr>
                <w:rFonts w:ascii="Times New Roman" w:hAnsi="Times New Roman" w:cs="Times New Roman"/>
                <w:sz w:val="18"/>
                <w:szCs w:val="18"/>
              </w:rPr>
              <w:t>8.54 (5.6)</w:t>
            </w:r>
          </w:p>
        </w:tc>
        <w:tc>
          <w:tcPr>
            <w:tcW w:w="851" w:type="dxa"/>
            <w:vAlign w:val="center"/>
            <w:hideMark/>
          </w:tcPr>
          <w:p w14:paraId="43FFC5E5" w14:textId="77777777" w:rsidR="001D4119" w:rsidRPr="0085699D" w:rsidRDefault="001D4119" w:rsidP="00871479">
            <w:pPr>
              <w:pStyle w:val="NoSpacing"/>
              <w:jc w:val="center"/>
              <w:rPr>
                <w:rFonts w:ascii="Times New Roman" w:hAnsi="Times New Roman" w:cs="Times New Roman"/>
                <w:sz w:val="18"/>
                <w:szCs w:val="18"/>
              </w:rPr>
            </w:pPr>
            <w:r w:rsidRPr="0085699D">
              <w:rPr>
                <w:rFonts w:ascii="Times New Roman" w:hAnsi="Times New Roman" w:cs="Times New Roman"/>
                <w:sz w:val="18"/>
                <w:szCs w:val="18"/>
              </w:rPr>
              <w:t>0.78 (0.5)</w:t>
            </w:r>
          </w:p>
        </w:tc>
        <w:tc>
          <w:tcPr>
            <w:tcW w:w="850" w:type="dxa"/>
            <w:vAlign w:val="center"/>
            <w:hideMark/>
          </w:tcPr>
          <w:p w14:paraId="4657C279" w14:textId="77777777" w:rsidR="001D4119" w:rsidRPr="0085699D" w:rsidRDefault="001D4119" w:rsidP="00871479">
            <w:pPr>
              <w:pStyle w:val="NoSpacing"/>
              <w:jc w:val="center"/>
              <w:rPr>
                <w:rFonts w:ascii="Times New Roman" w:hAnsi="Times New Roman" w:cs="Times New Roman"/>
                <w:sz w:val="18"/>
                <w:szCs w:val="18"/>
              </w:rPr>
            </w:pPr>
            <w:r w:rsidRPr="0085699D">
              <w:rPr>
                <w:rFonts w:ascii="Times New Roman" w:hAnsi="Times New Roman" w:cs="Times New Roman"/>
                <w:sz w:val="18"/>
                <w:szCs w:val="18"/>
              </w:rPr>
              <w:t>73.74 (48.6)</w:t>
            </w:r>
          </w:p>
        </w:tc>
        <w:tc>
          <w:tcPr>
            <w:tcW w:w="993" w:type="dxa"/>
            <w:vAlign w:val="center"/>
            <w:hideMark/>
          </w:tcPr>
          <w:p w14:paraId="2FCC8575" w14:textId="77777777" w:rsidR="001D4119" w:rsidRPr="0085699D" w:rsidRDefault="001D4119" w:rsidP="00871479">
            <w:pPr>
              <w:pStyle w:val="NoSpacing"/>
              <w:jc w:val="center"/>
              <w:rPr>
                <w:rFonts w:ascii="Times New Roman" w:hAnsi="Times New Roman" w:cs="Times New Roman"/>
                <w:sz w:val="18"/>
                <w:szCs w:val="18"/>
              </w:rPr>
            </w:pPr>
            <w:r w:rsidRPr="0085699D">
              <w:rPr>
                <w:rFonts w:ascii="Times New Roman" w:hAnsi="Times New Roman" w:cs="Times New Roman"/>
                <w:sz w:val="18"/>
                <w:szCs w:val="18"/>
              </w:rPr>
              <w:t>151.55 (100.0)</w:t>
            </w:r>
          </w:p>
        </w:tc>
      </w:tr>
      <w:tr w:rsidR="00735421" w:rsidRPr="0085699D" w14:paraId="429CA58C" w14:textId="77777777" w:rsidTr="00871479">
        <w:trPr>
          <w:trHeight w:val="408"/>
        </w:trPr>
        <w:tc>
          <w:tcPr>
            <w:tcW w:w="993" w:type="dxa"/>
            <w:hideMark/>
          </w:tcPr>
          <w:p w14:paraId="37051932" w14:textId="77777777" w:rsidR="00735421" w:rsidRPr="0085699D" w:rsidRDefault="00735421" w:rsidP="00735421">
            <w:pPr>
              <w:pStyle w:val="NoSpacing"/>
              <w:rPr>
                <w:rFonts w:ascii="Times New Roman" w:hAnsi="Times New Roman" w:cs="Times New Roman"/>
                <w:sz w:val="18"/>
                <w:szCs w:val="18"/>
              </w:rPr>
            </w:pPr>
            <w:r w:rsidRPr="0085699D">
              <w:rPr>
                <w:rFonts w:ascii="Times New Roman" w:hAnsi="Times New Roman" w:cs="Times New Roman"/>
                <w:sz w:val="18"/>
                <w:szCs w:val="18"/>
              </w:rPr>
              <w:t>Kerala</w:t>
            </w:r>
          </w:p>
        </w:tc>
        <w:tc>
          <w:tcPr>
            <w:tcW w:w="992" w:type="dxa"/>
            <w:vAlign w:val="center"/>
            <w:hideMark/>
          </w:tcPr>
          <w:p w14:paraId="59A462F6" w14:textId="77777777" w:rsidR="00735421" w:rsidRPr="0085699D" w:rsidRDefault="00735421" w:rsidP="00871479">
            <w:pPr>
              <w:pStyle w:val="NoSpacing"/>
              <w:jc w:val="center"/>
              <w:rPr>
                <w:rFonts w:ascii="Times New Roman" w:hAnsi="Times New Roman" w:cs="Times New Roman"/>
                <w:sz w:val="18"/>
                <w:szCs w:val="18"/>
              </w:rPr>
            </w:pPr>
            <w:r w:rsidRPr="0085699D">
              <w:rPr>
                <w:rFonts w:ascii="Times New Roman" w:hAnsi="Times New Roman" w:cs="Times New Roman"/>
                <w:sz w:val="18"/>
                <w:szCs w:val="18"/>
              </w:rPr>
              <w:t>112.47 (35.7)</w:t>
            </w:r>
          </w:p>
        </w:tc>
        <w:tc>
          <w:tcPr>
            <w:tcW w:w="851" w:type="dxa"/>
            <w:vAlign w:val="center"/>
            <w:hideMark/>
          </w:tcPr>
          <w:p w14:paraId="1275625E" w14:textId="77777777" w:rsidR="00735421" w:rsidRPr="0085699D" w:rsidRDefault="00735421" w:rsidP="00871479">
            <w:pPr>
              <w:pStyle w:val="NoSpacing"/>
              <w:jc w:val="center"/>
              <w:rPr>
                <w:rFonts w:ascii="Times New Roman" w:hAnsi="Times New Roman" w:cs="Times New Roman"/>
                <w:sz w:val="18"/>
                <w:szCs w:val="18"/>
              </w:rPr>
            </w:pPr>
            <w:r w:rsidRPr="0085699D">
              <w:rPr>
                <w:rFonts w:ascii="Times New Roman" w:hAnsi="Times New Roman" w:cs="Times New Roman"/>
                <w:sz w:val="18"/>
                <w:szCs w:val="18"/>
              </w:rPr>
              <w:t>39.86 (12.7)</w:t>
            </w:r>
          </w:p>
        </w:tc>
        <w:tc>
          <w:tcPr>
            <w:tcW w:w="914" w:type="dxa"/>
            <w:vAlign w:val="center"/>
            <w:hideMark/>
          </w:tcPr>
          <w:p w14:paraId="3C4B7250" w14:textId="77777777" w:rsidR="00735421" w:rsidRPr="0085699D" w:rsidRDefault="00735421" w:rsidP="00871479">
            <w:pPr>
              <w:pStyle w:val="NoSpacing"/>
              <w:jc w:val="center"/>
              <w:rPr>
                <w:rFonts w:ascii="Times New Roman" w:hAnsi="Times New Roman" w:cs="Times New Roman"/>
                <w:sz w:val="18"/>
                <w:szCs w:val="18"/>
              </w:rPr>
            </w:pPr>
            <w:r w:rsidRPr="0085699D">
              <w:rPr>
                <w:rFonts w:ascii="Times New Roman" w:hAnsi="Times New Roman" w:cs="Times New Roman"/>
                <w:sz w:val="18"/>
                <w:szCs w:val="18"/>
              </w:rPr>
              <w:t>152.33 (48.4)</w:t>
            </w:r>
          </w:p>
        </w:tc>
        <w:tc>
          <w:tcPr>
            <w:tcW w:w="977" w:type="dxa"/>
            <w:vAlign w:val="center"/>
            <w:hideMark/>
          </w:tcPr>
          <w:p w14:paraId="356D2973" w14:textId="77777777" w:rsidR="00735421" w:rsidRPr="0085699D" w:rsidRDefault="00735421" w:rsidP="00871479">
            <w:pPr>
              <w:pStyle w:val="NoSpacing"/>
              <w:jc w:val="center"/>
              <w:rPr>
                <w:rFonts w:ascii="Times New Roman" w:hAnsi="Times New Roman" w:cs="Times New Roman"/>
                <w:sz w:val="18"/>
                <w:szCs w:val="18"/>
              </w:rPr>
            </w:pPr>
            <w:r w:rsidRPr="0085699D">
              <w:rPr>
                <w:rFonts w:ascii="Times New Roman" w:hAnsi="Times New Roman" w:cs="Times New Roman"/>
                <w:sz w:val="18"/>
                <w:szCs w:val="18"/>
              </w:rPr>
              <w:t>20.79 (6.6)</w:t>
            </w:r>
          </w:p>
        </w:tc>
        <w:tc>
          <w:tcPr>
            <w:tcW w:w="709" w:type="dxa"/>
            <w:vAlign w:val="center"/>
            <w:hideMark/>
          </w:tcPr>
          <w:p w14:paraId="37DBF812" w14:textId="3CD746BA" w:rsidR="00735421" w:rsidRPr="0085699D" w:rsidRDefault="00735421" w:rsidP="00871479">
            <w:pPr>
              <w:pStyle w:val="NoSpacing"/>
              <w:jc w:val="center"/>
              <w:rPr>
                <w:rFonts w:ascii="Times New Roman" w:hAnsi="Times New Roman" w:cs="Times New Roman"/>
                <w:sz w:val="18"/>
                <w:szCs w:val="18"/>
              </w:rPr>
            </w:pPr>
            <w:r w:rsidRPr="0085699D">
              <w:rPr>
                <w:rFonts w:ascii="Times New Roman" w:hAnsi="Times New Roman" w:cs="Times New Roman"/>
                <w:sz w:val="18"/>
                <w:szCs w:val="18"/>
              </w:rPr>
              <w:t>..</w:t>
            </w:r>
            <w:r>
              <w:rPr>
                <w:rFonts w:ascii="Times New Roman" w:hAnsi="Times New Roman" w:cs="Times New Roman"/>
                <w:sz w:val="18"/>
                <w:szCs w:val="18"/>
              </w:rPr>
              <w:br/>
              <w:t>(-)</w:t>
            </w:r>
          </w:p>
        </w:tc>
        <w:tc>
          <w:tcPr>
            <w:tcW w:w="767" w:type="dxa"/>
            <w:vAlign w:val="center"/>
            <w:hideMark/>
          </w:tcPr>
          <w:p w14:paraId="0CC89579" w14:textId="7250F5F8" w:rsidR="00735421" w:rsidRPr="0085699D" w:rsidRDefault="00735421" w:rsidP="00871479">
            <w:pPr>
              <w:pStyle w:val="NoSpacing"/>
              <w:jc w:val="center"/>
              <w:rPr>
                <w:rFonts w:ascii="Times New Roman" w:hAnsi="Times New Roman" w:cs="Times New Roman"/>
                <w:sz w:val="18"/>
                <w:szCs w:val="18"/>
              </w:rPr>
            </w:pPr>
            <w:r w:rsidRPr="0085699D">
              <w:rPr>
                <w:rFonts w:ascii="Times New Roman" w:hAnsi="Times New Roman" w:cs="Times New Roman"/>
                <w:sz w:val="18"/>
                <w:szCs w:val="18"/>
              </w:rPr>
              <w:t>..</w:t>
            </w:r>
            <w:r>
              <w:rPr>
                <w:rFonts w:ascii="Times New Roman" w:hAnsi="Times New Roman" w:cs="Times New Roman"/>
                <w:sz w:val="18"/>
                <w:szCs w:val="18"/>
              </w:rPr>
              <w:br/>
              <w:t>(-)</w:t>
            </w:r>
          </w:p>
        </w:tc>
        <w:tc>
          <w:tcPr>
            <w:tcW w:w="594" w:type="dxa"/>
            <w:vAlign w:val="center"/>
            <w:hideMark/>
          </w:tcPr>
          <w:p w14:paraId="061AE8A6" w14:textId="77777777" w:rsidR="00735421" w:rsidRPr="0085699D" w:rsidRDefault="00735421" w:rsidP="00871479">
            <w:pPr>
              <w:pStyle w:val="NoSpacing"/>
              <w:jc w:val="center"/>
              <w:rPr>
                <w:rFonts w:ascii="Times New Roman" w:hAnsi="Times New Roman" w:cs="Times New Roman"/>
                <w:sz w:val="18"/>
                <w:szCs w:val="18"/>
              </w:rPr>
            </w:pPr>
            <w:r w:rsidRPr="0085699D">
              <w:rPr>
                <w:rFonts w:ascii="Times New Roman" w:hAnsi="Times New Roman" w:cs="Times New Roman"/>
                <w:sz w:val="18"/>
                <w:szCs w:val="18"/>
              </w:rPr>
              <w:t>32.13 (10.2)</w:t>
            </w:r>
          </w:p>
        </w:tc>
        <w:tc>
          <w:tcPr>
            <w:tcW w:w="671" w:type="dxa"/>
            <w:vAlign w:val="center"/>
            <w:hideMark/>
          </w:tcPr>
          <w:p w14:paraId="515BE9CB" w14:textId="77777777" w:rsidR="00735421" w:rsidRPr="0085699D" w:rsidRDefault="00735421" w:rsidP="00871479">
            <w:pPr>
              <w:pStyle w:val="NoSpacing"/>
              <w:jc w:val="center"/>
              <w:rPr>
                <w:rFonts w:ascii="Times New Roman" w:hAnsi="Times New Roman" w:cs="Times New Roman"/>
                <w:sz w:val="18"/>
                <w:szCs w:val="18"/>
              </w:rPr>
            </w:pPr>
            <w:r w:rsidRPr="0085699D">
              <w:rPr>
                <w:rFonts w:ascii="Times New Roman" w:hAnsi="Times New Roman" w:cs="Times New Roman"/>
                <w:sz w:val="18"/>
                <w:szCs w:val="18"/>
              </w:rPr>
              <w:t>52.92 (16.8)</w:t>
            </w:r>
          </w:p>
        </w:tc>
        <w:tc>
          <w:tcPr>
            <w:tcW w:w="988" w:type="dxa"/>
            <w:vAlign w:val="center"/>
            <w:hideMark/>
          </w:tcPr>
          <w:p w14:paraId="4E24E125" w14:textId="77777777" w:rsidR="00735421" w:rsidRPr="0085699D" w:rsidRDefault="00735421" w:rsidP="00871479">
            <w:pPr>
              <w:pStyle w:val="NoSpacing"/>
              <w:jc w:val="center"/>
              <w:rPr>
                <w:rFonts w:ascii="Times New Roman" w:hAnsi="Times New Roman" w:cs="Times New Roman"/>
                <w:sz w:val="18"/>
                <w:szCs w:val="18"/>
              </w:rPr>
            </w:pPr>
            <w:r w:rsidRPr="0085699D">
              <w:rPr>
                <w:rFonts w:ascii="Times New Roman" w:hAnsi="Times New Roman" w:cs="Times New Roman"/>
                <w:sz w:val="18"/>
                <w:szCs w:val="18"/>
              </w:rPr>
              <w:t>26.57 (8.5)</w:t>
            </w:r>
          </w:p>
        </w:tc>
        <w:tc>
          <w:tcPr>
            <w:tcW w:w="758" w:type="dxa"/>
            <w:vAlign w:val="center"/>
            <w:hideMark/>
          </w:tcPr>
          <w:p w14:paraId="77DE1E75" w14:textId="77777777" w:rsidR="00735421" w:rsidRPr="0085699D" w:rsidRDefault="00735421" w:rsidP="00871479">
            <w:pPr>
              <w:pStyle w:val="NoSpacing"/>
              <w:jc w:val="center"/>
              <w:rPr>
                <w:rFonts w:ascii="Times New Roman" w:hAnsi="Times New Roman" w:cs="Times New Roman"/>
                <w:sz w:val="18"/>
                <w:szCs w:val="18"/>
              </w:rPr>
            </w:pPr>
            <w:r w:rsidRPr="0085699D">
              <w:rPr>
                <w:rFonts w:ascii="Times New Roman" w:hAnsi="Times New Roman" w:cs="Times New Roman"/>
                <w:sz w:val="18"/>
                <w:szCs w:val="18"/>
              </w:rPr>
              <w:t>61.93 (19.7)</w:t>
            </w:r>
          </w:p>
        </w:tc>
        <w:tc>
          <w:tcPr>
            <w:tcW w:w="947" w:type="dxa"/>
            <w:vAlign w:val="center"/>
            <w:hideMark/>
          </w:tcPr>
          <w:p w14:paraId="1F435C6D" w14:textId="3DD6ED30" w:rsidR="00735421" w:rsidRPr="0085699D" w:rsidRDefault="00735421" w:rsidP="00871479">
            <w:pPr>
              <w:pStyle w:val="NoSpacing"/>
              <w:jc w:val="center"/>
              <w:rPr>
                <w:rFonts w:ascii="Times New Roman" w:hAnsi="Times New Roman" w:cs="Times New Roman"/>
                <w:sz w:val="18"/>
                <w:szCs w:val="18"/>
              </w:rPr>
            </w:pPr>
            <w:r w:rsidRPr="0085699D">
              <w:rPr>
                <w:rFonts w:ascii="Times New Roman" w:hAnsi="Times New Roman" w:cs="Times New Roman"/>
                <w:sz w:val="18"/>
                <w:szCs w:val="18"/>
              </w:rPr>
              <w:t>0.01 (</w:t>
            </w:r>
            <w:r>
              <w:rPr>
                <w:rFonts w:ascii="Times New Roman" w:hAnsi="Times New Roman" w:cs="Times New Roman"/>
                <w:sz w:val="18"/>
                <w:szCs w:val="18"/>
              </w:rPr>
              <w:t>-</w:t>
            </w:r>
            <w:r w:rsidRPr="0085699D">
              <w:rPr>
                <w:rFonts w:ascii="Times New Roman" w:hAnsi="Times New Roman" w:cs="Times New Roman"/>
                <w:sz w:val="18"/>
                <w:szCs w:val="18"/>
              </w:rPr>
              <w:t>)</w:t>
            </w:r>
          </w:p>
        </w:tc>
        <w:tc>
          <w:tcPr>
            <w:tcW w:w="988" w:type="dxa"/>
            <w:vAlign w:val="center"/>
            <w:hideMark/>
          </w:tcPr>
          <w:p w14:paraId="763D870E" w14:textId="77777777" w:rsidR="00735421" w:rsidRPr="0085699D" w:rsidRDefault="00735421" w:rsidP="00871479">
            <w:pPr>
              <w:pStyle w:val="NoSpacing"/>
              <w:jc w:val="center"/>
              <w:rPr>
                <w:rFonts w:ascii="Times New Roman" w:hAnsi="Times New Roman" w:cs="Times New Roman"/>
                <w:sz w:val="18"/>
                <w:szCs w:val="18"/>
              </w:rPr>
            </w:pPr>
            <w:r w:rsidRPr="0085699D">
              <w:rPr>
                <w:rFonts w:ascii="Times New Roman" w:hAnsi="Times New Roman" w:cs="Times New Roman"/>
                <w:sz w:val="18"/>
                <w:szCs w:val="18"/>
              </w:rPr>
              <w:t>1.02 (0.3)</w:t>
            </w:r>
          </w:p>
        </w:tc>
        <w:tc>
          <w:tcPr>
            <w:tcW w:w="900" w:type="dxa"/>
            <w:vAlign w:val="center"/>
            <w:hideMark/>
          </w:tcPr>
          <w:p w14:paraId="31730C8A" w14:textId="77777777" w:rsidR="00735421" w:rsidRPr="0085699D" w:rsidRDefault="00735421" w:rsidP="00871479">
            <w:pPr>
              <w:pStyle w:val="NoSpacing"/>
              <w:jc w:val="center"/>
              <w:rPr>
                <w:rFonts w:ascii="Times New Roman" w:hAnsi="Times New Roman" w:cs="Times New Roman"/>
                <w:sz w:val="18"/>
                <w:szCs w:val="18"/>
              </w:rPr>
            </w:pPr>
            <w:r w:rsidRPr="0085699D">
              <w:rPr>
                <w:rFonts w:ascii="Times New Roman" w:hAnsi="Times New Roman" w:cs="Times New Roman"/>
                <w:sz w:val="18"/>
                <w:szCs w:val="18"/>
              </w:rPr>
              <w:t>13.82 (4.4)</w:t>
            </w:r>
          </w:p>
        </w:tc>
        <w:tc>
          <w:tcPr>
            <w:tcW w:w="851" w:type="dxa"/>
            <w:vAlign w:val="center"/>
            <w:hideMark/>
          </w:tcPr>
          <w:p w14:paraId="25B4C5B4" w14:textId="77777777" w:rsidR="00735421" w:rsidRPr="0085699D" w:rsidRDefault="00735421" w:rsidP="00871479">
            <w:pPr>
              <w:pStyle w:val="NoSpacing"/>
              <w:jc w:val="center"/>
              <w:rPr>
                <w:rFonts w:ascii="Times New Roman" w:hAnsi="Times New Roman" w:cs="Times New Roman"/>
                <w:sz w:val="18"/>
                <w:szCs w:val="18"/>
              </w:rPr>
            </w:pPr>
            <w:r w:rsidRPr="0085699D">
              <w:rPr>
                <w:rFonts w:ascii="Times New Roman" w:hAnsi="Times New Roman" w:cs="Times New Roman"/>
                <w:sz w:val="18"/>
                <w:szCs w:val="18"/>
              </w:rPr>
              <w:t>5.93 (1.9)</w:t>
            </w:r>
          </w:p>
        </w:tc>
        <w:tc>
          <w:tcPr>
            <w:tcW w:w="850" w:type="dxa"/>
            <w:vAlign w:val="center"/>
            <w:hideMark/>
          </w:tcPr>
          <w:p w14:paraId="23114D61" w14:textId="77777777" w:rsidR="00735421" w:rsidRPr="0085699D" w:rsidRDefault="00735421" w:rsidP="00871479">
            <w:pPr>
              <w:pStyle w:val="NoSpacing"/>
              <w:jc w:val="center"/>
              <w:rPr>
                <w:rFonts w:ascii="Times New Roman" w:hAnsi="Times New Roman" w:cs="Times New Roman"/>
                <w:sz w:val="18"/>
                <w:szCs w:val="18"/>
              </w:rPr>
            </w:pPr>
            <w:r w:rsidRPr="0085699D">
              <w:rPr>
                <w:rFonts w:ascii="Times New Roman" w:hAnsi="Times New Roman" w:cs="Times New Roman"/>
                <w:sz w:val="18"/>
                <w:szCs w:val="18"/>
              </w:rPr>
              <w:t>109.28 (34.8)</w:t>
            </w:r>
          </w:p>
        </w:tc>
        <w:tc>
          <w:tcPr>
            <w:tcW w:w="993" w:type="dxa"/>
            <w:vAlign w:val="center"/>
            <w:hideMark/>
          </w:tcPr>
          <w:p w14:paraId="69D2448C" w14:textId="77777777" w:rsidR="00735421" w:rsidRPr="0085699D" w:rsidRDefault="00735421" w:rsidP="00871479">
            <w:pPr>
              <w:pStyle w:val="NoSpacing"/>
              <w:jc w:val="center"/>
              <w:rPr>
                <w:rFonts w:ascii="Times New Roman" w:hAnsi="Times New Roman" w:cs="Times New Roman"/>
                <w:sz w:val="18"/>
                <w:szCs w:val="18"/>
              </w:rPr>
            </w:pPr>
            <w:r w:rsidRPr="0085699D">
              <w:rPr>
                <w:rFonts w:ascii="Times New Roman" w:hAnsi="Times New Roman" w:cs="Times New Roman"/>
                <w:sz w:val="18"/>
                <w:szCs w:val="18"/>
              </w:rPr>
              <w:t>314.53 (100.0)</w:t>
            </w:r>
          </w:p>
        </w:tc>
      </w:tr>
      <w:tr w:rsidR="00735421" w:rsidRPr="0085699D" w14:paraId="4C090FF2" w14:textId="77777777" w:rsidTr="00871479">
        <w:trPr>
          <w:trHeight w:val="97"/>
        </w:trPr>
        <w:tc>
          <w:tcPr>
            <w:tcW w:w="993" w:type="dxa"/>
            <w:hideMark/>
          </w:tcPr>
          <w:p w14:paraId="0E87BAE9" w14:textId="77777777" w:rsidR="00735421" w:rsidRPr="0085699D" w:rsidRDefault="00735421" w:rsidP="00735421">
            <w:pPr>
              <w:pStyle w:val="NoSpacing"/>
              <w:rPr>
                <w:rFonts w:ascii="Times New Roman" w:hAnsi="Times New Roman" w:cs="Times New Roman"/>
                <w:sz w:val="18"/>
                <w:szCs w:val="18"/>
              </w:rPr>
            </w:pPr>
            <w:r w:rsidRPr="0085699D">
              <w:rPr>
                <w:rFonts w:ascii="Times New Roman" w:hAnsi="Times New Roman" w:cs="Times New Roman"/>
                <w:sz w:val="18"/>
                <w:szCs w:val="18"/>
              </w:rPr>
              <w:t>Madhya Pradesh</w:t>
            </w:r>
          </w:p>
        </w:tc>
        <w:tc>
          <w:tcPr>
            <w:tcW w:w="992" w:type="dxa"/>
            <w:vAlign w:val="center"/>
            <w:hideMark/>
          </w:tcPr>
          <w:p w14:paraId="081A4853" w14:textId="77777777" w:rsidR="00735421" w:rsidRPr="0085699D" w:rsidRDefault="00735421" w:rsidP="00871479">
            <w:pPr>
              <w:pStyle w:val="NoSpacing"/>
              <w:jc w:val="center"/>
              <w:rPr>
                <w:rFonts w:ascii="Times New Roman" w:hAnsi="Times New Roman" w:cs="Times New Roman"/>
                <w:sz w:val="18"/>
                <w:szCs w:val="18"/>
              </w:rPr>
            </w:pPr>
            <w:r w:rsidRPr="0085699D">
              <w:rPr>
                <w:rFonts w:ascii="Times New Roman" w:hAnsi="Times New Roman" w:cs="Times New Roman"/>
                <w:sz w:val="18"/>
                <w:szCs w:val="18"/>
              </w:rPr>
              <w:t>137.10 (26.2)</w:t>
            </w:r>
          </w:p>
        </w:tc>
        <w:tc>
          <w:tcPr>
            <w:tcW w:w="851" w:type="dxa"/>
            <w:vAlign w:val="center"/>
            <w:hideMark/>
          </w:tcPr>
          <w:p w14:paraId="73555D29" w14:textId="77777777" w:rsidR="00735421" w:rsidRPr="0085699D" w:rsidRDefault="00735421" w:rsidP="00871479">
            <w:pPr>
              <w:pStyle w:val="NoSpacing"/>
              <w:jc w:val="center"/>
              <w:rPr>
                <w:rFonts w:ascii="Times New Roman" w:hAnsi="Times New Roman" w:cs="Times New Roman"/>
                <w:sz w:val="18"/>
                <w:szCs w:val="18"/>
              </w:rPr>
            </w:pPr>
            <w:r w:rsidRPr="0085699D">
              <w:rPr>
                <w:rFonts w:ascii="Times New Roman" w:hAnsi="Times New Roman" w:cs="Times New Roman"/>
                <w:sz w:val="18"/>
                <w:szCs w:val="18"/>
              </w:rPr>
              <w:t>59.38 (11.4)</w:t>
            </w:r>
          </w:p>
        </w:tc>
        <w:tc>
          <w:tcPr>
            <w:tcW w:w="914" w:type="dxa"/>
            <w:vAlign w:val="center"/>
            <w:hideMark/>
          </w:tcPr>
          <w:p w14:paraId="2CE3D2E6" w14:textId="77777777" w:rsidR="00735421" w:rsidRPr="0085699D" w:rsidRDefault="00735421" w:rsidP="00871479">
            <w:pPr>
              <w:pStyle w:val="NoSpacing"/>
              <w:jc w:val="center"/>
              <w:rPr>
                <w:rFonts w:ascii="Times New Roman" w:hAnsi="Times New Roman" w:cs="Times New Roman"/>
                <w:sz w:val="18"/>
                <w:szCs w:val="18"/>
              </w:rPr>
            </w:pPr>
            <w:r w:rsidRPr="0085699D">
              <w:rPr>
                <w:rFonts w:ascii="Times New Roman" w:hAnsi="Times New Roman" w:cs="Times New Roman"/>
                <w:sz w:val="18"/>
                <w:szCs w:val="18"/>
              </w:rPr>
              <w:t>196.48 (37.6)</w:t>
            </w:r>
          </w:p>
        </w:tc>
        <w:tc>
          <w:tcPr>
            <w:tcW w:w="977" w:type="dxa"/>
            <w:vAlign w:val="center"/>
            <w:hideMark/>
          </w:tcPr>
          <w:p w14:paraId="3B1E95B3" w14:textId="77777777" w:rsidR="00735421" w:rsidRPr="0085699D" w:rsidRDefault="00735421" w:rsidP="00871479">
            <w:pPr>
              <w:pStyle w:val="NoSpacing"/>
              <w:jc w:val="center"/>
              <w:rPr>
                <w:rFonts w:ascii="Times New Roman" w:hAnsi="Times New Roman" w:cs="Times New Roman"/>
                <w:sz w:val="18"/>
                <w:szCs w:val="18"/>
              </w:rPr>
            </w:pPr>
            <w:r w:rsidRPr="0085699D">
              <w:rPr>
                <w:rFonts w:ascii="Times New Roman" w:hAnsi="Times New Roman" w:cs="Times New Roman"/>
                <w:sz w:val="18"/>
                <w:szCs w:val="18"/>
              </w:rPr>
              <w:t>45.47 (8.7)</w:t>
            </w:r>
          </w:p>
        </w:tc>
        <w:tc>
          <w:tcPr>
            <w:tcW w:w="709" w:type="dxa"/>
            <w:vAlign w:val="center"/>
            <w:hideMark/>
          </w:tcPr>
          <w:p w14:paraId="1F61CD32" w14:textId="77777777" w:rsidR="00735421" w:rsidRPr="0085699D" w:rsidRDefault="00735421" w:rsidP="00871479">
            <w:pPr>
              <w:pStyle w:val="NoSpacing"/>
              <w:jc w:val="center"/>
              <w:rPr>
                <w:rFonts w:ascii="Times New Roman" w:hAnsi="Times New Roman" w:cs="Times New Roman"/>
                <w:sz w:val="18"/>
                <w:szCs w:val="18"/>
              </w:rPr>
            </w:pPr>
            <w:r w:rsidRPr="0085699D">
              <w:rPr>
                <w:rFonts w:ascii="Times New Roman" w:hAnsi="Times New Roman" w:cs="Times New Roman"/>
                <w:sz w:val="18"/>
                <w:szCs w:val="18"/>
              </w:rPr>
              <w:t>76.10 (14.6)</w:t>
            </w:r>
          </w:p>
        </w:tc>
        <w:tc>
          <w:tcPr>
            <w:tcW w:w="767" w:type="dxa"/>
            <w:vAlign w:val="center"/>
            <w:hideMark/>
          </w:tcPr>
          <w:p w14:paraId="0609B07D" w14:textId="7F6EC539" w:rsidR="00735421" w:rsidRPr="0085699D" w:rsidRDefault="00735421" w:rsidP="00871479">
            <w:pPr>
              <w:pStyle w:val="NoSpacing"/>
              <w:jc w:val="center"/>
              <w:rPr>
                <w:rFonts w:ascii="Times New Roman" w:hAnsi="Times New Roman" w:cs="Times New Roman"/>
                <w:sz w:val="18"/>
                <w:szCs w:val="18"/>
              </w:rPr>
            </w:pPr>
            <w:r w:rsidRPr="0085699D">
              <w:rPr>
                <w:rFonts w:ascii="Times New Roman" w:hAnsi="Times New Roman" w:cs="Times New Roman"/>
                <w:sz w:val="18"/>
                <w:szCs w:val="18"/>
              </w:rPr>
              <w:t>..</w:t>
            </w:r>
            <w:r>
              <w:rPr>
                <w:rFonts w:ascii="Times New Roman" w:hAnsi="Times New Roman" w:cs="Times New Roman"/>
                <w:sz w:val="18"/>
                <w:szCs w:val="18"/>
              </w:rPr>
              <w:br/>
              <w:t>(-)</w:t>
            </w:r>
          </w:p>
        </w:tc>
        <w:tc>
          <w:tcPr>
            <w:tcW w:w="594" w:type="dxa"/>
            <w:vAlign w:val="center"/>
            <w:hideMark/>
          </w:tcPr>
          <w:p w14:paraId="3CC45D2A" w14:textId="77777777" w:rsidR="00735421" w:rsidRPr="0085699D" w:rsidRDefault="00735421" w:rsidP="00871479">
            <w:pPr>
              <w:pStyle w:val="NoSpacing"/>
              <w:jc w:val="center"/>
              <w:rPr>
                <w:rFonts w:ascii="Times New Roman" w:hAnsi="Times New Roman" w:cs="Times New Roman"/>
                <w:sz w:val="18"/>
                <w:szCs w:val="18"/>
              </w:rPr>
            </w:pPr>
            <w:r w:rsidRPr="0085699D">
              <w:rPr>
                <w:rFonts w:ascii="Times New Roman" w:hAnsi="Times New Roman" w:cs="Times New Roman"/>
                <w:sz w:val="18"/>
                <w:szCs w:val="18"/>
              </w:rPr>
              <w:t>35.45 (6.8)</w:t>
            </w:r>
          </w:p>
        </w:tc>
        <w:tc>
          <w:tcPr>
            <w:tcW w:w="671" w:type="dxa"/>
            <w:vAlign w:val="center"/>
            <w:hideMark/>
          </w:tcPr>
          <w:p w14:paraId="5436DF1C" w14:textId="77777777" w:rsidR="00735421" w:rsidRPr="0085699D" w:rsidRDefault="00735421" w:rsidP="00871479">
            <w:pPr>
              <w:pStyle w:val="NoSpacing"/>
              <w:jc w:val="center"/>
              <w:rPr>
                <w:rFonts w:ascii="Times New Roman" w:hAnsi="Times New Roman" w:cs="Times New Roman"/>
                <w:sz w:val="18"/>
                <w:szCs w:val="18"/>
              </w:rPr>
            </w:pPr>
            <w:r w:rsidRPr="0085699D">
              <w:rPr>
                <w:rFonts w:ascii="Times New Roman" w:hAnsi="Times New Roman" w:cs="Times New Roman"/>
                <w:sz w:val="18"/>
                <w:szCs w:val="18"/>
              </w:rPr>
              <w:t>157.02 (30.1)</w:t>
            </w:r>
          </w:p>
        </w:tc>
        <w:tc>
          <w:tcPr>
            <w:tcW w:w="988" w:type="dxa"/>
            <w:vAlign w:val="center"/>
            <w:hideMark/>
          </w:tcPr>
          <w:p w14:paraId="581A209E" w14:textId="77777777" w:rsidR="00735421" w:rsidRPr="0085699D" w:rsidRDefault="00735421" w:rsidP="00871479">
            <w:pPr>
              <w:pStyle w:val="NoSpacing"/>
              <w:jc w:val="center"/>
              <w:rPr>
                <w:rFonts w:ascii="Times New Roman" w:hAnsi="Times New Roman" w:cs="Times New Roman"/>
                <w:sz w:val="18"/>
                <w:szCs w:val="18"/>
              </w:rPr>
            </w:pPr>
            <w:r w:rsidRPr="0085699D">
              <w:rPr>
                <w:rFonts w:ascii="Times New Roman" w:hAnsi="Times New Roman" w:cs="Times New Roman"/>
                <w:sz w:val="18"/>
                <w:szCs w:val="18"/>
              </w:rPr>
              <w:t>34.01 (6.5)</w:t>
            </w:r>
          </w:p>
        </w:tc>
        <w:tc>
          <w:tcPr>
            <w:tcW w:w="758" w:type="dxa"/>
            <w:vAlign w:val="center"/>
            <w:hideMark/>
          </w:tcPr>
          <w:p w14:paraId="7D62395E" w14:textId="77777777" w:rsidR="00735421" w:rsidRPr="0085699D" w:rsidRDefault="00735421" w:rsidP="00871479">
            <w:pPr>
              <w:pStyle w:val="NoSpacing"/>
              <w:jc w:val="center"/>
              <w:rPr>
                <w:rFonts w:ascii="Times New Roman" w:hAnsi="Times New Roman" w:cs="Times New Roman"/>
                <w:sz w:val="18"/>
                <w:szCs w:val="18"/>
              </w:rPr>
            </w:pPr>
            <w:r w:rsidRPr="0085699D">
              <w:rPr>
                <w:rFonts w:ascii="Times New Roman" w:hAnsi="Times New Roman" w:cs="Times New Roman"/>
                <w:sz w:val="18"/>
                <w:szCs w:val="18"/>
              </w:rPr>
              <w:t>94.34 (18.1)</w:t>
            </w:r>
          </w:p>
        </w:tc>
        <w:tc>
          <w:tcPr>
            <w:tcW w:w="947" w:type="dxa"/>
            <w:vAlign w:val="center"/>
            <w:hideMark/>
          </w:tcPr>
          <w:p w14:paraId="3C3FC189" w14:textId="77777777" w:rsidR="00735421" w:rsidRPr="0085699D" w:rsidRDefault="00735421" w:rsidP="00871479">
            <w:pPr>
              <w:pStyle w:val="NoSpacing"/>
              <w:jc w:val="center"/>
              <w:rPr>
                <w:rFonts w:ascii="Times New Roman" w:hAnsi="Times New Roman" w:cs="Times New Roman"/>
                <w:sz w:val="18"/>
                <w:szCs w:val="18"/>
              </w:rPr>
            </w:pPr>
            <w:r w:rsidRPr="0085699D">
              <w:rPr>
                <w:rFonts w:ascii="Times New Roman" w:hAnsi="Times New Roman" w:cs="Times New Roman"/>
                <w:sz w:val="18"/>
                <w:szCs w:val="18"/>
              </w:rPr>
              <w:t>14.09 (2.7)</w:t>
            </w:r>
          </w:p>
        </w:tc>
        <w:tc>
          <w:tcPr>
            <w:tcW w:w="988" w:type="dxa"/>
            <w:vAlign w:val="center"/>
            <w:hideMark/>
          </w:tcPr>
          <w:p w14:paraId="74F07E4E" w14:textId="77777777" w:rsidR="00735421" w:rsidRPr="0085699D" w:rsidRDefault="00735421" w:rsidP="00871479">
            <w:pPr>
              <w:pStyle w:val="NoSpacing"/>
              <w:jc w:val="center"/>
              <w:rPr>
                <w:rFonts w:ascii="Times New Roman" w:hAnsi="Times New Roman" w:cs="Times New Roman"/>
                <w:sz w:val="18"/>
                <w:szCs w:val="18"/>
              </w:rPr>
            </w:pPr>
            <w:r w:rsidRPr="0085699D">
              <w:rPr>
                <w:rFonts w:ascii="Times New Roman" w:hAnsi="Times New Roman" w:cs="Times New Roman"/>
                <w:sz w:val="18"/>
                <w:szCs w:val="18"/>
              </w:rPr>
              <w:t>16.00 (3.1)</w:t>
            </w:r>
          </w:p>
        </w:tc>
        <w:tc>
          <w:tcPr>
            <w:tcW w:w="900" w:type="dxa"/>
            <w:vAlign w:val="center"/>
            <w:hideMark/>
          </w:tcPr>
          <w:p w14:paraId="492A78DC" w14:textId="77777777" w:rsidR="00735421" w:rsidRPr="0085699D" w:rsidRDefault="00735421" w:rsidP="00871479">
            <w:pPr>
              <w:pStyle w:val="NoSpacing"/>
              <w:jc w:val="center"/>
              <w:rPr>
                <w:rFonts w:ascii="Times New Roman" w:hAnsi="Times New Roman" w:cs="Times New Roman"/>
                <w:sz w:val="18"/>
                <w:szCs w:val="18"/>
              </w:rPr>
            </w:pPr>
            <w:r w:rsidRPr="0085699D">
              <w:rPr>
                <w:rFonts w:ascii="Times New Roman" w:hAnsi="Times New Roman" w:cs="Times New Roman"/>
                <w:sz w:val="18"/>
                <w:szCs w:val="18"/>
              </w:rPr>
              <w:t>8.87 (1.7)</w:t>
            </w:r>
          </w:p>
        </w:tc>
        <w:tc>
          <w:tcPr>
            <w:tcW w:w="851" w:type="dxa"/>
            <w:vAlign w:val="center"/>
            <w:hideMark/>
          </w:tcPr>
          <w:p w14:paraId="7D6B79F1" w14:textId="77777777" w:rsidR="00735421" w:rsidRPr="0085699D" w:rsidRDefault="00735421" w:rsidP="00871479">
            <w:pPr>
              <w:pStyle w:val="NoSpacing"/>
              <w:jc w:val="center"/>
              <w:rPr>
                <w:rFonts w:ascii="Times New Roman" w:hAnsi="Times New Roman" w:cs="Times New Roman"/>
                <w:sz w:val="18"/>
                <w:szCs w:val="18"/>
              </w:rPr>
            </w:pPr>
            <w:r w:rsidRPr="0085699D">
              <w:rPr>
                <w:rFonts w:ascii="Times New Roman" w:hAnsi="Times New Roman" w:cs="Times New Roman"/>
                <w:sz w:val="18"/>
                <w:szCs w:val="18"/>
              </w:rPr>
              <w:t>1.10 (0.2)</w:t>
            </w:r>
          </w:p>
        </w:tc>
        <w:tc>
          <w:tcPr>
            <w:tcW w:w="850" w:type="dxa"/>
            <w:vAlign w:val="center"/>
            <w:hideMark/>
          </w:tcPr>
          <w:p w14:paraId="1F321394" w14:textId="77777777" w:rsidR="00735421" w:rsidRPr="0085699D" w:rsidRDefault="00735421" w:rsidP="00871479">
            <w:pPr>
              <w:pStyle w:val="NoSpacing"/>
              <w:jc w:val="center"/>
              <w:rPr>
                <w:rFonts w:ascii="Times New Roman" w:hAnsi="Times New Roman" w:cs="Times New Roman"/>
                <w:sz w:val="18"/>
                <w:szCs w:val="18"/>
              </w:rPr>
            </w:pPr>
            <w:r w:rsidRPr="0085699D">
              <w:rPr>
                <w:rFonts w:ascii="Times New Roman" w:hAnsi="Times New Roman" w:cs="Times New Roman"/>
                <w:sz w:val="18"/>
                <w:szCs w:val="18"/>
              </w:rPr>
              <w:t>168.41 (32.3)</w:t>
            </w:r>
          </w:p>
        </w:tc>
        <w:tc>
          <w:tcPr>
            <w:tcW w:w="993" w:type="dxa"/>
            <w:vAlign w:val="center"/>
            <w:hideMark/>
          </w:tcPr>
          <w:p w14:paraId="5F25E683" w14:textId="77777777" w:rsidR="00735421" w:rsidRPr="0085699D" w:rsidRDefault="00735421" w:rsidP="00871479">
            <w:pPr>
              <w:pStyle w:val="NoSpacing"/>
              <w:jc w:val="center"/>
              <w:rPr>
                <w:rFonts w:ascii="Times New Roman" w:hAnsi="Times New Roman" w:cs="Times New Roman"/>
                <w:sz w:val="18"/>
                <w:szCs w:val="18"/>
              </w:rPr>
            </w:pPr>
            <w:r w:rsidRPr="0085699D">
              <w:rPr>
                <w:rFonts w:ascii="Times New Roman" w:hAnsi="Times New Roman" w:cs="Times New Roman"/>
                <w:sz w:val="18"/>
                <w:szCs w:val="18"/>
              </w:rPr>
              <w:t>521.91 (100.0)</w:t>
            </w:r>
          </w:p>
        </w:tc>
      </w:tr>
      <w:tr w:rsidR="00735421" w:rsidRPr="0085699D" w14:paraId="4B0A0E15" w14:textId="77777777" w:rsidTr="00871479">
        <w:trPr>
          <w:trHeight w:val="97"/>
        </w:trPr>
        <w:tc>
          <w:tcPr>
            <w:tcW w:w="993" w:type="dxa"/>
            <w:hideMark/>
          </w:tcPr>
          <w:p w14:paraId="12B5A762" w14:textId="77777777" w:rsidR="00735421" w:rsidRPr="0085699D" w:rsidRDefault="00735421" w:rsidP="00735421">
            <w:pPr>
              <w:pStyle w:val="NoSpacing"/>
              <w:rPr>
                <w:rFonts w:ascii="Times New Roman" w:hAnsi="Times New Roman" w:cs="Times New Roman"/>
                <w:sz w:val="18"/>
                <w:szCs w:val="18"/>
              </w:rPr>
            </w:pPr>
            <w:r w:rsidRPr="0085699D">
              <w:rPr>
                <w:rFonts w:ascii="Times New Roman" w:hAnsi="Times New Roman" w:cs="Times New Roman"/>
                <w:sz w:val="18"/>
                <w:szCs w:val="18"/>
              </w:rPr>
              <w:t>Maharashtra</w:t>
            </w:r>
          </w:p>
        </w:tc>
        <w:tc>
          <w:tcPr>
            <w:tcW w:w="992" w:type="dxa"/>
            <w:vAlign w:val="center"/>
            <w:hideMark/>
          </w:tcPr>
          <w:p w14:paraId="5DE326BA" w14:textId="77777777" w:rsidR="00735421" w:rsidRPr="0085699D" w:rsidRDefault="00735421" w:rsidP="00871479">
            <w:pPr>
              <w:pStyle w:val="NoSpacing"/>
              <w:jc w:val="center"/>
              <w:rPr>
                <w:rFonts w:ascii="Times New Roman" w:hAnsi="Times New Roman" w:cs="Times New Roman"/>
                <w:sz w:val="18"/>
                <w:szCs w:val="18"/>
              </w:rPr>
            </w:pPr>
            <w:r w:rsidRPr="0085699D">
              <w:rPr>
                <w:rFonts w:ascii="Times New Roman" w:hAnsi="Times New Roman" w:cs="Times New Roman"/>
                <w:sz w:val="18"/>
                <w:szCs w:val="18"/>
              </w:rPr>
              <w:t>152.31 (17.7)</w:t>
            </w:r>
          </w:p>
        </w:tc>
        <w:tc>
          <w:tcPr>
            <w:tcW w:w="851" w:type="dxa"/>
            <w:vAlign w:val="center"/>
            <w:hideMark/>
          </w:tcPr>
          <w:p w14:paraId="6E519C63" w14:textId="77777777" w:rsidR="00735421" w:rsidRPr="0085699D" w:rsidRDefault="00735421" w:rsidP="00871479">
            <w:pPr>
              <w:pStyle w:val="NoSpacing"/>
              <w:jc w:val="center"/>
              <w:rPr>
                <w:rFonts w:ascii="Times New Roman" w:hAnsi="Times New Roman" w:cs="Times New Roman"/>
                <w:sz w:val="18"/>
                <w:szCs w:val="18"/>
              </w:rPr>
            </w:pPr>
            <w:r w:rsidRPr="0085699D">
              <w:rPr>
                <w:rFonts w:ascii="Times New Roman" w:hAnsi="Times New Roman" w:cs="Times New Roman"/>
                <w:sz w:val="18"/>
                <w:szCs w:val="18"/>
              </w:rPr>
              <w:t>195.81 (22.8)</w:t>
            </w:r>
          </w:p>
        </w:tc>
        <w:tc>
          <w:tcPr>
            <w:tcW w:w="914" w:type="dxa"/>
            <w:vAlign w:val="center"/>
            <w:hideMark/>
          </w:tcPr>
          <w:p w14:paraId="4BE9749B" w14:textId="77777777" w:rsidR="00735421" w:rsidRPr="0085699D" w:rsidRDefault="00735421" w:rsidP="00871479">
            <w:pPr>
              <w:pStyle w:val="NoSpacing"/>
              <w:jc w:val="center"/>
              <w:rPr>
                <w:rFonts w:ascii="Times New Roman" w:hAnsi="Times New Roman" w:cs="Times New Roman"/>
                <w:sz w:val="18"/>
                <w:szCs w:val="18"/>
              </w:rPr>
            </w:pPr>
            <w:r w:rsidRPr="0085699D">
              <w:rPr>
                <w:rFonts w:ascii="Times New Roman" w:hAnsi="Times New Roman" w:cs="Times New Roman"/>
                <w:sz w:val="18"/>
                <w:szCs w:val="18"/>
              </w:rPr>
              <w:t>348.12 (40.5)</w:t>
            </w:r>
          </w:p>
        </w:tc>
        <w:tc>
          <w:tcPr>
            <w:tcW w:w="977" w:type="dxa"/>
            <w:vAlign w:val="center"/>
            <w:hideMark/>
          </w:tcPr>
          <w:p w14:paraId="562B34DA" w14:textId="77777777" w:rsidR="00735421" w:rsidRPr="0085699D" w:rsidRDefault="00735421" w:rsidP="00871479">
            <w:pPr>
              <w:pStyle w:val="NoSpacing"/>
              <w:jc w:val="center"/>
              <w:rPr>
                <w:rFonts w:ascii="Times New Roman" w:hAnsi="Times New Roman" w:cs="Times New Roman"/>
                <w:sz w:val="18"/>
                <w:szCs w:val="18"/>
              </w:rPr>
            </w:pPr>
            <w:r w:rsidRPr="0085699D">
              <w:rPr>
                <w:rFonts w:ascii="Times New Roman" w:hAnsi="Times New Roman" w:cs="Times New Roman"/>
                <w:sz w:val="18"/>
                <w:szCs w:val="18"/>
              </w:rPr>
              <w:t>167.46 (19.5)</w:t>
            </w:r>
          </w:p>
        </w:tc>
        <w:tc>
          <w:tcPr>
            <w:tcW w:w="709" w:type="dxa"/>
            <w:vAlign w:val="center"/>
            <w:hideMark/>
          </w:tcPr>
          <w:p w14:paraId="5297612B" w14:textId="7524CD84" w:rsidR="00735421" w:rsidRPr="0085699D" w:rsidRDefault="00735421" w:rsidP="00871479">
            <w:pPr>
              <w:pStyle w:val="NoSpacing"/>
              <w:jc w:val="center"/>
              <w:rPr>
                <w:rFonts w:ascii="Times New Roman" w:hAnsi="Times New Roman" w:cs="Times New Roman"/>
                <w:sz w:val="18"/>
                <w:szCs w:val="18"/>
              </w:rPr>
            </w:pPr>
            <w:r w:rsidRPr="0085699D">
              <w:rPr>
                <w:rFonts w:ascii="Times New Roman" w:hAnsi="Times New Roman" w:cs="Times New Roman"/>
                <w:sz w:val="18"/>
                <w:szCs w:val="18"/>
              </w:rPr>
              <w:t>..</w:t>
            </w:r>
            <w:r>
              <w:rPr>
                <w:rFonts w:ascii="Times New Roman" w:hAnsi="Times New Roman" w:cs="Times New Roman"/>
                <w:sz w:val="18"/>
                <w:szCs w:val="18"/>
              </w:rPr>
              <w:br/>
              <w:t>(-)</w:t>
            </w:r>
          </w:p>
        </w:tc>
        <w:tc>
          <w:tcPr>
            <w:tcW w:w="767" w:type="dxa"/>
            <w:vAlign w:val="center"/>
            <w:hideMark/>
          </w:tcPr>
          <w:p w14:paraId="14777D86" w14:textId="77777777" w:rsidR="00735421" w:rsidRPr="0085699D" w:rsidRDefault="00735421" w:rsidP="00871479">
            <w:pPr>
              <w:pStyle w:val="NoSpacing"/>
              <w:jc w:val="center"/>
              <w:rPr>
                <w:rFonts w:ascii="Times New Roman" w:hAnsi="Times New Roman" w:cs="Times New Roman"/>
                <w:sz w:val="18"/>
                <w:szCs w:val="18"/>
              </w:rPr>
            </w:pPr>
            <w:r w:rsidRPr="0085699D">
              <w:rPr>
                <w:rFonts w:ascii="Times New Roman" w:hAnsi="Times New Roman" w:cs="Times New Roman"/>
                <w:sz w:val="18"/>
                <w:szCs w:val="18"/>
              </w:rPr>
              <w:t>73.46 (8.5)</w:t>
            </w:r>
          </w:p>
        </w:tc>
        <w:tc>
          <w:tcPr>
            <w:tcW w:w="594" w:type="dxa"/>
            <w:vAlign w:val="center"/>
            <w:hideMark/>
          </w:tcPr>
          <w:p w14:paraId="47173B6C" w14:textId="77777777" w:rsidR="00735421" w:rsidRPr="0085699D" w:rsidRDefault="00735421" w:rsidP="00871479">
            <w:pPr>
              <w:pStyle w:val="NoSpacing"/>
              <w:jc w:val="center"/>
              <w:rPr>
                <w:rFonts w:ascii="Times New Roman" w:hAnsi="Times New Roman" w:cs="Times New Roman"/>
                <w:sz w:val="18"/>
                <w:szCs w:val="18"/>
              </w:rPr>
            </w:pPr>
            <w:r w:rsidRPr="0085699D">
              <w:rPr>
                <w:rFonts w:ascii="Times New Roman" w:hAnsi="Times New Roman" w:cs="Times New Roman"/>
                <w:sz w:val="18"/>
                <w:szCs w:val="18"/>
              </w:rPr>
              <w:t>74.80 (8.7)</w:t>
            </w:r>
          </w:p>
        </w:tc>
        <w:tc>
          <w:tcPr>
            <w:tcW w:w="671" w:type="dxa"/>
            <w:vAlign w:val="center"/>
            <w:hideMark/>
          </w:tcPr>
          <w:p w14:paraId="614F6B7C" w14:textId="77777777" w:rsidR="00735421" w:rsidRPr="0085699D" w:rsidRDefault="00735421" w:rsidP="00871479">
            <w:pPr>
              <w:pStyle w:val="NoSpacing"/>
              <w:jc w:val="center"/>
              <w:rPr>
                <w:rFonts w:ascii="Times New Roman" w:hAnsi="Times New Roman" w:cs="Times New Roman"/>
                <w:sz w:val="18"/>
                <w:szCs w:val="18"/>
              </w:rPr>
            </w:pPr>
            <w:r w:rsidRPr="0085699D">
              <w:rPr>
                <w:rFonts w:ascii="Times New Roman" w:hAnsi="Times New Roman" w:cs="Times New Roman"/>
                <w:sz w:val="18"/>
                <w:szCs w:val="18"/>
              </w:rPr>
              <w:t>315.72 (36.7)</w:t>
            </w:r>
          </w:p>
        </w:tc>
        <w:tc>
          <w:tcPr>
            <w:tcW w:w="988" w:type="dxa"/>
            <w:vAlign w:val="center"/>
            <w:hideMark/>
          </w:tcPr>
          <w:p w14:paraId="3EDB584D" w14:textId="77777777" w:rsidR="00735421" w:rsidRPr="0085699D" w:rsidRDefault="00735421" w:rsidP="00871479">
            <w:pPr>
              <w:pStyle w:val="NoSpacing"/>
              <w:jc w:val="center"/>
              <w:rPr>
                <w:rFonts w:ascii="Times New Roman" w:hAnsi="Times New Roman" w:cs="Times New Roman"/>
                <w:sz w:val="18"/>
                <w:szCs w:val="18"/>
              </w:rPr>
            </w:pPr>
            <w:r w:rsidRPr="0085699D">
              <w:rPr>
                <w:rFonts w:ascii="Times New Roman" w:hAnsi="Times New Roman" w:cs="Times New Roman"/>
                <w:sz w:val="18"/>
                <w:szCs w:val="18"/>
              </w:rPr>
              <w:t>21.39 (2.5)</w:t>
            </w:r>
          </w:p>
        </w:tc>
        <w:tc>
          <w:tcPr>
            <w:tcW w:w="758" w:type="dxa"/>
            <w:vAlign w:val="center"/>
            <w:hideMark/>
          </w:tcPr>
          <w:p w14:paraId="7FD75D28" w14:textId="77777777" w:rsidR="00735421" w:rsidRPr="0085699D" w:rsidRDefault="00735421" w:rsidP="00871479">
            <w:pPr>
              <w:pStyle w:val="NoSpacing"/>
              <w:jc w:val="center"/>
              <w:rPr>
                <w:rFonts w:ascii="Times New Roman" w:hAnsi="Times New Roman" w:cs="Times New Roman"/>
                <w:sz w:val="18"/>
                <w:szCs w:val="18"/>
              </w:rPr>
            </w:pPr>
            <w:r w:rsidRPr="0085699D">
              <w:rPr>
                <w:rFonts w:ascii="Times New Roman" w:hAnsi="Times New Roman" w:cs="Times New Roman"/>
                <w:sz w:val="18"/>
                <w:szCs w:val="18"/>
              </w:rPr>
              <w:t>134.81 (15.7)</w:t>
            </w:r>
          </w:p>
        </w:tc>
        <w:tc>
          <w:tcPr>
            <w:tcW w:w="947" w:type="dxa"/>
            <w:vAlign w:val="center"/>
            <w:hideMark/>
          </w:tcPr>
          <w:p w14:paraId="041DC9E9" w14:textId="77777777" w:rsidR="00735421" w:rsidRPr="0085699D" w:rsidRDefault="00735421" w:rsidP="00871479">
            <w:pPr>
              <w:pStyle w:val="NoSpacing"/>
              <w:jc w:val="center"/>
              <w:rPr>
                <w:rFonts w:ascii="Times New Roman" w:hAnsi="Times New Roman" w:cs="Times New Roman"/>
                <w:sz w:val="18"/>
                <w:szCs w:val="18"/>
              </w:rPr>
            </w:pPr>
            <w:r w:rsidRPr="0085699D">
              <w:rPr>
                <w:rFonts w:ascii="Times New Roman" w:hAnsi="Times New Roman" w:cs="Times New Roman"/>
                <w:sz w:val="18"/>
                <w:szCs w:val="18"/>
              </w:rPr>
              <w:t>1.58 (0.2)</w:t>
            </w:r>
          </w:p>
        </w:tc>
        <w:tc>
          <w:tcPr>
            <w:tcW w:w="988" w:type="dxa"/>
            <w:vAlign w:val="center"/>
            <w:hideMark/>
          </w:tcPr>
          <w:p w14:paraId="05D7A539" w14:textId="77777777" w:rsidR="00735421" w:rsidRPr="0085699D" w:rsidRDefault="00735421" w:rsidP="00871479">
            <w:pPr>
              <w:pStyle w:val="NoSpacing"/>
              <w:jc w:val="center"/>
              <w:rPr>
                <w:rFonts w:ascii="Times New Roman" w:hAnsi="Times New Roman" w:cs="Times New Roman"/>
                <w:sz w:val="18"/>
                <w:szCs w:val="18"/>
              </w:rPr>
            </w:pPr>
            <w:r w:rsidRPr="0085699D">
              <w:rPr>
                <w:rFonts w:ascii="Times New Roman" w:hAnsi="Times New Roman" w:cs="Times New Roman"/>
                <w:sz w:val="18"/>
                <w:szCs w:val="18"/>
              </w:rPr>
              <w:t>8.66 (1.0)</w:t>
            </w:r>
          </w:p>
        </w:tc>
        <w:tc>
          <w:tcPr>
            <w:tcW w:w="900" w:type="dxa"/>
            <w:vAlign w:val="center"/>
            <w:hideMark/>
          </w:tcPr>
          <w:p w14:paraId="3CEA2A50" w14:textId="77777777" w:rsidR="00735421" w:rsidRPr="0085699D" w:rsidRDefault="00735421" w:rsidP="00871479">
            <w:pPr>
              <w:pStyle w:val="NoSpacing"/>
              <w:jc w:val="center"/>
              <w:rPr>
                <w:rFonts w:ascii="Times New Roman" w:hAnsi="Times New Roman" w:cs="Times New Roman"/>
                <w:sz w:val="18"/>
                <w:szCs w:val="18"/>
              </w:rPr>
            </w:pPr>
            <w:r w:rsidRPr="0085699D">
              <w:rPr>
                <w:rFonts w:ascii="Times New Roman" w:hAnsi="Times New Roman" w:cs="Times New Roman"/>
                <w:sz w:val="18"/>
                <w:szCs w:val="18"/>
              </w:rPr>
              <w:t>17.56 (2.1)</w:t>
            </w:r>
          </w:p>
        </w:tc>
        <w:tc>
          <w:tcPr>
            <w:tcW w:w="851" w:type="dxa"/>
            <w:vAlign w:val="center"/>
            <w:hideMark/>
          </w:tcPr>
          <w:p w14:paraId="7E661826" w14:textId="77777777" w:rsidR="00735421" w:rsidRPr="0085699D" w:rsidRDefault="00735421" w:rsidP="00871479">
            <w:pPr>
              <w:pStyle w:val="NoSpacing"/>
              <w:jc w:val="center"/>
              <w:rPr>
                <w:rFonts w:ascii="Times New Roman" w:hAnsi="Times New Roman" w:cs="Times New Roman"/>
                <w:sz w:val="18"/>
                <w:szCs w:val="18"/>
              </w:rPr>
            </w:pPr>
            <w:r w:rsidRPr="0085699D">
              <w:rPr>
                <w:rFonts w:ascii="Times New Roman" w:hAnsi="Times New Roman" w:cs="Times New Roman"/>
                <w:sz w:val="18"/>
                <w:szCs w:val="18"/>
              </w:rPr>
              <w:t>11.41 (1.3)</w:t>
            </w:r>
          </w:p>
        </w:tc>
        <w:tc>
          <w:tcPr>
            <w:tcW w:w="850" w:type="dxa"/>
            <w:vAlign w:val="center"/>
            <w:hideMark/>
          </w:tcPr>
          <w:p w14:paraId="2DB968E2" w14:textId="77777777" w:rsidR="00735421" w:rsidRPr="0085699D" w:rsidRDefault="00735421" w:rsidP="00871479">
            <w:pPr>
              <w:pStyle w:val="NoSpacing"/>
              <w:jc w:val="center"/>
              <w:rPr>
                <w:rFonts w:ascii="Times New Roman" w:hAnsi="Times New Roman" w:cs="Times New Roman"/>
                <w:sz w:val="18"/>
                <w:szCs w:val="18"/>
              </w:rPr>
            </w:pPr>
            <w:r w:rsidRPr="0085699D">
              <w:rPr>
                <w:rFonts w:ascii="Times New Roman" w:hAnsi="Times New Roman" w:cs="Times New Roman"/>
                <w:sz w:val="18"/>
                <w:szCs w:val="18"/>
              </w:rPr>
              <w:t>195.41 (22.8)</w:t>
            </w:r>
          </w:p>
        </w:tc>
        <w:tc>
          <w:tcPr>
            <w:tcW w:w="993" w:type="dxa"/>
            <w:vAlign w:val="center"/>
            <w:hideMark/>
          </w:tcPr>
          <w:p w14:paraId="3CF98257" w14:textId="77777777" w:rsidR="00735421" w:rsidRPr="0085699D" w:rsidRDefault="00735421" w:rsidP="00871479">
            <w:pPr>
              <w:pStyle w:val="NoSpacing"/>
              <w:jc w:val="center"/>
              <w:rPr>
                <w:rFonts w:ascii="Times New Roman" w:hAnsi="Times New Roman" w:cs="Times New Roman"/>
                <w:sz w:val="18"/>
                <w:szCs w:val="18"/>
              </w:rPr>
            </w:pPr>
            <w:r w:rsidRPr="0085699D">
              <w:rPr>
                <w:rFonts w:ascii="Times New Roman" w:hAnsi="Times New Roman" w:cs="Times New Roman"/>
                <w:sz w:val="18"/>
                <w:szCs w:val="18"/>
              </w:rPr>
              <w:t>859.25 (100.0)</w:t>
            </w:r>
          </w:p>
        </w:tc>
      </w:tr>
      <w:tr w:rsidR="00735421" w:rsidRPr="0085699D" w14:paraId="0B64C583" w14:textId="77777777" w:rsidTr="00871479">
        <w:trPr>
          <w:trHeight w:val="97"/>
        </w:trPr>
        <w:tc>
          <w:tcPr>
            <w:tcW w:w="993" w:type="dxa"/>
            <w:hideMark/>
          </w:tcPr>
          <w:p w14:paraId="5BCB2A99" w14:textId="77777777" w:rsidR="00735421" w:rsidRPr="0085699D" w:rsidRDefault="00735421" w:rsidP="00735421">
            <w:pPr>
              <w:pStyle w:val="NoSpacing"/>
              <w:rPr>
                <w:rFonts w:ascii="Times New Roman" w:hAnsi="Times New Roman" w:cs="Times New Roman"/>
                <w:sz w:val="18"/>
                <w:szCs w:val="18"/>
              </w:rPr>
            </w:pPr>
            <w:r w:rsidRPr="0085699D">
              <w:rPr>
                <w:rFonts w:ascii="Times New Roman" w:hAnsi="Times New Roman" w:cs="Times New Roman"/>
                <w:sz w:val="18"/>
                <w:szCs w:val="18"/>
              </w:rPr>
              <w:lastRenderedPageBreak/>
              <w:t>Mysore</w:t>
            </w:r>
          </w:p>
        </w:tc>
        <w:tc>
          <w:tcPr>
            <w:tcW w:w="992" w:type="dxa"/>
            <w:vAlign w:val="center"/>
            <w:hideMark/>
          </w:tcPr>
          <w:p w14:paraId="1C2E09CC" w14:textId="77777777" w:rsidR="00735421" w:rsidRPr="0085699D" w:rsidRDefault="00735421" w:rsidP="00871479">
            <w:pPr>
              <w:pStyle w:val="NoSpacing"/>
              <w:jc w:val="center"/>
              <w:rPr>
                <w:rFonts w:ascii="Times New Roman" w:hAnsi="Times New Roman" w:cs="Times New Roman"/>
                <w:sz w:val="18"/>
                <w:szCs w:val="18"/>
              </w:rPr>
            </w:pPr>
            <w:r w:rsidRPr="0085699D">
              <w:rPr>
                <w:rFonts w:ascii="Times New Roman" w:hAnsi="Times New Roman" w:cs="Times New Roman"/>
                <w:sz w:val="18"/>
                <w:szCs w:val="18"/>
              </w:rPr>
              <w:t>44.33 (7.4)</w:t>
            </w:r>
          </w:p>
        </w:tc>
        <w:tc>
          <w:tcPr>
            <w:tcW w:w="851" w:type="dxa"/>
            <w:vAlign w:val="center"/>
            <w:hideMark/>
          </w:tcPr>
          <w:p w14:paraId="2D3AA543" w14:textId="77777777" w:rsidR="00735421" w:rsidRPr="0085699D" w:rsidRDefault="00735421" w:rsidP="00871479">
            <w:pPr>
              <w:pStyle w:val="NoSpacing"/>
              <w:jc w:val="center"/>
              <w:rPr>
                <w:rFonts w:ascii="Times New Roman" w:hAnsi="Times New Roman" w:cs="Times New Roman"/>
                <w:sz w:val="18"/>
                <w:szCs w:val="18"/>
              </w:rPr>
            </w:pPr>
            <w:r w:rsidRPr="0085699D">
              <w:rPr>
                <w:rFonts w:ascii="Times New Roman" w:hAnsi="Times New Roman" w:cs="Times New Roman"/>
                <w:sz w:val="18"/>
                <w:szCs w:val="18"/>
              </w:rPr>
              <w:t>112.06 (18.6)</w:t>
            </w:r>
          </w:p>
        </w:tc>
        <w:tc>
          <w:tcPr>
            <w:tcW w:w="914" w:type="dxa"/>
            <w:vAlign w:val="center"/>
            <w:hideMark/>
          </w:tcPr>
          <w:p w14:paraId="3DE2C020" w14:textId="77777777" w:rsidR="00735421" w:rsidRPr="0085699D" w:rsidRDefault="00735421" w:rsidP="00871479">
            <w:pPr>
              <w:pStyle w:val="NoSpacing"/>
              <w:jc w:val="center"/>
              <w:rPr>
                <w:rFonts w:ascii="Times New Roman" w:hAnsi="Times New Roman" w:cs="Times New Roman"/>
                <w:sz w:val="18"/>
                <w:szCs w:val="18"/>
              </w:rPr>
            </w:pPr>
            <w:r w:rsidRPr="0085699D">
              <w:rPr>
                <w:rFonts w:ascii="Times New Roman" w:hAnsi="Times New Roman" w:cs="Times New Roman"/>
                <w:sz w:val="18"/>
                <w:szCs w:val="18"/>
              </w:rPr>
              <w:t>156.39 (26.0)</w:t>
            </w:r>
          </w:p>
        </w:tc>
        <w:tc>
          <w:tcPr>
            <w:tcW w:w="977" w:type="dxa"/>
            <w:vAlign w:val="center"/>
            <w:hideMark/>
          </w:tcPr>
          <w:p w14:paraId="3EF15BB9" w14:textId="77777777" w:rsidR="00735421" w:rsidRPr="0085699D" w:rsidRDefault="00735421" w:rsidP="00871479">
            <w:pPr>
              <w:pStyle w:val="NoSpacing"/>
              <w:jc w:val="center"/>
              <w:rPr>
                <w:rFonts w:ascii="Times New Roman" w:hAnsi="Times New Roman" w:cs="Times New Roman"/>
                <w:sz w:val="18"/>
                <w:szCs w:val="18"/>
              </w:rPr>
            </w:pPr>
            <w:r w:rsidRPr="0085699D">
              <w:rPr>
                <w:rFonts w:ascii="Times New Roman" w:hAnsi="Times New Roman" w:cs="Times New Roman"/>
                <w:sz w:val="18"/>
                <w:szCs w:val="18"/>
              </w:rPr>
              <w:t>147.18 (24.4)</w:t>
            </w:r>
          </w:p>
        </w:tc>
        <w:tc>
          <w:tcPr>
            <w:tcW w:w="709" w:type="dxa"/>
            <w:vAlign w:val="center"/>
            <w:hideMark/>
          </w:tcPr>
          <w:p w14:paraId="4C58A8B7" w14:textId="360C3EFA" w:rsidR="00735421" w:rsidRPr="0085699D" w:rsidRDefault="00735421" w:rsidP="00871479">
            <w:pPr>
              <w:pStyle w:val="NoSpacing"/>
              <w:jc w:val="center"/>
              <w:rPr>
                <w:rFonts w:ascii="Times New Roman" w:hAnsi="Times New Roman" w:cs="Times New Roman"/>
                <w:sz w:val="18"/>
                <w:szCs w:val="18"/>
              </w:rPr>
            </w:pPr>
            <w:r w:rsidRPr="0085699D">
              <w:rPr>
                <w:rFonts w:ascii="Times New Roman" w:hAnsi="Times New Roman" w:cs="Times New Roman"/>
                <w:sz w:val="18"/>
                <w:szCs w:val="18"/>
              </w:rPr>
              <w:t>..</w:t>
            </w:r>
            <w:r>
              <w:rPr>
                <w:rFonts w:ascii="Times New Roman" w:hAnsi="Times New Roman" w:cs="Times New Roman"/>
                <w:sz w:val="18"/>
                <w:szCs w:val="18"/>
              </w:rPr>
              <w:br/>
              <w:t>(-)</w:t>
            </w:r>
          </w:p>
        </w:tc>
        <w:tc>
          <w:tcPr>
            <w:tcW w:w="767" w:type="dxa"/>
            <w:vAlign w:val="center"/>
            <w:hideMark/>
          </w:tcPr>
          <w:p w14:paraId="004D4C87" w14:textId="77777777" w:rsidR="00735421" w:rsidRPr="0085699D" w:rsidRDefault="00735421" w:rsidP="00871479">
            <w:pPr>
              <w:pStyle w:val="NoSpacing"/>
              <w:jc w:val="center"/>
              <w:rPr>
                <w:rFonts w:ascii="Times New Roman" w:hAnsi="Times New Roman" w:cs="Times New Roman"/>
                <w:sz w:val="18"/>
                <w:szCs w:val="18"/>
              </w:rPr>
            </w:pPr>
            <w:r w:rsidRPr="0085699D">
              <w:rPr>
                <w:rFonts w:ascii="Times New Roman" w:hAnsi="Times New Roman" w:cs="Times New Roman"/>
                <w:sz w:val="18"/>
                <w:szCs w:val="18"/>
              </w:rPr>
              <w:t>98.88 (16.4)</w:t>
            </w:r>
          </w:p>
        </w:tc>
        <w:tc>
          <w:tcPr>
            <w:tcW w:w="594" w:type="dxa"/>
            <w:vAlign w:val="center"/>
            <w:hideMark/>
          </w:tcPr>
          <w:p w14:paraId="307D7491" w14:textId="77777777" w:rsidR="00735421" w:rsidRPr="0085699D" w:rsidRDefault="00735421" w:rsidP="00871479">
            <w:pPr>
              <w:pStyle w:val="NoSpacing"/>
              <w:jc w:val="center"/>
              <w:rPr>
                <w:rFonts w:ascii="Times New Roman" w:hAnsi="Times New Roman" w:cs="Times New Roman"/>
                <w:sz w:val="18"/>
                <w:szCs w:val="18"/>
              </w:rPr>
            </w:pPr>
            <w:r w:rsidRPr="0085699D">
              <w:rPr>
                <w:rFonts w:ascii="Times New Roman" w:hAnsi="Times New Roman" w:cs="Times New Roman"/>
                <w:sz w:val="18"/>
                <w:szCs w:val="18"/>
              </w:rPr>
              <w:t>73.23 (12.1)</w:t>
            </w:r>
          </w:p>
        </w:tc>
        <w:tc>
          <w:tcPr>
            <w:tcW w:w="671" w:type="dxa"/>
            <w:vAlign w:val="center"/>
            <w:hideMark/>
          </w:tcPr>
          <w:p w14:paraId="57EDA7E2" w14:textId="77777777" w:rsidR="00735421" w:rsidRPr="0085699D" w:rsidRDefault="00735421" w:rsidP="00871479">
            <w:pPr>
              <w:pStyle w:val="NoSpacing"/>
              <w:jc w:val="center"/>
              <w:rPr>
                <w:rFonts w:ascii="Times New Roman" w:hAnsi="Times New Roman" w:cs="Times New Roman"/>
                <w:sz w:val="18"/>
                <w:szCs w:val="18"/>
              </w:rPr>
            </w:pPr>
            <w:r w:rsidRPr="0085699D">
              <w:rPr>
                <w:rFonts w:ascii="Times New Roman" w:hAnsi="Times New Roman" w:cs="Times New Roman"/>
                <w:sz w:val="18"/>
                <w:szCs w:val="18"/>
              </w:rPr>
              <w:t>319.29 (52.9)</w:t>
            </w:r>
          </w:p>
        </w:tc>
        <w:tc>
          <w:tcPr>
            <w:tcW w:w="988" w:type="dxa"/>
            <w:vAlign w:val="center"/>
            <w:hideMark/>
          </w:tcPr>
          <w:p w14:paraId="534E5CB8" w14:textId="77777777" w:rsidR="00735421" w:rsidRPr="0085699D" w:rsidRDefault="00735421" w:rsidP="00871479">
            <w:pPr>
              <w:pStyle w:val="NoSpacing"/>
              <w:jc w:val="center"/>
              <w:rPr>
                <w:rFonts w:ascii="Times New Roman" w:hAnsi="Times New Roman" w:cs="Times New Roman"/>
                <w:sz w:val="18"/>
                <w:szCs w:val="18"/>
              </w:rPr>
            </w:pPr>
            <w:r w:rsidRPr="0085699D">
              <w:rPr>
                <w:rFonts w:ascii="Times New Roman" w:hAnsi="Times New Roman" w:cs="Times New Roman"/>
                <w:sz w:val="18"/>
                <w:szCs w:val="18"/>
              </w:rPr>
              <w:t>23.88 (4.0)</w:t>
            </w:r>
          </w:p>
        </w:tc>
        <w:tc>
          <w:tcPr>
            <w:tcW w:w="758" w:type="dxa"/>
            <w:vAlign w:val="center"/>
            <w:hideMark/>
          </w:tcPr>
          <w:p w14:paraId="0047F3F6" w14:textId="77777777" w:rsidR="00735421" w:rsidRPr="0085699D" w:rsidRDefault="00735421" w:rsidP="00871479">
            <w:pPr>
              <w:pStyle w:val="NoSpacing"/>
              <w:jc w:val="center"/>
              <w:rPr>
                <w:rFonts w:ascii="Times New Roman" w:hAnsi="Times New Roman" w:cs="Times New Roman"/>
                <w:sz w:val="18"/>
                <w:szCs w:val="18"/>
              </w:rPr>
            </w:pPr>
            <w:r w:rsidRPr="0085699D">
              <w:rPr>
                <w:rFonts w:ascii="Times New Roman" w:hAnsi="Times New Roman" w:cs="Times New Roman"/>
                <w:sz w:val="18"/>
                <w:szCs w:val="18"/>
              </w:rPr>
              <w:t>83.82 (13.9)</w:t>
            </w:r>
          </w:p>
        </w:tc>
        <w:tc>
          <w:tcPr>
            <w:tcW w:w="947" w:type="dxa"/>
            <w:vAlign w:val="center"/>
            <w:hideMark/>
          </w:tcPr>
          <w:p w14:paraId="6366D42B" w14:textId="77777777" w:rsidR="00735421" w:rsidRPr="0085699D" w:rsidRDefault="00735421" w:rsidP="00871479">
            <w:pPr>
              <w:pStyle w:val="NoSpacing"/>
              <w:jc w:val="center"/>
              <w:rPr>
                <w:rFonts w:ascii="Times New Roman" w:hAnsi="Times New Roman" w:cs="Times New Roman"/>
                <w:sz w:val="18"/>
                <w:szCs w:val="18"/>
              </w:rPr>
            </w:pPr>
            <w:r w:rsidRPr="0085699D">
              <w:rPr>
                <w:rFonts w:ascii="Times New Roman" w:hAnsi="Times New Roman" w:cs="Times New Roman"/>
                <w:sz w:val="18"/>
                <w:szCs w:val="18"/>
              </w:rPr>
              <w:t>4.32 (0.7)</w:t>
            </w:r>
          </w:p>
        </w:tc>
        <w:tc>
          <w:tcPr>
            <w:tcW w:w="988" w:type="dxa"/>
            <w:vAlign w:val="center"/>
            <w:hideMark/>
          </w:tcPr>
          <w:p w14:paraId="7AE6717A" w14:textId="54D9C8AA" w:rsidR="00735421" w:rsidRPr="0085699D" w:rsidRDefault="00735421" w:rsidP="00871479">
            <w:pPr>
              <w:pStyle w:val="NoSpacing"/>
              <w:jc w:val="center"/>
              <w:rPr>
                <w:rFonts w:ascii="Times New Roman" w:hAnsi="Times New Roman" w:cs="Times New Roman"/>
                <w:sz w:val="18"/>
                <w:szCs w:val="18"/>
              </w:rPr>
            </w:pPr>
            <w:r w:rsidRPr="0085699D">
              <w:rPr>
                <w:rFonts w:ascii="Times New Roman" w:hAnsi="Times New Roman" w:cs="Times New Roman"/>
                <w:sz w:val="18"/>
                <w:szCs w:val="18"/>
              </w:rPr>
              <w:t>..</w:t>
            </w:r>
            <w:r>
              <w:rPr>
                <w:rFonts w:ascii="Times New Roman" w:hAnsi="Times New Roman" w:cs="Times New Roman"/>
                <w:sz w:val="18"/>
                <w:szCs w:val="18"/>
              </w:rPr>
              <w:br/>
              <w:t>(-)</w:t>
            </w:r>
          </w:p>
        </w:tc>
        <w:tc>
          <w:tcPr>
            <w:tcW w:w="900" w:type="dxa"/>
            <w:vAlign w:val="center"/>
            <w:hideMark/>
          </w:tcPr>
          <w:p w14:paraId="759C4735" w14:textId="77777777" w:rsidR="00735421" w:rsidRPr="0085699D" w:rsidRDefault="00735421" w:rsidP="00871479">
            <w:pPr>
              <w:pStyle w:val="NoSpacing"/>
              <w:jc w:val="center"/>
              <w:rPr>
                <w:rFonts w:ascii="Times New Roman" w:hAnsi="Times New Roman" w:cs="Times New Roman"/>
                <w:sz w:val="18"/>
                <w:szCs w:val="18"/>
              </w:rPr>
            </w:pPr>
            <w:r w:rsidRPr="0085699D">
              <w:rPr>
                <w:rFonts w:ascii="Times New Roman" w:hAnsi="Times New Roman" w:cs="Times New Roman"/>
                <w:sz w:val="18"/>
                <w:szCs w:val="18"/>
              </w:rPr>
              <w:t>12.43 (2.1)</w:t>
            </w:r>
          </w:p>
        </w:tc>
        <w:tc>
          <w:tcPr>
            <w:tcW w:w="851" w:type="dxa"/>
            <w:vAlign w:val="center"/>
            <w:hideMark/>
          </w:tcPr>
          <w:p w14:paraId="0764C00E" w14:textId="77777777" w:rsidR="00735421" w:rsidRPr="0085699D" w:rsidRDefault="00735421" w:rsidP="00871479">
            <w:pPr>
              <w:pStyle w:val="NoSpacing"/>
              <w:jc w:val="center"/>
              <w:rPr>
                <w:rFonts w:ascii="Times New Roman" w:hAnsi="Times New Roman" w:cs="Times New Roman"/>
                <w:sz w:val="18"/>
                <w:szCs w:val="18"/>
              </w:rPr>
            </w:pPr>
            <w:r w:rsidRPr="0085699D">
              <w:rPr>
                <w:rFonts w:ascii="Times New Roman" w:hAnsi="Times New Roman" w:cs="Times New Roman"/>
                <w:sz w:val="18"/>
                <w:szCs w:val="18"/>
              </w:rPr>
              <w:t>2.55 (0.4)</w:t>
            </w:r>
          </w:p>
        </w:tc>
        <w:tc>
          <w:tcPr>
            <w:tcW w:w="850" w:type="dxa"/>
            <w:vAlign w:val="center"/>
            <w:hideMark/>
          </w:tcPr>
          <w:p w14:paraId="3F28A00B" w14:textId="77777777" w:rsidR="00735421" w:rsidRPr="0085699D" w:rsidRDefault="00735421" w:rsidP="00871479">
            <w:pPr>
              <w:pStyle w:val="NoSpacing"/>
              <w:jc w:val="center"/>
              <w:rPr>
                <w:rFonts w:ascii="Times New Roman" w:hAnsi="Times New Roman" w:cs="Times New Roman"/>
                <w:sz w:val="18"/>
                <w:szCs w:val="18"/>
              </w:rPr>
            </w:pPr>
            <w:r w:rsidRPr="0085699D">
              <w:rPr>
                <w:rFonts w:ascii="Times New Roman" w:hAnsi="Times New Roman" w:cs="Times New Roman"/>
                <w:sz w:val="18"/>
                <w:szCs w:val="18"/>
              </w:rPr>
              <w:t>127.00 (21.1)</w:t>
            </w:r>
          </w:p>
        </w:tc>
        <w:tc>
          <w:tcPr>
            <w:tcW w:w="993" w:type="dxa"/>
            <w:vAlign w:val="center"/>
            <w:hideMark/>
          </w:tcPr>
          <w:p w14:paraId="1490A05D" w14:textId="77777777" w:rsidR="00735421" w:rsidRPr="0085699D" w:rsidRDefault="00735421" w:rsidP="00871479">
            <w:pPr>
              <w:pStyle w:val="NoSpacing"/>
              <w:jc w:val="center"/>
              <w:rPr>
                <w:rFonts w:ascii="Times New Roman" w:hAnsi="Times New Roman" w:cs="Times New Roman"/>
                <w:sz w:val="18"/>
                <w:szCs w:val="18"/>
              </w:rPr>
            </w:pPr>
            <w:r w:rsidRPr="0085699D">
              <w:rPr>
                <w:rFonts w:ascii="Times New Roman" w:hAnsi="Times New Roman" w:cs="Times New Roman"/>
                <w:sz w:val="18"/>
                <w:szCs w:val="18"/>
              </w:rPr>
              <w:t>602.68 (100.0)</w:t>
            </w:r>
          </w:p>
        </w:tc>
      </w:tr>
      <w:tr w:rsidR="00735421" w:rsidRPr="0085699D" w14:paraId="09F4043A" w14:textId="77777777" w:rsidTr="00871479">
        <w:trPr>
          <w:trHeight w:val="97"/>
        </w:trPr>
        <w:tc>
          <w:tcPr>
            <w:tcW w:w="993" w:type="dxa"/>
            <w:hideMark/>
          </w:tcPr>
          <w:p w14:paraId="33F9EF22" w14:textId="77777777" w:rsidR="00735421" w:rsidRPr="0085699D" w:rsidRDefault="00735421" w:rsidP="00735421">
            <w:pPr>
              <w:pStyle w:val="NoSpacing"/>
              <w:rPr>
                <w:rFonts w:ascii="Times New Roman" w:hAnsi="Times New Roman" w:cs="Times New Roman"/>
                <w:sz w:val="18"/>
                <w:szCs w:val="18"/>
              </w:rPr>
            </w:pPr>
            <w:r w:rsidRPr="0085699D">
              <w:rPr>
                <w:rFonts w:ascii="Times New Roman" w:hAnsi="Times New Roman" w:cs="Times New Roman"/>
                <w:sz w:val="18"/>
                <w:szCs w:val="18"/>
              </w:rPr>
              <w:t>Nagaland</w:t>
            </w:r>
          </w:p>
        </w:tc>
        <w:tc>
          <w:tcPr>
            <w:tcW w:w="992" w:type="dxa"/>
            <w:vAlign w:val="center"/>
            <w:hideMark/>
          </w:tcPr>
          <w:p w14:paraId="1657BC34" w14:textId="4144EEFE" w:rsidR="00735421" w:rsidRPr="0085699D" w:rsidRDefault="00735421" w:rsidP="00871479">
            <w:pPr>
              <w:pStyle w:val="NoSpacing"/>
              <w:jc w:val="center"/>
              <w:rPr>
                <w:rFonts w:ascii="Times New Roman" w:hAnsi="Times New Roman" w:cs="Times New Roman"/>
                <w:sz w:val="18"/>
                <w:szCs w:val="18"/>
              </w:rPr>
            </w:pPr>
            <w:r w:rsidRPr="0085699D">
              <w:rPr>
                <w:rFonts w:ascii="Times New Roman" w:hAnsi="Times New Roman" w:cs="Times New Roman"/>
                <w:sz w:val="18"/>
                <w:szCs w:val="18"/>
              </w:rPr>
              <w:t>..</w:t>
            </w:r>
            <w:r>
              <w:rPr>
                <w:rFonts w:ascii="Times New Roman" w:hAnsi="Times New Roman" w:cs="Times New Roman"/>
                <w:sz w:val="18"/>
                <w:szCs w:val="18"/>
              </w:rPr>
              <w:br/>
              <w:t>(-)</w:t>
            </w:r>
          </w:p>
        </w:tc>
        <w:tc>
          <w:tcPr>
            <w:tcW w:w="851" w:type="dxa"/>
            <w:vAlign w:val="center"/>
            <w:hideMark/>
          </w:tcPr>
          <w:p w14:paraId="3EDBC9FE" w14:textId="77777777" w:rsidR="00735421" w:rsidRPr="0085699D" w:rsidRDefault="00735421" w:rsidP="00871479">
            <w:pPr>
              <w:pStyle w:val="NoSpacing"/>
              <w:jc w:val="center"/>
              <w:rPr>
                <w:rFonts w:ascii="Times New Roman" w:hAnsi="Times New Roman" w:cs="Times New Roman"/>
                <w:sz w:val="18"/>
                <w:szCs w:val="18"/>
              </w:rPr>
            </w:pPr>
            <w:r w:rsidRPr="0085699D">
              <w:rPr>
                <w:rFonts w:ascii="Times New Roman" w:hAnsi="Times New Roman" w:cs="Times New Roman"/>
                <w:sz w:val="18"/>
                <w:szCs w:val="18"/>
              </w:rPr>
              <w:t>1.75 (6.9)</w:t>
            </w:r>
          </w:p>
        </w:tc>
        <w:tc>
          <w:tcPr>
            <w:tcW w:w="914" w:type="dxa"/>
            <w:vAlign w:val="center"/>
            <w:hideMark/>
          </w:tcPr>
          <w:p w14:paraId="10E0EA78" w14:textId="77777777" w:rsidR="00735421" w:rsidRPr="0085699D" w:rsidRDefault="00735421" w:rsidP="00871479">
            <w:pPr>
              <w:pStyle w:val="NoSpacing"/>
              <w:jc w:val="center"/>
              <w:rPr>
                <w:rFonts w:ascii="Times New Roman" w:hAnsi="Times New Roman" w:cs="Times New Roman"/>
                <w:sz w:val="18"/>
                <w:szCs w:val="18"/>
              </w:rPr>
            </w:pPr>
            <w:r w:rsidRPr="0085699D">
              <w:rPr>
                <w:rFonts w:ascii="Times New Roman" w:hAnsi="Times New Roman" w:cs="Times New Roman"/>
                <w:sz w:val="18"/>
                <w:szCs w:val="18"/>
              </w:rPr>
              <w:t>1.75 (6.9)</w:t>
            </w:r>
          </w:p>
        </w:tc>
        <w:tc>
          <w:tcPr>
            <w:tcW w:w="977" w:type="dxa"/>
            <w:vAlign w:val="center"/>
            <w:hideMark/>
          </w:tcPr>
          <w:p w14:paraId="1F8FC53A" w14:textId="59E4E5A6" w:rsidR="00735421" w:rsidRPr="0085699D" w:rsidRDefault="00735421" w:rsidP="00871479">
            <w:pPr>
              <w:pStyle w:val="NoSpacing"/>
              <w:jc w:val="center"/>
              <w:rPr>
                <w:rFonts w:ascii="Times New Roman" w:hAnsi="Times New Roman" w:cs="Times New Roman"/>
                <w:sz w:val="18"/>
                <w:szCs w:val="18"/>
              </w:rPr>
            </w:pPr>
            <w:r w:rsidRPr="0085699D">
              <w:rPr>
                <w:rFonts w:ascii="Times New Roman" w:hAnsi="Times New Roman" w:cs="Times New Roman"/>
                <w:sz w:val="18"/>
                <w:szCs w:val="18"/>
              </w:rPr>
              <w:t>..</w:t>
            </w:r>
            <w:r>
              <w:rPr>
                <w:rFonts w:ascii="Times New Roman" w:hAnsi="Times New Roman" w:cs="Times New Roman"/>
                <w:sz w:val="18"/>
                <w:szCs w:val="18"/>
              </w:rPr>
              <w:br/>
              <w:t>(-)</w:t>
            </w:r>
          </w:p>
        </w:tc>
        <w:tc>
          <w:tcPr>
            <w:tcW w:w="709" w:type="dxa"/>
            <w:vAlign w:val="center"/>
            <w:hideMark/>
          </w:tcPr>
          <w:p w14:paraId="698E0E6C" w14:textId="3127DC79" w:rsidR="00735421" w:rsidRPr="0085699D" w:rsidRDefault="00735421" w:rsidP="00871479">
            <w:pPr>
              <w:pStyle w:val="NoSpacing"/>
              <w:jc w:val="center"/>
              <w:rPr>
                <w:rFonts w:ascii="Times New Roman" w:hAnsi="Times New Roman" w:cs="Times New Roman"/>
                <w:sz w:val="18"/>
                <w:szCs w:val="18"/>
              </w:rPr>
            </w:pPr>
            <w:r w:rsidRPr="0085699D">
              <w:rPr>
                <w:rFonts w:ascii="Times New Roman" w:hAnsi="Times New Roman" w:cs="Times New Roman"/>
                <w:sz w:val="18"/>
                <w:szCs w:val="18"/>
              </w:rPr>
              <w:t>..</w:t>
            </w:r>
            <w:r>
              <w:rPr>
                <w:rFonts w:ascii="Times New Roman" w:hAnsi="Times New Roman" w:cs="Times New Roman"/>
                <w:sz w:val="18"/>
                <w:szCs w:val="18"/>
              </w:rPr>
              <w:br/>
              <w:t>(-)</w:t>
            </w:r>
          </w:p>
        </w:tc>
        <w:tc>
          <w:tcPr>
            <w:tcW w:w="767" w:type="dxa"/>
            <w:vAlign w:val="center"/>
            <w:hideMark/>
          </w:tcPr>
          <w:p w14:paraId="09CC2299" w14:textId="77777777" w:rsidR="00735421" w:rsidRPr="0085699D" w:rsidRDefault="00735421" w:rsidP="00871479">
            <w:pPr>
              <w:pStyle w:val="NoSpacing"/>
              <w:jc w:val="center"/>
              <w:rPr>
                <w:rFonts w:ascii="Times New Roman" w:hAnsi="Times New Roman" w:cs="Times New Roman"/>
                <w:sz w:val="18"/>
                <w:szCs w:val="18"/>
              </w:rPr>
            </w:pPr>
            <w:r w:rsidRPr="0085699D">
              <w:rPr>
                <w:rFonts w:ascii="Times New Roman" w:hAnsi="Times New Roman" w:cs="Times New Roman"/>
                <w:sz w:val="18"/>
                <w:szCs w:val="18"/>
              </w:rPr>
              <w:t>2.41 (9.5)</w:t>
            </w:r>
          </w:p>
        </w:tc>
        <w:tc>
          <w:tcPr>
            <w:tcW w:w="594" w:type="dxa"/>
            <w:vAlign w:val="center"/>
            <w:hideMark/>
          </w:tcPr>
          <w:p w14:paraId="7758077E" w14:textId="77777777" w:rsidR="00735421" w:rsidRPr="0085699D" w:rsidRDefault="00735421" w:rsidP="00871479">
            <w:pPr>
              <w:pStyle w:val="NoSpacing"/>
              <w:jc w:val="center"/>
              <w:rPr>
                <w:rFonts w:ascii="Times New Roman" w:hAnsi="Times New Roman" w:cs="Times New Roman"/>
                <w:sz w:val="18"/>
                <w:szCs w:val="18"/>
              </w:rPr>
            </w:pPr>
            <w:r w:rsidRPr="0085699D">
              <w:rPr>
                <w:rFonts w:ascii="Times New Roman" w:hAnsi="Times New Roman" w:cs="Times New Roman"/>
                <w:sz w:val="18"/>
                <w:szCs w:val="18"/>
              </w:rPr>
              <w:t>1.05 (4.2)</w:t>
            </w:r>
          </w:p>
        </w:tc>
        <w:tc>
          <w:tcPr>
            <w:tcW w:w="671" w:type="dxa"/>
            <w:vAlign w:val="center"/>
            <w:hideMark/>
          </w:tcPr>
          <w:p w14:paraId="07246AA8" w14:textId="77777777" w:rsidR="00735421" w:rsidRPr="0085699D" w:rsidRDefault="00735421" w:rsidP="00871479">
            <w:pPr>
              <w:pStyle w:val="NoSpacing"/>
              <w:jc w:val="center"/>
              <w:rPr>
                <w:rFonts w:ascii="Times New Roman" w:hAnsi="Times New Roman" w:cs="Times New Roman"/>
                <w:sz w:val="18"/>
                <w:szCs w:val="18"/>
              </w:rPr>
            </w:pPr>
            <w:r w:rsidRPr="0085699D">
              <w:rPr>
                <w:rFonts w:ascii="Times New Roman" w:hAnsi="Times New Roman" w:cs="Times New Roman"/>
                <w:sz w:val="18"/>
                <w:szCs w:val="18"/>
              </w:rPr>
              <w:t>3.46 (13.7)</w:t>
            </w:r>
          </w:p>
        </w:tc>
        <w:tc>
          <w:tcPr>
            <w:tcW w:w="988" w:type="dxa"/>
            <w:vAlign w:val="center"/>
            <w:hideMark/>
          </w:tcPr>
          <w:p w14:paraId="1B1C6881" w14:textId="0C18D603" w:rsidR="00735421" w:rsidRPr="0085699D" w:rsidRDefault="00735421" w:rsidP="00871479">
            <w:pPr>
              <w:pStyle w:val="NoSpacing"/>
              <w:jc w:val="center"/>
              <w:rPr>
                <w:rFonts w:ascii="Times New Roman" w:hAnsi="Times New Roman" w:cs="Times New Roman"/>
                <w:sz w:val="18"/>
                <w:szCs w:val="18"/>
              </w:rPr>
            </w:pPr>
            <w:r w:rsidRPr="0085699D">
              <w:rPr>
                <w:rFonts w:ascii="Times New Roman" w:hAnsi="Times New Roman" w:cs="Times New Roman"/>
                <w:sz w:val="18"/>
                <w:szCs w:val="18"/>
              </w:rPr>
              <w:t>..</w:t>
            </w:r>
            <w:r>
              <w:rPr>
                <w:rFonts w:ascii="Times New Roman" w:hAnsi="Times New Roman" w:cs="Times New Roman"/>
                <w:sz w:val="18"/>
                <w:szCs w:val="18"/>
              </w:rPr>
              <w:br/>
              <w:t>(-)</w:t>
            </w:r>
          </w:p>
        </w:tc>
        <w:tc>
          <w:tcPr>
            <w:tcW w:w="758" w:type="dxa"/>
            <w:vAlign w:val="center"/>
            <w:hideMark/>
          </w:tcPr>
          <w:p w14:paraId="2BE1DC8E" w14:textId="77777777" w:rsidR="00735421" w:rsidRPr="0085699D" w:rsidRDefault="00735421" w:rsidP="00871479">
            <w:pPr>
              <w:pStyle w:val="NoSpacing"/>
              <w:jc w:val="center"/>
              <w:rPr>
                <w:rFonts w:ascii="Times New Roman" w:hAnsi="Times New Roman" w:cs="Times New Roman"/>
                <w:sz w:val="18"/>
                <w:szCs w:val="18"/>
              </w:rPr>
            </w:pPr>
            <w:r w:rsidRPr="0085699D">
              <w:rPr>
                <w:rFonts w:ascii="Times New Roman" w:hAnsi="Times New Roman" w:cs="Times New Roman"/>
                <w:sz w:val="18"/>
                <w:szCs w:val="18"/>
              </w:rPr>
              <w:t>20.04 (79.4)</w:t>
            </w:r>
          </w:p>
        </w:tc>
        <w:tc>
          <w:tcPr>
            <w:tcW w:w="947" w:type="dxa"/>
            <w:vAlign w:val="center"/>
            <w:hideMark/>
          </w:tcPr>
          <w:p w14:paraId="12D6F633" w14:textId="26054879" w:rsidR="00735421" w:rsidRPr="0085699D" w:rsidRDefault="00735421" w:rsidP="00871479">
            <w:pPr>
              <w:pStyle w:val="NoSpacing"/>
              <w:jc w:val="center"/>
              <w:rPr>
                <w:rFonts w:ascii="Times New Roman" w:hAnsi="Times New Roman" w:cs="Times New Roman"/>
                <w:sz w:val="18"/>
                <w:szCs w:val="18"/>
              </w:rPr>
            </w:pPr>
            <w:r w:rsidRPr="0085699D">
              <w:rPr>
                <w:rFonts w:ascii="Times New Roman" w:hAnsi="Times New Roman" w:cs="Times New Roman"/>
                <w:sz w:val="18"/>
                <w:szCs w:val="18"/>
              </w:rPr>
              <w:t>..</w:t>
            </w:r>
            <w:r>
              <w:rPr>
                <w:rFonts w:ascii="Times New Roman" w:hAnsi="Times New Roman" w:cs="Times New Roman"/>
                <w:sz w:val="18"/>
                <w:szCs w:val="18"/>
              </w:rPr>
              <w:br/>
              <w:t>(-)</w:t>
            </w:r>
          </w:p>
        </w:tc>
        <w:tc>
          <w:tcPr>
            <w:tcW w:w="988" w:type="dxa"/>
            <w:vAlign w:val="center"/>
            <w:hideMark/>
          </w:tcPr>
          <w:p w14:paraId="5BAFC85C" w14:textId="023671C0" w:rsidR="00735421" w:rsidRPr="0085699D" w:rsidRDefault="00735421" w:rsidP="00871479">
            <w:pPr>
              <w:pStyle w:val="NoSpacing"/>
              <w:jc w:val="center"/>
              <w:rPr>
                <w:rFonts w:ascii="Times New Roman" w:hAnsi="Times New Roman" w:cs="Times New Roman"/>
                <w:sz w:val="18"/>
                <w:szCs w:val="18"/>
              </w:rPr>
            </w:pPr>
            <w:r w:rsidRPr="0085699D">
              <w:rPr>
                <w:rFonts w:ascii="Times New Roman" w:hAnsi="Times New Roman" w:cs="Times New Roman"/>
                <w:sz w:val="18"/>
                <w:szCs w:val="18"/>
              </w:rPr>
              <w:t>..</w:t>
            </w:r>
            <w:r>
              <w:rPr>
                <w:rFonts w:ascii="Times New Roman" w:hAnsi="Times New Roman" w:cs="Times New Roman"/>
                <w:sz w:val="18"/>
                <w:szCs w:val="18"/>
              </w:rPr>
              <w:br/>
              <w:t>(-)</w:t>
            </w:r>
          </w:p>
        </w:tc>
        <w:tc>
          <w:tcPr>
            <w:tcW w:w="900" w:type="dxa"/>
            <w:vAlign w:val="center"/>
            <w:hideMark/>
          </w:tcPr>
          <w:p w14:paraId="01A6565B" w14:textId="5C3A2869" w:rsidR="00735421" w:rsidRPr="0085699D" w:rsidRDefault="00735421" w:rsidP="00871479">
            <w:pPr>
              <w:pStyle w:val="NoSpacing"/>
              <w:jc w:val="center"/>
              <w:rPr>
                <w:rFonts w:ascii="Times New Roman" w:hAnsi="Times New Roman" w:cs="Times New Roman"/>
                <w:sz w:val="18"/>
                <w:szCs w:val="18"/>
              </w:rPr>
            </w:pPr>
            <w:r w:rsidRPr="0085699D">
              <w:rPr>
                <w:rFonts w:ascii="Times New Roman" w:hAnsi="Times New Roman" w:cs="Times New Roman"/>
                <w:sz w:val="18"/>
                <w:szCs w:val="18"/>
              </w:rPr>
              <w:t>..</w:t>
            </w:r>
            <w:r>
              <w:rPr>
                <w:rFonts w:ascii="Times New Roman" w:hAnsi="Times New Roman" w:cs="Times New Roman"/>
                <w:sz w:val="18"/>
                <w:szCs w:val="18"/>
              </w:rPr>
              <w:br/>
              <w:t>(-)</w:t>
            </w:r>
          </w:p>
        </w:tc>
        <w:tc>
          <w:tcPr>
            <w:tcW w:w="851" w:type="dxa"/>
            <w:vAlign w:val="center"/>
            <w:hideMark/>
          </w:tcPr>
          <w:p w14:paraId="654B87DF" w14:textId="654E4DEC" w:rsidR="00735421" w:rsidRPr="0085699D" w:rsidRDefault="00735421" w:rsidP="00871479">
            <w:pPr>
              <w:pStyle w:val="NoSpacing"/>
              <w:jc w:val="center"/>
              <w:rPr>
                <w:rFonts w:ascii="Times New Roman" w:hAnsi="Times New Roman" w:cs="Times New Roman"/>
                <w:sz w:val="18"/>
                <w:szCs w:val="18"/>
              </w:rPr>
            </w:pPr>
            <w:r w:rsidRPr="0085699D">
              <w:rPr>
                <w:rFonts w:ascii="Times New Roman" w:hAnsi="Times New Roman" w:cs="Times New Roman"/>
                <w:sz w:val="18"/>
                <w:szCs w:val="18"/>
              </w:rPr>
              <w:t>..</w:t>
            </w:r>
            <w:r>
              <w:rPr>
                <w:rFonts w:ascii="Times New Roman" w:hAnsi="Times New Roman" w:cs="Times New Roman"/>
                <w:sz w:val="18"/>
                <w:szCs w:val="18"/>
              </w:rPr>
              <w:br/>
              <w:t>(-)</w:t>
            </w:r>
          </w:p>
        </w:tc>
        <w:tc>
          <w:tcPr>
            <w:tcW w:w="850" w:type="dxa"/>
            <w:vAlign w:val="center"/>
            <w:hideMark/>
          </w:tcPr>
          <w:p w14:paraId="1DA8534D" w14:textId="77777777" w:rsidR="00735421" w:rsidRPr="0085699D" w:rsidRDefault="00735421" w:rsidP="00871479">
            <w:pPr>
              <w:pStyle w:val="NoSpacing"/>
              <w:jc w:val="center"/>
              <w:rPr>
                <w:rFonts w:ascii="Times New Roman" w:hAnsi="Times New Roman" w:cs="Times New Roman"/>
                <w:sz w:val="18"/>
                <w:szCs w:val="18"/>
              </w:rPr>
            </w:pPr>
            <w:r w:rsidRPr="0085699D">
              <w:rPr>
                <w:rFonts w:ascii="Times New Roman" w:hAnsi="Times New Roman" w:cs="Times New Roman"/>
                <w:sz w:val="18"/>
                <w:szCs w:val="18"/>
              </w:rPr>
              <w:t>20.04 (79.4)</w:t>
            </w:r>
          </w:p>
        </w:tc>
        <w:tc>
          <w:tcPr>
            <w:tcW w:w="993" w:type="dxa"/>
            <w:vAlign w:val="center"/>
            <w:hideMark/>
          </w:tcPr>
          <w:p w14:paraId="5D907561" w14:textId="77777777" w:rsidR="00735421" w:rsidRPr="0085699D" w:rsidRDefault="00735421" w:rsidP="00871479">
            <w:pPr>
              <w:pStyle w:val="NoSpacing"/>
              <w:jc w:val="center"/>
              <w:rPr>
                <w:rFonts w:ascii="Times New Roman" w:hAnsi="Times New Roman" w:cs="Times New Roman"/>
                <w:sz w:val="18"/>
                <w:szCs w:val="18"/>
              </w:rPr>
            </w:pPr>
            <w:r w:rsidRPr="0085699D">
              <w:rPr>
                <w:rFonts w:ascii="Times New Roman" w:hAnsi="Times New Roman" w:cs="Times New Roman"/>
                <w:sz w:val="18"/>
                <w:szCs w:val="18"/>
              </w:rPr>
              <w:t>25.25 (100.0)</w:t>
            </w:r>
          </w:p>
        </w:tc>
      </w:tr>
      <w:tr w:rsidR="00937698" w:rsidRPr="0085699D" w14:paraId="72D21DDA" w14:textId="77777777" w:rsidTr="00871479">
        <w:trPr>
          <w:trHeight w:val="97"/>
        </w:trPr>
        <w:tc>
          <w:tcPr>
            <w:tcW w:w="993" w:type="dxa"/>
            <w:hideMark/>
          </w:tcPr>
          <w:p w14:paraId="7152CD74" w14:textId="77777777" w:rsidR="00937698" w:rsidRPr="0085699D" w:rsidRDefault="00937698" w:rsidP="00B77C0B">
            <w:pPr>
              <w:pStyle w:val="NoSpacing"/>
              <w:rPr>
                <w:rFonts w:ascii="Times New Roman" w:hAnsi="Times New Roman" w:cs="Times New Roman"/>
                <w:sz w:val="18"/>
                <w:szCs w:val="18"/>
              </w:rPr>
            </w:pPr>
            <w:r w:rsidRPr="0085699D">
              <w:rPr>
                <w:rFonts w:ascii="Times New Roman" w:hAnsi="Times New Roman" w:cs="Times New Roman"/>
                <w:sz w:val="18"/>
                <w:szCs w:val="18"/>
              </w:rPr>
              <w:t>Orissa</w:t>
            </w:r>
          </w:p>
        </w:tc>
        <w:tc>
          <w:tcPr>
            <w:tcW w:w="992" w:type="dxa"/>
            <w:vAlign w:val="center"/>
            <w:hideMark/>
          </w:tcPr>
          <w:p w14:paraId="10A0D7AD" w14:textId="77777777" w:rsidR="00937698" w:rsidRPr="0085699D" w:rsidRDefault="00937698" w:rsidP="00871479">
            <w:pPr>
              <w:pStyle w:val="NoSpacing"/>
              <w:jc w:val="center"/>
              <w:rPr>
                <w:rFonts w:ascii="Times New Roman" w:hAnsi="Times New Roman" w:cs="Times New Roman"/>
                <w:sz w:val="18"/>
                <w:szCs w:val="18"/>
              </w:rPr>
            </w:pPr>
            <w:r w:rsidRPr="0085699D">
              <w:rPr>
                <w:rFonts w:ascii="Times New Roman" w:hAnsi="Times New Roman" w:cs="Times New Roman"/>
                <w:sz w:val="18"/>
                <w:szCs w:val="18"/>
              </w:rPr>
              <w:t>24.03 (5.8)</w:t>
            </w:r>
          </w:p>
        </w:tc>
        <w:tc>
          <w:tcPr>
            <w:tcW w:w="851" w:type="dxa"/>
            <w:vAlign w:val="center"/>
            <w:hideMark/>
          </w:tcPr>
          <w:p w14:paraId="057EB722" w14:textId="77777777" w:rsidR="00937698" w:rsidRPr="0085699D" w:rsidRDefault="00937698" w:rsidP="00871479">
            <w:pPr>
              <w:pStyle w:val="NoSpacing"/>
              <w:jc w:val="center"/>
              <w:rPr>
                <w:rFonts w:ascii="Times New Roman" w:hAnsi="Times New Roman" w:cs="Times New Roman"/>
                <w:sz w:val="18"/>
                <w:szCs w:val="18"/>
              </w:rPr>
            </w:pPr>
            <w:r w:rsidRPr="0085699D">
              <w:rPr>
                <w:rFonts w:ascii="Times New Roman" w:hAnsi="Times New Roman" w:cs="Times New Roman"/>
                <w:sz w:val="18"/>
                <w:szCs w:val="18"/>
              </w:rPr>
              <w:t>30.78 (7.4)</w:t>
            </w:r>
          </w:p>
        </w:tc>
        <w:tc>
          <w:tcPr>
            <w:tcW w:w="914" w:type="dxa"/>
            <w:vAlign w:val="center"/>
            <w:hideMark/>
          </w:tcPr>
          <w:p w14:paraId="69443810" w14:textId="77777777" w:rsidR="00937698" w:rsidRPr="0085699D" w:rsidRDefault="00937698" w:rsidP="00871479">
            <w:pPr>
              <w:pStyle w:val="NoSpacing"/>
              <w:jc w:val="center"/>
              <w:rPr>
                <w:rFonts w:ascii="Times New Roman" w:hAnsi="Times New Roman" w:cs="Times New Roman"/>
                <w:sz w:val="18"/>
                <w:szCs w:val="18"/>
              </w:rPr>
            </w:pPr>
            <w:r w:rsidRPr="0085699D">
              <w:rPr>
                <w:rFonts w:ascii="Times New Roman" w:hAnsi="Times New Roman" w:cs="Times New Roman"/>
                <w:sz w:val="18"/>
                <w:szCs w:val="18"/>
              </w:rPr>
              <w:t>54.81 (13.2)</w:t>
            </w:r>
          </w:p>
        </w:tc>
        <w:tc>
          <w:tcPr>
            <w:tcW w:w="977" w:type="dxa"/>
            <w:vAlign w:val="center"/>
            <w:hideMark/>
          </w:tcPr>
          <w:p w14:paraId="7927BE29" w14:textId="77777777" w:rsidR="00937698" w:rsidRPr="0085699D" w:rsidRDefault="00937698" w:rsidP="00871479">
            <w:pPr>
              <w:pStyle w:val="NoSpacing"/>
              <w:jc w:val="center"/>
              <w:rPr>
                <w:rFonts w:ascii="Times New Roman" w:hAnsi="Times New Roman" w:cs="Times New Roman"/>
                <w:sz w:val="18"/>
                <w:szCs w:val="18"/>
              </w:rPr>
            </w:pPr>
            <w:r w:rsidRPr="0085699D">
              <w:rPr>
                <w:rFonts w:ascii="Times New Roman" w:hAnsi="Times New Roman" w:cs="Times New Roman"/>
                <w:sz w:val="18"/>
                <w:szCs w:val="18"/>
              </w:rPr>
              <w:t>60.97 (14.6)</w:t>
            </w:r>
          </w:p>
        </w:tc>
        <w:tc>
          <w:tcPr>
            <w:tcW w:w="709" w:type="dxa"/>
            <w:vAlign w:val="center"/>
            <w:hideMark/>
          </w:tcPr>
          <w:p w14:paraId="04B730DF" w14:textId="77777777" w:rsidR="00937698" w:rsidRPr="0085699D" w:rsidRDefault="00937698" w:rsidP="00871479">
            <w:pPr>
              <w:pStyle w:val="NoSpacing"/>
              <w:jc w:val="center"/>
              <w:rPr>
                <w:rFonts w:ascii="Times New Roman" w:hAnsi="Times New Roman" w:cs="Times New Roman"/>
                <w:sz w:val="18"/>
                <w:szCs w:val="18"/>
              </w:rPr>
            </w:pPr>
            <w:r w:rsidRPr="0085699D">
              <w:rPr>
                <w:rFonts w:ascii="Times New Roman" w:hAnsi="Times New Roman" w:cs="Times New Roman"/>
                <w:sz w:val="18"/>
                <w:szCs w:val="18"/>
              </w:rPr>
              <w:t>111.94 (26.9)</w:t>
            </w:r>
          </w:p>
        </w:tc>
        <w:tc>
          <w:tcPr>
            <w:tcW w:w="767" w:type="dxa"/>
            <w:vAlign w:val="center"/>
            <w:hideMark/>
          </w:tcPr>
          <w:p w14:paraId="02DA85CD" w14:textId="77777777" w:rsidR="00937698" w:rsidRPr="0085699D" w:rsidRDefault="00937698" w:rsidP="00871479">
            <w:pPr>
              <w:pStyle w:val="NoSpacing"/>
              <w:jc w:val="center"/>
              <w:rPr>
                <w:rFonts w:ascii="Times New Roman" w:hAnsi="Times New Roman" w:cs="Times New Roman"/>
                <w:sz w:val="18"/>
                <w:szCs w:val="18"/>
              </w:rPr>
            </w:pPr>
            <w:r w:rsidRPr="0085699D">
              <w:rPr>
                <w:rFonts w:ascii="Times New Roman" w:hAnsi="Times New Roman" w:cs="Times New Roman"/>
                <w:sz w:val="18"/>
                <w:szCs w:val="18"/>
              </w:rPr>
              <w:t>34.65 (8.3)</w:t>
            </w:r>
          </w:p>
        </w:tc>
        <w:tc>
          <w:tcPr>
            <w:tcW w:w="594" w:type="dxa"/>
            <w:vAlign w:val="center"/>
            <w:hideMark/>
          </w:tcPr>
          <w:p w14:paraId="144BB216" w14:textId="77777777" w:rsidR="00937698" w:rsidRPr="0085699D" w:rsidRDefault="00937698" w:rsidP="00871479">
            <w:pPr>
              <w:pStyle w:val="NoSpacing"/>
              <w:jc w:val="center"/>
              <w:rPr>
                <w:rFonts w:ascii="Times New Roman" w:hAnsi="Times New Roman" w:cs="Times New Roman"/>
                <w:sz w:val="18"/>
                <w:szCs w:val="18"/>
              </w:rPr>
            </w:pPr>
            <w:r w:rsidRPr="0085699D">
              <w:rPr>
                <w:rFonts w:ascii="Times New Roman" w:hAnsi="Times New Roman" w:cs="Times New Roman"/>
                <w:sz w:val="18"/>
                <w:szCs w:val="18"/>
              </w:rPr>
              <w:t>32.41 (7.8)</w:t>
            </w:r>
          </w:p>
        </w:tc>
        <w:tc>
          <w:tcPr>
            <w:tcW w:w="671" w:type="dxa"/>
            <w:vAlign w:val="center"/>
            <w:hideMark/>
          </w:tcPr>
          <w:p w14:paraId="36FBBAB4" w14:textId="77777777" w:rsidR="00937698" w:rsidRPr="0085699D" w:rsidRDefault="00937698" w:rsidP="00871479">
            <w:pPr>
              <w:pStyle w:val="NoSpacing"/>
              <w:jc w:val="center"/>
              <w:rPr>
                <w:rFonts w:ascii="Times New Roman" w:hAnsi="Times New Roman" w:cs="Times New Roman"/>
                <w:sz w:val="18"/>
                <w:szCs w:val="18"/>
              </w:rPr>
            </w:pPr>
            <w:r w:rsidRPr="0085699D">
              <w:rPr>
                <w:rFonts w:ascii="Times New Roman" w:hAnsi="Times New Roman" w:cs="Times New Roman"/>
                <w:sz w:val="18"/>
                <w:szCs w:val="18"/>
              </w:rPr>
              <w:t>239.97 (57.6)</w:t>
            </w:r>
          </w:p>
        </w:tc>
        <w:tc>
          <w:tcPr>
            <w:tcW w:w="988" w:type="dxa"/>
            <w:vAlign w:val="center"/>
            <w:hideMark/>
          </w:tcPr>
          <w:p w14:paraId="72366B85" w14:textId="77777777" w:rsidR="00937698" w:rsidRPr="0085699D" w:rsidRDefault="00937698" w:rsidP="00871479">
            <w:pPr>
              <w:pStyle w:val="NoSpacing"/>
              <w:jc w:val="center"/>
              <w:rPr>
                <w:rFonts w:ascii="Times New Roman" w:hAnsi="Times New Roman" w:cs="Times New Roman"/>
                <w:sz w:val="18"/>
                <w:szCs w:val="18"/>
              </w:rPr>
            </w:pPr>
            <w:r w:rsidRPr="0085699D">
              <w:rPr>
                <w:rFonts w:ascii="Times New Roman" w:hAnsi="Times New Roman" w:cs="Times New Roman"/>
                <w:sz w:val="18"/>
                <w:szCs w:val="18"/>
              </w:rPr>
              <w:t>7.89 (1.9)</w:t>
            </w:r>
          </w:p>
        </w:tc>
        <w:tc>
          <w:tcPr>
            <w:tcW w:w="758" w:type="dxa"/>
            <w:vAlign w:val="center"/>
            <w:hideMark/>
          </w:tcPr>
          <w:p w14:paraId="2CC7CF3E" w14:textId="77777777" w:rsidR="00937698" w:rsidRPr="0085699D" w:rsidRDefault="00937698" w:rsidP="00871479">
            <w:pPr>
              <w:pStyle w:val="NoSpacing"/>
              <w:jc w:val="center"/>
              <w:rPr>
                <w:rFonts w:ascii="Times New Roman" w:hAnsi="Times New Roman" w:cs="Times New Roman"/>
                <w:sz w:val="18"/>
                <w:szCs w:val="18"/>
              </w:rPr>
            </w:pPr>
            <w:r w:rsidRPr="0085699D">
              <w:rPr>
                <w:rFonts w:ascii="Times New Roman" w:hAnsi="Times New Roman" w:cs="Times New Roman"/>
                <w:sz w:val="18"/>
                <w:szCs w:val="18"/>
              </w:rPr>
              <w:t>75.25 (18.0)</w:t>
            </w:r>
          </w:p>
        </w:tc>
        <w:tc>
          <w:tcPr>
            <w:tcW w:w="947" w:type="dxa"/>
            <w:vAlign w:val="center"/>
            <w:hideMark/>
          </w:tcPr>
          <w:p w14:paraId="0866562B" w14:textId="77777777" w:rsidR="00937698" w:rsidRPr="0085699D" w:rsidRDefault="00937698" w:rsidP="00871479">
            <w:pPr>
              <w:pStyle w:val="NoSpacing"/>
              <w:jc w:val="center"/>
              <w:rPr>
                <w:rFonts w:ascii="Times New Roman" w:hAnsi="Times New Roman" w:cs="Times New Roman"/>
                <w:sz w:val="18"/>
                <w:szCs w:val="18"/>
              </w:rPr>
            </w:pPr>
            <w:r w:rsidRPr="0085699D">
              <w:rPr>
                <w:rFonts w:ascii="Times New Roman" w:hAnsi="Times New Roman" w:cs="Times New Roman"/>
                <w:sz w:val="18"/>
                <w:szCs w:val="18"/>
              </w:rPr>
              <w:t>0.40 (0.1)</w:t>
            </w:r>
          </w:p>
        </w:tc>
        <w:tc>
          <w:tcPr>
            <w:tcW w:w="988" w:type="dxa"/>
            <w:vAlign w:val="center"/>
            <w:hideMark/>
          </w:tcPr>
          <w:p w14:paraId="59045E86" w14:textId="77777777" w:rsidR="00937698" w:rsidRPr="0085699D" w:rsidRDefault="00937698" w:rsidP="00871479">
            <w:pPr>
              <w:pStyle w:val="NoSpacing"/>
              <w:jc w:val="center"/>
              <w:rPr>
                <w:rFonts w:ascii="Times New Roman" w:hAnsi="Times New Roman" w:cs="Times New Roman"/>
                <w:sz w:val="18"/>
                <w:szCs w:val="18"/>
              </w:rPr>
            </w:pPr>
            <w:r w:rsidRPr="0085699D">
              <w:rPr>
                <w:rFonts w:ascii="Times New Roman" w:hAnsi="Times New Roman" w:cs="Times New Roman"/>
                <w:sz w:val="18"/>
                <w:szCs w:val="18"/>
              </w:rPr>
              <w:t>15.06 (3.6)</w:t>
            </w:r>
          </w:p>
        </w:tc>
        <w:tc>
          <w:tcPr>
            <w:tcW w:w="900" w:type="dxa"/>
            <w:vAlign w:val="center"/>
            <w:hideMark/>
          </w:tcPr>
          <w:p w14:paraId="17AB2FA5" w14:textId="77777777" w:rsidR="00937698" w:rsidRPr="0085699D" w:rsidRDefault="00937698" w:rsidP="00871479">
            <w:pPr>
              <w:pStyle w:val="NoSpacing"/>
              <w:jc w:val="center"/>
              <w:rPr>
                <w:rFonts w:ascii="Times New Roman" w:hAnsi="Times New Roman" w:cs="Times New Roman"/>
                <w:sz w:val="18"/>
                <w:szCs w:val="18"/>
              </w:rPr>
            </w:pPr>
            <w:r w:rsidRPr="0085699D">
              <w:rPr>
                <w:rFonts w:ascii="Times New Roman" w:hAnsi="Times New Roman" w:cs="Times New Roman"/>
                <w:sz w:val="18"/>
                <w:szCs w:val="18"/>
              </w:rPr>
              <w:t>4.06 (1.0)</w:t>
            </w:r>
          </w:p>
        </w:tc>
        <w:tc>
          <w:tcPr>
            <w:tcW w:w="851" w:type="dxa"/>
            <w:vAlign w:val="center"/>
            <w:hideMark/>
          </w:tcPr>
          <w:p w14:paraId="1D4F952D" w14:textId="77777777" w:rsidR="00937698" w:rsidRPr="0085699D" w:rsidRDefault="00937698" w:rsidP="00871479">
            <w:pPr>
              <w:pStyle w:val="NoSpacing"/>
              <w:jc w:val="center"/>
              <w:rPr>
                <w:rFonts w:ascii="Times New Roman" w:hAnsi="Times New Roman" w:cs="Times New Roman"/>
                <w:sz w:val="18"/>
                <w:szCs w:val="18"/>
              </w:rPr>
            </w:pPr>
            <w:r w:rsidRPr="0085699D">
              <w:rPr>
                <w:rFonts w:ascii="Times New Roman" w:hAnsi="Times New Roman" w:cs="Times New Roman"/>
                <w:sz w:val="18"/>
                <w:szCs w:val="18"/>
              </w:rPr>
              <w:t>18.99 (4.6)</w:t>
            </w:r>
          </w:p>
        </w:tc>
        <w:tc>
          <w:tcPr>
            <w:tcW w:w="850" w:type="dxa"/>
            <w:vAlign w:val="center"/>
            <w:hideMark/>
          </w:tcPr>
          <w:p w14:paraId="111A96B9" w14:textId="77777777" w:rsidR="00937698" w:rsidRPr="0085699D" w:rsidRDefault="00937698" w:rsidP="00871479">
            <w:pPr>
              <w:pStyle w:val="NoSpacing"/>
              <w:jc w:val="center"/>
              <w:rPr>
                <w:rFonts w:ascii="Times New Roman" w:hAnsi="Times New Roman" w:cs="Times New Roman"/>
                <w:sz w:val="18"/>
                <w:szCs w:val="18"/>
              </w:rPr>
            </w:pPr>
            <w:r w:rsidRPr="0085699D">
              <w:rPr>
                <w:rFonts w:ascii="Times New Roman" w:hAnsi="Times New Roman" w:cs="Times New Roman"/>
                <w:sz w:val="18"/>
                <w:szCs w:val="18"/>
              </w:rPr>
              <w:t>121.65 (29.2)</w:t>
            </w:r>
          </w:p>
        </w:tc>
        <w:tc>
          <w:tcPr>
            <w:tcW w:w="993" w:type="dxa"/>
            <w:vAlign w:val="center"/>
            <w:hideMark/>
          </w:tcPr>
          <w:p w14:paraId="4414F399" w14:textId="77777777" w:rsidR="00937698" w:rsidRPr="0085699D" w:rsidRDefault="00937698" w:rsidP="00871479">
            <w:pPr>
              <w:pStyle w:val="NoSpacing"/>
              <w:jc w:val="center"/>
              <w:rPr>
                <w:rFonts w:ascii="Times New Roman" w:hAnsi="Times New Roman" w:cs="Times New Roman"/>
                <w:sz w:val="18"/>
                <w:szCs w:val="18"/>
              </w:rPr>
            </w:pPr>
            <w:r w:rsidRPr="0085699D">
              <w:rPr>
                <w:rFonts w:ascii="Times New Roman" w:hAnsi="Times New Roman" w:cs="Times New Roman"/>
                <w:sz w:val="18"/>
                <w:szCs w:val="18"/>
              </w:rPr>
              <w:t>416.43 (100.0)</w:t>
            </w:r>
          </w:p>
        </w:tc>
      </w:tr>
      <w:tr w:rsidR="00735421" w:rsidRPr="0085699D" w14:paraId="5047D195" w14:textId="77777777" w:rsidTr="00871479">
        <w:trPr>
          <w:trHeight w:val="97"/>
        </w:trPr>
        <w:tc>
          <w:tcPr>
            <w:tcW w:w="993" w:type="dxa"/>
            <w:hideMark/>
          </w:tcPr>
          <w:p w14:paraId="01D03C45" w14:textId="77777777" w:rsidR="00735421" w:rsidRPr="0085699D" w:rsidRDefault="00735421" w:rsidP="00735421">
            <w:pPr>
              <w:pStyle w:val="NoSpacing"/>
              <w:rPr>
                <w:rFonts w:ascii="Times New Roman" w:hAnsi="Times New Roman" w:cs="Times New Roman"/>
                <w:sz w:val="18"/>
                <w:szCs w:val="18"/>
              </w:rPr>
            </w:pPr>
            <w:r w:rsidRPr="0085699D">
              <w:rPr>
                <w:rFonts w:ascii="Times New Roman" w:hAnsi="Times New Roman" w:cs="Times New Roman"/>
                <w:sz w:val="18"/>
                <w:szCs w:val="18"/>
              </w:rPr>
              <w:t>Punjab</w:t>
            </w:r>
          </w:p>
        </w:tc>
        <w:tc>
          <w:tcPr>
            <w:tcW w:w="992" w:type="dxa"/>
            <w:vAlign w:val="center"/>
            <w:hideMark/>
          </w:tcPr>
          <w:p w14:paraId="2CA4D126" w14:textId="77777777" w:rsidR="00735421" w:rsidRPr="0085699D" w:rsidRDefault="00735421" w:rsidP="00871479">
            <w:pPr>
              <w:pStyle w:val="NoSpacing"/>
              <w:jc w:val="center"/>
              <w:rPr>
                <w:rFonts w:ascii="Times New Roman" w:hAnsi="Times New Roman" w:cs="Times New Roman"/>
                <w:sz w:val="18"/>
                <w:szCs w:val="18"/>
              </w:rPr>
            </w:pPr>
            <w:r w:rsidRPr="0085699D">
              <w:rPr>
                <w:rFonts w:ascii="Times New Roman" w:hAnsi="Times New Roman" w:cs="Times New Roman"/>
                <w:sz w:val="18"/>
                <w:szCs w:val="18"/>
              </w:rPr>
              <w:t>219.55 (36.9)</w:t>
            </w:r>
          </w:p>
        </w:tc>
        <w:tc>
          <w:tcPr>
            <w:tcW w:w="851" w:type="dxa"/>
            <w:vAlign w:val="center"/>
            <w:hideMark/>
          </w:tcPr>
          <w:p w14:paraId="49F86D7B" w14:textId="77777777" w:rsidR="00735421" w:rsidRPr="0085699D" w:rsidRDefault="00735421" w:rsidP="00871479">
            <w:pPr>
              <w:pStyle w:val="NoSpacing"/>
              <w:jc w:val="center"/>
              <w:rPr>
                <w:rFonts w:ascii="Times New Roman" w:hAnsi="Times New Roman" w:cs="Times New Roman"/>
                <w:sz w:val="18"/>
                <w:szCs w:val="18"/>
              </w:rPr>
            </w:pPr>
            <w:r w:rsidRPr="0085699D">
              <w:rPr>
                <w:rFonts w:ascii="Times New Roman" w:hAnsi="Times New Roman" w:cs="Times New Roman"/>
                <w:sz w:val="18"/>
                <w:szCs w:val="18"/>
              </w:rPr>
              <w:t>47.95 (8.0)</w:t>
            </w:r>
          </w:p>
        </w:tc>
        <w:tc>
          <w:tcPr>
            <w:tcW w:w="914" w:type="dxa"/>
            <w:vAlign w:val="center"/>
            <w:hideMark/>
          </w:tcPr>
          <w:p w14:paraId="5A8CEDE2" w14:textId="77777777" w:rsidR="00735421" w:rsidRPr="0085699D" w:rsidRDefault="00735421" w:rsidP="00871479">
            <w:pPr>
              <w:pStyle w:val="NoSpacing"/>
              <w:jc w:val="center"/>
              <w:rPr>
                <w:rFonts w:ascii="Times New Roman" w:hAnsi="Times New Roman" w:cs="Times New Roman"/>
                <w:sz w:val="18"/>
                <w:szCs w:val="18"/>
              </w:rPr>
            </w:pPr>
            <w:r w:rsidRPr="0085699D">
              <w:rPr>
                <w:rFonts w:ascii="Times New Roman" w:hAnsi="Times New Roman" w:cs="Times New Roman"/>
                <w:sz w:val="18"/>
                <w:szCs w:val="18"/>
              </w:rPr>
              <w:t>267.50 (44.9)</w:t>
            </w:r>
          </w:p>
        </w:tc>
        <w:tc>
          <w:tcPr>
            <w:tcW w:w="977" w:type="dxa"/>
            <w:vAlign w:val="center"/>
            <w:hideMark/>
          </w:tcPr>
          <w:p w14:paraId="6B8EEE03" w14:textId="77777777" w:rsidR="00735421" w:rsidRPr="0085699D" w:rsidRDefault="00735421" w:rsidP="00871479">
            <w:pPr>
              <w:pStyle w:val="NoSpacing"/>
              <w:jc w:val="center"/>
              <w:rPr>
                <w:rFonts w:ascii="Times New Roman" w:hAnsi="Times New Roman" w:cs="Times New Roman"/>
                <w:sz w:val="18"/>
                <w:szCs w:val="18"/>
              </w:rPr>
            </w:pPr>
            <w:r w:rsidRPr="0085699D">
              <w:rPr>
                <w:rFonts w:ascii="Times New Roman" w:hAnsi="Times New Roman" w:cs="Times New Roman"/>
                <w:sz w:val="18"/>
                <w:szCs w:val="18"/>
              </w:rPr>
              <w:t>75.49 (12.7)</w:t>
            </w:r>
          </w:p>
        </w:tc>
        <w:tc>
          <w:tcPr>
            <w:tcW w:w="709" w:type="dxa"/>
            <w:vAlign w:val="center"/>
            <w:hideMark/>
          </w:tcPr>
          <w:p w14:paraId="654DCD0B" w14:textId="77777777" w:rsidR="00735421" w:rsidRPr="0085699D" w:rsidRDefault="00735421" w:rsidP="00871479">
            <w:pPr>
              <w:pStyle w:val="NoSpacing"/>
              <w:jc w:val="center"/>
              <w:rPr>
                <w:rFonts w:ascii="Times New Roman" w:hAnsi="Times New Roman" w:cs="Times New Roman"/>
                <w:sz w:val="18"/>
                <w:szCs w:val="18"/>
              </w:rPr>
            </w:pPr>
            <w:r w:rsidRPr="0085699D">
              <w:rPr>
                <w:rFonts w:ascii="Times New Roman" w:hAnsi="Times New Roman" w:cs="Times New Roman"/>
                <w:sz w:val="18"/>
                <w:szCs w:val="18"/>
              </w:rPr>
              <w:t>151.31 (25.4)</w:t>
            </w:r>
          </w:p>
        </w:tc>
        <w:tc>
          <w:tcPr>
            <w:tcW w:w="767" w:type="dxa"/>
            <w:vAlign w:val="center"/>
            <w:hideMark/>
          </w:tcPr>
          <w:p w14:paraId="74C004D2" w14:textId="74B462E6" w:rsidR="00735421" w:rsidRPr="0085699D" w:rsidRDefault="00735421" w:rsidP="00871479">
            <w:pPr>
              <w:pStyle w:val="NoSpacing"/>
              <w:jc w:val="center"/>
              <w:rPr>
                <w:rFonts w:ascii="Times New Roman" w:hAnsi="Times New Roman" w:cs="Times New Roman"/>
                <w:sz w:val="18"/>
                <w:szCs w:val="18"/>
              </w:rPr>
            </w:pPr>
            <w:r w:rsidRPr="0085699D">
              <w:rPr>
                <w:rFonts w:ascii="Times New Roman" w:hAnsi="Times New Roman" w:cs="Times New Roman"/>
                <w:sz w:val="18"/>
                <w:szCs w:val="18"/>
              </w:rPr>
              <w:t>..</w:t>
            </w:r>
            <w:r>
              <w:rPr>
                <w:rFonts w:ascii="Times New Roman" w:hAnsi="Times New Roman" w:cs="Times New Roman"/>
                <w:sz w:val="18"/>
                <w:szCs w:val="18"/>
              </w:rPr>
              <w:br/>
              <w:t>(-)</w:t>
            </w:r>
          </w:p>
        </w:tc>
        <w:tc>
          <w:tcPr>
            <w:tcW w:w="594" w:type="dxa"/>
            <w:vAlign w:val="center"/>
            <w:hideMark/>
          </w:tcPr>
          <w:p w14:paraId="0585E6BA" w14:textId="77777777" w:rsidR="00735421" w:rsidRPr="0085699D" w:rsidRDefault="00735421" w:rsidP="00871479">
            <w:pPr>
              <w:pStyle w:val="NoSpacing"/>
              <w:jc w:val="center"/>
              <w:rPr>
                <w:rFonts w:ascii="Times New Roman" w:hAnsi="Times New Roman" w:cs="Times New Roman"/>
                <w:sz w:val="18"/>
                <w:szCs w:val="18"/>
              </w:rPr>
            </w:pPr>
            <w:r w:rsidRPr="0085699D">
              <w:rPr>
                <w:rFonts w:ascii="Times New Roman" w:hAnsi="Times New Roman" w:cs="Times New Roman"/>
                <w:sz w:val="18"/>
                <w:szCs w:val="18"/>
              </w:rPr>
              <w:t>23.82 (4.0)</w:t>
            </w:r>
          </w:p>
        </w:tc>
        <w:tc>
          <w:tcPr>
            <w:tcW w:w="671" w:type="dxa"/>
            <w:vAlign w:val="center"/>
            <w:hideMark/>
          </w:tcPr>
          <w:p w14:paraId="7CF1198D" w14:textId="77777777" w:rsidR="00735421" w:rsidRPr="0085699D" w:rsidRDefault="00735421" w:rsidP="00871479">
            <w:pPr>
              <w:pStyle w:val="NoSpacing"/>
              <w:jc w:val="center"/>
              <w:rPr>
                <w:rFonts w:ascii="Times New Roman" w:hAnsi="Times New Roman" w:cs="Times New Roman"/>
                <w:sz w:val="18"/>
                <w:szCs w:val="18"/>
              </w:rPr>
            </w:pPr>
            <w:r w:rsidRPr="0085699D">
              <w:rPr>
                <w:rFonts w:ascii="Times New Roman" w:hAnsi="Times New Roman" w:cs="Times New Roman"/>
                <w:sz w:val="18"/>
                <w:szCs w:val="18"/>
              </w:rPr>
              <w:t>250.62 (42.1)</w:t>
            </w:r>
          </w:p>
        </w:tc>
        <w:tc>
          <w:tcPr>
            <w:tcW w:w="988" w:type="dxa"/>
            <w:vAlign w:val="center"/>
            <w:hideMark/>
          </w:tcPr>
          <w:p w14:paraId="486E27F7" w14:textId="70238776" w:rsidR="00735421" w:rsidRPr="0085699D" w:rsidRDefault="00735421" w:rsidP="00871479">
            <w:pPr>
              <w:pStyle w:val="NoSpacing"/>
              <w:jc w:val="center"/>
              <w:rPr>
                <w:rFonts w:ascii="Times New Roman" w:hAnsi="Times New Roman" w:cs="Times New Roman"/>
                <w:sz w:val="18"/>
                <w:szCs w:val="18"/>
              </w:rPr>
            </w:pPr>
            <w:r w:rsidRPr="0085699D">
              <w:rPr>
                <w:rFonts w:ascii="Times New Roman" w:hAnsi="Times New Roman" w:cs="Times New Roman"/>
                <w:sz w:val="18"/>
                <w:szCs w:val="18"/>
              </w:rPr>
              <w:t>0.22 (</w:t>
            </w:r>
            <w:r>
              <w:rPr>
                <w:rFonts w:ascii="Times New Roman" w:hAnsi="Times New Roman" w:cs="Times New Roman"/>
                <w:sz w:val="18"/>
                <w:szCs w:val="18"/>
              </w:rPr>
              <w:t>-</w:t>
            </w:r>
            <w:r w:rsidRPr="0085699D">
              <w:rPr>
                <w:rFonts w:ascii="Times New Roman" w:hAnsi="Times New Roman" w:cs="Times New Roman"/>
                <w:sz w:val="18"/>
                <w:szCs w:val="18"/>
              </w:rPr>
              <w:t>)</w:t>
            </w:r>
          </w:p>
        </w:tc>
        <w:tc>
          <w:tcPr>
            <w:tcW w:w="758" w:type="dxa"/>
            <w:vAlign w:val="center"/>
            <w:hideMark/>
          </w:tcPr>
          <w:p w14:paraId="44FFFE61" w14:textId="77777777" w:rsidR="00735421" w:rsidRPr="0085699D" w:rsidRDefault="00735421" w:rsidP="00871479">
            <w:pPr>
              <w:pStyle w:val="NoSpacing"/>
              <w:jc w:val="center"/>
              <w:rPr>
                <w:rFonts w:ascii="Times New Roman" w:hAnsi="Times New Roman" w:cs="Times New Roman"/>
                <w:sz w:val="18"/>
                <w:szCs w:val="18"/>
              </w:rPr>
            </w:pPr>
            <w:r w:rsidRPr="0085699D">
              <w:rPr>
                <w:rFonts w:ascii="Times New Roman" w:hAnsi="Times New Roman" w:cs="Times New Roman"/>
                <w:sz w:val="18"/>
                <w:szCs w:val="18"/>
              </w:rPr>
              <w:t>72.94 (12.3)</w:t>
            </w:r>
          </w:p>
        </w:tc>
        <w:tc>
          <w:tcPr>
            <w:tcW w:w="947" w:type="dxa"/>
            <w:vAlign w:val="center"/>
            <w:hideMark/>
          </w:tcPr>
          <w:p w14:paraId="2BCEAC4D" w14:textId="55A0112A" w:rsidR="00735421" w:rsidRPr="0085699D" w:rsidRDefault="00735421" w:rsidP="00871479">
            <w:pPr>
              <w:pStyle w:val="NoSpacing"/>
              <w:jc w:val="center"/>
              <w:rPr>
                <w:rFonts w:ascii="Times New Roman" w:hAnsi="Times New Roman" w:cs="Times New Roman"/>
                <w:sz w:val="18"/>
                <w:szCs w:val="18"/>
              </w:rPr>
            </w:pPr>
            <w:r w:rsidRPr="0085699D">
              <w:rPr>
                <w:rFonts w:ascii="Times New Roman" w:hAnsi="Times New Roman" w:cs="Times New Roman"/>
                <w:sz w:val="18"/>
                <w:szCs w:val="18"/>
              </w:rPr>
              <w:t>..</w:t>
            </w:r>
            <w:r>
              <w:rPr>
                <w:rFonts w:ascii="Times New Roman" w:hAnsi="Times New Roman" w:cs="Times New Roman"/>
                <w:sz w:val="18"/>
                <w:szCs w:val="18"/>
              </w:rPr>
              <w:br/>
              <w:t>(-)</w:t>
            </w:r>
          </w:p>
        </w:tc>
        <w:tc>
          <w:tcPr>
            <w:tcW w:w="988" w:type="dxa"/>
            <w:vAlign w:val="center"/>
            <w:hideMark/>
          </w:tcPr>
          <w:p w14:paraId="32B4D061" w14:textId="77777777" w:rsidR="00735421" w:rsidRPr="0085699D" w:rsidRDefault="00735421" w:rsidP="00871479">
            <w:pPr>
              <w:pStyle w:val="NoSpacing"/>
              <w:jc w:val="center"/>
              <w:rPr>
                <w:rFonts w:ascii="Times New Roman" w:hAnsi="Times New Roman" w:cs="Times New Roman"/>
                <w:sz w:val="18"/>
                <w:szCs w:val="18"/>
              </w:rPr>
            </w:pPr>
            <w:r w:rsidRPr="0085699D">
              <w:rPr>
                <w:rFonts w:ascii="Times New Roman" w:hAnsi="Times New Roman" w:cs="Times New Roman"/>
                <w:sz w:val="18"/>
                <w:szCs w:val="18"/>
              </w:rPr>
              <w:t>3.76 (0.6)</w:t>
            </w:r>
          </w:p>
        </w:tc>
        <w:tc>
          <w:tcPr>
            <w:tcW w:w="900" w:type="dxa"/>
            <w:vAlign w:val="center"/>
            <w:hideMark/>
          </w:tcPr>
          <w:p w14:paraId="5DAADAE0" w14:textId="7BFED557" w:rsidR="00735421" w:rsidRPr="0085699D" w:rsidRDefault="00735421" w:rsidP="00871479">
            <w:pPr>
              <w:pStyle w:val="NoSpacing"/>
              <w:jc w:val="center"/>
              <w:rPr>
                <w:rFonts w:ascii="Times New Roman" w:hAnsi="Times New Roman" w:cs="Times New Roman"/>
                <w:sz w:val="18"/>
                <w:szCs w:val="18"/>
              </w:rPr>
            </w:pPr>
            <w:r w:rsidRPr="0085699D">
              <w:rPr>
                <w:rFonts w:ascii="Times New Roman" w:hAnsi="Times New Roman" w:cs="Times New Roman"/>
                <w:sz w:val="18"/>
                <w:szCs w:val="18"/>
              </w:rPr>
              <w:t>..</w:t>
            </w:r>
            <w:r>
              <w:rPr>
                <w:rFonts w:ascii="Times New Roman" w:hAnsi="Times New Roman" w:cs="Times New Roman"/>
                <w:sz w:val="18"/>
                <w:szCs w:val="18"/>
              </w:rPr>
              <w:br/>
              <w:t>(-)</w:t>
            </w:r>
          </w:p>
        </w:tc>
        <w:tc>
          <w:tcPr>
            <w:tcW w:w="851" w:type="dxa"/>
            <w:vAlign w:val="center"/>
            <w:hideMark/>
          </w:tcPr>
          <w:p w14:paraId="7E9BA1B5" w14:textId="77777777" w:rsidR="00735421" w:rsidRPr="0085699D" w:rsidRDefault="00735421" w:rsidP="00871479">
            <w:pPr>
              <w:pStyle w:val="NoSpacing"/>
              <w:jc w:val="center"/>
              <w:rPr>
                <w:rFonts w:ascii="Times New Roman" w:hAnsi="Times New Roman" w:cs="Times New Roman"/>
                <w:sz w:val="18"/>
                <w:szCs w:val="18"/>
              </w:rPr>
            </w:pPr>
            <w:r w:rsidRPr="0085699D">
              <w:rPr>
                <w:rFonts w:ascii="Times New Roman" w:hAnsi="Times New Roman" w:cs="Times New Roman"/>
                <w:sz w:val="18"/>
                <w:szCs w:val="18"/>
              </w:rPr>
              <w:t>0.28 (0.1)</w:t>
            </w:r>
          </w:p>
        </w:tc>
        <w:tc>
          <w:tcPr>
            <w:tcW w:w="850" w:type="dxa"/>
            <w:vAlign w:val="center"/>
            <w:hideMark/>
          </w:tcPr>
          <w:p w14:paraId="339790E5" w14:textId="77777777" w:rsidR="00735421" w:rsidRPr="0085699D" w:rsidRDefault="00735421" w:rsidP="00871479">
            <w:pPr>
              <w:pStyle w:val="NoSpacing"/>
              <w:jc w:val="center"/>
              <w:rPr>
                <w:rFonts w:ascii="Times New Roman" w:hAnsi="Times New Roman" w:cs="Times New Roman"/>
                <w:sz w:val="18"/>
                <w:szCs w:val="18"/>
              </w:rPr>
            </w:pPr>
            <w:r w:rsidRPr="0085699D">
              <w:rPr>
                <w:rFonts w:ascii="Times New Roman" w:hAnsi="Times New Roman" w:cs="Times New Roman"/>
                <w:sz w:val="18"/>
                <w:szCs w:val="18"/>
              </w:rPr>
              <w:t>77.20 (13.0)</w:t>
            </w:r>
          </w:p>
        </w:tc>
        <w:tc>
          <w:tcPr>
            <w:tcW w:w="993" w:type="dxa"/>
            <w:vAlign w:val="center"/>
            <w:hideMark/>
          </w:tcPr>
          <w:p w14:paraId="589E69A5" w14:textId="77777777" w:rsidR="00735421" w:rsidRPr="0085699D" w:rsidRDefault="00735421" w:rsidP="00871479">
            <w:pPr>
              <w:pStyle w:val="NoSpacing"/>
              <w:jc w:val="center"/>
              <w:rPr>
                <w:rFonts w:ascii="Times New Roman" w:hAnsi="Times New Roman" w:cs="Times New Roman"/>
                <w:sz w:val="18"/>
                <w:szCs w:val="18"/>
              </w:rPr>
            </w:pPr>
            <w:r w:rsidRPr="0085699D">
              <w:rPr>
                <w:rFonts w:ascii="Times New Roman" w:hAnsi="Times New Roman" w:cs="Times New Roman"/>
                <w:sz w:val="18"/>
                <w:szCs w:val="18"/>
              </w:rPr>
              <w:t>595.32 (100.0)</w:t>
            </w:r>
          </w:p>
        </w:tc>
      </w:tr>
      <w:tr w:rsidR="00735421" w:rsidRPr="0085699D" w14:paraId="61C1E43C" w14:textId="77777777" w:rsidTr="00871479">
        <w:trPr>
          <w:trHeight w:val="97"/>
        </w:trPr>
        <w:tc>
          <w:tcPr>
            <w:tcW w:w="993" w:type="dxa"/>
            <w:hideMark/>
          </w:tcPr>
          <w:p w14:paraId="6E401785" w14:textId="77777777" w:rsidR="00735421" w:rsidRPr="0085699D" w:rsidRDefault="00735421" w:rsidP="00735421">
            <w:pPr>
              <w:pStyle w:val="NoSpacing"/>
              <w:rPr>
                <w:rFonts w:ascii="Times New Roman" w:hAnsi="Times New Roman" w:cs="Times New Roman"/>
                <w:sz w:val="18"/>
                <w:szCs w:val="18"/>
              </w:rPr>
            </w:pPr>
            <w:r w:rsidRPr="0085699D">
              <w:rPr>
                <w:rFonts w:ascii="Times New Roman" w:hAnsi="Times New Roman" w:cs="Times New Roman"/>
                <w:sz w:val="18"/>
                <w:szCs w:val="18"/>
              </w:rPr>
              <w:t>Rajasthan</w:t>
            </w:r>
          </w:p>
        </w:tc>
        <w:tc>
          <w:tcPr>
            <w:tcW w:w="992" w:type="dxa"/>
            <w:vAlign w:val="center"/>
            <w:hideMark/>
          </w:tcPr>
          <w:p w14:paraId="2BD333B7" w14:textId="77777777" w:rsidR="00735421" w:rsidRPr="0085699D" w:rsidRDefault="00735421" w:rsidP="00871479">
            <w:pPr>
              <w:pStyle w:val="NoSpacing"/>
              <w:jc w:val="center"/>
              <w:rPr>
                <w:rFonts w:ascii="Times New Roman" w:hAnsi="Times New Roman" w:cs="Times New Roman"/>
                <w:sz w:val="18"/>
                <w:szCs w:val="18"/>
              </w:rPr>
            </w:pPr>
            <w:r w:rsidRPr="0085699D">
              <w:rPr>
                <w:rFonts w:ascii="Times New Roman" w:hAnsi="Times New Roman" w:cs="Times New Roman"/>
                <w:sz w:val="18"/>
                <w:szCs w:val="18"/>
              </w:rPr>
              <w:t>112.35 (23.2)</w:t>
            </w:r>
          </w:p>
        </w:tc>
        <w:tc>
          <w:tcPr>
            <w:tcW w:w="851" w:type="dxa"/>
            <w:vAlign w:val="center"/>
            <w:hideMark/>
          </w:tcPr>
          <w:p w14:paraId="6073CA9F" w14:textId="77777777" w:rsidR="00735421" w:rsidRPr="0085699D" w:rsidRDefault="00735421" w:rsidP="00871479">
            <w:pPr>
              <w:pStyle w:val="NoSpacing"/>
              <w:jc w:val="center"/>
              <w:rPr>
                <w:rFonts w:ascii="Times New Roman" w:hAnsi="Times New Roman" w:cs="Times New Roman"/>
                <w:sz w:val="18"/>
                <w:szCs w:val="18"/>
              </w:rPr>
            </w:pPr>
            <w:r w:rsidRPr="0085699D">
              <w:rPr>
                <w:rFonts w:ascii="Times New Roman" w:hAnsi="Times New Roman" w:cs="Times New Roman"/>
                <w:sz w:val="18"/>
                <w:szCs w:val="18"/>
              </w:rPr>
              <w:t>52.44 (10.9)</w:t>
            </w:r>
          </w:p>
        </w:tc>
        <w:tc>
          <w:tcPr>
            <w:tcW w:w="914" w:type="dxa"/>
            <w:vAlign w:val="center"/>
            <w:hideMark/>
          </w:tcPr>
          <w:p w14:paraId="5531191E" w14:textId="77777777" w:rsidR="00735421" w:rsidRPr="0085699D" w:rsidRDefault="00735421" w:rsidP="00871479">
            <w:pPr>
              <w:pStyle w:val="NoSpacing"/>
              <w:jc w:val="center"/>
              <w:rPr>
                <w:rFonts w:ascii="Times New Roman" w:hAnsi="Times New Roman" w:cs="Times New Roman"/>
                <w:sz w:val="18"/>
                <w:szCs w:val="18"/>
              </w:rPr>
            </w:pPr>
            <w:r w:rsidRPr="0085699D">
              <w:rPr>
                <w:rFonts w:ascii="Times New Roman" w:hAnsi="Times New Roman" w:cs="Times New Roman"/>
                <w:sz w:val="18"/>
                <w:szCs w:val="18"/>
              </w:rPr>
              <w:t>164.79 (34.1)</w:t>
            </w:r>
          </w:p>
        </w:tc>
        <w:tc>
          <w:tcPr>
            <w:tcW w:w="977" w:type="dxa"/>
            <w:vAlign w:val="center"/>
            <w:hideMark/>
          </w:tcPr>
          <w:p w14:paraId="579D6831" w14:textId="77777777" w:rsidR="00735421" w:rsidRPr="0085699D" w:rsidRDefault="00735421" w:rsidP="00871479">
            <w:pPr>
              <w:pStyle w:val="NoSpacing"/>
              <w:jc w:val="center"/>
              <w:rPr>
                <w:rFonts w:ascii="Times New Roman" w:hAnsi="Times New Roman" w:cs="Times New Roman"/>
                <w:sz w:val="18"/>
                <w:szCs w:val="18"/>
              </w:rPr>
            </w:pPr>
            <w:r w:rsidRPr="0085699D">
              <w:rPr>
                <w:rFonts w:ascii="Times New Roman" w:hAnsi="Times New Roman" w:cs="Times New Roman"/>
                <w:sz w:val="18"/>
                <w:szCs w:val="18"/>
              </w:rPr>
              <w:t>101.26 (21.0)</w:t>
            </w:r>
          </w:p>
        </w:tc>
        <w:tc>
          <w:tcPr>
            <w:tcW w:w="709" w:type="dxa"/>
            <w:vAlign w:val="center"/>
            <w:hideMark/>
          </w:tcPr>
          <w:p w14:paraId="4CB306E7" w14:textId="77777777" w:rsidR="00735421" w:rsidRPr="0085699D" w:rsidRDefault="00735421" w:rsidP="00871479">
            <w:pPr>
              <w:pStyle w:val="NoSpacing"/>
              <w:jc w:val="center"/>
              <w:rPr>
                <w:rFonts w:ascii="Times New Roman" w:hAnsi="Times New Roman" w:cs="Times New Roman"/>
                <w:sz w:val="18"/>
                <w:szCs w:val="18"/>
              </w:rPr>
            </w:pPr>
            <w:r w:rsidRPr="0085699D">
              <w:rPr>
                <w:rFonts w:ascii="Times New Roman" w:hAnsi="Times New Roman" w:cs="Times New Roman"/>
                <w:sz w:val="18"/>
                <w:szCs w:val="18"/>
              </w:rPr>
              <w:t>61.33 (12.7)</w:t>
            </w:r>
          </w:p>
        </w:tc>
        <w:tc>
          <w:tcPr>
            <w:tcW w:w="767" w:type="dxa"/>
            <w:vAlign w:val="center"/>
            <w:hideMark/>
          </w:tcPr>
          <w:p w14:paraId="0B1CA35D" w14:textId="5B04310E" w:rsidR="00735421" w:rsidRPr="0085699D" w:rsidRDefault="00735421" w:rsidP="00871479">
            <w:pPr>
              <w:pStyle w:val="NoSpacing"/>
              <w:jc w:val="center"/>
              <w:rPr>
                <w:rFonts w:ascii="Times New Roman" w:hAnsi="Times New Roman" w:cs="Times New Roman"/>
                <w:sz w:val="18"/>
                <w:szCs w:val="18"/>
              </w:rPr>
            </w:pPr>
            <w:r w:rsidRPr="0085699D">
              <w:rPr>
                <w:rFonts w:ascii="Times New Roman" w:hAnsi="Times New Roman" w:cs="Times New Roman"/>
                <w:sz w:val="18"/>
                <w:szCs w:val="18"/>
              </w:rPr>
              <w:t>..</w:t>
            </w:r>
            <w:r>
              <w:rPr>
                <w:rFonts w:ascii="Times New Roman" w:hAnsi="Times New Roman" w:cs="Times New Roman"/>
                <w:sz w:val="18"/>
                <w:szCs w:val="18"/>
              </w:rPr>
              <w:br/>
              <w:t>(-)</w:t>
            </w:r>
          </w:p>
        </w:tc>
        <w:tc>
          <w:tcPr>
            <w:tcW w:w="594" w:type="dxa"/>
            <w:vAlign w:val="center"/>
            <w:hideMark/>
          </w:tcPr>
          <w:p w14:paraId="64B3D949" w14:textId="77777777" w:rsidR="00735421" w:rsidRPr="0085699D" w:rsidRDefault="00735421" w:rsidP="00871479">
            <w:pPr>
              <w:pStyle w:val="NoSpacing"/>
              <w:jc w:val="center"/>
              <w:rPr>
                <w:rFonts w:ascii="Times New Roman" w:hAnsi="Times New Roman" w:cs="Times New Roman"/>
                <w:sz w:val="18"/>
                <w:szCs w:val="18"/>
              </w:rPr>
            </w:pPr>
            <w:r w:rsidRPr="0085699D">
              <w:rPr>
                <w:rFonts w:ascii="Times New Roman" w:hAnsi="Times New Roman" w:cs="Times New Roman"/>
                <w:sz w:val="18"/>
                <w:szCs w:val="18"/>
              </w:rPr>
              <w:t>14.85 (3.1)</w:t>
            </w:r>
          </w:p>
        </w:tc>
        <w:tc>
          <w:tcPr>
            <w:tcW w:w="671" w:type="dxa"/>
            <w:vAlign w:val="center"/>
            <w:hideMark/>
          </w:tcPr>
          <w:p w14:paraId="62A3AFB1" w14:textId="77777777" w:rsidR="00735421" w:rsidRPr="0085699D" w:rsidRDefault="00735421" w:rsidP="00871479">
            <w:pPr>
              <w:pStyle w:val="NoSpacing"/>
              <w:jc w:val="center"/>
              <w:rPr>
                <w:rFonts w:ascii="Times New Roman" w:hAnsi="Times New Roman" w:cs="Times New Roman"/>
                <w:sz w:val="18"/>
                <w:szCs w:val="18"/>
              </w:rPr>
            </w:pPr>
            <w:r w:rsidRPr="0085699D">
              <w:rPr>
                <w:rFonts w:ascii="Times New Roman" w:hAnsi="Times New Roman" w:cs="Times New Roman"/>
                <w:sz w:val="18"/>
                <w:szCs w:val="18"/>
              </w:rPr>
              <w:t>177.44 (36.8)</w:t>
            </w:r>
          </w:p>
        </w:tc>
        <w:tc>
          <w:tcPr>
            <w:tcW w:w="988" w:type="dxa"/>
            <w:vAlign w:val="center"/>
            <w:hideMark/>
          </w:tcPr>
          <w:p w14:paraId="3C9801E7" w14:textId="77777777" w:rsidR="00735421" w:rsidRPr="0085699D" w:rsidRDefault="00735421" w:rsidP="00871479">
            <w:pPr>
              <w:pStyle w:val="NoSpacing"/>
              <w:jc w:val="center"/>
              <w:rPr>
                <w:rFonts w:ascii="Times New Roman" w:hAnsi="Times New Roman" w:cs="Times New Roman"/>
                <w:sz w:val="18"/>
                <w:szCs w:val="18"/>
              </w:rPr>
            </w:pPr>
            <w:r w:rsidRPr="0085699D">
              <w:rPr>
                <w:rFonts w:ascii="Times New Roman" w:hAnsi="Times New Roman" w:cs="Times New Roman"/>
                <w:sz w:val="18"/>
                <w:szCs w:val="18"/>
              </w:rPr>
              <w:t>24.43 (5.0)</w:t>
            </w:r>
          </w:p>
        </w:tc>
        <w:tc>
          <w:tcPr>
            <w:tcW w:w="758" w:type="dxa"/>
            <w:vAlign w:val="center"/>
            <w:hideMark/>
          </w:tcPr>
          <w:p w14:paraId="2E8DC446" w14:textId="77777777" w:rsidR="00735421" w:rsidRPr="0085699D" w:rsidRDefault="00735421" w:rsidP="00871479">
            <w:pPr>
              <w:pStyle w:val="NoSpacing"/>
              <w:jc w:val="center"/>
              <w:rPr>
                <w:rFonts w:ascii="Times New Roman" w:hAnsi="Times New Roman" w:cs="Times New Roman"/>
                <w:sz w:val="18"/>
                <w:szCs w:val="18"/>
              </w:rPr>
            </w:pPr>
            <w:r w:rsidRPr="0085699D">
              <w:rPr>
                <w:rFonts w:ascii="Times New Roman" w:hAnsi="Times New Roman" w:cs="Times New Roman"/>
                <w:sz w:val="18"/>
                <w:szCs w:val="18"/>
              </w:rPr>
              <w:t>57.91 (12.0)</w:t>
            </w:r>
          </w:p>
        </w:tc>
        <w:tc>
          <w:tcPr>
            <w:tcW w:w="947" w:type="dxa"/>
            <w:vAlign w:val="center"/>
            <w:hideMark/>
          </w:tcPr>
          <w:p w14:paraId="0FAF849A" w14:textId="77777777" w:rsidR="00735421" w:rsidRPr="0085699D" w:rsidRDefault="00735421" w:rsidP="00871479">
            <w:pPr>
              <w:pStyle w:val="NoSpacing"/>
              <w:jc w:val="center"/>
              <w:rPr>
                <w:rFonts w:ascii="Times New Roman" w:hAnsi="Times New Roman" w:cs="Times New Roman"/>
                <w:sz w:val="18"/>
                <w:szCs w:val="18"/>
              </w:rPr>
            </w:pPr>
            <w:r w:rsidRPr="0085699D">
              <w:rPr>
                <w:rFonts w:ascii="Times New Roman" w:hAnsi="Times New Roman" w:cs="Times New Roman"/>
                <w:sz w:val="18"/>
                <w:szCs w:val="18"/>
              </w:rPr>
              <w:t>38.63 (8.0)</w:t>
            </w:r>
          </w:p>
        </w:tc>
        <w:tc>
          <w:tcPr>
            <w:tcW w:w="988" w:type="dxa"/>
            <w:vAlign w:val="center"/>
            <w:hideMark/>
          </w:tcPr>
          <w:p w14:paraId="5B7ED33F" w14:textId="77777777" w:rsidR="00735421" w:rsidRPr="0085699D" w:rsidRDefault="00735421" w:rsidP="00871479">
            <w:pPr>
              <w:pStyle w:val="NoSpacing"/>
              <w:jc w:val="center"/>
              <w:rPr>
                <w:rFonts w:ascii="Times New Roman" w:hAnsi="Times New Roman" w:cs="Times New Roman"/>
                <w:sz w:val="18"/>
                <w:szCs w:val="18"/>
              </w:rPr>
            </w:pPr>
            <w:r w:rsidRPr="0085699D">
              <w:rPr>
                <w:rFonts w:ascii="Times New Roman" w:hAnsi="Times New Roman" w:cs="Times New Roman"/>
                <w:sz w:val="18"/>
                <w:szCs w:val="18"/>
              </w:rPr>
              <w:t>6.19 (1.3)</w:t>
            </w:r>
          </w:p>
        </w:tc>
        <w:tc>
          <w:tcPr>
            <w:tcW w:w="900" w:type="dxa"/>
            <w:vAlign w:val="center"/>
            <w:hideMark/>
          </w:tcPr>
          <w:p w14:paraId="2B7B06C8" w14:textId="77777777" w:rsidR="00735421" w:rsidRPr="0085699D" w:rsidRDefault="00735421" w:rsidP="00871479">
            <w:pPr>
              <w:pStyle w:val="NoSpacing"/>
              <w:jc w:val="center"/>
              <w:rPr>
                <w:rFonts w:ascii="Times New Roman" w:hAnsi="Times New Roman" w:cs="Times New Roman"/>
                <w:sz w:val="18"/>
                <w:szCs w:val="18"/>
              </w:rPr>
            </w:pPr>
            <w:r w:rsidRPr="0085699D">
              <w:rPr>
                <w:rFonts w:ascii="Times New Roman" w:hAnsi="Times New Roman" w:cs="Times New Roman"/>
                <w:sz w:val="18"/>
                <w:szCs w:val="18"/>
              </w:rPr>
              <w:t>13.36 (2.8)</w:t>
            </w:r>
          </w:p>
        </w:tc>
        <w:tc>
          <w:tcPr>
            <w:tcW w:w="851" w:type="dxa"/>
            <w:vAlign w:val="center"/>
            <w:hideMark/>
          </w:tcPr>
          <w:p w14:paraId="29BFF9E7" w14:textId="3E1D0E0A" w:rsidR="00735421" w:rsidRPr="0085699D" w:rsidRDefault="00735421" w:rsidP="00871479">
            <w:pPr>
              <w:pStyle w:val="NoSpacing"/>
              <w:jc w:val="center"/>
              <w:rPr>
                <w:rFonts w:ascii="Times New Roman" w:hAnsi="Times New Roman" w:cs="Times New Roman"/>
                <w:sz w:val="18"/>
                <w:szCs w:val="18"/>
              </w:rPr>
            </w:pPr>
            <w:r w:rsidRPr="0085699D">
              <w:rPr>
                <w:rFonts w:ascii="Times New Roman" w:hAnsi="Times New Roman" w:cs="Times New Roman"/>
                <w:sz w:val="18"/>
                <w:szCs w:val="18"/>
              </w:rPr>
              <w:t>..</w:t>
            </w:r>
            <w:r>
              <w:rPr>
                <w:rFonts w:ascii="Times New Roman" w:hAnsi="Times New Roman" w:cs="Times New Roman"/>
                <w:sz w:val="18"/>
                <w:szCs w:val="18"/>
              </w:rPr>
              <w:br/>
              <w:t>(-)</w:t>
            </w:r>
          </w:p>
        </w:tc>
        <w:tc>
          <w:tcPr>
            <w:tcW w:w="850" w:type="dxa"/>
            <w:vAlign w:val="center"/>
            <w:hideMark/>
          </w:tcPr>
          <w:p w14:paraId="44E2E530" w14:textId="77777777" w:rsidR="00735421" w:rsidRPr="0085699D" w:rsidRDefault="00735421" w:rsidP="00871479">
            <w:pPr>
              <w:pStyle w:val="NoSpacing"/>
              <w:jc w:val="center"/>
              <w:rPr>
                <w:rFonts w:ascii="Times New Roman" w:hAnsi="Times New Roman" w:cs="Times New Roman"/>
                <w:sz w:val="18"/>
                <w:szCs w:val="18"/>
              </w:rPr>
            </w:pPr>
            <w:r w:rsidRPr="0085699D">
              <w:rPr>
                <w:rFonts w:ascii="Times New Roman" w:hAnsi="Times New Roman" w:cs="Times New Roman"/>
                <w:sz w:val="18"/>
                <w:szCs w:val="18"/>
              </w:rPr>
              <w:t>140.52 (29.1)</w:t>
            </w:r>
          </w:p>
        </w:tc>
        <w:tc>
          <w:tcPr>
            <w:tcW w:w="993" w:type="dxa"/>
            <w:vAlign w:val="center"/>
            <w:hideMark/>
          </w:tcPr>
          <w:p w14:paraId="4F7F4D36" w14:textId="77777777" w:rsidR="00735421" w:rsidRPr="0085699D" w:rsidRDefault="00735421" w:rsidP="00871479">
            <w:pPr>
              <w:pStyle w:val="NoSpacing"/>
              <w:jc w:val="center"/>
              <w:rPr>
                <w:rFonts w:ascii="Times New Roman" w:hAnsi="Times New Roman" w:cs="Times New Roman"/>
                <w:sz w:val="18"/>
                <w:szCs w:val="18"/>
              </w:rPr>
            </w:pPr>
            <w:r w:rsidRPr="0085699D">
              <w:rPr>
                <w:rFonts w:ascii="Times New Roman" w:hAnsi="Times New Roman" w:cs="Times New Roman"/>
                <w:sz w:val="18"/>
                <w:szCs w:val="18"/>
              </w:rPr>
              <w:t>482.75 (100.0)</w:t>
            </w:r>
          </w:p>
        </w:tc>
      </w:tr>
      <w:tr w:rsidR="00735421" w:rsidRPr="0085699D" w14:paraId="7CD35BAB" w14:textId="77777777" w:rsidTr="00871479">
        <w:trPr>
          <w:trHeight w:val="97"/>
        </w:trPr>
        <w:tc>
          <w:tcPr>
            <w:tcW w:w="993" w:type="dxa"/>
            <w:hideMark/>
          </w:tcPr>
          <w:p w14:paraId="665DC6E8" w14:textId="77777777" w:rsidR="00735421" w:rsidRPr="0085699D" w:rsidRDefault="00735421" w:rsidP="00735421">
            <w:pPr>
              <w:pStyle w:val="NoSpacing"/>
              <w:rPr>
                <w:rFonts w:ascii="Times New Roman" w:hAnsi="Times New Roman" w:cs="Times New Roman"/>
                <w:sz w:val="18"/>
                <w:szCs w:val="18"/>
              </w:rPr>
            </w:pPr>
            <w:r w:rsidRPr="0085699D">
              <w:rPr>
                <w:rFonts w:ascii="Times New Roman" w:hAnsi="Times New Roman" w:cs="Times New Roman"/>
                <w:sz w:val="18"/>
                <w:szCs w:val="18"/>
              </w:rPr>
              <w:t>Tamil Nadu</w:t>
            </w:r>
          </w:p>
        </w:tc>
        <w:tc>
          <w:tcPr>
            <w:tcW w:w="992" w:type="dxa"/>
            <w:vAlign w:val="center"/>
            <w:hideMark/>
          </w:tcPr>
          <w:p w14:paraId="36A4AED0" w14:textId="77777777" w:rsidR="00735421" w:rsidRPr="0085699D" w:rsidRDefault="00735421" w:rsidP="00871479">
            <w:pPr>
              <w:pStyle w:val="NoSpacing"/>
              <w:jc w:val="center"/>
              <w:rPr>
                <w:rFonts w:ascii="Times New Roman" w:hAnsi="Times New Roman" w:cs="Times New Roman"/>
                <w:sz w:val="18"/>
                <w:szCs w:val="18"/>
              </w:rPr>
            </w:pPr>
            <w:r w:rsidRPr="0085699D">
              <w:rPr>
                <w:rFonts w:ascii="Times New Roman" w:hAnsi="Times New Roman" w:cs="Times New Roman"/>
                <w:sz w:val="18"/>
                <w:szCs w:val="18"/>
              </w:rPr>
              <w:t>220.96 (34.2)</w:t>
            </w:r>
          </w:p>
        </w:tc>
        <w:tc>
          <w:tcPr>
            <w:tcW w:w="851" w:type="dxa"/>
            <w:vAlign w:val="center"/>
            <w:hideMark/>
          </w:tcPr>
          <w:p w14:paraId="66D3370E" w14:textId="77777777" w:rsidR="00735421" w:rsidRPr="0085699D" w:rsidRDefault="00735421" w:rsidP="00871479">
            <w:pPr>
              <w:pStyle w:val="NoSpacing"/>
              <w:jc w:val="center"/>
              <w:rPr>
                <w:rFonts w:ascii="Times New Roman" w:hAnsi="Times New Roman" w:cs="Times New Roman"/>
                <w:sz w:val="18"/>
                <w:szCs w:val="18"/>
              </w:rPr>
            </w:pPr>
            <w:r w:rsidRPr="0085699D">
              <w:rPr>
                <w:rFonts w:ascii="Times New Roman" w:hAnsi="Times New Roman" w:cs="Times New Roman"/>
                <w:sz w:val="18"/>
                <w:szCs w:val="18"/>
              </w:rPr>
              <w:t>137.23 (21.2)</w:t>
            </w:r>
          </w:p>
        </w:tc>
        <w:tc>
          <w:tcPr>
            <w:tcW w:w="914" w:type="dxa"/>
            <w:vAlign w:val="center"/>
            <w:hideMark/>
          </w:tcPr>
          <w:p w14:paraId="4FF3F797" w14:textId="77777777" w:rsidR="00735421" w:rsidRPr="0085699D" w:rsidRDefault="00735421" w:rsidP="00871479">
            <w:pPr>
              <w:pStyle w:val="NoSpacing"/>
              <w:jc w:val="center"/>
              <w:rPr>
                <w:rFonts w:ascii="Times New Roman" w:hAnsi="Times New Roman" w:cs="Times New Roman"/>
                <w:sz w:val="18"/>
                <w:szCs w:val="18"/>
              </w:rPr>
            </w:pPr>
            <w:r w:rsidRPr="0085699D">
              <w:rPr>
                <w:rFonts w:ascii="Times New Roman" w:hAnsi="Times New Roman" w:cs="Times New Roman"/>
                <w:sz w:val="18"/>
                <w:szCs w:val="18"/>
              </w:rPr>
              <w:t>358.19 (55.4)</w:t>
            </w:r>
          </w:p>
        </w:tc>
        <w:tc>
          <w:tcPr>
            <w:tcW w:w="977" w:type="dxa"/>
            <w:vAlign w:val="center"/>
            <w:hideMark/>
          </w:tcPr>
          <w:p w14:paraId="5D6E3E16" w14:textId="77777777" w:rsidR="00735421" w:rsidRPr="0085699D" w:rsidRDefault="00735421" w:rsidP="00871479">
            <w:pPr>
              <w:pStyle w:val="NoSpacing"/>
              <w:jc w:val="center"/>
              <w:rPr>
                <w:rFonts w:ascii="Times New Roman" w:hAnsi="Times New Roman" w:cs="Times New Roman"/>
                <w:sz w:val="18"/>
                <w:szCs w:val="18"/>
              </w:rPr>
            </w:pPr>
            <w:r w:rsidRPr="0085699D">
              <w:rPr>
                <w:rFonts w:ascii="Times New Roman" w:hAnsi="Times New Roman" w:cs="Times New Roman"/>
                <w:sz w:val="18"/>
                <w:szCs w:val="18"/>
              </w:rPr>
              <w:t>96.55 (14.9)</w:t>
            </w:r>
          </w:p>
        </w:tc>
        <w:tc>
          <w:tcPr>
            <w:tcW w:w="709" w:type="dxa"/>
            <w:vAlign w:val="center"/>
            <w:hideMark/>
          </w:tcPr>
          <w:p w14:paraId="6950B0D9" w14:textId="5BE6E3D2" w:rsidR="00735421" w:rsidRPr="0085699D" w:rsidRDefault="00735421" w:rsidP="00871479">
            <w:pPr>
              <w:pStyle w:val="NoSpacing"/>
              <w:jc w:val="center"/>
              <w:rPr>
                <w:rFonts w:ascii="Times New Roman" w:hAnsi="Times New Roman" w:cs="Times New Roman"/>
                <w:sz w:val="18"/>
                <w:szCs w:val="18"/>
              </w:rPr>
            </w:pPr>
            <w:r w:rsidRPr="0085699D">
              <w:rPr>
                <w:rFonts w:ascii="Times New Roman" w:hAnsi="Times New Roman" w:cs="Times New Roman"/>
                <w:sz w:val="18"/>
                <w:szCs w:val="18"/>
              </w:rPr>
              <w:t>..</w:t>
            </w:r>
            <w:r>
              <w:rPr>
                <w:rFonts w:ascii="Times New Roman" w:hAnsi="Times New Roman" w:cs="Times New Roman"/>
                <w:sz w:val="18"/>
                <w:szCs w:val="18"/>
              </w:rPr>
              <w:br/>
              <w:t>(-)</w:t>
            </w:r>
          </w:p>
        </w:tc>
        <w:tc>
          <w:tcPr>
            <w:tcW w:w="767" w:type="dxa"/>
            <w:vAlign w:val="center"/>
            <w:hideMark/>
          </w:tcPr>
          <w:p w14:paraId="579D7363" w14:textId="093F6847" w:rsidR="00735421" w:rsidRPr="0085699D" w:rsidRDefault="00735421" w:rsidP="00871479">
            <w:pPr>
              <w:pStyle w:val="NoSpacing"/>
              <w:jc w:val="center"/>
              <w:rPr>
                <w:rFonts w:ascii="Times New Roman" w:hAnsi="Times New Roman" w:cs="Times New Roman"/>
                <w:sz w:val="18"/>
                <w:szCs w:val="18"/>
              </w:rPr>
            </w:pPr>
            <w:r w:rsidRPr="0085699D">
              <w:rPr>
                <w:rFonts w:ascii="Times New Roman" w:hAnsi="Times New Roman" w:cs="Times New Roman"/>
                <w:sz w:val="18"/>
                <w:szCs w:val="18"/>
              </w:rPr>
              <w:t>..</w:t>
            </w:r>
            <w:r>
              <w:rPr>
                <w:rFonts w:ascii="Times New Roman" w:hAnsi="Times New Roman" w:cs="Times New Roman"/>
                <w:sz w:val="18"/>
                <w:szCs w:val="18"/>
              </w:rPr>
              <w:br/>
              <w:t>(-)</w:t>
            </w:r>
          </w:p>
        </w:tc>
        <w:tc>
          <w:tcPr>
            <w:tcW w:w="594" w:type="dxa"/>
            <w:vAlign w:val="center"/>
            <w:hideMark/>
          </w:tcPr>
          <w:p w14:paraId="4E606EC9" w14:textId="77777777" w:rsidR="00735421" w:rsidRPr="0085699D" w:rsidRDefault="00735421" w:rsidP="00871479">
            <w:pPr>
              <w:pStyle w:val="NoSpacing"/>
              <w:jc w:val="center"/>
              <w:rPr>
                <w:rFonts w:ascii="Times New Roman" w:hAnsi="Times New Roman" w:cs="Times New Roman"/>
                <w:sz w:val="18"/>
                <w:szCs w:val="18"/>
              </w:rPr>
            </w:pPr>
            <w:r w:rsidRPr="0085699D">
              <w:rPr>
                <w:rFonts w:ascii="Times New Roman" w:hAnsi="Times New Roman" w:cs="Times New Roman"/>
                <w:sz w:val="18"/>
                <w:szCs w:val="18"/>
              </w:rPr>
              <w:t>49.79 (7.7)</w:t>
            </w:r>
          </w:p>
        </w:tc>
        <w:tc>
          <w:tcPr>
            <w:tcW w:w="671" w:type="dxa"/>
            <w:vAlign w:val="center"/>
            <w:hideMark/>
          </w:tcPr>
          <w:p w14:paraId="6486FC58" w14:textId="77777777" w:rsidR="00735421" w:rsidRPr="0085699D" w:rsidRDefault="00735421" w:rsidP="00871479">
            <w:pPr>
              <w:pStyle w:val="NoSpacing"/>
              <w:jc w:val="center"/>
              <w:rPr>
                <w:rFonts w:ascii="Times New Roman" w:hAnsi="Times New Roman" w:cs="Times New Roman"/>
                <w:sz w:val="18"/>
                <w:szCs w:val="18"/>
              </w:rPr>
            </w:pPr>
            <w:r w:rsidRPr="0085699D">
              <w:rPr>
                <w:rFonts w:ascii="Times New Roman" w:hAnsi="Times New Roman" w:cs="Times New Roman"/>
                <w:sz w:val="18"/>
                <w:szCs w:val="18"/>
              </w:rPr>
              <w:t>146.34 (22.6)</w:t>
            </w:r>
          </w:p>
        </w:tc>
        <w:tc>
          <w:tcPr>
            <w:tcW w:w="988" w:type="dxa"/>
            <w:vAlign w:val="center"/>
            <w:hideMark/>
          </w:tcPr>
          <w:p w14:paraId="298BA851" w14:textId="77777777" w:rsidR="00735421" w:rsidRPr="0085699D" w:rsidRDefault="00735421" w:rsidP="00871479">
            <w:pPr>
              <w:pStyle w:val="NoSpacing"/>
              <w:jc w:val="center"/>
              <w:rPr>
                <w:rFonts w:ascii="Times New Roman" w:hAnsi="Times New Roman" w:cs="Times New Roman"/>
                <w:sz w:val="18"/>
                <w:szCs w:val="18"/>
              </w:rPr>
            </w:pPr>
            <w:r w:rsidRPr="0085699D">
              <w:rPr>
                <w:rFonts w:ascii="Times New Roman" w:hAnsi="Times New Roman" w:cs="Times New Roman"/>
                <w:sz w:val="18"/>
                <w:szCs w:val="18"/>
              </w:rPr>
              <w:t>29.91 (4.6)</w:t>
            </w:r>
          </w:p>
        </w:tc>
        <w:tc>
          <w:tcPr>
            <w:tcW w:w="758" w:type="dxa"/>
            <w:vAlign w:val="center"/>
            <w:hideMark/>
          </w:tcPr>
          <w:p w14:paraId="6DC4F7ED" w14:textId="77777777" w:rsidR="00735421" w:rsidRPr="0085699D" w:rsidRDefault="00735421" w:rsidP="00871479">
            <w:pPr>
              <w:pStyle w:val="NoSpacing"/>
              <w:jc w:val="center"/>
              <w:rPr>
                <w:rFonts w:ascii="Times New Roman" w:hAnsi="Times New Roman" w:cs="Times New Roman"/>
                <w:sz w:val="18"/>
                <w:szCs w:val="18"/>
              </w:rPr>
            </w:pPr>
            <w:r w:rsidRPr="0085699D">
              <w:rPr>
                <w:rFonts w:ascii="Times New Roman" w:hAnsi="Times New Roman" w:cs="Times New Roman"/>
                <w:sz w:val="18"/>
                <w:szCs w:val="18"/>
              </w:rPr>
              <w:t>94.63 (14.6)</w:t>
            </w:r>
          </w:p>
        </w:tc>
        <w:tc>
          <w:tcPr>
            <w:tcW w:w="947" w:type="dxa"/>
            <w:vAlign w:val="center"/>
            <w:hideMark/>
          </w:tcPr>
          <w:p w14:paraId="38682A65" w14:textId="77777777" w:rsidR="00735421" w:rsidRPr="0085699D" w:rsidRDefault="00735421" w:rsidP="00871479">
            <w:pPr>
              <w:pStyle w:val="NoSpacing"/>
              <w:jc w:val="center"/>
              <w:rPr>
                <w:rFonts w:ascii="Times New Roman" w:hAnsi="Times New Roman" w:cs="Times New Roman"/>
                <w:sz w:val="18"/>
                <w:szCs w:val="18"/>
              </w:rPr>
            </w:pPr>
            <w:r w:rsidRPr="0085699D">
              <w:rPr>
                <w:rFonts w:ascii="Times New Roman" w:hAnsi="Times New Roman" w:cs="Times New Roman"/>
                <w:sz w:val="18"/>
                <w:szCs w:val="18"/>
              </w:rPr>
              <w:t>6.99 (1.0)</w:t>
            </w:r>
          </w:p>
        </w:tc>
        <w:tc>
          <w:tcPr>
            <w:tcW w:w="988" w:type="dxa"/>
            <w:vAlign w:val="center"/>
            <w:hideMark/>
          </w:tcPr>
          <w:p w14:paraId="0F2F42BB" w14:textId="77777777" w:rsidR="00735421" w:rsidRPr="0085699D" w:rsidRDefault="00735421" w:rsidP="00871479">
            <w:pPr>
              <w:pStyle w:val="NoSpacing"/>
              <w:jc w:val="center"/>
              <w:rPr>
                <w:rFonts w:ascii="Times New Roman" w:hAnsi="Times New Roman" w:cs="Times New Roman"/>
                <w:sz w:val="18"/>
                <w:szCs w:val="18"/>
              </w:rPr>
            </w:pPr>
            <w:r w:rsidRPr="0085699D">
              <w:rPr>
                <w:rFonts w:ascii="Times New Roman" w:hAnsi="Times New Roman" w:cs="Times New Roman"/>
                <w:sz w:val="18"/>
                <w:szCs w:val="18"/>
              </w:rPr>
              <w:t>1.69 (0.3)</w:t>
            </w:r>
          </w:p>
        </w:tc>
        <w:tc>
          <w:tcPr>
            <w:tcW w:w="900" w:type="dxa"/>
            <w:vAlign w:val="center"/>
            <w:hideMark/>
          </w:tcPr>
          <w:p w14:paraId="231FB1D7" w14:textId="77777777" w:rsidR="00735421" w:rsidRPr="0085699D" w:rsidRDefault="00735421" w:rsidP="00871479">
            <w:pPr>
              <w:pStyle w:val="NoSpacing"/>
              <w:jc w:val="center"/>
              <w:rPr>
                <w:rFonts w:ascii="Times New Roman" w:hAnsi="Times New Roman" w:cs="Times New Roman"/>
                <w:sz w:val="18"/>
                <w:szCs w:val="18"/>
              </w:rPr>
            </w:pPr>
            <w:r w:rsidRPr="0085699D">
              <w:rPr>
                <w:rFonts w:ascii="Times New Roman" w:hAnsi="Times New Roman" w:cs="Times New Roman"/>
                <w:sz w:val="18"/>
                <w:szCs w:val="18"/>
              </w:rPr>
              <w:t>3.72 (0.6)</w:t>
            </w:r>
          </w:p>
        </w:tc>
        <w:tc>
          <w:tcPr>
            <w:tcW w:w="851" w:type="dxa"/>
            <w:vAlign w:val="center"/>
            <w:hideMark/>
          </w:tcPr>
          <w:p w14:paraId="11F63789" w14:textId="77777777" w:rsidR="00735421" w:rsidRPr="0085699D" w:rsidRDefault="00735421" w:rsidP="00871479">
            <w:pPr>
              <w:pStyle w:val="NoSpacing"/>
              <w:jc w:val="center"/>
              <w:rPr>
                <w:rFonts w:ascii="Times New Roman" w:hAnsi="Times New Roman" w:cs="Times New Roman"/>
                <w:sz w:val="18"/>
                <w:szCs w:val="18"/>
              </w:rPr>
            </w:pPr>
            <w:r w:rsidRPr="0085699D">
              <w:rPr>
                <w:rFonts w:ascii="Times New Roman" w:hAnsi="Times New Roman" w:cs="Times New Roman"/>
                <w:sz w:val="18"/>
                <w:szCs w:val="18"/>
              </w:rPr>
              <w:t>5.57 (0.9)</w:t>
            </w:r>
          </w:p>
        </w:tc>
        <w:tc>
          <w:tcPr>
            <w:tcW w:w="850" w:type="dxa"/>
            <w:vAlign w:val="center"/>
            <w:hideMark/>
          </w:tcPr>
          <w:p w14:paraId="2DBD3F9D" w14:textId="77777777" w:rsidR="00735421" w:rsidRPr="0085699D" w:rsidRDefault="00735421" w:rsidP="00871479">
            <w:pPr>
              <w:pStyle w:val="NoSpacing"/>
              <w:jc w:val="center"/>
              <w:rPr>
                <w:rFonts w:ascii="Times New Roman" w:hAnsi="Times New Roman" w:cs="Times New Roman"/>
                <w:sz w:val="18"/>
                <w:szCs w:val="18"/>
              </w:rPr>
            </w:pPr>
            <w:r w:rsidRPr="0085699D">
              <w:rPr>
                <w:rFonts w:ascii="Times New Roman" w:hAnsi="Times New Roman" w:cs="Times New Roman"/>
                <w:sz w:val="18"/>
                <w:szCs w:val="18"/>
              </w:rPr>
              <w:t>142.51 (22.0)</w:t>
            </w:r>
          </w:p>
        </w:tc>
        <w:tc>
          <w:tcPr>
            <w:tcW w:w="993" w:type="dxa"/>
            <w:vAlign w:val="center"/>
            <w:hideMark/>
          </w:tcPr>
          <w:p w14:paraId="503E3064" w14:textId="77777777" w:rsidR="00735421" w:rsidRPr="0085699D" w:rsidRDefault="00735421" w:rsidP="00871479">
            <w:pPr>
              <w:pStyle w:val="NoSpacing"/>
              <w:jc w:val="center"/>
              <w:rPr>
                <w:rFonts w:ascii="Times New Roman" w:hAnsi="Times New Roman" w:cs="Times New Roman"/>
                <w:sz w:val="18"/>
                <w:szCs w:val="18"/>
              </w:rPr>
            </w:pPr>
            <w:r w:rsidRPr="0085699D">
              <w:rPr>
                <w:rFonts w:ascii="Times New Roman" w:hAnsi="Times New Roman" w:cs="Times New Roman"/>
                <w:sz w:val="18"/>
                <w:szCs w:val="18"/>
              </w:rPr>
              <w:t>647.04 (100.0)</w:t>
            </w:r>
          </w:p>
        </w:tc>
      </w:tr>
      <w:tr w:rsidR="00735421" w:rsidRPr="0085699D" w14:paraId="74338414" w14:textId="77777777" w:rsidTr="00871479">
        <w:trPr>
          <w:trHeight w:val="474"/>
        </w:trPr>
        <w:tc>
          <w:tcPr>
            <w:tcW w:w="993" w:type="dxa"/>
            <w:hideMark/>
          </w:tcPr>
          <w:p w14:paraId="5370AC2D" w14:textId="77777777" w:rsidR="00735421" w:rsidRPr="0085699D" w:rsidRDefault="00735421" w:rsidP="00735421">
            <w:pPr>
              <w:pStyle w:val="NoSpacing"/>
              <w:rPr>
                <w:rFonts w:ascii="Times New Roman" w:hAnsi="Times New Roman" w:cs="Times New Roman"/>
                <w:sz w:val="18"/>
                <w:szCs w:val="18"/>
              </w:rPr>
            </w:pPr>
            <w:r w:rsidRPr="0085699D">
              <w:rPr>
                <w:rFonts w:ascii="Times New Roman" w:hAnsi="Times New Roman" w:cs="Times New Roman"/>
                <w:sz w:val="18"/>
                <w:szCs w:val="18"/>
              </w:rPr>
              <w:t>Uttar Pradesh</w:t>
            </w:r>
          </w:p>
        </w:tc>
        <w:tc>
          <w:tcPr>
            <w:tcW w:w="992" w:type="dxa"/>
            <w:vAlign w:val="center"/>
            <w:hideMark/>
          </w:tcPr>
          <w:p w14:paraId="248A1A55" w14:textId="77777777" w:rsidR="00735421" w:rsidRPr="0085699D" w:rsidRDefault="00735421" w:rsidP="00871479">
            <w:pPr>
              <w:pStyle w:val="NoSpacing"/>
              <w:jc w:val="center"/>
              <w:rPr>
                <w:rFonts w:ascii="Times New Roman" w:hAnsi="Times New Roman" w:cs="Times New Roman"/>
                <w:sz w:val="18"/>
                <w:szCs w:val="18"/>
              </w:rPr>
            </w:pPr>
            <w:r w:rsidRPr="0085699D">
              <w:rPr>
                <w:rFonts w:ascii="Times New Roman" w:hAnsi="Times New Roman" w:cs="Times New Roman"/>
                <w:sz w:val="18"/>
                <w:szCs w:val="18"/>
              </w:rPr>
              <w:t>410.82 (38.2)</w:t>
            </w:r>
          </w:p>
        </w:tc>
        <w:tc>
          <w:tcPr>
            <w:tcW w:w="851" w:type="dxa"/>
            <w:vAlign w:val="center"/>
            <w:hideMark/>
          </w:tcPr>
          <w:p w14:paraId="6120FC81" w14:textId="77777777" w:rsidR="00735421" w:rsidRPr="0085699D" w:rsidRDefault="00735421" w:rsidP="00871479">
            <w:pPr>
              <w:pStyle w:val="NoSpacing"/>
              <w:jc w:val="center"/>
              <w:rPr>
                <w:rFonts w:ascii="Times New Roman" w:hAnsi="Times New Roman" w:cs="Times New Roman"/>
                <w:sz w:val="18"/>
                <w:szCs w:val="18"/>
              </w:rPr>
            </w:pPr>
            <w:r w:rsidRPr="0085699D">
              <w:rPr>
                <w:rFonts w:ascii="Times New Roman" w:hAnsi="Times New Roman" w:cs="Times New Roman"/>
                <w:sz w:val="18"/>
                <w:szCs w:val="18"/>
              </w:rPr>
              <w:t>149.11 (13.8)</w:t>
            </w:r>
          </w:p>
        </w:tc>
        <w:tc>
          <w:tcPr>
            <w:tcW w:w="914" w:type="dxa"/>
            <w:vAlign w:val="center"/>
            <w:hideMark/>
          </w:tcPr>
          <w:p w14:paraId="4983C198" w14:textId="77777777" w:rsidR="00735421" w:rsidRPr="0085699D" w:rsidRDefault="00735421" w:rsidP="00871479">
            <w:pPr>
              <w:pStyle w:val="NoSpacing"/>
              <w:jc w:val="center"/>
              <w:rPr>
                <w:rFonts w:ascii="Times New Roman" w:hAnsi="Times New Roman" w:cs="Times New Roman"/>
                <w:sz w:val="18"/>
                <w:szCs w:val="18"/>
              </w:rPr>
            </w:pPr>
            <w:r w:rsidRPr="0085699D">
              <w:rPr>
                <w:rFonts w:ascii="Times New Roman" w:hAnsi="Times New Roman" w:cs="Times New Roman"/>
                <w:sz w:val="18"/>
                <w:szCs w:val="18"/>
              </w:rPr>
              <w:t>559.93 (52.0)</w:t>
            </w:r>
          </w:p>
        </w:tc>
        <w:tc>
          <w:tcPr>
            <w:tcW w:w="977" w:type="dxa"/>
            <w:vAlign w:val="center"/>
            <w:hideMark/>
          </w:tcPr>
          <w:p w14:paraId="5EA6D12A" w14:textId="77777777" w:rsidR="00735421" w:rsidRPr="0085699D" w:rsidRDefault="00735421" w:rsidP="00871479">
            <w:pPr>
              <w:pStyle w:val="NoSpacing"/>
              <w:jc w:val="center"/>
              <w:rPr>
                <w:rFonts w:ascii="Times New Roman" w:hAnsi="Times New Roman" w:cs="Times New Roman"/>
                <w:sz w:val="18"/>
                <w:szCs w:val="18"/>
              </w:rPr>
            </w:pPr>
            <w:r w:rsidRPr="0085699D">
              <w:rPr>
                <w:rFonts w:ascii="Times New Roman" w:hAnsi="Times New Roman" w:cs="Times New Roman"/>
                <w:sz w:val="18"/>
                <w:szCs w:val="18"/>
              </w:rPr>
              <w:t>182.09 (16.9)</w:t>
            </w:r>
          </w:p>
        </w:tc>
        <w:tc>
          <w:tcPr>
            <w:tcW w:w="709" w:type="dxa"/>
            <w:vAlign w:val="center"/>
            <w:hideMark/>
          </w:tcPr>
          <w:p w14:paraId="40B31625" w14:textId="77777777" w:rsidR="00735421" w:rsidRPr="0085699D" w:rsidRDefault="00735421" w:rsidP="00871479">
            <w:pPr>
              <w:pStyle w:val="NoSpacing"/>
              <w:jc w:val="center"/>
              <w:rPr>
                <w:rFonts w:ascii="Times New Roman" w:hAnsi="Times New Roman" w:cs="Times New Roman"/>
                <w:sz w:val="18"/>
                <w:szCs w:val="18"/>
              </w:rPr>
            </w:pPr>
            <w:r w:rsidRPr="0085699D">
              <w:rPr>
                <w:rFonts w:ascii="Times New Roman" w:hAnsi="Times New Roman" w:cs="Times New Roman"/>
                <w:sz w:val="18"/>
                <w:szCs w:val="18"/>
              </w:rPr>
              <w:t>62.32 (5.8)</w:t>
            </w:r>
          </w:p>
        </w:tc>
        <w:tc>
          <w:tcPr>
            <w:tcW w:w="767" w:type="dxa"/>
            <w:vAlign w:val="center"/>
            <w:hideMark/>
          </w:tcPr>
          <w:p w14:paraId="316553C6" w14:textId="1BF3FC13" w:rsidR="00735421" w:rsidRPr="0085699D" w:rsidRDefault="00735421" w:rsidP="00871479">
            <w:pPr>
              <w:pStyle w:val="NoSpacing"/>
              <w:jc w:val="center"/>
              <w:rPr>
                <w:rFonts w:ascii="Times New Roman" w:hAnsi="Times New Roman" w:cs="Times New Roman"/>
                <w:sz w:val="18"/>
                <w:szCs w:val="18"/>
              </w:rPr>
            </w:pPr>
            <w:r w:rsidRPr="0085699D">
              <w:rPr>
                <w:rFonts w:ascii="Times New Roman" w:hAnsi="Times New Roman" w:cs="Times New Roman"/>
                <w:sz w:val="18"/>
                <w:szCs w:val="18"/>
              </w:rPr>
              <w:t>..</w:t>
            </w:r>
            <w:r>
              <w:rPr>
                <w:rFonts w:ascii="Times New Roman" w:hAnsi="Times New Roman" w:cs="Times New Roman"/>
                <w:sz w:val="18"/>
                <w:szCs w:val="18"/>
              </w:rPr>
              <w:br/>
              <w:t>(-)</w:t>
            </w:r>
          </w:p>
        </w:tc>
        <w:tc>
          <w:tcPr>
            <w:tcW w:w="594" w:type="dxa"/>
            <w:vAlign w:val="center"/>
            <w:hideMark/>
          </w:tcPr>
          <w:p w14:paraId="174B8D9A" w14:textId="77777777" w:rsidR="00735421" w:rsidRPr="0085699D" w:rsidRDefault="00735421" w:rsidP="00871479">
            <w:pPr>
              <w:pStyle w:val="NoSpacing"/>
              <w:jc w:val="center"/>
              <w:rPr>
                <w:rFonts w:ascii="Times New Roman" w:hAnsi="Times New Roman" w:cs="Times New Roman"/>
                <w:sz w:val="18"/>
                <w:szCs w:val="18"/>
              </w:rPr>
            </w:pPr>
            <w:r w:rsidRPr="0085699D">
              <w:rPr>
                <w:rFonts w:ascii="Times New Roman" w:hAnsi="Times New Roman" w:cs="Times New Roman"/>
                <w:sz w:val="18"/>
                <w:szCs w:val="18"/>
              </w:rPr>
              <w:t>70.03 (6.5)</w:t>
            </w:r>
          </w:p>
        </w:tc>
        <w:tc>
          <w:tcPr>
            <w:tcW w:w="671" w:type="dxa"/>
            <w:vAlign w:val="center"/>
            <w:hideMark/>
          </w:tcPr>
          <w:p w14:paraId="4884090A" w14:textId="77777777" w:rsidR="00735421" w:rsidRPr="0085699D" w:rsidRDefault="00735421" w:rsidP="00871479">
            <w:pPr>
              <w:pStyle w:val="NoSpacing"/>
              <w:jc w:val="center"/>
              <w:rPr>
                <w:rFonts w:ascii="Times New Roman" w:hAnsi="Times New Roman" w:cs="Times New Roman"/>
                <w:sz w:val="18"/>
                <w:szCs w:val="18"/>
              </w:rPr>
            </w:pPr>
            <w:r w:rsidRPr="0085699D">
              <w:rPr>
                <w:rFonts w:ascii="Times New Roman" w:hAnsi="Times New Roman" w:cs="Times New Roman"/>
                <w:sz w:val="18"/>
                <w:szCs w:val="18"/>
              </w:rPr>
              <w:t>314.64 (29.2)</w:t>
            </w:r>
          </w:p>
        </w:tc>
        <w:tc>
          <w:tcPr>
            <w:tcW w:w="988" w:type="dxa"/>
            <w:vAlign w:val="center"/>
            <w:hideMark/>
          </w:tcPr>
          <w:p w14:paraId="0C5B920A" w14:textId="77777777" w:rsidR="00735421" w:rsidRPr="0085699D" w:rsidRDefault="00735421" w:rsidP="00871479">
            <w:pPr>
              <w:pStyle w:val="NoSpacing"/>
              <w:jc w:val="center"/>
              <w:rPr>
                <w:rFonts w:ascii="Times New Roman" w:hAnsi="Times New Roman" w:cs="Times New Roman"/>
                <w:sz w:val="18"/>
                <w:szCs w:val="18"/>
              </w:rPr>
            </w:pPr>
            <w:r w:rsidRPr="0085699D">
              <w:rPr>
                <w:rFonts w:ascii="Times New Roman" w:hAnsi="Times New Roman" w:cs="Times New Roman"/>
                <w:sz w:val="18"/>
                <w:szCs w:val="18"/>
              </w:rPr>
              <w:t>26.59 (2.5)</w:t>
            </w:r>
          </w:p>
        </w:tc>
        <w:tc>
          <w:tcPr>
            <w:tcW w:w="758" w:type="dxa"/>
            <w:vAlign w:val="center"/>
            <w:hideMark/>
          </w:tcPr>
          <w:p w14:paraId="2FFE2F19" w14:textId="77777777" w:rsidR="00735421" w:rsidRPr="0085699D" w:rsidRDefault="00735421" w:rsidP="00871479">
            <w:pPr>
              <w:pStyle w:val="NoSpacing"/>
              <w:jc w:val="center"/>
              <w:rPr>
                <w:rFonts w:ascii="Times New Roman" w:hAnsi="Times New Roman" w:cs="Times New Roman"/>
                <w:sz w:val="18"/>
                <w:szCs w:val="18"/>
              </w:rPr>
            </w:pPr>
            <w:r w:rsidRPr="0085699D">
              <w:rPr>
                <w:rFonts w:ascii="Times New Roman" w:hAnsi="Times New Roman" w:cs="Times New Roman"/>
                <w:sz w:val="18"/>
                <w:szCs w:val="18"/>
              </w:rPr>
              <w:t>159.68 (14.9)</w:t>
            </w:r>
          </w:p>
        </w:tc>
        <w:tc>
          <w:tcPr>
            <w:tcW w:w="947" w:type="dxa"/>
            <w:vAlign w:val="center"/>
            <w:hideMark/>
          </w:tcPr>
          <w:p w14:paraId="4561A507" w14:textId="40C7AD5D" w:rsidR="00735421" w:rsidRPr="0085699D" w:rsidRDefault="00735421" w:rsidP="00871479">
            <w:pPr>
              <w:pStyle w:val="NoSpacing"/>
              <w:jc w:val="center"/>
              <w:rPr>
                <w:rFonts w:ascii="Times New Roman" w:hAnsi="Times New Roman" w:cs="Times New Roman"/>
                <w:sz w:val="18"/>
                <w:szCs w:val="18"/>
              </w:rPr>
            </w:pPr>
            <w:r w:rsidRPr="0085699D">
              <w:rPr>
                <w:rFonts w:ascii="Times New Roman" w:hAnsi="Times New Roman" w:cs="Times New Roman"/>
                <w:sz w:val="18"/>
                <w:szCs w:val="18"/>
              </w:rPr>
              <w:t>..</w:t>
            </w:r>
            <w:r>
              <w:rPr>
                <w:rFonts w:ascii="Times New Roman" w:hAnsi="Times New Roman" w:cs="Times New Roman"/>
                <w:sz w:val="18"/>
                <w:szCs w:val="18"/>
              </w:rPr>
              <w:br/>
              <w:t>(-)</w:t>
            </w:r>
          </w:p>
        </w:tc>
        <w:tc>
          <w:tcPr>
            <w:tcW w:w="988" w:type="dxa"/>
            <w:vAlign w:val="center"/>
            <w:hideMark/>
          </w:tcPr>
          <w:p w14:paraId="4E04DA4E" w14:textId="77777777" w:rsidR="00735421" w:rsidRPr="0085699D" w:rsidRDefault="00735421" w:rsidP="00871479">
            <w:pPr>
              <w:pStyle w:val="NoSpacing"/>
              <w:jc w:val="center"/>
              <w:rPr>
                <w:rFonts w:ascii="Times New Roman" w:hAnsi="Times New Roman" w:cs="Times New Roman"/>
                <w:sz w:val="18"/>
                <w:szCs w:val="18"/>
              </w:rPr>
            </w:pPr>
            <w:r w:rsidRPr="0085699D">
              <w:rPr>
                <w:rFonts w:ascii="Times New Roman" w:hAnsi="Times New Roman" w:cs="Times New Roman"/>
                <w:sz w:val="18"/>
                <w:szCs w:val="18"/>
              </w:rPr>
              <w:t>13.16 (1.2)</w:t>
            </w:r>
          </w:p>
        </w:tc>
        <w:tc>
          <w:tcPr>
            <w:tcW w:w="900" w:type="dxa"/>
            <w:vAlign w:val="center"/>
            <w:hideMark/>
          </w:tcPr>
          <w:p w14:paraId="2B37B73B" w14:textId="77777777" w:rsidR="00735421" w:rsidRPr="0085699D" w:rsidRDefault="00735421" w:rsidP="00871479">
            <w:pPr>
              <w:pStyle w:val="NoSpacing"/>
              <w:jc w:val="center"/>
              <w:rPr>
                <w:rFonts w:ascii="Times New Roman" w:hAnsi="Times New Roman" w:cs="Times New Roman"/>
                <w:sz w:val="18"/>
                <w:szCs w:val="18"/>
              </w:rPr>
            </w:pPr>
            <w:r w:rsidRPr="0085699D">
              <w:rPr>
                <w:rFonts w:ascii="Times New Roman" w:hAnsi="Times New Roman" w:cs="Times New Roman"/>
                <w:sz w:val="18"/>
                <w:szCs w:val="18"/>
              </w:rPr>
              <w:t>1.38 (0.1)</w:t>
            </w:r>
          </w:p>
        </w:tc>
        <w:tc>
          <w:tcPr>
            <w:tcW w:w="851" w:type="dxa"/>
            <w:vAlign w:val="center"/>
            <w:hideMark/>
          </w:tcPr>
          <w:p w14:paraId="137D248F" w14:textId="77777777" w:rsidR="00735421" w:rsidRPr="0085699D" w:rsidRDefault="00735421" w:rsidP="00871479">
            <w:pPr>
              <w:pStyle w:val="NoSpacing"/>
              <w:jc w:val="center"/>
              <w:rPr>
                <w:rFonts w:ascii="Times New Roman" w:hAnsi="Times New Roman" w:cs="Times New Roman"/>
                <w:sz w:val="18"/>
                <w:szCs w:val="18"/>
              </w:rPr>
            </w:pPr>
            <w:r w:rsidRPr="0085699D">
              <w:rPr>
                <w:rFonts w:ascii="Times New Roman" w:hAnsi="Times New Roman" w:cs="Times New Roman"/>
                <w:sz w:val="18"/>
                <w:szCs w:val="18"/>
              </w:rPr>
              <w:t>0.94 (0.1)</w:t>
            </w:r>
          </w:p>
        </w:tc>
        <w:tc>
          <w:tcPr>
            <w:tcW w:w="850" w:type="dxa"/>
            <w:vAlign w:val="center"/>
            <w:hideMark/>
          </w:tcPr>
          <w:p w14:paraId="42F0386C" w14:textId="77777777" w:rsidR="00735421" w:rsidRPr="0085699D" w:rsidRDefault="00735421" w:rsidP="00871479">
            <w:pPr>
              <w:pStyle w:val="NoSpacing"/>
              <w:jc w:val="center"/>
              <w:rPr>
                <w:rFonts w:ascii="Times New Roman" w:hAnsi="Times New Roman" w:cs="Times New Roman"/>
                <w:sz w:val="18"/>
                <w:szCs w:val="18"/>
              </w:rPr>
            </w:pPr>
            <w:r w:rsidRPr="0085699D">
              <w:rPr>
                <w:rFonts w:ascii="Times New Roman" w:hAnsi="Times New Roman" w:cs="Times New Roman"/>
                <w:sz w:val="18"/>
                <w:szCs w:val="18"/>
              </w:rPr>
              <w:t>201.75 (18.8)</w:t>
            </w:r>
          </w:p>
        </w:tc>
        <w:tc>
          <w:tcPr>
            <w:tcW w:w="993" w:type="dxa"/>
            <w:vAlign w:val="center"/>
            <w:hideMark/>
          </w:tcPr>
          <w:p w14:paraId="14B16319" w14:textId="77777777" w:rsidR="00735421" w:rsidRPr="0085699D" w:rsidRDefault="00735421" w:rsidP="00871479">
            <w:pPr>
              <w:pStyle w:val="NoSpacing"/>
              <w:jc w:val="center"/>
              <w:rPr>
                <w:rFonts w:ascii="Times New Roman" w:hAnsi="Times New Roman" w:cs="Times New Roman"/>
                <w:sz w:val="18"/>
                <w:szCs w:val="18"/>
              </w:rPr>
            </w:pPr>
            <w:r w:rsidRPr="0085699D">
              <w:rPr>
                <w:rFonts w:ascii="Times New Roman" w:hAnsi="Times New Roman" w:cs="Times New Roman"/>
                <w:sz w:val="18"/>
                <w:szCs w:val="18"/>
              </w:rPr>
              <w:t>1076.32 (100.0)</w:t>
            </w:r>
          </w:p>
        </w:tc>
      </w:tr>
      <w:tr w:rsidR="00735421" w:rsidRPr="0085699D" w14:paraId="5766F4E7" w14:textId="77777777" w:rsidTr="00871479">
        <w:trPr>
          <w:trHeight w:val="424"/>
        </w:trPr>
        <w:tc>
          <w:tcPr>
            <w:tcW w:w="993" w:type="dxa"/>
            <w:hideMark/>
          </w:tcPr>
          <w:p w14:paraId="775EF6D6" w14:textId="77777777" w:rsidR="00735421" w:rsidRPr="0085699D" w:rsidRDefault="00735421" w:rsidP="00735421">
            <w:pPr>
              <w:pStyle w:val="NoSpacing"/>
              <w:rPr>
                <w:rFonts w:ascii="Times New Roman" w:hAnsi="Times New Roman" w:cs="Times New Roman"/>
                <w:sz w:val="18"/>
                <w:szCs w:val="18"/>
              </w:rPr>
            </w:pPr>
            <w:r w:rsidRPr="0085699D">
              <w:rPr>
                <w:rFonts w:ascii="Times New Roman" w:hAnsi="Times New Roman" w:cs="Times New Roman"/>
                <w:sz w:val="18"/>
                <w:szCs w:val="18"/>
              </w:rPr>
              <w:t>West Bengal</w:t>
            </w:r>
          </w:p>
        </w:tc>
        <w:tc>
          <w:tcPr>
            <w:tcW w:w="992" w:type="dxa"/>
            <w:vAlign w:val="center"/>
            <w:hideMark/>
          </w:tcPr>
          <w:p w14:paraId="11306E73" w14:textId="77777777" w:rsidR="00735421" w:rsidRPr="0085699D" w:rsidRDefault="00735421" w:rsidP="00871479">
            <w:pPr>
              <w:pStyle w:val="NoSpacing"/>
              <w:jc w:val="center"/>
              <w:rPr>
                <w:rFonts w:ascii="Times New Roman" w:hAnsi="Times New Roman" w:cs="Times New Roman"/>
                <w:sz w:val="18"/>
                <w:szCs w:val="18"/>
              </w:rPr>
            </w:pPr>
            <w:r w:rsidRPr="0085699D">
              <w:rPr>
                <w:rFonts w:ascii="Times New Roman" w:hAnsi="Times New Roman" w:cs="Times New Roman"/>
                <w:sz w:val="18"/>
                <w:szCs w:val="18"/>
              </w:rPr>
              <w:t>68.50 (10.6)</w:t>
            </w:r>
          </w:p>
        </w:tc>
        <w:tc>
          <w:tcPr>
            <w:tcW w:w="851" w:type="dxa"/>
            <w:vAlign w:val="center"/>
            <w:hideMark/>
          </w:tcPr>
          <w:p w14:paraId="0A09EB40" w14:textId="77777777" w:rsidR="00735421" w:rsidRPr="0085699D" w:rsidRDefault="00735421" w:rsidP="00871479">
            <w:pPr>
              <w:pStyle w:val="NoSpacing"/>
              <w:jc w:val="center"/>
              <w:rPr>
                <w:rFonts w:ascii="Times New Roman" w:hAnsi="Times New Roman" w:cs="Times New Roman"/>
                <w:sz w:val="18"/>
                <w:szCs w:val="18"/>
              </w:rPr>
            </w:pPr>
            <w:r w:rsidRPr="0085699D">
              <w:rPr>
                <w:rFonts w:ascii="Times New Roman" w:hAnsi="Times New Roman" w:cs="Times New Roman"/>
                <w:sz w:val="18"/>
                <w:szCs w:val="18"/>
              </w:rPr>
              <w:t>129.72 (20.2)</w:t>
            </w:r>
          </w:p>
        </w:tc>
        <w:tc>
          <w:tcPr>
            <w:tcW w:w="914" w:type="dxa"/>
            <w:vAlign w:val="center"/>
            <w:hideMark/>
          </w:tcPr>
          <w:p w14:paraId="3992B5F1" w14:textId="77777777" w:rsidR="00735421" w:rsidRPr="0085699D" w:rsidRDefault="00735421" w:rsidP="00871479">
            <w:pPr>
              <w:pStyle w:val="NoSpacing"/>
              <w:jc w:val="center"/>
              <w:rPr>
                <w:rFonts w:ascii="Times New Roman" w:hAnsi="Times New Roman" w:cs="Times New Roman"/>
                <w:sz w:val="18"/>
                <w:szCs w:val="18"/>
              </w:rPr>
            </w:pPr>
            <w:r w:rsidRPr="0085699D">
              <w:rPr>
                <w:rFonts w:ascii="Times New Roman" w:hAnsi="Times New Roman" w:cs="Times New Roman"/>
                <w:sz w:val="18"/>
                <w:szCs w:val="18"/>
              </w:rPr>
              <w:t>198.22 (30.8)</w:t>
            </w:r>
          </w:p>
        </w:tc>
        <w:tc>
          <w:tcPr>
            <w:tcW w:w="977" w:type="dxa"/>
            <w:vAlign w:val="center"/>
            <w:hideMark/>
          </w:tcPr>
          <w:p w14:paraId="4C5AA129" w14:textId="77777777" w:rsidR="00735421" w:rsidRPr="0085699D" w:rsidRDefault="00735421" w:rsidP="00871479">
            <w:pPr>
              <w:pStyle w:val="NoSpacing"/>
              <w:jc w:val="center"/>
              <w:rPr>
                <w:rFonts w:ascii="Times New Roman" w:hAnsi="Times New Roman" w:cs="Times New Roman"/>
                <w:sz w:val="18"/>
                <w:szCs w:val="18"/>
              </w:rPr>
            </w:pPr>
            <w:r w:rsidRPr="0085699D">
              <w:rPr>
                <w:rFonts w:ascii="Times New Roman" w:hAnsi="Times New Roman" w:cs="Times New Roman"/>
                <w:sz w:val="18"/>
                <w:szCs w:val="18"/>
              </w:rPr>
              <w:t>8.27 (1.3)</w:t>
            </w:r>
          </w:p>
        </w:tc>
        <w:tc>
          <w:tcPr>
            <w:tcW w:w="709" w:type="dxa"/>
            <w:vAlign w:val="center"/>
            <w:hideMark/>
          </w:tcPr>
          <w:p w14:paraId="4BE58E17" w14:textId="77777777" w:rsidR="00735421" w:rsidRPr="0085699D" w:rsidRDefault="00735421" w:rsidP="00871479">
            <w:pPr>
              <w:pStyle w:val="NoSpacing"/>
              <w:jc w:val="center"/>
              <w:rPr>
                <w:rFonts w:ascii="Times New Roman" w:hAnsi="Times New Roman" w:cs="Times New Roman"/>
                <w:sz w:val="18"/>
                <w:szCs w:val="18"/>
              </w:rPr>
            </w:pPr>
            <w:r w:rsidRPr="0085699D">
              <w:rPr>
                <w:rFonts w:ascii="Times New Roman" w:hAnsi="Times New Roman" w:cs="Times New Roman"/>
                <w:sz w:val="18"/>
                <w:szCs w:val="18"/>
              </w:rPr>
              <w:t>149.71 (23.2)</w:t>
            </w:r>
          </w:p>
        </w:tc>
        <w:tc>
          <w:tcPr>
            <w:tcW w:w="767" w:type="dxa"/>
            <w:vAlign w:val="center"/>
            <w:hideMark/>
          </w:tcPr>
          <w:p w14:paraId="4088ED49" w14:textId="77777777" w:rsidR="00735421" w:rsidRPr="0085699D" w:rsidRDefault="00735421" w:rsidP="00871479">
            <w:pPr>
              <w:pStyle w:val="NoSpacing"/>
              <w:jc w:val="center"/>
              <w:rPr>
                <w:rFonts w:ascii="Times New Roman" w:hAnsi="Times New Roman" w:cs="Times New Roman"/>
                <w:sz w:val="18"/>
                <w:szCs w:val="18"/>
              </w:rPr>
            </w:pPr>
            <w:r w:rsidRPr="0085699D">
              <w:rPr>
                <w:rFonts w:ascii="Times New Roman" w:hAnsi="Times New Roman" w:cs="Times New Roman"/>
                <w:sz w:val="18"/>
                <w:szCs w:val="18"/>
              </w:rPr>
              <w:t>1.28 (0.2)</w:t>
            </w:r>
          </w:p>
        </w:tc>
        <w:tc>
          <w:tcPr>
            <w:tcW w:w="594" w:type="dxa"/>
            <w:vAlign w:val="center"/>
            <w:hideMark/>
          </w:tcPr>
          <w:p w14:paraId="6003D6B2" w14:textId="77777777" w:rsidR="00735421" w:rsidRPr="0085699D" w:rsidRDefault="00735421" w:rsidP="00871479">
            <w:pPr>
              <w:pStyle w:val="NoSpacing"/>
              <w:jc w:val="center"/>
              <w:rPr>
                <w:rFonts w:ascii="Times New Roman" w:hAnsi="Times New Roman" w:cs="Times New Roman"/>
                <w:sz w:val="18"/>
                <w:szCs w:val="18"/>
              </w:rPr>
            </w:pPr>
            <w:r w:rsidRPr="0085699D">
              <w:rPr>
                <w:rFonts w:ascii="Times New Roman" w:hAnsi="Times New Roman" w:cs="Times New Roman"/>
                <w:sz w:val="18"/>
                <w:szCs w:val="18"/>
              </w:rPr>
              <w:t>19.71 (3.1)</w:t>
            </w:r>
          </w:p>
        </w:tc>
        <w:tc>
          <w:tcPr>
            <w:tcW w:w="671" w:type="dxa"/>
            <w:vAlign w:val="center"/>
            <w:hideMark/>
          </w:tcPr>
          <w:p w14:paraId="0E5047F4" w14:textId="77777777" w:rsidR="00735421" w:rsidRPr="0085699D" w:rsidRDefault="00735421" w:rsidP="00871479">
            <w:pPr>
              <w:pStyle w:val="NoSpacing"/>
              <w:jc w:val="center"/>
              <w:rPr>
                <w:rFonts w:ascii="Times New Roman" w:hAnsi="Times New Roman" w:cs="Times New Roman"/>
                <w:sz w:val="18"/>
                <w:szCs w:val="18"/>
              </w:rPr>
            </w:pPr>
            <w:r w:rsidRPr="0085699D">
              <w:rPr>
                <w:rFonts w:ascii="Times New Roman" w:hAnsi="Times New Roman" w:cs="Times New Roman"/>
                <w:sz w:val="18"/>
                <w:szCs w:val="18"/>
              </w:rPr>
              <w:t>178.97 (27.8)</w:t>
            </w:r>
          </w:p>
        </w:tc>
        <w:tc>
          <w:tcPr>
            <w:tcW w:w="988" w:type="dxa"/>
            <w:vAlign w:val="center"/>
            <w:hideMark/>
          </w:tcPr>
          <w:p w14:paraId="38E51496" w14:textId="77777777" w:rsidR="00735421" w:rsidRPr="0085699D" w:rsidRDefault="00735421" w:rsidP="00871479">
            <w:pPr>
              <w:pStyle w:val="NoSpacing"/>
              <w:jc w:val="center"/>
              <w:rPr>
                <w:rFonts w:ascii="Times New Roman" w:hAnsi="Times New Roman" w:cs="Times New Roman"/>
                <w:sz w:val="18"/>
                <w:szCs w:val="18"/>
              </w:rPr>
            </w:pPr>
            <w:r w:rsidRPr="0085699D">
              <w:rPr>
                <w:rFonts w:ascii="Times New Roman" w:hAnsi="Times New Roman" w:cs="Times New Roman"/>
                <w:sz w:val="18"/>
                <w:szCs w:val="18"/>
              </w:rPr>
              <w:t>6.45 (1.0)</w:t>
            </w:r>
          </w:p>
        </w:tc>
        <w:tc>
          <w:tcPr>
            <w:tcW w:w="758" w:type="dxa"/>
            <w:vAlign w:val="center"/>
            <w:hideMark/>
          </w:tcPr>
          <w:p w14:paraId="47539A21" w14:textId="77777777" w:rsidR="00735421" w:rsidRPr="0085699D" w:rsidRDefault="00735421" w:rsidP="00871479">
            <w:pPr>
              <w:pStyle w:val="NoSpacing"/>
              <w:jc w:val="center"/>
              <w:rPr>
                <w:rFonts w:ascii="Times New Roman" w:hAnsi="Times New Roman" w:cs="Times New Roman"/>
                <w:sz w:val="18"/>
                <w:szCs w:val="18"/>
              </w:rPr>
            </w:pPr>
            <w:r w:rsidRPr="0085699D">
              <w:rPr>
                <w:rFonts w:ascii="Times New Roman" w:hAnsi="Times New Roman" w:cs="Times New Roman"/>
                <w:sz w:val="18"/>
                <w:szCs w:val="18"/>
              </w:rPr>
              <w:t>211.63 (32.8)</w:t>
            </w:r>
          </w:p>
        </w:tc>
        <w:tc>
          <w:tcPr>
            <w:tcW w:w="947" w:type="dxa"/>
            <w:vAlign w:val="center"/>
            <w:hideMark/>
          </w:tcPr>
          <w:p w14:paraId="6D4CC372" w14:textId="77777777" w:rsidR="00735421" w:rsidRPr="0085699D" w:rsidRDefault="00735421" w:rsidP="00871479">
            <w:pPr>
              <w:pStyle w:val="NoSpacing"/>
              <w:jc w:val="center"/>
              <w:rPr>
                <w:rFonts w:ascii="Times New Roman" w:hAnsi="Times New Roman" w:cs="Times New Roman"/>
                <w:sz w:val="18"/>
                <w:szCs w:val="18"/>
              </w:rPr>
            </w:pPr>
            <w:r w:rsidRPr="0085699D">
              <w:rPr>
                <w:rFonts w:ascii="Times New Roman" w:hAnsi="Times New Roman" w:cs="Times New Roman"/>
                <w:sz w:val="18"/>
                <w:szCs w:val="18"/>
              </w:rPr>
              <w:t>24.92 (3.9)</w:t>
            </w:r>
          </w:p>
        </w:tc>
        <w:tc>
          <w:tcPr>
            <w:tcW w:w="988" w:type="dxa"/>
            <w:vAlign w:val="center"/>
            <w:hideMark/>
          </w:tcPr>
          <w:p w14:paraId="34F2D5FD" w14:textId="77777777" w:rsidR="00735421" w:rsidRPr="0085699D" w:rsidRDefault="00735421" w:rsidP="00871479">
            <w:pPr>
              <w:pStyle w:val="NoSpacing"/>
              <w:jc w:val="center"/>
              <w:rPr>
                <w:rFonts w:ascii="Times New Roman" w:hAnsi="Times New Roman" w:cs="Times New Roman"/>
                <w:sz w:val="18"/>
                <w:szCs w:val="18"/>
              </w:rPr>
            </w:pPr>
            <w:r w:rsidRPr="0085699D">
              <w:rPr>
                <w:rFonts w:ascii="Times New Roman" w:hAnsi="Times New Roman" w:cs="Times New Roman"/>
                <w:sz w:val="18"/>
                <w:szCs w:val="18"/>
              </w:rPr>
              <w:t>23.10 (3.6)</w:t>
            </w:r>
          </w:p>
        </w:tc>
        <w:tc>
          <w:tcPr>
            <w:tcW w:w="900" w:type="dxa"/>
            <w:vAlign w:val="center"/>
            <w:hideMark/>
          </w:tcPr>
          <w:p w14:paraId="63082233" w14:textId="3012DC71" w:rsidR="00735421" w:rsidRPr="0085699D" w:rsidRDefault="00735421" w:rsidP="00871479">
            <w:pPr>
              <w:pStyle w:val="NoSpacing"/>
              <w:jc w:val="center"/>
              <w:rPr>
                <w:rFonts w:ascii="Times New Roman" w:hAnsi="Times New Roman" w:cs="Times New Roman"/>
                <w:sz w:val="18"/>
                <w:szCs w:val="18"/>
              </w:rPr>
            </w:pPr>
            <w:r w:rsidRPr="0085699D">
              <w:rPr>
                <w:rFonts w:ascii="Times New Roman" w:hAnsi="Times New Roman" w:cs="Times New Roman"/>
                <w:sz w:val="18"/>
                <w:szCs w:val="18"/>
              </w:rPr>
              <w:t>..</w:t>
            </w:r>
            <w:r>
              <w:rPr>
                <w:rFonts w:ascii="Times New Roman" w:hAnsi="Times New Roman" w:cs="Times New Roman"/>
                <w:sz w:val="18"/>
                <w:szCs w:val="18"/>
              </w:rPr>
              <w:br/>
              <w:t>(-)</w:t>
            </w:r>
          </w:p>
        </w:tc>
        <w:tc>
          <w:tcPr>
            <w:tcW w:w="851" w:type="dxa"/>
            <w:vAlign w:val="center"/>
            <w:hideMark/>
          </w:tcPr>
          <w:p w14:paraId="4A14EFD2" w14:textId="77777777" w:rsidR="00735421" w:rsidRPr="0085699D" w:rsidRDefault="00735421" w:rsidP="00871479">
            <w:pPr>
              <w:pStyle w:val="NoSpacing"/>
              <w:jc w:val="center"/>
              <w:rPr>
                <w:rFonts w:ascii="Times New Roman" w:hAnsi="Times New Roman" w:cs="Times New Roman"/>
                <w:sz w:val="18"/>
                <w:szCs w:val="18"/>
              </w:rPr>
            </w:pPr>
            <w:r w:rsidRPr="0085699D">
              <w:rPr>
                <w:rFonts w:ascii="Times New Roman" w:hAnsi="Times New Roman" w:cs="Times New Roman"/>
                <w:sz w:val="18"/>
                <w:szCs w:val="18"/>
              </w:rPr>
              <w:t>0.82 (0.1)</w:t>
            </w:r>
          </w:p>
        </w:tc>
        <w:tc>
          <w:tcPr>
            <w:tcW w:w="850" w:type="dxa"/>
            <w:vAlign w:val="center"/>
            <w:hideMark/>
          </w:tcPr>
          <w:p w14:paraId="20411758" w14:textId="77777777" w:rsidR="00735421" w:rsidRPr="0085699D" w:rsidRDefault="00735421" w:rsidP="00871479">
            <w:pPr>
              <w:pStyle w:val="NoSpacing"/>
              <w:jc w:val="center"/>
              <w:rPr>
                <w:rFonts w:ascii="Times New Roman" w:hAnsi="Times New Roman" w:cs="Times New Roman"/>
                <w:sz w:val="18"/>
                <w:szCs w:val="18"/>
              </w:rPr>
            </w:pPr>
            <w:r w:rsidRPr="0085699D">
              <w:rPr>
                <w:rFonts w:ascii="Times New Roman" w:hAnsi="Times New Roman" w:cs="Times New Roman"/>
                <w:sz w:val="18"/>
                <w:szCs w:val="18"/>
              </w:rPr>
              <w:t>266.92 (41.4)</w:t>
            </w:r>
          </w:p>
        </w:tc>
        <w:tc>
          <w:tcPr>
            <w:tcW w:w="993" w:type="dxa"/>
            <w:vAlign w:val="center"/>
            <w:hideMark/>
          </w:tcPr>
          <w:p w14:paraId="7C294C74" w14:textId="77777777" w:rsidR="00735421" w:rsidRPr="0085699D" w:rsidRDefault="00735421" w:rsidP="00871479">
            <w:pPr>
              <w:pStyle w:val="NoSpacing"/>
              <w:jc w:val="center"/>
              <w:rPr>
                <w:rFonts w:ascii="Times New Roman" w:hAnsi="Times New Roman" w:cs="Times New Roman"/>
                <w:sz w:val="18"/>
                <w:szCs w:val="18"/>
              </w:rPr>
            </w:pPr>
            <w:r w:rsidRPr="0085699D">
              <w:rPr>
                <w:rFonts w:ascii="Times New Roman" w:hAnsi="Times New Roman" w:cs="Times New Roman"/>
                <w:sz w:val="18"/>
                <w:szCs w:val="18"/>
              </w:rPr>
              <w:t>644.11 (100.0)</w:t>
            </w:r>
          </w:p>
        </w:tc>
      </w:tr>
      <w:tr w:rsidR="00937698" w:rsidRPr="0085699D" w14:paraId="6EC666C4" w14:textId="77777777" w:rsidTr="00871479">
        <w:trPr>
          <w:trHeight w:val="544"/>
        </w:trPr>
        <w:tc>
          <w:tcPr>
            <w:tcW w:w="993" w:type="dxa"/>
            <w:hideMark/>
          </w:tcPr>
          <w:p w14:paraId="23CE1803" w14:textId="77777777" w:rsidR="00937698" w:rsidRPr="0085699D" w:rsidRDefault="00937698" w:rsidP="00B77C0B">
            <w:pPr>
              <w:pStyle w:val="NoSpacing"/>
              <w:rPr>
                <w:rFonts w:ascii="Times New Roman" w:hAnsi="Times New Roman" w:cs="Times New Roman"/>
                <w:sz w:val="18"/>
                <w:szCs w:val="18"/>
              </w:rPr>
            </w:pPr>
            <w:r w:rsidRPr="0085699D">
              <w:rPr>
                <w:rFonts w:ascii="Times New Roman" w:hAnsi="Times New Roman" w:cs="Times New Roman"/>
                <w:sz w:val="18"/>
                <w:szCs w:val="18"/>
              </w:rPr>
              <w:t>TOTAL</w:t>
            </w:r>
          </w:p>
        </w:tc>
        <w:tc>
          <w:tcPr>
            <w:tcW w:w="992" w:type="dxa"/>
            <w:vAlign w:val="center"/>
            <w:hideMark/>
          </w:tcPr>
          <w:p w14:paraId="347BF99E" w14:textId="77777777" w:rsidR="00937698" w:rsidRPr="0085699D" w:rsidRDefault="00937698" w:rsidP="00871479">
            <w:pPr>
              <w:pStyle w:val="NoSpacing"/>
              <w:jc w:val="center"/>
              <w:rPr>
                <w:rFonts w:ascii="Times New Roman" w:hAnsi="Times New Roman" w:cs="Times New Roman"/>
                <w:sz w:val="18"/>
                <w:szCs w:val="18"/>
              </w:rPr>
            </w:pPr>
            <w:r w:rsidRPr="0085699D">
              <w:rPr>
                <w:rFonts w:ascii="Times New Roman" w:hAnsi="Times New Roman" w:cs="Times New Roman"/>
                <w:sz w:val="18"/>
                <w:szCs w:val="18"/>
              </w:rPr>
              <w:t>1930.90 (22.9)</w:t>
            </w:r>
          </w:p>
        </w:tc>
        <w:tc>
          <w:tcPr>
            <w:tcW w:w="851" w:type="dxa"/>
            <w:vAlign w:val="center"/>
            <w:hideMark/>
          </w:tcPr>
          <w:p w14:paraId="1323E3AA" w14:textId="77777777" w:rsidR="00937698" w:rsidRPr="0085699D" w:rsidRDefault="00937698" w:rsidP="00871479">
            <w:pPr>
              <w:pStyle w:val="NoSpacing"/>
              <w:jc w:val="center"/>
              <w:rPr>
                <w:rFonts w:ascii="Times New Roman" w:hAnsi="Times New Roman" w:cs="Times New Roman"/>
                <w:sz w:val="18"/>
                <w:szCs w:val="18"/>
              </w:rPr>
            </w:pPr>
            <w:r w:rsidRPr="0085699D">
              <w:rPr>
                <w:rFonts w:ascii="Times New Roman" w:hAnsi="Times New Roman" w:cs="Times New Roman"/>
                <w:sz w:val="18"/>
                <w:szCs w:val="18"/>
              </w:rPr>
              <w:t>1229.03 (14.5)</w:t>
            </w:r>
          </w:p>
        </w:tc>
        <w:tc>
          <w:tcPr>
            <w:tcW w:w="914" w:type="dxa"/>
            <w:vAlign w:val="center"/>
            <w:hideMark/>
          </w:tcPr>
          <w:p w14:paraId="62E1AC40" w14:textId="77777777" w:rsidR="00937698" w:rsidRPr="0085699D" w:rsidRDefault="00937698" w:rsidP="00871479">
            <w:pPr>
              <w:pStyle w:val="NoSpacing"/>
              <w:jc w:val="center"/>
              <w:rPr>
                <w:rFonts w:ascii="Times New Roman" w:hAnsi="Times New Roman" w:cs="Times New Roman"/>
                <w:sz w:val="18"/>
                <w:szCs w:val="18"/>
              </w:rPr>
            </w:pPr>
            <w:r w:rsidRPr="0085699D">
              <w:rPr>
                <w:rFonts w:ascii="Times New Roman" w:hAnsi="Times New Roman" w:cs="Times New Roman"/>
                <w:sz w:val="18"/>
                <w:szCs w:val="18"/>
              </w:rPr>
              <w:t>3159.93 (37.4)</w:t>
            </w:r>
          </w:p>
        </w:tc>
        <w:tc>
          <w:tcPr>
            <w:tcW w:w="977" w:type="dxa"/>
            <w:vAlign w:val="center"/>
            <w:hideMark/>
          </w:tcPr>
          <w:p w14:paraId="0699F5A2" w14:textId="77777777" w:rsidR="00937698" w:rsidRPr="0085699D" w:rsidRDefault="00937698" w:rsidP="00871479">
            <w:pPr>
              <w:pStyle w:val="NoSpacing"/>
              <w:jc w:val="center"/>
              <w:rPr>
                <w:rFonts w:ascii="Times New Roman" w:hAnsi="Times New Roman" w:cs="Times New Roman"/>
                <w:sz w:val="18"/>
                <w:szCs w:val="18"/>
              </w:rPr>
            </w:pPr>
            <w:r w:rsidRPr="0085699D">
              <w:rPr>
                <w:rFonts w:ascii="Times New Roman" w:hAnsi="Times New Roman" w:cs="Times New Roman"/>
                <w:sz w:val="18"/>
                <w:szCs w:val="18"/>
              </w:rPr>
              <w:t>1178.08 (14.0)</w:t>
            </w:r>
          </w:p>
        </w:tc>
        <w:tc>
          <w:tcPr>
            <w:tcW w:w="709" w:type="dxa"/>
            <w:vAlign w:val="center"/>
            <w:hideMark/>
          </w:tcPr>
          <w:p w14:paraId="5B710E48" w14:textId="77777777" w:rsidR="00937698" w:rsidRPr="0085699D" w:rsidRDefault="00937698" w:rsidP="00871479">
            <w:pPr>
              <w:pStyle w:val="NoSpacing"/>
              <w:jc w:val="center"/>
              <w:rPr>
                <w:rFonts w:ascii="Times New Roman" w:hAnsi="Times New Roman" w:cs="Times New Roman"/>
                <w:sz w:val="18"/>
                <w:szCs w:val="18"/>
              </w:rPr>
            </w:pPr>
            <w:r w:rsidRPr="0085699D">
              <w:rPr>
                <w:rFonts w:ascii="Times New Roman" w:hAnsi="Times New Roman" w:cs="Times New Roman"/>
                <w:sz w:val="18"/>
                <w:szCs w:val="18"/>
              </w:rPr>
              <w:t>1028.73 (12.2)</w:t>
            </w:r>
          </w:p>
        </w:tc>
        <w:tc>
          <w:tcPr>
            <w:tcW w:w="767" w:type="dxa"/>
            <w:vAlign w:val="center"/>
            <w:hideMark/>
          </w:tcPr>
          <w:p w14:paraId="1B3DD678" w14:textId="77777777" w:rsidR="00937698" w:rsidRPr="0085699D" w:rsidRDefault="00937698" w:rsidP="00871479">
            <w:pPr>
              <w:pStyle w:val="NoSpacing"/>
              <w:jc w:val="center"/>
              <w:rPr>
                <w:rFonts w:ascii="Times New Roman" w:hAnsi="Times New Roman" w:cs="Times New Roman"/>
                <w:sz w:val="18"/>
                <w:szCs w:val="18"/>
              </w:rPr>
            </w:pPr>
            <w:r w:rsidRPr="0085699D">
              <w:rPr>
                <w:rFonts w:ascii="Times New Roman" w:hAnsi="Times New Roman" w:cs="Times New Roman"/>
                <w:sz w:val="18"/>
                <w:szCs w:val="18"/>
              </w:rPr>
              <w:t>324.41 (3.8)</w:t>
            </w:r>
          </w:p>
        </w:tc>
        <w:tc>
          <w:tcPr>
            <w:tcW w:w="594" w:type="dxa"/>
            <w:vAlign w:val="center"/>
            <w:hideMark/>
          </w:tcPr>
          <w:p w14:paraId="2E598C2B" w14:textId="77777777" w:rsidR="00937698" w:rsidRPr="0085699D" w:rsidRDefault="00937698" w:rsidP="00871479">
            <w:pPr>
              <w:pStyle w:val="NoSpacing"/>
              <w:jc w:val="center"/>
              <w:rPr>
                <w:rFonts w:ascii="Times New Roman" w:hAnsi="Times New Roman" w:cs="Times New Roman"/>
                <w:sz w:val="18"/>
                <w:szCs w:val="18"/>
              </w:rPr>
            </w:pPr>
            <w:r w:rsidRPr="0085699D">
              <w:rPr>
                <w:rFonts w:ascii="Times New Roman" w:hAnsi="Times New Roman" w:cs="Times New Roman"/>
                <w:sz w:val="18"/>
                <w:szCs w:val="18"/>
              </w:rPr>
              <w:t>582.50 (6.9)</w:t>
            </w:r>
          </w:p>
        </w:tc>
        <w:tc>
          <w:tcPr>
            <w:tcW w:w="671" w:type="dxa"/>
            <w:vAlign w:val="center"/>
            <w:hideMark/>
          </w:tcPr>
          <w:p w14:paraId="3C63078B" w14:textId="77777777" w:rsidR="00937698" w:rsidRPr="0085699D" w:rsidRDefault="00937698" w:rsidP="00871479">
            <w:pPr>
              <w:pStyle w:val="NoSpacing"/>
              <w:jc w:val="center"/>
              <w:rPr>
                <w:rFonts w:ascii="Times New Roman" w:hAnsi="Times New Roman" w:cs="Times New Roman"/>
                <w:sz w:val="18"/>
                <w:szCs w:val="18"/>
              </w:rPr>
            </w:pPr>
            <w:r w:rsidRPr="0085699D">
              <w:rPr>
                <w:rFonts w:ascii="Times New Roman" w:hAnsi="Times New Roman" w:cs="Times New Roman"/>
                <w:sz w:val="18"/>
                <w:szCs w:val="18"/>
              </w:rPr>
              <w:t>3113.72 (36.9)</w:t>
            </w:r>
          </w:p>
        </w:tc>
        <w:tc>
          <w:tcPr>
            <w:tcW w:w="988" w:type="dxa"/>
            <w:vAlign w:val="center"/>
            <w:hideMark/>
          </w:tcPr>
          <w:p w14:paraId="3E2522A2" w14:textId="77777777" w:rsidR="00937698" w:rsidRPr="0085699D" w:rsidRDefault="00937698" w:rsidP="00871479">
            <w:pPr>
              <w:pStyle w:val="NoSpacing"/>
              <w:jc w:val="center"/>
              <w:rPr>
                <w:rFonts w:ascii="Times New Roman" w:hAnsi="Times New Roman" w:cs="Times New Roman"/>
                <w:sz w:val="18"/>
                <w:szCs w:val="18"/>
              </w:rPr>
            </w:pPr>
            <w:r w:rsidRPr="0085699D">
              <w:rPr>
                <w:rFonts w:ascii="Times New Roman" w:hAnsi="Times New Roman" w:cs="Times New Roman"/>
                <w:sz w:val="18"/>
                <w:szCs w:val="18"/>
              </w:rPr>
              <w:t>364.57 (4.3)</w:t>
            </w:r>
          </w:p>
        </w:tc>
        <w:tc>
          <w:tcPr>
            <w:tcW w:w="758" w:type="dxa"/>
            <w:vAlign w:val="center"/>
            <w:hideMark/>
          </w:tcPr>
          <w:p w14:paraId="31AE711A" w14:textId="77777777" w:rsidR="00937698" w:rsidRPr="0085699D" w:rsidRDefault="00937698" w:rsidP="00871479">
            <w:pPr>
              <w:pStyle w:val="NoSpacing"/>
              <w:jc w:val="center"/>
              <w:rPr>
                <w:rFonts w:ascii="Times New Roman" w:hAnsi="Times New Roman" w:cs="Times New Roman"/>
                <w:sz w:val="18"/>
                <w:szCs w:val="18"/>
              </w:rPr>
            </w:pPr>
            <w:r w:rsidRPr="0085699D">
              <w:rPr>
                <w:rFonts w:ascii="Times New Roman" w:hAnsi="Times New Roman" w:cs="Times New Roman"/>
                <w:sz w:val="18"/>
                <w:szCs w:val="18"/>
              </w:rPr>
              <w:t>1365.38 (16.2)</w:t>
            </w:r>
          </w:p>
        </w:tc>
        <w:tc>
          <w:tcPr>
            <w:tcW w:w="947" w:type="dxa"/>
            <w:vAlign w:val="center"/>
            <w:hideMark/>
          </w:tcPr>
          <w:p w14:paraId="0C35BA88" w14:textId="77777777" w:rsidR="00937698" w:rsidRPr="0085699D" w:rsidRDefault="00937698" w:rsidP="00871479">
            <w:pPr>
              <w:pStyle w:val="NoSpacing"/>
              <w:jc w:val="center"/>
              <w:rPr>
                <w:rFonts w:ascii="Times New Roman" w:hAnsi="Times New Roman" w:cs="Times New Roman"/>
                <w:sz w:val="18"/>
                <w:szCs w:val="18"/>
              </w:rPr>
            </w:pPr>
            <w:r w:rsidRPr="0085699D">
              <w:rPr>
                <w:rFonts w:ascii="Times New Roman" w:hAnsi="Times New Roman" w:cs="Times New Roman"/>
                <w:sz w:val="18"/>
                <w:szCs w:val="18"/>
              </w:rPr>
              <w:t>128.40 (1.5)</w:t>
            </w:r>
          </w:p>
        </w:tc>
        <w:tc>
          <w:tcPr>
            <w:tcW w:w="988" w:type="dxa"/>
            <w:vAlign w:val="center"/>
            <w:hideMark/>
          </w:tcPr>
          <w:p w14:paraId="04419CD8" w14:textId="77777777" w:rsidR="00937698" w:rsidRPr="0085699D" w:rsidRDefault="00937698" w:rsidP="00871479">
            <w:pPr>
              <w:pStyle w:val="NoSpacing"/>
              <w:jc w:val="center"/>
              <w:rPr>
                <w:rFonts w:ascii="Times New Roman" w:hAnsi="Times New Roman" w:cs="Times New Roman"/>
                <w:sz w:val="18"/>
                <w:szCs w:val="18"/>
              </w:rPr>
            </w:pPr>
            <w:r w:rsidRPr="0085699D">
              <w:rPr>
                <w:rFonts w:ascii="Times New Roman" w:hAnsi="Times New Roman" w:cs="Times New Roman"/>
                <w:sz w:val="18"/>
                <w:szCs w:val="18"/>
              </w:rPr>
              <w:t>114.15 (1.4)</w:t>
            </w:r>
          </w:p>
        </w:tc>
        <w:tc>
          <w:tcPr>
            <w:tcW w:w="900" w:type="dxa"/>
            <w:vAlign w:val="center"/>
            <w:hideMark/>
          </w:tcPr>
          <w:p w14:paraId="642ACF1A" w14:textId="77777777" w:rsidR="00937698" w:rsidRPr="0085699D" w:rsidRDefault="00937698" w:rsidP="00871479">
            <w:pPr>
              <w:pStyle w:val="NoSpacing"/>
              <w:jc w:val="center"/>
              <w:rPr>
                <w:rFonts w:ascii="Times New Roman" w:hAnsi="Times New Roman" w:cs="Times New Roman"/>
                <w:sz w:val="18"/>
                <w:szCs w:val="18"/>
              </w:rPr>
            </w:pPr>
            <w:r w:rsidRPr="0085699D">
              <w:rPr>
                <w:rFonts w:ascii="Times New Roman" w:hAnsi="Times New Roman" w:cs="Times New Roman"/>
                <w:sz w:val="18"/>
                <w:szCs w:val="18"/>
              </w:rPr>
              <w:t>123.46 (1.5)</w:t>
            </w:r>
          </w:p>
        </w:tc>
        <w:tc>
          <w:tcPr>
            <w:tcW w:w="851" w:type="dxa"/>
            <w:vAlign w:val="center"/>
            <w:hideMark/>
          </w:tcPr>
          <w:p w14:paraId="595800F8" w14:textId="77777777" w:rsidR="00937698" w:rsidRPr="0085699D" w:rsidRDefault="00937698" w:rsidP="00871479">
            <w:pPr>
              <w:pStyle w:val="NoSpacing"/>
              <w:jc w:val="center"/>
              <w:rPr>
                <w:rFonts w:ascii="Times New Roman" w:hAnsi="Times New Roman" w:cs="Times New Roman"/>
                <w:sz w:val="18"/>
                <w:szCs w:val="18"/>
              </w:rPr>
            </w:pPr>
            <w:r w:rsidRPr="0085699D">
              <w:rPr>
                <w:rFonts w:ascii="Times New Roman" w:hAnsi="Times New Roman" w:cs="Times New Roman"/>
                <w:sz w:val="18"/>
                <w:szCs w:val="18"/>
              </w:rPr>
              <w:t>68.80 (0.8)</w:t>
            </w:r>
          </w:p>
        </w:tc>
        <w:tc>
          <w:tcPr>
            <w:tcW w:w="850" w:type="dxa"/>
            <w:vAlign w:val="center"/>
            <w:hideMark/>
          </w:tcPr>
          <w:p w14:paraId="202A12D9" w14:textId="77777777" w:rsidR="00937698" w:rsidRPr="0085699D" w:rsidRDefault="00937698" w:rsidP="00871479">
            <w:pPr>
              <w:pStyle w:val="NoSpacing"/>
              <w:jc w:val="center"/>
              <w:rPr>
                <w:rFonts w:ascii="Times New Roman" w:hAnsi="Times New Roman" w:cs="Times New Roman"/>
                <w:sz w:val="18"/>
                <w:szCs w:val="18"/>
              </w:rPr>
            </w:pPr>
            <w:r w:rsidRPr="0085699D">
              <w:rPr>
                <w:rFonts w:ascii="Times New Roman" w:hAnsi="Times New Roman" w:cs="Times New Roman"/>
                <w:sz w:val="18"/>
                <w:szCs w:val="18"/>
              </w:rPr>
              <w:t>2164.76 (25.7)</w:t>
            </w:r>
          </w:p>
        </w:tc>
        <w:tc>
          <w:tcPr>
            <w:tcW w:w="993" w:type="dxa"/>
            <w:vAlign w:val="center"/>
            <w:hideMark/>
          </w:tcPr>
          <w:p w14:paraId="0921BFC4" w14:textId="77777777" w:rsidR="00937698" w:rsidRPr="0085699D" w:rsidRDefault="00937698" w:rsidP="00871479">
            <w:pPr>
              <w:pStyle w:val="NoSpacing"/>
              <w:jc w:val="center"/>
              <w:rPr>
                <w:rFonts w:ascii="Times New Roman" w:hAnsi="Times New Roman" w:cs="Times New Roman"/>
                <w:sz w:val="18"/>
                <w:szCs w:val="18"/>
              </w:rPr>
            </w:pPr>
            <w:r w:rsidRPr="0085699D">
              <w:rPr>
                <w:rFonts w:ascii="Times New Roman" w:hAnsi="Times New Roman" w:cs="Times New Roman"/>
                <w:sz w:val="18"/>
                <w:szCs w:val="18"/>
              </w:rPr>
              <w:t>8438.41 (100.0)</w:t>
            </w:r>
          </w:p>
        </w:tc>
      </w:tr>
    </w:tbl>
    <w:p w14:paraId="4C615F9E" w14:textId="77777777" w:rsidR="00937698" w:rsidRPr="00871479" w:rsidRDefault="00937698" w:rsidP="00937698">
      <w:pPr>
        <w:tabs>
          <w:tab w:val="left" w:pos="3306"/>
        </w:tabs>
        <w:spacing w:after="0"/>
        <w:rPr>
          <w:rFonts w:ascii="Times New Roman" w:hAnsi="Times New Roman" w:cs="Times New Roman"/>
          <w:sz w:val="20"/>
          <w:szCs w:val="20"/>
        </w:rPr>
      </w:pPr>
      <w:r w:rsidRPr="00871479">
        <w:rPr>
          <w:rFonts w:ascii="Times New Roman" w:hAnsi="Times New Roman" w:cs="Times New Roman"/>
          <w:sz w:val="20"/>
          <w:szCs w:val="20"/>
        </w:rPr>
        <w:t>* These include Jagir Bonds, Zamindari Bonds, etc.</w:t>
      </w:r>
      <w:r w:rsidRPr="00871479">
        <w:rPr>
          <w:rFonts w:ascii="Times New Roman" w:hAnsi="Times New Roman" w:cs="Times New Roman"/>
          <w:sz w:val="20"/>
          <w:szCs w:val="20"/>
        </w:rPr>
        <w:br/>
        <w:t>§ Figures in brackets relate to percentage of each item to the total.</w:t>
      </w:r>
    </w:p>
    <w:p w14:paraId="4E9E1853" w14:textId="77777777" w:rsidR="00937698" w:rsidRPr="00871479" w:rsidRDefault="00937698" w:rsidP="00937698">
      <w:pPr>
        <w:tabs>
          <w:tab w:val="left" w:pos="3306"/>
        </w:tabs>
        <w:spacing w:after="0"/>
        <w:rPr>
          <w:rFonts w:ascii="Times New Roman" w:hAnsi="Times New Roman" w:cs="Times New Roman"/>
          <w:sz w:val="20"/>
          <w:szCs w:val="20"/>
        </w:rPr>
      </w:pPr>
      <w:r w:rsidRPr="00871479">
        <w:rPr>
          <w:rFonts w:ascii="Times New Roman" w:hAnsi="Times New Roman" w:cs="Times New Roman"/>
          <w:sz w:val="20"/>
          <w:szCs w:val="20"/>
        </w:rPr>
        <w:t>N.B.- Allocation of Capital expenditure of composite Punjab and Haryana does not appear to have been carried out.</w:t>
      </w:r>
    </w:p>
    <w:p w14:paraId="2217FF85" w14:textId="77777777" w:rsidR="00937698" w:rsidRPr="00871479" w:rsidRDefault="00937698" w:rsidP="00937698">
      <w:pPr>
        <w:tabs>
          <w:tab w:val="left" w:pos="3306"/>
        </w:tabs>
        <w:spacing w:after="0"/>
        <w:rPr>
          <w:rFonts w:ascii="Times New Roman" w:hAnsi="Times New Roman" w:cs="Times New Roman"/>
          <w:sz w:val="20"/>
          <w:szCs w:val="20"/>
        </w:rPr>
      </w:pPr>
      <w:r w:rsidRPr="00871479">
        <w:rPr>
          <w:rFonts w:ascii="Times New Roman" w:hAnsi="Times New Roman" w:cs="Times New Roman"/>
          <w:sz w:val="20"/>
          <w:szCs w:val="20"/>
        </w:rPr>
        <w:t>Source: state finance Accounts for 1967-68 and state Budgets.</w:t>
      </w:r>
    </w:p>
    <w:p w14:paraId="24F19AA2" w14:textId="5A589B0A" w:rsidR="00937698" w:rsidRPr="007245B0" w:rsidRDefault="00937698">
      <w:pPr>
        <w:rPr>
          <w:rFonts w:ascii="Times New Roman" w:hAnsi="Times New Roman" w:cs="Times New Roman"/>
        </w:rPr>
      </w:pPr>
      <w:r w:rsidRPr="007245B0">
        <w:rPr>
          <w:rFonts w:ascii="Times New Roman" w:hAnsi="Times New Roman" w:cs="Times New Roman"/>
        </w:rPr>
        <w:br w:type="page"/>
      </w:r>
    </w:p>
    <w:p w14:paraId="756B700B" w14:textId="77777777" w:rsidR="00937698" w:rsidRPr="007245B0" w:rsidRDefault="00937698">
      <w:pPr>
        <w:tabs>
          <w:tab w:val="left" w:pos="7880"/>
        </w:tabs>
        <w:rPr>
          <w:rFonts w:ascii="Times New Roman" w:hAnsi="Times New Roman" w:cs="Times New Roman"/>
        </w:rPr>
        <w:sectPr w:rsidR="00937698" w:rsidRPr="007245B0" w:rsidSect="00BA4141">
          <w:pgSz w:w="15840" w:h="12240" w:orient="landscape"/>
          <w:pgMar w:top="1440" w:right="992" w:bottom="1440" w:left="1440" w:header="720" w:footer="720" w:gutter="0"/>
          <w:cols w:space="720"/>
        </w:sectPr>
      </w:pPr>
    </w:p>
    <w:p w14:paraId="40CF1396" w14:textId="2ACFF01B" w:rsidR="00937698" w:rsidRPr="007245B0" w:rsidRDefault="00574BCE" w:rsidP="00871479">
      <w:pPr>
        <w:pStyle w:val="Heading4"/>
      </w:pPr>
      <w:bookmarkStart w:id="159" w:name="_Toc220949723"/>
      <w:bookmarkStart w:id="160" w:name="_Toc221114323"/>
      <w:bookmarkStart w:id="161" w:name="_Toc221115346"/>
      <w:r>
        <w:lastRenderedPageBreak/>
        <w:t>Table</w:t>
      </w:r>
      <w:r w:rsidR="00937698" w:rsidRPr="007245B0">
        <w:t xml:space="preserve"> </w:t>
      </w:r>
      <w:r w:rsidR="00871479" w:rsidRPr="007245B0">
        <w:t>42:</w:t>
      </w:r>
      <w:r w:rsidR="00937698" w:rsidRPr="007245B0">
        <w:t xml:space="preserve"> Rate of Dividends on State Investments</w:t>
      </w:r>
      <w:bookmarkEnd w:id="159"/>
      <w:bookmarkEnd w:id="160"/>
      <w:bookmarkEnd w:id="161"/>
    </w:p>
    <w:p w14:paraId="632F400D" w14:textId="77777777" w:rsidR="00937698" w:rsidRPr="007245B0" w:rsidRDefault="00937698" w:rsidP="00937698">
      <w:pPr>
        <w:tabs>
          <w:tab w:val="left" w:pos="3306"/>
        </w:tabs>
        <w:jc w:val="right"/>
        <w:rPr>
          <w:rFonts w:ascii="Times New Roman" w:hAnsi="Times New Roman" w:cs="Times New Roman"/>
          <w:i/>
          <w:iCs/>
          <w:szCs w:val="24"/>
        </w:rPr>
      </w:pPr>
      <w:r w:rsidRPr="007245B0">
        <w:rPr>
          <w:rFonts w:ascii="Times New Roman" w:hAnsi="Times New Roman" w:cs="Times New Roman"/>
          <w:i/>
          <w:iCs/>
          <w:szCs w:val="24"/>
        </w:rPr>
        <w:t>(Rs. lakhs)</w:t>
      </w:r>
    </w:p>
    <w:tbl>
      <w:tblPr>
        <w:tblStyle w:val="TableGrid"/>
        <w:tblW w:w="10936" w:type="dxa"/>
        <w:jc w:val="center"/>
        <w:tblLook w:val="04A0" w:firstRow="1" w:lastRow="0" w:firstColumn="1" w:lastColumn="0" w:noHBand="0" w:noVBand="1"/>
      </w:tblPr>
      <w:tblGrid>
        <w:gridCol w:w="1830"/>
        <w:gridCol w:w="3527"/>
        <w:gridCol w:w="2430"/>
        <w:gridCol w:w="3149"/>
      </w:tblGrid>
      <w:tr w:rsidR="00937698" w:rsidRPr="007245B0" w14:paraId="13385A26" w14:textId="77777777" w:rsidTr="00871479">
        <w:trPr>
          <w:trHeight w:val="1232"/>
          <w:jc w:val="center"/>
        </w:trPr>
        <w:tc>
          <w:tcPr>
            <w:tcW w:w="0" w:type="auto"/>
            <w:vAlign w:val="center"/>
            <w:hideMark/>
          </w:tcPr>
          <w:p w14:paraId="26B91568" w14:textId="77777777" w:rsidR="00937698" w:rsidRPr="00871479" w:rsidRDefault="00937698" w:rsidP="00871479">
            <w:pPr>
              <w:pStyle w:val="NoSpacing"/>
              <w:jc w:val="center"/>
              <w:rPr>
                <w:rFonts w:ascii="Times New Roman" w:hAnsi="Times New Roman" w:cs="Times New Roman"/>
                <w:b/>
                <w:bCs/>
              </w:rPr>
            </w:pPr>
            <w:r w:rsidRPr="00871479">
              <w:rPr>
                <w:rFonts w:ascii="Times New Roman" w:hAnsi="Times New Roman" w:cs="Times New Roman"/>
                <w:b/>
                <w:bCs/>
              </w:rPr>
              <w:t>States</w:t>
            </w:r>
          </w:p>
        </w:tc>
        <w:tc>
          <w:tcPr>
            <w:tcW w:w="0" w:type="auto"/>
            <w:vAlign w:val="center"/>
            <w:hideMark/>
          </w:tcPr>
          <w:p w14:paraId="2576F2BA" w14:textId="55E9473C" w:rsidR="00937698" w:rsidRPr="00871479" w:rsidRDefault="00937698" w:rsidP="00871479">
            <w:pPr>
              <w:pStyle w:val="NoSpacing"/>
              <w:jc w:val="center"/>
              <w:rPr>
                <w:rFonts w:ascii="Times New Roman" w:hAnsi="Times New Roman" w:cs="Times New Roman"/>
                <w:b/>
                <w:bCs/>
              </w:rPr>
            </w:pPr>
            <w:r w:rsidRPr="00871479">
              <w:rPr>
                <w:rFonts w:ascii="Times New Roman" w:hAnsi="Times New Roman" w:cs="Times New Roman"/>
                <w:b/>
                <w:bCs/>
              </w:rPr>
              <w:t>Total investments as* at the end of 1967-68</w:t>
            </w:r>
          </w:p>
          <w:p w14:paraId="5F4A8908" w14:textId="77777777" w:rsidR="00937698" w:rsidRPr="00871479" w:rsidRDefault="00937698" w:rsidP="00871479">
            <w:pPr>
              <w:pStyle w:val="NoSpacing"/>
              <w:jc w:val="center"/>
              <w:rPr>
                <w:rFonts w:ascii="Times New Roman" w:hAnsi="Times New Roman" w:cs="Times New Roman"/>
                <w:b/>
                <w:bCs/>
              </w:rPr>
            </w:pPr>
            <w:r w:rsidRPr="00871479">
              <w:rPr>
                <w:rFonts w:ascii="Times New Roman" w:hAnsi="Times New Roman" w:cs="Times New Roman"/>
                <w:b/>
                <w:bCs/>
              </w:rPr>
              <w:t>(Rs. lakhs)</w:t>
            </w:r>
          </w:p>
        </w:tc>
        <w:tc>
          <w:tcPr>
            <w:tcW w:w="0" w:type="auto"/>
            <w:vAlign w:val="center"/>
            <w:hideMark/>
          </w:tcPr>
          <w:p w14:paraId="4977F257" w14:textId="77777777" w:rsidR="00937698" w:rsidRPr="00871479" w:rsidRDefault="00937698" w:rsidP="00871479">
            <w:pPr>
              <w:pStyle w:val="NoSpacing"/>
              <w:jc w:val="center"/>
              <w:rPr>
                <w:rFonts w:ascii="Times New Roman" w:hAnsi="Times New Roman" w:cs="Times New Roman"/>
                <w:b/>
                <w:bCs/>
              </w:rPr>
            </w:pPr>
            <w:r w:rsidRPr="00871479">
              <w:rPr>
                <w:rFonts w:ascii="Times New Roman" w:hAnsi="Times New Roman" w:cs="Times New Roman"/>
                <w:b/>
                <w:bCs/>
              </w:rPr>
              <w:t>Dividends in 1968-69 (R.E.)</w:t>
            </w:r>
          </w:p>
          <w:p w14:paraId="1998C5CE" w14:textId="569218E3" w:rsidR="00937698" w:rsidRPr="00871479" w:rsidRDefault="00937698" w:rsidP="00871479">
            <w:pPr>
              <w:pStyle w:val="NoSpacing"/>
              <w:jc w:val="center"/>
              <w:rPr>
                <w:rFonts w:ascii="Times New Roman" w:hAnsi="Times New Roman" w:cs="Times New Roman"/>
                <w:b/>
                <w:bCs/>
              </w:rPr>
            </w:pPr>
            <w:r w:rsidRPr="00871479">
              <w:rPr>
                <w:rFonts w:ascii="Times New Roman" w:hAnsi="Times New Roman" w:cs="Times New Roman"/>
                <w:b/>
                <w:bCs/>
              </w:rPr>
              <w:t>(Rs. lakhs)</w:t>
            </w:r>
          </w:p>
        </w:tc>
        <w:tc>
          <w:tcPr>
            <w:tcW w:w="3149" w:type="dxa"/>
            <w:vAlign w:val="center"/>
            <w:hideMark/>
          </w:tcPr>
          <w:p w14:paraId="14E92D48" w14:textId="77777777" w:rsidR="00937698" w:rsidRPr="00871479" w:rsidRDefault="00937698" w:rsidP="00871479">
            <w:pPr>
              <w:pStyle w:val="NoSpacing"/>
              <w:jc w:val="center"/>
              <w:rPr>
                <w:rFonts w:ascii="Times New Roman" w:hAnsi="Times New Roman" w:cs="Times New Roman"/>
                <w:b/>
                <w:bCs/>
              </w:rPr>
            </w:pPr>
            <w:r w:rsidRPr="00871479">
              <w:rPr>
                <w:rFonts w:ascii="Times New Roman" w:hAnsi="Times New Roman" w:cs="Times New Roman"/>
                <w:b/>
                <w:bCs/>
              </w:rPr>
              <w:t>Rate of dividends (Col. 3 as percentage of Col. 2)</w:t>
            </w:r>
          </w:p>
          <w:p w14:paraId="507AD489" w14:textId="2C748087" w:rsidR="00937698" w:rsidRPr="00871479" w:rsidRDefault="00937698" w:rsidP="00871479">
            <w:pPr>
              <w:pStyle w:val="NoSpacing"/>
              <w:jc w:val="center"/>
              <w:rPr>
                <w:rFonts w:ascii="Times New Roman" w:hAnsi="Times New Roman" w:cs="Times New Roman"/>
                <w:b/>
                <w:bCs/>
              </w:rPr>
            </w:pPr>
            <w:r w:rsidRPr="00871479">
              <w:rPr>
                <w:rFonts w:ascii="Times New Roman" w:hAnsi="Times New Roman" w:cs="Times New Roman"/>
                <w:b/>
                <w:bCs/>
              </w:rPr>
              <w:t>(Percentage)</w:t>
            </w:r>
          </w:p>
        </w:tc>
      </w:tr>
      <w:tr w:rsidR="00937698" w:rsidRPr="007245B0" w14:paraId="7A1A99BD" w14:textId="77777777" w:rsidTr="00871479">
        <w:trPr>
          <w:trHeight w:val="418"/>
          <w:jc w:val="center"/>
        </w:trPr>
        <w:tc>
          <w:tcPr>
            <w:tcW w:w="0" w:type="auto"/>
            <w:vAlign w:val="center"/>
          </w:tcPr>
          <w:p w14:paraId="73E71721" w14:textId="77777777" w:rsidR="00937698" w:rsidRPr="00871479" w:rsidRDefault="00937698" w:rsidP="00871479">
            <w:pPr>
              <w:pStyle w:val="NoSpacing"/>
              <w:jc w:val="center"/>
              <w:rPr>
                <w:rFonts w:ascii="Times New Roman" w:hAnsi="Times New Roman" w:cs="Times New Roman"/>
                <w:b/>
                <w:bCs/>
              </w:rPr>
            </w:pPr>
            <w:r w:rsidRPr="00871479">
              <w:rPr>
                <w:rFonts w:ascii="Times New Roman" w:hAnsi="Times New Roman" w:cs="Times New Roman"/>
                <w:b/>
                <w:bCs/>
              </w:rPr>
              <w:t>1</w:t>
            </w:r>
          </w:p>
        </w:tc>
        <w:tc>
          <w:tcPr>
            <w:tcW w:w="0" w:type="auto"/>
            <w:vAlign w:val="center"/>
          </w:tcPr>
          <w:p w14:paraId="036F3717" w14:textId="77777777" w:rsidR="00937698" w:rsidRPr="00871479" w:rsidRDefault="00937698" w:rsidP="00871479">
            <w:pPr>
              <w:pStyle w:val="NoSpacing"/>
              <w:jc w:val="center"/>
              <w:rPr>
                <w:rFonts w:ascii="Times New Roman" w:hAnsi="Times New Roman" w:cs="Times New Roman"/>
                <w:b/>
                <w:bCs/>
              </w:rPr>
            </w:pPr>
            <w:r w:rsidRPr="00871479">
              <w:rPr>
                <w:rFonts w:ascii="Times New Roman" w:hAnsi="Times New Roman" w:cs="Times New Roman"/>
                <w:b/>
                <w:bCs/>
              </w:rPr>
              <w:t>2</w:t>
            </w:r>
          </w:p>
        </w:tc>
        <w:tc>
          <w:tcPr>
            <w:tcW w:w="0" w:type="auto"/>
            <w:vAlign w:val="center"/>
          </w:tcPr>
          <w:p w14:paraId="5CA1289F" w14:textId="77777777" w:rsidR="00937698" w:rsidRPr="00871479" w:rsidRDefault="00937698" w:rsidP="00871479">
            <w:pPr>
              <w:pStyle w:val="NoSpacing"/>
              <w:jc w:val="center"/>
              <w:rPr>
                <w:rFonts w:ascii="Times New Roman" w:hAnsi="Times New Roman" w:cs="Times New Roman"/>
                <w:b/>
                <w:bCs/>
              </w:rPr>
            </w:pPr>
            <w:r w:rsidRPr="00871479">
              <w:rPr>
                <w:rFonts w:ascii="Times New Roman" w:hAnsi="Times New Roman" w:cs="Times New Roman"/>
                <w:b/>
                <w:bCs/>
              </w:rPr>
              <w:t>3</w:t>
            </w:r>
          </w:p>
        </w:tc>
        <w:tc>
          <w:tcPr>
            <w:tcW w:w="3149" w:type="dxa"/>
            <w:vAlign w:val="center"/>
          </w:tcPr>
          <w:p w14:paraId="2DA04F9A" w14:textId="77777777" w:rsidR="00937698" w:rsidRPr="00871479" w:rsidRDefault="00937698" w:rsidP="00871479">
            <w:pPr>
              <w:pStyle w:val="NoSpacing"/>
              <w:jc w:val="center"/>
              <w:rPr>
                <w:rFonts w:ascii="Times New Roman" w:hAnsi="Times New Roman" w:cs="Times New Roman"/>
                <w:b/>
                <w:bCs/>
              </w:rPr>
            </w:pPr>
            <w:r w:rsidRPr="00871479">
              <w:rPr>
                <w:rFonts w:ascii="Times New Roman" w:hAnsi="Times New Roman" w:cs="Times New Roman"/>
                <w:b/>
                <w:bCs/>
              </w:rPr>
              <w:t>4</w:t>
            </w:r>
          </w:p>
        </w:tc>
      </w:tr>
      <w:tr w:rsidR="00937698" w:rsidRPr="007245B0" w14:paraId="3227D9E2" w14:textId="77777777" w:rsidTr="00B77C0B">
        <w:trPr>
          <w:trHeight w:val="418"/>
          <w:jc w:val="center"/>
        </w:trPr>
        <w:tc>
          <w:tcPr>
            <w:tcW w:w="0" w:type="auto"/>
            <w:hideMark/>
          </w:tcPr>
          <w:p w14:paraId="6988DCD9" w14:textId="77777777" w:rsidR="00937698" w:rsidRPr="007245B0" w:rsidRDefault="00937698" w:rsidP="00B77C0B">
            <w:pPr>
              <w:pStyle w:val="NoSpacing"/>
              <w:rPr>
                <w:rFonts w:ascii="Times New Roman" w:hAnsi="Times New Roman" w:cs="Times New Roman"/>
              </w:rPr>
            </w:pPr>
            <w:r w:rsidRPr="007245B0">
              <w:rPr>
                <w:rFonts w:ascii="Times New Roman" w:hAnsi="Times New Roman" w:cs="Times New Roman"/>
              </w:rPr>
              <w:t>Andhra Pradesh</w:t>
            </w:r>
          </w:p>
        </w:tc>
        <w:tc>
          <w:tcPr>
            <w:tcW w:w="0" w:type="auto"/>
            <w:hideMark/>
          </w:tcPr>
          <w:p w14:paraId="428D4DF8" w14:textId="77777777" w:rsidR="00937698" w:rsidRPr="007245B0" w:rsidRDefault="00937698" w:rsidP="00B77C0B">
            <w:pPr>
              <w:pStyle w:val="NoSpacing"/>
              <w:jc w:val="center"/>
              <w:rPr>
                <w:rFonts w:ascii="Times New Roman" w:hAnsi="Times New Roman" w:cs="Times New Roman"/>
              </w:rPr>
            </w:pPr>
            <w:r w:rsidRPr="007245B0">
              <w:rPr>
                <w:rFonts w:ascii="Times New Roman" w:hAnsi="Times New Roman" w:cs="Times New Roman"/>
              </w:rPr>
              <w:t>4188</w:t>
            </w:r>
          </w:p>
        </w:tc>
        <w:tc>
          <w:tcPr>
            <w:tcW w:w="0" w:type="auto"/>
            <w:hideMark/>
          </w:tcPr>
          <w:p w14:paraId="41F4F477" w14:textId="77777777" w:rsidR="00937698" w:rsidRPr="007245B0" w:rsidRDefault="00937698" w:rsidP="00B77C0B">
            <w:pPr>
              <w:pStyle w:val="NoSpacing"/>
              <w:jc w:val="center"/>
              <w:rPr>
                <w:rFonts w:ascii="Times New Roman" w:hAnsi="Times New Roman" w:cs="Times New Roman"/>
              </w:rPr>
            </w:pPr>
            <w:r w:rsidRPr="007245B0">
              <w:rPr>
                <w:rFonts w:ascii="Times New Roman" w:hAnsi="Times New Roman" w:cs="Times New Roman"/>
              </w:rPr>
              <w:t>29</w:t>
            </w:r>
          </w:p>
        </w:tc>
        <w:tc>
          <w:tcPr>
            <w:tcW w:w="3149" w:type="dxa"/>
            <w:hideMark/>
          </w:tcPr>
          <w:p w14:paraId="6D535D1C" w14:textId="77777777" w:rsidR="00937698" w:rsidRPr="007245B0" w:rsidRDefault="00937698" w:rsidP="00B77C0B">
            <w:pPr>
              <w:pStyle w:val="NoSpacing"/>
              <w:jc w:val="center"/>
              <w:rPr>
                <w:rFonts w:ascii="Times New Roman" w:hAnsi="Times New Roman" w:cs="Times New Roman"/>
              </w:rPr>
            </w:pPr>
            <w:r w:rsidRPr="007245B0">
              <w:rPr>
                <w:rFonts w:ascii="Times New Roman" w:hAnsi="Times New Roman" w:cs="Times New Roman"/>
              </w:rPr>
              <w:t>0.69</w:t>
            </w:r>
          </w:p>
        </w:tc>
      </w:tr>
      <w:tr w:rsidR="00937698" w:rsidRPr="007245B0" w14:paraId="79AB59B3" w14:textId="77777777" w:rsidTr="00B77C0B">
        <w:trPr>
          <w:trHeight w:val="395"/>
          <w:jc w:val="center"/>
        </w:trPr>
        <w:tc>
          <w:tcPr>
            <w:tcW w:w="0" w:type="auto"/>
            <w:hideMark/>
          </w:tcPr>
          <w:p w14:paraId="3DDE7D5B" w14:textId="77777777" w:rsidR="00937698" w:rsidRPr="007245B0" w:rsidRDefault="00937698" w:rsidP="00B77C0B">
            <w:pPr>
              <w:pStyle w:val="NoSpacing"/>
              <w:rPr>
                <w:rFonts w:ascii="Times New Roman" w:hAnsi="Times New Roman" w:cs="Times New Roman"/>
              </w:rPr>
            </w:pPr>
            <w:r w:rsidRPr="007245B0">
              <w:rPr>
                <w:rFonts w:ascii="Times New Roman" w:hAnsi="Times New Roman" w:cs="Times New Roman"/>
              </w:rPr>
              <w:t>Assam</w:t>
            </w:r>
          </w:p>
        </w:tc>
        <w:tc>
          <w:tcPr>
            <w:tcW w:w="0" w:type="auto"/>
            <w:hideMark/>
          </w:tcPr>
          <w:p w14:paraId="1B7BE620" w14:textId="77777777" w:rsidR="00937698" w:rsidRPr="007245B0" w:rsidRDefault="00937698" w:rsidP="00B77C0B">
            <w:pPr>
              <w:pStyle w:val="NoSpacing"/>
              <w:jc w:val="center"/>
              <w:rPr>
                <w:rFonts w:ascii="Times New Roman" w:hAnsi="Times New Roman" w:cs="Times New Roman"/>
              </w:rPr>
            </w:pPr>
            <w:r w:rsidRPr="007245B0">
              <w:rPr>
                <w:rFonts w:ascii="Times New Roman" w:hAnsi="Times New Roman" w:cs="Times New Roman"/>
              </w:rPr>
              <w:t>1349</w:t>
            </w:r>
          </w:p>
        </w:tc>
        <w:tc>
          <w:tcPr>
            <w:tcW w:w="0" w:type="auto"/>
            <w:hideMark/>
          </w:tcPr>
          <w:p w14:paraId="7B3819D6" w14:textId="77777777" w:rsidR="00937698" w:rsidRPr="007245B0" w:rsidRDefault="00937698" w:rsidP="00B77C0B">
            <w:pPr>
              <w:pStyle w:val="NoSpacing"/>
              <w:jc w:val="center"/>
              <w:rPr>
                <w:rFonts w:ascii="Times New Roman" w:hAnsi="Times New Roman" w:cs="Times New Roman"/>
              </w:rPr>
            </w:pPr>
            <w:r w:rsidRPr="007245B0">
              <w:rPr>
                <w:rFonts w:ascii="Times New Roman" w:hAnsi="Times New Roman" w:cs="Times New Roman"/>
              </w:rPr>
              <w:t>1</w:t>
            </w:r>
          </w:p>
        </w:tc>
        <w:tc>
          <w:tcPr>
            <w:tcW w:w="3149" w:type="dxa"/>
            <w:hideMark/>
          </w:tcPr>
          <w:p w14:paraId="32441A22" w14:textId="77777777" w:rsidR="00937698" w:rsidRPr="007245B0" w:rsidRDefault="00937698" w:rsidP="00B77C0B">
            <w:pPr>
              <w:pStyle w:val="NoSpacing"/>
              <w:jc w:val="center"/>
              <w:rPr>
                <w:rFonts w:ascii="Times New Roman" w:hAnsi="Times New Roman" w:cs="Times New Roman"/>
              </w:rPr>
            </w:pPr>
            <w:r w:rsidRPr="007245B0">
              <w:rPr>
                <w:rFonts w:ascii="Times New Roman" w:hAnsi="Times New Roman" w:cs="Times New Roman"/>
              </w:rPr>
              <w:t>0.07</w:t>
            </w:r>
          </w:p>
        </w:tc>
      </w:tr>
      <w:tr w:rsidR="00937698" w:rsidRPr="007245B0" w14:paraId="5795BBDF" w14:textId="77777777" w:rsidTr="00B77C0B">
        <w:trPr>
          <w:trHeight w:val="418"/>
          <w:jc w:val="center"/>
        </w:trPr>
        <w:tc>
          <w:tcPr>
            <w:tcW w:w="0" w:type="auto"/>
            <w:hideMark/>
          </w:tcPr>
          <w:p w14:paraId="3D9D0F94" w14:textId="77777777" w:rsidR="00937698" w:rsidRPr="007245B0" w:rsidRDefault="00937698" w:rsidP="00B77C0B">
            <w:pPr>
              <w:pStyle w:val="NoSpacing"/>
              <w:rPr>
                <w:rFonts w:ascii="Times New Roman" w:hAnsi="Times New Roman" w:cs="Times New Roman"/>
              </w:rPr>
            </w:pPr>
            <w:r w:rsidRPr="007245B0">
              <w:rPr>
                <w:rFonts w:ascii="Times New Roman" w:hAnsi="Times New Roman" w:cs="Times New Roman"/>
              </w:rPr>
              <w:t>Bihar</w:t>
            </w:r>
          </w:p>
        </w:tc>
        <w:tc>
          <w:tcPr>
            <w:tcW w:w="0" w:type="auto"/>
            <w:hideMark/>
          </w:tcPr>
          <w:p w14:paraId="4D6B7BCE" w14:textId="77777777" w:rsidR="00937698" w:rsidRPr="007245B0" w:rsidRDefault="00937698" w:rsidP="00B77C0B">
            <w:pPr>
              <w:pStyle w:val="NoSpacing"/>
              <w:jc w:val="center"/>
              <w:rPr>
                <w:rFonts w:ascii="Times New Roman" w:hAnsi="Times New Roman" w:cs="Times New Roman"/>
              </w:rPr>
            </w:pPr>
            <w:r w:rsidRPr="007245B0">
              <w:rPr>
                <w:rFonts w:ascii="Times New Roman" w:hAnsi="Times New Roman" w:cs="Times New Roman"/>
              </w:rPr>
              <w:t>NA</w:t>
            </w:r>
          </w:p>
        </w:tc>
        <w:tc>
          <w:tcPr>
            <w:tcW w:w="0" w:type="auto"/>
            <w:hideMark/>
          </w:tcPr>
          <w:p w14:paraId="2F795BEA" w14:textId="77777777" w:rsidR="00937698" w:rsidRPr="007245B0" w:rsidRDefault="00937698" w:rsidP="00B77C0B">
            <w:pPr>
              <w:pStyle w:val="NoSpacing"/>
              <w:jc w:val="center"/>
              <w:rPr>
                <w:rFonts w:ascii="Times New Roman" w:hAnsi="Times New Roman" w:cs="Times New Roman"/>
              </w:rPr>
            </w:pPr>
            <w:r w:rsidRPr="007245B0">
              <w:rPr>
                <w:rFonts w:ascii="Times New Roman" w:hAnsi="Times New Roman" w:cs="Times New Roman"/>
              </w:rPr>
              <w:t>3</w:t>
            </w:r>
          </w:p>
        </w:tc>
        <w:tc>
          <w:tcPr>
            <w:tcW w:w="3149" w:type="dxa"/>
            <w:hideMark/>
          </w:tcPr>
          <w:p w14:paraId="5DC7DDD2" w14:textId="77777777" w:rsidR="00937698" w:rsidRPr="007245B0" w:rsidRDefault="00937698" w:rsidP="00B77C0B">
            <w:pPr>
              <w:pStyle w:val="NoSpacing"/>
              <w:jc w:val="center"/>
              <w:rPr>
                <w:rFonts w:ascii="Times New Roman" w:hAnsi="Times New Roman" w:cs="Times New Roman"/>
              </w:rPr>
            </w:pPr>
            <w:r w:rsidRPr="007245B0">
              <w:rPr>
                <w:rFonts w:ascii="Times New Roman" w:hAnsi="Times New Roman" w:cs="Times New Roman"/>
              </w:rPr>
              <w:t>NA</w:t>
            </w:r>
          </w:p>
        </w:tc>
      </w:tr>
      <w:tr w:rsidR="00937698" w:rsidRPr="007245B0" w14:paraId="38C704AC" w14:textId="77777777" w:rsidTr="00B77C0B">
        <w:trPr>
          <w:trHeight w:val="395"/>
          <w:jc w:val="center"/>
        </w:trPr>
        <w:tc>
          <w:tcPr>
            <w:tcW w:w="0" w:type="auto"/>
            <w:hideMark/>
          </w:tcPr>
          <w:p w14:paraId="26553A26" w14:textId="77777777" w:rsidR="00937698" w:rsidRPr="007245B0" w:rsidRDefault="00937698" w:rsidP="00B77C0B">
            <w:pPr>
              <w:pStyle w:val="NoSpacing"/>
              <w:rPr>
                <w:rFonts w:ascii="Times New Roman" w:hAnsi="Times New Roman" w:cs="Times New Roman"/>
              </w:rPr>
            </w:pPr>
            <w:r w:rsidRPr="007245B0">
              <w:rPr>
                <w:rFonts w:ascii="Times New Roman" w:hAnsi="Times New Roman" w:cs="Times New Roman"/>
              </w:rPr>
              <w:t>Gujarat</w:t>
            </w:r>
          </w:p>
        </w:tc>
        <w:tc>
          <w:tcPr>
            <w:tcW w:w="0" w:type="auto"/>
            <w:hideMark/>
          </w:tcPr>
          <w:p w14:paraId="2EA47901" w14:textId="77777777" w:rsidR="00937698" w:rsidRPr="007245B0" w:rsidRDefault="00937698" w:rsidP="00B77C0B">
            <w:pPr>
              <w:pStyle w:val="NoSpacing"/>
              <w:jc w:val="center"/>
              <w:rPr>
                <w:rFonts w:ascii="Times New Roman" w:hAnsi="Times New Roman" w:cs="Times New Roman"/>
              </w:rPr>
            </w:pPr>
            <w:r w:rsidRPr="007245B0">
              <w:rPr>
                <w:rFonts w:ascii="Times New Roman" w:hAnsi="Times New Roman" w:cs="Times New Roman"/>
              </w:rPr>
              <w:t>2911</w:t>
            </w:r>
          </w:p>
        </w:tc>
        <w:tc>
          <w:tcPr>
            <w:tcW w:w="0" w:type="auto"/>
            <w:hideMark/>
          </w:tcPr>
          <w:p w14:paraId="76C2F3DA" w14:textId="77777777" w:rsidR="00937698" w:rsidRPr="007245B0" w:rsidRDefault="00937698" w:rsidP="00B77C0B">
            <w:pPr>
              <w:pStyle w:val="NoSpacing"/>
              <w:jc w:val="center"/>
              <w:rPr>
                <w:rFonts w:ascii="Times New Roman" w:hAnsi="Times New Roman" w:cs="Times New Roman"/>
              </w:rPr>
            </w:pPr>
            <w:r w:rsidRPr="007245B0">
              <w:rPr>
                <w:rFonts w:ascii="Times New Roman" w:hAnsi="Times New Roman" w:cs="Times New Roman"/>
              </w:rPr>
              <w:t>98</w:t>
            </w:r>
          </w:p>
        </w:tc>
        <w:tc>
          <w:tcPr>
            <w:tcW w:w="3149" w:type="dxa"/>
            <w:hideMark/>
          </w:tcPr>
          <w:p w14:paraId="3011DFE4" w14:textId="77777777" w:rsidR="00937698" w:rsidRPr="007245B0" w:rsidRDefault="00937698" w:rsidP="00B77C0B">
            <w:pPr>
              <w:pStyle w:val="NoSpacing"/>
              <w:jc w:val="center"/>
              <w:rPr>
                <w:rFonts w:ascii="Times New Roman" w:hAnsi="Times New Roman" w:cs="Times New Roman"/>
              </w:rPr>
            </w:pPr>
            <w:r w:rsidRPr="007245B0">
              <w:rPr>
                <w:rFonts w:ascii="Times New Roman" w:hAnsi="Times New Roman" w:cs="Times New Roman"/>
              </w:rPr>
              <w:t>3.37</w:t>
            </w:r>
          </w:p>
        </w:tc>
      </w:tr>
      <w:tr w:rsidR="00937698" w:rsidRPr="007245B0" w14:paraId="687F2E0E" w14:textId="77777777" w:rsidTr="00B77C0B">
        <w:trPr>
          <w:trHeight w:val="418"/>
          <w:jc w:val="center"/>
        </w:trPr>
        <w:tc>
          <w:tcPr>
            <w:tcW w:w="0" w:type="auto"/>
            <w:hideMark/>
          </w:tcPr>
          <w:p w14:paraId="460B01F7" w14:textId="77777777" w:rsidR="00937698" w:rsidRPr="007245B0" w:rsidRDefault="00937698" w:rsidP="00B77C0B">
            <w:pPr>
              <w:pStyle w:val="NoSpacing"/>
              <w:rPr>
                <w:rFonts w:ascii="Times New Roman" w:hAnsi="Times New Roman" w:cs="Times New Roman"/>
              </w:rPr>
            </w:pPr>
            <w:r w:rsidRPr="007245B0">
              <w:rPr>
                <w:rFonts w:ascii="Times New Roman" w:hAnsi="Times New Roman" w:cs="Times New Roman"/>
              </w:rPr>
              <w:t>Haryana</w:t>
            </w:r>
          </w:p>
        </w:tc>
        <w:tc>
          <w:tcPr>
            <w:tcW w:w="0" w:type="auto"/>
            <w:hideMark/>
          </w:tcPr>
          <w:p w14:paraId="2F574583" w14:textId="77777777" w:rsidR="00937698" w:rsidRPr="007245B0" w:rsidRDefault="00937698" w:rsidP="00B77C0B">
            <w:pPr>
              <w:pStyle w:val="NoSpacing"/>
              <w:jc w:val="center"/>
              <w:rPr>
                <w:rFonts w:ascii="Times New Roman" w:hAnsi="Times New Roman" w:cs="Times New Roman"/>
              </w:rPr>
            </w:pPr>
            <w:r w:rsidRPr="007245B0">
              <w:rPr>
                <w:rFonts w:ascii="Times New Roman" w:hAnsi="Times New Roman" w:cs="Times New Roman"/>
              </w:rPr>
              <w:t>NA</w:t>
            </w:r>
          </w:p>
        </w:tc>
        <w:tc>
          <w:tcPr>
            <w:tcW w:w="0" w:type="auto"/>
            <w:hideMark/>
          </w:tcPr>
          <w:p w14:paraId="421271D4" w14:textId="77777777" w:rsidR="00937698" w:rsidRPr="007245B0" w:rsidRDefault="00937698" w:rsidP="00B77C0B">
            <w:pPr>
              <w:pStyle w:val="NoSpacing"/>
              <w:jc w:val="center"/>
              <w:rPr>
                <w:rFonts w:ascii="Times New Roman" w:hAnsi="Times New Roman" w:cs="Times New Roman"/>
              </w:rPr>
            </w:pPr>
            <w:r w:rsidRPr="007245B0">
              <w:rPr>
                <w:rFonts w:ascii="Times New Roman" w:hAnsi="Times New Roman" w:cs="Times New Roman"/>
              </w:rPr>
              <w:t>2</w:t>
            </w:r>
          </w:p>
        </w:tc>
        <w:tc>
          <w:tcPr>
            <w:tcW w:w="3149" w:type="dxa"/>
            <w:hideMark/>
          </w:tcPr>
          <w:p w14:paraId="58A5B78B" w14:textId="77777777" w:rsidR="00937698" w:rsidRPr="007245B0" w:rsidRDefault="00937698" w:rsidP="00B77C0B">
            <w:pPr>
              <w:pStyle w:val="NoSpacing"/>
              <w:jc w:val="center"/>
              <w:rPr>
                <w:rFonts w:ascii="Times New Roman" w:hAnsi="Times New Roman" w:cs="Times New Roman"/>
              </w:rPr>
            </w:pPr>
            <w:r w:rsidRPr="007245B0">
              <w:rPr>
                <w:rFonts w:ascii="Times New Roman" w:hAnsi="Times New Roman" w:cs="Times New Roman"/>
              </w:rPr>
              <w:t>..</w:t>
            </w:r>
          </w:p>
        </w:tc>
      </w:tr>
      <w:tr w:rsidR="00937698" w:rsidRPr="007245B0" w14:paraId="3D11B899" w14:textId="77777777" w:rsidTr="00B77C0B">
        <w:trPr>
          <w:trHeight w:val="814"/>
          <w:jc w:val="center"/>
        </w:trPr>
        <w:tc>
          <w:tcPr>
            <w:tcW w:w="0" w:type="auto"/>
            <w:hideMark/>
          </w:tcPr>
          <w:p w14:paraId="7216B1C4" w14:textId="77777777" w:rsidR="00937698" w:rsidRPr="007245B0" w:rsidRDefault="00937698" w:rsidP="00B77C0B">
            <w:pPr>
              <w:pStyle w:val="NoSpacing"/>
              <w:rPr>
                <w:rFonts w:ascii="Times New Roman" w:hAnsi="Times New Roman" w:cs="Times New Roman"/>
              </w:rPr>
            </w:pPr>
            <w:r w:rsidRPr="007245B0">
              <w:rPr>
                <w:rFonts w:ascii="Times New Roman" w:hAnsi="Times New Roman" w:cs="Times New Roman"/>
              </w:rPr>
              <w:t>Jammu &amp; Kashmir</w:t>
            </w:r>
          </w:p>
        </w:tc>
        <w:tc>
          <w:tcPr>
            <w:tcW w:w="0" w:type="auto"/>
            <w:hideMark/>
          </w:tcPr>
          <w:p w14:paraId="6BAE8E82" w14:textId="77777777" w:rsidR="00937698" w:rsidRPr="007245B0" w:rsidRDefault="00937698" w:rsidP="00B77C0B">
            <w:pPr>
              <w:pStyle w:val="NoSpacing"/>
              <w:jc w:val="center"/>
              <w:rPr>
                <w:rFonts w:ascii="Times New Roman" w:hAnsi="Times New Roman" w:cs="Times New Roman"/>
              </w:rPr>
            </w:pPr>
            <w:r w:rsidRPr="007245B0">
              <w:rPr>
                <w:rFonts w:ascii="Times New Roman" w:hAnsi="Times New Roman" w:cs="Times New Roman"/>
              </w:rPr>
              <w:t>896</w:t>
            </w:r>
          </w:p>
        </w:tc>
        <w:tc>
          <w:tcPr>
            <w:tcW w:w="0" w:type="auto"/>
            <w:hideMark/>
          </w:tcPr>
          <w:p w14:paraId="229DF70E" w14:textId="77777777" w:rsidR="00937698" w:rsidRPr="007245B0" w:rsidRDefault="00937698" w:rsidP="00B77C0B">
            <w:pPr>
              <w:pStyle w:val="NoSpacing"/>
              <w:jc w:val="center"/>
              <w:rPr>
                <w:rFonts w:ascii="Times New Roman" w:hAnsi="Times New Roman" w:cs="Times New Roman"/>
              </w:rPr>
            </w:pPr>
            <w:r w:rsidRPr="007245B0">
              <w:rPr>
                <w:rFonts w:ascii="Times New Roman" w:hAnsi="Times New Roman" w:cs="Times New Roman"/>
              </w:rPr>
              <w:t>1</w:t>
            </w:r>
          </w:p>
        </w:tc>
        <w:tc>
          <w:tcPr>
            <w:tcW w:w="3149" w:type="dxa"/>
            <w:hideMark/>
          </w:tcPr>
          <w:p w14:paraId="211BA83C" w14:textId="77777777" w:rsidR="00937698" w:rsidRPr="007245B0" w:rsidRDefault="00937698" w:rsidP="00B77C0B">
            <w:pPr>
              <w:pStyle w:val="NoSpacing"/>
              <w:jc w:val="center"/>
              <w:rPr>
                <w:rFonts w:ascii="Times New Roman" w:hAnsi="Times New Roman" w:cs="Times New Roman"/>
              </w:rPr>
            </w:pPr>
            <w:r w:rsidRPr="007245B0">
              <w:rPr>
                <w:rFonts w:ascii="Times New Roman" w:hAnsi="Times New Roman" w:cs="Times New Roman"/>
              </w:rPr>
              <w:t>0.11</w:t>
            </w:r>
          </w:p>
        </w:tc>
      </w:tr>
      <w:tr w:rsidR="00937698" w:rsidRPr="007245B0" w14:paraId="12CF88A8" w14:textId="77777777" w:rsidTr="00B77C0B">
        <w:trPr>
          <w:trHeight w:val="418"/>
          <w:jc w:val="center"/>
        </w:trPr>
        <w:tc>
          <w:tcPr>
            <w:tcW w:w="0" w:type="auto"/>
            <w:hideMark/>
          </w:tcPr>
          <w:p w14:paraId="6BE3A543" w14:textId="77777777" w:rsidR="00937698" w:rsidRPr="007245B0" w:rsidRDefault="00937698" w:rsidP="00B77C0B">
            <w:pPr>
              <w:pStyle w:val="NoSpacing"/>
              <w:rPr>
                <w:rFonts w:ascii="Times New Roman" w:hAnsi="Times New Roman" w:cs="Times New Roman"/>
              </w:rPr>
            </w:pPr>
            <w:r w:rsidRPr="007245B0">
              <w:rPr>
                <w:rFonts w:ascii="Times New Roman" w:hAnsi="Times New Roman" w:cs="Times New Roman"/>
              </w:rPr>
              <w:t>Kerala</w:t>
            </w:r>
          </w:p>
        </w:tc>
        <w:tc>
          <w:tcPr>
            <w:tcW w:w="0" w:type="auto"/>
            <w:hideMark/>
          </w:tcPr>
          <w:p w14:paraId="1747F9D2" w14:textId="77777777" w:rsidR="00937698" w:rsidRPr="007245B0" w:rsidRDefault="00937698" w:rsidP="00B77C0B">
            <w:pPr>
              <w:pStyle w:val="NoSpacing"/>
              <w:jc w:val="center"/>
              <w:rPr>
                <w:rFonts w:ascii="Times New Roman" w:hAnsi="Times New Roman" w:cs="Times New Roman"/>
              </w:rPr>
            </w:pPr>
            <w:r w:rsidRPr="007245B0">
              <w:rPr>
                <w:rFonts w:ascii="Times New Roman" w:hAnsi="Times New Roman" w:cs="Times New Roman"/>
              </w:rPr>
              <w:t>3027</w:t>
            </w:r>
          </w:p>
        </w:tc>
        <w:tc>
          <w:tcPr>
            <w:tcW w:w="0" w:type="auto"/>
            <w:hideMark/>
          </w:tcPr>
          <w:p w14:paraId="3F47B825" w14:textId="77777777" w:rsidR="00937698" w:rsidRPr="007245B0" w:rsidRDefault="00937698" w:rsidP="00B77C0B">
            <w:pPr>
              <w:pStyle w:val="NoSpacing"/>
              <w:jc w:val="center"/>
              <w:rPr>
                <w:rFonts w:ascii="Times New Roman" w:hAnsi="Times New Roman" w:cs="Times New Roman"/>
              </w:rPr>
            </w:pPr>
            <w:r w:rsidRPr="007245B0">
              <w:rPr>
                <w:rFonts w:ascii="Times New Roman" w:hAnsi="Times New Roman" w:cs="Times New Roman"/>
              </w:rPr>
              <w:t>28</w:t>
            </w:r>
          </w:p>
        </w:tc>
        <w:tc>
          <w:tcPr>
            <w:tcW w:w="3149" w:type="dxa"/>
            <w:hideMark/>
          </w:tcPr>
          <w:p w14:paraId="3D702887" w14:textId="77777777" w:rsidR="00937698" w:rsidRPr="007245B0" w:rsidRDefault="00937698" w:rsidP="00B77C0B">
            <w:pPr>
              <w:pStyle w:val="NoSpacing"/>
              <w:jc w:val="center"/>
              <w:rPr>
                <w:rFonts w:ascii="Times New Roman" w:hAnsi="Times New Roman" w:cs="Times New Roman"/>
              </w:rPr>
            </w:pPr>
            <w:r w:rsidRPr="007245B0">
              <w:rPr>
                <w:rFonts w:ascii="Times New Roman" w:hAnsi="Times New Roman" w:cs="Times New Roman"/>
              </w:rPr>
              <w:t>0.92</w:t>
            </w:r>
          </w:p>
        </w:tc>
      </w:tr>
      <w:tr w:rsidR="00937698" w:rsidRPr="007245B0" w14:paraId="6687997D" w14:textId="77777777" w:rsidTr="00B77C0B">
        <w:trPr>
          <w:trHeight w:val="395"/>
          <w:jc w:val="center"/>
        </w:trPr>
        <w:tc>
          <w:tcPr>
            <w:tcW w:w="0" w:type="auto"/>
            <w:hideMark/>
          </w:tcPr>
          <w:p w14:paraId="3EBA3EB1" w14:textId="77777777" w:rsidR="00937698" w:rsidRPr="007245B0" w:rsidRDefault="00937698" w:rsidP="00B77C0B">
            <w:pPr>
              <w:pStyle w:val="NoSpacing"/>
              <w:rPr>
                <w:rFonts w:ascii="Times New Roman" w:hAnsi="Times New Roman" w:cs="Times New Roman"/>
              </w:rPr>
            </w:pPr>
            <w:r w:rsidRPr="007245B0">
              <w:rPr>
                <w:rFonts w:ascii="Times New Roman" w:hAnsi="Times New Roman" w:cs="Times New Roman"/>
              </w:rPr>
              <w:t>Madhya Pradesh</w:t>
            </w:r>
          </w:p>
        </w:tc>
        <w:tc>
          <w:tcPr>
            <w:tcW w:w="0" w:type="auto"/>
            <w:hideMark/>
          </w:tcPr>
          <w:p w14:paraId="0A03E5D8" w14:textId="77777777" w:rsidR="00937698" w:rsidRPr="007245B0" w:rsidRDefault="00937698" w:rsidP="00B77C0B">
            <w:pPr>
              <w:pStyle w:val="NoSpacing"/>
              <w:jc w:val="center"/>
              <w:rPr>
                <w:rFonts w:ascii="Times New Roman" w:hAnsi="Times New Roman" w:cs="Times New Roman"/>
              </w:rPr>
            </w:pPr>
            <w:r w:rsidRPr="007245B0">
              <w:rPr>
                <w:rFonts w:ascii="Times New Roman" w:hAnsi="Times New Roman" w:cs="Times New Roman"/>
              </w:rPr>
              <w:t>2890</w:t>
            </w:r>
          </w:p>
        </w:tc>
        <w:tc>
          <w:tcPr>
            <w:tcW w:w="0" w:type="auto"/>
            <w:hideMark/>
          </w:tcPr>
          <w:p w14:paraId="52954544" w14:textId="77777777" w:rsidR="00937698" w:rsidRPr="007245B0" w:rsidRDefault="00937698" w:rsidP="00B77C0B">
            <w:pPr>
              <w:pStyle w:val="NoSpacing"/>
              <w:jc w:val="center"/>
              <w:rPr>
                <w:rFonts w:ascii="Times New Roman" w:hAnsi="Times New Roman" w:cs="Times New Roman"/>
              </w:rPr>
            </w:pPr>
            <w:r w:rsidRPr="007245B0">
              <w:rPr>
                <w:rFonts w:ascii="Times New Roman" w:hAnsi="Times New Roman" w:cs="Times New Roman"/>
              </w:rPr>
              <w:t>89</w:t>
            </w:r>
          </w:p>
        </w:tc>
        <w:tc>
          <w:tcPr>
            <w:tcW w:w="3149" w:type="dxa"/>
            <w:hideMark/>
          </w:tcPr>
          <w:p w14:paraId="438F2B94" w14:textId="77777777" w:rsidR="00937698" w:rsidRPr="007245B0" w:rsidRDefault="00937698" w:rsidP="00B77C0B">
            <w:pPr>
              <w:pStyle w:val="NoSpacing"/>
              <w:jc w:val="center"/>
              <w:rPr>
                <w:rFonts w:ascii="Times New Roman" w:hAnsi="Times New Roman" w:cs="Times New Roman"/>
              </w:rPr>
            </w:pPr>
            <w:r w:rsidRPr="007245B0">
              <w:rPr>
                <w:rFonts w:ascii="Times New Roman" w:hAnsi="Times New Roman" w:cs="Times New Roman"/>
              </w:rPr>
              <w:t>3.08</w:t>
            </w:r>
          </w:p>
        </w:tc>
      </w:tr>
      <w:tr w:rsidR="00937698" w:rsidRPr="007245B0" w14:paraId="5E4CFD86" w14:textId="77777777" w:rsidTr="00B77C0B">
        <w:trPr>
          <w:trHeight w:val="418"/>
          <w:jc w:val="center"/>
        </w:trPr>
        <w:tc>
          <w:tcPr>
            <w:tcW w:w="0" w:type="auto"/>
            <w:hideMark/>
          </w:tcPr>
          <w:p w14:paraId="7B18509C" w14:textId="77777777" w:rsidR="00937698" w:rsidRPr="007245B0" w:rsidRDefault="00937698" w:rsidP="00B77C0B">
            <w:pPr>
              <w:pStyle w:val="NoSpacing"/>
              <w:rPr>
                <w:rFonts w:ascii="Times New Roman" w:hAnsi="Times New Roman" w:cs="Times New Roman"/>
              </w:rPr>
            </w:pPr>
            <w:r w:rsidRPr="007245B0">
              <w:rPr>
                <w:rFonts w:ascii="Times New Roman" w:hAnsi="Times New Roman" w:cs="Times New Roman"/>
              </w:rPr>
              <w:t>Maharashtra</w:t>
            </w:r>
          </w:p>
        </w:tc>
        <w:tc>
          <w:tcPr>
            <w:tcW w:w="0" w:type="auto"/>
            <w:hideMark/>
          </w:tcPr>
          <w:p w14:paraId="6ED968B4" w14:textId="77777777" w:rsidR="00937698" w:rsidRPr="007245B0" w:rsidRDefault="00937698" w:rsidP="00B77C0B">
            <w:pPr>
              <w:pStyle w:val="NoSpacing"/>
              <w:jc w:val="center"/>
              <w:rPr>
                <w:rFonts w:ascii="Times New Roman" w:hAnsi="Times New Roman" w:cs="Times New Roman"/>
              </w:rPr>
            </w:pPr>
            <w:r w:rsidRPr="007245B0">
              <w:rPr>
                <w:rFonts w:ascii="Times New Roman" w:hAnsi="Times New Roman" w:cs="Times New Roman"/>
              </w:rPr>
              <w:t>5023</w:t>
            </w:r>
          </w:p>
        </w:tc>
        <w:tc>
          <w:tcPr>
            <w:tcW w:w="0" w:type="auto"/>
            <w:hideMark/>
          </w:tcPr>
          <w:p w14:paraId="2592C14C" w14:textId="77777777" w:rsidR="00937698" w:rsidRPr="007245B0" w:rsidRDefault="00937698" w:rsidP="00B77C0B">
            <w:pPr>
              <w:pStyle w:val="NoSpacing"/>
              <w:jc w:val="center"/>
              <w:rPr>
                <w:rFonts w:ascii="Times New Roman" w:hAnsi="Times New Roman" w:cs="Times New Roman"/>
              </w:rPr>
            </w:pPr>
            <w:r w:rsidRPr="007245B0">
              <w:rPr>
                <w:rFonts w:ascii="Times New Roman" w:hAnsi="Times New Roman" w:cs="Times New Roman"/>
              </w:rPr>
              <w:t>90</w:t>
            </w:r>
          </w:p>
        </w:tc>
        <w:tc>
          <w:tcPr>
            <w:tcW w:w="3149" w:type="dxa"/>
            <w:hideMark/>
          </w:tcPr>
          <w:p w14:paraId="0A0E367D" w14:textId="77777777" w:rsidR="00937698" w:rsidRPr="007245B0" w:rsidRDefault="00937698" w:rsidP="00B77C0B">
            <w:pPr>
              <w:pStyle w:val="NoSpacing"/>
              <w:jc w:val="center"/>
              <w:rPr>
                <w:rFonts w:ascii="Times New Roman" w:hAnsi="Times New Roman" w:cs="Times New Roman"/>
              </w:rPr>
            </w:pPr>
            <w:r w:rsidRPr="007245B0">
              <w:rPr>
                <w:rFonts w:ascii="Times New Roman" w:hAnsi="Times New Roman" w:cs="Times New Roman"/>
              </w:rPr>
              <w:t>1.79</w:t>
            </w:r>
          </w:p>
        </w:tc>
      </w:tr>
      <w:tr w:rsidR="00937698" w:rsidRPr="007245B0" w14:paraId="2B8E0EE1" w14:textId="77777777" w:rsidTr="00B77C0B">
        <w:trPr>
          <w:trHeight w:val="418"/>
          <w:jc w:val="center"/>
        </w:trPr>
        <w:tc>
          <w:tcPr>
            <w:tcW w:w="0" w:type="auto"/>
            <w:hideMark/>
          </w:tcPr>
          <w:p w14:paraId="4AA6ECA6" w14:textId="77777777" w:rsidR="00937698" w:rsidRPr="007245B0" w:rsidRDefault="00937698" w:rsidP="00B77C0B">
            <w:pPr>
              <w:pStyle w:val="NoSpacing"/>
              <w:rPr>
                <w:rFonts w:ascii="Times New Roman" w:hAnsi="Times New Roman" w:cs="Times New Roman"/>
              </w:rPr>
            </w:pPr>
            <w:r w:rsidRPr="007245B0">
              <w:rPr>
                <w:rFonts w:ascii="Times New Roman" w:hAnsi="Times New Roman" w:cs="Times New Roman"/>
              </w:rPr>
              <w:t>Mysore</w:t>
            </w:r>
          </w:p>
        </w:tc>
        <w:tc>
          <w:tcPr>
            <w:tcW w:w="0" w:type="auto"/>
            <w:hideMark/>
          </w:tcPr>
          <w:p w14:paraId="00D17686" w14:textId="77777777" w:rsidR="00937698" w:rsidRPr="007245B0" w:rsidRDefault="00937698" w:rsidP="00B77C0B">
            <w:pPr>
              <w:pStyle w:val="NoSpacing"/>
              <w:jc w:val="center"/>
              <w:rPr>
                <w:rFonts w:ascii="Times New Roman" w:hAnsi="Times New Roman" w:cs="Times New Roman"/>
              </w:rPr>
            </w:pPr>
            <w:r w:rsidRPr="007245B0">
              <w:rPr>
                <w:rFonts w:ascii="Times New Roman" w:hAnsi="Times New Roman" w:cs="Times New Roman"/>
              </w:rPr>
              <w:t>3414</w:t>
            </w:r>
          </w:p>
        </w:tc>
        <w:tc>
          <w:tcPr>
            <w:tcW w:w="0" w:type="auto"/>
            <w:hideMark/>
          </w:tcPr>
          <w:p w14:paraId="7EBC9A77" w14:textId="77777777" w:rsidR="00937698" w:rsidRPr="007245B0" w:rsidRDefault="00937698" w:rsidP="00B77C0B">
            <w:pPr>
              <w:pStyle w:val="NoSpacing"/>
              <w:jc w:val="center"/>
              <w:rPr>
                <w:rFonts w:ascii="Times New Roman" w:hAnsi="Times New Roman" w:cs="Times New Roman"/>
              </w:rPr>
            </w:pPr>
            <w:r w:rsidRPr="007245B0">
              <w:rPr>
                <w:rFonts w:ascii="Times New Roman" w:hAnsi="Times New Roman" w:cs="Times New Roman"/>
              </w:rPr>
              <w:t>41</w:t>
            </w:r>
          </w:p>
        </w:tc>
        <w:tc>
          <w:tcPr>
            <w:tcW w:w="3149" w:type="dxa"/>
            <w:hideMark/>
          </w:tcPr>
          <w:p w14:paraId="247EB262" w14:textId="77777777" w:rsidR="00937698" w:rsidRPr="007245B0" w:rsidRDefault="00937698" w:rsidP="00B77C0B">
            <w:pPr>
              <w:pStyle w:val="NoSpacing"/>
              <w:jc w:val="center"/>
              <w:rPr>
                <w:rFonts w:ascii="Times New Roman" w:hAnsi="Times New Roman" w:cs="Times New Roman"/>
              </w:rPr>
            </w:pPr>
            <w:r w:rsidRPr="007245B0">
              <w:rPr>
                <w:rFonts w:ascii="Times New Roman" w:hAnsi="Times New Roman" w:cs="Times New Roman"/>
              </w:rPr>
              <w:t>1.20</w:t>
            </w:r>
          </w:p>
        </w:tc>
      </w:tr>
      <w:tr w:rsidR="00937698" w:rsidRPr="007245B0" w14:paraId="42A70646" w14:textId="77777777" w:rsidTr="00B77C0B">
        <w:trPr>
          <w:trHeight w:val="395"/>
          <w:jc w:val="center"/>
        </w:trPr>
        <w:tc>
          <w:tcPr>
            <w:tcW w:w="0" w:type="auto"/>
            <w:hideMark/>
          </w:tcPr>
          <w:p w14:paraId="03DD86D6" w14:textId="77777777" w:rsidR="00937698" w:rsidRPr="007245B0" w:rsidRDefault="00937698" w:rsidP="00B77C0B">
            <w:pPr>
              <w:pStyle w:val="NoSpacing"/>
              <w:rPr>
                <w:rFonts w:ascii="Times New Roman" w:hAnsi="Times New Roman" w:cs="Times New Roman"/>
              </w:rPr>
            </w:pPr>
            <w:r w:rsidRPr="007245B0">
              <w:rPr>
                <w:rFonts w:ascii="Times New Roman" w:hAnsi="Times New Roman" w:cs="Times New Roman"/>
              </w:rPr>
              <w:t>Nagaland</w:t>
            </w:r>
          </w:p>
        </w:tc>
        <w:tc>
          <w:tcPr>
            <w:tcW w:w="0" w:type="auto"/>
            <w:hideMark/>
          </w:tcPr>
          <w:p w14:paraId="648A82F3" w14:textId="77777777" w:rsidR="00937698" w:rsidRPr="007245B0" w:rsidRDefault="00937698" w:rsidP="00B77C0B">
            <w:pPr>
              <w:pStyle w:val="NoSpacing"/>
              <w:jc w:val="center"/>
              <w:rPr>
                <w:rFonts w:ascii="Times New Roman" w:hAnsi="Times New Roman" w:cs="Times New Roman"/>
              </w:rPr>
            </w:pPr>
            <w:r w:rsidRPr="007245B0">
              <w:rPr>
                <w:rFonts w:ascii="Times New Roman" w:hAnsi="Times New Roman" w:cs="Times New Roman"/>
              </w:rPr>
              <w:t>NA</w:t>
            </w:r>
          </w:p>
        </w:tc>
        <w:tc>
          <w:tcPr>
            <w:tcW w:w="0" w:type="auto"/>
            <w:hideMark/>
          </w:tcPr>
          <w:p w14:paraId="30CEA1DC" w14:textId="77777777" w:rsidR="00937698" w:rsidRPr="007245B0" w:rsidRDefault="00937698" w:rsidP="00B77C0B">
            <w:pPr>
              <w:pStyle w:val="NoSpacing"/>
              <w:jc w:val="center"/>
              <w:rPr>
                <w:rFonts w:ascii="Times New Roman" w:hAnsi="Times New Roman" w:cs="Times New Roman"/>
              </w:rPr>
            </w:pPr>
            <w:r w:rsidRPr="007245B0">
              <w:rPr>
                <w:rFonts w:ascii="Times New Roman" w:hAnsi="Times New Roman" w:cs="Times New Roman"/>
              </w:rPr>
              <w:t>NA</w:t>
            </w:r>
          </w:p>
        </w:tc>
        <w:tc>
          <w:tcPr>
            <w:tcW w:w="3149" w:type="dxa"/>
            <w:hideMark/>
          </w:tcPr>
          <w:p w14:paraId="022438E3" w14:textId="77777777" w:rsidR="00937698" w:rsidRPr="007245B0" w:rsidRDefault="00937698" w:rsidP="00B77C0B">
            <w:pPr>
              <w:pStyle w:val="NoSpacing"/>
              <w:jc w:val="center"/>
              <w:rPr>
                <w:rFonts w:ascii="Times New Roman" w:hAnsi="Times New Roman" w:cs="Times New Roman"/>
              </w:rPr>
            </w:pPr>
            <w:r w:rsidRPr="007245B0">
              <w:rPr>
                <w:rFonts w:ascii="Times New Roman" w:hAnsi="Times New Roman" w:cs="Times New Roman"/>
              </w:rPr>
              <w:t>NA</w:t>
            </w:r>
          </w:p>
        </w:tc>
      </w:tr>
      <w:tr w:rsidR="00937698" w:rsidRPr="007245B0" w14:paraId="41852A83" w14:textId="77777777" w:rsidTr="00B77C0B">
        <w:trPr>
          <w:trHeight w:val="418"/>
          <w:jc w:val="center"/>
        </w:trPr>
        <w:tc>
          <w:tcPr>
            <w:tcW w:w="0" w:type="auto"/>
            <w:hideMark/>
          </w:tcPr>
          <w:p w14:paraId="1CA892E9" w14:textId="77777777" w:rsidR="00937698" w:rsidRPr="007245B0" w:rsidRDefault="00937698" w:rsidP="00B77C0B">
            <w:pPr>
              <w:pStyle w:val="NoSpacing"/>
              <w:rPr>
                <w:rFonts w:ascii="Times New Roman" w:hAnsi="Times New Roman" w:cs="Times New Roman"/>
              </w:rPr>
            </w:pPr>
            <w:r w:rsidRPr="007245B0">
              <w:rPr>
                <w:rFonts w:ascii="Times New Roman" w:hAnsi="Times New Roman" w:cs="Times New Roman"/>
              </w:rPr>
              <w:t>Orissa</w:t>
            </w:r>
          </w:p>
        </w:tc>
        <w:tc>
          <w:tcPr>
            <w:tcW w:w="0" w:type="auto"/>
            <w:hideMark/>
          </w:tcPr>
          <w:p w14:paraId="0A18B935" w14:textId="77777777" w:rsidR="00937698" w:rsidRPr="007245B0" w:rsidRDefault="00937698" w:rsidP="00B77C0B">
            <w:pPr>
              <w:pStyle w:val="NoSpacing"/>
              <w:jc w:val="center"/>
              <w:rPr>
                <w:rFonts w:ascii="Times New Roman" w:hAnsi="Times New Roman" w:cs="Times New Roman"/>
              </w:rPr>
            </w:pPr>
            <w:r w:rsidRPr="007245B0">
              <w:rPr>
                <w:rFonts w:ascii="Times New Roman" w:hAnsi="Times New Roman" w:cs="Times New Roman"/>
              </w:rPr>
              <w:t>3071</w:t>
            </w:r>
          </w:p>
        </w:tc>
        <w:tc>
          <w:tcPr>
            <w:tcW w:w="0" w:type="auto"/>
            <w:hideMark/>
          </w:tcPr>
          <w:p w14:paraId="7185E172" w14:textId="77777777" w:rsidR="00937698" w:rsidRPr="007245B0" w:rsidRDefault="00937698" w:rsidP="00B77C0B">
            <w:pPr>
              <w:pStyle w:val="NoSpacing"/>
              <w:jc w:val="center"/>
              <w:rPr>
                <w:rFonts w:ascii="Times New Roman" w:hAnsi="Times New Roman" w:cs="Times New Roman"/>
              </w:rPr>
            </w:pPr>
            <w:r w:rsidRPr="007245B0">
              <w:rPr>
                <w:rFonts w:ascii="Times New Roman" w:hAnsi="Times New Roman" w:cs="Times New Roman"/>
              </w:rPr>
              <w:t>10</w:t>
            </w:r>
          </w:p>
        </w:tc>
        <w:tc>
          <w:tcPr>
            <w:tcW w:w="3149" w:type="dxa"/>
            <w:hideMark/>
          </w:tcPr>
          <w:p w14:paraId="3826BF49" w14:textId="77777777" w:rsidR="00937698" w:rsidRPr="007245B0" w:rsidRDefault="00937698" w:rsidP="00B77C0B">
            <w:pPr>
              <w:pStyle w:val="NoSpacing"/>
              <w:jc w:val="center"/>
              <w:rPr>
                <w:rFonts w:ascii="Times New Roman" w:hAnsi="Times New Roman" w:cs="Times New Roman"/>
              </w:rPr>
            </w:pPr>
            <w:r w:rsidRPr="007245B0">
              <w:rPr>
                <w:rFonts w:ascii="Times New Roman" w:hAnsi="Times New Roman" w:cs="Times New Roman"/>
              </w:rPr>
              <w:t>0.33</w:t>
            </w:r>
          </w:p>
        </w:tc>
      </w:tr>
      <w:tr w:rsidR="00937698" w:rsidRPr="007245B0" w14:paraId="445094BB" w14:textId="77777777" w:rsidTr="00B77C0B">
        <w:trPr>
          <w:trHeight w:val="395"/>
          <w:jc w:val="center"/>
        </w:trPr>
        <w:tc>
          <w:tcPr>
            <w:tcW w:w="0" w:type="auto"/>
            <w:hideMark/>
          </w:tcPr>
          <w:p w14:paraId="2CBCB902" w14:textId="77777777" w:rsidR="00937698" w:rsidRPr="007245B0" w:rsidRDefault="00937698" w:rsidP="00B77C0B">
            <w:pPr>
              <w:pStyle w:val="NoSpacing"/>
              <w:rPr>
                <w:rFonts w:ascii="Times New Roman" w:hAnsi="Times New Roman" w:cs="Times New Roman"/>
              </w:rPr>
            </w:pPr>
            <w:r w:rsidRPr="007245B0">
              <w:rPr>
                <w:rFonts w:ascii="Times New Roman" w:hAnsi="Times New Roman" w:cs="Times New Roman"/>
              </w:rPr>
              <w:t>Punjab</w:t>
            </w:r>
          </w:p>
        </w:tc>
        <w:tc>
          <w:tcPr>
            <w:tcW w:w="0" w:type="auto"/>
            <w:hideMark/>
          </w:tcPr>
          <w:p w14:paraId="5F125E43" w14:textId="77777777" w:rsidR="00937698" w:rsidRPr="007245B0" w:rsidRDefault="00937698" w:rsidP="00B77C0B">
            <w:pPr>
              <w:pStyle w:val="NoSpacing"/>
              <w:jc w:val="center"/>
              <w:rPr>
                <w:rFonts w:ascii="Times New Roman" w:hAnsi="Times New Roman" w:cs="Times New Roman"/>
              </w:rPr>
            </w:pPr>
            <w:r w:rsidRPr="007245B0">
              <w:rPr>
                <w:rFonts w:ascii="Times New Roman" w:hAnsi="Times New Roman" w:cs="Times New Roman"/>
              </w:rPr>
              <w:t>1557</w:t>
            </w:r>
          </w:p>
        </w:tc>
        <w:tc>
          <w:tcPr>
            <w:tcW w:w="0" w:type="auto"/>
            <w:hideMark/>
          </w:tcPr>
          <w:p w14:paraId="5EB716B1" w14:textId="77777777" w:rsidR="00937698" w:rsidRPr="007245B0" w:rsidRDefault="00937698" w:rsidP="00B77C0B">
            <w:pPr>
              <w:pStyle w:val="NoSpacing"/>
              <w:jc w:val="center"/>
              <w:rPr>
                <w:rFonts w:ascii="Times New Roman" w:hAnsi="Times New Roman" w:cs="Times New Roman"/>
              </w:rPr>
            </w:pPr>
            <w:r w:rsidRPr="007245B0">
              <w:rPr>
                <w:rFonts w:ascii="Times New Roman" w:hAnsi="Times New Roman" w:cs="Times New Roman"/>
              </w:rPr>
              <w:t>16</w:t>
            </w:r>
          </w:p>
        </w:tc>
        <w:tc>
          <w:tcPr>
            <w:tcW w:w="3149" w:type="dxa"/>
            <w:hideMark/>
          </w:tcPr>
          <w:p w14:paraId="30EE62C9" w14:textId="77777777" w:rsidR="00937698" w:rsidRPr="007245B0" w:rsidRDefault="00937698" w:rsidP="00B77C0B">
            <w:pPr>
              <w:pStyle w:val="NoSpacing"/>
              <w:jc w:val="center"/>
              <w:rPr>
                <w:rFonts w:ascii="Times New Roman" w:hAnsi="Times New Roman" w:cs="Times New Roman"/>
              </w:rPr>
            </w:pPr>
            <w:r w:rsidRPr="007245B0">
              <w:rPr>
                <w:rFonts w:ascii="Times New Roman" w:hAnsi="Times New Roman" w:cs="Times New Roman"/>
              </w:rPr>
              <w:t>1.03</w:t>
            </w:r>
          </w:p>
        </w:tc>
      </w:tr>
      <w:tr w:rsidR="00937698" w:rsidRPr="007245B0" w14:paraId="07520357" w14:textId="77777777" w:rsidTr="00B77C0B">
        <w:trPr>
          <w:trHeight w:val="418"/>
          <w:jc w:val="center"/>
        </w:trPr>
        <w:tc>
          <w:tcPr>
            <w:tcW w:w="0" w:type="auto"/>
            <w:hideMark/>
          </w:tcPr>
          <w:p w14:paraId="6266B05C" w14:textId="77777777" w:rsidR="00937698" w:rsidRPr="007245B0" w:rsidRDefault="00937698" w:rsidP="00B77C0B">
            <w:pPr>
              <w:pStyle w:val="NoSpacing"/>
              <w:rPr>
                <w:rFonts w:ascii="Times New Roman" w:hAnsi="Times New Roman" w:cs="Times New Roman"/>
              </w:rPr>
            </w:pPr>
            <w:r w:rsidRPr="007245B0">
              <w:rPr>
                <w:rFonts w:ascii="Times New Roman" w:hAnsi="Times New Roman" w:cs="Times New Roman"/>
              </w:rPr>
              <w:t>Rajasthan</w:t>
            </w:r>
          </w:p>
        </w:tc>
        <w:tc>
          <w:tcPr>
            <w:tcW w:w="0" w:type="auto"/>
            <w:hideMark/>
          </w:tcPr>
          <w:p w14:paraId="18889EE1" w14:textId="77777777" w:rsidR="00937698" w:rsidRPr="007245B0" w:rsidRDefault="00937698" w:rsidP="00B77C0B">
            <w:pPr>
              <w:pStyle w:val="NoSpacing"/>
              <w:jc w:val="center"/>
              <w:rPr>
                <w:rFonts w:ascii="Times New Roman" w:hAnsi="Times New Roman" w:cs="Times New Roman"/>
              </w:rPr>
            </w:pPr>
            <w:r w:rsidRPr="007245B0">
              <w:rPr>
                <w:rFonts w:ascii="Times New Roman" w:hAnsi="Times New Roman" w:cs="Times New Roman"/>
              </w:rPr>
              <w:t>824</w:t>
            </w:r>
          </w:p>
        </w:tc>
        <w:tc>
          <w:tcPr>
            <w:tcW w:w="0" w:type="auto"/>
            <w:hideMark/>
          </w:tcPr>
          <w:p w14:paraId="4C43CEF7" w14:textId="77777777" w:rsidR="00937698" w:rsidRPr="007245B0" w:rsidRDefault="00937698" w:rsidP="00B77C0B">
            <w:pPr>
              <w:pStyle w:val="NoSpacing"/>
              <w:jc w:val="center"/>
              <w:rPr>
                <w:rFonts w:ascii="Times New Roman" w:hAnsi="Times New Roman" w:cs="Times New Roman"/>
              </w:rPr>
            </w:pPr>
            <w:r w:rsidRPr="007245B0">
              <w:rPr>
                <w:rFonts w:ascii="Times New Roman" w:hAnsi="Times New Roman" w:cs="Times New Roman"/>
              </w:rPr>
              <w:t>16</w:t>
            </w:r>
          </w:p>
        </w:tc>
        <w:tc>
          <w:tcPr>
            <w:tcW w:w="3149" w:type="dxa"/>
            <w:hideMark/>
          </w:tcPr>
          <w:p w14:paraId="6067C088" w14:textId="77777777" w:rsidR="00937698" w:rsidRPr="007245B0" w:rsidRDefault="00937698" w:rsidP="00B77C0B">
            <w:pPr>
              <w:pStyle w:val="NoSpacing"/>
              <w:jc w:val="center"/>
              <w:rPr>
                <w:rFonts w:ascii="Times New Roman" w:hAnsi="Times New Roman" w:cs="Times New Roman"/>
              </w:rPr>
            </w:pPr>
            <w:r w:rsidRPr="007245B0">
              <w:rPr>
                <w:rFonts w:ascii="Times New Roman" w:hAnsi="Times New Roman" w:cs="Times New Roman"/>
              </w:rPr>
              <w:t>1.94</w:t>
            </w:r>
          </w:p>
        </w:tc>
      </w:tr>
      <w:tr w:rsidR="00937698" w:rsidRPr="007245B0" w14:paraId="1600761E" w14:textId="77777777" w:rsidTr="00B77C0B">
        <w:trPr>
          <w:trHeight w:val="395"/>
          <w:jc w:val="center"/>
        </w:trPr>
        <w:tc>
          <w:tcPr>
            <w:tcW w:w="0" w:type="auto"/>
            <w:hideMark/>
          </w:tcPr>
          <w:p w14:paraId="7056E397" w14:textId="77777777" w:rsidR="00937698" w:rsidRPr="007245B0" w:rsidRDefault="00937698" w:rsidP="00B77C0B">
            <w:pPr>
              <w:pStyle w:val="NoSpacing"/>
              <w:rPr>
                <w:rFonts w:ascii="Times New Roman" w:hAnsi="Times New Roman" w:cs="Times New Roman"/>
              </w:rPr>
            </w:pPr>
            <w:r w:rsidRPr="007245B0">
              <w:rPr>
                <w:rFonts w:ascii="Times New Roman" w:hAnsi="Times New Roman" w:cs="Times New Roman"/>
              </w:rPr>
              <w:t>Tamil Nadu</w:t>
            </w:r>
          </w:p>
        </w:tc>
        <w:tc>
          <w:tcPr>
            <w:tcW w:w="0" w:type="auto"/>
            <w:hideMark/>
          </w:tcPr>
          <w:p w14:paraId="50660088" w14:textId="77777777" w:rsidR="00937698" w:rsidRPr="007245B0" w:rsidRDefault="00937698" w:rsidP="00B77C0B">
            <w:pPr>
              <w:pStyle w:val="NoSpacing"/>
              <w:jc w:val="center"/>
              <w:rPr>
                <w:rFonts w:ascii="Times New Roman" w:hAnsi="Times New Roman" w:cs="Times New Roman"/>
              </w:rPr>
            </w:pPr>
            <w:r w:rsidRPr="007245B0">
              <w:rPr>
                <w:rFonts w:ascii="Times New Roman" w:hAnsi="Times New Roman" w:cs="Times New Roman"/>
              </w:rPr>
              <w:t>2525</w:t>
            </w:r>
          </w:p>
        </w:tc>
        <w:tc>
          <w:tcPr>
            <w:tcW w:w="0" w:type="auto"/>
            <w:hideMark/>
          </w:tcPr>
          <w:p w14:paraId="742F31CD" w14:textId="77777777" w:rsidR="00937698" w:rsidRPr="007245B0" w:rsidRDefault="00937698" w:rsidP="00B77C0B">
            <w:pPr>
              <w:pStyle w:val="NoSpacing"/>
              <w:jc w:val="center"/>
              <w:rPr>
                <w:rFonts w:ascii="Times New Roman" w:hAnsi="Times New Roman" w:cs="Times New Roman"/>
              </w:rPr>
            </w:pPr>
            <w:r w:rsidRPr="007245B0">
              <w:rPr>
                <w:rFonts w:ascii="Times New Roman" w:hAnsi="Times New Roman" w:cs="Times New Roman"/>
              </w:rPr>
              <w:t>19</w:t>
            </w:r>
          </w:p>
        </w:tc>
        <w:tc>
          <w:tcPr>
            <w:tcW w:w="3149" w:type="dxa"/>
            <w:hideMark/>
          </w:tcPr>
          <w:p w14:paraId="519681DA" w14:textId="77777777" w:rsidR="00937698" w:rsidRPr="007245B0" w:rsidRDefault="00937698" w:rsidP="00B77C0B">
            <w:pPr>
              <w:pStyle w:val="NoSpacing"/>
              <w:jc w:val="center"/>
              <w:rPr>
                <w:rFonts w:ascii="Times New Roman" w:hAnsi="Times New Roman" w:cs="Times New Roman"/>
              </w:rPr>
            </w:pPr>
            <w:r w:rsidRPr="007245B0">
              <w:rPr>
                <w:rFonts w:ascii="Times New Roman" w:hAnsi="Times New Roman" w:cs="Times New Roman"/>
              </w:rPr>
              <w:t>0.75</w:t>
            </w:r>
          </w:p>
        </w:tc>
      </w:tr>
      <w:tr w:rsidR="00937698" w:rsidRPr="007245B0" w14:paraId="39E15E43" w14:textId="77777777" w:rsidTr="00B77C0B">
        <w:trPr>
          <w:trHeight w:val="418"/>
          <w:jc w:val="center"/>
        </w:trPr>
        <w:tc>
          <w:tcPr>
            <w:tcW w:w="0" w:type="auto"/>
            <w:hideMark/>
          </w:tcPr>
          <w:p w14:paraId="2AC02249" w14:textId="77777777" w:rsidR="00937698" w:rsidRPr="007245B0" w:rsidRDefault="00937698" w:rsidP="00B77C0B">
            <w:pPr>
              <w:pStyle w:val="NoSpacing"/>
              <w:rPr>
                <w:rFonts w:ascii="Times New Roman" w:hAnsi="Times New Roman" w:cs="Times New Roman"/>
              </w:rPr>
            </w:pPr>
            <w:r w:rsidRPr="007245B0">
              <w:rPr>
                <w:rFonts w:ascii="Times New Roman" w:hAnsi="Times New Roman" w:cs="Times New Roman"/>
              </w:rPr>
              <w:t>Uttar Pradesh</w:t>
            </w:r>
          </w:p>
        </w:tc>
        <w:tc>
          <w:tcPr>
            <w:tcW w:w="0" w:type="auto"/>
            <w:hideMark/>
          </w:tcPr>
          <w:p w14:paraId="27F005A4" w14:textId="77777777" w:rsidR="00937698" w:rsidRPr="007245B0" w:rsidRDefault="00937698" w:rsidP="00B77C0B">
            <w:pPr>
              <w:pStyle w:val="NoSpacing"/>
              <w:jc w:val="center"/>
              <w:rPr>
                <w:rFonts w:ascii="Times New Roman" w:hAnsi="Times New Roman" w:cs="Times New Roman"/>
              </w:rPr>
            </w:pPr>
            <w:r w:rsidRPr="007245B0">
              <w:rPr>
                <w:rFonts w:ascii="Times New Roman" w:hAnsi="Times New Roman" w:cs="Times New Roman"/>
              </w:rPr>
              <w:t>2684</w:t>
            </w:r>
          </w:p>
        </w:tc>
        <w:tc>
          <w:tcPr>
            <w:tcW w:w="0" w:type="auto"/>
            <w:hideMark/>
          </w:tcPr>
          <w:p w14:paraId="3E15241E" w14:textId="77777777" w:rsidR="00937698" w:rsidRPr="007245B0" w:rsidRDefault="00937698" w:rsidP="00B77C0B">
            <w:pPr>
              <w:pStyle w:val="NoSpacing"/>
              <w:jc w:val="center"/>
              <w:rPr>
                <w:rFonts w:ascii="Times New Roman" w:hAnsi="Times New Roman" w:cs="Times New Roman"/>
              </w:rPr>
            </w:pPr>
            <w:r w:rsidRPr="007245B0">
              <w:rPr>
                <w:rFonts w:ascii="Times New Roman" w:hAnsi="Times New Roman" w:cs="Times New Roman"/>
              </w:rPr>
              <w:t>49</w:t>
            </w:r>
          </w:p>
        </w:tc>
        <w:tc>
          <w:tcPr>
            <w:tcW w:w="3149" w:type="dxa"/>
            <w:hideMark/>
          </w:tcPr>
          <w:p w14:paraId="4C176DF0" w14:textId="77777777" w:rsidR="00937698" w:rsidRPr="007245B0" w:rsidRDefault="00937698" w:rsidP="00B77C0B">
            <w:pPr>
              <w:pStyle w:val="NoSpacing"/>
              <w:jc w:val="center"/>
              <w:rPr>
                <w:rFonts w:ascii="Times New Roman" w:hAnsi="Times New Roman" w:cs="Times New Roman"/>
              </w:rPr>
            </w:pPr>
            <w:r w:rsidRPr="007245B0">
              <w:rPr>
                <w:rFonts w:ascii="Times New Roman" w:hAnsi="Times New Roman" w:cs="Times New Roman"/>
              </w:rPr>
              <w:t>1.83</w:t>
            </w:r>
          </w:p>
        </w:tc>
      </w:tr>
      <w:tr w:rsidR="00937698" w:rsidRPr="007245B0" w14:paraId="6DF3392C" w14:textId="77777777" w:rsidTr="00B77C0B">
        <w:trPr>
          <w:trHeight w:val="418"/>
          <w:jc w:val="center"/>
        </w:trPr>
        <w:tc>
          <w:tcPr>
            <w:tcW w:w="0" w:type="auto"/>
            <w:hideMark/>
          </w:tcPr>
          <w:p w14:paraId="15EA1486" w14:textId="77777777" w:rsidR="00937698" w:rsidRPr="007245B0" w:rsidRDefault="00937698" w:rsidP="00B77C0B">
            <w:pPr>
              <w:pStyle w:val="NoSpacing"/>
              <w:rPr>
                <w:rFonts w:ascii="Times New Roman" w:hAnsi="Times New Roman" w:cs="Times New Roman"/>
              </w:rPr>
            </w:pPr>
            <w:r w:rsidRPr="007245B0">
              <w:rPr>
                <w:rFonts w:ascii="Times New Roman" w:hAnsi="Times New Roman" w:cs="Times New Roman"/>
              </w:rPr>
              <w:t>West Bengal</w:t>
            </w:r>
          </w:p>
        </w:tc>
        <w:tc>
          <w:tcPr>
            <w:tcW w:w="0" w:type="auto"/>
            <w:hideMark/>
          </w:tcPr>
          <w:p w14:paraId="50220689" w14:textId="77777777" w:rsidR="00937698" w:rsidRPr="007245B0" w:rsidRDefault="00937698" w:rsidP="00B77C0B">
            <w:pPr>
              <w:pStyle w:val="NoSpacing"/>
              <w:jc w:val="center"/>
              <w:rPr>
                <w:rFonts w:ascii="Times New Roman" w:hAnsi="Times New Roman" w:cs="Times New Roman"/>
              </w:rPr>
            </w:pPr>
            <w:r w:rsidRPr="007245B0">
              <w:rPr>
                <w:rFonts w:ascii="Times New Roman" w:hAnsi="Times New Roman" w:cs="Times New Roman"/>
              </w:rPr>
              <w:t>2241</w:t>
            </w:r>
          </w:p>
        </w:tc>
        <w:tc>
          <w:tcPr>
            <w:tcW w:w="0" w:type="auto"/>
            <w:hideMark/>
          </w:tcPr>
          <w:p w14:paraId="446195E7" w14:textId="77777777" w:rsidR="00937698" w:rsidRPr="007245B0" w:rsidRDefault="00937698" w:rsidP="00B77C0B">
            <w:pPr>
              <w:pStyle w:val="NoSpacing"/>
              <w:jc w:val="center"/>
              <w:rPr>
                <w:rFonts w:ascii="Times New Roman" w:hAnsi="Times New Roman" w:cs="Times New Roman"/>
              </w:rPr>
            </w:pPr>
            <w:r w:rsidRPr="007245B0">
              <w:rPr>
                <w:rFonts w:ascii="Times New Roman" w:hAnsi="Times New Roman" w:cs="Times New Roman"/>
              </w:rPr>
              <w:t>1</w:t>
            </w:r>
          </w:p>
        </w:tc>
        <w:tc>
          <w:tcPr>
            <w:tcW w:w="3149" w:type="dxa"/>
            <w:hideMark/>
          </w:tcPr>
          <w:p w14:paraId="6EC09A7A" w14:textId="77777777" w:rsidR="00937698" w:rsidRPr="007245B0" w:rsidRDefault="00937698" w:rsidP="00B77C0B">
            <w:pPr>
              <w:pStyle w:val="NoSpacing"/>
              <w:jc w:val="center"/>
              <w:rPr>
                <w:rFonts w:ascii="Times New Roman" w:hAnsi="Times New Roman" w:cs="Times New Roman"/>
              </w:rPr>
            </w:pPr>
            <w:r w:rsidRPr="007245B0">
              <w:rPr>
                <w:rFonts w:ascii="Times New Roman" w:hAnsi="Times New Roman" w:cs="Times New Roman"/>
              </w:rPr>
              <w:t>0.04</w:t>
            </w:r>
          </w:p>
        </w:tc>
      </w:tr>
      <w:tr w:rsidR="00937698" w:rsidRPr="007245B0" w14:paraId="0653FE52" w14:textId="77777777" w:rsidTr="00B77C0B">
        <w:trPr>
          <w:trHeight w:val="395"/>
          <w:jc w:val="center"/>
        </w:trPr>
        <w:tc>
          <w:tcPr>
            <w:tcW w:w="0" w:type="auto"/>
            <w:hideMark/>
          </w:tcPr>
          <w:p w14:paraId="26E53AC2" w14:textId="77777777" w:rsidR="00937698" w:rsidRPr="007245B0" w:rsidRDefault="00937698" w:rsidP="00B77C0B">
            <w:pPr>
              <w:pStyle w:val="NoSpacing"/>
              <w:rPr>
                <w:rFonts w:ascii="Times New Roman" w:hAnsi="Times New Roman" w:cs="Times New Roman"/>
              </w:rPr>
            </w:pPr>
            <w:r w:rsidRPr="007245B0">
              <w:rPr>
                <w:rFonts w:ascii="Times New Roman" w:hAnsi="Times New Roman" w:cs="Times New Roman"/>
              </w:rPr>
              <w:t>TOTAL</w:t>
            </w:r>
          </w:p>
        </w:tc>
        <w:tc>
          <w:tcPr>
            <w:tcW w:w="0" w:type="auto"/>
            <w:hideMark/>
          </w:tcPr>
          <w:p w14:paraId="430BDC00" w14:textId="77777777" w:rsidR="00937698" w:rsidRPr="007245B0" w:rsidRDefault="00937698" w:rsidP="00B77C0B">
            <w:pPr>
              <w:pStyle w:val="NoSpacing"/>
              <w:jc w:val="center"/>
              <w:rPr>
                <w:rFonts w:ascii="Times New Roman" w:hAnsi="Times New Roman" w:cs="Times New Roman"/>
              </w:rPr>
            </w:pPr>
            <w:r w:rsidRPr="007245B0">
              <w:rPr>
                <w:rFonts w:ascii="Times New Roman" w:hAnsi="Times New Roman" w:cs="Times New Roman"/>
              </w:rPr>
              <w:t>36600</w:t>
            </w:r>
          </w:p>
        </w:tc>
        <w:tc>
          <w:tcPr>
            <w:tcW w:w="0" w:type="auto"/>
            <w:hideMark/>
          </w:tcPr>
          <w:p w14:paraId="3903B654" w14:textId="77777777" w:rsidR="00937698" w:rsidRPr="007245B0" w:rsidRDefault="00937698" w:rsidP="00B77C0B">
            <w:pPr>
              <w:pStyle w:val="NoSpacing"/>
              <w:jc w:val="center"/>
              <w:rPr>
                <w:rFonts w:ascii="Times New Roman" w:hAnsi="Times New Roman" w:cs="Times New Roman"/>
              </w:rPr>
            </w:pPr>
            <w:r w:rsidRPr="007245B0">
              <w:rPr>
                <w:rFonts w:ascii="Times New Roman" w:hAnsi="Times New Roman" w:cs="Times New Roman"/>
              </w:rPr>
              <w:t>493</w:t>
            </w:r>
          </w:p>
        </w:tc>
        <w:tc>
          <w:tcPr>
            <w:tcW w:w="3149" w:type="dxa"/>
            <w:hideMark/>
          </w:tcPr>
          <w:p w14:paraId="5E76958C" w14:textId="77777777" w:rsidR="00937698" w:rsidRPr="007245B0" w:rsidRDefault="00937698" w:rsidP="00B77C0B">
            <w:pPr>
              <w:pStyle w:val="NoSpacing"/>
              <w:jc w:val="center"/>
              <w:rPr>
                <w:rFonts w:ascii="Times New Roman" w:hAnsi="Times New Roman" w:cs="Times New Roman"/>
              </w:rPr>
            </w:pPr>
            <w:r w:rsidRPr="007245B0">
              <w:rPr>
                <w:rFonts w:ascii="Times New Roman" w:hAnsi="Times New Roman" w:cs="Times New Roman"/>
              </w:rPr>
              <w:t>1.35</w:t>
            </w:r>
          </w:p>
        </w:tc>
      </w:tr>
    </w:tbl>
    <w:p w14:paraId="3CD2A9F6" w14:textId="77777777" w:rsidR="00937698" w:rsidRPr="00871479" w:rsidRDefault="00937698" w:rsidP="00871479">
      <w:pPr>
        <w:tabs>
          <w:tab w:val="left" w:pos="3306"/>
        </w:tabs>
        <w:rPr>
          <w:rFonts w:ascii="Times New Roman" w:hAnsi="Times New Roman" w:cs="Times New Roman"/>
          <w:sz w:val="20"/>
          <w:szCs w:val="20"/>
        </w:rPr>
      </w:pPr>
      <w:r w:rsidRPr="00871479">
        <w:rPr>
          <w:rFonts w:ascii="Times New Roman" w:hAnsi="Times New Roman" w:cs="Times New Roman"/>
          <w:sz w:val="20"/>
          <w:szCs w:val="20"/>
        </w:rPr>
        <w:t>* These represent investments in Statutory Corporations (other than Electricity Boards), Government Companies, Joint Stock Companies and Cooperative Institutions.</w:t>
      </w:r>
    </w:p>
    <w:p w14:paraId="5F5036D3" w14:textId="3918B5DB" w:rsidR="00937698" w:rsidRPr="00871479" w:rsidRDefault="00937698" w:rsidP="00871479">
      <w:pPr>
        <w:tabs>
          <w:tab w:val="left" w:pos="3306"/>
        </w:tabs>
        <w:rPr>
          <w:rFonts w:ascii="Times New Roman" w:hAnsi="Times New Roman" w:cs="Times New Roman"/>
          <w:sz w:val="20"/>
          <w:szCs w:val="20"/>
        </w:rPr>
      </w:pPr>
      <w:r w:rsidRPr="00871479">
        <w:rPr>
          <w:rFonts w:ascii="Times New Roman" w:hAnsi="Times New Roman" w:cs="Times New Roman"/>
          <w:sz w:val="20"/>
          <w:szCs w:val="20"/>
        </w:rPr>
        <w:t>Source: (i) Finance Accounts, 1967-68,</w:t>
      </w:r>
      <w:r w:rsidRPr="00871479">
        <w:rPr>
          <w:rFonts w:ascii="Times New Roman" w:hAnsi="Times New Roman" w:cs="Times New Roman"/>
          <w:sz w:val="20"/>
          <w:szCs w:val="20"/>
        </w:rPr>
        <w:br/>
        <w:t>(ii) Audit Reports; and</w:t>
      </w:r>
      <w:r w:rsidRPr="00871479">
        <w:rPr>
          <w:rFonts w:ascii="Times New Roman" w:hAnsi="Times New Roman" w:cs="Times New Roman"/>
          <w:sz w:val="20"/>
          <w:szCs w:val="20"/>
        </w:rPr>
        <w:br/>
        <w:t>(iii) Information received from States.</w:t>
      </w:r>
    </w:p>
    <w:p w14:paraId="636CDB6B" w14:textId="77777777" w:rsidR="007D2EE4" w:rsidRDefault="007D2EE4">
      <w:pPr>
        <w:rPr>
          <w:rFonts w:ascii="Times New Roman" w:hAnsi="Times New Roman" w:cs="Times New Roman"/>
          <w:b/>
          <w:bCs/>
          <w:i/>
          <w:iCs/>
          <w:szCs w:val="24"/>
        </w:rPr>
      </w:pPr>
      <w:r>
        <w:rPr>
          <w:rFonts w:ascii="Times New Roman" w:hAnsi="Times New Roman" w:cs="Times New Roman"/>
          <w:b/>
          <w:bCs/>
          <w:i/>
          <w:iCs/>
          <w:szCs w:val="24"/>
        </w:rPr>
        <w:br w:type="page"/>
      </w:r>
    </w:p>
    <w:p w14:paraId="1AFCA885" w14:textId="1F05E92B" w:rsidR="00937698" w:rsidRPr="007245B0" w:rsidRDefault="00574BCE" w:rsidP="007D2EE4">
      <w:pPr>
        <w:pStyle w:val="Heading4"/>
      </w:pPr>
      <w:bookmarkStart w:id="162" w:name="_Toc220949724"/>
      <w:bookmarkStart w:id="163" w:name="_Toc221114324"/>
      <w:bookmarkStart w:id="164" w:name="_Toc221115347"/>
      <w:r>
        <w:lastRenderedPageBreak/>
        <w:t>Table</w:t>
      </w:r>
      <w:r w:rsidR="00937698" w:rsidRPr="007245B0">
        <w:t xml:space="preserve"> </w:t>
      </w:r>
      <w:r w:rsidR="006A3FD0" w:rsidRPr="007245B0">
        <w:t>43:</w:t>
      </w:r>
      <w:r w:rsidR="00937698" w:rsidRPr="007245B0">
        <w:t xml:space="preserve"> Revenue receipts of the Government of India</w:t>
      </w:r>
      <w:bookmarkEnd w:id="162"/>
      <w:bookmarkEnd w:id="163"/>
      <w:bookmarkEnd w:id="164"/>
    </w:p>
    <w:p w14:paraId="69D9B089" w14:textId="77777777" w:rsidR="00937698" w:rsidRPr="007245B0" w:rsidRDefault="00937698" w:rsidP="00937698">
      <w:pPr>
        <w:tabs>
          <w:tab w:val="left" w:pos="3306"/>
        </w:tabs>
        <w:jc w:val="right"/>
        <w:rPr>
          <w:rFonts w:ascii="Times New Roman" w:hAnsi="Times New Roman" w:cs="Times New Roman"/>
          <w:i/>
          <w:iCs/>
          <w:szCs w:val="24"/>
        </w:rPr>
      </w:pPr>
      <w:r w:rsidRPr="007245B0">
        <w:rPr>
          <w:rFonts w:ascii="Times New Roman" w:hAnsi="Times New Roman" w:cs="Times New Roman"/>
          <w:i/>
          <w:iCs/>
          <w:szCs w:val="24"/>
        </w:rPr>
        <w:t>(Rs. crores)</w:t>
      </w:r>
    </w:p>
    <w:tbl>
      <w:tblPr>
        <w:tblStyle w:val="TableGrid"/>
        <w:tblW w:w="10532" w:type="dxa"/>
        <w:tblInd w:w="-572" w:type="dxa"/>
        <w:tblLook w:val="04A0" w:firstRow="1" w:lastRow="0" w:firstColumn="1" w:lastColumn="0" w:noHBand="0" w:noVBand="1"/>
      </w:tblPr>
      <w:tblGrid>
        <w:gridCol w:w="4825"/>
        <w:gridCol w:w="1010"/>
        <w:gridCol w:w="1010"/>
        <w:gridCol w:w="1010"/>
        <w:gridCol w:w="1010"/>
        <w:gridCol w:w="1667"/>
      </w:tblGrid>
      <w:tr w:rsidR="00937698" w:rsidRPr="00871479" w14:paraId="00338B24" w14:textId="77777777" w:rsidTr="00871479">
        <w:trPr>
          <w:trHeight w:val="489"/>
        </w:trPr>
        <w:tc>
          <w:tcPr>
            <w:tcW w:w="4824" w:type="dxa"/>
            <w:vAlign w:val="center"/>
            <w:hideMark/>
          </w:tcPr>
          <w:p w14:paraId="5F5656C7" w14:textId="77777777" w:rsidR="00937698" w:rsidRPr="00871479" w:rsidRDefault="00937698" w:rsidP="00871479">
            <w:pPr>
              <w:pStyle w:val="NoSpacing"/>
              <w:jc w:val="center"/>
              <w:rPr>
                <w:rFonts w:ascii="Times New Roman" w:hAnsi="Times New Roman" w:cs="Times New Roman"/>
                <w:sz w:val="22"/>
                <w:szCs w:val="22"/>
              </w:rPr>
            </w:pPr>
          </w:p>
        </w:tc>
        <w:tc>
          <w:tcPr>
            <w:tcW w:w="0" w:type="auto"/>
            <w:vAlign w:val="center"/>
            <w:hideMark/>
          </w:tcPr>
          <w:p w14:paraId="0E4BF66C" w14:textId="77777777" w:rsidR="00937698" w:rsidRPr="00871479" w:rsidRDefault="00937698" w:rsidP="00871479">
            <w:pPr>
              <w:pStyle w:val="NoSpacing"/>
              <w:jc w:val="center"/>
              <w:rPr>
                <w:rFonts w:ascii="Times New Roman" w:hAnsi="Times New Roman" w:cs="Times New Roman"/>
                <w:b/>
                <w:bCs/>
                <w:sz w:val="22"/>
                <w:szCs w:val="22"/>
              </w:rPr>
            </w:pPr>
            <w:r w:rsidRPr="00871479">
              <w:rPr>
                <w:rFonts w:ascii="Times New Roman" w:hAnsi="Times New Roman" w:cs="Times New Roman"/>
                <w:b/>
                <w:bCs/>
                <w:sz w:val="22"/>
                <w:szCs w:val="22"/>
              </w:rPr>
              <w:t>1964-65</w:t>
            </w:r>
          </w:p>
        </w:tc>
        <w:tc>
          <w:tcPr>
            <w:tcW w:w="0" w:type="auto"/>
            <w:vAlign w:val="center"/>
            <w:hideMark/>
          </w:tcPr>
          <w:p w14:paraId="133956D1" w14:textId="77777777" w:rsidR="00937698" w:rsidRPr="00871479" w:rsidRDefault="00937698" w:rsidP="00871479">
            <w:pPr>
              <w:pStyle w:val="NoSpacing"/>
              <w:jc w:val="center"/>
              <w:rPr>
                <w:rFonts w:ascii="Times New Roman" w:hAnsi="Times New Roman" w:cs="Times New Roman"/>
                <w:b/>
                <w:bCs/>
                <w:sz w:val="22"/>
                <w:szCs w:val="22"/>
              </w:rPr>
            </w:pPr>
            <w:r w:rsidRPr="00871479">
              <w:rPr>
                <w:rFonts w:ascii="Times New Roman" w:hAnsi="Times New Roman" w:cs="Times New Roman"/>
                <w:b/>
                <w:bCs/>
                <w:sz w:val="22"/>
                <w:szCs w:val="22"/>
              </w:rPr>
              <w:t>1965-66</w:t>
            </w:r>
          </w:p>
        </w:tc>
        <w:tc>
          <w:tcPr>
            <w:tcW w:w="0" w:type="auto"/>
            <w:vAlign w:val="center"/>
            <w:hideMark/>
          </w:tcPr>
          <w:p w14:paraId="19C451A4" w14:textId="77777777" w:rsidR="00937698" w:rsidRPr="00871479" w:rsidRDefault="00937698" w:rsidP="00871479">
            <w:pPr>
              <w:pStyle w:val="NoSpacing"/>
              <w:jc w:val="center"/>
              <w:rPr>
                <w:rFonts w:ascii="Times New Roman" w:hAnsi="Times New Roman" w:cs="Times New Roman"/>
                <w:b/>
                <w:bCs/>
                <w:sz w:val="22"/>
                <w:szCs w:val="22"/>
              </w:rPr>
            </w:pPr>
            <w:r w:rsidRPr="00871479">
              <w:rPr>
                <w:rFonts w:ascii="Times New Roman" w:hAnsi="Times New Roman" w:cs="Times New Roman"/>
                <w:b/>
                <w:bCs/>
                <w:sz w:val="22"/>
                <w:szCs w:val="22"/>
              </w:rPr>
              <w:t>1966-67</w:t>
            </w:r>
          </w:p>
        </w:tc>
        <w:tc>
          <w:tcPr>
            <w:tcW w:w="0" w:type="auto"/>
            <w:vAlign w:val="center"/>
            <w:hideMark/>
          </w:tcPr>
          <w:p w14:paraId="1B7CBF85" w14:textId="77777777" w:rsidR="00937698" w:rsidRPr="00871479" w:rsidRDefault="00937698" w:rsidP="00871479">
            <w:pPr>
              <w:pStyle w:val="NoSpacing"/>
              <w:jc w:val="center"/>
              <w:rPr>
                <w:rFonts w:ascii="Times New Roman" w:hAnsi="Times New Roman" w:cs="Times New Roman"/>
                <w:b/>
                <w:bCs/>
                <w:sz w:val="22"/>
                <w:szCs w:val="22"/>
              </w:rPr>
            </w:pPr>
            <w:r w:rsidRPr="00871479">
              <w:rPr>
                <w:rFonts w:ascii="Times New Roman" w:hAnsi="Times New Roman" w:cs="Times New Roman"/>
                <w:b/>
                <w:bCs/>
                <w:sz w:val="22"/>
                <w:szCs w:val="22"/>
              </w:rPr>
              <w:t>1967-68</w:t>
            </w:r>
          </w:p>
        </w:tc>
        <w:tc>
          <w:tcPr>
            <w:tcW w:w="0" w:type="auto"/>
            <w:vAlign w:val="center"/>
            <w:hideMark/>
          </w:tcPr>
          <w:p w14:paraId="1BCC1AF9" w14:textId="77777777" w:rsidR="00937698" w:rsidRPr="00871479" w:rsidRDefault="00937698" w:rsidP="00871479">
            <w:pPr>
              <w:pStyle w:val="NoSpacing"/>
              <w:jc w:val="center"/>
              <w:rPr>
                <w:rFonts w:ascii="Times New Roman" w:hAnsi="Times New Roman" w:cs="Times New Roman"/>
                <w:b/>
                <w:bCs/>
                <w:sz w:val="22"/>
                <w:szCs w:val="22"/>
              </w:rPr>
            </w:pPr>
            <w:r w:rsidRPr="00871479">
              <w:rPr>
                <w:rFonts w:ascii="Times New Roman" w:hAnsi="Times New Roman" w:cs="Times New Roman"/>
                <w:b/>
                <w:bCs/>
                <w:sz w:val="22"/>
                <w:szCs w:val="22"/>
              </w:rPr>
              <w:t>1968-69 (R.E.)</w:t>
            </w:r>
          </w:p>
        </w:tc>
      </w:tr>
      <w:tr w:rsidR="00937698" w:rsidRPr="00871479" w14:paraId="71062B0A" w14:textId="77777777" w:rsidTr="00871479">
        <w:trPr>
          <w:trHeight w:val="462"/>
        </w:trPr>
        <w:tc>
          <w:tcPr>
            <w:tcW w:w="4824" w:type="dxa"/>
            <w:vAlign w:val="center"/>
            <w:hideMark/>
          </w:tcPr>
          <w:p w14:paraId="546D9EE5" w14:textId="77777777" w:rsidR="00937698" w:rsidRPr="00871479" w:rsidRDefault="00937698" w:rsidP="00871479">
            <w:pPr>
              <w:pStyle w:val="NoSpacing"/>
              <w:rPr>
                <w:rFonts w:ascii="Times New Roman" w:hAnsi="Times New Roman" w:cs="Times New Roman"/>
                <w:sz w:val="22"/>
                <w:szCs w:val="22"/>
              </w:rPr>
            </w:pPr>
            <w:r w:rsidRPr="00871479">
              <w:rPr>
                <w:rFonts w:ascii="Times New Roman" w:hAnsi="Times New Roman" w:cs="Times New Roman"/>
                <w:b/>
                <w:bCs/>
                <w:sz w:val="22"/>
                <w:szCs w:val="22"/>
              </w:rPr>
              <w:t>I. Tax Revenue</w:t>
            </w:r>
          </w:p>
        </w:tc>
        <w:tc>
          <w:tcPr>
            <w:tcW w:w="0" w:type="auto"/>
            <w:vAlign w:val="center"/>
            <w:hideMark/>
          </w:tcPr>
          <w:p w14:paraId="0C75A797" w14:textId="77777777" w:rsidR="00937698" w:rsidRPr="00871479" w:rsidRDefault="00937698" w:rsidP="00871479">
            <w:pPr>
              <w:pStyle w:val="NoSpacing"/>
              <w:jc w:val="center"/>
              <w:rPr>
                <w:rFonts w:ascii="Times New Roman" w:hAnsi="Times New Roman" w:cs="Times New Roman"/>
                <w:sz w:val="22"/>
                <w:szCs w:val="22"/>
              </w:rPr>
            </w:pPr>
          </w:p>
        </w:tc>
        <w:tc>
          <w:tcPr>
            <w:tcW w:w="0" w:type="auto"/>
            <w:vAlign w:val="center"/>
            <w:hideMark/>
          </w:tcPr>
          <w:p w14:paraId="18AAF90A" w14:textId="77777777" w:rsidR="00937698" w:rsidRPr="00871479" w:rsidRDefault="00937698" w:rsidP="00871479">
            <w:pPr>
              <w:pStyle w:val="NoSpacing"/>
              <w:jc w:val="center"/>
              <w:rPr>
                <w:rFonts w:ascii="Times New Roman" w:hAnsi="Times New Roman" w:cs="Times New Roman"/>
                <w:sz w:val="22"/>
                <w:szCs w:val="22"/>
              </w:rPr>
            </w:pPr>
          </w:p>
        </w:tc>
        <w:tc>
          <w:tcPr>
            <w:tcW w:w="0" w:type="auto"/>
            <w:vAlign w:val="center"/>
            <w:hideMark/>
          </w:tcPr>
          <w:p w14:paraId="7220BC69" w14:textId="77777777" w:rsidR="00937698" w:rsidRPr="00871479" w:rsidRDefault="00937698" w:rsidP="00871479">
            <w:pPr>
              <w:pStyle w:val="NoSpacing"/>
              <w:jc w:val="center"/>
              <w:rPr>
                <w:rFonts w:ascii="Times New Roman" w:hAnsi="Times New Roman" w:cs="Times New Roman"/>
                <w:sz w:val="22"/>
                <w:szCs w:val="22"/>
              </w:rPr>
            </w:pPr>
          </w:p>
        </w:tc>
        <w:tc>
          <w:tcPr>
            <w:tcW w:w="0" w:type="auto"/>
            <w:vAlign w:val="center"/>
            <w:hideMark/>
          </w:tcPr>
          <w:p w14:paraId="6CE908CB" w14:textId="77777777" w:rsidR="00937698" w:rsidRPr="00871479" w:rsidRDefault="00937698" w:rsidP="00871479">
            <w:pPr>
              <w:pStyle w:val="NoSpacing"/>
              <w:jc w:val="center"/>
              <w:rPr>
                <w:rFonts w:ascii="Times New Roman" w:hAnsi="Times New Roman" w:cs="Times New Roman"/>
                <w:sz w:val="22"/>
                <w:szCs w:val="22"/>
              </w:rPr>
            </w:pPr>
          </w:p>
        </w:tc>
        <w:tc>
          <w:tcPr>
            <w:tcW w:w="0" w:type="auto"/>
            <w:vAlign w:val="center"/>
            <w:hideMark/>
          </w:tcPr>
          <w:p w14:paraId="43034F4E" w14:textId="77777777" w:rsidR="00937698" w:rsidRPr="00871479" w:rsidRDefault="00937698" w:rsidP="00871479">
            <w:pPr>
              <w:pStyle w:val="NoSpacing"/>
              <w:jc w:val="center"/>
              <w:rPr>
                <w:rFonts w:ascii="Times New Roman" w:hAnsi="Times New Roman" w:cs="Times New Roman"/>
                <w:sz w:val="22"/>
                <w:szCs w:val="22"/>
              </w:rPr>
            </w:pPr>
          </w:p>
        </w:tc>
      </w:tr>
      <w:tr w:rsidR="00937698" w:rsidRPr="00871479" w14:paraId="699B3E1C" w14:textId="77777777" w:rsidTr="00871479">
        <w:trPr>
          <w:trHeight w:val="489"/>
        </w:trPr>
        <w:tc>
          <w:tcPr>
            <w:tcW w:w="4824" w:type="dxa"/>
            <w:vAlign w:val="center"/>
            <w:hideMark/>
          </w:tcPr>
          <w:p w14:paraId="14AE1852" w14:textId="77777777" w:rsidR="00937698" w:rsidRPr="00871479" w:rsidRDefault="00937698" w:rsidP="00871479">
            <w:pPr>
              <w:pStyle w:val="NoSpacing"/>
              <w:rPr>
                <w:rFonts w:ascii="Times New Roman" w:hAnsi="Times New Roman" w:cs="Times New Roman"/>
                <w:sz w:val="22"/>
                <w:szCs w:val="22"/>
              </w:rPr>
            </w:pPr>
            <w:r w:rsidRPr="00871479">
              <w:rPr>
                <w:rFonts w:ascii="Times New Roman" w:hAnsi="Times New Roman" w:cs="Times New Roman"/>
                <w:sz w:val="22"/>
                <w:szCs w:val="22"/>
              </w:rPr>
              <w:t>1. Customs</w:t>
            </w:r>
          </w:p>
        </w:tc>
        <w:tc>
          <w:tcPr>
            <w:tcW w:w="0" w:type="auto"/>
            <w:vAlign w:val="center"/>
            <w:hideMark/>
          </w:tcPr>
          <w:p w14:paraId="75E7B4AA" w14:textId="77777777" w:rsidR="00937698" w:rsidRPr="00871479" w:rsidRDefault="00937698" w:rsidP="00871479">
            <w:pPr>
              <w:pStyle w:val="NoSpacing"/>
              <w:jc w:val="center"/>
              <w:rPr>
                <w:rFonts w:ascii="Times New Roman" w:hAnsi="Times New Roman" w:cs="Times New Roman"/>
                <w:sz w:val="22"/>
                <w:szCs w:val="22"/>
              </w:rPr>
            </w:pPr>
            <w:r w:rsidRPr="00871479">
              <w:rPr>
                <w:rFonts w:ascii="Times New Roman" w:hAnsi="Times New Roman" w:cs="Times New Roman"/>
                <w:sz w:val="22"/>
                <w:szCs w:val="22"/>
              </w:rPr>
              <w:t>397.50</w:t>
            </w:r>
          </w:p>
        </w:tc>
        <w:tc>
          <w:tcPr>
            <w:tcW w:w="0" w:type="auto"/>
            <w:vAlign w:val="center"/>
            <w:hideMark/>
          </w:tcPr>
          <w:p w14:paraId="550AC469" w14:textId="77777777" w:rsidR="00937698" w:rsidRPr="00871479" w:rsidRDefault="00937698" w:rsidP="00871479">
            <w:pPr>
              <w:pStyle w:val="NoSpacing"/>
              <w:jc w:val="center"/>
              <w:rPr>
                <w:rFonts w:ascii="Times New Roman" w:hAnsi="Times New Roman" w:cs="Times New Roman"/>
                <w:sz w:val="22"/>
                <w:szCs w:val="22"/>
              </w:rPr>
            </w:pPr>
            <w:r w:rsidRPr="00871479">
              <w:rPr>
                <w:rFonts w:ascii="Times New Roman" w:hAnsi="Times New Roman" w:cs="Times New Roman"/>
                <w:sz w:val="22"/>
                <w:szCs w:val="22"/>
              </w:rPr>
              <w:t>538.97</w:t>
            </w:r>
          </w:p>
        </w:tc>
        <w:tc>
          <w:tcPr>
            <w:tcW w:w="0" w:type="auto"/>
            <w:vAlign w:val="center"/>
            <w:hideMark/>
          </w:tcPr>
          <w:p w14:paraId="191DC44B" w14:textId="77777777" w:rsidR="00937698" w:rsidRPr="00871479" w:rsidRDefault="00937698" w:rsidP="00871479">
            <w:pPr>
              <w:pStyle w:val="NoSpacing"/>
              <w:jc w:val="center"/>
              <w:rPr>
                <w:rFonts w:ascii="Times New Roman" w:hAnsi="Times New Roman" w:cs="Times New Roman"/>
                <w:sz w:val="22"/>
                <w:szCs w:val="22"/>
              </w:rPr>
            </w:pPr>
            <w:r w:rsidRPr="00871479">
              <w:rPr>
                <w:rFonts w:ascii="Times New Roman" w:hAnsi="Times New Roman" w:cs="Times New Roman"/>
                <w:sz w:val="22"/>
                <w:szCs w:val="22"/>
              </w:rPr>
              <w:t>585.37</w:t>
            </w:r>
          </w:p>
        </w:tc>
        <w:tc>
          <w:tcPr>
            <w:tcW w:w="0" w:type="auto"/>
            <w:vAlign w:val="center"/>
            <w:hideMark/>
          </w:tcPr>
          <w:p w14:paraId="2600240D" w14:textId="77777777" w:rsidR="00937698" w:rsidRPr="00871479" w:rsidRDefault="00937698" w:rsidP="00871479">
            <w:pPr>
              <w:pStyle w:val="NoSpacing"/>
              <w:jc w:val="center"/>
              <w:rPr>
                <w:rFonts w:ascii="Times New Roman" w:hAnsi="Times New Roman" w:cs="Times New Roman"/>
                <w:sz w:val="22"/>
                <w:szCs w:val="22"/>
              </w:rPr>
            </w:pPr>
            <w:r w:rsidRPr="00871479">
              <w:rPr>
                <w:rFonts w:ascii="Times New Roman" w:hAnsi="Times New Roman" w:cs="Times New Roman"/>
                <w:sz w:val="22"/>
                <w:szCs w:val="22"/>
              </w:rPr>
              <w:t>513.35</w:t>
            </w:r>
          </w:p>
        </w:tc>
        <w:tc>
          <w:tcPr>
            <w:tcW w:w="0" w:type="auto"/>
            <w:vAlign w:val="center"/>
            <w:hideMark/>
          </w:tcPr>
          <w:p w14:paraId="6E73C00A" w14:textId="77777777" w:rsidR="00937698" w:rsidRPr="00871479" w:rsidRDefault="00937698" w:rsidP="00871479">
            <w:pPr>
              <w:pStyle w:val="NoSpacing"/>
              <w:jc w:val="center"/>
              <w:rPr>
                <w:rFonts w:ascii="Times New Roman" w:hAnsi="Times New Roman" w:cs="Times New Roman"/>
                <w:sz w:val="22"/>
                <w:szCs w:val="22"/>
              </w:rPr>
            </w:pPr>
            <w:r w:rsidRPr="00871479">
              <w:rPr>
                <w:rFonts w:ascii="Times New Roman" w:hAnsi="Times New Roman" w:cs="Times New Roman"/>
                <w:sz w:val="22"/>
                <w:szCs w:val="22"/>
              </w:rPr>
              <w:t>445.00</w:t>
            </w:r>
          </w:p>
        </w:tc>
      </w:tr>
      <w:tr w:rsidR="00937698" w:rsidRPr="00871479" w14:paraId="5EF6EABA" w14:textId="77777777" w:rsidTr="00871479">
        <w:trPr>
          <w:trHeight w:val="462"/>
        </w:trPr>
        <w:tc>
          <w:tcPr>
            <w:tcW w:w="4824" w:type="dxa"/>
            <w:vAlign w:val="center"/>
            <w:hideMark/>
          </w:tcPr>
          <w:p w14:paraId="03AAA964" w14:textId="77777777" w:rsidR="00937698" w:rsidRPr="00871479" w:rsidRDefault="00937698" w:rsidP="00871479">
            <w:pPr>
              <w:pStyle w:val="NoSpacing"/>
              <w:rPr>
                <w:rFonts w:ascii="Times New Roman" w:hAnsi="Times New Roman" w:cs="Times New Roman"/>
                <w:sz w:val="22"/>
                <w:szCs w:val="22"/>
              </w:rPr>
            </w:pPr>
            <w:r w:rsidRPr="00871479">
              <w:rPr>
                <w:rFonts w:ascii="Times New Roman" w:hAnsi="Times New Roman" w:cs="Times New Roman"/>
                <w:sz w:val="22"/>
                <w:szCs w:val="22"/>
              </w:rPr>
              <w:t>2. Union Excise Duties</w:t>
            </w:r>
          </w:p>
        </w:tc>
        <w:tc>
          <w:tcPr>
            <w:tcW w:w="0" w:type="auto"/>
            <w:vAlign w:val="center"/>
            <w:hideMark/>
          </w:tcPr>
          <w:p w14:paraId="45312669" w14:textId="77777777" w:rsidR="00937698" w:rsidRPr="00871479" w:rsidRDefault="00937698" w:rsidP="00871479">
            <w:pPr>
              <w:pStyle w:val="NoSpacing"/>
              <w:jc w:val="center"/>
              <w:rPr>
                <w:rFonts w:ascii="Times New Roman" w:hAnsi="Times New Roman" w:cs="Times New Roman"/>
                <w:sz w:val="22"/>
                <w:szCs w:val="22"/>
              </w:rPr>
            </w:pPr>
            <w:r w:rsidRPr="00871479">
              <w:rPr>
                <w:rFonts w:ascii="Times New Roman" w:hAnsi="Times New Roman" w:cs="Times New Roman"/>
                <w:sz w:val="22"/>
                <w:szCs w:val="22"/>
              </w:rPr>
              <w:t>801.51</w:t>
            </w:r>
          </w:p>
        </w:tc>
        <w:tc>
          <w:tcPr>
            <w:tcW w:w="0" w:type="auto"/>
            <w:vAlign w:val="center"/>
            <w:hideMark/>
          </w:tcPr>
          <w:p w14:paraId="099B761F" w14:textId="77777777" w:rsidR="00937698" w:rsidRPr="00871479" w:rsidRDefault="00937698" w:rsidP="00871479">
            <w:pPr>
              <w:pStyle w:val="NoSpacing"/>
              <w:jc w:val="center"/>
              <w:rPr>
                <w:rFonts w:ascii="Times New Roman" w:hAnsi="Times New Roman" w:cs="Times New Roman"/>
                <w:sz w:val="22"/>
                <w:szCs w:val="22"/>
              </w:rPr>
            </w:pPr>
            <w:r w:rsidRPr="00871479">
              <w:rPr>
                <w:rFonts w:ascii="Times New Roman" w:hAnsi="Times New Roman" w:cs="Times New Roman"/>
                <w:sz w:val="22"/>
                <w:szCs w:val="22"/>
              </w:rPr>
              <w:t>897.92</w:t>
            </w:r>
          </w:p>
        </w:tc>
        <w:tc>
          <w:tcPr>
            <w:tcW w:w="0" w:type="auto"/>
            <w:vAlign w:val="center"/>
            <w:hideMark/>
          </w:tcPr>
          <w:p w14:paraId="2C0F2CEC" w14:textId="77777777" w:rsidR="00937698" w:rsidRPr="00871479" w:rsidRDefault="00937698" w:rsidP="00871479">
            <w:pPr>
              <w:pStyle w:val="NoSpacing"/>
              <w:jc w:val="center"/>
              <w:rPr>
                <w:rFonts w:ascii="Times New Roman" w:hAnsi="Times New Roman" w:cs="Times New Roman"/>
                <w:sz w:val="22"/>
                <w:szCs w:val="22"/>
              </w:rPr>
            </w:pPr>
            <w:r w:rsidRPr="00871479">
              <w:rPr>
                <w:rFonts w:ascii="Times New Roman" w:hAnsi="Times New Roman" w:cs="Times New Roman"/>
                <w:sz w:val="22"/>
                <w:szCs w:val="22"/>
              </w:rPr>
              <w:t>1033.77</w:t>
            </w:r>
          </w:p>
        </w:tc>
        <w:tc>
          <w:tcPr>
            <w:tcW w:w="0" w:type="auto"/>
            <w:vAlign w:val="center"/>
            <w:hideMark/>
          </w:tcPr>
          <w:p w14:paraId="5D3B3346" w14:textId="77777777" w:rsidR="00937698" w:rsidRPr="00871479" w:rsidRDefault="00937698" w:rsidP="00871479">
            <w:pPr>
              <w:pStyle w:val="NoSpacing"/>
              <w:jc w:val="center"/>
              <w:rPr>
                <w:rFonts w:ascii="Times New Roman" w:hAnsi="Times New Roman" w:cs="Times New Roman"/>
                <w:sz w:val="22"/>
                <w:szCs w:val="22"/>
              </w:rPr>
            </w:pPr>
            <w:r w:rsidRPr="00871479">
              <w:rPr>
                <w:rFonts w:ascii="Times New Roman" w:hAnsi="Times New Roman" w:cs="Times New Roman"/>
                <w:sz w:val="22"/>
                <w:szCs w:val="22"/>
              </w:rPr>
              <w:t>1148.52</w:t>
            </w:r>
          </w:p>
        </w:tc>
        <w:tc>
          <w:tcPr>
            <w:tcW w:w="0" w:type="auto"/>
            <w:vAlign w:val="center"/>
            <w:hideMark/>
          </w:tcPr>
          <w:p w14:paraId="432AE097" w14:textId="77777777" w:rsidR="00937698" w:rsidRPr="00871479" w:rsidRDefault="00937698" w:rsidP="00871479">
            <w:pPr>
              <w:pStyle w:val="NoSpacing"/>
              <w:jc w:val="center"/>
              <w:rPr>
                <w:rFonts w:ascii="Times New Roman" w:hAnsi="Times New Roman" w:cs="Times New Roman"/>
                <w:sz w:val="22"/>
                <w:szCs w:val="22"/>
              </w:rPr>
            </w:pPr>
            <w:r w:rsidRPr="00871479">
              <w:rPr>
                <w:rFonts w:ascii="Times New Roman" w:hAnsi="Times New Roman" w:cs="Times New Roman"/>
                <w:sz w:val="22"/>
                <w:szCs w:val="22"/>
              </w:rPr>
              <w:t>1320.45</w:t>
            </w:r>
          </w:p>
        </w:tc>
      </w:tr>
      <w:tr w:rsidR="00937698" w:rsidRPr="00871479" w14:paraId="72603A07" w14:textId="77777777" w:rsidTr="00871479">
        <w:trPr>
          <w:trHeight w:val="489"/>
        </w:trPr>
        <w:tc>
          <w:tcPr>
            <w:tcW w:w="4824" w:type="dxa"/>
            <w:vAlign w:val="center"/>
            <w:hideMark/>
          </w:tcPr>
          <w:p w14:paraId="4197D4A9" w14:textId="77777777" w:rsidR="00937698" w:rsidRPr="00871479" w:rsidRDefault="00937698" w:rsidP="00871479">
            <w:pPr>
              <w:pStyle w:val="NoSpacing"/>
              <w:rPr>
                <w:rFonts w:ascii="Times New Roman" w:hAnsi="Times New Roman" w:cs="Times New Roman"/>
                <w:sz w:val="22"/>
                <w:szCs w:val="22"/>
              </w:rPr>
            </w:pPr>
            <w:r w:rsidRPr="00871479">
              <w:rPr>
                <w:rFonts w:ascii="Times New Roman" w:hAnsi="Times New Roman" w:cs="Times New Roman"/>
                <w:sz w:val="22"/>
                <w:szCs w:val="22"/>
              </w:rPr>
              <w:t>3. Corporation Tax</w:t>
            </w:r>
          </w:p>
        </w:tc>
        <w:tc>
          <w:tcPr>
            <w:tcW w:w="0" w:type="auto"/>
            <w:vAlign w:val="center"/>
            <w:hideMark/>
          </w:tcPr>
          <w:p w14:paraId="78C6313B" w14:textId="77777777" w:rsidR="00937698" w:rsidRPr="00871479" w:rsidRDefault="00937698" w:rsidP="00871479">
            <w:pPr>
              <w:pStyle w:val="NoSpacing"/>
              <w:jc w:val="center"/>
              <w:rPr>
                <w:rFonts w:ascii="Times New Roman" w:hAnsi="Times New Roman" w:cs="Times New Roman"/>
                <w:sz w:val="22"/>
                <w:szCs w:val="22"/>
              </w:rPr>
            </w:pPr>
            <w:r w:rsidRPr="00871479">
              <w:rPr>
                <w:rFonts w:ascii="Times New Roman" w:hAnsi="Times New Roman" w:cs="Times New Roman"/>
                <w:sz w:val="22"/>
                <w:szCs w:val="22"/>
              </w:rPr>
              <w:t>313.64</w:t>
            </w:r>
          </w:p>
        </w:tc>
        <w:tc>
          <w:tcPr>
            <w:tcW w:w="0" w:type="auto"/>
            <w:vAlign w:val="center"/>
            <w:hideMark/>
          </w:tcPr>
          <w:p w14:paraId="665B9C77" w14:textId="77777777" w:rsidR="00937698" w:rsidRPr="00871479" w:rsidRDefault="00937698" w:rsidP="00871479">
            <w:pPr>
              <w:pStyle w:val="NoSpacing"/>
              <w:jc w:val="center"/>
              <w:rPr>
                <w:rFonts w:ascii="Times New Roman" w:hAnsi="Times New Roman" w:cs="Times New Roman"/>
                <w:sz w:val="22"/>
                <w:szCs w:val="22"/>
              </w:rPr>
            </w:pPr>
            <w:r w:rsidRPr="00871479">
              <w:rPr>
                <w:rFonts w:ascii="Times New Roman" w:hAnsi="Times New Roman" w:cs="Times New Roman"/>
                <w:sz w:val="22"/>
                <w:szCs w:val="22"/>
              </w:rPr>
              <w:t>304.84</w:t>
            </w:r>
          </w:p>
        </w:tc>
        <w:tc>
          <w:tcPr>
            <w:tcW w:w="0" w:type="auto"/>
            <w:vAlign w:val="center"/>
            <w:hideMark/>
          </w:tcPr>
          <w:p w14:paraId="638E8122" w14:textId="77777777" w:rsidR="00937698" w:rsidRPr="00871479" w:rsidRDefault="00937698" w:rsidP="00871479">
            <w:pPr>
              <w:pStyle w:val="NoSpacing"/>
              <w:jc w:val="center"/>
              <w:rPr>
                <w:rFonts w:ascii="Times New Roman" w:hAnsi="Times New Roman" w:cs="Times New Roman"/>
                <w:sz w:val="22"/>
                <w:szCs w:val="22"/>
              </w:rPr>
            </w:pPr>
            <w:r w:rsidRPr="00871479">
              <w:rPr>
                <w:rFonts w:ascii="Times New Roman" w:hAnsi="Times New Roman" w:cs="Times New Roman"/>
                <w:sz w:val="22"/>
                <w:szCs w:val="22"/>
              </w:rPr>
              <w:t>330.80</w:t>
            </w:r>
          </w:p>
        </w:tc>
        <w:tc>
          <w:tcPr>
            <w:tcW w:w="0" w:type="auto"/>
            <w:vAlign w:val="center"/>
            <w:hideMark/>
          </w:tcPr>
          <w:p w14:paraId="6CFCD183" w14:textId="77777777" w:rsidR="00937698" w:rsidRPr="00871479" w:rsidRDefault="00937698" w:rsidP="00871479">
            <w:pPr>
              <w:pStyle w:val="NoSpacing"/>
              <w:jc w:val="center"/>
              <w:rPr>
                <w:rFonts w:ascii="Times New Roman" w:hAnsi="Times New Roman" w:cs="Times New Roman"/>
                <w:sz w:val="22"/>
                <w:szCs w:val="22"/>
              </w:rPr>
            </w:pPr>
            <w:r w:rsidRPr="00871479">
              <w:rPr>
                <w:rFonts w:ascii="Times New Roman" w:hAnsi="Times New Roman" w:cs="Times New Roman"/>
                <w:sz w:val="22"/>
                <w:szCs w:val="22"/>
              </w:rPr>
              <w:t>310.33</w:t>
            </w:r>
          </w:p>
        </w:tc>
        <w:tc>
          <w:tcPr>
            <w:tcW w:w="0" w:type="auto"/>
            <w:vAlign w:val="center"/>
            <w:hideMark/>
          </w:tcPr>
          <w:p w14:paraId="39FE7877" w14:textId="77777777" w:rsidR="00937698" w:rsidRPr="00871479" w:rsidRDefault="00937698" w:rsidP="00871479">
            <w:pPr>
              <w:pStyle w:val="NoSpacing"/>
              <w:jc w:val="center"/>
              <w:rPr>
                <w:rFonts w:ascii="Times New Roman" w:hAnsi="Times New Roman" w:cs="Times New Roman"/>
                <w:sz w:val="22"/>
                <w:szCs w:val="22"/>
              </w:rPr>
            </w:pPr>
            <w:r w:rsidRPr="00871479">
              <w:rPr>
                <w:rFonts w:ascii="Times New Roman" w:hAnsi="Times New Roman" w:cs="Times New Roman"/>
                <w:sz w:val="22"/>
                <w:szCs w:val="22"/>
              </w:rPr>
              <w:t>322.00</w:t>
            </w:r>
          </w:p>
        </w:tc>
      </w:tr>
      <w:tr w:rsidR="00937698" w:rsidRPr="00871479" w14:paraId="3B4AB26A" w14:textId="77777777" w:rsidTr="00871479">
        <w:trPr>
          <w:trHeight w:val="462"/>
        </w:trPr>
        <w:tc>
          <w:tcPr>
            <w:tcW w:w="4824" w:type="dxa"/>
            <w:vAlign w:val="center"/>
            <w:hideMark/>
          </w:tcPr>
          <w:p w14:paraId="709F25B6" w14:textId="77777777" w:rsidR="00937698" w:rsidRPr="00871479" w:rsidRDefault="00937698" w:rsidP="00871479">
            <w:pPr>
              <w:pStyle w:val="NoSpacing"/>
              <w:rPr>
                <w:rFonts w:ascii="Times New Roman" w:hAnsi="Times New Roman" w:cs="Times New Roman"/>
                <w:sz w:val="22"/>
                <w:szCs w:val="22"/>
              </w:rPr>
            </w:pPr>
            <w:r w:rsidRPr="00871479">
              <w:rPr>
                <w:rFonts w:ascii="Times New Roman" w:hAnsi="Times New Roman" w:cs="Times New Roman"/>
                <w:sz w:val="22"/>
                <w:szCs w:val="22"/>
              </w:rPr>
              <w:t>4. Taxes on Income other than Corporation Tax</w:t>
            </w:r>
          </w:p>
        </w:tc>
        <w:tc>
          <w:tcPr>
            <w:tcW w:w="0" w:type="auto"/>
            <w:vAlign w:val="center"/>
            <w:hideMark/>
          </w:tcPr>
          <w:p w14:paraId="2476AB09" w14:textId="77777777" w:rsidR="00937698" w:rsidRPr="00871479" w:rsidRDefault="00937698" w:rsidP="00871479">
            <w:pPr>
              <w:pStyle w:val="NoSpacing"/>
              <w:jc w:val="center"/>
              <w:rPr>
                <w:rFonts w:ascii="Times New Roman" w:hAnsi="Times New Roman" w:cs="Times New Roman"/>
                <w:sz w:val="22"/>
                <w:szCs w:val="22"/>
              </w:rPr>
            </w:pPr>
            <w:r w:rsidRPr="00871479">
              <w:rPr>
                <w:rFonts w:ascii="Times New Roman" w:hAnsi="Times New Roman" w:cs="Times New Roman"/>
                <w:sz w:val="22"/>
                <w:szCs w:val="22"/>
              </w:rPr>
              <w:t>266.92</w:t>
            </w:r>
          </w:p>
        </w:tc>
        <w:tc>
          <w:tcPr>
            <w:tcW w:w="0" w:type="auto"/>
            <w:vAlign w:val="center"/>
            <w:hideMark/>
          </w:tcPr>
          <w:p w14:paraId="778C2BBE" w14:textId="77777777" w:rsidR="00937698" w:rsidRPr="00871479" w:rsidRDefault="00937698" w:rsidP="00871479">
            <w:pPr>
              <w:pStyle w:val="NoSpacing"/>
              <w:jc w:val="center"/>
              <w:rPr>
                <w:rFonts w:ascii="Times New Roman" w:hAnsi="Times New Roman" w:cs="Times New Roman"/>
                <w:sz w:val="22"/>
                <w:szCs w:val="22"/>
              </w:rPr>
            </w:pPr>
            <w:r w:rsidRPr="00871479">
              <w:rPr>
                <w:rFonts w:ascii="Times New Roman" w:hAnsi="Times New Roman" w:cs="Times New Roman"/>
                <w:sz w:val="22"/>
                <w:szCs w:val="22"/>
              </w:rPr>
              <w:t>271.80</w:t>
            </w:r>
          </w:p>
        </w:tc>
        <w:tc>
          <w:tcPr>
            <w:tcW w:w="0" w:type="auto"/>
            <w:vAlign w:val="center"/>
            <w:hideMark/>
          </w:tcPr>
          <w:p w14:paraId="5777100F" w14:textId="77777777" w:rsidR="00937698" w:rsidRPr="00871479" w:rsidRDefault="00937698" w:rsidP="00871479">
            <w:pPr>
              <w:pStyle w:val="NoSpacing"/>
              <w:jc w:val="center"/>
              <w:rPr>
                <w:rFonts w:ascii="Times New Roman" w:hAnsi="Times New Roman" w:cs="Times New Roman"/>
                <w:sz w:val="22"/>
                <w:szCs w:val="22"/>
              </w:rPr>
            </w:pPr>
            <w:r w:rsidRPr="00871479">
              <w:rPr>
                <w:rFonts w:ascii="Times New Roman" w:hAnsi="Times New Roman" w:cs="Times New Roman"/>
                <w:sz w:val="22"/>
                <w:szCs w:val="22"/>
              </w:rPr>
              <w:t>306.63</w:t>
            </w:r>
          </w:p>
        </w:tc>
        <w:tc>
          <w:tcPr>
            <w:tcW w:w="0" w:type="auto"/>
            <w:vAlign w:val="center"/>
            <w:hideMark/>
          </w:tcPr>
          <w:p w14:paraId="0DAFE8FE" w14:textId="77777777" w:rsidR="00937698" w:rsidRPr="00871479" w:rsidRDefault="00937698" w:rsidP="00871479">
            <w:pPr>
              <w:pStyle w:val="NoSpacing"/>
              <w:jc w:val="center"/>
              <w:rPr>
                <w:rFonts w:ascii="Times New Roman" w:hAnsi="Times New Roman" w:cs="Times New Roman"/>
                <w:sz w:val="22"/>
                <w:szCs w:val="22"/>
              </w:rPr>
            </w:pPr>
            <w:r w:rsidRPr="00871479">
              <w:rPr>
                <w:rFonts w:ascii="Times New Roman" w:hAnsi="Times New Roman" w:cs="Times New Roman"/>
                <w:sz w:val="22"/>
                <w:szCs w:val="22"/>
              </w:rPr>
              <w:t>325.62</w:t>
            </w:r>
          </w:p>
        </w:tc>
        <w:tc>
          <w:tcPr>
            <w:tcW w:w="0" w:type="auto"/>
            <w:vAlign w:val="center"/>
            <w:hideMark/>
          </w:tcPr>
          <w:p w14:paraId="308A0E13" w14:textId="77777777" w:rsidR="00937698" w:rsidRPr="00871479" w:rsidRDefault="00937698" w:rsidP="00871479">
            <w:pPr>
              <w:pStyle w:val="NoSpacing"/>
              <w:jc w:val="center"/>
              <w:rPr>
                <w:rFonts w:ascii="Times New Roman" w:hAnsi="Times New Roman" w:cs="Times New Roman"/>
                <w:sz w:val="22"/>
                <w:szCs w:val="22"/>
              </w:rPr>
            </w:pPr>
            <w:r w:rsidRPr="00871479">
              <w:rPr>
                <w:rFonts w:ascii="Times New Roman" w:hAnsi="Times New Roman" w:cs="Times New Roman"/>
                <w:sz w:val="22"/>
                <w:szCs w:val="22"/>
              </w:rPr>
              <w:t>338.00</w:t>
            </w:r>
          </w:p>
        </w:tc>
      </w:tr>
      <w:tr w:rsidR="00937698" w:rsidRPr="00871479" w14:paraId="260C65CD" w14:textId="77777777" w:rsidTr="00871479">
        <w:trPr>
          <w:trHeight w:val="489"/>
        </w:trPr>
        <w:tc>
          <w:tcPr>
            <w:tcW w:w="4824" w:type="dxa"/>
            <w:vAlign w:val="center"/>
            <w:hideMark/>
          </w:tcPr>
          <w:p w14:paraId="3BAB593C" w14:textId="77777777" w:rsidR="00937698" w:rsidRPr="00871479" w:rsidRDefault="00937698" w:rsidP="00871479">
            <w:pPr>
              <w:pStyle w:val="NoSpacing"/>
              <w:rPr>
                <w:rFonts w:ascii="Times New Roman" w:hAnsi="Times New Roman" w:cs="Times New Roman"/>
                <w:sz w:val="22"/>
                <w:szCs w:val="22"/>
              </w:rPr>
            </w:pPr>
            <w:r w:rsidRPr="00871479">
              <w:rPr>
                <w:rFonts w:ascii="Times New Roman" w:hAnsi="Times New Roman" w:cs="Times New Roman"/>
                <w:sz w:val="22"/>
                <w:szCs w:val="22"/>
              </w:rPr>
              <w:t>5. Estate Duty</w:t>
            </w:r>
          </w:p>
        </w:tc>
        <w:tc>
          <w:tcPr>
            <w:tcW w:w="0" w:type="auto"/>
            <w:vAlign w:val="center"/>
            <w:hideMark/>
          </w:tcPr>
          <w:p w14:paraId="378B2CA3" w14:textId="77777777" w:rsidR="00937698" w:rsidRPr="00871479" w:rsidRDefault="00937698" w:rsidP="00871479">
            <w:pPr>
              <w:pStyle w:val="NoSpacing"/>
              <w:jc w:val="center"/>
              <w:rPr>
                <w:rFonts w:ascii="Times New Roman" w:hAnsi="Times New Roman" w:cs="Times New Roman"/>
                <w:sz w:val="22"/>
                <w:szCs w:val="22"/>
              </w:rPr>
            </w:pPr>
            <w:r w:rsidRPr="00871479">
              <w:rPr>
                <w:rFonts w:ascii="Times New Roman" w:hAnsi="Times New Roman" w:cs="Times New Roman"/>
                <w:sz w:val="22"/>
                <w:szCs w:val="22"/>
              </w:rPr>
              <w:t>5.43</w:t>
            </w:r>
          </w:p>
        </w:tc>
        <w:tc>
          <w:tcPr>
            <w:tcW w:w="0" w:type="auto"/>
            <w:vAlign w:val="center"/>
            <w:hideMark/>
          </w:tcPr>
          <w:p w14:paraId="713C3AE2" w14:textId="77777777" w:rsidR="00937698" w:rsidRPr="00871479" w:rsidRDefault="00937698" w:rsidP="00871479">
            <w:pPr>
              <w:pStyle w:val="NoSpacing"/>
              <w:jc w:val="center"/>
              <w:rPr>
                <w:rFonts w:ascii="Times New Roman" w:hAnsi="Times New Roman" w:cs="Times New Roman"/>
                <w:sz w:val="22"/>
                <w:szCs w:val="22"/>
              </w:rPr>
            </w:pPr>
            <w:r w:rsidRPr="00871479">
              <w:rPr>
                <w:rFonts w:ascii="Times New Roman" w:hAnsi="Times New Roman" w:cs="Times New Roman"/>
                <w:sz w:val="22"/>
                <w:szCs w:val="22"/>
              </w:rPr>
              <w:t>6.66</w:t>
            </w:r>
          </w:p>
        </w:tc>
        <w:tc>
          <w:tcPr>
            <w:tcW w:w="0" w:type="auto"/>
            <w:vAlign w:val="center"/>
            <w:hideMark/>
          </w:tcPr>
          <w:p w14:paraId="2EABEFDB" w14:textId="77777777" w:rsidR="00937698" w:rsidRPr="00871479" w:rsidRDefault="00937698" w:rsidP="00871479">
            <w:pPr>
              <w:pStyle w:val="NoSpacing"/>
              <w:jc w:val="center"/>
              <w:rPr>
                <w:rFonts w:ascii="Times New Roman" w:hAnsi="Times New Roman" w:cs="Times New Roman"/>
                <w:sz w:val="22"/>
                <w:szCs w:val="22"/>
              </w:rPr>
            </w:pPr>
            <w:r w:rsidRPr="00871479">
              <w:rPr>
                <w:rFonts w:ascii="Times New Roman" w:hAnsi="Times New Roman" w:cs="Times New Roman"/>
                <w:sz w:val="22"/>
                <w:szCs w:val="22"/>
              </w:rPr>
              <w:t>6.26</w:t>
            </w:r>
          </w:p>
        </w:tc>
        <w:tc>
          <w:tcPr>
            <w:tcW w:w="0" w:type="auto"/>
            <w:vAlign w:val="center"/>
            <w:hideMark/>
          </w:tcPr>
          <w:p w14:paraId="151D72DD" w14:textId="77777777" w:rsidR="00937698" w:rsidRPr="00871479" w:rsidRDefault="00937698" w:rsidP="00871479">
            <w:pPr>
              <w:pStyle w:val="NoSpacing"/>
              <w:jc w:val="center"/>
              <w:rPr>
                <w:rFonts w:ascii="Times New Roman" w:hAnsi="Times New Roman" w:cs="Times New Roman"/>
                <w:sz w:val="22"/>
                <w:szCs w:val="22"/>
              </w:rPr>
            </w:pPr>
            <w:r w:rsidRPr="00871479">
              <w:rPr>
                <w:rFonts w:ascii="Times New Roman" w:hAnsi="Times New Roman" w:cs="Times New Roman"/>
                <w:sz w:val="22"/>
                <w:szCs w:val="22"/>
              </w:rPr>
              <w:t>6.37</w:t>
            </w:r>
          </w:p>
        </w:tc>
        <w:tc>
          <w:tcPr>
            <w:tcW w:w="0" w:type="auto"/>
            <w:vAlign w:val="center"/>
            <w:hideMark/>
          </w:tcPr>
          <w:p w14:paraId="25CC34A5" w14:textId="77777777" w:rsidR="00937698" w:rsidRPr="00871479" w:rsidRDefault="00937698" w:rsidP="00871479">
            <w:pPr>
              <w:pStyle w:val="NoSpacing"/>
              <w:jc w:val="center"/>
              <w:rPr>
                <w:rFonts w:ascii="Times New Roman" w:hAnsi="Times New Roman" w:cs="Times New Roman"/>
                <w:sz w:val="22"/>
                <w:szCs w:val="22"/>
              </w:rPr>
            </w:pPr>
            <w:r w:rsidRPr="00871479">
              <w:rPr>
                <w:rFonts w:ascii="Times New Roman" w:hAnsi="Times New Roman" w:cs="Times New Roman"/>
                <w:sz w:val="22"/>
                <w:szCs w:val="22"/>
              </w:rPr>
              <w:t>7.00</w:t>
            </w:r>
          </w:p>
        </w:tc>
      </w:tr>
      <w:tr w:rsidR="00937698" w:rsidRPr="00871479" w14:paraId="5F3A9B44" w14:textId="77777777" w:rsidTr="00871479">
        <w:trPr>
          <w:trHeight w:val="489"/>
        </w:trPr>
        <w:tc>
          <w:tcPr>
            <w:tcW w:w="4824" w:type="dxa"/>
            <w:vAlign w:val="center"/>
            <w:hideMark/>
          </w:tcPr>
          <w:p w14:paraId="44AA245E" w14:textId="77777777" w:rsidR="00937698" w:rsidRPr="00871479" w:rsidRDefault="00937698" w:rsidP="00871479">
            <w:pPr>
              <w:pStyle w:val="NoSpacing"/>
              <w:rPr>
                <w:rFonts w:ascii="Times New Roman" w:hAnsi="Times New Roman" w:cs="Times New Roman"/>
                <w:sz w:val="22"/>
                <w:szCs w:val="22"/>
              </w:rPr>
            </w:pPr>
            <w:r w:rsidRPr="00871479">
              <w:rPr>
                <w:rFonts w:ascii="Times New Roman" w:hAnsi="Times New Roman" w:cs="Times New Roman"/>
                <w:sz w:val="22"/>
                <w:szCs w:val="22"/>
              </w:rPr>
              <w:t>6. Taxes on Wealth</w:t>
            </w:r>
          </w:p>
        </w:tc>
        <w:tc>
          <w:tcPr>
            <w:tcW w:w="0" w:type="auto"/>
            <w:vAlign w:val="center"/>
            <w:hideMark/>
          </w:tcPr>
          <w:p w14:paraId="4E41FB25" w14:textId="77777777" w:rsidR="00937698" w:rsidRPr="00871479" w:rsidRDefault="00937698" w:rsidP="00871479">
            <w:pPr>
              <w:pStyle w:val="NoSpacing"/>
              <w:jc w:val="center"/>
              <w:rPr>
                <w:rFonts w:ascii="Times New Roman" w:hAnsi="Times New Roman" w:cs="Times New Roman"/>
                <w:sz w:val="22"/>
                <w:szCs w:val="22"/>
              </w:rPr>
            </w:pPr>
            <w:r w:rsidRPr="00871479">
              <w:rPr>
                <w:rFonts w:ascii="Times New Roman" w:hAnsi="Times New Roman" w:cs="Times New Roman"/>
                <w:sz w:val="22"/>
                <w:szCs w:val="22"/>
              </w:rPr>
              <w:t>10.52</w:t>
            </w:r>
          </w:p>
        </w:tc>
        <w:tc>
          <w:tcPr>
            <w:tcW w:w="0" w:type="auto"/>
            <w:vAlign w:val="center"/>
            <w:hideMark/>
          </w:tcPr>
          <w:p w14:paraId="544CA1D7" w14:textId="77777777" w:rsidR="00937698" w:rsidRPr="00871479" w:rsidRDefault="00937698" w:rsidP="00871479">
            <w:pPr>
              <w:pStyle w:val="NoSpacing"/>
              <w:jc w:val="center"/>
              <w:rPr>
                <w:rFonts w:ascii="Times New Roman" w:hAnsi="Times New Roman" w:cs="Times New Roman"/>
                <w:sz w:val="22"/>
                <w:szCs w:val="22"/>
              </w:rPr>
            </w:pPr>
            <w:r w:rsidRPr="00871479">
              <w:rPr>
                <w:rFonts w:ascii="Times New Roman" w:hAnsi="Times New Roman" w:cs="Times New Roman"/>
                <w:sz w:val="22"/>
                <w:szCs w:val="22"/>
              </w:rPr>
              <w:t>12.06</w:t>
            </w:r>
          </w:p>
        </w:tc>
        <w:tc>
          <w:tcPr>
            <w:tcW w:w="0" w:type="auto"/>
            <w:vAlign w:val="center"/>
            <w:hideMark/>
          </w:tcPr>
          <w:p w14:paraId="1AE9A86C" w14:textId="77777777" w:rsidR="00937698" w:rsidRPr="00871479" w:rsidRDefault="00937698" w:rsidP="00871479">
            <w:pPr>
              <w:pStyle w:val="NoSpacing"/>
              <w:jc w:val="center"/>
              <w:rPr>
                <w:rFonts w:ascii="Times New Roman" w:hAnsi="Times New Roman" w:cs="Times New Roman"/>
                <w:sz w:val="22"/>
                <w:szCs w:val="22"/>
              </w:rPr>
            </w:pPr>
            <w:r w:rsidRPr="00871479">
              <w:rPr>
                <w:rFonts w:ascii="Times New Roman" w:hAnsi="Times New Roman" w:cs="Times New Roman"/>
                <w:sz w:val="22"/>
                <w:szCs w:val="22"/>
              </w:rPr>
              <w:t>10.73</w:t>
            </w:r>
          </w:p>
        </w:tc>
        <w:tc>
          <w:tcPr>
            <w:tcW w:w="0" w:type="auto"/>
            <w:vAlign w:val="center"/>
            <w:hideMark/>
          </w:tcPr>
          <w:p w14:paraId="10EEFF9E" w14:textId="77777777" w:rsidR="00937698" w:rsidRPr="00871479" w:rsidRDefault="00937698" w:rsidP="00871479">
            <w:pPr>
              <w:pStyle w:val="NoSpacing"/>
              <w:jc w:val="center"/>
              <w:rPr>
                <w:rFonts w:ascii="Times New Roman" w:hAnsi="Times New Roman" w:cs="Times New Roman"/>
                <w:sz w:val="22"/>
                <w:szCs w:val="22"/>
              </w:rPr>
            </w:pPr>
            <w:r w:rsidRPr="00871479">
              <w:rPr>
                <w:rFonts w:ascii="Times New Roman" w:hAnsi="Times New Roman" w:cs="Times New Roman"/>
                <w:sz w:val="22"/>
                <w:szCs w:val="22"/>
              </w:rPr>
              <w:t>10.67</w:t>
            </w:r>
          </w:p>
        </w:tc>
        <w:tc>
          <w:tcPr>
            <w:tcW w:w="0" w:type="auto"/>
            <w:vAlign w:val="center"/>
            <w:hideMark/>
          </w:tcPr>
          <w:p w14:paraId="3BD115B5" w14:textId="77777777" w:rsidR="00937698" w:rsidRPr="00871479" w:rsidRDefault="00937698" w:rsidP="00871479">
            <w:pPr>
              <w:pStyle w:val="NoSpacing"/>
              <w:jc w:val="center"/>
              <w:rPr>
                <w:rFonts w:ascii="Times New Roman" w:hAnsi="Times New Roman" w:cs="Times New Roman"/>
                <w:sz w:val="22"/>
                <w:szCs w:val="22"/>
              </w:rPr>
            </w:pPr>
            <w:r w:rsidRPr="00871479">
              <w:rPr>
                <w:rFonts w:ascii="Times New Roman" w:hAnsi="Times New Roman" w:cs="Times New Roman"/>
                <w:sz w:val="22"/>
                <w:szCs w:val="22"/>
              </w:rPr>
              <w:t>11.00</w:t>
            </w:r>
          </w:p>
        </w:tc>
      </w:tr>
      <w:tr w:rsidR="00937698" w:rsidRPr="00871479" w14:paraId="0700D830" w14:textId="77777777" w:rsidTr="00871479">
        <w:trPr>
          <w:trHeight w:val="462"/>
        </w:trPr>
        <w:tc>
          <w:tcPr>
            <w:tcW w:w="4824" w:type="dxa"/>
            <w:vAlign w:val="center"/>
            <w:hideMark/>
          </w:tcPr>
          <w:p w14:paraId="666369BA" w14:textId="77777777" w:rsidR="00937698" w:rsidRPr="00871479" w:rsidRDefault="00937698" w:rsidP="00871479">
            <w:pPr>
              <w:pStyle w:val="NoSpacing"/>
              <w:rPr>
                <w:rFonts w:ascii="Times New Roman" w:hAnsi="Times New Roman" w:cs="Times New Roman"/>
                <w:sz w:val="22"/>
                <w:szCs w:val="22"/>
              </w:rPr>
            </w:pPr>
            <w:r w:rsidRPr="00871479">
              <w:rPr>
                <w:rFonts w:ascii="Times New Roman" w:hAnsi="Times New Roman" w:cs="Times New Roman"/>
                <w:sz w:val="22"/>
                <w:szCs w:val="22"/>
              </w:rPr>
              <w:t>7. Others</w:t>
            </w:r>
          </w:p>
        </w:tc>
        <w:tc>
          <w:tcPr>
            <w:tcW w:w="0" w:type="auto"/>
            <w:vAlign w:val="center"/>
            <w:hideMark/>
          </w:tcPr>
          <w:p w14:paraId="0EDBDF3D" w14:textId="77777777" w:rsidR="00937698" w:rsidRPr="00871479" w:rsidRDefault="00937698" w:rsidP="00871479">
            <w:pPr>
              <w:pStyle w:val="NoSpacing"/>
              <w:jc w:val="center"/>
              <w:rPr>
                <w:rFonts w:ascii="Times New Roman" w:hAnsi="Times New Roman" w:cs="Times New Roman"/>
                <w:sz w:val="22"/>
                <w:szCs w:val="22"/>
              </w:rPr>
            </w:pPr>
            <w:r w:rsidRPr="00871479">
              <w:rPr>
                <w:rFonts w:ascii="Times New Roman" w:hAnsi="Times New Roman" w:cs="Times New Roman"/>
                <w:sz w:val="22"/>
                <w:szCs w:val="22"/>
              </w:rPr>
              <w:t>25.16</w:t>
            </w:r>
          </w:p>
        </w:tc>
        <w:tc>
          <w:tcPr>
            <w:tcW w:w="0" w:type="auto"/>
            <w:vAlign w:val="center"/>
            <w:hideMark/>
          </w:tcPr>
          <w:p w14:paraId="240FD265" w14:textId="77777777" w:rsidR="00937698" w:rsidRPr="00871479" w:rsidRDefault="00937698" w:rsidP="00871479">
            <w:pPr>
              <w:pStyle w:val="NoSpacing"/>
              <w:jc w:val="center"/>
              <w:rPr>
                <w:rFonts w:ascii="Times New Roman" w:hAnsi="Times New Roman" w:cs="Times New Roman"/>
                <w:sz w:val="22"/>
                <w:szCs w:val="22"/>
              </w:rPr>
            </w:pPr>
            <w:r w:rsidRPr="00871479">
              <w:rPr>
                <w:rFonts w:ascii="Times New Roman" w:hAnsi="Times New Roman" w:cs="Times New Roman"/>
                <w:sz w:val="22"/>
                <w:szCs w:val="22"/>
              </w:rPr>
              <w:t>28.42</w:t>
            </w:r>
          </w:p>
        </w:tc>
        <w:tc>
          <w:tcPr>
            <w:tcW w:w="0" w:type="auto"/>
            <w:vAlign w:val="center"/>
            <w:hideMark/>
          </w:tcPr>
          <w:p w14:paraId="0E073F1E" w14:textId="77777777" w:rsidR="00937698" w:rsidRPr="00871479" w:rsidRDefault="00937698" w:rsidP="00871479">
            <w:pPr>
              <w:pStyle w:val="NoSpacing"/>
              <w:jc w:val="center"/>
              <w:rPr>
                <w:rFonts w:ascii="Times New Roman" w:hAnsi="Times New Roman" w:cs="Times New Roman"/>
                <w:sz w:val="22"/>
                <w:szCs w:val="22"/>
              </w:rPr>
            </w:pPr>
            <w:r w:rsidRPr="00871479">
              <w:rPr>
                <w:rFonts w:ascii="Times New Roman" w:hAnsi="Times New Roman" w:cs="Times New Roman"/>
                <w:sz w:val="22"/>
                <w:szCs w:val="22"/>
              </w:rPr>
              <w:t>32.94</w:t>
            </w:r>
          </w:p>
        </w:tc>
        <w:tc>
          <w:tcPr>
            <w:tcW w:w="0" w:type="auto"/>
            <w:vAlign w:val="center"/>
            <w:hideMark/>
          </w:tcPr>
          <w:p w14:paraId="470D0DE2" w14:textId="77777777" w:rsidR="00937698" w:rsidRPr="00871479" w:rsidRDefault="00937698" w:rsidP="00871479">
            <w:pPr>
              <w:pStyle w:val="NoSpacing"/>
              <w:jc w:val="center"/>
              <w:rPr>
                <w:rFonts w:ascii="Times New Roman" w:hAnsi="Times New Roman" w:cs="Times New Roman"/>
                <w:sz w:val="22"/>
                <w:szCs w:val="22"/>
              </w:rPr>
            </w:pPr>
            <w:r w:rsidRPr="00871479">
              <w:rPr>
                <w:rFonts w:ascii="Times New Roman" w:hAnsi="Times New Roman" w:cs="Times New Roman"/>
                <w:sz w:val="22"/>
                <w:szCs w:val="22"/>
              </w:rPr>
              <w:t>37.55</w:t>
            </w:r>
          </w:p>
        </w:tc>
        <w:tc>
          <w:tcPr>
            <w:tcW w:w="0" w:type="auto"/>
            <w:vAlign w:val="center"/>
            <w:hideMark/>
          </w:tcPr>
          <w:p w14:paraId="5ADA627A" w14:textId="77777777" w:rsidR="00937698" w:rsidRPr="00871479" w:rsidRDefault="00937698" w:rsidP="00871479">
            <w:pPr>
              <w:pStyle w:val="NoSpacing"/>
              <w:jc w:val="center"/>
              <w:rPr>
                <w:rFonts w:ascii="Times New Roman" w:hAnsi="Times New Roman" w:cs="Times New Roman"/>
                <w:sz w:val="22"/>
                <w:szCs w:val="22"/>
              </w:rPr>
            </w:pPr>
            <w:r w:rsidRPr="00871479">
              <w:rPr>
                <w:rFonts w:ascii="Times New Roman" w:hAnsi="Times New Roman" w:cs="Times New Roman"/>
                <w:sz w:val="22"/>
                <w:szCs w:val="22"/>
              </w:rPr>
              <w:t>46.33</w:t>
            </w:r>
          </w:p>
        </w:tc>
      </w:tr>
      <w:tr w:rsidR="00937698" w:rsidRPr="00871479" w14:paraId="7576E515" w14:textId="77777777" w:rsidTr="00871479">
        <w:trPr>
          <w:trHeight w:val="489"/>
        </w:trPr>
        <w:tc>
          <w:tcPr>
            <w:tcW w:w="4824" w:type="dxa"/>
            <w:vAlign w:val="center"/>
            <w:hideMark/>
          </w:tcPr>
          <w:p w14:paraId="46725233" w14:textId="45487936" w:rsidR="00937698" w:rsidRPr="00871479" w:rsidRDefault="00044A72" w:rsidP="00871479">
            <w:pPr>
              <w:pStyle w:val="NoSpacing"/>
              <w:rPr>
                <w:rFonts w:ascii="Times New Roman" w:hAnsi="Times New Roman" w:cs="Times New Roman"/>
                <w:sz w:val="22"/>
                <w:szCs w:val="22"/>
              </w:rPr>
            </w:pPr>
            <w:r w:rsidRPr="00871479">
              <w:rPr>
                <w:rFonts w:ascii="Times New Roman" w:hAnsi="Times New Roman" w:cs="Times New Roman"/>
                <w:b/>
                <w:bCs/>
                <w:sz w:val="22"/>
                <w:szCs w:val="22"/>
              </w:rPr>
              <w:t>TOTAL:</w:t>
            </w:r>
            <w:r w:rsidR="00937698" w:rsidRPr="00871479">
              <w:rPr>
                <w:rFonts w:ascii="Times New Roman" w:hAnsi="Times New Roman" w:cs="Times New Roman"/>
                <w:b/>
                <w:bCs/>
                <w:sz w:val="22"/>
                <w:szCs w:val="22"/>
              </w:rPr>
              <w:t xml:space="preserve"> Taxes and Duties</w:t>
            </w:r>
          </w:p>
        </w:tc>
        <w:tc>
          <w:tcPr>
            <w:tcW w:w="0" w:type="auto"/>
            <w:vAlign w:val="center"/>
            <w:hideMark/>
          </w:tcPr>
          <w:p w14:paraId="2AC8412D" w14:textId="77777777" w:rsidR="00937698" w:rsidRPr="00871479" w:rsidRDefault="00937698" w:rsidP="00871479">
            <w:pPr>
              <w:pStyle w:val="NoSpacing"/>
              <w:jc w:val="center"/>
              <w:rPr>
                <w:rFonts w:ascii="Times New Roman" w:hAnsi="Times New Roman" w:cs="Times New Roman"/>
                <w:sz w:val="22"/>
                <w:szCs w:val="22"/>
              </w:rPr>
            </w:pPr>
            <w:r w:rsidRPr="00871479">
              <w:rPr>
                <w:rFonts w:ascii="Times New Roman" w:hAnsi="Times New Roman" w:cs="Times New Roman"/>
                <w:b/>
                <w:bCs/>
                <w:sz w:val="22"/>
                <w:szCs w:val="22"/>
              </w:rPr>
              <w:t>1820.68</w:t>
            </w:r>
          </w:p>
        </w:tc>
        <w:tc>
          <w:tcPr>
            <w:tcW w:w="0" w:type="auto"/>
            <w:vAlign w:val="center"/>
            <w:hideMark/>
          </w:tcPr>
          <w:p w14:paraId="5F791C3C" w14:textId="77777777" w:rsidR="00937698" w:rsidRPr="00871479" w:rsidRDefault="00937698" w:rsidP="00871479">
            <w:pPr>
              <w:pStyle w:val="NoSpacing"/>
              <w:jc w:val="center"/>
              <w:rPr>
                <w:rFonts w:ascii="Times New Roman" w:hAnsi="Times New Roman" w:cs="Times New Roman"/>
                <w:sz w:val="22"/>
                <w:szCs w:val="22"/>
              </w:rPr>
            </w:pPr>
            <w:r w:rsidRPr="00871479">
              <w:rPr>
                <w:rFonts w:ascii="Times New Roman" w:hAnsi="Times New Roman" w:cs="Times New Roman"/>
                <w:b/>
                <w:bCs/>
                <w:sz w:val="22"/>
                <w:szCs w:val="22"/>
              </w:rPr>
              <w:t>2060.67</w:t>
            </w:r>
          </w:p>
        </w:tc>
        <w:tc>
          <w:tcPr>
            <w:tcW w:w="0" w:type="auto"/>
            <w:vAlign w:val="center"/>
            <w:hideMark/>
          </w:tcPr>
          <w:p w14:paraId="443D0F2D" w14:textId="77777777" w:rsidR="00937698" w:rsidRPr="00871479" w:rsidRDefault="00937698" w:rsidP="00871479">
            <w:pPr>
              <w:pStyle w:val="NoSpacing"/>
              <w:jc w:val="center"/>
              <w:rPr>
                <w:rFonts w:ascii="Times New Roman" w:hAnsi="Times New Roman" w:cs="Times New Roman"/>
                <w:sz w:val="22"/>
                <w:szCs w:val="22"/>
              </w:rPr>
            </w:pPr>
            <w:r w:rsidRPr="00871479">
              <w:rPr>
                <w:rFonts w:ascii="Times New Roman" w:hAnsi="Times New Roman" w:cs="Times New Roman"/>
                <w:b/>
                <w:bCs/>
                <w:sz w:val="22"/>
                <w:szCs w:val="22"/>
              </w:rPr>
              <w:t>2306.50</w:t>
            </w:r>
          </w:p>
        </w:tc>
        <w:tc>
          <w:tcPr>
            <w:tcW w:w="0" w:type="auto"/>
            <w:vAlign w:val="center"/>
            <w:hideMark/>
          </w:tcPr>
          <w:p w14:paraId="757C01F8" w14:textId="77777777" w:rsidR="00937698" w:rsidRPr="00871479" w:rsidRDefault="00937698" w:rsidP="00871479">
            <w:pPr>
              <w:pStyle w:val="NoSpacing"/>
              <w:jc w:val="center"/>
              <w:rPr>
                <w:rFonts w:ascii="Times New Roman" w:hAnsi="Times New Roman" w:cs="Times New Roman"/>
                <w:sz w:val="22"/>
                <w:szCs w:val="22"/>
              </w:rPr>
            </w:pPr>
            <w:r w:rsidRPr="00871479">
              <w:rPr>
                <w:rFonts w:ascii="Times New Roman" w:hAnsi="Times New Roman" w:cs="Times New Roman"/>
                <w:b/>
                <w:bCs/>
                <w:sz w:val="22"/>
                <w:szCs w:val="22"/>
              </w:rPr>
              <w:t>2352.41</w:t>
            </w:r>
          </w:p>
        </w:tc>
        <w:tc>
          <w:tcPr>
            <w:tcW w:w="0" w:type="auto"/>
            <w:vAlign w:val="center"/>
            <w:hideMark/>
          </w:tcPr>
          <w:p w14:paraId="31647205" w14:textId="77777777" w:rsidR="00937698" w:rsidRPr="00871479" w:rsidRDefault="00937698" w:rsidP="00871479">
            <w:pPr>
              <w:pStyle w:val="NoSpacing"/>
              <w:jc w:val="center"/>
              <w:rPr>
                <w:rFonts w:ascii="Times New Roman" w:hAnsi="Times New Roman" w:cs="Times New Roman"/>
                <w:sz w:val="22"/>
                <w:szCs w:val="22"/>
              </w:rPr>
            </w:pPr>
            <w:r w:rsidRPr="00871479">
              <w:rPr>
                <w:rFonts w:ascii="Times New Roman" w:hAnsi="Times New Roman" w:cs="Times New Roman"/>
                <w:b/>
                <w:bCs/>
                <w:sz w:val="22"/>
                <w:szCs w:val="22"/>
              </w:rPr>
              <w:t>2489.78</w:t>
            </w:r>
          </w:p>
        </w:tc>
      </w:tr>
      <w:tr w:rsidR="00937698" w:rsidRPr="00871479" w14:paraId="694616BE" w14:textId="77777777" w:rsidTr="00871479">
        <w:trPr>
          <w:trHeight w:hRule="exact" w:val="26"/>
        </w:trPr>
        <w:tc>
          <w:tcPr>
            <w:tcW w:w="4824" w:type="dxa"/>
            <w:vAlign w:val="center"/>
            <w:hideMark/>
          </w:tcPr>
          <w:p w14:paraId="6D3F4A77" w14:textId="77777777" w:rsidR="00937698" w:rsidRPr="00871479" w:rsidRDefault="00937698" w:rsidP="00871479">
            <w:pPr>
              <w:pStyle w:val="NoSpacing"/>
              <w:rPr>
                <w:rFonts w:ascii="Times New Roman" w:hAnsi="Times New Roman" w:cs="Times New Roman"/>
                <w:sz w:val="22"/>
                <w:szCs w:val="22"/>
              </w:rPr>
            </w:pPr>
          </w:p>
        </w:tc>
        <w:tc>
          <w:tcPr>
            <w:tcW w:w="0" w:type="auto"/>
            <w:vAlign w:val="center"/>
            <w:hideMark/>
          </w:tcPr>
          <w:p w14:paraId="3018B08A" w14:textId="77777777" w:rsidR="00937698" w:rsidRPr="00871479" w:rsidRDefault="00937698" w:rsidP="00871479">
            <w:pPr>
              <w:pStyle w:val="NoSpacing"/>
              <w:jc w:val="center"/>
              <w:rPr>
                <w:rFonts w:ascii="Times New Roman" w:hAnsi="Times New Roman" w:cs="Times New Roman"/>
                <w:sz w:val="22"/>
                <w:szCs w:val="22"/>
              </w:rPr>
            </w:pPr>
          </w:p>
        </w:tc>
        <w:tc>
          <w:tcPr>
            <w:tcW w:w="0" w:type="auto"/>
            <w:vAlign w:val="center"/>
            <w:hideMark/>
          </w:tcPr>
          <w:p w14:paraId="3E397AF8" w14:textId="77777777" w:rsidR="00937698" w:rsidRPr="00871479" w:rsidRDefault="00937698" w:rsidP="00871479">
            <w:pPr>
              <w:pStyle w:val="NoSpacing"/>
              <w:jc w:val="center"/>
              <w:rPr>
                <w:rFonts w:ascii="Times New Roman" w:hAnsi="Times New Roman" w:cs="Times New Roman"/>
                <w:sz w:val="22"/>
                <w:szCs w:val="22"/>
              </w:rPr>
            </w:pPr>
          </w:p>
        </w:tc>
        <w:tc>
          <w:tcPr>
            <w:tcW w:w="0" w:type="auto"/>
            <w:vAlign w:val="center"/>
            <w:hideMark/>
          </w:tcPr>
          <w:p w14:paraId="3E2F57F5" w14:textId="77777777" w:rsidR="00937698" w:rsidRPr="00871479" w:rsidRDefault="00937698" w:rsidP="00871479">
            <w:pPr>
              <w:pStyle w:val="NoSpacing"/>
              <w:jc w:val="center"/>
              <w:rPr>
                <w:rFonts w:ascii="Times New Roman" w:hAnsi="Times New Roman" w:cs="Times New Roman"/>
                <w:sz w:val="22"/>
                <w:szCs w:val="22"/>
              </w:rPr>
            </w:pPr>
          </w:p>
        </w:tc>
        <w:tc>
          <w:tcPr>
            <w:tcW w:w="0" w:type="auto"/>
            <w:vAlign w:val="center"/>
            <w:hideMark/>
          </w:tcPr>
          <w:p w14:paraId="394E2001" w14:textId="77777777" w:rsidR="00937698" w:rsidRPr="00871479" w:rsidRDefault="00937698" w:rsidP="00871479">
            <w:pPr>
              <w:pStyle w:val="NoSpacing"/>
              <w:jc w:val="center"/>
              <w:rPr>
                <w:rFonts w:ascii="Times New Roman" w:hAnsi="Times New Roman" w:cs="Times New Roman"/>
                <w:sz w:val="22"/>
                <w:szCs w:val="22"/>
              </w:rPr>
            </w:pPr>
          </w:p>
        </w:tc>
        <w:tc>
          <w:tcPr>
            <w:tcW w:w="0" w:type="auto"/>
            <w:vAlign w:val="center"/>
            <w:hideMark/>
          </w:tcPr>
          <w:p w14:paraId="052EA394" w14:textId="77777777" w:rsidR="00937698" w:rsidRPr="00871479" w:rsidRDefault="00937698" w:rsidP="00871479">
            <w:pPr>
              <w:pStyle w:val="NoSpacing"/>
              <w:jc w:val="center"/>
              <w:rPr>
                <w:rFonts w:ascii="Times New Roman" w:hAnsi="Times New Roman" w:cs="Times New Roman"/>
                <w:sz w:val="22"/>
                <w:szCs w:val="22"/>
              </w:rPr>
            </w:pPr>
          </w:p>
        </w:tc>
      </w:tr>
      <w:tr w:rsidR="00937698" w:rsidRPr="00871479" w14:paraId="4DF1CA07" w14:textId="77777777" w:rsidTr="00871479">
        <w:trPr>
          <w:trHeight w:val="489"/>
        </w:trPr>
        <w:tc>
          <w:tcPr>
            <w:tcW w:w="4824" w:type="dxa"/>
            <w:vAlign w:val="center"/>
            <w:hideMark/>
          </w:tcPr>
          <w:p w14:paraId="40E356C8" w14:textId="57E2B5CE" w:rsidR="00937698" w:rsidRPr="00871479" w:rsidRDefault="00937698" w:rsidP="00871479">
            <w:pPr>
              <w:pStyle w:val="NoSpacing"/>
              <w:rPr>
                <w:rFonts w:ascii="Times New Roman" w:hAnsi="Times New Roman" w:cs="Times New Roman"/>
                <w:sz w:val="22"/>
                <w:szCs w:val="22"/>
              </w:rPr>
            </w:pPr>
            <w:r w:rsidRPr="00871479">
              <w:rPr>
                <w:rFonts w:ascii="Times New Roman" w:hAnsi="Times New Roman" w:cs="Times New Roman"/>
                <w:b/>
                <w:bCs/>
                <w:sz w:val="22"/>
                <w:szCs w:val="22"/>
              </w:rPr>
              <w:t xml:space="preserve">Less States' share </w:t>
            </w:r>
            <w:r w:rsidR="00044A72" w:rsidRPr="00871479">
              <w:rPr>
                <w:rFonts w:ascii="Times New Roman" w:hAnsi="Times New Roman" w:cs="Times New Roman"/>
                <w:b/>
                <w:bCs/>
                <w:sz w:val="22"/>
                <w:szCs w:val="22"/>
              </w:rPr>
              <w:t>of: —</w:t>
            </w:r>
          </w:p>
        </w:tc>
        <w:tc>
          <w:tcPr>
            <w:tcW w:w="0" w:type="auto"/>
            <w:vAlign w:val="center"/>
            <w:hideMark/>
          </w:tcPr>
          <w:p w14:paraId="6C8515BD" w14:textId="77777777" w:rsidR="00937698" w:rsidRPr="00871479" w:rsidRDefault="00937698" w:rsidP="00871479">
            <w:pPr>
              <w:pStyle w:val="NoSpacing"/>
              <w:jc w:val="center"/>
              <w:rPr>
                <w:rFonts w:ascii="Times New Roman" w:hAnsi="Times New Roman" w:cs="Times New Roman"/>
                <w:sz w:val="22"/>
                <w:szCs w:val="22"/>
              </w:rPr>
            </w:pPr>
          </w:p>
        </w:tc>
        <w:tc>
          <w:tcPr>
            <w:tcW w:w="0" w:type="auto"/>
            <w:vAlign w:val="center"/>
            <w:hideMark/>
          </w:tcPr>
          <w:p w14:paraId="489FE0C1" w14:textId="77777777" w:rsidR="00937698" w:rsidRPr="00871479" w:rsidRDefault="00937698" w:rsidP="00871479">
            <w:pPr>
              <w:pStyle w:val="NoSpacing"/>
              <w:jc w:val="center"/>
              <w:rPr>
                <w:rFonts w:ascii="Times New Roman" w:hAnsi="Times New Roman" w:cs="Times New Roman"/>
                <w:sz w:val="22"/>
                <w:szCs w:val="22"/>
              </w:rPr>
            </w:pPr>
          </w:p>
        </w:tc>
        <w:tc>
          <w:tcPr>
            <w:tcW w:w="0" w:type="auto"/>
            <w:vAlign w:val="center"/>
            <w:hideMark/>
          </w:tcPr>
          <w:p w14:paraId="387E37F0" w14:textId="77777777" w:rsidR="00937698" w:rsidRPr="00871479" w:rsidRDefault="00937698" w:rsidP="00871479">
            <w:pPr>
              <w:pStyle w:val="NoSpacing"/>
              <w:jc w:val="center"/>
              <w:rPr>
                <w:rFonts w:ascii="Times New Roman" w:hAnsi="Times New Roman" w:cs="Times New Roman"/>
                <w:sz w:val="22"/>
                <w:szCs w:val="22"/>
              </w:rPr>
            </w:pPr>
          </w:p>
        </w:tc>
        <w:tc>
          <w:tcPr>
            <w:tcW w:w="0" w:type="auto"/>
            <w:vAlign w:val="center"/>
            <w:hideMark/>
          </w:tcPr>
          <w:p w14:paraId="5D34B446" w14:textId="77777777" w:rsidR="00937698" w:rsidRPr="00871479" w:rsidRDefault="00937698" w:rsidP="00871479">
            <w:pPr>
              <w:pStyle w:val="NoSpacing"/>
              <w:jc w:val="center"/>
              <w:rPr>
                <w:rFonts w:ascii="Times New Roman" w:hAnsi="Times New Roman" w:cs="Times New Roman"/>
                <w:sz w:val="22"/>
                <w:szCs w:val="22"/>
              </w:rPr>
            </w:pPr>
          </w:p>
        </w:tc>
        <w:tc>
          <w:tcPr>
            <w:tcW w:w="0" w:type="auto"/>
            <w:vAlign w:val="center"/>
            <w:hideMark/>
          </w:tcPr>
          <w:p w14:paraId="49F4C336" w14:textId="77777777" w:rsidR="00937698" w:rsidRPr="00871479" w:rsidRDefault="00937698" w:rsidP="00871479">
            <w:pPr>
              <w:pStyle w:val="NoSpacing"/>
              <w:jc w:val="center"/>
              <w:rPr>
                <w:rFonts w:ascii="Times New Roman" w:hAnsi="Times New Roman" w:cs="Times New Roman"/>
                <w:sz w:val="22"/>
                <w:szCs w:val="22"/>
              </w:rPr>
            </w:pPr>
          </w:p>
        </w:tc>
      </w:tr>
      <w:tr w:rsidR="00937698" w:rsidRPr="00871479" w14:paraId="7EB739AA" w14:textId="77777777" w:rsidTr="00871479">
        <w:trPr>
          <w:trHeight w:val="489"/>
        </w:trPr>
        <w:tc>
          <w:tcPr>
            <w:tcW w:w="4824" w:type="dxa"/>
            <w:vAlign w:val="center"/>
            <w:hideMark/>
          </w:tcPr>
          <w:p w14:paraId="4FE05F76" w14:textId="77777777" w:rsidR="00937698" w:rsidRPr="00871479" w:rsidRDefault="00937698" w:rsidP="00871479">
            <w:pPr>
              <w:pStyle w:val="NoSpacing"/>
              <w:rPr>
                <w:rFonts w:ascii="Times New Roman" w:hAnsi="Times New Roman" w:cs="Times New Roman"/>
                <w:sz w:val="22"/>
                <w:szCs w:val="22"/>
              </w:rPr>
            </w:pPr>
            <w:r w:rsidRPr="00871479">
              <w:rPr>
                <w:rFonts w:ascii="Times New Roman" w:hAnsi="Times New Roman" w:cs="Times New Roman"/>
                <w:sz w:val="22"/>
                <w:szCs w:val="22"/>
              </w:rPr>
              <w:t>(i) Union Excise Duties</w:t>
            </w:r>
          </w:p>
        </w:tc>
        <w:tc>
          <w:tcPr>
            <w:tcW w:w="0" w:type="auto"/>
            <w:vAlign w:val="center"/>
            <w:hideMark/>
          </w:tcPr>
          <w:p w14:paraId="6DBB0170" w14:textId="77777777" w:rsidR="00937698" w:rsidRPr="00871479" w:rsidRDefault="00937698" w:rsidP="00871479">
            <w:pPr>
              <w:pStyle w:val="NoSpacing"/>
              <w:jc w:val="center"/>
              <w:rPr>
                <w:rFonts w:ascii="Times New Roman" w:hAnsi="Times New Roman" w:cs="Times New Roman"/>
                <w:sz w:val="22"/>
                <w:szCs w:val="22"/>
              </w:rPr>
            </w:pPr>
            <w:r w:rsidRPr="00871479">
              <w:rPr>
                <w:rFonts w:ascii="Times New Roman" w:hAnsi="Times New Roman" w:cs="Times New Roman"/>
                <w:sz w:val="22"/>
                <w:szCs w:val="22"/>
              </w:rPr>
              <w:t>-127.34</w:t>
            </w:r>
          </w:p>
        </w:tc>
        <w:tc>
          <w:tcPr>
            <w:tcW w:w="0" w:type="auto"/>
            <w:vAlign w:val="center"/>
            <w:hideMark/>
          </w:tcPr>
          <w:p w14:paraId="3A332225" w14:textId="77777777" w:rsidR="00937698" w:rsidRPr="00871479" w:rsidRDefault="00937698" w:rsidP="00871479">
            <w:pPr>
              <w:pStyle w:val="NoSpacing"/>
              <w:jc w:val="center"/>
              <w:rPr>
                <w:rFonts w:ascii="Times New Roman" w:hAnsi="Times New Roman" w:cs="Times New Roman"/>
                <w:sz w:val="22"/>
                <w:szCs w:val="22"/>
              </w:rPr>
            </w:pPr>
            <w:r w:rsidRPr="00871479">
              <w:rPr>
                <w:rFonts w:ascii="Times New Roman" w:hAnsi="Times New Roman" w:cs="Times New Roman"/>
                <w:sz w:val="22"/>
                <w:szCs w:val="22"/>
              </w:rPr>
              <w:t>-145.92</w:t>
            </w:r>
          </w:p>
        </w:tc>
        <w:tc>
          <w:tcPr>
            <w:tcW w:w="0" w:type="auto"/>
            <w:vAlign w:val="center"/>
            <w:hideMark/>
          </w:tcPr>
          <w:p w14:paraId="56B1B40A" w14:textId="77777777" w:rsidR="00937698" w:rsidRPr="00871479" w:rsidRDefault="00937698" w:rsidP="00871479">
            <w:pPr>
              <w:pStyle w:val="NoSpacing"/>
              <w:jc w:val="center"/>
              <w:rPr>
                <w:rFonts w:ascii="Times New Roman" w:hAnsi="Times New Roman" w:cs="Times New Roman"/>
                <w:sz w:val="22"/>
                <w:szCs w:val="22"/>
              </w:rPr>
            </w:pPr>
            <w:r w:rsidRPr="00871479">
              <w:rPr>
                <w:rFonts w:ascii="Times New Roman" w:hAnsi="Times New Roman" w:cs="Times New Roman"/>
                <w:sz w:val="22"/>
                <w:szCs w:val="22"/>
              </w:rPr>
              <w:t>-230.91</w:t>
            </w:r>
          </w:p>
        </w:tc>
        <w:tc>
          <w:tcPr>
            <w:tcW w:w="0" w:type="auto"/>
            <w:vAlign w:val="center"/>
            <w:hideMark/>
          </w:tcPr>
          <w:p w14:paraId="7A54D239" w14:textId="77777777" w:rsidR="00937698" w:rsidRPr="00871479" w:rsidRDefault="00937698" w:rsidP="00871479">
            <w:pPr>
              <w:pStyle w:val="NoSpacing"/>
              <w:jc w:val="center"/>
              <w:rPr>
                <w:rFonts w:ascii="Times New Roman" w:hAnsi="Times New Roman" w:cs="Times New Roman"/>
                <w:sz w:val="22"/>
                <w:szCs w:val="22"/>
              </w:rPr>
            </w:pPr>
            <w:r w:rsidRPr="00871479">
              <w:rPr>
                <w:rFonts w:ascii="Times New Roman" w:hAnsi="Times New Roman" w:cs="Times New Roman"/>
                <w:sz w:val="22"/>
                <w:szCs w:val="22"/>
              </w:rPr>
              <w:t>-234.64</w:t>
            </w:r>
          </w:p>
        </w:tc>
        <w:tc>
          <w:tcPr>
            <w:tcW w:w="0" w:type="auto"/>
            <w:vAlign w:val="center"/>
            <w:hideMark/>
          </w:tcPr>
          <w:p w14:paraId="2311D8CF" w14:textId="77777777" w:rsidR="00937698" w:rsidRPr="00871479" w:rsidRDefault="00937698" w:rsidP="00871479">
            <w:pPr>
              <w:pStyle w:val="NoSpacing"/>
              <w:jc w:val="center"/>
              <w:rPr>
                <w:rFonts w:ascii="Times New Roman" w:hAnsi="Times New Roman" w:cs="Times New Roman"/>
                <w:sz w:val="22"/>
                <w:szCs w:val="22"/>
              </w:rPr>
            </w:pPr>
            <w:r w:rsidRPr="00871479">
              <w:rPr>
                <w:rFonts w:ascii="Times New Roman" w:hAnsi="Times New Roman" w:cs="Times New Roman"/>
                <w:sz w:val="22"/>
                <w:szCs w:val="22"/>
              </w:rPr>
              <w:t>-290.93</w:t>
            </w:r>
          </w:p>
        </w:tc>
      </w:tr>
      <w:tr w:rsidR="00937698" w:rsidRPr="00871479" w14:paraId="193AC397" w14:textId="77777777" w:rsidTr="00871479">
        <w:trPr>
          <w:trHeight w:val="462"/>
        </w:trPr>
        <w:tc>
          <w:tcPr>
            <w:tcW w:w="4824" w:type="dxa"/>
            <w:vAlign w:val="center"/>
            <w:hideMark/>
          </w:tcPr>
          <w:p w14:paraId="562C1F00" w14:textId="77777777" w:rsidR="00937698" w:rsidRPr="00871479" w:rsidRDefault="00937698" w:rsidP="00871479">
            <w:pPr>
              <w:pStyle w:val="NoSpacing"/>
              <w:rPr>
                <w:rFonts w:ascii="Times New Roman" w:hAnsi="Times New Roman" w:cs="Times New Roman"/>
                <w:sz w:val="22"/>
                <w:szCs w:val="22"/>
              </w:rPr>
            </w:pPr>
            <w:r w:rsidRPr="00871479">
              <w:rPr>
                <w:rFonts w:ascii="Times New Roman" w:hAnsi="Times New Roman" w:cs="Times New Roman"/>
                <w:sz w:val="22"/>
                <w:szCs w:val="22"/>
              </w:rPr>
              <w:t>(ii) Income Tax</w:t>
            </w:r>
          </w:p>
        </w:tc>
        <w:tc>
          <w:tcPr>
            <w:tcW w:w="0" w:type="auto"/>
            <w:vAlign w:val="center"/>
            <w:hideMark/>
          </w:tcPr>
          <w:p w14:paraId="75AE20BB" w14:textId="77777777" w:rsidR="00937698" w:rsidRPr="00871479" w:rsidRDefault="00937698" w:rsidP="00871479">
            <w:pPr>
              <w:pStyle w:val="NoSpacing"/>
              <w:jc w:val="center"/>
              <w:rPr>
                <w:rFonts w:ascii="Times New Roman" w:hAnsi="Times New Roman" w:cs="Times New Roman"/>
                <w:sz w:val="22"/>
                <w:szCs w:val="22"/>
              </w:rPr>
            </w:pPr>
            <w:r w:rsidRPr="00871479">
              <w:rPr>
                <w:rFonts w:ascii="Times New Roman" w:hAnsi="Times New Roman" w:cs="Times New Roman"/>
                <w:sz w:val="22"/>
                <w:szCs w:val="22"/>
              </w:rPr>
              <w:t>-123.77</w:t>
            </w:r>
          </w:p>
        </w:tc>
        <w:tc>
          <w:tcPr>
            <w:tcW w:w="0" w:type="auto"/>
            <w:vAlign w:val="center"/>
            <w:hideMark/>
          </w:tcPr>
          <w:p w14:paraId="342AAF0E" w14:textId="77777777" w:rsidR="00937698" w:rsidRPr="00871479" w:rsidRDefault="00937698" w:rsidP="00871479">
            <w:pPr>
              <w:pStyle w:val="NoSpacing"/>
              <w:jc w:val="center"/>
              <w:rPr>
                <w:rFonts w:ascii="Times New Roman" w:hAnsi="Times New Roman" w:cs="Times New Roman"/>
                <w:sz w:val="22"/>
                <w:szCs w:val="22"/>
              </w:rPr>
            </w:pPr>
            <w:r w:rsidRPr="00871479">
              <w:rPr>
                <w:rFonts w:ascii="Times New Roman" w:hAnsi="Times New Roman" w:cs="Times New Roman"/>
                <w:sz w:val="22"/>
                <w:szCs w:val="22"/>
              </w:rPr>
              <w:t>-123.34</w:t>
            </w:r>
          </w:p>
        </w:tc>
        <w:tc>
          <w:tcPr>
            <w:tcW w:w="0" w:type="auto"/>
            <w:vAlign w:val="center"/>
            <w:hideMark/>
          </w:tcPr>
          <w:p w14:paraId="648A6F25" w14:textId="77777777" w:rsidR="00937698" w:rsidRPr="00871479" w:rsidRDefault="00937698" w:rsidP="00871479">
            <w:pPr>
              <w:pStyle w:val="NoSpacing"/>
              <w:jc w:val="center"/>
              <w:rPr>
                <w:rFonts w:ascii="Times New Roman" w:hAnsi="Times New Roman" w:cs="Times New Roman"/>
                <w:sz w:val="22"/>
                <w:szCs w:val="22"/>
              </w:rPr>
            </w:pPr>
            <w:r w:rsidRPr="00871479">
              <w:rPr>
                <w:rFonts w:ascii="Times New Roman" w:hAnsi="Times New Roman" w:cs="Times New Roman"/>
                <w:sz w:val="22"/>
                <w:szCs w:val="22"/>
              </w:rPr>
              <w:t>-137.10</w:t>
            </w:r>
          </w:p>
        </w:tc>
        <w:tc>
          <w:tcPr>
            <w:tcW w:w="0" w:type="auto"/>
            <w:vAlign w:val="center"/>
            <w:hideMark/>
          </w:tcPr>
          <w:p w14:paraId="2DD6CE16" w14:textId="77777777" w:rsidR="00937698" w:rsidRPr="00871479" w:rsidRDefault="00937698" w:rsidP="00871479">
            <w:pPr>
              <w:pStyle w:val="NoSpacing"/>
              <w:jc w:val="center"/>
              <w:rPr>
                <w:rFonts w:ascii="Times New Roman" w:hAnsi="Times New Roman" w:cs="Times New Roman"/>
                <w:sz w:val="22"/>
                <w:szCs w:val="22"/>
              </w:rPr>
            </w:pPr>
            <w:r w:rsidRPr="00871479">
              <w:rPr>
                <w:rFonts w:ascii="Times New Roman" w:hAnsi="Times New Roman" w:cs="Times New Roman"/>
                <w:sz w:val="22"/>
                <w:szCs w:val="22"/>
              </w:rPr>
              <w:t>-174.52</w:t>
            </w:r>
          </w:p>
        </w:tc>
        <w:tc>
          <w:tcPr>
            <w:tcW w:w="0" w:type="auto"/>
            <w:vAlign w:val="center"/>
            <w:hideMark/>
          </w:tcPr>
          <w:p w14:paraId="24ACEE32" w14:textId="77777777" w:rsidR="00937698" w:rsidRPr="00871479" w:rsidRDefault="00937698" w:rsidP="00871479">
            <w:pPr>
              <w:pStyle w:val="NoSpacing"/>
              <w:jc w:val="center"/>
              <w:rPr>
                <w:rFonts w:ascii="Times New Roman" w:hAnsi="Times New Roman" w:cs="Times New Roman"/>
                <w:sz w:val="22"/>
                <w:szCs w:val="22"/>
              </w:rPr>
            </w:pPr>
            <w:r w:rsidRPr="00871479">
              <w:rPr>
                <w:rFonts w:ascii="Times New Roman" w:hAnsi="Times New Roman" w:cs="Times New Roman"/>
                <w:sz w:val="22"/>
                <w:szCs w:val="22"/>
              </w:rPr>
              <w:t>-194.51</w:t>
            </w:r>
          </w:p>
        </w:tc>
      </w:tr>
      <w:tr w:rsidR="00937698" w:rsidRPr="00871479" w14:paraId="06942CEB" w14:textId="77777777" w:rsidTr="00871479">
        <w:trPr>
          <w:trHeight w:val="489"/>
        </w:trPr>
        <w:tc>
          <w:tcPr>
            <w:tcW w:w="4824" w:type="dxa"/>
            <w:vAlign w:val="center"/>
            <w:hideMark/>
          </w:tcPr>
          <w:p w14:paraId="7E6E4002" w14:textId="77777777" w:rsidR="00937698" w:rsidRPr="00871479" w:rsidRDefault="00937698" w:rsidP="00871479">
            <w:pPr>
              <w:pStyle w:val="NoSpacing"/>
              <w:rPr>
                <w:rFonts w:ascii="Times New Roman" w:hAnsi="Times New Roman" w:cs="Times New Roman"/>
                <w:sz w:val="22"/>
                <w:szCs w:val="22"/>
              </w:rPr>
            </w:pPr>
            <w:r w:rsidRPr="00871479">
              <w:rPr>
                <w:rFonts w:ascii="Times New Roman" w:hAnsi="Times New Roman" w:cs="Times New Roman"/>
                <w:sz w:val="22"/>
                <w:szCs w:val="22"/>
              </w:rPr>
              <w:t>(iii) Estate Duty</w:t>
            </w:r>
          </w:p>
        </w:tc>
        <w:tc>
          <w:tcPr>
            <w:tcW w:w="0" w:type="auto"/>
            <w:vAlign w:val="center"/>
            <w:hideMark/>
          </w:tcPr>
          <w:p w14:paraId="669A89DB" w14:textId="77777777" w:rsidR="00937698" w:rsidRPr="00871479" w:rsidRDefault="00937698" w:rsidP="00871479">
            <w:pPr>
              <w:pStyle w:val="NoSpacing"/>
              <w:jc w:val="center"/>
              <w:rPr>
                <w:rFonts w:ascii="Times New Roman" w:hAnsi="Times New Roman" w:cs="Times New Roman"/>
                <w:sz w:val="22"/>
                <w:szCs w:val="22"/>
              </w:rPr>
            </w:pPr>
            <w:r w:rsidRPr="00871479">
              <w:rPr>
                <w:rFonts w:ascii="Times New Roman" w:hAnsi="Times New Roman" w:cs="Times New Roman"/>
                <w:sz w:val="22"/>
                <w:szCs w:val="22"/>
              </w:rPr>
              <w:t>-6.78</w:t>
            </w:r>
          </w:p>
        </w:tc>
        <w:tc>
          <w:tcPr>
            <w:tcW w:w="0" w:type="auto"/>
            <w:vAlign w:val="center"/>
            <w:hideMark/>
          </w:tcPr>
          <w:p w14:paraId="51A77D96" w14:textId="77777777" w:rsidR="00937698" w:rsidRPr="00871479" w:rsidRDefault="00937698" w:rsidP="00871479">
            <w:pPr>
              <w:pStyle w:val="NoSpacing"/>
              <w:jc w:val="center"/>
              <w:rPr>
                <w:rFonts w:ascii="Times New Roman" w:hAnsi="Times New Roman" w:cs="Times New Roman"/>
                <w:sz w:val="22"/>
                <w:szCs w:val="22"/>
              </w:rPr>
            </w:pPr>
            <w:r w:rsidRPr="00871479">
              <w:rPr>
                <w:rFonts w:ascii="Times New Roman" w:hAnsi="Times New Roman" w:cs="Times New Roman"/>
                <w:sz w:val="22"/>
                <w:szCs w:val="22"/>
              </w:rPr>
              <w:t>-6.79</w:t>
            </w:r>
          </w:p>
        </w:tc>
        <w:tc>
          <w:tcPr>
            <w:tcW w:w="0" w:type="auto"/>
            <w:vAlign w:val="center"/>
            <w:hideMark/>
          </w:tcPr>
          <w:p w14:paraId="2189B3F8" w14:textId="77777777" w:rsidR="00937698" w:rsidRPr="00871479" w:rsidRDefault="00937698" w:rsidP="00871479">
            <w:pPr>
              <w:pStyle w:val="NoSpacing"/>
              <w:jc w:val="center"/>
              <w:rPr>
                <w:rFonts w:ascii="Times New Roman" w:hAnsi="Times New Roman" w:cs="Times New Roman"/>
                <w:sz w:val="22"/>
                <w:szCs w:val="22"/>
              </w:rPr>
            </w:pPr>
            <w:r w:rsidRPr="00871479">
              <w:rPr>
                <w:rFonts w:ascii="Times New Roman" w:hAnsi="Times New Roman" w:cs="Times New Roman"/>
                <w:sz w:val="22"/>
                <w:szCs w:val="22"/>
              </w:rPr>
              <w:t>-4.54</w:t>
            </w:r>
          </w:p>
        </w:tc>
        <w:tc>
          <w:tcPr>
            <w:tcW w:w="0" w:type="auto"/>
            <w:vAlign w:val="center"/>
            <w:hideMark/>
          </w:tcPr>
          <w:p w14:paraId="3AC9E7B8" w14:textId="77777777" w:rsidR="00937698" w:rsidRPr="00871479" w:rsidRDefault="00937698" w:rsidP="00871479">
            <w:pPr>
              <w:pStyle w:val="NoSpacing"/>
              <w:jc w:val="center"/>
              <w:rPr>
                <w:rFonts w:ascii="Times New Roman" w:hAnsi="Times New Roman" w:cs="Times New Roman"/>
                <w:sz w:val="22"/>
                <w:szCs w:val="22"/>
              </w:rPr>
            </w:pPr>
            <w:r w:rsidRPr="00871479">
              <w:rPr>
                <w:rFonts w:ascii="Times New Roman" w:hAnsi="Times New Roman" w:cs="Times New Roman"/>
                <w:sz w:val="22"/>
                <w:szCs w:val="22"/>
              </w:rPr>
              <w:t>-6.58</w:t>
            </w:r>
          </w:p>
        </w:tc>
        <w:tc>
          <w:tcPr>
            <w:tcW w:w="0" w:type="auto"/>
            <w:vAlign w:val="center"/>
            <w:hideMark/>
          </w:tcPr>
          <w:p w14:paraId="6ECB4147" w14:textId="77777777" w:rsidR="00937698" w:rsidRPr="00871479" w:rsidRDefault="00937698" w:rsidP="00871479">
            <w:pPr>
              <w:pStyle w:val="NoSpacing"/>
              <w:jc w:val="center"/>
              <w:rPr>
                <w:rFonts w:ascii="Times New Roman" w:hAnsi="Times New Roman" w:cs="Times New Roman"/>
                <w:sz w:val="22"/>
                <w:szCs w:val="22"/>
              </w:rPr>
            </w:pPr>
            <w:r w:rsidRPr="00871479">
              <w:rPr>
                <w:rFonts w:ascii="Times New Roman" w:hAnsi="Times New Roman" w:cs="Times New Roman"/>
                <w:sz w:val="22"/>
                <w:szCs w:val="22"/>
              </w:rPr>
              <w:t>-5.54</w:t>
            </w:r>
          </w:p>
        </w:tc>
      </w:tr>
      <w:tr w:rsidR="00937698" w:rsidRPr="00871479" w14:paraId="71E1EB06" w14:textId="77777777" w:rsidTr="00871479">
        <w:trPr>
          <w:trHeight w:val="462"/>
        </w:trPr>
        <w:tc>
          <w:tcPr>
            <w:tcW w:w="4824" w:type="dxa"/>
            <w:vAlign w:val="center"/>
            <w:hideMark/>
          </w:tcPr>
          <w:p w14:paraId="7D8BEB0A" w14:textId="64B17FBB" w:rsidR="00937698" w:rsidRPr="00871479" w:rsidRDefault="00044A72" w:rsidP="00871479">
            <w:pPr>
              <w:pStyle w:val="NoSpacing"/>
              <w:rPr>
                <w:rFonts w:ascii="Times New Roman" w:hAnsi="Times New Roman" w:cs="Times New Roman"/>
                <w:sz w:val="22"/>
                <w:szCs w:val="22"/>
              </w:rPr>
            </w:pPr>
            <w:r w:rsidRPr="00871479">
              <w:rPr>
                <w:rFonts w:ascii="Times New Roman" w:hAnsi="Times New Roman" w:cs="Times New Roman"/>
                <w:b/>
                <w:bCs/>
                <w:sz w:val="22"/>
                <w:szCs w:val="22"/>
              </w:rPr>
              <w:t>TOTAL:</w:t>
            </w:r>
            <w:r w:rsidR="00937698" w:rsidRPr="00871479">
              <w:rPr>
                <w:rFonts w:ascii="Times New Roman" w:hAnsi="Times New Roman" w:cs="Times New Roman"/>
                <w:b/>
                <w:bCs/>
                <w:sz w:val="22"/>
                <w:szCs w:val="22"/>
              </w:rPr>
              <w:t xml:space="preserve"> States' share</w:t>
            </w:r>
          </w:p>
        </w:tc>
        <w:tc>
          <w:tcPr>
            <w:tcW w:w="0" w:type="auto"/>
            <w:vAlign w:val="center"/>
            <w:hideMark/>
          </w:tcPr>
          <w:p w14:paraId="7BC4DD42" w14:textId="77777777" w:rsidR="00937698" w:rsidRPr="00871479" w:rsidRDefault="00937698" w:rsidP="00871479">
            <w:pPr>
              <w:pStyle w:val="NoSpacing"/>
              <w:jc w:val="center"/>
              <w:rPr>
                <w:rFonts w:ascii="Times New Roman" w:hAnsi="Times New Roman" w:cs="Times New Roman"/>
                <w:sz w:val="22"/>
                <w:szCs w:val="22"/>
              </w:rPr>
            </w:pPr>
            <w:r w:rsidRPr="00871479">
              <w:rPr>
                <w:rFonts w:ascii="Times New Roman" w:hAnsi="Times New Roman" w:cs="Times New Roman"/>
                <w:b/>
                <w:bCs/>
                <w:sz w:val="22"/>
                <w:szCs w:val="22"/>
              </w:rPr>
              <w:t>-257.89</w:t>
            </w:r>
          </w:p>
        </w:tc>
        <w:tc>
          <w:tcPr>
            <w:tcW w:w="0" w:type="auto"/>
            <w:vAlign w:val="center"/>
            <w:hideMark/>
          </w:tcPr>
          <w:p w14:paraId="4A692C48" w14:textId="77777777" w:rsidR="00937698" w:rsidRPr="00871479" w:rsidRDefault="00937698" w:rsidP="00871479">
            <w:pPr>
              <w:pStyle w:val="NoSpacing"/>
              <w:jc w:val="center"/>
              <w:rPr>
                <w:rFonts w:ascii="Times New Roman" w:hAnsi="Times New Roman" w:cs="Times New Roman"/>
                <w:sz w:val="22"/>
                <w:szCs w:val="22"/>
              </w:rPr>
            </w:pPr>
            <w:r w:rsidRPr="00871479">
              <w:rPr>
                <w:rFonts w:ascii="Times New Roman" w:hAnsi="Times New Roman" w:cs="Times New Roman"/>
                <w:b/>
                <w:bCs/>
                <w:sz w:val="22"/>
                <w:szCs w:val="22"/>
              </w:rPr>
              <w:t>-276.05</w:t>
            </w:r>
          </w:p>
        </w:tc>
        <w:tc>
          <w:tcPr>
            <w:tcW w:w="0" w:type="auto"/>
            <w:vAlign w:val="center"/>
            <w:hideMark/>
          </w:tcPr>
          <w:p w14:paraId="3FD49103" w14:textId="77777777" w:rsidR="00937698" w:rsidRPr="00871479" w:rsidRDefault="00937698" w:rsidP="00871479">
            <w:pPr>
              <w:pStyle w:val="NoSpacing"/>
              <w:jc w:val="center"/>
              <w:rPr>
                <w:rFonts w:ascii="Times New Roman" w:hAnsi="Times New Roman" w:cs="Times New Roman"/>
                <w:sz w:val="22"/>
                <w:szCs w:val="22"/>
              </w:rPr>
            </w:pPr>
            <w:r w:rsidRPr="00871479">
              <w:rPr>
                <w:rFonts w:ascii="Times New Roman" w:hAnsi="Times New Roman" w:cs="Times New Roman"/>
                <w:b/>
                <w:bCs/>
                <w:sz w:val="22"/>
                <w:szCs w:val="22"/>
              </w:rPr>
              <w:t>-372.55</w:t>
            </w:r>
          </w:p>
        </w:tc>
        <w:tc>
          <w:tcPr>
            <w:tcW w:w="0" w:type="auto"/>
            <w:vAlign w:val="center"/>
            <w:hideMark/>
          </w:tcPr>
          <w:p w14:paraId="58CBE52C" w14:textId="77777777" w:rsidR="00937698" w:rsidRPr="00871479" w:rsidRDefault="00937698" w:rsidP="00871479">
            <w:pPr>
              <w:pStyle w:val="NoSpacing"/>
              <w:jc w:val="center"/>
              <w:rPr>
                <w:rFonts w:ascii="Times New Roman" w:hAnsi="Times New Roman" w:cs="Times New Roman"/>
                <w:sz w:val="22"/>
                <w:szCs w:val="22"/>
              </w:rPr>
            </w:pPr>
            <w:r w:rsidRPr="00871479">
              <w:rPr>
                <w:rFonts w:ascii="Times New Roman" w:hAnsi="Times New Roman" w:cs="Times New Roman"/>
                <w:b/>
                <w:bCs/>
                <w:sz w:val="22"/>
                <w:szCs w:val="22"/>
              </w:rPr>
              <w:t>-415.74</w:t>
            </w:r>
          </w:p>
        </w:tc>
        <w:tc>
          <w:tcPr>
            <w:tcW w:w="0" w:type="auto"/>
            <w:vAlign w:val="center"/>
            <w:hideMark/>
          </w:tcPr>
          <w:p w14:paraId="2123B4F5" w14:textId="77777777" w:rsidR="00937698" w:rsidRPr="00871479" w:rsidRDefault="00937698" w:rsidP="00871479">
            <w:pPr>
              <w:pStyle w:val="NoSpacing"/>
              <w:jc w:val="center"/>
              <w:rPr>
                <w:rFonts w:ascii="Times New Roman" w:hAnsi="Times New Roman" w:cs="Times New Roman"/>
                <w:sz w:val="22"/>
                <w:szCs w:val="22"/>
              </w:rPr>
            </w:pPr>
            <w:r w:rsidRPr="00871479">
              <w:rPr>
                <w:rFonts w:ascii="Times New Roman" w:hAnsi="Times New Roman" w:cs="Times New Roman"/>
                <w:b/>
                <w:bCs/>
                <w:sz w:val="22"/>
                <w:szCs w:val="22"/>
              </w:rPr>
              <w:t>-490.98</w:t>
            </w:r>
          </w:p>
        </w:tc>
      </w:tr>
      <w:tr w:rsidR="00937698" w:rsidRPr="00871479" w14:paraId="4A28EDC5" w14:textId="77777777" w:rsidTr="00871479">
        <w:trPr>
          <w:trHeight w:hRule="exact" w:val="8"/>
        </w:trPr>
        <w:tc>
          <w:tcPr>
            <w:tcW w:w="4824" w:type="dxa"/>
            <w:vAlign w:val="center"/>
            <w:hideMark/>
          </w:tcPr>
          <w:p w14:paraId="03024516" w14:textId="77777777" w:rsidR="00937698" w:rsidRPr="00871479" w:rsidRDefault="00937698" w:rsidP="00871479">
            <w:pPr>
              <w:pStyle w:val="NoSpacing"/>
              <w:rPr>
                <w:rFonts w:ascii="Times New Roman" w:hAnsi="Times New Roman" w:cs="Times New Roman"/>
                <w:sz w:val="22"/>
                <w:szCs w:val="22"/>
              </w:rPr>
            </w:pPr>
          </w:p>
        </w:tc>
        <w:tc>
          <w:tcPr>
            <w:tcW w:w="0" w:type="auto"/>
            <w:vAlign w:val="center"/>
            <w:hideMark/>
          </w:tcPr>
          <w:p w14:paraId="092112DF" w14:textId="77777777" w:rsidR="00937698" w:rsidRPr="00871479" w:rsidRDefault="00937698" w:rsidP="00871479">
            <w:pPr>
              <w:pStyle w:val="NoSpacing"/>
              <w:jc w:val="center"/>
              <w:rPr>
                <w:rFonts w:ascii="Times New Roman" w:hAnsi="Times New Roman" w:cs="Times New Roman"/>
                <w:sz w:val="22"/>
                <w:szCs w:val="22"/>
              </w:rPr>
            </w:pPr>
          </w:p>
        </w:tc>
        <w:tc>
          <w:tcPr>
            <w:tcW w:w="0" w:type="auto"/>
            <w:vAlign w:val="center"/>
            <w:hideMark/>
          </w:tcPr>
          <w:p w14:paraId="54DD9921" w14:textId="77777777" w:rsidR="00937698" w:rsidRPr="00871479" w:rsidRDefault="00937698" w:rsidP="00871479">
            <w:pPr>
              <w:pStyle w:val="NoSpacing"/>
              <w:jc w:val="center"/>
              <w:rPr>
                <w:rFonts w:ascii="Times New Roman" w:hAnsi="Times New Roman" w:cs="Times New Roman"/>
                <w:sz w:val="22"/>
                <w:szCs w:val="22"/>
              </w:rPr>
            </w:pPr>
          </w:p>
        </w:tc>
        <w:tc>
          <w:tcPr>
            <w:tcW w:w="0" w:type="auto"/>
            <w:vAlign w:val="center"/>
            <w:hideMark/>
          </w:tcPr>
          <w:p w14:paraId="54486696" w14:textId="77777777" w:rsidR="00937698" w:rsidRPr="00871479" w:rsidRDefault="00937698" w:rsidP="00871479">
            <w:pPr>
              <w:pStyle w:val="NoSpacing"/>
              <w:jc w:val="center"/>
              <w:rPr>
                <w:rFonts w:ascii="Times New Roman" w:hAnsi="Times New Roman" w:cs="Times New Roman"/>
                <w:sz w:val="22"/>
                <w:szCs w:val="22"/>
              </w:rPr>
            </w:pPr>
          </w:p>
        </w:tc>
        <w:tc>
          <w:tcPr>
            <w:tcW w:w="0" w:type="auto"/>
            <w:vAlign w:val="center"/>
            <w:hideMark/>
          </w:tcPr>
          <w:p w14:paraId="789470B7" w14:textId="77777777" w:rsidR="00937698" w:rsidRPr="00871479" w:rsidRDefault="00937698" w:rsidP="00871479">
            <w:pPr>
              <w:pStyle w:val="NoSpacing"/>
              <w:jc w:val="center"/>
              <w:rPr>
                <w:rFonts w:ascii="Times New Roman" w:hAnsi="Times New Roman" w:cs="Times New Roman"/>
                <w:sz w:val="22"/>
                <w:szCs w:val="22"/>
              </w:rPr>
            </w:pPr>
          </w:p>
        </w:tc>
        <w:tc>
          <w:tcPr>
            <w:tcW w:w="0" w:type="auto"/>
            <w:vAlign w:val="center"/>
            <w:hideMark/>
          </w:tcPr>
          <w:p w14:paraId="71B50FB8" w14:textId="77777777" w:rsidR="00937698" w:rsidRPr="00871479" w:rsidRDefault="00937698" w:rsidP="00871479">
            <w:pPr>
              <w:pStyle w:val="NoSpacing"/>
              <w:jc w:val="center"/>
              <w:rPr>
                <w:rFonts w:ascii="Times New Roman" w:hAnsi="Times New Roman" w:cs="Times New Roman"/>
                <w:sz w:val="22"/>
                <w:szCs w:val="22"/>
              </w:rPr>
            </w:pPr>
          </w:p>
        </w:tc>
      </w:tr>
      <w:tr w:rsidR="00937698" w:rsidRPr="00871479" w14:paraId="05694577" w14:textId="77777777" w:rsidTr="00871479">
        <w:trPr>
          <w:trHeight w:val="462"/>
        </w:trPr>
        <w:tc>
          <w:tcPr>
            <w:tcW w:w="4824" w:type="dxa"/>
            <w:vAlign w:val="center"/>
            <w:hideMark/>
          </w:tcPr>
          <w:p w14:paraId="1F367603" w14:textId="77777777" w:rsidR="00937698" w:rsidRPr="00871479" w:rsidRDefault="00937698" w:rsidP="00871479">
            <w:pPr>
              <w:pStyle w:val="NoSpacing"/>
              <w:rPr>
                <w:rFonts w:ascii="Times New Roman" w:hAnsi="Times New Roman" w:cs="Times New Roman"/>
                <w:sz w:val="22"/>
                <w:szCs w:val="22"/>
              </w:rPr>
            </w:pPr>
            <w:r w:rsidRPr="00871479">
              <w:rPr>
                <w:rFonts w:ascii="Times New Roman" w:hAnsi="Times New Roman" w:cs="Times New Roman"/>
                <w:b/>
                <w:bCs/>
                <w:sz w:val="22"/>
                <w:szCs w:val="22"/>
              </w:rPr>
              <w:t>Net Tax Revenue retained by the Centre</w:t>
            </w:r>
          </w:p>
        </w:tc>
        <w:tc>
          <w:tcPr>
            <w:tcW w:w="0" w:type="auto"/>
            <w:vAlign w:val="center"/>
            <w:hideMark/>
          </w:tcPr>
          <w:p w14:paraId="075A0398" w14:textId="77777777" w:rsidR="00937698" w:rsidRPr="00871479" w:rsidRDefault="00937698" w:rsidP="00871479">
            <w:pPr>
              <w:pStyle w:val="NoSpacing"/>
              <w:jc w:val="center"/>
              <w:rPr>
                <w:rFonts w:ascii="Times New Roman" w:hAnsi="Times New Roman" w:cs="Times New Roman"/>
                <w:sz w:val="22"/>
                <w:szCs w:val="22"/>
              </w:rPr>
            </w:pPr>
            <w:r w:rsidRPr="00871479">
              <w:rPr>
                <w:rFonts w:ascii="Times New Roman" w:hAnsi="Times New Roman" w:cs="Times New Roman"/>
                <w:b/>
                <w:bCs/>
                <w:sz w:val="22"/>
                <w:szCs w:val="22"/>
              </w:rPr>
              <w:t>1562.79</w:t>
            </w:r>
          </w:p>
        </w:tc>
        <w:tc>
          <w:tcPr>
            <w:tcW w:w="0" w:type="auto"/>
            <w:vAlign w:val="center"/>
            <w:hideMark/>
          </w:tcPr>
          <w:p w14:paraId="2348A208" w14:textId="77777777" w:rsidR="00937698" w:rsidRPr="00871479" w:rsidRDefault="00937698" w:rsidP="00871479">
            <w:pPr>
              <w:pStyle w:val="NoSpacing"/>
              <w:jc w:val="center"/>
              <w:rPr>
                <w:rFonts w:ascii="Times New Roman" w:hAnsi="Times New Roman" w:cs="Times New Roman"/>
                <w:sz w:val="22"/>
                <w:szCs w:val="22"/>
              </w:rPr>
            </w:pPr>
            <w:r w:rsidRPr="00871479">
              <w:rPr>
                <w:rFonts w:ascii="Times New Roman" w:hAnsi="Times New Roman" w:cs="Times New Roman"/>
                <w:b/>
                <w:bCs/>
                <w:sz w:val="22"/>
                <w:szCs w:val="22"/>
              </w:rPr>
              <w:t>1784.62</w:t>
            </w:r>
          </w:p>
        </w:tc>
        <w:tc>
          <w:tcPr>
            <w:tcW w:w="0" w:type="auto"/>
            <w:vAlign w:val="center"/>
            <w:hideMark/>
          </w:tcPr>
          <w:p w14:paraId="347CCF25" w14:textId="77777777" w:rsidR="00937698" w:rsidRPr="00871479" w:rsidRDefault="00937698" w:rsidP="00871479">
            <w:pPr>
              <w:pStyle w:val="NoSpacing"/>
              <w:jc w:val="center"/>
              <w:rPr>
                <w:rFonts w:ascii="Times New Roman" w:hAnsi="Times New Roman" w:cs="Times New Roman"/>
                <w:sz w:val="22"/>
                <w:szCs w:val="22"/>
              </w:rPr>
            </w:pPr>
            <w:r w:rsidRPr="00871479">
              <w:rPr>
                <w:rFonts w:ascii="Times New Roman" w:hAnsi="Times New Roman" w:cs="Times New Roman"/>
                <w:b/>
                <w:bCs/>
                <w:sz w:val="22"/>
                <w:szCs w:val="22"/>
              </w:rPr>
              <w:t>1933.95</w:t>
            </w:r>
          </w:p>
        </w:tc>
        <w:tc>
          <w:tcPr>
            <w:tcW w:w="0" w:type="auto"/>
            <w:vAlign w:val="center"/>
            <w:hideMark/>
          </w:tcPr>
          <w:p w14:paraId="332387CC" w14:textId="77777777" w:rsidR="00937698" w:rsidRPr="00871479" w:rsidRDefault="00937698" w:rsidP="00871479">
            <w:pPr>
              <w:pStyle w:val="NoSpacing"/>
              <w:jc w:val="center"/>
              <w:rPr>
                <w:rFonts w:ascii="Times New Roman" w:hAnsi="Times New Roman" w:cs="Times New Roman"/>
                <w:sz w:val="22"/>
                <w:szCs w:val="22"/>
              </w:rPr>
            </w:pPr>
            <w:r w:rsidRPr="00871479">
              <w:rPr>
                <w:rFonts w:ascii="Times New Roman" w:hAnsi="Times New Roman" w:cs="Times New Roman"/>
                <w:b/>
                <w:bCs/>
                <w:sz w:val="22"/>
                <w:szCs w:val="22"/>
              </w:rPr>
              <w:t>1936.67</w:t>
            </w:r>
          </w:p>
        </w:tc>
        <w:tc>
          <w:tcPr>
            <w:tcW w:w="0" w:type="auto"/>
            <w:vAlign w:val="center"/>
            <w:hideMark/>
          </w:tcPr>
          <w:p w14:paraId="751D7047" w14:textId="77777777" w:rsidR="00937698" w:rsidRPr="00871479" w:rsidRDefault="00937698" w:rsidP="00871479">
            <w:pPr>
              <w:pStyle w:val="NoSpacing"/>
              <w:jc w:val="center"/>
              <w:rPr>
                <w:rFonts w:ascii="Times New Roman" w:hAnsi="Times New Roman" w:cs="Times New Roman"/>
                <w:sz w:val="22"/>
                <w:szCs w:val="22"/>
              </w:rPr>
            </w:pPr>
            <w:r w:rsidRPr="00871479">
              <w:rPr>
                <w:rFonts w:ascii="Times New Roman" w:hAnsi="Times New Roman" w:cs="Times New Roman"/>
                <w:b/>
                <w:bCs/>
                <w:sz w:val="22"/>
                <w:szCs w:val="22"/>
              </w:rPr>
              <w:t>1998.80</w:t>
            </w:r>
          </w:p>
        </w:tc>
      </w:tr>
      <w:tr w:rsidR="00937698" w:rsidRPr="00871479" w14:paraId="3F7FC799" w14:textId="77777777" w:rsidTr="00871479">
        <w:tc>
          <w:tcPr>
            <w:tcW w:w="4824" w:type="dxa"/>
            <w:vAlign w:val="center"/>
            <w:hideMark/>
          </w:tcPr>
          <w:p w14:paraId="329A8879" w14:textId="77777777" w:rsidR="00937698" w:rsidRPr="00871479" w:rsidRDefault="00937698" w:rsidP="00871479">
            <w:pPr>
              <w:pStyle w:val="NoSpacing"/>
              <w:rPr>
                <w:rFonts w:ascii="Times New Roman" w:hAnsi="Times New Roman" w:cs="Times New Roman"/>
                <w:sz w:val="22"/>
                <w:szCs w:val="22"/>
              </w:rPr>
            </w:pPr>
          </w:p>
        </w:tc>
        <w:tc>
          <w:tcPr>
            <w:tcW w:w="0" w:type="auto"/>
            <w:vAlign w:val="center"/>
            <w:hideMark/>
          </w:tcPr>
          <w:p w14:paraId="6D72642B" w14:textId="77777777" w:rsidR="00937698" w:rsidRPr="00871479" w:rsidRDefault="00937698" w:rsidP="00871479">
            <w:pPr>
              <w:pStyle w:val="NoSpacing"/>
              <w:jc w:val="center"/>
              <w:rPr>
                <w:rFonts w:ascii="Times New Roman" w:hAnsi="Times New Roman" w:cs="Times New Roman"/>
                <w:sz w:val="22"/>
                <w:szCs w:val="22"/>
              </w:rPr>
            </w:pPr>
          </w:p>
        </w:tc>
        <w:tc>
          <w:tcPr>
            <w:tcW w:w="0" w:type="auto"/>
            <w:vAlign w:val="center"/>
            <w:hideMark/>
          </w:tcPr>
          <w:p w14:paraId="5879BA22" w14:textId="77777777" w:rsidR="00937698" w:rsidRPr="00871479" w:rsidRDefault="00937698" w:rsidP="00871479">
            <w:pPr>
              <w:pStyle w:val="NoSpacing"/>
              <w:jc w:val="center"/>
              <w:rPr>
                <w:rFonts w:ascii="Times New Roman" w:hAnsi="Times New Roman" w:cs="Times New Roman"/>
                <w:sz w:val="22"/>
                <w:szCs w:val="22"/>
              </w:rPr>
            </w:pPr>
          </w:p>
        </w:tc>
        <w:tc>
          <w:tcPr>
            <w:tcW w:w="0" w:type="auto"/>
            <w:vAlign w:val="center"/>
            <w:hideMark/>
          </w:tcPr>
          <w:p w14:paraId="50E69593" w14:textId="77777777" w:rsidR="00937698" w:rsidRPr="00871479" w:rsidRDefault="00937698" w:rsidP="00871479">
            <w:pPr>
              <w:pStyle w:val="NoSpacing"/>
              <w:jc w:val="center"/>
              <w:rPr>
                <w:rFonts w:ascii="Times New Roman" w:hAnsi="Times New Roman" w:cs="Times New Roman"/>
                <w:sz w:val="22"/>
                <w:szCs w:val="22"/>
              </w:rPr>
            </w:pPr>
          </w:p>
        </w:tc>
        <w:tc>
          <w:tcPr>
            <w:tcW w:w="0" w:type="auto"/>
            <w:vAlign w:val="center"/>
            <w:hideMark/>
          </w:tcPr>
          <w:p w14:paraId="3904FF78" w14:textId="77777777" w:rsidR="00937698" w:rsidRPr="00871479" w:rsidRDefault="00937698" w:rsidP="00871479">
            <w:pPr>
              <w:pStyle w:val="NoSpacing"/>
              <w:jc w:val="center"/>
              <w:rPr>
                <w:rFonts w:ascii="Times New Roman" w:hAnsi="Times New Roman" w:cs="Times New Roman"/>
                <w:sz w:val="22"/>
                <w:szCs w:val="22"/>
              </w:rPr>
            </w:pPr>
          </w:p>
        </w:tc>
        <w:tc>
          <w:tcPr>
            <w:tcW w:w="0" w:type="auto"/>
            <w:vAlign w:val="center"/>
            <w:hideMark/>
          </w:tcPr>
          <w:p w14:paraId="0FC97AFC" w14:textId="77777777" w:rsidR="00937698" w:rsidRPr="00871479" w:rsidRDefault="00937698" w:rsidP="00871479">
            <w:pPr>
              <w:pStyle w:val="NoSpacing"/>
              <w:jc w:val="center"/>
              <w:rPr>
                <w:rFonts w:ascii="Times New Roman" w:hAnsi="Times New Roman" w:cs="Times New Roman"/>
                <w:sz w:val="22"/>
                <w:szCs w:val="22"/>
              </w:rPr>
            </w:pPr>
          </w:p>
        </w:tc>
      </w:tr>
      <w:tr w:rsidR="00937698" w:rsidRPr="00871479" w14:paraId="6896FF8F" w14:textId="77777777" w:rsidTr="00871479">
        <w:trPr>
          <w:trHeight w:val="489"/>
        </w:trPr>
        <w:tc>
          <w:tcPr>
            <w:tcW w:w="4824" w:type="dxa"/>
            <w:vAlign w:val="center"/>
            <w:hideMark/>
          </w:tcPr>
          <w:p w14:paraId="24191F50" w14:textId="77777777" w:rsidR="00937698" w:rsidRPr="00871479" w:rsidRDefault="00937698" w:rsidP="00871479">
            <w:pPr>
              <w:pStyle w:val="NoSpacing"/>
              <w:rPr>
                <w:rFonts w:ascii="Times New Roman" w:hAnsi="Times New Roman" w:cs="Times New Roman"/>
                <w:sz w:val="22"/>
                <w:szCs w:val="22"/>
              </w:rPr>
            </w:pPr>
            <w:r w:rsidRPr="00871479">
              <w:rPr>
                <w:rFonts w:ascii="Times New Roman" w:hAnsi="Times New Roman" w:cs="Times New Roman"/>
                <w:b/>
                <w:bCs/>
                <w:sz w:val="22"/>
                <w:szCs w:val="22"/>
              </w:rPr>
              <w:t>II. Non-Tax Revenue</w:t>
            </w:r>
          </w:p>
        </w:tc>
        <w:tc>
          <w:tcPr>
            <w:tcW w:w="0" w:type="auto"/>
            <w:vAlign w:val="center"/>
            <w:hideMark/>
          </w:tcPr>
          <w:p w14:paraId="72D2F4A9" w14:textId="77777777" w:rsidR="00937698" w:rsidRPr="00871479" w:rsidRDefault="00937698" w:rsidP="00871479">
            <w:pPr>
              <w:pStyle w:val="NoSpacing"/>
              <w:jc w:val="center"/>
              <w:rPr>
                <w:rFonts w:ascii="Times New Roman" w:hAnsi="Times New Roman" w:cs="Times New Roman"/>
                <w:sz w:val="22"/>
                <w:szCs w:val="22"/>
              </w:rPr>
            </w:pPr>
          </w:p>
        </w:tc>
        <w:tc>
          <w:tcPr>
            <w:tcW w:w="0" w:type="auto"/>
            <w:vAlign w:val="center"/>
            <w:hideMark/>
          </w:tcPr>
          <w:p w14:paraId="2200E4DE" w14:textId="77777777" w:rsidR="00937698" w:rsidRPr="00871479" w:rsidRDefault="00937698" w:rsidP="00871479">
            <w:pPr>
              <w:pStyle w:val="NoSpacing"/>
              <w:jc w:val="center"/>
              <w:rPr>
                <w:rFonts w:ascii="Times New Roman" w:hAnsi="Times New Roman" w:cs="Times New Roman"/>
                <w:sz w:val="22"/>
                <w:szCs w:val="22"/>
              </w:rPr>
            </w:pPr>
          </w:p>
        </w:tc>
        <w:tc>
          <w:tcPr>
            <w:tcW w:w="0" w:type="auto"/>
            <w:vAlign w:val="center"/>
            <w:hideMark/>
          </w:tcPr>
          <w:p w14:paraId="1758DAAA" w14:textId="77777777" w:rsidR="00937698" w:rsidRPr="00871479" w:rsidRDefault="00937698" w:rsidP="00871479">
            <w:pPr>
              <w:pStyle w:val="NoSpacing"/>
              <w:jc w:val="center"/>
              <w:rPr>
                <w:rFonts w:ascii="Times New Roman" w:hAnsi="Times New Roman" w:cs="Times New Roman"/>
                <w:sz w:val="22"/>
                <w:szCs w:val="22"/>
              </w:rPr>
            </w:pPr>
          </w:p>
        </w:tc>
        <w:tc>
          <w:tcPr>
            <w:tcW w:w="0" w:type="auto"/>
            <w:vAlign w:val="center"/>
            <w:hideMark/>
          </w:tcPr>
          <w:p w14:paraId="46C96035" w14:textId="77777777" w:rsidR="00937698" w:rsidRPr="00871479" w:rsidRDefault="00937698" w:rsidP="00871479">
            <w:pPr>
              <w:pStyle w:val="NoSpacing"/>
              <w:jc w:val="center"/>
              <w:rPr>
                <w:rFonts w:ascii="Times New Roman" w:hAnsi="Times New Roman" w:cs="Times New Roman"/>
                <w:sz w:val="22"/>
                <w:szCs w:val="22"/>
              </w:rPr>
            </w:pPr>
          </w:p>
        </w:tc>
        <w:tc>
          <w:tcPr>
            <w:tcW w:w="0" w:type="auto"/>
            <w:vAlign w:val="center"/>
            <w:hideMark/>
          </w:tcPr>
          <w:p w14:paraId="367CB0CA" w14:textId="77777777" w:rsidR="00937698" w:rsidRPr="00871479" w:rsidRDefault="00937698" w:rsidP="00871479">
            <w:pPr>
              <w:pStyle w:val="NoSpacing"/>
              <w:jc w:val="center"/>
              <w:rPr>
                <w:rFonts w:ascii="Times New Roman" w:hAnsi="Times New Roman" w:cs="Times New Roman"/>
                <w:sz w:val="22"/>
                <w:szCs w:val="22"/>
              </w:rPr>
            </w:pPr>
          </w:p>
        </w:tc>
      </w:tr>
      <w:tr w:rsidR="00937698" w:rsidRPr="00871479" w14:paraId="734D913E" w14:textId="77777777" w:rsidTr="00871479">
        <w:trPr>
          <w:trHeight w:val="462"/>
        </w:trPr>
        <w:tc>
          <w:tcPr>
            <w:tcW w:w="4824" w:type="dxa"/>
            <w:vAlign w:val="center"/>
            <w:hideMark/>
          </w:tcPr>
          <w:p w14:paraId="03D70A69" w14:textId="77777777" w:rsidR="00937698" w:rsidRPr="00871479" w:rsidRDefault="00937698" w:rsidP="00871479">
            <w:pPr>
              <w:pStyle w:val="NoSpacing"/>
              <w:rPr>
                <w:rFonts w:ascii="Times New Roman" w:hAnsi="Times New Roman" w:cs="Times New Roman"/>
                <w:sz w:val="22"/>
                <w:szCs w:val="22"/>
              </w:rPr>
            </w:pPr>
            <w:r w:rsidRPr="00871479">
              <w:rPr>
                <w:rFonts w:ascii="Times New Roman" w:hAnsi="Times New Roman" w:cs="Times New Roman"/>
                <w:sz w:val="22"/>
                <w:szCs w:val="22"/>
              </w:rPr>
              <w:t>8. Debt services</w:t>
            </w:r>
          </w:p>
        </w:tc>
        <w:tc>
          <w:tcPr>
            <w:tcW w:w="0" w:type="auto"/>
            <w:vAlign w:val="center"/>
            <w:hideMark/>
          </w:tcPr>
          <w:p w14:paraId="6BB7227A" w14:textId="77777777" w:rsidR="00937698" w:rsidRPr="00871479" w:rsidRDefault="00937698" w:rsidP="00871479">
            <w:pPr>
              <w:pStyle w:val="NoSpacing"/>
              <w:jc w:val="center"/>
              <w:rPr>
                <w:rFonts w:ascii="Times New Roman" w:hAnsi="Times New Roman" w:cs="Times New Roman"/>
                <w:sz w:val="22"/>
                <w:szCs w:val="22"/>
              </w:rPr>
            </w:pPr>
            <w:r w:rsidRPr="00871479">
              <w:rPr>
                <w:rFonts w:ascii="Times New Roman" w:hAnsi="Times New Roman" w:cs="Times New Roman"/>
                <w:sz w:val="22"/>
                <w:szCs w:val="22"/>
              </w:rPr>
              <w:t>257.29</w:t>
            </w:r>
          </w:p>
        </w:tc>
        <w:tc>
          <w:tcPr>
            <w:tcW w:w="0" w:type="auto"/>
            <w:vAlign w:val="center"/>
            <w:hideMark/>
          </w:tcPr>
          <w:p w14:paraId="6BB29555" w14:textId="77777777" w:rsidR="00937698" w:rsidRPr="00871479" w:rsidRDefault="00937698" w:rsidP="00871479">
            <w:pPr>
              <w:pStyle w:val="NoSpacing"/>
              <w:jc w:val="center"/>
              <w:rPr>
                <w:rFonts w:ascii="Times New Roman" w:hAnsi="Times New Roman" w:cs="Times New Roman"/>
                <w:sz w:val="22"/>
                <w:szCs w:val="22"/>
              </w:rPr>
            </w:pPr>
            <w:r w:rsidRPr="00871479">
              <w:rPr>
                <w:rFonts w:ascii="Times New Roman" w:hAnsi="Times New Roman" w:cs="Times New Roman"/>
                <w:sz w:val="22"/>
                <w:szCs w:val="22"/>
              </w:rPr>
              <w:t>307.67</w:t>
            </w:r>
          </w:p>
        </w:tc>
        <w:tc>
          <w:tcPr>
            <w:tcW w:w="0" w:type="auto"/>
            <w:vAlign w:val="center"/>
            <w:hideMark/>
          </w:tcPr>
          <w:p w14:paraId="3D17D730" w14:textId="77777777" w:rsidR="00937698" w:rsidRPr="00871479" w:rsidRDefault="00937698" w:rsidP="00871479">
            <w:pPr>
              <w:pStyle w:val="NoSpacing"/>
              <w:jc w:val="center"/>
              <w:rPr>
                <w:rFonts w:ascii="Times New Roman" w:hAnsi="Times New Roman" w:cs="Times New Roman"/>
                <w:sz w:val="22"/>
                <w:szCs w:val="22"/>
              </w:rPr>
            </w:pPr>
            <w:r w:rsidRPr="00871479">
              <w:rPr>
                <w:rFonts w:ascii="Times New Roman" w:hAnsi="Times New Roman" w:cs="Times New Roman"/>
                <w:sz w:val="22"/>
                <w:szCs w:val="22"/>
              </w:rPr>
              <w:t>377.48</w:t>
            </w:r>
          </w:p>
        </w:tc>
        <w:tc>
          <w:tcPr>
            <w:tcW w:w="0" w:type="auto"/>
            <w:vAlign w:val="center"/>
            <w:hideMark/>
          </w:tcPr>
          <w:p w14:paraId="56A72946" w14:textId="77777777" w:rsidR="00937698" w:rsidRPr="00871479" w:rsidRDefault="00937698" w:rsidP="00871479">
            <w:pPr>
              <w:pStyle w:val="NoSpacing"/>
              <w:jc w:val="center"/>
              <w:rPr>
                <w:rFonts w:ascii="Times New Roman" w:hAnsi="Times New Roman" w:cs="Times New Roman"/>
                <w:sz w:val="22"/>
                <w:szCs w:val="22"/>
              </w:rPr>
            </w:pPr>
            <w:r w:rsidRPr="00871479">
              <w:rPr>
                <w:rFonts w:ascii="Times New Roman" w:hAnsi="Times New Roman" w:cs="Times New Roman"/>
                <w:sz w:val="22"/>
                <w:szCs w:val="22"/>
              </w:rPr>
              <w:t>425.38</w:t>
            </w:r>
          </w:p>
        </w:tc>
        <w:tc>
          <w:tcPr>
            <w:tcW w:w="0" w:type="auto"/>
            <w:vAlign w:val="center"/>
            <w:hideMark/>
          </w:tcPr>
          <w:p w14:paraId="65E73E4A" w14:textId="77777777" w:rsidR="00937698" w:rsidRPr="00871479" w:rsidRDefault="00937698" w:rsidP="00871479">
            <w:pPr>
              <w:pStyle w:val="NoSpacing"/>
              <w:jc w:val="center"/>
              <w:rPr>
                <w:rFonts w:ascii="Times New Roman" w:hAnsi="Times New Roman" w:cs="Times New Roman"/>
                <w:sz w:val="22"/>
                <w:szCs w:val="22"/>
              </w:rPr>
            </w:pPr>
            <w:r w:rsidRPr="00871479">
              <w:rPr>
                <w:rFonts w:ascii="Times New Roman" w:hAnsi="Times New Roman" w:cs="Times New Roman"/>
                <w:sz w:val="22"/>
                <w:szCs w:val="22"/>
              </w:rPr>
              <w:t>496.03</w:t>
            </w:r>
          </w:p>
        </w:tc>
      </w:tr>
      <w:tr w:rsidR="00937698" w:rsidRPr="00871479" w14:paraId="749F4E9B" w14:textId="77777777" w:rsidTr="00871479">
        <w:trPr>
          <w:trHeight w:val="489"/>
        </w:trPr>
        <w:tc>
          <w:tcPr>
            <w:tcW w:w="4824" w:type="dxa"/>
            <w:vAlign w:val="center"/>
            <w:hideMark/>
          </w:tcPr>
          <w:p w14:paraId="01C9FB1A" w14:textId="77777777" w:rsidR="00937698" w:rsidRPr="00871479" w:rsidRDefault="00937698" w:rsidP="00871479">
            <w:pPr>
              <w:pStyle w:val="NoSpacing"/>
              <w:rPr>
                <w:rFonts w:ascii="Times New Roman" w:hAnsi="Times New Roman" w:cs="Times New Roman"/>
                <w:sz w:val="22"/>
                <w:szCs w:val="22"/>
              </w:rPr>
            </w:pPr>
            <w:r w:rsidRPr="00871479">
              <w:rPr>
                <w:rFonts w:ascii="Times New Roman" w:hAnsi="Times New Roman" w:cs="Times New Roman"/>
                <w:sz w:val="22"/>
                <w:szCs w:val="22"/>
              </w:rPr>
              <w:t>9. Administrative services</w:t>
            </w:r>
          </w:p>
        </w:tc>
        <w:tc>
          <w:tcPr>
            <w:tcW w:w="0" w:type="auto"/>
            <w:vAlign w:val="center"/>
            <w:hideMark/>
          </w:tcPr>
          <w:p w14:paraId="3CB2C66C" w14:textId="77777777" w:rsidR="00937698" w:rsidRPr="00871479" w:rsidRDefault="00937698" w:rsidP="00871479">
            <w:pPr>
              <w:pStyle w:val="NoSpacing"/>
              <w:jc w:val="center"/>
              <w:rPr>
                <w:rFonts w:ascii="Times New Roman" w:hAnsi="Times New Roman" w:cs="Times New Roman"/>
                <w:sz w:val="22"/>
                <w:szCs w:val="22"/>
              </w:rPr>
            </w:pPr>
            <w:r w:rsidRPr="00871479">
              <w:rPr>
                <w:rFonts w:ascii="Times New Roman" w:hAnsi="Times New Roman" w:cs="Times New Roman"/>
                <w:sz w:val="22"/>
                <w:szCs w:val="22"/>
              </w:rPr>
              <w:t>8.85</w:t>
            </w:r>
          </w:p>
        </w:tc>
        <w:tc>
          <w:tcPr>
            <w:tcW w:w="0" w:type="auto"/>
            <w:vAlign w:val="center"/>
            <w:hideMark/>
          </w:tcPr>
          <w:p w14:paraId="3172FCFF" w14:textId="77777777" w:rsidR="00937698" w:rsidRPr="00871479" w:rsidRDefault="00937698" w:rsidP="00871479">
            <w:pPr>
              <w:pStyle w:val="NoSpacing"/>
              <w:jc w:val="center"/>
              <w:rPr>
                <w:rFonts w:ascii="Times New Roman" w:hAnsi="Times New Roman" w:cs="Times New Roman"/>
                <w:sz w:val="22"/>
                <w:szCs w:val="22"/>
              </w:rPr>
            </w:pPr>
            <w:r w:rsidRPr="00871479">
              <w:rPr>
                <w:rFonts w:ascii="Times New Roman" w:hAnsi="Times New Roman" w:cs="Times New Roman"/>
                <w:sz w:val="22"/>
                <w:szCs w:val="22"/>
              </w:rPr>
              <w:t>9.25</w:t>
            </w:r>
          </w:p>
        </w:tc>
        <w:tc>
          <w:tcPr>
            <w:tcW w:w="0" w:type="auto"/>
            <w:vAlign w:val="center"/>
            <w:hideMark/>
          </w:tcPr>
          <w:p w14:paraId="2360925D" w14:textId="77777777" w:rsidR="00937698" w:rsidRPr="00871479" w:rsidRDefault="00937698" w:rsidP="00871479">
            <w:pPr>
              <w:pStyle w:val="NoSpacing"/>
              <w:jc w:val="center"/>
              <w:rPr>
                <w:rFonts w:ascii="Times New Roman" w:hAnsi="Times New Roman" w:cs="Times New Roman"/>
                <w:sz w:val="22"/>
                <w:szCs w:val="22"/>
              </w:rPr>
            </w:pPr>
            <w:r w:rsidRPr="00871479">
              <w:rPr>
                <w:rFonts w:ascii="Times New Roman" w:hAnsi="Times New Roman" w:cs="Times New Roman"/>
                <w:sz w:val="22"/>
                <w:szCs w:val="22"/>
              </w:rPr>
              <w:t>10.64</w:t>
            </w:r>
          </w:p>
        </w:tc>
        <w:tc>
          <w:tcPr>
            <w:tcW w:w="0" w:type="auto"/>
            <w:vAlign w:val="center"/>
            <w:hideMark/>
          </w:tcPr>
          <w:p w14:paraId="4ADBB773" w14:textId="77777777" w:rsidR="00937698" w:rsidRPr="00871479" w:rsidRDefault="00937698" w:rsidP="00871479">
            <w:pPr>
              <w:pStyle w:val="NoSpacing"/>
              <w:jc w:val="center"/>
              <w:rPr>
                <w:rFonts w:ascii="Times New Roman" w:hAnsi="Times New Roman" w:cs="Times New Roman"/>
                <w:sz w:val="22"/>
                <w:szCs w:val="22"/>
              </w:rPr>
            </w:pPr>
            <w:r w:rsidRPr="00871479">
              <w:rPr>
                <w:rFonts w:ascii="Times New Roman" w:hAnsi="Times New Roman" w:cs="Times New Roman"/>
                <w:sz w:val="22"/>
                <w:szCs w:val="22"/>
              </w:rPr>
              <w:t>10.22</w:t>
            </w:r>
          </w:p>
        </w:tc>
        <w:tc>
          <w:tcPr>
            <w:tcW w:w="0" w:type="auto"/>
            <w:vAlign w:val="center"/>
            <w:hideMark/>
          </w:tcPr>
          <w:p w14:paraId="6A19A36C" w14:textId="77777777" w:rsidR="00937698" w:rsidRPr="00871479" w:rsidRDefault="00937698" w:rsidP="00871479">
            <w:pPr>
              <w:pStyle w:val="NoSpacing"/>
              <w:jc w:val="center"/>
              <w:rPr>
                <w:rFonts w:ascii="Times New Roman" w:hAnsi="Times New Roman" w:cs="Times New Roman"/>
                <w:sz w:val="22"/>
                <w:szCs w:val="22"/>
              </w:rPr>
            </w:pPr>
            <w:r w:rsidRPr="00871479">
              <w:rPr>
                <w:rFonts w:ascii="Times New Roman" w:hAnsi="Times New Roman" w:cs="Times New Roman"/>
                <w:sz w:val="22"/>
                <w:szCs w:val="22"/>
              </w:rPr>
              <w:t>9.78</w:t>
            </w:r>
          </w:p>
        </w:tc>
      </w:tr>
      <w:tr w:rsidR="00937698" w:rsidRPr="00871479" w14:paraId="0627570D" w14:textId="77777777" w:rsidTr="00871479">
        <w:trPr>
          <w:trHeight w:val="462"/>
        </w:trPr>
        <w:tc>
          <w:tcPr>
            <w:tcW w:w="4824" w:type="dxa"/>
            <w:vAlign w:val="center"/>
            <w:hideMark/>
          </w:tcPr>
          <w:p w14:paraId="1E97917D" w14:textId="77777777" w:rsidR="00937698" w:rsidRPr="00871479" w:rsidRDefault="00937698" w:rsidP="00871479">
            <w:pPr>
              <w:pStyle w:val="NoSpacing"/>
              <w:rPr>
                <w:rFonts w:ascii="Times New Roman" w:hAnsi="Times New Roman" w:cs="Times New Roman"/>
                <w:sz w:val="22"/>
                <w:szCs w:val="22"/>
              </w:rPr>
            </w:pPr>
            <w:r w:rsidRPr="00871479">
              <w:rPr>
                <w:rFonts w:ascii="Times New Roman" w:hAnsi="Times New Roman" w:cs="Times New Roman"/>
                <w:sz w:val="22"/>
                <w:szCs w:val="22"/>
              </w:rPr>
              <w:t>10. Social and Developmental services</w:t>
            </w:r>
          </w:p>
        </w:tc>
        <w:tc>
          <w:tcPr>
            <w:tcW w:w="0" w:type="auto"/>
            <w:vAlign w:val="center"/>
            <w:hideMark/>
          </w:tcPr>
          <w:p w14:paraId="37B52195" w14:textId="77777777" w:rsidR="00937698" w:rsidRPr="00871479" w:rsidRDefault="00937698" w:rsidP="00871479">
            <w:pPr>
              <w:pStyle w:val="NoSpacing"/>
              <w:jc w:val="center"/>
              <w:rPr>
                <w:rFonts w:ascii="Times New Roman" w:hAnsi="Times New Roman" w:cs="Times New Roman"/>
                <w:sz w:val="22"/>
                <w:szCs w:val="22"/>
              </w:rPr>
            </w:pPr>
            <w:r w:rsidRPr="00871479">
              <w:rPr>
                <w:rFonts w:ascii="Times New Roman" w:hAnsi="Times New Roman" w:cs="Times New Roman"/>
                <w:sz w:val="22"/>
                <w:szCs w:val="22"/>
              </w:rPr>
              <w:t>27.86</w:t>
            </w:r>
          </w:p>
        </w:tc>
        <w:tc>
          <w:tcPr>
            <w:tcW w:w="0" w:type="auto"/>
            <w:vAlign w:val="center"/>
            <w:hideMark/>
          </w:tcPr>
          <w:p w14:paraId="3AD61B4F" w14:textId="77777777" w:rsidR="00937698" w:rsidRPr="00871479" w:rsidRDefault="00937698" w:rsidP="00871479">
            <w:pPr>
              <w:pStyle w:val="NoSpacing"/>
              <w:jc w:val="center"/>
              <w:rPr>
                <w:rFonts w:ascii="Times New Roman" w:hAnsi="Times New Roman" w:cs="Times New Roman"/>
                <w:sz w:val="22"/>
                <w:szCs w:val="22"/>
              </w:rPr>
            </w:pPr>
            <w:r w:rsidRPr="00871479">
              <w:rPr>
                <w:rFonts w:ascii="Times New Roman" w:hAnsi="Times New Roman" w:cs="Times New Roman"/>
                <w:sz w:val="22"/>
                <w:szCs w:val="22"/>
              </w:rPr>
              <w:t>19.38</w:t>
            </w:r>
          </w:p>
        </w:tc>
        <w:tc>
          <w:tcPr>
            <w:tcW w:w="0" w:type="auto"/>
            <w:vAlign w:val="center"/>
            <w:hideMark/>
          </w:tcPr>
          <w:p w14:paraId="42E278CB" w14:textId="77777777" w:rsidR="00937698" w:rsidRPr="00871479" w:rsidRDefault="00937698" w:rsidP="00871479">
            <w:pPr>
              <w:pStyle w:val="NoSpacing"/>
              <w:jc w:val="center"/>
              <w:rPr>
                <w:rFonts w:ascii="Times New Roman" w:hAnsi="Times New Roman" w:cs="Times New Roman"/>
                <w:sz w:val="22"/>
                <w:szCs w:val="22"/>
              </w:rPr>
            </w:pPr>
            <w:r w:rsidRPr="00871479">
              <w:rPr>
                <w:rFonts w:ascii="Times New Roman" w:hAnsi="Times New Roman" w:cs="Times New Roman"/>
                <w:sz w:val="22"/>
                <w:szCs w:val="22"/>
              </w:rPr>
              <w:t>22.53</w:t>
            </w:r>
          </w:p>
        </w:tc>
        <w:tc>
          <w:tcPr>
            <w:tcW w:w="0" w:type="auto"/>
            <w:vAlign w:val="center"/>
            <w:hideMark/>
          </w:tcPr>
          <w:p w14:paraId="0540EE73" w14:textId="77777777" w:rsidR="00937698" w:rsidRPr="00871479" w:rsidRDefault="00937698" w:rsidP="00871479">
            <w:pPr>
              <w:pStyle w:val="NoSpacing"/>
              <w:jc w:val="center"/>
              <w:rPr>
                <w:rFonts w:ascii="Times New Roman" w:hAnsi="Times New Roman" w:cs="Times New Roman"/>
                <w:sz w:val="22"/>
                <w:szCs w:val="22"/>
              </w:rPr>
            </w:pPr>
            <w:r w:rsidRPr="00871479">
              <w:rPr>
                <w:rFonts w:ascii="Times New Roman" w:hAnsi="Times New Roman" w:cs="Times New Roman"/>
                <w:sz w:val="22"/>
                <w:szCs w:val="22"/>
              </w:rPr>
              <w:t>29.89</w:t>
            </w:r>
          </w:p>
        </w:tc>
        <w:tc>
          <w:tcPr>
            <w:tcW w:w="0" w:type="auto"/>
            <w:vAlign w:val="center"/>
            <w:hideMark/>
          </w:tcPr>
          <w:p w14:paraId="27085811" w14:textId="77777777" w:rsidR="00937698" w:rsidRPr="00871479" w:rsidRDefault="00937698" w:rsidP="00871479">
            <w:pPr>
              <w:pStyle w:val="NoSpacing"/>
              <w:jc w:val="center"/>
              <w:rPr>
                <w:rFonts w:ascii="Times New Roman" w:hAnsi="Times New Roman" w:cs="Times New Roman"/>
                <w:sz w:val="22"/>
                <w:szCs w:val="22"/>
              </w:rPr>
            </w:pPr>
            <w:r w:rsidRPr="00871479">
              <w:rPr>
                <w:rFonts w:ascii="Times New Roman" w:hAnsi="Times New Roman" w:cs="Times New Roman"/>
                <w:sz w:val="22"/>
                <w:szCs w:val="22"/>
              </w:rPr>
              <w:t>30.47</w:t>
            </w:r>
          </w:p>
        </w:tc>
      </w:tr>
      <w:tr w:rsidR="00937698" w:rsidRPr="00871479" w14:paraId="627C4DE2" w14:textId="77777777" w:rsidTr="00871479">
        <w:trPr>
          <w:trHeight w:val="489"/>
        </w:trPr>
        <w:tc>
          <w:tcPr>
            <w:tcW w:w="4824" w:type="dxa"/>
            <w:vAlign w:val="center"/>
            <w:hideMark/>
          </w:tcPr>
          <w:p w14:paraId="2E433D27" w14:textId="77777777" w:rsidR="00937698" w:rsidRPr="00871479" w:rsidRDefault="00937698" w:rsidP="00871479">
            <w:pPr>
              <w:pStyle w:val="NoSpacing"/>
              <w:rPr>
                <w:rFonts w:ascii="Times New Roman" w:hAnsi="Times New Roman" w:cs="Times New Roman"/>
                <w:sz w:val="22"/>
                <w:szCs w:val="22"/>
              </w:rPr>
            </w:pPr>
            <w:r w:rsidRPr="00871479">
              <w:rPr>
                <w:rFonts w:ascii="Times New Roman" w:hAnsi="Times New Roman" w:cs="Times New Roman"/>
                <w:sz w:val="22"/>
                <w:szCs w:val="22"/>
              </w:rPr>
              <w:t>11. Transport &amp; Communications</w:t>
            </w:r>
          </w:p>
        </w:tc>
        <w:tc>
          <w:tcPr>
            <w:tcW w:w="0" w:type="auto"/>
            <w:vAlign w:val="center"/>
            <w:hideMark/>
          </w:tcPr>
          <w:p w14:paraId="648DDA2E" w14:textId="77777777" w:rsidR="00937698" w:rsidRPr="00871479" w:rsidRDefault="00937698" w:rsidP="00871479">
            <w:pPr>
              <w:pStyle w:val="NoSpacing"/>
              <w:jc w:val="center"/>
              <w:rPr>
                <w:rFonts w:ascii="Times New Roman" w:hAnsi="Times New Roman" w:cs="Times New Roman"/>
                <w:sz w:val="22"/>
                <w:szCs w:val="22"/>
              </w:rPr>
            </w:pPr>
            <w:r w:rsidRPr="00871479">
              <w:rPr>
                <w:rFonts w:ascii="Times New Roman" w:hAnsi="Times New Roman" w:cs="Times New Roman"/>
                <w:sz w:val="22"/>
                <w:szCs w:val="22"/>
              </w:rPr>
              <w:t>7.47</w:t>
            </w:r>
          </w:p>
        </w:tc>
        <w:tc>
          <w:tcPr>
            <w:tcW w:w="0" w:type="auto"/>
            <w:vAlign w:val="center"/>
            <w:hideMark/>
          </w:tcPr>
          <w:p w14:paraId="30F80ED2" w14:textId="77777777" w:rsidR="00937698" w:rsidRPr="00871479" w:rsidRDefault="00937698" w:rsidP="00871479">
            <w:pPr>
              <w:pStyle w:val="NoSpacing"/>
              <w:jc w:val="center"/>
              <w:rPr>
                <w:rFonts w:ascii="Times New Roman" w:hAnsi="Times New Roman" w:cs="Times New Roman"/>
                <w:sz w:val="22"/>
                <w:szCs w:val="22"/>
              </w:rPr>
            </w:pPr>
            <w:r w:rsidRPr="00871479">
              <w:rPr>
                <w:rFonts w:ascii="Times New Roman" w:hAnsi="Times New Roman" w:cs="Times New Roman"/>
                <w:sz w:val="22"/>
                <w:szCs w:val="22"/>
              </w:rPr>
              <w:t>7.73</w:t>
            </w:r>
          </w:p>
        </w:tc>
        <w:tc>
          <w:tcPr>
            <w:tcW w:w="0" w:type="auto"/>
            <w:vAlign w:val="center"/>
            <w:hideMark/>
          </w:tcPr>
          <w:p w14:paraId="375D6EA6" w14:textId="77777777" w:rsidR="00937698" w:rsidRPr="00871479" w:rsidRDefault="00937698" w:rsidP="00871479">
            <w:pPr>
              <w:pStyle w:val="NoSpacing"/>
              <w:jc w:val="center"/>
              <w:rPr>
                <w:rFonts w:ascii="Times New Roman" w:hAnsi="Times New Roman" w:cs="Times New Roman"/>
                <w:sz w:val="22"/>
                <w:szCs w:val="22"/>
              </w:rPr>
            </w:pPr>
            <w:r w:rsidRPr="00871479">
              <w:rPr>
                <w:rFonts w:ascii="Times New Roman" w:hAnsi="Times New Roman" w:cs="Times New Roman"/>
                <w:sz w:val="22"/>
                <w:szCs w:val="22"/>
              </w:rPr>
              <w:t>9.14</w:t>
            </w:r>
          </w:p>
        </w:tc>
        <w:tc>
          <w:tcPr>
            <w:tcW w:w="0" w:type="auto"/>
            <w:vAlign w:val="center"/>
            <w:hideMark/>
          </w:tcPr>
          <w:p w14:paraId="166AA069" w14:textId="77777777" w:rsidR="00937698" w:rsidRPr="00871479" w:rsidRDefault="00937698" w:rsidP="00871479">
            <w:pPr>
              <w:pStyle w:val="NoSpacing"/>
              <w:jc w:val="center"/>
              <w:rPr>
                <w:rFonts w:ascii="Times New Roman" w:hAnsi="Times New Roman" w:cs="Times New Roman"/>
                <w:sz w:val="22"/>
                <w:szCs w:val="22"/>
              </w:rPr>
            </w:pPr>
            <w:r w:rsidRPr="00871479">
              <w:rPr>
                <w:rFonts w:ascii="Times New Roman" w:hAnsi="Times New Roman" w:cs="Times New Roman"/>
                <w:sz w:val="22"/>
                <w:szCs w:val="22"/>
              </w:rPr>
              <w:t>10.51</w:t>
            </w:r>
          </w:p>
        </w:tc>
        <w:tc>
          <w:tcPr>
            <w:tcW w:w="0" w:type="auto"/>
            <w:vAlign w:val="center"/>
            <w:hideMark/>
          </w:tcPr>
          <w:p w14:paraId="1398A846" w14:textId="77777777" w:rsidR="00937698" w:rsidRPr="00871479" w:rsidRDefault="00937698" w:rsidP="00871479">
            <w:pPr>
              <w:pStyle w:val="NoSpacing"/>
              <w:jc w:val="center"/>
              <w:rPr>
                <w:rFonts w:ascii="Times New Roman" w:hAnsi="Times New Roman" w:cs="Times New Roman"/>
                <w:sz w:val="22"/>
                <w:szCs w:val="22"/>
              </w:rPr>
            </w:pPr>
            <w:r w:rsidRPr="00871479">
              <w:rPr>
                <w:rFonts w:ascii="Times New Roman" w:hAnsi="Times New Roman" w:cs="Times New Roman"/>
                <w:sz w:val="22"/>
                <w:szCs w:val="22"/>
              </w:rPr>
              <w:t>11.88</w:t>
            </w:r>
          </w:p>
        </w:tc>
      </w:tr>
      <w:tr w:rsidR="00937698" w:rsidRPr="00871479" w14:paraId="78D592E7" w14:textId="77777777" w:rsidTr="00871479">
        <w:trPr>
          <w:trHeight w:val="489"/>
        </w:trPr>
        <w:tc>
          <w:tcPr>
            <w:tcW w:w="4824" w:type="dxa"/>
            <w:vAlign w:val="center"/>
            <w:hideMark/>
          </w:tcPr>
          <w:p w14:paraId="55C4C9BE" w14:textId="77777777" w:rsidR="00937698" w:rsidRPr="00871479" w:rsidRDefault="00937698" w:rsidP="00871479">
            <w:pPr>
              <w:pStyle w:val="NoSpacing"/>
              <w:rPr>
                <w:rFonts w:ascii="Times New Roman" w:hAnsi="Times New Roman" w:cs="Times New Roman"/>
                <w:sz w:val="22"/>
                <w:szCs w:val="22"/>
              </w:rPr>
            </w:pPr>
            <w:r w:rsidRPr="00871479">
              <w:rPr>
                <w:rFonts w:ascii="Times New Roman" w:hAnsi="Times New Roman" w:cs="Times New Roman"/>
                <w:sz w:val="22"/>
                <w:szCs w:val="22"/>
              </w:rPr>
              <w:t>12. Currency and Mint</w:t>
            </w:r>
          </w:p>
        </w:tc>
        <w:tc>
          <w:tcPr>
            <w:tcW w:w="0" w:type="auto"/>
            <w:vAlign w:val="center"/>
            <w:hideMark/>
          </w:tcPr>
          <w:p w14:paraId="797C546A" w14:textId="77777777" w:rsidR="00937698" w:rsidRPr="00871479" w:rsidRDefault="00937698" w:rsidP="00871479">
            <w:pPr>
              <w:pStyle w:val="NoSpacing"/>
              <w:jc w:val="center"/>
              <w:rPr>
                <w:rFonts w:ascii="Times New Roman" w:hAnsi="Times New Roman" w:cs="Times New Roman"/>
                <w:sz w:val="22"/>
                <w:szCs w:val="22"/>
              </w:rPr>
            </w:pPr>
            <w:r w:rsidRPr="00871479">
              <w:rPr>
                <w:rFonts w:ascii="Times New Roman" w:hAnsi="Times New Roman" w:cs="Times New Roman"/>
                <w:sz w:val="22"/>
                <w:szCs w:val="22"/>
              </w:rPr>
              <w:t>53.72</w:t>
            </w:r>
          </w:p>
        </w:tc>
        <w:tc>
          <w:tcPr>
            <w:tcW w:w="0" w:type="auto"/>
            <w:vAlign w:val="center"/>
            <w:hideMark/>
          </w:tcPr>
          <w:p w14:paraId="31BF50E8" w14:textId="77777777" w:rsidR="00937698" w:rsidRPr="00871479" w:rsidRDefault="00937698" w:rsidP="00871479">
            <w:pPr>
              <w:pStyle w:val="NoSpacing"/>
              <w:jc w:val="center"/>
              <w:rPr>
                <w:rFonts w:ascii="Times New Roman" w:hAnsi="Times New Roman" w:cs="Times New Roman"/>
                <w:sz w:val="22"/>
                <w:szCs w:val="22"/>
              </w:rPr>
            </w:pPr>
            <w:r w:rsidRPr="00871479">
              <w:rPr>
                <w:rFonts w:ascii="Times New Roman" w:hAnsi="Times New Roman" w:cs="Times New Roman"/>
                <w:sz w:val="22"/>
                <w:szCs w:val="22"/>
              </w:rPr>
              <w:t>63.67</w:t>
            </w:r>
          </w:p>
        </w:tc>
        <w:tc>
          <w:tcPr>
            <w:tcW w:w="0" w:type="auto"/>
            <w:vAlign w:val="center"/>
            <w:hideMark/>
          </w:tcPr>
          <w:p w14:paraId="138FAB6D" w14:textId="77777777" w:rsidR="00937698" w:rsidRPr="00871479" w:rsidRDefault="00937698" w:rsidP="00871479">
            <w:pPr>
              <w:pStyle w:val="NoSpacing"/>
              <w:jc w:val="center"/>
              <w:rPr>
                <w:rFonts w:ascii="Times New Roman" w:hAnsi="Times New Roman" w:cs="Times New Roman"/>
                <w:sz w:val="22"/>
                <w:szCs w:val="22"/>
              </w:rPr>
            </w:pPr>
            <w:r w:rsidRPr="00871479">
              <w:rPr>
                <w:rFonts w:ascii="Times New Roman" w:hAnsi="Times New Roman" w:cs="Times New Roman"/>
                <w:sz w:val="22"/>
                <w:szCs w:val="22"/>
              </w:rPr>
              <w:t>68.30</w:t>
            </w:r>
          </w:p>
        </w:tc>
        <w:tc>
          <w:tcPr>
            <w:tcW w:w="0" w:type="auto"/>
            <w:vAlign w:val="center"/>
            <w:hideMark/>
          </w:tcPr>
          <w:p w14:paraId="09B03198" w14:textId="77777777" w:rsidR="00937698" w:rsidRPr="00871479" w:rsidRDefault="00937698" w:rsidP="00871479">
            <w:pPr>
              <w:pStyle w:val="NoSpacing"/>
              <w:jc w:val="center"/>
              <w:rPr>
                <w:rFonts w:ascii="Times New Roman" w:hAnsi="Times New Roman" w:cs="Times New Roman"/>
                <w:sz w:val="22"/>
                <w:szCs w:val="22"/>
              </w:rPr>
            </w:pPr>
            <w:r w:rsidRPr="00871479">
              <w:rPr>
                <w:rFonts w:ascii="Times New Roman" w:hAnsi="Times New Roman" w:cs="Times New Roman"/>
                <w:sz w:val="22"/>
                <w:szCs w:val="22"/>
              </w:rPr>
              <w:t>78.93</w:t>
            </w:r>
          </w:p>
        </w:tc>
        <w:tc>
          <w:tcPr>
            <w:tcW w:w="0" w:type="auto"/>
            <w:vAlign w:val="center"/>
            <w:hideMark/>
          </w:tcPr>
          <w:p w14:paraId="476B4226" w14:textId="77777777" w:rsidR="00937698" w:rsidRPr="00871479" w:rsidRDefault="00937698" w:rsidP="00871479">
            <w:pPr>
              <w:pStyle w:val="NoSpacing"/>
              <w:jc w:val="center"/>
              <w:rPr>
                <w:rFonts w:ascii="Times New Roman" w:hAnsi="Times New Roman" w:cs="Times New Roman"/>
                <w:sz w:val="22"/>
                <w:szCs w:val="22"/>
              </w:rPr>
            </w:pPr>
            <w:r w:rsidRPr="00871479">
              <w:rPr>
                <w:rFonts w:ascii="Times New Roman" w:hAnsi="Times New Roman" w:cs="Times New Roman"/>
                <w:sz w:val="22"/>
                <w:szCs w:val="22"/>
              </w:rPr>
              <w:t>87.19</w:t>
            </w:r>
          </w:p>
        </w:tc>
      </w:tr>
      <w:tr w:rsidR="00937698" w:rsidRPr="00871479" w14:paraId="156EE13D" w14:textId="77777777" w:rsidTr="00871479">
        <w:trPr>
          <w:trHeight w:val="462"/>
        </w:trPr>
        <w:tc>
          <w:tcPr>
            <w:tcW w:w="4824" w:type="dxa"/>
            <w:vAlign w:val="center"/>
            <w:hideMark/>
          </w:tcPr>
          <w:p w14:paraId="3471A5B9" w14:textId="77777777" w:rsidR="00937698" w:rsidRPr="00871479" w:rsidRDefault="00937698" w:rsidP="00871479">
            <w:pPr>
              <w:pStyle w:val="NoSpacing"/>
              <w:rPr>
                <w:rFonts w:ascii="Times New Roman" w:hAnsi="Times New Roman" w:cs="Times New Roman"/>
                <w:sz w:val="22"/>
                <w:szCs w:val="22"/>
              </w:rPr>
            </w:pPr>
            <w:r w:rsidRPr="00871479">
              <w:rPr>
                <w:rFonts w:ascii="Times New Roman" w:hAnsi="Times New Roman" w:cs="Times New Roman"/>
                <w:sz w:val="22"/>
                <w:szCs w:val="22"/>
              </w:rPr>
              <w:t>13. Miscellaneous</w:t>
            </w:r>
          </w:p>
        </w:tc>
        <w:tc>
          <w:tcPr>
            <w:tcW w:w="0" w:type="auto"/>
            <w:vAlign w:val="center"/>
            <w:hideMark/>
          </w:tcPr>
          <w:p w14:paraId="06EF8327" w14:textId="77777777" w:rsidR="00937698" w:rsidRPr="00871479" w:rsidRDefault="00937698" w:rsidP="00871479">
            <w:pPr>
              <w:pStyle w:val="NoSpacing"/>
              <w:jc w:val="center"/>
              <w:rPr>
                <w:rFonts w:ascii="Times New Roman" w:hAnsi="Times New Roman" w:cs="Times New Roman"/>
                <w:sz w:val="22"/>
                <w:szCs w:val="22"/>
              </w:rPr>
            </w:pPr>
            <w:r w:rsidRPr="00871479">
              <w:rPr>
                <w:rFonts w:ascii="Times New Roman" w:hAnsi="Times New Roman" w:cs="Times New Roman"/>
                <w:sz w:val="22"/>
                <w:szCs w:val="22"/>
              </w:rPr>
              <w:t>24.13</w:t>
            </w:r>
          </w:p>
        </w:tc>
        <w:tc>
          <w:tcPr>
            <w:tcW w:w="0" w:type="auto"/>
            <w:vAlign w:val="center"/>
            <w:hideMark/>
          </w:tcPr>
          <w:p w14:paraId="2D871396" w14:textId="77777777" w:rsidR="00937698" w:rsidRPr="00871479" w:rsidRDefault="00937698" w:rsidP="00871479">
            <w:pPr>
              <w:pStyle w:val="NoSpacing"/>
              <w:jc w:val="center"/>
              <w:rPr>
                <w:rFonts w:ascii="Times New Roman" w:hAnsi="Times New Roman" w:cs="Times New Roman"/>
                <w:sz w:val="22"/>
                <w:szCs w:val="22"/>
              </w:rPr>
            </w:pPr>
            <w:r w:rsidRPr="00871479">
              <w:rPr>
                <w:rFonts w:ascii="Times New Roman" w:hAnsi="Times New Roman" w:cs="Times New Roman"/>
                <w:sz w:val="22"/>
                <w:szCs w:val="22"/>
              </w:rPr>
              <w:t>27.00</w:t>
            </w:r>
          </w:p>
        </w:tc>
        <w:tc>
          <w:tcPr>
            <w:tcW w:w="0" w:type="auto"/>
            <w:vAlign w:val="center"/>
            <w:hideMark/>
          </w:tcPr>
          <w:p w14:paraId="32071F9C" w14:textId="77777777" w:rsidR="00937698" w:rsidRPr="00871479" w:rsidRDefault="00937698" w:rsidP="00871479">
            <w:pPr>
              <w:pStyle w:val="NoSpacing"/>
              <w:jc w:val="center"/>
              <w:rPr>
                <w:rFonts w:ascii="Times New Roman" w:hAnsi="Times New Roman" w:cs="Times New Roman"/>
                <w:sz w:val="22"/>
                <w:szCs w:val="22"/>
              </w:rPr>
            </w:pPr>
            <w:r w:rsidRPr="00871479">
              <w:rPr>
                <w:rFonts w:ascii="Times New Roman" w:hAnsi="Times New Roman" w:cs="Times New Roman"/>
                <w:sz w:val="22"/>
                <w:szCs w:val="22"/>
              </w:rPr>
              <w:t>25.34</w:t>
            </w:r>
          </w:p>
        </w:tc>
        <w:tc>
          <w:tcPr>
            <w:tcW w:w="0" w:type="auto"/>
            <w:vAlign w:val="center"/>
            <w:hideMark/>
          </w:tcPr>
          <w:p w14:paraId="56546D66" w14:textId="77777777" w:rsidR="00937698" w:rsidRPr="00871479" w:rsidRDefault="00937698" w:rsidP="00871479">
            <w:pPr>
              <w:pStyle w:val="NoSpacing"/>
              <w:jc w:val="center"/>
              <w:rPr>
                <w:rFonts w:ascii="Times New Roman" w:hAnsi="Times New Roman" w:cs="Times New Roman"/>
                <w:sz w:val="22"/>
                <w:szCs w:val="22"/>
              </w:rPr>
            </w:pPr>
            <w:r w:rsidRPr="00871479">
              <w:rPr>
                <w:rFonts w:ascii="Times New Roman" w:hAnsi="Times New Roman" w:cs="Times New Roman"/>
                <w:sz w:val="22"/>
                <w:szCs w:val="22"/>
              </w:rPr>
              <w:t>31.54</w:t>
            </w:r>
          </w:p>
        </w:tc>
        <w:tc>
          <w:tcPr>
            <w:tcW w:w="0" w:type="auto"/>
            <w:vAlign w:val="center"/>
            <w:hideMark/>
          </w:tcPr>
          <w:p w14:paraId="7FF5D810" w14:textId="77777777" w:rsidR="00937698" w:rsidRPr="00871479" w:rsidRDefault="00937698" w:rsidP="00871479">
            <w:pPr>
              <w:pStyle w:val="NoSpacing"/>
              <w:jc w:val="center"/>
              <w:rPr>
                <w:rFonts w:ascii="Times New Roman" w:hAnsi="Times New Roman" w:cs="Times New Roman"/>
                <w:sz w:val="22"/>
                <w:szCs w:val="22"/>
              </w:rPr>
            </w:pPr>
            <w:r w:rsidRPr="00871479">
              <w:rPr>
                <w:rFonts w:ascii="Times New Roman" w:hAnsi="Times New Roman" w:cs="Times New Roman"/>
                <w:sz w:val="22"/>
                <w:szCs w:val="22"/>
              </w:rPr>
              <w:t>26.19</w:t>
            </w:r>
          </w:p>
        </w:tc>
      </w:tr>
      <w:tr w:rsidR="00937698" w:rsidRPr="00871479" w14:paraId="0A573734" w14:textId="77777777" w:rsidTr="00871479">
        <w:trPr>
          <w:trHeight w:val="462"/>
        </w:trPr>
        <w:tc>
          <w:tcPr>
            <w:tcW w:w="4824" w:type="dxa"/>
            <w:vAlign w:val="center"/>
            <w:hideMark/>
          </w:tcPr>
          <w:p w14:paraId="59C3ABB6" w14:textId="686AB300" w:rsidR="00937698" w:rsidRPr="00871479" w:rsidRDefault="00044A72" w:rsidP="00871479">
            <w:pPr>
              <w:pStyle w:val="NoSpacing"/>
              <w:rPr>
                <w:rFonts w:ascii="Times New Roman" w:hAnsi="Times New Roman" w:cs="Times New Roman"/>
                <w:sz w:val="22"/>
                <w:szCs w:val="22"/>
              </w:rPr>
            </w:pPr>
            <w:r w:rsidRPr="00871479">
              <w:rPr>
                <w:rFonts w:ascii="Times New Roman" w:hAnsi="Times New Roman" w:cs="Times New Roman"/>
                <w:b/>
                <w:bCs/>
                <w:sz w:val="22"/>
                <w:szCs w:val="22"/>
              </w:rPr>
              <w:t>TOTAL:</w:t>
            </w:r>
            <w:r w:rsidR="00937698" w:rsidRPr="00871479">
              <w:rPr>
                <w:rFonts w:ascii="Times New Roman" w:hAnsi="Times New Roman" w:cs="Times New Roman"/>
                <w:b/>
                <w:bCs/>
                <w:sz w:val="22"/>
                <w:szCs w:val="22"/>
              </w:rPr>
              <w:t xml:space="preserve"> Non-Tax Revenue</w:t>
            </w:r>
          </w:p>
        </w:tc>
        <w:tc>
          <w:tcPr>
            <w:tcW w:w="0" w:type="auto"/>
            <w:vAlign w:val="center"/>
            <w:hideMark/>
          </w:tcPr>
          <w:p w14:paraId="429F5B0E" w14:textId="77777777" w:rsidR="00937698" w:rsidRPr="00871479" w:rsidRDefault="00937698" w:rsidP="00871479">
            <w:pPr>
              <w:pStyle w:val="NoSpacing"/>
              <w:jc w:val="center"/>
              <w:rPr>
                <w:rFonts w:ascii="Times New Roman" w:hAnsi="Times New Roman" w:cs="Times New Roman"/>
                <w:sz w:val="22"/>
                <w:szCs w:val="22"/>
              </w:rPr>
            </w:pPr>
            <w:r w:rsidRPr="00871479">
              <w:rPr>
                <w:rFonts w:ascii="Times New Roman" w:hAnsi="Times New Roman" w:cs="Times New Roman"/>
                <w:b/>
                <w:bCs/>
                <w:sz w:val="22"/>
                <w:szCs w:val="22"/>
              </w:rPr>
              <w:t>379.32</w:t>
            </w:r>
          </w:p>
        </w:tc>
        <w:tc>
          <w:tcPr>
            <w:tcW w:w="0" w:type="auto"/>
            <w:vAlign w:val="center"/>
            <w:hideMark/>
          </w:tcPr>
          <w:p w14:paraId="7674FE2D" w14:textId="77777777" w:rsidR="00937698" w:rsidRPr="00871479" w:rsidRDefault="00937698" w:rsidP="00871479">
            <w:pPr>
              <w:pStyle w:val="NoSpacing"/>
              <w:jc w:val="center"/>
              <w:rPr>
                <w:rFonts w:ascii="Times New Roman" w:hAnsi="Times New Roman" w:cs="Times New Roman"/>
                <w:sz w:val="22"/>
                <w:szCs w:val="22"/>
              </w:rPr>
            </w:pPr>
            <w:r w:rsidRPr="00871479">
              <w:rPr>
                <w:rFonts w:ascii="Times New Roman" w:hAnsi="Times New Roman" w:cs="Times New Roman"/>
                <w:b/>
                <w:bCs/>
                <w:sz w:val="22"/>
                <w:szCs w:val="22"/>
              </w:rPr>
              <w:t>434.70</w:t>
            </w:r>
          </w:p>
        </w:tc>
        <w:tc>
          <w:tcPr>
            <w:tcW w:w="0" w:type="auto"/>
            <w:vAlign w:val="center"/>
            <w:hideMark/>
          </w:tcPr>
          <w:p w14:paraId="0147F93D" w14:textId="77777777" w:rsidR="00937698" w:rsidRPr="00871479" w:rsidRDefault="00937698" w:rsidP="00871479">
            <w:pPr>
              <w:pStyle w:val="NoSpacing"/>
              <w:jc w:val="center"/>
              <w:rPr>
                <w:rFonts w:ascii="Times New Roman" w:hAnsi="Times New Roman" w:cs="Times New Roman"/>
                <w:sz w:val="22"/>
                <w:szCs w:val="22"/>
              </w:rPr>
            </w:pPr>
            <w:r w:rsidRPr="00871479">
              <w:rPr>
                <w:rFonts w:ascii="Times New Roman" w:hAnsi="Times New Roman" w:cs="Times New Roman"/>
                <w:b/>
                <w:bCs/>
                <w:sz w:val="22"/>
                <w:szCs w:val="22"/>
              </w:rPr>
              <w:t>513.43</w:t>
            </w:r>
          </w:p>
        </w:tc>
        <w:tc>
          <w:tcPr>
            <w:tcW w:w="0" w:type="auto"/>
            <w:vAlign w:val="center"/>
            <w:hideMark/>
          </w:tcPr>
          <w:p w14:paraId="41315A6C" w14:textId="77777777" w:rsidR="00937698" w:rsidRPr="00871479" w:rsidRDefault="00937698" w:rsidP="00871479">
            <w:pPr>
              <w:pStyle w:val="NoSpacing"/>
              <w:jc w:val="center"/>
              <w:rPr>
                <w:rFonts w:ascii="Times New Roman" w:hAnsi="Times New Roman" w:cs="Times New Roman"/>
                <w:sz w:val="22"/>
                <w:szCs w:val="22"/>
              </w:rPr>
            </w:pPr>
            <w:r w:rsidRPr="00871479">
              <w:rPr>
                <w:rFonts w:ascii="Times New Roman" w:hAnsi="Times New Roman" w:cs="Times New Roman"/>
                <w:b/>
                <w:bCs/>
                <w:sz w:val="22"/>
                <w:szCs w:val="22"/>
              </w:rPr>
              <w:t>586.47</w:t>
            </w:r>
          </w:p>
        </w:tc>
        <w:tc>
          <w:tcPr>
            <w:tcW w:w="0" w:type="auto"/>
            <w:vAlign w:val="center"/>
            <w:hideMark/>
          </w:tcPr>
          <w:p w14:paraId="1D66C318" w14:textId="77777777" w:rsidR="00937698" w:rsidRPr="00871479" w:rsidRDefault="00937698" w:rsidP="00871479">
            <w:pPr>
              <w:pStyle w:val="NoSpacing"/>
              <w:jc w:val="center"/>
              <w:rPr>
                <w:rFonts w:ascii="Times New Roman" w:hAnsi="Times New Roman" w:cs="Times New Roman"/>
                <w:sz w:val="22"/>
                <w:szCs w:val="22"/>
              </w:rPr>
            </w:pPr>
            <w:r w:rsidRPr="00871479">
              <w:rPr>
                <w:rFonts w:ascii="Times New Roman" w:hAnsi="Times New Roman" w:cs="Times New Roman"/>
                <w:b/>
                <w:bCs/>
                <w:sz w:val="22"/>
                <w:szCs w:val="22"/>
              </w:rPr>
              <w:t>661.54</w:t>
            </w:r>
          </w:p>
        </w:tc>
      </w:tr>
    </w:tbl>
    <w:p w14:paraId="4EED844E" w14:textId="77777777" w:rsidR="00937698" w:rsidRPr="007245B0" w:rsidRDefault="00937698" w:rsidP="00937698">
      <w:pPr>
        <w:tabs>
          <w:tab w:val="left" w:pos="3306"/>
        </w:tabs>
        <w:rPr>
          <w:rFonts w:ascii="Times New Roman" w:hAnsi="Times New Roman" w:cs="Times New Roman"/>
          <w:i/>
          <w:iCs/>
          <w:sz w:val="18"/>
          <w:szCs w:val="18"/>
        </w:rPr>
      </w:pPr>
    </w:p>
    <w:p w14:paraId="259769D5" w14:textId="0292D625" w:rsidR="00937698" w:rsidRPr="00871479" w:rsidRDefault="00937698" w:rsidP="00871479">
      <w:pPr>
        <w:jc w:val="center"/>
        <w:rPr>
          <w:rFonts w:ascii="Times New Roman" w:hAnsi="Times New Roman" w:cs="Times New Roman"/>
          <w:szCs w:val="24"/>
        </w:rPr>
      </w:pPr>
      <w:r w:rsidRPr="007245B0">
        <w:rPr>
          <w:rFonts w:ascii="Times New Roman" w:hAnsi="Times New Roman" w:cs="Times New Roman"/>
          <w:i/>
          <w:iCs/>
          <w:sz w:val="18"/>
          <w:szCs w:val="18"/>
        </w:rPr>
        <w:br w:type="page"/>
      </w:r>
      <w:r w:rsidR="00574BCE">
        <w:rPr>
          <w:rFonts w:ascii="Times New Roman" w:hAnsi="Times New Roman" w:cs="Times New Roman"/>
          <w:b/>
          <w:bCs/>
          <w:szCs w:val="24"/>
        </w:rPr>
        <w:lastRenderedPageBreak/>
        <w:t>Table</w:t>
      </w:r>
      <w:r w:rsidR="00871479" w:rsidRPr="00871479">
        <w:rPr>
          <w:rFonts w:ascii="Times New Roman" w:hAnsi="Times New Roman" w:cs="Times New Roman"/>
          <w:b/>
          <w:bCs/>
          <w:szCs w:val="24"/>
        </w:rPr>
        <w:t xml:space="preserve"> </w:t>
      </w:r>
      <w:r w:rsidRPr="00871479">
        <w:rPr>
          <w:rFonts w:ascii="Times New Roman" w:hAnsi="Times New Roman" w:cs="Times New Roman"/>
          <w:b/>
          <w:bCs/>
          <w:szCs w:val="24"/>
        </w:rPr>
        <w:t>43: Revenue receipts of the Government of India—Contd.</w:t>
      </w:r>
    </w:p>
    <w:p w14:paraId="3CC3C79A" w14:textId="77777777" w:rsidR="00937698" w:rsidRPr="007245B0" w:rsidRDefault="00937698" w:rsidP="00937698">
      <w:pPr>
        <w:tabs>
          <w:tab w:val="left" w:pos="3306"/>
        </w:tabs>
        <w:jc w:val="right"/>
        <w:rPr>
          <w:rFonts w:ascii="Times New Roman" w:hAnsi="Times New Roman" w:cs="Times New Roman"/>
          <w:i/>
          <w:iCs/>
          <w:szCs w:val="24"/>
        </w:rPr>
      </w:pPr>
      <w:r w:rsidRPr="007245B0">
        <w:rPr>
          <w:rFonts w:ascii="Times New Roman" w:hAnsi="Times New Roman" w:cs="Times New Roman"/>
          <w:i/>
          <w:iCs/>
          <w:szCs w:val="24"/>
        </w:rPr>
        <w:t>(Rs. crores)</w:t>
      </w:r>
    </w:p>
    <w:tbl>
      <w:tblPr>
        <w:tblStyle w:val="TableGrid"/>
        <w:tblW w:w="9823" w:type="dxa"/>
        <w:tblLook w:val="04A0" w:firstRow="1" w:lastRow="0" w:firstColumn="1" w:lastColumn="0" w:noHBand="0" w:noVBand="1"/>
      </w:tblPr>
      <w:tblGrid>
        <w:gridCol w:w="3964"/>
        <w:gridCol w:w="1276"/>
        <w:gridCol w:w="1134"/>
        <w:gridCol w:w="1138"/>
        <w:gridCol w:w="1130"/>
        <w:gridCol w:w="1181"/>
      </w:tblGrid>
      <w:tr w:rsidR="00937698" w:rsidRPr="007245B0" w14:paraId="68FF9986" w14:textId="77777777" w:rsidTr="00871479">
        <w:trPr>
          <w:trHeight w:val="454"/>
        </w:trPr>
        <w:tc>
          <w:tcPr>
            <w:tcW w:w="3964" w:type="dxa"/>
            <w:vAlign w:val="center"/>
            <w:hideMark/>
          </w:tcPr>
          <w:p w14:paraId="3DCD33C4" w14:textId="77777777" w:rsidR="00937698" w:rsidRPr="007245B0" w:rsidRDefault="00937698" w:rsidP="00871479">
            <w:pPr>
              <w:pStyle w:val="NoSpacing"/>
              <w:rPr>
                <w:rFonts w:ascii="Times New Roman" w:hAnsi="Times New Roman" w:cs="Times New Roman"/>
                <w:szCs w:val="24"/>
              </w:rPr>
            </w:pPr>
          </w:p>
        </w:tc>
        <w:tc>
          <w:tcPr>
            <w:tcW w:w="1276" w:type="dxa"/>
            <w:vAlign w:val="center"/>
            <w:hideMark/>
          </w:tcPr>
          <w:p w14:paraId="0447B15C" w14:textId="77777777" w:rsidR="00937698" w:rsidRPr="007245B0" w:rsidRDefault="00937698" w:rsidP="00871479">
            <w:pPr>
              <w:pStyle w:val="NoSpacing"/>
              <w:jc w:val="center"/>
              <w:rPr>
                <w:rFonts w:ascii="Times New Roman" w:hAnsi="Times New Roman" w:cs="Times New Roman"/>
                <w:b/>
                <w:bCs/>
                <w:szCs w:val="24"/>
              </w:rPr>
            </w:pPr>
            <w:r w:rsidRPr="007245B0">
              <w:rPr>
                <w:rFonts w:ascii="Times New Roman" w:hAnsi="Times New Roman" w:cs="Times New Roman"/>
                <w:b/>
                <w:bCs/>
                <w:szCs w:val="24"/>
              </w:rPr>
              <w:t>1964-65</w:t>
            </w:r>
          </w:p>
        </w:tc>
        <w:tc>
          <w:tcPr>
            <w:tcW w:w="1134" w:type="dxa"/>
            <w:vAlign w:val="center"/>
            <w:hideMark/>
          </w:tcPr>
          <w:p w14:paraId="4D6BD104" w14:textId="77777777" w:rsidR="00937698" w:rsidRPr="007245B0" w:rsidRDefault="00937698" w:rsidP="00871479">
            <w:pPr>
              <w:pStyle w:val="NoSpacing"/>
              <w:jc w:val="center"/>
              <w:rPr>
                <w:rFonts w:ascii="Times New Roman" w:hAnsi="Times New Roman" w:cs="Times New Roman"/>
                <w:b/>
                <w:bCs/>
                <w:szCs w:val="24"/>
              </w:rPr>
            </w:pPr>
            <w:r w:rsidRPr="007245B0">
              <w:rPr>
                <w:rFonts w:ascii="Times New Roman" w:hAnsi="Times New Roman" w:cs="Times New Roman"/>
                <w:b/>
                <w:bCs/>
                <w:szCs w:val="24"/>
              </w:rPr>
              <w:t>1965-66</w:t>
            </w:r>
          </w:p>
        </w:tc>
        <w:tc>
          <w:tcPr>
            <w:tcW w:w="1138" w:type="dxa"/>
            <w:vAlign w:val="center"/>
            <w:hideMark/>
          </w:tcPr>
          <w:p w14:paraId="3C3E61F1" w14:textId="77777777" w:rsidR="00937698" w:rsidRPr="007245B0" w:rsidRDefault="00937698" w:rsidP="00871479">
            <w:pPr>
              <w:pStyle w:val="NoSpacing"/>
              <w:jc w:val="center"/>
              <w:rPr>
                <w:rFonts w:ascii="Times New Roman" w:hAnsi="Times New Roman" w:cs="Times New Roman"/>
                <w:b/>
                <w:bCs/>
                <w:szCs w:val="24"/>
              </w:rPr>
            </w:pPr>
            <w:r w:rsidRPr="007245B0">
              <w:rPr>
                <w:rFonts w:ascii="Times New Roman" w:hAnsi="Times New Roman" w:cs="Times New Roman"/>
                <w:b/>
                <w:bCs/>
                <w:szCs w:val="24"/>
              </w:rPr>
              <w:t>1966-67</w:t>
            </w:r>
          </w:p>
        </w:tc>
        <w:tc>
          <w:tcPr>
            <w:tcW w:w="1130" w:type="dxa"/>
            <w:vAlign w:val="center"/>
            <w:hideMark/>
          </w:tcPr>
          <w:p w14:paraId="40402C13" w14:textId="77777777" w:rsidR="00937698" w:rsidRPr="007245B0" w:rsidRDefault="00937698" w:rsidP="00871479">
            <w:pPr>
              <w:pStyle w:val="NoSpacing"/>
              <w:jc w:val="center"/>
              <w:rPr>
                <w:rFonts w:ascii="Times New Roman" w:hAnsi="Times New Roman" w:cs="Times New Roman"/>
                <w:b/>
                <w:bCs/>
                <w:szCs w:val="24"/>
              </w:rPr>
            </w:pPr>
            <w:r w:rsidRPr="007245B0">
              <w:rPr>
                <w:rFonts w:ascii="Times New Roman" w:hAnsi="Times New Roman" w:cs="Times New Roman"/>
                <w:b/>
                <w:bCs/>
                <w:szCs w:val="24"/>
              </w:rPr>
              <w:t>1967-68</w:t>
            </w:r>
          </w:p>
        </w:tc>
        <w:tc>
          <w:tcPr>
            <w:tcW w:w="1181" w:type="dxa"/>
            <w:vAlign w:val="center"/>
            <w:hideMark/>
          </w:tcPr>
          <w:p w14:paraId="78E7A05A" w14:textId="77777777" w:rsidR="00937698" w:rsidRPr="007245B0" w:rsidRDefault="00937698" w:rsidP="00871479">
            <w:pPr>
              <w:pStyle w:val="NoSpacing"/>
              <w:jc w:val="center"/>
              <w:rPr>
                <w:rFonts w:ascii="Times New Roman" w:hAnsi="Times New Roman" w:cs="Times New Roman"/>
                <w:b/>
                <w:bCs/>
                <w:szCs w:val="24"/>
              </w:rPr>
            </w:pPr>
            <w:r w:rsidRPr="007245B0">
              <w:rPr>
                <w:rFonts w:ascii="Times New Roman" w:hAnsi="Times New Roman" w:cs="Times New Roman"/>
                <w:b/>
                <w:bCs/>
                <w:szCs w:val="24"/>
              </w:rPr>
              <w:t>1968-69 (R.E.)</w:t>
            </w:r>
          </w:p>
        </w:tc>
      </w:tr>
      <w:tr w:rsidR="00937698" w:rsidRPr="007245B0" w14:paraId="65BB210A" w14:textId="77777777" w:rsidTr="00871479">
        <w:trPr>
          <w:trHeight w:val="454"/>
        </w:trPr>
        <w:tc>
          <w:tcPr>
            <w:tcW w:w="3964" w:type="dxa"/>
            <w:vAlign w:val="center"/>
            <w:hideMark/>
          </w:tcPr>
          <w:p w14:paraId="30B19B33" w14:textId="77777777" w:rsidR="00937698" w:rsidRPr="007245B0" w:rsidRDefault="00937698" w:rsidP="00871479">
            <w:pPr>
              <w:pStyle w:val="NoSpacing"/>
              <w:rPr>
                <w:rFonts w:ascii="Times New Roman" w:hAnsi="Times New Roman" w:cs="Times New Roman"/>
                <w:szCs w:val="24"/>
              </w:rPr>
            </w:pPr>
            <w:r w:rsidRPr="007245B0">
              <w:rPr>
                <w:rFonts w:ascii="Times New Roman" w:hAnsi="Times New Roman" w:cs="Times New Roman"/>
                <w:b/>
                <w:bCs/>
                <w:szCs w:val="24"/>
              </w:rPr>
              <w:t>III. Contributions &amp; Miscellaneous Adjustments</w:t>
            </w:r>
          </w:p>
        </w:tc>
        <w:tc>
          <w:tcPr>
            <w:tcW w:w="1276" w:type="dxa"/>
            <w:vAlign w:val="center"/>
            <w:hideMark/>
          </w:tcPr>
          <w:p w14:paraId="289BAE1F" w14:textId="77777777" w:rsidR="00937698" w:rsidRPr="007245B0" w:rsidRDefault="00937698" w:rsidP="00871479">
            <w:pPr>
              <w:pStyle w:val="NoSpacing"/>
              <w:jc w:val="center"/>
              <w:rPr>
                <w:rFonts w:ascii="Times New Roman" w:hAnsi="Times New Roman" w:cs="Times New Roman"/>
                <w:szCs w:val="24"/>
              </w:rPr>
            </w:pPr>
          </w:p>
        </w:tc>
        <w:tc>
          <w:tcPr>
            <w:tcW w:w="1134" w:type="dxa"/>
            <w:vAlign w:val="center"/>
            <w:hideMark/>
          </w:tcPr>
          <w:p w14:paraId="7773B6BF" w14:textId="77777777" w:rsidR="00937698" w:rsidRPr="007245B0" w:rsidRDefault="00937698" w:rsidP="00871479">
            <w:pPr>
              <w:pStyle w:val="NoSpacing"/>
              <w:jc w:val="center"/>
              <w:rPr>
                <w:rFonts w:ascii="Times New Roman" w:hAnsi="Times New Roman" w:cs="Times New Roman"/>
                <w:szCs w:val="24"/>
              </w:rPr>
            </w:pPr>
          </w:p>
        </w:tc>
        <w:tc>
          <w:tcPr>
            <w:tcW w:w="1138" w:type="dxa"/>
            <w:vAlign w:val="center"/>
            <w:hideMark/>
          </w:tcPr>
          <w:p w14:paraId="2D36B546" w14:textId="77777777" w:rsidR="00937698" w:rsidRPr="007245B0" w:rsidRDefault="00937698" w:rsidP="00871479">
            <w:pPr>
              <w:pStyle w:val="NoSpacing"/>
              <w:jc w:val="center"/>
              <w:rPr>
                <w:rFonts w:ascii="Times New Roman" w:hAnsi="Times New Roman" w:cs="Times New Roman"/>
                <w:szCs w:val="24"/>
              </w:rPr>
            </w:pPr>
          </w:p>
        </w:tc>
        <w:tc>
          <w:tcPr>
            <w:tcW w:w="1130" w:type="dxa"/>
            <w:vAlign w:val="center"/>
            <w:hideMark/>
          </w:tcPr>
          <w:p w14:paraId="26D509E2" w14:textId="77777777" w:rsidR="00937698" w:rsidRPr="007245B0" w:rsidRDefault="00937698" w:rsidP="00871479">
            <w:pPr>
              <w:pStyle w:val="NoSpacing"/>
              <w:jc w:val="center"/>
              <w:rPr>
                <w:rFonts w:ascii="Times New Roman" w:hAnsi="Times New Roman" w:cs="Times New Roman"/>
                <w:szCs w:val="24"/>
              </w:rPr>
            </w:pPr>
          </w:p>
        </w:tc>
        <w:tc>
          <w:tcPr>
            <w:tcW w:w="1181" w:type="dxa"/>
            <w:vAlign w:val="center"/>
            <w:hideMark/>
          </w:tcPr>
          <w:p w14:paraId="55E8F991" w14:textId="77777777" w:rsidR="00937698" w:rsidRPr="007245B0" w:rsidRDefault="00937698" w:rsidP="00871479">
            <w:pPr>
              <w:pStyle w:val="NoSpacing"/>
              <w:jc w:val="center"/>
              <w:rPr>
                <w:rFonts w:ascii="Times New Roman" w:hAnsi="Times New Roman" w:cs="Times New Roman"/>
                <w:szCs w:val="24"/>
              </w:rPr>
            </w:pPr>
          </w:p>
        </w:tc>
      </w:tr>
      <w:tr w:rsidR="00937698" w:rsidRPr="007245B0" w14:paraId="6171CB16" w14:textId="77777777" w:rsidTr="00871479">
        <w:trPr>
          <w:trHeight w:val="454"/>
        </w:trPr>
        <w:tc>
          <w:tcPr>
            <w:tcW w:w="3964" w:type="dxa"/>
            <w:vAlign w:val="center"/>
            <w:hideMark/>
          </w:tcPr>
          <w:p w14:paraId="56EF7604" w14:textId="77777777" w:rsidR="00937698" w:rsidRPr="007245B0" w:rsidRDefault="00937698" w:rsidP="00871479">
            <w:pPr>
              <w:pStyle w:val="NoSpacing"/>
              <w:rPr>
                <w:rFonts w:ascii="Times New Roman" w:hAnsi="Times New Roman" w:cs="Times New Roman"/>
                <w:szCs w:val="24"/>
              </w:rPr>
            </w:pPr>
            <w:r w:rsidRPr="007245B0">
              <w:rPr>
                <w:rFonts w:ascii="Times New Roman" w:hAnsi="Times New Roman" w:cs="Times New Roman"/>
                <w:szCs w:val="24"/>
              </w:rPr>
              <w:t>14. Contribution from Railways</w:t>
            </w:r>
          </w:p>
        </w:tc>
        <w:tc>
          <w:tcPr>
            <w:tcW w:w="1276" w:type="dxa"/>
            <w:vAlign w:val="center"/>
            <w:hideMark/>
          </w:tcPr>
          <w:p w14:paraId="3B8F5B2F" w14:textId="77777777" w:rsidR="00937698" w:rsidRPr="007245B0" w:rsidRDefault="00937698" w:rsidP="00871479">
            <w:pPr>
              <w:pStyle w:val="NoSpacing"/>
              <w:jc w:val="center"/>
              <w:rPr>
                <w:rFonts w:ascii="Times New Roman" w:hAnsi="Times New Roman" w:cs="Times New Roman"/>
                <w:szCs w:val="24"/>
              </w:rPr>
            </w:pPr>
            <w:r w:rsidRPr="007245B0">
              <w:rPr>
                <w:rFonts w:ascii="Times New Roman" w:hAnsi="Times New Roman" w:cs="Times New Roman"/>
                <w:szCs w:val="24"/>
              </w:rPr>
              <w:t>23.25</w:t>
            </w:r>
          </w:p>
        </w:tc>
        <w:tc>
          <w:tcPr>
            <w:tcW w:w="1134" w:type="dxa"/>
            <w:vAlign w:val="center"/>
            <w:hideMark/>
          </w:tcPr>
          <w:p w14:paraId="05A9EADA" w14:textId="77777777" w:rsidR="00937698" w:rsidRPr="007245B0" w:rsidRDefault="00937698" w:rsidP="00871479">
            <w:pPr>
              <w:pStyle w:val="NoSpacing"/>
              <w:jc w:val="center"/>
              <w:rPr>
                <w:rFonts w:ascii="Times New Roman" w:hAnsi="Times New Roman" w:cs="Times New Roman"/>
                <w:szCs w:val="24"/>
              </w:rPr>
            </w:pPr>
            <w:r w:rsidRPr="007245B0">
              <w:rPr>
                <w:rFonts w:ascii="Times New Roman" w:hAnsi="Times New Roman" w:cs="Times New Roman"/>
                <w:szCs w:val="24"/>
              </w:rPr>
              <w:t>25.90</w:t>
            </w:r>
          </w:p>
        </w:tc>
        <w:tc>
          <w:tcPr>
            <w:tcW w:w="1138" w:type="dxa"/>
            <w:vAlign w:val="center"/>
            <w:hideMark/>
          </w:tcPr>
          <w:p w14:paraId="62A35954" w14:textId="77777777" w:rsidR="00937698" w:rsidRPr="007245B0" w:rsidRDefault="00937698" w:rsidP="00871479">
            <w:pPr>
              <w:pStyle w:val="NoSpacing"/>
              <w:jc w:val="center"/>
              <w:rPr>
                <w:rFonts w:ascii="Times New Roman" w:hAnsi="Times New Roman" w:cs="Times New Roman"/>
                <w:szCs w:val="24"/>
              </w:rPr>
            </w:pPr>
            <w:r w:rsidRPr="007245B0">
              <w:rPr>
                <w:rFonts w:ascii="Times New Roman" w:hAnsi="Times New Roman" w:cs="Times New Roman"/>
                <w:szCs w:val="24"/>
              </w:rPr>
              <w:t>30.76</w:t>
            </w:r>
          </w:p>
        </w:tc>
        <w:tc>
          <w:tcPr>
            <w:tcW w:w="1130" w:type="dxa"/>
            <w:vAlign w:val="center"/>
            <w:hideMark/>
          </w:tcPr>
          <w:p w14:paraId="2FA6C4D5" w14:textId="77777777" w:rsidR="00937698" w:rsidRPr="007245B0" w:rsidRDefault="00937698" w:rsidP="00871479">
            <w:pPr>
              <w:pStyle w:val="NoSpacing"/>
              <w:jc w:val="center"/>
              <w:rPr>
                <w:rFonts w:ascii="Times New Roman" w:hAnsi="Times New Roman" w:cs="Times New Roman"/>
                <w:szCs w:val="24"/>
              </w:rPr>
            </w:pPr>
            <w:r w:rsidRPr="007245B0">
              <w:rPr>
                <w:rFonts w:ascii="Times New Roman" w:hAnsi="Times New Roman" w:cs="Times New Roman"/>
                <w:szCs w:val="24"/>
              </w:rPr>
              <w:t>30.29</w:t>
            </w:r>
          </w:p>
        </w:tc>
        <w:tc>
          <w:tcPr>
            <w:tcW w:w="1181" w:type="dxa"/>
            <w:vAlign w:val="center"/>
            <w:hideMark/>
          </w:tcPr>
          <w:p w14:paraId="2BD9E6A3" w14:textId="77777777" w:rsidR="00937698" w:rsidRPr="007245B0" w:rsidRDefault="00937698" w:rsidP="00871479">
            <w:pPr>
              <w:pStyle w:val="NoSpacing"/>
              <w:jc w:val="center"/>
              <w:rPr>
                <w:rFonts w:ascii="Times New Roman" w:hAnsi="Times New Roman" w:cs="Times New Roman"/>
                <w:szCs w:val="24"/>
              </w:rPr>
            </w:pPr>
            <w:r w:rsidRPr="007245B0">
              <w:rPr>
                <w:rFonts w:ascii="Times New Roman" w:hAnsi="Times New Roman" w:cs="Times New Roman"/>
                <w:szCs w:val="24"/>
              </w:rPr>
              <w:t>29.32</w:t>
            </w:r>
          </w:p>
        </w:tc>
      </w:tr>
      <w:tr w:rsidR="00937698" w:rsidRPr="007245B0" w14:paraId="3EE139DC" w14:textId="77777777" w:rsidTr="00871479">
        <w:trPr>
          <w:trHeight w:val="454"/>
        </w:trPr>
        <w:tc>
          <w:tcPr>
            <w:tcW w:w="3964" w:type="dxa"/>
            <w:vAlign w:val="center"/>
            <w:hideMark/>
          </w:tcPr>
          <w:p w14:paraId="6588FCF5" w14:textId="77777777" w:rsidR="00937698" w:rsidRPr="007245B0" w:rsidRDefault="00937698" w:rsidP="00871479">
            <w:pPr>
              <w:pStyle w:val="NoSpacing"/>
              <w:rPr>
                <w:rFonts w:ascii="Times New Roman" w:hAnsi="Times New Roman" w:cs="Times New Roman"/>
                <w:szCs w:val="24"/>
              </w:rPr>
            </w:pPr>
            <w:r w:rsidRPr="007245B0">
              <w:rPr>
                <w:rFonts w:ascii="Times New Roman" w:hAnsi="Times New Roman" w:cs="Times New Roman"/>
                <w:szCs w:val="24"/>
              </w:rPr>
              <w:t>15. Contribution from P &amp; T</w:t>
            </w:r>
          </w:p>
        </w:tc>
        <w:tc>
          <w:tcPr>
            <w:tcW w:w="1276" w:type="dxa"/>
            <w:vAlign w:val="center"/>
            <w:hideMark/>
          </w:tcPr>
          <w:p w14:paraId="535D2768" w14:textId="77777777" w:rsidR="00937698" w:rsidRPr="007245B0" w:rsidRDefault="00937698" w:rsidP="00871479">
            <w:pPr>
              <w:pStyle w:val="NoSpacing"/>
              <w:jc w:val="center"/>
              <w:rPr>
                <w:rFonts w:ascii="Times New Roman" w:hAnsi="Times New Roman" w:cs="Times New Roman"/>
                <w:szCs w:val="24"/>
              </w:rPr>
            </w:pPr>
            <w:r w:rsidRPr="007245B0">
              <w:rPr>
                <w:rFonts w:ascii="Times New Roman" w:hAnsi="Times New Roman" w:cs="Times New Roman"/>
                <w:szCs w:val="24"/>
              </w:rPr>
              <w:t>1.44</w:t>
            </w:r>
          </w:p>
        </w:tc>
        <w:tc>
          <w:tcPr>
            <w:tcW w:w="1134" w:type="dxa"/>
            <w:vAlign w:val="center"/>
            <w:hideMark/>
          </w:tcPr>
          <w:p w14:paraId="37BDA9E8" w14:textId="77777777" w:rsidR="00937698" w:rsidRPr="007245B0" w:rsidRDefault="00937698" w:rsidP="00871479">
            <w:pPr>
              <w:pStyle w:val="NoSpacing"/>
              <w:jc w:val="center"/>
              <w:rPr>
                <w:rFonts w:ascii="Times New Roman" w:hAnsi="Times New Roman" w:cs="Times New Roman"/>
                <w:szCs w:val="24"/>
              </w:rPr>
            </w:pPr>
            <w:r w:rsidRPr="007245B0">
              <w:rPr>
                <w:rFonts w:ascii="Times New Roman" w:hAnsi="Times New Roman" w:cs="Times New Roman"/>
                <w:szCs w:val="24"/>
              </w:rPr>
              <w:t>1.15</w:t>
            </w:r>
          </w:p>
        </w:tc>
        <w:tc>
          <w:tcPr>
            <w:tcW w:w="1138" w:type="dxa"/>
            <w:vAlign w:val="center"/>
            <w:hideMark/>
          </w:tcPr>
          <w:p w14:paraId="022BFD0E" w14:textId="77777777" w:rsidR="00937698" w:rsidRPr="007245B0" w:rsidRDefault="00937698" w:rsidP="00871479">
            <w:pPr>
              <w:pStyle w:val="NoSpacing"/>
              <w:jc w:val="center"/>
              <w:rPr>
                <w:rFonts w:ascii="Times New Roman" w:hAnsi="Times New Roman" w:cs="Times New Roman"/>
                <w:szCs w:val="24"/>
              </w:rPr>
            </w:pPr>
            <w:r w:rsidRPr="007245B0">
              <w:rPr>
                <w:rFonts w:ascii="Times New Roman" w:hAnsi="Times New Roman" w:cs="Times New Roman"/>
                <w:szCs w:val="24"/>
              </w:rPr>
              <w:t>..</w:t>
            </w:r>
          </w:p>
        </w:tc>
        <w:tc>
          <w:tcPr>
            <w:tcW w:w="1130" w:type="dxa"/>
            <w:vAlign w:val="center"/>
            <w:hideMark/>
          </w:tcPr>
          <w:p w14:paraId="6C97B868" w14:textId="77777777" w:rsidR="00937698" w:rsidRPr="007245B0" w:rsidRDefault="00937698" w:rsidP="00871479">
            <w:pPr>
              <w:pStyle w:val="NoSpacing"/>
              <w:jc w:val="center"/>
              <w:rPr>
                <w:rFonts w:ascii="Times New Roman" w:hAnsi="Times New Roman" w:cs="Times New Roman"/>
                <w:szCs w:val="24"/>
              </w:rPr>
            </w:pPr>
            <w:r w:rsidRPr="007245B0">
              <w:rPr>
                <w:rFonts w:ascii="Times New Roman" w:hAnsi="Times New Roman" w:cs="Times New Roman"/>
                <w:szCs w:val="24"/>
              </w:rPr>
              <w:t>5.55</w:t>
            </w:r>
          </w:p>
        </w:tc>
        <w:tc>
          <w:tcPr>
            <w:tcW w:w="1181" w:type="dxa"/>
            <w:vAlign w:val="center"/>
            <w:hideMark/>
          </w:tcPr>
          <w:p w14:paraId="138A6213" w14:textId="77777777" w:rsidR="00937698" w:rsidRPr="007245B0" w:rsidRDefault="00937698" w:rsidP="00871479">
            <w:pPr>
              <w:pStyle w:val="NoSpacing"/>
              <w:jc w:val="center"/>
              <w:rPr>
                <w:rFonts w:ascii="Times New Roman" w:hAnsi="Times New Roman" w:cs="Times New Roman"/>
                <w:szCs w:val="24"/>
              </w:rPr>
            </w:pPr>
            <w:r w:rsidRPr="007245B0">
              <w:rPr>
                <w:rFonts w:ascii="Times New Roman" w:hAnsi="Times New Roman" w:cs="Times New Roman"/>
                <w:szCs w:val="24"/>
              </w:rPr>
              <w:t>2.68</w:t>
            </w:r>
          </w:p>
        </w:tc>
      </w:tr>
      <w:tr w:rsidR="00937698" w:rsidRPr="007245B0" w14:paraId="60F24C42" w14:textId="77777777" w:rsidTr="00871479">
        <w:trPr>
          <w:trHeight w:val="454"/>
        </w:trPr>
        <w:tc>
          <w:tcPr>
            <w:tcW w:w="3964" w:type="dxa"/>
            <w:vAlign w:val="center"/>
            <w:hideMark/>
          </w:tcPr>
          <w:p w14:paraId="61758749" w14:textId="77777777" w:rsidR="00937698" w:rsidRPr="007245B0" w:rsidRDefault="00937698" w:rsidP="00871479">
            <w:pPr>
              <w:pStyle w:val="NoSpacing"/>
              <w:rPr>
                <w:rFonts w:ascii="Times New Roman" w:hAnsi="Times New Roman" w:cs="Times New Roman"/>
                <w:szCs w:val="24"/>
              </w:rPr>
            </w:pPr>
            <w:r w:rsidRPr="007245B0">
              <w:rPr>
                <w:rFonts w:ascii="Times New Roman" w:hAnsi="Times New Roman" w:cs="Times New Roman"/>
                <w:szCs w:val="24"/>
              </w:rPr>
              <w:t>16. Dividend etc. from Commercial and other Undertakings</w:t>
            </w:r>
          </w:p>
        </w:tc>
        <w:tc>
          <w:tcPr>
            <w:tcW w:w="1276" w:type="dxa"/>
            <w:vAlign w:val="center"/>
            <w:hideMark/>
          </w:tcPr>
          <w:p w14:paraId="74D3D79A" w14:textId="77777777" w:rsidR="00937698" w:rsidRPr="007245B0" w:rsidRDefault="00937698" w:rsidP="00871479">
            <w:pPr>
              <w:pStyle w:val="NoSpacing"/>
              <w:jc w:val="center"/>
              <w:rPr>
                <w:rFonts w:ascii="Times New Roman" w:hAnsi="Times New Roman" w:cs="Times New Roman"/>
                <w:szCs w:val="24"/>
              </w:rPr>
            </w:pPr>
            <w:r w:rsidRPr="007245B0">
              <w:rPr>
                <w:rFonts w:ascii="Times New Roman" w:hAnsi="Times New Roman" w:cs="Times New Roman"/>
                <w:szCs w:val="24"/>
              </w:rPr>
              <w:t>6.89</w:t>
            </w:r>
          </w:p>
        </w:tc>
        <w:tc>
          <w:tcPr>
            <w:tcW w:w="1134" w:type="dxa"/>
            <w:vAlign w:val="center"/>
            <w:hideMark/>
          </w:tcPr>
          <w:p w14:paraId="7E033836" w14:textId="77777777" w:rsidR="00937698" w:rsidRPr="007245B0" w:rsidRDefault="00937698" w:rsidP="00871479">
            <w:pPr>
              <w:pStyle w:val="NoSpacing"/>
              <w:jc w:val="center"/>
              <w:rPr>
                <w:rFonts w:ascii="Times New Roman" w:hAnsi="Times New Roman" w:cs="Times New Roman"/>
                <w:szCs w:val="24"/>
              </w:rPr>
            </w:pPr>
            <w:r w:rsidRPr="007245B0">
              <w:rPr>
                <w:rFonts w:ascii="Times New Roman" w:hAnsi="Times New Roman" w:cs="Times New Roman"/>
                <w:szCs w:val="24"/>
              </w:rPr>
              <w:t>6.65</w:t>
            </w:r>
          </w:p>
        </w:tc>
        <w:tc>
          <w:tcPr>
            <w:tcW w:w="1138" w:type="dxa"/>
            <w:vAlign w:val="center"/>
            <w:hideMark/>
          </w:tcPr>
          <w:p w14:paraId="5C9066D4" w14:textId="77777777" w:rsidR="00937698" w:rsidRPr="007245B0" w:rsidRDefault="00937698" w:rsidP="00871479">
            <w:pPr>
              <w:pStyle w:val="NoSpacing"/>
              <w:jc w:val="center"/>
              <w:rPr>
                <w:rFonts w:ascii="Times New Roman" w:hAnsi="Times New Roman" w:cs="Times New Roman"/>
                <w:szCs w:val="24"/>
              </w:rPr>
            </w:pPr>
            <w:r w:rsidRPr="007245B0">
              <w:rPr>
                <w:rFonts w:ascii="Times New Roman" w:hAnsi="Times New Roman" w:cs="Times New Roman"/>
                <w:szCs w:val="24"/>
              </w:rPr>
              <w:t>7.86</w:t>
            </w:r>
          </w:p>
        </w:tc>
        <w:tc>
          <w:tcPr>
            <w:tcW w:w="1130" w:type="dxa"/>
            <w:vAlign w:val="center"/>
            <w:hideMark/>
          </w:tcPr>
          <w:p w14:paraId="2AC5AC8E" w14:textId="77777777" w:rsidR="00937698" w:rsidRPr="007245B0" w:rsidRDefault="00937698" w:rsidP="00871479">
            <w:pPr>
              <w:pStyle w:val="NoSpacing"/>
              <w:jc w:val="center"/>
              <w:rPr>
                <w:rFonts w:ascii="Times New Roman" w:hAnsi="Times New Roman" w:cs="Times New Roman"/>
                <w:szCs w:val="24"/>
              </w:rPr>
            </w:pPr>
            <w:r w:rsidRPr="007245B0">
              <w:rPr>
                <w:rFonts w:ascii="Times New Roman" w:hAnsi="Times New Roman" w:cs="Times New Roman"/>
                <w:szCs w:val="24"/>
              </w:rPr>
              <w:t>10.14</w:t>
            </w:r>
          </w:p>
        </w:tc>
        <w:tc>
          <w:tcPr>
            <w:tcW w:w="1181" w:type="dxa"/>
            <w:vAlign w:val="center"/>
            <w:hideMark/>
          </w:tcPr>
          <w:p w14:paraId="7C799FBF" w14:textId="77777777" w:rsidR="00937698" w:rsidRPr="007245B0" w:rsidRDefault="00937698" w:rsidP="00871479">
            <w:pPr>
              <w:pStyle w:val="NoSpacing"/>
              <w:jc w:val="center"/>
              <w:rPr>
                <w:rFonts w:ascii="Times New Roman" w:hAnsi="Times New Roman" w:cs="Times New Roman"/>
                <w:szCs w:val="24"/>
              </w:rPr>
            </w:pPr>
            <w:r w:rsidRPr="007245B0">
              <w:rPr>
                <w:rFonts w:ascii="Times New Roman" w:hAnsi="Times New Roman" w:cs="Times New Roman"/>
                <w:szCs w:val="24"/>
              </w:rPr>
              <w:t>12.10</w:t>
            </w:r>
          </w:p>
        </w:tc>
      </w:tr>
      <w:tr w:rsidR="00937698" w:rsidRPr="007245B0" w14:paraId="2F9451DD" w14:textId="77777777" w:rsidTr="00871479">
        <w:trPr>
          <w:trHeight w:val="454"/>
        </w:trPr>
        <w:tc>
          <w:tcPr>
            <w:tcW w:w="3964" w:type="dxa"/>
            <w:vAlign w:val="center"/>
            <w:hideMark/>
          </w:tcPr>
          <w:p w14:paraId="4A647324" w14:textId="77777777" w:rsidR="00937698" w:rsidRPr="007245B0" w:rsidRDefault="00937698" w:rsidP="00871479">
            <w:pPr>
              <w:pStyle w:val="NoSpacing"/>
              <w:rPr>
                <w:rFonts w:ascii="Times New Roman" w:hAnsi="Times New Roman" w:cs="Times New Roman"/>
                <w:szCs w:val="24"/>
              </w:rPr>
            </w:pPr>
            <w:r w:rsidRPr="007245B0">
              <w:rPr>
                <w:rFonts w:ascii="Times New Roman" w:hAnsi="Times New Roman" w:cs="Times New Roman"/>
                <w:b/>
                <w:bCs/>
                <w:szCs w:val="24"/>
              </w:rPr>
              <w:t>TOTAL: Contribution etc.</w:t>
            </w:r>
          </w:p>
        </w:tc>
        <w:tc>
          <w:tcPr>
            <w:tcW w:w="1276" w:type="dxa"/>
            <w:vAlign w:val="center"/>
            <w:hideMark/>
          </w:tcPr>
          <w:p w14:paraId="0AA20CE4" w14:textId="77777777" w:rsidR="00937698" w:rsidRPr="007245B0" w:rsidRDefault="00937698" w:rsidP="00871479">
            <w:pPr>
              <w:pStyle w:val="NoSpacing"/>
              <w:jc w:val="center"/>
              <w:rPr>
                <w:rFonts w:ascii="Times New Roman" w:hAnsi="Times New Roman" w:cs="Times New Roman"/>
                <w:szCs w:val="24"/>
              </w:rPr>
            </w:pPr>
            <w:r w:rsidRPr="007245B0">
              <w:rPr>
                <w:rFonts w:ascii="Times New Roman" w:hAnsi="Times New Roman" w:cs="Times New Roman"/>
                <w:b/>
                <w:bCs/>
                <w:szCs w:val="24"/>
              </w:rPr>
              <w:t>31.58</w:t>
            </w:r>
          </w:p>
        </w:tc>
        <w:tc>
          <w:tcPr>
            <w:tcW w:w="1134" w:type="dxa"/>
            <w:vAlign w:val="center"/>
            <w:hideMark/>
          </w:tcPr>
          <w:p w14:paraId="05D52E05" w14:textId="77777777" w:rsidR="00937698" w:rsidRPr="007245B0" w:rsidRDefault="00937698" w:rsidP="00871479">
            <w:pPr>
              <w:pStyle w:val="NoSpacing"/>
              <w:jc w:val="center"/>
              <w:rPr>
                <w:rFonts w:ascii="Times New Roman" w:hAnsi="Times New Roman" w:cs="Times New Roman"/>
                <w:szCs w:val="24"/>
              </w:rPr>
            </w:pPr>
            <w:r w:rsidRPr="007245B0">
              <w:rPr>
                <w:rFonts w:ascii="Times New Roman" w:hAnsi="Times New Roman" w:cs="Times New Roman"/>
                <w:b/>
                <w:bCs/>
                <w:szCs w:val="24"/>
              </w:rPr>
              <w:t>33.70</w:t>
            </w:r>
          </w:p>
        </w:tc>
        <w:tc>
          <w:tcPr>
            <w:tcW w:w="1138" w:type="dxa"/>
            <w:vAlign w:val="center"/>
            <w:hideMark/>
          </w:tcPr>
          <w:p w14:paraId="5E532937" w14:textId="77777777" w:rsidR="00937698" w:rsidRPr="007245B0" w:rsidRDefault="00937698" w:rsidP="00871479">
            <w:pPr>
              <w:pStyle w:val="NoSpacing"/>
              <w:jc w:val="center"/>
              <w:rPr>
                <w:rFonts w:ascii="Times New Roman" w:hAnsi="Times New Roman" w:cs="Times New Roman"/>
                <w:szCs w:val="24"/>
              </w:rPr>
            </w:pPr>
            <w:r w:rsidRPr="007245B0">
              <w:rPr>
                <w:rFonts w:ascii="Times New Roman" w:hAnsi="Times New Roman" w:cs="Times New Roman"/>
                <w:b/>
                <w:bCs/>
                <w:szCs w:val="24"/>
              </w:rPr>
              <w:t>38.62</w:t>
            </w:r>
          </w:p>
        </w:tc>
        <w:tc>
          <w:tcPr>
            <w:tcW w:w="1130" w:type="dxa"/>
            <w:vAlign w:val="center"/>
            <w:hideMark/>
          </w:tcPr>
          <w:p w14:paraId="3761140C" w14:textId="77777777" w:rsidR="00937698" w:rsidRPr="007245B0" w:rsidRDefault="00937698" w:rsidP="00871479">
            <w:pPr>
              <w:pStyle w:val="NoSpacing"/>
              <w:jc w:val="center"/>
              <w:rPr>
                <w:rFonts w:ascii="Times New Roman" w:hAnsi="Times New Roman" w:cs="Times New Roman"/>
                <w:szCs w:val="24"/>
              </w:rPr>
            </w:pPr>
            <w:r w:rsidRPr="007245B0">
              <w:rPr>
                <w:rFonts w:ascii="Times New Roman" w:hAnsi="Times New Roman" w:cs="Times New Roman"/>
                <w:b/>
                <w:bCs/>
                <w:szCs w:val="24"/>
              </w:rPr>
              <w:t>45.98</w:t>
            </w:r>
          </w:p>
        </w:tc>
        <w:tc>
          <w:tcPr>
            <w:tcW w:w="1181" w:type="dxa"/>
            <w:vAlign w:val="center"/>
            <w:hideMark/>
          </w:tcPr>
          <w:p w14:paraId="224AEDDF" w14:textId="77777777" w:rsidR="00937698" w:rsidRPr="007245B0" w:rsidRDefault="00937698" w:rsidP="00871479">
            <w:pPr>
              <w:pStyle w:val="NoSpacing"/>
              <w:jc w:val="center"/>
              <w:rPr>
                <w:rFonts w:ascii="Times New Roman" w:hAnsi="Times New Roman" w:cs="Times New Roman"/>
                <w:szCs w:val="24"/>
              </w:rPr>
            </w:pPr>
            <w:r w:rsidRPr="007245B0">
              <w:rPr>
                <w:rFonts w:ascii="Times New Roman" w:hAnsi="Times New Roman" w:cs="Times New Roman"/>
                <w:b/>
                <w:bCs/>
                <w:szCs w:val="24"/>
              </w:rPr>
              <w:t>44.10</w:t>
            </w:r>
          </w:p>
        </w:tc>
      </w:tr>
      <w:tr w:rsidR="00937698" w:rsidRPr="007245B0" w14:paraId="77461297" w14:textId="77777777" w:rsidTr="00871479">
        <w:trPr>
          <w:trHeight w:val="454"/>
        </w:trPr>
        <w:tc>
          <w:tcPr>
            <w:tcW w:w="3964" w:type="dxa"/>
            <w:vAlign w:val="center"/>
            <w:hideMark/>
          </w:tcPr>
          <w:p w14:paraId="68155A8F" w14:textId="77777777" w:rsidR="00937698" w:rsidRPr="007245B0" w:rsidRDefault="00937698" w:rsidP="00871479">
            <w:pPr>
              <w:pStyle w:val="NoSpacing"/>
              <w:rPr>
                <w:rFonts w:ascii="Times New Roman" w:hAnsi="Times New Roman" w:cs="Times New Roman"/>
                <w:szCs w:val="24"/>
              </w:rPr>
            </w:pPr>
          </w:p>
        </w:tc>
        <w:tc>
          <w:tcPr>
            <w:tcW w:w="1276" w:type="dxa"/>
            <w:vAlign w:val="center"/>
            <w:hideMark/>
          </w:tcPr>
          <w:p w14:paraId="16400089" w14:textId="77777777" w:rsidR="00937698" w:rsidRPr="007245B0" w:rsidRDefault="00937698" w:rsidP="00871479">
            <w:pPr>
              <w:pStyle w:val="NoSpacing"/>
              <w:jc w:val="center"/>
              <w:rPr>
                <w:rFonts w:ascii="Times New Roman" w:hAnsi="Times New Roman" w:cs="Times New Roman"/>
                <w:szCs w:val="24"/>
              </w:rPr>
            </w:pPr>
          </w:p>
        </w:tc>
        <w:tc>
          <w:tcPr>
            <w:tcW w:w="1134" w:type="dxa"/>
            <w:vAlign w:val="center"/>
            <w:hideMark/>
          </w:tcPr>
          <w:p w14:paraId="3061406B" w14:textId="77777777" w:rsidR="00937698" w:rsidRPr="007245B0" w:rsidRDefault="00937698" w:rsidP="00871479">
            <w:pPr>
              <w:pStyle w:val="NoSpacing"/>
              <w:jc w:val="center"/>
              <w:rPr>
                <w:rFonts w:ascii="Times New Roman" w:hAnsi="Times New Roman" w:cs="Times New Roman"/>
                <w:szCs w:val="24"/>
              </w:rPr>
            </w:pPr>
          </w:p>
        </w:tc>
        <w:tc>
          <w:tcPr>
            <w:tcW w:w="1138" w:type="dxa"/>
            <w:vAlign w:val="center"/>
            <w:hideMark/>
          </w:tcPr>
          <w:p w14:paraId="1DF108A3" w14:textId="77777777" w:rsidR="00937698" w:rsidRPr="007245B0" w:rsidRDefault="00937698" w:rsidP="00871479">
            <w:pPr>
              <w:pStyle w:val="NoSpacing"/>
              <w:jc w:val="center"/>
              <w:rPr>
                <w:rFonts w:ascii="Times New Roman" w:hAnsi="Times New Roman" w:cs="Times New Roman"/>
                <w:szCs w:val="24"/>
              </w:rPr>
            </w:pPr>
          </w:p>
        </w:tc>
        <w:tc>
          <w:tcPr>
            <w:tcW w:w="1130" w:type="dxa"/>
            <w:vAlign w:val="center"/>
            <w:hideMark/>
          </w:tcPr>
          <w:p w14:paraId="42E51ECB" w14:textId="77777777" w:rsidR="00937698" w:rsidRPr="007245B0" w:rsidRDefault="00937698" w:rsidP="00871479">
            <w:pPr>
              <w:pStyle w:val="NoSpacing"/>
              <w:jc w:val="center"/>
              <w:rPr>
                <w:rFonts w:ascii="Times New Roman" w:hAnsi="Times New Roman" w:cs="Times New Roman"/>
                <w:szCs w:val="24"/>
              </w:rPr>
            </w:pPr>
          </w:p>
        </w:tc>
        <w:tc>
          <w:tcPr>
            <w:tcW w:w="1181" w:type="dxa"/>
            <w:vAlign w:val="center"/>
            <w:hideMark/>
          </w:tcPr>
          <w:p w14:paraId="6ADB39D2" w14:textId="77777777" w:rsidR="00937698" w:rsidRPr="007245B0" w:rsidRDefault="00937698" w:rsidP="00871479">
            <w:pPr>
              <w:pStyle w:val="NoSpacing"/>
              <w:jc w:val="center"/>
              <w:rPr>
                <w:rFonts w:ascii="Times New Roman" w:hAnsi="Times New Roman" w:cs="Times New Roman"/>
                <w:szCs w:val="24"/>
              </w:rPr>
            </w:pPr>
          </w:p>
        </w:tc>
      </w:tr>
      <w:tr w:rsidR="00937698" w:rsidRPr="007245B0" w14:paraId="3D268E41" w14:textId="77777777" w:rsidTr="00871479">
        <w:trPr>
          <w:trHeight w:val="454"/>
        </w:trPr>
        <w:tc>
          <w:tcPr>
            <w:tcW w:w="3964" w:type="dxa"/>
            <w:vAlign w:val="center"/>
            <w:hideMark/>
          </w:tcPr>
          <w:p w14:paraId="56441ADF" w14:textId="77777777" w:rsidR="00937698" w:rsidRPr="007245B0" w:rsidRDefault="00937698" w:rsidP="00871479">
            <w:pPr>
              <w:pStyle w:val="NoSpacing"/>
              <w:rPr>
                <w:rFonts w:ascii="Times New Roman" w:hAnsi="Times New Roman" w:cs="Times New Roman"/>
                <w:szCs w:val="24"/>
              </w:rPr>
            </w:pPr>
            <w:r w:rsidRPr="007245B0">
              <w:rPr>
                <w:rFonts w:ascii="Times New Roman" w:hAnsi="Times New Roman" w:cs="Times New Roman"/>
                <w:b/>
                <w:bCs/>
                <w:szCs w:val="24"/>
              </w:rPr>
              <w:t>IV. Extraordinary Items</w:t>
            </w:r>
          </w:p>
        </w:tc>
        <w:tc>
          <w:tcPr>
            <w:tcW w:w="1276" w:type="dxa"/>
            <w:vAlign w:val="center"/>
            <w:hideMark/>
          </w:tcPr>
          <w:p w14:paraId="0DC7CC22" w14:textId="77777777" w:rsidR="00937698" w:rsidRPr="007245B0" w:rsidRDefault="00937698" w:rsidP="00871479">
            <w:pPr>
              <w:pStyle w:val="NoSpacing"/>
              <w:jc w:val="center"/>
              <w:rPr>
                <w:rFonts w:ascii="Times New Roman" w:hAnsi="Times New Roman" w:cs="Times New Roman"/>
                <w:szCs w:val="24"/>
              </w:rPr>
            </w:pPr>
            <w:r w:rsidRPr="007245B0">
              <w:rPr>
                <w:rFonts w:ascii="Times New Roman" w:hAnsi="Times New Roman" w:cs="Times New Roman"/>
                <w:b/>
                <w:bCs/>
                <w:szCs w:val="24"/>
              </w:rPr>
              <w:t>123.02</w:t>
            </w:r>
          </w:p>
        </w:tc>
        <w:tc>
          <w:tcPr>
            <w:tcW w:w="1134" w:type="dxa"/>
            <w:vAlign w:val="center"/>
            <w:hideMark/>
          </w:tcPr>
          <w:p w14:paraId="44EEF623" w14:textId="77777777" w:rsidR="00937698" w:rsidRPr="007245B0" w:rsidRDefault="00937698" w:rsidP="00871479">
            <w:pPr>
              <w:pStyle w:val="NoSpacing"/>
              <w:jc w:val="center"/>
              <w:rPr>
                <w:rFonts w:ascii="Times New Roman" w:hAnsi="Times New Roman" w:cs="Times New Roman"/>
                <w:szCs w:val="24"/>
              </w:rPr>
            </w:pPr>
            <w:r w:rsidRPr="007245B0">
              <w:rPr>
                <w:rFonts w:ascii="Times New Roman" w:hAnsi="Times New Roman" w:cs="Times New Roman"/>
                <w:b/>
                <w:bCs/>
                <w:szCs w:val="24"/>
              </w:rPr>
              <w:t>86.67</w:t>
            </w:r>
          </w:p>
        </w:tc>
        <w:tc>
          <w:tcPr>
            <w:tcW w:w="1138" w:type="dxa"/>
            <w:vAlign w:val="center"/>
            <w:hideMark/>
          </w:tcPr>
          <w:p w14:paraId="1E6588FD" w14:textId="77777777" w:rsidR="00937698" w:rsidRPr="007245B0" w:rsidRDefault="00937698" w:rsidP="00871479">
            <w:pPr>
              <w:pStyle w:val="NoSpacing"/>
              <w:jc w:val="center"/>
              <w:rPr>
                <w:rFonts w:ascii="Times New Roman" w:hAnsi="Times New Roman" w:cs="Times New Roman"/>
                <w:szCs w:val="24"/>
              </w:rPr>
            </w:pPr>
            <w:r w:rsidRPr="007245B0">
              <w:rPr>
                <w:rFonts w:ascii="Times New Roman" w:hAnsi="Times New Roman" w:cs="Times New Roman"/>
                <w:b/>
                <w:bCs/>
                <w:szCs w:val="24"/>
              </w:rPr>
              <w:t>8.23</w:t>
            </w:r>
          </w:p>
        </w:tc>
        <w:tc>
          <w:tcPr>
            <w:tcW w:w="1130" w:type="dxa"/>
            <w:vAlign w:val="center"/>
            <w:hideMark/>
          </w:tcPr>
          <w:p w14:paraId="38451772" w14:textId="77777777" w:rsidR="00937698" w:rsidRPr="007245B0" w:rsidRDefault="00937698" w:rsidP="00871479">
            <w:pPr>
              <w:pStyle w:val="NoSpacing"/>
              <w:jc w:val="center"/>
              <w:rPr>
                <w:rFonts w:ascii="Times New Roman" w:hAnsi="Times New Roman" w:cs="Times New Roman"/>
                <w:szCs w:val="24"/>
              </w:rPr>
            </w:pPr>
            <w:r w:rsidRPr="007245B0">
              <w:rPr>
                <w:rFonts w:ascii="Times New Roman" w:hAnsi="Times New Roman" w:cs="Times New Roman"/>
                <w:b/>
                <w:bCs/>
                <w:szCs w:val="24"/>
              </w:rPr>
              <w:t>8.12</w:t>
            </w:r>
          </w:p>
        </w:tc>
        <w:tc>
          <w:tcPr>
            <w:tcW w:w="1181" w:type="dxa"/>
            <w:vAlign w:val="center"/>
            <w:hideMark/>
          </w:tcPr>
          <w:p w14:paraId="4DA13978" w14:textId="77777777" w:rsidR="00937698" w:rsidRPr="007245B0" w:rsidRDefault="00937698" w:rsidP="00871479">
            <w:pPr>
              <w:pStyle w:val="NoSpacing"/>
              <w:jc w:val="center"/>
              <w:rPr>
                <w:rFonts w:ascii="Times New Roman" w:hAnsi="Times New Roman" w:cs="Times New Roman"/>
                <w:szCs w:val="24"/>
              </w:rPr>
            </w:pPr>
            <w:r w:rsidRPr="007245B0">
              <w:rPr>
                <w:rFonts w:ascii="Times New Roman" w:hAnsi="Times New Roman" w:cs="Times New Roman"/>
                <w:b/>
                <w:bCs/>
                <w:szCs w:val="24"/>
              </w:rPr>
              <w:t>36.72</w:t>
            </w:r>
          </w:p>
        </w:tc>
      </w:tr>
      <w:tr w:rsidR="00937698" w:rsidRPr="007245B0" w14:paraId="35713C97" w14:textId="77777777" w:rsidTr="00871479">
        <w:trPr>
          <w:trHeight w:val="454"/>
        </w:trPr>
        <w:tc>
          <w:tcPr>
            <w:tcW w:w="3964" w:type="dxa"/>
            <w:vAlign w:val="center"/>
            <w:hideMark/>
          </w:tcPr>
          <w:p w14:paraId="0B2C2F67" w14:textId="77777777" w:rsidR="00937698" w:rsidRPr="007245B0" w:rsidRDefault="00937698" w:rsidP="00871479">
            <w:pPr>
              <w:pStyle w:val="NoSpacing"/>
              <w:rPr>
                <w:rFonts w:ascii="Times New Roman" w:hAnsi="Times New Roman" w:cs="Times New Roman"/>
                <w:szCs w:val="24"/>
              </w:rPr>
            </w:pPr>
            <w:r w:rsidRPr="007245B0">
              <w:rPr>
                <w:rFonts w:ascii="Times New Roman" w:hAnsi="Times New Roman" w:cs="Times New Roman"/>
                <w:b/>
                <w:bCs/>
                <w:szCs w:val="24"/>
              </w:rPr>
              <w:t>V. Others</w:t>
            </w:r>
          </w:p>
        </w:tc>
        <w:tc>
          <w:tcPr>
            <w:tcW w:w="1276" w:type="dxa"/>
            <w:vAlign w:val="center"/>
            <w:hideMark/>
          </w:tcPr>
          <w:p w14:paraId="39234973" w14:textId="77777777" w:rsidR="00937698" w:rsidRPr="007245B0" w:rsidRDefault="00937698" w:rsidP="00871479">
            <w:pPr>
              <w:pStyle w:val="NoSpacing"/>
              <w:jc w:val="center"/>
              <w:rPr>
                <w:rFonts w:ascii="Times New Roman" w:hAnsi="Times New Roman" w:cs="Times New Roman"/>
                <w:szCs w:val="24"/>
              </w:rPr>
            </w:pPr>
            <w:r w:rsidRPr="007245B0">
              <w:rPr>
                <w:rFonts w:ascii="Times New Roman" w:hAnsi="Times New Roman" w:cs="Times New Roman"/>
                <w:b/>
                <w:bCs/>
                <w:szCs w:val="24"/>
              </w:rPr>
              <w:t>5.03</w:t>
            </w:r>
          </w:p>
        </w:tc>
        <w:tc>
          <w:tcPr>
            <w:tcW w:w="1134" w:type="dxa"/>
            <w:vAlign w:val="center"/>
            <w:hideMark/>
          </w:tcPr>
          <w:p w14:paraId="19C5A21D" w14:textId="77777777" w:rsidR="00937698" w:rsidRPr="007245B0" w:rsidRDefault="00937698" w:rsidP="00871479">
            <w:pPr>
              <w:pStyle w:val="NoSpacing"/>
              <w:jc w:val="center"/>
              <w:rPr>
                <w:rFonts w:ascii="Times New Roman" w:hAnsi="Times New Roman" w:cs="Times New Roman"/>
                <w:szCs w:val="24"/>
              </w:rPr>
            </w:pPr>
            <w:r w:rsidRPr="007245B0">
              <w:rPr>
                <w:rFonts w:ascii="Times New Roman" w:hAnsi="Times New Roman" w:cs="Times New Roman"/>
                <w:b/>
                <w:bCs/>
                <w:szCs w:val="24"/>
              </w:rPr>
              <w:t>4.71</w:t>
            </w:r>
          </w:p>
        </w:tc>
        <w:tc>
          <w:tcPr>
            <w:tcW w:w="1138" w:type="dxa"/>
            <w:vAlign w:val="center"/>
            <w:hideMark/>
          </w:tcPr>
          <w:p w14:paraId="4DE8E423" w14:textId="77777777" w:rsidR="00937698" w:rsidRPr="007245B0" w:rsidRDefault="00937698" w:rsidP="00871479">
            <w:pPr>
              <w:pStyle w:val="NoSpacing"/>
              <w:jc w:val="center"/>
              <w:rPr>
                <w:rFonts w:ascii="Times New Roman" w:hAnsi="Times New Roman" w:cs="Times New Roman"/>
                <w:szCs w:val="24"/>
              </w:rPr>
            </w:pPr>
            <w:r w:rsidRPr="007245B0">
              <w:rPr>
                <w:rFonts w:ascii="Times New Roman" w:hAnsi="Times New Roman" w:cs="Times New Roman"/>
                <w:b/>
                <w:bCs/>
                <w:szCs w:val="24"/>
              </w:rPr>
              <w:t>5.91</w:t>
            </w:r>
          </w:p>
        </w:tc>
        <w:tc>
          <w:tcPr>
            <w:tcW w:w="1130" w:type="dxa"/>
            <w:vAlign w:val="center"/>
            <w:hideMark/>
          </w:tcPr>
          <w:p w14:paraId="7A84F5FE" w14:textId="77777777" w:rsidR="00937698" w:rsidRPr="007245B0" w:rsidRDefault="00937698" w:rsidP="00871479">
            <w:pPr>
              <w:pStyle w:val="NoSpacing"/>
              <w:jc w:val="center"/>
              <w:rPr>
                <w:rFonts w:ascii="Times New Roman" w:hAnsi="Times New Roman" w:cs="Times New Roman"/>
                <w:szCs w:val="24"/>
              </w:rPr>
            </w:pPr>
            <w:r w:rsidRPr="007245B0">
              <w:rPr>
                <w:rFonts w:ascii="Times New Roman" w:hAnsi="Times New Roman" w:cs="Times New Roman"/>
                <w:b/>
                <w:bCs/>
                <w:szCs w:val="24"/>
              </w:rPr>
              <w:t>8.05</w:t>
            </w:r>
          </w:p>
        </w:tc>
        <w:tc>
          <w:tcPr>
            <w:tcW w:w="1181" w:type="dxa"/>
            <w:vAlign w:val="center"/>
            <w:hideMark/>
          </w:tcPr>
          <w:p w14:paraId="59DE04F6" w14:textId="77777777" w:rsidR="00937698" w:rsidRPr="007245B0" w:rsidRDefault="00937698" w:rsidP="00871479">
            <w:pPr>
              <w:pStyle w:val="NoSpacing"/>
              <w:jc w:val="center"/>
              <w:rPr>
                <w:rFonts w:ascii="Times New Roman" w:hAnsi="Times New Roman" w:cs="Times New Roman"/>
                <w:szCs w:val="24"/>
              </w:rPr>
            </w:pPr>
            <w:r w:rsidRPr="007245B0">
              <w:rPr>
                <w:rFonts w:ascii="Times New Roman" w:hAnsi="Times New Roman" w:cs="Times New Roman"/>
                <w:b/>
                <w:bCs/>
                <w:szCs w:val="24"/>
              </w:rPr>
              <w:t>7.52</w:t>
            </w:r>
          </w:p>
        </w:tc>
      </w:tr>
      <w:tr w:rsidR="00937698" w:rsidRPr="007245B0" w14:paraId="4642C9EA" w14:textId="77777777" w:rsidTr="00871479">
        <w:trPr>
          <w:trHeight w:val="454"/>
        </w:trPr>
        <w:tc>
          <w:tcPr>
            <w:tcW w:w="3964" w:type="dxa"/>
            <w:vAlign w:val="center"/>
            <w:hideMark/>
          </w:tcPr>
          <w:p w14:paraId="542E43EC" w14:textId="77777777" w:rsidR="00937698" w:rsidRPr="007245B0" w:rsidRDefault="00937698" w:rsidP="00871479">
            <w:pPr>
              <w:pStyle w:val="NoSpacing"/>
              <w:rPr>
                <w:rFonts w:ascii="Times New Roman" w:hAnsi="Times New Roman" w:cs="Times New Roman"/>
                <w:szCs w:val="24"/>
              </w:rPr>
            </w:pPr>
          </w:p>
        </w:tc>
        <w:tc>
          <w:tcPr>
            <w:tcW w:w="1276" w:type="dxa"/>
            <w:vAlign w:val="center"/>
            <w:hideMark/>
          </w:tcPr>
          <w:p w14:paraId="0DF09120" w14:textId="77777777" w:rsidR="00937698" w:rsidRPr="007245B0" w:rsidRDefault="00937698" w:rsidP="00871479">
            <w:pPr>
              <w:pStyle w:val="NoSpacing"/>
              <w:jc w:val="center"/>
              <w:rPr>
                <w:rFonts w:ascii="Times New Roman" w:hAnsi="Times New Roman" w:cs="Times New Roman"/>
                <w:szCs w:val="24"/>
              </w:rPr>
            </w:pPr>
          </w:p>
        </w:tc>
        <w:tc>
          <w:tcPr>
            <w:tcW w:w="1134" w:type="dxa"/>
            <w:vAlign w:val="center"/>
            <w:hideMark/>
          </w:tcPr>
          <w:p w14:paraId="60FC2AAD" w14:textId="77777777" w:rsidR="00937698" w:rsidRPr="007245B0" w:rsidRDefault="00937698" w:rsidP="00871479">
            <w:pPr>
              <w:pStyle w:val="NoSpacing"/>
              <w:jc w:val="center"/>
              <w:rPr>
                <w:rFonts w:ascii="Times New Roman" w:hAnsi="Times New Roman" w:cs="Times New Roman"/>
                <w:szCs w:val="24"/>
              </w:rPr>
            </w:pPr>
          </w:p>
        </w:tc>
        <w:tc>
          <w:tcPr>
            <w:tcW w:w="1138" w:type="dxa"/>
            <w:vAlign w:val="center"/>
            <w:hideMark/>
          </w:tcPr>
          <w:p w14:paraId="44FE1593" w14:textId="77777777" w:rsidR="00937698" w:rsidRPr="007245B0" w:rsidRDefault="00937698" w:rsidP="00871479">
            <w:pPr>
              <w:pStyle w:val="NoSpacing"/>
              <w:jc w:val="center"/>
              <w:rPr>
                <w:rFonts w:ascii="Times New Roman" w:hAnsi="Times New Roman" w:cs="Times New Roman"/>
                <w:szCs w:val="24"/>
              </w:rPr>
            </w:pPr>
          </w:p>
        </w:tc>
        <w:tc>
          <w:tcPr>
            <w:tcW w:w="1130" w:type="dxa"/>
            <w:vAlign w:val="center"/>
            <w:hideMark/>
          </w:tcPr>
          <w:p w14:paraId="628E835D" w14:textId="77777777" w:rsidR="00937698" w:rsidRPr="007245B0" w:rsidRDefault="00937698" w:rsidP="00871479">
            <w:pPr>
              <w:pStyle w:val="NoSpacing"/>
              <w:jc w:val="center"/>
              <w:rPr>
                <w:rFonts w:ascii="Times New Roman" w:hAnsi="Times New Roman" w:cs="Times New Roman"/>
                <w:szCs w:val="24"/>
              </w:rPr>
            </w:pPr>
          </w:p>
        </w:tc>
        <w:tc>
          <w:tcPr>
            <w:tcW w:w="1181" w:type="dxa"/>
            <w:vAlign w:val="center"/>
            <w:hideMark/>
          </w:tcPr>
          <w:p w14:paraId="10527442" w14:textId="77777777" w:rsidR="00937698" w:rsidRPr="007245B0" w:rsidRDefault="00937698" w:rsidP="00871479">
            <w:pPr>
              <w:pStyle w:val="NoSpacing"/>
              <w:jc w:val="center"/>
              <w:rPr>
                <w:rFonts w:ascii="Times New Roman" w:hAnsi="Times New Roman" w:cs="Times New Roman"/>
                <w:szCs w:val="24"/>
              </w:rPr>
            </w:pPr>
          </w:p>
        </w:tc>
      </w:tr>
      <w:tr w:rsidR="00937698" w:rsidRPr="007245B0" w14:paraId="1A13B815" w14:textId="77777777" w:rsidTr="00871479">
        <w:trPr>
          <w:trHeight w:val="454"/>
        </w:trPr>
        <w:tc>
          <w:tcPr>
            <w:tcW w:w="3964" w:type="dxa"/>
            <w:vAlign w:val="center"/>
            <w:hideMark/>
          </w:tcPr>
          <w:p w14:paraId="0B48E9DB" w14:textId="59B84C01" w:rsidR="00937698" w:rsidRPr="007245B0" w:rsidRDefault="00BB1A14" w:rsidP="00871479">
            <w:pPr>
              <w:pStyle w:val="NoSpacing"/>
              <w:rPr>
                <w:rFonts w:ascii="Times New Roman" w:hAnsi="Times New Roman" w:cs="Times New Roman"/>
                <w:szCs w:val="24"/>
              </w:rPr>
            </w:pPr>
            <w:r w:rsidRPr="007245B0">
              <w:rPr>
                <w:rFonts w:ascii="Times New Roman" w:hAnsi="Times New Roman" w:cs="Times New Roman"/>
                <w:b/>
                <w:bCs/>
                <w:szCs w:val="24"/>
              </w:rPr>
              <w:t>TOTAL:</w:t>
            </w:r>
            <w:r w:rsidR="00937698" w:rsidRPr="007245B0">
              <w:rPr>
                <w:rFonts w:ascii="Times New Roman" w:hAnsi="Times New Roman" w:cs="Times New Roman"/>
                <w:b/>
                <w:bCs/>
                <w:szCs w:val="24"/>
              </w:rPr>
              <w:t xml:space="preserve"> Revenue Receipts</w:t>
            </w:r>
          </w:p>
        </w:tc>
        <w:tc>
          <w:tcPr>
            <w:tcW w:w="1276" w:type="dxa"/>
            <w:vAlign w:val="center"/>
            <w:hideMark/>
          </w:tcPr>
          <w:p w14:paraId="074033DB" w14:textId="77777777" w:rsidR="00937698" w:rsidRPr="007245B0" w:rsidRDefault="00937698" w:rsidP="00871479">
            <w:pPr>
              <w:pStyle w:val="NoSpacing"/>
              <w:jc w:val="center"/>
              <w:rPr>
                <w:rFonts w:ascii="Times New Roman" w:hAnsi="Times New Roman" w:cs="Times New Roman"/>
                <w:szCs w:val="24"/>
              </w:rPr>
            </w:pPr>
            <w:r w:rsidRPr="007245B0">
              <w:rPr>
                <w:rFonts w:ascii="Times New Roman" w:hAnsi="Times New Roman" w:cs="Times New Roman"/>
                <w:b/>
                <w:bCs/>
                <w:szCs w:val="24"/>
              </w:rPr>
              <w:t>2101.74</w:t>
            </w:r>
          </w:p>
        </w:tc>
        <w:tc>
          <w:tcPr>
            <w:tcW w:w="1134" w:type="dxa"/>
            <w:vAlign w:val="center"/>
            <w:hideMark/>
          </w:tcPr>
          <w:p w14:paraId="4511FC00" w14:textId="12C484A5" w:rsidR="00937698" w:rsidRPr="007245B0" w:rsidRDefault="00937698" w:rsidP="00871479">
            <w:pPr>
              <w:pStyle w:val="NoSpacing"/>
              <w:jc w:val="center"/>
              <w:rPr>
                <w:rFonts w:ascii="Times New Roman" w:hAnsi="Times New Roman" w:cs="Times New Roman"/>
                <w:szCs w:val="24"/>
              </w:rPr>
            </w:pPr>
            <w:r w:rsidRPr="007245B0">
              <w:rPr>
                <w:rFonts w:ascii="Times New Roman" w:hAnsi="Times New Roman" w:cs="Times New Roman"/>
                <w:b/>
                <w:bCs/>
                <w:szCs w:val="24"/>
              </w:rPr>
              <w:t>2344.</w:t>
            </w:r>
            <w:r w:rsidR="00886EB4">
              <w:rPr>
                <w:rFonts w:ascii="Times New Roman" w:hAnsi="Times New Roman" w:cs="Times New Roman"/>
                <w:b/>
                <w:bCs/>
                <w:szCs w:val="24"/>
              </w:rPr>
              <w:t>4</w:t>
            </w:r>
          </w:p>
        </w:tc>
        <w:tc>
          <w:tcPr>
            <w:tcW w:w="1138" w:type="dxa"/>
            <w:vAlign w:val="center"/>
            <w:hideMark/>
          </w:tcPr>
          <w:p w14:paraId="5DFD629E" w14:textId="017934E0" w:rsidR="00937698" w:rsidRPr="007245B0" w:rsidRDefault="00937698" w:rsidP="00871479">
            <w:pPr>
              <w:pStyle w:val="NoSpacing"/>
              <w:jc w:val="center"/>
              <w:rPr>
                <w:rFonts w:ascii="Times New Roman" w:hAnsi="Times New Roman" w:cs="Times New Roman"/>
                <w:szCs w:val="24"/>
              </w:rPr>
            </w:pPr>
            <w:r w:rsidRPr="007245B0">
              <w:rPr>
                <w:rFonts w:ascii="Times New Roman" w:hAnsi="Times New Roman" w:cs="Times New Roman"/>
                <w:b/>
                <w:bCs/>
                <w:szCs w:val="24"/>
              </w:rPr>
              <w:t>2500.14</w:t>
            </w:r>
          </w:p>
        </w:tc>
        <w:tc>
          <w:tcPr>
            <w:tcW w:w="1130" w:type="dxa"/>
            <w:vAlign w:val="center"/>
            <w:hideMark/>
          </w:tcPr>
          <w:p w14:paraId="5CBD2056" w14:textId="5751ED1F" w:rsidR="00937698" w:rsidRPr="007245B0" w:rsidRDefault="00886EB4" w:rsidP="00871479">
            <w:pPr>
              <w:pStyle w:val="NoSpacing"/>
              <w:jc w:val="center"/>
              <w:rPr>
                <w:rFonts w:ascii="Times New Roman" w:hAnsi="Times New Roman" w:cs="Times New Roman"/>
                <w:szCs w:val="24"/>
              </w:rPr>
            </w:pPr>
            <w:r>
              <w:rPr>
                <w:rFonts w:ascii="Times New Roman" w:hAnsi="Times New Roman" w:cs="Times New Roman"/>
                <w:b/>
                <w:bCs/>
                <w:szCs w:val="24"/>
              </w:rPr>
              <w:t>2</w:t>
            </w:r>
            <w:r w:rsidR="00937698" w:rsidRPr="007245B0">
              <w:rPr>
                <w:rFonts w:ascii="Times New Roman" w:hAnsi="Times New Roman" w:cs="Times New Roman"/>
                <w:b/>
                <w:bCs/>
                <w:szCs w:val="24"/>
              </w:rPr>
              <w:t>585.</w:t>
            </w:r>
            <w:r>
              <w:rPr>
                <w:rFonts w:ascii="Times New Roman" w:hAnsi="Times New Roman" w:cs="Times New Roman"/>
                <w:b/>
                <w:bCs/>
                <w:szCs w:val="24"/>
              </w:rPr>
              <w:t>2</w:t>
            </w:r>
            <w:r w:rsidR="00937698" w:rsidRPr="007245B0">
              <w:rPr>
                <w:rFonts w:ascii="Times New Roman" w:hAnsi="Times New Roman" w:cs="Times New Roman"/>
                <w:b/>
                <w:bCs/>
                <w:szCs w:val="24"/>
              </w:rPr>
              <w:t>9</w:t>
            </w:r>
          </w:p>
        </w:tc>
        <w:tc>
          <w:tcPr>
            <w:tcW w:w="1181" w:type="dxa"/>
            <w:vAlign w:val="center"/>
            <w:hideMark/>
          </w:tcPr>
          <w:p w14:paraId="5E8E7462" w14:textId="48851DA5" w:rsidR="00937698" w:rsidRPr="00886EB4" w:rsidRDefault="00886EB4" w:rsidP="00871479">
            <w:pPr>
              <w:pStyle w:val="NoSpacing"/>
              <w:jc w:val="center"/>
              <w:rPr>
                <w:rFonts w:ascii="Times New Roman" w:hAnsi="Times New Roman" w:cs="Times New Roman"/>
                <w:b/>
                <w:bCs/>
                <w:szCs w:val="24"/>
              </w:rPr>
            </w:pPr>
            <w:r w:rsidRPr="00886EB4">
              <w:rPr>
                <w:rFonts w:ascii="Times New Roman" w:hAnsi="Times New Roman" w:cs="Times New Roman"/>
                <w:b/>
                <w:bCs/>
                <w:szCs w:val="24"/>
              </w:rPr>
              <w:t>2748.68</w:t>
            </w:r>
          </w:p>
        </w:tc>
      </w:tr>
    </w:tbl>
    <w:p w14:paraId="0189C75D" w14:textId="77777777" w:rsidR="00937698" w:rsidRPr="00871479" w:rsidRDefault="00937698" w:rsidP="00937698">
      <w:pPr>
        <w:tabs>
          <w:tab w:val="left" w:pos="3306"/>
        </w:tabs>
        <w:rPr>
          <w:rFonts w:ascii="Times New Roman" w:hAnsi="Times New Roman" w:cs="Times New Roman"/>
          <w:sz w:val="20"/>
          <w:szCs w:val="20"/>
        </w:rPr>
      </w:pPr>
      <w:r w:rsidRPr="00871479">
        <w:rPr>
          <w:rFonts w:ascii="Times New Roman" w:hAnsi="Times New Roman" w:cs="Times New Roman"/>
          <w:sz w:val="20"/>
          <w:szCs w:val="20"/>
        </w:rPr>
        <w:t>Source: Central Government Budgets.</w:t>
      </w:r>
    </w:p>
    <w:p w14:paraId="4056BD14" w14:textId="3C891DD7" w:rsidR="00E22444" w:rsidRDefault="00937698" w:rsidP="00E22444">
      <w:pPr>
        <w:pStyle w:val="Heading4"/>
      </w:pPr>
      <w:r w:rsidRPr="007245B0">
        <w:rPr>
          <w:cs/>
        </w:rPr>
        <w:br w:type="page"/>
      </w:r>
      <w:r w:rsidRPr="007245B0">
        <w:lastRenderedPageBreak/>
        <w:br w:type="page"/>
      </w:r>
      <w:bookmarkStart w:id="165" w:name="_Toc220949725"/>
      <w:bookmarkStart w:id="166" w:name="_Toc221114325"/>
      <w:bookmarkStart w:id="167" w:name="_Toc221115348"/>
      <w:r w:rsidR="00574BCE">
        <w:lastRenderedPageBreak/>
        <w:t>Table</w:t>
      </w:r>
      <w:r w:rsidR="00E22444">
        <w:t xml:space="preserve"> 44: </w:t>
      </w:r>
      <w:r w:rsidR="00B13DC2" w:rsidRPr="007245B0">
        <w:t xml:space="preserve">Revenue </w:t>
      </w:r>
      <w:r w:rsidRPr="007245B0">
        <w:t xml:space="preserve">Expenditure </w:t>
      </w:r>
      <w:r w:rsidR="00B13DC2">
        <w:t>of the Government of India</w:t>
      </w:r>
      <w:bookmarkEnd w:id="165"/>
      <w:bookmarkEnd w:id="166"/>
      <w:bookmarkEnd w:id="167"/>
    </w:p>
    <w:p w14:paraId="4BF16DCC" w14:textId="5AA08241" w:rsidR="00BB1A14" w:rsidRPr="007245B0" w:rsidRDefault="00937698" w:rsidP="00E22444">
      <w:pPr>
        <w:spacing w:after="0"/>
        <w:jc w:val="right"/>
        <w:rPr>
          <w:rFonts w:ascii="Times New Roman" w:hAnsi="Times New Roman" w:cs="Times New Roman"/>
          <w:i/>
          <w:iCs/>
          <w:szCs w:val="24"/>
        </w:rPr>
      </w:pPr>
      <w:r w:rsidRPr="007245B0">
        <w:rPr>
          <w:rFonts w:ascii="Times New Roman" w:hAnsi="Times New Roman" w:cs="Times New Roman"/>
          <w:i/>
          <w:iCs/>
          <w:szCs w:val="24"/>
        </w:rPr>
        <w:t>(Rs. crores)</w:t>
      </w:r>
    </w:p>
    <w:tbl>
      <w:tblPr>
        <w:tblStyle w:val="TableGrid"/>
        <w:tblW w:w="10987" w:type="dxa"/>
        <w:jc w:val="center"/>
        <w:tblLook w:val="04A0" w:firstRow="1" w:lastRow="0" w:firstColumn="1" w:lastColumn="0" w:noHBand="0" w:noVBand="1"/>
      </w:tblPr>
      <w:tblGrid>
        <w:gridCol w:w="1310"/>
        <w:gridCol w:w="736"/>
        <w:gridCol w:w="656"/>
        <w:gridCol w:w="736"/>
        <w:gridCol w:w="736"/>
        <w:gridCol w:w="656"/>
        <w:gridCol w:w="736"/>
        <w:gridCol w:w="736"/>
        <w:gridCol w:w="656"/>
        <w:gridCol w:w="736"/>
        <w:gridCol w:w="736"/>
        <w:gridCol w:w="656"/>
        <w:gridCol w:w="736"/>
        <w:gridCol w:w="731"/>
        <w:gridCol w:w="656"/>
        <w:gridCol w:w="736"/>
      </w:tblGrid>
      <w:tr w:rsidR="00BB1A14" w:rsidRPr="00E22444" w14:paraId="0A6EA3DC" w14:textId="77777777" w:rsidTr="00E22444">
        <w:trPr>
          <w:trHeight w:val="21"/>
          <w:jc w:val="center"/>
        </w:trPr>
        <w:tc>
          <w:tcPr>
            <w:tcW w:w="1164" w:type="dxa"/>
            <w:vMerge w:val="restart"/>
            <w:vAlign w:val="center"/>
          </w:tcPr>
          <w:p w14:paraId="0D4C08E2" w14:textId="0E451B50" w:rsidR="00BB1A14" w:rsidRPr="00E22444" w:rsidRDefault="00BB1A14" w:rsidP="00E22444">
            <w:pPr>
              <w:pStyle w:val="NoSpacing"/>
              <w:jc w:val="center"/>
              <w:rPr>
                <w:rFonts w:ascii="Times New Roman" w:hAnsi="Times New Roman" w:cs="Times New Roman"/>
                <w:b/>
                <w:bCs/>
                <w:sz w:val="16"/>
                <w:szCs w:val="16"/>
              </w:rPr>
            </w:pPr>
            <w:r w:rsidRPr="00E22444">
              <w:rPr>
                <w:rFonts w:ascii="Times New Roman" w:hAnsi="Times New Roman" w:cs="Times New Roman"/>
                <w:b/>
                <w:bCs/>
                <w:sz w:val="16"/>
                <w:szCs w:val="16"/>
              </w:rPr>
              <w:t>Heads of Expenditure</w:t>
            </w:r>
          </w:p>
        </w:tc>
        <w:tc>
          <w:tcPr>
            <w:tcW w:w="1964" w:type="dxa"/>
            <w:gridSpan w:val="3"/>
            <w:vAlign w:val="center"/>
          </w:tcPr>
          <w:p w14:paraId="2024C04E" w14:textId="399CB530" w:rsidR="00BB1A14" w:rsidRPr="00E22444" w:rsidRDefault="00BB1A14" w:rsidP="00E22444">
            <w:pPr>
              <w:pStyle w:val="NoSpacing"/>
              <w:jc w:val="center"/>
              <w:rPr>
                <w:rFonts w:ascii="Times New Roman" w:hAnsi="Times New Roman" w:cs="Times New Roman"/>
                <w:b/>
                <w:bCs/>
                <w:sz w:val="16"/>
                <w:szCs w:val="16"/>
              </w:rPr>
            </w:pPr>
            <w:r w:rsidRPr="00E22444">
              <w:rPr>
                <w:rFonts w:ascii="Times New Roman" w:hAnsi="Times New Roman" w:cs="Times New Roman"/>
                <w:b/>
                <w:bCs/>
                <w:sz w:val="16"/>
                <w:szCs w:val="16"/>
              </w:rPr>
              <w:t>1964-65</w:t>
            </w:r>
          </w:p>
        </w:tc>
        <w:tc>
          <w:tcPr>
            <w:tcW w:w="1966" w:type="dxa"/>
            <w:gridSpan w:val="3"/>
            <w:vAlign w:val="center"/>
          </w:tcPr>
          <w:p w14:paraId="29FFD955" w14:textId="3255CD7D" w:rsidR="00BB1A14" w:rsidRPr="00E22444" w:rsidRDefault="00BB1A14" w:rsidP="00E22444">
            <w:pPr>
              <w:pStyle w:val="NoSpacing"/>
              <w:jc w:val="center"/>
              <w:rPr>
                <w:rFonts w:ascii="Times New Roman" w:hAnsi="Times New Roman" w:cs="Times New Roman"/>
                <w:b/>
                <w:bCs/>
                <w:sz w:val="16"/>
                <w:szCs w:val="16"/>
              </w:rPr>
            </w:pPr>
            <w:r w:rsidRPr="00E22444">
              <w:rPr>
                <w:rFonts w:ascii="Times New Roman" w:hAnsi="Times New Roman" w:cs="Times New Roman"/>
                <w:b/>
                <w:bCs/>
                <w:sz w:val="16"/>
                <w:szCs w:val="16"/>
              </w:rPr>
              <w:t>1965-66</w:t>
            </w:r>
          </w:p>
        </w:tc>
        <w:tc>
          <w:tcPr>
            <w:tcW w:w="1966" w:type="dxa"/>
            <w:gridSpan w:val="3"/>
            <w:vAlign w:val="center"/>
          </w:tcPr>
          <w:p w14:paraId="395B09E8" w14:textId="3365D5D7" w:rsidR="00BB1A14" w:rsidRPr="00E22444" w:rsidRDefault="00BB1A14" w:rsidP="00E22444">
            <w:pPr>
              <w:pStyle w:val="NoSpacing"/>
              <w:jc w:val="center"/>
              <w:rPr>
                <w:rFonts w:ascii="Times New Roman" w:hAnsi="Times New Roman" w:cs="Times New Roman"/>
                <w:b/>
                <w:bCs/>
                <w:sz w:val="16"/>
                <w:szCs w:val="16"/>
              </w:rPr>
            </w:pPr>
            <w:r w:rsidRPr="00E22444">
              <w:rPr>
                <w:rFonts w:ascii="Times New Roman" w:hAnsi="Times New Roman" w:cs="Times New Roman"/>
                <w:b/>
                <w:bCs/>
                <w:sz w:val="16"/>
                <w:szCs w:val="16"/>
              </w:rPr>
              <w:t>1966-67</w:t>
            </w:r>
          </w:p>
        </w:tc>
        <w:tc>
          <w:tcPr>
            <w:tcW w:w="1966" w:type="dxa"/>
            <w:gridSpan w:val="3"/>
            <w:vAlign w:val="center"/>
          </w:tcPr>
          <w:p w14:paraId="75E0F1FA" w14:textId="303FA0CD" w:rsidR="00BB1A14" w:rsidRPr="00E22444" w:rsidRDefault="00BB1A14" w:rsidP="00E22444">
            <w:pPr>
              <w:pStyle w:val="NoSpacing"/>
              <w:jc w:val="center"/>
              <w:rPr>
                <w:rFonts w:ascii="Times New Roman" w:hAnsi="Times New Roman" w:cs="Times New Roman"/>
                <w:b/>
                <w:bCs/>
                <w:sz w:val="16"/>
                <w:szCs w:val="16"/>
              </w:rPr>
            </w:pPr>
            <w:r w:rsidRPr="00E22444">
              <w:rPr>
                <w:rFonts w:ascii="Times New Roman" w:hAnsi="Times New Roman" w:cs="Times New Roman"/>
                <w:b/>
                <w:bCs/>
                <w:sz w:val="16"/>
                <w:szCs w:val="16"/>
              </w:rPr>
              <w:t>1967-68</w:t>
            </w:r>
          </w:p>
        </w:tc>
        <w:tc>
          <w:tcPr>
            <w:tcW w:w="1961" w:type="dxa"/>
            <w:gridSpan w:val="3"/>
            <w:vAlign w:val="center"/>
          </w:tcPr>
          <w:p w14:paraId="5BDEB911" w14:textId="5A811711" w:rsidR="00BB1A14" w:rsidRPr="00E22444" w:rsidRDefault="00BB1A14" w:rsidP="00E22444">
            <w:pPr>
              <w:pStyle w:val="NoSpacing"/>
              <w:jc w:val="center"/>
              <w:rPr>
                <w:rFonts w:ascii="Times New Roman" w:hAnsi="Times New Roman" w:cs="Times New Roman"/>
                <w:b/>
                <w:bCs/>
                <w:sz w:val="16"/>
                <w:szCs w:val="16"/>
              </w:rPr>
            </w:pPr>
            <w:r w:rsidRPr="00E22444">
              <w:rPr>
                <w:rFonts w:ascii="Times New Roman" w:hAnsi="Times New Roman" w:cs="Times New Roman"/>
                <w:b/>
                <w:bCs/>
                <w:sz w:val="16"/>
                <w:szCs w:val="16"/>
              </w:rPr>
              <w:t>1968-69 (RE)</w:t>
            </w:r>
          </w:p>
        </w:tc>
      </w:tr>
      <w:tr w:rsidR="00BB1A14" w:rsidRPr="00E22444" w14:paraId="6092568D" w14:textId="77777777" w:rsidTr="00E22444">
        <w:trPr>
          <w:trHeight w:val="21"/>
          <w:jc w:val="center"/>
        </w:trPr>
        <w:tc>
          <w:tcPr>
            <w:tcW w:w="1164" w:type="dxa"/>
            <w:vMerge/>
            <w:vAlign w:val="center"/>
            <w:hideMark/>
          </w:tcPr>
          <w:p w14:paraId="3E319C82" w14:textId="77777777" w:rsidR="00BB1A14" w:rsidRPr="00E22444" w:rsidRDefault="00BB1A14" w:rsidP="00E22444">
            <w:pPr>
              <w:pStyle w:val="NoSpacing"/>
              <w:jc w:val="center"/>
              <w:rPr>
                <w:rFonts w:ascii="Times New Roman" w:hAnsi="Times New Roman" w:cs="Times New Roman"/>
                <w:b/>
                <w:bCs/>
                <w:sz w:val="16"/>
                <w:szCs w:val="16"/>
              </w:rPr>
            </w:pPr>
          </w:p>
        </w:tc>
        <w:tc>
          <w:tcPr>
            <w:tcW w:w="677" w:type="dxa"/>
            <w:vAlign w:val="center"/>
            <w:hideMark/>
          </w:tcPr>
          <w:p w14:paraId="104E0EA1" w14:textId="77777777" w:rsidR="00BB1A14" w:rsidRPr="00E22444" w:rsidRDefault="00BB1A14" w:rsidP="00E22444">
            <w:pPr>
              <w:pStyle w:val="NoSpacing"/>
              <w:jc w:val="center"/>
              <w:rPr>
                <w:rFonts w:ascii="Times New Roman" w:hAnsi="Times New Roman" w:cs="Times New Roman"/>
                <w:b/>
                <w:bCs/>
                <w:sz w:val="16"/>
                <w:szCs w:val="16"/>
              </w:rPr>
            </w:pPr>
            <w:r w:rsidRPr="00E22444">
              <w:rPr>
                <w:rFonts w:ascii="Times New Roman" w:hAnsi="Times New Roman" w:cs="Times New Roman"/>
                <w:b/>
                <w:bCs/>
                <w:sz w:val="16"/>
                <w:szCs w:val="16"/>
              </w:rPr>
              <w:t>Non-Plan</w:t>
            </w:r>
          </w:p>
        </w:tc>
        <w:tc>
          <w:tcPr>
            <w:tcW w:w="609" w:type="dxa"/>
            <w:vAlign w:val="center"/>
            <w:hideMark/>
          </w:tcPr>
          <w:p w14:paraId="1D940371" w14:textId="77777777" w:rsidR="00BB1A14" w:rsidRPr="00E22444" w:rsidRDefault="00BB1A14" w:rsidP="00E22444">
            <w:pPr>
              <w:pStyle w:val="NoSpacing"/>
              <w:jc w:val="center"/>
              <w:rPr>
                <w:rFonts w:ascii="Times New Roman" w:hAnsi="Times New Roman" w:cs="Times New Roman"/>
                <w:b/>
                <w:bCs/>
                <w:sz w:val="16"/>
                <w:szCs w:val="16"/>
              </w:rPr>
            </w:pPr>
            <w:r w:rsidRPr="00E22444">
              <w:rPr>
                <w:rFonts w:ascii="Times New Roman" w:hAnsi="Times New Roman" w:cs="Times New Roman"/>
                <w:b/>
                <w:bCs/>
                <w:sz w:val="16"/>
                <w:szCs w:val="16"/>
              </w:rPr>
              <w:t>Plan</w:t>
            </w:r>
          </w:p>
        </w:tc>
        <w:tc>
          <w:tcPr>
            <w:tcW w:w="678" w:type="dxa"/>
            <w:vAlign w:val="center"/>
            <w:hideMark/>
          </w:tcPr>
          <w:p w14:paraId="5254CE6E" w14:textId="77777777" w:rsidR="00BB1A14" w:rsidRPr="00E22444" w:rsidRDefault="00BB1A14" w:rsidP="00E22444">
            <w:pPr>
              <w:pStyle w:val="NoSpacing"/>
              <w:jc w:val="center"/>
              <w:rPr>
                <w:rFonts w:ascii="Times New Roman" w:hAnsi="Times New Roman" w:cs="Times New Roman"/>
                <w:b/>
                <w:bCs/>
                <w:sz w:val="16"/>
                <w:szCs w:val="16"/>
              </w:rPr>
            </w:pPr>
            <w:r w:rsidRPr="00E22444">
              <w:rPr>
                <w:rFonts w:ascii="Times New Roman" w:hAnsi="Times New Roman" w:cs="Times New Roman"/>
                <w:b/>
                <w:bCs/>
                <w:sz w:val="16"/>
                <w:szCs w:val="16"/>
              </w:rPr>
              <w:t>Total</w:t>
            </w:r>
          </w:p>
        </w:tc>
        <w:tc>
          <w:tcPr>
            <w:tcW w:w="678" w:type="dxa"/>
            <w:vAlign w:val="center"/>
            <w:hideMark/>
          </w:tcPr>
          <w:p w14:paraId="1A803DA3" w14:textId="77777777" w:rsidR="00BB1A14" w:rsidRPr="00E22444" w:rsidRDefault="00BB1A14" w:rsidP="00E22444">
            <w:pPr>
              <w:pStyle w:val="NoSpacing"/>
              <w:jc w:val="center"/>
              <w:rPr>
                <w:rFonts w:ascii="Times New Roman" w:hAnsi="Times New Roman" w:cs="Times New Roman"/>
                <w:b/>
                <w:bCs/>
                <w:sz w:val="16"/>
                <w:szCs w:val="16"/>
              </w:rPr>
            </w:pPr>
            <w:r w:rsidRPr="00E22444">
              <w:rPr>
                <w:rFonts w:ascii="Times New Roman" w:hAnsi="Times New Roman" w:cs="Times New Roman"/>
                <w:b/>
                <w:bCs/>
                <w:sz w:val="16"/>
                <w:szCs w:val="16"/>
              </w:rPr>
              <w:t>Non-Plan</w:t>
            </w:r>
          </w:p>
        </w:tc>
        <w:tc>
          <w:tcPr>
            <w:tcW w:w="610" w:type="dxa"/>
            <w:vAlign w:val="center"/>
            <w:hideMark/>
          </w:tcPr>
          <w:p w14:paraId="44C94A5D" w14:textId="77777777" w:rsidR="00BB1A14" w:rsidRPr="00E22444" w:rsidRDefault="00BB1A14" w:rsidP="00E22444">
            <w:pPr>
              <w:pStyle w:val="NoSpacing"/>
              <w:jc w:val="center"/>
              <w:rPr>
                <w:rFonts w:ascii="Times New Roman" w:hAnsi="Times New Roman" w:cs="Times New Roman"/>
                <w:b/>
                <w:bCs/>
                <w:sz w:val="16"/>
                <w:szCs w:val="16"/>
              </w:rPr>
            </w:pPr>
            <w:r w:rsidRPr="00E22444">
              <w:rPr>
                <w:rFonts w:ascii="Times New Roman" w:hAnsi="Times New Roman" w:cs="Times New Roman"/>
                <w:b/>
                <w:bCs/>
                <w:sz w:val="16"/>
                <w:szCs w:val="16"/>
              </w:rPr>
              <w:t>Plan</w:t>
            </w:r>
          </w:p>
        </w:tc>
        <w:tc>
          <w:tcPr>
            <w:tcW w:w="678" w:type="dxa"/>
            <w:vAlign w:val="center"/>
            <w:hideMark/>
          </w:tcPr>
          <w:p w14:paraId="7936BBCE" w14:textId="77777777" w:rsidR="00BB1A14" w:rsidRPr="00E22444" w:rsidRDefault="00BB1A14" w:rsidP="00E22444">
            <w:pPr>
              <w:pStyle w:val="NoSpacing"/>
              <w:jc w:val="center"/>
              <w:rPr>
                <w:rFonts w:ascii="Times New Roman" w:hAnsi="Times New Roman" w:cs="Times New Roman"/>
                <w:b/>
                <w:bCs/>
                <w:sz w:val="16"/>
                <w:szCs w:val="16"/>
              </w:rPr>
            </w:pPr>
            <w:r w:rsidRPr="00E22444">
              <w:rPr>
                <w:rFonts w:ascii="Times New Roman" w:hAnsi="Times New Roman" w:cs="Times New Roman"/>
                <w:b/>
                <w:bCs/>
                <w:sz w:val="16"/>
                <w:szCs w:val="16"/>
              </w:rPr>
              <w:t>Total</w:t>
            </w:r>
          </w:p>
        </w:tc>
        <w:tc>
          <w:tcPr>
            <w:tcW w:w="678" w:type="dxa"/>
            <w:vAlign w:val="center"/>
            <w:hideMark/>
          </w:tcPr>
          <w:p w14:paraId="43CFCEDD" w14:textId="77777777" w:rsidR="00BB1A14" w:rsidRPr="00E22444" w:rsidRDefault="00BB1A14" w:rsidP="00E22444">
            <w:pPr>
              <w:pStyle w:val="NoSpacing"/>
              <w:jc w:val="center"/>
              <w:rPr>
                <w:rFonts w:ascii="Times New Roman" w:hAnsi="Times New Roman" w:cs="Times New Roman"/>
                <w:b/>
                <w:bCs/>
                <w:sz w:val="16"/>
                <w:szCs w:val="16"/>
              </w:rPr>
            </w:pPr>
            <w:r w:rsidRPr="00E22444">
              <w:rPr>
                <w:rFonts w:ascii="Times New Roman" w:hAnsi="Times New Roman" w:cs="Times New Roman"/>
                <w:b/>
                <w:bCs/>
                <w:sz w:val="16"/>
                <w:szCs w:val="16"/>
              </w:rPr>
              <w:t>Non-Plan</w:t>
            </w:r>
          </w:p>
        </w:tc>
        <w:tc>
          <w:tcPr>
            <w:tcW w:w="610" w:type="dxa"/>
            <w:vAlign w:val="center"/>
            <w:hideMark/>
          </w:tcPr>
          <w:p w14:paraId="163FC609" w14:textId="77777777" w:rsidR="00BB1A14" w:rsidRPr="00E22444" w:rsidRDefault="00BB1A14" w:rsidP="00E22444">
            <w:pPr>
              <w:pStyle w:val="NoSpacing"/>
              <w:jc w:val="center"/>
              <w:rPr>
                <w:rFonts w:ascii="Times New Roman" w:hAnsi="Times New Roman" w:cs="Times New Roman"/>
                <w:b/>
                <w:bCs/>
                <w:sz w:val="16"/>
                <w:szCs w:val="16"/>
              </w:rPr>
            </w:pPr>
            <w:r w:rsidRPr="00E22444">
              <w:rPr>
                <w:rFonts w:ascii="Times New Roman" w:hAnsi="Times New Roman" w:cs="Times New Roman"/>
                <w:b/>
                <w:bCs/>
                <w:sz w:val="16"/>
                <w:szCs w:val="16"/>
              </w:rPr>
              <w:t>Plan</w:t>
            </w:r>
          </w:p>
        </w:tc>
        <w:tc>
          <w:tcPr>
            <w:tcW w:w="678" w:type="dxa"/>
            <w:vAlign w:val="center"/>
            <w:hideMark/>
          </w:tcPr>
          <w:p w14:paraId="279D0144" w14:textId="77777777" w:rsidR="00BB1A14" w:rsidRPr="00E22444" w:rsidRDefault="00BB1A14" w:rsidP="00E22444">
            <w:pPr>
              <w:pStyle w:val="NoSpacing"/>
              <w:jc w:val="center"/>
              <w:rPr>
                <w:rFonts w:ascii="Times New Roman" w:hAnsi="Times New Roman" w:cs="Times New Roman"/>
                <w:b/>
                <w:bCs/>
                <w:sz w:val="16"/>
                <w:szCs w:val="16"/>
              </w:rPr>
            </w:pPr>
            <w:r w:rsidRPr="00E22444">
              <w:rPr>
                <w:rFonts w:ascii="Times New Roman" w:hAnsi="Times New Roman" w:cs="Times New Roman"/>
                <w:b/>
                <w:bCs/>
                <w:sz w:val="16"/>
                <w:szCs w:val="16"/>
              </w:rPr>
              <w:t>Total</w:t>
            </w:r>
          </w:p>
        </w:tc>
        <w:tc>
          <w:tcPr>
            <w:tcW w:w="678" w:type="dxa"/>
            <w:vAlign w:val="center"/>
            <w:hideMark/>
          </w:tcPr>
          <w:p w14:paraId="4D4657CF" w14:textId="77777777" w:rsidR="00BB1A14" w:rsidRPr="00E22444" w:rsidRDefault="00BB1A14" w:rsidP="00E22444">
            <w:pPr>
              <w:pStyle w:val="NoSpacing"/>
              <w:jc w:val="center"/>
              <w:rPr>
                <w:rFonts w:ascii="Times New Roman" w:hAnsi="Times New Roman" w:cs="Times New Roman"/>
                <w:b/>
                <w:bCs/>
                <w:sz w:val="16"/>
                <w:szCs w:val="16"/>
              </w:rPr>
            </w:pPr>
            <w:r w:rsidRPr="00E22444">
              <w:rPr>
                <w:rFonts w:ascii="Times New Roman" w:hAnsi="Times New Roman" w:cs="Times New Roman"/>
                <w:b/>
                <w:bCs/>
                <w:sz w:val="16"/>
                <w:szCs w:val="16"/>
              </w:rPr>
              <w:t>Non-Plan</w:t>
            </w:r>
          </w:p>
        </w:tc>
        <w:tc>
          <w:tcPr>
            <w:tcW w:w="610" w:type="dxa"/>
            <w:vAlign w:val="center"/>
            <w:hideMark/>
          </w:tcPr>
          <w:p w14:paraId="1EA36C54" w14:textId="77777777" w:rsidR="00BB1A14" w:rsidRPr="00E22444" w:rsidRDefault="00BB1A14" w:rsidP="00E22444">
            <w:pPr>
              <w:pStyle w:val="NoSpacing"/>
              <w:jc w:val="center"/>
              <w:rPr>
                <w:rFonts w:ascii="Times New Roman" w:hAnsi="Times New Roman" w:cs="Times New Roman"/>
                <w:b/>
                <w:bCs/>
                <w:sz w:val="16"/>
                <w:szCs w:val="16"/>
              </w:rPr>
            </w:pPr>
            <w:r w:rsidRPr="00E22444">
              <w:rPr>
                <w:rFonts w:ascii="Times New Roman" w:hAnsi="Times New Roman" w:cs="Times New Roman"/>
                <w:b/>
                <w:bCs/>
                <w:sz w:val="16"/>
                <w:szCs w:val="16"/>
              </w:rPr>
              <w:t>Plan</w:t>
            </w:r>
          </w:p>
        </w:tc>
        <w:tc>
          <w:tcPr>
            <w:tcW w:w="678" w:type="dxa"/>
            <w:vAlign w:val="center"/>
            <w:hideMark/>
          </w:tcPr>
          <w:p w14:paraId="7E7F9AF8" w14:textId="77777777" w:rsidR="00BB1A14" w:rsidRPr="00E22444" w:rsidRDefault="00BB1A14" w:rsidP="00E22444">
            <w:pPr>
              <w:pStyle w:val="NoSpacing"/>
              <w:jc w:val="center"/>
              <w:rPr>
                <w:rFonts w:ascii="Times New Roman" w:hAnsi="Times New Roman" w:cs="Times New Roman"/>
                <w:b/>
                <w:bCs/>
                <w:sz w:val="16"/>
                <w:szCs w:val="16"/>
              </w:rPr>
            </w:pPr>
            <w:r w:rsidRPr="00E22444">
              <w:rPr>
                <w:rFonts w:ascii="Times New Roman" w:hAnsi="Times New Roman" w:cs="Times New Roman"/>
                <w:b/>
                <w:bCs/>
                <w:sz w:val="16"/>
                <w:szCs w:val="16"/>
              </w:rPr>
              <w:t>Total</w:t>
            </w:r>
          </w:p>
        </w:tc>
        <w:tc>
          <w:tcPr>
            <w:tcW w:w="672" w:type="dxa"/>
            <w:vAlign w:val="center"/>
            <w:hideMark/>
          </w:tcPr>
          <w:p w14:paraId="00690EBD" w14:textId="77777777" w:rsidR="00BB1A14" w:rsidRPr="00E22444" w:rsidRDefault="00BB1A14" w:rsidP="00E22444">
            <w:pPr>
              <w:pStyle w:val="NoSpacing"/>
              <w:jc w:val="center"/>
              <w:rPr>
                <w:rFonts w:ascii="Times New Roman" w:hAnsi="Times New Roman" w:cs="Times New Roman"/>
                <w:b/>
                <w:bCs/>
                <w:sz w:val="16"/>
                <w:szCs w:val="16"/>
              </w:rPr>
            </w:pPr>
            <w:r w:rsidRPr="00E22444">
              <w:rPr>
                <w:rFonts w:ascii="Times New Roman" w:hAnsi="Times New Roman" w:cs="Times New Roman"/>
                <w:b/>
                <w:bCs/>
                <w:sz w:val="16"/>
                <w:szCs w:val="16"/>
              </w:rPr>
              <w:t>Non-Plan</w:t>
            </w:r>
          </w:p>
        </w:tc>
        <w:tc>
          <w:tcPr>
            <w:tcW w:w="610" w:type="dxa"/>
            <w:vAlign w:val="center"/>
            <w:hideMark/>
          </w:tcPr>
          <w:p w14:paraId="596718D6" w14:textId="77777777" w:rsidR="00BB1A14" w:rsidRPr="00E22444" w:rsidRDefault="00BB1A14" w:rsidP="00E22444">
            <w:pPr>
              <w:pStyle w:val="NoSpacing"/>
              <w:jc w:val="center"/>
              <w:rPr>
                <w:rFonts w:ascii="Times New Roman" w:hAnsi="Times New Roman" w:cs="Times New Roman"/>
                <w:b/>
                <w:bCs/>
                <w:sz w:val="16"/>
                <w:szCs w:val="16"/>
              </w:rPr>
            </w:pPr>
            <w:r w:rsidRPr="00E22444">
              <w:rPr>
                <w:rFonts w:ascii="Times New Roman" w:hAnsi="Times New Roman" w:cs="Times New Roman"/>
                <w:b/>
                <w:bCs/>
                <w:sz w:val="16"/>
                <w:szCs w:val="16"/>
              </w:rPr>
              <w:t>Plan</w:t>
            </w:r>
          </w:p>
        </w:tc>
        <w:tc>
          <w:tcPr>
            <w:tcW w:w="678" w:type="dxa"/>
            <w:vAlign w:val="center"/>
            <w:hideMark/>
          </w:tcPr>
          <w:p w14:paraId="6330C214" w14:textId="77777777" w:rsidR="00BB1A14" w:rsidRPr="00E22444" w:rsidRDefault="00BB1A14" w:rsidP="00E22444">
            <w:pPr>
              <w:pStyle w:val="NoSpacing"/>
              <w:jc w:val="center"/>
              <w:rPr>
                <w:rFonts w:ascii="Times New Roman" w:hAnsi="Times New Roman" w:cs="Times New Roman"/>
                <w:b/>
                <w:bCs/>
                <w:sz w:val="16"/>
                <w:szCs w:val="16"/>
              </w:rPr>
            </w:pPr>
            <w:r w:rsidRPr="00E22444">
              <w:rPr>
                <w:rFonts w:ascii="Times New Roman" w:hAnsi="Times New Roman" w:cs="Times New Roman"/>
                <w:b/>
                <w:bCs/>
                <w:sz w:val="16"/>
                <w:szCs w:val="16"/>
              </w:rPr>
              <w:t>Total</w:t>
            </w:r>
          </w:p>
        </w:tc>
      </w:tr>
      <w:tr w:rsidR="00BB1A14" w:rsidRPr="00E22444" w14:paraId="4D1F7F00" w14:textId="77777777" w:rsidTr="00E22444">
        <w:trPr>
          <w:trHeight w:val="21"/>
          <w:jc w:val="center"/>
        </w:trPr>
        <w:tc>
          <w:tcPr>
            <w:tcW w:w="1164" w:type="dxa"/>
            <w:vAlign w:val="center"/>
            <w:hideMark/>
          </w:tcPr>
          <w:p w14:paraId="690F3E87" w14:textId="77777777" w:rsidR="00BB1A14" w:rsidRPr="00E22444" w:rsidRDefault="00BB1A14" w:rsidP="00E22444">
            <w:pPr>
              <w:pStyle w:val="NoSpacing"/>
              <w:jc w:val="center"/>
              <w:rPr>
                <w:rFonts w:ascii="Times New Roman" w:hAnsi="Times New Roman" w:cs="Times New Roman"/>
                <w:b/>
                <w:bCs/>
                <w:sz w:val="16"/>
                <w:szCs w:val="16"/>
              </w:rPr>
            </w:pPr>
            <w:r w:rsidRPr="00E22444">
              <w:rPr>
                <w:rFonts w:ascii="Times New Roman" w:hAnsi="Times New Roman" w:cs="Times New Roman"/>
                <w:b/>
                <w:bCs/>
                <w:sz w:val="16"/>
                <w:szCs w:val="16"/>
              </w:rPr>
              <w:t>(1)</w:t>
            </w:r>
          </w:p>
        </w:tc>
        <w:tc>
          <w:tcPr>
            <w:tcW w:w="677" w:type="dxa"/>
            <w:vAlign w:val="center"/>
          </w:tcPr>
          <w:p w14:paraId="08DEC30C" w14:textId="77777777" w:rsidR="00BB1A14" w:rsidRPr="00E22444" w:rsidRDefault="00BB1A14" w:rsidP="00E22444">
            <w:pPr>
              <w:pStyle w:val="NoSpacing"/>
              <w:jc w:val="center"/>
              <w:rPr>
                <w:rFonts w:ascii="Times New Roman" w:hAnsi="Times New Roman" w:cs="Times New Roman"/>
                <w:b/>
                <w:bCs/>
                <w:sz w:val="16"/>
                <w:szCs w:val="16"/>
              </w:rPr>
            </w:pPr>
            <w:r w:rsidRPr="00E22444">
              <w:rPr>
                <w:rFonts w:ascii="Times New Roman" w:hAnsi="Times New Roman" w:cs="Times New Roman"/>
                <w:b/>
                <w:bCs/>
                <w:sz w:val="16"/>
                <w:szCs w:val="16"/>
              </w:rPr>
              <w:t>(2)</w:t>
            </w:r>
          </w:p>
        </w:tc>
        <w:tc>
          <w:tcPr>
            <w:tcW w:w="609" w:type="dxa"/>
            <w:vAlign w:val="center"/>
          </w:tcPr>
          <w:p w14:paraId="64ED5C74" w14:textId="77777777" w:rsidR="00BB1A14" w:rsidRPr="00E22444" w:rsidRDefault="00BB1A14" w:rsidP="00E22444">
            <w:pPr>
              <w:pStyle w:val="NoSpacing"/>
              <w:jc w:val="center"/>
              <w:rPr>
                <w:rFonts w:ascii="Times New Roman" w:hAnsi="Times New Roman" w:cs="Times New Roman"/>
                <w:b/>
                <w:bCs/>
                <w:sz w:val="16"/>
                <w:szCs w:val="16"/>
              </w:rPr>
            </w:pPr>
            <w:r w:rsidRPr="00E22444">
              <w:rPr>
                <w:rFonts w:ascii="Times New Roman" w:hAnsi="Times New Roman" w:cs="Times New Roman"/>
                <w:b/>
                <w:bCs/>
                <w:sz w:val="16"/>
                <w:szCs w:val="16"/>
              </w:rPr>
              <w:t>(3)</w:t>
            </w:r>
          </w:p>
        </w:tc>
        <w:tc>
          <w:tcPr>
            <w:tcW w:w="678" w:type="dxa"/>
            <w:vAlign w:val="center"/>
          </w:tcPr>
          <w:p w14:paraId="0100B7B8" w14:textId="77777777" w:rsidR="00BB1A14" w:rsidRPr="00E22444" w:rsidRDefault="00BB1A14" w:rsidP="00E22444">
            <w:pPr>
              <w:pStyle w:val="NoSpacing"/>
              <w:jc w:val="center"/>
              <w:rPr>
                <w:rFonts w:ascii="Times New Roman" w:hAnsi="Times New Roman" w:cs="Times New Roman"/>
                <w:b/>
                <w:bCs/>
                <w:sz w:val="16"/>
                <w:szCs w:val="16"/>
              </w:rPr>
            </w:pPr>
            <w:r w:rsidRPr="00E22444">
              <w:rPr>
                <w:rFonts w:ascii="Times New Roman" w:hAnsi="Times New Roman" w:cs="Times New Roman"/>
                <w:b/>
                <w:bCs/>
                <w:sz w:val="16"/>
                <w:szCs w:val="16"/>
              </w:rPr>
              <w:t>(4)</w:t>
            </w:r>
          </w:p>
        </w:tc>
        <w:tc>
          <w:tcPr>
            <w:tcW w:w="678" w:type="dxa"/>
            <w:vAlign w:val="center"/>
          </w:tcPr>
          <w:p w14:paraId="1394BEB3" w14:textId="77777777" w:rsidR="00BB1A14" w:rsidRPr="00E22444" w:rsidRDefault="00BB1A14" w:rsidP="00E22444">
            <w:pPr>
              <w:pStyle w:val="NoSpacing"/>
              <w:jc w:val="center"/>
              <w:rPr>
                <w:rFonts w:ascii="Times New Roman" w:hAnsi="Times New Roman" w:cs="Times New Roman"/>
                <w:b/>
                <w:bCs/>
                <w:sz w:val="16"/>
                <w:szCs w:val="16"/>
              </w:rPr>
            </w:pPr>
            <w:r w:rsidRPr="00E22444">
              <w:rPr>
                <w:rFonts w:ascii="Times New Roman" w:hAnsi="Times New Roman" w:cs="Times New Roman"/>
                <w:b/>
                <w:bCs/>
                <w:sz w:val="16"/>
                <w:szCs w:val="16"/>
              </w:rPr>
              <w:t>(5)</w:t>
            </w:r>
          </w:p>
        </w:tc>
        <w:tc>
          <w:tcPr>
            <w:tcW w:w="610" w:type="dxa"/>
            <w:vAlign w:val="center"/>
          </w:tcPr>
          <w:p w14:paraId="4C649CFD" w14:textId="77777777" w:rsidR="00BB1A14" w:rsidRPr="00E22444" w:rsidRDefault="00BB1A14" w:rsidP="00E22444">
            <w:pPr>
              <w:pStyle w:val="NoSpacing"/>
              <w:jc w:val="center"/>
              <w:rPr>
                <w:rFonts w:ascii="Times New Roman" w:hAnsi="Times New Roman" w:cs="Times New Roman"/>
                <w:b/>
                <w:bCs/>
                <w:sz w:val="16"/>
                <w:szCs w:val="16"/>
              </w:rPr>
            </w:pPr>
            <w:r w:rsidRPr="00E22444">
              <w:rPr>
                <w:rFonts w:ascii="Times New Roman" w:hAnsi="Times New Roman" w:cs="Times New Roman"/>
                <w:b/>
                <w:bCs/>
                <w:sz w:val="16"/>
                <w:szCs w:val="16"/>
              </w:rPr>
              <w:t>(6)</w:t>
            </w:r>
          </w:p>
        </w:tc>
        <w:tc>
          <w:tcPr>
            <w:tcW w:w="678" w:type="dxa"/>
            <w:vAlign w:val="center"/>
          </w:tcPr>
          <w:p w14:paraId="4AE77196" w14:textId="77777777" w:rsidR="00BB1A14" w:rsidRPr="00E22444" w:rsidRDefault="00BB1A14" w:rsidP="00E22444">
            <w:pPr>
              <w:pStyle w:val="NoSpacing"/>
              <w:jc w:val="center"/>
              <w:rPr>
                <w:rFonts w:ascii="Times New Roman" w:hAnsi="Times New Roman" w:cs="Times New Roman"/>
                <w:b/>
                <w:bCs/>
                <w:sz w:val="16"/>
                <w:szCs w:val="16"/>
              </w:rPr>
            </w:pPr>
            <w:r w:rsidRPr="00E22444">
              <w:rPr>
                <w:rFonts w:ascii="Times New Roman" w:hAnsi="Times New Roman" w:cs="Times New Roman"/>
                <w:b/>
                <w:bCs/>
                <w:sz w:val="16"/>
                <w:szCs w:val="16"/>
              </w:rPr>
              <w:t>(7)</w:t>
            </w:r>
          </w:p>
        </w:tc>
        <w:tc>
          <w:tcPr>
            <w:tcW w:w="678" w:type="dxa"/>
            <w:vAlign w:val="center"/>
          </w:tcPr>
          <w:p w14:paraId="2BFD5738" w14:textId="77777777" w:rsidR="00BB1A14" w:rsidRPr="00E22444" w:rsidRDefault="00BB1A14" w:rsidP="00E22444">
            <w:pPr>
              <w:pStyle w:val="NoSpacing"/>
              <w:jc w:val="center"/>
              <w:rPr>
                <w:rFonts w:ascii="Times New Roman" w:hAnsi="Times New Roman" w:cs="Times New Roman"/>
                <w:b/>
                <w:bCs/>
                <w:sz w:val="16"/>
                <w:szCs w:val="16"/>
              </w:rPr>
            </w:pPr>
            <w:r w:rsidRPr="00E22444">
              <w:rPr>
                <w:rFonts w:ascii="Times New Roman" w:hAnsi="Times New Roman" w:cs="Times New Roman"/>
                <w:b/>
                <w:bCs/>
                <w:sz w:val="16"/>
                <w:szCs w:val="16"/>
              </w:rPr>
              <w:t>(8)</w:t>
            </w:r>
          </w:p>
        </w:tc>
        <w:tc>
          <w:tcPr>
            <w:tcW w:w="610" w:type="dxa"/>
            <w:vAlign w:val="center"/>
          </w:tcPr>
          <w:p w14:paraId="3107BD03" w14:textId="77777777" w:rsidR="00BB1A14" w:rsidRPr="00E22444" w:rsidRDefault="00BB1A14" w:rsidP="00E22444">
            <w:pPr>
              <w:pStyle w:val="NoSpacing"/>
              <w:jc w:val="center"/>
              <w:rPr>
                <w:rFonts w:ascii="Times New Roman" w:hAnsi="Times New Roman" w:cs="Times New Roman"/>
                <w:b/>
                <w:bCs/>
                <w:sz w:val="16"/>
                <w:szCs w:val="16"/>
              </w:rPr>
            </w:pPr>
            <w:r w:rsidRPr="00E22444">
              <w:rPr>
                <w:rFonts w:ascii="Times New Roman" w:hAnsi="Times New Roman" w:cs="Times New Roman"/>
                <w:b/>
                <w:bCs/>
                <w:sz w:val="16"/>
                <w:szCs w:val="16"/>
              </w:rPr>
              <w:t>(9)</w:t>
            </w:r>
          </w:p>
        </w:tc>
        <w:tc>
          <w:tcPr>
            <w:tcW w:w="678" w:type="dxa"/>
            <w:vAlign w:val="center"/>
          </w:tcPr>
          <w:p w14:paraId="10EAE260" w14:textId="77777777" w:rsidR="00BB1A14" w:rsidRPr="00E22444" w:rsidRDefault="00BB1A14" w:rsidP="00E22444">
            <w:pPr>
              <w:pStyle w:val="NoSpacing"/>
              <w:jc w:val="center"/>
              <w:rPr>
                <w:rFonts w:ascii="Times New Roman" w:hAnsi="Times New Roman" w:cs="Times New Roman"/>
                <w:b/>
                <w:bCs/>
                <w:sz w:val="16"/>
                <w:szCs w:val="16"/>
              </w:rPr>
            </w:pPr>
            <w:r w:rsidRPr="00E22444">
              <w:rPr>
                <w:rFonts w:ascii="Times New Roman" w:hAnsi="Times New Roman" w:cs="Times New Roman"/>
                <w:b/>
                <w:bCs/>
                <w:sz w:val="16"/>
                <w:szCs w:val="16"/>
              </w:rPr>
              <w:t>(10)</w:t>
            </w:r>
          </w:p>
        </w:tc>
        <w:tc>
          <w:tcPr>
            <w:tcW w:w="678" w:type="dxa"/>
            <w:vAlign w:val="center"/>
          </w:tcPr>
          <w:p w14:paraId="1DFB3EE4" w14:textId="77777777" w:rsidR="00BB1A14" w:rsidRPr="00E22444" w:rsidRDefault="00BB1A14" w:rsidP="00E22444">
            <w:pPr>
              <w:pStyle w:val="NoSpacing"/>
              <w:jc w:val="center"/>
              <w:rPr>
                <w:rFonts w:ascii="Times New Roman" w:hAnsi="Times New Roman" w:cs="Times New Roman"/>
                <w:b/>
                <w:bCs/>
                <w:sz w:val="16"/>
                <w:szCs w:val="16"/>
              </w:rPr>
            </w:pPr>
            <w:r w:rsidRPr="00E22444">
              <w:rPr>
                <w:rFonts w:ascii="Times New Roman" w:hAnsi="Times New Roman" w:cs="Times New Roman"/>
                <w:b/>
                <w:bCs/>
                <w:sz w:val="16"/>
                <w:szCs w:val="16"/>
              </w:rPr>
              <w:t>(11)</w:t>
            </w:r>
          </w:p>
        </w:tc>
        <w:tc>
          <w:tcPr>
            <w:tcW w:w="610" w:type="dxa"/>
            <w:vAlign w:val="center"/>
          </w:tcPr>
          <w:p w14:paraId="4AA86547" w14:textId="77777777" w:rsidR="00BB1A14" w:rsidRPr="00E22444" w:rsidRDefault="00BB1A14" w:rsidP="00E22444">
            <w:pPr>
              <w:pStyle w:val="NoSpacing"/>
              <w:jc w:val="center"/>
              <w:rPr>
                <w:rFonts w:ascii="Times New Roman" w:hAnsi="Times New Roman" w:cs="Times New Roman"/>
                <w:b/>
                <w:bCs/>
                <w:sz w:val="16"/>
                <w:szCs w:val="16"/>
              </w:rPr>
            </w:pPr>
            <w:r w:rsidRPr="00E22444">
              <w:rPr>
                <w:rFonts w:ascii="Times New Roman" w:hAnsi="Times New Roman" w:cs="Times New Roman"/>
                <w:b/>
                <w:bCs/>
                <w:sz w:val="16"/>
                <w:szCs w:val="16"/>
              </w:rPr>
              <w:t>(12)</w:t>
            </w:r>
          </w:p>
        </w:tc>
        <w:tc>
          <w:tcPr>
            <w:tcW w:w="678" w:type="dxa"/>
            <w:vAlign w:val="center"/>
          </w:tcPr>
          <w:p w14:paraId="39423454" w14:textId="77777777" w:rsidR="00BB1A14" w:rsidRPr="00E22444" w:rsidRDefault="00BB1A14" w:rsidP="00E22444">
            <w:pPr>
              <w:pStyle w:val="NoSpacing"/>
              <w:jc w:val="center"/>
              <w:rPr>
                <w:rFonts w:ascii="Times New Roman" w:hAnsi="Times New Roman" w:cs="Times New Roman"/>
                <w:b/>
                <w:bCs/>
                <w:sz w:val="16"/>
                <w:szCs w:val="16"/>
              </w:rPr>
            </w:pPr>
            <w:r w:rsidRPr="00E22444">
              <w:rPr>
                <w:rFonts w:ascii="Times New Roman" w:hAnsi="Times New Roman" w:cs="Times New Roman"/>
                <w:b/>
                <w:bCs/>
                <w:sz w:val="16"/>
                <w:szCs w:val="16"/>
              </w:rPr>
              <w:t>(13)</w:t>
            </w:r>
          </w:p>
        </w:tc>
        <w:tc>
          <w:tcPr>
            <w:tcW w:w="672" w:type="dxa"/>
            <w:vAlign w:val="center"/>
          </w:tcPr>
          <w:p w14:paraId="3BDE44B2" w14:textId="77777777" w:rsidR="00BB1A14" w:rsidRPr="00E22444" w:rsidRDefault="00BB1A14" w:rsidP="00E22444">
            <w:pPr>
              <w:pStyle w:val="NoSpacing"/>
              <w:jc w:val="center"/>
              <w:rPr>
                <w:rFonts w:ascii="Times New Roman" w:hAnsi="Times New Roman" w:cs="Times New Roman"/>
                <w:b/>
                <w:bCs/>
                <w:sz w:val="16"/>
                <w:szCs w:val="16"/>
              </w:rPr>
            </w:pPr>
            <w:r w:rsidRPr="00E22444">
              <w:rPr>
                <w:rFonts w:ascii="Times New Roman" w:hAnsi="Times New Roman" w:cs="Times New Roman"/>
                <w:b/>
                <w:bCs/>
                <w:sz w:val="16"/>
                <w:szCs w:val="16"/>
              </w:rPr>
              <w:t>(14)</w:t>
            </w:r>
          </w:p>
        </w:tc>
        <w:tc>
          <w:tcPr>
            <w:tcW w:w="610" w:type="dxa"/>
            <w:vAlign w:val="center"/>
          </w:tcPr>
          <w:p w14:paraId="58FE33C2" w14:textId="77777777" w:rsidR="00BB1A14" w:rsidRPr="00E22444" w:rsidRDefault="00BB1A14" w:rsidP="00E22444">
            <w:pPr>
              <w:pStyle w:val="NoSpacing"/>
              <w:jc w:val="center"/>
              <w:rPr>
                <w:rFonts w:ascii="Times New Roman" w:hAnsi="Times New Roman" w:cs="Times New Roman"/>
                <w:b/>
                <w:bCs/>
                <w:sz w:val="16"/>
                <w:szCs w:val="16"/>
              </w:rPr>
            </w:pPr>
            <w:r w:rsidRPr="00E22444">
              <w:rPr>
                <w:rFonts w:ascii="Times New Roman" w:hAnsi="Times New Roman" w:cs="Times New Roman"/>
                <w:b/>
                <w:bCs/>
                <w:sz w:val="16"/>
                <w:szCs w:val="16"/>
              </w:rPr>
              <w:t>(15)</w:t>
            </w:r>
          </w:p>
        </w:tc>
        <w:tc>
          <w:tcPr>
            <w:tcW w:w="678" w:type="dxa"/>
            <w:vAlign w:val="center"/>
          </w:tcPr>
          <w:p w14:paraId="2B14842D" w14:textId="77777777" w:rsidR="00BB1A14" w:rsidRPr="00E22444" w:rsidRDefault="00BB1A14" w:rsidP="00E22444">
            <w:pPr>
              <w:pStyle w:val="NoSpacing"/>
              <w:jc w:val="center"/>
              <w:rPr>
                <w:rFonts w:ascii="Times New Roman" w:hAnsi="Times New Roman" w:cs="Times New Roman"/>
                <w:b/>
                <w:bCs/>
                <w:sz w:val="16"/>
                <w:szCs w:val="16"/>
              </w:rPr>
            </w:pPr>
            <w:r w:rsidRPr="00E22444">
              <w:rPr>
                <w:rFonts w:ascii="Times New Roman" w:hAnsi="Times New Roman" w:cs="Times New Roman"/>
                <w:b/>
                <w:bCs/>
                <w:sz w:val="16"/>
                <w:szCs w:val="16"/>
              </w:rPr>
              <w:t>(16)</w:t>
            </w:r>
          </w:p>
        </w:tc>
      </w:tr>
      <w:tr w:rsidR="00BB1A14" w:rsidRPr="00E22444" w14:paraId="5B279DF1" w14:textId="77777777" w:rsidTr="00E22444">
        <w:trPr>
          <w:trHeight w:val="21"/>
          <w:jc w:val="center"/>
        </w:trPr>
        <w:tc>
          <w:tcPr>
            <w:tcW w:w="1164" w:type="dxa"/>
            <w:hideMark/>
          </w:tcPr>
          <w:p w14:paraId="4C57F5DF" w14:textId="77777777" w:rsidR="00BB1A14" w:rsidRPr="00E22444" w:rsidRDefault="00BB1A14" w:rsidP="00BB1A14">
            <w:pPr>
              <w:pStyle w:val="NoSpacing"/>
              <w:rPr>
                <w:rFonts w:ascii="Times New Roman" w:hAnsi="Times New Roman" w:cs="Times New Roman"/>
                <w:sz w:val="16"/>
                <w:szCs w:val="16"/>
              </w:rPr>
            </w:pPr>
            <w:r w:rsidRPr="00E22444">
              <w:rPr>
                <w:rFonts w:ascii="Times New Roman" w:hAnsi="Times New Roman" w:cs="Times New Roman"/>
                <w:sz w:val="16"/>
                <w:szCs w:val="16"/>
              </w:rPr>
              <w:t>I. Non-Development</w:t>
            </w:r>
          </w:p>
        </w:tc>
        <w:tc>
          <w:tcPr>
            <w:tcW w:w="677" w:type="dxa"/>
            <w:hideMark/>
          </w:tcPr>
          <w:p w14:paraId="658041CD" w14:textId="77777777" w:rsidR="00BB1A14" w:rsidRPr="00E22444" w:rsidRDefault="00BB1A14" w:rsidP="00BB1A14">
            <w:pPr>
              <w:pStyle w:val="NoSpacing"/>
              <w:rPr>
                <w:rFonts w:ascii="Times New Roman" w:hAnsi="Times New Roman" w:cs="Times New Roman"/>
                <w:sz w:val="16"/>
                <w:szCs w:val="16"/>
              </w:rPr>
            </w:pPr>
          </w:p>
        </w:tc>
        <w:tc>
          <w:tcPr>
            <w:tcW w:w="609" w:type="dxa"/>
            <w:hideMark/>
          </w:tcPr>
          <w:p w14:paraId="046954DB" w14:textId="77777777" w:rsidR="00BB1A14" w:rsidRPr="00E22444" w:rsidRDefault="00BB1A14" w:rsidP="00BB1A14">
            <w:pPr>
              <w:pStyle w:val="NoSpacing"/>
              <w:rPr>
                <w:rFonts w:ascii="Times New Roman" w:hAnsi="Times New Roman" w:cs="Times New Roman"/>
                <w:sz w:val="16"/>
                <w:szCs w:val="16"/>
              </w:rPr>
            </w:pPr>
          </w:p>
        </w:tc>
        <w:tc>
          <w:tcPr>
            <w:tcW w:w="678" w:type="dxa"/>
            <w:hideMark/>
          </w:tcPr>
          <w:p w14:paraId="57E900F1" w14:textId="77777777" w:rsidR="00BB1A14" w:rsidRPr="00E22444" w:rsidRDefault="00BB1A14" w:rsidP="00BB1A14">
            <w:pPr>
              <w:pStyle w:val="NoSpacing"/>
              <w:rPr>
                <w:rFonts w:ascii="Times New Roman" w:hAnsi="Times New Roman" w:cs="Times New Roman"/>
                <w:sz w:val="16"/>
                <w:szCs w:val="16"/>
              </w:rPr>
            </w:pPr>
          </w:p>
        </w:tc>
        <w:tc>
          <w:tcPr>
            <w:tcW w:w="678" w:type="dxa"/>
            <w:hideMark/>
          </w:tcPr>
          <w:p w14:paraId="20D5FDE9" w14:textId="77777777" w:rsidR="00BB1A14" w:rsidRPr="00E22444" w:rsidRDefault="00BB1A14" w:rsidP="00BB1A14">
            <w:pPr>
              <w:pStyle w:val="NoSpacing"/>
              <w:rPr>
                <w:rFonts w:ascii="Times New Roman" w:hAnsi="Times New Roman" w:cs="Times New Roman"/>
                <w:sz w:val="16"/>
                <w:szCs w:val="16"/>
              </w:rPr>
            </w:pPr>
          </w:p>
        </w:tc>
        <w:tc>
          <w:tcPr>
            <w:tcW w:w="610" w:type="dxa"/>
            <w:hideMark/>
          </w:tcPr>
          <w:p w14:paraId="4C7A9DC0" w14:textId="77777777" w:rsidR="00BB1A14" w:rsidRPr="00E22444" w:rsidRDefault="00BB1A14" w:rsidP="00BB1A14">
            <w:pPr>
              <w:pStyle w:val="NoSpacing"/>
              <w:rPr>
                <w:rFonts w:ascii="Times New Roman" w:hAnsi="Times New Roman" w:cs="Times New Roman"/>
                <w:sz w:val="16"/>
                <w:szCs w:val="16"/>
              </w:rPr>
            </w:pPr>
          </w:p>
        </w:tc>
        <w:tc>
          <w:tcPr>
            <w:tcW w:w="678" w:type="dxa"/>
            <w:hideMark/>
          </w:tcPr>
          <w:p w14:paraId="17029AE1" w14:textId="77777777" w:rsidR="00BB1A14" w:rsidRPr="00E22444" w:rsidRDefault="00BB1A14" w:rsidP="00BB1A14">
            <w:pPr>
              <w:pStyle w:val="NoSpacing"/>
              <w:rPr>
                <w:rFonts w:ascii="Times New Roman" w:hAnsi="Times New Roman" w:cs="Times New Roman"/>
                <w:sz w:val="16"/>
                <w:szCs w:val="16"/>
              </w:rPr>
            </w:pPr>
          </w:p>
        </w:tc>
        <w:tc>
          <w:tcPr>
            <w:tcW w:w="678" w:type="dxa"/>
            <w:hideMark/>
          </w:tcPr>
          <w:p w14:paraId="59FC7231" w14:textId="77777777" w:rsidR="00BB1A14" w:rsidRPr="00E22444" w:rsidRDefault="00BB1A14" w:rsidP="00BB1A14">
            <w:pPr>
              <w:pStyle w:val="NoSpacing"/>
              <w:rPr>
                <w:rFonts w:ascii="Times New Roman" w:hAnsi="Times New Roman" w:cs="Times New Roman"/>
                <w:sz w:val="16"/>
                <w:szCs w:val="16"/>
              </w:rPr>
            </w:pPr>
          </w:p>
        </w:tc>
        <w:tc>
          <w:tcPr>
            <w:tcW w:w="610" w:type="dxa"/>
            <w:hideMark/>
          </w:tcPr>
          <w:p w14:paraId="44B5B471" w14:textId="77777777" w:rsidR="00BB1A14" w:rsidRPr="00E22444" w:rsidRDefault="00BB1A14" w:rsidP="00BB1A14">
            <w:pPr>
              <w:pStyle w:val="NoSpacing"/>
              <w:rPr>
                <w:rFonts w:ascii="Times New Roman" w:hAnsi="Times New Roman" w:cs="Times New Roman"/>
                <w:sz w:val="16"/>
                <w:szCs w:val="16"/>
              </w:rPr>
            </w:pPr>
          </w:p>
        </w:tc>
        <w:tc>
          <w:tcPr>
            <w:tcW w:w="678" w:type="dxa"/>
            <w:hideMark/>
          </w:tcPr>
          <w:p w14:paraId="09D82972" w14:textId="77777777" w:rsidR="00BB1A14" w:rsidRPr="00E22444" w:rsidRDefault="00BB1A14" w:rsidP="00BB1A14">
            <w:pPr>
              <w:pStyle w:val="NoSpacing"/>
              <w:rPr>
                <w:rFonts w:ascii="Times New Roman" w:hAnsi="Times New Roman" w:cs="Times New Roman"/>
                <w:sz w:val="16"/>
                <w:szCs w:val="16"/>
              </w:rPr>
            </w:pPr>
          </w:p>
        </w:tc>
        <w:tc>
          <w:tcPr>
            <w:tcW w:w="678" w:type="dxa"/>
            <w:hideMark/>
          </w:tcPr>
          <w:p w14:paraId="44BABE73" w14:textId="77777777" w:rsidR="00BB1A14" w:rsidRPr="00E22444" w:rsidRDefault="00BB1A14" w:rsidP="00BB1A14">
            <w:pPr>
              <w:pStyle w:val="NoSpacing"/>
              <w:rPr>
                <w:rFonts w:ascii="Times New Roman" w:hAnsi="Times New Roman" w:cs="Times New Roman"/>
                <w:sz w:val="16"/>
                <w:szCs w:val="16"/>
              </w:rPr>
            </w:pPr>
          </w:p>
        </w:tc>
        <w:tc>
          <w:tcPr>
            <w:tcW w:w="610" w:type="dxa"/>
            <w:hideMark/>
          </w:tcPr>
          <w:p w14:paraId="4B2918EB" w14:textId="77777777" w:rsidR="00BB1A14" w:rsidRPr="00E22444" w:rsidRDefault="00BB1A14" w:rsidP="00BB1A14">
            <w:pPr>
              <w:pStyle w:val="NoSpacing"/>
              <w:rPr>
                <w:rFonts w:ascii="Times New Roman" w:hAnsi="Times New Roman" w:cs="Times New Roman"/>
                <w:sz w:val="16"/>
                <w:szCs w:val="16"/>
              </w:rPr>
            </w:pPr>
          </w:p>
        </w:tc>
        <w:tc>
          <w:tcPr>
            <w:tcW w:w="678" w:type="dxa"/>
            <w:hideMark/>
          </w:tcPr>
          <w:p w14:paraId="02ADD2BB" w14:textId="77777777" w:rsidR="00BB1A14" w:rsidRPr="00E22444" w:rsidRDefault="00BB1A14" w:rsidP="00BB1A14">
            <w:pPr>
              <w:pStyle w:val="NoSpacing"/>
              <w:rPr>
                <w:rFonts w:ascii="Times New Roman" w:hAnsi="Times New Roman" w:cs="Times New Roman"/>
                <w:sz w:val="16"/>
                <w:szCs w:val="16"/>
              </w:rPr>
            </w:pPr>
          </w:p>
        </w:tc>
        <w:tc>
          <w:tcPr>
            <w:tcW w:w="672" w:type="dxa"/>
            <w:hideMark/>
          </w:tcPr>
          <w:p w14:paraId="6179FDDD" w14:textId="77777777" w:rsidR="00BB1A14" w:rsidRPr="00E22444" w:rsidRDefault="00BB1A14" w:rsidP="00BB1A14">
            <w:pPr>
              <w:pStyle w:val="NoSpacing"/>
              <w:rPr>
                <w:rFonts w:ascii="Times New Roman" w:hAnsi="Times New Roman" w:cs="Times New Roman"/>
                <w:sz w:val="16"/>
                <w:szCs w:val="16"/>
              </w:rPr>
            </w:pPr>
          </w:p>
        </w:tc>
        <w:tc>
          <w:tcPr>
            <w:tcW w:w="610" w:type="dxa"/>
            <w:hideMark/>
          </w:tcPr>
          <w:p w14:paraId="200CEE64" w14:textId="77777777" w:rsidR="00BB1A14" w:rsidRPr="00E22444" w:rsidRDefault="00BB1A14" w:rsidP="00BB1A14">
            <w:pPr>
              <w:pStyle w:val="NoSpacing"/>
              <w:rPr>
                <w:rFonts w:ascii="Times New Roman" w:hAnsi="Times New Roman" w:cs="Times New Roman"/>
                <w:sz w:val="16"/>
                <w:szCs w:val="16"/>
              </w:rPr>
            </w:pPr>
          </w:p>
        </w:tc>
        <w:tc>
          <w:tcPr>
            <w:tcW w:w="678" w:type="dxa"/>
            <w:hideMark/>
          </w:tcPr>
          <w:p w14:paraId="2B223A69" w14:textId="77777777" w:rsidR="00BB1A14" w:rsidRPr="00E22444" w:rsidRDefault="00BB1A14" w:rsidP="00BB1A14">
            <w:pPr>
              <w:pStyle w:val="NoSpacing"/>
              <w:rPr>
                <w:rFonts w:ascii="Times New Roman" w:hAnsi="Times New Roman" w:cs="Times New Roman"/>
                <w:sz w:val="16"/>
                <w:szCs w:val="16"/>
              </w:rPr>
            </w:pPr>
          </w:p>
        </w:tc>
      </w:tr>
      <w:tr w:rsidR="00BB1A14" w:rsidRPr="00E22444" w14:paraId="753F3AE6" w14:textId="77777777" w:rsidTr="00E22444">
        <w:trPr>
          <w:trHeight w:val="21"/>
          <w:jc w:val="center"/>
        </w:trPr>
        <w:tc>
          <w:tcPr>
            <w:tcW w:w="1164" w:type="dxa"/>
            <w:hideMark/>
          </w:tcPr>
          <w:p w14:paraId="19E3118D" w14:textId="77777777" w:rsidR="00BB1A14" w:rsidRPr="00E22444" w:rsidRDefault="00BB1A14" w:rsidP="00BB1A14">
            <w:pPr>
              <w:pStyle w:val="NoSpacing"/>
              <w:rPr>
                <w:rFonts w:ascii="Times New Roman" w:hAnsi="Times New Roman" w:cs="Times New Roman"/>
                <w:sz w:val="16"/>
                <w:szCs w:val="16"/>
              </w:rPr>
            </w:pPr>
            <w:r w:rsidRPr="00E22444">
              <w:rPr>
                <w:rFonts w:ascii="Times New Roman" w:hAnsi="Times New Roman" w:cs="Times New Roman"/>
                <w:sz w:val="16"/>
                <w:szCs w:val="16"/>
              </w:rPr>
              <w:t>1. Collection of Taxes and Duties</w:t>
            </w:r>
          </w:p>
        </w:tc>
        <w:tc>
          <w:tcPr>
            <w:tcW w:w="677" w:type="dxa"/>
            <w:vAlign w:val="center"/>
            <w:hideMark/>
          </w:tcPr>
          <w:p w14:paraId="37251063" w14:textId="77777777" w:rsidR="00BB1A14" w:rsidRPr="00E22444" w:rsidRDefault="00BB1A14" w:rsidP="00E22444">
            <w:pPr>
              <w:pStyle w:val="NoSpacing"/>
              <w:jc w:val="center"/>
              <w:rPr>
                <w:rFonts w:ascii="Times New Roman" w:hAnsi="Times New Roman" w:cs="Times New Roman"/>
                <w:sz w:val="16"/>
                <w:szCs w:val="16"/>
              </w:rPr>
            </w:pPr>
            <w:r w:rsidRPr="00E22444">
              <w:rPr>
                <w:rFonts w:ascii="Times New Roman" w:hAnsi="Times New Roman" w:cs="Times New Roman"/>
                <w:sz w:val="16"/>
                <w:szCs w:val="16"/>
              </w:rPr>
              <w:t>26.30</w:t>
            </w:r>
          </w:p>
        </w:tc>
        <w:tc>
          <w:tcPr>
            <w:tcW w:w="609" w:type="dxa"/>
            <w:vAlign w:val="center"/>
            <w:hideMark/>
          </w:tcPr>
          <w:p w14:paraId="23F2685A" w14:textId="77777777" w:rsidR="00BB1A14" w:rsidRPr="00E22444" w:rsidRDefault="00BB1A14" w:rsidP="00E22444">
            <w:pPr>
              <w:pStyle w:val="NoSpacing"/>
              <w:jc w:val="center"/>
              <w:rPr>
                <w:rFonts w:ascii="Times New Roman" w:hAnsi="Times New Roman" w:cs="Times New Roman"/>
                <w:sz w:val="16"/>
                <w:szCs w:val="16"/>
              </w:rPr>
            </w:pPr>
            <w:r w:rsidRPr="00E22444">
              <w:rPr>
                <w:rFonts w:ascii="Times New Roman" w:hAnsi="Times New Roman" w:cs="Times New Roman"/>
                <w:sz w:val="16"/>
                <w:szCs w:val="16"/>
              </w:rPr>
              <w:t>..</w:t>
            </w:r>
          </w:p>
        </w:tc>
        <w:tc>
          <w:tcPr>
            <w:tcW w:w="678" w:type="dxa"/>
            <w:vAlign w:val="center"/>
            <w:hideMark/>
          </w:tcPr>
          <w:p w14:paraId="259A1BFD" w14:textId="77777777" w:rsidR="00BB1A14" w:rsidRPr="00E22444" w:rsidRDefault="00BB1A14" w:rsidP="00E22444">
            <w:pPr>
              <w:pStyle w:val="NoSpacing"/>
              <w:jc w:val="center"/>
              <w:rPr>
                <w:rFonts w:ascii="Times New Roman" w:hAnsi="Times New Roman" w:cs="Times New Roman"/>
                <w:sz w:val="16"/>
                <w:szCs w:val="16"/>
              </w:rPr>
            </w:pPr>
            <w:r w:rsidRPr="00E22444">
              <w:rPr>
                <w:rFonts w:ascii="Times New Roman" w:hAnsi="Times New Roman" w:cs="Times New Roman"/>
                <w:sz w:val="16"/>
                <w:szCs w:val="16"/>
              </w:rPr>
              <w:t>26.30</w:t>
            </w:r>
          </w:p>
        </w:tc>
        <w:tc>
          <w:tcPr>
            <w:tcW w:w="678" w:type="dxa"/>
            <w:vAlign w:val="center"/>
            <w:hideMark/>
          </w:tcPr>
          <w:p w14:paraId="243083D7" w14:textId="77777777" w:rsidR="00BB1A14" w:rsidRPr="00E22444" w:rsidRDefault="00BB1A14" w:rsidP="00E22444">
            <w:pPr>
              <w:pStyle w:val="NoSpacing"/>
              <w:jc w:val="center"/>
              <w:rPr>
                <w:rFonts w:ascii="Times New Roman" w:hAnsi="Times New Roman" w:cs="Times New Roman"/>
                <w:sz w:val="16"/>
                <w:szCs w:val="16"/>
              </w:rPr>
            </w:pPr>
            <w:r w:rsidRPr="00E22444">
              <w:rPr>
                <w:rFonts w:ascii="Times New Roman" w:hAnsi="Times New Roman" w:cs="Times New Roman"/>
                <w:sz w:val="16"/>
                <w:szCs w:val="16"/>
              </w:rPr>
              <w:t>30.06</w:t>
            </w:r>
          </w:p>
        </w:tc>
        <w:tc>
          <w:tcPr>
            <w:tcW w:w="610" w:type="dxa"/>
            <w:vAlign w:val="center"/>
            <w:hideMark/>
          </w:tcPr>
          <w:p w14:paraId="743E9B28" w14:textId="77777777" w:rsidR="00BB1A14" w:rsidRPr="00E22444" w:rsidRDefault="00BB1A14" w:rsidP="00E22444">
            <w:pPr>
              <w:pStyle w:val="NoSpacing"/>
              <w:jc w:val="center"/>
              <w:rPr>
                <w:rFonts w:ascii="Times New Roman" w:hAnsi="Times New Roman" w:cs="Times New Roman"/>
                <w:sz w:val="16"/>
                <w:szCs w:val="16"/>
              </w:rPr>
            </w:pPr>
            <w:r w:rsidRPr="00E22444">
              <w:rPr>
                <w:rFonts w:ascii="Times New Roman" w:hAnsi="Times New Roman" w:cs="Times New Roman"/>
                <w:sz w:val="16"/>
                <w:szCs w:val="16"/>
              </w:rPr>
              <w:t>..</w:t>
            </w:r>
          </w:p>
        </w:tc>
        <w:tc>
          <w:tcPr>
            <w:tcW w:w="678" w:type="dxa"/>
            <w:vAlign w:val="center"/>
            <w:hideMark/>
          </w:tcPr>
          <w:p w14:paraId="20D33562" w14:textId="77777777" w:rsidR="00BB1A14" w:rsidRPr="00E22444" w:rsidRDefault="00BB1A14" w:rsidP="00E22444">
            <w:pPr>
              <w:pStyle w:val="NoSpacing"/>
              <w:jc w:val="center"/>
              <w:rPr>
                <w:rFonts w:ascii="Times New Roman" w:hAnsi="Times New Roman" w:cs="Times New Roman"/>
                <w:sz w:val="16"/>
                <w:szCs w:val="16"/>
              </w:rPr>
            </w:pPr>
            <w:r w:rsidRPr="00E22444">
              <w:rPr>
                <w:rFonts w:ascii="Times New Roman" w:hAnsi="Times New Roman" w:cs="Times New Roman"/>
                <w:sz w:val="16"/>
                <w:szCs w:val="16"/>
              </w:rPr>
              <w:t>30.06</w:t>
            </w:r>
          </w:p>
        </w:tc>
        <w:tc>
          <w:tcPr>
            <w:tcW w:w="678" w:type="dxa"/>
            <w:vAlign w:val="center"/>
            <w:hideMark/>
          </w:tcPr>
          <w:p w14:paraId="61B3C126" w14:textId="77777777" w:rsidR="00BB1A14" w:rsidRPr="00E22444" w:rsidRDefault="00BB1A14" w:rsidP="00E22444">
            <w:pPr>
              <w:pStyle w:val="NoSpacing"/>
              <w:jc w:val="center"/>
              <w:rPr>
                <w:rFonts w:ascii="Times New Roman" w:hAnsi="Times New Roman" w:cs="Times New Roman"/>
                <w:sz w:val="16"/>
                <w:szCs w:val="16"/>
              </w:rPr>
            </w:pPr>
            <w:r w:rsidRPr="00E22444">
              <w:rPr>
                <w:rFonts w:ascii="Times New Roman" w:hAnsi="Times New Roman" w:cs="Times New Roman"/>
                <w:sz w:val="16"/>
                <w:szCs w:val="16"/>
              </w:rPr>
              <w:t>32.18</w:t>
            </w:r>
          </w:p>
        </w:tc>
        <w:tc>
          <w:tcPr>
            <w:tcW w:w="610" w:type="dxa"/>
            <w:vAlign w:val="center"/>
            <w:hideMark/>
          </w:tcPr>
          <w:p w14:paraId="4805B2C2" w14:textId="77777777" w:rsidR="00BB1A14" w:rsidRPr="00E22444" w:rsidRDefault="00BB1A14" w:rsidP="00E22444">
            <w:pPr>
              <w:pStyle w:val="NoSpacing"/>
              <w:jc w:val="center"/>
              <w:rPr>
                <w:rFonts w:ascii="Times New Roman" w:hAnsi="Times New Roman" w:cs="Times New Roman"/>
                <w:sz w:val="16"/>
                <w:szCs w:val="16"/>
              </w:rPr>
            </w:pPr>
            <w:r w:rsidRPr="00E22444">
              <w:rPr>
                <w:rFonts w:ascii="Times New Roman" w:hAnsi="Times New Roman" w:cs="Times New Roman"/>
                <w:sz w:val="16"/>
                <w:szCs w:val="16"/>
              </w:rPr>
              <w:t>..</w:t>
            </w:r>
          </w:p>
        </w:tc>
        <w:tc>
          <w:tcPr>
            <w:tcW w:w="678" w:type="dxa"/>
            <w:vAlign w:val="center"/>
            <w:hideMark/>
          </w:tcPr>
          <w:p w14:paraId="1DA7A228" w14:textId="77777777" w:rsidR="00BB1A14" w:rsidRPr="00E22444" w:rsidRDefault="00BB1A14" w:rsidP="00E22444">
            <w:pPr>
              <w:pStyle w:val="NoSpacing"/>
              <w:jc w:val="center"/>
              <w:rPr>
                <w:rFonts w:ascii="Times New Roman" w:hAnsi="Times New Roman" w:cs="Times New Roman"/>
                <w:sz w:val="16"/>
                <w:szCs w:val="16"/>
              </w:rPr>
            </w:pPr>
            <w:r w:rsidRPr="00E22444">
              <w:rPr>
                <w:rFonts w:ascii="Times New Roman" w:hAnsi="Times New Roman" w:cs="Times New Roman"/>
                <w:sz w:val="16"/>
                <w:szCs w:val="16"/>
              </w:rPr>
              <w:t>32.18</w:t>
            </w:r>
          </w:p>
        </w:tc>
        <w:tc>
          <w:tcPr>
            <w:tcW w:w="678" w:type="dxa"/>
            <w:vAlign w:val="center"/>
            <w:hideMark/>
          </w:tcPr>
          <w:p w14:paraId="43049EAA" w14:textId="77777777" w:rsidR="00BB1A14" w:rsidRPr="00E22444" w:rsidRDefault="00BB1A14" w:rsidP="00E22444">
            <w:pPr>
              <w:pStyle w:val="NoSpacing"/>
              <w:jc w:val="center"/>
              <w:rPr>
                <w:rFonts w:ascii="Times New Roman" w:hAnsi="Times New Roman" w:cs="Times New Roman"/>
                <w:sz w:val="16"/>
                <w:szCs w:val="16"/>
              </w:rPr>
            </w:pPr>
            <w:r w:rsidRPr="00E22444">
              <w:rPr>
                <w:rFonts w:ascii="Times New Roman" w:hAnsi="Times New Roman" w:cs="Times New Roman"/>
                <w:sz w:val="16"/>
                <w:szCs w:val="16"/>
              </w:rPr>
              <w:t>35.20</w:t>
            </w:r>
          </w:p>
        </w:tc>
        <w:tc>
          <w:tcPr>
            <w:tcW w:w="610" w:type="dxa"/>
            <w:vAlign w:val="center"/>
            <w:hideMark/>
          </w:tcPr>
          <w:p w14:paraId="2347BA33" w14:textId="77777777" w:rsidR="00BB1A14" w:rsidRPr="00E22444" w:rsidRDefault="00BB1A14" w:rsidP="00E22444">
            <w:pPr>
              <w:pStyle w:val="NoSpacing"/>
              <w:jc w:val="center"/>
              <w:rPr>
                <w:rFonts w:ascii="Times New Roman" w:hAnsi="Times New Roman" w:cs="Times New Roman"/>
                <w:sz w:val="16"/>
                <w:szCs w:val="16"/>
              </w:rPr>
            </w:pPr>
            <w:r w:rsidRPr="00E22444">
              <w:rPr>
                <w:rFonts w:ascii="Times New Roman" w:hAnsi="Times New Roman" w:cs="Times New Roman"/>
                <w:sz w:val="16"/>
                <w:szCs w:val="16"/>
              </w:rPr>
              <w:t>..</w:t>
            </w:r>
          </w:p>
        </w:tc>
        <w:tc>
          <w:tcPr>
            <w:tcW w:w="678" w:type="dxa"/>
            <w:vAlign w:val="center"/>
            <w:hideMark/>
          </w:tcPr>
          <w:p w14:paraId="11BEF339" w14:textId="77777777" w:rsidR="00BB1A14" w:rsidRPr="00E22444" w:rsidRDefault="00BB1A14" w:rsidP="00E22444">
            <w:pPr>
              <w:pStyle w:val="NoSpacing"/>
              <w:jc w:val="center"/>
              <w:rPr>
                <w:rFonts w:ascii="Times New Roman" w:hAnsi="Times New Roman" w:cs="Times New Roman"/>
                <w:sz w:val="16"/>
                <w:szCs w:val="16"/>
              </w:rPr>
            </w:pPr>
            <w:r w:rsidRPr="00E22444">
              <w:rPr>
                <w:rFonts w:ascii="Times New Roman" w:hAnsi="Times New Roman" w:cs="Times New Roman"/>
                <w:sz w:val="16"/>
                <w:szCs w:val="16"/>
              </w:rPr>
              <w:t>35.20</w:t>
            </w:r>
          </w:p>
        </w:tc>
        <w:tc>
          <w:tcPr>
            <w:tcW w:w="672" w:type="dxa"/>
            <w:vAlign w:val="center"/>
            <w:hideMark/>
          </w:tcPr>
          <w:p w14:paraId="65858A20" w14:textId="77777777" w:rsidR="00BB1A14" w:rsidRPr="00E22444" w:rsidRDefault="00BB1A14" w:rsidP="00E22444">
            <w:pPr>
              <w:pStyle w:val="NoSpacing"/>
              <w:jc w:val="center"/>
              <w:rPr>
                <w:rFonts w:ascii="Times New Roman" w:hAnsi="Times New Roman" w:cs="Times New Roman"/>
                <w:sz w:val="16"/>
                <w:szCs w:val="16"/>
              </w:rPr>
            </w:pPr>
            <w:r w:rsidRPr="00E22444">
              <w:rPr>
                <w:rFonts w:ascii="Times New Roman" w:hAnsi="Times New Roman" w:cs="Times New Roman"/>
                <w:sz w:val="16"/>
                <w:szCs w:val="16"/>
              </w:rPr>
              <w:t>40.11</w:t>
            </w:r>
          </w:p>
        </w:tc>
        <w:tc>
          <w:tcPr>
            <w:tcW w:w="610" w:type="dxa"/>
            <w:vAlign w:val="center"/>
            <w:hideMark/>
          </w:tcPr>
          <w:p w14:paraId="4F10E536" w14:textId="77777777" w:rsidR="00BB1A14" w:rsidRPr="00E22444" w:rsidRDefault="00BB1A14" w:rsidP="00E22444">
            <w:pPr>
              <w:pStyle w:val="NoSpacing"/>
              <w:jc w:val="center"/>
              <w:rPr>
                <w:rFonts w:ascii="Times New Roman" w:hAnsi="Times New Roman" w:cs="Times New Roman"/>
                <w:sz w:val="16"/>
                <w:szCs w:val="16"/>
              </w:rPr>
            </w:pPr>
            <w:r w:rsidRPr="00E22444">
              <w:rPr>
                <w:rFonts w:ascii="Times New Roman" w:hAnsi="Times New Roman" w:cs="Times New Roman"/>
                <w:sz w:val="16"/>
                <w:szCs w:val="16"/>
              </w:rPr>
              <w:t>..</w:t>
            </w:r>
          </w:p>
        </w:tc>
        <w:tc>
          <w:tcPr>
            <w:tcW w:w="678" w:type="dxa"/>
            <w:vAlign w:val="center"/>
            <w:hideMark/>
          </w:tcPr>
          <w:p w14:paraId="56361E8F" w14:textId="77777777" w:rsidR="00BB1A14" w:rsidRPr="00E22444" w:rsidRDefault="00BB1A14" w:rsidP="00E22444">
            <w:pPr>
              <w:pStyle w:val="NoSpacing"/>
              <w:jc w:val="center"/>
              <w:rPr>
                <w:rFonts w:ascii="Times New Roman" w:hAnsi="Times New Roman" w:cs="Times New Roman"/>
                <w:sz w:val="16"/>
                <w:szCs w:val="16"/>
              </w:rPr>
            </w:pPr>
            <w:r w:rsidRPr="00E22444">
              <w:rPr>
                <w:rFonts w:ascii="Times New Roman" w:hAnsi="Times New Roman" w:cs="Times New Roman"/>
                <w:sz w:val="16"/>
                <w:szCs w:val="16"/>
              </w:rPr>
              <w:t>40.11</w:t>
            </w:r>
          </w:p>
        </w:tc>
      </w:tr>
      <w:tr w:rsidR="00BB1A14" w:rsidRPr="00E22444" w14:paraId="151FD455" w14:textId="77777777" w:rsidTr="00E22444">
        <w:trPr>
          <w:trHeight w:val="21"/>
          <w:jc w:val="center"/>
        </w:trPr>
        <w:tc>
          <w:tcPr>
            <w:tcW w:w="1164" w:type="dxa"/>
            <w:hideMark/>
          </w:tcPr>
          <w:p w14:paraId="15C3796D" w14:textId="77777777" w:rsidR="00BB1A14" w:rsidRPr="00E22444" w:rsidRDefault="00BB1A14" w:rsidP="00BB1A14">
            <w:pPr>
              <w:pStyle w:val="NoSpacing"/>
              <w:rPr>
                <w:rFonts w:ascii="Times New Roman" w:hAnsi="Times New Roman" w:cs="Times New Roman"/>
                <w:sz w:val="16"/>
                <w:szCs w:val="16"/>
              </w:rPr>
            </w:pPr>
            <w:r w:rsidRPr="00E22444">
              <w:rPr>
                <w:rFonts w:ascii="Times New Roman" w:hAnsi="Times New Roman" w:cs="Times New Roman"/>
                <w:sz w:val="16"/>
                <w:szCs w:val="16"/>
              </w:rPr>
              <w:t>2. Interest on Debt and other obligations</w:t>
            </w:r>
          </w:p>
        </w:tc>
        <w:tc>
          <w:tcPr>
            <w:tcW w:w="677" w:type="dxa"/>
            <w:vAlign w:val="center"/>
            <w:hideMark/>
          </w:tcPr>
          <w:p w14:paraId="0716056C" w14:textId="77777777" w:rsidR="00BB1A14" w:rsidRPr="00E22444" w:rsidRDefault="00BB1A14" w:rsidP="00E22444">
            <w:pPr>
              <w:pStyle w:val="NoSpacing"/>
              <w:jc w:val="center"/>
              <w:rPr>
                <w:rFonts w:ascii="Times New Roman" w:hAnsi="Times New Roman" w:cs="Times New Roman"/>
                <w:sz w:val="16"/>
                <w:szCs w:val="16"/>
              </w:rPr>
            </w:pPr>
            <w:r w:rsidRPr="00E22444">
              <w:rPr>
                <w:rFonts w:ascii="Times New Roman" w:hAnsi="Times New Roman" w:cs="Times New Roman"/>
                <w:sz w:val="16"/>
                <w:szCs w:val="16"/>
              </w:rPr>
              <w:t>311.41</w:t>
            </w:r>
          </w:p>
        </w:tc>
        <w:tc>
          <w:tcPr>
            <w:tcW w:w="609" w:type="dxa"/>
            <w:vAlign w:val="center"/>
            <w:hideMark/>
          </w:tcPr>
          <w:p w14:paraId="72DAA3E6" w14:textId="77777777" w:rsidR="00BB1A14" w:rsidRPr="00E22444" w:rsidRDefault="00BB1A14" w:rsidP="00E22444">
            <w:pPr>
              <w:pStyle w:val="NoSpacing"/>
              <w:jc w:val="center"/>
              <w:rPr>
                <w:rFonts w:ascii="Times New Roman" w:hAnsi="Times New Roman" w:cs="Times New Roman"/>
                <w:sz w:val="16"/>
                <w:szCs w:val="16"/>
              </w:rPr>
            </w:pPr>
            <w:r w:rsidRPr="00E22444">
              <w:rPr>
                <w:rFonts w:ascii="Times New Roman" w:hAnsi="Times New Roman" w:cs="Times New Roman"/>
                <w:sz w:val="16"/>
                <w:szCs w:val="16"/>
              </w:rPr>
              <w:t>..</w:t>
            </w:r>
          </w:p>
        </w:tc>
        <w:tc>
          <w:tcPr>
            <w:tcW w:w="678" w:type="dxa"/>
            <w:vAlign w:val="center"/>
            <w:hideMark/>
          </w:tcPr>
          <w:p w14:paraId="48CE9A14" w14:textId="77777777" w:rsidR="00BB1A14" w:rsidRPr="00E22444" w:rsidRDefault="00BB1A14" w:rsidP="00E22444">
            <w:pPr>
              <w:pStyle w:val="NoSpacing"/>
              <w:jc w:val="center"/>
              <w:rPr>
                <w:rFonts w:ascii="Times New Roman" w:hAnsi="Times New Roman" w:cs="Times New Roman"/>
                <w:sz w:val="16"/>
                <w:szCs w:val="16"/>
              </w:rPr>
            </w:pPr>
            <w:r w:rsidRPr="00E22444">
              <w:rPr>
                <w:rFonts w:ascii="Times New Roman" w:hAnsi="Times New Roman" w:cs="Times New Roman"/>
                <w:sz w:val="16"/>
                <w:szCs w:val="16"/>
              </w:rPr>
              <w:t>311.41</w:t>
            </w:r>
          </w:p>
        </w:tc>
        <w:tc>
          <w:tcPr>
            <w:tcW w:w="678" w:type="dxa"/>
            <w:vAlign w:val="center"/>
            <w:hideMark/>
          </w:tcPr>
          <w:p w14:paraId="38F9BDEB" w14:textId="77777777" w:rsidR="00BB1A14" w:rsidRPr="00E22444" w:rsidRDefault="00BB1A14" w:rsidP="00E22444">
            <w:pPr>
              <w:pStyle w:val="NoSpacing"/>
              <w:jc w:val="center"/>
              <w:rPr>
                <w:rFonts w:ascii="Times New Roman" w:hAnsi="Times New Roman" w:cs="Times New Roman"/>
                <w:sz w:val="16"/>
                <w:szCs w:val="16"/>
              </w:rPr>
            </w:pPr>
            <w:r w:rsidRPr="00E22444">
              <w:rPr>
                <w:rFonts w:ascii="Times New Roman" w:hAnsi="Times New Roman" w:cs="Times New Roman"/>
                <w:sz w:val="16"/>
                <w:szCs w:val="16"/>
              </w:rPr>
              <w:t>365.62</w:t>
            </w:r>
          </w:p>
        </w:tc>
        <w:tc>
          <w:tcPr>
            <w:tcW w:w="610" w:type="dxa"/>
            <w:vAlign w:val="center"/>
            <w:hideMark/>
          </w:tcPr>
          <w:p w14:paraId="5FF7B33D" w14:textId="77777777" w:rsidR="00BB1A14" w:rsidRPr="00E22444" w:rsidRDefault="00BB1A14" w:rsidP="00E22444">
            <w:pPr>
              <w:pStyle w:val="NoSpacing"/>
              <w:jc w:val="center"/>
              <w:rPr>
                <w:rFonts w:ascii="Times New Roman" w:hAnsi="Times New Roman" w:cs="Times New Roman"/>
                <w:sz w:val="16"/>
                <w:szCs w:val="16"/>
              </w:rPr>
            </w:pPr>
            <w:r w:rsidRPr="00E22444">
              <w:rPr>
                <w:rFonts w:ascii="Times New Roman" w:hAnsi="Times New Roman" w:cs="Times New Roman"/>
                <w:sz w:val="16"/>
                <w:szCs w:val="16"/>
              </w:rPr>
              <w:t>..</w:t>
            </w:r>
          </w:p>
        </w:tc>
        <w:tc>
          <w:tcPr>
            <w:tcW w:w="678" w:type="dxa"/>
            <w:vAlign w:val="center"/>
            <w:hideMark/>
          </w:tcPr>
          <w:p w14:paraId="3CA42751" w14:textId="77777777" w:rsidR="00BB1A14" w:rsidRPr="00E22444" w:rsidRDefault="00BB1A14" w:rsidP="00E22444">
            <w:pPr>
              <w:pStyle w:val="NoSpacing"/>
              <w:jc w:val="center"/>
              <w:rPr>
                <w:rFonts w:ascii="Times New Roman" w:hAnsi="Times New Roman" w:cs="Times New Roman"/>
                <w:sz w:val="16"/>
                <w:szCs w:val="16"/>
              </w:rPr>
            </w:pPr>
            <w:r w:rsidRPr="00E22444">
              <w:rPr>
                <w:rFonts w:ascii="Times New Roman" w:hAnsi="Times New Roman" w:cs="Times New Roman"/>
                <w:sz w:val="16"/>
                <w:szCs w:val="16"/>
              </w:rPr>
              <w:t>365.62</w:t>
            </w:r>
          </w:p>
        </w:tc>
        <w:tc>
          <w:tcPr>
            <w:tcW w:w="678" w:type="dxa"/>
            <w:vAlign w:val="center"/>
            <w:hideMark/>
          </w:tcPr>
          <w:p w14:paraId="00852772" w14:textId="77777777" w:rsidR="00BB1A14" w:rsidRPr="00E22444" w:rsidRDefault="00BB1A14" w:rsidP="00E22444">
            <w:pPr>
              <w:pStyle w:val="NoSpacing"/>
              <w:jc w:val="center"/>
              <w:rPr>
                <w:rFonts w:ascii="Times New Roman" w:hAnsi="Times New Roman" w:cs="Times New Roman"/>
                <w:sz w:val="16"/>
                <w:szCs w:val="16"/>
              </w:rPr>
            </w:pPr>
            <w:r w:rsidRPr="00E22444">
              <w:rPr>
                <w:rFonts w:ascii="Times New Roman" w:hAnsi="Times New Roman" w:cs="Times New Roman"/>
                <w:sz w:val="16"/>
                <w:szCs w:val="16"/>
              </w:rPr>
              <w:t>458.45</w:t>
            </w:r>
          </w:p>
        </w:tc>
        <w:tc>
          <w:tcPr>
            <w:tcW w:w="610" w:type="dxa"/>
            <w:vAlign w:val="center"/>
            <w:hideMark/>
          </w:tcPr>
          <w:p w14:paraId="0F46EBCD" w14:textId="77777777" w:rsidR="00BB1A14" w:rsidRPr="00E22444" w:rsidRDefault="00BB1A14" w:rsidP="00E22444">
            <w:pPr>
              <w:pStyle w:val="NoSpacing"/>
              <w:jc w:val="center"/>
              <w:rPr>
                <w:rFonts w:ascii="Times New Roman" w:hAnsi="Times New Roman" w:cs="Times New Roman"/>
                <w:sz w:val="16"/>
                <w:szCs w:val="16"/>
              </w:rPr>
            </w:pPr>
            <w:r w:rsidRPr="00E22444">
              <w:rPr>
                <w:rFonts w:ascii="Times New Roman" w:hAnsi="Times New Roman" w:cs="Times New Roman"/>
                <w:sz w:val="16"/>
                <w:szCs w:val="16"/>
              </w:rPr>
              <w:t>..</w:t>
            </w:r>
          </w:p>
        </w:tc>
        <w:tc>
          <w:tcPr>
            <w:tcW w:w="678" w:type="dxa"/>
            <w:vAlign w:val="center"/>
            <w:hideMark/>
          </w:tcPr>
          <w:p w14:paraId="2ED0D178" w14:textId="77777777" w:rsidR="00BB1A14" w:rsidRPr="00E22444" w:rsidRDefault="00BB1A14" w:rsidP="00E22444">
            <w:pPr>
              <w:pStyle w:val="NoSpacing"/>
              <w:jc w:val="center"/>
              <w:rPr>
                <w:rFonts w:ascii="Times New Roman" w:hAnsi="Times New Roman" w:cs="Times New Roman"/>
                <w:sz w:val="16"/>
                <w:szCs w:val="16"/>
              </w:rPr>
            </w:pPr>
            <w:r w:rsidRPr="00E22444">
              <w:rPr>
                <w:rFonts w:ascii="Times New Roman" w:hAnsi="Times New Roman" w:cs="Times New Roman"/>
                <w:sz w:val="16"/>
                <w:szCs w:val="16"/>
              </w:rPr>
              <w:t>458.45</w:t>
            </w:r>
          </w:p>
        </w:tc>
        <w:tc>
          <w:tcPr>
            <w:tcW w:w="678" w:type="dxa"/>
            <w:vAlign w:val="center"/>
            <w:hideMark/>
          </w:tcPr>
          <w:p w14:paraId="1C00BE34" w14:textId="77777777" w:rsidR="00BB1A14" w:rsidRPr="00E22444" w:rsidRDefault="00BB1A14" w:rsidP="00E22444">
            <w:pPr>
              <w:pStyle w:val="NoSpacing"/>
              <w:jc w:val="center"/>
              <w:rPr>
                <w:rFonts w:ascii="Times New Roman" w:hAnsi="Times New Roman" w:cs="Times New Roman"/>
                <w:sz w:val="16"/>
                <w:szCs w:val="16"/>
              </w:rPr>
            </w:pPr>
            <w:r w:rsidRPr="00E22444">
              <w:rPr>
                <w:rFonts w:ascii="Times New Roman" w:hAnsi="Times New Roman" w:cs="Times New Roman"/>
                <w:sz w:val="16"/>
                <w:szCs w:val="16"/>
              </w:rPr>
              <w:t>496.43</w:t>
            </w:r>
          </w:p>
        </w:tc>
        <w:tc>
          <w:tcPr>
            <w:tcW w:w="610" w:type="dxa"/>
            <w:vAlign w:val="center"/>
            <w:hideMark/>
          </w:tcPr>
          <w:p w14:paraId="638D854D" w14:textId="77777777" w:rsidR="00BB1A14" w:rsidRPr="00E22444" w:rsidRDefault="00BB1A14" w:rsidP="00E22444">
            <w:pPr>
              <w:pStyle w:val="NoSpacing"/>
              <w:jc w:val="center"/>
              <w:rPr>
                <w:rFonts w:ascii="Times New Roman" w:hAnsi="Times New Roman" w:cs="Times New Roman"/>
                <w:sz w:val="16"/>
                <w:szCs w:val="16"/>
              </w:rPr>
            </w:pPr>
            <w:r w:rsidRPr="00E22444">
              <w:rPr>
                <w:rFonts w:ascii="Times New Roman" w:hAnsi="Times New Roman" w:cs="Times New Roman"/>
                <w:sz w:val="16"/>
                <w:szCs w:val="16"/>
              </w:rPr>
              <w:t>..</w:t>
            </w:r>
          </w:p>
        </w:tc>
        <w:tc>
          <w:tcPr>
            <w:tcW w:w="678" w:type="dxa"/>
            <w:vAlign w:val="center"/>
            <w:hideMark/>
          </w:tcPr>
          <w:p w14:paraId="473FCA34" w14:textId="77777777" w:rsidR="00BB1A14" w:rsidRPr="00E22444" w:rsidRDefault="00BB1A14" w:rsidP="00E22444">
            <w:pPr>
              <w:pStyle w:val="NoSpacing"/>
              <w:jc w:val="center"/>
              <w:rPr>
                <w:rFonts w:ascii="Times New Roman" w:hAnsi="Times New Roman" w:cs="Times New Roman"/>
                <w:sz w:val="16"/>
                <w:szCs w:val="16"/>
              </w:rPr>
            </w:pPr>
            <w:r w:rsidRPr="00E22444">
              <w:rPr>
                <w:rFonts w:ascii="Times New Roman" w:hAnsi="Times New Roman" w:cs="Times New Roman"/>
                <w:sz w:val="16"/>
                <w:szCs w:val="16"/>
              </w:rPr>
              <w:t>496.43</w:t>
            </w:r>
          </w:p>
        </w:tc>
        <w:tc>
          <w:tcPr>
            <w:tcW w:w="672" w:type="dxa"/>
            <w:vAlign w:val="center"/>
            <w:hideMark/>
          </w:tcPr>
          <w:p w14:paraId="753D0C59" w14:textId="77777777" w:rsidR="00BB1A14" w:rsidRPr="00E22444" w:rsidRDefault="00BB1A14" w:rsidP="00E22444">
            <w:pPr>
              <w:pStyle w:val="NoSpacing"/>
              <w:jc w:val="center"/>
              <w:rPr>
                <w:rFonts w:ascii="Times New Roman" w:hAnsi="Times New Roman" w:cs="Times New Roman"/>
                <w:sz w:val="16"/>
                <w:szCs w:val="16"/>
              </w:rPr>
            </w:pPr>
            <w:r w:rsidRPr="00E22444">
              <w:rPr>
                <w:rFonts w:ascii="Times New Roman" w:hAnsi="Times New Roman" w:cs="Times New Roman"/>
                <w:sz w:val="16"/>
                <w:szCs w:val="16"/>
              </w:rPr>
              <w:t>522.69</w:t>
            </w:r>
          </w:p>
        </w:tc>
        <w:tc>
          <w:tcPr>
            <w:tcW w:w="610" w:type="dxa"/>
            <w:vAlign w:val="center"/>
            <w:hideMark/>
          </w:tcPr>
          <w:p w14:paraId="420F9BE8" w14:textId="77777777" w:rsidR="00BB1A14" w:rsidRPr="00E22444" w:rsidRDefault="00BB1A14" w:rsidP="00E22444">
            <w:pPr>
              <w:pStyle w:val="NoSpacing"/>
              <w:jc w:val="center"/>
              <w:rPr>
                <w:rFonts w:ascii="Times New Roman" w:hAnsi="Times New Roman" w:cs="Times New Roman"/>
                <w:sz w:val="16"/>
                <w:szCs w:val="16"/>
              </w:rPr>
            </w:pPr>
            <w:r w:rsidRPr="00E22444">
              <w:rPr>
                <w:rFonts w:ascii="Times New Roman" w:hAnsi="Times New Roman" w:cs="Times New Roman"/>
                <w:sz w:val="16"/>
                <w:szCs w:val="16"/>
              </w:rPr>
              <w:t>..</w:t>
            </w:r>
          </w:p>
        </w:tc>
        <w:tc>
          <w:tcPr>
            <w:tcW w:w="678" w:type="dxa"/>
            <w:vAlign w:val="center"/>
            <w:hideMark/>
          </w:tcPr>
          <w:p w14:paraId="6BDCEA92" w14:textId="77777777" w:rsidR="00BB1A14" w:rsidRPr="00E22444" w:rsidRDefault="00BB1A14" w:rsidP="00E22444">
            <w:pPr>
              <w:pStyle w:val="NoSpacing"/>
              <w:jc w:val="center"/>
              <w:rPr>
                <w:rFonts w:ascii="Times New Roman" w:hAnsi="Times New Roman" w:cs="Times New Roman"/>
                <w:sz w:val="16"/>
                <w:szCs w:val="16"/>
              </w:rPr>
            </w:pPr>
            <w:r w:rsidRPr="00E22444">
              <w:rPr>
                <w:rFonts w:ascii="Times New Roman" w:hAnsi="Times New Roman" w:cs="Times New Roman"/>
                <w:sz w:val="16"/>
                <w:szCs w:val="16"/>
              </w:rPr>
              <w:t>522.69</w:t>
            </w:r>
          </w:p>
        </w:tc>
      </w:tr>
      <w:tr w:rsidR="00BB1A14" w:rsidRPr="00E22444" w14:paraId="59F0C15C" w14:textId="77777777" w:rsidTr="00E22444">
        <w:trPr>
          <w:trHeight w:val="21"/>
          <w:jc w:val="center"/>
        </w:trPr>
        <w:tc>
          <w:tcPr>
            <w:tcW w:w="1164" w:type="dxa"/>
            <w:hideMark/>
          </w:tcPr>
          <w:p w14:paraId="01218CEF" w14:textId="77777777" w:rsidR="00BB1A14" w:rsidRPr="00E22444" w:rsidRDefault="00BB1A14" w:rsidP="00BB1A14">
            <w:pPr>
              <w:pStyle w:val="NoSpacing"/>
              <w:rPr>
                <w:rFonts w:ascii="Times New Roman" w:hAnsi="Times New Roman" w:cs="Times New Roman"/>
                <w:sz w:val="16"/>
                <w:szCs w:val="16"/>
              </w:rPr>
            </w:pPr>
            <w:r w:rsidRPr="00E22444">
              <w:rPr>
                <w:rFonts w:ascii="Times New Roman" w:hAnsi="Times New Roman" w:cs="Times New Roman"/>
                <w:sz w:val="16"/>
                <w:szCs w:val="16"/>
              </w:rPr>
              <w:t>3. Appropriation for reduction or avoidance of debt</w:t>
            </w:r>
          </w:p>
        </w:tc>
        <w:tc>
          <w:tcPr>
            <w:tcW w:w="677" w:type="dxa"/>
            <w:vAlign w:val="center"/>
            <w:hideMark/>
          </w:tcPr>
          <w:p w14:paraId="7F286E4F" w14:textId="77777777" w:rsidR="00BB1A14" w:rsidRPr="00E22444" w:rsidRDefault="00BB1A14" w:rsidP="00E22444">
            <w:pPr>
              <w:pStyle w:val="NoSpacing"/>
              <w:jc w:val="center"/>
              <w:rPr>
                <w:rFonts w:ascii="Times New Roman" w:hAnsi="Times New Roman" w:cs="Times New Roman"/>
                <w:sz w:val="16"/>
                <w:szCs w:val="16"/>
              </w:rPr>
            </w:pPr>
            <w:r w:rsidRPr="00E22444">
              <w:rPr>
                <w:rFonts w:ascii="Times New Roman" w:hAnsi="Times New Roman" w:cs="Times New Roman"/>
                <w:sz w:val="16"/>
                <w:szCs w:val="16"/>
              </w:rPr>
              <w:t>5.00</w:t>
            </w:r>
          </w:p>
        </w:tc>
        <w:tc>
          <w:tcPr>
            <w:tcW w:w="609" w:type="dxa"/>
            <w:vAlign w:val="center"/>
            <w:hideMark/>
          </w:tcPr>
          <w:p w14:paraId="4D1CC376" w14:textId="77777777" w:rsidR="00BB1A14" w:rsidRPr="00E22444" w:rsidRDefault="00BB1A14" w:rsidP="00E22444">
            <w:pPr>
              <w:pStyle w:val="NoSpacing"/>
              <w:jc w:val="center"/>
              <w:rPr>
                <w:rFonts w:ascii="Times New Roman" w:hAnsi="Times New Roman" w:cs="Times New Roman"/>
                <w:sz w:val="16"/>
                <w:szCs w:val="16"/>
              </w:rPr>
            </w:pPr>
            <w:r w:rsidRPr="00E22444">
              <w:rPr>
                <w:rFonts w:ascii="Times New Roman" w:hAnsi="Times New Roman" w:cs="Times New Roman"/>
                <w:sz w:val="16"/>
                <w:szCs w:val="16"/>
              </w:rPr>
              <w:t>..</w:t>
            </w:r>
          </w:p>
        </w:tc>
        <w:tc>
          <w:tcPr>
            <w:tcW w:w="678" w:type="dxa"/>
            <w:vAlign w:val="center"/>
            <w:hideMark/>
          </w:tcPr>
          <w:p w14:paraId="6383677F" w14:textId="77777777" w:rsidR="00BB1A14" w:rsidRPr="00E22444" w:rsidRDefault="00BB1A14" w:rsidP="00E22444">
            <w:pPr>
              <w:pStyle w:val="NoSpacing"/>
              <w:jc w:val="center"/>
              <w:rPr>
                <w:rFonts w:ascii="Times New Roman" w:hAnsi="Times New Roman" w:cs="Times New Roman"/>
                <w:sz w:val="16"/>
                <w:szCs w:val="16"/>
              </w:rPr>
            </w:pPr>
            <w:r w:rsidRPr="00E22444">
              <w:rPr>
                <w:rFonts w:ascii="Times New Roman" w:hAnsi="Times New Roman" w:cs="Times New Roman"/>
                <w:sz w:val="16"/>
                <w:szCs w:val="16"/>
              </w:rPr>
              <w:t>5.00</w:t>
            </w:r>
          </w:p>
        </w:tc>
        <w:tc>
          <w:tcPr>
            <w:tcW w:w="678" w:type="dxa"/>
            <w:vAlign w:val="center"/>
            <w:hideMark/>
          </w:tcPr>
          <w:p w14:paraId="432666FA" w14:textId="77777777" w:rsidR="00BB1A14" w:rsidRPr="00E22444" w:rsidRDefault="00BB1A14" w:rsidP="00E22444">
            <w:pPr>
              <w:pStyle w:val="NoSpacing"/>
              <w:jc w:val="center"/>
              <w:rPr>
                <w:rFonts w:ascii="Times New Roman" w:hAnsi="Times New Roman" w:cs="Times New Roman"/>
                <w:sz w:val="16"/>
                <w:szCs w:val="16"/>
              </w:rPr>
            </w:pPr>
            <w:r w:rsidRPr="00E22444">
              <w:rPr>
                <w:rFonts w:ascii="Times New Roman" w:hAnsi="Times New Roman" w:cs="Times New Roman"/>
                <w:sz w:val="16"/>
                <w:szCs w:val="16"/>
              </w:rPr>
              <w:t>5.00</w:t>
            </w:r>
          </w:p>
        </w:tc>
        <w:tc>
          <w:tcPr>
            <w:tcW w:w="610" w:type="dxa"/>
            <w:vAlign w:val="center"/>
            <w:hideMark/>
          </w:tcPr>
          <w:p w14:paraId="3349579E" w14:textId="77777777" w:rsidR="00BB1A14" w:rsidRPr="00E22444" w:rsidRDefault="00BB1A14" w:rsidP="00E22444">
            <w:pPr>
              <w:pStyle w:val="NoSpacing"/>
              <w:jc w:val="center"/>
              <w:rPr>
                <w:rFonts w:ascii="Times New Roman" w:hAnsi="Times New Roman" w:cs="Times New Roman"/>
                <w:sz w:val="16"/>
                <w:szCs w:val="16"/>
              </w:rPr>
            </w:pPr>
            <w:r w:rsidRPr="00E22444">
              <w:rPr>
                <w:rFonts w:ascii="Times New Roman" w:hAnsi="Times New Roman" w:cs="Times New Roman"/>
                <w:sz w:val="16"/>
                <w:szCs w:val="16"/>
              </w:rPr>
              <w:t>..</w:t>
            </w:r>
          </w:p>
        </w:tc>
        <w:tc>
          <w:tcPr>
            <w:tcW w:w="678" w:type="dxa"/>
            <w:vAlign w:val="center"/>
            <w:hideMark/>
          </w:tcPr>
          <w:p w14:paraId="1FB3173A" w14:textId="77777777" w:rsidR="00BB1A14" w:rsidRPr="00E22444" w:rsidRDefault="00BB1A14" w:rsidP="00E22444">
            <w:pPr>
              <w:pStyle w:val="NoSpacing"/>
              <w:jc w:val="center"/>
              <w:rPr>
                <w:rFonts w:ascii="Times New Roman" w:hAnsi="Times New Roman" w:cs="Times New Roman"/>
                <w:sz w:val="16"/>
                <w:szCs w:val="16"/>
              </w:rPr>
            </w:pPr>
            <w:r w:rsidRPr="00E22444">
              <w:rPr>
                <w:rFonts w:ascii="Times New Roman" w:hAnsi="Times New Roman" w:cs="Times New Roman"/>
                <w:sz w:val="16"/>
                <w:szCs w:val="16"/>
              </w:rPr>
              <w:t>5.00</w:t>
            </w:r>
          </w:p>
        </w:tc>
        <w:tc>
          <w:tcPr>
            <w:tcW w:w="678" w:type="dxa"/>
            <w:vAlign w:val="center"/>
            <w:hideMark/>
          </w:tcPr>
          <w:p w14:paraId="348EC2D8" w14:textId="77777777" w:rsidR="00BB1A14" w:rsidRPr="00E22444" w:rsidRDefault="00BB1A14" w:rsidP="00E22444">
            <w:pPr>
              <w:pStyle w:val="NoSpacing"/>
              <w:jc w:val="center"/>
              <w:rPr>
                <w:rFonts w:ascii="Times New Roman" w:hAnsi="Times New Roman" w:cs="Times New Roman"/>
                <w:sz w:val="16"/>
                <w:szCs w:val="16"/>
              </w:rPr>
            </w:pPr>
            <w:r w:rsidRPr="00E22444">
              <w:rPr>
                <w:rFonts w:ascii="Times New Roman" w:hAnsi="Times New Roman" w:cs="Times New Roman"/>
                <w:sz w:val="16"/>
                <w:szCs w:val="16"/>
              </w:rPr>
              <w:t>5.00</w:t>
            </w:r>
          </w:p>
        </w:tc>
        <w:tc>
          <w:tcPr>
            <w:tcW w:w="610" w:type="dxa"/>
            <w:vAlign w:val="center"/>
            <w:hideMark/>
          </w:tcPr>
          <w:p w14:paraId="63D5A9D7" w14:textId="77777777" w:rsidR="00BB1A14" w:rsidRPr="00E22444" w:rsidRDefault="00BB1A14" w:rsidP="00E22444">
            <w:pPr>
              <w:pStyle w:val="NoSpacing"/>
              <w:jc w:val="center"/>
              <w:rPr>
                <w:rFonts w:ascii="Times New Roman" w:hAnsi="Times New Roman" w:cs="Times New Roman"/>
                <w:sz w:val="16"/>
                <w:szCs w:val="16"/>
              </w:rPr>
            </w:pPr>
            <w:r w:rsidRPr="00E22444">
              <w:rPr>
                <w:rFonts w:ascii="Times New Roman" w:hAnsi="Times New Roman" w:cs="Times New Roman"/>
                <w:sz w:val="16"/>
                <w:szCs w:val="16"/>
              </w:rPr>
              <w:t>..</w:t>
            </w:r>
          </w:p>
        </w:tc>
        <w:tc>
          <w:tcPr>
            <w:tcW w:w="678" w:type="dxa"/>
            <w:vAlign w:val="center"/>
            <w:hideMark/>
          </w:tcPr>
          <w:p w14:paraId="16E180FD" w14:textId="77777777" w:rsidR="00BB1A14" w:rsidRPr="00E22444" w:rsidRDefault="00BB1A14" w:rsidP="00E22444">
            <w:pPr>
              <w:pStyle w:val="NoSpacing"/>
              <w:jc w:val="center"/>
              <w:rPr>
                <w:rFonts w:ascii="Times New Roman" w:hAnsi="Times New Roman" w:cs="Times New Roman"/>
                <w:sz w:val="16"/>
                <w:szCs w:val="16"/>
              </w:rPr>
            </w:pPr>
            <w:r w:rsidRPr="00E22444">
              <w:rPr>
                <w:rFonts w:ascii="Times New Roman" w:hAnsi="Times New Roman" w:cs="Times New Roman"/>
                <w:sz w:val="16"/>
                <w:szCs w:val="16"/>
              </w:rPr>
              <w:t>5.00</w:t>
            </w:r>
          </w:p>
        </w:tc>
        <w:tc>
          <w:tcPr>
            <w:tcW w:w="678" w:type="dxa"/>
            <w:vAlign w:val="center"/>
            <w:hideMark/>
          </w:tcPr>
          <w:p w14:paraId="641E2241" w14:textId="77777777" w:rsidR="00BB1A14" w:rsidRPr="00E22444" w:rsidRDefault="00BB1A14" w:rsidP="00E22444">
            <w:pPr>
              <w:pStyle w:val="NoSpacing"/>
              <w:jc w:val="center"/>
              <w:rPr>
                <w:rFonts w:ascii="Times New Roman" w:hAnsi="Times New Roman" w:cs="Times New Roman"/>
                <w:sz w:val="16"/>
                <w:szCs w:val="16"/>
              </w:rPr>
            </w:pPr>
            <w:r w:rsidRPr="00E22444">
              <w:rPr>
                <w:rFonts w:ascii="Times New Roman" w:hAnsi="Times New Roman" w:cs="Times New Roman"/>
                <w:sz w:val="16"/>
                <w:szCs w:val="16"/>
              </w:rPr>
              <w:t>5.00</w:t>
            </w:r>
          </w:p>
        </w:tc>
        <w:tc>
          <w:tcPr>
            <w:tcW w:w="610" w:type="dxa"/>
            <w:vAlign w:val="center"/>
            <w:hideMark/>
          </w:tcPr>
          <w:p w14:paraId="7315083A" w14:textId="77777777" w:rsidR="00BB1A14" w:rsidRPr="00E22444" w:rsidRDefault="00BB1A14" w:rsidP="00E22444">
            <w:pPr>
              <w:pStyle w:val="NoSpacing"/>
              <w:jc w:val="center"/>
              <w:rPr>
                <w:rFonts w:ascii="Times New Roman" w:hAnsi="Times New Roman" w:cs="Times New Roman"/>
                <w:sz w:val="16"/>
                <w:szCs w:val="16"/>
              </w:rPr>
            </w:pPr>
            <w:r w:rsidRPr="00E22444">
              <w:rPr>
                <w:rFonts w:ascii="Times New Roman" w:hAnsi="Times New Roman" w:cs="Times New Roman"/>
                <w:sz w:val="16"/>
                <w:szCs w:val="16"/>
              </w:rPr>
              <w:t>..</w:t>
            </w:r>
          </w:p>
        </w:tc>
        <w:tc>
          <w:tcPr>
            <w:tcW w:w="678" w:type="dxa"/>
            <w:vAlign w:val="center"/>
            <w:hideMark/>
          </w:tcPr>
          <w:p w14:paraId="08E99980" w14:textId="77777777" w:rsidR="00BB1A14" w:rsidRPr="00E22444" w:rsidRDefault="00BB1A14" w:rsidP="00E22444">
            <w:pPr>
              <w:pStyle w:val="NoSpacing"/>
              <w:jc w:val="center"/>
              <w:rPr>
                <w:rFonts w:ascii="Times New Roman" w:hAnsi="Times New Roman" w:cs="Times New Roman"/>
                <w:sz w:val="16"/>
                <w:szCs w:val="16"/>
              </w:rPr>
            </w:pPr>
            <w:r w:rsidRPr="00E22444">
              <w:rPr>
                <w:rFonts w:ascii="Times New Roman" w:hAnsi="Times New Roman" w:cs="Times New Roman"/>
                <w:sz w:val="16"/>
                <w:szCs w:val="16"/>
              </w:rPr>
              <w:t>5.00</w:t>
            </w:r>
          </w:p>
        </w:tc>
        <w:tc>
          <w:tcPr>
            <w:tcW w:w="672" w:type="dxa"/>
            <w:vAlign w:val="center"/>
            <w:hideMark/>
          </w:tcPr>
          <w:p w14:paraId="04B283DE" w14:textId="77777777" w:rsidR="00BB1A14" w:rsidRPr="00E22444" w:rsidRDefault="00BB1A14" w:rsidP="00E22444">
            <w:pPr>
              <w:pStyle w:val="NoSpacing"/>
              <w:jc w:val="center"/>
              <w:rPr>
                <w:rFonts w:ascii="Times New Roman" w:hAnsi="Times New Roman" w:cs="Times New Roman"/>
                <w:sz w:val="16"/>
                <w:szCs w:val="16"/>
              </w:rPr>
            </w:pPr>
            <w:r w:rsidRPr="00E22444">
              <w:rPr>
                <w:rFonts w:ascii="Times New Roman" w:hAnsi="Times New Roman" w:cs="Times New Roman"/>
                <w:sz w:val="16"/>
                <w:szCs w:val="16"/>
              </w:rPr>
              <w:t>5.00</w:t>
            </w:r>
          </w:p>
        </w:tc>
        <w:tc>
          <w:tcPr>
            <w:tcW w:w="610" w:type="dxa"/>
            <w:vAlign w:val="center"/>
            <w:hideMark/>
          </w:tcPr>
          <w:p w14:paraId="4F79903F" w14:textId="77777777" w:rsidR="00BB1A14" w:rsidRPr="00E22444" w:rsidRDefault="00BB1A14" w:rsidP="00E22444">
            <w:pPr>
              <w:pStyle w:val="NoSpacing"/>
              <w:jc w:val="center"/>
              <w:rPr>
                <w:rFonts w:ascii="Times New Roman" w:hAnsi="Times New Roman" w:cs="Times New Roman"/>
                <w:sz w:val="16"/>
                <w:szCs w:val="16"/>
              </w:rPr>
            </w:pPr>
            <w:r w:rsidRPr="00E22444">
              <w:rPr>
                <w:rFonts w:ascii="Times New Roman" w:hAnsi="Times New Roman" w:cs="Times New Roman"/>
                <w:sz w:val="16"/>
                <w:szCs w:val="16"/>
              </w:rPr>
              <w:t>..</w:t>
            </w:r>
          </w:p>
        </w:tc>
        <w:tc>
          <w:tcPr>
            <w:tcW w:w="678" w:type="dxa"/>
            <w:vAlign w:val="center"/>
            <w:hideMark/>
          </w:tcPr>
          <w:p w14:paraId="059FAE5C" w14:textId="77777777" w:rsidR="00BB1A14" w:rsidRPr="00E22444" w:rsidRDefault="00BB1A14" w:rsidP="00E22444">
            <w:pPr>
              <w:pStyle w:val="NoSpacing"/>
              <w:jc w:val="center"/>
              <w:rPr>
                <w:rFonts w:ascii="Times New Roman" w:hAnsi="Times New Roman" w:cs="Times New Roman"/>
                <w:sz w:val="16"/>
                <w:szCs w:val="16"/>
              </w:rPr>
            </w:pPr>
            <w:r w:rsidRPr="00E22444">
              <w:rPr>
                <w:rFonts w:ascii="Times New Roman" w:hAnsi="Times New Roman" w:cs="Times New Roman"/>
                <w:sz w:val="16"/>
                <w:szCs w:val="16"/>
              </w:rPr>
              <w:t>5.00</w:t>
            </w:r>
          </w:p>
        </w:tc>
      </w:tr>
      <w:tr w:rsidR="00BB1A14" w:rsidRPr="00E22444" w14:paraId="3DAB0EF8" w14:textId="77777777" w:rsidTr="00E22444">
        <w:trPr>
          <w:trHeight w:val="21"/>
          <w:jc w:val="center"/>
        </w:trPr>
        <w:tc>
          <w:tcPr>
            <w:tcW w:w="1164" w:type="dxa"/>
            <w:hideMark/>
          </w:tcPr>
          <w:p w14:paraId="0436BA45" w14:textId="77777777" w:rsidR="00BB1A14" w:rsidRPr="00E22444" w:rsidRDefault="00BB1A14" w:rsidP="00BB1A14">
            <w:pPr>
              <w:pStyle w:val="NoSpacing"/>
              <w:rPr>
                <w:rFonts w:ascii="Times New Roman" w:hAnsi="Times New Roman" w:cs="Times New Roman"/>
                <w:sz w:val="16"/>
                <w:szCs w:val="16"/>
              </w:rPr>
            </w:pPr>
            <w:r w:rsidRPr="00E22444">
              <w:rPr>
                <w:rFonts w:ascii="Times New Roman" w:hAnsi="Times New Roman" w:cs="Times New Roman"/>
                <w:sz w:val="16"/>
                <w:szCs w:val="16"/>
              </w:rPr>
              <w:t>4. Administrative Services</w:t>
            </w:r>
          </w:p>
        </w:tc>
        <w:tc>
          <w:tcPr>
            <w:tcW w:w="677" w:type="dxa"/>
            <w:vAlign w:val="center"/>
            <w:hideMark/>
          </w:tcPr>
          <w:p w14:paraId="4294A65C" w14:textId="77777777" w:rsidR="00BB1A14" w:rsidRPr="00E22444" w:rsidRDefault="00BB1A14" w:rsidP="00E22444">
            <w:pPr>
              <w:pStyle w:val="NoSpacing"/>
              <w:jc w:val="center"/>
              <w:rPr>
                <w:rFonts w:ascii="Times New Roman" w:hAnsi="Times New Roman" w:cs="Times New Roman"/>
                <w:sz w:val="16"/>
                <w:szCs w:val="16"/>
              </w:rPr>
            </w:pPr>
            <w:r w:rsidRPr="00E22444">
              <w:rPr>
                <w:rFonts w:ascii="Times New Roman" w:hAnsi="Times New Roman" w:cs="Times New Roman"/>
                <w:sz w:val="16"/>
                <w:szCs w:val="16"/>
              </w:rPr>
              <w:t>81.78</w:t>
            </w:r>
          </w:p>
        </w:tc>
        <w:tc>
          <w:tcPr>
            <w:tcW w:w="609" w:type="dxa"/>
            <w:vAlign w:val="center"/>
            <w:hideMark/>
          </w:tcPr>
          <w:p w14:paraId="5BBEE13A" w14:textId="77777777" w:rsidR="00BB1A14" w:rsidRPr="00E22444" w:rsidRDefault="00BB1A14" w:rsidP="00E22444">
            <w:pPr>
              <w:pStyle w:val="NoSpacing"/>
              <w:jc w:val="center"/>
              <w:rPr>
                <w:rFonts w:ascii="Times New Roman" w:hAnsi="Times New Roman" w:cs="Times New Roman"/>
                <w:sz w:val="16"/>
                <w:szCs w:val="16"/>
              </w:rPr>
            </w:pPr>
            <w:r w:rsidRPr="00E22444">
              <w:rPr>
                <w:rFonts w:ascii="Times New Roman" w:hAnsi="Times New Roman" w:cs="Times New Roman"/>
                <w:sz w:val="16"/>
                <w:szCs w:val="16"/>
              </w:rPr>
              <w:t>0.08</w:t>
            </w:r>
          </w:p>
        </w:tc>
        <w:tc>
          <w:tcPr>
            <w:tcW w:w="678" w:type="dxa"/>
            <w:vAlign w:val="center"/>
            <w:hideMark/>
          </w:tcPr>
          <w:p w14:paraId="44D344B0" w14:textId="77777777" w:rsidR="00BB1A14" w:rsidRPr="00E22444" w:rsidRDefault="00BB1A14" w:rsidP="00E22444">
            <w:pPr>
              <w:pStyle w:val="NoSpacing"/>
              <w:jc w:val="center"/>
              <w:rPr>
                <w:rFonts w:ascii="Times New Roman" w:hAnsi="Times New Roman" w:cs="Times New Roman"/>
                <w:sz w:val="16"/>
                <w:szCs w:val="16"/>
              </w:rPr>
            </w:pPr>
            <w:r w:rsidRPr="00E22444">
              <w:rPr>
                <w:rFonts w:ascii="Times New Roman" w:hAnsi="Times New Roman" w:cs="Times New Roman"/>
                <w:sz w:val="16"/>
                <w:szCs w:val="16"/>
              </w:rPr>
              <w:t>81.86</w:t>
            </w:r>
          </w:p>
        </w:tc>
        <w:tc>
          <w:tcPr>
            <w:tcW w:w="678" w:type="dxa"/>
            <w:vAlign w:val="center"/>
            <w:hideMark/>
          </w:tcPr>
          <w:p w14:paraId="77FEECE0" w14:textId="77777777" w:rsidR="00BB1A14" w:rsidRPr="00E22444" w:rsidRDefault="00BB1A14" w:rsidP="00E22444">
            <w:pPr>
              <w:pStyle w:val="NoSpacing"/>
              <w:jc w:val="center"/>
              <w:rPr>
                <w:rFonts w:ascii="Times New Roman" w:hAnsi="Times New Roman" w:cs="Times New Roman"/>
                <w:sz w:val="16"/>
                <w:szCs w:val="16"/>
              </w:rPr>
            </w:pPr>
            <w:r w:rsidRPr="00E22444">
              <w:rPr>
                <w:rFonts w:ascii="Times New Roman" w:hAnsi="Times New Roman" w:cs="Times New Roman"/>
                <w:sz w:val="16"/>
                <w:szCs w:val="16"/>
              </w:rPr>
              <w:t>95.33</w:t>
            </w:r>
          </w:p>
        </w:tc>
        <w:tc>
          <w:tcPr>
            <w:tcW w:w="610" w:type="dxa"/>
            <w:vAlign w:val="center"/>
            <w:hideMark/>
          </w:tcPr>
          <w:p w14:paraId="09D23E85" w14:textId="77777777" w:rsidR="00BB1A14" w:rsidRPr="00E22444" w:rsidRDefault="00BB1A14" w:rsidP="00E22444">
            <w:pPr>
              <w:pStyle w:val="NoSpacing"/>
              <w:jc w:val="center"/>
              <w:rPr>
                <w:rFonts w:ascii="Times New Roman" w:hAnsi="Times New Roman" w:cs="Times New Roman"/>
                <w:sz w:val="16"/>
                <w:szCs w:val="16"/>
              </w:rPr>
            </w:pPr>
            <w:r w:rsidRPr="00E22444">
              <w:rPr>
                <w:rFonts w:ascii="Times New Roman" w:hAnsi="Times New Roman" w:cs="Times New Roman"/>
                <w:sz w:val="16"/>
                <w:szCs w:val="16"/>
              </w:rPr>
              <w:t>0.08</w:t>
            </w:r>
          </w:p>
        </w:tc>
        <w:tc>
          <w:tcPr>
            <w:tcW w:w="678" w:type="dxa"/>
            <w:vAlign w:val="center"/>
            <w:hideMark/>
          </w:tcPr>
          <w:p w14:paraId="61B53295" w14:textId="77777777" w:rsidR="00BB1A14" w:rsidRPr="00E22444" w:rsidRDefault="00BB1A14" w:rsidP="00E22444">
            <w:pPr>
              <w:pStyle w:val="NoSpacing"/>
              <w:jc w:val="center"/>
              <w:rPr>
                <w:rFonts w:ascii="Times New Roman" w:hAnsi="Times New Roman" w:cs="Times New Roman"/>
                <w:sz w:val="16"/>
                <w:szCs w:val="16"/>
              </w:rPr>
            </w:pPr>
            <w:r w:rsidRPr="00E22444">
              <w:rPr>
                <w:rFonts w:ascii="Times New Roman" w:hAnsi="Times New Roman" w:cs="Times New Roman"/>
                <w:sz w:val="16"/>
                <w:szCs w:val="16"/>
              </w:rPr>
              <w:t>95.41</w:t>
            </w:r>
          </w:p>
        </w:tc>
        <w:tc>
          <w:tcPr>
            <w:tcW w:w="678" w:type="dxa"/>
            <w:vAlign w:val="center"/>
            <w:hideMark/>
          </w:tcPr>
          <w:p w14:paraId="7F6255CB" w14:textId="77777777" w:rsidR="00BB1A14" w:rsidRPr="00E22444" w:rsidRDefault="00BB1A14" w:rsidP="00E22444">
            <w:pPr>
              <w:pStyle w:val="NoSpacing"/>
              <w:jc w:val="center"/>
              <w:rPr>
                <w:rFonts w:ascii="Times New Roman" w:hAnsi="Times New Roman" w:cs="Times New Roman"/>
                <w:sz w:val="16"/>
                <w:szCs w:val="16"/>
              </w:rPr>
            </w:pPr>
            <w:r w:rsidRPr="00E22444">
              <w:rPr>
                <w:rFonts w:ascii="Times New Roman" w:hAnsi="Times New Roman" w:cs="Times New Roman"/>
                <w:sz w:val="16"/>
                <w:szCs w:val="16"/>
              </w:rPr>
              <w:t>123.13</w:t>
            </w:r>
          </w:p>
        </w:tc>
        <w:tc>
          <w:tcPr>
            <w:tcW w:w="610" w:type="dxa"/>
            <w:vAlign w:val="center"/>
            <w:hideMark/>
          </w:tcPr>
          <w:p w14:paraId="7A823A83" w14:textId="77777777" w:rsidR="00BB1A14" w:rsidRPr="00E22444" w:rsidRDefault="00BB1A14" w:rsidP="00E22444">
            <w:pPr>
              <w:pStyle w:val="NoSpacing"/>
              <w:jc w:val="center"/>
              <w:rPr>
                <w:rFonts w:ascii="Times New Roman" w:hAnsi="Times New Roman" w:cs="Times New Roman"/>
                <w:sz w:val="16"/>
                <w:szCs w:val="16"/>
              </w:rPr>
            </w:pPr>
            <w:r w:rsidRPr="00E22444">
              <w:rPr>
                <w:rFonts w:ascii="Times New Roman" w:hAnsi="Times New Roman" w:cs="Times New Roman"/>
                <w:sz w:val="16"/>
                <w:szCs w:val="16"/>
              </w:rPr>
              <w:t>0.12</w:t>
            </w:r>
          </w:p>
        </w:tc>
        <w:tc>
          <w:tcPr>
            <w:tcW w:w="678" w:type="dxa"/>
            <w:vAlign w:val="center"/>
            <w:hideMark/>
          </w:tcPr>
          <w:p w14:paraId="710BB7D6" w14:textId="77777777" w:rsidR="00BB1A14" w:rsidRPr="00E22444" w:rsidRDefault="00BB1A14" w:rsidP="00E22444">
            <w:pPr>
              <w:pStyle w:val="NoSpacing"/>
              <w:jc w:val="center"/>
              <w:rPr>
                <w:rFonts w:ascii="Times New Roman" w:hAnsi="Times New Roman" w:cs="Times New Roman"/>
                <w:sz w:val="16"/>
                <w:szCs w:val="16"/>
              </w:rPr>
            </w:pPr>
            <w:r w:rsidRPr="00E22444">
              <w:rPr>
                <w:rFonts w:ascii="Times New Roman" w:hAnsi="Times New Roman" w:cs="Times New Roman"/>
                <w:sz w:val="16"/>
                <w:szCs w:val="16"/>
              </w:rPr>
              <w:t>123.25</w:t>
            </w:r>
          </w:p>
        </w:tc>
        <w:tc>
          <w:tcPr>
            <w:tcW w:w="678" w:type="dxa"/>
            <w:vAlign w:val="center"/>
            <w:hideMark/>
          </w:tcPr>
          <w:p w14:paraId="69987D82" w14:textId="77777777" w:rsidR="00BB1A14" w:rsidRPr="00E22444" w:rsidRDefault="00BB1A14" w:rsidP="00E22444">
            <w:pPr>
              <w:pStyle w:val="NoSpacing"/>
              <w:jc w:val="center"/>
              <w:rPr>
                <w:rFonts w:ascii="Times New Roman" w:hAnsi="Times New Roman" w:cs="Times New Roman"/>
                <w:sz w:val="16"/>
                <w:szCs w:val="16"/>
              </w:rPr>
            </w:pPr>
            <w:r w:rsidRPr="00E22444">
              <w:rPr>
                <w:rFonts w:ascii="Times New Roman" w:hAnsi="Times New Roman" w:cs="Times New Roman"/>
                <w:sz w:val="16"/>
                <w:szCs w:val="16"/>
              </w:rPr>
              <w:t>136.25</w:t>
            </w:r>
          </w:p>
        </w:tc>
        <w:tc>
          <w:tcPr>
            <w:tcW w:w="610" w:type="dxa"/>
            <w:vAlign w:val="center"/>
            <w:hideMark/>
          </w:tcPr>
          <w:p w14:paraId="1A13CC4E" w14:textId="77777777" w:rsidR="00BB1A14" w:rsidRPr="00E22444" w:rsidRDefault="00BB1A14" w:rsidP="00E22444">
            <w:pPr>
              <w:pStyle w:val="NoSpacing"/>
              <w:jc w:val="center"/>
              <w:rPr>
                <w:rFonts w:ascii="Times New Roman" w:hAnsi="Times New Roman" w:cs="Times New Roman"/>
                <w:sz w:val="16"/>
                <w:szCs w:val="16"/>
              </w:rPr>
            </w:pPr>
            <w:r w:rsidRPr="00E22444">
              <w:rPr>
                <w:rFonts w:ascii="Times New Roman" w:hAnsi="Times New Roman" w:cs="Times New Roman"/>
                <w:sz w:val="16"/>
                <w:szCs w:val="16"/>
              </w:rPr>
              <w:t>0.23</w:t>
            </w:r>
          </w:p>
        </w:tc>
        <w:tc>
          <w:tcPr>
            <w:tcW w:w="678" w:type="dxa"/>
            <w:vAlign w:val="center"/>
            <w:hideMark/>
          </w:tcPr>
          <w:p w14:paraId="04918B48" w14:textId="77777777" w:rsidR="00BB1A14" w:rsidRPr="00E22444" w:rsidRDefault="00BB1A14" w:rsidP="00E22444">
            <w:pPr>
              <w:pStyle w:val="NoSpacing"/>
              <w:jc w:val="center"/>
              <w:rPr>
                <w:rFonts w:ascii="Times New Roman" w:hAnsi="Times New Roman" w:cs="Times New Roman"/>
                <w:sz w:val="16"/>
                <w:szCs w:val="16"/>
              </w:rPr>
            </w:pPr>
            <w:r w:rsidRPr="00E22444">
              <w:rPr>
                <w:rFonts w:ascii="Times New Roman" w:hAnsi="Times New Roman" w:cs="Times New Roman"/>
                <w:sz w:val="16"/>
                <w:szCs w:val="16"/>
              </w:rPr>
              <w:t>136.48</w:t>
            </w:r>
          </w:p>
        </w:tc>
        <w:tc>
          <w:tcPr>
            <w:tcW w:w="672" w:type="dxa"/>
            <w:vAlign w:val="center"/>
            <w:hideMark/>
          </w:tcPr>
          <w:p w14:paraId="5E98EC72" w14:textId="77777777" w:rsidR="00BB1A14" w:rsidRPr="00E22444" w:rsidRDefault="00BB1A14" w:rsidP="00E22444">
            <w:pPr>
              <w:pStyle w:val="NoSpacing"/>
              <w:jc w:val="center"/>
              <w:rPr>
                <w:rFonts w:ascii="Times New Roman" w:hAnsi="Times New Roman" w:cs="Times New Roman"/>
                <w:sz w:val="16"/>
                <w:szCs w:val="16"/>
              </w:rPr>
            </w:pPr>
            <w:r w:rsidRPr="00E22444">
              <w:rPr>
                <w:rFonts w:ascii="Times New Roman" w:hAnsi="Times New Roman" w:cs="Times New Roman"/>
                <w:sz w:val="16"/>
                <w:szCs w:val="16"/>
              </w:rPr>
              <w:t>152.62</w:t>
            </w:r>
          </w:p>
        </w:tc>
        <w:tc>
          <w:tcPr>
            <w:tcW w:w="610" w:type="dxa"/>
            <w:vAlign w:val="center"/>
            <w:hideMark/>
          </w:tcPr>
          <w:p w14:paraId="2BB3C076" w14:textId="77777777" w:rsidR="00BB1A14" w:rsidRPr="00E22444" w:rsidRDefault="00BB1A14" w:rsidP="00E22444">
            <w:pPr>
              <w:pStyle w:val="NoSpacing"/>
              <w:jc w:val="center"/>
              <w:rPr>
                <w:rFonts w:ascii="Times New Roman" w:hAnsi="Times New Roman" w:cs="Times New Roman"/>
                <w:sz w:val="16"/>
                <w:szCs w:val="16"/>
              </w:rPr>
            </w:pPr>
            <w:r w:rsidRPr="00E22444">
              <w:rPr>
                <w:rFonts w:ascii="Times New Roman" w:hAnsi="Times New Roman" w:cs="Times New Roman"/>
                <w:sz w:val="16"/>
                <w:szCs w:val="16"/>
              </w:rPr>
              <w:t>0.20</w:t>
            </w:r>
          </w:p>
        </w:tc>
        <w:tc>
          <w:tcPr>
            <w:tcW w:w="678" w:type="dxa"/>
            <w:vAlign w:val="center"/>
            <w:hideMark/>
          </w:tcPr>
          <w:p w14:paraId="29EB29B0" w14:textId="77777777" w:rsidR="00BB1A14" w:rsidRPr="00E22444" w:rsidRDefault="00BB1A14" w:rsidP="00E22444">
            <w:pPr>
              <w:pStyle w:val="NoSpacing"/>
              <w:jc w:val="center"/>
              <w:rPr>
                <w:rFonts w:ascii="Times New Roman" w:hAnsi="Times New Roman" w:cs="Times New Roman"/>
                <w:sz w:val="16"/>
                <w:szCs w:val="16"/>
              </w:rPr>
            </w:pPr>
            <w:r w:rsidRPr="00E22444">
              <w:rPr>
                <w:rFonts w:ascii="Times New Roman" w:hAnsi="Times New Roman" w:cs="Times New Roman"/>
                <w:sz w:val="16"/>
                <w:szCs w:val="16"/>
              </w:rPr>
              <w:t>152.82</w:t>
            </w:r>
          </w:p>
        </w:tc>
      </w:tr>
      <w:tr w:rsidR="00BB1A14" w:rsidRPr="00E22444" w14:paraId="26666B14" w14:textId="77777777" w:rsidTr="00E22444">
        <w:trPr>
          <w:trHeight w:val="21"/>
          <w:jc w:val="center"/>
        </w:trPr>
        <w:tc>
          <w:tcPr>
            <w:tcW w:w="1164" w:type="dxa"/>
            <w:hideMark/>
          </w:tcPr>
          <w:p w14:paraId="666A0540" w14:textId="77777777" w:rsidR="00BB1A14" w:rsidRPr="00E22444" w:rsidRDefault="00BB1A14" w:rsidP="00BB1A14">
            <w:pPr>
              <w:pStyle w:val="NoSpacing"/>
              <w:rPr>
                <w:rFonts w:ascii="Times New Roman" w:hAnsi="Times New Roman" w:cs="Times New Roman"/>
                <w:sz w:val="16"/>
                <w:szCs w:val="16"/>
              </w:rPr>
            </w:pPr>
            <w:r w:rsidRPr="00E22444">
              <w:rPr>
                <w:rFonts w:ascii="Times New Roman" w:hAnsi="Times New Roman" w:cs="Times New Roman"/>
                <w:sz w:val="16"/>
                <w:szCs w:val="16"/>
              </w:rPr>
              <w:t>II. Social and Developmental Services</w:t>
            </w:r>
          </w:p>
        </w:tc>
        <w:tc>
          <w:tcPr>
            <w:tcW w:w="677" w:type="dxa"/>
            <w:vAlign w:val="center"/>
            <w:hideMark/>
          </w:tcPr>
          <w:p w14:paraId="0C585B32" w14:textId="77777777" w:rsidR="00BB1A14" w:rsidRPr="00E22444" w:rsidRDefault="00BB1A14" w:rsidP="00E22444">
            <w:pPr>
              <w:pStyle w:val="NoSpacing"/>
              <w:jc w:val="center"/>
              <w:rPr>
                <w:rFonts w:ascii="Times New Roman" w:hAnsi="Times New Roman" w:cs="Times New Roman"/>
                <w:sz w:val="16"/>
                <w:szCs w:val="16"/>
              </w:rPr>
            </w:pPr>
          </w:p>
        </w:tc>
        <w:tc>
          <w:tcPr>
            <w:tcW w:w="609" w:type="dxa"/>
            <w:vAlign w:val="center"/>
            <w:hideMark/>
          </w:tcPr>
          <w:p w14:paraId="34AF32B4" w14:textId="77777777" w:rsidR="00BB1A14" w:rsidRPr="00E22444" w:rsidRDefault="00BB1A14" w:rsidP="00E22444">
            <w:pPr>
              <w:pStyle w:val="NoSpacing"/>
              <w:jc w:val="center"/>
              <w:rPr>
                <w:rFonts w:ascii="Times New Roman" w:hAnsi="Times New Roman" w:cs="Times New Roman"/>
                <w:sz w:val="16"/>
                <w:szCs w:val="16"/>
              </w:rPr>
            </w:pPr>
          </w:p>
        </w:tc>
        <w:tc>
          <w:tcPr>
            <w:tcW w:w="678" w:type="dxa"/>
            <w:vAlign w:val="center"/>
            <w:hideMark/>
          </w:tcPr>
          <w:p w14:paraId="4038FD4E" w14:textId="77777777" w:rsidR="00BB1A14" w:rsidRPr="00E22444" w:rsidRDefault="00BB1A14" w:rsidP="00E22444">
            <w:pPr>
              <w:pStyle w:val="NoSpacing"/>
              <w:jc w:val="center"/>
              <w:rPr>
                <w:rFonts w:ascii="Times New Roman" w:hAnsi="Times New Roman" w:cs="Times New Roman"/>
                <w:sz w:val="16"/>
                <w:szCs w:val="16"/>
              </w:rPr>
            </w:pPr>
          </w:p>
        </w:tc>
        <w:tc>
          <w:tcPr>
            <w:tcW w:w="678" w:type="dxa"/>
            <w:vAlign w:val="center"/>
            <w:hideMark/>
          </w:tcPr>
          <w:p w14:paraId="655A71F9" w14:textId="77777777" w:rsidR="00BB1A14" w:rsidRPr="00E22444" w:rsidRDefault="00BB1A14" w:rsidP="00E22444">
            <w:pPr>
              <w:pStyle w:val="NoSpacing"/>
              <w:jc w:val="center"/>
              <w:rPr>
                <w:rFonts w:ascii="Times New Roman" w:hAnsi="Times New Roman" w:cs="Times New Roman"/>
                <w:sz w:val="16"/>
                <w:szCs w:val="16"/>
              </w:rPr>
            </w:pPr>
          </w:p>
        </w:tc>
        <w:tc>
          <w:tcPr>
            <w:tcW w:w="610" w:type="dxa"/>
            <w:vAlign w:val="center"/>
            <w:hideMark/>
          </w:tcPr>
          <w:p w14:paraId="59D35916" w14:textId="77777777" w:rsidR="00BB1A14" w:rsidRPr="00E22444" w:rsidRDefault="00BB1A14" w:rsidP="00E22444">
            <w:pPr>
              <w:pStyle w:val="NoSpacing"/>
              <w:jc w:val="center"/>
              <w:rPr>
                <w:rFonts w:ascii="Times New Roman" w:hAnsi="Times New Roman" w:cs="Times New Roman"/>
                <w:sz w:val="16"/>
                <w:szCs w:val="16"/>
              </w:rPr>
            </w:pPr>
          </w:p>
        </w:tc>
        <w:tc>
          <w:tcPr>
            <w:tcW w:w="678" w:type="dxa"/>
            <w:vAlign w:val="center"/>
            <w:hideMark/>
          </w:tcPr>
          <w:p w14:paraId="1C0D95F5" w14:textId="77777777" w:rsidR="00BB1A14" w:rsidRPr="00E22444" w:rsidRDefault="00BB1A14" w:rsidP="00E22444">
            <w:pPr>
              <w:pStyle w:val="NoSpacing"/>
              <w:jc w:val="center"/>
              <w:rPr>
                <w:rFonts w:ascii="Times New Roman" w:hAnsi="Times New Roman" w:cs="Times New Roman"/>
                <w:sz w:val="16"/>
                <w:szCs w:val="16"/>
              </w:rPr>
            </w:pPr>
          </w:p>
        </w:tc>
        <w:tc>
          <w:tcPr>
            <w:tcW w:w="678" w:type="dxa"/>
            <w:vAlign w:val="center"/>
            <w:hideMark/>
          </w:tcPr>
          <w:p w14:paraId="503EA03C" w14:textId="77777777" w:rsidR="00BB1A14" w:rsidRPr="00E22444" w:rsidRDefault="00BB1A14" w:rsidP="00E22444">
            <w:pPr>
              <w:pStyle w:val="NoSpacing"/>
              <w:jc w:val="center"/>
              <w:rPr>
                <w:rFonts w:ascii="Times New Roman" w:hAnsi="Times New Roman" w:cs="Times New Roman"/>
                <w:sz w:val="16"/>
                <w:szCs w:val="16"/>
              </w:rPr>
            </w:pPr>
          </w:p>
        </w:tc>
        <w:tc>
          <w:tcPr>
            <w:tcW w:w="610" w:type="dxa"/>
            <w:vAlign w:val="center"/>
            <w:hideMark/>
          </w:tcPr>
          <w:p w14:paraId="0D95FB89" w14:textId="77777777" w:rsidR="00BB1A14" w:rsidRPr="00E22444" w:rsidRDefault="00BB1A14" w:rsidP="00E22444">
            <w:pPr>
              <w:pStyle w:val="NoSpacing"/>
              <w:jc w:val="center"/>
              <w:rPr>
                <w:rFonts w:ascii="Times New Roman" w:hAnsi="Times New Roman" w:cs="Times New Roman"/>
                <w:sz w:val="16"/>
                <w:szCs w:val="16"/>
              </w:rPr>
            </w:pPr>
          </w:p>
        </w:tc>
        <w:tc>
          <w:tcPr>
            <w:tcW w:w="678" w:type="dxa"/>
            <w:vAlign w:val="center"/>
            <w:hideMark/>
          </w:tcPr>
          <w:p w14:paraId="4DDF7329" w14:textId="77777777" w:rsidR="00BB1A14" w:rsidRPr="00E22444" w:rsidRDefault="00BB1A14" w:rsidP="00E22444">
            <w:pPr>
              <w:pStyle w:val="NoSpacing"/>
              <w:jc w:val="center"/>
              <w:rPr>
                <w:rFonts w:ascii="Times New Roman" w:hAnsi="Times New Roman" w:cs="Times New Roman"/>
                <w:sz w:val="16"/>
                <w:szCs w:val="16"/>
              </w:rPr>
            </w:pPr>
          </w:p>
        </w:tc>
        <w:tc>
          <w:tcPr>
            <w:tcW w:w="678" w:type="dxa"/>
            <w:vAlign w:val="center"/>
            <w:hideMark/>
          </w:tcPr>
          <w:p w14:paraId="1051D52C" w14:textId="77777777" w:rsidR="00BB1A14" w:rsidRPr="00E22444" w:rsidRDefault="00BB1A14" w:rsidP="00E22444">
            <w:pPr>
              <w:pStyle w:val="NoSpacing"/>
              <w:jc w:val="center"/>
              <w:rPr>
                <w:rFonts w:ascii="Times New Roman" w:hAnsi="Times New Roman" w:cs="Times New Roman"/>
                <w:sz w:val="16"/>
                <w:szCs w:val="16"/>
              </w:rPr>
            </w:pPr>
          </w:p>
        </w:tc>
        <w:tc>
          <w:tcPr>
            <w:tcW w:w="610" w:type="dxa"/>
            <w:vAlign w:val="center"/>
            <w:hideMark/>
          </w:tcPr>
          <w:p w14:paraId="2E6BB454" w14:textId="77777777" w:rsidR="00BB1A14" w:rsidRPr="00E22444" w:rsidRDefault="00BB1A14" w:rsidP="00E22444">
            <w:pPr>
              <w:pStyle w:val="NoSpacing"/>
              <w:jc w:val="center"/>
              <w:rPr>
                <w:rFonts w:ascii="Times New Roman" w:hAnsi="Times New Roman" w:cs="Times New Roman"/>
                <w:sz w:val="16"/>
                <w:szCs w:val="16"/>
              </w:rPr>
            </w:pPr>
          </w:p>
        </w:tc>
        <w:tc>
          <w:tcPr>
            <w:tcW w:w="678" w:type="dxa"/>
            <w:vAlign w:val="center"/>
            <w:hideMark/>
          </w:tcPr>
          <w:p w14:paraId="74F1CEF5" w14:textId="77777777" w:rsidR="00BB1A14" w:rsidRPr="00E22444" w:rsidRDefault="00BB1A14" w:rsidP="00E22444">
            <w:pPr>
              <w:pStyle w:val="NoSpacing"/>
              <w:jc w:val="center"/>
              <w:rPr>
                <w:rFonts w:ascii="Times New Roman" w:hAnsi="Times New Roman" w:cs="Times New Roman"/>
                <w:sz w:val="16"/>
                <w:szCs w:val="16"/>
              </w:rPr>
            </w:pPr>
          </w:p>
        </w:tc>
        <w:tc>
          <w:tcPr>
            <w:tcW w:w="672" w:type="dxa"/>
            <w:vAlign w:val="center"/>
            <w:hideMark/>
          </w:tcPr>
          <w:p w14:paraId="7B9D820A" w14:textId="77777777" w:rsidR="00BB1A14" w:rsidRPr="00E22444" w:rsidRDefault="00BB1A14" w:rsidP="00E22444">
            <w:pPr>
              <w:pStyle w:val="NoSpacing"/>
              <w:jc w:val="center"/>
              <w:rPr>
                <w:rFonts w:ascii="Times New Roman" w:hAnsi="Times New Roman" w:cs="Times New Roman"/>
                <w:sz w:val="16"/>
                <w:szCs w:val="16"/>
              </w:rPr>
            </w:pPr>
          </w:p>
        </w:tc>
        <w:tc>
          <w:tcPr>
            <w:tcW w:w="610" w:type="dxa"/>
            <w:vAlign w:val="center"/>
            <w:hideMark/>
          </w:tcPr>
          <w:p w14:paraId="6492AF58" w14:textId="77777777" w:rsidR="00BB1A14" w:rsidRPr="00E22444" w:rsidRDefault="00BB1A14" w:rsidP="00E22444">
            <w:pPr>
              <w:pStyle w:val="NoSpacing"/>
              <w:jc w:val="center"/>
              <w:rPr>
                <w:rFonts w:ascii="Times New Roman" w:hAnsi="Times New Roman" w:cs="Times New Roman"/>
                <w:sz w:val="16"/>
                <w:szCs w:val="16"/>
              </w:rPr>
            </w:pPr>
          </w:p>
        </w:tc>
        <w:tc>
          <w:tcPr>
            <w:tcW w:w="678" w:type="dxa"/>
            <w:vAlign w:val="center"/>
            <w:hideMark/>
          </w:tcPr>
          <w:p w14:paraId="6A5DAA98" w14:textId="77777777" w:rsidR="00BB1A14" w:rsidRPr="00E22444" w:rsidRDefault="00BB1A14" w:rsidP="00E22444">
            <w:pPr>
              <w:pStyle w:val="NoSpacing"/>
              <w:jc w:val="center"/>
              <w:rPr>
                <w:rFonts w:ascii="Times New Roman" w:hAnsi="Times New Roman" w:cs="Times New Roman"/>
                <w:sz w:val="16"/>
                <w:szCs w:val="16"/>
              </w:rPr>
            </w:pPr>
          </w:p>
        </w:tc>
      </w:tr>
      <w:tr w:rsidR="00BB1A14" w:rsidRPr="00E22444" w14:paraId="7DD494F4" w14:textId="77777777" w:rsidTr="00E22444">
        <w:trPr>
          <w:trHeight w:val="21"/>
          <w:jc w:val="center"/>
        </w:trPr>
        <w:tc>
          <w:tcPr>
            <w:tcW w:w="1164" w:type="dxa"/>
            <w:hideMark/>
          </w:tcPr>
          <w:p w14:paraId="42269A49" w14:textId="77777777" w:rsidR="00BB1A14" w:rsidRPr="00E22444" w:rsidRDefault="00BB1A14" w:rsidP="00BB1A14">
            <w:pPr>
              <w:pStyle w:val="NoSpacing"/>
              <w:rPr>
                <w:rFonts w:ascii="Times New Roman" w:hAnsi="Times New Roman" w:cs="Times New Roman"/>
                <w:sz w:val="16"/>
                <w:szCs w:val="16"/>
              </w:rPr>
            </w:pPr>
            <w:r w:rsidRPr="00E22444">
              <w:rPr>
                <w:rFonts w:ascii="Times New Roman" w:hAnsi="Times New Roman" w:cs="Times New Roman"/>
                <w:sz w:val="16"/>
                <w:szCs w:val="16"/>
              </w:rPr>
              <w:t>5. Scientific Deptts.</w:t>
            </w:r>
          </w:p>
        </w:tc>
        <w:tc>
          <w:tcPr>
            <w:tcW w:w="677" w:type="dxa"/>
            <w:vAlign w:val="center"/>
            <w:hideMark/>
          </w:tcPr>
          <w:p w14:paraId="5DF9A8F3" w14:textId="77777777" w:rsidR="00BB1A14" w:rsidRPr="00E22444" w:rsidRDefault="00BB1A14" w:rsidP="00E22444">
            <w:pPr>
              <w:pStyle w:val="NoSpacing"/>
              <w:jc w:val="center"/>
              <w:rPr>
                <w:rFonts w:ascii="Times New Roman" w:hAnsi="Times New Roman" w:cs="Times New Roman"/>
                <w:sz w:val="16"/>
                <w:szCs w:val="16"/>
              </w:rPr>
            </w:pPr>
            <w:r w:rsidRPr="00E22444">
              <w:rPr>
                <w:rFonts w:ascii="Times New Roman" w:hAnsi="Times New Roman" w:cs="Times New Roman"/>
                <w:sz w:val="16"/>
                <w:szCs w:val="16"/>
              </w:rPr>
              <w:t>27.72</w:t>
            </w:r>
          </w:p>
        </w:tc>
        <w:tc>
          <w:tcPr>
            <w:tcW w:w="609" w:type="dxa"/>
            <w:vAlign w:val="center"/>
            <w:hideMark/>
          </w:tcPr>
          <w:p w14:paraId="4DD36897" w14:textId="77777777" w:rsidR="00BB1A14" w:rsidRPr="00E22444" w:rsidRDefault="00BB1A14" w:rsidP="00E22444">
            <w:pPr>
              <w:pStyle w:val="NoSpacing"/>
              <w:jc w:val="center"/>
              <w:rPr>
                <w:rFonts w:ascii="Times New Roman" w:hAnsi="Times New Roman" w:cs="Times New Roman"/>
                <w:sz w:val="16"/>
                <w:szCs w:val="16"/>
              </w:rPr>
            </w:pPr>
            <w:r w:rsidRPr="00E22444">
              <w:rPr>
                <w:rFonts w:ascii="Times New Roman" w:hAnsi="Times New Roman" w:cs="Times New Roman"/>
                <w:sz w:val="16"/>
                <w:szCs w:val="16"/>
              </w:rPr>
              <w:t>6.07</w:t>
            </w:r>
          </w:p>
        </w:tc>
        <w:tc>
          <w:tcPr>
            <w:tcW w:w="678" w:type="dxa"/>
            <w:vAlign w:val="center"/>
            <w:hideMark/>
          </w:tcPr>
          <w:p w14:paraId="42603B6D" w14:textId="77777777" w:rsidR="00BB1A14" w:rsidRPr="00E22444" w:rsidRDefault="00BB1A14" w:rsidP="00E22444">
            <w:pPr>
              <w:pStyle w:val="NoSpacing"/>
              <w:jc w:val="center"/>
              <w:rPr>
                <w:rFonts w:ascii="Times New Roman" w:hAnsi="Times New Roman" w:cs="Times New Roman"/>
                <w:sz w:val="16"/>
                <w:szCs w:val="16"/>
              </w:rPr>
            </w:pPr>
            <w:r w:rsidRPr="00E22444">
              <w:rPr>
                <w:rFonts w:ascii="Times New Roman" w:hAnsi="Times New Roman" w:cs="Times New Roman"/>
                <w:sz w:val="16"/>
                <w:szCs w:val="16"/>
              </w:rPr>
              <w:t>33.79</w:t>
            </w:r>
          </w:p>
        </w:tc>
        <w:tc>
          <w:tcPr>
            <w:tcW w:w="678" w:type="dxa"/>
            <w:vAlign w:val="center"/>
            <w:hideMark/>
          </w:tcPr>
          <w:p w14:paraId="00D4A4E2" w14:textId="77777777" w:rsidR="00BB1A14" w:rsidRPr="00E22444" w:rsidRDefault="00BB1A14" w:rsidP="00E22444">
            <w:pPr>
              <w:pStyle w:val="NoSpacing"/>
              <w:jc w:val="center"/>
              <w:rPr>
                <w:rFonts w:ascii="Times New Roman" w:hAnsi="Times New Roman" w:cs="Times New Roman"/>
                <w:sz w:val="16"/>
                <w:szCs w:val="16"/>
              </w:rPr>
            </w:pPr>
            <w:r w:rsidRPr="00E22444">
              <w:rPr>
                <w:rFonts w:ascii="Times New Roman" w:hAnsi="Times New Roman" w:cs="Times New Roman"/>
                <w:sz w:val="16"/>
                <w:szCs w:val="16"/>
              </w:rPr>
              <w:t>27.99</w:t>
            </w:r>
          </w:p>
        </w:tc>
        <w:tc>
          <w:tcPr>
            <w:tcW w:w="610" w:type="dxa"/>
            <w:vAlign w:val="center"/>
            <w:hideMark/>
          </w:tcPr>
          <w:p w14:paraId="78C6353C" w14:textId="77777777" w:rsidR="00BB1A14" w:rsidRPr="00E22444" w:rsidRDefault="00BB1A14" w:rsidP="00E22444">
            <w:pPr>
              <w:pStyle w:val="NoSpacing"/>
              <w:jc w:val="center"/>
              <w:rPr>
                <w:rFonts w:ascii="Times New Roman" w:hAnsi="Times New Roman" w:cs="Times New Roman"/>
                <w:sz w:val="16"/>
                <w:szCs w:val="16"/>
              </w:rPr>
            </w:pPr>
            <w:r w:rsidRPr="00E22444">
              <w:rPr>
                <w:rFonts w:ascii="Times New Roman" w:hAnsi="Times New Roman" w:cs="Times New Roman"/>
                <w:sz w:val="16"/>
                <w:szCs w:val="16"/>
              </w:rPr>
              <w:t>9.85</w:t>
            </w:r>
          </w:p>
        </w:tc>
        <w:tc>
          <w:tcPr>
            <w:tcW w:w="678" w:type="dxa"/>
            <w:vAlign w:val="center"/>
            <w:hideMark/>
          </w:tcPr>
          <w:p w14:paraId="66F53568" w14:textId="77777777" w:rsidR="00BB1A14" w:rsidRPr="00E22444" w:rsidRDefault="00BB1A14" w:rsidP="00E22444">
            <w:pPr>
              <w:pStyle w:val="NoSpacing"/>
              <w:jc w:val="center"/>
              <w:rPr>
                <w:rFonts w:ascii="Times New Roman" w:hAnsi="Times New Roman" w:cs="Times New Roman"/>
                <w:sz w:val="16"/>
                <w:szCs w:val="16"/>
              </w:rPr>
            </w:pPr>
            <w:r w:rsidRPr="00E22444">
              <w:rPr>
                <w:rFonts w:ascii="Times New Roman" w:hAnsi="Times New Roman" w:cs="Times New Roman"/>
                <w:sz w:val="16"/>
                <w:szCs w:val="16"/>
              </w:rPr>
              <w:t>37.84</w:t>
            </w:r>
          </w:p>
        </w:tc>
        <w:tc>
          <w:tcPr>
            <w:tcW w:w="678" w:type="dxa"/>
            <w:vAlign w:val="center"/>
            <w:hideMark/>
          </w:tcPr>
          <w:p w14:paraId="680ED0D6" w14:textId="77777777" w:rsidR="00BB1A14" w:rsidRPr="00E22444" w:rsidRDefault="00BB1A14" w:rsidP="00E22444">
            <w:pPr>
              <w:pStyle w:val="NoSpacing"/>
              <w:jc w:val="center"/>
              <w:rPr>
                <w:rFonts w:ascii="Times New Roman" w:hAnsi="Times New Roman" w:cs="Times New Roman"/>
                <w:sz w:val="16"/>
                <w:szCs w:val="16"/>
              </w:rPr>
            </w:pPr>
            <w:r w:rsidRPr="00E22444">
              <w:rPr>
                <w:rFonts w:ascii="Times New Roman" w:hAnsi="Times New Roman" w:cs="Times New Roman"/>
                <w:sz w:val="16"/>
                <w:szCs w:val="16"/>
              </w:rPr>
              <w:t>34.00</w:t>
            </w:r>
          </w:p>
        </w:tc>
        <w:tc>
          <w:tcPr>
            <w:tcW w:w="610" w:type="dxa"/>
            <w:vAlign w:val="center"/>
            <w:hideMark/>
          </w:tcPr>
          <w:p w14:paraId="1B6E9DD3" w14:textId="77777777" w:rsidR="00BB1A14" w:rsidRPr="00E22444" w:rsidRDefault="00BB1A14" w:rsidP="00E22444">
            <w:pPr>
              <w:pStyle w:val="NoSpacing"/>
              <w:jc w:val="center"/>
              <w:rPr>
                <w:rFonts w:ascii="Times New Roman" w:hAnsi="Times New Roman" w:cs="Times New Roman"/>
                <w:sz w:val="16"/>
                <w:szCs w:val="16"/>
              </w:rPr>
            </w:pPr>
            <w:r w:rsidRPr="00E22444">
              <w:rPr>
                <w:rFonts w:ascii="Times New Roman" w:hAnsi="Times New Roman" w:cs="Times New Roman"/>
                <w:sz w:val="16"/>
                <w:szCs w:val="16"/>
              </w:rPr>
              <w:t>7.59</w:t>
            </w:r>
          </w:p>
        </w:tc>
        <w:tc>
          <w:tcPr>
            <w:tcW w:w="678" w:type="dxa"/>
            <w:vAlign w:val="center"/>
            <w:hideMark/>
          </w:tcPr>
          <w:p w14:paraId="7DA979B2" w14:textId="77777777" w:rsidR="00BB1A14" w:rsidRPr="00E22444" w:rsidRDefault="00BB1A14" w:rsidP="00E22444">
            <w:pPr>
              <w:pStyle w:val="NoSpacing"/>
              <w:jc w:val="center"/>
              <w:rPr>
                <w:rFonts w:ascii="Times New Roman" w:hAnsi="Times New Roman" w:cs="Times New Roman"/>
                <w:sz w:val="16"/>
                <w:szCs w:val="16"/>
              </w:rPr>
            </w:pPr>
            <w:r w:rsidRPr="00E22444">
              <w:rPr>
                <w:rFonts w:ascii="Times New Roman" w:hAnsi="Times New Roman" w:cs="Times New Roman"/>
                <w:sz w:val="16"/>
                <w:szCs w:val="16"/>
              </w:rPr>
              <w:t>41.59</w:t>
            </w:r>
          </w:p>
        </w:tc>
        <w:tc>
          <w:tcPr>
            <w:tcW w:w="678" w:type="dxa"/>
            <w:vAlign w:val="center"/>
            <w:hideMark/>
          </w:tcPr>
          <w:p w14:paraId="69AE9DE5" w14:textId="77777777" w:rsidR="00BB1A14" w:rsidRPr="00E22444" w:rsidRDefault="00BB1A14" w:rsidP="00E22444">
            <w:pPr>
              <w:pStyle w:val="NoSpacing"/>
              <w:jc w:val="center"/>
              <w:rPr>
                <w:rFonts w:ascii="Times New Roman" w:hAnsi="Times New Roman" w:cs="Times New Roman"/>
                <w:sz w:val="16"/>
                <w:szCs w:val="16"/>
              </w:rPr>
            </w:pPr>
            <w:r w:rsidRPr="00E22444">
              <w:rPr>
                <w:rFonts w:ascii="Times New Roman" w:hAnsi="Times New Roman" w:cs="Times New Roman"/>
                <w:sz w:val="16"/>
                <w:szCs w:val="16"/>
              </w:rPr>
              <w:t>39.25</w:t>
            </w:r>
          </w:p>
        </w:tc>
        <w:tc>
          <w:tcPr>
            <w:tcW w:w="610" w:type="dxa"/>
            <w:vAlign w:val="center"/>
            <w:hideMark/>
          </w:tcPr>
          <w:p w14:paraId="6AEC3A52" w14:textId="77777777" w:rsidR="00BB1A14" w:rsidRPr="00E22444" w:rsidRDefault="00BB1A14" w:rsidP="00E22444">
            <w:pPr>
              <w:pStyle w:val="NoSpacing"/>
              <w:jc w:val="center"/>
              <w:rPr>
                <w:rFonts w:ascii="Times New Roman" w:hAnsi="Times New Roman" w:cs="Times New Roman"/>
                <w:sz w:val="16"/>
                <w:szCs w:val="16"/>
              </w:rPr>
            </w:pPr>
            <w:r w:rsidRPr="00E22444">
              <w:rPr>
                <w:rFonts w:ascii="Times New Roman" w:hAnsi="Times New Roman" w:cs="Times New Roman"/>
                <w:sz w:val="16"/>
                <w:szCs w:val="16"/>
              </w:rPr>
              <w:t>11.03</w:t>
            </w:r>
          </w:p>
        </w:tc>
        <w:tc>
          <w:tcPr>
            <w:tcW w:w="678" w:type="dxa"/>
            <w:vAlign w:val="center"/>
            <w:hideMark/>
          </w:tcPr>
          <w:p w14:paraId="03865DB8" w14:textId="77777777" w:rsidR="00BB1A14" w:rsidRPr="00E22444" w:rsidRDefault="00BB1A14" w:rsidP="00E22444">
            <w:pPr>
              <w:pStyle w:val="NoSpacing"/>
              <w:jc w:val="center"/>
              <w:rPr>
                <w:rFonts w:ascii="Times New Roman" w:hAnsi="Times New Roman" w:cs="Times New Roman"/>
                <w:sz w:val="16"/>
                <w:szCs w:val="16"/>
              </w:rPr>
            </w:pPr>
            <w:r w:rsidRPr="00E22444">
              <w:rPr>
                <w:rFonts w:ascii="Times New Roman" w:hAnsi="Times New Roman" w:cs="Times New Roman"/>
                <w:sz w:val="16"/>
                <w:szCs w:val="16"/>
              </w:rPr>
              <w:t>50.28</w:t>
            </w:r>
          </w:p>
        </w:tc>
        <w:tc>
          <w:tcPr>
            <w:tcW w:w="672" w:type="dxa"/>
            <w:vAlign w:val="center"/>
            <w:hideMark/>
          </w:tcPr>
          <w:p w14:paraId="54C60E1F" w14:textId="77777777" w:rsidR="00BB1A14" w:rsidRPr="00E22444" w:rsidRDefault="00BB1A14" w:rsidP="00E22444">
            <w:pPr>
              <w:pStyle w:val="NoSpacing"/>
              <w:jc w:val="center"/>
              <w:rPr>
                <w:rFonts w:ascii="Times New Roman" w:hAnsi="Times New Roman" w:cs="Times New Roman"/>
                <w:sz w:val="16"/>
                <w:szCs w:val="16"/>
              </w:rPr>
            </w:pPr>
            <w:r w:rsidRPr="00E22444">
              <w:rPr>
                <w:rFonts w:ascii="Times New Roman" w:hAnsi="Times New Roman" w:cs="Times New Roman"/>
                <w:sz w:val="16"/>
                <w:szCs w:val="16"/>
              </w:rPr>
              <w:t>39.97</w:t>
            </w:r>
          </w:p>
        </w:tc>
        <w:tc>
          <w:tcPr>
            <w:tcW w:w="610" w:type="dxa"/>
            <w:vAlign w:val="center"/>
            <w:hideMark/>
          </w:tcPr>
          <w:p w14:paraId="4D189088" w14:textId="77777777" w:rsidR="00BB1A14" w:rsidRPr="00C2102B" w:rsidRDefault="00BB1A14" w:rsidP="00E22444">
            <w:pPr>
              <w:pStyle w:val="NoSpacing"/>
              <w:jc w:val="center"/>
              <w:rPr>
                <w:rFonts w:ascii="Times New Roman" w:hAnsi="Times New Roman" w:cs="Times New Roman"/>
                <w:sz w:val="16"/>
                <w:szCs w:val="16"/>
              </w:rPr>
            </w:pPr>
            <w:r w:rsidRPr="00C2102B">
              <w:rPr>
                <w:rFonts w:ascii="Times New Roman" w:hAnsi="Times New Roman" w:cs="Times New Roman"/>
                <w:sz w:val="16"/>
                <w:szCs w:val="16"/>
              </w:rPr>
              <w:t>16.02</w:t>
            </w:r>
          </w:p>
        </w:tc>
        <w:tc>
          <w:tcPr>
            <w:tcW w:w="678" w:type="dxa"/>
            <w:vAlign w:val="center"/>
            <w:hideMark/>
          </w:tcPr>
          <w:p w14:paraId="426D8002" w14:textId="77777777" w:rsidR="00BB1A14" w:rsidRPr="00E22444" w:rsidRDefault="00BB1A14" w:rsidP="00E22444">
            <w:pPr>
              <w:pStyle w:val="NoSpacing"/>
              <w:jc w:val="center"/>
              <w:rPr>
                <w:rFonts w:ascii="Times New Roman" w:hAnsi="Times New Roman" w:cs="Times New Roman"/>
                <w:sz w:val="16"/>
                <w:szCs w:val="16"/>
              </w:rPr>
            </w:pPr>
            <w:r w:rsidRPr="00E22444">
              <w:rPr>
                <w:rFonts w:ascii="Times New Roman" w:hAnsi="Times New Roman" w:cs="Times New Roman"/>
                <w:sz w:val="16"/>
                <w:szCs w:val="16"/>
              </w:rPr>
              <w:t>55.99</w:t>
            </w:r>
          </w:p>
        </w:tc>
      </w:tr>
      <w:tr w:rsidR="00BB1A14" w:rsidRPr="00E22444" w14:paraId="7C4B5FF6" w14:textId="77777777" w:rsidTr="00E22444">
        <w:trPr>
          <w:trHeight w:val="21"/>
          <w:jc w:val="center"/>
        </w:trPr>
        <w:tc>
          <w:tcPr>
            <w:tcW w:w="1164" w:type="dxa"/>
            <w:hideMark/>
          </w:tcPr>
          <w:p w14:paraId="5F6358BD" w14:textId="77777777" w:rsidR="00BB1A14" w:rsidRPr="00E22444" w:rsidRDefault="00BB1A14" w:rsidP="00BB1A14">
            <w:pPr>
              <w:pStyle w:val="NoSpacing"/>
              <w:rPr>
                <w:rFonts w:ascii="Times New Roman" w:hAnsi="Times New Roman" w:cs="Times New Roman"/>
                <w:sz w:val="16"/>
                <w:szCs w:val="16"/>
              </w:rPr>
            </w:pPr>
            <w:r w:rsidRPr="00E22444">
              <w:rPr>
                <w:rFonts w:ascii="Times New Roman" w:hAnsi="Times New Roman" w:cs="Times New Roman"/>
                <w:sz w:val="16"/>
                <w:szCs w:val="16"/>
              </w:rPr>
              <w:t>6. Education</w:t>
            </w:r>
          </w:p>
        </w:tc>
        <w:tc>
          <w:tcPr>
            <w:tcW w:w="677" w:type="dxa"/>
            <w:vAlign w:val="center"/>
            <w:hideMark/>
          </w:tcPr>
          <w:p w14:paraId="01502D7F" w14:textId="77777777" w:rsidR="00BB1A14" w:rsidRPr="00E22444" w:rsidRDefault="00BB1A14" w:rsidP="00E22444">
            <w:pPr>
              <w:pStyle w:val="NoSpacing"/>
              <w:jc w:val="center"/>
              <w:rPr>
                <w:rFonts w:ascii="Times New Roman" w:hAnsi="Times New Roman" w:cs="Times New Roman"/>
                <w:sz w:val="16"/>
                <w:szCs w:val="16"/>
              </w:rPr>
            </w:pPr>
            <w:r w:rsidRPr="00E22444">
              <w:rPr>
                <w:rFonts w:ascii="Times New Roman" w:hAnsi="Times New Roman" w:cs="Times New Roman"/>
                <w:sz w:val="16"/>
                <w:szCs w:val="16"/>
              </w:rPr>
              <w:t>15.44</w:t>
            </w:r>
          </w:p>
        </w:tc>
        <w:tc>
          <w:tcPr>
            <w:tcW w:w="609" w:type="dxa"/>
            <w:vAlign w:val="center"/>
            <w:hideMark/>
          </w:tcPr>
          <w:p w14:paraId="7BEE04A6" w14:textId="77777777" w:rsidR="00BB1A14" w:rsidRPr="00E22444" w:rsidRDefault="00BB1A14" w:rsidP="00E22444">
            <w:pPr>
              <w:pStyle w:val="NoSpacing"/>
              <w:jc w:val="center"/>
              <w:rPr>
                <w:rFonts w:ascii="Times New Roman" w:hAnsi="Times New Roman" w:cs="Times New Roman"/>
                <w:sz w:val="16"/>
                <w:szCs w:val="16"/>
              </w:rPr>
            </w:pPr>
            <w:r w:rsidRPr="00E22444">
              <w:rPr>
                <w:rFonts w:ascii="Times New Roman" w:hAnsi="Times New Roman" w:cs="Times New Roman"/>
                <w:sz w:val="16"/>
                <w:szCs w:val="16"/>
              </w:rPr>
              <w:t>26.32</w:t>
            </w:r>
          </w:p>
        </w:tc>
        <w:tc>
          <w:tcPr>
            <w:tcW w:w="678" w:type="dxa"/>
            <w:vAlign w:val="center"/>
            <w:hideMark/>
          </w:tcPr>
          <w:p w14:paraId="75355840" w14:textId="77777777" w:rsidR="00BB1A14" w:rsidRPr="00E22444" w:rsidRDefault="00BB1A14" w:rsidP="00E22444">
            <w:pPr>
              <w:pStyle w:val="NoSpacing"/>
              <w:jc w:val="center"/>
              <w:rPr>
                <w:rFonts w:ascii="Times New Roman" w:hAnsi="Times New Roman" w:cs="Times New Roman"/>
                <w:sz w:val="16"/>
                <w:szCs w:val="16"/>
              </w:rPr>
            </w:pPr>
            <w:r w:rsidRPr="00E22444">
              <w:rPr>
                <w:rFonts w:ascii="Times New Roman" w:hAnsi="Times New Roman" w:cs="Times New Roman"/>
                <w:sz w:val="16"/>
                <w:szCs w:val="16"/>
              </w:rPr>
              <w:t>41.76</w:t>
            </w:r>
          </w:p>
        </w:tc>
        <w:tc>
          <w:tcPr>
            <w:tcW w:w="678" w:type="dxa"/>
            <w:vAlign w:val="center"/>
            <w:hideMark/>
          </w:tcPr>
          <w:p w14:paraId="1A87960C" w14:textId="77777777" w:rsidR="00BB1A14" w:rsidRPr="00E22444" w:rsidRDefault="00BB1A14" w:rsidP="00E22444">
            <w:pPr>
              <w:pStyle w:val="NoSpacing"/>
              <w:jc w:val="center"/>
              <w:rPr>
                <w:rFonts w:ascii="Times New Roman" w:hAnsi="Times New Roman" w:cs="Times New Roman"/>
                <w:sz w:val="16"/>
                <w:szCs w:val="16"/>
              </w:rPr>
            </w:pPr>
            <w:r w:rsidRPr="00E22444">
              <w:rPr>
                <w:rFonts w:ascii="Times New Roman" w:hAnsi="Times New Roman" w:cs="Times New Roman"/>
                <w:sz w:val="16"/>
                <w:szCs w:val="16"/>
              </w:rPr>
              <w:t>18.16</w:t>
            </w:r>
          </w:p>
        </w:tc>
        <w:tc>
          <w:tcPr>
            <w:tcW w:w="610" w:type="dxa"/>
            <w:vAlign w:val="center"/>
            <w:hideMark/>
          </w:tcPr>
          <w:p w14:paraId="5E941B81" w14:textId="77777777" w:rsidR="00BB1A14" w:rsidRPr="00E22444" w:rsidRDefault="00BB1A14" w:rsidP="00E22444">
            <w:pPr>
              <w:pStyle w:val="NoSpacing"/>
              <w:jc w:val="center"/>
              <w:rPr>
                <w:rFonts w:ascii="Times New Roman" w:hAnsi="Times New Roman" w:cs="Times New Roman"/>
                <w:sz w:val="16"/>
                <w:szCs w:val="16"/>
              </w:rPr>
            </w:pPr>
            <w:r w:rsidRPr="00E22444">
              <w:rPr>
                <w:rFonts w:ascii="Times New Roman" w:hAnsi="Times New Roman" w:cs="Times New Roman"/>
                <w:sz w:val="16"/>
                <w:szCs w:val="16"/>
              </w:rPr>
              <w:t>31.24</w:t>
            </w:r>
          </w:p>
        </w:tc>
        <w:tc>
          <w:tcPr>
            <w:tcW w:w="678" w:type="dxa"/>
            <w:vAlign w:val="center"/>
            <w:hideMark/>
          </w:tcPr>
          <w:p w14:paraId="72F01933" w14:textId="77777777" w:rsidR="00BB1A14" w:rsidRPr="00E22444" w:rsidRDefault="00BB1A14" w:rsidP="00E22444">
            <w:pPr>
              <w:pStyle w:val="NoSpacing"/>
              <w:jc w:val="center"/>
              <w:rPr>
                <w:rFonts w:ascii="Times New Roman" w:hAnsi="Times New Roman" w:cs="Times New Roman"/>
                <w:sz w:val="16"/>
                <w:szCs w:val="16"/>
              </w:rPr>
            </w:pPr>
            <w:r w:rsidRPr="00E22444">
              <w:rPr>
                <w:rFonts w:ascii="Times New Roman" w:hAnsi="Times New Roman" w:cs="Times New Roman"/>
                <w:sz w:val="16"/>
                <w:szCs w:val="16"/>
              </w:rPr>
              <w:t>49.40</w:t>
            </w:r>
          </w:p>
        </w:tc>
        <w:tc>
          <w:tcPr>
            <w:tcW w:w="678" w:type="dxa"/>
            <w:vAlign w:val="center"/>
            <w:hideMark/>
          </w:tcPr>
          <w:p w14:paraId="0003A49B" w14:textId="77777777" w:rsidR="00BB1A14" w:rsidRPr="00E22444" w:rsidRDefault="00BB1A14" w:rsidP="00E22444">
            <w:pPr>
              <w:pStyle w:val="NoSpacing"/>
              <w:jc w:val="center"/>
              <w:rPr>
                <w:rFonts w:ascii="Times New Roman" w:hAnsi="Times New Roman" w:cs="Times New Roman"/>
                <w:sz w:val="16"/>
                <w:szCs w:val="16"/>
              </w:rPr>
            </w:pPr>
            <w:r w:rsidRPr="00E22444">
              <w:rPr>
                <w:rFonts w:ascii="Times New Roman" w:hAnsi="Times New Roman" w:cs="Times New Roman"/>
                <w:sz w:val="16"/>
                <w:szCs w:val="16"/>
              </w:rPr>
              <w:t>32.31</w:t>
            </w:r>
          </w:p>
        </w:tc>
        <w:tc>
          <w:tcPr>
            <w:tcW w:w="610" w:type="dxa"/>
            <w:vAlign w:val="center"/>
            <w:hideMark/>
          </w:tcPr>
          <w:p w14:paraId="26CE7127" w14:textId="77777777" w:rsidR="00BB1A14" w:rsidRPr="00E22444" w:rsidRDefault="00BB1A14" w:rsidP="00E22444">
            <w:pPr>
              <w:pStyle w:val="NoSpacing"/>
              <w:jc w:val="center"/>
              <w:rPr>
                <w:rFonts w:ascii="Times New Roman" w:hAnsi="Times New Roman" w:cs="Times New Roman"/>
                <w:sz w:val="16"/>
                <w:szCs w:val="16"/>
              </w:rPr>
            </w:pPr>
            <w:r w:rsidRPr="00E22444">
              <w:rPr>
                <w:rFonts w:ascii="Times New Roman" w:hAnsi="Times New Roman" w:cs="Times New Roman"/>
                <w:sz w:val="16"/>
                <w:szCs w:val="16"/>
              </w:rPr>
              <w:t>22.47</w:t>
            </w:r>
          </w:p>
        </w:tc>
        <w:tc>
          <w:tcPr>
            <w:tcW w:w="678" w:type="dxa"/>
            <w:vAlign w:val="center"/>
            <w:hideMark/>
          </w:tcPr>
          <w:p w14:paraId="58D7AA67" w14:textId="77777777" w:rsidR="00BB1A14" w:rsidRPr="00E22444" w:rsidRDefault="00BB1A14" w:rsidP="00E22444">
            <w:pPr>
              <w:pStyle w:val="NoSpacing"/>
              <w:jc w:val="center"/>
              <w:rPr>
                <w:rFonts w:ascii="Times New Roman" w:hAnsi="Times New Roman" w:cs="Times New Roman"/>
                <w:sz w:val="16"/>
                <w:szCs w:val="16"/>
              </w:rPr>
            </w:pPr>
            <w:r w:rsidRPr="00E22444">
              <w:rPr>
                <w:rFonts w:ascii="Times New Roman" w:hAnsi="Times New Roman" w:cs="Times New Roman"/>
                <w:sz w:val="16"/>
                <w:szCs w:val="16"/>
              </w:rPr>
              <w:t>54.78</w:t>
            </w:r>
          </w:p>
        </w:tc>
        <w:tc>
          <w:tcPr>
            <w:tcW w:w="678" w:type="dxa"/>
            <w:vAlign w:val="center"/>
            <w:hideMark/>
          </w:tcPr>
          <w:p w14:paraId="64B112C9" w14:textId="77777777" w:rsidR="00BB1A14" w:rsidRPr="00E22444" w:rsidRDefault="00BB1A14" w:rsidP="00E22444">
            <w:pPr>
              <w:pStyle w:val="NoSpacing"/>
              <w:jc w:val="center"/>
              <w:rPr>
                <w:rFonts w:ascii="Times New Roman" w:hAnsi="Times New Roman" w:cs="Times New Roman"/>
                <w:sz w:val="16"/>
                <w:szCs w:val="16"/>
              </w:rPr>
            </w:pPr>
            <w:r w:rsidRPr="00E22444">
              <w:rPr>
                <w:rFonts w:ascii="Times New Roman" w:hAnsi="Times New Roman" w:cs="Times New Roman"/>
                <w:sz w:val="16"/>
                <w:szCs w:val="16"/>
              </w:rPr>
              <w:t>35.75</w:t>
            </w:r>
          </w:p>
        </w:tc>
        <w:tc>
          <w:tcPr>
            <w:tcW w:w="610" w:type="dxa"/>
            <w:vAlign w:val="center"/>
            <w:hideMark/>
          </w:tcPr>
          <w:p w14:paraId="782A979C" w14:textId="77777777" w:rsidR="00BB1A14" w:rsidRPr="00E22444" w:rsidRDefault="00BB1A14" w:rsidP="00E22444">
            <w:pPr>
              <w:pStyle w:val="NoSpacing"/>
              <w:jc w:val="center"/>
              <w:rPr>
                <w:rFonts w:ascii="Times New Roman" w:hAnsi="Times New Roman" w:cs="Times New Roman"/>
                <w:sz w:val="16"/>
                <w:szCs w:val="16"/>
              </w:rPr>
            </w:pPr>
            <w:r w:rsidRPr="00E22444">
              <w:rPr>
                <w:rFonts w:ascii="Times New Roman" w:hAnsi="Times New Roman" w:cs="Times New Roman"/>
                <w:sz w:val="16"/>
                <w:szCs w:val="16"/>
              </w:rPr>
              <w:t>26.20</w:t>
            </w:r>
          </w:p>
        </w:tc>
        <w:tc>
          <w:tcPr>
            <w:tcW w:w="678" w:type="dxa"/>
            <w:vAlign w:val="center"/>
            <w:hideMark/>
          </w:tcPr>
          <w:p w14:paraId="15073FC6" w14:textId="77777777" w:rsidR="00BB1A14" w:rsidRPr="00E22444" w:rsidRDefault="00BB1A14" w:rsidP="00E22444">
            <w:pPr>
              <w:pStyle w:val="NoSpacing"/>
              <w:jc w:val="center"/>
              <w:rPr>
                <w:rFonts w:ascii="Times New Roman" w:hAnsi="Times New Roman" w:cs="Times New Roman"/>
                <w:sz w:val="16"/>
                <w:szCs w:val="16"/>
              </w:rPr>
            </w:pPr>
            <w:r w:rsidRPr="00E22444">
              <w:rPr>
                <w:rFonts w:ascii="Times New Roman" w:hAnsi="Times New Roman" w:cs="Times New Roman"/>
                <w:sz w:val="16"/>
                <w:szCs w:val="16"/>
              </w:rPr>
              <w:t>61.95</w:t>
            </w:r>
          </w:p>
        </w:tc>
        <w:tc>
          <w:tcPr>
            <w:tcW w:w="672" w:type="dxa"/>
            <w:vAlign w:val="center"/>
            <w:hideMark/>
          </w:tcPr>
          <w:p w14:paraId="52264B65" w14:textId="77777777" w:rsidR="00BB1A14" w:rsidRPr="00E22444" w:rsidRDefault="00BB1A14" w:rsidP="00E22444">
            <w:pPr>
              <w:pStyle w:val="NoSpacing"/>
              <w:jc w:val="center"/>
              <w:rPr>
                <w:rFonts w:ascii="Times New Roman" w:hAnsi="Times New Roman" w:cs="Times New Roman"/>
                <w:sz w:val="16"/>
                <w:szCs w:val="16"/>
              </w:rPr>
            </w:pPr>
            <w:r w:rsidRPr="00E22444">
              <w:rPr>
                <w:rFonts w:ascii="Times New Roman" w:hAnsi="Times New Roman" w:cs="Times New Roman"/>
                <w:sz w:val="16"/>
                <w:szCs w:val="16"/>
              </w:rPr>
              <w:t>37.47</w:t>
            </w:r>
          </w:p>
        </w:tc>
        <w:tc>
          <w:tcPr>
            <w:tcW w:w="610" w:type="dxa"/>
            <w:vAlign w:val="center"/>
            <w:hideMark/>
          </w:tcPr>
          <w:p w14:paraId="222751F0" w14:textId="77777777" w:rsidR="00BB1A14" w:rsidRPr="00C2102B" w:rsidRDefault="00BB1A14" w:rsidP="00E22444">
            <w:pPr>
              <w:pStyle w:val="NoSpacing"/>
              <w:jc w:val="center"/>
              <w:rPr>
                <w:rFonts w:ascii="Times New Roman" w:hAnsi="Times New Roman" w:cs="Times New Roman"/>
                <w:sz w:val="16"/>
                <w:szCs w:val="16"/>
              </w:rPr>
            </w:pPr>
            <w:r w:rsidRPr="00C2102B">
              <w:rPr>
                <w:rFonts w:ascii="Times New Roman" w:hAnsi="Times New Roman" w:cs="Times New Roman"/>
                <w:sz w:val="16"/>
                <w:szCs w:val="16"/>
              </w:rPr>
              <w:t>32.10</w:t>
            </w:r>
          </w:p>
        </w:tc>
        <w:tc>
          <w:tcPr>
            <w:tcW w:w="678" w:type="dxa"/>
            <w:vAlign w:val="center"/>
            <w:hideMark/>
          </w:tcPr>
          <w:p w14:paraId="597F1B69" w14:textId="77777777" w:rsidR="00BB1A14" w:rsidRPr="00E22444" w:rsidRDefault="00BB1A14" w:rsidP="00E22444">
            <w:pPr>
              <w:pStyle w:val="NoSpacing"/>
              <w:jc w:val="center"/>
              <w:rPr>
                <w:rFonts w:ascii="Times New Roman" w:hAnsi="Times New Roman" w:cs="Times New Roman"/>
                <w:sz w:val="16"/>
                <w:szCs w:val="16"/>
              </w:rPr>
            </w:pPr>
            <w:r w:rsidRPr="00E22444">
              <w:rPr>
                <w:rFonts w:ascii="Times New Roman" w:hAnsi="Times New Roman" w:cs="Times New Roman"/>
                <w:sz w:val="16"/>
                <w:szCs w:val="16"/>
              </w:rPr>
              <w:t>69.57</w:t>
            </w:r>
          </w:p>
        </w:tc>
      </w:tr>
      <w:tr w:rsidR="00BB1A14" w:rsidRPr="00E22444" w14:paraId="46FDDA5D" w14:textId="77777777" w:rsidTr="00E22444">
        <w:trPr>
          <w:trHeight w:val="21"/>
          <w:jc w:val="center"/>
        </w:trPr>
        <w:tc>
          <w:tcPr>
            <w:tcW w:w="1164" w:type="dxa"/>
            <w:hideMark/>
          </w:tcPr>
          <w:p w14:paraId="72AD51E1" w14:textId="77777777" w:rsidR="00BB1A14" w:rsidRPr="00E22444" w:rsidRDefault="00BB1A14" w:rsidP="00BB1A14">
            <w:pPr>
              <w:pStyle w:val="NoSpacing"/>
              <w:rPr>
                <w:rFonts w:ascii="Times New Roman" w:hAnsi="Times New Roman" w:cs="Times New Roman"/>
                <w:sz w:val="16"/>
                <w:szCs w:val="16"/>
              </w:rPr>
            </w:pPr>
            <w:r w:rsidRPr="00E22444">
              <w:rPr>
                <w:rFonts w:ascii="Times New Roman" w:hAnsi="Times New Roman" w:cs="Times New Roman"/>
                <w:sz w:val="16"/>
                <w:szCs w:val="16"/>
              </w:rPr>
              <w:t>7. Medical and Public Health</w:t>
            </w:r>
          </w:p>
        </w:tc>
        <w:tc>
          <w:tcPr>
            <w:tcW w:w="677" w:type="dxa"/>
            <w:vAlign w:val="center"/>
            <w:hideMark/>
          </w:tcPr>
          <w:p w14:paraId="7E2B2C21" w14:textId="77777777" w:rsidR="00BB1A14" w:rsidRPr="00E22444" w:rsidRDefault="00BB1A14" w:rsidP="00E22444">
            <w:pPr>
              <w:pStyle w:val="NoSpacing"/>
              <w:jc w:val="center"/>
              <w:rPr>
                <w:rFonts w:ascii="Times New Roman" w:hAnsi="Times New Roman" w:cs="Times New Roman"/>
                <w:sz w:val="16"/>
                <w:szCs w:val="16"/>
              </w:rPr>
            </w:pPr>
            <w:r w:rsidRPr="00E22444">
              <w:rPr>
                <w:rFonts w:ascii="Times New Roman" w:hAnsi="Times New Roman" w:cs="Times New Roman"/>
                <w:sz w:val="16"/>
                <w:szCs w:val="16"/>
              </w:rPr>
              <w:t>7.73</w:t>
            </w:r>
          </w:p>
        </w:tc>
        <w:tc>
          <w:tcPr>
            <w:tcW w:w="609" w:type="dxa"/>
            <w:vAlign w:val="center"/>
            <w:hideMark/>
          </w:tcPr>
          <w:p w14:paraId="5948F6E2" w14:textId="77777777" w:rsidR="00BB1A14" w:rsidRPr="00E22444" w:rsidRDefault="00BB1A14" w:rsidP="00E22444">
            <w:pPr>
              <w:pStyle w:val="NoSpacing"/>
              <w:jc w:val="center"/>
              <w:rPr>
                <w:rFonts w:ascii="Times New Roman" w:hAnsi="Times New Roman" w:cs="Times New Roman"/>
                <w:sz w:val="16"/>
                <w:szCs w:val="16"/>
              </w:rPr>
            </w:pPr>
            <w:r w:rsidRPr="00E22444">
              <w:rPr>
                <w:rFonts w:ascii="Times New Roman" w:hAnsi="Times New Roman" w:cs="Times New Roman"/>
                <w:sz w:val="16"/>
                <w:szCs w:val="16"/>
              </w:rPr>
              <w:t>4.59</w:t>
            </w:r>
          </w:p>
        </w:tc>
        <w:tc>
          <w:tcPr>
            <w:tcW w:w="678" w:type="dxa"/>
            <w:vAlign w:val="center"/>
            <w:hideMark/>
          </w:tcPr>
          <w:p w14:paraId="5F34108B" w14:textId="77777777" w:rsidR="00BB1A14" w:rsidRPr="00E22444" w:rsidRDefault="00BB1A14" w:rsidP="00E22444">
            <w:pPr>
              <w:pStyle w:val="NoSpacing"/>
              <w:jc w:val="center"/>
              <w:rPr>
                <w:rFonts w:ascii="Times New Roman" w:hAnsi="Times New Roman" w:cs="Times New Roman"/>
                <w:sz w:val="16"/>
                <w:szCs w:val="16"/>
              </w:rPr>
            </w:pPr>
            <w:r w:rsidRPr="00E22444">
              <w:rPr>
                <w:rFonts w:ascii="Times New Roman" w:hAnsi="Times New Roman" w:cs="Times New Roman"/>
                <w:sz w:val="16"/>
                <w:szCs w:val="16"/>
              </w:rPr>
              <w:t>12.32</w:t>
            </w:r>
          </w:p>
        </w:tc>
        <w:tc>
          <w:tcPr>
            <w:tcW w:w="678" w:type="dxa"/>
            <w:vAlign w:val="center"/>
            <w:hideMark/>
          </w:tcPr>
          <w:p w14:paraId="6B6B9988" w14:textId="77777777" w:rsidR="00BB1A14" w:rsidRPr="00E22444" w:rsidRDefault="00BB1A14" w:rsidP="00E22444">
            <w:pPr>
              <w:pStyle w:val="NoSpacing"/>
              <w:jc w:val="center"/>
              <w:rPr>
                <w:rFonts w:ascii="Times New Roman" w:hAnsi="Times New Roman" w:cs="Times New Roman"/>
                <w:sz w:val="16"/>
                <w:szCs w:val="16"/>
              </w:rPr>
            </w:pPr>
            <w:r w:rsidRPr="00E22444">
              <w:rPr>
                <w:rFonts w:ascii="Times New Roman" w:hAnsi="Times New Roman" w:cs="Times New Roman"/>
                <w:sz w:val="16"/>
                <w:szCs w:val="16"/>
              </w:rPr>
              <w:t>9.23</w:t>
            </w:r>
          </w:p>
        </w:tc>
        <w:tc>
          <w:tcPr>
            <w:tcW w:w="610" w:type="dxa"/>
            <w:vAlign w:val="center"/>
            <w:hideMark/>
          </w:tcPr>
          <w:p w14:paraId="19EDEBF9" w14:textId="77777777" w:rsidR="00BB1A14" w:rsidRPr="00E22444" w:rsidRDefault="00BB1A14" w:rsidP="00E22444">
            <w:pPr>
              <w:pStyle w:val="NoSpacing"/>
              <w:jc w:val="center"/>
              <w:rPr>
                <w:rFonts w:ascii="Times New Roman" w:hAnsi="Times New Roman" w:cs="Times New Roman"/>
                <w:sz w:val="16"/>
                <w:szCs w:val="16"/>
              </w:rPr>
            </w:pPr>
            <w:r w:rsidRPr="00E22444">
              <w:rPr>
                <w:rFonts w:ascii="Times New Roman" w:hAnsi="Times New Roman" w:cs="Times New Roman"/>
                <w:sz w:val="16"/>
                <w:szCs w:val="16"/>
              </w:rPr>
              <w:t>5.88</w:t>
            </w:r>
          </w:p>
        </w:tc>
        <w:tc>
          <w:tcPr>
            <w:tcW w:w="678" w:type="dxa"/>
            <w:vAlign w:val="center"/>
            <w:hideMark/>
          </w:tcPr>
          <w:p w14:paraId="578262C8" w14:textId="77777777" w:rsidR="00BB1A14" w:rsidRPr="00E22444" w:rsidRDefault="00BB1A14" w:rsidP="00E22444">
            <w:pPr>
              <w:pStyle w:val="NoSpacing"/>
              <w:jc w:val="center"/>
              <w:rPr>
                <w:rFonts w:ascii="Times New Roman" w:hAnsi="Times New Roman" w:cs="Times New Roman"/>
                <w:sz w:val="16"/>
                <w:szCs w:val="16"/>
              </w:rPr>
            </w:pPr>
            <w:r w:rsidRPr="00E22444">
              <w:rPr>
                <w:rFonts w:ascii="Times New Roman" w:hAnsi="Times New Roman" w:cs="Times New Roman"/>
                <w:sz w:val="16"/>
                <w:szCs w:val="16"/>
              </w:rPr>
              <w:t>15.11</w:t>
            </w:r>
          </w:p>
        </w:tc>
        <w:tc>
          <w:tcPr>
            <w:tcW w:w="678" w:type="dxa"/>
            <w:vAlign w:val="center"/>
            <w:hideMark/>
          </w:tcPr>
          <w:p w14:paraId="40147CC1" w14:textId="77777777" w:rsidR="00BB1A14" w:rsidRPr="00E22444" w:rsidRDefault="00BB1A14" w:rsidP="00E22444">
            <w:pPr>
              <w:pStyle w:val="NoSpacing"/>
              <w:jc w:val="center"/>
              <w:rPr>
                <w:rFonts w:ascii="Times New Roman" w:hAnsi="Times New Roman" w:cs="Times New Roman"/>
                <w:sz w:val="16"/>
                <w:szCs w:val="16"/>
              </w:rPr>
            </w:pPr>
            <w:r w:rsidRPr="00E22444">
              <w:rPr>
                <w:rFonts w:ascii="Times New Roman" w:hAnsi="Times New Roman" w:cs="Times New Roman"/>
                <w:sz w:val="16"/>
                <w:szCs w:val="16"/>
              </w:rPr>
              <w:t>12.48</w:t>
            </w:r>
          </w:p>
        </w:tc>
        <w:tc>
          <w:tcPr>
            <w:tcW w:w="610" w:type="dxa"/>
            <w:vAlign w:val="center"/>
            <w:hideMark/>
          </w:tcPr>
          <w:p w14:paraId="6D02D9BE" w14:textId="77777777" w:rsidR="00BB1A14" w:rsidRPr="00E22444" w:rsidRDefault="00BB1A14" w:rsidP="00E22444">
            <w:pPr>
              <w:pStyle w:val="NoSpacing"/>
              <w:jc w:val="center"/>
              <w:rPr>
                <w:rFonts w:ascii="Times New Roman" w:hAnsi="Times New Roman" w:cs="Times New Roman"/>
                <w:sz w:val="16"/>
                <w:szCs w:val="16"/>
              </w:rPr>
            </w:pPr>
            <w:r w:rsidRPr="00E22444">
              <w:rPr>
                <w:rFonts w:ascii="Times New Roman" w:hAnsi="Times New Roman" w:cs="Times New Roman"/>
                <w:sz w:val="16"/>
                <w:szCs w:val="16"/>
              </w:rPr>
              <w:t>5.00</w:t>
            </w:r>
          </w:p>
        </w:tc>
        <w:tc>
          <w:tcPr>
            <w:tcW w:w="678" w:type="dxa"/>
            <w:vAlign w:val="center"/>
            <w:hideMark/>
          </w:tcPr>
          <w:p w14:paraId="216841DD" w14:textId="77777777" w:rsidR="00BB1A14" w:rsidRPr="00E22444" w:rsidRDefault="00BB1A14" w:rsidP="00E22444">
            <w:pPr>
              <w:pStyle w:val="NoSpacing"/>
              <w:jc w:val="center"/>
              <w:rPr>
                <w:rFonts w:ascii="Times New Roman" w:hAnsi="Times New Roman" w:cs="Times New Roman"/>
                <w:sz w:val="16"/>
                <w:szCs w:val="16"/>
              </w:rPr>
            </w:pPr>
            <w:r w:rsidRPr="00E22444">
              <w:rPr>
                <w:rFonts w:ascii="Times New Roman" w:hAnsi="Times New Roman" w:cs="Times New Roman"/>
                <w:sz w:val="16"/>
                <w:szCs w:val="16"/>
              </w:rPr>
              <w:t>17.48</w:t>
            </w:r>
          </w:p>
        </w:tc>
        <w:tc>
          <w:tcPr>
            <w:tcW w:w="678" w:type="dxa"/>
            <w:vAlign w:val="center"/>
            <w:hideMark/>
          </w:tcPr>
          <w:p w14:paraId="37B38E3B" w14:textId="77777777" w:rsidR="00BB1A14" w:rsidRPr="00E22444" w:rsidRDefault="00BB1A14" w:rsidP="00E22444">
            <w:pPr>
              <w:pStyle w:val="NoSpacing"/>
              <w:jc w:val="center"/>
              <w:rPr>
                <w:rFonts w:ascii="Times New Roman" w:hAnsi="Times New Roman" w:cs="Times New Roman"/>
                <w:sz w:val="16"/>
                <w:szCs w:val="16"/>
              </w:rPr>
            </w:pPr>
            <w:r w:rsidRPr="00E22444">
              <w:rPr>
                <w:rFonts w:ascii="Times New Roman" w:hAnsi="Times New Roman" w:cs="Times New Roman"/>
                <w:sz w:val="16"/>
                <w:szCs w:val="16"/>
              </w:rPr>
              <w:t>13.01</w:t>
            </w:r>
          </w:p>
        </w:tc>
        <w:tc>
          <w:tcPr>
            <w:tcW w:w="610" w:type="dxa"/>
            <w:vAlign w:val="center"/>
            <w:hideMark/>
          </w:tcPr>
          <w:p w14:paraId="7E644A31" w14:textId="77777777" w:rsidR="00BB1A14" w:rsidRPr="00E22444" w:rsidRDefault="00BB1A14" w:rsidP="00E22444">
            <w:pPr>
              <w:pStyle w:val="NoSpacing"/>
              <w:jc w:val="center"/>
              <w:rPr>
                <w:rFonts w:ascii="Times New Roman" w:hAnsi="Times New Roman" w:cs="Times New Roman"/>
                <w:sz w:val="16"/>
                <w:szCs w:val="16"/>
              </w:rPr>
            </w:pPr>
            <w:r w:rsidRPr="00E22444">
              <w:rPr>
                <w:rFonts w:ascii="Times New Roman" w:hAnsi="Times New Roman" w:cs="Times New Roman"/>
                <w:sz w:val="16"/>
                <w:szCs w:val="16"/>
              </w:rPr>
              <w:t>6.04</w:t>
            </w:r>
          </w:p>
        </w:tc>
        <w:tc>
          <w:tcPr>
            <w:tcW w:w="678" w:type="dxa"/>
            <w:vAlign w:val="center"/>
            <w:hideMark/>
          </w:tcPr>
          <w:p w14:paraId="687F350E" w14:textId="77777777" w:rsidR="00BB1A14" w:rsidRPr="00E22444" w:rsidRDefault="00BB1A14" w:rsidP="00E22444">
            <w:pPr>
              <w:pStyle w:val="NoSpacing"/>
              <w:jc w:val="center"/>
              <w:rPr>
                <w:rFonts w:ascii="Times New Roman" w:hAnsi="Times New Roman" w:cs="Times New Roman"/>
                <w:sz w:val="16"/>
                <w:szCs w:val="16"/>
              </w:rPr>
            </w:pPr>
            <w:r w:rsidRPr="00E22444">
              <w:rPr>
                <w:rFonts w:ascii="Times New Roman" w:hAnsi="Times New Roman" w:cs="Times New Roman"/>
                <w:sz w:val="16"/>
                <w:szCs w:val="16"/>
              </w:rPr>
              <w:t>19.05</w:t>
            </w:r>
          </w:p>
        </w:tc>
        <w:tc>
          <w:tcPr>
            <w:tcW w:w="672" w:type="dxa"/>
            <w:vAlign w:val="center"/>
            <w:hideMark/>
          </w:tcPr>
          <w:p w14:paraId="732352A5" w14:textId="77777777" w:rsidR="00BB1A14" w:rsidRPr="00E22444" w:rsidRDefault="00BB1A14" w:rsidP="00E22444">
            <w:pPr>
              <w:pStyle w:val="NoSpacing"/>
              <w:jc w:val="center"/>
              <w:rPr>
                <w:rFonts w:ascii="Times New Roman" w:hAnsi="Times New Roman" w:cs="Times New Roman"/>
                <w:sz w:val="16"/>
                <w:szCs w:val="16"/>
              </w:rPr>
            </w:pPr>
            <w:r w:rsidRPr="00E22444">
              <w:rPr>
                <w:rFonts w:ascii="Times New Roman" w:hAnsi="Times New Roman" w:cs="Times New Roman"/>
                <w:sz w:val="16"/>
                <w:szCs w:val="16"/>
              </w:rPr>
              <w:t>14.10</w:t>
            </w:r>
          </w:p>
        </w:tc>
        <w:tc>
          <w:tcPr>
            <w:tcW w:w="610" w:type="dxa"/>
            <w:vAlign w:val="center"/>
            <w:hideMark/>
          </w:tcPr>
          <w:p w14:paraId="2D2667BF" w14:textId="77777777" w:rsidR="00BB1A14" w:rsidRPr="00C2102B" w:rsidRDefault="00BB1A14" w:rsidP="00E22444">
            <w:pPr>
              <w:pStyle w:val="NoSpacing"/>
              <w:jc w:val="center"/>
              <w:rPr>
                <w:rFonts w:ascii="Times New Roman" w:hAnsi="Times New Roman" w:cs="Times New Roman"/>
                <w:sz w:val="16"/>
                <w:szCs w:val="16"/>
              </w:rPr>
            </w:pPr>
            <w:r w:rsidRPr="00C2102B">
              <w:rPr>
                <w:rFonts w:ascii="Times New Roman" w:hAnsi="Times New Roman" w:cs="Times New Roman"/>
                <w:sz w:val="16"/>
                <w:szCs w:val="16"/>
              </w:rPr>
              <w:t>9.27</w:t>
            </w:r>
          </w:p>
        </w:tc>
        <w:tc>
          <w:tcPr>
            <w:tcW w:w="678" w:type="dxa"/>
            <w:vAlign w:val="center"/>
            <w:hideMark/>
          </w:tcPr>
          <w:p w14:paraId="3566E221" w14:textId="77777777" w:rsidR="00BB1A14" w:rsidRPr="00E22444" w:rsidRDefault="00BB1A14" w:rsidP="00E22444">
            <w:pPr>
              <w:pStyle w:val="NoSpacing"/>
              <w:jc w:val="center"/>
              <w:rPr>
                <w:rFonts w:ascii="Times New Roman" w:hAnsi="Times New Roman" w:cs="Times New Roman"/>
                <w:sz w:val="16"/>
                <w:szCs w:val="16"/>
              </w:rPr>
            </w:pPr>
            <w:r w:rsidRPr="00E22444">
              <w:rPr>
                <w:rFonts w:ascii="Times New Roman" w:hAnsi="Times New Roman" w:cs="Times New Roman"/>
                <w:sz w:val="16"/>
                <w:szCs w:val="16"/>
              </w:rPr>
              <w:t>23.37</w:t>
            </w:r>
          </w:p>
        </w:tc>
      </w:tr>
      <w:tr w:rsidR="00BB1A14" w:rsidRPr="00E22444" w14:paraId="1F03AFFD" w14:textId="77777777" w:rsidTr="00E22444">
        <w:trPr>
          <w:trHeight w:val="21"/>
          <w:jc w:val="center"/>
        </w:trPr>
        <w:tc>
          <w:tcPr>
            <w:tcW w:w="1164" w:type="dxa"/>
            <w:hideMark/>
          </w:tcPr>
          <w:p w14:paraId="13AEFB7A" w14:textId="77777777" w:rsidR="00BB1A14" w:rsidRPr="00E22444" w:rsidRDefault="00BB1A14" w:rsidP="00BB1A14">
            <w:pPr>
              <w:pStyle w:val="NoSpacing"/>
              <w:rPr>
                <w:rFonts w:ascii="Times New Roman" w:hAnsi="Times New Roman" w:cs="Times New Roman"/>
                <w:sz w:val="16"/>
                <w:szCs w:val="16"/>
              </w:rPr>
            </w:pPr>
            <w:r w:rsidRPr="00E22444">
              <w:rPr>
                <w:rFonts w:ascii="Times New Roman" w:hAnsi="Times New Roman" w:cs="Times New Roman"/>
                <w:sz w:val="16"/>
                <w:szCs w:val="16"/>
              </w:rPr>
              <w:t>8. Agriculture</w:t>
            </w:r>
          </w:p>
        </w:tc>
        <w:tc>
          <w:tcPr>
            <w:tcW w:w="677" w:type="dxa"/>
            <w:vAlign w:val="center"/>
            <w:hideMark/>
          </w:tcPr>
          <w:p w14:paraId="3AF23B0E" w14:textId="77777777" w:rsidR="00BB1A14" w:rsidRPr="00E22444" w:rsidRDefault="00BB1A14" w:rsidP="00E22444">
            <w:pPr>
              <w:pStyle w:val="NoSpacing"/>
              <w:jc w:val="center"/>
              <w:rPr>
                <w:rFonts w:ascii="Times New Roman" w:hAnsi="Times New Roman" w:cs="Times New Roman"/>
                <w:sz w:val="16"/>
                <w:szCs w:val="16"/>
              </w:rPr>
            </w:pPr>
            <w:r w:rsidRPr="00E22444">
              <w:rPr>
                <w:rFonts w:ascii="Times New Roman" w:hAnsi="Times New Roman" w:cs="Times New Roman"/>
                <w:sz w:val="16"/>
                <w:szCs w:val="16"/>
              </w:rPr>
              <w:t>6.71</w:t>
            </w:r>
          </w:p>
        </w:tc>
        <w:tc>
          <w:tcPr>
            <w:tcW w:w="609" w:type="dxa"/>
            <w:vAlign w:val="center"/>
            <w:hideMark/>
          </w:tcPr>
          <w:p w14:paraId="79D069B7" w14:textId="77777777" w:rsidR="00BB1A14" w:rsidRPr="00E22444" w:rsidRDefault="00BB1A14" w:rsidP="00E22444">
            <w:pPr>
              <w:pStyle w:val="NoSpacing"/>
              <w:jc w:val="center"/>
              <w:rPr>
                <w:rFonts w:ascii="Times New Roman" w:hAnsi="Times New Roman" w:cs="Times New Roman"/>
                <w:sz w:val="16"/>
                <w:szCs w:val="16"/>
              </w:rPr>
            </w:pPr>
            <w:r w:rsidRPr="00E22444">
              <w:rPr>
                <w:rFonts w:ascii="Times New Roman" w:hAnsi="Times New Roman" w:cs="Times New Roman"/>
                <w:sz w:val="16"/>
                <w:szCs w:val="16"/>
              </w:rPr>
              <w:t>3.04</w:t>
            </w:r>
          </w:p>
        </w:tc>
        <w:tc>
          <w:tcPr>
            <w:tcW w:w="678" w:type="dxa"/>
            <w:vAlign w:val="center"/>
            <w:hideMark/>
          </w:tcPr>
          <w:p w14:paraId="4B748552" w14:textId="77777777" w:rsidR="00BB1A14" w:rsidRPr="00E22444" w:rsidRDefault="00BB1A14" w:rsidP="00E22444">
            <w:pPr>
              <w:pStyle w:val="NoSpacing"/>
              <w:jc w:val="center"/>
              <w:rPr>
                <w:rFonts w:ascii="Times New Roman" w:hAnsi="Times New Roman" w:cs="Times New Roman"/>
                <w:sz w:val="16"/>
                <w:szCs w:val="16"/>
              </w:rPr>
            </w:pPr>
            <w:r w:rsidRPr="00E22444">
              <w:rPr>
                <w:rFonts w:ascii="Times New Roman" w:hAnsi="Times New Roman" w:cs="Times New Roman"/>
                <w:sz w:val="16"/>
                <w:szCs w:val="16"/>
              </w:rPr>
              <w:t>9.75</w:t>
            </w:r>
          </w:p>
        </w:tc>
        <w:tc>
          <w:tcPr>
            <w:tcW w:w="678" w:type="dxa"/>
            <w:vAlign w:val="center"/>
            <w:hideMark/>
          </w:tcPr>
          <w:p w14:paraId="502B6DBC" w14:textId="77777777" w:rsidR="00BB1A14" w:rsidRPr="00E22444" w:rsidRDefault="00BB1A14" w:rsidP="00E22444">
            <w:pPr>
              <w:pStyle w:val="NoSpacing"/>
              <w:jc w:val="center"/>
              <w:rPr>
                <w:rFonts w:ascii="Times New Roman" w:hAnsi="Times New Roman" w:cs="Times New Roman"/>
                <w:sz w:val="16"/>
                <w:szCs w:val="16"/>
              </w:rPr>
            </w:pPr>
            <w:r w:rsidRPr="00E22444">
              <w:rPr>
                <w:rFonts w:ascii="Times New Roman" w:hAnsi="Times New Roman" w:cs="Times New Roman"/>
                <w:sz w:val="16"/>
                <w:szCs w:val="16"/>
              </w:rPr>
              <w:t>6.50</w:t>
            </w:r>
          </w:p>
        </w:tc>
        <w:tc>
          <w:tcPr>
            <w:tcW w:w="610" w:type="dxa"/>
            <w:vAlign w:val="center"/>
            <w:hideMark/>
          </w:tcPr>
          <w:p w14:paraId="2D1DA20F" w14:textId="77777777" w:rsidR="00BB1A14" w:rsidRPr="00E22444" w:rsidRDefault="00BB1A14" w:rsidP="00E22444">
            <w:pPr>
              <w:pStyle w:val="NoSpacing"/>
              <w:jc w:val="center"/>
              <w:rPr>
                <w:rFonts w:ascii="Times New Roman" w:hAnsi="Times New Roman" w:cs="Times New Roman"/>
                <w:sz w:val="16"/>
                <w:szCs w:val="16"/>
              </w:rPr>
            </w:pPr>
            <w:r w:rsidRPr="00E22444">
              <w:rPr>
                <w:rFonts w:ascii="Times New Roman" w:hAnsi="Times New Roman" w:cs="Times New Roman"/>
                <w:sz w:val="16"/>
                <w:szCs w:val="16"/>
              </w:rPr>
              <w:t>1.96</w:t>
            </w:r>
          </w:p>
        </w:tc>
        <w:tc>
          <w:tcPr>
            <w:tcW w:w="678" w:type="dxa"/>
            <w:vAlign w:val="center"/>
            <w:hideMark/>
          </w:tcPr>
          <w:p w14:paraId="64DEEE57" w14:textId="77777777" w:rsidR="00BB1A14" w:rsidRPr="00E22444" w:rsidRDefault="00BB1A14" w:rsidP="00E22444">
            <w:pPr>
              <w:pStyle w:val="NoSpacing"/>
              <w:jc w:val="center"/>
              <w:rPr>
                <w:rFonts w:ascii="Times New Roman" w:hAnsi="Times New Roman" w:cs="Times New Roman"/>
                <w:sz w:val="16"/>
                <w:szCs w:val="16"/>
              </w:rPr>
            </w:pPr>
            <w:r w:rsidRPr="00E22444">
              <w:rPr>
                <w:rFonts w:ascii="Times New Roman" w:hAnsi="Times New Roman" w:cs="Times New Roman"/>
                <w:sz w:val="16"/>
                <w:szCs w:val="16"/>
              </w:rPr>
              <w:t>8.46</w:t>
            </w:r>
          </w:p>
        </w:tc>
        <w:tc>
          <w:tcPr>
            <w:tcW w:w="678" w:type="dxa"/>
            <w:vAlign w:val="center"/>
            <w:hideMark/>
          </w:tcPr>
          <w:p w14:paraId="576A7817" w14:textId="77777777" w:rsidR="00BB1A14" w:rsidRPr="00E22444" w:rsidRDefault="00BB1A14" w:rsidP="00E22444">
            <w:pPr>
              <w:pStyle w:val="NoSpacing"/>
              <w:jc w:val="center"/>
              <w:rPr>
                <w:rFonts w:ascii="Times New Roman" w:hAnsi="Times New Roman" w:cs="Times New Roman"/>
                <w:sz w:val="16"/>
                <w:szCs w:val="16"/>
              </w:rPr>
            </w:pPr>
            <w:r w:rsidRPr="00E22444">
              <w:rPr>
                <w:rFonts w:ascii="Times New Roman" w:hAnsi="Times New Roman" w:cs="Times New Roman"/>
                <w:sz w:val="16"/>
                <w:szCs w:val="16"/>
              </w:rPr>
              <w:t>12.39</w:t>
            </w:r>
          </w:p>
        </w:tc>
        <w:tc>
          <w:tcPr>
            <w:tcW w:w="610" w:type="dxa"/>
            <w:vAlign w:val="center"/>
            <w:hideMark/>
          </w:tcPr>
          <w:p w14:paraId="2A8DE731" w14:textId="77777777" w:rsidR="00BB1A14" w:rsidRPr="00E22444" w:rsidRDefault="00BB1A14" w:rsidP="00E22444">
            <w:pPr>
              <w:pStyle w:val="NoSpacing"/>
              <w:jc w:val="center"/>
              <w:rPr>
                <w:rFonts w:ascii="Times New Roman" w:hAnsi="Times New Roman" w:cs="Times New Roman"/>
                <w:sz w:val="16"/>
                <w:szCs w:val="16"/>
              </w:rPr>
            </w:pPr>
            <w:r w:rsidRPr="00E22444">
              <w:rPr>
                <w:rFonts w:ascii="Times New Roman" w:hAnsi="Times New Roman" w:cs="Times New Roman"/>
                <w:sz w:val="16"/>
                <w:szCs w:val="16"/>
              </w:rPr>
              <w:t>1.49</w:t>
            </w:r>
          </w:p>
        </w:tc>
        <w:tc>
          <w:tcPr>
            <w:tcW w:w="678" w:type="dxa"/>
            <w:vAlign w:val="center"/>
            <w:hideMark/>
          </w:tcPr>
          <w:p w14:paraId="20EB1EAA" w14:textId="77777777" w:rsidR="00BB1A14" w:rsidRPr="00E22444" w:rsidRDefault="00BB1A14" w:rsidP="00E22444">
            <w:pPr>
              <w:pStyle w:val="NoSpacing"/>
              <w:jc w:val="center"/>
              <w:rPr>
                <w:rFonts w:ascii="Times New Roman" w:hAnsi="Times New Roman" w:cs="Times New Roman"/>
                <w:sz w:val="16"/>
                <w:szCs w:val="16"/>
              </w:rPr>
            </w:pPr>
            <w:r w:rsidRPr="00E22444">
              <w:rPr>
                <w:rFonts w:ascii="Times New Roman" w:hAnsi="Times New Roman" w:cs="Times New Roman"/>
                <w:sz w:val="16"/>
                <w:szCs w:val="16"/>
              </w:rPr>
              <w:t>13.88</w:t>
            </w:r>
          </w:p>
        </w:tc>
        <w:tc>
          <w:tcPr>
            <w:tcW w:w="678" w:type="dxa"/>
            <w:vAlign w:val="center"/>
            <w:hideMark/>
          </w:tcPr>
          <w:p w14:paraId="77042DC1" w14:textId="77777777" w:rsidR="00BB1A14" w:rsidRPr="00E22444" w:rsidRDefault="00BB1A14" w:rsidP="00E22444">
            <w:pPr>
              <w:pStyle w:val="NoSpacing"/>
              <w:jc w:val="center"/>
              <w:rPr>
                <w:rFonts w:ascii="Times New Roman" w:hAnsi="Times New Roman" w:cs="Times New Roman"/>
                <w:sz w:val="16"/>
                <w:szCs w:val="16"/>
              </w:rPr>
            </w:pPr>
            <w:r w:rsidRPr="00E22444">
              <w:rPr>
                <w:rFonts w:ascii="Times New Roman" w:hAnsi="Times New Roman" w:cs="Times New Roman"/>
                <w:sz w:val="16"/>
                <w:szCs w:val="16"/>
              </w:rPr>
              <w:t>10.98</w:t>
            </w:r>
          </w:p>
        </w:tc>
        <w:tc>
          <w:tcPr>
            <w:tcW w:w="610" w:type="dxa"/>
            <w:vAlign w:val="center"/>
            <w:hideMark/>
          </w:tcPr>
          <w:p w14:paraId="765C48AF" w14:textId="77777777" w:rsidR="00BB1A14" w:rsidRPr="00E22444" w:rsidRDefault="00BB1A14" w:rsidP="00E22444">
            <w:pPr>
              <w:pStyle w:val="NoSpacing"/>
              <w:jc w:val="center"/>
              <w:rPr>
                <w:rFonts w:ascii="Times New Roman" w:hAnsi="Times New Roman" w:cs="Times New Roman"/>
                <w:sz w:val="16"/>
                <w:szCs w:val="16"/>
              </w:rPr>
            </w:pPr>
            <w:r w:rsidRPr="00E22444">
              <w:rPr>
                <w:rFonts w:ascii="Times New Roman" w:hAnsi="Times New Roman" w:cs="Times New Roman"/>
                <w:sz w:val="16"/>
                <w:szCs w:val="16"/>
              </w:rPr>
              <w:t>5.03</w:t>
            </w:r>
          </w:p>
        </w:tc>
        <w:tc>
          <w:tcPr>
            <w:tcW w:w="678" w:type="dxa"/>
            <w:vAlign w:val="center"/>
            <w:hideMark/>
          </w:tcPr>
          <w:p w14:paraId="4D5D6047" w14:textId="77777777" w:rsidR="00BB1A14" w:rsidRPr="00E22444" w:rsidRDefault="00BB1A14" w:rsidP="00E22444">
            <w:pPr>
              <w:pStyle w:val="NoSpacing"/>
              <w:jc w:val="center"/>
              <w:rPr>
                <w:rFonts w:ascii="Times New Roman" w:hAnsi="Times New Roman" w:cs="Times New Roman"/>
                <w:sz w:val="16"/>
                <w:szCs w:val="16"/>
              </w:rPr>
            </w:pPr>
            <w:r w:rsidRPr="00E22444">
              <w:rPr>
                <w:rFonts w:ascii="Times New Roman" w:hAnsi="Times New Roman" w:cs="Times New Roman"/>
                <w:sz w:val="16"/>
                <w:szCs w:val="16"/>
              </w:rPr>
              <w:t>16.01</w:t>
            </w:r>
          </w:p>
        </w:tc>
        <w:tc>
          <w:tcPr>
            <w:tcW w:w="672" w:type="dxa"/>
            <w:vAlign w:val="center"/>
            <w:hideMark/>
          </w:tcPr>
          <w:p w14:paraId="124363A1" w14:textId="77777777" w:rsidR="00BB1A14" w:rsidRPr="00E22444" w:rsidRDefault="00BB1A14" w:rsidP="00E22444">
            <w:pPr>
              <w:pStyle w:val="NoSpacing"/>
              <w:jc w:val="center"/>
              <w:rPr>
                <w:rFonts w:ascii="Times New Roman" w:hAnsi="Times New Roman" w:cs="Times New Roman"/>
                <w:sz w:val="16"/>
                <w:szCs w:val="16"/>
              </w:rPr>
            </w:pPr>
            <w:r w:rsidRPr="00E22444">
              <w:rPr>
                <w:rFonts w:ascii="Times New Roman" w:hAnsi="Times New Roman" w:cs="Times New Roman"/>
                <w:sz w:val="16"/>
                <w:szCs w:val="16"/>
              </w:rPr>
              <w:t>10.41</w:t>
            </w:r>
          </w:p>
        </w:tc>
        <w:tc>
          <w:tcPr>
            <w:tcW w:w="610" w:type="dxa"/>
            <w:vAlign w:val="center"/>
            <w:hideMark/>
          </w:tcPr>
          <w:p w14:paraId="3E51D72E" w14:textId="77777777" w:rsidR="00BB1A14" w:rsidRPr="00C2102B" w:rsidRDefault="00BB1A14" w:rsidP="00E22444">
            <w:pPr>
              <w:pStyle w:val="NoSpacing"/>
              <w:jc w:val="center"/>
              <w:rPr>
                <w:rFonts w:ascii="Times New Roman" w:hAnsi="Times New Roman" w:cs="Times New Roman"/>
                <w:sz w:val="16"/>
                <w:szCs w:val="16"/>
              </w:rPr>
            </w:pPr>
            <w:r w:rsidRPr="00C2102B">
              <w:rPr>
                <w:rFonts w:ascii="Times New Roman" w:hAnsi="Times New Roman" w:cs="Times New Roman"/>
                <w:sz w:val="16"/>
                <w:szCs w:val="16"/>
              </w:rPr>
              <w:t>7.83</w:t>
            </w:r>
          </w:p>
        </w:tc>
        <w:tc>
          <w:tcPr>
            <w:tcW w:w="678" w:type="dxa"/>
            <w:vAlign w:val="center"/>
            <w:hideMark/>
          </w:tcPr>
          <w:p w14:paraId="64B8C252" w14:textId="77777777" w:rsidR="00BB1A14" w:rsidRPr="00E22444" w:rsidRDefault="00BB1A14" w:rsidP="00E22444">
            <w:pPr>
              <w:pStyle w:val="NoSpacing"/>
              <w:jc w:val="center"/>
              <w:rPr>
                <w:rFonts w:ascii="Times New Roman" w:hAnsi="Times New Roman" w:cs="Times New Roman"/>
                <w:sz w:val="16"/>
                <w:szCs w:val="16"/>
              </w:rPr>
            </w:pPr>
            <w:r w:rsidRPr="00E22444">
              <w:rPr>
                <w:rFonts w:ascii="Times New Roman" w:hAnsi="Times New Roman" w:cs="Times New Roman"/>
                <w:sz w:val="16"/>
                <w:szCs w:val="16"/>
              </w:rPr>
              <w:t>18.24</w:t>
            </w:r>
          </w:p>
        </w:tc>
      </w:tr>
      <w:tr w:rsidR="00BB1A14" w:rsidRPr="00E22444" w14:paraId="3DD6B547" w14:textId="77777777" w:rsidTr="00E22444">
        <w:trPr>
          <w:trHeight w:val="21"/>
          <w:jc w:val="center"/>
        </w:trPr>
        <w:tc>
          <w:tcPr>
            <w:tcW w:w="1164" w:type="dxa"/>
            <w:hideMark/>
          </w:tcPr>
          <w:p w14:paraId="6B833B79" w14:textId="77777777" w:rsidR="00BB1A14" w:rsidRPr="00E22444" w:rsidRDefault="00BB1A14" w:rsidP="00BB1A14">
            <w:pPr>
              <w:pStyle w:val="NoSpacing"/>
              <w:rPr>
                <w:rFonts w:ascii="Times New Roman" w:hAnsi="Times New Roman" w:cs="Times New Roman"/>
                <w:sz w:val="16"/>
                <w:szCs w:val="16"/>
              </w:rPr>
            </w:pPr>
            <w:r w:rsidRPr="00E22444">
              <w:rPr>
                <w:rFonts w:ascii="Times New Roman" w:hAnsi="Times New Roman" w:cs="Times New Roman"/>
                <w:sz w:val="16"/>
                <w:szCs w:val="16"/>
              </w:rPr>
              <w:t>9. Other Social and Developmental Services</w:t>
            </w:r>
          </w:p>
        </w:tc>
        <w:tc>
          <w:tcPr>
            <w:tcW w:w="677" w:type="dxa"/>
            <w:vAlign w:val="center"/>
            <w:hideMark/>
          </w:tcPr>
          <w:p w14:paraId="248D8480" w14:textId="77777777" w:rsidR="00BB1A14" w:rsidRPr="00E22444" w:rsidRDefault="00BB1A14" w:rsidP="00E22444">
            <w:pPr>
              <w:pStyle w:val="NoSpacing"/>
              <w:jc w:val="center"/>
              <w:rPr>
                <w:rFonts w:ascii="Times New Roman" w:hAnsi="Times New Roman" w:cs="Times New Roman"/>
                <w:sz w:val="16"/>
                <w:szCs w:val="16"/>
              </w:rPr>
            </w:pPr>
            <w:r w:rsidRPr="00E22444">
              <w:rPr>
                <w:rFonts w:ascii="Times New Roman" w:hAnsi="Times New Roman" w:cs="Times New Roman"/>
                <w:sz w:val="16"/>
                <w:szCs w:val="16"/>
              </w:rPr>
              <w:t>41.85</w:t>
            </w:r>
          </w:p>
        </w:tc>
        <w:tc>
          <w:tcPr>
            <w:tcW w:w="609" w:type="dxa"/>
            <w:vAlign w:val="center"/>
            <w:hideMark/>
          </w:tcPr>
          <w:p w14:paraId="6420D992" w14:textId="77777777" w:rsidR="00BB1A14" w:rsidRPr="00E22444" w:rsidRDefault="00BB1A14" w:rsidP="00E22444">
            <w:pPr>
              <w:pStyle w:val="NoSpacing"/>
              <w:jc w:val="center"/>
              <w:rPr>
                <w:rFonts w:ascii="Times New Roman" w:hAnsi="Times New Roman" w:cs="Times New Roman"/>
                <w:sz w:val="16"/>
                <w:szCs w:val="16"/>
              </w:rPr>
            </w:pPr>
            <w:r w:rsidRPr="00E22444">
              <w:rPr>
                <w:rFonts w:ascii="Times New Roman" w:hAnsi="Times New Roman" w:cs="Times New Roman"/>
                <w:sz w:val="16"/>
                <w:szCs w:val="16"/>
              </w:rPr>
              <w:t>28.10</w:t>
            </w:r>
          </w:p>
        </w:tc>
        <w:tc>
          <w:tcPr>
            <w:tcW w:w="678" w:type="dxa"/>
            <w:vAlign w:val="center"/>
            <w:hideMark/>
          </w:tcPr>
          <w:p w14:paraId="5B47A348" w14:textId="77777777" w:rsidR="00BB1A14" w:rsidRPr="00E22444" w:rsidRDefault="00BB1A14" w:rsidP="00E22444">
            <w:pPr>
              <w:pStyle w:val="NoSpacing"/>
              <w:jc w:val="center"/>
              <w:rPr>
                <w:rFonts w:ascii="Times New Roman" w:hAnsi="Times New Roman" w:cs="Times New Roman"/>
                <w:sz w:val="16"/>
                <w:szCs w:val="16"/>
              </w:rPr>
            </w:pPr>
            <w:r w:rsidRPr="00E22444">
              <w:rPr>
                <w:rFonts w:ascii="Times New Roman" w:hAnsi="Times New Roman" w:cs="Times New Roman"/>
                <w:sz w:val="16"/>
                <w:szCs w:val="16"/>
              </w:rPr>
              <w:t>69.95</w:t>
            </w:r>
          </w:p>
        </w:tc>
        <w:tc>
          <w:tcPr>
            <w:tcW w:w="678" w:type="dxa"/>
            <w:vAlign w:val="center"/>
            <w:hideMark/>
          </w:tcPr>
          <w:p w14:paraId="664FFAEA" w14:textId="77777777" w:rsidR="00BB1A14" w:rsidRPr="00E22444" w:rsidRDefault="00BB1A14" w:rsidP="00E22444">
            <w:pPr>
              <w:pStyle w:val="NoSpacing"/>
              <w:jc w:val="center"/>
              <w:rPr>
                <w:rFonts w:ascii="Times New Roman" w:hAnsi="Times New Roman" w:cs="Times New Roman"/>
                <w:sz w:val="16"/>
                <w:szCs w:val="16"/>
              </w:rPr>
            </w:pPr>
            <w:r w:rsidRPr="00E22444">
              <w:rPr>
                <w:rFonts w:ascii="Times New Roman" w:hAnsi="Times New Roman" w:cs="Times New Roman"/>
                <w:sz w:val="16"/>
                <w:szCs w:val="16"/>
              </w:rPr>
              <w:t>38.92</w:t>
            </w:r>
          </w:p>
        </w:tc>
        <w:tc>
          <w:tcPr>
            <w:tcW w:w="610" w:type="dxa"/>
            <w:vAlign w:val="center"/>
            <w:hideMark/>
          </w:tcPr>
          <w:p w14:paraId="2559C338" w14:textId="77777777" w:rsidR="00BB1A14" w:rsidRPr="00E22444" w:rsidRDefault="00BB1A14" w:rsidP="00E22444">
            <w:pPr>
              <w:pStyle w:val="NoSpacing"/>
              <w:jc w:val="center"/>
              <w:rPr>
                <w:rFonts w:ascii="Times New Roman" w:hAnsi="Times New Roman" w:cs="Times New Roman"/>
                <w:sz w:val="16"/>
                <w:szCs w:val="16"/>
              </w:rPr>
            </w:pPr>
            <w:r w:rsidRPr="00E22444">
              <w:rPr>
                <w:rFonts w:ascii="Times New Roman" w:hAnsi="Times New Roman" w:cs="Times New Roman"/>
                <w:sz w:val="16"/>
                <w:szCs w:val="16"/>
              </w:rPr>
              <w:t>29.98</w:t>
            </w:r>
          </w:p>
        </w:tc>
        <w:tc>
          <w:tcPr>
            <w:tcW w:w="678" w:type="dxa"/>
            <w:vAlign w:val="center"/>
            <w:hideMark/>
          </w:tcPr>
          <w:p w14:paraId="7FA2F782" w14:textId="77777777" w:rsidR="00BB1A14" w:rsidRPr="00E22444" w:rsidRDefault="00BB1A14" w:rsidP="00E22444">
            <w:pPr>
              <w:pStyle w:val="NoSpacing"/>
              <w:jc w:val="center"/>
              <w:rPr>
                <w:rFonts w:ascii="Times New Roman" w:hAnsi="Times New Roman" w:cs="Times New Roman"/>
                <w:sz w:val="16"/>
                <w:szCs w:val="16"/>
              </w:rPr>
            </w:pPr>
            <w:r w:rsidRPr="00E22444">
              <w:rPr>
                <w:rFonts w:ascii="Times New Roman" w:hAnsi="Times New Roman" w:cs="Times New Roman"/>
                <w:sz w:val="16"/>
                <w:szCs w:val="16"/>
              </w:rPr>
              <w:t>68.90</w:t>
            </w:r>
          </w:p>
        </w:tc>
        <w:tc>
          <w:tcPr>
            <w:tcW w:w="678" w:type="dxa"/>
            <w:vAlign w:val="center"/>
            <w:hideMark/>
          </w:tcPr>
          <w:p w14:paraId="29FE30F6" w14:textId="77777777" w:rsidR="00BB1A14" w:rsidRPr="00E22444" w:rsidRDefault="00BB1A14" w:rsidP="00E22444">
            <w:pPr>
              <w:pStyle w:val="NoSpacing"/>
              <w:jc w:val="center"/>
              <w:rPr>
                <w:rFonts w:ascii="Times New Roman" w:hAnsi="Times New Roman" w:cs="Times New Roman"/>
                <w:sz w:val="16"/>
                <w:szCs w:val="16"/>
              </w:rPr>
            </w:pPr>
            <w:r w:rsidRPr="00E22444">
              <w:rPr>
                <w:rFonts w:ascii="Times New Roman" w:hAnsi="Times New Roman" w:cs="Times New Roman"/>
                <w:sz w:val="16"/>
                <w:szCs w:val="16"/>
              </w:rPr>
              <w:t>40.40</w:t>
            </w:r>
          </w:p>
        </w:tc>
        <w:tc>
          <w:tcPr>
            <w:tcW w:w="610" w:type="dxa"/>
            <w:vAlign w:val="center"/>
            <w:hideMark/>
          </w:tcPr>
          <w:p w14:paraId="17A9153A" w14:textId="77777777" w:rsidR="00BB1A14" w:rsidRPr="00E22444" w:rsidRDefault="00BB1A14" w:rsidP="00E22444">
            <w:pPr>
              <w:pStyle w:val="NoSpacing"/>
              <w:jc w:val="center"/>
              <w:rPr>
                <w:rFonts w:ascii="Times New Roman" w:hAnsi="Times New Roman" w:cs="Times New Roman"/>
                <w:sz w:val="16"/>
                <w:szCs w:val="16"/>
              </w:rPr>
            </w:pPr>
            <w:r w:rsidRPr="00E22444">
              <w:rPr>
                <w:rFonts w:ascii="Times New Roman" w:hAnsi="Times New Roman" w:cs="Times New Roman"/>
                <w:sz w:val="16"/>
                <w:szCs w:val="16"/>
              </w:rPr>
              <w:t>24.69</w:t>
            </w:r>
          </w:p>
        </w:tc>
        <w:tc>
          <w:tcPr>
            <w:tcW w:w="678" w:type="dxa"/>
            <w:vAlign w:val="center"/>
            <w:hideMark/>
          </w:tcPr>
          <w:p w14:paraId="4CA00CF7" w14:textId="77777777" w:rsidR="00BB1A14" w:rsidRPr="00E22444" w:rsidRDefault="00BB1A14" w:rsidP="00E22444">
            <w:pPr>
              <w:pStyle w:val="NoSpacing"/>
              <w:jc w:val="center"/>
              <w:rPr>
                <w:rFonts w:ascii="Times New Roman" w:hAnsi="Times New Roman" w:cs="Times New Roman"/>
                <w:sz w:val="16"/>
                <w:szCs w:val="16"/>
              </w:rPr>
            </w:pPr>
            <w:r w:rsidRPr="00E22444">
              <w:rPr>
                <w:rFonts w:ascii="Times New Roman" w:hAnsi="Times New Roman" w:cs="Times New Roman"/>
                <w:sz w:val="16"/>
                <w:szCs w:val="16"/>
              </w:rPr>
              <w:t>65.09</w:t>
            </w:r>
          </w:p>
        </w:tc>
        <w:tc>
          <w:tcPr>
            <w:tcW w:w="678" w:type="dxa"/>
            <w:vAlign w:val="center"/>
            <w:hideMark/>
          </w:tcPr>
          <w:p w14:paraId="331E30BB" w14:textId="77777777" w:rsidR="00BB1A14" w:rsidRPr="00E22444" w:rsidRDefault="00BB1A14" w:rsidP="00E22444">
            <w:pPr>
              <w:pStyle w:val="NoSpacing"/>
              <w:jc w:val="center"/>
              <w:rPr>
                <w:rFonts w:ascii="Times New Roman" w:hAnsi="Times New Roman" w:cs="Times New Roman"/>
                <w:sz w:val="16"/>
                <w:szCs w:val="16"/>
              </w:rPr>
            </w:pPr>
            <w:r w:rsidRPr="00E22444">
              <w:rPr>
                <w:rFonts w:ascii="Times New Roman" w:hAnsi="Times New Roman" w:cs="Times New Roman"/>
                <w:sz w:val="16"/>
                <w:szCs w:val="16"/>
              </w:rPr>
              <w:t>42.62</w:t>
            </w:r>
          </w:p>
        </w:tc>
        <w:tc>
          <w:tcPr>
            <w:tcW w:w="610" w:type="dxa"/>
            <w:vAlign w:val="center"/>
            <w:hideMark/>
          </w:tcPr>
          <w:p w14:paraId="284036F9" w14:textId="77777777" w:rsidR="00BB1A14" w:rsidRPr="00E22444" w:rsidRDefault="00BB1A14" w:rsidP="00E22444">
            <w:pPr>
              <w:pStyle w:val="NoSpacing"/>
              <w:jc w:val="center"/>
              <w:rPr>
                <w:rFonts w:ascii="Times New Roman" w:hAnsi="Times New Roman" w:cs="Times New Roman"/>
                <w:sz w:val="16"/>
                <w:szCs w:val="16"/>
              </w:rPr>
            </w:pPr>
            <w:r w:rsidRPr="00E22444">
              <w:rPr>
                <w:rFonts w:ascii="Times New Roman" w:hAnsi="Times New Roman" w:cs="Times New Roman"/>
                <w:sz w:val="16"/>
                <w:szCs w:val="16"/>
              </w:rPr>
              <w:t>29.14</w:t>
            </w:r>
          </w:p>
        </w:tc>
        <w:tc>
          <w:tcPr>
            <w:tcW w:w="678" w:type="dxa"/>
            <w:vAlign w:val="center"/>
            <w:hideMark/>
          </w:tcPr>
          <w:p w14:paraId="4289BB69" w14:textId="77777777" w:rsidR="00BB1A14" w:rsidRPr="00E22444" w:rsidRDefault="00BB1A14" w:rsidP="00E22444">
            <w:pPr>
              <w:pStyle w:val="NoSpacing"/>
              <w:jc w:val="center"/>
              <w:rPr>
                <w:rFonts w:ascii="Times New Roman" w:hAnsi="Times New Roman" w:cs="Times New Roman"/>
                <w:sz w:val="16"/>
                <w:szCs w:val="16"/>
              </w:rPr>
            </w:pPr>
            <w:r w:rsidRPr="00E22444">
              <w:rPr>
                <w:rFonts w:ascii="Times New Roman" w:hAnsi="Times New Roman" w:cs="Times New Roman"/>
                <w:sz w:val="16"/>
                <w:szCs w:val="16"/>
              </w:rPr>
              <w:t>71.76</w:t>
            </w:r>
          </w:p>
        </w:tc>
        <w:tc>
          <w:tcPr>
            <w:tcW w:w="672" w:type="dxa"/>
            <w:vAlign w:val="center"/>
            <w:hideMark/>
          </w:tcPr>
          <w:p w14:paraId="38E77387" w14:textId="77777777" w:rsidR="00BB1A14" w:rsidRPr="00E22444" w:rsidRDefault="00BB1A14" w:rsidP="00E22444">
            <w:pPr>
              <w:pStyle w:val="NoSpacing"/>
              <w:jc w:val="center"/>
              <w:rPr>
                <w:rFonts w:ascii="Times New Roman" w:hAnsi="Times New Roman" w:cs="Times New Roman"/>
                <w:sz w:val="16"/>
                <w:szCs w:val="16"/>
              </w:rPr>
            </w:pPr>
            <w:r w:rsidRPr="00E22444">
              <w:rPr>
                <w:rFonts w:ascii="Times New Roman" w:hAnsi="Times New Roman" w:cs="Times New Roman"/>
                <w:sz w:val="16"/>
                <w:szCs w:val="16"/>
              </w:rPr>
              <w:t>44.85</w:t>
            </w:r>
          </w:p>
        </w:tc>
        <w:tc>
          <w:tcPr>
            <w:tcW w:w="610" w:type="dxa"/>
            <w:vAlign w:val="center"/>
            <w:hideMark/>
          </w:tcPr>
          <w:p w14:paraId="2247C75B" w14:textId="77777777" w:rsidR="00BB1A14" w:rsidRPr="00C2102B" w:rsidRDefault="00BB1A14" w:rsidP="00E22444">
            <w:pPr>
              <w:pStyle w:val="NoSpacing"/>
              <w:jc w:val="center"/>
              <w:rPr>
                <w:rFonts w:ascii="Times New Roman" w:hAnsi="Times New Roman" w:cs="Times New Roman"/>
                <w:sz w:val="16"/>
                <w:szCs w:val="16"/>
              </w:rPr>
            </w:pPr>
            <w:r w:rsidRPr="00C2102B">
              <w:rPr>
                <w:rFonts w:ascii="Times New Roman" w:hAnsi="Times New Roman" w:cs="Times New Roman"/>
                <w:sz w:val="16"/>
                <w:szCs w:val="16"/>
              </w:rPr>
              <w:t>29.37</w:t>
            </w:r>
          </w:p>
        </w:tc>
        <w:tc>
          <w:tcPr>
            <w:tcW w:w="678" w:type="dxa"/>
            <w:vAlign w:val="center"/>
            <w:hideMark/>
          </w:tcPr>
          <w:p w14:paraId="36B7A236" w14:textId="77777777" w:rsidR="00BB1A14" w:rsidRPr="00E22444" w:rsidRDefault="00BB1A14" w:rsidP="00E22444">
            <w:pPr>
              <w:pStyle w:val="NoSpacing"/>
              <w:jc w:val="center"/>
              <w:rPr>
                <w:rFonts w:ascii="Times New Roman" w:hAnsi="Times New Roman" w:cs="Times New Roman"/>
                <w:sz w:val="16"/>
                <w:szCs w:val="16"/>
              </w:rPr>
            </w:pPr>
            <w:r w:rsidRPr="00E22444">
              <w:rPr>
                <w:rFonts w:ascii="Times New Roman" w:hAnsi="Times New Roman" w:cs="Times New Roman"/>
                <w:sz w:val="16"/>
                <w:szCs w:val="16"/>
              </w:rPr>
              <w:t>74.22</w:t>
            </w:r>
          </w:p>
        </w:tc>
      </w:tr>
      <w:tr w:rsidR="00BB1A14" w:rsidRPr="00E22444" w14:paraId="199755F4" w14:textId="77777777" w:rsidTr="00E22444">
        <w:trPr>
          <w:trHeight w:val="21"/>
          <w:jc w:val="center"/>
        </w:trPr>
        <w:tc>
          <w:tcPr>
            <w:tcW w:w="1164" w:type="dxa"/>
            <w:hideMark/>
          </w:tcPr>
          <w:p w14:paraId="70F53F74" w14:textId="77777777" w:rsidR="00BB1A14" w:rsidRPr="00E22444" w:rsidRDefault="00BB1A14" w:rsidP="00BB1A14">
            <w:pPr>
              <w:pStyle w:val="NoSpacing"/>
              <w:rPr>
                <w:rFonts w:ascii="Times New Roman" w:hAnsi="Times New Roman" w:cs="Times New Roman"/>
                <w:sz w:val="16"/>
                <w:szCs w:val="16"/>
              </w:rPr>
            </w:pPr>
            <w:r w:rsidRPr="00E22444">
              <w:rPr>
                <w:rFonts w:ascii="Times New Roman" w:hAnsi="Times New Roman" w:cs="Times New Roman"/>
                <w:sz w:val="16"/>
                <w:szCs w:val="16"/>
              </w:rPr>
              <w:t>TOTAL—Social and Developmental Services</w:t>
            </w:r>
          </w:p>
        </w:tc>
        <w:tc>
          <w:tcPr>
            <w:tcW w:w="677" w:type="dxa"/>
            <w:vAlign w:val="center"/>
            <w:hideMark/>
          </w:tcPr>
          <w:p w14:paraId="0B903D1B" w14:textId="77777777" w:rsidR="00BB1A14" w:rsidRPr="00E22444" w:rsidRDefault="00BB1A14" w:rsidP="00E22444">
            <w:pPr>
              <w:pStyle w:val="NoSpacing"/>
              <w:jc w:val="center"/>
              <w:rPr>
                <w:rFonts w:ascii="Times New Roman" w:hAnsi="Times New Roman" w:cs="Times New Roman"/>
                <w:sz w:val="16"/>
                <w:szCs w:val="16"/>
              </w:rPr>
            </w:pPr>
            <w:r w:rsidRPr="00E22444">
              <w:rPr>
                <w:rFonts w:ascii="Times New Roman" w:hAnsi="Times New Roman" w:cs="Times New Roman"/>
                <w:sz w:val="16"/>
                <w:szCs w:val="16"/>
              </w:rPr>
              <w:t>99.45</w:t>
            </w:r>
          </w:p>
        </w:tc>
        <w:tc>
          <w:tcPr>
            <w:tcW w:w="609" w:type="dxa"/>
            <w:vAlign w:val="center"/>
            <w:hideMark/>
          </w:tcPr>
          <w:p w14:paraId="3784E0F1" w14:textId="77777777" w:rsidR="00BB1A14" w:rsidRPr="00E22444" w:rsidRDefault="00BB1A14" w:rsidP="00E22444">
            <w:pPr>
              <w:pStyle w:val="NoSpacing"/>
              <w:jc w:val="center"/>
              <w:rPr>
                <w:rFonts w:ascii="Times New Roman" w:hAnsi="Times New Roman" w:cs="Times New Roman"/>
                <w:sz w:val="16"/>
                <w:szCs w:val="16"/>
              </w:rPr>
            </w:pPr>
            <w:r w:rsidRPr="00E22444">
              <w:rPr>
                <w:rFonts w:ascii="Times New Roman" w:hAnsi="Times New Roman" w:cs="Times New Roman"/>
                <w:sz w:val="16"/>
                <w:szCs w:val="16"/>
              </w:rPr>
              <w:t>68.12</w:t>
            </w:r>
          </w:p>
        </w:tc>
        <w:tc>
          <w:tcPr>
            <w:tcW w:w="678" w:type="dxa"/>
            <w:vAlign w:val="center"/>
            <w:hideMark/>
          </w:tcPr>
          <w:p w14:paraId="7FB656DD" w14:textId="77777777" w:rsidR="00BB1A14" w:rsidRPr="00E22444" w:rsidRDefault="00BB1A14" w:rsidP="00E22444">
            <w:pPr>
              <w:pStyle w:val="NoSpacing"/>
              <w:jc w:val="center"/>
              <w:rPr>
                <w:rFonts w:ascii="Times New Roman" w:hAnsi="Times New Roman" w:cs="Times New Roman"/>
                <w:sz w:val="16"/>
                <w:szCs w:val="16"/>
              </w:rPr>
            </w:pPr>
            <w:r w:rsidRPr="00E22444">
              <w:rPr>
                <w:rFonts w:ascii="Times New Roman" w:hAnsi="Times New Roman" w:cs="Times New Roman"/>
                <w:sz w:val="16"/>
                <w:szCs w:val="16"/>
              </w:rPr>
              <w:t>167.57</w:t>
            </w:r>
          </w:p>
        </w:tc>
        <w:tc>
          <w:tcPr>
            <w:tcW w:w="678" w:type="dxa"/>
            <w:vAlign w:val="center"/>
            <w:hideMark/>
          </w:tcPr>
          <w:p w14:paraId="112F49E9" w14:textId="77777777" w:rsidR="00BB1A14" w:rsidRPr="00E22444" w:rsidRDefault="00BB1A14" w:rsidP="00E22444">
            <w:pPr>
              <w:pStyle w:val="NoSpacing"/>
              <w:jc w:val="center"/>
              <w:rPr>
                <w:rFonts w:ascii="Times New Roman" w:hAnsi="Times New Roman" w:cs="Times New Roman"/>
                <w:sz w:val="16"/>
                <w:szCs w:val="16"/>
              </w:rPr>
            </w:pPr>
            <w:r w:rsidRPr="00E22444">
              <w:rPr>
                <w:rFonts w:ascii="Times New Roman" w:hAnsi="Times New Roman" w:cs="Times New Roman"/>
                <w:sz w:val="16"/>
                <w:szCs w:val="16"/>
              </w:rPr>
              <w:t>100.80</w:t>
            </w:r>
          </w:p>
        </w:tc>
        <w:tc>
          <w:tcPr>
            <w:tcW w:w="610" w:type="dxa"/>
            <w:vAlign w:val="center"/>
            <w:hideMark/>
          </w:tcPr>
          <w:p w14:paraId="5E33193A" w14:textId="77777777" w:rsidR="00BB1A14" w:rsidRPr="00E22444" w:rsidRDefault="00BB1A14" w:rsidP="00E22444">
            <w:pPr>
              <w:pStyle w:val="NoSpacing"/>
              <w:jc w:val="center"/>
              <w:rPr>
                <w:rFonts w:ascii="Times New Roman" w:hAnsi="Times New Roman" w:cs="Times New Roman"/>
                <w:sz w:val="16"/>
                <w:szCs w:val="16"/>
              </w:rPr>
            </w:pPr>
            <w:r w:rsidRPr="00E22444">
              <w:rPr>
                <w:rFonts w:ascii="Times New Roman" w:hAnsi="Times New Roman" w:cs="Times New Roman"/>
                <w:sz w:val="16"/>
                <w:szCs w:val="16"/>
              </w:rPr>
              <w:t>78.91</w:t>
            </w:r>
          </w:p>
        </w:tc>
        <w:tc>
          <w:tcPr>
            <w:tcW w:w="678" w:type="dxa"/>
            <w:vAlign w:val="center"/>
            <w:hideMark/>
          </w:tcPr>
          <w:p w14:paraId="695BBF01" w14:textId="77777777" w:rsidR="00BB1A14" w:rsidRPr="00E22444" w:rsidRDefault="00BB1A14" w:rsidP="00E22444">
            <w:pPr>
              <w:pStyle w:val="NoSpacing"/>
              <w:jc w:val="center"/>
              <w:rPr>
                <w:rFonts w:ascii="Times New Roman" w:hAnsi="Times New Roman" w:cs="Times New Roman"/>
                <w:sz w:val="16"/>
                <w:szCs w:val="16"/>
              </w:rPr>
            </w:pPr>
            <w:r w:rsidRPr="00E22444">
              <w:rPr>
                <w:rFonts w:ascii="Times New Roman" w:hAnsi="Times New Roman" w:cs="Times New Roman"/>
                <w:sz w:val="16"/>
                <w:szCs w:val="16"/>
              </w:rPr>
              <w:t>179.71</w:t>
            </w:r>
          </w:p>
        </w:tc>
        <w:tc>
          <w:tcPr>
            <w:tcW w:w="678" w:type="dxa"/>
            <w:vAlign w:val="center"/>
            <w:hideMark/>
          </w:tcPr>
          <w:p w14:paraId="7FBB69A4" w14:textId="77777777" w:rsidR="00BB1A14" w:rsidRPr="00E22444" w:rsidRDefault="00BB1A14" w:rsidP="00E22444">
            <w:pPr>
              <w:pStyle w:val="NoSpacing"/>
              <w:jc w:val="center"/>
              <w:rPr>
                <w:rFonts w:ascii="Times New Roman" w:hAnsi="Times New Roman" w:cs="Times New Roman"/>
                <w:sz w:val="16"/>
                <w:szCs w:val="16"/>
              </w:rPr>
            </w:pPr>
            <w:r w:rsidRPr="00E22444">
              <w:rPr>
                <w:rFonts w:ascii="Times New Roman" w:hAnsi="Times New Roman" w:cs="Times New Roman"/>
                <w:sz w:val="16"/>
                <w:szCs w:val="16"/>
              </w:rPr>
              <w:t>131.58</w:t>
            </w:r>
          </w:p>
        </w:tc>
        <w:tc>
          <w:tcPr>
            <w:tcW w:w="610" w:type="dxa"/>
            <w:vAlign w:val="center"/>
            <w:hideMark/>
          </w:tcPr>
          <w:p w14:paraId="53D0C871" w14:textId="77777777" w:rsidR="00BB1A14" w:rsidRPr="00E22444" w:rsidRDefault="00BB1A14" w:rsidP="00E22444">
            <w:pPr>
              <w:pStyle w:val="NoSpacing"/>
              <w:jc w:val="center"/>
              <w:rPr>
                <w:rFonts w:ascii="Times New Roman" w:hAnsi="Times New Roman" w:cs="Times New Roman"/>
                <w:sz w:val="16"/>
                <w:szCs w:val="16"/>
              </w:rPr>
            </w:pPr>
            <w:r w:rsidRPr="00E22444">
              <w:rPr>
                <w:rFonts w:ascii="Times New Roman" w:hAnsi="Times New Roman" w:cs="Times New Roman"/>
                <w:sz w:val="16"/>
                <w:szCs w:val="16"/>
              </w:rPr>
              <w:t>61.24</w:t>
            </w:r>
          </w:p>
        </w:tc>
        <w:tc>
          <w:tcPr>
            <w:tcW w:w="678" w:type="dxa"/>
            <w:vAlign w:val="center"/>
            <w:hideMark/>
          </w:tcPr>
          <w:p w14:paraId="0BA6674D" w14:textId="77777777" w:rsidR="00BB1A14" w:rsidRPr="00E22444" w:rsidRDefault="00BB1A14" w:rsidP="00E22444">
            <w:pPr>
              <w:pStyle w:val="NoSpacing"/>
              <w:jc w:val="center"/>
              <w:rPr>
                <w:rFonts w:ascii="Times New Roman" w:hAnsi="Times New Roman" w:cs="Times New Roman"/>
                <w:sz w:val="16"/>
                <w:szCs w:val="16"/>
              </w:rPr>
            </w:pPr>
            <w:r w:rsidRPr="00E22444">
              <w:rPr>
                <w:rFonts w:ascii="Times New Roman" w:hAnsi="Times New Roman" w:cs="Times New Roman"/>
                <w:sz w:val="16"/>
                <w:szCs w:val="16"/>
              </w:rPr>
              <w:t>192.82</w:t>
            </w:r>
          </w:p>
        </w:tc>
        <w:tc>
          <w:tcPr>
            <w:tcW w:w="678" w:type="dxa"/>
            <w:vAlign w:val="center"/>
            <w:hideMark/>
          </w:tcPr>
          <w:p w14:paraId="09D5BD0F" w14:textId="77777777" w:rsidR="00BB1A14" w:rsidRPr="00E22444" w:rsidRDefault="00BB1A14" w:rsidP="00E22444">
            <w:pPr>
              <w:pStyle w:val="NoSpacing"/>
              <w:jc w:val="center"/>
              <w:rPr>
                <w:rFonts w:ascii="Times New Roman" w:hAnsi="Times New Roman" w:cs="Times New Roman"/>
                <w:sz w:val="16"/>
                <w:szCs w:val="16"/>
              </w:rPr>
            </w:pPr>
            <w:r w:rsidRPr="00E22444">
              <w:rPr>
                <w:rFonts w:ascii="Times New Roman" w:hAnsi="Times New Roman" w:cs="Times New Roman"/>
                <w:sz w:val="16"/>
                <w:szCs w:val="16"/>
              </w:rPr>
              <w:t>141.61</w:t>
            </w:r>
          </w:p>
        </w:tc>
        <w:tc>
          <w:tcPr>
            <w:tcW w:w="610" w:type="dxa"/>
            <w:vAlign w:val="center"/>
            <w:hideMark/>
          </w:tcPr>
          <w:p w14:paraId="67C291E2" w14:textId="77777777" w:rsidR="00BB1A14" w:rsidRPr="00E22444" w:rsidRDefault="00BB1A14" w:rsidP="00E22444">
            <w:pPr>
              <w:pStyle w:val="NoSpacing"/>
              <w:jc w:val="center"/>
              <w:rPr>
                <w:rFonts w:ascii="Times New Roman" w:hAnsi="Times New Roman" w:cs="Times New Roman"/>
                <w:sz w:val="16"/>
                <w:szCs w:val="16"/>
              </w:rPr>
            </w:pPr>
            <w:r w:rsidRPr="00E22444">
              <w:rPr>
                <w:rFonts w:ascii="Times New Roman" w:hAnsi="Times New Roman" w:cs="Times New Roman"/>
                <w:sz w:val="16"/>
                <w:szCs w:val="16"/>
              </w:rPr>
              <w:t>77.44</w:t>
            </w:r>
          </w:p>
        </w:tc>
        <w:tc>
          <w:tcPr>
            <w:tcW w:w="678" w:type="dxa"/>
            <w:vAlign w:val="center"/>
            <w:hideMark/>
          </w:tcPr>
          <w:p w14:paraId="2E63761A" w14:textId="77777777" w:rsidR="00BB1A14" w:rsidRPr="00E22444" w:rsidRDefault="00BB1A14" w:rsidP="00E22444">
            <w:pPr>
              <w:pStyle w:val="NoSpacing"/>
              <w:jc w:val="center"/>
              <w:rPr>
                <w:rFonts w:ascii="Times New Roman" w:hAnsi="Times New Roman" w:cs="Times New Roman"/>
                <w:sz w:val="16"/>
                <w:szCs w:val="16"/>
              </w:rPr>
            </w:pPr>
            <w:r w:rsidRPr="00E22444">
              <w:rPr>
                <w:rFonts w:ascii="Times New Roman" w:hAnsi="Times New Roman" w:cs="Times New Roman"/>
                <w:sz w:val="16"/>
                <w:szCs w:val="16"/>
              </w:rPr>
              <w:t>219.05</w:t>
            </w:r>
          </w:p>
        </w:tc>
        <w:tc>
          <w:tcPr>
            <w:tcW w:w="672" w:type="dxa"/>
            <w:vAlign w:val="center"/>
            <w:hideMark/>
          </w:tcPr>
          <w:p w14:paraId="38B6859C" w14:textId="77777777" w:rsidR="00BB1A14" w:rsidRPr="00E22444" w:rsidRDefault="00BB1A14" w:rsidP="00E22444">
            <w:pPr>
              <w:pStyle w:val="NoSpacing"/>
              <w:jc w:val="center"/>
              <w:rPr>
                <w:rFonts w:ascii="Times New Roman" w:hAnsi="Times New Roman" w:cs="Times New Roman"/>
                <w:sz w:val="16"/>
                <w:szCs w:val="16"/>
              </w:rPr>
            </w:pPr>
            <w:r w:rsidRPr="00E22444">
              <w:rPr>
                <w:rFonts w:ascii="Times New Roman" w:hAnsi="Times New Roman" w:cs="Times New Roman"/>
                <w:sz w:val="16"/>
                <w:szCs w:val="16"/>
              </w:rPr>
              <w:t>146.80</w:t>
            </w:r>
          </w:p>
        </w:tc>
        <w:tc>
          <w:tcPr>
            <w:tcW w:w="610" w:type="dxa"/>
            <w:vAlign w:val="center"/>
            <w:hideMark/>
          </w:tcPr>
          <w:p w14:paraId="4D30740F" w14:textId="77777777" w:rsidR="00BB1A14" w:rsidRPr="00C2102B" w:rsidRDefault="00BB1A14" w:rsidP="00E22444">
            <w:pPr>
              <w:pStyle w:val="NoSpacing"/>
              <w:jc w:val="center"/>
              <w:rPr>
                <w:rFonts w:ascii="Times New Roman" w:hAnsi="Times New Roman" w:cs="Times New Roman"/>
                <w:sz w:val="16"/>
                <w:szCs w:val="16"/>
              </w:rPr>
            </w:pPr>
            <w:r w:rsidRPr="00C2102B">
              <w:rPr>
                <w:rFonts w:ascii="Times New Roman" w:hAnsi="Times New Roman" w:cs="Times New Roman"/>
                <w:sz w:val="16"/>
                <w:szCs w:val="16"/>
              </w:rPr>
              <w:t>94.59</w:t>
            </w:r>
          </w:p>
        </w:tc>
        <w:tc>
          <w:tcPr>
            <w:tcW w:w="678" w:type="dxa"/>
            <w:vAlign w:val="center"/>
            <w:hideMark/>
          </w:tcPr>
          <w:p w14:paraId="56E13ABD" w14:textId="77777777" w:rsidR="00BB1A14" w:rsidRPr="00E22444" w:rsidRDefault="00BB1A14" w:rsidP="00E22444">
            <w:pPr>
              <w:pStyle w:val="NoSpacing"/>
              <w:jc w:val="center"/>
              <w:rPr>
                <w:rFonts w:ascii="Times New Roman" w:hAnsi="Times New Roman" w:cs="Times New Roman"/>
                <w:sz w:val="16"/>
                <w:szCs w:val="16"/>
              </w:rPr>
            </w:pPr>
            <w:r w:rsidRPr="00E22444">
              <w:rPr>
                <w:rFonts w:ascii="Times New Roman" w:hAnsi="Times New Roman" w:cs="Times New Roman"/>
                <w:sz w:val="16"/>
                <w:szCs w:val="16"/>
              </w:rPr>
              <w:t>241.39</w:t>
            </w:r>
          </w:p>
        </w:tc>
      </w:tr>
      <w:tr w:rsidR="00BB1A14" w:rsidRPr="00E22444" w14:paraId="2B89CAE8" w14:textId="77777777" w:rsidTr="00E22444">
        <w:trPr>
          <w:trHeight w:val="21"/>
          <w:jc w:val="center"/>
        </w:trPr>
        <w:tc>
          <w:tcPr>
            <w:tcW w:w="1164" w:type="dxa"/>
            <w:hideMark/>
          </w:tcPr>
          <w:p w14:paraId="5DC93DB1" w14:textId="77777777" w:rsidR="00BB1A14" w:rsidRPr="00E22444" w:rsidRDefault="00BB1A14" w:rsidP="00BB1A14">
            <w:pPr>
              <w:pStyle w:val="NoSpacing"/>
              <w:rPr>
                <w:rFonts w:ascii="Times New Roman" w:hAnsi="Times New Roman" w:cs="Times New Roman"/>
                <w:sz w:val="16"/>
                <w:szCs w:val="16"/>
              </w:rPr>
            </w:pPr>
            <w:r w:rsidRPr="00E22444">
              <w:rPr>
                <w:rFonts w:ascii="Times New Roman" w:hAnsi="Times New Roman" w:cs="Times New Roman"/>
                <w:sz w:val="16"/>
                <w:szCs w:val="16"/>
              </w:rPr>
              <w:t>10. Multipurpose River Schemes (Irrigation and Electricity Schemes)</w:t>
            </w:r>
          </w:p>
        </w:tc>
        <w:tc>
          <w:tcPr>
            <w:tcW w:w="677" w:type="dxa"/>
            <w:vAlign w:val="center"/>
            <w:hideMark/>
          </w:tcPr>
          <w:p w14:paraId="0C509728" w14:textId="77777777" w:rsidR="00BB1A14" w:rsidRPr="00E22444" w:rsidRDefault="00BB1A14" w:rsidP="00E22444">
            <w:pPr>
              <w:pStyle w:val="NoSpacing"/>
              <w:jc w:val="center"/>
              <w:rPr>
                <w:rFonts w:ascii="Times New Roman" w:hAnsi="Times New Roman" w:cs="Times New Roman"/>
                <w:sz w:val="16"/>
                <w:szCs w:val="16"/>
              </w:rPr>
            </w:pPr>
            <w:r w:rsidRPr="00E22444">
              <w:rPr>
                <w:rFonts w:ascii="Times New Roman" w:hAnsi="Times New Roman" w:cs="Times New Roman"/>
                <w:sz w:val="16"/>
                <w:szCs w:val="16"/>
              </w:rPr>
              <w:t>0.42</w:t>
            </w:r>
          </w:p>
        </w:tc>
        <w:tc>
          <w:tcPr>
            <w:tcW w:w="609" w:type="dxa"/>
            <w:vAlign w:val="center"/>
            <w:hideMark/>
          </w:tcPr>
          <w:p w14:paraId="0AC38392" w14:textId="77777777" w:rsidR="00BB1A14" w:rsidRPr="00E22444" w:rsidRDefault="00BB1A14" w:rsidP="00E22444">
            <w:pPr>
              <w:pStyle w:val="NoSpacing"/>
              <w:jc w:val="center"/>
              <w:rPr>
                <w:rFonts w:ascii="Times New Roman" w:hAnsi="Times New Roman" w:cs="Times New Roman"/>
                <w:sz w:val="16"/>
                <w:szCs w:val="16"/>
              </w:rPr>
            </w:pPr>
            <w:r w:rsidRPr="00E22444">
              <w:rPr>
                <w:rFonts w:ascii="Times New Roman" w:hAnsi="Times New Roman" w:cs="Times New Roman"/>
                <w:sz w:val="16"/>
                <w:szCs w:val="16"/>
              </w:rPr>
              <w:t>0.70</w:t>
            </w:r>
          </w:p>
        </w:tc>
        <w:tc>
          <w:tcPr>
            <w:tcW w:w="678" w:type="dxa"/>
            <w:vAlign w:val="center"/>
            <w:hideMark/>
          </w:tcPr>
          <w:p w14:paraId="099B27B2" w14:textId="77777777" w:rsidR="00BB1A14" w:rsidRPr="00E22444" w:rsidRDefault="00BB1A14" w:rsidP="00E22444">
            <w:pPr>
              <w:pStyle w:val="NoSpacing"/>
              <w:jc w:val="center"/>
              <w:rPr>
                <w:rFonts w:ascii="Times New Roman" w:hAnsi="Times New Roman" w:cs="Times New Roman"/>
                <w:sz w:val="16"/>
                <w:szCs w:val="16"/>
              </w:rPr>
            </w:pPr>
            <w:r w:rsidRPr="00E22444">
              <w:rPr>
                <w:rFonts w:ascii="Times New Roman" w:hAnsi="Times New Roman" w:cs="Times New Roman"/>
                <w:sz w:val="16"/>
                <w:szCs w:val="16"/>
              </w:rPr>
              <w:t>1.12</w:t>
            </w:r>
          </w:p>
        </w:tc>
        <w:tc>
          <w:tcPr>
            <w:tcW w:w="678" w:type="dxa"/>
            <w:vAlign w:val="center"/>
            <w:hideMark/>
          </w:tcPr>
          <w:p w14:paraId="204E9F39" w14:textId="77777777" w:rsidR="00BB1A14" w:rsidRPr="00E22444" w:rsidRDefault="00BB1A14" w:rsidP="00E22444">
            <w:pPr>
              <w:pStyle w:val="NoSpacing"/>
              <w:jc w:val="center"/>
              <w:rPr>
                <w:rFonts w:ascii="Times New Roman" w:hAnsi="Times New Roman" w:cs="Times New Roman"/>
                <w:sz w:val="16"/>
                <w:szCs w:val="16"/>
              </w:rPr>
            </w:pPr>
            <w:r w:rsidRPr="00E22444">
              <w:rPr>
                <w:rFonts w:ascii="Times New Roman" w:hAnsi="Times New Roman" w:cs="Times New Roman"/>
                <w:sz w:val="16"/>
                <w:szCs w:val="16"/>
              </w:rPr>
              <w:t>0.34</w:t>
            </w:r>
          </w:p>
        </w:tc>
        <w:tc>
          <w:tcPr>
            <w:tcW w:w="610" w:type="dxa"/>
            <w:vAlign w:val="center"/>
            <w:hideMark/>
          </w:tcPr>
          <w:p w14:paraId="033F1318" w14:textId="77777777" w:rsidR="00BB1A14" w:rsidRPr="00E22444" w:rsidRDefault="00BB1A14" w:rsidP="00E22444">
            <w:pPr>
              <w:pStyle w:val="NoSpacing"/>
              <w:jc w:val="center"/>
              <w:rPr>
                <w:rFonts w:ascii="Times New Roman" w:hAnsi="Times New Roman" w:cs="Times New Roman"/>
                <w:sz w:val="16"/>
                <w:szCs w:val="16"/>
              </w:rPr>
            </w:pPr>
            <w:r w:rsidRPr="00E22444">
              <w:rPr>
                <w:rFonts w:ascii="Times New Roman" w:hAnsi="Times New Roman" w:cs="Times New Roman"/>
                <w:sz w:val="16"/>
                <w:szCs w:val="16"/>
              </w:rPr>
              <w:t>0.94</w:t>
            </w:r>
          </w:p>
        </w:tc>
        <w:tc>
          <w:tcPr>
            <w:tcW w:w="678" w:type="dxa"/>
            <w:vAlign w:val="center"/>
            <w:hideMark/>
          </w:tcPr>
          <w:p w14:paraId="25CC3AD7" w14:textId="77777777" w:rsidR="00BB1A14" w:rsidRPr="00E22444" w:rsidRDefault="00BB1A14" w:rsidP="00E22444">
            <w:pPr>
              <w:pStyle w:val="NoSpacing"/>
              <w:jc w:val="center"/>
              <w:rPr>
                <w:rFonts w:ascii="Times New Roman" w:hAnsi="Times New Roman" w:cs="Times New Roman"/>
                <w:sz w:val="16"/>
                <w:szCs w:val="16"/>
              </w:rPr>
            </w:pPr>
            <w:r w:rsidRPr="00E22444">
              <w:rPr>
                <w:rFonts w:ascii="Times New Roman" w:hAnsi="Times New Roman" w:cs="Times New Roman"/>
                <w:sz w:val="16"/>
                <w:szCs w:val="16"/>
              </w:rPr>
              <w:t>1.28</w:t>
            </w:r>
          </w:p>
        </w:tc>
        <w:tc>
          <w:tcPr>
            <w:tcW w:w="678" w:type="dxa"/>
            <w:vAlign w:val="center"/>
            <w:hideMark/>
          </w:tcPr>
          <w:p w14:paraId="26FA09A6" w14:textId="77777777" w:rsidR="00BB1A14" w:rsidRPr="00E22444" w:rsidRDefault="00BB1A14" w:rsidP="00E22444">
            <w:pPr>
              <w:pStyle w:val="NoSpacing"/>
              <w:jc w:val="center"/>
              <w:rPr>
                <w:rFonts w:ascii="Times New Roman" w:hAnsi="Times New Roman" w:cs="Times New Roman"/>
                <w:sz w:val="16"/>
                <w:szCs w:val="16"/>
              </w:rPr>
            </w:pPr>
            <w:r w:rsidRPr="00E22444">
              <w:rPr>
                <w:rFonts w:ascii="Times New Roman" w:hAnsi="Times New Roman" w:cs="Times New Roman"/>
                <w:sz w:val="16"/>
                <w:szCs w:val="16"/>
              </w:rPr>
              <w:t>1.01</w:t>
            </w:r>
          </w:p>
        </w:tc>
        <w:tc>
          <w:tcPr>
            <w:tcW w:w="610" w:type="dxa"/>
            <w:vAlign w:val="center"/>
            <w:hideMark/>
          </w:tcPr>
          <w:p w14:paraId="6150F0FB" w14:textId="77777777" w:rsidR="00BB1A14" w:rsidRPr="00E22444" w:rsidRDefault="00BB1A14" w:rsidP="00E22444">
            <w:pPr>
              <w:pStyle w:val="NoSpacing"/>
              <w:jc w:val="center"/>
              <w:rPr>
                <w:rFonts w:ascii="Times New Roman" w:hAnsi="Times New Roman" w:cs="Times New Roman"/>
                <w:sz w:val="16"/>
                <w:szCs w:val="16"/>
              </w:rPr>
            </w:pPr>
            <w:r w:rsidRPr="00E22444">
              <w:rPr>
                <w:rFonts w:ascii="Times New Roman" w:hAnsi="Times New Roman" w:cs="Times New Roman"/>
                <w:sz w:val="16"/>
                <w:szCs w:val="16"/>
              </w:rPr>
              <w:t>1.03</w:t>
            </w:r>
          </w:p>
        </w:tc>
        <w:tc>
          <w:tcPr>
            <w:tcW w:w="678" w:type="dxa"/>
            <w:vAlign w:val="center"/>
            <w:hideMark/>
          </w:tcPr>
          <w:p w14:paraId="7939B88D" w14:textId="77777777" w:rsidR="00BB1A14" w:rsidRPr="00E22444" w:rsidRDefault="00BB1A14" w:rsidP="00E22444">
            <w:pPr>
              <w:pStyle w:val="NoSpacing"/>
              <w:jc w:val="center"/>
              <w:rPr>
                <w:rFonts w:ascii="Times New Roman" w:hAnsi="Times New Roman" w:cs="Times New Roman"/>
                <w:sz w:val="16"/>
                <w:szCs w:val="16"/>
              </w:rPr>
            </w:pPr>
            <w:r w:rsidRPr="00E22444">
              <w:rPr>
                <w:rFonts w:ascii="Times New Roman" w:hAnsi="Times New Roman" w:cs="Times New Roman"/>
                <w:sz w:val="16"/>
                <w:szCs w:val="16"/>
              </w:rPr>
              <w:t>2.04</w:t>
            </w:r>
          </w:p>
        </w:tc>
        <w:tc>
          <w:tcPr>
            <w:tcW w:w="678" w:type="dxa"/>
            <w:vAlign w:val="center"/>
            <w:hideMark/>
          </w:tcPr>
          <w:p w14:paraId="366A0497" w14:textId="77777777" w:rsidR="00BB1A14" w:rsidRPr="00E22444" w:rsidRDefault="00BB1A14" w:rsidP="00E22444">
            <w:pPr>
              <w:pStyle w:val="NoSpacing"/>
              <w:jc w:val="center"/>
              <w:rPr>
                <w:rFonts w:ascii="Times New Roman" w:hAnsi="Times New Roman" w:cs="Times New Roman"/>
                <w:sz w:val="16"/>
                <w:szCs w:val="16"/>
              </w:rPr>
            </w:pPr>
            <w:r w:rsidRPr="00E22444">
              <w:rPr>
                <w:rFonts w:ascii="Times New Roman" w:hAnsi="Times New Roman" w:cs="Times New Roman"/>
                <w:sz w:val="16"/>
                <w:szCs w:val="16"/>
              </w:rPr>
              <w:t>2.12</w:t>
            </w:r>
          </w:p>
        </w:tc>
        <w:tc>
          <w:tcPr>
            <w:tcW w:w="610" w:type="dxa"/>
            <w:vAlign w:val="center"/>
            <w:hideMark/>
          </w:tcPr>
          <w:p w14:paraId="1C3EE901" w14:textId="77777777" w:rsidR="00BB1A14" w:rsidRPr="00E22444" w:rsidRDefault="00BB1A14" w:rsidP="00E22444">
            <w:pPr>
              <w:pStyle w:val="NoSpacing"/>
              <w:jc w:val="center"/>
              <w:rPr>
                <w:rFonts w:ascii="Times New Roman" w:hAnsi="Times New Roman" w:cs="Times New Roman"/>
                <w:sz w:val="16"/>
                <w:szCs w:val="16"/>
              </w:rPr>
            </w:pPr>
            <w:r w:rsidRPr="00E22444">
              <w:rPr>
                <w:rFonts w:ascii="Times New Roman" w:hAnsi="Times New Roman" w:cs="Times New Roman"/>
                <w:sz w:val="16"/>
                <w:szCs w:val="16"/>
              </w:rPr>
              <w:t>1.22</w:t>
            </w:r>
          </w:p>
        </w:tc>
        <w:tc>
          <w:tcPr>
            <w:tcW w:w="678" w:type="dxa"/>
            <w:vAlign w:val="center"/>
            <w:hideMark/>
          </w:tcPr>
          <w:p w14:paraId="347D7E2A" w14:textId="77777777" w:rsidR="00BB1A14" w:rsidRPr="00E22444" w:rsidRDefault="00BB1A14" w:rsidP="00E22444">
            <w:pPr>
              <w:pStyle w:val="NoSpacing"/>
              <w:jc w:val="center"/>
              <w:rPr>
                <w:rFonts w:ascii="Times New Roman" w:hAnsi="Times New Roman" w:cs="Times New Roman"/>
                <w:sz w:val="16"/>
                <w:szCs w:val="16"/>
              </w:rPr>
            </w:pPr>
            <w:r w:rsidRPr="00E22444">
              <w:rPr>
                <w:rFonts w:ascii="Times New Roman" w:hAnsi="Times New Roman" w:cs="Times New Roman"/>
                <w:sz w:val="16"/>
                <w:szCs w:val="16"/>
              </w:rPr>
              <w:t>3.34</w:t>
            </w:r>
          </w:p>
        </w:tc>
        <w:tc>
          <w:tcPr>
            <w:tcW w:w="672" w:type="dxa"/>
            <w:vAlign w:val="center"/>
            <w:hideMark/>
          </w:tcPr>
          <w:p w14:paraId="4D5DF0F1" w14:textId="77777777" w:rsidR="00BB1A14" w:rsidRPr="00E22444" w:rsidRDefault="00BB1A14" w:rsidP="00E22444">
            <w:pPr>
              <w:pStyle w:val="NoSpacing"/>
              <w:jc w:val="center"/>
              <w:rPr>
                <w:rFonts w:ascii="Times New Roman" w:hAnsi="Times New Roman" w:cs="Times New Roman"/>
                <w:sz w:val="16"/>
                <w:szCs w:val="16"/>
              </w:rPr>
            </w:pPr>
            <w:r w:rsidRPr="00E22444">
              <w:rPr>
                <w:rFonts w:ascii="Times New Roman" w:hAnsi="Times New Roman" w:cs="Times New Roman"/>
                <w:sz w:val="16"/>
                <w:szCs w:val="16"/>
              </w:rPr>
              <w:t>1.18</w:t>
            </w:r>
          </w:p>
        </w:tc>
        <w:tc>
          <w:tcPr>
            <w:tcW w:w="610" w:type="dxa"/>
            <w:vAlign w:val="center"/>
            <w:hideMark/>
          </w:tcPr>
          <w:p w14:paraId="27F125AB" w14:textId="77777777" w:rsidR="00BB1A14" w:rsidRPr="00E22444" w:rsidRDefault="00BB1A14" w:rsidP="00E22444">
            <w:pPr>
              <w:pStyle w:val="NoSpacing"/>
              <w:jc w:val="center"/>
              <w:rPr>
                <w:rFonts w:ascii="Times New Roman" w:hAnsi="Times New Roman" w:cs="Times New Roman"/>
                <w:sz w:val="16"/>
                <w:szCs w:val="16"/>
              </w:rPr>
            </w:pPr>
            <w:r w:rsidRPr="00E22444">
              <w:rPr>
                <w:rFonts w:ascii="Times New Roman" w:hAnsi="Times New Roman" w:cs="Times New Roman"/>
                <w:sz w:val="16"/>
                <w:szCs w:val="16"/>
              </w:rPr>
              <w:t>1.77</w:t>
            </w:r>
          </w:p>
        </w:tc>
        <w:tc>
          <w:tcPr>
            <w:tcW w:w="678" w:type="dxa"/>
            <w:vAlign w:val="center"/>
            <w:hideMark/>
          </w:tcPr>
          <w:p w14:paraId="693EDBF9" w14:textId="77777777" w:rsidR="00BB1A14" w:rsidRPr="00E22444" w:rsidRDefault="00BB1A14" w:rsidP="00E22444">
            <w:pPr>
              <w:pStyle w:val="NoSpacing"/>
              <w:jc w:val="center"/>
              <w:rPr>
                <w:rFonts w:ascii="Times New Roman" w:hAnsi="Times New Roman" w:cs="Times New Roman"/>
                <w:sz w:val="16"/>
                <w:szCs w:val="16"/>
              </w:rPr>
            </w:pPr>
            <w:r w:rsidRPr="00E22444">
              <w:rPr>
                <w:rFonts w:ascii="Times New Roman" w:hAnsi="Times New Roman" w:cs="Times New Roman"/>
                <w:sz w:val="16"/>
                <w:szCs w:val="16"/>
              </w:rPr>
              <w:t>2.95</w:t>
            </w:r>
          </w:p>
        </w:tc>
      </w:tr>
      <w:tr w:rsidR="00BB1A14" w:rsidRPr="00E22444" w14:paraId="4D28A5CD" w14:textId="77777777" w:rsidTr="00E22444">
        <w:trPr>
          <w:trHeight w:val="21"/>
          <w:jc w:val="center"/>
        </w:trPr>
        <w:tc>
          <w:tcPr>
            <w:tcW w:w="1164" w:type="dxa"/>
            <w:hideMark/>
          </w:tcPr>
          <w:p w14:paraId="6039EBE3" w14:textId="77777777" w:rsidR="00BB1A14" w:rsidRPr="00E22444" w:rsidRDefault="00BB1A14" w:rsidP="00BB1A14">
            <w:pPr>
              <w:pStyle w:val="NoSpacing"/>
              <w:rPr>
                <w:rFonts w:ascii="Times New Roman" w:hAnsi="Times New Roman" w:cs="Times New Roman"/>
                <w:sz w:val="16"/>
                <w:szCs w:val="16"/>
              </w:rPr>
            </w:pPr>
            <w:r w:rsidRPr="00E22444">
              <w:rPr>
                <w:rFonts w:ascii="Times New Roman" w:hAnsi="Times New Roman" w:cs="Times New Roman"/>
                <w:sz w:val="16"/>
                <w:szCs w:val="16"/>
              </w:rPr>
              <w:t>11. Public Works (including roads and schemes of miscellaneous public improvements)</w:t>
            </w:r>
          </w:p>
        </w:tc>
        <w:tc>
          <w:tcPr>
            <w:tcW w:w="677" w:type="dxa"/>
            <w:vAlign w:val="center"/>
            <w:hideMark/>
          </w:tcPr>
          <w:p w14:paraId="291B59DA" w14:textId="77777777" w:rsidR="00BB1A14" w:rsidRPr="00E22444" w:rsidRDefault="00BB1A14" w:rsidP="00E22444">
            <w:pPr>
              <w:pStyle w:val="NoSpacing"/>
              <w:jc w:val="center"/>
              <w:rPr>
                <w:rFonts w:ascii="Times New Roman" w:hAnsi="Times New Roman" w:cs="Times New Roman"/>
                <w:sz w:val="16"/>
                <w:szCs w:val="16"/>
              </w:rPr>
            </w:pPr>
            <w:r w:rsidRPr="00E22444">
              <w:rPr>
                <w:rFonts w:ascii="Times New Roman" w:hAnsi="Times New Roman" w:cs="Times New Roman"/>
                <w:sz w:val="16"/>
                <w:szCs w:val="16"/>
              </w:rPr>
              <w:t>20.59</w:t>
            </w:r>
          </w:p>
        </w:tc>
        <w:tc>
          <w:tcPr>
            <w:tcW w:w="609" w:type="dxa"/>
            <w:vAlign w:val="center"/>
            <w:hideMark/>
          </w:tcPr>
          <w:p w14:paraId="1952D9BD" w14:textId="77777777" w:rsidR="00BB1A14" w:rsidRPr="00E22444" w:rsidRDefault="00BB1A14" w:rsidP="00E22444">
            <w:pPr>
              <w:pStyle w:val="NoSpacing"/>
              <w:jc w:val="center"/>
              <w:rPr>
                <w:rFonts w:ascii="Times New Roman" w:hAnsi="Times New Roman" w:cs="Times New Roman"/>
                <w:sz w:val="16"/>
                <w:szCs w:val="16"/>
              </w:rPr>
            </w:pPr>
            <w:r w:rsidRPr="00E22444">
              <w:rPr>
                <w:rFonts w:ascii="Times New Roman" w:hAnsi="Times New Roman" w:cs="Times New Roman"/>
                <w:sz w:val="16"/>
                <w:szCs w:val="16"/>
              </w:rPr>
              <w:t>0.30</w:t>
            </w:r>
          </w:p>
        </w:tc>
        <w:tc>
          <w:tcPr>
            <w:tcW w:w="678" w:type="dxa"/>
            <w:vAlign w:val="center"/>
            <w:hideMark/>
          </w:tcPr>
          <w:p w14:paraId="1A77DD76" w14:textId="77777777" w:rsidR="00BB1A14" w:rsidRPr="00E22444" w:rsidRDefault="00BB1A14" w:rsidP="00E22444">
            <w:pPr>
              <w:pStyle w:val="NoSpacing"/>
              <w:jc w:val="center"/>
              <w:rPr>
                <w:rFonts w:ascii="Times New Roman" w:hAnsi="Times New Roman" w:cs="Times New Roman"/>
                <w:sz w:val="16"/>
                <w:szCs w:val="16"/>
              </w:rPr>
            </w:pPr>
            <w:r w:rsidRPr="00E22444">
              <w:rPr>
                <w:rFonts w:ascii="Times New Roman" w:hAnsi="Times New Roman" w:cs="Times New Roman"/>
                <w:sz w:val="16"/>
                <w:szCs w:val="16"/>
              </w:rPr>
              <w:t>20.89</w:t>
            </w:r>
          </w:p>
        </w:tc>
        <w:tc>
          <w:tcPr>
            <w:tcW w:w="678" w:type="dxa"/>
            <w:vAlign w:val="center"/>
            <w:hideMark/>
          </w:tcPr>
          <w:p w14:paraId="0377BB62" w14:textId="77777777" w:rsidR="00BB1A14" w:rsidRPr="00E22444" w:rsidRDefault="00BB1A14" w:rsidP="00E22444">
            <w:pPr>
              <w:pStyle w:val="NoSpacing"/>
              <w:jc w:val="center"/>
              <w:rPr>
                <w:rFonts w:ascii="Times New Roman" w:hAnsi="Times New Roman" w:cs="Times New Roman"/>
                <w:sz w:val="16"/>
                <w:szCs w:val="16"/>
              </w:rPr>
            </w:pPr>
            <w:r w:rsidRPr="00E22444">
              <w:rPr>
                <w:rFonts w:ascii="Times New Roman" w:hAnsi="Times New Roman" w:cs="Times New Roman"/>
                <w:sz w:val="16"/>
                <w:szCs w:val="16"/>
              </w:rPr>
              <w:t>22.55</w:t>
            </w:r>
          </w:p>
        </w:tc>
        <w:tc>
          <w:tcPr>
            <w:tcW w:w="610" w:type="dxa"/>
            <w:vAlign w:val="center"/>
            <w:hideMark/>
          </w:tcPr>
          <w:p w14:paraId="235C44F8" w14:textId="77777777" w:rsidR="00BB1A14" w:rsidRPr="00E22444" w:rsidRDefault="00BB1A14" w:rsidP="00E22444">
            <w:pPr>
              <w:pStyle w:val="NoSpacing"/>
              <w:jc w:val="center"/>
              <w:rPr>
                <w:rFonts w:ascii="Times New Roman" w:hAnsi="Times New Roman" w:cs="Times New Roman"/>
                <w:sz w:val="16"/>
                <w:szCs w:val="16"/>
              </w:rPr>
            </w:pPr>
            <w:r w:rsidRPr="00E22444">
              <w:rPr>
                <w:rFonts w:ascii="Times New Roman" w:hAnsi="Times New Roman" w:cs="Times New Roman"/>
                <w:sz w:val="16"/>
                <w:szCs w:val="16"/>
              </w:rPr>
              <w:t>0.69</w:t>
            </w:r>
          </w:p>
        </w:tc>
        <w:tc>
          <w:tcPr>
            <w:tcW w:w="678" w:type="dxa"/>
            <w:vAlign w:val="center"/>
            <w:hideMark/>
          </w:tcPr>
          <w:p w14:paraId="25CE9192" w14:textId="77777777" w:rsidR="00BB1A14" w:rsidRPr="00E22444" w:rsidRDefault="00BB1A14" w:rsidP="00E22444">
            <w:pPr>
              <w:pStyle w:val="NoSpacing"/>
              <w:jc w:val="center"/>
              <w:rPr>
                <w:rFonts w:ascii="Times New Roman" w:hAnsi="Times New Roman" w:cs="Times New Roman"/>
                <w:sz w:val="16"/>
                <w:szCs w:val="16"/>
              </w:rPr>
            </w:pPr>
            <w:r w:rsidRPr="00E22444">
              <w:rPr>
                <w:rFonts w:ascii="Times New Roman" w:hAnsi="Times New Roman" w:cs="Times New Roman"/>
                <w:sz w:val="16"/>
                <w:szCs w:val="16"/>
              </w:rPr>
              <w:t>23.24</w:t>
            </w:r>
          </w:p>
        </w:tc>
        <w:tc>
          <w:tcPr>
            <w:tcW w:w="678" w:type="dxa"/>
            <w:vAlign w:val="center"/>
            <w:hideMark/>
          </w:tcPr>
          <w:p w14:paraId="00B35FB7" w14:textId="77777777" w:rsidR="00BB1A14" w:rsidRPr="00E22444" w:rsidRDefault="00BB1A14" w:rsidP="00E22444">
            <w:pPr>
              <w:pStyle w:val="NoSpacing"/>
              <w:jc w:val="center"/>
              <w:rPr>
                <w:rFonts w:ascii="Times New Roman" w:hAnsi="Times New Roman" w:cs="Times New Roman"/>
                <w:sz w:val="16"/>
                <w:szCs w:val="16"/>
              </w:rPr>
            </w:pPr>
            <w:r w:rsidRPr="00E22444">
              <w:rPr>
                <w:rFonts w:ascii="Times New Roman" w:hAnsi="Times New Roman" w:cs="Times New Roman"/>
                <w:sz w:val="16"/>
                <w:szCs w:val="16"/>
              </w:rPr>
              <w:t>25.13</w:t>
            </w:r>
          </w:p>
        </w:tc>
        <w:tc>
          <w:tcPr>
            <w:tcW w:w="610" w:type="dxa"/>
            <w:vAlign w:val="center"/>
            <w:hideMark/>
          </w:tcPr>
          <w:p w14:paraId="7C6BA281" w14:textId="77777777" w:rsidR="00BB1A14" w:rsidRPr="00E22444" w:rsidRDefault="00BB1A14" w:rsidP="00E22444">
            <w:pPr>
              <w:pStyle w:val="NoSpacing"/>
              <w:jc w:val="center"/>
              <w:rPr>
                <w:rFonts w:ascii="Times New Roman" w:hAnsi="Times New Roman" w:cs="Times New Roman"/>
                <w:sz w:val="16"/>
                <w:szCs w:val="16"/>
              </w:rPr>
            </w:pPr>
            <w:r w:rsidRPr="00E22444">
              <w:rPr>
                <w:rFonts w:ascii="Times New Roman" w:hAnsi="Times New Roman" w:cs="Times New Roman"/>
                <w:sz w:val="16"/>
                <w:szCs w:val="16"/>
              </w:rPr>
              <w:t>1.37</w:t>
            </w:r>
          </w:p>
        </w:tc>
        <w:tc>
          <w:tcPr>
            <w:tcW w:w="678" w:type="dxa"/>
            <w:vAlign w:val="center"/>
            <w:hideMark/>
          </w:tcPr>
          <w:p w14:paraId="48462374" w14:textId="77777777" w:rsidR="00BB1A14" w:rsidRPr="00E22444" w:rsidRDefault="00BB1A14" w:rsidP="00E22444">
            <w:pPr>
              <w:pStyle w:val="NoSpacing"/>
              <w:jc w:val="center"/>
              <w:rPr>
                <w:rFonts w:ascii="Times New Roman" w:hAnsi="Times New Roman" w:cs="Times New Roman"/>
                <w:sz w:val="16"/>
                <w:szCs w:val="16"/>
              </w:rPr>
            </w:pPr>
            <w:r w:rsidRPr="00E22444">
              <w:rPr>
                <w:rFonts w:ascii="Times New Roman" w:hAnsi="Times New Roman" w:cs="Times New Roman"/>
                <w:sz w:val="16"/>
                <w:szCs w:val="16"/>
              </w:rPr>
              <w:t>26.50</w:t>
            </w:r>
          </w:p>
        </w:tc>
        <w:tc>
          <w:tcPr>
            <w:tcW w:w="678" w:type="dxa"/>
            <w:vAlign w:val="center"/>
            <w:hideMark/>
          </w:tcPr>
          <w:p w14:paraId="45CAF06F" w14:textId="77777777" w:rsidR="00BB1A14" w:rsidRPr="00E22444" w:rsidRDefault="00BB1A14" w:rsidP="00E22444">
            <w:pPr>
              <w:pStyle w:val="NoSpacing"/>
              <w:jc w:val="center"/>
              <w:rPr>
                <w:rFonts w:ascii="Times New Roman" w:hAnsi="Times New Roman" w:cs="Times New Roman"/>
                <w:sz w:val="16"/>
                <w:szCs w:val="16"/>
              </w:rPr>
            </w:pPr>
            <w:r w:rsidRPr="00E22444">
              <w:rPr>
                <w:rFonts w:ascii="Times New Roman" w:hAnsi="Times New Roman" w:cs="Times New Roman"/>
                <w:sz w:val="16"/>
                <w:szCs w:val="16"/>
              </w:rPr>
              <w:t>22.74</w:t>
            </w:r>
          </w:p>
        </w:tc>
        <w:tc>
          <w:tcPr>
            <w:tcW w:w="610" w:type="dxa"/>
            <w:vAlign w:val="center"/>
            <w:hideMark/>
          </w:tcPr>
          <w:p w14:paraId="15769D41" w14:textId="77777777" w:rsidR="00BB1A14" w:rsidRPr="00E22444" w:rsidRDefault="00BB1A14" w:rsidP="00E22444">
            <w:pPr>
              <w:pStyle w:val="NoSpacing"/>
              <w:jc w:val="center"/>
              <w:rPr>
                <w:rFonts w:ascii="Times New Roman" w:hAnsi="Times New Roman" w:cs="Times New Roman"/>
                <w:sz w:val="16"/>
                <w:szCs w:val="16"/>
              </w:rPr>
            </w:pPr>
            <w:r w:rsidRPr="00E22444">
              <w:rPr>
                <w:rFonts w:ascii="Times New Roman" w:hAnsi="Times New Roman" w:cs="Times New Roman"/>
                <w:sz w:val="16"/>
                <w:szCs w:val="16"/>
              </w:rPr>
              <w:t>1.13</w:t>
            </w:r>
          </w:p>
        </w:tc>
        <w:tc>
          <w:tcPr>
            <w:tcW w:w="678" w:type="dxa"/>
            <w:vAlign w:val="center"/>
            <w:hideMark/>
          </w:tcPr>
          <w:p w14:paraId="027B92AB" w14:textId="77777777" w:rsidR="00BB1A14" w:rsidRPr="00E22444" w:rsidRDefault="00BB1A14" w:rsidP="00E22444">
            <w:pPr>
              <w:pStyle w:val="NoSpacing"/>
              <w:jc w:val="center"/>
              <w:rPr>
                <w:rFonts w:ascii="Times New Roman" w:hAnsi="Times New Roman" w:cs="Times New Roman"/>
                <w:sz w:val="16"/>
                <w:szCs w:val="16"/>
              </w:rPr>
            </w:pPr>
            <w:r w:rsidRPr="00E22444">
              <w:rPr>
                <w:rFonts w:ascii="Times New Roman" w:hAnsi="Times New Roman" w:cs="Times New Roman"/>
                <w:sz w:val="16"/>
                <w:szCs w:val="16"/>
              </w:rPr>
              <w:t>23.87</w:t>
            </w:r>
          </w:p>
        </w:tc>
        <w:tc>
          <w:tcPr>
            <w:tcW w:w="672" w:type="dxa"/>
            <w:vAlign w:val="center"/>
            <w:hideMark/>
          </w:tcPr>
          <w:p w14:paraId="59B66B9B" w14:textId="77777777" w:rsidR="00BB1A14" w:rsidRPr="00E22444" w:rsidRDefault="00BB1A14" w:rsidP="00E22444">
            <w:pPr>
              <w:pStyle w:val="NoSpacing"/>
              <w:jc w:val="center"/>
              <w:rPr>
                <w:rFonts w:ascii="Times New Roman" w:hAnsi="Times New Roman" w:cs="Times New Roman"/>
                <w:sz w:val="16"/>
                <w:szCs w:val="16"/>
              </w:rPr>
            </w:pPr>
            <w:r w:rsidRPr="00E22444">
              <w:rPr>
                <w:rFonts w:ascii="Times New Roman" w:hAnsi="Times New Roman" w:cs="Times New Roman"/>
                <w:sz w:val="16"/>
                <w:szCs w:val="16"/>
              </w:rPr>
              <w:t>34.94</w:t>
            </w:r>
          </w:p>
        </w:tc>
        <w:tc>
          <w:tcPr>
            <w:tcW w:w="610" w:type="dxa"/>
            <w:vAlign w:val="center"/>
            <w:hideMark/>
          </w:tcPr>
          <w:p w14:paraId="464B1012" w14:textId="77777777" w:rsidR="00BB1A14" w:rsidRPr="00E22444" w:rsidRDefault="00BB1A14" w:rsidP="00E22444">
            <w:pPr>
              <w:pStyle w:val="NoSpacing"/>
              <w:jc w:val="center"/>
              <w:rPr>
                <w:rFonts w:ascii="Times New Roman" w:hAnsi="Times New Roman" w:cs="Times New Roman"/>
                <w:sz w:val="16"/>
                <w:szCs w:val="16"/>
              </w:rPr>
            </w:pPr>
            <w:r w:rsidRPr="00E22444">
              <w:rPr>
                <w:rFonts w:ascii="Times New Roman" w:hAnsi="Times New Roman" w:cs="Times New Roman"/>
                <w:sz w:val="16"/>
                <w:szCs w:val="16"/>
              </w:rPr>
              <w:t>1.45</w:t>
            </w:r>
          </w:p>
        </w:tc>
        <w:tc>
          <w:tcPr>
            <w:tcW w:w="678" w:type="dxa"/>
            <w:vAlign w:val="center"/>
            <w:hideMark/>
          </w:tcPr>
          <w:p w14:paraId="48B46F8F" w14:textId="77777777" w:rsidR="00BB1A14" w:rsidRPr="00E22444" w:rsidRDefault="00BB1A14" w:rsidP="00E22444">
            <w:pPr>
              <w:pStyle w:val="NoSpacing"/>
              <w:jc w:val="center"/>
              <w:rPr>
                <w:rFonts w:ascii="Times New Roman" w:hAnsi="Times New Roman" w:cs="Times New Roman"/>
                <w:sz w:val="16"/>
                <w:szCs w:val="16"/>
              </w:rPr>
            </w:pPr>
            <w:r w:rsidRPr="00E22444">
              <w:rPr>
                <w:rFonts w:ascii="Times New Roman" w:hAnsi="Times New Roman" w:cs="Times New Roman"/>
                <w:sz w:val="16"/>
                <w:szCs w:val="16"/>
              </w:rPr>
              <w:t>36.39</w:t>
            </w:r>
          </w:p>
        </w:tc>
      </w:tr>
      <w:tr w:rsidR="00BB1A14" w:rsidRPr="00E22444" w14:paraId="65B332A7" w14:textId="77777777" w:rsidTr="00E22444">
        <w:trPr>
          <w:trHeight w:val="21"/>
          <w:jc w:val="center"/>
        </w:trPr>
        <w:tc>
          <w:tcPr>
            <w:tcW w:w="1164" w:type="dxa"/>
            <w:hideMark/>
          </w:tcPr>
          <w:p w14:paraId="2B6D960C" w14:textId="77777777" w:rsidR="00BB1A14" w:rsidRPr="00E22444" w:rsidRDefault="00BB1A14" w:rsidP="00BB1A14">
            <w:pPr>
              <w:pStyle w:val="NoSpacing"/>
              <w:rPr>
                <w:rFonts w:ascii="Times New Roman" w:hAnsi="Times New Roman" w:cs="Times New Roman"/>
                <w:sz w:val="16"/>
                <w:szCs w:val="16"/>
              </w:rPr>
            </w:pPr>
            <w:r w:rsidRPr="00E22444">
              <w:rPr>
                <w:rFonts w:ascii="Times New Roman" w:hAnsi="Times New Roman" w:cs="Times New Roman"/>
                <w:sz w:val="16"/>
                <w:szCs w:val="16"/>
              </w:rPr>
              <w:t>12. Transport and Communications</w:t>
            </w:r>
          </w:p>
        </w:tc>
        <w:tc>
          <w:tcPr>
            <w:tcW w:w="677" w:type="dxa"/>
            <w:vAlign w:val="center"/>
            <w:hideMark/>
          </w:tcPr>
          <w:p w14:paraId="26220568" w14:textId="77777777" w:rsidR="00BB1A14" w:rsidRPr="00E22444" w:rsidRDefault="00BB1A14" w:rsidP="00E22444">
            <w:pPr>
              <w:pStyle w:val="NoSpacing"/>
              <w:jc w:val="center"/>
              <w:rPr>
                <w:rFonts w:ascii="Times New Roman" w:hAnsi="Times New Roman" w:cs="Times New Roman"/>
                <w:sz w:val="16"/>
                <w:szCs w:val="16"/>
              </w:rPr>
            </w:pPr>
            <w:r w:rsidRPr="00E22444">
              <w:rPr>
                <w:rFonts w:ascii="Times New Roman" w:hAnsi="Times New Roman" w:cs="Times New Roman"/>
                <w:sz w:val="16"/>
                <w:szCs w:val="16"/>
              </w:rPr>
              <w:t>10.29</w:t>
            </w:r>
          </w:p>
        </w:tc>
        <w:tc>
          <w:tcPr>
            <w:tcW w:w="609" w:type="dxa"/>
            <w:vAlign w:val="center"/>
            <w:hideMark/>
          </w:tcPr>
          <w:p w14:paraId="02361F5B" w14:textId="77777777" w:rsidR="00BB1A14" w:rsidRPr="00E22444" w:rsidRDefault="00BB1A14" w:rsidP="00E22444">
            <w:pPr>
              <w:pStyle w:val="NoSpacing"/>
              <w:jc w:val="center"/>
              <w:rPr>
                <w:rFonts w:ascii="Times New Roman" w:hAnsi="Times New Roman" w:cs="Times New Roman"/>
                <w:sz w:val="16"/>
                <w:szCs w:val="16"/>
              </w:rPr>
            </w:pPr>
            <w:r w:rsidRPr="00E22444">
              <w:rPr>
                <w:rFonts w:ascii="Times New Roman" w:hAnsi="Times New Roman" w:cs="Times New Roman"/>
                <w:sz w:val="16"/>
                <w:szCs w:val="16"/>
              </w:rPr>
              <w:t>0.37</w:t>
            </w:r>
          </w:p>
        </w:tc>
        <w:tc>
          <w:tcPr>
            <w:tcW w:w="678" w:type="dxa"/>
            <w:vAlign w:val="center"/>
            <w:hideMark/>
          </w:tcPr>
          <w:p w14:paraId="715D9EDA" w14:textId="77777777" w:rsidR="00BB1A14" w:rsidRPr="00E22444" w:rsidRDefault="00BB1A14" w:rsidP="00E22444">
            <w:pPr>
              <w:pStyle w:val="NoSpacing"/>
              <w:jc w:val="center"/>
              <w:rPr>
                <w:rFonts w:ascii="Times New Roman" w:hAnsi="Times New Roman" w:cs="Times New Roman"/>
                <w:sz w:val="16"/>
                <w:szCs w:val="16"/>
              </w:rPr>
            </w:pPr>
            <w:r w:rsidRPr="00E22444">
              <w:rPr>
                <w:rFonts w:ascii="Times New Roman" w:hAnsi="Times New Roman" w:cs="Times New Roman"/>
                <w:sz w:val="16"/>
                <w:szCs w:val="16"/>
              </w:rPr>
              <w:t>10.66</w:t>
            </w:r>
          </w:p>
        </w:tc>
        <w:tc>
          <w:tcPr>
            <w:tcW w:w="678" w:type="dxa"/>
            <w:vAlign w:val="center"/>
            <w:hideMark/>
          </w:tcPr>
          <w:p w14:paraId="2FA40543" w14:textId="77777777" w:rsidR="00BB1A14" w:rsidRPr="00E22444" w:rsidRDefault="00BB1A14" w:rsidP="00E22444">
            <w:pPr>
              <w:pStyle w:val="NoSpacing"/>
              <w:jc w:val="center"/>
              <w:rPr>
                <w:rFonts w:ascii="Times New Roman" w:hAnsi="Times New Roman" w:cs="Times New Roman"/>
                <w:sz w:val="16"/>
                <w:szCs w:val="16"/>
              </w:rPr>
            </w:pPr>
            <w:r w:rsidRPr="00E22444">
              <w:rPr>
                <w:rFonts w:ascii="Times New Roman" w:hAnsi="Times New Roman" w:cs="Times New Roman"/>
                <w:sz w:val="16"/>
                <w:szCs w:val="16"/>
              </w:rPr>
              <w:t>10.44</w:t>
            </w:r>
          </w:p>
        </w:tc>
        <w:tc>
          <w:tcPr>
            <w:tcW w:w="610" w:type="dxa"/>
            <w:vAlign w:val="center"/>
            <w:hideMark/>
          </w:tcPr>
          <w:p w14:paraId="426AB3AE" w14:textId="77777777" w:rsidR="00BB1A14" w:rsidRPr="00E22444" w:rsidRDefault="00BB1A14" w:rsidP="00E22444">
            <w:pPr>
              <w:pStyle w:val="NoSpacing"/>
              <w:jc w:val="center"/>
              <w:rPr>
                <w:rFonts w:ascii="Times New Roman" w:hAnsi="Times New Roman" w:cs="Times New Roman"/>
                <w:sz w:val="16"/>
                <w:szCs w:val="16"/>
              </w:rPr>
            </w:pPr>
            <w:r w:rsidRPr="00E22444">
              <w:rPr>
                <w:rFonts w:ascii="Times New Roman" w:hAnsi="Times New Roman" w:cs="Times New Roman"/>
                <w:sz w:val="16"/>
                <w:szCs w:val="16"/>
              </w:rPr>
              <w:t>0.63</w:t>
            </w:r>
          </w:p>
        </w:tc>
        <w:tc>
          <w:tcPr>
            <w:tcW w:w="678" w:type="dxa"/>
            <w:vAlign w:val="center"/>
            <w:hideMark/>
          </w:tcPr>
          <w:p w14:paraId="127BF9F9" w14:textId="77777777" w:rsidR="00BB1A14" w:rsidRPr="00E22444" w:rsidRDefault="00BB1A14" w:rsidP="00E22444">
            <w:pPr>
              <w:pStyle w:val="NoSpacing"/>
              <w:jc w:val="center"/>
              <w:rPr>
                <w:rFonts w:ascii="Times New Roman" w:hAnsi="Times New Roman" w:cs="Times New Roman"/>
                <w:sz w:val="16"/>
                <w:szCs w:val="16"/>
              </w:rPr>
            </w:pPr>
            <w:r w:rsidRPr="00E22444">
              <w:rPr>
                <w:rFonts w:ascii="Times New Roman" w:hAnsi="Times New Roman" w:cs="Times New Roman"/>
                <w:sz w:val="16"/>
                <w:szCs w:val="16"/>
              </w:rPr>
              <w:t>11.07</w:t>
            </w:r>
          </w:p>
        </w:tc>
        <w:tc>
          <w:tcPr>
            <w:tcW w:w="678" w:type="dxa"/>
            <w:vAlign w:val="center"/>
            <w:hideMark/>
          </w:tcPr>
          <w:p w14:paraId="39317E2E" w14:textId="77777777" w:rsidR="00BB1A14" w:rsidRPr="00E22444" w:rsidRDefault="00BB1A14" w:rsidP="00E22444">
            <w:pPr>
              <w:pStyle w:val="NoSpacing"/>
              <w:jc w:val="center"/>
              <w:rPr>
                <w:rFonts w:ascii="Times New Roman" w:hAnsi="Times New Roman" w:cs="Times New Roman"/>
                <w:sz w:val="16"/>
                <w:szCs w:val="16"/>
              </w:rPr>
            </w:pPr>
            <w:r w:rsidRPr="00E22444">
              <w:rPr>
                <w:rFonts w:ascii="Times New Roman" w:hAnsi="Times New Roman" w:cs="Times New Roman"/>
                <w:sz w:val="16"/>
                <w:szCs w:val="16"/>
              </w:rPr>
              <w:t>11.64</w:t>
            </w:r>
          </w:p>
        </w:tc>
        <w:tc>
          <w:tcPr>
            <w:tcW w:w="610" w:type="dxa"/>
            <w:vAlign w:val="center"/>
            <w:hideMark/>
          </w:tcPr>
          <w:p w14:paraId="3AC27172" w14:textId="77777777" w:rsidR="00BB1A14" w:rsidRPr="00E22444" w:rsidRDefault="00BB1A14" w:rsidP="00E22444">
            <w:pPr>
              <w:pStyle w:val="NoSpacing"/>
              <w:jc w:val="center"/>
              <w:rPr>
                <w:rFonts w:ascii="Times New Roman" w:hAnsi="Times New Roman" w:cs="Times New Roman"/>
                <w:sz w:val="16"/>
                <w:szCs w:val="16"/>
              </w:rPr>
            </w:pPr>
            <w:r w:rsidRPr="00E22444">
              <w:rPr>
                <w:rFonts w:ascii="Times New Roman" w:hAnsi="Times New Roman" w:cs="Times New Roman"/>
                <w:sz w:val="16"/>
                <w:szCs w:val="16"/>
              </w:rPr>
              <w:t>0.65</w:t>
            </w:r>
          </w:p>
        </w:tc>
        <w:tc>
          <w:tcPr>
            <w:tcW w:w="678" w:type="dxa"/>
            <w:vAlign w:val="center"/>
            <w:hideMark/>
          </w:tcPr>
          <w:p w14:paraId="5086E7DF" w14:textId="77777777" w:rsidR="00BB1A14" w:rsidRPr="00E22444" w:rsidRDefault="00BB1A14" w:rsidP="00E22444">
            <w:pPr>
              <w:pStyle w:val="NoSpacing"/>
              <w:jc w:val="center"/>
              <w:rPr>
                <w:rFonts w:ascii="Times New Roman" w:hAnsi="Times New Roman" w:cs="Times New Roman"/>
                <w:sz w:val="16"/>
                <w:szCs w:val="16"/>
              </w:rPr>
            </w:pPr>
            <w:r w:rsidRPr="00E22444">
              <w:rPr>
                <w:rFonts w:ascii="Times New Roman" w:hAnsi="Times New Roman" w:cs="Times New Roman"/>
                <w:sz w:val="16"/>
                <w:szCs w:val="16"/>
              </w:rPr>
              <w:t>12.29</w:t>
            </w:r>
          </w:p>
        </w:tc>
        <w:tc>
          <w:tcPr>
            <w:tcW w:w="678" w:type="dxa"/>
            <w:vAlign w:val="center"/>
            <w:hideMark/>
          </w:tcPr>
          <w:p w14:paraId="627A3E76" w14:textId="77777777" w:rsidR="00BB1A14" w:rsidRPr="00E22444" w:rsidRDefault="00BB1A14" w:rsidP="00E22444">
            <w:pPr>
              <w:pStyle w:val="NoSpacing"/>
              <w:jc w:val="center"/>
              <w:rPr>
                <w:rFonts w:ascii="Times New Roman" w:hAnsi="Times New Roman" w:cs="Times New Roman"/>
                <w:sz w:val="16"/>
                <w:szCs w:val="16"/>
              </w:rPr>
            </w:pPr>
            <w:r w:rsidRPr="00E22444">
              <w:rPr>
                <w:rFonts w:ascii="Times New Roman" w:hAnsi="Times New Roman" w:cs="Times New Roman"/>
                <w:sz w:val="16"/>
                <w:szCs w:val="16"/>
              </w:rPr>
              <w:t>14.81</w:t>
            </w:r>
          </w:p>
        </w:tc>
        <w:tc>
          <w:tcPr>
            <w:tcW w:w="610" w:type="dxa"/>
            <w:vAlign w:val="center"/>
            <w:hideMark/>
          </w:tcPr>
          <w:p w14:paraId="06BB16A7" w14:textId="77777777" w:rsidR="00BB1A14" w:rsidRPr="00E22444" w:rsidRDefault="00BB1A14" w:rsidP="00E22444">
            <w:pPr>
              <w:pStyle w:val="NoSpacing"/>
              <w:jc w:val="center"/>
              <w:rPr>
                <w:rFonts w:ascii="Times New Roman" w:hAnsi="Times New Roman" w:cs="Times New Roman"/>
                <w:sz w:val="16"/>
                <w:szCs w:val="16"/>
              </w:rPr>
            </w:pPr>
            <w:r w:rsidRPr="00E22444">
              <w:rPr>
                <w:rFonts w:ascii="Times New Roman" w:hAnsi="Times New Roman" w:cs="Times New Roman"/>
                <w:sz w:val="16"/>
                <w:szCs w:val="16"/>
              </w:rPr>
              <w:t>1.43</w:t>
            </w:r>
          </w:p>
        </w:tc>
        <w:tc>
          <w:tcPr>
            <w:tcW w:w="678" w:type="dxa"/>
            <w:vAlign w:val="center"/>
            <w:hideMark/>
          </w:tcPr>
          <w:p w14:paraId="5260B9B7" w14:textId="77777777" w:rsidR="00BB1A14" w:rsidRPr="00E22444" w:rsidRDefault="00BB1A14" w:rsidP="00E22444">
            <w:pPr>
              <w:pStyle w:val="NoSpacing"/>
              <w:jc w:val="center"/>
              <w:rPr>
                <w:rFonts w:ascii="Times New Roman" w:hAnsi="Times New Roman" w:cs="Times New Roman"/>
                <w:sz w:val="16"/>
                <w:szCs w:val="16"/>
              </w:rPr>
            </w:pPr>
            <w:r w:rsidRPr="00E22444">
              <w:rPr>
                <w:rFonts w:ascii="Times New Roman" w:hAnsi="Times New Roman" w:cs="Times New Roman"/>
                <w:sz w:val="16"/>
                <w:szCs w:val="16"/>
              </w:rPr>
              <w:t>16.24</w:t>
            </w:r>
          </w:p>
        </w:tc>
        <w:tc>
          <w:tcPr>
            <w:tcW w:w="672" w:type="dxa"/>
            <w:vAlign w:val="center"/>
            <w:hideMark/>
          </w:tcPr>
          <w:p w14:paraId="63C19265" w14:textId="77777777" w:rsidR="00BB1A14" w:rsidRPr="00E22444" w:rsidRDefault="00BB1A14" w:rsidP="00E22444">
            <w:pPr>
              <w:pStyle w:val="NoSpacing"/>
              <w:jc w:val="center"/>
              <w:rPr>
                <w:rFonts w:ascii="Times New Roman" w:hAnsi="Times New Roman" w:cs="Times New Roman"/>
                <w:sz w:val="16"/>
                <w:szCs w:val="16"/>
              </w:rPr>
            </w:pPr>
            <w:r w:rsidRPr="00E22444">
              <w:rPr>
                <w:rFonts w:ascii="Times New Roman" w:hAnsi="Times New Roman" w:cs="Times New Roman"/>
                <w:sz w:val="16"/>
                <w:szCs w:val="16"/>
              </w:rPr>
              <w:t>13.20</w:t>
            </w:r>
          </w:p>
        </w:tc>
        <w:tc>
          <w:tcPr>
            <w:tcW w:w="610" w:type="dxa"/>
            <w:vAlign w:val="center"/>
            <w:hideMark/>
          </w:tcPr>
          <w:p w14:paraId="141A22A2" w14:textId="77777777" w:rsidR="00BB1A14" w:rsidRPr="00E22444" w:rsidRDefault="00BB1A14" w:rsidP="00E22444">
            <w:pPr>
              <w:pStyle w:val="NoSpacing"/>
              <w:jc w:val="center"/>
              <w:rPr>
                <w:rFonts w:ascii="Times New Roman" w:hAnsi="Times New Roman" w:cs="Times New Roman"/>
                <w:sz w:val="16"/>
                <w:szCs w:val="16"/>
              </w:rPr>
            </w:pPr>
            <w:r w:rsidRPr="00E22444">
              <w:rPr>
                <w:rFonts w:ascii="Times New Roman" w:hAnsi="Times New Roman" w:cs="Times New Roman"/>
                <w:sz w:val="16"/>
                <w:szCs w:val="16"/>
              </w:rPr>
              <w:t>1.28</w:t>
            </w:r>
          </w:p>
        </w:tc>
        <w:tc>
          <w:tcPr>
            <w:tcW w:w="678" w:type="dxa"/>
            <w:vAlign w:val="center"/>
            <w:hideMark/>
          </w:tcPr>
          <w:p w14:paraId="49AF5095" w14:textId="77777777" w:rsidR="00BB1A14" w:rsidRPr="00E22444" w:rsidRDefault="00BB1A14" w:rsidP="00E22444">
            <w:pPr>
              <w:pStyle w:val="NoSpacing"/>
              <w:jc w:val="center"/>
              <w:rPr>
                <w:rFonts w:ascii="Times New Roman" w:hAnsi="Times New Roman" w:cs="Times New Roman"/>
                <w:sz w:val="16"/>
                <w:szCs w:val="16"/>
              </w:rPr>
            </w:pPr>
            <w:r w:rsidRPr="00E22444">
              <w:rPr>
                <w:rFonts w:ascii="Times New Roman" w:hAnsi="Times New Roman" w:cs="Times New Roman"/>
                <w:sz w:val="16"/>
                <w:szCs w:val="16"/>
              </w:rPr>
              <w:t>14.48</w:t>
            </w:r>
          </w:p>
        </w:tc>
      </w:tr>
      <w:tr w:rsidR="00BB1A14" w:rsidRPr="00E22444" w14:paraId="7450094D" w14:textId="77777777" w:rsidTr="00E22444">
        <w:trPr>
          <w:trHeight w:val="21"/>
          <w:jc w:val="center"/>
        </w:trPr>
        <w:tc>
          <w:tcPr>
            <w:tcW w:w="1164" w:type="dxa"/>
            <w:hideMark/>
          </w:tcPr>
          <w:p w14:paraId="26AB184C" w14:textId="77777777" w:rsidR="00BB1A14" w:rsidRPr="00E22444" w:rsidRDefault="00BB1A14" w:rsidP="00BB1A14">
            <w:pPr>
              <w:pStyle w:val="NoSpacing"/>
              <w:rPr>
                <w:rFonts w:ascii="Times New Roman" w:hAnsi="Times New Roman" w:cs="Times New Roman"/>
                <w:sz w:val="16"/>
                <w:szCs w:val="16"/>
              </w:rPr>
            </w:pPr>
            <w:r w:rsidRPr="00E22444">
              <w:rPr>
                <w:rFonts w:ascii="Times New Roman" w:hAnsi="Times New Roman" w:cs="Times New Roman"/>
                <w:sz w:val="16"/>
                <w:szCs w:val="16"/>
              </w:rPr>
              <w:t>13. Currency and Mint</w:t>
            </w:r>
          </w:p>
        </w:tc>
        <w:tc>
          <w:tcPr>
            <w:tcW w:w="677" w:type="dxa"/>
            <w:vAlign w:val="center"/>
            <w:hideMark/>
          </w:tcPr>
          <w:p w14:paraId="0CCFD71B" w14:textId="77777777" w:rsidR="00BB1A14" w:rsidRPr="00E22444" w:rsidRDefault="00BB1A14" w:rsidP="00E22444">
            <w:pPr>
              <w:pStyle w:val="NoSpacing"/>
              <w:jc w:val="center"/>
              <w:rPr>
                <w:rFonts w:ascii="Times New Roman" w:hAnsi="Times New Roman" w:cs="Times New Roman"/>
                <w:sz w:val="16"/>
                <w:szCs w:val="16"/>
              </w:rPr>
            </w:pPr>
            <w:r w:rsidRPr="00E22444">
              <w:rPr>
                <w:rFonts w:ascii="Times New Roman" w:hAnsi="Times New Roman" w:cs="Times New Roman"/>
                <w:sz w:val="16"/>
                <w:szCs w:val="16"/>
              </w:rPr>
              <w:t>14.66</w:t>
            </w:r>
          </w:p>
        </w:tc>
        <w:tc>
          <w:tcPr>
            <w:tcW w:w="609" w:type="dxa"/>
            <w:vAlign w:val="center"/>
            <w:hideMark/>
          </w:tcPr>
          <w:p w14:paraId="1C7BE2D4" w14:textId="77777777" w:rsidR="00BB1A14" w:rsidRPr="00E22444" w:rsidRDefault="00BB1A14" w:rsidP="00E22444">
            <w:pPr>
              <w:pStyle w:val="NoSpacing"/>
              <w:jc w:val="center"/>
              <w:rPr>
                <w:rFonts w:ascii="Times New Roman" w:hAnsi="Times New Roman" w:cs="Times New Roman"/>
                <w:sz w:val="16"/>
                <w:szCs w:val="16"/>
              </w:rPr>
            </w:pPr>
            <w:r w:rsidRPr="00E22444">
              <w:rPr>
                <w:rFonts w:ascii="Times New Roman" w:hAnsi="Times New Roman" w:cs="Times New Roman"/>
                <w:sz w:val="16"/>
                <w:szCs w:val="16"/>
              </w:rPr>
              <w:t>0.06</w:t>
            </w:r>
          </w:p>
        </w:tc>
        <w:tc>
          <w:tcPr>
            <w:tcW w:w="678" w:type="dxa"/>
            <w:vAlign w:val="center"/>
            <w:hideMark/>
          </w:tcPr>
          <w:p w14:paraId="57B9A572" w14:textId="77777777" w:rsidR="00BB1A14" w:rsidRPr="00E22444" w:rsidRDefault="00BB1A14" w:rsidP="00E22444">
            <w:pPr>
              <w:pStyle w:val="NoSpacing"/>
              <w:jc w:val="center"/>
              <w:rPr>
                <w:rFonts w:ascii="Times New Roman" w:hAnsi="Times New Roman" w:cs="Times New Roman"/>
                <w:sz w:val="16"/>
                <w:szCs w:val="16"/>
              </w:rPr>
            </w:pPr>
            <w:r w:rsidRPr="00E22444">
              <w:rPr>
                <w:rFonts w:ascii="Times New Roman" w:hAnsi="Times New Roman" w:cs="Times New Roman"/>
                <w:sz w:val="16"/>
                <w:szCs w:val="16"/>
              </w:rPr>
              <w:t>14.72</w:t>
            </w:r>
          </w:p>
        </w:tc>
        <w:tc>
          <w:tcPr>
            <w:tcW w:w="678" w:type="dxa"/>
            <w:vAlign w:val="center"/>
            <w:hideMark/>
          </w:tcPr>
          <w:p w14:paraId="080CFCBB" w14:textId="77777777" w:rsidR="00BB1A14" w:rsidRPr="00E22444" w:rsidRDefault="00BB1A14" w:rsidP="00E22444">
            <w:pPr>
              <w:pStyle w:val="NoSpacing"/>
              <w:jc w:val="center"/>
              <w:rPr>
                <w:rFonts w:ascii="Times New Roman" w:hAnsi="Times New Roman" w:cs="Times New Roman"/>
                <w:sz w:val="16"/>
                <w:szCs w:val="16"/>
              </w:rPr>
            </w:pPr>
            <w:r w:rsidRPr="00E22444">
              <w:rPr>
                <w:rFonts w:ascii="Times New Roman" w:hAnsi="Times New Roman" w:cs="Times New Roman"/>
                <w:sz w:val="16"/>
                <w:szCs w:val="16"/>
              </w:rPr>
              <w:t>17.00</w:t>
            </w:r>
          </w:p>
        </w:tc>
        <w:tc>
          <w:tcPr>
            <w:tcW w:w="610" w:type="dxa"/>
            <w:vAlign w:val="center"/>
            <w:hideMark/>
          </w:tcPr>
          <w:p w14:paraId="75483E23" w14:textId="77777777" w:rsidR="00BB1A14" w:rsidRPr="00E22444" w:rsidRDefault="00BB1A14" w:rsidP="00E22444">
            <w:pPr>
              <w:pStyle w:val="NoSpacing"/>
              <w:jc w:val="center"/>
              <w:rPr>
                <w:rFonts w:ascii="Times New Roman" w:hAnsi="Times New Roman" w:cs="Times New Roman"/>
                <w:sz w:val="16"/>
                <w:szCs w:val="16"/>
              </w:rPr>
            </w:pPr>
            <w:r w:rsidRPr="00E22444">
              <w:rPr>
                <w:rFonts w:ascii="Times New Roman" w:hAnsi="Times New Roman" w:cs="Times New Roman"/>
                <w:sz w:val="16"/>
                <w:szCs w:val="16"/>
              </w:rPr>
              <w:t>0.19</w:t>
            </w:r>
          </w:p>
        </w:tc>
        <w:tc>
          <w:tcPr>
            <w:tcW w:w="678" w:type="dxa"/>
            <w:vAlign w:val="center"/>
            <w:hideMark/>
          </w:tcPr>
          <w:p w14:paraId="6F84CB5C" w14:textId="77777777" w:rsidR="00BB1A14" w:rsidRPr="00E22444" w:rsidRDefault="00BB1A14" w:rsidP="00E22444">
            <w:pPr>
              <w:pStyle w:val="NoSpacing"/>
              <w:jc w:val="center"/>
              <w:rPr>
                <w:rFonts w:ascii="Times New Roman" w:hAnsi="Times New Roman" w:cs="Times New Roman"/>
                <w:sz w:val="16"/>
                <w:szCs w:val="16"/>
              </w:rPr>
            </w:pPr>
            <w:r w:rsidRPr="00E22444">
              <w:rPr>
                <w:rFonts w:ascii="Times New Roman" w:hAnsi="Times New Roman" w:cs="Times New Roman"/>
                <w:sz w:val="16"/>
                <w:szCs w:val="16"/>
              </w:rPr>
              <w:t>17.19</w:t>
            </w:r>
          </w:p>
        </w:tc>
        <w:tc>
          <w:tcPr>
            <w:tcW w:w="678" w:type="dxa"/>
            <w:vAlign w:val="center"/>
            <w:hideMark/>
          </w:tcPr>
          <w:p w14:paraId="547A71FF" w14:textId="77777777" w:rsidR="00BB1A14" w:rsidRPr="00E22444" w:rsidRDefault="00BB1A14" w:rsidP="00E22444">
            <w:pPr>
              <w:pStyle w:val="NoSpacing"/>
              <w:jc w:val="center"/>
              <w:rPr>
                <w:rFonts w:ascii="Times New Roman" w:hAnsi="Times New Roman" w:cs="Times New Roman"/>
                <w:sz w:val="16"/>
                <w:szCs w:val="16"/>
              </w:rPr>
            </w:pPr>
            <w:r w:rsidRPr="00E22444">
              <w:rPr>
                <w:rFonts w:ascii="Times New Roman" w:hAnsi="Times New Roman" w:cs="Times New Roman"/>
                <w:sz w:val="16"/>
                <w:szCs w:val="16"/>
              </w:rPr>
              <w:t>19.65</w:t>
            </w:r>
          </w:p>
        </w:tc>
        <w:tc>
          <w:tcPr>
            <w:tcW w:w="610" w:type="dxa"/>
            <w:vAlign w:val="center"/>
            <w:hideMark/>
          </w:tcPr>
          <w:p w14:paraId="78741AED" w14:textId="77777777" w:rsidR="00BB1A14" w:rsidRPr="00E22444" w:rsidRDefault="00BB1A14" w:rsidP="00E22444">
            <w:pPr>
              <w:pStyle w:val="NoSpacing"/>
              <w:jc w:val="center"/>
              <w:rPr>
                <w:rFonts w:ascii="Times New Roman" w:hAnsi="Times New Roman" w:cs="Times New Roman"/>
                <w:sz w:val="16"/>
                <w:szCs w:val="16"/>
              </w:rPr>
            </w:pPr>
            <w:r w:rsidRPr="00E22444">
              <w:rPr>
                <w:rFonts w:ascii="Times New Roman" w:hAnsi="Times New Roman" w:cs="Times New Roman"/>
                <w:sz w:val="16"/>
                <w:szCs w:val="16"/>
              </w:rPr>
              <w:t>0.57</w:t>
            </w:r>
          </w:p>
        </w:tc>
        <w:tc>
          <w:tcPr>
            <w:tcW w:w="678" w:type="dxa"/>
            <w:vAlign w:val="center"/>
            <w:hideMark/>
          </w:tcPr>
          <w:p w14:paraId="1939E764" w14:textId="77777777" w:rsidR="00BB1A14" w:rsidRPr="00E22444" w:rsidRDefault="00BB1A14" w:rsidP="00E22444">
            <w:pPr>
              <w:pStyle w:val="NoSpacing"/>
              <w:jc w:val="center"/>
              <w:rPr>
                <w:rFonts w:ascii="Times New Roman" w:hAnsi="Times New Roman" w:cs="Times New Roman"/>
                <w:sz w:val="16"/>
                <w:szCs w:val="16"/>
              </w:rPr>
            </w:pPr>
            <w:r w:rsidRPr="00E22444">
              <w:rPr>
                <w:rFonts w:ascii="Times New Roman" w:hAnsi="Times New Roman" w:cs="Times New Roman"/>
                <w:sz w:val="16"/>
                <w:szCs w:val="16"/>
              </w:rPr>
              <w:t>20.22</w:t>
            </w:r>
          </w:p>
        </w:tc>
        <w:tc>
          <w:tcPr>
            <w:tcW w:w="678" w:type="dxa"/>
            <w:vAlign w:val="center"/>
            <w:hideMark/>
          </w:tcPr>
          <w:p w14:paraId="5D6EB361" w14:textId="77777777" w:rsidR="00BB1A14" w:rsidRPr="00E22444" w:rsidRDefault="00BB1A14" w:rsidP="00E22444">
            <w:pPr>
              <w:pStyle w:val="NoSpacing"/>
              <w:jc w:val="center"/>
              <w:rPr>
                <w:rFonts w:ascii="Times New Roman" w:hAnsi="Times New Roman" w:cs="Times New Roman"/>
                <w:sz w:val="16"/>
                <w:szCs w:val="16"/>
              </w:rPr>
            </w:pPr>
            <w:r w:rsidRPr="00E22444">
              <w:rPr>
                <w:rFonts w:ascii="Times New Roman" w:hAnsi="Times New Roman" w:cs="Times New Roman"/>
                <w:sz w:val="16"/>
                <w:szCs w:val="16"/>
              </w:rPr>
              <w:t>22.79</w:t>
            </w:r>
          </w:p>
        </w:tc>
        <w:tc>
          <w:tcPr>
            <w:tcW w:w="610" w:type="dxa"/>
            <w:vAlign w:val="center"/>
            <w:hideMark/>
          </w:tcPr>
          <w:p w14:paraId="7AE47816" w14:textId="77777777" w:rsidR="00BB1A14" w:rsidRPr="00E22444" w:rsidRDefault="00BB1A14" w:rsidP="00E22444">
            <w:pPr>
              <w:pStyle w:val="NoSpacing"/>
              <w:jc w:val="center"/>
              <w:rPr>
                <w:rFonts w:ascii="Times New Roman" w:hAnsi="Times New Roman" w:cs="Times New Roman"/>
                <w:sz w:val="16"/>
                <w:szCs w:val="16"/>
              </w:rPr>
            </w:pPr>
            <w:r w:rsidRPr="00E22444">
              <w:rPr>
                <w:rFonts w:ascii="Times New Roman" w:hAnsi="Times New Roman" w:cs="Times New Roman"/>
                <w:sz w:val="16"/>
                <w:szCs w:val="16"/>
              </w:rPr>
              <w:t>..</w:t>
            </w:r>
          </w:p>
        </w:tc>
        <w:tc>
          <w:tcPr>
            <w:tcW w:w="678" w:type="dxa"/>
            <w:vAlign w:val="center"/>
            <w:hideMark/>
          </w:tcPr>
          <w:p w14:paraId="29DFDAC1" w14:textId="77777777" w:rsidR="00BB1A14" w:rsidRPr="00E22444" w:rsidRDefault="00BB1A14" w:rsidP="00E22444">
            <w:pPr>
              <w:pStyle w:val="NoSpacing"/>
              <w:jc w:val="center"/>
              <w:rPr>
                <w:rFonts w:ascii="Times New Roman" w:hAnsi="Times New Roman" w:cs="Times New Roman"/>
                <w:sz w:val="16"/>
                <w:szCs w:val="16"/>
              </w:rPr>
            </w:pPr>
            <w:r w:rsidRPr="00E22444">
              <w:rPr>
                <w:rFonts w:ascii="Times New Roman" w:hAnsi="Times New Roman" w:cs="Times New Roman"/>
                <w:sz w:val="16"/>
                <w:szCs w:val="16"/>
              </w:rPr>
              <w:t>22.79</w:t>
            </w:r>
          </w:p>
        </w:tc>
        <w:tc>
          <w:tcPr>
            <w:tcW w:w="672" w:type="dxa"/>
            <w:vAlign w:val="center"/>
            <w:hideMark/>
          </w:tcPr>
          <w:p w14:paraId="0BD7F436" w14:textId="77777777" w:rsidR="00BB1A14" w:rsidRPr="00E22444" w:rsidRDefault="00BB1A14" w:rsidP="00E22444">
            <w:pPr>
              <w:pStyle w:val="NoSpacing"/>
              <w:jc w:val="center"/>
              <w:rPr>
                <w:rFonts w:ascii="Times New Roman" w:hAnsi="Times New Roman" w:cs="Times New Roman"/>
                <w:sz w:val="16"/>
                <w:szCs w:val="16"/>
              </w:rPr>
            </w:pPr>
            <w:r w:rsidRPr="00E22444">
              <w:rPr>
                <w:rFonts w:ascii="Times New Roman" w:hAnsi="Times New Roman" w:cs="Times New Roman"/>
                <w:sz w:val="16"/>
                <w:szCs w:val="16"/>
              </w:rPr>
              <w:t>24.99</w:t>
            </w:r>
          </w:p>
        </w:tc>
        <w:tc>
          <w:tcPr>
            <w:tcW w:w="610" w:type="dxa"/>
            <w:vAlign w:val="center"/>
            <w:hideMark/>
          </w:tcPr>
          <w:p w14:paraId="76C063C7" w14:textId="77777777" w:rsidR="00BB1A14" w:rsidRPr="00E22444" w:rsidRDefault="00BB1A14" w:rsidP="00E22444">
            <w:pPr>
              <w:pStyle w:val="NoSpacing"/>
              <w:jc w:val="center"/>
              <w:rPr>
                <w:rFonts w:ascii="Times New Roman" w:hAnsi="Times New Roman" w:cs="Times New Roman"/>
                <w:sz w:val="16"/>
                <w:szCs w:val="16"/>
              </w:rPr>
            </w:pPr>
            <w:r w:rsidRPr="00E22444">
              <w:rPr>
                <w:rFonts w:ascii="Times New Roman" w:hAnsi="Times New Roman" w:cs="Times New Roman"/>
                <w:sz w:val="16"/>
                <w:szCs w:val="16"/>
              </w:rPr>
              <w:t>..</w:t>
            </w:r>
          </w:p>
        </w:tc>
        <w:tc>
          <w:tcPr>
            <w:tcW w:w="678" w:type="dxa"/>
            <w:vAlign w:val="center"/>
            <w:hideMark/>
          </w:tcPr>
          <w:p w14:paraId="4DC0B0EB" w14:textId="77777777" w:rsidR="00BB1A14" w:rsidRPr="00E22444" w:rsidRDefault="00BB1A14" w:rsidP="00E22444">
            <w:pPr>
              <w:pStyle w:val="NoSpacing"/>
              <w:jc w:val="center"/>
              <w:rPr>
                <w:rFonts w:ascii="Times New Roman" w:hAnsi="Times New Roman" w:cs="Times New Roman"/>
                <w:sz w:val="16"/>
                <w:szCs w:val="16"/>
              </w:rPr>
            </w:pPr>
            <w:r w:rsidRPr="00E22444">
              <w:rPr>
                <w:rFonts w:ascii="Times New Roman" w:hAnsi="Times New Roman" w:cs="Times New Roman"/>
                <w:sz w:val="16"/>
                <w:szCs w:val="16"/>
              </w:rPr>
              <w:t>24.99</w:t>
            </w:r>
          </w:p>
        </w:tc>
      </w:tr>
      <w:tr w:rsidR="00BB1A14" w:rsidRPr="00E22444" w14:paraId="5034BC64" w14:textId="77777777" w:rsidTr="00E22444">
        <w:trPr>
          <w:trHeight w:val="21"/>
          <w:jc w:val="center"/>
        </w:trPr>
        <w:tc>
          <w:tcPr>
            <w:tcW w:w="1164" w:type="dxa"/>
            <w:hideMark/>
          </w:tcPr>
          <w:p w14:paraId="3D81B853" w14:textId="77777777" w:rsidR="00BB1A14" w:rsidRPr="00E22444" w:rsidRDefault="00BB1A14" w:rsidP="00BB1A14">
            <w:pPr>
              <w:pStyle w:val="NoSpacing"/>
              <w:rPr>
                <w:rFonts w:ascii="Times New Roman" w:hAnsi="Times New Roman" w:cs="Times New Roman"/>
                <w:sz w:val="16"/>
                <w:szCs w:val="16"/>
              </w:rPr>
            </w:pPr>
            <w:r w:rsidRPr="00E22444">
              <w:rPr>
                <w:rFonts w:ascii="Times New Roman" w:hAnsi="Times New Roman" w:cs="Times New Roman"/>
                <w:sz w:val="16"/>
                <w:szCs w:val="16"/>
              </w:rPr>
              <w:t>14. Miscellaneous</w:t>
            </w:r>
          </w:p>
        </w:tc>
        <w:tc>
          <w:tcPr>
            <w:tcW w:w="677" w:type="dxa"/>
            <w:vAlign w:val="center"/>
            <w:hideMark/>
          </w:tcPr>
          <w:p w14:paraId="34890A9D" w14:textId="77777777" w:rsidR="00BB1A14" w:rsidRPr="00E22444" w:rsidRDefault="00BB1A14" w:rsidP="00E22444">
            <w:pPr>
              <w:pStyle w:val="NoSpacing"/>
              <w:jc w:val="center"/>
              <w:rPr>
                <w:rFonts w:ascii="Times New Roman" w:hAnsi="Times New Roman" w:cs="Times New Roman"/>
                <w:sz w:val="16"/>
                <w:szCs w:val="16"/>
              </w:rPr>
            </w:pPr>
            <w:r w:rsidRPr="00E22444">
              <w:rPr>
                <w:rFonts w:ascii="Times New Roman" w:hAnsi="Times New Roman" w:cs="Times New Roman"/>
                <w:sz w:val="16"/>
                <w:szCs w:val="16"/>
              </w:rPr>
              <w:t>89.27</w:t>
            </w:r>
          </w:p>
        </w:tc>
        <w:tc>
          <w:tcPr>
            <w:tcW w:w="609" w:type="dxa"/>
            <w:vAlign w:val="center"/>
            <w:hideMark/>
          </w:tcPr>
          <w:p w14:paraId="0869074C" w14:textId="77777777" w:rsidR="00BB1A14" w:rsidRPr="00E22444" w:rsidRDefault="00BB1A14" w:rsidP="00E22444">
            <w:pPr>
              <w:pStyle w:val="NoSpacing"/>
              <w:jc w:val="center"/>
              <w:rPr>
                <w:rFonts w:ascii="Times New Roman" w:hAnsi="Times New Roman" w:cs="Times New Roman"/>
                <w:sz w:val="16"/>
                <w:szCs w:val="16"/>
              </w:rPr>
            </w:pPr>
            <w:r w:rsidRPr="00E22444">
              <w:rPr>
                <w:rFonts w:ascii="Times New Roman" w:hAnsi="Times New Roman" w:cs="Times New Roman"/>
                <w:sz w:val="16"/>
                <w:szCs w:val="16"/>
              </w:rPr>
              <w:t>6.04</w:t>
            </w:r>
          </w:p>
        </w:tc>
        <w:tc>
          <w:tcPr>
            <w:tcW w:w="678" w:type="dxa"/>
            <w:vAlign w:val="center"/>
            <w:hideMark/>
          </w:tcPr>
          <w:p w14:paraId="4049B56B" w14:textId="77777777" w:rsidR="00BB1A14" w:rsidRPr="00E22444" w:rsidRDefault="00BB1A14" w:rsidP="00E22444">
            <w:pPr>
              <w:pStyle w:val="NoSpacing"/>
              <w:jc w:val="center"/>
              <w:rPr>
                <w:rFonts w:ascii="Times New Roman" w:hAnsi="Times New Roman" w:cs="Times New Roman"/>
                <w:sz w:val="16"/>
                <w:szCs w:val="16"/>
              </w:rPr>
            </w:pPr>
            <w:r w:rsidRPr="00E22444">
              <w:rPr>
                <w:rFonts w:ascii="Times New Roman" w:hAnsi="Times New Roman" w:cs="Times New Roman"/>
                <w:sz w:val="16"/>
                <w:szCs w:val="16"/>
              </w:rPr>
              <w:t>95.31</w:t>
            </w:r>
          </w:p>
        </w:tc>
        <w:tc>
          <w:tcPr>
            <w:tcW w:w="678" w:type="dxa"/>
            <w:vAlign w:val="center"/>
            <w:hideMark/>
          </w:tcPr>
          <w:p w14:paraId="66C1964C" w14:textId="77777777" w:rsidR="00BB1A14" w:rsidRPr="00E22444" w:rsidRDefault="00BB1A14" w:rsidP="00E22444">
            <w:pPr>
              <w:pStyle w:val="NoSpacing"/>
              <w:jc w:val="center"/>
              <w:rPr>
                <w:rFonts w:ascii="Times New Roman" w:hAnsi="Times New Roman" w:cs="Times New Roman"/>
                <w:sz w:val="16"/>
                <w:szCs w:val="16"/>
              </w:rPr>
            </w:pPr>
            <w:r w:rsidRPr="00E22444">
              <w:rPr>
                <w:rFonts w:ascii="Times New Roman" w:hAnsi="Times New Roman" w:cs="Times New Roman"/>
                <w:sz w:val="16"/>
                <w:szCs w:val="16"/>
              </w:rPr>
              <w:t>117.40</w:t>
            </w:r>
          </w:p>
        </w:tc>
        <w:tc>
          <w:tcPr>
            <w:tcW w:w="610" w:type="dxa"/>
            <w:vAlign w:val="center"/>
            <w:hideMark/>
          </w:tcPr>
          <w:p w14:paraId="2BAFC5F1" w14:textId="77777777" w:rsidR="00BB1A14" w:rsidRPr="00E22444" w:rsidRDefault="00BB1A14" w:rsidP="00E22444">
            <w:pPr>
              <w:pStyle w:val="NoSpacing"/>
              <w:jc w:val="center"/>
              <w:rPr>
                <w:rFonts w:ascii="Times New Roman" w:hAnsi="Times New Roman" w:cs="Times New Roman"/>
                <w:sz w:val="16"/>
                <w:szCs w:val="16"/>
              </w:rPr>
            </w:pPr>
            <w:r w:rsidRPr="00E22444">
              <w:rPr>
                <w:rFonts w:ascii="Times New Roman" w:hAnsi="Times New Roman" w:cs="Times New Roman"/>
                <w:sz w:val="16"/>
                <w:szCs w:val="16"/>
              </w:rPr>
              <w:t>6.35</w:t>
            </w:r>
          </w:p>
        </w:tc>
        <w:tc>
          <w:tcPr>
            <w:tcW w:w="678" w:type="dxa"/>
            <w:vAlign w:val="center"/>
            <w:hideMark/>
          </w:tcPr>
          <w:p w14:paraId="11496A59" w14:textId="77777777" w:rsidR="00BB1A14" w:rsidRPr="00E22444" w:rsidRDefault="00BB1A14" w:rsidP="00E22444">
            <w:pPr>
              <w:pStyle w:val="NoSpacing"/>
              <w:jc w:val="center"/>
              <w:rPr>
                <w:rFonts w:ascii="Times New Roman" w:hAnsi="Times New Roman" w:cs="Times New Roman"/>
                <w:sz w:val="16"/>
                <w:szCs w:val="16"/>
              </w:rPr>
            </w:pPr>
            <w:r w:rsidRPr="00E22444">
              <w:rPr>
                <w:rFonts w:ascii="Times New Roman" w:hAnsi="Times New Roman" w:cs="Times New Roman"/>
                <w:sz w:val="16"/>
                <w:szCs w:val="16"/>
              </w:rPr>
              <w:t>123.75</w:t>
            </w:r>
          </w:p>
        </w:tc>
        <w:tc>
          <w:tcPr>
            <w:tcW w:w="678" w:type="dxa"/>
            <w:vAlign w:val="center"/>
            <w:hideMark/>
          </w:tcPr>
          <w:p w14:paraId="488189DC" w14:textId="77777777" w:rsidR="00BB1A14" w:rsidRPr="00E22444" w:rsidRDefault="00BB1A14" w:rsidP="00E22444">
            <w:pPr>
              <w:pStyle w:val="NoSpacing"/>
              <w:jc w:val="center"/>
              <w:rPr>
                <w:rFonts w:ascii="Times New Roman" w:hAnsi="Times New Roman" w:cs="Times New Roman"/>
                <w:sz w:val="16"/>
                <w:szCs w:val="16"/>
              </w:rPr>
            </w:pPr>
            <w:r w:rsidRPr="00E22444">
              <w:rPr>
                <w:rFonts w:ascii="Times New Roman" w:hAnsi="Times New Roman" w:cs="Times New Roman"/>
                <w:sz w:val="16"/>
                <w:szCs w:val="16"/>
              </w:rPr>
              <w:t>169.47</w:t>
            </w:r>
          </w:p>
        </w:tc>
        <w:tc>
          <w:tcPr>
            <w:tcW w:w="610" w:type="dxa"/>
            <w:vAlign w:val="center"/>
            <w:hideMark/>
          </w:tcPr>
          <w:p w14:paraId="2C92993C" w14:textId="77777777" w:rsidR="00BB1A14" w:rsidRPr="00E22444" w:rsidRDefault="00BB1A14" w:rsidP="00E22444">
            <w:pPr>
              <w:pStyle w:val="NoSpacing"/>
              <w:jc w:val="center"/>
              <w:rPr>
                <w:rFonts w:ascii="Times New Roman" w:hAnsi="Times New Roman" w:cs="Times New Roman"/>
                <w:sz w:val="16"/>
                <w:szCs w:val="16"/>
              </w:rPr>
            </w:pPr>
            <w:r w:rsidRPr="00E22444">
              <w:rPr>
                <w:rFonts w:ascii="Times New Roman" w:hAnsi="Times New Roman" w:cs="Times New Roman"/>
                <w:sz w:val="16"/>
                <w:szCs w:val="16"/>
              </w:rPr>
              <w:t>6.47</w:t>
            </w:r>
          </w:p>
        </w:tc>
        <w:tc>
          <w:tcPr>
            <w:tcW w:w="678" w:type="dxa"/>
            <w:vAlign w:val="center"/>
            <w:hideMark/>
          </w:tcPr>
          <w:p w14:paraId="0F0D643F" w14:textId="77777777" w:rsidR="00BB1A14" w:rsidRPr="00E22444" w:rsidRDefault="00BB1A14" w:rsidP="00E22444">
            <w:pPr>
              <w:pStyle w:val="NoSpacing"/>
              <w:jc w:val="center"/>
              <w:rPr>
                <w:rFonts w:ascii="Times New Roman" w:hAnsi="Times New Roman" w:cs="Times New Roman"/>
                <w:sz w:val="16"/>
                <w:szCs w:val="16"/>
              </w:rPr>
            </w:pPr>
            <w:r w:rsidRPr="00E22444">
              <w:rPr>
                <w:rFonts w:ascii="Times New Roman" w:hAnsi="Times New Roman" w:cs="Times New Roman"/>
                <w:sz w:val="16"/>
                <w:szCs w:val="16"/>
              </w:rPr>
              <w:t>175.94</w:t>
            </w:r>
          </w:p>
        </w:tc>
        <w:tc>
          <w:tcPr>
            <w:tcW w:w="678" w:type="dxa"/>
            <w:vAlign w:val="center"/>
            <w:hideMark/>
          </w:tcPr>
          <w:p w14:paraId="0FCB8960" w14:textId="77777777" w:rsidR="00BB1A14" w:rsidRPr="00E22444" w:rsidRDefault="00BB1A14" w:rsidP="00E22444">
            <w:pPr>
              <w:pStyle w:val="NoSpacing"/>
              <w:jc w:val="center"/>
              <w:rPr>
                <w:rFonts w:ascii="Times New Roman" w:hAnsi="Times New Roman" w:cs="Times New Roman"/>
                <w:sz w:val="16"/>
                <w:szCs w:val="16"/>
              </w:rPr>
            </w:pPr>
            <w:r w:rsidRPr="00E22444">
              <w:rPr>
                <w:rFonts w:ascii="Times New Roman" w:hAnsi="Times New Roman" w:cs="Times New Roman"/>
                <w:sz w:val="16"/>
                <w:szCs w:val="16"/>
              </w:rPr>
              <w:t>168.16</w:t>
            </w:r>
          </w:p>
        </w:tc>
        <w:tc>
          <w:tcPr>
            <w:tcW w:w="610" w:type="dxa"/>
            <w:vAlign w:val="center"/>
            <w:hideMark/>
          </w:tcPr>
          <w:p w14:paraId="0E61DC1A" w14:textId="77777777" w:rsidR="00BB1A14" w:rsidRPr="00E22444" w:rsidRDefault="00BB1A14" w:rsidP="00E22444">
            <w:pPr>
              <w:pStyle w:val="NoSpacing"/>
              <w:jc w:val="center"/>
              <w:rPr>
                <w:rFonts w:ascii="Times New Roman" w:hAnsi="Times New Roman" w:cs="Times New Roman"/>
                <w:sz w:val="16"/>
                <w:szCs w:val="16"/>
              </w:rPr>
            </w:pPr>
            <w:r w:rsidRPr="00E22444">
              <w:rPr>
                <w:rFonts w:ascii="Times New Roman" w:hAnsi="Times New Roman" w:cs="Times New Roman"/>
                <w:sz w:val="16"/>
                <w:szCs w:val="16"/>
              </w:rPr>
              <w:t>3.91</w:t>
            </w:r>
          </w:p>
        </w:tc>
        <w:tc>
          <w:tcPr>
            <w:tcW w:w="678" w:type="dxa"/>
            <w:vAlign w:val="center"/>
            <w:hideMark/>
          </w:tcPr>
          <w:p w14:paraId="5B459C13" w14:textId="77777777" w:rsidR="00BB1A14" w:rsidRPr="00E22444" w:rsidRDefault="00BB1A14" w:rsidP="00E22444">
            <w:pPr>
              <w:pStyle w:val="NoSpacing"/>
              <w:jc w:val="center"/>
              <w:rPr>
                <w:rFonts w:ascii="Times New Roman" w:hAnsi="Times New Roman" w:cs="Times New Roman"/>
                <w:sz w:val="16"/>
                <w:szCs w:val="16"/>
              </w:rPr>
            </w:pPr>
            <w:r w:rsidRPr="00E22444">
              <w:rPr>
                <w:rFonts w:ascii="Times New Roman" w:hAnsi="Times New Roman" w:cs="Times New Roman"/>
                <w:sz w:val="16"/>
                <w:szCs w:val="16"/>
              </w:rPr>
              <w:t>172.07</w:t>
            </w:r>
          </w:p>
        </w:tc>
        <w:tc>
          <w:tcPr>
            <w:tcW w:w="672" w:type="dxa"/>
            <w:vAlign w:val="center"/>
            <w:hideMark/>
          </w:tcPr>
          <w:p w14:paraId="18815B72" w14:textId="77777777" w:rsidR="00BB1A14" w:rsidRPr="00E22444" w:rsidRDefault="00BB1A14" w:rsidP="00E22444">
            <w:pPr>
              <w:pStyle w:val="NoSpacing"/>
              <w:jc w:val="center"/>
              <w:rPr>
                <w:rFonts w:ascii="Times New Roman" w:hAnsi="Times New Roman" w:cs="Times New Roman"/>
                <w:sz w:val="16"/>
                <w:szCs w:val="16"/>
              </w:rPr>
            </w:pPr>
            <w:r w:rsidRPr="00E22444">
              <w:rPr>
                <w:rFonts w:ascii="Times New Roman" w:hAnsi="Times New Roman" w:cs="Times New Roman"/>
                <w:sz w:val="16"/>
                <w:szCs w:val="16"/>
              </w:rPr>
              <w:t>194.04</w:t>
            </w:r>
          </w:p>
        </w:tc>
        <w:tc>
          <w:tcPr>
            <w:tcW w:w="610" w:type="dxa"/>
            <w:vAlign w:val="center"/>
            <w:hideMark/>
          </w:tcPr>
          <w:p w14:paraId="359DF663" w14:textId="77777777" w:rsidR="00BB1A14" w:rsidRPr="00E22444" w:rsidRDefault="00BB1A14" w:rsidP="00E22444">
            <w:pPr>
              <w:pStyle w:val="NoSpacing"/>
              <w:jc w:val="center"/>
              <w:rPr>
                <w:rFonts w:ascii="Times New Roman" w:hAnsi="Times New Roman" w:cs="Times New Roman"/>
                <w:sz w:val="16"/>
                <w:szCs w:val="16"/>
              </w:rPr>
            </w:pPr>
            <w:r w:rsidRPr="00E22444">
              <w:rPr>
                <w:rFonts w:ascii="Times New Roman" w:hAnsi="Times New Roman" w:cs="Times New Roman"/>
                <w:sz w:val="16"/>
                <w:szCs w:val="16"/>
              </w:rPr>
              <w:t>9.54</w:t>
            </w:r>
          </w:p>
        </w:tc>
        <w:tc>
          <w:tcPr>
            <w:tcW w:w="678" w:type="dxa"/>
            <w:vAlign w:val="center"/>
            <w:hideMark/>
          </w:tcPr>
          <w:p w14:paraId="080202DE" w14:textId="77777777" w:rsidR="00BB1A14" w:rsidRPr="00E22444" w:rsidRDefault="00BB1A14" w:rsidP="00E22444">
            <w:pPr>
              <w:pStyle w:val="NoSpacing"/>
              <w:jc w:val="center"/>
              <w:rPr>
                <w:rFonts w:ascii="Times New Roman" w:hAnsi="Times New Roman" w:cs="Times New Roman"/>
                <w:sz w:val="16"/>
                <w:szCs w:val="16"/>
              </w:rPr>
            </w:pPr>
            <w:r w:rsidRPr="00E22444">
              <w:rPr>
                <w:rFonts w:ascii="Times New Roman" w:hAnsi="Times New Roman" w:cs="Times New Roman"/>
                <w:sz w:val="16"/>
                <w:szCs w:val="16"/>
              </w:rPr>
              <w:t>203.58</w:t>
            </w:r>
          </w:p>
        </w:tc>
      </w:tr>
      <w:tr w:rsidR="00BB1A14" w:rsidRPr="00E22444" w14:paraId="4AB74EF3" w14:textId="77777777" w:rsidTr="00E22444">
        <w:trPr>
          <w:trHeight w:val="21"/>
          <w:jc w:val="center"/>
        </w:trPr>
        <w:tc>
          <w:tcPr>
            <w:tcW w:w="1164" w:type="dxa"/>
            <w:hideMark/>
          </w:tcPr>
          <w:p w14:paraId="122C1595" w14:textId="77777777" w:rsidR="00BB1A14" w:rsidRPr="00E22444" w:rsidRDefault="00BB1A14" w:rsidP="00BB1A14">
            <w:pPr>
              <w:pStyle w:val="NoSpacing"/>
              <w:rPr>
                <w:rFonts w:ascii="Times New Roman" w:hAnsi="Times New Roman" w:cs="Times New Roman"/>
                <w:sz w:val="16"/>
                <w:szCs w:val="16"/>
              </w:rPr>
            </w:pPr>
            <w:r w:rsidRPr="00E22444">
              <w:rPr>
                <w:rFonts w:ascii="Times New Roman" w:hAnsi="Times New Roman" w:cs="Times New Roman"/>
                <w:sz w:val="16"/>
                <w:szCs w:val="16"/>
              </w:rPr>
              <w:t>15. Grants-in-aid to State and Union Territory Governments</w:t>
            </w:r>
          </w:p>
        </w:tc>
        <w:tc>
          <w:tcPr>
            <w:tcW w:w="677" w:type="dxa"/>
            <w:vAlign w:val="center"/>
            <w:hideMark/>
          </w:tcPr>
          <w:p w14:paraId="4044B305" w14:textId="77777777" w:rsidR="00BB1A14" w:rsidRPr="00E22444" w:rsidRDefault="00BB1A14" w:rsidP="00E22444">
            <w:pPr>
              <w:pStyle w:val="NoSpacing"/>
              <w:jc w:val="center"/>
              <w:rPr>
                <w:rFonts w:ascii="Times New Roman" w:hAnsi="Times New Roman" w:cs="Times New Roman"/>
                <w:sz w:val="16"/>
                <w:szCs w:val="16"/>
              </w:rPr>
            </w:pPr>
            <w:r w:rsidRPr="00E22444">
              <w:rPr>
                <w:rFonts w:ascii="Times New Roman" w:hAnsi="Times New Roman" w:cs="Times New Roman"/>
                <w:sz w:val="16"/>
                <w:szCs w:val="16"/>
              </w:rPr>
              <w:t>126.74</w:t>
            </w:r>
          </w:p>
        </w:tc>
        <w:tc>
          <w:tcPr>
            <w:tcW w:w="609" w:type="dxa"/>
            <w:vAlign w:val="center"/>
            <w:hideMark/>
          </w:tcPr>
          <w:p w14:paraId="2694A202" w14:textId="77777777" w:rsidR="00BB1A14" w:rsidRPr="00E22444" w:rsidRDefault="00BB1A14" w:rsidP="00E22444">
            <w:pPr>
              <w:pStyle w:val="NoSpacing"/>
              <w:jc w:val="center"/>
              <w:rPr>
                <w:rFonts w:ascii="Times New Roman" w:hAnsi="Times New Roman" w:cs="Times New Roman"/>
                <w:sz w:val="16"/>
                <w:szCs w:val="16"/>
              </w:rPr>
            </w:pPr>
            <w:r w:rsidRPr="00E22444">
              <w:rPr>
                <w:rFonts w:ascii="Times New Roman" w:hAnsi="Times New Roman" w:cs="Times New Roman"/>
                <w:sz w:val="16"/>
                <w:szCs w:val="16"/>
              </w:rPr>
              <w:t>141.94</w:t>
            </w:r>
          </w:p>
        </w:tc>
        <w:tc>
          <w:tcPr>
            <w:tcW w:w="678" w:type="dxa"/>
            <w:vAlign w:val="center"/>
            <w:hideMark/>
          </w:tcPr>
          <w:p w14:paraId="2F17DC60" w14:textId="77777777" w:rsidR="00BB1A14" w:rsidRPr="00E22444" w:rsidRDefault="00BB1A14" w:rsidP="00E22444">
            <w:pPr>
              <w:pStyle w:val="NoSpacing"/>
              <w:jc w:val="center"/>
              <w:rPr>
                <w:rFonts w:ascii="Times New Roman" w:hAnsi="Times New Roman" w:cs="Times New Roman"/>
                <w:sz w:val="16"/>
                <w:szCs w:val="16"/>
              </w:rPr>
            </w:pPr>
            <w:r w:rsidRPr="00E22444">
              <w:rPr>
                <w:rFonts w:ascii="Times New Roman" w:hAnsi="Times New Roman" w:cs="Times New Roman"/>
                <w:sz w:val="16"/>
                <w:szCs w:val="16"/>
              </w:rPr>
              <w:t>268.68</w:t>
            </w:r>
          </w:p>
        </w:tc>
        <w:tc>
          <w:tcPr>
            <w:tcW w:w="678" w:type="dxa"/>
            <w:vAlign w:val="center"/>
            <w:hideMark/>
          </w:tcPr>
          <w:p w14:paraId="416E2AD0" w14:textId="77777777" w:rsidR="00BB1A14" w:rsidRPr="00E22444" w:rsidRDefault="00BB1A14" w:rsidP="00E22444">
            <w:pPr>
              <w:pStyle w:val="NoSpacing"/>
              <w:jc w:val="center"/>
              <w:rPr>
                <w:rFonts w:ascii="Times New Roman" w:hAnsi="Times New Roman" w:cs="Times New Roman"/>
                <w:sz w:val="16"/>
                <w:szCs w:val="16"/>
              </w:rPr>
            </w:pPr>
            <w:r w:rsidRPr="00E22444">
              <w:rPr>
                <w:rFonts w:ascii="Times New Roman" w:hAnsi="Times New Roman" w:cs="Times New Roman"/>
                <w:sz w:val="16"/>
                <w:szCs w:val="16"/>
              </w:rPr>
              <w:t>143.30</w:t>
            </w:r>
          </w:p>
        </w:tc>
        <w:tc>
          <w:tcPr>
            <w:tcW w:w="610" w:type="dxa"/>
            <w:vAlign w:val="center"/>
            <w:hideMark/>
          </w:tcPr>
          <w:p w14:paraId="3A6D4288" w14:textId="77777777" w:rsidR="00BB1A14" w:rsidRPr="00E22444" w:rsidRDefault="00BB1A14" w:rsidP="00E22444">
            <w:pPr>
              <w:pStyle w:val="NoSpacing"/>
              <w:jc w:val="center"/>
              <w:rPr>
                <w:rFonts w:ascii="Times New Roman" w:hAnsi="Times New Roman" w:cs="Times New Roman"/>
                <w:sz w:val="16"/>
                <w:szCs w:val="16"/>
              </w:rPr>
            </w:pPr>
            <w:r w:rsidRPr="00E22444">
              <w:rPr>
                <w:rFonts w:ascii="Times New Roman" w:hAnsi="Times New Roman" w:cs="Times New Roman"/>
                <w:sz w:val="16"/>
                <w:szCs w:val="16"/>
              </w:rPr>
              <w:t>180.77</w:t>
            </w:r>
          </w:p>
        </w:tc>
        <w:tc>
          <w:tcPr>
            <w:tcW w:w="678" w:type="dxa"/>
            <w:vAlign w:val="center"/>
            <w:hideMark/>
          </w:tcPr>
          <w:p w14:paraId="0C9E3480" w14:textId="77777777" w:rsidR="00BB1A14" w:rsidRPr="00E22444" w:rsidRDefault="00BB1A14" w:rsidP="00E22444">
            <w:pPr>
              <w:pStyle w:val="NoSpacing"/>
              <w:jc w:val="center"/>
              <w:rPr>
                <w:rFonts w:ascii="Times New Roman" w:hAnsi="Times New Roman" w:cs="Times New Roman"/>
                <w:sz w:val="16"/>
                <w:szCs w:val="16"/>
              </w:rPr>
            </w:pPr>
            <w:r w:rsidRPr="00E22444">
              <w:rPr>
                <w:rFonts w:ascii="Times New Roman" w:hAnsi="Times New Roman" w:cs="Times New Roman"/>
                <w:sz w:val="16"/>
                <w:szCs w:val="16"/>
              </w:rPr>
              <w:t>324.07</w:t>
            </w:r>
          </w:p>
        </w:tc>
        <w:tc>
          <w:tcPr>
            <w:tcW w:w="678" w:type="dxa"/>
            <w:vAlign w:val="center"/>
            <w:hideMark/>
          </w:tcPr>
          <w:p w14:paraId="2C50C4DA" w14:textId="77777777" w:rsidR="00BB1A14" w:rsidRPr="00E22444" w:rsidRDefault="00BB1A14" w:rsidP="00E22444">
            <w:pPr>
              <w:pStyle w:val="NoSpacing"/>
              <w:jc w:val="center"/>
              <w:rPr>
                <w:rFonts w:ascii="Times New Roman" w:hAnsi="Times New Roman" w:cs="Times New Roman"/>
                <w:sz w:val="16"/>
                <w:szCs w:val="16"/>
              </w:rPr>
            </w:pPr>
            <w:r w:rsidRPr="00E22444">
              <w:rPr>
                <w:rFonts w:ascii="Times New Roman" w:hAnsi="Times New Roman" w:cs="Times New Roman"/>
                <w:sz w:val="16"/>
                <w:szCs w:val="16"/>
              </w:rPr>
              <w:t>254.48</w:t>
            </w:r>
          </w:p>
        </w:tc>
        <w:tc>
          <w:tcPr>
            <w:tcW w:w="610" w:type="dxa"/>
            <w:vAlign w:val="center"/>
            <w:hideMark/>
          </w:tcPr>
          <w:p w14:paraId="319CBB6F" w14:textId="77777777" w:rsidR="00BB1A14" w:rsidRPr="00E22444" w:rsidRDefault="00BB1A14" w:rsidP="00E22444">
            <w:pPr>
              <w:pStyle w:val="NoSpacing"/>
              <w:jc w:val="center"/>
              <w:rPr>
                <w:rFonts w:ascii="Times New Roman" w:hAnsi="Times New Roman" w:cs="Times New Roman"/>
                <w:sz w:val="16"/>
                <w:szCs w:val="16"/>
              </w:rPr>
            </w:pPr>
            <w:r w:rsidRPr="00E22444">
              <w:rPr>
                <w:rFonts w:ascii="Times New Roman" w:hAnsi="Times New Roman" w:cs="Times New Roman"/>
                <w:sz w:val="16"/>
                <w:szCs w:val="16"/>
              </w:rPr>
              <w:t>151.41</w:t>
            </w:r>
          </w:p>
        </w:tc>
        <w:tc>
          <w:tcPr>
            <w:tcW w:w="678" w:type="dxa"/>
            <w:vAlign w:val="center"/>
            <w:hideMark/>
          </w:tcPr>
          <w:p w14:paraId="64CF5BCD" w14:textId="77777777" w:rsidR="00BB1A14" w:rsidRPr="00E22444" w:rsidRDefault="00BB1A14" w:rsidP="00E22444">
            <w:pPr>
              <w:pStyle w:val="NoSpacing"/>
              <w:jc w:val="center"/>
              <w:rPr>
                <w:rFonts w:ascii="Times New Roman" w:hAnsi="Times New Roman" w:cs="Times New Roman"/>
                <w:sz w:val="16"/>
                <w:szCs w:val="16"/>
              </w:rPr>
            </w:pPr>
            <w:r w:rsidRPr="00E22444">
              <w:rPr>
                <w:rFonts w:ascii="Times New Roman" w:hAnsi="Times New Roman" w:cs="Times New Roman"/>
                <w:sz w:val="16"/>
                <w:szCs w:val="16"/>
              </w:rPr>
              <w:t>405.89</w:t>
            </w:r>
          </w:p>
        </w:tc>
        <w:tc>
          <w:tcPr>
            <w:tcW w:w="678" w:type="dxa"/>
            <w:vAlign w:val="center"/>
            <w:hideMark/>
          </w:tcPr>
          <w:p w14:paraId="0201B672" w14:textId="77777777" w:rsidR="00BB1A14" w:rsidRPr="00E22444" w:rsidRDefault="00BB1A14" w:rsidP="00E22444">
            <w:pPr>
              <w:pStyle w:val="NoSpacing"/>
              <w:jc w:val="center"/>
              <w:rPr>
                <w:rFonts w:ascii="Times New Roman" w:hAnsi="Times New Roman" w:cs="Times New Roman"/>
                <w:sz w:val="16"/>
                <w:szCs w:val="16"/>
              </w:rPr>
            </w:pPr>
            <w:r w:rsidRPr="00E22444">
              <w:rPr>
                <w:rFonts w:ascii="Times New Roman" w:hAnsi="Times New Roman" w:cs="Times New Roman"/>
                <w:sz w:val="16"/>
                <w:szCs w:val="16"/>
              </w:rPr>
              <w:t>286.22</w:t>
            </w:r>
          </w:p>
        </w:tc>
        <w:tc>
          <w:tcPr>
            <w:tcW w:w="610" w:type="dxa"/>
            <w:vAlign w:val="center"/>
            <w:hideMark/>
          </w:tcPr>
          <w:p w14:paraId="16C0E744" w14:textId="77777777" w:rsidR="00BB1A14" w:rsidRPr="00E22444" w:rsidRDefault="00BB1A14" w:rsidP="00E22444">
            <w:pPr>
              <w:pStyle w:val="NoSpacing"/>
              <w:jc w:val="center"/>
              <w:rPr>
                <w:rFonts w:ascii="Times New Roman" w:hAnsi="Times New Roman" w:cs="Times New Roman"/>
                <w:sz w:val="16"/>
                <w:szCs w:val="16"/>
              </w:rPr>
            </w:pPr>
            <w:r w:rsidRPr="00E22444">
              <w:rPr>
                <w:rFonts w:ascii="Times New Roman" w:hAnsi="Times New Roman" w:cs="Times New Roman"/>
                <w:sz w:val="16"/>
                <w:szCs w:val="16"/>
              </w:rPr>
              <w:t>187.30</w:t>
            </w:r>
          </w:p>
        </w:tc>
        <w:tc>
          <w:tcPr>
            <w:tcW w:w="678" w:type="dxa"/>
            <w:vAlign w:val="center"/>
            <w:hideMark/>
          </w:tcPr>
          <w:p w14:paraId="0174E9DC" w14:textId="77777777" w:rsidR="00BB1A14" w:rsidRPr="00E22444" w:rsidRDefault="00BB1A14" w:rsidP="00E22444">
            <w:pPr>
              <w:pStyle w:val="NoSpacing"/>
              <w:jc w:val="center"/>
              <w:rPr>
                <w:rFonts w:ascii="Times New Roman" w:hAnsi="Times New Roman" w:cs="Times New Roman"/>
                <w:sz w:val="16"/>
                <w:szCs w:val="16"/>
              </w:rPr>
            </w:pPr>
            <w:r w:rsidRPr="00E22444">
              <w:rPr>
                <w:rFonts w:ascii="Times New Roman" w:hAnsi="Times New Roman" w:cs="Times New Roman"/>
                <w:sz w:val="16"/>
                <w:szCs w:val="16"/>
              </w:rPr>
              <w:t>473.52</w:t>
            </w:r>
          </w:p>
        </w:tc>
        <w:tc>
          <w:tcPr>
            <w:tcW w:w="672" w:type="dxa"/>
            <w:vAlign w:val="center"/>
            <w:hideMark/>
          </w:tcPr>
          <w:p w14:paraId="7D3C5258" w14:textId="77777777" w:rsidR="00BB1A14" w:rsidRPr="00E22444" w:rsidRDefault="00BB1A14" w:rsidP="00E22444">
            <w:pPr>
              <w:pStyle w:val="NoSpacing"/>
              <w:jc w:val="center"/>
              <w:rPr>
                <w:rFonts w:ascii="Times New Roman" w:hAnsi="Times New Roman" w:cs="Times New Roman"/>
                <w:sz w:val="16"/>
                <w:szCs w:val="16"/>
              </w:rPr>
            </w:pPr>
            <w:r w:rsidRPr="00E22444">
              <w:rPr>
                <w:rFonts w:ascii="Times New Roman" w:hAnsi="Times New Roman" w:cs="Times New Roman"/>
                <w:sz w:val="16"/>
                <w:szCs w:val="16"/>
              </w:rPr>
              <w:t>311.85</w:t>
            </w:r>
          </w:p>
        </w:tc>
        <w:tc>
          <w:tcPr>
            <w:tcW w:w="610" w:type="dxa"/>
            <w:vAlign w:val="center"/>
            <w:hideMark/>
          </w:tcPr>
          <w:p w14:paraId="0E2FE75E" w14:textId="77777777" w:rsidR="00BB1A14" w:rsidRPr="00E22444" w:rsidRDefault="00BB1A14" w:rsidP="00E22444">
            <w:pPr>
              <w:pStyle w:val="NoSpacing"/>
              <w:jc w:val="center"/>
              <w:rPr>
                <w:rFonts w:ascii="Times New Roman" w:hAnsi="Times New Roman" w:cs="Times New Roman"/>
                <w:sz w:val="16"/>
                <w:szCs w:val="16"/>
              </w:rPr>
            </w:pPr>
            <w:r w:rsidRPr="00E22444">
              <w:rPr>
                <w:rFonts w:ascii="Times New Roman" w:hAnsi="Times New Roman" w:cs="Times New Roman"/>
                <w:sz w:val="16"/>
                <w:szCs w:val="16"/>
              </w:rPr>
              <w:t>224.81</w:t>
            </w:r>
          </w:p>
        </w:tc>
        <w:tc>
          <w:tcPr>
            <w:tcW w:w="678" w:type="dxa"/>
            <w:vAlign w:val="center"/>
            <w:hideMark/>
          </w:tcPr>
          <w:p w14:paraId="5ECBC7A8" w14:textId="77777777" w:rsidR="00BB1A14" w:rsidRPr="00E22444" w:rsidRDefault="00BB1A14" w:rsidP="00E22444">
            <w:pPr>
              <w:pStyle w:val="NoSpacing"/>
              <w:jc w:val="center"/>
              <w:rPr>
                <w:rFonts w:ascii="Times New Roman" w:hAnsi="Times New Roman" w:cs="Times New Roman"/>
                <w:sz w:val="16"/>
                <w:szCs w:val="16"/>
              </w:rPr>
            </w:pPr>
            <w:r w:rsidRPr="00E22444">
              <w:rPr>
                <w:rFonts w:ascii="Times New Roman" w:hAnsi="Times New Roman" w:cs="Times New Roman"/>
                <w:sz w:val="16"/>
                <w:szCs w:val="16"/>
              </w:rPr>
              <w:t>536.66</w:t>
            </w:r>
          </w:p>
        </w:tc>
      </w:tr>
      <w:tr w:rsidR="00BB1A14" w:rsidRPr="00E22444" w14:paraId="269882BC" w14:textId="77777777" w:rsidTr="00E22444">
        <w:trPr>
          <w:trHeight w:val="21"/>
          <w:jc w:val="center"/>
        </w:trPr>
        <w:tc>
          <w:tcPr>
            <w:tcW w:w="1164" w:type="dxa"/>
            <w:hideMark/>
          </w:tcPr>
          <w:p w14:paraId="755C8EB9" w14:textId="77777777" w:rsidR="00BB1A14" w:rsidRPr="00E22444" w:rsidRDefault="00BB1A14" w:rsidP="00BB1A14">
            <w:pPr>
              <w:pStyle w:val="NoSpacing"/>
              <w:rPr>
                <w:rFonts w:ascii="Times New Roman" w:hAnsi="Times New Roman" w:cs="Times New Roman"/>
                <w:sz w:val="16"/>
                <w:szCs w:val="16"/>
              </w:rPr>
            </w:pPr>
            <w:r w:rsidRPr="00E22444">
              <w:rPr>
                <w:rFonts w:ascii="Times New Roman" w:hAnsi="Times New Roman" w:cs="Times New Roman"/>
                <w:sz w:val="16"/>
                <w:szCs w:val="16"/>
              </w:rPr>
              <w:t>16. Extraordinary Items</w:t>
            </w:r>
          </w:p>
        </w:tc>
        <w:tc>
          <w:tcPr>
            <w:tcW w:w="677" w:type="dxa"/>
            <w:vAlign w:val="center"/>
            <w:hideMark/>
          </w:tcPr>
          <w:p w14:paraId="7ADC5639" w14:textId="77777777" w:rsidR="00BB1A14" w:rsidRPr="00E22444" w:rsidRDefault="00BB1A14" w:rsidP="00E22444">
            <w:pPr>
              <w:pStyle w:val="NoSpacing"/>
              <w:jc w:val="center"/>
              <w:rPr>
                <w:rFonts w:ascii="Times New Roman" w:hAnsi="Times New Roman" w:cs="Times New Roman"/>
                <w:sz w:val="16"/>
                <w:szCs w:val="16"/>
              </w:rPr>
            </w:pPr>
            <w:r w:rsidRPr="00E22444">
              <w:rPr>
                <w:rFonts w:ascii="Times New Roman" w:hAnsi="Times New Roman" w:cs="Times New Roman"/>
                <w:sz w:val="16"/>
                <w:szCs w:val="16"/>
              </w:rPr>
              <w:t>127.05</w:t>
            </w:r>
          </w:p>
        </w:tc>
        <w:tc>
          <w:tcPr>
            <w:tcW w:w="609" w:type="dxa"/>
            <w:vAlign w:val="center"/>
            <w:hideMark/>
          </w:tcPr>
          <w:p w14:paraId="71E4D532" w14:textId="77777777" w:rsidR="00BB1A14" w:rsidRPr="00E22444" w:rsidRDefault="00BB1A14" w:rsidP="00E22444">
            <w:pPr>
              <w:pStyle w:val="NoSpacing"/>
              <w:jc w:val="center"/>
              <w:rPr>
                <w:rFonts w:ascii="Times New Roman" w:hAnsi="Times New Roman" w:cs="Times New Roman"/>
                <w:sz w:val="16"/>
                <w:szCs w:val="16"/>
              </w:rPr>
            </w:pPr>
            <w:r w:rsidRPr="00E22444">
              <w:rPr>
                <w:rFonts w:ascii="Times New Roman" w:hAnsi="Times New Roman" w:cs="Times New Roman"/>
                <w:sz w:val="16"/>
                <w:szCs w:val="16"/>
              </w:rPr>
              <w:t>0.23</w:t>
            </w:r>
          </w:p>
        </w:tc>
        <w:tc>
          <w:tcPr>
            <w:tcW w:w="678" w:type="dxa"/>
            <w:vAlign w:val="center"/>
            <w:hideMark/>
          </w:tcPr>
          <w:p w14:paraId="72D3CF2E" w14:textId="77777777" w:rsidR="00BB1A14" w:rsidRPr="00E22444" w:rsidRDefault="00BB1A14" w:rsidP="00E22444">
            <w:pPr>
              <w:pStyle w:val="NoSpacing"/>
              <w:jc w:val="center"/>
              <w:rPr>
                <w:rFonts w:ascii="Times New Roman" w:hAnsi="Times New Roman" w:cs="Times New Roman"/>
                <w:sz w:val="16"/>
                <w:szCs w:val="16"/>
              </w:rPr>
            </w:pPr>
            <w:r w:rsidRPr="00E22444">
              <w:rPr>
                <w:rFonts w:ascii="Times New Roman" w:hAnsi="Times New Roman" w:cs="Times New Roman"/>
                <w:sz w:val="16"/>
                <w:szCs w:val="16"/>
              </w:rPr>
              <w:t>127.28</w:t>
            </w:r>
          </w:p>
        </w:tc>
        <w:tc>
          <w:tcPr>
            <w:tcW w:w="678" w:type="dxa"/>
            <w:vAlign w:val="center"/>
            <w:hideMark/>
          </w:tcPr>
          <w:p w14:paraId="42C006D4" w14:textId="77777777" w:rsidR="00BB1A14" w:rsidRPr="00E22444" w:rsidRDefault="00BB1A14" w:rsidP="00E22444">
            <w:pPr>
              <w:pStyle w:val="NoSpacing"/>
              <w:jc w:val="center"/>
              <w:rPr>
                <w:rFonts w:ascii="Times New Roman" w:hAnsi="Times New Roman" w:cs="Times New Roman"/>
                <w:sz w:val="16"/>
                <w:szCs w:val="16"/>
              </w:rPr>
            </w:pPr>
            <w:r w:rsidRPr="00E22444">
              <w:rPr>
                <w:rFonts w:ascii="Times New Roman" w:hAnsi="Times New Roman" w:cs="Times New Roman"/>
                <w:sz w:val="16"/>
                <w:szCs w:val="16"/>
              </w:rPr>
              <w:t>81.29</w:t>
            </w:r>
          </w:p>
        </w:tc>
        <w:tc>
          <w:tcPr>
            <w:tcW w:w="610" w:type="dxa"/>
            <w:vAlign w:val="center"/>
            <w:hideMark/>
          </w:tcPr>
          <w:p w14:paraId="5BD2DB3D" w14:textId="77777777" w:rsidR="00BB1A14" w:rsidRPr="00E22444" w:rsidRDefault="00BB1A14" w:rsidP="00E22444">
            <w:pPr>
              <w:pStyle w:val="NoSpacing"/>
              <w:jc w:val="center"/>
              <w:rPr>
                <w:rFonts w:ascii="Times New Roman" w:hAnsi="Times New Roman" w:cs="Times New Roman"/>
                <w:sz w:val="16"/>
                <w:szCs w:val="16"/>
              </w:rPr>
            </w:pPr>
            <w:r w:rsidRPr="00E22444">
              <w:rPr>
                <w:rFonts w:ascii="Times New Roman" w:hAnsi="Times New Roman" w:cs="Times New Roman"/>
                <w:sz w:val="16"/>
                <w:szCs w:val="16"/>
              </w:rPr>
              <w:t>..</w:t>
            </w:r>
          </w:p>
        </w:tc>
        <w:tc>
          <w:tcPr>
            <w:tcW w:w="678" w:type="dxa"/>
            <w:vAlign w:val="center"/>
            <w:hideMark/>
          </w:tcPr>
          <w:p w14:paraId="4331A666" w14:textId="77777777" w:rsidR="00BB1A14" w:rsidRPr="00E22444" w:rsidRDefault="00BB1A14" w:rsidP="00E22444">
            <w:pPr>
              <w:pStyle w:val="NoSpacing"/>
              <w:jc w:val="center"/>
              <w:rPr>
                <w:rFonts w:ascii="Times New Roman" w:hAnsi="Times New Roman" w:cs="Times New Roman"/>
                <w:sz w:val="16"/>
                <w:szCs w:val="16"/>
              </w:rPr>
            </w:pPr>
            <w:r w:rsidRPr="00E22444">
              <w:rPr>
                <w:rFonts w:ascii="Times New Roman" w:hAnsi="Times New Roman" w:cs="Times New Roman"/>
                <w:sz w:val="16"/>
                <w:szCs w:val="16"/>
              </w:rPr>
              <w:t>81.29</w:t>
            </w:r>
          </w:p>
        </w:tc>
        <w:tc>
          <w:tcPr>
            <w:tcW w:w="678" w:type="dxa"/>
            <w:vAlign w:val="center"/>
            <w:hideMark/>
          </w:tcPr>
          <w:p w14:paraId="62C97ED4" w14:textId="77777777" w:rsidR="00BB1A14" w:rsidRPr="00E22444" w:rsidRDefault="00BB1A14" w:rsidP="00E22444">
            <w:pPr>
              <w:pStyle w:val="NoSpacing"/>
              <w:jc w:val="center"/>
              <w:rPr>
                <w:rFonts w:ascii="Times New Roman" w:hAnsi="Times New Roman" w:cs="Times New Roman"/>
                <w:sz w:val="16"/>
                <w:szCs w:val="16"/>
              </w:rPr>
            </w:pPr>
            <w:r w:rsidRPr="00E22444">
              <w:rPr>
                <w:rFonts w:ascii="Times New Roman" w:hAnsi="Times New Roman" w:cs="Times New Roman"/>
                <w:sz w:val="16"/>
                <w:szCs w:val="16"/>
              </w:rPr>
              <w:t>14.07</w:t>
            </w:r>
          </w:p>
        </w:tc>
        <w:tc>
          <w:tcPr>
            <w:tcW w:w="610" w:type="dxa"/>
            <w:vAlign w:val="center"/>
            <w:hideMark/>
          </w:tcPr>
          <w:p w14:paraId="67137ACE" w14:textId="77777777" w:rsidR="00BB1A14" w:rsidRPr="00E22444" w:rsidRDefault="00BB1A14" w:rsidP="00E22444">
            <w:pPr>
              <w:pStyle w:val="NoSpacing"/>
              <w:jc w:val="center"/>
              <w:rPr>
                <w:rFonts w:ascii="Times New Roman" w:hAnsi="Times New Roman" w:cs="Times New Roman"/>
                <w:sz w:val="16"/>
                <w:szCs w:val="16"/>
              </w:rPr>
            </w:pPr>
            <w:r w:rsidRPr="00E22444">
              <w:rPr>
                <w:rFonts w:ascii="Times New Roman" w:hAnsi="Times New Roman" w:cs="Times New Roman"/>
                <w:sz w:val="16"/>
                <w:szCs w:val="16"/>
              </w:rPr>
              <w:t>..</w:t>
            </w:r>
          </w:p>
        </w:tc>
        <w:tc>
          <w:tcPr>
            <w:tcW w:w="678" w:type="dxa"/>
            <w:vAlign w:val="center"/>
            <w:hideMark/>
          </w:tcPr>
          <w:p w14:paraId="715B3156" w14:textId="77777777" w:rsidR="00BB1A14" w:rsidRPr="00E22444" w:rsidRDefault="00BB1A14" w:rsidP="00E22444">
            <w:pPr>
              <w:pStyle w:val="NoSpacing"/>
              <w:jc w:val="center"/>
              <w:rPr>
                <w:rFonts w:ascii="Times New Roman" w:hAnsi="Times New Roman" w:cs="Times New Roman"/>
                <w:sz w:val="16"/>
                <w:szCs w:val="16"/>
              </w:rPr>
            </w:pPr>
            <w:r w:rsidRPr="00E22444">
              <w:rPr>
                <w:rFonts w:ascii="Times New Roman" w:hAnsi="Times New Roman" w:cs="Times New Roman"/>
                <w:sz w:val="16"/>
                <w:szCs w:val="16"/>
              </w:rPr>
              <w:t>14.07</w:t>
            </w:r>
          </w:p>
        </w:tc>
        <w:tc>
          <w:tcPr>
            <w:tcW w:w="678" w:type="dxa"/>
            <w:vAlign w:val="center"/>
            <w:hideMark/>
          </w:tcPr>
          <w:p w14:paraId="52809DC9" w14:textId="77777777" w:rsidR="00BB1A14" w:rsidRPr="00E22444" w:rsidRDefault="00BB1A14" w:rsidP="00E22444">
            <w:pPr>
              <w:pStyle w:val="NoSpacing"/>
              <w:jc w:val="center"/>
              <w:rPr>
                <w:rFonts w:ascii="Times New Roman" w:hAnsi="Times New Roman" w:cs="Times New Roman"/>
                <w:sz w:val="16"/>
                <w:szCs w:val="16"/>
              </w:rPr>
            </w:pPr>
            <w:r w:rsidRPr="00E22444">
              <w:rPr>
                <w:rFonts w:ascii="Times New Roman" w:hAnsi="Times New Roman" w:cs="Times New Roman"/>
                <w:sz w:val="16"/>
                <w:szCs w:val="16"/>
              </w:rPr>
              <w:t>8.91</w:t>
            </w:r>
          </w:p>
        </w:tc>
        <w:tc>
          <w:tcPr>
            <w:tcW w:w="610" w:type="dxa"/>
            <w:vAlign w:val="center"/>
            <w:hideMark/>
          </w:tcPr>
          <w:p w14:paraId="2B321771" w14:textId="77777777" w:rsidR="00BB1A14" w:rsidRPr="00E22444" w:rsidRDefault="00BB1A14" w:rsidP="00E22444">
            <w:pPr>
              <w:pStyle w:val="NoSpacing"/>
              <w:jc w:val="center"/>
              <w:rPr>
                <w:rFonts w:ascii="Times New Roman" w:hAnsi="Times New Roman" w:cs="Times New Roman"/>
                <w:sz w:val="16"/>
                <w:szCs w:val="16"/>
              </w:rPr>
            </w:pPr>
            <w:r w:rsidRPr="00E22444">
              <w:rPr>
                <w:rFonts w:ascii="Times New Roman" w:hAnsi="Times New Roman" w:cs="Times New Roman"/>
                <w:sz w:val="16"/>
                <w:szCs w:val="16"/>
              </w:rPr>
              <w:t>..</w:t>
            </w:r>
          </w:p>
        </w:tc>
        <w:tc>
          <w:tcPr>
            <w:tcW w:w="678" w:type="dxa"/>
            <w:vAlign w:val="center"/>
            <w:hideMark/>
          </w:tcPr>
          <w:p w14:paraId="3BBA0159" w14:textId="77777777" w:rsidR="00BB1A14" w:rsidRPr="00E22444" w:rsidRDefault="00BB1A14" w:rsidP="00E22444">
            <w:pPr>
              <w:pStyle w:val="NoSpacing"/>
              <w:jc w:val="center"/>
              <w:rPr>
                <w:rFonts w:ascii="Times New Roman" w:hAnsi="Times New Roman" w:cs="Times New Roman"/>
                <w:sz w:val="16"/>
                <w:szCs w:val="16"/>
              </w:rPr>
            </w:pPr>
            <w:r w:rsidRPr="00E22444">
              <w:rPr>
                <w:rFonts w:ascii="Times New Roman" w:hAnsi="Times New Roman" w:cs="Times New Roman"/>
                <w:sz w:val="16"/>
                <w:szCs w:val="16"/>
              </w:rPr>
              <w:t>8.91</w:t>
            </w:r>
          </w:p>
        </w:tc>
        <w:tc>
          <w:tcPr>
            <w:tcW w:w="672" w:type="dxa"/>
            <w:vAlign w:val="center"/>
            <w:hideMark/>
          </w:tcPr>
          <w:p w14:paraId="69D28F1E" w14:textId="77777777" w:rsidR="00BB1A14" w:rsidRPr="00E22444" w:rsidRDefault="00BB1A14" w:rsidP="00E22444">
            <w:pPr>
              <w:pStyle w:val="NoSpacing"/>
              <w:jc w:val="center"/>
              <w:rPr>
                <w:rFonts w:ascii="Times New Roman" w:hAnsi="Times New Roman" w:cs="Times New Roman"/>
                <w:sz w:val="16"/>
                <w:szCs w:val="16"/>
              </w:rPr>
            </w:pPr>
            <w:r w:rsidRPr="00E22444">
              <w:rPr>
                <w:rFonts w:ascii="Times New Roman" w:hAnsi="Times New Roman" w:cs="Times New Roman"/>
                <w:sz w:val="16"/>
                <w:szCs w:val="16"/>
              </w:rPr>
              <w:t>11.32</w:t>
            </w:r>
          </w:p>
        </w:tc>
        <w:tc>
          <w:tcPr>
            <w:tcW w:w="610" w:type="dxa"/>
            <w:vAlign w:val="center"/>
            <w:hideMark/>
          </w:tcPr>
          <w:p w14:paraId="4DC95F4B" w14:textId="77777777" w:rsidR="00BB1A14" w:rsidRPr="00E22444" w:rsidRDefault="00BB1A14" w:rsidP="00E22444">
            <w:pPr>
              <w:pStyle w:val="NoSpacing"/>
              <w:jc w:val="center"/>
              <w:rPr>
                <w:rFonts w:ascii="Times New Roman" w:hAnsi="Times New Roman" w:cs="Times New Roman"/>
                <w:sz w:val="16"/>
                <w:szCs w:val="16"/>
              </w:rPr>
            </w:pPr>
            <w:r w:rsidRPr="00E22444">
              <w:rPr>
                <w:rFonts w:ascii="Times New Roman" w:hAnsi="Times New Roman" w:cs="Times New Roman"/>
                <w:sz w:val="16"/>
                <w:szCs w:val="16"/>
              </w:rPr>
              <w:t>..</w:t>
            </w:r>
          </w:p>
        </w:tc>
        <w:tc>
          <w:tcPr>
            <w:tcW w:w="678" w:type="dxa"/>
            <w:vAlign w:val="center"/>
            <w:hideMark/>
          </w:tcPr>
          <w:p w14:paraId="4159A194" w14:textId="77777777" w:rsidR="00BB1A14" w:rsidRPr="00E22444" w:rsidRDefault="00BB1A14" w:rsidP="00E22444">
            <w:pPr>
              <w:pStyle w:val="NoSpacing"/>
              <w:jc w:val="center"/>
              <w:rPr>
                <w:rFonts w:ascii="Times New Roman" w:hAnsi="Times New Roman" w:cs="Times New Roman"/>
                <w:sz w:val="16"/>
                <w:szCs w:val="16"/>
              </w:rPr>
            </w:pPr>
            <w:r w:rsidRPr="00E22444">
              <w:rPr>
                <w:rFonts w:ascii="Times New Roman" w:hAnsi="Times New Roman" w:cs="Times New Roman"/>
                <w:sz w:val="16"/>
                <w:szCs w:val="16"/>
              </w:rPr>
              <w:t>11.32</w:t>
            </w:r>
          </w:p>
        </w:tc>
      </w:tr>
      <w:tr w:rsidR="00BB1A14" w:rsidRPr="00E22444" w14:paraId="0A81F7CE" w14:textId="77777777" w:rsidTr="00E22444">
        <w:trPr>
          <w:trHeight w:val="21"/>
          <w:jc w:val="center"/>
        </w:trPr>
        <w:tc>
          <w:tcPr>
            <w:tcW w:w="1164" w:type="dxa"/>
            <w:hideMark/>
          </w:tcPr>
          <w:p w14:paraId="43DC2337" w14:textId="77777777" w:rsidR="00BB1A14" w:rsidRPr="00E22444" w:rsidRDefault="00BB1A14" w:rsidP="00BB1A14">
            <w:pPr>
              <w:pStyle w:val="NoSpacing"/>
              <w:rPr>
                <w:rFonts w:ascii="Times New Roman" w:hAnsi="Times New Roman" w:cs="Times New Roman"/>
                <w:sz w:val="16"/>
                <w:szCs w:val="16"/>
              </w:rPr>
            </w:pPr>
            <w:r w:rsidRPr="00E22444">
              <w:rPr>
                <w:rFonts w:ascii="Times New Roman" w:hAnsi="Times New Roman" w:cs="Times New Roman"/>
                <w:sz w:val="16"/>
                <w:szCs w:val="16"/>
              </w:rPr>
              <w:t>17. Defence Services (net)</w:t>
            </w:r>
          </w:p>
        </w:tc>
        <w:tc>
          <w:tcPr>
            <w:tcW w:w="677" w:type="dxa"/>
            <w:vAlign w:val="center"/>
            <w:hideMark/>
          </w:tcPr>
          <w:p w14:paraId="6F3FC24E" w14:textId="77777777" w:rsidR="00BB1A14" w:rsidRPr="00E22444" w:rsidRDefault="00BB1A14" w:rsidP="00E22444">
            <w:pPr>
              <w:pStyle w:val="NoSpacing"/>
              <w:jc w:val="center"/>
              <w:rPr>
                <w:rFonts w:ascii="Times New Roman" w:hAnsi="Times New Roman" w:cs="Times New Roman"/>
                <w:sz w:val="16"/>
                <w:szCs w:val="16"/>
              </w:rPr>
            </w:pPr>
            <w:r w:rsidRPr="00E22444">
              <w:rPr>
                <w:rFonts w:ascii="Times New Roman" w:hAnsi="Times New Roman" w:cs="Times New Roman"/>
                <w:sz w:val="16"/>
                <w:szCs w:val="16"/>
              </w:rPr>
              <w:t>692.85</w:t>
            </w:r>
          </w:p>
        </w:tc>
        <w:tc>
          <w:tcPr>
            <w:tcW w:w="609" w:type="dxa"/>
            <w:vAlign w:val="center"/>
            <w:hideMark/>
          </w:tcPr>
          <w:p w14:paraId="7C0E158E" w14:textId="77777777" w:rsidR="00BB1A14" w:rsidRPr="00E22444" w:rsidRDefault="00BB1A14" w:rsidP="00E22444">
            <w:pPr>
              <w:pStyle w:val="NoSpacing"/>
              <w:jc w:val="center"/>
              <w:rPr>
                <w:rFonts w:ascii="Times New Roman" w:hAnsi="Times New Roman" w:cs="Times New Roman"/>
                <w:sz w:val="16"/>
                <w:szCs w:val="16"/>
              </w:rPr>
            </w:pPr>
            <w:r w:rsidRPr="00E22444">
              <w:rPr>
                <w:rFonts w:ascii="Times New Roman" w:hAnsi="Times New Roman" w:cs="Times New Roman"/>
                <w:sz w:val="16"/>
                <w:szCs w:val="16"/>
              </w:rPr>
              <w:t>..</w:t>
            </w:r>
          </w:p>
        </w:tc>
        <w:tc>
          <w:tcPr>
            <w:tcW w:w="678" w:type="dxa"/>
            <w:vAlign w:val="center"/>
            <w:hideMark/>
          </w:tcPr>
          <w:p w14:paraId="435DE617" w14:textId="77777777" w:rsidR="00BB1A14" w:rsidRPr="00E22444" w:rsidRDefault="00BB1A14" w:rsidP="00E22444">
            <w:pPr>
              <w:pStyle w:val="NoSpacing"/>
              <w:jc w:val="center"/>
              <w:rPr>
                <w:rFonts w:ascii="Times New Roman" w:hAnsi="Times New Roman" w:cs="Times New Roman"/>
                <w:sz w:val="16"/>
                <w:szCs w:val="16"/>
              </w:rPr>
            </w:pPr>
            <w:r w:rsidRPr="00E22444">
              <w:rPr>
                <w:rFonts w:ascii="Times New Roman" w:hAnsi="Times New Roman" w:cs="Times New Roman"/>
                <w:sz w:val="16"/>
                <w:szCs w:val="16"/>
              </w:rPr>
              <w:t>692.85</w:t>
            </w:r>
          </w:p>
        </w:tc>
        <w:tc>
          <w:tcPr>
            <w:tcW w:w="678" w:type="dxa"/>
            <w:vAlign w:val="center"/>
            <w:hideMark/>
          </w:tcPr>
          <w:p w14:paraId="0450E3CA" w14:textId="77777777" w:rsidR="00BB1A14" w:rsidRPr="00E22444" w:rsidRDefault="00BB1A14" w:rsidP="00E22444">
            <w:pPr>
              <w:pStyle w:val="NoSpacing"/>
              <w:jc w:val="center"/>
              <w:rPr>
                <w:rFonts w:ascii="Times New Roman" w:hAnsi="Times New Roman" w:cs="Times New Roman"/>
                <w:sz w:val="16"/>
                <w:szCs w:val="16"/>
              </w:rPr>
            </w:pPr>
            <w:r w:rsidRPr="00E22444">
              <w:rPr>
                <w:rFonts w:ascii="Times New Roman" w:hAnsi="Times New Roman" w:cs="Times New Roman"/>
                <w:sz w:val="16"/>
                <w:szCs w:val="16"/>
              </w:rPr>
              <w:t>762.18</w:t>
            </w:r>
          </w:p>
        </w:tc>
        <w:tc>
          <w:tcPr>
            <w:tcW w:w="610" w:type="dxa"/>
            <w:vAlign w:val="center"/>
            <w:hideMark/>
          </w:tcPr>
          <w:p w14:paraId="2E3F7149" w14:textId="77777777" w:rsidR="00BB1A14" w:rsidRPr="00E22444" w:rsidRDefault="00BB1A14" w:rsidP="00E22444">
            <w:pPr>
              <w:pStyle w:val="NoSpacing"/>
              <w:jc w:val="center"/>
              <w:rPr>
                <w:rFonts w:ascii="Times New Roman" w:hAnsi="Times New Roman" w:cs="Times New Roman"/>
                <w:sz w:val="16"/>
                <w:szCs w:val="16"/>
              </w:rPr>
            </w:pPr>
            <w:r w:rsidRPr="00E22444">
              <w:rPr>
                <w:rFonts w:ascii="Times New Roman" w:hAnsi="Times New Roman" w:cs="Times New Roman"/>
                <w:sz w:val="16"/>
                <w:szCs w:val="16"/>
              </w:rPr>
              <w:t>..</w:t>
            </w:r>
          </w:p>
        </w:tc>
        <w:tc>
          <w:tcPr>
            <w:tcW w:w="678" w:type="dxa"/>
            <w:vAlign w:val="center"/>
            <w:hideMark/>
          </w:tcPr>
          <w:p w14:paraId="52E9BA23" w14:textId="77777777" w:rsidR="00BB1A14" w:rsidRPr="00E22444" w:rsidRDefault="00BB1A14" w:rsidP="00E22444">
            <w:pPr>
              <w:pStyle w:val="NoSpacing"/>
              <w:jc w:val="center"/>
              <w:rPr>
                <w:rFonts w:ascii="Times New Roman" w:hAnsi="Times New Roman" w:cs="Times New Roman"/>
                <w:sz w:val="16"/>
                <w:szCs w:val="16"/>
              </w:rPr>
            </w:pPr>
            <w:r w:rsidRPr="00E22444">
              <w:rPr>
                <w:rFonts w:ascii="Times New Roman" w:hAnsi="Times New Roman" w:cs="Times New Roman"/>
                <w:sz w:val="16"/>
                <w:szCs w:val="16"/>
              </w:rPr>
              <w:t>762.18</w:t>
            </w:r>
          </w:p>
        </w:tc>
        <w:tc>
          <w:tcPr>
            <w:tcW w:w="678" w:type="dxa"/>
            <w:vAlign w:val="center"/>
            <w:hideMark/>
          </w:tcPr>
          <w:p w14:paraId="6B96A887" w14:textId="77777777" w:rsidR="00BB1A14" w:rsidRPr="00E22444" w:rsidRDefault="00BB1A14" w:rsidP="00E22444">
            <w:pPr>
              <w:pStyle w:val="NoSpacing"/>
              <w:jc w:val="center"/>
              <w:rPr>
                <w:rFonts w:ascii="Times New Roman" w:hAnsi="Times New Roman" w:cs="Times New Roman"/>
                <w:sz w:val="16"/>
                <w:szCs w:val="16"/>
              </w:rPr>
            </w:pPr>
            <w:r w:rsidRPr="00E22444">
              <w:rPr>
                <w:rFonts w:ascii="Times New Roman" w:hAnsi="Times New Roman" w:cs="Times New Roman"/>
                <w:sz w:val="16"/>
                <w:szCs w:val="16"/>
              </w:rPr>
              <w:t>797.80</w:t>
            </w:r>
          </w:p>
        </w:tc>
        <w:tc>
          <w:tcPr>
            <w:tcW w:w="610" w:type="dxa"/>
            <w:vAlign w:val="center"/>
            <w:hideMark/>
          </w:tcPr>
          <w:p w14:paraId="0DCC3EC1" w14:textId="77777777" w:rsidR="00BB1A14" w:rsidRPr="00E22444" w:rsidRDefault="00BB1A14" w:rsidP="00E22444">
            <w:pPr>
              <w:pStyle w:val="NoSpacing"/>
              <w:jc w:val="center"/>
              <w:rPr>
                <w:rFonts w:ascii="Times New Roman" w:hAnsi="Times New Roman" w:cs="Times New Roman"/>
                <w:sz w:val="16"/>
                <w:szCs w:val="16"/>
              </w:rPr>
            </w:pPr>
            <w:r w:rsidRPr="00E22444">
              <w:rPr>
                <w:rFonts w:ascii="Times New Roman" w:hAnsi="Times New Roman" w:cs="Times New Roman"/>
                <w:sz w:val="16"/>
                <w:szCs w:val="16"/>
              </w:rPr>
              <w:t>..</w:t>
            </w:r>
          </w:p>
        </w:tc>
        <w:tc>
          <w:tcPr>
            <w:tcW w:w="678" w:type="dxa"/>
            <w:vAlign w:val="center"/>
            <w:hideMark/>
          </w:tcPr>
          <w:p w14:paraId="6F902164" w14:textId="77777777" w:rsidR="00BB1A14" w:rsidRPr="00E22444" w:rsidRDefault="00BB1A14" w:rsidP="00E22444">
            <w:pPr>
              <w:pStyle w:val="NoSpacing"/>
              <w:jc w:val="center"/>
              <w:rPr>
                <w:rFonts w:ascii="Times New Roman" w:hAnsi="Times New Roman" w:cs="Times New Roman"/>
                <w:sz w:val="16"/>
                <w:szCs w:val="16"/>
              </w:rPr>
            </w:pPr>
            <w:r w:rsidRPr="00E22444">
              <w:rPr>
                <w:rFonts w:ascii="Times New Roman" w:hAnsi="Times New Roman" w:cs="Times New Roman"/>
                <w:sz w:val="16"/>
                <w:szCs w:val="16"/>
              </w:rPr>
              <w:t>797.80</w:t>
            </w:r>
          </w:p>
        </w:tc>
        <w:tc>
          <w:tcPr>
            <w:tcW w:w="678" w:type="dxa"/>
            <w:vAlign w:val="center"/>
            <w:hideMark/>
          </w:tcPr>
          <w:p w14:paraId="075DEAC6" w14:textId="77777777" w:rsidR="00BB1A14" w:rsidRPr="00E22444" w:rsidRDefault="00BB1A14" w:rsidP="00E22444">
            <w:pPr>
              <w:pStyle w:val="NoSpacing"/>
              <w:jc w:val="center"/>
              <w:rPr>
                <w:rFonts w:ascii="Times New Roman" w:hAnsi="Times New Roman" w:cs="Times New Roman"/>
                <w:sz w:val="16"/>
                <w:szCs w:val="16"/>
              </w:rPr>
            </w:pPr>
            <w:r w:rsidRPr="00E22444">
              <w:rPr>
                <w:rFonts w:ascii="Times New Roman" w:hAnsi="Times New Roman" w:cs="Times New Roman"/>
                <w:sz w:val="16"/>
                <w:szCs w:val="16"/>
              </w:rPr>
              <w:t>862.21</w:t>
            </w:r>
          </w:p>
        </w:tc>
        <w:tc>
          <w:tcPr>
            <w:tcW w:w="610" w:type="dxa"/>
            <w:vAlign w:val="center"/>
            <w:hideMark/>
          </w:tcPr>
          <w:p w14:paraId="390461B5" w14:textId="77777777" w:rsidR="00BB1A14" w:rsidRPr="00E22444" w:rsidRDefault="00BB1A14" w:rsidP="00E22444">
            <w:pPr>
              <w:pStyle w:val="NoSpacing"/>
              <w:jc w:val="center"/>
              <w:rPr>
                <w:rFonts w:ascii="Times New Roman" w:hAnsi="Times New Roman" w:cs="Times New Roman"/>
                <w:sz w:val="16"/>
                <w:szCs w:val="16"/>
              </w:rPr>
            </w:pPr>
            <w:r w:rsidRPr="00E22444">
              <w:rPr>
                <w:rFonts w:ascii="Times New Roman" w:hAnsi="Times New Roman" w:cs="Times New Roman"/>
                <w:sz w:val="16"/>
                <w:szCs w:val="16"/>
              </w:rPr>
              <w:t>..</w:t>
            </w:r>
          </w:p>
        </w:tc>
        <w:tc>
          <w:tcPr>
            <w:tcW w:w="678" w:type="dxa"/>
            <w:vAlign w:val="center"/>
            <w:hideMark/>
          </w:tcPr>
          <w:p w14:paraId="782523EF" w14:textId="77777777" w:rsidR="00BB1A14" w:rsidRPr="00E22444" w:rsidRDefault="00BB1A14" w:rsidP="00E22444">
            <w:pPr>
              <w:pStyle w:val="NoSpacing"/>
              <w:jc w:val="center"/>
              <w:rPr>
                <w:rFonts w:ascii="Times New Roman" w:hAnsi="Times New Roman" w:cs="Times New Roman"/>
                <w:sz w:val="16"/>
                <w:szCs w:val="16"/>
              </w:rPr>
            </w:pPr>
            <w:r w:rsidRPr="00E22444">
              <w:rPr>
                <w:rFonts w:ascii="Times New Roman" w:hAnsi="Times New Roman" w:cs="Times New Roman"/>
                <w:sz w:val="16"/>
                <w:szCs w:val="16"/>
              </w:rPr>
              <w:t>862.21</w:t>
            </w:r>
          </w:p>
        </w:tc>
        <w:tc>
          <w:tcPr>
            <w:tcW w:w="672" w:type="dxa"/>
            <w:vAlign w:val="center"/>
            <w:hideMark/>
          </w:tcPr>
          <w:p w14:paraId="43E07718" w14:textId="77777777" w:rsidR="00BB1A14" w:rsidRPr="00E22444" w:rsidRDefault="00BB1A14" w:rsidP="00E22444">
            <w:pPr>
              <w:pStyle w:val="NoSpacing"/>
              <w:jc w:val="center"/>
              <w:rPr>
                <w:rFonts w:ascii="Times New Roman" w:hAnsi="Times New Roman" w:cs="Times New Roman"/>
                <w:sz w:val="16"/>
                <w:szCs w:val="16"/>
              </w:rPr>
            </w:pPr>
            <w:r w:rsidRPr="00E22444">
              <w:rPr>
                <w:rFonts w:ascii="Times New Roman" w:hAnsi="Times New Roman" w:cs="Times New Roman"/>
                <w:sz w:val="16"/>
                <w:szCs w:val="16"/>
              </w:rPr>
              <w:t>943.63</w:t>
            </w:r>
          </w:p>
        </w:tc>
        <w:tc>
          <w:tcPr>
            <w:tcW w:w="610" w:type="dxa"/>
            <w:vAlign w:val="center"/>
            <w:hideMark/>
          </w:tcPr>
          <w:p w14:paraId="1545A385" w14:textId="77777777" w:rsidR="00BB1A14" w:rsidRPr="00E22444" w:rsidRDefault="00BB1A14" w:rsidP="00E22444">
            <w:pPr>
              <w:pStyle w:val="NoSpacing"/>
              <w:jc w:val="center"/>
              <w:rPr>
                <w:rFonts w:ascii="Times New Roman" w:hAnsi="Times New Roman" w:cs="Times New Roman"/>
                <w:sz w:val="16"/>
                <w:szCs w:val="16"/>
              </w:rPr>
            </w:pPr>
            <w:r w:rsidRPr="00E22444">
              <w:rPr>
                <w:rFonts w:ascii="Times New Roman" w:hAnsi="Times New Roman" w:cs="Times New Roman"/>
                <w:sz w:val="16"/>
                <w:szCs w:val="16"/>
              </w:rPr>
              <w:t>..</w:t>
            </w:r>
          </w:p>
        </w:tc>
        <w:tc>
          <w:tcPr>
            <w:tcW w:w="678" w:type="dxa"/>
            <w:vAlign w:val="center"/>
            <w:hideMark/>
          </w:tcPr>
          <w:p w14:paraId="2B9EE9F4" w14:textId="77777777" w:rsidR="00BB1A14" w:rsidRPr="00E22444" w:rsidRDefault="00BB1A14" w:rsidP="00E22444">
            <w:pPr>
              <w:pStyle w:val="NoSpacing"/>
              <w:jc w:val="center"/>
              <w:rPr>
                <w:rFonts w:ascii="Times New Roman" w:hAnsi="Times New Roman" w:cs="Times New Roman"/>
                <w:sz w:val="16"/>
                <w:szCs w:val="16"/>
              </w:rPr>
            </w:pPr>
            <w:r w:rsidRPr="00E22444">
              <w:rPr>
                <w:rFonts w:ascii="Times New Roman" w:hAnsi="Times New Roman" w:cs="Times New Roman"/>
                <w:sz w:val="16"/>
                <w:szCs w:val="16"/>
              </w:rPr>
              <w:t>943.63</w:t>
            </w:r>
          </w:p>
        </w:tc>
      </w:tr>
      <w:tr w:rsidR="00BB1A14" w:rsidRPr="00E22444" w14:paraId="6A607870" w14:textId="77777777" w:rsidTr="00E22444">
        <w:trPr>
          <w:trHeight w:val="21"/>
          <w:jc w:val="center"/>
        </w:trPr>
        <w:tc>
          <w:tcPr>
            <w:tcW w:w="1164" w:type="dxa"/>
            <w:hideMark/>
          </w:tcPr>
          <w:p w14:paraId="370C5C39" w14:textId="77777777" w:rsidR="00BB1A14" w:rsidRPr="00E22444" w:rsidRDefault="00BB1A14" w:rsidP="00BB1A14">
            <w:pPr>
              <w:pStyle w:val="NoSpacing"/>
              <w:rPr>
                <w:rFonts w:ascii="Times New Roman" w:hAnsi="Times New Roman" w:cs="Times New Roman"/>
                <w:sz w:val="16"/>
                <w:szCs w:val="16"/>
              </w:rPr>
            </w:pPr>
            <w:r w:rsidRPr="00E22444">
              <w:rPr>
                <w:rFonts w:ascii="Times New Roman" w:hAnsi="Times New Roman" w:cs="Times New Roman"/>
                <w:sz w:val="16"/>
                <w:szCs w:val="16"/>
              </w:rPr>
              <w:t>18. Others</w:t>
            </w:r>
          </w:p>
        </w:tc>
        <w:tc>
          <w:tcPr>
            <w:tcW w:w="677" w:type="dxa"/>
            <w:vAlign w:val="center"/>
            <w:hideMark/>
          </w:tcPr>
          <w:p w14:paraId="703ACDFF" w14:textId="77777777" w:rsidR="00BB1A14" w:rsidRPr="00E22444" w:rsidRDefault="00BB1A14" w:rsidP="00E22444">
            <w:pPr>
              <w:pStyle w:val="NoSpacing"/>
              <w:jc w:val="center"/>
              <w:rPr>
                <w:rFonts w:ascii="Times New Roman" w:hAnsi="Times New Roman" w:cs="Times New Roman"/>
                <w:sz w:val="16"/>
                <w:szCs w:val="16"/>
              </w:rPr>
            </w:pPr>
            <w:r w:rsidRPr="00E22444">
              <w:rPr>
                <w:rFonts w:ascii="Times New Roman" w:hAnsi="Times New Roman" w:cs="Times New Roman"/>
                <w:sz w:val="16"/>
                <w:szCs w:val="16"/>
              </w:rPr>
              <w:t>4.22</w:t>
            </w:r>
          </w:p>
        </w:tc>
        <w:tc>
          <w:tcPr>
            <w:tcW w:w="609" w:type="dxa"/>
            <w:vAlign w:val="center"/>
            <w:hideMark/>
          </w:tcPr>
          <w:p w14:paraId="1AFDA0EE" w14:textId="77777777" w:rsidR="00BB1A14" w:rsidRPr="00E22444" w:rsidRDefault="00BB1A14" w:rsidP="00E22444">
            <w:pPr>
              <w:pStyle w:val="NoSpacing"/>
              <w:jc w:val="center"/>
              <w:rPr>
                <w:rFonts w:ascii="Times New Roman" w:hAnsi="Times New Roman" w:cs="Times New Roman"/>
                <w:sz w:val="16"/>
                <w:szCs w:val="16"/>
              </w:rPr>
            </w:pPr>
            <w:r w:rsidRPr="00E22444">
              <w:rPr>
                <w:rFonts w:ascii="Times New Roman" w:hAnsi="Times New Roman" w:cs="Times New Roman"/>
                <w:sz w:val="16"/>
                <w:szCs w:val="16"/>
              </w:rPr>
              <w:t>..</w:t>
            </w:r>
          </w:p>
        </w:tc>
        <w:tc>
          <w:tcPr>
            <w:tcW w:w="678" w:type="dxa"/>
            <w:vAlign w:val="center"/>
            <w:hideMark/>
          </w:tcPr>
          <w:p w14:paraId="0F139684" w14:textId="77777777" w:rsidR="00BB1A14" w:rsidRPr="00E22444" w:rsidRDefault="00BB1A14" w:rsidP="00E22444">
            <w:pPr>
              <w:pStyle w:val="NoSpacing"/>
              <w:jc w:val="center"/>
              <w:rPr>
                <w:rFonts w:ascii="Times New Roman" w:hAnsi="Times New Roman" w:cs="Times New Roman"/>
                <w:sz w:val="16"/>
                <w:szCs w:val="16"/>
              </w:rPr>
            </w:pPr>
            <w:r w:rsidRPr="00E22444">
              <w:rPr>
                <w:rFonts w:ascii="Times New Roman" w:hAnsi="Times New Roman" w:cs="Times New Roman"/>
                <w:sz w:val="16"/>
                <w:szCs w:val="16"/>
              </w:rPr>
              <w:t>4.22</w:t>
            </w:r>
          </w:p>
        </w:tc>
        <w:tc>
          <w:tcPr>
            <w:tcW w:w="678" w:type="dxa"/>
            <w:vAlign w:val="center"/>
            <w:hideMark/>
          </w:tcPr>
          <w:p w14:paraId="7D820770" w14:textId="77777777" w:rsidR="00BB1A14" w:rsidRPr="00E22444" w:rsidRDefault="00BB1A14" w:rsidP="00E22444">
            <w:pPr>
              <w:pStyle w:val="NoSpacing"/>
              <w:jc w:val="center"/>
              <w:rPr>
                <w:rFonts w:ascii="Times New Roman" w:hAnsi="Times New Roman" w:cs="Times New Roman"/>
                <w:sz w:val="16"/>
                <w:szCs w:val="16"/>
              </w:rPr>
            </w:pPr>
            <w:r w:rsidRPr="00E22444">
              <w:rPr>
                <w:rFonts w:ascii="Times New Roman" w:hAnsi="Times New Roman" w:cs="Times New Roman"/>
                <w:sz w:val="16"/>
                <w:szCs w:val="16"/>
              </w:rPr>
              <w:t>4.77</w:t>
            </w:r>
          </w:p>
        </w:tc>
        <w:tc>
          <w:tcPr>
            <w:tcW w:w="610" w:type="dxa"/>
            <w:vAlign w:val="center"/>
            <w:hideMark/>
          </w:tcPr>
          <w:p w14:paraId="00644A74" w14:textId="77777777" w:rsidR="00BB1A14" w:rsidRPr="00E22444" w:rsidRDefault="00BB1A14" w:rsidP="00E22444">
            <w:pPr>
              <w:pStyle w:val="NoSpacing"/>
              <w:jc w:val="center"/>
              <w:rPr>
                <w:rFonts w:ascii="Times New Roman" w:hAnsi="Times New Roman" w:cs="Times New Roman"/>
                <w:sz w:val="16"/>
                <w:szCs w:val="16"/>
              </w:rPr>
            </w:pPr>
            <w:r w:rsidRPr="00E22444">
              <w:rPr>
                <w:rFonts w:ascii="Times New Roman" w:hAnsi="Times New Roman" w:cs="Times New Roman"/>
                <w:sz w:val="16"/>
                <w:szCs w:val="16"/>
              </w:rPr>
              <w:t>..</w:t>
            </w:r>
          </w:p>
        </w:tc>
        <w:tc>
          <w:tcPr>
            <w:tcW w:w="678" w:type="dxa"/>
            <w:vAlign w:val="center"/>
            <w:hideMark/>
          </w:tcPr>
          <w:p w14:paraId="2288F3DF" w14:textId="77777777" w:rsidR="00BB1A14" w:rsidRPr="00E22444" w:rsidRDefault="00BB1A14" w:rsidP="00E22444">
            <w:pPr>
              <w:pStyle w:val="NoSpacing"/>
              <w:jc w:val="center"/>
              <w:rPr>
                <w:rFonts w:ascii="Times New Roman" w:hAnsi="Times New Roman" w:cs="Times New Roman"/>
                <w:sz w:val="16"/>
                <w:szCs w:val="16"/>
              </w:rPr>
            </w:pPr>
            <w:r w:rsidRPr="00E22444">
              <w:rPr>
                <w:rFonts w:ascii="Times New Roman" w:hAnsi="Times New Roman" w:cs="Times New Roman"/>
                <w:sz w:val="16"/>
                <w:szCs w:val="16"/>
              </w:rPr>
              <w:t>4.77</w:t>
            </w:r>
          </w:p>
        </w:tc>
        <w:tc>
          <w:tcPr>
            <w:tcW w:w="678" w:type="dxa"/>
            <w:vAlign w:val="center"/>
            <w:hideMark/>
          </w:tcPr>
          <w:p w14:paraId="7B008089" w14:textId="77777777" w:rsidR="00BB1A14" w:rsidRPr="00E22444" w:rsidRDefault="00BB1A14" w:rsidP="00E22444">
            <w:pPr>
              <w:pStyle w:val="NoSpacing"/>
              <w:jc w:val="center"/>
              <w:rPr>
                <w:rFonts w:ascii="Times New Roman" w:hAnsi="Times New Roman" w:cs="Times New Roman"/>
                <w:sz w:val="16"/>
                <w:szCs w:val="16"/>
              </w:rPr>
            </w:pPr>
            <w:r w:rsidRPr="00E22444">
              <w:rPr>
                <w:rFonts w:ascii="Times New Roman" w:hAnsi="Times New Roman" w:cs="Times New Roman"/>
                <w:sz w:val="16"/>
                <w:szCs w:val="16"/>
              </w:rPr>
              <w:t>5.88</w:t>
            </w:r>
          </w:p>
        </w:tc>
        <w:tc>
          <w:tcPr>
            <w:tcW w:w="610" w:type="dxa"/>
            <w:vAlign w:val="center"/>
            <w:hideMark/>
          </w:tcPr>
          <w:p w14:paraId="5D4FFDC8" w14:textId="77777777" w:rsidR="00BB1A14" w:rsidRPr="00E22444" w:rsidRDefault="00BB1A14" w:rsidP="00E22444">
            <w:pPr>
              <w:pStyle w:val="NoSpacing"/>
              <w:jc w:val="center"/>
              <w:rPr>
                <w:rFonts w:ascii="Times New Roman" w:hAnsi="Times New Roman" w:cs="Times New Roman"/>
                <w:sz w:val="16"/>
                <w:szCs w:val="16"/>
              </w:rPr>
            </w:pPr>
            <w:r w:rsidRPr="00E22444">
              <w:rPr>
                <w:rFonts w:ascii="Times New Roman" w:hAnsi="Times New Roman" w:cs="Times New Roman"/>
                <w:sz w:val="16"/>
                <w:szCs w:val="16"/>
              </w:rPr>
              <w:t>..</w:t>
            </w:r>
          </w:p>
        </w:tc>
        <w:tc>
          <w:tcPr>
            <w:tcW w:w="678" w:type="dxa"/>
            <w:vAlign w:val="center"/>
            <w:hideMark/>
          </w:tcPr>
          <w:p w14:paraId="60C7BECA" w14:textId="77777777" w:rsidR="00BB1A14" w:rsidRPr="00E22444" w:rsidRDefault="00BB1A14" w:rsidP="00E22444">
            <w:pPr>
              <w:pStyle w:val="NoSpacing"/>
              <w:jc w:val="center"/>
              <w:rPr>
                <w:rFonts w:ascii="Times New Roman" w:hAnsi="Times New Roman" w:cs="Times New Roman"/>
                <w:sz w:val="16"/>
                <w:szCs w:val="16"/>
              </w:rPr>
            </w:pPr>
            <w:r w:rsidRPr="00E22444">
              <w:rPr>
                <w:rFonts w:ascii="Times New Roman" w:hAnsi="Times New Roman" w:cs="Times New Roman"/>
                <w:sz w:val="16"/>
                <w:szCs w:val="16"/>
              </w:rPr>
              <w:t>5.88</w:t>
            </w:r>
          </w:p>
        </w:tc>
        <w:tc>
          <w:tcPr>
            <w:tcW w:w="678" w:type="dxa"/>
            <w:vAlign w:val="center"/>
            <w:hideMark/>
          </w:tcPr>
          <w:p w14:paraId="69EF431E" w14:textId="77777777" w:rsidR="00BB1A14" w:rsidRPr="00E22444" w:rsidRDefault="00BB1A14" w:rsidP="00E22444">
            <w:pPr>
              <w:pStyle w:val="NoSpacing"/>
              <w:jc w:val="center"/>
              <w:rPr>
                <w:rFonts w:ascii="Times New Roman" w:hAnsi="Times New Roman" w:cs="Times New Roman"/>
                <w:sz w:val="16"/>
                <w:szCs w:val="16"/>
              </w:rPr>
            </w:pPr>
            <w:r w:rsidRPr="00E22444">
              <w:rPr>
                <w:rFonts w:ascii="Times New Roman" w:hAnsi="Times New Roman" w:cs="Times New Roman"/>
                <w:sz w:val="16"/>
                <w:szCs w:val="16"/>
              </w:rPr>
              <w:t>6.19</w:t>
            </w:r>
          </w:p>
        </w:tc>
        <w:tc>
          <w:tcPr>
            <w:tcW w:w="610" w:type="dxa"/>
            <w:vAlign w:val="center"/>
            <w:hideMark/>
          </w:tcPr>
          <w:p w14:paraId="1AEEB9C8" w14:textId="77777777" w:rsidR="00BB1A14" w:rsidRPr="00E22444" w:rsidRDefault="00BB1A14" w:rsidP="00E22444">
            <w:pPr>
              <w:pStyle w:val="NoSpacing"/>
              <w:jc w:val="center"/>
              <w:rPr>
                <w:rFonts w:ascii="Times New Roman" w:hAnsi="Times New Roman" w:cs="Times New Roman"/>
                <w:sz w:val="16"/>
                <w:szCs w:val="16"/>
              </w:rPr>
            </w:pPr>
            <w:r w:rsidRPr="00E22444">
              <w:rPr>
                <w:rFonts w:ascii="Times New Roman" w:hAnsi="Times New Roman" w:cs="Times New Roman"/>
                <w:sz w:val="16"/>
                <w:szCs w:val="16"/>
              </w:rPr>
              <w:t>..</w:t>
            </w:r>
          </w:p>
        </w:tc>
        <w:tc>
          <w:tcPr>
            <w:tcW w:w="678" w:type="dxa"/>
            <w:vAlign w:val="center"/>
            <w:hideMark/>
          </w:tcPr>
          <w:p w14:paraId="5359E600" w14:textId="77777777" w:rsidR="00BB1A14" w:rsidRPr="00E22444" w:rsidRDefault="00BB1A14" w:rsidP="00E22444">
            <w:pPr>
              <w:pStyle w:val="NoSpacing"/>
              <w:jc w:val="center"/>
              <w:rPr>
                <w:rFonts w:ascii="Times New Roman" w:hAnsi="Times New Roman" w:cs="Times New Roman"/>
                <w:sz w:val="16"/>
                <w:szCs w:val="16"/>
              </w:rPr>
            </w:pPr>
            <w:r w:rsidRPr="00E22444">
              <w:rPr>
                <w:rFonts w:ascii="Times New Roman" w:hAnsi="Times New Roman" w:cs="Times New Roman"/>
                <w:sz w:val="16"/>
                <w:szCs w:val="16"/>
              </w:rPr>
              <w:t>6.19</w:t>
            </w:r>
          </w:p>
        </w:tc>
        <w:tc>
          <w:tcPr>
            <w:tcW w:w="672" w:type="dxa"/>
            <w:vAlign w:val="center"/>
            <w:hideMark/>
          </w:tcPr>
          <w:p w14:paraId="3AD97E9E" w14:textId="77777777" w:rsidR="00BB1A14" w:rsidRPr="00E22444" w:rsidRDefault="00BB1A14" w:rsidP="00E22444">
            <w:pPr>
              <w:pStyle w:val="NoSpacing"/>
              <w:jc w:val="center"/>
              <w:rPr>
                <w:rFonts w:ascii="Times New Roman" w:hAnsi="Times New Roman" w:cs="Times New Roman"/>
                <w:sz w:val="16"/>
                <w:szCs w:val="16"/>
              </w:rPr>
            </w:pPr>
            <w:r w:rsidRPr="00E22444">
              <w:rPr>
                <w:rFonts w:ascii="Times New Roman" w:hAnsi="Times New Roman" w:cs="Times New Roman"/>
                <w:sz w:val="16"/>
                <w:szCs w:val="16"/>
              </w:rPr>
              <w:t>9.04</w:t>
            </w:r>
          </w:p>
        </w:tc>
        <w:tc>
          <w:tcPr>
            <w:tcW w:w="610" w:type="dxa"/>
            <w:vAlign w:val="center"/>
            <w:hideMark/>
          </w:tcPr>
          <w:p w14:paraId="44DB4D76" w14:textId="77777777" w:rsidR="00BB1A14" w:rsidRPr="00E22444" w:rsidRDefault="00BB1A14" w:rsidP="00E22444">
            <w:pPr>
              <w:pStyle w:val="NoSpacing"/>
              <w:jc w:val="center"/>
              <w:rPr>
                <w:rFonts w:ascii="Times New Roman" w:hAnsi="Times New Roman" w:cs="Times New Roman"/>
                <w:sz w:val="16"/>
                <w:szCs w:val="16"/>
              </w:rPr>
            </w:pPr>
            <w:r w:rsidRPr="00E22444">
              <w:rPr>
                <w:rFonts w:ascii="Times New Roman" w:hAnsi="Times New Roman" w:cs="Times New Roman"/>
                <w:sz w:val="16"/>
                <w:szCs w:val="16"/>
              </w:rPr>
              <w:t>..</w:t>
            </w:r>
          </w:p>
        </w:tc>
        <w:tc>
          <w:tcPr>
            <w:tcW w:w="678" w:type="dxa"/>
            <w:vAlign w:val="center"/>
            <w:hideMark/>
          </w:tcPr>
          <w:p w14:paraId="2C378E72" w14:textId="77777777" w:rsidR="00BB1A14" w:rsidRPr="00E22444" w:rsidRDefault="00BB1A14" w:rsidP="00E22444">
            <w:pPr>
              <w:pStyle w:val="NoSpacing"/>
              <w:jc w:val="center"/>
              <w:rPr>
                <w:rFonts w:ascii="Times New Roman" w:hAnsi="Times New Roman" w:cs="Times New Roman"/>
                <w:sz w:val="16"/>
                <w:szCs w:val="16"/>
              </w:rPr>
            </w:pPr>
            <w:r w:rsidRPr="00E22444">
              <w:rPr>
                <w:rFonts w:ascii="Times New Roman" w:hAnsi="Times New Roman" w:cs="Times New Roman"/>
                <w:sz w:val="16"/>
                <w:szCs w:val="16"/>
              </w:rPr>
              <w:t>9.04</w:t>
            </w:r>
          </w:p>
        </w:tc>
      </w:tr>
      <w:tr w:rsidR="00BB1A14" w:rsidRPr="00E22444" w14:paraId="543C3FF3" w14:textId="77777777" w:rsidTr="00E22444">
        <w:trPr>
          <w:trHeight w:val="21"/>
          <w:jc w:val="center"/>
        </w:trPr>
        <w:tc>
          <w:tcPr>
            <w:tcW w:w="1164" w:type="dxa"/>
            <w:hideMark/>
          </w:tcPr>
          <w:p w14:paraId="11F95667" w14:textId="77777777" w:rsidR="00BB1A14" w:rsidRPr="00E22444" w:rsidRDefault="00BB1A14" w:rsidP="00BB1A14">
            <w:pPr>
              <w:pStyle w:val="NoSpacing"/>
              <w:rPr>
                <w:rFonts w:ascii="Times New Roman" w:hAnsi="Times New Roman" w:cs="Times New Roman"/>
                <w:sz w:val="16"/>
                <w:szCs w:val="16"/>
              </w:rPr>
            </w:pPr>
            <w:r w:rsidRPr="00E22444">
              <w:rPr>
                <w:rFonts w:ascii="Times New Roman" w:hAnsi="Times New Roman" w:cs="Times New Roman"/>
                <w:sz w:val="16"/>
                <w:szCs w:val="16"/>
              </w:rPr>
              <w:t>TOTAL</w:t>
            </w:r>
          </w:p>
        </w:tc>
        <w:tc>
          <w:tcPr>
            <w:tcW w:w="677" w:type="dxa"/>
            <w:vAlign w:val="center"/>
            <w:hideMark/>
          </w:tcPr>
          <w:p w14:paraId="25746E9C" w14:textId="77777777" w:rsidR="00BB1A14" w:rsidRPr="00E22444" w:rsidRDefault="00BB1A14" w:rsidP="00E22444">
            <w:pPr>
              <w:pStyle w:val="NoSpacing"/>
              <w:jc w:val="center"/>
              <w:rPr>
                <w:rFonts w:ascii="Times New Roman" w:hAnsi="Times New Roman" w:cs="Times New Roman"/>
                <w:sz w:val="16"/>
                <w:szCs w:val="16"/>
              </w:rPr>
            </w:pPr>
            <w:r w:rsidRPr="00E22444">
              <w:rPr>
                <w:rFonts w:ascii="Times New Roman" w:hAnsi="Times New Roman" w:cs="Times New Roman"/>
                <w:sz w:val="16"/>
                <w:szCs w:val="16"/>
              </w:rPr>
              <w:t>1610.03</w:t>
            </w:r>
          </w:p>
        </w:tc>
        <w:tc>
          <w:tcPr>
            <w:tcW w:w="609" w:type="dxa"/>
            <w:vAlign w:val="center"/>
            <w:hideMark/>
          </w:tcPr>
          <w:p w14:paraId="7EC40B31" w14:textId="77777777" w:rsidR="00BB1A14" w:rsidRPr="00E22444" w:rsidRDefault="00BB1A14" w:rsidP="00E22444">
            <w:pPr>
              <w:pStyle w:val="NoSpacing"/>
              <w:jc w:val="center"/>
              <w:rPr>
                <w:rFonts w:ascii="Times New Roman" w:hAnsi="Times New Roman" w:cs="Times New Roman"/>
                <w:sz w:val="16"/>
                <w:szCs w:val="16"/>
              </w:rPr>
            </w:pPr>
            <w:r w:rsidRPr="00E22444">
              <w:rPr>
                <w:rFonts w:ascii="Times New Roman" w:hAnsi="Times New Roman" w:cs="Times New Roman"/>
                <w:sz w:val="16"/>
                <w:szCs w:val="16"/>
              </w:rPr>
              <w:t>217.84</w:t>
            </w:r>
          </w:p>
        </w:tc>
        <w:tc>
          <w:tcPr>
            <w:tcW w:w="678" w:type="dxa"/>
            <w:vAlign w:val="center"/>
            <w:hideMark/>
          </w:tcPr>
          <w:p w14:paraId="41EE63AB" w14:textId="77777777" w:rsidR="00BB1A14" w:rsidRPr="00E22444" w:rsidRDefault="00BB1A14" w:rsidP="00E22444">
            <w:pPr>
              <w:pStyle w:val="NoSpacing"/>
              <w:jc w:val="center"/>
              <w:rPr>
                <w:rFonts w:ascii="Times New Roman" w:hAnsi="Times New Roman" w:cs="Times New Roman"/>
                <w:sz w:val="16"/>
                <w:szCs w:val="16"/>
              </w:rPr>
            </w:pPr>
            <w:r w:rsidRPr="00E22444">
              <w:rPr>
                <w:rFonts w:ascii="Times New Roman" w:hAnsi="Times New Roman" w:cs="Times New Roman"/>
                <w:sz w:val="16"/>
                <w:szCs w:val="16"/>
              </w:rPr>
              <w:t>1827.87</w:t>
            </w:r>
          </w:p>
        </w:tc>
        <w:tc>
          <w:tcPr>
            <w:tcW w:w="678" w:type="dxa"/>
            <w:vAlign w:val="center"/>
            <w:hideMark/>
          </w:tcPr>
          <w:p w14:paraId="71725D2D" w14:textId="77777777" w:rsidR="00BB1A14" w:rsidRPr="00E22444" w:rsidRDefault="00BB1A14" w:rsidP="00E22444">
            <w:pPr>
              <w:pStyle w:val="NoSpacing"/>
              <w:jc w:val="center"/>
              <w:rPr>
                <w:rFonts w:ascii="Times New Roman" w:hAnsi="Times New Roman" w:cs="Times New Roman"/>
                <w:sz w:val="16"/>
                <w:szCs w:val="16"/>
              </w:rPr>
            </w:pPr>
            <w:r w:rsidRPr="00E22444">
              <w:rPr>
                <w:rFonts w:ascii="Times New Roman" w:hAnsi="Times New Roman" w:cs="Times New Roman"/>
                <w:sz w:val="16"/>
                <w:szCs w:val="16"/>
              </w:rPr>
              <w:t>1756.08</w:t>
            </w:r>
          </w:p>
        </w:tc>
        <w:tc>
          <w:tcPr>
            <w:tcW w:w="610" w:type="dxa"/>
            <w:vAlign w:val="center"/>
            <w:hideMark/>
          </w:tcPr>
          <w:p w14:paraId="4B6D812E" w14:textId="77777777" w:rsidR="00BB1A14" w:rsidRPr="00E22444" w:rsidRDefault="00BB1A14" w:rsidP="00E22444">
            <w:pPr>
              <w:pStyle w:val="NoSpacing"/>
              <w:jc w:val="center"/>
              <w:rPr>
                <w:rFonts w:ascii="Times New Roman" w:hAnsi="Times New Roman" w:cs="Times New Roman"/>
                <w:sz w:val="16"/>
                <w:szCs w:val="16"/>
              </w:rPr>
            </w:pPr>
            <w:r w:rsidRPr="00E22444">
              <w:rPr>
                <w:rFonts w:ascii="Times New Roman" w:hAnsi="Times New Roman" w:cs="Times New Roman"/>
                <w:sz w:val="16"/>
                <w:szCs w:val="16"/>
              </w:rPr>
              <w:t>268.56</w:t>
            </w:r>
          </w:p>
        </w:tc>
        <w:tc>
          <w:tcPr>
            <w:tcW w:w="678" w:type="dxa"/>
            <w:vAlign w:val="center"/>
            <w:hideMark/>
          </w:tcPr>
          <w:p w14:paraId="4301A90A" w14:textId="77777777" w:rsidR="00BB1A14" w:rsidRPr="00E22444" w:rsidRDefault="00BB1A14" w:rsidP="00E22444">
            <w:pPr>
              <w:pStyle w:val="NoSpacing"/>
              <w:jc w:val="center"/>
              <w:rPr>
                <w:rFonts w:ascii="Times New Roman" w:hAnsi="Times New Roman" w:cs="Times New Roman"/>
                <w:sz w:val="16"/>
                <w:szCs w:val="16"/>
              </w:rPr>
            </w:pPr>
            <w:r w:rsidRPr="00E22444">
              <w:rPr>
                <w:rFonts w:ascii="Times New Roman" w:hAnsi="Times New Roman" w:cs="Times New Roman"/>
                <w:sz w:val="16"/>
                <w:szCs w:val="16"/>
              </w:rPr>
              <w:t>2024.64</w:t>
            </w:r>
          </w:p>
        </w:tc>
        <w:tc>
          <w:tcPr>
            <w:tcW w:w="678" w:type="dxa"/>
            <w:vAlign w:val="center"/>
            <w:hideMark/>
          </w:tcPr>
          <w:p w14:paraId="31BEAA9E" w14:textId="77777777" w:rsidR="00BB1A14" w:rsidRPr="00E22444" w:rsidRDefault="00BB1A14" w:rsidP="00E22444">
            <w:pPr>
              <w:pStyle w:val="NoSpacing"/>
              <w:jc w:val="center"/>
              <w:rPr>
                <w:rFonts w:ascii="Times New Roman" w:hAnsi="Times New Roman" w:cs="Times New Roman"/>
                <w:sz w:val="16"/>
                <w:szCs w:val="16"/>
              </w:rPr>
            </w:pPr>
            <w:r w:rsidRPr="00E22444">
              <w:rPr>
                <w:rFonts w:ascii="Times New Roman" w:hAnsi="Times New Roman" w:cs="Times New Roman"/>
                <w:sz w:val="16"/>
                <w:szCs w:val="16"/>
              </w:rPr>
              <w:t>2049.47</w:t>
            </w:r>
          </w:p>
        </w:tc>
        <w:tc>
          <w:tcPr>
            <w:tcW w:w="610" w:type="dxa"/>
            <w:vAlign w:val="center"/>
            <w:hideMark/>
          </w:tcPr>
          <w:p w14:paraId="7AA43BE6" w14:textId="77777777" w:rsidR="00BB1A14" w:rsidRPr="00E22444" w:rsidRDefault="00BB1A14" w:rsidP="00E22444">
            <w:pPr>
              <w:pStyle w:val="NoSpacing"/>
              <w:jc w:val="center"/>
              <w:rPr>
                <w:rFonts w:ascii="Times New Roman" w:hAnsi="Times New Roman" w:cs="Times New Roman"/>
                <w:sz w:val="16"/>
                <w:szCs w:val="16"/>
              </w:rPr>
            </w:pPr>
            <w:r w:rsidRPr="00E22444">
              <w:rPr>
                <w:rFonts w:ascii="Times New Roman" w:hAnsi="Times New Roman" w:cs="Times New Roman"/>
                <w:sz w:val="16"/>
                <w:szCs w:val="16"/>
              </w:rPr>
              <w:t>222.86</w:t>
            </w:r>
          </w:p>
        </w:tc>
        <w:tc>
          <w:tcPr>
            <w:tcW w:w="678" w:type="dxa"/>
            <w:vAlign w:val="center"/>
            <w:hideMark/>
          </w:tcPr>
          <w:p w14:paraId="099AD1DB" w14:textId="77777777" w:rsidR="00BB1A14" w:rsidRPr="00E22444" w:rsidRDefault="00BB1A14" w:rsidP="00E22444">
            <w:pPr>
              <w:pStyle w:val="NoSpacing"/>
              <w:jc w:val="center"/>
              <w:rPr>
                <w:rFonts w:ascii="Times New Roman" w:hAnsi="Times New Roman" w:cs="Times New Roman"/>
                <w:sz w:val="16"/>
                <w:szCs w:val="16"/>
              </w:rPr>
            </w:pPr>
            <w:r w:rsidRPr="00E22444">
              <w:rPr>
                <w:rFonts w:ascii="Times New Roman" w:hAnsi="Times New Roman" w:cs="Times New Roman"/>
                <w:sz w:val="16"/>
                <w:szCs w:val="16"/>
              </w:rPr>
              <w:t>2272.33</w:t>
            </w:r>
          </w:p>
        </w:tc>
        <w:tc>
          <w:tcPr>
            <w:tcW w:w="678" w:type="dxa"/>
            <w:vAlign w:val="center"/>
            <w:hideMark/>
          </w:tcPr>
          <w:p w14:paraId="1371763C" w14:textId="77777777" w:rsidR="00BB1A14" w:rsidRPr="00E22444" w:rsidRDefault="00BB1A14" w:rsidP="00E22444">
            <w:pPr>
              <w:pStyle w:val="NoSpacing"/>
              <w:jc w:val="center"/>
              <w:rPr>
                <w:rFonts w:ascii="Times New Roman" w:hAnsi="Times New Roman" w:cs="Times New Roman"/>
                <w:sz w:val="16"/>
                <w:szCs w:val="16"/>
              </w:rPr>
            </w:pPr>
            <w:r w:rsidRPr="00E22444">
              <w:rPr>
                <w:rFonts w:ascii="Times New Roman" w:hAnsi="Times New Roman" w:cs="Times New Roman"/>
                <w:sz w:val="16"/>
                <w:szCs w:val="16"/>
              </w:rPr>
              <w:t>2208.64</w:t>
            </w:r>
          </w:p>
        </w:tc>
        <w:tc>
          <w:tcPr>
            <w:tcW w:w="610" w:type="dxa"/>
            <w:vAlign w:val="center"/>
            <w:hideMark/>
          </w:tcPr>
          <w:p w14:paraId="02D18DB4" w14:textId="77777777" w:rsidR="00BB1A14" w:rsidRPr="00E22444" w:rsidRDefault="00BB1A14" w:rsidP="00E22444">
            <w:pPr>
              <w:pStyle w:val="NoSpacing"/>
              <w:jc w:val="center"/>
              <w:rPr>
                <w:rFonts w:ascii="Times New Roman" w:hAnsi="Times New Roman" w:cs="Times New Roman"/>
                <w:sz w:val="16"/>
                <w:szCs w:val="16"/>
              </w:rPr>
            </w:pPr>
            <w:r w:rsidRPr="00E22444">
              <w:rPr>
                <w:rFonts w:ascii="Times New Roman" w:hAnsi="Times New Roman" w:cs="Times New Roman"/>
                <w:sz w:val="16"/>
                <w:szCs w:val="16"/>
              </w:rPr>
              <w:t>272.66</w:t>
            </w:r>
          </w:p>
        </w:tc>
        <w:tc>
          <w:tcPr>
            <w:tcW w:w="678" w:type="dxa"/>
            <w:vAlign w:val="center"/>
            <w:hideMark/>
          </w:tcPr>
          <w:p w14:paraId="3C35E4D1" w14:textId="77777777" w:rsidR="00BB1A14" w:rsidRPr="00E22444" w:rsidRDefault="00BB1A14" w:rsidP="00E22444">
            <w:pPr>
              <w:pStyle w:val="NoSpacing"/>
              <w:jc w:val="center"/>
              <w:rPr>
                <w:rFonts w:ascii="Times New Roman" w:hAnsi="Times New Roman" w:cs="Times New Roman"/>
                <w:sz w:val="16"/>
                <w:szCs w:val="16"/>
              </w:rPr>
            </w:pPr>
            <w:r w:rsidRPr="00E22444">
              <w:rPr>
                <w:rFonts w:ascii="Times New Roman" w:hAnsi="Times New Roman" w:cs="Times New Roman"/>
                <w:sz w:val="16"/>
                <w:szCs w:val="16"/>
              </w:rPr>
              <w:t>2481.30</w:t>
            </w:r>
          </w:p>
        </w:tc>
        <w:tc>
          <w:tcPr>
            <w:tcW w:w="672" w:type="dxa"/>
            <w:vAlign w:val="center"/>
            <w:hideMark/>
          </w:tcPr>
          <w:p w14:paraId="7A980921" w14:textId="77777777" w:rsidR="00BB1A14" w:rsidRPr="00E22444" w:rsidRDefault="00BB1A14" w:rsidP="00E22444">
            <w:pPr>
              <w:pStyle w:val="NoSpacing"/>
              <w:jc w:val="center"/>
              <w:rPr>
                <w:rFonts w:ascii="Times New Roman" w:hAnsi="Times New Roman" w:cs="Times New Roman"/>
                <w:sz w:val="16"/>
                <w:szCs w:val="16"/>
              </w:rPr>
            </w:pPr>
            <w:r w:rsidRPr="00E22444">
              <w:rPr>
                <w:rFonts w:ascii="Times New Roman" w:hAnsi="Times New Roman" w:cs="Times New Roman"/>
                <w:sz w:val="16"/>
                <w:szCs w:val="16"/>
              </w:rPr>
              <w:t>2411.41</w:t>
            </w:r>
          </w:p>
        </w:tc>
        <w:tc>
          <w:tcPr>
            <w:tcW w:w="610" w:type="dxa"/>
            <w:vAlign w:val="center"/>
            <w:hideMark/>
          </w:tcPr>
          <w:p w14:paraId="35A33AB7" w14:textId="77777777" w:rsidR="00BB1A14" w:rsidRPr="00E22444" w:rsidRDefault="00BB1A14" w:rsidP="00E22444">
            <w:pPr>
              <w:pStyle w:val="NoSpacing"/>
              <w:jc w:val="center"/>
              <w:rPr>
                <w:rFonts w:ascii="Times New Roman" w:hAnsi="Times New Roman" w:cs="Times New Roman"/>
                <w:sz w:val="16"/>
                <w:szCs w:val="16"/>
              </w:rPr>
            </w:pPr>
            <w:r w:rsidRPr="00E22444">
              <w:rPr>
                <w:rFonts w:ascii="Times New Roman" w:hAnsi="Times New Roman" w:cs="Times New Roman"/>
                <w:sz w:val="16"/>
                <w:szCs w:val="16"/>
              </w:rPr>
              <w:t>333.64</w:t>
            </w:r>
          </w:p>
        </w:tc>
        <w:tc>
          <w:tcPr>
            <w:tcW w:w="678" w:type="dxa"/>
            <w:vAlign w:val="center"/>
            <w:hideMark/>
          </w:tcPr>
          <w:p w14:paraId="52103E8B" w14:textId="77777777" w:rsidR="00BB1A14" w:rsidRPr="00E22444" w:rsidRDefault="00BB1A14" w:rsidP="00E22444">
            <w:pPr>
              <w:pStyle w:val="NoSpacing"/>
              <w:jc w:val="center"/>
              <w:rPr>
                <w:rFonts w:ascii="Times New Roman" w:hAnsi="Times New Roman" w:cs="Times New Roman"/>
                <w:sz w:val="16"/>
                <w:szCs w:val="16"/>
              </w:rPr>
            </w:pPr>
            <w:r w:rsidRPr="00E22444">
              <w:rPr>
                <w:rFonts w:ascii="Times New Roman" w:hAnsi="Times New Roman" w:cs="Times New Roman"/>
                <w:sz w:val="16"/>
                <w:szCs w:val="16"/>
              </w:rPr>
              <w:t>2745.05</w:t>
            </w:r>
          </w:p>
        </w:tc>
      </w:tr>
    </w:tbl>
    <w:p w14:paraId="51317BF9" w14:textId="326D5D37" w:rsidR="003E451B" w:rsidRPr="007245B0" w:rsidRDefault="003E451B">
      <w:pPr>
        <w:tabs>
          <w:tab w:val="left" w:pos="7880"/>
        </w:tabs>
        <w:rPr>
          <w:rFonts w:ascii="Times New Roman" w:hAnsi="Times New Roman" w:cs="Times New Roman"/>
        </w:rPr>
      </w:pPr>
    </w:p>
    <w:p w14:paraId="289DD941" w14:textId="77777777" w:rsidR="003E451B" w:rsidRPr="007245B0" w:rsidRDefault="003E451B">
      <w:pPr>
        <w:rPr>
          <w:rFonts w:ascii="Times New Roman" w:hAnsi="Times New Roman" w:cs="Times New Roman"/>
        </w:rPr>
      </w:pPr>
      <w:r w:rsidRPr="007245B0">
        <w:rPr>
          <w:rFonts w:ascii="Times New Roman" w:hAnsi="Times New Roman" w:cs="Times New Roman"/>
        </w:rPr>
        <w:br w:type="page"/>
      </w:r>
    </w:p>
    <w:p w14:paraId="24A5E340" w14:textId="582912E2" w:rsidR="00E0452B" w:rsidRPr="007245B0" w:rsidRDefault="00574BCE" w:rsidP="007D2EE4">
      <w:pPr>
        <w:pStyle w:val="Heading4"/>
      </w:pPr>
      <w:bookmarkStart w:id="168" w:name="_Toc220949726"/>
      <w:bookmarkStart w:id="169" w:name="_Toc221114326"/>
      <w:bookmarkStart w:id="170" w:name="_Toc221115349"/>
      <w:r>
        <w:lastRenderedPageBreak/>
        <w:t>Table</w:t>
      </w:r>
      <w:r w:rsidR="00E0452B" w:rsidRPr="007245B0">
        <w:t xml:space="preserve"> 45: Revenue from Income Tax, Corporation Tax and Union Surcharges</w:t>
      </w:r>
      <w:bookmarkEnd w:id="168"/>
      <w:bookmarkEnd w:id="169"/>
      <w:bookmarkEnd w:id="170"/>
      <w:r w:rsidR="00E0452B" w:rsidRPr="007245B0">
        <w:br/>
      </w:r>
    </w:p>
    <w:p w14:paraId="12ACD688" w14:textId="77777777" w:rsidR="00E0452B" w:rsidRPr="007245B0" w:rsidRDefault="00E0452B" w:rsidP="00E0452B">
      <w:pPr>
        <w:jc w:val="right"/>
        <w:rPr>
          <w:rFonts w:ascii="Times New Roman" w:hAnsi="Times New Roman" w:cs="Times New Roman"/>
          <w:i/>
          <w:iCs/>
          <w:szCs w:val="24"/>
        </w:rPr>
      </w:pPr>
      <w:r w:rsidRPr="007245B0">
        <w:rPr>
          <w:rFonts w:ascii="Times New Roman" w:hAnsi="Times New Roman" w:cs="Times New Roman"/>
          <w:i/>
          <w:iCs/>
          <w:szCs w:val="24"/>
        </w:rPr>
        <w:t>(Rs. crores)</w:t>
      </w:r>
    </w:p>
    <w:tbl>
      <w:tblPr>
        <w:tblStyle w:val="TableGrid"/>
        <w:tblW w:w="10679" w:type="dxa"/>
        <w:jc w:val="center"/>
        <w:tblLook w:val="04A0" w:firstRow="1" w:lastRow="0" w:firstColumn="1" w:lastColumn="0" w:noHBand="0" w:noVBand="1"/>
      </w:tblPr>
      <w:tblGrid>
        <w:gridCol w:w="2567"/>
        <w:gridCol w:w="2084"/>
        <w:gridCol w:w="2902"/>
        <w:gridCol w:w="3126"/>
      </w:tblGrid>
      <w:tr w:rsidR="00E0452B" w:rsidRPr="00E22444" w14:paraId="03E6A7C6" w14:textId="77777777" w:rsidTr="00E22444">
        <w:trPr>
          <w:trHeight w:val="395"/>
          <w:jc w:val="center"/>
        </w:trPr>
        <w:tc>
          <w:tcPr>
            <w:tcW w:w="0" w:type="auto"/>
            <w:vAlign w:val="center"/>
            <w:hideMark/>
          </w:tcPr>
          <w:p w14:paraId="0BAECA45" w14:textId="77777777" w:rsidR="00E0452B" w:rsidRPr="00E22444" w:rsidRDefault="00E0452B" w:rsidP="00E22444">
            <w:pPr>
              <w:pStyle w:val="NoSpacing"/>
              <w:jc w:val="center"/>
              <w:rPr>
                <w:rFonts w:ascii="Times New Roman" w:hAnsi="Times New Roman" w:cs="Times New Roman"/>
                <w:b/>
                <w:bCs/>
                <w:sz w:val="28"/>
                <w:szCs w:val="28"/>
              </w:rPr>
            </w:pPr>
            <w:r w:rsidRPr="00E22444">
              <w:rPr>
                <w:rFonts w:ascii="Times New Roman" w:hAnsi="Times New Roman" w:cs="Times New Roman"/>
                <w:b/>
                <w:bCs/>
                <w:sz w:val="28"/>
                <w:szCs w:val="28"/>
              </w:rPr>
              <w:t>Year</w:t>
            </w:r>
          </w:p>
        </w:tc>
        <w:tc>
          <w:tcPr>
            <w:tcW w:w="0" w:type="auto"/>
            <w:vAlign w:val="center"/>
            <w:hideMark/>
          </w:tcPr>
          <w:p w14:paraId="4B9268A5" w14:textId="386E13D6" w:rsidR="00E0452B" w:rsidRPr="00E22444" w:rsidRDefault="00E0452B" w:rsidP="00E22444">
            <w:pPr>
              <w:pStyle w:val="NoSpacing"/>
              <w:jc w:val="center"/>
              <w:rPr>
                <w:rFonts w:ascii="Times New Roman" w:hAnsi="Times New Roman" w:cs="Times New Roman"/>
                <w:b/>
                <w:bCs/>
                <w:sz w:val="28"/>
                <w:szCs w:val="28"/>
              </w:rPr>
            </w:pPr>
            <w:r w:rsidRPr="00E22444">
              <w:rPr>
                <w:rFonts w:ascii="Times New Roman" w:hAnsi="Times New Roman" w:cs="Times New Roman"/>
                <w:b/>
                <w:bCs/>
                <w:sz w:val="28"/>
                <w:szCs w:val="28"/>
              </w:rPr>
              <w:t>Income tax</w:t>
            </w:r>
          </w:p>
        </w:tc>
        <w:tc>
          <w:tcPr>
            <w:tcW w:w="0" w:type="auto"/>
            <w:vAlign w:val="center"/>
            <w:hideMark/>
          </w:tcPr>
          <w:p w14:paraId="4AC568E4" w14:textId="77777777" w:rsidR="00E0452B" w:rsidRPr="00E22444" w:rsidRDefault="00E0452B" w:rsidP="00E22444">
            <w:pPr>
              <w:pStyle w:val="NoSpacing"/>
              <w:jc w:val="center"/>
              <w:rPr>
                <w:rFonts w:ascii="Times New Roman" w:hAnsi="Times New Roman" w:cs="Times New Roman"/>
                <w:b/>
                <w:bCs/>
                <w:sz w:val="28"/>
                <w:szCs w:val="28"/>
              </w:rPr>
            </w:pPr>
            <w:r w:rsidRPr="00E22444">
              <w:rPr>
                <w:rFonts w:ascii="Times New Roman" w:hAnsi="Times New Roman" w:cs="Times New Roman"/>
                <w:b/>
                <w:bCs/>
                <w:sz w:val="28"/>
                <w:szCs w:val="28"/>
              </w:rPr>
              <w:t>Corporation tax</w:t>
            </w:r>
          </w:p>
        </w:tc>
        <w:tc>
          <w:tcPr>
            <w:tcW w:w="0" w:type="auto"/>
            <w:vAlign w:val="center"/>
            <w:hideMark/>
          </w:tcPr>
          <w:p w14:paraId="1255E2B3" w14:textId="71FBD859" w:rsidR="00E0452B" w:rsidRPr="00E22444" w:rsidRDefault="00E0452B" w:rsidP="00E22444">
            <w:pPr>
              <w:pStyle w:val="NoSpacing"/>
              <w:jc w:val="center"/>
              <w:rPr>
                <w:rFonts w:ascii="Times New Roman" w:hAnsi="Times New Roman" w:cs="Times New Roman"/>
                <w:b/>
                <w:bCs/>
                <w:sz w:val="28"/>
                <w:szCs w:val="28"/>
              </w:rPr>
            </w:pPr>
            <w:r w:rsidRPr="00E22444">
              <w:rPr>
                <w:rFonts w:ascii="Times New Roman" w:hAnsi="Times New Roman" w:cs="Times New Roman"/>
                <w:b/>
                <w:bCs/>
                <w:sz w:val="28"/>
                <w:szCs w:val="28"/>
              </w:rPr>
              <w:t>Union surcharges</w:t>
            </w:r>
          </w:p>
        </w:tc>
      </w:tr>
      <w:tr w:rsidR="00E0452B" w:rsidRPr="00E22444" w14:paraId="1F2AA25C" w14:textId="77777777" w:rsidTr="00E22444">
        <w:trPr>
          <w:trHeight w:val="125"/>
          <w:jc w:val="center"/>
        </w:trPr>
        <w:tc>
          <w:tcPr>
            <w:tcW w:w="0" w:type="auto"/>
            <w:vAlign w:val="center"/>
          </w:tcPr>
          <w:p w14:paraId="42BF19FE" w14:textId="77777777" w:rsidR="00E0452B" w:rsidRPr="00E22444" w:rsidRDefault="00E0452B" w:rsidP="00E22444">
            <w:pPr>
              <w:pStyle w:val="NoSpacing"/>
              <w:jc w:val="center"/>
              <w:rPr>
                <w:rFonts w:ascii="Times New Roman" w:hAnsi="Times New Roman" w:cs="Times New Roman"/>
                <w:b/>
                <w:bCs/>
                <w:sz w:val="28"/>
                <w:szCs w:val="28"/>
              </w:rPr>
            </w:pPr>
            <w:r w:rsidRPr="00E22444">
              <w:rPr>
                <w:rFonts w:ascii="Times New Roman" w:hAnsi="Times New Roman" w:cs="Times New Roman"/>
                <w:b/>
                <w:bCs/>
                <w:sz w:val="28"/>
                <w:szCs w:val="28"/>
              </w:rPr>
              <w:t>1</w:t>
            </w:r>
          </w:p>
        </w:tc>
        <w:tc>
          <w:tcPr>
            <w:tcW w:w="0" w:type="auto"/>
            <w:vAlign w:val="center"/>
          </w:tcPr>
          <w:p w14:paraId="3854EE8E" w14:textId="77777777" w:rsidR="00E0452B" w:rsidRPr="00E22444" w:rsidRDefault="00E0452B" w:rsidP="00E22444">
            <w:pPr>
              <w:pStyle w:val="NoSpacing"/>
              <w:jc w:val="center"/>
              <w:rPr>
                <w:rFonts w:ascii="Times New Roman" w:hAnsi="Times New Roman" w:cs="Times New Roman"/>
                <w:b/>
                <w:bCs/>
                <w:sz w:val="28"/>
                <w:szCs w:val="28"/>
              </w:rPr>
            </w:pPr>
            <w:r w:rsidRPr="00E22444">
              <w:rPr>
                <w:rFonts w:ascii="Times New Roman" w:hAnsi="Times New Roman" w:cs="Times New Roman"/>
                <w:b/>
                <w:bCs/>
                <w:sz w:val="28"/>
                <w:szCs w:val="28"/>
              </w:rPr>
              <w:t>2</w:t>
            </w:r>
          </w:p>
        </w:tc>
        <w:tc>
          <w:tcPr>
            <w:tcW w:w="0" w:type="auto"/>
            <w:vAlign w:val="center"/>
          </w:tcPr>
          <w:p w14:paraId="2D5089CA" w14:textId="77777777" w:rsidR="00E0452B" w:rsidRPr="00E22444" w:rsidRDefault="00E0452B" w:rsidP="00E22444">
            <w:pPr>
              <w:pStyle w:val="NoSpacing"/>
              <w:jc w:val="center"/>
              <w:rPr>
                <w:rFonts w:ascii="Times New Roman" w:hAnsi="Times New Roman" w:cs="Times New Roman"/>
                <w:b/>
                <w:bCs/>
                <w:sz w:val="28"/>
                <w:szCs w:val="28"/>
              </w:rPr>
            </w:pPr>
            <w:r w:rsidRPr="00E22444">
              <w:rPr>
                <w:rFonts w:ascii="Times New Roman" w:hAnsi="Times New Roman" w:cs="Times New Roman"/>
                <w:b/>
                <w:bCs/>
                <w:sz w:val="28"/>
                <w:szCs w:val="28"/>
              </w:rPr>
              <w:t>3</w:t>
            </w:r>
          </w:p>
        </w:tc>
        <w:tc>
          <w:tcPr>
            <w:tcW w:w="0" w:type="auto"/>
            <w:vAlign w:val="center"/>
          </w:tcPr>
          <w:p w14:paraId="05C2D9D0" w14:textId="77777777" w:rsidR="00E0452B" w:rsidRPr="00E22444" w:rsidRDefault="00E0452B" w:rsidP="00E22444">
            <w:pPr>
              <w:pStyle w:val="NoSpacing"/>
              <w:jc w:val="center"/>
              <w:rPr>
                <w:rFonts w:ascii="Times New Roman" w:hAnsi="Times New Roman" w:cs="Times New Roman"/>
                <w:b/>
                <w:bCs/>
                <w:sz w:val="28"/>
                <w:szCs w:val="28"/>
              </w:rPr>
            </w:pPr>
            <w:r w:rsidRPr="00E22444">
              <w:rPr>
                <w:rFonts w:ascii="Times New Roman" w:hAnsi="Times New Roman" w:cs="Times New Roman"/>
                <w:b/>
                <w:bCs/>
                <w:sz w:val="28"/>
                <w:szCs w:val="28"/>
              </w:rPr>
              <w:t>4</w:t>
            </w:r>
          </w:p>
        </w:tc>
      </w:tr>
      <w:tr w:rsidR="00E0452B" w:rsidRPr="00E22444" w14:paraId="3EA24C58" w14:textId="77777777" w:rsidTr="00E22444">
        <w:trPr>
          <w:trHeight w:val="372"/>
          <w:jc w:val="center"/>
        </w:trPr>
        <w:tc>
          <w:tcPr>
            <w:tcW w:w="0" w:type="auto"/>
            <w:hideMark/>
          </w:tcPr>
          <w:p w14:paraId="41A353D3" w14:textId="77777777" w:rsidR="00E0452B" w:rsidRPr="00E22444" w:rsidRDefault="00E0452B" w:rsidP="00B77C0B">
            <w:pPr>
              <w:pStyle w:val="NoSpacing"/>
              <w:rPr>
                <w:rFonts w:ascii="Times New Roman" w:hAnsi="Times New Roman" w:cs="Times New Roman"/>
                <w:sz w:val="28"/>
                <w:szCs w:val="28"/>
              </w:rPr>
            </w:pPr>
            <w:r w:rsidRPr="00E22444">
              <w:rPr>
                <w:rFonts w:ascii="Times New Roman" w:hAnsi="Times New Roman" w:cs="Times New Roman"/>
                <w:sz w:val="28"/>
                <w:szCs w:val="28"/>
              </w:rPr>
              <w:t>1952-53</w:t>
            </w:r>
          </w:p>
        </w:tc>
        <w:tc>
          <w:tcPr>
            <w:tcW w:w="0" w:type="auto"/>
            <w:hideMark/>
          </w:tcPr>
          <w:p w14:paraId="31D3AC88" w14:textId="77777777" w:rsidR="00E0452B" w:rsidRPr="00E22444" w:rsidRDefault="00E0452B" w:rsidP="00E22444">
            <w:pPr>
              <w:pStyle w:val="NoSpacing"/>
              <w:jc w:val="center"/>
              <w:rPr>
                <w:rFonts w:ascii="Times New Roman" w:hAnsi="Times New Roman" w:cs="Times New Roman"/>
                <w:sz w:val="28"/>
                <w:szCs w:val="28"/>
              </w:rPr>
            </w:pPr>
            <w:r w:rsidRPr="00E22444">
              <w:rPr>
                <w:rFonts w:ascii="Times New Roman" w:hAnsi="Times New Roman" w:cs="Times New Roman"/>
                <w:sz w:val="28"/>
                <w:szCs w:val="28"/>
              </w:rPr>
              <w:t>143.2</w:t>
            </w:r>
          </w:p>
        </w:tc>
        <w:tc>
          <w:tcPr>
            <w:tcW w:w="0" w:type="auto"/>
            <w:hideMark/>
          </w:tcPr>
          <w:p w14:paraId="208E9FF2" w14:textId="77777777" w:rsidR="00E0452B" w:rsidRPr="00E22444" w:rsidRDefault="00E0452B" w:rsidP="00E22444">
            <w:pPr>
              <w:pStyle w:val="NoSpacing"/>
              <w:jc w:val="center"/>
              <w:rPr>
                <w:rFonts w:ascii="Times New Roman" w:hAnsi="Times New Roman" w:cs="Times New Roman"/>
                <w:sz w:val="28"/>
                <w:szCs w:val="28"/>
              </w:rPr>
            </w:pPr>
            <w:r w:rsidRPr="00E22444">
              <w:rPr>
                <w:rFonts w:ascii="Times New Roman" w:hAnsi="Times New Roman" w:cs="Times New Roman"/>
                <w:sz w:val="28"/>
                <w:szCs w:val="28"/>
              </w:rPr>
              <w:t>43.8</w:t>
            </w:r>
          </w:p>
        </w:tc>
        <w:tc>
          <w:tcPr>
            <w:tcW w:w="0" w:type="auto"/>
            <w:hideMark/>
          </w:tcPr>
          <w:p w14:paraId="1A9AC5C8" w14:textId="77777777" w:rsidR="00E0452B" w:rsidRPr="00E22444" w:rsidRDefault="00E0452B" w:rsidP="00E22444">
            <w:pPr>
              <w:pStyle w:val="NoSpacing"/>
              <w:jc w:val="center"/>
              <w:rPr>
                <w:rFonts w:ascii="Times New Roman" w:hAnsi="Times New Roman" w:cs="Times New Roman"/>
                <w:sz w:val="28"/>
                <w:szCs w:val="28"/>
              </w:rPr>
            </w:pPr>
            <w:r w:rsidRPr="00E22444">
              <w:rPr>
                <w:rFonts w:ascii="Times New Roman" w:hAnsi="Times New Roman" w:cs="Times New Roman"/>
                <w:sz w:val="28"/>
                <w:szCs w:val="28"/>
              </w:rPr>
              <w:t>6.1</w:t>
            </w:r>
          </w:p>
        </w:tc>
      </w:tr>
      <w:tr w:rsidR="00E0452B" w:rsidRPr="00E22444" w14:paraId="16A6AA7F" w14:textId="77777777" w:rsidTr="00E22444">
        <w:trPr>
          <w:trHeight w:val="395"/>
          <w:jc w:val="center"/>
        </w:trPr>
        <w:tc>
          <w:tcPr>
            <w:tcW w:w="0" w:type="auto"/>
            <w:hideMark/>
          </w:tcPr>
          <w:p w14:paraId="735798C4" w14:textId="77777777" w:rsidR="00E0452B" w:rsidRPr="00E22444" w:rsidRDefault="00E0452B" w:rsidP="00B77C0B">
            <w:pPr>
              <w:pStyle w:val="NoSpacing"/>
              <w:rPr>
                <w:rFonts w:ascii="Times New Roman" w:hAnsi="Times New Roman" w:cs="Times New Roman"/>
                <w:sz w:val="28"/>
                <w:szCs w:val="28"/>
              </w:rPr>
            </w:pPr>
            <w:r w:rsidRPr="00E22444">
              <w:rPr>
                <w:rFonts w:ascii="Times New Roman" w:hAnsi="Times New Roman" w:cs="Times New Roman"/>
                <w:sz w:val="28"/>
                <w:szCs w:val="28"/>
              </w:rPr>
              <w:t>1953-54</w:t>
            </w:r>
          </w:p>
        </w:tc>
        <w:tc>
          <w:tcPr>
            <w:tcW w:w="0" w:type="auto"/>
            <w:hideMark/>
          </w:tcPr>
          <w:p w14:paraId="028C9E61" w14:textId="77777777" w:rsidR="00E0452B" w:rsidRPr="00E22444" w:rsidRDefault="00E0452B" w:rsidP="00E22444">
            <w:pPr>
              <w:pStyle w:val="NoSpacing"/>
              <w:jc w:val="center"/>
              <w:rPr>
                <w:rFonts w:ascii="Times New Roman" w:hAnsi="Times New Roman" w:cs="Times New Roman"/>
                <w:sz w:val="28"/>
                <w:szCs w:val="28"/>
              </w:rPr>
            </w:pPr>
            <w:r w:rsidRPr="00E22444">
              <w:rPr>
                <w:rFonts w:ascii="Times New Roman" w:hAnsi="Times New Roman" w:cs="Times New Roman"/>
                <w:sz w:val="28"/>
                <w:szCs w:val="28"/>
              </w:rPr>
              <w:t>124.2</w:t>
            </w:r>
          </w:p>
        </w:tc>
        <w:tc>
          <w:tcPr>
            <w:tcW w:w="0" w:type="auto"/>
            <w:hideMark/>
          </w:tcPr>
          <w:p w14:paraId="67A4966C" w14:textId="77777777" w:rsidR="00E0452B" w:rsidRPr="00E22444" w:rsidRDefault="00E0452B" w:rsidP="00E22444">
            <w:pPr>
              <w:pStyle w:val="NoSpacing"/>
              <w:jc w:val="center"/>
              <w:rPr>
                <w:rFonts w:ascii="Times New Roman" w:hAnsi="Times New Roman" w:cs="Times New Roman"/>
                <w:sz w:val="28"/>
                <w:szCs w:val="28"/>
              </w:rPr>
            </w:pPr>
            <w:r w:rsidRPr="00E22444">
              <w:rPr>
                <w:rFonts w:ascii="Times New Roman" w:hAnsi="Times New Roman" w:cs="Times New Roman"/>
                <w:sz w:val="28"/>
                <w:szCs w:val="28"/>
              </w:rPr>
              <w:t>41.6</w:t>
            </w:r>
          </w:p>
        </w:tc>
        <w:tc>
          <w:tcPr>
            <w:tcW w:w="0" w:type="auto"/>
            <w:hideMark/>
          </w:tcPr>
          <w:p w14:paraId="302BAD5E" w14:textId="77777777" w:rsidR="00E0452B" w:rsidRPr="00E22444" w:rsidRDefault="00E0452B" w:rsidP="00E22444">
            <w:pPr>
              <w:pStyle w:val="NoSpacing"/>
              <w:jc w:val="center"/>
              <w:rPr>
                <w:rFonts w:ascii="Times New Roman" w:hAnsi="Times New Roman" w:cs="Times New Roman"/>
                <w:sz w:val="28"/>
                <w:szCs w:val="28"/>
              </w:rPr>
            </w:pPr>
            <w:r w:rsidRPr="00E22444">
              <w:rPr>
                <w:rFonts w:ascii="Times New Roman" w:hAnsi="Times New Roman" w:cs="Times New Roman"/>
                <w:sz w:val="28"/>
                <w:szCs w:val="28"/>
              </w:rPr>
              <w:t>4.9</w:t>
            </w:r>
          </w:p>
        </w:tc>
      </w:tr>
      <w:tr w:rsidR="00E0452B" w:rsidRPr="00E22444" w14:paraId="0FBF744F" w14:textId="77777777" w:rsidTr="00E22444">
        <w:trPr>
          <w:trHeight w:val="372"/>
          <w:jc w:val="center"/>
        </w:trPr>
        <w:tc>
          <w:tcPr>
            <w:tcW w:w="0" w:type="auto"/>
            <w:hideMark/>
          </w:tcPr>
          <w:p w14:paraId="12E77838" w14:textId="77777777" w:rsidR="00E0452B" w:rsidRPr="00E22444" w:rsidRDefault="00E0452B" w:rsidP="00B77C0B">
            <w:pPr>
              <w:pStyle w:val="NoSpacing"/>
              <w:rPr>
                <w:rFonts w:ascii="Times New Roman" w:hAnsi="Times New Roman" w:cs="Times New Roman"/>
                <w:sz w:val="28"/>
                <w:szCs w:val="28"/>
              </w:rPr>
            </w:pPr>
            <w:r w:rsidRPr="00E22444">
              <w:rPr>
                <w:rFonts w:ascii="Times New Roman" w:hAnsi="Times New Roman" w:cs="Times New Roman"/>
                <w:sz w:val="28"/>
                <w:szCs w:val="28"/>
              </w:rPr>
              <w:t>1954-55</w:t>
            </w:r>
          </w:p>
        </w:tc>
        <w:tc>
          <w:tcPr>
            <w:tcW w:w="0" w:type="auto"/>
            <w:hideMark/>
          </w:tcPr>
          <w:p w14:paraId="54FBCB04" w14:textId="77777777" w:rsidR="00E0452B" w:rsidRPr="00E22444" w:rsidRDefault="00E0452B" w:rsidP="00E22444">
            <w:pPr>
              <w:pStyle w:val="NoSpacing"/>
              <w:jc w:val="center"/>
              <w:rPr>
                <w:rFonts w:ascii="Times New Roman" w:hAnsi="Times New Roman" w:cs="Times New Roman"/>
                <w:sz w:val="28"/>
                <w:szCs w:val="28"/>
              </w:rPr>
            </w:pPr>
            <w:r w:rsidRPr="00E22444">
              <w:rPr>
                <w:rFonts w:ascii="Times New Roman" w:hAnsi="Times New Roman" w:cs="Times New Roman"/>
                <w:sz w:val="28"/>
                <w:szCs w:val="28"/>
              </w:rPr>
              <w:t>123.2</w:t>
            </w:r>
          </w:p>
        </w:tc>
        <w:tc>
          <w:tcPr>
            <w:tcW w:w="0" w:type="auto"/>
            <w:hideMark/>
          </w:tcPr>
          <w:p w14:paraId="5AA84E04" w14:textId="77777777" w:rsidR="00E0452B" w:rsidRPr="00E22444" w:rsidRDefault="00E0452B" w:rsidP="00E22444">
            <w:pPr>
              <w:pStyle w:val="NoSpacing"/>
              <w:jc w:val="center"/>
              <w:rPr>
                <w:rFonts w:ascii="Times New Roman" w:hAnsi="Times New Roman" w:cs="Times New Roman"/>
                <w:sz w:val="28"/>
                <w:szCs w:val="28"/>
              </w:rPr>
            </w:pPr>
            <w:r w:rsidRPr="00E22444">
              <w:rPr>
                <w:rFonts w:ascii="Times New Roman" w:hAnsi="Times New Roman" w:cs="Times New Roman"/>
                <w:sz w:val="28"/>
                <w:szCs w:val="28"/>
              </w:rPr>
              <w:t>37.3</w:t>
            </w:r>
          </w:p>
        </w:tc>
        <w:tc>
          <w:tcPr>
            <w:tcW w:w="0" w:type="auto"/>
            <w:hideMark/>
          </w:tcPr>
          <w:p w14:paraId="05C5C912" w14:textId="77777777" w:rsidR="00E0452B" w:rsidRPr="00E22444" w:rsidRDefault="00E0452B" w:rsidP="00E22444">
            <w:pPr>
              <w:pStyle w:val="NoSpacing"/>
              <w:jc w:val="center"/>
              <w:rPr>
                <w:rFonts w:ascii="Times New Roman" w:hAnsi="Times New Roman" w:cs="Times New Roman"/>
                <w:sz w:val="28"/>
                <w:szCs w:val="28"/>
              </w:rPr>
            </w:pPr>
            <w:r w:rsidRPr="00E22444">
              <w:rPr>
                <w:rFonts w:ascii="Times New Roman" w:hAnsi="Times New Roman" w:cs="Times New Roman"/>
                <w:sz w:val="28"/>
                <w:szCs w:val="28"/>
              </w:rPr>
              <w:t>5.0</w:t>
            </w:r>
          </w:p>
        </w:tc>
      </w:tr>
      <w:tr w:rsidR="00E0452B" w:rsidRPr="00E22444" w14:paraId="5669601B" w14:textId="77777777" w:rsidTr="00E22444">
        <w:trPr>
          <w:trHeight w:val="395"/>
          <w:jc w:val="center"/>
        </w:trPr>
        <w:tc>
          <w:tcPr>
            <w:tcW w:w="0" w:type="auto"/>
            <w:hideMark/>
          </w:tcPr>
          <w:p w14:paraId="3EDDBA17" w14:textId="77777777" w:rsidR="00E0452B" w:rsidRPr="00E22444" w:rsidRDefault="00E0452B" w:rsidP="00B77C0B">
            <w:pPr>
              <w:pStyle w:val="NoSpacing"/>
              <w:rPr>
                <w:rFonts w:ascii="Times New Roman" w:hAnsi="Times New Roman" w:cs="Times New Roman"/>
                <w:sz w:val="28"/>
                <w:szCs w:val="28"/>
              </w:rPr>
            </w:pPr>
            <w:r w:rsidRPr="00E22444">
              <w:rPr>
                <w:rFonts w:ascii="Times New Roman" w:hAnsi="Times New Roman" w:cs="Times New Roman"/>
                <w:sz w:val="28"/>
                <w:szCs w:val="28"/>
              </w:rPr>
              <w:t>1955-56</w:t>
            </w:r>
          </w:p>
        </w:tc>
        <w:tc>
          <w:tcPr>
            <w:tcW w:w="0" w:type="auto"/>
            <w:hideMark/>
          </w:tcPr>
          <w:p w14:paraId="5B38D175" w14:textId="77777777" w:rsidR="00E0452B" w:rsidRPr="00E22444" w:rsidRDefault="00E0452B" w:rsidP="00E22444">
            <w:pPr>
              <w:pStyle w:val="NoSpacing"/>
              <w:jc w:val="center"/>
              <w:rPr>
                <w:rFonts w:ascii="Times New Roman" w:hAnsi="Times New Roman" w:cs="Times New Roman"/>
                <w:sz w:val="28"/>
                <w:szCs w:val="28"/>
              </w:rPr>
            </w:pPr>
            <w:r w:rsidRPr="00E22444">
              <w:rPr>
                <w:rFonts w:ascii="Times New Roman" w:hAnsi="Times New Roman" w:cs="Times New Roman"/>
                <w:sz w:val="28"/>
                <w:szCs w:val="28"/>
              </w:rPr>
              <w:t>132.0</w:t>
            </w:r>
          </w:p>
        </w:tc>
        <w:tc>
          <w:tcPr>
            <w:tcW w:w="0" w:type="auto"/>
            <w:hideMark/>
          </w:tcPr>
          <w:p w14:paraId="2DC84BD3" w14:textId="77777777" w:rsidR="00E0452B" w:rsidRPr="00E22444" w:rsidRDefault="00E0452B" w:rsidP="00E22444">
            <w:pPr>
              <w:pStyle w:val="NoSpacing"/>
              <w:jc w:val="center"/>
              <w:rPr>
                <w:rFonts w:ascii="Times New Roman" w:hAnsi="Times New Roman" w:cs="Times New Roman"/>
                <w:sz w:val="28"/>
                <w:szCs w:val="28"/>
              </w:rPr>
            </w:pPr>
            <w:r w:rsidRPr="00E22444">
              <w:rPr>
                <w:rFonts w:ascii="Times New Roman" w:hAnsi="Times New Roman" w:cs="Times New Roman"/>
                <w:sz w:val="28"/>
                <w:szCs w:val="28"/>
              </w:rPr>
              <w:t>37.1</w:t>
            </w:r>
          </w:p>
        </w:tc>
        <w:tc>
          <w:tcPr>
            <w:tcW w:w="0" w:type="auto"/>
            <w:hideMark/>
          </w:tcPr>
          <w:p w14:paraId="78119AB7" w14:textId="77777777" w:rsidR="00E0452B" w:rsidRPr="00E22444" w:rsidRDefault="00E0452B" w:rsidP="00E22444">
            <w:pPr>
              <w:pStyle w:val="NoSpacing"/>
              <w:jc w:val="center"/>
              <w:rPr>
                <w:rFonts w:ascii="Times New Roman" w:hAnsi="Times New Roman" w:cs="Times New Roman"/>
                <w:sz w:val="28"/>
                <w:szCs w:val="28"/>
              </w:rPr>
            </w:pPr>
            <w:r w:rsidRPr="00E22444">
              <w:rPr>
                <w:rFonts w:ascii="Times New Roman" w:hAnsi="Times New Roman" w:cs="Times New Roman"/>
                <w:sz w:val="28"/>
                <w:szCs w:val="28"/>
              </w:rPr>
              <w:t>5.0</w:t>
            </w:r>
          </w:p>
        </w:tc>
      </w:tr>
      <w:tr w:rsidR="00E0452B" w:rsidRPr="00E22444" w14:paraId="753BC6F9" w14:textId="77777777" w:rsidTr="00E22444">
        <w:trPr>
          <w:trHeight w:val="372"/>
          <w:jc w:val="center"/>
        </w:trPr>
        <w:tc>
          <w:tcPr>
            <w:tcW w:w="0" w:type="auto"/>
            <w:hideMark/>
          </w:tcPr>
          <w:p w14:paraId="2398CEF1" w14:textId="77777777" w:rsidR="00E0452B" w:rsidRPr="00E22444" w:rsidRDefault="00E0452B" w:rsidP="00B77C0B">
            <w:pPr>
              <w:pStyle w:val="NoSpacing"/>
              <w:rPr>
                <w:rFonts w:ascii="Times New Roman" w:hAnsi="Times New Roman" w:cs="Times New Roman"/>
                <w:sz w:val="28"/>
                <w:szCs w:val="28"/>
              </w:rPr>
            </w:pPr>
            <w:r w:rsidRPr="00E22444">
              <w:rPr>
                <w:rFonts w:ascii="Times New Roman" w:hAnsi="Times New Roman" w:cs="Times New Roman"/>
                <w:sz w:val="28"/>
                <w:szCs w:val="28"/>
              </w:rPr>
              <w:t>1956-57</w:t>
            </w:r>
          </w:p>
        </w:tc>
        <w:tc>
          <w:tcPr>
            <w:tcW w:w="0" w:type="auto"/>
            <w:hideMark/>
          </w:tcPr>
          <w:p w14:paraId="3847B2F1" w14:textId="77777777" w:rsidR="00E0452B" w:rsidRPr="00E22444" w:rsidRDefault="00E0452B" w:rsidP="00E22444">
            <w:pPr>
              <w:pStyle w:val="NoSpacing"/>
              <w:jc w:val="center"/>
              <w:rPr>
                <w:rFonts w:ascii="Times New Roman" w:hAnsi="Times New Roman" w:cs="Times New Roman"/>
                <w:sz w:val="28"/>
                <w:szCs w:val="28"/>
              </w:rPr>
            </w:pPr>
            <w:r w:rsidRPr="00E22444">
              <w:rPr>
                <w:rFonts w:ascii="Times New Roman" w:hAnsi="Times New Roman" w:cs="Times New Roman"/>
                <w:sz w:val="28"/>
                <w:szCs w:val="28"/>
              </w:rPr>
              <w:t>151.2</w:t>
            </w:r>
          </w:p>
        </w:tc>
        <w:tc>
          <w:tcPr>
            <w:tcW w:w="0" w:type="auto"/>
            <w:hideMark/>
          </w:tcPr>
          <w:p w14:paraId="31A894A7" w14:textId="77777777" w:rsidR="00E0452B" w:rsidRPr="00E22444" w:rsidRDefault="00E0452B" w:rsidP="00E22444">
            <w:pPr>
              <w:pStyle w:val="NoSpacing"/>
              <w:jc w:val="center"/>
              <w:rPr>
                <w:rFonts w:ascii="Times New Roman" w:hAnsi="Times New Roman" w:cs="Times New Roman"/>
                <w:sz w:val="28"/>
                <w:szCs w:val="28"/>
              </w:rPr>
            </w:pPr>
            <w:r w:rsidRPr="00E22444">
              <w:rPr>
                <w:rFonts w:ascii="Times New Roman" w:hAnsi="Times New Roman" w:cs="Times New Roman"/>
                <w:sz w:val="28"/>
                <w:szCs w:val="28"/>
              </w:rPr>
              <w:t>51.2</w:t>
            </w:r>
          </w:p>
        </w:tc>
        <w:tc>
          <w:tcPr>
            <w:tcW w:w="0" w:type="auto"/>
            <w:hideMark/>
          </w:tcPr>
          <w:p w14:paraId="2B5BA0FD" w14:textId="77777777" w:rsidR="00E0452B" w:rsidRPr="00E22444" w:rsidRDefault="00E0452B" w:rsidP="00E22444">
            <w:pPr>
              <w:pStyle w:val="NoSpacing"/>
              <w:jc w:val="center"/>
              <w:rPr>
                <w:rFonts w:ascii="Times New Roman" w:hAnsi="Times New Roman" w:cs="Times New Roman"/>
                <w:sz w:val="28"/>
                <w:szCs w:val="28"/>
              </w:rPr>
            </w:pPr>
            <w:r w:rsidRPr="00E22444">
              <w:rPr>
                <w:rFonts w:ascii="Times New Roman" w:hAnsi="Times New Roman" w:cs="Times New Roman"/>
                <w:sz w:val="28"/>
                <w:szCs w:val="28"/>
              </w:rPr>
              <w:t>5.6</w:t>
            </w:r>
          </w:p>
        </w:tc>
      </w:tr>
      <w:tr w:rsidR="00E0452B" w:rsidRPr="00E22444" w14:paraId="5AC31216" w14:textId="77777777" w:rsidTr="00E22444">
        <w:trPr>
          <w:trHeight w:val="395"/>
          <w:jc w:val="center"/>
        </w:trPr>
        <w:tc>
          <w:tcPr>
            <w:tcW w:w="0" w:type="auto"/>
            <w:hideMark/>
          </w:tcPr>
          <w:p w14:paraId="114D4016" w14:textId="77777777" w:rsidR="00E0452B" w:rsidRPr="00E22444" w:rsidRDefault="00E0452B" w:rsidP="00B77C0B">
            <w:pPr>
              <w:pStyle w:val="NoSpacing"/>
              <w:rPr>
                <w:rFonts w:ascii="Times New Roman" w:hAnsi="Times New Roman" w:cs="Times New Roman"/>
                <w:sz w:val="28"/>
                <w:szCs w:val="28"/>
              </w:rPr>
            </w:pPr>
            <w:r w:rsidRPr="00E22444">
              <w:rPr>
                <w:rFonts w:ascii="Times New Roman" w:hAnsi="Times New Roman" w:cs="Times New Roman"/>
                <w:sz w:val="28"/>
                <w:szCs w:val="28"/>
              </w:rPr>
              <w:t>1957-58</w:t>
            </w:r>
          </w:p>
        </w:tc>
        <w:tc>
          <w:tcPr>
            <w:tcW w:w="0" w:type="auto"/>
            <w:hideMark/>
          </w:tcPr>
          <w:p w14:paraId="5BA048C2" w14:textId="77777777" w:rsidR="00E0452B" w:rsidRPr="00E22444" w:rsidRDefault="00E0452B" w:rsidP="00E22444">
            <w:pPr>
              <w:pStyle w:val="NoSpacing"/>
              <w:jc w:val="center"/>
              <w:rPr>
                <w:rFonts w:ascii="Times New Roman" w:hAnsi="Times New Roman" w:cs="Times New Roman"/>
                <w:sz w:val="28"/>
                <w:szCs w:val="28"/>
              </w:rPr>
            </w:pPr>
            <w:r w:rsidRPr="00E22444">
              <w:rPr>
                <w:rFonts w:ascii="Times New Roman" w:hAnsi="Times New Roman" w:cs="Times New Roman"/>
                <w:sz w:val="28"/>
                <w:szCs w:val="28"/>
              </w:rPr>
              <w:t>161.6</w:t>
            </w:r>
          </w:p>
        </w:tc>
        <w:tc>
          <w:tcPr>
            <w:tcW w:w="0" w:type="auto"/>
            <w:hideMark/>
          </w:tcPr>
          <w:p w14:paraId="2F14203B" w14:textId="77777777" w:rsidR="00E0452B" w:rsidRPr="00E22444" w:rsidRDefault="00E0452B" w:rsidP="00E22444">
            <w:pPr>
              <w:pStyle w:val="NoSpacing"/>
              <w:jc w:val="center"/>
              <w:rPr>
                <w:rFonts w:ascii="Times New Roman" w:hAnsi="Times New Roman" w:cs="Times New Roman"/>
                <w:sz w:val="28"/>
                <w:szCs w:val="28"/>
              </w:rPr>
            </w:pPr>
            <w:r w:rsidRPr="00E22444">
              <w:rPr>
                <w:rFonts w:ascii="Times New Roman" w:hAnsi="Times New Roman" w:cs="Times New Roman"/>
                <w:sz w:val="28"/>
                <w:szCs w:val="28"/>
              </w:rPr>
              <w:t>56.1</w:t>
            </w:r>
          </w:p>
        </w:tc>
        <w:tc>
          <w:tcPr>
            <w:tcW w:w="0" w:type="auto"/>
            <w:hideMark/>
          </w:tcPr>
          <w:p w14:paraId="32254489" w14:textId="77777777" w:rsidR="00E0452B" w:rsidRPr="00E22444" w:rsidRDefault="00E0452B" w:rsidP="00E22444">
            <w:pPr>
              <w:pStyle w:val="NoSpacing"/>
              <w:jc w:val="center"/>
              <w:rPr>
                <w:rFonts w:ascii="Times New Roman" w:hAnsi="Times New Roman" w:cs="Times New Roman"/>
                <w:sz w:val="28"/>
                <w:szCs w:val="28"/>
              </w:rPr>
            </w:pPr>
            <w:r w:rsidRPr="00E22444">
              <w:rPr>
                <w:rFonts w:ascii="Times New Roman" w:hAnsi="Times New Roman" w:cs="Times New Roman"/>
                <w:sz w:val="28"/>
                <w:szCs w:val="28"/>
              </w:rPr>
              <w:t>6.9</w:t>
            </w:r>
          </w:p>
        </w:tc>
      </w:tr>
      <w:tr w:rsidR="00E0452B" w:rsidRPr="00E22444" w14:paraId="29173DD3" w14:textId="77777777" w:rsidTr="00E22444">
        <w:trPr>
          <w:trHeight w:val="395"/>
          <w:jc w:val="center"/>
        </w:trPr>
        <w:tc>
          <w:tcPr>
            <w:tcW w:w="0" w:type="auto"/>
            <w:hideMark/>
          </w:tcPr>
          <w:p w14:paraId="0899B96D" w14:textId="77777777" w:rsidR="00E0452B" w:rsidRPr="00E22444" w:rsidRDefault="00E0452B" w:rsidP="00B77C0B">
            <w:pPr>
              <w:pStyle w:val="NoSpacing"/>
              <w:rPr>
                <w:rFonts w:ascii="Times New Roman" w:hAnsi="Times New Roman" w:cs="Times New Roman"/>
                <w:sz w:val="28"/>
                <w:szCs w:val="28"/>
              </w:rPr>
            </w:pPr>
            <w:r w:rsidRPr="00E22444">
              <w:rPr>
                <w:rFonts w:ascii="Times New Roman" w:hAnsi="Times New Roman" w:cs="Times New Roman"/>
                <w:sz w:val="28"/>
                <w:szCs w:val="28"/>
              </w:rPr>
              <w:t>1958-59</w:t>
            </w:r>
          </w:p>
        </w:tc>
        <w:tc>
          <w:tcPr>
            <w:tcW w:w="0" w:type="auto"/>
            <w:hideMark/>
          </w:tcPr>
          <w:p w14:paraId="0C6B3F80" w14:textId="77777777" w:rsidR="00E0452B" w:rsidRPr="00E22444" w:rsidRDefault="00E0452B" w:rsidP="00E22444">
            <w:pPr>
              <w:pStyle w:val="NoSpacing"/>
              <w:jc w:val="center"/>
              <w:rPr>
                <w:rFonts w:ascii="Times New Roman" w:hAnsi="Times New Roman" w:cs="Times New Roman"/>
                <w:sz w:val="28"/>
                <w:szCs w:val="28"/>
              </w:rPr>
            </w:pPr>
            <w:r w:rsidRPr="00E22444">
              <w:rPr>
                <w:rFonts w:ascii="Times New Roman" w:hAnsi="Times New Roman" w:cs="Times New Roman"/>
                <w:sz w:val="28"/>
                <w:szCs w:val="28"/>
              </w:rPr>
              <w:t>172.8</w:t>
            </w:r>
          </w:p>
        </w:tc>
        <w:tc>
          <w:tcPr>
            <w:tcW w:w="0" w:type="auto"/>
            <w:hideMark/>
          </w:tcPr>
          <w:p w14:paraId="096FCE1F" w14:textId="77777777" w:rsidR="00E0452B" w:rsidRPr="00E22444" w:rsidRDefault="00E0452B" w:rsidP="00E22444">
            <w:pPr>
              <w:pStyle w:val="NoSpacing"/>
              <w:jc w:val="center"/>
              <w:rPr>
                <w:rFonts w:ascii="Times New Roman" w:hAnsi="Times New Roman" w:cs="Times New Roman"/>
                <w:sz w:val="28"/>
                <w:szCs w:val="28"/>
              </w:rPr>
            </w:pPr>
            <w:r w:rsidRPr="00E22444">
              <w:rPr>
                <w:rFonts w:ascii="Times New Roman" w:hAnsi="Times New Roman" w:cs="Times New Roman"/>
                <w:sz w:val="28"/>
                <w:szCs w:val="28"/>
              </w:rPr>
              <w:t>54.3</w:t>
            </w:r>
          </w:p>
        </w:tc>
        <w:tc>
          <w:tcPr>
            <w:tcW w:w="0" w:type="auto"/>
            <w:hideMark/>
          </w:tcPr>
          <w:p w14:paraId="21432CB7" w14:textId="77777777" w:rsidR="00E0452B" w:rsidRPr="00E22444" w:rsidRDefault="00E0452B" w:rsidP="00E22444">
            <w:pPr>
              <w:pStyle w:val="NoSpacing"/>
              <w:jc w:val="center"/>
              <w:rPr>
                <w:rFonts w:ascii="Times New Roman" w:hAnsi="Times New Roman" w:cs="Times New Roman"/>
                <w:sz w:val="28"/>
                <w:szCs w:val="28"/>
              </w:rPr>
            </w:pPr>
            <w:r w:rsidRPr="00E22444">
              <w:rPr>
                <w:rFonts w:ascii="Times New Roman" w:hAnsi="Times New Roman" w:cs="Times New Roman"/>
                <w:sz w:val="28"/>
                <w:szCs w:val="28"/>
              </w:rPr>
              <w:t>8.4</w:t>
            </w:r>
          </w:p>
        </w:tc>
      </w:tr>
      <w:tr w:rsidR="00E0452B" w:rsidRPr="00E22444" w14:paraId="58A3656A" w14:textId="77777777" w:rsidTr="00E22444">
        <w:trPr>
          <w:trHeight w:val="372"/>
          <w:jc w:val="center"/>
        </w:trPr>
        <w:tc>
          <w:tcPr>
            <w:tcW w:w="0" w:type="auto"/>
            <w:hideMark/>
          </w:tcPr>
          <w:p w14:paraId="7BAB9D38" w14:textId="77777777" w:rsidR="00E0452B" w:rsidRPr="00E22444" w:rsidRDefault="00E0452B" w:rsidP="00B77C0B">
            <w:pPr>
              <w:pStyle w:val="NoSpacing"/>
              <w:rPr>
                <w:rFonts w:ascii="Times New Roman" w:hAnsi="Times New Roman" w:cs="Times New Roman"/>
                <w:sz w:val="28"/>
                <w:szCs w:val="28"/>
              </w:rPr>
            </w:pPr>
            <w:r w:rsidRPr="00E22444">
              <w:rPr>
                <w:rFonts w:ascii="Times New Roman" w:hAnsi="Times New Roman" w:cs="Times New Roman"/>
                <w:sz w:val="28"/>
                <w:szCs w:val="28"/>
              </w:rPr>
              <w:t>1959-60</w:t>
            </w:r>
          </w:p>
        </w:tc>
        <w:tc>
          <w:tcPr>
            <w:tcW w:w="0" w:type="auto"/>
            <w:hideMark/>
          </w:tcPr>
          <w:p w14:paraId="01BB57D2" w14:textId="77777777" w:rsidR="00E0452B" w:rsidRPr="00E22444" w:rsidRDefault="00E0452B" w:rsidP="00E22444">
            <w:pPr>
              <w:pStyle w:val="NoSpacing"/>
              <w:jc w:val="center"/>
              <w:rPr>
                <w:rFonts w:ascii="Times New Roman" w:hAnsi="Times New Roman" w:cs="Times New Roman"/>
                <w:sz w:val="28"/>
                <w:szCs w:val="28"/>
              </w:rPr>
            </w:pPr>
            <w:r w:rsidRPr="00E22444">
              <w:rPr>
                <w:rFonts w:ascii="Times New Roman" w:hAnsi="Times New Roman" w:cs="Times New Roman"/>
                <w:sz w:val="28"/>
                <w:szCs w:val="28"/>
              </w:rPr>
              <w:t>149.2</w:t>
            </w:r>
          </w:p>
        </w:tc>
        <w:tc>
          <w:tcPr>
            <w:tcW w:w="0" w:type="auto"/>
            <w:hideMark/>
          </w:tcPr>
          <w:p w14:paraId="0B24CB1D" w14:textId="77777777" w:rsidR="00E0452B" w:rsidRPr="00E22444" w:rsidRDefault="00E0452B" w:rsidP="00E22444">
            <w:pPr>
              <w:pStyle w:val="NoSpacing"/>
              <w:jc w:val="center"/>
              <w:rPr>
                <w:rFonts w:ascii="Times New Roman" w:hAnsi="Times New Roman" w:cs="Times New Roman"/>
                <w:sz w:val="28"/>
                <w:szCs w:val="28"/>
              </w:rPr>
            </w:pPr>
            <w:r w:rsidRPr="00E22444">
              <w:rPr>
                <w:rFonts w:ascii="Times New Roman" w:hAnsi="Times New Roman" w:cs="Times New Roman"/>
                <w:sz w:val="28"/>
                <w:szCs w:val="28"/>
              </w:rPr>
              <w:t>106.6</w:t>
            </w:r>
          </w:p>
        </w:tc>
        <w:tc>
          <w:tcPr>
            <w:tcW w:w="0" w:type="auto"/>
            <w:hideMark/>
          </w:tcPr>
          <w:p w14:paraId="1D90D761" w14:textId="77777777" w:rsidR="00E0452B" w:rsidRPr="00E22444" w:rsidRDefault="00E0452B" w:rsidP="00E22444">
            <w:pPr>
              <w:pStyle w:val="NoSpacing"/>
              <w:jc w:val="center"/>
              <w:rPr>
                <w:rFonts w:ascii="Times New Roman" w:hAnsi="Times New Roman" w:cs="Times New Roman"/>
                <w:sz w:val="28"/>
                <w:szCs w:val="28"/>
              </w:rPr>
            </w:pPr>
            <w:r w:rsidRPr="00E22444">
              <w:rPr>
                <w:rFonts w:ascii="Times New Roman" w:hAnsi="Times New Roman" w:cs="Times New Roman"/>
                <w:sz w:val="28"/>
                <w:szCs w:val="28"/>
              </w:rPr>
              <w:t>8.3</w:t>
            </w:r>
          </w:p>
        </w:tc>
      </w:tr>
      <w:tr w:rsidR="00E0452B" w:rsidRPr="00E22444" w14:paraId="2D9B8BC2" w14:textId="77777777" w:rsidTr="00E22444">
        <w:trPr>
          <w:trHeight w:val="395"/>
          <w:jc w:val="center"/>
        </w:trPr>
        <w:tc>
          <w:tcPr>
            <w:tcW w:w="0" w:type="auto"/>
            <w:hideMark/>
          </w:tcPr>
          <w:p w14:paraId="0F768584" w14:textId="77777777" w:rsidR="00E0452B" w:rsidRPr="00E22444" w:rsidRDefault="00E0452B" w:rsidP="00B77C0B">
            <w:pPr>
              <w:pStyle w:val="NoSpacing"/>
              <w:rPr>
                <w:rFonts w:ascii="Times New Roman" w:hAnsi="Times New Roman" w:cs="Times New Roman"/>
                <w:sz w:val="28"/>
                <w:szCs w:val="28"/>
              </w:rPr>
            </w:pPr>
            <w:r w:rsidRPr="00E22444">
              <w:rPr>
                <w:rFonts w:ascii="Times New Roman" w:hAnsi="Times New Roman" w:cs="Times New Roman"/>
                <w:sz w:val="28"/>
                <w:szCs w:val="28"/>
              </w:rPr>
              <w:t>1960-61</w:t>
            </w:r>
          </w:p>
        </w:tc>
        <w:tc>
          <w:tcPr>
            <w:tcW w:w="0" w:type="auto"/>
            <w:hideMark/>
          </w:tcPr>
          <w:p w14:paraId="50ECC742" w14:textId="77777777" w:rsidR="00E0452B" w:rsidRPr="00E22444" w:rsidRDefault="00E0452B" w:rsidP="00E22444">
            <w:pPr>
              <w:pStyle w:val="NoSpacing"/>
              <w:jc w:val="center"/>
              <w:rPr>
                <w:rFonts w:ascii="Times New Roman" w:hAnsi="Times New Roman" w:cs="Times New Roman"/>
                <w:sz w:val="28"/>
                <w:szCs w:val="28"/>
              </w:rPr>
            </w:pPr>
            <w:r w:rsidRPr="00E22444">
              <w:rPr>
                <w:rFonts w:ascii="Times New Roman" w:hAnsi="Times New Roman" w:cs="Times New Roman"/>
                <w:sz w:val="28"/>
                <w:szCs w:val="28"/>
              </w:rPr>
              <w:t>168.7</w:t>
            </w:r>
          </w:p>
        </w:tc>
        <w:tc>
          <w:tcPr>
            <w:tcW w:w="0" w:type="auto"/>
            <w:hideMark/>
          </w:tcPr>
          <w:p w14:paraId="26A5128F" w14:textId="77777777" w:rsidR="00E0452B" w:rsidRPr="00E22444" w:rsidRDefault="00E0452B" w:rsidP="00E22444">
            <w:pPr>
              <w:pStyle w:val="NoSpacing"/>
              <w:jc w:val="center"/>
              <w:rPr>
                <w:rFonts w:ascii="Times New Roman" w:hAnsi="Times New Roman" w:cs="Times New Roman"/>
                <w:sz w:val="28"/>
                <w:szCs w:val="28"/>
              </w:rPr>
            </w:pPr>
            <w:r w:rsidRPr="00E22444">
              <w:rPr>
                <w:rFonts w:ascii="Times New Roman" w:hAnsi="Times New Roman" w:cs="Times New Roman"/>
                <w:sz w:val="28"/>
                <w:szCs w:val="28"/>
              </w:rPr>
              <w:t>110.7</w:t>
            </w:r>
          </w:p>
        </w:tc>
        <w:tc>
          <w:tcPr>
            <w:tcW w:w="0" w:type="auto"/>
            <w:hideMark/>
          </w:tcPr>
          <w:p w14:paraId="25C5BACA" w14:textId="77777777" w:rsidR="00E0452B" w:rsidRPr="00E22444" w:rsidRDefault="00E0452B" w:rsidP="00E22444">
            <w:pPr>
              <w:pStyle w:val="NoSpacing"/>
              <w:jc w:val="center"/>
              <w:rPr>
                <w:rFonts w:ascii="Times New Roman" w:hAnsi="Times New Roman" w:cs="Times New Roman"/>
                <w:sz w:val="28"/>
                <w:szCs w:val="28"/>
              </w:rPr>
            </w:pPr>
            <w:r w:rsidRPr="00E22444">
              <w:rPr>
                <w:rFonts w:ascii="Times New Roman" w:hAnsi="Times New Roman" w:cs="Times New Roman"/>
                <w:sz w:val="28"/>
                <w:szCs w:val="28"/>
              </w:rPr>
              <w:t>5.7</w:t>
            </w:r>
          </w:p>
        </w:tc>
      </w:tr>
      <w:tr w:rsidR="00E0452B" w:rsidRPr="00E22444" w14:paraId="72A8358D" w14:textId="77777777" w:rsidTr="00E22444">
        <w:trPr>
          <w:trHeight w:val="372"/>
          <w:jc w:val="center"/>
        </w:trPr>
        <w:tc>
          <w:tcPr>
            <w:tcW w:w="0" w:type="auto"/>
            <w:hideMark/>
          </w:tcPr>
          <w:p w14:paraId="434D6A0B" w14:textId="77777777" w:rsidR="00E0452B" w:rsidRPr="00E22444" w:rsidRDefault="00E0452B" w:rsidP="00B77C0B">
            <w:pPr>
              <w:pStyle w:val="NoSpacing"/>
              <w:rPr>
                <w:rFonts w:ascii="Times New Roman" w:hAnsi="Times New Roman" w:cs="Times New Roman"/>
                <w:sz w:val="28"/>
                <w:szCs w:val="28"/>
              </w:rPr>
            </w:pPr>
            <w:r w:rsidRPr="00E22444">
              <w:rPr>
                <w:rFonts w:ascii="Times New Roman" w:hAnsi="Times New Roman" w:cs="Times New Roman"/>
                <w:sz w:val="28"/>
                <w:szCs w:val="28"/>
              </w:rPr>
              <w:t>1961-62</w:t>
            </w:r>
          </w:p>
        </w:tc>
        <w:tc>
          <w:tcPr>
            <w:tcW w:w="0" w:type="auto"/>
            <w:hideMark/>
          </w:tcPr>
          <w:p w14:paraId="0BE9F64D" w14:textId="77777777" w:rsidR="00E0452B" w:rsidRPr="00E22444" w:rsidRDefault="00E0452B" w:rsidP="00E22444">
            <w:pPr>
              <w:pStyle w:val="NoSpacing"/>
              <w:jc w:val="center"/>
              <w:rPr>
                <w:rFonts w:ascii="Times New Roman" w:hAnsi="Times New Roman" w:cs="Times New Roman"/>
                <w:sz w:val="28"/>
                <w:szCs w:val="28"/>
              </w:rPr>
            </w:pPr>
            <w:r w:rsidRPr="00E22444">
              <w:rPr>
                <w:rFonts w:ascii="Times New Roman" w:hAnsi="Times New Roman" w:cs="Times New Roman"/>
                <w:sz w:val="28"/>
                <w:szCs w:val="28"/>
              </w:rPr>
              <w:t>161.0</w:t>
            </w:r>
          </w:p>
        </w:tc>
        <w:tc>
          <w:tcPr>
            <w:tcW w:w="0" w:type="auto"/>
            <w:hideMark/>
          </w:tcPr>
          <w:p w14:paraId="299A9455" w14:textId="77777777" w:rsidR="00E0452B" w:rsidRPr="00E22444" w:rsidRDefault="00E0452B" w:rsidP="00E22444">
            <w:pPr>
              <w:pStyle w:val="NoSpacing"/>
              <w:jc w:val="center"/>
              <w:rPr>
                <w:rFonts w:ascii="Times New Roman" w:hAnsi="Times New Roman" w:cs="Times New Roman"/>
                <w:sz w:val="28"/>
                <w:szCs w:val="28"/>
              </w:rPr>
            </w:pPr>
            <w:r w:rsidRPr="00E22444">
              <w:rPr>
                <w:rFonts w:ascii="Times New Roman" w:hAnsi="Times New Roman" w:cs="Times New Roman"/>
                <w:sz w:val="28"/>
                <w:szCs w:val="28"/>
              </w:rPr>
              <w:t>160.8</w:t>
            </w:r>
          </w:p>
        </w:tc>
        <w:tc>
          <w:tcPr>
            <w:tcW w:w="0" w:type="auto"/>
            <w:hideMark/>
          </w:tcPr>
          <w:p w14:paraId="2A3948BD" w14:textId="77777777" w:rsidR="00E0452B" w:rsidRPr="00E22444" w:rsidRDefault="00E0452B" w:rsidP="00E22444">
            <w:pPr>
              <w:pStyle w:val="NoSpacing"/>
              <w:jc w:val="center"/>
              <w:rPr>
                <w:rFonts w:ascii="Times New Roman" w:hAnsi="Times New Roman" w:cs="Times New Roman"/>
                <w:sz w:val="28"/>
                <w:szCs w:val="28"/>
              </w:rPr>
            </w:pPr>
            <w:r w:rsidRPr="00E22444">
              <w:rPr>
                <w:rFonts w:ascii="Times New Roman" w:hAnsi="Times New Roman" w:cs="Times New Roman"/>
                <w:sz w:val="28"/>
                <w:szCs w:val="28"/>
              </w:rPr>
              <w:t>5.1</w:t>
            </w:r>
          </w:p>
        </w:tc>
      </w:tr>
      <w:tr w:rsidR="00E0452B" w:rsidRPr="00E22444" w14:paraId="46928F59" w14:textId="77777777" w:rsidTr="00E22444">
        <w:trPr>
          <w:trHeight w:val="395"/>
          <w:jc w:val="center"/>
        </w:trPr>
        <w:tc>
          <w:tcPr>
            <w:tcW w:w="0" w:type="auto"/>
            <w:hideMark/>
          </w:tcPr>
          <w:p w14:paraId="3A1B5996" w14:textId="77777777" w:rsidR="00E0452B" w:rsidRPr="00E22444" w:rsidRDefault="00E0452B" w:rsidP="00B77C0B">
            <w:pPr>
              <w:pStyle w:val="NoSpacing"/>
              <w:rPr>
                <w:rFonts w:ascii="Times New Roman" w:hAnsi="Times New Roman" w:cs="Times New Roman"/>
                <w:sz w:val="28"/>
                <w:szCs w:val="28"/>
              </w:rPr>
            </w:pPr>
            <w:r w:rsidRPr="00E22444">
              <w:rPr>
                <w:rFonts w:ascii="Times New Roman" w:hAnsi="Times New Roman" w:cs="Times New Roman"/>
                <w:sz w:val="28"/>
                <w:szCs w:val="28"/>
              </w:rPr>
              <w:t>1962-63</w:t>
            </w:r>
          </w:p>
        </w:tc>
        <w:tc>
          <w:tcPr>
            <w:tcW w:w="0" w:type="auto"/>
            <w:hideMark/>
          </w:tcPr>
          <w:p w14:paraId="4648909B" w14:textId="77777777" w:rsidR="00E0452B" w:rsidRPr="00E22444" w:rsidRDefault="00E0452B" w:rsidP="00E22444">
            <w:pPr>
              <w:pStyle w:val="NoSpacing"/>
              <w:jc w:val="center"/>
              <w:rPr>
                <w:rFonts w:ascii="Times New Roman" w:hAnsi="Times New Roman" w:cs="Times New Roman"/>
                <w:sz w:val="28"/>
                <w:szCs w:val="28"/>
              </w:rPr>
            </w:pPr>
            <w:r w:rsidRPr="00E22444">
              <w:rPr>
                <w:rFonts w:ascii="Times New Roman" w:hAnsi="Times New Roman" w:cs="Times New Roman"/>
                <w:sz w:val="28"/>
                <w:szCs w:val="28"/>
              </w:rPr>
              <w:t>187.4</w:t>
            </w:r>
          </w:p>
        </w:tc>
        <w:tc>
          <w:tcPr>
            <w:tcW w:w="0" w:type="auto"/>
            <w:hideMark/>
          </w:tcPr>
          <w:p w14:paraId="68E05E3A" w14:textId="77777777" w:rsidR="00E0452B" w:rsidRPr="00E22444" w:rsidRDefault="00E0452B" w:rsidP="00E22444">
            <w:pPr>
              <w:pStyle w:val="NoSpacing"/>
              <w:jc w:val="center"/>
              <w:rPr>
                <w:rFonts w:ascii="Times New Roman" w:hAnsi="Times New Roman" w:cs="Times New Roman"/>
                <w:sz w:val="28"/>
                <w:szCs w:val="28"/>
              </w:rPr>
            </w:pPr>
            <w:r w:rsidRPr="00E22444">
              <w:rPr>
                <w:rFonts w:ascii="Times New Roman" w:hAnsi="Times New Roman" w:cs="Times New Roman"/>
                <w:sz w:val="28"/>
                <w:szCs w:val="28"/>
              </w:rPr>
              <w:t>220.1</w:t>
            </w:r>
          </w:p>
        </w:tc>
        <w:tc>
          <w:tcPr>
            <w:tcW w:w="0" w:type="auto"/>
            <w:hideMark/>
          </w:tcPr>
          <w:p w14:paraId="028BC1B3" w14:textId="77777777" w:rsidR="00E0452B" w:rsidRPr="00E22444" w:rsidRDefault="00E0452B" w:rsidP="00E22444">
            <w:pPr>
              <w:pStyle w:val="NoSpacing"/>
              <w:jc w:val="center"/>
              <w:rPr>
                <w:rFonts w:ascii="Times New Roman" w:hAnsi="Times New Roman" w:cs="Times New Roman"/>
                <w:sz w:val="28"/>
                <w:szCs w:val="28"/>
              </w:rPr>
            </w:pPr>
            <w:r w:rsidRPr="00E22444">
              <w:rPr>
                <w:rFonts w:ascii="Times New Roman" w:hAnsi="Times New Roman" w:cs="Times New Roman"/>
                <w:sz w:val="28"/>
                <w:szCs w:val="28"/>
              </w:rPr>
              <w:t>5.6</w:t>
            </w:r>
          </w:p>
        </w:tc>
      </w:tr>
      <w:tr w:rsidR="00E0452B" w:rsidRPr="00E22444" w14:paraId="153459BE" w14:textId="77777777" w:rsidTr="00E22444">
        <w:trPr>
          <w:trHeight w:val="372"/>
          <w:jc w:val="center"/>
        </w:trPr>
        <w:tc>
          <w:tcPr>
            <w:tcW w:w="0" w:type="auto"/>
            <w:hideMark/>
          </w:tcPr>
          <w:p w14:paraId="7F922053" w14:textId="77777777" w:rsidR="00E0452B" w:rsidRPr="00E22444" w:rsidRDefault="00E0452B" w:rsidP="00B77C0B">
            <w:pPr>
              <w:pStyle w:val="NoSpacing"/>
              <w:rPr>
                <w:rFonts w:ascii="Times New Roman" w:hAnsi="Times New Roman" w:cs="Times New Roman"/>
                <w:sz w:val="28"/>
                <w:szCs w:val="28"/>
              </w:rPr>
            </w:pPr>
            <w:r w:rsidRPr="00E22444">
              <w:rPr>
                <w:rFonts w:ascii="Times New Roman" w:hAnsi="Times New Roman" w:cs="Times New Roman"/>
                <w:sz w:val="28"/>
                <w:szCs w:val="28"/>
              </w:rPr>
              <w:t>1963-64</w:t>
            </w:r>
          </w:p>
        </w:tc>
        <w:tc>
          <w:tcPr>
            <w:tcW w:w="0" w:type="auto"/>
            <w:hideMark/>
          </w:tcPr>
          <w:p w14:paraId="23EEFC93" w14:textId="77777777" w:rsidR="00E0452B" w:rsidRPr="00E22444" w:rsidRDefault="00E0452B" w:rsidP="00E22444">
            <w:pPr>
              <w:pStyle w:val="NoSpacing"/>
              <w:jc w:val="center"/>
              <w:rPr>
                <w:rFonts w:ascii="Times New Roman" w:hAnsi="Times New Roman" w:cs="Times New Roman"/>
                <w:sz w:val="28"/>
                <w:szCs w:val="28"/>
              </w:rPr>
            </w:pPr>
            <w:r w:rsidRPr="00E22444">
              <w:rPr>
                <w:rFonts w:ascii="Times New Roman" w:hAnsi="Times New Roman" w:cs="Times New Roman"/>
                <w:sz w:val="28"/>
                <w:szCs w:val="28"/>
              </w:rPr>
              <w:t>245.6</w:t>
            </w:r>
          </w:p>
        </w:tc>
        <w:tc>
          <w:tcPr>
            <w:tcW w:w="0" w:type="auto"/>
            <w:hideMark/>
          </w:tcPr>
          <w:p w14:paraId="225C66F3" w14:textId="77777777" w:rsidR="00E0452B" w:rsidRPr="00E22444" w:rsidRDefault="00E0452B" w:rsidP="00E22444">
            <w:pPr>
              <w:pStyle w:val="NoSpacing"/>
              <w:jc w:val="center"/>
              <w:rPr>
                <w:rFonts w:ascii="Times New Roman" w:hAnsi="Times New Roman" w:cs="Times New Roman"/>
                <w:sz w:val="28"/>
                <w:szCs w:val="28"/>
              </w:rPr>
            </w:pPr>
            <w:r w:rsidRPr="00E22444">
              <w:rPr>
                <w:rFonts w:ascii="Times New Roman" w:hAnsi="Times New Roman" w:cs="Times New Roman"/>
                <w:sz w:val="28"/>
                <w:szCs w:val="28"/>
              </w:rPr>
              <w:t>287.3</w:t>
            </w:r>
          </w:p>
        </w:tc>
        <w:tc>
          <w:tcPr>
            <w:tcW w:w="0" w:type="auto"/>
            <w:hideMark/>
          </w:tcPr>
          <w:p w14:paraId="4DE6400F" w14:textId="77777777" w:rsidR="00E0452B" w:rsidRPr="00E22444" w:rsidRDefault="00E0452B" w:rsidP="00E22444">
            <w:pPr>
              <w:pStyle w:val="NoSpacing"/>
              <w:jc w:val="center"/>
              <w:rPr>
                <w:rFonts w:ascii="Times New Roman" w:hAnsi="Times New Roman" w:cs="Times New Roman"/>
                <w:sz w:val="28"/>
                <w:szCs w:val="28"/>
              </w:rPr>
            </w:pPr>
            <w:r w:rsidRPr="00E22444">
              <w:rPr>
                <w:rFonts w:ascii="Times New Roman" w:hAnsi="Times New Roman" w:cs="Times New Roman"/>
                <w:sz w:val="28"/>
                <w:szCs w:val="28"/>
              </w:rPr>
              <w:t>14.9</w:t>
            </w:r>
          </w:p>
        </w:tc>
      </w:tr>
      <w:tr w:rsidR="00E0452B" w:rsidRPr="00E22444" w14:paraId="1D1687F4" w14:textId="77777777" w:rsidTr="00E22444">
        <w:trPr>
          <w:trHeight w:val="395"/>
          <w:jc w:val="center"/>
        </w:trPr>
        <w:tc>
          <w:tcPr>
            <w:tcW w:w="0" w:type="auto"/>
            <w:hideMark/>
          </w:tcPr>
          <w:p w14:paraId="14637CC8" w14:textId="77777777" w:rsidR="00E0452B" w:rsidRPr="00E22444" w:rsidRDefault="00E0452B" w:rsidP="00B77C0B">
            <w:pPr>
              <w:pStyle w:val="NoSpacing"/>
              <w:rPr>
                <w:rFonts w:ascii="Times New Roman" w:hAnsi="Times New Roman" w:cs="Times New Roman"/>
                <w:sz w:val="28"/>
                <w:szCs w:val="28"/>
              </w:rPr>
            </w:pPr>
            <w:r w:rsidRPr="00E22444">
              <w:rPr>
                <w:rFonts w:ascii="Times New Roman" w:hAnsi="Times New Roman" w:cs="Times New Roman"/>
                <w:sz w:val="28"/>
                <w:szCs w:val="28"/>
              </w:rPr>
              <w:t>1964-65</w:t>
            </w:r>
          </w:p>
        </w:tc>
        <w:tc>
          <w:tcPr>
            <w:tcW w:w="0" w:type="auto"/>
            <w:hideMark/>
          </w:tcPr>
          <w:p w14:paraId="47B6C552" w14:textId="77777777" w:rsidR="00E0452B" w:rsidRPr="00E22444" w:rsidRDefault="00E0452B" w:rsidP="00E22444">
            <w:pPr>
              <w:pStyle w:val="NoSpacing"/>
              <w:jc w:val="center"/>
              <w:rPr>
                <w:rFonts w:ascii="Times New Roman" w:hAnsi="Times New Roman" w:cs="Times New Roman"/>
                <w:sz w:val="28"/>
                <w:szCs w:val="28"/>
              </w:rPr>
            </w:pPr>
            <w:r w:rsidRPr="00E22444">
              <w:rPr>
                <w:rFonts w:ascii="Times New Roman" w:hAnsi="Times New Roman" w:cs="Times New Roman"/>
                <w:sz w:val="28"/>
                <w:szCs w:val="28"/>
              </w:rPr>
              <w:t>266.9</w:t>
            </w:r>
          </w:p>
        </w:tc>
        <w:tc>
          <w:tcPr>
            <w:tcW w:w="0" w:type="auto"/>
            <w:hideMark/>
          </w:tcPr>
          <w:p w14:paraId="49BCAB43" w14:textId="77777777" w:rsidR="00E0452B" w:rsidRPr="00E22444" w:rsidRDefault="00E0452B" w:rsidP="00E22444">
            <w:pPr>
              <w:pStyle w:val="NoSpacing"/>
              <w:jc w:val="center"/>
              <w:rPr>
                <w:rFonts w:ascii="Times New Roman" w:hAnsi="Times New Roman" w:cs="Times New Roman"/>
                <w:sz w:val="28"/>
                <w:szCs w:val="28"/>
              </w:rPr>
            </w:pPr>
            <w:r w:rsidRPr="00E22444">
              <w:rPr>
                <w:rFonts w:ascii="Times New Roman" w:hAnsi="Times New Roman" w:cs="Times New Roman"/>
                <w:sz w:val="28"/>
                <w:szCs w:val="28"/>
              </w:rPr>
              <w:t>313.6</w:t>
            </w:r>
          </w:p>
        </w:tc>
        <w:tc>
          <w:tcPr>
            <w:tcW w:w="0" w:type="auto"/>
            <w:hideMark/>
          </w:tcPr>
          <w:p w14:paraId="66030653" w14:textId="77777777" w:rsidR="00E0452B" w:rsidRPr="00E22444" w:rsidRDefault="00E0452B" w:rsidP="00E22444">
            <w:pPr>
              <w:pStyle w:val="NoSpacing"/>
              <w:jc w:val="center"/>
              <w:rPr>
                <w:rFonts w:ascii="Times New Roman" w:hAnsi="Times New Roman" w:cs="Times New Roman"/>
                <w:sz w:val="28"/>
                <w:szCs w:val="28"/>
              </w:rPr>
            </w:pPr>
            <w:r w:rsidRPr="00E22444">
              <w:rPr>
                <w:rFonts w:ascii="Times New Roman" w:hAnsi="Times New Roman" w:cs="Times New Roman"/>
                <w:sz w:val="28"/>
                <w:szCs w:val="28"/>
              </w:rPr>
              <w:t>12.6</w:t>
            </w:r>
          </w:p>
        </w:tc>
      </w:tr>
      <w:tr w:rsidR="00E0452B" w:rsidRPr="00E22444" w14:paraId="15014C9A" w14:textId="77777777" w:rsidTr="00E22444">
        <w:trPr>
          <w:trHeight w:val="395"/>
          <w:jc w:val="center"/>
        </w:trPr>
        <w:tc>
          <w:tcPr>
            <w:tcW w:w="0" w:type="auto"/>
            <w:hideMark/>
          </w:tcPr>
          <w:p w14:paraId="046A6167" w14:textId="77777777" w:rsidR="00E0452B" w:rsidRPr="00E22444" w:rsidRDefault="00E0452B" w:rsidP="00B77C0B">
            <w:pPr>
              <w:pStyle w:val="NoSpacing"/>
              <w:rPr>
                <w:rFonts w:ascii="Times New Roman" w:hAnsi="Times New Roman" w:cs="Times New Roman"/>
                <w:sz w:val="28"/>
                <w:szCs w:val="28"/>
              </w:rPr>
            </w:pPr>
            <w:r w:rsidRPr="00E22444">
              <w:rPr>
                <w:rFonts w:ascii="Times New Roman" w:hAnsi="Times New Roman" w:cs="Times New Roman"/>
                <w:sz w:val="28"/>
                <w:szCs w:val="28"/>
              </w:rPr>
              <w:t>1965-66</w:t>
            </w:r>
          </w:p>
        </w:tc>
        <w:tc>
          <w:tcPr>
            <w:tcW w:w="0" w:type="auto"/>
            <w:hideMark/>
          </w:tcPr>
          <w:p w14:paraId="00276405" w14:textId="77777777" w:rsidR="00E0452B" w:rsidRPr="00E22444" w:rsidRDefault="00E0452B" w:rsidP="00E22444">
            <w:pPr>
              <w:pStyle w:val="NoSpacing"/>
              <w:jc w:val="center"/>
              <w:rPr>
                <w:rFonts w:ascii="Times New Roman" w:hAnsi="Times New Roman" w:cs="Times New Roman"/>
                <w:sz w:val="28"/>
                <w:szCs w:val="28"/>
              </w:rPr>
            </w:pPr>
            <w:r w:rsidRPr="00E22444">
              <w:rPr>
                <w:rFonts w:ascii="Times New Roman" w:hAnsi="Times New Roman" w:cs="Times New Roman"/>
                <w:sz w:val="28"/>
                <w:szCs w:val="28"/>
              </w:rPr>
              <w:t>271.9</w:t>
            </w:r>
          </w:p>
        </w:tc>
        <w:tc>
          <w:tcPr>
            <w:tcW w:w="0" w:type="auto"/>
            <w:hideMark/>
          </w:tcPr>
          <w:p w14:paraId="0234BEC1" w14:textId="77777777" w:rsidR="00E0452B" w:rsidRPr="00E22444" w:rsidRDefault="00E0452B" w:rsidP="00E22444">
            <w:pPr>
              <w:pStyle w:val="NoSpacing"/>
              <w:jc w:val="center"/>
              <w:rPr>
                <w:rFonts w:ascii="Times New Roman" w:hAnsi="Times New Roman" w:cs="Times New Roman"/>
                <w:sz w:val="28"/>
                <w:szCs w:val="28"/>
              </w:rPr>
            </w:pPr>
            <w:r w:rsidRPr="00E22444">
              <w:rPr>
                <w:rFonts w:ascii="Times New Roman" w:hAnsi="Times New Roman" w:cs="Times New Roman"/>
                <w:sz w:val="28"/>
                <w:szCs w:val="28"/>
              </w:rPr>
              <w:t>304.8</w:t>
            </w:r>
          </w:p>
        </w:tc>
        <w:tc>
          <w:tcPr>
            <w:tcW w:w="0" w:type="auto"/>
            <w:hideMark/>
          </w:tcPr>
          <w:p w14:paraId="3C86A8AA" w14:textId="77777777" w:rsidR="00E0452B" w:rsidRPr="00E22444" w:rsidRDefault="00E0452B" w:rsidP="00E22444">
            <w:pPr>
              <w:pStyle w:val="NoSpacing"/>
              <w:jc w:val="center"/>
              <w:rPr>
                <w:rFonts w:ascii="Times New Roman" w:hAnsi="Times New Roman" w:cs="Times New Roman"/>
                <w:sz w:val="28"/>
                <w:szCs w:val="28"/>
              </w:rPr>
            </w:pPr>
            <w:r w:rsidRPr="00E22444">
              <w:rPr>
                <w:rFonts w:ascii="Times New Roman" w:hAnsi="Times New Roman" w:cs="Times New Roman"/>
                <w:sz w:val="28"/>
                <w:szCs w:val="28"/>
              </w:rPr>
              <w:t>7.1</w:t>
            </w:r>
          </w:p>
        </w:tc>
      </w:tr>
      <w:tr w:rsidR="00E0452B" w:rsidRPr="00E22444" w14:paraId="78202C9A" w14:textId="77777777" w:rsidTr="00E22444">
        <w:trPr>
          <w:trHeight w:val="372"/>
          <w:jc w:val="center"/>
        </w:trPr>
        <w:tc>
          <w:tcPr>
            <w:tcW w:w="0" w:type="auto"/>
            <w:hideMark/>
          </w:tcPr>
          <w:p w14:paraId="6DE4751A" w14:textId="77777777" w:rsidR="00E0452B" w:rsidRPr="00E22444" w:rsidRDefault="00E0452B" w:rsidP="00B77C0B">
            <w:pPr>
              <w:pStyle w:val="NoSpacing"/>
              <w:rPr>
                <w:rFonts w:ascii="Times New Roman" w:hAnsi="Times New Roman" w:cs="Times New Roman"/>
                <w:sz w:val="28"/>
                <w:szCs w:val="28"/>
              </w:rPr>
            </w:pPr>
            <w:r w:rsidRPr="00E22444">
              <w:rPr>
                <w:rFonts w:ascii="Times New Roman" w:hAnsi="Times New Roman" w:cs="Times New Roman"/>
                <w:sz w:val="28"/>
                <w:szCs w:val="28"/>
              </w:rPr>
              <w:t>1966-67</w:t>
            </w:r>
          </w:p>
        </w:tc>
        <w:tc>
          <w:tcPr>
            <w:tcW w:w="0" w:type="auto"/>
            <w:hideMark/>
          </w:tcPr>
          <w:p w14:paraId="706D5962" w14:textId="77777777" w:rsidR="00E0452B" w:rsidRPr="00E22444" w:rsidRDefault="00E0452B" w:rsidP="00E22444">
            <w:pPr>
              <w:pStyle w:val="NoSpacing"/>
              <w:jc w:val="center"/>
              <w:rPr>
                <w:rFonts w:ascii="Times New Roman" w:hAnsi="Times New Roman" w:cs="Times New Roman"/>
                <w:sz w:val="28"/>
                <w:szCs w:val="28"/>
              </w:rPr>
            </w:pPr>
            <w:r w:rsidRPr="00E22444">
              <w:rPr>
                <w:rFonts w:ascii="Times New Roman" w:hAnsi="Times New Roman" w:cs="Times New Roman"/>
                <w:sz w:val="28"/>
                <w:szCs w:val="28"/>
              </w:rPr>
              <w:t>306.3</w:t>
            </w:r>
          </w:p>
        </w:tc>
        <w:tc>
          <w:tcPr>
            <w:tcW w:w="0" w:type="auto"/>
            <w:hideMark/>
          </w:tcPr>
          <w:p w14:paraId="2E0AF705" w14:textId="77777777" w:rsidR="00E0452B" w:rsidRPr="00E22444" w:rsidRDefault="00E0452B" w:rsidP="00E22444">
            <w:pPr>
              <w:pStyle w:val="NoSpacing"/>
              <w:jc w:val="center"/>
              <w:rPr>
                <w:rFonts w:ascii="Times New Roman" w:hAnsi="Times New Roman" w:cs="Times New Roman"/>
                <w:sz w:val="28"/>
                <w:szCs w:val="28"/>
              </w:rPr>
            </w:pPr>
            <w:r w:rsidRPr="00E22444">
              <w:rPr>
                <w:rFonts w:ascii="Times New Roman" w:hAnsi="Times New Roman" w:cs="Times New Roman"/>
                <w:sz w:val="28"/>
                <w:szCs w:val="28"/>
              </w:rPr>
              <w:t>330.8</w:t>
            </w:r>
          </w:p>
        </w:tc>
        <w:tc>
          <w:tcPr>
            <w:tcW w:w="0" w:type="auto"/>
            <w:hideMark/>
          </w:tcPr>
          <w:p w14:paraId="75B33C60" w14:textId="77777777" w:rsidR="00E0452B" w:rsidRPr="00E22444" w:rsidRDefault="00E0452B" w:rsidP="00E22444">
            <w:pPr>
              <w:pStyle w:val="NoSpacing"/>
              <w:jc w:val="center"/>
              <w:rPr>
                <w:rFonts w:ascii="Times New Roman" w:hAnsi="Times New Roman" w:cs="Times New Roman"/>
                <w:sz w:val="28"/>
                <w:szCs w:val="28"/>
              </w:rPr>
            </w:pPr>
            <w:r w:rsidRPr="00E22444">
              <w:rPr>
                <w:rFonts w:ascii="Times New Roman" w:hAnsi="Times New Roman" w:cs="Times New Roman"/>
                <w:sz w:val="28"/>
                <w:szCs w:val="28"/>
              </w:rPr>
              <w:t>8.2</w:t>
            </w:r>
          </w:p>
        </w:tc>
      </w:tr>
      <w:tr w:rsidR="00E0452B" w:rsidRPr="00E22444" w14:paraId="04B1998E" w14:textId="77777777" w:rsidTr="00E22444">
        <w:trPr>
          <w:trHeight w:val="395"/>
          <w:jc w:val="center"/>
        </w:trPr>
        <w:tc>
          <w:tcPr>
            <w:tcW w:w="0" w:type="auto"/>
            <w:hideMark/>
          </w:tcPr>
          <w:p w14:paraId="055C085C" w14:textId="77777777" w:rsidR="00E0452B" w:rsidRPr="00E22444" w:rsidRDefault="00E0452B" w:rsidP="00B77C0B">
            <w:pPr>
              <w:pStyle w:val="NoSpacing"/>
              <w:rPr>
                <w:rFonts w:ascii="Times New Roman" w:hAnsi="Times New Roman" w:cs="Times New Roman"/>
                <w:sz w:val="28"/>
                <w:szCs w:val="28"/>
              </w:rPr>
            </w:pPr>
            <w:r w:rsidRPr="00E22444">
              <w:rPr>
                <w:rFonts w:ascii="Times New Roman" w:hAnsi="Times New Roman" w:cs="Times New Roman"/>
                <w:sz w:val="28"/>
                <w:szCs w:val="28"/>
              </w:rPr>
              <w:t>1967-68</w:t>
            </w:r>
          </w:p>
        </w:tc>
        <w:tc>
          <w:tcPr>
            <w:tcW w:w="0" w:type="auto"/>
            <w:hideMark/>
          </w:tcPr>
          <w:p w14:paraId="36B96101" w14:textId="77777777" w:rsidR="00E0452B" w:rsidRPr="00E22444" w:rsidRDefault="00E0452B" w:rsidP="00E22444">
            <w:pPr>
              <w:pStyle w:val="NoSpacing"/>
              <w:jc w:val="center"/>
              <w:rPr>
                <w:rFonts w:ascii="Times New Roman" w:hAnsi="Times New Roman" w:cs="Times New Roman"/>
                <w:sz w:val="28"/>
                <w:szCs w:val="28"/>
              </w:rPr>
            </w:pPr>
            <w:r w:rsidRPr="00E22444">
              <w:rPr>
                <w:rFonts w:ascii="Times New Roman" w:hAnsi="Times New Roman" w:cs="Times New Roman"/>
                <w:sz w:val="28"/>
                <w:szCs w:val="28"/>
              </w:rPr>
              <w:t>313.3</w:t>
            </w:r>
          </w:p>
        </w:tc>
        <w:tc>
          <w:tcPr>
            <w:tcW w:w="0" w:type="auto"/>
            <w:hideMark/>
          </w:tcPr>
          <w:p w14:paraId="00CB23F5" w14:textId="77777777" w:rsidR="00E0452B" w:rsidRPr="00E22444" w:rsidRDefault="00E0452B" w:rsidP="00E22444">
            <w:pPr>
              <w:pStyle w:val="NoSpacing"/>
              <w:jc w:val="center"/>
              <w:rPr>
                <w:rFonts w:ascii="Times New Roman" w:hAnsi="Times New Roman" w:cs="Times New Roman"/>
                <w:sz w:val="28"/>
                <w:szCs w:val="28"/>
              </w:rPr>
            </w:pPr>
            <w:r w:rsidRPr="00E22444">
              <w:rPr>
                <w:rFonts w:ascii="Times New Roman" w:hAnsi="Times New Roman" w:cs="Times New Roman"/>
                <w:sz w:val="28"/>
                <w:szCs w:val="28"/>
              </w:rPr>
              <w:t>310.3</w:t>
            </w:r>
          </w:p>
        </w:tc>
        <w:tc>
          <w:tcPr>
            <w:tcW w:w="0" w:type="auto"/>
            <w:hideMark/>
          </w:tcPr>
          <w:p w14:paraId="0C2F1126" w14:textId="77777777" w:rsidR="00E0452B" w:rsidRPr="00E22444" w:rsidRDefault="00E0452B" w:rsidP="00E22444">
            <w:pPr>
              <w:pStyle w:val="NoSpacing"/>
              <w:jc w:val="center"/>
              <w:rPr>
                <w:rFonts w:ascii="Times New Roman" w:hAnsi="Times New Roman" w:cs="Times New Roman"/>
                <w:sz w:val="28"/>
                <w:szCs w:val="28"/>
              </w:rPr>
            </w:pPr>
            <w:r w:rsidRPr="00E22444">
              <w:rPr>
                <w:rFonts w:ascii="Times New Roman" w:hAnsi="Times New Roman" w:cs="Times New Roman"/>
                <w:sz w:val="28"/>
                <w:szCs w:val="28"/>
              </w:rPr>
              <w:t>9.3</w:t>
            </w:r>
          </w:p>
        </w:tc>
      </w:tr>
      <w:tr w:rsidR="00E0452B" w:rsidRPr="00E22444" w14:paraId="3A520E9C" w14:textId="77777777" w:rsidTr="00E22444">
        <w:trPr>
          <w:trHeight w:val="372"/>
          <w:jc w:val="center"/>
        </w:trPr>
        <w:tc>
          <w:tcPr>
            <w:tcW w:w="0" w:type="auto"/>
            <w:hideMark/>
          </w:tcPr>
          <w:p w14:paraId="2C5C84C9" w14:textId="77777777" w:rsidR="00E0452B" w:rsidRPr="00E22444" w:rsidRDefault="00E0452B" w:rsidP="00B77C0B">
            <w:pPr>
              <w:pStyle w:val="NoSpacing"/>
              <w:rPr>
                <w:rFonts w:ascii="Times New Roman" w:hAnsi="Times New Roman" w:cs="Times New Roman"/>
                <w:sz w:val="28"/>
                <w:szCs w:val="28"/>
              </w:rPr>
            </w:pPr>
            <w:r w:rsidRPr="00E22444">
              <w:rPr>
                <w:rFonts w:ascii="Times New Roman" w:hAnsi="Times New Roman" w:cs="Times New Roman"/>
                <w:sz w:val="28"/>
                <w:szCs w:val="28"/>
              </w:rPr>
              <w:t>1968-69 (R.E.)</w:t>
            </w:r>
          </w:p>
        </w:tc>
        <w:tc>
          <w:tcPr>
            <w:tcW w:w="0" w:type="auto"/>
            <w:hideMark/>
          </w:tcPr>
          <w:p w14:paraId="745EEAF2" w14:textId="77777777" w:rsidR="00E0452B" w:rsidRPr="00E22444" w:rsidRDefault="00E0452B" w:rsidP="00E22444">
            <w:pPr>
              <w:pStyle w:val="NoSpacing"/>
              <w:jc w:val="center"/>
              <w:rPr>
                <w:rFonts w:ascii="Times New Roman" w:hAnsi="Times New Roman" w:cs="Times New Roman"/>
                <w:sz w:val="28"/>
                <w:szCs w:val="28"/>
              </w:rPr>
            </w:pPr>
            <w:r w:rsidRPr="00E22444">
              <w:rPr>
                <w:rFonts w:ascii="Times New Roman" w:hAnsi="Times New Roman" w:cs="Times New Roman"/>
                <w:sz w:val="28"/>
                <w:szCs w:val="28"/>
              </w:rPr>
              <w:t>338.0</w:t>
            </w:r>
          </w:p>
        </w:tc>
        <w:tc>
          <w:tcPr>
            <w:tcW w:w="0" w:type="auto"/>
            <w:hideMark/>
          </w:tcPr>
          <w:p w14:paraId="786838E3" w14:textId="77777777" w:rsidR="00E0452B" w:rsidRPr="00E22444" w:rsidRDefault="00E0452B" w:rsidP="00E22444">
            <w:pPr>
              <w:pStyle w:val="NoSpacing"/>
              <w:jc w:val="center"/>
              <w:rPr>
                <w:rFonts w:ascii="Times New Roman" w:hAnsi="Times New Roman" w:cs="Times New Roman"/>
                <w:sz w:val="28"/>
                <w:szCs w:val="28"/>
              </w:rPr>
            </w:pPr>
            <w:r w:rsidRPr="00E22444">
              <w:rPr>
                <w:rFonts w:ascii="Times New Roman" w:hAnsi="Times New Roman" w:cs="Times New Roman"/>
                <w:sz w:val="28"/>
                <w:szCs w:val="28"/>
              </w:rPr>
              <w:t>322.0</w:t>
            </w:r>
          </w:p>
        </w:tc>
        <w:tc>
          <w:tcPr>
            <w:tcW w:w="0" w:type="auto"/>
            <w:hideMark/>
          </w:tcPr>
          <w:p w14:paraId="515B6582" w14:textId="77777777" w:rsidR="00E0452B" w:rsidRPr="00E22444" w:rsidRDefault="00E0452B" w:rsidP="00E22444">
            <w:pPr>
              <w:pStyle w:val="NoSpacing"/>
              <w:jc w:val="center"/>
              <w:rPr>
                <w:rFonts w:ascii="Times New Roman" w:hAnsi="Times New Roman" w:cs="Times New Roman"/>
                <w:sz w:val="28"/>
                <w:szCs w:val="28"/>
              </w:rPr>
            </w:pPr>
            <w:r w:rsidRPr="00E22444">
              <w:rPr>
                <w:rFonts w:ascii="Times New Roman" w:hAnsi="Times New Roman" w:cs="Times New Roman"/>
                <w:sz w:val="28"/>
                <w:szCs w:val="28"/>
              </w:rPr>
              <w:t>14.0</w:t>
            </w:r>
          </w:p>
        </w:tc>
      </w:tr>
    </w:tbl>
    <w:p w14:paraId="79073D1A" w14:textId="77777777" w:rsidR="00E0452B" w:rsidRPr="00E22444" w:rsidRDefault="00E0452B" w:rsidP="00E0452B">
      <w:pPr>
        <w:rPr>
          <w:rFonts w:ascii="Times New Roman" w:hAnsi="Times New Roman" w:cs="Times New Roman"/>
          <w:sz w:val="20"/>
          <w:szCs w:val="20"/>
        </w:rPr>
      </w:pPr>
      <w:r w:rsidRPr="00E22444">
        <w:rPr>
          <w:rFonts w:ascii="Times New Roman" w:hAnsi="Times New Roman" w:cs="Times New Roman"/>
          <w:sz w:val="20"/>
          <w:szCs w:val="20"/>
        </w:rPr>
        <w:t>Source: Combined finance and revenue accounts and Central Government documents.</w:t>
      </w:r>
    </w:p>
    <w:p w14:paraId="44601D3B" w14:textId="77777777" w:rsidR="00E0452B" w:rsidRPr="007245B0" w:rsidRDefault="00E0452B" w:rsidP="00E0452B">
      <w:pPr>
        <w:rPr>
          <w:rFonts w:ascii="Times New Roman" w:hAnsi="Times New Roman" w:cs="Times New Roman"/>
          <w:i/>
          <w:iCs/>
          <w:szCs w:val="24"/>
        </w:rPr>
      </w:pPr>
    </w:p>
    <w:p w14:paraId="0B0BDCB4" w14:textId="364E2A64" w:rsidR="00E0452B" w:rsidRPr="007245B0" w:rsidRDefault="00E0452B">
      <w:pPr>
        <w:rPr>
          <w:rFonts w:ascii="Times New Roman" w:hAnsi="Times New Roman" w:cs="Times New Roman"/>
          <w:i/>
          <w:iCs/>
          <w:szCs w:val="24"/>
        </w:rPr>
      </w:pPr>
      <w:r w:rsidRPr="007245B0">
        <w:rPr>
          <w:rFonts w:ascii="Times New Roman" w:hAnsi="Times New Roman" w:cs="Times New Roman"/>
          <w:i/>
          <w:iCs/>
          <w:szCs w:val="24"/>
        </w:rPr>
        <w:br w:type="page"/>
      </w:r>
    </w:p>
    <w:p w14:paraId="26CA17C3" w14:textId="536B9BF9" w:rsidR="004A2A74" w:rsidRPr="007245B0" w:rsidRDefault="00574BCE" w:rsidP="00427668">
      <w:pPr>
        <w:pStyle w:val="Heading4"/>
        <w:rPr>
          <w:i/>
          <w:iCs/>
          <w:szCs w:val="24"/>
        </w:rPr>
      </w:pPr>
      <w:bookmarkStart w:id="171" w:name="_Toc220949727"/>
      <w:bookmarkStart w:id="172" w:name="_Toc221114327"/>
      <w:bookmarkStart w:id="173" w:name="_Toc221115350"/>
      <w:r w:rsidRPr="00427668">
        <w:rPr>
          <w:rStyle w:val="Heading4Char"/>
          <w:b/>
          <w:bCs/>
        </w:rPr>
        <w:lastRenderedPageBreak/>
        <w:t>Table</w:t>
      </w:r>
      <w:r w:rsidR="004A2A74" w:rsidRPr="00427668">
        <w:rPr>
          <w:rStyle w:val="Heading4Char"/>
          <w:b/>
          <w:bCs/>
        </w:rPr>
        <w:t xml:space="preserve"> </w:t>
      </w:r>
      <w:r w:rsidR="009A78EE" w:rsidRPr="00427668">
        <w:rPr>
          <w:rStyle w:val="Heading4Char"/>
          <w:b/>
          <w:bCs/>
        </w:rPr>
        <w:t>46:</w:t>
      </w:r>
      <w:r w:rsidR="004A2A74" w:rsidRPr="00427668">
        <w:rPr>
          <w:rStyle w:val="Heading4Char"/>
          <w:b/>
          <w:bCs/>
        </w:rPr>
        <w:t xml:space="preserve"> State-wise assessment of income tax (excluding tax on Union Salaries) for the years 1962-63 to 1964-65.</w:t>
      </w:r>
      <w:bookmarkEnd w:id="171"/>
      <w:r w:rsidR="00427668">
        <w:rPr>
          <w:rStyle w:val="Heading4Char"/>
        </w:rPr>
        <w:t xml:space="preserve"> </w:t>
      </w:r>
      <w:r w:rsidR="00427668">
        <w:rPr>
          <w:rStyle w:val="Heading4Char"/>
        </w:rPr>
        <w:br/>
      </w:r>
      <w:r w:rsidR="004A2A74" w:rsidRPr="007245B0">
        <w:rPr>
          <w:i/>
          <w:iCs/>
          <w:szCs w:val="24"/>
        </w:rPr>
        <w:t>(Net of reductions on account of appellate order, revision, rectification, etc.)</w:t>
      </w:r>
      <w:bookmarkEnd w:id="172"/>
      <w:bookmarkEnd w:id="173"/>
      <w:r w:rsidR="004A2A74" w:rsidRPr="007245B0">
        <w:rPr>
          <w:i/>
          <w:iCs/>
          <w:szCs w:val="24"/>
        </w:rPr>
        <w:br/>
      </w:r>
    </w:p>
    <w:p w14:paraId="31FE6DFB" w14:textId="77777777" w:rsidR="004A2A74" w:rsidRPr="007245B0" w:rsidRDefault="004A2A74" w:rsidP="004A2A74">
      <w:pPr>
        <w:jc w:val="right"/>
        <w:rPr>
          <w:rFonts w:ascii="Times New Roman" w:hAnsi="Times New Roman" w:cs="Times New Roman"/>
          <w:i/>
          <w:iCs/>
          <w:szCs w:val="24"/>
        </w:rPr>
      </w:pPr>
      <w:r w:rsidRPr="007245B0">
        <w:rPr>
          <w:rFonts w:ascii="Times New Roman" w:hAnsi="Times New Roman" w:cs="Times New Roman"/>
          <w:i/>
          <w:iCs/>
          <w:szCs w:val="24"/>
        </w:rPr>
        <w:t>(Rs. crores)</w:t>
      </w:r>
    </w:p>
    <w:tbl>
      <w:tblPr>
        <w:tblStyle w:val="TableGrid"/>
        <w:tblW w:w="9977" w:type="dxa"/>
        <w:tblLook w:val="04A0" w:firstRow="1" w:lastRow="0" w:firstColumn="1" w:lastColumn="0" w:noHBand="0" w:noVBand="1"/>
      </w:tblPr>
      <w:tblGrid>
        <w:gridCol w:w="2614"/>
        <w:gridCol w:w="1300"/>
        <w:gridCol w:w="1300"/>
        <w:gridCol w:w="1675"/>
        <w:gridCol w:w="3088"/>
      </w:tblGrid>
      <w:tr w:rsidR="004A2A74" w:rsidRPr="00E22444" w14:paraId="56821EDB" w14:textId="77777777" w:rsidTr="00E22444">
        <w:trPr>
          <w:trHeight w:val="503"/>
        </w:trPr>
        <w:tc>
          <w:tcPr>
            <w:tcW w:w="0" w:type="auto"/>
            <w:vAlign w:val="center"/>
            <w:hideMark/>
          </w:tcPr>
          <w:p w14:paraId="08CDFD5F" w14:textId="77777777" w:rsidR="004A2A74" w:rsidRPr="00E22444" w:rsidRDefault="004A2A74" w:rsidP="00E22444">
            <w:pPr>
              <w:pStyle w:val="NoSpacing"/>
              <w:jc w:val="center"/>
              <w:rPr>
                <w:rFonts w:ascii="Times New Roman" w:hAnsi="Times New Roman" w:cs="Times New Roman"/>
                <w:b/>
                <w:bCs/>
                <w:szCs w:val="24"/>
              </w:rPr>
            </w:pPr>
            <w:r w:rsidRPr="00E22444">
              <w:rPr>
                <w:rFonts w:ascii="Times New Roman" w:hAnsi="Times New Roman" w:cs="Times New Roman"/>
                <w:b/>
                <w:bCs/>
                <w:szCs w:val="24"/>
              </w:rPr>
              <w:t>States</w:t>
            </w:r>
          </w:p>
        </w:tc>
        <w:tc>
          <w:tcPr>
            <w:tcW w:w="0" w:type="auto"/>
            <w:vAlign w:val="center"/>
            <w:hideMark/>
          </w:tcPr>
          <w:p w14:paraId="617DC80D" w14:textId="77777777" w:rsidR="004A2A74" w:rsidRPr="00E22444" w:rsidRDefault="004A2A74" w:rsidP="00E22444">
            <w:pPr>
              <w:pStyle w:val="NoSpacing"/>
              <w:jc w:val="center"/>
              <w:rPr>
                <w:rFonts w:ascii="Times New Roman" w:hAnsi="Times New Roman" w:cs="Times New Roman"/>
                <w:b/>
                <w:bCs/>
                <w:szCs w:val="24"/>
              </w:rPr>
            </w:pPr>
            <w:r w:rsidRPr="00E22444">
              <w:rPr>
                <w:rFonts w:ascii="Times New Roman" w:hAnsi="Times New Roman" w:cs="Times New Roman"/>
                <w:b/>
                <w:bCs/>
                <w:szCs w:val="24"/>
              </w:rPr>
              <w:t>1962-63</w:t>
            </w:r>
          </w:p>
        </w:tc>
        <w:tc>
          <w:tcPr>
            <w:tcW w:w="0" w:type="auto"/>
            <w:vAlign w:val="center"/>
            <w:hideMark/>
          </w:tcPr>
          <w:p w14:paraId="317090D0" w14:textId="77777777" w:rsidR="004A2A74" w:rsidRPr="00E22444" w:rsidRDefault="004A2A74" w:rsidP="00E22444">
            <w:pPr>
              <w:pStyle w:val="NoSpacing"/>
              <w:jc w:val="center"/>
              <w:rPr>
                <w:rFonts w:ascii="Times New Roman" w:hAnsi="Times New Roman" w:cs="Times New Roman"/>
                <w:b/>
                <w:bCs/>
                <w:szCs w:val="24"/>
              </w:rPr>
            </w:pPr>
            <w:r w:rsidRPr="00E22444">
              <w:rPr>
                <w:rFonts w:ascii="Times New Roman" w:hAnsi="Times New Roman" w:cs="Times New Roman"/>
                <w:b/>
                <w:bCs/>
                <w:szCs w:val="24"/>
              </w:rPr>
              <w:t>1963-64</w:t>
            </w:r>
          </w:p>
        </w:tc>
        <w:tc>
          <w:tcPr>
            <w:tcW w:w="1675" w:type="dxa"/>
            <w:vAlign w:val="center"/>
            <w:hideMark/>
          </w:tcPr>
          <w:p w14:paraId="4670393A" w14:textId="77777777" w:rsidR="004A2A74" w:rsidRPr="00E22444" w:rsidRDefault="004A2A74" w:rsidP="00E22444">
            <w:pPr>
              <w:pStyle w:val="NoSpacing"/>
              <w:jc w:val="center"/>
              <w:rPr>
                <w:rFonts w:ascii="Times New Roman" w:hAnsi="Times New Roman" w:cs="Times New Roman"/>
                <w:b/>
                <w:bCs/>
                <w:szCs w:val="24"/>
              </w:rPr>
            </w:pPr>
            <w:r w:rsidRPr="00E22444">
              <w:rPr>
                <w:rFonts w:ascii="Times New Roman" w:hAnsi="Times New Roman" w:cs="Times New Roman"/>
                <w:b/>
                <w:bCs/>
                <w:szCs w:val="24"/>
              </w:rPr>
              <w:t>1964-65</w:t>
            </w:r>
          </w:p>
        </w:tc>
        <w:tc>
          <w:tcPr>
            <w:tcW w:w="3088" w:type="dxa"/>
            <w:vAlign w:val="center"/>
            <w:hideMark/>
          </w:tcPr>
          <w:p w14:paraId="5A5052B7" w14:textId="77777777" w:rsidR="004A2A74" w:rsidRPr="00E22444" w:rsidRDefault="004A2A74" w:rsidP="00E22444">
            <w:pPr>
              <w:pStyle w:val="NoSpacing"/>
              <w:jc w:val="center"/>
              <w:rPr>
                <w:rFonts w:ascii="Times New Roman" w:hAnsi="Times New Roman" w:cs="Times New Roman"/>
                <w:b/>
                <w:bCs/>
                <w:szCs w:val="24"/>
              </w:rPr>
            </w:pPr>
            <w:r w:rsidRPr="00E22444">
              <w:rPr>
                <w:rFonts w:ascii="Times New Roman" w:hAnsi="Times New Roman" w:cs="Times New Roman"/>
                <w:b/>
                <w:bCs/>
                <w:szCs w:val="24"/>
              </w:rPr>
              <w:t>Total 1962-63 to 1964-65</w:t>
            </w:r>
          </w:p>
        </w:tc>
      </w:tr>
      <w:tr w:rsidR="004A2A74" w:rsidRPr="00E22444" w14:paraId="641FBE29" w14:textId="77777777" w:rsidTr="00E22444">
        <w:trPr>
          <w:trHeight w:val="475"/>
        </w:trPr>
        <w:tc>
          <w:tcPr>
            <w:tcW w:w="0" w:type="auto"/>
            <w:vAlign w:val="center"/>
            <w:hideMark/>
          </w:tcPr>
          <w:p w14:paraId="58E6925F" w14:textId="77777777" w:rsidR="004A2A74" w:rsidRPr="00E22444" w:rsidRDefault="004A2A74" w:rsidP="00E22444">
            <w:pPr>
              <w:pStyle w:val="NoSpacing"/>
              <w:rPr>
                <w:rFonts w:ascii="Times New Roman" w:hAnsi="Times New Roman" w:cs="Times New Roman"/>
                <w:szCs w:val="24"/>
              </w:rPr>
            </w:pPr>
            <w:r w:rsidRPr="00E22444">
              <w:rPr>
                <w:rFonts w:ascii="Times New Roman" w:hAnsi="Times New Roman" w:cs="Times New Roman"/>
                <w:szCs w:val="24"/>
              </w:rPr>
              <w:t>Andhra Pradesh</w:t>
            </w:r>
          </w:p>
        </w:tc>
        <w:tc>
          <w:tcPr>
            <w:tcW w:w="0" w:type="auto"/>
            <w:vAlign w:val="center"/>
            <w:hideMark/>
          </w:tcPr>
          <w:p w14:paraId="208A260C" w14:textId="77777777" w:rsidR="004A2A74" w:rsidRPr="00E22444" w:rsidRDefault="004A2A74" w:rsidP="00E22444">
            <w:pPr>
              <w:pStyle w:val="NoSpacing"/>
              <w:jc w:val="center"/>
              <w:rPr>
                <w:rFonts w:ascii="Times New Roman" w:hAnsi="Times New Roman" w:cs="Times New Roman"/>
                <w:szCs w:val="24"/>
              </w:rPr>
            </w:pPr>
            <w:r w:rsidRPr="00E22444">
              <w:rPr>
                <w:rFonts w:ascii="Times New Roman" w:hAnsi="Times New Roman" w:cs="Times New Roman"/>
                <w:szCs w:val="24"/>
              </w:rPr>
              <w:t>4.91</w:t>
            </w:r>
          </w:p>
        </w:tc>
        <w:tc>
          <w:tcPr>
            <w:tcW w:w="0" w:type="auto"/>
            <w:vAlign w:val="center"/>
            <w:hideMark/>
          </w:tcPr>
          <w:p w14:paraId="6EE26489" w14:textId="77777777" w:rsidR="004A2A74" w:rsidRPr="00E22444" w:rsidRDefault="004A2A74" w:rsidP="00E22444">
            <w:pPr>
              <w:pStyle w:val="NoSpacing"/>
              <w:jc w:val="center"/>
              <w:rPr>
                <w:rFonts w:ascii="Times New Roman" w:hAnsi="Times New Roman" w:cs="Times New Roman"/>
                <w:szCs w:val="24"/>
              </w:rPr>
            </w:pPr>
            <w:r w:rsidRPr="00E22444">
              <w:rPr>
                <w:rFonts w:ascii="Times New Roman" w:hAnsi="Times New Roman" w:cs="Times New Roman"/>
                <w:szCs w:val="24"/>
              </w:rPr>
              <w:t>5.99</w:t>
            </w:r>
          </w:p>
        </w:tc>
        <w:tc>
          <w:tcPr>
            <w:tcW w:w="1675" w:type="dxa"/>
            <w:vAlign w:val="center"/>
            <w:hideMark/>
          </w:tcPr>
          <w:p w14:paraId="7E37D53A" w14:textId="77777777" w:rsidR="004A2A74" w:rsidRPr="00E22444" w:rsidRDefault="004A2A74" w:rsidP="00E22444">
            <w:pPr>
              <w:pStyle w:val="NoSpacing"/>
              <w:jc w:val="center"/>
              <w:rPr>
                <w:rFonts w:ascii="Times New Roman" w:hAnsi="Times New Roman" w:cs="Times New Roman"/>
                <w:szCs w:val="24"/>
              </w:rPr>
            </w:pPr>
            <w:r w:rsidRPr="00E22444">
              <w:rPr>
                <w:rFonts w:ascii="Times New Roman" w:hAnsi="Times New Roman" w:cs="Times New Roman"/>
                <w:szCs w:val="24"/>
              </w:rPr>
              <w:t>6.40</w:t>
            </w:r>
          </w:p>
        </w:tc>
        <w:tc>
          <w:tcPr>
            <w:tcW w:w="3088" w:type="dxa"/>
            <w:vAlign w:val="center"/>
            <w:hideMark/>
          </w:tcPr>
          <w:p w14:paraId="3EFBFCD8" w14:textId="77777777" w:rsidR="004A2A74" w:rsidRPr="00E22444" w:rsidRDefault="004A2A74" w:rsidP="00E22444">
            <w:pPr>
              <w:pStyle w:val="NoSpacing"/>
              <w:jc w:val="center"/>
              <w:rPr>
                <w:rFonts w:ascii="Times New Roman" w:hAnsi="Times New Roman" w:cs="Times New Roman"/>
                <w:szCs w:val="24"/>
              </w:rPr>
            </w:pPr>
            <w:r w:rsidRPr="00E22444">
              <w:rPr>
                <w:rFonts w:ascii="Times New Roman" w:hAnsi="Times New Roman" w:cs="Times New Roman"/>
                <w:szCs w:val="24"/>
              </w:rPr>
              <w:t>17.30</w:t>
            </w:r>
          </w:p>
        </w:tc>
      </w:tr>
      <w:tr w:rsidR="004A2A74" w:rsidRPr="00E22444" w14:paraId="46D2D74B" w14:textId="77777777" w:rsidTr="00E22444">
        <w:trPr>
          <w:trHeight w:val="503"/>
        </w:trPr>
        <w:tc>
          <w:tcPr>
            <w:tcW w:w="0" w:type="auto"/>
            <w:vAlign w:val="center"/>
            <w:hideMark/>
          </w:tcPr>
          <w:p w14:paraId="30CF26FA" w14:textId="77777777" w:rsidR="004A2A74" w:rsidRPr="00E22444" w:rsidRDefault="004A2A74" w:rsidP="00E22444">
            <w:pPr>
              <w:pStyle w:val="NoSpacing"/>
              <w:rPr>
                <w:rFonts w:ascii="Times New Roman" w:hAnsi="Times New Roman" w:cs="Times New Roman"/>
                <w:szCs w:val="24"/>
              </w:rPr>
            </w:pPr>
            <w:r w:rsidRPr="00E22444">
              <w:rPr>
                <w:rFonts w:ascii="Times New Roman" w:hAnsi="Times New Roman" w:cs="Times New Roman"/>
                <w:szCs w:val="24"/>
              </w:rPr>
              <w:t>Assam</w:t>
            </w:r>
          </w:p>
        </w:tc>
        <w:tc>
          <w:tcPr>
            <w:tcW w:w="0" w:type="auto"/>
            <w:vAlign w:val="center"/>
            <w:hideMark/>
          </w:tcPr>
          <w:p w14:paraId="161716DF" w14:textId="77777777" w:rsidR="004A2A74" w:rsidRPr="00E22444" w:rsidRDefault="004A2A74" w:rsidP="00E22444">
            <w:pPr>
              <w:pStyle w:val="NoSpacing"/>
              <w:jc w:val="center"/>
              <w:rPr>
                <w:rFonts w:ascii="Times New Roman" w:hAnsi="Times New Roman" w:cs="Times New Roman"/>
                <w:szCs w:val="24"/>
              </w:rPr>
            </w:pPr>
            <w:r w:rsidRPr="00E22444">
              <w:rPr>
                <w:rFonts w:ascii="Times New Roman" w:hAnsi="Times New Roman" w:cs="Times New Roman"/>
                <w:szCs w:val="24"/>
              </w:rPr>
              <w:t>2.25</w:t>
            </w:r>
          </w:p>
        </w:tc>
        <w:tc>
          <w:tcPr>
            <w:tcW w:w="0" w:type="auto"/>
            <w:vAlign w:val="center"/>
            <w:hideMark/>
          </w:tcPr>
          <w:p w14:paraId="0ED51885" w14:textId="77777777" w:rsidR="004A2A74" w:rsidRPr="00E22444" w:rsidRDefault="004A2A74" w:rsidP="00E22444">
            <w:pPr>
              <w:pStyle w:val="NoSpacing"/>
              <w:jc w:val="center"/>
              <w:rPr>
                <w:rFonts w:ascii="Times New Roman" w:hAnsi="Times New Roman" w:cs="Times New Roman"/>
                <w:szCs w:val="24"/>
              </w:rPr>
            </w:pPr>
            <w:r w:rsidRPr="00E22444">
              <w:rPr>
                <w:rFonts w:ascii="Times New Roman" w:hAnsi="Times New Roman" w:cs="Times New Roman"/>
                <w:szCs w:val="24"/>
              </w:rPr>
              <w:t>2.29</w:t>
            </w:r>
          </w:p>
        </w:tc>
        <w:tc>
          <w:tcPr>
            <w:tcW w:w="1675" w:type="dxa"/>
            <w:vAlign w:val="center"/>
            <w:hideMark/>
          </w:tcPr>
          <w:p w14:paraId="201A5FF0" w14:textId="77777777" w:rsidR="004A2A74" w:rsidRPr="00E22444" w:rsidRDefault="004A2A74" w:rsidP="00E22444">
            <w:pPr>
              <w:pStyle w:val="NoSpacing"/>
              <w:jc w:val="center"/>
              <w:rPr>
                <w:rFonts w:ascii="Times New Roman" w:hAnsi="Times New Roman" w:cs="Times New Roman"/>
                <w:szCs w:val="24"/>
              </w:rPr>
            </w:pPr>
            <w:r w:rsidRPr="00E22444">
              <w:rPr>
                <w:rFonts w:ascii="Times New Roman" w:hAnsi="Times New Roman" w:cs="Times New Roman"/>
                <w:szCs w:val="24"/>
              </w:rPr>
              <w:t>2.30</w:t>
            </w:r>
          </w:p>
        </w:tc>
        <w:tc>
          <w:tcPr>
            <w:tcW w:w="3088" w:type="dxa"/>
            <w:vAlign w:val="center"/>
            <w:hideMark/>
          </w:tcPr>
          <w:p w14:paraId="2EDF47D1" w14:textId="77777777" w:rsidR="004A2A74" w:rsidRPr="00E22444" w:rsidRDefault="004A2A74" w:rsidP="00E22444">
            <w:pPr>
              <w:pStyle w:val="NoSpacing"/>
              <w:jc w:val="center"/>
              <w:rPr>
                <w:rFonts w:ascii="Times New Roman" w:hAnsi="Times New Roman" w:cs="Times New Roman"/>
                <w:szCs w:val="24"/>
              </w:rPr>
            </w:pPr>
            <w:r w:rsidRPr="00E22444">
              <w:rPr>
                <w:rFonts w:ascii="Times New Roman" w:hAnsi="Times New Roman" w:cs="Times New Roman"/>
                <w:szCs w:val="24"/>
              </w:rPr>
              <w:t>6.84</w:t>
            </w:r>
          </w:p>
        </w:tc>
      </w:tr>
      <w:tr w:rsidR="004A2A74" w:rsidRPr="00E22444" w14:paraId="74B52083" w14:textId="77777777" w:rsidTr="00E22444">
        <w:trPr>
          <w:trHeight w:val="475"/>
        </w:trPr>
        <w:tc>
          <w:tcPr>
            <w:tcW w:w="0" w:type="auto"/>
            <w:vAlign w:val="center"/>
            <w:hideMark/>
          </w:tcPr>
          <w:p w14:paraId="219A4532" w14:textId="77777777" w:rsidR="004A2A74" w:rsidRPr="00E22444" w:rsidRDefault="004A2A74" w:rsidP="00E22444">
            <w:pPr>
              <w:pStyle w:val="NoSpacing"/>
              <w:rPr>
                <w:rFonts w:ascii="Times New Roman" w:hAnsi="Times New Roman" w:cs="Times New Roman"/>
                <w:szCs w:val="24"/>
              </w:rPr>
            </w:pPr>
            <w:r w:rsidRPr="00E22444">
              <w:rPr>
                <w:rFonts w:ascii="Times New Roman" w:hAnsi="Times New Roman" w:cs="Times New Roman"/>
                <w:szCs w:val="24"/>
              </w:rPr>
              <w:t>Bihar</w:t>
            </w:r>
          </w:p>
        </w:tc>
        <w:tc>
          <w:tcPr>
            <w:tcW w:w="0" w:type="auto"/>
            <w:vAlign w:val="center"/>
            <w:hideMark/>
          </w:tcPr>
          <w:p w14:paraId="365D46B0" w14:textId="77777777" w:rsidR="004A2A74" w:rsidRPr="00E22444" w:rsidRDefault="004A2A74" w:rsidP="00E22444">
            <w:pPr>
              <w:pStyle w:val="NoSpacing"/>
              <w:jc w:val="center"/>
              <w:rPr>
                <w:rFonts w:ascii="Times New Roman" w:hAnsi="Times New Roman" w:cs="Times New Roman"/>
                <w:szCs w:val="24"/>
              </w:rPr>
            </w:pPr>
            <w:r w:rsidRPr="00E22444">
              <w:rPr>
                <w:rFonts w:ascii="Times New Roman" w:hAnsi="Times New Roman" w:cs="Times New Roman"/>
                <w:szCs w:val="24"/>
              </w:rPr>
              <w:t>2.90</w:t>
            </w:r>
          </w:p>
        </w:tc>
        <w:tc>
          <w:tcPr>
            <w:tcW w:w="0" w:type="auto"/>
            <w:vAlign w:val="center"/>
            <w:hideMark/>
          </w:tcPr>
          <w:p w14:paraId="336D9844" w14:textId="77777777" w:rsidR="004A2A74" w:rsidRPr="00E22444" w:rsidRDefault="004A2A74" w:rsidP="00E22444">
            <w:pPr>
              <w:pStyle w:val="NoSpacing"/>
              <w:jc w:val="center"/>
              <w:rPr>
                <w:rFonts w:ascii="Times New Roman" w:hAnsi="Times New Roman" w:cs="Times New Roman"/>
                <w:szCs w:val="24"/>
              </w:rPr>
            </w:pPr>
            <w:r w:rsidRPr="00E22444">
              <w:rPr>
                <w:rFonts w:ascii="Times New Roman" w:hAnsi="Times New Roman" w:cs="Times New Roman"/>
                <w:szCs w:val="24"/>
              </w:rPr>
              <w:t>1.88</w:t>
            </w:r>
          </w:p>
        </w:tc>
        <w:tc>
          <w:tcPr>
            <w:tcW w:w="1675" w:type="dxa"/>
            <w:vAlign w:val="center"/>
            <w:hideMark/>
          </w:tcPr>
          <w:p w14:paraId="0E7749BD" w14:textId="77777777" w:rsidR="004A2A74" w:rsidRPr="00E22444" w:rsidRDefault="004A2A74" w:rsidP="00E22444">
            <w:pPr>
              <w:pStyle w:val="NoSpacing"/>
              <w:jc w:val="center"/>
              <w:rPr>
                <w:rFonts w:ascii="Times New Roman" w:hAnsi="Times New Roman" w:cs="Times New Roman"/>
                <w:szCs w:val="24"/>
              </w:rPr>
            </w:pPr>
            <w:r w:rsidRPr="00E22444">
              <w:rPr>
                <w:rFonts w:ascii="Times New Roman" w:hAnsi="Times New Roman" w:cs="Times New Roman"/>
                <w:szCs w:val="24"/>
              </w:rPr>
              <w:t>4.80</w:t>
            </w:r>
          </w:p>
        </w:tc>
        <w:tc>
          <w:tcPr>
            <w:tcW w:w="3088" w:type="dxa"/>
            <w:vAlign w:val="center"/>
            <w:hideMark/>
          </w:tcPr>
          <w:p w14:paraId="115493C1" w14:textId="77777777" w:rsidR="004A2A74" w:rsidRPr="00E22444" w:rsidRDefault="004A2A74" w:rsidP="00E22444">
            <w:pPr>
              <w:pStyle w:val="NoSpacing"/>
              <w:jc w:val="center"/>
              <w:rPr>
                <w:rFonts w:ascii="Times New Roman" w:hAnsi="Times New Roman" w:cs="Times New Roman"/>
                <w:szCs w:val="24"/>
              </w:rPr>
            </w:pPr>
            <w:r w:rsidRPr="00E22444">
              <w:rPr>
                <w:rFonts w:ascii="Times New Roman" w:hAnsi="Times New Roman" w:cs="Times New Roman"/>
                <w:szCs w:val="24"/>
              </w:rPr>
              <w:t>9.58</w:t>
            </w:r>
          </w:p>
        </w:tc>
      </w:tr>
      <w:tr w:rsidR="004A2A74" w:rsidRPr="00E22444" w14:paraId="415A2983" w14:textId="77777777" w:rsidTr="00E22444">
        <w:trPr>
          <w:trHeight w:val="503"/>
        </w:trPr>
        <w:tc>
          <w:tcPr>
            <w:tcW w:w="0" w:type="auto"/>
            <w:vAlign w:val="center"/>
            <w:hideMark/>
          </w:tcPr>
          <w:p w14:paraId="63AD33C7" w14:textId="77777777" w:rsidR="004A2A74" w:rsidRPr="00E22444" w:rsidRDefault="004A2A74" w:rsidP="00E22444">
            <w:pPr>
              <w:pStyle w:val="NoSpacing"/>
              <w:rPr>
                <w:rFonts w:ascii="Times New Roman" w:hAnsi="Times New Roman" w:cs="Times New Roman"/>
                <w:szCs w:val="24"/>
              </w:rPr>
            </w:pPr>
            <w:r w:rsidRPr="00E22444">
              <w:rPr>
                <w:rFonts w:ascii="Times New Roman" w:hAnsi="Times New Roman" w:cs="Times New Roman"/>
                <w:szCs w:val="24"/>
              </w:rPr>
              <w:t>Gujarat</w:t>
            </w:r>
          </w:p>
        </w:tc>
        <w:tc>
          <w:tcPr>
            <w:tcW w:w="0" w:type="auto"/>
            <w:vAlign w:val="center"/>
            <w:hideMark/>
          </w:tcPr>
          <w:p w14:paraId="06A8529B" w14:textId="77777777" w:rsidR="004A2A74" w:rsidRPr="00E22444" w:rsidRDefault="004A2A74" w:rsidP="00E22444">
            <w:pPr>
              <w:pStyle w:val="NoSpacing"/>
              <w:jc w:val="center"/>
              <w:rPr>
                <w:rFonts w:ascii="Times New Roman" w:hAnsi="Times New Roman" w:cs="Times New Roman"/>
                <w:szCs w:val="24"/>
              </w:rPr>
            </w:pPr>
            <w:r w:rsidRPr="00E22444">
              <w:rPr>
                <w:rFonts w:ascii="Times New Roman" w:hAnsi="Times New Roman" w:cs="Times New Roman"/>
                <w:szCs w:val="24"/>
              </w:rPr>
              <w:t>9.85</w:t>
            </w:r>
          </w:p>
        </w:tc>
        <w:tc>
          <w:tcPr>
            <w:tcW w:w="0" w:type="auto"/>
            <w:vAlign w:val="center"/>
            <w:hideMark/>
          </w:tcPr>
          <w:p w14:paraId="0275BAB6" w14:textId="77777777" w:rsidR="004A2A74" w:rsidRPr="00E22444" w:rsidRDefault="004A2A74" w:rsidP="00E22444">
            <w:pPr>
              <w:pStyle w:val="NoSpacing"/>
              <w:jc w:val="center"/>
              <w:rPr>
                <w:rFonts w:ascii="Times New Roman" w:hAnsi="Times New Roman" w:cs="Times New Roman"/>
                <w:szCs w:val="24"/>
              </w:rPr>
            </w:pPr>
            <w:r w:rsidRPr="00E22444">
              <w:rPr>
                <w:rFonts w:ascii="Times New Roman" w:hAnsi="Times New Roman" w:cs="Times New Roman"/>
                <w:szCs w:val="24"/>
              </w:rPr>
              <w:t>9.22</w:t>
            </w:r>
          </w:p>
        </w:tc>
        <w:tc>
          <w:tcPr>
            <w:tcW w:w="1675" w:type="dxa"/>
            <w:vAlign w:val="center"/>
            <w:hideMark/>
          </w:tcPr>
          <w:p w14:paraId="798886A5" w14:textId="77777777" w:rsidR="004A2A74" w:rsidRPr="00E22444" w:rsidRDefault="004A2A74" w:rsidP="00E22444">
            <w:pPr>
              <w:pStyle w:val="NoSpacing"/>
              <w:jc w:val="center"/>
              <w:rPr>
                <w:rFonts w:ascii="Times New Roman" w:hAnsi="Times New Roman" w:cs="Times New Roman"/>
                <w:szCs w:val="24"/>
              </w:rPr>
            </w:pPr>
            <w:r w:rsidRPr="00E22444">
              <w:rPr>
                <w:rFonts w:ascii="Times New Roman" w:hAnsi="Times New Roman" w:cs="Times New Roman"/>
                <w:szCs w:val="24"/>
              </w:rPr>
              <w:t>9.98</w:t>
            </w:r>
          </w:p>
        </w:tc>
        <w:tc>
          <w:tcPr>
            <w:tcW w:w="3088" w:type="dxa"/>
            <w:vAlign w:val="center"/>
            <w:hideMark/>
          </w:tcPr>
          <w:p w14:paraId="05A2606F" w14:textId="77777777" w:rsidR="004A2A74" w:rsidRPr="00E22444" w:rsidRDefault="004A2A74" w:rsidP="00E22444">
            <w:pPr>
              <w:pStyle w:val="NoSpacing"/>
              <w:jc w:val="center"/>
              <w:rPr>
                <w:rFonts w:ascii="Times New Roman" w:hAnsi="Times New Roman" w:cs="Times New Roman"/>
                <w:szCs w:val="24"/>
              </w:rPr>
            </w:pPr>
            <w:r w:rsidRPr="00E22444">
              <w:rPr>
                <w:rFonts w:ascii="Times New Roman" w:hAnsi="Times New Roman" w:cs="Times New Roman"/>
                <w:szCs w:val="24"/>
              </w:rPr>
              <w:t>29.05</w:t>
            </w:r>
          </w:p>
        </w:tc>
      </w:tr>
      <w:tr w:rsidR="004A2A74" w:rsidRPr="00E22444" w14:paraId="4F919FCE" w14:textId="77777777" w:rsidTr="00E22444">
        <w:trPr>
          <w:trHeight w:val="475"/>
        </w:trPr>
        <w:tc>
          <w:tcPr>
            <w:tcW w:w="0" w:type="auto"/>
            <w:vAlign w:val="center"/>
            <w:hideMark/>
          </w:tcPr>
          <w:p w14:paraId="3AF7605B" w14:textId="77777777" w:rsidR="004A2A74" w:rsidRPr="00E22444" w:rsidRDefault="004A2A74" w:rsidP="00E22444">
            <w:pPr>
              <w:pStyle w:val="NoSpacing"/>
              <w:rPr>
                <w:rFonts w:ascii="Times New Roman" w:hAnsi="Times New Roman" w:cs="Times New Roman"/>
                <w:szCs w:val="24"/>
              </w:rPr>
            </w:pPr>
            <w:r w:rsidRPr="00E22444">
              <w:rPr>
                <w:rFonts w:ascii="Times New Roman" w:hAnsi="Times New Roman" w:cs="Times New Roman"/>
                <w:szCs w:val="24"/>
              </w:rPr>
              <w:t>Haryana*</w:t>
            </w:r>
          </w:p>
        </w:tc>
        <w:tc>
          <w:tcPr>
            <w:tcW w:w="0" w:type="auto"/>
            <w:vAlign w:val="center"/>
            <w:hideMark/>
          </w:tcPr>
          <w:p w14:paraId="3F384DC3" w14:textId="77777777" w:rsidR="004A2A74" w:rsidRPr="00E22444" w:rsidRDefault="004A2A74" w:rsidP="00E22444">
            <w:pPr>
              <w:pStyle w:val="NoSpacing"/>
              <w:jc w:val="center"/>
              <w:rPr>
                <w:rFonts w:ascii="Times New Roman" w:hAnsi="Times New Roman" w:cs="Times New Roman"/>
                <w:szCs w:val="24"/>
              </w:rPr>
            </w:pPr>
            <w:r w:rsidRPr="00E22444">
              <w:rPr>
                <w:rFonts w:ascii="Times New Roman" w:hAnsi="Times New Roman" w:cs="Times New Roman"/>
                <w:szCs w:val="24"/>
              </w:rPr>
              <w:t>1.76</w:t>
            </w:r>
          </w:p>
        </w:tc>
        <w:tc>
          <w:tcPr>
            <w:tcW w:w="0" w:type="auto"/>
            <w:vAlign w:val="center"/>
            <w:hideMark/>
          </w:tcPr>
          <w:p w14:paraId="6E0C0F59" w14:textId="77777777" w:rsidR="004A2A74" w:rsidRPr="00E22444" w:rsidRDefault="004A2A74" w:rsidP="00E22444">
            <w:pPr>
              <w:pStyle w:val="NoSpacing"/>
              <w:jc w:val="center"/>
              <w:rPr>
                <w:rFonts w:ascii="Times New Roman" w:hAnsi="Times New Roman" w:cs="Times New Roman"/>
                <w:szCs w:val="24"/>
              </w:rPr>
            </w:pPr>
            <w:r w:rsidRPr="00E22444">
              <w:rPr>
                <w:rFonts w:ascii="Times New Roman" w:hAnsi="Times New Roman" w:cs="Times New Roman"/>
                <w:szCs w:val="24"/>
              </w:rPr>
              <w:t>1.53</w:t>
            </w:r>
          </w:p>
        </w:tc>
        <w:tc>
          <w:tcPr>
            <w:tcW w:w="1675" w:type="dxa"/>
            <w:vAlign w:val="center"/>
            <w:hideMark/>
          </w:tcPr>
          <w:p w14:paraId="5FB5BD8B" w14:textId="77777777" w:rsidR="004A2A74" w:rsidRPr="00E22444" w:rsidRDefault="004A2A74" w:rsidP="00E22444">
            <w:pPr>
              <w:pStyle w:val="NoSpacing"/>
              <w:jc w:val="center"/>
              <w:rPr>
                <w:rFonts w:ascii="Times New Roman" w:hAnsi="Times New Roman" w:cs="Times New Roman"/>
                <w:szCs w:val="24"/>
              </w:rPr>
            </w:pPr>
            <w:r w:rsidRPr="00E22444">
              <w:rPr>
                <w:rFonts w:ascii="Times New Roman" w:hAnsi="Times New Roman" w:cs="Times New Roman"/>
                <w:szCs w:val="24"/>
              </w:rPr>
              <w:t>2.02</w:t>
            </w:r>
          </w:p>
        </w:tc>
        <w:tc>
          <w:tcPr>
            <w:tcW w:w="3088" w:type="dxa"/>
            <w:vAlign w:val="center"/>
            <w:hideMark/>
          </w:tcPr>
          <w:p w14:paraId="5A357335" w14:textId="77777777" w:rsidR="004A2A74" w:rsidRPr="00E22444" w:rsidRDefault="004A2A74" w:rsidP="00E22444">
            <w:pPr>
              <w:pStyle w:val="NoSpacing"/>
              <w:jc w:val="center"/>
              <w:rPr>
                <w:rFonts w:ascii="Times New Roman" w:hAnsi="Times New Roman" w:cs="Times New Roman"/>
                <w:szCs w:val="24"/>
              </w:rPr>
            </w:pPr>
            <w:r w:rsidRPr="00E22444">
              <w:rPr>
                <w:rFonts w:ascii="Times New Roman" w:hAnsi="Times New Roman" w:cs="Times New Roman"/>
                <w:szCs w:val="24"/>
              </w:rPr>
              <w:t>5.31</w:t>
            </w:r>
          </w:p>
        </w:tc>
      </w:tr>
      <w:tr w:rsidR="004A2A74" w:rsidRPr="00E22444" w14:paraId="3A0B28EE" w14:textId="77777777" w:rsidTr="00E22444">
        <w:trPr>
          <w:trHeight w:val="503"/>
        </w:trPr>
        <w:tc>
          <w:tcPr>
            <w:tcW w:w="0" w:type="auto"/>
            <w:vAlign w:val="center"/>
            <w:hideMark/>
          </w:tcPr>
          <w:p w14:paraId="20AC7CBA" w14:textId="77777777" w:rsidR="004A2A74" w:rsidRPr="00E22444" w:rsidRDefault="004A2A74" w:rsidP="00E22444">
            <w:pPr>
              <w:pStyle w:val="NoSpacing"/>
              <w:rPr>
                <w:rFonts w:ascii="Times New Roman" w:hAnsi="Times New Roman" w:cs="Times New Roman"/>
                <w:szCs w:val="24"/>
              </w:rPr>
            </w:pPr>
            <w:r w:rsidRPr="00E22444">
              <w:rPr>
                <w:rFonts w:ascii="Times New Roman" w:hAnsi="Times New Roman" w:cs="Times New Roman"/>
                <w:szCs w:val="24"/>
              </w:rPr>
              <w:t>Jammu &amp; Kashmir</w:t>
            </w:r>
          </w:p>
        </w:tc>
        <w:tc>
          <w:tcPr>
            <w:tcW w:w="0" w:type="auto"/>
            <w:vAlign w:val="center"/>
            <w:hideMark/>
          </w:tcPr>
          <w:p w14:paraId="1439ABB6" w14:textId="77777777" w:rsidR="004A2A74" w:rsidRPr="00E22444" w:rsidRDefault="004A2A74" w:rsidP="00E22444">
            <w:pPr>
              <w:pStyle w:val="NoSpacing"/>
              <w:jc w:val="center"/>
              <w:rPr>
                <w:rFonts w:ascii="Times New Roman" w:hAnsi="Times New Roman" w:cs="Times New Roman"/>
                <w:szCs w:val="24"/>
              </w:rPr>
            </w:pPr>
            <w:r w:rsidRPr="00E22444">
              <w:rPr>
                <w:rFonts w:ascii="Times New Roman" w:hAnsi="Times New Roman" w:cs="Times New Roman"/>
                <w:szCs w:val="24"/>
              </w:rPr>
              <w:t>0.47</w:t>
            </w:r>
          </w:p>
        </w:tc>
        <w:tc>
          <w:tcPr>
            <w:tcW w:w="0" w:type="auto"/>
            <w:vAlign w:val="center"/>
            <w:hideMark/>
          </w:tcPr>
          <w:p w14:paraId="037D2B2E" w14:textId="77777777" w:rsidR="004A2A74" w:rsidRPr="00E22444" w:rsidRDefault="004A2A74" w:rsidP="00E22444">
            <w:pPr>
              <w:pStyle w:val="NoSpacing"/>
              <w:jc w:val="center"/>
              <w:rPr>
                <w:rFonts w:ascii="Times New Roman" w:hAnsi="Times New Roman" w:cs="Times New Roman"/>
                <w:szCs w:val="24"/>
              </w:rPr>
            </w:pPr>
            <w:r w:rsidRPr="00E22444">
              <w:rPr>
                <w:rFonts w:ascii="Times New Roman" w:hAnsi="Times New Roman" w:cs="Times New Roman"/>
                <w:szCs w:val="24"/>
              </w:rPr>
              <w:t>0.48</w:t>
            </w:r>
          </w:p>
        </w:tc>
        <w:tc>
          <w:tcPr>
            <w:tcW w:w="1675" w:type="dxa"/>
            <w:vAlign w:val="center"/>
            <w:hideMark/>
          </w:tcPr>
          <w:p w14:paraId="73EE30D1" w14:textId="77777777" w:rsidR="004A2A74" w:rsidRPr="00E22444" w:rsidRDefault="004A2A74" w:rsidP="00E22444">
            <w:pPr>
              <w:pStyle w:val="NoSpacing"/>
              <w:jc w:val="center"/>
              <w:rPr>
                <w:rFonts w:ascii="Times New Roman" w:hAnsi="Times New Roman" w:cs="Times New Roman"/>
                <w:szCs w:val="24"/>
              </w:rPr>
            </w:pPr>
            <w:r w:rsidRPr="00E22444">
              <w:rPr>
                <w:rFonts w:ascii="Times New Roman" w:hAnsi="Times New Roman" w:cs="Times New Roman"/>
                <w:szCs w:val="24"/>
              </w:rPr>
              <w:t>0.62</w:t>
            </w:r>
          </w:p>
        </w:tc>
        <w:tc>
          <w:tcPr>
            <w:tcW w:w="3088" w:type="dxa"/>
            <w:vAlign w:val="center"/>
            <w:hideMark/>
          </w:tcPr>
          <w:p w14:paraId="13D3A91B" w14:textId="77777777" w:rsidR="004A2A74" w:rsidRPr="00E22444" w:rsidRDefault="004A2A74" w:rsidP="00E22444">
            <w:pPr>
              <w:pStyle w:val="NoSpacing"/>
              <w:jc w:val="center"/>
              <w:rPr>
                <w:rFonts w:ascii="Times New Roman" w:hAnsi="Times New Roman" w:cs="Times New Roman"/>
                <w:szCs w:val="24"/>
              </w:rPr>
            </w:pPr>
            <w:r w:rsidRPr="00E22444">
              <w:rPr>
                <w:rFonts w:ascii="Times New Roman" w:hAnsi="Times New Roman" w:cs="Times New Roman"/>
                <w:szCs w:val="24"/>
              </w:rPr>
              <w:t>1.57</w:t>
            </w:r>
          </w:p>
        </w:tc>
      </w:tr>
      <w:tr w:rsidR="004A2A74" w:rsidRPr="00E22444" w14:paraId="39586CF4" w14:textId="77777777" w:rsidTr="00E22444">
        <w:trPr>
          <w:trHeight w:val="503"/>
        </w:trPr>
        <w:tc>
          <w:tcPr>
            <w:tcW w:w="0" w:type="auto"/>
            <w:vAlign w:val="center"/>
            <w:hideMark/>
          </w:tcPr>
          <w:p w14:paraId="592E0E2C" w14:textId="77777777" w:rsidR="004A2A74" w:rsidRPr="00E22444" w:rsidRDefault="004A2A74" w:rsidP="00E22444">
            <w:pPr>
              <w:pStyle w:val="NoSpacing"/>
              <w:rPr>
                <w:rFonts w:ascii="Times New Roman" w:hAnsi="Times New Roman" w:cs="Times New Roman"/>
                <w:szCs w:val="24"/>
              </w:rPr>
            </w:pPr>
            <w:r w:rsidRPr="00E22444">
              <w:rPr>
                <w:rFonts w:ascii="Times New Roman" w:hAnsi="Times New Roman" w:cs="Times New Roman"/>
                <w:szCs w:val="24"/>
              </w:rPr>
              <w:t>Kerala</w:t>
            </w:r>
          </w:p>
        </w:tc>
        <w:tc>
          <w:tcPr>
            <w:tcW w:w="0" w:type="auto"/>
            <w:vAlign w:val="center"/>
            <w:hideMark/>
          </w:tcPr>
          <w:p w14:paraId="56E29469" w14:textId="77777777" w:rsidR="004A2A74" w:rsidRPr="00E22444" w:rsidRDefault="004A2A74" w:rsidP="00E22444">
            <w:pPr>
              <w:pStyle w:val="NoSpacing"/>
              <w:jc w:val="center"/>
              <w:rPr>
                <w:rFonts w:ascii="Times New Roman" w:hAnsi="Times New Roman" w:cs="Times New Roman"/>
                <w:szCs w:val="24"/>
              </w:rPr>
            </w:pPr>
            <w:r w:rsidRPr="00E22444">
              <w:rPr>
                <w:rFonts w:ascii="Times New Roman" w:hAnsi="Times New Roman" w:cs="Times New Roman"/>
                <w:szCs w:val="24"/>
              </w:rPr>
              <w:t>3.55</w:t>
            </w:r>
          </w:p>
        </w:tc>
        <w:tc>
          <w:tcPr>
            <w:tcW w:w="0" w:type="auto"/>
            <w:vAlign w:val="center"/>
            <w:hideMark/>
          </w:tcPr>
          <w:p w14:paraId="4D646599" w14:textId="77777777" w:rsidR="004A2A74" w:rsidRPr="00E22444" w:rsidRDefault="004A2A74" w:rsidP="00E22444">
            <w:pPr>
              <w:pStyle w:val="NoSpacing"/>
              <w:jc w:val="center"/>
              <w:rPr>
                <w:rFonts w:ascii="Times New Roman" w:hAnsi="Times New Roman" w:cs="Times New Roman"/>
                <w:szCs w:val="24"/>
              </w:rPr>
            </w:pPr>
            <w:r w:rsidRPr="00E22444">
              <w:rPr>
                <w:rFonts w:ascii="Times New Roman" w:hAnsi="Times New Roman" w:cs="Times New Roman"/>
                <w:szCs w:val="24"/>
              </w:rPr>
              <w:t>3.26</w:t>
            </w:r>
          </w:p>
        </w:tc>
        <w:tc>
          <w:tcPr>
            <w:tcW w:w="1675" w:type="dxa"/>
            <w:vAlign w:val="center"/>
            <w:hideMark/>
          </w:tcPr>
          <w:p w14:paraId="1F9A762D" w14:textId="77777777" w:rsidR="004A2A74" w:rsidRPr="00E22444" w:rsidRDefault="004A2A74" w:rsidP="00E22444">
            <w:pPr>
              <w:pStyle w:val="NoSpacing"/>
              <w:jc w:val="center"/>
              <w:rPr>
                <w:rFonts w:ascii="Times New Roman" w:hAnsi="Times New Roman" w:cs="Times New Roman"/>
                <w:szCs w:val="24"/>
              </w:rPr>
            </w:pPr>
            <w:r w:rsidRPr="00E22444">
              <w:rPr>
                <w:rFonts w:ascii="Times New Roman" w:hAnsi="Times New Roman" w:cs="Times New Roman"/>
                <w:szCs w:val="24"/>
              </w:rPr>
              <w:t>3.66</w:t>
            </w:r>
          </w:p>
        </w:tc>
        <w:tc>
          <w:tcPr>
            <w:tcW w:w="3088" w:type="dxa"/>
            <w:vAlign w:val="center"/>
            <w:hideMark/>
          </w:tcPr>
          <w:p w14:paraId="03B45CCA" w14:textId="77777777" w:rsidR="004A2A74" w:rsidRPr="00E22444" w:rsidRDefault="004A2A74" w:rsidP="00E22444">
            <w:pPr>
              <w:pStyle w:val="NoSpacing"/>
              <w:jc w:val="center"/>
              <w:rPr>
                <w:rFonts w:ascii="Times New Roman" w:hAnsi="Times New Roman" w:cs="Times New Roman"/>
                <w:szCs w:val="24"/>
              </w:rPr>
            </w:pPr>
            <w:r w:rsidRPr="00E22444">
              <w:rPr>
                <w:rFonts w:ascii="Times New Roman" w:hAnsi="Times New Roman" w:cs="Times New Roman"/>
                <w:szCs w:val="24"/>
              </w:rPr>
              <w:t>10.47</w:t>
            </w:r>
          </w:p>
        </w:tc>
      </w:tr>
      <w:tr w:rsidR="004A2A74" w:rsidRPr="00E22444" w14:paraId="3A74B290" w14:textId="77777777" w:rsidTr="00E22444">
        <w:trPr>
          <w:trHeight w:val="475"/>
        </w:trPr>
        <w:tc>
          <w:tcPr>
            <w:tcW w:w="0" w:type="auto"/>
            <w:vAlign w:val="center"/>
            <w:hideMark/>
          </w:tcPr>
          <w:p w14:paraId="10588FA1" w14:textId="77777777" w:rsidR="004A2A74" w:rsidRPr="00E22444" w:rsidRDefault="004A2A74" w:rsidP="00E22444">
            <w:pPr>
              <w:pStyle w:val="NoSpacing"/>
              <w:rPr>
                <w:rFonts w:ascii="Times New Roman" w:hAnsi="Times New Roman" w:cs="Times New Roman"/>
                <w:szCs w:val="24"/>
              </w:rPr>
            </w:pPr>
            <w:r w:rsidRPr="00E22444">
              <w:rPr>
                <w:rFonts w:ascii="Times New Roman" w:hAnsi="Times New Roman" w:cs="Times New Roman"/>
                <w:szCs w:val="24"/>
              </w:rPr>
              <w:t>Madhya Pradesh</w:t>
            </w:r>
          </w:p>
        </w:tc>
        <w:tc>
          <w:tcPr>
            <w:tcW w:w="0" w:type="auto"/>
            <w:vAlign w:val="center"/>
            <w:hideMark/>
          </w:tcPr>
          <w:p w14:paraId="308AD5CD" w14:textId="77777777" w:rsidR="004A2A74" w:rsidRPr="00E22444" w:rsidRDefault="004A2A74" w:rsidP="00E22444">
            <w:pPr>
              <w:pStyle w:val="NoSpacing"/>
              <w:jc w:val="center"/>
              <w:rPr>
                <w:rFonts w:ascii="Times New Roman" w:hAnsi="Times New Roman" w:cs="Times New Roman"/>
                <w:szCs w:val="24"/>
              </w:rPr>
            </w:pPr>
            <w:r w:rsidRPr="00E22444">
              <w:rPr>
                <w:rFonts w:ascii="Times New Roman" w:hAnsi="Times New Roman" w:cs="Times New Roman"/>
                <w:szCs w:val="24"/>
              </w:rPr>
              <w:t>3.09</w:t>
            </w:r>
          </w:p>
        </w:tc>
        <w:tc>
          <w:tcPr>
            <w:tcW w:w="0" w:type="auto"/>
            <w:vAlign w:val="center"/>
            <w:hideMark/>
          </w:tcPr>
          <w:p w14:paraId="5938E9CB" w14:textId="77777777" w:rsidR="004A2A74" w:rsidRPr="00E22444" w:rsidRDefault="004A2A74" w:rsidP="00E22444">
            <w:pPr>
              <w:pStyle w:val="NoSpacing"/>
              <w:jc w:val="center"/>
              <w:rPr>
                <w:rFonts w:ascii="Times New Roman" w:hAnsi="Times New Roman" w:cs="Times New Roman"/>
                <w:szCs w:val="24"/>
              </w:rPr>
            </w:pPr>
            <w:r w:rsidRPr="00E22444">
              <w:rPr>
                <w:rFonts w:ascii="Times New Roman" w:hAnsi="Times New Roman" w:cs="Times New Roman"/>
                <w:szCs w:val="24"/>
              </w:rPr>
              <w:t>2.56</w:t>
            </w:r>
          </w:p>
        </w:tc>
        <w:tc>
          <w:tcPr>
            <w:tcW w:w="1675" w:type="dxa"/>
            <w:vAlign w:val="center"/>
            <w:hideMark/>
          </w:tcPr>
          <w:p w14:paraId="776E0628" w14:textId="77777777" w:rsidR="004A2A74" w:rsidRPr="00E22444" w:rsidRDefault="004A2A74" w:rsidP="00E22444">
            <w:pPr>
              <w:pStyle w:val="NoSpacing"/>
              <w:jc w:val="center"/>
              <w:rPr>
                <w:rFonts w:ascii="Times New Roman" w:hAnsi="Times New Roman" w:cs="Times New Roman"/>
                <w:szCs w:val="24"/>
              </w:rPr>
            </w:pPr>
            <w:r w:rsidRPr="00E22444">
              <w:rPr>
                <w:rFonts w:ascii="Times New Roman" w:hAnsi="Times New Roman" w:cs="Times New Roman"/>
                <w:szCs w:val="24"/>
              </w:rPr>
              <w:t>5.32</w:t>
            </w:r>
          </w:p>
        </w:tc>
        <w:tc>
          <w:tcPr>
            <w:tcW w:w="3088" w:type="dxa"/>
            <w:vAlign w:val="center"/>
            <w:hideMark/>
          </w:tcPr>
          <w:p w14:paraId="52EF1E92" w14:textId="77777777" w:rsidR="004A2A74" w:rsidRPr="00E22444" w:rsidRDefault="004A2A74" w:rsidP="00E22444">
            <w:pPr>
              <w:pStyle w:val="NoSpacing"/>
              <w:jc w:val="center"/>
              <w:rPr>
                <w:rFonts w:ascii="Times New Roman" w:hAnsi="Times New Roman" w:cs="Times New Roman"/>
                <w:szCs w:val="24"/>
              </w:rPr>
            </w:pPr>
            <w:r w:rsidRPr="00E22444">
              <w:rPr>
                <w:rFonts w:ascii="Times New Roman" w:hAnsi="Times New Roman" w:cs="Times New Roman"/>
                <w:szCs w:val="24"/>
              </w:rPr>
              <w:t>10.97</w:t>
            </w:r>
          </w:p>
        </w:tc>
      </w:tr>
      <w:tr w:rsidR="004A2A74" w:rsidRPr="00E22444" w14:paraId="7BF3B2AB" w14:textId="77777777" w:rsidTr="00E22444">
        <w:trPr>
          <w:trHeight w:val="503"/>
        </w:trPr>
        <w:tc>
          <w:tcPr>
            <w:tcW w:w="0" w:type="auto"/>
            <w:vAlign w:val="center"/>
            <w:hideMark/>
          </w:tcPr>
          <w:p w14:paraId="29F30AE4" w14:textId="77777777" w:rsidR="004A2A74" w:rsidRPr="00E22444" w:rsidRDefault="004A2A74" w:rsidP="00E22444">
            <w:pPr>
              <w:pStyle w:val="NoSpacing"/>
              <w:rPr>
                <w:rFonts w:ascii="Times New Roman" w:hAnsi="Times New Roman" w:cs="Times New Roman"/>
                <w:szCs w:val="24"/>
              </w:rPr>
            </w:pPr>
            <w:r w:rsidRPr="00E22444">
              <w:rPr>
                <w:rFonts w:ascii="Times New Roman" w:hAnsi="Times New Roman" w:cs="Times New Roman"/>
                <w:szCs w:val="24"/>
              </w:rPr>
              <w:t>Maharashtra</w:t>
            </w:r>
          </w:p>
        </w:tc>
        <w:tc>
          <w:tcPr>
            <w:tcW w:w="0" w:type="auto"/>
            <w:vAlign w:val="center"/>
            <w:hideMark/>
          </w:tcPr>
          <w:p w14:paraId="6BF598BA" w14:textId="77777777" w:rsidR="004A2A74" w:rsidRPr="00E22444" w:rsidRDefault="004A2A74" w:rsidP="00E22444">
            <w:pPr>
              <w:pStyle w:val="NoSpacing"/>
              <w:jc w:val="center"/>
              <w:rPr>
                <w:rFonts w:ascii="Times New Roman" w:hAnsi="Times New Roman" w:cs="Times New Roman"/>
                <w:szCs w:val="24"/>
              </w:rPr>
            </w:pPr>
            <w:r w:rsidRPr="00E22444">
              <w:rPr>
                <w:rFonts w:ascii="Times New Roman" w:hAnsi="Times New Roman" w:cs="Times New Roman"/>
                <w:szCs w:val="24"/>
              </w:rPr>
              <w:t>35.16</w:t>
            </w:r>
          </w:p>
        </w:tc>
        <w:tc>
          <w:tcPr>
            <w:tcW w:w="0" w:type="auto"/>
            <w:vAlign w:val="center"/>
            <w:hideMark/>
          </w:tcPr>
          <w:p w14:paraId="47F117D9" w14:textId="77777777" w:rsidR="004A2A74" w:rsidRPr="00E22444" w:rsidRDefault="004A2A74" w:rsidP="00E22444">
            <w:pPr>
              <w:pStyle w:val="NoSpacing"/>
              <w:jc w:val="center"/>
              <w:rPr>
                <w:rFonts w:ascii="Times New Roman" w:hAnsi="Times New Roman" w:cs="Times New Roman"/>
                <w:szCs w:val="24"/>
              </w:rPr>
            </w:pPr>
            <w:r w:rsidRPr="00E22444">
              <w:rPr>
                <w:rFonts w:ascii="Times New Roman" w:hAnsi="Times New Roman" w:cs="Times New Roman"/>
                <w:szCs w:val="24"/>
              </w:rPr>
              <w:t>35.72</w:t>
            </w:r>
          </w:p>
        </w:tc>
        <w:tc>
          <w:tcPr>
            <w:tcW w:w="1675" w:type="dxa"/>
            <w:vAlign w:val="center"/>
            <w:hideMark/>
          </w:tcPr>
          <w:p w14:paraId="072CB87A" w14:textId="77777777" w:rsidR="004A2A74" w:rsidRPr="00E22444" w:rsidRDefault="004A2A74" w:rsidP="00E22444">
            <w:pPr>
              <w:pStyle w:val="NoSpacing"/>
              <w:jc w:val="center"/>
              <w:rPr>
                <w:rFonts w:ascii="Times New Roman" w:hAnsi="Times New Roman" w:cs="Times New Roman"/>
                <w:szCs w:val="24"/>
              </w:rPr>
            </w:pPr>
            <w:r w:rsidRPr="00E22444">
              <w:rPr>
                <w:rFonts w:ascii="Times New Roman" w:hAnsi="Times New Roman" w:cs="Times New Roman"/>
                <w:szCs w:val="24"/>
              </w:rPr>
              <w:t>38.75</w:t>
            </w:r>
          </w:p>
        </w:tc>
        <w:tc>
          <w:tcPr>
            <w:tcW w:w="3088" w:type="dxa"/>
            <w:vAlign w:val="center"/>
            <w:hideMark/>
          </w:tcPr>
          <w:p w14:paraId="59ADCF39" w14:textId="77777777" w:rsidR="004A2A74" w:rsidRPr="00E22444" w:rsidRDefault="004A2A74" w:rsidP="00E22444">
            <w:pPr>
              <w:pStyle w:val="NoSpacing"/>
              <w:jc w:val="center"/>
              <w:rPr>
                <w:rFonts w:ascii="Times New Roman" w:hAnsi="Times New Roman" w:cs="Times New Roman"/>
                <w:szCs w:val="24"/>
              </w:rPr>
            </w:pPr>
            <w:r w:rsidRPr="00E22444">
              <w:rPr>
                <w:rFonts w:ascii="Times New Roman" w:hAnsi="Times New Roman" w:cs="Times New Roman"/>
                <w:szCs w:val="24"/>
              </w:rPr>
              <w:t>109.63</w:t>
            </w:r>
          </w:p>
        </w:tc>
      </w:tr>
      <w:tr w:rsidR="004A2A74" w:rsidRPr="00E22444" w14:paraId="08D24CD6" w14:textId="77777777" w:rsidTr="00E22444">
        <w:trPr>
          <w:trHeight w:val="475"/>
        </w:trPr>
        <w:tc>
          <w:tcPr>
            <w:tcW w:w="0" w:type="auto"/>
            <w:vAlign w:val="center"/>
            <w:hideMark/>
          </w:tcPr>
          <w:p w14:paraId="4F1A38B7" w14:textId="77777777" w:rsidR="004A2A74" w:rsidRPr="00E22444" w:rsidRDefault="004A2A74" w:rsidP="00E22444">
            <w:pPr>
              <w:pStyle w:val="NoSpacing"/>
              <w:rPr>
                <w:rFonts w:ascii="Times New Roman" w:hAnsi="Times New Roman" w:cs="Times New Roman"/>
                <w:szCs w:val="24"/>
              </w:rPr>
            </w:pPr>
            <w:r w:rsidRPr="00E22444">
              <w:rPr>
                <w:rFonts w:ascii="Times New Roman" w:hAnsi="Times New Roman" w:cs="Times New Roman"/>
                <w:szCs w:val="24"/>
              </w:rPr>
              <w:t>Mysore</w:t>
            </w:r>
          </w:p>
        </w:tc>
        <w:tc>
          <w:tcPr>
            <w:tcW w:w="0" w:type="auto"/>
            <w:vAlign w:val="center"/>
            <w:hideMark/>
          </w:tcPr>
          <w:p w14:paraId="3BFEA237" w14:textId="77777777" w:rsidR="004A2A74" w:rsidRPr="00E22444" w:rsidRDefault="004A2A74" w:rsidP="00E22444">
            <w:pPr>
              <w:pStyle w:val="NoSpacing"/>
              <w:jc w:val="center"/>
              <w:rPr>
                <w:rFonts w:ascii="Times New Roman" w:hAnsi="Times New Roman" w:cs="Times New Roman"/>
                <w:szCs w:val="24"/>
              </w:rPr>
            </w:pPr>
            <w:r w:rsidRPr="00E22444">
              <w:rPr>
                <w:rFonts w:ascii="Times New Roman" w:hAnsi="Times New Roman" w:cs="Times New Roman"/>
                <w:szCs w:val="24"/>
              </w:rPr>
              <w:t>6.06</w:t>
            </w:r>
          </w:p>
        </w:tc>
        <w:tc>
          <w:tcPr>
            <w:tcW w:w="0" w:type="auto"/>
            <w:vAlign w:val="center"/>
            <w:hideMark/>
          </w:tcPr>
          <w:p w14:paraId="32A1FABD" w14:textId="77777777" w:rsidR="004A2A74" w:rsidRPr="00E22444" w:rsidRDefault="004A2A74" w:rsidP="00E22444">
            <w:pPr>
              <w:pStyle w:val="NoSpacing"/>
              <w:jc w:val="center"/>
              <w:rPr>
                <w:rFonts w:ascii="Times New Roman" w:hAnsi="Times New Roman" w:cs="Times New Roman"/>
                <w:szCs w:val="24"/>
              </w:rPr>
            </w:pPr>
            <w:r w:rsidRPr="00E22444">
              <w:rPr>
                <w:rFonts w:ascii="Times New Roman" w:hAnsi="Times New Roman" w:cs="Times New Roman"/>
                <w:szCs w:val="24"/>
              </w:rPr>
              <w:t>5.96</w:t>
            </w:r>
          </w:p>
        </w:tc>
        <w:tc>
          <w:tcPr>
            <w:tcW w:w="1675" w:type="dxa"/>
            <w:vAlign w:val="center"/>
            <w:hideMark/>
          </w:tcPr>
          <w:p w14:paraId="0B1CE793" w14:textId="77777777" w:rsidR="004A2A74" w:rsidRPr="00E22444" w:rsidRDefault="004A2A74" w:rsidP="00E22444">
            <w:pPr>
              <w:pStyle w:val="NoSpacing"/>
              <w:jc w:val="center"/>
              <w:rPr>
                <w:rFonts w:ascii="Times New Roman" w:hAnsi="Times New Roman" w:cs="Times New Roman"/>
                <w:szCs w:val="24"/>
              </w:rPr>
            </w:pPr>
            <w:r w:rsidRPr="00E22444">
              <w:rPr>
                <w:rFonts w:ascii="Times New Roman" w:hAnsi="Times New Roman" w:cs="Times New Roman"/>
                <w:szCs w:val="24"/>
              </w:rPr>
              <w:t>4.98</w:t>
            </w:r>
          </w:p>
        </w:tc>
        <w:tc>
          <w:tcPr>
            <w:tcW w:w="3088" w:type="dxa"/>
            <w:vAlign w:val="center"/>
            <w:hideMark/>
          </w:tcPr>
          <w:p w14:paraId="6EECADBE" w14:textId="77777777" w:rsidR="004A2A74" w:rsidRPr="00E22444" w:rsidRDefault="004A2A74" w:rsidP="00E22444">
            <w:pPr>
              <w:pStyle w:val="NoSpacing"/>
              <w:jc w:val="center"/>
              <w:rPr>
                <w:rFonts w:ascii="Times New Roman" w:hAnsi="Times New Roman" w:cs="Times New Roman"/>
                <w:szCs w:val="24"/>
              </w:rPr>
            </w:pPr>
            <w:r w:rsidRPr="00E22444">
              <w:rPr>
                <w:rFonts w:ascii="Times New Roman" w:hAnsi="Times New Roman" w:cs="Times New Roman"/>
                <w:szCs w:val="24"/>
              </w:rPr>
              <w:t>17.00</w:t>
            </w:r>
          </w:p>
        </w:tc>
      </w:tr>
      <w:tr w:rsidR="004A2A74" w:rsidRPr="00E22444" w14:paraId="079633E9" w14:textId="77777777" w:rsidTr="00E22444">
        <w:trPr>
          <w:trHeight w:val="503"/>
        </w:trPr>
        <w:tc>
          <w:tcPr>
            <w:tcW w:w="0" w:type="auto"/>
            <w:vAlign w:val="center"/>
            <w:hideMark/>
          </w:tcPr>
          <w:p w14:paraId="06DA5622" w14:textId="77777777" w:rsidR="004A2A74" w:rsidRPr="00E22444" w:rsidRDefault="004A2A74" w:rsidP="00E22444">
            <w:pPr>
              <w:pStyle w:val="NoSpacing"/>
              <w:rPr>
                <w:rFonts w:ascii="Times New Roman" w:hAnsi="Times New Roman" w:cs="Times New Roman"/>
                <w:szCs w:val="24"/>
              </w:rPr>
            </w:pPr>
            <w:r w:rsidRPr="00E22444">
              <w:rPr>
                <w:rFonts w:ascii="Times New Roman" w:hAnsi="Times New Roman" w:cs="Times New Roman"/>
                <w:szCs w:val="24"/>
              </w:rPr>
              <w:t>Nagaland</w:t>
            </w:r>
          </w:p>
        </w:tc>
        <w:tc>
          <w:tcPr>
            <w:tcW w:w="0" w:type="auto"/>
            <w:vAlign w:val="center"/>
            <w:hideMark/>
          </w:tcPr>
          <w:p w14:paraId="01270629" w14:textId="77777777" w:rsidR="004A2A74" w:rsidRPr="00E22444" w:rsidRDefault="004A2A74" w:rsidP="00E22444">
            <w:pPr>
              <w:pStyle w:val="NoSpacing"/>
              <w:jc w:val="center"/>
              <w:rPr>
                <w:rFonts w:ascii="Times New Roman" w:hAnsi="Times New Roman" w:cs="Times New Roman"/>
                <w:szCs w:val="24"/>
              </w:rPr>
            </w:pPr>
            <w:r w:rsidRPr="00E22444">
              <w:rPr>
                <w:rFonts w:ascii="Times New Roman" w:hAnsi="Times New Roman" w:cs="Times New Roman"/>
                <w:szCs w:val="24"/>
              </w:rPr>
              <w:t>..</w:t>
            </w:r>
          </w:p>
        </w:tc>
        <w:tc>
          <w:tcPr>
            <w:tcW w:w="0" w:type="auto"/>
            <w:vAlign w:val="center"/>
            <w:hideMark/>
          </w:tcPr>
          <w:p w14:paraId="51240206" w14:textId="77777777" w:rsidR="004A2A74" w:rsidRPr="00E22444" w:rsidRDefault="004A2A74" w:rsidP="00E22444">
            <w:pPr>
              <w:pStyle w:val="NoSpacing"/>
              <w:jc w:val="center"/>
              <w:rPr>
                <w:rFonts w:ascii="Times New Roman" w:hAnsi="Times New Roman" w:cs="Times New Roman"/>
                <w:szCs w:val="24"/>
              </w:rPr>
            </w:pPr>
            <w:r w:rsidRPr="00E22444">
              <w:rPr>
                <w:rFonts w:ascii="Times New Roman" w:hAnsi="Times New Roman" w:cs="Times New Roman"/>
                <w:szCs w:val="24"/>
              </w:rPr>
              <w:t>..</w:t>
            </w:r>
          </w:p>
        </w:tc>
        <w:tc>
          <w:tcPr>
            <w:tcW w:w="1675" w:type="dxa"/>
            <w:vAlign w:val="center"/>
            <w:hideMark/>
          </w:tcPr>
          <w:p w14:paraId="6D6E83AF" w14:textId="77777777" w:rsidR="004A2A74" w:rsidRPr="00E22444" w:rsidRDefault="004A2A74" w:rsidP="00E22444">
            <w:pPr>
              <w:pStyle w:val="NoSpacing"/>
              <w:jc w:val="center"/>
              <w:rPr>
                <w:rFonts w:ascii="Times New Roman" w:hAnsi="Times New Roman" w:cs="Times New Roman"/>
                <w:szCs w:val="24"/>
              </w:rPr>
            </w:pPr>
            <w:r w:rsidRPr="00E22444">
              <w:rPr>
                <w:rFonts w:ascii="Times New Roman" w:hAnsi="Times New Roman" w:cs="Times New Roman"/>
                <w:szCs w:val="24"/>
              </w:rPr>
              <w:t>..</w:t>
            </w:r>
          </w:p>
        </w:tc>
        <w:tc>
          <w:tcPr>
            <w:tcW w:w="3088" w:type="dxa"/>
            <w:vAlign w:val="center"/>
            <w:hideMark/>
          </w:tcPr>
          <w:p w14:paraId="43BEBE45" w14:textId="77777777" w:rsidR="004A2A74" w:rsidRPr="00E22444" w:rsidRDefault="004A2A74" w:rsidP="00E22444">
            <w:pPr>
              <w:pStyle w:val="NoSpacing"/>
              <w:jc w:val="center"/>
              <w:rPr>
                <w:rFonts w:ascii="Times New Roman" w:hAnsi="Times New Roman" w:cs="Times New Roman"/>
                <w:szCs w:val="24"/>
              </w:rPr>
            </w:pPr>
            <w:r w:rsidRPr="00E22444">
              <w:rPr>
                <w:rFonts w:ascii="Times New Roman" w:hAnsi="Times New Roman" w:cs="Times New Roman"/>
                <w:szCs w:val="24"/>
              </w:rPr>
              <w:t>..</w:t>
            </w:r>
          </w:p>
        </w:tc>
      </w:tr>
      <w:tr w:rsidR="004A2A74" w:rsidRPr="00E22444" w14:paraId="2167BE99" w14:textId="77777777" w:rsidTr="00E22444">
        <w:trPr>
          <w:trHeight w:val="475"/>
        </w:trPr>
        <w:tc>
          <w:tcPr>
            <w:tcW w:w="0" w:type="auto"/>
            <w:vAlign w:val="center"/>
            <w:hideMark/>
          </w:tcPr>
          <w:p w14:paraId="28523921" w14:textId="77777777" w:rsidR="004A2A74" w:rsidRPr="00E22444" w:rsidRDefault="004A2A74" w:rsidP="00E22444">
            <w:pPr>
              <w:pStyle w:val="NoSpacing"/>
              <w:rPr>
                <w:rFonts w:ascii="Times New Roman" w:hAnsi="Times New Roman" w:cs="Times New Roman"/>
                <w:szCs w:val="24"/>
              </w:rPr>
            </w:pPr>
            <w:r w:rsidRPr="00E22444">
              <w:rPr>
                <w:rFonts w:ascii="Times New Roman" w:hAnsi="Times New Roman" w:cs="Times New Roman"/>
                <w:szCs w:val="24"/>
              </w:rPr>
              <w:t>Orissa</w:t>
            </w:r>
          </w:p>
        </w:tc>
        <w:tc>
          <w:tcPr>
            <w:tcW w:w="0" w:type="auto"/>
            <w:vAlign w:val="center"/>
            <w:hideMark/>
          </w:tcPr>
          <w:p w14:paraId="75666567" w14:textId="77777777" w:rsidR="004A2A74" w:rsidRPr="00E22444" w:rsidRDefault="004A2A74" w:rsidP="00E22444">
            <w:pPr>
              <w:pStyle w:val="NoSpacing"/>
              <w:jc w:val="center"/>
              <w:rPr>
                <w:rFonts w:ascii="Times New Roman" w:hAnsi="Times New Roman" w:cs="Times New Roman"/>
                <w:szCs w:val="24"/>
              </w:rPr>
            </w:pPr>
            <w:r w:rsidRPr="00E22444">
              <w:rPr>
                <w:rFonts w:ascii="Times New Roman" w:hAnsi="Times New Roman" w:cs="Times New Roman"/>
                <w:szCs w:val="24"/>
              </w:rPr>
              <w:t>0.76</w:t>
            </w:r>
          </w:p>
        </w:tc>
        <w:tc>
          <w:tcPr>
            <w:tcW w:w="0" w:type="auto"/>
            <w:vAlign w:val="center"/>
            <w:hideMark/>
          </w:tcPr>
          <w:p w14:paraId="744D0605" w14:textId="77777777" w:rsidR="004A2A74" w:rsidRPr="00E22444" w:rsidRDefault="004A2A74" w:rsidP="00E22444">
            <w:pPr>
              <w:pStyle w:val="NoSpacing"/>
              <w:jc w:val="center"/>
              <w:rPr>
                <w:rFonts w:ascii="Times New Roman" w:hAnsi="Times New Roman" w:cs="Times New Roman"/>
                <w:szCs w:val="24"/>
              </w:rPr>
            </w:pPr>
            <w:r w:rsidRPr="00E22444">
              <w:rPr>
                <w:rFonts w:ascii="Times New Roman" w:hAnsi="Times New Roman" w:cs="Times New Roman"/>
                <w:szCs w:val="24"/>
              </w:rPr>
              <w:t>0.77</w:t>
            </w:r>
          </w:p>
        </w:tc>
        <w:tc>
          <w:tcPr>
            <w:tcW w:w="1675" w:type="dxa"/>
            <w:vAlign w:val="center"/>
            <w:hideMark/>
          </w:tcPr>
          <w:p w14:paraId="49ECD358" w14:textId="77777777" w:rsidR="004A2A74" w:rsidRPr="00E22444" w:rsidRDefault="004A2A74" w:rsidP="00E22444">
            <w:pPr>
              <w:pStyle w:val="NoSpacing"/>
              <w:jc w:val="center"/>
              <w:rPr>
                <w:rFonts w:ascii="Times New Roman" w:hAnsi="Times New Roman" w:cs="Times New Roman"/>
                <w:szCs w:val="24"/>
              </w:rPr>
            </w:pPr>
            <w:r w:rsidRPr="00E22444">
              <w:rPr>
                <w:rFonts w:ascii="Times New Roman" w:hAnsi="Times New Roman" w:cs="Times New Roman"/>
                <w:szCs w:val="24"/>
              </w:rPr>
              <w:t>1.49</w:t>
            </w:r>
          </w:p>
        </w:tc>
        <w:tc>
          <w:tcPr>
            <w:tcW w:w="3088" w:type="dxa"/>
            <w:vAlign w:val="center"/>
            <w:hideMark/>
          </w:tcPr>
          <w:p w14:paraId="1D74B59B" w14:textId="77777777" w:rsidR="004A2A74" w:rsidRPr="00E22444" w:rsidRDefault="004A2A74" w:rsidP="00E22444">
            <w:pPr>
              <w:pStyle w:val="NoSpacing"/>
              <w:jc w:val="center"/>
              <w:rPr>
                <w:rFonts w:ascii="Times New Roman" w:hAnsi="Times New Roman" w:cs="Times New Roman"/>
                <w:szCs w:val="24"/>
              </w:rPr>
            </w:pPr>
            <w:r w:rsidRPr="00E22444">
              <w:rPr>
                <w:rFonts w:ascii="Times New Roman" w:hAnsi="Times New Roman" w:cs="Times New Roman"/>
                <w:szCs w:val="24"/>
              </w:rPr>
              <w:t>3.02</w:t>
            </w:r>
          </w:p>
        </w:tc>
      </w:tr>
      <w:tr w:rsidR="004A2A74" w:rsidRPr="00E22444" w14:paraId="197DCA78" w14:textId="77777777" w:rsidTr="00E22444">
        <w:trPr>
          <w:trHeight w:val="503"/>
        </w:trPr>
        <w:tc>
          <w:tcPr>
            <w:tcW w:w="0" w:type="auto"/>
            <w:vAlign w:val="center"/>
            <w:hideMark/>
          </w:tcPr>
          <w:p w14:paraId="2407AB68" w14:textId="77777777" w:rsidR="004A2A74" w:rsidRPr="00E22444" w:rsidRDefault="004A2A74" w:rsidP="00E22444">
            <w:pPr>
              <w:pStyle w:val="NoSpacing"/>
              <w:rPr>
                <w:rFonts w:ascii="Times New Roman" w:hAnsi="Times New Roman" w:cs="Times New Roman"/>
                <w:szCs w:val="24"/>
              </w:rPr>
            </w:pPr>
            <w:r w:rsidRPr="00E22444">
              <w:rPr>
                <w:rFonts w:ascii="Times New Roman" w:hAnsi="Times New Roman" w:cs="Times New Roman"/>
                <w:szCs w:val="24"/>
              </w:rPr>
              <w:t>Punjab*</w:t>
            </w:r>
          </w:p>
        </w:tc>
        <w:tc>
          <w:tcPr>
            <w:tcW w:w="0" w:type="auto"/>
            <w:vAlign w:val="center"/>
            <w:hideMark/>
          </w:tcPr>
          <w:p w14:paraId="5547749F" w14:textId="77777777" w:rsidR="004A2A74" w:rsidRPr="00E22444" w:rsidRDefault="004A2A74" w:rsidP="00E22444">
            <w:pPr>
              <w:pStyle w:val="NoSpacing"/>
              <w:jc w:val="center"/>
              <w:rPr>
                <w:rFonts w:ascii="Times New Roman" w:hAnsi="Times New Roman" w:cs="Times New Roman"/>
                <w:szCs w:val="24"/>
              </w:rPr>
            </w:pPr>
            <w:r w:rsidRPr="00E22444">
              <w:rPr>
                <w:rFonts w:ascii="Times New Roman" w:hAnsi="Times New Roman" w:cs="Times New Roman"/>
                <w:szCs w:val="24"/>
              </w:rPr>
              <w:t>2.58</w:t>
            </w:r>
          </w:p>
        </w:tc>
        <w:tc>
          <w:tcPr>
            <w:tcW w:w="0" w:type="auto"/>
            <w:vAlign w:val="center"/>
            <w:hideMark/>
          </w:tcPr>
          <w:p w14:paraId="3151C850" w14:textId="77777777" w:rsidR="004A2A74" w:rsidRPr="00E22444" w:rsidRDefault="004A2A74" w:rsidP="00E22444">
            <w:pPr>
              <w:pStyle w:val="NoSpacing"/>
              <w:jc w:val="center"/>
              <w:rPr>
                <w:rFonts w:ascii="Times New Roman" w:hAnsi="Times New Roman" w:cs="Times New Roman"/>
                <w:szCs w:val="24"/>
              </w:rPr>
            </w:pPr>
            <w:r w:rsidRPr="00E22444">
              <w:rPr>
                <w:rFonts w:ascii="Times New Roman" w:hAnsi="Times New Roman" w:cs="Times New Roman"/>
                <w:szCs w:val="24"/>
              </w:rPr>
              <w:t>2.22</w:t>
            </w:r>
          </w:p>
        </w:tc>
        <w:tc>
          <w:tcPr>
            <w:tcW w:w="1675" w:type="dxa"/>
            <w:vAlign w:val="center"/>
            <w:hideMark/>
          </w:tcPr>
          <w:p w14:paraId="297E62A8" w14:textId="77777777" w:rsidR="004A2A74" w:rsidRPr="00E22444" w:rsidRDefault="004A2A74" w:rsidP="00E22444">
            <w:pPr>
              <w:pStyle w:val="NoSpacing"/>
              <w:jc w:val="center"/>
              <w:rPr>
                <w:rFonts w:ascii="Times New Roman" w:hAnsi="Times New Roman" w:cs="Times New Roman"/>
                <w:szCs w:val="24"/>
              </w:rPr>
            </w:pPr>
            <w:r w:rsidRPr="00E22444">
              <w:rPr>
                <w:rFonts w:ascii="Times New Roman" w:hAnsi="Times New Roman" w:cs="Times New Roman"/>
                <w:szCs w:val="24"/>
              </w:rPr>
              <w:t>2.96</w:t>
            </w:r>
          </w:p>
        </w:tc>
        <w:tc>
          <w:tcPr>
            <w:tcW w:w="3088" w:type="dxa"/>
            <w:vAlign w:val="center"/>
            <w:hideMark/>
          </w:tcPr>
          <w:p w14:paraId="709B8658" w14:textId="77777777" w:rsidR="004A2A74" w:rsidRPr="00E22444" w:rsidRDefault="004A2A74" w:rsidP="00E22444">
            <w:pPr>
              <w:pStyle w:val="NoSpacing"/>
              <w:jc w:val="center"/>
              <w:rPr>
                <w:rFonts w:ascii="Times New Roman" w:hAnsi="Times New Roman" w:cs="Times New Roman"/>
                <w:szCs w:val="24"/>
              </w:rPr>
            </w:pPr>
            <w:r w:rsidRPr="00E22444">
              <w:rPr>
                <w:rFonts w:ascii="Times New Roman" w:hAnsi="Times New Roman" w:cs="Times New Roman"/>
                <w:szCs w:val="24"/>
              </w:rPr>
              <w:t>7.76</w:t>
            </w:r>
          </w:p>
        </w:tc>
      </w:tr>
      <w:tr w:rsidR="004A2A74" w:rsidRPr="00E22444" w14:paraId="782C11EB" w14:textId="77777777" w:rsidTr="00E22444">
        <w:trPr>
          <w:trHeight w:val="503"/>
        </w:trPr>
        <w:tc>
          <w:tcPr>
            <w:tcW w:w="0" w:type="auto"/>
            <w:vAlign w:val="center"/>
            <w:hideMark/>
          </w:tcPr>
          <w:p w14:paraId="09CD11AC" w14:textId="77777777" w:rsidR="004A2A74" w:rsidRPr="00E22444" w:rsidRDefault="004A2A74" w:rsidP="00E22444">
            <w:pPr>
              <w:pStyle w:val="NoSpacing"/>
              <w:rPr>
                <w:rFonts w:ascii="Times New Roman" w:hAnsi="Times New Roman" w:cs="Times New Roman"/>
                <w:szCs w:val="24"/>
              </w:rPr>
            </w:pPr>
            <w:r w:rsidRPr="00E22444">
              <w:rPr>
                <w:rFonts w:ascii="Times New Roman" w:hAnsi="Times New Roman" w:cs="Times New Roman"/>
                <w:szCs w:val="24"/>
              </w:rPr>
              <w:t>Rajasthan</w:t>
            </w:r>
          </w:p>
        </w:tc>
        <w:tc>
          <w:tcPr>
            <w:tcW w:w="0" w:type="auto"/>
            <w:vAlign w:val="center"/>
            <w:hideMark/>
          </w:tcPr>
          <w:p w14:paraId="1B2BB02E" w14:textId="77777777" w:rsidR="004A2A74" w:rsidRPr="00E22444" w:rsidRDefault="004A2A74" w:rsidP="00E22444">
            <w:pPr>
              <w:pStyle w:val="NoSpacing"/>
              <w:jc w:val="center"/>
              <w:rPr>
                <w:rFonts w:ascii="Times New Roman" w:hAnsi="Times New Roman" w:cs="Times New Roman"/>
                <w:szCs w:val="24"/>
              </w:rPr>
            </w:pPr>
            <w:r w:rsidRPr="00E22444">
              <w:rPr>
                <w:rFonts w:ascii="Times New Roman" w:hAnsi="Times New Roman" w:cs="Times New Roman"/>
                <w:szCs w:val="24"/>
              </w:rPr>
              <w:t>0.53</w:t>
            </w:r>
          </w:p>
        </w:tc>
        <w:tc>
          <w:tcPr>
            <w:tcW w:w="0" w:type="auto"/>
            <w:vAlign w:val="center"/>
            <w:hideMark/>
          </w:tcPr>
          <w:p w14:paraId="76128D21" w14:textId="77777777" w:rsidR="004A2A74" w:rsidRPr="00E22444" w:rsidRDefault="004A2A74" w:rsidP="00E22444">
            <w:pPr>
              <w:pStyle w:val="NoSpacing"/>
              <w:jc w:val="center"/>
              <w:rPr>
                <w:rFonts w:ascii="Times New Roman" w:hAnsi="Times New Roman" w:cs="Times New Roman"/>
                <w:szCs w:val="24"/>
              </w:rPr>
            </w:pPr>
            <w:r w:rsidRPr="00E22444">
              <w:rPr>
                <w:rFonts w:ascii="Times New Roman" w:hAnsi="Times New Roman" w:cs="Times New Roman"/>
                <w:szCs w:val="24"/>
              </w:rPr>
              <w:t>1.92</w:t>
            </w:r>
          </w:p>
        </w:tc>
        <w:tc>
          <w:tcPr>
            <w:tcW w:w="1675" w:type="dxa"/>
            <w:vAlign w:val="center"/>
            <w:hideMark/>
          </w:tcPr>
          <w:p w14:paraId="40BD2293" w14:textId="77777777" w:rsidR="004A2A74" w:rsidRPr="00E22444" w:rsidRDefault="004A2A74" w:rsidP="00E22444">
            <w:pPr>
              <w:pStyle w:val="NoSpacing"/>
              <w:jc w:val="center"/>
              <w:rPr>
                <w:rFonts w:ascii="Times New Roman" w:hAnsi="Times New Roman" w:cs="Times New Roman"/>
                <w:szCs w:val="24"/>
              </w:rPr>
            </w:pPr>
            <w:r w:rsidRPr="00E22444">
              <w:rPr>
                <w:rFonts w:ascii="Times New Roman" w:hAnsi="Times New Roman" w:cs="Times New Roman"/>
                <w:szCs w:val="24"/>
              </w:rPr>
              <w:t>2.08</w:t>
            </w:r>
          </w:p>
        </w:tc>
        <w:tc>
          <w:tcPr>
            <w:tcW w:w="3088" w:type="dxa"/>
            <w:vAlign w:val="center"/>
            <w:hideMark/>
          </w:tcPr>
          <w:p w14:paraId="32E43759" w14:textId="77777777" w:rsidR="004A2A74" w:rsidRPr="00E22444" w:rsidRDefault="004A2A74" w:rsidP="00E22444">
            <w:pPr>
              <w:pStyle w:val="NoSpacing"/>
              <w:jc w:val="center"/>
              <w:rPr>
                <w:rFonts w:ascii="Times New Roman" w:hAnsi="Times New Roman" w:cs="Times New Roman"/>
                <w:szCs w:val="24"/>
              </w:rPr>
            </w:pPr>
            <w:r w:rsidRPr="00E22444">
              <w:rPr>
                <w:rFonts w:ascii="Times New Roman" w:hAnsi="Times New Roman" w:cs="Times New Roman"/>
                <w:szCs w:val="24"/>
              </w:rPr>
              <w:t>4.53</w:t>
            </w:r>
          </w:p>
        </w:tc>
      </w:tr>
      <w:tr w:rsidR="004A2A74" w:rsidRPr="00E22444" w14:paraId="4965C2BB" w14:textId="77777777" w:rsidTr="00E22444">
        <w:trPr>
          <w:trHeight w:val="475"/>
        </w:trPr>
        <w:tc>
          <w:tcPr>
            <w:tcW w:w="0" w:type="auto"/>
            <w:vAlign w:val="center"/>
            <w:hideMark/>
          </w:tcPr>
          <w:p w14:paraId="4DB8543D" w14:textId="77777777" w:rsidR="004A2A74" w:rsidRPr="00E22444" w:rsidRDefault="004A2A74" w:rsidP="00E22444">
            <w:pPr>
              <w:pStyle w:val="NoSpacing"/>
              <w:rPr>
                <w:rFonts w:ascii="Times New Roman" w:hAnsi="Times New Roman" w:cs="Times New Roman"/>
                <w:szCs w:val="24"/>
              </w:rPr>
            </w:pPr>
            <w:r w:rsidRPr="00E22444">
              <w:rPr>
                <w:rFonts w:ascii="Times New Roman" w:hAnsi="Times New Roman" w:cs="Times New Roman"/>
                <w:szCs w:val="24"/>
              </w:rPr>
              <w:t>Tamil Nadu</w:t>
            </w:r>
          </w:p>
        </w:tc>
        <w:tc>
          <w:tcPr>
            <w:tcW w:w="0" w:type="auto"/>
            <w:vAlign w:val="center"/>
            <w:hideMark/>
          </w:tcPr>
          <w:p w14:paraId="33848958" w14:textId="77777777" w:rsidR="004A2A74" w:rsidRPr="00E22444" w:rsidRDefault="004A2A74" w:rsidP="00E22444">
            <w:pPr>
              <w:pStyle w:val="NoSpacing"/>
              <w:jc w:val="center"/>
              <w:rPr>
                <w:rFonts w:ascii="Times New Roman" w:hAnsi="Times New Roman" w:cs="Times New Roman"/>
                <w:szCs w:val="24"/>
              </w:rPr>
            </w:pPr>
            <w:r w:rsidRPr="00E22444">
              <w:rPr>
                <w:rFonts w:ascii="Times New Roman" w:hAnsi="Times New Roman" w:cs="Times New Roman"/>
                <w:szCs w:val="24"/>
              </w:rPr>
              <w:t>13.08</w:t>
            </w:r>
          </w:p>
        </w:tc>
        <w:tc>
          <w:tcPr>
            <w:tcW w:w="0" w:type="auto"/>
            <w:vAlign w:val="center"/>
            <w:hideMark/>
          </w:tcPr>
          <w:p w14:paraId="7E95BEFF" w14:textId="77777777" w:rsidR="004A2A74" w:rsidRPr="00E22444" w:rsidRDefault="004A2A74" w:rsidP="00E22444">
            <w:pPr>
              <w:pStyle w:val="NoSpacing"/>
              <w:jc w:val="center"/>
              <w:rPr>
                <w:rFonts w:ascii="Times New Roman" w:hAnsi="Times New Roman" w:cs="Times New Roman"/>
                <w:szCs w:val="24"/>
              </w:rPr>
            </w:pPr>
            <w:r w:rsidRPr="00E22444">
              <w:rPr>
                <w:rFonts w:ascii="Times New Roman" w:hAnsi="Times New Roman" w:cs="Times New Roman"/>
                <w:szCs w:val="24"/>
              </w:rPr>
              <w:t>14.27</w:t>
            </w:r>
          </w:p>
        </w:tc>
        <w:tc>
          <w:tcPr>
            <w:tcW w:w="1675" w:type="dxa"/>
            <w:vAlign w:val="center"/>
            <w:hideMark/>
          </w:tcPr>
          <w:p w14:paraId="51CD2828" w14:textId="77777777" w:rsidR="004A2A74" w:rsidRPr="00E22444" w:rsidRDefault="004A2A74" w:rsidP="00E22444">
            <w:pPr>
              <w:pStyle w:val="NoSpacing"/>
              <w:jc w:val="center"/>
              <w:rPr>
                <w:rFonts w:ascii="Times New Roman" w:hAnsi="Times New Roman" w:cs="Times New Roman"/>
                <w:szCs w:val="24"/>
              </w:rPr>
            </w:pPr>
            <w:r w:rsidRPr="00E22444">
              <w:rPr>
                <w:rFonts w:ascii="Times New Roman" w:hAnsi="Times New Roman" w:cs="Times New Roman"/>
                <w:szCs w:val="24"/>
              </w:rPr>
              <w:t>12.99</w:t>
            </w:r>
          </w:p>
        </w:tc>
        <w:tc>
          <w:tcPr>
            <w:tcW w:w="3088" w:type="dxa"/>
            <w:vAlign w:val="center"/>
            <w:hideMark/>
          </w:tcPr>
          <w:p w14:paraId="468A798C" w14:textId="77777777" w:rsidR="004A2A74" w:rsidRPr="00E22444" w:rsidRDefault="004A2A74" w:rsidP="00E22444">
            <w:pPr>
              <w:pStyle w:val="NoSpacing"/>
              <w:jc w:val="center"/>
              <w:rPr>
                <w:rFonts w:ascii="Times New Roman" w:hAnsi="Times New Roman" w:cs="Times New Roman"/>
                <w:szCs w:val="24"/>
              </w:rPr>
            </w:pPr>
            <w:r w:rsidRPr="00E22444">
              <w:rPr>
                <w:rFonts w:ascii="Times New Roman" w:hAnsi="Times New Roman" w:cs="Times New Roman"/>
                <w:szCs w:val="24"/>
              </w:rPr>
              <w:t>40.34</w:t>
            </w:r>
          </w:p>
        </w:tc>
      </w:tr>
      <w:tr w:rsidR="004A2A74" w:rsidRPr="00E22444" w14:paraId="421A5C70" w14:textId="77777777" w:rsidTr="00E22444">
        <w:trPr>
          <w:trHeight w:val="503"/>
        </w:trPr>
        <w:tc>
          <w:tcPr>
            <w:tcW w:w="0" w:type="auto"/>
            <w:vAlign w:val="center"/>
            <w:hideMark/>
          </w:tcPr>
          <w:p w14:paraId="5FEC55BA" w14:textId="77777777" w:rsidR="004A2A74" w:rsidRPr="00E22444" w:rsidRDefault="004A2A74" w:rsidP="00E22444">
            <w:pPr>
              <w:pStyle w:val="NoSpacing"/>
              <w:rPr>
                <w:rFonts w:ascii="Times New Roman" w:hAnsi="Times New Roman" w:cs="Times New Roman"/>
                <w:szCs w:val="24"/>
              </w:rPr>
            </w:pPr>
            <w:r w:rsidRPr="00E22444">
              <w:rPr>
                <w:rFonts w:ascii="Times New Roman" w:hAnsi="Times New Roman" w:cs="Times New Roman"/>
                <w:szCs w:val="24"/>
              </w:rPr>
              <w:t>Uttar Pradesh</w:t>
            </w:r>
          </w:p>
        </w:tc>
        <w:tc>
          <w:tcPr>
            <w:tcW w:w="0" w:type="auto"/>
            <w:vAlign w:val="center"/>
            <w:hideMark/>
          </w:tcPr>
          <w:p w14:paraId="08A19997" w14:textId="77777777" w:rsidR="004A2A74" w:rsidRPr="00E22444" w:rsidRDefault="004A2A74" w:rsidP="00E22444">
            <w:pPr>
              <w:pStyle w:val="NoSpacing"/>
              <w:jc w:val="center"/>
              <w:rPr>
                <w:rFonts w:ascii="Times New Roman" w:hAnsi="Times New Roman" w:cs="Times New Roman"/>
                <w:szCs w:val="24"/>
              </w:rPr>
            </w:pPr>
            <w:r w:rsidRPr="00E22444">
              <w:rPr>
                <w:rFonts w:ascii="Times New Roman" w:hAnsi="Times New Roman" w:cs="Times New Roman"/>
                <w:szCs w:val="24"/>
              </w:rPr>
              <w:t>5.85</w:t>
            </w:r>
          </w:p>
        </w:tc>
        <w:tc>
          <w:tcPr>
            <w:tcW w:w="0" w:type="auto"/>
            <w:vAlign w:val="center"/>
            <w:hideMark/>
          </w:tcPr>
          <w:p w14:paraId="3A8DE13D" w14:textId="77777777" w:rsidR="004A2A74" w:rsidRPr="00E22444" w:rsidRDefault="004A2A74" w:rsidP="00E22444">
            <w:pPr>
              <w:pStyle w:val="NoSpacing"/>
              <w:jc w:val="center"/>
              <w:rPr>
                <w:rFonts w:ascii="Times New Roman" w:hAnsi="Times New Roman" w:cs="Times New Roman"/>
                <w:szCs w:val="24"/>
              </w:rPr>
            </w:pPr>
            <w:r w:rsidRPr="00E22444">
              <w:rPr>
                <w:rFonts w:ascii="Times New Roman" w:hAnsi="Times New Roman" w:cs="Times New Roman"/>
                <w:szCs w:val="24"/>
              </w:rPr>
              <w:t>6.56</w:t>
            </w:r>
          </w:p>
        </w:tc>
        <w:tc>
          <w:tcPr>
            <w:tcW w:w="1675" w:type="dxa"/>
            <w:vAlign w:val="center"/>
            <w:hideMark/>
          </w:tcPr>
          <w:p w14:paraId="7006C184" w14:textId="77777777" w:rsidR="004A2A74" w:rsidRPr="00E22444" w:rsidRDefault="004A2A74" w:rsidP="00E22444">
            <w:pPr>
              <w:pStyle w:val="NoSpacing"/>
              <w:jc w:val="center"/>
              <w:rPr>
                <w:rFonts w:ascii="Times New Roman" w:hAnsi="Times New Roman" w:cs="Times New Roman"/>
                <w:szCs w:val="24"/>
              </w:rPr>
            </w:pPr>
            <w:r w:rsidRPr="00E22444">
              <w:rPr>
                <w:rFonts w:ascii="Times New Roman" w:hAnsi="Times New Roman" w:cs="Times New Roman"/>
                <w:szCs w:val="24"/>
              </w:rPr>
              <w:t>7.92</w:t>
            </w:r>
          </w:p>
        </w:tc>
        <w:tc>
          <w:tcPr>
            <w:tcW w:w="3088" w:type="dxa"/>
            <w:vAlign w:val="center"/>
            <w:hideMark/>
          </w:tcPr>
          <w:p w14:paraId="4E3AD56C" w14:textId="77777777" w:rsidR="004A2A74" w:rsidRPr="00E22444" w:rsidRDefault="004A2A74" w:rsidP="00E22444">
            <w:pPr>
              <w:pStyle w:val="NoSpacing"/>
              <w:jc w:val="center"/>
              <w:rPr>
                <w:rFonts w:ascii="Times New Roman" w:hAnsi="Times New Roman" w:cs="Times New Roman"/>
                <w:szCs w:val="24"/>
              </w:rPr>
            </w:pPr>
            <w:r w:rsidRPr="00E22444">
              <w:rPr>
                <w:rFonts w:ascii="Times New Roman" w:hAnsi="Times New Roman" w:cs="Times New Roman"/>
                <w:szCs w:val="24"/>
              </w:rPr>
              <w:t>20.33</w:t>
            </w:r>
          </w:p>
        </w:tc>
      </w:tr>
      <w:tr w:rsidR="004A2A74" w:rsidRPr="00E22444" w14:paraId="55B537FD" w14:textId="77777777" w:rsidTr="00E22444">
        <w:trPr>
          <w:trHeight w:val="475"/>
        </w:trPr>
        <w:tc>
          <w:tcPr>
            <w:tcW w:w="0" w:type="auto"/>
            <w:vAlign w:val="center"/>
            <w:hideMark/>
          </w:tcPr>
          <w:p w14:paraId="0859041D" w14:textId="77777777" w:rsidR="004A2A74" w:rsidRPr="00E22444" w:rsidRDefault="004A2A74" w:rsidP="00E22444">
            <w:pPr>
              <w:pStyle w:val="NoSpacing"/>
              <w:rPr>
                <w:rFonts w:ascii="Times New Roman" w:hAnsi="Times New Roman" w:cs="Times New Roman"/>
                <w:szCs w:val="24"/>
              </w:rPr>
            </w:pPr>
            <w:r w:rsidRPr="00E22444">
              <w:rPr>
                <w:rFonts w:ascii="Times New Roman" w:hAnsi="Times New Roman" w:cs="Times New Roman"/>
                <w:szCs w:val="24"/>
              </w:rPr>
              <w:t>West Bengal</w:t>
            </w:r>
          </w:p>
        </w:tc>
        <w:tc>
          <w:tcPr>
            <w:tcW w:w="0" w:type="auto"/>
            <w:vAlign w:val="center"/>
            <w:hideMark/>
          </w:tcPr>
          <w:p w14:paraId="59FF94B1" w14:textId="77777777" w:rsidR="004A2A74" w:rsidRPr="00E22444" w:rsidRDefault="004A2A74" w:rsidP="00E22444">
            <w:pPr>
              <w:pStyle w:val="NoSpacing"/>
              <w:jc w:val="center"/>
              <w:rPr>
                <w:rFonts w:ascii="Times New Roman" w:hAnsi="Times New Roman" w:cs="Times New Roman"/>
                <w:szCs w:val="24"/>
              </w:rPr>
            </w:pPr>
            <w:r w:rsidRPr="00E22444">
              <w:rPr>
                <w:rFonts w:ascii="Times New Roman" w:hAnsi="Times New Roman" w:cs="Times New Roman"/>
                <w:szCs w:val="24"/>
              </w:rPr>
              <w:t>21.61</w:t>
            </w:r>
          </w:p>
        </w:tc>
        <w:tc>
          <w:tcPr>
            <w:tcW w:w="0" w:type="auto"/>
            <w:vAlign w:val="center"/>
            <w:hideMark/>
          </w:tcPr>
          <w:p w14:paraId="3CF82111" w14:textId="77777777" w:rsidR="004A2A74" w:rsidRPr="00E22444" w:rsidRDefault="004A2A74" w:rsidP="00E22444">
            <w:pPr>
              <w:pStyle w:val="NoSpacing"/>
              <w:jc w:val="center"/>
              <w:rPr>
                <w:rFonts w:ascii="Times New Roman" w:hAnsi="Times New Roman" w:cs="Times New Roman"/>
                <w:szCs w:val="24"/>
              </w:rPr>
            </w:pPr>
            <w:r w:rsidRPr="00E22444">
              <w:rPr>
                <w:rFonts w:ascii="Times New Roman" w:hAnsi="Times New Roman" w:cs="Times New Roman"/>
                <w:szCs w:val="24"/>
              </w:rPr>
              <w:t>20.08</w:t>
            </w:r>
          </w:p>
        </w:tc>
        <w:tc>
          <w:tcPr>
            <w:tcW w:w="1675" w:type="dxa"/>
            <w:vAlign w:val="center"/>
            <w:hideMark/>
          </w:tcPr>
          <w:p w14:paraId="1619700E" w14:textId="77777777" w:rsidR="004A2A74" w:rsidRPr="00E22444" w:rsidRDefault="004A2A74" w:rsidP="00E22444">
            <w:pPr>
              <w:pStyle w:val="NoSpacing"/>
              <w:jc w:val="center"/>
              <w:rPr>
                <w:rFonts w:ascii="Times New Roman" w:hAnsi="Times New Roman" w:cs="Times New Roman"/>
                <w:szCs w:val="24"/>
              </w:rPr>
            </w:pPr>
            <w:r w:rsidRPr="00E22444">
              <w:rPr>
                <w:rFonts w:ascii="Times New Roman" w:hAnsi="Times New Roman" w:cs="Times New Roman"/>
                <w:szCs w:val="24"/>
              </w:rPr>
              <w:t>22.86</w:t>
            </w:r>
          </w:p>
        </w:tc>
        <w:tc>
          <w:tcPr>
            <w:tcW w:w="3088" w:type="dxa"/>
            <w:vAlign w:val="center"/>
            <w:hideMark/>
          </w:tcPr>
          <w:p w14:paraId="68EC8B9F" w14:textId="77777777" w:rsidR="004A2A74" w:rsidRPr="00E22444" w:rsidRDefault="004A2A74" w:rsidP="00E22444">
            <w:pPr>
              <w:pStyle w:val="NoSpacing"/>
              <w:jc w:val="center"/>
              <w:rPr>
                <w:rFonts w:ascii="Times New Roman" w:hAnsi="Times New Roman" w:cs="Times New Roman"/>
                <w:szCs w:val="24"/>
              </w:rPr>
            </w:pPr>
            <w:r w:rsidRPr="00E22444">
              <w:rPr>
                <w:rFonts w:ascii="Times New Roman" w:hAnsi="Times New Roman" w:cs="Times New Roman"/>
                <w:szCs w:val="24"/>
              </w:rPr>
              <w:t>64.55</w:t>
            </w:r>
          </w:p>
        </w:tc>
      </w:tr>
      <w:tr w:rsidR="004A2A74" w:rsidRPr="00E22444" w14:paraId="37187AA2" w14:textId="77777777" w:rsidTr="00E22444">
        <w:trPr>
          <w:trHeight w:val="503"/>
        </w:trPr>
        <w:tc>
          <w:tcPr>
            <w:tcW w:w="0" w:type="auto"/>
            <w:vAlign w:val="center"/>
            <w:hideMark/>
          </w:tcPr>
          <w:p w14:paraId="2431CDF6" w14:textId="77777777" w:rsidR="004A2A74" w:rsidRPr="00E22444" w:rsidRDefault="004A2A74" w:rsidP="00E22444">
            <w:pPr>
              <w:pStyle w:val="NoSpacing"/>
              <w:rPr>
                <w:rFonts w:ascii="Times New Roman" w:hAnsi="Times New Roman" w:cs="Times New Roman"/>
                <w:szCs w:val="24"/>
              </w:rPr>
            </w:pPr>
            <w:r w:rsidRPr="00E22444">
              <w:rPr>
                <w:rFonts w:ascii="Times New Roman" w:hAnsi="Times New Roman" w:cs="Times New Roman"/>
                <w:szCs w:val="24"/>
              </w:rPr>
              <w:t>TOTAL</w:t>
            </w:r>
          </w:p>
        </w:tc>
        <w:tc>
          <w:tcPr>
            <w:tcW w:w="0" w:type="auto"/>
            <w:vAlign w:val="center"/>
            <w:hideMark/>
          </w:tcPr>
          <w:p w14:paraId="25B7232C" w14:textId="77777777" w:rsidR="004A2A74" w:rsidRPr="00E22444" w:rsidRDefault="004A2A74" w:rsidP="00E22444">
            <w:pPr>
              <w:pStyle w:val="NoSpacing"/>
              <w:jc w:val="center"/>
              <w:rPr>
                <w:rFonts w:ascii="Times New Roman" w:hAnsi="Times New Roman" w:cs="Times New Roman"/>
                <w:szCs w:val="24"/>
              </w:rPr>
            </w:pPr>
            <w:r w:rsidRPr="00E22444">
              <w:rPr>
                <w:rFonts w:ascii="Times New Roman" w:hAnsi="Times New Roman" w:cs="Times New Roman"/>
                <w:szCs w:val="24"/>
              </w:rPr>
              <w:t>114.41</w:t>
            </w:r>
          </w:p>
        </w:tc>
        <w:tc>
          <w:tcPr>
            <w:tcW w:w="0" w:type="auto"/>
            <w:vAlign w:val="center"/>
            <w:hideMark/>
          </w:tcPr>
          <w:p w14:paraId="7DCD096D" w14:textId="77777777" w:rsidR="004A2A74" w:rsidRPr="00E22444" w:rsidRDefault="004A2A74" w:rsidP="00E22444">
            <w:pPr>
              <w:pStyle w:val="NoSpacing"/>
              <w:jc w:val="center"/>
              <w:rPr>
                <w:rFonts w:ascii="Times New Roman" w:hAnsi="Times New Roman" w:cs="Times New Roman"/>
                <w:szCs w:val="24"/>
              </w:rPr>
            </w:pPr>
            <w:r w:rsidRPr="00E22444">
              <w:rPr>
                <w:rFonts w:ascii="Times New Roman" w:hAnsi="Times New Roman" w:cs="Times New Roman"/>
                <w:szCs w:val="24"/>
              </w:rPr>
              <w:t>114.71</w:t>
            </w:r>
          </w:p>
        </w:tc>
        <w:tc>
          <w:tcPr>
            <w:tcW w:w="1675" w:type="dxa"/>
            <w:vAlign w:val="center"/>
            <w:hideMark/>
          </w:tcPr>
          <w:p w14:paraId="3DEF8E83" w14:textId="77777777" w:rsidR="004A2A74" w:rsidRPr="00E22444" w:rsidRDefault="004A2A74" w:rsidP="00E22444">
            <w:pPr>
              <w:pStyle w:val="NoSpacing"/>
              <w:jc w:val="center"/>
              <w:rPr>
                <w:rFonts w:ascii="Times New Roman" w:hAnsi="Times New Roman" w:cs="Times New Roman"/>
                <w:szCs w:val="24"/>
              </w:rPr>
            </w:pPr>
            <w:r w:rsidRPr="00E22444">
              <w:rPr>
                <w:rFonts w:ascii="Times New Roman" w:hAnsi="Times New Roman" w:cs="Times New Roman"/>
                <w:szCs w:val="24"/>
              </w:rPr>
              <w:t>129.13</w:t>
            </w:r>
          </w:p>
        </w:tc>
        <w:tc>
          <w:tcPr>
            <w:tcW w:w="3088" w:type="dxa"/>
            <w:vAlign w:val="center"/>
            <w:hideMark/>
          </w:tcPr>
          <w:p w14:paraId="2A3B116E" w14:textId="77777777" w:rsidR="004A2A74" w:rsidRPr="00E22444" w:rsidRDefault="004A2A74" w:rsidP="00E22444">
            <w:pPr>
              <w:pStyle w:val="NoSpacing"/>
              <w:jc w:val="center"/>
              <w:rPr>
                <w:rFonts w:ascii="Times New Roman" w:hAnsi="Times New Roman" w:cs="Times New Roman"/>
                <w:szCs w:val="24"/>
              </w:rPr>
            </w:pPr>
            <w:r w:rsidRPr="00E22444">
              <w:rPr>
                <w:rFonts w:ascii="Times New Roman" w:hAnsi="Times New Roman" w:cs="Times New Roman"/>
                <w:szCs w:val="24"/>
              </w:rPr>
              <w:t>358.25</w:t>
            </w:r>
          </w:p>
        </w:tc>
      </w:tr>
    </w:tbl>
    <w:p w14:paraId="4125723E" w14:textId="200ED172" w:rsidR="004A2A74" w:rsidRPr="00E22444" w:rsidRDefault="004A2A74" w:rsidP="004A2A74">
      <w:pPr>
        <w:rPr>
          <w:rFonts w:ascii="Times New Roman" w:hAnsi="Times New Roman" w:cs="Times New Roman"/>
          <w:sz w:val="20"/>
          <w:szCs w:val="20"/>
        </w:rPr>
      </w:pPr>
      <w:r w:rsidRPr="00E22444">
        <w:rPr>
          <w:rFonts w:ascii="Times New Roman" w:hAnsi="Times New Roman" w:cs="Times New Roman"/>
          <w:sz w:val="20"/>
          <w:szCs w:val="20"/>
        </w:rPr>
        <w:t>Source: Central Board of Direct Taxes.</w:t>
      </w:r>
      <w:r w:rsidRPr="00E22444">
        <w:rPr>
          <w:rFonts w:ascii="Times New Roman" w:hAnsi="Times New Roman" w:cs="Times New Roman"/>
          <w:sz w:val="20"/>
          <w:szCs w:val="20"/>
        </w:rPr>
        <w:br/>
        <w:t>*The figure of the composite State of Punjab has been divided amongst the reorganised States of Punjab and Haryana as follows: —</w:t>
      </w:r>
      <w:r w:rsidRPr="00E22444">
        <w:rPr>
          <w:rFonts w:ascii="Times New Roman" w:hAnsi="Times New Roman" w:cs="Times New Roman"/>
          <w:sz w:val="20"/>
          <w:szCs w:val="20"/>
        </w:rPr>
        <w:br/>
        <w:t>Punjab:          54.84 per cent</w:t>
      </w:r>
      <w:r w:rsidRPr="00E22444">
        <w:rPr>
          <w:rFonts w:ascii="Times New Roman" w:hAnsi="Times New Roman" w:cs="Times New Roman"/>
          <w:sz w:val="20"/>
          <w:szCs w:val="20"/>
        </w:rPr>
        <w:br/>
        <w:t>Haryana:       37.38 per cent</w:t>
      </w:r>
    </w:p>
    <w:p w14:paraId="1996DA20" w14:textId="221294EE" w:rsidR="004A2A74" w:rsidRPr="00427668" w:rsidRDefault="00574BCE" w:rsidP="00427668">
      <w:pPr>
        <w:pStyle w:val="Heading4"/>
        <w:rPr>
          <w:b w:val="0"/>
          <w:bCs w:val="0"/>
        </w:rPr>
      </w:pPr>
      <w:bookmarkStart w:id="174" w:name="_Toc220949728"/>
      <w:bookmarkStart w:id="175" w:name="_Toc221114328"/>
      <w:bookmarkStart w:id="176" w:name="_Toc221115351"/>
      <w:r w:rsidRPr="00427668">
        <w:rPr>
          <w:rStyle w:val="Heading4Char"/>
          <w:b/>
          <w:bCs/>
        </w:rPr>
        <w:lastRenderedPageBreak/>
        <w:t>Table</w:t>
      </w:r>
      <w:r w:rsidR="004A2A74" w:rsidRPr="00427668">
        <w:rPr>
          <w:rStyle w:val="Heading4Char"/>
          <w:b/>
          <w:bCs/>
        </w:rPr>
        <w:t xml:space="preserve"> </w:t>
      </w:r>
      <w:r w:rsidR="009A78EE" w:rsidRPr="00427668">
        <w:rPr>
          <w:rStyle w:val="Heading4Char"/>
          <w:b/>
          <w:bCs/>
        </w:rPr>
        <w:t>47:</w:t>
      </w:r>
      <w:r w:rsidR="004A2A74" w:rsidRPr="00427668">
        <w:rPr>
          <w:rStyle w:val="Heading4Char"/>
          <w:b/>
          <w:bCs/>
        </w:rPr>
        <w:t xml:space="preserve"> Revenue from Union and Additional Excise Duties from 1965-66 to 1969-70</w:t>
      </w:r>
      <w:bookmarkEnd w:id="174"/>
      <w:r w:rsidR="00427668" w:rsidRPr="00427668">
        <w:rPr>
          <w:rStyle w:val="Heading4Char"/>
          <w:b/>
          <w:bCs/>
        </w:rPr>
        <w:t xml:space="preserve"> </w:t>
      </w:r>
      <w:r w:rsidR="00427668" w:rsidRPr="00427668">
        <w:t>(Commodity-wise for items subject to additional excise duties and for others taken together)</w:t>
      </w:r>
      <w:bookmarkEnd w:id="175"/>
      <w:bookmarkEnd w:id="176"/>
    </w:p>
    <w:p w14:paraId="1F059777" w14:textId="45098742" w:rsidR="004A2A74" w:rsidRPr="007245B0" w:rsidRDefault="004A2A74" w:rsidP="004A2A74">
      <w:pPr>
        <w:jc w:val="right"/>
        <w:rPr>
          <w:rFonts w:ascii="Times New Roman" w:hAnsi="Times New Roman" w:cs="Times New Roman"/>
          <w:i/>
          <w:iCs/>
          <w:szCs w:val="24"/>
        </w:rPr>
      </w:pPr>
      <w:r w:rsidRPr="007245B0">
        <w:rPr>
          <w:rFonts w:ascii="Times New Roman" w:hAnsi="Times New Roman" w:cs="Times New Roman"/>
          <w:i/>
          <w:iCs/>
          <w:szCs w:val="24"/>
        </w:rPr>
        <w:t>(Rs. crores)</w:t>
      </w:r>
    </w:p>
    <w:tbl>
      <w:tblPr>
        <w:tblStyle w:val="TableGrid"/>
        <w:tblW w:w="11256" w:type="dxa"/>
        <w:tblInd w:w="-856" w:type="dxa"/>
        <w:tblLook w:val="04A0" w:firstRow="1" w:lastRow="0" w:firstColumn="1" w:lastColumn="0" w:noHBand="0" w:noVBand="1"/>
      </w:tblPr>
      <w:tblGrid>
        <w:gridCol w:w="1136"/>
        <w:gridCol w:w="1511"/>
        <w:gridCol w:w="876"/>
        <w:gridCol w:w="1481"/>
        <w:gridCol w:w="994"/>
        <w:gridCol w:w="1578"/>
        <w:gridCol w:w="2197"/>
        <w:gridCol w:w="1483"/>
      </w:tblGrid>
      <w:tr w:rsidR="004A2A74" w:rsidRPr="00E22444" w14:paraId="641FABE8" w14:textId="77777777" w:rsidTr="00E22444">
        <w:trPr>
          <w:trHeight w:val="340"/>
        </w:trPr>
        <w:tc>
          <w:tcPr>
            <w:tcW w:w="2646" w:type="dxa"/>
            <w:gridSpan w:val="2"/>
            <w:vMerge w:val="restart"/>
            <w:vAlign w:val="center"/>
          </w:tcPr>
          <w:p w14:paraId="25812392" w14:textId="6B74FC59" w:rsidR="004A2A74" w:rsidRPr="00E22444" w:rsidRDefault="004A2A74" w:rsidP="00E22444">
            <w:pPr>
              <w:pStyle w:val="NoSpacing"/>
              <w:jc w:val="center"/>
              <w:rPr>
                <w:rFonts w:ascii="Times New Roman" w:hAnsi="Times New Roman" w:cs="Times New Roman"/>
                <w:b/>
                <w:bCs/>
                <w:szCs w:val="24"/>
              </w:rPr>
            </w:pPr>
            <w:r w:rsidRPr="00E22444">
              <w:rPr>
                <w:rFonts w:ascii="Times New Roman" w:hAnsi="Times New Roman" w:cs="Times New Roman"/>
                <w:b/>
                <w:bCs/>
                <w:szCs w:val="24"/>
              </w:rPr>
              <w:t>Year</w:t>
            </w:r>
          </w:p>
        </w:tc>
        <w:tc>
          <w:tcPr>
            <w:tcW w:w="0" w:type="auto"/>
            <w:gridSpan w:val="4"/>
            <w:vAlign w:val="center"/>
          </w:tcPr>
          <w:p w14:paraId="663E59D3" w14:textId="77777777" w:rsidR="004A2A74" w:rsidRPr="00E22444" w:rsidRDefault="004A2A74" w:rsidP="00E22444">
            <w:pPr>
              <w:pStyle w:val="NoSpacing"/>
              <w:jc w:val="center"/>
              <w:rPr>
                <w:rFonts w:ascii="Times New Roman" w:hAnsi="Times New Roman" w:cs="Times New Roman"/>
                <w:b/>
                <w:bCs/>
                <w:szCs w:val="24"/>
              </w:rPr>
            </w:pPr>
            <w:r w:rsidRPr="00E22444">
              <w:rPr>
                <w:rFonts w:ascii="Times New Roman" w:hAnsi="Times New Roman" w:cs="Times New Roman"/>
                <w:b/>
                <w:bCs/>
                <w:szCs w:val="24"/>
              </w:rPr>
              <w:t>Excise Revenue from</w:t>
            </w:r>
          </w:p>
        </w:tc>
        <w:tc>
          <w:tcPr>
            <w:tcW w:w="0" w:type="auto"/>
            <w:vMerge w:val="restart"/>
            <w:vAlign w:val="center"/>
          </w:tcPr>
          <w:p w14:paraId="0108DFEE" w14:textId="0B07D15A" w:rsidR="004A2A74" w:rsidRPr="00E22444" w:rsidRDefault="004A2A74" w:rsidP="00E22444">
            <w:pPr>
              <w:pStyle w:val="NoSpacing"/>
              <w:jc w:val="center"/>
              <w:rPr>
                <w:rFonts w:ascii="Times New Roman" w:hAnsi="Times New Roman" w:cs="Times New Roman"/>
                <w:b/>
                <w:bCs/>
                <w:szCs w:val="24"/>
              </w:rPr>
            </w:pPr>
            <w:r w:rsidRPr="00E22444">
              <w:rPr>
                <w:rFonts w:ascii="Times New Roman" w:hAnsi="Times New Roman" w:cs="Times New Roman"/>
                <w:b/>
                <w:bCs/>
                <w:szCs w:val="24"/>
              </w:rPr>
              <w:t>Total excise revenue from other commodities</w:t>
            </w:r>
          </w:p>
        </w:tc>
        <w:tc>
          <w:tcPr>
            <w:tcW w:w="0" w:type="auto"/>
            <w:vMerge w:val="restart"/>
            <w:vAlign w:val="center"/>
          </w:tcPr>
          <w:p w14:paraId="4C834CA1" w14:textId="45F72497" w:rsidR="004A2A74" w:rsidRPr="00E22444" w:rsidRDefault="004A2A74" w:rsidP="00E22444">
            <w:pPr>
              <w:pStyle w:val="NoSpacing"/>
              <w:jc w:val="center"/>
              <w:rPr>
                <w:rFonts w:ascii="Times New Roman" w:hAnsi="Times New Roman" w:cs="Times New Roman"/>
                <w:b/>
                <w:bCs/>
                <w:szCs w:val="24"/>
              </w:rPr>
            </w:pPr>
            <w:r w:rsidRPr="00E22444">
              <w:rPr>
                <w:rFonts w:ascii="Times New Roman" w:hAnsi="Times New Roman" w:cs="Times New Roman"/>
                <w:b/>
                <w:bCs/>
                <w:szCs w:val="24"/>
              </w:rPr>
              <w:t>Grand total of excise revenue</w:t>
            </w:r>
          </w:p>
        </w:tc>
      </w:tr>
      <w:tr w:rsidR="004A2A74" w:rsidRPr="00E22444" w14:paraId="2233FBAE" w14:textId="77777777" w:rsidTr="00E22444">
        <w:trPr>
          <w:trHeight w:val="340"/>
        </w:trPr>
        <w:tc>
          <w:tcPr>
            <w:tcW w:w="2646" w:type="dxa"/>
            <w:gridSpan w:val="2"/>
            <w:vMerge/>
            <w:vAlign w:val="center"/>
            <w:hideMark/>
          </w:tcPr>
          <w:p w14:paraId="2238858E" w14:textId="77777777" w:rsidR="004A2A74" w:rsidRPr="00E22444" w:rsidRDefault="004A2A74" w:rsidP="00E22444">
            <w:pPr>
              <w:pStyle w:val="NoSpacing"/>
              <w:jc w:val="center"/>
              <w:rPr>
                <w:rFonts w:ascii="Times New Roman" w:hAnsi="Times New Roman" w:cs="Times New Roman"/>
                <w:b/>
                <w:bCs/>
                <w:szCs w:val="24"/>
              </w:rPr>
            </w:pPr>
          </w:p>
        </w:tc>
        <w:tc>
          <w:tcPr>
            <w:tcW w:w="0" w:type="auto"/>
            <w:vAlign w:val="center"/>
            <w:hideMark/>
          </w:tcPr>
          <w:p w14:paraId="6D684EE8" w14:textId="354385DB" w:rsidR="004A2A74" w:rsidRPr="00E22444" w:rsidRDefault="004A2A74" w:rsidP="00E22444">
            <w:pPr>
              <w:pStyle w:val="NoSpacing"/>
              <w:jc w:val="center"/>
              <w:rPr>
                <w:rFonts w:ascii="Times New Roman" w:hAnsi="Times New Roman" w:cs="Times New Roman"/>
                <w:b/>
                <w:bCs/>
                <w:szCs w:val="24"/>
              </w:rPr>
            </w:pPr>
            <w:r w:rsidRPr="00E22444">
              <w:rPr>
                <w:rFonts w:ascii="Times New Roman" w:hAnsi="Times New Roman" w:cs="Times New Roman"/>
                <w:b/>
                <w:bCs/>
                <w:szCs w:val="24"/>
              </w:rPr>
              <w:t>Sugar</w:t>
            </w:r>
          </w:p>
        </w:tc>
        <w:tc>
          <w:tcPr>
            <w:tcW w:w="0" w:type="auto"/>
            <w:vAlign w:val="center"/>
            <w:hideMark/>
          </w:tcPr>
          <w:p w14:paraId="55A80E92" w14:textId="24923189" w:rsidR="004A2A74" w:rsidRPr="00E22444" w:rsidRDefault="004A2A74" w:rsidP="00E22444">
            <w:pPr>
              <w:pStyle w:val="NoSpacing"/>
              <w:jc w:val="center"/>
              <w:rPr>
                <w:rFonts w:ascii="Times New Roman" w:hAnsi="Times New Roman" w:cs="Times New Roman"/>
                <w:b/>
                <w:bCs/>
                <w:szCs w:val="24"/>
              </w:rPr>
            </w:pPr>
            <w:r w:rsidRPr="00E22444">
              <w:rPr>
                <w:rFonts w:ascii="Times New Roman" w:hAnsi="Times New Roman" w:cs="Times New Roman"/>
                <w:b/>
                <w:bCs/>
                <w:szCs w:val="24"/>
              </w:rPr>
              <w:t>Tobacco and cigarettes</w:t>
            </w:r>
          </w:p>
        </w:tc>
        <w:tc>
          <w:tcPr>
            <w:tcW w:w="0" w:type="auto"/>
            <w:vAlign w:val="center"/>
            <w:hideMark/>
          </w:tcPr>
          <w:p w14:paraId="2B43CD48" w14:textId="17831D3A" w:rsidR="004A2A74" w:rsidRPr="00E22444" w:rsidRDefault="004A2A74" w:rsidP="00E22444">
            <w:pPr>
              <w:pStyle w:val="NoSpacing"/>
              <w:jc w:val="center"/>
              <w:rPr>
                <w:rFonts w:ascii="Times New Roman" w:hAnsi="Times New Roman" w:cs="Times New Roman"/>
                <w:b/>
                <w:bCs/>
                <w:szCs w:val="24"/>
              </w:rPr>
            </w:pPr>
            <w:r w:rsidRPr="00E22444">
              <w:rPr>
                <w:rFonts w:ascii="Times New Roman" w:hAnsi="Times New Roman" w:cs="Times New Roman"/>
                <w:b/>
                <w:bCs/>
                <w:szCs w:val="24"/>
              </w:rPr>
              <w:t>Textiles</w:t>
            </w:r>
          </w:p>
        </w:tc>
        <w:tc>
          <w:tcPr>
            <w:tcW w:w="0" w:type="auto"/>
            <w:vAlign w:val="center"/>
            <w:hideMark/>
          </w:tcPr>
          <w:p w14:paraId="63271F9E" w14:textId="1C05065A" w:rsidR="004A2A74" w:rsidRPr="00E22444" w:rsidRDefault="004A2A74" w:rsidP="00E22444">
            <w:pPr>
              <w:pStyle w:val="NoSpacing"/>
              <w:jc w:val="center"/>
              <w:rPr>
                <w:rFonts w:ascii="Times New Roman" w:hAnsi="Times New Roman" w:cs="Times New Roman"/>
                <w:b/>
                <w:bCs/>
                <w:szCs w:val="24"/>
              </w:rPr>
            </w:pPr>
            <w:r w:rsidRPr="00E22444">
              <w:rPr>
                <w:rFonts w:ascii="Times New Roman" w:hAnsi="Times New Roman" w:cs="Times New Roman"/>
                <w:b/>
                <w:bCs/>
                <w:szCs w:val="24"/>
              </w:rPr>
              <w:t>Total of sugar, tobacco and textiles</w:t>
            </w:r>
          </w:p>
        </w:tc>
        <w:tc>
          <w:tcPr>
            <w:tcW w:w="0" w:type="auto"/>
            <w:vMerge/>
            <w:vAlign w:val="center"/>
            <w:hideMark/>
          </w:tcPr>
          <w:p w14:paraId="6EF4CFC8" w14:textId="77777777" w:rsidR="004A2A74" w:rsidRPr="00E22444" w:rsidRDefault="004A2A74" w:rsidP="00E22444">
            <w:pPr>
              <w:pStyle w:val="NoSpacing"/>
              <w:jc w:val="center"/>
              <w:rPr>
                <w:rFonts w:ascii="Times New Roman" w:hAnsi="Times New Roman" w:cs="Times New Roman"/>
                <w:b/>
                <w:bCs/>
                <w:szCs w:val="24"/>
              </w:rPr>
            </w:pPr>
          </w:p>
        </w:tc>
        <w:tc>
          <w:tcPr>
            <w:tcW w:w="0" w:type="auto"/>
            <w:vMerge/>
            <w:vAlign w:val="center"/>
            <w:hideMark/>
          </w:tcPr>
          <w:p w14:paraId="40D40E43" w14:textId="77777777" w:rsidR="004A2A74" w:rsidRPr="00E22444" w:rsidRDefault="004A2A74" w:rsidP="00E22444">
            <w:pPr>
              <w:pStyle w:val="NoSpacing"/>
              <w:jc w:val="center"/>
              <w:rPr>
                <w:rFonts w:ascii="Times New Roman" w:hAnsi="Times New Roman" w:cs="Times New Roman"/>
                <w:b/>
                <w:bCs/>
                <w:szCs w:val="24"/>
              </w:rPr>
            </w:pPr>
          </w:p>
        </w:tc>
      </w:tr>
      <w:tr w:rsidR="004A2A74" w:rsidRPr="00E22444" w14:paraId="3F11DF50" w14:textId="77777777" w:rsidTr="00E22444">
        <w:trPr>
          <w:trHeight w:val="340"/>
        </w:trPr>
        <w:tc>
          <w:tcPr>
            <w:tcW w:w="2646" w:type="dxa"/>
            <w:gridSpan w:val="2"/>
            <w:vAlign w:val="center"/>
          </w:tcPr>
          <w:p w14:paraId="3F4B05CC" w14:textId="77777777" w:rsidR="004A2A74" w:rsidRPr="00E22444" w:rsidRDefault="004A2A74" w:rsidP="00E22444">
            <w:pPr>
              <w:pStyle w:val="NoSpacing"/>
              <w:jc w:val="center"/>
              <w:rPr>
                <w:rFonts w:ascii="Times New Roman" w:hAnsi="Times New Roman" w:cs="Times New Roman"/>
                <w:b/>
                <w:bCs/>
                <w:szCs w:val="24"/>
              </w:rPr>
            </w:pPr>
            <w:r w:rsidRPr="00E22444">
              <w:rPr>
                <w:rFonts w:ascii="Times New Roman" w:hAnsi="Times New Roman" w:cs="Times New Roman"/>
                <w:b/>
                <w:bCs/>
                <w:szCs w:val="24"/>
              </w:rPr>
              <w:t>1</w:t>
            </w:r>
          </w:p>
        </w:tc>
        <w:tc>
          <w:tcPr>
            <w:tcW w:w="0" w:type="auto"/>
            <w:vAlign w:val="center"/>
          </w:tcPr>
          <w:p w14:paraId="3C2A36CE" w14:textId="77777777" w:rsidR="004A2A74" w:rsidRPr="00E22444" w:rsidRDefault="004A2A74" w:rsidP="00E22444">
            <w:pPr>
              <w:pStyle w:val="NoSpacing"/>
              <w:jc w:val="center"/>
              <w:rPr>
                <w:rFonts w:ascii="Times New Roman" w:hAnsi="Times New Roman" w:cs="Times New Roman"/>
                <w:b/>
                <w:bCs/>
                <w:szCs w:val="24"/>
              </w:rPr>
            </w:pPr>
            <w:r w:rsidRPr="00E22444">
              <w:rPr>
                <w:rFonts w:ascii="Times New Roman" w:hAnsi="Times New Roman" w:cs="Times New Roman"/>
                <w:b/>
                <w:bCs/>
                <w:szCs w:val="24"/>
              </w:rPr>
              <w:t>2</w:t>
            </w:r>
          </w:p>
        </w:tc>
        <w:tc>
          <w:tcPr>
            <w:tcW w:w="0" w:type="auto"/>
            <w:vAlign w:val="center"/>
          </w:tcPr>
          <w:p w14:paraId="3A85528E" w14:textId="77777777" w:rsidR="004A2A74" w:rsidRPr="00E22444" w:rsidRDefault="004A2A74" w:rsidP="00E22444">
            <w:pPr>
              <w:pStyle w:val="NoSpacing"/>
              <w:jc w:val="center"/>
              <w:rPr>
                <w:rFonts w:ascii="Times New Roman" w:hAnsi="Times New Roman" w:cs="Times New Roman"/>
                <w:b/>
                <w:bCs/>
                <w:szCs w:val="24"/>
              </w:rPr>
            </w:pPr>
            <w:r w:rsidRPr="00E22444">
              <w:rPr>
                <w:rFonts w:ascii="Times New Roman" w:hAnsi="Times New Roman" w:cs="Times New Roman"/>
                <w:b/>
                <w:bCs/>
                <w:szCs w:val="24"/>
              </w:rPr>
              <w:t>3</w:t>
            </w:r>
          </w:p>
        </w:tc>
        <w:tc>
          <w:tcPr>
            <w:tcW w:w="0" w:type="auto"/>
            <w:vAlign w:val="center"/>
          </w:tcPr>
          <w:p w14:paraId="27BCE3A2" w14:textId="77777777" w:rsidR="004A2A74" w:rsidRPr="00E22444" w:rsidRDefault="004A2A74" w:rsidP="00E22444">
            <w:pPr>
              <w:pStyle w:val="NoSpacing"/>
              <w:jc w:val="center"/>
              <w:rPr>
                <w:rFonts w:ascii="Times New Roman" w:hAnsi="Times New Roman" w:cs="Times New Roman"/>
                <w:b/>
                <w:bCs/>
                <w:szCs w:val="24"/>
              </w:rPr>
            </w:pPr>
            <w:r w:rsidRPr="00E22444">
              <w:rPr>
                <w:rFonts w:ascii="Times New Roman" w:hAnsi="Times New Roman" w:cs="Times New Roman"/>
                <w:b/>
                <w:bCs/>
                <w:szCs w:val="24"/>
              </w:rPr>
              <w:t>4</w:t>
            </w:r>
          </w:p>
        </w:tc>
        <w:tc>
          <w:tcPr>
            <w:tcW w:w="0" w:type="auto"/>
            <w:vAlign w:val="center"/>
          </w:tcPr>
          <w:p w14:paraId="147593B9" w14:textId="77777777" w:rsidR="004A2A74" w:rsidRPr="00E22444" w:rsidRDefault="004A2A74" w:rsidP="00E22444">
            <w:pPr>
              <w:pStyle w:val="NoSpacing"/>
              <w:jc w:val="center"/>
              <w:rPr>
                <w:rFonts w:ascii="Times New Roman" w:hAnsi="Times New Roman" w:cs="Times New Roman"/>
                <w:b/>
                <w:bCs/>
                <w:szCs w:val="24"/>
              </w:rPr>
            </w:pPr>
            <w:r w:rsidRPr="00E22444">
              <w:rPr>
                <w:rFonts w:ascii="Times New Roman" w:hAnsi="Times New Roman" w:cs="Times New Roman"/>
                <w:b/>
                <w:bCs/>
                <w:szCs w:val="24"/>
              </w:rPr>
              <w:t>5</w:t>
            </w:r>
          </w:p>
        </w:tc>
        <w:tc>
          <w:tcPr>
            <w:tcW w:w="0" w:type="auto"/>
            <w:vAlign w:val="center"/>
          </w:tcPr>
          <w:p w14:paraId="7DB0D9D3" w14:textId="77777777" w:rsidR="004A2A74" w:rsidRPr="00E22444" w:rsidRDefault="004A2A74" w:rsidP="00E22444">
            <w:pPr>
              <w:pStyle w:val="NoSpacing"/>
              <w:jc w:val="center"/>
              <w:rPr>
                <w:rFonts w:ascii="Times New Roman" w:hAnsi="Times New Roman" w:cs="Times New Roman"/>
                <w:b/>
                <w:bCs/>
                <w:szCs w:val="24"/>
              </w:rPr>
            </w:pPr>
            <w:r w:rsidRPr="00E22444">
              <w:rPr>
                <w:rFonts w:ascii="Times New Roman" w:hAnsi="Times New Roman" w:cs="Times New Roman"/>
                <w:b/>
                <w:bCs/>
                <w:szCs w:val="24"/>
              </w:rPr>
              <w:t>6</w:t>
            </w:r>
          </w:p>
        </w:tc>
        <w:tc>
          <w:tcPr>
            <w:tcW w:w="0" w:type="auto"/>
            <w:vAlign w:val="center"/>
          </w:tcPr>
          <w:p w14:paraId="04A167A5" w14:textId="77777777" w:rsidR="004A2A74" w:rsidRPr="00E22444" w:rsidRDefault="004A2A74" w:rsidP="00E22444">
            <w:pPr>
              <w:pStyle w:val="NoSpacing"/>
              <w:jc w:val="center"/>
              <w:rPr>
                <w:rFonts w:ascii="Times New Roman" w:hAnsi="Times New Roman" w:cs="Times New Roman"/>
                <w:b/>
                <w:bCs/>
                <w:szCs w:val="24"/>
              </w:rPr>
            </w:pPr>
            <w:r w:rsidRPr="00E22444">
              <w:rPr>
                <w:rFonts w:ascii="Times New Roman" w:hAnsi="Times New Roman" w:cs="Times New Roman"/>
                <w:b/>
                <w:bCs/>
                <w:szCs w:val="24"/>
              </w:rPr>
              <w:t>7</w:t>
            </w:r>
          </w:p>
        </w:tc>
      </w:tr>
      <w:tr w:rsidR="009A78EE" w:rsidRPr="00E22444" w14:paraId="6BC3A510" w14:textId="77777777" w:rsidTr="00E22444">
        <w:trPr>
          <w:trHeight w:val="340"/>
        </w:trPr>
        <w:tc>
          <w:tcPr>
            <w:tcW w:w="1135" w:type="dxa"/>
            <w:vMerge w:val="restart"/>
            <w:vAlign w:val="center"/>
            <w:hideMark/>
          </w:tcPr>
          <w:p w14:paraId="2BB0C6A6" w14:textId="77777777" w:rsidR="009A78EE" w:rsidRPr="00E22444" w:rsidRDefault="009A78EE" w:rsidP="00E22444">
            <w:pPr>
              <w:pStyle w:val="NoSpacing"/>
              <w:rPr>
                <w:rFonts w:ascii="Times New Roman" w:hAnsi="Times New Roman" w:cs="Times New Roman"/>
                <w:szCs w:val="24"/>
              </w:rPr>
            </w:pPr>
            <w:r w:rsidRPr="00E22444">
              <w:rPr>
                <w:rFonts w:ascii="Times New Roman" w:hAnsi="Times New Roman" w:cs="Times New Roman"/>
                <w:szCs w:val="24"/>
              </w:rPr>
              <w:t>1965-66</w:t>
            </w:r>
          </w:p>
        </w:tc>
        <w:tc>
          <w:tcPr>
            <w:tcW w:w="1511" w:type="dxa"/>
            <w:vAlign w:val="center"/>
            <w:hideMark/>
          </w:tcPr>
          <w:p w14:paraId="37C185D4" w14:textId="77777777" w:rsidR="009A78EE" w:rsidRPr="00E22444" w:rsidRDefault="009A78EE" w:rsidP="00E22444">
            <w:pPr>
              <w:pStyle w:val="NoSpacing"/>
              <w:rPr>
                <w:rFonts w:ascii="Times New Roman" w:hAnsi="Times New Roman" w:cs="Times New Roman"/>
                <w:szCs w:val="24"/>
              </w:rPr>
            </w:pPr>
            <w:r w:rsidRPr="00E22444">
              <w:rPr>
                <w:rFonts w:ascii="Times New Roman" w:hAnsi="Times New Roman" w:cs="Times New Roman"/>
                <w:szCs w:val="24"/>
              </w:rPr>
              <w:t>Basic</w:t>
            </w:r>
          </w:p>
        </w:tc>
        <w:tc>
          <w:tcPr>
            <w:tcW w:w="0" w:type="auto"/>
            <w:vAlign w:val="center"/>
            <w:hideMark/>
          </w:tcPr>
          <w:p w14:paraId="1637E059" w14:textId="77777777" w:rsidR="009A78EE" w:rsidRPr="00E22444" w:rsidRDefault="009A78EE" w:rsidP="00E22444">
            <w:pPr>
              <w:pStyle w:val="NoSpacing"/>
              <w:jc w:val="center"/>
              <w:rPr>
                <w:rFonts w:ascii="Times New Roman" w:hAnsi="Times New Roman" w:cs="Times New Roman"/>
                <w:szCs w:val="24"/>
              </w:rPr>
            </w:pPr>
            <w:r w:rsidRPr="00E22444">
              <w:rPr>
                <w:rFonts w:ascii="Times New Roman" w:hAnsi="Times New Roman" w:cs="Times New Roman"/>
                <w:szCs w:val="24"/>
              </w:rPr>
              <w:t>53.69</w:t>
            </w:r>
          </w:p>
        </w:tc>
        <w:tc>
          <w:tcPr>
            <w:tcW w:w="0" w:type="auto"/>
            <w:vAlign w:val="center"/>
            <w:hideMark/>
          </w:tcPr>
          <w:p w14:paraId="78A670FF" w14:textId="77777777" w:rsidR="009A78EE" w:rsidRPr="00E22444" w:rsidRDefault="009A78EE" w:rsidP="00E22444">
            <w:pPr>
              <w:pStyle w:val="NoSpacing"/>
              <w:jc w:val="center"/>
              <w:rPr>
                <w:rFonts w:ascii="Times New Roman" w:hAnsi="Times New Roman" w:cs="Times New Roman"/>
                <w:szCs w:val="24"/>
              </w:rPr>
            </w:pPr>
            <w:r w:rsidRPr="00E22444">
              <w:rPr>
                <w:rFonts w:ascii="Times New Roman" w:hAnsi="Times New Roman" w:cs="Times New Roman"/>
                <w:szCs w:val="24"/>
              </w:rPr>
              <w:t>82.37</w:t>
            </w:r>
          </w:p>
        </w:tc>
        <w:tc>
          <w:tcPr>
            <w:tcW w:w="0" w:type="auto"/>
            <w:vAlign w:val="center"/>
            <w:hideMark/>
          </w:tcPr>
          <w:p w14:paraId="2449EF75" w14:textId="77777777" w:rsidR="009A78EE" w:rsidRPr="00E22444" w:rsidRDefault="009A78EE" w:rsidP="00E22444">
            <w:pPr>
              <w:pStyle w:val="NoSpacing"/>
              <w:jc w:val="center"/>
              <w:rPr>
                <w:rFonts w:ascii="Times New Roman" w:hAnsi="Times New Roman" w:cs="Times New Roman"/>
                <w:szCs w:val="24"/>
              </w:rPr>
            </w:pPr>
            <w:r w:rsidRPr="00E22444">
              <w:rPr>
                <w:rFonts w:ascii="Times New Roman" w:hAnsi="Times New Roman" w:cs="Times New Roman"/>
                <w:szCs w:val="24"/>
              </w:rPr>
              <w:t>53.20</w:t>
            </w:r>
          </w:p>
        </w:tc>
        <w:tc>
          <w:tcPr>
            <w:tcW w:w="0" w:type="auto"/>
            <w:vAlign w:val="center"/>
            <w:hideMark/>
          </w:tcPr>
          <w:p w14:paraId="4374290E" w14:textId="77777777" w:rsidR="009A78EE" w:rsidRPr="00E22444" w:rsidRDefault="009A78EE" w:rsidP="00E22444">
            <w:pPr>
              <w:pStyle w:val="NoSpacing"/>
              <w:jc w:val="center"/>
              <w:rPr>
                <w:rFonts w:ascii="Times New Roman" w:hAnsi="Times New Roman" w:cs="Times New Roman"/>
                <w:szCs w:val="24"/>
              </w:rPr>
            </w:pPr>
            <w:r w:rsidRPr="00E22444">
              <w:rPr>
                <w:rFonts w:ascii="Times New Roman" w:hAnsi="Times New Roman" w:cs="Times New Roman"/>
                <w:szCs w:val="24"/>
              </w:rPr>
              <w:t>189.26</w:t>
            </w:r>
          </w:p>
        </w:tc>
        <w:tc>
          <w:tcPr>
            <w:tcW w:w="0" w:type="auto"/>
            <w:vAlign w:val="center"/>
            <w:hideMark/>
          </w:tcPr>
          <w:p w14:paraId="5A57D7D9" w14:textId="77777777" w:rsidR="009A78EE" w:rsidRPr="00E22444" w:rsidRDefault="009A78EE" w:rsidP="00E22444">
            <w:pPr>
              <w:pStyle w:val="NoSpacing"/>
              <w:jc w:val="center"/>
              <w:rPr>
                <w:rFonts w:ascii="Times New Roman" w:hAnsi="Times New Roman" w:cs="Times New Roman"/>
                <w:szCs w:val="24"/>
              </w:rPr>
            </w:pPr>
            <w:r w:rsidRPr="00E22444">
              <w:rPr>
                <w:rFonts w:ascii="Times New Roman" w:hAnsi="Times New Roman" w:cs="Times New Roman"/>
                <w:szCs w:val="24"/>
              </w:rPr>
              <w:t>603.37</w:t>
            </w:r>
          </w:p>
        </w:tc>
        <w:tc>
          <w:tcPr>
            <w:tcW w:w="0" w:type="auto"/>
            <w:vAlign w:val="center"/>
            <w:hideMark/>
          </w:tcPr>
          <w:p w14:paraId="770090E5" w14:textId="77777777" w:rsidR="009A78EE" w:rsidRPr="00E22444" w:rsidRDefault="009A78EE" w:rsidP="00E22444">
            <w:pPr>
              <w:pStyle w:val="NoSpacing"/>
              <w:jc w:val="center"/>
              <w:rPr>
                <w:rFonts w:ascii="Times New Roman" w:hAnsi="Times New Roman" w:cs="Times New Roman"/>
                <w:szCs w:val="24"/>
              </w:rPr>
            </w:pPr>
            <w:r w:rsidRPr="00E22444">
              <w:rPr>
                <w:rFonts w:ascii="Times New Roman" w:hAnsi="Times New Roman" w:cs="Times New Roman"/>
                <w:szCs w:val="24"/>
              </w:rPr>
              <w:t>792.63</w:t>
            </w:r>
          </w:p>
        </w:tc>
      </w:tr>
      <w:tr w:rsidR="009A78EE" w:rsidRPr="00E22444" w14:paraId="18236383" w14:textId="77777777" w:rsidTr="00E22444">
        <w:trPr>
          <w:trHeight w:val="340"/>
        </w:trPr>
        <w:tc>
          <w:tcPr>
            <w:tcW w:w="1135" w:type="dxa"/>
            <w:vMerge/>
            <w:vAlign w:val="center"/>
            <w:hideMark/>
          </w:tcPr>
          <w:p w14:paraId="4BA04B07" w14:textId="77777777" w:rsidR="009A78EE" w:rsidRPr="00E22444" w:rsidRDefault="009A78EE" w:rsidP="00E22444">
            <w:pPr>
              <w:pStyle w:val="NoSpacing"/>
              <w:rPr>
                <w:rFonts w:ascii="Times New Roman" w:hAnsi="Times New Roman" w:cs="Times New Roman"/>
                <w:szCs w:val="24"/>
              </w:rPr>
            </w:pPr>
          </w:p>
        </w:tc>
        <w:tc>
          <w:tcPr>
            <w:tcW w:w="1511" w:type="dxa"/>
            <w:vAlign w:val="center"/>
            <w:hideMark/>
          </w:tcPr>
          <w:p w14:paraId="5F6B1AE4" w14:textId="77777777" w:rsidR="009A78EE" w:rsidRPr="00E22444" w:rsidRDefault="009A78EE" w:rsidP="00E22444">
            <w:pPr>
              <w:pStyle w:val="NoSpacing"/>
              <w:rPr>
                <w:rFonts w:ascii="Times New Roman" w:hAnsi="Times New Roman" w:cs="Times New Roman"/>
                <w:szCs w:val="24"/>
              </w:rPr>
            </w:pPr>
            <w:r w:rsidRPr="00E22444">
              <w:rPr>
                <w:rFonts w:ascii="Times New Roman" w:hAnsi="Times New Roman" w:cs="Times New Roman"/>
                <w:szCs w:val="24"/>
              </w:rPr>
              <w:t>Special</w:t>
            </w:r>
          </w:p>
        </w:tc>
        <w:tc>
          <w:tcPr>
            <w:tcW w:w="0" w:type="auto"/>
            <w:vAlign w:val="center"/>
            <w:hideMark/>
          </w:tcPr>
          <w:p w14:paraId="2AF38461" w14:textId="77777777" w:rsidR="009A78EE" w:rsidRPr="00E22444" w:rsidRDefault="009A78EE" w:rsidP="00E22444">
            <w:pPr>
              <w:pStyle w:val="NoSpacing"/>
              <w:jc w:val="center"/>
              <w:rPr>
                <w:rFonts w:ascii="Times New Roman" w:hAnsi="Times New Roman" w:cs="Times New Roman"/>
                <w:szCs w:val="24"/>
              </w:rPr>
            </w:pPr>
            <w:r w:rsidRPr="00E22444">
              <w:rPr>
                <w:rFonts w:ascii="Times New Roman" w:hAnsi="Times New Roman" w:cs="Times New Roman"/>
                <w:szCs w:val="24"/>
              </w:rPr>
              <w:t>..</w:t>
            </w:r>
          </w:p>
        </w:tc>
        <w:tc>
          <w:tcPr>
            <w:tcW w:w="0" w:type="auto"/>
            <w:vAlign w:val="center"/>
            <w:hideMark/>
          </w:tcPr>
          <w:p w14:paraId="5B2A5820" w14:textId="77777777" w:rsidR="009A78EE" w:rsidRPr="00E22444" w:rsidRDefault="009A78EE" w:rsidP="00E22444">
            <w:pPr>
              <w:pStyle w:val="NoSpacing"/>
              <w:jc w:val="center"/>
              <w:rPr>
                <w:rFonts w:ascii="Times New Roman" w:hAnsi="Times New Roman" w:cs="Times New Roman"/>
                <w:szCs w:val="24"/>
              </w:rPr>
            </w:pPr>
            <w:r w:rsidRPr="00E22444">
              <w:rPr>
                <w:rFonts w:ascii="Times New Roman" w:hAnsi="Times New Roman" w:cs="Times New Roman"/>
                <w:szCs w:val="24"/>
              </w:rPr>
              <w:t>16.51</w:t>
            </w:r>
          </w:p>
        </w:tc>
        <w:tc>
          <w:tcPr>
            <w:tcW w:w="0" w:type="auto"/>
            <w:vAlign w:val="center"/>
            <w:hideMark/>
          </w:tcPr>
          <w:p w14:paraId="0283AA22" w14:textId="77777777" w:rsidR="009A78EE" w:rsidRPr="00E22444" w:rsidRDefault="009A78EE" w:rsidP="00E22444">
            <w:pPr>
              <w:pStyle w:val="NoSpacing"/>
              <w:jc w:val="center"/>
              <w:rPr>
                <w:rFonts w:ascii="Times New Roman" w:hAnsi="Times New Roman" w:cs="Times New Roman"/>
                <w:szCs w:val="24"/>
              </w:rPr>
            </w:pPr>
            <w:r w:rsidRPr="00E22444">
              <w:rPr>
                <w:rFonts w:ascii="Times New Roman" w:hAnsi="Times New Roman" w:cs="Times New Roman"/>
                <w:szCs w:val="24"/>
              </w:rPr>
              <w:t>0.43</w:t>
            </w:r>
          </w:p>
        </w:tc>
        <w:tc>
          <w:tcPr>
            <w:tcW w:w="0" w:type="auto"/>
            <w:vAlign w:val="center"/>
            <w:hideMark/>
          </w:tcPr>
          <w:p w14:paraId="10227A0D" w14:textId="77777777" w:rsidR="009A78EE" w:rsidRPr="00E22444" w:rsidRDefault="009A78EE" w:rsidP="00E22444">
            <w:pPr>
              <w:pStyle w:val="NoSpacing"/>
              <w:jc w:val="center"/>
              <w:rPr>
                <w:rFonts w:ascii="Times New Roman" w:hAnsi="Times New Roman" w:cs="Times New Roman"/>
                <w:szCs w:val="24"/>
              </w:rPr>
            </w:pPr>
            <w:r w:rsidRPr="00E22444">
              <w:rPr>
                <w:rFonts w:ascii="Times New Roman" w:hAnsi="Times New Roman" w:cs="Times New Roman"/>
                <w:szCs w:val="24"/>
              </w:rPr>
              <w:t>16.94</w:t>
            </w:r>
          </w:p>
        </w:tc>
        <w:tc>
          <w:tcPr>
            <w:tcW w:w="0" w:type="auto"/>
            <w:vAlign w:val="center"/>
            <w:hideMark/>
          </w:tcPr>
          <w:p w14:paraId="15B0F1D6" w14:textId="77777777" w:rsidR="009A78EE" w:rsidRPr="00E22444" w:rsidRDefault="009A78EE" w:rsidP="00E22444">
            <w:pPr>
              <w:pStyle w:val="NoSpacing"/>
              <w:jc w:val="center"/>
              <w:rPr>
                <w:rFonts w:ascii="Times New Roman" w:hAnsi="Times New Roman" w:cs="Times New Roman"/>
                <w:szCs w:val="24"/>
              </w:rPr>
            </w:pPr>
            <w:r w:rsidRPr="00E22444">
              <w:rPr>
                <w:rFonts w:ascii="Times New Roman" w:hAnsi="Times New Roman" w:cs="Times New Roman"/>
                <w:szCs w:val="24"/>
              </w:rPr>
              <w:t>41.20</w:t>
            </w:r>
          </w:p>
        </w:tc>
        <w:tc>
          <w:tcPr>
            <w:tcW w:w="0" w:type="auto"/>
            <w:vAlign w:val="center"/>
            <w:hideMark/>
          </w:tcPr>
          <w:p w14:paraId="403A5032" w14:textId="77777777" w:rsidR="009A78EE" w:rsidRPr="00E22444" w:rsidRDefault="009A78EE" w:rsidP="00E22444">
            <w:pPr>
              <w:pStyle w:val="NoSpacing"/>
              <w:jc w:val="center"/>
              <w:rPr>
                <w:rFonts w:ascii="Times New Roman" w:hAnsi="Times New Roman" w:cs="Times New Roman"/>
                <w:szCs w:val="24"/>
              </w:rPr>
            </w:pPr>
            <w:r w:rsidRPr="00E22444">
              <w:rPr>
                <w:rFonts w:ascii="Times New Roman" w:hAnsi="Times New Roman" w:cs="Times New Roman"/>
                <w:szCs w:val="24"/>
              </w:rPr>
              <w:t>58.14</w:t>
            </w:r>
          </w:p>
        </w:tc>
      </w:tr>
      <w:tr w:rsidR="009A78EE" w:rsidRPr="00E22444" w14:paraId="4E10A002" w14:textId="77777777" w:rsidTr="00E22444">
        <w:trPr>
          <w:trHeight w:val="340"/>
        </w:trPr>
        <w:tc>
          <w:tcPr>
            <w:tcW w:w="1135" w:type="dxa"/>
            <w:vMerge/>
            <w:vAlign w:val="center"/>
            <w:hideMark/>
          </w:tcPr>
          <w:p w14:paraId="20AD47CC" w14:textId="77777777" w:rsidR="009A78EE" w:rsidRPr="00E22444" w:rsidRDefault="009A78EE" w:rsidP="00E22444">
            <w:pPr>
              <w:pStyle w:val="NoSpacing"/>
              <w:rPr>
                <w:rFonts w:ascii="Times New Roman" w:hAnsi="Times New Roman" w:cs="Times New Roman"/>
                <w:szCs w:val="24"/>
              </w:rPr>
            </w:pPr>
          </w:p>
        </w:tc>
        <w:tc>
          <w:tcPr>
            <w:tcW w:w="1511" w:type="dxa"/>
            <w:vAlign w:val="center"/>
            <w:hideMark/>
          </w:tcPr>
          <w:p w14:paraId="32A82138" w14:textId="77777777" w:rsidR="009A78EE" w:rsidRPr="00E22444" w:rsidRDefault="009A78EE" w:rsidP="00E22444">
            <w:pPr>
              <w:pStyle w:val="NoSpacing"/>
              <w:rPr>
                <w:rFonts w:ascii="Times New Roman" w:hAnsi="Times New Roman" w:cs="Times New Roman"/>
                <w:szCs w:val="24"/>
              </w:rPr>
            </w:pPr>
            <w:r w:rsidRPr="00E22444">
              <w:rPr>
                <w:rFonts w:ascii="Times New Roman" w:hAnsi="Times New Roman" w:cs="Times New Roman"/>
                <w:szCs w:val="24"/>
              </w:rPr>
              <w:t>Additional</w:t>
            </w:r>
          </w:p>
        </w:tc>
        <w:tc>
          <w:tcPr>
            <w:tcW w:w="0" w:type="auto"/>
            <w:vAlign w:val="center"/>
            <w:hideMark/>
          </w:tcPr>
          <w:p w14:paraId="770F3F73" w14:textId="77777777" w:rsidR="009A78EE" w:rsidRPr="00E22444" w:rsidRDefault="009A78EE" w:rsidP="00E22444">
            <w:pPr>
              <w:pStyle w:val="NoSpacing"/>
              <w:jc w:val="center"/>
              <w:rPr>
                <w:rFonts w:ascii="Times New Roman" w:hAnsi="Times New Roman" w:cs="Times New Roman"/>
                <w:szCs w:val="24"/>
              </w:rPr>
            </w:pPr>
            <w:r w:rsidRPr="00E22444">
              <w:rPr>
                <w:rFonts w:ascii="Times New Roman" w:hAnsi="Times New Roman" w:cs="Times New Roman"/>
                <w:szCs w:val="24"/>
              </w:rPr>
              <w:t>16.38</w:t>
            </w:r>
          </w:p>
        </w:tc>
        <w:tc>
          <w:tcPr>
            <w:tcW w:w="0" w:type="auto"/>
            <w:vAlign w:val="center"/>
            <w:hideMark/>
          </w:tcPr>
          <w:p w14:paraId="1F022460" w14:textId="77777777" w:rsidR="009A78EE" w:rsidRPr="00E22444" w:rsidRDefault="009A78EE" w:rsidP="00E22444">
            <w:pPr>
              <w:pStyle w:val="NoSpacing"/>
              <w:jc w:val="center"/>
              <w:rPr>
                <w:rFonts w:ascii="Times New Roman" w:hAnsi="Times New Roman" w:cs="Times New Roman"/>
                <w:szCs w:val="24"/>
              </w:rPr>
            </w:pPr>
            <w:r w:rsidRPr="00E22444">
              <w:rPr>
                <w:rFonts w:ascii="Times New Roman" w:hAnsi="Times New Roman" w:cs="Times New Roman"/>
                <w:szCs w:val="24"/>
              </w:rPr>
              <w:t>10.25</w:t>
            </w:r>
          </w:p>
        </w:tc>
        <w:tc>
          <w:tcPr>
            <w:tcW w:w="0" w:type="auto"/>
            <w:vAlign w:val="center"/>
            <w:hideMark/>
          </w:tcPr>
          <w:p w14:paraId="303A4B9F" w14:textId="77777777" w:rsidR="009A78EE" w:rsidRPr="00E22444" w:rsidRDefault="009A78EE" w:rsidP="00E22444">
            <w:pPr>
              <w:pStyle w:val="NoSpacing"/>
              <w:jc w:val="center"/>
              <w:rPr>
                <w:rFonts w:ascii="Times New Roman" w:hAnsi="Times New Roman" w:cs="Times New Roman"/>
                <w:szCs w:val="24"/>
              </w:rPr>
            </w:pPr>
            <w:r w:rsidRPr="00E22444">
              <w:rPr>
                <w:rFonts w:ascii="Times New Roman" w:hAnsi="Times New Roman" w:cs="Times New Roman"/>
                <w:szCs w:val="24"/>
              </w:rPr>
              <w:t>20.52</w:t>
            </w:r>
          </w:p>
        </w:tc>
        <w:tc>
          <w:tcPr>
            <w:tcW w:w="0" w:type="auto"/>
            <w:vAlign w:val="center"/>
            <w:hideMark/>
          </w:tcPr>
          <w:p w14:paraId="4773D6F2" w14:textId="77777777" w:rsidR="009A78EE" w:rsidRPr="00E22444" w:rsidRDefault="009A78EE" w:rsidP="00E22444">
            <w:pPr>
              <w:pStyle w:val="NoSpacing"/>
              <w:jc w:val="center"/>
              <w:rPr>
                <w:rFonts w:ascii="Times New Roman" w:hAnsi="Times New Roman" w:cs="Times New Roman"/>
                <w:szCs w:val="24"/>
              </w:rPr>
            </w:pPr>
            <w:r w:rsidRPr="00E22444">
              <w:rPr>
                <w:rFonts w:ascii="Times New Roman" w:hAnsi="Times New Roman" w:cs="Times New Roman"/>
                <w:szCs w:val="24"/>
              </w:rPr>
              <w:t>47.15</w:t>
            </w:r>
          </w:p>
        </w:tc>
        <w:tc>
          <w:tcPr>
            <w:tcW w:w="0" w:type="auto"/>
            <w:vAlign w:val="center"/>
            <w:hideMark/>
          </w:tcPr>
          <w:p w14:paraId="4209E6FE" w14:textId="77777777" w:rsidR="009A78EE" w:rsidRPr="00E22444" w:rsidRDefault="009A78EE" w:rsidP="00E22444">
            <w:pPr>
              <w:pStyle w:val="NoSpacing"/>
              <w:jc w:val="center"/>
              <w:rPr>
                <w:rFonts w:ascii="Times New Roman" w:hAnsi="Times New Roman" w:cs="Times New Roman"/>
                <w:szCs w:val="24"/>
              </w:rPr>
            </w:pPr>
            <w:r w:rsidRPr="00E22444">
              <w:rPr>
                <w:rFonts w:ascii="Times New Roman" w:hAnsi="Times New Roman" w:cs="Times New Roman"/>
                <w:szCs w:val="24"/>
              </w:rPr>
              <w:t>..</w:t>
            </w:r>
          </w:p>
        </w:tc>
        <w:tc>
          <w:tcPr>
            <w:tcW w:w="0" w:type="auto"/>
            <w:vAlign w:val="center"/>
            <w:hideMark/>
          </w:tcPr>
          <w:p w14:paraId="10EF7964" w14:textId="77777777" w:rsidR="009A78EE" w:rsidRPr="00E22444" w:rsidRDefault="009A78EE" w:rsidP="00E22444">
            <w:pPr>
              <w:pStyle w:val="NoSpacing"/>
              <w:jc w:val="center"/>
              <w:rPr>
                <w:rFonts w:ascii="Times New Roman" w:hAnsi="Times New Roman" w:cs="Times New Roman"/>
                <w:szCs w:val="24"/>
              </w:rPr>
            </w:pPr>
            <w:r w:rsidRPr="00E22444">
              <w:rPr>
                <w:rFonts w:ascii="Times New Roman" w:hAnsi="Times New Roman" w:cs="Times New Roman"/>
                <w:szCs w:val="24"/>
              </w:rPr>
              <w:t>47.15</w:t>
            </w:r>
          </w:p>
        </w:tc>
      </w:tr>
      <w:tr w:rsidR="009A78EE" w:rsidRPr="00E22444" w14:paraId="43073749" w14:textId="77777777" w:rsidTr="00E22444">
        <w:trPr>
          <w:trHeight w:val="340"/>
        </w:trPr>
        <w:tc>
          <w:tcPr>
            <w:tcW w:w="1135" w:type="dxa"/>
            <w:vMerge/>
            <w:vAlign w:val="center"/>
            <w:hideMark/>
          </w:tcPr>
          <w:p w14:paraId="6ED74CC8" w14:textId="77777777" w:rsidR="009A78EE" w:rsidRPr="00E22444" w:rsidRDefault="009A78EE" w:rsidP="00E22444">
            <w:pPr>
              <w:pStyle w:val="NoSpacing"/>
              <w:rPr>
                <w:rFonts w:ascii="Times New Roman" w:hAnsi="Times New Roman" w:cs="Times New Roman"/>
                <w:szCs w:val="24"/>
              </w:rPr>
            </w:pPr>
          </w:p>
        </w:tc>
        <w:tc>
          <w:tcPr>
            <w:tcW w:w="1511" w:type="dxa"/>
            <w:vAlign w:val="center"/>
            <w:hideMark/>
          </w:tcPr>
          <w:p w14:paraId="54A98F9D" w14:textId="77777777" w:rsidR="009A78EE" w:rsidRPr="00E22444" w:rsidRDefault="009A78EE" w:rsidP="00E22444">
            <w:pPr>
              <w:pStyle w:val="NoSpacing"/>
              <w:rPr>
                <w:rFonts w:ascii="Times New Roman" w:hAnsi="Times New Roman" w:cs="Times New Roman"/>
                <w:szCs w:val="24"/>
              </w:rPr>
            </w:pPr>
            <w:r w:rsidRPr="00E22444">
              <w:rPr>
                <w:rFonts w:ascii="Times New Roman" w:hAnsi="Times New Roman" w:cs="Times New Roman"/>
                <w:szCs w:val="24"/>
              </w:rPr>
              <w:t>TOTAL</w:t>
            </w:r>
          </w:p>
        </w:tc>
        <w:tc>
          <w:tcPr>
            <w:tcW w:w="0" w:type="auto"/>
            <w:vAlign w:val="center"/>
            <w:hideMark/>
          </w:tcPr>
          <w:p w14:paraId="07F756BA" w14:textId="77777777" w:rsidR="009A78EE" w:rsidRPr="00E22444" w:rsidRDefault="009A78EE" w:rsidP="00E22444">
            <w:pPr>
              <w:pStyle w:val="NoSpacing"/>
              <w:jc w:val="center"/>
              <w:rPr>
                <w:rFonts w:ascii="Times New Roman" w:hAnsi="Times New Roman" w:cs="Times New Roman"/>
                <w:szCs w:val="24"/>
              </w:rPr>
            </w:pPr>
            <w:r w:rsidRPr="00E22444">
              <w:rPr>
                <w:rFonts w:ascii="Times New Roman" w:hAnsi="Times New Roman" w:cs="Times New Roman"/>
                <w:szCs w:val="24"/>
              </w:rPr>
              <w:t>70.07</w:t>
            </w:r>
          </w:p>
        </w:tc>
        <w:tc>
          <w:tcPr>
            <w:tcW w:w="0" w:type="auto"/>
            <w:vAlign w:val="center"/>
            <w:hideMark/>
          </w:tcPr>
          <w:p w14:paraId="36C6C522" w14:textId="77777777" w:rsidR="009A78EE" w:rsidRPr="00E22444" w:rsidRDefault="009A78EE" w:rsidP="00E22444">
            <w:pPr>
              <w:pStyle w:val="NoSpacing"/>
              <w:jc w:val="center"/>
              <w:rPr>
                <w:rFonts w:ascii="Times New Roman" w:hAnsi="Times New Roman" w:cs="Times New Roman"/>
                <w:szCs w:val="24"/>
              </w:rPr>
            </w:pPr>
            <w:r w:rsidRPr="00E22444">
              <w:rPr>
                <w:rFonts w:ascii="Times New Roman" w:hAnsi="Times New Roman" w:cs="Times New Roman"/>
                <w:szCs w:val="24"/>
              </w:rPr>
              <w:t>109.13</w:t>
            </w:r>
          </w:p>
        </w:tc>
        <w:tc>
          <w:tcPr>
            <w:tcW w:w="0" w:type="auto"/>
            <w:vAlign w:val="center"/>
            <w:hideMark/>
          </w:tcPr>
          <w:p w14:paraId="02857F99" w14:textId="77777777" w:rsidR="009A78EE" w:rsidRPr="00E22444" w:rsidRDefault="009A78EE" w:rsidP="00E22444">
            <w:pPr>
              <w:pStyle w:val="NoSpacing"/>
              <w:jc w:val="center"/>
              <w:rPr>
                <w:rFonts w:ascii="Times New Roman" w:hAnsi="Times New Roman" w:cs="Times New Roman"/>
                <w:szCs w:val="24"/>
              </w:rPr>
            </w:pPr>
            <w:r w:rsidRPr="00E22444">
              <w:rPr>
                <w:rFonts w:ascii="Times New Roman" w:hAnsi="Times New Roman" w:cs="Times New Roman"/>
                <w:szCs w:val="24"/>
              </w:rPr>
              <w:t>74.15</w:t>
            </w:r>
          </w:p>
        </w:tc>
        <w:tc>
          <w:tcPr>
            <w:tcW w:w="0" w:type="auto"/>
            <w:vAlign w:val="center"/>
            <w:hideMark/>
          </w:tcPr>
          <w:p w14:paraId="567CC6AE" w14:textId="77777777" w:rsidR="009A78EE" w:rsidRPr="00E22444" w:rsidRDefault="009A78EE" w:rsidP="00E22444">
            <w:pPr>
              <w:pStyle w:val="NoSpacing"/>
              <w:jc w:val="center"/>
              <w:rPr>
                <w:rFonts w:ascii="Times New Roman" w:hAnsi="Times New Roman" w:cs="Times New Roman"/>
                <w:szCs w:val="24"/>
              </w:rPr>
            </w:pPr>
            <w:r w:rsidRPr="00E22444">
              <w:rPr>
                <w:rFonts w:ascii="Times New Roman" w:hAnsi="Times New Roman" w:cs="Times New Roman"/>
                <w:szCs w:val="24"/>
              </w:rPr>
              <w:t>253.35</w:t>
            </w:r>
          </w:p>
        </w:tc>
        <w:tc>
          <w:tcPr>
            <w:tcW w:w="0" w:type="auto"/>
            <w:vAlign w:val="center"/>
            <w:hideMark/>
          </w:tcPr>
          <w:p w14:paraId="0BDEE09A" w14:textId="77777777" w:rsidR="009A78EE" w:rsidRPr="00E22444" w:rsidRDefault="009A78EE" w:rsidP="00E22444">
            <w:pPr>
              <w:pStyle w:val="NoSpacing"/>
              <w:jc w:val="center"/>
              <w:rPr>
                <w:rFonts w:ascii="Times New Roman" w:hAnsi="Times New Roman" w:cs="Times New Roman"/>
                <w:szCs w:val="24"/>
              </w:rPr>
            </w:pPr>
            <w:r w:rsidRPr="00E22444">
              <w:rPr>
                <w:rFonts w:ascii="Times New Roman" w:hAnsi="Times New Roman" w:cs="Times New Roman"/>
                <w:szCs w:val="24"/>
              </w:rPr>
              <w:t>644.57</w:t>
            </w:r>
          </w:p>
        </w:tc>
        <w:tc>
          <w:tcPr>
            <w:tcW w:w="0" w:type="auto"/>
            <w:vAlign w:val="center"/>
            <w:hideMark/>
          </w:tcPr>
          <w:p w14:paraId="005B20D5" w14:textId="77777777" w:rsidR="009A78EE" w:rsidRPr="00E22444" w:rsidRDefault="009A78EE" w:rsidP="00E22444">
            <w:pPr>
              <w:pStyle w:val="NoSpacing"/>
              <w:jc w:val="center"/>
              <w:rPr>
                <w:rFonts w:ascii="Times New Roman" w:hAnsi="Times New Roman" w:cs="Times New Roman"/>
                <w:szCs w:val="24"/>
              </w:rPr>
            </w:pPr>
            <w:r w:rsidRPr="00E22444">
              <w:rPr>
                <w:rFonts w:ascii="Times New Roman" w:hAnsi="Times New Roman" w:cs="Times New Roman"/>
                <w:szCs w:val="24"/>
              </w:rPr>
              <w:t>897.92</w:t>
            </w:r>
          </w:p>
        </w:tc>
      </w:tr>
      <w:tr w:rsidR="004A2A74" w:rsidRPr="00E22444" w14:paraId="2D59BFA1" w14:textId="77777777" w:rsidTr="00E22444">
        <w:trPr>
          <w:trHeight w:val="340"/>
        </w:trPr>
        <w:tc>
          <w:tcPr>
            <w:tcW w:w="1135" w:type="dxa"/>
            <w:vAlign w:val="center"/>
            <w:hideMark/>
          </w:tcPr>
          <w:p w14:paraId="06E0D64C" w14:textId="77777777" w:rsidR="004A2A74" w:rsidRPr="00E22444" w:rsidRDefault="004A2A74" w:rsidP="00E22444">
            <w:pPr>
              <w:pStyle w:val="NoSpacing"/>
              <w:rPr>
                <w:rFonts w:ascii="Times New Roman" w:hAnsi="Times New Roman" w:cs="Times New Roman"/>
                <w:szCs w:val="24"/>
              </w:rPr>
            </w:pPr>
          </w:p>
        </w:tc>
        <w:tc>
          <w:tcPr>
            <w:tcW w:w="1511" w:type="dxa"/>
            <w:vAlign w:val="center"/>
            <w:hideMark/>
          </w:tcPr>
          <w:p w14:paraId="7A89DD40" w14:textId="77777777" w:rsidR="004A2A74" w:rsidRPr="00E22444" w:rsidRDefault="004A2A74" w:rsidP="00E22444">
            <w:pPr>
              <w:pStyle w:val="NoSpacing"/>
              <w:rPr>
                <w:rFonts w:ascii="Times New Roman" w:hAnsi="Times New Roman" w:cs="Times New Roman"/>
                <w:szCs w:val="24"/>
              </w:rPr>
            </w:pPr>
          </w:p>
        </w:tc>
        <w:tc>
          <w:tcPr>
            <w:tcW w:w="0" w:type="auto"/>
            <w:vAlign w:val="center"/>
            <w:hideMark/>
          </w:tcPr>
          <w:p w14:paraId="15F9D092" w14:textId="77777777" w:rsidR="004A2A74" w:rsidRPr="00E22444" w:rsidRDefault="004A2A74" w:rsidP="00E22444">
            <w:pPr>
              <w:pStyle w:val="NoSpacing"/>
              <w:jc w:val="center"/>
              <w:rPr>
                <w:rFonts w:ascii="Times New Roman" w:hAnsi="Times New Roman" w:cs="Times New Roman"/>
                <w:szCs w:val="24"/>
              </w:rPr>
            </w:pPr>
          </w:p>
        </w:tc>
        <w:tc>
          <w:tcPr>
            <w:tcW w:w="0" w:type="auto"/>
            <w:vAlign w:val="center"/>
            <w:hideMark/>
          </w:tcPr>
          <w:p w14:paraId="2BC32F4E" w14:textId="77777777" w:rsidR="004A2A74" w:rsidRPr="00E22444" w:rsidRDefault="004A2A74" w:rsidP="00E22444">
            <w:pPr>
              <w:pStyle w:val="NoSpacing"/>
              <w:jc w:val="center"/>
              <w:rPr>
                <w:rFonts w:ascii="Times New Roman" w:hAnsi="Times New Roman" w:cs="Times New Roman"/>
                <w:szCs w:val="24"/>
              </w:rPr>
            </w:pPr>
          </w:p>
        </w:tc>
        <w:tc>
          <w:tcPr>
            <w:tcW w:w="0" w:type="auto"/>
            <w:vAlign w:val="center"/>
            <w:hideMark/>
          </w:tcPr>
          <w:p w14:paraId="79FA9B00" w14:textId="77777777" w:rsidR="004A2A74" w:rsidRPr="00E22444" w:rsidRDefault="004A2A74" w:rsidP="00E22444">
            <w:pPr>
              <w:pStyle w:val="NoSpacing"/>
              <w:jc w:val="center"/>
              <w:rPr>
                <w:rFonts w:ascii="Times New Roman" w:hAnsi="Times New Roman" w:cs="Times New Roman"/>
                <w:szCs w:val="24"/>
              </w:rPr>
            </w:pPr>
          </w:p>
        </w:tc>
        <w:tc>
          <w:tcPr>
            <w:tcW w:w="0" w:type="auto"/>
            <w:vAlign w:val="center"/>
            <w:hideMark/>
          </w:tcPr>
          <w:p w14:paraId="1E193CC6" w14:textId="77777777" w:rsidR="004A2A74" w:rsidRPr="00E22444" w:rsidRDefault="004A2A74" w:rsidP="00E22444">
            <w:pPr>
              <w:pStyle w:val="NoSpacing"/>
              <w:jc w:val="center"/>
              <w:rPr>
                <w:rFonts w:ascii="Times New Roman" w:hAnsi="Times New Roman" w:cs="Times New Roman"/>
                <w:szCs w:val="24"/>
              </w:rPr>
            </w:pPr>
          </w:p>
        </w:tc>
        <w:tc>
          <w:tcPr>
            <w:tcW w:w="0" w:type="auto"/>
            <w:vAlign w:val="center"/>
            <w:hideMark/>
          </w:tcPr>
          <w:p w14:paraId="493D2F74" w14:textId="77777777" w:rsidR="004A2A74" w:rsidRPr="00E22444" w:rsidRDefault="004A2A74" w:rsidP="00E22444">
            <w:pPr>
              <w:pStyle w:val="NoSpacing"/>
              <w:jc w:val="center"/>
              <w:rPr>
                <w:rFonts w:ascii="Times New Roman" w:hAnsi="Times New Roman" w:cs="Times New Roman"/>
                <w:szCs w:val="24"/>
              </w:rPr>
            </w:pPr>
          </w:p>
        </w:tc>
        <w:tc>
          <w:tcPr>
            <w:tcW w:w="0" w:type="auto"/>
            <w:vAlign w:val="center"/>
            <w:hideMark/>
          </w:tcPr>
          <w:p w14:paraId="4B523F78" w14:textId="77777777" w:rsidR="004A2A74" w:rsidRPr="00E22444" w:rsidRDefault="004A2A74" w:rsidP="00E22444">
            <w:pPr>
              <w:pStyle w:val="NoSpacing"/>
              <w:jc w:val="center"/>
              <w:rPr>
                <w:rFonts w:ascii="Times New Roman" w:hAnsi="Times New Roman" w:cs="Times New Roman"/>
                <w:szCs w:val="24"/>
              </w:rPr>
            </w:pPr>
          </w:p>
        </w:tc>
      </w:tr>
      <w:tr w:rsidR="009A78EE" w:rsidRPr="00E22444" w14:paraId="702A4246" w14:textId="77777777" w:rsidTr="00E22444">
        <w:trPr>
          <w:trHeight w:val="340"/>
        </w:trPr>
        <w:tc>
          <w:tcPr>
            <w:tcW w:w="1135" w:type="dxa"/>
            <w:vMerge w:val="restart"/>
            <w:vAlign w:val="center"/>
            <w:hideMark/>
          </w:tcPr>
          <w:p w14:paraId="67193F94" w14:textId="77777777" w:rsidR="009A78EE" w:rsidRPr="00E22444" w:rsidRDefault="009A78EE" w:rsidP="00E22444">
            <w:pPr>
              <w:pStyle w:val="NoSpacing"/>
              <w:rPr>
                <w:rFonts w:ascii="Times New Roman" w:hAnsi="Times New Roman" w:cs="Times New Roman"/>
                <w:szCs w:val="24"/>
              </w:rPr>
            </w:pPr>
            <w:r w:rsidRPr="00E22444">
              <w:rPr>
                <w:rFonts w:ascii="Times New Roman" w:hAnsi="Times New Roman" w:cs="Times New Roman"/>
                <w:szCs w:val="24"/>
              </w:rPr>
              <w:t>1966-67</w:t>
            </w:r>
          </w:p>
        </w:tc>
        <w:tc>
          <w:tcPr>
            <w:tcW w:w="1511" w:type="dxa"/>
            <w:vAlign w:val="center"/>
            <w:hideMark/>
          </w:tcPr>
          <w:p w14:paraId="4EA90487" w14:textId="77777777" w:rsidR="009A78EE" w:rsidRPr="00E22444" w:rsidRDefault="009A78EE" w:rsidP="00E22444">
            <w:pPr>
              <w:pStyle w:val="NoSpacing"/>
              <w:rPr>
                <w:rFonts w:ascii="Times New Roman" w:hAnsi="Times New Roman" w:cs="Times New Roman"/>
                <w:szCs w:val="24"/>
              </w:rPr>
            </w:pPr>
            <w:r w:rsidRPr="00E22444">
              <w:rPr>
                <w:rFonts w:ascii="Times New Roman" w:hAnsi="Times New Roman" w:cs="Times New Roman"/>
                <w:szCs w:val="24"/>
              </w:rPr>
              <w:t>Basic</w:t>
            </w:r>
          </w:p>
        </w:tc>
        <w:tc>
          <w:tcPr>
            <w:tcW w:w="0" w:type="auto"/>
            <w:vAlign w:val="center"/>
            <w:hideMark/>
          </w:tcPr>
          <w:p w14:paraId="451FA13C" w14:textId="77777777" w:rsidR="009A78EE" w:rsidRPr="00E22444" w:rsidRDefault="009A78EE" w:rsidP="00E22444">
            <w:pPr>
              <w:pStyle w:val="NoSpacing"/>
              <w:jc w:val="center"/>
              <w:rPr>
                <w:rFonts w:ascii="Times New Roman" w:hAnsi="Times New Roman" w:cs="Times New Roman"/>
                <w:szCs w:val="24"/>
              </w:rPr>
            </w:pPr>
            <w:r w:rsidRPr="00E22444">
              <w:rPr>
                <w:rFonts w:ascii="Times New Roman" w:hAnsi="Times New Roman" w:cs="Times New Roman"/>
                <w:szCs w:val="24"/>
              </w:rPr>
              <w:t>89.78</w:t>
            </w:r>
          </w:p>
        </w:tc>
        <w:tc>
          <w:tcPr>
            <w:tcW w:w="0" w:type="auto"/>
            <w:vAlign w:val="center"/>
            <w:hideMark/>
          </w:tcPr>
          <w:p w14:paraId="69794DBE" w14:textId="77777777" w:rsidR="009A78EE" w:rsidRPr="00E22444" w:rsidRDefault="009A78EE" w:rsidP="00E22444">
            <w:pPr>
              <w:pStyle w:val="NoSpacing"/>
              <w:jc w:val="center"/>
              <w:rPr>
                <w:rFonts w:ascii="Times New Roman" w:hAnsi="Times New Roman" w:cs="Times New Roman"/>
                <w:szCs w:val="24"/>
              </w:rPr>
            </w:pPr>
            <w:r w:rsidRPr="00E22444">
              <w:rPr>
                <w:rFonts w:ascii="Times New Roman" w:hAnsi="Times New Roman" w:cs="Times New Roman"/>
                <w:szCs w:val="24"/>
              </w:rPr>
              <w:t>95.77</w:t>
            </w:r>
          </w:p>
        </w:tc>
        <w:tc>
          <w:tcPr>
            <w:tcW w:w="0" w:type="auto"/>
            <w:vAlign w:val="center"/>
            <w:hideMark/>
          </w:tcPr>
          <w:p w14:paraId="6DA84EC8" w14:textId="77777777" w:rsidR="009A78EE" w:rsidRPr="00E22444" w:rsidRDefault="009A78EE" w:rsidP="00E22444">
            <w:pPr>
              <w:pStyle w:val="NoSpacing"/>
              <w:jc w:val="center"/>
              <w:rPr>
                <w:rFonts w:ascii="Times New Roman" w:hAnsi="Times New Roman" w:cs="Times New Roman"/>
                <w:szCs w:val="24"/>
              </w:rPr>
            </w:pPr>
            <w:r w:rsidRPr="00E22444">
              <w:rPr>
                <w:rFonts w:ascii="Times New Roman" w:hAnsi="Times New Roman" w:cs="Times New Roman"/>
                <w:szCs w:val="24"/>
              </w:rPr>
              <w:t>59.27</w:t>
            </w:r>
          </w:p>
        </w:tc>
        <w:tc>
          <w:tcPr>
            <w:tcW w:w="0" w:type="auto"/>
            <w:vAlign w:val="center"/>
            <w:hideMark/>
          </w:tcPr>
          <w:p w14:paraId="6CE349E9" w14:textId="77777777" w:rsidR="009A78EE" w:rsidRPr="00E22444" w:rsidRDefault="009A78EE" w:rsidP="00E22444">
            <w:pPr>
              <w:pStyle w:val="NoSpacing"/>
              <w:jc w:val="center"/>
              <w:rPr>
                <w:rFonts w:ascii="Times New Roman" w:hAnsi="Times New Roman" w:cs="Times New Roman"/>
                <w:szCs w:val="24"/>
              </w:rPr>
            </w:pPr>
            <w:r w:rsidRPr="00E22444">
              <w:rPr>
                <w:rFonts w:ascii="Times New Roman" w:hAnsi="Times New Roman" w:cs="Times New Roman"/>
                <w:szCs w:val="24"/>
              </w:rPr>
              <w:t>244.82</w:t>
            </w:r>
          </w:p>
        </w:tc>
        <w:tc>
          <w:tcPr>
            <w:tcW w:w="0" w:type="auto"/>
            <w:vAlign w:val="center"/>
            <w:hideMark/>
          </w:tcPr>
          <w:p w14:paraId="66976834" w14:textId="77777777" w:rsidR="009A78EE" w:rsidRPr="00E22444" w:rsidRDefault="009A78EE" w:rsidP="00E22444">
            <w:pPr>
              <w:pStyle w:val="NoSpacing"/>
              <w:jc w:val="center"/>
              <w:rPr>
                <w:rFonts w:ascii="Times New Roman" w:hAnsi="Times New Roman" w:cs="Times New Roman"/>
                <w:szCs w:val="24"/>
              </w:rPr>
            </w:pPr>
            <w:r w:rsidRPr="00E22444">
              <w:rPr>
                <w:rFonts w:ascii="Times New Roman" w:hAnsi="Times New Roman" w:cs="Times New Roman"/>
                <w:szCs w:val="24"/>
              </w:rPr>
              <w:t>682.35</w:t>
            </w:r>
          </w:p>
        </w:tc>
        <w:tc>
          <w:tcPr>
            <w:tcW w:w="0" w:type="auto"/>
            <w:vAlign w:val="center"/>
            <w:hideMark/>
          </w:tcPr>
          <w:p w14:paraId="598576C5" w14:textId="77777777" w:rsidR="009A78EE" w:rsidRPr="00E22444" w:rsidRDefault="009A78EE" w:rsidP="00E22444">
            <w:pPr>
              <w:pStyle w:val="NoSpacing"/>
              <w:jc w:val="center"/>
              <w:rPr>
                <w:rFonts w:ascii="Times New Roman" w:hAnsi="Times New Roman" w:cs="Times New Roman"/>
                <w:szCs w:val="24"/>
              </w:rPr>
            </w:pPr>
            <w:r w:rsidRPr="00E22444">
              <w:rPr>
                <w:rFonts w:ascii="Times New Roman" w:hAnsi="Times New Roman" w:cs="Times New Roman"/>
                <w:szCs w:val="24"/>
              </w:rPr>
              <w:t>927.17</w:t>
            </w:r>
          </w:p>
        </w:tc>
      </w:tr>
      <w:tr w:rsidR="009A78EE" w:rsidRPr="00E22444" w14:paraId="5DEFCE80" w14:textId="77777777" w:rsidTr="00E22444">
        <w:trPr>
          <w:trHeight w:val="340"/>
        </w:trPr>
        <w:tc>
          <w:tcPr>
            <w:tcW w:w="1135" w:type="dxa"/>
            <w:vMerge/>
            <w:vAlign w:val="center"/>
            <w:hideMark/>
          </w:tcPr>
          <w:p w14:paraId="203D680D" w14:textId="77777777" w:rsidR="009A78EE" w:rsidRPr="00E22444" w:rsidRDefault="009A78EE" w:rsidP="00E22444">
            <w:pPr>
              <w:pStyle w:val="NoSpacing"/>
              <w:rPr>
                <w:rFonts w:ascii="Times New Roman" w:hAnsi="Times New Roman" w:cs="Times New Roman"/>
                <w:szCs w:val="24"/>
              </w:rPr>
            </w:pPr>
          </w:p>
        </w:tc>
        <w:tc>
          <w:tcPr>
            <w:tcW w:w="1511" w:type="dxa"/>
            <w:vAlign w:val="center"/>
            <w:hideMark/>
          </w:tcPr>
          <w:p w14:paraId="6ECD6E7F" w14:textId="77777777" w:rsidR="009A78EE" w:rsidRPr="00E22444" w:rsidRDefault="009A78EE" w:rsidP="00E22444">
            <w:pPr>
              <w:pStyle w:val="NoSpacing"/>
              <w:rPr>
                <w:rFonts w:ascii="Times New Roman" w:hAnsi="Times New Roman" w:cs="Times New Roman"/>
                <w:szCs w:val="24"/>
              </w:rPr>
            </w:pPr>
            <w:r w:rsidRPr="00E22444">
              <w:rPr>
                <w:rFonts w:ascii="Times New Roman" w:hAnsi="Times New Roman" w:cs="Times New Roman"/>
                <w:szCs w:val="24"/>
              </w:rPr>
              <w:t>Special</w:t>
            </w:r>
          </w:p>
        </w:tc>
        <w:tc>
          <w:tcPr>
            <w:tcW w:w="0" w:type="auto"/>
            <w:vAlign w:val="center"/>
            <w:hideMark/>
          </w:tcPr>
          <w:p w14:paraId="5A14EBAE" w14:textId="77777777" w:rsidR="009A78EE" w:rsidRPr="00E22444" w:rsidRDefault="009A78EE" w:rsidP="00E22444">
            <w:pPr>
              <w:pStyle w:val="NoSpacing"/>
              <w:jc w:val="center"/>
              <w:rPr>
                <w:rFonts w:ascii="Times New Roman" w:hAnsi="Times New Roman" w:cs="Times New Roman"/>
                <w:szCs w:val="24"/>
              </w:rPr>
            </w:pPr>
            <w:r w:rsidRPr="00E22444">
              <w:rPr>
                <w:rFonts w:ascii="Times New Roman" w:hAnsi="Times New Roman" w:cs="Times New Roman"/>
                <w:szCs w:val="24"/>
              </w:rPr>
              <w:t>..</w:t>
            </w:r>
          </w:p>
        </w:tc>
        <w:tc>
          <w:tcPr>
            <w:tcW w:w="0" w:type="auto"/>
            <w:vAlign w:val="center"/>
            <w:hideMark/>
          </w:tcPr>
          <w:p w14:paraId="6FA261A0" w14:textId="77777777" w:rsidR="009A78EE" w:rsidRPr="00E22444" w:rsidRDefault="009A78EE" w:rsidP="00E22444">
            <w:pPr>
              <w:pStyle w:val="NoSpacing"/>
              <w:jc w:val="center"/>
              <w:rPr>
                <w:rFonts w:ascii="Times New Roman" w:hAnsi="Times New Roman" w:cs="Times New Roman"/>
                <w:szCs w:val="24"/>
              </w:rPr>
            </w:pPr>
            <w:r w:rsidRPr="00E22444">
              <w:rPr>
                <w:rFonts w:ascii="Times New Roman" w:hAnsi="Times New Roman" w:cs="Times New Roman"/>
                <w:szCs w:val="24"/>
              </w:rPr>
              <w:t>19.21</w:t>
            </w:r>
          </w:p>
        </w:tc>
        <w:tc>
          <w:tcPr>
            <w:tcW w:w="0" w:type="auto"/>
            <w:vAlign w:val="center"/>
            <w:hideMark/>
          </w:tcPr>
          <w:p w14:paraId="43883B26" w14:textId="77777777" w:rsidR="009A78EE" w:rsidRPr="00E22444" w:rsidRDefault="009A78EE" w:rsidP="00E22444">
            <w:pPr>
              <w:pStyle w:val="NoSpacing"/>
              <w:jc w:val="center"/>
              <w:rPr>
                <w:rFonts w:ascii="Times New Roman" w:hAnsi="Times New Roman" w:cs="Times New Roman"/>
                <w:szCs w:val="24"/>
              </w:rPr>
            </w:pPr>
            <w:r w:rsidRPr="00E22444">
              <w:rPr>
                <w:rFonts w:ascii="Times New Roman" w:hAnsi="Times New Roman" w:cs="Times New Roman"/>
                <w:szCs w:val="24"/>
              </w:rPr>
              <w:t>0.44</w:t>
            </w:r>
          </w:p>
        </w:tc>
        <w:tc>
          <w:tcPr>
            <w:tcW w:w="0" w:type="auto"/>
            <w:vAlign w:val="center"/>
            <w:hideMark/>
          </w:tcPr>
          <w:p w14:paraId="5C51FCBE" w14:textId="77777777" w:rsidR="009A78EE" w:rsidRPr="00E22444" w:rsidRDefault="009A78EE" w:rsidP="00E22444">
            <w:pPr>
              <w:pStyle w:val="NoSpacing"/>
              <w:jc w:val="center"/>
              <w:rPr>
                <w:rFonts w:ascii="Times New Roman" w:hAnsi="Times New Roman" w:cs="Times New Roman"/>
                <w:szCs w:val="24"/>
              </w:rPr>
            </w:pPr>
            <w:r w:rsidRPr="00E22444">
              <w:rPr>
                <w:rFonts w:ascii="Times New Roman" w:hAnsi="Times New Roman" w:cs="Times New Roman"/>
                <w:szCs w:val="24"/>
              </w:rPr>
              <w:t>19.65</w:t>
            </w:r>
          </w:p>
        </w:tc>
        <w:tc>
          <w:tcPr>
            <w:tcW w:w="0" w:type="auto"/>
            <w:vAlign w:val="center"/>
            <w:hideMark/>
          </w:tcPr>
          <w:p w14:paraId="5059D9FE" w14:textId="77777777" w:rsidR="009A78EE" w:rsidRPr="00E22444" w:rsidRDefault="009A78EE" w:rsidP="00E22444">
            <w:pPr>
              <w:pStyle w:val="NoSpacing"/>
              <w:jc w:val="center"/>
              <w:rPr>
                <w:rFonts w:ascii="Times New Roman" w:hAnsi="Times New Roman" w:cs="Times New Roman"/>
                <w:szCs w:val="24"/>
              </w:rPr>
            </w:pPr>
            <w:r w:rsidRPr="00E22444">
              <w:rPr>
                <w:rFonts w:ascii="Times New Roman" w:hAnsi="Times New Roman" w:cs="Times New Roman"/>
                <w:szCs w:val="24"/>
              </w:rPr>
              <w:t>36.48</w:t>
            </w:r>
          </w:p>
        </w:tc>
        <w:tc>
          <w:tcPr>
            <w:tcW w:w="0" w:type="auto"/>
            <w:vAlign w:val="center"/>
            <w:hideMark/>
          </w:tcPr>
          <w:p w14:paraId="220CBE5E" w14:textId="77777777" w:rsidR="009A78EE" w:rsidRPr="00E22444" w:rsidRDefault="009A78EE" w:rsidP="00E22444">
            <w:pPr>
              <w:pStyle w:val="NoSpacing"/>
              <w:jc w:val="center"/>
              <w:rPr>
                <w:rFonts w:ascii="Times New Roman" w:hAnsi="Times New Roman" w:cs="Times New Roman"/>
                <w:szCs w:val="24"/>
              </w:rPr>
            </w:pPr>
            <w:r w:rsidRPr="00E22444">
              <w:rPr>
                <w:rFonts w:ascii="Times New Roman" w:hAnsi="Times New Roman" w:cs="Times New Roman"/>
                <w:szCs w:val="24"/>
              </w:rPr>
              <w:t>56.13</w:t>
            </w:r>
          </w:p>
        </w:tc>
      </w:tr>
      <w:tr w:rsidR="009A78EE" w:rsidRPr="00E22444" w14:paraId="76098E73" w14:textId="77777777" w:rsidTr="00E22444">
        <w:trPr>
          <w:trHeight w:val="340"/>
        </w:trPr>
        <w:tc>
          <w:tcPr>
            <w:tcW w:w="1135" w:type="dxa"/>
            <w:vMerge/>
            <w:vAlign w:val="center"/>
            <w:hideMark/>
          </w:tcPr>
          <w:p w14:paraId="53D1E0BC" w14:textId="77777777" w:rsidR="009A78EE" w:rsidRPr="00E22444" w:rsidRDefault="009A78EE" w:rsidP="00E22444">
            <w:pPr>
              <w:pStyle w:val="NoSpacing"/>
              <w:rPr>
                <w:rFonts w:ascii="Times New Roman" w:hAnsi="Times New Roman" w:cs="Times New Roman"/>
                <w:szCs w:val="24"/>
              </w:rPr>
            </w:pPr>
          </w:p>
        </w:tc>
        <w:tc>
          <w:tcPr>
            <w:tcW w:w="1511" w:type="dxa"/>
            <w:vAlign w:val="center"/>
            <w:hideMark/>
          </w:tcPr>
          <w:p w14:paraId="35A77D24" w14:textId="77777777" w:rsidR="009A78EE" w:rsidRPr="00E22444" w:rsidRDefault="009A78EE" w:rsidP="00E22444">
            <w:pPr>
              <w:pStyle w:val="NoSpacing"/>
              <w:rPr>
                <w:rFonts w:ascii="Times New Roman" w:hAnsi="Times New Roman" w:cs="Times New Roman"/>
                <w:szCs w:val="24"/>
              </w:rPr>
            </w:pPr>
            <w:r w:rsidRPr="00E22444">
              <w:rPr>
                <w:rFonts w:ascii="Times New Roman" w:hAnsi="Times New Roman" w:cs="Times New Roman"/>
                <w:szCs w:val="24"/>
              </w:rPr>
              <w:t>Additional</w:t>
            </w:r>
          </w:p>
        </w:tc>
        <w:tc>
          <w:tcPr>
            <w:tcW w:w="0" w:type="auto"/>
            <w:vAlign w:val="center"/>
            <w:hideMark/>
          </w:tcPr>
          <w:p w14:paraId="757896AE" w14:textId="77777777" w:rsidR="009A78EE" w:rsidRPr="00E22444" w:rsidRDefault="009A78EE" w:rsidP="00E22444">
            <w:pPr>
              <w:pStyle w:val="NoSpacing"/>
              <w:jc w:val="center"/>
              <w:rPr>
                <w:rFonts w:ascii="Times New Roman" w:hAnsi="Times New Roman" w:cs="Times New Roman"/>
                <w:szCs w:val="24"/>
              </w:rPr>
            </w:pPr>
            <w:r w:rsidRPr="00E22444">
              <w:rPr>
                <w:rFonts w:ascii="Times New Roman" w:hAnsi="Times New Roman" w:cs="Times New Roman"/>
                <w:szCs w:val="24"/>
              </w:rPr>
              <w:t>19.56</w:t>
            </w:r>
          </w:p>
        </w:tc>
        <w:tc>
          <w:tcPr>
            <w:tcW w:w="0" w:type="auto"/>
            <w:vAlign w:val="center"/>
            <w:hideMark/>
          </w:tcPr>
          <w:p w14:paraId="2E3991CA" w14:textId="77777777" w:rsidR="009A78EE" w:rsidRPr="00E22444" w:rsidRDefault="009A78EE" w:rsidP="00E22444">
            <w:pPr>
              <w:pStyle w:val="NoSpacing"/>
              <w:jc w:val="center"/>
              <w:rPr>
                <w:rFonts w:ascii="Times New Roman" w:hAnsi="Times New Roman" w:cs="Times New Roman"/>
                <w:szCs w:val="24"/>
              </w:rPr>
            </w:pPr>
            <w:r w:rsidRPr="00E22444">
              <w:rPr>
                <w:rFonts w:ascii="Times New Roman" w:hAnsi="Times New Roman" w:cs="Times New Roman"/>
                <w:szCs w:val="24"/>
              </w:rPr>
              <w:t>11.11</w:t>
            </w:r>
          </w:p>
        </w:tc>
        <w:tc>
          <w:tcPr>
            <w:tcW w:w="0" w:type="auto"/>
            <w:vAlign w:val="center"/>
            <w:hideMark/>
          </w:tcPr>
          <w:p w14:paraId="719AC088" w14:textId="77777777" w:rsidR="009A78EE" w:rsidRPr="00E22444" w:rsidRDefault="009A78EE" w:rsidP="00E22444">
            <w:pPr>
              <w:pStyle w:val="NoSpacing"/>
              <w:jc w:val="center"/>
              <w:rPr>
                <w:rFonts w:ascii="Times New Roman" w:hAnsi="Times New Roman" w:cs="Times New Roman"/>
                <w:szCs w:val="24"/>
              </w:rPr>
            </w:pPr>
            <w:r w:rsidRPr="00E22444">
              <w:rPr>
                <w:rFonts w:ascii="Times New Roman" w:hAnsi="Times New Roman" w:cs="Times New Roman"/>
                <w:szCs w:val="24"/>
              </w:rPr>
              <w:t>19.81</w:t>
            </w:r>
          </w:p>
        </w:tc>
        <w:tc>
          <w:tcPr>
            <w:tcW w:w="0" w:type="auto"/>
            <w:vAlign w:val="center"/>
            <w:hideMark/>
          </w:tcPr>
          <w:p w14:paraId="58D90C8D" w14:textId="77777777" w:rsidR="009A78EE" w:rsidRPr="00E22444" w:rsidRDefault="009A78EE" w:rsidP="00E22444">
            <w:pPr>
              <w:pStyle w:val="NoSpacing"/>
              <w:jc w:val="center"/>
              <w:rPr>
                <w:rFonts w:ascii="Times New Roman" w:hAnsi="Times New Roman" w:cs="Times New Roman"/>
                <w:szCs w:val="24"/>
              </w:rPr>
            </w:pPr>
            <w:r w:rsidRPr="00E22444">
              <w:rPr>
                <w:rFonts w:ascii="Times New Roman" w:hAnsi="Times New Roman" w:cs="Times New Roman"/>
                <w:szCs w:val="24"/>
              </w:rPr>
              <w:t>50.48</w:t>
            </w:r>
          </w:p>
        </w:tc>
        <w:tc>
          <w:tcPr>
            <w:tcW w:w="0" w:type="auto"/>
            <w:vAlign w:val="center"/>
            <w:hideMark/>
          </w:tcPr>
          <w:p w14:paraId="19C373D6" w14:textId="77777777" w:rsidR="009A78EE" w:rsidRPr="00E22444" w:rsidRDefault="009A78EE" w:rsidP="00E22444">
            <w:pPr>
              <w:pStyle w:val="NoSpacing"/>
              <w:jc w:val="center"/>
              <w:rPr>
                <w:rFonts w:ascii="Times New Roman" w:hAnsi="Times New Roman" w:cs="Times New Roman"/>
                <w:szCs w:val="24"/>
              </w:rPr>
            </w:pPr>
            <w:r w:rsidRPr="00E22444">
              <w:rPr>
                <w:rFonts w:ascii="Times New Roman" w:hAnsi="Times New Roman" w:cs="Times New Roman"/>
                <w:szCs w:val="24"/>
              </w:rPr>
              <w:t>..</w:t>
            </w:r>
          </w:p>
        </w:tc>
        <w:tc>
          <w:tcPr>
            <w:tcW w:w="0" w:type="auto"/>
            <w:vAlign w:val="center"/>
            <w:hideMark/>
          </w:tcPr>
          <w:p w14:paraId="7A3FA0D2" w14:textId="77777777" w:rsidR="009A78EE" w:rsidRPr="00E22444" w:rsidRDefault="009A78EE" w:rsidP="00E22444">
            <w:pPr>
              <w:pStyle w:val="NoSpacing"/>
              <w:jc w:val="center"/>
              <w:rPr>
                <w:rFonts w:ascii="Times New Roman" w:hAnsi="Times New Roman" w:cs="Times New Roman"/>
                <w:szCs w:val="24"/>
              </w:rPr>
            </w:pPr>
            <w:r w:rsidRPr="00E22444">
              <w:rPr>
                <w:rFonts w:ascii="Times New Roman" w:hAnsi="Times New Roman" w:cs="Times New Roman"/>
                <w:szCs w:val="24"/>
              </w:rPr>
              <w:t>50.48</w:t>
            </w:r>
          </w:p>
        </w:tc>
      </w:tr>
      <w:tr w:rsidR="009A78EE" w:rsidRPr="00E22444" w14:paraId="13D5CDAF" w14:textId="77777777" w:rsidTr="00E22444">
        <w:trPr>
          <w:trHeight w:val="340"/>
        </w:trPr>
        <w:tc>
          <w:tcPr>
            <w:tcW w:w="1135" w:type="dxa"/>
            <w:vMerge/>
            <w:vAlign w:val="center"/>
            <w:hideMark/>
          </w:tcPr>
          <w:p w14:paraId="67AABCD9" w14:textId="77777777" w:rsidR="009A78EE" w:rsidRPr="00E22444" w:rsidRDefault="009A78EE" w:rsidP="00E22444">
            <w:pPr>
              <w:pStyle w:val="NoSpacing"/>
              <w:rPr>
                <w:rFonts w:ascii="Times New Roman" w:hAnsi="Times New Roman" w:cs="Times New Roman"/>
                <w:szCs w:val="24"/>
              </w:rPr>
            </w:pPr>
          </w:p>
        </w:tc>
        <w:tc>
          <w:tcPr>
            <w:tcW w:w="1511" w:type="dxa"/>
            <w:vAlign w:val="center"/>
            <w:hideMark/>
          </w:tcPr>
          <w:p w14:paraId="1C1BC067" w14:textId="77777777" w:rsidR="009A78EE" w:rsidRPr="00E22444" w:rsidRDefault="009A78EE" w:rsidP="00E22444">
            <w:pPr>
              <w:pStyle w:val="NoSpacing"/>
              <w:rPr>
                <w:rFonts w:ascii="Times New Roman" w:hAnsi="Times New Roman" w:cs="Times New Roman"/>
                <w:szCs w:val="24"/>
              </w:rPr>
            </w:pPr>
            <w:r w:rsidRPr="00E22444">
              <w:rPr>
                <w:rFonts w:ascii="Times New Roman" w:hAnsi="Times New Roman" w:cs="Times New Roman"/>
                <w:szCs w:val="24"/>
              </w:rPr>
              <w:t>TOTAL</w:t>
            </w:r>
          </w:p>
        </w:tc>
        <w:tc>
          <w:tcPr>
            <w:tcW w:w="0" w:type="auto"/>
            <w:vAlign w:val="center"/>
            <w:hideMark/>
          </w:tcPr>
          <w:p w14:paraId="6FB0F4A6" w14:textId="77777777" w:rsidR="009A78EE" w:rsidRPr="00E22444" w:rsidRDefault="009A78EE" w:rsidP="00E22444">
            <w:pPr>
              <w:pStyle w:val="NoSpacing"/>
              <w:jc w:val="center"/>
              <w:rPr>
                <w:rFonts w:ascii="Times New Roman" w:hAnsi="Times New Roman" w:cs="Times New Roman"/>
                <w:szCs w:val="24"/>
              </w:rPr>
            </w:pPr>
            <w:r w:rsidRPr="00E22444">
              <w:rPr>
                <w:rFonts w:ascii="Times New Roman" w:hAnsi="Times New Roman" w:cs="Times New Roman"/>
                <w:szCs w:val="24"/>
              </w:rPr>
              <w:t>109.34</w:t>
            </w:r>
          </w:p>
        </w:tc>
        <w:tc>
          <w:tcPr>
            <w:tcW w:w="0" w:type="auto"/>
            <w:vAlign w:val="center"/>
            <w:hideMark/>
          </w:tcPr>
          <w:p w14:paraId="72A67E36" w14:textId="77777777" w:rsidR="009A78EE" w:rsidRPr="00E22444" w:rsidRDefault="009A78EE" w:rsidP="00E22444">
            <w:pPr>
              <w:pStyle w:val="NoSpacing"/>
              <w:jc w:val="center"/>
              <w:rPr>
                <w:rFonts w:ascii="Times New Roman" w:hAnsi="Times New Roman" w:cs="Times New Roman"/>
                <w:szCs w:val="24"/>
              </w:rPr>
            </w:pPr>
            <w:r w:rsidRPr="00E22444">
              <w:rPr>
                <w:rFonts w:ascii="Times New Roman" w:hAnsi="Times New Roman" w:cs="Times New Roman"/>
                <w:szCs w:val="24"/>
              </w:rPr>
              <w:t>126.09</w:t>
            </w:r>
          </w:p>
        </w:tc>
        <w:tc>
          <w:tcPr>
            <w:tcW w:w="0" w:type="auto"/>
            <w:vAlign w:val="center"/>
            <w:hideMark/>
          </w:tcPr>
          <w:p w14:paraId="7844CBD5" w14:textId="77777777" w:rsidR="009A78EE" w:rsidRPr="00E22444" w:rsidRDefault="009A78EE" w:rsidP="00E22444">
            <w:pPr>
              <w:pStyle w:val="NoSpacing"/>
              <w:jc w:val="center"/>
              <w:rPr>
                <w:rFonts w:ascii="Times New Roman" w:hAnsi="Times New Roman" w:cs="Times New Roman"/>
                <w:szCs w:val="24"/>
              </w:rPr>
            </w:pPr>
            <w:r w:rsidRPr="00E22444">
              <w:rPr>
                <w:rFonts w:ascii="Times New Roman" w:hAnsi="Times New Roman" w:cs="Times New Roman"/>
                <w:szCs w:val="24"/>
              </w:rPr>
              <w:t>79.52</w:t>
            </w:r>
          </w:p>
        </w:tc>
        <w:tc>
          <w:tcPr>
            <w:tcW w:w="0" w:type="auto"/>
            <w:vAlign w:val="center"/>
            <w:hideMark/>
          </w:tcPr>
          <w:p w14:paraId="024CB214" w14:textId="77777777" w:rsidR="009A78EE" w:rsidRPr="00E22444" w:rsidRDefault="009A78EE" w:rsidP="00E22444">
            <w:pPr>
              <w:pStyle w:val="NoSpacing"/>
              <w:jc w:val="center"/>
              <w:rPr>
                <w:rFonts w:ascii="Times New Roman" w:hAnsi="Times New Roman" w:cs="Times New Roman"/>
                <w:szCs w:val="24"/>
              </w:rPr>
            </w:pPr>
            <w:r w:rsidRPr="00E22444">
              <w:rPr>
                <w:rFonts w:ascii="Times New Roman" w:hAnsi="Times New Roman" w:cs="Times New Roman"/>
                <w:szCs w:val="24"/>
              </w:rPr>
              <w:t>314.95</w:t>
            </w:r>
          </w:p>
        </w:tc>
        <w:tc>
          <w:tcPr>
            <w:tcW w:w="0" w:type="auto"/>
            <w:vAlign w:val="center"/>
            <w:hideMark/>
          </w:tcPr>
          <w:p w14:paraId="53585AF1" w14:textId="77777777" w:rsidR="009A78EE" w:rsidRPr="00E22444" w:rsidRDefault="009A78EE" w:rsidP="00E22444">
            <w:pPr>
              <w:pStyle w:val="NoSpacing"/>
              <w:jc w:val="center"/>
              <w:rPr>
                <w:rFonts w:ascii="Times New Roman" w:hAnsi="Times New Roman" w:cs="Times New Roman"/>
                <w:szCs w:val="24"/>
              </w:rPr>
            </w:pPr>
            <w:r w:rsidRPr="00E22444">
              <w:rPr>
                <w:rFonts w:ascii="Times New Roman" w:hAnsi="Times New Roman" w:cs="Times New Roman"/>
                <w:szCs w:val="24"/>
              </w:rPr>
              <w:t>718.83</w:t>
            </w:r>
          </w:p>
        </w:tc>
        <w:tc>
          <w:tcPr>
            <w:tcW w:w="0" w:type="auto"/>
            <w:vAlign w:val="center"/>
            <w:hideMark/>
          </w:tcPr>
          <w:p w14:paraId="7FA5B9CC" w14:textId="77777777" w:rsidR="009A78EE" w:rsidRPr="00E22444" w:rsidRDefault="009A78EE" w:rsidP="00E22444">
            <w:pPr>
              <w:pStyle w:val="NoSpacing"/>
              <w:jc w:val="center"/>
              <w:rPr>
                <w:rFonts w:ascii="Times New Roman" w:hAnsi="Times New Roman" w:cs="Times New Roman"/>
                <w:szCs w:val="24"/>
              </w:rPr>
            </w:pPr>
            <w:r w:rsidRPr="00E22444">
              <w:rPr>
                <w:rFonts w:ascii="Times New Roman" w:hAnsi="Times New Roman" w:cs="Times New Roman"/>
                <w:szCs w:val="24"/>
              </w:rPr>
              <w:t>1033.78</w:t>
            </w:r>
          </w:p>
        </w:tc>
      </w:tr>
      <w:tr w:rsidR="004A2A74" w:rsidRPr="00E22444" w14:paraId="1045EB06" w14:textId="77777777" w:rsidTr="00E22444">
        <w:trPr>
          <w:trHeight w:val="340"/>
        </w:trPr>
        <w:tc>
          <w:tcPr>
            <w:tcW w:w="1135" w:type="dxa"/>
            <w:vAlign w:val="center"/>
            <w:hideMark/>
          </w:tcPr>
          <w:p w14:paraId="0C406EBF" w14:textId="77777777" w:rsidR="004A2A74" w:rsidRPr="00E22444" w:rsidRDefault="004A2A74" w:rsidP="00E22444">
            <w:pPr>
              <w:pStyle w:val="NoSpacing"/>
              <w:rPr>
                <w:rFonts w:ascii="Times New Roman" w:hAnsi="Times New Roman" w:cs="Times New Roman"/>
                <w:szCs w:val="24"/>
              </w:rPr>
            </w:pPr>
          </w:p>
        </w:tc>
        <w:tc>
          <w:tcPr>
            <w:tcW w:w="1511" w:type="dxa"/>
            <w:vAlign w:val="center"/>
            <w:hideMark/>
          </w:tcPr>
          <w:p w14:paraId="1EE54365" w14:textId="77777777" w:rsidR="004A2A74" w:rsidRPr="00E22444" w:rsidRDefault="004A2A74" w:rsidP="00E22444">
            <w:pPr>
              <w:pStyle w:val="NoSpacing"/>
              <w:rPr>
                <w:rFonts w:ascii="Times New Roman" w:hAnsi="Times New Roman" w:cs="Times New Roman"/>
                <w:szCs w:val="24"/>
              </w:rPr>
            </w:pPr>
          </w:p>
        </w:tc>
        <w:tc>
          <w:tcPr>
            <w:tcW w:w="0" w:type="auto"/>
            <w:vAlign w:val="center"/>
            <w:hideMark/>
          </w:tcPr>
          <w:p w14:paraId="5C574165" w14:textId="77777777" w:rsidR="004A2A74" w:rsidRPr="00E22444" w:rsidRDefault="004A2A74" w:rsidP="00E22444">
            <w:pPr>
              <w:pStyle w:val="NoSpacing"/>
              <w:jc w:val="center"/>
              <w:rPr>
                <w:rFonts w:ascii="Times New Roman" w:hAnsi="Times New Roman" w:cs="Times New Roman"/>
                <w:szCs w:val="24"/>
              </w:rPr>
            </w:pPr>
          </w:p>
        </w:tc>
        <w:tc>
          <w:tcPr>
            <w:tcW w:w="0" w:type="auto"/>
            <w:vAlign w:val="center"/>
            <w:hideMark/>
          </w:tcPr>
          <w:p w14:paraId="1A74B961" w14:textId="77777777" w:rsidR="004A2A74" w:rsidRPr="00E22444" w:rsidRDefault="004A2A74" w:rsidP="00E22444">
            <w:pPr>
              <w:pStyle w:val="NoSpacing"/>
              <w:jc w:val="center"/>
              <w:rPr>
                <w:rFonts w:ascii="Times New Roman" w:hAnsi="Times New Roman" w:cs="Times New Roman"/>
                <w:szCs w:val="24"/>
              </w:rPr>
            </w:pPr>
          </w:p>
        </w:tc>
        <w:tc>
          <w:tcPr>
            <w:tcW w:w="0" w:type="auto"/>
            <w:vAlign w:val="center"/>
            <w:hideMark/>
          </w:tcPr>
          <w:p w14:paraId="0AF8711E" w14:textId="77777777" w:rsidR="004A2A74" w:rsidRPr="00E22444" w:rsidRDefault="004A2A74" w:rsidP="00E22444">
            <w:pPr>
              <w:pStyle w:val="NoSpacing"/>
              <w:jc w:val="center"/>
              <w:rPr>
                <w:rFonts w:ascii="Times New Roman" w:hAnsi="Times New Roman" w:cs="Times New Roman"/>
                <w:szCs w:val="24"/>
              </w:rPr>
            </w:pPr>
          </w:p>
        </w:tc>
        <w:tc>
          <w:tcPr>
            <w:tcW w:w="0" w:type="auto"/>
            <w:vAlign w:val="center"/>
            <w:hideMark/>
          </w:tcPr>
          <w:p w14:paraId="78184C2F" w14:textId="77777777" w:rsidR="004A2A74" w:rsidRPr="00E22444" w:rsidRDefault="004A2A74" w:rsidP="00E22444">
            <w:pPr>
              <w:pStyle w:val="NoSpacing"/>
              <w:jc w:val="center"/>
              <w:rPr>
                <w:rFonts w:ascii="Times New Roman" w:hAnsi="Times New Roman" w:cs="Times New Roman"/>
                <w:szCs w:val="24"/>
              </w:rPr>
            </w:pPr>
          </w:p>
        </w:tc>
        <w:tc>
          <w:tcPr>
            <w:tcW w:w="0" w:type="auto"/>
            <w:vAlign w:val="center"/>
            <w:hideMark/>
          </w:tcPr>
          <w:p w14:paraId="572FA16E" w14:textId="77777777" w:rsidR="004A2A74" w:rsidRPr="00E22444" w:rsidRDefault="004A2A74" w:rsidP="00E22444">
            <w:pPr>
              <w:pStyle w:val="NoSpacing"/>
              <w:jc w:val="center"/>
              <w:rPr>
                <w:rFonts w:ascii="Times New Roman" w:hAnsi="Times New Roman" w:cs="Times New Roman"/>
                <w:szCs w:val="24"/>
              </w:rPr>
            </w:pPr>
          </w:p>
        </w:tc>
        <w:tc>
          <w:tcPr>
            <w:tcW w:w="0" w:type="auto"/>
            <w:vAlign w:val="center"/>
            <w:hideMark/>
          </w:tcPr>
          <w:p w14:paraId="5950EAA0" w14:textId="77777777" w:rsidR="004A2A74" w:rsidRPr="00E22444" w:rsidRDefault="004A2A74" w:rsidP="00E22444">
            <w:pPr>
              <w:pStyle w:val="NoSpacing"/>
              <w:jc w:val="center"/>
              <w:rPr>
                <w:rFonts w:ascii="Times New Roman" w:hAnsi="Times New Roman" w:cs="Times New Roman"/>
                <w:szCs w:val="24"/>
              </w:rPr>
            </w:pPr>
          </w:p>
        </w:tc>
      </w:tr>
      <w:tr w:rsidR="009A78EE" w:rsidRPr="00E22444" w14:paraId="1D62E7E0" w14:textId="77777777" w:rsidTr="00E22444">
        <w:trPr>
          <w:trHeight w:val="340"/>
        </w:trPr>
        <w:tc>
          <w:tcPr>
            <w:tcW w:w="1135" w:type="dxa"/>
            <w:vMerge w:val="restart"/>
            <w:vAlign w:val="center"/>
            <w:hideMark/>
          </w:tcPr>
          <w:p w14:paraId="6555F20F" w14:textId="77777777" w:rsidR="009A78EE" w:rsidRPr="00E22444" w:rsidRDefault="009A78EE" w:rsidP="00E22444">
            <w:pPr>
              <w:pStyle w:val="NoSpacing"/>
              <w:rPr>
                <w:rFonts w:ascii="Times New Roman" w:hAnsi="Times New Roman" w:cs="Times New Roman"/>
                <w:szCs w:val="24"/>
              </w:rPr>
            </w:pPr>
            <w:r w:rsidRPr="00E22444">
              <w:rPr>
                <w:rFonts w:ascii="Times New Roman" w:hAnsi="Times New Roman" w:cs="Times New Roman"/>
                <w:szCs w:val="24"/>
              </w:rPr>
              <w:t>1967-68</w:t>
            </w:r>
          </w:p>
        </w:tc>
        <w:tc>
          <w:tcPr>
            <w:tcW w:w="1511" w:type="dxa"/>
            <w:vAlign w:val="center"/>
            <w:hideMark/>
          </w:tcPr>
          <w:p w14:paraId="2D342216" w14:textId="77777777" w:rsidR="009A78EE" w:rsidRPr="00E22444" w:rsidRDefault="009A78EE" w:rsidP="00E22444">
            <w:pPr>
              <w:pStyle w:val="NoSpacing"/>
              <w:rPr>
                <w:rFonts w:ascii="Times New Roman" w:hAnsi="Times New Roman" w:cs="Times New Roman"/>
                <w:szCs w:val="24"/>
              </w:rPr>
            </w:pPr>
            <w:r w:rsidRPr="00E22444">
              <w:rPr>
                <w:rFonts w:ascii="Times New Roman" w:hAnsi="Times New Roman" w:cs="Times New Roman"/>
                <w:szCs w:val="24"/>
              </w:rPr>
              <w:t>Basic</w:t>
            </w:r>
          </w:p>
        </w:tc>
        <w:tc>
          <w:tcPr>
            <w:tcW w:w="0" w:type="auto"/>
            <w:vAlign w:val="center"/>
            <w:hideMark/>
          </w:tcPr>
          <w:p w14:paraId="440C6A67" w14:textId="77777777" w:rsidR="009A78EE" w:rsidRPr="00E22444" w:rsidRDefault="009A78EE" w:rsidP="00E22444">
            <w:pPr>
              <w:pStyle w:val="NoSpacing"/>
              <w:jc w:val="center"/>
              <w:rPr>
                <w:rFonts w:ascii="Times New Roman" w:hAnsi="Times New Roman" w:cs="Times New Roman"/>
                <w:szCs w:val="24"/>
              </w:rPr>
            </w:pPr>
            <w:r w:rsidRPr="00E22444">
              <w:rPr>
                <w:rFonts w:ascii="Times New Roman" w:hAnsi="Times New Roman" w:cs="Times New Roman"/>
                <w:szCs w:val="24"/>
              </w:rPr>
              <w:t>60.45</w:t>
            </w:r>
          </w:p>
        </w:tc>
        <w:tc>
          <w:tcPr>
            <w:tcW w:w="0" w:type="auto"/>
            <w:vAlign w:val="center"/>
            <w:hideMark/>
          </w:tcPr>
          <w:p w14:paraId="2B5AC50A" w14:textId="77777777" w:rsidR="009A78EE" w:rsidRPr="00E22444" w:rsidRDefault="009A78EE" w:rsidP="00E22444">
            <w:pPr>
              <w:pStyle w:val="NoSpacing"/>
              <w:jc w:val="center"/>
              <w:rPr>
                <w:rFonts w:ascii="Times New Roman" w:hAnsi="Times New Roman" w:cs="Times New Roman"/>
                <w:szCs w:val="24"/>
              </w:rPr>
            </w:pPr>
            <w:r w:rsidRPr="00E22444">
              <w:rPr>
                <w:rFonts w:ascii="Times New Roman" w:hAnsi="Times New Roman" w:cs="Times New Roman"/>
                <w:szCs w:val="24"/>
              </w:rPr>
              <w:t>117.32</w:t>
            </w:r>
          </w:p>
        </w:tc>
        <w:tc>
          <w:tcPr>
            <w:tcW w:w="0" w:type="auto"/>
            <w:vAlign w:val="center"/>
            <w:hideMark/>
          </w:tcPr>
          <w:p w14:paraId="5445DF62" w14:textId="77777777" w:rsidR="009A78EE" w:rsidRPr="00E22444" w:rsidRDefault="009A78EE" w:rsidP="00E22444">
            <w:pPr>
              <w:pStyle w:val="NoSpacing"/>
              <w:jc w:val="center"/>
              <w:rPr>
                <w:rFonts w:ascii="Times New Roman" w:hAnsi="Times New Roman" w:cs="Times New Roman"/>
                <w:szCs w:val="24"/>
              </w:rPr>
            </w:pPr>
            <w:r w:rsidRPr="00E22444">
              <w:rPr>
                <w:rFonts w:ascii="Times New Roman" w:hAnsi="Times New Roman" w:cs="Times New Roman"/>
                <w:szCs w:val="24"/>
              </w:rPr>
              <w:t>55.84</w:t>
            </w:r>
          </w:p>
        </w:tc>
        <w:tc>
          <w:tcPr>
            <w:tcW w:w="0" w:type="auto"/>
            <w:vAlign w:val="center"/>
            <w:hideMark/>
          </w:tcPr>
          <w:p w14:paraId="179788C6" w14:textId="77777777" w:rsidR="009A78EE" w:rsidRPr="00E22444" w:rsidRDefault="009A78EE" w:rsidP="00E22444">
            <w:pPr>
              <w:pStyle w:val="NoSpacing"/>
              <w:jc w:val="center"/>
              <w:rPr>
                <w:rFonts w:ascii="Times New Roman" w:hAnsi="Times New Roman" w:cs="Times New Roman"/>
                <w:szCs w:val="24"/>
              </w:rPr>
            </w:pPr>
            <w:r w:rsidRPr="00E22444">
              <w:rPr>
                <w:rFonts w:ascii="Times New Roman" w:hAnsi="Times New Roman" w:cs="Times New Roman"/>
                <w:szCs w:val="24"/>
              </w:rPr>
              <w:t>233.61</w:t>
            </w:r>
          </w:p>
        </w:tc>
        <w:tc>
          <w:tcPr>
            <w:tcW w:w="0" w:type="auto"/>
            <w:vAlign w:val="center"/>
            <w:hideMark/>
          </w:tcPr>
          <w:p w14:paraId="2B66C310" w14:textId="77777777" w:rsidR="009A78EE" w:rsidRPr="00E22444" w:rsidRDefault="009A78EE" w:rsidP="00E22444">
            <w:pPr>
              <w:pStyle w:val="NoSpacing"/>
              <w:jc w:val="center"/>
              <w:rPr>
                <w:rFonts w:ascii="Times New Roman" w:hAnsi="Times New Roman" w:cs="Times New Roman"/>
                <w:szCs w:val="24"/>
              </w:rPr>
            </w:pPr>
            <w:r w:rsidRPr="00E22444">
              <w:rPr>
                <w:rFonts w:ascii="Times New Roman" w:hAnsi="Times New Roman" w:cs="Times New Roman"/>
                <w:szCs w:val="24"/>
              </w:rPr>
              <w:t>800.59</w:t>
            </w:r>
          </w:p>
        </w:tc>
        <w:tc>
          <w:tcPr>
            <w:tcW w:w="0" w:type="auto"/>
            <w:vAlign w:val="center"/>
            <w:hideMark/>
          </w:tcPr>
          <w:p w14:paraId="2055F9F5" w14:textId="77777777" w:rsidR="009A78EE" w:rsidRPr="00E22444" w:rsidRDefault="009A78EE" w:rsidP="00E22444">
            <w:pPr>
              <w:pStyle w:val="NoSpacing"/>
              <w:jc w:val="center"/>
              <w:rPr>
                <w:rFonts w:ascii="Times New Roman" w:hAnsi="Times New Roman" w:cs="Times New Roman"/>
                <w:szCs w:val="24"/>
              </w:rPr>
            </w:pPr>
            <w:r w:rsidRPr="00E22444">
              <w:rPr>
                <w:rFonts w:ascii="Times New Roman" w:hAnsi="Times New Roman" w:cs="Times New Roman"/>
                <w:szCs w:val="24"/>
              </w:rPr>
              <w:t>1034.20</w:t>
            </w:r>
          </w:p>
        </w:tc>
      </w:tr>
      <w:tr w:rsidR="009A78EE" w:rsidRPr="00E22444" w14:paraId="68F2FA67" w14:textId="77777777" w:rsidTr="00E22444">
        <w:trPr>
          <w:trHeight w:val="340"/>
        </w:trPr>
        <w:tc>
          <w:tcPr>
            <w:tcW w:w="1135" w:type="dxa"/>
            <w:vMerge/>
            <w:vAlign w:val="center"/>
            <w:hideMark/>
          </w:tcPr>
          <w:p w14:paraId="766634DE" w14:textId="77777777" w:rsidR="009A78EE" w:rsidRPr="00E22444" w:rsidRDefault="009A78EE" w:rsidP="00E22444">
            <w:pPr>
              <w:pStyle w:val="NoSpacing"/>
              <w:rPr>
                <w:rFonts w:ascii="Times New Roman" w:hAnsi="Times New Roman" w:cs="Times New Roman"/>
                <w:szCs w:val="24"/>
              </w:rPr>
            </w:pPr>
          </w:p>
        </w:tc>
        <w:tc>
          <w:tcPr>
            <w:tcW w:w="1511" w:type="dxa"/>
            <w:vAlign w:val="center"/>
            <w:hideMark/>
          </w:tcPr>
          <w:p w14:paraId="4A072734" w14:textId="77777777" w:rsidR="009A78EE" w:rsidRPr="00E22444" w:rsidRDefault="009A78EE" w:rsidP="00E22444">
            <w:pPr>
              <w:pStyle w:val="NoSpacing"/>
              <w:rPr>
                <w:rFonts w:ascii="Times New Roman" w:hAnsi="Times New Roman" w:cs="Times New Roman"/>
                <w:szCs w:val="24"/>
              </w:rPr>
            </w:pPr>
            <w:r w:rsidRPr="00E22444">
              <w:rPr>
                <w:rFonts w:ascii="Times New Roman" w:hAnsi="Times New Roman" w:cs="Times New Roman"/>
                <w:szCs w:val="24"/>
              </w:rPr>
              <w:t>Special</w:t>
            </w:r>
          </w:p>
        </w:tc>
        <w:tc>
          <w:tcPr>
            <w:tcW w:w="0" w:type="auto"/>
            <w:vAlign w:val="center"/>
            <w:hideMark/>
          </w:tcPr>
          <w:p w14:paraId="0F77C7CA" w14:textId="77777777" w:rsidR="009A78EE" w:rsidRPr="00E22444" w:rsidRDefault="009A78EE" w:rsidP="00E22444">
            <w:pPr>
              <w:pStyle w:val="NoSpacing"/>
              <w:jc w:val="center"/>
              <w:rPr>
                <w:rFonts w:ascii="Times New Roman" w:hAnsi="Times New Roman" w:cs="Times New Roman"/>
                <w:szCs w:val="24"/>
              </w:rPr>
            </w:pPr>
            <w:r w:rsidRPr="00E22444">
              <w:rPr>
                <w:rFonts w:ascii="Times New Roman" w:hAnsi="Times New Roman" w:cs="Times New Roman"/>
                <w:szCs w:val="24"/>
              </w:rPr>
              <w:t>..</w:t>
            </w:r>
          </w:p>
        </w:tc>
        <w:tc>
          <w:tcPr>
            <w:tcW w:w="0" w:type="auto"/>
            <w:vAlign w:val="center"/>
            <w:hideMark/>
          </w:tcPr>
          <w:p w14:paraId="01385851" w14:textId="77777777" w:rsidR="009A78EE" w:rsidRPr="00E22444" w:rsidRDefault="009A78EE" w:rsidP="00E22444">
            <w:pPr>
              <w:pStyle w:val="NoSpacing"/>
              <w:jc w:val="center"/>
              <w:rPr>
                <w:rFonts w:ascii="Times New Roman" w:hAnsi="Times New Roman" w:cs="Times New Roman"/>
                <w:szCs w:val="24"/>
              </w:rPr>
            </w:pPr>
            <w:r w:rsidRPr="00E22444">
              <w:rPr>
                <w:rFonts w:ascii="Times New Roman" w:hAnsi="Times New Roman" w:cs="Times New Roman"/>
                <w:szCs w:val="24"/>
              </w:rPr>
              <w:t>22.94</w:t>
            </w:r>
          </w:p>
        </w:tc>
        <w:tc>
          <w:tcPr>
            <w:tcW w:w="0" w:type="auto"/>
            <w:vAlign w:val="center"/>
            <w:hideMark/>
          </w:tcPr>
          <w:p w14:paraId="69A0DD49" w14:textId="77777777" w:rsidR="009A78EE" w:rsidRPr="00E22444" w:rsidRDefault="009A78EE" w:rsidP="00E22444">
            <w:pPr>
              <w:pStyle w:val="NoSpacing"/>
              <w:jc w:val="center"/>
              <w:rPr>
                <w:rFonts w:ascii="Times New Roman" w:hAnsi="Times New Roman" w:cs="Times New Roman"/>
                <w:szCs w:val="24"/>
              </w:rPr>
            </w:pPr>
            <w:r w:rsidRPr="00E22444">
              <w:rPr>
                <w:rFonts w:ascii="Times New Roman" w:hAnsi="Times New Roman" w:cs="Times New Roman"/>
                <w:szCs w:val="24"/>
              </w:rPr>
              <w:t>0.45</w:t>
            </w:r>
          </w:p>
        </w:tc>
        <w:tc>
          <w:tcPr>
            <w:tcW w:w="0" w:type="auto"/>
            <w:vAlign w:val="center"/>
            <w:hideMark/>
          </w:tcPr>
          <w:p w14:paraId="5B562CC2" w14:textId="77777777" w:rsidR="009A78EE" w:rsidRPr="00E22444" w:rsidRDefault="009A78EE" w:rsidP="00E22444">
            <w:pPr>
              <w:pStyle w:val="NoSpacing"/>
              <w:jc w:val="center"/>
              <w:rPr>
                <w:rFonts w:ascii="Times New Roman" w:hAnsi="Times New Roman" w:cs="Times New Roman"/>
                <w:szCs w:val="24"/>
              </w:rPr>
            </w:pPr>
            <w:r w:rsidRPr="00E22444">
              <w:rPr>
                <w:rFonts w:ascii="Times New Roman" w:hAnsi="Times New Roman" w:cs="Times New Roman"/>
                <w:szCs w:val="24"/>
              </w:rPr>
              <w:t>23.39</w:t>
            </w:r>
          </w:p>
        </w:tc>
        <w:tc>
          <w:tcPr>
            <w:tcW w:w="0" w:type="auto"/>
            <w:vAlign w:val="center"/>
            <w:hideMark/>
          </w:tcPr>
          <w:p w14:paraId="140001B8" w14:textId="77777777" w:rsidR="009A78EE" w:rsidRPr="00E22444" w:rsidRDefault="009A78EE" w:rsidP="00E22444">
            <w:pPr>
              <w:pStyle w:val="NoSpacing"/>
              <w:jc w:val="center"/>
              <w:rPr>
                <w:rFonts w:ascii="Times New Roman" w:hAnsi="Times New Roman" w:cs="Times New Roman"/>
                <w:szCs w:val="24"/>
              </w:rPr>
            </w:pPr>
            <w:r w:rsidRPr="00E22444">
              <w:rPr>
                <w:rFonts w:ascii="Times New Roman" w:hAnsi="Times New Roman" w:cs="Times New Roman"/>
                <w:szCs w:val="24"/>
              </w:rPr>
              <w:t>42.31</w:t>
            </w:r>
          </w:p>
        </w:tc>
        <w:tc>
          <w:tcPr>
            <w:tcW w:w="0" w:type="auto"/>
            <w:vAlign w:val="center"/>
            <w:hideMark/>
          </w:tcPr>
          <w:p w14:paraId="5F4EB141" w14:textId="77777777" w:rsidR="009A78EE" w:rsidRPr="00E22444" w:rsidRDefault="009A78EE" w:rsidP="00E22444">
            <w:pPr>
              <w:pStyle w:val="NoSpacing"/>
              <w:jc w:val="center"/>
              <w:rPr>
                <w:rFonts w:ascii="Times New Roman" w:hAnsi="Times New Roman" w:cs="Times New Roman"/>
                <w:szCs w:val="24"/>
              </w:rPr>
            </w:pPr>
            <w:r w:rsidRPr="00E22444">
              <w:rPr>
                <w:rFonts w:ascii="Times New Roman" w:hAnsi="Times New Roman" w:cs="Times New Roman"/>
                <w:szCs w:val="24"/>
              </w:rPr>
              <w:t>65.70</w:t>
            </w:r>
          </w:p>
        </w:tc>
      </w:tr>
      <w:tr w:rsidR="009A78EE" w:rsidRPr="00E22444" w14:paraId="61967568" w14:textId="77777777" w:rsidTr="00E22444">
        <w:trPr>
          <w:trHeight w:val="340"/>
        </w:trPr>
        <w:tc>
          <w:tcPr>
            <w:tcW w:w="1135" w:type="dxa"/>
            <w:vMerge/>
            <w:vAlign w:val="center"/>
            <w:hideMark/>
          </w:tcPr>
          <w:p w14:paraId="4C7D41EB" w14:textId="77777777" w:rsidR="009A78EE" w:rsidRPr="00E22444" w:rsidRDefault="009A78EE" w:rsidP="00E22444">
            <w:pPr>
              <w:pStyle w:val="NoSpacing"/>
              <w:rPr>
                <w:rFonts w:ascii="Times New Roman" w:hAnsi="Times New Roman" w:cs="Times New Roman"/>
                <w:szCs w:val="24"/>
              </w:rPr>
            </w:pPr>
          </w:p>
        </w:tc>
        <w:tc>
          <w:tcPr>
            <w:tcW w:w="1511" w:type="dxa"/>
            <w:vAlign w:val="center"/>
            <w:hideMark/>
          </w:tcPr>
          <w:p w14:paraId="7C56C1EA" w14:textId="77777777" w:rsidR="009A78EE" w:rsidRPr="00E22444" w:rsidRDefault="009A78EE" w:rsidP="00E22444">
            <w:pPr>
              <w:pStyle w:val="NoSpacing"/>
              <w:rPr>
                <w:rFonts w:ascii="Times New Roman" w:hAnsi="Times New Roman" w:cs="Times New Roman"/>
                <w:szCs w:val="24"/>
              </w:rPr>
            </w:pPr>
            <w:r w:rsidRPr="00E22444">
              <w:rPr>
                <w:rFonts w:ascii="Times New Roman" w:hAnsi="Times New Roman" w:cs="Times New Roman"/>
                <w:szCs w:val="24"/>
              </w:rPr>
              <w:t>Additional</w:t>
            </w:r>
          </w:p>
        </w:tc>
        <w:tc>
          <w:tcPr>
            <w:tcW w:w="0" w:type="auto"/>
            <w:vAlign w:val="center"/>
            <w:hideMark/>
          </w:tcPr>
          <w:p w14:paraId="275A1D47" w14:textId="77777777" w:rsidR="009A78EE" w:rsidRPr="00E22444" w:rsidRDefault="009A78EE" w:rsidP="00E22444">
            <w:pPr>
              <w:pStyle w:val="NoSpacing"/>
              <w:jc w:val="center"/>
              <w:rPr>
                <w:rFonts w:ascii="Times New Roman" w:hAnsi="Times New Roman" w:cs="Times New Roman"/>
                <w:szCs w:val="24"/>
              </w:rPr>
            </w:pPr>
            <w:r w:rsidRPr="00E22444">
              <w:rPr>
                <w:rFonts w:ascii="Times New Roman" w:hAnsi="Times New Roman" w:cs="Times New Roman"/>
                <w:szCs w:val="24"/>
              </w:rPr>
              <w:t>13.99</w:t>
            </w:r>
          </w:p>
        </w:tc>
        <w:tc>
          <w:tcPr>
            <w:tcW w:w="0" w:type="auto"/>
            <w:vAlign w:val="center"/>
            <w:hideMark/>
          </w:tcPr>
          <w:p w14:paraId="4721FC97" w14:textId="77777777" w:rsidR="009A78EE" w:rsidRPr="00E22444" w:rsidRDefault="009A78EE" w:rsidP="00E22444">
            <w:pPr>
              <w:pStyle w:val="NoSpacing"/>
              <w:jc w:val="center"/>
              <w:rPr>
                <w:rFonts w:ascii="Times New Roman" w:hAnsi="Times New Roman" w:cs="Times New Roman"/>
                <w:szCs w:val="24"/>
              </w:rPr>
            </w:pPr>
            <w:r w:rsidRPr="00E22444">
              <w:rPr>
                <w:rFonts w:ascii="Times New Roman" w:hAnsi="Times New Roman" w:cs="Times New Roman"/>
                <w:szCs w:val="24"/>
              </w:rPr>
              <w:t>15.08</w:t>
            </w:r>
          </w:p>
        </w:tc>
        <w:tc>
          <w:tcPr>
            <w:tcW w:w="0" w:type="auto"/>
            <w:vAlign w:val="center"/>
            <w:hideMark/>
          </w:tcPr>
          <w:p w14:paraId="7DE417DA" w14:textId="77777777" w:rsidR="009A78EE" w:rsidRPr="00E22444" w:rsidRDefault="009A78EE" w:rsidP="00E22444">
            <w:pPr>
              <w:pStyle w:val="NoSpacing"/>
              <w:jc w:val="center"/>
              <w:rPr>
                <w:rFonts w:ascii="Times New Roman" w:hAnsi="Times New Roman" w:cs="Times New Roman"/>
                <w:szCs w:val="24"/>
              </w:rPr>
            </w:pPr>
            <w:r w:rsidRPr="00E22444">
              <w:rPr>
                <w:rFonts w:ascii="Times New Roman" w:hAnsi="Times New Roman" w:cs="Times New Roman"/>
                <w:szCs w:val="24"/>
              </w:rPr>
              <w:t>19.55</w:t>
            </w:r>
          </w:p>
        </w:tc>
        <w:tc>
          <w:tcPr>
            <w:tcW w:w="0" w:type="auto"/>
            <w:vAlign w:val="center"/>
            <w:hideMark/>
          </w:tcPr>
          <w:p w14:paraId="3273EEB9" w14:textId="77777777" w:rsidR="009A78EE" w:rsidRPr="00E22444" w:rsidRDefault="009A78EE" w:rsidP="00E22444">
            <w:pPr>
              <w:pStyle w:val="NoSpacing"/>
              <w:jc w:val="center"/>
              <w:rPr>
                <w:rFonts w:ascii="Times New Roman" w:hAnsi="Times New Roman" w:cs="Times New Roman"/>
                <w:szCs w:val="24"/>
              </w:rPr>
            </w:pPr>
            <w:r w:rsidRPr="00E22444">
              <w:rPr>
                <w:rFonts w:ascii="Times New Roman" w:hAnsi="Times New Roman" w:cs="Times New Roman"/>
                <w:szCs w:val="24"/>
              </w:rPr>
              <w:t>48.62</w:t>
            </w:r>
          </w:p>
        </w:tc>
        <w:tc>
          <w:tcPr>
            <w:tcW w:w="0" w:type="auto"/>
            <w:vAlign w:val="center"/>
            <w:hideMark/>
          </w:tcPr>
          <w:p w14:paraId="2499F1AC" w14:textId="77777777" w:rsidR="009A78EE" w:rsidRPr="00E22444" w:rsidRDefault="009A78EE" w:rsidP="00E22444">
            <w:pPr>
              <w:pStyle w:val="NoSpacing"/>
              <w:jc w:val="center"/>
              <w:rPr>
                <w:rFonts w:ascii="Times New Roman" w:hAnsi="Times New Roman" w:cs="Times New Roman"/>
                <w:szCs w:val="24"/>
              </w:rPr>
            </w:pPr>
            <w:r w:rsidRPr="00E22444">
              <w:rPr>
                <w:rFonts w:ascii="Times New Roman" w:hAnsi="Times New Roman" w:cs="Times New Roman"/>
                <w:szCs w:val="24"/>
              </w:rPr>
              <w:t>..</w:t>
            </w:r>
          </w:p>
        </w:tc>
        <w:tc>
          <w:tcPr>
            <w:tcW w:w="0" w:type="auto"/>
            <w:vAlign w:val="center"/>
            <w:hideMark/>
          </w:tcPr>
          <w:p w14:paraId="40D90B62" w14:textId="77777777" w:rsidR="009A78EE" w:rsidRPr="00E22444" w:rsidRDefault="009A78EE" w:rsidP="00E22444">
            <w:pPr>
              <w:pStyle w:val="NoSpacing"/>
              <w:jc w:val="center"/>
              <w:rPr>
                <w:rFonts w:ascii="Times New Roman" w:hAnsi="Times New Roman" w:cs="Times New Roman"/>
                <w:szCs w:val="24"/>
              </w:rPr>
            </w:pPr>
            <w:r w:rsidRPr="00E22444">
              <w:rPr>
                <w:rFonts w:ascii="Times New Roman" w:hAnsi="Times New Roman" w:cs="Times New Roman"/>
                <w:szCs w:val="24"/>
              </w:rPr>
              <w:t>48.62</w:t>
            </w:r>
          </w:p>
        </w:tc>
      </w:tr>
      <w:tr w:rsidR="009A78EE" w:rsidRPr="00E22444" w14:paraId="7C282B18" w14:textId="77777777" w:rsidTr="00E22444">
        <w:trPr>
          <w:trHeight w:val="340"/>
        </w:trPr>
        <w:tc>
          <w:tcPr>
            <w:tcW w:w="1135" w:type="dxa"/>
            <w:vMerge/>
            <w:vAlign w:val="center"/>
            <w:hideMark/>
          </w:tcPr>
          <w:p w14:paraId="64230992" w14:textId="77777777" w:rsidR="009A78EE" w:rsidRPr="00E22444" w:rsidRDefault="009A78EE" w:rsidP="00E22444">
            <w:pPr>
              <w:pStyle w:val="NoSpacing"/>
              <w:rPr>
                <w:rFonts w:ascii="Times New Roman" w:hAnsi="Times New Roman" w:cs="Times New Roman"/>
                <w:szCs w:val="24"/>
              </w:rPr>
            </w:pPr>
          </w:p>
        </w:tc>
        <w:tc>
          <w:tcPr>
            <w:tcW w:w="1511" w:type="dxa"/>
            <w:vAlign w:val="center"/>
            <w:hideMark/>
          </w:tcPr>
          <w:p w14:paraId="2F330A5F" w14:textId="77777777" w:rsidR="009A78EE" w:rsidRPr="00E22444" w:rsidRDefault="009A78EE" w:rsidP="00E22444">
            <w:pPr>
              <w:pStyle w:val="NoSpacing"/>
              <w:rPr>
                <w:rFonts w:ascii="Times New Roman" w:hAnsi="Times New Roman" w:cs="Times New Roman"/>
                <w:szCs w:val="24"/>
              </w:rPr>
            </w:pPr>
            <w:r w:rsidRPr="00E22444">
              <w:rPr>
                <w:rFonts w:ascii="Times New Roman" w:hAnsi="Times New Roman" w:cs="Times New Roman"/>
                <w:szCs w:val="24"/>
              </w:rPr>
              <w:t>TOTAL</w:t>
            </w:r>
          </w:p>
        </w:tc>
        <w:tc>
          <w:tcPr>
            <w:tcW w:w="0" w:type="auto"/>
            <w:vAlign w:val="center"/>
            <w:hideMark/>
          </w:tcPr>
          <w:p w14:paraId="54219A4E" w14:textId="77777777" w:rsidR="009A78EE" w:rsidRPr="00E22444" w:rsidRDefault="009A78EE" w:rsidP="00E22444">
            <w:pPr>
              <w:pStyle w:val="NoSpacing"/>
              <w:jc w:val="center"/>
              <w:rPr>
                <w:rFonts w:ascii="Times New Roman" w:hAnsi="Times New Roman" w:cs="Times New Roman"/>
                <w:szCs w:val="24"/>
              </w:rPr>
            </w:pPr>
            <w:r w:rsidRPr="00E22444">
              <w:rPr>
                <w:rFonts w:ascii="Times New Roman" w:hAnsi="Times New Roman" w:cs="Times New Roman"/>
                <w:szCs w:val="24"/>
              </w:rPr>
              <w:t>74.44</w:t>
            </w:r>
          </w:p>
        </w:tc>
        <w:tc>
          <w:tcPr>
            <w:tcW w:w="0" w:type="auto"/>
            <w:vAlign w:val="center"/>
            <w:hideMark/>
          </w:tcPr>
          <w:p w14:paraId="28297A3B" w14:textId="77777777" w:rsidR="009A78EE" w:rsidRPr="00E22444" w:rsidRDefault="009A78EE" w:rsidP="00E22444">
            <w:pPr>
              <w:pStyle w:val="NoSpacing"/>
              <w:jc w:val="center"/>
              <w:rPr>
                <w:rFonts w:ascii="Times New Roman" w:hAnsi="Times New Roman" w:cs="Times New Roman"/>
                <w:szCs w:val="24"/>
              </w:rPr>
            </w:pPr>
            <w:r w:rsidRPr="00E22444">
              <w:rPr>
                <w:rFonts w:ascii="Times New Roman" w:hAnsi="Times New Roman" w:cs="Times New Roman"/>
                <w:szCs w:val="24"/>
              </w:rPr>
              <w:t>155.34</w:t>
            </w:r>
          </w:p>
        </w:tc>
        <w:tc>
          <w:tcPr>
            <w:tcW w:w="0" w:type="auto"/>
            <w:vAlign w:val="center"/>
            <w:hideMark/>
          </w:tcPr>
          <w:p w14:paraId="5A42DF61" w14:textId="77777777" w:rsidR="009A78EE" w:rsidRPr="00E22444" w:rsidRDefault="009A78EE" w:rsidP="00E22444">
            <w:pPr>
              <w:pStyle w:val="NoSpacing"/>
              <w:jc w:val="center"/>
              <w:rPr>
                <w:rFonts w:ascii="Times New Roman" w:hAnsi="Times New Roman" w:cs="Times New Roman"/>
                <w:szCs w:val="24"/>
              </w:rPr>
            </w:pPr>
            <w:r w:rsidRPr="00E22444">
              <w:rPr>
                <w:rFonts w:ascii="Times New Roman" w:hAnsi="Times New Roman" w:cs="Times New Roman"/>
                <w:szCs w:val="24"/>
              </w:rPr>
              <w:t>75.84</w:t>
            </w:r>
          </w:p>
        </w:tc>
        <w:tc>
          <w:tcPr>
            <w:tcW w:w="0" w:type="auto"/>
            <w:vAlign w:val="center"/>
            <w:hideMark/>
          </w:tcPr>
          <w:p w14:paraId="5280840C" w14:textId="77777777" w:rsidR="009A78EE" w:rsidRPr="00E22444" w:rsidRDefault="009A78EE" w:rsidP="00E22444">
            <w:pPr>
              <w:pStyle w:val="NoSpacing"/>
              <w:jc w:val="center"/>
              <w:rPr>
                <w:rFonts w:ascii="Times New Roman" w:hAnsi="Times New Roman" w:cs="Times New Roman"/>
                <w:szCs w:val="24"/>
              </w:rPr>
            </w:pPr>
            <w:r w:rsidRPr="00E22444">
              <w:rPr>
                <w:rFonts w:ascii="Times New Roman" w:hAnsi="Times New Roman" w:cs="Times New Roman"/>
                <w:szCs w:val="24"/>
              </w:rPr>
              <w:t>305.62</w:t>
            </w:r>
          </w:p>
        </w:tc>
        <w:tc>
          <w:tcPr>
            <w:tcW w:w="0" w:type="auto"/>
            <w:vAlign w:val="center"/>
            <w:hideMark/>
          </w:tcPr>
          <w:p w14:paraId="2756AB35" w14:textId="77777777" w:rsidR="009A78EE" w:rsidRPr="00E22444" w:rsidRDefault="009A78EE" w:rsidP="00E22444">
            <w:pPr>
              <w:pStyle w:val="NoSpacing"/>
              <w:jc w:val="center"/>
              <w:rPr>
                <w:rFonts w:ascii="Times New Roman" w:hAnsi="Times New Roman" w:cs="Times New Roman"/>
                <w:szCs w:val="24"/>
              </w:rPr>
            </w:pPr>
            <w:r w:rsidRPr="00E22444">
              <w:rPr>
                <w:rFonts w:ascii="Times New Roman" w:hAnsi="Times New Roman" w:cs="Times New Roman"/>
                <w:szCs w:val="24"/>
              </w:rPr>
              <w:t>842.90</w:t>
            </w:r>
          </w:p>
        </w:tc>
        <w:tc>
          <w:tcPr>
            <w:tcW w:w="0" w:type="auto"/>
            <w:vAlign w:val="center"/>
            <w:hideMark/>
          </w:tcPr>
          <w:p w14:paraId="42F2EAD8" w14:textId="77777777" w:rsidR="009A78EE" w:rsidRPr="00E22444" w:rsidRDefault="009A78EE" w:rsidP="00E22444">
            <w:pPr>
              <w:pStyle w:val="NoSpacing"/>
              <w:jc w:val="center"/>
              <w:rPr>
                <w:rFonts w:ascii="Times New Roman" w:hAnsi="Times New Roman" w:cs="Times New Roman"/>
                <w:szCs w:val="24"/>
              </w:rPr>
            </w:pPr>
            <w:r w:rsidRPr="00E22444">
              <w:rPr>
                <w:rFonts w:ascii="Times New Roman" w:hAnsi="Times New Roman" w:cs="Times New Roman"/>
                <w:szCs w:val="24"/>
              </w:rPr>
              <w:t>1148.52</w:t>
            </w:r>
          </w:p>
        </w:tc>
      </w:tr>
      <w:tr w:rsidR="004A2A74" w:rsidRPr="00E22444" w14:paraId="5FCB3DAA" w14:textId="77777777" w:rsidTr="00E22444">
        <w:trPr>
          <w:trHeight w:val="340"/>
        </w:trPr>
        <w:tc>
          <w:tcPr>
            <w:tcW w:w="1135" w:type="dxa"/>
            <w:vAlign w:val="center"/>
            <w:hideMark/>
          </w:tcPr>
          <w:p w14:paraId="2C0A34A0" w14:textId="77777777" w:rsidR="004A2A74" w:rsidRPr="00E22444" w:rsidRDefault="004A2A74" w:rsidP="00E22444">
            <w:pPr>
              <w:pStyle w:val="NoSpacing"/>
              <w:rPr>
                <w:rFonts w:ascii="Times New Roman" w:hAnsi="Times New Roman" w:cs="Times New Roman"/>
                <w:szCs w:val="24"/>
              </w:rPr>
            </w:pPr>
          </w:p>
        </w:tc>
        <w:tc>
          <w:tcPr>
            <w:tcW w:w="1511" w:type="dxa"/>
            <w:vAlign w:val="center"/>
            <w:hideMark/>
          </w:tcPr>
          <w:p w14:paraId="1E91B02D" w14:textId="77777777" w:rsidR="004A2A74" w:rsidRPr="00E22444" w:rsidRDefault="004A2A74" w:rsidP="00E22444">
            <w:pPr>
              <w:pStyle w:val="NoSpacing"/>
              <w:rPr>
                <w:rFonts w:ascii="Times New Roman" w:hAnsi="Times New Roman" w:cs="Times New Roman"/>
                <w:szCs w:val="24"/>
              </w:rPr>
            </w:pPr>
          </w:p>
        </w:tc>
        <w:tc>
          <w:tcPr>
            <w:tcW w:w="0" w:type="auto"/>
            <w:vAlign w:val="center"/>
            <w:hideMark/>
          </w:tcPr>
          <w:p w14:paraId="56205DDA" w14:textId="77777777" w:rsidR="004A2A74" w:rsidRPr="00E22444" w:rsidRDefault="004A2A74" w:rsidP="00E22444">
            <w:pPr>
              <w:pStyle w:val="NoSpacing"/>
              <w:jc w:val="center"/>
              <w:rPr>
                <w:rFonts w:ascii="Times New Roman" w:hAnsi="Times New Roman" w:cs="Times New Roman"/>
                <w:szCs w:val="24"/>
              </w:rPr>
            </w:pPr>
          </w:p>
        </w:tc>
        <w:tc>
          <w:tcPr>
            <w:tcW w:w="0" w:type="auto"/>
            <w:vAlign w:val="center"/>
            <w:hideMark/>
          </w:tcPr>
          <w:p w14:paraId="32BD542E" w14:textId="77777777" w:rsidR="004A2A74" w:rsidRPr="00E22444" w:rsidRDefault="004A2A74" w:rsidP="00E22444">
            <w:pPr>
              <w:pStyle w:val="NoSpacing"/>
              <w:jc w:val="center"/>
              <w:rPr>
                <w:rFonts w:ascii="Times New Roman" w:hAnsi="Times New Roman" w:cs="Times New Roman"/>
                <w:szCs w:val="24"/>
              </w:rPr>
            </w:pPr>
          </w:p>
        </w:tc>
        <w:tc>
          <w:tcPr>
            <w:tcW w:w="0" w:type="auto"/>
            <w:vAlign w:val="center"/>
            <w:hideMark/>
          </w:tcPr>
          <w:p w14:paraId="24533657" w14:textId="77777777" w:rsidR="004A2A74" w:rsidRPr="00E22444" w:rsidRDefault="004A2A74" w:rsidP="00E22444">
            <w:pPr>
              <w:pStyle w:val="NoSpacing"/>
              <w:jc w:val="center"/>
              <w:rPr>
                <w:rFonts w:ascii="Times New Roman" w:hAnsi="Times New Roman" w:cs="Times New Roman"/>
                <w:szCs w:val="24"/>
              </w:rPr>
            </w:pPr>
          </w:p>
        </w:tc>
        <w:tc>
          <w:tcPr>
            <w:tcW w:w="0" w:type="auto"/>
            <w:vAlign w:val="center"/>
            <w:hideMark/>
          </w:tcPr>
          <w:p w14:paraId="275861FA" w14:textId="77777777" w:rsidR="004A2A74" w:rsidRPr="00E22444" w:rsidRDefault="004A2A74" w:rsidP="00E22444">
            <w:pPr>
              <w:pStyle w:val="NoSpacing"/>
              <w:jc w:val="center"/>
              <w:rPr>
                <w:rFonts w:ascii="Times New Roman" w:hAnsi="Times New Roman" w:cs="Times New Roman"/>
                <w:szCs w:val="24"/>
              </w:rPr>
            </w:pPr>
          </w:p>
        </w:tc>
        <w:tc>
          <w:tcPr>
            <w:tcW w:w="0" w:type="auto"/>
            <w:vAlign w:val="center"/>
            <w:hideMark/>
          </w:tcPr>
          <w:p w14:paraId="04B37A68" w14:textId="77777777" w:rsidR="004A2A74" w:rsidRPr="00E22444" w:rsidRDefault="004A2A74" w:rsidP="00E22444">
            <w:pPr>
              <w:pStyle w:val="NoSpacing"/>
              <w:jc w:val="center"/>
              <w:rPr>
                <w:rFonts w:ascii="Times New Roman" w:hAnsi="Times New Roman" w:cs="Times New Roman"/>
                <w:szCs w:val="24"/>
              </w:rPr>
            </w:pPr>
          </w:p>
        </w:tc>
        <w:tc>
          <w:tcPr>
            <w:tcW w:w="0" w:type="auto"/>
            <w:vAlign w:val="center"/>
            <w:hideMark/>
          </w:tcPr>
          <w:p w14:paraId="746B9F4D" w14:textId="77777777" w:rsidR="004A2A74" w:rsidRPr="00E22444" w:rsidRDefault="004A2A74" w:rsidP="00E22444">
            <w:pPr>
              <w:pStyle w:val="NoSpacing"/>
              <w:jc w:val="center"/>
              <w:rPr>
                <w:rFonts w:ascii="Times New Roman" w:hAnsi="Times New Roman" w:cs="Times New Roman"/>
                <w:szCs w:val="24"/>
              </w:rPr>
            </w:pPr>
          </w:p>
        </w:tc>
      </w:tr>
      <w:tr w:rsidR="009A78EE" w:rsidRPr="00E22444" w14:paraId="2B90A826" w14:textId="77777777" w:rsidTr="00E22444">
        <w:trPr>
          <w:trHeight w:val="340"/>
        </w:trPr>
        <w:tc>
          <w:tcPr>
            <w:tcW w:w="1135" w:type="dxa"/>
            <w:vMerge w:val="restart"/>
            <w:vAlign w:val="center"/>
            <w:hideMark/>
          </w:tcPr>
          <w:p w14:paraId="2A46DA7A" w14:textId="77777777" w:rsidR="009A78EE" w:rsidRPr="00E22444" w:rsidRDefault="009A78EE" w:rsidP="00E22444">
            <w:pPr>
              <w:pStyle w:val="NoSpacing"/>
              <w:rPr>
                <w:rFonts w:ascii="Times New Roman" w:hAnsi="Times New Roman" w:cs="Times New Roman"/>
                <w:szCs w:val="24"/>
              </w:rPr>
            </w:pPr>
            <w:r w:rsidRPr="00E22444">
              <w:rPr>
                <w:rFonts w:ascii="Times New Roman" w:hAnsi="Times New Roman" w:cs="Times New Roman"/>
                <w:szCs w:val="24"/>
              </w:rPr>
              <w:t>1968-69</w:t>
            </w:r>
          </w:p>
          <w:p w14:paraId="130983CB" w14:textId="7B384F5C" w:rsidR="009A78EE" w:rsidRPr="00E22444" w:rsidRDefault="009A78EE" w:rsidP="00E22444">
            <w:pPr>
              <w:pStyle w:val="NoSpacing"/>
              <w:rPr>
                <w:rFonts w:ascii="Times New Roman" w:hAnsi="Times New Roman" w:cs="Times New Roman"/>
                <w:szCs w:val="24"/>
              </w:rPr>
            </w:pPr>
            <w:r w:rsidRPr="00E22444">
              <w:rPr>
                <w:rFonts w:ascii="Times New Roman" w:hAnsi="Times New Roman" w:cs="Times New Roman"/>
                <w:szCs w:val="24"/>
              </w:rPr>
              <w:t>(R.E.)</w:t>
            </w:r>
          </w:p>
        </w:tc>
        <w:tc>
          <w:tcPr>
            <w:tcW w:w="1511" w:type="dxa"/>
            <w:vAlign w:val="center"/>
            <w:hideMark/>
          </w:tcPr>
          <w:p w14:paraId="6F11BED6" w14:textId="77777777" w:rsidR="009A78EE" w:rsidRPr="00E22444" w:rsidRDefault="009A78EE" w:rsidP="00E22444">
            <w:pPr>
              <w:pStyle w:val="NoSpacing"/>
              <w:rPr>
                <w:rFonts w:ascii="Times New Roman" w:hAnsi="Times New Roman" w:cs="Times New Roman"/>
                <w:szCs w:val="24"/>
              </w:rPr>
            </w:pPr>
            <w:r w:rsidRPr="00E22444">
              <w:rPr>
                <w:rFonts w:ascii="Times New Roman" w:hAnsi="Times New Roman" w:cs="Times New Roman"/>
                <w:szCs w:val="24"/>
              </w:rPr>
              <w:t>Basic</w:t>
            </w:r>
          </w:p>
        </w:tc>
        <w:tc>
          <w:tcPr>
            <w:tcW w:w="0" w:type="auto"/>
            <w:vAlign w:val="center"/>
            <w:hideMark/>
          </w:tcPr>
          <w:p w14:paraId="16D30B82" w14:textId="77777777" w:rsidR="009A78EE" w:rsidRPr="00E22444" w:rsidRDefault="009A78EE" w:rsidP="00E22444">
            <w:pPr>
              <w:pStyle w:val="NoSpacing"/>
              <w:jc w:val="center"/>
              <w:rPr>
                <w:rFonts w:ascii="Times New Roman" w:hAnsi="Times New Roman" w:cs="Times New Roman"/>
                <w:szCs w:val="24"/>
              </w:rPr>
            </w:pPr>
            <w:r w:rsidRPr="00E22444">
              <w:rPr>
                <w:rFonts w:ascii="Times New Roman" w:hAnsi="Times New Roman" w:cs="Times New Roman"/>
                <w:szCs w:val="24"/>
              </w:rPr>
              <w:t>48.87</w:t>
            </w:r>
          </w:p>
        </w:tc>
        <w:tc>
          <w:tcPr>
            <w:tcW w:w="0" w:type="auto"/>
            <w:vAlign w:val="center"/>
            <w:hideMark/>
          </w:tcPr>
          <w:p w14:paraId="396D4621" w14:textId="77777777" w:rsidR="009A78EE" w:rsidRPr="00E22444" w:rsidRDefault="009A78EE" w:rsidP="00E22444">
            <w:pPr>
              <w:pStyle w:val="NoSpacing"/>
              <w:jc w:val="center"/>
              <w:rPr>
                <w:rFonts w:ascii="Times New Roman" w:hAnsi="Times New Roman" w:cs="Times New Roman"/>
                <w:szCs w:val="24"/>
              </w:rPr>
            </w:pPr>
            <w:r w:rsidRPr="00E22444">
              <w:rPr>
                <w:rFonts w:ascii="Times New Roman" w:hAnsi="Times New Roman" w:cs="Times New Roman"/>
                <w:szCs w:val="24"/>
              </w:rPr>
              <w:t>142.05</w:t>
            </w:r>
          </w:p>
        </w:tc>
        <w:tc>
          <w:tcPr>
            <w:tcW w:w="0" w:type="auto"/>
            <w:vAlign w:val="center"/>
            <w:hideMark/>
          </w:tcPr>
          <w:p w14:paraId="302839E7" w14:textId="77777777" w:rsidR="009A78EE" w:rsidRPr="00E22444" w:rsidRDefault="009A78EE" w:rsidP="00E22444">
            <w:pPr>
              <w:pStyle w:val="NoSpacing"/>
              <w:jc w:val="center"/>
              <w:rPr>
                <w:rFonts w:ascii="Times New Roman" w:hAnsi="Times New Roman" w:cs="Times New Roman"/>
                <w:szCs w:val="24"/>
              </w:rPr>
            </w:pPr>
            <w:r w:rsidRPr="00E22444">
              <w:rPr>
                <w:rFonts w:ascii="Times New Roman" w:hAnsi="Times New Roman" w:cs="Times New Roman"/>
                <w:szCs w:val="24"/>
              </w:rPr>
              <w:t>57.78</w:t>
            </w:r>
          </w:p>
        </w:tc>
        <w:tc>
          <w:tcPr>
            <w:tcW w:w="0" w:type="auto"/>
            <w:vAlign w:val="center"/>
            <w:hideMark/>
          </w:tcPr>
          <w:p w14:paraId="12422B90" w14:textId="77777777" w:rsidR="009A78EE" w:rsidRPr="00E22444" w:rsidRDefault="009A78EE" w:rsidP="00E22444">
            <w:pPr>
              <w:pStyle w:val="NoSpacing"/>
              <w:jc w:val="center"/>
              <w:rPr>
                <w:rFonts w:ascii="Times New Roman" w:hAnsi="Times New Roman" w:cs="Times New Roman"/>
                <w:szCs w:val="24"/>
              </w:rPr>
            </w:pPr>
            <w:r w:rsidRPr="00E22444">
              <w:rPr>
                <w:rFonts w:ascii="Times New Roman" w:hAnsi="Times New Roman" w:cs="Times New Roman"/>
                <w:szCs w:val="24"/>
              </w:rPr>
              <w:t>248.70</w:t>
            </w:r>
          </w:p>
        </w:tc>
        <w:tc>
          <w:tcPr>
            <w:tcW w:w="0" w:type="auto"/>
            <w:vAlign w:val="center"/>
            <w:hideMark/>
          </w:tcPr>
          <w:p w14:paraId="0F8DE239" w14:textId="77777777" w:rsidR="009A78EE" w:rsidRPr="00E22444" w:rsidRDefault="009A78EE" w:rsidP="00E22444">
            <w:pPr>
              <w:pStyle w:val="NoSpacing"/>
              <w:jc w:val="center"/>
              <w:rPr>
                <w:rFonts w:ascii="Times New Roman" w:hAnsi="Times New Roman" w:cs="Times New Roman"/>
                <w:szCs w:val="24"/>
              </w:rPr>
            </w:pPr>
            <w:r w:rsidRPr="00E22444">
              <w:rPr>
                <w:rFonts w:ascii="Times New Roman" w:hAnsi="Times New Roman" w:cs="Times New Roman"/>
                <w:szCs w:val="24"/>
              </w:rPr>
              <w:t>940.00</w:t>
            </w:r>
          </w:p>
        </w:tc>
        <w:tc>
          <w:tcPr>
            <w:tcW w:w="0" w:type="auto"/>
            <w:vAlign w:val="center"/>
            <w:hideMark/>
          </w:tcPr>
          <w:p w14:paraId="512C4CF1" w14:textId="77777777" w:rsidR="009A78EE" w:rsidRPr="00E22444" w:rsidRDefault="009A78EE" w:rsidP="00E22444">
            <w:pPr>
              <w:pStyle w:val="NoSpacing"/>
              <w:jc w:val="center"/>
              <w:rPr>
                <w:rFonts w:ascii="Times New Roman" w:hAnsi="Times New Roman" w:cs="Times New Roman"/>
                <w:szCs w:val="24"/>
              </w:rPr>
            </w:pPr>
            <w:r w:rsidRPr="00E22444">
              <w:rPr>
                <w:rFonts w:ascii="Times New Roman" w:hAnsi="Times New Roman" w:cs="Times New Roman"/>
                <w:szCs w:val="24"/>
              </w:rPr>
              <w:t>1188.70</w:t>
            </w:r>
          </w:p>
        </w:tc>
      </w:tr>
      <w:tr w:rsidR="009A78EE" w:rsidRPr="00E22444" w14:paraId="3C59EC31" w14:textId="77777777" w:rsidTr="00E22444">
        <w:trPr>
          <w:trHeight w:val="340"/>
        </w:trPr>
        <w:tc>
          <w:tcPr>
            <w:tcW w:w="1135" w:type="dxa"/>
            <w:vMerge/>
            <w:vAlign w:val="center"/>
            <w:hideMark/>
          </w:tcPr>
          <w:p w14:paraId="678F712D" w14:textId="3BB1AD01" w:rsidR="009A78EE" w:rsidRPr="00E22444" w:rsidRDefault="009A78EE" w:rsidP="00E22444">
            <w:pPr>
              <w:pStyle w:val="NoSpacing"/>
              <w:rPr>
                <w:rFonts w:ascii="Times New Roman" w:hAnsi="Times New Roman" w:cs="Times New Roman"/>
                <w:szCs w:val="24"/>
              </w:rPr>
            </w:pPr>
          </w:p>
        </w:tc>
        <w:tc>
          <w:tcPr>
            <w:tcW w:w="1511" w:type="dxa"/>
            <w:vAlign w:val="center"/>
            <w:hideMark/>
          </w:tcPr>
          <w:p w14:paraId="04F5AE1B" w14:textId="77777777" w:rsidR="009A78EE" w:rsidRPr="00E22444" w:rsidRDefault="009A78EE" w:rsidP="00E22444">
            <w:pPr>
              <w:pStyle w:val="NoSpacing"/>
              <w:rPr>
                <w:rFonts w:ascii="Times New Roman" w:hAnsi="Times New Roman" w:cs="Times New Roman"/>
                <w:szCs w:val="24"/>
              </w:rPr>
            </w:pPr>
            <w:r w:rsidRPr="00E22444">
              <w:rPr>
                <w:rFonts w:ascii="Times New Roman" w:hAnsi="Times New Roman" w:cs="Times New Roman"/>
                <w:szCs w:val="24"/>
              </w:rPr>
              <w:t>Special</w:t>
            </w:r>
          </w:p>
        </w:tc>
        <w:tc>
          <w:tcPr>
            <w:tcW w:w="0" w:type="auto"/>
            <w:vAlign w:val="center"/>
            <w:hideMark/>
          </w:tcPr>
          <w:p w14:paraId="602504B8" w14:textId="77777777" w:rsidR="009A78EE" w:rsidRPr="00E22444" w:rsidRDefault="009A78EE" w:rsidP="00E22444">
            <w:pPr>
              <w:pStyle w:val="NoSpacing"/>
              <w:jc w:val="center"/>
              <w:rPr>
                <w:rFonts w:ascii="Times New Roman" w:hAnsi="Times New Roman" w:cs="Times New Roman"/>
                <w:szCs w:val="24"/>
              </w:rPr>
            </w:pPr>
            <w:r w:rsidRPr="00E22444">
              <w:rPr>
                <w:rFonts w:ascii="Times New Roman" w:hAnsi="Times New Roman" w:cs="Times New Roman"/>
                <w:szCs w:val="24"/>
              </w:rPr>
              <w:t>..</w:t>
            </w:r>
          </w:p>
        </w:tc>
        <w:tc>
          <w:tcPr>
            <w:tcW w:w="0" w:type="auto"/>
            <w:vAlign w:val="center"/>
            <w:hideMark/>
          </w:tcPr>
          <w:p w14:paraId="0732E88E" w14:textId="77777777" w:rsidR="009A78EE" w:rsidRPr="00E22444" w:rsidRDefault="009A78EE" w:rsidP="00E22444">
            <w:pPr>
              <w:pStyle w:val="NoSpacing"/>
              <w:jc w:val="center"/>
              <w:rPr>
                <w:rFonts w:ascii="Times New Roman" w:hAnsi="Times New Roman" w:cs="Times New Roman"/>
                <w:szCs w:val="24"/>
              </w:rPr>
            </w:pPr>
            <w:r w:rsidRPr="00E22444">
              <w:rPr>
                <w:rFonts w:ascii="Times New Roman" w:hAnsi="Times New Roman" w:cs="Times New Roman"/>
                <w:szCs w:val="24"/>
              </w:rPr>
              <w:t>28.42</w:t>
            </w:r>
          </w:p>
        </w:tc>
        <w:tc>
          <w:tcPr>
            <w:tcW w:w="0" w:type="auto"/>
            <w:vAlign w:val="center"/>
            <w:hideMark/>
          </w:tcPr>
          <w:p w14:paraId="47103DAB" w14:textId="77777777" w:rsidR="009A78EE" w:rsidRPr="00E22444" w:rsidRDefault="009A78EE" w:rsidP="00E22444">
            <w:pPr>
              <w:pStyle w:val="NoSpacing"/>
              <w:jc w:val="center"/>
              <w:rPr>
                <w:rFonts w:ascii="Times New Roman" w:hAnsi="Times New Roman" w:cs="Times New Roman"/>
                <w:szCs w:val="24"/>
              </w:rPr>
            </w:pPr>
            <w:r w:rsidRPr="00E22444">
              <w:rPr>
                <w:rFonts w:ascii="Times New Roman" w:hAnsi="Times New Roman" w:cs="Times New Roman"/>
                <w:szCs w:val="24"/>
              </w:rPr>
              <w:t>0.54</w:t>
            </w:r>
          </w:p>
        </w:tc>
        <w:tc>
          <w:tcPr>
            <w:tcW w:w="0" w:type="auto"/>
            <w:vAlign w:val="center"/>
            <w:hideMark/>
          </w:tcPr>
          <w:p w14:paraId="551A97CB" w14:textId="77777777" w:rsidR="009A78EE" w:rsidRPr="00E22444" w:rsidRDefault="009A78EE" w:rsidP="00E22444">
            <w:pPr>
              <w:pStyle w:val="NoSpacing"/>
              <w:jc w:val="center"/>
              <w:rPr>
                <w:rFonts w:ascii="Times New Roman" w:hAnsi="Times New Roman" w:cs="Times New Roman"/>
                <w:szCs w:val="24"/>
              </w:rPr>
            </w:pPr>
            <w:r w:rsidRPr="00E22444">
              <w:rPr>
                <w:rFonts w:ascii="Times New Roman" w:hAnsi="Times New Roman" w:cs="Times New Roman"/>
                <w:szCs w:val="24"/>
              </w:rPr>
              <w:t>28.96</w:t>
            </w:r>
          </w:p>
        </w:tc>
        <w:tc>
          <w:tcPr>
            <w:tcW w:w="0" w:type="auto"/>
            <w:vAlign w:val="center"/>
            <w:hideMark/>
          </w:tcPr>
          <w:p w14:paraId="783E3C4E" w14:textId="77777777" w:rsidR="009A78EE" w:rsidRPr="00E22444" w:rsidRDefault="009A78EE" w:rsidP="00E22444">
            <w:pPr>
              <w:pStyle w:val="NoSpacing"/>
              <w:jc w:val="center"/>
              <w:rPr>
                <w:rFonts w:ascii="Times New Roman" w:hAnsi="Times New Roman" w:cs="Times New Roman"/>
                <w:szCs w:val="24"/>
              </w:rPr>
            </w:pPr>
            <w:r w:rsidRPr="00E22444">
              <w:rPr>
                <w:rFonts w:ascii="Times New Roman" w:hAnsi="Times New Roman" w:cs="Times New Roman"/>
                <w:szCs w:val="24"/>
              </w:rPr>
              <w:t>48.66</w:t>
            </w:r>
          </w:p>
        </w:tc>
        <w:tc>
          <w:tcPr>
            <w:tcW w:w="0" w:type="auto"/>
            <w:vAlign w:val="center"/>
            <w:hideMark/>
          </w:tcPr>
          <w:p w14:paraId="069C7C51" w14:textId="77777777" w:rsidR="009A78EE" w:rsidRPr="00E22444" w:rsidRDefault="009A78EE" w:rsidP="00E22444">
            <w:pPr>
              <w:pStyle w:val="NoSpacing"/>
              <w:jc w:val="center"/>
              <w:rPr>
                <w:rFonts w:ascii="Times New Roman" w:hAnsi="Times New Roman" w:cs="Times New Roman"/>
                <w:szCs w:val="24"/>
              </w:rPr>
            </w:pPr>
            <w:r w:rsidRPr="00E22444">
              <w:rPr>
                <w:rFonts w:ascii="Times New Roman" w:hAnsi="Times New Roman" w:cs="Times New Roman"/>
                <w:szCs w:val="24"/>
              </w:rPr>
              <w:t>77.62</w:t>
            </w:r>
          </w:p>
        </w:tc>
      </w:tr>
      <w:tr w:rsidR="009A78EE" w:rsidRPr="00E22444" w14:paraId="3F5F526C" w14:textId="77777777" w:rsidTr="00E22444">
        <w:trPr>
          <w:trHeight w:val="340"/>
        </w:trPr>
        <w:tc>
          <w:tcPr>
            <w:tcW w:w="1135" w:type="dxa"/>
            <w:vMerge/>
            <w:vAlign w:val="center"/>
            <w:hideMark/>
          </w:tcPr>
          <w:p w14:paraId="60C6F98D" w14:textId="77777777" w:rsidR="009A78EE" w:rsidRPr="00E22444" w:rsidRDefault="009A78EE" w:rsidP="00E22444">
            <w:pPr>
              <w:pStyle w:val="NoSpacing"/>
              <w:rPr>
                <w:rFonts w:ascii="Times New Roman" w:hAnsi="Times New Roman" w:cs="Times New Roman"/>
                <w:szCs w:val="24"/>
              </w:rPr>
            </w:pPr>
          </w:p>
        </w:tc>
        <w:tc>
          <w:tcPr>
            <w:tcW w:w="1511" w:type="dxa"/>
            <w:vAlign w:val="center"/>
            <w:hideMark/>
          </w:tcPr>
          <w:p w14:paraId="4C6089B0" w14:textId="77777777" w:rsidR="009A78EE" w:rsidRPr="00E22444" w:rsidRDefault="009A78EE" w:rsidP="00E22444">
            <w:pPr>
              <w:pStyle w:val="NoSpacing"/>
              <w:rPr>
                <w:rFonts w:ascii="Times New Roman" w:hAnsi="Times New Roman" w:cs="Times New Roman"/>
                <w:szCs w:val="24"/>
              </w:rPr>
            </w:pPr>
            <w:r w:rsidRPr="00E22444">
              <w:rPr>
                <w:rFonts w:ascii="Times New Roman" w:hAnsi="Times New Roman" w:cs="Times New Roman"/>
                <w:szCs w:val="24"/>
              </w:rPr>
              <w:t>Additional</w:t>
            </w:r>
          </w:p>
        </w:tc>
        <w:tc>
          <w:tcPr>
            <w:tcW w:w="0" w:type="auto"/>
            <w:vAlign w:val="center"/>
            <w:hideMark/>
          </w:tcPr>
          <w:p w14:paraId="2E8EFB42" w14:textId="77777777" w:rsidR="009A78EE" w:rsidRPr="00E22444" w:rsidRDefault="009A78EE" w:rsidP="00E22444">
            <w:pPr>
              <w:pStyle w:val="NoSpacing"/>
              <w:jc w:val="center"/>
              <w:rPr>
                <w:rFonts w:ascii="Times New Roman" w:hAnsi="Times New Roman" w:cs="Times New Roman"/>
                <w:szCs w:val="24"/>
              </w:rPr>
            </w:pPr>
            <w:r w:rsidRPr="00E22444">
              <w:rPr>
                <w:rFonts w:ascii="Times New Roman" w:hAnsi="Times New Roman" w:cs="Times New Roman"/>
                <w:szCs w:val="24"/>
              </w:rPr>
              <w:t>14.76</w:t>
            </w:r>
          </w:p>
        </w:tc>
        <w:tc>
          <w:tcPr>
            <w:tcW w:w="0" w:type="auto"/>
            <w:vAlign w:val="center"/>
            <w:hideMark/>
          </w:tcPr>
          <w:p w14:paraId="3E49D00B" w14:textId="77777777" w:rsidR="009A78EE" w:rsidRPr="00E22444" w:rsidRDefault="009A78EE" w:rsidP="00E22444">
            <w:pPr>
              <w:pStyle w:val="NoSpacing"/>
              <w:jc w:val="center"/>
              <w:rPr>
                <w:rFonts w:ascii="Times New Roman" w:hAnsi="Times New Roman" w:cs="Times New Roman"/>
                <w:szCs w:val="24"/>
              </w:rPr>
            </w:pPr>
            <w:r w:rsidRPr="00E22444">
              <w:rPr>
                <w:rFonts w:ascii="Times New Roman" w:hAnsi="Times New Roman" w:cs="Times New Roman"/>
                <w:szCs w:val="24"/>
              </w:rPr>
              <w:t>18.26</w:t>
            </w:r>
          </w:p>
        </w:tc>
        <w:tc>
          <w:tcPr>
            <w:tcW w:w="0" w:type="auto"/>
            <w:vAlign w:val="center"/>
            <w:hideMark/>
          </w:tcPr>
          <w:p w14:paraId="30BF1143" w14:textId="77777777" w:rsidR="009A78EE" w:rsidRPr="00E22444" w:rsidRDefault="009A78EE" w:rsidP="00E22444">
            <w:pPr>
              <w:pStyle w:val="NoSpacing"/>
              <w:jc w:val="center"/>
              <w:rPr>
                <w:rFonts w:ascii="Times New Roman" w:hAnsi="Times New Roman" w:cs="Times New Roman"/>
                <w:szCs w:val="24"/>
              </w:rPr>
            </w:pPr>
            <w:r w:rsidRPr="00E22444">
              <w:rPr>
                <w:rFonts w:ascii="Times New Roman" w:hAnsi="Times New Roman" w:cs="Times New Roman"/>
                <w:szCs w:val="24"/>
              </w:rPr>
              <w:t>21.11</w:t>
            </w:r>
          </w:p>
        </w:tc>
        <w:tc>
          <w:tcPr>
            <w:tcW w:w="0" w:type="auto"/>
            <w:vAlign w:val="center"/>
            <w:hideMark/>
          </w:tcPr>
          <w:p w14:paraId="2D05F3F5" w14:textId="77777777" w:rsidR="009A78EE" w:rsidRPr="00E22444" w:rsidRDefault="009A78EE" w:rsidP="00E22444">
            <w:pPr>
              <w:pStyle w:val="NoSpacing"/>
              <w:jc w:val="center"/>
              <w:rPr>
                <w:rFonts w:ascii="Times New Roman" w:hAnsi="Times New Roman" w:cs="Times New Roman"/>
                <w:szCs w:val="24"/>
              </w:rPr>
            </w:pPr>
            <w:r w:rsidRPr="00E22444">
              <w:rPr>
                <w:rFonts w:ascii="Times New Roman" w:hAnsi="Times New Roman" w:cs="Times New Roman"/>
                <w:szCs w:val="24"/>
              </w:rPr>
              <w:t>54.13</w:t>
            </w:r>
          </w:p>
        </w:tc>
        <w:tc>
          <w:tcPr>
            <w:tcW w:w="0" w:type="auto"/>
            <w:vAlign w:val="center"/>
            <w:hideMark/>
          </w:tcPr>
          <w:p w14:paraId="586CD5D2" w14:textId="77777777" w:rsidR="009A78EE" w:rsidRPr="00E22444" w:rsidRDefault="009A78EE" w:rsidP="00E22444">
            <w:pPr>
              <w:pStyle w:val="NoSpacing"/>
              <w:jc w:val="center"/>
              <w:rPr>
                <w:rFonts w:ascii="Times New Roman" w:hAnsi="Times New Roman" w:cs="Times New Roman"/>
                <w:szCs w:val="24"/>
              </w:rPr>
            </w:pPr>
            <w:r w:rsidRPr="00E22444">
              <w:rPr>
                <w:rFonts w:ascii="Times New Roman" w:hAnsi="Times New Roman" w:cs="Times New Roman"/>
                <w:szCs w:val="24"/>
              </w:rPr>
              <w:t>..</w:t>
            </w:r>
          </w:p>
        </w:tc>
        <w:tc>
          <w:tcPr>
            <w:tcW w:w="0" w:type="auto"/>
            <w:vAlign w:val="center"/>
            <w:hideMark/>
          </w:tcPr>
          <w:p w14:paraId="6253AEA1" w14:textId="77777777" w:rsidR="009A78EE" w:rsidRPr="00E22444" w:rsidRDefault="009A78EE" w:rsidP="00E22444">
            <w:pPr>
              <w:pStyle w:val="NoSpacing"/>
              <w:jc w:val="center"/>
              <w:rPr>
                <w:rFonts w:ascii="Times New Roman" w:hAnsi="Times New Roman" w:cs="Times New Roman"/>
                <w:szCs w:val="24"/>
              </w:rPr>
            </w:pPr>
            <w:r w:rsidRPr="00E22444">
              <w:rPr>
                <w:rFonts w:ascii="Times New Roman" w:hAnsi="Times New Roman" w:cs="Times New Roman"/>
                <w:szCs w:val="24"/>
              </w:rPr>
              <w:t>54.13</w:t>
            </w:r>
          </w:p>
        </w:tc>
      </w:tr>
      <w:tr w:rsidR="009A78EE" w:rsidRPr="00E22444" w14:paraId="668F458A" w14:textId="77777777" w:rsidTr="00E22444">
        <w:trPr>
          <w:trHeight w:val="340"/>
        </w:trPr>
        <w:tc>
          <w:tcPr>
            <w:tcW w:w="1135" w:type="dxa"/>
            <w:vMerge/>
            <w:vAlign w:val="center"/>
            <w:hideMark/>
          </w:tcPr>
          <w:p w14:paraId="46E9BD58" w14:textId="77777777" w:rsidR="009A78EE" w:rsidRPr="00E22444" w:rsidRDefault="009A78EE" w:rsidP="00E22444">
            <w:pPr>
              <w:pStyle w:val="NoSpacing"/>
              <w:rPr>
                <w:rFonts w:ascii="Times New Roman" w:hAnsi="Times New Roman" w:cs="Times New Roman"/>
                <w:szCs w:val="24"/>
              </w:rPr>
            </w:pPr>
          </w:p>
        </w:tc>
        <w:tc>
          <w:tcPr>
            <w:tcW w:w="1511" w:type="dxa"/>
            <w:vAlign w:val="center"/>
            <w:hideMark/>
          </w:tcPr>
          <w:p w14:paraId="1011B715" w14:textId="77777777" w:rsidR="009A78EE" w:rsidRPr="00E22444" w:rsidRDefault="009A78EE" w:rsidP="00E22444">
            <w:pPr>
              <w:pStyle w:val="NoSpacing"/>
              <w:rPr>
                <w:rFonts w:ascii="Times New Roman" w:hAnsi="Times New Roman" w:cs="Times New Roman"/>
                <w:szCs w:val="24"/>
              </w:rPr>
            </w:pPr>
            <w:r w:rsidRPr="00E22444">
              <w:rPr>
                <w:rFonts w:ascii="Times New Roman" w:hAnsi="Times New Roman" w:cs="Times New Roman"/>
                <w:szCs w:val="24"/>
              </w:rPr>
              <w:t>TOTAL</w:t>
            </w:r>
          </w:p>
        </w:tc>
        <w:tc>
          <w:tcPr>
            <w:tcW w:w="0" w:type="auto"/>
            <w:vAlign w:val="center"/>
            <w:hideMark/>
          </w:tcPr>
          <w:p w14:paraId="12A95981" w14:textId="77777777" w:rsidR="009A78EE" w:rsidRPr="00E22444" w:rsidRDefault="009A78EE" w:rsidP="00E22444">
            <w:pPr>
              <w:pStyle w:val="NoSpacing"/>
              <w:jc w:val="center"/>
              <w:rPr>
                <w:rFonts w:ascii="Times New Roman" w:hAnsi="Times New Roman" w:cs="Times New Roman"/>
                <w:szCs w:val="24"/>
              </w:rPr>
            </w:pPr>
            <w:r w:rsidRPr="00E22444">
              <w:rPr>
                <w:rFonts w:ascii="Times New Roman" w:hAnsi="Times New Roman" w:cs="Times New Roman"/>
                <w:szCs w:val="24"/>
              </w:rPr>
              <w:t>63.63</w:t>
            </w:r>
          </w:p>
        </w:tc>
        <w:tc>
          <w:tcPr>
            <w:tcW w:w="0" w:type="auto"/>
            <w:vAlign w:val="center"/>
            <w:hideMark/>
          </w:tcPr>
          <w:p w14:paraId="05DB582C" w14:textId="77777777" w:rsidR="009A78EE" w:rsidRPr="00E22444" w:rsidRDefault="009A78EE" w:rsidP="00E22444">
            <w:pPr>
              <w:pStyle w:val="NoSpacing"/>
              <w:jc w:val="center"/>
              <w:rPr>
                <w:rFonts w:ascii="Times New Roman" w:hAnsi="Times New Roman" w:cs="Times New Roman"/>
                <w:szCs w:val="24"/>
              </w:rPr>
            </w:pPr>
            <w:r w:rsidRPr="00E22444">
              <w:rPr>
                <w:rFonts w:ascii="Times New Roman" w:hAnsi="Times New Roman" w:cs="Times New Roman"/>
                <w:szCs w:val="24"/>
              </w:rPr>
              <w:t>188.73</w:t>
            </w:r>
          </w:p>
        </w:tc>
        <w:tc>
          <w:tcPr>
            <w:tcW w:w="0" w:type="auto"/>
            <w:vAlign w:val="center"/>
            <w:hideMark/>
          </w:tcPr>
          <w:p w14:paraId="4AD24D33" w14:textId="77777777" w:rsidR="009A78EE" w:rsidRPr="00E22444" w:rsidRDefault="009A78EE" w:rsidP="00E22444">
            <w:pPr>
              <w:pStyle w:val="NoSpacing"/>
              <w:jc w:val="center"/>
              <w:rPr>
                <w:rFonts w:ascii="Times New Roman" w:hAnsi="Times New Roman" w:cs="Times New Roman"/>
                <w:szCs w:val="24"/>
              </w:rPr>
            </w:pPr>
            <w:r w:rsidRPr="00E22444">
              <w:rPr>
                <w:rFonts w:ascii="Times New Roman" w:hAnsi="Times New Roman" w:cs="Times New Roman"/>
                <w:szCs w:val="24"/>
              </w:rPr>
              <w:t>79.43</w:t>
            </w:r>
          </w:p>
        </w:tc>
        <w:tc>
          <w:tcPr>
            <w:tcW w:w="0" w:type="auto"/>
            <w:vAlign w:val="center"/>
            <w:hideMark/>
          </w:tcPr>
          <w:p w14:paraId="00E886BB" w14:textId="77777777" w:rsidR="009A78EE" w:rsidRPr="00E22444" w:rsidRDefault="009A78EE" w:rsidP="00E22444">
            <w:pPr>
              <w:pStyle w:val="NoSpacing"/>
              <w:jc w:val="center"/>
              <w:rPr>
                <w:rFonts w:ascii="Times New Roman" w:hAnsi="Times New Roman" w:cs="Times New Roman"/>
                <w:szCs w:val="24"/>
              </w:rPr>
            </w:pPr>
            <w:r w:rsidRPr="00E22444">
              <w:rPr>
                <w:rFonts w:ascii="Times New Roman" w:hAnsi="Times New Roman" w:cs="Times New Roman"/>
                <w:szCs w:val="24"/>
              </w:rPr>
              <w:t>331.79</w:t>
            </w:r>
          </w:p>
        </w:tc>
        <w:tc>
          <w:tcPr>
            <w:tcW w:w="0" w:type="auto"/>
            <w:vAlign w:val="center"/>
            <w:hideMark/>
          </w:tcPr>
          <w:p w14:paraId="7385684E" w14:textId="77777777" w:rsidR="009A78EE" w:rsidRPr="00E22444" w:rsidRDefault="009A78EE" w:rsidP="00E22444">
            <w:pPr>
              <w:pStyle w:val="NoSpacing"/>
              <w:jc w:val="center"/>
              <w:rPr>
                <w:rFonts w:ascii="Times New Roman" w:hAnsi="Times New Roman" w:cs="Times New Roman"/>
                <w:szCs w:val="24"/>
              </w:rPr>
            </w:pPr>
            <w:r w:rsidRPr="00E22444">
              <w:rPr>
                <w:rFonts w:ascii="Times New Roman" w:hAnsi="Times New Roman" w:cs="Times New Roman"/>
                <w:szCs w:val="24"/>
              </w:rPr>
              <w:t>988.66</w:t>
            </w:r>
          </w:p>
        </w:tc>
        <w:tc>
          <w:tcPr>
            <w:tcW w:w="0" w:type="auto"/>
            <w:vAlign w:val="center"/>
            <w:hideMark/>
          </w:tcPr>
          <w:p w14:paraId="5FFF7744" w14:textId="77777777" w:rsidR="009A78EE" w:rsidRPr="00E22444" w:rsidRDefault="009A78EE" w:rsidP="00E22444">
            <w:pPr>
              <w:pStyle w:val="NoSpacing"/>
              <w:jc w:val="center"/>
              <w:rPr>
                <w:rFonts w:ascii="Times New Roman" w:hAnsi="Times New Roman" w:cs="Times New Roman"/>
                <w:szCs w:val="24"/>
              </w:rPr>
            </w:pPr>
            <w:r w:rsidRPr="00E22444">
              <w:rPr>
                <w:rFonts w:ascii="Times New Roman" w:hAnsi="Times New Roman" w:cs="Times New Roman"/>
                <w:szCs w:val="24"/>
              </w:rPr>
              <w:t>1320.45</w:t>
            </w:r>
          </w:p>
        </w:tc>
      </w:tr>
      <w:tr w:rsidR="004A2A74" w:rsidRPr="00E22444" w14:paraId="723531B2" w14:textId="77777777" w:rsidTr="00E22444">
        <w:trPr>
          <w:trHeight w:val="340"/>
        </w:trPr>
        <w:tc>
          <w:tcPr>
            <w:tcW w:w="1135" w:type="dxa"/>
            <w:vAlign w:val="center"/>
            <w:hideMark/>
          </w:tcPr>
          <w:p w14:paraId="216BB72C" w14:textId="77777777" w:rsidR="004A2A74" w:rsidRPr="00E22444" w:rsidRDefault="004A2A74" w:rsidP="00E22444">
            <w:pPr>
              <w:pStyle w:val="NoSpacing"/>
              <w:rPr>
                <w:rFonts w:ascii="Times New Roman" w:hAnsi="Times New Roman" w:cs="Times New Roman"/>
                <w:szCs w:val="24"/>
              </w:rPr>
            </w:pPr>
          </w:p>
        </w:tc>
        <w:tc>
          <w:tcPr>
            <w:tcW w:w="1511" w:type="dxa"/>
            <w:vAlign w:val="center"/>
            <w:hideMark/>
          </w:tcPr>
          <w:p w14:paraId="3C5EC603" w14:textId="77777777" w:rsidR="004A2A74" w:rsidRPr="00E22444" w:rsidRDefault="004A2A74" w:rsidP="00E22444">
            <w:pPr>
              <w:pStyle w:val="NoSpacing"/>
              <w:rPr>
                <w:rFonts w:ascii="Times New Roman" w:hAnsi="Times New Roman" w:cs="Times New Roman"/>
                <w:szCs w:val="24"/>
              </w:rPr>
            </w:pPr>
          </w:p>
        </w:tc>
        <w:tc>
          <w:tcPr>
            <w:tcW w:w="0" w:type="auto"/>
            <w:vAlign w:val="center"/>
            <w:hideMark/>
          </w:tcPr>
          <w:p w14:paraId="1ADF2F51" w14:textId="77777777" w:rsidR="004A2A74" w:rsidRPr="00E22444" w:rsidRDefault="004A2A74" w:rsidP="00E22444">
            <w:pPr>
              <w:pStyle w:val="NoSpacing"/>
              <w:jc w:val="center"/>
              <w:rPr>
                <w:rFonts w:ascii="Times New Roman" w:hAnsi="Times New Roman" w:cs="Times New Roman"/>
                <w:szCs w:val="24"/>
              </w:rPr>
            </w:pPr>
          </w:p>
        </w:tc>
        <w:tc>
          <w:tcPr>
            <w:tcW w:w="0" w:type="auto"/>
            <w:vAlign w:val="center"/>
            <w:hideMark/>
          </w:tcPr>
          <w:p w14:paraId="7F27022D" w14:textId="77777777" w:rsidR="004A2A74" w:rsidRPr="00E22444" w:rsidRDefault="004A2A74" w:rsidP="00E22444">
            <w:pPr>
              <w:pStyle w:val="NoSpacing"/>
              <w:jc w:val="center"/>
              <w:rPr>
                <w:rFonts w:ascii="Times New Roman" w:hAnsi="Times New Roman" w:cs="Times New Roman"/>
                <w:szCs w:val="24"/>
              </w:rPr>
            </w:pPr>
          </w:p>
        </w:tc>
        <w:tc>
          <w:tcPr>
            <w:tcW w:w="0" w:type="auto"/>
            <w:vAlign w:val="center"/>
            <w:hideMark/>
          </w:tcPr>
          <w:p w14:paraId="168B6AB1" w14:textId="77777777" w:rsidR="004A2A74" w:rsidRPr="00E22444" w:rsidRDefault="004A2A74" w:rsidP="00E22444">
            <w:pPr>
              <w:pStyle w:val="NoSpacing"/>
              <w:jc w:val="center"/>
              <w:rPr>
                <w:rFonts w:ascii="Times New Roman" w:hAnsi="Times New Roman" w:cs="Times New Roman"/>
                <w:szCs w:val="24"/>
              </w:rPr>
            </w:pPr>
          </w:p>
        </w:tc>
        <w:tc>
          <w:tcPr>
            <w:tcW w:w="0" w:type="auto"/>
            <w:vAlign w:val="center"/>
            <w:hideMark/>
          </w:tcPr>
          <w:p w14:paraId="7D88C2F7" w14:textId="77777777" w:rsidR="004A2A74" w:rsidRPr="00E22444" w:rsidRDefault="004A2A74" w:rsidP="00E22444">
            <w:pPr>
              <w:pStyle w:val="NoSpacing"/>
              <w:jc w:val="center"/>
              <w:rPr>
                <w:rFonts w:ascii="Times New Roman" w:hAnsi="Times New Roman" w:cs="Times New Roman"/>
                <w:szCs w:val="24"/>
              </w:rPr>
            </w:pPr>
          </w:p>
        </w:tc>
        <w:tc>
          <w:tcPr>
            <w:tcW w:w="0" w:type="auto"/>
            <w:vAlign w:val="center"/>
            <w:hideMark/>
          </w:tcPr>
          <w:p w14:paraId="02AC868E" w14:textId="77777777" w:rsidR="004A2A74" w:rsidRPr="00E22444" w:rsidRDefault="004A2A74" w:rsidP="00E22444">
            <w:pPr>
              <w:pStyle w:val="NoSpacing"/>
              <w:jc w:val="center"/>
              <w:rPr>
                <w:rFonts w:ascii="Times New Roman" w:hAnsi="Times New Roman" w:cs="Times New Roman"/>
                <w:szCs w:val="24"/>
              </w:rPr>
            </w:pPr>
          </w:p>
        </w:tc>
        <w:tc>
          <w:tcPr>
            <w:tcW w:w="0" w:type="auto"/>
            <w:vAlign w:val="center"/>
            <w:hideMark/>
          </w:tcPr>
          <w:p w14:paraId="2FB29CC6" w14:textId="77777777" w:rsidR="004A2A74" w:rsidRPr="00E22444" w:rsidRDefault="004A2A74" w:rsidP="00E22444">
            <w:pPr>
              <w:pStyle w:val="NoSpacing"/>
              <w:jc w:val="center"/>
              <w:rPr>
                <w:rFonts w:ascii="Times New Roman" w:hAnsi="Times New Roman" w:cs="Times New Roman"/>
                <w:szCs w:val="24"/>
              </w:rPr>
            </w:pPr>
          </w:p>
        </w:tc>
      </w:tr>
      <w:tr w:rsidR="009A78EE" w:rsidRPr="00E22444" w14:paraId="6A7C217A" w14:textId="77777777" w:rsidTr="00E22444">
        <w:trPr>
          <w:trHeight w:val="340"/>
        </w:trPr>
        <w:tc>
          <w:tcPr>
            <w:tcW w:w="1135" w:type="dxa"/>
            <w:vMerge w:val="restart"/>
            <w:vAlign w:val="center"/>
            <w:hideMark/>
          </w:tcPr>
          <w:p w14:paraId="4BD30830" w14:textId="77777777" w:rsidR="009A78EE" w:rsidRPr="00E22444" w:rsidRDefault="009A78EE" w:rsidP="00E22444">
            <w:pPr>
              <w:pStyle w:val="NoSpacing"/>
              <w:rPr>
                <w:rFonts w:ascii="Times New Roman" w:hAnsi="Times New Roman" w:cs="Times New Roman"/>
                <w:szCs w:val="24"/>
              </w:rPr>
            </w:pPr>
            <w:r w:rsidRPr="00E22444">
              <w:rPr>
                <w:rFonts w:ascii="Times New Roman" w:hAnsi="Times New Roman" w:cs="Times New Roman"/>
                <w:szCs w:val="24"/>
              </w:rPr>
              <w:t>1969-70*</w:t>
            </w:r>
          </w:p>
          <w:p w14:paraId="7DC05B5E" w14:textId="79EDF765" w:rsidR="009A78EE" w:rsidRPr="00E22444" w:rsidRDefault="009A78EE" w:rsidP="00E22444">
            <w:pPr>
              <w:pStyle w:val="NoSpacing"/>
              <w:rPr>
                <w:rFonts w:ascii="Times New Roman" w:hAnsi="Times New Roman" w:cs="Times New Roman"/>
                <w:szCs w:val="24"/>
              </w:rPr>
            </w:pPr>
            <w:r w:rsidRPr="00E22444">
              <w:rPr>
                <w:rFonts w:ascii="Times New Roman" w:hAnsi="Times New Roman" w:cs="Times New Roman"/>
                <w:szCs w:val="24"/>
              </w:rPr>
              <w:t>(B.E.)</w:t>
            </w:r>
          </w:p>
        </w:tc>
        <w:tc>
          <w:tcPr>
            <w:tcW w:w="1511" w:type="dxa"/>
            <w:vAlign w:val="center"/>
            <w:hideMark/>
          </w:tcPr>
          <w:p w14:paraId="577E1FF4" w14:textId="77777777" w:rsidR="009A78EE" w:rsidRPr="00E22444" w:rsidRDefault="009A78EE" w:rsidP="00E22444">
            <w:pPr>
              <w:pStyle w:val="NoSpacing"/>
              <w:rPr>
                <w:rFonts w:ascii="Times New Roman" w:hAnsi="Times New Roman" w:cs="Times New Roman"/>
                <w:szCs w:val="24"/>
              </w:rPr>
            </w:pPr>
            <w:r w:rsidRPr="00E22444">
              <w:rPr>
                <w:rFonts w:ascii="Times New Roman" w:hAnsi="Times New Roman" w:cs="Times New Roman"/>
                <w:szCs w:val="24"/>
              </w:rPr>
              <w:t>Basic</w:t>
            </w:r>
          </w:p>
        </w:tc>
        <w:tc>
          <w:tcPr>
            <w:tcW w:w="0" w:type="auto"/>
            <w:vAlign w:val="center"/>
            <w:hideMark/>
          </w:tcPr>
          <w:p w14:paraId="1C9CC8C2" w14:textId="77777777" w:rsidR="009A78EE" w:rsidRPr="00E22444" w:rsidRDefault="009A78EE" w:rsidP="00E22444">
            <w:pPr>
              <w:pStyle w:val="NoSpacing"/>
              <w:jc w:val="center"/>
              <w:rPr>
                <w:rFonts w:ascii="Times New Roman" w:hAnsi="Times New Roman" w:cs="Times New Roman"/>
                <w:szCs w:val="24"/>
              </w:rPr>
            </w:pPr>
            <w:r w:rsidRPr="00E22444">
              <w:rPr>
                <w:rFonts w:ascii="Times New Roman" w:hAnsi="Times New Roman" w:cs="Times New Roman"/>
                <w:szCs w:val="24"/>
              </w:rPr>
              <w:t>80.66</w:t>
            </w:r>
          </w:p>
        </w:tc>
        <w:tc>
          <w:tcPr>
            <w:tcW w:w="0" w:type="auto"/>
            <w:vAlign w:val="center"/>
            <w:hideMark/>
          </w:tcPr>
          <w:p w14:paraId="45CE6A48" w14:textId="77777777" w:rsidR="009A78EE" w:rsidRPr="00E22444" w:rsidRDefault="009A78EE" w:rsidP="00E22444">
            <w:pPr>
              <w:pStyle w:val="NoSpacing"/>
              <w:jc w:val="center"/>
              <w:rPr>
                <w:rFonts w:ascii="Times New Roman" w:hAnsi="Times New Roman" w:cs="Times New Roman"/>
                <w:szCs w:val="24"/>
              </w:rPr>
            </w:pPr>
            <w:r w:rsidRPr="00E22444">
              <w:rPr>
                <w:rFonts w:ascii="Times New Roman" w:hAnsi="Times New Roman" w:cs="Times New Roman"/>
                <w:szCs w:val="24"/>
              </w:rPr>
              <w:t>156.10</w:t>
            </w:r>
          </w:p>
        </w:tc>
        <w:tc>
          <w:tcPr>
            <w:tcW w:w="0" w:type="auto"/>
            <w:vAlign w:val="center"/>
            <w:hideMark/>
          </w:tcPr>
          <w:p w14:paraId="1AD021A7" w14:textId="77777777" w:rsidR="009A78EE" w:rsidRPr="00E22444" w:rsidRDefault="009A78EE" w:rsidP="00E22444">
            <w:pPr>
              <w:pStyle w:val="NoSpacing"/>
              <w:jc w:val="center"/>
              <w:rPr>
                <w:rFonts w:ascii="Times New Roman" w:hAnsi="Times New Roman" w:cs="Times New Roman"/>
                <w:szCs w:val="24"/>
              </w:rPr>
            </w:pPr>
            <w:r w:rsidRPr="00E22444">
              <w:rPr>
                <w:rFonts w:ascii="Times New Roman" w:hAnsi="Times New Roman" w:cs="Times New Roman"/>
                <w:szCs w:val="24"/>
              </w:rPr>
              <w:t>58.13</w:t>
            </w:r>
          </w:p>
        </w:tc>
        <w:tc>
          <w:tcPr>
            <w:tcW w:w="0" w:type="auto"/>
            <w:vAlign w:val="center"/>
            <w:hideMark/>
          </w:tcPr>
          <w:p w14:paraId="3DA7C0CF" w14:textId="77777777" w:rsidR="009A78EE" w:rsidRPr="00E22444" w:rsidRDefault="009A78EE" w:rsidP="00E22444">
            <w:pPr>
              <w:pStyle w:val="NoSpacing"/>
              <w:jc w:val="center"/>
              <w:rPr>
                <w:rFonts w:ascii="Times New Roman" w:hAnsi="Times New Roman" w:cs="Times New Roman"/>
                <w:szCs w:val="24"/>
              </w:rPr>
            </w:pPr>
            <w:r w:rsidRPr="00E22444">
              <w:rPr>
                <w:rFonts w:ascii="Times New Roman" w:hAnsi="Times New Roman" w:cs="Times New Roman"/>
                <w:szCs w:val="24"/>
              </w:rPr>
              <w:t>294.89</w:t>
            </w:r>
          </w:p>
        </w:tc>
        <w:tc>
          <w:tcPr>
            <w:tcW w:w="0" w:type="auto"/>
            <w:vAlign w:val="center"/>
            <w:hideMark/>
          </w:tcPr>
          <w:p w14:paraId="679CA76E" w14:textId="77777777" w:rsidR="009A78EE" w:rsidRPr="00E22444" w:rsidRDefault="009A78EE" w:rsidP="00E22444">
            <w:pPr>
              <w:pStyle w:val="NoSpacing"/>
              <w:jc w:val="center"/>
              <w:rPr>
                <w:rFonts w:ascii="Times New Roman" w:hAnsi="Times New Roman" w:cs="Times New Roman"/>
                <w:szCs w:val="24"/>
              </w:rPr>
            </w:pPr>
            <w:r w:rsidRPr="00E22444">
              <w:rPr>
                <w:rFonts w:ascii="Times New Roman" w:hAnsi="Times New Roman" w:cs="Times New Roman"/>
                <w:szCs w:val="24"/>
              </w:rPr>
              <w:t>985.16</w:t>
            </w:r>
          </w:p>
        </w:tc>
        <w:tc>
          <w:tcPr>
            <w:tcW w:w="0" w:type="auto"/>
            <w:vAlign w:val="center"/>
            <w:hideMark/>
          </w:tcPr>
          <w:p w14:paraId="7FD005D1" w14:textId="77777777" w:rsidR="009A78EE" w:rsidRPr="00E22444" w:rsidRDefault="009A78EE" w:rsidP="00E22444">
            <w:pPr>
              <w:pStyle w:val="NoSpacing"/>
              <w:jc w:val="center"/>
              <w:rPr>
                <w:rFonts w:ascii="Times New Roman" w:hAnsi="Times New Roman" w:cs="Times New Roman"/>
                <w:szCs w:val="24"/>
              </w:rPr>
            </w:pPr>
            <w:r w:rsidRPr="00E22444">
              <w:rPr>
                <w:rFonts w:ascii="Times New Roman" w:hAnsi="Times New Roman" w:cs="Times New Roman"/>
                <w:szCs w:val="24"/>
              </w:rPr>
              <w:t>1280.05</w:t>
            </w:r>
          </w:p>
        </w:tc>
      </w:tr>
      <w:tr w:rsidR="009A78EE" w:rsidRPr="00E22444" w14:paraId="683A4A70" w14:textId="77777777" w:rsidTr="00E22444">
        <w:trPr>
          <w:trHeight w:val="340"/>
        </w:trPr>
        <w:tc>
          <w:tcPr>
            <w:tcW w:w="1135" w:type="dxa"/>
            <w:vMerge/>
            <w:vAlign w:val="center"/>
            <w:hideMark/>
          </w:tcPr>
          <w:p w14:paraId="371D3D95" w14:textId="61C48945" w:rsidR="009A78EE" w:rsidRPr="00E22444" w:rsidRDefault="009A78EE" w:rsidP="00E22444">
            <w:pPr>
              <w:pStyle w:val="NoSpacing"/>
              <w:rPr>
                <w:rFonts w:ascii="Times New Roman" w:hAnsi="Times New Roman" w:cs="Times New Roman"/>
                <w:szCs w:val="24"/>
              </w:rPr>
            </w:pPr>
          </w:p>
        </w:tc>
        <w:tc>
          <w:tcPr>
            <w:tcW w:w="1511" w:type="dxa"/>
            <w:vAlign w:val="center"/>
            <w:hideMark/>
          </w:tcPr>
          <w:p w14:paraId="77D0450F" w14:textId="77777777" w:rsidR="009A78EE" w:rsidRPr="00E22444" w:rsidRDefault="009A78EE" w:rsidP="00E22444">
            <w:pPr>
              <w:pStyle w:val="NoSpacing"/>
              <w:rPr>
                <w:rFonts w:ascii="Times New Roman" w:hAnsi="Times New Roman" w:cs="Times New Roman"/>
                <w:szCs w:val="24"/>
              </w:rPr>
            </w:pPr>
            <w:r w:rsidRPr="00E22444">
              <w:rPr>
                <w:rFonts w:ascii="Times New Roman" w:hAnsi="Times New Roman" w:cs="Times New Roman"/>
                <w:szCs w:val="24"/>
              </w:rPr>
              <w:t>Special</w:t>
            </w:r>
          </w:p>
        </w:tc>
        <w:tc>
          <w:tcPr>
            <w:tcW w:w="0" w:type="auto"/>
            <w:vAlign w:val="center"/>
            <w:hideMark/>
          </w:tcPr>
          <w:p w14:paraId="0BF638AE" w14:textId="77777777" w:rsidR="009A78EE" w:rsidRPr="00E22444" w:rsidRDefault="009A78EE" w:rsidP="00E22444">
            <w:pPr>
              <w:pStyle w:val="NoSpacing"/>
              <w:jc w:val="center"/>
              <w:rPr>
                <w:rFonts w:ascii="Times New Roman" w:hAnsi="Times New Roman" w:cs="Times New Roman"/>
                <w:szCs w:val="24"/>
              </w:rPr>
            </w:pPr>
            <w:r w:rsidRPr="00E22444">
              <w:rPr>
                <w:rFonts w:ascii="Times New Roman" w:hAnsi="Times New Roman" w:cs="Times New Roman"/>
                <w:szCs w:val="24"/>
              </w:rPr>
              <w:t>..</w:t>
            </w:r>
          </w:p>
        </w:tc>
        <w:tc>
          <w:tcPr>
            <w:tcW w:w="0" w:type="auto"/>
            <w:vAlign w:val="center"/>
            <w:hideMark/>
          </w:tcPr>
          <w:p w14:paraId="7FE911CC" w14:textId="77777777" w:rsidR="009A78EE" w:rsidRPr="00E22444" w:rsidRDefault="009A78EE" w:rsidP="00E22444">
            <w:pPr>
              <w:pStyle w:val="NoSpacing"/>
              <w:jc w:val="center"/>
              <w:rPr>
                <w:rFonts w:ascii="Times New Roman" w:hAnsi="Times New Roman" w:cs="Times New Roman"/>
                <w:szCs w:val="24"/>
              </w:rPr>
            </w:pPr>
            <w:r w:rsidRPr="00E22444">
              <w:rPr>
                <w:rFonts w:ascii="Times New Roman" w:hAnsi="Times New Roman" w:cs="Times New Roman"/>
                <w:szCs w:val="24"/>
              </w:rPr>
              <w:t>31.03</w:t>
            </w:r>
          </w:p>
        </w:tc>
        <w:tc>
          <w:tcPr>
            <w:tcW w:w="0" w:type="auto"/>
            <w:vAlign w:val="center"/>
            <w:hideMark/>
          </w:tcPr>
          <w:p w14:paraId="2B5CADDB" w14:textId="77777777" w:rsidR="009A78EE" w:rsidRPr="00E22444" w:rsidRDefault="009A78EE" w:rsidP="00E22444">
            <w:pPr>
              <w:pStyle w:val="NoSpacing"/>
              <w:jc w:val="center"/>
              <w:rPr>
                <w:rFonts w:ascii="Times New Roman" w:hAnsi="Times New Roman" w:cs="Times New Roman"/>
                <w:szCs w:val="24"/>
              </w:rPr>
            </w:pPr>
            <w:r w:rsidRPr="00E22444">
              <w:rPr>
                <w:rFonts w:ascii="Times New Roman" w:hAnsi="Times New Roman" w:cs="Times New Roman"/>
                <w:szCs w:val="24"/>
              </w:rPr>
              <w:t>0.57</w:t>
            </w:r>
          </w:p>
        </w:tc>
        <w:tc>
          <w:tcPr>
            <w:tcW w:w="0" w:type="auto"/>
            <w:vAlign w:val="center"/>
            <w:hideMark/>
          </w:tcPr>
          <w:p w14:paraId="1D867005" w14:textId="77777777" w:rsidR="009A78EE" w:rsidRPr="00E22444" w:rsidRDefault="009A78EE" w:rsidP="00E22444">
            <w:pPr>
              <w:pStyle w:val="NoSpacing"/>
              <w:jc w:val="center"/>
              <w:rPr>
                <w:rFonts w:ascii="Times New Roman" w:hAnsi="Times New Roman" w:cs="Times New Roman"/>
                <w:szCs w:val="24"/>
              </w:rPr>
            </w:pPr>
            <w:r w:rsidRPr="00E22444">
              <w:rPr>
                <w:rFonts w:ascii="Times New Roman" w:hAnsi="Times New Roman" w:cs="Times New Roman"/>
                <w:szCs w:val="24"/>
              </w:rPr>
              <w:t>31.60</w:t>
            </w:r>
          </w:p>
        </w:tc>
        <w:tc>
          <w:tcPr>
            <w:tcW w:w="0" w:type="auto"/>
            <w:vAlign w:val="center"/>
            <w:hideMark/>
          </w:tcPr>
          <w:p w14:paraId="498431E7" w14:textId="77777777" w:rsidR="009A78EE" w:rsidRPr="00E22444" w:rsidRDefault="009A78EE" w:rsidP="00E22444">
            <w:pPr>
              <w:pStyle w:val="NoSpacing"/>
              <w:jc w:val="center"/>
              <w:rPr>
                <w:rFonts w:ascii="Times New Roman" w:hAnsi="Times New Roman" w:cs="Times New Roman"/>
                <w:szCs w:val="24"/>
              </w:rPr>
            </w:pPr>
            <w:r w:rsidRPr="00E22444">
              <w:rPr>
                <w:rFonts w:ascii="Times New Roman" w:hAnsi="Times New Roman" w:cs="Times New Roman"/>
                <w:szCs w:val="24"/>
              </w:rPr>
              <w:t>47.23</w:t>
            </w:r>
          </w:p>
        </w:tc>
        <w:tc>
          <w:tcPr>
            <w:tcW w:w="0" w:type="auto"/>
            <w:vAlign w:val="center"/>
            <w:hideMark/>
          </w:tcPr>
          <w:p w14:paraId="6F7B4CB2" w14:textId="77777777" w:rsidR="009A78EE" w:rsidRPr="00E22444" w:rsidRDefault="009A78EE" w:rsidP="00E22444">
            <w:pPr>
              <w:pStyle w:val="NoSpacing"/>
              <w:jc w:val="center"/>
              <w:rPr>
                <w:rFonts w:ascii="Times New Roman" w:hAnsi="Times New Roman" w:cs="Times New Roman"/>
                <w:szCs w:val="24"/>
              </w:rPr>
            </w:pPr>
            <w:r w:rsidRPr="00E22444">
              <w:rPr>
                <w:rFonts w:ascii="Times New Roman" w:hAnsi="Times New Roman" w:cs="Times New Roman"/>
                <w:szCs w:val="24"/>
              </w:rPr>
              <w:t>78.83</w:t>
            </w:r>
          </w:p>
        </w:tc>
      </w:tr>
      <w:tr w:rsidR="009A78EE" w:rsidRPr="00E22444" w14:paraId="0B990BBB" w14:textId="77777777" w:rsidTr="00E22444">
        <w:trPr>
          <w:trHeight w:val="340"/>
        </w:trPr>
        <w:tc>
          <w:tcPr>
            <w:tcW w:w="1135" w:type="dxa"/>
            <w:vMerge/>
            <w:vAlign w:val="center"/>
            <w:hideMark/>
          </w:tcPr>
          <w:p w14:paraId="1F469B9B" w14:textId="77777777" w:rsidR="009A78EE" w:rsidRPr="00E22444" w:rsidRDefault="009A78EE" w:rsidP="00E22444">
            <w:pPr>
              <w:pStyle w:val="NoSpacing"/>
              <w:rPr>
                <w:rFonts w:ascii="Times New Roman" w:hAnsi="Times New Roman" w:cs="Times New Roman"/>
                <w:szCs w:val="24"/>
              </w:rPr>
            </w:pPr>
          </w:p>
        </w:tc>
        <w:tc>
          <w:tcPr>
            <w:tcW w:w="1511" w:type="dxa"/>
            <w:vAlign w:val="center"/>
            <w:hideMark/>
          </w:tcPr>
          <w:p w14:paraId="72CC58E1" w14:textId="77777777" w:rsidR="009A78EE" w:rsidRPr="00E22444" w:rsidRDefault="009A78EE" w:rsidP="00E22444">
            <w:pPr>
              <w:pStyle w:val="NoSpacing"/>
              <w:rPr>
                <w:rFonts w:ascii="Times New Roman" w:hAnsi="Times New Roman" w:cs="Times New Roman"/>
                <w:szCs w:val="24"/>
              </w:rPr>
            </w:pPr>
            <w:r w:rsidRPr="00E22444">
              <w:rPr>
                <w:rFonts w:ascii="Times New Roman" w:hAnsi="Times New Roman" w:cs="Times New Roman"/>
                <w:szCs w:val="24"/>
              </w:rPr>
              <w:t>Additional</w:t>
            </w:r>
          </w:p>
        </w:tc>
        <w:tc>
          <w:tcPr>
            <w:tcW w:w="0" w:type="auto"/>
            <w:vAlign w:val="center"/>
            <w:hideMark/>
          </w:tcPr>
          <w:p w14:paraId="247AAC32" w14:textId="77777777" w:rsidR="009A78EE" w:rsidRPr="00E22444" w:rsidRDefault="009A78EE" w:rsidP="00E22444">
            <w:pPr>
              <w:pStyle w:val="NoSpacing"/>
              <w:jc w:val="center"/>
              <w:rPr>
                <w:rFonts w:ascii="Times New Roman" w:hAnsi="Times New Roman" w:cs="Times New Roman"/>
                <w:szCs w:val="24"/>
              </w:rPr>
            </w:pPr>
            <w:r w:rsidRPr="00E22444">
              <w:rPr>
                <w:rFonts w:ascii="Times New Roman" w:hAnsi="Times New Roman" w:cs="Times New Roman"/>
                <w:szCs w:val="24"/>
              </w:rPr>
              <w:t>16.75</w:t>
            </w:r>
          </w:p>
        </w:tc>
        <w:tc>
          <w:tcPr>
            <w:tcW w:w="0" w:type="auto"/>
            <w:vAlign w:val="center"/>
            <w:hideMark/>
          </w:tcPr>
          <w:p w14:paraId="112CC8C4" w14:textId="77777777" w:rsidR="009A78EE" w:rsidRPr="00E22444" w:rsidRDefault="009A78EE" w:rsidP="00E22444">
            <w:pPr>
              <w:pStyle w:val="NoSpacing"/>
              <w:jc w:val="center"/>
              <w:rPr>
                <w:rFonts w:ascii="Times New Roman" w:hAnsi="Times New Roman" w:cs="Times New Roman"/>
                <w:szCs w:val="24"/>
              </w:rPr>
            </w:pPr>
            <w:r w:rsidRPr="00E22444">
              <w:rPr>
                <w:rFonts w:ascii="Times New Roman" w:hAnsi="Times New Roman" w:cs="Times New Roman"/>
                <w:szCs w:val="24"/>
              </w:rPr>
              <w:t>23.09</w:t>
            </w:r>
          </w:p>
        </w:tc>
        <w:tc>
          <w:tcPr>
            <w:tcW w:w="0" w:type="auto"/>
            <w:vAlign w:val="center"/>
            <w:hideMark/>
          </w:tcPr>
          <w:p w14:paraId="7E1ECF6E" w14:textId="77777777" w:rsidR="009A78EE" w:rsidRPr="00E22444" w:rsidRDefault="009A78EE" w:rsidP="00E22444">
            <w:pPr>
              <w:pStyle w:val="NoSpacing"/>
              <w:jc w:val="center"/>
              <w:rPr>
                <w:rFonts w:ascii="Times New Roman" w:hAnsi="Times New Roman" w:cs="Times New Roman"/>
                <w:szCs w:val="24"/>
              </w:rPr>
            </w:pPr>
            <w:r w:rsidRPr="00E22444">
              <w:rPr>
                <w:rFonts w:ascii="Times New Roman" w:hAnsi="Times New Roman" w:cs="Times New Roman"/>
                <w:szCs w:val="24"/>
              </w:rPr>
              <w:t>22.91</w:t>
            </w:r>
          </w:p>
        </w:tc>
        <w:tc>
          <w:tcPr>
            <w:tcW w:w="0" w:type="auto"/>
            <w:vAlign w:val="center"/>
            <w:hideMark/>
          </w:tcPr>
          <w:p w14:paraId="7F08B30E" w14:textId="77777777" w:rsidR="009A78EE" w:rsidRPr="00E22444" w:rsidRDefault="009A78EE" w:rsidP="00E22444">
            <w:pPr>
              <w:pStyle w:val="NoSpacing"/>
              <w:jc w:val="center"/>
              <w:rPr>
                <w:rFonts w:ascii="Times New Roman" w:hAnsi="Times New Roman" w:cs="Times New Roman"/>
                <w:szCs w:val="24"/>
              </w:rPr>
            </w:pPr>
            <w:r w:rsidRPr="00E22444">
              <w:rPr>
                <w:rFonts w:ascii="Times New Roman" w:hAnsi="Times New Roman" w:cs="Times New Roman"/>
                <w:szCs w:val="24"/>
              </w:rPr>
              <w:t>62.75</w:t>
            </w:r>
          </w:p>
        </w:tc>
        <w:tc>
          <w:tcPr>
            <w:tcW w:w="0" w:type="auto"/>
            <w:vAlign w:val="center"/>
            <w:hideMark/>
          </w:tcPr>
          <w:p w14:paraId="0BCA2948" w14:textId="77777777" w:rsidR="009A78EE" w:rsidRPr="00E22444" w:rsidRDefault="009A78EE" w:rsidP="00E22444">
            <w:pPr>
              <w:pStyle w:val="NoSpacing"/>
              <w:jc w:val="center"/>
              <w:rPr>
                <w:rFonts w:ascii="Times New Roman" w:hAnsi="Times New Roman" w:cs="Times New Roman"/>
                <w:szCs w:val="24"/>
              </w:rPr>
            </w:pPr>
            <w:r w:rsidRPr="00E22444">
              <w:rPr>
                <w:rFonts w:ascii="Times New Roman" w:hAnsi="Times New Roman" w:cs="Times New Roman"/>
                <w:szCs w:val="24"/>
              </w:rPr>
              <w:t>..</w:t>
            </w:r>
          </w:p>
        </w:tc>
        <w:tc>
          <w:tcPr>
            <w:tcW w:w="0" w:type="auto"/>
            <w:vAlign w:val="center"/>
            <w:hideMark/>
          </w:tcPr>
          <w:p w14:paraId="659E791C" w14:textId="77777777" w:rsidR="009A78EE" w:rsidRPr="00E22444" w:rsidRDefault="009A78EE" w:rsidP="00E22444">
            <w:pPr>
              <w:pStyle w:val="NoSpacing"/>
              <w:jc w:val="center"/>
              <w:rPr>
                <w:rFonts w:ascii="Times New Roman" w:hAnsi="Times New Roman" w:cs="Times New Roman"/>
                <w:szCs w:val="24"/>
              </w:rPr>
            </w:pPr>
            <w:r w:rsidRPr="00E22444">
              <w:rPr>
                <w:rFonts w:ascii="Times New Roman" w:hAnsi="Times New Roman" w:cs="Times New Roman"/>
                <w:szCs w:val="24"/>
              </w:rPr>
              <w:t>62.75</w:t>
            </w:r>
          </w:p>
        </w:tc>
      </w:tr>
      <w:tr w:rsidR="009A78EE" w:rsidRPr="00E22444" w14:paraId="3095D347" w14:textId="77777777" w:rsidTr="00E22444">
        <w:trPr>
          <w:trHeight w:val="340"/>
        </w:trPr>
        <w:tc>
          <w:tcPr>
            <w:tcW w:w="1135" w:type="dxa"/>
            <w:vMerge/>
            <w:vAlign w:val="center"/>
            <w:hideMark/>
          </w:tcPr>
          <w:p w14:paraId="0963AF46" w14:textId="77777777" w:rsidR="009A78EE" w:rsidRPr="00E22444" w:rsidRDefault="009A78EE" w:rsidP="00E22444">
            <w:pPr>
              <w:pStyle w:val="NoSpacing"/>
              <w:rPr>
                <w:rFonts w:ascii="Times New Roman" w:hAnsi="Times New Roman" w:cs="Times New Roman"/>
                <w:szCs w:val="24"/>
              </w:rPr>
            </w:pPr>
          </w:p>
        </w:tc>
        <w:tc>
          <w:tcPr>
            <w:tcW w:w="1511" w:type="dxa"/>
            <w:vAlign w:val="center"/>
            <w:hideMark/>
          </w:tcPr>
          <w:p w14:paraId="5047B598" w14:textId="77777777" w:rsidR="009A78EE" w:rsidRPr="00E22444" w:rsidRDefault="009A78EE" w:rsidP="00E22444">
            <w:pPr>
              <w:pStyle w:val="NoSpacing"/>
              <w:rPr>
                <w:rFonts w:ascii="Times New Roman" w:hAnsi="Times New Roman" w:cs="Times New Roman"/>
                <w:szCs w:val="24"/>
              </w:rPr>
            </w:pPr>
            <w:r w:rsidRPr="00E22444">
              <w:rPr>
                <w:rFonts w:ascii="Times New Roman" w:hAnsi="Times New Roman" w:cs="Times New Roman"/>
                <w:szCs w:val="24"/>
              </w:rPr>
              <w:t>TOTAL</w:t>
            </w:r>
          </w:p>
        </w:tc>
        <w:tc>
          <w:tcPr>
            <w:tcW w:w="0" w:type="auto"/>
            <w:vAlign w:val="center"/>
            <w:hideMark/>
          </w:tcPr>
          <w:p w14:paraId="6A0E65A7" w14:textId="77777777" w:rsidR="009A78EE" w:rsidRPr="00E22444" w:rsidRDefault="009A78EE" w:rsidP="00E22444">
            <w:pPr>
              <w:pStyle w:val="NoSpacing"/>
              <w:jc w:val="center"/>
              <w:rPr>
                <w:rFonts w:ascii="Times New Roman" w:hAnsi="Times New Roman" w:cs="Times New Roman"/>
                <w:szCs w:val="24"/>
              </w:rPr>
            </w:pPr>
            <w:r w:rsidRPr="00E22444">
              <w:rPr>
                <w:rFonts w:ascii="Times New Roman" w:hAnsi="Times New Roman" w:cs="Times New Roman"/>
                <w:szCs w:val="24"/>
              </w:rPr>
              <w:t>97.41</w:t>
            </w:r>
          </w:p>
        </w:tc>
        <w:tc>
          <w:tcPr>
            <w:tcW w:w="0" w:type="auto"/>
            <w:vAlign w:val="center"/>
            <w:hideMark/>
          </w:tcPr>
          <w:p w14:paraId="455EA4EA" w14:textId="77777777" w:rsidR="009A78EE" w:rsidRPr="00E22444" w:rsidRDefault="009A78EE" w:rsidP="00E22444">
            <w:pPr>
              <w:pStyle w:val="NoSpacing"/>
              <w:jc w:val="center"/>
              <w:rPr>
                <w:rFonts w:ascii="Times New Roman" w:hAnsi="Times New Roman" w:cs="Times New Roman"/>
                <w:szCs w:val="24"/>
              </w:rPr>
            </w:pPr>
            <w:r w:rsidRPr="00E22444">
              <w:rPr>
                <w:rFonts w:ascii="Times New Roman" w:hAnsi="Times New Roman" w:cs="Times New Roman"/>
                <w:szCs w:val="24"/>
              </w:rPr>
              <w:t>210.22</w:t>
            </w:r>
          </w:p>
        </w:tc>
        <w:tc>
          <w:tcPr>
            <w:tcW w:w="0" w:type="auto"/>
            <w:vAlign w:val="center"/>
            <w:hideMark/>
          </w:tcPr>
          <w:p w14:paraId="5AE97867" w14:textId="77777777" w:rsidR="009A78EE" w:rsidRPr="00E22444" w:rsidRDefault="009A78EE" w:rsidP="00E22444">
            <w:pPr>
              <w:pStyle w:val="NoSpacing"/>
              <w:jc w:val="center"/>
              <w:rPr>
                <w:rFonts w:ascii="Times New Roman" w:hAnsi="Times New Roman" w:cs="Times New Roman"/>
                <w:szCs w:val="24"/>
              </w:rPr>
            </w:pPr>
            <w:r w:rsidRPr="00E22444">
              <w:rPr>
                <w:rFonts w:ascii="Times New Roman" w:hAnsi="Times New Roman" w:cs="Times New Roman"/>
                <w:szCs w:val="24"/>
              </w:rPr>
              <w:t>81.61</w:t>
            </w:r>
          </w:p>
        </w:tc>
        <w:tc>
          <w:tcPr>
            <w:tcW w:w="0" w:type="auto"/>
            <w:vAlign w:val="center"/>
            <w:hideMark/>
          </w:tcPr>
          <w:p w14:paraId="49BCE7A0" w14:textId="77777777" w:rsidR="009A78EE" w:rsidRPr="00E22444" w:rsidRDefault="009A78EE" w:rsidP="00E22444">
            <w:pPr>
              <w:pStyle w:val="NoSpacing"/>
              <w:jc w:val="center"/>
              <w:rPr>
                <w:rFonts w:ascii="Times New Roman" w:hAnsi="Times New Roman" w:cs="Times New Roman"/>
                <w:szCs w:val="24"/>
              </w:rPr>
            </w:pPr>
            <w:r w:rsidRPr="00E22444">
              <w:rPr>
                <w:rFonts w:ascii="Times New Roman" w:hAnsi="Times New Roman" w:cs="Times New Roman"/>
                <w:szCs w:val="24"/>
              </w:rPr>
              <w:t>389.24</w:t>
            </w:r>
          </w:p>
        </w:tc>
        <w:tc>
          <w:tcPr>
            <w:tcW w:w="0" w:type="auto"/>
            <w:vAlign w:val="center"/>
            <w:hideMark/>
          </w:tcPr>
          <w:p w14:paraId="6F0EC7A7" w14:textId="77777777" w:rsidR="009A78EE" w:rsidRPr="00E22444" w:rsidRDefault="009A78EE" w:rsidP="00E22444">
            <w:pPr>
              <w:pStyle w:val="NoSpacing"/>
              <w:jc w:val="center"/>
              <w:rPr>
                <w:rFonts w:ascii="Times New Roman" w:hAnsi="Times New Roman" w:cs="Times New Roman"/>
                <w:szCs w:val="24"/>
              </w:rPr>
            </w:pPr>
            <w:r w:rsidRPr="00E22444">
              <w:rPr>
                <w:rFonts w:ascii="Times New Roman" w:hAnsi="Times New Roman" w:cs="Times New Roman"/>
                <w:szCs w:val="24"/>
              </w:rPr>
              <w:t>1032.39</w:t>
            </w:r>
          </w:p>
        </w:tc>
        <w:tc>
          <w:tcPr>
            <w:tcW w:w="0" w:type="auto"/>
            <w:vAlign w:val="center"/>
            <w:hideMark/>
          </w:tcPr>
          <w:p w14:paraId="250E4C67" w14:textId="77777777" w:rsidR="009A78EE" w:rsidRPr="00E22444" w:rsidRDefault="009A78EE" w:rsidP="00E22444">
            <w:pPr>
              <w:pStyle w:val="NoSpacing"/>
              <w:jc w:val="center"/>
              <w:rPr>
                <w:rFonts w:ascii="Times New Roman" w:hAnsi="Times New Roman" w:cs="Times New Roman"/>
                <w:szCs w:val="24"/>
              </w:rPr>
            </w:pPr>
            <w:r w:rsidRPr="00E22444">
              <w:rPr>
                <w:rFonts w:ascii="Times New Roman" w:hAnsi="Times New Roman" w:cs="Times New Roman"/>
                <w:szCs w:val="24"/>
              </w:rPr>
              <w:t>1421.63</w:t>
            </w:r>
          </w:p>
        </w:tc>
      </w:tr>
    </w:tbl>
    <w:p w14:paraId="7ED705AF" w14:textId="77777777" w:rsidR="004A2A74" w:rsidRPr="00E22444" w:rsidRDefault="004A2A74" w:rsidP="004A2A74">
      <w:pPr>
        <w:rPr>
          <w:rFonts w:ascii="Times New Roman" w:hAnsi="Times New Roman" w:cs="Times New Roman"/>
          <w:sz w:val="20"/>
          <w:szCs w:val="20"/>
        </w:rPr>
      </w:pPr>
      <w:r w:rsidRPr="00E22444">
        <w:rPr>
          <w:rFonts w:ascii="Times New Roman" w:hAnsi="Times New Roman" w:cs="Times New Roman"/>
          <w:sz w:val="20"/>
          <w:szCs w:val="20"/>
        </w:rPr>
        <w:t>Source: Budgets of the Government of India.</w:t>
      </w:r>
      <w:r w:rsidRPr="00E22444">
        <w:rPr>
          <w:rFonts w:ascii="Times New Roman" w:hAnsi="Times New Roman" w:cs="Times New Roman"/>
          <w:sz w:val="20"/>
          <w:szCs w:val="20"/>
        </w:rPr>
        <w:br/>
        <w:t>*Includes additional taxation.</w:t>
      </w:r>
    </w:p>
    <w:p w14:paraId="549C82BF" w14:textId="77777777" w:rsidR="004A2A74" w:rsidRPr="007245B0" w:rsidRDefault="004A2A74" w:rsidP="004A2A74">
      <w:pPr>
        <w:rPr>
          <w:rFonts w:ascii="Times New Roman" w:hAnsi="Times New Roman" w:cs="Times New Roman"/>
          <w:i/>
          <w:iCs/>
          <w:szCs w:val="24"/>
        </w:rPr>
      </w:pPr>
      <w:r w:rsidRPr="007245B0">
        <w:rPr>
          <w:rFonts w:ascii="Times New Roman" w:hAnsi="Times New Roman" w:cs="Times New Roman"/>
          <w:i/>
          <w:iCs/>
          <w:szCs w:val="24"/>
        </w:rPr>
        <w:br w:type="page"/>
      </w:r>
    </w:p>
    <w:p w14:paraId="7AABEF10" w14:textId="3DB4CB89" w:rsidR="00E22444" w:rsidRDefault="00574BCE" w:rsidP="00E22444">
      <w:pPr>
        <w:jc w:val="center"/>
        <w:rPr>
          <w:rFonts w:ascii="Times New Roman" w:hAnsi="Times New Roman" w:cs="Times New Roman"/>
          <w:i/>
          <w:iCs/>
          <w:szCs w:val="24"/>
        </w:rPr>
      </w:pPr>
      <w:bookmarkStart w:id="177" w:name="_Toc220949729"/>
      <w:bookmarkStart w:id="178" w:name="_Toc221114329"/>
      <w:bookmarkStart w:id="179" w:name="_Toc221115352"/>
      <w:r>
        <w:rPr>
          <w:rStyle w:val="Heading4Char"/>
        </w:rPr>
        <w:lastRenderedPageBreak/>
        <w:t>Table</w:t>
      </w:r>
      <w:r w:rsidR="004A2A74" w:rsidRPr="00E22444">
        <w:rPr>
          <w:rStyle w:val="Heading4Char"/>
        </w:rPr>
        <w:t xml:space="preserve"> 48: Revenue from Union Excise Duties, Additional Excise Duties and Special Excise</w:t>
      </w:r>
      <w:r w:rsidR="007D2EE4" w:rsidRPr="00E22444">
        <w:rPr>
          <w:rStyle w:val="Heading4Char"/>
        </w:rPr>
        <w:t xml:space="preserve"> </w:t>
      </w:r>
      <w:r w:rsidR="004A2A74" w:rsidRPr="00E22444">
        <w:rPr>
          <w:rStyle w:val="Heading4Char"/>
        </w:rPr>
        <w:t>Duties from 1950-51 to 1969-70.</w:t>
      </w:r>
      <w:bookmarkEnd w:id="177"/>
      <w:bookmarkEnd w:id="178"/>
      <w:bookmarkEnd w:id="179"/>
    </w:p>
    <w:p w14:paraId="7BA47CA7" w14:textId="1071D959" w:rsidR="004A2A74" w:rsidRPr="007245B0" w:rsidRDefault="004A2A74" w:rsidP="00E22444">
      <w:pPr>
        <w:jc w:val="right"/>
        <w:rPr>
          <w:rFonts w:ascii="Times New Roman" w:hAnsi="Times New Roman" w:cs="Times New Roman"/>
          <w:i/>
          <w:iCs/>
          <w:szCs w:val="24"/>
        </w:rPr>
      </w:pPr>
      <w:r w:rsidRPr="007245B0">
        <w:rPr>
          <w:rFonts w:ascii="Times New Roman" w:hAnsi="Times New Roman" w:cs="Times New Roman"/>
          <w:i/>
          <w:iCs/>
          <w:szCs w:val="24"/>
        </w:rPr>
        <w:t>(Rs. crores)</w:t>
      </w:r>
    </w:p>
    <w:tbl>
      <w:tblPr>
        <w:tblStyle w:val="TableGrid"/>
        <w:tblW w:w="10023" w:type="dxa"/>
        <w:tblLook w:val="04A0" w:firstRow="1" w:lastRow="0" w:firstColumn="1" w:lastColumn="0" w:noHBand="0" w:noVBand="1"/>
      </w:tblPr>
      <w:tblGrid>
        <w:gridCol w:w="1672"/>
        <w:gridCol w:w="2238"/>
        <w:gridCol w:w="2774"/>
        <w:gridCol w:w="2353"/>
        <w:gridCol w:w="986"/>
      </w:tblGrid>
      <w:tr w:rsidR="004A2A74" w:rsidRPr="00E22444" w14:paraId="60C442D7" w14:textId="77777777" w:rsidTr="00E22444">
        <w:trPr>
          <w:trHeight w:val="373"/>
        </w:trPr>
        <w:tc>
          <w:tcPr>
            <w:tcW w:w="0" w:type="auto"/>
            <w:vMerge w:val="restart"/>
            <w:vAlign w:val="center"/>
          </w:tcPr>
          <w:p w14:paraId="704F133E" w14:textId="77777777" w:rsidR="004A2A74" w:rsidRPr="00E22444" w:rsidRDefault="004A2A74" w:rsidP="00E22444">
            <w:pPr>
              <w:pStyle w:val="NoSpacing"/>
              <w:jc w:val="center"/>
              <w:rPr>
                <w:rFonts w:ascii="Times New Roman" w:hAnsi="Times New Roman" w:cs="Times New Roman"/>
                <w:b/>
                <w:bCs/>
                <w:sz w:val="28"/>
                <w:szCs w:val="28"/>
              </w:rPr>
            </w:pPr>
            <w:r w:rsidRPr="00E22444">
              <w:rPr>
                <w:rFonts w:ascii="Times New Roman" w:hAnsi="Times New Roman" w:cs="Times New Roman"/>
                <w:b/>
                <w:bCs/>
                <w:sz w:val="28"/>
                <w:szCs w:val="28"/>
              </w:rPr>
              <w:t>Year</w:t>
            </w:r>
          </w:p>
        </w:tc>
        <w:tc>
          <w:tcPr>
            <w:tcW w:w="0" w:type="auto"/>
            <w:gridSpan w:val="3"/>
            <w:vAlign w:val="center"/>
          </w:tcPr>
          <w:p w14:paraId="24A2260A" w14:textId="77777777" w:rsidR="004A2A74" w:rsidRPr="00E22444" w:rsidRDefault="004A2A74" w:rsidP="00E22444">
            <w:pPr>
              <w:pStyle w:val="NoSpacing"/>
              <w:jc w:val="center"/>
              <w:rPr>
                <w:rFonts w:ascii="Times New Roman" w:hAnsi="Times New Roman" w:cs="Times New Roman"/>
                <w:b/>
                <w:bCs/>
                <w:sz w:val="28"/>
                <w:szCs w:val="28"/>
              </w:rPr>
            </w:pPr>
            <w:r w:rsidRPr="00E22444">
              <w:rPr>
                <w:rFonts w:ascii="Times New Roman" w:hAnsi="Times New Roman" w:cs="Times New Roman"/>
                <w:b/>
                <w:bCs/>
                <w:sz w:val="28"/>
                <w:szCs w:val="28"/>
              </w:rPr>
              <w:t>Revenue from</w:t>
            </w:r>
          </w:p>
        </w:tc>
        <w:tc>
          <w:tcPr>
            <w:tcW w:w="0" w:type="auto"/>
            <w:vMerge w:val="restart"/>
            <w:vAlign w:val="center"/>
          </w:tcPr>
          <w:p w14:paraId="7B9A127D" w14:textId="77777777" w:rsidR="004A2A74" w:rsidRPr="00E22444" w:rsidRDefault="004A2A74" w:rsidP="00E22444">
            <w:pPr>
              <w:pStyle w:val="NoSpacing"/>
              <w:jc w:val="center"/>
              <w:rPr>
                <w:rFonts w:ascii="Times New Roman" w:hAnsi="Times New Roman" w:cs="Times New Roman"/>
                <w:b/>
                <w:bCs/>
                <w:sz w:val="28"/>
                <w:szCs w:val="28"/>
              </w:rPr>
            </w:pPr>
            <w:r w:rsidRPr="00E22444">
              <w:rPr>
                <w:rFonts w:ascii="Times New Roman" w:hAnsi="Times New Roman" w:cs="Times New Roman"/>
                <w:b/>
                <w:bCs/>
                <w:sz w:val="28"/>
                <w:szCs w:val="28"/>
              </w:rPr>
              <w:t>Total</w:t>
            </w:r>
          </w:p>
        </w:tc>
      </w:tr>
      <w:tr w:rsidR="004A2A74" w:rsidRPr="00E22444" w14:paraId="24EB24AD" w14:textId="77777777" w:rsidTr="00E22444">
        <w:trPr>
          <w:trHeight w:val="594"/>
        </w:trPr>
        <w:tc>
          <w:tcPr>
            <w:tcW w:w="0" w:type="auto"/>
            <w:vMerge/>
            <w:vAlign w:val="center"/>
            <w:hideMark/>
          </w:tcPr>
          <w:p w14:paraId="64450EA4" w14:textId="77777777" w:rsidR="004A2A74" w:rsidRPr="00E22444" w:rsidRDefault="004A2A74" w:rsidP="00E22444">
            <w:pPr>
              <w:pStyle w:val="NoSpacing"/>
              <w:jc w:val="center"/>
              <w:rPr>
                <w:rFonts w:ascii="Times New Roman" w:hAnsi="Times New Roman" w:cs="Times New Roman"/>
                <w:b/>
                <w:bCs/>
                <w:sz w:val="28"/>
                <w:szCs w:val="28"/>
              </w:rPr>
            </w:pPr>
          </w:p>
        </w:tc>
        <w:tc>
          <w:tcPr>
            <w:tcW w:w="0" w:type="auto"/>
            <w:vAlign w:val="center"/>
            <w:hideMark/>
          </w:tcPr>
          <w:p w14:paraId="484F8FEE" w14:textId="77777777" w:rsidR="004A2A74" w:rsidRPr="00E22444" w:rsidRDefault="004A2A74" w:rsidP="00E22444">
            <w:pPr>
              <w:pStyle w:val="NoSpacing"/>
              <w:jc w:val="center"/>
              <w:rPr>
                <w:rFonts w:ascii="Times New Roman" w:hAnsi="Times New Roman" w:cs="Times New Roman"/>
                <w:b/>
                <w:bCs/>
                <w:sz w:val="28"/>
                <w:szCs w:val="28"/>
              </w:rPr>
            </w:pPr>
            <w:r w:rsidRPr="00E22444">
              <w:rPr>
                <w:rFonts w:ascii="Times New Roman" w:hAnsi="Times New Roman" w:cs="Times New Roman"/>
                <w:b/>
                <w:bCs/>
                <w:sz w:val="28"/>
                <w:szCs w:val="28"/>
              </w:rPr>
              <w:t>Union Excise Duties</w:t>
            </w:r>
          </w:p>
        </w:tc>
        <w:tc>
          <w:tcPr>
            <w:tcW w:w="0" w:type="auto"/>
            <w:vAlign w:val="center"/>
            <w:hideMark/>
          </w:tcPr>
          <w:p w14:paraId="2F517BF2" w14:textId="77777777" w:rsidR="004A2A74" w:rsidRPr="00E22444" w:rsidRDefault="004A2A74" w:rsidP="00E22444">
            <w:pPr>
              <w:pStyle w:val="NoSpacing"/>
              <w:jc w:val="center"/>
              <w:rPr>
                <w:rFonts w:ascii="Times New Roman" w:hAnsi="Times New Roman" w:cs="Times New Roman"/>
                <w:b/>
                <w:bCs/>
                <w:sz w:val="28"/>
                <w:szCs w:val="28"/>
              </w:rPr>
            </w:pPr>
            <w:r w:rsidRPr="00E22444">
              <w:rPr>
                <w:rFonts w:ascii="Times New Roman" w:hAnsi="Times New Roman" w:cs="Times New Roman"/>
                <w:b/>
                <w:bCs/>
                <w:sz w:val="28"/>
                <w:szCs w:val="28"/>
              </w:rPr>
              <w:t>Additional Excise Duties</w:t>
            </w:r>
          </w:p>
        </w:tc>
        <w:tc>
          <w:tcPr>
            <w:tcW w:w="0" w:type="auto"/>
            <w:vAlign w:val="center"/>
            <w:hideMark/>
          </w:tcPr>
          <w:p w14:paraId="640CCEA0" w14:textId="4B6612C0" w:rsidR="004A2A74" w:rsidRPr="00E22444" w:rsidRDefault="004A2A74" w:rsidP="00E22444">
            <w:pPr>
              <w:pStyle w:val="NoSpacing"/>
              <w:jc w:val="center"/>
              <w:rPr>
                <w:rFonts w:ascii="Times New Roman" w:hAnsi="Times New Roman" w:cs="Times New Roman"/>
                <w:b/>
                <w:bCs/>
                <w:sz w:val="28"/>
                <w:szCs w:val="28"/>
              </w:rPr>
            </w:pPr>
            <w:r w:rsidRPr="00E22444">
              <w:rPr>
                <w:rFonts w:ascii="Times New Roman" w:hAnsi="Times New Roman" w:cs="Times New Roman"/>
                <w:b/>
                <w:bCs/>
                <w:sz w:val="28"/>
                <w:szCs w:val="28"/>
              </w:rPr>
              <w:t>Special Excise Duties</w:t>
            </w:r>
          </w:p>
        </w:tc>
        <w:tc>
          <w:tcPr>
            <w:tcW w:w="0" w:type="auto"/>
            <w:vMerge/>
            <w:vAlign w:val="center"/>
            <w:hideMark/>
          </w:tcPr>
          <w:p w14:paraId="5A5FB68D" w14:textId="77777777" w:rsidR="004A2A74" w:rsidRPr="00E22444" w:rsidRDefault="004A2A74" w:rsidP="00E22444">
            <w:pPr>
              <w:pStyle w:val="NoSpacing"/>
              <w:jc w:val="center"/>
              <w:rPr>
                <w:rFonts w:ascii="Times New Roman" w:hAnsi="Times New Roman" w:cs="Times New Roman"/>
                <w:b/>
                <w:bCs/>
                <w:sz w:val="28"/>
                <w:szCs w:val="28"/>
              </w:rPr>
            </w:pPr>
          </w:p>
        </w:tc>
      </w:tr>
      <w:tr w:rsidR="004A2A74" w:rsidRPr="00E22444" w14:paraId="1605D2C0" w14:textId="77777777" w:rsidTr="00E22444">
        <w:trPr>
          <w:trHeight w:val="481"/>
        </w:trPr>
        <w:tc>
          <w:tcPr>
            <w:tcW w:w="0" w:type="auto"/>
            <w:vAlign w:val="center"/>
            <w:hideMark/>
          </w:tcPr>
          <w:p w14:paraId="6BEAD870" w14:textId="77777777" w:rsidR="004A2A74" w:rsidRPr="00E22444" w:rsidRDefault="004A2A74" w:rsidP="00E22444">
            <w:pPr>
              <w:pStyle w:val="NoSpacing"/>
              <w:rPr>
                <w:rFonts w:ascii="Times New Roman" w:hAnsi="Times New Roman" w:cs="Times New Roman"/>
                <w:sz w:val="28"/>
                <w:szCs w:val="28"/>
              </w:rPr>
            </w:pPr>
            <w:r w:rsidRPr="00E22444">
              <w:rPr>
                <w:rFonts w:ascii="Times New Roman" w:hAnsi="Times New Roman" w:cs="Times New Roman"/>
                <w:sz w:val="28"/>
                <w:szCs w:val="28"/>
              </w:rPr>
              <w:t>1950-51</w:t>
            </w:r>
          </w:p>
        </w:tc>
        <w:tc>
          <w:tcPr>
            <w:tcW w:w="0" w:type="auto"/>
            <w:vAlign w:val="center"/>
            <w:hideMark/>
          </w:tcPr>
          <w:p w14:paraId="2B7E277E" w14:textId="77777777" w:rsidR="004A2A74" w:rsidRPr="00E22444" w:rsidRDefault="004A2A74" w:rsidP="00E22444">
            <w:pPr>
              <w:pStyle w:val="NoSpacing"/>
              <w:jc w:val="center"/>
              <w:rPr>
                <w:rFonts w:ascii="Times New Roman" w:hAnsi="Times New Roman" w:cs="Times New Roman"/>
                <w:sz w:val="28"/>
                <w:szCs w:val="28"/>
              </w:rPr>
            </w:pPr>
            <w:r w:rsidRPr="00E22444">
              <w:rPr>
                <w:rFonts w:ascii="Times New Roman" w:hAnsi="Times New Roman" w:cs="Times New Roman"/>
                <w:sz w:val="28"/>
                <w:szCs w:val="28"/>
              </w:rPr>
              <w:t>67.5</w:t>
            </w:r>
          </w:p>
        </w:tc>
        <w:tc>
          <w:tcPr>
            <w:tcW w:w="0" w:type="auto"/>
            <w:vAlign w:val="center"/>
            <w:hideMark/>
          </w:tcPr>
          <w:p w14:paraId="21BDC858" w14:textId="77777777" w:rsidR="004A2A74" w:rsidRPr="00E22444" w:rsidRDefault="004A2A74" w:rsidP="00E22444">
            <w:pPr>
              <w:pStyle w:val="NoSpacing"/>
              <w:jc w:val="center"/>
              <w:rPr>
                <w:rFonts w:ascii="Times New Roman" w:hAnsi="Times New Roman" w:cs="Times New Roman"/>
                <w:sz w:val="28"/>
                <w:szCs w:val="28"/>
              </w:rPr>
            </w:pPr>
            <w:r w:rsidRPr="00E22444">
              <w:rPr>
                <w:rFonts w:ascii="Times New Roman" w:hAnsi="Times New Roman" w:cs="Times New Roman"/>
                <w:sz w:val="28"/>
                <w:szCs w:val="28"/>
              </w:rPr>
              <w:t>..</w:t>
            </w:r>
          </w:p>
        </w:tc>
        <w:tc>
          <w:tcPr>
            <w:tcW w:w="0" w:type="auto"/>
            <w:vAlign w:val="center"/>
            <w:hideMark/>
          </w:tcPr>
          <w:p w14:paraId="08BB9AF5" w14:textId="77777777" w:rsidR="004A2A74" w:rsidRPr="00E22444" w:rsidRDefault="004A2A74" w:rsidP="00E22444">
            <w:pPr>
              <w:pStyle w:val="NoSpacing"/>
              <w:jc w:val="center"/>
              <w:rPr>
                <w:rFonts w:ascii="Times New Roman" w:hAnsi="Times New Roman" w:cs="Times New Roman"/>
                <w:sz w:val="28"/>
                <w:szCs w:val="28"/>
              </w:rPr>
            </w:pPr>
            <w:r w:rsidRPr="00E22444">
              <w:rPr>
                <w:rFonts w:ascii="Times New Roman" w:hAnsi="Times New Roman" w:cs="Times New Roman"/>
                <w:sz w:val="28"/>
                <w:szCs w:val="28"/>
              </w:rPr>
              <w:t>..</w:t>
            </w:r>
          </w:p>
        </w:tc>
        <w:tc>
          <w:tcPr>
            <w:tcW w:w="0" w:type="auto"/>
            <w:vAlign w:val="center"/>
            <w:hideMark/>
          </w:tcPr>
          <w:p w14:paraId="20346B51" w14:textId="77777777" w:rsidR="004A2A74" w:rsidRPr="00E22444" w:rsidRDefault="004A2A74" w:rsidP="00E22444">
            <w:pPr>
              <w:pStyle w:val="NoSpacing"/>
              <w:jc w:val="center"/>
              <w:rPr>
                <w:rFonts w:ascii="Times New Roman" w:hAnsi="Times New Roman" w:cs="Times New Roman"/>
                <w:sz w:val="28"/>
                <w:szCs w:val="28"/>
              </w:rPr>
            </w:pPr>
            <w:r w:rsidRPr="00E22444">
              <w:rPr>
                <w:rFonts w:ascii="Times New Roman" w:hAnsi="Times New Roman" w:cs="Times New Roman"/>
                <w:sz w:val="28"/>
                <w:szCs w:val="28"/>
              </w:rPr>
              <w:t>67.5</w:t>
            </w:r>
          </w:p>
        </w:tc>
      </w:tr>
      <w:tr w:rsidR="004A2A74" w:rsidRPr="00E22444" w14:paraId="2C03D76B" w14:textId="77777777" w:rsidTr="00E22444">
        <w:trPr>
          <w:trHeight w:val="481"/>
        </w:trPr>
        <w:tc>
          <w:tcPr>
            <w:tcW w:w="0" w:type="auto"/>
            <w:vAlign w:val="center"/>
            <w:hideMark/>
          </w:tcPr>
          <w:p w14:paraId="7872DECC" w14:textId="77777777" w:rsidR="004A2A74" w:rsidRPr="00E22444" w:rsidRDefault="004A2A74" w:rsidP="00E22444">
            <w:pPr>
              <w:pStyle w:val="NoSpacing"/>
              <w:rPr>
                <w:rFonts w:ascii="Times New Roman" w:hAnsi="Times New Roman" w:cs="Times New Roman"/>
                <w:sz w:val="28"/>
                <w:szCs w:val="28"/>
              </w:rPr>
            </w:pPr>
            <w:r w:rsidRPr="00E22444">
              <w:rPr>
                <w:rFonts w:ascii="Times New Roman" w:hAnsi="Times New Roman" w:cs="Times New Roman"/>
                <w:sz w:val="28"/>
                <w:szCs w:val="28"/>
              </w:rPr>
              <w:t>1953-54</w:t>
            </w:r>
          </w:p>
        </w:tc>
        <w:tc>
          <w:tcPr>
            <w:tcW w:w="0" w:type="auto"/>
            <w:vAlign w:val="center"/>
            <w:hideMark/>
          </w:tcPr>
          <w:p w14:paraId="69DA2A26" w14:textId="77777777" w:rsidR="004A2A74" w:rsidRPr="00E22444" w:rsidRDefault="004A2A74" w:rsidP="00E22444">
            <w:pPr>
              <w:pStyle w:val="NoSpacing"/>
              <w:jc w:val="center"/>
              <w:rPr>
                <w:rFonts w:ascii="Times New Roman" w:hAnsi="Times New Roman" w:cs="Times New Roman"/>
                <w:sz w:val="28"/>
                <w:szCs w:val="28"/>
              </w:rPr>
            </w:pPr>
            <w:r w:rsidRPr="00E22444">
              <w:rPr>
                <w:rFonts w:ascii="Times New Roman" w:hAnsi="Times New Roman" w:cs="Times New Roman"/>
                <w:sz w:val="28"/>
                <w:szCs w:val="28"/>
              </w:rPr>
              <w:t>95.6</w:t>
            </w:r>
          </w:p>
        </w:tc>
        <w:tc>
          <w:tcPr>
            <w:tcW w:w="0" w:type="auto"/>
            <w:vAlign w:val="center"/>
            <w:hideMark/>
          </w:tcPr>
          <w:p w14:paraId="718FDF53" w14:textId="77777777" w:rsidR="004A2A74" w:rsidRPr="00E22444" w:rsidRDefault="004A2A74" w:rsidP="00E22444">
            <w:pPr>
              <w:pStyle w:val="NoSpacing"/>
              <w:jc w:val="center"/>
              <w:rPr>
                <w:rFonts w:ascii="Times New Roman" w:hAnsi="Times New Roman" w:cs="Times New Roman"/>
                <w:sz w:val="28"/>
                <w:szCs w:val="28"/>
              </w:rPr>
            </w:pPr>
            <w:r w:rsidRPr="00E22444">
              <w:rPr>
                <w:rFonts w:ascii="Times New Roman" w:hAnsi="Times New Roman" w:cs="Times New Roman"/>
                <w:sz w:val="28"/>
                <w:szCs w:val="28"/>
              </w:rPr>
              <w:t>..</w:t>
            </w:r>
          </w:p>
        </w:tc>
        <w:tc>
          <w:tcPr>
            <w:tcW w:w="0" w:type="auto"/>
            <w:vAlign w:val="center"/>
            <w:hideMark/>
          </w:tcPr>
          <w:p w14:paraId="37776618" w14:textId="77777777" w:rsidR="004A2A74" w:rsidRPr="00E22444" w:rsidRDefault="004A2A74" w:rsidP="00E22444">
            <w:pPr>
              <w:pStyle w:val="NoSpacing"/>
              <w:jc w:val="center"/>
              <w:rPr>
                <w:rFonts w:ascii="Times New Roman" w:hAnsi="Times New Roman" w:cs="Times New Roman"/>
                <w:sz w:val="28"/>
                <w:szCs w:val="28"/>
              </w:rPr>
            </w:pPr>
            <w:r w:rsidRPr="00E22444">
              <w:rPr>
                <w:rFonts w:ascii="Times New Roman" w:hAnsi="Times New Roman" w:cs="Times New Roman"/>
                <w:sz w:val="28"/>
                <w:szCs w:val="28"/>
              </w:rPr>
              <w:t>..</w:t>
            </w:r>
          </w:p>
        </w:tc>
        <w:tc>
          <w:tcPr>
            <w:tcW w:w="0" w:type="auto"/>
            <w:vAlign w:val="center"/>
            <w:hideMark/>
          </w:tcPr>
          <w:p w14:paraId="7A9472C5" w14:textId="77777777" w:rsidR="004A2A74" w:rsidRPr="00E22444" w:rsidRDefault="004A2A74" w:rsidP="00E22444">
            <w:pPr>
              <w:pStyle w:val="NoSpacing"/>
              <w:jc w:val="center"/>
              <w:rPr>
                <w:rFonts w:ascii="Times New Roman" w:hAnsi="Times New Roman" w:cs="Times New Roman"/>
                <w:sz w:val="28"/>
                <w:szCs w:val="28"/>
              </w:rPr>
            </w:pPr>
            <w:r w:rsidRPr="00E22444">
              <w:rPr>
                <w:rFonts w:ascii="Times New Roman" w:hAnsi="Times New Roman" w:cs="Times New Roman"/>
                <w:sz w:val="28"/>
                <w:szCs w:val="28"/>
              </w:rPr>
              <w:t>95.6</w:t>
            </w:r>
          </w:p>
        </w:tc>
      </w:tr>
      <w:tr w:rsidR="004A2A74" w:rsidRPr="00E22444" w14:paraId="07D3161A" w14:textId="77777777" w:rsidTr="00E22444">
        <w:trPr>
          <w:trHeight w:val="454"/>
        </w:trPr>
        <w:tc>
          <w:tcPr>
            <w:tcW w:w="0" w:type="auto"/>
            <w:vAlign w:val="center"/>
            <w:hideMark/>
          </w:tcPr>
          <w:p w14:paraId="2A6BF46C" w14:textId="77777777" w:rsidR="004A2A74" w:rsidRPr="00E22444" w:rsidRDefault="004A2A74" w:rsidP="00E22444">
            <w:pPr>
              <w:pStyle w:val="NoSpacing"/>
              <w:rPr>
                <w:rFonts w:ascii="Times New Roman" w:hAnsi="Times New Roman" w:cs="Times New Roman"/>
                <w:sz w:val="28"/>
                <w:szCs w:val="28"/>
              </w:rPr>
            </w:pPr>
            <w:r w:rsidRPr="00E22444">
              <w:rPr>
                <w:rFonts w:ascii="Times New Roman" w:hAnsi="Times New Roman" w:cs="Times New Roman"/>
                <w:sz w:val="28"/>
                <w:szCs w:val="28"/>
              </w:rPr>
              <w:t>1954-55</w:t>
            </w:r>
          </w:p>
        </w:tc>
        <w:tc>
          <w:tcPr>
            <w:tcW w:w="0" w:type="auto"/>
            <w:vAlign w:val="center"/>
            <w:hideMark/>
          </w:tcPr>
          <w:p w14:paraId="0A8C90D4" w14:textId="77777777" w:rsidR="004A2A74" w:rsidRPr="00E22444" w:rsidRDefault="004A2A74" w:rsidP="00E22444">
            <w:pPr>
              <w:pStyle w:val="NoSpacing"/>
              <w:jc w:val="center"/>
              <w:rPr>
                <w:rFonts w:ascii="Times New Roman" w:hAnsi="Times New Roman" w:cs="Times New Roman"/>
                <w:sz w:val="28"/>
                <w:szCs w:val="28"/>
              </w:rPr>
            </w:pPr>
            <w:r w:rsidRPr="00E22444">
              <w:rPr>
                <w:rFonts w:ascii="Times New Roman" w:hAnsi="Times New Roman" w:cs="Times New Roman"/>
                <w:sz w:val="28"/>
                <w:szCs w:val="28"/>
              </w:rPr>
              <w:t>108.2</w:t>
            </w:r>
          </w:p>
        </w:tc>
        <w:tc>
          <w:tcPr>
            <w:tcW w:w="0" w:type="auto"/>
            <w:vAlign w:val="center"/>
            <w:hideMark/>
          </w:tcPr>
          <w:p w14:paraId="4D9CD454" w14:textId="77777777" w:rsidR="004A2A74" w:rsidRPr="00E22444" w:rsidRDefault="004A2A74" w:rsidP="00E22444">
            <w:pPr>
              <w:pStyle w:val="NoSpacing"/>
              <w:jc w:val="center"/>
              <w:rPr>
                <w:rFonts w:ascii="Times New Roman" w:hAnsi="Times New Roman" w:cs="Times New Roman"/>
                <w:sz w:val="28"/>
                <w:szCs w:val="28"/>
              </w:rPr>
            </w:pPr>
            <w:r w:rsidRPr="00E22444">
              <w:rPr>
                <w:rFonts w:ascii="Times New Roman" w:hAnsi="Times New Roman" w:cs="Times New Roman"/>
                <w:sz w:val="28"/>
                <w:szCs w:val="28"/>
              </w:rPr>
              <w:t>..</w:t>
            </w:r>
          </w:p>
        </w:tc>
        <w:tc>
          <w:tcPr>
            <w:tcW w:w="0" w:type="auto"/>
            <w:vAlign w:val="center"/>
            <w:hideMark/>
          </w:tcPr>
          <w:p w14:paraId="148A8704" w14:textId="77777777" w:rsidR="004A2A74" w:rsidRPr="00E22444" w:rsidRDefault="004A2A74" w:rsidP="00E22444">
            <w:pPr>
              <w:pStyle w:val="NoSpacing"/>
              <w:jc w:val="center"/>
              <w:rPr>
                <w:rFonts w:ascii="Times New Roman" w:hAnsi="Times New Roman" w:cs="Times New Roman"/>
                <w:sz w:val="28"/>
                <w:szCs w:val="28"/>
              </w:rPr>
            </w:pPr>
            <w:r w:rsidRPr="00E22444">
              <w:rPr>
                <w:rFonts w:ascii="Times New Roman" w:hAnsi="Times New Roman" w:cs="Times New Roman"/>
                <w:sz w:val="28"/>
                <w:szCs w:val="28"/>
              </w:rPr>
              <w:t>..</w:t>
            </w:r>
          </w:p>
        </w:tc>
        <w:tc>
          <w:tcPr>
            <w:tcW w:w="0" w:type="auto"/>
            <w:vAlign w:val="center"/>
            <w:hideMark/>
          </w:tcPr>
          <w:p w14:paraId="216A5888" w14:textId="77777777" w:rsidR="004A2A74" w:rsidRPr="00E22444" w:rsidRDefault="004A2A74" w:rsidP="00E22444">
            <w:pPr>
              <w:pStyle w:val="NoSpacing"/>
              <w:jc w:val="center"/>
              <w:rPr>
                <w:rFonts w:ascii="Times New Roman" w:hAnsi="Times New Roman" w:cs="Times New Roman"/>
                <w:sz w:val="28"/>
                <w:szCs w:val="28"/>
              </w:rPr>
            </w:pPr>
            <w:r w:rsidRPr="00E22444">
              <w:rPr>
                <w:rFonts w:ascii="Times New Roman" w:hAnsi="Times New Roman" w:cs="Times New Roman"/>
                <w:sz w:val="28"/>
                <w:szCs w:val="28"/>
              </w:rPr>
              <w:t>108.2</w:t>
            </w:r>
          </w:p>
        </w:tc>
      </w:tr>
      <w:tr w:rsidR="004A2A74" w:rsidRPr="00E22444" w14:paraId="56493D50" w14:textId="77777777" w:rsidTr="00E22444">
        <w:trPr>
          <w:trHeight w:val="481"/>
        </w:trPr>
        <w:tc>
          <w:tcPr>
            <w:tcW w:w="0" w:type="auto"/>
            <w:vAlign w:val="center"/>
            <w:hideMark/>
          </w:tcPr>
          <w:p w14:paraId="48039BDE" w14:textId="77777777" w:rsidR="004A2A74" w:rsidRPr="00E22444" w:rsidRDefault="004A2A74" w:rsidP="00E22444">
            <w:pPr>
              <w:pStyle w:val="NoSpacing"/>
              <w:rPr>
                <w:rFonts w:ascii="Times New Roman" w:hAnsi="Times New Roman" w:cs="Times New Roman"/>
                <w:sz w:val="28"/>
                <w:szCs w:val="28"/>
              </w:rPr>
            </w:pPr>
            <w:r w:rsidRPr="00E22444">
              <w:rPr>
                <w:rFonts w:ascii="Times New Roman" w:hAnsi="Times New Roman" w:cs="Times New Roman"/>
                <w:sz w:val="28"/>
                <w:szCs w:val="28"/>
              </w:rPr>
              <w:t>1955-56</w:t>
            </w:r>
          </w:p>
        </w:tc>
        <w:tc>
          <w:tcPr>
            <w:tcW w:w="0" w:type="auto"/>
            <w:vAlign w:val="center"/>
            <w:hideMark/>
          </w:tcPr>
          <w:p w14:paraId="4D7F64DF" w14:textId="77777777" w:rsidR="004A2A74" w:rsidRPr="00E22444" w:rsidRDefault="004A2A74" w:rsidP="00E22444">
            <w:pPr>
              <w:pStyle w:val="NoSpacing"/>
              <w:jc w:val="center"/>
              <w:rPr>
                <w:rFonts w:ascii="Times New Roman" w:hAnsi="Times New Roman" w:cs="Times New Roman"/>
                <w:sz w:val="28"/>
                <w:szCs w:val="28"/>
              </w:rPr>
            </w:pPr>
            <w:r w:rsidRPr="00E22444">
              <w:rPr>
                <w:rFonts w:ascii="Times New Roman" w:hAnsi="Times New Roman" w:cs="Times New Roman"/>
                <w:sz w:val="28"/>
                <w:szCs w:val="28"/>
              </w:rPr>
              <w:t>145.8</w:t>
            </w:r>
          </w:p>
        </w:tc>
        <w:tc>
          <w:tcPr>
            <w:tcW w:w="0" w:type="auto"/>
            <w:vAlign w:val="center"/>
            <w:hideMark/>
          </w:tcPr>
          <w:p w14:paraId="2B4D94F5" w14:textId="77777777" w:rsidR="004A2A74" w:rsidRPr="00E22444" w:rsidRDefault="004A2A74" w:rsidP="00E22444">
            <w:pPr>
              <w:pStyle w:val="NoSpacing"/>
              <w:jc w:val="center"/>
              <w:rPr>
                <w:rFonts w:ascii="Times New Roman" w:hAnsi="Times New Roman" w:cs="Times New Roman"/>
                <w:sz w:val="28"/>
                <w:szCs w:val="28"/>
              </w:rPr>
            </w:pPr>
            <w:r w:rsidRPr="00E22444">
              <w:rPr>
                <w:rFonts w:ascii="Times New Roman" w:hAnsi="Times New Roman" w:cs="Times New Roman"/>
                <w:sz w:val="28"/>
                <w:szCs w:val="28"/>
              </w:rPr>
              <w:t>..</w:t>
            </w:r>
          </w:p>
        </w:tc>
        <w:tc>
          <w:tcPr>
            <w:tcW w:w="0" w:type="auto"/>
            <w:vAlign w:val="center"/>
            <w:hideMark/>
          </w:tcPr>
          <w:p w14:paraId="5A583B97" w14:textId="77777777" w:rsidR="004A2A74" w:rsidRPr="00E22444" w:rsidRDefault="004A2A74" w:rsidP="00E22444">
            <w:pPr>
              <w:pStyle w:val="NoSpacing"/>
              <w:jc w:val="center"/>
              <w:rPr>
                <w:rFonts w:ascii="Times New Roman" w:hAnsi="Times New Roman" w:cs="Times New Roman"/>
                <w:sz w:val="28"/>
                <w:szCs w:val="28"/>
              </w:rPr>
            </w:pPr>
            <w:r w:rsidRPr="00E22444">
              <w:rPr>
                <w:rFonts w:ascii="Times New Roman" w:hAnsi="Times New Roman" w:cs="Times New Roman"/>
                <w:sz w:val="28"/>
                <w:szCs w:val="28"/>
              </w:rPr>
              <w:t>..</w:t>
            </w:r>
          </w:p>
        </w:tc>
        <w:tc>
          <w:tcPr>
            <w:tcW w:w="0" w:type="auto"/>
            <w:vAlign w:val="center"/>
            <w:hideMark/>
          </w:tcPr>
          <w:p w14:paraId="05F2FFBA" w14:textId="77777777" w:rsidR="004A2A74" w:rsidRPr="00E22444" w:rsidRDefault="004A2A74" w:rsidP="00E22444">
            <w:pPr>
              <w:pStyle w:val="NoSpacing"/>
              <w:jc w:val="center"/>
              <w:rPr>
                <w:rFonts w:ascii="Times New Roman" w:hAnsi="Times New Roman" w:cs="Times New Roman"/>
                <w:sz w:val="28"/>
                <w:szCs w:val="28"/>
              </w:rPr>
            </w:pPr>
            <w:r w:rsidRPr="00E22444">
              <w:rPr>
                <w:rFonts w:ascii="Times New Roman" w:hAnsi="Times New Roman" w:cs="Times New Roman"/>
                <w:sz w:val="28"/>
                <w:szCs w:val="28"/>
              </w:rPr>
              <w:t>145.8</w:t>
            </w:r>
          </w:p>
        </w:tc>
      </w:tr>
      <w:tr w:rsidR="004A2A74" w:rsidRPr="00E22444" w14:paraId="4A42484A" w14:textId="77777777" w:rsidTr="00E22444">
        <w:trPr>
          <w:trHeight w:val="454"/>
        </w:trPr>
        <w:tc>
          <w:tcPr>
            <w:tcW w:w="0" w:type="auto"/>
            <w:vAlign w:val="center"/>
            <w:hideMark/>
          </w:tcPr>
          <w:p w14:paraId="52C20F7C" w14:textId="77777777" w:rsidR="004A2A74" w:rsidRPr="00E22444" w:rsidRDefault="004A2A74" w:rsidP="00E22444">
            <w:pPr>
              <w:pStyle w:val="NoSpacing"/>
              <w:rPr>
                <w:rFonts w:ascii="Times New Roman" w:hAnsi="Times New Roman" w:cs="Times New Roman"/>
                <w:sz w:val="28"/>
                <w:szCs w:val="28"/>
              </w:rPr>
            </w:pPr>
            <w:r w:rsidRPr="00E22444">
              <w:rPr>
                <w:rFonts w:ascii="Times New Roman" w:hAnsi="Times New Roman" w:cs="Times New Roman"/>
                <w:sz w:val="28"/>
                <w:szCs w:val="28"/>
              </w:rPr>
              <w:t>1956-57</w:t>
            </w:r>
          </w:p>
        </w:tc>
        <w:tc>
          <w:tcPr>
            <w:tcW w:w="0" w:type="auto"/>
            <w:vAlign w:val="center"/>
            <w:hideMark/>
          </w:tcPr>
          <w:p w14:paraId="79D8F7B0" w14:textId="77777777" w:rsidR="004A2A74" w:rsidRPr="00E22444" w:rsidRDefault="004A2A74" w:rsidP="00E22444">
            <w:pPr>
              <w:pStyle w:val="NoSpacing"/>
              <w:jc w:val="center"/>
              <w:rPr>
                <w:rFonts w:ascii="Times New Roman" w:hAnsi="Times New Roman" w:cs="Times New Roman"/>
                <w:sz w:val="28"/>
                <w:szCs w:val="28"/>
              </w:rPr>
            </w:pPr>
            <w:r w:rsidRPr="00E22444">
              <w:rPr>
                <w:rFonts w:ascii="Times New Roman" w:hAnsi="Times New Roman" w:cs="Times New Roman"/>
                <w:sz w:val="28"/>
                <w:szCs w:val="28"/>
              </w:rPr>
              <w:t>190.4</w:t>
            </w:r>
          </w:p>
        </w:tc>
        <w:tc>
          <w:tcPr>
            <w:tcW w:w="0" w:type="auto"/>
            <w:vAlign w:val="center"/>
            <w:hideMark/>
          </w:tcPr>
          <w:p w14:paraId="13A30D82" w14:textId="77777777" w:rsidR="004A2A74" w:rsidRPr="00E22444" w:rsidRDefault="004A2A74" w:rsidP="00E22444">
            <w:pPr>
              <w:pStyle w:val="NoSpacing"/>
              <w:jc w:val="center"/>
              <w:rPr>
                <w:rFonts w:ascii="Times New Roman" w:hAnsi="Times New Roman" w:cs="Times New Roman"/>
                <w:sz w:val="28"/>
                <w:szCs w:val="28"/>
              </w:rPr>
            </w:pPr>
            <w:r w:rsidRPr="00E22444">
              <w:rPr>
                <w:rFonts w:ascii="Times New Roman" w:hAnsi="Times New Roman" w:cs="Times New Roman"/>
                <w:sz w:val="28"/>
                <w:szCs w:val="28"/>
              </w:rPr>
              <w:t>..</w:t>
            </w:r>
          </w:p>
        </w:tc>
        <w:tc>
          <w:tcPr>
            <w:tcW w:w="0" w:type="auto"/>
            <w:vAlign w:val="center"/>
            <w:hideMark/>
          </w:tcPr>
          <w:p w14:paraId="7149DD5C" w14:textId="77777777" w:rsidR="004A2A74" w:rsidRPr="00E22444" w:rsidRDefault="004A2A74" w:rsidP="00E22444">
            <w:pPr>
              <w:pStyle w:val="NoSpacing"/>
              <w:jc w:val="center"/>
              <w:rPr>
                <w:rFonts w:ascii="Times New Roman" w:hAnsi="Times New Roman" w:cs="Times New Roman"/>
                <w:sz w:val="28"/>
                <w:szCs w:val="28"/>
              </w:rPr>
            </w:pPr>
            <w:r w:rsidRPr="00E22444">
              <w:rPr>
                <w:rFonts w:ascii="Times New Roman" w:hAnsi="Times New Roman" w:cs="Times New Roman"/>
                <w:sz w:val="28"/>
                <w:szCs w:val="28"/>
              </w:rPr>
              <w:t>..</w:t>
            </w:r>
          </w:p>
        </w:tc>
        <w:tc>
          <w:tcPr>
            <w:tcW w:w="0" w:type="auto"/>
            <w:vAlign w:val="center"/>
            <w:hideMark/>
          </w:tcPr>
          <w:p w14:paraId="39BE07E9" w14:textId="77777777" w:rsidR="004A2A74" w:rsidRPr="00E22444" w:rsidRDefault="004A2A74" w:rsidP="00E22444">
            <w:pPr>
              <w:pStyle w:val="NoSpacing"/>
              <w:jc w:val="center"/>
              <w:rPr>
                <w:rFonts w:ascii="Times New Roman" w:hAnsi="Times New Roman" w:cs="Times New Roman"/>
                <w:sz w:val="28"/>
                <w:szCs w:val="28"/>
              </w:rPr>
            </w:pPr>
            <w:r w:rsidRPr="00E22444">
              <w:rPr>
                <w:rFonts w:ascii="Times New Roman" w:hAnsi="Times New Roman" w:cs="Times New Roman"/>
                <w:sz w:val="28"/>
                <w:szCs w:val="28"/>
              </w:rPr>
              <w:t>190.4</w:t>
            </w:r>
          </w:p>
        </w:tc>
      </w:tr>
      <w:tr w:rsidR="004A2A74" w:rsidRPr="00E22444" w14:paraId="3218369F" w14:textId="77777777" w:rsidTr="00E22444">
        <w:trPr>
          <w:trHeight w:val="481"/>
        </w:trPr>
        <w:tc>
          <w:tcPr>
            <w:tcW w:w="0" w:type="auto"/>
            <w:vAlign w:val="center"/>
            <w:hideMark/>
          </w:tcPr>
          <w:p w14:paraId="6BDC2622" w14:textId="77777777" w:rsidR="004A2A74" w:rsidRPr="00E22444" w:rsidRDefault="004A2A74" w:rsidP="00E22444">
            <w:pPr>
              <w:pStyle w:val="NoSpacing"/>
              <w:rPr>
                <w:rFonts w:ascii="Times New Roman" w:hAnsi="Times New Roman" w:cs="Times New Roman"/>
                <w:sz w:val="28"/>
                <w:szCs w:val="28"/>
              </w:rPr>
            </w:pPr>
            <w:r w:rsidRPr="00E22444">
              <w:rPr>
                <w:rFonts w:ascii="Times New Roman" w:hAnsi="Times New Roman" w:cs="Times New Roman"/>
                <w:sz w:val="28"/>
                <w:szCs w:val="28"/>
              </w:rPr>
              <w:t>1957-58</w:t>
            </w:r>
          </w:p>
        </w:tc>
        <w:tc>
          <w:tcPr>
            <w:tcW w:w="0" w:type="auto"/>
            <w:vAlign w:val="center"/>
            <w:hideMark/>
          </w:tcPr>
          <w:p w14:paraId="77AFCBBA" w14:textId="77777777" w:rsidR="004A2A74" w:rsidRPr="00E22444" w:rsidRDefault="004A2A74" w:rsidP="00E22444">
            <w:pPr>
              <w:pStyle w:val="NoSpacing"/>
              <w:jc w:val="center"/>
              <w:rPr>
                <w:rFonts w:ascii="Times New Roman" w:hAnsi="Times New Roman" w:cs="Times New Roman"/>
                <w:sz w:val="28"/>
                <w:szCs w:val="28"/>
              </w:rPr>
            </w:pPr>
            <w:r w:rsidRPr="00E22444">
              <w:rPr>
                <w:rFonts w:ascii="Times New Roman" w:hAnsi="Times New Roman" w:cs="Times New Roman"/>
                <w:sz w:val="28"/>
                <w:szCs w:val="28"/>
              </w:rPr>
              <w:t>271.0</w:t>
            </w:r>
          </w:p>
        </w:tc>
        <w:tc>
          <w:tcPr>
            <w:tcW w:w="0" w:type="auto"/>
            <w:vAlign w:val="center"/>
            <w:hideMark/>
          </w:tcPr>
          <w:p w14:paraId="2E2795A2" w14:textId="77777777" w:rsidR="004A2A74" w:rsidRPr="00E22444" w:rsidRDefault="004A2A74" w:rsidP="00E22444">
            <w:pPr>
              <w:pStyle w:val="NoSpacing"/>
              <w:jc w:val="center"/>
              <w:rPr>
                <w:rFonts w:ascii="Times New Roman" w:hAnsi="Times New Roman" w:cs="Times New Roman"/>
                <w:sz w:val="28"/>
                <w:szCs w:val="28"/>
              </w:rPr>
            </w:pPr>
            <w:r w:rsidRPr="00E22444">
              <w:rPr>
                <w:rFonts w:ascii="Times New Roman" w:hAnsi="Times New Roman" w:cs="Times New Roman"/>
                <w:sz w:val="28"/>
                <w:szCs w:val="28"/>
              </w:rPr>
              <w:t>2.6</w:t>
            </w:r>
          </w:p>
        </w:tc>
        <w:tc>
          <w:tcPr>
            <w:tcW w:w="0" w:type="auto"/>
            <w:vAlign w:val="center"/>
            <w:hideMark/>
          </w:tcPr>
          <w:p w14:paraId="3FA43374" w14:textId="77777777" w:rsidR="004A2A74" w:rsidRPr="00E22444" w:rsidRDefault="004A2A74" w:rsidP="00E22444">
            <w:pPr>
              <w:pStyle w:val="NoSpacing"/>
              <w:jc w:val="center"/>
              <w:rPr>
                <w:rFonts w:ascii="Times New Roman" w:hAnsi="Times New Roman" w:cs="Times New Roman"/>
                <w:sz w:val="28"/>
                <w:szCs w:val="28"/>
              </w:rPr>
            </w:pPr>
            <w:r w:rsidRPr="00E22444">
              <w:rPr>
                <w:rFonts w:ascii="Times New Roman" w:hAnsi="Times New Roman" w:cs="Times New Roman"/>
                <w:sz w:val="28"/>
                <w:szCs w:val="28"/>
              </w:rPr>
              <w:t>..</w:t>
            </w:r>
          </w:p>
        </w:tc>
        <w:tc>
          <w:tcPr>
            <w:tcW w:w="0" w:type="auto"/>
            <w:vAlign w:val="center"/>
            <w:hideMark/>
          </w:tcPr>
          <w:p w14:paraId="1956CD8C" w14:textId="77777777" w:rsidR="004A2A74" w:rsidRPr="00E22444" w:rsidRDefault="004A2A74" w:rsidP="00E22444">
            <w:pPr>
              <w:pStyle w:val="NoSpacing"/>
              <w:jc w:val="center"/>
              <w:rPr>
                <w:rFonts w:ascii="Times New Roman" w:hAnsi="Times New Roman" w:cs="Times New Roman"/>
                <w:sz w:val="28"/>
                <w:szCs w:val="28"/>
              </w:rPr>
            </w:pPr>
            <w:r w:rsidRPr="00E22444">
              <w:rPr>
                <w:rFonts w:ascii="Times New Roman" w:hAnsi="Times New Roman" w:cs="Times New Roman"/>
                <w:sz w:val="28"/>
                <w:szCs w:val="28"/>
              </w:rPr>
              <w:t>273.6</w:t>
            </w:r>
          </w:p>
        </w:tc>
      </w:tr>
      <w:tr w:rsidR="004A2A74" w:rsidRPr="00E22444" w14:paraId="3C5BDF27" w14:textId="77777777" w:rsidTr="00E22444">
        <w:trPr>
          <w:trHeight w:val="454"/>
        </w:trPr>
        <w:tc>
          <w:tcPr>
            <w:tcW w:w="0" w:type="auto"/>
            <w:vAlign w:val="center"/>
            <w:hideMark/>
          </w:tcPr>
          <w:p w14:paraId="65F44588" w14:textId="77777777" w:rsidR="004A2A74" w:rsidRPr="00E22444" w:rsidRDefault="004A2A74" w:rsidP="00E22444">
            <w:pPr>
              <w:pStyle w:val="NoSpacing"/>
              <w:rPr>
                <w:rFonts w:ascii="Times New Roman" w:hAnsi="Times New Roman" w:cs="Times New Roman"/>
                <w:sz w:val="28"/>
                <w:szCs w:val="28"/>
              </w:rPr>
            </w:pPr>
            <w:r w:rsidRPr="00E22444">
              <w:rPr>
                <w:rFonts w:ascii="Times New Roman" w:hAnsi="Times New Roman" w:cs="Times New Roman"/>
                <w:sz w:val="28"/>
                <w:szCs w:val="28"/>
              </w:rPr>
              <w:t>1958-59</w:t>
            </w:r>
          </w:p>
        </w:tc>
        <w:tc>
          <w:tcPr>
            <w:tcW w:w="0" w:type="auto"/>
            <w:vAlign w:val="center"/>
            <w:hideMark/>
          </w:tcPr>
          <w:p w14:paraId="671C4F17" w14:textId="77777777" w:rsidR="004A2A74" w:rsidRPr="00E22444" w:rsidRDefault="004A2A74" w:rsidP="00E22444">
            <w:pPr>
              <w:pStyle w:val="NoSpacing"/>
              <w:jc w:val="center"/>
              <w:rPr>
                <w:rFonts w:ascii="Times New Roman" w:hAnsi="Times New Roman" w:cs="Times New Roman"/>
                <w:sz w:val="28"/>
                <w:szCs w:val="28"/>
              </w:rPr>
            </w:pPr>
            <w:r w:rsidRPr="00E22444">
              <w:rPr>
                <w:rFonts w:ascii="Times New Roman" w:hAnsi="Times New Roman" w:cs="Times New Roman"/>
                <w:sz w:val="28"/>
                <w:szCs w:val="28"/>
              </w:rPr>
              <w:t>296.8</w:t>
            </w:r>
          </w:p>
        </w:tc>
        <w:tc>
          <w:tcPr>
            <w:tcW w:w="0" w:type="auto"/>
            <w:vAlign w:val="center"/>
            <w:hideMark/>
          </w:tcPr>
          <w:p w14:paraId="441319A5" w14:textId="77777777" w:rsidR="004A2A74" w:rsidRPr="00E22444" w:rsidRDefault="004A2A74" w:rsidP="00E22444">
            <w:pPr>
              <w:pStyle w:val="NoSpacing"/>
              <w:jc w:val="center"/>
              <w:rPr>
                <w:rFonts w:ascii="Times New Roman" w:hAnsi="Times New Roman" w:cs="Times New Roman"/>
                <w:sz w:val="28"/>
                <w:szCs w:val="28"/>
              </w:rPr>
            </w:pPr>
            <w:r w:rsidRPr="00E22444">
              <w:rPr>
                <w:rFonts w:ascii="Times New Roman" w:hAnsi="Times New Roman" w:cs="Times New Roman"/>
                <w:sz w:val="28"/>
                <w:szCs w:val="28"/>
              </w:rPr>
              <w:t>16.1</w:t>
            </w:r>
          </w:p>
        </w:tc>
        <w:tc>
          <w:tcPr>
            <w:tcW w:w="0" w:type="auto"/>
            <w:vAlign w:val="center"/>
            <w:hideMark/>
          </w:tcPr>
          <w:p w14:paraId="2BCBA52F" w14:textId="77777777" w:rsidR="004A2A74" w:rsidRPr="00E22444" w:rsidRDefault="004A2A74" w:rsidP="00E22444">
            <w:pPr>
              <w:pStyle w:val="NoSpacing"/>
              <w:jc w:val="center"/>
              <w:rPr>
                <w:rFonts w:ascii="Times New Roman" w:hAnsi="Times New Roman" w:cs="Times New Roman"/>
                <w:sz w:val="28"/>
                <w:szCs w:val="28"/>
              </w:rPr>
            </w:pPr>
            <w:r w:rsidRPr="00E22444">
              <w:rPr>
                <w:rFonts w:ascii="Times New Roman" w:hAnsi="Times New Roman" w:cs="Times New Roman"/>
                <w:sz w:val="28"/>
                <w:szCs w:val="28"/>
              </w:rPr>
              <w:t>..</w:t>
            </w:r>
          </w:p>
        </w:tc>
        <w:tc>
          <w:tcPr>
            <w:tcW w:w="0" w:type="auto"/>
            <w:vAlign w:val="center"/>
            <w:hideMark/>
          </w:tcPr>
          <w:p w14:paraId="3E8CD889" w14:textId="77777777" w:rsidR="004A2A74" w:rsidRPr="00E22444" w:rsidRDefault="004A2A74" w:rsidP="00E22444">
            <w:pPr>
              <w:pStyle w:val="NoSpacing"/>
              <w:jc w:val="center"/>
              <w:rPr>
                <w:rFonts w:ascii="Times New Roman" w:hAnsi="Times New Roman" w:cs="Times New Roman"/>
                <w:sz w:val="28"/>
                <w:szCs w:val="28"/>
              </w:rPr>
            </w:pPr>
            <w:r w:rsidRPr="00E22444">
              <w:rPr>
                <w:rFonts w:ascii="Times New Roman" w:hAnsi="Times New Roman" w:cs="Times New Roman"/>
                <w:sz w:val="28"/>
                <w:szCs w:val="28"/>
              </w:rPr>
              <w:t>312.9</w:t>
            </w:r>
          </w:p>
        </w:tc>
      </w:tr>
      <w:tr w:rsidR="004A2A74" w:rsidRPr="00E22444" w14:paraId="23A593E9" w14:textId="77777777" w:rsidTr="00E22444">
        <w:trPr>
          <w:trHeight w:val="481"/>
        </w:trPr>
        <w:tc>
          <w:tcPr>
            <w:tcW w:w="0" w:type="auto"/>
            <w:vAlign w:val="center"/>
            <w:hideMark/>
          </w:tcPr>
          <w:p w14:paraId="2B8CBDC6" w14:textId="77777777" w:rsidR="004A2A74" w:rsidRPr="00E22444" w:rsidRDefault="004A2A74" w:rsidP="00E22444">
            <w:pPr>
              <w:pStyle w:val="NoSpacing"/>
              <w:rPr>
                <w:rFonts w:ascii="Times New Roman" w:hAnsi="Times New Roman" w:cs="Times New Roman"/>
                <w:sz w:val="28"/>
                <w:szCs w:val="28"/>
              </w:rPr>
            </w:pPr>
            <w:r w:rsidRPr="00E22444">
              <w:rPr>
                <w:rFonts w:ascii="Times New Roman" w:hAnsi="Times New Roman" w:cs="Times New Roman"/>
                <w:sz w:val="28"/>
                <w:szCs w:val="28"/>
              </w:rPr>
              <w:t>1959-60</w:t>
            </w:r>
          </w:p>
        </w:tc>
        <w:tc>
          <w:tcPr>
            <w:tcW w:w="0" w:type="auto"/>
            <w:vAlign w:val="center"/>
            <w:hideMark/>
          </w:tcPr>
          <w:p w14:paraId="51593044" w14:textId="77777777" w:rsidR="004A2A74" w:rsidRPr="00E22444" w:rsidRDefault="004A2A74" w:rsidP="00E22444">
            <w:pPr>
              <w:pStyle w:val="NoSpacing"/>
              <w:jc w:val="center"/>
              <w:rPr>
                <w:rFonts w:ascii="Times New Roman" w:hAnsi="Times New Roman" w:cs="Times New Roman"/>
                <w:sz w:val="28"/>
                <w:szCs w:val="28"/>
              </w:rPr>
            </w:pPr>
            <w:r w:rsidRPr="00E22444">
              <w:rPr>
                <w:rFonts w:ascii="Times New Roman" w:hAnsi="Times New Roman" w:cs="Times New Roman"/>
                <w:sz w:val="28"/>
                <w:szCs w:val="28"/>
              </w:rPr>
              <w:t>332.4</w:t>
            </w:r>
          </w:p>
        </w:tc>
        <w:tc>
          <w:tcPr>
            <w:tcW w:w="0" w:type="auto"/>
            <w:vAlign w:val="center"/>
            <w:hideMark/>
          </w:tcPr>
          <w:p w14:paraId="659D8AA6" w14:textId="77777777" w:rsidR="004A2A74" w:rsidRPr="00E22444" w:rsidRDefault="004A2A74" w:rsidP="00E22444">
            <w:pPr>
              <w:pStyle w:val="NoSpacing"/>
              <w:jc w:val="center"/>
              <w:rPr>
                <w:rFonts w:ascii="Times New Roman" w:hAnsi="Times New Roman" w:cs="Times New Roman"/>
                <w:sz w:val="28"/>
                <w:szCs w:val="28"/>
              </w:rPr>
            </w:pPr>
            <w:r w:rsidRPr="00E22444">
              <w:rPr>
                <w:rFonts w:ascii="Times New Roman" w:hAnsi="Times New Roman" w:cs="Times New Roman"/>
                <w:sz w:val="28"/>
                <w:szCs w:val="28"/>
              </w:rPr>
              <w:t>28.3</w:t>
            </w:r>
          </w:p>
        </w:tc>
        <w:tc>
          <w:tcPr>
            <w:tcW w:w="0" w:type="auto"/>
            <w:vAlign w:val="center"/>
            <w:hideMark/>
          </w:tcPr>
          <w:p w14:paraId="67DCFC5C" w14:textId="77777777" w:rsidR="004A2A74" w:rsidRPr="00E22444" w:rsidRDefault="004A2A74" w:rsidP="00E22444">
            <w:pPr>
              <w:pStyle w:val="NoSpacing"/>
              <w:jc w:val="center"/>
              <w:rPr>
                <w:rFonts w:ascii="Times New Roman" w:hAnsi="Times New Roman" w:cs="Times New Roman"/>
                <w:sz w:val="28"/>
                <w:szCs w:val="28"/>
              </w:rPr>
            </w:pPr>
            <w:r w:rsidRPr="00E22444">
              <w:rPr>
                <w:rFonts w:ascii="Times New Roman" w:hAnsi="Times New Roman" w:cs="Times New Roman"/>
                <w:sz w:val="28"/>
                <w:szCs w:val="28"/>
              </w:rPr>
              <w:t>..</w:t>
            </w:r>
          </w:p>
        </w:tc>
        <w:tc>
          <w:tcPr>
            <w:tcW w:w="0" w:type="auto"/>
            <w:vAlign w:val="center"/>
            <w:hideMark/>
          </w:tcPr>
          <w:p w14:paraId="23CA5181" w14:textId="77777777" w:rsidR="004A2A74" w:rsidRPr="00E22444" w:rsidRDefault="004A2A74" w:rsidP="00E22444">
            <w:pPr>
              <w:pStyle w:val="NoSpacing"/>
              <w:jc w:val="center"/>
              <w:rPr>
                <w:rFonts w:ascii="Times New Roman" w:hAnsi="Times New Roman" w:cs="Times New Roman"/>
                <w:sz w:val="28"/>
                <w:szCs w:val="28"/>
              </w:rPr>
            </w:pPr>
            <w:r w:rsidRPr="00E22444">
              <w:rPr>
                <w:rFonts w:ascii="Times New Roman" w:hAnsi="Times New Roman" w:cs="Times New Roman"/>
                <w:sz w:val="28"/>
                <w:szCs w:val="28"/>
              </w:rPr>
              <w:t>360.7</w:t>
            </w:r>
          </w:p>
        </w:tc>
      </w:tr>
      <w:tr w:rsidR="004A2A74" w:rsidRPr="00E22444" w14:paraId="09976CC4" w14:textId="77777777" w:rsidTr="00E22444">
        <w:trPr>
          <w:trHeight w:val="481"/>
        </w:trPr>
        <w:tc>
          <w:tcPr>
            <w:tcW w:w="0" w:type="auto"/>
            <w:vAlign w:val="center"/>
            <w:hideMark/>
          </w:tcPr>
          <w:p w14:paraId="22282784" w14:textId="77777777" w:rsidR="004A2A74" w:rsidRPr="00E22444" w:rsidRDefault="004A2A74" w:rsidP="00E22444">
            <w:pPr>
              <w:pStyle w:val="NoSpacing"/>
              <w:rPr>
                <w:rFonts w:ascii="Times New Roman" w:hAnsi="Times New Roman" w:cs="Times New Roman"/>
                <w:sz w:val="28"/>
                <w:szCs w:val="28"/>
              </w:rPr>
            </w:pPr>
            <w:r w:rsidRPr="00E22444">
              <w:rPr>
                <w:rFonts w:ascii="Times New Roman" w:hAnsi="Times New Roman" w:cs="Times New Roman"/>
                <w:sz w:val="28"/>
                <w:szCs w:val="28"/>
              </w:rPr>
              <w:t>1960-61</w:t>
            </w:r>
          </w:p>
        </w:tc>
        <w:tc>
          <w:tcPr>
            <w:tcW w:w="0" w:type="auto"/>
            <w:vAlign w:val="center"/>
            <w:hideMark/>
          </w:tcPr>
          <w:p w14:paraId="7980AC92" w14:textId="77777777" w:rsidR="004A2A74" w:rsidRPr="00E22444" w:rsidRDefault="004A2A74" w:rsidP="00E22444">
            <w:pPr>
              <w:pStyle w:val="NoSpacing"/>
              <w:jc w:val="center"/>
              <w:rPr>
                <w:rFonts w:ascii="Times New Roman" w:hAnsi="Times New Roman" w:cs="Times New Roman"/>
                <w:sz w:val="28"/>
                <w:szCs w:val="28"/>
              </w:rPr>
            </w:pPr>
            <w:r w:rsidRPr="00E22444">
              <w:rPr>
                <w:rFonts w:ascii="Times New Roman" w:hAnsi="Times New Roman" w:cs="Times New Roman"/>
                <w:sz w:val="28"/>
                <w:szCs w:val="28"/>
              </w:rPr>
              <w:t>382.8</w:t>
            </w:r>
          </w:p>
        </w:tc>
        <w:tc>
          <w:tcPr>
            <w:tcW w:w="0" w:type="auto"/>
            <w:vAlign w:val="center"/>
            <w:hideMark/>
          </w:tcPr>
          <w:p w14:paraId="58695107" w14:textId="77777777" w:rsidR="004A2A74" w:rsidRPr="00E22444" w:rsidRDefault="004A2A74" w:rsidP="00E22444">
            <w:pPr>
              <w:pStyle w:val="NoSpacing"/>
              <w:jc w:val="center"/>
              <w:rPr>
                <w:rFonts w:ascii="Times New Roman" w:hAnsi="Times New Roman" w:cs="Times New Roman"/>
                <w:sz w:val="28"/>
                <w:szCs w:val="28"/>
              </w:rPr>
            </w:pPr>
            <w:r w:rsidRPr="00E22444">
              <w:rPr>
                <w:rFonts w:ascii="Times New Roman" w:hAnsi="Times New Roman" w:cs="Times New Roman"/>
                <w:sz w:val="28"/>
                <w:szCs w:val="28"/>
              </w:rPr>
              <w:t>33.6</w:t>
            </w:r>
          </w:p>
        </w:tc>
        <w:tc>
          <w:tcPr>
            <w:tcW w:w="0" w:type="auto"/>
            <w:vAlign w:val="center"/>
            <w:hideMark/>
          </w:tcPr>
          <w:p w14:paraId="5B565A46" w14:textId="77777777" w:rsidR="004A2A74" w:rsidRPr="00E22444" w:rsidRDefault="004A2A74" w:rsidP="00E22444">
            <w:pPr>
              <w:pStyle w:val="NoSpacing"/>
              <w:jc w:val="center"/>
              <w:rPr>
                <w:rFonts w:ascii="Times New Roman" w:hAnsi="Times New Roman" w:cs="Times New Roman"/>
                <w:sz w:val="28"/>
                <w:szCs w:val="28"/>
              </w:rPr>
            </w:pPr>
            <w:r w:rsidRPr="00E22444">
              <w:rPr>
                <w:rFonts w:ascii="Times New Roman" w:hAnsi="Times New Roman" w:cs="Times New Roman"/>
                <w:sz w:val="28"/>
                <w:szCs w:val="28"/>
              </w:rPr>
              <w:t>..</w:t>
            </w:r>
          </w:p>
        </w:tc>
        <w:tc>
          <w:tcPr>
            <w:tcW w:w="0" w:type="auto"/>
            <w:vAlign w:val="center"/>
            <w:hideMark/>
          </w:tcPr>
          <w:p w14:paraId="1AD21C61" w14:textId="77777777" w:rsidR="004A2A74" w:rsidRPr="00E22444" w:rsidRDefault="004A2A74" w:rsidP="00E22444">
            <w:pPr>
              <w:pStyle w:val="NoSpacing"/>
              <w:jc w:val="center"/>
              <w:rPr>
                <w:rFonts w:ascii="Times New Roman" w:hAnsi="Times New Roman" w:cs="Times New Roman"/>
                <w:sz w:val="28"/>
                <w:szCs w:val="28"/>
              </w:rPr>
            </w:pPr>
            <w:r w:rsidRPr="00E22444">
              <w:rPr>
                <w:rFonts w:ascii="Times New Roman" w:hAnsi="Times New Roman" w:cs="Times New Roman"/>
                <w:sz w:val="28"/>
                <w:szCs w:val="28"/>
              </w:rPr>
              <w:t>416.4</w:t>
            </w:r>
          </w:p>
        </w:tc>
      </w:tr>
      <w:tr w:rsidR="004A2A74" w:rsidRPr="00E22444" w14:paraId="52247A75" w14:textId="77777777" w:rsidTr="00E22444">
        <w:trPr>
          <w:trHeight w:val="454"/>
        </w:trPr>
        <w:tc>
          <w:tcPr>
            <w:tcW w:w="0" w:type="auto"/>
            <w:vAlign w:val="center"/>
            <w:hideMark/>
          </w:tcPr>
          <w:p w14:paraId="11343F2C" w14:textId="77777777" w:rsidR="004A2A74" w:rsidRPr="00E22444" w:rsidRDefault="004A2A74" w:rsidP="00E22444">
            <w:pPr>
              <w:pStyle w:val="NoSpacing"/>
              <w:rPr>
                <w:rFonts w:ascii="Times New Roman" w:hAnsi="Times New Roman" w:cs="Times New Roman"/>
                <w:sz w:val="28"/>
                <w:szCs w:val="28"/>
              </w:rPr>
            </w:pPr>
            <w:r w:rsidRPr="00E22444">
              <w:rPr>
                <w:rFonts w:ascii="Times New Roman" w:hAnsi="Times New Roman" w:cs="Times New Roman"/>
                <w:sz w:val="28"/>
                <w:szCs w:val="28"/>
              </w:rPr>
              <w:t>1961-62</w:t>
            </w:r>
          </w:p>
        </w:tc>
        <w:tc>
          <w:tcPr>
            <w:tcW w:w="0" w:type="auto"/>
            <w:vAlign w:val="center"/>
            <w:hideMark/>
          </w:tcPr>
          <w:p w14:paraId="1C6835A8" w14:textId="77777777" w:rsidR="004A2A74" w:rsidRPr="00E22444" w:rsidRDefault="004A2A74" w:rsidP="00E22444">
            <w:pPr>
              <w:pStyle w:val="NoSpacing"/>
              <w:jc w:val="center"/>
              <w:rPr>
                <w:rFonts w:ascii="Times New Roman" w:hAnsi="Times New Roman" w:cs="Times New Roman"/>
                <w:sz w:val="28"/>
                <w:szCs w:val="28"/>
              </w:rPr>
            </w:pPr>
            <w:r w:rsidRPr="00E22444">
              <w:rPr>
                <w:rFonts w:ascii="Times New Roman" w:hAnsi="Times New Roman" w:cs="Times New Roman"/>
                <w:sz w:val="28"/>
                <w:szCs w:val="28"/>
              </w:rPr>
              <w:t>450.3</w:t>
            </w:r>
          </w:p>
        </w:tc>
        <w:tc>
          <w:tcPr>
            <w:tcW w:w="0" w:type="auto"/>
            <w:vAlign w:val="center"/>
            <w:hideMark/>
          </w:tcPr>
          <w:p w14:paraId="64DF2A1F" w14:textId="77777777" w:rsidR="004A2A74" w:rsidRPr="00E22444" w:rsidRDefault="004A2A74" w:rsidP="00E22444">
            <w:pPr>
              <w:pStyle w:val="NoSpacing"/>
              <w:jc w:val="center"/>
              <w:rPr>
                <w:rFonts w:ascii="Times New Roman" w:hAnsi="Times New Roman" w:cs="Times New Roman"/>
                <w:sz w:val="28"/>
                <w:szCs w:val="28"/>
              </w:rPr>
            </w:pPr>
            <w:r w:rsidRPr="00E22444">
              <w:rPr>
                <w:rFonts w:ascii="Times New Roman" w:hAnsi="Times New Roman" w:cs="Times New Roman"/>
                <w:sz w:val="28"/>
                <w:szCs w:val="28"/>
              </w:rPr>
              <w:t>39.0</w:t>
            </w:r>
          </w:p>
        </w:tc>
        <w:tc>
          <w:tcPr>
            <w:tcW w:w="0" w:type="auto"/>
            <w:vAlign w:val="center"/>
            <w:hideMark/>
          </w:tcPr>
          <w:p w14:paraId="605FDB06" w14:textId="77777777" w:rsidR="004A2A74" w:rsidRPr="00E22444" w:rsidRDefault="004A2A74" w:rsidP="00E22444">
            <w:pPr>
              <w:pStyle w:val="NoSpacing"/>
              <w:jc w:val="center"/>
              <w:rPr>
                <w:rFonts w:ascii="Times New Roman" w:hAnsi="Times New Roman" w:cs="Times New Roman"/>
                <w:sz w:val="28"/>
                <w:szCs w:val="28"/>
              </w:rPr>
            </w:pPr>
            <w:r w:rsidRPr="00E22444">
              <w:rPr>
                <w:rFonts w:ascii="Times New Roman" w:hAnsi="Times New Roman" w:cs="Times New Roman"/>
                <w:sz w:val="28"/>
                <w:szCs w:val="28"/>
              </w:rPr>
              <w:t>..</w:t>
            </w:r>
          </w:p>
        </w:tc>
        <w:tc>
          <w:tcPr>
            <w:tcW w:w="0" w:type="auto"/>
            <w:vAlign w:val="center"/>
            <w:hideMark/>
          </w:tcPr>
          <w:p w14:paraId="5862675F" w14:textId="77777777" w:rsidR="004A2A74" w:rsidRPr="00E22444" w:rsidRDefault="004A2A74" w:rsidP="00E22444">
            <w:pPr>
              <w:pStyle w:val="NoSpacing"/>
              <w:jc w:val="center"/>
              <w:rPr>
                <w:rFonts w:ascii="Times New Roman" w:hAnsi="Times New Roman" w:cs="Times New Roman"/>
                <w:sz w:val="28"/>
                <w:szCs w:val="28"/>
              </w:rPr>
            </w:pPr>
            <w:r w:rsidRPr="00E22444">
              <w:rPr>
                <w:rFonts w:ascii="Times New Roman" w:hAnsi="Times New Roman" w:cs="Times New Roman"/>
                <w:sz w:val="28"/>
                <w:szCs w:val="28"/>
              </w:rPr>
              <w:t>489.3</w:t>
            </w:r>
          </w:p>
        </w:tc>
      </w:tr>
      <w:tr w:rsidR="004A2A74" w:rsidRPr="00E22444" w14:paraId="0AC9BBD4" w14:textId="77777777" w:rsidTr="00E22444">
        <w:trPr>
          <w:trHeight w:val="481"/>
        </w:trPr>
        <w:tc>
          <w:tcPr>
            <w:tcW w:w="0" w:type="auto"/>
            <w:vAlign w:val="center"/>
            <w:hideMark/>
          </w:tcPr>
          <w:p w14:paraId="5C7AB744" w14:textId="77777777" w:rsidR="004A2A74" w:rsidRPr="00E22444" w:rsidRDefault="004A2A74" w:rsidP="00E22444">
            <w:pPr>
              <w:pStyle w:val="NoSpacing"/>
              <w:rPr>
                <w:rFonts w:ascii="Times New Roman" w:hAnsi="Times New Roman" w:cs="Times New Roman"/>
                <w:sz w:val="28"/>
                <w:szCs w:val="28"/>
              </w:rPr>
            </w:pPr>
            <w:r w:rsidRPr="00E22444">
              <w:rPr>
                <w:rFonts w:ascii="Times New Roman" w:hAnsi="Times New Roman" w:cs="Times New Roman"/>
                <w:sz w:val="28"/>
                <w:szCs w:val="28"/>
              </w:rPr>
              <w:t>1962-63</w:t>
            </w:r>
          </w:p>
        </w:tc>
        <w:tc>
          <w:tcPr>
            <w:tcW w:w="0" w:type="auto"/>
            <w:vAlign w:val="center"/>
            <w:hideMark/>
          </w:tcPr>
          <w:p w14:paraId="6AD58098" w14:textId="77777777" w:rsidR="004A2A74" w:rsidRPr="00E22444" w:rsidRDefault="004A2A74" w:rsidP="00E22444">
            <w:pPr>
              <w:pStyle w:val="NoSpacing"/>
              <w:jc w:val="center"/>
              <w:rPr>
                <w:rFonts w:ascii="Times New Roman" w:hAnsi="Times New Roman" w:cs="Times New Roman"/>
                <w:sz w:val="28"/>
                <w:szCs w:val="28"/>
              </w:rPr>
            </w:pPr>
            <w:r w:rsidRPr="00E22444">
              <w:rPr>
                <w:rFonts w:ascii="Times New Roman" w:hAnsi="Times New Roman" w:cs="Times New Roman"/>
                <w:sz w:val="28"/>
                <w:szCs w:val="28"/>
              </w:rPr>
              <w:t>550.9</w:t>
            </w:r>
          </w:p>
        </w:tc>
        <w:tc>
          <w:tcPr>
            <w:tcW w:w="0" w:type="auto"/>
            <w:vAlign w:val="center"/>
            <w:hideMark/>
          </w:tcPr>
          <w:p w14:paraId="1BB33FB5" w14:textId="77777777" w:rsidR="004A2A74" w:rsidRPr="00E22444" w:rsidRDefault="004A2A74" w:rsidP="00E22444">
            <w:pPr>
              <w:pStyle w:val="NoSpacing"/>
              <w:jc w:val="center"/>
              <w:rPr>
                <w:rFonts w:ascii="Times New Roman" w:hAnsi="Times New Roman" w:cs="Times New Roman"/>
                <w:sz w:val="28"/>
                <w:szCs w:val="28"/>
              </w:rPr>
            </w:pPr>
            <w:r w:rsidRPr="00E22444">
              <w:rPr>
                <w:rFonts w:ascii="Times New Roman" w:hAnsi="Times New Roman" w:cs="Times New Roman"/>
                <w:sz w:val="28"/>
                <w:szCs w:val="28"/>
              </w:rPr>
              <w:t>44.8</w:t>
            </w:r>
          </w:p>
        </w:tc>
        <w:tc>
          <w:tcPr>
            <w:tcW w:w="0" w:type="auto"/>
            <w:vAlign w:val="center"/>
            <w:hideMark/>
          </w:tcPr>
          <w:p w14:paraId="469FB93A" w14:textId="77777777" w:rsidR="004A2A74" w:rsidRPr="00E22444" w:rsidRDefault="004A2A74" w:rsidP="00E22444">
            <w:pPr>
              <w:pStyle w:val="NoSpacing"/>
              <w:jc w:val="center"/>
              <w:rPr>
                <w:rFonts w:ascii="Times New Roman" w:hAnsi="Times New Roman" w:cs="Times New Roman"/>
                <w:sz w:val="28"/>
                <w:szCs w:val="28"/>
              </w:rPr>
            </w:pPr>
            <w:r w:rsidRPr="00E22444">
              <w:rPr>
                <w:rFonts w:ascii="Times New Roman" w:hAnsi="Times New Roman" w:cs="Times New Roman"/>
                <w:sz w:val="28"/>
                <w:szCs w:val="28"/>
              </w:rPr>
              <w:t>3.1</w:t>
            </w:r>
          </w:p>
        </w:tc>
        <w:tc>
          <w:tcPr>
            <w:tcW w:w="0" w:type="auto"/>
            <w:vAlign w:val="center"/>
            <w:hideMark/>
          </w:tcPr>
          <w:p w14:paraId="7891C1EE" w14:textId="77777777" w:rsidR="004A2A74" w:rsidRPr="00E22444" w:rsidRDefault="004A2A74" w:rsidP="00E22444">
            <w:pPr>
              <w:pStyle w:val="NoSpacing"/>
              <w:jc w:val="center"/>
              <w:rPr>
                <w:rFonts w:ascii="Times New Roman" w:hAnsi="Times New Roman" w:cs="Times New Roman"/>
                <w:sz w:val="28"/>
                <w:szCs w:val="28"/>
              </w:rPr>
            </w:pPr>
            <w:r w:rsidRPr="00E22444">
              <w:rPr>
                <w:rFonts w:ascii="Times New Roman" w:hAnsi="Times New Roman" w:cs="Times New Roman"/>
                <w:sz w:val="28"/>
                <w:szCs w:val="28"/>
              </w:rPr>
              <w:t>598.8</w:t>
            </w:r>
          </w:p>
        </w:tc>
      </w:tr>
      <w:tr w:rsidR="004A2A74" w:rsidRPr="00E22444" w14:paraId="32648E89" w14:textId="77777777" w:rsidTr="00E22444">
        <w:trPr>
          <w:trHeight w:val="454"/>
        </w:trPr>
        <w:tc>
          <w:tcPr>
            <w:tcW w:w="0" w:type="auto"/>
            <w:vAlign w:val="center"/>
            <w:hideMark/>
          </w:tcPr>
          <w:p w14:paraId="78376AEF" w14:textId="77777777" w:rsidR="004A2A74" w:rsidRPr="00E22444" w:rsidRDefault="004A2A74" w:rsidP="00E22444">
            <w:pPr>
              <w:pStyle w:val="NoSpacing"/>
              <w:rPr>
                <w:rFonts w:ascii="Times New Roman" w:hAnsi="Times New Roman" w:cs="Times New Roman"/>
                <w:sz w:val="28"/>
                <w:szCs w:val="28"/>
              </w:rPr>
            </w:pPr>
            <w:r w:rsidRPr="00E22444">
              <w:rPr>
                <w:rFonts w:ascii="Times New Roman" w:hAnsi="Times New Roman" w:cs="Times New Roman"/>
                <w:sz w:val="28"/>
                <w:szCs w:val="28"/>
              </w:rPr>
              <w:t>1963-64</w:t>
            </w:r>
          </w:p>
        </w:tc>
        <w:tc>
          <w:tcPr>
            <w:tcW w:w="0" w:type="auto"/>
            <w:vAlign w:val="center"/>
            <w:hideMark/>
          </w:tcPr>
          <w:p w14:paraId="010E5880" w14:textId="77777777" w:rsidR="004A2A74" w:rsidRPr="00E22444" w:rsidRDefault="004A2A74" w:rsidP="00E22444">
            <w:pPr>
              <w:pStyle w:val="NoSpacing"/>
              <w:jc w:val="center"/>
              <w:rPr>
                <w:rFonts w:ascii="Times New Roman" w:hAnsi="Times New Roman" w:cs="Times New Roman"/>
                <w:sz w:val="28"/>
                <w:szCs w:val="28"/>
              </w:rPr>
            </w:pPr>
            <w:r w:rsidRPr="00E22444">
              <w:rPr>
                <w:rFonts w:ascii="Times New Roman" w:hAnsi="Times New Roman" w:cs="Times New Roman"/>
                <w:sz w:val="28"/>
                <w:szCs w:val="28"/>
              </w:rPr>
              <w:t>631.7</w:t>
            </w:r>
          </w:p>
        </w:tc>
        <w:tc>
          <w:tcPr>
            <w:tcW w:w="0" w:type="auto"/>
            <w:vAlign w:val="center"/>
            <w:hideMark/>
          </w:tcPr>
          <w:p w14:paraId="1E65DBC7" w14:textId="77777777" w:rsidR="004A2A74" w:rsidRPr="00E22444" w:rsidRDefault="004A2A74" w:rsidP="00E22444">
            <w:pPr>
              <w:pStyle w:val="NoSpacing"/>
              <w:jc w:val="center"/>
              <w:rPr>
                <w:rFonts w:ascii="Times New Roman" w:hAnsi="Times New Roman" w:cs="Times New Roman"/>
                <w:sz w:val="28"/>
                <w:szCs w:val="28"/>
              </w:rPr>
            </w:pPr>
            <w:r w:rsidRPr="00E22444">
              <w:rPr>
                <w:rFonts w:ascii="Times New Roman" w:hAnsi="Times New Roman" w:cs="Times New Roman"/>
                <w:sz w:val="28"/>
                <w:szCs w:val="28"/>
              </w:rPr>
              <w:t>43.1</w:t>
            </w:r>
          </w:p>
        </w:tc>
        <w:tc>
          <w:tcPr>
            <w:tcW w:w="0" w:type="auto"/>
            <w:vAlign w:val="center"/>
            <w:hideMark/>
          </w:tcPr>
          <w:p w14:paraId="44AD1A64" w14:textId="77777777" w:rsidR="004A2A74" w:rsidRPr="00E22444" w:rsidRDefault="004A2A74" w:rsidP="00E22444">
            <w:pPr>
              <w:pStyle w:val="NoSpacing"/>
              <w:jc w:val="center"/>
              <w:rPr>
                <w:rFonts w:ascii="Times New Roman" w:hAnsi="Times New Roman" w:cs="Times New Roman"/>
                <w:sz w:val="28"/>
                <w:szCs w:val="28"/>
              </w:rPr>
            </w:pPr>
            <w:r w:rsidRPr="00E22444">
              <w:rPr>
                <w:rFonts w:ascii="Times New Roman" w:hAnsi="Times New Roman" w:cs="Times New Roman"/>
                <w:sz w:val="28"/>
                <w:szCs w:val="28"/>
              </w:rPr>
              <w:t>54.8</w:t>
            </w:r>
          </w:p>
        </w:tc>
        <w:tc>
          <w:tcPr>
            <w:tcW w:w="0" w:type="auto"/>
            <w:vAlign w:val="center"/>
            <w:hideMark/>
          </w:tcPr>
          <w:p w14:paraId="3FDA3D0A" w14:textId="77777777" w:rsidR="004A2A74" w:rsidRPr="00E22444" w:rsidRDefault="004A2A74" w:rsidP="00E22444">
            <w:pPr>
              <w:pStyle w:val="NoSpacing"/>
              <w:jc w:val="center"/>
              <w:rPr>
                <w:rFonts w:ascii="Times New Roman" w:hAnsi="Times New Roman" w:cs="Times New Roman"/>
                <w:sz w:val="28"/>
                <w:szCs w:val="28"/>
              </w:rPr>
            </w:pPr>
            <w:r w:rsidRPr="00E22444">
              <w:rPr>
                <w:rFonts w:ascii="Times New Roman" w:hAnsi="Times New Roman" w:cs="Times New Roman"/>
                <w:sz w:val="28"/>
                <w:szCs w:val="28"/>
              </w:rPr>
              <w:t>729.6</w:t>
            </w:r>
          </w:p>
        </w:tc>
      </w:tr>
      <w:tr w:rsidR="004A2A74" w:rsidRPr="00E22444" w14:paraId="5E8FEEEE" w14:textId="77777777" w:rsidTr="00E22444">
        <w:trPr>
          <w:trHeight w:val="481"/>
        </w:trPr>
        <w:tc>
          <w:tcPr>
            <w:tcW w:w="0" w:type="auto"/>
            <w:vAlign w:val="center"/>
            <w:hideMark/>
          </w:tcPr>
          <w:p w14:paraId="56BCF8CE" w14:textId="77777777" w:rsidR="004A2A74" w:rsidRPr="00E22444" w:rsidRDefault="004A2A74" w:rsidP="00E22444">
            <w:pPr>
              <w:pStyle w:val="NoSpacing"/>
              <w:rPr>
                <w:rFonts w:ascii="Times New Roman" w:hAnsi="Times New Roman" w:cs="Times New Roman"/>
                <w:sz w:val="28"/>
                <w:szCs w:val="28"/>
              </w:rPr>
            </w:pPr>
            <w:r w:rsidRPr="00E22444">
              <w:rPr>
                <w:rFonts w:ascii="Times New Roman" w:hAnsi="Times New Roman" w:cs="Times New Roman"/>
                <w:sz w:val="28"/>
                <w:szCs w:val="28"/>
              </w:rPr>
              <w:t>1964-65</w:t>
            </w:r>
          </w:p>
        </w:tc>
        <w:tc>
          <w:tcPr>
            <w:tcW w:w="0" w:type="auto"/>
            <w:vAlign w:val="center"/>
            <w:hideMark/>
          </w:tcPr>
          <w:p w14:paraId="2AA1EB47" w14:textId="77777777" w:rsidR="004A2A74" w:rsidRPr="00E22444" w:rsidRDefault="004A2A74" w:rsidP="00E22444">
            <w:pPr>
              <w:pStyle w:val="NoSpacing"/>
              <w:jc w:val="center"/>
              <w:rPr>
                <w:rFonts w:ascii="Times New Roman" w:hAnsi="Times New Roman" w:cs="Times New Roman"/>
                <w:sz w:val="28"/>
                <w:szCs w:val="28"/>
              </w:rPr>
            </w:pPr>
            <w:r w:rsidRPr="00E22444">
              <w:rPr>
                <w:rFonts w:ascii="Times New Roman" w:hAnsi="Times New Roman" w:cs="Times New Roman"/>
                <w:sz w:val="28"/>
                <w:szCs w:val="28"/>
              </w:rPr>
              <w:t>696.7</w:t>
            </w:r>
          </w:p>
        </w:tc>
        <w:tc>
          <w:tcPr>
            <w:tcW w:w="0" w:type="auto"/>
            <w:vAlign w:val="center"/>
            <w:hideMark/>
          </w:tcPr>
          <w:p w14:paraId="20CBC09C" w14:textId="77777777" w:rsidR="004A2A74" w:rsidRPr="00E22444" w:rsidRDefault="004A2A74" w:rsidP="00E22444">
            <w:pPr>
              <w:pStyle w:val="NoSpacing"/>
              <w:jc w:val="center"/>
              <w:rPr>
                <w:rFonts w:ascii="Times New Roman" w:hAnsi="Times New Roman" w:cs="Times New Roman"/>
                <w:sz w:val="28"/>
                <w:szCs w:val="28"/>
              </w:rPr>
            </w:pPr>
            <w:r w:rsidRPr="00E22444">
              <w:rPr>
                <w:rFonts w:ascii="Times New Roman" w:hAnsi="Times New Roman" w:cs="Times New Roman"/>
                <w:sz w:val="28"/>
                <w:szCs w:val="28"/>
              </w:rPr>
              <w:t>44.5</w:t>
            </w:r>
          </w:p>
        </w:tc>
        <w:tc>
          <w:tcPr>
            <w:tcW w:w="0" w:type="auto"/>
            <w:vAlign w:val="center"/>
            <w:hideMark/>
          </w:tcPr>
          <w:p w14:paraId="43A8F4E4" w14:textId="77777777" w:rsidR="004A2A74" w:rsidRPr="00E22444" w:rsidRDefault="004A2A74" w:rsidP="00E22444">
            <w:pPr>
              <w:pStyle w:val="NoSpacing"/>
              <w:jc w:val="center"/>
              <w:rPr>
                <w:rFonts w:ascii="Times New Roman" w:hAnsi="Times New Roman" w:cs="Times New Roman"/>
                <w:sz w:val="28"/>
                <w:szCs w:val="28"/>
              </w:rPr>
            </w:pPr>
            <w:r w:rsidRPr="00E22444">
              <w:rPr>
                <w:rFonts w:ascii="Times New Roman" w:hAnsi="Times New Roman" w:cs="Times New Roman"/>
                <w:sz w:val="28"/>
                <w:szCs w:val="28"/>
              </w:rPr>
              <w:t>60.3</w:t>
            </w:r>
          </w:p>
        </w:tc>
        <w:tc>
          <w:tcPr>
            <w:tcW w:w="0" w:type="auto"/>
            <w:vAlign w:val="center"/>
            <w:hideMark/>
          </w:tcPr>
          <w:p w14:paraId="43C7AEF6" w14:textId="77777777" w:rsidR="004A2A74" w:rsidRPr="00E22444" w:rsidRDefault="004A2A74" w:rsidP="00E22444">
            <w:pPr>
              <w:pStyle w:val="NoSpacing"/>
              <w:jc w:val="center"/>
              <w:rPr>
                <w:rFonts w:ascii="Times New Roman" w:hAnsi="Times New Roman" w:cs="Times New Roman"/>
                <w:sz w:val="28"/>
                <w:szCs w:val="28"/>
              </w:rPr>
            </w:pPr>
            <w:r w:rsidRPr="00E22444">
              <w:rPr>
                <w:rFonts w:ascii="Times New Roman" w:hAnsi="Times New Roman" w:cs="Times New Roman"/>
                <w:sz w:val="28"/>
                <w:szCs w:val="28"/>
              </w:rPr>
              <w:t>801.5</w:t>
            </w:r>
          </w:p>
        </w:tc>
      </w:tr>
      <w:tr w:rsidR="004A2A74" w:rsidRPr="00E22444" w14:paraId="600845B7" w14:textId="77777777" w:rsidTr="00E22444">
        <w:trPr>
          <w:trHeight w:val="454"/>
        </w:trPr>
        <w:tc>
          <w:tcPr>
            <w:tcW w:w="0" w:type="auto"/>
            <w:vAlign w:val="center"/>
            <w:hideMark/>
          </w:tcPr>
          <w:p w14:paraId="52CDF8F3" w14:textId="77777777" w:rsidR="004A2A74" w:rsidRPr="00E22444" w:rsidRDefault="004A2A74" w:rsidP="00E22444">
            <w:pPr>
              <w:pStyle w:val="NoSpacing"/>
              <w:rPr>
                <w:rFonts w:ascii="Times New Roman" w:hAnsi="Times New Roman" w:cs="Times New Roman"/>
                <w:sz w:val="28"/>
                <w:szCs w:val="28"/>
              </w:rPr>
            </w:pPr>
            <w:r w:rsidRPr="00E22444">
              <w:rPr>
                <w:rFonts w:ascii="Times New Roman" w:hAnsi="Times New Roman" w:cs="Times New Roman"/>
                <w:sz w:val="28"/>
                <w:szCs w:val="28"/>
              </w:rPr>
              <w:t>1965-66</w:t>
            </w:r>
          </w:p>
        </w:tc>
        <w:tc>
          <w:tcPr>
            <w:tcW w:w="0" w:type="auto"/>
            <w:vAlign w:val="center"/>
            <w:hideMark/>
          </w:tcPr>
          <w:p w14:paraId="42D46FF9" w14:textId="77777777" w:rsidR="004A2A74" w:rsidRPr="00E22444" w:rsidRDefault="004A2A74" w:rsidP="00E22444">
            <w:pPr>
              <w:pStyle w:val="NoSpacing"/>
              <w:jc w:val="center"/>
              <w:rPr>
                <w:rFonts w:ascii="Times New Roman" w:hAnsi="Times New Roman" w:cs="Times New Roman"/>
                <w:sz w:val="28"/>
                <w:szCs w:val="28"/>
              </w:rPr>
            </w:pPr>
            <w:r w:rsidRPr="00E22444">
              <w:rPr>
                <w:rFonts w:ascii="Times New Roman" w:hAnsi="Times New Roman" w:cs="Times New Roman"/>
                <w:sz w:val="28"/>
                <w:szCs w:val="28"/>
              </w:rPr>
              <w:t>792.6</w:t>
            </w:r>
          </w:p>
        </w:tc>
        <w:tc>
          <w:tcPr>
            <w:tcW w:w="0" w:type="auto"/>
            <w:vAlign w:val="center"/>
            <w:hideMark/>
          </w:tcPr>
          <w:p w14:paraId="6AD87A4C" w14:textId="77777777" w:rsidR="004A2A74" w:rsidRPr="00E22444" w:rsidRDefault="004A2A74" w:rsidP="00E22444">
            <w:pPr>
              <w:pStyle w:val="NoSpacing"/>
              <w:jc w:val="center"/>
              <w:rPr>
                <w:rFonts w:ascii="Times New Roman" w:hAnsi="Times New Roman" w:cs="Times New Roman"/>
                <w:sz w:val="28"/>
                <w:szCs w:val="28"/>
              </w:rPr>
            </w:pPr>
            <w:r w:rsidRPr="00E22444">
              <w:rPr>
                <w:rFonts w:ascii="Times New Roman" w:hAnsi="Times New Roman" w:cs="Times New Roman"/>
                <w:sz w:val="28"/>
                <w:szCs w:val="28"/>
              </w:rPr>
              <w:t>47.2</w:t>
            </w:r>
          </w:p>
        </w:tc>
        <w:tc>
          <w:tcPr>
            <w:tcW w:w="0" w:type="auto"/>
            <w:vAlign w:val="center"/>
            <w:hideMark/>
          </w:tcPr>
          <w:p w14:paraId="0DD8A375" w14:textId="77777777" w:rsidR="004A2A74" w:rsidRPr="00E22444" w:rsidRDefault="004A2A74" w:rsidP="00E22444">
            <w:pPr>
              <w:pStyle w:val="NoSpacing"/>
              <w:jc w:val="center"/>
              <w:rPr>
                <w:rFonts w:ascii="Times New Roman" w:hAnsi="Times New Roman" w:cs="Times New Roman"/>
                <w:sz w:val="28"/>
                <w:szCs w:val="28"/>
              </w:rPr>
            </w:pPr>
            <w:r w:rsidRPr="00E22444">
              <w:rPr>
                <w:rFonts w:ascii="Times New Roman" w:hAnsi="Times New Roman" w:cs="Times New Roman"/>
                <w:sz w:val="28"/>
                <w:szCs w:val="28"/>
              </w:rPr>
              <w:t>58.1</w:t>
            </w:r>
          </w:p>
        </w:tc>
        <w:tc>
          <w:tcPr>
            <w:tcW w:w="0" w:type="auto"/>
            <w:vAlign w:val="center"/>
            <w:hideMark/>
          </w:tcPr>
          <w:p w14:paraId="4B037E12" w14:textId="77777777" w:rsidR="004A2A74" w:rsidRPr="00E22444" w:rsidRDefault="004A2A74" w:rsidP="00E22444">
            <w:pPr>
              <w:pStyle w:val="NoSpacing"/>
              <w:jc w:val="center"/>
              <w:rPr>
                <w:rFonts w:ascii="Times New Roman" w:hAnsi="Times New Roman" w:cs="Times New Roman"/>
                <w:sz w:val="28"/>
                <w:szCs w:val="28"/>
              </w:rPr>
            </w:pPr>
            <w:r w:rsidRPr="00E22444">
              <w:rPr>
                <w:rFonts w:ascii="Times New Roman" w:hAnsi="Times New Roman" w:cs="Times New Roman"/>
                <w:sz w:val="28"/>
                <w:szCs w:val="28"/>
              </w:rPr>
              <w:t>897.9</w:t>
            </w:r>
          </w:p>
        </w:tc>
      </w:tr>
      <w:tr w:rsidR="004A2A74" w:rsidRPr="00E22444" w14:paraId="158D5361" w14:textId="77777777" w:rsidTr="00E22444">
        <w:trPr>
          <w:trHeight w:val="481"/>
        </w:trPr>
        <w:tc>
          <w:tcPr>
            <w:tcW w:w="0" w:type="auto"/>
            <w:vAlign w:val="center"/>
            <w:hideMark/>
          </w:tcPr>
          <w:p w14:paraId="38675AC4" w14:textId="77777777" w:rsidR="004A2A74" w:rsidRPr="00E22444" w:rsidRDefault="004A2A74" w:rsidP="00E22444">
            <w:pPr>
              <w:pStyle w:val="NoSpacing"/>
              <w:rPr>
                <w:rFonts w:ascii="Times New Roman" w:hAnsi="Times New Roman" w:cs="Times New Roman"/>
                <w:sz w:val="28"/>
                <w:szCs w:val="28"/>
              </w:rPr>
            </w:pPr>
            <w:r w:rsidRPr="00E22444">
              <w:rPr>
                <w:rFonts w:ascii="Times New Roman" w:hAnsi="Times New Roman" w:cs="Times New Roman"/>
                <w:sz w:val="28"/>
                <w:szCs w:val="28"/>
              </w:rPr>
              <w:t>1966-67</w:t>
            </w:r>
          </w:p>
        </w:tc>
        <w:tc>
          <w:tcPr>
            <w:tcW w:w="0" w:type="auto"/>
            <w:vAlign w:val="center"/>
            <w:hideMark/>
          </w:tcPr>
          <w:p w14:paraId="7011F082" w14:textId="77777777" w:rsidR="004A2A74" w:rsidRPr="00E22444" w:rsidRDefault="004A2A74" w:rsidP="00E22444">
            <w:pPr>
              <w:pStyle w:val="NoSpacing"/>
              <w:jc w:val="center"/>
              <w:rPr>
                <w:rFonts w:ascii="Times New Roman" w:hAnsi="Times New Roman" w:cs="Times New Roman"/>
                <w:sz w:val="28"/>
                <w:szCs w:val="28"/>
              </w:rPr>
            </w:pPr>
            <w:r w:rsidRPr="00E22444">
              <w:rPr>
                <w:rFonts w:ascii="Times New Roman" w:hAnsi="Times New Roman" w:cs="Times New Roman"/>
                <w:sz w:val="28"/>
                <w:szCs w:val="28"/>
              </w:rPr>
              <w:t>927.2</w:t>
            </w:r>
          </w:p>
        </w:tc>
        <w:tc>
          <w:tcPr>
            <w:tcW w:w="0" w:type="auto"/>
            <w:vAlign w:val="center"/>
            <w:hideMark/>
          </w:tcPr>
          <w:p w14:paraId="7B44AD39" w14:textId="77777777" w:rsidR="004A2A74" w:rsidRPr="00E22444" w:rsidRDefault="004A2A74" w:rsidP="00E22444">
            <w:pPr>
              <w:pStyle w:val="NoSpacing"/>
              <w:jc w:val="center"/>
              <w:rPr>
                <w:rFonts w:ascii="Times New Roman" w:hAnsi="Times New Roman" w:cs="Times New Roman"/>
                <w:sz w:val="28"/>
                <w:szCs w:val="28"/>
              </w:rPr>
            </w:pPr>
            <w:r w:rsidRPr="00E22444">
              <w:rPr>
                <w:rFonts w:ascii="Times New Roman" w:hAnsi="Times New Roman" w:cs="Times New Roman"/>
                <w:sz w:val="28"/>
                <w:szCs w:val="28"/>
              </w:rPr>
              <w:t>50.5</w:t>
            </w:r>
          </w:p>
        </w:tc>
        <w:tc>
          <w:tcPr>
            <w:tcW w:w="0" w:type="auto"/>
            <w:vAlign w:val="center"/>
            <w:hideMark/>
          </w:tcPr>
          <w:p w14:paraId="14B6699B" w14:textId="77777777" w:rsidR="004A2A74" w:rsidRPr="00E22444" w:rsidRDefault="004A2A74" w:rsidP="00E22444">
            <w:pPr>
              <w:pStyle w:val="NoSpacing"/>
              <w:jc w:val="center"/>
              <w:rPr>
                <w:rFonts w:ascii="Times New Roman" w:hAnsi="Times New Roman" w:cs="Times New Roman"/>
                <w:sz w:val="28"/>
                <w:szCs w:val="28"/>
              </w:rPr>
            </w:pPr>
            <w:r w:rsidRPr="00E22444">
              <w:rPr>
                <w:rFonts w:ascii="Times New Roman" w:hAnsi="Times New Roman" w:cs="Times New Roman"/>
                <w:sz w:val="28"/>
                <w:szCs w:val="28"/>
              </w:rPr>
              <w:t>56.1</w:t>
            </w:r>
          </w:p>
        </w:tc>
        <w:tc>
          <w:tcPr>
            <w:tcW w:w="0" w:type="auto"/>
            <w:vAlign w:val="center"/>
            <w:hideMark/>
          </w:tcPr>
          <w:p w14:paraId="34FE2990" w14:textId="77777777" w:rsidR="004A2A74" w:rsidRPr="00E22444" w:rsidRDefault="004A2A74" w:rsidP="00E22444">
            <w:pPr>
              <w:pStyle w:val="NoSpacing"/>
              <w:jc w:val="center"/>
              <w:rPr>
                <w:rFonts w:ascii="Times New Roman" w:hAnsi="Times New Roman" w:cs="Times New Roman"/>
                <w:sz w:val="28"/>
                <w:szCs w:val="28"/>
              </w:rPr>
            </w:pPr>
            <w:r w:rsidRPr="00E22444">
              <w:rPr>
                <w:rFonts w:ascii="Times New Roman" w:hAnsi="Times New Roman" w:cs="Times New Roman"/>
                <w:sz w:val="28"/>
                <w:szCs w:val="28"/>
              </w:rPr>
              <w:t>1033.8</w:t>
            </w:r>
          </w:p>
        </w:tc>
      </w:tr>
      <w:tr w:rsidR="004A2A74" w:rsidRPr="00E22444" w14:paraId="52B11784" w14:textId="77777777" w:rsidTr="00E22444">
        <w:trPr>
          <w:trHeight w:val="481"/>
        </w:trPr>
        <w:tc>
          <w:tcPr>
            <w:tcW w:w="0" w:type="auto"/>
            <w:vAlign w:val="center"/>
            <w:hideMark/>
          </w:tcPr>
          <w:p w14:paraId="69C47073" w14:textId="77777777" w:rsidR="004A2A74" w:rsidRPr="00E22444" w:rsidRDefault="004A2A74" w:rsidP="00E22444">
            <w:pPr>
              <w:pStyle w:val="NoSpacing"/>
              <w:rPr>
                <w:rFonts w:ascii="Times New Roman" w:hAnsi="Times New Roman" w:cs="Times New Roman"/>
                <w:sz w:val="28"/>
                <w:szCs w:val="28"/>
              </w:rPr>
            </w:pPr>
            <w:r w:rsidRPr="00E22444">
              <w:rPr>
                <w:rFonts w:ascii="Times New Roman" w:hAnsi="Times New Roman" w:cs="Times New Roman"/>
                <w:sz w:val="28"/>
                <w:szCs w:val="28"/>
              </w:rPr>
              <w:t>1967-68</w:t>
            </w:r>
          </w:p>
        </w:tc>
        <w:tc>
          <w:tcPr>
            <w:tcW w:w="0" w:type="auto"/>
            <w:vAlign w:val="center"/>
            <w:hideMark/>
          </w:tcPr>
          <w:p w14:paraId="301ADF2B" w14:textId="77777777" w:rsidR="004A2A74" w:rsidRPr="00E22444" w:rsidRDefault="004A2A74" w:rsidP="00E22444">
            <w:pPr>
              <w:pStyle w:val="NoSpacing"/>
              <w:jc w:val="center"/>
              <w:rPr>
                <w:rFonts w:ascii="Times New Roman" w:hAnsi="Times New Roman" w:cs="Times New Roman"/>
                <w:sz w:val="28"/>
                <w:szCs w:val="28"/>
              </w:rPr>
            </w:pPr>
            <w:r w:rsidRPr="00E22444">
              <w:rPr>
                <w:rFonts w:ascii="Times New Roman" w:hAnsi="Times New Roman" w:cs="Times New Roman"/>
                <w:sz w:val="28"/>
                <w:szCs w:val="28"/>
              </w:rPr>
              <w:t>1034.2</w:t>
            </w:r>
          </w:p>
        </w:tc>
        <w:tc>
          <w:tcPr>
            <w:tcW w:w="0" w:type="auto"/>
            <w:vAlign w:val="center"/>
            <w:hideMark/>
          </w:tcPr>
          <w:p w14:paraId="11F043F9" w14:textId="77777777" w:rsidR="004A2A74" w:rsidRPr="00E22444" w:rsidRDefault="004A2A74" w:rsidP="00E22444">
            <w:pPr>
              <w:pStyle w:val="NoSpacing"/>
              <w:jc w:val="center"/>
              <w:rPr>
                <w:rFonts w:ascii="Times New Roman" w:hAnsi="Times New Roman" w:cs="Times New Roman"/>
                <w:sz w:val="28"/>
                <w:szCs w:val="28"/>
              </w:rPr>
            </w:pPr>
            <w:r w:rsidRPr="00E22444">
              <w:rPr>
                <w:rFonts w:ascii="Times New Roman" w:hAnsi="Times New Roman" w:cs="Times New Roman"/>
                <w:sz w:val="28"/>
                <w:szCs w:val="28"/>
              </w:rPr>
              <w:t>48.6</w:t>
            </w:r>
          </w:p>
        </w:tc>
        <w:tc>
          <w:tcPr>
            <w:tcW w:w="0" w:type="auto"/>
            <w:vAlign w:val="center"/>
            <w:hideMark/>
          </w:tcPr>
          <w:p w14:paraId="496C68A5" w14:textId="77777777" w:rsidR="004A2A74" w:rsidRPr="00E22444" w:rsidRDefault="004A2A74" w:rsidP="00E22444">
            <w:pPr>
              <w:pStyle w:val="NoSpacing"/>
              <w:jc w:val="center"/>
              <w:rPr>
                <w:rFonts w:ascii="Times New Roman" w:hAnsi="Times New Roman" w:cs="Times New Roman"/>
                <w:sz w:val="28"/>
                <w:szCs w:val="28"/>
              </w:rPr>
            </w:pPr>
            <w:r w:rsidRPr="00E22444">
              <w:rPr>
                <w:rFonts w:ascii="Times New Roman" w:hAnsi="Times New Roman" w:cs="Times New Roman"/>
                <w:sz w:val="28"/>
                <w:szCs w:val="28"/>
              </w:rPr>
              <w:t>65.7</w:t>
            </w:r>
          </w:p>
        </w:tc>
        <w:tc>
          <w:tcPr>
            <w:tcW w:w="0" w:type="auto"/>
            <w:vAlign w:val="center"/>
            <w:hideMark/>
          </w:tcPr>
          <w:p w14:paraId="5EF75CD4" w14:textId="77777777" w:rsidR="004A2A74" w:rsidRPr="00E22444" w:rsidRDefault="004A2A74" w:rsidP="00E22444">
            <w:pPr>
              <w:pStyle w:val="NoSpacing"/>
              <w:jc w:val="center"/>
              <w:rPr>
                <w:rFonts w:ascii="Times New Roman" w:hAnsi="Times New Roman" w:cs="Times New Roman"/>
                <w:sz w:val="28"/>
                <w:szCs w:val="28"/>
              </w:rPr>
            </w:pPr>
            <w:r w:rsidRPr="00E22444">
              <w:rPr>
                <w:rFonts w:ascii="Times New Roman" w:hAnsi="Times New Roman" w:cs="Times New Roman"/>
                <w:sz w:val="28"/>
                <w:szCs w:val="28"/>
              </w:rPr>
              <w:t>1148.5</w:t>
            </w:r>
          </w:p>
        </w:tc>
      </w:tr>
      <w:tr w:rsidR="004A2A74" w:rsidRPr="00E22444" w14:paraId="07018225" w14:textId="77777777" w:rsidTr="00E22444">
        <w:trPr>
          <w:trHeight w:val="485"/>
        </w:trPr>
        <w:tc>
          <w:tcPr>
            <w:tcW w:w="0" w:type="auto"/>
            <w:vAlign w:val="center"/>
            <w:hideMark/>
          </w:tcPr>
          <w:p w14:paraId="6EE00F5F" w14:textId="77777777" w:rsidR="004A2A74" w:rsidRPr="00E22444" w:rsidRDefault="004A2A74" w:rsidP="00E22444">
            <w:pPr>
              <w:pStyle w:val="NoSpacing"/>
              <w:rPr>
                <w:rFonts w:ascii="Times New Roman" w:hAnsi="Times New Roman" w:cs="Times New Roman"/>
                <w:sz w:val="28"/>
                <w:szCs w:val="28"/>
              </w:rPr>
            </w:pPr>
            <w:r w:rsidRPr="00E22444">
              <w:rPr>
                <w:rFonts w:ascii="Times New Roman" w:hAnsi="Times New Roman" w:cs="Times New Roman"/>
                <w:sz w:val="28"/>
                <w:szCs w:val="28"/>
              </w:rPr>
              <w:t>1968-69 (R.E.)</w:t>
            </w:r>
          </w:p>
        </w:tc>
        <w:tc>
          <w:tcPr>
            <w:tcW w:w="0" w:type="auto"/>
            <w:vAlign w:val="center"/>
            <w:hideMark/>
          </w:tcPr>
          <w:p w14:paraId="24BAA959" w14:textId="77777777" w:rsidR="004A2A74" w:rsidRPr="00E22444" w:rsidRDefault="004A2A74" w:rsidP="00E22444">
            <w:pPr>
              <w:pStyle w:val="NoSpacing"/>
              <w:jc w:val="center"/>
              <w:rPr>
                <w:rFonts w:ascii="Times New Roman" w:hAnsi="Times New Roman" w:cs="Times New Roman"/>
                <w:sz w:val="28"/>
                <w:szCs w:val="28"/>
              </w:rPr>
            </w:pPr>
            <w:r w:rsidRPr="00E22444">
              <w:rPr>
                <w:rFonts w:ascii="Times New Roman" w:hAnsi="Times New Roman" w:cs="Times New Roman"/>
                <w:sz w:val="28"/>
                <w:szCs w:val="28"/>
              </w:rPr>
              <w:t>1188.8</w:t>
            </w:r>
          </w:p>
        </w:tc>
        <w:tc>
          <w:tcPr>
            <w:tcW w:w="0" w:type="auto"/>
            <w:vAlign w:val="center"/>
            <w:hideMark/>
          </w:tcPr>
          <w:p w14:paraId="27FF7C4C" w14:textId="77777777" w:rsidR="004A2A74" w:rsidRPr="00E22444" w:rsidRDefault="004A2A74" w:rsidP="00E22444">
            <w:pPr>
              <w:pStyle w:val="NoSpacing"/>
              <w:jc w:val="center"/>
              <w:rPr>
                <w:rFonts w:ascii="Times New Roman" w:hAnsi="Times New Roman" w:cs="Times New Roman"/>
                <w:sz w:val="28"/>
                <w:szCs w:val="28"/>
              </w:rPr>
            </w:pPr>
            <w:r w:rsidRPr="00E22444">
              <w:rPr>
                <w:rFonts w:ascii="Times New Roman" w:hAnsi="Times New Roman" w:cs="Times New Roman"/>
                <w:sz w:val="28"/>
                <w:szCs w:val="28"/>
              </w:rPr>
              <w:t>54.1</w:t>
            </w:r>
          </w:p>
        </w:tc>
        <w:tc>
          <w:tcPr>
            <w:tcW w:w="0" w:type="auto"/>
            <w:vAlign w:val="center"/>
            <w:hideMark/>
          </w:tcPr>
          <w:p w14:paraId="0F503598" w14:textId="77777777" w:rsidR="004A2A74" w:rsidRPr="00E22444" w:rsidRDefault="004A2A74" w:rsidP="00E22444">
            <w:pPr>
              <w:pStyle w:val="NoSpacing"/>
              <w:jc w:val="center"/>
              <w:rPr>
                <w:rFonts w:ascii="Times New Roman" w:hAnsi="Times New Roman" w:cs="Times New Roman"/>
                <w:sz w:val="28"/>
                <w:szCs w:val="28"/>
              </w:rPr>
            </w:pPr>
            <w:r w:rsidRPr="00E22444">
              <w:rPr>
                <w:rFonts w:ascii="Times New Roman" w:hAnsi="Times New Roman" w:cs="Times New Roman"/>
                <w:sz w:val="28"/>
                <w:szCs w:val="28"/>
              </w:rPr>
              <w:t>77.6</w:t>
            </w:r>
          </w:p>
        </w:tc>
        <w:tc>
          <w:tcPr>
            <w:tcW w:w="0" w:type="auto"/>
            <w:vAlign w:val="center"/>
            <w:hideMark/>
          </w:tcPr>
          <w:p w14:paraId="1324D4B9" w14:textId="77777777" w:rsidR="004A2A74" w:rsidRPr="00E22444" w:rsidRDefault="004A2A74" w:rsidP="00E22444">
            <w:pPr>
              <w:pStyle w:val="NoSpacing"/>
              <w:jc w:val="center"/>
              <w:rPr>
                <w:rFonts w:ascii="Times New Roman" w:hAnsi="Times New Roman" w:cs="Times New Roman"/>
                <w:sz w:val="28"/>
                <w:szCs w:val="28"/>
              </w:rPr>
            </w:pPr>
            <w:r w:rsidRPr="00E22444">
              <w:rPr>
                <w:rFonts w:ascii="Times New Roman" w:hAnsi="Times New Roman" w:cs="Times New Roman"/>
                <w:sz w:val="28"/>
                <w:szCs w:val="28"/>
              </w:rPr>
              <w:t>1320.5</w:t>
            </w:r>
          </w:p>
        </w:tc>
      </w:tr>
      <w:tr w:rsidR="004A2A74" w:rsidRPr="00E22444" w14:paraId="0B531D54" w14:textId="77777777" w:rsidTr="00E22444">
        <w:trPr>
          <w:trHeight w:val="359"/>
        </w:trPr>
        <w:tc>
          <w:tcPr>
            <w:tcW w:w="0" w:type="auto"/>
            <w:vAlign w:val="center"/>
            <w:hideMark/>
          </w:tcPr>
          <w:p w14:paraId="5FEA7D1D" w14:textId="77777777" w:rsidR="004A2A74" w:rsidRPr="00E22444" w:rsidRDefault="004A2A74" w:rsidP="00E22444">
            <w:pPr>
              <w:pStyle w:val="NoSpacing"/>
              <w:rPr>
                <w:rFonts w:ascii="Times New Roman" w:hAnsi="Times New Roman" w:cs="Times New Roman"/>
                <w:sz w:val="28"/>
                <w:szCs w:val="28"/>
              </w:rPr>
            </w:pPr>
            <w:r w:rsidRPr="00E22444">
              <w:rPr>
                <w:rFonts w:ascii="Times New Roman" w:hAnsi="Times New Roman" w:cs="Times New Roman"/>
                <w:sz w:val="28"/>
                <w:szCs w:val="28"/>
              </w:rPr>
              <w:t>1969-70 (B.E.)</w:t>
            </w:r>
          </w:p>
        </w:tc>
        <w:tc>
          <w:tcPr>
            <w:tcW w:w="0" w:type="auto"/>
            <w:vAlign w:val="center"/>
            <w:hideMark/>
          </w:tcPr>
          <w:p w14:paraId="41CE99CD" w14:textId="77777777" w:rsidR="004A2A74" w:rsidRPr="00E22444" w:rsidRDefault="004A2A74" w:rsidP="00E22444">
            <w:pPr>
              <w:pStyle w:val="NoSpacing"/>
              <w:jc w:val="center"/>
              <w:rPr>
                <w:rFonts w:ascii="Times New Roman" w:hAnsi="Times New Roman" w:cs="Times New Roman"/>
                <w:sz w:val="28"/>
                <w:szCs w:val="28"/>
              </w:rPr>
            </w:pPr>
            <w:r w:rsidRPr="00E22444">
              <w:rPr>
                <w:rFonts w:ascii="Times New Roman" w:hAnsi="Times New Roman" w:cs="Times New Roman"/>
                <w:sz w:val="28"/>
                <w:szCs w:val="28"/>
              </w:rPr>
              <w:t>1280.0</w:t>
            </w:r>
          </w:p>
        </w:tc>
        <w:tc>
          <w:tcPr>
            <w:tcW w:w="0" w:type="auto"/>
            <w:vAlign w:val="center"/>
            <w:hideMark/>
          </w:tcPr>
          <w:p w14:paraId="2DEF2644" w14:textId="77777777" w:rsidR="004A2A74" w:rsidRPr="00E22444" w:rsidRDefault="004A2A74" w:rsidP="00E22444">
            <w:pPr>
              <w:pStyle w:val="NoSpacing"/>
              <w:jc w:val="center"/>
              <w:rPr>
                <w:rFonts w:ascii="Times New Roman" w:hAnsi="Times New Roman" w:cs="Times New Roman"/>
                <w:sz w:val="28"/>
                <w:szCs w:val="28"/>
              </w:rPr>
            </w:pPr>
            <w:r w:rsidRPr="00E22444">
              <w:rPr>
                <w:rFonts w:ascii="Times New Roman" w:hAnsi="Times New Roman" w:cs="Times New Roman"/>
                <w:sz w:val="28"/>
                <w:szCs w:val="28"/>
              </w:rPr>
              <w:t>62.8</w:t>
            </w:r>
          </w:p>
        </w:tc>
        <w:tc>
          <w:tcPr>
            <w:tcW w:w="0" w:type="auto"/>
            <w:vAlign w:val="center"/>
            <w:hideMark/>
          </w:tcPr>
          <w:p w14:paraId="4A9BBB8B" w14:textId="77777777" w:rsidR="004A2A74" w:rsidRPr="00E22444" w:rsidRDefault="004A2A74" w:rsidP="00E22444">
            <w:pPr>
              <w:pStyle w:val="NoSpacing"/>
              <w:jc w:val="center"/>
              <w:rPr>
                <w:rFonts w:ascii="Times New Roman" w:hAnsi="Times New Roman" w:cs="Times New Roman"/>
                <w:sz w:val="28"/>
                <w:szCs w:val="28"/>
              </w:rPr>
            </w:pPr>
            <w:r w:rsidRPr="00E22444">
              <w:rPr>
                <w:rFonts w:ascii="Times New Roman" w:hAnsi="Times New Roman" w:cs="Times New Roman"/>
                <w:sz w:val="28"/>
                <w:szCs w:val="28"/>
              </w:rPr>
              <w:t>78.8</w:t>
            </w:r>
          </w:p>
        </w:tc>
        <w:tc>
          <w:tcPr>
            <w:tcW w:w="0" w:type="auto"/>
            <w:vAlign w:val="center"/>
            <w:hideMark/>
          </w:tcPr>
          <w:p w14:paraId="5376B037" w14:textId="77777777" w:rsidR="004A2A74" w:rsidRPr="00E22444" w:rsidRDefault="004A2A74" w:rsidP="00E22444">
            <w:pPr>
              <w:pStyle w:val="NoSpacing"/>
              <w:jc w:val="center"/>
              <w:rPr>
                <w:rFonts w:ascii="Times New Roman" w:hAnsi="Times New Roman" w:cs="Times New Roman"/>
                <w:sz w:val="28"/>
                <w:szCs w:val="28"/>
              </w:rPr>
            </w:pPr>
            <w:r w:rsidRPr="00E22444">
              <w:rPr>
                <w:rFonts w:ascii="Times New Roman" w:hAnsi="Times New Roman" w:cs="Times New Roman"/>
                <w:sz w:val="28"/>
                <w:szCs w:val="28"/>
              </w:rPr>
              <w:t>1421.6</w:t>
            </w:r>
          </w:p>
        </w:tc>
      </w:tr>
    </w:tbl>
    <w:p w14:paraId="0E98CFD9" w14:textId="072B7496" w:rsidR="004A2A74" w:rsidRPr="00E22444" w:rsidRDefault="004A2A74" w:rsidP="004A2A74">
      <w:pPr>
        <w:rPr>
          <w:rFonts w:ascii="Times New Roman" w:hAnsi="Times New Roman" w:cs="Times New Roman"/>
          <w:sz w:val="20"/>
          <w:szCs w:val="20"/>
        </w:rPr>
      </w:pPr>
      <w:r w:rsidRPr="00E22444">
        <w:rPr>
          <w:rFonts w:ascii="Times New Roman" w:hAnsi="Times New Roman" w:cs="Times New Roman"/>
          <w:sz w:val="20"/>
          <w:szCs w:val="20"/>
        </w:rPr>
        <w:t>Source: Union Budgets.</w:t>
      </w:r>
    </w:p>
    <w:p w14:paraId="6FBCFC84" w14:textId="40304B04" w:rsidR="00E0452B" w:rsidRPr="007245B0" w:rsidRDefault="00E0452B">
      <w:pPr>
        <w:rPr>
          <w:rFonts w:ascii="Times New Roman" w:hAnsi="Times New Roman" w:cs="Times New Roman"/>
          <w:i/>
          <w:iCs/>
          <w:szCs w:val="24"/>
        </w:rPr>
      </w:pPr>
      <w:r w:rsidRPr="007245B0">
        <w:rPr>
          <w:rFonts w:ascii="Times New Roman" w:hAnsi="Times New Roman" w:cs="Times New Roman"/>
          <w:i/>
          <w:iCs/>
          <w:szCs w:val="24"/>
        </w:rPr>
        <w:br w:type="page"/>
      </w:r>
    </w:p>
    <w:p w14:paraId="17BAA40F" w14:textId="77777777" w:rsidR="00E0452B" w:rsidRPr="007245B0" w:rsidRDefault="00E0452B" w:rsidP="00E0452B">
      <w:pPr>
        <w:rPr>
          <w:rFonts w:ascii="Times New Roman" w:hAnsi="Times New Roman" w:cs="Times New Roman"/>
          <w:i/>
          <w:iCs/>
          <w:szCs w:val="24"/>
        </w:rPr>
        <w:sectPr w:rsidR="00E0452B" w:rsidRPr="007245B0" w:rsidSect="00E0452B">
          <w:pgSz w:w="12240" w:h="15840"/>
          <w:pgMar w:top="992" w:right="1440" w:bottom="1440" w:left="1440" w:header="720" w:footer="720" w:gutter="0"/>
          <w:cols w:space="720"/>
        </w:sectPr>
      </w:pPr>
    </w:p>
    <w:p w14:paraId="5B61C2CD" w14:textId="4A0FEE47" w:rsidR="00726EC7" w:rsidRDefault="00574BCE" w:rsidP="00E22444">
      <w:pPr>
        <w:pStyle w:val="Heading4"/>
      </w:pPr>
      <w:bookmarkStart w:id="180" w:name="_Toc220949730"/>
      <w:bookmarkStart w:id="181" w:name="_Toc221114330"/>
      <w:bookmarkStart w:id="182" w:name="_Toc221115353"/>
      <w:r>
        <w:lastRenderedPageBreak/>
        <w:t>Table</w:t>
      </w:r>
      <w:r w:rsidR="00726EC7" w:rsidRPr="00E22444">
        <w:t xml:space="preserve"> 49: Economic indicators for distribution of States' share of Union Excise Duties.</w:t>
      </w:r>
      <w:bookmarkEnd w:id="180"/>
      <w:bookmarkEnd w:id="181"/>
      <w:bookmarkEnd w:id="182"/>
    </w:p>
    <w:p w14:paraId="4CD9BCFC" w14:textId="77777777" w:rsidR="00E22444" w:rsidRPr="00E22444" w:rsidRDefault="00E22444" w:rsidP="00E22444"/>
    <w:tbl>
      <w:tblPr>
        <w:tblStyle w:val="TableGrid"/>
        <w:tblW w:w="13907" w:type="dxa"/>
        <w:tblLook w:val="04A0" w:firstRow="1" w:lastRow="0" w:firstColumn="1" w:lastColumn="0" w:noHBand="0" w:noVBand="1"/>
      </w:tblPr>
      <w:tblGrid>
        <w:gridCol w:w="1380"/>
        <w:gridCol w:w="1516"/>
        <w:gridCol w:w="1462"/>
        <w:gridCol w:w="1698"/>
        <w:gridCol w:w="1569"/>
        <w:gridCol w:w="1211"/>
        <w:gridCol w:w="1242"/>
        <w:gridCol w:w="697"/>
        <w:gridCol w:w="1595"/>
        <w:gridCol w:w="1537"/>
      </w:tblGrid>
      <w:tr w:rsidR="00726EC7" w:rsidRPr="00E22444" w14:paraId="4B720621" w14:textId="77777777" w:rsidTr="00E22444">
        <w:trPr>
          <w:trHeight w:val="848"/>
        </w:trPr>
        <w:tc>
          <w:tcPr>
            <w:tcW w:w="0" w:type="auto"/>
            <w:vMerge w:val="restart"/>
            <w:vAlign w:val="center"/>
            <w:hideMark/>
          </w:tcPr>
          <w:p w14:paraId="507B1BBF" w14:textId="77777777" w:rsidR="00726EC7" w:rsidRPr="00E22444" w:rsidRDefault="00726EC7" w:rsidP="00E22444">
            <w:pPr>
              <w:pStyle w:val="NoSpacing"/>
              <w:jc w:val="center"/>
              <w:rPr>
                <w:rFonts w:ascii="Times New Roman" w:hAnsi="Times New Roman" w:cs="Times New Roman"/>
                <w:b/>
                <w:bCs/>
                <w:sz w:val="22"/>
                <w:szCs w:val="22"/>
              </w:rPr>
            </w:pPr>
            <w:r w:rsidRPr="00E22444">
              <w:rPr>
                <w:rFonts w:ascii="Times New Roman" w:hAnsi="Times New Roman" w:cs="Times New Roman"/>
                <w:b/>
                <w:bCs/>
                <w:sz w:val="22"/>
                <w:szCs w:val="22"/>
              </w:rPr>
              <w:t>States</w:t>
            </w:r>
          </w:p>
        </w:tc>
        <w:tc>
          <w:tcPr>
            <w:tcW w:w="0" w:type="auto"/>
            <w:vMerge w:val="restart"/>
            <w:vAlign w:val="center"/>
            <w:hideMark/>
          </w:tcPr>
          <w:p w14:paraId="1DE45018" w14:textId="5833F885" w:rsidR="00726EC7" w:rsidRPr="00E22444" w:rsidRDefault="00726EC7" w:rsidP="00E22444">
            <w:pPr>
              <w:pStyle w:val="NoSpacing"/>
              <w:jc w:val="center"/>
              <w:rPr>
                <w:rFonts w:ascii="Times New Roman" w:hAnsi="Times New Roman" w:cs="Times New Roman"/>
                <w:b/>
                <w:bCs/>
                <w:sz w:val="22"/>
                <w:szCs w:val="22"/>
              </w:rPr>
            </w:pPr>
            <w:r w:rsidRPr="00E22444">
              <w:rPr>
                <w:rFonts w:ascii="Times New Roman" w:hAnsi="Times New Roman" w:cs="Times New Roman"/>
                <w:b/>
                <w:bCs/>
                <w:sz w:val="22"/>
                <w:szCs w:val="22"/>
              </w:rPr>
              <w:t>Factory Workers per lakh of population 1966</w:t>
            </w:r>
          </w:p>
        </w:tc>
        <w:tc>
          <w:tcPr>
            <w:tcW w:w="0" w:type="auto"/>
            <w:vMerge w:val="restart"/>
            <w:vAlign w:val="center"/>
            <w:hideMark/>
          </w:tcPr>
          <w:p w14:paraId="5AE17D29" w14:textId="5CD1F283" w:rsidR="00726EC7" w:rsidRPr="00E22444" w:rsidRDefault="00726EC7" w:rsidP="00E22444">
            <w:pPr>
              <w:pStyle w:val="NoSpacing"/>
              <w:jc w:val="center"/>
              <w:rPr>
                <w:rFonts w:ascii="Times New Roman" w:hAnsi="Times New Roman" w:cs="Times New Roman"/>
                <w:b/>
                <w:bCs/>
                <w:sz w:val="22"/>
                <w:szCs w:val="22"/>
              </w:rPr>
            </w:pPr>
            <w:r w:rsidRPr="00E22444">
              <w:rPr>
                <w:rFonts w:ascii="Times New Roman" w:hAnsi="Times New Roman" w:cs="Times New Roman"/>
                <w:b/>
                <w:bCs/>
                <w:sz w:val="22"/>
                <w:szCs w:val="22"/>
              </w:rPr>
              <w:t>Net irrigated area per cultivator (Hectares)</w:t>
            </w:r>
          </w:p>
        </w:tc>
        <w:tc>
          <w:tcPr>
            <w:tcW w:w="0" w:type="auto"/>
            <w:vMerge w:val="restart"/>
            <w:vAlign w:val="center"/>
            <w:hideMark/>
          </w:tcPr>
          <w:p w14:paraId="178B82EF" w14:textId="77777777" w:rsidR="00726EC7" w:rsidRPr="00E22444" w:rsidRDefault="00726EC7" w:rsidP="00E22444">
            <w:pPr>
              <w:pStyle w:val="NoSpacing"/>
              <w:jc w:val="center"/>
              <w:rPr>
                <w:rFonts w:ascii="Times New Roman" w:hAnsi="Times New Roman" w:cs="Times New Roman"/>
                <w:b/>
                <w:bCs/>
                <w:sz w:val="22"/>
                <w:szCs w:val="22"/>
              </w:rPr>
            </w:pPr>
            <w:r w:rsidRPr="00E22444">
              <w:rPr>
                <w:rFonts w:ascii="Times New Roman" w:hAnsi="Times New Roman" w:cs="Times New Roman"/>
                <w:b/>
                <w:bCs/>
                <w:sz w:val="22"/>
                <w:szCs w:val="22"/>
              </w:rPr>
              <w:t>Number of hospital beds per thousand of population as on 1-4-1968</w:t>
            </w:r>
          </w:p>
        </w:tc>
        <w:tc>
          <w:tcPr>
            <w:tcW w:w="0" w:type="auto"/>
            <w:vMerge w:val="restart"/>
            <w:vAlign w:val="center"/>
            <w:hideMark/>
          </w:tcPr>
          <w:p w14:paraId="5E2ADA06" w14:textId="7D517084" w:rsidR="00726EC7" w:rsidRPr="00E22444" w:rsidRDefault="00726EC7" w:rsidP="00E22444">
            <w:pPr>
              <w:pStyle w:val="NoSpacing"/>
              <w:jc w:val="center"/>
              <w:rPr>
                <w:rFonts w:ascii="Times New Roman" w:hAnsi="Times New Roman" w:cs="Times New Roman"/>
                <w:b/>
                <w:bCs/>
                <w:sz w:val="22"/>
                <w:szCs w:val="22"/>
              </w:rPr>
            </w:pPr>
            <w:r w:rsidRPr="00E22444">
              <w:rPr>
                <w:rFonts w:ascii="Times New Roman" w:hAnsi="Times New Roman" w:cs="Times New Roman"/>
                <w:b/>
                <w:bCs/>
                <w:sz w:val="22"/>
                <w:szCs w:val="22"/>
              </w:rPr>
              <w:t>Scheduled Tribes population (1961) (Census Lakhs)</w:t>
            </w:r>
          </w:p>
        </w:tc>
        <w:tc>
          <w:tcPr>
            <w:tcW w:w="0" w:type="auto"/>
            <w:gridSpan w:val="3"/>
            <w:vAlign w:val="center"/>
            <w:hideMark/>
          </w:tcPr>
          <w:p w14:paraId="2CFAF1CC" w14:textId="77777777" w:rsidR="00726EC7" w:rsidRPr="00E22444" w:rsidRDefault="00726EC7" w:rsidP="00E22444">
            <w:pPr>
              <w:pStyle w:val="NoSpacing"/>
              <w:jc w:val="center"/>
              <w:rPr>
                <w:rFonts w:ascii="Times New Roman" w:hAnsi="Times New Roman" w:cs="Times New Roman"/>
                <w:b/>
                <w:bCs/>
                <w:sz w:val="22"/>
                <w:szCs w:val="22"/>
              </w:rPr>
            </w:pPr>
            <w:r w:rsidRPr="00E22444">
              <w:rPr>
                <w:rFonts w:ascii="Times New Roman" w:hAnsi="Times New Roman" w:cs="Times New Roman"/>
                <w:b/>
                <w:bCs/>
                <w:sz w:val="22"/>
                <w:szCs w:val="22"/>
              </w:rPr>
              <w:t>Length of railways and surfaced roads as on 31-3-1967</w:t>
            </w:r>
          </w:p>
        </w:tc>
        <w:tc>
          <w:tcPr>
            <w:tcW w:w="0" w:type="auto"/>
            <w:gridSpan w:val="2"/>
            <w:vAlign w:val="center"/>
            <w:hideMark/>
          </w:tcPr>
          <w:p w14:paraId="321ADBE1" w14:textId="77777777" w:rsidR="00726EC7" w:rsidRPr="00E22444" w:rsidRDefault="00726EC7" w:rsidP="00E22444">
            <w:pPr>
              <w:pStyle w:val="NoSpacing"/>
              <w:jc w:val="center"/>
              <w:rPr>
                <w:rFonts w:ascii="Times New Roman" w:hAnsi="Times New Roman" w:cs="Times New Roman"/>
                <w:b/>
                <w:bCs/>
                <w:sz w:val="22"/>
                <w:szCs w:val="22"/>
              </w:rPr>
            </w:pPr>
            <w:r w:rsidRPr="00E22444">
              <w:rPr>
                <w:rFonts w:ascii="Times New Roman" w:hAnsi="Times New Roman" w:cs="Times New Roman"/>
                <w:b/>
                <w:bCs/>
                <w:sz w:val="22"/>
                <w:szCs w:val="22"/>
              </w:rPr>
              <w:t>School going children in age group 6 to 11 years (1967-68)</w:t>
            </w:r>
          </w:p>
        </w:tc>
      </w:tr>
      <w:tr w:rsidR="00726EC7" w:rsidRPr="00E22444" w14:paraId="7E33D0DA" w14:textId="77777777" w:rsidTr="00E22444">
        <w:trPr>
          <w:trHeight w:val="848"/>
        </w:trPr>
        <w:tc>
          <w:tcPr>
            <w:tcW w:w="0" w:type="auto"/>
            <w:vMerge/>
            <w:vAlign w:val="center"/>
            <w:hideMark/>
          </w:tcPr>
          <w:p w14:paraId="7061ED16" w14:textId="77777777" w:rsidR="00726EC7" w:rsidRPr="00E22444" w:rsidRDefault="00726EC7" w:rsidP="00E22444">
            <w:pPr>
              <w:pStyle w:val="NoSpacing"/>
              <w:jc w:val="center"/>
              <w:rPr>
                <w:rFonts w:ascii="Times New Roman" w:hAnsi="Times New Roman" w:cs="Times New Roman"/>
                <w:b/>
                <w:bCs/>
                <w:sz w:val="22"/>
                <w:szCs w:val="22"/>
              </w:rPr>
            </w:pPr>
          </w:p>
        </w:tc>
        <w:tc>
          <w:tcPr>
            <w:tcW w:w="0" w:type="auto"/>
            <w:vMerge/>
            <w:vAlign w:val="center"/>
            <w:hideMark/>
          </w:tcPr>
          <w:p w14:paraId="77D161AB" w14:textId="77777777" w:rsidR="00726EC7" w:rsidRPr="00E22444" w:rsidRDefault="00726EC7" w:rsidP="00E22444">
            <w:pPr>
              <w:pStyle w:val="NoSpacing"/>
              <w:jc w:val="center"/>
              <w:rPr>
                <w:rFonts w:ascii="Times New Roman" w:hAnsi="Times New Roman" w:cs="Times New Roman"/>
                <w:b/>
                <w:bCs/>
                <w:sz w:val="22"/>
                <w:szCs w:val="22"/>
              </w:rPr>
            </w:pPr>
          </w:p>
        </w:tc>
        <w:tc>
          <w:tcPr>
            <w:tcW w:w="0" w:type="auto"/>
            <w:vMerge/>
            <w:vAlign w:val="center"/>
            <w:hideMark/>
          </w:tcPr>
          <w:p w14:paraId="369CE6EA" w14:textId="77777777" w:rsidR="00726EC7" w:rsidRPr="00E22444" w:rsidRDefault="00726EC7" w:rsidP="00E22444">
            <w:pPr>
              <w:pStyle w:val="NoSpacing"/>
              <w:jc w:val="center"/>
              <w:rPr>
                <w:rFonts w:ascii="Times New Roman" w:hAnsi="Times New Roman" w:cs="Times New Roman"/>
                <w:b/>
                <w:bCs/>
                <w:sz w:val="22"/>
                <w:szCs w:val="22"/>
              </w:rPr>
            </w:pPr>
          </w:p>
        </w:tc>
        <w:tc>
          <w:tcPr>
            <w:tcW w:w="0" w:type="auto"/>
            <w:vMerge/>
            <w:vAlign w:val="center"/>
            <w:hideMark/>
          </w:tcPr>
          <w:p w14:paraId="3C537A59" w14:textId="77777777" w:rsidR="00726EC7" w:rsidRPr="00E22444" w:rsidRDefault="00726EC7" w:rsidP="00E22444">
            <w:pPr>
              <w:pStyle w:val="NoSpacing"/>
              <w:jc w:val="center"/>
              <w:rPr>
                <w:rFonts w:ascii="Times New Roman" w:hAnsi="Times New Roman" w:cs="Times New Roman"/>
                <w:b/>
                <w:bCs/>
                <w:sz w:val="22"/>
                <w:szCs w:val="22"/>
              </w:rPr>
            </w:pPr>
          </w:p>
        </w:tc>
        <w:tc>
          <w:tcPr>
            <w:tcW w:w="0" w:type="auto"/>
            <w:vMerge/>
            <w:vAlign w:val="center"/>
            <w:hideMark/>
          </w:tcPr>
          <w:p w14:paraId="69896BEA" w14:textId="77777777" w:rsidR="00726EC7" w:rsidRPr="00E22444" w:rsidRDefault="00726EC7" w:rsidP="00E22444">
            <w:pPr>
              <w:pStyle w:val="NoSpacing"/>
              <w:jc w:val="center"/>
              <w:rPr>
                <w:rFonts w:ascii="Times New Roman" w:hAnsi="Times New Roman" w:cs="Times New Roman"/>
                <w:b/>
                <w:bCs/>
                <w:sz w:val="22"/>
                <w:szCs w:val="22"/>
              </w:rPr>
            </w:pPr>
          </w:p>
        </w:tc>
        <w:tc>
          <w:tcPr>
            <w:tcW w:w="0" w:type="auto"/>
            <w:vAlign w:val="center"/>
            <w:hideMark/>
          </w:tcPr>
          <w:p w14:paraId="57FDEA11" w14:textId="38566B7E" w:rsidR="00726EC7" w:rsidRPr="00E22444" w:rsidRDefault="00726EC7" w:rsidP="00E22444">
            <w:pPr>
              <w:pStyle w:val="NoSpacing"/>
              <w:jc w:val="center"/>
              <w:rPr>
                <w:rFonts w:ascii="Times New Roman" w:hAnsi="Times New Roman" w:cs="Times New Roman"/>
                <w:b/>
                <w:bCs/>
                <w:sz w:val="22"/>
                <w:szCs w:val="22"/>
              </w:rPr>
            </w:pPr>
            <w:r w:rsidRPr="00E22444">
              <w:rPr>
                <w:rFonts w:ascii="Times New Roman" w:hAnsi="Times New Roman" w:cs="Times New Roman"/>
                <w:b/>
                <w:bCs/>
                <w:sz w:val="22"/>
                <w:szCs w:val="22"/>
              </w:rPr>
              <w:t>Railways per 100 Sq. Km.</w:t>
            </w:r>
          </w:p>
        </w:tc>
        <w:tc>
          <w:tcPr>
            <w:tcW w:w="0" w:type="auto"/>
            <w:vAlign w:val="center"/>
            <w:hideMark/>
          </w:tcPr>
          <w:p w14:paraId="430963E5" w14:textId="66669E35" w:rsidR="00726EC7" w:rsidRPr="00E22444" w:rsidRDefault="00726EC7" w:rsidP="00E22444">
            <w:pPr>
              <w:pStyle w:val="NoSpacing"/>
              <w:jc w:val="center"/>
              <w:rPr>
                <w:rFonts w:ascii="Times New Roman" w:hAnsi="Times New Roman" w:cs="Times New Roman"/>
                <w:b/>
                <w:bCs/>
                <w:sz w:val="22"/>
                <w:szCs w:val="22"/>
              </w:rPr>
            </w:pPr>
            <w:r w:rsidRPr="00E22444">
              <w:rPr>
                <w:rFonts w:ascii="Times New Roman" w:hAnsi="Times New Roman" w:cs="Times New Roman"/>
                <w:b/>
                <w:bCs/>
                <w:sz w:val="22"/>
                <w:szCs w:val="22"/>
              </w:rPr>
              <w:t>Surfaced road per 100 Sq. Km.</w:t>
            </w:r>
          </w:p>
        </w:tc>
        <w:tc>
          <w:tcPr>
            <w:tcW w:w="0" w:type="auto"/>
            <w:vAlign w:val="center"/>
            <w:hideMark/>
          </w:tcPr>
          <w:p w14:paraId="5A4A1A3D" w14:textId="09D04481" w:rsidR="00726EC7" w:rsidRPr="00E22444" w:rsidRDefault="00726EC7" w:rsidP="00E22444">
            <w:pPr>
              <w:pStyle w:val="NoSpacing"/>
              <w:jc w:val="center"/>
              <w:rPr>
                <w:rFonts w:ascii="Times New Roman" w:hAnsi="Times New Roman" w:cs="Times New Roman"/>
                <w:b/>
                <w:bCs/>
                <w:sz w:val="22"/>
                <w:szCs w:val="22"/>
              </w:rPr>
            </w:pPr>
            <w:r w:rsidRPr="00E22444">
              <w:rPr>
                <w:rFonts w:ascii="Times New Roman" w:hAnsi="Times New Roman" w:cs="Times New Roman"/>
                <w:b/>
                <w:bCs/>
                <w:sz w:val="22"/>
                <w:szCs w:val="22"/>
              </w:rPr>
              <w:t>Total</w:t>
            </w:r>
          </w:p>
        </w:tc>
        <w:tc>
          <w:tcPr>
            <w:tcW w:w="0" w:type="auto"/>
            <w:vAlign w:val="center"/>
            <w:hideMark/>
          </w:tcPr>
          <w:p w14:paraId="67DD6C07" w14:textId="15E0B5E6" w:rsidR="00726EC7" w:rsidRPr="00E22444" w:rsidRDefault="00726EC7" w:rsidP="00E22444">
            <w:pPr>
              <w:pStyle w:val="NoSpacing"/>
              <w:jc w:val="center"/>
              <w:rPr>
                <w:rFonts w:ascii="Times New Roman" w:hAnsi="Times New Roman" w:cs="Times New Roman"/>
                <w:b/>
                <w:bCs/>
                <w:sz w:val="22"/>
                <w:szCs w:val="22"/>
              </w:rPr>
            </w:pPr>
            <w:r w:rsidRPr="00E22444">
              <w:rPr>
                <w:rFonts w:ascii="Times New Roman" w:hAnsi="Times New Roman" w:cs="Times New Roman"/>
                <w:b/>
                <w:bCs/>
                <w:sz w:val="22"/>
                <w:szCs w:val="22"/>
              </w:rPr>
              <w:t>Estimated population of children (thousands)</w:t>
            </w:r>
          </w:p>
        </w:tc>
        <w:tc>
          <w:tcPr>
            <w:tcW w:w="0" w:type="auto"/>
            <w:vAlign w:val="center"/>
            <w:hideMark/>
          </w:tcPr>
          <w:p w14:paraId="34862887" w14:textId="77777777" w:rsidR="00726EC7" w:rsidRPr="00E22444" w:rsidRDefault="00726EC7" w:rsidP="00E22444">
            <w:pPr>
              <w:pStyle w:val="NoSpacing"/>
              <w:jc w:val="center"/>
              <w:rPr>
                <w:rFonts w:ascii="Times New Roman" w:hAnsi="Times New Roman" w:cs="Times New Roman"/>
                <w:b/>
                <w:bCs/>
                <w:sz w:val="22"/>
                <w:szCs w:val="22"/>
              </w:rPr>
            </w:pPr>
            <w:r w:rsidRPr="00E22444">
              <w:rPr>
                <w:rFonts w:ascii="Times New Roman" w:hAnsi="Times New Roman" w:cs="Times New Roman"/>
                <w:b/>
                <w:bCs/>
                <w:sz w:val="22"/>
                <w:szCs w:val="22"/>
              </w:rPr>
              <w:t>Enrolment of children in classes I to V</w:t>
            </w:r>
          </w:p>
          <w:p w14:paraId="19CD90AC" w14:textId="1A961597" w:rsidR="00726EC7" w:rsidRPr="00E22444" w:rsidRDefault="00726EC7" w:rsidP="00E22444">
            <w:pPr>
              <w:pStyle w:val="NoSpacing"/>
              <w:jc w:val="center"/>
              <w:rPr>
                <w:rFonts w:ascii="Times New Roman" w:hAnsi="Times New Roman" w:cs="Times New Roman"/>
                <w:b/>
                <w:bCs/>
                <w:sz w:val="22"/>
                <w:szCs w:val="22"/>
              </w:rPr>
            </w:pPr>
            <w:r w:rsidRPr="00E22444">
              <w:rPr>
                <w:rFonts w:ascii="Times New Roman" w:hAnsi="Times New Roman" w:cs="Times New Roman"/>
                <w:b/>
                <w:bCs/>
                <w:sz w:val="22"/>
                <w:szCs w:val="22"/>
              </w:rPr>
              <w:t>(thousands)</w:t>
            </w:r>
          </w:p>
        </w:tc>
      </w:tr>
      <w:tr w:rsidR="00726EC7" w:rsidRPr="00E22444" w14:paraId="6051A686" w14:textId="77777777" w:rsidTr="00E22444">
        <w:trPr>
          <w:trHeight w:val="411"/>
        </w:trPr>
        <w:tc>
          <w:tcPr>
            <w:tcW w:w="0" w:type="auto"/>
            <w:vAlign w:val="center"/>
          </w:tcPr>
          <w:p w14:paraId="24E02825" w14:textId="77777777" w:rsidR="00726EC7" w:rsidRPr="00E22444" w:rsidRDefault="00726EC7" w:rsidP="00E22444">
            <w:pPr>
              <w:pStyle w:val="NoSpacing"/>
              <w:jc w:val="center"/>
              <w:rPr>
                <w:rFonts w:ascii="Times New Roman" w:hAnsi="Times New Roman" w:cs="Times New Roman"/>
                <w:b/>
                <w:bCs/>
                <w:sz w:val="22"/>
                <w:szCs w:val="22"/>
              </w:rPr>
            </w:pPr>
          </w:p>
        </w:tc>
        <w:tc>
          <w:tcPr>
            <w:tcW w:w="0" w:type="auto"/>
            <w:vAlign w:val="center"/>
          </w:tcPr>
          <w:p w14:paraId="4670CB1D" w14:textId="77777777" w:rsidR="00726EC7" w:rsidRPr="00E22444" w:rsidRDefault="00726EC7" w:rsidP="00E22444">
            <w:pPr>
              <w:pStyle w:val="NoSpacing"/>
              <w:jc w:val="center"/>
              <w:rPr>
                <w:rFonts w:ascii="Times New Roman" w:hAnsi="Times New Roman" w:cs="Times New Roman"/>
                <w:b/>
                <w:bCs/>
                <w:sz w:val="22"/>
                <w:szCs w:val="22"/>
              </w:rPr>
            </w:pPr>
            <w:r w:rsidRPr="00E22444">
              <w:rPr>
                <w:rFonts w:ascii="Times New Roman" w:hAnsi="Times New Roman" w:cs="Times New Roman"/>
                <w:b/>
                <w:bCs/>
                <w:sz w:val="22"/>
                <w:szCs w:val="22"/>
              </w:rPr>
              <w:t>1</w:t>
            </w:r>
          </w:p>
        </w:tc>
        <w:tc>
          <w:tcPr>
            <w:tcW w:w="0" w:type="auto"/>
            <w:vAlign w:val="center"/>
          </w:tcPr>
          <w:p w14:paraId="702CEFCC" w14:textId="77777777" w:rsidR="00726EC7" w:rsidRPr="00E22444" w:rsidRDefault="00726EC7" w:rsidP="00E22444">
            <w:pPr>
              <w:pStyle w:val="NoSpacing"/>
              <w:jc w:val="center"/>
              <w:rPr>
                <w:rFonts w:ascii="Times New Roman" w:hAnsi="Times New Roman" w:cs="Times New Roman"/>
                <w:b/>
                <w:bCs/>
                <w:sz w:val="22"/>
                <w:szCs w:val="22"/>
              </w:rPr>
            </w:pPr>
            <w:r w:rsidRPr="00E22444">
              <w:rPr>
                <w:rFonts w:ascii="Times New Roman" w:hAnsi="Times New Roman" w:cs="Times New Roman"/>
                <w:b/>
                <w:bCs/>
                <w:sz w:val="22"/>
                <w:szCs w:val="22"/>
              </w:rPr>
              <w:t>2</w:t>
            </w:r>
          </w:p>
        </w:tc>
        <w:tc>
          <w:tcPr>
            <w:tcW w:w="0" w:type="auto"/>
            <w:vAlign w:val="center"/>
          </w:tcPr>
          <w:p w14:paraId="06F86444" w14:textId="77777777" w:rsidR="00726EC7" w:rsidRPr="00E22444" w:rsidRDefault="00726EC7" w:rsidP="00E22444">
            <w:pPr>
              <w:pStyle w:val="NoSpacing"/>
              <w:jc w:val="center"/>
              <w:rPr>
                <w:rFonts w:ascii="Times New Roman" w:hAnsi="Times New Roman" w:cs="Times New Roman"/>
                <w:b/>
                <w:bCs/>
                <w:sz w:val="22"/>
                <w:szCs w:val="22"/>
              </w:rPr>
            </w:pPr>
            <w:r w:rsidRPr="00E22444">
              <w:rPr>
                <w:rFonts w:ascii="Times New Roman" w:hAnsi="Times New Roman" w:cs="Times New Roman"/>
                <w:b/>
                <w:bCs/>
                <w:sz w:val="22"/>
                <w:szCs w:val="22"/>
              </w:rPr>
              <w:t>3</w:t>
            </w:r>
          </w:p>
        </w:tc>
        <w:tc>
          <w:tcPr>
            <w:tcW w:w="0" w:type="auto"/>
            <w:vAlign w:val="center"/>
          </w:tcPr>
          <w:p w14:paraId="022B41A0" w14:textId="77777777" w:rsidR="00726EC7" w:rsidRPr="00E22444" w:rsidRDefault="00726EC7" w:rsidP="00E22444">
            <w:pPr>
              <w:pStyle w:val="NoSpacing"/>
              <w:jc w:val="center"/>
              <w:rPr>
                <w:rFonts w:ascii="Times New Roman" w:hAnsi="Times New Roman" w:cs="Times New Roman"/>
                <w:b/>
                <w:bCs/>
                <w:sz w:val="22"/>
                <w:szCs w:val="22"/>
              </w:rPr>
            </w:pPr>
            <w:r w:rsidRPr="00E22444">
              <w:rPr>
                <w:rFonts w:ascii="Times New Roman" w:hAnsi="Times New Roman" w:cs="Times New Roman"/>
                <w:b/>
                <w:bCs/>
                <w:sz w:val="22"/>
                <w:szCs w:val="22"/>
              </w:rPr>
              <w:t>4</w:t>
            </w:r>
          </w:p>
        </w:tc>
        <w:tc>
          <w:tcPr>
            <w:tcW w:w="0" w:type="auto"/>
            <w:vAlign w:val="center"/>
          </w:tcPr>
          <w:p w14:paraId="50813E16" w14:textId="77777777" w:rsidR="00726EC7" w:rsidRPr="00E22444" w:rsidRDefault="00726EC7" w:rsidP="00E22444">
            <w:pPr>
              <w:pStyle w:val="NoSpacing"/>
              <w:jc w:val="center"/>
              <w:rPr>
                <w:rFonts w:ascii="Times New Roman" w:hAnsi="Times New Roman" w:cs="Times New Roman"/>
                <w:b/>
                <w:bCs/>
                <w:sz w:val="22"/>
                <w:szCs w:val="22"/>
              </w:rPr>
            </w:pPr>
            <w:r w:rsidRPr="00E22444">
              <w:rPr>
                <w:rFonts w:ascii="Times New Roman" w:hAnsi="Times New Roman" w:cs="Times New Roman"/>
                <w:b/>
                <w:bCs/>
                <w:sz w:val="22"/>
                <w:szCs w:val="22"/>
              </w:rPr>
              <w:t>5</w:t>
            </w:r>
          </w:p>
        </w:tc>
        <w:tc>
          <w:tcPr>
            <w:tcW w:w="0" w:type="auto"/>
            <w:vAlign w:val="center"/>
          </w:tcPr>
          <w:p w14:paraId="0937BD38" w14:textId="77777777" w:rsidR="00726EC7" w:rsidRPr="00E22444" w:rsidRDefault="00726EC7" w:rsidP="00E22444">
            <w:pPr>
              <w:pStyle w:val="NoSpacing"/>
              <w:jc w:val="center"/>
              <w:rPr>
                <w:rFonts w:ascii="Times New Roman" w:hAnsi="Times New Roman" w:cs="Times New Roman"/>
                <w:b/>
                <w:bCs/>
                <w:sz w:val="22"/>
                <w:szCs w:val="22"/>
              </w:rPr>
            </w:pPr>
            <w:r w:rsidRPr="00E22444">
              <w:rPr>
                <w:rFonts w:ascii="Times New Roman" w:hAnsi="Times New Roman" w:cs="Times New Roman"/>
                <w:b/>
                <w:bCs/>
                <w:sz w:val="22"/>
                <w:szCs w:val="22"/>
              </w:rPr>
              <w:t>6</w:t>
            </w:r>
          </w:p>
        </w:tc>
        <w:tc>
          <w:tcPr>
            <w:tcW w:w="0" w:type="auto"/>
            <w:vAlign w:val="center"/>
          </w:tcPr>
          <w:p w14:paraId="3A62D50D" w14:textId="77777777" w:rsidR="00726EC7" w:rsidRPr="00E22444" w:rsidRDefault="00726EC7" w:rsidP="00E22444">
            <w:pPr>
              <w:pStyle w:val="NoSpacing"/>
              <w:jc w:val="center"/>
              <w:rPr>
                <w:rFonts w:ascii="Times New Roman" w:hAnsi="Times New Roman" w:cs="Times New Roman"/>
                <w:b/>
                <w:bCs/>
                <w:sz w:val="22"/>
                <w:szCs w:val="22"/>
              </w:rPr>
            </w:pPr>
            <w:r w:rsidRPr="00E22444">
              <w:rPr>
                <w:rFonts w:ascii="Times New Roman" w:hAnsi="Times New Roman" w:cs="Times New Roman"/>
                <w:b/>
                <w:bCs/>
                <w:sz w:val="22"/>
                <w:szCs w:val="22"/>
              </w:rPr>
              <w:t>7</w:t>
            </w:r>
          </w:p>
        </w:tc>
        <w:tc>
          <w:tcPr>
            <w:tcW w:w="0" w:type="auto"/>
            <w:vAlign w:val="center"/>
          </w:tcPr>
          <w:p w14:paraId="7C94270A" w14:textId="77777777" w:rsidR="00726EC7" w:rsidRPr="00E22444" w:rsidRDefault="00726EC7" w:rsidP="00E22444">
            <w:pPr>
              <w:pStyle w:val="NoSpacing"/>
              <w:jc w:val="center"/>
              <w:rPr>
                <w:rFonts w:ascii="Times New Roman" w:hAnsi="Times New Roman" w:cs="Times New Roman"/>
                <w:b/>
                <w:bCs/>
                <w:sz w:val="22"/>
                <w:szCs w:val="22"/>
              </w:rPr>
            </w:pPr>
            <w:r w:rsidRPr="00E22444">
              <w:rPr>
                <w:rFonts w:ascii="Times New Roman" w:hAnsi="Times New Roman" w:cs="Times New Roman"/>
                <w:b/>
                <w:bCs/>
                <w:sz w:val="22"/>
                <w:szCs w:val="22"/>
              </w:rPr>
              <w:t>8</w:t>
            </w:r>
          </w:p>
        </w:tc>
        <w:tc>
          <w:tcPr>
            <w:tcW w:w="0" w:type="auto"/>
            <w:vAlign w:val="center"/>
          </w:tcPr>
          <w:p w14:paraId="5AAAAA3C" w14:textId="77777777" w:rsidR="00726EC7" w:rsidRPr="00E22444" w:rsidRDefault="00726EC7" w:rsidP="00E22444">
            <w:pPr>
              <w:pStyle w:val="NoSpacing"/>
              <w:jc w:val="center"/>
              <w:rPr>
                <w:rFonts w:ascii="Times New Roman" w:hAnsi="Times New Roman" w:cs="Times New Roman"/>
                <w:b/>
                <w:bCs/>
                <w:sz w:val="22"/>
                <w:szCs w:val="22"/>
              </w:rPr>
            </w:pPr>
            <w:r w:rsidRPr="00E22444">
              <w:rPr>
                <w:rFonts w:ascii="Times New Roman" w:hAnsi="Times New Roman" w:cs="Times New Roman"/>
                <w:b/>
                <w:bCs/>
                <w:sz w:val="22"/>
                <w:szCs w:val="22"/>
              </w:rPr>
              <w:t>9</w:t>
            </w:r>
          </w:p>
        </w:tc>
      </w:tr>
      <w:tr w:rsidR="00726EC7" w:rsidRPr="00E22444" w14:paraId="055B53A3" w14:textId="77777777" w:rsidTr="00E22444">
        <w:trPr>
          <w:trHeight w:val="873"/>
        </w:trPr>
        <w:tc>
          <w:tcPr>
            <w:tcW w:w="0" w:type="auto"/>
            <w:vAlign w:val="center"/>
            <w:hideMark/>
          </w:tcPr>
          <w:p w14:paraId="376E3DA5" w14:textId="77777777" w:rsidR="00726EC7" w:rsidRPr="00E22444" w:rsidRDefault="00726EC7" w:rsidP="00E22444">
            <w:pPr>
              <w:pStyle w:val="NoSpacing"/>
              <w:rPr>
                <w:rFonts w:ascii="Times New Roman" w:hAnsi="Times New Roman" w:cs="Times New Roman"/>
                <w:sz w:val="22"/>
                <w:szCs w:val="22"/>
              </w:rPr>
            </w:pPr>
            <w:r w:rsidRPr="00E22444">
              <w:rPr>
                <w:rFonts w:ascii="Times New Roman" w:hAnsi="Times New Roman" w:cs="Times New Roman"/>
                <w:sz w:val="22"/>
                <w:szCs w:val="22"/>
              </w:rPr>
              <w:t>Andhra Pradesh</w:t>
            </w:r>
          </w:p>
        </w:tc>
        <w:tc>
          <w:tcPr>
            <w:tcW w:w="0" w:type="auto"/>
            <w:vAlign w:val="center"/>
            <w:hideMark/>
          </w:tcPr>
          <w:p w14:paraId="1B3FAA0D" w14:textId="77777777" w:rsidR="00726EC7" w:rsidRPr="00E22444" w:rsidRDefault="00726EC7" w:rsidP="00E22444">
            <w:pPr>
              <w:pStyle w:val="NoSpacing"/>
              <w:jc w:val="center"/>
              <w:rPr>
                <w:rFonts w:ascii="Times New Roman" w:hAnsi="Times New Roman" w:cs="Times New Roman"/>
                <w:sz w:val="22"/>
                <w:szCs w:val="22"/>
              </w:rPr>
            </w:pPr>
            <w:r w:rsidRPr="00E22444">
              <w:rPr>
                <w:rFonts w:ascii="Times New Roman" w:hAnsi="Times New Roman" w:cs="Times New Roman"/>
                <w:sz w:val="22"/>
                <w:szCs w:val="22"/>
              </w:rPr>
              <w:t>639</w:t>
            </w:r>
          </w:p>
        </w:tc>
        <w:tc>
          <w:tcPr>
            <w:tcW w:w="0" w:type="auto"/>
            <w:vAlign w:val="center"/>
            <w:hideMark/>
          </w:tcPr>
          <w:p w14:paraId="746B76A8" w14:textId="77777777" w:rsidR="00726EC7" w:rsidRPr="00E22444" w:rsidRDefault="00726EC7" w:rsidP="00E22444">
            <w:pPr>
              <w:pStyle w:val="NoSpacing"/>
              <w:jc w:val="center"/>
              <w:rPr>
                <w:rFonts w:ascii="Times New Roman" w:hAnsi="Times New Roman" w:cs="Times New Roman"/>
                <w:sz w:val="22"/>
                <w:szCs w:val="22"/>
              </w:rPr>
            </w:pPr>
            <w:r w:rsidRPr="00E22444">
              <w:rPr>
                <w:rFonts w:ascii="Times New Roman" w:hAnsi="Times New Roman" w:cs="Times New Roman"/>
                <w:sz w:val="22"/>
                <w:szCs w:val="22"/>
              </w:rPr>
              <w:t>0.398</w:t>
            </w:r>
          </w:p>
        </w:tc>
        <w:tc>
          <w:tcPr>
            <w:tcW w:w="0" w:type="auto"/>
            <w:vAlign w:val="center"/>
            <w:hideMark/>
          </w:tcPr>
          <w:p w14:paraId="59B4053D" w14:textId="77777777" w:rsidR="00726EC7" w:rsidRPr="00E22444" w:rsidRDefault="00726EC7" w:rsidP="00E22444">
            <w:pPr>
              <w:pStyle w:val="NoSpacing"/>
              <w:jc w:val="center"/>
              <w:rPr>
                <w:rFonts w:ascii="Times New Roman" w:hAnsi="Times New Roman" w:cs="Times New Roman"/>
                <w:sz w:val="22"/>
                <w:szCs w:val="22"/>
              </w:rPr>
            </w:pPr>
            <w:r w:rsidRPr="00E22444">
              <w:rPr>
                <w:rFonts w:ascii="Times New Roman" w:hAnsi="Times New Roman" w:cs="Times New Roman"/>
                <w:sz w:val="22"/>
                <w:szCs w:val="22"/>
              </w:rPr>
              <w:t>0.612</w:t>
            </w:r>
          </w:p>
        </w:tc>
        <w:tc>
          <w:tcPr>
            <w:tcW w:w="0" w:type="auto"/>
            <w:vAlign w:val="center"/>
            <w:hideMark/>
          </w:tcPr>
          <w:p w14:paraId="6A39D8E3" w14:textId="77777777" w:rsidR="00726EC7" w:rsidRPr="00E22444" w:rsidRDefault="00726EC7" w:rsidP="00E22444">
            <w:pPr>
              <w:pStyle w:val="NoSpacing"/>
              <w:jc w:val="center"/>
              <w:rPr>
                <w:rFonts w:ascii="Times New Roman" w:hAnsi="Times New Roman" w:cs="Times New Roman"/>
                <w:sz w:val="22"/>
                <w:szCs w:val="22"/>
              </w:rPr>
            </w:pPr>
            <w:r w:rsidRPr="00E22444">
              <w:rPr>
                <w:rFonts w:ascii="Times New Roman" w:hAnsi="Times New Roman" w:cs="Times New Roman"/>
                <w:sz w:val="22"/>
                <w:szCs w:val="22"/>
              </w:rPr>
              <w:t>13.24</w:t>
            </w:r>
          </w:p>
        </w:tc>
        <w:tc>
          <w:tcPr>
            <w:tcW w:w="0" w:type="auto"/>
            <w:vAlign w:val="center"/>
            <w:hideMark/>
          </w:tcPr>
          <w:p w14:paraId="4842739A" w14:textId="77777777" w:rsidR="00726EC7" w:rsidRPr="00E22444" w:rsidRDefault="00726EC7" w:rsidP="00E22444">
            <w:pPr>
              <w:pStyle w:val="NoSpacing"/>
              <w:jc w:val="center"/>
              <w:rPr>
                <w:rFonts w:ascii="Times New Roman" w:hAnsi="Times New Roman" w:cs="Times New Roman"/>
                <w:sz w:val="22"/>
                <w:szCs w:val="22"/>
              </w:rPr>
            </w:pPr>
            <w:r w:rsidRPr="00E22444">
              <w:rPr>
                <w:rFonts w:ascii="Times New Roman" w:hAnsi="Times New Roman" w:cs="Times New Roman"/>
                <w:sz w:val="22"/>
                <w:szCs w:val="22"/>
              </w:rPr>
              <w:t>17</w:t>
            </w:r>
          </w:p>
        </w:tc>
        <w:tc>
          <w:tcPr>
            <w:tcW w:w="0" w:type="auto"/>
            <w:vAlign w:val="center"/>
            <w:hideMark/>
          </w:tcPr>
          <w:p w14:paraId="3859AD71" w14:textId="77777777" w:rsidR="00726EC7" w:rsidRPr="00E22444" w:rsidRDefault="00726EC7" w:rsidP="00E22444">
            <w:pPr>
              <w:pStyle w:val="NoSpacing"/>
              <w:jc w:val="center"/>
              <w:rPr>
                <w:rFonts w:ascii="Times New Roman" w:hAnsi="Times New Roman" w:cs="Times New Roman"/>
                <w:sz w:val="22"/>
                <w:szCs w:val="22"/>
              </w:rPr>
            </w:pPr>
            <w:r w:rsidRPr="00E22444">
              <w:rPr>
                <w:rFonts w:ascii="Times New Roman" w:hAnsi="Times New Roman" w:cs="Times New Roman"/>
                <w:sz w:val="22"/>
                <w:szCs w:val="22"/>
              </w:rPr>
              <w:t>10</w:t>
            </w:r>
          </w:p>
        </w:tc>
        <w:tc>
          <w:tcPr>
            <w:tcW w:w="0" w:type="auto"/>
            <w:vAlign w:val="center"/>
            <w:hideMark/>
          </w:tcPr>
          <w:p w14:paraId="635FA15D" w14:textId="77777777" w:rsidR="00726EC7" w:rsidRPr="00E22444" w:rsidRDefault="00726EC7" w:rsidP="00E22444">
            <w:pPr>
              <w:pStyle w:val="NoSpacing"/>
              <w:jc w:val="center"/>
              <w:rPr>
                <w:rFonts w:ascii="Times New Roman" w:hAnsi="Times New Roman" w:cs="Times New Roman"/>
                <w:sz w:val="22"/>
                <w:szCs w:val="22"/>
              </w:rPr>
            </w:pPr>
            <w:r w:rsidRPr="00E22444">
              <w:rPr>
                <w:rFonts w:ascii="Times New Roman" w:hAnsi="Times New Roman" w:cs="Times New Roman"/>
                <w:sz w:val="22"/>
                <w:szCs w:val="22"/>
              </w:rPr>
              <w:t>27</w:t>
            </w:r>
          </w:p>
        </w:tc>
        <w:tc>
          <w:tcPr>
            <w:tcW w:w="0" w:type="auto"/>
            <w:vAlign w:val="center"/>
            <w:hideMark/>
          </w:tcPr>
          <w:p w14:paraId="66BE5A67" w14:textId="77777777" w:rsidR="00726EC7" w:rsidRPr="00E22444" w:rsidRDefault="00726EC7" w:rsidP="00E22444">
            <w:pPr>
              <w:pStyle w:val="NoSpacing"/>
              <w:jc w:val="center"/>
              <w:rPr>
                <w:rFonts w:ascii="Times New Roman" w:hAnsi="Times New Roman" w:cs="Times New Roman"/>
                <w:sz w:val="22"/>
                <w:szCs w:val="22"/>
              </w:rPr>
            </w:pPr>
            <w:r w:rsidRPr="00E22444">
              <w:rPr>
                <w:rFonts w:ascii="Times New Roman" w:hAnsi="Times New Roman" w:cs="Times New Roman"/>
                <w:sz w:val="22"/>
                <w:szCs w:val="22"/>
              </w:rPr>
              <w:t>5212</w:t>
            </w:r>
          </w:p>
        </w:tc>
        <w:tc>
          <w:tcPr>
            <w:tcW w:w="0" w:type="auto"/>
            <w:vAlign w:val="center"/>
            <w:hideMark/>
          </w:tcPr>
          <w:p w14:paraId="2F9F17A8" w14:textId="77777777" w:rsidR="00726EC7" w:rsidRPr="00E22444" w:rsidRDefault="00726EC7" w:rsidP="00E22444">
            <w:pPr>
              <w:pStyle w:val="NoSpacing"/>
              <w:jc w:val="center"/>
              <w:rPr>
                <w:rFonts w:ascii="Times New Roman" w:hAnsi="Times New Roman" w:cs="Times New Roman"/>
                <w:sz w:val="22"/>
                <w:szCs w:val="22"/>
              </w:rPr>
            </w:pPr>
            <w:r w:rsidRPr="00E22444">
              <w:rPr>
                <w:rFonts w:ascii="Times New Roman" w:hAnsi="Times New Roman" w:cs="Times New Roman"/>
                <w:sz w:val="22"/>
                <w:szCs w:val="22"/>
              </w:rPr>
              <w:t>3694</w:t>
            </w:r>
          </w:p>
        </w:tc>
      </w:tr>
      <w:tr w:rsidR="00726EC7" w:rsidRPr="00E22444" w14:paraId="4E3C64C8" w14:textId="77777777" w:rsidTr="00E22444">
        <w:trPr>
          <w:trHeight w:val="411"/>
        </w:trPr>
        <w:tc>
          <w:tcPr>
            <w:tcW w:w="0" w:type="auto"/>
            <w:vAlign w:val="center"/>
            <w:hideMark/>
          </w:tcPr>
          <w:p w14:paraId="1BA45242" w14:textId="77777777" w:rsidR="00726EC7" w:rsidRPr="00E22444" w:rsidRDefault="00726EC7" w:rsidP="00E22444">
            <w:pPr>
              <w:pStyle w:val="NoSpacing"/>
              <w:rPr>
                <w:rFonts w:ascii="Times New Roman" w:hAnsi="Times New Roman" w:cs="Times New Roman"/>
                <w:sz w:val="22"/>
                <w:szCs w:val="22"/>
              </w:rPr>
            </w:pPr>
            <w:r w:rsidRPr="00E22444">
              <w:rPr>
                <w:rFonts w:ascii="Times New Roman" w:hAnsi="Times New Roman" w:cs="Times New Roman"/>
                <w:sz w:val="22"/>
                <w:szCs w:val="22"/>
              </w:rPr>
              <w:t>Assam</w:t>
            </w:r>
          </w:p>
        </w:tc>
        <w:tc>
          <w:tcPr>
            <w:tcW w:w="0" w:type="auto"/>
            <w:vAlign w:val="center"/>
            <w:hideMark/>
          </w:tcPr>
          <w:p w14:paraId="09F470BE" w14:textId="77777777" w:rsidR="00726EC7" w:rsidRPr="00E22444" w:rsidRDefault="00726EC7" w:rsidP="00E22444">
            <w:pPr>
              <w:pStyle w:val="NoSpacing"/>
              <w:jc w:val="center"/>
              <w:rPr>
                <w:rFonts w:ascii="Times New Roman" w:hAnsi="Times New Roman" w:cs="Times New Roman"/>
                <w:sz w:val="22"/>
                <w:szCs w:val="22"/>
              </w:rPr>
            </w:pPr>
            <w:r w:rsidRPr="00E22444">
              <w:rPr>
                <w:rFonts w:ascii="Times New Roman" w:hAnsi="Times New Roman" w:cs="Times New Roman"/>
                <w:sz w:val="22"/>
                <w:szCs w:val="22"/>
              </w:rPr>
              <w:t>583</w:t>
            </w:r>
          </w:p>
        </w:tc>
        <w:tc>
          <w:tcPr>
            <w:tcW w:w="0" w:type="auto"/>
            <w:vAlign w:val="center"/>
            <w:hideMark/>
          </w:tcPr>
          <w:p w14:paraId="0195D66F" w14:textId="77777777" w:rsidR="00726EC7" w:rsidRPr="00E22444" w:rsidRDefault="00726EC7" w:rsidP="00E22444">
            <w:pPr>
              <w:pStyle w:val="NoSpacing"/>
              <w:jc w:val="center"/>
              <w:rPr>
                <w:rFonts w:ascii="Times New Roman" w:hAnsi="Times New Roman" w:cs="Times New Roman"/>
                <w:sz w:val="22"/>
                <w:szCs w:val="22"/>
              </w:rPr>
            </w:pPr>
            <w:r w:rsidRPr="00E22444">
              <w:rPr>
                <w:rFonts w:ascii="Times New Roman" w:hAnsi="Times New Roman" w:cs="Times New Roman"/>
                <w:sz w:val="22"/>
                <w:szCs w:val="22"/>
              </w:rPr>
              <w:t>0.184</w:t>
            </w:r>
          </w:p>
        </w:tc>
        <w:tc>
          <w:tcPr>
            <w:tcW w:w="0" w:type="auto"/>
            <w:vAlign w:val="center"/>
            <w:hideMark/>
          </w:tcPr>
          <w:p w14:paraId="6C5016A5" w14:textId="77777777" w:rsidR="00726EC7" w:rsidRPr="00E22444" w:rsidRDefault="00726EC7" w:rsidP="00E22444">
            <w:pPr>
              <w:pStyle w:val="NoSpacing"/>
              <w:jc w:val="center"/>
              <w:rPr>
                <w:rFonts w:ascii="Times New Roman" w:hAnsi="Times New Roman" w:cs="Times New Roman"/>
                <w:sz w:val="22"/>
                <w:szCs w:val="22"/>
              </w:rPr>
            </w:pPr>
            <w:r w:rsidRPr="00E22444">
              <w:rPr>
                <w:rFonts w:ascii="Times New Roman" w:hAnsi="Times New Roman" w:cs="Times New Roman"/>
                <w:sz w:val="22"/>
                <w:szCs w:val="22"/>
              </w:rPr>
              <w:t>0.381</w:t>
            </w:r>
          </w:p>
        </w:tc>
        <w:tc>
          <w:tcPr>
            <w:tcW w:w="0" w:type="auto"/>
            <w:vAlign w:val="center"/>
            <w:hideMark/>
          </w:tcPr>
          <w:p w14:paraId="5781AC3B" w14:textId="77777777" w:rsidR="00726EC7" w:rsidRPr="00E22444" w:rsidRDefault="00726EC7" w:rsidP="00E22444">
            <w:pPr>
              <w:pStyle w:val="NoSpacing"/>
              <w:jc w:val="center"/>
              <w:rPr>
                <w:rFonts w:ascii="Times New Roman" w:hAnsi="Times New Roman" w:cs="Times New Roman"/>
                <w:sz w:val="22"/>
                <w:szCs w:val="22"/>
              </w:rPr>
            </w:pPr>
            <w:r w:rsidRPr="00E22444">
              <w:rPr>
                <w:rFonts w:ascii="Times New Roman" w:hAnsi="Times New Roman" w:cs="Times New Roman"/>
                <w:sz w:val="22"/>
                <w:szCs w:val="22"/>
              </w:rPr>
              <w:t>20.65</w:t>
            </w:r>
          </w:p>
        </w:tc>
        <w:tc>
          <w:tcPr>
            <w:tcW w:w="0" w:type="auto"/>
            <w:vAlign w:val="center"/>
            <w:hideMark/>
          </w:tcPr>
          <w:p w14:paraId="24B93538" w14:textId="77777777" w:rsidR="00726EC7" w:rsidRPr="00E22444" w:rsidRDefault="00726EC7" w:rsidP="00E22444">
            <w:pPr>
              <w:pStyle w:val="NoSpacing"/>
              <w:jc w:val="center"/>
              <w:rPr>
                <w:rFonts w:ascii="Times New Roman" w:hAnsi="Times New Roman" w:cs="Times New Roman"/>
                <w:sz w:val="22"/>
                <w:szCs w:val="22"/>
              </w:rPr>
            </w:pPr>
            <w:r w:rsidRPr="00E22444">
              <w:rPr>
                <w:rFonts w:ascii="Times New Roman" w:hAnsi="Times New Roman" w:cs="Times New Roman"/>
                <w:sz w:val="22"/>
                <w:szCs w:val="22"/>
              </w:rPr>
              <w:t>18</w:t>
            </w:r>
          </w:p>
        </w:tc>
        <w:tc>
          <w:tcPr>
            <w:tcW w:w="0" w:type="auto"/>
            <w:vAlign w:val="center"/>
            <w:hideMark/>
          </w:tcPr>
          <w:p w14:paraId="703B5A64" w14:textId="77777777" w:rsidR="00726EC7" w:rsidRPr="00E22444" w:rsidRDefault="00726EC7" w:rsidP="00E22444">
            <w:pPr>
              <w:pStyle w:val="NoSpacing"/>
              <w:jc w:val="center"/>
              <w:rPr>
                <w:rFonts w:ascii="Times New Roman" w:hAnsi="Times New Roman" w:cs="Times New Roman"/>
                <w:sz w:val="22"/>
                <w:szCs w:val="22"/>
              </w:rPr>
            </w:pPr>
            <w:r w:rsidRPr="00E22444">
              <w:rPr>
                <w:rFonts w:ascii="Times New Roman" w:hAnsi="Times New Roman" w:cs="Times New Roman"/>
                <w:sz w:val="22"/>
                <w:szCs w:val="22"/>
              </w:rPr>
              <w:t>4</w:t>
            </w:r>
          </w:p>
        </w:tc>
        <w:tc>
          <w:tcPr>
            <w:tcW w:w="0" w:type="auto"/>
            <w:vAlign w:val="center"/>
            <w:hideMark/>
          </w:tcPr>
          <w:p w14:paraId="30079F3F" w14:textId="77777777" w:rsidR="00726EC7" w:rsidRPr="00E22444" w:rsidRDefault="00726EC7" w:rsidP="00E22444">
            <w:pPr>
              <w:pStyle w:val="NoSpacing"/>
              <w:jc w:val="center"/>
              <w:rPr>
                <w:rFonts w:ascii="Times New Roman" w:hAnsi="Times New Roman" w:cs="Times New Roman"/>
                <w:sz w:val="22"/>
                <w:szCs w:val="22"/>
              </w:rPr>
            </w:pPr>
            <w:r w:rsidRPr="00E22444">
              <w:rPr>
                <w:rFonts w:ascii="Times New Roman" w:hAnsi="Times New Roman" w:cs="Times New Roman"/>
                <w:sz w:val="22"/>
                <w:szCs w:val="22"/>
              </w:rPr>
              <w:t>22</w:t>
            </w:r>
          </w:p>
        </w:tc>
        <w:tc>
          <w:tcPr>
            <w:tcW w:w="0" w:type="auto"/>
            <w:vAlign w:val="center"/>
            <w:hideMark/>
          </w:tcPr>
          <w:p w14:paraId="2F750389" w14:textId="77777777" w:rsidR="00726EC7" w:rsidRPr="00E22444" w:rsidRDefault="00726EC7" w:rsidP="00E22444">
            <w:pPr>
              <w:pStyle w:val="NoSpacing"/>
              <w:jc w:val="center"/>
              <w:rPr>
                <w:rFonts w:ascii="Times New Roman" w:hAnsi="Times New Roman" w:cs="Times New Roman"/>
                <w:sz w:val="22"/>
                <w:szCs w:val="22"/>
              </w:rPr>
            </w:pPr>
            <w:r w:rsidRPr="00E22444">
              <w:rPr>
                <w:rFonts w:ascii="Times New Roman" w:hAnsi="Times New Roman" w:cs="Times New Roman"/>
                <w:sz w:val="22"/>
                <w:szCs w:val="22"/>
              </w:rPr>
              <w:t>2142</w:t>
            </w:r>
          </w:p>
        </w:tc>
        <w:tc>
          <w:tcPr>
            <w:tcW w:w="0" w:type="auto"/>
            <w:vAlign w:val="center"/>
            <w:hideMark/>
          </w:tcPr>
          <w:p w14:paraId="37157BD5" w14:textId="77777777" w:rsidR="00726EC7" w:rsidRPr="00E22444" w:rsidRDefault="00726EC7" w:rsidP="00E22444">
            <w:pPr>
              <w:pStyle w:val="NoSpacing"/>
              <w:jc w:val="center"/>
              <w:rPr>
                <w:rFonts w:ascii="Times New Roman" w:hAnsi="Times New Roman" w:cs="Times New Roman"/>
                <w:sz w:val="22"/>
                <w:szCs w:val="22"/>
              </w:rPr>
            </w:pPr>
            <w:r w:rsidRPr="00E22444">
              <w:rPr>
                <w:rFonts w:ascii="Times New Roman" w:hAnsi="Times New Roman" w:cs="Times New Roman"/>
                <w:sz w:val="22"/>
                <w:szCs w:val="22"/>
              </w:rPr>
              <w:t>501</w:t>
            </w:r>
          </w:p>
        </w:tc>
      </w:tr>
      <w:tr w:rsidR="00726EC7" w:rsidRPr="00E22444" w14:paraId="4BA5EACF" w14:textId="77777777" w:rsidTr="00E22444">
        <w:trPr>
          <w:trHeight w:val="436"/>
        </w:trPr>
        <w:tc>
          <w:tcPr>
            <w:tcW w:w="0" w:type="auto"/>
            <w:vAlign w:val="center"/>
            <w:hideMark/>
          </w:tcPr>
          <w:p w14:paraId="7DF334A7" w14:textId="77777777" w:rsidR="00726EC7" w:rsidRPr="00E22444" w:rsidRDefault="00726EC7" w:rsidP="00E22444">
            <w:pPr>
              <w:pStyle w:val="NoSpacing"/>
              <w:rPr>
                <w:rFonts w:ascii="Times New Roman" w:hAnsi="Times New Roman" w:cs="Times New Roman"/>
                <w:sz w:val="22"/>
                <w:szCs w:val="22"/>
              </w:rPr>
            </w:pPr>
            <w:r w:rsidRPr="00E22444">
              <w:rPr>
                <w:rFonts w:ascii="Times New Roman" w:hAnsi="Times New Roman" w:cs="Times New Roman"/>
                <w:sz w:val="22"/>
                <w:szCs w:val="22"/>
              </w:rPr>
              <w:t>Bihar</w:t>
            </w:r>
          </w:p>
        </w:tc>
        <w:tc>
          <w:tcPr>
            <w:tcW w:w="0" w:type="auto"/>
            <w:vAlign w:val="center"/>
            <w:hideMark/>
          </w:tcPr>
          <w:p w14:paraId="7637EF5D" w14:textId="77777777" w:rsidR="00726EC7" w:rsidRPr="00E22444" w:rsidRDefault="00726EC7" w:rsidP="00E22444">
            <w:pPr>
              <w:pStyle w:val="NoSpacing"/>
              <w:jc w:val="center"/>
              <w:rPr>
                <w:rFonts w:ascii="Times New Roman" w:hAnsi="Times New Roman" w:cs="Times New Roman"/>
                <w:sz w:val="22"/>
                <w:szCs w:val="22"/>
              </w:rPr>
            </w:pPr>
            <w:r w:rsidRPr="00E22444">
              <w:rPr>
                <w:rFonts w:ascii="Times New Roman" w:hAnsi="Times New Roman" w:cs="Times New Roman"/>
                <w:sz w:val="22"/>
                <w:szCs w:val="22"/>
              </w:rPr>
              <w:t>453</w:t>
            </w:r>
          </w:p>
        </w:tc>
        <w:tc>
          <w:tcPr>
            <w:tcW w:w="0" w:type="auto"/>
            <w:vAlign w:val="center"/>
            <w:hideMark/>
          </w:tcPr>
          <w:p w14:paraId="5AE6B6FF" w14:textId="77777777" w:rsidR="00726EC7" w:rsidRPr="00E22444" w:rsidRDefault="00726EC7" w:rsidP="00E22444">
            <w:pPr>
              <w:pStyle w:val="NoSpacing"/>
              <w:jc w:val="center"/>
              <w:rPr>
                <w:rFonts w:ascii="Times New Roman" w:hAnsi="Times New Roman" w:cs="Times New Roman"/>
                <w:sz w:val="22"/>
                <w:szCs w:val="22"/>
              </w:rPr>
            </w:pPr>
            <w:r w:rsidRPr="00E22444">
              <w:rPr>
                <w:rFonts w:ascii="Times New Roman" w:hAnsi="Times New Roman" w:cs="Times New Roman"/>
                <w:sz w:val="22"/>
                <w:szCs w:val="22"/>
              </w:rPr>
              <w:t>0.192</w:t>
            </w:r>
          </w:p>
        </w:tc>
        <w:tc>
          <w:tcPr>
            <w:tcW w:w="0" w:type="auto"/>
            <w:vAlign w:val="center"/>
            <w:hideMark/>
          </w:tcPr>
          <w:p w14:paraId="60074A59" w14:textId="77777777" w:rsidR="00726EC7" w:rsidRPr="00E22444" w:rsidRDefault="00726EC7" w:rsidP="00E22444">
            <w:pPr>
              <w:pStyle w:val="NoSpacing"/>
              <w:jc w:val="center"/>
              <w:rPr>
                <w:rFonts w:ascii="Times New Roman" w:hAnsi="Times New Roman" w:cs="Times New Roman"/>
                <w:sz w:val="22"/>
                <w:szCs w:val="22"/>
              </w:rPr>
            </w:pPr>
            <w:r w:rsidRPr="00E22444">
              <w:rPr>
                <w:rFonts w:ascii="Times New Roman" w:hAnsi="Times New Roman" w:cs="Times New Roman"/>
                <w:sz w:val="22"/>
                <w:szCs w:val="22"/>
              </w:rPr>
              <w:t>0.305</w:t>
            </w:r>
          </w:p>
        </w:tc>
        <w:tc>
          <w:tcPr>
            <w:tcW w:w="0" w:type="auto"/>
            <w:vAlign w:val="center"/>
            <w:hideMark/>
          </w:tcPr>
          <w:p w14:paraId="12BC1FE3" w14:textId="77777777" w:rsidR="00726EC7" w:rsidRPr="00E22444" w:rsidRDefault="00726EC7" w:rsidP="00E22444">
            <w:pPr>
              <w:pStyle w:val="NoSpacing"/>
              <w:jc w:val="center"/>
              <w:rPr>
                <w:rFonts w:ascii="Times New Roman" w:hAnsi="Times New Roman" w:cs="Times New Roman"/>
                <w:sz w:val="22"/>
                <w:szCs w:val="22"/>
              </w:rPr>
            </w:pPr>
            <w:r w:rsidRPr="00E22444">
              <w:rPr>
                <w:rFonts w:ascii="Times New Roman" w:hAnsi="Times New Roman" w:cs="Times New Roman"/>
                <w:sz w:val="22"/>
                <w:szCs w:val="22"/>
              </w:rPr>
              <w:t>42.05</w:t>
            </w:r>
          </w:p>
        </w:tc>
        <w:tc>
          <w:tcPr>
            <w:tcW w:w="0" w:type="auto"/>
            <w:vAlign w:val="center"/>
            <w:hideMark/>
          </w:tcPr>
          <w:p w14:paraId="561FFBFD" w14:textId="77777777" w:rsidR="00726EC7" w:rsidRPr="00E22444" w:rsidRDefault="00726EC7" w:rsidP="00E22444">
            <w:pPr>
              <w:pStyle w:val="NoSpacing"/>
              <w:jc w:val="center"/>
              <w:rPr>
                <w:rFonts w:ascii="Times New Roman" w:hAnsi="Times New Roman" w:cs="Times New Roman"/>
                <w:sz w:val="22"/>
                <w:szCs w:val="22"/>
              </w:rPr>
            </w:pPr>
            <w:r w:rsidRPr="00E22444">
              <w:rPr>
                <w:rFonts w:ascii="Times New Roman" w:hAnsi="Times New Roman" w:cs="Times New Roman"/>
                <w:sz w:val="22"/>
                <w:szCs w:val="22"/>
              </w:rPr>
              <w:t>30</w:t>
            </w:r>
          </w:p>
        </w:tc>
        <w:tc>
          <w:tcPr>
            <w:tcW w:w="0" w:type="auto"/>
            <w:vAlign w:val="center"/>
            <w:hideMark/>
          </w:tcPr>
          <w:p w14:paraId="2412FF6A" w14:textId="77777777" w:rsidR="00726EC7" w:rsidRPr="00E22444" w:rsidRDefault="00726EC7" w:rsidP="00E22444">
            <w:pPr>
              <w:pStyle w:val="NoSpacing"/>
              <w:jc w:val="center"/>
              <w:rPr>
                <w:rFonts w:ascii="Times New Roman" w:hAnsi="Times New Roman" w:cs="Times New Roman"/>
                <w:sz w:val="22"/>
                <w:szCs w:val="22"/>
              </w:rPr>
            </w:pPr>
            <w:r w:rsidRPr="00E22444">
              <w:rPr>
                <w:rFonts w:ascii="Times New Roman" w:hAnsi="Times New Roman" w:cs="Times New Roman"/>
                <w:sz w:val="22"/>
                <w:szCs w:val="22"/>
              </w:rPr>
              <w:t>8</w:t>
            </w:r>
          </w:p>
        </w:tc>
        <w:tc>
          <w:tcPr>
            <w:tcW w:w="0" w:type="auto"/>
            <w:vAlign w:val="center"/>
            <w:hideMark/>
          </w:tcPr>
          <w:p w14:paraId="07DD4B92" w14:textId="77777777" w:rsidR="00726EC7" w:rsidRPr="00E22444" w:rsidRDefault="00726EC7" w:rsidP="00E22444">
            <w:pPr>
              <w:pStyle w:val="NoSpacing"/>
              <w:jc w:val="center"/>
              <w:rPr>
                <w:rFonts w:ascii="Times New Roman" w:hAnsi="Times New Roman" w:cs="Times New Roman"/>
                <w:sz w:val="22"/>
                <w:szCs w:val="22"/>
              </w:rPr>
            </w:pPr>
            <w:r w:rsidRPr="00E22444">
              <w:rPr>
                <w:rFonts w:ascii="Times New Roman" w:hAnsi="Times New Roman" w:cs="Times New Roman"/>
                <w:sz w:val="22"/>
                <w:szCs w:val="22"/>
              </w:rPr>
              <w:t>38</w:t>
            </w:r>
          </w:p>
        </w:tc>
        <w:tc>
          <w:tcPr>
            <w:tcW w:w="0" w:type="auto"/>
            <w:vAlign w:val="center"/>
            <w:hideMark/>
          </w:tcPr>
          <w:p w14:paraId="4FA8CD25" w14:textId="77777777" w:rsidR="00726EC7" w:rsidRPr="00E22444" w:rsidRDefault="00726EC7" w:rsidP="00E22444">
            <w:pPr>
              <w:pStyle w:val="NoSpacing"/>
              <w:jc w:val="center"/>
              <w:rPr>
                <w:rFonts w:ascii="Times New Roman" w:hAnsi="Times New Roman" w:cs="Times New Roman"/>
                <w:sz w:val="22"/>
                <w:szCs w:val="22"/>
              </w:rPr>
            </w:pPr>
            <w:r w:rsidRPr="00E22444">
              <w:rPr>
                <w:rFonts w:ascii="Times New Roman" w:hAnsi="Times New Roman" w:cs="Times New Roman"/>
                <w:sz w:val="22"/>
                <w:szCs w:val="22"/>
              </w:rPr>
              <w:t>7599</w:t>
            </w:r>
          </w:p>
        </w:tc>
        <w:tc>
          <w:tcPr>
            <w:tcW w:w="0" w:type="auto"/>
            <w:vAlign w:val="center"/>
            <w:hideMark/>
          </w:tcPr>
          <w:p w14:paraId="19D2EB9F" w14:textId="77777777" w:rsidR="00726EC7" w:rsidRPr="00E22444" w:rsidRDefault="00726EC7" w:rsidP="00E22444">
            <w:pPr>
              <w:pStyle w:val="NoSpacing"/>
              <w:jc w:val="center"/>
              <w:rPr>
                <w:rFonts w:ascii="Times New Roman" w:hAnsi="Times New Roman" w:cs="Times New Roman"/>
                <w:sz w:val="22"/>
                <w:szCs w:val="22"/>
              </w:rPr>
            </w:pPr>
            <w:r w:rsidRPr="00E22444">
              <w:rPr>
                <w:rFonts w:ascii="Times New Roman" w:hAnsi="Times New Roman" w:cs="Times New Roman"/>
                <w:sz w:val="22"/>
                <w:szCs w:val="22"/>
              </w:rPr>
              <w:t>4110</w:t>
            </w:r>
          </w:p>
        </w:tc>
      </w:tr>
      <w:tr w:rsidR="00726EC7" w:rsidRPr="00E22444" w14:paraId="370DF5D0" w14:textId="77777777" w:rsidTr="00E22444">
        <w:trPr>
          <w:trHeight w:val="436"/>
        </w:trPr>
        <w:tc>
          <w:tcPr>
            <w:tcW w:w="0" w:type="auto"/>
            <w:vAlign w:val="center"/>
            <w:hideMark/>
          </w:tcPr>
          <w:p w14:paraId="372DDBF2" w14:textId="77777777" w:rsidR="00726EC7" w:rsidRPr="00E22444" w:rsidRDefault="00726EC7" w:rsidP="00E22444">
            <w:pPr>
              <w:pStyle w:val="NoSpacing"/>
              <w:rPr>
                <w:rFonts w:ascii="Times New Roman" w:hAnsi="Times New Roman" w:cs="Times New Roman"/>
                <w:sz w:val="22"/>
                <w:szCs w:val="22"/>
              </w:rPr>
            </w:pPr>
            <w:r w:rsidRPr="00E22444">
              <w:rPr>
                <w:rFonts w:ascii="Times New Roman" w:hAnsi="Times New Roman" w:cs="Times New Roman"/>
                <w:sz w:val="22"/>
                <w:szCs w:val="22"/>
              </w:rPr>
              <w:t>Gujarat</w:t>
            </w:r>
          </w:p>
        </w:tc>
        <w:tc>
          <w:tcPr>
            <w:tcW w:w="0" w:type="auto"/>
            <w:vAlign w:val="center"/>
            <w:hideMark/>
          </w:tcPr>
          <w:p w14:paraId="755B9719" w14:textId="77777777" w:rsidR="00726EC7" w:rsidRPr="00E22444" w:rsidRDefault="00726EC7" w:rsidP="00E22444">
            <w:pPr>
              <w:pStyle w:val="NoSpacing"/>
              <w:jc w:val="center"/>
              <w:rPr>
                <w:rFonts w:ascii="Times New Roman" w:hAnsi="Times New Roman" w:cs="Times New Roman"/>
                <w:sz w:val="22"/>
                <w:szCs w:val="22"/>
              </w:rPr>
            </w:pPr>
            <w:r w:rsidRPr="00E22444">
              <w:rPr>
                <w:rFonts w:ascii="Times New Roman" w:hAnsi="Times New Roman" w:cs="Times New Roman"/>
                <w:sz w:val="22"/>
                <w:szCs w:val="22"/>
              </w:rPr>
              <w:t>1735</w:t>
            </w:r>
          </w:p>
        </w:tc>
        <w:tc>
          <w:tcPr>
            <w:tcW w:w="0" w:type="auto"/>
            <w:vAlign w:val="center"/>
            <w:hideMark/>
          </w:tcPr>
          <w:p w14:paraId="55C07F29" w14:textId="77777777" w:rsidR="00726EC7" w:rsidRPr="00E22444" w:rsidRDefault="00726EC7" w:rsidP="00E22444">
            <w:pPr>
              <w:pStyle w:val="NoSpacing"/>
              <w:jc w:val="center"/>
              <w:rPr>
                <w:rFonts w:ascii="Times New Roman" w:hAnsi="Times New Roman" w:cs="Times New Roman"/>
                <w:sz w:val="22"/>
                <w:szCs w:val="22"/>
              </w:rPr>
            </w:pPr>
            <w:r w:rsidRPr="00E22444">
              <w:rPr>
                <w:rFonts w:ascii="Times New Roman" w:hAnsi="Times New Roman" w:cs="Times New Roman"/>
                <w:sz w:val="22"/>
                <w:szCs w:val="22"/>
              </w:rPr>
              <w:t>0.786</w:t>
            </w:r>
          </w:p>
        </w:tc>
        <w:tc>
          <w:tcPr>
            <w:tcW w:w="0" w:type="auto"/>
            <w:vAlign w:val="center"/>
            <w:hideMark/>
          </w:tcPr>
          <w:p w14:paraId="54DB2315" w14:textId="77777777" w:rsidR="00726EC7" w:rsidRPr="00E22444" w:rsidRDefault="00726EC7" w:rsidP="00E22444">
            <w:pPr>
              <w:pStyle w:val="NoSpacing"/>
              <w:jc w:val="center"/>
              <w:rPr>
                <w:rFonts w:ascii="Times New Roman" w:hAnsi="Times New Roman" w:cs="Times New Roman"/>
                <w:sz w:val="22"/>
                <w:szCs w:val="22"/>
              </w:rPr>
            </w:pPr>
            <w:r w:rsidRPr="00E22444">
              <w:rPr>
                <w:rFonts w:ascii="Times New Roman" w:hAnsi="Times New Roman" w:cs="Times New Roman"/>
                <w:sz w:val="22"/>
                <w:szCs w:val="22"/>
              </w:rPr>
              <w:t>0.428</w:t>
            </w:r>
          </w:p>
        </w:tc>
        <w:tc>
          <w:tcPr>
            <w:tcW w:w="0" w:type="auto"/>
            <w:vAlign w:val="center"/>
            <w:hideMark/>
          </w:tcPr>
          <w:p w14:paraId="75DDB8A3" w14:textId="77777777" w:rsidR="00726EC7" w:rsidRPr="00E22444" w:rsidRDefault="00726EC7" w:rsidP="00E22444">
            <w:pPr>
              <w:pStyle w:val="NoSpacing"/>
              <w:jc w:val="center"/>
              <w:rPr>
                <w:rFonts w:ascii="Times New Roman" w:hAnsi="Times New Roman" w:cs="Times New Roman"/>
                <w:sz w:val="22"/>
                <w:szCs w:val="22"/>
              </w:rPr>
            </w:pPr>
            <w:r w:rsidRPr="00E22444">
              <w:rPr>
                <w:rFonts w:ascii="Times New Roman" w:hAnsi="Times New Roman" w:cs="Times New Roman"/>
                <w:sz w:val="22"/>
                <w:szCs w:val="22"/>
              </w:rPr>
              <w:t>27.54</w:t>
            </w:r>
          </w:p>
        </w:tc>
        <w:tc>
          <w:tcPr>
            <w:tcW w:w="0" w:type="auto"/>
            <w:vAlign w:val="center"/>
            <w:hideMark/>
          </w:tcPr>
          <w:p w14:paraId="56014784" w14:textId="77777777" w:rsidR="00726EC7" w:rsidRPr="00E22444" w:rsidRDefault="00726EC7" w:rsidP="00E22444">
            <w:pPr>
              <w:pStyle w:val="NoSpacing"/>
              <w:jc w:val="center"/>
              <w:rPr>
                <w:rFonts w:ascii="Times New Roman" w:hAnsi="Times New Roman" w:cs="Times New Roman"/>
                <w:sz w:val="22"/>
                <w:szCs w:val="22"/>
              </w:rPr>
            </w:pPr>
            <w:r w:rsidRPr="00E22444">
              <w:rPr>
                <w:rFonts w:ascii="Times New Roman" w:hAnsi="Times New Roman" w:cs="Times New Roman"/>
                <w:sz w:val="22"/>
                <w:szCs w:val="22"/>
              </w:rPr>
              <w:t>29</w:t>
            </w:r>
          </w:p>
        </w:tc>
        <w:tc>
          <w:tcPr>
            <w:tcW w:w="0" w:type="auto"/>
            <w:vAlign w:val="center"/>
            <w:hideMark/>
          </w:tcPr>
          <w:p w14:paraId="0A216800" w14:textId="77777777" w:rsidR="00726EC7" w:rsidRPr="00E22444" w:rsidRDefault="00726EC7" w:rsidP="00E22444">
            <w:pPr>
              <w:pStyle w:val="NoSpacing"/>
              <w:jc w:val="center"/>
              <w:rPr>
                <w:rFonts w:ascii="Times New Roman" w:hAnsi="Times New Roman" w:cs="Times New Roman"/>
                <w:sz w:val="22"/>
                <w:szCs w:val="22"/>
              </w:rPr>
            </w:pPr>
            <w:r w:rsidRPr="00E22444">
              <w:rPr>
                <w:rFonts w:ascii="Times New Roman" w:hAnsi="Times New Roman" w:cs="Times New Roman"/>
                <w:sz w:val="22"/>
                <w:szCs w:val="22"/>
              </w:rPr>
              <w:t>8</w:t>
            </w:r>
          </w:p>
        </w:tc>
        <w:tc>
          <w:tcPr>
            <w:tcW w:w="0" w:type="auto"/>
            <w:vAlign w:val="center"/>
            <w:hideMark/>
          </w:tcPr>
          <w:p w14:paraId="3E9F81B2" w14:textId="77777777" w:rsidR="00726EC7" w:rsidRPr="00E22444" w:rsidRDefault="00726EC7" w:rsidP="00E22444">
            <w:pPr>
              <w:pStyle w:val="NoSpacing"/>
              <w:jc w:val="center"/>
              <w:rPr>
                <w:rFonts w:ascii="Times New Roman" w:hAnsi="Times New Roman" w:cs="Times New Roman"/>
                <w:sz w:val="22"/>
                <w:szCs w:val="22"/>
              </w:rPr>
            </w:pPr>
            <w:r w:rsidRPr="00E22444">
              <w:rPr>
                <w:rFonts w:ascii="Times New Roman" w:hAnsi="Times New Roman" w:cs="Times New Roman"/>
                <w:sz w:val="22"/>
                <w:szCs w:val="22"/>
              </w:rPr>
              <w:t>37</w:t>
            </w:r>
          </w:p>
        </w:tc>
        <w:tc>
          <w:tcPr>
            <w:tcW w:w="0" w:type="auto"/>
            <w:vAlign w:val="center"/>
            <w:hideMark/>
          </w:tcPr>
          <w:p w14:paraId="083F5E43" w14:textId="77777777" w:rsidR="00726EC7" w:rsidRPr="00E22444" w:rsidRDefault="00726EC7" w:rsidP="00E22444">
            <w:pPr>
              <w:pStyle w:val="NoSpacing"/>
              <w:jc w:val="center"/>
              <w:rPr>
                <w:rFonts w:ascii="Times New Roman" w:hAnsi="Times New Roman" w:cs="Times New Roman"/>
                <w:sz w:val="22"/>
                <w:szCs w:val="22"/>
              </w:rPr>
            </w:pPr>
            <w:r w:rsidRPr="00E22444">
              <w:rPr>
                <w:rFonts w:ascii="Times New Roman" w:hAnsi="Times New Roman" w:cs="Times New Roman"/>
                <w:sz w:val="22"/>
                <w:szCs w:val="22"/>
              </w:rPr>
              <w:t>3473</w:t>
            </w:r>
          </w:p>
        </w:tc>
        <w:tc>
          <w:tcPr>
            <w:tcW w:w="0" w:type="auto"/>
            <w:vAlign w:val="center"/>
            <w:hideMark/>
          </w:tcPr>
          <w:p w14:paraId="020FE698" w14:textId="77777777" w:rsidR="00726EC7" w:rsidRPr="00E22444" w:rsidRDefault="00726EC7" w:rsidP="00E22444">
            <w:pPr>
              <w:pStyle w:val="NoSpacing"/>
              <w:jc w:val="center"/>
              <w:rPr>
                <w:rFonts w:ascii="Times New Roman" w:hAnsi="Times New Roman" w:cs="Times New Roman"/>
                <w:sz w:val="22"/>
                <w:szCs w:val="22"/>
              </w:rPr>
            </w:pPr>
            <w:r w:rsidRPr="00E22444">
              <w:rPr>
                <w:rFonts w:ascii="Times New Roman" w:hAnsi="Times New Roman" w:cs="Times New Roman"/>
                <w:sz w:val="22"/>
                <w:szCs w:val="22"/>
              </w:rPr>
              <w:t>2676</w:t>
            </w:r>
          </w:p>
        </w:tc>
      </w:tr>
      <w:tr w:rsidR="00726EC7" w:rsidRPr="00E22444" w14:paraId="096828DD" w14:textId="77777777" w:rsidTr="00E22444">
        <w:trPr>
          <w:trHeight w:val="411"/>
        </w:trPr>
        <w:tc>
          <w:tcPr>
            <w:tcW w:w="0" w:type="auto"/>
            <w:vAlign w:val="center"/>
            <w:hideMark/>
          </w:tcPr>
          <w:p w14:paraId="2D9C06EE" w14:textId="77777777" w:rsidR="00726EC7" w:rsidRPr="00E22444" w:rsidRDefault="00726EC7" w:rsidP="00E22444">
            <w:pPr>
              <w:pStyle w:val="NoSpacing"/>
              <w:rPr>
                <w:rFonts w:ascii="Times New Roman" w:hAnsi="Times New Roman" w:cs="Times New Roman"/>
                <w:sz w:val="22"/>
                <w:szCs w:val="22"/>
              </w:rPr>
            </w:pPr>
            <w:r w:rsidRPr="00E22444">
              <w:rPr>
                <w:rFonts w:ascii="Times New Roman" w:hAnsi="Times New Roman" w:cs="Times New Roman"/>
                <w:sz w:val="22"/>
                <w:szCs w:val="22"/>
              </w:rPr>
              <w:t>Haryana</w:t>
            </w:r>
          </w:p>
        </w:tc>
        <w:tc>
          <w:tcPr>
            <w:tcW w:w="0" w:type="auto"/>
            <w:vAlign w:val="center"/>
            <w:hideMark/>
          </w:tcPr>
          <w:p w14:paraId="55C2A530" w14:textId="77777777" w:rsidR="00726EC7" w:rsidRPr="00E22444" w:rsidRDefault="00726EC7" w:rsidP="00E22444">
            <w:pPr>
              <w:pStyle w:val="NoSpacing"/>
              <w:jc w:val="center"/>
              <w:rPr>
                <w:rFonts w:ascii="Times New Roman" w:hAnsi="Times New Roman" w:cs="Times New Roman"/>
                <w:sz w:val="22"/>
                <w:szCs w:val="22"/>
              </w:rPr>
            </w:pPr>
            <w:r w:rsidRPr="00E22444">
              <w:rPr>
                <w:rFonts w:ascii="Times New Roman" w:hAnsi="Times New Roman" w:cs="Times New Roman"/>
                <w:sz w:val="22"/>
                <w:szCs w:val="22"/>
              </w:rPr>
              <w:t>809</w:t>
            </w:r>
          </w:p>
        </w:tc>
        <w:tc>
          <w:tcPr>
            <w:tcW w:w="0" w:type="auto"/>
            <w:vAlign w:val="center"/>
            <w:hideMark/>
          </w:tcPr>
          <w:p w14:paraId="2747FC47" w14:textId="77777777" w:rsidR="00726EC7" w:rsidRPr="00E22444" w:rsidRDefault="00726EC7" w:rsidP="00E22444">
            <w:pPr>
              <w:pStyle w:val="NoSpacing"/>
              <w:jc w:val="center"/>
              <w:rPr>
                <w:rFonts w:ascii="Times New Roman" w:hAnsi="Times New Roman" w:cs="Times New Roman"/>
                <w:sz w:val="22"/>
                <w:szCs w:val="22"/>
              </w:rPr>
            </w:pPr>
            <w:r w:rsidRPr="00E22444">
              <w:rPr>
                <w:rFonts w:ascii="Times New Roman" w:hAnsi="Times New Roman" w:cs="Times New Roman"/>
                <w:sz w:val="22"/>
                <w:szCs w:val="22"/>
              </w:rPr>
              <w:t>0.704</w:t>
            </w:r>
          </w:p>
        </w:tc>
        <w:tc>
          <w:tcPr>
            <w:tcW w:w="0" w:type="auto"/>
            <w:vAlign w:val="center"/>
            <w:hideMark/>
          </w:tcPr>
          <w:p w14:paraId="0FA60178" w14:textId="77777777" w:rsidR="00726EC7" w:rsidRPr="00E22444" w:rsidRDefault="00726EC7" w:rsidP="00E22444">
            <w:pPr>
              <w:pStyle w:val="NoSpacing"/>
              <w:jc w:val="center"/>
              <w:rPr>
                <w:rFonts w:ascii="Times New Roman" w:hAnsi="Times New Roman" w:cs="Times New Roman"/>
                <w:sz w:val="22"/>
                <w:szCs w:val="22"/>
              </w:rPr>
            </w:pPr>
            <w:r w:rsidRPr="00E22444">
              <w:rPr>
                <w:rFonts w:ascii="Times New Roman" w:hAnsi="Times New Roman" w:cs="Times New Roman"/>
                <w:sz w:val="22"/>
                <w:szCs w:val="22"/>
              </w:rPr>
              <w:t>0.431</w:t>
            </w:r>
          </w:p>
        </w:tc>
        <w:tc>
          <w:tcPr>
            <w:tcW w:w="0" w:type="auto"/>
            <w:vAlign w:val="center"/>
            <w:hideMark/>
          </w:tcPr>
          <w:p w14:paraId="6E930B9E" w14:textId="77777777" w:rsidR="00726EC7" w:rsidRPr="00E22444" w:rsidRDefault="00726EC7" w:rsidP="00E22444">
            <w:pPr>
              <w:pStyle w:val="NoSpacing"/>
              <w:jc w:val="center"/>
              <w:rPr>
                <w:rFonts w:ascii="Times New Roman" w:hAnsi="Times New Roman" w:cs="Times New Roman"/>
                <w:sz w:val="22"/>
                <w:szCs w:val="22"/>
              </w:rPr>
            </w:pPr>
            <w:r w:rsidRPr="00E22444">
              <w:rPr>
                <w:rFonts w:ascii="Times New Roman" w:hAnsi="Times New Roman" w:cs="Times New Roman"/>
                <w:sz w:val="22"/>
                <w:szCs w:val="22"/>
              </w:rPr>
              <w:t>..</w:t>
            </w:r>
          </w:p>
        </w:tc>
        <w:tc>
          <w:tcPr>
            <w:tcW w:w="0" w:type="auto"/>
            <w:vAlign w:val="center"/>
            <w:hideMark/>
          </w:tcPr>
          <w:p w14:paraId="1A31A0FD" w14:textId="77777777" w:rsidR="00726EC7" w:rsidRPr="00E22444" w:rsidRDefault="00726EC7" w:rsidP="00E22444">
            <w:pPr>
              <w:pStyle w:val="NoSpacing"/>
              <w:jc w:val="center"/>
              <w:rPr>
                <w:rFonts w:ascii="Times New Roman" w:hAnsi="Times New Roman" w:cs="Times New Roman"/>
                <w:sz w:val="22"/>
                <w:szCs w:val="22"/>
              </w:rPr>
            </w:pPr>
            <w:r w:rsidRPr="00E22444">
              <w:rPr>
                <w:rFonts w:ascii="Times New Roman" w:hAnsi="Times New Roman" w:cs="Times New Roman"/>
                <w:sz w:val="22"/>
                <w:szCs w:val="22"/>
              </w:rPr>
              <w:t>32</w:t>
            </w:r>
          </w:p>
        </w:tc>
        <w:tc>
          <w:tcPr>
            <w:tcW w:w="0" w:type="auto"/>
            <w:vAlign w:val="center"/>
            <w:hideMark/>
          </w:tcPr>
          <w:p w14:paraId="7CF9D5A9" w14:textId="77777777" w:rsidR="00726EC7" w:rsidRPr="00E22444" w:rsidRDefault="00726EC7" w:rsidP="00E22444">
            <w:pPr>
              <w:pStyle w:val="NoSpacing"/>
              <w:jc w:val="center"/>
              <w:rPr>
                <w:rFonts w:ascii="Times New Roman" w:hAnsi="Times New Roman" w:cs="Times New Roman"/>
                <w:sz w:val="22"/>
                <w:szCs w:val="22"/>
              </w:rPr>
            </w:pPr>
            <w:r w:rsidRPr="00E22444">
              <w:rPr>
                <w:rFonts w:ascii="Times New Roman" w:hAnsi="Times New Roman" w:cs="Times New Roman"/>
                <w:sz w:val="22"/>
                <w:szCs w:val="22"/>
              </w:rPr>
              <w:t>13</w:t>
            </w:r>
          </w:p>
        </w:tc>
        <w:tc>
          <w:tcPr>
            <w:tcW w:w="0" w:type="auto"/>
            <w:vAlign w:val="center"/>
            <w:hideMark/>
          </w:tcPr>
          <w:p w14:paraId="1786A6BD" w14:textId="77777777" w:rsidR="00726EC7" w:rsidRPr="00E22444" w:rsidRDefault="00726EC7" w:rsidP="00E22444">
            <w:pPr>
              <w:pStyle w:val="NoSpacing"/>
              <w:jc w:val="center"/>
              <w:rPr>
                <w:rFonts w:ascii="Times New Roman" w:hAnsi="Times New Roman" w:cs="Times New Roman"/>
                <w:sz w:val="22"/>
                <w:szCs w:val="22"/>
              </w:rPr>
            </w:pPr>
            <w:r w:rsidRPr="00E22444">
              <w:rPr>
                <w:rFonts w:ascii="Times New Roman" w:hAnsi="Times New Roman" w:cs="Times New Roman"/>
                <w:sz w:val="22"/>
                <w:szCs w:val="22"/>
              </w:rPr>
              <w:t>45</w:t>
            </w:r>
          </w:p>
        </w:tc>
        <w:tc>
          <w:tcPr>
            <w:tcW w:w="0" w:type="auto"/>
            <w:vAlign w:val="center"/>
            <w:hideMark/>
          </w:tcPr>
          <w:p w14:paraId="23B75B55" w14:textId="77777777" w:rsidR="00726EC7" w:rsidRPr="00E22444" w:rsidRDefault="00726EC7" w:rsidP="00E22444">
            <w:pPr>
              <w:pStyle w:val="NoSpacing"/>
              <w:jc w:val="center"/>
              <w:rPr>
                <w:rFonts w:ascii="Times New Roman" w:hAnsi="Times New Roman" w:cs="Times New Roman"/>
                <w:sz w:val="22"/>
                <w:szCs w:val="22"/>
              </w:rPr>
            </w:pPr>
            <w:r w:rsidRPr="00E22444">
              <w:rPr>
                <w:rFonts w:ascii="Times New Roman" w:hAnsi="Times New Roman" w:cs="Times New Roman"/>
                <w:sz w:val="22"/>
                <w:szCs w:val="22"/>
              </w:rPr>
              <w:t>1426</w:t>
            </w:r>
          </w:p>
        </w:tc>
        <w:tc>
          <w:tcPr>
            <w:tcW w:w="0" w:type="auto"/>
            <w:vAlign w:val="center"/>
            <w:hideMark/>
          </w:tcPr>
          <w:p w14:paraId="4C3787F9" w14:textId="77777777" w:rsidR="00726EC7" w:rsidRPr="00E22444" w:rsidRDefault="00726EC7" w:rsidP="00E22444">
            <w:pPr>
              <w:pStyle w:val="NoSpacing"/>
              <w:jc w:val="center"/>
              <w:rPr>
                <w:rFonts w:ascii="Times New Roman" w:hAnsi="Times New Roman" w:cs="Times New Roman"/>
                <w:sz w:val="22"/>
                <w:szCs w:val="22"/>
              </w:rPr>
            </w:pPr>
            <w:r w:rsidRPr="00E22444">
              <w:rPr>
                <w:rFonts w:ascii="Times New Roman" w:hAnsi="Times New Roman" w:cs="Times New Roman"/>
                <w:sz w:val="22"/>
                <w:szCs w:val="22"/>
              </w:rPr>
              <w:t>834</w:t>
            </w:r>
          </w:p>
        </w:tc>
      </w:tr>
      <w:tr w:rsidR="00726EC7" w:rsidRPr="00E22444" w14:paraId="2842CA1F" w14:textId="77777777" w:rsidTr="00E22444">
        <w:trPr>
          <w:trHeight w:val="873"/>
        </w:trPr>
        <w:tc>
          <w:tcPr>
            <w:tcW w:w="0" w:type="auto"/>
            <w:vAlign w:val="center"/>
            <w:hideMark/>
          </w:tcPr>
          <w:p w14:paraId="7BF44BBF" w14:textId="77777777" w:rsidR="00726EC7" w:rsidRPr="00E22444" w:rsidRDefault="00726EC7" w:rsidP="00E22444">
            <w:pPr>
              <w:pStyle w:val="NoSpacing"/>
              <w:rPr>
                <w:rFonts w:ascii="Times New Roman" w:hAnsi="Times New Roman" w:cs="Times New Roman"/>
                <w:sz w:val="22"/>
                <w:szCs w:val="22"/>
              </w:rPr>
            </w:pPr>
            <w:r w:rsidRPr="00E22444">
              <w:rPr>
                <w:rFonts w:ascii="Times New Roman" w:hAnsi="Times New Roman" w:cs="Times New Roman"/>
                <w:sz w:val="22"/>
                <w:szCs w:val="22"/>
              </w:rPr>
              <w:t>Jammu and Kashmir</w:t>
            </w:r>
          </w:p>
        </w:tc>
        <w:tc>
          <w:tcPr>
            <w:tcW w:w="0" w:type="auto"/>
            <w:vAlign w:val="center"/>
            <w:hideMark/>
          </w:tcPr>
          <w:p w14:paraId="660AD7B2" w14:textId="77777777" w:rsidR="00726EC7" w:rsidRPr="00E22444" w:rsidRDefault="00726EC7" w:rsidP="00E22444">
            <w:pPr>
              <w:pStyle w:val="NoSpacing"/>
              <w:jc w:val="center"/>
              <w:rPr>
                <w:rFonts w:ascii="Times New Roman" w:hAnsi="Times New Roman" w:cs="Times New Roman"/>
                <w:sz w:val="22"/>
                <w:szCs w:val="22"/>
              </w:rPr>
            </w:pPr>
            <w:r w:rsidRPr="00E22444">
              <w:rPr>
                <w:rFonts w:ascii="Times New Roman" w:hAnsi="Times New Roman" w:cs="Times New Roman"/>
                <w:sz w:val="22"/>
                <w:szCs w:val="22"/>
              </w:rPr>
              <w:t>237</w:t>
            </w:r>
          </w:p>
        </w:tc>
        <w:tc>
          <w:tcPr>
            <w:tcW w:w="0" w:type="auto"/>
            <w:vAlign w:val="center"/>
            <w:hideMark/>
          </w:tcPr>
          <w:p w14:paraId="4901A480" w14:textId="77777777" w:rsidR="00726EC7" w:rsidRPr="00E22444" w:rsidRDefault="00726EC7" w:rsidP="00E22444">
            <w:pPr>
              <w:pStyle w:val="NoSpacing"/>
              <w:jc w:val="center"/>
              <w:rPr>
                <w:rFonts w:ascii="Times New Roman" w:hAnsi="Times New Roman" w:cs="Times New Roman"/>
                <w:sz w:val="22"/>
                <w:szCs w:val="22"/>
              </w:rPr>
            </w:pPr>
            <w:r w:rsidRPr="00E22444">
              <w:rPr>
                <w:rFonts w:ascii="Times New Roman" w:hAnsi="Times New Roman" w:cs="Times New Roman"/>
                <w:sz w:val="22"/>
                <w:szCs w:val="22"/>
              </w:rPr>
              <w:t>0.250</w:t>
            </w:r>
          </w:p>
        </w:tc>
        <w:tc>
          <w:tcPr>
            <w:tcW w:w="0" w:type="auto"/>
            <w:vAlign w:val="center"/>
            <w:hideMark/>
          </w:tcPr>
          <w:p w14:paraId="5F109E5C" w14:textId="77777777" w:rsidR="00726EC7" w:rsidRPr="00E22444" w:rsidRDefault="00726EC7" w:rsidP="00E22444">
            <w:pPr>
              <w:pStyle w:val="NoSpacing"/>
              <w:jc w:val="center"/>
              <w:rPr>
                <w:rFonts w:ascii="Times New Roman" w:hAnsi="Times New Roman" w:cs="Times New Roman"/>
                <w:sz w:val="22"/>
                <w:szCs w:val="22"/>
              </w:rPr>
            </w:pPr>
            <w:r w:rsidRPr="00E22444">
              <w:rPr>
                <w:rFonts w:ascii="Times New Roman" w:hAnsi="Times New Roman" w:cs="Times New Roman"/>
                <w:sz w:val="22"/>
                <w:szCs w:val="22"/>
              </w:rPr>
              <w:t>1.016</w:t>
            </w:r>
          </w:p>
        </w:tc>
        <w:tc>
          <w:tcPr>
            <w:tcW w:w="0" w:type="auto"/>
            <w:vAlign w:val="center"/>
            <w:hideMark/>
          </w:tcPr>
          <w:p w14:paraId="1B9823CA" w14:textId="77777777" w:rsidR="00726EC7" w:rsidRPr="00E22444" w:rsidRDefault="00726EC7" w:rsidP="00E22444">
            <w:pPr>
              <w:pStyle w:val="NoSpacing"/>
              <w:jc w:val="center"/>
              <w:rPr>
                <w:rFonts w:ascii="Times New Roman" w:hAnsi="Times New Roman" w:cs="Times New Roman"/>
                <w:sz w:val="22"/>
                <w:szCs w:val="22"/>
              </w:rPr>
            </w:pPr>
            <w:r w:rsidRPr="00E22444">
              <w:rPr>
                <w:rFonts w:ascii="Times New Roman" w:hAnsi="Times New Roman" w:cs="Times New Roman"/>
                <w:sz w:val="22"/>
                <w:szCs w:val="22"/>
              </w:rPr>
              <w:t>..</w:t>
            </w:r>
          </w:p>
        </w:tc>
        <w:tc>
          <w:tcPr>
            <w:tcW w:w="0" w:type="auto"/>
            <w:vAlign w:val="center"/>
            <w:hideMark/>
          </w:tcPr>
          <w:p w14:paraId="36A1B33B" w14:textId="77777777" w:rsidR="00726EC7" w:rsidRPr="00E22444" w:rsidRDefault="00726EC7" w:rsidP="00E22444">
            <w:pPr>
              <w:pStyle w:val="NoSpacing"/>
              <w:jc w:val="center"/>
              <w:rPr>
                <w:rFonts w:ascii="Times New Roman" w:hAnsi="Times New Roman" w:cs="Times New Roman"/>
                <w:sz w:val="22"/>
                <w:szCs w:val="22"/>
              </w:rPr>
            </w:pPr>
            <w:r w:rsidRPr="00E22444">
              <w:rPr>
                <w:rFonts w:ascii="Times New Roman" w:hAnsi="Times New Roman" w:cs="Times New Roman"/>
                <w:sz w:val="22"/>
                <w:szCs w:val="22"/>
              </w:rPr>
              <w:t>Neg.</w:t>
            </w:r>
          </w:p>
        </w:tc>
        <w:tc>
          <w:tcPr>
            <w:tcW w:w="0" w:type="auto"/>
            <w:vAlign w:val="center"/>
            <w:hideMark/>
          </w:tcPr>
          <w:p w14:paraId="7465B6C5" w14:textId="77777777" w:rsidR="00726EC7" w:rsidRPr="00E22444" w:rsidRDefault="00726EC7" w:rsidP="00E22444">
            <w:pPr>
              <w:pStyle w:val="NoSpacing"/>
              <w:jc w:val="center"/>
              <w:rPr>
                <w:rFonts w:ascii="Times New Roman" w:hAnsi="Times New Roman" w:cs="Times New Roman"/>
                <w:sz w:val="22"/>
                <w:szCs w:val="22"/>
              </w:rPr>
            </w:pPr>
            <w:r w:rsidRPr="00E22444">
              <w:rPr>
                <w:rFonts w:ascii="Times New Roman" w:hAnsi="Times New Roman" w:cs="Times New Roman"/>
                <w:sz w:val="22"/>
                <w:szCs w:val="22"/>
              </w:rPr>
              <w:t>1</w:t>
            </w:r>
          </w:p>
        </w:tc>
        <w:tc>
          <w:tcPr>
            <w:tcW w:w="0" w:type="auto"/>
            <w:vAlign w:val="center"/>
            <w:hideMark/>
          </w:tcPr>
          <w:p w14:paraId="7D21A9AF" w14:textId="77777777" w:rsidR="00726EC7" w:rsidRPr="00E22444" w:rsidRDefault="00726EC7" w:rsidP="00E22444">
            <w:pPr>
              <w:pStyle w:val="NoSpacing"/>
              <w:jc w:val="center"/>
              <w:rPr>
                <w:rFonts w:ascii="Times New Roman" w:hAnsi="Times New Roman" w:cs="Times New Roman"/>
                <w:sz w:val="22"/>
                <w:szCs w:val="22"/>
              </w:rPr>
            </w:pPr>
            <w:r w:rsidRPr="00E22444">
              <w:rPr>
                <w:rFonts w:ascii="Times New Roman" w:hAnsi="Times New Roman" w:cs="Times New Roman"/>
                <w:sz w:val="22"/>
                <w:szCs w:val="22"/>
              </w:rPr>
              <w:t>1</w:t>
            </w:r>
          </w:p>
        </w:tc>
        <w:tc>
          <w:tcPr>
            <w:tcW w:w="0" w:type="auto"/>
            <w:vAlign w:val="center"/>
            <w:hideMark/>
          </w:tcPr>
          <w:p w14:paraId="0F77A42D" w14:textId="77777777" w:rsidR="00726EC7" w:rsidRPr="00E22444" w:rsidRDefault="00726EC7" w:rsidP="00E22444">
            <w:pPr>
              <w:pStyle w:val="NoSpacing"/>
              <w:jc w:val="center"/>
              <w:rPr>
                <w:rFonts w:ascii="Times New Roman" w:hAnsi="Times New Roman" w:cs="Times New Roman"/>
                <w:sz w:val="22"/>
                <w:szCs w:val="22"/>
              </w:rPr>
            </w:pPr>
            <w:r w:rsidRPr="00E22444">
              <w:rPr>
                <w:rFonts w:ascii="Times New Roman" w:hAnsi="Times New Roman" w:cs="Times New Roman"/>
                <w:sz w:val="22"/>
                <w:szCs w:val="22"/>
              </w:rPr>
              <w:t>494</w:t>
            </w:r>
          </w:p>
        </w:tc>
        <w:tc>
          <w:tcPr>
            <w:tcW w:w="0" w:type="auto"/>
            <w:vAlign w:val="center"/>
            <w:hideMark/>
          </w:tcPr>
          <w:p w14:paraId="7BE200BA" w14:textId="77777777" w:rsidR="00726EC7" w:rsidRPr="00E22444" w:rsidRDefault="00726EC7" w:rsidP="00E22444">
            <w:pPr>
              <w:pStyle w:val="NoSpacing"/>
              <w:jc w:val="center"/>
              <w:rPr>
                <w:rFonts w:ascii="Times New Roman" w:hAnsi="Times New Roman" w:cs="Times New Roman"/>
                <w:sz w:val="22"/>
                <w:szCs w:val="22"/>
              </w:rPr>
            </w:pPr>
            <w:r w:rsidRPr="00E22444">
              <w:rPr>
                <w:rFonts w:ascii="Times New Roman" w:hAnsi="Times New Roman" w:cs="Times New Roman"/>
                <w:sz w:val="22"/>
                <w:szCs w:val="22"/>
              </w:rPr>
              <w:t>337</w:t>
            </w:r>
          </w:p>
        </w:tc>
      </w:tr>
      <w:tr w:rsidR="00726EC7" w:rsidRPr="00E22444" w14:paraId="1AF7D108" w14:textId="77777777" w:rsidTr="00E22444">
        <w:trPr>
          <w:trHeight w:val="411"/>
        </w:trPr>
        <w:tc>
          <w:tcPr>
            <w:tcW w:w="0" w:type="auto"/>
            <w:vAlign w:val="center"/>
            <w:hideMark/>
          </w:tcPr>
          <w:p w14:paraId="2550C621" w14:textId="77777777" w:rsidR="00726EC7" w:rsidRPr="00E22444" w:rsidRDefault="00726EC7" w:rsidP="00E22444">
            <w:pPr>
              <w:pStyle w:val="NoSpacing"/>
              <w:rPr>
                <w:rFonts w:ascii="Times New Roman" w:hAnsi="Times New Roman" w:cs="Times New Roman"/>
                <w:sz w:val="22"/>
                <w:szCs w:val="22"/>
              </w:rPr>
            </w:pPr>
            <w:r w:rsidRPr="00E22444">
              <w:rPr>
                <w:rFonts w:ascii="Times New Roman" w:hAnsi="Times New Roman" w:cs="Times New Roman"/>
                <w:sz w:val="22"/>
                <w:szCs w:val="22"/>
              </w:rPr>
              <w:t>Kerala</w:t>
            </w:r>
          </w:p>
        </w:tc>
        <w:tc>
          <w:tcPr>
            <w:tcW w:w="0" w:type="auto"/>
            <w:vAlign w:val="center"/>
            <w:hideMark/>
          </w:tcPr>
          <w:p w14:paraId="26CDA2AD" w14:textId="77777777" w:rsidR="00726EC7" w:rsidRPr="00E22444" w:rsidRDefault="00726EC7" w:rsidP="00E22444">
            <w:pPr>
              <w:pStyle w:val="NoSpacing"/>
              <w:jc w:val="center"/>
              <w:rPr>
                <w:rFonts w:ascii="Times New Roman" w:hAnsi="Times New Roman" w:cs="Times New Roman"/>
                <w:sz w:val="22"/>
                <w:szCs w:val="22"/>
              </w:rPr>
            </w:pPr>
            <w:r w:rsidRPr="00E22444">
              <w:rPr>
                <w:rFonts w:ascii="Times New Roman" w:hAnsi="Times New Roman" w:cs="Times New Roman"/>
                <w:sz w:val="22"/>
                <w:szCs w:val="22"/>
              </w:rPr>
              <w:t>1036</w:t>
            </w:r>
          </w:p>
        </w:tc>
        <w:tc>
          <w:tcPr>
            <w:tcW w:w="0" w:type="auto"/>
            <w:vAlign w:val="center"/>
            <w:hideMark/>
          </w:tcPr>
          <w:p w14:paraId="39E693A6" w14:textId="77777777" w:rsidR="00726EC7" w:rsidRPr="00E22444" w:rsidRDefault="00726EC7" w:rsidP="00E22444">
            <w:pPr>
              <w:pStyle w:val="NoSpacing"/>
              <w:jc w:val="center"/>
              <w:rPr>
                <w:rFonts w:ascii="Times New Roman" w:hAnsi="Times New Roman" w:cs="Times New Roman"/>
                <w:sz w:val="22"/>
                <w:szCs w:val="22"/>
              </w:rPr>
            </w:pPr>
            <w:r w:rsidRPr="00E22444">
              <w:rPr>
                <w:rFonts w:ascii="Times New Roman" w:hAnsi="Times New Roman" w:cs="Times New Roman"/>
                <w:sz w:val="22"/>
                <w:szCs w:val="22"/>
              </w:rPr>
              <w:t>0.307</w:t>
            </w:r>
          </w:p>
        </w:tc>
        <w:tc>
          <w:tcPr>
            <w:tcW w:w="0" w:type="auto"/>
            <w:vAlign w:val="center"/>
            <w:hideMark/>
          </w:tcPr>
          <w:p w14:paraId="5DBB281C" w14:textId="77777777" w:rsidR="00726EC7" w:rsidRPr="00E22444" w:rsidRDefault="00726EC7" w:rsidP="00E22444">
            <w:pPr>
              <w:pStyle w:val="NoSpacing"/>
              <w:jc w:val="center"/>
              <w:rPr>
                <w:rFonts w:ascii="Times New Roman" w:hAnsi="Times New Roman" w:cs="Times New Roman"/>
                <w:sz w:val="22"/>
                <w:szCs w:val="22"/>
              </w:rPr>
            </w:pPr>
            <w:r w:rsidRPr="00E22444">
              <w:rPr>
                <w:rFonts w:ascii="Times New Roman" w:hAnsi="Times New Roman" w:cs="Times New Roman"/>
                <w:sz w:val="22"/>
                <w:szCs w:val="22"/>
              </w:rPr>
              <w:t>0.988</w:t>
            </w:r>
          </w:p>
        </w:tc>
        <w:tc>
          <w:tcPr>
            <w:tcW w:w="0" w:type="auto"/>
            <w:vAlign w:val="center"/>
            <w:hideMark/>
          </w:tcPr>
          <w:p w14:paraId="6FFEAE15" w14:textId="77777777" w:rsidR="00726EC7" w:rsidRPr="00E22444" w:rsidRDefault="00726EC7" w:rsidP="00E22444">
            <w:pPr>
              <w:pStyle w:val="NoSpacing"/>
              <w:jc w:val="center"/>
              <w:rPr>
                <w:rFonts w:ascii="Times New Roman" w:hAnsi="Times New Roman" w:cs="Times New Roman"/>
                <w:sz w:val="22"/>
                <w:szCs w:val="22"/>
              </w:rPr>
            </w:pPr>
            <w:r w:rsidRPr="00E22444">
              <w:rPr>
                <w:rFonts w:ascii="Times New Roman" w:hAnsi="Times New Roman" w:cs="Times New Roman"/>
                <w:sz w:val="22"/>
                <w:szCs w:val="22"/>
              </w:rPr>
              <w:t>2.13</w:t>
            </w:r>
          </w:p>
        </w:tc>
        <w:tc>
          <w:tcPr>
            <w:tcW w:w="0" w:type="auto"/>
            <w:vAlign w:val="center"/>
            <w:hideMark/>
          </w:tcPr>
          <w:p w14:paraId="18695BC2" w14:textId="77777777" w:rsidR="00726EC7" w:rsidRPr="00E22444" w:rsidRDefault="00726EC7" w:rsidP="00E22444">
            <w:pPr>
              <w:pStyle w:val="NoSpacing"/>
              <w:jc w:val="center"/>
              <w:rPr>
                <w:rFonts w:ascii="Times New Roman" w:hAnsi="Times New Roman" w:cs="Times New Roman"/>
                <w:sz w:val="22"/>
                <w:szCs w:val="22"/>
              </w:rPr>
            </w:pPr>
            <w:r w:rsidRPr="00E22444">
              <w:rPr>
                <w:rFonts w:ascii="Times New Roman" w:hAnsi="Times New Roman" w:cs="Times New Roman"/>
                <w:sz w:val="22"/>
                <w:szCs w:val="22"/>
              </w:rPr>
              <w:t>23</w:t>
            </w:r>
          </w:p>
        </w:tc>
        <w:tc>
          <w:tcPr>
            <w:tcW w:w="0" w:type="auto"/>
            <w:vAlign w:val="center"/>
            <w:hideMark/>
          </w:tcPr>
          <w:p w14:paraId="1CF1EC55" w14:textId="77777777" w:rsidR="00726EC7" w:rsidRPr="00E22444" w:rsidRDefault="00726EC7" w:rsidP="00E22444">
            <w:pPr>
              <w:pStyle w:val="NoSpacing"/>
              <w:jc w:val="center"/>
              <w:rPr>
                <w:rFonts w:ascii="Times New Roman" w:hAnsi="Times New Roman" w:cs="Times New Roman"/>
                <w:sz w:val="22"/>
                <w:szCs w:val="22"/>
              </w:rPr>
            </w:pPr>
            <w:r w:rsidRPr="00E22444">
              <w:rPr>
                <w:rFonts w:ascii="Times New Roman" w:hAnsi="Times New Roman" w:cs="Times New Roman"/>
                <w:sz w:val="22"/>
                <w:szCs w:val="22"/>
              </w:rPr>
              <w:t>50</w:t>
            </w:r>
          </w:p>
        </w:tc>
        <w:tc>
          <w:tcPr>
            <w:tcW w:w="0" w:type="auto"/>
            <w:vAlign w:val="center"/>
            <w:hideMark/>
          </w:tcPr>
          <w:p w14:paraId="08043DF7" w14:textId="77777777" w:rsidR="00726EC7" w:rsidRPr="00E22444" w:rsidRDefault="00726EC7" w:rsidP="00E22444">
            <w:pPr>
              <w:pStyle w:val="NoSpacing"/>
              <w:jc w:val="center"/>
              <w:rPr>
                <w:rFonts w:ascii="Times New Roman" w:hAnsi="Times New Roman" w:cs="Times New Roman"/>
                <w:sz w:val="22"/>
                <w:szCs w:val="22"/>
              </w:rPr>
            </w:pPr>
            <w:r w:rsidRPr="00E22444">
              <w:rPr>
                <w:rFonts w:ascii="Times New Roman" w:hAnsi="Times New Roman" w:cs="Times New Roman"/>
                <w:sz w:val="22"/>
                <w:szCs w:val="22"/>
              </w:rPr>
              <w:t>73</w:t>
            </w:r>
          </w:p>
        </w:tc>
        <w:tc>
          <w:tcPr>
            <w:tcW w:w="0" w:type="auto"/>
            <w:vAlign w:val="center"/>
            <w:hideMark/>
          </w:tcPr>
          <w:p w14:paraId="25C9F257" w14:textId="77777777" w:rsidR="00726EC7" w:rsidRPr="00E22444" w:rsidRDefault="00726EC7" w:rsidP="00E22444">
            <w:pPr>
              <w:pStyle w:val="NoSpacing"/>
              <w:jc w:val="center"/>
              <w:rPr>
                <w:rFonts w:ascii="Times New Roman" w:hAnsi="Times New Roman" w:cs="Times New Roman"/>
                <w:sz w:val="22"/>
                <w:szCs w:val="22"/>
              </w:rPr>
            </w:pPr>
            <w:r w:rsidRPr="00E22444">
              <w:rPr>
                <w:rFonts w:ascii="Times New Roman" w:hAnsi="Times New Roman" w:cs="Times New Roman"/>
                <w:sz w:val="22"/>
                <w:szCs w:val="22"/>
              </w:rPr>
              <w:t>2629</w:t>
            </w:r>
          </w:p>
        </w:tc>
        <w:tc>
          <w:tcPr>
            <w:tcW w:w="0" w:type="auto"/>
            <w:vAlign w:val="center"/>
            <w:hideMark/>
          </w:tcPr>
          <w:p w14:paraId="4F62C3A1" w14:textId="77777777" w:rsidR="00726EC7" w:rsidRPr="00E22444" w:rsidRDefault="00726EC7" w:rsidP="00E22444">
            <w:pPr>
              <w:pStyle w:val="NoSpacing"/>
              <w:jc w:val="center"/>
              <w:rPr>
                <w:rFonts w:ascii="Times New Roman" w:hAnsi="Times New Roman" w:cs="Times New Roman"/>
                <w:sz w:val="22"/>
                <w:szCs w:val="22"/>
              </w:rPr>
            </w:pPr>
            <w:r w:rsidRPr="00E22444">
              <w:rPr>
                <w:rFonts w:ascii="Times New Roman" w:hAnsi="Times New Roman" w:cs="Times New Roman"/>
                <w:sz w:val="22"/>
                <w:szCs w:val="22"/>
              </w:rPr>
              <w:t>3156</w:t>
            </w:r>
          </w:p>
        </w:tc>
      </w:tr>
      <w:tr w:rsidR="00726EC7" w:rsidRPr="00E22444" w14:paraId="635D5B54" w14:textId="77777777" w:rsidTr="00E22444">
        <w:trPr>
          <w:trHeight w:val="873"/>
        </w:trPr>
        <w:tc>
          <w:tcPr>
            <w:tcW w:w="0" w:type="auto"/>
            <w:vAlign w:val="center"/>
            <w:hideMark/>
          </w:tcPr>
          <w:p w14:paraId="301AD5B5" w14:textId="77777777" w:rsidR="00726EC7" w:rsidRPr="00E22444" w:rsidRDefault="00726EC7" w:rsidP="00E22444">
            <w:pPr>
              <w:pStyle w:val="NoSpacing"/>
              <w:rPr>
                <w:rFonts w:ascii="Times New Roman" w:hAnsi="Times New Roman" w:cs="Times New Roman"/>
                <w:sz w:val="22"/>
                <w:szCs w:val="22"/>
              </w:rPr>
            </w:pPr>
            <w:r w:rsidRPr="00E22444">
              <w:rPr>
                <w:rFonts w:ascii="Times New Roman" w:hAnsi="Times New Roman" w:cs="Times New Roman"/>
                <w:sz w:val="22"/>
                <w:szCs w:val="22"/>
              </w:rPr>
              <w:t>Madhya Pradesh</w:t>
            </w:r>
          </w:p>
        </w:tc>
        <w:tc>
          <w:tcPr>
            <w:tcW w:w="0" w:type="auto"/>
            <w:vAlign w:val="center"/>
            <w:hideMark/>
          </w:tcPr>
          <w:p w14:paraId="10854444" w14:textId="77777777" w:rsidR="00726EC7" w:rsidRPr="00E22444" w:rsidRDefault="00726EC7" w:rsidP="00E22444">
            <w:pPr>
              <w:pStyle w:val="NoSpacing"/>
              <w:jc w:val="center"/>
              <w:rPr>
                <w:rFonts w:ascii="Times New Roman" w:hAnsi="Times New Roman" w:cs="Times New Roman"/>
                <w:sz w:val="22"/>
                <w:szCs w:val="22"/>
              </w:rPr>
            </w:pPr>
            <w:r w:rsidRPr="00E22444">
              <w:rPr>
                <w:rFonts w:ascii="Times New Roman" w:hAnsi="Times New Roman" w:cs="Times New Roman"/>
                <w:sz w:val="22"/>
                <w:szCs w:val="22"/>
              </w:rPr>
              <w:t>575</w:t>
            </w:r>
          </w:p>
        </w:tc>
        <w:tc>
          <w:tcPr>
            <w:tcW w:w="0" w:type="auto"/>
            <w:vAlign w:val="center"/>
            <w:hideMark/>
          </w:tcPr>
          <w:p w14:paraId="6398B16E" w14:textId="77777777" w:rsidR="00726EC7" w:rsidRPr="00E22444" w:rsidRDefault="00726EC7" w:rsidP="00E22444">
            <w:pPr>
              <w:pStyle w:val="NoSpacing"/>
              <w:jc w:val="center"/>
              <w:rPr>
                <w:rFonts w:ascii="Times New Roman" w:hAnsi="Times New Roman" w:cs="Times New Roman"/>
                <w:sz w:val="22"/>
                <w:szCs w:val="22"/>
              </w:rPr>
            </w:pPr>
            <w:r w:rsidRPr="00E22444">
              <w:rPr>
                <w:rFonts w:ascii="Times New Roman" w:hAnsi="Times New Roman" w:cs="Times New Roman"/>
                <w:sz w:val="22"/>
                <w:szCs w:val="22"/>
              </w:rPr>
              <w:t>0.092</w:t>
            </w:r>
          </w:p>
        </w:tc>
        <w:tc>
          <w:tcPr>
            <w:tcW w:w="0" w:type="auto"/>
            <w:vAlign w:val="center"/>
            <w:hideMark/>
          </w:tcPr>
          <w:p w14:paraId="73DBA2CC" w14:textId="77777777" w:rsidR="00726EC7" w:rsidRPr="00E22444" w:rsidRDefault="00726EC7" w:rsidP="00E22444">
            <w:pPr>
              <w:pStyle w:val="NoSpacing"/>
              <w:jc w:val="center"/>
              <w:rPr>
                <w:rFonts w:ascii="Times New Roman" w:hAnsi="Times New Roman" w:cs="Times New Roman"/>
                <w:sz w:val="22"/>
                <w:szCs w:val="22"/>
              </w:rPr>
            </w:pPr>
            <w:r w:rsidRPr="00E22444">
              <w:rPr>
                <w:rFonts w:ascii="Times New Roman" w:hAnsi="Times New Roman" w:cs="Times New Roman"/>
                <w:sz w:val="22"/>
                <w:szCs w:val="22"/>
              </w:rPr>
              <w:t>0.380</w:t>
            </w:r>
          </w:p>
        </w:tc>
        <w:tc>
          <w:tcPr>
            <w:tcW w:w="0" w:type="auto"/>
            <w:vAlign w:val="center"/>
            <w:hideMark/>
          </w:tcPr>
          <w:p w14:paraId="4C016425" w14:textId="77777777" w:rsidR="00726EC7" w:rsidRPr="00E22444" w:rsidRDefault="00726EC7" w:rsidP="00E22444">
            <w:pPr>
              <w:pStyle w:val="NoSpacing"/>
              <w:jc w:val="center"/>
              <w:rPr>
                <w:rFonts w:ascii="Times New Roman" w:hAnsi="Times New Roman" w:cs="Times New Roman"/>
                <w:sz w:val="22"/>
                <w:szCs w:val="22"/>
              </w:rPr>
            </w:pPr>
            <w:r w:rsidRPr="00E22444">
              <w:rPr>
                <w:rFonts w:ascii="Times New Roman" w:hAnsi="Times New Roman" w:cs="Times New Roman"/>
                <w:sz w:val="22"/>
                <w:szCs w:val="22"/>
              </w:rPr>
              <w:t>66.78</w:t>
            </w:r>
          </w:p>
        </w:tc>
        <w:tc>
          <w:tcPr>
            <w:tcW w:w="0" w:type="auto"/>
            <w:vAlign w:val="center"/>
            <w:hideMark/>
          </w:tcPr>
          <w:p w14:paraId="6C6BB8FA" w14:textId="77777777" w:rsidR="00726EC7" w:rsidRPr="00E22444" w:rsidRDefault="00726EC7" w:rsidP="00E22444">
            <w:pPr>
              <w:pStyle w:val="NoSpacing"/>
              <w:jc w:val="center"/>
              <w:rPr>
                <w:rFonts w:ascii="Times New Roman" w:hAnsi="Times New Roman" w:cs="Times New Roman"/>
                <w:sz w:val="22"/>
                <w:szCs w:val="22"/>
              </w:rPr>
            </w:pPr>
            <w:r w:rsidRPr="00E22444">
              <w:rPr>
                <w:rFonts w:ascii="Times New Roman" w:hAnsi="Times New Roman" w:cs="Times New Roman"/>
                <w:sz w:val="22"/>
                <w:szCs w:val="22"/>
              </w:rPr>
              <w:t>12</w:t>
            </w:r>
          </w:p>
        </w:tc>
        <w:tc>
          <w:tcPr>
            <w:tcW w:w="0" w:type="auto"/>
            <w:vAlign w:val="center"/>
            <w:hideMark/>
          </w:tcPr>
          <w:p w14:paraId="7BA45158" w14:textId="77777777" w:rsidR="00726EC7" w:rsidRPr="00E22444" w:rsidRDefault="00726EC7" w:rsidP="00E22444">
            <w:pPr>
              <w:pStyle w:val="NoSpacing"/>
              <w:jc w:val="center"/>
              <w:rPr>
                <w:rFonts w:ascii="Times New Roman" w:hAnsi="Times New Roman" w:cs="Times New Roman"/>
                <w:sz w:val="22"/>
                <w:szCs w:val="22"/>
              </w:rPr>
            </w:pPr>
            <w:r w:rsidRPr="00E22444">
              <w:rPr>
                <w:rFonts w:ascii="Times New Roman" w:hAnsi="Times New Roman" w:cs="Times New Roman"/>
                <w:sz w:val="22"/>
                <w:szCs w:val="22"/>
              </w:rPr>
              <w:t>6</w:t>
            </w:r>
          </w:p>
        </w:tc>
        <w:tc>
          <w:tcPr>
            <w:tcW w:w="0" w:type="auto"/>
            <w:vAlign w:val="center"/>
            <w:hideMark/>
          </w:tcPr>
          <w:p w14:paraId="69D186FD" w14:textId="77777777" w:rsidR="00726EC7" w:rsidRPr="00E22444" w:rsidRDefault="00726EC7" w:rsidP="00E22444">
            <w:pPr>
              <w:pStyle w:val="NoSpacing"/>
              <w:jc w:val="center"/>
              <w:rPr>
                <w:rFonts w:ascii="Times New Roman" w:hAnsi="Times New Roman" w:cs="Times New Roman"/>
                <w:sz w:val="22"/>
                <w:szCs w:val="22"/>
              </w:rPr>
            </w:pPr>
            <w:r w:rsidRPr="00E22444">
              <w:rPr>
                <w:rFonts w:ascii="Times New Roman" w:hAnsi="Times New Roman" w:cs="Times New Roman"/>
                <w:sz w:val="22"/>
                <w:szCs w:val="22"/>
              </w:rPr>
              <w:t>18</w:t>
            </w:r>
          </w:p>
        </w:tc>
        <w:tc>
          <w:tcPr>
            <w:tcW w:w="0" w:type="auto"/>
            <w:vAlign w:val="center"/>
            <w:hideMark/>
          </w:tcPr>
          <w:p w14:paraId="26349903" w14:textId="77777777" w:rsidR="00726EC7" w:rsidRPr="00E22444" w:rsidRDefault="00726EC7" w:rsidP="00E22444">
            <w:pPr>
              <w:pStyle w:val="NoSpacing"/>
              <w:jc w:val="center"/>
              <w:rPr>
                <w:rFonts w:ascii="Times New Roman" w:hAnsi="Times New Roman" w:cs="Times New Roman"/>
                <w:sz w:val="22"/>
                <w:szCs w:val="22"/>
              </w:rPr>
            </w:pPr>
            <w:r w:rsidRPr="00E22444">
              <w:rPr>
                <w:rFonts w:ascii="Times New Roman" w:hAnsi="Times New Roman" w:cs="Times New Roman"/>
                <w:sz w:val="22"/>
                <w:szCs w:val="22"/>
              </w:rPr>
              <w:t>5356</w:t>
            </w:r>
          </w:p>
        </w:tc>
        <w:tc>
          <w:tcPr>
            <w:tcW w:w="0" w:type="auto"/>
            <w:vAlign w:val="center"/>
            <w:hideMark/>
          </w:tcPr>
          <w:p w14:paraId="4ADEE0A8" w14:textId="77777777" w:rsidR="00726EC7" w:rsidRPr="00E22444" w:rsidRDefault="00726EC7" w:rsidP="00E22444">
            <w:pPr>
              <w:pStyle w:val="NoSpacing"/>
              <w:jc w:val="center"/>
              <w:rPr>
                <w:rFonts w:ascii="Times New Roman" w:hAnsi="Times New Roman" w:cs="Times New Roman"/>
                <w:sz w:val="22"/>
                <w:szCs w:val="22"/>
              </w:rPr>
            </w:pPr>
            <w:r w:rsidRPr="00E22444">
              <w:rPr>
                <w:rFonts w:ascii="Times New Roman" w:hAnsi="Times New Roman" w:cs="Times New Roman"/>
                <w:sz w:val="22"/>
                <w:szCs w:val="22"/>
              </w:rPr>
              <w:t>2918</w:t>
            </w:r>
          </w:p>
        </w:tc>
      </w:tr>
      <w:tr w:rsidR="00726EC7" w:rsidRPr="00E22444" w14:paraId="6B3924C8" w14:textId="77777777" w:rsidTr="00E22444">
        <w:trPr>
          <w:trHeight w:val="411"/>
        </w:trPr>
        <w:tc>
          <w:tcPr>
            <w:tcW w:w="0" w:type="auto"/>
            <w:vAlign w:val="center"/>
            <w:hideMark/>
          </w:tcPr>
          <w:p w14:paraId="0F859E9A" w14:textId="77777777" w:rsidR="00726EC7" w:rsidRPr="00E22444" w:rsidRDefault="00726EC7" w:rsidP="00E22444">
            <w:pPr>
              <w:pStyle w:val="NoSpacing"/>
              <w:rPr>
                <w:rFonts w:ascii="Times New Roman" w:hAnsi="Times New Roman" w:cs="Times New Roman"/>
                <w:sz w:val="22"/>
                <w:szCs w:val="22"/>
              </w:rPr>
            </w:pPr>
            <w:r w:rsidRPr="00E22444">
              <w:rPr>
                <w:rFonts w:ascii="Times New Roman" w:hAnsi="Times New Roman" w:cs="Times New Roman"/>
                <w:sz w:val="22"/>
                <w:szCs w:val="22"/>
              </w:rPr>
              <w:t>Maharashtra</w:t>
            </w:r>
          </w:p>
        </w:tc>
        <w:tc>
          <w:tcPr>
            <w:tcW w:w="0" w:type="auto"/>
            <w:vAlign w:val="center"/>
            <w:hideMark/>
          </w:tcPr>
          <w:p w14:paraId="142241CE" w14:textId="77777777" w:rsidR="00726EC7" w:rsidRPr="00E22444" w:rsidRDefault="00726EC7" w:rsidP="00E22444">
            <w:pPr>
              <w:pStyle w:val="NoSpacing"/>
              <w:jc w:val="center"/>
              <w:rPr>
                <w:rFonts w:ascii="Times New Roman" w:hAnsi="Times New Roman" w:cs="Times New Roman"/>
                <w:sz w:val="22"/>
                <w:szCs w:val="22"/>
              </w:rPr>
            </w:pPr>
            <w:r w:rsidRPr="00E22444">
              <w:rPr>
                <w:rFonts w:ascii="Times New Roman" w:hAnsi="Times New Roman" w:cs="Times New Roman"/>
                <w:sz w:val="22"/>
                <w:szCs w:val="22"/>
              </w:rPr>
              <w:t>2068</w:t>
            </w:r>
          </w:p>
        </w:tc>
        <w:tc>
          <w:tcPr>
            <w:tcW w:w="0" w:type="auto"/>
            <w:vAlign w:val="center"/>
            <w:hideMark/>
          </w:tcPr>
          <w:p w14:paraId="014336BC" w14:textId="77777777" w:rsidR="00726EC7" w:rsidRPr="00E22444" w:rsidRDefault="00726EC7" w:rsidP="00E22444">
            <w:pPr>
              <w:pStyle w:val="NoSpacing"/>
              <w:jc w:val="center"/>
              <w:rPr>
                <w:rFonts w:ascii="Times New Roman" w:hAnsi="Times New Roman" w:cs="Times New Roman"/>
                <w:sz w:val="22"/>
                <w:szCs w:val="22"/>
              </w:rPr>
            </w:pPr>
            <w:r w:rsidRPr="00E22444">
              <w:rPr>
                <w:rFonts w:ascii="Times New Roman" w:hAnsi="Times New Roman" w:cs="Times New Roman"/>
                <w:sz w:val="22"/>
                <w:szCs w:val="22"/>
              </w:rPr>
              <w:t>0.141</w:t>
            </w:r>
          </w:p>
        </w:tc>
        <w:tc>
          <w:tcPr>
            <w:tcW w:w="0" w:type="auto"/>
            <w:vAlign w:val="center"/>
            <w:hideMark/>
          </w:tcPr>
          <w:p w14:paraId="0A9774EF" w14:textId="77777777" w:rsidR="00726EC7" w:rsidRPr="00E22444" w:rsidRDefault="00726EC7" w:rsidP="00E22444">
            <w:pPr>
              <w:pStyle w:val="NoSpacing"/>
              <w:jc w:val="center"/>
              <w:rPr>
                <w:rFonts w:ascii="Times New Roman" w:hAnsi="Times New Roman" w:cs="Times New Roman"/>
                <w:sz w:val="22"/>
                <w:szCs w:val="22"/>
              </w:rPr>
            </w:pPr>
            <w:r w:rsidRPr="00E22444">
              <w:rPr>
                <w:rFonts w:ascii="Times New Roman" w:hAnsi="Times New Roman" w:cs="Times New Roman"/>
                <w:sz w:val="22"/>
                <w:szCs w:val="22"/>
              </w:rPr>
              <w:t>0.787</w:t>
            </w:r>
          </w:p>
        </w:tc>
        <w:tc>
          <w:tcPr>
            <w:tcW w:w="0" w:type="auto"/>
            <w:vAlign w:val="center"/>
            <w:hideMark/>
          </w:tcPr>
          <w:p w14:paraId="6F6DB5DC" w14:textId="77777777" w:rsidR="00726EC7" w:rsidRPr="00E22444" w:rsidRDefault="00726EC7" w:rsidP="00E22444">
            <w:pPr>
              <w:pStyle w:val="NoSpacing"/>
              <w:jc w:val="center"/>
              <w:rPr>
                <w:rFonts w:ascii="Times New Roman" w:hAnsi="Times New Roman" w:cs="Times New Roman"/>
                <w:sz w:val="22"/>
                <w:szCs w:val="22"/>
              </w:rPr>
            </w:pPr>
            <w:r w:rsidRPr="00E22444">
              <w:rPr>
                <w:rFonts w:ascii="Times New Roman" w:hAnsi="Times New Roman" w:cs="Times New Roman"/>
                <w:sz w:val="22"/>
                <w:szCs w:val="22"/>
              </w:rPr>
              <w:t>23.97</w:t>
            </w:r>
          </w:p>
        </w:tc>
        <w:tc>
          <w:tcPr>
            <w:tcW w:w="0" w:type="auto"/>
            <w:vAlign w:val="center"/>
            <w:hideMark/>
          </w:tcPr>
          <w:p w14:paraId="5EE6B7BD" w14:textId="77777777" w:rsidR="00726EC7" w:rsidRPr="00E22444" w:rsidRDefault="00726EC7" w:rsidP="00E22444">
            <w:pPr>
              <w:pStyle w:val="NoSpacing"/>
              <w:jc w:val="center"/>
              <w:rPr>
                <w:rFonts w:ascii="Times New Roman" w:hAnsi="Times New Roman" w:cs="Times New Roman"/>
                <w:sz w:val="22"/>
                <w:szCs w:val="22"/>
              </w:rPr>
            </w:pPr>
            <w:r w:rsidRPr="00E22444">
              <w:rPr>
                <w:rFonts w:ascii="Times New Roman" w:hAnsi="Times New Roman" w:cs="Times New Roman"/>
                <w:sz w:val="22"/>
                <w:szCs w:val="22"/>
              </w:rPr>
              <w:t>17</w:t>
            </w:r>
          </w:p>
        </w:tc>
        <w:tc>
          <w:tcPr>
            <w:tcW w:w="0" w:type="auto"/>
            <w:vAlign w:val="center"/>
            <w:hideMark/>
          </w:tcPr>
          <w:p w14:paraId="5423A4CD" w14:textId="77777777" w:rsidR="00726EC7" w:rsidRPr="00E22444" w:rsidRDefault="00726EC7" w:rsidP="00E22444">
            <w:pPr>
              <w:pStyle w:val="NoSpacing"/>
              <w:jc w:val="center"/>
              <w:rPr>
                <w:rFonts w:ascii="Times New Roman" w:hAnsi="Times New Roman" w:cs="Times New Roman"/>
                <w:sz w:val="22"/>
                <w:szCs w:val="22"/>
              </w:rPr>
            </w:pPr>
            <w:r w:rsidRPr="00E22444">
              <w:rPr>
                <w:rFonts w:ascii="Times New Roman" w:hAnsi="Times New Roman" w:cs="Times New Roman"/>
                <w:sz w:val="22"/>
                <w:szCs w:val="22"/>
              </w:rPr>
              <w:t>10</w:t>
            </w:r>
          </w:p>
        </w:tc>
        <w:tc>
          <w:tcPr>
            <w:tcW w:w="0" w:type="auto"/>
            <w:vAlign w:val="center"/>
            <w:hideMark/>
          </w:tcPr>
          <w:p w14:paraId="76762FD3" w14:textId="77777777" w:rsidR="00726EC7" w:rsidRPr="00E22444" w:rsidRDefault="00726EC7" w:rsidP="00E22444">
            <w:pPr>
              <w:pStyle w:val="NoSpacing"/>
              <w:jc w:val="center"/>
              <w:rPr>
                <w:rFonts w:ascii="Times New Roman" w:hAnsi="Times New Roman" w:cs="Times New Roman"/>
                <w:sz w:val="22"/>
                <w:szCs w:val="22"/>
              </w:rPr>
            </w:pPr>
            <w:r w:rsidRPr="00E22444">
              <w:rPr>
                <w:rFonts w:ascii="Times New Roman" w:hAnsi="Times New Roman" w:cs="Times New Roman"/>
                <w:sz w:val="22"/>
                <w:szCs w:val="22"/>
              </w:rPr>
              <w:t>27</w:t>
            </w:r>
          </w:p>
        </w:tc>
        <w:tc>
          <w:tcPr>
            <w:tcW w:w="0" w:type="auto"/>
            <w:vAlign w:val="center"/>
            <w:hideMark/>
          </w:tcPr>
          <w:p w14:paraId="2F15AC50" w14:textId="77777777" w:rsidR="00726EC7" w:rsidRPr="00E22444" w:rsidRDefault="00726EC7" w:rsidP="00E22444">
            <w:pPr>
              <w:pStyle w:val="NoSpacing"/>
              <w:jc w:val="center"/>
              <w:rPr>
                <w:rFonts w:ascii="Times New Roman" w:hAnsi="Times New Roman" w:cs="Times New Roman"/>
                <w:sz w:val="22"/>
                <w:szCs w:val="22"/>
              </w:rPr>
            </w:pPr>
            <w:r w:rsidRPr="00E22444">
              <w:rPr>
                <w:rFonts w:ascii="Times New Roman" w:hAnsi="Times New Roman" w:cs="Times New Roman"/>
                <w:sz w:val="22"/>
                <w:szCs w:val="22"/>
              </w:rPr>
              <w:t>6254</w:t>
            </w:r>
          </w:p>
        </w:tc>
        <w:tc>
          <w:tcPr>
            <w:tcW w:w="0" w:type="auto"/>
            <w:vAlign w:val="center"/>
            <w:hideMark/>
          </w:tcPr>
          <w:p w14:paraId="6D8039DF" w14:textId="77777777" w:rsidR="00726EC7" w:rsidRPr="00E22444" w:rsidRDefault="00726EC7" w:rsidP="00E22444">
            <w:pPr>
              <w:pStyle w:val="NoSpacing"/>
              <w:jc w:val="center"/>
              <w:rPr>
                <w:rFonts w:ascii="Times New Roman" w:hAnsi="Times New Roman" w:cs="Times New Roman"/>
                <w:sz w:val="22"/>
                <w:szCs w:val="22"/>
              </w:rPr>
            </w:pPr>
            <w:r w:rsidRPr="00E22444">
              <w:rPr>
                <w:rFonts w:ascii="Times New Roman" w:hAnsi="Times New Roman" w:cs="Times New Roman"/>
                <w:sz w:val="22"/>
                <w:szCs w:val="22"/>
              </w:rPr>
              <w:t>5635</w:t>
            </w:r>
          </w:p>
        </w:tc>
      </w:tr>
      <w:tr w:rsidR="00726EC7" w:rsidRPr="00E22444" w14:paraId="027D9032" w14:textId="77777777" w:rsidTr="00E22444">
        <w:trPr>
          <w:trHeight w:val="436"/>
        </w:trPr>
        <w:tc>
          <w:tcPr>
            <w:tcW w:w="0" w:type="auto"/>
            <w:vAlign w:val="center"/>
            <w:hideMark/>
          </w:tcPr>
          <w:p w14:paraId="0A4507C4" w14:textId="77777777" w:rsidR="00726EC7" w:rsidRPr="00E22444" w:rsidRDefault="00726EC7" w:rsidP="00E22444">
            <w:pPr>
              <w:pStyle w:val="NoSpacing"/>
              <w:rPr>
                <w:rFonts w:ascii="Times New Roman" w:hAnsi="Times New Roman" w:cs="Times New Roman"/>
                <w:sz w:val="22"/>
                <w:szCs w:val="22"/>
              </w:rPr>
            </w:pPr>
            <w:r w:rsidRPr="00E22444">
              <w:rPr>
                <w:rFonts w:ascii="Times New Roman" w:hAnsi="Times New Roman" w:cs="Times New Roman"/>
                <w:sz w:val="22"/>
                <w:szCs w:val="22"/>
              </w:rPr>
              <w:t>Mysore</w:t>
            </w:r>
          </w:p>
        </w:tc>
        <w:tc>
          <w:tcPr>
            <w:tcW w:w="0" w:type="auto"/>
            <w:vAlign w:val="center"/>
            <w:hideMark/>
          </w:tcPr>
          <w:p w14:paraId="1547AE77" w14:textId="77777777" w:rsidR="00726EC7" w:rsidRPr="00E22444" w:rsidRDefault="00726EC7" w:rsidP="00E22444">
            <w:pPr>
              <w:pStyle w:val="NoSpacing"/>
              <w:jc w:val="center"/>
              <w:rPr>
                <w:rFonts w:ascii="Times New Roman" w:hAnsi="Times New Roman" w:cs="Times New Roman"/>
                <w:sz w:val="22"/>
                <w:szCs w:val="22"/>
              </w:rPr>
            </w:pPr>
            <w:r w:rsidRPr="00E22444">
              <w:rPr>
                <w:rFonts w:ascii="Times New Roman" w:hAnsi="Times New Roman" w:cs="Times New Roman"/>
                <w:sz w:val="22"/>
                <w:szCs w:val="22"/>
              </w:rPr>
              <w:t>899</w:t>
            </w:r>
          </w:p>
        </w:tc>
        <w:tc>
          <w:tcPr>
            <w:tcW w:w="0" w:type="auto"/>
            <w:vAlign w:val="center"/>
            <w:hideMark/>
          </w:tcPr>
          <w:p w14:paraId="79FCD0E9" w14:textId="77777777" w:rsidR="00726EC7" w:rsidRPr="00E22444" w:rsidRDefault="00726EC7" w:rsidP="00E22444">
            <w:pPr>
              <w:pStyle w:val="NoSpacing"/>
              <w:jc w:val="center"/>
              <w:rPr>
                <w:rFonts w:ascii="Times New Roman" w:hAnsi="Times New Roman" w:cs="Times New Roman"/>
                <w:sz w:val="22"/>
                <w:szCs w:val="22"/>
              </w:rPr>
            </w:pPr>
            <w:r w:rsidRPr="00E22444">
              <w:rPr>
                <w:rFonts w:ascii="Times New Roman" w:hAnsi="Times New Roman" w:cs="Times New Roman"/>
                <w:sz w:val="22"/>
                <w:szCs w:val="22"/>
              </w:rPr>
              <w:t>0.168</w:t>
            </w:r>
          </w:p>
        </w:tc>
        <w:tc>
          <w:tcPr>
            <w:tcW w:w="0" w:type="auto"/>
            <w:vAlign w:val="center"/>
            <w:hideMark/>
          </w:tcPr>
          <w:p w14:paraId="72E777FF" w14:textId="77777777" w:rsidR="00726EC7" w:rsidRPr="00E22444" w:rsidRDefault="00726EC7" w:rsidP="00E22444">
            <w:pPr>
              <w:pStyle w:val="NoSpacing"/>
              <w:jc w:val="center"/>
              <w:rPr>
                <w:rFonts w:ascii="Times New Roman" w:hAnsi="Times New Roman" w:cs="Times New Roman"/>
                <w:sz w:val="22"/>
                <w:szCs w:val="22"/>
              </w:rPr>
            </w:pPr>
            <w:r w:rsidRPr="00E22444">
              <w:rPr>
                <w:rFonts w:ascii="Times New Roman" w:hAnsi="Times New Roman" w:cs="Times New Roman"/>
                <w:sz w:val="22"/>
                <w:szCs w:val="22"/>
              </w:rPr>
              <w:t>0.814</w:t>
            </w:r>
          </w:p>
        </w:tc>
        <w:tc>
          <w:tcPr>
            <w:tcW w:w="0" w:type="auto"/>
            <w:vAlign w:val="center"/>
            <w:hideMark/>
          </w:tcPr>
          <w:p w14:paraId="34F36D7F" w14:textId="77777777" w:rsidR="00726EC7" w:rsidRPr="00E22444" w:rsidRDefault="00726EC7" w:rsidP="00E22444">
            <w:pPr>
              <w:pStyle w:val="NoSpacing"/>
              <w:jc w:val="center"/>
              <w:rPr>
                <w:rFonts w:ascii="Times New Roman" w:hAnsi="Times New Roman" w:cs="Times New Roman"/>
                <w:sz w:val="22"/>
                <w:szCs w:val="22"/>
              </w:rPr>
            </w:pPr>
            <w:r w:rsidRPr="00E22444">
              <w:rPr>
                <w:rFonts w:ascii="Times New Roman" w:hAnsi="Times New Roman" w:cs="Times New Roman"/>
                <w:sz w:val="22"/>
                <w:szCs w:val="22"/>
              </w:rPr>
              <w:t>1.92</w:t>
            </w:r>
          </w:p>
        </w:tc>
        <w:tc>
          <w:tcPr>
            <w:tcW w:w="0" w:type="auto"/>
            <w:vAlign w:val="center"/>
            <w:hideMark/>
          </w:tcPr>
          <w:p w14:paraId="79BC5E5A" w14:textId="77777777" w:rsidR="00726EC7" w:rsidRPr="00E22444" w:rsidRDefault="00726EC7" w:rsidP="00E22444">
            <w:pPr>
              <w:pStyle w:val="NoSpacing"/>
              <w:jc w:val="center"/>
              <w:rPr>
                <w:rFonts w:ascii="Times New Roman" w:hAnsi="Times New Roman" w:cs="Times New Roman"/>
                <w:sz w:val="22"/>
                <w:szCs w:val="22"/>
              </w:rPr>
            </w:pPr>
            <w:r w:rsidRPr="00E22444">
              <w:rPr>
                <w:rFonts w:ascii="Times New Roman" w:hAnsi="Times New Roman" w:cs="Times New Roman"/>
                <w:sz w:val="22"/>
                <w:szCs w:val="22"/>
              </w:rPr>
              <w:t>14</w:t>
            </w:r>
          </w:p>
        </w:tc>
        <w:tc>
          <w:tcPr>
            <w:tcW w:w="0" w:type="auto"/>
            <w:vAlign w:val="center"/>
            <w:hideMark/>
          </w:tcPr>
          <w:p w14:paraId="4A7C8BE5" w14:textId="77777777" w:rsidR="00726EC7" w:rsidRPr="00E22444" w:rsidRDefault="00726EC7" w:rsidP="00E22444">
            <w:pPr>
              <w:pStyle w:val="NoSpacing"/>
              <w:jc w:val="center"/>
              <w:rPr>
                <w:rFonts w:ascii="Times New Roman" w:hAnsi="Times New Roman" w:cs="Times New Roman"/>
                <w:sz w:val="22"/>
                <w:szCs w:val="22"/>
              </w:rPr>
            </w:pPr>
            <w:r w:rsidRPr="00E22444">
              <w:rPr>
                <w:rFonts w:ascii="Times New Roman" w:hAnsi="Times New Roman" w:cs="Times New Roman"/>
                <w:sz w:val="22"/>
                <w:szCs w:val="22"/>
              </w:rPr>
              <w:t>18</w:t>
            </w:r>
          </w:p>
        </w:tc>
        <w:tc>
          <w:tcPr>
            <w:tcW w:w="0" w:type="auto"/>
            <w:vAlign w:val="center"/>
            <w:hideMark/>
          </w:tcPr>
          <w:p w14:paraId="270FAAEE" w14:textId="77777777" w:rsidR="00726EC7" w:rsidRPr="00E22444" w:rsidRDefault="00726EC7" w:rsidP="00E22444">
            <w:pPr>
              <w:pStyle w:val="NoSpacing"/>
              <w:jc w:val="center"/>
              <w:rPr>
                <w:rFonts w:ascii="Times New Roman" w:hAnsi="Times New Roman" w:cs="Times New Roman"/>
                <w:sz w:val="22"/>
                <w:szCs w:val="22"/>
              </w:rPr>
            </w:pPr>
            <w:r w:rsidRPr="00E22444">
              <w:rPr>
                <w:rFonts w:ascii="Times New Roman" w:hAnsi="Times New Roman" w:cs="Times New Roman"/>
                <w:sz w:val="22"/>
                <w:szCs w:val="22"/>
              </w:rPr>
              <w:t>32</w:t>
            </w:r>
          </w:p>
        </w:tc>
        <w:tc>
          <w:tcPr>
            <w:tcW w:w="0" w:type="auto"/>
            <w:vAlign w:val="center"/>
            <w:hideMark/>
          </w:tcPr>
          <w:p w14:paraId="1F1D4507" w14:textId="77777777" w:rsidR="00726EC7" w:rsidRPr="00E22444" w:rsidRDefault="00726EC7" w:rsidP="00E22444">
            <w:pPr>
              <w:pStyle w:val="NoSpacing"/>
              <w:jc w:val="center"/>
              <w:rPr>
                <w:rFonts w:ascii="Times New Roman" w:hAnsi="Times New Roman" w:cs="Times New Roman"/>
                <w:sz w:val="22"/>
                <w:szCs w:val="22"/>
              </w:rPr>
            </w:pPr>
            <w:r w:rsidRPr="00E22444">
              <w:rPr>
                <w:rFonts w:ascii="Times New Roman" w:hAnsi="Times New Roman" w:cs="Times New Roman"/>
                <w:sz w:val="22"/>
                <w:szCs w:val="22"/>
              </w:rPr>
              <w:t>3722</w:t>
            </w:r>
          </w:p>
        </w:tc>
        <w:tc>
          <w:tcPr>
            <w:tcW w:w="0" w:type="auto"/>
            <w:vAlign w:val="center"/>
            <w:hideMark/>
          </w:tcPr>
          <w:p w14:paraId="40EDEBD8" w14:textId="77777777" w:rsidR="00726EC7" w:rsidRPr="00E22444" w:rsidRDefault="00726EC7" w:rsidP="00E22444">
            <w:pPr>
              <w:pStyle w:val="NoSpacing"/>
              <w:jc w:val="center"/>
              <w:rPr>
                <w:rFonts w:ascii="Times New Roman" w:hAnsi="Times New Roman" w:cs="Times New Roman"/>
                <w:sz w:val="22"/>
                <w:szCs w:val="22"/>
              </w:rPr>
            </w:pPr>
            <w:r w:rsidRPr="00E22444">
              <w:rPr>
                <w:rFonts w:ascii="Times New Roman" w:hAnsi="Times New Roman" w:cs="Times New Roman"/>
                <w:sz w:val="22"/>
                <w:szCs w:val="22"/>
              </w:rPr>
              <w:t>3052</w:t>
            </w:r>
          </w:p>
        </w:tc>
      </w:tr>
      <w:tr w:rsidR="00726EC7" w:rsidRPr="00E22444" w14:paraId="44844590" w14:textId="77777777" w:rsidTr="00E22444">
        <w:trPr>
          <w:trHeight w:val="411"/>
        </w:trPr>
        <w:tc>
          <w:tcPr>
            <w:tcW w:w="0" w:type="auto"/>
            <w:vAlign w:val="center"/>
            <w:hideMark/>
          </w:tcPr>
          <w:p w14:paraId="26116FA9" w14:textId="77777777" w:rsidR="00726EC7" w:rsidRPr="00E22444" w:rsidRDefault="00726EC7" w:rsidP="00E22444">
            <w:pPr>
              <w:pStyle w:val="NoSpacing"/>
              <w:rPr>
                <w:rFonts w:ascii="Times New Roman" w:hAnsi="Times New Roman" w:cs="Times New Roman"/>
                <w:sz w:val="22"/>
                <w:szCs w:val="22"/>
              </w:rPr>
            </w:pPr>
            <w:r w:rsidRPr="00E22444">
              <w:rPr>
                <w:rFonts w:ascii="Times New Roman" w:hAnsi="Times New Roman" w:cs="Times New Roman"/>
                <w:sz w:val="22"/>
                <w:szCs w:val="22"/>
              </w:rPr>
              <w:t>Nagaland</w:t>
            </w:r>
          </w:p>
        </w:tc>
        <w:tc>
          <w:tcPr>
            <w:tcW w:w="0" w:type="auto"/>
            <w:vAlign w:val="center"/>
            <w:hideMark/>
          </w:tcPr>
          <w:p w14:paraId="05F5614B" w14:textId="77777777" w:rsidR="00726EC7" w:rsidRPr="00E22444" w:rsidRDefault="00726EC7" w:rsidP="00E22444">
            <w:pPr>
              <w:pStyle w:val="NoSpacing"/>
              <w:jc w:val="center"/>
              <w:rPr>
                <w:rFonts w:ascii="Times New Roman" w:hAnsi="Times New Roman" w:cs="Times New Roman"/>
                <w:sz w:val="22"/>
                <w:szCs w:val="22"/>
              </w:rPr>
            </w:pPr>
            <w:r w:rsidRPr="00E22444">
              <w:rPr>
                <w:rFonts w:ascii="Times New Roman" w:hAnsi="Times New Roman" w:cs="Times New Roman"/>
                <w:sz w:val="22"/>
                <w:szCs w:val="22"/>
              </w:rPr>
              <w:t>N.A.</w:t>
            </w:r>
          </w:p>
        </w:tc>
        <w:tc>
          <w:tcPr>
            <w:tcW w:w="0" w:type="auto"/>
            <w:vAlign w:val="center"/>
            <w:hideMark/>
          </w:tcPr>
          <w:p w14:paraId="31A23BE2" w14:textId="77777777" w:rsidR="00726EC7" w:rsidRPr="00E22444" w:rsidRDefault="00726EC7" w:rsidP="00E22444">
            <w:pPr>
              <w:pStyle w:val="NoSpacing"/>
              <w:jc w:val="center"/>
              <w:rPr>
                <w:rFonts w:ascii="Times New Roman" w:hAnsi="Times New Roman" w:cs="Times New Roman"/>
                <w:sz w:val="22"/>
                <w:szCs w:val="22"/>
              </w:rPr>
            </w:pPr>
            <w:r w:rsidRPr="00E22444">
              <w:rPr>
                <w:rFonts w:ascii="Times New Roman" w:hAnsi="Times New Roman" w:cs="Times New Roman"/>
                <w:sz w:val="22"/>
                <w:szCs w:val="22"/>
              </w:rPr>
              <w:t>0.062</w:t>
            </w:r>
          </w:p>
        </w:tc>
        <w:tc>
          <w:tcPr>
            <w:tcW w:w="0" w:type="auto"/>
            <w:vAlign w:val="center"/>
            <w:hideMark/>
          </w:tcPr>
          <w:p w14:paraId="37E02B70" w14:textId="77777777" w:rsidR="00726EC7" w:rsidRPr="00E22444" w:rsidRDefault="00726EC7" w:rsidP="00E22444">
            <w:pPr>
              <w:pStyle w:val="NoSpacing"/>
              <w:jc w:val="center"/>
              <w:rPr>
                <w:rFonts w:ascii="Times New Roman" w:hAnsi="Times New Roman" w:cs="Times New Roman"/>
                <w:sz w:val="22"/>
                <w:szCs w:val="22"/>
              </w:rPr>
            </w:pPr>
            <w:r w:rsidRPr="00E22444">
              <w:rPr>
                <w:rFonts w:ascii="Times New Roman" w:hAnsi="Times New Roman" w:cs="Times New Roman"/>
                <w:sz w:val="22"/>
                <w:szCs w:val="22"/>
              </w:rPr>
              <w:t>1.750</w:t>
            </w:r>
          </w:p>
        </w:tc>
        <w:tc>
          <w:tcPr>
            <w:tcW w:w="0" w:type="auto"/>
            <w:vAlign w:val="center"/>
            <w:hideMark/>
          </w:tcPr>
          <w:p w14:paraId="2DEF3577" w14:textId="77777777" w:rsidR="00726EC7" w:rsidRPr="00E22444" w:rsidRDefault="00726EC7" w:rsidP="00E22444">
            <w:pPr>
              <w:pStyle w:val="NoSpacing"/>
              <w:jc w:val="center"/>
              <w:rPr>
                <w:rFonts w:ascii="Times New Roman" w:hAnsi="Times New Roman" w:cs="Times New Roman"/>
                <w:sz w:val="22"/>
                <w:szCs w:val="22"/>
              </w:rPr>
            </w:pPr>
            <w:r w:rsidRPr="00E22444">
              <w:rPr>
                <w:rFonts w:ascii="Times New Roman" w:hAnsi="Times New Roman" w:cs="Times New Roman"/>
                <w:sz w:val="22"/>
                <w:szCs w:val="22"/>
              </w:rPr>
              <w:t>3.44</w:t>
            </w:r>
          </w:p>
        </w:tc>
        <w:tc>
          <w:tcPr>
            <w:tcW w:w="0" w:type="auto"/>
            <w:vAlign w:val="center"/>
            <w:hideMark/>
          </w:tcPr>
          <w:p w14:paraId="4CE2DE89" w14:textId="77777777" w:rsidR="00726EC7" w:rsidRPr="00E22444" w:rsidRDefault="00726EC7" w:rsidP="00E22444">
            <w:pPr>
              <w:pStyle w:val="NoSpacing"/>
              <w:jc w:val="center"/>
              <w:rPr>
                <w:rFonts w:ascii="Times New Roman" w:hAnsi="Times New Roman" w:cs="Times New Roman"/>
                <w:sz w:val="22"/>
                <w:szCs w:val="22"/>
              </w:rPr>
            </w:pPr>
            <w:r w:rsidRPr="00E22444">
              <w:rPr>
                <w:rFonts w:ascii="Times New Roman" w:hAnsi="Times New Roman" w:cs="Times New Roman"/>
                <w:sz w:val="22"/>
                <w:szCs w:val="22"/>
              </w:rPr>
              <w:t>1</w:t>
            </w:r>
          </w:p>
        </w:tc>
        <w:tc>
          <w:tcPr>
            <w:tcW w:w="0" w:type="auto"/>
            <w:vAlign w:val="center"/>
            <w:hideMark/>
          </w:tcPr>
          <w:p w14:paraId="36801279" w14:textId="77777777" w:rsidR="00726EC7" w:rsidRPr="00E22444" w:rsidRDefault="00726EC7" w:rsidP="00E22444">
            <w:pPr>
              <w:pStyle w:val="NoSpacing"/>
              <w:jc w:val="center"/>
              <w:rPr>
                <w:rFonts w:ascii="Times New Roman" w:hAnsi="Times New Roman" w:cs="Times New Roman"/>
                <w:sz w:val="22"/>
                <w:szCs w:val="22"/>
              </w:rPr>
            </w:pPr>
            <w:r w:rsidRPr="00E22444">
              <w:rPr>
                <w:rFonts w:ascii="Times New Roman" w:hAnsi="Times New Roman" w:cs="Times New Roman"/>
                <w:sz w:val="22"/>
                <w:szCs w:val="22"/>
              </w:rPr>
              <w:t>2</w:t>
            </w:r>
          </w:p>
        </w:tc>
        <w:tc>
          <w:tcPr>
            <w:tcW w:w="0" w:type="auto"/>
            <w:vAlign w:val="center"/>
            <w:hideMark/>
          </w:tcPr>
          <w:p w14:paraId="6A518A97" w14:textId="77777777" w:rsidR="00726EC7" w:rsidRPr="00E22444" w:rsidRDefault="00726EC7" w:rsidP="00E22444">
            <w:pPr>
              <w:pStyle w:val="NoSpacing"/>
              <w:jc w:val="center"/>
              <w:rPr>
                <w:rFonts w:ascii="Times New Roman" w:hAnsi="Times New Roman" w:cs="Times New Roman"/>
                <w:sz w:val="22"/>
                <w:szCs w:val="22"/>
              </w:rPr>
            </w:pPr>
            <w:r w:rsidRPr="00E22444">
              <w:rPr>
                <w:rFonts w:ascii="Times New Roman" w:hAnsi="Times New Roman" w:cs="Times New Roman"/>
                <w:sz w:val="22"/>
                <w:szCs w:val="22"/>
              </w:rPr>
              <w:t>3</w:t>
            </w:r>
          </w:p>
        </w:tc>
        <w:tc>
          <w:tcPr>
            <w:tcW w:w="0" w:type="auto"/>
            <w:vAlign w:val="center"/>
            <w:hideMark/>
          </w:tcPr>
          <w:p w14:paraId="553EAC81" w14:textId="77777777" w:rsidR="00726EC7" w:rsidRPr="00E22444" w:rsidRDefault="00726EC7" w:rsidP="00E22444">
            <w:pPr>
              <w:pStyle w:val="NoSpacing"/>
              <w:jc w:val="center"/>
              <w:rPr>
                <w:rFonts w:ascii="Times New Roman" w:hAnsi="Times New Roman" w:cs="Times New Roman"/>
                <w:sz w:val="22"/>
                <w:szCs w:val="22"/>
              </w:rPr>
            </w:pPr>
            <w:r w:rsidRPr="00E22444">
              <w:rPr>
                <w:rFonts w:ascii="Times New Roman" w:hAnsi="Times New Roman" w:cs="Times New Roman"/>
                <w:sz w:val="22"/>
                <w:szCs w:val="22"/>
              </w:rPr>
              <w:t>56</w:t>
            </w:r>
          </w:p>
        </w:tc>
        <w:tc>
          <w:tcPr>
            <w:tcW w:w="0" w:type="auto"/>
            <w:vAlign w:val="center"/>
            <w:hideMark/>
          </w:tcPr>
          <w:p w14:paraId="606CAF0C" w14:textId="77777777" w:rsidR="00726EC7" w:rsidRPr="00E22444" w:rsidRDefault="00726EC7" w:rsidP="00E22444">
            <w:pPr>
              <w:pStyle w:val="NoSpacing"/>
              <w:jc w:val="center"/>
              <w:rPr>
                <w:rFonts w:ascii="Times New Roman" w:hAnsi="Times New Roman" w:cs="Times New Roman"/>
                <w:sz w:val="22"/>
                <w:szCs w:val="22"/>
              </w:rPr>
            </w:pPr>
            <w:r w:rsidRPr="00E22444">
              <w:rPr>
                <w:rFonts w:ascii="Times New Roman" w:hAnsi="Times New Roman" w:cs="Times New Roman"/>
                <w:sz w:val="22"/>
                <w:szCs w:val="22"/>
              </w:rPr>
              <w:t>62</w:t>
            </w:r>
          </w:p>
        </w:tc>
      </w:tr>
    </w:tbl>
    <w:p w14:paraId="733078FE" w14:textId="6567FCF2" w:rsidR="00B55D1E" w:rsidRPr="007245B0" w:rsidRDefault="00B55D1E" w:rsidP="00B55D1E">
      <w:pPr>
        <w:rPr>
          <w:rFonts w:ascii="Times New Roman" w:hAnsi="Times New Roman" w:cs="Times New Roman"/>
          <w:i/>
          <w:iCs/>
          <w:szCs w:val="24"/>
        </w:rPr>
      </w:pPr>
    </w:p>
    <w:tbl>
      <w:tblPr>
        <w:tblStyle w:val="TableGrid"/>
        <w:tblW w:w="14257" w:type="dxa"/>
        <w:jc w:val="center"/>
        <w:tblLayout w:type="fixed"/>
        <w:tblLook w:val="04A0" w:firstRow="1" w:lastRow="0" w:firstColumn="1" w:lastColumn="0" w:noHBand="0" w:noVBand="1"/>
      </w:tblPr>
      <w:tblGrid>
        <w:gridCol w:w="1286"/>
        <w:gridCol w:w="1448"/>
        <w:gridCol w:w="1327"/>
        <w:gridCol w:w="2294"/>
        <w:gridCol w:w="1592"/>
        <w:gridCol w:w="1282"/>
        <w:gridCol w:w="1174"/>
        <w:gridCol w:w="726"/>
        <w:gridCol w:w="1589"/>
        <w:gridCol w:w="1539"/>
      </w:tblGrid>
      <w:tr w:rsidR="00B55D1E" w:rsidRPr="002E0607" w14:paraId="51338E63" w14:textId="77777777" w:rsidTr="002E0607">
        <w:trPr>
          <w:trHeight w:val="703"/>
          <w:jc w:val="center"/>
        </w:trPr>
        <w:tc>
          <w:tcPr>
            <w:tcW w:w="1286" w:type="dxa"/>
            <w:vMerge w:val="restart"/>
            <w:vAlign w:val="center"/>
          </w:tcPr>
          <w:p w14:paraId="259EAFAC" w14:textId="77777777" w:rsidR="00B55D1E" w:rsidRPr="002E0607" w:rsidRDefault="00B55D1E" w:rsidP="00E22444">
            <w:pPr>
              <w:pStyle w:val="NoSpacing"/>
              <w:jc w:val="center"/>
              <w:rPr>
                <w:rFonts w:ascii="Times New Roman" w:hAnsi="Times New Roman" w:cs="Times New Roman"/>
                <w:b/>
                <w:bCs/>
                <w:sz w:val="22"/>
                <w:szCs w:val="22"/>
              </w:rPr>
            </w:pPr>
            <w:r w:rsidRPr="002E0607">
              <w:rPr>
                <w:rFonts w:ascii="Times New Roman" w:hAnsi="Times New Roman" w:cs="Times New Roman"/>
                <w:b/>
                <w:bCs/>
                <w:sz w:val="22"/>
                <w:szCs w:val="22"/>
              </w:rPr>
              <w:t>States</w:t>
            </w:r>
          </w:p>
        </w:tc>
        <w:tc>
          <w:tcPr>
            <w:tcW w:w="1448" w:type="dxa"/>
            <w:vMerge w:val="restart"/>
            <w:vAlign w:val="center"/>
          </w:tcPr>
          <w:p w14:paraId="53C615A7" w14:textId="0AC6EFDD" w:rsidR="00B55D1E" w:rsidRPr="002E0607" w:rsidRDefault="00B55D1E" w:rsidP="00E22444">
            <w:pPr>
              <w:pStyle w:val="NoSpacing"/>
              <w:jc w:val="center"/>
              <w:rPr>
                <w:rFonts w:ascii="Times New Roman" w:hAnsi="Times New Roman" w:cs="Times New Roman"/>
                <w:b/>
                <w:bCs/>
                <w:sz w:val="22"/>
                <w:szCs w:val="22"/>
              </w:rPr>
            </w:pPr>
            <w:r w:rsidRPr="002E0607">
              <w:rPr>
                <w:rFonts w:ascii="Times New Roman" w:hAnsi="Times New Roman" w:cs="Times New Roman"/>
                <w:b/>
                <w:bCs/>
                <w:sz w:val="22"/>
                <w:szCs w:val="22"/>
              </w:rPr>
              <w:t>Factory Workers per lakh of population 1966</w:t>
            </w:r>
          </w:p>
        </w:tc>
        <w:tc>
          <w:tcPr>
            <w:tcW w:w="1327" w:type="dxa"/>
            <w:vMerge w:val="restart"/>
            <w:vAlign w:val="center"/>
          </w:tcPr>
          <w:p w14:paraId="71397C09" w14:textId="0CECB8FF" w:rsidR="00B55D1E" w:rsidRPr="002E0607" w:rsidRDefault="00B55D1E" w:rsidP="00E22444">
            <w:pPr>
              <w:pStyle w:val="NoSpacing"/>
              <w:jc w:val="center"/>
              <w:rPr>
                <w:rFonts w:ascii="Times New Roman" w:hAnsi="Times New Roman" w:cs="Times New Roman"/>
                <w:b/>
                <w:bCs/>
                <w:sz w:val="22"/>
                <w:szCs w:val="22"/>
              </w:rPr>
            </w:pPr>
            <w:r w:rsidRPr="002E0607">
              <w:rPr>
                <w:rFonts w:ascii="Times New Roman" w:hAnsi="Times New Roman" w:cs="Times New Roman"/>
                <w:b/>
                <w:bCs/>
                <w:sz w:val="22"/>
                <w:szCs w:val="22"/>
              </w:rPr>
              <w:t>Net irrigated area per cultivator (Hectares)</w:t>
            </w:r>
          </w:p>
        </w:tc>
        <w:tc>
          <w:tcPr>
            <w:tcW w:w="2294" w:type="dxa"/>
            <w:vMerge w:val="restart"/>
            <w:vAlign w:val="center"/>
          </w:tcPr>
          <w:p w14:paraId="45585357" w14:textId="77777777" w:rsidR="00B55D1E" w:rsidRPr="002E0607" w:rsidRDefault="00B55D1E" w:rsidP="00E22444">
            <w:pPr>
              <w:pStyle w:val="NoSpacing"/>
              <w:jc w:val="center"/>
              <w:rPr>
                <w:rFonts w:ascii="Times New Roman" w:hAnsi="Times New Roman" w:cs="Times New Roman"/>
                <w:b/>
                <w:bCs/>
                <w:sz w:val="22"/>
                <w:szCs w:val="22"/>
              </w:rPr>
            </w:pPr>
            <w:r w:rsidRPr="002E0607">
              <w:rPr>
                <w:rFonts w:ascii="Times New Roman" w:hAnsi="Times New Roman" w:cs="Times New Roman"/>
                <w:b/>
                <w:bCs/>
                <w:sz w:val="22"/>
                <w:szCs w:val="22"/>
              </w:rPr>
              <w:t>Number of hospital beds per thousand of population as on 1-4-1968</w:t>
            </w:r>
          </w:p>
        </w:tc>
        <w:tc>
          <w:tcPr>
            <w:tcW w:w="1592" w:type="dxa"/>
            <w:vMerge w:val="restart"/>
            <w:vAlign w:val="center"/>
          </w:tcPr>
          <w:p w14:paraId="68820400" w14:textId="7081BB97" w:rsidR="00B55D1E" w:rsidRPr="002E0607" w:rsidRDefault="00B55D1E" w:rsidP="00E22444">
            <w:pPr>
              <w:pStyle w:val="NoSpacing"/>
              <w:jc w:val="center"/>
              <w:rPr>
                <w:rFonts w:ascii="Times New Roman" w:hAnsi="Times New Roman" w:cs="Times New Roman"/>
                <w:b/>
                <w:bCs/>
                <w:sz w:val="22"/>
                <w:szCs w:val="22"/>
              </w:rPr>
            </w:pPr>
            <w:r w:rsidRPr="002E0607">
              <w:rPr>
                <w:rFonts w:ascii="Times New Roman" w:hAnsi="Times New Roman" w:cs="Times New Roman"/>
                <w:b/>
                <w:bCs/>
                <w:sz w:val="22"/>
                <w:szCs w:val="22"/>
              </w:rPr>
              <w:t>Scheduled Tribes population (1961) (Census Lakhs)</w:t>
            </w:r>
          </w:p>
        </w:tc>
        <w:tc>
          <w:tcPr>
            <w:tcW w:w="3182" w:type="dxa"/>
            <w:gridSpan w:val="3"/>
            <w:vAlign w:val="center"/>
          </w:tcPr>
          <w:p w14:paraId="5EE05435" w14:textId="77777777" w:rsidR="00B55D1E" w:rsidRPr="002E0607" w:rsidRDefault="00B55D1E" w:rsidP="00E22444">
            <w:pPr>
              <w:pStyle w:val="NoSpacing"/>
              <w:jc w:val="center"/>
              <w:rPr>
                <w:rFonts w:ascii="Times New Roman" w:hAnsi="Times New Roman" w:cs="Times New Roman"/>
                <w:b/>
                <w:bCs/>
                <w:sz w:val="22"/>
                <w:szCs w:val="22"/>
              </w:rPr>
            </w:pPr>
            <w:r w:rsidRPr="002E0607">
              <w:rPr>
                <w:rFonts w:ascii="Times New Roman" w:hAnsi="Times New Roman" w:cs="Times New Roman"/>
                <w:b/>
                <w:bCs/>
                <w:sz w:val="22"/>
                <w:szCs w:val="22"/>
              </w:rPr>
              <w:t>Length of railways and surfaced roads as on 31-3-1967</w:t>
            </w:r>
          </w:p>
        </w:tc>
        <w:tc>
          <w:tcPr>
            <w:tcW w:w="3128" w:type="dxa"/>
            <w:gridSpan w:val="2"/>
            <w:vAlign w:val="center"/>
          </w:tcPr>
          <w:p w14:paraId="5F0B57C8" w14:textId="77777777" w:rsidR="00B55D1E" w:rsidRPr="002E0607" w:rsidRDefault="00B55D1E" w:rsidP="00E22444">
            <w:pPr>
              <w:pStyle w:val="NoSpacing"/>
              <w:jc w:val="center"/>
              <w:rPr>
                <w:rFonts w:ascii="Times New Roman" w:hAnsi="Times New Roman" w:cs="Times New Roman"/>
                <w:b/>
                <w:bCs/>
                <w:sz w:val="22"/>
                <w:szCs w:val="22"/>
              </w:rPr>
            </w:pPr>
            <w:r w:rsidRPr="002E0607">
              <w:rPr>
                <w:rFonts w:ascii="Times New Roman" w:hAnsi="Times New Roman" w:cs="Times New Roman"/>
                <w:b/>
                <w:bCs/>
                <w:sz w:val="22"/>
                <w:szCs w:val="22"/>
              </w:rPr>
              <w:t>School going children in age group 6 to 11 years (1967-68)</w:t>
            </w:r>
          </w:p>
        </w:tc>
      </w:tr>
      <w:tr w:rsidR="00B55D1E" w:rsidRPr="002E0607" w14:paraId="6A3308A2" w14:textId="77777777" w:rsidTr="002E0607">
        <w:trPr>
          <w:trHeight w:val="195"/>
          <w:jc w:val="center"/>
        </w:trPr>
        <w:tc>
          <w:tcPr>
            <w:tcW w:w="1286" w:type="dxa"/>
            <w:vMerge/>
            <w:vAlign w:val="center"/>
          </w:tcPr>
          <w:p w14:paraId="41EA5A09" w14:textId="77777777" w:rsidR="00B55D1E" w:rsidRPr="002E0607" w:rsidRDefault="00B55D1E" w:rsidP="00E22444">
            <w:pPr>
              <w:pStyle w:val="NoSpacing"/>
              <w:jc w:val="center"/>
              <w:rPr>
                <w:rFonts w:ascii="Times New Roman" w:hAnsi="Times New Roman" w:cs="Times New Roman"/>
                <w:b/>
                <w:bCs/>
                <w:sz w:val="22"/>
                <w:szCs w:val="22"/>
              </w:rPr>
            </w:pPr>
          </w:p>
        </w:tc>
        <w:tc>
          <w:tcPr>
            <w:tcW w:w="1448" w:type="dxa"/>
            <w:vMerge/>
            <w:vAlign w:val="center"/>
          </w:tcPr>
          <w:p w14:paraId="568CDE97" w14:textId="77777777" w:rsidR="00B55D1E" w:rsidRPr="002E0607" w:rsidRDefault="00B55D1E" w:rsidP="00E22444">
            <w:pPr>
              <w:pStyle w:val="NoSpacing"/>
              <w:jc w:val="center"/>
              <w:rPr>
                <w:rFonts w:ascii="Times New Roman" w:hAnsi="Times New Roman" w:cs="Times New Roman"/>
                <w:b/>
                <w:bCs/>
                <w:sz w:val="22"/>
                <w:szCs w:val="22"/>
              </w:rPr>
            </w:pPr>
          </w:p>
        </w:tc>
        <w:tc>
          <w:tcPr>
            <w:tcW w:w="1327" w:type="dxa"/>
            <w:vMerge/>
            <w:vAlign w:val="center"/>
          </w:tcPr>
          <w:p w14:paraId="75442018" w14:textId="77777777" w:rsidR="00B55D1E" w:rsidRPr="002E0607" w:rsidRDefault="00B55D1E" w:rsidP="00E22444">
            <w:pPr>
              <w:pStyle w:val="NoSpacing"/>
              <w:jc w:val="center"/>
              <w:rPr>
                <w:rFonts w:ascii="Times New Roman" w:hAnsi="Times New Roman" w:cs="Times New Roman"/>
                <w:b/>
                <w:bCs/>
                <w:sz w:val="22"/>
                <w:szCs w:val="22"/>
              </w:rPr>
            </w:pPr>
          </w:p>
        </w:tc>
        <w:tc>
          <w:tcPr>
            <w:tcW w:w="2294" w:type="dxa"/>
            <w:vMerge/>
            <w:vAlign w:val="center"/>
          </w:tcPr>
          <w:p w14:paraId="51901F5F" w14:textId="77777777" w:rsidR="00B55D1E" w:rsidRPr="002E0607" w:rsidRDefault="00B55D1E" w:rsidP="00E22444">
            <w:pPr>
              <w:pStyle w:val="NoSpacing"/>
              <w:jc w:val="center"/>
              <w:rPr>
                <w:rFonts w:ascii="Times New Roman" w:hAnsi="Times New Roman" w:cs="Times New Roman"/>
                <w:b/>
                <w:bCs/>
                <w:sz w:val="22"/>
                <w:szCs w:val="22"/>
              </w:rPr>
            </w:pPr>
          </w:p>
        </w:tc>
        <w:tc>
          <w:tcPr>
            <w:tcW w:w="1592" w:type="dxa"/>
            <w:vMerge/>
            <w:vAlign w:val="center"/>
          </w:tcPr>
          <w:p w14:paraId="211053A9" w14:textId="77777777" w:rsidR="00B55D1E" w:rsidRPr="002E0607" w:rsidRDefault="00B55D1E" w:rsidP="00E22444">
            <w:pPr>
              <w:pStyle w:val="NoSpacing"/>
              <w:jc w:val="center"/>
              <w:rPr>
                <w:rFonts w:ascii="Times New Roman" w:hAnsi="Times New Roman" w:cs="Times New Roman"/>
                <w:b/>
                <w:bCs/>
                <w:sz w:val="22"/>
                <w:szCs w:val="22"/>
              </w:rPr>
            </w:pPr>
          </w:p>
        </w:tc>
        <w:tc>
          <w:tcPr>
            <w:tcW w:w="1282" w:type="dxa"/>
            <w:vAlign w:val="center"/>
          </w:tcPr>
          <w:p w14:paraId="0A662D33" w14:textId="3C068F75" w:rsidR="00B55D1E" w:rsidRPr="002E0607" w:rsidRDefault="00B55D1E" w:rsidP="00E22444">
            <w:pPr>
              <w:pStyle w:val="NoSpacing"/>
              <w:jc w:val="center"/>
              <w:rPr>
                <w:rFonts w:ascii="Times New Roman" w:hAnsi="Times New Roman" w:cs="Times New Roman"/>
                <w:b/>
                <w:bCs/>
                <w:sz w:val="22"/>
                <w:szCs w:val="22"/>
              </w:rPr>
            </w:pPr>
            <w:r w:rsidRPr="002E0607">
              <w:rPr>
                <w:rFonts w:ascii="Times New Roman" w:hAnsi="Times New Roman" w:cs="Times New Roman"/>
                <w:b/>
                <w:bCs/>
                <w:sz w:val="22"/>
                <w:szCs w:val="22"/>
              </w:rPr>
              <w:t>Railways per 100 Sq. Km.</w:t>
            </w:r>
          </w:p>
        </w:tc>
        <w:tc>
          <w:tcPr>
            <w:tcW w:w="1174" w:type="dxa"/>
            <w:vAlign w:val="center"/>
          </w:tcPr>
          <w:p w14:paraId="0CE0B6DA" w14:textId="62BA623B" w:rsidR="00B55D1E" w:rsidRPr="002E0607" w:rsidRDefault="00B55D1E" w:rsidP="00E22444">
            <w:pPr>
              <w:pStyle w:val="NoSpacing"/>
              <w:jc w:val="center"/>
              <w:rPr>
                <w:rFonts w:ascii="Times New Roman" w:hAnsi="Times New Roman" w:cs="Times New Roman"/>
                <w:b/>
                <w:bCs/>
                <w:sz w:val="22"/>
                <w:szCs w:val="22"/>
              </w:rPr>
            </w:pPr>
            <w:r w:rsidRPr="002E0607">
              <w:rPr>
                <w:rFonts w:ascii="Times New Roman" w:hAnsi="Times New Roman" w:cs="Times New Roman"/>
                <w:b/>
                <w:bCs/>
                <w:sz w:val="22"/>
                <w:szCs w:val="22"/>
              </w:rPr>
              <w:t>Surfaced road per 100 Sq. Km.</w:t>
            </w:r>
          </w:p>
        </w:tc>
        <w:tc>
          <w:tcPr>
            <w:tcW w:w="726" w:type="dxa"/>
            <w:vAlign w:val="center"/>
          </w:tcPr>
          <w:p w14:paraId="23D37AF3" w14:textId="77777777" w:rsidR="00B55D1E" w:rsidRPr="002E0607" w:rsidRDefault="00B55D1E" w:rsidP="00E22444">
            <w:pPr>
              <w:pStyle w:val="NoSpacing"/>
              <w:jc w:val="center"/>
              <w:rPr>
                <w:rFonts w:ascii="Times New Roman" w:hAnsi="Times New Roman" w:cs="Times New Roman"/>
                <w:b/>
                <w:bCs/>
                <w:sz w:val="22"/>
                <w:szCs w:val="22"/>
              </w:rPr>
            </w:pPr>
            <w:r w:rsidRPr="002E0607">
              <w:rPr>
                <w:rFonts w:ascii="Times New Roman" w:hAnsi="Times New Roman" w:cs="Times New Roman"/>
                <w:b/>
                <w:bCs/>
                <w:sz w:val="22"/>
                <w:szCs w:val="22"/>
              </w:rPr>
              <w:t>Total</w:t>
            </w:r>
          </w:p>
        </w:tc>
        <w:tc>
          <w:tcPr>
            <w:tcW w:w="1589" w:type="dxa"/>
            <w:vAlign w:val="center"/>
          </w:tcPr>
          <w:p w14:paraId="03208722" w14:textId="23574C66" w:rsidR="00B55D1E" w:rsidRPr="002E0607" w:rsidRDefault="00B55D1E" w:rsidP="00E22444">
            <w:pPr>
              <w:pStyle w:val="NoSpacing"/>
              <w:jc w:val="center"/>
              <w:rPr>
                <w:rFonts w:ascii="Times New Roman" w:hAnsi="Times New Roman" w:cs="Times New Roman"/>
                <w:b/>
                <w:bCs/>
                <w:sz w:val="22"/>
                <w:szCs w:val="22"/>
              </w:rPr>
            </w:pPr>
            <w:r w:rsidRPr="002E0607">
              <w:rPr>
                <w:rFonts w:ascii="Times New Roman" w:hAnsi="Times New Roman" w:cs="Times New Roman"/>
                <w:b/>
                <w:bCs/>
                <w:sz w:val="22"/>
                <w:szCs w:val="22"/>
              </w:rPr>
              <w:t>Estimated population of children (thousands)</w:t>
            </w:r>
          </w:p>
        </w:tc>
        <w:tc>
          <w:tcPr>
            <w:tcW w:w="1539" w:type="dxa"/>
            <w:vAlign w:val="center"/>
          </w:tcPr>
          <w:p w14:paraId="11ECE870" w14:textId="77777777" w:rsidR="00B55D1E" w:rsidRPr="002E0607" w:rsidRDefault="00B55D1E" w:rsidP="00E22444">
            <w:pPr>
              <w:pStyle w:val="NoSpacing"/>
              <w:jc w:val="center"/>
              <w:rPr>
                <w:rFonts w:ascii="Times New Roman" w:hAnsi="Times New Roman" w:cs="Times New Roman"/>
                <w:b/>
                <w:bCs/>
                <w:sz w:val="22"/>
                <w:szCs w:val="22"/>
              </w:rPr>
            </w:pPr>
            <w:r w:rsidRPr="002E0607">
              <w:rPr>
                <w:rFonts w:ascii="Times New Roman" w:hAnsi="Times New Roman" w:cs="Times New Roman"/>
                <w:b/>
                <w:bCs/>
                <w:sz w:val="22"/>
                <w:szCs w:val="22"/>
              </w:rPr>
              <w:t>Enrolment of children in classes I to V</w:t>
            </w:r>
          </w:p>
          <w:p w14:paraId="489DD64C" w14:textId="054B8933" w:rsidR="00B55D1E" w:rsidRPr="002E0607" w:rsidRDefault="00B55D1E" w:rsidP="00E22444">
            <w:pPr>
              <w:pStyle w:val="NoSpacing"/>
              <w:jc w:val="center"/>
              <w:rPr>
                <w:rFonts w:ascii="Times New Roman" w:hAnsi="Times New Roman" w:cs="Times New Roman"/>
                <w:b/>
                <w:bCs/>
                <w:sz w:val="22"/>
                <w:szCs w:val="22"/>
              </w:rPr>
            </w:pPr>
            <w:r w:rsidRPr="002E0607">
              <w:rPr>
                <w:rFonts w:ascii="Times New Roman" w:hAnsi="Times New Roman" w:cs="Times New Roman"/>
                <w:b/>
                <w:bCs/>
                <w:sz w:val="22"/>
                <w:szCs w:val="22"/>
              </w:rPr>
              <w:t>(thousands)</w:t>
            </w:r>
          </w:p>
        </w:tc>
      </w:tr>
      <w:tr w:rsidR="002E0607" w:rsidRPr="002E0607" w14:paraId="6AB15AFB" w14:textId="77777777" w:rsidTr="002E0607">
        <w:trPr>
          <w:trHeight w:val="346"/>
          <w:jc w:val="center"/>
        </w:trPr>
        <w:tc>
          <w:tcPr>
            <w:tcW w:w="1286" w:type="dxa"/>
            <w:vAlign w:val="center"/>
            <w:hideMark/>
          </w:tcPr>
          <w:p w14:paraId="42DF25B0" w14:textId="77777777" w:rsidR="002E0607" w:rsidRPr="002E0607" w:rsidRDefault="002E0607" w:rsidP="002E0607">
            <w:pPr>
              <w:pStyle w:val="NoSpacing"/>
              <w:jc w:val="center"/>
              <w:rPr>
                <w:rFonts w:ascii="Times New Roman" w:hAnsi="Times New Roman" w:cs="Times New Roman"/>
                <w:b/>
                <w:bCs/>
                <w:sz w:val="22"/>
                <w:szCs w:val="22"/>
              </w:rPr>
            </w:pPr>
          </w:p>
        </w:tc>
        <w:tc>
          <w:tcPr>
            <w:tcW w:w="1448" w:type="dxa"/>
            <w:vAlign w:val="center"/>
            <w:hideMark/>
          </w:tcPr>
          <w:p w14:paraId="05B5ADED" w14:textId="7697D824" w:rsidR="002E0607" w:rsidRPr="002E0607" w:rsidRDefault="002E0607" w:rsidP="002E0607">
            <w:pPr>
              <w:pStyle w:val="NoSpacing"/>
              <w:jc w:val="center"/>
              <w:rPr>
                <w:rFonts w:ascii="Times New Roman" w:hAnsi="Times New Roman" w:cs="Times New Roman"/>
                <w:sz w:val="22"/>
                <w:szCs w:val="22"/>
              </w:rPr>
            </w:pPr>
            <w:r w:rsidRPr="002E0607">
              <w:rPr>
                <w:rFonts w:ascii="Times New Roman" w:hAnsi="Times New Roman" w:cs="Times New Roman"/>
                <w:b/>
                <w:bCs/>
                <w:sz w:val="22"/>
                <w:szCs w:val="22"/>
              </w:rPr>
              <w:t>1</w:t>
            </w:r>
          </w:p>
        </w:tc>
        <w:tc>
          <w:tcPr>
            <w:tcW w:w="1327" w:type="dxa"/>
            <w:vAlign w:val="center"/>
            <w:hideMark/>
          </w:tcPr>
          <w:p w14:paraId="25DE2089" w14:textId="0C4F5B14" w:rsidR="002E0607" w:rsidRPr="002E0607" w:rsidRDefault="002E0607" w:rsidP="002E0607">
            <w:pPr>
              <w:pStyle w:val="NoSpacing"/>
              <w:jc w:val="center"/>
              <w:rPr>
                <w:rFonts w:ascii="Times New Roman" w:hAnsi="Times New Roman" w:cs="Times New Roman"/>
                <w:sz w:val="22"/>
                <w:szCs w:val="22"/>
              </w:rPr>
            </w:pPr>
            <w:r w:rsidRPr="002E0607">
              <w:rPr>
                <w:rFonts w:ascii="Times New Roman" w:hAnsi="Times New Roman" w:cs="Times New Roman"/>
                <w:b/>
                <w:bCs/>
                <w:sz w:val="22"/>
                <w:szCs w:val="22"/>
              </w:rPr>
              <w:t>2</w:t>
            </w:r>
          </w:p>
        </w:tc>
        <w:tc>
          <w:tcPr>
            <w:tcW w:w="2294" w:type="dxa"/>
            <w:vAlign w:val="center"/>
            <w:hideMark/>
          </w:tcPr>
          <w:p w14:paraId="5592ED87" w14:textId="69CF074E" w:rsidR="002E0607" w:rsidRPr="002E0607" w:rsidRDefault="002E0607" w:rsidP="002E0607">
            <w:pPr>
              <w:pStyle w:val="NoSpacing"/>
              <w:jc w:val="center"/>
              <w:rPr>
                <w:rFonts w:ascii="Times New Roman" w:hAnsi="Times New Roman" w:cs="Times New Roman"/>
                <w:sz w:val="22"/>
                <w:szCs w:val="22"/>
              </w:rPr>
            </w:pPr>
            <w:r w:rsidRPr="002E0607">
              <w:rPr>
                <w:rFonts w:ascii="Times New Roman" w:hAnsi="Times New Roman" w:cs="Times New Roman"/>
                <w:b/>
                <w:bCs/>
                <w:sz w:val="22"/>
                <w:szCs w:val="22"/>
              </w:rPr>
              <w:t>3</w:t>
            </w:r>
          </w:p>
        </w:tc>
        <w:tc>
          <w:tcPr>
            <w:tcW w:w="1592" w:type="dxa"/>
            <w:vAlign w:val="center"/>
            <w:hideMark/>
          </w:tcPr>
          <w:p w14:paraId="00AF3202" w14:textId="400564EB" w:rsidR="002E0607" w:rsidRPr="002E0607" w:rsidRDefault="002E0607" w:rsidP="002E0607">
            <w:pPr>
              <w:pStyle w:val="NoSpacing"/>
              <w:jc w:val="center"/>
              <w:rPr>
                <w:rFonts w:ascii="Times New Roman" w:hAnsi="Times New Roman" w:cs="Times New Roman"/>
                <w:sz w:val="22"/>
                <w:szCs w:val="22"/>
              </w:rPr>
            </w:pPr>
            <w:r w:rsidRPr="002E0607">
              <w:rPr>
                <w:rFonts w:ascii="Times New Roman" w:hAnsi="Times New Roman" w:cs="Times New Roman"/>
                <w:b/>
                <w:bCs/>
                <w:sz w:val="22"/>
                <w:szCs w:val="22"/>
              </w:rPr>
              <w:t>4</w:t>
            </w:r>
          </w:p>
        </w:tc>
        <w:tc>
          <w:tcPr>
            <w:tcW w:w="1282" w:type="dxa"/>
            <w:vAlign w:val="center"/>
            <w:hideMark/>
          </w:tcPr>
          <w:p w14:paraId="5C1E21A9" w14:textId="7B2EA29E" w:rsidR="002E0607" w:rsidRPr="002E0607" w:rsidRDefault="002E0607" w:rsidP="002E0607">
            <w:pPr>
              <w:pStyle w:val="NoSpacing"/>
              <w:jc w:val="center"/>
              <w:rPr>
                <w:rFonts w:ascii="Times New Roman" w:hAnsi="Times New Roman" w:cs="Times New Roman"/>
                <w:sz w:val="22"/>
                <w:szCs w:val="22"/>
              </w:rPr>
            </w:pPr>
            <w:r w:rsidRPr="002E0607">
              <w:rPr>
                <w:rFonts w:ascii="Times New Roman" w:hAnsi="Times New Roman" w:cs="Times New Roman"/>
                <w:b/>
                <w:bCs/>
                <w:sz w:val="22"/>
                <w:szCs w:val="22"/>
              </w:rPr>
              <w:t>5</w:t>
            </w:r>
          </w:p>
        </w:tc>
        <w:tc>
          <w:tcPr>
            <w:tcW w:w="1174" w:type="dxa"/>
            <w:vAlign w:val="center"/>
            <w:hideMark/>
          </w:tcPr>
          <w:p w14:paraId="0AFE2D4F" w14:textId="6E41BAC2" w:rsidR="002E0607" w:rsidRPr="002E0607" w:rsidRDefault="002E0607" w:rsidP="002E0607">
            <w:pPr>
              <w:pStyle w:val="NoSpacing"/>
              <w:jc w:val="center"/>
              <w:rPr>
                <w:rFonts w:ascii="Times New Roman" w:hAnsi="Times New Roman" w:cs="Times New Roman"/>
                <w:sz w:val="22"/>
                <w:szCs w:val="22"/>
              </w:rPr>
            </w:pPr>
            <w:r w:rsidRPr="002E0607">
              <w:rPr>
                <w:rFonts w:ascii="Times New Roman" w:hAnsi="Times New Roman" w:cs="Times New Roman"/>
                <w:b/>
                <w:bCs/>
                <w:sz w:val="22"/>
                <w:szCs w:val="22"/>
              </w:rPr>
              <w:t>6</w:t>
            </w:r>
          </w:p>
        </w:tc>
        <w:tc>
          <w:tcPr>
            <w:tcW w:w="726" w:type="dxa"/>
            <w:vAlign w:val="center"/>
            <w:hideMark/>
          </w:tcPr>
          <w:p w14:paraId="541CF7A1" w14:textId="15142407" w:rsidR="002E0607" w:rsidRPr="002E0607" w:rsidRDefault="002E0607" w:rsidP="002E0607">
            <w:pPr>
              <w:pStyle w:val="NoSpacing"/>
              <w:jc w:val="center"/>
              <w:rPr>
                <w:rFonts w:ascii="Times New Roman" w:hAnsi="Times New Roman" w:cs="Times New Roman"/>
                <w:sz w:val="22"/>
                <w:szCs w:val="22"/>
              </w:rPr>
            </w:pPr>
            <w:r w:rsidRPr="002E0607">
              <w:rPr>
                <w:rFonts w:ascii="Times New Roman" w:hAnsi="Times New Roman" w:cs="Times New Roman"/>
                <w:b/>
                <w:bCs/>
                <w:sz w:val="22"/>
                <w:szCs w:val="22"/>
              </w:rPr>
              <w:t>7</w:t>
            </w:r>
          </w:p>
        </w:tc>
        <w:tc>
          <w:tcPr>
            <w:tcW w:w="1589" w:type="dxa"/>
            <w:vAlign w:val="center"/>
            <w:hideMark/>
          </w:tcPr>
          <w:p w14:paraId="7654C3B6" w14:textId="43B6958B" w:rsidR="002E0607" w:rsidRPr="002E0607" w:rsidRDefault="002E0607" w:rsidP="002E0607">
            <w:pPr>
              <w:pStyle w:val="NoSpacing"/>
              <w:jc w:val="center"/>
              <w:rPr>
                <w:rFonts w:ascii="Times New Roman" w:hAnsi="Times New Roman" w:cs="Times New Roman"/>
                <w:sz w:val="22"/>
                <w:szCs w:val="22"/>
              </w:rPr>
            </w:pPr>
            <w:r w:rsidRPr="002E0607">
              <w:rPr>
                <w:rFonts w:ascii="Times New Roman" w:hAnsi="Times New Roman" w:cs="Times New Roman"/>
                <w:b/>
                <w:bCs/>
                <w:sz w:val="22"/>
                <w:szCs w:val="22"/>
              </w:rPr>
              <w:t>8</w:t>
            </w:r>
          </w:p>
        </w:tc>
        <w:tc>
          <w:tcPr>
            <w:tcW w:w="1539" w:type="dxa"/>
            <w:vAlign w:val="center"/>
            <w:hideMark/>
          </w:tcPr>
          <w:p w14:paraId="2CE5105C" w14:textId="1A23A9C9" w:rsidR="002E0607" w:rsidRPr="002E0607" w:rsidRDefault="002E0607" w:rsidP="002E0607">
            <w:pPr>
              <w:pStyle w:val="NoSpacing"/>
              <w:jc w:val="center"/>
              <w:rPr>
                <w:rFonts w:ascii="Times New Roman" w:hAnsi="Times New Roman" w:cs="Times New Roman"/>
                <w:sz w:val="22"/>
                <w:szCs w:val="22"/>
              </w:rPr>
            </w:pPr>
            <w:r w:rsidRPr="002E0607">
              <w:rPr>
                <w:rFonts w:ascii="Times New Roman" w:hAnsi="Times New Roman" w:cs="Times New Roman"/>
                <w:b/>
                <w:bCs/>
                <w:sz w:val="22"/>
                <w:szCs w:val="22"/>
              </w:rPr>
              <w:t>9</w:t>
            </w:r>
          </w:p>
        </w:tc>
      </w:tr>
      <w:tr w:rsidR="00B55D1E" w:rsidRPr="002E0607" w14:paraId="4DA45A3D" w14:textId="77777777" w:rsidTr="002E0607">
        <w:trPr>
          <w:trHeight w:val="367"/>
          <w:jc w:val="center"/>
        </w:trPr>
        <w:tc>
          <w:tcPr>
            <w:tcW w:w="1286" w:type="dxa"/>
            <w:vAlign w:val="center"/>
            <w:hideMark/>
          </w:tcPr>
          <w:p w14:paraId="30FC4CEA" w14:textId="77777777" w:rsidR="00B55D1E" w:rsidRPr="002E0607" w:rsidRDefault="00B55D1E" w:rsidP="002E0607">
            <w:pPr>
              <w:pStyle w:val="NoSpacing"/>
              <w:rPr>
                <w:rFonts w:ascii="Times New Roman" w:hAnsi="Times New Roman" w:cs="Times New Roman"/>
                <w:sz w:val="22"/>
                <w:szCs w:val="22"/>
              </w:rPr>
            </w:pPr>
            <w:r w:rsidRPr="002E0607">
              <w:rPr>
                <w:rFonts w:ascii="Times New Roman" w:hAnsi="Times New Roman" w:cs="Times New Roman"/>
                <w:sz w:val="22"/>
                <w:szCs w:val="22"/>
              </w:rPr>
              <w:t>Orissa</w:t>
            </w:r>
          </w:p>
        </w:tc>
        <w:tc>
          <w:tcPr>
            <w:tcW w:w="1448" w:type="dxa"/>
            <w:vAlign w:val="center"/>
            <w:hideMark/>
          </w:tcPr>
          <w:p w14:paraId="5A1F7EE7" w14:textId="77777777" w:rsidR="00B55D1E" w:rsidRPr="002E0607" w:rsidRDefault="00B55D1E" w:rsidP="002E0607">
            <w:pPr>
              <w:pStyle w:val="NoSpacing"/>
              <w:jc w:val="center"/>
              <w:rPr>
                <w:rFonts w:ascii="Times New Roman" w:hAnsi="Times New Roman" w:cs="Times New Roman"/>
                <w:sz w:val="22"/>
                <w:szCs w:val="22"/>
              </w:rPr>
            </w:pPr>
            <w:r w:rsidRPr="002E0607">
              <w:rPr>
                <w:rFonts w:ascii="Times New Roman" w:hAnsi="Times New Roman" w:cs="Times New Roman"/>
                <w:sz w:val="22"/>
                <w:szCs w:val="22"/>
              </w:rPr>
              <w:t>345</w:t>
            </w:r>
          </w:p>
        </w:tc>
        <w:tc>
          <w:tcPr>
            <w:tcW w:w="1327" w:type="dxa"/>
            <w:vAlign w:val="center"/>
            <w:hideMark/>
          </w:tcPr>
          <w:p w14:paraId="05545237" w14:textId="77777777" w:rsidR="00B55D1E" w:rsidRPr="002E0607" w:rsidRDefault="00B55D1E" w:rsidP="002E0607">
            <w:pPr>
              <w:pStyle w:val="NoSpacing"/>
              <w:jc w:val="center"/>
              <w:rPr>
                <w:rFonts w:ascii="Times New Roman" w:hAnsi="Times New Roman" w:cs="Times New Roman"/>
                <w:sz w:val="22"/>
                <w:szCs w:val="22"/>
              </w:rPr>
            </w:pPr>
            <w:r w:rsidRPr="002E0607">
              <w:rPr>
                <w:rFonts w:ascii="Times New Roman" w:hAnsi="Times New Roman" w:cs="Times New Roman"/>
                <w:sz w:val="22"/>
                <w:szCs w:val="22"/>
              </w:rPr>
              <w:t>0.224</w:t>
            </w:r>
          </w:p>
        </w:tc>
        <w:tc>
          <w:tcPr>
            <w:tcW w:w="2294" w:type="dxa"/>
            <w:vAlign w:val="center"/>
            <w:hideMark/>
          </w:tcPr>
          <w:p w14:paraId="0EE2C9D9" w14:textId="77777777" w:rsidR="00B55D1E" w:rsidRPr="002E0607" w:rsidRDefault="00B55D1E" w:rsidP="002E0607">
            <w:pPr>
              <w:pStyle w:val="NoSpacing"/>
              <w:jc w:val="center"/>
              <w:rPr>
                <w:rFonts w:ascii="Times New Roman" w:hAnsi="Times New Roman" w:cs="Times New Roman"/>
                <w:sz w:val="22"/>
                <w:szCs w:val="22"/>
              </w:rPr>
            </w:pPr>
            <w:r w:rsidRPr="002E0607">
              <w:rPr>
                <w:rFonts w:ascii="Times New Roman" w:hAnsi="Times New Roman" w:cs="Times New Roman"/>
                <w:sz w:val="22"/>
                <w:szCs w:val="22"/>
              </w:rPr>
              <w:t>0.362</w:t>
            </w:r>
          </w:p>
        </w:tc>
        <w:tc>
          <w:tcPr>
            <w:tcW w:w="1592" w:type="dxa"/>
            <w:vAlign w:val="center"/>
            <w:hideMark/>
          </w:tcPr>
          <w:p w14:paraId="2D663059" w14:textId="77777777" w:rsidR="00B55D1E" w:rsidRPr="002E0607" w:rsidRDefault="00B55D1E" w:rsidP="002E0607">
            <w:pPr>
              <w:pStyle w:val="NoSpacing"/>
              <w:jc w:val="center"/>
              <w:rPr>
                <w:rFonts w:ascii="Times New Roman" w:hAnsi="Times New Roman" w:cs="Times New Roman"/>
                <w:sz w:val="22"/>
                <w:szCs w:val="22"/>
              </w:rPr>
            </w:pPr>
            <w:r w:rsidRPr="002E0607">
              <w:rPr>
                <w:rFonts w:ascii="Times New Roman" w:hAnsi="Times New Roman" w:cs="Times New Roman"/>
                <w:sz w:val="22"/>
                <w:szCs w:val="22"/>
              </w:rPr>
              <w:t>42.24</w:t>
            </w:r>
          </w:p>
        </w:tc>
        <w:tc>
          <w:tcPr>
            <w:tcW w:w="1282" w:type="dxa"/>
            <w:vAlign w:val="center"/>
            <w:hideMark/>
          </w:tcPr>
          <w:p w14:paraId="445987BF" w14:textId="77777777" w:rsidR="00B55D1E" w:rsidRPr="002E0607" w:rsidRDefault="00B55D1E" w:rsidP="002E0607">
            <w:pPr>
              <w:pStyle w:val="NoSpacing"/>
              <w:jc w:val="center"/>
              <w:rPr>
                <w:rFonts w:ascii="Times New Roman" w:hAnsi="Times New Roman" w:cs="Times New Roman"/>
                <w:sz w:val="22"/>
                <w:szCs w:val="22"/>
              </w:rPr>
            </w:pPr>
            <w:r w:rsidRPr="002E0607">
              <w:rPr>
                <w:rFonts w:ascii="Times New Roman" w:hAnsi="Times New Roman" w:cs="Times New Roman"/>
                <w:sz w:val="22"/>
                <w:szCs w:val="22"/>
              </w:rPr>
              <w:t>11</w:t>
            </w:r>
          </w:p>
        </w:tc>
        <w:tc>
          <w:tcPr>
            <w:tcW w:w="1174" w:type="dxa"/>
            <w:vAlign w:val="center"/>
            <w:hideMark/>
          </w:tcPr>
          <w:p w14:paraId="39B973D1" w14:textId="77777777" w:rsidR="00B55D1E" w:rsidRPr="002E0607" w:rsidRDefault="00B55D1E" w:rsidP="002E0607">
            <w:pPr>
              <w:pStyle w:val="NoSpacing"/>
              <w:jc w:val="center"/>
              <w:rPr>
                <w:rFonts w:ascii="Times New Roman" w:hAnsi="Times New Roman" w:cs="Times New Roman"/>
                <w:sz w:val="22"/>
                <w:szCs w:val="22"/>
              </w:rPr>
            </w:pPr>
            <w:r w:rsidRPr="002E0607">
              <w:rPr>
                <w:rFonts w:ascii="Times New Roman" w:hAnsi="Times New Roman" w:cs="Times New Roman"/>
                <w:sz w:val="22"/>
                <w:szCs w:val="22"/>
              </w:rPr>
              <w:t>6</w:t>
            </w:r>
          </w:p>
        </w:tc>
        <w:tc>
          <w:tcPr>
            <w:tcW w:w="726" w:type="dxa"/>
            <w:vAlign w:val="center"/>
            <w:hideMark/>
          </w:tcPr>
          <w:p w14:paraId="1A9CF311" w14:textId="77777777" w:rsidR="00B55D1E" w:rsidRPr="002E0607" w:rsidRDefault="00B55D1E" w:rsidP="002E0607">
            <w:pPr>
              <w:pStyle w:val="NoSpacing"/>
              <w:jc w:val="center"/>
              <w:rPr>
                <w:rFonts w:ascii="Times New Roman" w:hAnsi="Times New Roman" w:cs="Times New Roman"/>
                <w:sz w:val="22"/>
                <w:szCs w:val="22"/>
              </w:rPr>
            </w:pPr>
            <w:r w:rsidRPr="002E0607">
              <w:rPr>
                <w:rFonts w:ascii="Times New Roman" w:hAnsi="Times New Roman" w:cs="Times New Roman"/>
                <w:sz w:val="22"/>
                <w:szCs w:val="22"/>
              </w:rPr>
              <w:t>17</w:t>
            </w:r>
          </w:p>
        </w:tc>
        <w:tc>
          <w:tcPr>
            <w:tcW w:w="1589" w:type="dxa"/>
            <w:vAlign w:val="center"/>
            <w:hideMark/>
          </w:tcPr>
          <w:p w14:paraId="12259A5C" w14:textId="77777777" w:rsidR="00B55D1E" w:rsidRPr="002E0607" w:rsidRDefault="00B55D1E" w:rsidP="002E0607">
            <w:pPr>
              <w:pStyle w:val="NoSpacing"/>
              <w:jc w:val="center"/>
              <w:rPr>
                <w:rFonts w:ascii="Times New Roman" w:hAnsi="Times New Roman" w:cs="Times New Roman"/>
                <w:sz w:val="22"/>
                <w:szCs w:val="22"/>
              </w:rPr>
            </w:pPr>
            <w:r w:rsidRPr="002E0607">
              <w:rPr>
                <w:rFonts w:ascii="Times New Roman" w:hAnsi="Times New Roman" w:cs="Times New Roman"/>
                <w:sz w:val="22"/>
                <w:szCs w:val="22"/>
              </w:rPr>
              <w:t>2658</w:t>
            </w:r>
          </w:p>
        </w:tc>
        <w:tc>
          <w:tcPr>
            <w:tcW w:w="1539" w:type="dxa"/>
            <w:vAlign w:val="center"/>
            <w:hideMark/>
          </w:tcPr>
          <w:p w14:paraId="479F8454" w14:textId="77777777" w:rsidR="00B55D1E" w:rsidRPr="002E0607" w:rsidRDefault="00B55D1E" w:rsidP="002E0607">
            <w:pPr>
              <w:pStyle w:val="NoSpacing"/>
              <w:jc w:val="center"/>
              <w:rPr>
                <w:rFonts w:ascii="Times New Roman" w:hAnsi="Times New Roman" w:cs="Times New Roman"/>
                <w:sz w:val="22"/>
                <w:szCs w:val="22"/>
              </w:rPr>
            </w:pPr>
            <w:r w:rsidRPr="002E0607">
              <w:rPr>
                <w:rFonts w:ascii="Times New Roman" w:hAnsi="Times New Roman" w:cs="Times New Roman"/>
                <w:sz w:val="22"/>
                <w:szCs w:val="22"/>
              </w:rPr>
              <w:t>1925</w:t>
            </w:r>
          </w:p>
        </w:tc>
      </w:tr>
      <w:tr w:rsidR="00B55D1E" w:rsidRPr="002E0607" w14:paraId="35D8C3AC" w14:textId="77777777" w:rsidTr="002E0607">
        <w:trPr>
          <w:trHeight w:val="346"/>
          <w:jc w:val="center"/>
        </w:trPr>
        <w:tc>
          <w:tcPr>
            <w:tcW w:w="1286" w:type="dxa"/>
            <w:vAlign w:val="center"/>
            <w:hideMark/>
          </w:tcPr>
          <w:p w14:paraId="3526BA31" w14:textId="77777777" w:rsidR="00B55D1E" w:rsidRPr="002E0607" w:rsidRDefault="00B55D1E" w:rsidP="002E0607">
            <w:pPr>
              <w:pStyle w:val="NoSpacing"/>
              <w:rPr>
                <w:rFonts w:ascii="Times New Roman" w:hAnsi="Times New Roman" w:cs="Times New Roman"/>
                <w:sz w:val="22"/>
                <w:szCs w:val="22"/>
              </w:rPr>
            </w:pPr>
            <w:r w:rsidRPr="002E0607">
              <w:rPr>
                <w:rFonts w:ascii="Times New Roman" w:hAnsi="Times New Roman" w:cs="Times New Roman"/>
                <w:sz w:val="22"/>
                <w:szCs w:val="22"/>
              </w:rPr>
              <w:t>Punjab</w:t>
            </w:r>
          </w:p>
        </w:tc>
        <w:tc>
          <w:tcPr>
            <w:tcW w:w="1448" w:type="dxa"/>
            <w:vAlign w:val="center"/>
            <w:hideMark/>
          </w:tcPr>
          <w:p w14:paraId="29C1B016" w14:textId="77777777" w:rsidR="00B55D1E" w:rsidRPr="002E0607" w:rsidRDefault="00B55D1E" w:rsidP="002E0607">
            <w:pPr>
              <w:pStyle w:val="NoSpacing"/>
              <w:jc w:val="center"/>
              <w:rPr>
                <w:rFonts w:ascii="Times New Roman" w:hAnsi="Times New Roman" w:cs="Times New Roman"/>
                <w:sz w:val="22"/>
                <w:szCs w:val="22"/>
              </w:rPr>
            </w:pPr>
            <w:r w:rsidRPr="002E0607">
              <w:rPr>
                <w:rFonts w:ascii="Times New Roman" w:hAnsi="Times New Roman" w:cs="Times New Roman"/>
                <w:sz w:val="22"/>
                <w:szCs w:val="22"/>
              </w:rPr>
              <w:t>794</w:t>
            </w:r>
          </w:p>
        </w:tc>
        <w:tc>
          <w:tcPr>
            <w:tcW w:w="1327" w:type="dxa"/>
            <w:vAlign w:val="center"/>
            <w:hideMark/>
          </w:tcPr>
          <w:p w14:paraId="068CFE02" w14:textId="77777777" w:rsidR="00B55D1E" w:rsidRPr="002E0607" w:rsidRDefault="00B55D1E" w:rsidP="002E0607">
            <w:pPr>
              <w:pStyle w:val="NoSpacing"/>
              <w:jc w:val="center"/>
              <w:rPr>
                <w:rFonts w:ascii="Times New Roman" w:hAnsi="Times New Roman" w:cs="Times New Roman"/>
                <w:sz w:val="22"/>
                <w:szCs w:val="22"/>
              </w:rPr>
            </w:pPr>
            <w:r w:rsidRPr="002E0607">
              <w:rPr>
                <w:rFonts w:ascii="Times New Roman" w:hAnsi="Times New Roman" w:cs="Times New Roman"/>
                <w:sz w:val="22"/>
                <w:szCs w:val="22"/>
              </w:rPr>
              <w:t>1.412</w:t>
            </w:r>
          </w:p>
        </w:tc>
        <w:tc>
          <w:tcPr>
            <w:tcW w:w="2294" w:type="dxa"/>
            <w:vAlign w:val="center"/>
            <w:hideMark/>
          </w:tcPr>
          <w:p w14:paraId="69F9472D" w14:textId="77777777" w:rsidR="00B55D1E" w:rsidRPr="002E0607" w:rsidRDefault="00B55D1E" w:rsidP="002E0607">
            <w:pPr>
              <w:pStyle w:val="NoSpacing"/>
              <w:jc w:val="center"/>
              <w:rPr>
                <w:rFonts w:ascii="Times New Roman" w:hAnsi="Times New Roman" w:cs="Times New Roman"/>
                <w:sz w:val="22"/>
                <w:szCs w:val="22"/>
              </w:rPr>
            </w:pPr>
            <w:r w:rsidRPr="002E0607">
              <w:rPr>
                <w:rFonts w:ascii="Times New Roman" w:hAnsi="Times New Roman" w:cs="Times New Roman"/>
                <w:sz w:val="22"/>
                <w:szCs w:val="22"/>
              </w:rPr>
              <w:t>0.655</w:t>
            </w:r>
          </w:p>
        </w:tc>
        <w:tc>
          <w:tcPr>
            <w:tcW w:w="1592" w:type="dxa"/>
            <w:vAlign w:val="center"/>
            <w:hideMark/>
          </w:tcPr>
          <w:p w14:paraId="1B2C68E2" w14:textId="77777777" w:rsidR="00B55D1E" w:rsidRPr="002E0607" w:rsidRDefault="00B55D1E" w:rsidP="002E0607">
            <w:pPr>
              <w:pStyle w:val="NoSpacing"/>
              <w:jc w:val="center"/>
              <w:rPr>
                <w:rFonts w:ascii="Times New Roman" w:hAnsi="Times New Roman" w:cs="Times New Roman"/>
                <w:sz w:val="22"/>
                <w:szCs w:val="22"/>
              </w:rPr>
            </w:pPr>
            <w:r w:rsidRPr="002E0607">
              <w:rPr>
                <w:rFonts w:ascii="Times New Roman" w:hAnsi="Times New Roman" w:cs="Times New Roman"/>
                <w:sz w:val="22"/>
                <w:szCs w:val="22"/>
              </w:rPr>
              <w:t>..</w:t>
            </w:r>
          </w:p>
        </w:tc>
        <w:tc>
          <w:tcPr>
            <w:tcW w:w="1282" w:type="dxa"/>
            <w:vAlign w:val="center"/>
            <w:hideMark/>
          </w:tcPr>
          <w:p w14:paraId="11C07049" w14:textId="77777777" w:rsidR="00B55D1E" w:rsidRPr="002E0607" w:rsidRDefault="00B55D1E" w:rsidP="002E0607">
            <w:pPr>
              <w:pStyle w:val="NoSpacing"/>
              <w:jc w:val="center"/>
              <w:rPr>
                <w:rFonts w:ascii="Times New Roman" w:hAnsi="Times New Roman" w:cs="Times New Roman"/>
                <w:sz w:val="22"/>
                <w:szCs w:val="22"/>
              </w:rPr>
            </w:pPr>
            <w:r w:rsidRPr="002E0607">
              <w:rPr>
                <w:rFonts w:ascii="Times New Roman" w:hAnsi="Times New Roman" w:cs="Times New Roman"/>
                <w:sz w:val="22"/>
                <w:szCs w:val="22"/>
              </w:rPr>
              <w:t>42</w:t>
            </w:r>
          </w:p>
        </w:tc>
        <w:tc>
          <w:tcPr>
            <w:tcW w:w="1174" w:type="dxa"/>
            <w:vAlign w:val="center"/>
            <w:hideMark/>
          </w:tcPr>
          <w:p w14:paraId="1EA04D41" w14:textId="77777777" w:rsidR="00B55D1E" w:rsidRPr="002E0607" w:rsidRDefault="00B55D1E" w:rsidP="002E0607">
            <w:pPr>
              <w:pStyle w:val="NoSpacing"/>
              <w:jc w:val="center"/>
              <w:rPr>
                <w:rFonts w:ascii="Times New Roman" w:hAnsi="Times New Roman" w:cs="Times New Roman"/>
                <w:sz w:val="22"/>
                <w:szCs w:val="22"/>
              </w:rPr>
            </w:pPr>
            <w:r w:rsidRPr="002E0607">
              <w:rPr>
                <w:rFonts w:ascii="Times New Roman" w:hAnsi="Times New Roman" w:cs="Times New Roman"/>
                <w:sz w:val="22"/>
                <w:szCs w:val="22"/>
              </w:rPr>
              <w:t>12</w:t>
            </w:r>
          </w:p>
        </w:tc>
        <w:tc>
          <w:tcPr>
            <w:tcW w:w="726" w:type="dxa"/>
            <w:vAlign w:val="center"/>
            <w:hideMark/>
          </w:tcPr>
          <w:p w14:paraId="06C07AF4" w14:textId="77777777" w:rsidR="00B55D1E" w:rsidRPr="002E0607" w:rsidRDefault="00B55D1E" w:rsidP="002E0607">
            <w:pPr>
              <w:pStyle w:val="NoSpacing"/>
              <w:jc w:val="center"/>
              <w:rPr>
                <w:rFonts w:ascii="Times New Roman" w:hAnsi="Times New Roman" w:cs="Times New Roman"/>
                <w:sz w:val="22"/>
                <w:szCs w:val="22"/>
              </w:rPr>
            </w:pPr>
            <w:r w:rsidRPr="002E0607">
              <w:rPr>
                <w:rFonts w:ascii="Times New Roman" w:hAnsi="Times New Roman" w:cs="Times New Roman"/>
                <w:sz w:val="22"/>
                <w:szCs w:val="22"/>
              </w:rPr>
              <w:t>54</w:t>
            </w:r>
          </w:p>
        </w:tc>
        <w:tc>
          <w:tcPr>
            <w:tcW w:w="1589" w:type="dxa"/>
            <w:vAlign w:val="center"/>
            <w:hideMark/>
          </w:tcPr>
          <w:p w14:paraId="213988EE" w14:textId="77777777" w:rsidR="00B55D1E" w:rsidRPr="002E0607" w:rsidRDefault="00B55D1E" w:rsidP="002E0607">
            <w:pPr>
              <w:pStyle w:val="NoSpacing"/>
              <w:jc w:val="center"/>
              <w:rPr>
                <w:rFonts w:ascii="Times New Roman" w:hAnsi="Times New Roman" w:cs="Times New Roman"/>
                <w:sz w:val="22"/>
                <w:szCs w:val="22"/>
              </w:rPr>
            </w:pPr>
            <w:r w:rsidRPr="002E0607">
              <w:rPr>
                <w:rFonts w:ascii="Times New Roman" w:hAnsi="Times New Roman" w:cs="Times New Roman"/>
                <w:sz w:val="22"/>
                <w:szCs w:val="22"/>
              </w:rPr>
              <w:t>2095</w:t>
            </w:r>
          </w:p>
        </w:tc>
        <w:tc>
          <w:tcPr>
            <w:tcW w:w="1539" w:type="dxa"/>
            <w:vAlign w:val="center"/>
            <w:hideMark/>
          </w:tcPr>
          <w:p w14:paraId="3746E555" w14:textId="77777777" w:rsidR="00B55D1E" w:rsidRPr="002E0607" w:rsidRDefault="00B55D1E" w:rsidP="002E0607">
            <w:pPr>
              <w:pStyle w:val="NoSpacing"/>
              <w:jc w:val="center"/>
              <w:rPr>
                <w:rFonts w:ascii="Times New Roman" w:hAnsi="Times New Roman" w:cs="Times New Roman"/>
                <w:sz w:val="22"/>
                <w:szCs w:val="22"/>
              </w:rPr>
            </w:pPr>
            <w:r w:rsidRPr="002E0607">
              <w:rPr>
                <w:rFonts w:ascii="Times New Roman" w:hAnsi="Times New Roman" w:cs="Times New Roman"/>
                <w:sz w:val="22"/>
                <w:szCs w:val="22"/>
              </w:rPr>
              <w:t>1333</w:t>
            </w:r>
          </w:p>
        </w:tc>
      </w:tr>
      <w:tr w:rsidR="00B55D1E" w:rsidRPr="002E0607" w14:paraId="10461179" w14:textId="77777777" w:rsidTr="002E0607">
        <w:trPr>
          <w:trHeight w:val="367"/>
          <w:jc w:val="center"/>
        </w:trPr>
        <w:tc>
          <w:tcPr>
            <w:tcW w:w="1286" w:type="dxa"/>
            <w:vAlign w:val="center"/>
            <w:hideMark/>
          </w:tcPr>
          <w:p w14:paraId="57D77680" w14:textId="77777777" w:rsidR="00B55D1E" w:rsidRPr="002E0607" w:rsidRDefault="00B55D1E" w:rsidP="002E0607">
            <w:pPr>
              <w:pStyle w:val="NoSpacing"/>
              <w:rPr>
                <w:rFonts w:ascii="Times New Roman" w:hAnsi="Times New Roman" w:cs="Times New Roman"/>
                <w:sz w:val="22"/>
                <w:szCs w:val="22"/>
              </w:rPr>
            </w:pPr>
            <w:r w:rsidRPr="002E0607">
              <w:rPr>
                <w:rFonts w:ascii="Times New Roman" w:hAnsi="Times New Roman" w:cs="Times New Roman"/>
                <w:sz w:val="22"/>
                <w:szCs w:val="22"/>
              </w:rPr>
              <w:t>Rajasthan</w:t>
            </w:r>
          </w:p>
        </w:tc>
        <w:tc>
          <w:tcPr>
            <w:tcW w:w="1448" w:type="dxa"/>
            <w:vAlign w:val="center"/>
            <w:hideMark/>
          </w:tcPr>
          <w:p w14:paraId="7FE9DE3E" w14:textId="77777777" w:rsidR="00B55D1E" w:rsidRPr="002E0607" w:rsidRDefault="00B55D1E" w:rsidP="002E0607">
            <w:pPr>
              <w:pStyle w:val="NoSpacing"/>
              <w:jc w:val="center"/>
              <w:rPr>
                <w:rFonts w:ascii="Times New Roman" w:hAnsi="Times New Roman" w:cs="Times New Roman"/>
                <w:sz w:val="22"/>
                <w:szCs w:val="22"/>
              </w:rPr>
            </w:pPr>
            <w:r w:rsidRPr="002E0607">
              <w:rPr>
                <w:rFonts w:ascii="Times New Roman" w:hAnsi="Times New Roman" w:cs="Times New Roman"/>
                <w:sz w:val="22"/>
                <w:szCs w:val="22"/>
              </w:rPr>
              <w:t>328</w:t>
            </w:r>
          </w:p>
        </w:tc>
        <w:tc>
          <w:tcPr>
            <w:tcW w:w="1327" w:type="dxa"/>
            <w:vAlign w:val="center"/>
            <w:hideMark/>
          </w:tcPr>
          <w:p w14:paraId="49FFF73F" w14:textId="77777777" w:rsidR="00B55D1E" w:rsidRPr="002E0607" w:rsidRDefault="00B55D1E" w:rsidP="002E0607">
            <w:pPr>
              <w:pStyle w:val="NoSpacing"/>
              <w:jc w:val="center"/>
              <w:rPr>
                <w:rFonts w:ascii="Times New Roman" w:hAnsi="Times New Roman" w:cs="Times New Roman"/>
                <w:sz w:val="22"/>
                <w:szCs w:val="22"/>
              </w:rPr>
            </w:pPr>
            <w:r w:rsidRPr="002E0607">
              <w:rPr>
                <w:rFonts w:ascii="Times New Roman" w:hAnsi="Times New Roman" w:cs="Times New Roman"/>
                <w:sz w:val="22"/>
                <w:szCs w:val="22"/>
              </w:rPr>
              <w:t>0.249</w:t>
            </w:r>
          </w:p>
        </w:tc>
        <w:tc>
          <w:tcPr>
            <w:tcW w:w="2294" w:type="dxa"/>
            <w:vAlign w:val="center"/>
            <w:hideMark/>
          </w:tcPr>
          <w:p w14:paraId="7BBCF623" w14:textId="77777777" w:rsidR="00B55D1E" w:rsidRPr="002E0607" w:rsidRDefault="00B55D1E" w:rsidP="002E0607">
            <w:pPr>
              <w:pStyle w:val="NoSpacing"/>
              <w:jc w:val="center"/>
              <w:rPr>
                <w:rFonts w:ascii="Times New Roman" w:hAnsi="Times New Roman" w:cs="Times New Roman"/>
                <w:sz w:val="22"/>
                <w:szCs w:val="22"/>
              </w:rPr>
            </w:pPr>
            <w:r w:rsidRPr="002E0607">
              <w:rPr>
                <w:rFonts w:ascii="Times New Roman" w:hAnsi="Times New Roman" w:cs="Times New Roman"/>
                <w:sz w:val="22"/>
                <w:szCs w:val="22"/>
              </w:rPr>
              <w:t>0.515</w:t>
            </w:r>
          </w:p>
        </w:tc>
        <w:tc>
          <w:tcPr>
            <w:tcW w:w="1592" w:type="dxa"/>
            <w:vAlign w:val="center"/>
            <w:hideMark/>
          </w:tcPr>
          <w:p w14:paraId="1B3B9D25" w14:textId="77777777" w:rsidR="00B55D1E" w:rsidRPr="002E0607" w:rsidRDefault="00B55D1E" w:rsidP="002E0607">
            <w:pPr>
              <w:pStyle w:val="NoSpacing"/>
              <w:jc w:val="center"/>
              <w:rPr>
                <w:rFonts w:ascii="Times New Roman" w:hAnsi="Times New Roman" w:cs="Times New Roman"/>
                <w:sz w:val="22"/>
                <w:szCs w:val="22"/>
              </w:rPr>
            </w:pPr>
            <w:r w:rsidRPr="002E0607">
              <w:rPr>
                <w:rFonts w:ascii="Times New Roman" w:hAnsi="Times New Roman" w:cs="Times New Roman"/>
                <w:sz w:val="22"/>
                <w:szCs w:val="22"/>
              </w:rPr>
              <w:t>23.51</w:t>
            </w:r>
          </w:p>
        </w:tc>
        <w:tc>
          <w:tcPr>
            <w:tcW w:w="1282" w:type="dxa"/>
            <w:vAlign w:val="center"/>
            <w:hideMark/>
          </w:tcPr>
          <w:p w14:paraId="590854CE" w14:textId="77777777" w:rsidR="00B55D1E" w:rsidRPr="002E0607" w:rsidRDefault="00B55D1E" w:rsidP="002E0607">
            <w:pPr>
              <w:pStyle w:val="NoSpacing"/>
              <w:jc w:val="center"/>
              <w:rPr>
                <w:rFonts w:ascii="Times New Roman" w:hAnsi="Times New Roman" w:cs="Times New Roman"/>
                <w:sz w:val="22"/>
                <w:szCs w:val="22"/>
              </w:rPr>
            </w:pPr>
            <w:r w:rsidRPr="002E0607">
              <w:rPr>
                <w:rFonts w:ascii="Times New Roman" w:hAnsi="Times New Roman" w:cs="Times New Roman"/>
                <w:sz w:val="22"/>
                <w:szCs w:val="22"/>
              </w:rPr>
              <w:t>16</w:t>
            </w:r>
          </w:p>
        </w:tc>
        <w:tc>
          <w:tcPr>
            <w:tcW w:w="1174" w:type="dxa"/>
            <w:vAlign w:val="center"/>
            <w:hideMark/>
          </w:tcPr>
          <w:p w14:paraId="2FAA3DCD" w14:textId="77777777" w:rsidR="00B55D1E" w:rsidRPr="002E0607" w:rsidRDefault="00B55D1E" w:rsidP="002E0607">
            <w:pPr>
              <w:pStyle w:val="NoSpacing"/>
              <w:jc w:val="center"/>
              <w:rPr>
                <w:rFonts w:ascii="Times New Roman" w:hAnsi="Times New Roman" w:cs="Times New Roman"/>
                <w:sz w:val="22"/>
                <w:szCs w:val="22"/>
              </w:rPr>
            </w:pPr>
            <w:r w:rsidRPr="002E0607">
              <w:rPr>
                <w:rFonts w:ascii="Times New Roman" w:hAnsi="Times New Roman" w:cs="Times New Roman"/>
                <w:sz w:val="22"/>
                <w:szCs w:val="22"/>
              </w:rPr>
              <w:t>5</w:t>
            </w:r>
          </w:p>
        </w:tc>
        <w:tc>
          <w:tcPr>
            <w:tcW w:w="726" w:type="dxa"/>
            <w:vAlign w:val="center"/>
            <w:hideMark/>
          </w:tcPr>
          <w:p w14:paraId="3111A895" w14:textId="77777777" w:rsidR="00B55D1E" w:rsidRPr="002E0607" w:rsidRDefault="00B55D1E" w:rsidP="002E0607">
            <w:pPr>
              <w:pStyle w:val="NoSpacing"/>
              <w:jc w:val="center"/>
              <w:rPr>
                <w:rFonts w:ascii="Times New Roman" w:hAnsi="Times New Roman" w:cs="Times New Roman"/>
                <w:sz w:val="22"/>
                <w:szCs w:val="22"/>
              </w:rPr>
            </w:pPr>
            <w:r w:rsidRPr="002E0607">
              <w:rPr>
                <w:rFonts w:ascii="Times New Roman" w:hAnsi="Times New Roman" w:cs="Times New Roman"/>
                <w:sz w:val="22"/>
                <w:szCs w:val="22"/>
              </w:rPr>
              <w:t>21</w:t>
            </w:r>
          </w:p>
        </w:tc>
        <w:tc>
          <w:tcPr>
            <w:tcW w:w="1589" w:type="dxa"/>
            <w:vAlign w:val="center"/>
            <w:hideMark/>
          </w:tcPr>
          <w:p w14:paraId="0D7D1E12" w14:textId="77777777" w:rsidR="00B55D1E" w:rsidRPr="002E0607" w:rsidRDefault="00B55D1E" w:rsidP="002E0607">
            <w:pPr>
              <w:pStyle w:val="NoSpacing"/>
              <w:jc w:val="center"/>
              <w:rPr>
                <w:rFonts w:ascii="Times New Roman" w:hAnsi="Times New Roman" w:cs="Times New Roman"/>
                <w:sz w:val="22"/>
                <w:szCs w:val="22"/>
              </w:rPr>
            </w:pPr>
            <w:r w:rsidRPr="002E0607">
              <w:rPr>
                <w:rFonts w:ascii="Times New Roman" w:hAnsi="Times New Roman" w:cs="Times New Roman"/>
                <w:sz w:val="22"/>
                <w:szCs w:val="22"/>
              </w:rPr>
              <w:t>3448</w:t>
            </w:r>
          </w:p>
        </w:tc>
        <w:tc>
          <w:tcPr>
            <w:tcW w:w="1539" w:type="dxa"/>
            <w:vAlign w:val="center"/>
            <w:hideMark/>
          </w:tcPr>
          <w:p w14:paraId="13F74606" w14:textId="77777777" w:rsidR="00B55D1E" w:rsidRPr="002E0607" w:rsidRDefault="00B55D1E" w:rsidP="002E0607">
            <w:pPr>
              <w:pStyle w:val="NoSpacing"/>
              <w:jc w:val="center"/>
              <w:rPr>
                <w:rFonts w:ascii="Times New Roman" w:hAnsi="Times New Roman" w:cs="Times New Roman"/>
                <w:sz w:val="22"/>
                <w:szCs w:val="22"/>
              </w:rPr>
            </w:pPr>
            <w:r w:rsidRPr="002E0607">
              <w:rPr>
                <w:rFonts w:ascii="Times New Roman" w:hAnsi="Times New Roman" w:cs="Times New Roman"/>
                <w:sz w:val="22"/>
                <w:szCs w:val="22"/>
              </w:rPr>
              <w:t>1920</w:t>
            </w:r>
          </w:p>
        </w:tc>
      </w:tr>
      <w:tr w:rsidR="00B55D1E" w:rsidRPr="002E0607" w14:paraId="6574FD49" w14:textId="77777777" w:rsidTr="002E0607">
        <w:trPr>
          <w:trHeight w:val="367"/>
          <w:jc w:val="center"/>
        </w:trPr>
        <w:tc>
          <w:tcPr>
            <w:tcW w:w="1286" w:type="dxa"/>
            <w:vAlign w:val="center"/>
            <w:hideMark/>
          </w:tcPr>
          <w:p w14:paraId="6B1918C2" w14:textId="77777777" w:rsidR="00B55D1E" w:rsidRPr="002E0607" w:rsidRDefault="00B55D1E" w:rsidP="002E0607">
            <w:pPr>
              <w:pStyle w:val="NoSpacing"/>
              <w:rPr>
                <w:rFonts w:ascii="Times New Roman" w:hAnsi="Times New Roman" w:cs="Times New Roman"/>
                <w:sz w:val="22"/>
                <w:szCs w:val="22"/>
              </w:rPr>
            </w:pPr>
            <w:r w:rsidRPr="002E0607">
              <w:rPr>
                <w:rFonts w:ascii="Times New Roman" w:hAnsi="Times New Roman" w:cs="Times New Roman"/>
                <w:sz w:val="22"/>
                <w:szCs w:val="22"/>
              </w:rPr>
              <w:t>Tamil Nadu</w:t>
            </w:r>
          </w:p>
        </w:tc>
        <w:tc>
          <w:tcPr>
            <w:tcW w:w="1448" w:type="dxa"/>
            <w:vAlign w:val="center"/>
            <w:hideMark/>
          </w:tcPr>
          <w:p w14:paraId="3CD7C775" w14:textId="77777777" w:rsidR="00B55D1E" w:rsidRPr="002E0607" w:rsidRDefault="00B55D1E" w:rsidP="002E0607">
            <w:pPr>
              <w:pStyle w:val="NoSpacing"/>
              <w:jc w:val="center"/>
              <w:rPr>
                <w:rFonts w:ascii="Times New Roman" w:hAnsi="Times New Roman" w:cs="Times New Roman"/>
                <w:sz w:val="22"/>
                <w:szCs w:val="22"/>
              </w:rPr>
            </w:pPr>
            <w:r w:rsidRPr="002E0607">
              <w:rPr>
                <w:rFonts w:ascii="Times New Roman" w:hAnsi="Times New Roman" w:cs="Times New Roman"/>
                <w:sz w:val="22"/>
                <w:szCs w:val="22"/>
              </w:rPr>
              <w:t>1098</w:t>
            </w:r>
          </w:p>
        </w:tc>
        <w:tc>
          <w:tcPr>
            <w:tcW w:w="1327" w:type="dxa"/>
            <w:vAlign w:val="center"/>
            <w:hideMark/>
          </w:tcPr>
          <w:p w14:paraId="3D0BAC72" w14:textId="77777777" w:rsidR="00B55D1E" w:rsidRPr="002E0607" w:rsidRDefault="00B55D1E" w:rsidP="002E0607">
            <w:pPr>
              <w:pStyle w:val="NoSpacing"/>
              <w:jc w:val="center"/>
              <w:rPr>
                <w:rFonts w:ascii="Times New Roman" w:hAnsi="Times New Roman" w:cs="Times New Roman"/>
                <w:sz w:val="22"/>
                <w:szCs w:val="22"/>
              </w:rPr>
            </w:pPr>
            <w:r w:rsidRPr="002E0607">
              <w:rPr>
                <w:rFonts w:ascii="Times New Roman" w:hAnsi="Times New Roman" w:cs="Times New Roman"/>
                <w:sz w:val="22"/>
                <w:szCs w:val="22"/>
              </w:rPr>
              <w:t>0.372</w:t>
            </w:r>
          </w:p>
        </w:tc>
        <w:tc>
          <w:tcPr>
            <w:tcW w:w="2294" w:type="dxa"/>
            <w:vAlign w:val="center"/>
            <w:hideMark/>
          </w:tcPr>
          <w:p w14:paraId="03E35C32" w14:textId="77777777" w:rsidR="00B55D1E" w:rsidRPr="002E0607" w:rsidRDefault="00B55D1E" w:rsidP="002E0607">
            <w:pPr>
              <w:pStyle w:val="NoSpacing"/>
              <w:jc w:val="center"/>
              <w:rPr>
                <w:rFonts w:ascii="Times New Roman" w:hAnsi="Times New Roman" w:cs="Times New Roman"/>
                <w:sz w:val="22"/>
                <w:szCs w:val="22"/>
              </w:rPr>
            </w:pPr>
            <w:r w:rsidRPr="002E0607">
              <w:rPr>
                <w:rFonts w:ascii="Times New Roman" w:hAnsi="Times New Roman" w:cs="Times New Roman"/>
                <w:sz w:val="22"/>
                <w:szCs w:val="22"/>
              </w:rPr>
              <w:t>0.692</w:t>
            </w:r>
          </w:p>
        </w:tc>
        <w:tc>
          <w:tcPr>
            <w:tcW w:w="1592" w:type="dxa"/>
            <w:vAlign w:val="center"/>
            <w:hideMark/>
          </w:tcPr>
          <w:p w14:paraId="4454A848" w14:textId="77777777" w:rsidR="00B55D1E" w:rsidRPr="002E0607" w:rsidRDefault="00B55D1E" w:rsidP="002E0607">
            <w:pPr>
              <w:pStyle w:val="NoSpacing"/>
              <w:jc w:val="center"/>
              <w:rPr>
                <w:rFonts w:ascii="Times New Roman" w:hAnsi="Times New Roman" w:cs="Times New Roman"/>
                <w:sz w:val="22"/>
                <w:szCs w:val="22"/>
              </w:rPr>
            </w:pPr>
            <w:r w:rsidRPr="002E0607">
              <w:rPr>
                <w:rFonts w:ascii="Times New Roman" w:hAnsi="Times New Roman" w:cs="Times New Roman"/>
                <w:sz w:val="22"/>
                <w:szCs w:val="22"/>
              </w:rPr>
              <w:t>2.52</w:t>
            </w:r>
          </w:p>
        </w:tc>
        <w:tc>
          <w:tcPr>
            <w:tcW w:w="1282" w:type="dxa"/>
            <w:vAlign w:val="center"/>
            <w:hideMark/>
          </w:tcPr>
          <w:p w14:paraId="7EC89BE2" w14:textId="77777777" w:rsidR="00B55D1E" w:rsidRPr="002E0607" w:rsidRDefault="00B55D1E" w:rsidP="002E0607">
            <w:pPr>
              <w:pStyle w:val="NoSpacing"/>
              <w:jc w:val="center"/>
              <w:rPr>
                <w:rFonts w:ascii="Times New Roman" w:hAnsi="Times New Roman" w:cs="Times New Roman"/>
                <w:sz w:val="22"/>
                <w:szCs w:val="22"/>
              </w:rPr>
            </w:pPr>
            <w:r w:rsidRPr="002E0607">
              <w:rPr>
                <w:rFonts w:ascii="Times New Roman" w:hAnsi="Times New Roman" w:cs="Times New Roman"/>
                <w:sz w:val="22"/>
                <w:szCs w:val="22"/>
              </w:rPr>
              <w:t>28</w:t>
            </w:r>
          </w:p>
        </w:tc>
        <w:tc>
          <w:tcPr>
            <w:tcW w:w="1174" w:type="dxa"/>
            <w:vAlign w:val="center"/>
            <w:hideMark/>
          </w:tcPr>
          <w:p w14:paraId="7111231C" w14:textId="77777777" w:rsidR="00B55D1E" w:rsidRPr="002E0607" w:rsidRDefault="00B55D1E" w:rsidP="002E0607">
            <w:pPr>
              <w:pStyle w:val="NoSpacing"/>
              <w:jc w:val="center"/>
              <w:rPr>
                <w:rFonts w:ascii="Times New Roman" w:hAnsi="Times New Roman" w:cs="Times New Roman"/>
                <w:sz w:val="22"/>
                <w:szCs w:val="22"/>
              </w:rPr>
            </w:pPr>
            <w:r w:rsidRPr="002E0607">
              <w:rPr>
                <w:rFonts w:ascii="Times New Roman" w:hAnsi="Times New Roman" w:cs="Times New Roman"/>
                <w:sz w:val="22"/>
                <w:szCs w:val="22"/>
              </w:rPr>
              <w:t>31</w:t>
            </w:r>
          </w:p>
        </w:tc>
        <w:tc>
          <w:tcPr>
            <w:tcW w:w="726" w:type="dxa"/>
            <w:vAlign w:val="center"/>
            <w:hideMark/>
          </w:tcPr>
          <w:p w14:paraId="397CECAC" w14:textId="77777777" w:rsidR="00B55D1E" w:rsidRPr="002E0607" w:rsidRDefault="00B55D1E" w:rsidP="002E0607">
            <w:pPr>
              <w:pStyle w:val="NoSpacing"/>
              <w:jc w:val="center"/>
              <w:rPr>
                <w:rFonts w:ascii="Times New Roman" w:hAnsi="Times New Roman" w:cs="Times New Roman"/>
                <w:sz w:val="22"/>
                <w:szCs w:val="22"/>
              </w:rPr>
            </w:pPr>
            <w:r w:rsidRPr="002E0607">
              <w:rPr>
                <w:rFonts w:ascii="Times New Roman" w:hAnsi="Times New Roman" w:cs="Times New Roman"/>
                <w:sz w:val="22"/>
                <w:szCs w:val="22"/>
              </w:rPr>
              <w:t>59</w:t>
            </w:r>
          </w:p>
        </w:tc>
        <w:tc>
          <w:tcPr>
            <w:tcW w:w="1589" w:type="dxa"/>
            <w:vAlign w:val="center"/>
            <w:hideMark/>
          </w:tcPr>
          <w:p w14:paraId="089053EF" w14:textId="77777777" w:rsidR="00B55D1E" w:rsidRPr="002E0607" w:rsidRDefault="00B55D1E" w:rsidP="002E0607">
            <w:pPr>
              <w:pStyle w:val="NoSpacing"/>
              <w:jc w:val="center"/>
              <w:rPr>
                <w:rFonts w:ascii="Times New Roman" w:hAnsi="Times New Roman" w:cs="Times New Roman"/>
                <w:sz w:val="22"/>
                <w:szCs w:val="22"/>
              </w:rPr>
            </w:pPr>
            <w:r w:rsidRPr="002E0607">
              <w:rPr>
                <w:rFonts w:ascii="Times New Roman" w:hAnsi="Times New Roman" w:cs="Times New Roman"/>
                <w:sz w:val="22"/>
                <w:szCs w:val="22"/>
              </w:rPr>
              <w:t>4551</w:t>
            </w:r>
          </w:p>
        </w:tc>
        <w:tc>
          <w:tcPr>
            <w:tcW w:w="1539" w:type="dxa"/>
            <w:vAlign w:val="center"/>
            <w:hideMark/>
          </w:tcPr>
          <w:p w14:paraId="23F0BC50" w14:textId="77777777" w:rsidR="00B55D1E" w:rsidRPr="002E0607" w:rsidRDefault="00B55D1E" w:rsidP="002E0607">
            <w:pPr>
              <w:pStyle w:val="NoSpacing"/>
              <w:jc w:val="center"/>
              <w:rPr>
                <w:rFonts w:ascii="Times New Roman" w:hAnsi="Times New Roman" w:cs="Times New Roman"/>
                <w:sz w:val="22"/>
                <w:szCs w:val="22"/>
              </w:rPr>
            </w:pPr>
            <w:r w:rsidRPr="002E0607">
              <w:rPr>
                <w:rFonts w:ascii="Times New Roman" w:hAnsi="Times New Roman" w:cs="Times New Roman"/>
                <w:sz w:val="22"/>
                <w:szCs w:val="22"/>
              </w:rPr>
              <w:t>4732</w:t>
            </w:r>
          </w:p>
        </w:tc>
      </w:tr>
      <w:tr w:rsidR="00B55D1E" w:rsidRPr="002E0607" w14:paraId="3B7BD6EC" w14:textId="77777777" w:rsidTr="002E0607">
        <w:trPr>
          <w:trHeight w:val="715"/>
          <w:jc w:val="center"/>
        </w:trPr>
        <w:tc>
          <w:tcPr>
            <w:tcW w:w="1286" w:type="dxa"/>
            <w:vAlign w:val="center"/>
            <w:hideMark/>
          </w:tcPr>
          <w:p w14:paraId="5425CA83" w14:textId="77777777" w:rsidR="00B55D1E" w:rsidRPr="002E0607" w:rsidRDefault="00B55D1E" w:rsidP="002E0607">
            <w:pPr>
              <w:pStyle w:val="NoSpacing"/>
              <w:rPr>
                <w:rFonts w:ascii="Times New Roman" w:hAnsi="Times New Roman" w:cs="Times New Roman"/>
                <w:sz w:val="22"/>
                <w:szCs w:val="22"/>
              </w:rPr>
            </w:pPr>
            <w:r w:rsidRPr="002E0607">
              <w:rPr>
                <w:rFonts w:ascii="Times New Roman" w:hAnsi="Times New Roman" w:cs="Times New Roman"/>
                <w:sz w:val="22"/>
                <w:szCs w:val="22"/>
              </w:rPr>
              <w:t>Uttar Pradesh</w:t>
            </w:r>
          </w:p>
        </w:tc>
        <w:tc>
          <w:tcPr>
            <w:tcW w:w="1448" w:type="dxa"/>
            <w:vAlign w:val="center"/>
            <w:hideMark/>
          </w:tcPr>
          <w:p w14:paraId="48D6DA22" w14:textId="77777777" w:rsidR="00B55D1E" w:rsidRPr="002E0607" w:rsidRDefault="00B55D1E" w:rsidP="002E0607">
            <w:pPr>
              <w:pStyle w:val="NoSpacing"/>
              <w:jc w:val="center"/>
              <w:rPr>
                <w:rFonts w:ascii="Times New Roman" w:hAnsi="Times New Roman" w:cs="Times New Roman"/>
                <w:sz w:val="22"/>
                <w:szCs w:val="22"/>
              </w:rPr>
            </w:pPr>
            <w:r w:rsidRPr="002E0607">
              <w:rPr>
                <w:rFonts w:ascii="Times New Roman" w:hAnsi="Times New Roman" w:cs="Times New Roman"/>
                <w:sz w:val="22"/>
                <w:szCs w:val="22"/>
              </w:rPr>
              <w:t>500</w:t>
            </w:r>
          </w:p>
        </w:tc>
        <w:tc>
          <w:tcPr>
            <w:tcW w:w="1327" w:type="dxa"/>
            <w:vAlign w:val="center"/>
            <w:hideMark/>
          </w:tcPr>
          <w:p w14:paraId="757B1C52" w14:textId="77777777" w:rsidR="00B55D1E" w:rsidRPr="002E0607" w:rsidRDefault="00B55D1E" w:rsidP="002E0607">
            <w:pPr>
              <w:pStyle w:val="NoSpacing"/>
              <w:jc w:val="center"/>
              <w:rPr>
                <w:rFonts w:ascii="Times New Roman" w:hAnsi="Times New Roman" w:cs="Times New Roman"/>
                <w:sz w:val="22"/>
                <w:szCs w:val="22"/>
              </w:rPr>
            </w:pPr>
            <w:r w:rsidRPr="002E0607">
              <w:rPr>
                <w:rFonts w:ascii="Times New Roman" w:hAnsi="Times New Roman" w:cs="Times New Roman"/>
                <w:sz w:val="22"/>
                <w:szCs w:val="22"/>
              </w:rPr>
              <w:t>0.319</w:t>
            </w:r>
          </w:p>
        </w:tc>
        <w:tc>
          <w:tcPr>
            <w:tcW w:w="2294" w:type="dxa"/>
            <w:vAlign w:val="center"/>
            <w:hideMark/>
          </w:tcPr>
          <w:p w14:paraId="0EFA6B0E" w14:textId="77777777" w:rsidR="00B55D1E" w:rsidRPr="002E0607" w:rsidRDefault="00B55D1E" w:rsidP="002E0607">
            <w:pPr>
              <w:pStyle w:val="NoSpacing"/>
              <w:jc w:val="center"/>
              <w:rPr>
                <w:rFonts w:ascii="Times New Roman" w:hAnsi="Times New Roman" w:cs="Times New Roman"/>
                <w:sz w:val="22"/>
                <w:szCs w:val="22"/>
              </w:rPr>
            </w:pPr>
            <w:r w:rsidRPr="002E0607">
              <w:rPr>
                <w:rFonts w:ascii="Times New Roman" w:hAnsi="Times New Roman" w:cs="Times New Roman"/>
                <w:sz w:val="22"/>
                <w:szCs w:val="22"/>
              </w:rPr>
              <w:t>0.411</w:t>
            </w:r>
          </w:p>
        </w:tc>
        <w:tc>
          <w:tcPr>
            <w:tcW w:w="1592" w:type="dxa"/>
            <w:vAlign w:val="center"/>
            <w:hideMark/>
          </w:tcPr>
          <w:p w14:paraId="37E9B5E7" w14:textId="77777777" w:rsidR="00B55D1E" w:rsidRPr="002E0607" w:rsidRDefault="00B55D1E" w:rsidP="002E0607">
            <w:pPr>
              <w:pStyle w:val="NoSpacing"/>
              <w:jc w:val="center"/>
              <w:rPr>
                <w:rFonts w:ascii="Times New Roman" w:hAnsi="Times New Roman" w:cs="Times New Roman"/>
                <w:sz w:val="22"/>
                <w:szCs w:val="22"/>
              </w:rPr>
            </w:pPr>
            <w:r w:rsidRPr="002E0607">
              <w:rPr>
                <w:rFonts w:ascii="Times New Roman" w:hAnsi="Times New Roman" w:cs="Times New Roman"/>
                <w:sz w:val="22"/>
                <w:szCs w:val="22"/>
              </w:rPr>
              <w:t>..</w:t>
            </w:r>
          </w:p>
        </w:tc>
        <w:tc>
          <w:tcPr>
            <w:tcW w:w="1282" w:type="dxa"/>
            <w:vAlign w:val="center"/>
            <w:hideMark/>
          </w:tcPr>
          <w:p w14:paraId="1BF43324" w14:textId="77777777" w:rsidR="00B55D1E" w:rsidRPr="002E0607" w:rsidRDefault="00B55D1E" w:rsidP="002E0607">
            <w:pPr>
              <w:pStyle w:val="NoSpacing"/>
              <w:jc w:val="center"/>
              <w:rPr>
                <w:rFonts w:ascii="Times New Roman" w:hAnsi="Times New Roman" w:cs="Times New Roman"/>
                <w:sz w:val="22"/>
                <w:szCs w:val="22"/>
              </w:rPr>
            </w:pPr>
            <w:r w:rsidRPr="002E0607">
              <w:rPr>
                <w:rFonts w:ascii="Times New Roman" w:hAnsi="Times New Roman" w:cs="Times New Roman"/>
                <w:sz w:val="22"/>
                <w:szCs w:val="22"/>
              </w:rPr>
              <w:t>29</w:t>
            </w:r>
          </w:p>
        </w:tc>
        <w:tc>
          <w:tcPr>
            <w:tcW w:w="1174" w:type="dxa"/>
            <w:vAlign w:val="center"/>
            <w:hideMark/>
          </w:tcPr>
          <w:p w14:paraId="025AA5DA" w14:textId="77777777" w:rsidR="00B55D1E" w:rsidRPr="002E0607" w:rsidRDefault="00B55D1E" w:rsidP="002E0607">
            <w:pPr>
              <w:pStyle w:val="NoSpacing"/>
              <w:jc w:val="center"/>
              <w:rPr>
                <w:rFonts w:ascii="Times New Roman" w:hAnsi="Times New Roman" w:cs="Times New Roman"/>
                <w:sz w:val="22"/>
                <w:szCs w:val="22"/>
              </w:rPr>
            </w:pPr>
            <w:r w:rsidRPr="002E0607">
              <w:rPr>
                <w:rFonts w:ascii="Times New Roman" w:hAnsi="Times New Roman" w:cs="Times New Roman"/>
                <w:sz w:val="22"/>
                <w:szCs w:val="22"/>
              </w:rPr>
              <w:t>9</w:t>
            </w:r>
          </w:p>
        </w:tc>
        <w:tc>
          <w:tcPr>
            <w:tcW w:w="726" w:type="dxa"/>
            <w:vAlign w:val="center"/>
            <w:hideMark/>
          </w:tcPr>
          <w:p w14:paraId="6A995164" w14:textId="77777777" w:rsidR="00B55D1E" w:rsidRPr="002E0607" w:rsidRDefault="00B55D1E" w:rsidP="002E0607">
            <w:pPr>
              <w:pStyle w:val="NoSpacing"/>
              <w:jc w:val="center"/>
              <w:rPr>
                <w:rFonts w:ascii="Times New Roman" w:hAnsi="Times New Roman" w:cs="Times New Roman"/>
                <w:sz w:val="22"/>
                <w:szCs w:val="22"/>
              </w:rPr>
            </w:pPr>
            <w:r w:rsidRPr="002E0607">
              <w:rPr>
                <w:rFonts w:ascii="Times New Roman" w:hAnsi="Times New Roman" w:cs="Times New Roman"/>
                <w:sz w:val="22"/>
                <w:szCs w:val="22"/>
              </w:rPr>
              <w:t>38</w:t>
            </w:r>
          </w:p>
        </w:tc>
        <w:tc>
          <w:tcPr>
            <w:tcW w:w="1589" w:type="dxa"/>
            <w:vAlign w:val="center"/>
            <w:hideMark/>
          </w:tcPr>
          <w:p w14:paraId="16D46830" w14:textId="77777777" w:rsidR="00B55D1E" w:rsidRPr="002E0607" w:rsidRDefault="00B55D1E" w:rsidP="002E0607">
            <w:pPr>
              <w:pStyle w:val="NoSpacing"/>
              <w:jc w:val="center"/>
              <w:rPr>
                <w:rFonts w:ascii="Times New Roman" w:hAnsi="Times New Roman" w:cs="Times New Roman"/>
                <w:sz w:val="22"/>
                <w:szCs w:val="22"/>
              </w:rPr>
            </w:pPr>
            <w:r w:rsidRPr="002E0607">
              <w:rPr>
                <w:rFonts w:ascii="Times New Roman" w:hAnsi="Times New Roman" w:cs="Times New Roman"/>
                <w:sz w:val="22"/>
                <w:szCs w:val="22"/>
              </w:rPr>
              <w:t>11424</w:t>
            </w:r>
          </w:p>
        </w:tc>
        <w:tc>
          <w:tcPr>
            <w:tcW w:w="1539" w:type="dxa"/>
            <w:vAlign w:val="center"/>
            <w:hideMark/>
          </w:tcPr>
          <w:p w14:paraId="6DADB168" w14:textId="77777777" w:rsidR="00B55D1E" w:rsidRPr="002E0607" w:rsidRDefault="00B55D1E" w:rsidP="002E0607">
            <w:pPr>
              <w:pStyle w:val="NoSpacing"/>
              <w:jc w:val="center"/>
              <w:rPr>
                <w:rFonts w:ascii="Times New Roman" w:hAnsi="Times New Roman" w:cs="Times New Roman"/>
                <w:sz w:val="22"/>
                <w:szCs w:val="22"/>
              </w:rPr>
            </w:pPr>
            <w:r w:rsidRPr="002E0607">
              <w:rPr>
                <w:rFonts w:ascii="Times New Roman" w:hAnsi="Times New Roman" w:cs="Times New Roman"/>
                <w:sz w:val="22"/>
                <w:szCs w:val="22"/>
              </w:rPr>
              <w:t>9180</w:t>
            </w:r>
          </w:p>
        </w:tc>
      </w:tr>
      <w:tr w:rsidR="00B55D1E" w:rsidRPr="002E0607" w14:paraId="7B351947" w14:textId="77777777" w:rsidTr="002E0607">
        <w:trPr>
          <w:trHeight w:val="367"/>
          <w:jc w:val="center"/>
        </w:trPr>
        <w:tc>
          <w:tcPr>
            <w:tcW w:w="1286" w:type="dxa"/>
            <w:vAlign w:val="center"/>
            <w:hideMark/>
          </w:tcPr>
          <w:p w14:paraId="18F0E431" w14:textId="77777777" w:rsidR="00B55D1E" w:rsidRPr="002E0607" w:rsidRDefault="00B55D1E" w:rsidP="002E0607">
            <w:pPr>
              <w:pStyle w:val="NoSpacing"/>
              <w:rPr>
                <w:rFonts w:ascii="Times New Roman" w:hAnsi="Times New Roman" w:cs="Times New Roman"/>
                <w:sz w:val="22"/>
                <w:szCs w:val="22"/>
              </w:rPr>
            </w:pPr>
            <w:r w:rsidRPr="002E0607">
              <w:rPr>
                <w:rFonts w:ascii="Times New Roman" w:hAnsi="Times New Roman" w:cs="Times New Roman"/>
                <w:sz w:val="22"/>
                <w:szCs w:val="22"/>
              </w:rPr>
              <w:t>West Bengal</w:t>
            </w:r>
          </w:p>
        </w:tc>
        <w:tc>
          <w:tcPr>
            <w:tcW w:w="1448" w:type="dxa"/>
            <w:vAlign w:val="center"/>
            <w:hideMark/>
          </w:tcPr>
          <w:p w14:paraId="6C6EF813" w14:textId="77777777" w:rsidR="00B55D1E" w:rsidRPr="002E0607" w:rsidRDefault="00B55D1E" w:rsidP="002E0607">
            <w:pPr>
              <w:pStyle w:val="NoSpacing"/>
              <w:jc w:val="center"/>
              <w:rPr>
                <w:rFonts w:ascii="Times New Roman" w:hAnsi="Times New Roman" w:cs="Times New Roman"/>
                <w:sz w:val="22"/>
                <w:szCs w:val="22"/>
              </w:rPr>
            </w:pPr>
            <w:r w:rsidRPr="002E0607">
              <w:rPr>
                <w:rFonts w:ascii="Times New Roman" w:hAnsi="Times New Roman" w:cs="Times New Roman"/>
                <w:sz w:val="22"/>
                <w:szCs w:val="22"/>
              </w:rPr>
              <w:t>2166</w:t>
            </w:r>
          </w:p>
        </w:tc>
        <w:tc>
          <w:tcPr>
            <w:tcW w:w="1327" w:type="dxa"/>
            <w:vAlign w:val="center"/>
            <w:hideMark/>
          </w:tcPr>
          <w:p w14:paraId="782FEDA8" w14:textId="77777777" w:rsidR="00B55D1E" w:rsidRPr="002E0607" w:rsidRDefault="00B55D1E" w:rsidP="002E0607">
            <w:pPr>
              <w:pStyle w:val="NoSpacing"/>
              <w:jc w:val="center"/>
              <w:rPr>
                <w:rFonts w:ascii="Times New Roman" w:hAnsi="Times New Roman" w:cs="Times New Roman"/>
                <w:sz w:val="22"/>
                <w:szCs w:val="22"/>
              </w:rPr>
            </w:pPr>
            <w:r w:rsidRPr="002E0607">
              <w:rPr>
                <w:rFonts w:ascii="Times New Roman" w:hAnsi="Times New Roman" w:cs="Times New Roman"/>
                <w:sz w:val="22"/>
                <w:szCs w:val="22"/>
              </w:rPr>
              <w:t>0.321</w:t>
            </w:r>
          </w:p>
        </w:tc>
        <w:tc>
          <w:tcPr>
            <w:tcW w:w="2294" w:type="dxa"/>
            <w:vAlign w:val="center"/>
            <w:hideMark/>
          </w:tcPr>
          <w:p w14:paraId="61BD3081" w14:textId="77777777" w:rsidR="00B55D1E" w:rsidRPr="002E0607" w:rsidRDefault="00B55D1E" w:rsidP="002E0607">
            <w:pPr>
              <w:pStyle w:val="NoSpacing"/>
              <w:jc w:val="center"/>
              <w:rPr>
                <w:rFonts w:ascii="Times New Roman" w:hAnsi="Times New Roman" w:cs="Times New Roman"/>
                <w:sz w:val="22"/>
                <w:szCs w:val="22"/>
              </w:rPr>
            </w:pPr>
            <w:r w:rsidRPr="002E0607">
              <w:rPr>
                <w:rFonts w:ascii="Times New Roman" w:hAnsi="Times New Roman" w:cs="Times New Roman"/>
                <w:sz w:val="22"/>
                <w:szCs w:val="22"/>
              </w:rPr>
              <w:t>0.872</w:t>
            </w:r>
          </w:p>
        </w:tc>
        <w:tc>
          <w:tcPr>
            <w:tcW w:w="1592" w:type="dxa"/>
            <w:vAlign w:val="center"/>
            <w:hideMark/>
          </w:tcPr>
          <w:p w14:paraId="31FAA30D" w14:textId="77777777" w:rsidR="00B55D1E" w:rsidRPr="002E0607" w:rsidRDefault="00B55D1E" w:rsidP="002E0607">
            <w:pPr>
              <w:pStyle w:val="NoSpacing"/>
              <w:jc w:val="center"/>
              <w:rPr>
                <w:rFonts w:ascii="Times New Roman" w:hAnsi="Times New Roman" w:cs="Times New Roman"/>
                <w:sz w:val="22"/>
                <w:szCs w:val="22"/>
              </w:rPr>
            </w:pPr>
            <w:r w:rsidRPr="002E0607">
              <w:rPr>
                <w:rFonts w:ascii="Times New Roman" w:hAnsi="Times New Roman" w:cs="Times New Roman"/>
                <w:sz w:val="22"/>
                <w:szCs w:val="22"/>
              </w:rPr>
              <w:t>20.54</w:t>
            </w:r>
          </w:p>
        </w:tc>
        <w:tc>
          <w:tcPr>
            <w:tcW w:w="1282" w:type="dxa"/>
            <w:vAlign w:val="center"/>
            <w:hideMark/>
          </w:tcPr>
          <w:p w14:paraId="774DE98F" w14:textId="77777777" w:rsidR="00B55D1E" w:rsidRPr="002E0607" w:rsidRDefault="00B55D1E" w:rsidP="002E0607">
            <w:pPr>
              <w:pStyle w:val="NoSpacing"/>
              <w:jc w:val="center"/>
              <w:rPr>
                <w:rFonts w:ascii="Times New Roman" w:hAnsi="Times New Roman" w:cs="Times New Roman"/>
                <w:sz w:val="22"/>
                <w:szCs w:val="22"/>
              </w:rPr>
            </w:pPr>
            <w:r w:rsidRPr="002E0607">
              <w:rPr>
                <w:rFonts w:ascii="Times New Roman" w:hAnsi="Times New Roman" w:cs="Times New Roman"/>
                <w:sz w:val="22"/>
                <w:szCs w:val="22"/>
              </w:rPr>
              <w:t>35</w:t>
            </w:r>
          </w:p>
        </w:tc>
        <w:tc>
          <w:tcPr>
            <w:tcW w:w="1174" w:type="dxa"/>
            <w:vAlign w:val="center"/>
            <w:hideMark/>
          </w:tcPr>
          <w:p w14:paraId="030609DD" w14:textId="77777777" w:rsidR="00B55D1E" w:rsidRPr="002E0607" w:rsidRDefault="00B55D1E" w:rsidP="002E0607">
            <w:pPr>
              <w:pStyle w:val="NoSpacing"/>
              <w:jc w:val="center"/>
              <w:rPr>
                <w:rFonts w:ascii="Times New Roman" w:hAnsi="Times New Roman" w:cs="Times New Roman"/>
                <w:sz w:val="22"/>
                <w:szCs w:val="22"/>
              </w:rPr>
            </w:pPr>
            <w:r w:rsidRPr="002E0607">
              <w:rPr>
                <w:rFonts w:ascii="Times New Roman" w:hAnsi="Times New Roman" w:cs="Times New Roman"/>
                <w:sz w:val="22"/>
                <w:szCs w:val="22"/>
              </w:rPr>
              <w:t>18</w:t>
            </w:r>
          </w:p>
        </w:tc>
        <w:tc>
          <w:tcPr>
            <w:tcW w:w="726" w:type="dxa"/>
            <w:vAlign w:val="center"/>
            <w:hideMark/>
          </w:tcPr>
          <w:p w14:paraId="19B520F4" w14:textId="77777777" w:rsidR="00B55D1E" w:rsidRPr="002E0607" w:rsidRDefault="00B55D1E" w:rsidP="002E0607">
            <w:pPr>
              <w:pStyle w:val="NoSpacing"/>
              <w:jc w:val="center"/>
              <w:rPr>
                <w:rFonts w:ascii="Times New Roman" w:hAnsi="Times New Roman" w:cs="Times New Roman"/>
                <w:sz w:val="22"/>
                <w:szCs w:val="22"/>
              </w:rPr>
            </w:pPr>
            <w:r w:rsidRPr="002E0607">
              <w:rPr>
                <w:rFonts w:ascii="Times New Roman" w:hAnsi="Times New Roman" w:cs="Times New Roman"/>
                <w:sz w:val="22"/>
                <w:szCs w:val="22"/>
              </w:rPr>
              <w:t>53</w:t>
            </w:r>
          </w:p>
        </w:tc>
        <w:tc>
          <w:tcPr>
            <w:tcW w:w="1589" w:type="dxa"/>
            <w:vAlign w:val="center"/>
            <w:hideMark/>
          </w:tcPr>
          <w:p w14:paraId="54BDF6ED" w14:textId="77777777" w:rsidR="00B55D1E" w:rsidRPr="002E0607" w:rsidRDefault="00B55D1E" w:rsidP="002E0607">
            <w:pPr>
              <w:pStyle w:val="NoSpacing"/>
              <w:jc w:val="center"/>
              <w:rPr>
                <w:rFonts w:ascii="Times New Roman" w:hAnsi="Times New Roman" w:cs="Times New Roman"/>
                <w:sz w:val="22"/>
                <w:szCs w:val="22"/>
              </w:rPr>
            </w:pPr>
            <w:r w:rsidRPr="002E0607">
              <w:rPr>
                <w:rFonts w:ascii="Times New Roman" w:hAnsi="Times New Roman" w:cs="Times New Roman"/>
                <w:sz w:val="22"/>
                <w:szCs w:val="22"/>
              </w:rPr>
              <w:t>5788</w:t>
            </w:r>
          </w:p>
        </w:tc>
        <w:tc>
          <w:tcPr>
            <w:tcW w:w="1539" w:type="dxa"/>
            <w:vAlign w:val="center"/>
            <w:hideMark/>
          </w:tcPr>
          <w:p w14:paraId="16B6BB1E" w14:textId="77777777" w:rsidR="00B55D1E" w:rsidRPr="002E0607" w:rsidRDefault="00B55D1E" w:rsidP="002E0607">
            <w:pPr>
              <w:pStyle w:val="NoSpacing"/>
              <w:jc w:val="center"/>
              <w:rPr>
                <w:rFonts w:ascii="Times New Roman" w:hAnsi="Times New Roman" w:cs="Times New Roman"/>
                <w:sz w:val="22"/>
                <w:szCs w:val="22"/>
              </w:rPr>
            </w:pPr>
            <w:r w:rsidRPr="002E0607">
              <w:rPr>
                <w:rFonts w:ascii="Times New Roman" w:hAnsi="Times New Roman" w:cs="Times New Roman"/>
                <w:sz w:val="22"/>
                <w:szCs w:val="22"/>
              </w:rPr>
              <w:t>3878</w:t>
            </w:r>
          </w:p>
        </w:tc>
      </w:tr>
      <w:tr w:rsidR="00B55D1E" w:rsidRPr="002E0607" w14:paraId="032BE849" w14:textId="77777777" w:rsidTr="002E0607">
        <w:trPr>
          <w:trHeight w:val="346"/>
          <w:jc w:val="center"/>
        </w:trPr>
        <w:tc>
          <w:tcPr>
            <w:tcW w:w="1286" w:type="dxa"/>
            <w:vAlign w:val="center"/>
            <w:hideMark/>
          </w:tcPr>
          <w:p w14:paraId="3F17BF84" w14:textId="77777777" w:rsidR="00B55D1E" w:rsidRPr="002E0607" w:rsidRDefault="00B55D1E" w:rsidP="002E0607">
            <w:pPr>
              <w:pStyle w:val="NoSpacing"/>
              <w:rPr>
                <w:rFonts w:ascii="Times New Roman" w:hAnsi="Times New Roman" w:cs="Times New Roman"/>
                <w:sz w:val="22"/>
                <w:szCs w:val="22"/>
              </w:rPr>
            </w:pPr>
            <w:r w:rsidRPr="002E0607">
              <w:rPr>
                <w:rFonts w:ascii="Times New Roman" w:hAnsi="Times New Roman" w:cs="Times New Roman"/>
                <w:sz w:val="22"/>
                <w:szCs w:val="22"/>
              </w:rPr>
              <w:t>TOTAL</w:t>
            </w:r>
          </w:p>
        </w:tc>
        <w:tc>
          <w:tcPr>
            <w:tcW w:w="1448" w:type="dxa"/>
            <w:vAlign w:val="center"/>
            <w:hideMark/>
          </w:tcPr>
          <w:p w14:paraId="0D1AF536" w14:textId="77777777" w:rsidR="00B55D1E" w:rsidRPr="002E0607" w:rsidRDefault="00B55D1E" w:rsidP="002E0607">
            <w:pPr>
              <w:pStyle w:val="NoSpacing"/>
              <w:jc w:val="center"/>
              <w:rPr>
                <w:rFonts w:ascii="Times New Roman" w:hAnsi="Times New Roman" w:cs="Times New Roman"/>
                <w:sz w:val="22"/>
                <w:szCs w:val="22"/>
              </w:rPr>
            </w:pPr>
            <w:r w:rsidRPr="002E0607">
              <w:rPr>
                <w:rFonts w:ascii="Times New Roman" w:hAnsi="Times New Roman" w:cs="Times New Roman"/>
                <w:sz w:val="22"/>
                <w:szCs w:val="22"/>
              </w:rPr>
              <w:t>943</w:t>
            </w:r>
          </w:p>
        </w:tc>
        <w:tc>
          <w:tcPr>
            <w:tcW w:w="1327" w:type="dxa"/>
            <w:vAlign w:val="center"/>
            <w:hideMark/>
          </w:tcPr>
          <w:p w14:paraId="5E3DCC51" w14:textId="77777777" w:rsidR="00B55D1E" w:rsidRPr="002E0607" w:rsidRDefault="00B55D1E" w:rsidP="002E0607">
            <w:pPr>
              <w:pStyle w:val="NoSpacing"/>
              <w:jc w:val="center"/>
              <w:rPr>
                <w:rFonts w:ascii="Times New Roman" w:hAnsi="Times New Roman" w:cs="Times New Roman"/>
                <w:sz w:val="22"/>
                <w:szCs w:val="22"/>
              </w:rPr>
            </w:pPr>
            <w:r w:rsidRPr="002E0607">
              <w:rPr>
                <w:rFonts w:ascii="Times New Roman" w:hAnsi="Times New Roman" w:cs="Times New Roman"/>
                <w:sz w:val="22"/>
                <w:szCs w:val="22"/>
              </w:rPr>
              <w:t>0.269</w:t>
            </w:r>
          </w:p>
        </w:tc>
        <w:tc>
          <w:tcPr>
            <w:tcW w:w="2294" w:type="dxa"/>
            <w:vAlign w:val="center"/>
            <w:hideMark/>
          </w:tcPr>
          <w:p w14:paraId="03D42602" w14:textId="77777777" w:rsidR="00B55D1E" w:rsidRPr="002E0607" w:rsidRDefault="00B55D1E" w:rsidP="002E0607">
            <w:pPr>
              <w:pStyle w:val="NoSpacing"/>
              <w:jc w:val="center"/>
              <w:rPr>
                <w:rFonts w:ascii="Times New Roman" w:hAnsi="Times New Roman" w:cs="Times New Roman"/>
                <w:sz w:val="22"/>
                <w:szCs w:val="22"/>
              </w:rPr>
            </w:pPr>
            <w:r w:rsidRPr="002E0607">
              <w:rPr>
                <w:rFonts w:ascii="Times New Roman" w:hAnsi="Times New Roman" w:cs="Times New Roman"/>
                <w:sz w:val="22"/>
                <w:szCs w:val="22"/>
              </w:rPr>
              <w:t>0.568</w:t>
            </w:r>
          </w:p>
        </w:tc>
        <w:tc>
          <w:tcPr>
            <w:tcW w:w="1592" w:type="dxa"/>
            <w:vAlign w:val="center"/>
            <w:hideMark/>
          </w:tcPr>
          <w:p w14:paraId="7CC2C163" w14:textId="77777777" w:rsidR="00B55D1E" w:rsidRPr="002E0607" w:rsidRDefault="00B55D1E" w:rsidP="002E0607">
            <w:pPr>
              <w:pStyle w:val="NoSpacing"/>
              <w:jc w:val="center"/>
              <w:rPr>
                <w:rFonts w:ascii="Times New Roman" w:hAnsi="Times New Roman" w:cs="Times New Roman"/>
                <w:sz w:val="22"/>
                <w:szCs w:val="22"/>
              </w:rPr>
            </w:pPr>
            <w:r w:rsidRPr="002E0607">
              <w:rPr>
                <w:rFonts w:ascii="Times New Roman" w:hAnsi="Times New Roman" w:cs="Times New Roman"/>
                <w:sz w:val="22"/>
                <w:szCs w:val="22"/>
              </w:rPr>
              <w:t>290.53</w:t>
            </w:r>
          </w:p>
        </w:tc>
        <w:tc>
          <w:tcPr>
            <w:tcW w:w="1282" w:type="dxa"/>
            <w:vAlign w:val="center"/>
            <w:hideMark/>
          </w:tcPr>
          <w:p w14:paraId="5681E8AD" w14:textId="77777777" w:rsidR="00B55D1E" w:rsidRPr="002E0607" w:rsidRDefault="00B55D1E" w:rsidP="002E0607">
            <w:pPr>
              <w:pStyle w:val="NoSpacing"/>
              <w:jc w:val="center"/>
              <w:rPr>
                <w:rFonts w:ascii="Times New Roman" w:hAnsi="Times New Roman" w:cs="Times New Roman"/>
                <w:sz w:val="22"/>
                <w:szCs w:val="22"/>
              </w:rPr>
            </w:pPr>
            <w:r w:rsidRPr="002E0607">
              <w:rPr>
                <w:rFonts w:ascii="Times New Roman" w:hAnsi="Times New Roman" w:cs="Times New Roman"/>
                <w:sz w:val="22"/>
                <w:szCs w:val="22"/>
              </w:rPr>
              <w:t>19</w:t>
            </w:r>
          </w:p>
        </w:tc>
        <w:tc>
          <w:tcPr>
            <w:tcW w:w="1174" w:type="dxa"/>
            <w:vAlign w:val="center"/>
            <w:hideMark/>
          </w:tcPr>
          <w:p w14:paraId="50C81C79" w14:textId="77777777" w:rsidR="00B55D1E" w:rsidRPr="002E0607" w:rsidRDefault="00B55D1E" w:rsidP="002E0607">
            <w:pPr>
              <w:pStyle w:val="NoSpacing"/>
              <w:jc w:val="center"/>
              <w:rPr>
                <w:rFonts w:ascii="Times New Roman" w:hAnsi="Times New Roman" w:cs="Times New Roman"/>
                <w:sz w:val="22"/>
                <w:szCs w:val="22"/>
              </w:rPr>
            </w:pPr>
            <w:r w:rsidRPr="002E0607">
              <w:rPr>
                <w:rFonts w:ascii="Times New Roman" w:hAnsi="Times New Roman" w:cs="Times New Roman"/>
                <w:sz w:val="22"/>
                <w:szCs w:val="22"/>
              </w:rPr>
              <w:t>10</w:t>
            </w:r>
          </w:p>
        </w:tc>
        <w:tc>
          <w:tcPr>
            <w:tcW w:w="726" w:type="dxa"/>
            <w:vAlign w:val="center"/>
            <w:hideMark/>
          </w:tcPr>
          <w:p w14:paraId="27F92FD1" w14:textId="77777777" w:rsidR="00B55D1E" w:rsidRPr="002E0607" w:rsidRDefault="00B55D1E" w:rsidP="002E0607">
            <w:pPr>
              <w:pStyle w:val="NoSpacing"/>
              <w:jc w:val="center"/>
              <w:rPr>
                <w:rFonts w:ascii="Times New Roman" w:hAnsi="Times New Roman" w:cs="Times New Roman"/>
                <w:sz w:val="22"/>
                <w:szCs w:val="22"/>
              </w:rPr>
            </w:pPr>
            <w:r w:rsidRPr="002E0607">
              <w:rPr>
                <w:rFonts w:ascii="Times New Roman" w:hAnsi="Times New Roman" w:cs="Times New Roman"/>
                <w:sz w:val="22"/>
                <w:szCs w:val="22"/>
              </w:rPr>
              <w:t>29</w:t>
            </w:r>
          </w:p>
        </w:tc>
        <w:tc>
          <w:tcPr>
            <w:tcW w:w="1589" w:type="dxa"/>
            <w:vAlign w:val="center"/>
            <w:hideMark/>
          </w:tcPr>
          <w:p w14:paraId="1DAC20F2" w14:textId="77777777" w:rsidR="00B55D1E" w:rsidRPr="002E0607" w:rsidRDefault="00B55D1E" w:rsidP="002E0607">
            <w:pPr>
              <w:pStyle w:val="NoSpacing"/>
              <w:jc w:val="center"/>
              <w:rPr>
                <w:rFonts w:ascii="Times New Roman" w:hAnsi="Times New Roman" w:cs="Times New Roman"/>
                <w:sz w:val="22"/>
                <w:szCs w:val="22"/>
              </w:rPr>
            </w:pPr>
            <w:r w:rsidRPr="002E0607">
              <w:rPr>
                <w:rFonts w:ascii="Times New Roman" w:hAnsi="Times New Roman" w:cs="Times New Roman"/>
                <w:sz w:val="22"/>
                <w:szCs w:val="22"/>
              </w:rPr>
              <w:t>68327</w:t>
            </w:r>
          </w:p>
        </w:tc>
        <w:tc>
          <w:tcPr>
            <w:tcW w:w="1539" w:type="dxa"/>
            <w:vAlign w:val="center"/>
            <w:hideMark/>
          </w:tcPr>
          <w:p w14:paraId="6F78AA58" w14:textId="77777777" w:rsidR="00B55D1E" w:rsidRPr="002E0607" w:rsidRDefault="00B55D1E" w:rsidP="002E0607">
            <w:pPr>
              <w:pStyle w:val="NoSpacing"/>
              <w:jc w:val="center"/>
              <w:rPr>
                <w:rFonts w:ascii="Times New Roman" w:hAnsi="Times New Roman" w:cs="Times New Roman"/>
                <w:sz w:val="22"/>
                <w:szCs w:val="22"/>
              </w:rPr>
            </w:pPr>
            <w:r w:rsidRPr="002E0607">
              <w:rPr>
                <w:rFonts w:ascii="Times New Roman" w:hAnsi="Times New Roman" w:cs="Times New Roman"/>
                <w:sz w:val="22"/>
                <w:szCs w:val="22"/>
              </w:rPr>
              <w:t>49943</w:t>
            </w:r>
          </w:p>
        </w:tc>
      </w:tr>
    </w:tbl>
    <w:p w14:paraId="467AE4CD" w14:textId="77777777" w:rsidR="00B55D1E" w:rsidRPr="002E0607" w:rsidRDefault="00B55D1E" w:rsidP="00B55D1E">
      <w:pPr>
        <w:spacing w:after="0"/>
        <w:rPr>
          <w:rFonts w:ascii="Times New Roman" w:hAnsi="Times New Roman" w:cs="Times New Roman"/>
          <w:sz w:val="20"/>
          <w:szCs w:val="20"/>
        </w:rPr>
      </w:pPr>
      <w:r w:rsidRPr="002E0607">
        <w:rPr>
          <w:rFonts w:ascii="Times New Roman" w:hAnsi="Times New Roman" w:cs="Times New Roman"/>
          <w:sz w:val="20"/>
          <w:szCs w:val="20"/>
        </w:rPr>
        <w:t>Source :</w:t>
      </w:r>
      <w:r w:rsidRPr="002E0607">
        <w:rPr>
          <w:rFonts w:ascii="Times New Roman" w:hAnsi="Times New Roman" w:cs="Times New Roman"/>
          <w:sz w:val="20"/>
          <w:szCs w:val="20"/>
        </w:rPr>
        <w:br/>
        <w:t>Col. (1)—Pocket Book of Labour Statistics (1968)—Labour Bureau, Department of Labour and Employment.</w:t>
      </w:r>
      <w:r w:rsidRPr="002E0607">
        <w:rPr>
          <w:rFonts w:ascii="Times New Roman" w:hAnsi="Times New Roman" w:cs="Times New Roman"/>
          <w:sz w:val="20"/>
          <w:szCs w:val="20"/>
        </w:rPr>
        <w:br/>
        <w:t>Col. (2)—Directorate of Economic and Statistics, Ministry of Food and Agriculture, C. D. &amp; Cooperation.</w:t>
      </w:r>
      <w:r w:rsidRPr="002E0607">
        <w:rPr>
          <w:rFonts w:ascii="Times New Roman" w:hAnsi="Times New Roman" w:cs="Times New Roman"/>
          <w:sz w:val="20"/>
          <w:szCs w:val="20"/>
        </w:rPr>
        <w:br/>
        <w:t>Col. (3)—Information on Subsidiary Points submitted by the State Governments.</w:t>
      </w:r>
      <w:r w:rsidRPr="002E0607">
        <w:rPr>
          <w:rFonts w:ascii="Times New Roman" w:hAnsi="Times New Roman" w:cs="Times New Roman"/>
          <w:sz w:val="20"/>
          <w:szCs w:val="20"/>
        </w:rPr>
        <w:br/>
        <w:t>Col. (4)—Census of India—1961.</w:t>
      </w:r>
      <w:r w:rsidRPr="002E0607">
        <w:rPr>
          <w:rFonts w:ascii="Times New Roman" w:hAnsi="Times New Roman" w:cs="Times New Roman"/>
          <w:sz w:val="20"/>
          <w:szCs w:val="20"/>
        </w:rPr>
        <w:br/>
        <w:t>Col. (5)—Ministry of Railways (Railway Board).</w:t>
      </w:r>
      <w:r w:rsidRPr="002E0607">
        <w:rPr>
          <w:rFonts w:ascii="Times New Roman" w:hAnsi="Times New Roman" w:cs="Times New Roman"/>
          <w:sz w:val="20"/>
          <w:szCs w:val="20"/>
        </w:rPr>
        <w:br/>
        <w:t>Col. (6)—Basic Road Statistics of India (1968), Ministry of Transport and Shipping.</w:t>
      </w:r>
      <w:r w:rsidRPr="002E0607">
        <w:rPr>
          <w:rFonts w:ascii="Times New Roman" w:hAnsi="Times New Roman" w:cs="Times New Roman"/>
          <w:sz w:val="20"/>
          <w:szCs w:val="20"/>
        </w:rPr>
        <w:br/>
        <w:t>Cols. (8) and (9)—Selected Educational Statistics, Ministry of Education.</w:t>
      </w:r>
    </w:p>
    <w:p w14:paraId="7E4D9E05" w14:textId="77777777" w:rsidR="00B55D1E" w:rsidRPr="002E0607" w:rsidRDefault="00B55D1E" w:rsidP="00B55D1E">
      <w:pPr>
        <w:spacing w:after="0"/>
        <w:rPr>
          <w:rFonts w:ascii="Times New Roman" w:hAnsi="Times New Roman" w:cs="Times New Roman"/>
          <w:sz w:val="20"/>
          <w:szCs w:val="20"/>
        </w:rPr>
      </w:pPr>
      <w:r w:rsidRPr="002E0607">
        <w:rPr>
          <w:rFonts w:ascii="Times New Roman" w:hAnsi="Times New Roman" w:cs="Times New Roman"/>
          <w:sz w:val="20"/>
          <w:szCs w:val="20"/>
        </w:rPr>
        <w:t>NOTES:</w:t>
      </w:r>
    </w:p>
    <w:p w14:paraId="73A873B9" w14:textId="653535EB" w:rsidR="00B55D1E" w:rsidRPr="002E0607" w:rsidRDefault="00B55D1E" w:rsidP="00B55D1E">
      <w:pPr>
        <w:spacing w:after="0"/>
        <w:rPr>
          <w:rFonts w:ascii="Times New Roman" w:hAnsi="Times New Roman" w:cs="Times New Roman"/>
          <w:sz w:val="20"/>
          <w:szCs w:val="20"/>
        </w:rPr>
      </w:pPr>
      <w:r w:rsidRPr="002E0607">
        <w:rPr>
          <w:rFonts w:ascii="Times New Roman" w:hAnsi="Times New Roman" w:cs="Times New Roman"/>
          <w:sz w:val="20"/>
          <w:szCs w:val="20"/>
        </w:rPr>
        <w:t>Col. (4)—There are no Scheduled Tribes in Haryana, Jammu and Kashmir, Punjab and Uttar Pradesh.</w:t>
      </w:r>
      <w:r w:rsidRPr="002E0607">
        <w:rPr>
          <w:rFonts w:ascii="Times New Roman" w:hAnsi="Times New Roman" w:cs="Times New Roman"/>
          <w:sz w:val="20"/>
          <w:szCs w:val="20"/>
        </w:rPr>
        <w:br/>
        <w:t>Cols. (8) and (9)—The pupils in classes I to V also include those who are above or below the age group of 6 to 11 years. Hence the enrolment in certain cases</w:t>
      </w:r>
      <w:r w:rsidR="009A78EE" w:rsidRPr="002E0607">
        <w:rPr>
          <w:rFonts w:ascii="Times New Roman" w:hAnsi="Times New Roman" w:cs="Times New Roman"/>
          <w:sz w:val="20"/>
          <w:szCs w:val="20"/>
        </w:rPr>
        <w:t xml:space="preserve"> </w:t>
      </w:r>
      <w:r w:rsidRPr="002E0607">
        <w:rPr>
          <w:rFonts w:ascii="Times New Roman" w:hAnsi="Times New Roman" w:cs="Times New Roman"/>
          <w:sz w:val="20"/>
          <w:szCs w:val="20"/>
        </w:rPr>
        <w:t>exceeds the corresponding population.</w:t>
      </w:r>
    </w:p>
    <w:p w14:paraId="5B6A1766" w14:textId="77777777" w:rsidR="00B55D1E" w:rsidRPr="007245B0" w:rsidRDefault="00B55D1E" w:rsidP="00726EC7">
      <w:pPr>
        <w:tabs>
          <w:tab w:val="left" w:pos="1214"/>
        </w:tabs>
        <w:rPr>
          <w:rFonts w:ascii="Times New Roman" w:hAnsi="Times New Roman" w:cs="Times New Roman"/>
          <w:i/>
          <w:iCs/>
          <w:szCs w:val="24"/>
        </w:rPr>
        <w:sectPr w:rsidR="00B55D1E" w:rsidRPr="007245B0" w:rsidSect="00937698">
          <w:pgSz w:w="15840" w:h="12240" w:orient="landscape"/>
          <w:pgMar w:top="1440" w:right="992" w:bottom="1440" w:left="1440" w:header="720" w:footer="720" w:gutter="0"/>
          <w:cols w:space="720"/>
        </w:sectPr>
      </w:pPr>
    </w:p>
    <w:p w14:paraId="531B7B64" w14:textId="6B8D12D9" w:rsidR="002A212C" w:rsidRPr="007245B0" w:rsidRDefault="00574BCE" w:rsidP="007D2EE4">
      <w:pPr>
        <w:pStyle w:val="Heading4"/>
      </w:pPr>
      <w:bookmarkStart w:id="183" w:name="_Toc220949731"/>
      <w:bookmarkStart w:id="184" w:name="_Toc221114331"/>
      <w:bookmarkStart w:id="185" w:name="_Toc221115354"/>
      <w:r>
        <w:lastRenderedPageBreak/>
        <w:t>Table</w:t>
      </w:r>
      <w:r w:rsidR="002A212C" w:rsidRPr="007245B0">
        <w:t xml:space="preserve"> 50: State-wise consumption estimates of Cigarettes</w:t>
      </w:r>
      <w:bookmarkEnd w:id="183"/>
      <w:bookmarkEnd w:id="184"/>
      <w:bookmarkEnd w:id="185"/>
      <w:r w:rsidR="002A212C" w:rsidRPr="007245B0">
        <w:br/>
      </w:r>
    </w:p>
    <w:p w14:paraId="60597B80" w14:textId="77777777" w:rsidR="002A212C" w:rsidRPr="007245B0" w:rsidRDefault="002A212C" w:rsidP="002A212C">
      <w:pPr>
        <w:spacing w:after="0"/>
        <w:jc w:val="right"/>
        <w:rPr>
          <w:rFonts w:ascii="Times New Roman" w:hAnsi="Times New Roman" w:cs="Times New Roman"/>
          <w:i/>
          <w:iCs/>
          <w:szCs w:val="24"/>
        </w:rPr>
      </w:pPr>
      <w:r w:rsidRPr="007245B0">
        <w:rPr>
          <w:rFonts w:ascii="Times New Roman" w:hAnsi="Times New Roman" w:cs="Times New Roman"/>
          <w:i/>
          <w:iCs/>
          <w:szCs w:val="24"/>
        </w:rPr>
        <w:t>(Million numbers)</w:t>
      </w:r>
    </w:p>
    <w:tbl>
      <w:tblPr>
        <w:tblStyle w:val="TableGrid"/>
        <w:tblW w:w="10421" w:type="dxa"/>
        <w:tblLook w:val="04A0" w:firstRow="1" w:lastRow="0" w:firstColumn="1" w:lastColumn="0" w:noHBand="0" w:noVBand="1"/>
      </w:tblPr>
      <w:tblGrid>
        <w:gridCol w:w="2550"/>
        <w:gridCol w:w="1967"/>
        <w:gridCol w:w="1968"/>
        <w:gridCol w:w="1968"/>
        <w:gridCol w:w="1968"/>
      </w:tblGrid>
      <w:tr w:rsidR="002A212C" w:rsidRPr="007245B0" w14:paraId="3EA62585" w14:textId="77777777" w:rsidTr="002E0607">
        <w:trPr>
          <w:trHeight w:val="460"/>
        </w:trPr>
        <w:tc>
          <w:tcPr>
            <w:tcW w:w="0" w:type="auto"/>
            <w:vAlign w:val="center"/>
            <w:hideMark/>
          </w:tcPr>
          <w:p w14:paraId="63E3C4F9" w14:textId="77777777" w:rsidR="002A212C" w:rsidRPr="002E0607" w:rsidRDefault="002A212C" w:rsidP="002E0607">
            <w:pPr>
              <w:pStyle w:val="NoSpacing"/>
              <w:jc w:val="center"/>
              <w:rPr>
                <w:rFonts w:ascii="Times New Roman" w:hAnsi="Times New Roman" w:cs="Times New Roman"/>
                <w:b/>
                <w:bCs/>
              </w:rPr>
            </w:pPr>
            <w:r w:rsidRPr="002E0607">
              <w:rPr>
                <w:rFonts w:ascii="Times New Roman" w:hAnsi="Times New Roman" w:cs="Times New Roman"/>
                <w:b/>
                <w:bCs/>
              </w:rPr>
              <w:t>States</w:t>
            </w:r>
          </w:p>
        </w:tc>
        <w:tc>
          <w:tcPr>
            <w:tcW w:w="0" w:type="auto"/>
            <w:vAlign w:val="center"/>
            <w:hideMark/>
          </w:tcPr>
          <w:p w14:paraId="34087EBE" w14:textId="77777777" w:rsidR="002A212C" w:rsidRPr="002E0607" w:rsidRDefault="002A212C" w:rsidP="002E0607">
            <w:pPr>
              <w:pStyle w:val="NoSpacing"/>
              <w:jc w:val="center"/>
              <w:rPr>
                <w:rFonts w:ascii="Times New Roman" w:hAnsi="Times New Roman" w:cs="Times New Roman"/>
                <w:b/>
                <w:bCs/>
              </w:rPr>
            </w:pPr>
            <w:r w:rsidRPr="002E0607">
              <w:rPr>
                <w:rFonts w:ascii="Times New Roman" w:hAnsi="Times New Roman" w:cs="Times New Roman"/>
                <w:b/>
                <w:bCs/>
              </w:rPr>
              <w:t>1964</w:t>
            </w:r>
          </w:p>
        </w:tc>
        <w:tc>
          <w:tcPr>
            <w:tcW w:w="0" w:type="auto"/>
            <w:vAlign w:val="center"/>
            <w:hideMark/>
          </w:tcPr>
          <w:p w14:paraId="44F30348" w14:textId="77777777" w:rsidR="002A212C" w:rsidRPr="002E0607" w:rsidRDefault="002A212C" w:rsidP="002E0607">
            <w:pPr>
              <w:pStyle w:val="NoSpacing"/>
              <w:jc w:val="center"/>
              <w:rPr>
                <w:rFonts w:ascii="Times New Roman" w:hAnsi="Times New Roman" w:cs="Times New Roman"/>
                <w:b/>
                <w:bCs/>
              </w:rPr>
            </w:pPr>
            <w:r w:rsidRPr="002E0607">
              <w:rPr>
                <w:rFonts w:ascii="Times New Roman" w:hAnsi="Times New Roman" w:cs="Times New Roman"/>
                <w:b/>
                <w:bCs/>
              </w:rPr>
              <w:t>1965</w:t>
            </w:r>
          </w:p>
        </w:tc>
        <w:tc>
          <w:tcPr>
            <w:tcW w:w="0" w:type="auto"/>
            <w:vAlign w:val="center"/>
            <w:hideMark/>
          </w:tcPr>
          <w:p w14:paraId="39D1CD34" w14:textId="77777777" w:rsidR="002A212C" w:rsidRPr="002E0607" w:rsidRDefault="002A212C" w:rsidP="002E0607">
            <w:pPr>
              <w:pStyle w:val="NoSpacing"/>
              <w:jc w:val="center"/>
              <w:rPr>
                <w:rFonts w:ascii="Times New Roman" w:hAnsi="Times New Roman" w:cs="Times New Roman"/>
                <w:b/>
                <w:bCs/>
              </w:rPr>
            </w:pPr>
            <w:r w:rsidRPr="002E0607">
              <w:rPr>
                <w:rFonts w:ascii="Times New Roman" w:hAnsi="Times New Roman" w:cs="Times New Roman"/>
                <w:b/>
                <w:bCs/>
              </w:rPr>
              <w:t>1966</w:t>
            </w:r>
          </w:p>
        </w:tc>
        <w:tc>
          <w:tcPr>
            <w:tcW w:w="0" w:type="auto"/>
            <w:vAlign w:val="center"/>
            <w:hideMark/>
          </w:tcPr>
          <w:p w14:paraId="40BA1AE2" w14:textId="77777777" w:rsidR="002A212C" w:rsidRPr="002E0607" w:rsidRDefault="002A212C" w:rsidP="002E0607">
            <w:pPr>
              <w:pStyle w:val="NoSpacing"/>
              <w:jc w:val="center"/>
              <w:rPr>
                <w:rFonts w:ascii="Times New Roman" w:hAnsi="Times New Roman" w:cs="Times New Roman"/>
                <w:b/>
                <w:bCs/>
              </w:rPr>
            </w:pPr>
            <w:r w:rsidRPr="002E0607">
              <w:rPr>
                <w:rFonts w:ascii="Times New Roman" w:hAnsi="Times New Roman" w:cs="Times New Roman"/>
                <w:b/>
                <w:bCs/>
              </w:rPr>
              <w:t>1967</w:t>
            </w:r>
          </w:p>
        </w:tc>
      </w:tr>
      <w:tr w:rsidR="002A212C" w:rsidRPr="007245B0" w14:paraId="448DA7AB" w14:textId="77777777" w:rsidTr="002E0607">
        <w:trPr>
          <w:trHeight w:val="434"/>
        </w:trPr>
        <w:tc>
          <w:tcPr>
            <w:tcW w:w="0" w:type="auto"/>
            <w:vAlign w:val="center"/>
            <w:hideMark/>
          </w:tcPr>
          <w:p w14:paraId="06FA3BDB" w14:textId="77777777" w:rsidR="002A212C" w:rsidRPr="007245B0" w:rsidRDefault="002A212C" w:rsidP="002E0607">
            <w:pPr>
              <w:pStyle w:val="NoSpacing"/>
              <w:rPr>
                <w:rFonts w:ascii="Times New Roman" w:hAnsi="Times New Roman" w:cs="Times New Roman"/>
              </w:rPr>
            </w:pPr>
            <w:r w:rsidRPr="007245B0">
              <w:rPr>
                <w:rFonts w:ascii="Times New Roman" w:hAnsi="Times New Roman" w:cs="Times New Roman"/>
              </w:rPr>
              <w:t>Andhra Pradesh</w:t>
            </w:r>
          </w:p>
        </w:tc>
        <w:tc>
          <w:tcPr>
            <w:tcW w:w="0" w:type="auto"/>
            <w:vAlign w:val="center"/>
            <w:hideMark/>
          </w:tcPr>
          <w:p w14:paraId="48D7008C" w14:textId="77777777" w:rsidR="002A212C" w:rsidRPr="007245B0" w:rsidRDefault="002A212C" w:rsidP="002E0607">
            <w:pPr>
              <w:pStyle w:val="NoSpacing"/>
              <w:jc w:val="center"/>
              <w:rPr>
                <w:rFonts w:ascii="Times New Roman" w:hAnsi="Times New Roman" w:cs="Times New Roman"/>
              </w:rPr>
            </w:pPr>
            <w:r w:rsidRPr="007245B0">
              <w:rPr>
                <w:rFonts w:ascii="Times New Roman" w:hAnsi="Times New Roman" w:cs="Times New Roman"/>
              </w:rPr>
              <w:t>2152 (4.7)</w:t>
            </w:r>
          </w:p>
        </w:tc>
        <w:tc>
          <w:tcPr>
            <w:tcW w:w="0" w:type="auto"/>
            <w:vAlign w:val="center"/>
            <w:hideMark/>
          </w:tcPr>
          <w:p w14:paraId="7B3CD957" w14:textId="77777777" w:rsidR="002A212C" w:rsidRPr="007245B0" w:rsidRDefault="002A212C" w:rsidP="002E0607">
            <w:pPr>
              <w:pStyle w:val="NoSpacing"/>
              <w:jc w:val="center"/>
              <w:rPr>
                <w:rFonts w:ascii="Times New Roman" w:hAnsi="Times New Roman" w:cs="Times New Roman"/>
              </w:rPr>
            </w:pPr>
            <w:r w:rsidRPr="007245B0">
              <w:rPr>
                <w:rFonts w:ascii="Times New Roman" w:hAnsi="Times New Roman" w:cs="Times New Roman"/>
              </w:rPr>
              <w:t>2493 (4.6)</w:t>
            </w:r>
          </w:p>
        </w:tc>
        <w:tc>
          <w:tcPr>
            <w:tcW w:w="0" w:type="auto"/>
            <w:vAlign w:val="center"/>
            <w:hideMark/>
          </w:tcPr>
          <w:p w14:paraId="686AE0AE" w14:textId="77777777" w:rsidR="002A212C" w:rsidRPr="007245B0" w:rsidRDefault="002A212C" w:rsidP="002E0607">
            <w:pPr>
              <w:pStyle w:val="NoSpacing"/>
              <w:jc w:val="center"/>
              <w:rPr>
                <w:rFonts w:ascii="Times New Roman" w:hAnsi="Times New Roman" w:cs="Times New Roman"/>
              </w:rPr>
            </w:pPr>
            <w:r w:rsidRPr="007245B0">
              <w:rPr>
                <w:rFonts w:ascii="Times New Roman" w:hAnsi="Times New Roman" w:cs="Times New Roman"/>
              </w:rPr>
              <w:t>2886 (4.9)</w:t>
            </w:r>
          </w:p>
        </w:tc>
        <w:tc>
          <w:tcPr>
            <w:tcW w:w="0" w:type="auto"/>
            <w:vAlign w:val="center"/>
            <w:hideMark/>
          </w:tcPr>
          <w:p w14:paraId="673A59A3" w14:textId="77777777" w:rsidR="002A212C" w:rsidRPr="007245B0" w:rsidRDefault="002A212C" w:rsidP="002E0607">
            <w:pPr>
              <w:pStyle w:val="NoSpacing"/>
              <w:jc w:val="center"/>
              <w:rPr>
                <w:rFonts w:ascii="Times New Roman" w:hAnsi="Times New Roman" w:cs="Times New Roman"/>
              </w:rPr>
            </w:pPr>
            <w:r w:rsidRPr="007245B0">
              <w:rPr>
                <w:rFonts w:ascii="Times New Roman" w:hAnsi="Times New Roman" w:cs="Times New Roman"/>
              </w:rPr>
              <w:t>2828 (5.2)</w:t>
            </w:r>
          </w:p>
        </w:tc>
      </w:tr>
      <w:tr w:rsidR="002A212C" w:rsidRPr="007245B0" w14:paraId="2D48FDA1" w14:textId="77777777" w:rsidTr="002E0607">
        <w:trPr>
          <w:trHeight w:val="460"/>
        </w:trPr>
        <w:tc>
          <w:tcPr>
            <w:tcW w:w="0" w:type="auto"/>
            <w:vAlign w:val="center"/>
            <w:hideMark/>
          </w:tcPr>
          <w:p w14:paraId="096622B7" w14:textId="77777777" w:rsidR="002A212C" w:rsidRPr="007245B0" w:rsidRDefault="002A212C" w:rsidP="002E0607">
            <w:pPr>
              <w:pStyle w:val="NoSpacing"/>
              <w:rPr>
                <w:rFonts w:ascii="Times New Roman" w:hAnsi="Times New Roman" w:cs="Times New Roman"/>
              </w:rPr>
            </w:pPr>
            <w:r w:rsidRPr="007245B0">
              <w:rPr>
                <w:rFonts w:ascii="Times New Roman" w:hAnsi="Times New Roman" w:cs="Times New Roman"/>
              </w:rPr>
              <w:t>Assam</w:t>
            </w:r>
          </w:p>
        </w:tc>
        <w:tc>
          <w:tcPr>
            <w:tcW w:w="0" w:type="auto"/>
            <w:vAlign w:val="center"/>
            <w:hideMark/>
          </w:tcPr>
          <w:p w14:paraId="2E4E86EC" w14:textId="77777777" w:rsidR="002A212C" w:rsidRPr="007245B0" w:rsidRDefault="002A212C" w:rsidP="002E0607">
            <w:pPr>
              <w:pStyle w:val="NoSpacing"/>
              <w:jc w:val="center"/>
              <w:rPr>
                <w:rFonts w:ascii="Times New Roman" w:hAnsi="Times New Roman" w:cs="Times New Roman"/>
              </w:rPr>
            </w:pPr>
            <w:r w:rsidRPr="007245B0">
              <w:rPr>
                <w:rFonts w:ascii="Times New Roman" w:hAnsi="Times New Roman" w:cs="Times New Roman"/>
              </w:rPr>
              <w:t>1347 (3.0)</w:t>
            </w:r>
          </w:p>
        </w:tc>
        <w:tc>
          <w:tcPr>
            <w:tcW w:w="0" w:type="auto"/>
            <w:vAlign w:val="center"/>
            <w:hideMark/>
          </w:tcPr>
          <w:p w14:paraId="159AC74E" w14:textId="77777777" w:rsidR="002A212C" w:rsidRPr="007245B0" w:rsidRDefault="002A212C" w:rsidP="002E0607">
            <w:pPr>
              <w:pStyle w:val="NoSpacing"/>
              <w:jc w:val="center"/>
              <w:rPr>
                <w:rFonts w:ascii="Times New Roman" w:hAnsi="Times New Roman" w:cs="Times New Roman"/>
              </w:rPr>
            </w:pPr>
            <w:r w:rsidRPr="007245B0">
              <w:rPr>
                <w:rFonts w:ascii="Times New Roman" w:hAnsi="Times New Roman" w:cs="Times New Roman"/>
              </w:rPr>
              <w:t>1680 (3.1)</w:t>
            </w:r>
          </w:p>
        </w:tc>
        <w:tc>
          <w:tcPr>
            <w:tcW w:w="0" w:type="auto"/>
            <w:vAlign w:val="center"/>
            <w:hideMark/>
          </w:tcPr>
          <w:p w14:paraId="6DDCBE52" w14:textId="77777777" w:rsidR="002A212C" w:rsidRPr="007245B0" w:rsidRDefault="002A212C" w:rsidP="002E0607">
            <w:pPr>
              <w:pStyle w:val="NoSpacing"/>
              <w:jc w:val="center"/>
              <w:rPr>
                <w:rFonts w:ascii="Times New Roman" w:hAnsi="Times New Roman" w:cs="Times New Roman"/>
              </w:rPr>
            </w:pPr>
            <w:r w:rsidRPr="007245B0">
              <w:rPr>
                <w:rFonts w:ascii="Times New Roman" w:hAnsi="Times New Roman" w:cs="Times New Roman"/>
              </w:rPr>
              <w:t>2002 (3.4)</w:t>
            </w:r>
          </w:p>
        </w:tc>
        <w:tc>
          <w:tcPr>
            <w:tcW w:w="0" w:type="auto"/>
            <w:vAlign w:val="center"/>
            <w:hideMark/>
          </w:tcPr>
          <w:p w14:paraId="487E3877" w14:textId="77777777" w:rsidR="002A212C" w:rsidRPr="007245B0" w:rsidRDefault="002A212C" w:rsidP="002E0607">
            <w:pPr>
              <w:pStyle w:val="NoSpacing"/>
              <w:jc w:val="center"/>
              <w:rPr>
                <w:rFonts w:ascii="Times New Roman" w:hAnsi="Times New Roman" w:cs="Times New Roman"/>
              </w:rPr>
            </w:pPr>
            <w:r w:rsidRPr="007245B0">
              <w:rPr>
                <w:rFonts w:ascii="Times New Roman" w:hAnsi="Times New Roman" w:cs="Times New Roman"/>
              </w:rPr>
              <w:t>1903 (3.5)</w:t>
            </w:r>
          </w:p>
        </w:tc>
      </w:tr>
      <w:tr w:rsidR="002A212C" w:rsidRPr="007245B0" w14:paraId="5DD6C58A" w14:textId="77777777" w:rsidTr="002E0607">
        <w:trPr>
          <w:trHeight w:val="434"/>
        </w:trPr>
        <w:tc>
          <w:tcPr>
            <w:tcW w:w="0" w:type="auto"/>
            <w:vAlign w:val="center"/>
            <w:hideMark/>
          </w:tcPr>
          <w:p w14:paraId="6436DF81" w14:textId="77777777" w:rsidR="002A212C" w:rsidRPr="007245B0" w:rsidRDefault="002A212C" w:rsidP="002E0607">
            <w:pPr>
              <w:pStyle w:val="NoSpacing"/>
              <w:rPr>
                <w:rFonts w:ascii="Times New Roman" w:hAnsi="Times New Roman" w:cs="Times New Roman"/>
              </w:rPr>
            </w:pPr>
            <w:r w:rsidRPr="007245B0">
              <w:rPr>
                <w:rFonts w:ascii="Times New Roman" w:hAnsi="Times New Roman" w:cs="Times New Roman"/>
              </w:rPr>
              <w:t>Bihar</w:t>
            </w:r>
          </w:p>
        </w:tc>
        <w:tc>
          <w:tcPr>
            <w:tcW w:w="0" w:type="auto"/>
            <w:vAlign w:val="center"/>
            <w:hideMark/>
          </w:tcPr>
          <w:p w14:paraId="282945C9" w14:textId="77777777" w:rsidR="002A212C" w:rsidRPr="007245B0" w:rsidRDefault="002A212C" w:rsidP="002E0607">
            <w:pPr>
              <w:pStyle w:val="NoSpacing"/>
              <w:jc w:val="center"/>
              <w:rPr>
                <w:rFonts w:ascii="Times New Roman" w:hAnsi="Times New Roman" w:cs="Times New Roman"/>
              </w:rPr>
            </w:pPr>
            <w:r w:rsidRPr="007245B0">
              <w:rPr>
                <w:rFonts w:ascii="Times New Roman" w:hAnsi="Times New Roman" w:cs="Times New Roman"/>
              </w:rPr>
              <w:t>2427 (5.3)</w:t>
            </w:r>
          </w:p>
        </w:tc>
        <w:tc>
          <w:tcPr>
            <w:tcW w:w="0" w:type="auto"/>
            <w:vAlign w:val="center"/>
            <w:hideMark/>
          </w:tcPr>
          <w:p w14:paraId="5266F567" w14:textId="77777777" w:rsidR="002A212C" w:rsidRPr="007245B0" w:rsidRDefault="002A212C" w:rsidP="002E0607">
            <w:pPr>
              <w:pStyle w:val="NoSpacing"/>
              <w:jc w:val="center"/>
              <w:rPr>
                <w:rFonts w:ascii="Times New Roman" w:hAnsi="Times New Roman" w:cs="Times New Roman"/>
              </w:rPr>
            </w:pPr>
            <w:r w:rsidRPr="007245B0">
              <w:rPr>
                <w:rFonts w:ascii="Times New Roman" w:hAnsi="Times New Roman" w:cs="Times New Roman"/>
              </w:rPr>
              <w:t>3251 (6.0)</w:t>
            </w:r>
          </w:p>
        </w:tc>
        <w:tc>
          <w:tcPr>
            <w:tcW w:w="0" w:type="auto"/>
            <w:vAlign w:val="center"/>
            <w:hideMark/>
          </w:tcPr>
          <w:p w14:paraId="52E151E6" w14:textId="77777777" w:rsidR="002A212C" w:rsidRPr="007245B0" w:rsidRDefault="002A212C" w:rsidP="002E0607">
            <w:pPr>
              <w:pStyle w:val="NoSpacing"/>
              <w:jc w:val="center"/>
              <w:rPr>
                <w:rFonts w:ascii="Times New Roman" w:hAnsi="Times New Roman" w:cs="Times New Roman"/>
              </w:rPr>
            </w:pPr>
            <w:r w:rsidRPr="007245B0">
              <w:rPr>
                <w:rFonts w:ascii="Times New Roman" w:hAnsi="Times New Roman" w:cs="Times New Roman"/>
              </w:rPr>
              <w:t>3298 (5.6)</w:t>
            </w:r>
          </w:p>
        </w:tc>
        <w:tc>
          <w:tcPr>
            <w:tcW w:w="0" w:type="auto"/>
            <w:vAlign w:val="center"/>
            <w:hideMark/>
          </w:tcPr>
          <w:p w14:paraId="290FCA75" w14:textId="77777777" w:rsidR="002A212C" w:rsidRPr="007245B0" w:rsidRDefault="002A212C" w:rsidP="002E0607">
            <w:pPr>
              <w:pStyle w:val="NoSpacing"/>
              <w:jc w:val="center"/>
              <w:rPr>
                <w:rFonts w:ascii="Times New Roman" w:hAnsi="Times New Roman" w:cs="Times New Roman"/>
              </w:rPr>
            </w:pPr>
            <w:r w:rsidRPr="007245B0">
              <w:rPr>
                <w:rFonts w:ascii="Times New Roman" w:hAnsi="Times New Roman" w:cs="Times New Roman"/>
              </w:rPr>
              <w:t>2556 (4.7)</w:t>
            </w:r>
          </w:p>
        </w:tc>
      </w:tr>
      <w:tr w:rsidR="002A212C" w:rsidRPr="007245B0" w14:paraId="2857B750" w14:textId="77777777" w:rsidTr="002E0607">
        <w:trPr>
          <w:trHeight w:val="460"/>
        </w:trPr>
        <w:tc>
          <w:tcPr>
            <w:tcW w:w="0" w:type="auto"/>
            <w:vAlign w:val="center"/>
            <w:hideMark/>
          </w:tcPr>
          <w:p w14:paraId="13653393" w14:textId="77777777" w:rsidR="002A212C" w:rsidRPr="007245B0" w:rsidRDefault="002A212C" w:rsidP="002E0607">
            <w:pPr>
              <w:pStyle w:val="NoSpacing"/>
              <w:rPr>
                <w:rFonts w:ascii="Times New Roman" w:hAnsi="Times New Roman" w:cs="Times New Roman"/>
              </w:rPr>
            </w:pPr>
            <w:r w:rsidRPr="007245B0">
              <w:rPr>
                <w:rFonts w:ascii="Times New Roman" w:hAnsi="Times New Roman" w:cs="Times New Roman"/>
              </w:rPr>
              <w:t>Gujarat</w:t>
            </w:r>
          </w:p>
        </w:tc>
        <w:tc>
          <w:tcPr>
            <w:tcW w:w="0" w:type="auto"/>
            <w:vAlign w:val="center"/>
            <w:hideMark/>
          </w:tcPr>
          <w:p w14:paraId="2C784C38" w14:textId="77777777" w:rsidR="002A212C" w:rsidRPr="007245B0" w:rsidRDefault="002A212C" w:rsidP="002E0607">
            <w:pPr>
              <w:pStyle w:val="NoSpacing"/>
              <w:jc w:val="center"/>
              <w:rPr>
                <w:rFonts w:ascii="Times New Roman" w:hAnsi="Times New Roman" w:cs="Times New Roman"/>
              </w:rPr>
            </w:pPr>
            <w:r w:rsidRPr="007245B0">
              <w:rPr>
                <w:rFonts w:ascii="Times New Roman" w:hAnsi="Times New Roman" w:cs="Times New Roman"/>
              </w:rPr>
              <w:t>1557 (3.4)</w:t>
            </w:r>
          </w:p>
        </w:tc>
        <w:tc>
          <w:tcPr>
            <w:tcW w:w="0" w:type="auto"/>
            <w:vAlign w:val="center"/>
            <w:hideMark/>
          </w:tcPr>
          <w:p w14:paraId="1E10D491" w14:textId="77777777" w:rsidR="002A212C" w:rsidRPr="007245B0" w:rsidRDefault="002A212C" w:rsidP="002E0607">
            <w:pPr>
              <w:pStyle w:val="NoSpacing"/>
              <w:jc w:val="center"/>
              <w:rPr>
                <w:rFonts w:ascii="Times New Roman" w:hAnsi="Times New Roman" w:cs="Times New Roman"/>
              </w:rPr>
            </w:pPr>
            <w:r w:rsidRPr="007245B0">
              <w:rPr>
                <w:rFonts w:ascii="Times New Roman" w:hAnsi="Times New Roman" w:cs="Times New Roman"/>
              </w:rPr>
              <w:t>1734 (3.2)</w:t>
            </w:r>
          </w:p>
        </w:tc>
        <w:tc>
          <w:tcPr>
            <w:tcW w:w="0" w:type="auto"/>
            <w:vAlign w:val="center"/>
            <w:hideMark/>
          </w:tcPr>
          <w:p w14:paraId="06B77873" w14:textId="77777777" w:rsidR="002A212C" w:rsidRPr="007245B0" w:rsidRDefault="002A212C" w:rsidP="002E0607">
            <w:pPr>
              <w:pStyle w:val="NoSpacing"/>
              <w:jc w:val="center"/>
              <w:rPr>
                <w:rFonts w:ascii="Times New Roman" w:hAnsi="Times New Roman" w:cs="Times New Roman"/>
              </w:rPr>
            </w:pPr>
            <w:r w:rsidRPr="007245B0">
              <w:rPr>
                <w:rFonts w:ascii="Times New Roman" w:hAnsi="Times New Roman" w:cs="Times New Roman"/>
              </w:rPr>
              <w:t>1649 (2.8)</w:t>
            </w:r>
          </w:p>
        </w:tc>
        <w:tc>
          <w:tcPr>
            <w:tcW w:w="0" w:type="auto"/>
            <w:vAlign w:val="center"/>
            <w:hideMark/>
          </w:tcPr>
          <w:p w14:paraId="479488FA" w14:textId="77777777" w:rsidR="002A212C" w:rsidRPr="007245B0" w:rsidRDefault="002A212C" w:rsidP="002E0607">
            <w:pPr>
              <w:pStyle w:val="NoSpacing"/>
              <w:jc w:val="center"/>
              <w:rPr>
                <w:rFonts w:ascii="Times New Roman" w:hAnsi="Times New Roman" w:cs="Times New Roman"/>
              </w:rPr>
            </w:pPr>
            <w:r w:rsidRPr="007245B0">
              <w:rPr>
                <w:rFonts w:ascii="Times New Roman" w:hAnsi="Times New Roman" w:cs="Times New Roman"/>
              </w:rPr>
              <w:t>1631 (3.0)</w:t>
            </w:r>
          </w:p>
        </w:tc>
      </w:tr>
      <w:tr w:rsidR="002A212C" w:rsidRPr="007245B0" w14:paraId="56C4DDF8" w14:textId="77777777" w:rsidTr="002E0607">
        <w:trPr>
          <w:trHeight w:val="434"/>
        </w:trPr>
        <w:tc>
          <w:tcPr>
            <w:tcW w:w="0" w:type="auto"/>
            <w:vAlign w:val="center"/>
            <w:hideMark/>
          </w:tcPr>
          <w:p w14:paraId="48203F65" w14:textId="77777777" w:rsidR="002A212C" w:rsidRPr="007245B0" w:rsidRDefault="002A212C" w:rsidP="002E0607">
            <w:pPr>
              <w:pStyle w:val="NoSpacing"/>
              <w:rPr>
                <w:rFonts w:ascii="Times New Roman" w:hAnsi="Times New Roman" w:cs="Times New Roman"/>
              </w:rPr>
            </w:pPr>
            <w:r w:rsidRPr="007245B0">
              <w:rPr>
                <w:rFonts w:ascii="Times New Roman" w:hAnsi="Times New Roman" w:cs="Times New Roman"/>
              </w:rPr>
              <w:t>Haryana</w:t>
            </w:r>
          </w:p>
        </w:tc>
        <w:tc>
          <w:tcPr>
            <w:tcW w:w="0" w:type="auto"/>
            <w:vAlign w:val="center"/>
            <w:hideMark/>
          </w:tcPr>
          <w:p w14:paraId="182CDC89" w14:textId="77777777" w:rsidR="002A212C" w:rsidRPr="007245B0" w:rsidRDefault="002A212C" w:rsidP="002E0607">
            <w:pPr>
              <w:pStyle w:val="NoSpacing"/>
              <w:jc w:val="center"/>
              <w:rPr>
                <w:rFonts w:ascii="Times New Roman" w:hAnsi="Times New Roman" w:cs="Times New Roman"/>
              </w:rPr>
            </w:pPr>
            <w:r w:rsidRPr="007245B0">
              <w:rPr>
                <w:rFonts w:ascii="Times New Roman" w:hAnsi="Times New Roman" w:cs="Times New Roman"/>
              </w:rPr>
              <w:t>$</w:t>
            </w:r>
          </w:p>
        </w:tc>
        <w:tc>
          <w:tcPr>
            <w:tcW w:w="0" w:type="auto"/>
            <w:vAlign w:val="center"/>
            <w:hideMark/>
          </w:tcPr>
          <w:p w14:paraId="0C153B41" w14:textId="77777777" w:rsidR="002A212C" w:rsidRPr="007245B0" w:rsidRDefault="002A212C" w:rsidP="002E0607">
            <w:pPr>
              <w:pStyle w:val="NoSpacing"/>
              <w:jc w:val="center"/>
              <w:rPr>
                <w:rFonts w:ascii="Times New Roman" w:hAnsi="Times New Roman" w:cs="Times New Roman"/>
              </w:rPr>
            </w:pPr>
            <w:r w:rsidRPr="007245B0">
              <w:rPr>
                <w:rFonts w:ascii="Times New Roman" w:hAnsi="Times New Roman" w:cs="Times New Roman"/>
              </w:rPr>
              <w:t>$</w:t>
            </w:r>
          </w:p>
        </w:tc>
        <w:tc>
          <w:tcPr>
            <w:tcW w:w="0" w:type="auto"/>
            <w:vAlign w:val="center"/>
            <w:hideMark/>
          </w:tcPr>
          <w:p w14:paraId="258EEB08" w14:textId="77777777" w:rsidR="002A212C" w:rsidRPr="007245B0" w:rsidRDefault="002A212C" w:rsidP="002E0607">
            <w:pPr>
              <w:pStyle w:val="NoSpacing"/>
              <w:jc w:val="center"/>
              <w:rPr>
                <w:rFonts w:ascii="Times New Roman" w:hAnsi="Times New Roman" w:cs="Times New Roman"/>
              </w:rPr>
            </w:pPr>
            <w:r w:rsidRPr="007245B0">
              <w:rPr>
                <w:rFonts w:ascii="Times New Roman" w:hAnsi="Times New Roman" w:cs="Times New Roman"/>
              </w:rPr>
              <w:t>$</w:t>
            </w:r>
          </w:p>
        </w:tc>
        <w:tc>
          <w:tcPr>
            <w:tcW w:w="0" w:type="auto"/>
            <w:vAlign w:val="center"/>
            <w:hideMark/>
          </w:tcPr>
          <w:p w14:paraId="76DB5125" w14:textId="77777777" w:rsidR="002A212C" w:rsidRPr="007245B0" w:rsidRDefault="002A212C" w:rsidP="002E0607">
            <w:pPr>
              <w:pStyle w:val="NoSpacing"/>
              <w:jc w:val="center"/>
              <w:rPr>
                <w:rFonts w:ascii="Times New Roman" w:hAnsi="Times New Roman" w:cs="Times New Roman"/>
              </w:rPr>
            </w:pPr>
            <w:r w:rsidRPr="007245B0">
              <w:rPr>
                <w:rFonts w:ascii="Times New Roman" w:hAnsi="Times New Roman" w:cs="Times New Roman"/>
              </w:rPr>
              <w:t>$</w:t>
            </w:r>
          </w:p>
        </w:tc>
      </w:tr>
      <w:tr w:rsidR="002A212C" w:rsidRPr="007245B0" w14:paraId="78596C47" w14:textId="77777777" w:rsidTr="002E0607">
        <w:trPr>
          <w:trHeight w:val="460"/>
        </w:trPr>
        <w:tc>
          <w:tcPr>
            <w:tcW w:w="0" w:type="auto"/>
            <w:vAlign w:val="center"/>
            <w:hideMark/>
          </w:tcPr>
          <w:p w14:paraId="598451BA" w14:textId="77777777" w:rsidR="002A212C" w:rsidRPr="007245B0" w:rsidRDefault="002A212C" w:rsidP="002E0607">
            <w:pPr>
              <w:pStyle w:val="NoSpacing"/>
              <w:rPr>
                <w:rFonts w:ascii="Times New Roman" w:hAnsi="Times New Roman" w:cs="Times New Roman"/>
              </w:rPr>
            </w:pPr>
            <w:r w:rsidRPr="007245B0">
              <w:rPr>
                <w:rFonts w:ascii="Times New Roman" w:hAnsi="Times New Roman" w:cs="Times New Roman"/>
              </w:rPr>
              <w:t>Jammu &amp; Kashmir</w:t>
            </w:r>
          </w:p>
        </w:tc>
        <w:tc>
          <w:tcPr>
            <w:tcW w:w="0" w:type="auto"/>
            <w:vAlign w:val="center"/>
            <w:hideMark/>
          </w:tcPr>
          <w:p w14:paraId="44403638" w14:textId="77777777" w:rsidR="002A212C" w:rsidRPr="007245B0" w:rsidRDefault="002A212C" w:rsidP="002E0607">
            <w:pPr>
              <w:pStyle w:val="NoSpacing"/>
              <w:jc w:val="center"/>
              <w:rPr>
                <w:rFonts w:ascii="Times New Roman" w:hAnsi="Times New Roman" w:cs="Times New Roman"/>
              </w:rPr>
            </w:pPr>
            <w:r w:rsidRPr="007245B0">
              <w:rPr>
                <w:rFonts w:ascii="Times New Roman" w:hAnsi="Times New Roman" w:cs="Times New Roman"/>
              </w:rPr>
              <w:t>824 (1.8)</w:t>
            </w:r>
          </w:p>
        </w:tc>
        <w:tc>
          <w:tcPr>
            <w:tcW w:w="0" w:type="auto"/>
            <w:vAlign w:val="center"/>
            <w:hideMark/>
          </w:tcPr>
          <w:p w14:paraId="6E6CE087" w14:textId="77777777" w:rsidR="002A212C" w:rsidRPr="007245B0" w:rsidRDefault="002A212C" w:rsidP="002E0607">
            <w:pPr>
              <w:pStyle w:val="NoSpacing"/>
              <w:jc w:val="center"/>
              <w:rPr>
                <w:rFonts w:ascii="Times New Roman" w:hAnsi="Times New Roman" w:cs="Times New Roman"/>
              </w:rPr>
            </w:pPr>
            <w:r w:rsidRPr="007245B0">
              <w:rPr>
                <w:rFonts w:ascii="Times New Roman" w:hAnsi="Times New Roman" w:cs="Times New Roman"/>
              </w:rPr>
              <w:t>921 (1.7)</w:t>
            </w:r>
          </w:p>
        </w:tc>
        <w:tc>
          <w:tcPr>
            <w:tcW w:w="0" w:type="auto"/>
            <w:vAlign w:val="center"/>
            <w:hideMark/>
          </w:tcPr>
          <w:p w14:paraId="61EE813E" w14:textId="77777777" w:rsidR="002A212C" w:rsidRPr="007245B0" w:rsidRDefault="002A212C" w:rsidP="002E0607">
            <w:pPr>
              <w:pStyle w:val="NoSpacing"/>
              <w:jc w:val="center"/>
              <w:rPr>
                <w:rFonts w:ascii="Times New Roman" w:hAnsi="Times New Roman" w:cs="Times New Roman"/>
              </w:rPr>
            </w:pPr>
            <w:r w:rsidRPr="007245B0">
              <w:rPr>
                <w:rFonts w:ascii="Times New Roman" w:hAnsi="Times New Roman" w:cs="Times New Roman"/>
              </w:rPr>
              <w:t>1119 (1.9)</w:t>
            </w:r>
          </w:p>
        </w:tc>
        <w:tc>
          <w:tcPr>
            <w:tcW w:w="0" w:type="auto"/>
            <w:vAlign w:val="center"/>
            <w:hideMark/>
          </w:tcPr>
          <w:p w14:paraId="15E11E70" w14:textId="77777777" w:rsidR="002A212C" w:rsidRPr="007245B0" w:rsidRDefault="002A212C" w:rsidP="002E0607">
            <w:pPr>
              <w:pStyle w:val="NoSpacing"/>
              <w:jc w:val="center"/>
              <w:rPr>
                <w:rFonts w:ascii="Times New Roman" w:hAnsi="Times New Roman" w:cs="Times New Roman"/>
              </w:rPr>
            </w:pPr>
            <w:r w:rsidRPr="007245B0">
              <w:rPr>
                <w:rFonts w:ascii="Times New Roman" w:hAnsi="Times New Roman" w:cs="Times New Roman"/>
              </w:rPr>
              <w:t>1468 (2.7)</w:t>
            </w:r>
          </w:p>
        </w:tc>
      </w:tr>
      <w:tr w:rsidR="002A212C" w:rsidRPr="007245B0" w14:paraId="72B3EA91" w14:textId="77777777" w:rsidTr="002E0607">
        <w:trPr>
          <w:trHeight w:val="460"/>
        </w:trPr>
        <w:tc>
          <w:tcPr>
            <w:tcW w:w="0" w:type="auto"/>
            <w:vAlign w:val="center"/>
            <w:hideMark/>
          </w:tcPr>
          <w:p w14:paraId="199BC579" w14:textId="77777777" w:rsidR="002A212C" w:rsidRPr="007245B0" w:rsidRDefault="002A212C" w:rsidP="002E0607">
            <w:pPr>
              <w:pStyle w:val="NoSpacing"/>
              <w:rPr>
                <w:rFonts w:ascii="Times New Roman" w:hAnsi="Times New Roman" w:cs="Times New Roman"/>
              </w:rPr>
            </w:pPr>
            <w:r w:rsidRPr="007245B0">
              <w:rPr>
                <w:rFonts w:ascii="Times New Roman" w:hAnsi="Times New Roman" w:cs="Times New Roman"/>
              </w:rPr>
              <w:t>Kerala</w:t>
            </w:r>
          </w:p>
        </w:tc>
        <w:tc>
          <w:tcPr>
            <w:tcW w:w="0" w:type="auto"/>
            <w:vAlign w:val="center"/>
            <w:hideMark/>
          </w:tcPr>
          <w:p w14:paraId="07F3792B" w14:textId="77777777" w:rsidR="002A212C" w:rsidRPr="007245B0" w:rsidRDefault="002A212C" w:rsidP="002E0607">
            <w:pPr>
              <w:pStyle w:val="NoSpacing"/>
              <w:jc w:val="center"/>
              <w:rPr>
                <w:rFonts w:ascii="Times New Roman" w:hAnsi="Times New Roman" w:cs="Times New Roman"/>
              </w:rPr>
            </w:pPr>
            <w:r w:rsidRPr="007245B0">
              <w:rPr>
                <w:rFonts w:ascii="Times New Roman" w:hAnsi="Times New Roman" w:cs="Times New Roman"/>
              </w:rPr>
              <w:t>2290 (5.0)</w:t>
            </w:r>
          </w:p>
        </w:tc>
        <w:tc>
          <w:tcPr>
            <w:tcW w:w="0" w:type="auto"/>
            <w:vAlign w:val="center"/>
            <w:hideMark/>
          </w:tcPr>
          <w:p w14:paraId="227C21AB" w14:textId="77777777" w:rsidR="002A212C" w:rsidRPr="007245B0" w:rsidRDefault="002A212C" w:rsidP="002E0607">
            <w:pPr>
              <w:pStyle w:val="NoSpacing"/>
              <w:jc w:val="center"/>
              <w:rPr>
                <w:rFonts w:ascii="Times New Roman" w:hAnsi="Times New Roman" w:cs="Times New Roman"/>
              </w:rPr>
            </w:pPr>
            <w:r w:rsidRPr="007245B0">
              <w:rPr>
                <w:rFonts w:ascii="Times New Roman" w:hAnsi="Times New Roman" w:cs="Times New Roman"/>
              </w:rPr>
              <w:t>2655 (4.9)</w:t>
            </w:r>
          </w:p>
        </w:tc>
        <w:tc>
          <w:tcPr>
            <w:tcW w:w="0" w:type="auto"/>
            <w:vAlign w:val="center"/>
            <w:hideMark/>
          </w:tcPr>
          <w:p w14:paraId="0F2455B2" w14:textId="77777777" w:rsidR="002A212C" w:rsidRPr="007245B0" w:rsidRDefault="002A212C" w:rsidP="002E0607">
            <w:pPr>
              <w:pStyle w:val="NoSpacing"/>
              <w:jc w:val="center"/>
              <w:rPr>
                <w:rFonts w:ascii="Times New Roman" w:hAnsi="Times New Roman" w:cs="Times New Roman"/>
              </w:rPr>
            </w:pPr>
            <w:r w:rsidRPr="007245B0">
              <w:rPr>
                <w:rFonts w:ascii="Times New Roman" w:hAnsi="Times New Roman" w:cs="Times New Roman"/>
              </w:rPr>
              <w:t>3298 (5.6)</w:t>
            </w:r>
          </w:p>
        </w:tc>
        <w:tc>
          <w:tcPr>
            <w:tcW w:w="0" w:type="auto"/>
            <w:vAlign w:val="center"/>
            <w:hideMark/>
          </w:tcPr>
          <w:p w14:paraId="7FF84675" w14:textId="77777777" w:rsidR="002A212C" w:rsidRPr="007245B0" w:rsidRDefault="002A212C" w:rsidP="002E0607">
            <w:pPr>
              <w:pStyle w:val="NoSpacing"/>
              <w:jc w:val="center"/>
              <w:rPr>
                <w:rFonts w:ascii="Times New Roman" w:hAnsi="Times New Roman" w:cs="Times New Roman"/>
              </w:rPr>
            </w:pPr>
            <w:r w:rsidRPr="007245B0">
              <w:rPr>
                <w:rFonts w:ascii="Times New Roman" w:hAnsi="Times New Roman" w:cs="Times New Roman"/>
              </w:rPr>
              <w:t>3154 (5.8)</w:t>
            </w:r>
          </w:p>
        </w:tc>
      </w:tr>
      <w:tr w:rsidR="002A212C" w:rsidRPr="007245B0" w14:paraId="6F140160" w14:textId="77777777" w:rsidTr="002E0607">
        <w:trPr>
          <w:trHeight w:val="434"/>
        </w:trPr>
        <w:tc>
          <w:tcPr>
            <w:tcW w:w="0" w:type="auto"/>
            <w:vAlign w:val="center"/>
            <w:hideMark/>
          </w:tcPr>
          <w:p w14:paraId="7B3AA473" w14:textId="77777777" w:rsidR="002A212C" w:rsidRPr="007245B0" w:rsidRDefault="002A212C" w:rsidP="002E0607">
            <w:pPr>
              <w:pStyle w:val="NoSpacing"/>
              <w:rPr>
                <w:rFonts w:ascii="Times New Roman" w:hAnsi="Times New Roman" w:cs="Times New Roman"/>
              </w:rPr>
            </w:pPr>
            <w:r w:rsidRPr="007245B0">
              <w:rPr>
                <w:rFonts w:ascii="Times New Roman" w:hAnsi="Times New Roman" w:cs="Times New Roman"/>
              </w:rPr>
              <w:t>Madhya Pradesh</w:t>
            </w:r>
          </w:p>
        </w:tc>
        <w:tc>
          <w:tcPr>
            <w:tcW w:w="0" w:type="auto"/>
            <w:vAlign w:val="center"/>
            <w:hideMark/>
          </w:tcPr>
          <w:p w14:paraId="13C3BFA6" w14:textId="77777777" w:rsidR="002A212C" w:rsidRPr="007245B0" w:rsidRDefault="002A212C" w:rsidP="002E0607">
            <w:pPr>
              <w:pStyle w:val="NoSpacing"/>
              <w:jc w:val="center"/>
              <w:rPr>
                <w:rFonts w:ascii="Times New Roman" w:hAnsi="Times New Roman" w:cs="Times New Roman"/>
              </w:rPr>
            </w:pPr>
            <w:r w:rsidRPr="007245B0">
              <w:rPr>
                <w:rFonts w:ascii="Times New Roman" w:hAnsi="Times New Roman" w:cs="Times New Roman"/>
              </w:rPr>
              <w:t>2244 (4.9)</w:t>
            </w:r>
          </w:p>
        </w:tc>
        <w:tc>
          <w:tcPr>
            <w:tcW w:w="0" w:type="auto"/>
            <w:vAlign w:val="center"/>
            <w:hideMark/>
          </w:tcPr>
          <w:p w14:paraId="579BFE1F" w14:textId="77777777" w:rsidR="002A212C" w:rsidRPr="007245B0" w:rsidRDefault="002A212C" w:rsidP="002E0607">
            <w:pPr>
              <w:pStyle w:val="NoSpacing"/>
              <w:jc w:val="center"/>
              <w:rPr>
                <w:rFonts w:ascii="Times New Roman" w:hAnsi="Times New Roman" w:cs="Times New Roman"/>
              </w:rPr>
            </w:pPr>
            <w:r w:rsidRPr="007245B0">
              <w:rPr>
                <w:rFonts w:ascii="Times New Roman" w:hAnsi="Times New Roman" w:cs="Times New Roman"/>
              </w:rPr>
              <w:t>2926 (5.4)</w:t>
            </w:r>
          </w:p>
        </w:tc>
        <w:tc>
          <w:tcPr>
            <w:tcW w:w="0" w:type="auto"/>
            <w:vAlign w:val="center"/>
            <w:hideMark/>
          </w:tcPr>
          <w:p w14:paraId="1670DBA8" w14:textId="77777777" w:rsidR="002A212C" w:rsidRPr="007245B0" w:rsidRDefault="002A212C" w:rsidP="002E0607">
            <w:pPr>
              <w:pStyle w:val="NoSpacing"/>
              <w:jc w:val="center"/>
              <w:rPr>
                <w:rFonts w:ascii="Times New Roman" w:hAnsi="Times New Roman" w:cs="Times New Roman"/>
              </w:rPr>
            </w:pPr>
            <w:r w:rsidRPr="007245B0">
              <w:rPr>
                <w:rFonts w:ascii="Times New Roman" w:hAnsi="Times New Roman" w:cs="Times New Roman"/>
              </w:rPr>
              <w:t>2886 (4.9)</w:t>
            </w:r>
          </w:p>
        </w:tc>
        <w:tc>
          <w:tcPr>
            <w:tcW w:w="0" w:type="auto"/>
            <w:vAlign w:val="center"/>
            <w:hideMark/>
          </w:tcPr>
          <w:p w14:paraId="02A78132" w14:textId="77777777" w:rsidR="002A212C" w:rsidRPr="007245B0" w:rsidRDefault="002A212C" w:rsidP="002E0607">
            <w:pPr>
              <w:pStyle w:val="NoSpacing"/>
              <w:jc w:val="center"/>
              <w:rPr>
                <w:rFonts w:ascii="Times New Roman" w:hAnsi="Times New Roman" w:cs="Times New Roman"/>
              </w:rPr>
            </w:pPr>
            <w:r w:rsidRPr="007245B0">
              <w:rPr>
                <w:rFonts w:ascii="Times New Roman" w:hAnsi="Times New Roman" w:cs="Times New Roman"/>
              </w:rPr>
              <w:t>2284 (4.2)</w:t>
            </w:r>
          </w:p>
        </w:tc>
      </w:tr>
      <w:tr w:rsidR="002A212C" w:rsidRPr="007245B0" w14:paraId="78B77167" w14:textId="77777777" w:rsidTr="002E0607">
        <w:trPr>
          <w:trHeight w:val="460"/>
        </w:trPr>
        <w:tc>
          <w:tcPr>
            <w:tcW w:w="0" w:type="auto"/>
            <w:vAlign w:val="center"/>
            <w:hideMark/>
          </w:tcPr>
          <w:p w14:paraId="6D85B224" w14:textId="77777777" w:rsidR="002A212C" w:rsidRPr="007245B0" w:rsidRDefault="002A212C" w:rsidP="002E0607">
            <w:pPr>
              <w:pStyle w:val="NoSpacing"/>
              <w:rPr>
                <w:rFonts w:ascii="Times New Roman" w:hAnsi="Times New Roman" w:cs="Times New Roman"/>
              </w:rPr>
            </w:pPr>
            <w:r w:rsidRPr="007245B0">
              <w:rPr>
                <w:rFonts w:ascii="Times New Roman" w:hAnsi="Times New Roman" w:cs="Times New Roman"/>
              </w:rPr>
              <w:t>Maharashtra</w:t>
            </w:r>
          </w:p>
        </w:tc>
        <w:tc>
          <w:tcPr>
            <w:tcW w:w="0" w:type="auto"/>
            <w:vAlign w:val="center"/>
            <w:hideMark/>
          </w:tcPr>
          <w:p w14:paraId="3D0FFFFF" w14:textId="77777777" w:rsidR="002A212C" w:rsidRPr="007245B0" w:rsidRDefault="002A212C" w:rsidP="002E0607">
            <w:pPr>
              <w:pStyle w:val="NoSpacing"/>
              <w:jc w:val="center"/>
              <w:rPr>
                <w:rFonts w:ascii="Times New Roman" w:hAnsi="Times New Roman" w:cs="Times New Roman"/>
              </w:rPr>
            </w:pPr>
            <w:r w:rsidRPr="007245B0">
              <w:rPr>
                <w:rFonts w:ascii="Times New Roman" w:hAnsi="Times New Roman" w:cs="Times New Roman"/>
              </w:rPr>
              <w:t>5312 (11.6)</w:t>
            </w:r>
          </w:p>
        </w:tc>
        <w:tc>
          <w:tcPr>
            <w:tcW w:w="0" w:type="auto"/>
            <w:vAlign w:val="center"/>
            <w:hideMark/>
          </w:tcPr>
          <w:p w14:paraId="29DCA94A" w14:textId="77777777" w:rsidR="002A212C" w:rsidRPr="007245B0" w:rsidRDefault="002A212C" w:rsidP="002E0607">
            <w:pPr>
              <w:pStyle w:val="NoSpacing"/>
              <w:jc w:val="center"/>
              <w:rPr>
                <w:rFonts w:ascii="Times New Roman" w:hAnsi="Times New Roman" w:cs="Times New Roman"/>
              </w:rPr>
            </w:pPr>
            <w:r w:rsidRPr="007245B0">
              <w:rPr>
                <w:rFonts w:ascii="Times New Roman" w:hAnsi="Times New Roman" w:cs="Times New Roman"/>
              </w:rPr>
              <w:t>6123 (11.3)</w:t>
            </w:r>
          </w:p>
        </w:tc>
        <w:tc>
          <w:tcPr>
            <w:tcW w:w="0" w:type="auto"/>
            <w:vAlign w:val="center"/>
            <w:hideMark/>
          </w:tcPr>
          <w:p w14:paraId="11573295" w14:textId="77777777" w:rsidR="002A212C" w:rsidRPr="007245B0" w:rsidRDefault="002A212C" w:rsidP="002E0607">
            <w:pPr>
              <w:pStyle w:val="NoSpacing"/>
              <w:jc w:val="center"/>
              <w:rPr>
                <w:rFonts w:ascii="Times New Roman" w:hAnsi="Times New Roman" w:cs="Times New Roman"/>
              </w:rPr>
            </w:pPr>
            <w:r w:rsidRPr="007245B0">
              <w:rPr>
                <w:rFonts w:ascii="Times New Roman" w:hAnsi="Times New Roman" w:cs="Times New Roman"/>
              </w:rPr>
              <w:t>6596 (11.2)</w:t>
            </w:r>
          </w:p>
        </w:tc>
        <w:tc>
          <w:tcPr>
            <w:tcW w:w="0" w:type="auto"/>
            <w:vAlign w:val="center"/>
            <w:hideMark/>
          </w:tcPr>
          <w:p w14:paraId="593C4888" w14:textId="77777777" w:rsidR="002A212C" w:rsidRPr="007245B0" w:rsidRDefault="002A212C" w:rsidP="002E0607">
            <w:pPr>
              <w:pStyle w:val="NoSpacing"/>
              <w:jc w:val="center"/>
              <w:rPr>
                <w:rFonts w:ascii="Times New Roman" w:hAnsi="Times New Roman" w:cs="Times New Roman"/>
              </w:rPr>
            </w:pPr>
            <w:r w:rsidRPr="007245B0">
              <w:rPr>
                <w:rFonts w:ascii="Times New Roman" w:hAnsi="Times New Roman" w:cs="Times New Roman"/>
              </w:rPr>
              <w:t>6254 (11.5)</w:t>
            </w:r>
          </w:p>
        </w:tc>
      </w:tr>
      <w:tr w:rsidR="002A212C" w:rsidRPr="007245B0" w14:paraId="1F0C9DF6" w14:textId="77777777" w:rsidTr="002E0607">
        <w:trPr>
          <w:trHeight w:val="434"/>
        </w:trPr>
        <w:tc>
          <w:tcPr>
            <w:tcW w:w="0" w:type="auto"/>
            <w:vAlign w:val="center"/>
            <w:hideMark/>
          </w:tcPr>
          <w:p w14:paraId="3086811E" w14:textId="77777777" w:rsidR="002A212C" w:rsidRPr="007245B0" w:rsidRDefault="002A212C" w:rsidP="002E0607">
            <w:pPr>
              <w:pStyle w:val="NoSpacing"/>
              <w:rPr>
                <w:rFonts w:ascii="Times New Roman" w:hAnsi="Times New Roman" w:cs="Times New Roman"/>
              </w:rPr>
            </w:pPr>
            <w:r w:rsidRPr="007245B0">
              <w:rPr>
                <w:rFonts w:ascii="Times New Roman" w:hAnsi="Times New Roman" w:cs="Times New Roman"/>
              </w:rPr>
              <w:t>Mysore</w:t>
            </w:r>
          </w:p>
        </w:tc>
        <w:tc>
          <w:tcPr>
            <w:tcW w:w="0" w:type="auto"/>
            <w:vAlign w:val="center"/>
            <w:hideMark/>
          </w:tcPr>
          <w:p w14:paraId="331429C0" w14:textId="77777777" w:rsidR="002A212C" w:rsidRPr="007245B0" w:rsidRDefault="002A212C" w:rsidP="002E0607">
            <w:pPr>
              <w:pStyle w:val="NoSpacing"/>
              <w:jc w:val="center"/>
              <w:rPr>
                <w:rFonts w:ascii="Times New Roman" w:hAnsi="Times New Roman" w:cs="Times New Roman"/>
              </w:rPr>
            </w:pPr>
            <w:r w:rsidRPr="007245B0">
              <w:rPr>
                <w:rFonts w:ascii="Times New Roman" w:hAnsi="Times New Roman" w:cs="Times New Roman"/>
              </w:rPr>
              <w:t>2473 (5.4)</w:t>
            </w:r>
          </w:p>
        </w:tc>
        <w:tc>
          <w:tcPr>
            <w:tcW w:w="0" w:type="auto"/>
            <w:vAlign w:val="center"/>
            <w:hideMark/>
          </w:tcPr>
          <w:p w14:paraId="27927A07" w14:textId="77777777" w:rsidR="002A212C" w:rsidRPr="007245B0" w:rsidRDefault="002A212C" w:rsidP="002E0607">
            <w:pPr>
              <w:pStyle w:val="NoSpacing"/>
              <w:jc w:val="center"/>
              <w:rPr>
                <w:rFonts w:ascii="Times New Roman" w:hAnsi="Times New Roman" w:cs="Times New Roman"/>
              </w:rPr>
            </w:pPr>
            <w:r w:rsidRPr="007245B0">
              <w:rPr>
                <w:rFonts w:ascii="Times New Roman" w:hAnsi="Times New Roman" w:cs="Times New Roman"/>
              </w:rPr>
              <w:t>2818 (5.2)</w:t>
            </w:r>
          </w:p>
        </w:tc>
        <w:tc>
          <w:tcPr>
            <w:tcW w:w="0" w:type="auto"/>
            <w:vAlign w:val="center"/>
            <w:hideMark/>
          </w:tcPr>
          <w:p w14:paraId="396018C3" w14:textId="77777777" w:rsidR="002A212C" w:rsidRPr="007245B0" w:rsidRDefault="002A212C" w:rsidP="002E0607">
            <w:pPr>
              <w:pStyle w:val="NoSpacing"/>
              <w:jc w:val="center"/>
              <w:rPr>
                <w:rFonts w:ascii="Times New Roman" w:hAnsi="Times New Roman" w:cs="Times New Roman"/>
              </w:rPr>
            </w:pPr>
            <w:r w:rsidRPr="007245B0">
              <w:rPr>
                <w:rFonts w:ascii="Times New Roman" w:hAnsi="Times New Roman" w:cs="Times New Roman"/>
              </w:rPr>
              <w:t>2945 (5.0)</w:t>
            </w:r>
          </w:p>
        </w:tc>
        <w:tc>
          <w:tcPr>
            <w:tcW w:w="0" w:type="auto"/>
            <w:vAlign w:val="center"/>
            <w:hideMark/>
          </w:tcPr>
          <w:p w14:paraId="36A2CFDA" w14:textId="77777777" w:rsidR="002A212C" w:rsidRPr="007245B0" w:rsidRDefault="002A212C" w:rsidP="002E0607">
            <w:pPr>
              <w:pStyle w:val="NoSpacing"/>
              <w:jc w:val="center"/>
              <w:rPr>
                <w:rFonts w:ascii="Times New Roman" w:hAnsi="Times New Roman" w:cs="Times New Roman"/>
              </w:rPr>
            </w:pPr>
            <w:r w:rsidRPr="007245B0">
              <w:rPr>
                <w:rFonts w:ascii="Times New Roman" w:hAnsi="Times New Roman" w:cs="Times New Roman"/>
              </w:rPr>
              <w:t>2828 (5.2)</w:t>
            </w:r>
          </w:p>
        </w:tc>
      </w:tr>
      <w:tr w:rsidR="002A212C" w:rsidRPr="007245B0" w14:paraId="021026EB" w14:textId="77777777" w:rsidTr="002E0607">
        <w:trPr>
          <w:trHeight w:val="460"/>
        </w:trPr>
        <w:tc>
          <w:tcPr>
            <w:tcW w:w="0" w:type="auto"/>
            <w:vAlign w:val="center"/>
            <w:hideMark/>
          </w:tcPr>
          <w:p w14:paraId="4214AFF2" w14:textId="77777777" w:rsidR="002A212C" w:rsidRPr="007245B0" w:rsidRDefault="002A212C" w:rsidP="002E0607">
            <w:pPr>
              <w:pStyle w:val="NoSpacing"/>
              <w:rPr>
                <w:rFonts w:ascii="Times New Roman" w:hAnsi="Times New Roman" w:cs="Times New Roman"/>
              </w:rPr>
            </w:pPr>
            <w:r w:rsidRPr="007245B0">
              <w:rPr>
                <w:rFonts w:ascii="Times New Roman" w:hAnsi="Times New Roman" w:cs="Times New Roman"/>
              </w:rPr>
              <w:t>Nagaland</w:t>
            </w:r>
          </w:p>
        </w:tc>
        <w:tc>
          <w:tcPr>
            <w:tcW w:w="0" w:type="auto"/>
            <w:vAlign w:val="center"/>
            <w:hideMark/>
          </w:tcPr>
          <w:p w14:paraId="2EAEBEFE" w14:textId="77777777" w:rsidR="002A212C" w:rsidRPr="007245B0" w:rsidRDefault="002A212C" w:rsidP="002E0607">
            <w:pPr>
              <w:pStyle w:val="NoSpacing"/>
              <w:jc w:val="center"/>
              <w:rPr>
                <w:rFonts w:ascii="Times New Roman" w:hAnsi="Times New Roman" w:cs="Times New Roman"/>
              </w:rPr>
            </w:pPr>
            <w:r w:rsidRPr="007245B0">
              <w:rPr>
                <w:rFonts w:ascii="Times New Roman" w:hAnsi="Times New Roman" w:cs="Times New Roman"/>
              </w:rPr>
              <w:t>N.A.</w:t>
            </w:r>
          </w:p>
        </w:tc>
        <w:tc>
          <w:tcPr>
            <w:tcW w:w="0" w:type="auto"/>
            <w:vAlign w:val="center"/>
            <w:hideMark/>
          </w:tcPr>
          <w:p w14:paraId="00E1D538" w14:textId="77777777" w:rsidR="002A212C" w:rsidRPr="007245B0" w:rsidRDefault="002A212C" w:rsidP="002E0607">
            <w:pPr>
              <w:pStyle w:val="NoSpacing"/>
              <w:jc w:val="center"/>
              <w:rPr>
                <w:rFonts w:ascii="Times New Roman" w:hAnsi="Times New Roman" w:cs="Times New Roman"/>
              </w:rPr>
            </w:pPr>
            <w:r w:rsidRPr="007245B0">
              <w:rPr>
                <w:rFonts w:ascii="Times New Roman" w:hAnsi="Times New Roman" w:cs="Times New Roman"/>
              </w:rPr>
              <w:t>N.A.</w:t>
            </w:r>
          </w:p>
        </w:tc>
        <w:tc>
          <w:tcPr>
            <w:tcW w:w="0" w:type="auto"/>
            <w:vAlign w:val="center"/>
            <w:hideMark/>
          </w:tcPr>
          <w:p w14:paraId="72BD68A2" w14:textId="77777777" w:rsidR="002A212C" w:rsidRPr="007245B0" w:rsidRDefault="002A212C" w:rsidP="002E0607">
            <w:pPr>
              <w:pStyle w:val="NoSpacing"/>
              <w:jc w:val="center"/>
              <w:rPr>
                <w:rFonts w:ascii="Times New Roman" w:hAnsi="Times New Roman" w:cs="Times New Roman"/>
              </w:rPr>
            </w:pPr>
            <w:r w:rsidRPr="007245B0">
              <w:rPr>
                <w:rFonts w:ascii="Times New Roman" w:hAnsi="Times New Roman" w:cs="Times New Roman"/>
              </w:rPr>
              <w:t>N.A.</w:t>
            </w:r>
          </w:p>
        </w:tc>
        <w:tc>
          <w:tcPr>
            <w:tcW w:w="0" w:type="auto"/>
            <w:vAlign w:val="center"/>
            <w:hideMark/>
          </w:tcPr>
          <w:p w14:paraId="6763FDE5" w14:textId="77777777" w:rsidR="002A212C" w:rsidRPr="007245B0" w:rsidRDefault="002A212C" w:rsidP="002E0607">
            <w:pPr>
              <w:pStyle w:val="NoSpacing"/>
              <w:jc w:val="center"/>
              <w:rPr>
                <w:rFonts w:ascii="Times New Roman" w:hAnsi="Times New Roman" w:cs="Times New Roman"/>
              </w:rPr>
            </w:pPr>
            <w:r w:rsidRPr="007245B0">
              <w:rPr>
                <w:rFonts w:ascii="Times New Roman" w:hAnsi="Times New Roman" w:cs="Times New Roman"/>
              </w:rPr>
              <w:t>N.A.</w:t>
            </w:r>
          </w:p>
        </w:tc>
      </w:tr>
      <w:tr w:rsidR="002A212C" w:rsidRPr="007245B0" w14:paraId="430B3C17" w14:textId="77777777" w:rsidTr="002E0607">
        <w:trPr>
          <w:trHeight w:val="434"/>
        </w:trPr>
        <w:tc>
          <w:tcPr>
            <w:tcW w:w="0" w:type="auto"/>
            <w:vAlign w:val="center"/>
            <w:hideMark/>
          </w:tcPr>
          <w:p w14:paraId="40B1A7FD" w14:textId="77777777" w:rsidR="002A212C" w:rsidRPr="007245B0" w:rsidRDefault="002A212C" w:rsidP="002E0607">
            <w:pPr>
              <w:pStyle w:val="NoSpacing"/>
              <w:rPr>
                <w:rFonts w:ascii="Times New Roman" w:hAnsi="Times New Roman" w:cs="Times New Roman"/>
              </w:rPr>
            </w:pPr>
            <w:r w:rsidRPr="007245B0">
              <w:rPr>
                <w:rFonts w:ascii="Times New Roman" w:hAnsi="Times New Roman" w:cs="Times New Roman"/>
              </w:rPr>
              <w:t>Orissa</w:t>
            </w:r>
          </w:p>
        </w:tc>
        <w:tc>
          <w:tcPr>
            <w:tcW w:w="0" w:type="auto"/>
            <w:vAlign w:val="center"/>
            <w:hideMark/>
          </w:tcPr>
          <w:p w14:paraId="7A866B9A" w14:textId="77777777" w:rsidR="002A212C" w:rsidRPr="007245B0" w:rsidRDefault="002A212C" w:rsidP="002E0607">
            <w:pPr>
              <w:pStyle w:val="NoSpacing"/>
              <w:jc w:val="center"/>
              <w:rPr>
                <w:rFonts w:ascii="Times New Roman" w:hAnsi="Times New Roman" w:cs="Times New Roman"/>
              </w:rPr>
            </w:pPr>
            <w:r w:rsidRPr="007245B0">
              <w:rPr>
                <w:rFonts w:ascii="Times New Roman" w:hAnsi="Times New Roman" w:cs="Times New Roman"/>
              </w:rPr>
              <w:t>641 (1.4)</w:t>
            </w:r>
          </w:p>
        </w:tc>
        <w:tc>
          <w:tcPr>
            <w:tcW w:w="0" w:type="auto"/>
            <w:vAlign w:val="center"/>
            <w:hideMark/>
          </w:tcPr>
          <w:p w14:paraId="11DAE9DC" w14:textId="77777777" w:rsidR="002A212C" w:rsidRPr="007245B0" w:rsidRDefault="002A212C" w:rsidP="002E0607">
            <w:pPr>
              <w:pStyle w:val="NoSpacing"/>
              <w:jc w:val="center"/>
              <w:rPr>
                <w:rFonts w:ascii="Times New Roman" w:hAnsi="Times New Roman" w:cs="Times New Roman"/>
              </w:rPr>
            </w:pPr>
            <w:r w:rsidRPr="007245B0">
              <w:rPr>
                <w:rFonts w:ascii="Times New Roman" w:hAnsi="Times New Roman" w:cs="Times New Roman"/>
              </w:rPr>
              <w:t>975 (1.8)</w:t>
            </w:r>
          </w:p>
        </w:tc>
        <w:tc>
          <w:tcPr>
            <w:tcW w:w="0" w:type="auto"/>
            <w:vAlign w:val="center"/>
            <w:hideMark/>
          </w:tcPr>
          <w:p w14:paraId="164A5A97" w14:textId="77777777" w:rsidR="002A212C" w:rsidRPr="007245B0" w:rsidRDefault="002A212C" w:rsidP="002E0607">
            <w:pPr>
              <w:pStyle w:val="NoSpacing"/>
              <w:jc w:val="center"/>
              <w:rPr>
                <w:rFonts w:ascii="Times New Roman" w:hAnsi="Times New Roman" w:cs="Times New Roman"/>
              </w:rPr>
            </w:pPr>
            <w:r w:rsidRPr="007245B0">
              <w:rPr>
                <w:rFonts w:ascii="Times New Roman" w:hAnsi="Times New Roman" w:cs="Times New Roman"/>
              </w:rPr>
              <w:t>1237 (2.1)</w:t>
            </w:r>
          </w:p>
        </w:tc>
        <w:tc>
          <w:tcPr>
            <w:tcW w:w="0" w:type="auto"/>
            <w:vAlign w:val="center"/>
            <w:hideMark/>
          </w:tcPr>
          <w:p w14:paraId="3D821924" w14:textId="77777777" w:rsidR="002A212C" w:rsidRPr="007245B0" w:rsidRDefault="002A212C" w:rsidP="002E0607">
            <w:pPr>
              <w:pStyle w:val="NoSpacing"/>
              <w:jc w:val="center"/>
              <w:rPr>
                <w:rFonts w:ascii="Times New Roman" w:hAnsi="Times New Roman" w:cs="Times New Roman"/>
              </w:rPr>
            </w:pPr>
            <w:r w:rsidRPr="007245B0">
              <w:rPr>
                <w:rFonts w:ascii="Times New Roman" w:hAnsi="Times New Roman" w:cs="Times New Roman"/>
              </w:rPr>
              <w:t>971 (1.8)</w:t>
            </w:r>
          </w:p>
        </w:tc>
      </w:tr>
      <w:tr w:rsidR="002A212C" w:rsidRPr="007245B0" w14:paraId="656D7913" w14:textId="77777777" w:rsidTr="002E0607">
        <w:trPr>
          <w:trHeight w:val="460"/>
        </w:trPr>
        <w:tc>
          <w:tcPr>
            <w:tcW w:w="0" w:type="auto"/>
            <w:vAlign w:val="center"/>
            <w:hideMark/>
          </w:tcPr>
          <w:p w14:paraId="210D192C" w14:textId="77777777" w:rsidR="002A212C" w:rsidRPr="007245B0" w:rsidRDefault="002A212C" w:rsidP="002E0607">
            <w:pPr>
              <w:pStyle w:val="NoSpacing"/>
              <w:rPr>
                <w:rFonts w:ascii="Times New Roman" w:hAnsi="Times New Roman" w:cs="Times New Roman"/>
              </w:rPr>
            </w:pPr>
            <w:r w:rsidRPr="007245B0">
              <w:rPr>
                <w:rFonts w:ascii="Times New Roman" w:hAnsi="Times New Roman" w:cs="Times New Roman"/>
              </w:rPr>
              <w:t>Punjab</w:t>
            </w:r>
          </w:p>
        </w:tc>
        <w:tc>
          <w:tcPr>
            <w:tcW w:w="0" w:type="auto"/>
            <w:vAlign w:val="center"/>
            <w:hideMark/>
          </w:tcPr>
          <w:p w14:paraId="0E8B6628" w14:textId="77777777" w:rsidR="002A212C" w:rsidRPr="007245B0" w:rsidRDefault="002A212C" w:rsidP="002E0607">
            <w:pPr>
              <w:pStyle w:val="NoSpacing"/>
              <w:jc w:val="center"/>
              <w:rPr>
                <w:rFonts w:ascii="Times New Roman" w:hAnsi="Times New Roman" w:cs="Times New Roman"/>
              </w:rPr>
            </w:pPr>
            <w:r w:rsidRPr="007245B0">
              <w:rPr>
                <w:rFonts w:ascii="Times New Roman" w:hAnsi="Times New Roman" w:cs="Times New Roman"/>
              </w:rPr>
              <w:t>4671* (10.2)</w:t>
            </w:r>
          </w:p>
        </w:tc>
        <w:tc>
          <w:tcPr>
            <w:tcW w:w="0" w:type="auto"/>
            <w:vAlign w:val="center"/>
            <w:hideMark/>
          </w:tcPr>
          <w:p w14:paraId="14DAD6B7" w14:textId="77777777" w:rsidR="002A212C" w:rsidRPr="007245B0" w:rsidRDefault="002A212C" w:rsidP="002E0607">
            <w:pPr>
              <w:pStyle w:val="NoSpacing"/>
              <w:jc w:val="center"/>
              <w:rPr>
                <w:rFonts w:ascii="Times New Roman" w:hAnsi="Times New Roman" w:cs="Times New Roman"/>
              </w:rPr>
            </w:pPr>
            <w:r w:rsidRPr="007245B0">
              <w:rPr>
                <w:rFonts w:ascii="Times New Roman" w:hAnsi="Times New Roman" w:cs="Times New Roman"/>
              </w:rPr>
              <w:t>5365* (9.9)</w:t>
            </w:r>
          </w:p>
        </w:tc>
        <w:tc>
          <w:tcPr>
            <w:tcW w:w="0" w:type="auto"/>
            <w:vAlign w:val="center"/>
            <w:hideMark/>
          </w:tcPr>
          <w:p w14:paraId="2A6BD737" w14:textId="77777777" w:rsidR="002A212C" w:rsidRPr="007245B0" w:rsidRDefault="002A212C" w:rsidP="002E0607">
            <w:pPr>
              <w:pStyle w:val="NoSpacing"/>
              <w:jc w:val="center"/>
              <w:rPr>
                <w:rFonts w:ascii="Times New Roman" w:hAnsi="Times New Roman" w:cs="Times New Roman"/>
              </w:rPr>
            </w:pPr>
            <w:r w:rsidRPr="007245B0">
              <w:rPr>
                <w:rFonts w:ascii="Times New Roman" w:hAnsi="Times New Roman" w:cs="Times New Roman"/>
              </w:rPr>
              <w:t>5772* (9.8)</w:t>
            </w:r>
          </w:p>
        </w:tc>
        <w:tc>
          <w:tcPr>
            <w:tcW w:w="0" w:type="auto"/>
            <w:vAlign w:val="center"/>
            <w:hideMark/>
          </w:tcPr>
          <w:p w14:paraId="062C1D52" w14:textId="77777777" w:rsidR="002A212C" w:rsidRPr="007245B0" w:rsidRDefault="002A212C" w:rsidP="002E0607">
            <w:pPr>
              <w:pStyle w:val="NoSpacing"/>
              <w:jc w:val="center"/>
              <w:rPr>
                <w:rFonts w:ascii="Times New Roman" w:hAnsi="Times New Roman" w:cs="Times New Roman"/>
              </w:rPr>
            </w:pPr>
            <w:r w:rsidRPr="007245B0">
              <w:rPr>
                <w:rFonts w:ascii="Times New Roman" w:hAnsi="Times New Roman" w:cs="Times New Roman"/>
              </w:rPr>
              <w:t>5275* (9.7)</w:t>
            </w:r>
          </w:p>
        </w:tc>
      </w:tr>
      <w:tr w:rsidR="002A212C" w:rsidRPr="007245B0" w14:paraId="63AF2992" w14:textId="77777777" w:rsidTr="002E0607">
        <w:trPr>
          <w:trHeight w:val="460"/>
        </w:trPr>
        <w:tc>
          <w:tcPr>
            <w:tcW w:w="0" w:type="auto"/>
            <w:vAlign w:val="center"/>
            <w:hideMark/>
          </w:tcPr>
          <w:p w14:paraId="33CAC723" w14:textId="77777777" w:rsidR="002A212C" w:rsidRPr="007245B0" w:rsidRDefault="002A212C" w:rsidP="002E0607">
            <w:pPr>
              <w:pStyle w:val="NoSpacing"/>
              <w:rPr>
                <w:rFonts w:ascii="Times New Roman" w:hAnsi="Times New Roman" w:cs="Times New Roman"/>
              </w:rPr>
            </w:pPr>
            <w:r w:rsidRPr="007245B0">
              <w:rPr>
                <w:rFonts w:ascii="Times New Roman" w:hAnsi="Times New Roman" w:cs="Times New Roman"/>
              </w:rPr>
              <w:t>Rajasthan</w:t>
            </w:r>
          </w:p>
        </w:tc>
        <w:tc>
          <w:tcPr>
            <w:tcW w:w="0" w:type="auto"/>
            <w:vAlign w:val="center"/>
            <w:hideMark/>
          </w:tcPr>
          <w:p w14:paraId="05465F83" w14:textId="77777777" w:rsidR="002A212C" w:rsidRPr="007245B0" w:rsidRDefault="002A212C" w:rsidP="002E0607">
            <w:pPr>
              <w:pStyle w:val="NoSpacing"/>
              <w:jc w:val="center"/>
              <w:rPr>
                <w:rFonts w:ascii="Times New Roman" w:hAnsi="Times New Roman" w:cs="Times New Roman"/>
              </w:rPr>
            </w:pPr>
            <w:r w:rsidRPr="007245B0">
              <w:rPr>
                <w:rFonts w:ascii="Times New Roman" w:hAnsi="Times New Roman" w:cs="Times New Roman"/>
              </w:rPr>
              <w:t>1053 (2.3)</w:t>
            </w:r>
          </w:p>
        </w:tc>
        <w:tc>
          <w:tcPr>
            <w:tcW w:w="0" w:type="auto"/>
            <w:vAlign w:val="center"/>
            <w:hideMark/>
          </w:tcPr>
          <w:p w14:paraId="77CAD73D" w14:textId="77777777" w:rsidR="002A212C" w:rsidRPr="007245B0" w:rsidRDefault="002A212C" w:rsidP="002E0607">
            <w:pPr>
              <w:pStyle w:val="NoSpacing"/>
              <w:jc w:val="center"/>
              <w:rPr>
                <w:rFonts w:ascii="Times New Roman" w:hAnsi="Times New Roman" w:cs="Times New Roman"/>
              </w:rPr>
            </w:pPr>
            <w:r w:rsidRPr="007245B0">
              <w:rPr>
                <w:rFonts w:ascii="Times New Roman" w:hAnsi="Times New Roman" w:cs="Times New Roman"/>
              </w:rPr>
              <w:t>1355 (2.5)</w:t>
            </w:r>
          </w:p>
        </w:tc>
        <w:tc>
          <w:tcPr>
            <w:tcW w:w="0" w:type="auto"/>
            <w:vAlign w:val="center"/>
            <w:hideMark/>
          </w:tcPr>
          <w:p w14:paraId="3BB03745" w14:textId="77777777" w:rsidR="002A212C" w:rsidRPr="007245B0" w:rsidRDefault="002A212C" w:rsidP="002E0607">
            <w:pPr>
              <w:pStyle w:val="NoSpacing"/>
              <w:jc w:val="center"/>
              <w:rPr>
                <w:rFonts w:ascii="Times New Roman" w:hAnsi="Times New Roman" w:cs="Times New Roman"/>
              </w:rPr>
            </w:pPr>
            <w:r w:rsidRPr="007245B0">
              <w:rPr>
                <w:rFonts w:ascii="Times New Roman" w:hAnsi="Times New Roman" w:cs="Times New Roman"/>
              </w:rPr>
              <w:t>1178 (2.0)</w:t>
            </w:r>
          </w:p>
        </w:tc>
        <w:tc>
          <w:tcPr>
            <w:tcW w:w="0" w:type="auto"/>
            <w:vAlign w:val="center"/>
            <w:hideMark/>
          </w:tcPr>
          <w:p w14:paraId="7245327F" w14:textId="77777777" w:rsidR="002A212C" w:rsidRPr="007245B0" w:rsidRDefault="002A212C" w:rsidP="002E0607">
            <w:pPr>
              <w:pStyle w:val="NoSpacing"/>
              <w:jc w:val="center"/>
              <w:rPr>
                <w:rFonts w:ascii="Times New Roman" w:hAnsi="Times New Roman" w:cs="Times New Roman"/>
              </w:rPr>
            </w:pPr>
            <w:r w:rsidRPr="007245B0">
              <w:rPr>
                <w:rFonts w:ascii="Times New Roman" w:hAnsi="Times New Roman" w:cs="Times New Roman"/>
              </w:rPr>
              <w:t>761 (1.4)</w:t>
            </w:r>
          </w:p>
        </w:tc>
      </w:tr>
      <w:tr w:rsidR="002A212C" w:rsidRPr="007245B0" w14:paraId="0C59567D" w14:textId="77777777" w:rsidTr="002E0607">
        <w:trPr>
          <w:trHeight w:val="434"/>
        </w:trPr>
        <w:tc>
          <w:tcPr>
            <w:tcW w:w="0" w:type="auto"/>
            <w:vAlign w:val="center"/>
            <w:hideMark/>
          </w:tcPr>
          <w:p w14:paraId="51DAB48F" w14:textId="77777777" w:rsidR="002A212C" w:rsidRPr="007245B0" w:rsidRDefault="002A212C" w:rsidP="002E0607">
            <w:pPr>
              <w:pStyle w:val="NoSpacing"/>
              <w:rPr>
                <w:rFonts w:ascii="Times New Roman" w:hAnsi="Times New Roman" w:cs="Times New Roman"/>
              </w:rPr>
            </w:pPr>
            <w:r w:rsidRPr="007245B0">
              <w:rPr>
                <w:rFonts w:ascii="Times New Roman" w:hAnsi="Times New Roman" w:cs="Times New Roman"/>
              </w:rPr>
              <w:t>Tamil Nadu</w:t>
            </w:r>
          </w:p>
        </w:tc>
        <w:tc>
          <w:tcPr>
            <w:tcW w:w="0" w:type="auto"/>
            <w:vAlign w:val="center"/>
            <w:hideMark/>
          </w:tcPr>
          <w:p w14:paraId="4E4DA8B7" w14:textId="77777777" w:rsidR="002A212C" w:rsidRPr="007245B0" w:rsidRDefault="002A212C" w:rsidP="002E0607">
            <w:pPr>
              <w:pStyle w:val="NoSpacing"/>
              <w:jc w:val="center"/>
              <w:rPr>
                <w:rFonts w:ascii="Times New Roman" w:hAnsi="Times New Roman" w:cs="Times New Roman"/>
              </w:rPr>
            </w:pPr>
            <w:r w:rsidRPr="007245B0">
              <w:rPr>
                <w:rFonts w:ascii="Times New Roman" w:hAnsi="Times New Roman" w:cs="Times New Roman"/>
              </w:rPr>
              <w:t>5175 (11.3)</w:t>
            </w:r>
          </w:p>
        </w:tc>
        <w:tc>
          <w:tcPr>
            <w:tcW w:w="0" w:type="auto"/>
            <w:vAlign w:val="center"/>
            <w:hideMark/>
          </w:tcPr>
          <w:p w14:paraId="144E5B5C" w14:textId="77777777" w:rsidR="002A212C" w:rsidRPr="007245B0" w:rsidRDefault="002A212C" w:rsidP="002E0607">
            <w:pPr>
              <w:pStyle w:val="NoSpacing"/>
              <w:jc w:val="center"/>
              <w:rPr>
                <w:rFonts w:ascii="Times New Roman" w:hAnsi="Times New Roman" w:cs="Times New Roman"/>
              </w:rPr>
            </w:pPr>
            <w:r w:rsidRPr="007245B0">
              <w:rPr>
                <w:rFonts w:ascii="Times New Roman" w:hAnsi="Times New Roman" w:cs="Times New Roman"/>
              </w:rPr>
              <w:t>5907 (10.9)</w:t>
            </w:r>
          </w:p>
        </w:tc>
        <w:tc>
          <w:tcPr>
            <w:tcW w:w="0" w:type="auto"/>
            <w:vAlign w:val="center"/>
            <w:hideMark/>
          </w:tcPr>
          <w:p w14:paraId="1D139AF6" w14:textId="77777777" w:rsidR="002A212C" w:rsidRPr="007245B0" w:rsidRDefault="002A212C" w:rsidP="002E0607">
            <w:pPr>
              <w:pStyle w:val="NoSpacing"/>
              <w:jc w:val="center"/>
              <w:rPr>
                <w:rFonts w:ascii="Times New Roman" w:hAnsi="Times New Roman" w:cs="Times New Roman"/>
              </w:rPr>
            </w:pPr>
            <w:r w:rsidRPr="007245B0">
              <w:rPr>
                <w:rFonts w:ascii="Times New Roman" w:hAnsi="Times New Roman" w:cs="Times New Roman"/>
              </w:rPr>
              <w:t>6773 (11.5)</w:t>
            </w:r>
          </w:p>
        </w:tc>
        <w:tc>
          <w:tcPr>
            <w:tcW w:w="0" w:type="auto"/>
            <w:vAlign w:val="center"/>
            <w:hideMark/>
          </w:tcPr>
          <w:p w14:paraId="142C8E3C" w14:textId="77777777" w:rsidR="002A212C" w:rsidRPr="007245B0" w:rsidRDefault="002A212C" w:rsidP="002E0607">
            <w:pPr>
              <w:pStyle w:val="NoSpacing"/>
              <w:jc w:val="center"/>
              <w:rPr>
                <w:rFonts w:ascii="Times New Roman" w:hAnsi="Times New Roman" w:cs="Times New Roman"/>
              </w:rPr>
            </w:pPr>
            <w:r w:rsidRPr="007245B0">
              <w:rPr>
                <w:rFonts w:ascii="Times New Roman" w:hAnsi="Times New Roman" w:cs="Times New Roman"/>
              </w:rPr>
              <w:t>6525 (12.0)</w:t>
            </w:r>
          </w:p>
        </w:tc>
      </w:tr>
      <w:tr w:rsidR="002A212C" w:rsidRPr="007245B0" w14:paraId="418F8746" w14:textId="77777777" w:rsidTr="002E0607">
        <w:trPr>
          <w:trHeight w:val="460"/>
        </w:trPr>
        <w:tc>
          <w:tcPr>
            <w:tcW w:w="0" w:type="auto"/>
            <w:vAlign w:val="center"/>
            <w:hideMark/>
          </w:tcPr>
          <w:p w14:paraId="5A579FD9" w14:textId="77777777" w:rsidR="002A212C" w:rsidRPr="007245B0" w:rsidRDefault="002A212C" w:rsidP="002E0607">
            <w:pPr>
              <w:pStyle w:val="NoSpacing"/>
              <w:rPr>
                <w:rFonts w:ascii="Times New Roman" w:hAnsi="Times New Roman" w:cs="Times New Roman"/>
              </w:rPr>
            </w:pPr>
            <w:r w:rsidRPr="007245B0">
              <w:rPr>
                <w:rFonts w:ascii="Times New Roman" w:hAnsi="Times New Roman" w:cs="Times New Roman"/>
              </w:rPr>
              <w:t>Uttar Pradesh</w:t>
            </w:r>
          </w:p>
        </w:tc>
        <w:tc>
          <w:tcPr>
            <w:tcW w:w="0" w:type="auto"/>
            <w:vAlign w:val="center"/>
            <w:hideMark/>
          </w:tcPr>
          <w:p w14:paraId="6E9C28A3" w14:textId="77777777" w:rsidR="002A212C" w:rsidRPr="007245B0" w:rsidRDefault="002A212C" w:rsidP="002E0607">
            <w:pPr>
              <w:pStyle w:val="NoSpacing"/>
              <w:jc w:val="center"/>
              <w:rPr>
                <w:rFonts w:ascii="Times New Roman" w:hAnsi="Times New Roman" w:cs="Times New Roman"/>
              </w:rPr>
            </w:pPr>
            <w:r w:rsidRPr="007245B0">
              <w:rPr>
                <w:rFonts w:ascii="Times New Roman" w:hAnsi="Times New Roman" w:cs="Times New Roman"/>
              </w:rPr>
              <w:t>5724 (12.5)</w:t>
            </w:r>
          </w:p>
        </w:tc>
        <w:tc>
          <w:tcPr>
            <w:tcW w:w="0" w:type="auto"/>
            <w:vAlign w:val="center"/>
            <w:hideMark/>
          </w:tcPr>
          <w:p w14:paraId="77CFE920" w14:textId="77777777" w:rsidR="002A212C" w:rsidRPr="007245B0" w:rsidRDefault="002A212C" w:rsidP="002E0607">
            <w:pPr>
              <w:pStyle w:val="NoSpacing"/>
              <w:jc w:val="center"/>
              <w:rPr>
                <w:rFonts w:ascii="Times New Roman" w:hAnsi="Times New Roman" w:cs="Times New Roman"/>
              </w:rPr>
            </w:pPr>
            <w:r w:rsidRPr="007245B0">
              <w:rPr>
                <w:rFonts w:ascii="Times New Roman" w:hAnsi="Times New Roman" w:cs="Times New Roman"/>
              </w:rPr>
              <w:t>6719 (12.4)</w:t>
            </w:r>
          </w:p>
        </w:tc>
        <w:tc>
          <w:tcPr>
            <w:tcW w:w="0" w:type="auto"/>
            <w:vAlign w:val="center"/>
            <w:hideMark/>
          </w:tcPr>
          <w:p w14:paraId="7E2F70D3" w14:textId="77777777" w:rsidR="002A212C" w:rsidRPr="007245B0" w:rsidRDefault="002A212C" w:rsidP="002E0607">
            <w:pPr>
              <w:pStyle w:val="NoSpacing"/>
              <w:jc w:val="center"/>
              <w:rPr>
                <w:rFonts w:ascii="Times New Roman" w:hAnsi="Times New Roman" w:cs="Times New Roman"/>
              </w:rPr>
            </w:pPr>
            <w:r w:rsidRPr="007245B0">
              <w:rPr>
                <w:rFonts w:ascii="Times New Roman" w:hAnsi="Times New Roman" w:cs="Times New Roman"/>
              </w:rPr>
              <w:t>6891 (11.7)</w:t>
            </w:r>
          </w:p>
        </w:tc>
        <w:tc>
          <w:tcPr>
            <w:tcW w:w="0" w:type="auto"/>
            <w:vAlign w:val="center"/>
            <w:hideMark/>
          </w:tcPr>
          <w:p w14:paraId="7D0846C2" w14:textId="77777777" w:rsidR="002A212C" w:rsidRPr="007245B0" w:rsidRDefault="002A212C" w:rsidP="002E0607">
            <w:pPr>
              <w:pStyle w:val="NoSpacing"/>
              <w:jc w:val="center"/>
              <w:rPr>
                <w:rFonts w:ascii="Times New Roman" w:hAnsi="Times New Roman" w:cs="Times New Roman"/>
              </w:rPr>
            </w:pPr>
            <w:r w:rsidRPr="007245B0">
              <w:rPr>
                <w:rFonts w:ascii="Times New Roman" w:hAnsi="Times New Roman" w:cs="Times New Roman"/>
              </w:rPr>
              <w:t>5710 (10.5)</w:t>
            </w:r>
          </w:p>
        </w:tc>
      </w:tr>
      <w:tr w:rsidR="002A212C" w:rsidRPr="007245B0" w14:paraId="455260BD" w14:textId="77777777" w:rsidTr="002E0607">
        <w:trPr>
          <w:trHeight w:val="434"/>
        </w:trPr>
        <w:tc>
          <w:tcPr>
            <w:tcW w:w="0" w:type="auto"/>
            <w:vAlign w:val="center"/>
            <w:hideMark/>
          </w:tcPr>
          <w:p w14:paraId="3A455994" w14:textId="77777777" w:rsidR="002A212C" w:rsidRPr="007245B0" w:rsidRDefault="002A212C" w:rsidP="002E0607">
            <w:pPr>
              <w:pStyle w:val="NoSpacing"/>
              <w:rPr>
                <w:rFonts w:ascii="Times New Roman" w:hAnsi="Times New Roman" w:cs="Times New Roman"/>
              </w:rPr>
            </w:pPr>
            <w:r w:rsidRPr="007245B0">
              <w:rPr>
                <w:rFonts w:ascii="Times New Roman" w:hAnsi="Times New Roman" w:cs="Times New Roman"/>
              </w:rPr>
              <w:t>West Bengal</w:t>
            </w:r>
          </w:p>
        </w:tc>
        <w:tc>
          <w:tcPr>
            <w:tcW w:w="0" w:type="auto"/>
            <w:vAlign w:val="center"/>
            <w:hideMark/>
          </w:tcPr>
          <w:p w14:paraId="118A51BE" w14:textId="77777777" w:rsidR="002A212C" w:rsidRPr="007245B0" w:rsidRDefault="002A212C" w:rsidP="002E0607">
            <w:pPr>
              <w:pStyle w:val="NoSpacing"/>
              <w:jc w:val="center"/>
              <w:rPr>
                <w:rFonts w:ascii="Times New Roman" w:hAnsi="Times New Roman" w:cs="Times New Roman"/>
              </w:rPr>
            </w:pPr>
            <w:r w:rsidRPr="007245B0">
              <w:rPr>
                <w:rFonts w:ascii="Times New Roman" w:hAnsi="Times New Roman" w:cs="Times New Roman"/>
              </w:rPr>
              <w:t>5266 (11.5)</w:t>
            </w:r>
          </w:p>
        </w:tc>
        <w:tc>
          <w:tcPr>
            <w:tcW w:w="0" w:type="auto"/>
            <w:vAlign w:val="center"/>
            <w:hideMark/>
          </w:tcPr>
          <w:p w14:paraId="026EAABD" w14:textId="77777777" w:rsidR="002A212C" w:rsidRPr="007245B0" w:rsidRDefault="002A212C" w:rsidP="002E0607">
            <w:pPr>
              <w:pStyle w:val="NoSpacing"/>
              <w:jc w:val="center"/>
              <w:rPr>
                <w:rFonts w:ascii="Times New Roman" w:hAnsi="Times New Roman" w:cs="Times New Roman"/>
              </w:rPr>
            </w:pPr>
            <w:r w:rsidRPr="007245B0">
              <w:rPr>
                <w:rFonts w:ascii="Times New Roman" w:hAnsi="Times New Roman" w:cs="Times New Roman"/>
              </w:rPr>
              <w:t>6394 (11.8)</w:t>
            </w:r>
          </w:p>
        </w:tc>
        <w:tc>
          <w:tcPr>
            <w:tcW w:w="0" w:type="auto"/>
            <w:vAlign w:val="center"/>
            <w:hideMark/>
          </w:tcPr>
          <w:p w14:paraId="6A98B76D" w14:textId="77777777" w:rsidR="002A212C" w:rsidRPr="007245B0" w:rsidRDefault="002A212C" w:rsidP="002E0607">
            <w:pPr>
              <w:pStyle w:val="NoSpacing"/>
              <w:jc w:val="center"/>
              <w:rPr>
                <w:rFonts w:ascii="Times New Roman" w:hAnsi="Times New Roman" w:cs="Times New Roman"/>
              </w:rPr>
            </w:pPr>
            <w:r w:rsidRPr="007245B0">
              <w:rPr>
                <w:rFonts w:ascii="Times New Roman" w:hAnsi="Times New Roman" w:cs="Times New Roman"/>
              </w:rPr>
              <w:t>7244 (12.3)</w:t>
            </w:r>
          </w:p>
        </w:tc>
        <w:tc>
          <w:tcPr>
            <w:tcW w:w="0" w:type="auto"/>
            <w:vAlign w:val="center"/>
            <w:hideMark/>
          </w:tcPr>
          <w:p w14:paraId="7FC1B53A" w14:textId="77777777" w:rsidR="002A212C" w:rsidRPr="007245B0" w:rsidRDefault="002A212C" w:rsidP="002E0607">
            <w:pPr>
              <w:pStyle w:val="NoSpacing"/>
              <w:jc w:val="center"/>
              <w:rPr>
                <w:rFonts w:ascii="Times New Roman" w:hAnsi="Times New Roman" w:cs="Times New Roman"/>
              </w:rPr>
            </w:pPr>
            <w:r w:rsidRPr="007245B0">
              <w:rPr>
                <w:rFonts w:ascii="Times New Roman" w:hAnsi="Times New Roman" w:cs="Times New Roman"/>
              </w:rPr>
              <w:t>6689 (12.3)</w:t>
            </w:r>
          </w:p>
        </w:tc>
      </w:tr>
      <w:tr w:rsidR="002A212C" w:rsidRPr="007245B0" w14:paraId="49CEF99B" w14:textId="77777777" w:rsidTr="002E0607">
        <w:trPr>
          <w:trHeight w:val="460"/>
        </w:trPr>
        <w:tc>
          <w:tcPr>
            <w:tcW w:w="0" w:type="auto"/>
            <w:vAlign w:val="center"/>
            <w:hideMark/>
          </w:tcPr>
          <w:p w14:paraId="04561771" w14:textId="77777777" w:rsidR="002A212C" w:rsidRPr="007245B0" w:rsidRDefault="002A212C" w:rsidP="002E0607">
            <w:pPr>
              <w:pStyle w:val="NoSpacing"/>
              <w:rPr>
                <w:rFonts w:ascii="Times New Roman" w:hAnsi="Times New Roman" w:cs="Times New Roman"/>
              </w:rPr>
            </w:pPr>
            <w:r w:rsidRPr="007245B0">
              <w:rPr>
                <w:rFonts w:ascii="Times New Roman" w:hAnsi="Times New Roman" w:cs="Times New Roman"/>
              </w:rPr>
              <w:t>Union Territories</w:t>
            </w:r>
          </w:p>
        </w:tc>
        <w:tc>
          <w:tcPr>
            <w:tcW w:w="0" w:type="auto"/>
            <w:vAlign w:val="center"/>
            <w:hideMark/>
          </w:tcPr>
          <w:p w14:paraId="75CE094A" w14:textId="77777777" w:rsidR="002A212C" w:rsidRPr="007245B0" w:rsidRDefault="002A212C" w:rsidP="002E0607">
            <w:pPr>
              <w:pStyle w:val="NoSpacing"/>
              <w:jc w:val="center"/>
              <w:rPr>
                <w:rFonts w:ascii="Times New Roman" w:hAnsi="Times New Roman" w:cs="Times New Roman"/>
              </w:rPr>
            </w:pPr>
            <w:r w:rsidRPr="007245B0">
              <w:rPr>
                <w:rFonts w:ascii="Times New Roman" w:hAnsi="Times New Roman" w:cs="Times New Roman"/>
              </w:rPr>
              <w:t>2610 (5.7)</w:t>
            </w:r>
          </w:p>
        </w:tc>
        <w:tc>
          <w:tcPr>
            <w:tcW w:w="0" w:type="auto"/>
            <w:vAlign w:val="center"/>
            <w:hideMark/>
          </w:tcPr>
          <w:p w14:paraId="7C474168" w14:textId="77777777" w:rsidR="002A212C" w:rsidRPr="007245B0" w:rsidRDefault="002A212C" w:rsidP="002E0607">
            <w:pPr>
              <w:pStyle w:val="NoSpacing"/>
              <w:jc w:val="center"/>
              <w:rPr>
                <w:rFonts w:ascii="Times New Roman" w:hAnsi="Times New Roman" w:cs="Times New Roman"/>
              </w:rPr>
            </w:pPr>
            <w:r w:rsidRPr="007245B0">
              <w:rPr>
                <w:rFonts w:ascii="Times New Roman" w:hAnsi="Times New Roman" w:cs="Times New Roman"/>
              </w:rPr>
              <w:t>2872 (5.3)</w:t>
            </w:r>
          </w:p>
        </w:tc>
        <w:tc>
          <w:tcPr>
            <w:tcW w:w="0" w:type="auto"/>
            <w:vAlign w:val="center"/>
            <w:hideMark/>
          </w:tcPr>
          <w:p w14:paraId="54A537C7" w14:textId="77777777" w:rsidR="002A212C" w:rsidRPr="007245B0" w:rsidRDefault="002A212C" w:rsidP="002E0607">
            <w:pPr>
              <w:pStyle w:val="NoSpacing"/>
              <w:jc w:val="center"/>
              <w:rPr>
                <w:rFonts w:ascii="Times New Roman" w:hAnsi="Times New Roman" w:cs="Times New Roman"/>
              </w:rPr>
            </w:pPr>
            <w:r w:rsidRPr="007245B0">
              <w:rPr>
                <w:rFonts w:ascii="Times New Roman" w:hAnsi="Times New Roman" w:cs="Times New Roman"/>
              </w:rPr>
              <w:t>3121 (5.3)</w:t>
            </w:r>
          </w:p>
        </w:tc>
        <w:tc>
          <w:tcPr>
            <w:tcW w:w="0" w:type="auto"/>
            <w:vAlign w:val="center"/>
            <w:hideMark/>
          </w:tcPr>
          <w:p w14:paraId="6159B704" w14:textId="77777777" w:rsidR="002A212C" w:rsidRPr="007245B0" w:rsidRDefault="002A212C" w:rsidP="002E0607">
            <w:pPr>
              <w:pStyle w:val="NoSpacing"/>
              <w:jc w:val="center"/>
              <w:rPr>
                <w:rFonts w:ascii="Times New Roman" w:hAnsi="Times New Roman" w:cs="Times New Roman"/>
              </w:rPr>
            </w:pPr>
            <w:r w:rsidRPr="007245B0">
              <w:rPr>
                <w:rFonts w:ascii="Times New Roman" w:hAnsi="Times New Roman" w:cs="Times New Roman"/>
              </w:rPr>
              <w:t>3535 (6.5)</w:t>
            </w:r>
          </w:p>
        </w:tc>
      </w:tr>
      <w:tr w:rsidR="002A212C" w:rsidRPr="007245B0" w14:paraId="2CD994E5" w14:textId="77777777" w:rsidTr="002E0607">
        <w:trPr>
          <w:trHeight w:val="434"/>
        </w:trPr>
        <w:tc>
          <w:tcPr>
            <w:tcW w:w="0" w:type="auto"/>
            <w:vAlign w:val="center"/>
            <w:hideMark/>
          </w:tcPr>
          <w:p w14:paraId="244A9164" w14:textId="77777777" w:rsidR="002A212C" w:rsidRPr="007245B0" w:rsidRDefault="002A212C" w:rsidP="002E0607">
            <w:pPr>
              <w:pStyle w:val="NoSpacing"/>
              <w:rPr>
                <w:rFonts w:ascii="Times New Roman" w:hAnsi="Times New Roman" w:cs="Times New Roman"/>
              </w:rPr>
            </w:pPr>
            <w:r w:rsidRPr="007245B0">
              <w:rPr>
                <w:rFonts w:ascii="Times New Roman" w:hAnsi="Times New Roman" w:cs="Times New Roman"/>
              </w:rPr>
              <w:t>TOTAL</w:t>
            </w:r>
          </w:p>
        </w:tc>
        <w:tc>
          <w:tcPr>
            <w:tcW w:w="0" w:type="auto"/>
            <w:vAlign w:val="center"/>
            <w:hideMark/>
          </w:tcPr>
          <w:p w14:paraId="5BB87A40" w14:textId="77777777" w:rsidR="002A212C" w:rsidRPr="007245B0" w:rsidRDefault="002A212C" w:rsidP="002E0607">
            <w:pPr>
              <w:pStyle w:val="NoSpacing"/>
              <w:jc w:val="center"/>
              <w:rPr>
                <w:rFonts w:ascii="Times New Roman" w:hAnsi="Times New Roman" w:cs="Times New Roman"/>
              </w:rPr>
            </w:pPr>
            <w:r w:rsidRPr="007245B0">
              <w:rPr>
                <w:rFonts w:ascii="Times New Roman" w:hAnsi="Times New Roman" w:cs="Times New Roman"/>
              </w:rPr>
              <w:t>45793 (100.0)</w:t>
            </w:r>
          </w:p>
        </w:tc>
        <w:tc>
          <w:tcPr>
            <w:tcW w:w="0" w:type="auto"/>
            <w:vAlign w:val="center"/>
            <w:hideMark/>
          </w:tcPr>
          <w:p w14:paraId="4F36C9AF" w14:textId="77777777" w:rsidR="002A212C" w:rsidRPr="007245B0" w:rsidRDefault="002A212C" w:rsidP="002E0607">
            <w:pPr>
              <w:pStyle w:val="NoSpacing"/>
              <w:jc w:val="center"/>
              <w:rPr>
                <w:rFonts w:ascii="Times New Roman" w:hAnsi="Times New Roman" w:cs="Times New Roman"/>
              </w:rPr>
            </w:pPr>
            <w:r w:rsidRPr="007245B0">
              <w:rPr>
                <w:rFonts w:ascii="Times New Roman" w:hAnsi="Times New Roman" w:cs="Times New Roman"/>
              </w:rPr>
              <w:t>54188 (100.0)</w:t>
            </w:r>
          </w:p>
        </w:tc>
        <w:tc>
          <w:tcPr>
            <w:tcW w:w="0" w:type="auto"/>
            <w:vAlign w:val="center"/>
            <w:hideMark/>
          </w:tcPr>
          <w:p w14:paraId="03E40FA7" w14:textId="77777777" w:rsidR="002A212C" w:rsidRPr="007245B0" w:rsidRDefault="002A212C" w:rsidP="002E0607">
            <w:pPr>
              <w:pStyle w:val="NoSpacing"/>
              <w:jc w:val="center"/>
              <w:rPr>
                <w:rFonts w:ascii="Times New Roman" w:hAnsi="Times New Roman" w:cs="Times New Roman"/>
              </w:rPr>
            </w:pPr>
            <w:r w:rsidRPr="007245B0">
              <w:rPr>
                <w:rFonts w:ascii="Times New Roman" w:hAnsi="Times New Roman" w:cs="Times New Roman"/>
              </w:rPr>
              <w:t>58895 (100.0)</w:t>
            </w:r>
          </w:p>
        </w:tc>
        <w:tc>
          <w:tcPr>
            <w:tcW w:w="0" w:type="auto"/>
            <w:vAlign w:val="center"/>
            <w:hideMark/>
          </w:tcPr>
          <w:p w14:paraId="5F391B4F" w14:textId="77777777" w:rsidR="002A212C" w:rsidRPr="007245B0" w:rsidRDefault="002A212C" w:rsidP="002E0607">
            <w:pPr>
              <w:pStyle w:val="NoSpacing"/>
              <w:jc w:val="center"/>
              <w:rPr>
                <w:rFonts w:ascii="Times New Roman" w:hAnsi="Times New Roman" w:cs="Times New Roman"/>
              </w:rPr>
            </w:pPr>
            <w:r w:rsidRPr="007245B0">
              <w:rPr>
                <w:rFonts w:ascii="Times New Roman" w:hAnsi="Times New Roman" w:cs="Times New Roman"/>
              </w:rPr>
              <w:t>54372 (100.0)</w:t>
            </w:r>
          </w:p>
        </w:tc>
      </w:tr>
    </w:tbl>
    <w:p w14:paraId="3231DDF3" w14:textId="77777777" w:rsidR="002A212C" w:rsidRPr="002E0607" w:rsidRDefault="002A212C" w:rsidP="002A212C">
      <w:pPr>
        <w:spacing w:after="0"/>
        <w:rPr>
          <w:rFonts w:ascii="Times New Roman" w:hAnsi="Times New Roman" w:cs="Times New Roman"/>
          <w:sz w:val="20"/>
          <w:szCs w:val="20"/>
        </w:rPr>
      </w:pPr>
      <w:r w:rsidRPr="002E0607">
        <w:rPr>
          <w:rFonts w:ascii="Times New Roman" w:hAnsi="Times New Roman" w:cs="Times New Roman"/>
          <w:sz w:val="20"/>
          <w:szCs w:val="20"/>
        </w:rPr>
        <w:t>Source: Central Statistical Organisation (Planning and state Statistical Division)</w:t>
      </w:r>
    </w:p>
    <w:p w14:paraId="3E1C7511" w14:textId="77777777" w:rsidR="002A212C" w:rsidRPr="002E0607" w:rsidRDefault="002A212C" w:rsidP="002A212C">
      <w:pPr>
        <w:spacing w:after="0"/>
        <w:rPr>
          <w:rFonts w:ascii="Times New Roman" w:hAnsi="Times New Roman" w:cs="Times New Roman"/>
          <w:sz w:val="20"/>
          <w:szCs w:val="20"/>
        </w:rPr>
      </w:pPr>
      <w:r w:rsidRPr="002E0607">
        <w:rPr>
          <w:rFonts w:ascii="Times New Roman" w:hAnsi="Times New Roman" w:cs="Times New Roman"/>
          <w:sz w:val="20"/>
          <w:szCs w:val="20"/>
        </w:rPr>
        <w:t>Note: Figure in brackets are percentages to total.</w:t>
      </w:r>
    </w:p>
    <w:p w14:paraId="64C3D315" w14:textId="1542228F" w:rsidR="002A212C" w:rsidRPr="002E0607" w:rsidRDefault="002A212C" w:rsidP="002A212C">
      <w:pPr>
        <w:spacing w:after="0"/>
        <w:rPr>
          <w:rFonts w:ascii="Times New Roman" w:hAnsi="Times New Roman" w:cs="Times New Roman"/>
          <w:sz w:val="20"/>
          <w:szCs w:val="20"/>
        </w:rPr>
      </w:pPr>
      <w:r w:rsidRPr="002E0607">
        <w:rPr>
          <w:rFonts w:ascii="Times New Roman" w:hAnsi="Times New Roman" w:cs="Times New Roman"/>
          <w:sz w:val="20"/>
          <w:szCs w:val="20"/>
        </w:rPr>
        <w:t>$ Included under Punjab.</w:t>
      </w:r>
    </w:p>
    <w:p w14:paraId="4785B887" w14:textId="3D828050" w:rsidR="002A212C" w:rsidRPr="002E0607" w:rsidRDefault="002A212C" w:rsidP="002A212C">
      <w:pPr>
        <w:spacing w:after="0"/>
        <w:rPr>
          <w:rFonts w:ascii="Times New Roman" w:hAnsi="Times New Roman" w:cs="Times New Roman"/>
          <w:sz w:val="20"/>
          <w:szCs w:val="20"/>
        </w:rPr>
      </w:pPr>
      <w:r w:rsidRPr="002E0607">
        <w:rPr>
          <w:rFonts w:ascii="Times New Roman" w:hAnsi="Times New Roman" w:cs="Times New Roman"/>
          <w:sz w:val="20"/>
          <w:szCs w:val="20"/>
        </w:rPr>
        <w:t>* Relate</w:t>
      </w:r>
      <w:r w:rsidR="002E0607">
        <w:rPr>
          <w:rFonts w:ascii="Times New Roman" w:hAnsi="Times New Roman" w:cs="Times New Roman"/>
          <w:sz w:val="20"/>
          <w:szCs w:val="20"/>
        </w:rPr>
        <w:t>s</w:t>
      </w:r>
      <w:r w:rsidRPr="002E0607">
        <w:rPr>
          <w:rFonts w:ascii="Times New Roman" w:hAnsi="Times New Roman" w:cs="Times New Roman"/>
          <w:sz w:val="20"/>
          <w:szCs w:val="20"/>
        </w:rPr>
        <w:t xml:space="preserve"> to composite State of Punjab</w:t>
      </w:r>
      <w:r w:rsidR="002E0607">
        <w:rPr>
          <w:rFonts w:ascii="Times New Roman" w:hAnsi="Times New Roman" w:cs="Times New Roman"/>
          <w:sz w:val="20"/>
          <w:szCs w:val="20"/>
        </w:rPr>
        <w:t>.</w:t>
      </w:r>
    </w:p>
    <w:p w14:paraId="46973EF9" w14:textId="77777777" w:rsidR="00B55D1E" w:rsidRPr="007245B0" w:rsidRDefault="00B55D1E" w:rsidP="00E0452B">
      <w:pPr>
        <w:rPr>
          <w:rFonts w:ascii="Times New Roman" w:hAnsi="Times New Roman" w:cs="Times New Roman"/>
          <w:i/>
          <w:iCs/>
          <w:szCs w:val="24"/>
        </w:rPr>
      </w:pPr>
    </w:p>
    <w:p w14:paraId="43AEE0D4" w14:textId="77777777" w:rsidR="002A212C" w:rsidRPr="007245B0" w:rsidRDefault="002A212C" w:rsidP="00E0452B">
      <w:pPr>
        <w:rPr>
          <w:rFonts w:ascii="Times New Roman" w:hAnsi="Times New Roman" w:cs="Times New Roman"/>
          <w:i/>
          <w:iCs/>
          <w:szCs w:val="24"/>
        </w:rPr>
      </w:pPr>
    </w:p>
    <w:p w14:paraId="78C451E4" w14:textId="77777777" w:rsidR="002A212C" w:rsidRPr="007245B0" w:rsidRDefault="002A212C" w:rsidP="00E0452B">
      <w:pPr>
        <w:rPr>
          <w:rFonts w:ascii="Times New Roman" w:hAnsi="Times New Roman" w:cs="Times New Roman"/>
          <w:i/>
          <w:iCs/>
          <w:szCs w:val="24"/>
        </w:rPr>
      </w:pPr>
    </w:p>
    <w:p w14:paraId="2D945072" w14:textId="77777777" w:rsidR="002A212C" w:rsidRPr="007245B0" w:rsidRDefault="002A212C" w:rsidP="00E0452B">
      <w:pPr>
        <w:rPr>
          <w:rFonts w:ascii="Times New Roman" w:hAnsi="Times New Roman" w:cs="Times New Roman"/>
          <w:i/>
          <w:iCs/>
          <w:szCs w:val="24"/>
        </w:rPr>
      </w:pPr>
    </w:p>
    <w:p w14:paraId="325E82AB" w14:textId="3F4941B6" w:rsidR="002A212C" w:rsidRPr="007245B0" w:rsidRDefault="002A212C" w:rsidP="007D2EE4">
      <w:pPr>
        <w:pStyle w:val="Heading4"/>
      </w:pPr>
      <w:r w:rsidRPr="007245B0">
        <w:br w:type="page"/>
      </w:r>
      <w:bookmarkStart w:id="186" w:name="_Toc220949732"/>
      <w:bookmarkStart w:id="187" w:name="_Toc221114332"/>
      <w:bookmarkStart w:id="188" w:name="_Toc221115355"/>
      <w:r w:rsidR="00574BCE">
        <w:lastRenderedPageBreak/>
        <w:t>Table</w:t>
      </w:r>
      <w:r w:rsidRPr="007245B0">
        <w:t xml:space="preserve"> 51: State-wise consumption estimates of Cotton Textiles.</w:t>
      </w:r>
      <w:bookmarkEnd w:id="186"/>
      <w:bookmarkEnd w:id="187"/>
      <w:bookmarkEnd w:id="188"/>
      <w:r w:rsidRPr="007245B0">
        <w:br/>
      </w:r>
    </w:p>
    <w:p w14:paraId="6EC7A5B9" w14:textId="77777777" w:rsidR="002A212C" w:rsidRPr="007245B0" w:rsidRDefault="002A212C" w:rsidP="002A212C">
      <w:pPr>
        <w:spacing w:after="0"/>
        <w:jc w:val="right"/>
        <w:rPr>
          <w:rFonts w:ascii="Times New Roman" w:hAnsi="Times New Roman" w:cs="Times New Roman"/>
          <w:i/>
          <w:iCs/>
          <w:szCs w:val="24"/>
        </w:rPr>
      </w:pPr>
      <w:r w:rsidRPr="007245B0">
        <w:rPr>
          <w:rFonts w:ascii="Times New Roman" w:hAnsi="Times New Roman" w:cs="Times New Roman"/>
          <w:i/>
          <w:iCs/>
          <w:szCs w:val="24"/>
        </w:rPr>
        <w:t>(Rs. Crores)</w:t>
      </w:r>
    </w:p>
    <w:tbl>
      <w:tblPr>
        <w:tblStyle w:val="TableGrid"/>
        <w:tblW w:w="10179" w:type="dxa"/>
        <w:tblLook w:val="04A0" w:firstRow="1" w:lastRow="0" w:firstColumn="1" w:lastColumn="0" w:noHBand="0" w:noVBand="1"/>
      </w:tblPr>
      <w:tblGrid>
        <w:gridCol w:w="3414"/>
        <w:gridCol w:w="2255"/>
        <w:gridCol w:w="2255"/>
        <w:gridCol w:w="2255"/>
      </w:tblGrid>
      <w:tr w:rsidR="002A212C" w:rsidRPr="002E0607" w14:paraId="0DFDD95D" w14:textId="77777777" w:rsidTr="002E0607">
        <w:trPr>
          <w:trHeight w:val="529"/>
        </w:trPr>
        <w:tc>
          <w:tcPr>
            <w:tcW w:w="0" w:type="auto"/>
            <w:vAlign w:val="center"/>
            <w:hideMark/>
          </w:tcPr>
          <w:p w14:paraId="7C2D8E9C" w14:textId="77777777" w:rsidR="002A212C" w:rsidRPr="002E0607" w:rsidRDefault="002A212C" w:rsidP="002E0607">
            <w:pPr>
              <w:pStyle w:val="NoSpacing"/>
              <w:jc w:val="center"/>
              <w:rPr>
                <w:rFonts w:ascii="Times New Roman" w:hAnsi="Times New Roman" w:cs="Times New Roman"/>
                <w:b/>
                <w:bCs/>
                <w:szCs w:val="24"/>
              </w:rPr>
            </w:pPr>
            <w:r w:rsidRPr="002E0607">
              <w:rPr>
                <w:rFonts w:ascii="Times New Roman" w:hAnsi="Times New Roman" w:cs="Times New Roman"/>
                <w:b/>
                <w:bCs/>
                <w:szCs w:val="24"/>
              </w:rPr>
              <w:t>States</w:t>
            </w:r>
          </w:p>
        </w:tc>
        <w:tc>
          <w:tcPr>
            <w:tcW w:w="0" w:type="auto"/>
            <w:vAlign w:val="center"/>
            <w:hideMark/>
          </w:tcPr>
          <w:p w14:paraId="7AC4DFCB" w14:textId="77777777" w:rsidR="002A212C" w:rsidRPr="002E0607" w:rsidRDefault="002A212C" w:rsidP="002E0607">
            <w:pPr>
              <w:pStyle w:val="NoSpacing"/>
              <w:jc w:val="center"/>
              <w:rPr>
                <w:rFonts w:ascii="Times New Roman" w:hAnsi="Times New Roman" w:cs="Times New Roman"/>
                <w:b/>
                <w:bCs/>
                <w:szCs w:val="24"/>
              </w:rPr>
            </w:pPr>
            <w:r w:rsidRPr="002E0607">
              <w:rPr>
                <w:rFonts w:ascii="Times New Roman" w:hAnsi="Times New Roman" w:cs="Times New Roman"/>
                <w:b/>
                <w:bCs/>
                <w:szCs w:val="24"/>
              </w:rPr>
              <w:t>1964</w:t>
            </w:r>
          </w:p>
        </w:tc>
        <w:tc>
          <w:tcPr>
            <w:tcW w:w="0" w:type="auto"/>
            <w:vAlign w:val="center"/>
            <w:hideMark/>
          </w:tcPr>
          <w:p w14:paraId="6DCA68F4" w14:textId="77777777" w:rsidR="002A212C" w:rsidRPr="002E0607" w:rsidRDefault="002A212C" w:rsidP="002E0607">
            <w:pPr>
              <w:pStyle w:val="NoSpacing"/>
              <w:jc w:val="center"/>
              <w:rPr>
                <w:rFonts w:ascii="Times New Roman" w:hAnsi="Times New Roman" w:cs="Times New Roman"/>
                <w:b/>
                <w:bCs/>
                <w:szCs w:val="24"/>
              </w:rPr>
            </w:pPr>
            <w:r w:rsidRPr="002E0607">
              <w:rPr>
                <w:rFonts w:ascii="Times New Roman" w:hAnsi="Times New Roman" w:cs="Times New Roman"/>
                <w:b/>
                <w:bCs/>
                <w:szCs w:val="24"/>
              </w:rPr>
              <w:t>1965</w:t>
            </w:r>
          </w:p>
        </w:tc>
        <w:tc>
          <w:tcPr>
            <w:tcW w:w="0" w:type="auto"/>
            <w:vAlign w:val="center"/>
            <w:hideMark/>
          </w:tcPr>
          <w:p w14:paraId="09293C60" w14:textId="77777777" w:rsidR="002A212C" w:rsidRPr="002E0607" w:rsidRDefault="002A212C" w:rsidP="002E0607">
            <w:pPr>
              <w:pStyle w:val="NoSpacing"/>
              <w:jc w:val="center"/>
              <w:rPr>
                <w:rFonts w:ascii="Times New Roman" w:hAnsi="Times New Roman" w:cs="Times New Roman"/>
                <w:b/>
                <w:bCs/>
                <w:szCs w:val="24"/>
              </w:rPr>
            </w:pPr>
            <w:r w:rsidRPr="002E0607">
              <w:rPr>
                <w:rFonts w:ascii="Times New Roman" w:hAnsi="Times New Roman" w:cs="Times New Roman"/>
                <w:b/>
                <w:bCs/>
                <w:szCs w:val="24"/>
              </w:rPr>
              <w:t>1966</w:t>
            </w:r>
          </w:p>
        </w:tc>
      </w:tr>
      <w:tr w:rsidR="002A212C" w:rsidRPr="002E0607" w14:paraId="06DD3D8E" w14:textId="77777777" w:rsidTr="002E0607">
        <w:trPr>
          <w:trHeight w:val="500"/>
        </w:trPr>
        <w:tc>
          <w:tcPr>
            <w:tcW w:w="0" w:type="auto"/>
            <w:vAlign w:val="center"/>
            <w:hideMark/>
          </w:tcPr>
          <w:p w14:paraId="5E8877E2" w14:textId="77777777" w:rsidR="002A212C" w:rsidRPr="002E0607" w:rsidRDefault="002A212C" w:rsidP="002E0607">
            <w:pPr>
              <w:pStyle w:val="NoSpacing"/>
              <w:rPr>
                <w:rFonts w:ascii="Times New Roman" w:hAnsi="Times New Roman" w:cs="Times New Roman"/>
                <w:szCs w:val="24"/>
              </w:rPr>
            </w:pPr>
            <w:r w:rsidRPr="002E0607">
              <w:rPr>
                <w:rFonts w:ascii="Times New Roman" w:hAnsi="Times New Roman" w:cs="Times New Roman"/>
                <w:szCs w:val="24"/>
              </w:rPr>
              <w:t>Andhra Pradesh</w:t>
            </w:r>
          </w:p>
        </w:tc>
        <w:tc>
          <w:tcPr>
            <w:tcW w:w="0" w:type="auto"/>
            <w:vAlign w:val="center"/>
            <w:hideMark/>
          </w:tcPr>
          <w:p w14:paraId="346C14A9" w14:textId="77777777" w:rsidR="002A212C" w:rsidRPr="002E0607" w:rsidRDefault="002A212C" w:rsidP="002E0607">
            <w:pPr>
              <w:pStyle w:val="NoSpacing"/>
              <w:jc w:val="center"/>
              <w:rPr>
                <w:rFonts w:ascii="Times New Roman" w:hAnsi="Times New Roman" w:cs="Times New Roman"/>
                <w:szCs w:val="24"/>
              </w:rPr>
            </w:pPr>
            <w:r w:rsidRPr="002E0607">
              <w:rPr>
                <w:rFonts w:ascii="Times New Roman" w:hAnsi="Times New Roman" w:cs="Times New Roman"/>
                <w:szCs w:val="24"/>
              </w:rPr>
              <w:t>63.0 (7.7)</w:t>
            </w:r>
          </w:p>
        </w:tc>
        <w:tc>
          <w:tcPr>
            <w:tcW w:w="0" w:type="auto"/>
            <w:vAlign w:val="center"/>
            <w:hideMark/>
          </w:tcPr>
          <w:p w14:paraId="31615F07" w14:textId="77777777" w:rsidR="002A212C" w:rsidRPr="002E0607" w:rsidRDefault="002A212C" w:rsidP="002E0607">
            <w:pPr>
              <w:pStyle w:val="NoSpacing"/>
              <w:jc w:val="center"/>
              <w:rPr>
                <w:rFonts w:ascii="Times New Roman" w:hAnsi="Times New Roman" w:cs="Times New Roman"/>
                <w:szCs w:val="24"/>
              </w:rPr>
            </w:pPr>
            <w:r w:rsidRPr="002E0607">
              <w:rPr>
                <w:rFonts w:ascii="Times New Roman" w:hAnsi="Times New Roman" w:cs="Times New Roman"/>
                <w:szCs w:val="24"/>
              </w:rPr>
              <w:t>63.9 (7.7)</w:t>
            </w:r>
          </w:p>
        </w:tc>
        <w:tc>
          <w:tcPr>
            <w:tcW w:w="0" w:type="auto"/>
            <w:vAlign w:val="center"/>
            <w:hideMark/>
          </w:tcPr>
          <w:p w14:paraId="7F875BE4" w14:textId="77777777" w:rsidR="002A212C" w:rsidRPr="002E0607" w:rsidRDefault="002A212C" w:rsidP="002E0607">
            <w:pPr>
              <w:pStyle w:val="NoSpacing"/>
              <w:jc w:val="center"/>
              <w:rPr>
                <w:rFonts w:ascii="Times New Roman" w:hAnsi="Times New Roman" w:cs="Times New Roman"/>
                <w:szCs w:val="24"/>
              </w:rPr>
            </w:pPr>
            <w:r w:rsidRPr="002E0607">
              <w:rPr>
                <w:rFonts w:ascii="Times New Roman" w:hAnsi="Times New Roman" w:cs="Times New Roman"/>
                <w:szCs w:val="24"/>
              </w:rPr>
              <w:t>66.1 (7.7)</w:t>
            </w:r>
          </w:p>
        </w:tc>
      </w:tr>
      <w:tr w:rsidR="002A212C" w:rsidRPr="002E0607" w14:paraId="5CCD59AE" w14:textId="77777777" w:rsidTr="002E0607">
        <w:trPr>
          <w:trHeight w:val="529"/>
        </w:trPr>
        <w:tc>
          <w:tcPr>
            <w:tcW w:w="0" w:type="auto"/>
            <w:vAlign w:val="center"/>
            <w:hideMark/>
          </w:tcPr>
          <w:p w14:paraId="708F30A6" w14:textId="77777777" w:rsidR="002A212C" w:rsidRPr="002E0607" w:rsidRDefault="002A212C" w:rsidP="002E0607">
            <w:pPr>
              <w:pStyle w:val="NoSpacing"/>
              <w:rPr>
                <w:rFonts w:ascii="Times New Roman" w:hAnsi="Times New Roman" w:cs="Times New Roman"/>
                <w:szCs w:val="24"/>
              </w:rPr>
            </w:pPr>
            <w:r w:rsidRPr="002E0607">
              <w:rPr>
                <w:rFonts w:ascii="Times New Roman" w:hAnsi="Times New Roman" w:cs="Times New Roman"/>
                <w:szCs w:val="24"/>
              </w:rPr>
              <w:t>Assam</w:t>
            </w:r>
          </w:p>
        </w:tc>
        <w:tc>
          <w:tcPr>
            <w:tcW w:w="0" w:type="auto"/>
            <w:vAlign w:val="center"/>
            <w:hideMark/>
          </w:tcPr>
          <w:p w14:paraId="404A35C2" w14:textId="77777777" w:rsidR="002A212C" w:rsidRPr="002E0607" w:rsidRDefault="002A212C" w:rsidP="002E0607">
            <w:pPr>
              <w:pStyle w:val="NoSpacing"/>
              <w:jc w:val="center"/>
              <w:rPr>
                <w:rFonts w:ascii="Times New Roman" w:hAnsi="Times New Roman" w:cs="Times New Roman"/>
                <w:szCs w:val="24"/>
              </w:rPr>
            </w:pPr>
            <w:r w:rsidRPr="002E0607">
              <w:rPr>
                <w:rFonts w:ascii="Times New Roman" w:hAnsi="Times New Roman" w:cs="Times New Roman"/>
                <w:szCs w:val="24"/>
              </w:rPr>
              <w:t>18.4 (2.2)</w:t>
            </w:r>
          </w:p>
        </w:tc>
        <w:tc>
          <w:tcPr>
            <w:tcW w:w="0" w:type="auto"/>
            <w:vAlign w:val="center"/>
            <w:hideMark/>
          </w:tcPr>
          <w:p w14:paraId="79FD2B37" w14:textId="77777777" w:rsidR="002A212C" w:rsidRPr="002E0607" w:rsidRDefault="002A212C" w:rsidP="002E0607">
            <w:pPr>
              <w:pStyle w:val="NoSpacing"/>
              <w:jc w:val="center"/>
              <w:rPr>
                <w:rFonts w:ascii="Times New Roman" w:hAnsi="Times New Roman" w:cs="Times New Roman"/>
                <w:szCs w:val="24"/>
              </w:rPr>
            </w:pPr>
            <w:r w:rsidRPr="002E0607">
              <w:rPr>
                <w:rFonts w:ascii="Times New Roman" w:hAnsi="Times New Roman" w:cs="Times New Roman"/>
                <w:szCs w:val="24"/>
              </w:rPr>
              <w:t>18.7  (2.2)</w:t>
            </w:r>
          </w:p>
        </w:tc>
        <w:tc>
          <w:tcPr>
            <w:tcW w:w="0" w:type="auto"/>
            <w:vAlign w:val="center"/>
            <w:hideMark/>
          </w:tcPr>
          <w:p w14:paraId="006FD1B9" w14:textId="77777777" w:rsidR="002A212C" w:rsidRPr="002E0607" w:rsidRDefault="002A212C" w:rsidP="002E0607">
            <w:pPr>
              <w:pStyle w:val="NoSpacing"/>
              <w:jc w:val="center"/>
              <w:rPr>
                <w:rFonts w:ascii="Times New Roman" w:hAnsi="Times New Roman" w:cs="Times New Roman"/>
                <w:szCs w:val="24"/>
              </w:rPr>
            </w:pPr>
            <w:r w:rsidRPr="002E0607">
              <w:rPr>
                <w:rFonts w:ascii="Times New Roman" w:hAnsi="Times New Roman" w:cs="Times New Roman"/>
                <w:szCs w:val="24"/>
              </w:rPr>
              <w:t>19.3  (2.2)</w:t>
            </w:r>
          </w:p>
        </w:tc>
      </w:tr>
      <w:tr w:rsidR="002A212C" w:rsidRPr="002E0607" w14:paraId="71E26F09" w14:textId="77777777" w:rsidTr="002E0607">
        <w:trPr>
          <w:trHeight w:val="500"/>
        </w:trPr>
        <w:tc>
          <w:tcPr>
            <w:tcW w:w="0" w:type="auto"/>
            <w:vAlign w:val="center"/>
            <w:hideMark/>
          </w:tcPr>
          <w:p w14:paraId="4CF6603F" w14:textId="77777777" w:rsidR="002A212C" w:rsidRPr="002E0607" w:rsidRDefault="002A212C" w:rsidP="002E0607">
            <w:pPr>
              <w:pStyle w:val="NoSpacing"/>
              <w:rPr>
                <w:rFonts w:ascii="Times New Roman" w:hAnsi="Times New Roman" w:cs="Times New Roman"/>
                <w:szCs w:val="24"/>
              </w:rPr>
            </w:pPr>
            <w:r w:rsidRPr="002E0607">
              <w:rPr>
                <w:rFonts w:ascii="Times New Roman" w:hAnsi="Times New Roman" w:cs="Times New Roman"/>
                <w:szCs w:val="24"/>
              </w:rPr>
              <w:t>Bihar</w:t>
            </w:r>
          </w:p>
        </w:tc>
        <w:tc>
          <w:tcPr>
            <w:tcW w:w="0" w:type="auto"/>
            <w:vAlign w:val="center"/>
            <w:hideMark/>
          </w:tcPr>
          <w:p w14:paraId="22D735BE" w14:textId="77777777" w:rsidR="002A212C" w:rsidRPr="002E0607" w:rsidRDefault="002A212C" w:rsidP="002E0607">
            <w:pPr>
              <w:pStyle w:val="NoSpacing"/>
              <w:jc w:val="center"/>
              <w:rPr>
                <w:rFonts w:ascii="Times New Roman" w:hAnsi="Times New Roman" w:cs="Times New Roman"/>
                <w:szCs w:val="24"/>
              </w:rPr>
            </w:pPr>
            <w:r w:rsidRPr="002E0607">
              <w:rPr>
                <w:rFonts w:ascii="Times New Roman" w:hAnsi="Times New Roman" w:cs="Times New Roman"/>
                <w:szCs w:val="24"/>
              </w:rPr>
              <w:t>69.8 (8.5)</w:t>
            </w:r>
          </w:p>
        </w:tc>
        <w:tc>
          <w:tcPr>
            <w:tcW w:w="0" w:type="auto"/>
            <w:vAlign w:val="center"/>
            <w:hideMark/>
          </w:tcPr>
          <w:p w14:paraId="3535803B" w14:textId="77777777" w:rsidR="002A212C" w:rsidRPr="002E0607" w:rsidRDefault="002A212C" w:rsidP="002E0607">
            <w:pPr>
              <w:pStyle w:val="NoSpacing"/>
              <w:jc w:val="center"/>
              <w:rPr>
                <w:rFonts w:ascii="Times New Roman" w:hAnsi="Times New Roman" w:cs="Times New Roman"/>
                <w:szCs w:val="24"/>
              </w:rPr>
            </w:pPr>
            <w:r w:rsidRPr="002E0607">
              <w:rPr>
                <w:rFonts w:ascii="Times New Roman" w:hAnsi="Times New Roman" w:cs="Times New Roman"/>
                <w:szCs w:val="24"/>
              </w:rPr>
              <w:t>70.8 (8.5)</w:t>
            </w:r>
          </w:p>
        </w:tc>
        <w:tc>
          <w:tcPr>
            <w:tcW w:w="0" w:type="auto"/>
            <w:vAlign w:val="center"/>
            <w:hideMark/>
          </w:tcPr>
          <w:p w14:paraId="608538D7" w14:textId="77777777" w:rsidR="002A212C" w:rsidRPr="002E0607" w:rsidRDefault="002A212C" w:rsidP="002E0607">
            <w:pPr>
              <w:pStyle w:val="NoSpacing"/>
              <w:jc w:val="center"/>
              <w:rPr>
                <w:rFonts w:ascii="Times New Roman" w:hAnsi="Times New Roman" w:cs="Times New Roman"/>
                <w:szCs w:val="24"/>
              </w:rPr>
            </w:pPr>
            <w:r w:rsidRPr="002E0607">
              <w:rPr>
                <w:rFonts w:ascii="Times New Roman" w:hAnsi="Times New Roman" w:cs="Times New Roman"/>
                <w:szCs w:val="24"/>
              </w:rPr>
              <w:t>72.4 (8.4)</w:t>
            </w:r>
          </w:p>
        </w:tc>
      </w:tr>
      <w:tr w:rsidR="002A212C" w:rsidRPr="002E0607" w14:paraId="4809E7E7" w14:textId="77777777" w:rsidTr="002E0607">
        <w:trPr>
          <w:trHeight w:val="529"/>
        </w:trPr>
        <w:tc>
          <w:tcPr>
            <w:tcW w:w="0" w:type="auto"/>
            <w:vAlign w:val="center"/>
            <w:hideMark/>
          </w:tcPr>
          <w:p w14:paraId="16CAB1CB" w14:textId="77777777" w:rsidR="002A212C" w:rsidRPr="002E0607" w:rsidRDefault="002A212C" w:rsidP="002E0607">
            <w:pPr>
              <w:pStyle w:val="NoSpacing"/>
              <w:rPr>
                <w:rFonts w:ascii="Times New Roman" w:hAnsi="Times New Roman" w:cs="Times New Roman"/>
                <w:szCs w:val="24"/>
              </w:rPr>
            </w:pPr>
            <w:r w:rsidRPr="002E0607">
              <w:rPr>
                <w:rFonts w:ascii="Times New Roman" w:hAnsi="Times New Roman" w:cs="Times New Roman"/>
                <w:szCs w:val="24"/>
              </w:rPr>
              <w:t>Gujarat</w:t>
            </w:r>
          </w:p>
        </w:tc>
        <w:tc>
          <w:tcPr>
            <w:tcW w:w="0" w:type="auto"/>
            <w:vAlign w:val="center"/>
            <w:hideMark/>
          </w:tcPr>
          <w:p w14:paraId="79138698" w14:textId="77777777" w:rsidR="002A212C" w:rsidRPr="002E0607" w:rsidRDefault="002A212C" w:rsidP="002E0607">
            <w:pPr>
              <w:pStyle w:val="NoSpacing"/>
              <w:jc w:val="center"/>
              <w:rPr>
                <w:rFonts w:ascii="Times New Roman" w:hAnsi="Times New Roman" w:cs="Times New Roman"/>
                <w:szCs w:val="24"/>
              </w:rPr>
            </w:pPr>
            <w:r w:rsidRPr="002E0607">
              <w:rPr>
                <w:rFonts w:ascii="Times New Roman" w:hAnsi="Times New Roman" w:cs="Times New Roman"/>
                <w:szCs w:val="24"/>
              </w:rPr>
              <w:t>28.4 (3.4)</w:t>
            </w:r>
          </w:p>
        </w:tc>
        <w:tc>
          <w:tcPr>
            <w:tcW w:w="0" w:type="auto"/>
            <w:vAlign w:val="center"/>
            <w:hideMark/>
          </w:tcPr>
          <w:p w14:paraId="7D1F6ADA" w14:textId="77777777" w:rsidR="002A212C" w:rsidRPr="002E0607" w:rsidRDefault="002A212C" w:rsidP="002E0607">
            <w:pPr>
              <w:pStyle w:val="NoSpacing"/>
              <w:jc w:val="center"/>
              <w:rPr>
                <w:rFonts w:ascii="Times New Roman" w:hAnsi="Times New Roman" w:cs="Times New Roman"/>
                <w:szCs w:val="24"/>
              </w:rPr>
            </w:pPr>
            <w:r w:rsidRPr="002E0607">
              <w:rPr>
                <w:rFonts w:ascii="Times New Roman" w:hAnsi="Times New Roman" w:cs="Times New Roman"/>
                <w:szCs w:val="24"/>
              </w:rPr>
              <w:t>28.8 (3.4)</w:t>
            </w:r>
          </w:p>
        </w:tc>
        <w:tc>
          <w:tcPr>
            <w:tcW w:w="0" w:type="auto"/>
            <w:vAlign w:val="center"/>
            <w:hideMark/>
          </w:tcPr>
          <w:p w14:paraId="3953344B" w14:textId="77777777" w:rsidR="002A212C" w:rsidRPr="002E0607" w:rsidRDefault="002A212C" w:rsidP="002E0607">
            <w:pPr>
              <w:pStyle w:val="NoSpacing"/>
              <w:jc w:val="center"/>
              <w:rPr>
                <w:rFonts w:ascii="Times New Roman" w:hAnsi="Times New Roman" w:cs="Times New Roman"/>
                <w:szCs w:val="24"/>
              </w:rPr>
            </w:pPr>
            <w:r w:rsidRPr="002E0607">
              <w:rPr>
                <w:rFonts w:ascii="Times New Roman" w:hAnsi="Times New Roman" w:cs="Times New Roman"/>
                <w:szCs w:val="24"/>
              </w:rPr>
              <w:t>29.8 (3.4)</w:t>
            </w:r>
          </w:p>
        </w:tc>
      </w:tr>
      <w:tr w:rsidR="002A212C" w:rsidRPr="002E0607" w14:paraId="3BAEA853" w14:textId="77777777" w:rsidTr="002E0607">
        <w:trPr>
          <w:trHeight w:val="500"/>
        </w:trPr>
        <w:tc>
          <w:tcPr>
            <w:tcW w:w="0" w:type="auto"/>
            <w:vAlign w:val="center"/>
            <w:hideMark/>
          </w:tcPr>
          <w:p w14:paraId="3F126DC6" w14:textId="77777777" w:rsidR="002A212C" w:rsidRPr="002E0607" w:rsidRDefault="002A212C" w:rsidP="002E0607">
            <w:pPr>
              <w:pStyle w:val="NoSpacing"/>
              <w:rPr>
                <w:rFonts w:ascii="Times New Roman" w:hAnsi="Times New Roman" w:cs="Times New Roman"/>
                <w:szCs w:val="24"/>
              </w:rPr>
            </w:pPr>
            <w:r w:rsidRPr="002E0607">
              <w:rPr>
                <w:rFonts w:ascii="Times New Roman" w:hAnsi="Times New Roman" w:cs="Times New Roman"/>
                <w:szCs w:val="24"/>
              </w:rPr>
              <w:t>Haryana</w:t>
            </w:r>
          </w:p>
        </w:tc>
        <w:tc>
          <w:tcPr>
            <w:tcW w:w="0" w:type="auto"/>
            <w:vAlign w:val="center"/>
            <w:hideMark/>
          </w:tcPr>
          <w:p w14:paraId="410A0B23" w14:textId="77777777" w:rsidR="002A212C" w:rsidRPr="002E0607" w:rsidRDefault="002A212C" w:rsidP="002E0607">
            <w:pPr>
              <w:pStyle w:val="NoSpacing"/>
              <w:jc w:val="center"/>
              <w:rPr>
                <w:rFonts w:ascii="Times New Roman" w:hAnsi="Times New Roman" w:cs="Times New Roman"/>
                <w:szCs w:val="24"/>
              </w:rPr>
            </w:pPr>
            <w:r w:rsidRPr="002E0607">
              <w:rPr>
                <w:rFonts w:ascii="Times New Roman" w:hAnsi="Times New Roman" w:cs="Times New Roman"/>
                <w:szCs w:val="24"/>
              </w:rPr>
              <w:t>$</w:t>
            </w:r>
          </w:p>
        </w:tc>
        <w:tc>
          <w:tcPr>
            <w:tcW w:w="0" w:type="auto"/>
            <w:vAlign w:val="center"/>
            <w:hideMark/>
          </w:tcPr>
          <w:p w14:paraId="395A1F1F" w14:textId="77777777" w:rsidR="002A212C" w:rsidRPr="002E0607" w:rsidRDefault="002A212C" w:rsidP="002E0607">
            <w:pPr>
              <w:pStyle w:val="NoSpacing"/>
              <w:jc w:val="center"/>
              <w:rPr>
                <w:rFonts w:ascii="Times New Roman" w:hAnsi="Times New Roman" w:cs="Times New Roman"/>
                <w:szCs w:val="24"/>
              </w:rPr>
            </w:pPr>
            <w:r w:rsidRPr="002E0607">
              <w:rPr>
                <w:rFonts w:ascii="Times New Roman" w:hAnsi="Times New Roman" w:cs="Times New Roman"/>
                <w:szCs w:val="24"/>
              </w:rPr>
              <w:t>$</w:t>
            </w:r>
          </w:p>
        </w:tc>
        <w:tc>
          <w:tcPr>
            <w:tcW w:w="0" w:type="auto"/>
            <w:vAlign w:val="center"/>
            <w:hideMark/>
          </w:tcPr>
          <w:p w14:paraId="5168C732" w14:textId="77777777" w:rsidR="002A212C" w:rsidRPr="002E0607" w:rsidRDefault="002A212C" w:rsidP="002E0607">
            <w:pPr>
              <w:pStyle w:val="NoSpacing"/>
              <w:jc w:val="center"/>
              <w:rPr>
                <w:rFonts w:ascii="Times New Roman" w:hAnsi="Times New Roman" w:cs="Times New Roman"/>
                <w:szCs w:val="24"/>
              </w:rPr>
            </w:pPr>
            <w:r w:rsidRPr="002E0607">
              <w:rPr>
                <w:rFonts w:ascii="Times New Roman" w:hAnsi="Times New Roman" w:cs="Times New Roman"/>
                <w:szCs w:val="24"/>
              </w:rPr>
              <w:t>$</w:t>
            </w:r>
          </w:p>
        </w:tc>
      </w:tr>
      <w:tr w:rsidR="002A212C" w:rsidRPr="002E0607" w14:paraId="7DC82749" w14:textId="77777777" w:rsidTr="002E0607">
        <w:trPr>
          <w:trHeight w:val="529"/>
        </w:trPr>
        <w:tc>
          <w:tcPr>
            <w:tcW w:w="0" w:type="auto"/>
            <w:vAlign w:val="center"/>
            <w:hideMark/>
          </w:tcPr>
          <w:p w14:paraId="367C45DB" w14:textId="77777777" w:rsidR="002A212C" w:rsidRPr="002E0607" w:rsidRDefault="002A212C" w:rsidP="002E0607">
            <w:pPr>
              <w:pStyle w:val="NoSpacing"/>
              <w:rPr>
                <w:rFonts w:ascii="Times New Roman" w:hAnsi="Times New Roman" w:cs="Times New Roman"/>
                <w:szCs w:val="24"/>
              </w:rPr>
            </w:pPr>
            <w:r w:rsidRPr="002E0607">
              <w:rPr>
                <w:rFonts w:ascii="Times New Roman" w:hAnsi="Times New Roman" w:cs="Times New Roman"/>
                <w:szCs w:val="24"/>
              </w:rPr>
              <w:t>Jammu and Kashmir</w:t>
            </w:r>
          </w:p>
        </w:tc>
        <w:tc>
          <w:tcPr>
            <w:tcW w:w="0" w:type="auto"/>
            <w:vAlign w:val="center"/>
            <w:hideMark/>
          </w:tcPr>
          <w:p w14:paraId="5890A3E5" w14:textId="77777777" w:rsidR="002A212C" w:rsidRPr="002E0607" w:rsidRDefault="002A212C" w:rsidP="002E0607">
            <w:pPr>
              <w:pStyle w:val="NoSpacing"/>
              <w:jc w:val="center"/>
              <w:rPr>
                <w:rFonts w:ascii="Times New Roman" w:hAnsi="Times New Roman" w:cs="Times New Roman"/>
                <w:szCs w:val="24"/>
              </w:rPr>
            </w:pPr>
            <w:r w:rsidRPr="002E0607">
              <w:rPr>
                <w:rFonts w:ascii="Times New Roman" w:hAnsi="Times New Roman" w:cs="Times New Roman"/>
                <w:szCs w:val="24"/>
              </w:rPr>
              <w:t>7.1(0.9)</w:t>
            </w:r>
          </w:p>
        </w:tc>
        <w:tc>
          <w:tcPr>
            <w:tcW w:w="0" w:type="auto"/>
            <w:vAlign w:val="center"/>
            <w:hideMark/>
          </w:tcPr>
          <w:p w14:paraId="3FEC7104" w14:textId="77777777" w:rsidR="002A212C" w:rsidRPr="002E0607" w:rsidRDefault="002A212C" w:rsidP="002E0607">
            <w:pPr>
              <w:pStyle w:val="NoSpacing"/>
              <w:jc w:val="center"/>
              <w:rPr>
                <w:rFonts w:ascii="Times New Roman" w:hAnsi="Times New Roman" w:cs="Times New Roman"/>
                <w:szCs w:val="24"/>
              </w:rPr>
            </w:pPr>
            <w:r w:rsidRPr="002E0607">
              <w:rPr>
                <w:rFonts w:ascii="Times New Roman" w:hAnsi="Times New Roman" w:cs="Times New Roman"/>
                <w:szCs w:val="24"/>
              </w:rPr>
              <w:t>7.2 (0.9)</w:t>
            </w:r>
          </w:p>
        </w:tc>
        <w:tc>
          <w:tcPr>
            <w:tcW w:w="0" w:type="auto"/>
            <w:vAlign w:val="center"/>
            <w:hideMark/>
          </w:tcPr>
          <w:p w14:paraId="6CB884B6" w14:textId="77777777" w:rsidR="002A212C" w:rsidRPr="002E0607" w:rsidRDefault="002A212C" w:rsidP="002E0607">
            <w:pPr>
              <w:pStyle w:val="NoSpacing"/>
              <w:jc w:val="center"/>
              <w:rPr>
                <w:rFonts w:ascii="Times New Roman" w:hAnsi="Times New Roman" w:cs="Times New Roman"/>
                <w:szCs w:val="24"/>
              </w:rPr>
            </w:pPr>
            <w:r w:rsidRPr="002E0607">
              <w:rPr>
                <w:rFonts w:ascii="Times New Roman" w:hAnsi="Times New Roman" w:cs="Times New Roman"/>
                <w:szCs w:val="24"/>
              </w:rPr>
              <w:t>7.4 (0.9)</w:t>
            </w:r>
          </w:p>
        </w:tc>
      </w:tr>
      <w:tr w:rsidR="002A212C" w:rsidRPr="002E0607" w14:paraId="0833688E" w14:textId="77777777" w:rsidTr="002E0607">
        <w:trPr>
          <w:trHeight w:val="529"/>
        </w:trPr>
        <w:tc>
          <w:tcPr>
            <w:tcW w:w="0" w:type="auto"/>
            <w:vAlign w:val="center"/>
            <w:hideMark/>
          </w:tcPr>
          <w:p w14:paraId="02980E64" w14:textId="77777777" w:rsidR="002A212C" w:rsidRPr="002E0607" w:rsidRDefault="002A212C" w:rsidP="002E0607">
            <w:pPr>
              <w:pStyle w:val="NoSpacing"/>
              <w:rPr>
                <w:rFonts w:ascii="Times New Roman" w:hAnsi="Times New Roman" w:cs="Times New Roman"/>
                <w:szCs w:val="24"/>
              </w:rPr>
            </w:pPr>
            <w:r w:rsidRPr="002E0607">
              <w:rPr>
                <w:rFonts w:ascii="Times New Roman" w:hAnsi="Times New Roman" w:cs="Times New Roman"/>
                <w:szCs w:val="24"/>
              </w:rPr>
              <w:t>Kerala</w:t>
            </w:r>
          </w:p>
        </w:tc>
        <w:tc>
          <w:tcPr>
            <w:tcW w:w="0" w:type="auto"/>
            <w:vAlign w:val="center"/>
            <w:hideMark/>
          </w:tcPr>
          <w:p w14:paraId="1E6CB0FA" w14:textId="77777777" w:rsidR="002A212C" w:rsidRPr="002E0607" w:rsidRDefault="002A212C" w:rsidP="002E0607">
            <w:pPr>
              <w:pStyle w:val="NoSpacing"/>
              <w:jc w:val="center"/>
              <w:rPr>
                <w:rFonts w:ascii="Times New Roman" w:hAnsi="Times New Roman" w:cs="Times New Roman"/>
                <w:szCs w:val="24"/>
              </w:rPr>
            </w:pPr>
            <w:r w:rsidRPr="002E0607">
              <w:rPr>
                <w:rFonts w:ascii="Times New Roman" w:hAnsi="Times New Roman" w:cs="Times New Roman"/>
                <w:szCs w:val="24"/>
              </w:rPr>
              <w:t>19.2(2.3)</w:t>
            </w:r>
          </w:p>
        </w:tc>
        <w:tc>
          <w:tcPr>
            <w:tcW w:w="0" w:type="auto"/>
            <w:vAlign w:val="center"/>
            <w:hideMark/>
          </w:tcPr>
          <w:p w14:paraId="4ACE2576" w14:textId="77777777" w:rsidR="002A212C" w:rsidRPr="002E0607" w:rsidRDefault="002A212C" w:rsidP="002E0607">
            <w:pPr>
              <w:pStyle w:val="NoSpacing"/>
              <w:jc w:val="center"/>
              <w:rPr>
                <w:rFonts w:ascii="Times New Roman" w:hAnsi="Times New Roman" w:cs="Times New Roman"/>
                <w:szCs w:val="24"/>
              </w:rPr>
            </w:pPr>
            <w:r w:rsidRPr="002E0607">
              <w:rPr>
                <w:rFonts w:ascii="Times New Roman" w:hAnsi="Times New Roman" w:cs="Times New Roman"/>
                <w:szCs w:val="24"/>
              </w:rPr>
              <w:t>19.4(2.3)</w:t>
            </w:r>
          </w:p>
        </w:tc>
        <w:tc>
          <w:tcPr>
            <w:tcW w:w="0" w:type="auto"/>
            <w:vAlign w:val="center"/>
            <w:hideMark/>
          </w:tcPr>
          <w:p w14:paraId="61800B03" w14:textId="77777777" w:rsidR="002A212C" w:rsidRPr="002E0607" w:rsidRDefault="002A212C" w:rsidP="002E0607">
            <w:pPr>
              <w:pStyle w:val="NoSpacing"/>
              <w:jc w:val="center"/>
              <w:rPr>
                <w:rFonts w:ascii="Times New Roman" w:hAnsi="Times New Roman" w:cs="Times New Roman"/>
                <w:szCs w:val="24"/>
              </w:rPr>
            </w:pPr>
            <w:r w:rsidRPr="002E0607">
              <w:rPr>
                <w:rFonts w:ascii="Times New Roman" w:hAnsi="Times New Roman" w:cs="Times New Roman"/>
                <w:szCs w:val="24"/>
              </w:rPr>
              <w:t>20.1(2.3)</w:t>
            </w:r>
          </w:p>
        </w:tc>
      </w:tr>
      <w:tr w:rsidR="002A212C" w:rsidRPr="002E0607" w14:paraId="32FD9E58" w14:textId="77777777" w:rsidTr="002E0607">
        <w:trPr>
          <w:trHeight w:val="500"/>
        </w:trPr>
        <w:tc>
          <w:tcPr>
            <w:tcW w:w="0" w:type="auto"/>
            <w:vAlign w:val="center"/>
            <w:hideMark/>
          </w:tcPr>
          <w:p w14:paraId="373EC9BB" w14:textId="77777777" w:rsidR="002A212C" w:rsidRPr="002E0607" w:rsidRDefault="002A212C" w:rsidP="002E0607">
            <w:pPr>
              <w:pStyle w:val="NoSpacing"/>
              <w:rPr>
                <w:rFonts w:ascii="Times New Roman" w:hAnsi="Times New Roman" w:cs="Times New Roman"/>
                <w:szCs w:val="24"/>
              </w:rPr>
            </w:pPr>
            <w:r w:rsidRPr="002E0607">
              <w:rPr>
                <w:rFonts w:ascii="Times New Roman" w:hAnsi="Times New Roman" w:cs="Times New Roman"/>
                <w:szCs w:val="24"/>
              </w:rPr>
              <w:t>Madhya Pradesh</w:t>
            </w:r>
          </w:p>
        </w:tc>
        <w:tc>
          <w:tcPr>
            <w:tcW w:w="0" w:type="auto"/>
            <w:vAlign w:val="center"/>
            <w:hideMark/>
          </w:tcPr>
          <w:p w14:paraId="7ECDE2F9" w14:textId="77777777" w:rsidR="002A212C" w:rsidRPr="002E0607" w:rsidRDefault="002A212C" w:rsidP="002E0607">
            <w:pPr>
              <w:pStyle w:val="NoSpacing"/>
              <w:jc w:val="center"/>
              <w:rPr>
                <w:rFonts w:ascii="Times New Roman" w:hAnsi="Times New Roman" w:cs="Times New Roman"/>
                <w:szCs w:val="24"/>
              </w:rPr>
            </w:pPr>
            <w:r w:rsidRPr="002E0607">
              <w:rPr>
                <w:rFonts w:ascii="Times New Roman" w:hAnsi="Times New Roman" w:cs="Times New Roman"/>
                <w:szCs w:val="24"/>
              </w:rPr>
              <w:t>69.6(8.5)</w:t>
            </w:r>
          </w:p>
        </w:tc>
        <w:tc>
          <w:tcPr>
            <w:tcW w:w="0" w:type="auto"/>
            <w:vAlign w:val="center"/>
            <w:hideMark/>
          </w:tcPr>
          <w:p w14:paraId="3B8954B5" w14:textId="77777777" w:rsidR="002A212C" w:rsidRPr="002E0607" w:rsidRDefault="002A212C" w:rsidP="002E0607">
            <w:pPr>
              <w:pStyle w:val="NoSpacing"/>
              <w:jc w:val="center"/>
              <w:rPr>
                <w:rFonts w:ascii="Times New Roman" w:hAnsi="Times New Roman" w:cs="Times New Roman"/>
                <w:szCs w:val="24"/>
              </w:rPr>
            </w:pPr>
            <w:r w:rsidRPr="002E0607">
              <w:rPr>
                <w:rFonts w:ascii="Times New Roman" w:hAnsi="Times New Roman" w:cs="Times New Roman"/>
                <w:szCs w:val="24"/>
              </w:rPr>
              <w:t>70.6(8.5)</w:t>
            </w:r>
          </w:p>
        </w:tc>
        <w:tc>
          <w:tcPr>
            <w:tcW w:w="0" w:type="auto"/>
            <w:vAlign w:val="center"/>
            <w:hideMark/>
          </w:tcPr>
          <w:p w14:paraId="1E836D1C" w14:textId="77777777" w:rsidR="002A212C" w:rsidRPr="002E0607" w:rsidRDefault="002A212C" w:rsidP="002E0607">
            <w:pPr>
              <w:pStyle w:val="NoSpacing"/>
              <w:jc w:val="center"/>
              <w:rPr>
                <w:rFonts w:ascii="Times New Roman" w:hAnsi="Times New Roman" w:cs="Times New Roman"/>
                <w:szCs w:val="24"/>
              </w:rPr>
            </w:pPr>
            <w:r w:rsidRPr="002E0607">
              <w:rPr>
                <w:rFonts w:ascii="Times New Roman" w:hAnsi="Times New Roman" w:cs="Times New Roman"/>
                <w:szCs w:val="24"/>
              </w:rPr>
              <w:t>73.0(8.5)</w:t>
            </w:r>
          </w:p>
        </w:tc>
      </w:tr>
      <w:tr w:rsidR="002A212C" w:rsidRPr="002E0607" w14:paraId="16DB8A0F" w14:textId="77777777" w:rsidTr="002E0607">
        <w:trPr>
          <w:trHeight w:val="529"/>
        </w:trPr>
        <w:tc>
          <w:tcPr>
            <w:tcW w:w="0" w:type="auto"/>
            <w:vAlign w:val="center"/>
            <w:hideMark/>
          </w:tcPr>
          <w:p w14:paraId="46B06146" w14:textId="77777777" w:rsidR="002A212C" w:rsidRPr="002E0607" w:rsidRDefault="002A212C" w:rsidP="002E0607">
            <w:pPr>
              <w:pStyle w:val="NoSpacing"/>
              <w:rPr>
                <w:rFonts w:ascii="Times New Roman" w:hAnsi="Times New Roman" w:cs="Times New Roman"/>
                <w:szCs w:val="24"/>
              </w:rPr>
            </w:pPr>
            <w:r w:rsidRPr="002E0607">
              <w:rPr>
                <w:rFonts w:ascii="Times New Roman" w:hAnsi="Times New Roman" w:cs="Times New Roman"/>
                <w:szCs w:val="24"/>
              </w:rPr>
              <w:t>Maharashtra</w:t>
            </w:r>
          </w:p>
        </w:tc>
        <w:tc>
          <w:tcPr>
            <w:tcW w:w="0" w:type="auto"/>
            <w:vAlign w:val="center"/>
            <w:hideMark/>
          </w:tcPr>
          <w:p w14:paraId="779082F5" w14:textId="77777777" w:rsidR="002A212C" w:rsidRPr="002E0607" w:rsidRDefault="002A212C" w:rsidP="002E0607">
            <w:pPr>
              <w:pStyle w:val="NoSpacing"/>
              <w:jc w:val="center"/>
              <w:rPr>
                <w:rFonts w:ascii="Times New Roman" w:hAnsi="Times New Roman" w:cs="Times New Roman"/>
                <w:szCs w:val="24"/>
              </w:rPr>
            </w:pPr>
            <w:r w:rsidRPr="002E0607">
              <w:rPr>
                <w:rFonts w:ascii="Times New Roman" w:hAnsi="Times New Roman" w:cs="Times New Roman"/>
                <w:szCs w:val="24"/>
              </w:rPr>
              <w:t>87.7(10.7)</w:t>
            </w:r>
          </w:p>
        </w:tc>
        <w:tc>
          <w:tcPr>
            <w:tcW w:w="0" w:type="auto"/>
            <w:vAlign w:val="center"/>
            <w:hideMark/>
          </w:tcPr>
          <w:p w14:paraId="7DFCEA9C" w14:textId="77777777" w:rsidR="002A212C" w:rsidRPr="002E0607" w:rsidRDefault="002A212C" w:rsidP="002E0607">
            <w:pPr>
              <w:pStyle w:val="NoSpacing"/>
              <w:jc w:val="center"/>
              <w:rPr>
                <w:rFonts w:ascii="Times New Roman" w:hAnsi="Times New Roman" w:cs="Times New Roman"/>
                <w:szCs w:val="24"/>
              </w:rPr>
            </w:pPr>
            <w:r w:rsidRPr="002E0607">
              <w:rPr>
                <w:rFonts w:ascii="Times New Roman" w:hAnsi="Times New Roman" w:cs="Times New Roman"/>
                <w:szCs w:val="24"/>
              </w:rPr>
              <w:t>88.9(10.7)</w:t>
            </w:r>
          </w:p>
        </w:tc>
        <w:tc>
          <w:tcPr>
            <w:tcW w:w="0" w:type="auto"/>
            <w:vAlign w:val="center"/>
            <w:hideMark/>
          </w:tcPr>
          <w:p w14:paraId="6AC15B61" w14:textId="77777777" w:rsidR="002A212C" w:rsidRPr="002E0607" w:rsidRDefault="002A212C" w:rsidP="002E0607">
            <w:pPr>
              <w:pStyle w:val="NoSpacing"/>
              <w:jc w:val="center"/>
              <w:rPr>
                <w:rFonts w:ascii="Times New Roman" w:hAnsi="Times New Roman" w:cs="Times New Roman"/>
                <w:szCs w:val="24"/>
              </w:rPr>
            </w:pPr>
            <w:r w:rsidRPr="002E0607">
              <w:rPr>
                <w:rFonts w:ascii="Times New Roman" w:hAnsi="Times New Roman" w:cs="Times New Roman"/>
                <w:szCs w:val="24"/>
              </w:rPr>
              <w:t>92.0(10.7)</w:t>
            </w:r>
          </w:p>
        </w:tc>
      </w:tr>
      <w:tr w:rsidR="002A212C" w:rsidRPr="002E0607" w14:paraId="39FD4D79" w14:textId="77777777" w:rsidTr="002E0607">
        <w:trPr>
          <w:trHeight w:val="500"/>
        </w:trPr>
        <w:tc>
          <w:tcPr>
            <w:tcW w:w="0" w:type="auto"/>
            <w:vAlign w:val="center"/>
            <w:hideMark/>
          </w:tcPr>
          <w:p w14:paraId="7F4C118D" w14:textId="77777777" w:rsidR="002A212C" w:rsidRPr="002E0607" w:rsidRDefault="002A212C" w:rsidP="002E0607">
            <w:pPr>
              <w:pStyle w:val="NoSpacing"/>
              <w:rPr>
                <w:rFonts w:ascii="Times New Roman" w:hAnsi="Times New Roman" w:cs="Times New Roman"/>
                <w:szCs w:val="24"/>
              </w:rPr>
            </w:pPr>
            <w:r w:rsidRPr="002E0607">
              <w:rPr>
                <w:rFonts w:ascii="Times New Roman" w:hAnsi="Times New Roman" w:cs="Times New Roman"/>
                <w:szCs w:val="24"/>
              </w:rPr>
              <w:t>Mysore</w:t>
            </w:r>
          </w:p>
        </w:tc>
        <w:tc>
          <w:tcPr>
            <w:tcW w:w="0" w:type="auto"/>
            <w:vAlign w:val="center"/>
            <w:hideMark/>
          </w:tcPr>
          <w:p w14:paraId="244A3F97" w14:textId="77777777" w:rsidR="002A212C" w:rsidRPr="002E0607" w:rsidRDefault="002A212C" w:rsidP="002E0607">
            <w:pPr>
              <w:pStyle w:val="NoSpacing"/>
              <w:jc w:val="center"/>
              <w:rPr>
                <w:rFonts w:ascii="Times New Roman" w:hAnsi="Times New Roman" w:cs="Times New Roman"/>
                <w:szCs w:val="24"/>
              </w:rPr>
            </w:pPr>
            <w:r w:rsidRPr="002E0607">
              <w:rPr>
                <w:rFonts w:ascii="Times New Roman" w:hAnsi="Times New Roman" w:cs="Times New Roman"/>
                <w:szCs w:val="24"/>
              </w:rPr>
              <w:t>42.6(5.2)</w:t>
            </w:r>
          </w:p>
        </w:tc>
        <w:tc>
          <w:tcPr>
            <w:tcW w:w="0" w:type="auto"/>
            <w:vAlign w:val="center"/>
            <w:hideMark/>
          </w:tcPr>
          <w:p w14:paraId="4F7656F3" w14:textId="77777777" w:rsidR="002A212C" w:rsidRPr="002E0607" w:rsidRDefault="002A212C" w:rsidP="002E0607">
            <w:pPr>
              <w:pStyle w:val="NoSpacing"/>
              <w:jc w:val="center"/>
              <w:rPr>
                <w:rFonts w:ascii="Times New Roman" w:hAnsi="Times New Roman" w:cs="Times New Roman"/>
                <w:szCs w:val="24"/>
              </w:rPr>
            </w:pPr>
            <w:r w:rsidRPr="002E0607">
              <w:rPr>
                <w:rFonts w:ascii="Times New Roman" w:hAnsi="Times New Roman" w:cs="Times New Roman"/>
                <w:szCs w:val="24"/>
              </w:rPr>
              <w:t>43.2(5.2)</w:t>
            </w:r>
          </w:p>
        </w:tc>
        <w:tc>
          <w:tcPr>
            <w:tcW w:w="0" w:type="auto"/>
            <w:vAlign w:val="center"/>
            <w:hideMark/>
          </w:tcPr>
          <w:p w14:paraId="09F292FB" w14:textId="77777777" w:rsidR="002A212C" w:rsidRPr="002E0607" w:rsidRDefault="002A212C" w:rsidP="002E0607">
            <w:pPr>
              <w:pStyle w:val="NoSpacing"/>
              <w:jc w:val="center"/>
              <w:rPr>
                <w:rFonts w:ascii="Times New Roman" w:hAnsi="Times New Roman" w:cs="Times New Roman"/>
                <w:szCs w:val="24"/>
              </w:rPr>
            </w:pPr>
            <w:r w:rsidRPr="002E0607">
              <w:rPr>
                <w:rFonts w:ascii="Times New Roman" w:hAnsi="Times New Roman" w:cs="Times New Roman"/>
                <w:szCs w:val="24"/>
              </w:rPr>
              <w:t>44.7(5.2)</w:t>
            </w:r>
          </w:p>
        </w:tc>
      </w:tr>
      <w:tr w:rsidR="002A212C" w:rsidRPr="002E0607" w14:paraId="5D0CFFED" w14:textId="77777777" w:rsidTr="002E0607">
        <w:trPr>
          <w:trHeight w:val="529"/>
        </w:trPr>
        <w:tc>
          <w:tcPr>
            <w:tcW w:w="0" w:type="auto"/>
            <w:vAlign w:val="center"/>
            <w:hideMark/>
          </w:tcPr>
          <w:p w14:paraId="4591EDD4" w14:textId="77777777" w:rsidR="002A212C" w:rsidRPr="002E0607" w:rsidRDefault="002A212C" w:rsidP="002E0607">
            <w:pPr>
              <w:pStyle w:val="NoSpacing"/>
              <w:rPr>
                <w:rFonts w:ascii="Times New Roman" w:hAnsi="Times New Roman" w:cs="Times New Roman"/>
                <w:szCs w:val="24"/>
              </w:rPr>
            </w:pPr>
            <w:r w:rsidRPr="002E0607">
              <w:rPr>
                <w:rFonts w:ascii="Times New Roman" w:hAnsi="Times New Roman" w:cs="Times New Roman"/>
                <w:szCs w:val="24"/>
              </w:rPr>
              <w:t>Orissa</w:t>
            </w:r>
          </w:p>
        </w:tc>
        <w:tc>
          <w:tcPr>
            <w:tcW w:w="0" w:type="auto"/>
            <w:vAlign w:val="center"/>
            <w:hideMark/>
          </w:tcPr>
          <w:p w14:paraId="0A5DB3D0" w14:textId="77777777" w:rsidR="002A212C" w:rsidRPr="002E0607" w:rsidRDefault="002A212C" w:rsidP="002E0607">
            <w:pPr>
              <w:pStyle w:val="NoSpacing"/>
              <w:jc w:val="center"/>
              <w:rPr>
                <w:rFonts w:ascii="Times New Roman" w:hAnsi="Times New Roman" w:cs="Times New Roman"/>
                <w:szCs w:val="24"/>
              </w:rPr>
            </w:pPr>
            <w:r w:rsidRPr="002E0607">
              <w:rPr>
                <w:rFonts w:ascii="Times New Roman" w:hAnsi="Times New Roman" w:cs="Times New Roman"/>
                <w:szCs w:val="24"/>
              </w:rPr>
              <w:t>24.2(2.9)</w:t>
            </w:r>
          </w:p>
        </w:tc>
        <w:tc>
          <w:tcPr>
            <w:tcW w:w="0" w:type="auto"/>
            <w:vAlign w:val="center"/>
            <w:hideMark/>
          </w:tcPr>
          <w:p w14:paraId="47C7E537" w14:textId="77777777" w:rsidR="002A212C" w:rsidRPr="002E0607" w:rsidRDefault="002A212C" w:rsidP="002E0607">
            <w:pPr>
              <w:pStyle w:val="NoSpacing"/>
              <w:jc w:val="center"/>
              <w:rPr>
                <w:rFonts w:ascii="Times New Roman" w:hAnsi="Times New Roman" w:cs="Times New Roman"/>
                <w:szCs w:val="24"/>
              </w:rPr>
            </w:pPr>
            <w:r w:rsidRPr="002E0607">
              <w:rPr>
                <w:rFonts w:ascii="Times New Roman" w:hAnsi="Times New Roman" w:cs="Times New Roman"/>
                <w:szCs w:val="24"/>
              </w:rPr>
              <w:t>24.6(2.9)</w:t>
            </w:r>
          </w:p>
        </w:tc>
        <w:tc>
          <w:tcPr>
            <w:tcW w:w="0" w:type="auto"/>
            <w:vAlign w:val="center"/>
            <w:hideMark/>
          </w:tcPr>
          <w:p w14:paraId="5AB140BA" w14:textId="77777777" w:rsidR="002A212C" w:rsidRPr="002E0607" w:rsidRDefault="002A212C" w:rsidP="002E0607">
            <w:pPr>
              <w:pStyle w:val="NoSpacing"/>
              <w:jc w:val="center"/>
              <w:rPr>
                <w:rFonts w:ascii="Times New Roman" w:hAnsi="Times New Roman" w:cs="Times New Roman"/>
                <w:szCs w:val="24"/>
              </w:rPr>
            </w:pPr>
            <w:r w:rsidRPr="002E0607">
              <w:rPr>
                <w:rFonts w:ascii="Times New Roman" w:hAnsi="Times New Roman" w:cs="Times New Roman"/>
                <w:szCs w:val="24"/>
              </w:rPr>
              <w:t>25.4(2.9)</w:t>
            </w:r>
          </w:p>
        </w:tc>
      </w:tr>
      <w:tr w:rsidR="002A212C" w:rsidRPr="002E0607" w14:paraId="52A6B412" w14:textId="77777777" w:rsidTr="002E0607">
        <w:trPr>
          <w:trHeight w:val="500"/>
        </w:trPr>
        <w:tc>
          <w:tcPr>
            <w:tcW w:w="0" w:type="auto"/>
            <w:vAlign w:val="center"/>
            <w:hideMark/>
          </w:tcPr>
          <w:p w14:paraId="56C31790" w14:textId="77777777" w:rsidR="002A212C" w:rsidRPr="002E0607" w:rsidRDefault="002A212C" w:rsidP="002E0607">
            <w:pPr>
              <w:pStyle w:val="NoSpacing"/>
              <w:rPr>
                <w:rFonts w:ascii="Times New Roman" w:hAnsi="Times New Roman" w:cs="Times New Roman"/>
                <w:szCs w:val="24"/>
              </w:rPr>
            </w:pPr>
            <w:r w:rsidRPr="002E0607">
              <w:rPr>
                <w:rFonts w:ascii="Times New Roman" w:hAnsi="Times New Roman" w:cs="Times New Roman"/>
                <w:szCs w:val="24"/>
              </w:rPr>
              <w:t>Punjab</w:t>
            </w:r>
          </w:p>
        </w:tc>
        <w:tc>
          <w:tcPr>
            <w:tcW w:w="0" w:type="auto"/>
            <w:vAlign w:val="center"/>
            <w:hideMark/>
          </w:tcPr>
          <w:p w14:paraId="156BE1CE" w14:textId="77777777" w:rsidR="002A212C" w:rsidRPr="002E0607" w:rsidRDefault="002A212C" w:rsidP="002E0607">
            <w:pPr>
              <w:pStyle w:val="NoSpacing"/>
              <w:jc w:val="center"/>
              <w:rPr>
                <w:rFonts w:ascii="Times New Roman" w:hAnsi="Times New Roman" w:cs="Times New Roman"/>
                <w:szCs w:val="24"/>
              </w:rPr>
            </w:pPr>
            <w:r w:rsidRPr="002E0607">
              <w:rPr>
                <w:rFonts w:ascii="Times New Roman" w:hAnsi="Times New Roman" w:cs="Times New Roman"/>
                <w:szCs w:val="24"/>
              </w:rPr>
              <w:t>60.9**(7.4)</w:t>
            </w:r>
          </w:p>
        </w:tc>
        <w:tc>
          <w:tcPr>
            <w:tcW w:w="0" w:type="auto"/>
            <w:vAlign w:val="center"/>
            <w:hideMark/>
          </w:tcPr>
          <w:p w14:paraId="66C2644A" w14:textId="77777777" w:rsidR="002A212C" w:rsidRPr="002E0607" w:rsidRDefault="002A212C" w:rsidP="002E0607">
            <w:pPr>
              <w:pStyle w:val="NoSpacing"/>
              <w:jc w:val="center"/>
              <w:rPr>
                <w:rFonts w:ascii="Times New Roman" w:hAnsi="Times New Roman" w:cs="Times New Roman"/>
                <w:szCs w:val="24"/>
              </w:rPr>
            </w:pPr>
            <w:r w:rsidRPr="002E0607">
              <w:rPr>
                <w:rFonts w:ascii="Times New Roman" w:hAnsi="Times New Roman" w:cs="Times New Roman"/>
                <w:szCs w:val="24"/>
              </w:rPr>
              <w:t>61.8**(7.4)</w:t>
            </w:r>
          </w:p>
        </w:tc>
        <w:tc>
          <w:tcPr>
            <w:tcW w:w="0" w:type="auto"/>
            <w:vAlign w:val="center"/>
            <w:hideMark/>
          </w:tcPr>
          <w:p w14:paraId="4A8E5D86" w14:textId="77777777" w:rsidR="002A212C" w:rsidRPr="002E0607" w:rsidRDefault="002A212C" w:rsidP="002E0607">
            <w:pPr>
              <w:pStyle w:val="NoSpacing"/>
              <w:jc w:val="center"/>
              <w:rPr>
                <w:rFonts w:ascii="Times New Roman" w:hAnsi="Times New Roman" w:cs="Times New Roman"/>
                <w:szCs w:val="24"/>
              </w:rPr>
            </w:pPr>
            <w:r w:rsidRPr="002E0607">
              <w:rPr>
                <w:rFonts w:ascii="Times New Roman" w:hAnsi="Times New Roman" w:cs="Times New Roman"/>
                <w:szCs w:val="24"/>
              </w:rPr>
              <w:t>63.9**(7.4)</w:t>
            </w:r>
          </w:p>
        </w:tc>
      </w:tr>
      <w:tr w:rsidR="002A212C" w:rsidRPr="002E0607" w14:paraId="4F7F8170" w14:textId="77777777" w:rsidTr="002E0607">
        <w:trPr>
          <w:trHeight w:val="529"/>
        </w:trPr>
        <w:tc>
          <w:tcPr>
            <w:tcW w:w="0" w:type="auto"/>
            <w:vAlign w:val="center"/>
            <w:hideMark/>
          </w:tcPr>
          <w:p w14:paraId="605700F0" w14:textId="77777777" w:rsidR="002A212C" w:rsidRPr="002E0607" w:rsidRDefault="002A212C" w:rsidP="002E0607">
            <w:pPr>
              <w:pStyle w:val="NoSpacing"/>
              <w:rPr>
                <w:rFonts w:ascii="Times New Roman" w:hAnsi="Times New Roman" w:cs="Times New Roman"/>
                <w:szCs w:val="24"/>
              </w:rPr>
            </w:pPr>
            <w:r w:rsidRPr="002E0607">
              <w:rPr>
                <w:rFonts w:ascii="Times New Roman" w:hAnsi="Times New Roman" w:cs="Times New Roman"/>
                <w:szCs w:val="24"/>
              </w:rPr>
              <w:t>Rajasthan</w:t>
            </w:r>
          </w:p>
        </w:tc>
        <w:tc>
          <w:tcPr>
            <w:tcW w:w="0" w:type="auto"/>
            <w:vAlign w:val="center"/>
            <w:hideMark/>
          </w:tcPr>
          <w:p w14:paraId="04CBCE55" w14:textId="77777777" w:rsidR="002A212C" w:rsidRPr="002E0607" w:rsidRDefault="002A212C" w:rsidP="002E0607">
            <w:pPr>
              <w:pStyle w:val="NoSpacing"/>
              <w:jc w:val="center"/>
              <w:rPr>
                <w:rFonts w:ascii="Times New Roman" w:hAnsi="Times New Roman" w:cs="Times New Roman"/>
                <w:szCs w:val="24"/>
              </w:rPr>
            </w:pPr>
            <w:r w:rsidRPr="002E0607">
              <w:rPr>
                <w:rFonts w:ascii="Times New Roman" w:hAnsi="Times New Roman" w:cs="Times New Roman"/>
                <w:szCs w:val="24"/>
              </w:rPr>
              <w:t>48.9(5.9)</w:t>
            </w:r>
          </w:p>
        </w:tc>
        <w:tc>
          <w:tcPr>
            <w:tcW w:w="0" w:type="auto"/>
            <w:vAlign w:val="center"/>
            <w:hideMark/>
          </w:tcPr>
          <w:p w14:paraId="19B74FE0" w14:textId="77777777" w:rsidR="002A212C" w:rsidRPr="002E0607" w:rsidRDefault="002A212C" w:rsidP="002E0607">
            <w:pPr>
              <w:pStyle w:val="NoSpacing"/>
              <w:jc w:val="center"/>
              <w:rPr>
                <w:rFonts w:ascii="Times New Roman" w:hAnsi="Times New Roman" w:cs="Times New Roman"/>
                <w:szCs w:val="24"/>
              </w:rPr>
            </w:pPr>
            <w:r w:rsidRPr="002E0607">
              <w:rPr>
                <w:rFonts w:ascii="Times New Roman" w:hAnsi="Times New Roman" w:cs="Times New Roman"/>
                <w:szCs w:val="24"/>
              </w:rPr>
              <w:t>49.6(5.9)</w:t>
            </w:r>
          </w:p>
        </w:tc>
        <w:tc>
          <w:tcPr>
            <w:tcW w:w="0" w:type="auto"/>
            <w:vAlign w:val="center"/>
            <w:hideMark/>
          </w:tcPr>
          <w:p w14:paraId="287FF24F" w14:textId="77777777" w:rsidR="002A212C" w:rsidRPr="002E0607" w:rsidRDefault="002A212C" w:rsidP="002E0607">
            <w:pPr>
              <w:pStyle w:val="NoSpacing"/>
              <w:jc w:val="center"/>
              <w:rPr>
                <w:rFonts w:ascii="Times New Roman" w:hAnsi="Times New Roman" w:cs="Times New Roman"/>
                <w:szCs w:val="24"/>
              </w:rPr>
            </w:pPr>
            <w:r w:rsidRPr="002E0607">
              <w:rPr>
                <w:rFonts w:ascii="Times New Roman" w:hAnsi="Times New Roman" w:cs="Times New Roman"/>
                <w:szCs w:val="24"/>
              </w:rPr>
              <w:t>51.3(5.9)</w:t>
            </w:r>
          </w:p>
        </w:tc>
      </w:tr>
      <w:tr w:rsidR="002A212C" w:rsidRPr="002E0607" w14:paraId="01F5D11C" w14:textId="77777777" w:rsidTr="002E0607">
        <w:trPr>
          <w:trHeight w:val="529"/>
        </w:trPr>
        <w:tc>
          <w:tcPr>
            <w:tcW w:w="0" w:type="auto"/>
            <w:vAlign w:val="center"/>
            <w:hideMark/>
          </w:tcPr>
          <w:p w14:paraId="69957D20" w14:textId="77777777" w:rsidR="002A212C" w:rsidRPr="002E0607" w:rsidRDefault="002A212C" w:rsidP="002E0607">
            <w:pPr>
              <w:pStyle w:val="NoSpacing"/>
              <w:rPr>
                <w:rFonts w:ascii="Times New Roman" w:hAnsi="Times New Roman" w:cs="Times New Roman"/>
                <w:szCs w:val="24"/>
              </w:rPr>
            </w:pPr>
            <w:r w:rsidRPr="002E0607">
              <w:rPr>
                <w:rFonts w:ascii="Times New Roman" w:hAnsi="Times New Roman" w:cs="Times New Roman"/>
                <w:szCs w:val="24"/>
              </w:rPr>
              <w:t>Tamil Nadu</w:t>
            </w:r>
          </w:p>
        </w:tc>
        <w:tc>
          <w:tcPr>
            <w:tcW w:w="0" w:type="auto"/>
            <w:vAlign w:val="center"/>
            <w:hideMark/>
          </w:tcPr>
          <w:p w14:paraId="26EE33DB" w14:textId="77777777" w:rsidR="002A212C" w:rsidRPr="002E0607" w:rsidRDefault="002A212C" w:rsidP="002E0607">
            <w:pPr>
              <w:pStyle w:val="NoSpacing"/>
              <w:jc w:val="center"/>
              <w:rPr>
                <w:rFonts w:ascii="Times New Roman" w:hAnsi="Times New Roman" w:cs="Times New Roman"/>
                <w:szCs w:val="24"/>
              </w:rPr>
            </w:pPr>
            <w:r w:rsidRPr="002E0607">
              <w:rPr>
                <w:rFonts w:ascii="Times New Roman" w:hAnsi="Times New Roman" w:cs="Times New Roman"/>
                <w:szCs w:val="24"/>
              </w:rPr>
              <w:t>58.6(7.1)</w:t>
            </w:r>
          </w:p>
        </w:tc>
        <w:tc>
          <w:tcPr>
            <w:tcW w:w="0" w:type="auto"/>
            <w:vAlign w:val="center"/>
            <w:hideMark/>
          </w:tcPr>
          <w:p w14:paraId="1B481C5F" w14:textId="77777777" w:rsidR="002A212C" w:rsidRPr="002E0607" w:rsidRDefault="002A212C" w:rsidP="002E0607">
            <w:pPr>
              <w:pStyle w:val="NoSpacing"/>
              <w:jc w:val="center"/>
              <w:rPr>
                <w:rFonts w:ascii="Times New Roman" w:hAnsi="Times New Roman" w:cs="Times New Roman"/>
                <w:szCs w:val="24"/>
              </w:rPr>
            </w:pPr>
            <w:r w:rsidRPr="002E0607">
              <w:rPr>
                <w:rFonts w:ascii="Times New Roman" w:hAnsi="Times New Roman" w:cs="Times New Roman"/>
                <w:szCs w:val="24"/>
              </w:rPr>
              <w:t>59.5(7.1)</w:t>
            </w:r>
          </w:p>
        </w:tc>
        <w:tc>
          <w:tcPr>
            <w:tcW w:w="0" w:type="auto"/>
            <w:vAlign w:val="center"/>
            <w:hideMark/>
          </w:tcPr>
          <w:p w14:paraId="38752AC0" w14:textId="77777777" w:rsidR="002A212C" w:rsidRPr="002E0607" w:rsidRDefault="002A212C" w:rsidP="002E0607">
            <w:pPr>
              <w:pStyle w:val="NoSpacing"/>
              <w:jc w:val="center"/>
              <w:rPr>
                <w:rFonts w:ascii="Times New Roman" w:hAnsi="Times New Roman" w:cs="Times New Roman"/>
                <w:szCs w:val="24"/>
              </w:rPr>
            </w:pPr>
            <w:r w:rsidRPr="002E0607">
              <w:rPr>
                <w:rFonts w:ascii="Times New Roman" w:hAnsi="Times New Roman" w:cs="Times New Roman"/>
                <w:szCs w:val="24"/>
              </w:rPr>
              <w:t>61.5(7.1)</w:t>
            </w:r>
          </w:p>
        </w:tc>
      </w:tr>
      <w:tr w:rsidR="002A212C" w:rsidRPr="002E0607" w14:paraId="71DA2ED0" w14:textId="77777777" w:rsidTr="002E0607">
        <w:trPr>
          <w:trHeight w:val="500"/>
        </w:trPr>
        <w:tc>
          <w:tcPr>
            <w:tcW w:w="0" w:type="auto"/>
            <w:vAlign w:val="center"/>
            <w:hideMark/>
          </w:tcPr>
          <w:p w14:paraId="4E63CBFA" w14:textId="77777777" w:rsidR="002A212C" w:rsidRPr="002E0607" w:rsidRDefault="002A212C" w:rsidP="002E0607">
            <w:pPr>
              <w:pStyle w:val="NoSpacing"/>
              <w:rPr>
                <w:rFonts w:ascii="Times New Roman" w:hAnsi="Times New Roman" w:cs="Times New Roman"/>
                <w:szCs w:val="24"/>
              </w:rPr>
            </w:pPr>
            <w:r w:rsidRPr="002E0607">
              <w:rPr>
                <w:rFonts w:ascii="Times New Roman" w:hAnsi="Times New Roman" w:cs="Times New Roman"/>
                <w:szCs w:val="24"/>
              </w:rPr>
              <w:t>Uttar Pradesh</w:t>
            </w:r>
          </w:p>
        </w:tc>
        <w:tc>
          <w:tcPr>
            <w:tcW w:w="0" w:type="auto"/>
            <w:vAlign w:val="center"/>
            <w:hideMark/>
          </w:tcPr>
          <w:p w14:paraId="6595277D" w14:textId="77777777" w:rsidR="002A212C" w:rsidRPr="002E0607" w:rsidRDefault="002A212C" w:rsidP="002E0607">
            <w:pPr>
              <w:pStyle w:val="NoSpacing"/>
              <w:jc w:val="center"/>
              <w:rPr>
                <w:rFonts w:ascii="Times New Roman" w:hAnsi="Times New Roman" w:cs="Times New Roman"/>
                <w:szCs w:val="24"/>
              </w:rPr>
            </w:pPr>
            <w:r w:rsidRPr="002E0607">
              <w:rPr>
                <w:rFonts w:ascii="Times New Roman" w:hAnsi="Times New Roman" w:cs="Times New Roman"/>
                <w:szCs w:val="24"/>
              </w:rPr>
              <w:t>158.5(19.3)</w:t>
            </w:r>
          </w:p>
        </w:tc>
        <w:tc>
          <w:tcPr>
            <w:tcW w:w="0" w:type="auto"/>
            <w:vAlign w:val="center"/>
            <w:hideMark/>
          </w:tcPr>
          <w:p w14:paraId="2618C5F2" w14:textId="77777777" w:rsidR="002A212C" w:rsidRPr="002E0607" w:rsidRDefault="002A212C" w:rsidP="002E0607">
            <w:pPr>
              <w:pStyle w:val="NoSpacing"/>
              <w:jc w:val="center"/>
              <w:rPr>
                <w:rFonts w:ascii="Times New Roman" w:hAnsi="Times New Roman" w:cs="Times New Roman"/>
                <w:szCs w:val="24"/>
              </w:rPr>
            </w:pPr>
            <w:r w:rsidRPr="002E0607">
              <w:rPr>
                <w:rFonts w:ascii="Times New Roman" w:hAnsi="Times New Roman" w:cs="Times New Roman"/>
                <w:szCs w:val="24"/>
              </w:rPr>
              <w:t>160.8(19.3)</w:t>
            </w:r>
          </w:p>
        </w:tc>
        <w:tc>
          <w:tcPr>
            <w:tcW w:w="0" w:type="auto"/>
            <w:vAlign w:val="center"/>
            <w:hideMark/>
          </w:tcPr>
          <w:p w14:paraId="1F6E9F18" w14:textId="77777777" w:rsidR="002A212C" w:rsidRPr="002E0607" w:rsidRDefault="002A212C" w:rsidP="002E0607">
            <w:pPr>
              <w:pStyle w:val="NoSpacing"/>
              <w:jc w:val="center"/>
              <w:rPr>
                <w:rFonts w:ascii="Times New Roman" w:hAnsi="Times New Roman" w:cs="Times New Roman"/>
                <w:szCs w:val="24"/>
              </w:rPr>
            </w:pPr>
            <w:r w:rsidRPr="002E0607">
              <w:rPr>
                <w:rFonts w:ascii="Times New Roman" w:hAnsi="Times New Roman" w:cs="Times New Roman"/>
                <w:szCs w:val="24"/>
              </w:rPr>
              <w:t>166.3(19.3)</w:t>
            </w:r>
          </w:p>
        </w:tc>
      </w:tr>
      <w:tr w:rsidR="002A212C" w:rsidRPr="002E0607" w14:paraId="45F308D0" w14:textId="77777777" w:rsidTr="002E0607">
        <w:trPr>
          <w:trHeight w:val="529"/>
        </w:trPr>
        <w:tc>
          <w:tcPr>
            <w:tcW w:w="0" w:type="auto"/>
            <w:vAlign w:val="center"/>
            <w:hideMark/>
          </w:tcPr>
          <w:p w14:paraId="5A42CC42" w14:textId="77777777" w:rsidR="002A212C" w:rsidRPr="002E0607" w:rsidRDefault="002A212C" w:rsidP="002E0607">
            <w:pPr>
              <w:pStyle w:val="NoSpacing"/>
              <w:rPr>
                <w:rFonts w:ascii="Times New Roman" w:hAnsi="Times New Roman" w:cs="Times New Roman"/>
                <w:szCs w:val="24"/>
              </w:rPr>
            </w:pPr>
            <w:r w:rsidRPr="002E0607">
              <w:rPr>
                <w:rFonts w:ascii="Times New Roman" w:hAnsi="Times New Roman" w:cs="Times New Roman"/>
                <w:szCs w:val="24"/>
              </w:rPr>
              <w:t>West Bengal</w:t>
            </w:r>
          </w:p>
        </w:tc>
        <w:tc>
          <w:tcPr>
            <w:tcW w:w="0" w:type="auto"/>
            <w:vAlign w:val="center"/>
            <w:hideMark/>
          </w:tcPr>
          <w:p w14:paraId="4FA2F2FE" w14:textId="77777777" w:rsidR="002A212C" w:rsidRPr="002E0607" w:rsidRDefault="002A212C" w:rsidP="002E0607">
            <w:pPr>
              <w:pStyle w:val="NoSpacing"/>
              <w:jc w:val="center"/>
              <w:rPr>
                <w:rFonts w:ascii="Times New Roman" w:hAnsi="Times New Roman" w:cs="Times New Roman"/>
                <w:szCs w:val="24"/>
              </w:rPr>
            </w:pPr>
            <w:r w:rsidRPr="002E0607">
              <w:rPr>
                <w:rFonts w:ascii="Times New Roman" w:hAnsi="Times New Roman" w:cs="Times New Roman"/>
                <w:szCs w:val="24"/>
              </w:rPr>
              <w:t>51.4(6.2)</w:t>
            </w:r>
          </w:p>
        </w:tc>
        <w:tc>
          <w:tcPr>
            <w:tcW w:w="0" w:type="auto"/>
            <w:vAlign w:val="center"/>
            <w:hideMark/>
          </w:tcPr>
          <w:p w14:paraId="3950CD25" w14:textId="77777777" w:rsidR="002A212C" w:rsidRPr="002E0607" w:rsidRDefault="002A212C" w:rsidP="002E0607">
            <w:pPr>
              <w:pStyle w:val="NoSpacing"/>
              <w:jc w:val="center"/>
              <w:rPr>
                <w:rFonts w:ascii="Times New Roman" w:hAnsi="Times New Roman" w:cs="Times New Roman"/>
                <w:szCs w:val="24"/>
              </w:rPr>
            </w:pPr>
            <w:r w:rsidRPr="002E0607">
              <w:rPr>
                <w:rFonts w:ascii="Times New Roman" w:hAnsi="Times New Roman" w:cs="Times New Roman"/>
                <w:szCs w:val="24"/>
              </w:rPr>
              <w:t>52.2(6.3)</w:t>
            </w:r>
          </w:p>
        </w:tc>
        <w:tc>
          <w:tcPr>
            <w:tcW w:w="0" w:type="auto"/>
            <w:vAlign w:val="center"/>
            <w:hideMark/>
          </w:tcPr>
          <w:p w14:paraId="6BDADA3B" w14:textId="77777777" w:rsidR="002A212C" w:rsidRPr="002E0607" w:rsidRDefault="002A212C" w:rsidP="002E0607">
            <w:pPr>
              <w:pStyle w:val="NoSpacing"/>
              <w:jc w:val="center"/>
              <w:rPr>
                <w:rFonts w:ascii="Times New Roman" w:hAnsi="Times New Roman" w:cs="Times New Roman"/>
                <w:szCs w:val="24"/>
              </w:rPr>
            </w:pPr>
            <w:r w:rsidRPr="002E0607">
              <w:rPr>
                <w:rFonts w:ascii="Times New Roman" w:hAnsi="Times New Roman" w:cs="Times New Roman"/>
                <w:szCs w:val="24"/>
              </w:rPr>
              <w:t>53.9(6.3)</w:t>
            </w:r>
          </w:p>
        </w:tc>
      </w:tr>
      <w:tr w:rsidR="002A212C" w:rsidRPr="002E0607" w14:paraId="6DD4B4EF" w14:textId="77777777" w:rsidTr="002E0607">
        <w:trPr>
          <w:trHeight w:val="500"/>
        </w:trPr>
        <w:tc>
          <w:tcPr>
            <w:tcW w:w="0" w:type="auto"/>
            <w:vAlign w:val="center"/>
            <w:hideMark/>
          </w:tcPr>
          <w:p w14:paraId="17A5E550" w14:textId="77777777" w:rsidR="002A212C" w:rsidRPr="002E0607" w:rsidRDefault="002A212C" w:rsidP="002E0607">
            <w:pPr>
              <w:pStyle w:val="NoSpacing"/>
              <w:rPr>
                <w:rFonts w:ascii="Times New Roman" w:hAnsi="Times New Roman" w:cs="Times New Roman"/>
                <w:szCs w:val="24"/>
              </w:rPr>
            </w:pPr>
            <w:r w:rsidRPr="002E0607">
              <w:rPr>
                <w:rFonts w:ascii="Times New Roman" w:hAnsi="Times New Roman" w:cs="Times New Roman"/>
                <w:szCs w:val="24"/>
              </w:rPr>
              <w:t>Union Territories*</w:t>
            </w:r>
          </w:p>
        </w:tc>
        <w:tc>
          <w:tcPr>
            <w:tcW w:w="0" w:type="auto"/>
            <w:vAlign w:val="center"/>
            <w:hideMark/>
          </w:tcPr>
          <w:p w14:paraId="525AE80E" w14:textId="77777777" w:rsidR="002A212C" w:rsidRPr="002E0607" w:rsidRDefault="002A212C" w:rsidP="002E0607">
            <w:pPr>
              <w:pStyle w:val="NoSpacing"/>
              <w:jc w:val="center"/>
              <w:rPr>
                <w:rFonts w:ascii="Times New Roman" w:hAnsi="Times New Roman" w:cs="Times New Roman"/>
                <w:szCs w:val="24"/>
              </w:rPr>
            </w:pPr>
            <w:r w:rsidRPr="002E0607">
              <w:rPr>
                <w:rFonts w:ascii="Times New Roman" w:hAnsi="Times New Roman" w:cs="Times New Roman"/>
                <w:szCs w:val="24"/>
              </w:rPr>
              <w:t>14.4(1.8)</w:t>
            </w:r>
          </w:p>
        </w:tc>
        <w:tc>
          <w:tcPr>
            <w:tcW w:w="0" w:type="auto"/>
            <w:vAlign w:val="center"/>
            <w:hideMark/>
          </w:tcPr>
          <w:p w14:paraId="0485518F" w14:textId="77777777" w:rsidR="002A212C" w:rsidRPr="002E0607" w:rsidRDefault="002A212C" w:rsidP="002E0607">
            <w:pPr>
              <w:pStyle w:val="NoSpacing"/>
              <w:jc w:val="center"/>
              <w:rPr>
                <w:rFonts w:ascii="Times New Roman" w:hAnsi="Times New Roman" w:cs="Times New Roman"/>
                <w:szCs w:val="24"/>
              </w:rPr>
            </w:pPr>
            <w:r w:rsidRPr="002E0607">
              <w:rPr>
                <w:rFonts w:ascii="Times New Roman" w:hAnsi="Times New Roman" w:cs="Times New Roman"/>
                <w:szCs w:val="24"/>
              </w:rPr>
              <w:t>14.6(1.7)</w:t>
            </w:r>
          </w:p>
        </w:tc>
        <w:tc>
          <w:tcPr>
            <w:tcW w:w="0" w:type="auto"/>
            <w:vAlign w:val="center"/>
            <w:hideMark/>
          </w:tcPr>
          <w:p w14:paraId="099680B7" w14:textId="77777777" w:rsidR="002A212C" w:rsidRPr="002E0607" w:rsidRDefault="002A212C" w:rsidP="002E0607">
            <w:pPr>
              <w:pStyle w:val="NoSpacing"/>
              <w:jc w:val="center"/>
              <w:rPr>
                <w:rFonts w:ascii="Times New Roman" w:hAnsi="Times New Roman" w:cs="Times New Roman"/>
                <w:szCs w:val="24"/>
              </w:rPr>
            </w:pPr>
            <w:r w:rsidRPr="002E0607">
              <w:rPr>
                <w:rFonts w:ascii="Times New Roman" w:hAnsi="Times New Roman" w:cs="Times New Roman"/>
                <w:szCs w:val="24"/>
              </w:rPr>
              <w:t>15.1(1.8)</w:t>
            </w:r>
          </w:p>
        </w:tc>
      </w:tr>
      <w:tr w:rsidR="002A212C" w:rsidRPr="002E0607" w14:paraId="54A3C507" w14:textId="77777777" w:rsidTr="002E0607">
        <w:trPr>
          <w:trHeight w:val="529"/>
        </w:trPr>
        <w:tc>
          <w:tcPr>
            <w:tcW w:w="0" w:type="auto"/>
            <w:vAlign w:val="center"/>
            <w:hideMark/>
          </w:tcPr>
          <w:p w14:paraId="142E2778" w14:textId="77777777" w:rsidR="002A212C" w:rsidRPr="002E0607" w:rsidRDefault="002A212C" w:rsidP="002E0607">
            <w:pPr>
              <w:pStyle w:val="NoSpacing"/>
              <w:rPr>
                <w:rFonts w:ascii="Times New Roman" w:hAnsi="Times New Roman" w:cs="Times New Roman"/>
                <w:szCs w:val="24"/>
              </w:rPr>
            </w:pPr>
            <w:r w:rsidRPr="002E0607">
              <w:rPr>
                <w:rFonts w:ascii="Times New Roman" w:hAnsi="Times New Roman" w:cs="Times New Roman"/>
                <w:szCs w:val="24"/>
              </w:rPr>
              <w:t>TOTAL</w:t>
            </w:r>
          </w:p>
        </w:tc>
        <w:tc>
          <w:tcPr>
            <w:tcW w:w="0" w:type="auto"/>
            <w:vAlign w:val="center"/>
            <w:hideMark/>
          </w:tcPr>
          <w:p w14:paraId="49ACD6C6" w14:textId="77777777" w:rsidR="002A212C" w:rsidRPr="002E0607" w:rsidRDefault="002A212C" w:rsidP="002E0607">
            <w:pPr>
              <w:pStyle w:val="NoSpacing"/>
              <w:jc w:val="center"/>
              <w:rPr>
                <w:rFonts w:ascii="Times New Roman" w:hAnsi="Times New Roman" w:cs="Times New Roman"/>
                <w:szCs w:val="24"/>
              </w:rPr>
            </w:pPr>
            <w:r w:rsidRPr="002E0607">
              <w:rPr>
                <w:rFonts w:ascii="Times New Roman" w:hAnsi="Times New Roman" w:cs="Times New Roman"/>
                <w:szCs w:val="24"/>
              </w:rPr>
              <w:t>822.7(100.0)</w:t>
            </w:r>
          </w:p>
        </w:tc>
        <w:tc>
          <w:tcPr>
            <w:tcW w:w="0" w:type="auto"/>
            <w:vAlign w:val="center"/>
            <w:hideMark/>
          </w:tcPr>
          <w:p w14:paraId="06B83BE8" w14:textId="77777777" w:rsidR="002A212C" w:rsidRPr="002E0607" w:rsidRDefault="002A212C" w:rsidP="002E0607">
            <w:pPr>
              <w:pStyle w:val="NoSpacing"/>
              <w:jc w:val="center"/>
              <w:rPr>
                <w:rFonts w:ascii="Times New Roman" w:hAnsi="Times New Roman" w:cs="Times New Roman"/>
                <w:szCs w:val="24"/>
              </w:rPr>
            </w:pPr>
            <w:r w:rsidRPr="002E0607">
              <w:rPr>
                <w:rFonts w:ascii="Times New Roman" w:hAnsi="Times New Roman" w:cs="Times New Roman"/>
                <w:szCs w:val="24"/>
              </w:rPr>
              <w:t>834.6(100.0)</w:t>
            </w:r>
          </w:p>
        </w:tc>
        <w:tc>
          <w:tcPr>
            <w:tcW w:w="0" w:type="auto"/>
            <w:vAlign w:val="center"/>
            <w:hideMark/>
          </w:tcPr>
          <w:p w14:paraId="64DEDBD1" w14:textId="77777777" w:rsidR="002A212C" w:rsidRPr="002E0607" w:rsidRDefault="002A212C" w:rsidP="002E0607">
            <w:pPr>
              <w:pStyle w:val="NoSpacing"/>
              <w:jc w:val="center"/>
              <w:rPr>
                <w:rFonts w:ascii="Times New Roman" w:hAnsi="Times New Roman" w:cs="Times New Roman"/>
                <w:szCs w:val="24"/>
              </w:rPr>
            </w:pPr>
            <w:r w:rsidRPr="002E0607">
              <w:rPr>
                <w:rFonts w:ascii="Times New Roman" w:hAnsi="Times New Roman" w:cs="Times New Roman"/>
                <w:szCs w:val="24"/>
              </w:rPr>
              <w:t>862.2(100.0)</w:t>
            </w:r>
          </w:p>
        </w:tc>
      </w:tr>
    </w:tbl>
    <w:p w14:paraId="29CA9129" w14:textId="50D30424" w:rsidR="002A212C" w:rsidRPr="002E0607" w:rsidRDefault="00C460B7" w:rsidP="002A212C">
      <w:pPr>
        <w:spacing w:after="0"/>
        <w:rPr>
          <w:rFonts w:ascii="Times New Roman" w:hAnsi="Times New Roman" w:cs="Times New Roman"/>
          <w:sz w:val="20"/>
          <w:szCs w:val="20"/>
        </w:rPr>
      </w:pPr>
      <w:r w:rsidRPr="002E0607">
        <w:rPr>
          <w:rFonts w:ascii="Times New Roman" w:hAnsi="Times New Roman" w:cs="Times New Roman"/>
          <w:sz w:val="20"/>
          <w:szCs w:val="20"/>
        </w:rPr>
        <w:t>Source:</w:t>
      </w:r>
      <w:r w:rsidR="002A212C" w:rsidRPr="002E0607">
        <w:rPr>
          <w:rFonts w:ascii="Times New Roman" w:hAnsi="Times New Roman" w:cs="Times New Roman"/>
          <w:sz w:val="20"/>
          <w:szCs w:val="20"/>
        </w:rPr>
        <w:t> Central Statistical Organisation (Planning and State Statistical Division).</w:t>
      </w:r>
      <w:r w:rsidR="002A212C" w:rsidRPr="002E0607">
        <w:rPr>
          <w:rFonts w:ascii="Times New Roman" w:hAnsi="Times New Roman" w:cs="Times New Roman"/>
          <w:sz w:val="20"/>
          <w:szCs w:val="20"/>
        </w:rPr>
        <w:br/>
      </w:r>
      <w:r w:rsidRPr="002E0607">
        <w:rPr>
          <w:rFonts w:ascii="Times New Roman" w:hAnsi="Times New Roman" w:cs="Times New Roman"/>
          <w:sz w:val="20"/>
          <w:szCs w:val="20"/>
        </w:rPr>
        <w:t>NOTE:</w:t>
      </w:r>
      <w:r w:rsidR="002A212C" w:rsidRPr="002E0607">
        <w:rPr>
          <w:rFonts w:ascii="Times New Roman" w:hAnsi="Times New Roman" w:cs="Times New Roman"/>
          <w:sz w:val="20"/>
          <w:szCs w:val="20"/>
        </w:rPr>
        <w:t> Figures in brackets are percentages to total.</w:t>
      </w:r>
      <w:r w:rsidR="002A212C" w:rsidRPr="002E0607">
        <w:rPr>
          <w:rFonts w:ascii="Times New Roman" w:hAnsi="Times New Roman" w:cs="Times New Roman"/>
          <w:sz w:val="20"/>
          <w:szCs w:val="20"/>
        </w:rPr>
        <w:br/>
        <w:t>$ Included under Punjab.</w:t>
      </w:r>
      <w:r w:rsidR="002A212C" w:rsidRPr="002E0607">
        <w:rPr>
          <w:rFonts w:ascii="Times New Roman" w:hAnsi="Times New Roman" w:cs="Times New Roman"/>
          <w:sz w:val="20"/>
          <w:szCs w:val="20"/>
        </w:rPr>
        <w:br/>
        <w:t>** Relates to composite State of Punjab.</w:t>
      </w:r>
      <w:r w:rsidR="002A212C" w:rsidRPr="002E0607">
        <w:rPr>
          <w:rFonts w:ascii="Times New Roman" w:hAnsi="Times New Roman" w:cs="Times New Roman"/>
          <w:sz w:val="20"/>
          <w:szCs w:val="20"/>
        </w:rPr>
        <w:br/>
        <w:t>* Includes estimates for Nagaland which are negligible.</w:t>
      </w:r>
    </w:p>
    <w:p w14:paraId="5B2F8FC9" w14:textId="77777777" w:rsidR="002A212C" w:rsidRPr="007245B0" w:rsidRDefault="002A212C" w:rsidP="002A212C">
      <w:pPr>
        <w:spacing w:after="0"/>
        <w:rPr>
          <w:rFonts w:ascii="Times New Roman" w:hAnsi="Times New Roman" w:cs="Times New Roman"/>
          <w:i/>
          <w:iCs/>
          <w:szCs w:val="24"/>
        </w:rPr>
      </w:pPr>
    </w:p>
    <w:p w14:paraId="1C3FA7ED" w14:textId="77777777" w:rsidR="002A212C" w:rsidRPr="007245B0" w:rsidRDefault="002A212C" w:rsidP="002A212C">
      <w:pPr>
        <w:spacing w:after="0"/>
        <w:rPr>
          <w:rFonts w:ascii="Times New Roman" w:hAnsi="Times New Roman" w:cs="Times New Roman"/>
          <w:i/>
          <w:iCs/>
          <w:szCs w:val="24"/>
        </w:rPr>
      </w:pPr>
      <w:r w:rsidRPr="007245B0">
        <w:rPr>
          <w:rFonts w:ascii="Times New Roman" w:hAnsi="Times New Roman" w:cs="Times New Roman"/>
          <w:i/>
          <w:iCs/>
          <w:szCs w:val="24"/>
        </w:rPr>
        <w:br w:type="page"/>
      </w:r>
    </w:p>
    <w:p w14:paraId="1889FF97" w14:textId="30D480B4" w:rsidR="002A212C" w:rsidRDefault="00574BCE" w:rsidP="007D2EE4">
      <w:pPr>
        <w:pStyle w:val="Heading4"/>
      </w:pPr>
      <w:bookmarkStart w:id="189" w:name="_Toc220949733"/>
      <w:bookmarkStart w:id="190" w:name="_Toc221114333"/>
      <w:bookmarkStart w:id="191" w:name="_Toc221115356"/>
      <w:r>
        <w:lastRenderedPageBreak/>
        <w:t>Table</w:t>
      </w:r>
      <w:r w:rsidR="002A212C" w:rsidRPr="007245B0">
        <w:t xml:space="preserve"> </w:t>
      </w:r>
      <w:r w:rsidR="00AF2CD3" w:rsidRPr="007245B0">
        <w:t>52:</w:t>
      </w:r>
      <w:r w:rsidR="002A212C" w:rsidRPr="007245B0">
        <w:t xml:space="preserve"> State-wise consumption of Sugar</w:t>
      </w:r>
      <w:bookmarkEnd w:id="189"/>
      <w:bookmarkEnd w:id="190"/>
      <w:bookmarkEnd w:id="191"/>
    </w:p>
    <w:p w14:paraId="6F10DE00" w14:textId="2201867A" w:rsidR="002E0607" w:rsidRPr="002E0607" w:rsidRDefault="002E0607" w:rsidP="002E0607">
      <w:pPr>
        <w:jc w:val="right"/>
        <w:rPr>
          <w:rFonts w:ascii="Times New Roman" w:hAnsi="Times New Roman" w:cs="Times New Roman"/>
          <w:i/>
          <w:iCs/>
          <w:szCs w:val="22"/>
        </w:rPr>
      </w:pPr>
      <w:r w:rsidRPr="002E0607">
        <w:rPr>
          <w:rFonts w:ascii="Times New Roman" w:hAnsi="Times New Roman" w:cs="Times New Roman"/>
          <w:i/>
          <w:iCs/>
          <w:szCs w:val="22"/>
        </w:rPr>
        <w:t>(,000 Tonnes)</w:t>
      </w:r>
    </w:p>
    <w:tbl>
      <w:tblPr>
        <w:tblStyle w:val="TableGrid"/>
        <w:tblW w:w="9382" w:type="dxa"/>
        <w:tblLook w:val="04A0" w:firstRow="1" w:lastRow="0" w:firstColumn="1" w:lastColumn="0" w:noHBand="0" w:noVBand="1"/>
      </w:tblPr>
      <w:tblGrid>
        <w:gridCol w:w="3145"/>
        <w:gridCol w:w="2079"/>
        <w:gridCol w:w="2079"/>
        <w:gridCol w:w="2079"/>
      </w:tblGrid>
      <w:tr w:rsidR="002A212C" w:rsidRPr="002E0607" w14:paraId="215FECD2" w14:textId="77777777" w:rsidTr="002E0607">
        <w:trPr>
          <w:trHeight w:val="525"/>
        </w:trPr>
        <w:tc>
          <w:tcPr>
            <w:tcW w:w="0" w:type="auto"/>
            <w:vAlign w:val="center"/>
            <w:hideMark/>
          </w:tcPr>
          <w:p w14:paraId="011F147C" w14:textId="77777777" w:rsidR="002A212C" w:rsidRPr="002E0607" w:rsidRDefault="002A212C" w:rsidP="002E0607">
            <w:pPr>
              <w:pStyle w:val="NoSpacing"/>
              <w:jc w:val="center"/>
              <w:rPr>
                <w:rFonts w:ascii="Times New Roman" w:hAnsi="Times New Roman" w:cs="Times New Roman"/>
                <w:b/>
                <w:bCs/>
                <w:szCs w:val="24"/>
              </w:rPr>
            </w:pPr>
            <w:r w:rsidRPr="002E0607">
              <w:rPr>
                <w:rFonts w:ascii="Times New Roman" w:hAnsi="Times New Roman" w:cs="Times New Roman"/>
                <w:b/>
                <w:bCs/>
                <w:szCs w:val="24"/>
              </w:rPr>
              <w:t>States</w:t>
            </w:r>
          </w:p>
        </w:tc>
        <w:tc>
          <w:tcPr>
            <w:tcW w:w="0" w:type="auto"/>
            <w:vAlign w:val="center"/>
            <w:hideMark/>
          </w:tcPr>
          <w:p w14:paraId="2061773F" w14:textId="77777777" w:rsidR="002A212C" w:rsidRPr="002E0607" w:rsidRDefault="002A212C" w:rsidP="002E0607">
            <w:pPr>
              <w:pStyle w:val="NoSpacing"/>
              <w:jc w:val="center"/>
              <w:rPr>
                <w:rFonts w:ascii="Times New Roman" w:hAnsi="Times New Roman" w:cs="Times New Roman"/>
                <w:b/>
                <w:bCs/>
                <w:szCs w:val="24"/>
              </w:rPr>
            </w:pPr>
            <w:r w:rsidRPr="002E0607">
              <w:rPr>
                <w:rFonts w:ascii="Times New Roman" w:hAnsi="Times New Roman" w:cs="Times New Roman"/>
                <w:b/>
                <w:bCs/>
                <w:szCs w:val="24"/>
              </w:rPr>
              <w:t>1964-65*</w:t>
            </w:r>
          </w:p>
        </w:tc>
        <w:tc>
          <w:tcPr>
            <w:tcW w:w="0" w:type="auto"/>
            <w:vAlign w:val="center"/>
            <w:hideMark/>
          </w:tcPr>
          <w:p w14:paraId="56286715" w14:textId="77777777" w:rsidR="002A212C" w:rsidRPr="002E0607" w:rsidRDefault="002A212C" w:rsidP="002E0607">
            <w:pPr>
              <w:pStyle w:val="NoSpacing"/>
              <w:jc w:val="center"/>
              <w:rPr>
                <w:rFonts w:ascii="Times New Roman" w:hAnsi="Times New Roman" w:cs="Times New Roman"/>
                <w:b/>
                <w:bCs/>
                <w:szCs w:val="24"/>
              </w:rPr>
            </w:pPr>
            <w:r w:rsidRPr="002E0607">
              <w:rPr>
                <w:rFonts w:ascii="Times New Roman" w:hAnsi="Times New Roman" w:cs="Times New Roman"/>
                <w:b/>
                <w:bCs/>
                <w:szCs w:val="24"/>
              </w:rPr>
              <w:t>1965-66*</w:t>
            </w:r>
          </w:p>
        </w:tc>
        <w:tc>
          <w:tcPr>
            <w:tcW w:w="0" w:type="auto"/>
            <w:vAlign w:val="center"/>
            <w:hideMark/>
          </w:tcPr>
          <w:p w14:paraId="670762A3" w14:textId="77777777" w:rsidR="002A212C" w:rsidRPr="002E0607" w:rsidRDefault="002A212C" w:rsidP="002E0607">
            <w:pPr>
              <w:pStyle w:val="NoSpacing"/>
              <w:jc w:val="center"/>
              <w:rPr>
                <w:rFonts w:ascii="Times New Roman" w:hAnsi="Times New Roman" w:cs="Times New Roman"/>
                <w:b/>
                <w:bCs/>
                <w:szCs w:val="24"/>
              </w:rPr>
            </w:pPr>
            <w:r w:rsidRPr="002E0607">
              <w:rPr>
                <w:rFonts w:ascii="Times New Roman" w:hAnsi="Times New Roman" w:cs="Times New Roman"/>
                <w:b/>
                <w:bCs/>
                <w:szCs w:val="24"/>
              </w:rPr>
              <w:t>1966-67*</w:t>
            </w:r>
          </w:p>
        </w:tc>
      </w:tr>
      <w:tr w:rsidR="002A212C" w:rsidRPr="002E0607" w14:paraId="752D730E" w14:textId="77777777" w:rsidTr="002E0607">
        <w:trPr>
          <w:trHeight w:val="495"/>
        </w:trPr>
        <w:tc>
          <w:tcPr>
            <w:tcW w:w="0" w:type="auto"/>
            <w:vAlign w:val="center"/>
            <w:hideMark/>
          </w:tcPr>
          <w:p w14:paraId="780CF373" w14:textId="77777777" w:rsidR="002A212C" w:rsidRPr="002E0607" w:rsidRDefault="002A212C" w:rsidP="002E0607">
            <w:pPr>
              <w:pStyle w:val="NoSpacing"/>
              <w:rPr>
                <w:rFonts w:ascii="Times New Roman" w:hAnsi="Times New Roman" w:cs="Times New Roman"/>
                <w:szCs w:val="24"/>
              </w:rPr>
            </w:pPr>
            <w:r w:rsidRPr="002E0607">
              <w:rPr>
                <w:rFonts w:ascii="Times New Roman" w:hAnsi="Times New Roman" w:cs="Times New Roman"/>
                <w:szCs w:val="24"/>
              </w:rPr>
              <w:t>Andhra Pradesh</w:t>
            </w:r>
          </w:p>
        </w:tc>
        <w:tc>
          <w:tcPr>
            <w:tcW w:w="0" w:type="auto"/>
            <w:vAlign w:val="center"/>
            <w:hideMark/>
          </w:tcPr>
          <w:p w14:paraId="23E487B4" w14:textId="77777777" w:rsidR="002A212C" w:rsidRPr="002E0607" w:rsidRDefault="002A212C" w:rsidP="002E0607">
            <w:pPr>
              <w:pStyle w:val="NoSpacing"/>
              <w:jc w:val="center"/>
              <w:rPr>
                <w:rFonts w:ascii="Times New Roman" w:hAnsi="Times New Roman" w:cs="Times New Roman"/>
                <w:szCs w:val="24"/>
              </w:rPr>
            </w:pPr>
            <w:r w:rsidRPr="002E0607">
              <w:rPr>
                <w:rFonts w:ascii="Times New Roman" w:hAnsi="Times New Roman" w:cs="Times New Roman"/>
                <w:szCs w:val="24"/>
              </w:rPr>
              <w:t>118 (4.8)</w:t>
            </w:r>
          </w:p>
        </w:tc>
        <w:tc>
          <w:tcPr>
            <w:tcW w:w="0" w:type="auto"/>
            <w:vAlign w:val="center"/>
            <w:hideMark/>
          </w:tcPr>
          <w:p w14:paraId="1136C0DC" w14:textId="77777777" w:rsidR="002A212C" w:rsidRPr="002E0607" w:rsidRDefault="002A212C" w:rsidP="002E0607">
            <w:pPr>
              <w:pStyle w:val="NoSpacing"/>
              <w:jc w:val="center"/>
              <w:rPr>
                <w:rFonts w:ascii="Times New Roman" w:hAnsi="Times New Roman" w:cs="Times New Roman"/>
                <w:szCs w:val="24"/>
              </w:rPr>
            </w:pPr>
            <w:r w:rsidRPr="002E0607">
              <w:rPr>
                <w:rFonts w:ascii="Times New Roman" w:hAnsi="Times New Roman" w:cs="Times New Roman"/>
                <w:szCs w:val="24"/>
              </w:rPr>
              <w:t>137 (4.9)</w:t>
            </w:r>
          </w:p>
        </w:tc>
        <w:tc>
          <w:tcPr>
            <w:tcW w:w="0" w:type="auto"/>
            <w:vAlign w:val="center"/>
            <w:hideMark/>
          </w:tcPr>
          <w:p w14:paraId="7C9181CC" w14:textId="77777777" w:rsidR="002A212C" w:rsidRPr="002E0607" w:rsidRDefault="002A212C" w:rsidP="002E0607">
            <w:pPr>
              <w:pStyle w:val="NoSpacing"/>
              <w:jc w:val="center"/>
              <w:rPr>
                <w:rFonts w:ascii="Times New Roman" w:hAnsi="Times New Roman" w:cs="Times New Roman"/>
                <w:szCs w:val="24"/>
              </w:rPr>
            </w:pPr>
            <w:r w:rsidRPr="002E0607">
              <w:rPr>
                <w:rFonts w:ascii="Times New Roman" w:hAnsi="Times New Roman" w:cs="Times New Roman"/>
                <w:szCs w:val="24"/>
              </w:rPr>
              <w:t>129 (5.0)</w:t>
            </w:r>
          </w:p>
        </w:tc>
      </w:tr>
      <w:tr w:rsidR="002A212C" w:rsidRPr="002E0607" w14:paraId="4AB764DA" w14:textId="77777777" w:rsidTr="002E0607">
        <w:trPr>
          <w:trHeight w:val="525"/>
        </w:trPr>
        <w:tc>
          <w:tcPr>
            <w:tcW w:w="0" w:type="auto"/>
            <w:vAlign w:val="center"/>
            <w:hideMark/>
          </w:tcPr>
          <w:p w14:paraId="6BA3DB57" w14:textId="77777777" w:rsidR="002A212C" w:rsidRPr="002E0607" w:rsidRDefault="002A212C" w:rsidP="002E0607">
            <w:pPr>
              <w:pStyle w:val="NoSpacing"/>
              <w:rPr>
                <w:rFonts w:ascii="Times New Roman" w:hAnsi="Times New Roman" w:cs="Times New Roman"/>
                <w:szCs w:val="24"/>
              </w:rPr>
            </w:pPr>
            <w:r w:rsidRPr="002E0607">
              <w:rPr>
                <w:rFonts w:ascii="Times New Roman" w:hAnsi="Times New Roman" w:cs="Times New Roman"/>
                <w:szCs w:val="24"/>
              </w:rPr>
              <w:t>Assam**</w:t>
            </w:r>
          </w:p>
        </w:tc>
        <w:tc>
          <w:tcPr>
            <w:tcW w:w="0" w:type="auto"/>
            <w:vAlign w:val="center"/>
            <w:hideMark/>
          </w:tcPr>
          <w:p w14:paraId="0822912B" w14:textId="77777777" w:rsidR="002A212C" w:rsidRPr="002E0607" w:rsidRDefault="002A212C" w:rsidP="002E0607">
            <w:pPr>
              <w:pStyle w:val="NoSpacing"/>
              <w:jc w:val="center"/>
              <w:rPr>
                <w:rFonts w:ascii="Times New Roman" w:hAnsi="Times New Roman" w:cs="Times New Roman"/>
                <w:szCs w:val="24"/>
              </w:rPr>
            </w:pPr>
            <w:r w:rsidRPr="002E0607">
              <w:rPr>
                <w:rFonts w:ascii="Times New Roman" w:hAnsi="Times New Roman" w:cs="Times New Roman"/>
                <w:szCs w:val="24"/>
              </w:rPr>
              <w:t>85 (3.4)</w:t>
            </w:r>
          </w:p>
        </w:tc>
        <w:tc>
          <w:tcPr>
            <w:tcW w:w="0" w:type="auto"/>
            <w:vAlign w:val="center"/>
            <w:hideMark/>
          </w:tcPr>
          <w:p w14:paraId="3127DC23" w14:textId="77777777" w:rsidR="002A212C" w:rsidRPr="002E0607" w:rsidRDefault="002A212C" w:rsidP="002E0607">
            <w:pPr>
              <w:pStyle w:val="NoSpacing"/>
              <w:jc w:val="center"/>
              <w:rPr>
                <w:rFonts w:ascii="Times New Roman" w:hAnsi="Times New Roman" w:cs="Times New Roman"/>
                <w:szCs w:val="24"/>
              </w:rPr>
            </w:pPr>
            <w:r w:rsidRPr="002E0607">
              <w:rPr>
                <w:rFonts w:ascii="Times New Roman" w:hAnsi="Times New Roman" w:cs="Times New Roman"/>
                <w:szCs w:val="24"/>
              </w:rPr>
              <w:t>71 (2.5)</w:t>
            </w:r>
          </w:p>
        </w:tc>
        <w:tc>
          <w:tcPr>
            <w:tcW w:w="0" w:type="auto"/>
            <w:vAlign w:val="center"/>
            <w:hideMark/>
          </w:tcPr>
          <w:p w14:paraId="6135096C" w14:textId="77777777" w:rsidR="002A212C" w:rsidRPr="002E0607" w:rsidRDefault="002A212C" w:rsidP="002E0607">
            <w:pPr>
              <w:pStyle w:val="NoSpacing"/>
              <w:jc w:val="center"/>
              <w:rPr>
                <w:rFonts w:ascii="Times New Roman" w:hAnsi="Times New Roman" w:cs="Times New Roman"/>
                <w:szCs w:val="24"/>
              </w:rPr>
            </w:pPr>
            <w:r w:rsidRPr="002E0607">
              <w:rPr>
                <w:rFonts w:ascii="Times New Roman" w:hAnsi="Times New Roman" w:cs="Times New Roman"/>
                <w:szCs w:val="24"/>
              </w:rPr>
              <w:t>78 (3.0)</w:t>
            </w:r>
          </w:p>
        </w:tc>
      </w:tr>
      <w:tr w:rsidR="002A212C" w:rsidRPr="002E0607" w14:paraId="72050E0A" w14:textId="77777777" w:rsidTr="002E0607">
        <w:trPr>
          <w:trHeight w:val="495"/>
        </w:trPr>
        <w:tc>
          <w:tcPr>
            <w:tcW w:w="0" w:type="auto"/>
            <w:vAlign w:val="center"/>
            <w:hideMark/>
          </w:tcPr>
          <w:p w14:paraId="78A4D942" w14:textId="77777777" w:rsidR="002A212C" w:rsidRPr="002E0607" w:rsidRDefault="002A212C" w:rsidP="002E0607">
            <w:pPr>
              <w:pStyle w:val="NoSpacing"/>
              <w:rPr>
                <w:rFonts w:ascii="Times New Roman" w:hAnsi="Times New Roman" w:cs="Times New Roman"/>
                <w:szCs w:val="24"/>
              </w:rPr>
            </w:pPr>
            <w:r w:rsidRPr="002E0607">
              <w:rPr>
                <w:rFonts w:ascii="Times New Roman" w:hAnsi="Times New Roman" w:cs="Times New Roman"/>
                <w:szCs w:val="24"/>
              </w:rPr>
              <w:t>Bihar</w:t>
            </w:r>
          </w:p>
        </w:tc>
        <w:tc>
          <w:tcPr>
            <w:tcW w:w="0" w:type="auto"/>
            <w:vAlign w:val="center"/>
            <w:hideMark/>
          </w:tcPr>
          <w:p w14:paraId="672F9F8D" w14:textId="77777777" w:rsidR="002A212C" w:rsidRPr="002E0607" w:rsidRDefault="002A212C" w:rsidP="002E0607">
            <w:pPr>
              <w:pStyle w:val="NoSpacing"/>
              <w:jc w:val="center"/>
              <w:rPr>
                <w:rFonts w:ascii="Times New Roman" w:hAnsi="Times New Roman" w:cs="Times New Roman"/>
                <w:szCs w:val="24"/>
              </w:rPr>
            </w:pPr>
            <w:r w:rsidRPr="002E0607">
              <w:rPr>
                <w:rFonts w:ascii="Times New Roman" w:hAnsi="Times New Roman" w:cs="Times New Roman"/>
                <w:szCs w:val="24"/>
              </w:rPr>
              <w:t>142 (5.8)</w:t>
            </w:r>
          </w:p>
        </w:tc>
        <w:tc>
          <w:tcPr>
            <w:tcW w:w="0" w:type="auto"/>
            <w:vAlign w:val="center"/>
            <w:hideMark/>
          </w:tcPr>
          <w:p w14:paraId="2908D7B0" w14:textId="77777777" w:rsidR="002A212C" w:rsidRPr="002E0607" w:rsidRDefault="002A212C" w:rsidP="002E0607">
            <w:pPr>
              <w:pStyle w:val="NoSpacing"/>
              <w:jc w:val="center"/>
              <w:rPr>
                <w:rFonts w:ascii="Times New Roman" w:hAnsi="Times New Roman" w:cs="Times New Roman"/>
                <w:szCs w:val="24"/>
              </w:rPr>
            </w:pPr>
            <w:r w:rsidRPr="002E0607">
              <w:rPr>
                <w:rFonts w:ascii="Times New Roman" w:hAnsi="Times New Roman" w:cs="Times New Roman"/>
                <w:szCs w:val="24"/>
              </w:rPr>
              <w:t>171 (6.2)</w:t>
            </w:r>
          </w:p>
        </w:tc>
        <w:tc>
          <w:tcPr>
            <w:tcW w:w="0" w:type="auto"/>
            <w:vAlign w:val="center"/>
            <w:hideMark/>
          </w:tcPr>
          <w:p w14:paraId="53475141" w14:textId="77777777" w:rsidR="002A212C" w:rsidRPr="002E0607" w:rsidRDefault="002A212C" w:rsidP="002E0607">
            <w:pPr>
              <w:pStyle w:val="NoSpacing"/>
              <w:jc w:val="center"/>
              <w:rPr>
                <w:rFonts w:ascii="Times New Roman" w:hAnsi="Times New Roman" w:cs="Times New Roman"/>
                <w:szCs w:val="24"/>
              </w:rPr>
            </w:pPr>
            <w:r w:rsidRPr="002E0607">
              <w:rPr>
                <w:rFonts w:ascii="Times New Roman" w:hAnsi="Times New Roman" w:cs="Times New Roman"/>
                <w:szCs w:val="24"/>
              </w:rPr>
              <w:t>154 (5.9)</w:t>
            </w:r>
          </w:p>
        </w:tc>
      </w:tr>
      <w:tr w:rsidR="002A212C" w:rsidRPr="002E0607" w14:paraId="4FD858D3" w14:textId="77777777" w:rsidTr="002E0607">
        <w:trPr>
          <w:trHeight w:val="525"/>
        </w:trPr>
        <w:tc>
          <w:tcPr>
            <w:tcW w:w="0" w:type="auto"/>
            <w:vAlign w:val="center"/>
            <w:hideMark/>
          </w:tcPr>
          <w:p w14:paraId="46F89742" w14:textId="77777777" w:rsidR="002A212C" w:rsidRPr="002E0607" w:rsidRDefault="002A212C" w:rsidP="002E0607">
            <w:pPr>
              <w:pStyle w:val="NoSpacing"/>
              <w:rPr>
                <w:rFonts w:ascii="Times New Roman" w:hAnsi="Times New Roman" w:cs="Times New Roman"/>
                <w:szCs w:val="24"/>
              </w:rPr>
            </w:pPr>
            <w:r w:rsidRPr="002E0607">
              <w:rPr>
                <w:rFonts w:ascii="Times New Roman" w:hAnsi="Times New Roman" w:cs="Times New Roman"/>
                <w:szCs w:val="24"/>
              </w:rPr>
              <w:t>Gujarat</w:t>
            </w:r>
          </w:p>
        </w:tc>
        <w:tc>
          <w:tcPr>
            <w:tcW w:w="0" w:type="auto"/>
            <w:vAlign w:val="center"/>
            <w:hideMark/>
          </w:tcPr>
          <w:p w14:paraId="49CFA21B" w14:textId="77777777" w:rsidR="002A212C" w:rsidRPr="002E0607" w:rsidRDefault="002A212C" w:rsidP="002E0607">
            <w:pPr>
              <w:pStyle w:val="NoSpacing"/>
              <w:jc w:val="center"/>
              <w:rPr>
                <w:rFonts w:ascii="Times New Roman" w:hAnsi="Times New Roman" w:cs="Times New Roman"/>
                <w:szCs w:val="24"/>
              </w:rPr>
            </w:pPr>
            <w:r w:rsidRPr="002E0607">
              <w:rPr>
                <w:rFonts w:ascii="Times New Roman" w:hAnsi="Times New Roman" w:cs="Times New Roman"/>
                <w:szCs w:val="24"/>
              </w:rPr>
              <w:t>256 (10.5)</w:t>
            </w:r>
          </w:p>
        </w:tc>
        <w:tc>
          <w:tcPr>
            <w:tcW w:w="0" w:type="auto"/>
            <w:vAlign w:val="center"/>
            <w:hideMark/>
          </w:tcPr>
          <w:p w14:paraId="3D8ACB90" w14:textId="77777777" w:rsidR="002A212C" w:rsidRPr="002E0607" w:rsidRDefault="002A212C" w:rsidP="002E0607">
            <w:pPr>
              <w:pStyle w:val="NoSpacing"/>
              <w:jc w:val="center"/>
              <w:rPr>
                <w:rFonts w:ascii="Times New Roman" w:hAnsi="Times New Roman" w:cs="Times New Roman"/>
                <w:szCs w:val="24"/>
              </w:rPr>
            </w:pPr>
            <w:r w:rsidRPr="002E0607">
              <w:rPr>
                <w:rFonts w:ascii="Times New Roman" w:hAnsi="Times New Roman" w:cs="Times New Roman"/>
                <w:szCs w:val="24"/>
              </w:rPr>
              <w:t>284 (10.2)</w:t>
            </w:r>
          </w:p>
        </w:tc>
        <w:tc>
          <w:tcPr>
            <w:tcW w:w="0" w:type="auto"/>
            <w:vAlign w:val="center"/>
            <w:hideMark/>
          </w:tcPr>
          <w:p w14:paraId="10B0206B" w14:textId="77777777" w:rsidR="002A212C" w:rsidRPr="002E0607" w:rsidRDefault="002A212C" w:rsidP="002E0607">
            <w:pPr>
              <w:pStyle w:val="NoSpacing"/>
              <w:jc w:val="center"/>
              <w:rPr>
                <w:rFonts w:ascii="Times New Roman" w:hAnsi="Times New Roman" w:cs="Times New Roman"/>
                <w:szCs w:val="24"/>
              </w:rPr>
            </w:pPr>
            <w:r w:rsidRPr="002E0607">
              <w:rPr>
                <w:rFonts w:ascii="Times New Roman" w:hAnsi="Times New Roman" w:cs="Times New Roman"/>
                <w:szCs w:val="24"/>
              </w:rPr>
              <w:t>255 (9.8)</w:t>
            </w:r>
          </w:p>
        </w:tc>
      </w:tr>
      <w:tr w:rsidR="002A212C" w:rsidRPr="002E0607" w14:paraId="3F3286CC" w14:textId="77777777" w:rsidTr="002E0607">
        <w:trPr>
          <w:trHeight w:val="495"/>
        </w:trPr>
        <w:tc>
          <w:tcPr>
            <w:tcW w:w="0" w:type="auto"/>
            <w:vAlign w:val="center"/>
            <w:hideMark/>
          </w:tcPr>
          <w:p w14:paraId="39D47A15" w14:textId="77777777" w:rsidR="002A212C" w:rsidRPr="002E0607" w:rsidRDefault="002A212C" w:rsidP="002E0607">
            <w:pPr>
              <w:pStyle w:val="NoSpacing"/>
              <w:rPr>
                <w:rFonts w:ascii="Times New Roman" w:hAnsi="Times New Roman" w:cs="Times New Roman"/>
                <w:szCs w:val="24"/>
              </w:rPr>
            </w:pPr>
            <w:r w:rsidRPr="002E0607">
              <w:rPr>
                <w:rFonts w:ascii="Times New Roman" w:hAnsi="Times New Roman" w:cs="Times New Roman"/>
                <w:szCs w:val="24"/>
              </w:rPr>
              <w:t>Haryana</w:t>
            </w:r>
          </w:p>
        </w:tc>
        <w:tc>
          <w:tcPr>
            <w:tcW w:w="0" w:type="auto"/>
            <w:vAlign w:val="center"/>
            <w:hideMark/>
          </w:tcPr>
          <w:p w14:paraId="275C52E5" w14:textId="77777777" w:rsidR="002A212C" w:rsidRPr="002E0607" w:rsidRDefault="002A212C" w:rsidP="002E0607">
            <w:pPr>
              <w:pStyle w:val="NoSpacing"/>
              <w:jc w:val="center"/>
              <w:rPr>
                <w:rFonts w:ascii="Times New Roman" w:hAnsi="Times New Roman" w:cs="Times New Roman"/>
                <w:szCs w:val="24"/>
              </w:rPr>
            </w:pPr>
            <w:r w:rsidRPr="002E0607">
              <w:rPr>
                <w:rFonts w:ascii="Times New Roman" w:hAnsi="Times New Roman" w:cs="Times New Roman"/>
                <w:szCs w:val="24"/>
              </w:rPr>
              <w:t>£</w:t>
            </w:r>
          </w:p>
        </w:tc>
        <w:tc>
          <w:tcPr>
            <w:tcW w:w="0" w:type="auto"/>
            <w:vAlign w:val="center"/>
            <w:hideMark/>
          </w:tcPr>
          <w:p w14:paraId="1BE4D7D0" w14:textId="77777777" w:rsidR="002A212C" w:rsidRPr="002E0607" w:rsidRDefault="002A212C" w:rsidP="002E0607">
            <w:pPr>
              <w:pStyle w:val="NoSpacing"/>
              <w:jc w:val="center"/>
              <w:rPr>
                <w:rFonts w:ascii="Times New Roman" w:hAnsi="Times New Roman" w:cs="Times New Roman"/>
                <w:szCs w:val="24"/>
              </w:rPr>
            </w:pPr>
            <w:r w:rsidRPr="002E0607">
              <w:rPr>
                <w:rFonts w:ascii="Times New Roman" w:hAnsi="Times New Roman" w:cs="Times New Roman"/>
                <w:szCs w:val="24"/>
              </w:rPr>
              <w:t>£</w:t>
            </w:r>
          </w:p>
        </w:tc>
        <w:tc>
          <w:tcPr>
            <w:tcW w:w="0" w:type="auto"/>
            <w:vAlign w:val="center"/>
            <w:hideMark/>
          </w:tcPr>
          <w:p w14:paraId="3537F804" w14:textId="77777777" w:rsidR="002A212C" w:rsidRPr="002E0607" w:rsidRDefault="002A212C" w:rsidP="002E0607">
            <w:pPr>
              <w:pStyle w:val="NoSpacing"/>
              <w:jc w:val="center"/>
              <w:rPr>
                <w:rFonts w:ascii="Times New Roman" w:hAnsi="Times New Roman" w:cs="Times New Roman"/>
                <w:szCs w:val="24"/>
              </w:rPr>
            </w:pPr>
            <w:r w:rsidRPr="002E0607">
              <w:rPr>
                <w:rFonts w:ascii="Times New Roman" w:hAnsi="Times New Roman" w:cs="Times New Roman"/>
                <w:szCs w:val="24"/>
              </w:rPr>
              <w:t>£</w:t>
            </w:r>
          </w:p>
        </w:tc>
      </w:tr>
      <w:tr w:rsidR="002A212C" w:rsidRPr="002E0607" w14:paraId="3D744F0D" w14:textId="77777777" w:rsidTr="002E0607">
        <w:trPr>
          <w:trHeight w:val="525"/>
        </w:trPr>
        <w:tc>
          <w:tcPr>
            <w:tcW w:w="0" w:type="auto"/>
            <w:vAlign w:val="center"/>
            <w:hideMark/>
          </w:tcPr>
          <w:p w14:paraId="106A15AE" w14:textId="77777777" w:rsidR="002A212C" w:rsidRPr="002E0607" w:rsidRDefault="002A212C" w:rsidP="002E0607">
            <w:pPr>
              <w:pStyle w:val="NoSpacing"/>
              <w:rPr>
                <w:rFonts w:ascii="Times New Roman" w:hAnsi="Times New Roman" w:cs="Times New Roman"/>
                <w:szCs w:val="24"/>
              </w:rPr>
            </w:pPr>
            <w:r w:rsidRPr="002E0607">
              <w:rPr>
                <w:rFonts w:ascii="Times New Roman" w:hAnsi="Times New Roman" w:cs="Times New Roman"/>
                <w:szCs w:val="24"/>
              </w:rPr>
              <w:t>Jammu and Kashmir</w:t>
            </w:r>
          </w:p>
        </w:tc>
        <w:tc>
          <w:tcPr>
            <w:tcW w:w="0" w:type="auto"/>
            <w:vAlign w:val="center"/>
            <w:hideMark/>
          </w:tcPr>
          <w:p w14:paraId="50CE7852" w14:textId="77777777" w:rsidR="002A212C" w:rsidRPr="002E0607" w:rsidRDefault="002A212C" w:rsidP="002E0607">
            <w:pPr>
              <w:pStyle w:val="NoSpacing"/>
              <w:jc w:val="center"/>
              <w:rPr>
                <w:rFonts w:ascii="Times New Roman" w:hAnsi="Times New Roman" w:cs="Times New Roman"/>
                <w:szCs w:val="24"/>
              </w:rPr>
            </w:pPr>
            <w:r w:rsidRPr="002E0607">
              <w:rPr>
                <w:rFonts w:ascii="Times New Roman" w:hAnsi="Times New Roman" w:cs="Times New Roman"/>
                <w:szCs w:val="24"/>
              </w:rPr>
              <w:t>25 (1.0)</w:t>
            </w:r>
          </w:p>
        </w:tc>
        <w:tc>
          <w:tcPr>
            <w:tcW w:w="0" w:type="auto"/>
            <w:vAlign w:val="center"/>
            <w:hideMark/>
          </w:tcPr>
          <w:p w14:paraId="1BEABFE7" w14:textId="77777777" w:rsidR="002A212C" w:rsidRPr="002E0607" w:rsidRDefault="002A212C" w:rsidP="002E0607">
            <w:pPr>
              <w:pStyle w:val="NoSpacing"/>
              <w:jc w:val="center"/>
              <w:rPr>
                <w:rFonts w:ascii="Times New Roman" w:hAnsi="Times New Roman" w:cs="Times New Roman"/>
                <w:szCs w:val="24"/>
              </w:rPr>
            </w:pPr>
            <w:r w:rsidRPr="002E0607">
              <w:rPr>
                <w:rFonts w:ascii="Times New Roman" w:hAnsi="Times New Roman" w:cs="Times New Roman"/>
                <w:szCs w:val="24"/>
              </w:rPr>
              <w:t>12 (0.4)</w:t>
            </w:r>
          </w:p>
        </w:tc>
        <w:tc>
          <w:tcPr>
            <w:tcW w:w="0" w:type="auto"/>
            <w:vAlign w:val="center"/>
            <w:hideMark/>
          </w:tcPr>
          <w:p w14:paraId="17D0B9CB" w14:textId="77777777" w:rsidR="002A212C" w:rsidRPr="002E0607" w:rsidRDefault="002A212C" w:rsidP="002E0607">
            <w:pPr>
              <w:pStyle w:val="NoSpacing"/>
              <w:jc w:val="center"/>
              <w:rPr>
                <w:rFonts w:ascii="Times New Roman" w:hAnsi="Times New Roman" w:cs="Times New Roman"/>
                <w:szCs w:val="24"/>
              </w:rPr>
            </w:pPr>
            <w:r w:rsidRPr="002E0607">
              <w:rPr>
                <w:rFonts w:ascii="Times New Roman" w:hAnsi="Times New Roman" w:cs="Times New Roman"/>
                <w:szCs w:val="24"/>
              </w:rPr>
              <w:t>20 (0.8)</w:t>
            </w:r>
          </w:p>
        </w:tc>
      </w:tr>
      <w:tr w:rsidR="002A212C" w:rsidRPr="002E0607" w14:paraId="6415C13A" w14:textId="77777777" w:rsidTr="002E0607">
        <w:trPr>
          <w:trHeight w:val="525"/>
        </w:trPr>
        <w:tc>
          <w:tcPr>
            <w:tcW w:w="0" w:type="auto"/>
            <w:vAlign w:val="center"/>
            <w:hideMark/>
          </w:tcPr>
          <w:p w14:paraId="3209894E" w14:textId="77777777" w:rsidR="002A212C" w:rsidRPr="002E0607" w:rsidRDefault="002A212C" w:rsidP="002E0607">
            <w:pPr>
              <w:pStyle w:val="NoSpacing"/>
              <w:rPr>
                <w:rFonts w:ascii="Times New Roman" w:hAnsi="Times New Roman" w:cs="Times New Roman"/>
                <w:szCs w:val="24"/>
              </w:rPr>
            </w:pPr>
            <w:r w:rsidRPr="002E0607">
              <w:rPr>
                <w:rFonts w:ascii="Times New Roman" w:hAnsi="Times New Roman" w:cs="Times New Roman"/>
                <w:szCs w:val="24"/>
              </w:rPr>
              <w:t>Kerala</w:t>
            </w:r>
          </w:p>
        </w:tc>
        <w:tc>
          <w:tcPr>
            <w:tcW w:w="0" w:type="auto"/>
            <w:vAlign w:val="center"/>
            <w:hideMark/>
          </w:tcPr>
          <w:p w14:paraId="32E5382C" w14:textId="77777777" w:rsidR="002A212C" w:rsidRPr="002E0607" w:rsidRDefault="002A212C" w:rsidP="002E0607">
            <w:pPr>
              <w:pStyle w:val="NoSpacing"/>
              <w:jc w:val="center"/>
              <w:rPr>
                <w:rFonts w:ascii="Times New Roman" w:hAnsi="Times New Roman" w:cs="Times New Roman"/>
                <w:szCs w:val="24"/>
              </w:rPr>
            </w:pPr>
            <w:r w:rsidRPr="002E0607">
              <w:rPr>
                <w:rFonts w:ascii="Times New Roman" w:hAnsi="Times New Roman" w:cs="Times New Roman"/>
                <w:szCs w:val="24"/>
              </w:rPr>
              <w:t>75 (3.2)</w:t>
            </w:r>
          </w:p>
        </w:tc>
        <w:tc>
          <w:tcPr>
            <w:tcW w:w="0" w:type="auto"/>
            <w:vAlign w:val="center"/>
            <w:hideMark/>
          </w:tcPr>
          <w:p w14:paraId="1EA8CABA" w14:textId="77777777" w:rsidR="002A212C" w:rsidRPr="002E0607" w:rsidRDefault="002A212C" w:rsidP="002E0607">
            <w:pPr>
              <w:pStyle w:val="NoSpacing"/>
              <w:jc w:val="center"/>
              <w:rPr>
                <w:rFonts w:ascii="Times New Roman" w:hAnsi="Times New Roman" w:cs="Times New Roman"/>
                <w:szCs w:val="24"/>
              </w:rPr>
            </w:pPr>
            <w:r w:rsidRPr="002E0607">
              <w:rPr>
                <w:rFonts w:ascii="Times New Roman" w:hAnsi="Times New Roman" w:cs="Times New Roman"/>
                <w:szCs w:val="24"/>
              </w:rPr>
              <w:t>99 (3.6)</w:t>
            </w:r>
          </w:p>
        </w:tc>
        <w:tc>
          <w:tcPr>
            <w:tcW w:w="0" w:type="auto"/>
            <w:vAlign w:val="center"/>
            <w:hideMark/>
          </w:tcPr>
          <w:p w14:paraId="4C75F3C6" w14:textId="77777777" w:rsidR="002A212C" w:rsidRPr="002E0607" w:rsidRDefault="002A212C" w:rsidP="002E0607">
            <w:pPr>
              <w:pStyle w:val="NoSpacing"/>
              <w:jc w:val="center"/>
              <w:rPr>
                <w:rFonts w:ascii="Times New Roman" w:hAnsi="Times New Roman" w:cs="Times New Roman"/>
                <w:szCs w:val="24"/>
              </w:rPr>
            </w:pPr>
            <w:r w:rsidRPr="002E0607">
              <w:rPr>
                <w:rFonts w:ascii="Times New Roman" w:hAnsi="Times New Roman" w:cs="Times New Roman"/>
                <w:szCs w:val="24"/>
              </w:rPr>
              <w:t>100 (3.8)</w:t>
            </w:r>
          </w:p>
        </w:tc>
      </w:tr>
      <w:tr w:rsidR="002A212C" w:rsidRPr="002E0607" w14:paraId="2D4CF3CB" w14:textId="77777777" w:rsidTr="002E0607">
        <w:trPr>
          <w:trHeight w:val="495"/>
        </w:trPr>
        <w:tc>
          <w:tcPr>
            <w:tcW w:w="0" w:type="auto"/>
            <w:vAlign w:val="center"/>
            <w:hideMark/>
          </w:tcPr>
          <w:p w14:paraId="31A2C728" w14:textId="77777777" w:rsidR="002A212C" w:rsidRPr="002E0607" w:rsidRDefault="002A212C" w:rsidP="002E0607">
            <w:pPr>
              <w:pStyle w:val="NoSpacing"/>
              <w:rPr>
                <w:rFonts w:ascii="Times New Roman" w:hAnsi="Times New Roman" w:cs="Times New Roman"/>
                <w:szCs w:val="24"/>
              </w:rPr>
            </w:pPr>
            <w:r w:rsidRPr="002E0607">
              <w:rPr>
                <w:rFonts w:ascii="Times New Roman" w:hAnsi="Times New Roman" w:cs="Times New Roman"/>
                <w:szCs w:val="24"/>
              </w:rPr>
              <w:t>Madhya Pradesh</w:t>
            </w:r>
          </w:p>
        </w:tc>
        <w:tc>
          <w:tcPr>
            <w:tcW w:w="0" w:type="auto"/>
            <w:vAlign w:val="center"/>
            <w:hideMark/>
          </w:tcPr>
          <w:p w14:paraId="4CBF1163" w14:textId="77777777" w:rsidR="002A212C" w:rsidRPr="002E0607" w:rsidRDefault="002A212C" w:rsidP="002E0607">
            <w:pPr>
              <w:pStyle w:val="NoSpacing"/>
              <w:jc w:val="center"/>
              <w:rPr>
                <w:rFonts w:ascii="Times New Roman" w:hAnsi="Times New Roman" w:cs="Times New Roman"/>
                <w:szCs w:val="24"/>
              </w:rPr>
            </w:pPr>
            <w:r w:rsidRPr="002E0607">
              <w:rPr>
                <w:rFonts w:ascii="Times New Roman" w:hAnsi="Times New Roman" w:cs="Times New Roman"/>
                <w:szCs w:val="24"/>
              </w:rPr>
              <w:t>147 (6.0)</w:t>
            </w:r>
          </w:p>
        </w:tc>
        <w:tc>
          <w:tcPr>
            <w:tcW w:w="0" w:type="auto"/>
            <w:vAlign w:val="center"/>
            <w:hideMark/>
          </w:tcPr>
          <w:p w14:paraId="590AE438" w14:textId="77777777" w:rsidR="002A212C" w:rsidRPr="002E0607" w:rsidRDefault="002A212C" w:rsidP="002E0607">
            <w:pPr>
              <w:pStyle w:val="NoSpacing"/>
              <w:jc w:val="center"/>
              <w:rPr>
                <w:rFonts w:ascii="Times New Roman" w:hAnsi="Times New Roman" w:cs="Times New Roman"/>
                <w:szCs w:val="24"/>
              </w:rPr>
            </w:pPr>
            <w:r w:rsidRPr="002E0607">
              <w:rPr>
                <w:rFonts w:ascii="Times New Roman" w:hAnsi="Times New Roman" w:cs="Times New Roman"/>
                <w:szCs w:val="24"/>
              </w:rPr>
              <w:t>158 (5.7)</w:t>
            </w:r>
          </w:p>
        </w:tc>
        <w:tc>
          <w:tcPr>
            <w:tcW w:w="0" w:type="auto"/>
            <w:vAlign w:val="center"/>
            <w:hideMark/>
          </w:tcPr>
          <w:p w14:paraId="11E22FB5" w14:textId="77777777" w:rsidR="002A212C" w:rsidRPr="002E0607" w:rsidRDefault="002A212C" w:rsidP="002E0607">
            <w:pPr>
              <w:pStyle w:val="NoSpacing"/>
              <w:jc w:val="center"/>
              <w:rPr>
                <w:rFonts w:ascii="Times New Roman" w:hAnsi="Times New Roman" w:cs="Times New Roman"/>
                <w:szCs w:val="24"/>
              </w:rPr>
            </w:pPr>
            <w:r w:rsidRPr="002E0607">
              <w:rPr>
                <w:rFonts w:ascii="Times New Roman" w:hAnsi="Times New Roman" w:cs="Times New Roman"/>
                <w:szCs w:val="24"/>
              </w:rPr>
              <w:t>144 (5.5)</w:t>
            </w:r>
          </w:p>
        </w:tc>
      </w:tr>
      <w:tr w:rsidR="002A212C" w:rsidRPr="002E0607" w14:paraId="4A948F79" w14:textId="77777777" w:rsidTr="002E0607">
        <w:trPr>
          <w:trHeight w:val="525"/>
        </w:trPr>
        <w:tc>
          <w:tcPr>
            <w:tcW w:w="0" w:type="auto"/>
            <w:vAlign w:val="center"/>
            <w:hideMark/>
          </w:tcPr>
          <w:p w14:paraId="7C317FB2" w14:textId="77777777" w:rsidR="002A212C" w:rsidRPr="002E0607" w:rsidRDefault="002A212C" w:rsidP="002E0607">
            <w:pPr>
              <w:pStyle w:val="NoSpacing"/>
              <w:rPr>
                <w:rFonts w:ascii="Times New Roman" w:hAnsi="Times New Roman" w:cs="Times New Roman"/>
                <w:szCs w:val="24"/>
              </w:rPr>
            </w:pPr>
            <w:r w:rsidRPr="002E0607">
              <w:rPr>
                <w:rFonts w:ascii="Times New Roman" w:hAnsi="Times New Roman" w:cs="Times New Roman"/>
                <w:szCs w:val="24"/>
              </w:rPr>
              <w:t>Maharashtra</w:t>
            </w:r>
          </w:p>
        </w:tc>
        <w:tc>
          <w:tcPr>
            <w:tcW w:w="0" w:type="auto"/>
            <w:vAlign w:val="center"/>
            <w:hideMark/>
          </w:tcPr>
          <w:p w14:paraId="11FCBE69" w14:textId="77777777" w:rsidR="002A212C" w:rsidRPr="002E0607" w:rsidRDefault="002A212C" w:rsidP="002E0607">
            <w:pPr>
              <w:pStyle w:val="NoSpacing"/>
              <w:jc w:val="center"/>
              <w:rPr>
                <w:rFonts w:ascii="Times New Roman" w:hAnsi="Times New Roman" w:cs="Times New Roman"/>
                <w:szCs w:val="24"/>
              </w:rPr>
            </w:pPr>
            <w:r w:rsidRPr="002E0607">
              <w:rPr>
                <w:rFonts w:ascii="Times New Roman" w:hAnsi="Times New Roman" w:cs="Times New Roman"/>
                <w:szCs w:val="24"/>
              </w:rPr>
              <w:t>379 (15.5)</w:t>
            </w:r>
          </w:p>
        </w:tc>
        <w:tc>
          <w:tcPr>
            <w:tcW w:w="0" w:type="auto"/>
            <w:vAlign w:val="center"/>
            <w:hideMark/>
          </w:tcPr>
          <w:p w14:paraId="2821879B" w14:textId="77777777" w:rsidR="002A212C" w:rsidRPr="002E0607" w:rsidRDefault="002A212C" w:rsidP="002E0607">
            <w:pPr>
              <w:pStyle w:val="NoSpacing"/>
              <w:jc w:val="center"/>
              <w:rPr>
                <w:rFonts w:ascii="Times New Roman" w:hAnsi="Times New Roman" w:cs="Times New Roman"/>
                <w:szCs w:val="24"/>
              </w:rPr>
            </w:pPr>
            <w:r w:rsidRPr="002E0607">
              <w:rPr>
                <w:rFonts w:ascii="Times New Roman" w:hAnsi="Times New Roman" w:cs="Times New Roman"/>
                <w:szCs w:val="24"/>
              </w:rPr>
              <w:t>447 (16.1)</w:t>
            </w:r>
          </w:p>
        </w:tc>
        <w:tc>
          <w:tcPr>
            <w:tcW w:w="0" w:type="auto"/>
            <w:vAlign w:val="center"/>
            <w:hideMark/>
          </w:tcPr>
          <w:p w14:paraId="295C0766" w14:textId="77777777" w:rsidR="002A212C" w:rsidRPr="002E0607" w:rsidRDefault="002A212C" w:rsidP="002E0607">
            <w:pPr>
              <w:pStyle w:val="NoSpacing"/>
              <w:jc w:val="center"/>
              <w:rPr>
                <w:rFonts w:ascii="Times New Roman" w:hAnsi="Times New Roman" w:cs="Times New Roman"/>
                <w:szCs w:val="24"/>
              </w:rPr>
            </w:pPr>
            <w:r w:rsidRPr="002E0607">
              <w:rPr>
                <w:rFonts w:ascii="Times New Roman" w:hAnsi="Times New Roman" w:cs="Times New Roman"/>
                <w:szCs w:val="24"/>
              </w:rPr>
              <w:t>416 (16.0)</w:t>
            </w:r>
          </w:p>
        </w:tc>
      </w:tr>
      <w:tr w:rsidR="002A212C" w:rsidRPr="002E0607" w14:paraId="1D32C1BD" w14:textId="77777777" w:rsidTr="002E0607">
        <w:trPr>
          <w:trHeight w:val="495"/>
        </w:trPr>
        <w:tc>
          <w:tcPr>
            <w:tcW w:w="0" w:type="auto"/>
            <w:vAlign w:val="center"/>
            <w:hideMark/>
          </w:tcPr>
          <w:p w14:paraId="4050F05F" w14:textId="77777777" w:rsidR="002A212C" w:rsidRPr="002E0607" w:rsidRDefault="002A212C" w:rsidP="002E0607">
            <w:pPr>
              <w:pStyle w:val="NoSpacing"/>
              <w:rPr>
                <w:rFonts w:ascii="Times New Roman" w:hAnsi="Times New Roman" w:cs="Times New Roman"/>
                <w:szCs w:val="24"/>
              </w:rPr>
            </w:pPr>
            <w:r w:rsidRPr="002E0607">
              <w:rPr>
                <w:rFonts w:ascii="Times New Roman" w:hAnsi="Times New Roman" w:cs="Times New Roman"/>
                <w:szCs w:val="24"/>
              </w:rPr>
              <w:t>Mysore</w:t>
            </w:r>
          </w:p>
        </w:tc>
        <w:tc>
          <w:tcPr>
            <w:tcW w:w="0" w:type="auto"/>
            <w:vAlign w:val="center"/>
            <w:hideMark/>
          </w:tcPr>
          <w:p w14:paraId="7C223710" w14:textId="77777777" w:rsidR="002A212C" w:rsidRPr="002E0607" w:rsidRDefault="002A212C" w:rsidP="002E0607">
            <w:pPr>
              <w:pStyle w:val="NoSpacing"/>
              <w:jc w:val="center"/>
              <w:rPr>
                <w:rFonts w:ascii="Times New Roman" w:hAnsi="Times New Roman" w:cs="Times New Roman"/>
                <w:szCs w:val="24"/>
              </w:rPr>
            </w:pPr>
            <w:r w:rsidRPr="002E0607">
              <w:rPr>
                <w:rFonts w:ascii="Times New Roman" w:hAnsi="Times New Roman" w:cs="Times New Roman"/>
                <w:szCs w:val="24"/>
              </w:rPr>
              <w:t>111 (4.5)</w:t>
            </w:r>
          </w:p>
        </w:tc>
        <w:tc>
          <w:tcPr>
            <w:tcW w:w="0" w:type="auto"/>
            <w:vAlign w:val="center"/>
            <w:hideMark/>
          </w:tcPr>
          <w:p w14:paraId="47A756C0" w14:textId="77777777" w:rsidR="002A212C" w:rsidRPr="002E0607" w:rsidRDefault="002A212C" w:rsidP="002E0607">
            <w:pPr>
              <w:pStyle w:val="NoSpacing"/>
              <w:jc w:val="center"/>
              <w:rPr>
                <w:rFonts w:ascii="Times New Roman" w:hAnsi="Times New Roman" w:cs="Times New Roman"/>
                <w:szCs w:val="24"/>
              </w:rPr>
            </w:pPr>
            <w:r w:rsidRPr="002E0607">
              <w:rPr>
                <w:rFonts w:ascii="Times New Roman" w:hAnsi="Times New Roman" w:cs="Times New Roman"/>
                <w:szCs w:val="24"/>
              </w:rPr>
              <w:t>134 (4.8)</w:t>
            </w:r>
          </w:p>
        </w:tc>
        <w:tc>
          <w:tcPr>
            <w:tcW w:w="0" w:type="auto"/>
            <w:vAlign w:val="center"/>
            <w:hideMark/>
          </w:tcPr>
          <w:p w14:paraId="79B7D9FD" w14:textId="77777777" w:rsidR="002A212C" w:rsidRPr="002E0607" w:rsidRDefault="002A212C" w:rsidP="002E0607">
            <w:pPr>
              <w:pStyle w:val="NoSpacing"/>
              <w:jc w:val="center"/>
              <w:rPr>
                <w:rFonts w:ascii="Times New Roman" w:hAnsi="Times New Roman" w:cs="Times New Roman"/>
                <w:szCs w:val="24"/>
              </w:rPr>
            </w:pPr>
            <w:r w:rsidRPr="002E0607">
              <w:rPr>
                <w:rFonts w:ascii="Times New Roman" w:hAnsi="Times New Roman" w:cs="Times New Roman"/>
                <w:szCs w:val="24"/>
              </w:rPr>
              <w:t>129 (5.0)</w:t>
            </w:r>
          </w:p>
        </w:tc>
      </w:tr>
      <w:tr w:rsidR="002A212C" w:rsidRPr="002E0607" w14:paraId="5FA5E32F" w14:textId="77777777" w:rsidTr="002E0607">
        <w:trPr>
          <w:trHeight w:val="525"/>
        </w:trPr>
        <w:tc>
          <w:tcPr>
            <w:tcW w:w="0" w:type="auto"/>
            <w:vAlign w:val="center"/>
            <w:hideMark/>
          </w:tcPr>
          <w:p w14:paraId="3F3F28D5" w14:textId="77777777" w:rsidR="002A212C" w:rsidRPr="002E0607" w:rsidRDefault="002A212C" w:rsidP="002E0607">
            <w:pPr>
              <w:pStyle w:val="NoSpacing"/>
              <w:rPr>
                <w:rFonts w:ascii="Times New Roman" w:hAnsi="Times New Roman" w:cs="Times New Roman"/>
                <w:szCs w:val="24"/>
              </w:rPr>
            </w:pPr>
            <w:r w:rsidRPr="002E0607">
              <w:rPr>
                <w:rFonts w:ascii="Times New Roman" w:hAnsi="Times New Roman" w:cs="Times New Roman"/>
                <w:szCs w:val="24"/>
              </w:rPr>
              <w:t>Orissa</w:t>
            </w:r>
          </w:p>
        </w:tc>
        <w:tc>
          <w:tcPr>
            <w:tcW w:w="0" w:type="auto"/>
            <w:vAlign w:val="center"/>
            <w:hideMark/>
          </w:tcPr>
          <w:p w14:paraId="750E3D8E" w14:textId="77777777" w:rsidR="002A212C" w:rsidRPr="002E0607" w:rsidRDefault="002A212C" w:rsidP="002E0607">
            <w:pPr>
              <w:pStyle w:val="NoSpacing"/>
              <w:jc w:val="center"/>
              <w:rPr>
                <w:rFonts w:ascii="Times New Roman" w:hAnsi="Times New Roman" w:cs="Times New Roman"/>
                <w:szCs w:val="24"/>
              </w:rPr>
            </w:pPr>
            <w:r w:rsidRPr="002E0607">
              <w:rPr>
                <w:rFonts w:ascii="Times New Roman" w:hAnsi="Times New Roman" w:cs="Times New Roman"/>
                <w:szCs w:val="24"/>
              </w:rPr>
              <w:t>51 (2.1)</w:t>
            </w:r>
          </w:p>
        </w:tc>
        <w:tc>
          <w:tcPr>
            <w:tcW w:w="0" w:type="auto"/>
            <w:vAlign w:val="center"/>
            <w:hideMark/>
          </w:tcPr>
          <w:p w14:paraId="3E5C6A0C" w14:textId="77777777" w:rsidR="002A212C" w:rsidRPr="002E0607" w:rsidRDefault="002A212C" w:rsidP="002E0607">
            <w:pPr>
              <w:pStyle w:val="NoSpacing"/>
              <w:jc w:val="center"/>
              <w:rPr>
                <w:rFonts w:ascii="Times New Roman" w:hAnsi="Times New Roman" w:cs="Times New Roman"/>
                <w:szCs w:val="24"/>
              </w:rPr>
            </w:pPr>
            <w:r w:rsidRPr="002E0607">
              <w:rPr>
                <w:rFonts w:ascii="Times New Roman" w:hAnsi="Times New Roman" w:cs="Times New Roman"/>
                <w:szCs w:val="24"/>
              </w:rPr>
              <w:t>56 (2.0)</w:t>
            </w:r>
          </w:p>
        </w:tc>
        <w:tc>
          <w:tcPr>
            <w:tcW w:w="0" w:type="auto"/>
            <w:vAlign w:val="center"/>
            <w:hideMark/>
          </w:tcPr>
          <w:p w14:paraId="7A5D12C4" w14:textId="77777777" w:rsidR="002A212C" w:rsidRPr="002E0607" w:rsidRDefault="002A212C" w:rsidP="002E0607">
            <w:pPr>
              <w:pStyle w:val="NoSpacing"/>
              <w:jc w:val="center"/>
              <w:rPr>
                <w:rFonts w:ascii="Times New Roman" w:hAnsi="Times New Roman" w:cs="Times New Roman"/>
                <w:szCs w:val="24"/>
              </w:rPr>
            </w:pPr>
            <w:r w:rsidRPr="002E0607">
              <w:rPr>
                <w:rFonts w:ascii="Times New Roman" w:hAnsi="Times New Roman" w:cs="Times New Roman"/>
                <w:szCs w:val="24"/>
              </w:rPr>
              <w:t>58 (2.2)</w:t>
            </w:r>
          </w:p>
        </w:tc>
      </w:tr>
      <w:tr w:rsidR="002A212C" w:rsidRPr="002E0607" w14:paraId="31728CD6" w14:textId="77777777" w:rsidTr="002E0607">
        <w:trPr>
          <w:trHeight w:val="495"/>
        </w:trPr>
        <w:tc>
          <w:tcPr>
            <w:tcW w:w="0" w:type="auto"/>
            <w:vAlign w:val="center"/>
            <w:hideMark/>
          </w:tcPr>
          <w:p w14:paraId="7A09772F" w14:textId="3BFCF926" w:rsidR="002A212C" w:rsidRPr="002E0607" w:rsidRDefault="002A212C" w:rsidP="002E0607">
            <w:pPr>
              <w:pStyle w:val="NoSpacing"/>
              <w:rPr>
                <w:rFonts w:ascii="Times New Roman" w:hAnsi="Times New Roman" w:cs="Times New Roman"/>
                <w:szCs w:val="24"/>
              </w:rPr>
            </w:pPr>
            <w:r w:rsidRPr="002E0607">
              <w:rPr>
                <w:rFonts w:ascii="Times New Roman" w:hAnsi="Times New Roman" w:cs="Times New Roman"/>
                <w:szCs w:val="24"/>
              </w:rPr>
              <w:t>Punjab</w:t>
            </w:r>
          </w:p>
        </w:tc>
        <w:tc>
          <w:tcPr>
            <w:tcW w:w="0" w:type="auto"/>
            <w:vAlign w:val="center"/>
            <w:hideMark/>
          </w:tcPr>
          <w:p w14:paraId="582E429B" w14:textId="72EEED3C" w:rsidR="002A212C" w:rsidRPr="002E0607" w:rsidRDefault="002A212C" w:rsidP="002E0607">
            <w:pPr>
              <w:pStyle w:val="NoSpacing"/>
              <w:jc w:val="center"/>
              <w:rPr>
                <w:rFonts w:ascii="Times New Roman" w:hAnsi="Times New Roman" w:cs="Times New Roman"/>
                <w:szCs w:val="24"/>
              </w:rPr>
            </w:pPr>
            <w:r w:rsidRPr="002E0607">
              <w:rPr>
                <w:rFonts w:ascii="Times New Roman" w:hAnsi="Times New Roman" w:cs="Times New Roman"/>
                <w:szCs w:val="24"/>
              </w:rPr>
              <w:t>169</w:t>
            </w:r>
            <w:r w:rsidR="001517FA" w:rsidRPr="002E0607">
              <w:rPr>
                <w:rFonts w:ascii="Times New Roman" w:hAnsi="Times New Roman" w:cs="Times New Roman"/>
                <w:szCs w:val="24"/>
              </w:rPr>
              <w:t>***</w:t>
            </w:r>
            <w:r w:rsidRPr="002E0607">
              <w:rPr>
                <w:rFonts w:ascii="Times New Roman" w:hAnsi="Times New Roman" w:cs="Times New Roman"/>
                <w:szCs w:val="24"/>
              </w:rPr>
              <w:t xml:space="preserve"> (7.3)</w:t>
            </w:r>
          </w:p>
        </w:tc>
        <w:tc>
          <w:tcPr>
            <w:tcW w:w="0" w:type="auto"/>
            <w:vAlign w:val="center"/>
            <w:hideMark/>
          </w:tcPr>
          <w:p w14:paraId="01BE09F5" w14:textId="53100D1C" w:rsidR="002A212C" w:rsidRPr="002E0607" w:rsidRDefault="002A212C" w:rsidP="002E0607">
            <w:pPr>
              <w:pStyle w:val="NoSpacing"/>
              <w:jc w:val="center"/>
              <w:rPr>
                <w:rFonts w:ascii="Times New Roman" w:hAnsi="Times New Roman" w:cs="Times New Roman"/>
                <w:szCs w:val="24"/>
              </w:rPr>
            </w:pPr>
            <w:r w:rsidRPr="002E0607">
              <w:rPr>
                <w:rFonts w:ascii="Times New Roman" w:hAnsi="Times New Roman" w:cs="Times New Roman"/>
                <w:szCs w:val="24"/>
              </w:rPr>
              <w:t>196</w:t>
            </w:r>
            <w:r w:rsidR="001517FA" w:rsidRPr="002E0607">
              <w:rPr>
                <w:rFonts w:ascii="Times New Roman" w:hAnsi="Times New Roman" w:cs="Times New Roman"/>
                <w:szCs w:val="24"/>
              </w:rPr>
              <w:t>***</w:t>
            </w:r>
            <w:r w:rsidRPr="002E0607">
              <w:rPr>
                <w:rFonts w:ascii="Times New Roman" w:hAnsi="Times New Roman" w:cs="Times New Roman"/>
                <w:szCs w:val="24"/>
              </w:rPr>
              <w:t xml:space="preserve"> (7.1)</w:t>
            </w:r>
          </w:p>
        </w:tc>
        <w:tc>
          <w:tcPr>
            <w:tcW w:w="0" w:type="auto"/>
            <w:vAlign w:val="center"/>
            <w:hideMark/>
          </w:tcPr>
          <w:p w14:paraId="7290A0B7" w14:textId="29D3BDD2" w:rsidR="002A212C" w:rsidRPr="002E0607" w:rsidRDefault="002A212C" w:rsidP="002E0607">
            <w:pPr>
              <w:pStyle w:val="NoSpacing"/>
              <w:jc w:val="center"/>
              <w:rPr>
                <w:rFonts w:ascii="Times New Roman" w:hAnsi="Times New Roman" w:cs="Times New Roman"/>
                <w:szCs w:val="24"/>
              </w:rPr>
            </w:pPr>
            <w:r w:rsidRPr="002E0607">
              <w:rPr>
                <w:rFonts w:ascii="Times New Roman" w:hAnsi="Times New Roman" w:cs="Times New Roman"/>
                <w:szCs w:val="24"/>
              </w:rPr>
              <w:t>171</w:t>
            </w:r>
            <w:r w:rsidR="001517FA" w:rsidRPr="002E0607">
              <w:rPr>
                <w:rFonts w:ascii="Times New Roman" w:hAnsi="Times New Roman" w:cs="Times New Roman"/>
                <w:szCs w:val="24"/>
              </w:rPr>
              <w:t>***</w:t>
            </w:r>
            <w:r w:rsidRPr="002E0607">
              <w:rPr>
                <w:rFonts w:ascii="Times New Roman" w:hAnsi="Times New Roman" w:cs="Times New Roman"/>
                <w:szCs w:val="24"/>
              </w:rPr>
              <w:t xml:space="preserve"> (6.6)</w:t>
            </w:r>
          </w:p>
        </w:tc>
      </w:tr>
      <w:tr w:rsidR="002A212C" w:rsidRPr="002E0607" w14:paraId="555C62FB" w14:textId="77777777" w:rsidTr="002E0607">
        <w:trPr>
          <w:trHeight w:val="525"/>
        </w:trPr>
        <w:tc>
          <w:tcPr>
            <w:tcW w:w="0" w:type="auto"/>
            <w:vAlign w:val="center"/>
            <w:hideMark/>
          </w:tcPr>
          <w:p w14:paraId="1291BDFE" w14:textId="77777777" w:rsidR="002A212C" w:rsidRPr="002E0607" w:rsidRDefault="002A212C" w:rsidP="002E0607">
            <w:pPr>
              <w:pStyle w:val="NoSpacing"/>
              <w:rPr>
                <w:rFonts w:ascii="Times New Roman" w:hAnsi="Times New Roman" w:cs="Times New Roman"/>
                <w:szCs w:val="24"/>
              </w:rPr>
            </w:pPr>
            <w:r w:rsidRPr="002E0607">
              <w:rPr>
                <w:rFonts w:ascii="Times New Roman" w:hAnsi="Times New Roman" w:cs="Times New Roman"/>
                <w:szCs w:val="24"/>
              </w:rPr>
              <w:t>Rajasthan</w:t>
            </w:r>
          </w:p>
        </w:tc>
        <w:tc>
          <w:tcPr>
            <w:tcW w:w="0" w:type="auto"/>
            <w:vAlign w:val="center"/>
            <w:hideMark/>
          </w:tcPr>
          <w:p w14:paraId="7C32815A" w14:textId="77777777" w:rsidR="002A212C" w:rsidRPr="002E0607" w:rsidRDefault="002A212C" w:rsidP="002E0607">
            <w:pPr>
              <w:pStyle w:val="NoSpacing"/>
              <w:jc w:val="center"/>
              <w:rPr>
                <w:rFonts w:ascii="Times New Roman" w:hAnsi="Times New Roman" w:cs="Times New Roman"/>
                <w:szCs w:val="24"/>
              </w:rPr>
            </w:pPr>
            <w:r w:rsidRPr="002E0607">
              <w:rPr>
                <w:rFonts w:ascii="Times New Roman" w:hAnsi="Times New Roman" w:cs="Times New Roman"/>
                <w:szCs w:val="24"/>
              </w:rPr>
              <w:t>89 (3.6)</w:t>
            </w:r>
          </w:p>
        </w:tc>
        <w:tc>
          <w:tcPr>
            <w:tcW w:w="0" w:type="auto"/>
            <w:vAlign w:val="center"/>
            <w:hideMark/>
          </w:tcPr>
          <w:p w14:paraId="38994FDC" w14:textId="77777777" w:rsidR="002A212C" w:rsidRPr="002E0607" w:rsidRDefault="002A212C" w:rsidP="002E0607">
            <w:pPr>
              <w:pStyle w:val="NoSpacing"/>
              <w:jc w:val="center"/>
              <w:rPr>
                <w:rFonts w:ascii="Times New Roman" w:hAnsi="Times New Roman" w:cs="Times New Roman"/>
                <w:szCs w:val="24"/>
              </w:rPr>
            </w:pPr>
            <w:r w:rsidRPr="002E0607">
              <w:rPr>
                <w:rFonts w:ascii="Times New Roman" w:hAnsi="Times New Roman" w:cs="Times New Roman"/>
                <w:szCs w:val="24"/>
              </w:rPr>
              <w:t>101 (3.6)</w:t>
            </w:r>
          </w:p>
        </w:tc>
        <w:tc>
          <w:tcPr>
            <w:tcW w:w="0" w:type="auto"/>
            <w:vAlign w:val="center"/>
            <w:hideMark/>
          </w:tcPr>
          <w:p w14:paraId="6C996FA1" w14:textId="77777777" w:rsidR="002A212C" w:rsidRPr="002E0607" w:rsidRDefault="002A212C" w:rsidP="002E0607">
            <w:pPr>
              <w:pStyle w:val="NoSpacing"/>
              <w:jc w:val="center"/>
              <w:rPr>
                <w:rFonts w:ascii="Times New Roman" w:hAnsi="Times New Roman" w:cs="Times New Roman"/>
                <w:szCs w:val="24"/>
              </w:rPr>
            </w:pPr>
            <w:r w:rsidRPr="002E0607">
              <w:rPr>
                <w:rFonts w:ascii="Times New Roman" w:hAnsi="Times New Roman" w:cs="Times New Roman"/>
                <w:szCs w:val="24"/>
              </w:rPr>
              <w:t>93 (3.6)</w:t>
            </w:r>
          </w:p>
        </w:tc>
      </w:tr>
      <w:tr w:rsidR="002A212C" w:rsidRPr="002E0607" w14:paraId="4B22C3BC" w14:textId="77777777" w:rsidTr="002E0607">
        <w:trPr>
          <w:trHeight w:val="525"/>
        </w:trPr>
        <w:tc>
          <w:tcPr>
            <w:tcW w:w="0" w:type="auto"/>
            <w:vAlign w:val="center"/>
            <w:hideMark/>
          </w:tcPr>
          <w:p w14:paraId="544E1BD0" w14:textId="77777777" w:rsidR="002A212C" w:rsidRPr="002E0607" w:rsidRDefault="002A212C" w:rsidP="002E0607">
            <w:pPr>
              <w:pStyle w:val="NoSpacing"/>
              <w:rPr>
                <w:rFonts w:ascii="Times New Roman" w:hAnsi="Times New Roman" w:cs="Times New Roman"/>
                <w:szCs w:val="24"/>
              </w:rPr>
            </w:pPr>
            <w:r w:rsidRPr="002E0607">
              <w:rPr>
                <w:rFonts w:ascii="Times New Roman" w:hAnsi="Times New Roman" w:cs="Times New Roman"/>
                <w:szCs w:val="24"/>
              </w:rPr>
              <w:t>Tamil Nadu</w:t>
            </w:r>
          </w:p>
        </w:tc>
        <w:tc>
          <w:tcPr>
            <w:tcW w:w="0" w:type="auto"/>
            <w:vAlign w:val="center"/>
            <w:hideMark/>
          </w:tcPr>
          <w:p w14:paraId="538DD23A" w14:textId="77777777" w:rsidR="002A212C" w:rsidRPr="002E0607" w:rsidRDefault="002A212C" w:rsidP="002E0607">
            <w:pPr>
              <w:pStyle w:val="NoSpacing"/>
              <w:jc w:val="center"/>
              <w:rPr>
                <w:rFonts w:ascii="Times New Roman" w:hAnsi="Times New Roman" w:cs="Times New Roman"/>
                <w:szCs w:val="24"/>
              </w:rPr>
            </w:pPr>
            <w:r w:rsidRPr="002E0607">
              <w:rPr>
                <w:rFonts w:ascii="Times New Roman" w:hAnsi="Times New Roman" w:cs="Times New Roman"/>
                <w:szCs w:val="24"/>
              </w:rPr>
              <w:t>140 (5.7)</w:t>
            </w:r>
          </w:p>
        </w:tc>
        <w:tc>
          <w:tcPr>
            <w:tcW w:w="0" w:type="auto"/>
            <w:vAlign w:val="center"/>
            <w:hideMark/>
          </w:tcPr>
          <w:p w14:paraId="02C6E8D8" w14:textId="77777777" w:rsidR="002A212C" w:rsidRPr="002E0607" w:rsidRDefault="002A212C" w:rsidP="002E0607">
            <w:pPr>
              <w:pStyle w:val="NoSpacing"/>
              <w:jc w:val="center"/>
              <w:rPr>
                <w:rFonts w:ascii="Times New Roman" w:hAnsi="Times New Roman" w:cs="Times New Roman"/>
                <w:szCs w:val="24"/>
              </w:rPr>
            </w:pPr>
            <w:r w:rsidRPr="002E0607">
              <w:rPr>
                <w:rFonts w:ascii="Times New Roman" w:hAnsi="Times New Roman" w:cs="Times New Roman"/>
                <w:szCs w:val="24"/>
              </w:rPr>
              <w:t>172 (6.2)</w:t>
            </w:r>
          </w:p>
        </w:tc>
        <w:tc>
          <w:tcPr>
            <w:tcW w:w="0" w:type="auto"/>
            <w:vAlign w:val="center"/>
            <w:hideMark/>
          </w:tcPr>
          <w:p w14:paraId="23DF5DEB" w14:textId="77777777" w:rsidR="002A212C" w:rsidRPr="002E0607" w:rsidRDefault="002A212C" w:rsidP="002E0607">
            <w:pPr>
              <w:pStyle w:val="NoSpacing"/>
              <w:jc w:val="center"/>
              <w:rPr>
                <w:rFonts w:ascii="Times New Roman" w:hAnsi="Times New Roman" w:cs="Times New Roman"/>
                <w:szCs w:val="24"/>
              </w:rPr>
            </w:pPr>
            <w:r w:rsidRPr="002E0607">
              <w:rPr>
                <w:rFonts w:ascii="Times New Roman" w:hAnsi="Times New Roman" w:cs="Times New Roman"/>
                <w:szCs w:val="24"/>
              </w:rPr>
              <w:t>168 (6.5)</w:t>
            </w:r>
          </w:p>
        </w:tc>
      </w:tr>
      <w:tr w:rsidR="002A212C" w:rsidRPr="002E0607" w14:paraId="269F7F59" w14:textId="77777777" w:rsidTr="002E0607">
        <w:trPr>
          <w:trHeight w:val="495"/>
        </w:trPr>
        <w:tc>
          <w:tcPr>
            <w:tcW w:w="0" w:type="auto"/>
            <w:vAlign w:val="center"/>
            <w:hideMark/>
          </w:tcPr>
          <w:p w14:paraId="0FBBD918" w14:textId="77777777" w:rsidR="002A212C" w:rsidRPr="002E0607" w:rsidRDefault="002A212C" w:rsidP="002E0607">
            <w:pPr>
              <w:pStyle w:val="NoSpacing"/>
              <w:rPr>
                <w:rFonts w:ascii="Times New Roman" w:hAnsi="Times New Roman" w:cs="Times New Roman"/>
                <w:szCs w:val="24"/>
              </w:rPr>
            </w:pPr>
            <w:r w:rsidRPr="002E0607">
              <w:rPr>
                <w:rFonts w:ascii="Times New Roman" w:hAnsi="Times New Roman" w:cs="Times New Roman"/>
                <w:szCs w:val="24"/>
              </w:rPr>
              <w:t>Uttar Pradesh</w:t>
            </w:r>
          </w:p>
        </w:tc>
        <w:tc>
          <w:tcPr>
            <w:tcW w:w="0" w:type="auto"/>
            <w:vAlign w:val="center"/>
            <w:hideMark/>
          </w:tcPr>
          <w:p w14:paraId="3484205F" w14:textId="77777777" w:rsidR="002A212C" w:rsidRPr="002E0607" w:rsidRDefault="002A212C" w:rsidP="002E0607">
            <w:pPr>
              <w:pStyle w:val="NoSpacing"/>
              <w:jc w:val="center"/>
              <w:rPr>
                <w:rFonts w:ascii="Times New Roman" w:hAnsi="Times New Roman" w:cs="Times New Roman"/>
                <w:szCs w:val="24"/>
              </w:rPr>
            </w:pPr>
            <w:r w:rsidRPr="002E0607">
              <w:rPr>
                <w:rFonts w:ascii="Times New Roman" w:hAnsi="Times New Roman" w:cs="Times New Roman"/>
                <w:szCs w:val="24"/>
              </w:rPr>
              <w:t>279 (11.4)</w:t>
            </w:r>
          </w:p>
        </w:tc>
        <w:tc>
          <w:tcPr>
            <w:tcW w:w="0" w:type="auto"/>
            <w:vAlign w:val="center"/>
            <w:hideMark/>
          </w:tcPr>
          <w:p w14:paraId="4BDAAE42" w14:textId="77777777" w:rsidR="002A212C" w:rsidRPr="002E0607" w:rsidRDefault="002A212C" w:rsidP="002E0607">
            <w:pPr>
              <w:pStyle w:val="NoSpacing"/>
              <w:jc w:val="center"/>
              <w:rPr>
                <w:rFonts w:ascii="Times New Roman" w:hAnsi="Times New Roman" w:cs="Times New Roman"/>
                <w:szCs w:val="24"/>
              </w:rPr>
            </w:pPr>
            <w:r w:rsidRPr="002E0607">
              <w:rPr>
                <w:rFonts w:ascii="Times New Roman" w:hAnsi="Times New Roman" w:cs="Times New Roman"/>
                <w:szCs w:val="24"/>
              </w:rPr>
              <w:t>327 (11.8)</w:t>
            </w:r>
          </w:p>
        </w:tc>
        <w:tc>
          <w:tcPr>
            <w:tcW w:w="0" w:type="auto"/>
            <w:vAlign w:val="center"/>
            <w:hideMark/>
          </w:tcPr>
          <w:p w14:paraId="1F5BFA56" w14:textId="77777777" w:rsidR="002A212C" w:rsidRPr="002E0607" w:rsidRDefault="002A212C" w:rsidP="002E0607">
            <w:pPr>
              <w:pStyle w:val="NoSpacing"/>
              <w:jc w:val="center"/>
              <w:rPr>
                <w:rFonts w:ascii="Times New Roman" w:hAnsi="Times New Roman" w:cs="Times New Roman"/>
                <w:szCs w:val="24"/>
              </w:rPr>
            </w:pPr>
            <w:r w:rsidRPr="002E0607">
              <w:rPr>
                <w:rFonts w:ascii="Times New Roman" w:hAnsi="Times New Roman" w:cs="Times New Roman"/>
                <w:szCs w:val="24"/>
              </w:rPr>
              <w:t>288 (11.2)</w:t>
            </w:r>
          </w:p>
        </w:tc>
      </w:tr>
      <w:tr w:rsidR="002A212C" w:rsidRPr="002E0607" w14:paraId="7D89F52A" w14:textId="77777777" w:rsidTr="002E0607">
        <w:trPr>
          <w:trHeight w:val="525"/>
        </w:trPr>
        <w:tc>
          <w:tcPr>
            <w:tcW w:w="0" w:type="auto"/>
            <w:vAlign w:val="center"/>
            <w:hideMark/>
          </w:tcPr>
          <w:p w14:paraId="4FE54575" w14:textId="77777777" w:rsidR="002A212C" w:rsidRPr="002E0607" w:rsidRDefault="002A212C" w:rsidP="002E0607">
            <w:pPr>
              <w:pStyle w:val="NoSpacing"/>
              <w:rPr>
                <w:rFonts w:ascii="Times New Roman" w:hAnsi="Times New Roman" w:cs="Times New Roman"/>
                <w:szCs w:val="24"/>
              </w:rPr>
            </w:pPr>
            <w:r w:rsidRPr="002E0607">
              <w:rPr>
                <w:rFonts w:ascii="Times New Roman" w:hAnsi="Times New Roman" w:cs="Times New Roman"/>
                <w:szCs w:val="24"/>
              </w:rPr>
              <w:t>West Bengal</w:t>
            </w:r>
          </w:p>
        </w:tc>
        <w:tc>
          <w:tcPr>
            <w:tcW w:w="0" w:type="auto"/>
            <w:vAlign w:val="center"/>
            <w:hideMark/>
          </w:tcPr>
          <w:p w14:paraId="29A68853" w14:textId="77777777" w:rsidR="002A212C" w:rsidRPr="002E0607" w:rsidRDefault="002A212C" w:rsidP="002E0607">
            <w:pPr>
              <w:pStyle w:val="NoSpacing"/>
              <w:jc w:val="center"/>
              <w:rPr>
                <w:rFonts w:ascii="Times New Roman" w:hAnsi="Times New Roman" w:cs="Times New Roman"/>
                <w:szCs w:val="24"/>
              </w:rPr>
            </w:pPr>
            <w:r w:rsidRPr="002E0607">
              <w:rPr>
                <w:rFonts w:ascii="Times New Roman" w:hAnsi="Times New Roman" w:cs="Times New Roman"/>
                <w:szCs w:val="24"/>
              </w:rPr>
              <w:t>265 (10.9)</w:t>
            </w:r>
          </w:p>
        </w:tc>
        <w:tc>
          <w:tcPr>
            <w:tcW w:w="0" w:type="auto"/>
            <w:vAlign w:val="center"/>
            <w:hideMark/>
          </w:tcPr>
          <w:p w14:paraId="74C8A46D" w14:textId="77777777" w:rsidR="002A212C" w:rsidRPr="002E0607" w:rsidRDefault="002A212C" w:rsidP="002E0607">
            <w:pPr>
              <w:pStyle w:val="NoSpacing"/>
              <w:jc w:val="center"/>
              <w:rPr>
                <w:rFonts w:ascii="Times New Roman" w:hAnsi="Times New Roman" w:cs="Times New Roman"/>
                <w:szCs w:val="24"/>
              </w:rPr>
            </w:pPr>
            <w:r w:rsidRPr="002E0607">
              <w:rPr>
                <w:rFonts w:ascii="Times New Roman" w:hAnsi="Times New Roman" w:cs="Times New Roman"/>
                <w:szCs w:val="24"/>
              </w:rPr>
              <w:t>298 (10.7)</w:t>
            </w:r>
          </w:p>
        </w:tc>
        <w:tc>
          <w:tcPr>
            <w:tcW w:w="0" w:type="auto"/>
            <w:vAlign w:val="center"/>
            <w:hideMark/>
          </w:tcPr>
          <w:p w14:paraId="5058E65A" w14:textId="77777777" w:rsidR="002A212C" w:rsidRPr="002E0607" w:rsidRDefault="002A212C" w:rsidP="002E0607">
            <w:pPr>
              <w:pStyle w:val="NoSpacing"/>
              <w:jc w:val="center"/>
              <w:rPr>
                <w:rFonts w:ascii="Times New Roman" w:hAnsi="Times New Roman" w:cs="Times New Roman"/>
                <w:szCs w:val="24"/>
              </w:rPr>
            </w:pPr>
            <w:r w:rsidRPr="002E0607">
              <w:rPr>
                <w:rFonts w:ascii="Times New Roman" w:hAnsi="Times New Roman" w:cs="Times New Roman"/>
                <w:szCs w:val="24"/>
              </w:rPr>
              <w:t>276 (10.6)</w:t>
            </w:r>
          </w:p>
        </w:tc>
      </w:tr>
      <w:tr w:rsidR="002A212C" w:rsidRPr="002E0607" w14:paraId="40A52911" w14:textId="77777777" w:rsidTr="002E0607">
        <w:trPr>
          <w:trHeight w:val="495"/>
        </w:trPr>
        <w:tc>
          <w:tcPr>
            <w:tcW w:w="0" w:type="auto"/>
            <w:vAlign w:val="center"/>
            <w:hideMark/>
          </w:tcPr>
          <w:p w14:paraId="308F50BB" w14:textId="77777777" w:rsidR="002A212C" w:rsidRPr="002E0607" w:rsidRDefault="002A212C" w:rsidP="002E0607">
            <w:pPr>
              <w:pStyle w:val="NoSpacing"/>
              <w:rPr>
                <w:rFonts w:ascii="Times New Roman" w:hAnsi="Times New Roman" w:cs="Times New Roman"/>
                <w:szCs w:val="24"/>
              </w:rPr>
            </w:pPr>
            <w:r w:rsidRPr="002E0607">
              <w:rPr>
                <w:rFonts w:ascii="Times New Roman" w:hAnsi="Times New Roman" w:cs="Times New Roman"/>
                <w:szCs w:val="24"/>
              </w:rPr>
              <w:t>Union Territories</w:t>
            </w:r>
          </w:p>
        </w:tc>
        <w:tc>
          <w:tcPr>
            <w:tcW w:w="0" w:type="auto"/>
            <w:vAlign w:val="center"/>
            <w:hideMark/>
          </w:tcPr>
          <w:p w14:paraId="0518F52C" w14:textId="77777777" w:rsidR="002A212C" w:rsidRPr="002E0607" w:rsidRDefault="002A212C" w:rsidP="002E0607">
            <w:pPr>
              <w:pStyle w:val="NoSpacing"/>
              <w:jc w:val="center"/>
              <w:rPr>
                <w:rFonts w:ascii="Times New Roman" w:hAnsi="Times New Roman" w:cs="Times New Roman"/>
                <w:szCs w:val="24"/>
              </w:rPr>
            </w:pPr>
            <w:r w:rsidRPr="002E0607">
              <w:rPr>
                <w:rFonts w:ascii="Times New Roman" w:hAnsi="Times New Roman" w:cs="Times New Roman"/>
                <w:szCs w:val="24"/>
              </w:rPr>
              <w:t>100 (4.3)</w:t>
            </w:r>
          </w:p>
        </w:tc>
        <w:tc>
          <w:tcPr>
            <w:tcW w:w="0" w:type="auto"/>
            <w:vAlign w:val="center"/>
            <w:hideMark/>
          </w:tcPr>
          <w:p w14:paraId="2982474B" w14:textId="77777777" w:rsidR="002A212C" w:rsidRPr="002E0607" w:rsidRDefault="002A212C" w:rsidP="002E0607">
            <w:pPr>
              <w:pStyle w:val="NoSpacing"/>
              <w:jc w:val="center"/>
              <w:rPr>
                <w:rFonts w:ascii="Times New Roman" w:hAnsi="Times New Roman" w:cs="Times New Roman"/>
                <w:szCs w:val="24"/>
              </w:rPr>
            </w:pPr>
            <w:r w:rsidRPr="002E0607">
              <w:rPr>
                <w:rFonts w:ascii="Times New Roman" w:hAnsi="Times New Roman" w:cs="Times New Roman"/>
                <w:szCs w:val="24"/>
              </w:rPr>
              <w:t>116 (4.2)</w:t>
            </w:r>
          </w:p>
        </w:tc>
        <w:tc>
          <w:tcPr>
            <w:tcW w:w="0" w:type="auto"/>
            <w:vAlign w:val="center"/>
            <w:hideMark/>
          </w:tcPr>
          <w:p w14:paraId="05F5C577" w14:textId="77777777" w:rsidR="002A212C" w:rsidRPr="002E0607" w:rsidRDefault="002A212C" w:rsidP="002E0607">
            <w:pPr>
              <w:pStyle w:val="NoSpacing"/>
              <w:jc w:val="center"/>
              <w:rPr>
                <w:rFonts w:ascii="Times New Roman" w:hAnsi="Times New Roman" w:cs="Times New Roman"/>
                <w:szCs w:val="24"/>
              </w:rPr>
            </w:pPr>
            <w:r w:rsidRPr="002E0607">
              <w:rPr>
                <w:rFonts w:ascii="Times New Roman" w:hAnsi="Times New Roman" w:cs="Times New Roman"/>
                <w:szCs w:val="24"/>
              </w:rPr>
              <w:t>121 (4.7)</w:t>
            </w:r>
          </w:p>
        </w:tc>
      </w:tr>
      <w:tr w:rsidR="002A212C" w:rsidRPr="002E0607" w14:paraId="5CFF4CDB" w14:textId="77777777" w:rsidTr="002E0607">
        <w:trPr>
          <w:trHeight w:val="525"/>
        </w:trPr>
        <w:tc>
          <w:tcPr>
            <w:tcW w:w="0" w:type="auto"/>
            <w:vAlign w:val="center"/>
            <w:hideMark/>
          </w:tcPr>
          <w:p w14:paraId="1B254BEB" w14:textId="77777777" w:rsidR="002A212C" w:rsidRPr="002E0607" w:rsidRDefault="002A212C" w:rsidP="002E0607">
            <w:pPr>
              <w:pStyle w:val="NoSpacing"/>
              <w:rPr>
                <w:rFonts w:ascii="Times New Roman" w:hAnsi="Times New Roman" w:cs="Times New Roman"/>
                <w:szCs w:val="24"/>
              </w:rPr>
            </w:pPr>
            <w:r w:rsidRPr="002E0607">
              <w:rPr>
                <w:rFonts w:ascii="Times New Roman" w:hAnsi="Times New Roman" w:cs="Times New Roman"/>
                <w:szCs w:val="24"/>
              </w:rPr>
              <w:t>TOTAL</w:t>
            </w:r>
          </w:p>
        </w:tc>
        <w:tc>
          <w:tcPr>
            <w:tcW w:w="0" w:type="auto"/>
            <w:vAlign w:val="center"/>
            <w:hideMark/>
          </w:tcPr>
          <w:p w14:paraId="00DE2894" w14:textId="77777777" w:rsidR="002A212C" w:rsidRPr="002E0607" w:rsidRDefault="002A212C" w:rsidP="002E0607">
            <w:pPr>
              <w:pStyle w:val="NoSpacing"/>
              <w:jc w:val="center"/>
              <w:rPr>
                <w:rFonts w:ascii="Times New Roman" w:hAnsi="Times New Roman" w:cs="Times New Roman"/>
                <w:szCs w:val="24"/>
              </w:rPr>
            </w:pPr>
            <w:r w:rsidRPr="002E0607">
              <w:rPr>
                <w:rFonts w:ascii="Times New Roman" w:hAnsi="Times New Roman" w:cs="Times New Roman"/>
                <w:szCs w:val="24"/>
              </w:rPr>
              <w:t>2441 (100.0)</w:t>
            </w:r>
          </w:p>
        </w:tc>
        <w:tc>
          <w:tcPr>
            <w:tcW w:w="0" w:type="auto"/>
            <w:vAlign w:val="center"/>
            <w:hideMark/>
          </w:tcPr>
          <w:p w14:paraId="65C75DB3" w14:textId="77777777" w:rsidR="002A212C" w:rsidRPr="002E0607" w:rsidRDefault="002A212C" w:rsidP="002E0607">
            <w:pPr>
              <w:pStyle w:val="NoSpacing"/>
              <w:jc w:val="center"/>
              <w:rPr>
                <w:rFonts w:ascii="Times New Roman" w:hAnsi="Times New Roman" w:cs="Times New Roman"/>
                <w:szCs w:val="24"/>
              </w:rPr>
            </w:pPr>
            <w:r w:rsidRPr="002E0607">
              <w:rPr>
                <w:rFonts w:ascii="Times New Roman" w:hAnsi="Times New Roman" w:cs="Times New Roman"/>
                <w:szCs w:val="24"/>
              </w:rPr>
              <w:t>2779 (100.0)</w:t>
            </w:r>
          </w:p>
        </w:tc>
        <w:tc>
          <w:tcPr>
            <w:tcW w:w="0" w:type="auto"/>
            <w:vAlign w:val="center"/>
            <w:hideMark/>
          </w:tcPr>
          <w:p w14:paraId="2C62951D" w14:textId="77777777" w:rsidR="002A212C" w:rsidRPr="002E0607" w:rsidRDefault="002A212C" w:rsidP="002E0607">
            <w:pPr>
              <w:pStyle w:val="NoSpacing"/>
              <w:jc w:val="center"/>
              <w:rPr>
                <w:rFonts w:ascii="Times New Roman" w:hAnsi="Times New Roman" w:cs="Times New Roman"/>
                <w:szCs w:val="24"/>
              </w:rPr>
            </w:pPr>
            <w:r w:rsidRPr="002E0607">
              <w:rPr>
                <w:rFonts w:ascii="Times New Roman" w:hAnsi="Times New Roman" w:cs="Times New Roman"/>
                <w:szCs w:val="24"/>
              </w:rPr>
              <w:t>2600 (100.0)</w:t>
            </w:r>
          </w:p>
        </w:tc>
      </w:tr>
    </w:tbl>
    <w:p w14:paraId="493446CC" w14:textId="77777777" w:rsidR="002A212C" w:rsidRPr="002E0607" w:rsidRDefault="002A212C" w:rsidP="002A212C">
      <w:pPr>
        <w:spacing w:after="0"/>
        <w:rPr>
          <w:rFonts w:ascii="Times New Roman" w:hAnsi="Times New Roman" w:cs="Times New Roman"/>
          <w:sz w:val="20"/>
          <w:szCs w:val="20"/>
        </w:rPr>
      </w:pPr>
      <w:r w:rsidRPr="002E0607">
        <w:rPr>
          <w:rFonts w:ascii="Times New Roman" w:hAnsi="Times New Roman" w:cs="Times New Roman"/>
          <w:sz w:val="20"/>
          <w:szCs w:val="20"/>
        </w:rPr>
        <w:t>Source: Directorate of sugar and vanaspati.</w:t>
      </w:r>
    </w:p>
    <w:p w14:paraId="758CE6C2" w14:textId="77777777" w:rsidR="002A212C" w:rsidRPr="002E0607" w:rsidRDefault="002A212C" w:rsidP="002A212C">
      <w:pPr>
        <w:spacing w:after="0"/>
        <w:rPr>
          <w:rFonts w:ascii="Times New Roman" w:hAnsi="Times New Roman" w:cs="Times New Roman"/>
          <w:sz w:val="20"/>
          <w:szCs w:val="20"/>
        </w:rPr>
      </w:pPr>
      <w:r w:rsidRPr="002E0607">
        <w:rPr>
          <w:rFonts w:ascii="Times New Roman" w:hAnsi="Times New Roman" w:cs="Times New Roman"/>
          <w:sz w:val="20"/>
          <w:szCs w:val="20"/>
        </w:rPr>
        <w:t>Note: Figures in brackets represent percentages to the total.</w:t>
      </w:r>
    </w:p>
    <w:p w14:paraId="397D9AD6" w14:textId="77777777" w:rsidR="002A212C" w:rsidRPr="002E0607" w:rsidRDefault="002A212C" w:rsidP="002A212C">
      <w:pPr>
        <w:spacing w:after="0"/>
        <w:rPr>
          <w:rFonts w:ascii="Times New Roman" w:hAnsi="Times New Roman" w:cs="Times New Roman"/>
          <w:sz w:val="20"/>
          <w:szCs w:val="20"/>
        </w:rPr>
      </w:pPr>
      <w:r w:rsidRPr="002E0607">
        <w:rPr>
          <w:rFonts w:ascii="Times New Roman" w:hAnsi="Times New Roman" w:cs="Times New Roman"/>
          <w:sz w:val="20"/>
          <w:szCs w:val="20"/>
        </w:rPr>
        <w:t>*Refer to crop year (November to October)</w:t>
      </w:r>
    </w:p>
    <w:p w14:paraId="22A9CF0C" w14:textId="7C0EB52C" w:rsidR="002A212C" w:rsidRPr="002E0607" w:rsidRDefault="002A212C" w:rsidP="002A212C">
      <w:pPr>
        <w:spacing w:after="0"/>
        <w:rPr>
          <w:rFonts w:ascii="Times New Roman" w:hAnsi="Times New Roman" w:cs="Times New Roman"/>
          <w:sz w:val="20"/>
          <w:szCs w:val="20"/>
        </w:rPr>
      </w:pPr>
      <w:r w:rsidRPr="002E0607">
        <w:rPr>
          <w:rFonts w:ascii="Times New Roman" w:hAnsi="Times New Roman" w:cs="Times New Roman"/>
          <w:sz w:val="20"/>
          <w:szCs w:val="20"/>
        </w:rPr>
        <w:t>** Included Nagaland.</w:t>
      </w:r>
      <w:r w:rsidRPr="002E0607">
        <w:rPr>
          <w:rFonts w:ascii="Times New Roman" w:hAnsi="Times New Roman" w:cs="Times New Roman"/>
          <w:sz w:val="20"/>
          <w:szCs w:val="20"/>
        </w:rPr>
        <w:br/>
      </w:r>
      <w:r w:rsidR="000732CB" w:rsidRPr="002E0607">
        <w:rPr>
          <w:rFonts w:ascii="Times New Roman" w:hAnsi="Times New Roman" w:cs="Times New Roman"/>
          <w:sz w:val="20"/>
          <w:szCs w:val="20"/>
        </w:rPr>
        <w:t>£:</w:t>
      </w:r>
      <w:r w:rsidRPr="002E0607">
        <w:rPr>
          <w:rFonts w:ascii="Times New Roman" w:hAnsi="Times New Roman" w:cs="Times New Roman"/>
          <w:sz w:val="20"/>
          <w:szCs w:val="20"/>
        </w:rPr>
        <w:t xml:space="preserve"> Included in Punjab. </w:t>
      </w:r>
    </w:p>
    <w:p w14:paraId="6778C7E3" w14:textId="77777777" w:rsidR="002A212C" w:rsidRPr="002E0607" w:rsidRDefault="002A212C" w:rsidP="002A212C">
      <w:pPr>
        <w:spacing w:after="0"/>
        <w:rPr>
          <w:rFonts w:ascii="Times New Roman" w:hAnsi="Times New Roman" w:cs="Times New Roman"/>
          <w:sz w:val="20"/>
          <w:szCs w:val="20"/>
        </w:rPr>
      </w:pPr>
      <w:r w:rsidRPr="002E0607">
        <w:rPr>
          <w:rFonts w:ascii="Times New Roman" w:hAnsi="Times New Roman" w:cs="Times New Roman"/>
          <w:sz w:val="20"/>
          <w:szCs w:val="20"/>
        </w:rPr>
        <w:t>***Relates to composite State of Punjab.</w:t>
      </w:r>
    </w:p>
    <w:p w14:paraId="5A0B0ACD" w14:textId="28BD42FA" w:rsidR="002A212C" w:rsidRPr="007245B0" w:rsidRDefault="002A212C" w:rsidP="00E0452B">
      <w:pPr>
        <w:rPr>
          <w:rFonts w:ascii="Times New Roman" w:hAnsi="Times New Roman" w:cs="Times New Roman"/>
          <w:i/>
          <w:iCs/>
          <w:szCs w:val="24"/>
        </w:rPr>
        <w:sectPr w:rsidR="002A212C" w:rsidRPr="007245B0" w:rsidSect="00B55D1E">
          <w:pgSz w:w="12240" w:h="15840"/>
          <w:pgMar w:top="992" w:right="1440" w:bottom="1440" w:left="1440" w:header="720" w:footer="720" w:gutter="0"/>
          <w:cols w:space="720"/>
        </w:sectPr>
      </w:pPr>
    </w:p>
    <w:p w14:paraId="53B3477D" w14:textId="1B1B1167" w:rsidR="002A212C" w:rsidRPr="007245B0" w:rsidRDefault="00574BCE" w:rsidP="007D2EE4">
      <w:pPr>
        <w:pStyle w:val="Heading4"/>
      </w:pPr>
      <w:bookmarkStart w:id="192" w:name="_Toc220949734"/>
      <w:bookmarkStart w:id="193" w:name="_Toc221114334"/>
      <w:bookmarkStart w:id="194" w:name="_Toc221115357"/>
      <w:r>
        <w:lastRenderedPageBreak/>
        <w:t>Table</w:t>
      </w:r>
      <w:r w:rsidR="002A212C" w:rsidRPr="007245B0">
        <w:t xml:space="preserve"> 53: Resources transferred from the Centre to the States.</w:t>
      </w:r>
      <w:bookmarkEnd w:id="192"/>
      <w:bookmarkEnd w:id="193"/>
      <w:bookmarkEnd w:id="194"/>
      <w:r w:rsidR="002A212C" w:rsidRPr="007245B0">
        <w:br/>
      </w:r>
    </w:p>
    <w:p w14:paraId="1FCA59F5" w14:textId="77777777" w:rsidR="002A212C" w:rsidRPr="007245B0" w:rsidRDefault="002A212C" w:rsidP="002A212C">
      <w:pPr>
        <w:spacing w:after="0"/>
        <w:jc w:val="right"/>
        <w:rPr>
          <w:rFonts w:ascii="Times New Roman" w:hAnsi="Times New Roman" w:cs="Times New Roman"/>
          <w:i/>
          <w:iCs/>
          <w:szCs w:val="24"/>
        </w:rPr>
      </w:pPr>
      <w:r w:rsidRPr="007245B0">
        <w:rPr>
          <w:rFonts w:ascii="Times New Roman" w:hAnsi="Times New Roman" w:cs="Times New Roman"/>
          <w:i/>
          <w:iCs/>
          <w:szCs w:val="24"/>
        </w:rPr>
        <w:t>(Rs. crores)</w:t>
      </w:r>
    </w:p>
    <w:tbl>
      <w:tblPr>
        <w:tblStyle w:val="TableGrid"/>
        <w:tblW w:w="13097" w:type="dxa"/>
        <w:tblLook w:val="04A0" w:firstRow="1" w:lastRow="0" w:firstColumn="1" w:lastColumn="0" w:noHBand="0" w:noVBand="1"/>
      </w:tblPr>
      <w:tblGrid>
        <w:gridCol w:w="4440"/>
        <w:gridCol w:w="1506"/>
        <w:gridCol w:w="1701"/>
        <w:gridCol w:w="1594"/>
        <w:gridCol w:w="918"/>
        <w:gridCol w:w="855"/>
        <w:gridCol w:w="855"/>
        <w:gridCol w:w="1228"/>
      </w:tblGrid>
      <w:tr w:rsidR="002A212C" w:rsidRPr="002E0607" w14:paraId="324EDC66" w14:textId="77777777" w:rsidTr="002A212C">
        <w:trPr>
          <w:trHeight w:val="514"/>
        </w:trPr>
        <w:tc>
          <w:tcPr>
            <w:tcW w:w="0" w:type="auto"/>
            <w:hideMark/>
          </w:tcPr>
          <w:p w14:paraId="30E9D3C9" w14:textId="77777777" w:rsidR="002A212C" w:rsidRPr="002E0607" w:rsidRDefault="002A212C" w:rsidP="00B77C0B">
            <w:pPr>
              <w:pStyle w:val="NoSpacing"/>
              <w:rPr>
                <w:rFonts w:ascii="Times New Roman" w:hAnsi="Times New Roman" w:cs="Times New Roman"/>
                <w:sz w:val="22"/>
                <w:szCs w:val="22"/>
              </w:rPr>
            </w:pPr>
          </w:p>
        </w:tc>
        <w:tc>
          <w:tcPr>
            <w:tcW w:w="0" w:type="auto"/>
            <w:hideMark/>
          </w:tcPr>
          <w:p w14:paraId="156EA050" w14:textId="47C6EC4F" w:rsidR="002A212C" w:rsidRPr="002E0607" w:rsidRDefault="002A212C" w:rsidP="00400792">
            <w:pPr>
              <w:pStyle w:val="NoSpacing"/>
              <w:jc w:val="center"/>
              <w:rPr>
                <w:rFonts w:ascii="Times New Roman" w:hAnsi="Times New Roman" w:cs="Times New Roman"/>
                <w:b/>
                <w:bCs/>
                <w:sz w:val="22"/>
                <w:szCs w:val="22"/>
              </w:rPr>
            </w:pPr>
            <w:r w:rsidRPr="002E0607">
              <w:rPr>
                <w:rFonts w:ascii="Times New Roman" w:hAnsi="Times New Roman" w:cs="Times New Roman"/>
                <w:b/>
                <w:bCs/>
                <w:sz w:val="22"/>
                <w:szCs w:val="22"/>
              </w:rPr>
              <w:t>First Five-Year Plan</w:t>
            </w:r>
          </w:p>
        </w:tc>
        <w:tc>
          <w:tcPr>
            <w:tcW w:w="0" w:type="auto"/>
            <w:hideMark/>
          </w:tcPr>
          <w:p w14:paraId="5008CBD1" w14:textId="54C39386" w:rsidR="002A212C" w:rsidRPr="002E0607" w:rsidRDefault="002A212C" w:rsidP="00400792">
            <w:pPr>
              <w:pStyle w:val="NoSpacing"/>
              <w:jc w:val="center"/>
              <w:rPr>
                <w:rFonts w:ascii="Times New Roman" w:hAnsi="Times New Roman" w:cs="Times New Roman"/>
                <w:b/>
                <w:bCs/>
                <w:sz w:val="22"/>
                <w:szCs w:val="22"/>
              </w:rPr>
            </w:pPr>
            <w:r w:rsidRPr="002E0607">
              <w:rPr>
                <w:rFonts w:ascii="Times New Roman" w:hAnsi="Times New Roman" w:cs="Times New Roman"/>
                <w:b/>
                <w:bCs/>
                <w:sz w:val="22"/>
                <w:szCs w:val="22"/>
              </w:rPr>
              <w:t>Second Five-year Plan</w:t>
            </w:r>
          </w:p>
        </w:tc>
        <w:tc>
          <w:tcPr>
            <w:tcW w:w="0" w:type="auto"/>
            <w:hideMark/>
          </w:tcPr>
          <w:p w14:paraId="7C7FF7F3" w14:textId="64DD69B8" w:rsidR="002A212C" w:rsidRPr="002E0607" w:rsidRDefault="002A212C" w:rsidP="00400792">
            <w:pPr>
              <w:pStyle w:val="NoSpacing"/>
              <w:jc w:val="center"/>
              <w:rPr>
                <w:rFonts w:ascii="Times New Roman" w:hAnsi="Times New Roman" w:cs="Times New Roman"/>
                <w:b/>
                <w:bCs/>
                <w:sz w:val="22"/>
                <w:szCs w:val="22"/>
              </w:rPr>
            </w:pPr>
            <w:r w:rsidRPr="002E0607">
              <w:rPr>
                <w:rFonts w:ascii="Times New Roman" w:hAnsi="Times New Roman" w:cs="Times New Roman"/>
                <w:b/>
                <w:bCs/>
                <w:sz w:val="22"/>
                <w:szCs w:val="22"/>
              </w:rPr>
              <w:t>Third Five-Year Plan</w:t>
            </w:r>
          </w:p>
        </w:tc>
        <w:tc>
          <w:tcPr>
            <w:tcW w:w="0" w:type="auto"/>
            <w:hideMark/>
          </w:tcPr>
          <w:p w14:paraId="54581C1D" w14:textId="356472D5" w:rsidR="002A212C" w:rsidRPr="002E0607" w:rsidRDefault="002A212C" w:rsidP="00400792">
            <w:pPr>
              <w:pStyle w:val="NoSpacing"/>
              <w:jc w:val="center"/>
              <w:rPr>
                <w:rFonts w:ascii="Times New Roman" w:hAnsi="Times New Roman" w:cs="Times New Roman"/>
                <w:b/>
                <w:bCs/>
                <w:sz w:val="22"/>
                <w:szCs w:val="22"/>
              </w:rPr>
            </w:pPr>
            <w:r w:rsidRPr="002E0607">
              <w:rPr>
                <w:rFonts w:ascii="Times New Roman" w:hAnsi="Times New Roman" w:cs="Times New Roman"/>
                <w:b/>
                <w:bCs/>
                <w:sz w:val="22"/>
                <w:szCs w:val="22"/>
              </w:rPr>
              <w:t>1965-66*</w:t>
            </w:r>
          </w:p>
        </w:tc>
        <w:tc>
          <w:tcPr>
            <w:tcW w:w="0" w:type="auto"/>
            <w:hideMark/>
          </w:tcPr>
          <w:p w14:paraId="533B61AC" w14:textId="699630F0" w:rsidR="002A212C" w:rsidRPr="002E0607" w:rsidRDefault="002A212C" w:rsidP="00400792">
            <w:pPr>
              <w:pStyle w:val="NoSpacing"/>
              <w:jc w:val="center"/>
              <w:rPr>
                <w:rFonts w:ascii="Times New Roman" w:hAnsi="Times New Roman" w:cs="Times New Roman"/>
                <w:b/>
                <w:bCs/>
                <w:sz w:val="22"/>
                <w:szCs w:val="22"/>
              </w:rPr>
            </w:pPr>
            <w:r w:rsidRPr="002E0607">
              <w:rPr>
                <w:rFonts w:ascii="Times New Roman" w:hAnsi="Times New Roman" w:cs="Times New Roman"/>
                <w:b/>
                <w:bCs/>
                <w:sz w:val="22"/>
                <w:szCs w:val="22"/>
              </w:rPr>
              <w:t>1966-67</w:t>
            </w:r>
          </w:p>
        </w:tc>
        <w:tc>
          <w:tcPr>
            <w:tcW w:w="0" w:type="auto"/>
            <w:hideMark/>
          </w:tcPr>
          <w:p w14:paraId="281ED4DC" w14:textId="41E0660B" w:rsidR="002A212C" w:rsidRPr="002E0607" w:rsidRDefault="002A212C" w:rsidP="00400792">
            <w:pPr>
              <w:pStyle w:val="NoSpacing"/>
              <w:jc w:val="center"/>
              <w:rPr>
                <w:rFonts w:ascii="Times New Roman" w:hAnsi="Times New Roman" w:cs="Times New Roman"/>
                <w:b/>
                <w:bCs/>
                <w:sz w:val="22"/>
                <w:szCs w:val="22"/>
              </w:rPr>
            </w:pPr>
            <w:r w:rsidRPr="002E0607">
              <w:rPr>
                <w:rFonts w:ascii="Times New Roman" w:hAnsi="Times New Roman" w:cs="Times New Roman"/>
                <w:b/>
                <w:bCs/>
                <w:sz w:val="22"/>
                <w:szCs w:val="22"/>
              </w:rPr>
              <w:t>1967-68</w:t>
            </w:r>
          </w:p>
        </w:tc>
        <w:tc>
          <w:tcPr>
            <w:tcW w:w="0" w:type="auto"/>
            <w:hideMark/>
          </w:tcPr>
          <w:p w14:paraId="41D8B970" w14:textId="537FCC88" w:rsidR="002A212C" w:rsidRPr="002E0607" w:rsidRDefault="002A212C" w:rsidP="00400792">
            <w:pPr>
              <w:pStyle w:val="NoSpacing"/>
              <w:jc w:val="center"/>
              <w:rPr>
                <w:rFonts w:ascii="Times New Roman" w:hAnsi="Times New Roman" w:cs="Times New Roman"/>
                <w:b/>
                <w:bCs/>
                <w:sz w:val="22"/>
                <w:szCs w:val="22"/>
              </w:rPr>
            </w:pPr>
            <w:r w:rsidRPr="002E0607">
              <w:rPr>
                <w:rFonts w:ascii="Times New Roman" w:hAnsi="Times New Roman" w:cs="Times New Roman"/>
                <w:b/>
                <w:bCs/>
                <w:sz w:val="22"/>
                <w:szCs w:val="22"/>
              </w:rPr>
              <w:t>1968-69 (R.E.)</w:t>
            </w:r>
          </w:p>
        </w:tc>
      </w:tr>
      <w:tr w:rsidR="00400792" w:rsidRPr="002E0607" w14:paraId="6071866A" w14:textId="77777777" w:rsidTr="002E0607">
        <w:trPr>
          <w:trHeight w:val="266"/>
        </w:trPr>
        <w:tc>
          <w:tcPr>
            <w:tcW w:w="0" w:type="auto"/>
            <w:vAlign w:val="center"/>
          </w:tcPr>
          <w:p w14:paraId="647BC501" w14:textId="77777777" w:rsidR="00400792" w:rsidRPr="002E0607" w:rsidRDefault="00400792" w:rsidP="002E0607">
            <w:pPr>
              <w:pStyle w:val="NoSpacing"/>
              <w:rPr>
                <w:rFonts w:ascii="Times New Roman" w:hAnsi="Times New Roman" w:cs="Times New Roman"/>
                <w:b/>
                <w:bCs/>
                <w:sz w:val="22"/>
                <w:szCs w:val="22"/>
              </w:rPr>
            </w:pPr>
          </w:p>
        </w:tc>
        <w:tc>
          <w:tcPr>
            <w:tcW w:w="0" w:type="auto"/>
          </w:tcPr>
          <w:p w14:paraId="7B41A4D5" w14:textId="7E3E755C" w:rsidR="00400792" w:rsidRPr="002E0607" w:rsidRDefault="00400792" w:rsidP="00400792">
            <w:pPr>
              <w:pStyle w:val="NoSpacing"/>
              <w:jc w:val="center"/>
              <w:rPr>
                <w:rFonts w:ascii="Times New Roman" w:hAnsi="Times New Roman" w:cs="Times New Roman"/>
                <w:sz w:val="22"/>
                <w:szCs w:val="22"/>
              </w:rPr>
            </w:pPr>
            <w:r w:rsidRPr="002E0607">
              <w:rPr>
                <w:rFonts w:ascii="Times New Roman" w:hAnsi="Times New Roman" w:cs="Times New Roman"/>
                <w:sz w:val="22"/>
                <w:szCs w:val="22"/>
              </w:rPr>
              <w:t>1</w:t>
            </w:r>
          </w:p>
        </w:tc>
        <w:tc>
          <w:tcPr>
            <w:tcW w:w="0" w:type="auto"/>
          </w:tcPr>
          <w:p w14:paraId="205D67AE" w14:textId="3D2936FE" w:rsidR="00400792" w:rsidRPr="002E0607" w:rsidRDefault="00400792" w:rsidP="00400792">
            <w:pPr>
              <w:pStyle w:val="NoSpacing"/>
              <w:jc w:val="center"/>
              <w:rPr>
                <w:rFonts w:ascii="Times New Roman" w:hAnsi="Times New Roman" w:cs="Times New Roman"/>
                <w:sz w:val="22"/>
                <w:szCs w:val="22"/>
              </w:rPr>
            </w:pPr>
            <w:r w:rsidRPr="002E0607">
              <w:rPr>
                <w:rFonts w:ascii="Times New Roman" w:hAnsi="Times New Roman" w:cs="Times New Roman"/>
                <w:sz w:val="22"/>
                <w:szCs w:val="22"/>
              </w:rPr>
              <w:t>2</w:t>
            </w:r>
          </w:p>
        </w:tc>
        <w:tc>
          <w:tcPr>
            <w:tcW w:w="0" w:type="auto"/>
          </w:tcPr>
          <w:p w14:paraId="3A5F520E" w14:textId="712F8FC1" w:rsidR="00400792" w:rsidRPr="002E0607" w:rsidRDefault="00400792" w:rsidP="00400792">
            <w:pPr>
              <w:pStyle w:val="NoSpacing"/>
              <w:jc w:val="center"/>
              <w:rPr>
                <w:rFonts w:ascii="Times New Roman" w:hAnsi="Times New Roman" w:cs="Times New Roman"/>
                <w:sz w:val="22"/>
                <w:szCs w:val="22"/>
              </w:rPr>
            </w:pPr>
            <w:r w:rsidRPr="002E0607">
              <w:rPr>
                <w:rFonts w:ascii="Times New Roman" w:hAnsi="Times New Roman" w:cs="Times New Roman"/>
                <w:sz w:val="22"/>
                <w:szCs w:val="22"/>
              </w:rPr>
              <w:t>3</w:t>
            </w:r>
          </w:p>
        </w:tc>
        <w:tc>
          <w:tcPr>
            <w:tcW w:w="0" w:type="auto"/>
          </w:tcPr>
          <w:p w14:paraId="75DBC6BD" w14:textId="48AAC504" w:rsidR="00400792" w:rsidRPr="002E0607" w:rsidRDefault="00400792" w:rsidP="00400792">
            <w:pPr>
              <w:pStyle w:val="NoSpacing"/>
              <w:jc w:val="center"/>
              <w:rPr>
                <w:rFonts w:ascii="Times New Roman" w:hAnsi="Times New Roman" w:cs="Times New Roman"/>
                <w:sz w:val="22"/>
                <w:szCs w:val="22"/>
              </w:rPr>
            </w:pPr>
            <w:r w:rsidRPr="002E0607">
              <w:rPr>
                <w:rFonts w:ascii="Times New Roman" w:hAnsi="Times New Roman" w:cs="Times New Roman"/>
                <w:sz w:val="22"/>
                <w:szCs w:val="22"/>
              </w:rPr>
              <w:t>4</w:t>
            </w:r>
          </w:p>
        </w:tc>
        <w:tc>
          <w:tcPr>
            <w:tcW w:w="0" w:type="auto"/>
          </w:tcPr>
          <w:p w14:paraId="0B6430D5" w14:textId="5A55057D" w:rsidR="00400792" w:rsidRPr="002E0607" w:rsidRDefault="00400792" w:rsidP="00400792">
            <w:pPr>
              <w:pStyle w:val="NoSpacing"/>
              <w:jc w:val="center"/>
              <w:rPr>
                <w:rFonts w:ascii="Times New Roman" w:hAnsi="Times New Roman" w:cs="Times New Roman"/>
                <w:sz w:val="22"/>
                <w:szCs w:val="22"/>
              </w:rPr>
            </w:pPr>
            <w:r w:rsidRPr="002E0607">
              <w:rPr>
                <w:rFonts w:ascii="Times New Roman" w:hAnsi="Times New Roman" w:cs="Times New Roman"/>
                <w:sz w:val="22"/>
                <w:szCs w:val="22"/>
              </w:rPr>
              <w:t>5</w:t>
            </w:r>
          </w:p>
        </w:tc>
        <w:tc>
          <w:tcPr>
            <w:tcW w:w="0" w:type="auto"/>
          </w:tcPr>
          <w:p w14:paraId="1DB20BB6" w14:textId="0AC080DA" w:rsidR="00400792" w:rsidRPr="002E0607" w:rsidRDefault="00400792" w:rsidP="00400792">
            <w:pPr>
              <w:pStyle w:val="NoSpacing"/>
              <w:jc w:val="center"/>
              <w:rPr>
                <w:rFonts w:ascii="Times New Roman" w:hAnsi="Times New Roman" w:cs="Times New Roman"/>
                <w:sz w:val="22"/>
                <w:szCs w:val="22"/>
              </w:rPr>
            </w:pPr>
            <w:r w:rsidRPr="002E0607">
              <w:rPr>
                <w:rFonts w:ascii="Times New Roman" w:hAnsi="Times New Roman" w:cs="Times New Roman"/>
                <w:sz w:val="22"/>
                <w:szCs w:val="22"/>
              </w:rPr>
              <w:t>6</w:t>
            </w:r>
          </w:p>
        </w:tc>
        <w:tc>
          <w:tcPr>
            <w:tcW w:w="0" w:type="auto"/>
          </w:tcPr>
          <w:p w14:paraId="5277FEA9" w14:textId="161BE904" w:rsidR="00400792" w:rsidRPr="002E0607" w:rsidRDefault="00400792" w:rsidP="00400792">
            <w:pPr>
              <w:pStyle w:val="NoSpacing"/>
              <w:jc w:val="center"/>
              <w:rPr>
                <w:rFonts w:ascii="Times New Roman" w:hAnsi="Times New Roman" w:cs="Times New Roman"/>
                <w:sz w:val="22"/>
                <w:szCs w:val="22"/>
              </w:rPr>
            </w:pPr>
            <w:r w:rsidRPr="002E0607">
              <w:rPr>
                <w:rFonts w:ascii="Times New Roman" w:hAnsi="Times New Roman" w:cs="Times New Roman"/>
                <w:sz w:val="22"/>
                <w:szCs w:val="22"/>
              </w:rPr>
              <w:t>7</w:t>
            </w:r>
          </w:p>
        </w:tc>
      </w:tr>
      <w:tr w:rsidR="002A212C" w:rsidRPr="002E0607" w14:paraId="571E514B" w14:textId="77777777" w:rsidTr="002E0607">
        <w:trPr>
          <w:trHeight w:val="266"/>
        </w:trPr>
        <w:tc>
          <w:tcPr>
            <w:tcW w:w="0" w:type="auto"/>
            <w:vAlign w:val="center"/>
            <w:hideMark/>
          </w:tcPr>
          <w:p w14:paraId="1669FF50" w14:textId="77873CCE" w:rsidR="002A212C" w:rsidRPr="002E0607" w:rsidRDefault="002A212C" w:rsidP="002E0607">
            <w:pPr>
              <w:pStyle w:val="NoSpacing"/>
              <w:rPr>
                <w:rFonts w:ascii="Times New Roman" w:hAnsi="Times New Roman" w:cs="Times New Roman"/>
                <w:sz w:val="22"/>
                <w:szCs w:val="22"/>
              </w:rPr>
            </w:pPr>
            <w:r w:rsidRPr="002E0607">
              <w:rPr>
                <w:rFonts w:ascii="Times New Roman" w:hAnsi="Times New Roman" w:cs="Times New Roman"/>
                <w:b/>
                <w:bCs/>
                <w:sz w:val="22"/>
                <w:szCs w:val="22"/>
              </w:rPr>
              <w:t>I. Share of Divisible Taxes and Duties:</w:t>
            </w:r>
          </w:p>
        </w:tc>
        <w:tc>
          <w:tcPr>
            <w:tcW w:w="0" w:type="auto"/>
            <w:vAlign w:val="center"/>
            <w:hideMark/>
          </w:tcPr>
          <w:p w14:paraId="7B7453C2" w14:textId="77777777" w:rsidR="002A212C" w:rsidRPr="002E0607" w:rsidRDefault="002A212C" w:rsidP="002E0607">
            <w:pPr>
              <w:pStyle w:val="NoSpacing"/>
              <w:jc w:val="center"/>
              <w:rPr>
                <w:rFonts w:ascii="Times New Roman" w:hAnsi="Times New Roman" w:cs="Times New Roman"/>
                <w:sz w:val="22"/>
                <w:szCs w:val="22"/>
              </w:rPr>
            </w:pPr>
          </w:p>
        </w:tc>
        <w:tc>
          <w:tcPr>
            <w:tcW w:w="0" w:type="auto"/>
            <w:vAlign w:val="center"/>
            <w:hideMark/>
          </w:tcPr>
          <w:p w14:paraId="38BE466B" w14:textId="77777777" w:rsidR="002A212C" w:rsidRPr="002E0607" w:rsidRDefault="002A212C" w:rsidP="002E0607">
            <w:pPr>
              <w:pStyle w:val="NoSpacing"/>
              <w:jc w:val="center"/>
              <w:rPr>
                <w:rFonts w:ascii="Times New Roman" w:hAnsi="Times New Roman" w:cs="Times New Roman"/>
                <w:sz w:val="22"/>
                <w:szCs w:val="22"/>
              </w:rPr>
            </w:pPr>
          </w:p>
        </w:tc>
        <w:tc>
          <w:tcPr>
            <w:tcW w:w="0" w:type="auto"/>
            <w:vAlign w:val="center"/>
            <w:hideMark/>
          </w:tcPr>
          <w:p w14:paraId="76A043F8" w14:textId="77777777" w:rsidR="002A212C" w:rsidRPr="002E0607" w:rsidRDefault="002A212C" w:rsidP="002E0607">
            <w:pPr>
              <w:pStyle w:val="NoSpacing"/>
              <w:jc w:val="center"/>
              <w:rPr>
                <w:rFonts w:ascii="Times New Roman" w:hAnsi="Times New Roman" w:cs="Times New Roman"/>
                <w:sz w:val="22"/>
                <w:szCs w:val="22"/>
              </w:rPr>
            </w:pPr>
          </w:p>
        </w:tc>
        <w:tc>
          <w:tcPr>
            <w:tcW w:w="0" w:type="auto"/>
            <w:vAlign w:val="center"/>
            <w:hideMark/>
          </w:tcPr>
          <w:p w14:paraId="7D5C7DC5" w14:textId="77777777" w:rsidR="002A212C" w:rsidRPr="002E0607" w:rsidRDefault="002A212C" w:rsidP="002E0607">
            <w:pPr>
              <w:pStyle w:val="NoSpacing"/>
              <w:jc w:val="center"/>
              <w:rPr>
                <w:rFonts w:ascii="Times New Roman" w:hAnsi="Times New Roman" w:cs="Times New Roman"/>
                <w:sz w:val="22"/>
                <w:szCs w:val="22"/>
              </w:rPr>
            </w:pPr>
          </w:p>
        </w:tc>
        <w:tc>
          <w:tcPr>
            <w:tcW w:w="0" w:type="auto"/>
            <w:vAlign w:val="center"/>
            <w:hideMark/>
          </w:tcPr>
          <w:p w14:paraId="6051F85C" w14:textId="77777777" w:rsidR="002A212C" w:rsidRPr="002E0607" w:rsidRDefault="002A212C" w:rsidP="002E0607">
            <w:pPr>
              <w:pStyle w:val="NoSpacing"/>
              <w:jc w:val="center"/>
              <w:rPr>
                <w:rFonts w:ascii="Times New Roman" w:hAnsi="Times New Roman" w:cs="Times New Roman"/>
                <w:sz w:val="22"/>
                <w:szCs w:val="22"/>
              </w:rPr>
            </w:pPr>
          </w:p>
        </w:tc>
        <w:tc>
          <w:tcPr>
            <w:tcW w:w="0" w:type="auto"/>
            <w:vAlign w:val="center"/>
            <w:hideMark/>
          </w:tcPr>
          <w:p w14:paraId="43B1BCC2" w14:textId="77777777" w:rsidR="002A212C" w:rsidRPr="002E0607" w:rsidRDefault="002A212C" w:rsidP="002E0607">
            <w:pPr>
              <w:pStyle w:val="NoSpacing"/>
              <w:jc w:val="center"/>
              <w:rPr>
                <w:rFonts w:ascii="Times New Roman" w:hAnsi="Times New Roman" w:cs="Times New Roman"/>
                <w:sz w:val="22"/>
                <w:szCs w:val="22"/>
              </w:rPr>
            </w:pPr>
          </w:p>
        </w:tc>
        <w:tc>
          <w:tcPr>
            <w:tcW w:w="0" w:type="auto"/>
            <w:vAlign w:val="center"/>
            <w:hideMark/>
          </w:tcPr>
          <w:p w14:paraId="14A3486E" w14:textId="77777777" w:rsidR="002A212C" w:rsidRPr="002E0607" w:rsidRDefault="002A212C" w:rsidP="002E0607">
            <w:pPr>
              <w:pStyle w:val="NoSpacing"/>
              <w:jc w:val="center"/>
              <w:rPr>
                <w:rFonts w:ascii="Times New Roman" w:hAnsi="Times New Roman" w:cs="Times New Roman"/>
                <w:sz w:val="22"/>
                <w:szCs w:val="22"/>
              </w:rPr>
            </w:pPr>
          </w:p>
        </w:tc>
      </w:tr>
      <w:tr w:rsidR="002A212C" w:rsidRPr="002E0607" w14:paraId="6F70B07E" w14:textId="77777777" w:rsidTr="002E0607">
        <w:trPr>
          <w:trHeight w:val="256"/>
        </w:trPr>
        <w:tc>
          <w:tcPr>
            <w:tcW w:w="0" w:type="auto"/>
            <w:vAlign w:val="center"/>
            <w:hideMark/>
          </w:tcPr>
          <w:p w14:paraId="41217FF7" w14:textId="77777777" w:rsidR="002A212C" w:rsidRPr="002E0607" w:rsidRDefault="002A212C" w:rsidP="002E0607">
            <w:pPr>
              <w:pStyle w:val="NoSpacing"/>
              <w:rPr>
                <w:rFonts w:ascii="Times New Roman" w:hAnsi="Times New Roman" w:cs="Times New Roman"/>
                <w:sz w:val="22"/>
                <w:szCs w:val="22"/>
              </w:rPr>
            </w:pPr>
            <w:r w:rsidRPr="002E0607">
              <w:rPr>
                <w:rFonts w:ascii="Times New Roman" w:hAnsi="Times New Roman" w:cs="Times New Roman"/>
                <w:sz w:val="22"/>
                <w:szCs w:val="22"/>
              </w:rPr>
              <w:t>1. Income Tax</w:t>
            </w:r>
          </w:p>
        </w:tc>
        <w:tc>
          <w:tcPr>
            <w:tcW w:w="0" w:type="auto"/>
            <w:vAlign w:val="center"/>
            <w:hideMark/>
          </w:tcPr>
          <w:p w14:paraId="3D36F8C7" w14:textId="77777777" w:rsidR="002A212C" w:rsidRPr="002E0607" w:rsidRDefault="002A212C" w:rsidP="002E0607">
            <w:pPr>
              <w:pStyle w:val="NoSpacing"/>
              <w:jc w:val="center"/>
              <w:rPr>
                <w:rFonts w:ascii="Times New Roman" w:hAnsi="Times New Roman" w:cs="Times New Roman"/>
                <w:sz w:val="22"/>
                <w:szCs w:val="22"/>
              </w:rPr>
            </w:pPr>
            <w:r w:rsidRPr="002E0607">
              <w:rPr>
                <w:rFonts w:ascii="Times New Roman" w:hAnsi="Times New Roman" w:cs="Times New Roman"/>
                <w:sz w:val="22"/>
                <w:szCs w:val="22"/>
              </w:rPr>
              <w:t>278</w:t>
            </w:r>
          </w:p>
        </w:tc>
        <w:tc>
          <w:tcPr>
            <w:tcW w:w="0" w:type="auto"/>
            <w:vAlign w:val="center"/>
            <w:hideMark/>
          </w:tcPr>
          <w:p w14:paraId="00F2C02A" w14:textId="77777777" w:rsidR="002A212C" w:rsidRPr="002E0607" w:rsidRDefault="002A212C" w:rsidP="002E0607">
            <w:pPr>
              <w:pStyle w:val="NoSpacing"/>
              <w:jc w:val="center"/>
              <w:rPr>
                <w:rFonts w:ascii="Times New Roman" w:hAnsi="Times New Roman" w:cs="Times New Roman"/>
                <w:sz w:val="22"/>
                <w:szCs w:val="22"/>
              </w:rPr>
            </w:pPr>
            <w:r w:rsidRPr="002E0607">
              <w:rPr>
                <w:rFonts w:ascii="Times New Roman" w:hAnsi="Times New Roman" w:cs="Times New Roman"/>
                <w:sz w:val="22"/>
                <w:szCs w:val="22"/>
              </w:rPr>
              <w:t>375</w:t>
            </w:r>
          </w:p>
        </w:tc>
        <w:tc>
          <w:tcPr>
            <w:tcW w:w="0" w:type="auto"/>
            <w:vAlign w:val="center"/>
            <w:hideMark/>
          </w:tcPr>
          <w:p w14:paraId="7BC2C4E0" w14:textId="77777777" w:rsidR="002A212C" w:rsidRPr="002E0607" w:rsidRDefault="002A212C" w:rsidP="002E0607">
            <w:pPr>
              <w:pStyle w:val="NoSpacing"/>
              <w:jc w:val="center"/>
              <w:rPr>
                <w:rFonts w:ascii="Times New Roman" w:hAnsi="Times New Roman" w:cs="Times New Roman"/>
                <w:sz w:val="22"/>
                <w:szCs w:val="22"/>
              </w:rPr>
            </w:pPr>
            <w:r w:rsidRPr="002E0607">
              <w:rPr>
                <w:rFonts w:ascii="Times New Roman" w:hAnsi="Times New Roman" w:cs="Times New Roman"/>
                <w:sz w:val="22"/>
                <w:szCs w:val="22"/>
              </w:rPr>
              <w:t>555</w:t>
            </w:r>
          </w:p>
        </w:tc>
        <w:tc>
          <w:tcPr>
            <w:tcW w:w="0" w:type="auto"/>
            <w:vAlign w:val="center"/>
            <w:hideMark/>
          </w:tcPr>
          <w:p w14:paraId="7A07B95D" w14:textId="77777777" w:rsidR="002A212C" w:rsidRPr="002E0607" w:rsidRDefault="002A212C" w:rsidP="002E0607">
            <w:pPr>
              <w:pStyle w:val="NoSpacing"/>
              <w:jc w:val="center"/>
              <w:rPr>
                <w:rFonts w:ascii="Times New Roman" w:hAnsi="Times New Roman" w:cs="Times New Roman"/>
                <w:sz w:val="22"/>
                <w:szCs w:val="22"/>
              </w:rPr>
            </w:pPr>
            <w:r w:rsidRPr="002E0607">
              <w:rPr>
                <w:rFonts w:ascii="Times New Roman" w:hAnsi="Times New Roman" w:cs="Times New Roman"/>
                <w:sz w:val="22"/>
                <w:szCs w:val="22"/>
              </w:rPr>
              <w:t>123</w:t>
            </w:r>
          </w:p>
        </w:tc>
        <w:tc>
          <w:tcPr>
            <w:tcW w:w="0" w:type="auto"/>
            <w:vAlign w:val="center"/>
            <w:hideMark/>
          </w:tcPr>
          <w:p w14:paraId="155F110F" w14:textId="77777777" w:rsidR="002A212C" w:rsidRPr="002E0607" w:rsidRDefault="002A212C" w:rsidP="002E0607">
            <w:pPr>
              <w:pStyle w:val="NoSpacing"/>
              <w:jc w:val="center"/>
              <w:rPr>
                <w:rFonts w:ascii="Times New Roman" w:hAnsi="Times New Roman" w:cs="Times New Roman"/>
                <w:sz w:val="22"/>
                <w:szCs w:val="22"/>
              </w:rPr>
            </w:pPr>
            <w:r w:rsidRPr="002E0607">
              <w:rPr>
                <w:rFonts w:ascii="Times New Roman" w:hAnsi="Times New Roman" w:cs="Times New Roman"/>
                <w:sz w:val="22"/>
                <w:szCs w:val="22"/>
              </w:rPr>
              <w:t>137</w:t>
            </w:r>
          </w:p>
        </w:tc>
        <w:tc>
          <w:tcPr>
            <w:tcW w:w="0" w:type="auto"/>
            <w:vAlign w:val="center"/>
            <w:hideMark/>
          </w:tcPr>
          <w:p w14:paraId="7B1E320E" w14:textId="77777777" w:rsidR="002A212C" w:rsidRPr="002E0607" w:rsidRDefault="002A212C" w:rsidP="002E0607">
            <w:pPr>
              <w:pStyle w:val="NoSpacing"/>
              <w:jc w:val="center"/>
              <w:rPr>
                <w:rFonts w:ascii="Times New Roman" w:hAnsi="Times New Roman" w:cs="Times New Roman"/>
                <w:sz w:val="22"/>
                <w:szCs w:val="22"/>
              </w:rPr>
            </w:pPr>
            <w:r w:rsidRPr="002E0607">
              <w:rPr>
                <w:rFonts w:ascii="Times New Roman" w:hAnsi="Times New Roman" w:cs="Times New Roman"/>
                <w:sz w:val="22"/>
                <w:szCs w:val="22"/>
              </w:rPr>
              <w:t>175</w:t>
            </w:r>
          </w:p>
        </w:tc>
        <w:tc>
          <w:tcPr>
            <w:tcW w:w="0" w:type="auto"/>
            <w:vAlign w:val="center"/>
            <w:hideMark/>
          </w:tcPr>
          <w:p w14:paraId="50733979" w14:textId="77777777" w:rsidR="002A212C" w:rsidRPr="002E0607" w:rsidRDefault="002A212C" w:rsidP="002E0607">
            <w:pPr>
              <w:pStyle w:val="NoSpacing"/>
              <w:jc w:val="center"/>
              <w:rPr>
                <w:rFonts w:ascii="Times New Roman" w:hAnsi="Times New Roman" w:cs="Times New Roman"/>
                <w:sz w:val="22"/>
                <w:szCs w:val="22"/>
              </w:rPr>
            </w:pPr>
            <w:r w:rsidRPr="002E0607">
              <w:rPr>
                <w:rFonts w:ascii="Times New Roman" w:hAnsi="Times New Roman" w:cs="Times New Roman"/>
                <w:sz w:val="22"/>
                <w:szCs w:val="22"/>
              </w:rPr>
              <w:t>194</w:t>
            </w:r>
          </w:p>
        </w:tc>
      </w:tr>
      <w:tr w:rsidR="002A212C" w:rsidRPr="002E0607" w14:paraId="2591F03B" w14:textId="77777777" w:rsidTr="002E0607">
        <w:trPr>
          <w:trHeight w:val="256"/>
        </w:trPr>
        <w:tc>
          <w:tcPr>
            <w:tcW w:w="0" w:type="auto"/>
            <w:vAlign w:val="center"/>
            <w:hideMark/>
          </w:tcPr>
          <w:p w14:paraId="512FD44C" w14:textId="4C15B32A" w:rsidR="002A212C" w:rsidRPr="002E0607" w:rsidRDefault="002A212C" w:rsidP="002E0607">
            <w:pPr>
              <w:pStyle w:val="NoSpacing"/>
              <w:rPr>
                <w:rFonts w:ascii="Times New Roman" w:hAnsi="Times New Roman" w:cs="Times New Roman"/>
                <w:sz w:val="22"/>
                <w:szCs w:val="22"/>
              </w:rPr>
            </w:pPr>
            <w:r w:rsidRPr="002E0607">
              <w:rPr>
                <w:rFonts w:ascii="Times New Roman" w:hAnsi="Times New Roman" w:cs="Times New Roman"/>
                <w:sz w:val="22"/>
                <w:szCs w:val="22"/>
              </w:rPr>
              <w:t>2. Union Excise Duties:</w:t>
            </w:r>
          </w:p>
        </w:tc>
        <w:tc>
          <w:tcPr>
            <w:tcW w:w="0" w:type="auto"/>
            <w:vAlign w:val="center"/>
            <w:hideMark/>
          </w:tcPr>
          <w:p w14:paraId="32F051A2" w14:textId="77777777" w:rsidR="002A212C" w:rsidRPr="002E0607" w:rsidRDefault="002A212C" w:rsidP="002E0607">
            <w:pPr>
              <w:pStyle w:val="NoSpacing"/>
              <w:jc w:val="center"/>
              <w:rPr>
                <w:rFonts w:ascii="Times New Roman" w:hAnsi="Times New Roman" w:cs="Times New Roman"/>
                <w:sz w:val="22"/>
                <w:szCs w:val="22"/>
              </w:rPr>
            </w:pPr>
          </w:p>
        </w:tc>
        <w:tc>
          <w:tcPr>
            <w:tcW w:w="0" w:type="auto"/>
            <w:vAlign w:val="center"/>
            <w:hideMark/>
          </w:tcPr>
          <w:p w14:paraId="48788E84" w14:textId="77777777" w:rsidR="002A212C" w:rsidRPr="002E0607" w:rsidRDefault="002A212C" w:rsidP="002E0607">
            <w:pPr>
              <w:pStyle w:val="NoSpacing"/>
              <w:jc w:val="center"/>
              <w:rPr>
                <w:rFonts w:ascii="Times New Roman" w:hAnsi="Times New Roman" w:cs="Times New Roman"/>
                <w:sz w:val="22"/>
                <w:szCs w:val="22"/>
              </w:rPr>
            </w:pPr>
          </w:p>
        </w:tc>
        <w:tc>
          <w:tcPr>
            <w:tcW w:w="0" w:type="auto"/>
            <w:vAlign w:val="center"/>
            <w:hideMark/>
          </w:tcPr>
          <w:p w14:paraId="54002F8D" w14:textId="77777777" w:rsidR="002A212C" w:rsidRPr="002E0607" w:rsidRDefault="002A212C" w:rsidP="002E0607">
            <w:pPr>
              <w:pStyle w:val="NoSpacing"/>
              <w:jc w:val="center"/>
              <w:rPr>
                <w:rFonts w:ascii="Times New Roman" w:hAnsi="Times New Roman" w:cs="Times New Roman"/>
                <w:sz w:val="22"/>
                <w:szCs w:val="22"/>
              </w:rPr>
            </w:pPr>
          </w:p>
        </w:tc>
        <w:tc>
          <w:tcPr>
            <w:tcW w:w="0" w:type="auto"/>
            <w:vAlign w:val="center"/>
            <w:hideMark/>
          </w:tcPr>
          <w:p w14:paraId="262D06A5" w14:textId="77777777" w:rsidR="002A212C" w:rsidRPr="002E0607" w:rsidRDefault="002A212C" w:rsidP="002E0607">
            <w:pPr>
              <w:pStyle w:val="NoSpacing"/>
              <w:jc w:val="center"/>
              <w:rPr>
                <w:rFonts w:ascii="Times New Roman" w:hAnsi="Times New Roman" w:cs="Times New Roman"/>
                <w:sz w:val="22"/>
                <w:szCs w:val="22"/>
              </w:rPr>
            </w:pPr>
          </w:p>
        </w:tc>
        <w:tc>
          <w:tcPr>
            <w:tcW w:w="0" w:type="auto"/>
            <w:vAlign w:val="center"/>
            <w:hideMark/>
          </w:tcPr>
          <w:p w14:paraId="2864BA4A" w14:textId="77777777" w:rsidR="002A212C" w:rsidRPr="002E0607" w:rsidRDefault="002A212C" w:rsidP="002E0607">
            <w:pPr>
              <w:pStyle w:val="NoSpacing"/>
              <w:jc w:val="center"/>
              <w:rPr>
                <w:rFonts w:ascii="Times New Roman" w:hAnsi="Times New Roman" w:cs="Times New Roman"/>
                <w:sz w:val="22"/>
                <w:szCs w:val="22"/>
              </w:rPr>
            </w:pPr>
          </w:p>
        </w:tc>
        <w:tc>
          <w:tcPr>
            <w:tcW w:w="0" w:type="auto"/>
            <w:vAlign w:val="center"/>
            <w:hideMark/>
          </w:tcPr>
          <w:p w14:paraId="3B4B7443" w14:textId="77777777" w:rsidR="002A212C" w:rsidRPr="002E0607" w:rsidRDefault="002A212C" w:rsidP="002E0607">
            <w:pPr>
              <w:pStyle w:val="NoSpacing"/>
              <w:jc w:val="center"/>
              <w:rPr>
                <w:rFonts w:ascii="Times New Roman" w:hAnsi="Times New Roman" w:cs="Times New Roman"/>
                <w:sz w:val="22"/>
                <w:szCs w:val="22"/>
              </w:rPr>
            </w:pPr>
          </w:p>
        </w:tc>
        <w:tc>
          <w:tcPr>
            <w:tcW w:w="0" w:type="auto"/>
            <w:vAlign w:val="center"/>
            <w:hideMark/>
          </w:tcPr>
          <w:p w14:paraId="58B7FDD6" w14:textId="77777777" w:rsidR="002A212C" w:rsidRPr="002E0607" w:rsidRDefault="002A212C" w:rsidP="002E0607">
            <w:pPr>
              <w:pStyle w:val="NoSpacing"/>
              <w:jc w:val="center"/>
              <w:rPr>
                <w:rFonts w:ascii="Times New Roman" w:hAnsi="Times New Roman" w:cs="Times New Roman"/>
                <w:sz w:val="22"/>
                <w:szCs w:val="22"/>
              </w:rPr>
            </w:pPr>
          </w:p>
        </w:tc>
      </w:tr>
      <w:tr w:rsidR="002A212C" w:rsidRPr="002E0607" w14:paraId="5A8B6F21" w14:textId="77777777" w:rsidTr="002E0607">
        <w:trPr>
          <w:trHeight w:val="256"/>
        </w:trPr>
        <w:tc>
          <w:tcPr>
            <w:tcW w:w="0" w:type="auto"/>
            <w:vAlign w:val="center"/>
            <w:hideMark/>
          </w:tcPr>
          <w:p w14:paraId="6AB9DA14" w14:textId="77777777" w:rsidR="002A212C" w:rsidRPr="002E0607" w:rsidRDefault="002A212C" w:rsidP="002E0607">
            <w:pPr>
              <w:pStyle w:val="NoSpacing"/>
              <w:rPr>
                <w:rFonts w:ascii="Times New Roman" w:hAnsi="Times New Roman" w:cs="Times New Roman"/>
                <w:sz w:val="22"/>
                <w:szCs w:val="22"/>
              </w:rPr>
            </w:pPr>
            <w:r w:rsidRPr="002E0607">
              <w:rPr>
                <w:rFonts w:ascii="Times New Roman" w:hAnsi="Times New Roman" w:cs="Times New Roman"/>
                <w:sz w:val="22"/>
                <w:szCs w:val="22"/>
              </w:rPr>
              <w:t>(a) Basic</w:t>
            </w:r>
          </w:p>
        </w:tc>
        <w:tc>
          <w:tcPr>
            <w:tcW w:w="0" w:type="auto"/>
            <w:vAlign w:val="center"/>
            <w:hideMark/>
          </w:tcPr>
          <w:p w14:paraId="76F01884" w14:textId="77777777" w:rsidR="002A212C" w:rsidRPr="002E0607" w:rsidRDefault="002A212C" w:rsidP="002E0607">
            <w:pPr>
              <w:pStyle w:val="NoSpacing"/>
              <w:jc w:val="center"/>
              <w:rPr>
                <w:rFonts w:ascii="Times New Roman" w:hAnsi="Times New Roman" w:cs="Times New Roman"/>
                <w:sz w:val="22"/>
                <w:szCs w:val="22"/>
              </w:rPr>
            </w:pPr>
            <w:r w:rsidRPr="002E0607">
              <w:rPr>
                <w:rFonts w:ascii="Times New Roman" w:hAnsi="Times New Roman" w:cs="Times New Roman"/>
                <w:sz w:val="22"/>
                <w:szCs w:val="22"/>
              </w:rPr>
              <w:t>46</w:t>
            </w:r>
          </w:p>
        </w:tc>
        <w:tc>
          <w:tcPr>
            <w:tcW w:w="0" w:type="auto"/>
            <w:vAlign w:val="center"/>
            <w:hideMark/>
          </w:tcPr>
          <w:p w14:paraId="73E96554" w14:textId="77777777" w:rsidR="002A212C" w:rsidRPr="002E0607" w:rsidRDefault="002A212C" w:rsidP="002E0607">
            <w:pPr>
              <w:pStyle w:val="NoSpacing"/>
              <w:jc w:val="center"/>
              <w:rPr>
                <w:rFonts w:ascii="Times New Roman" w:hAnsi="Times New Roman" w:cs="Times New Roman"/>
                <w:sz w:val="22"/>
                <w:szCs w:val="22"/>
              </w:rPr>
            </w:pPr>
            <w:r w:rsidRPr="002E0607">
              <w:rPr>
                <w:rFonts w:ascii="Times New Roman" w:hAnsi="Times New Roman" w:cs="Times New Roman"/>
                <w:sz w:val="22"/>
                <w:szCs w:val="22"/>
              </w:rPr>
              <w:t>153</w:t>
            </w:r>
          </w:p>
        </w:tc>
        <w:tc>
          <w:tcPr>
            <w:tcW w:w="0" w:type="auto"/>
            <w:vAlign w:val="center"/>
            <w:hideMark/>
          </w:tcPr>
          <w:p w14:paraId="5BE13E93" w14:textId="77777777" w:rsidR="002A212C" w:rsidRPr="002E0607" w:rsidRDefault="002A212C" w:rsidP="002E0607">
            <w:pPr>
              <w:pStyle w:val="NoSpacing"/>
              <w:jc w:val="center"/>
              <w:rPr>
                <w:rFonts w:ascii="Times New Roman" w:hAnsi="Times New Roman" w:cs="Times New Roman"/>
                <w:sz w:val="22"/>
                <w:szCs w:val="22"/>
              </w:rPr>
            </w:pPr>
            <w:r w:rsidRPr="002E0607">
              <w:rPr>
                <w:rFonts w:ascii="Times New Roman" w:hAnsi="Times New Roman" w:cs="Times New Roman"/>
                <w:sz w:val="22"/>
                <w:szCs w:val="22"/>
              </w:rPr>
              <w:t>398</w:t>
            </w:r>
          </w:p>
        </w:tc>
        <w:tc>
          <w:tcPr>
            <w:tcW w:w="0" w:type="auto"/>
            <w:vAlign w:val="center"/>
            <w:hideMark/>
          </w:tcPr>
          <w:p w14:paraId="6B2A7F5E" w14:textId="77777777" w:rsidR="002A212C" w:rsidRPr="002E0607" w:rsidRDefault="002A212C" w:rsidP="002E0607">
            <w:pPr>
              <w:pStyle w:val="NoSpacing"/>
              <w:jc w:val="center"/>
              <w:rPr>
                <w:rFonts w:ascii="Times New Roman" w:hAnsi="Times New Roman" w:cs="Times New Roman"/>
                <w:sz w:val="22"/>
                <w:szCs w:val="22"/>
              </w:rPr>
            </w:pPr>
            <w:r w:rsidRPr="002E0607">
              <w:rPr>
                <w:rFonts w:ascii="Times New Roman" w:hAnsi="Times New Roman" w:cs="Times New Roman"/>
                <w:sz w:val="22"/>
                <w:szCs w:val="22"/>
              </w:rPr>
              <w:t>100</w:t>
            </w:r>
          </w:p>
        </w:tc>
        <w:tc>
          <w:tcPr>
            <w:tcW w:w="0" w:type="auto"/>
            <w:vAlign w:val="center"/>
            <w:hideMark/>
          </w:tcPr>
          <w:p w14:paraId="58651D8D" w14:textId="77777777" w:rsidR="002A212C" w:rsidRPr="002E0607" w:rsidRDefault="002A212C" w:rsidP="002E0607">
            <w:pPr>
              <w:pStyle w:val="NoSpacing"/>
              <w:jc w:val="center"/>
              <w:rPr>
                <w:rFonts w:ascii="Times New Roman" w:hAnsi="Times New Roman" w:cs="Times New Roman"/>
                <w:sz w:val="22"/>
                <w:szCs w:val="22"/>
              </w:rPr>
            </w:pPr>
            <w:r w:rsidRPr="002E0607">
              <w:rPr>
                <w:rFonts w:ascii="Times New Roman" w:hAnsi="Times New Roman" w:cs="Times New Roman"/>
                <w:sz w:val="22"/>
                <w:szCs w:val="22"/>
              </w:rPr>
              <w:t>184</w:t>
            </w:r>
          </w:p>
        </w:tc>
        <w:tc>
          <w:tcPr>
            <w:tcW w:w="0" w:type="auto"/>
            <w:vAlign w:val="center"/>
            <w:hideMark/>
          </w:tcPr>
          <w:p w14:paraId="3A2B9359" w14:textId="77777777" w:rsidR="002A212C" w:rsidRPr="002E0607" w:rsidRDefault="002A212C" w:rsidP="002E0607">
            <w:pPr>
              <w:pStyle w:val="NoSpacing"/>
              <w:jc w:val="center"/>
              <w:rPr>
                <w:rFonts w:ascii="Times New Roman" w:hAnsi="Times New Roman" w:cs="Times New Roman"/>
                <w:sz w:val="22"/>
                <w:szCs w:val="22"/>
              </w:rPr>
            </w:pPr>
            <w:r w:rsidRPr="002E0607">
              <w:rPr>
                <w:rFonts w:ascii="Times New Roman" w:hAnsi="Times New Roman" w:cs="Times New Roman"/>
                <w:sz w:val="22"/>
                <w:szCs w:val="22"/>
              </w:rPr>
              <w:t>202</w:t>
            </w:r>
          </w:p>
        </w:tc>
        <w:tc>
          <w:tcPr>
            <w:tcW w:w="0" w:type="auto"/>
            <w:vAlign w:val="center"/>
            <w:hideMark/>
          </w:tcPr>
          <w:p w14:paraId="34C0911A" w14:textId="77777777" w:rsidR="002A212C" w:rsidRPr="002E0607" w:rsidRDefault="002A212C" w:rsidP="002E0607">
            <w:pPr>
              <w:pStyle w:val="NoSpacing"/>
              <w:jc w:val="center"/>
              <w:rPr>
                <w:rFonts w:ascii="Times New Roman" w:hAnsi="Times New Roman" w:cs="Times New Roman"/>
                <w:sz w:val="22"/>
                <w:szCs w:val="22"/>
              </w:rPr>
            </w:pPr>
            <w:r w:rsidRPr="002E0607">
              <w:rPr>
                <w:rFonts w:ascii="Times New Roman" w:hAnsi="Times New Roman" w:cs="Times New Roman"/>
                <w:sz w:val="22"/>
                <w:szCs w:val="22"/>
              </w:rPr>
              <w:t>241</w:t>
            </w:r>
          </w:p>
        </w:tc>
      </w:tr>
      <w:tr w:rsidR="002A212C" w:rsidRPr="002E0607" w14:paraId="1D13D618" w14:textId="77777777" w:rsidTr="002E0607">
        <w:trPr>
          <w:trHeight w:val="256"/>
        </w:trPr>
        <w:tc>
          <w:tcPr>
            <w:tcW w:w="0" w:type="auto"/>
            <w:vAlign w:val="center"/>
            <w:hideMark/>
          </w:tcPr>
          <w:p w14:paraId="32333947" w14:textId="77777777" w:rsidR="002A212C" w:rsidRPr="002E0607" w:rsidRDefault="002A212C" w:rsidP="002E0607">
            <w:pPr>
              <w:pStyle w:val="NoSpacing"/>
              <w:rPr>
                <w:rFonts w:ascii="Times New Roman" w:hAnsi="Times New Roman" w:cs="Times New Roman"/>
                <w:sz w:val="22"/>
                <w:szCs w:val="22"/>
              </w:rPr>
            </w:pPr>
            <w:r w:rsidRPr="002E0607">
              <w:rPr>
                <w:rFonts w:ascii="Times New Roman" w:hAnsi="Times New Roman" w:cs="Times New Roman"/>
                <w:sz w:val="22"/>
                <w:szCs w:val="22"/>
              </w:rPr>
              <w:t>(b) Additional</w:t>
            </w:r>
          </w:p>
        </w:tc>
        <w:tc>
          <w:tcPr>
            <w:tcW w:w="0" w:type="auto"/>
            <w:vAlign w:val="center"/>
            <w:hideMark/>
          </w:tcPr>
          <w:p w14:paraId="72292F08" w14:textId="77777777" w:rsidR="002A212C" w:rsidRPr="002E0607" w:rsidRDefault="002A212C" w:rsidP="002E0607">
            <w:pPr>
              <w:pStyle w:val="NoSpacing"/>
              <w:jc w:val="center"/>
              <w:rPr>
                <w:rFonts w:ascii="Times New Roman" w:hAnsi="Times New Roman" w:cs="Times New Roman"/>
                <w:sz w:val="22"/>
                <w:szCs w:val="22"/>
              </w:rPr>
            </w:pPr>
            <w:r w:rsidRPr="002E0607">
              <w:rPr>
                <w:rFonts w:ascii="Times New Roman" w:hAnsi="Times New Roman" w:cs="Times New Roman"/>
                <w:sz w:val="22"/>
                <w:szCs w:val="22"/>
              </w:rPr>
              <w:t>..</w:t>
            </w:r>
          </w:p>
        </w:tc>
        <w:tc>
          <w:tcPr>
            <w:tcW w:w="0" w:type="auto"/>
            <w:vAlign w:val="center"/>
            <w:hideMark/>
          </w:tcPr>
          <w:p w14:paraId="30FE48BB" w14:textId="77777777" w:rsidR="002A212C" w:rsidRPr="002E0607" w:rsidRDefault="002A212C" w:rsidP="002E0607">
            <w:pPr>
              <w:pStyle w:val="NoSpacing"/>
              <w:jc w:val="center"/>
              <w:rPr>
                <w:rFonts w:ascii="Times New Roman" w:hAnsi="Times New Roman" w:cs="Times New Roman"/>
                <w:sz w:val="22"/>
                <w:szCs w:val="22"/>
              </w:rPr>
            </w:pPr>
            <w:r w:rsidRPr="002E0607">
              <w:rPr>
                <w:rFonts w:ascii="Times New Roman" w:hAnsi="Times New Roman" w:cs="Times New Roman"/>
                <w:sz w:val="22"/>
                <w:szCs w:val="22"/>
              </w:rPr>
              <w:t>128</w:t>
            </w:r>
          </w:p>
        </w:tc>
        <w:tc>
          <w:tcPr>
            <w:tcW w:w="0" w:type="auto"/>
            <w:vAlign w:val="center"/>
            <w:hideMark/>
          </w:tcPr>
          <w:p w14:paraId="26390D78" w14:textId="77777777" w:rsidR="002A212C" w:rsidRPr="002E0607" w:rsidRDefault="002A212C" w:rsidP="002E0607">
            <w:pPr>
              <w:pStyle w:val="NoSpacing"/>
              <w:jc w:val="center"/>
              <w:rPr>
                <w:rFonts w:ascii="Times New Roman" w:hAnsi="Times New Roman" w:cs="Times New Roman"/>
                <w:sz w:val="22"/>
                <w:szCs w:val="22"/>
              </w:rPr>
            </w:pPr>
            <w:r w:rsidRPr="002E0607">
              <w:rPr>
                <w:rFonts w:ascii="Times New Roman" w:hAnsi="Times New Roman" w:cs="Times New Roman"/>
                <w:sz w:val="22"/>
                <w:szCs w:val="22"/>
              </w:rPr>
              <w:t>217</w:t>
            </w:r>
          </w:p>
        </w:tc>
        <w:tc>
          <w:tcPr>
            <w:tcW w:w="0" w:type="auto"/>
            <w:vAlign w:val="center"/>
            <w:hideMark/>
          </w:tcPr>
          <w:p w14:paraId="75C67EC5" w14:textId="77777777" w:rsidR="002A212C" w:rsidRPr="002E0607" w:rsidRDefault="002A212C" w:rsidP="002E0607">
            <w:pPr>
              <w:pStyle w:val="NoSpacing"/>
              <w:jc w:val="center"/>
              <w:rPr>
                <w:rFonts w:ascii="Times New Roman" w:hAnsi="Times New Roman" w:cs="Times New Roman"/>
                <w:sz w:val="22"/>
                <w:szCs w:val="22"/>
              </w:rPr>
            </w:pPr>
            <w:r w:rsidRPr="002E0607">
              <w:rPr>
                <w:rFonts w:ascii="Times New Roman" w:hAnsi="Times New Roman" w:cs="Times New Roman"/>
                <w:sz w:val="22"/>
                <w:szCs w:val="22"/>
              </w:rPr>
              <w:t>46</w:t>
            </w:r>
          </w:p>
        </w:tc>
        <w:tc>
          <w:tcPr>
            <w:tcW w:w="0" w:type="auto"/>
            <w:vAlign w:val="center"/>
            <w:hideMark/>
          </w:tcPr>
          <w:p w14:paraId="5AFA4506" w14:textId="77777777" w:rsidR="002A212C" w:rsidRPr="002E0607" w:rsidRDefault="002A212C" w:rsidP="002E0607">
            <w:pPr>
              <w:pStyle w:val="NoSpacing"/>
              <w:jc w:val="center"/>
              <w:rPr>
                <w:rFonts w:ascii="Times New Roman" w:hAnsi="Times New Roman" w:cs="Times New Roman"/>
                <w:sz w:val="22"/>
                <w:szCs w:val="22"/>
              </w:rPr>
            </w:pPr>
            <w:r w:rsidRPr="002E0607">
              <w:rPr>
                <w:rFonts w:ascii="Times New Roman" w:hAnsi="Times New Roman" w:cs="Times New Roman"/>
                <w:sz w:val="22"/>
                <w:szCs w:val="22"/>
              </w:rPr>
              <w:t>47</w:t>
            </w:r>
          </w:p>
        </w:tc>
        <w:tc>
          <w:tcPr>
            <w:tcW w:w="0" w:type="auto"/>
            <w:vAlign w:val="center"/>
            <w:hideMark/>
          </w:tcPr>
          <w:p w14:paraId="4E36E1F4" w14:textId="77777777" w:rsidR="002A212C" w:rsidRPr="002E0607" w:rsidRDefault="002A212C" w:rsidP="002E0607">
            <w:pPr>
              <w:pStyle w:val="NoSpacing"/>
              <w:jc w:val="center"/>
              <w:rPr>
                <w:rFonts w:ascii="Times New Roman" w:hAnsi="Times New Roman" w:cs="Times New Roman"/>
                <w:sz w:val="22"/>
                <w:szCs w:val="22"/>
              </w:rPr>
            </w:pPr>
            <w:r w:rsidRPr="002E0607">
              <w:rPr>
                <w:rFonts w:ascii="Times New Roman" w:hAnsi="Times New Roman" w:cs="Times New Roman"/>
                <w:sz w:val="22"/>
                <w:szCs w:val="22"/>
              </w:rPr>
              <w:t>32</w:t>
            </w:r>
          </w:p>
        </w:tc>
        <w:tc>
          <w:tcPr>
            <w:tcW w:w="0" w:type="auto"/>
            <w:vAlign w:val="center"/>
            <w:hideMark/>
          </w:tcPr>
          <w:p w14:paraId="2A872143" w14:textId="77777777" w:rsidR="002A212C" w:rsidRPr="002E0607" w:rsidRDefault="002A212C" w:rsidP="002E0607">
            <w:pPr>
              <w:pStyle w:val="NoSpacing"/>
              <w:jc w:val="center"/>
              <w:rPr>
                <w:rFonts w:ascii="Times New Roman" w:hAnsi="Times New Roman" w:cs="Times New Roman"/>
                <w:sz w:val="22"/>
                <w:szCs w:val="22"/>
              </w:rPr>
            </w:pPr>
            <w:r w:rsidRPr="002E0607">
              <w:rPr>
                <w:rFonts w:ascii="Times New Roman" w:hAnsi="Times New Roman" w:cs="Times New Roman"/>
                <w:sz w:val="22"/>
                <w:szCs w:val="22"/>
              </w:rPr>
              <w:t>50</w:t>
            </w:r>
          </w:p>
        </w:tc>
      </w:tr>
      <w:tr w:rsidR="002A212C" w:rsidRPr="002E0607" w14:paraId="40EE61DA" w14:textId="77777777" w:rsidTr="002E0607">
        <w:trPr>
          <w:trHeight w:val="266"/>
        </w:trPr>
        <w:tc>
          <w:tcPr>
            <w:tcW w:w="0" w:type="auto"/>
            <w:vAlign w:val="center"/>
            <w:hideMark/>
          </w:tcPr>
          <w:p w14:paraId="1D090687" w14:textId="77777777" w:rsidR="002A212C" w:rsidRPr="002E0607" w:rsidRDefault="002A212C" w:rsidP="002E0607">
            <w:pPr>
              <w:pStyle w:val="NoSpacing"/>
              <w:rPr>
                <w:rFonts w:ascii="Times New Roman" w:hAnsi="Times New Roman" w:cs="Times New Roman"/>
                <w:sz w:val="22"/>
                <w:szCs w:val="22"/>
              </w:rPr>
            </w:pPr>
            <w:r w:rsidRPr="002E0607">
              <w:rPr>
                <w:rFonts w:ascii="Times New Roman" w:hAnsi="Times New Roman" w:cs="Times New Roman"/>
                <w:sz w:val="22"/>
                <w:szCs w:val="22"/>
              </w:rPr>
              <w:t>3. Tax on Railway Passenger Fare</w:t>
            </w:r>
          </w:p>
        </w:tc>
        <w:tc>
          <w:tcPr>
            <w:tcW w:w="0" w:type="auto"/>
            <w:vAlign w:val="center"/>
            <w:hideMark/>
          </w:tcPr>
          <w:p w14:paraId="7E4C182B" w14:textId="77777777" w:rsidR="002A212C" w:rsidRPr="002E0607" w:rsidRDefault="002A212C" w:rsidP="002E0607">
            <w:pPr>
              <w:pStyle w:val="NoSpacing"/>
              <w:jc w:val="center"/>
              <w:rPr>
                <w:rFonts w:ascii="Times New Roman" w:hAnsi="Times New Roman" w:cs="Times New Roman"/>
                <w:sz w:val="22"/>
                <w:szCs w:val="22"/>
              </w:rPr>
            </w:pPr>
            <w:r w:rsidRPr="002E0607">
              <w:rPr>
                <w:rFonts w:ascii="Times New Roman" w:hAnsi="Times New Roman" w:cs="Times New Roman"/>
                <w:sz w:val="22"/>
                <w:szCs w:val="22"/>
              </w:rPr>
              <w:t>..</w:t>
            </w:r>
          </w:p>
        </w:tc>
        <w:tc>
          <w:tcPr>
            <w:tcW w:w="0" w:type="auto"/>
            <w:vAlign w:val="center"/>
            <w:hideMark/>
          </w:tcPr>
          <w:p w14:paraId="4848337D" w14:textId="77777777" w:rsidR="002A212C" w:rsidRPr="002E0607" w:rsidRDefault="002A212C" w:rsidP="002E0607">
            <w:pPr>
              <w:pStyle w:val="NoSpacing"/>
              <w:jc w:val="center"/>
              <w:rPr>
                <w:rFonts w:ascii="Times New Roman" w:hAnsi="Times New Roman" w:cs="Times New Roman"/>
                <w:sz w:val="22"/>
                <w:szCs w:val="22"/>
              </w:rPr>
            </w:pPr>
            <w:r w:rsidRPr="002E0607">
              <w:rPr>
                <w:rFonts w:ascii="Times New Roman" w:hAnsi="Times New Roman" w:cs="Times New Roman"/>
                <w:sz w:val="22"/>
                <w:szCs w:val="22"/>
              </w:rPr>
              <w:t>43</w:t>
            </w:r>
          </w:p>
        </w:tc>
        <w:tc>
          <w:tcPr>
            <w:tcW w:w="0" w:type="auto"/>
            <w:vAlign w:val="center"/>
            <w:hideMark/>
          </w:tcPr>
          <w:p w14:paraId="14EC24A5" w14:textId="77777777" w:rsidR="002A212C" w:rsidRPr="002E0607" w:rsidRDefault="002A212C" w:rsidP="002E0607">
            <w:pPr>
              <w:pStyle w:val="NoSpacing"/>
              <w:jc w:val="center"/>
              <w:rPr>
                <w:rFonts w:ascii="Times New Roman" w:hAnsi="Times New Roman" w:cs="Times New Roman"/>
                <w:sz w:val="22"/>
                <w:szCs w:val="22"/>
              </w:rPr>
            </w:pPr>
            <w:r w:rsidRPr="002E0607">
              <w:rPr>
                <w:rFonts w:ascii="Times New Roman" w:hAnsi="Times New Roman" w:cs="Times New Roman"/>
                <w:sz w:val="22"/>
                <w:szCs w:val="22"/>
              </w:rPr>
              <w:t>..</w:t>
            </w:r>
          </w:p>
        </w:tc>
        <w:tc>
          <w:tcPr>
            <w:tcW w:w="0" w:type="auto"/>
            <w:vAlign w:val="center"/>
            <w:hideMark/>
          </w:tcPr>
          <w:p w14:paraId="42468670" w14:textId="77777777" w:rsidR="002A212C" w:rsidRPr="002E0607" w:rsidRDefault="002A212C" w:rsidP="002E0607">
            <w:pPr>
              <w:pStyle w:val="NoSpacing"/>
              <w:jc w:val="center"/>
              <w:rPr>
                <w:rFonts w:ascii="Times New Roman" w:hAnsi="Times New Roman" w:cs="Times New Roman"/>
                <w:sz w:val="22"/>
                <w:szCs w:val="22"/>
              </w:rPr>
            </w:pPr>
            <w:r w:rsidRPr="002E0607">
              <w:rPr>
                <w:rFonts w:ascii="Times New Roman" w:hAnsi="Times New Roman" w:cs="Times New Roman"/>
                <w:sz w:val="22"/>
                <w:szCs w:val="22"/>
              </w:rPr>
              <w:t>..</w:t>
            </w:r>
          </w:p>
        </w:tc>
        <w:tc>
          <w:tcPr>
            <w:tcW w:w="0" w:type="auto"/>
            <w:vAlign w:val="center"/>
            <w:hideMark/>
          </w:tcPr>
          <w:p w14:paraId="26A04EE1" w14:textId="77777777" w:rsidR="002A212C" w:rsidRPr="002E0607" w:rsidRDefault="002A212C" w:rsidP="002E0607">
            <w:pPr>
              <w:pStyle w:val="NoSpacing"/>
              <w:jc w:val="center"/>
              <w:rPr>
                <w:rFonts w:ascii="Times New Roman" w:hAnsi="Times New Roman" w:cs="Times New Roman"/>
                <w:sz w:val="22"/>
                <w:szCs w:val="22"/>
              </w:rPr>
            </w:pPr>
            <w:r w:rsidRPr="002E0607">
              <w:rPr>
                <w:rFonts w:ascii="Times New Roman" w:hAnsi="Times New Roman" w:cs="Times New Roman"/>
                <w:sz w:val="22"/>
                <w:szCs w:val="22"/>
              </w:rPr>
              <w:t>..</w:t>
            </w:r>
          </w:p>
        </w:tc>
        <w:tc>
          <w:tcPr>
            <w:tcW w:w="0" w:type="auto"/>
            <w:vAlign w:val="center"/>
            <w:hideMark/>
          </w:tcPr>
          <w:p w14:paraId="6EFEDF8F" w14:textId="77777777" w:rsidR="002A212C" w:rsidRPr="002E0607" w:rsidRDefault="002A212C" w:rsidP="002E0607">
            <w:pPr>
              <w:pStyle w:val="NoSpacing"/>
              <w:jc w:val="center"/>
              <w:rPr>
                <w:rFonts w:ascii="Times New Roman" w:hAnsi="Times New Roman" w:cs="Times New Roman"/>
                <w:sz w:val="22"/>
                <w:szCs w:val="22"/>
              </w:rPr>
            </w:pPr>
            <w:r w:rsidRPr="002E0607">
              <w:rPr>
                <w:rFonts w:ascii="Times New Roman" w:hAnsi="Times New Roman" w:cs="Times New Roman"/>
                <w:sz w:val="22"/>
                <w:szCs w:val="22"/>
              </w:rPr>
              <w:t>..</w:t>
            </w:r>
          </w:p>
        </w:tc>
        <w:tc>
          <w:tcPr>
            <w:tcW w:w="0" w:type="auto"/>
            <w:vAlign w:val="center"/>
            <w:hideMark/>
          </w:tcPr>
          <w:p w14:paraId="42D35847" w14:textId="77777777" w:rsidR="002A212C" w:rsidRPr="002E0607" w:rsidRDefault="002A212C" w:rsidP="002E0607">
            <w:pPr>
              <w:pStyle w:val="NoSpacing"/>
              <w:jc w:val="center"/>
              <w:rPr>
                <w:rFonts w:ascii="Times New Roman" w:hAnsi="Times New Roman" w:cs="Times New Roman"/>
                <w:sz w:val="22"/>
                <w:szCs w:val="22"/>
              </w:rPr>
            </w:pPr>
            <w:r w:rsidRPr="002E0607">
              <w:rPr>
                <w:rFonts w:ascii="Times New Roman" w:hAnsi="Times New Roman" w:cs="Times New Roman"/>
                <w:sz w:val="22"/>
                <w:szCs w:val="22"/>
              </w:rPr>
              <w:t>..</w:t>
            </w:r>
          </w:p>
        </w:tc>
      </w:tr>
      <w:tr w:rsidR="002A212C" w:rsidRPr="002E0607" w14:paraId="5DC9B7AC" w14:textId="77777777" w:rsidTr="002E0607">
        <w:trPr>
          <w:trHeight w:val="256"/>
        </w:trPr>
        <w:tc>
          <w:tcPr>
            <w:tcW w:w="0" w:type="auto"/>
            <w:vAlign w:val="center"/>
            <w:hideMark/>
          </w:tcPr>
          <w:p w14:paraId="142CBBAB" w14:textId="7B3368D6" w:rsidR="002A212C" w:rsidRPr="002E0607" w:rsidRDefault="00886EB4" w:rsidP="002E0607">
            <w:pPr>
              <w:pStyle w:val="NoSpacing"/>
              <w:rPr>
                <w:rFonts w:ascii="Times New Roman" w:hAnsi="Times New Roman" w:cs="Times New Roman"/>
                <w:sz w:val="22"/>
                <w:szCs w:val="22"/>
              </w:rPr>
            </w:pPr>
            <w:r>
              <w:rPr>
                <w:rFonts w:ascii="Times New Roman" w:hAnsi="Times New Roman" w:cs="Times New Roman"/>
                <w:sz w:val="22"/>
                <w:szCs w:val="22"/>
              </w:rPr>
              <w:t xml:space="preserve">4. </w:t>
            </w:r>
            <w:r w:rsidR="002A212C" w:rsidRPr="002E0607">
              <w:rPr>
                <w:rFonts w:ascii="Times New Roman" w:hAnsi="Times New Roman" w:cs="Times New Roman"/>
                <w:sz w:val="22"/>
                <w:szCs w:val="22"/>
              </w:rPr>
              <w:t>Estate Duty</w:t>
            </w:r>
          </w:p>
        </w:tc>
        <w:tc>
          <w:tcPr>
            <w:tcW w:w="0" w:type="auto"/>
            <w:vAlign w:val="center"/>
            <w:hideMark/>
          </w:tcPr>
          <w:p w14:paraId="13284FF0" w14:textId="77777777" w:rsidR="002A212C" w:rsidRPr="002E0607" w:rsidRDefault="002A212C" w:rsidP="002E0607">
            <w:pPr>
              <w:pStyle w:val="NoSpacing"/>
              <w:jc w:val="center"/>
              <w:rPr>
                <w:rFonts w:ascii="Times New Roman" w:hAnsi="Times New Roman" w:cs="Times New Roman"/>
                <w:sz w:val="22"/>
                <w:szCs w:val="22"/>
              </w:rPr>
            </w:pPr>
            <w:r w:rsidRPr="002E0607">
              <w:rPr>
                <w:rFonts w:ascii="Times New Roman" w:hAnsi="Times New Roman" w:cs="Times New Roman"/>
                <w:sz w:val="22"/>
                <w:szCs w:val="22"/>
              </w:rPr>
              <w:t>2</w:t>
            </w:r>
          </w:p>
        </w:tc>
        <w:tc>
          <w:tcPr>
            <w:tcW w:w="0" w:type="auto"/>
            <w:vAlign w:val="center"/>
            <w:hideMark/>
          </w:tcPr>
          <w:p w14:paraId="0C8F623D" w14:textId="77777777" w:rsidR="002A212C" w:rsidRPr="002E0607" w:rsidRDefault="002A212C" w:rsidP="002E0607">
            <w:pPr>
              <w:pStyle w:val="NoSpacing"/>
              <w:jc w:val="center"/>
              <w:rPr>
                <w:rFonts w:ascii="Times New Roman" w:hAnsi="Times New Roman" w:cs="Times New Roman"/>
                <w:sz w:val="22"/>
                <w:szCs w:val="22"/>
              </w:rPr>
            </w:pPr>
            <w:r w:rsidRPr="002E0607">
              <w:rPr>
                <w:rFonts w:ascii="Times New Roman" w:hAnsi="Times New Roman" w:cs="Times New Roman"/>
                <w:sz w:val="22"/>
                <w:szCs w:val="22"/>
              </w:rPr>
              <w:t>13</w:t>
            </w:r>
          </w:p>
        </w:tc>
        <w:tc>
          <w:tcPr>
            <w:tcW w:w="0" w:type="auto"/>
            <w:vAlign w:val="center"/>
            <w:hideMark/>
          </w:tcPr>
          <w:p w14:paraId="73B86C8A" w14:textId="77777777" w:rsidR="002A212C" w:rsidRPr="002E0607" w:rsidRDefault="002A212C" w:rsidP="002E0607">
            <w:pPr>
              <w:pStyle w:val="NoSpacing"/>
              <w:jc w:val="center"/>
              <w:rPr>
                <w:rFonts w:ascii="Times New Roman" w:hAnsi="Times New Roman" w:cs="Times New Roman"/>
                <w:sz w:val="22"/>
                <w:szCs w:val="22"/>
              </w:rPr>
            </w:pPr>
            <w:r w:rsidRPr="002E0607">
              <w:rPr>
                <w:rFonts w:ascii="Times New Roman" w:hAnsi="Times New Roman" w:cs="Times New Roman"/>
                <w:sz w:val="22"/>
                <w:szCs w:val="22"/>
              </w:rPr>
              <w:t>26</w:t>
            </w:r>
          </w:p>
        </w:tc>
        <w:tc>
          <w:tcPr>
            <w:tcW w:w="0" w:type="auto"/>
            <w:vAlign w:val="center"/>
            <w:hideMark/>
          </w:tcPr>
          <w:p w14:paraId="0528D4AF" w14:textId="77777777" w:rsidR="002A212C" w:rsidRPr="002E0607" w:rsidRDefault="002A212C" w:rsidP="002E0607">
            <w:pPr>
              <w:pStyle w:val="NoSpacing"/>
              <w:jc w:val="center"/>
              <w:rPr>
                <w:rFonts w:ascii="Times New Roman" w:hAnsi="Times New Roman" w:cs="Times New Roman"/>
                <w:sz w:val="22"/>
                <w:szCs w:val="22"/>
              </w:rPr>
            </w:pPr>
            <w:r w:rsidRPr="002E0607">
              <w:rPr>
                <w:rFonts w:ascii="Times New Roman" w:hAnsi="Times New Roman" w:cs="Times New Roman"/>
                <w:sz w:val="22"/>
                <w:szCs w:val="22"/>
              </w:rPr>
              <w:t>7</w:t>
            </w:r>
          </w:p>
        </w:tc>
        <w:tc>
          <w:tcPr>
            <w:tcW w:w="0" w:type="auto"/>
            <w:vAlign w:val="center"/>
            <w:hideMark/>
          </w:tcPr>
          <w:p w14:paraId="0A73FC71" w14:textId="77777777" w:rsidR="002A212C" w:rsidRPr="002E0607" w:rsidRDefault="002A212C" w:rsidP="002E0607">
            <w:pPr>
              <w:pStyle w:val="NoSpacing"/>
              <w:jc w:val="center"/>
              <w:rPr>
                <w:rFonts w:ascii="Times New Roman" w:hAnsi="Times New Roman" w:cs="Times New Roman"/>
                <w:sz w:val="22"/>
                <w:szCs w:val="22"/>
              </w:rPr>
            </w:pPr>
            <w:r w:rsidRPr="002E0607">
              <w:rPr>
                <w:rFonts w:ascii="Times New Roman" w:hAnsi="Times New Roman" w:cs="Times New Roman"/>
                <w:sz w:val="22"/>
                <w:szCs w:val="22"/>
              </w:rPr>
              <w:t>5</w:t>
            </w:r>
          </w:p>
        </w:tc>
        <w:tc>
          <w:tcPr>
            <w:tcW w:w="0" w:type="auto"/>
            <w:vAlign w:val="center"/>
            <w:hideMark/>
          </w:tcPr>
          <w:p w14:paraId="1EA83DBD" w14:textId="77777777" w:rsidR="002A212C" w:rsidRPr="002E0607" w:rsidRDefault="002A212C" w:rsidP="002E0607">
            <w:pPr>
              <w:pStyle w:val="NoSpacing"/>
              <w:jc w:val="center"/>
              <w:rPr>
                <w:rFonts w:ascii="Times New Roman" w:hAnsi="Times New Roman" w:cs="Times New Roman"/>
                <w:sz w:val="22"/>
                <w:szCs w:val="22"/>
              </w:rPr>
            </w:pPr>
            <w:r w:rsidRPr="002E0607">
              <w:rPr>
                <w:rFonts w:ascii="Times New Roman" w:hAnsi="Times New Roman" w:cs="Times New Roman"/>
                <w:sz w:val="22"/>
                <w:szCs w:val="22"/>
              </w:rPr>
              <w:t>7</w:t>
            </w:r>
          </w:p>
        </w:tc>
        <w:tc>
          <w:tcPr>
            <w:tcW w:w="0" w:type="auto"/>
            <w:vAlign w:val="center"/>
            <w:hideMark/>
          </w:tcPr>
          <w:p w14:paraId="37554876" w14:textId="77777777" w:rsidR="002A212C" w:rsidRPr="002E0607" w:rsidRDefault="002A212C" w:rsidP="002E0607">
            <w:pPr>
              <w:pStyle w:val="NoSpacing"/>
              <w:jc w:val="center"/>
              <w:rPr>
                <w:rFonts w:ascii="Times New Roman" w:hAnsi="Times New Roman" w:cs="Times New Roman"/>
                <w:sz w:val="22"/>
                <w:szCs w:val="22"/>
              </w:rPr>
            </w:pPr>
            <w:r w:rsidRPr="002E0607">
              <w:rPr>
                <w:rFonts w:ascii="Times New Roman" w:hAnsi="Times New Roman" w:cs="Times New Roman"/>
                <w:sz w:val="22"/>
                <w:szCs w:val="22"/>
              </w:rPr>
              <w:t>6</w:t>
            </w:r>
          </w:p>
        </w:tc>
      </w:tr>
      <w:tr w:rsidR="002A212C" w:rsidRPr="002E0607" w14:paraId="2DE83D24" w14:textId="77777777" w:rsidTr="002E0607">
        <w:trPr>
          <w:trHeight w:val="256"/>
        </w:trPr>
        <w:tc>
          <w:tcPr>
            <w:tcW w:w="0" w:type="auto"/>
            <w:vAlign w:val="center"/>
            <w:hideMark/>
          </w:tcPr>
          <w:p w14:paraId="1E983567" w14:textId="77777777" w:rsidR="002A212C" w:rsidRPr="002E0607" w:rsidRDefault="002A212C" w:rsidP="002E0607">
            <w:pPr>
              <w:pStyle w:val="NoSpacing"/>
              <w:rPr>
                <w:rFonts w:ascii="Times New Roman" w:hAnsi="Times New Roman" w:cs="Times New Roman"/>
                <w:sz w:val="22"/>
                <w:szCs w:val="22"/>
              </w:rPr>
            </w:pPr>
            <w:r w:rsidRPr="002E0607">
              <w:rPr>
                <w:rFonts w:ascii="Times New Roman" w:hAnsi="Times New Roman" w:cs="Times New Roman"/>
                <w:b/>
                <w:bCs/>
                <w:sz w:val="22"/>
                <w:szCs w:val="22"/>
              </w:rPr>
              <w:t>TOTAL I</w:t>
            </w:r>
          </w:p>
        </w:tc>
        <w:tc>
          <w:tcPr>
            <w:tcW w:w="0" w:type="auto"/>
            <w:vAlign w:val="center"/>
            <w:hideMark/>
          </w:tcPr>
          <w:p w14:paraId="504563D1" w14:textId="77777777" w:rsidR="002A212C" w:rsidRPr="002E0607" w:rsidRDefault="002A212C" w:rsidP="002E0607">
            <w:pPr>
              <w:pStyle w:val="NoSpacing"/>
              <w:jc w:val="center"/>
              <w:rPr>
                <w:rFonts w:ascii="Times New Roman" w:hAnsi="Times New Roman" w:cs="Times New Roman"/>
                <w:sz w:val="22"/>
                <w:szCs w:val="22"/>
              </w:rPr>
            </w:pPr>
            <w:r w:rsidRPr="002E0607">
              <w:rPr>
                <w:rFonts w:ascii="Times New Roman" w:hAnsi="Times New Roman" w:cs="Times New Roman"/>
                <w:b/>
                <w:bCs/>
                <w:sz w:val="22"/>
                <w:szCs w:val="22"/>
              </w:rPr>
              <w:t>326</w:t>
            </w:r>
          </w:p>
        </w:tc>
        <w:tc>
          <w:tcPr>
            <w:tcW w:w="0" w:type="auto"/>
            <w:vAlign w:val="center"/>
            <w:hideMark/>
          </w:tcPr>
          <w:p w14:paraId="111339FF" w14:textId="77777777" w:rsidR="002A212C" w:rsidRPr="002E0607" w:rsidRDefault="002A212C" w:rsidP="002E0607">
            <w:pPr>
              <w:pStyle w:val="NoSpacing"/>
              <w:jc w:val="center"/>
              <w:rPr>
                <w:rFonts w:ascii="Times New Roman" w:hAnsi="Times New Roman" w:cs="Times New Roman"/>
                <w:sz w:val="22"/>
                <w:szCs w:val="22"/>
              </w:rPr>
            </w:pPr>
            <w:r w:rsidRPr="002E0607">
              <w:rPr>
                <w:rFonts w:ascii="Times New Roman" w:hAnsi="Times New Roman" w:cs="Times New Roman"/>
                <w:b/>
                <w:bCs/>
                <w:sz w:val="22"/>
                <w:szCs w:val="22"/>
              </w:rPr>
              <w:t>712</w:t>
            </w:r>
          </w:p>
        </w:tc>
        <w:tc>
          <w:tcPr>
            <w:tcW w:w="0" w:type="auto"/>
            <w:vAlign w:val="center"/>
            <w:hideMark/>
          </w:tcPr>
          <w:p w14:paraId="29A4A2C9" w14:textId="77777777" w:rsidR="002A212C" w:rsidRPr="002E0607" w:rsidRDefault="002A212C" w:rsidP="002E0607">
            <w:pPr>
              <w:pStyle w:val="NoSpacing"/>
              <w:jc w:val="center"/>
              <w:rPr>
                <w:rFonts w:ascii="Times New Roman" w:hAnsi="Times New Roman" w:cs="Times New Roman"/>
                <w:sz w:val="22"/>
                <w:szCs w:val="22"/>
              </w:rPr>
            </w:pPr>
            <w:r w:rsidRPr="002E0607">
              <w:rPr>
                <w:rFonts w:ascii="Times New Roman" w:hAnsi="Times New Roman" w:cs="Times New Roman"/>
                <w:b/>
                <w:bCs/>
                <w:sz w:val="22"/>
                <w:szCs w:val="22"/>
              </w:rPr>
              <w:t>1196</w:t>
            </w:r>
          </w:p>
        </w:tc>
        <w:tc>
          <w:tcPr>
            <w:tcW w:w="0" w:type="auto"/>
            <w:vAlign w:val="center"/>
            <w:hideMark/>
          </w:tcPr>
          <w:p w14:paraId="2C05C6DF" w14:textId="77777777" w:rsidR="002A212C" w:rsidRPr="002E0607" w:rsidRDefault="002A212C" w:rsidP="002E0607">
            <w:pPr>
              <w:pStyle w:val="NoSpacing"/>
              <w:jc w:val="center"/>
              <w:rPr>
                <w:rFonts w:ascii="Times New Roman" w:hAnsi="Times New Roman" w:cs="Times New Roman"/>
                <w:sz w:val="22"/>
                <w:szCs w:val="22"/>
              </w:rPr>
            </w:pPr>
            <w:r w:rsidRPr="002E0607">
              <w:rPr>
                <w:rFonts w:ascii="Times New Roman" w:hAnsi="Times New Roman" w:cs="Times New Roman"/>
                <w:b/>
                <w:bCs/>
                <w:sz w:val="22"/>
                <w:szCs w:val="22"/>
              </w:rPr>
              <w:t>276</w:t>
            </w:r>
          </w:p>
        </w:tc>
        <w:tc>
          <w:tcPr>
            <w:tcW w:w="0" w:type="auto"/>
            <w:vAlign w:val="center"/>
            <w:hideMark/>
          </w:tcPr>
          <w:p w14:paraId="74AB2848" w14:textId="77777777" w:rsidR="002A212C" w:rsidRPr="002E0607" w:rsidRDefault="002A212C" w:rsidP="002E0607">
            <w:pPr>
              <w:pStyle w:val="NoSpacing"/>
              <w:jc w:val="center"/>
              <w:rPr>
                <w:rFonts w:ascii="Times New Roman" w:hAnsi="Times New Roman" w:cs="Times New Roman"/>
                <w:sz w:val="22"/>
                <w:szCs w:val="22"/>
              </w:rPr>
            </w:pPr>
            <w:r w:rsidRPr="002E0607">
              <w:rPr>
                <w:rFonts w:ascii="Times New Roman" w:hAnsi="Times New Roman" w:cs="Times New Roman"/>
                <w:b/>
                <w:bCs/>
                <w:sz w:val="22"/>
                <w:szCs w:val="22"/>
              </w:rPr>
              <w:t>373</w:t>
            </w:r>
          </w:p>
        </w:tc>
        <w:tc>
          <w:tcPr>
            <w:tcW w:w="0" w:type="auto"/>
            <w:vAlign w:val="center"/>
            <w:hideMark/>
          </w:tcPr>
          <w:p w14:paraId="6535591A" w14:textId="77777777" w:rsidR="002A212C" w:rsidRPr="002E0607" w:rsidRDefault="002A212C" w:rsidP="002E0607">
            <w:pPr>
              <w:pStyle w:val="NoSpacing"/>
              <w:jc w:val="center"/>
              <w:rPr>
                <w:rFonts w:ascii="Times New Roman" w:hAnsi="Times New Roman" w:cs="Times New Roman"/>
                <w:sz w:val="22"/>
                <w:szCs w:val="22"/>
              </w:rPr>
            </w:pPr>
            <w:r w:rsidRPr="002E0607">
              <w:rPr>
                <w:rFonts w:ascii="Times New Roman" w:hAnsi="Times New Roman" w:cs="Times New Roman"/>
                <w:b/>
                <w:bCs/>
                <w:sz w:val="22"/>
                <w:szCs w:val="22"/>
              </w:rPr>
              <w:t>416</w:t>
            </w:r>
          </w:p>
        </w:tc>
        <w:tc>
          <w:tcPr>
            <w:tcW w:w="0" w:type="auto"/>
            <w:vAlign w:val="center"/>
            <w:hideMark/>
          </w:tcPr>
          <w:p w14:paraId="4AA81987" w14:textId="77777777" w:rsidR="002A212C" w:rsidRPr="002E0607" w:rsidRDefault="002A212C" w:rsidP="002E0607">
            <w:pPr>
              <w:pStyle w:val="NoSpacing"/>
              <w:jc w:val="center"/>
              <w:rPr>
                <w:rFonts w:ascii="Times New Roman" w:hAnsi="Times New Roman" w:cs="Times New Roman"/>
                <w:sz w:val="22"/>
                <w:szCs w:val="22"/>
              </w:rPr>
            </w:pPr>
            <w:r w:rsidRPr="002E0607">
              <w:rPr>
                <w:rFonts w:ascii="Times New Roman" w:hAnsi="Times New Roman" w:cs="Times New Roman"/>
                <w:b/>
                <w:bCs/>
                <w:sz w:val="22"/>
                <w:szCs w:val="22"/>
              </w:rPr>
              <w:t>491</w:t>
            </w:r>
          </w:p>
        </w:tc>
      </w:tr>
      <w:tr w:rsidR="002A212C" w:rsidRPr="002E0607" w14:paraId="79373E34" w14:textId="77777777" w:rsidTr="002E0607">
        <w:trPr>
          <w:trHeight w:hRule="exact" w:val="4"/>
        </w:trPr>
        <w:tc>
          <w:tcPr>
            <w:tcW w:w="0" w:type="auto"/>
            <w:vAlign w:val="center"/>
            <w:hideMark/>
          </w:tcPr>
          <w:p w14:paraId="417E5389" w14:textId="77777777" w:rsidR="002A212C" w:rsidRPr="002E0607" w:rsidRDefault="002A212C" w:rsidP="002E0607">
            <w:pPr>
              <w:pStyle w:val="NoSpacing"/>
              <w:rPr>
                <w:rFonts w:ascii="Times New Roman" w:hAnsi="Times New Roman" w:cs="Times New Roman"/>
                <w:sz w:val="22"/>
                <w:szCs w:val="22"/>
              </w:rPr>
            </w:pPr>
          </w:p>
        </w:tc>
        <w:tc>
          <w:tcPr>
            <w:tcW w:w="0" w:type="auto"/>
            <w:vAlign w:val="center"/>
            <w:hideMark/>
          </w:tcPr>
          <w:p w14:paraId="26579739" w14:textId="77777777" w:rsidR="002A212C" w:rsidRPr="002E0607" w:rsidRDefault="002A212C" w:rsidP="002E0607">
            <w:pPr>
              <w:pStyle w:val="NoSpacing"/>
              <w:jc w:val="center"/>
              <w:rPr>
                <w:rFonts w:ascii="Times New Roman" w:hAnsi="Times New Roman" w:cs="Times New Roman"/>
                <w:sz w:val="22"/>
                <w:szCs w:val="22"/>
              </w:rPr>
            </w:pPr>
          </w:p>
        </w:tc>
        <w:tc>
          <w:tcPr>
            <w:tcW w:w="0" w:type="auto"/>
            <w:vAlign w:val="center"/>
            <w:hideMark/>
          </w:tcPr>
          <w:p w14:paraId="09512121" w14:textId="77777777" w:rsidR="002A212C" w:rsidRPr="002E0607" w:rsidRDefault="002A212C" w:rsidP="002E0607">
            <w:pPr>
              <w:pStyle w:val="NoSpacing"/>
              <w:jc w:val="center"/>
              <w:rPr>
                <w:rFonts w:ascii="Times New Roman" w:hAnsi="Times New Roman" w:cs="Times New Roman"/>
                <w:sz w:val="22"/>
                <w:szCs w:val="22"/>
              </w:rPr>
            </w:pPr>
          </w:p>
        </w:tc>
        <w:tc>
          <w:tcPr>
            <w:tcW w:w="0" w:type="auto"/>
            <w:vAlign w:val="center"/>
            <w:hideMark/>
          </w:tcPr>
          <w:p w14:paraId="0870A40B" w14:textId="77777777" w:rsidR="002A212C" w:rsidRPr="002E0607" w:rsidRDefault="002A212C" w:rsidP="002E0607">
            <w:pPr>
              <w:pStyle w:val="NoSpacing"/>
              <w:jc w:val="center"/>
              <w:rPr>
                <w:rFonts w:ascii="Times New Roman" w:hAnsi="Times New Roman" w:cs="Times New Roman"/>
                <w:sz w:val="22"/>
                <w:szCs w:val="22"/>
              </w:rPr>
            </w:pPr>
          </w:p>
        </w:tc>
        <w:tc>
          <w:tcPr>
            <w:tcW w:w="0" w:type="auto"/>
            <w:vAlign w:val="center"/>
            <w:hideMark/>
          </w:tcPr>
          <w:p w14:paraId="6451DE2F" w14:textId="77777777" w:rsidR="002A212C" w:rsidRPr="002E0607" w:rsidRDefault="002A212C" w:rsidP="002E0607">
            <w:pPr>
              <w:pStyle w:val="NoSpacing"/>
              <w:jc w:val="center"/>
              <w:rPr>
                <w:rFonts w:ascii="Times New Roman" w:hAnsi="Times New Roman" w:cs="Times New Roman"/>
                <w:sz w:val="22"/>
                <w:szCs w:val="22"/>
              </w:rPr>
            </w:pPr>
          </w:p>
        </w:tc>
        <w:tc>
          <w:tcPr>
            <w:tcW w:w="0" w:type="auto"/>
            <w:vAlign w:val="center"/>
            <w:hideMark/>
          </w:tcPr>
          <w:p w14:paraId="33C5A703" w14:textId="77777777" w:rsidR="002A212C" w:rsidRPr="002E0607" w:rsidRDefault="002A212C" w:rsidP="002E0607">
            <w:pPr>
              <w:pStyle w:val="NoSpacing"/>
              <w:jc w:val="center"/>
              <w:rPr>
                <w:rFonts w:ascii="Times New Roman" w:hAnsi="Times New Roman" w:cs="Times New Roman"/>
                <w:sz w:val="22"/>
                <w:szCs w:val="22"/>
              </w:rPr>
            </w:pPr>
          </w:p>
        </w:tc>
        <w:tc>
          <w:tcPr>
            <w:tcW w:w="0" w:type="auto"/>
            <w:vAlign w:val="center"/>
            <w:hideMark/>
          </w:tcPr>
          <w:p w14:paraId="40A4F42F" w14:textId="77777777" w:rsidR="002A212C" w:rsidRPr="002E0607" w:rsidRDefault="002A212C" w:rsidP="002E0607">
            <w:pPr>
              <w:pStyle w:val="NoSpacing"/>
              <w:jc w:val="center"/>
              <w:rPr>
                <w:rFonts w:ascii="Times New Roman" w:hAnsi="Times New Roman" w:cs="Times New Roman"/>
                <w:sz w:val="22"/>
                <w:szCs w:val="22"/>
              </w:rPr>
            </w:pPr>
          </w:p>
        </w:tc>
        <w:tc>
          <w:tcPr>
            <w:tcW w:w="0" w:type="auto"/>
            <w:vAlign w:val="center"/>
            <w:hideMark/>
          </w:tcPr>
          <w:p w14:paraId="13387D9A" w14:textId="77777777" w:rsidR="002A212C" w:rsidRPr="002E0607" w:rsidRDefault="002A212C" w:rsidP="002E0607">
            <w:pPr>
              <w:pStyle w:val="NoSpacing"/>
              <w:jc w:val="center"/>
              <w:rPr>
                <w:rFonts w:ascii="Times New Roman" w:hAnsi="Times New Roman" w:cs="Times New Roman"/>
                <w:sz w:val="22"/>
                <w:szCs w:val="22"/>
              </w:rPr>
            </w:pPr>
          </w:p>
        </w:tc>
      </w:tr>
      <w:tr w:rsidR="002A212C" w:rsidRPr="002E0607" w14:paraId="7401E307" w14:textId="77777777" w:rsidTr="002E0607">
        <w:trPr>
          <w:trHeight w:val="256"/>
        </w:trPr>
        <w:tc>
          <w:tcPr>
            <w:tcW w:w="0" w:type="auto"/>
            <w:vAlign w:val="center"/>
            <w:hideMark/>
          </w:tcPr>
          <w:p w14:paraId="575A591C" w14:textId="166C195D" w:rsidR="002A212C" w:rsidRPr="002E0607" w:rsidRDefault="002A212C" w:rsidP="002E0607">
            <w:pPr>
              <w:pStyle w:val="NoSpacing"/>
              <w:rPr>
                <w:rFonts w:ascii="Times New Roman" w:hAnsi="Times New Roman" w:cs="Times New Roman"/>
                <w:sz w:val="22"/>
                <w:szCs w:val="22"/>
              </w:rPr>
            </w:pPr>
            <w:r w:rsidRPr="002E0607">
              <w:rPr>
                <w:rFonts w:ascii="Times New Roman" w:hAnsi="Times New Roman" w:cs="Times New Roman"/>
                <w:b/>
                <w:bCs/>
                <w:sz w:val="22"/>
                <w:szCs w:val="22"/>
              </w:rPr>
              <w:t>II. Grants met from Revenue:</w:t>
            </w:r>
          </w:p>
        </w:tc>
        <w:tc>
          <w:tcPr>
            <w:tcW w:w="0" w:type="auto"/>
            <w:vAlign w:val="center"/>
            <w:hideMark/>
          </w:tcPr>
          <w:p w14:paraId="401969B4" w14:textId="77777777" w:rsidR="002A212C" w:rsidRPr="002E0607" w:rsidRDefault="002A212C" w:rsidP="002E0607">
            <w:pPr>
              <w:pStyle w:val="NoSpacing"/>
              <w:jc w:val="center"/>
              <w:rPr>
                <w:rFonts w:ascii="Times New Roman" w:hAnsi="Times New Roman" w:cs="Times New Roman"/>
                <w:sz w:val="22"/>
                <w:szCs w:val="22"/>
              </w:rPr>
            </w:pPr>
          </w:p>
        </w:tc>
        <w:tc>
          <w:tcPr>
            <w:tcW w:w="0" w:type="auto"/>
            <w:vAlign w:val="center"/>
            <w:hideMark/>
          </w:tcPr>
          <w:p w14:paraId="29F8F2C3" w14:textId="77777777" w:rsidR="002A212C" w:rsidRPr="002E0607" w:rsidRDefault="002A212C" w:rsidP="002E0607">
            <w:pPr>
              <w:pStyle w:val="NoSpacing"/>
              <w:jc w:val="center"/>
              <w:rPr>
                <w:rFonts w:ascii="Times New Roman" w:hAnsi="Times New Roman" w:cs="Times New Roman"/>
                <w:sz w:val="22"/>
                <w:szCs w:val="22"/>
              </w:rPr>
            </w:pPr>
          </w:p>
        </w:tc>
        <w:tc>
          <w:tcPr>
            <w:tcW w:w="0" w:type="auto"/>
            <w:vAlign w:val="center"/>
            <w:hideMark/>
          </w:tcPr>
          <w:p w14:paraId="4E85EA8C" w14:textId="77777777" w:rsidR="002A212C" w:rsidRPr="002E0607" w:rsidRDefault="002A212C" w:rsidP="002E0607">
            <w:pPr>
              <w:pStyle w:val="NoSpacing"/>
              <w:jc w:val="center"/>
              <w:rPr>
                <w:rFonts w:ascii="Times New Roman" w:hAnsi="Times New Roman" w:cs="Times New Roman"/>
                <w:sz w:val="22"/>
                <w:szCs w:val="22"/>
              </w:rPr>
            </w:pPr>
          </w:p>
        </w:tc>
        <w:tc>
          <w:tcPr>
            <w:tcW w:w="0" w:type="auto"/>
            <w:vAlign w:val="center"/>
            <w:hideMark/>
          </w:tcPr>
          <w:p w14:paraId="0283D02F" w14:textId="77777777" w:rsidR="002A212C" w:rsidRPr="002E0607" w:rsidRDefault="002A212C" w:rsidP="002E0607">
            <w:pPr>
              <w:pStyle w:val="NoSpacing"/>
              <w:jc w:val="center"/>
              <w:rPr>
                <w:rFonts w:ascii="Times New Roman" w:hAnsi="Times New Roman" w:cs="Times New Roman"/>
                <w:sz w:val="22"/>
                <w:szCs w:val="22"/>
              </w:rPr>
            </w:pPr>
          </w:p>
        </w:tc>
        <w:tc>
          <w:tcPr>
            <w:tcW w:w="0" w:type="auto"/>
            <w:vAlign w:val="center"/>
            <w:hideMark/>
          </w:tcPr>
          <w:p w14:paraId="15D64DF4" w14:textId="77777777" w:rsidR="002A212C" w:rsidRPr="002E0607" w:rsidRDefault="002A212C" w:rsidP="002E0607">
            <w:pPr>
              <w:pStyle w:val="NoSpacing"/>
              <w:jc w:val="center"/>
              <w:rPr>
                <w:rFonts w:ascii="Times New Roman" w:hAnsi="Times New Roman" w:cs="Times New Roman"/>
                <w:sz w:val="22"/>
                <w:szCs w:val="22"/>
              </w:rPr>
            </w:pPr>
          </w:p>
        </w:tc>
        <w:tc>
          <w:tcPr>
            <w:tcW w:w="0" w:type="auto"/>
            <w:vAlign w:val="center"/>
            <w:hideMark/>
          </w:tcPr>
          <w:p w14:paraId="597949EE" w14:textId="77777777" w:rsidR="002A212C" w:rsidRPr="002E0607" w:rsidRDefault="002A212C" w:rsidP="002E0607">
            <w:pPr>
              <w:pStyle w:val="NoSpacing"/>
              <w:jc w:val="center"/>
              <w:rPr>
                <w:rFonts w:ascii="Times New Roman" w:hAnsi="Times New Roman" w:cs="Times New Roman"/>
                <w:sz w:val="22"/>
                <w:szCs w:val="22"/>
              </w:rPr>
            </w:pPr>
          </w:p>
        </w:tc>
        <w:tc>
          <w:tcPr>
            <w:tcW w:w="0" w:type="auto"/>
            <w:vAlign w:val="center"/>
            <w:hideMark/>
          </w:tcPr>
          <w:p w14:paraId="1D161A76" w14:textId="77777777" w:rsidR="002A212C" w:rsidRPr="002E0607" w:rsidRDefault="002A212C" w:rsidP="002E0607">
            <w:pPr>
              <w:pStyle w:val="NoSpacing"/>
              <w:jc w:val="center"/>
              <w:rPr>
                <w:rFonts w:ascii="Times New Roman" w:hAnsi="Times New Roman" w:cs="Times New Roman"/>
                <w:sz w:val="22"/>
                <w:szCs w:val="22"/>
              </w:rPr>
            </w:pPr>
          </w:p>
        </w:tc>
      </w:tr>
      <w:tr w:rsidR="002A212C" w:rsidRPr="002E0607" w14:paraId="6D472AAB" w14:textId="77777777" w:rsidTr="002E0607">
        <w:trPr>
          <w:trHeight w:val="256"/>
        </w:trPr>
        <w:tc>
          <w:tcPr>
            <w:tcW w:w="0" w:type="auto"/>
            <w:vAlign w:val="center"/>
            <w:hideMark/>
          </w:tcPr>
          <w:p w14:paraId="076F6C4C" w14:textId="609A318F" w:rsidR="002A212C" w:rsidRPr="002E0607" w:rsidRDefault="002A212C" w:rsidP="002E0607">
            <w:pPr>
              <w:pStyle w:val="NoSpacing"/>
              <w:rPr>
                <w:rFonts w:ascii="Times New Roman" w:hAnsi="Times New Roman" w:cs="Times New Roman"/>
                <w:sz w:val="22"/>
                <w:szCs w:val="22"/>
              </w:rPr>
            </w:pPr>
            <w:r w:rsidRPr="002E0607">
              <w:rPr>
                <w:rFonts w:ascii="Times New Roman" w:hAnsi="Times New Roman" w:cs="Times New Roman"/>
                <w:b/>
                <w:bCs/>
                <w:sz w:val="22"/>
                <w:szCs w:val="22"/>
              </w:rPr>
              <w:t>A. Statutory Grants:</w:t>
            </w:r>
          </w:p>
        </w:tc>
        <w:tc>
          <w:tcPr>
            <w:tcW w:w="0" w:type="auto"/>
            <w:vAlign w:val="center"/>
            <w:hideMark/>
          </w:tcPr>
          <w:p w14:paraId="589A50B0" w14:textId="77777777" w:rsidR="002A212C" w:rsidRPr="002E0607" w:rsidRDefault="002A212C" w:rsidP="002E0607">
            <w:pPr>
              <w:pStyle w:val="NoSpacing"/>
              <w:jc w:val="center"/>
              <w:rPr>
                <w:rFonts w:ascii="Times New Roman" w:hAnsi="Times New Roman" w:cs="Times New Roman"/>
                <w:sz w:val="22"/>
                <w:szCs w:val="22"/>
              </w:rPr>
            </w:pPr>
          </w:p>
        </w:tc>
        <w:tc>
          <w:tcPr>
            <w:tcW w:w="0" w:type="auto"/>
            <w:vAlign w:val="center"/>
            <w:hideMark/>
          </w:tcPr>
          <w:p w14:paraId="331648CE" w14:textId="77777777" w:rsidR="002A212C" w:rsidRPr="002E0607" w:rsidRDefault="002A212C" w:rsidP="002E0607">
            <w:pPr>
              <w:pStyle w:val="NoSpacing"/>
              <w:jc w:val="center"/>
              <w:rPr>
                <w:rFonts w:ascii="Times New Roman" w:hAnsi="Times New Roman" w:cs="Times New Roman"/>
                <w:sz w:val="22"/>
                <w:szCs w:val="22"/>
              </w:rPr>
            </w:pPr>
          </w:p>
        </w:tc>
        <w:tc>
          <w:tcPr>
            <w:tcW w:w="0" w:type="auto"/>
            <w:vAlign w:val="center"/>
            <w:hideMark/>
          </w:tcPr>
          <w:p w14:paraId="78F3CAA5" w14:textId="77777777" w:rsidR="002A212C" w:rsidRPr="002E0607" w:rsidRDefault="002A212C" w:rsidP="002E0607">
            <w:pPr>
              <w:pStyle w:val="NoSpacing"/>
              <w:jc w:val="center"/>
              <w:rPr>
                <w:rFonts w:ascii="Times New Roman" w:hAnsi="Times New Roman" w:cs="Times New Roman"/>
                <w:sz w:val="22"/>
                <w:szCs w:val="22"/>
              </w:rPr>
            </w:pPr>
          </w:p>
        </w:tc>
        <w:tc>
          <w:tcPr>
            <w:tcW w:w="0" w:type="auto"/>
            <w:vAlign w:val="center"/>
            <w:hideMark/>
          </w:tcPr>
          <w:p w14:paraId="3BB2048B" w14:textId="77777777" w:rsidR="002A212C" w:rsidRPr="002E0607" w:rsidRDefault="002A212C" w:rsidP="002E0607">
            <w:pPr>
              <w:pStyle w:val="NoSpacing"/>
              <w:jc w:val="center"/>
              <w:rPr>
                <w:rFonts w:ascii="Times New Roman" w:hAnsi="Times New Roman" w:cs="Times New Roman"/>
                <w:sz w:val="22"/>
                <w:szCs w:val="22"/>
              </w:rPr>
            </w:pPr>
          </w:p>
        </w:tc>
        <w:tc>
          <w:tcPr>
            <w:tcW w:w="0" w:type="auto"/>
            <w:vAlign w:val="center"/>
            <w:hideMark/>
          </w:tcPr>
          <w:p w14:paraId="376511DA" w14:textId="77777777" w:rsidR="002A212C" w:rsidRPr="002E0607" w:rsidRDefault="002A212C" w:rsidP="002E0607">
            <w:pPr>
              <w:pStyle w:val="NoSpacing"/>
              <w:jc w:val="center"/>
              <w:rPr>
                <w:rFonts w:ascii="Times New Roman" w:hAnsi="Times New Roman" w:cs="Times New Roman"/>
                <w:sz w:val="22"/>
                <w:szCs w:val="22"/>
              </w:rPr>
            </w:pPr>
          </w:p>
        </w:tc>
        <w:tc>
          <w:tcPr>
            <w:tcW w:w="0" w:type="auto"/>
            <w:vAlign w:val="center"/>
            <w:hideMark/>
          </w:tcPr>
          <w:p w14:paraId="3B6AAB5E" w14:textId="77777777" w:rsidR="002A212C" w:rsidRPr="002E0607" w:rsidRDefault="002A212C" w:rsidP="002E0607">
            <w:pPr>
              <w:pStyle w:val="NoSpacing"/>
              <w:jc w:val="center"/>
              <w:rPr>
                <w:rFonts w:ascii="Times New Roman" w:hAnsi="Times New Roman" w:cs="Times New Roman"/>
                <w:sz w:val="22"/>
                <w:szCs w:val="22"/>
              </w:rPr>
            </w:pPr>
          </w:p>
        </w:tc>
        <w:tc>
          <w:tcPr>
            <w:tcW w:w="0" w:type="auto"/>
            <w:vAlign w:val="center"/>
            <w:hideMark/>
          </w:tcPr>
          <w:p w14:paraId="063D0075" w14:textId="77777777" w:rsidR="002A212C" w:rsidRPr="002E0607" w:rsidRDefault="002A212C" w:rsidP="002E0607">
            <w:pPr>
              <w:pStyle w:val="NoSpacing"/>
              <w:jc w:val="center"/>
              <w:rPr>
                <w:rFonts w:ascii="Times New Roman" w:hAnsi="Times New Roman" w:cs="Times New Roman"/>
                <w:sz w:val="22"/>
                <w:szCs w:val="22"/>
              </w:rPr>
            </w:pPr>
          </w:p>
        </w:tc>
      </w:tr>
      <w:tr w:rsidR="002A212C" w:rsidRPr="002E0607" w14:paraId="3846D157" w14:textId="77777777" w:rsidTr="002E0607">
        <w:trPr>
          <w:trHeight w:val="256"/>
        </w:trPr>
        <w:tc>
          <w:tcPr>
            <w:tcW w:w="0" w:type="auto"/>
            <w:vAlign w:val="center"/>
            <w:hideMark/>
          </w:tcPr>
          <w:p w14:paraId="5E3CDBBA" w14:textId="77777777" w:rsidR="002A212C" w:rsidRPr="002E0607" w:rsidRDefault="002A212C" w:rsidP="002E0607">
            <w:pPr>
              <w:pStyle w:val="NoSpacing"/>
              <w:rPr>
                <w:rFonts w:ascii="Times New Roman" w:hAnsi="Times New Roman" w:cs="Times New Roman"/>
                <w:sz w:val="22"/>
                <w:szCs w:val="22"/>
              </w:rPr>
            </w:pPr>
            <w:r w:rsidRPr="002E0607">
              <w:rPr>
                <w:rFonts w:ascii="Times New Roman" w:hAnsi="Times New Roman" w:cs="Times New Roman"/>
                <w:sz w:val="22"/>
                <w:szCs w:val="22"/>
              </w:rPr>
              <w:t>1. Grants under Article 273 of the Constitution</w:t>
            </w:r>
          </w:p>
        </w:tc>
        <w:tc>
          <w:tcPr>
            <w:tcW w:w="0" w:type="auto"/>
            <w:vAlign w:val="center"/>
            <w:hideMark/>
          </w:tcPr>
          <w:p w14:paraId="5FC66747" w14:textId="77777777" w:rsidR="002A212C" w:rsidRPr="002E0607" w:rsidRDefault="002A212C" w:rsidP="002E0607">
            <w:pPr>
              <w:pStyle w:val="NoSpacing"/>
              <w:jc w:val="center"/>
              <w:rPr>
                <w:rFonts w:ascii="Times New Roman" w:hAnsi="Times New Roman" w:cs="Times New Roman"/>
                <w:sz w:val="22"/>
                <w:szCs w:val="22"/>
              </w:rPr>
            </w:pPr>
            <w:r w:rsidRPr="002E0607">
              <w:rPr>
                <w:rFonts w:ascii="Times New Roman" w:hAnsi="Times New Roman" w:cs="Times New Roman"/>
                <w:sz w:val="22"/>
                <w:szCs w:val="22"/>
              </w:rPr>
              <w:t>14</w:t>
            </w:r>
          </w:p>
        </w:tc>
        <w:tc>
          <w:tcPr>
            <w:tcW w:w="0" w:type="auto"/>
            <w:vAlign w:val="center"/>
            <w:hideMark/>
          </w:tcPr>
          <w:p w14:paraId="59750088" w14:textId="77777777" w:rsidR="002A212C" w:rsidRPr="002E0607" w:rsidRDefault="002A212C" w:rsidP="002E0607">
            <w:pPr>
              <w:pStyle w:val="NoSpacing"/>
              <w:jc w:val="center"/>
              <w:rPr>
                <w:rFonts w:ascii="Times New Roman" w:hAnsi="Times New Roman" w:cs="Times New Roman"/>
                <w:sz w:val="22"/>
                <w:szCs w:val="22"/>
              </w:rPr>
            </w:pPr>
            <w:r w:rsidRPr="002E0607">
              <w:rPr>
                <w:rFonts w:ascii="Times New Roman" w:hAnsi="Times New Roman" w:cs="Times New Roman"/>
                <w:sz w:val="22"/>
                <w:szCs w:val="22"/>
              </w:rPr>
              <w:t>13</w:t>
            </w:r>
          </w:p>
        </w:tc>
        <w:tc>
          <w:tcPr>
            <w:tcW w:w="0" w:type="auto"/>
            <w:vAlign w:val="center"/>
            <w:hideMark/>
          </w:tcPr>
          <w:p w14:paraId="78A25744" w14:textId="77777777" w:rsidR="002A212C" w:rsidRPr="002E0607" w:rsidRDefault="002A212C" w:rsidP="002E0607">
            <w:pPr>
              <w:pStyle w:val="NoSpacing"/>
              <w:jc w:val="center"/>
              <w:rPr>
                <w:rFonts w:ascii="Times New Roman" w:hAnsi="Times New Roman" w:cs="Times New Roman"/>
                <w:sz w:val="22"/>
                <w:szCs w:val="22"/>
              </w:rPr>
            </w:pPr>
            <w:r w:rsidRPr="002E0607">
              <w:rPr>
                <w:rFonts w:ascii="Times New Roman" w:hAnsi="Times New Roman" w:cs="Times New Roman"/>
                <w:sz w:val="22"/>
                <w:szCs w:val="22"/>
              </w:rPr>
              <w:t>..</w:t>
            </w:r>
          </w:p>
        </w:tc>
        <w:tc>
          <w:tcPr>
            <w:tcW w:w="0" w:type="auto"/>
            <w:vAlign w:val="center"/>
            <w:hideMark/>
          </w:tcPr>
          <w:p w14:paraId="06FAC132" w14:textId="77777777" w:rsidR="002A212C" w:rsidRPr="002E0607" w:rsidRDefault="002A212C" w:rsidP="002E0607">
            <w:pPr>
              <w:pStyle w:val="NoSpacing"/>
              <w:jc w:val="center"/>
              <w:rPr>
                <w:rFonts w:ascii="Times New Roman" w:hAnsi="Times New Roman" w:cs="Times New Roman"/>
                <w:sz w:val="22"/>
                <w:szCs w:val="22"/>
              </w:rPr>
            </w:pPr>
            <w:r w:rsidRPr="002E0607">
              <w:rPr>
                <w:rFonts w:ascii="Times New Roman" w:hAnsi="Times New Roman" w:cs="Times New Roman"/>
                <w:sz w:val="22"/>
                <w:szCs w:val="22"/>
              </w:rPr>
              <w:t>..</w:t>
            </w:r>
          </w:p>
        </w:tc>
        <w:tc>
          <w:tcPr>
            <w:tcW w:w="0" w:type="auto"/>
            <w:vAlign w:val="center"/>
            <w:hideMark/>
          </w:tcPr>
          <w:p w14:paraId="5CD24772" w14:textId="77777777" w:rsidR="002A212C" w:rsidRPr="002E0607" w:rsidRDefault="002A212C" w:rsidP="002E0607">
            <w:pPr>
              <w:pStyle w:val="NoSpacing"/>
              <w:jc w:val="center"/>
              <w:rPr>
                <w:rFonts w:ascii="Times New Roman" w:hAnsi="Times New Roman" w:cs="Times New Roman"/>
                <w:sz w:val="22"/>
                <w:szCs w:val="22"/>
              </w:rPr>
            </w:pPr>
            <w:r w:rsidRPr="002E0607">
              <w:rPr>
                <w:rFonts w:ascii="Times New Roman" w:hAnsi="Times New Roman" w:cs="Times New Roman"/>
                <w:sz w:val="22"/>
                <w:szCs w:val="22"/>
              </w:rPr>
              <w:t>..</w:t>
            </w:r>
          </w:p>
        </w:tc>
        <w:tc>
          <w:tcPr>
            <w:tcW w:w="0" w:type="auto"/>
            <w:vAlign w:val="center"/>
            <w:hideMark/>
          </w:tcPr>
          <w:p w14:paraId="0A0BC7AB" w14:textId="77777777" w:rsidR="002A212C" w:rsidRPr="002E0607" w:rsidRDefault="002A212C" w:rsidP="002E0607">
            <w:pPr>
              <w:pStyle w:val="NoSpacing"/>
              <w:jc w:val="center"/>
              <w:rPr>
                <w:rFonts w:ascii="Times New Roman" w:hAnsi="Times New Roman" w:cs="Times New Roman"/>
                <w:sz w:val="22"/>
                <w:szCs w:val="22"/>
              </w:rPr>
            </w:pPr>
            <w:r w:rsidRPr="002E0607">
              <w:rPr>
                <w:rFonts w:ascii="Times New Roman" w:hAnsi="Times New Roman" w:cs="Times New Roman"/>
                <w:sz w:val="22"/>
                <w:szCs w:val="22"/>
              </w:rPr>
              <w:t>..</w:t>
            </w:r>
          </w:p>
        </w:tc>
        <w:tc>
          <w:tcPr>
            <w:tcW w:w="0" w:type="auto"/>
            <w:vAlign w:val="center"/>
            <w:hideMark/>
          </w:tcPr>
          <w:p w14:paraId="00F7AA24" w14:textId="77777777" w:rsidR="002A212C" w:rsidRPr="002E0607" w:rsidRDefault="002A212C" w:rsidP="002E0607">
            <w:pPr>
              <w:pStyle w:val="NoSpacing"/>
              <w:jc w:val="center"/>
              <w:rPr>
                <w:rFonts w:ascii="Times New Roman" w:hAnsi="Times New Roman" w:cs="Times New Roman"/>
                <w:sz w:val="22"/>
                <w:szCs w:val="22"/>
              </w:rPr>
            </w:pPr>
            <w:r w:rsidRPr="002E0607">
              <w:rPr>
                <w:rFonts w:ascii="Times New Roman" w:hAnsi="Times New Roman" w:cs="Times New Roman"/>
                <w:sz w:val="22"/>
                <w:szCs w:val="22"/>
              </w:rPr>
              <w:t>..</w:t>
            </w:r>
          </w:p>
        </w:tc>
      </w:tr>
      <w:tr w:rsidR="002A212C" w:rsidRPr="002E0607" w14:paraId="417465CB" w14:textId="77777777" w:rsidTr="002E0607">
        <w:trPr>
          <w:trHeight w:val="524"/>
        </w:trPr>
        <w:tc>
          <w:tcPr>
            <w:tcW w:w="0" w:type="auto"/>
            <w:vAlign w:val="center"/>
            <w:hideMark/>
          </w:tcPr>
          <w:p w14:paraId="0FD9BB2B" w14:textId="77777777" w:rsidR="002A212C" w:rsidRPr="002E0607" w:rsidRDefault="002A212C" w:rsidP="002E0607">
            <w:pPr>
              <w:pStyle w:val="NoSpacing"/>
              <w:rPr>
                <w:rFonts w:ascii="Times New Roman" w:hAnsi="Times New Roman" w:cs="Times New Roman"/>
                <w:sz w:val="22"/>
                <w:szCs w:val="22"/>
              </w:rPr>
            </w:pPr>
            <w:r w:rsidRPr="002E0607">
              <w:rPr>
                <w:rFonts w:ascii="Times New Roman" w:hAnsi="Times New Roman" w:cs="Times New Roman"/>
                <w:sz w:val="22"/>
                <w:szCs w:val="22"/>
              </w:rPr>
              <w:t>2. Grants under substantive provision of Article 275 (1) of the Constitution</w:t>
            </w:r>
          </w:p>
        </w:tc>
        <w:tc>
          <w:tcPr>
            <w:tcW w:w="0" w:type="auto"/>
            <w:vAlign w:val="center"/>
            <w:hideMark/>
          </w:tcPr>
          <w:p w14:paraId="2EEE2748" w14:textId="77777777" w:rsidR="002A212C" w:rsidRPr="002E0607" w:rsidRDefault="002A212C" w:rsidP="002E0607">
            <w:pPr>
              <w:pStyle w:val="NoSpacing"/>
              <w:jc w:val="center"/>
              <w:rPr>
                <w:rFonts w:ascii="Times New Roman" w:hAnsi="Times New Roman" w:cs="Times New Roman"/>
                <w:sz w:val="22"/>
                <w:szCs w:val="22"/>
              </w:rPr>
            </w:pPr>
            <w:r w:rsidRPr="002E0607">
              <w:rPr>
                <w:rFonts w:ascii="Times New Roman" w:hAnsi="Times New Roman" w:cs="Times New Roman"/>
                <w:sz w:val="22"/>
                <w:szCs w:val="22"/>
              </w:rPr>
              <w:t>27</w:t>
            </w:r>
          </w:p>
        </w:tc>
        <w:tc>
          <w:tcPr>
            <w:tcW w:w="0" w:type="auto"/>
            <w:vAlign w:val="center"/>
            <w:hideMark/>
          </w:tcPr>
          <w:p w14:paraId="0165B3A7" w14:textId="77777777" w:rsidR="002A212C" w:rsidRPr="002E0607" w:rsidRDefault="002A212C" w:rsidP="002E0607">
            <w:pPr>
              <w:pStyle w:val="NoSpacing"/>
              <w:jc w:val="center"/>
              <w:rPr>
                <w:rFonts w:ascii="Times New Roman" w:hAnsi="Times New Roman" w:cs="Times New Roman"/>
                <w:sz w:val="22"/>
                <w:szCs w:val="22"/>
              </w:rPr>
            </w:pPr>
            <w:r w:rsidRPr="002E0607">
              <w:rPr>
                <w:rFonts w:ascii="Times New Roman" w:hAnsi="Times New Roman" w:cs="Times New Roman"/>
                <w:sz w:val="22"/>
                <w:szCs w:val="22"/>
              </w:rPr>
              <w:t>153</w:t>
            </w:r>
          </w:p>
        </w:tc>
        <w:tc>
          <w:tcPr>
            <w:tcW w:w="0" w:type="auto"/>
            <w:vAlign w:val="center"/>
            <w:hideMark/>
          </w:tcPr>
          <w:p w14:paraId="35A9AD83" w14:textId="77777777" w:rsidR="002A212C" w:rsidRPr="002E0607" w:rsidRDefault="002A212C" w:rsidP="002E0607">
            <w:pPr>
              <w:pStyle w:val="NoSpacing"/>
              <w:jc w:val="center"/>
              <w:rPr>
                <w:rFonts w:ascii="Times New Roman" w:hAnsi="Times New Roman" w:cs="Times New Roman"/>
                <w:sz w:val="22"/>
                <w:szCs w:val="22"/>
              </w:rPr>
            </w:pPr>
            <w:r w:rsidRPr="002E0607">
              <w:rPr>
                <w:rFonts w:ascii="Times New Roman" w:hAnsi="Times New Roman" w:cs="Times New Roman"/>
                <w:sz w:val="22"/>
                <w:szCs w:val="22"/>
              </w:rPr>
              <w:t>290</w:t>
            </w:r>
          </w:p>
        </w:tc>
        <w:tc>
          <w:tcPr>
            <w:tcW w:w="0" w:type="auto"/>
            <w:vAlign w:val="center"/>
            <w:hideMark/>
          </w:tcPr>
          <w:p w14:paraId="49725BFF" w14:textId="77777777" w:rsidR="002A212C" w:rsidRPr="002E0607" w:rsidRDefault="002A212C" w:rsidP="002E0607">
            <w:pPr>
              <w:pStyle w:val="NoSpacing"/>
              <w:jc w:val="center"/>
              <w:rPr>
                <w:rFonts w:ascii="Times New Roman" w:hAnsi="Times New Roman" w:cs="Times New Roman"/>
                <w:sz w:val="22"/>
                <w:szCs w:val="22"/>
              </w:rPr>
            </w:pPr>
            <w:r w:rsidRPr="002E0607">
              <w:rPr>
                <w:rFonts w:ascii="Times New Roman" w:hAnsi="Times New Roman" w:cs="Times New Roman"/>
                <w:sz w:val="22"/>
                <w:szCs w:val="22"/>
              </w:rPr>
              <w:t>64</w:t>
            </w:r>
          </w:p>
        </w:tc>
        <w:tc>
          <w:tcPr>
            <w:tcW w:w="0" w:type="auto"/>
            <w:vAlign w:val="center"/>
            <w:hideMark/>
          </w:tcPr>
          <w:p w14:paraId="43403009" w14:textId="77777777" w:rsidR="002A212C" w:rsidRPr="002E0607" w:rsidRDefault="002A212C" w:rsidP="002E0607">
            <w:pPr>
              <w:pStyle w:val="NoSpacing"/>
              <w:jc w:val="center"/>
              <w:rPr>
                <w:rFonts w:ascii="Times New Roman" w:hAnsi="Times New Roman" w:cs="Times New Roman"/>
                <w:sz w:val="22"/>
                <w:szCs w:val="22"/>
              </w:rPr>
            </w:pPr>
            <w:r w:rsidRPr="002E0607">
              <w:rPr>
                <w:rFonts w:ascii="Times New Roman" w:hAnsi="Times New Roman" w:cs="Times New Roman"/>
                <w:sz w:val="22"/>
                <w:szCs w:val="22"/>
              </w:rPr>
              <w:t>141</w:t>
            </w:r>
          </w:p>
        </w:tc>
        <w:tc>
          <w:tcPr>
            <w:tcW w:w="0" w:type="auto"/>
            <w:vAlign w:val="center"/>
            <w:hideMark/>
          </w:tcPr>
          <w:p w14:paraId="107FA06A" w14:textId="77777777" w:rsidR="002A212C" w:rsidRPr="002E0607" w:rsidRDefault="002A212C" w:rsidP="002E0607">
            <w:pPr>
              <w:pStyle w:val="NoSpacing"/>
              <w:jc w:val="center"/>
              <w:rPr>
                <w:rFonts w:ascii="Times New Roman" w:hAnsi="Times New Roman" w:cs="Times New Roman"/>
                <w:sz w:val="22"/>
                <w:szCs w:val="22"/>
              </w:rPr>
            </w:pPr>
            <w:r w:rsidRPr="002E0607">
              <w:rPr>
                <w:rFonts w:ascii="Times New Roman" w:hAnsi="Times New Roman" w:cs="Times New Roman"/>
                <w:sz w:val="22"/>
                <w:szCs w:val="22"/>
              </w:rPr>
              <w:t>141</w:t>
            </w:r>
          </w:p>
        </w:tc>
        <w:tc>
          <w:tcPr>
            <w:tcW w:w="0" w:type="auto"/>
            <w:vAlign w:val="center"/>
            <w:hideMark/>
          </w:tcPr>
          <w:p w14:paraId="0B39BF81" w14:textId="77777777" w:rsidR="002A212C" w:rsidRPr="002E0607" w:rsidRDefault="002A212C" w:rsidP="002E0607">
            <w:pPr>
              <w:pStyle w:val="NoSpacing"/>
              <w:jc w:val="center"/>
              <w:rPr>
                <w:rFonts w:ascii="Times New Roman" w:hAnsi="Times New Roman" w:cs="Times New Roman"/>
                <w:sz w:val="22"/>
                <w:szCs w:val="22"/>
              </w:rPr>
            </w:pPr>
            <w:r w:rsidRPr="002E0607">
              <w:rPr>
                <w:rFonts w:ascii="Times New Roman" w:hAnsi="Times New Roman" w:cs="Times New Roman"/>
                <w:sz w:val="22"/>
                <w:szCs w:val="22"/>
              </w:rPr>
              <w:t>141</w:t>
            </w:r>
          </w:p>
        </w:tc>
      </w:tr>
      <w:tr w:rsidR="002A212C" w:rsidRPr="002E0607" w14:paraId="63264AF9" w14:textId="77777777" w:rsidTr="002E0607">
        <w:trPr>
          <w:trHeight w:val="514"/>
        </w:trPr>
        <w:tc>
          <w:tcPr>
            <w:tcW w:w="0" w:type="auto"/>
            <w:vAlign w:val="center"/>
            <w:hideMark/>
          </w:tcPr>
          <w:p w14:paraId="297203D9" w14:textId="77777777" w:rsidR="002A212C" w:rsidRPr="002E0607" w:rsidRDefault="002A212C" w:rsidP="002E0607">
            <w:pPr>
              <w:pStyle w:val="NoSpacing"/>
              <w:rPr>
                <w:rFonts w:ascii="Times New Roman" w:hAnsi="Times New Roman" w:cs="Times New Roman"/>
                <w:sz w:val="22"/>
                <w:szCs w:val="22"/>
              </w:rPr>
            </w:pPr>
            <w:r w:rsidRPr="002E0607">
              <w:rPr>
                <w:rFonts w:ascii="Times New Roman" w:hAnsi="Times New Roman" w:cs="Times New Roman"/>
                <w:sz w:val="22"/>
                <w:szCs w:val="22"/>
              </w:rPr>
              <w:t>3. Grants under Proviso to Article 275(1) of the Constitution</w:t>
            </w:r>
          </w:p>
        </w:tc>
        <w:tc>
          <w:tcPr>
            <w:tcW w:w="0" w:type="auto"/>
            <w:vAlign w:val="center"/>
            <w:hideMark/>
          </w:tcPr>
          <w:p w14:paraId="160A7347" w14:textId="77777777" w:rsidR="002A212C" w:rsidRPr="002E0607" w:rsidRDefault="002A212C" w:rsidP="002E0607">
            <w:pPr>
              <w:pStyle w:val="NoSpacing"/>
              <w:jc w:val="center"/>
              <w:rPr>
                <w:rFonts w:ascii="Times New Roman" w:hAnsi="Times New Roman" w:cs="Times New Roman"/>
                <w:sz w:val="22"/>
                <w:szCs w:val="22"/>
              </w:rPr>
            </w:pPr>
            <w:r w:rsidRPr="002E0607">
              <w:rPr>
                <w:rFonts w:ascii="Times New Roman" w:hAnsi="Times New Roman" w:cs="Times New Roman"/>
                <w:sz w:val="22"/>
                <w:szCs w:val="22"/>
              </w:rPr>
              <w:t>13</w:t>
            </w:r>
          </w:p>
        </w:tc>
        <w:tc>
          <w:tcPr>
            <w:tcW w:w="0" w:type="auto"/>
            <w:vAlign w:val="center"/>
            <w:hideMark/>
          </w:tcPr>
          <w:p w14:paraId="29F51D4C" w14:textId="77777777" w:rsidR="002A212C" w:rsidRPr="002E0607" w:rsidRDefault="002A212C" w:rsidP="002E0607">
            <w:pPr>
              <w:pStyle w:val="NoSpacing"/>
              <w:jc w:val="center"/>
              <w:rPr>
                <w:rFonts w:ascii="Times New Roman" w:hAnsi="Times New Roman" w:cs="Times New Roman"/>
                <w:sz w:val="22"/>
                <w:szCs w:val="22"/>
              </w:rPr>
            </w:pPr>
            <w:r w:rsidRPr="002E0607">
              <w:rPr>
                <w:rFonts w:ascii="Times New Roman" w:hAnsi="Times New Roman" w:cs="Times New Roman"/>
                <w:sz w:val="22"/>
                <w:szCs w:val="22"/>
              </w:rPr>
              <w:t>34</w:t>
            </w:r>
          </w:p>
        </w:tc>
        <w:tc>
          <w:tcPr>
            <w:tcW w:w="0" w:type="auto"/>
            <w:vAlign w:val="center"/>
            <w:hideMark/>
          </w:tcPr>
          <w:p w14:paraId="3B71B06C" w14:textId="77777777" w:rsidR="002A212C" w:rsidRPr="002E0607" w:rsidRDefault="002A212C" w:rsidP="002E0607">
            <w:pPr>
              <w:pStyle w:val="NoSpacing"/>
              <w:jc w:val="center"/>
              <w:rPr>
                <w:rFonts w:ascii="Times New Roman" w:hAnsi="Times New Roman" w:cs="Times New Roman"/>
                <w:sz w:val="22"/>
                <w:szCs w:val="22"/>
              </w:rPr>
            </w:pPr>
            <w:r w:rsidRPr="002E0607">
              <w:rPr>
                <w:rFonts w:ascii="Times New Roman" w:hAnsi="Times New Roman" w:cs="Times New Roman"/>
                <w:sz w:val="22"/>
                <w:szCs w:val="22"/>
              </w:rPr>
              <w:t>40</w:t>
            </w:r>
          </w:p>
        </w:tc>
        <w:tc>
          <w:tcPr>
            <w:tcW w:w="0" w:type="auto"/>
            <w:vAlign w:val="center"/>
            <w:hideMark/>
          </w:tcPr>
          <w:p w14:paraId="1389E179" w14:textId="77777777" w:rsidR="002A212C" w:rsidRPr="002E0607" w:rsidRDefault="002A212C" w:rsidP="002E0607">
            <w:pPr>
              <w:pStyle w:val="NoSpacing"/>
              <w:jc w:val="center"/>
              <w:rPr>
                <w:rFonts w:ascii="Times New Roman" w:hAnsi="Times New Roman" w:cs="Times New Roman"/>
                <w:sz w:val="22"/>
                <w:szCs w:val="22"/>
              </w:rPr>
            </w:pPr>
            <w:r w:rsidRPr="002E0607">
              <w:rPr>
                <w:rFonts w:ascii="Times New Roman" w:hAnsi="Times New Roman" w:cs="Times New Roman"/>
                <w:sz w:val="22"/>
                <w:szCs w:val="22"/>
              </w:rPr>
              <w:t>11</w:t>
            </w:r>
          </w:p>
        </w:tc>
        <w:tc>
          <w:tcPr>
            <w:tcW w:w="0" w:type="auto"/>
            <w:vAlign w:val="center"/>
            <w:hideMark/>
          </w:tcPr>
          <w:p w14:paraId="2B9BA850" w14:textId="77777777" w:rsidR="002A212C" w:rsidRPr="002E0607" w:rsidRDefault="002A212C" w:rsidP="002E0607">
            <w:pPr>
              <w:pStyle w:val="NoSpacing"/>
              <w:jc w:val="center"/>
              <w:rPr>
                <w:rFonts w:ascii="Times New Roman" w:hAnsi="Times New Roman" w:cs="Times New Roman"/>
                <w:sz w:val="22"/>
                <w:szCs w:val="22"/>
              </w:rPr>
            </w:pPr>
            <w:r w:rsidRPr="002E0607">
              <w:rPr>
                <w:rFonts w:ascii="Times New Roman" w:hAnsi="Times New Roman" w:cs="Times New Roman"/>
                <w:sz w:val="22"/>
                <w:szCs w:val="22"/>
              </w:rPr>
              <w:t>12</w:t>
            </w:r>
          </w:p>
        </w:tc>
        <w:tc>
          <w:tcPr>
            <w:tcW w:w="0" w:type="auto"/>
            <w:vAlign w:val="center"/>
            <w:hideMark/>
          </w:tcPr>
          <w:p w14:paraId="0D94D83C" w14:textId="77777777" w:rsidR="002A212C" w:rsidRPr="002E0607" w:rsidRDefault="002A212C" w:rsidP="002E0607">
            <w:pPr>
              <w:pStyle w:val="NoSpacing"/>
              <w:jc w:val="center"/>
              <w:rPr>
                <w:rFonts w:ascii="Times New Roman" w:hAnsi="Times New Roman" w:cs="Times New Roman"/>
                <w:sz w:val="22"/>
                <w:szCs w:val="22"/>
              </w:rPr>
            </w:pPr>
            <w:r w:rsidRPr="002E0607">
              <w:rPr>
                <w:rFonts w:ascii="Times New Roman" w:hAnsi="Times New Roman" w:cs="Times New Roman"/>
                <w:sz w:val="22"/>
                <w:szCs w:val="22"/>
              </w:rPr>
              <w:t>9</w:t>
            </w:r>
          </w:p>
        </w:tc>
        <w:tc>
          <w:tcPr>
            <w:tcW w:w="0" w:type="auto"/>
            <w:vAlign w:val="center"/>
            <w:hideMark/>
          </w:tcPr>
          <w:p w14:paraId="2238411A" w14:textId="77777777" w:rsidR="002A212C" w:rsidRPr="002E0607" w:rsidRDefault="002A212C" w:rsidP="002E0607">
            <w:pPr>
              <w:pStyle w:val="NoSpacing"/>
              <w:jc w:val="center"/>
              <w:rPr>
                <w:rFonts w:ascii="Times New Roman" w:hAnsi="Times New Roman" w:cs="Times New Roman"/>
                <w:sz w:val="22"/>
                <w:szCs w:val="22"/>
              </w:rPr>
            </w:pPr>
            <w:r w:rsidRPr="002E0607">
              <w:rPr>
                <w:rFonts w:ascii="Times New Roman" w:hAnsi="Times New Roman" w:cs="Times New Roman"/>
                <w:sz w:val="22"/>
                <w:szCs w:val="22"/>
              </w:rPr>
              <w:t>9</w:t>
            </w:r>
          </w:p>
        </w:tc>
      </w:tr>
      <w:tr w:rsidR="002A212C" w:rsidRPr="002E0607" w14:paraId="72323A7F" w14:textId="77777777" w:rsidTr="002E0607">
        <w:trPr>
          <w:trHeight w:val="256"/>
        </w:trPr>
        <w:tc>
          <w:tcPr>
            <w:tcW w:w="0" w:type="auto"/>
            <w:vAlign w:val="center"/>
            <w:hideMark/>
          </w:tcPr>
          <w:p w14:paraId="4F172C11" w14:textId="77777777" w:rsidR="002A212C" w:rsidRPr="002E0607" w:rsidRDefault="002A212C" w:rsidP="002E0607">
            <w:pPr>
              <w:pStyle w:val="NoSpacing"/>
              <w:rPr>
                <w:rFonts w:ascii="Times New Roman" w:hAnsi="Times New Roman" w:cs="Times New Roman"/>
                <w:sz w:val="22"/>
                <w:szCs w:val="22"/>
              </w:rPr>
            </w:pPr>
            <w:r w:rsidRPr="002E0607">
              <w:rPr>
                <w:rFonts w:ascii="Times New Roman" w:hAnsi="Times New Roman" w:cs="Times New Roman"/>
                <w:sz w:val="22"/>
                <w:szCs w:val="22"/>
              </w:rPr>
              <w:t>4. Grants under Article 278 of the Constitution</w:t>
            </w:r>
          </w:p>
        </w:tc>
        <w:tc>
          <w:tcPr>
            <w:tcW w:w="0" w:type="auto"/>
            <w:vAlign w:val="center"/>
            <w:hideMark/>
          </w:tcPr>
          <w:p w14:paraId="47025A72" w14:textId="77777777" w:rsidR="002A212C" w:rsidRPr="002E0607" w:rsidRDefault="002A212C" w:rsidP="002E0607">
            <w:pPr>
              <w:pStyle w:val="NoSpacing"/>
              <w:jc w:val="center"/>
              <w:rPr>
                <w:rFonts w:ascii="Times New Roman" w:hAnsi="Times New Roman" w:cs="Times New Roman"/>
                <w:sz w:val="22"/>
                <w:szCs w:val="22"/>
              </w:rPr>
            </w:pPr>
            <w:r w:rsidRPr="002E0607">
              <w:rPr>
                <w:rFonts w:ascii="Times New Roman" w:hAnsi="Times New Roman" w:cs="Times New Roman"/>
                <w:sz w:val="22"/>
                <w:szCs w:val="22"/>
              </w:rPr>
              <w:t>49</w:t>
            </w:r>
          </w:p>
        </w:tc>
        <w:tc>
          <w:tcPr>
            <w:tcW w:w="0" w:type="auto"/>
            <w:vAlign w:val="center"/>
            <w:hideMark/>
          </w:tcPr>
          <w:p w14:paraId="4054B230" w14:textId="77777777" w:rsidR="002A212C" w:rsidRPr="002E0607" w:rsidRDefault="002A212C" w:rsidP="002E0607">
            <w:pPr>
              <w:pStyle w:val="NoSpacing"/>
              <w:jc w:val="center"/>
              <w:rPr>
                <w:rFonts w:ascii="Times New Roman" w:hAnsi="Times New Roman" w:cs="Times New Roman"/>
                <w:sz w:val="22"/>
                <w:szCs w:val="22"/>
              </w:rPr>
            </w:pPr>
            <w:r w:rsidRPr="002E0607">
              <w:rPr>
                <w:rFonts w:ascii="Times New Roman" w:hAnsi="Times New Roman" w:cs="Times New Roman"/>
                <w:sz w:val="22"/>
                <w:szCs w:val="22"/>
              </w:rPr>
              <w:t>..</w:t>
            </w:r>
          </w:p>
        </w:tc>
        <w:tc>
          <w:tcPr>
            <w:tcW w:w="0" w:type="auto"/>
            <w:vAlign w:val="center"/>
            <w:hideMark/>
          </w:tcPr>
          <w:p w14:paraId="0C44AF10" w14:textId="77777777" w:rsidR="002A212C" w:rsidRPr="002E0607" w:rsidRDefault="002A212C" w:rsidP="002E0607">
            <w:pPr>
              <w:pStyle w:val="NoSpacing"/>
              <w:jc w:val="center"/>
              <w:rPr>
                <w:rFonts w:ascii="Times New Roman" w:hAnsi="Times New Roman" w:cs="Times New Roman"/>
                <w:sz w:val="22"/>
                <w:szCs w:val="22"/>
              </w:rPr>
            </w:pPr>
            <w:r w:rsidRPr="002E0607">
              <w:rPr>
                <w:rFonts w:ascii="Times New Roman" w:hAnsi="Times New Roman" w:cs="Times New Roman"/>
                <w:sz w:val="22"/>
                <w:szCs w:val="22"/>
              </w:rPr>
              <w:t>..</w:t>
            </w:r>
          </w:p>
        </w:tc>
        <w:tc>
          <w:tcPr>
            <w:tcW w:w="0" w:type="auto"/>
            <w:vAlign w:val="center"/>
            <w:hideMark/>
          </w:tcPr>
          <w:p w14:paraId="41FCA133" w14:textId="77777777" w:rsidR="002A212C" w:rsidRPr="002E0607" w:rsidRDefault="002A212C" w:rsidP="002E0607">
            <w:pPr>
              <w:pStyle w:val="NoSpacing"/>
              <w:jc w:val="center"/>
              <w:rPr>
                <w:rFonts w:ascii="Times New Roman" w:hAnsi="Times New Roman" w:cs="Times New Roman"/>
                <w:sz w:val="22"/>
                <w:szCs w:val="22"/>
              </w:rPr>
            </w:pPr>
            <w:r w:rsidRPr="002E0607">
              <w:rPr>
                <w:rFonts w:ascii="Times New Roman" w:hAnsi="Times New Roman" w:cs="Times New Roman"/>
                <w:sz w:val="22"/>
                <w:szCs w:val="22"/>
              </w:rPr>
              <w:t>..</w:t>
            </w:r>
          </w:p>
        </w:tc>
        <w:tc>
          <w:tcPr>
            <w:tcW w:w="0" w:type="auto"/>
            <w:vAlign w:val="center"/>
            <w:hideMark/>
          </w:tcPr>
          <w:p w14:paraId="13C0F7B3" w14:textId="77777777" w:rsidR="002A212C" w:rsidRPr="002E0607" w:rsidRDefault="002A212C" w:rsidP="002E0607">
            <w:pPr>
              <w:pStyle w:val="NoSpacing"/>
              <w:jc w:val="center"/>
              <w:rPr>
                <w:rFonts w:ascii="Times New Roman" w:hAnsi="Times New Roman" w:cs="Times New Roman"/>
                <w:sz w:val="22"/>
                <w:szCs w:val="22"/>
              </w:rPr>
            </w:pPr>
            <w:r w:rsidRPr="002E0607">
              <w:rPr>
                <w:rFonts w:ascii="Times New Roman" w:hAnsi="Times New Roman" w:cs="Times New Roman"/>
                <w:sz w:val="22"/>
                <w:szCs w:val="22"/>
              </w:rPr>
              <w:t>..</w:t>
            </w:r>
          </w:p>
        </w:tc>
        <w:tc>
          <w:tcPr>
            <w:tcW w:w="0" w:type="auto"/>
            <w:vAlign w:val="center"/>
            <w:hideMark/>
          </w:tcPr>
          <w:p w14:paraId="6CEB3D28" w14:textId="77777777" w:rsidR="002A212C" w:rsidRPr="002E0607" w:rsidRDefault="002A212C" w:rsidP="002E0607">
            <w:pPr>
              <w:pStyle w:val="NoSpacing"/>
              <w:jc w:val="center"/>
              <w:rPr>
                <w:rFonts w:ascii="Times New Roman" w:hAnsi="Times New Roman" w:cs="Times New Roman"/>
                <w:sz w:val="22"/>
                <w:szCs w:val="22"/>
              </w:rPr>
            </w:pPr>
            <w:r w:rsidRPr="002E0607">
              <w:rPr>
                <w:rFonts w:ascii="Times New Roman" w:hAnsi="Times New Roman" w:cs="Times New Roman"/>
                <w:sz w:val="22"/>
                <w:szCs w:val="22"/>
              </w:rPr>
              <w:t>..</w:t>
            </w:r>
          </w:p>
        </w:tc>
        <w:tc>
          <w:tcPr>
            <w:tcW w:w="0" w:type="auto"/>
            <w:vAlign w:val="center"/>
            <w:hideMark/>
          </w:tcPr>
          <w:p w14:paraId="17960B0A" w14:textId="77777777" w:rsidR="002A212C" w:rsidRPr="002E0607" w:rsidRDefault="002A212C" w:rsidP="002E0607">
            <w:pPr>
              <w:pStyle w:val="NoSpacing"/>
              <w:jc w:val="center"/>
              <w:rPr>
                <w:rFonts w:ascii="Times New Roman" w:hAnsi="Times New Roman" w:cs="Times New Roman"/>
                <w:sz w:val="22"/>
                <w:szCs w:val="22"/>
              </w:rPr>
            </w:pPr>
            <w:r w:rsidRPr="002E0607">
              <w:rPr>
                <w:rFonts w:ascii="Times New Roman" w:hAnsi="Times New Roman" w:cs="Times New Roman"/>
                <w:sz w:val="22"/>
                <w:szCs w:val="22"/>
              </w:rPr>
              <w:t>..</w:t>
            </w:r>
          </w:p>
        </w:tc>
      </w:tr>
      <w:tr w:rsidR="002A212C" w:rsidRPr="002E0607" w14:paraId="7CDE3B70" w14:textId="77777777" w:rsidTr="002E0607">
        <w:trPr>
          <w:trHeight w:val="256"/>
        </w:trPr>
        <w:tc>
          <w:tcPr>
            <w:tcW w:w="0" w:type="auto"/>
            <w:vAlign w:val="center"/>
          </w:tcPr>
          <w:p w14:paraId="0BFB1F5D" w14:textId="77777777" w:rsidR="002A212C" w:rsidRPr="002E0607" w:rsidRDefault="002A212C" w:rsidP="002E0607">
            <w:pPr>
              <w:pStyle w:val="NoSpacing"/>
              <w:rPr>
                <w:rFonts w:ascii="Times New Roman" w:hAnsi="Times New Roman" w:cs="Times New Roman"/>
                <w:sz w:val="22"/>
                <w:szCs w:val="22"/>
              </w:rPr>
            </w:pPr>
            <w:r w:rsidRPr="002E0607">
              <w:rPr>
                <w:rFonts w:ascii="Times New Roman" w:hAnsi="Times New Roman" w:cs="Times New Roman"/>
                <w:sz w:val="22"/>
                <w:szCs w:val="22"/>
              </w:rPr>
              <w:t>5. Grants under Section 74 of the S. R. Act</w:t>
            </w:r>
          </w:p>
        </w:tc>
        <w:tc>
          <w:tcPr>
            <w:tcW w:w="0" w:type="auto"/>
            <w:vAlign w:val="center"/>
          </w:tcPr>
          <w:p w14:paraId="3BEEE4C3" w14:textId="77777777" w:rsidR="002A212C" w:rsidRPr="002E0607" w:rsidRDefault="002A212C" w:rsidP="002E0607">
            <w:pPr>
              <w:pStyle w:val="NoSpacing"/>
              <w:jc w:val="center"/>
              <w:rPr>
                <w:rFonts w:ascii="Times New Roman" w:hAnsi="Times New Roman" w:cs="Times New Roman"/>
                <w:sz w:val="22"/>
                <w:szCs w:val="22"/>
              </w:rPr>
            </w:pPr>
            <w:r w:rsidRPr="002E0607">
              <w:rPr>
                <w:rFonts w:ascii="Times New Roman" w:hAnsi="Times New Roman" w:cs="Times New Roman"/>
                <w:sz w:val="22"/>
                <w:szCs w:val="22"/>
              </w:rPr>
              <w:t>..</w:t>
            </w:r>
          </w:p>
        </w:tc>
        <w:tc>
          <w:tcPr>
            <w:tcW w:w="0" w:type="auto"/>
            <w:vAlign w:val="center"/>
          </w:tcPr>
          <w:p w14:paraId="56CAEC99" w14:textId="77777777" w:rsidR="002A212C" w:rsidRPr="002E0607" w:rsidRDefault="002A212C" w:rsidP="002E0607">
            <w:pPr>
              <w:pStyle w:val="NoSpacing"/>
              <w:jc w:val="center"/>
              <w:rPr>
                <w:rFonts w:ascii="Times New Roman" w:hAnsi="Times New Roman" w:cs="Times New Roman"/>
                <w:sz w:val="22"/>
                <w:szCs w:val="22"/>
              </w:rPr>
            </w:pPr>
            <w:r w:rsidRPr="002E0607">
              <w:rPr>
                <w:rFonts w:ascii="Times New Roman" w:hAnsi="Times New Roman" w:cs="Times New Roman"/>
                <w:sz w:val="22"/>
                <w:szCs w:val="22"/>
              </w:rPr>
              <w:t>7</w:t>
            </w:r>
          </w:p>
        </w:tc>
        <w:tc>
          <w:tcPr>
            <w:tcW w:w="0" w:type="auto"/>
            <w:vAlign w:val="center"/>
          </w:tcPr>
          <w:p w14:paraId="41E388AB" w14:textId="77777777" w:rsidR="002A212C" w:rsidRPr="002E0607" w:rsidRDefault="002A212C" w:rsidP="002E0607">
            <w:pPr>
              <w:pStyle w:val="NoSpacing"/>
              <w:jc w:val="center"/>
              <w:rPr>
                <w:rFonts w:ascii="Times New Roman" w:hAnsi="Times New Roman" w:cs="Times New Roman"/>
                <w:sz w:val="22"/>
                <w:szCs w:val="22"/>
              </w:rPr>
            </w:pPr>
            <w:r w:rsidRPr="002E0607">
              <w:rPr>
                <w:rFonts w:ascii="Times New Roman" w:hAnsi="Times New Roman" w:cs="Times New Roman"/>
                <w:sz w:val="22"/>
                <w:szCs w:val="22"/>
              </w:rPr>
              <w:t>..</w:t>
            </w:r>
          </w:p>
        </w:tc>
        <w:tc>
          <w:tcPr>
            <w:tcW w:w="0" w:type="auto"/>
            <w:vAlign w:val="center"/>
          </w:tcPr>
          <w:p w14:paraId="50FECEDA" w14:textId="77777777" w:rsidR="002A212C" w:rsidRPr="002E0607" w:rsidRDefault="002A212C" w:rsidP="002E0607">
            <w:pPr>
              <w:pStyle w:val="NoSpacing"/>
              <w:jc w:val="center"/>
              <w:rPr>
                <w:rFonts w:ascii="Times New Roman" w:hAnsi="Times New Roman" w:cs="Times New Roman"/>
                <w:sz w:val="22"/>
                <w:szCs w:val="22"/>
              </w:rPr>
            </w:pPr>
            <w:r w:rsidRPr="002E0607">
              <w:rPr>
                <w:rFonts w:ascii="Times New Roman" w:hAnsi="Times New Roman" w:cs="Times New Roman"/>
                <w:sz w:val="22"/>
                <w:szCs w:val="22"/>
              </w:rPr>
              <w:t>..</w:t>
            </w:r>
          </w:p>
        </w:tc>
        <w:tc>
          <w:tcPr>
            <w:tcW w:w="0" w:type="auto"/>
            <w:vAlign w:val="center"/>
          </w:tcPr>
          <w:p w14:paraId="5A526D04" w14:textId="77777777" w:rsidR="002A212C" w:rsidRPr="002E0607" w:rsidRDefault="002A212C" w:rsidP="002E0607">
            <w:pPr>
              <w:pStyle w:val="NoSpacing"/>
              <w:jc w:val="center"/>
              <w:rPr>
                <w:rFonts w:ascii="Times New Roman" w:hAnsi="Times New Roman" w:cs="Times New Roman"/>
                <w:sz w:val="22"/>
                <w:szCs w:val="22"/>
              </w:rPr>
            </w:pPr>
            <w:r w:rsidRPr="002E0607">
              <w:rPr>
                <w:rFonts w:ascii="Times New Roman" w:hAnsi="Times New Roman" w:cs="Times New Roman"/>
                <w:sz w:val="22"/>
                <w:szCs w:val="22"/>
              </w:rPr>
              <w:t>..</w:t>
            </w:r>
          </w:p>
        </w:tc>
        <w:tc>
          <w:tcPr>
            <w:tcW w:w="0" w:type="auto"/>
            <w:vAlign w:val="center"/>
          </w:tcPr>
          <w:p w14:paraId="272D1AE8" w14:textId="77777777" w:rsidR="002A212C" w:rsidRPr="002E0607" w:rsidRDefault="002A212C" w:rsidP="002E0607">
            <w:pPr>
              <w:pStyle w:val="NoSpacing"/>
              <w:jc w:val="center"/>
              <w:rPr>
                <w:rFonts w:ascii="Times New Roman" w:hAnsi="Times New Roman" w:cs="Times New Roman"/>
                <w:sz w:val="22"/>
                <w:szCs w:val="22"/>
              </w:rPr>
            </w:pPr>
            <w:r w:rsidRPr="002E0607">
              <w:rPr>
                <w:rFonts w:ascii="Times New Roman" w:hAnsi="Times New Roman" w:cs="Times New Roman"/>
                <w:sz w:val="22"/>
                <w:szCs w:val="22"/>
              </w:rPr>
              <w:t>..</w:t>
            </w:r>
          </w:p>
        </w:tc>
        <w:tc>
          <w:tcPr>
            <w:tcW w:w="0" w:type="auto"/>
            <w:vAlign w:val="center"/>
          </w:tcPr>
          <w:p w14:paraId="086DF1B4" w14:textId="77777777" w:rsidR="002A212C" w:rsidRPr="002E0607" w:rsidRDefault="002A212C" w:rsidP="002E0607">
            <w:pPr>
              <w:pStyle w:val="NoSpacing"/>
              <w:jc w:val="center"/>
              <w:rPr>
                <w:rFonts w:ascii="Times New Roman" w:hAnsi="Times New Roman" w:cs="Times New Roman"/>
                <w:sz w:val="22"/>
                <w:szCs w:val="22"/>
              </w:rPr>
            </w:pPr>
            <w:r w:rsidRPr="002E0607">
              <w:rPr>
                <w:rFonts w:ascii="Times New Roman" w:hAnsi="Times New Roman" w:cs="Times New Roman"/>
                <w:sz w:val="22"/>
                <w:szCs w:val="22"/>
              </w:rPr>
              <w:t>..</w:t>
            </w:r>
          </w:p>
        </w:tc>
      </w:tr>
      <w:tr w:rsidR="002A212C" w:rsidRPr="002E0607" w14:paraId="70373C30" w14:textId="77777777" w:rsidTr="002E0607">
        <w:trPr>
          <w:trHeight w:val="256"/>
        </w:trPr>
        <w:tc>
          <w:tcPr>
            <w:tcW w:w="0" w:type="auto"/>
            <w:vAlign w:val="center"/>
          </w:tcPr>
          <w:p w14:paraId="749B289A" w14:textId="77777777" w:rsidR="002A212C" w:rsidRPr="002E0607" w:rsidRDefault="002A212C" w:rsidP="002E0607">
            <w:pPr>
              <w:pStyle w:val="NoSpacing"/>
              <w:rPr>
                <w:rFonts w:ascii="Times New Roman" w:hAnsi="Times New Roman" w:cs="Times New Roman"/>
                <w:sz w:val="22"/>
                <w:szCs w:val="22"/>
              </w:rPr>
            </w:pPr>
            <w:r w:rsidRPr="002E0607">
              <w:rPr>
                <w:rFonts w:ascii="Times New Roman" w:hAnsi="Times New Roman" w:cs="Times New Roman"/>
                <w:b/>
                <w:bCs/>
                <w:sz w:val="22"/>
                <w:szCs w:val="22"/>
              </w:rPr>
              <w:t>TOTAL of A</w:t>
            </w:r>
          </w:p>
        </w:tc>
        <w:tc>
          <w:tcPr>
            <w:tcW w:w="0" w:type="auto"/>
            <w:vAlign w:val="center"/>
          </w:tcPr>
          <w:p w14:paraId="7F7191F4" w14:textId="77777777" w:rsidR="002A212C" w:rsidRPr="002E0607" w:rsidRDefault="002A212C" w:rsidP="002E0607">
            <w:pPr>
              <w:pStyle w:val="NoSpacing"/>
              <w:jc w:val="center"/>
              <w:rPr>
                <w:rFonts w:ascii="Times New Roman" w:hAnsi="Times New Roman" w:cs="Times New Roman"/>
                <w:sz w:val="22"/>
                <w:szCs w:val="22"/>
              </w:rPr>
            </w:pPr>
            <w:r w:rsidRPr="002E0607">
              <w:rPr>
                <w:rFonts w:ascii="Times New Roman" w:hAnsi="Times New Roman" w:cs="Times New Roman"/>
                <w:b/>
                <w:bCs/>
                <w:sz w:val="22"/>
                <w:szCs w:val="22"/>
              </w:rPr>
              <w:t>103</w:t>
            </w:r>
          </w:p>
        </w:tc>
        <w:tc>
          <w:tcPr>
            <w:tcW w:w="0" w:type="auto"/>
            <w:vAlign w:val="center"/>
          </w:tcPr>
          <w:p w14:paraId="42F94124" w14:textId="77777777" w:rsidR="002A212C" w:rsidRPr="002E0607" w:rsidRDefault="002A212C" w:rsidP="002E0607">
            <w:pPr>
              <w:pStyle w:val="NoSpacing"/>
              <w:jc w:val="center"/>
              <w:rPr>
                <w:rFonts w:ascii="Times New Roman" w:hAnsi="Times New Roman" w:cs="Times New Roman"/>
                <w:sz w:val="22"/>
                <w:szCs w:val="22"/>
              </w:rPr>
            </w:pPr>
            <w:r w:rsidRPr="002E0607">
              <w:rPr>
                <w:rFonts w:ascii="Times New Roman" w:hAnsi="Times New Roman" w:cs="Times New Roman"/>
                <w:b/>
                <w:bCs/>
                <w:sz w:val="22"/>
                <w:szCs w:val="22"/>
              </w:rPr>
              <w:t>207</w:t>
            </w:r>
          </w:p>
        </w:tc>
        <w:tc>
          <w:tcPr>
            <w:tcW w:w="0" w:type="auto"/>
            <w:vAlign w:val="center"/>
          </w:tcPr>
          <w:p w14:paraId="6F44D386" w14:textId="77777777" w:rsidR="002A212C" w:rsidRPr="002E0607" w:rsidRDefault="002A212C" w:rsidP="002E0607">
            <w:pPr>
              <w:pStyle w:val="NoSpacing"/>
              <w:jc w:val="center"/>
              <w:rPr>
                <w:rFonts w:ascii="Times New Roman" w:hAnsi="Times New Roman" w:cs="Times New Roman"/>
                <w:sz w:val="22"/>
                <w:szCs w:val="22"/>
              </w:rPr>
            </w:pPr>
            <w:r w:rsidRPr="002E0607">
              <w:rPr>
                <w:rFonts w:ascii="Times New Roman" w:hAnsi="Times New Roman" w:cs="Times New Roman"/>
                <w:b/>
                <w:bCs/>
                <w:sz w:val="22"/>
                <w:szCs w:val="22"/>
              </w:rPr>
              <w:t>330</w:t>
            </w:r>
          </w:p>
        </w:tc>
        <w:tc>
          <w:tcPr>
            <w:tcW w:w="0" w:type="auto"/>
            <w:vAlign w:val="center"/>
          </w:tcPr>
          <w:p w14:paraId="3E73A687" w14:textId="77777777" w:rsidR="002A212C" w:rsidRPr="002E0607" w:rsidRDefault="002A212C" w:rsidP="002E0607">
            <w:pPr>
              <w:pStyle w:val="NoSpacing"/>
              <w:jc w:val="center"/>
              <w:rPr>
                <w:rFonts w:ascii="Times New Roman" w:hAnsi="Times New Roman" w:cs="Times New Roman"/>
                <w:sz w:val="22"/>
                <w:szCs w:val="22"/>
              </w:rPr>
            </w:pPr>
            <w:r w:rsidRPr="002E0607">
              <w:rPr>
                <w:rFonts w:ascii="Times New Roman" w:hAnsi="Times New Roman" w:cs="Times New Roman"/>
                <w:b/>
                <w:bCs/>
                <w:sz w:val="22"/>
                <w:szCs w:val="22"/>
              </w:rPr>
              <w:t>75</w:t>
            </w:r>
          </w:p>
        </w:tc>
        <w:tc>
          <w:tcPr>
            <w:tcW w:w="0" w:type="auto"/>
            <w:vAlign w:val="center"/>
          </w:tcPr>
          <w:p w14:paraId="75C863C7" w14:textId="77777777" w:rsidR="002A212C" w:rsidRPr="002E0607" w:rsidRDefault="002A212C" w:rsidP="002E0607">
            <w:pPr>
              <w:pStyle w:val="NoSpacing"/>
              <w:jc w:val="center"/>
              <w:rPr>
                <w:rFonts w:ascii="Times New Roman" w:hAnsi="Times New Roman" w:cs="Times New Roman"/>
                <w:sz w:val="22"/>
                <w:szCs w:val="22"/>
              </w:rPr>
            </w:pPr>
            <w:r w:rsidRPr="002E0607">
              <w:rPr>
                <w:rFonts w:ascii="Times New Roman" w:hAnsi="Times New Roman" w:cs="Times New Roman"/>
                <w:b/>
                <w:bCs/>
                <w:sz w:val="22"/>
                <w:szCs w:val="22"/>
              </w:rPr>
              <w:t>153</w:t>
            </w:r>
          </w:p>
        </w:tc>
        <w:tc>
          <w:tcPr>
            <w:tcW w:w="0" w:type="auto"/>
            <w:vAlign w:val="center"/>
          </w:tcPr>
          <w:p w14:paraId="23A8C839" w14:textId="77777777" w:rsidR="002A212C" w:rsidRPr="002E0607" w:rsidRDefault="002A212C" w:rsidP="002E0607">
            <w:pPr>
              <w:pStyle w:val="NoSpacing"/>
              <w:jc w:val="center"/>
              <w:rPr>
                <w:rFonts w:ascii="Times New Roman" w:hAnsi="Times New Roman" w:cs="Times New Roman"/>
                <w:sz w:val="22"/>
                <w:szCs w:val="22"/>
              </w:rPr>
            </w:pPr>
            <w:r w:rsidRPr="002E0607">
              <w:rPr>
                <w:rFonts w:ascii="Times New Roman" w:hAnsi="Times New Roman" w:cs="Times New Roman"/>
                <w:b/>
                <w:bCs/>
                <w:sz w:val="22"/>
                <w:szCs w:val="22"/>
              </w:rPr>
              <w:t>150</w:t>
            </w:r>
          </w:p>
        </w:tc>
        <w:tc>
          <w:tcPr>
            <w:tcW w:w="0" w:type="auto"/>
            <w:vAlign w:val="center"/>
          </w:tcPr>
          <w:p w14:paraId="1D160129" w14:textId="77777777" w:rsidR="002A212C" w:rsidRPr="002E0607" w:rsidRDefault="002A212C" w:rsidP="002E0607">
            <w:pPr>
              <w:pStyle w:val="NoSpacing"/>
              <w:jc w:val="center"/>
              <w:rPr>
                <w:rFonts w:ascii="Times New Roman" w:hAnsi="Times New Roman" w:cs="Times New Roman"/>
                <w:sz w:val="22"/>
                <w:szCs w:val="22"/>
              </w:rPr>
            </w:pPr>
            <w:r w:rsidRPr="002E0607">
              <w:rPr>
                <w:rFonts w:ascii="Times New Roman" w:hAnsi="Times New Roman" w:cs="Times New Roman"/>
                <w:b/>
                <w:bCs/>
                <w:sz w:val="22"/>
                <w:szCs w:val="22"/>
              </w:rPr>
              <w:t>150</w:t>
            </w:r>
          </w:p>
        </w:tc>
      </w:tr>
      <w:tr w:rsidR="002A212C" w:rsidRPr="002E0607" w14:paraId="08EC4574" w14:textId="77777777" w:rsidTr="002E0607">
        <w:trPr>
          <w:trHeight w:val="256"/>
        </w:trPr>
        <w:tc>
          <w:tcPr>
            <w:tcW w:w="0" w:type="auto"/>
            <w:vAlign w:val="center"/>
          </w:tcPr>
          <w:p w14:paraId="120CE36B" w14:textId="1A348FEB" w:rsidR="002A212C" w:rsidRPr="002E0607" w:rsidRDefault="002A212C" w:rsidP="002E0607">
            <w:pPr>
              <w:pStyle w:val="NoSpacing"/>
              <w:rPr>
                <w:rFonts w:ascii="Times New Roman" w:hAnsi="Times New Roman" w:cs="Times New Roman"/>
                <w:b/>
                <w:bCs/>
                <w:sz w:val="22"/>
                <w:szCs w:val="22"/>
              </w:rPr>
            </w:pPr>
            <w:r w:rsidRPr="002E0607">
              <w:rPr>
                <w:rFonts w:ascii="Times New Roman" w:hAnsi="Times New Roman" w:cs="Times New Roman"/>
                <w:b/>
                <w:bCs/>
                <w:sz w:val="22"/>
                <w:szCs w:val="22"/>
              </w:rPr>
              <w:t>B. Other Grants:</w:t>
            </w:r>
          </w:p>
        </w:tc>
        <w:tc>
          <w:tcPr>
            <w:tcW w:w="0" w:type="auto"/>
            <w:vAlign w:val="center"/>
          </w:tcPr>
          <w:p w14:paraId="137D3B98" w14:textId="77777777" w:rsidR="002A212C" w:rsidRPr="002E0607" w:rsidRDefault="002A212C" w:rsidP="002E0607">
            <w:pPr>
              <w:pStyle w:val="NoSpacing"/>
              <w:jc w:val="center"/>
              <w:rPr>
                <w:rFonts w:ascii="Times New Roman" w:hAnsi="Times New Roman" w:cs="Times New Roman"/>
                <w:b/>
                <w:bCs/>
                <w:sz w:val="22"/>
                <w:szCs w:val="22"/>
              </w:rPr>
            </w:pPr>
            <w:r w:rsidRPr="002E0607">
              <w:rPr>
                <w:rFonts w:ascii="Times New Roman" w:hAnsi="Times New Roman" w:cs="Times New Roman"/>
                <w:b/>
                <w:bCs/>
                <w:sz w:val="22"/>
                <w:szCs w:val="22"/>
              </w:rPr>
              <w:t>145</w:t>
            </w:r>
          </w:p>
        </w:tc>
        <w:tc>
          <w:tcPr>
            <w:tcW w:w="0" w:type="auto"/>
            <w:vAlign w:val="center"/>
          </w:tcPr>
          <w:p w14:paraId="4663E0C7" w14:textId="77777777" w:rsidR="002A212C" w:rsidRPr="002E0607" w:rsidRDefault="002A212C" w:rsidP="002E0607">
            <w:pPr>
              <w:pStyle w:val="NoSpacing"/>
              <w:jc w:val="center"/>
              <w:rPr>
                <w:rFonts w:ascii="Times New Roman" w:hAnsi="Times New Roman" w:cs="Times New Roman"/>
                <w:b/>
                <w:bCs/>
                <w:sz w:val="22"/>
                <w:szCs w:val="22"/>
              </w:rPr>
            </w:pPr>
            <w:r w:rsidRPr="002E0607">
              <w:rPr>
                <w:rFonts w:ascii="Times New Roman" w:hAnsi="Times New Roman" w:cs="Times New Roman"/>
                <w:b/>
                <w:bCs/>
                <w:sz w:val="22"/>
                <w:szCs w:val="22"/>
              </w:rPr>
              <w:t>461</w:t>
            </w:r>
          </w:p>
        </w:tc>
        <w:tc>
          <w:tcPr>
            <w:tcW w:w="0" w:type="auto"/>
            <w:vAlign w:val="center"/>
          </w:tcPr>
          <w:p w14:paraId="00B312BB" w14:textId="77777777" w:rsidR="002A212C" w:rsidRPr="002E0607" w:rsidRDefault="002A212C" w:rsidP="002E0607">
            <w:pPr>
              <w:pStyle w:val="NoSpacing"/>
              <w:jc w:val="center"/>
              <w:rPr>
                <w:rFonts w:ascii="Times New Roman" w:hAnsi="Times New Roman" w:cs="Times New Roman"/>
                <w:b/>
                <w:bCs/>
                <w:sz w:val="22"/>
                <w:szCs w:val="22"/>
              </w:rPr>
            </w:pPr>
            <w:r w:rsidRPr="002E0607">
              <w:rPr>
                <w:rFonts w:ascii="Times New Roman" w:hAnsi="Times New Roman" w:cs="Times New Roman"/>
                <w:b/>
                <w:bCs/>
                <w:sz w:val="22"/>
                <w:szCs w:val="22"/>
              </w:rPr>
              <w:t>818</w:t>
            </w:r>
          </w:p>
        </w:tc>
        <w:tc>
          <w:tcPr>
            <w:tcW w:w="0" w:type="auto"/>
            <w:vAlign w:val="center"/>
          </w:tcPr>
          <w:p w14:paraId="70E23AA4" w14:textId="77777777" w:rsidR="002A212C" w:rsidRPr="002E0607" w:rsidRDefault="002A212C" w:rsidP="002E0607">
            <w:pPr>
              <w:pStyle w:val="NoSpacing"/>
              <w:jc w:val="center"/>
              <w:rPr>
                <w:rFonts w:ascii="Times New Roman" w:hAnsi="Times New Roman" w:cs="Times New Roman"/>
                <w:b/>
                <w:bCs/>
                <w:sz w:val="22"/>
                <w:szCs w:val="22"/>
              </w:rPr>
            </w:pPr>
            <w:r w:rsidRPr="002E0607">
              <w:rPr>
                <w:rFonts w:ascii="Times New Roman" w:hAnsi="Times New Roman" w:cs="Times New Roman"/>
                <w:b/>
                <w:bCs/>
                <w:sz w:val="22"/>
                <w:szCs w:val="22"/>
              </w:rPr>
              <w:t>222</w:t>
            </w:r>
          </w:p>
        </w:tc>
        <w:tc>
          <w:tcPr>
            <w:tcW w:w="0" w:type="auto"/>
            <w:vAlign w:val="center"/>
          </w:tcPr>
          <w:p w14:paraId="31F093F3" w14:textId="77777777" w:rsidR="002A212C" w:rsidRPr="002E0607" w:rsidRDefault="002A212C" w:rsidP="002E0607">
            <w:pPr>
              <w:pStyle w:val="NoSpacing"/>
              <w:jc w:val="center"/>
              <w:rPr>
                <w:rFonts w:ascii="Times New Roman" w:hAnsi="Times New Roman" w:cs="Times New Roman"/>
                <w:b/>
                <w:bCs/>
                <w:sz w:val="22"/>
                <w:szCs w:val="22"/>
              </w:rPr>
            </w:pPr>
            <w:r w:rsidRPr="002E0607">
              <w:rPr>
                <w:rFonts w:ascii="Times New Roman" w:hAnsi="Times New Roman" w:cs="Times New Roman"/>
                <w:b/>
                <w:bCs/>
                <w:sz w:val="22"/>
                <w:szCs w:val="22"/>
              </w:rPr>
              <w:t>196</w:t>
            </w:r>
          </w:p>
        </w:tc>
        <w:tc>
          <w:tcPr>
            <w:tcW w:w="0" w:type="auto"/>
            <w:vAlign w:val="center"/>
          </w:tcPr>
          <w:p w14:paraId="7568A5B8" w14:textId="77777777" w:rsidR="002A212C" w:rsidRPr="002E0607" w:rsidRDefault="002A212C" w:rsidP="002E0607">
            <w:pPr>
              <w:pStyle w:val="NoSpacing"/>
              <w:jc w:val="center"/>
              <w:rPr>
                <w:rFonts w:ascii="Times New Roman" w:hAnsi="Times New Roman" w:cs="Times New Roman"/>
                <w:b/>
                <w:bCs/>
                <w:sz w:val="22"/>
                <w:szCs w:val="22"/>
              </w:rPr>
            </w:pPr>
            <w:r w:rsidRPr="002E0607">
              <w:rPr>
                <w:rFonts w:ascii="Times New Roman" w:hAnsi="Times New Roman" w:cs="Times New Roman"/>
                <w:b/>
                <w:bCs/>
                <w:sz w:val="22"/>
                <w:szCs w:val="22"/>
              </w:rPr>
              <w:t>264</w:t>
            </w:r>
          </w:p>
        </w:tc>
        <w:tc>
          <w:tcPr>
            <w:tcW w:w="0" w:type="auto"/>
            <w:vAlign w:val="center"/>
          </w:tcPr>
          <w:p w14:paraId="4AAA78E2" w14:textId="77777777" w:rsidR="002A212C" w:rsidRPr="002E0607" w:rsidRDefault="002A212C" w:rsidP="002E0607">
            <w:pPr>
              <w:pStyle w:val="NoSpacing"/>
              <w:jc w:val="center"/>
              <w:rPr>
                <w:rFonts w:ascii="Times New Roman" w:hAnsi="Times New Roman" w:cs="Times New Roman"/>
                <w:b/>
                <w:bCs/>
                <w:sz w:val="22"/>
                <w:szCs w:val="22"/>
              </w:rPr>
            </w:pPr>
            <w:r w:rsidRPr="002E0607">
              <w:rPr>
                <w:rFonts w:ascii="Times New Roman" w:hAnsi="Times New Roman" w:cs="Times New Roman"/>
                <w:b/>
                <w:bCs/>
                <w:sz w:val="22"/>
                <w:szCs w:val="22"/>
              </w:rPr>
              <w:t>305</w:t>
            </w:r>
          </w:p>
        </w:tc>
      </w:tr>
      <w:tr w:rsidR="002A212C" w:rsidRPr="002E0607" w14:paraId="39789133" w14:textId="77777777" w:rsidTr="002E0607">
        <w:trPr>
          <w:trHeight w:val="256"/>
        </w:trPr>
        <w:tc>
          <w:tcPr>
            <w:tcW w:w="0" w:type="auto"/>
            <w:vAlign w:val="center"/>
          </w:tcPr>
          <w:p w14:paraId="6B313453" w14:textId="77777777" w:rsidR="002A212C" w:rsidRPr="002E0607" w:rsidRDefault="002A212C" w:rsidP="002E0607">
            <w:pPr>
              <w:pStyle w:val="NoSpacing"/>
              <w:rPr>
                <w:rFonts w:ascii="Times New Roman" w:hAnsi="Times New Roman" w:cs="Times New Roman"/>
                <w:b/>
                <w:bCs/>
                <w:sz w:val="22"/>
                <w:szCs w:val="22"/>
              </w:rPr>
            </w:pPr>
            <w:r w:rsidRPr="002E0607">
              <w:rPr>
                <w:rFonts w:ascii="Times New Roman" w:hAnsi="Times New Roman" w:cs="Times New Roman"/>
                <w:b/>
                <w:bCs/>
                <w:sz w:val="22"/>
                <w:szCs w:val="22"/>
              </w:rPr>
              <w:t>TOTAL II</w:t>
            </w:r>
          </w:p>
        </w:tc>
        <w:tc>
          <w:tcPr>
            <w:tcW w:w="0" w:type="auto"/>
            <w:vAlign w:val="center"/>
          </w:tcPr>
          <w:p w14:paraId="59B15567" w14:textId="77777777" w:rsidR="002A212C" w:rsidRPr="002E0607" w:rsidRDefault="002A212C" w:rsidP="002E0607">
            <w:pPr>
              <w:pStyle w:val="NoSpacing"/>
              <w:jc w:val="center"/>
              <w:rPr>
                <w:rFonts w:ascii="Times New Roman" w:hAnsi="Times New Roman" w:cs="Times New Roman"/>
                <w:b/>
                <w:bCs/>
                <w:sz w:val="22"/>
                <w:szCs w:val="22"/>
              </w:rPr>
            </w:pPr>
            <w:r w:rsidRPr="002E0607">
              <w:rPr>
                <w:rFonts w:ascii="Times New Roman" w:hAnsi="Times New Roman" w:cs="Times New Roman"/>
                <w:b/>
                <w:bCs/>
                <w:sz w:val="22"/>
                <w:szCs w:val="22"/>
              </w:rPr>
              <w:t>248</w:t>
            </w:r>
          </w:p>
        </w:tc>
        <w:tc>
          <w:tcPr>
            <w:tcW w:w="0" w:type="auto"/>
            <w:vAlign w:val="center"/>
          </w:tcPr>
          <w:p w14:paraId="03263700" w14:textId="77777777" w:rsidR="002A212C" w:rsidRPr="002E0607" w:rsidRDefault="002A212C" w:rsidP="002E0607">
            <w:pPr>
              <w:pStyle w:val="NoSpacing"/>
              <w:jc w:val="center"/>
              <w:rPr>
                <w:rFonts w:ascii="Times New Roman" w:hAnsi="Times New Roman" w:cs="Times New Roman"/>
                <w:b/>
                <w:bCs/>
                <w:sz w:val="22"/>
                <w:szCs w:val="22"/>
              </w:rPr>
            </w:pPr>
            <w:r w:rsidRPr="002E0607">
              <w:rPr>
                <w:rFonts w:ascii="Times New Roman" w:hAnsi="Times New Roman" w:cs="Times New Roman"/>
                <w:b/>
                <w:bCs/>
                <w:sz w:val="22"/>
                <w:szCs w:val="22"/>
              </w:rPr>
              <w:t>668</w:t>
            </w:r>
          </w:p>
        </w:tc>
        <w:tc>
          <w:tcPr>
            <w:tcW w:w="0" w:type="auto"/>
            <w:vAlign w:val="center"/>
          </w:tcPr>
          <w:p w14:paraId="6C18A1A9" w14:textId="77777777" w:rsidR="002A212C" w:rsidRPr="002E0607" w:rsidRDefault="002A212C" w:rsidP="002E0607">
            <w:pPr>
              <w:pStyle w:val="NoSpacing"/>
              <w:jc w:val="center"/>
              <w:rPr>
                <w:rFonts w:ascii="Times New Roman" w:hAnsi="Times New Roman" w:cs="Times New Roman"/>
                <w:b/>
                <w:bCs/>
                <w:sz w:val="22"/>
                <w:szCs w:val="22"/>
              </w:rPr>
            </w:pPr>
            <w:r w:rsidRPr="002E0607">
              <w:rPr>
                <w:rFonts w:ascii="Times New Roman" w:hAnsi="Times New Roman" w:cs="Times New Roman"/>
                <w:b/>
                <w:bCs/>
                <w:sz w:val="22"/>
                <w:szCs w:val="22"/>
              </w:rPr>
              <w:t>1148</w:t>
            </w:r>
          </w:p>
        </w:tc>
        <w:tc>
          <w:tcPr>
            <w:tcW w:w="0" w:type="auto"/>
            <w:vAlign w:val="center"/>
          </w:tcPr>
          <w:p w14:paraId="07FEC61D" w14:textId="77777777" w:rsidR="002A212C" w:rsidRPr="002E0607" w:rsidRDefault="002A212C" w:rsidP="002E0607">
            <w:pPr>
              <w:pStyle w:val="NoSpacing"/>
              <w:jc w:val="center"/>
              <w:rPr>
                <w:rFonts w:ascii="Times New Roman" w:hAnsi="Times New Roman" w:cs="Times New Roman"/>
                <w:b/>
                <w:bCs/>
                <w:sz w:val="22"/>
                <w:szCs w:val="22"/>
              </w:rPr>
            </w:pPr>
            <w:r w:rsidRPr="002E0607">
              <w:rPr>
                <w:rFonts w:ascii="Times New Roman" w:hAnsi="Times New Roman" w:cs="Times New Roman"/>
                <w:b/>
                <w:bCs/>
                <w:sz w:val="22"/>
                <w:szCs w:val="22"/>
              </w:rPr>
              <w:t>297</w:t>
            </w:r>
          </w:p>
        </w:tc>
        <w:tc>
          <w:tcPr>
            <w:tcW w:w="0" w:type="auto"/>
            <w:vAlign w:val="center"/>
          </w:tcPr>
          <w:p w14:paraId="5402F85D" w14:textId="77777777" w:rsidR="002A212C" w:rsidRPr="002E0607" w:rsidRDefault="002A212C" w:rsidP="002E0607">
            <w:pPr>
              <w:pStyle w:val="NoSpacing"/>
              <w:jc w:val="center"/>
              <w:rPr>
                <w:rFonts w:ascii="Times New Roman" w:hAnsi="Times New Roman" w:cs="Times New Roman"/>
                <w:b/>
                <w:bCs/>
                <w:sz w:val="22"/>
                <w:szCs w:val="22"/>
              </w:rPr>
            </w:pPr>
            <w:r w:rsidRPr="002E0607">
              <w:rPr>
                <w:rFonts w:ascii="Times New Roman" w:hAnsi="Times New Roman" w:cs="Times New Roman"/>
                <w:b/>
                <w:bCs/>
                <w:sz w:val="22"/>
                <w:szCs w:val="22"/>
              </w:rPr>
              <w:t>349</w:t>
            </w:r>
          </w:p>
        </w:tc>
        <w:tc>
          <w:tcPr>
            <w:tcW w:w="0" w:type="auto"/>
            <w:vAlign w:val="center"/>
          </w:tcPr>
          <w:p w14:paraId="10FED99C" w14:textId="77777777" w:rsidR="002A212C" w:rsidRPr="002E0607" w:rsidRDefault="002A212C" w:rsidP="002E0607">
            <w:pPr>
              <w:pStyle w:val="NoSpacing"/>
              <w:jc w:val="center"/>
              <w:rPr>
                <w:rFonts w:ascii="Times New Roman" w:hAnsi="Times New Roman" w:cs="Times New Roman"/>
                <w:b/>
                <w:bCs/>
                <w:sz w:val="22"/>
                <w:szCs w:val="22"/>
              </w:rPr>
            </w:pPr>
            <w:r w:rsidRPr="002E0607">
              <w:rPr>
                <w:rFonts w:ascii="Times New Roman" w:hAnsi="Times New Roman" w:cs="Times New Roman"/>
                <w:b/>
                <w:bCs/>
                <w:sz w:val="22"/>
                <w:szCs w:val="22"/>
              </w:rPr>
              <w:t>414</w:t>
            </w:r>
          </w:p>
        </w:tc>
        <w:tc>
          <w:tcPr>
            <w:tcW w:w="0" w:type="auto"/>
            <w:vAlign w:val="center"/>
          </w:tcPr>
          <w:p w14:paraId="1BEEF6A3" w14:textId="77777777" w:rsidR="002A212C" w:rsidRPr="002E0607" w:rsidRDefault="002A212C" w:rsidP="002E0607">
            <w:pPr>
              <w:pStyle w:val="NoSpacing"/>
              <w:jc w:val="center"/>
              <w:rPr>
                <w:rFonts w:ascii="Times New Roman" w:hAnsi="Times New Roman" w:cs="Times New Roman"/>
                <w:b/>
                <w:bCs/>
                <w:sz w:val="22"/>
                <w:szCs w:val="22"/>
              </w:rPr>
            </w:pPr>
            <w:r w:rsidRPr="002E0607">
              <w:rPr>
                <w:rFonts w:ascii="Times New Roman" w:hAnsi="Times New Roman" w:cs="Times New Roman"/>
                <w:b/>
                <w:bCs/>
                <w:sz w:val="22"/>
                <w:szCs w:val="22"/>
              </w:rPr>
              <w:t>455</w:t>
            </w:r>
          </w:p>
        </w:tc>
      </w:tr>
      <w:tr w:rsidR="002A212C" w:rsidRPr="002E0607" w14:paraId="2B69150D" w14:textId="77777777" w:rsidTr="002E0607">
        <w:trPr>
          <w:trHeight w:val="256"/>
        </w:trPr>
        <w:tc>
          <w:tcPr>
            <w:tcW w:w="0" w:type="auto"/>
            <w:vAlign w:val="center"/>
          </w:tcPr>
          <w:p w14:paraId="61671E07" w14:textId="77777777" w:rsidR="002A212C" w:rsidRPr="002E0607" w:rsidRDefault="002A212C" w:rsidP="002E0607">
            <w:pPr>
              <w:pStyle w:val="NoSpacing"/>
              <w:rPr>
                <w:rFonts w:ascii="Times New Roman" w:hAnsi="Times New Roman" w:cs="Times New Roman"/>
                <w:b/>
                <w:bCs/>
                <w:sz w:val="22"/>
                <w:szCs w:val="22"/>
              </w:rPr>
            </w:pPr>
            <w:r w:rsidRPr="002E0607">
              <w:rPr>
                <w:rFonts w:ascii="Times New Roman" w:hAnsi="Times New Roman" w:cs="Times New Roman"/>
                <w:b/>
                <w:bCs/>
                <w:sz w:val="22"/>
                <w:szCs w:val="22"/>
              </w:rPr>
              <w:t>III. Grants from Central Road Fund</w:t>
            </w:r>
          </w:p>
        </w:tc>
        <w:tc>
          <w:tcPr>
            <w:tcW w:w="0" w:type="auto"/>
            <w:vAlign w:val="center"/>
          </w:tcPr>
          <w:p w14:paraId="4BF7DDD7" w14:textId="77777777" w:rsidR="002A212C" w:rsidRPr="002E0607" w:rsidRDefault="002A212C" w:rsidP="002E0607">
            <w:pPr>
              <w:pStyle w:val="NoSpacing"/>
              <w:jc w:val="center"/>
              <w:rPr>
                <w:rFonts w:ascii="Times New Roman" w:hAnsi="Times New Roman" w:cs="Times New Roman"/>
                <w:b/>
                <w:bCs/>
                <w:sz w:val="22"/>
                <w:szCs w:val="22"/>
              </w:rPr>
            </w:pPr>
            <w:r w:rsidRPr="002E0607">
              <w:rPr>
                <w:rFonts w:ascii="Times New Roman" w:hAnsi="Times New Roman" w:cs="Times New Roman"/>
                <w:b/>
                <w:bCs/>
                <w:sz w:val="22"/>
                <w:szCs w:val="22"/>
              </w:rPr>
              <w:t>16</w:t>
            </w:r>
          </w:p>
        </w:tc>
        <w:tc>
          <w:tcPr>
            <w:tcW w:w="0" w:type="auto"/>
            <w:vAlign w:val="center"/>
          </w:tcPr>
          <w:p w14:paraId="7F065F23" w14:textId="77777777" w:rsidR="002A212C" w:rsidRPr="002E0607" w:rsidRDefault="002A212C" w:rsidP="002E0607">
            <w:pPr>
              <w:pStyle w:val="NoSpacing"/>
              <w:jc w:val="center"/>
              <w:rPr>
                <w:rFonts w:ascii="Times New Roman" w:hAnsi="Times New Roman" w:cs="Times New Roman"/>
                <w:b/>
                <w:bCs/>
                <w:sz w:val="22"/>
                <w:szCs w:val="22"/>
              </w:rPr>
            </w:pPr>
            <w:r w:rsidRPr="002E0607">
              <w:rPr>
                <w:rFonts w:ascii="Times New Roman" w:hAnsi="Times New Roman" w:cs="Times New Roman"/>
                <w:b/>
                <w:bCs/>
                <w:sz w:val="22"/>
                <w:szCs w:val="22"/>
              </w:rPr>
              <w:t>19</w:t>
            </w:r>
          </w:p>
        </w:tc>
        <w:tc>
          <w:tcPr>
            <w:tcW w:w="0" w:type="auto"/>
            <w:vAlign w:val="center"/>
          </w:tcPr>
          <w:p w14:paraId="327CC058" w14:textId="77777777" w:rsidR="002A212C" w:rsidRPr="002E0607" w:rsidRDefault="002A212C" w:rsidP="002E0607">
            <w:pPr>
              <w:pStyle w:val="NoSpacing"/>
              <w:jc w:val="center"/>
              <w:rPr>
                <w:rFonts w:ascii="Times New Roman" w:hAnsi="Times New Roman" w:cs="Times New Roman"/>
                <w:b/>
                <w:bCs/>
                <w:sz w:val="22"/>
                <w:szCs w:val="22"/>
              </w:rPr>
            </w:pPr>
            <w:r w:rsidRPr="002E0607">
              <w:rPr>
                <w:rFonts w:ascii="Times New Roman" w:hAnsi="Times New Roman" w:cs="Times New Roman"/>
                <w:b/>
                <w:bCs/>
                <w:sz w:val="22"/>
                <w:szCs w:val="22"/>
              </w:rPr>
              <w:t>14</w:t>
            </w:r>
          </w:p>
        </w:tc>
        <w:tc>
          <w:tcPr>
            <w:tcW w:w="0" w:type="auto"/>
            <w:vAlign w:val="center"/>
          </w:tcPr>
          <w:p w14:paraId="76EBC8E8" w14:textId="77777777" w:rsidR="002A212C" w:rsidRPr="002E0607" w:rsidRDefault="002A212C" w:rsidP="002E0607">
            <w:pPr>
              <w:pStyle w:val="NoSpacing"/>
              <w:jc w:val="center"/>
              <w:rPr>
                <w:rFonts w:ascii="Times New Roman" w:hAnsi="Times New Roman" w:cs="Times New Roman"/>
                <w:b/>
                <w:bCs/>
                <w:sz w:val="22"/>
                <w:szCs w:val="22"/>
              </w:rPr>
            </w:pPr>
            <w:r w:rsidRPr="002E0607">
              <w:rPr>
                <w:rFonts w:ascii="Times New Roman" w:hAnsi="Times New Roman" w:cs="Times New Roman"/>
                <w:b/>
                <w:bCs/>
                <w:sz w:val="22"/>
                <w:szCs w:val="22"/>
              </w:rPr>
              <w:t>1</w:t>
            </w:r>
          </w:p>
        </w:tc>
        <w:tc>
          <w:tcPr>
            <w:tcW w:w="0" w:type="auto"/>
            <w:vAlign w:val="center"/>
          </w:tcPr>
          <w:p w14:paraId="4E875D6C" w14:textId="77777777" w:rsidR="002A212C" w:rsidRPr="002E0607" w:rsidRDefault="002A212C" w:rsidP="002E0607">
            <w:pPr>
              <w:pStyle w:val="NoSpacing"/>
              <w:jc w:val="center"/>
              <w:rPr>
                <w:rFonts w:ascii="Times New Roman" w:hAnsi="Times New Roman" w:cs="Times New Roman"/>
                <w:b/>
                <w:bCs/>
                <w:sz w:val="22"/>
                <w:szCs w:val="22"/>
              </w:rPr>
            </w:pPr>
            <w:r w:rsidRPr="002E0607">
              <w:rPr>
                <w:rFonts w:ascii="Times New Roman" w:hAnsi="Times New Roman" w:cs="Times New Roman"/>
                <w:b/>
                <w:bCs/>
                <w:sz w:val="22"/>
                <w:szCs w:val="22"/>
              </w:rPr>
              <w:t>6</w:t>
            </w:r>
          </w:p>
        </w:tc>
        <w:tc>
          <w:tcPr>
            <w:tcW w:w="0" w:type="auto"/>
            <w:vAlign w:val="center"/>
          </w:tcPr>
          <w:p w14:paraId="3A17DCDD" w14:textId="77777777" w:rsidR="002A212C" w:rsidRPr="002E0607" w:rsidRDefault="002A212C" w:rsidP="002E0607">
            <w:pPr>
              <w:pStyle w:val="NoSpacing"/>
              <w:jc w:val="center"/>
              <w:rPr>
                <w:rFonts w:ascii="Times New Roman" w:hAnsi="Times New Roman" w:cs="Times New Roman"/>
                <w:b/>
                <w:bCs/>
                <w:sz w:val="22"/>
                <w:szCs w:val="22"/>
              </w:rPr>
            </w:pPr>
            <w:r w:rsidRPr="002E0607">
              <w:rPr>
                <w:rFonts w:ascii="Times New Roman" w:hAnsi="Times New Roman" w:cs="Times New Roman"/>
                <w:b/>
                <w:bCs/>
                <w:sz w:val="22"/>
                <w:szCs w:val="22"/>
              </w:rPr>
              <w:t>3</w:t>
            </w:r>
          </w:p>
        </w:tc>
        <w:tc>
          <w:tcPr>
            <w:tcW w:w="0" w:type="auto"/>
            <w:vAlign w:val="center"/>
          </w:tcPr>
          <w:p w14:paraId="4080E1F4" w14:textId="77777777" w:rsidR="002A212C" w:rsidRPr="002E0607" w:rsidRDefault="002A212C" w:rsidP="002E0607">
            <w:pPr>
              <w:pStyle w:val="NoSpacing"/>
              <w:jc w:val="center"/>
              <w:rPr>
                <w:rFonts w:ascii="Times New Roman" w:hAnsi="Times New Roman" w:cs="Times New Roman"/>
                <w:b/>
                <w:bCs/>
                <w:sz w:val="22"/>
                <w:szCs w:val="22"/>
              </w:rPr>
            </w:pPr>
            <w:r w:rsidRPr="002E0607">
              <w:rPr>
                <w:rFonts w:ascii="Times New Roman" w:hAnsi="Times New Roman" w:cs="Times New Roman"/>
                <w:b/>
                <w:bCs/>
                <w:sz w:val="22"/>
                <w:szCs w:val="22"/>
              </w:rPr>
              <w:t>4</w:t>
            </w:r>
          </w:p>
        </w:tc>
      </w:tr>
      <w:tr w:rsidR="002A212C" w:rsidRPr="002E0607" w14:paraId="56560136" w14:textId="77777777" w:rsidTr="002E0607">
        <w:trPr>
          <w:trHeight w:val="256"/>
        </w:trPr>
        <w:tc>
          <w:tcPr>
            <w:tcW w:w="0" w:type="auto"/>
            <w:vAlign w:val="center"/>
          </w:tcPr>
          <w:p w14:paraId="79594B2B" w14:textId="77777777" w:rsidR="002A212C" w:rsidRPr="002E0607" w:rsidRDefault="002A212C" w:rsidP="002E0607">
            <w:pPr>
              <w:pStyle w:val="NoSpacing"/>
              <w:rPr>
                <w:rFonts w:ascii="Times New Roman" w:hAnsi="Times New Roman" w:cs="Times New Roman"/>
                <w:b/>
                <w:bCs/>
                <w:sz w:val="22"/>
                <w:szCs w:val="22"/>
              </w:rPr>
            </w:pPr>
            <w:r w:rsidRPr="002E0607">
              <w:rPr>
                <w:rFonts w:ascii="Times New Roman" w:hAnsi="Times New Roman" w:cs="Times New Roman"/>
                <w:b/>
                <w:bCs/>
                <w:sz w:val="22"/>
                <w:szCs w:val="22"/>
              </w:rPr>
              <w:t>IV. Grants met from Capital</w:t>
            </w:r>
          </w:p>
        </w:tc>
        <w:tc>
          <w:tcPr>
            <w:tcW w:w="0" w:type="auto"/>
            <w:vAlign w:val="center"/>
          </w:tcPr>
          <w:p w14:paraId="71A59A58" w14:textId="77777777" w:rsidR="002A212C" w:rsidRPr="002E0607" w:rsidRDefault="002A212C" w:rsidP="002E0607">
            <w:pPr>
              <w:pStyle w:val="NoSpacing"/>
              <w:jc w:val="center"/>
              <w:rPr>
                <w:rFonts w:ascii="Times New Roman" w:hAnsi="Times New Roman" w:cs="Times New Roman"/>
                <w:b/>
                <w:bCs/>
                <w:sz w:val="22"/>
                <w:szCs w:val="22"/>
              </w:rPr>
            </w:pPr>
            <w:r w:rsidRPr="002E0607">
              <w:rPr>
                <w:rFonts w:ascii="Times New Roman" w:hAnsi="Times New Roman" w:cs="Times New Roman"/>
                <w:b/>
                <w:bCs/>
                <w:sz w:val="22"/>
                <w:szCs w:val="22"/>
              </w:rPr>
              <w:t>24</w:t>
            </w:r>
          </w:p>
        </w:tc>
        <w:tc>
          <w:tcPr>
            <w:tcW w:w="0" w:type="auto"/>
            <w:vAlign w:val="center"/>
          </w:tcPr>
          <w:p w14:paraId="791F0732" w14:textId="77777777" w:rsidR="002A212C" w:rsidRPr="002E0607" w:rsidRDefault="002A212C" w:rsidP="002E0607">
            <w:pPr>
              <w:pStyle w:val="NoSpacing"/>
              <w:jc w:val="center"/>
              <w:rPr>
                <w:rFonts w:ascii="Times New Roman" w:hAnsi="Times New Roman" w:cs="Times New Roman"/>
                <w:b/>
                <w:bCs/>
                <w:sz w:val="22"/>
                <w:szCs w:val="22"/>
              </w:rPr>
            </w:pPr>
            <w:r w:rsidRPr="002E0607">
              <w:rPr>
                <w:rFonts w:ascii="Times New Roman" w:hAnsi="Times New Roman" w:cs="Times New Roman"/>
                <w:b/>
                <w:bCs/>
                <w:sz w:val="22"/>
                <w:szCs w:val="22"/>
              </w:rPr>
              <w:t>59</w:t>
            </w:r>
          </w:p>
        </w:tc>
        <w:tc>
          <w:tcPr>
            <w:tcW w:w="0" w:type="auto"/>
            <w:vAlign w:val="center"/>
          </w:tcPr>
          <w:p w14:paraId="3663F24A" w14:textId="77777777" w:rsidR="002A212C" w:rsidRPr="002E0607" w:rsidRDefault="002A212C" w:rsidP="002E0607">
            <w:pPr>
              <w:pStyle w:val="NoSpacing"/>
              <w:jc w:val="center"/>
              <w:rPr>
                <w:rFonts w:ascii="Times New Roman" w:hAnsi="Times New Roman" w:cs="Times New Roman"/>
                <w:b/>
                <w:bCs/>
                <w:sz w:val="22"/>
                <w:szCs w:val="22"/>
              </w:rPr>
            </w:pPr>
            <w:r w:rsidRPr="002E0607">
              <w:rPr>
                <w:rFonts w:ascii="Times New Roman" w:hAnsi="Times New Roman" w:cs="Times New Roman"/>
                <w:b/>
                <w:bCs/>
                <w:sz w:val="22"/>
                <w:szCs w:val="22"/>
              </w:rPr>
              <w:t>142</w:t>
            </w:r>
          </w:p>
        </w:tc>
        <w:tc>
          <w:tcPr>
            <w:tcW w:w="0" w:type="auto"/>
            <w:vAlign w:val="center"/>
          </w:tcPr>
          <w:p w14:paraId="3352D4BB" w14:textId="77777777" w:rsidR="002A212C" w:rsidRPr="002E0607" w:rsidRDefault="002A212C" w:rsidP="002E0607">
            <w:pPr>
              <w:pStyle w:val="NoSpacing"/>
              <w:jc w:val="center"/>
              <w:rPr>
                <w:rFonts w:ascii="Times New Roman" w:hAnsi="Times New Roman" w:cs="Times New Roman"/>
                <w:b/>
                <w:bCs/>
                <w:sz w:val="22"/>
                <w:szCs w:val="22"/>
              </w:rPr>
            </w:pPr>
            <w:r w:rsidRPr="002E0607">
              <w:rPr>
                <w:rFonts w:ascii="Times New Roman" w:hAnsi="Times New Roman" w:cs="Times New Roman"/>
                <w:b/>
                <w:bCs/>
                <w:sz w:val="22"/>
                <w:szCs w:val="22"/>
              </w:rPr>
              <w:t>51</w:t>
            </w:r>
          </w:p>
        </w:tc>
        <w:tc>
          <w:tcPr>
            <w:tcW w:w="0" w:type="auto"/>
            <w:vAlign w:val="center"/>
          </w:tcPr>
          <w:p w14:paraId="0BB7C73A" w14:textId="77777777" w:rsidR="002A212C" w:rsidRPr="002E0607" w:rsidRDefault="002A212C" w:rsidP="002E0607">
            <w:pPr>
              <w:pStyle w:val="NoSpacing"/>
              <w:jc w:val="center"/>
              <w:rPr>
                <w:rFonts w:ascii="Times New Roman" w:hAnsi="Times New Roman" w:cs="Times New Roman"/>
                <w:b/>
                <w:bCs/>
                <w:sz w:val="22"/>
                <w:szCs w:val="22"/>
              </w:rPr>
            </w:pPr>
            <w:r w:rsidRPr="002E0607">
              <w:rPr>
                <w:rFonts w:ascii="Times New Roman" w:hAnsi="Times New Roman" w:cs="Times New Roman"/>
                <w:b/>
                <w:bCs/>
                <w:sz w:val="22"/>
                <w:szCs w:val="22"/>
              </w:rPr>
              <w:t>58</w:t>
            </w:r>
          </w:p>
        </w:tc>
        <w:tc>
          <w:tcPr>
            <w:tcW w:w="0" w:type="auto"/>
            <w:vAlign w:val="center"/>
          </w:tcPr>
          <w:p w14:paraId="2462C5E0" w14:textId="77777777" w:rsidR="002A212C" w:rsidRPr="002E0607" w:rsidRDefault="002A212C" w:rsidP="002E0607">
            <w:pPr>
              <w:pStyle w:val="NoSpacing"/>
              <w:jc w:val="center"/>
              <w:rPr>
                <w:rFonts w:ascii="Times New Roman" w:hAnsi="Times New Roman" w:cs="Times New Roman"/>
                <w:b/>
                <w:bCs/>
                <w:sz w:val="22"/>
                <w:szCs w:val="22"/>
              </w:rPr>
            </w:pPr>
            <w:r w:rsidRPr="002E0607">
              <w:rPr>
                <w:rFonts w:ascii="Times New Roman" w:hAnsi="Times New Roman" w:cs="Times New Roman"/>
                <w:b/>
                <w:bCs/>
                <w:sz w:val="22"/>
                <w:szCs w:val="22"/>
              </w:rPr>
              <w:t>53</w:t>
            </w:r>
          </w:p>
        </w:tc>
        <w:tc>
          <w:tcPr>
            <w:tcW w:w="0" w:type="auto"/>
            <w:vAlign w:val="center"/>
          </w:tcPr>
          <w:p w14:paraId="7C4DF8FD" w14:textId="77777777" w:rsidR="002A212C" w:rsidRPr="002E0607" w:rsidRDefault="002A212C" w:rsidP="002E0607">
            <w:pPr>
              <w:pStyle w:val="NoSpacing"/>
              <w:jc w:val="center"/>
              <w:rPr>
                <w:rFonts w:ascii="Times New Roman" w:hAnsi="Times New Roman" w:cs="Times New Roman"/>
                <w:b/>
                <w:bCs/>
                <w:sz w:val="22"/>
                <w:szCs w:val="22"/>
              </w:rPr>
            </w:pPr>
            <w:r w:rsidRPr="002E0607">
              <w:rPr>
                <w:rFonts w:ascii="Times New Roman" w:hAnsi="Times New Roman" w:cs="Times New Roman"/>
                <w:b/>
                <w:bCs/>
                <w:sz w:val="22"/>
                <w:szCs w:val="22"/>
              </w:rPr>
              <w:t>49</w:t>
            </w:r>
          </w:p>
        </w:tc>
      </w:tr>
      <w:tr w:rsidR="002A212C" w:rsidRPr="002E0607" w14:paraId="76B93521" w14:textId="77777777" w:rsidTr="002E0607">
        <w:trPr>
          <w:trHeight w:val="256"/>
        </w:trPr>
        <w:tc>
          <w:tcPr>
            <w:tcW w:w="0" w:type="auto"/>
            <w:vAlign w:val="center"/>
          </w:tcPr>
          <w:p w14:paraId="3C7965D6" w14:textId="77777777" w:rsidR="002A212C" w:rsidRPr="002E0607" w:rsidRDefault="002A212C" w:rsidP="002E0607">
            <w:pPr>
              <w:pStyle w:val="NoSpacing"/>
              <w:rPr>
                <w:rFonts w:ascii="Times New Roman" w:hAnsi="Times New Roman" w:cs="Times New Roman"/>
                <w:b/>
                <w:bCs/>
                <w:sz w:val="22"/>
                <w:szCs w:val="22"/>
              </w:rPr>
            </w:pPr>
            <w:r w:rsidRPr="002E0607">
              <w:rPr>
                <w:rFonts w:ascii="Times New Roman" w:hAnsi="Times New Roman" w:cs="Times New Roman"/>
                <w:b/>
                <w:bCs/>
                <w:sz w:val="22"/>
                <w:szCs w:val="22"/>
              </w:rPr>
              <w:t>V. Loans</w:t>
            </w:r>
          </w:p>
        </w:tc>
        <w:tc>
          <w:tcPr>
            <w:tcW w:w="0" w:type="auto"/>
            <w:vAlign w:val="center"/>
          </w:tcPr>
          <w:p w14:paraId="184487D4" w14:textId="77777777" w:rsidR="002A212C" w:rsidRPr="002E0607" w:rsidRDefault="002A212C" w:rsidP="002E0607">
            <w:pPr>
              <w:pStyle w:val="NoSpacing"/>
              <w:jc w:val="center"/>
              <w:rPr>
                <w:rFonts w:ascii="Times New Roman" w:hAnsi="Times New Roman" w:cs="Times New Roman"/>
                <w:b/>
                <w:bCs/>
                <w:sz w:val="22"/>
                <w:szCs w:val="22"/>
              </w:rPr>
            </w:pPr>
            <w:r w:rsidRPr="002E0607">
              <w:rPr>
                <w:rFonts w:ascii="Times New Roman" w:hAnsi="Times New Roman" w:cs="Times New Roman"/>
                <w:b/>
                <w:bCs/>
                <w:sz w:val="22"/>
                <w:szCs w:val="22"/>
              </w:rPr>
              <w:t>799</w:t>
            </w:r>
          </w:p>
        </w:tc>
        <w:tc>
          <w:tcPr>
            <w:tcW w:w="0" w:type="auto"/>
            <w:vAlign w:val="center"/>
          </w:tcPr>
          <w:p w14:paraId="181B95A0" w14:textId="77777777" w:rsidR="002A212C" w:rsidRPr="002E0607" w:rsidRDefault="002A212C" w:rsidP="002E0607">
            <w:pPr>
              <w:pStyle w:val="NoSpacing"/>
              <w:jc w:val="center"/>
              <w:rPr>
                <w:rFonts w:ascii="Times New Roman" w:hAnsi="Times New Roman" w:cs="Times New Roman"/>
                <w:b/>
                <w:bCs/>
                <w:sz w:val="22"/>
                <w:szCs w:val="22"/>
              </w:rPr>
            </w:pPr>
            <w:r w:rsidRPr="002E0607">
              <w:rPr>
                <w:rFonts w:ascii="Times New Roman" w:hAnsi="Times New Roman" w:cs="Times New Roman"/>
                <w:b/>
                <w:bCs/>
                <w:sz w:val="22"/>
                <w:szCs w:val="22"/>
              </w:rPr>
              <w:t>1411</w:t>
            </w:r>
          </w:p>
        </w:tc>
        <w:tc>
          <w:tcPr>
            <w:tcW w:w="0" w:type="auto"/>
            <w:vAlign w:val="center"/>
          </w:tcPr>
          <w:p w14:paraId="7547EB25" w14:textId="77777777" w:rsidR="002A212C" w:rsidRPr="002E0607" w:rsidRDefault="002A212C" w:rsidP="002E0607">
            <w:pPr>
              <w:pStyle w:val="NoSpacing"/>
              <w:jc w:val="center"/>
              <w:rPr>
                <w:rFonts w:ascii="Times New Roman" w:hAnsi="Times New Roman" w:cs="Times New Roman"/>
                <w:b/>
                <w:bCs/>
                <w:sz w:val="22"/>
                <w:szCs w:val="22"/>
              </w:rPr>
            </w:pPr>
            <w:r w:rsidRPr="002E0607">
              <w:rPr>
                <w:rFonts w:ascii="Times New Roman" w:hAnsi="Times New Roman" w:cs="Times New Roman"/>
                <w:b/>
                <w:bCs/>
                <w:sz w:val="22"/>
                <w:szCs w:val="22"/>
              </w:rPr>
              <w:t>3100</w:t>
            </w:r>
          </w:p>
        </w:tc>
        <w:tc>
          <w:tcPr>
            <w:tcW w:w="0" w:type="auto"/>
            <w:vAlign w:val="center"/>
          </w:tcPr>
          <w:p w14:paraId="6314EA58" w14:textId="77777777" w:rsidR="002A212C" w:rsidRPr="002E0607" w:rsidRDefault="002A212C" w:rsidP="002E0607">
            <w:pPr>
              <w:pStyle w:val="NoSpacing"/>
              <w:jc w:val="center"/>
              <w:rPr>
                <w:rFonts w:ascii="Times New Roman" w:hAnsi="Times New Roman" w:cs="Times New Roman"/>
                <w:b/>
                <w:bCs/>
                <w:sz w:val="22"/>
                <w:szCs w:val="22"/>
              </w:rPr>
            </w:pPr>
            <w:r w:rsidRPr="002E0607">
              <w:rPr>
                <w:rFonts w:ascii="Times New Roman" w:hAnsi="Times New Roman" w:cs="Times New Roman"/>
                <w:b/>
                <w:bCs/>
                <w:sz w:val="22"/>
                <w:szCs w:val="22"/>
              </w:rPr>
              <w:t>821</w:t>
            </w:r>
          </w:p>
        </w:tc>
        <w:tc>
          <w:tcPr>
            <w:tcW w:w="0" w:type="auto"/>
            <w:vAlign w:val="center"/>
          </w:tcPr>
          <w:p w14:paraId="346F0E35" w14:textId="77777777" w:rsidR="002A212C" w:rsidRPr="002E0607" w:rsidRDefault="002A212C" w:rsidP="002E0607">
            <w:pPr>
              <w:pStyle w:val="NoSpacing"/>
              <w:jc w:val="center"/>
              <w:rPr>
                <w:rFonts w:ascii="Times New Roman" w:hAnsi="Times New Roman" w:cs="Times New Roman"/>
                <w:b/>
                <w:bCs/>
                <w:sz w:val="22"/>
                <w:szCs w:val="22"/>
              </w:rPr>
            </w:pPr>
            <w:r w:rsidRPr="002E0607">
              <w:rPr>
                <w:rFonts w:ascii="Times New Roman" w:hAnsi="Times New Roman" w:cs="Times New Roman"/>
                <w:b/>
                <w:bCs/>
                <w:sz w:val="22"/>
                <w:szCs w:val="22"/>
              </w:rPr>
              <w:t>920</w:t>
            </w:r>
          </w:p>
        </w:tc>
        <w:tc>
          <w:tcPr>
            <w:tcW w:w="0" w:type="auto"/>
            <w:vAlign w:val="center"/>
          </w:tcPr>
          <w:p w14:paraId="2380D1BC" w14:textId="77777777" w:rsidR="002A212C" w:rsidRPr="002E0607" w:rsidRDefault="002A212C" w:rsidP="002E0607">
            <w:pPr>
              <w:pStyle w:val="NoSpacing"/>
              <w:jc w:val="center"/>
              <w:rPr>
                <w:rFonts w:ascii="Times New Roman" w:hAnsi="Times New Roman" w:cs="Times New Roman"/>
                <w:b/>
                <w:bCs/>
                <w:sz w:val="22"/>
                <w:szCs w:val="22"/>
              </w:rPr>
            </w:pPr>
            <w:r w:rsidRPr="002E0607">
              <w:rPr>
                <w:rFonts w:ascii="Times New Roman" w:hAnsi="Times New Roman" w:cs="Times New Roman"/>
                <w:b/>
                <w:bCs/>
                <w:sz w:val="22"/>
                <w:szCs w:val="22"/>
              </w:rPr>
              <w:t>880</w:t>
            </w:r>
          </w:p>
        </w:tc>
        <w:tc>
          <w:tcPr>
            <w:tcW w:w="0" w:type="auto"/>
            <w:vAlign w:val="center"/>
          </w:tcPr>
          <w:p w14:paraId="1FFAE1E8" w14:textId="77777777" w:rsidR="002A212C" w:rsidRPr="002E0607" w:rsidRDefault="002A212C" w:rsidP="002E0607">
            <w:pPr>
              <w:pStyle w:val="NoSpacing"/>
              <w:jc w:val="center"/>
              <w:rPr>
                <w:rFonts w:ascii="Times New Roman" w:hAnsi="Times New Roman" w:cs="Times New Roman"/>
                <w:b/>
                <w:bCs/>
                <w:sz w:val="22"/>
                <w:szCs w:val="22"/>
              </w:rPr>
            </w:pPr>
            <w:r w:rsidRPr="002E0607">
              <w:rPr>
                <w:rFonts w:ascii="Times New Roman" w:hAnsi="Times New Roman" w:cs="Times New Roman"/>
                <w:b/>
                <w:bCs/>
                <w:sz w:val="22"/>
                <w:szCs w:val="22"/>
              </w:rPr>
              <w:t>891</w:t>
            </w:r>
          </w:p>
        </w:tc>
      </w:tr>
      <w:tr w:rsidR="002A212C" w:rsidRPr="002E0607" w14:paraId="2AB1CA13" w14:textId="77777777" w:rsidTr="002E0607">
        <w:trPr>
          <w:trHeight w:val="256"/>
        </w:trPr>
        <w:tc>
          <w:tcPr>
            <w:tcW w:w="0" w:type="auto"/>
            <w:vAlign w:val="center"/>
          </w:tcPr>
          <w:p w14:paraId="3A382781" w14:textId="77777777" w:rsidR="002A212C" w:rsidRPr="002E0607" w:rsidRDefault="002A212C" w:rsidP="002E0607">
            <w:pPr>
              <w:pStyle w:val="NoSpacing"/>
              <w:rPr>
                <w:rFonts w:ascii="Times New Roman" w:hAnsi="Times New Roman" w:cs="Times New Roman"/>
                <w:b/>
                <w:bCs/>
                <w:sz w:val="22"/>
                <w:szCs w:val="22"/>
              </w:rPr>
            </w:pPr>
            <w:r w:rsidRPr="002E0607">
              <w:rPr>
                <w:rFonts w:ascii="Times New Roman" w:hAnsi="Times New Roman" w:cs="Times New Roman"/>
                <w:b/>
                <w:bCs/>
                <w:sz w:val="22"/>
                <w:szCs w:val="22"/>
              </w:rPr>
              <w:t>GRAND TOTAL</w:t>
            </w:r>
          </w:p>
        </w:tc>
        <w:tc>
          <w:tcPr>
            <w:tcW w:w="0" w:type="auto"/>
            <w:vAlign w:val="center"/>
          </w:tcPr>
          <w:p w14:paraId="175044BA" w14:textId="77777777" w:rsidR="002A212C" w:rsidRPr="002E0607" w:rsidRDefault="002A212C" w:rsidP="002E0607">
            <w:pPr>
              <w:pStyle w:val="NoSpacing"/>
              <w:jc w:val="center"/>
              <w:rPr>
                <w:rFonts w:ascii="Times New Roman" w:hAnsi="Times New Roman" w:cs="Times New Roman"/>
                <w:b/>
                <w:bCs/>
                <w:sz w:val="22"/>
                <w:szCs w:val="22"/>
              </w:rPr>
            </w:pPr>
            <w:r w:rsidRPr="002E0607">
              <w:rPr>
                <w:rFonts w:ascii="Times New Roman" w:hAnsi="Times New Roman" w:cs="Times New Roman"/>
                <w:b/>
                <w:bCs/>
                <w:sz w:val="22"/>
                <w:szCs w:val="22"/>
              </w:rPr>
              <w:t>1413</w:t>
            </w:r>
          </w:p>
        </w:tc>
        <w:tc>
          <w:tcPr>
            <w:tcW w:w="0" w:type="auto"/>
            <w:vAlign w:val="center"/>
          </w:tcPr>
          <w:p w14:paraId="7D694445" w14:textId="77777777" w:rsidR="002A212C" w:rsidRPr="002E0607" w:rsidRDefault="002A212C" w:rsidP="002E0607">
            <w:pPr>
              <w:pStyle w:val="NoSpacing"/>
              <w:jc w:val="center"/>
              <w:rPr>
                <w:rFonts w:ascii="Times New Roman" w:hAnsi="Times New Roman" w:cs="Times New Roman"/>
                <w:b/>
                <w:bCs/>
                <w:sz w:val="22"/>
                <w:szCs w:val="22"/>
              </w:rPr>
            </w:pPr>
            <w:r w:rsidRPr="002E0607">
              <w:rPr>
                <w:rFonts w:ascii="Times New Roman" w:hAnsi="Times New Roman" w:cs="Times New Roman"/>
                <w:b/>
                <w:bCs/>
                <w:sz w:val="22"/>
                <w:szCs w:val="22"/>
              </w:rPr>
              <w:t>2869</w:t>
            </w:r>
          </w:p>
        </w:tc>
        <w:tc>
          <w:tcPr>
            <w:tcW w:w="0" w:type="auto"/>
            <w:vAlign w:val="center"/>
          </w:tcPr>
          <w:p w14:paraId="4A6D0DD1" w14:textId="77777777" w:rsidR="002A212C" w:rsidRPr="002E0607" w:rsidRDefault="002A212C" w:rsidP="002E0607">
            <w:pPr>
              <w:pStyle w:val="NoSpacing"/>
              <w:jc w:val="center"/>
              <w:rPr>
                <w:rFonts w:ascii="Times New Roman" w:hAnsi="Times New Roman" w:cs="Times New Roman"/>
                <w:b/>
                <w:bCs/>
                <w:sz w:val="22"/>
                <w:szCs w:val="22"/>
              </w:rPr>
            </w:pPr>
            <w:r w:rsidRPr="002E0607">
              <w:rPr>
                <w:rFonts w:ascii="Times New Roman" w:hAnsi="Times New Roman" w:cs="Times New Roman"/>
                <w:b/>
                <w:bCs/>
                <w:sz w:val="22"/>
                <w:szCs w:val="22"/>
              </w:rPr>
              <w:t>5600</w:t>
            </w:r>
          </w:p>
        </w:tc>
        <w:tc>
          <w:tcPr>
            <w:tcW w:w="0" w:type="auto"/>
            <w:vAlign w:val="center"/>
          </w:tcPr>
          <w:p w14:paraId="54B7E36A" w14:textId="77777777" w:rsidR="002A212C" w:rsidRPr="002E0607" w:rsidRDefault="002A212C" w:rsidP="002E0607">
            <w:pPr>
              <w:pStyle w:val="NoSpacing"/>
              <w:jc w:val="center"/>
              <w:rPr>
                <w:rFonts w:ascii="Times New Roman" w:hAnsi="Times New Roman" w:cs="Times New Roman"/>
                <w:b/>
                <w:bCs/>
                <w:sz w:val="22"/>
                <w:szCs w:val="22"/>
              </w:rPr>
            </w:pPr>
            <w:r w:rsidRPr="002E0607">
              <w:rPr>
                <w:rFonts w:ascii="Times New Roman" w:hAnsi="Times New Roman" w:cs="Times New Roman"/>
                <w:b/>
                <w:bCs/>
                <w:sz w:val="22"/>
                <w:szCs w:val="22"/>
              </w:rPr>
              <w:t>1446</w:t>
            </w:r>
          </w:p>
        </w:tc>
        <w:tc>
          <w:tcPr>
            <w:tcW w:w="0" w:type="auto"/>
            <w:vAlign w:val="center"/>
          </w:tcPr>
          <w:p w14:paraId="2D9C4734" w14:textId="77777777" w:rsidR="002A212C" w:rsidRPr="002E0607" w:rsidRDefault="002A212C" w:rsidP="002E0607">
            <w:pPr>
              <w:pStyle w:val="NoSpacing"/>
              <w:jc w:val="center"/>
              <w:rPr>
                <w:rFonts w:ascii="Times New Roman" w:hAnsi="Times New Roman" w:cs="Times New Roman"/>
                <w:b/>
                <w:bCs/>
                <w:sz w:val="22"/>
                <w:szCs w:val="22"/>
              </w:rPr>
            </w:pPr>
            <w:r w:rsidRPr="002E0607">
              <w:rPr>
                <w:rFonts w:ascii="Times New Roman" w:hAnsi="Times New Roman" w:cs="Times New Roman"/>
                <w:b/>
                <w:bCs/>
                <w:sz w:val="22"/>
                <w:szCs w:val="22"/>
              </w:rPr>
              <w:t>1706</w:t>
            </w:r>
          </w:p>
        </w:tc>
        <w:tc>
          <w:tcPr>
            <w:tcW w:w="0" w:type="auto"/>
            <w:vAlign w:val="center"/>
          </w:tcPr>
          <w:p w14:paraId="5F646CBB" w14:textId="77777777" w:rsidR="002A212C" w:rsidRPr="002E0607" w:rsidRDefault="002A212C" w:rsidP="002E0607">
            <w:pPr>
              <w:pStyle w:val="NoSpacing"/>
              <w:jc w:val="center"/>
              <w:rPr>
                <w:rFonts w:ascii="Times New Roman" w:hAnsi="Times New Roman" w:cs="Times New Roman"/>
                <w:b/>
                <w:bCs/>
                <w:sz w:val="22"/>
                <w:szCs w:val="22"/>
              </w:rPr>
            </w:pPr>
            <w:r w:rsidRPr="002E0607">
              <w:rPr>
                <w:rFonts w:ascii="Times New Roman" w:hAnsi="Times New Roman" w:cs="Times New Roman"/>
                <w:b/>
                <w:bCs/>
                <w:sz w:val="22"/>
                <w:szCs w:val="22"/>
              </w:rPr>
              <w:t>1766</w:t>
            </w:r>
          </w:p>
        </w:tc>
        <w:tc>
          <w:tcPr>
            <w:tcW w:w="0" w:type="auto"/>
            <w:vAlign w:val="center"/>
          </w:tcPr>
          <w:p w14:paraId="2AAC2FC8" w14:textId="77777777" w:rsidR="002A212C" w:rsidRPr="002E0607" w:rsidRDefault="002A212C" w:rsidP="002E0607">
            <w:pPr>
              <w:pStyle w:val="NoSpacing"/>
              <w:jc w:val="center"/>
              <w:rPr>
                <w:rFonts w:ascii="Times New Roman" w:hAnsi="Times New Roman" w:cs="Times New Roman"/>
                <w:b/>
                <w:bCs/>
                <w:sz w:val="22"/>
                <w:szCs w:val="22"/>
              </w:rPr>
            </w:pPr>
            <w:r w:rsidRPr="002E0607">
              <w:rPr>
                <w:rFonts w:ascii="Times New Roman" w:hAnsi="Times New Roman" w:cs="Times New Roman"/>
                <w:b/>
                <w:bCs/>
                <w:sz w:val="22"/>
                <w:szCs w:val="22"/>
              </w:rPr>
              <w:t>1890</w:t>
            </w:r>
          </w:p>
        </w:tc>
      </w:tr>
    </w:tbl>
    <w:p w14:paraId="3E061C9B" w14:textId="77777777" w:rsidR="002A212C" w:rsidRPr="002E0607" w:rsidRDefault="002A212C" w:rsidP="002A212C">
      <w:pPr>
        <w:spacing w:after="0"/>
        <w:rPr>
          <w:rFonts w:ascii="Times New Roman" w:hAnsi="Times New Roman" w:cs="Times New Roman"/>
          <w:sz w:val="20"/>
          <w:szCs w:val="20"/>
        </w:rPr>
      </w:pPr>
      <w:r w:rsidRPr="002E0607">
        <w:rPr>
          <w:rFonts w:ascii="Times New Roman" w:hAnsi="Times New Roman" w:cs="Times New Roman"/>
          <w:sz w:val="20"/>
          <w:szCs w:val="20"/>
        </w:rPr>
        <w:t>Source : Budgets of the Central Government.</w:t>
      </w:r>
      <w:r w:rsidRPr="002E0607">
        <w:rPr>
          <w:rFonts w:ascii="Times New Roman" w:hAnsi="Times New Roman" w:cs="Times New Roman"/>
          <w:sz w:val="20"/>
          <w:szCs w:val="20"/>
        </w:rPr>
        <w:br/>
        <w:t>* This is the last year of the Third Five Year Plan and is included in Column 3.</w:t>
      </w:r>
    </w:p>
    <w:p w14:paraId="45D33158" w14:textId="464E4BED" w:rsidR="002A212C" w:rsidRPr="007245B0" w:rsidRDefault="002A212C" w:rsidP="002A212C">
      <w:pPr>
        <w:tabs>
          <w:tab w:val="left" w:pos="1225"/>
        </w:tabs>
        <w:rPr>
          <w:rFonts w:ascii="Times New Roman" w:hAnsi="Times New Roman" w:cs="Times New Roman"/>
          <w:szCs w:val="24"/>
        </w:rPr>
      </w:pPr>
    </w:p>
    <w:p w14:paraId="0B0D98EB" w14:textId="426118C9" w:rsidR="002A212C" w:rsidRPr="007245B0" w:rsidRDefault="002A212C" w:rsidP="002A212C">
      <w:pPr>
        <w:tabs>
          <w:tab w:val="left" w:pos="1225"/>
        </w:tabs>
        <w:rPr>
          <w:rFonts w:ascii="Times New Roman" w:hAnsi="Times New Roman" w:cs="Times New Roman"/>
          <w:szCs w:val="24"/>
        </w:rPr>
        <w:sectPr w:rsidR="002A212C" w:rsidRPr="007245B0" w:rsidSect="00937698">
          <w:pgSz w:w="15840" w:h="12240" w:orient="landscape"/>
          <w:pgMar w:top="1440" w:right="992" w:bottom="1440" w:left="1440" w:header="720" w:footer="720" w:gutter="0"/>
          <w:cols w:space="720"/>
        </w:sectPr>
      </w:pPr>
    </w:p>
    <w:p w14:paraId="2A5C5D2D" w14:textId="77777777" w:rsidR="002E0607" w:rsidRDefault="002E0607">
      <w:pPr>
        <w:rPr>
          <w:rFonts w:ascii="Times New Roman" w:eastAsiaTheme="majorEastAsia" w:hAnsi="Times New Roman" w:cs="Times New Roman"/>
          <w:b/>
          <w:bCs/>
        </w:rPr>
      </w:pPr>
      <w:r>
        <w:lastRenderedPageBreak/>
        <w:br w:type="page"/>
      </w:r>
    </w:p>
    <w:p w14:paraId="7DDF8A41" w14:textId="77777777" w:rsidR="002E0607" w:rsidRDefault="002E0607">
      <w:pPr>
        <w:rPr>
          <w:rFonts w:ascii="Times New Roman" w:eastAsiaTheme="majorEastAsia" w:hAnsi="Times New Roman" w:cs="Times New Roman"/>
          <w:b/>
          <w:bCs/>
        </w:rPr>
      </w:pPr>
      <w:r>
        <w:lastRenderedPageBreak/>
        <w:br w:type="page"/>
      </w:r>
    </w:p>
    <w:p w14:paraId="5D25EC06" w14:textId="149CD1BA" w:rsidR="008D45A9" w:rsidRPr="007245B0" w:rsidRDefault="00574BCE" w:rsidP="007D2EE4">
      <w:pPr>
        <w:pStyle w:val="Heading4"/>
      </w:pPr>
      <w:bookmarkStart w:id="195" w:name="_Toc220949735"/>
      <w:bookmarkStart w:id="196" w:name="_Toc221114335"/>
      <w:bookmarkStart w:id="197" w:name="_Toc221115358"/>
      <w:r>
        <w:lastRenderedPageBreak/>
        <w:t>Table</w:t>
      </w:r>
      <w:r w:rsidR="008D45A9" w:rsidRPr="007245B0">
        <w:t xml:space="preserve"> 54: Transfer from the Centre to state under the </w:t>
      </w:r>
      <w:r w:rsidR="002E0607">
        <w:t>F</w:t>
      </w:r>
      <w:r w:rsidR="008D45A9" w:rsidRPr="007245B0">
        <w:t>irst Finance Commission’s Award (1952-53 to 1956-57)</w:t>
      </w:r>
      <w:bookmarkEnd w:id="195"/>
      <w:bookmarkEnd w:id="196"/>
      <w:bookmarkEnd w:id="197"/>
    </w:p>
    <w:p w14:paraId="12DC89F5" w14:textId="77777777" w:rsidR="008D45A9" w:rsidRPr="002E0607" w:rsidRDefault="008D45A9" w:rsidP="008D45A9">
      <w:pPr>
        <w:tabs>
          <w:tab w:val="left" w:pos="737"/>
        </w:tabs>
        <w:jc w:val="right"/>
        <w:rPr>
          <w:rFonts w:ascii="Times New Roman" w:hAnsi="Times New Roman" w:cs="Times New Roman"/>
          <w:i/>
          <w:iCs/>
          <w:szCs w:val="24"/>
        </w:rPr>
      </w:pPr>
      <w:r w:rsidRPr="002E0607">
        <w:rPr>
          <w:rFonts w:ascii="Times New Roman" w:hAnsi="Times New Roman" w:cs="Times New Roman"/>
          <w:i/>
          <w:iCs/>
          <w:szCs w:val="24"/>
        </w:rPr>
        <w:t>(Rs. crores)</w:t>
      </w:r>
    </w:p>
    <w:tbl>
      <w:tblPr>
        <w:tblStyle w:val="TableGrid"/>
        <w:tblW w:w="14953" w:type="dxa"/>
        <w:tblInd w:w="-856" w:type="dxa"/>
        <w:tblLook w:val="04A0" w:firstRow="1" w:lastRow="0" w:firstColumn="1" w:lastColumn="0" w:noHBand="0" w:noVBand="1"/>
      </w:tblPr>
      <w:tblGrid>
        <w:gridCol w:w="1583"/>
        <w:gridCol w:w="688"/>
        <w:gridCol w:w="786"/>
        <w:gridCol w:w="644"/>
        <w:gridCol w:w="688"/>
        <w:gridCol w:w="786"/>
        <w:gridCol w:w="644"/>
        <w:gridCol w:w="688"/>
        <w:gridCol w:w="786"/>
        <w:gridCol w:w="644"/>
        <w:gridCol w:w="688"/>
        <w:gridCol w:w="786"/>
        <w:gridCol w:w="644"/>
        <w:gridCol w:w="688"/>
        <w:gridCol w:w="786"/>
        <w:gridCol w:w="644"/>
        <w:gridCol w:w="961"/>
        <w:gridCol w:w="866"/>
        <w:gridCol w:w="953"/>
      </w:tblGrid>
      <w:tr w:rsidR="008D45A9" w:rsidRPr="002E0607" w14:paraId="3F94F21D" w14:textId="77777777" w:rsidTr="002E0607">
        <w:trPr>
          <w:trHeight w:val="247"/>
        </w:trPr>
        <w:tc>
          <w:tcPr>
            <w:tcW w:w="1926" w:type="dxa"/>
            <w:vAlign w:val="center"/>
            <w:hideMark/>
          </w:tcPr>
          <w:p w14:paraId="31A5456F" w14:textId="77777777" w:rsidR="008D45A9" w:rsidRPr="002E0607" w:rsidRDefault="008D45A9" w:rsidP="002E0607">
            <w:pPr>
              <w:pStyle w:val="NoSpacing"/>
              <w:jc w:val="center"/>
              <w:rPr>
                <w:rFonts w:ascii="Times New Roman" w:hAnsi="Times New Roman" w:cs="Times New Roman"/>
                <w:b/>
                <w:bCs/>
                <w:sz w:val="19"/>
                <w:szCs w:val="19"/>
              </w:rPr>
            </w:pPr>
            <w:r w:rsidRPr="002E0607">
              <w:rPr>
                <w:rFonts w:ascii="Times New Roman" w:hAnsi="Times New Roman" w:cs="Times New Roman"/>
                <w:b/>
                <w:bCs/>
                <w:sz w:val="19"/>
                <w:szCs w:val="19"/>
              </w:rPr>
              <w:t>States</w:t>
            </w:r>
          </w:p>
        </w:tc>
        <w:tc>
          <w:tcPr>
            <w:tcW w:w="0" w:type="auto"/>
            <w:gridSpan w:val="3"/>
            <w:vAlign w:val="center"/>
            <w:hideMark/>
          </w:tcPr>
          <w:p w14:paraId="2C658D77" w14:textId="77777777" w:rsidR="008D45A9" w:rsidRPr="002E0607" w:rsidRDefault="008D45A9" w:rsidP="002E0607">
            <w:pPr>
              <w:pStyle w:val="NoSpacing"/>
              <w:jc w:val="center"/>
              <w:rPr>
                <w:rFonts w:ascii="Times New Roman" w:hAnsi="Times New Roman" w:cs="Times New Roman"/>
                <w:b/>
                <w:bCs/>
                <w:sz w:val="19"/>
                <w:szCs w:val="19"/>
              </w:rPr>
            </w:pPr>
            <w:r w:rsidRPr="002E0607">
              <w:rPr>
                <w:rFonts w:ascii="Times New Roman" w:hAnsi="Times New Roman" w:cs="Times New Roman"/>
                <w:b/>
                <w:bCs/>
                <w:sz w:val="19"/>
                <w:szCs w:val="19"/>
              </w:rPr>
              <w:t>1952-53</w:t>
            </w:r>
          </w:p>
        </w:tc>
        <w:tc>
          <w:tcPr>
            <w:tcW w:w="0" w:type="auto"/>
            <w:gridSpan w:val="3"/>
            <w:vAlign w:val="center"/>
            <w:hideMark/>
          </w:tcPr>
          <w:p w14:paraId="4EF0D569" w14:textId="77777777" w:rsidR="008D45A9" w:rsidRPr="002E0607" w:rsidRDefault="008D45A9" w:rsidP="002E0607">
            <w:pPr>
              <w:pStyle w:val="NoSpacing"/>
              <w:jc w:val="center"/>
              <w:rPr>
                <w:rFonts w:ascii="Times New Roman" w:hAnsi="Times New Roman" w:cs="Times New Roman"/>
                <w:b/>
                <w:bCs/>
                <w:sz w:val="19"/>
                <w:szCs w:val="19"/>
              </w:rPr>
            </w:pPr>
            <w:r w:rsidRPr="002E0607">
              <w:rPr>
                <w:rFonts w:ascii="Times New Roman" w:hAnsi="Times New Roman" w:cs="Times New Roman"/>
                <w:b/>
                <w:bCs/>
                <w:sz w:val="19"/>
                <w:szCs w:val="19"/>
              </w:rPr>
              <w:t>1953-54</w:t>
            </w:r>
          </w:p>
        </w:tc>
        <w:tc>
          <w:tcPr>
            <w:tcW w:w="0" w:type="auto"/>
            <w:gridSpan w:val="3"/>
            <w:vAlign w:val="center"/>
            <w:hideMark/>
          </w:tcPr>
          <w:p w14:paraId="08380C6B" w14:textId="77777777" w:rsidR="008D45A9" w:rsidRPr="002E0607" w:rsidRDefault="008D45A9" w:rsidP="002E0607">
            <w:pPr>
              <w:pStyle w:val="NoSpacing"/>
              <w:jc w:val="center"/>
              <w:rPr>
                <w:rFonts w:ascii="Times New Roman" w:hAnsi="Times New Roman" w:cs="Times New Roman"/>
                <w:b/>
                <w:bCs/>
                <w:sz w:val="19"/>
                <w:szCs w:val="19"/>
              </w:rPr>
            </w:pPr>
            <w:r w:rsidRPr="002E0607">
              <w:rPr>
                <w:rFonts w:ascii="Times New Roman" w:hAnsi="Times New Roman" w:cs="Times New Roman"/>
                <w:b/>
                <w:bCs/>
                <w:sz w:val="19"/>
                <w:szCs w:val="19"/>
              </w:rPr>
              <w:t>1954-55</w:t>
            </w:r>
          </w:p>
        </w:tc>
        <w:tc>
          <w:tcPr>
            <w:tcW w:w="0" w:type="auto"/>
            <w:gridSpan w:val="3"/>
            <w:vAlign w:val="center"/>
            <w:hideMark/>
          </w:tcPr>
          <w:p w14:paraId="69410E3B" w14:textId="77777777" w:rsidR="008D45A9" w:rsidRPr="002E0607" w:rsidRDefault="008D45A9" w:rsidP="002E0607">
            <w:pPr>
              <w:pStyle w:val="NoSpacing"/>
              <w:jc w:val="center"/>
              <w:rPr>
                <w:rFonts w:ascii="Times New Roman" w:hAnsi="Times New Roman" w:cs="Times New Roman"/>
                <w:b/>
                <w:bCs/>
                <w:sz w:val="19"/>
                <w:szCs w:val="19"/>
              </w:rPr>
            </w:pPr>
            <w:r w:rsidRPr="002E0607">
              <w:rPr>
                <w:rFonts w:ascii="Times New Roman" w:hAnsi="Times New Roman" w:cs="Times New Roman"/>
                <w:b/>
                <w:bCs/>
                <w:sz w:val="19"/>
                <w:szCs w:val="19"/>
              </w:rPr>
              <w:t>1955-56</w:t>
            </w:r>
          </w:p>
        </w:tc>
        <w:tc>
          <w:tcPr>
            <w:tcW w:w="0" w:type="auto"/>
            <w:gridSpan w:val="3"/>
            <w:vAlign w:val="center"/>
            <w:hideMark/>
          </w:tcPr>
          <w:p w14:paraId="7FCBD176" w14:textId="77777777" w:rsidR="008D45A9" w:rsidRPr="002E0607" w:rsidRDefault="008D45A9" w:rsidP="002E0607">
            <w:pPr>
              <w:pStyle w:val="NoSpacing"/>
              <w:jc w:val="center"/>
              <w:rPr>
                <w:rFonts w:ascii="Times New Roman" w:hAnsi="Times New Roman" w:cs="Times New Roman"/>
                <w:b/>
                <w:bCs/>
                <w:sz w:val="19"/>
                <w:szCs w:val="19"/>
              </w:rPr>
            </w:pPr>
            <w:r w:rsidRPr="002E0607">
              <w:rPr>
                <w:rFonts w:ascii="Times New Roman" w:hAnsi="Times New Roman" w:cs="Times New Roman"/>
                <w:b/>
                <w:bCs/>
                <w:sz w:val="19"/>
                <w:szCs w:val="19"/>
              </w:rPr>
              <w:t>1956-57</w:t>
            </w:r>
          </w:p>
        </w:tc>
        <w:tc>
          <w:tcPr>
            <w:tcW w:w="0" w:type="auto"/>
            <w:gridSpan w:val="3"/>
            <w:vAlign w:val="center"/>
            <w:hideMark/>
          </w:tcPr>
          <w:p w14:paraId="492F8883" w14:textId="5F362899" w:rsidR="008D45A9" w:rsidRPr="002E0607" w:rsidRDefault="008D45A9" w:rsidP="002E0607">
            <w:pPr>
              <w:pStyle w:val="NoSpacing"/>
              <w:jc w:val="center"/>
              <w:rPr>
                <w:rFonts w:ascii="Times New Roman" w:hAnsi="Times New Roman" w:cs="Times New Roman"/>
                <w:b/>
                <w:bCs/>
                <w:sz w:val="19"/>
                <w:szCs w:val="19"/>
              </w:rPr>
            </w:pPr>
            <w:r w:rsidRPr="002E0607">
              <w:rPr>
                <w:rFonts w:ascii="Times New Roman" w:hAnsi="Times New Roman" w:cs="Times New Roman"/>
                <w:b/>
                <w:bCs/>
                <w:sz w:val="19"/>
                <w:szCs w:val="19"/>
              </w:rPr>
              <w:t xml:space="preserve">Total </w:t>
            </w:r>
            <w:r w:rsidR="00886EB4">
              <w:rPr>
                <w:rFonts w:ascii="Times New Roman" w:hAnsi="Times New Roman" w:cs="Times New Roman"/>
                <w:b/>
                <w:bCs/>
                <w:sz w:val="19"/>
                <w:szCs w:val="19"/>
              </w:rPr>
              <w:t>of</w:t>
            </w:r>
            <w:r w:rsidRPr="002E0607">
              <w:rPr>
                <w:rFonts w:ascii="Times New Roman" w:hAnsi="Times New Roman" w:cs="Times New Roman"/>
                <w:b/>
                <w:bCs/>
                <w:sz w:val="19"/>
                <w:szCs w:val="19"/>
              </w:rPr>
              <w:t xml:space="preserve"> four years (1952-53 to 1955-56)</w:t>
            </w:r>
          </w:p>
        </w:tc>
      </w:tr>
      <w:tr w:rsidR="008D45A9" w:rsidRPr="002E0607" w14:paraId="414AE597" w14:textId="77777777" w:rsidTr="002E0607">
        <w:trPr>
          <w:trHeight w:val="481"/>
        </w:trPr>
        <w:tc>
          <w:tcPr>
            <w:tcW w:w="1926" w:type="dxa"/>
            <w:vAlign w:val="center"/>
            <w:hideMark/>
          </w:tcPr>
          <w:p w14:paraId="50192B49" w14:textId="77777777" w:rsidR="008D45A9" w:rsidRPr="002E0607" w:rsidRDefault="008D45A9" w:rsidP="002E0607">
            <w:pPr>
              <w:pStyle w:val="NoSpacing"/>
              <w:jc w:val="center"/>
              <w:rPr>
                <w:rFonts w:ascii="Times New Roman" w:hAnsi="Times New Roman" w:cs="Times New Roman"/>
                <w:b/>
                <w:bCs/>
                <w:sz w:val="19"/>
                <w:szCs w:val="19"/>
              </w:rPr>
            </w:pPr>
          </w:p>
        </w:tc>
        <w:tc>
          <w:tcPr>
            <w:tcW w:w="0" w:type="auto"/>
            <w:vAlign w:val="center"/>
            <w:hideMark/>
          </w:tcPr>
          <w:p w14:paraId="709E66CF" w14:textId="77777777" w:rsidR="008D45A9" w:rsidRPr="002E0607" w:rsidRDefault="008D45A9" w:rsidP="002E0607">
            <w:pPr>
              <w:pStyle w:val="NoSpacing"/>
              <w:jc w:val="center"/>
              <w:rPr>
                <w:rFonts w:ascii="Times New Roman" w:hAnsi="Times New Roman" w:cs="Times New Roman"/>
                <w:b/>
                <w:bCs/>
                <w:sz w:val="19"/>
                <w:szCs w:val="19"/>
              </w:rPr>
            </w:pPr>
            <w:r w:rsidRPr="002E0607">
              <w:rPr>
                <w:rFonts w:ascii="Times New Roman" w:hAnsi="Times New Roman" w:cs="Times New Roman"/>
                <w:b/>
                <w:bCs/>
                <w:sz w:val="19"/>
                <w:szCs w:val="19"/>
              </w:rPr>
              <w:t>Share of Taxes</w:t>
            </w:r>
          </w:p>
        </w:tc>
        <w:tc>
          <w:tcPr>
            <w:tcW w:w="0" w:type="auto"/>
            <w:vAlign w:val="center"/>
            <w:hideMark/>
          </w:tcPr>
          <w:p w14:paraId="07DB047F" w14:textId="77777777" w:rsidR="008D45A9" w:rsidRPr="002E0607" w:rsidRDefault="008D45A9" w:rsidP="002E0607">
            <w:pPr>
              <w:pStyle w:val="NoSpacing"/>
              <w:jc w:val="center"/>
              <w:rPr>
                <w:rFonts w:ascii="Times New Roman" w:hAnsi="Times New Roman" w:cs="Times New Roman"/>
                <w:b/>
                <w:bCs/>
                <w:sz w:val="19"/>
                <w:szCs w:val="19"/>
              </w:rPr>
            </w:pPr>
            <w:r w:rsidRPr="002E0607">
              <w:rPr>
                <w:rFonts w:ascii="Times New Roman" w:hAnsi="Times New Roman" w:cs="Times New Roman"/>
                <w:b/>
                <w:bCs/>
                <w:sz w:val="19"/>
                <w:szCs w:val="19"/>
              </w:rPr>
              <w:t>Grants</w:t>
            </w:r>
          </w:p>
        </w:tc>
        <w:tc>
          <w:tcPr>
            <w:tcW w:w="0" w:type="auto"/>
            <w:vAlign w:val="center"/>
            <w:hideMark/>
          </w:tcPr>
          <w:p w14:paraId="784821D3" w14:textId="77777777" w:rsidR="008D45A9" w:rsidRPr="002E0607" w:rsidRDefault="008D45A9" w:rsidP="002E0607">
            <w:pPr>
              <w:pStyle w:val="NoSpacing"/>
              <w:jc w:val="center"/>
              <w:rPr>
                <w:rFonts w:ascii="Times New Roman" w:hAnsi="Times New Roman" w:cs="Times New Roman"/>
                <w:b/>
                <w:bCs/>
                <w:sz w:val="19"/>
                <w:szCs w:val="19"/>
              </w:rPr>
            </w:pPr>
            <w:r w:rsidRPr="002E0607">
              <w:rPr>
                <w:rFonts w:ascii="Times New Roman" w:hAnsi="Times New Roman" w:cs="Times New Roman"/>
                <w:b/>
                <w:bCs/>
                <w:sz w:val="19"/>
                <w:szCs w:val="19"/>
              </w:rPr>
              <w:t>Total</w:t>
            </w:r>
          </w:p>
        </w:tc>
        <w:tc>
          <w:tcPr>
            <w:tcW w:w="0" w:type="auto"/>
            <w:vAlign w:val="center"/>
            <w:hideMark/>
          </w:tcPr>
          <w:p w14:paraId="02468382" w14:textId="77777777" w:rsidR="008D45A9" w:rsidRPr="002E0607" w:rsidRDefault="008D45A9" w:rsidP="002E0607">
            <w:pPr>
              <w:pStyle w:val="NoSpacing"/>
              <w:jc w:val="center"/>
              <w:rPr>
                <w:rFonts w:ascii="Times New Roman" w:hAnsi="Times New Roman" w:cs="Times New Roman"/>
                <w:b/>
                <w:bCs/>
                <w:sz w:val="19"/>
                <w:szCs w:val="19"/>
              </w:rPr>
            </w:pPr>
            <w:r w:rsidRPr="002E0607">
              <w:rPr>
                <w:rFonts w:ascii="Times New Roman" w:hAnsi="Times New Roman" w:cs="Times New Roman"/>
                <w:b/>
                <w:bCs/>
                <w:sz w:val="19"/>
                <w:szCs w:val="19"/>
              </w:rPr>
              <w:t>Share of Taxes</w:t>
            </w:r>
          </w:p>
        </w:tc>
        <w:tc>
          <w:tcPr>
            <w:tcW w:w="0" w:type="auto"/>
            <w:vAlign w:val="center"/>
            <w:hideMark/>
          </w:tcPr>
          <w:p w14:paraId="662FBC69" w14:textId="77777777" w:rsidR="008D45A9" w:rsidRPr="002E0607" w:rsidRDefault="008D45A9" w:rsidP="002E0607">
            <w:pPr>
              <w:pStyle w:val="NoSpacing"/>
              <w:jc w:val="center"/>
              <w:rPr>
                <w:rFonts w:ascii="Times New Roman" w:hAnsi="Times New Roman" w:cs="Times New Roman"/>
                <w:b/>
                <w:bCs/>
                <w:sz w:val="19"/>
                <w:szCs w:val="19"/>
              </w:rPr>
            </w:pPr>
            <w:r w:rsidRPr="002E0607">
              <w:rPr>
                <w:rFonts w:ascii="Times New Roman" w:hAnsi="Times New Roman" w:cs="Times New Roman"/>
                <w:b/>
                <w:bCs/>
                <w:sz w:val="19"/>
                <w:szCs w:val="19"/>
              </w:rPr>
              <w:t>Grants</w:t>
            </w:r>
          </w:p>
        </w:tc>
        <w:tc>
          <w:tcPr>
            <w:tcW w:w="0" w:type="auto"/>
            <w:vAlign w:val="center"/>
            <w:hideMark/>
          </w:tcPr>
          <w:p w14:paraId="505BEC1A" w14:textId="77777777" w:rsidR="008D45A9" w:rsidRPr="002E0607" w:rsidRDefault="008D45A9" w:rsidP="002E0607">
            <w:pPr>
              <w:pStyle w:val="NoSpacing"/>
              <w:jc w:val="center"/>
              <w:rPr>
                <w:rFonts w:ascii="Times New Roman" w:hAnsi="Times New Roman" w:cs="Times New Roman"/>
                <w:b/>
                <w:bCs/>
                <w:sz w:val="19"/>
                <w:szCs w:val="19"/>
              </w:rPr>
            </w:pPr>
            <w:r w:rsidRPr="002E0607">
              <w:rPr>
                <w:rFonts w:ascii="Times New Roman" w:hAnsi="Times New Roman" w:cs="Times New Roman"/>
                <w:b/>
                <w:bCs/>
                <w:sz w:val="19"/>
                <w:szCs w:val="19"/>
              </w:rPr>
              <w:t>Total</w:t>
            </w:r>
          </w:p>
        </w:tc>
        <w:tc>
          <w:tcPr>
            <w:tcW w:w="0" w:type="auto"/>
            <w:vAlign w:val="center"/>
            <w:hideMark/>
          </w:tcPr>
          <w:p w14:paraId="717D77C3" w14:textId="77777777" w:rsidR="008D45A9" w:rsidRPr="002E0607" w:rsidRDefault="008D45A9" w:rsidP="002E0607">
            <w:pPr>
              <w:pStyle w:val="NoSpacing"/>
              <w:jc w:val="center"/>
              <w:rPr>
                <w:rFonts w:ascii="Times New Roman" w:hAnsi="Times New Roman" w:cs="Times New Roman"/>
                <w:b/>
                <w:bCs/>
                <w:sz w:val="19"/>
                <w:szCs w:val="19"/>
              </w:rPr>
            </w:pPr>
            <w:r w:rsidRPr="002E0607">
              <w:rPr>
                <w:rFonts w:ascii="Times New Roman" w:hAnsi="Times New Roman" w:cs="Times New Roman"/>
                <w:b/>
                <w:bCs/>
                <w:sz w:val="19"/>
                <w:szCs w:val="19"/>
              </w:rPr>
              <w:t>Share of Taxes</w:t>
            </w:r>
          </w:p>
        </w:tc>
        <w:tc>
          <w:tcPr>
            <w:tcW w:w="0" w:type="auto"/>
            <w:vAlign w:val="center"/>
            <w:hideMark/>
          </w:tcPr>
          <w:p w14:paraId="75685744" w14:textId="77777777" w:rsidR="008D45A9" w:rsidRPr="002E0607" w:rsidRDefault="008D45A9" w:rsidP="002E0607">
            <w:pPr>
              <w:pStyle w:val="NoSpacing"/>
              <w:jc w:val="center"/>
              <w:rPr>
                <w:rFonts w:ascii="Times New Roman" w:hAnsi="Times New Roman" w:cs="Times New Roman"/>
                <w:b/>
                <w:bCs/>
                <w:sz w:val="19"/>
                <w:szCs w:val="19"/>
              </w:rPr>
            </w:pPr>
            <w:r w:rsidRPr="002E0607">
              <w:rPr>
                <w:rFonts w:ascii="Times New Roman" w:hAnsi="Times New Roman" w:cs="Times New Roman"/>
                <w:b/>
                <w:bCs/>
                <w:sz w:val="19"/>
                <w:szCs w:val="19"/>
              </w:rPr>
              <w:t>Grants</w:t>
            </w:r>
          </w:p>
        </w:tc>
        <w:tc>
          <w:tcPr>
            <w:tcW w:w="0" w:type="auto"/>
            <w:vAlign w:val="center"/>
            <w:hideMark/>
          </w:tcPr>
          <w:p w14:paraId="3EE8CD68" w14:textId="77777777" w:rsidR="008D45A9" w:rsidRPr="002E0607" w:rsidRDefault="008D45A9" w:rsidP="002E0607">
            <w:pPr>
              <w:pStyle w:val="NoSpacing"/>
              <w:jc w:val="center"/>
              <w:rPr>
                <w:rFonts w:ascii="Times New Roman" w:hAnsi="Times New Roman" w:cs="Times New Roman"/>
                <w:b/>
                <w:bCs/>
                <w:sz w:val="19"/>
                <w:szCs w:val="19"/>
              </w:rPr>
            </w:pPr>
            <w:r w:rsidRPr="002E0607">
              <w:rPr>
                <w:rFonts w:ascii="Times New Roman" w:hAnsi="Times New Roman" w:cs="Times New Roman"/>
                <w:b/>
                <w:bCs/>
                <w:sz w:val="19"/>
                <w:szCs w:val="19"/>
              </w:rPr>
              <w:t>Total</w:t>
            </w:r>
          </w:p>
        </w:tc>
        <w:tc>
          <w:tcPr>
            <w:tcW w:w="0" w:type="auto"/>
            <w:vAlign w:val="center"/>
            <w:hideMark/>
          </w:tcPr>
          <w:p w14:paraId="041CD272" w14:textId="77777777" w:rsidR="008D45A9" w:rsidRPr="002E0607" w:rsidRDefault="008D45A9" w:rsidP="002E0607">
            <w:pPr>
              <w:pStyle w:val="NoSpacing"/>
              <w:jc w:val="center"/>
              <w:rPr>
                <w:rFonts w:ascii="Times New Roman" w:hAnsi="Times New Roman" w:cs="Times New Roman"/>
                <w:b/>
                <w:bCs/>
                <w:sz w:val="19"/>
                <w:szCs w:val="19"/>
              </w:rPr>
            </w:pPr>
            <w:r w:rsidRPr="002E0607">
              <w:rPr>
                <w:rFonts w:ascii="Times New Roman" w:hAnsi="Times New Roman" w:cs="Times New Roman"/>
                <w:b/>
                <w:bCs/>
                <w:sz w:val="19"/>
                <w:szCs w:val="19"/>
              </w:rPr>
              <w:t>Share of Taxes</w:t>
            </w:r>
          </w:p>
        </w:tc>
        <w:tc>
          <w:tcPr>
            <w:tcW w:w="0" w:type="auto"/>
            <w:vAlign w:val="center"/>
            <w:hideMark/>
          </w:tcPr>
          <w:p w14:paraId="60C213B6" w14:textId="77777777" w:rsidR="008D45A9" w:rsidRPr="002E0607" w:rsidRDefault="008D45A9" w:rsidP="002E0607">
            <w:pPr>
              <w:pStyle w:val="NoSpacing"/>
              <w:jc w:val="center"/>
              <w:rPr>
                <w:rFonts w:ascii="Times New Roman" w:hAnsi="Times New Roman" w:cs="Times New Roman"/>
                <w:b/>
                <w:bCs/>
                <w:sz w:val="19"/>
                <w:szCs w:val="19"/>
              </w:rPr>
            </w:pPr>
            <w:r w:rsidRPr="002E0607">
              <w:rPr>
                <w:rFonts w:ascii="Times New Roman" w:hAnsi="Times New Roman" w:cs="Times New Roman"/>
                <w:b/>
                <w:bCs/>
                <w:sz w:val="19"/>
                <w:szCs w:val="19"/>
              </w:rPr>
              <w:t>Grants</w:t>
            </w:r>
          </w:p>
        </w:tc>
        <w:tc>
          <w:tcPr>
            <w:tcW w:w="0" w:type="auto"/>
            <w:vAlign w:val="center"/>
            <w:hideMark/>
          </w:tcPr>
          <w:p w14:paraId="107B2515" w14:textId="77777777" w:rsidR="008D45A9" w:rsidRPr="002E0607" w:rsidRDefault="008D45A9" w:rsidP="002E0607">
            <w:pPr>
              <w:pStyle w:val="NoSpacing"/>
              <w:jc w:val="center"/>
              <w:rPr>
                <w:rFonts w:ascii="Times New Roman" w:hAnsi="Times New Roman" w:cs="Times New Roman"/>
                <w:b/>
                <w:bCs/>
                <w:sz w:val="19"/>
                <w:szCs w:val="19"/>
              </w:rPr>
            </w:pPr>
            <w:r w:rsidRPr="002E0607">
              <w:rPr>
                <w:rFonts w:ascii="Times New Roman" w:hAnsi="Times New Roman" w:cs="Times New Roman"/>
                <w:b/>
                <w:bCs/>
                <w:sz w:val="19"/>
                <w:szCs w:val="19"/>
              </w:rPr>
              <w:t>Total</w:t>
            </w:r>
          </w:p>
        </w:tc>
        <w:tc>
          <w:tcPr>
            <w:tcW w:w="0" w:type="auto"/>
            <w:vAlign w:val="center"/>
            <w:hideMark/>
          </w:tcPr>
          <w:p w14:paraId="5F4A42AF" w14:textId="77777777" w:rsidR="008D45A9" w:rsidRPr="002E0607" w:rsidRDefault="008D45A9" w:rsidP="002E0607">
            <w:pPr>
              <w:pStyle w:val="NoSpacing"/>
              <w:jc w:val="center"/>
              <w:rPr>
                <w:rFonts w:ascii="Times New Roman" w:hAnsi="Times New Roman" w:cs="Times New Roman"/>
                <w:b/>
                <w:bCs/>
                <w:sz w:val="19"/>
                <w:szCs w:val="19"/>
              </w:rPr>
            </w:pPr>
            <w:r w:rsidRPr="002E0607">
              <w:rPr>
                <w:rFonts w:ascii="Times New Roman" w:hAnsi="Times New Roman" w:cs="Times New Roman"/>
                <w:b/>
                <w:bCs/>
                <w:sz w:val="19"/>
                <w:szCs w:val="19"/>
              </w:rPr>
              <w:t>Share of Taxes</w:t>
            </w:r>
          </w:p>
        </w:tc>
        <w:tc>
          <w:tcPr>
            <w:tcW w:w="0" w:type="auto"/>
            <w:vAlign w:val="center"/>
            <w:hideMark/>
          </w:tcPr>
          <w:p w14:paraId="3EED2C49" w14:textId="77777777" w:rsidR="008D45A9" w:rsidRPr="002E0607" w:rsidRDefault="008D45A9" w:rsidP="002E0607">
            <w:pPr>
              <w:pStyle w:val="NoSpacing"/>
              <w:jc w:val="center"/>
              <w:rPr>
                <w:rFonts w:ascii="Times New Roman" w:hAnsi="Times New Roman" w:cs="Times New Roman"/>
                <w:b/>
                <w:bCs/>
                <w:sz w:val="19"/>
                <w:szCs w:val="19"/>
              </w:rPr>
            </w:pPr>
            <w:r w:rsidRPr="002E0607">
              <w:rPr>
                <w:rFonts w:ascii="Times New Roman" w:hAnsi="Times New Roman" w:cs="Times New Roman"/>
                <w:b/>
                <w:bCs/>
                <w:sz w:val="19"/>
                <w:szCs w:val="19"/>
              </w:rPr>
              <w:t>Grants</w:t>
            </w:r>
          </w:p>
        </w:tc>
        <w:tc>
          <w:tcPr>
            <w:tcW w:w="0" w:type="auto"/>
            <w:vAlign w:val="center"/>
            <w:hideMark/>
          </w:tcPr>
          <w:p w14:paraId="2BC8B7E6" w14:textId="77777777" w:rsidR="008D45A9" w:rsidRPr="002E0607" w:rsidRDefault="008D45A9" w:rsidP="002E0607">
            <w:pPr>
              <w:pStyle w:val="NoSpacing"/>
              <w:jc w:val="center"/>
              <w:rPr>
                <w:rFonts w:ascii="Times New Roman" w:hAnsi="Times New Roman" w:cs="Times New Roman"/>
                <w:b/>
                <w:bCs/>
                <w:sz w:val="19"/>
                <w:szCs w:val="19"/>
              </w:rPr>
            </w:pPr>
            <w:r w:rsidRPr="002E0607">
              <w:rPr>
                <w:rFonts w:ascii="Times New Roman" w:hAnsi="Times New Roman" w:cs="Times New Roman"/>
                <w:b/>
                <w:bCs/>
                <w:sz w:val="19"/>
                <w:szCs w:val="19"/>
              </w:rPr>
              <w:t>Total</w:t>
            </w:r>
          </w:p>
        </w:tc>
        <w:tc>
          <w:tcPr>
            <w:tcW w:w="0" w:type="auto"/>
            <w:vAlign w:val="center"/>
            <w:hideMark/>
          </w:tcPr>
          <w:p w14:paraId="4E43C20E" w14:textId="77777777" w:rsidR="008D45A9" w:rsidRPr="002E0607" w:rsidRDefault="008D45A9" w:rsidP="002E0607">
            <w:pPr>
              <w:pStyle w:val="NoSpacing"/>
              <w:jc w:val="center"/>
              <w:rPr>
                <w:rFonts w:ascii="Times New Roman" w:hAnsi="Times New Roman" w:cs="Times New Roman"/>
                <w:b/>
                <w:bCs/>
                <w:sz w:val="19"/>
                <w:szCs w:val="19"/>
              </w:rPr>
            </w:pPr>
            <w:r w:rsidRPr="002E0607">
              <w:rPr>
                <w:rFonts w:ascii="Times New Roman" w:hAnsi="Times New Roman" w:cs="Times New Roman"/>
                <w:b/>
                <w:bCs/>
                <w:sz w:val="19"/>
                <w:szCs w:val="19"/>
              </w:rPr>
              <w:t>Share of Taxes</w:t>
            </w:r>
          </w:p>
        </w:tc>
        <w:tc>
          <w:tcPr>
            <w:tcW w:w="0" w:type="auto"/>
            <w:vAlign w:val="center"/>
            <w:hideMark/>
          </w:tcPr>
          <w:p w14:paraId="18786237" w14:textId="77777777" w:rsidR="008D45A9" w:rsidRPr="002E0607" w:rsidRDefault="008D45A9" w:rsidP="002E0607">
            <w:pPr>
              <w:pStyle w:val="NoSpacing"/>
              <w:jc w:val="center"/>
              <w:rPr>
                <w:rFonts w:ascii="Times New Roman" w:hAnsi="Times New Roman" w:cs="Times New Roman"/>
                <w:b/>
                <w:bCs/>
                <w:sz w:val="19"/>
                <w:szCs w:val="19"/>
              </w:rPr>
            </w:pPr>
            <w:r w:rsidRPr="002E0607">
              <w:rPr>
                <w:rFonts w:ascii="Times New Roman" w:hAnsi="Times New Roman" w:cs="Times New Roman"/>
                <w:b/>
                <w:bCs/>
                <w:sz w:val="19"/>
                <w:szCs w:val="19"/>
              </w:rPr>
              <w:t>Grants</w:t>
            </w:r>
          </w:p>
        </w:tc>
        <w:tc>
          <w:tcPr>
            <w:tcW w:w="0" w:type="auto"/>
            <w:vAlign w:val="center"/>
            <w:hideMark/>
          </w:tcPr>
          <w:p w14:paraId="5D5C8443" w14:textId="77777777" w:rsidR="008D45A9" w:rsidRPr="002E0607" w:rsidRDefault="008D45A9" w:rsidP="002E0607">
            <w:pPr>
              <w:pStyle w:val="NoSpacing"/>
              <w:jc w:val="center"/>
              <w:rPr>
                <w:rFonts w:ascii="Times New Roman" w:hAnsi="Times New Roman" w:cs="Times New Roman"/>
                <w:b/>
                <w:bCs/>
                <w:sz w:val="19"/>
                <w:szCs w:val="19"/>
              </w:rPr>
            </w:pPr>
            <w:r w:rsidRPr="002E0607">
              <w:rPr>
                <w:rFonts w:ascii="Times New Roman" w:hAnsi="Times New Roman" w:cs="Times New Roman"/>
                <w:b/>
                <w:bCs/>
                <w:sz w:val="19"/>
                <w:szCs w:val="19"/>
              </w:rPr>
              <w:t>Total</w:t>
            </w:r>
          </w:p>
        </w:tc>
      </w:tr>
      <w:tr w:rsidR="008D45A9" w:rsidRPr="002E0607" w14:paraId="35E60DB1" w14:textId="77777777" w:rsidTr="002E0607">
        <w:trPr>
          <w:trHeight w:val="157"/>
        </w:trPr>
        <w:tc>
          <w:tcPr>
            <w:tcW w:w="1926" w:type="dxa"/>
            <w:vAlign w:val="center"/>
            <w:hideMark/>
          </w:tcPr>
          <w:p w14:paraId="7156B73B" w14:textId="77777777" w:rsidR="008D45A9" w:rsidRPr="002E0607" w:rsidRDefault="008D45A9" w:rsidP="002E0607">
            <w:pPr>
              <w:pStyle w:val="NoSpacing"/>
              <w:jc w:val="center"/>
              <w:rPr>
                <w:rFonts w:ascii="Times New Roman" w:hAnsi="Times New Roman" w:cs="Times New Roman"/>
                <w:b/>
                <w:bCs/>
                <w:sz w:val="19"/>
                <w:szCs w:val="19"/>
              </w:rPr>
            </w:pPr>
            <w:r w:rsidRPr="002E0607">
              <w:rPr>
                <w:rFonts w:ascii="Times New Roman" w:hAnsi="Times New Roman" w:cs="Times New Roman"/>
                <w:b/>
                <w:bCs/>
                <w:sz w:val="19"/>
                <w:szCs w:val="19"/>
              </w:rPr>
              <w:t>(1)</w:t>
            </w:r>
          </w:p>
        </w:tc>
        <w:tc>
          <w:tcPr>
            <w:tcW w:w="0" w:type="auto"/>
            <w:vAlign w:val="center"/>
            <w:hideMark/>
          </w:tcPr>
          <w:p w14:paraId="26C0496C" w14:textId="77777777" w:rsidR="008D45A9" w:rsidRPr="002E0607" w:rsidRDefault="008D45A9" w:rsidP="002E0607">
            <w:pPr>
              <w:pStyle w:val="NoSpacing"/>
              <w:jc w:val="center"/>
              <w:rPr>
                <w:rFonts w:ascii="Times New Roman" w:hAnsi="Times New Roman" w:cs="Times New Roman"/>
                <w:b/>
                <w:bCs/>
                <w:sz w:val="19"/>
                <w:szCs w:val="19"/>
              </w:rPr>
            </w:pPr>
            <w:r w:rsidRPr="002E0607">
              <w:rPr>
                <w:rFonts w:ascii="Times New Roman" w:hAnsi="Times New Roman" w:cs="Times New Roman"/>
                <w:b/>
                <w:bCs/>
                <w:sz w:val="19"/>
                <w:szCs w:val="19"/>
              </w:rPr>
              <w:t>(2)</w:t>
            </w:r>
          </w:p>
        </w:tc>
        <w:tc>
          <w:tcPr>
            <w:tcW w:w="0" w:type="auto"/>
            <w:vAlign w:val="center"/>
            <w:hideMark/>
          </w:tcPr>
          <w:p w14:paraId="39CD78CB" w14:textId="77777777" w:rsidR="008D45A9" w:rsidRPr="002E0607" w:rsidRDefault="008D45A9" w:rsidP="002E0607">
            <w:pPr>
              <w:pStyle w:val="NoSpacing"/>
              <w:jc w:val="center"/>
              <w:rPr>
                <w:rFonts w:ascii="Times New Roman" w:hAnsi="Times New Roman" w:cs="Times New Roman"/>
                <w:b/>
                <w:bCs/>
                <w:sz w:val="19"/>
                <w:szCs w:val="19"/>
              </w:rPr>
            </w:pPr>
            <w:r w:rsidRPr="002E0607">
              <w:rPr>
                <w:rFonts w:ascii="Times New Roman" w:hAnsi="Times New Roman" w:cs="Times New Roman"/>
                <w:b/>
                <w:bCs/>
                <w:sz w:val="19"/>
                <w:szCs w:val="19"/>
              </w:rPr>
              <w:t>(3)</w:t>
            </w:r>
          </w:p>
        </w:tc>
        <w:tc>
          <w:tcPr>
            <w:tcW w:w="0" w:type="auto"/>
            <w:vAlign w:val="center"/>
            <w:hideMark/>
          </w:tcPr>
          <w:p w14:paraId="1A9FE54E" w14:textId="77777777" w:rsidR="008D45A9" w:rsidRPr="002E0607" w:rsidRDefault="008D45A9" w:rsidP="002E0607">
            <w:pPr>
              <w:pStyle w:val="NoSpacing"/>
              <w:jc w:val="center"/>
              <w:rPr>
                <w:rFonts w:ascii="Times New Roman" w:hAnsi="Times New Roman" w:cs="Times New Roman"/>
                <w:b/>
                <w:bCs/>
                <w:sz w:val="19"/>
                <w:szCs w:val="19"/>
              </w:rPr>
            </w:pPr>
            <w:r w:rsidRPr="002E0607">
              <w:rPr>
                <w:rFonts w:ascii="Times New Roman" w:hAnsi="Times New Roman" w:cs="Times New Roman"/>
                <w:b/>
                <w:bCs/>
                <w:sz w:val="19"/>
                <w:szCs w:val="19"/>
              </w:rPr>
              <w:t>(4)</w:t>
            </w:r>
          </w:p>
        </w:tc>
        <w:tc>
          <w:tcPr>
            <w:tcW w:w="0" w:type="auto"/>
            <w:vAlign w:val="center"/>
            <w:hideMark/>
          </w:tcPr>
          <w:p w14:paraId="032CA7D9" w14:textId="77777777" w:rsidR="008D45A9" w:rsidRPr="002E0607" w:rsidRDefault="008D45A9" w:rsidP="002E0607">
            <w:pPr>
              <w:pStyle w:val="NoSpacing"/>
              <w:jc w:val="center"/>
              <w:rPr>
                <w:rFonts w:ascii="Times New Roman" w:hAnsi="Times New Roman" w:cs="Times New Roman"/>
                <w:b/>
                <w:bCs/>
                <w:sz w:val="19"/>
                <w:szCs w:val="19"/>
              </w:rPr>
            </w:pPr>
            <w:r w:rsidRPr="002E0607">
              <w:rPr>
                <w:rFonts w:ascii="Times New Roman" w:hAnsi="Times New Roman" w:cs="Times New Roman"/>
                <w:b/>
                <w:bCs/>
                <w:sz w:val="19"/>
                <w:szCs w:val="19"/>
              </w:rPr>
              <w:t>(5)</w:t>
            </w:r>
          </w:p>
        </w:tc>
        <w:tc>
          <w:tcPr>
            <w:tcW w:w="0" w:type="auto"/>
            <w:vAlign w:val="center"/>
            <w:hideMark/>
          </w:tcPr>
          <w:p w14:paraId="632FE062" w14:textId="77777777" w:rsidR="008D45A9" w:rsidRPr="002E0607" w:rsidRDefault="008D45A9" w:rsidP="002E0607">
            <w:pPr>
              <w:pStyle w:val="NoSpacing"/>
              <w:jc w:val="center"/>
              <w:rPr>
                <w:rFonts w:ascii="Times New Roman" w:hAnsi="Times New Roman" w:cs="Times New Roman"/>
                <w:b/>
                <w:bCs/>
                <w:sz w:val="19"/>
                <w:szCs w:val="19"/>
              </w:rPr>
            </w:pPr>
            <w:r w:rsidRPr="002E0607">
              <w:rPr>
                <w:rFonts w:ascii="Times New Roman" w:hAnsi="Times New Roman" w:cs="Times New Roman"/>
                <w:b/>
                <w:bCs/>
                <w:sz w:val="19"/>
                <w:szCs w:val="19"/>
              </w:rPr>
              <w:t>(6)</w:t>
            </w:r>
          </w:p>
        </w:tc>
        <w:tc>
          <w:tcPr>
            <w:tcW w:w="0" w:type="auto"/>
            <w:vAlign w:val="center"/>
            <w:hideMark/>
          </w:tcPr>
          <w:p w14:paraId="3EC0046B" w14:textId="77777777" w:rsidR="008D45A9" w:rsidRPr="002E0607" w:rsidRDefault="008D45A9" w:rsidP="002E0607">
            <w:pPr>
              <w:pStyle w:val="NoSpacing"/>
              <w:jc w:val="center"/>
              <w:rPr>
                <w:rFonts w:ascii="Times New Roman" w:hAnsi="Times New Roman" w:cs="Times New Roman"/>
                <w:b/>
                <w:bCs/>
                <w:sz w:val="19"/>
                <w:szCs w:val="19"/>
              </w:rPr>
            </w:pPr>
            <w:r w:rsidRPr="002E0607">
              <w:rPr>
                <w:rFonts w:ascii="Times New Roman" w:hAnsi="Times New Roman" w:cs="Times New Roman"/>
                <w:b/>
                <w:bCs/>
                <w:sz w:val="19"/>
                <w:szCs w:val="19"/>
              </w:rPr>
              <w:t>(7)</w:t>
            </w:r>
          </w:p>
        </w:tc>
        <w:tc>
          <w:tcPr>
            <w:tcW w:w="0" w:type="auto"/>
            <w:vAlign w:val="center"/>
            <w:hideMark/>
          </w:tcPr>
          <w:p w14:paraId="67764E2B" w14:textId="77777777" w:rsidR="008D45A9" w:rsidRPr="002E0607" w:rsidRDefault="008D45A9" w:rsidP="002E0607">
            <w:pPr>
              <w:pStyle w:val="NoSpacing"/>
              <w:jc w:val="center"/>
              <w:rPr>
                <w:rFonts w:ascii="Times New Roman" w:hAnsi="Times New Roman" w:cs="Times New Roman"/>
                <w:b/>
                <w:bCs/>
                <w:sz w:val="19"/>
                <w:szCs w:val="19"/>
              </w:rPr>
            </w:pPr>
            <w:r w:rsidRPr="002E0607">
              <w:rPr>
                <w:rFonts w:ascii="Times New Roman" w:hAnsi="Times New Roman" w:cs="Times New Roman"/>
                <w:b/>
                <w:bCs/>
                <w:sz w:val="19"/>
                <w:szCs w:val="19"/>
              </w:rPr>
              <w:t>(8)</w:t>
            </w:r>
          </w:p>
        </w:tc>
        <w:tc>
          <w:tcPr>
            <w:tcW w:w="0" w:type="auto"/>
            <w:vAlign w:val="center"/>
            <w:hideMark/>
          </w:tcPr>
          <w:p w14:paraId="40A1A488" w14:textId="77777777" w:rsidR="008D45A9" w:rsidRPr="002E0607" w:rsidRDefault="008D45A9" w:rsidP="002E0607">
            <w:pPr>
              <w:pStyle w:val="NoSpacing"/>
              <w:jc w:val="center"/>
              <w:rPr>
                <w:rFonts w:ascii="Times New Roman" w:hAnsi="Times New Roman" w:cs="Times New Roman"/>
                <w:b/>
                <w:bCs/>
                <w:sz w:val="19"/>
                <w:szCs w:val="19"/>
              </w:rPr>
            </w:pPr>
            <w:r w:rsidRPr="002E0607">
              <w:rPr>
                <w:rFonts w:ascii="Times New Roman" w:hAnsi="Times New Roman" w:cs="Times New Roman"/>
                <w:b/>
                <w:bCs/>
                <w:sz w:val="19"/>
                <w:szCs w:val="19"/>
              </w:rPr>
              <w:t>(9)</w:t>
            </w:r>
          </w:p>
        </w:tc>
        <w:tc>
          <w:tcPr>
            <w:tcW w:w="0" w:type="auto"/>
            <w:vAlign w:val="center"/>
            <w:hideMark/>
          </w:tcPr>
          <w:p w14:paraId="1431D83D" w14:textId="77777777" w:rsidR="008D45A9" w:rsidRPr="002E0607" w:rsidRDefault="008D45A9" w:rsidP="002E0607">
            <w:pPr>
              <w:pStyle w:val="NoSpacing"/>
              <w:jc w:val="center"/>
              <w:rPr>
                <w:rFonts w:ascii="Times New Roman" w:hAnsi="Times New Roman" w:cs="Times New Roman"/>
                <w:b/>
                <w:bCs/>
                <w:sz w:val="19"/>
                <w:szCs w:val="19"/>
              </w:rPr>
            </w:pPr>
            <w:r w:rsidRPr="002E0607">
              <w:rPr>
                <w:rFonts w:ascii="Times New Roman" w:hAnsi="Times New Roman" w:cs="Times New Roman"/>
                <w:b/>
                <w:bCs/>
                <w:sz w:val="19"/>
                <w:szCs w:val="19"/>
              </w:rPr>
              <w:t>(10)</w:t>
            </w:r>
          </w:p>
        </w:tc>
        <w:tc>
          <w:tcPr>
            <w:tcW w:w="0" w:type="auto"/>
            <w:vAlign w:val="center"/>
            <w:hideMark/>
          </w:tcPr>
          <w:p w14:paraId="5741660A" w14:textId="77777777" w:rsidR="008D45A9" w:rsidRPr="002E0607" w:rsidRDefault="008D45A9" w:rsidP="002E0607">
            <w:pPr>
              <w:pStyle w:val="NoSpacing"/>
              <w:jc w:val="center"/>
              <w:rPr>
                <w:rFonts w:ascii="Times New Roman" w:hAnsi="Times New Roman" w:cs="Times New Roman"/>
                <w:b/>
                <w:bCs/>
                <w:sz w:val="19"/>
                <w:szCs w:val="19"/>
              </w:rPr>
            </w:pPr>
            <w:r w:rsidRPr="002E0607">
              <w:rPr>
                <w:rFonts w:ascii="Times New Roman" w:hAnsi="Times New Roman" w:cs="Times New Roman"/>
                <w:b/>
                <w:bCs/>
                <w:sz w:val="19"/>
                <w:szCs w:val="19"/>
              </w:rPr>
              <w:t>(11)</w:t>
            </w:r>
          </w:p>
        </w:tc>
        <w:tc>
          <w:tcPr>
            <w:tcW w:w="0" w:type="auto"/>
            <w:vAlign w:val="center"/>
            <w:hideMark/>
          </w:tcPr>
          <w:p w14:paraId="02F46B39" w14:textId="77777777" w:rsidR="008D45A9" w:rsidRPr="002E0607" w:rsidRDefault="008D45A9" w:rsidP="002E0607">
            <w:pPr>
              <w:pStyle w:val="NoSpacing"/>
              <w:jc w:val="center"/>
              <w:rPr>
                <w:rFonts w:ascii="Times New Roman" w:hAnsi="Times New Roman" w:cs="Times New Roman"/>
                <w:b/>
                <w:bCs/>
                <w:sz w:val="19"/>
                <w:szCs w:val="19"/>
              </w:rPr>
            </w:pPr>
            <w:r w:rsidRPr="002E0607">
              <w:rPr>
                <w:rFonts w:ascii="Times New Roman" w:hAnsi="Times New Roman" w:cs="Times New Roman"/>
                <w:b/>
                <w:bCs/>
                <w:sz w:val="19"/>
                <w:szCs w:val="19"/>
              </w:rPr>
              <w:t>(12)</w:t>
            </w:r>
          </w:p>
        </w:tc>
        <w:tc>
          <w:tcPr>
            <w:tcW w:w="0" w:type="auto"/>
            <w:vAlign w:val="center"/>
            <w:hideMark/>
          </w:tcPr>
          <w:p w14:paraId="75C21829" w14:textId="77777777" w:rsidR="008D45A9" w:rsidRPr="002E0607" w:rsidRDefault="008D45A9" w:rsidP="002E0607">
            <w:pPr>
              <w:pStyle w:val="NoSpacing"/>
              <w:jc w:val="center"/>
              <w:rPr>
                <w:rFonts w:ascii="Times New Roman" w:hAnsi="Times New Roman" w:cs="Times New Roman"/>
                <w:b/>
                <w:bCs/>
                <w:sz w:val="19"/>
                <w:szCs w:val="19"/>
              </w:rPr>
            </w:pPr>
            <w:r w:rsidRPr="002E0607">
              <w:rPr>
                <w:rFonts w:ascii="Times New Roman" w:hAnsi="Times New Roman" w:cs="Times New Roman"/>
                <w:b/>
                <w:bCs/>
                <w:sz w:val="19"/>
                <w:szCs w:val="19"/>
              </w:rPr>
              <w:t>(13)</w:t>
            </w:r>
          </w:p>
        </w:tc>
        <w:tc>
          <w:tcPr>
            <w:tcW w:w="0" w:type="auto"/>
            <w:vAlign w:val="center"/>
            <w:hideMark/>
          </w:tcPr>
          <w:p w14:paraId="3225CE6A" w14:textId="77777777" w:rsidR="008D45A9" w:rsidRPr="002E0607" w:rsidRDefault="008D45A9" w:rsidP="002E0607">
            <w:pPr>
              <w:pStyle w:val="NoSpacing"/>
              <w:jc w:val="center"/>
              <w:rPr>
                <w:rFonts w:ascii="Times New Roman" w:hAnsi="Times New Roman" w:cs="Times New Roman"/>
                <w:b/>
                <w:bCs/>
                <w:sz w:val="19"/>
                <w:szCs w:val="19"/>
              </w:rPr>
            </w:pPr>
            <w:r w:rsidRPr="002E0607">
              <w:rPr>
                <w:rFonts w:ascii="Times New Roman" w:hAnsi="Times New Roman" w:cs="Times New Roman"/>
                <w:b/>
                <w:bCs/>
                <w:sz w:val="19"/>
                <w:szCs w:val="19"/>
              </w:rPr>
              <w:t>(14)</w:t>
            </w:r>
          </w:p>
        </w:tc>
        <w:tc>
          <w:tcPr>
            <w:tcW w:w="0" w:type="auto"/>
            <w:vAlign w:val="center"/>
            <w:hideMark/>
          </w:tcPr>
          <w:p w14:paraId="6F6C8A1A" w14:textId="77777777" w:rsidR="008D45A9" w:rsidRPr="002E0607" w:rsidRDefault="008D45A9" w:rsidP="002E0607">
            <w:pPr>
              <w:pStyle w:val="NoSpacing"/>
              <w:jc w:val="center"/>
              <w:rPr>
                <w:rFonts w:ascii="Times New Roman" w:hAnsi="Times New Roman" w:cs="Times New Roman"/>
                <w:b/>
                <w:bCs/>
                <w:sz w:val="19"/>
                <w:szCs w:val="19"/>
              </w:rPr>
            </w:pPr>
            <w:r w:rsidRPr="002E0607">
              <w:rPr>
                <w:rFonts w:ascii="Times New Roman" w:hAnsi="Times New Roman" w:cs="Times New Roman"/>
                <w:b/>
                <w:bCs/>
                <w:sz w:val="19"/>
                <w:szCs w:val="19"/>
              </w:rPr>
              <w:t>(15)</w:t>
            </w:r>
          </w:p>
        </w:tc>
        <w:tc>
          <w:tcPr>
            <w:tcW w:w="0" w:type="auto"/>
            <w:vAlign w:val="center"/>
            <w:hideMark/>
          </w:tcPr>
          <w:p w14:paraId="31FB003B" w14:textId="77777777" w:rsidR="008D45A9" w:rsidRPr="002E0607" w:rsidRDefault="008D45A9" w:rsidP="002E0607">
            <w:pPr>
              <w:pStyle w:val="NoSpacing"/>
              <w:jc w:val="center"/>
              <w:rPr>
                <w:rFonts w:ascii="Times New Roman" w:hAnsi="Times New Roman" w:cs="Times New Roman"/>
                <w:b/>
                <w:bCs/>
                <w:sz w:val="19"/>
                <w:szCs w:val="19"/>
              </w:rPr>
            </w:pPr>
            <w:r w:rsidRPr="002E0607">
              <w:rPr>
                <w:rFonts w:ascii="Times New Roman" w:hAnsi="Times New Roman" w:cs="Times New Roman"/>
                <w:b/>
                <w:bCs/>
                <w:sz w:val="19"/>
                <w:szCs w:val="19"/>
              </w:rPr>
              <w:t>(16)</w:t>
            </w:r>
          </w:p>
        </w:tc>
        <w:tc>
          <w:tcPr>
            <w:tcW w:w="0" w:type="auto"/>
            <w:vAlign w:val="center"/>
            <w:hideMark/>
          </w:tcPr>
          <w:p w14:paraId="0544A9C9" w14:textId="77777777" w:rsidR="008D45A9" w:rsidRPr="002E0607" w:rsidRDefault="008D45A9" w:rsidP="002E0607">
            <w:pPr>
              <w:pStyle w:val="NoSpacing"/>
              <w:jc w:val="center"/>
              <w:rPr>
                <w:rFonts w:ascii="Times New Roman" w:hAnsi="Times New Roman" w:cs="Times New Roman"/>
                <w:b/>
                <w:bCs/>
                <w:sz w:val="19"/>
                <w:szCs w:val="19"/>
              </w:rPr>
            </w:pPr>
            <w:r w:rsidRPr="002E0607">
              <w:rPr>
                <w:rFonts w:ascii="Times New Roman" w:hAnsi="Times New Roman" w:cs="Times New Roman"/>
                <w:b/>
                <w:bCs/>
                <w:sz w:val="19"/>
                <w:szCs w:val="19"/>
              </w:rPr>
              <w:t>(17)</w:t>
            </w:r>
          </w:p>
        </w:tc>
        <w:tc>
          <w:tcPr>
            <w:tcW w:w="0" w:type="auto"/>
            <w:vAlign w:val="center"/>
            <w:hideMark/>
          </w:tcPr>
          <w:p w14:paraId="36322909" w14:textId="77777777" w:rsidR="008D45A9" w:rsidRPr="002E0607" w:rsidRDefault="008D45A9" w:rsidP="002E0607">
            <w:pPr>
              <w:pStyle w:val="NoSpacing"/>
              <w:jc w:val="center"/>
              <w:rPr>
                <w:rFonts w:ascii="Times New Roman" w:hAnsi="Times New Roman" w:cs="Times New Roman"/>
                <w:b/>
                <w:bCs/>
                <w:sz w:val="19"/>
                <w:szCs w:val="19"/>
              </w:rPr>
            </w:pPr>
            <w:r w:rsidRPr="002E0607">
              <w:rPr>
                <w:rFonts w:ascii="Times New Roman" w:hAnsi="Times New Roman" w:cs="Times New Roman"/>
                <w:b/>
                <w:bCs/>
                <w:sz w:val="19"/>
                <w:szCs w:val="19"/>
              </w:rPr>
              <w:t>(18)</w:t>
            </w:r>
          </w:p>
        </w:tc>
        <w:tc>
          <w:tcPr>
            <w:tcW w:w="0" w:type="auto"/>
            <w:vAlign w:val="center"/>
            <w:hideMark/>
          </w:tcPr>
          <w:p w14:paraId="3D5D0DC5" w14:textId="77777777" w:rsidR="008D45A9" w:rsidRPr="002E0607" w:rsidRDefault="008D45A9" w:rsidP="002E0607">
            <w:pPr>
              <w:pStyle w:val="NoSpacing"/>
              <w:jc w:val="center"/>
              <w:rPr>
                <w:rFonts w:ascii="Times New Roman" w:hAnsi="Times New Roman" w:cs="Times New Roman"/>
                <w:b/>
                <w:bCs/>
                <w:sz w:val="19"/>
                <w:szCs w:val="19"/>
              </w:rPr>
            </w:pPr>
            <w:r w:rsidRPr="002E0607">
              <w:rPr>
                <w:rFonts w:ascii="Times New Roman" w:hAnsi="Times New Roman" w:cs="Times New Roman"/>
                <w:b/>
                <w:bCs/>
                <w:sz w:val="19"/>
                <w:szCs w:val="19"/>
              </w:rPr>
              <w:t>(19)</w:t>
            </w:r>
          </w:p>
        </w:tc>
      </w:tr>
      <w:tr w:rsidR="00572A85" w:rsidRPr="002E0607" w14:paraId="16E66B0B" w14:textId="77777777" w:rsidTr="002E0607">
        <w:trPr>
          <w:trHeight w:val="323"/>
        </w:trPr>
        <w:tc>
          <w:tcPr>
            <w:tcW w:w="1926" w:type="dxa"/>
            <w:vAlign w:val="center"/>
            <w:hideMark/>
          </w:tcPr>
          <w:p w14:paraId="55A811F2" w14:textId="77777777" w:rsidR="00572A85" w:rsidRPr="002E0607" w:rsidRDefault="00572A85" w:rsidP="002E0607">
            <w:pPr>
              <w:pStyle w:val="NoSpacing"/>
              <w:rPr>
                <w:rFonts w:ascii="Times New Roman" w:hAnsi="Times New Roman" w:cs="Times New Roman"/>
                <w:sz w:val="19"/>
                <w:szCs w:val="19"/>
              </w:rPr>
            </w:pPr>
            <w:r w:rsidRPr="002E0607">
              <w:rPr>
                <w:rFonts w:ascii="Times New Roman" w:hAnsi="Times New Roman" w:cs="Times New Roman"/>
                <w:sz w:val="19"/>
                <w:szCs w:val="19"/>
              </w:rPr>
              <w:t>Andhra Pradesh</w:t>
            </w:r>
          </w:p>
        </w:tc>
        <w:tc>
          <w:tcPr>
            <w:tcW w:w="0" w:type="auto"/>
            <w:vAlign w:val="center"/>
            <w:hideMark/>
          </w:tcPr>
          <w:p w14:paraId="2BC5582B" w14:textId="77777777" w:rsidR="00572A85" w:rsidRPr="002E0607" w:rsidRDefault="00572A85" w:rsidP="002E0607">
            <w:pPr>
              <w:pStyle w:val="NoSpacing"/>
              <w:jc w:val="center"/>
              <w:rPr>
                <w:rFonts w:ascii="Times New Roman" w:hAnsi="Times New Roman" w:cs="Times New Roman"/>
                <w:sz w:val="19"/>
                <w:szCs w:val="19"/>
              </w:rPr>
            </w:pPr>
            <w:r w:rsidRPr="002E0607">
              <w:rPr>
                <w:rFonts w:ascii="Times New Roman" w:hAnsi="Times New Roman" w:cs="Times New Roman"/>
                <w:sz w:val="19"/>
                <w:szCs w:val="19"/>
              </w:rPr>
              <w:t>..</w:t>
            </w:r>
          </w:p>
        </w:tc>
        <w:tc>
          <w:tcPr>
            <w:tcW w:w="0" w:type="auto"/>
            <w:vAlign w:val="center"/>
            <w:hideMark/>
          </w:tcPr>
          <w:p w14:paraId="4CD428A3" w14:textId="77777777" w:rsidR="00572A85" w:rsidRPr="002E0607" w:rsidRDefault="00572A85" w:rsidP="002E0607">
            <w:pPr>
              <w:pStyle w:val="NoSpacing"/>
              <w:jc w:val="center"/>
              <w:rPr>
                <w:rFonts w:ascii="Times New Roman" w:hAnsi="Times New Roman" w:cs="Times New Roman"/>
                <w:sz w:val="19"/>
                <w:szCs w:val="19"/>
              </w:rPr>
            </w:pPr>
            <w:r w:rsidRPr="002E0607">
              <w:rPr>
                <w:rFonts w:ascii="Times New Roman" w:hAnsi="Times New Roman" w:cs="Times New Roman"/>
                <w:sz w:val="19"/>
                <w:szCs w:val="19"/>
              </w:rPr>
              <w:t>..</w:t>
            </w:r>
          </w:p>
        </w:tc>
        <w:tc>
          <w:tcPr>
            <w:tcW w:w="0" w:type="auto"/>
            <w:vAlign w:val="center"/>
            <w:hideMark/>
          </w:tcPr>
          <w:p w14:paraId="0227C5D7" w14:textId="77777777" w:rsidR="00572A85" w:rsidRPr="002E0607" w:rsidRDefault="00572A85" w:rsidP="002E0607">
            <w:pPr>
              <w:pStyle w:val="NoSpacing"/>
              <w:jc w:val="center"/>
              <w:rPr>
                <w:rFonts w:ascii="Times New Roman" w:hAnsi="Times New Roman" w:cs="Times New Roman"/>
                <w:sz w:val="19"/>
                <w:szCs w:val="19"/>
              </w:rPr>
            </w:pPr>
            <w:r w:rsidRPr="002E0607">
              <w:rPr>
                <w:rFonts w:ascii="Times New Roman" w:hAnsi="Times New Roman" w:cs="Times New Roman"/>
                <w:sz w:val="19"/>
                <w:szCs w:val="19"/>
              </w:rPr>
              <w:t>..</w:t>
            </w:r>
          </w:p>
        </w:tc>
        <w:tc>
          <w:tcPr>
            <w:tcW w:w="0" w:type="auto"/>
            <w:vAlign w:val="center"/>
            <w:hideMark/>
          </w:tcPr>
          <w:p w14:paraId="4ADD8DAA" w14:textId="77777777" w:rsidR="00572A85" w:rsidRPr="002E0607" w:rsidRDefault="00572A85" w:rsidP="002E0607">
            <w:pPr>
              <w:pStyle w:val="NoSpacing"/>
              <w:jc w:val="center"/>
              <w:rPr>
                <w:rFonts w:ascii="Times New Roman" w:hAnsi="Times New Roman" w:cs="Times New Roman"/>
                <w:sz w:val="19"/>
                <w:szCs w:val="19"/>
              </w:rPr>
            </w:pPr>
            <w:r w:rsidRPr="002E0607">
              <w:rPr>
                <w:rFonts w:ascii="Times New Roman" w:hAnsi="Times New Roman" w:cs="Times New Roman"/>
                <w:sz w:val="19"/>
                <w:szCs w:val="19"/>
              </w:rPr>
              <w:t>2.22</w:t>
            </w:r>
          </w:p>
        </w:tc>
        <w:tc>
          <w:tcPr>
            <w:tcW w:w="0" w:type="auto"/>
            <w:vAlign w:val="center"/>
            <w:hideMark/>
          </w:tcPr>
          <w:p w14:paraId="30909451" w14:textId="77777777" w:rsidR="00572A85" w:rsidRPr="002E0607" w:rsidRDefault="00572A85" w:rsidP="002E0607">
            <w:pPr>
              <w:pStyle w:val="NoSpacing"/>
              <w:jc w:val="center"/>
              <w:rPr>
                <w:rFonts w:ascii="Times New Roman" w:hAnsi="Times New Roman" w:cs="Times New Roman"/>
                <w:sz w:val="19"/>
                <w:szCs w:val="19"/>
              </w:rPr>
            </w:pPr>
            <w:r w:rsidRPr="002E0607">
              <w:rPr>
                <w:rFonts w:ascii="Times New Roman" w:hAnsi="Times New Roman" w:cs="Times New Roman"/>
                <w:sz w:val="19"/>
                <w:szCs w:val="19"/>
              </w:rPr>
              <w:t>..</w:t>
            </w:r>
          </w:p>
        </w:tc>
        <w:tc>
          <w:tcPr>
            <w:tcW w:w="0" w:type="auto"/>
            <w:vAlign w:val="center"/>
            <w:hideMark/>
          </w:tcPr>
          <w:p w14:paraId="3596C4F0" w14:textId="77777777" w:rsidR="00572A85" w:rsidRPr="002E0607" w:rsidRDefault="00572A85" w:rsidP="002E0607">
            <w:pPr>
              <w:pStyle w:val="NoSpacing"/>
              <w:jc w:val="center"/>
              <w:rPr>
                <w:rFonts w:ascii="Times New Roman" w:hAnsi="Times New Roman" w:cs="Times New Roman"/>
                <w:sz w:val="19"/>
                <w:szCs w:val="19"/>
              </w:rPr>
            </w:pPr>
            <w:r w:rsidRPr="002E0607">
              <w:rPr>
                <w:rFonts w:ascii="Times New Roman" w:hAnsi="Times New Roman" w:cs="Times New Roman"/>
                <w:sz w:val="19"/>
                <w:szCs w:val="19"/>
              </w:rPr>
              <w:t>2.22</w:t>
            </w:r>
          </w:p>
        </w:tc>
        <w:tc>
          <w:tcPr>
            <w:tcW w:w="0" w:type="auto"/>
            <w:vAlign w:val="center"/>
            <w:hideMark/>
          </w:tcPr>
          <w:p w14:paraId="740DF909" w14:textId="77777777" w:rsidR="00572A85" w:rsidRPr="002E0607" w:rsidRDefault="00572A85" w:rsidP="002E0607">
            <w:pPr>
              <w:pStyle w:val="NoSpacing"/>
              <w:jc w:val="center"/>
              <w:rPr>
                <w:rFonts w:ascii="Times New Roman" w:hAnsi="Times New Roman" w:cs="Times New Roman"/>
                <w:sz w:val="19"/>
                <w:szCs w:val="19"/>
              </w:rPr>
            </w:pPr>
            <w:r w:rsidRPr="002E0607">
              <w:rPr>
                <w:rFonts w:ascii="Times New Roman" w:hAnsi="Times New Roman" w:cs="Times New Roman"/>
                <w:sz w:val="19"/>
                <w:szCs w:val="19"/>
              </w:rPr>
              <w:t>4.22</w:t>
            </w:r>
          </w:p>
        </w:tc>
        <w:tc>
          <w:tcPr>
            <w:tcW w:w="0" w:type="auto"/>
            <w:vAlign w:val="center"/>
            <w:hideMark/>
          </w:tcPr>
          <w:p w14:paraId="5717C3E8" w14:textId="77777777" w:rsidR="00572A85" w:rsidRPr="002E0607" w:rsidRDefault="00572A85" w:rsidP="002E0607">
            <w:pPr>
              <w:pStyle w:val="NoSpacing"/>
              <w:jc w:val="center"/>
              <w:rPr>
                <w:rFonts w:ascii="Times New Roman" w:hAnsi="Times New Roman" w:cs="Times New Roman"/>
                <w:sz w:val="19"/>
                <w:szCs w:val="19"/>
              </w:rPr>
            </w:pPr>
            <w:r w:rsidRPr="002E0607">
              <w:rPr>
                <w:rFonts w:ascii="Times New Roman" w:hAnsi="Times New Roman" w:cs="Times New Roman"/>
                <w:sz w:val="19"/>
                <w:szCs w:val="19"/>
              </w:rPr>
              <w:t>..</w:t>
            </w:r>
          </w:p>
        </w:tc>
        <w:tc>
          <w:tcPr>
            <w:tcW w:w="0" w:type="auto"/>
            <w:vAlign w:val="center"/>
            <w:hideMark/>
          </w:tcPr>
          <w:p w14:paraId="45C37C03" w14:textId="77777777" w:rsidR="00572A85" w:rsidRPr="002E0607" w:rsidRDefault="00572A85" w:rsidP="002E0607">
            <w:pPr>
              <w:pStyle w:val="NoSpacing"/>
              <w:jc w:val="center"/>
              <w:rPr>
                <w:rFonts w:ascii="Times New Roman" w:hAnsi="Times New Roman" w:cs="Times New Roman"/>
                <w:sz w:val="19"/>
                <w:szCs w:val="19"/>
              </w:rPr>
            </w:pPr>
            <w:r w:rsidRPr="002E0607">
              <w:rPr>
                <w:rFonts w:ascii="Times New Roman" w:hAnsi="Times New Roman" w:cs="Times New Roman"/>
                <w:sz w:val="19"/>
                <w:szCs w:val="19"/>
              </w:rPr>
              <w:t>4.22</w:t>
            </w:r>
          </w:p>
        </w:tc>
        <w:tc>
          <w:tcPr>
            <w:tcW w:w="0" w:type="auto"/>
            <w:vAlign w:val="center"/>
            <w:hideMark/>
          </w:tcPr>
          <w:p w14:paraId="77796C08" w14:textId="77777777" w:rsidR="00572A85" w:rsidRPr="002E0607" w:rsidRDefault="00572A85" w:rsidP="002E0607">
            <w:pPr>
              <w:pStyle w:val="NoSpacing"/>
              <w:jc w:val="center"/>
              <w:rPr>
                <w:rFonts w:ascii="Times New Roman" w:hAnsi="Times New Roman" w:cs="Times New Roman"/>
                <w:sz w:val="19"/>
                <w:szCs w:val="19"/>
              </w:rPr>
            </w:pPr>
            <w:r w:rsidRPr="002E0607">
              <w:rPr>
                <w:rFonts w:ascii="Times New Roman" w:hAnsi="Times New Roman" w:cs="Times New Roman"/>
                <w:sz w:val="19"/>
                <w:szCs w:val="19"/>
              </w:rPr>
              <w:t>4.26</w:t>
            </w:r>
          </w:p>
        </w:tc>
        <w:tc>
          <w:tcPr>
            <w:tcW w:w="0" w:type="auto"/>
            <w:vAlign w:val="center"/>
            <w:hideMark/>
          </w:tcPr>
          <w:p w14:paraId="08327329" w14:textId="77777777" w:rsidR="00572A85" w:rsidRPr="002E0607" w:rsidRDefault="00572A85" w:rsidP="002E0607">
            <w:pPr>
              <w:pStyle w:val="NoSpacing"/>
              <w:jc w:val="center"/>
              <w:rPr>
                <w:rFonts w:ascii="Times New Roman" w:hAnsi="Times New Roman" w:cs="Times New Roman"/>
                <w:sz w:val="19"/>
                <w:szCs w:val="19"/>
              </w:rPr>
            </w:pPr>
            <w:r w:rsidRPr="002E0607">
              <w:rPr>
                <w:rFonts w:ascii="Times New Roman" w:hAnsi="Times New Roman" w:cs="Times New Roman"/>
                <w:sz w:val="19"/>
                <w:szCs w:val="19"/>
              </w:rPr>
              <w:t>..</w:t>
            </w:r>
          </w:p>
        </w:tc>
        <w:tc>
          <w:tcPr>
            <w:tcW w:w="0" w:type="auto"/>
            <w:vAlign w:val="center"/>
            <w:hideMark/>
          </w:tcPr>
          <w:p w14:paraId="12788FF0" w14:textId="77777777" w:rsidR="00572A85" w:rsidRPr="002E0607" w:rsidRDefault="00572A85" w:rsidP="002E0607">
            <w:pPr>
              <w:pStyle w:val="NoSpacing"/>
              <w:jc w:val="center"/>
              <w:rPr>
                <w:rFonts w:ascii="Times New Roman" w:hAnsi="Times New Roman" w:cs="Times New Roman"/>
                <w:sz w:val="19"/>
                <w:szCs w:val="19"/>
              </w:rPr>
            </w:pPr>
            <w:r w:rsidRPr="002E0607">
              <w:rPr>
                <w:rFonts w:ascii="Times New Roman" w:hAnsi="Times New Roman" w:cs="Times New Roman"/>
                <w:sz w:val="19"/>
                <w:szCs w:val="19"/>
              </w:rPr>
              <w:t>4.26</w:t>
            </w:r>
          </w:p>
        </w:tc>
        <w:tc>
          <w:tcPr>
            <w:tcW w:w="0" w:type="auto"/>
            <w:gridSpan w:val="3"/>
            <w:vMerge w:val="restart"/>
            <w:vAlign w:val="center"/>
          </w:tcPr>
          <w:p w14:paraId="16EF06B0" w14:textId="346F6349" w:rsidR="00572A85" w:rsidRPr="002E0607" w:rsidRDefault="00036A74" w:rsidP="002E0607">
            <w:pPr>
              <w:pStyle w:val="NoSpacing"/>
              <w:jc w:val="center"/>
              <w:rPr>
                <w:rFonts w:ascii="Times New Roman" w:hAnsi="Times New Roman" w:cs="Times New Roman"/>
                <w:sz w:val="19"/>
                <w:szCs w:val="19"/>
              </w:rPr>
            </w:pPr>
            <w:r w:rsidRPr="002E0607">
              <w:rPr>
                <w:rFonts w:ascii="Times New Roman" w:hAnsi="Times New Roman" w:cs="Times New Roman"/>
                <w:sz w:val="19"/>
                <w:szCs w:val="19"/>
              </w:rPr>
              <w:br/>
            </w:r>
            <w:r w:rsidRPr="002E0607">
              <w:rPr>
                <w:rFonts w:ascii="Times New Roman" w:hAnsi="Times New Roman" w:cs="Times New Roman"/>
                <w:sz w:val="19"/>
                <w:szCs w:val="19"/>
              </w:rPr>
              <w:br/>
            </w:r>
            <w:r w:rsidRPr="002E0607">
              <w:rPr>
                <w:rFonts w:ascii="Times New Roman" w:hAnsi="Times New Roman" w:cs="Times New Roman"/>
                <w:sz w:val="19"/>
                <w:szCs w:val="19"/>
              </w:rPr>
              <w:br/>
            </w:r>
            <w:r w:rsidRPr="002E0607">
              <w:rPr>
                <w:rFonts w:ascii="Times New Roman" w:hAnsi="Times New Roman" w:cs="Times New Roman"/>
                <w:sz w:val="19"/>
                <w:szCs w:val="19"/>
              </w:rPr>
              <w:br/>
            </w:r>
            <w:r w:rsidRPr="002E0607">
              <w:rPr>
                <w:rFonts w:ascii="Times New Roman" w:hAnsi="Times New Roman" w:cs="Times New Roman"/>
                <w:sz w:val="19"/>
                <w:szCs w:val="19"/>
              </w:rPr>
              <w:br/>
            </w:r>
            <w:r w:rsidRPr="002E0607">
              <w:rPr>
                <w:rFonts w:ascii="Times New Roman" w:hAnsi="Times New Roman" w:cs="Times New Roman"/>
                <w:sz w:val="19"/>
                <w:szCs w:val="19"/>
              </w:rPr>
              <w:br/>
            </w:r>
            <w:r w:rsidRPr="002E0607">
              <w:rPr>
                <w:rFonts w:ascii="Times New Roman" w:hAnsi="Times New Roman" w:cs="Times New Roman"/>
                <w:sz w:val="19"/>
                <w:szCs w:val="19"/>
              </w:rPr>
              <w:br/>
            </w:r>
            <w:r w:rsidRPr="002E0607">
              <w:rPr>
                <w:rFonts w:ascii="Times New Roman" w:hAnsi="Times New Roman" w:cs="Times New Roman"/>
                <w:sz w:val="19"/>
                <w:szCs w:val="19"/>
              </w:rPr>
              <w:br/>
            </w:r>
            <w:r w:rsidRPr="002E0607">
              <w:rPr>
                <w:rFonts w:ascii="Times New Roman" w:hAnsi="Times New Roman" w:cs="Times New Roman"/>
                <w:sz w:val="19"/>
                <w:szCs w:val="19"/>
              </w:rPr>
              <w:br/>
            </w:r>
            <w:r w:rsidRPr="002E0607">
              <w:rPr>
                <w:rFonts w:ascii="Times New Roman" w:hAnsi="Times New Roman" w:cs="Times New Roman"/>
                <w:sz w:val="19"/>
                <w:szCs w:val="19"/>
              </w:rPr>
              <w:br/>
            </w:r>
            <w:r w:rsidR="00572A85" w:rsidRPr="002E0607">
              <w:rPr>
                <w:rFonts w:ascii="Times New Roman" w:hAnsi="Times New Roman" w:cs="Times New Roman"/>
                <w:sz w:val="19"/>
                <w:szCs w:val="19"/>
              </w:rPr>
              <w:t>**Shown separately on next page</w:t>
            </w:r>
          </w:p>
        </w:tc>
        <w:tc>
          <w:tcPr>
            <w:tcW w:w="0" w:type="auto"/>
            <w:vAlign w:val="center"/>
            <w:hideMark/>
          </w:tcPr>
          <w:p w14:paraId="6AE0563E" w14:textId="77777777" w:rsidR="00572A85" w:rsidRPr="002E0607" w:rsidRDefault="00572A85" w:rsidP="002E0607">
            <w:pPr>
              <w:pStyle w:val="NoSpacing"/>
              <w:jc w:val="center"/>
              <w:rPr>
                <w:rFonts w:ascii="Times New Roman" w:hAnsi="Times New Roman" w:cs="Times New Roman"/>
                <w:sz w:val="19"/>
                <w:szCs w:val="19"/>
              </w:rPr>
            </w:pPr>
            <w:r w:rsidRPr="002E0607">
              <w:rPr>
                <w:rFonts w:ascii="Times New Roman" w:hAnsi="Times New Roman" w:cs="Times New Roman"/>
                <w:sz w:val="19"/>
                <w:szCs w:val="19"/>
              </w:rPr>
              <w:t>10.70</w:t>
            </w:r>
          </w:p>
        </w:tc>
        <w:tc>
          <w:tcPr>
            <w:tcW w:w="0" w:type="auto"/>
            <w:vAlign w:val="center"/>
            <w:hideMark/>
          </w:tcPr>
          <w:p w14:paraId="3B596D3A" w14:textId="77777777" w:rsidR="00572A85" w:rsidRPr="002E0607" w:rsidRDefault="00572A85" w:rsidP="002E0607">
            <w:pPr>
              <w:pStyle w:val="NoSpacing"/>
              <w:jc w:val="center"/>
              <w:rPr>
                <w:rFonts w:ascii="Times New Roman" w:hAnsi="Times New Roman" w:cs="Times New Roman"/>
                <w:sz w:val="19"/>
                <w:szCs w:val="19"/>
              </w:rPr>
            </w:pPr>
            <w:r w:rsidRPr="002E0607">
              <w:rPr>
                <w:rFonts w:ascii="Times New Roman" w:hAnsi="Times New Roman" w:cs="Times New Roman"/>
                <w:sz w:val="19"/>
                <w:szCs w:val="19"/>
              </w:rPr>
              <w:t>..</w:t>
            </w:r>
          </w:p>
        </w:tc>
        <w:tc>
          <w:tcPr>
            <w:tcW w:w="0" w:type="auto"/>
            <w:vAlign w:val="center"/>
            <w:hideMark/>
          </w:tcPr>
          <w:p w14:paraId="70C028B4" w14:textId="77777777" w:rsidR="00572A85" w:rsidRPr="002E0607" w:rsidRDefault="00572A85" w:rsidP="002E0607">
            <w:pPr>
              <w:pStyle w:val="NoSpacing"/>
              <w:jc w:val="center"/>
              <w:rPr>
                <w:rFonts w:ascii="Times New Roman" w:hAnsi="Times New Roman" w:cs="Times New Roman"/>
                <w:sz w:val="19"/>
                <w:szCs w:val="19"/>
              </w:rPr>
            </w:pPr>
            <w:r w:rsidRPr="002E0607">
              <w:rPr>
                <w:rFonts w:ascii="Times New Roman" w:hAnsi="Times New Roman" w:cs="Times New Roman"/>
                <w:sz w:val="19"/>
                <w:szCs w:val="19"/>
              </w:rPr>
              <w:t>10.70</w:t>
            </w:r>
          </w:p>
        </w:tc>
      </w:tr>
      <w:tr w:rsidR="00572A85" w:rsidRPr="002E0607" w14:paraId="2875E0AA" w14:textId="77777777" w:rsidTr="002E0607">
        <w:trPr>
          <w:trHeight w:val="157"/>
        </w:trPr>
        <w:tc>
          <w:tcPr>
            <w:tcW w:w="1926" w:type="dxa"/>
            <w:vAlign w:val="center"/>
            <w:hideMark/>
          </w:tcPr>
          <w:p w14:paraId="20A53CF8" w14:textId="77777777" w:rsidR="00572A85" w:rsidRPr="002E0607" w:rsidRDefault="00572A85" w:rsidP="002E0607">
            <w:pPr>
              <w:pStyle w:val="NoSpacing"/>
              <w:rPr>
                <w:rFonts w:ascii="Times New Roman" w:hAnsi="Times New Roman" w:cs="Times New Roman"/>
                <w:sz w:val="19"/>
                <w:szCs w:val="19"/>
              </w:rPr>
            </w:pPr>
            <w:r w:rsidRPr="002E0607">
              <w:rPr>
                <w:rFonts w:ascii="Times New Roman" w:hAnsi="Times New Roman" w:cs="Times New Roman"/>
                <w:sz w:val="19"/>
                <w:szCs w:val="19"/>
              </w:rPr>
              <w:t>Assam</w:t>
            </w:r>
          </w:p>
        </w:tc>
        <w:tc>
          <w:tcPr>
            <w:tcW w:w="0" w:type="auto"/>
            <w:vAlign w:val="center"/>
            <w:hideMark/>
          </w:tcPr>
          <w:p w14:paraId="7E20C3DE" w14:textId="77777777" w:rsidR="00572A85" w:rsidRPr="002E0607" w:rsidRDefault="00572A85" w:rsidP="002E0607">
            <w:pPr>
              <w:pStyle w:val="NoSpacing"/>
              <w:jc w:val="center"/>
              <w:rPr>
                <w:rFonts w:ascii="Times New Roman" w:hAnsi="Times New Roman" w:cs="Times New Roman"/>
                <w:sz w:val="19"/>
                <w:szCs w:val="19"/>
              </w:rPr>
            </w:pPr>
            <w:r w:rsidRPr="002E0607">
              <w:rPr>
                <w:rFonts w:ascii="Times New Roman" w:hAnsi="Times New Roman" w:cs="Times New Roman"/>
                <w:sz w:val="19"/>
                <w:szCs w:val="19"/>
              </w:rPr>
              <w:t>1.85</w:t>
            </w:r>
          </w:p>
        </w:tc>
        <w:tc>
          <w:tcPr>
            <w:tcW w:w="0" w:type="auto"/>
            <w:vAlign w:val="center"/>
            <w:hideMark/>
          </w:tcPr>
          <w:p w14:paraId="4A070A51" w14:textId="77777777" w:rsidR="00572A85" w:rsidRPr="002E0607" w:rsidRDefault="00572A85" w:rsidP="002E0607">
            <w:pPr>
              <w:pStyle w:val="NoSpacing"/>
              <w:jc w:val="center"/>
              <w:rPr>
                <w:rFonts w:ascii="Times New Roman" w:hAnsi="Times New Roman" w:cs="Times New Roman"/>
                <w:sz w:val="19"/>
                <w:szCs w:val="19"/>
              </w:rPr>
            </w:pPr>
            <w:r w:rsidRPr="002E0607">
              <w:rPr>
                <w:rFonts w:ascii="Times New Roman" w:hAnsi="Times New Roman" w:cs="Times New Roman"/>
                <w:sz w:val="19"/>
                <w:szCs w:val="19"/>
              </w:rPr>
              <w:t>1.75</w:t>
            </w:r>
          </w:p>
        </w:tc>
        <w:tc>
          <w:tcPr>
            <w:tcW w:w="0" w:type="auto"/>
            <w:vAlign w:val="center"/>
            <w:hideMark/>
          </w:tcPr>
          <w:p w14:paraId="0B23AA35" w14:textId="77777777" w:rsidR="00572A85" w:rsidRPr="002E0607" w:rsidRDefault="00572A85" w:rsidP="002E0607">
            <w:pPr>
              <w:pStyle w:val="NoSpacing"/>
              <w:jc w:val="center"/>
              <w:rPr>
                <w:rFonts w:ascii="Times New Roman" w:hAnsi="Times New Roman" w:cs="Times New Roman"/>
                <w:sz w:val="19"/>
                <w:szCs w:val="19"/>
              </w:rPr>
            </w:pPr>
            <w:r w:rsidRPr="002E0607">
              <w:rPr>
                <w:rFonts w:ascii="Times New Roman" w:hAnsi="Times New Roman" w:cs="Times New Roman"/>
                <w:sz w:val="19"/>
                <w:szCs w:val="19"/>
              </w:rPr>
              <w:t>3.60</w:t>
            </w:r>
          </w:p>
        </w:tc>
        <w:tc>
          <w:tcPr>
            <w:tcW w:w="0" w:type="auto"/>
            <w:vAlign w:val="center"/>
            <w:hideMark/>
          </w:tcPr>
          <w:p w14:paraId="7245727E" w14:textId="77777777" w:rsidR="00572A85" w:rsidRPr="002E0607" w:rsidRDefault="00572A85" w:rsidP="002E0607">
            <w:pPr>
              <w:pStyle w:val="NoSpacing"/>
              <w:jc w:val="center"/>
              <w:rPr>
                <w:rFonts w:ascii="Times New Roman" w:hAnsi="Times New Roman" w:cs="Times New Roman"/>
                <w:sz w:val="19"/>
                <w:szCs w:val="19"/>
              </w:rPr>
            </w:pPr>
            <w:r w:rsidRPr="002E0607">
              <w:rPr>
                <w:rFonts w:ascii="Times New Roman" w:hAnsi="Times New Roman" w:cs="Times New Roman"/>
                <w:sz w:val="19"/>
                <w:szCs w:val="19"/>
              </w:rPr>
              <w:t>1.83</w:t>
            </w:r>
          </w:p>
        </w:tc>
        <w:tc>
          <w:tcPr>
            <w:tcW w:w="0" w:type="auto"/>
            <w:vAlign w:val="center"/>
            <w:hideMark/>
          </w:tcPr>
          <w:p w14:paraId="6D46314D" w14:textId="77777777" w:rsidR="00572A85" w:rsidRPr="002E0607" w:rsidRDefault="00572A85" w:rsidP="002E0607">
            <w:pPr>
              <w:pStyle w:val="NoSpacing"/>
              <w:jc w:val="center"/>
              <w:rPr>
                <w:rFonts w:ascii="Times New Roman" w:hAnsi="Times New Roman" w:cs="Times New Roman"/>
                <w:sz w:val="19"/>
                <w:szCs w:val="19"/>
              </w:rPr>
            </w:pPr>
            <w:r w:rsidRPr="002E0607">
              <w:rPr>
                <w:rFonts w:ascii="Times New Roman" w:hAnsi="Times New Roman" w:cs="Times New Roman"/>
                <w:sz w:val="19"/>
                <w:szCs w:val="19"/>
              </w:rPr>
              <w:t>1.75</w:t>
            </w:r>
          </w:p>
        </w:tc>
        <w:tc>
          <w:tcPr>
            <w:tcW w:w="0" w:type="auto"/>
            <w:vAlign w:val="center"/>
            <w:hideMark/>
          </w:tcPr>
          <w:p w14:paraId="38DE359C" w14:textId="77777777" w:rsidR="00572A85" w:rsidRPr="002E0607" w:rsidRDefault="00572A85" w:rsidP="002E0607">
            <w:pPr>
              <w:pStyle w:val="NoSpacing"/>
              <w:jc w:val="center"/>
              <w:rPr>
                <w:rFonts w:ascii="Times New Roman" w:hAnsi="Times New Roman" w:cs="Times New Roman"/>
                <w:sz w:val="19"/>
                <w:szCs w:val="19"/>
              </w:rPr>
            </w:pPr>
            <w:r w:rsidRPr="002E0607">
              <w:rPr>
                <w:rFonts w:ascii="Times New Roman" w:hAnsi="Times New Roman" w:cs="Times New Roman"/>
                <w:sz w:val="19"/>
                <w:szCs w:val="19"/>
              </w:rPr>
              <w:t>3.58</w:t>
            </w:r>
          </w:p>
        </w:tc>
        <w:tc>
          <w:tcPr>
            <w:tcW w:w="0" w:type="auto"/>
            <w:vAlign w:val="center"/>
            <w:hideMark/>
          </w:tcPr>
          <w:p w14:paraId="3FBB6508" w14:textId="77777777" w:rsidR="00572A85" w:rsidRPr="002E0607" w:rsidRDefault="00572A85" w:rsidP="002E0607">
            <w:pPr>
              <w:pStyle w:val="NoSpacing"/>
              <w:jc w:val="center"/>
              <w:rPr>
                <w:rFonts w:ascii="Times New Roman" w:hAnsi="Times New Roman" w:cs="Times New Roman"/>
                <w:sz w:val="19"/>
                <w:szCs w:val="19"/>
              </w:rPr>
            </w:pPr>
            <w:r w:rsidRPr="002E0607">
              <w:rPr>
                <w:rFonts w:ascii="Times New Roman" w:hAnsi="Times New Roman" w:cs="Times New Roman"/>
                <w:sz w:val="19"/>
                <w:szCs w:val="19"/>
              </w:rPr>
              <w:t>1.75</w:t>
            </w:r>
          </w:p>
        </w:tc>
        <w:tc>
          <w:tcPr>
            <w:tcW w:w="0" w:type="auto"/>
            <w:vAlign w:val="center"/>
            <w:hideMark/>
          </w:tcPr>
          <w:p w14:paraId="131FC910" w14:textId="77777777" w:rsidR="00572A85" w:rsidRPr="002E0607" w:rsidRDefault="00572A85" w:rsidP="002E0607">
            <w:pPr>
              <w:pStyle w:val="NoSpacing"/>
              <w:jc w:val="center"/>
              <w:rPr>
                <w:rFonts w:ascii="Times New Roman" w:hAnsi="Times New Roman" w:cs="Times New Roman"/>
                <w:sz w:val="19"/>
                <w:szCs w:val="19"/>
              </w:rPr>
            </w:pPr>
            <w:r w:rsidRPr="002E0607">
              <w:rPr>
                <w:rFonts w:ascii="Times New Roman" w:hAnsi="Times New Roman" w:cs="Times New Roman"/>
                <w:sz w:val="19"/>
                <w:szCs w:val="19"/>
              </w:rPr>
              <w:t>1.75</w:t>
            </w:r>
          </w:p>
        </w:tc>
        <w:tc>
          <w:tcPr>
            <w:tcW w:w="0" w:type="auto"/>
            <w:vAlign w:val="center"/>
            <w:hideMark/>
          </w:tcPr>
          <w:p w14:paraId="45712688" w14:textId="77777777" w:rsidR="00572A85" w:rsidRPr="002E0607" w:rsidRDefault="00572A85" w:rsidP="002E0607">
            <w:pPr>
              <w:pStyle w:val="NoSpacing"/>
              <w:jc w:val="center"/>
              <w:rPr>
                <w:rFonts w:ascii="Times New Roman" w:hAnsi="Times New Roman" w:cs="Times New Roman"/>
                <w:sz w:val="19"/>
                <w:szCs w:val="19"/>
              </w:rPr>
            </w:pPr>
            <w:r w:rsidRPr="002E0607">
              <w:rPr>
                <w:rFonts w:ascii="Times New Roman" w:hAnsi="Times New Roman" w:cs="Times New Roman"/>
                <w:sz w:val="19"/>
                <w:szCs w:val="19"/>
              </w:rPr>
              <w:t>3.50</w:t>
            </w:r>
          </w:p>
        </w:tc>
        <w:tc>
          <w:tcPr>
            <w:tcW w:w="0" w:type="auto"/>
            <w:vAlign w:val="center"/>
            <w:hideMark/>
          </w:tcPr>
          <w:p w14:paraId="20E00055" w14:textId="77777777" w:rsidR="00572A85" w:rsidRPr="002E0607" w:rsidRDefault="00572A85" w:rsidP="002E0607">
            <w:pPr>
              <w:pStyle w:val="NoSpacing"/>
              <w:jc w:val="center"/>
              <w:rPr>
                <w:rFonts w:ascii="Times New Roman" w:hAnsi="Times New Roman" w:cs="Times New Roman"/>
                <w:sz w:val="19"/>
                <w:szCs w:val="19"/>
              </w:rPr>
            </w:pPr>
            <w:r w:rsidRPr="002E0607">
              <w:rPr>
                <w:rFonts w:ascii="Times New Roman" w:hAnsi="Times New Roman" w:cs="Times New Roman"/>
                <w:sz w:val="19"/>
                <w:szCs w:val="19"/>
              </w:rPr>
              <w:t>1.78</w:t>
            </w:r>
          </w:p>
        </w:tc>
        <w:tc>
          <w:tcPr>
            <w:tcW w:w="0" w:type="auto"/>
            <w:vAlign w:val="center"/>
            <w:hideMark/>
          </w:tcPr>
          <w:p w14:paraId="4C7976F3" w14:textId="77777777" w:rsidR="00572A85" w:rsidRPr="002E0607" w:rsidRDefault="00572A85" w:rsidP="002E0607">
            <w:pPr>
              <w:pStyle w:val="NoSpacing"/>
              <w:jc w:val="center"/>
              <w:rPr>
                <w:rFonts w:ascii="Times New Roman" w:hAnsi="Times New Roman" w:cs="Times New Roman"/>
                <w:sz w:val="19"/>
                <w:szCs w:val="19"/>
              </w:rPr>
            </w:pPr>
            <w:r w:rsidRPr="002E0607">
              <w:rPr>
                <w:rFonts w:ascii="Times New Roman" w:hAnsi="Times New Roman" w:cs="Times New Roman"/>
                <w:sz w:val="19"/>
                <w:szCs w:val="19"/>
              </w:rPr>
              <w:t>1.75</w:t>
            </w:r>
          </w:p>
        </w:tc>
        <w:tc>
          <w:tcPr>
            <w:tcW w:w="0" w:type="auto"/>
            <w:vAlign w:val="center"/>
            <w:hideMark/>
          </w:tcPr>
          <w:p w14:paraId="6AD51959" w14:textId="77777777" w:rsidR="00572A85" w:rsidRPr="002E0607" w:rsidRDefault="00572A85" w:rsidP="002E0607">
            <w:pPr>
              <w:pStyle w:val="NoSpacing"/>
              <w:jc w:val="center"/>
              <w:rPr>
                <w:rFonts w:ascii="Times New Roman" w:hAnsi="Times New Roman" w:cs="Times New Roman"/>
                <w:sz w:val="19"/>
                <w:szCs w:val="19"/>
              </w:rPr>
            </w:pPr>
            <w:r w:rsidRPr="002E0607">
              <w:rPr>
                <w:rFonts w:ascii="Times New Roman" w:hAnsi="Times New Roman" w:cs="Times New Roman"/>
                <w:sz w:val="19"/>
                <w:szCs w:val="19"/>
              </w:rPr>
              <w:t>3.53</w:t>
            </w:r>
          </w:p>
        </w:tc>
        <w:tc>
          <w:tcPr>
            <w:tcW w:w="0" w:type="auto"/>
            <w:gridSpan w:val="3"/>
            <w:vMerge/>
            <w:vAlign w:val="center"/>
            <w:hideMark/>
          </w:tcPr>
          <w:p w14:paraId="73DA8E55" w14:textId="50806382" w:rsidR="00572A85" w:rsidRPr="002E0607" w:rsidRDefault="00572A85" w:rsidP="002E0607">
            <w:pPr>
              <w:pStyle w:val="NoSpacing"/>
              <w:jc w:val="center"/>
              <w:rPr>
                <w:rFonts w:ascii="Times New Roman" w:hAnsi="Times New Roman" w:cs="Times New Roman"/>
                <w:sz w:val="19"/>
                <w:szCs w:val="19"/>
              </w:rPr>
            </w:pPr>
          </w:p>
        </w:tc>
        <w:tc>
          <w:tcPr>
            <w:tcW w:w="0" w:type="auto"/>
            <w:vAlign w:val="center"/>
            <w:hideMark/>
          </w:tcPr>
          <w:p w14:paraId="229336E9" w14:textId="77777777" w:rsidR="00572A85" w:rsidRPr="002E0607" w:rsidRDefault="00572A85" w:rsidP="002E0607">
            <w:pPr>
              <w:pStyle w:val="NoSpacing"/>
              <w:jc w:val="center"/>
              <w:rPr>
                <w:rFonts w:ascii="Times New Roman" w:hAnsi="Times New Roman" w:cs="Times New Roman"/>
                <w:sz w:val="19"/>
                <w:szCs w:val="19"/>
              </w:rPr>
            </w:pPr>
            <w:r w:rsidRPr="002E0607">
              <w:rPr>
                <w:rFonts w:ascii="Times New Roman" w:hAnsi="Times New Roman" w:cs="Times New Roman"/>
                <w:sz w:val="19"/>
                <w:szCs w:val="19"/>
              </w:rPr>
              <w:t>7.21</w:t>
            </w:r>
          </w:p>
        </w:tc>
        <w:tc>
          <w:tcPr>
            <w:tcW w:w="0" w:type="auto"/>
            <w:vAlign w:val="center"/>
            <w:hideMark/>
          </w:tcPr>
          <w:p w14:paraId="04AE4F02" w14:textId="77777777" w:rsidR="00572A85" w:rsidRPr="002E0607" w:rsidRDefault="00572A85" w:rsidP="002E0607">
            <w:pPr>
              <w:pStyle w:val="NoSpacing"/>
              <w:jc w:val="center"/>
              <w:rPr>
                <w:rFonts w:ascii="Times New Roman" w:hAnsi="Times New Roman" w:cs="Times New Roman"/>
                <w:sz w:val="19"/>
                <w:szCs w:val="19"/>
              </w:rPr>
            </w:pPr>
            <w:r w:rsidRPr="002E0607">
              <w:rPr>
                <w:rFonts w:ascii="Times New Roman" w:hAnsi="Times New Roman" w:cs="Times New Roman"/>
                <w:sz w:val="19"/>
                <w:szCs w:val="19"/>
              </w:rPr>
              <w:t>7.00</w:t>
            </w:r>
          </w:p>
        </w:tc>
        <w:tc>
          <w:tcPr>
            <w:tcW w:w="0" w:type="auto"/>
            <w:vAlign w:val="center"/>
            <w:hideMark/>
          </w:tcPr>
          <w:p w14:paraId="2E19A258" w14:textId="77777777" w:rsidR="00572A85" w:rsidRPr="002E0607" w:rsidRDefault="00572A85" w:rsidP="002E0607">
            <w:pPr>
              <w:pStyle w:val="NoSpacing"/>
              <w:jc w:val="center"/>
              <w:rPr>
                <w:rFonts w:ascii="Times New Roman" w:hAnsi="Times New Roman" w:cs="Times New Roman"/>
                <w:sz w:val="19"/>
                <w:szCs w:val="19"/>
              </w:rPr>
            </w:pPr>
            <w:r w:rsidRPr="002E0607">
              <w:rPr>
                <w:rFonts w:ascii="Times New Roman" w:hAnsi="Times New Roman" w:cs="Times New Roman"/>
                <w:sz w:val="19"/>
                <w:szCs w:val="19"/>
              </w:rPr>
              <w:t>14.21</w:t>
            </w:r>
          </w:p>
        </w:tc>
      </w:tr>
      <w:tr w:rsidR="00572A85" w:rsidRPr="002E0607" w14:paraId="464BD328" w14:textId="77777777" w:rsidTr="002E0607">
        <w:trPr>
          <w:trHeight w:val="157"/>
        </w:trPr>
        <w:tc>
          <w:tcPr>
            <w:tcW w:w="1926" w:type="dxa"/>
            <w:vAlign w:val="center"/>
            <w:hideMark/>
          </w:tcPr>
          <w:p w14:paraId="4D38934D" w14:textId="77777777" w:rsidR="00572A85" w:rsidRPr="002E0607" w:rsidRDefault="00572A85" w:rsidP="002E0607">
            <w:pPr>
              <w:pStyle w:val="NoSpacing"/>
              <w:rPr>
                <w:rFonts w:ascii="Times New Roman" w:hAnsi="Times New Roman" w:cs="Times New Roman"/>
                <w:sz w:val="19"/>
                <w:szCs w:val="19"/>
              </w:rPr>
            </w:pPr>
            <w:r w:rsidRPr="002E0607">
              <w:rPr>
                <w:rFonts w:ascii="Times New Roman" w:hAnsi="Times New Roman" w:cs="Times New Roman"/>
                <w:sz w:val="19"/>
                <w:szCs w:val="19"/>
              </w:rPr>
              <w:t>Bihar</w:t>
            </w:r>
          </w:p>
        </w:tc>
        <w:tc>
          <w:tcPr>
            <w:tcW w:w="0" w:type="auto"/>
            <w:vAlign w:val="center"/>
            <w:hideMark/>
          </w:tcPr>
          <w:p w14:paraId="0E77DDFF" w14:textId="77777777" w:rsidR="00572A85" w:rsidRPr="002E0607" w:rsidRDefault="00572A85" w:rsidP="002E0607">
            <w:pPr>
              <w:pStyle w:val="NoSpacing"/>
              <w:jc w:val="center"/>
              <w:rPr>
                <w:rFonts w:ascii="Times New Roman" w:hAnsi="Times New Roman" w:cs="Times New Roman"/>
                <w:sz w:val="19"/>
                <w:szCs w:val="19"/>
              </w:rPr>
            </w:pPr>
            <w:r w:rsidRPr="002E0607">
              <w:rPr>
                <w:rFonts w:ascii="Times New Roman" w:hAnsi="Times New Roman" w:cs="Times New Roman"/>
                <w:sz w:val="19"/>
                <w:szCs w:val="19"/>
              </w:rPr>
              <w:t>8.03</w:t>
            </w:r>
          </w:p>
        </w:tc>
        <w:tc>
          <w:tcPr>
            <w:tcW w:w="0" w:type="auto"/>
            <w:vAlign w:val="center"/>
            <w:hideMark/>
          </w:tcPr>
          <w:p w14:paraId="278C3E21" w14:textId="77777777" w:rsidR="00572A85" w:rsidRPr="002E0607" w:rsidRDefault="00572A85" w:rsidP="002E0607">
            <w:pPr>
              <w:pStyle w:val="NoSpacing"/>
              <w:jc w:val="center"/>
              <w:rPr>
                <w:rFonts w:ascii="Times New Roman" w:hAnsi="Times New Roman" w:cs="Times New Roman"/>
                <w:sz w:val="19"/>
                <w:szCs w:val="19"/>
              </w:rPr>
            </w:pPr>
            <w:r w:rsidRPr="002E0607">
              <w:rPr>
                <w:rFonts w:ascii="Times New Roman" w:hAnsi="Times New Roman" w:cs="Times New Roman"/>
                <w:sz w:val="19"/>
                <w:szCs w:val="19"/>
              </w:rPr>
              <w:t>0.75</w:t>
            </w:r>
          </w:p>
        </w:tc>
        <w:tc>
          <w:tcPr>
            <w:tcW w:w="0" w:type="auto"/>
            <w:vAlign w:val="center"/>
            <w:hideMark/>
          </w:tcPr>
          <w:p w14:paraId="4A383E32" w14:textId="77777777" w:rsidR="00572A85" w:rsidRPr="002E0607" w:rsidRDefault="00572A85" w:rsidP="002E0607">
            <w:pPr>
              <w:pStyle w:val="NoSpacing"/>
              <w:jc w:val="center"/>
              <w:rPr>
                <w:rFonts w:ascii="Times New Roman" w:hAnsi="Times New Roman" w:cs="Times New Roman"/>
                <w:sz w:val="19"/>
                <w:szCs w:val="19"/>
              </w:rPr>
            </w:pPr>
            <w:r w:rsidRPr="002E0607">
              <w:rPr>
                <w:rFonts w:ascii="Times New Roman" w:hAnsi="Times New Roman" w:cs="Times New Roman"/>
                <w:sz w:val="19"/>
                <w:szCs w:val="19"/>
              </w:rPr>
              <w:t>8.78</w:t>
            </w:r>
          </w:p>
        </w:tc>
        <w:tc>
          <w:tcPr>
            <w:tcW w:w="0" w:type="auto"/>
            <w:vAlign w:val="center"/>
            <w:hideMark/>
          </w:tcPr>
          <w:p w14:paraId="6AB6E592" w14:textId="77777777" w:rsidR="00572A85" w:rsidRPr="002E0607" w:rsidRDefault="00572A85" w:rsidP="002E0607">
            <w:pPr>
              <w:pStyle w:val="NoSpacing"/>
              <w:jc w:val="center"/>
              <w:rPr>
                <w:rFonts w:ascii="Times New Roman" w:hAnsi="Times New Roman" w:cs="Times New Roman"/>
                <w:sz w:val="19"/>
                <w:szCs w:val="19"/>
              </w:rPr>
            </w:pPr>
            <w:r w:rsidRPr="002E0607">
              <w:rPr>
                <w:rFonts w:ascii="Times New Roman" w:hAnsi="Times New Roman" w:cs="Times New Roman"/>
                <w:sz w:val="19"/>
                <w:szCs w:val="19"/>
              </w:rPr>
              <w:t>7.96</w:t>
            </w:r>
          </w:p>
        </w:tc>
        <w:tc>
          <w:tcPr>
            <w:tcW w:w="0" w:type="auto"/>
            <w:vAlign w:val="center"/>
            <w:hideMark/>
          </w:tcPr>
          <w:p w14:paraId="0591F0FA" w14:textId="77777777" w:rsidR="00572A85" w:rsidRPr="002E0607" w:rsidRDefault="00572A85" w:rsidP="002E0607">
            <w:pPr>
              <w:pStyle w:val="NoSpacing"/>
              <w:jc w:val="center"/>
              <w:rPr>
                <w:rFonts w:ascii="Times New Roman" w:hAnsi="Times New Roman" w:cs="Times New Roman"/>
                <w:sz w:val="19"/>
                <w:szCs w:val="19"/>
              </w:rPr>
            </w:pPr>
            <w:r w:rsidRPr="002E0607">
              <w:rPr>
                <w:rFonts w:ascii="Times New Roman" w:hAnsi="Times New Roman" w:cs="Times New Roman"/>
                <w:sz w:val="19"/>
                <w:szCs w:val="19"/>
              </w:rPr>
              <w:t>1.16</w:t>
            </w:r>
          </w:p>
        </w:tc>
        <w:tc>
          <w:tcPr>
            <w:tcW w:w="0" w:type="auto"/>
            <w:vAlign w:val="center"/>
            <w:hideMark/>
          </w:tcPr>
          <w:p w14:paraId="4AD65F9E" w14:textId="77777777" w:rsidR="00572A85" w:rsidRPr="002E0607" w:rsidRDefault="00572A85" w:rsidP="002E0607">
            <w:pPr>
              <w:pStyle w:val="NoSpacing"/>
              <w:jc w:val="center"/>
              <w:rPr>
                <w:rFonts w:ascii="Times New Roman" w:hAnsi="Times New Roman" w:cs="Times New Roman"/>
                <w:sz w:val="19"/>
                <w:szCs w:val="19"/>
              </w:rPr>
            </w:pPr>
            <w:r w:rsidRPr="002E0607">
              <w:rPr>
                <w:rFonts w:ascii="Times New Roman" w:hAnsi="Times New Roman" w:cs="Times New Roman"/>
                <w:sz w:val="19"/>
                <w:szCs w:val="19"/>
              </w:rPr>
              <w:t>9.12</w:t>
            </w:r>
          </w:p>
        </w:tc>
        <w:tc>
          <w:tcPr>
            <w:tcW w:w="0" w:type="auto"/>
            <w:vAlign w:val="center"/>
            <w:hideMark/>
          </w:tcPr>
          <w:p w14:paraId="1D1EFE1A" w14:textId="77777777" w:rsidR="00572A85" w:rsidRPr="002E0607" w:rsidRDefault="00572A85" w:rsidP="002E0607">
            <w:pPr>
              <w:pStyle w:val="NoSpacing"/>
              <w:jc w:val="center"/>
              <w:rPr>
                <w:rFonts w:ascii="Times New Roman" w:hAnsi="Times New Roman" w:cs="Times New Roman"/>
                <w:sz w:val="19"/>
                <w:szCs w:val="19"/>
              </w:rPr>
            </w:pPr>
            <w:r w:rsidRPr="002E0607">
              <w:rPr>
                <w:rFonts w:ascii="Times New Roman" w:hAnsi="Times New Roman" w:cs="Times New Roman"/>
                <w:sz w:val="19"/>
                <w:szCs w:val="19"/>
              </w:rPr>
              <w:t>7.66</w:t>
            </w:r>
          </w:p>
        </w:tc>
        <w:tc>
          <w:tcPr>
            <w:tcW w:w="0" w:type="auto"/>
            <w:vAlign w:val="center"/>
            <w:hideMark/>
          </w:tcPr>
          <w:p w14:paraId="4906ECC8" w14:textId="77777777" w:rsidR="00572A85" w:rsidRPr="002E0607" w:rsidRDefault="00572A85" w:rsidP="002E0607">
            <w:pPr>
              <w:pStyle w:val="NoSpacing"/>
              <w:jc w:val="center"/>
              <w:rPr>
                <w:rFonts w:ascii="Times New Roman" w:hAnsi="Times New Roman" w:cs="Times New Roman"/>
                <w:sz w:val="19"/>
                <w:szCs w:val="19"/>
              </w:rPr>
            </w:pPr>
            <w:r w:rsidRPr="002E0607">
              <w:rPr>
                <w:rFonts w:ascii="Times New Roman" w:hAnsi="Times New Roman" w:cs="Times New Roman"/>
                <w:sz w:val="19"/>
                <w:szCs w:val="19"/>
              </w:rPr>
              <w:t>1.30</w:t>
            </w:r>
          </w:p>
        </w:tc>
        <w:tc>
          <w:tcPr>
            <w:tcW w:w="0" w:type="auto"/>
            <w:vAlign w:val="center"/>
            <w:hideMark/>
          </w:tcPr>
          <w:p w14:paraId="29B69D7C" w14:textId="77777777" w:rsidR="00572A85" w:rsidRPr="002E0607" w:rsidRDefault="00572A85" w:rsidP="002E0607">
            <w:pPr>
              <w:pStyle w:val="NoSpacing"/>
              <w:jc w:val="center"/>
              <w:rPr>
                <w:rFonts w:ascii="Times New Roman" w:hAnsi="Times New Roman" w:cs="Times New Roman"/>
                <w:sz w:val="19"/>
                <w:szCs w:val="19"/>
              </w:rPr>
            </w:pPr>
            <w:r w:rsidRPr="002E0607">
              <w:rPr>
                <w:rFonts w:ascii="Times New Roman" w:hAnsi="Times New Roman" w:cs="Times New Roman"/>
                <w:sz w:val="19"/>
                <w:szCs w:val="19"/>
              </w:rPr>
              <w:t>8.96</w:t>
            </w:r>
          </w:p>
        </w:tc>
        <w:tc>
          <w:tcPr>
            <w:tcW w:w="0" w:type="auto"/>
            <w:vAlign w:val="center"/>
            <w:hideMark/>
          </w:tcPr>
          <w:p w14:paraId="5DC455F1" w14:textId="77777777" w:rsidR="00572A85" w:rsidRPr="002E0607" w:rsidRDefault="00572A85" w:rsidP="002E0607">
            <w:pPr>
              <w:pStyle w:val="NoSpacing"/>
              <w:jc w:val="center"/>
              <w:rPr>
                <w:rFonts w:ascii="Times New Roman" w:hAnsi="Times New Roman" w:cs="Times New Roman"/>
                <w:sz w:val="19"/>
                <w:szCs w:val="19"/>
              </w:rPr>
            </w:pPr>
            <w:r w:rsidRPr="002E0607">
              <w:rPr>
                <w:rFonts w:ascii="Times New Roman" w:hAnsi="Times New Roman" w:cs="Times New Roman"/>
                <w:sz w:val="19"/>
                <w:szCs w:val="19"/>
              </w:rPr>
              <w:t>7.76</w:t>
            </w:r>
          </w:p>
        </w:tc>
        <w:tc>
          <w:tcPr>
            <w:tcW w:w="0" w:type="auto"/>
            <w:vAlign w:val="center"/>
            <w:hideMark/>
          </w:tcPr>
          <w:p w14:paraId="5021EBB8" w14:textId="77777777" w:rsidR="00572A85" w:rsidRPr="002E0607" w:rsidRDefault="00572A85" w:rsidP="002E0607">
            <w:pPr>
              <w:pStyle w:val="NoSpacing"/>
              <w:jc w:val="center"/>
              <w:rPr>
                <w:rFonts w:ascii="Times New Roman" w:hAnsi="Times New Roman" w:cs="Times New Roman"/>
                <w:sz w:val="19"/>
                <w:szCs w:val="19"/>
              </w:rPr>
            </w:pPr>
            <w:r w:rsidRPr="002E0607">
              <w:rPr>
                <w:rFonts w:ascii="Times New Roman" w:hAnsi="Times New Roman" w:cs="Times New Roman"/>
                <w:sz w:val="19"/>
                <w:szCs w:val="19"/>
              </w:rPr>
              <w:t>1.44</w:t>
            </w:r>
          </w:p>
        </w:tc>
        <w:tc>
          <w:tcPr>
            <w:tcW w:w="0" w:type="auto"/>
            <w:vAlign w:val="center"/>
            <w:hideMark/>
          </w:tcPr>
          <w:p w14:paraId="405CE4A2" w14:textId="77777777" w:rsidR="00572A85" w:rsidRPr="002E0607" w:rsidRDefault="00572A85" w:rsidP="002E0607">
            <w:pPr>
              <w:pStyle w:val="NoSpacing"/>
              <w:jc w:val="center"/>
              <w:rPr>
                <w:rFonts w:ascii="Times New Roman" w:hAnsi="Times New Roman" w:cs="Times New Roman"/>
                <w:sz w:val="19"/>
                <w:szCs w:val="19"/>
              </w:rPr>
            </w:pPr>
            <w:r w:rsidRPr="002E0607">
              <w:rPr>
                <w:rFonts w:ascii="Times New Roman" w:hAnsi="Times New Roman" w:cs="Times New Roman"/>
                <w:sz w:val="19"/>
                <w:szCs w:val="19"/>
              </w:rPr>
              <w:t>9.20</w:t>
            </w:r>
          </w:p>
        </w:tc>
        <w:tc>
          <w:tcPr>
            <w:tcW w:w="0" w:type="auto"/>
            <w:gridSpan w:val="3"/>
            <w:vMerge/>
            <w:vAlign w:val="center"/>
            <w:hideMark/>
          </w:tcPr>
          <w:p w14:paraId="769F4189" w14:textId="6257D6D5" w:rsidR="00572A85" w:rsidRPr="002E0607" w:rsidRDefault="00572A85" w:rsidP="002E0607">
            <w:pPr>
              <w:pStyle w:val="NoSpacing"/>
              <w:jc w:val="center"/>
              <w:rPr>
                <w:rFonts w:ascii="Times New Roman" w:hAnsi="Times New Roman" w:cs="Times New Roman"/>
                <w:sz w:val="19"/>
                <w:szCs w:val="19"/>
              </w:rPr>
            </w:pPr>
          </w:p>
        </w:tc>
        <w:tc>
          <w:tcPr>
            <w:tcW w:w="0" w:type="auto"/>
            <w:vAlign w:val="center"/>
            <w:hideMark/>
          </w:tcPr>
          <w:p w14:paraId="56A22772" w14:textId="77777777" w:rsidR="00572A85" w:rsidRPr="002E0607" w:rsidRDefault="00572A85" w:rsidP="002E0607">
            <w:pPr>
              <w:pStyle w:val="NoSpacing"/>
              <w:jc w:val="center"/>
              <w:rPr>
                <w:rFonts w:ascii="Times New Roman" w:hAnsi="Times New Roman" w:cs="Times New Roman"/>
                <w:sz w:val="19"/>
                <w:szCs w:val="19"/>
              </w:rPr>
            </w:pPr>
            <w:r w:rsidRPr="002E0607">
              <w:rPr>
                <w:rFonts w:ascii="Times New Roman" w:hAnsi="Times New Roman" w:cs="Times New Roman"/>
                <w:sz w:val="19"/>
                <w:szCs w:val="19"/>
              </w:rPr>
              <w:t>31.41</w:t>
            </w:r>
          </w:p>
        </w:tc>
        <w:tc>
          <w:tcPr>
            <w:tcW w:w="0" w:type="auto"/>
            <w:vAlign w:val="center"/>
            <w:hideMark/>
          </w:tcPr>
          <w:p w14:paraId="25D011DD" w14:textId="77777777" w:rsidR="00572A85" w:rsidRPr="002E0607" w:rsidRDefault="00572A85" w:rsidP="002E0607">
            <w:pPr>
              <w:pStyle w:val="NoSpacing"/>
              <w:jc w:val="center"/>
              <w:rPr>
                <w:rFonts w:ascii="Times New Roman" w:hAnsi="Times New Roman" w:cs="Times New Roman"/>
                <w:sz w:val="19"/>
                <w:szCs w:val="19"/>
              </w:rPr>
            </w:pPr>
            <w:r w:rsidRPr="002E0607">
              <w:rPr>
                <w:rFonts w:ascii="Times New Roman" w:hAnsi="Times New Roman" w:cs="Times New Roman"/>
                <w:sz w:val="19"/>
                <w:szCs w:val="19"/>
              </w:rPr>
              <w:t>4.65</w:t>
            </w:r>
          </w:p>
        </w:tc>
        <w:tc>
          <w:tcPr>
            <w:tcW w:w="0" w:type="auto"/>
            <w:vAlign w:val="center"/>
            <w:hideMark/>
          </w:tcPr>
          <w:p w14:paraId="3A4A0FC5" w14:textId="77777777" w:rsidR="00572A85" w:rsidRPr="002E0607" w:rsidRDefault="00572A85" w:rsidP="002E0607">
            <w:pPr>
              <w:pStyle w:val="NoSpacing"/>
              <w:jc w:val="center"/>
              <w:rPr>
                <w:rFonts w:ascii="Times New Roman" w:hAnsi="Times New Roman" w:cs="Times New Roman"/>
                <w:sz w:val="19"/>
                <w:szCs w:val="19"/>
              </w:rPr>
            </w:pPr>
            <w:r w:rsidRPr="002E0607">
              <w:rPr>
                <w:rFonts w:ascii="Times New Roman" w:hAnsi="Times New Roman" w:cs="Times New Roman"/>
                <w:sz w:val="19"/>
                <w:szCs w:val="19"/>
              </w:rPr>
              <w:t>36.06</w:t>
            </w:r>
          </w:p>
        </w:tc>
      </w:tr>
      <w:tr w:rsidR="00572A85" w:rsidRPr="002E0607" w14:paraId="40BD9745" w14:textId="77777777" w:rsidTr="002E0607">
        <w:trPr>
          <w:trHeight w:val="163"/>
        </w:trPr>
        <w:tc>
          <w:tcPr>
            <w:tcW w:w="1926" w:type="dxa"/>
            <w:vAlign w:val="center"/>
            <w:hideMark/>
          </w:tcPr>
          <w:p w14:paraId="65F07028" w14:textId="77777777" w:rsidR="00572A85" w:rsidRPr="002E0607" w:rsidRDefault="00572A85" w:rsidP="002E0607">
            <w:pPr>
              <w:pStyle w:val="NoSpacing"/>
              <w:rPr>
                <w:rFonts w:ascii="Times New Roman" w:hAnsi="Times New Roman" w:cs="Times New Roman"/>
                <w:sz w:val="19"/>
                <w:szCs w:val="19"/>
              </w:rPr>
            </w:pPr>
            <w:r w:rsidRPr="002E0607">
              <w:rPr>
                <w:rFonts w:ascii="Times New Roman" w:hAnsi="Times New Roman" w:cs="Times New Roman"/>
                <w:sz w:val="19"/>
                <w:szCs w:val="19"/>
              </w:rPr>
              <w:t>Bombay</w:t>
            </w:r>
          </w:p>
        </w:tc>
        <w:tc>
          <w:tcPr>
            <w:tcW w:w="0" w:type="auto"/>
            <w:vAlign w:val="center"/>
            <w:hideMark/>
          </w:tcPr>
          <w:p w14:paraId="540BAB70" w14:textId="77777777" w:rsidR="00572A85" w:rsidRPr="002E0607" w:rsidRDefault="00572A85" w:rsidP="002E0607">
            <w:pPr>
              <w:pStyle w:val="NoSpacing"/>
              <w:jc w:val="center"/>
              <w:rPr>
                <w:rFonts w:ascii="Times New Roman" w:hAnsi="Times New Roman" w:cs="Times New Roman"/>
                <w:sz w:val="19"/>
                <w:szCs w:val="19"/>
              </w:rPr>
            </w:pPr>
            <w:r w:rsidRPr="002E0607">
              <w:rPr>
                <w:rFonts w:ascii="Times New Roman" w:hAnsi="Times New Roman" w:cs="Times New Roman"/>
                <w:sz w:val="19"/>
                <w:szCs w:val="19"/>
              </w:rPr>
              <w:t>12.49</w:t>
            </w:r>
          </w:p>
        </w:tc>
        <w:tc>
          <w:tcPr>
            <w:tcW w:w="0" w:type="auto"/>
            <w:vAlign w:val="center"/>
            <w:hideMark/>
          </w:tcPr>
          <w:p w14:paraId="5EBCB9A8" w14:textId="77777777" w:rsidR="00572A85" w:rsidRPr="002E0607" w:rsidRDefault="00572A85" w:rsidP="002E0607">
            <w:pPr>
              <w:pStyle w:val="NoSpacing"/>
              <w:jc w:val="center"/>
              <w:rPr>
                <w:rFonts w:ascii="Times New Roman" w:hAnsi="Times New Roman" w:cs="Times New Roman"/>
                <w:sz w:val="19"/>
                <w:szCs w:val="19"/>
              </w:rPr>
            </w:pPr>
            <w:r w:rsidRPr="002E0607">
              <w:rPr>
                <w:rFonts w:ascii="Times New Roman" w:hAnsi="Times New Roman" w:cs="Times New Roman"/>
                <w:sz w:val="19"/>
                <w:szCs w:val="19"/>
              </w:rPr>
              <w:t>..</w:t>
            </w:r>
          </w:p>
        </w:tc>
        <w:tc>
          <w:tcPr>
            <w:tcW w:w="0" w:type="auto"/>
            <w:vAlign w:val="center"/>
            <w:hideMark/>
          </w:tcPr>
          <w:p w14:paraId="092B574C" w14:textId="77777777" w:rsidR="00572A85" w:rsidRPr="002E0607" w:rsidRDefault="00572A85" w:rsidP="002E0607">
            <w:pPr>
              <w:pStyle w:val="NoSpacing"/>
              <w:jc w:val="center"/>
              <w:rPr>
                <w:rFonts w:ascii="Times New Roman" w:hAnsi="Times New Roman" w:cs="Times New Roman"/>
                <w:sz w:val="19"/>
                <w:szCs w:val="19"/>
              </w:rPr>
            </w:pPr>
            <w:r w:rsidRPr="002E0607">
              <w:rPr>
                <w:rFonts w:ascii="Times New Roman" w:hAnsi="Times New Roman" w:cs="Times New Roman"/>
                <w:sz w:val="19"/>
                <w:szCs w:val="19"/>
              </w:rPr>
              <w:t>12.49</w:t>
            </w:r>
          </w:p>
        </w:tc>
        <w:tc>
          <w:tcPr>
            <w:tcW w:w="0" w:type="auto"/>
            <w:vAlign w:val="center"/>
            <w:hideMark/>
          </w:tcPr>
          <w:p w14:paraId="5EC0BC59" w14:textId="77777777" w:rsidR="00572A85" w:rsidRPr="002E0607" w:rsidRDefault="00572A85" w:rsidP="002E0607">
            <w:pPr>
              <w:pStyle w:val="NoSpacing"/>
              <w:jc w:val="center"/>
              <w:rPr>
                <w:rFonts w:ascii="Times New Roman" w:hAnsi="Times New Roman" w:cs="Times New Roman"/>
                <w:sz w:val="19"/>
                <w:szCs w:val="19"/>
              </w:rPr>
            </w:pPr>
            <w:r w:rsidRPr="002E0607">
              <w:rPr>
                <w:rFonts w:ascii="Times New Roman" w:hAnsi="Times New Roman" w:cs="Times New Roman"/>
                <w:sz w:val="19"/>
                <w:szCs w:val="19"/>
              </w:rPr>
              <w:t>12.48</w:t>
            </w:r>
          </w:p>
        </w:tc>
        <w:tc>
          <w:tcPr>
            <w:tcW w:w="0" w:type="auto"/>
            <w:vAlign w:val="center"/>
            <w:hideMark/>
          </w:tcPr>
          <w:p w14:paraId="230695F3" w14:textId="77777777" w:rsidR="00572A85" w:rsidRPr="002E0607" w:rsidRDefault="00572A85" w:rsidP="002E0607">
            <w:pPr>
              <w:pStyle w:val="NoSpacing"/>
              <w:jc w:val="center"/>
              <w:rPr>
                <w:rFonts w:ascii="Times New Roman" w:hAnsi="Times New Roman" w:cs="Times New Roman"/>
                <w:sz w:val="19"/>
                <w:szCs w:val="19"/>
              </w:rPr>
            </w:pPr>
            <w:r w:rsidRPr="002E0607">
              <w:rPr>
                <w:rFonts w:ascii="Times New Roman" w:hAnsi="Times New Roman" w:cs="Times New Roman"/>
                <w:sz w:val="19"/>
                <w:szCs w:val="19"/>
              </w:rPr>
              <w:t>..</w:t>
            </w:r>
          </w:p>
        </w:tc>
        <w:tc>
          <w:tcPr>
            <w:tcW w:w="0" w:type="auto"/>
            <w:vAlign w:val="center"/>
            <w:hideMark/>
          </w:tcPr>
          <w:p w14:paraId="4EB3492B" w14:textId="77777777" w:rsidR="00572A85" w:rsidRPr="002E0607" w:rsidRDefault="00572A85" w:rsidP="002E0607">
            <w:pPr>
              <w:pStyle w:val="NoSpacing"/>
              <w:jc w:val="center"/>
              <w:rPr>
                <w:rFonts w:ascii="Times New Roman" w:hAnsi="Times New Roman" w:cs="Times New Roman"/>
                <w:sz w:val="19"/>
                <w:szCs w:val="19"/>
              </w:rPr>
            </w:pPr>
            <w:r w:rsidRPr="002E0607">
              <w:rPr>
                <w:rFonts w:ascii="Times New Roman" w:hAnsi="Times New Roman" w:cs="Times New Roman"/>
                <w:sz w:val="19"/>
                <w:szCs w:val="19"/>
              </w:rPr>
              <w:t>12.48</w:t>
            </w:r>
          </w:p>
        </w:tc>
        <w:tc>
          <w:tcPr>
            <w:tcW w:w="0" w:type="auto"/>
            <w:vAlign w:val="center"/>
            <w:hideMark/>
          </w:tcPr>
          <w:p w14:paraId="4F0AD1CF" w14:textId="77777777" w:rsidR="00572A85" w:rsidRPr="002E0607" w:rsidRDefault="00572A85" w:rsidP="002E0607">
            <w:pPr>
              <w:pStyle w:val="NoSpacing"/>
              <w:jc w:val="center"/>
              <w:rPr>
                <w:rFonts w:ascii="Times New Roman" w:hAnsi="Times New Roman" w:cs="Times New Roman"/>
                <w:sz w:val="19"/>
                <w:szCs w:val="19"/>
              </w:rPr>
            </w:pPr>
            <w:r w:rsidRPr="002E0607">
              <w:rPr>
                <w:rFonts w:ascii="Times New Roman" w:hAnsi="Times New Roman" w:cs="Times New Roman"/>
                <w:sz w:val="19"/>
                <w:szCs w:val="19"/>
              </w:rPr>
              <w:t>12.07</w:t>
            </w:r>
          </w:p>
        </w:tc>
        <w:tc>
          <w:tcPr>
            <w:tcW w:w="0" w:type="auto"/>
            <w:vAlign w:val="center"/>
            <w:hideMark/>
          </w:tcPr>
          <w:p w14:paraId="6D1FCE35" w14:textId="77777777" w:rsidR="00572A85" w:rsidRPr="002E0607" w:rsidRDefault="00572A85" w:rsidP="002E0607">
            <w:pPr>
              <w:pStyle w:val="NoSpacing"/>
              <w:jc w:val="center"/>
              <w:rPr>
                <w:rFonts w:ascii="Times New Roman" w:hAnsi="Times New Roman" w:cs="Times New Roman"/>
                <w:sz w:val="19"/>
                <w:szCs w:val="19"/>
              </w:rPr>
            </w:pPr>
            <w:r w:rsidRPr="002E0607">
              <w:rPr>
                <w:rFonts w:ascii="Times New Roman" w:hAnsi="Times New Roman" w:cs="Times New Roman"/>
                <w:sz w:val="19"/>
                <w:szCs w:val="19"/>
              </w:rPr>
              <w:t>..</w:t>
            </w:r>
          </w:p>
        </w:tc>
        <w:tc>
          <w:tcPr>
            <w:tcW w:w="0" w:type="auto"/>
            <w:vAlign w:val="center"/>
            <w:hideMark/>
          </w:tcPr>
          <w:p w14:paraId="7836C98D" w14:textId="77777777" w:rsidR="00572A85" w:rsidRPr="002E0607" w:rsidRDefault="00572A85" w:rsidP="002E0607">
            <w:pPr>
              <w:pStyle w:val="NoSpacing"/>
              <w:jc w:val="center"/>
              <w:rPr>
                <w:rFonts w:ascii="Times New Roman" w:hAnsi="Times New Roman" w:cs="Times New Roman"/>
                <w:sz w:val="19"/>
                <w:szCs w:val="19"/>
              </w:rPr>
            </w:pPr>
            <w:r w:rsidRPr="002E0607">
              <w:rPr>
                <w:rFonts w:ascii="Times New Roman" w:hAnsi="Times New Roman" w:cs="Times New Roman"/>
                <w:sz w:val="19"/>
                <w:szCs w:val="19"/>
              </w:rPr>
              <w:t>12.07</w:t>
            </w:r>
          </w:p>
        </w:tc>
        <w:tc>
          <w:tcPr>
            <w:tcW w:w="0" w:type="auto"/>
            <w:vAlign w:val="center"/>
            <w:hideMark/>
          </w:tcPr>
          <w:p w14:paraId="68DF21A1" w14:textId="77777777" w:rsidR="00572A85" w:rsidRPr="002E0607" w:rsidRDefault="00572A85" w:rsidP="002E0607">
            <w:pPr>
              <w:pStyle w:val="NoSpacing"/>
              <w:jc w:val="center"/>
              <w:rPr>
                <w:rFonts w:ascii="Times New Roman" w:hAnsi="Times New Roman" w:cs="Times New Roman"/>
                <w:sz w:val="19"/>
                <w:szCs w:val="19"/>
              </w:rPr>
            </w:pPr>
            <w:r w:rsidRPr="002E0607">
              <w:rPr>
                <w:rFonts w:ascii="Times New Roman" w:hAnsi="Times New Roman" w:cs="Times New Roman"/>
                <w:sz w:val="19"/>
                <w:szCs w:val="19"/>
              </w:rPr>
              <w:t>12.08</w:t>
            </w:r>
          </w:p>
        </w:tc>
        <w:tc>
          <w:tcPr>
            <w:tcW w:w="0" w:type="auto"/>
            <w:vAlign w:val="center"/>
            <w:hideMark/>
          </w:tcPr>
          <w:p w14:paraId="5319FD9F" w14:textId="77777777" w:rsidR="00572A85" w:rsidRPr="002E0607" w:rsidRDefault="00572A85" w:rsidP="002E0607">
            <w:pPr>
              <w:pStyle w:val="NoSpacing"/>
              <w:jc w:val="center"/>
              <w:rPr>
                <w:rFonts w:ascii="Times New Roman" w:hAnsi="Times New Roman" w:cs="Times New Roman"/>
                <w:sz w:val="19"/>
                <w:szCs w:val="19"/>
              </w:rPr>
            </w:pPr>
            <w:r w:rsidRPr="002E0607">
              <w:rPr>
                <w:rFonts w:ascii="Times New Roman" w:hAnsi="Times New Roman" w:cs="Times New Roman"/>
                <w:sz w:val="19"/>
                <w:szCs w:val="19"/>
              </w:rPr>
              <w:t>..</w:t>
            </w:r>
          </w:p>
        </w:tc>
        <w:tc>
          <w:tcPr>
            <w:tcW w:w="0" w:type="auto"/>
            <w:vAlign w:val="center"/>
            <w:hideMark/>
          </w:tcPr>
          <w:p w14:paraId="27239853" w14:textId="77777777" w:rsidR="00572A85" w:rsidRPr="002E0607" w:rsidRDefault="00572A85" w:rsidP="002E0607">
            <w:pPr>
              <w:pStyle w:val="NoSpacing"/>
              <w:jc w:val="center"/>
              <w:rPr>
                <w:rFonts w:ascii="Times New Roman" w:hAnsi="Times New Roman" w:cs="Times New Roman"/>
                <w:sz w:val="19"/>
                <w:szCs w:val="19"/>
              </w:rPr>
            </w:pPr>
            <w:r w:rsidRPr="002E0607">
              <w:rPr>
                <w:rFonts w:ascii="Times New Roman" w:hAnsi="Times New Roman" w:cs="Times New Roman"/>
                <w:sz w:val="19"/>
                <w:szCs w:val="19"/>
              </w:rPr>
              <w:t>12.08</w:t>
            </w:r>
          </w:p>
        </w:tc>
        <w:tc>
          <w:tcPr>
            <w:tcW w:w="0" w:type="auto"/>
            <w:gridSpan w:val="3"/>
            <w:vMerge/>
            <w:vAlign w:val="center"/>
            <w:hideMark/>
          </w:tcPr>
          <w:p w14:paraId="0C50B146" w14:textId="1A208AF2" w:rsidR="00572A85" w:rsidRPr="002E0607" w:rsidRDefault="00572A85" w:rsidP="002E0607">
            <w:pPr>
              <w:pStyle w:val="NoSpacing"/>
              <w:jc w:val="center"/>
              <w:rPr>
                <w:rFonts w:ascii="Times New Roman" w:hAnsi="Times New Roman" w:cs="Times New Roman"/>
                <w:sz w:val="19"/>
                <w:szCs w:val="19"/>
              </w:rPr>
            </w:pPr>
          </w:p>
        </w:tc>
        <w:tc>
          <w:tcPr>
            <w:tcW w:w="0" w:type="auto"/>
            <w:vAlign w:val="center"/>
            <w:hideMark/>
          </w:tcPr>
          <w:p w14:paraId="0EAD91EA" w14:textId="77777777" w:rsidR="00572A85" w:rsidRPr="002E0607" w:rsidRDefault="00572A85" w:rsidP="002E0607">
            <w:pPr>
              <w:pStyle w:val="NoSpacing"/>
              <w:jc w:val="center"/>
              <w:rPr>
                <w:rFonts w:ascii="Times New Roman" w:hAnsi="Times New Roman" w:cs="Times New Roman"/>
                <w:sz w:val="19"/>
                <w:szCs w:val="19"/>
              </w:rPr>
            </w:pPr>
            <w:r w:rsidRPr="002E0607">
              <w:rPr>
                <w:rFonts w:ascii="Times New Roman" w:hAnsi="Times New Roman" w:cs="Times New Roman"/>
                <w:sz w:val="19"/>
                <w:szCs w:val="19"/>
              </w:rPr>
              <w:t>49.12</w:t>
            </w:r>
          </w:p>
        </w:tc>
        <w:tc>
          <w:tcPr>
            <w:tcW w:w="0" w:type="auto"/>
            <w:vAlign w:val="center"/>
            <w:hideMark/>
          </w:tcPr>
          <w:p w14:paraId="33C37C6D" w14:textId="77777777" w:rsidR="00572A85" w:rsidRPr="002E0607" w:rsidRDefault="00572A85" w:rsidP="002E0607">
            <w:pPr>
              <w:pStyle w:val="NoSpacing"/>
              <w:jc w:val="center"/>
              <w:rPr>
                <w:rFonts w:ascii="Times New Roman" w:hAnsi="Times New Roman" w:cs="Times New Roman"/>
                <w:sz w:val="19"/>
                <w:szCs w:val="19"/>
              </w:rPr>
            </w:pPr>
            <w:r w:rsidRPr="002E0607">
              <w:rPr>
                <w:rFonts w:ascii="Times New Roman" w:hAnsi="Times New Roman" w:cs="Times New Roman"/>
                <w:sz w:val="19"/>
                <w:szCs w:val="19"/>
              </w:rPr>
              <w:t>..</w:t>
            </w:r>
          </w:p>
        </w:tc>
        <w:tc>
          <w:tcPr>
            <w:tcW w:w="0" w:type="auto"/>
            <w:vAlign w:val="center"/>
            <w:hideMark/>
          </w:tcPr>
          <w:p w14:paraId="6D8920D6" w14:textId="77777777" w:rsidR="00572A85" w:rsidRPr="002E0607" w:rsidRDefault="00572A85" w:rsidP="002E0607">
            <w:pPr>
              <w:pStyle w:val="NoSpacing"/>
              <w:jc w:val="center"/>
              <w:rPr>
                <w:rFonts w:ascii="Times New Roman" w:hAnsi="Times New Roman" w:cs="Times New Roman"/>
                <w:sz w:val="19"/>
                <w:szCs w:val="19"/>
              </w:rPr>
            </w:pPr>
            <w:r w:rsidRPr="002E0607">
              <w:rPr>
                <w:rFonts w:ascii="Times New Roman" w:hAnsi="Times New Roman" w:cs="Times New Roman"/>
                <w:sz w:val="19"/>
                <w:szCs w:val="19"/>
              </w:rPr>
              <w:t>49.12</w:t>
            </w:r>
          </w:p>
        </w:tc>
      </w:tr>
      <w:tr w:rsidR="00572A85" w:rsidRPr="002E0607" w14:paraId="79A4B79F" w14:textId="77777777" w:rsidTr="002E0607">
        <w:trPr>
          <w:trHeight w:val="157"/>
        </w:trPr>
        <w:tc>
          <w:tcPr>
            <w:tcW w:w="1926" w:type="dxa"/>
            <w:vAlign w:val="center"/>
            <w:hideMark/>
          </w:tcPr>
          <w:p w14:paraId="446110B3" w14:textId="77777777" w:rsidR="00572A85" w:rsidRPr="002E0607" w:rsidRDefault="00572A85" w:rsidP="002E0607">
            <w:pPr>
              <w:pStyle w:val="NoSpacing"/>
              <w:rPr>
                <w:rFonts w:ascii="Times New Roman" w:hAnsi="Times New Roman" w:cs="Times New Roman"/>
                <w:sz w:val="19"/>
                <w:szCs w:val="19"/>
              </w:rPr>
            </w:pPr>
            <w:r w:rsidRPr="002E0607">
              <w:rPr>
                <w:rFonts w:ascii="Times New Roman" w:hAnsi="Times New Roman" w:cs="Times New Roman"/>
                <w:sz w:val="19"/>
                <w:szCs w:val="19"/>
              </w:rPr>
              <w:t>Hyderabad</w:t>
            </w:r>
          </w:p>
        </w:tc>
        <w:tc>
          <w:tcPr>
            <w:tcW w:w="0" w:type="auto"/>
            <w:vAlign w:val="center"/>
            <w:hideMark/>
          </w:tcPr>
          <w:p w14:paraId="5ACA8CAD" w14:textId="77777777" w:rsidR="00572A85" w:rsidRPr="002E0607" w:rsidRDefault="00572A85" w:rsidP="002E0607">
            <w:pPr>
              <w:pStyle w:val="NoSpacing"/>
              <w:jc w:val="center"/>
              <w:rPr>
                <w:rFonts w:ascii="Times New Roman" w:hAnsi="Times New Roman" w:cs="Times New Roman"/>
                <w:sz w:val="19"/>
                <w:szCs w:val="19"/>
              </w:rPr>
            </w:pPr>
            <w:r w:rsidRPr="002E0607">
              <w:rPr>
                <w:rFonts w:ascii="Times New Roman" w:hAnsi="Times New Roman" w:cs="Times New Roman"/>
                <w:sz w:val="19"/>
                <w:szCs w:val="19"/>
              </w:rPr>
              <w:t>3.42</w:t>
            </w:r>
          </w:p>
        </w:tc>
        <w:tc>
          <w:tcPr>
            <w:tcW w:w="0" w:type="auto"/>
            <w:vAlign w:val="center"/>
            <w:hideMark/>
          </w:tcPr>
          <w:p w14:paraId="2783A709" w14:textId="77777777" w:rsidR="00572A85" w:rsidRPr="002E0607" w:rsidRDefault="00572A85" w:rsidP="002E0607">
            <w:pPr>
              <w:pStyle w:val="NoSpacing"/>
              <w:jc w:val="center"/>
              <w:rPr>
                <w:rFonts w:ascii="Times New Roman" w:hAnsi="Times New Roman" w:cs="Times New Roman"/>
                <w:sz w:val="19"/>
                <w:szCs w:val="19"/>
              </w:rPr>
            </w:pPr>
            <w:r w:rsidRPr="002E0607">
              <w:rPr>
                <w:rFonts w:ascii="Times New Roman" w:hAnsi="Times New Roman" w:cs="Times New Roman"/>
                <w:sz w:val="19"/>
                <w:szCs w:val="19"/>
              </w:rPr>
              <w:t>..</w:t>
            </w:r>
          </w:p>
        </w:tc>
        <w:tc>
          <w:tcPr>
            <w:tcW w:w="0" w:type="auto"/>
            <w:vAlign w:val="center"/>
            <w:hideMark/>
          </w:tcPr>
          <w:p w14:paraId="00ABC41D" w14:textId="77777777" w:rsidR="00572A85" w:rsidRPr="002E0607" w:rsidRDefault="00572A85" w:rsidP="002E0607">
            <w:pPr>
              <w:pStyle w:val="NoSpacing"/>
              <w:jc w:val="center"/>
              <w:rPr>
                <w:rFonts w:ascii="Times New Roman" w:hAnsi="Times New Roman" w:cs="Times New Roman"/>
                <w:sz w:val="19"/>
                <w:szCs w:val="19"/>
              </w:rPr>
            </w:pPr>
            <w:r w:rsidRPr="002E0607">
              <w:rPr>
                <w:rFonts w:ascii="Times New Roman" w:hAnsi="Times New Roman" w:cs="Times New Roman"/>
                <w:sz w:val="19"/>
                <w:szCs w:val="19"/>
              </w:rPr>
              <w:t>3.42</w:t>
            </w:r>
          </w:p>
        </w:tc>
        <w:tc>
          <w:tcPr>
            <w:tcW w:w="0" w:type="auto"/>
            <w:vAlign w:val="center"/>
            <w:hideMark/>
          </w:tcPr>
          <w:p w14:paraId="588F36B8" w14:textId="77777777" w:rsidR="00572A85" w:rsidRPr="002E0607" w:rsidRDefault="00572A85" w:rsidP="002E0607">
            <w:pPr>
              <w:pStyle w:val="NoSpacing"/>
              <w:jc w:val="center"/>
              <w:rPr>
                <w:rFonts w:ascii="Times New Roman" w:hAnsi="Times New Roman" w:cs="Times New Roman"/>
                <w:sz w:val="19"/>
                <w:szCs w:val="19"/>
              </w:rPr>
            </w:pPr>
            <w:r w:rsidRPr="002E0607">
              <w:rPr>
                <w:rFonts w:ascii="Times New Roman" w:hAnsi="Times New Roman" w:cs="Times New Roman"/>
                <w:sz w:val="19"/>
                <w:szCs w:val="19"/>
              </w:rPr>
              <w:t>3.40</w:t>
            </w:r>
          </w:p>
        </w:tc>
        <w:tc>
          <w:tcPr>
            <w:tcW w:w="0" w:type="auto"/>
            <w:vAlign w:val="center"/>
            <w:hideMark/>
          </w:tcPr>
          <w:p w14:paraId="093314CE" w14:textId="77777777" w:rsidR="00572A85" w:rsidRPr="002E0607" w:rsidRDefault="00572A85" w:rsidP="002E0607">
            <w:pPr>
              <w:pStyle w:val="NoSpacing"/>
              <w:jc w:val="center"/>
              <w:rPr>
                <w:rFonts w:ascii="Times New Roman" w:hAnsi="Times New Roman" w:cs="Times New Roman"/>
                <w:sz w:val="19"/>
                <w:szCs w:val="19"/>
              </w:rPr>
            </w:pPr>
            <w:r w:rsidRPr="002E0607">
              <w:rPr>
                <w:rFonts w:ascii="Times New Roman" w:hAnsi="Times New Roman" w:cs="Times New Roman"/>
                <w:sz w:val="19"/>
                <w:szCs w:val="19"/>
              </w:rPr>
              <w:t>0.20</w:t>
            </w:r>
          </w:p>
        </w:tc>
        <w:tc>
          <w:tcPr>
            <w:tcW w:w="0" w:type="auto"/>
            <w:vAlign w:val="center"/>
            <w:hideMark/>
          </w:tcPr>
          <w:p w14:paraId="07B1C741" w14:textId="77777777" w:rsidR="00572A85" w:rsidRPr="002E0607" w:rsidRDefault="00572A85" w:rsidP="002E0607">
            <w:pPr>
              <w:pStyle w:val="NoSpacing"/>
              <w:jc w:val="center"/>
              <w:rPr>
                <w:rFonts w:ascii="Times New Roman" w:hAnsi="Times New Roman" w:cs="Times New Roman"/>
                <w:sz w:val="19"/>
                <w:szCs w:val="19"/>
              </w:rPr>
            </w:pPr>
            <w:r w:rsidRPr="002E0607">
              <w:rPr>
                <w:rFonts w:ascii="Times New Roman" w:hAnsi="Times New Roman" w:cs="Times New Roman"/>
                <w:sz w:val="19"/>
                <w:szCs w:val="19"/>
              </w:rPr>
              <w:t>3.60</w:t>
            </w:r>
          </w:p>
        </w:tc>
        <w:tc>
          <w:tcPr>
            <w:tcW w:w="0" w:type="auto"/>
            <w:vAlign w:val="center"/>
            <w:hideMark/>
          </w:tcPr>
          <w:p w14:paraId="4A35C6BB" w14:textId="77777777" w:rsidR="00572A85" w:rsidRPr="002E0607" w:rsidRDefault="00572A85" w:rsidP="002E0607">
            <w:pPr>
              <w:pStyle w:val="NoSpacing"/>
              <w:jc w:val="center"/>
              <w:rPr>
                <w:rFonts w:ascii="Times New Roman" w:hAnsi="Times New Roman" w:cs="Times New Roman"/>
                <w:sz w:val="19"/>
                <w:szCs w:val="19"/>
              </w:rPr>
            </w:pPr>
            <w:r w:rsidRPr="002E0607">
              <w:rPr>
                <w:rFonts w:ascii="Times New Roman" w:hAnsi="Times New Roman" w:cs="Times New Roman"/>
                <w:sz w:val="19"/>
                <w:szCs w:val="19"/>
              </w:rPr>
              <w:t>3.54</w:t>
            </w:r>
          </w:p>
        </w:tc>
        <w:tc>
          <w:tcPr>
            <w:tcW w:w="0" w:type="auto"/>
            <w:vAlign w:val="center"/>
            <w:hideMark/>
          </w:tcPr>
          <w:p w14:paraId="0C15BDAB" w14:textId="77777777" w:rsidR="00572A85" w:rsidRPr="002E0607" w:rsidRDefault="00572A85" w:rsidP="002E0607">
            <w:pPr>
              <w:pStyle w:val="NoSpacing"/>
              <w:jc w:val="center"/>
              <w:rPr>
                <w:rFonts w:ascii="Times New Roman" w:hAnsi="Times New Roman" w:cs="Times New Roman"/>
                <w:sz w:val="19"/>
                <w:szCs w:val="19"/>
              </w:rPr>
            </w:pPr>
            <w:r w:rsidRPr="002E0607">
              <w:rPr>
                <w:rFonts w:ascii="Times New Roman" w:hAnsi="Times New Roman" w:cs="Times New Roman"/>
                <w:sz w:val="19"/>
                <w:szCs w:val="19"/>
              </w:rPr>
              <w:t>0.27</w:t>
            </w:r>
          </w:p>
        </w:tc>
        <w:tc>
          <w:tcPr>
            <w:tcW w:w="0" w:type="auto"/>
            <w:vAlign w:val="center"/>
            <w:hideMark/>
          </w:tcPr>
          <w:p w14:paraId="3919F268" w14:textId="77777777" w:rsidR="00572A85" w:rsidRPr="002E0607" w:rsidRDefault="00572A85" w:rsidP="002E0607">
            <w:pPr>
              <w:pStyle w:val="NoSpacing"/>
              <w:jc w:val="center"/>
              <w:rPr>
                <w:rFonts w:ascii="Times New Roman" w:hAnsi="Times New Roman" w:cs="Times New Roman"/>
                <w:sz w:val="19"/>
                <w:szCs w:val="19"/>
              </w:rPr>
            </w:pPr>
            <w:r w:rsidRPr="002E0607">
              <w:rPr>
                <w:rFonts w:ascii="Times New Roman" w:hAnsi="Times New Roman" w:cs="Times New Roman"/>
                <w:sz w:val="19"/>
                <w:szCs w:val="19"/>
              </w:rPr>
              <w:t>3.81</w:t>
            </w:r>
          </w:p>
        </w:tc>
        <w:tc>
          <w:tcPr>
            <w:tcW w:w="0" w:type="auto"/>
            <w:vAlign w:val="center"/>
            <w:hideMark/>
          </w:tcPr>
          <w:p w14:paraId="33755CD8" w14:textId="77777777" w:rsidR="00572A85" w:rsidRPr="002E0607" w:rsidRDefault="00572A85" w:rsidP="002E0607">
            <w:pPr>
              <w:pStyle w:val="NoSpacing"/>
              <w:jc w:val="center"/>
              <w:rPr>
                <w:rFonts w:ascii="Times New Roman" w:hAnsi="Times New Roman" w:cs="Times New Roman"/>
                <w:sz w:val="19"/>
                <w:szCs w:val="19"/>
              </w:rPr>
            </w:pPr>
            <w:r w:rsidRPr="002E0607">
              <w:rPr>
                <w:rFonts w:ascii="Times New Roman" w:hAnsi="Times New Roman" w:cs="Times New Roman"/>
                <w:sz w:val="19"/>
                <w:szCs w:val="19"/>
              </w:rPr>
              <w:t>3.58</w:t>
            </w:r>
          </w:p>
        </w:tc>
        <w:tc>
          <w:tcPr>
            <w:tcW w:w="0" w:type="auto"/>
            <w:vAlign w:val="center"/>
            <w:hideMark/>
          </w:tcPr>
          <w:p w14:paraId="387794E0" w14:textId="77777777" w:rsidR="00572A85" w:rsidRPr="002E0607" w:rsidRDefault="00572A85" w:rsidP="002E0607">
            <w:pPr>
              <w:pStyle w:val="NoSpacing"/>
              <w:jc w:val="center"/>
              <w:rPr>
                <w:rFonts w:ascii="Times New Roman" w:hAnsi="Times New Roman" w:cs="Times New Roman"/>
                <w:sz w:val="19"/>
                <w:szCs w:val="19"/>
              </w:rPr>
            </w:pPr>
            <w:r w:rsidRPr="002E0607">
              <w:rPr>
                <w:rFonts w:ascii="Times New Roman" w:hAnsi="Times New Roman" w:cs="Times New Roman"/>
                <w:sz w:val="19"/>
                <w:szCs w:val="19"/>
              </w:rPr>
              <w:t>0.33</w:t>
            </w:r>
          </w:p>
        </w:tc>
        <w:tc>
          <w:tcPr>
            <w:tcW w:w="0" w:type="auto"/>
            <w:vAlign w:val="center"/>
            <w:hideMark/>
          </w:tcPr>
          <w:p w14:paraId="5E971703" w14:textId="77777777" w:rsidR="00572A85" w:rsidRPr="002E0607" w:rsidRDefault="00572A85" w:rsidP="002E0607">
            <w:pPr>
              <w:pStyle w:val="NoSpacing"/>
              <w:jc w:val="center"/>
              <w:rPr>
                <w:rFonts w:ascii="Times New Roman" w:hAnsi="Times New Roman" w:cs="Times New Roman"/>
                <w:sz w:val="19"/>
                <w:szCs w:val="19"/>
              </w:rPr>
            </w:pPr>
            <w:r w:rsidRPr="002E0607">
              <w:rPr>
                <w:rFonts w:ascii="Times New Roman" w:hAnsi="Times New Roman" w:cs="Times New Roman"/>
                <w:sz w:val="19"/>
                <w:szCs w:val="19"/>
              </w:rPr>
              <w:t>3.91</w:t>
            </w:r>
          </w:p>
        </w:tc>
        <w:tc>
          <w:tcPr>
            <w:tcW w:w="0" w:type="auto"/>
            <w:gridSpan w:val="3"/>
            <w:vMerge/>
            <w:vAlign w:val="center"/>
            <w:hideMark/>
          </w:tcPr>
          <w:p w14:paraId="210FEE2F" w14:textId="465F31FF" w:rsidR="00572A85" w:rsidRPr="002E0607" w:rsidRDefault="00572A85" w:rsidP="002E0607">
            <w:pPr>
              <w:pStyle w:val="NoSpacing"/>
              <w:jc w:val="center"/>
              <w:rPr>
                <w:rFonts w:ascii="Times New Roman" w:hAnsi="Times New Roman" w:cs="Times New Roman"/>
                <w:sz w:val="19"/>
                <w:szCs w:val="19"/>
              </w:rPr>
            </w:pPr>
          </w:p>
        </w:tc>
        <w:tc>
          <w:tcPr>
            <w:tcW w:w="0" w:type="auto"/>
            <w:vAlign w:val="center"/>
            <w:hideMark/>
          </w:tcPr>
          <w:p w14:paraId="7B313F69" w14:textId="77777777" w:rsidR="00572A85" w:rsidRPr="002E0607" w:rsidRDefault="00572A85" w:rsidP="002E0607">
            <w:pPr>
              <w:pStyle w:val="NoSpacing"/>
              <w:jc w:val="center"/>
              <w:rPr>
                <w:rFonts w:ascii="Times New Roman" w:hAnsi="Times New Roman" w:cs="Times New Roman"/>
                <w:sz w:val="19"/>
                <w:szCs w:val="19"/>
              </w:rPr>
            </w:pPr>
            <w:r w:rsidRPr="002E0607">
              <w:rPr>
                <w:rFonts w:ascii="Times New Roman" w:hAnsi="Times New Roman" w:cs="Times New Roman"/>
                <w:sz w:val="19"/>
                <w:szCs w:val="19"/>
              </w:rPr>
              <w:t>13.94</w:t>
            </w:r>
          </w:p>
        </w:tc>
        <w:tc>
          <w:tcPr>
            <w:tcW w:w="0" w:type="auto"/>
            <w:vAlign w:val="center"/>
            <w:hideMark/>
          </w:tcPr>
          <w:p w14:paraId="2B5AA425" w14:textId="77777777" w:rsidR="00572A85" w:rsidRPr="002E0607" w:rsidRDefault="00572A85" w:rsidP="002E0607">
            <w:pPr>
              <w:pStyle w:val="NoSpacing"/>
              <w:jc w:val="center"/>
              <w:rPr>
                <w:rFonts w:ascii="Times New Roman" w:hAnsi="Times New Roman" w:cs="Times New Roman"/>
                <w:sz w:val="19"/>
                <w:szCs w:val="19"/>
              </w:rPr>
            </w:pPr>
            <w:r w:rsidRPr="002E0607">
              <w:rPr>
                <w:rFonts w:ascii="Times New Roman" w:hAnsi="Times New Roman" w:cs="Times New Roman"/>
                <w:sz w:val="19"/>
                <w:szCs w:val="19"/>
              </w:rPr>
              <w:t>0.80</w:t>
            </w:r>
          </w:p>
        </w:tc>
        <w:tc>
          <w:tcPr>
            <w:tcW w:w="0" w:type="auto"/>
            <w:vAlign w:val="center"/>
            <w:hideMark/>
          </w:tcPr>
          <w:p w14:paraId="4F57E2CD" w14:textId="77777777" w:rsidR="00572A85" w:rsidRPr="002E0607" w:rsidRDefault="00572A85" w:rsidP="002E0607">
            <w:pPr>
              <w:pStyle w:val="NoSpacing"/>
              <w:jc w:val="center"/>
              <w:rPr>
                <w:rFonts w:ascii="Times New Roman" w:hAnsi="Times New Roman" w:cs="Times New Roman"/>
                <w:sz w:val="19"/>
                <w:szCs w:val="19"/>
              </w:rPr>
            </w:pPr>
            <w:r w:rsidRPr="002E0607">
              <w:rPr>
                <w:rFonts w:ascii="Times New Roman" w:hAnsi="Times New Roman" w:cs="Times New Roman"/>
                <w:sz w:val="19"/>
                <w:szCs w:val="19"/>
              </w:rPr>
              <w:t>14.74</w:t>
            </w:r>
          </w:p>
        </w:tc>
      </w:tr>
      <w:tr w:rsidR="00572A85" w:rsidRPr="002E0607" w14:paraId="7C78A445" w14:textId="77777777" w:rsidTr="002E0607">
        <w:trPr>
          <w:trHeight w:val="315"/>
        </w:trPr>
        <w:tc>
          <w:tcPr>
            <w:tcW w:w="1926" w:type="dxa"/>
            <w:vAlign w:val="center"/>
            <w:hideMark/>
          </w:tcPr>
          <w:p w14:paraId="3F255735" w14:textId="77777777" w:rsidR="00572A85" w:rsidRPr="002E0607" w:rsidRDefault="00572A85" w:rsidP="002E0607">
            <w:pPr>
              <w:pStyle w:val="NoSpacing"/>
              <w:rPr>
                <w:rFonts w:ascii="Times New Roman" w:hAnsi="Times New Roman" w:cs="Times New Roman"/>
                <w:sz w:val="19"/>
                <w:szCs w:val="19"/>
              </w:rPr>
            </w:pPr>
            <w:r w:rsidRPr="002E0607">
              <w:rPr>
                <w:rFonts w:ascii="Times New Roman" w:hAnsi="Times New Roman" w:cs="Times New Roman"/>
                <w:sz w:val="19"/>
                <w:szCs w:val="19"/>
              </w:rPr>
              <w:t>Madhya Bharat</w:t>
            </w:r>
          </w:p>
        </w:tc>
        <w:tc>
          <w:tcPr>
            <w:tcW w:w="0" w:type="auto"/>
            <w:vAlign w:val="center"/>
            <w:hideMark/>
          </w:tcPr>
          <w:p w14:paraId="168F5D41" w14:textId="77777777" w:rsidR="00572A85" w:rsidRPr="002E0607" w:rsidRDefault="00572A85" w:rsidP="002E0607">
            <w:pPr>
              <w:pStyle w:val="NoSpacing"/>
              <w:jc w:val="center"/>
              <w:rPr>
                <w:rFonts w:ascii="Times New Roman" w:hAnsi="Times New Roman" w:cs="Times New Roman"/>
                <w:sz w:val="19"/>
                <w:szCs w:val="19"/>
              </w:rPr>
            </w:pPr>
            <w:r w:rsidRPr="002E0607">
              <w:rPr>
                <w:rFonts w:ascii="Times New Roman" w:hAnsi="Times New Roman" w:cs="Times New Roman"/>
                <w:sz w:val="19"/>
                <w:szCs w:val="19"/>
              </w:rPr>
              <w:t>1.36</w:t>
            </w:r>
          </w:p>
        </w:tc>
        <w:tc>
          <w:tcPr>
            <w:tcW w:w="0" w:type="auto"/>
            <w:vAlign w:val="center"/>
            <w:hideMark/>
          </w:tcPr>
          <w:p w14:paraId="14F947A7" w14:textId="77777777" w:rsidR="00572A85" w:rsidRPr="002E0607" w:rsidRDefault="00572A85" w:rsidP="002E0607">
            <w:pPr>
              <w:pStyle w:val="NoSpacing"/>
              <w:jc w:val="center"/>
              <w:rPr>
                <w:rFonts w:ascii="Times New Roman" w:hAnsi="Times New Roman" w:cs="Times New Roman"/>
                <w:sz w:val="19"/>
                <w:szCs w:val="19"/>
              </w:rPr>
            </w:pPr>
            <w:r w:rsidRPr="002E0607">
              <w:rPr>
                <w:rFonts w:ascii="Times New Roman" w:hAnsi="Times New Roman" w:cs="Times New Roman"/>
                <w:sz w:val="19"/>
                <w:szCs w:val="19"/>
              </w:rPr>
              <w:t>..</w:t>
            </w:r>
          </w:p>
        </w:tc>
        <w:tc>
          <w:tcPr>
            <w:tcW w:w="0" w:type="auto"/>
            <w:vAlign w:val="center"/>
            <w:hideMark/>
          </w:tcPr>
          <w:p w14:paraId="3A3E9E9F" w14:textId="77777777" w:rsidR="00572A85" w:rsidRPr="002E0607" w:rsidRDefault="00572A85" w:rsidP="002E0607">
            <w:pPr>
              <w:pStyle w:val="NoSpacing"/>
              <w:jc w:val="center"/>
              <w:rPr>
                <w:rFonts w:ascii="Times New Roman" w:hAnsi="Times New Roman" w:cs="Times New Roman"/>
                <w:sz w:val="19"/>
                <w:szCs w:val="19"/>
              </w:rPr>
            </w:pPr>
            <w:r w:rsidRPr="002E0607">
              <w:rPr>
                <w:rFonts w:ascii="Times New Roman" w:hAnsi="Times New Roman" w:cs="Times New Roman"/>
                <w:sz w:val="19"/>
                <w:szCs w:val="19"/>
              </w:rPr>
              <w:t>1.36</w:t>
            </w:r>
          </w:p>
        </w:tc>
        <w:tc>
          <w:tcPr>
            <w:tcW w:w="0" w:type="auto"/>
            <w:vAlign w:val="center"/>
            <w:hideMark/>
          </w:tcPr>
          <w:p w14:paraId="0F580225" w14:textId="77777777" w:rsidR="00572A85" w:rsidRPr="002E0607" w:rsidRDefault="00572A85" w:rsidP="002E0607">
            <w:pPr>
              <w:pStyle w:val="NoSpacing"/>
              <w:jc w:val="center"/>
              <w:rPr>
                <w:rFonts w:ascii="Times New Roman" w:hAnsi="Times New Roman" w:cs="Times New Roman"/>
                <w:sz w:val="19"/>
                <w:szCs w:val="19"/>
              </w:rPr>
            </w:pPr>
            <w:r w:rsidRPr="002E0607">
              <w:rPr>
                <w:rFonts w:ascii="Times New Roman" w:hAnsi="Times New Roman" w:cs="Times New Roman"/>
                <w:sz w:val="19"/>
                <w:szCs w:val="19"/>
              </w:rPr>
              <w:t>1.35</w:t>
            </w:r>
          </w:p>
        </w:tc>
        <w:tc>
          <w:tcPr>
            <w:tcW w:w="0" w:type="auto"/>
            <w:vAlign w:val="center"/>
            <w:hideMark/>
          </w:tcPr>
          <w:p w14:paraId="3E570AC0" w14:textId="77777777" w:rsidR="00572A85" w:rsidRPr="002E0607" w:rsidRDefault="00572A85" w:rsidP="002E0607">
            <w:pPr>
              <w:pStyle w:val="NoSpacing"/>
              <w:jc w:val="center"/>
              <w:rPr>
                <w:rFonts w:ascii="Times New Roman" w:hAnsi="Times New Roman" w:cs="Times New Roman"/>
                <w:sz w:val="19"/>
                <w:szCs w:val="19"/>
              </w:rPr>
            </w:pPr>
            <w:r w:rsidRPr="002E0607">
              <w:rPr>
                <w:rFonts w:ascii="Times New Roman" w:hAnsi="Times New Roman" w:cs="Times New Roman"/>
                <w:sz w:val="19"/>
                <w:szCs w:val="19"/>
              </w:rPr>
              <w:t>0.09</w:t>
            </w:r>
          </w:p>
        </w:tc>
        <w:tc>
          <w:tcPr>
            <w:tcW w:w="0" w:type="auto"/>
            <w:vAlign w:val="center"/>
            <w:hideMark/>
          </w:tcPr>
          <w:p w14:paraId="2C444244" w14:textId="77777777" w:rsidR="00572A85" w:rsidRPr="002E0607" w:rsidRDefault="00572A85" w:rsidP="002E0607">
            <w:pPr>
              <w:pStyle w:val="NoSpacing"/>
              <w:jc w:val="center"/>
              <w:rPr>
                <w:rFonts w:ascii="Times New Roman" w:hAnsi="Times New Roman" w:cs="Times New Roman"/>
                <w:sz w:val="19"/>
                <w:szCs w:val="19"/>
              </w:rPr>
            </w:pPr>
            <w:r w:rsidRPr="002E0607">
              <w:rPr>
                <w:rFonts w:ascii="Times New Roman" w:hAnsi="Times New Roman" w:cs="Times New Roman"/>
                <w:sz w:val="19"/>
                <w:szCs w:val="19"/>
              </w:rPr>
              <w:t>1.44</w:t>
            </w:r>
          </w:p>
        </w:tc>
        <w:tc>
          <w:tcPr>
            <w:tcW w:w="0" w:type="auto"/>
            <w:vAlign w:val="center"/>
            <w:hideMark/>
          </w:tcPr>
          <w:p w14:paraId="51AEEE5D" w14:textId="77777777" w:rsidR="00572A85" w:rsidRPr="002E0607" w:rsidRDefault="00572A85" w:rsidP="002E0607">
            <w:pPr>
              <w:pStyle w:val="NoSpacing"/>
              <w:jc w:val="center"/>
              <w:rPr>
                <w:rFonts w:ascii="Times New Roman" w:hAnsi="Times New Roman" w:cs="Times New Roman"/>
                <w:sz w:val="19"/>
                <w:szCs w:val="19"/>
              </w:rPr>
            </w:pPr>
            <w:r w:rsidRPr="002E0607">
              <w:rPr>
                <w:rFonts w:ascii="Times New Roman" w:hAnsi="Times New Roman" w:cs="Times New Roman"/>
                <w:sz w:val="19"/>
                <w:szCs w:val="19"/>
              </w:rPr>
              <w:t>1.41</w:t>
            </w:r>
          </w:p>
        </w:tc>
        <w:tc>
          <w:tcPr>
            <w:tcW w:w="0" w:type="auto"/>
            <w:vAlign w:val="center"/>
            <w:hideMark/>
          </w:tcPr>
          <w:p w14:paraId="3EFB4073" w14:textId="77777777" w:rsidR="00572A85" w:rsidRPr="002E0607" w:rsidRDefault="00572A85" w:rsidP="002E0607">
            <w:pPr>
              <w:pStyle w:val="NoSpacing"/>
              <w:jc w:val="center"/>
              <w:rPr>
                <w:rFonts w:ascii="Times New Roman" w:hAnsi="Times New Roman" w:cs="Times New Roman"/>
                <w:sz w:val="19"/>
                <w:szCs w:val="19"/>
              </w:rPr>
            </w:pPr>
            <w:r w:rsidRPr="002E0607">
              <w:rPr>
                <w:rFonts w:ascii="Times New Roman" w:hAnsi="Times New Roman" w:cs="Times New Roman"/>
                <w:sz w:val="19"/>
                <w:szCs w:val="19"/>
              </w:rPr>
              <w:t>0.12</w:t>
            </w:r>
          </w:p>
        </w:tc>
        <w:tc>
          <w:tcPr>
            <w:tcW w:w="0" w:type="auto"/>
            <w:vAlign w:val="center"/>
            <w:hideMark/>
          </w:tcPr>
          <w:p w14:paraId="47E44D60" w14:textId="77777777" w:rsidR="00572A85" w:rsidRPr="002E0607" w:rsidRDefault="00572A85" w:rsidP="002E0607">
            <w:pPr>
              <w:pStyle w:val="NoSpacing"/>
              <w:jc w:val="center"/>
              <w:rPr>
                <w:rFonts w:ascii="Times New Roman" w:hAnsi="Times New Roman" w:cs="Times New Roman"/>
                <w:sz w:val="19"/>
                <w:szCs w:val="19"/>
              </w:rPr>
            </w:pPr>
            <w:r w:rsidRPr="002E0607">
              <w:rPr>
                <w:rFonts w:ascii="Times New Roman" w:hAnsi="Times New Roman" w:cs="Times New Roman"/>
                <w:sz w:val="19"/>
                <w:szCs w:val="19"/>
              </w:rPr>
              <w:t>1.53</w:t>
            </w:r>
          </w:p>
        </w:tc>
        <w:tc>
          <w:tcPr>
            <w:tcW w:w="0" w:type="auto"/>
            <w:vAlign w:val="center"/>
            <w:hideMark/>
          </w:tcPr>
          <w:p w14:paraId="1C792E4C" w14:textId="77777777" w:rsidR="00572A85" w:rsidRPr="002E0607" w:rsidRDefault="00572A85" w:rsidP="002E0607">
            <w:pPr>
              <w:pStyle w:val="NoSpacing"/>
              <w:jc w:val="center"/>
              <w:rPr>
                <w:rFonts w:ascii="Times New Roman" w:hAnsi="Times New Roman" w:cs="Times New Roman"/>
                <w:sz w:val="19"/>
                <w:szCs w:val="19"/>
              </w:rPr>
            </w:pPr>
            <w:r w:rsidRPr="002E0607">
              <w:rPr>
                <w:rFonts w:ascii="Times New Roman" w:hAnsi="Times New Roman" w:cs="Times New Roman"/>
                <w:sz w:val="19"/>
                <w:szCs w:val="19"/>
              </w:rPr>
              <w:t>1.44</w:t>
            </w:r>
          </w:p>
        </w:tc>
        <w:tc>
          <w:tcPr>
            <w:tcW w:w="0" w:type="auto"/>
            <w:vAlign w:val="center"/>
            <w:hideMark/>
          </w:tcPr>
          <w:p w14:paraId="6FF1EBF4" w14:textId="77777777" w:rsidR="00572A85" w:rsidRPr="002E0607" w:rsidRDefault="00572A85" w:rsidP="002E0607">
            <w:pPr>
              <w:pStyle w:val="NoSpacing"/>
              <w:jc w:val="center"/>
              <w:rPr>
                <w:rFonts w:ascii="Times New Roman" w:hAnsi="Times New Roman" w:cs="Times New Roman"/>
                <w:sz w:val="19"/>
                <w:szCs w:val="19"/>
              </w:rPr>
            </w:pPr>
            <w:r w:rsidRPr="002E0607">
              <w:rPr>
                <w:rFonts w:ascii="Times New Roman" w:hAnsi="Times New Roman" w:cs="Times New Roman"/>
                <w:sz w:val="19"/>
                <w:szCs w:val="19"/>
              </w:rPr>
              <w:t>0.15</w:t>
            </w:r>
          </w:p>
        </w:tc>
        <w:tc>
          <w:tcPr>
            <w:tcW w:w="0" w:type="auto"/>
            <w:vAlign w:val="center"/>
            <w:hideMark/>
          </w:tcPr>
          <w:p w14:paraId="2EF5E162" w14:textId="77777777" w:rsidR="00572A85" w:rsidRPr="002E0607" w:rsidRDefault="00572A85" w:rsidP="002E0607">
            <w:pPr>
              <w:pStyle w:val="NoSpacing"/>
              <w:jc w:val="center"/>
              <w:rPr>
                <w:rFonts w:ascii="Times New Roman" w:hAnsi="Times New Roman" w:cs="Times New Roman"/>
                <w:sz w:val="19"/>
                <w:szCs w:val="19"/>
              </w:rPr>
            </w:pPr>
            <w:r w:rsidRPr="002E0607">
              <w:rPr>
                <w:rFonts w:ascii="Times New Roman" w:hAnsi="Times New Roman" w:cs="Times New Roman"/>
                <w:sz w:val="19"/>
                <w:szCs w:val="19"/>
              </w:rPr>
              <w:t>1.59</w:t>
            </w:r>
          </w:p>
        </w:tc>
        <w:tc>
          <w:tcPr>
            <w:tcW w:w="0" w:type="auto"/>
            <w:gridSpan w:val="3"/>
            <w:vMerge/>
            <w:vAlign w:val="center"/>
            <w:hideMark/>
          </w:tcPr>
          <w:p w14:paraId="13680778" w14:textId="39392B13" w:rsidR="00572A85" w:rsidRPr="002E0607" w:rsidRDefault="00572A85" w:rsidP="002E0607">
            <w:pPr>
              <w:pStyle w:val="NoSpacing"/>
              <w:jc w:val="center"/>
              <w:rPr>
                <w:rFonts w:ascii="Times New Roman" w:hAnsi="Times New Roman" w:cs="Times New Roman"/>
                <w:sz w:val="19"/>
                <w:szCs w:val="19"/>
              </w:rPr>
            </w:pPr>
          </w:p>
        </w:tc>
        <w:tc>
          <w:tcPr>
            <w:tcW w:w="0" w:type="auto"/>
            <w:vAlign w:val="center"/>
            <w:hideMark/>
          </w:tcPr>
          <w:p w14:paraId="18F3483C" w14:textId="77777777" w:rsidR="00572A85" w:rsidRPr="002E0607" w:rsidRDefault="00572A85" w:rsidP="002E0607">
            <w:pPr>
              <w:pStyle w:val="NoSpacing"/>
              <w:jc w:val="center"/>
              <w:rPr>
                <w:rFonts w:ascii="Times New Roman" w:hAnsi="Times New Roman" w:cs="Times New Roman"/>
                <w:sz w:val="19"/>
                <w:szCs w:val="19"/>
              </w:rPr>
            </w:pPr>
            <w:r w:rsidRPr="002E0607">
              <w:rPr>
                <w:rFonts w:ascii="Times New Roman" w:hAnsi="Times New Roman" w:cs="Times New Roman"/>
                <w:sz w:val="19"/>
                <w:szCs w:val="19"/>
              </w:rPr>
              <w:t>5.56</w:t>
            </w:r>
          </w:p>
        </w:tc>
        <w:tc>
          <w:tcPr>
            <w:tcW w:w="0" w:type="auto"/>
            <w:vAlign w:val="center"/>
            <w:hideMark/>
          </w:tcPr>
          <w:p w14:paraId="4826DDC5" w14:textId="77777777" w:rsidR="00572A85" w:rsidRPr="002E0607" w:rsidRDefault="00572A85" w:rsidP="002E0607">
            <w:pPr>
              <w:pStyle w:val="NoSpacing"/>
              <w:jc w:val="center"/>
              <w:rPr>
                <w:rFonts w:ascii="Times New Roman" w:hAnsi="Times New Roman" w:cs="Times New Roman"/>
                <w:sz w:val="19"/>
                <w:szCs w:val="19"/>
              </w:rPr>
            </w:pPr>
            <w:r w:rsidRPr="002E0607">
              <w:rPr>
                <w:rFonts w:ascii="Times New Roman" w:hAnsi="Times New Roman" w:cs="Times New Roman"/>
                <w:sz w:val="19"/>
                <w:szCs w:val="19"/>
              </w:rPr>
              <w:t>0.36</w:t>
            </w:r>
          </w:p>
        </w:tc>
        <w:tc>
          <w:tcPr>
            <w:tcW w:w="0" w:type="auto"/>
            <w:vAlign w:val="center"/>
            <w:hideMark/>
          </w:tcPr>
          <w:p w14:paraId="16169C58" w14:textId="77777777" w:rsidR="00572A85" w:rsidRPr="002E0607" w:rsidRDefault="00572A85" w:rsidP="002E0607">
            <w:pPr>
              <w:pStyle w:val="NoSpacing"/>
              <w:jc w:val="center"/>
              <w:rPr>
                <w:rFonts w:ascii="Times New Roman" w:hAnsi="Times New Roman" w:cs="Times New Roman"/>
                <w:sz w:val="19"/>
                <w:szCs w:val="19"/>
              </w:rPr>
            </w:pPr>
            <w:r w:rsidRPr="002E0607">
              <w:rPr>
                <w:rFonts w:ascii="Times New Roman" w:hAnsi="Times New Roman" w:cs="Times New Roman"/>
                <w:sz w:val="19"/>
                <w:szCs w:val="19"/>
              </w:rPr>
              <w:t>5.92</w:t>
            </w:r>
          </w:p>
        </w:tc>
      </w:tr>
      <w:tr w:rsidR="00572A85" w:rsidRPr="002E0607" w14:paraId="759DAA82" w14:textId="77777777" w:rsidTr="002E0607">
        <w:trPr>
          <w:trHeight w:val="323"/>
        </w:trPr>
        <w:tc>
          <w:tcPr>
            <w:tcW w:w="1926" w:type="dxa"/>
            <w:vAlign w:val="center"/>
            <w:hideMark/>
          </w:tcPr>
          <w:p w14:paraId="3B42F622" w14:textId="77777777" w:rsidR="00572A85" w:rsidRPr="002E0607" w:rsidRDefault="00572A85" w:rsidP="002E0607">
            <w:pPr>
              <w:pStyle w:val="NoSpacing"/>
              <w:rPr>
                <w:rFonts w:ascii="Times New Roman" w:hAnsi="Times New Roman" w:cs="Times New Roman"/>
                <w:sz w:val="19"/>
                <w:szCs w:val="19"/>
              </w:rPr>
            </w:pPr>
            <w:r w:rsidRPr="002E0607">
              <w:rPr>
                <w:rFonts w:ascii="Times New Roman" w:hAnsi="Times New Roman" w:cs="Times New Roman"/>
                <w:sz w:val="19"/>
                <w:szCs w:val="19"/>
              </w:rPr>
              <w:t>Madhya Pradesh</w:t>
            </w:r>
          </w:p>
        </w:tc>
        <w:tc>
          <w:tcPr>
            <w:tcW w:w="0" w:type="auto"/>
            <w:vAlign w:val="center"/>
            <w:hideMark/>
          </w:tcPr>
          <w:p w14:paraId="12E954FD" w14:textId="77777777" w:rsidR="00572A85" w:rsidRPr="002E0607" w:rsidRDefault="00572A85" w:rsidP="002E0607">
            <w:pPr>
              <w:pStyle w:val="NoSpacing"/>
              <w:jc w:val="center"/>
              <w:rPr>
                <w:rFonts w:ascii="Times New Roman" w:hAnsi="Times New Roman" w:cs="Times New Roman"/>
                <w:sz w:val="19"/>
                <w:szCs w:val="19"/>
              </w:rPr>
            </w:pPr>
            <w:r w:rsidRPr="002E0607">
              <w:rPr>
                <w:rFonts w:ascii="Times New Roman" w:hAnsi="Times New Roman" w:cs="Times New Roman"/>
                <w:sz w:val="19"/>
                <w:szCs w:val="19"/>
              </w:rPr>
              <w:t>4.27</w:t>
            </w:r>
          </w:p>
        </w:tc>
        <w:tc>
          <w:tcPr>
            <w:tcW w:w="0" w:type="auto"/>
            <w:vAlign w:val="center"/>
            <w:hideMark/>
          </w:tcPr>
          <w:p w14:paraId="1C6E3133" w14:textId="77777777" w:rsidR="00572A85" w:rsidRPr="002E0607" w:rsidRDefault="00572A85" w:rsidP="002E0607">
            <w:pPr>
              <w:pStyle w:val="NoSpacing"/>
              <w:jc w:val="center"/>
              <w:rPr>
                <w:rFonts w:ascii="Times New Roman" w:hAnsi="Times New Roman" w:cs="Times New Roman"/>
                <w:sz w:val="19"/>
                <w:szCs w:val="19"/>
              </w:rPr>
            </w:pPr>
            <w:r w:rsidRPr="002E0607">
              <w:rPr>
                <w:rFonts w:ascii="Times New Roman" w:hAnsi="Times New Roman" w:cs="Times New Roman"/>
                <w:sz w:val="19"/>
                <w:szCs w:val="19"/>
              </w:rPr>
              <w:t>..</w:t>
            </w:r>
          </w:p>
        </w:tc>
        <w:tc>
          <w:tcPr>
            <w:tcW w:w="0" w:type="auto"/>
            <w:vAlign w:val="center"/>
            <w:hideMark/>
          </w:tcPr>
          <w:p w14:paraId="4A622959" w14:textId="77777777" w:rsidR="00572A85" w:rsidRPr="002E0607" w:rsidRDefault="00572A85" w:rsidP="002E0607">
            <w:pPr>
              <w:pStyle w:val="NoSpacing"/>
              <w:jc w:val="center"/>
              <w:rPr>
                <w:rFonts w:ascii="Times New Roman" w:hAnsi="Times New Roman" w:cs="Times New Roman"/>
                <w:sz w:val="19"/>
                <w:szCs w:val="19"/>
              </w:rPr>
            </w:pPr>
            <w:r w:rsidRPr="002E0607">
              <w:rPr>
                <w:rFonts w:ascii="Times New Roman" w:hAnsi="Times New Roman" w:cs="Times New Roman"/>
                <w:sz w:val="19"/>
                <w:szCs w:val="19"/>
              </w:rPr>
              <w:t>4.27</w:t>
            </w:r>
          </w:p>
        </w:tc>
        <w:tc>
          <w:tcPr>
            <w:tcW w:w="0" w:type="auto"/>
            <w:vAlign w:val="center"/>
            <w:hideMark/>
          </w:tcPr>
          <w:p w14:paraId="32D92189" w14:textId="77777777" w:rsidR="00572A85" w:rsidRPr="002E0607" w:rsidRDefault="00572A85" w:rsidP="002E0607">
            <w:pPr>
              <w:pStyle w:val="NoSpacing"/>
              <w:jc w:val="center"/>
              <w:rPr>
                <w:rFonts w:ascii="Times New Roman" w:hAnsi="Times New Roman" w:cs="Times New Roman"/>
                <w:sz w:val="19"/>
                <w:szCs w:val="19"/>
              </w:rPr>
            </w:pPr>
            <w:r w:rsidRPr="002E0607">
              <w:rPr>
                <w:rFonts w:ascii="Times New Roman" w:hAnsi="Times New Roman" w:cs="Times New Roman"/>
                <w:sz w:val="19"/>
                <w:szCs w:val="19"/>
              </w:rPr>
              <w:t>4.26</w:t>
            </w:r>
          </w:p>
        </w:tc>
        <w:tc>
          <w:tcPr>
            <w:tcW w:w="0" w:type="auto"/>
            <w:vAlign w:val="center"/>
            <w:hideMark/>
          </w:tcPr>
          <w:p w14:paraId="4EE85551" w14:textId="77777777" w:rsidR="00572A85" w:rsidRPr="002E0607" w:rsidRDefault="00572A85" w:rsidP="002E0607">
            <w:pPr>
              <w:pStyle w:val="NoSpacing"/>
              <w:jc w:val="center"/>
              <w:rPr>
                <w:rFonts w:ascii="Times New Roman" w:hAnsi="Times New Roman" w:cs="Times New Roman"/>
                <w:sz w:val="19"/>
                <w:szCs w:val="19"/>
              </w:rPr>
            </w:pPr>
            <w:r w:rsidRPr="002E0607">
              <w:rPr>
                <w:rFonts w:ascii="Times New Roman" w:hAnsi="Times New Roman" w:cs="Times New Roman"/>
                <w:sz w:val="19"/>
                <w:szCs w:val="19"/>
              </w:rPr>
              <w:t>0.25</w:t>
            </w:r>
          </w:p>
        </w:tc>
        <w:tc>
          <w:tcPr>
            <w:tcW w:w="0" w:type="auto"/>
            <w:vAlign w:val="center"/>
            <w:hideMark/>
          </w:tcPr>
          <w:p w14:paraId="421DE861" w14:textId="77777777" w:rsidR="00572A85" w:rsidRPr="002E0607" w:rsidRDefault="00572A85" w:rsidP="002E0607">
            <w:pPr>
              <w:pStyle w:val="NoSpacing"/>
              <w:jc w:val="center"/>
              <w:rPr>
                <w:rFonts w:ascii="Times New Roman" w:hAnsi="Times New Roman" w:cs="Times New Roman"/>
                <w:sz w:val="19"/>
                <w:szCs w:val="19"/>
              </w:rPr>
            </w:pPr>
            <w:r w:rsidRPr="002E0607">
              <w:rPr>
                <w:rFonts w:ascii="Times New Roman" w:hAnsi="Times New Roman" w:cs="Times New Roman"/>
                <w:sz w:val="19"/>
                <w:szCs w:val="19"/>
              </w:rPr>
              <w:t>4.51</w:t>
            </w:r>
          </w:p>
        </w:tc>
        <w:tc>
          <w:tcPr>
            <w:tcW w:w="0" w:type="auto"/>
            <w:vAlign w:val="center"/>
            <w:hideMark/>
          </w:tcPr>
          <w:p w14:paraId="1068B6EB" w14:textId="77777777" w:rsidR="00572A85" w:rsidRPr="002E0607" w:rsidRDefault="00572A85" w:rsidP="002E0607">
            <w:pPr>
              <w:pStyle w:val="NoSpacing"/>
              <w:jc w:val="center"/>
              <w:rPr>
                <w:rFonts w:ascii="Times New Roman" w:hAnsi="Times New Roman" w:cs="Times New Roman"/>
                <w:sz w:val="19"/>
                <w:szCs w:val="19"/>
              </w:rPr>
            </w:pPr>
            <w:r w:rsidRPr="002E0607">
              <w:rPr>
                <w:rFonts w:ascii="Times New Roman" w:hAnsi="Times New Roman" w:cs="Times New Roman"/>
                <w:sz w:val="19"/>
                <w:szCs w:val="19"/>
              </w:rPr>
              <w:t>4.11</w:t>
            </w:r>
          </w:p>
        </w:tc>
        <w:tc>
          <w:tcPr>
            <w:tcW w:w="0" w:type="auto"/>
            <w:vAlign w:val="center"/>
            <w:hideMark/>
          </w:tcPr>
          <w:p w14:paraId="1C3E1B82" w14:textId="77777777" w:rsidR="00572A85" w:rsidRPr="002E0607" w:rsidRDefault="00572A85" w:rsidP="002E0607">
            <w:pPr>
              <w:pStyle w:val="NoSpacing"/>
              <w:jc w:val="center"/>
              <w:rPr>
                <w:rFonts w:ascii="Times New Roman" w:hAnsi="Times New Roman" w:cs="Times New Roman"/>
                <w:sz w:val="19"/>
                <w:szCs w:val="19"/>
              </w:rPr>
            </w:pPr>
            <w:r w:rsidRPr="002E0607">
              <w:rPr>
                <w:rFonts w:ascii="Times New Roman" w:hAnsi="Times New Roman" w:cs="Times New Roman"/>
                <w:sz w:val="19"/>
                <w:szCs w:val="19"/>
              </w:rPr>
              <w:t>0.33</w:t>
            </w:r>
          </w:p>
        </w:tc>
        <w:tc>
          <w:tcPr>
            <w:tcW w:w="0" w:type="auto"/>
            <w:vAlign w:val="center"/>
            <w:hideMark/>
          </w:tcPr>
          <w:p w14:paraId="15B1FE4E" w14:textId="77777777" w:rsidR="00572A85" w:rsidRPr="002E0607" w:rsidRDefault="00572A85" w:rsidP="002E0607">
            <w:pPr>
              <w:pStyle w:val="NoSpacing"/>
              <w:jc w:val="center"/>
              <w:rPr>
                <w:rFonts w:ascii="Times New Roman" w:hAnsi="Times New Roman" w:cs="Times New Roman"/>
                <w:sz w:val="19"/>
                <w:szCs w:val="19"/>
              </w:rPr>
            </w:pPr>
            <w:r w:rsidRPr="002E0607">
              <w:rPr>
                <w:rFonts w:ascii="Times New Roman" w:hAnsi="Times New Roman" w:cs="Times New Roman"/>
                <w:sz w:val="19"/>
                <w:szCs w:val="19"/>
              </w:rPr>
              <w:t>4.44</w:t>
            </w:r>
          </w:p>
        </w:tc>
        <w:tc>
          <w:tcPr>
            <w:tcW w:w="0" w:type="auto"/>
            <w:vAlign w:val="center"/>
            <w:hideMark/>
          </w:tcPr>
          <w:p w14:paraId="6875B307" w14:textId="77777777" w:rsidR="00572A85" w:rsidRPr="002E0607" w:rsidRDefault="00572A85" w:rsidP="002E0607">
            <w:pPr>
              <w:pStyle w:val="NoSpacing"/>
              <w:jc w:val="center"/>
              <w:rPr>
                <w:rFonts w:ascii="Times New Roman" w:hAnsi="Times New Roman" w:cs="Times New Roman"/>
                <w:sz w:val="19"/>
                <w:szCs w:val="19"/>
              </w:rPr>
            </w:pPr>
            <w:r w:rsidRPr="002E0607">
              <w:rPr>
                <w:rFonts w:ascii="Times New Roman" w:hAnsi="Times New Roman" w:cs="Times New Roman"/>
                <w:sz w:val="19"/>
                <w:szCs w:val="19"/>
              </w:rPr>
              <w:t>4.16</w:t>
            </w:r>
          </w:p>
        </w:tc>
        <w:tc>
          <w:tcPr>
            <w:tcW w:w="0" w:type="auto"/>
            <w:vAlign w:val="center"/>
            <w:hideMark/>
          </w:tcPr>
          <w:p w14:paraId="0661F255" w14:textId="77777777" w:rsidR="00572A85" w:rsidRPr="002E0607" w:rsidRDefault="00572A85" w:rsidP="002E0607">
            <w:pPr>
              <w:pStyle w:val="NoSpacing"/>
              <w:jc w:val="center"/>
              <w:rPr>
                <w:rFonts w:ascii="Times New Roman" w:hAnsi="Times New Roman" w:cs="Times New Roman"/>
                <w:sz w:val="19"/>
                <w:szCs w:val="19"/>
              </w:rPr>
            </w:pPr>
            <w:r w:rsidRPr="002E0607">
              <w:rPr>
                <w:rFonts w:ascii="Times New Roman" w:hAnsi="Times New Roman" w:cs="Times New Roman"/>
                <w:sz w:val="19"/>
                <w:szCs w:val="19"/>
              </w:rPr>
              <w:t>0.42</w:t>
            </w:r>
          </w:p>
        </w:tc>
        <w:tc>
          <w:tcPr>
            <w:tcW w:w="0" w:type="auto"/>
            <w:vAlign w:val="center"/>
            <w:hideMark/>
          </w:tcPr>
          <w:p w14:paraId="769A51BC" w14:textId="77777777" w:rsidR="00572A85" w:rsidRPr="002E0607" w:rsidRDefault="00572A85" w:rsidP="002E0607">
            <w:pPr>
              <w:pStyle w:val="NoSpacing"/>
              <w:jc w:val="center"/>
              <w:rPr>
                <w:rFonts w:ascii="Times New Roman" w:hAnsi="Times New Roman" w:cs="Times New Roman"/>
                <w:sz w:val="19"/>
                <w:szCs w:val="19"/>
              </w:rPr>
            </w:pPr>
            <w:r w:rsidRPr="002E0607">
              <w:rPr>
                <w:rFonts w:ascii="Times New Roman" w:hAnsi="Times New Roman" w:cs="Times New Roman"/>
                <w:sz w:val="19"/>
                <w:szCs w:val="19"/>
              </w:rPr>
              <w:t>4.58</w:t>
            </w:r>
          </w:p>
        </w:tc>
        <w:tc>
          <w:tcPr>
            <w:tcW w:w="0" w:type="auto"/>
            <w:gridSpan w:val="3"/>
            <w:vMerge/>
            <w:vAlign w:val="center"/>
            <w:hideMark/>
          </w:tcPr>
          <w:p w14:paraId="7F83EFED" w14:textId="3D1F04F8" w:rsidR="00572A85" w:rsidRPr="002E0607" w:rsidRDefault="00572A85" w:rsidP="002E0607">
            <w:pPr>
              <w:pStyle w:val="NoSpacing"/>
              <w:jc w:val="center"/>
              <w:rPr>
                <w:rFonts w:ascii="Times New Roman" w:hAnsi="Times New Roman" w:cs="Times New Roman"/>
                <w:sz w:val="19"/>
                <w:szCs w:val="19"/>
              </w:rPr>
            </w:pPr>
          </w:p>
        </w:tc>
        <w:tc>
          <w:tcPr>
            <w:tcW w:w="0" w:type="auto"/>
            <w:vAlign w:val="center"/>
            <w:hideMark/>
          </w:tcPr>
          <w:p w14:paraId="03985A73" w14:textId="77777777" w:rsidR="00572A85" w:rsidRPr="002E0607" w:rsidRDefault="00572A85" w:rsidP="002E0607">
            <w:pPr>
              <w:pStyle w:val="NoSpacing"/>
              <w:jc w:val="center"/>
              <w:rPr>
                <w:rFonts w:ascii="Times New Roman" w:hAnsi="Times New Roman" w:cs="Times New Roman"/>
                <w:sz w:val="19"/>
                <w:szCs w:val="19"/>
              </w:rPr>
            </w:pPr>
            <w:r w:rsidRPr="002E0607">
              <w:rPr>
                <w:rFonts w:ascii="Times New Roman" w:hAnsi="Times New Roman" w:cs="Times New Roman"/>
                <w:sz w:val="19"/>
                <w:szCs w:val="19"/>
              </w:rPr>
              <w:t>16.80</w:t>
            </w:r>
          </w:p>
        </w:tc>
        <w:tc>
          <w:tcPr>
            <w:tcW w:w="0" w:type="auto"/>
            <w:vAlign w:val="center"/>
            <w:hideMark/>
          </w:tcPr>
          <w:p w14:paraId="06D2B14B" w14:textId="77777777" w:rsidR="00572A85" w:rsidRPr="002E0607" w:rsidRDefault="00572A85" w:rsidP="002E0607">
            <w:pPr>
              <w:pStyle w:val="NoSpacing"/>
              <w:jc w:val="center"/>
              <w:rPr>
                <w:rFonts w:ascii="Times New Roman" w:hAnsi="Times New Roman" w:cs="Times New Roman"/>
                <w:sz w:val="19"/>
                <w:szCs w:val="19"/>
              </w:rPr>
            </w:pPr>
            <w:r w:rsidRPr="002E0607">
              <w:rPr>
                <w:rFonts w:ascii="Times New Roman" w:hAnsi="Times New Roman" w:cs="Times New Roman"/>
                <w:sz w:val="19"/>
                <w:szCs w:val="19"/>
              </w:rPr>
              <w:t>1.00</w:t>
            </w:r>
          </w:p>
        </w:tc>
        <w:tc>
          <w:tcPr>
            <w:tcW w:w="0" w:type="auto"/>
            <w:vAlign w:val="center"/>
            <w:hideMark/>
          </w:tcPr>
          <w:p w14:paraId="5BE8309C" w14:textId="77777777" w:rsidR="00572A85" w:rsidRPr="002E0607" w:rsidRDefault="00572A85" w:rsidP="002E0607">
            <w:pPr>
              <w:pStyle w:val="NoSpacing"/>
              <w:jc w:val="center"/>
              <w:rPr>
                <w:rFonts w:ascii="Times New Roman" w:hAnsi="Times New Roman" w:cs="Times New Roman"/>
                <w:sz w:val="19"/>
                <w:szCs w:val="19"/>
              </w:rPr>
            </w:pPr>
            <w:r w:rsidRPr="002E0607">
              <w:rPr>
                <w:rFonts w:ascii="Times New Roman" w:hAnsi="Times New Roman" w:cs="Times New Roman"/>
                <w:sz w:val="19"/>
                <w:szCs w:val="19"/>
              </w:rPr>
              <w:t>17.80</w:t>
            </w:r>
          </w:p>
        </w:tc>
      </w:tr>
      <w:tr w:rsidR="00572A85" w:rsidRPr="002E0607" w14:paraId="50D1ECDE" w14:textId="77777777" w:rsidTr="002E0607">
        <w:trPr>
          <w:trHeight w:val="157"/>
        </w:trPr>
        <w:tc>
          <w:tcPr>
            <w:tcW w:w="1926" w:type="dxa"/>
            <w:vAlign w:val="center"/>
            <w:hideMark/>
          </w:tcPr>
          <w:p w14:paraId="3CA33543" w14:textId="77777777" w:rsidR="00572A85" w:rsidRPr="002E0607" w:rsidRDefault="00572A85" w:rsidP="002E0607">
            <w:pPr>
              <w:pStyle w:val="NoSpacing"/>
              <w:rPr>
                <w:rFonts w:ascii="Times New Roman" w:hAnsi="Times New Roman" w:cs="Times New Roman"/>
                <w:sz w:val="19"/>
                <w:szCs w:val="19"/>
              </w:rPr>
            </w:pPr>
            <w:r w:rsidRPr="002E0607">
              <w:rPr>
                <w:rFonts w:ascii="Times New Roman" w:hAnsi="Times New Roman" w:cs="Times New Roman"/>
                <w:sz w:val="19"/>
                <w:szCs w:val="19"/>
              </w:rPr>
              <w:t>Madras</w:t>
            </w:r>
          </w:p>
        </w:tc>
        <w:tc>
          <w:tcPr>
            <w:tcW w:w="0" w:type="auto"/>
            <w:vAlign w:val="center"/>
            <w:hideMark/>
          </w:tcPr>
          <w:p w14:paraId="5C3F24E1" w14:textId="77777777" w:rsidR="00572A85" w:rsidRPr="002E0607" w:rsidRDefault="00572A85" w:rsidP="002E0607">
            <w:pPr>
              <w:pStyle w:val="NoSpacing"/>
              <w:jc w:val="center"/>
              <w:rPr>
                <w:rFonts w:ascii="Times New Roman" w:hAnsi="Times New Roman" w:cs="Times New Roman"/>
                <w:sz w:val="19"/>
                <w:szCs w:val="19"/>
              </w:rPr>
            </w:pPr>
            <w:r w:rsidRPr="002E0607">
              <w:rPr>
                <w:rFonts w:ascii="Times New Roman" w:hAnsi="Times New Roman" w:cs="Times New Roman"/>
                <w:sz w:val="19"/>
                <w:szCs w:val="19"/>
              </w:rPr>
              <w:t>12.31</w:t>
            </w:r>
          </w:p>
        </w:tc>
        <w:tc>
          <w:tcPr>
            <w:tcW w:w="0" w:type="auto"/>
            <w:vAlign w:val="center"/>
            <w:hideMark/>
          </w:tcPr>
          <w:p w14:paraId="7D76A7E6" w14:textId="77777777" w:rsidR="00572A85" w:rsidRPr="002E0607" w:rsidRDefault="00572A85" w:rsidP="002E0607">
            <w:pPr>
              <w:pStyle w:val="NoSpacing"/>
              <w:jc w:val="center"/>
              <w:rPr>
                <w:rFonts w:ascii="Times New Roman" w:hAnsi="Times New Roman" w:cs="Times New Roman"/>
                <w:sz w:val="19"/>
                <w:szCs w:val="19"/>
              </w:rPr>
            </w:pPr>
            <w:r w:rsidRPr="002E0607">
              <w:rPr>
                <w:rFonts w:ascii="Times New Roman" w:hAnsi="Times New Roman" w:cs="Times New Roman"/>
                <w:sz w:val="19"/>
                <w:szCs w:val="19"/>
              </w:rPr>
              <w:t>..</w:t>
            </w:r>
          </w:p>
        </w:tc>
        <w:tc>
          <w:tcPr>
            <w:tcW w:w="0" w:type="auto"/>
            <w:vAlign w:val="center"/>
            <w:hideMark/>
          </w:tcPr>
          <w:p w14:paraId="4C140C6E" w14:textId="77777777" w:rsidR="00572A85" w:rsidRPr="002E0607" w:rsidRDefault="00572A85" w:rsidP="002E0607">
            <w:pPr>
              <w:pStyle w:val="NoSpacing"/>
              <w:jc w:val="center"/>
              <w:rPr>
                <w:rFonts w:ascii="Times New Roman" w:hAnsi="Times New Roman" w:cs="Times New Roman"/>
                <w:sz w:val="19"/>
                <w:szCs w:val="19"/>
              </w:rPr>
            </w:pPr>
            <w:r w:rsidRPr="002E0607">
              <w:rPr>
                <w:rFonts w:ascii="Times New Roman" w:hAnsi="Times New Roman" w:cs="Times New Roman"/>
                <w:sz w:val="19"/>
                <w:szCs w:val="19"/>
              </w:rPr>
              <w:t>12.31</w:t>
            </w:r>
          </w:p>
        </w:tc>
        <w:tc>
          <w:tcPr>
            <w:tcW w:w="0" w:type="auto"/>
            <w:vAlign w:val="center"/>
            <w:hideMark/>
          </w:tcPr>
          <w:p w14:paraId="382DA4C3" w14:textId="77777777" w:rsidR="00572A85" w:rsidRPr="002E0607" w:rsidRDefault="00572A85" w:rsidP="002E0607">
            <w:pPr>
              <w:pStyle w:val="NoSpacing"/>
              <w:jc w:val="center"/>
              <w:rPr>
                <w:rFonts w:ascii="Times New Roman" w:hAnsi="Times New Roman" w:cs="Times New Roman"/>
                <w:sz w:val="19"/>
                <w:szCs w:val="19"/>
              </w:rPr>
            </w:pPr>
            <w:r w:rsidRPr="002E0607">
              <w:rPr>
                <w:rFonts w:ascii="Times New Roman" w:hAnsi="Times New Roman" w:cs="Times New Roman"/>
                <w:sz w:val="19"/>
                <w:szCs w:val="19"/>
              </w:rPr>
              <w:t>3.88</w:t>
            </w:r>
          </w:p>
        </w:tc>
        <w:tc>
          <w:tcPr>
            <w:tcW w:w="0" w:type="auto"/>
            <w:vAlign w:val="center"/>
            <w:hideMark/>
          </w:tcPr>
          <w:p w14:paraId="4A16ADA6" w14:textId="77777777" w:rsidR="00572A85" w:rsidRPr="002E0607" w:rsidRDefault="00572A85" w:rsidP="002E0607">
            <w:pPr>
              <w:pStyle w:val="NoSpacing"/>
              <w:jc w:val="center"/>
              <w:rPr>
                <w:rFonts w:ascii="Times New Roman" w:hAnsi="Times New Roman" w:cs="Times New Roman"/>
                <w:sz w:val="19"/>
                <w:szCs w:val="19"/>
              </w:rPr>
            </w:pPr>
            <w:r w:rsidRPr="002E0607">
              <w:rPr>
                <w:rFonts w:ascii="Times New Roman" w:hAnsi="Times New Roman" w:cs="Times New Roman"/>
                <w:sz w:val="19"/>
                <w:szCs w:val="19"/>
              </w:rPr>
              <w:t>..</w:t>
            </w:r>
          </w:p>
        </w:tc>
        <w:tc>
          <w:tcPr>
            <w:tcW w:w="0" w:type="auto"/>
            <w:vAlign w:val="center"/>
            <w:hideMark/>
          </w:tcPr>
          <w:p w14:paraId="631086DB" w14:textId="77777777" w:rsidR="00572A85" w:rsidRPr="002E0607" w:rsidRDefault="00572A85" w:rsidP="002E0607">
            <w:pPr>
              <w:pStyle w:val="NoSpacing"/>
              <w:jc w:val="center"/>
              <w:rPr>
                <w:rFonts w:ascii="Times New Roman" w:hAnsi="Times New Roman" w:cs="Times New Roman"/>
                <w:sz w:val="19"/>
                <w:szCs w:val="19"/>
              </w:rPr>
            </w:pPr>
            <w:r w:rsidRPr="002E0607">
              <w:rPr>
                <w:rFonts w:ascii="Times New Roman" w:hAnsi="Times New Roman" w:cs="Times New Roman"/>
                <w:sz w:val="19"/>
                <w:szCs w:val="19"/>
              </w:rPr>
              <w:t>3.88</w:t>
            </w:r>
          </w:p>
        </w:tc>
        <w:tc>
          <w:tcPr>
            <w:tcW w:w="0" w:type="auto"/>
            <w:vAlign w:val="center"/>
            <w:hideMark/>
          </w:tcPr>
          <w:p w14:paraId="0C125954" w14:textId="77777777" w:rsidR="00572A85" w:rsidRPr="002E0607" w:rsidRDefault="00572A85" w:rsidP="002E0607">
            <w:pPr>
              <w:pStyle w:val="NoSpacing"/>
              <w:jc w:val="center"/>
              <w:rPr>
                <w:rFonts w:ascii="Times New Roman" w:hAnsi="Times New Roman" w:cs="Times New Roman"/>
                <w:sz w:val="19"/>
                <w:szCs w:val="19"/>
              </w:rPr>
            </w:pPr>
            <w:r w:rsidRPr="002E0607">
              <w:rPr>
                <w:rFonts w:ascii="Times New Roman" w:hAnsi="Times New Roman" w:cs="Times New Roman"/>
                <w:sz w:val="19"/>
                <w:szCs w:val="19"/>
              </w:rPr>
              <w:t>7.34</w:t>
            </w:r>
          </w:p>
        </w:tc>
        <w:tc>
          <w:tcPr>
            <w:tcW w:w="0" w:type="auto"/>
            <w:vAlign w:val="center"/>
            <w:hideMark/>
          </w:tcPr>
          <w:p w14:paraId="36F98FDB" w14:textId="77777777" w:rsidR="00572A85" w:rsidRPr="002E0607" w:rsidRDefault="00572A85" w:rsidP="002E0607">
            <w:pPr>
              <w:pStyle w:val="NoSpacing"/>
              <w:jc w:val="center"/>
              <w:rPr>
                <w:rFonts w:ascii="Times New Roman" w:hAnsi="Times New Roman" w:cs="Times New Roman"/>
                <w:sz w:val="19"/>
                <w:szCs w:val="19"/>
              </w:rPr>
            </w:pPr>
            <w:r w:rsidRPr="002E0607">
              <w:rPr>
                <w:rFonts w:ascii="Times New Roman" w:hAnsi="Times New Roman" w:cs="Times New Roman"/>
                <w:sz w:val="19"/>
                <w:szCs w:val="19"/>
              </w:rPr>
              <w:t>..</w:t>
            </w:r>
          </w:p>
        </w:tc>
        <w:tc>
          <w:tcPr>
            <w:tcW w:w="0" w:type="auto"/>
            <w:vAlign w:val="center"/>
            <w:hideMark/>
          </w:tcPr>
          <w:p w14:paraId="1F10A212" w14:textId="77777777" w:rsidR="00572A85" w:rsidRPr="002E0607" w:rsidRDefault="00572A85" w:rsidP="002E0607">
            <w:pPr>
              <w:pStyle w:val="NoSpacing"/>
              <w:jc w:val="center"/>
              <w:rPr>
                <w:rFonts w:ascii="Times New Roman" w:hAnsi="Times New Roman" w:cs="Times New Roman"/>
                <w:sz w:val="19"/>
                <w:szCs w:val="19"/>
              </w:rPr>
            </w:pPr>
            <w:r w:rsidRPr="002E0607">
              <w:rPr>
                <w:rFonts w:ascii="Times New Roman" w:hAnsi="Times New Roman" w:cs="Times New Roman"/>
                <w:sz w:val="19"/>
                <w:szCs w:val="19"/>
              </w:rPr>
              <w:t>7.34</w:t>
            </w:r>
          </w:p>
        </w:tc>
        <w:tc>
          <w:tcPr>
            <w:tcW w:w="0" w:type="auto"/>
            <w:vAlign w:val="center"/>
            <w:hideMark/>
          </w:tcPr>
          <w:p w14:paraId="5C265A63" w14:textId="77777777" w:rsidR="00572A85" w:rsidRPr="002E0607" w:rsidRDefault="00572A85" w:rsidP="002E0607">
            <w:pPr>
              <w:pStyle w:val="NoSpacing"/>
              <w:jc w:val="center"/>
              <w:rPr>
                <w:rFonts w:ascii="Times New Roman" w:hAnsi="Times New Roman" w:cs="Times New Roman"/>
                <w:sz w:val="19"/>
                <w:szCs w:val="19"/>
              </w:rPr>
            </w:pPr>
            <w:r w:rsidRPr="002E0607">
              <w:rPr>
                <w:rFonts w:ascii="Times New Roman" w:hAnsi="Times New Roman" w:cs="Times New Roman"/>
                <w:sz w:val="19"/>
                <w:szCs w:val="19"/>
              </w:rPr>
              <w:t>7.43</w:t>
            </w:r>
          </w:p>
        </w:tc>
        <w:tc>
          <w:tcPr>
            <w:tcW w:w="0" w:type="auto"/>
            <w:vAlign w:val="center"/>
            <w:hideMark/>
          </w:tcPr>
          <w:p w14:paraId="46667D9A" w14:textId="77777777" w:rsidR="00572A85" w:rsidRPr="002E0607" w:rsidRDefault="00572A85" w:rsidP="002E0607">
            <w:pPr>
              <w:pStyle w:val="NoSpacing"/>
              <w:jc w:val="center"/>
              <w:rPr>
                <w:rFonts w:ascii="Times New Roman" w:hAnsi="Times New Roman" w:cs="Times New Roman"/>
                <w:sz w:val="19"/>
                <w:szCs w:val="19"/>
              </w:rPr>
            </w:pPr>
            <w:r w:rsidRPr="002E0607">
              <w:rPr>
                <w:rFonts w:ascii="Times New Roman" w:hAnsi="Times New Roman" w:cs="Times New Roman"/>
                <w:sz w:val="19"/>
                <w:szCs w:val="19"/>
              </w:rPr>
              <w:t>..</w:t>
            </w:r>
          </w:p>
        </w:tc>
        <w:tc>
          <w:tcPr>
            <w:tcW w:w="0" w:type="auto"/>
            <w:vAlign w:val="center"/>
            <w:hideMark/>
          </w:tcPr>
          <w:p w14:paraId="64ED5D87" w14:textId="77777777" w:rsidR="00572A85" w:rsidRPr="002E0607" w:rsidRDefault="00572A85" w:rsidP="002E0607">
            <w:pPr>
              <w:pStyle w:val="NoSpacing"/>
              <w:jc w:val="center"/>
              <w:rPr>
                <w:rFonts w:ascii="Times New Roman" w:hAnsi="Times New Roman" w:cs="Times New Roman"/>
                <w:sz w:val="19"/>
                <w:szCs w:val="19"/>
              </w:rPr>
            </w:pPr>
            <w:r w:rsidRPr="002E0607">
              <w:rPr>
                <w:rFonts w:ascii="Times New Roman" w:hAnsi="Times New Roman" w:cs="Times New Roman"/>
                <w:sz w:val="19"/>
                <w:szCs w:val="19"/>
              </w:rPr>
              <w:t>7.43</w:t>
            </w:r>
          </w:p>
        </w:tc>
        <w:tc>
          <w:tcPr>
            <w:tcW w:w="0" w:type="auto"/>
            <w:gridSpan w:val="3"/>
            <w:vMerge/>
            <w:vAlign w:val="center"/>
            <w:hideMark/>
          </w:tcPr>
          <w:p w14:paraId="571C27C6" w14:textId="658C4477" w:rsidR="00572A85" w:rsidRPr="002E0607" w:rsidRDefault="00572A85" w:rsidP="002E0607">
            <w:pPr>
              <w:pStyle w:val="NoSpacing"/>
              <w:jc w:val="center"/>
              <w:rPr>
                <w:rFonts w:ascii="Times New Roman" w:hAnsi="Times New Roman" w:cs="Times New Roman"/>
                <w:sz w:val="19"/>
                <w:szCs w:val="19"/>
              </w:rPr>
            </w:pPr>
          </w:p>
        </w:tc>
        <w:tc>
          <w:tcPr>
            <w:tcW w:w="0" w:type="auto"/>
            <w:vAlign w:val="center"/>
            <w:hideMark/>
          </w:tcPr>
          <w:p w14:paraId="6E2ECA77" w14:textId="77777777" w:rsidR="00572A85" w:rsidRPr="002E0607" w:rsidRDefault="00572A85" w:rsidP="002E0607">
            <w:pPr>
              <w:pStyle w:val="NoSpacing"/>
              <w:jc w:val="center"/>
              <w:rPr>
                <w:rFonts w:ascii="Times New Roman" w:hAnsi="Times New Roman" w:cs="Times New Roman"/>
                <w:sz w:val="19"/>
                <w:szCs w:val="19"/>
              </w:rPr>
            </w:pPr>
            <w:r w:rsidRPr="002E0607">
              <w:rPr>
                <w:rFonts w:ascii="Times New Roman" w:hAnsi="Times New Roman" w:cs="Times New Roman"/>
                <w:sz w:val="19"/>
                <w:szCs w:val="19"/>
              </w:rPr>
              <w:t>30.96</w:t>
            </w:r>
          </w:p>
        </w:tc>
        <w:tc>
          <w:tcPr>
            <w:tcW w:w="0" w:type="auto"/>
            <w:vAlign w:val="center"/>
            <w:hideMark/>
          </w:tcPr>
          <w:p w14:paraId="141A3AE2" w14:textId="77777777" w:rsidR="00572A85" w:rsidRPr="002E0607" w:rsidRDefault="00572A85" w:rsidP="002E0607">
            <w:pPr>
              <w:pStyle w:val="NoSpacing"/>
              <w:jc w:val="center"/>
              <w:rPr>
                <w:rFonts w:ascii="Times New Roman" w:hAnsi="Times New Roman" w:cs="Times New Roman"/>
                <w:sz w:val="19"/>
                <w:szCs w:val="19"/>
              </w:rPr>
            </w:pPr>
            <w:r w:rsidRPr="002E0607">
              <w:rPr>
                <w:rFonts w:ascii="Times New Roman" w:hAnsi="Times New Roman" w:cs="Times New Roman"/>
                <w:sz w:val="19"/>
                <w:szCs w:val="19"/>
              </w:rPr>
              <w:t>..</w:t>
            </w:r>
          </w:p>
        </w:tc>
        <w:tc>
          <w:tcPr>
            <w:tcW w:w="0" w:type="auto"/>
            <w:vAlign w:val="center"/>
            <w:hideMark/>
          </w:tcPr>
          <w:p w14:paraId="4D51A91F" w14:textId="77777777" w:rsidR="00572A85" w:rsidRPr="002E0607" w:rsidRDefault="00572A85" w:rsidP="002E0607">
            <w:pPr>
              <w:pStyle w:val="NoSpacing"/>
              <w:jc w:val="center"/>
              <w:rPr>
                <w:rFonts w:ascii="Times New Roman" w:hAnsi="Times New Roman" w:cs="Times New Roman"/>
                <w:sz w:val="19"/>
                <w:szCs w:val="19"/>
              </w:rPr>
            </w:pPr>
            <w:r w:rsidRPr="002E0607">
              <w:rPr>
                <w:rFonts w:ascii="Times New Roman" w:hAnsi="Times New Roman" w:cs="Times New Roman"/>
                <w:sz w:val="19"/>
                <w:szCs w:val="19"/>
              </w:rPr>
              <w:t>30.96</w:t>
            </w:r>
          </w:p>
        </w:tc>
      </w:tr>
      <w:tr w:rsidR="00572A85" w:rsidRPr="002E0607" w14:paraId="2C39D14E" w14:textId="77777777" w:rsidTr="002E0607">
        <w:trPr>
          <w:trHeight w:val="157"/>
        </w:trPr>
        <w:tc>
          <w:tcPr>
            <w:tcW w:w="1926" w:type="dxa"/>
            <w:vAlign w:val="center"/>
            <w:hideMark/>
          </w:tcPr>
          <w:p w14:paraId="2078DBFD" w14:textId="77777777" w:rsidR="00572A85" w:rsidRPr="002E0607" w:rsidRDefault="00572A85" w:rsidP="002E0607">
            <w:pPr>
              <w:pStyle w:val="NoSpacing"/>
              <w:rPr>
                <w:rFonts w:ascii="Times New Roman" w:hAnsi="Times New Roman" w:cs="Times New Roman"/>
                <w:sz w:val="19"/>
                <w:szCs w:val="19"/>
              </w:rPr>
            </w:pPr>
            <w:r w:rsidRPr="002E0607">
              <w:rPr>
                <w:rFonts w:ascii="Times New Roman" w:hAnsi="Times New Roman" w:cs="Times New Roman"/>
                <w:sz w:val="19"/>
                <w:szCs w:val="19"/>
              </w:rPr>
              <w:t>Mysore</w:t>
            </w:r>
          </w:p>
        </w:tc>
        <w:tc>
          <w:tcPr>
            <w:tcW w:w="0" w:type="auto"/>
            <w:vAlign w:val="center"/>
            <w:hideMark/>
          </w:tcPr>
          <w:p w14:paraId="579C3C7F" w14:textId="77777777" w:rsidR="00572A85" w:rsidRPr="002E0607" w:rsidRDefault="00572A85" w:rsidP="002E0607">
            <w:pPr>
              <w:pStyle w:val="NoSpacing"/>
              <w:jc w:val="center"/>
              <w:rPr>
                <w:rFonts w:ascii="Times New Roman" w:hAnsi="Times New Roman" w:cs="Times New Roman"/>
                <w:sz w:val="19"/>
                <w:szCs w:val="19"/>
              </w:rPr>
            </w:pPr>
            <w:r w:rsidRPr="002E0607">
              <w:rPr>
                <w:rFonts w:ascii="Times New Roman" w:hAnsi="Times New Roman" w:cs="Times New Roman"/>
                <w:sz w:val="19"/>
                <w:szCs w:val="19"/>
              </w:rPr>
              <w:t>..</w:t>
            </w:r>
          </w:p>
        </w:tc>
        <w:tc>
          <w:tcPr>
            <w:tcW w:w="0" w:type="auto"/>
            <w:vAlign w:val="center"/>
            <w:hideMark/>
          </w:tcPr>
          <w:p w14:paraId="1FC9A7D5" w14:textId="77777777" w:rsidR="00572A85" w:rsidRPr="002E0607" w:rsidRDefault="00572A85" w:rsidP="002E0607">
            <w:pPr>
              <w:pStyle w:val="NoSpacing"/>
              <w:jc w:val="center"/>
              <w:rPr>
                <w:rFonts w:ascii="Times New Roman" w:hAnsi="Times New Roman" w:cs="Times New Roman"/>
                <w:sz w:val="19"/>
                <w:szCs w:val="19"/>
              </w:rPr>
            </w:pPr>
            <w:r w:rsidRPr="002E0607">
              <w:rPr>
                <w:rFonts w:ascii="Times New Roman" w:hAnsi="Times New Roman" w:cs="Times New Roman"/>
                <w:sz w:val="19"/>
                <w:szCs w:val="19"/>
              </w:rPr>
              <w:t>0.40</w:t>
            </w:r>
          </w:p>
        </w:tc>
        <w:tc>
          <w:tcPr>
            <w:tcW w:w="0" w:type="auto"/>
            <w:vAlign w:val="center"/>
            <w:hideMark/>
          </w:tcPr>
          <w:p w14:paraId="16386C1A" w14:textId="77777777" w:rsidR="00572A85" w:rsidRPr="002E0607" w:rsidRDefault="00572A85" w:rsidP="002E0607">
            <w:pPr>
              <w:pStyle w:val="NoSpacing"/>
              <w:jc w:val="center"/>
              <w:rPr>
                <w:rFonts w:ascii="Times New Roman" w:hAnsi="Times New Roman" w:cs="Times New Roman"/>
                <w:sz w:val="19"/>
                <w:szCs w:val="19"/>
              </w:rPr>
            </w:pPr>
            <w:r w:rsidRPr="002E0607">
              <w:rPr>
                <w:rFonts w:ascii="Times New Roman" w:hAnsi="Times New Roman" w:cs="Times New Roman"/>
                <w:sz w:val="19"/>
                <w:szCs w:val="19"/>
              </w:rPr>
              <w:t>0.40</w:t>
            </w:r>
          </w:p>
        </w:tc>
        <w:tc>
          <w:tcPr>
            <w:tcW w:w="0" w:type="auto"/>
            <w:vAlign w:val="center"/>
            <w:hideMark/>
          </w:tcPr>
          <w:p w14:paraId="0D97CD22" w14:textId="77777777" w:rsidR="00572A85" w:rsidRPr="002E0607" w:rsidRDefault="00572A85" w:rsidP="002E0607">
            <w:pPr>
              <w:pStyle w:val="NoSpacing"/>
              <w:jc w:val="center"/>
              <w:rPr>
                <w:rFonts w:ascii="Times New Roman" w:hAnsi="Times New Roman" w:cs="Times New Roman"/>
                <w:sz w:val="19"/>
                <w:szCs w:val="19"/>
              </w:rPr>
            </w:pPr>
            <w:r w:rsidRPr="002E0607">
              <w:rPr>
                <w:rFonts w:ascii="Times New Roman" w:hAnsi="Times New Roman" w:cs="Times New Roman"/>
                <w:sz w:val="19"/>
                <w:szCs w:val="19"/>
              </w:rPr>
              <w:t>0.09</w:t>
            </w:r>
          </w:p>
        </w:tc>
        <w:tc>
          <w:tcPr>
            <w:tcW w:w="0" w:type="auto"/>
            <w:vAlign w:val="center"/>
            <w:hideMark/>
          </w:tcPr>
          <w:p w14:paraId="13A540DC" w14:textId="77777777" w:rsidR="00572A85" w:rsidRPr="002E0607" w:rsidRDefault="00572A85" w:rsidP="002E0607">
            <w:pPr>
              <w:pStyle w:val="NoSpacing"/>
              <w:jc w:val="center"/>
              <w:rPr>
                <w:rFonts w:ascii="Times New Roman" w:hAnsi="Times New Roman" w:cs="Times New Roman"/>
                <w:sz w:val="19"/>
                <w:szCs w:val="19"/>
              </w:rPr>
            </w:pPr>
            <w:r w:rsidRPr="002E0607">
              <w:rPr>
                <w:rFonts w:ascii="Times New Roman" w:hAnsi="Times New Roman" w:cs="Times New Roman"/>
                <w:sz w:val="19"/>
                <w:szCs w:val="19"/>
              </w:rPr>
              <w:t>0.40</w:t>
            </w:r>
          </w:p>
        </w:tc>
        <w:tc>
          <w:tcPr>
            <w:tcW w:w="0" w:type="auto"/>
            <w:vAlign w:val="center"/>
            <w:hideMark/>
          </w:tcPr>
          <w:p w14:paraId="45B5F18B" w14:textId="77777777" w:rsidR="00572A85" w:rsidRPr="002E0607" w:rsidRDefault="00572A85" w:rsidP="002E0607">
            <w:pPr>
              <w:pStyle w:val="NoSpacing"/>
              <w:jc w:val="center"/>
              <w:rPr>
                <w:rFonts w:ascii="Times New Roman" w:hAnsi="Times New Roman" w:cs="Times New Roman"/>
                <w:sz w:val="19"/>
                <w:szCs w:val="19"/>
              </w:rPr>
            </w:pPr>
            <w:r w:rsidRPr="002E0607">
              <w:rPr>
                <w:rFonts w:ascii="Times New Roman" w:hAnsi="Times New Roman" w:cs="Times New Roman"/>
                <w:sz w:val="19"/>
                <w:szCs w:val="19"/>
              </w:rPr>
              <w:t>0.49</w:t>
            </w:r>
          </w:p>
        </w:tc>
        <w:tc>
          <w:tcPr>
            <w:tcW w:w="0" w:type="auto"/>
            <w:vAlign w:val="center"/>
            <w:hideMark/>
          </w:tcPr>
          <w:p w14:paraId="70002F1F" w14:textId="77777777" w:rsidR="00572A85" w:rsidRPr="002E0607" w:rsidRDefault="00572A85" w:rsidP="002E0607">
            <w:pPr>
              <w:pStyle w:val="NoSpacing"/>
              <w:jc w:val="center"/>
              <w:rPr>
                <w:rFonts w:ascii="Times New Roman" w:hAnsi="Times New Roman" w:cs="Times New Roman"/>
                <w:sz w:val="19"/>
                <w:szCs w:val="19"/>
              </w:rPr>
            </w:pPr>
            <w:r w:rsidRPr="002E0607">
              <w:rPr>
                <w:rFonts w:ascii="Times New Roman" w:hAnsi="Times New Roman" w:cs="Times New Roman"/>
                <w:sz w:val="19"/>
                <w:szCs w:val="19"/>
              </w:rPr>
              <w:t>0.16</w:t>
            </w:r>
          </w:p>
        </w:tc>
        <w:tc>
          <w:tcPr>
            <w:tcW w:w="0" w:type="auto"/>
            <w:vAlign w:val="center"/>
            <w:hideMark/>
          </w:tcPr>
          <w:p w14:paraId="521C98FE" w14:textId="77777777" w:rsidR="00572A85" w:rsidRPr="002E0607" w:rsidRDefault="00572A85" w:rsidP="002E0607">
            <w:pPr>
              <w:pStyle w:val="NoSpacing"/>
              <w:jc w:val="center"/>
              <w:rPr>
                <w:rFonts w:ascii="Times New Roman" w:hAnsi="Times New Roman" w:cs="Times New Roman"/>
                <w:sz w:val="19"/>
                <w:szCs w:val="19"/>
              </w:rPr>
            </w:pPr>
            <w:r w:rsidRPr="002E0607">
              <w:rPr>
                <w:rFonts w:ascii="Times New Roman" w:hAnsi="Times New Roman" w:cs="Times New Roman"/>
                <w:sz w:val="19"/>
                <w:szCs w:val="19"/>
              </w:rPr>
              <w:t>0.40</w:t>
            </w:r>
          </w:p>
        </w:tc>
        <w:tc>
          <w:tcPr>
            <w:tcW w:w="0" w:type="auto"/>
            <w:vAlign w:val="center"/>
            <w:hideMark/>
          </w:tcPr>
          <w:p w14:paraId="2E26354C" w14:textId="77777777" w:rsidR="00572A85" w:rsidRPr="002E0607" w:rsidRDefault="00572A85" w:rsidP="002E0607">
            <w:pPr>
              <w:pStyle w:val="NoSpacing"/>
              <w:jc w:val="center"/>
              <w:rPr>
                <w:rFonts w:ascii="Times New Roman" w:hAnsi="Times New Roman" w:cs="Times New Roman"/>
                <w:sz w:val="19"/>
                <w:szCs w:val="19"/>
              </w:rPr>
            </w:pPr>
            <w:r w:rsidRPr="002E0607">
              <w:rPr>
                <w:rFonts w:ascii="Times New Roman" w:hAnsi="Times New Roman" w:cs="Times New Roman"/>
                <w:sz w:val="19"/>
                <w:szCs w:val="19"/>
              </w:rPr>
              <w:t>0.56</w:t>
            </w:r>
          </w:p>
        </w:tc>
        <w:tc>
          <w:tcPr>
            <w:tcW w:w="0" w:type="auto"/>
            <w:vAlign w:val="center"/>
            <w:hideMark/>
          </w:tcPr>
          <w:p w14:paraId="0AD7631A" w14:textId="77777777" w:rsidR="00572A85" w:rsidRPr="002E0607" w:rsidRDefault="00572A85" w:rsidP="002E0607">
            <w:pPr>
              <w:pStyle w:val="NoSpacing"/>
              <w:jc w:val="center"/>
              <w:rPr>
                <w:rFonts w:ascii="Times New Roman" w:hAnsi="Times New Roman" w:cs="Times New Roman"/>
                <w:sz w:val="19"/>
                <w:szCs w:val="19"/>
              </w:rPr>
            </w:pPr>
            <w:r w:rsidRPr="002E0607">
              <w:rPr>
                <w:rFonts w:ascii="Times New Roman" w:hAnsi="Times New Roman" w:cs="Times New Roman"/>
                <w:sz w:val="19"/>
                <w:szCs w:val="19"/>
              </w:rPr>
              <w:t>0.16</w:t>
            </w:r>
          </w:p>
        </w:tc>
        <w:tc>
          <w:tcPr>
            <w:tcW w:w="0" w:type="auto"/>
            <w:vAlign w:val="center"/>
            <w:hideMark/>
          </w:tcPr>
          <w:p w14:paraId="0401A2A8" w14:textId="77777777" w:rsidR="00572A85" w:rsidRPr="002E0607" w:rsidRDefault="00572A85" w:rsidP="002E0607">
            <w:pPr>
              <w:pStyle w:val="NoSpacing"/>
              <w:jc w:val="center"/>
              <w:rPr>
                <w:rFonts w:ascii="Times New Roman" w:hAnsi="Times New Roman" w:cs="Times New Roman"/>
                <w:sz w:val="19"/>
                <w:szCs w:val="19"/>
              </w:rPr>
            </w:pPr>
            <w:r w:rsidRPr="002E0607">
              <w:rPr>
                <w:rFonts w:ascii="Times New Roman" w:hAnsi="Times New Roman" w:cs="Times New Roman"/>
                <w:sz w:val="19"/>
                <w:szCs w:val="19"/>
              </w:rPr>
              <w:t>0.40</w:t>
            </w:r>
          </w:p>
        </w:tc>
        <w:tc>
          <w:tcPr>
            <w:tcW w:w="0" w:type="auto"/>
            <w:vAlign w:val="center"/>
            <w:hideMark/>
          </w:tcPr>
          <w:p w14:paraId="4DC9C213" w14:textId="77777777" w:rsidR="00572A85" w:rsidRPr="002E0607" w:rsidRDefault="00572A85" w:rsidP="002E0607">
            <w:pPr>
              <w:pStyle w:val="NoSpacing"/>
              <w:jc w:val="center"/>
              <w:rPr>
                <w:rFonts w:ascii="Times New Roman" w:hAnsi="Times New Roman" w:cs="Times New Roman"/>
                <w:sz w:val="19"/>
                <w:szCs w:val="19"/>
              </w:rPr>
            </w:pPr>
            <w:r w:rsidRPr="002E0607">
              <w:rPr>
                <w:rFonts w:ascii="Times New Roman" w:hAnsi="Times New Roman" w:cs="Times New Roman"/>
                <w:sz w:val="19"/>
                <w:szCs w:val="19"/>
              </w:rPr>
              <w:t>0.56</w:t>
            </w:r>
          </w:p>
        </w:tc>
        <w:tc>
          <w:tcPr>
            <w:tcW w:w="0" w:type="auto"/>
            <w:gridSpan w:val="3"/>
            <w:vMerge/>
            <w:vAlign w:val="center"/>
            <w:hideMark/>
          </w:tcPr>
          <w:p w14:paraId="1315149F" w14:textId="376E980A" w:rsidR="00572A85" w:rsidRPr="002E0607" w:rsidRDefault="00572A85" w:rsidP="002E0607">
            <w:pPr>
              <w:pStyle w:val="NoSpacing"/>
              <w:jc w:val="center"/>
              <w:rPr>
                <w:rFonts w:ascii="Times New Roman" w:hAnsi="Times New Roman" w:cs="Times New Roman"/>
                <w:sz w:val="19"/>
                <w:szCs w:val="19"/>
              </w:rPr>
            </w:pPr>
          </w:p>
        </w:tc>
        <w:tc>
          <w:tcPr>
            <w:tcW w:w="0" w:type="auto"/>
            <w:vAlign w:val="center"/>
            <w:hideMark/>
          </w:tcPr>
          <w:p w14:paraId="2AC4D91A" w14:textId="77777777" w:rsidR="00572A85" w:rsidRPr="002E0607" w:rsidRDefault="00572A85" w:rsidP="002E0607">
            <w:pPr>
              <w:pStyle w:val="NoSpacing"/>
              <w:jc w:val="center"/>
              <w:rPr>
                <w:rFonts w:ascii="Times New Roman" w:hAnsi="Times New Roman" w:cs="Times New Roman"/>
                <w:sz w:val="19"/>
                <w:szCs w:val="19"/>
              </w:rPr>
            </w:pPr>
            <w:r w:rsidRPr="002E0607">
              <w:rPr>
                <w:rFonts w:ascii="Times New Roman" w:hAnsi="Times New Roman" w:cs="Times New Roman"/>
                <w:sz w:val="19"/>
                <w:szCs w:val="19"/>
              </w:rPr>
              <w:t>0.41</w:t>
            </w:r>
          </w:p>
        </w:tc>
        <w:tc>
          <w:tcPr>
            <w:tcW w:w="0" w:type="auto"/>
            <w:vAlign w:val="center"/>
            <w:hideMark/>
          </w:tcPr>
          <w:p w14:paraId="5CC97CE8" w14:textId="77777777" w:rsidR="00572A85" w:rsidRPr="002E0607" w:rsidRDefault="00572A85" w:rsidP="002E0607">
            <w:pPr>
              <w:pStyle w:val="NoSpacing"/>
              <w:jc w:val="center"/>
              <w:rPr>
                <w:rFonts w:ascii="Times New Roman" w:hAnsi="Times New Roman" w:cs="Times New Roman"/>
                <w:sz w:val="19"/>
                <w:szCs w:val="19"/>
              </w:rPr>
            </w:pPr>
            <w:r w:rsidRPr="002E0607">
              <w:rPr>
                <w:rFonts w:ascii="Times New Roman" w:hAnsi="Times New Roman" w:cs="Times New Roman"/>
                <w:sz w:val="19"/>
                <w:szCs w:val="19"/>
              </w:rPr>
              <w:t>1.60</w:t>
            </w:r>
          </w:p>
        </w:tc>
        <w:tc>
          <w:tcPr>
            <w:tcW w:w="0" w:type="auto"/>
            <w:vAlign w:val="center"/>
            <w:hideMark/>
          </w:tcPr>
          <w:p w14:paraId="38C9AE8B" w14:textId="77777777" w:rsidR="00572A85" w:rsidRPr="002E0607" w:rsidRDefault="00572A85" w:rsidP="002E0607">
            <w:pPr>
              <w:pStyle w:val="NoSpacing"/>
              <w:jc w:val="center"/>
              <w:rPr>
                <w:rFonts w:ascii="Times New Roman" w:hAnsi="Times New Roman" w:cs="Times New Roman"/>
                <w:sz w:val="19"/>
                <w:szCs w:val="19"/>
              </w:rPr>
            </w:pPr>
            <w:r w:rsidRPr="002E0607">
              <w:rPr>
                <w:rFonts w:ascii="Times New Roman" w:hAnsi="Times New Roman" w:cs="Times New Roman"/>
                <w:sz w:val="19"/>
                <w:szCs w:val="19"/>
              </w:rPr>
              <w:t>2.01</w:t>
            </w:r>
          </w:p>
        </w:tc>
      </w:tr>
      <w:tr w:rsidR="00572A85" w:rsidRPr="002E0607" w14:paraId="0DC59AF1" w14:textId="77777777" w:rsidTr="002E0607">
        <w:trPr>
          <w:trHeight w:val="157"/>
        </w:trPr>
        <w:tc>
          <w:tcPr>
            <w:tcW w:w="1926" w:type="dxa"/>
            <w:vAlign w:val="center"/>
            <w:hideMark/>
          </w:tcPr>
          <w:p w14:paraId="411F69C3" w14:textId="77777777" w:rsidR="00572A85" w:rsidRPr="002E0607" w:rsidRDefault="00572A85" w:rsidP="002E0607">
            <w:pPr>
              <w:pStyle w:val="NoSpacing"/>
              <w:rPr>
                <w:rFonts w:ascii="Times New Roman" w:hAnsi="Times New Roman" w:cs="Times New Roman"/>
                <w:sz w:val="19"/>
                <w:szCs w:val="19"/>
              </w:rPr>
            </w:pPr>
            <w:r w:rsidRPr="002E0607">
              <w:rPr>
                <w:rFonts w:ascii="Times New Roman" w:hAnsi="Times New Roman" w:cs="Times New Roman"/>
                <w:sz w:val="19"/>
                <w:szCs w:val="19"/>
              </w:rPr>
              <w:t>Orissa</w:t>
            </w:r>
          </w:p>
        </w:tc>
        <w:tc>
          <w:tcPr>
            <w:tcW w:w="0" w:type="auto"/>
            <w:vAlign w:val="center"/>
            <w:hideMark/>
          </w:tcPr>
          <w:p w14:paraId="6D29422B" w14:textId="77777777" w:rsidR="00572A85" w:rsidRPr="002E0607" w:rsidRDefault="00572A85" w:rsidP="002E0607">
            <w:pPr>
              <w:pStyle w:val="NoSpacing"/>
              <w:jc w:val="center"/>
              <w:rPr>
                <w:rFonts w:ascii="Times New Roman" w:hAnsi="Times New Roman" w:cs="Times New Roman"/>
                <w:sz w:val="19"/>
                <w:szCs w:val="19"/>
              </w:rPr>
            </w:pPr>
            <w:r w:rsidRPr="002E0607">
              <w:rPr>
                <w:rFonts w:ascii="Times New Roman" w:hAnsi="Times New Roman" w:cs="Times New Roman"/>
                <w:sz w:val="19"/>
                <w:szCs w:val="19"/>
              </w:rPr>
              <w:t>2.82</w:t>
            </w:r>
          </w:p>
        </w:tc>
        <w:tc>
          <w:tcPr>
            <w:tcW w:w="0" w:type="auto"/>
            <w:vAlign w:val="center"/>
            <w:hideMark/>
          </w:tcPr>
          <w:p w14:paraId="62DC4DC6" w14:textId="77777777" w:rsidR="00572A85" w:rsidRPr="002E0607" w:rsidRDefault="00572A85" w:rsidP="002E0607">
            <w:pPr>
              <w:pStyle w:val="NoSpacing"/>
              <w:jc w:val="center"/>
              <w:rPr>
                <w:rFonts w:ascii="Times New Roman" w:hAnsi="Times New Roman" w:cs="Times New Roman"/>
                <w:sz w:val="19"/>
                <w:szCs w:val="19"/>
              </w:rPr>
            </w:pPr>
            <w:r w:rsidRPr="002E0607">
              <w:rPr>
                <w:rFonts w:ascii="Times New Roman" w:hAnsi="Times New Roman" w:cs="Times New Roman"/>
                <w:sz w:val="19"/>
                <w:szCs w:val="19"/>
              </w:rPr>
              <w:t>0.90</w:t>
            </w:r>
          </w:p>
        </w:tc>
        <w:tc>
          <w:tcPr>
            <w:tcW w:w="0" w:type="auto"/>
            <w:vAlign w:val="center"/>
            <w:hideMark/>
          </w:tcPr>
          <w:p w14:paraId="38A0A356" w14:textId="77777777" w:rsidR="00572A85" w:rsidRPr="002E0607" w:rsidRDefault="00572A85" w:rsidP="002E0607">
            <w:pPr>
              <w:pStyle w:val="NoSpacing"/>
              <w:jc w:val="center"/>
              <w:rPr>
                <w:rFonts w:ascii="Times New Roman" w:hAnsi="Times New Roman" w:cs="Times New Roman"/>
                <w:sz w:val="19"/>
                <w:szCs w:val="19"/>
              </w:rPr>
            </w:pPr>
            <w:r w:rsidRPr="002E0607">
              <w:rPr>
                <w:rFonts w:ascii="Times New Roman" w:hAnsi="Times New Roman" w:cs="Times New Roman"/>
                <w:sz w:val="19"/>
                <w:szCs w:val="19"/>
              </w:rPr>
              <w:t>3.72</w:t>
            </w:r>
          </w:p>
        </w:tc>
        <w:tc>
          <w:tcPr>
            <w:tcW w:w="0" w:type="auto"/>
            <w:vAlign w:val="center"/>
            <w:hideMark/>
          </w:tcPr>
          <w:p w14:paraId="05A6DE22" w14:textId="77777777" w:rsidR="00572A85" w:rsidRPr="002E0607" w:rsidRDefault="00572A85" w:rsidP="002E0607">
            <w:pPr>
              <w:pStyle w:val="NoSpacing"/>
              <w:jc w:val="center"/>
              <w:rPr>
                <w:rFonts w:ascii="Times New Roman" w:hAnsi="Times New Roman" w:cs="Times New Roman"/>
                <w:sz w:val="19"/>
                <w:szCs w:val="19"/>
              </w:rPr>
            </w:pPr>
            <w:r w:rsidRPr="002E0607">
              <w:rPr>
                <w:rFonts w:ascii="Times New Roman" w:hAnsi="Times New Roman" w:cs="Times New Roman"/>
                <w:sz w:val="19"/>
                <w:szCs w:val="19"/>
              </w:rPr>
              <w:t>2.81</w:t>
            </w:r>
          </w:p>
        </w:tc>
        <w:tc>
          <w:tcPr>
            <w:tcW w:w="0" w:type="auto"/>
            <w:vAlign w:val="center"/>
            <w:hideMark/>
          </w:tcPr>
          <w:p w14:paraId="6DA46131" w14:textId="77777777" w:rsidR="00572A85" w:rsidRPr="002E0607" w:rsidRDefault="00572A85" w:rsidP="002E0607">
            <w:pPr>
              <w:pStyle w:val="NoSpacing"/>
              <w:jc w:val="center"/>
              <w:rPr>
                <w:rFonts w:ascii="Times New Roman" w:hAnsi="Times New Roman" w:cs="Times New Roman"/>
                <w:sz w:val="19"/>
                <w:szCs w:val="19"/>
              </w:rPr>
            </w:pPr>
            <w:r w:rsidRPr="002E0607">
              <w:rPr>
                <w:rFonts w:ascii="Times New Roman" w:hAnsi="Times New Roman" w:cs="Times New Roman"/>
                <w:sz w:val="19"/>
                <w:szCs w:val="19"/>
              </w:rPr>
              <w:t>1.06</w:t>
            </w:r>
          </w:p>
        </w:tc>
        <w:tc>
          <w:tcPr>
            <w:tcW w:w="0" w:type="auto"/>
            <w:vAlign w:val="center"/>
            <w:hideMark/>
          </w:tcPr>
          <w:p w14:paraId="56318066" w14:textId="77777777" w:rsidR="00572A85" w:rsidRPr="002E0607" w:rsidRDefault="00572A85" w:rsidP="002E0607">
            <w:pPr>
              <w:pStyle w:val="NoSpacing"/>
              <w:jc w:val="center"/>
              <w:rPr>
                <w:rFonts w:ascii="Times New Roman" w:hAnsi="Times New Roman" w:cs="Times New Roman"/>
                <w:sz w:val="19"/>
                <w:szCs w:val="19"/>
              </w:rPr>
            </w:pPr>
            <w:r w:rsidRPr="002E0607">
              <w:rPr>
                <w:rFonts w:ascii="Times New Roman" w:hAnsi="Times New Roman" w:cs="Times New Roman"/>
                <w:sz w:val="19"/>
                <w:szCs w:val="19"/>
              </w:rPr>
              <w:t>3.87</w:t>
            </w:r>
          </w:p>
        </w:tc>
        <w:tc>
          <w:tcPr>
            <w:tcW w:w="0" w:type="auto"/>
            <w:vAlign w:val="center"/>
            <w:hideMark/>
          </w:tcPr>
          <w:p w14:paraId="44179C9A" w14:textId="77777777" w:rsidR="00572A85" w:rsidRPr="002E0607" w:rsidRDefault="00572A85" w:rsidP="002E0607">
            <w:pPr>
              <w:pStyle w:val="NoSpacing"/>
              <w:jc w:val="center"/>
              <w:rPr>
                <w:rFonts w:ascii="Times New Roman" w:hAnsi="Times New Roman" w:cs="Times New Roman"/>
                <w:sz w:val="19"/>
                <w:szCs w:val="19"/>
              </w:rPr>
            </w:pPr>
            <w:r w:rsidRPr="002E0607">
              <w:rPr>
                <w:rFonts w:ascii="Times New Roman" w:hAnsi="Times New Roman" w:cs="Times New Roman"/>
                <w:sz w:val="19"/>
                <w:szCs w:val="19"/>
              </w:rPr>
              <w:t>2.76</w:t>
            </w:r>
          </w:p>
        </w:tc>
        <w:tc>
          <w:tcPr>
            <w:tcW w:w="0" w:type="auto"/>
            <w:vAlign w:val="center"/>
            <w:hideMark/>
          </w:tcPr>
          <w:p w14:paraId="58DF87BA" w14:textId="77777777" w:rsidR="00572A85" w:rsidRPr="002E0607" w:rsidRDefault="00572A85" w:rsidP="002E0607">
            <w:pPr>
              <w:pStyle w:val="NoSpacing"/>
              <w:jc w:val="center"/>
              <w:rPr>
                <w:rFonts w:ascii="Times New Roman" w:hAnsi="Times New Roman" w:cs="Times New Roman"/>
                <w:sz w:val="19"/>
                <w:szCs w:val="19"/>
              </w:rPr>
            </w:pPr>
            <w:r w:rsidRPr="002E0607">
              <w:rPr>
                <w:rFonts w:ascii="Times New Roman" w:hAnsi="Times New Roman" w:cs="Times New Roman"/>
                <w:sz w:val="19"/>
                <w:szCs w:val="19"/>
              </w:rPr>
              <w:t>1.12</w:t>
            </w:r>
          </w:p>
        </w:tc>
        <w:tc>
          <w:tcPr>
            <w:tcW w:w="0" w:type="auto"/>
            <w:vAlign w:val="center"/>
            <w:hideMark/>
          </w:tcPr>
          <w:p w14:paraId="1266C4DD" w14:textId="77777777" w:rsidR="00572A85" w:rsidRPr="002E0607" w:rsidRDefault="00572A85" w:rsidP="002E0607">
            <w:pPr>
              <w:pStyle w:val="NoSpacing"/>
              <w:jc w:val="center"/>
              <w:rPr>
                <w:rFonts w:ascii="Times New Roman" w:hAnsi="Times New Roman" w:cs="Times New Roman"/>
                <w:sz w:val="19"/>
                <w:szCs w:val="19"/>
              </w:rPr>
            </w:pPr>
            <w:r w:rsidRPr="002E0607">
              <w:rPr>
                <w:rFonts w:ascii="Times New Roman" w:hAnsi="Times New Roman" w:cs="Times New Roman"/>
                <w:sz w:val="19"/>
                <w:szCs w:val="19"/>
              </w:rPr>
              <w:t>3.88</w:t>
            </w:r>
          </w:p>
        </w:tc>
        <w:tc>
          <w:tcPr>
            <w:tcW w:w="0" w:type="auto"/>
            <w:vAlign w:val="center"/>
            <w:hideMark/>
          </w:tcPr>
          <w:p w14:paraId="0B9B010B" w14:textId="77777777" w:rsidR="00572A85" w:rsidRPr="002E0607" w:rsidRDefault="00572A85" w:rsidP="002E0607">
            <w:pPr>
              <w:pStyle w:val="NoSpacing"/>
              <w:jc w:val="center"/>
              <w:rPr>
                <w:rFonts w:ascii="Times New Roman" w:hAnsi="Times New Roman" w:cs="Times New Roman"/>
                <w:sz w:val="19"/>
                <w:szCs w:val="19"/>
              </w:rPr>
            </w:pPr>
            <w:r w:rsidRPr="002E0607">
              <w:rPr>
                <w:rFonts w:ascii="Times New Roman" w:hAnsi="Times New Roman" w:cs="Times New Roman"/>
                <w:sz w:val="19"/>
                <w:szCs w:val="19"/>
              </w:rPr>
              <w:t>2.92</w:t>
            </w:r>
          </w:p>
        </w:tc>
        <w:tc>
          <w:tcPr>
            <w:tcW w:w="0" w:type="auto"/>
            <w:vAlign w:val="center"/>
            <w:hideMark/>
          </w:tcPr>
          <w:p w14:paraId="5483C3A9" w14:textId="77777777" w:rsidR="00572A85" w:rsidRPr="002E0607" w:rsidRDefault="00572A85" w:rsidP="002E0607">
            <w:pPr>
              <w:pStyle w:val="NoSpacing"/>
              <w:jc w:val="center"/>
              <w:rPr>
                <w:rFonts w:ascii="Times New Roman" w:hAnsi="Times New Roman" w:cs="Times New Roman"/>
                <w:sz w:val="19"/>
                <w:szCs w:val="19"/>
              </w:rPr>
            </w:pPr>
            <w:r w:rsidRPr="002E0607">
              <w:rPr>
                <w:rFonts w:ascii="Times New Roman" w:hAnsi="Times New Roman" w:cs="Times New Roman"/>
                <w:sz w:val="19"/>
                <w:szCs w:val="19"/>
              </w:rPr>
              <w:t>1.17</w:t>
            </w:r>
          </w:p>
        </w:tc>
        <w:tc>
          <w:tcPr>
            <w:tcW w:w="0" w:type="auto"/>
            <w:vAlign w:val="center"/>
            <w:hideMark/>
          </w:tcPr>
          <w:p w14:paraId="5DF5FADE" w14:textId="77777777" w:rsidR="00572A85" w:rsidRPr="002E0607" w:rsidRDefault="00572A85" w:rsidP="002E0607">
            <w:pPr>
              <w:pStyle w:val="NoSpacing"/>
              <w:jc w:val="center"/>
              <w:rPr>
                <w:rFonts w:ascii="Times New Roman" w:hAnsi="Times New Roman" w:cs="Times New Roman"/>
                <w:sz w:val="19"/>
                <w:szCs w:val="19"/>
              </w:rPr>
            </w:pPr>
            <w:r w:rsidRPr="002E0607">
              <w:rPr>
                <w:rFonts w:ascii="Times New Roman" w:hAnsi="Times New Roman" w:cs="Times New Roman"/>
                <w:sz w:val="19"/>
                <w:szCs w:val="19"/>
              </w:rPr>
              <w:t>4.09</w:t>
            </w:r>
          </w:p>
        </w:tc>
        <w:tc>
          <w:tcPr>
            <w:tcW w:w="0" w:type="auto"/>
            <w:gridSpan w:val="3"/>
            <w:vMerge/>
            <w:vAlign w:val="center"/>
            <w:hideMark/>
          </w:tcPr>
          <w:p w14:paraId="107B076E" w14:textId="3578E7A9" w:rsidR="00572A85" w:rsidRPr="002E0607" w:rsidRDefault="00572A85" w:rsidP="002E0607">
            <w:pPr>
              <w:pStyle w:val="NoSpacing"/>
              <w:jc w:val="center"/>
              <w:rPr>
                <w:rFonts w:ascii="Times New Roman" w:hAnsi="Times New Roman" w:cs="Times New Roman"/>
                <w:sz w:val="19"/>
                <w:szCs w:val="19"/>
              </w:rPr>
            </w:pPr>
          </w:p>
        </w:tc>
        <w:tc>
          <w:tcPr>
            <w:tcW w:w="0" w:type="auto"/>
            <w:vAlign w:val="center"/>
            <w:hideMark/>
          </w:tcPr>
          <w:p w14:paraId="5AD8BE8E" w14:textId="77777777" w:rsidR="00572A85" w:rsidRPr="002E0607" w:rsidRDefault="00572A85" w:rsidP="002E0607">
            <w:pPr>
              <w:pStyle w:val="NoSpacing"/>
              <w:jc w:val="center"/>
              <w:rPr>
                <w:rFonts w:ascii="Times New Roman" w:hAnsi="Times New Roman" w:cs="Times New Roman"/>
                <w:sz w:val="19"/>
                <w:szCs w:val="19"/>
              </w:rPr>
            </w:pPr>
            <w:r w:rsidRPr="002E0607">
              <w:rPr>
                <w:rFonts w:ascii="Times New Roman" w:hAnsi="Times New Roman" w:cs="Times New Roman"/>
                <w:sz w:val="19"/>
                <w:szCs w:val="19"/>
              </w:rPr>
              <w:t>11.31</w:t>
            </w:r>
          </w:p>
        </w:tc>
        <w:tc>
          <w:tcPr>
            <w:tcW w:w="0" w:type="auto"/>
            <w:vAlign w:val="center"/>
            <w:hideMark/>
          </w:tcPr>
          <w:p w14:paraId="4813453F" w14:textId="77777777" w:rsidR="00572A85" w:rsidRPr="002E0607" w:rsidRDefault="00572A85" w:rsidP="002E0607">
            <w:pPr>
              <w:pStyle w:val="NoSpacing"/>
              <w:jc w:val="center"/>
              <w:rPr>
                <w:rFonts w:ascii="Times New Roman" w:hAnsi="Times New Roman" w:cs="Times New Roman"/>
                <w:sz w:val="19"/>
                <w:szCs w:val="19"/>
              </w:rPr>
            </w:pPr>
            <w:r w:rsidRPr="002E0607">
              <w:rPr>
                <w:rFonts w:ascii="Times New Roman" w:hAnsi="Times New Roman" w:cs="Times New Roman"/>
                <w:sz w:val="19"/>
                <w:szCs w:val="19"/>
              </w:rPr>
              <w:t>4.25</w:t>
            </w:r>
          </w:p>
        </w:tc>
        <w:tc>
          <w:tcPr>
            <w:tcW w:w="0" w:type="auto"/>
            <w:vAlign w:val="center"/>
            <w:hideMark/>
          </w:tcPr>
          <w:p w14:paraId="26545ECD" w14:textId="77777777" w:rsidR="00572A85" w:rsidRPr="002E0607" w:rsidRDefault="00572A85" w:rsidP="002E0607">
            <w:pPr>
              <w:pStyle w:val="NoSpacing"/>
              <w:jc w:val="center"/>
              <w:rPr>
                <w:rFonts w:ascii="Times New Roman" w:hAnsi="Times New Roman" w:cs="Times New Roman"/>
                <w:sz w:val="19"/>
                <w:szCs w:val="19"/>
              </w:rPr>
            </w:pPr>
            <w:r w:rsidRPr="002E0607">
              <w:rPr>
                <w:rFonts w:ascii="Times New Roman" w:hAnsi="Times New Roman" w:cs="Times New Roman"/>
                <w:sz w:val="19"/>
                <w:szCs w:val="19"/>
              </w:rPr>
              <w:t>15.56</w:t>
            </w:r>
          </w:p>
        </w:tc>
      </w:tr>
      <w:tr w:rsidR="00572A85" w:rsidRPr="002E0607" w14:paraId="553CDB65" w14:textId="77777777" w:rsidTr="002E0607">
        <w:trPr>
          <w:trHeight w:val="157"/>
        </w:trPr>
        <w:tc>
          <w:tcPr>
            <w:tcW w:w="1926" w:type="dxa"/>
            <w:vAlign w:val="center"/>
            <w:hideMark/>
          </w:tcPr>
          <w:p w14:paraId="70D5D96D" w14:textId="77777777" w:rsidR="00572A85" w:rsidRPr="002E0607" w:rsidRDefault="00572A85" w:rsidP="002E0607">
            <w:pPr>
              <w:pStyle w:val="NoSpacing"/>
              <w:rPr>
                <w:rFonts w:ascii="Times New Roman" w:hAnsi="Times New Roman" w:cs="Times New Roman"/>
                <w:sz w:val="19"/>
                <w:szCs w:val="19"/>
              </w:rPr>
            </w:pPr>
            <w:r w:rsidRPr="002E0607">
              <w:rPr>
                <w:rFonts w:ascii="Times New Roman" w:hAnsi="Times New Roman" w:cs="Times New Roman"/>
                <w:sz w:val="19"/>
                <w:szCs w:val="19"/>
              </w:rPr>
              <w:t>Pepsu</w:t>
            </w:r>
          </w:p>
        </w:tc>
        <w:tc>
          <w:tcPr>
            <w:tcW w:w="0" w:type="auto"/>
            <w:vAlign w:val="center"/>
            <w:hideMark/>
          </w:tcPr>
          <w:p w14:paraId="57032E8C" w14:textId="77777777" w:rsidR="00572A85" w:rsidRPr="002E0607" w:rsidRDefault="00572A85" w:rsidP="002E0607">
            <w:pPr>
              <w:pStyle w:val="NoSpacing"/>
              <w:jc w:val="center"/>
              <w:rPr>
                <w:rFonts w:ascii="Times New Roman" w:hAnsi="Times New Roman" w:cs="Times New Roman"/>
                <w:sz w:val="19"/>
                <w:szCs w:val="19"/>
              </w:rPr>
            </w:pPr>
            <w:r w:rsidRPr="002E0607">
              <w:rPr>
                <w:rFonts w:ascii="Times New Roman" w:hAnsi="Times New Roman" w:cs="Times New Roman"/>
                <w:sz w:val="19"/>
                <w:szCs w:val="19"/>
              </w:rPr>
              <w:t>0.41</w:t>
            </w:r>
          </w:p>
        </w:tc>
        <w:tc>
          <w:tcPr>
            <w:tcW w:w="0" w:type="auto"/>
            <w:vAlign w:val="center"/>
            <w:hideMark/>
          </w:tcPr>
          <w:p w14:paraId="301D85C1" w14:textId="77777777" w:rsidR="00572A85" w:rsidRPr="002E0607" w:rsidRDefault="00572A85" w:rsidP="002E0607">
            <w:pPr>
              <w:pStyle w:val="NoSpacing"/>
              <w:jc w:val="center"/>
              <w:rPr>
                <w:rFonts w:ascii="Times New Roman" w:hAnsi="Times New Roman" w:cs="Times New Roman"/>
                <w:sz w:val="19"/>
                <w:szCs w:val="19"/>
              </w:rPr>
            </w:pPr>
            <w:r w:rsidRPr="002E0607">
              <w:rPr>
                <w:rFonts w:ascii="Times New Roman" w:hAnsi="Times New Roman" w:cs="Times New Roman"/>
                <w:sz w:val="19"/>
                <w:szCs w:val="19"/>
              </w:rPr>
              <w:t>..</w:t>
            </w:r>
          </w:p>
        </w:tc>
        <w:tc>
          <w:tcPr>
            <w:tcW w:w="0" w:type="auto"/>
            <w:vAlign w:val="center"/>
            <w:hideMark/>
          </w:tcPr>
          <w:p w14:paraId="77A10F3B" w14:textId="77777777" w:rsidR="00572A85" w:rsidRPr="002E0607" w:rsidRDefault="00572A85" w:rsidP="002E0607">
            <w:pPr>
              <w:pStyle w:val="NoSpacing"/>
              <w:jc w:val="center"/>
              <w:rPr>
                <w:rFonts w:ascii="Times New Roman" w:hAnsi="Times New Roman" w:cs="Times New Roman"/>
                <w:sz w:val="19"/>
                <w:szCs w:val="19"/>
              </w:rPr>
            </w:pPr>
            <w:r w:rsidRPr="002E0607">
              <w:rPr>
                <w:rFonts w:ascii="Times New Roman" w:hAnsi="Times New Roman" w:cs="Times New Roman"/>
                <w:sz w:val="19"/>
                <w:szCs w:val="19"/>
              </w:rPr>
              <w:t>0.41</w:t>
            </w:r>
          </w:p>
        </w:tc>
        <w:tc>
          <w:tcPr>
            <w:tcW w:w="0" w:type="auto"/>
            <w:vAlign w:val="center"/>
            <w:hideMark/>
          </w:tcPr>
          <w:p w14:paraId="78D24DA1" w14:textId="77777777" w:rsidR="00572A85" w:rsidRPr="002E0607" w:rsidRDefault="00572A85" w:rsidP="002E0607">
            <w:pPr>
              <w:pStyle w:val="NoSpacing"/>
              <w:jc w:val="center"/>
              <w:rPr>
                <w:rFonts w:ascii="Times New Roman" w:hAnsi="Times New Roman" w:cs="Times New Roman"/>
                <w:sz w:val="19"/>
                <w:szCs w:val="19"/>
              </w:rPr>
            </w:pPr>
            <w:r w:rsidRPr="002E0607">
              <w:rPr>
                <w:rFonts w:ascii="Times New Roman" w:hAnsi="Times New Roman" w:cs="Times New Roman"/>
                <w:sz w:val="19"/>
                <w:szCs w:val="19"/>
              </w:rPr>
              <w:t>0.76</w:t>
            </w:r>
          </w:p>
        </w:tc>
        <w:tc>
          <w:tcPr>
            <w:tcW w:w="0" w:type="auto"/>
            <w:vAlign w:val="center"/>
            <w:hideMark/>
          </w:tcPr>
          <w:p w14:paraId="36F91BCA" w14:textId="77777777" w:rsidR="00572A85" w:rsidRPr="002E0607" w:rsidRDefault="00572A85" w:rsidP="002E0607">
            <w:pPr>
              <w:pStyle w:val="NoSpacing"/>
              <w:jc w:val="center"/>
              <w:rPr>
                <w:rFonts w:ascii="Times New Roman" w:hAnsi="Times New Roman" w:cs="Times New Roman"/>
                <w:sz w:val="19"/>
                <w:szCs w:val="19"/>
              </w:rPr>
            </w:pPr>
            <w:r w:rsidRPr="002E0607">
              <w:rPr>
                <w:rFonts w:ascii="Times New Roman" w:hAnsi="Times New Roman" w:cs="Times New Roman"/>
                <w:sz w:val="19"/>
                <w:szCs w:val="19"/>
              </w:rPr>
              <w:t>0.05</w:t>
            </w:r>
          </w:p>
        </w:tc>
        <w:tc>
          <w:tcPr>
            <w:tcW w:w="0" w:type="auto"/>
            <w:vAlign w:val="center"/>
            <w:hideMark/>
          </w:tcPr>
          <w:p w14:paraId="0DABE96E" w14:textId="77777777" w:rsidR="00572A85" w:rsidRPr="002E0607" w:rsidRDefault="00572A85" w:rsidP="002E0607">
            <w:pPr>
              <w:pStyle w:val="NoSpacing"/>
              <w:jc w:val="center"/>
              <w:rPr>
                <w:rFonts w:ascii="Times New Roman" w:hAnsi="Times New Roman" w:cs="Times New Roman"/>
                <w:sz w:val="19"/>
                <w:szCs w:val="19"/>
              </w:rPr>
            </w:pPr>
            <w:r w:rsidRPr="002E0607">
              <w:rPr>
                <w:rFonts w:ascii="Times New Roman" w:hAnsi="Times New Roman" w:cs="Times New Roman"/>
                <w:sz w:val="19"/>
                <w:szCs w:val="19"/>
              </w:rPr>
              <w:t>0.81</w:t>
            </w:r>
          </w:p>
        </w:tc>
        <w:tc>
          <w:tcPr>
            <w:tcW w:w="0" w:type="auto"/>
            <w:vAlign w:val="center"/>
            <w:hideMark/>
          </w:tcPr>
          <w:p w14:paraId="1726DAA9" w14:textId="77777777" w:rsidR="00572A85" w:rsidRPr="002E0607" w:rsidRDefault="00572A85" w:rsidP="002E0607">
            <w:pPr>
              <w:pStyle w:val="NoSpacing"/>
              <w:jc w:val="center"/>
              <w:rPr>
                <w:rFonts w:ascii="Times New Roman" w:hAnsi="Times New Roman" w:cs="Times New Roman"/>
                <w:sz w:val="19"/>
                <w:szCs w:val="19"/>
              </w:rPr>
            </w:pPr>
            <w:r w:rsidRPr="002E0607">
              <w:rPr>
                <w:rFonts w:ascii="Times New Roman" w:hAnsi="Times New Roman" w:cs="Times New Roman"/>
                <w:sz w:val="19"/>
                <w:szCs w:val="19"/>
              </w:rPr>
              <w:t>0.61</w:t>
            </w:r>
          </w:p>
        </w:tc>
        <w:tc>
          <w:tcPr>
            <w:tcW w:w="0" w:type="auto"/>
            <w:vAlign w:val="center"/>
            <w:hideMark/>
          </w:tcPr>
          <w:p w14:paraId="489F33A0" w14:textId="77777777" w:rsidR="00572A85" w:rsidRPr="002E0607" w:rsidRDefault="00572A85" w:rsidP="002E0607">
            <w:pPr>
              <w:pStyle w:val="NoSpacing"/>
              <w:jc w:val="center"/>
              <w:rPr>
                <w:rFonts w:ascii="Times New Roman" w:hAnsi="Times New Roman" w:cs="Times New Roman"/>
                <w:sz w:val="19"/>
                <w:szCs w:val="19"/>
              </w:rPr>
            </w:pPr>
            <w:r w:rsidRPr="002E0607">
              <w:rPr>
                <w:rFonts w:ascii="Times New Roman" w:hAnsi="Times New Roman" w:cs="Times New Roman"/>
                <w:sz w:val="19"/>
                <w:szCs w:val="19"/>
              </w:rPr>
              <w:t>0.06</w:t>
            </w:r>
          </w:p>
        </w:tc>
        <w:tc>
          <w:tcPr>
            <w:tcW w:w="0" w:type="auto"/>
            <w:vAlign w:val="center"/>
            <w:hideMark/>
          </w:tcPr>
          <w:p w14:paraId="1E8C5DBD" w14:textId="77777777" w:rsidR="00572A85" w:rsidRPr="002E0607" w:rsidRDefault="00572A85" w:rsidP="002E0607">
            <w:pPr>
              <w:pStyle w:val="NoSpacing"/>
              <w:jc w:val="center"/>
              <w:rPr>
                <w:rFonts w:ascii="Times New Roman" w:hAnsi="Times New Roman" w:cs="Times New Roman"/>
                <w:sz w:val="19"/>
                <w:szCs w:val="19"/>
              </w:rPr>
            </w:pPr>
            <w:r w:rsidRPr="002E0607">
              <w:rPr>
                <w:rFonts w:ascii="Times New Roman" w:hAnsi="Times New Roman" w:cs="Times New Roman"/>
                <w:sz w:val="19"/>
                <w:szCs w:val="19"/>
              </w:rPr>
              <w:t>0.67</w:t>
            </w:r>
          </w:p>
        </w:tc>
        <w:tc>
          <w:tcPr>
            <w:tcW w:w="0" w:type="auto"/>
            <w:vAlign w:val="center"/>
            <w:hideMark/>
          </w:tcPr>
          <w:p w14:paraId="09F4E29F" w14:textId="77777777" w:rsidR="00572A85" w:rsidRPr="002E0607" w:rsidRDefault="00572A85" w:rsidP="002E0607">
            <w:pPr>
              <w:pStyle w:val="NoSpacing"/>
              <w:jc w:val="center"/>
              <w:rPr>
                <w:rFonts w:ascii="Times New Roman" w:hAnsi="Times New Roman" w:cs="Times New Roman"/>
                <w:sz w:val="19"/>
                <w:szCs w:val="19"/>
              </w:rPr>
            </w:pPr>
            <w:r w:rsidRPr="002E0607">
              <w:rPr>
                <w:rFonts w:ascii="Times New Roman" w:hAnsi="Times New Roman" w:cs="Times New Roman"/>
                <w:sz w:val="19"/>
                <w:szCs w:val="19"/>
              </w:rPr>
              <w:t>0.62</w:t>
            </w:r>
          </w:p>
        </w:tc>
        <w:tc>
          <w:tcPr>
            <w:tcW w:w="0" w:type="auto"/>
            <w:vAlign w:val="center"/>
            <w:hideMark/>
          </w:tcPr>
          <w:p w14:paraId="12A6A1C4" w14:textId="77777777" w:rsidR="00572A85" w:rsidRPr="002E0607" w:rsidRDefault="00572A85" w:rsidP="002E0607">
            <w:pPr>
              <w:pStyle w:val="NoSpacing"/>
              <w:jc w:val="center"/>
              <w:rPr>
                <w:rFonts w:ascii="Times New Roman" w:hAnsi="Times New Roman" w:cs="Times New Roman"/>
                <w:sz w:val="19"/>
                <w:szCs w:val="19"/>
              </w:rPr>
            </w:pPr>
            <w:r w:rsidRPr="002E0607">
              <w:rPr>
                <w:rFonts w:ascii="Times New Roman" w:hAnsi="Times New Roman" w:cs="Times New Roman"/>
                <w:sz w:val="19"/>
                <w:szCs w:val="19"/>
              </w:rPr>
              <w:t>0.08</w:t>
            </w:r>
          </w:p>
        </w:tc>
        <w:tc>
          <w:tcPr>
            <w:tcW w:w="0" w:type="auto"/>
            <w:vAlign w:val="center"/>
            <w:hideMark/>
          </w:tcPr>
          <w:p w14:paraId="1D9891EE" w14:textId="77777777" w:rsidR="00572A85" w:rsidRPr="002E0607" w:rsidRDefault="00572A85" w:rsidP="002E0607">
            <w:pPr>
              <w:pStyle w:val="NoSpacing"/>
              <w:jc w:val="center"/>
              <w:rPr>
                <w:rFonts w:ascii="Times New Roman" w:hAnsi="Times New Roman" w:cs="Times New Roman"/>
                <w:sz w:val="19"/>
                <w:szCs w:val="19"/>
              </w:rPr>
            </w:pPr>
            <w:r w:rsidRPr="002E0607">
              <w:rPr>
                <w:rFonts w:ascii="Times New Roman" w:hAnsi="Times New Roman" w:cs="Times New Roman"/>
                <w:sz w:val="19"/>
                <w:szCs w:val="19"/>
              </w:rPr>
              <w:t>0.70</w:t>
            </w:r>
          </w:p>
        </w:tc>
        <w:tc>
          <w:tcPr>
            <w:tcW w:w="0" w:type="auto"/>
            <w:gridSpan w:val="3"/>
            <w:vMerge/>
            <w:vAlign w:val="center"/>
            <w:hideMark/>
          </w:tcPr>
          <w:p w14:paraId="11C36016" w14:textId="4E522C19" w:rsidR="00572A85" w:rsidRPr="002E0607" w:rsidRDefault="00572A85" w:rsidP="002E0607">
            <w:pPr>
              <w:pStyle w:val="NoSpacing"/>
              <w:jc w:val="center"/>
              <w:rPr>
                <w:rFonts w:ascii="Times New Roman" w:hAnsi="Times New Roman" w:cs="Times New Roman"/>
                <w:sz w:val="19"/>
                <w:szCs w:val="19"/>
              </w:rPr>
            </w:pPr>
          </w:p>
        </w:tc>
        <w:tc>
          <w:tcPr>
            <w:tcW w:w="0" w:type="auto"/>
            <w:vAlign w:val="center"/>
            <w:hideMark/>
          </w:tcPr>
          <w:p w14:paraId="0F49E64A" w14:textId="77777777" w:rsidR="00572A85" w:rsidRPr="002E0607" w:rsidRDefault="00572A85" w:rsidP="002E0607">
            <w:pPr>
              <w:pStyle w:val="NoSpacing"/>
              <w:jc w:val="center"/>
              <w:rPr>
                <w:rFonts w:ascii="Times New Roman" w:hAnsi="Times New Roman" w:cs="Times New Roman"/>
                <w:sz w:val="19"/>
                <w:szCs w:val="19"/>
              </w:rPr>
            </w:pPr>
            <w:r w:rsidRPr="002E0607">
              <w:rPr>
                <w:rFonts w:ascii="Times New Roman" w:hAnsi="Times New Roman" w:cs="Times New Roman"/>
                <w:sz w:val="19"/>
                <w:szCs w:val="19"/>
              </w:rPr>
              <w:t>2.40</w:t>
            </w:r>
          </w:p>
        </w:tc>
        <w:tc>
          <w:tcPr>
            <w:tcW w:w="0" w:type="auto"/>
            <w:vAlign w:val="center"/>
            <w:hideMark/>
          </w:tcPr>
          <w:p w14:paraId="21146480" w14:textId="77777777" w:rsidR="00572A85" w:rsidRPr="002E0607" w:rsidRDefault="00572A85" w:rsidP="002E0607">
            <w:pPr>
              <w:pStyle w:val="NoSpacing"/>
              <w:jc w:val="center"/>
              <w:rPr>
                <w:rFonts w:ascii="Times New Roman" w:hAnsi="Times New Roman" w:cs="Times New Roman"/>
                <w:sz w:val="19"/>
                <w:szCs w:val="19"/>
              </w:rPr>
            </w:pPr>
            <w:r w:rsidRPr="002E0607">
              <w:rPr>
                <w:rFonts w:ascii="Times New Roman" w:hAnsi="Times New Roman" w:cs="Times New Roman"/>
                <w:sz w:val="19"/>
                <w:szCs w:val="19"/>
              </w:rPr>
              <w:t>0.19</w:t>
            </w:r>
          </w:p>
        </w:tc>
        <w:tc>
          <w:tcPr>
            <w:tcW w:w="0" w:type="auto"/>
            <w:vAlign w:val="center"/>
            <w:hideMark/>
          </w:tcPr>
          <w:p w14:paraId="26603E25" w14:textId="77777777" w:rsidR="00572A85" w:rsidRPr="002E0607" w:rsidRDefault="00572A85" w:rsidP="002E0607">
            <w:pPr>
              <w:pStyle w:val="NoSpacing"/>
              <w:jc w:val="center"/>
              <w:rPr>
                <w:rFonts w:ascii="Times New Roman" w:hAnsi="Times New Roman" w:cs="Times New Roman"/>
                <w:sz w:val="19"/>
                <w:szCs w:val="19"/>
              </w:rPr>
            </w:pPr>
            <w:r w:rsidRPr="002E0607">
              <w:rPr>
                <w:rFonts w:ascii="Times New Roman" w:hAnsi="Times New Roman" w:cs="Times New Roman"/>
                <w:sz w:val="19"/>
                <w:szCs w:val="19"/>
              </w:rPr>
              <w:t>2.59</w:t>
            </w:r>
          </w:p>
        </w:tc>
      </w:tr>
      <w:tr w:rsidR="00572A85" w:rsidRPr="002E0607" w14:paraId="5C6F7E55" w14:textId="77777777" w:rsidTr="002E0607">
        <w:trPr>
          <w:trHeight w:val="163"/>
        </w:trPr>
        <w:tc>
          <w:tcPr>
            <w:tcW w:w="1926" w:type="dxa"/>
            <w:vAlign w:val="center"/>
            <w:hideMark/>
          </w:tcPr>
          <w:p w14:paraId="1AB9963F" w14:textId="77777777" w:rsidR="00572A85" w:rsidRPr="002E0607" w:rsidRDefault="00572A85" w:rsidP="002E0607">
            <w:pPr>
              <w:pStyle w:val="NoSpacing"/>
              <w:rPr>
                <w:rFonts w:ascii="Times New Roman" w:hAnsi="Times New Roman" w:cs="Times New Roman"/>
                <w:sz w:val="19"/>
                <w:szCs w:val="19"/>
              </w:rPr>
            </w:pPr>
            <w:r w:rsidRPr="002E0607">
              <w:rPr>
                <w:rFonts w:ascii="Times New Roman" w:hAnsi="Times New Roman" w:cs="Times New Roman"/>
                <w:sz w:val="19"/>
                <w:szCs w:val="19"/>
              </w:rPr>
              <w:t>Punjab</w:t>
            </w:r>
          </w:p>
        </w:tc>
        <w:tc>
          <w:tcPr>
            <w:tcW w:w="0" w:type="auto"/>
            <w:vAlign w:val="center"/>
            <w:hideMark/>
          </w:tcPr>
          <w:p w14:paraId="5CC5BF95" w14:textId="77777777" w:rsidR="00572A85" w:rsidRPr="002E0607" w:rsidRDefault="00572A85" w:rsidP="002E0607">
            <w:pPr>
              <w:pStyle w:val="NoSpacing"/>
              <w:jc w:val="center"/>
              <w:rPr>
                <w:rFonts w:ascii="Times New Roman" w:hAnsi="Times New Roman" w:cs="Times New Roman"/>
                <w:sz w:val="19"/>
                <w:szCs w:val="19"/>
              </w:rPr>
            </w:pPr>
            <w:r w:rsidRPr="002E0607">
              <w:rPr>
                <w:rFonts w:ascii="Times New Roman" w:hAnsi="Times New Roman" w:cs="Times New Roman"/>
                <w:sz w:val="19"/>
                <w:szCs w:val="19"/>
              </w:rPr>
              <w:t>2.70</w:t>
            </w:r>
          </w:p>
        </w:tc>
        <w:tc>
          <w:tcPr>
            <w:tcW w:w="0" w:type="auto"/>
            <w:vAlign w:val="center"/>
            <w:hideMark/>
          </w:tcPr>
          <w:p w14:paraId="2953A906" w14:textId="77777777" w:rsidR="00572A85" w:rsidRPr="002E0607" w:rsidRDefault="00572A85" w:rsidP="002E0607">
            <w:pPr>
              <w:pStyle w:val="NoSpacing"/>
              <w:jc w:val="center"/>
              <w:rPr>
                <w:rFonts w:ascii="Times New Roman" w:hAnsi="Times New Roman" w:cs="Times New Roman"/>
                <w:sz w:val="19"/>
                <w:szCs w:val="19"/>
              </w:rPr>
            </w:pPr>
            <w:r w:rsidRPr="002E0607">
              <w:rPr>
                <w:rFonts w:ascii="Times New Roman" w:hAnsi="Times New Roman" w:cs="Times New Roman"/>
                <w:sz w:val="19"/>
                <w:szCs w:val="19"/>
              </w:rPr>
              <w:t>1.25</w:t>
            </w:r>
          </w:p>
        </w:tc>
        <w:tc>
          <w:tcPr>
            <w:tcW w:w="0" w:type="auto"/>
            <w:vAlign w:val="center"/>
            <w:hideMark/>
          </w:tcPr>
          <w:p w14:paraId="09880241" w14:textId="77777777" w:rsidR="00572A85" w:rsidRPr="002E0607" w:rsidRDefault="00572A85" w:rsidP="002E0607">
            <w:pPr>
              <w:pStyle w:val="NoSpacing"/>
              <w:jc w:val="center"/>
              <w:rPr>
                <w:rFonts w:ascii="Times New Roman" w:hAnsi="Times New Roman" w:cs="Times New Roman"/>
                <w:sz w:val="19"/>
                <w:szCs w:val="19"/>
              </w:rPr>
            </w:pPr>
            <w:r w:rsidRPr="002E0607">
              <w:rPr>
                <w:rFonts w:ascii="Times New Roman" w:hAnsi="Times New Roman" w:cs="Times New Roman"/>
                <w:sz w:val="19"/>
                <w:szCs w:val="19"/>
              </w:rPr>
              <w:t>3.95</w:t>
            </w:r>
          </w:p>
        </w:tc>
        <w:tc>
          <w:tcPr>
            <w:tcW w:w="0" w:type="auto"/>
            <w:vAlign w:val="center"/>
            <w:hideMark/>
          </w:tcPr>
          <w:p w14:paraId="41CB3E7F" w14:textId="77777777" w:rsidR="00572A85" w:rsidRPr="002E0607" w:rsidRDefault="00572A85" w:rsidP="002E0607">
            <w:pPr>
              <w:pStyle w:val="NoSpacing"/>
              <w:jc w:val="center"/>
              <w:rPr>
                <w:rFonts w:ascii="Times New Roman" w:hAnsi="Times New Roman" w:cs="Times New Roman"/>
                <w:sz w:val="19"/>
                <w:szCs w:val="19"/>
              </w:rPr>
            </w:pPr>
            <w:r w:rsidRPr="002E0607">
              <w:rPr>
                <w:rFonts w:ascii="Times New Roman" w:hAnsi="Times New Roman" w:cs="Times New Roman"/>
                <w:sz w:val="19"/>
                <w:szCs w:val="19"/>
              </w:rPr>
              <w:t>2.69</w:t>
            </w:r>
          </w:p>
        </w:tc>
        <w:tc>
          <w:tcPr>
            <w:tcW w:w="0" w:type="auto"/>
            <w:vAlign w:val="center"/>
            <w:hideMark/>
          </w:tcPr>
          <w:p w14:paraId="2D296189" w14:textId="77777777" w:rsidR="00572A85" w:rsidRPr="002E0607" w:rsidRDefault="00572A85" w:rsidP="002E0607">
            <w:pPr>
              <w:pStyle w:val="NoSpacing"/>
              <w:jc w:val="center"/>
              <w:rPr>
                <w:rFonts w:ascii="Times New Roman" w:hAnsi="Times New Roman" w:cs="Times New Roman"/>
                <w:sz w:val="19"/>
                <w:szCs w:val="19"/>
              </w:rPr>
            </w:pPr>
            <w:r w:rsidRPr="002E0607">
              <w:rPr>
                <w:rFonts w:ascii="Times New Roman" w:hAnsi="Times New Roman" w:cs="Times New Roman"/>
                <w:sz w:val="19"/>
                <w:szCs w:val="19"/>
              </w:rPr>
              <w:t>1.39</w:t>
            </w:r>
          </w:p>
        </w:tc>
        <w:tc>
          <w:tcPr>
            <w:tcW w:w="0" w:type="auto"/>
            <w:vAlign w:val="center"/>
            <w:hideMark/>
          </w:tcPr>
          <w:p w14:paraId="278F7E9E" w14:textId="77777777" w:rsidR="00572A85" w:rsidRPr="002E0607" w:rsidRDefault="00572A85" w:rsidP="002E0607">
            <w:pPr>
              <w:pStyle w:val="NoSpacing"/>
              <w:jc w:val="center"/>
              <w:rPr>
                <w:rFonts w:ascii="Times New Roman" w:hAnsi="Times New Roman" w:cs="Times New Roman"/>
                <w:sz w:val="19"/>
                <w:szCs w:val="19"/>
              </w:rPr>
            </w:pPr>
            <w:r w:rsidRPr="002E0607">
              <w:rPr>
                <w:rFonts w:ascii="Times New Roman" w:hAnsi="Times New Roman" w:cs="Times New Roman"/>
                <w:sz w:val="19"/>
                <w:szCs w:val="19"/>
              </w:rPr>
              <w:t>4.08</w:t>
            </w:r>
          </w:p>
        </w:tc>
        <w:tc>
          <w:tcPr>
            <w:tcW w:w="0" w:type="auto"/>
            <w:vAlign w:val="center"/>
            <w:hideMark/>
          </w:tcPr>
          <w:p w14:paraId="46F92F91" w14:textId="77777777" w:rsidR="00572A85" w:rsidRPr="002E0607" w:rsidRDefault="00572A85" w:rsidP="002E0607">
            <w:pPr>
              <w:pStyle w:val="NoSpacing"/>
              <w:jc w:val="center"/>
              <w:rPr>
                <w:rFonts w:ascii="Times New Roman" w:hAnsi="Times New Roman" w:cs="Times New Roman"/>
                <w:sz w:val="19"/>
                <w:szCs w:val="19"/>
              </w:rPr>
            </w:pPr>
            <w:r w:rsidRPr="002E0607">
              <w:rPr>
                <w:rFonts w:ascii="Times New Roman" w:hAnsi="Times New Roman" w:cs="Times New Roman"/>
                <w:sz w:val="19"/>
                <w:szCs w:val="19"/>
              </w:rPr>
              <w:t>2.52</w:t>
            </w:r>
          </w:p>
        </w:tc>
        <w:tc>
          <w:tcPr>
            <w:tcW w:w="0" w:type="auto"/>
            <w:vAlign w:val="center"/>
            <w:hideMark/>
          </w:tcPr>
          <w:p w14:paraId="60A2A20B" w14:textId="77777777" w:rsidR="00572A85" w:rsidRPr="002E0607" w:rsidRDefault="00572A85" w:rsidP="002E0607">
            <w:pPr>
              <w:pStyle w:val="NoSpacing"/>
              <w:jc w:val="center"/>
              <w:rPr>
                <w:rFonts w:ascii="Times New Roman" w:hAnsi="Times New Roman" w:cs="Times New Roman"/>
                <w:sz w:val="19"/>
                <w:szCs w:val="19"/>
              </w:rPr>
            </w:pPr>
            <w:r w:rsidRPr="002E0607">
              <w:rPr>
                <w:rFonts w:ascii="Times New Roman" w:hAnsi="Times New Roman" w:cs="Times New Roman"/>
                <w:sz w:val="19"/>
                <w:szCs w:val="19"/>
              </w:rPr>
              <w:t>1.44</w:t>
            </w:r>
          </w:p>
        </w:tc>
        <w:tc>
          <w:tcPr>
            <w:tcW w:w="0" w:type="auto"/>
            <w:vAlign w:val="center"/>
            <w:hideMark/>
          </w:tcPr>
          <w:p w14:paraId="5A2F6E11" w14:textId="77777777" w:rsidR="00572A85" w:rsidRPr="002E0607" w:rsidRDefault="00572A85" w:rsidP="002E0607">
            <w:pPr>
              <w:pStyle w:val="NoSpacing"/>
              <w:jc w:val="center"/>
              <w:rPr>
                <w:rFonts w:ascii="Times New Roman" w:hAnsi="Times New Roman" w:cs="Times New Roman"/>
                <w:sz w:val="19"/>
                <w:szCs w:val="19"/>
              </w:rPr>
            </w:pPr>
            <w:r w:rsidRPr="002E0607">
              <w:rPr>
                <w:rFonts w:ascii="Times New Roman" w:hAnsi="Times New Roman" w:cs="Times New Roman"/>
                <w:sz w:val="19"/>
                <w:szCs w:val="19"/>
              </w:rPr>
              <w:t>3.96</w:t>
            </w:r>
          </w:p>
        </w:tc>
        <w:tc>
          <w:tcPr>
            <w:tcW w:w="0" w:type="auto"/>
            <w:vAlign w:val="center"/>
            <w:hideMark/>
          </w:tcPr>
          <w:p w14:paraId="689E557E" w14:textId="77777777" w:rsidR="00572A85" w:rsidRPr="002E0607" w:rsidRDefault="00572A85" w:rsidP="002E0607">
            <w:pPr>
              <w:pStyle w:val="NoSpacing"/>
              <w:jc w:val="center"/>
              <w:rPr>
                <w:rFonts w:ascii="Times New Roman" w:hAnsi="Times New Roman" w:cs="Times New Roman"/>
                <w:sz w:val="19"/>
                <w:szCs w:val="19"/>
              </w:rPr>
            </w:pPr>
            <w:r w:rsidRPr="002E0607">
              <w:rPr>
                <w:rFonts w:ascii="Times New Roman" w:hAnsi="Times New Roman" w:cs="Times New Roman"/>
                <w:sz w:val="19"/>
                <w:szCs w:val="19"/>
              </w:rPr>
              <w:t>2.55</w:t>
            </w:r>
          </w:p>
        </w:tc>
        <w:tc>
          <w:tcPr>
            <w:tcW w:w="0" w:type="auto"/>
            <w:vAlign w:val="center"/>
            <w:hideMark/>
          </w:tcPr>
          <w:p w14:paraId="1D42C261" w14:textId="77777777" w:rsidR="00572A85" w:rsidRPr="002E0607" w:rsidRDefault="00572A85" w:rsidP="002E0607">
            <w:pPr>
              <w:pStyle w:val="NoSpacing"/>
              <w:jc w:val="center"/>
              <w:rPr>
                <w:rFonts w:ascii="Times New Roman" w:hAnsi="Times New Roman" w:cs="Times New Roman"/>
                <w:sz w:val="19"/>
                <w:szCs w:val="19"/>
              </w:rPr>
            </w:pPr>
            <w:r w:rsidRPr="002E0607">
              <w:rPr>
                <w:rFonts w:ascii="Times New Roman" w:hAnsi="Times New Roman" w:cs="Times New Roman"/>
                <w:sz w:val="19"/>
                <w:szCs w:val="19"/>
              </w:rPr>
              <w:t>1.48</w:t>
            </w:r>
          </w:p>
        </w:tc>
        <w:tc>
          <w:tcPr>
            <w:tcW w:w="0" w:type="auto"/>
            <w:vAlign w:val="center"/>
            <w:hideMark/>
          </w:tcPr>
          <w:p w14:paraId="2527C387" w14:textId="77777777" w:rsidR="00572A85" w:rsidRPr="002E0607" w:rsidRDefault="00572A85" w:rsidP="002E0607">
            <w:pPr>
              <w:pStyle w:val="NoSpacing"/>
              <w:jc w:val="center"/>
              <w:rPr>
                <w:rFonts w:ascii="Times New Roman" w:hAnsi="Times New Roman" w:cs="Times New Roman"/>
                <w:sz w:val="19"/>
                <w:szCs w:val="19"/>
              </w:rPr>
            </w:pPr>
            <w:r w:rsidRPr="002E0607">
              <w:rPr>
                <w:rFonts w:ascii="Times New Roman" w:hAnsi="Times New Roman" w:cs="Times New Roman"/>
                <w:sz w:val="19"/>
                <w:szCs w:val="19"/>
              </w:rPr>
              <w:t>4.03</w:t>
            </w:r>
          </w:p>
        </w:tc>
        <w:tc>
          <w:tcPr>
            <w:tcW w:w="0" w:type="auto"/>
            <w:gridSpan w:val="3"/>
            <w:vMerge/>
            <w:vAlign w:val="center"/>
            <w:hideMark/>
          </w:tcPr>
          <w:p w14:paraId="778157D8" w14:textId="2A413AE1" w:rsidR="00572A85" w:rsidRPr="002E0607" w:rsidRDefault="00572A85" w:rsidP="002E0607">
            <w:pPr>
              <w:pStyle w:val="NoSpacing"/>
              <w:jc w:val="center"/>
              <w:rPr>
                <w:rFonts w:ascii="Times New Roman" w:hAnsi="Times New Roman" w:cs="Times New Roman"/>
                <w:sz w:val="19"/>
                <w:szCs w:val="19"/>
              </w:rPr>
            </w:pPr>
          </w:p>
        </w:tc>
        <w:tc>
          <w:tcPr>
            <w:tcW w:w="0" w:type="auto"/>
            <w:vAlign w:val="center"/>
            <w:hideMark/>
          </w:tcPr>
          <w:p w14:paraId="381402AA" w14:textId="77777777" w:rsidR="00572A85" w:rsidRPr="002E0607" w:rsidRDefault="00572A85" w:rsidP="002E0607">
            <w:pPr>
              <w:pStyle w:val="NoSpacing"/>
              <w:jc w:val="center"/>
              <w:rPr>
                <w:rFonts w:ascii="Times New Roman" w:hAnsi="Times New Roman" w:cs="Times New Roman"/>
                <w:sz w:val="19"/>
                <w:szCs w:val="19"/>
              </w:rPr>
            </w:pPr>
            <w:r w:rsidRPr="002E0607">
              <w:rPr>
                <w:rFonts w:ascii="Times New Roman" w:hAnsi="Times New Roman" w:cs="Times New Roman"/>
                <w:sz w:val="19"/>
                <w:szCs w:val="19"/>
              </w:rPr>
              <w:t>10.46</w:t>
            </w:r>
          </w:p>
        </w:tc>
        <w:tc>
          <w:tcPr>
            <w:tcW w:w="0" w:type="auto"/>
            <w:vAlign w:val="center"/>
            <w:hideMark/>
          </w:tcPr>
          <w:p w14:paraId="72B6FDB6" w14:textId="77777777" w:rsidR="00572A85" w:rsidRPr="002E0607" w:rsidRDefault="00572A85" w:rsidP="002E0607">
            <w:pPr>
              <w:pStyle w:val="NoSpacing"/>
              <w:jc w:val="center"/>
              <w:rPr>
                <w:rFonts w:ascii="Times New Roman" w:hAnsi="Times New Roman" w:cs="Times New Roman"/>
                <w:sz w:val="19"/>
                <w:szCs w:val="19"/>
              </w:rPr>
            </w:pPr>
            <w:r w:rsidRPr="002E0607">
              <w:rPr>
                <w:rFonts w:ascii="Times New Roman" w:hAnsi="Times New Roman" w:cs="Times New Roman"/>
                <w:sz w:val="19"/>
                <w:szCs w:val="19"/>
              </w:rPr>
              <w:t>5.56</w:t>
            </w:r>
          </w:p>
        </w:tc>
        <w:tc>
          <w:tcPr>
            <w:tcW w:w="0" w:type="auto"/>
            <w:vAlign w:val="center"/>
            <w:hideMark/>
          </w:tcPr>
          <w:p w14:paraId="713013AB" w14:textId="77777777" w:rsidR="00572A85" w:rsidRPr="002E0607" w:rsidRDefault="00572A85" w:rsidP="002E0607">
            <w:pPr>
              <w:pStyle w:val="NoSpacing"/>
              <w:jc w:val="center"/>
              <w:rPr>
                <w:rFonts w:ascii="Times New Roman" w:hAnsi="Times New Roman" w:cs="Times New Roman"/>
                <w:sz w:val="19"/>
                <w:szCs w:val="19"/>
              </w:rPr>
            </w:pPr>
            <w:r w:rsidRPr="002E0607">
              <w:rPr>
                <w:rFonts w:ascii="Times New Roman" w:hAnsi="Times New Roman" w:cs="Times New Roman"/>
                <w:sz w:val="19"/>
                <w:szCs w:val="19"/>
              </w:rPr>
              <w:t>16.02</w:t>
            </w:r>
          </w:p>
        </w:tc>
      </w:tr>
      <w:tr w:rsidR="00572A85" w:rsidRPr="002E0607" w14:paraId="4B4F5FED" w14:textId="77777777" w:rsidTr="002E0607">
        <w:trPr>
          <w:trHeight w:val="157"/>
        </w:trPr>
        <w:tc>
          <w:tcPr>
            <w:tcW w:w="1926" w:type="dxa"/>
            <w:vAlign w:val="center"/>
            <w:hideMark/>
          </w:tcPr>
          <w:p w14:paraId="3C4E5C6B" w14:textId="77777777" w:rsidR="00572A85" w:rsidRPr="002E0607" w:rsidRDefault="00572A85" w:rsidP="002E0607">
            <w:pPr>
              <w:pStyle w:val="NoSpacing"/>
              <w:rPr>
                <w:rFonts w:ascii="Times New Roman" w:hAnsi="Times New Roman" w:cs="Times New Roman"/>
                <w:sz w:val="19"/>
                <w:szCs w:val="19"/>
              </w:rPr>
            </w:pPr>
            <w:r w:rsidRPr="002E0607">
              <w:rPr>
                <w:rFonts w:ascii="Times New Roman" w:hAnsi="Times New Roman" w:cs="Times New Roman"/>
                <w:sz w:val="19"/>
                <w:szCs w:val="19"/>
              </w:rPr>
              <w:t>Rajasthan</w:t>
            </w:r>
          </w:p>
        </w:tc>
        <w:tc>
          <w:tcPr>
            <w:tcW w:w="0" w:type="auto"/>
            <w:vAlign w:val="center"/>
            <w:hideMark/>
          </w:tcPr>
          <w:p w14:paraId="253C5109" w14:textId="77777777" w:rsidR="00572A85" w:rsidRPr="002E0607" w:rsidRDefault="00572A85" w:rsidP="002E0607">
            <w:pPr>
              <w:pStyle w:val="NoSpacing"/>
              <w:jc w:val="center"/>
              <w:rPr>
                <w:rFonts w:ascii="Times New Roman" w:hAnsi="Times New Roman" w:cs="Times New Roman"/>
                <w:sz w:val="19"/>
                <w:szCs w:val="19"/>
              </w:rPr>
            </w:pPr>
            <w:r w:rsidRPr="002E0607">
              <w:rPr>
                <w:rFonts w:ascii="Times New Roman" w:hAnsi="Times New Roman" w:cs="Times New Roman"/>
                <w:sz w:val="19"/>
                <w:szCs w:val="19"/>
              </w:rPr>
              <w:t>2.69</w:t>
            </w:r>
          </w:p>
        </w:tc>
        <w:tc>
          <w:tcPr>
            <w:tcW w:w="0" w:type="auto"/>
            <w:vAlign w:val="center"/>
            <w:hideMark/>
          </w:tcPr>
          <w:p w14:paraId="15FD89C8" w14:textId="77777777" w:rsidR="00572A85" w:rsidRPr="002E0607" w:rsidRDefault="00572A85" w:rsidP="002E0607">
            <w:pPr>
              <w:pStyle w:val="NoSpacing"/>
              <w:jc w:val="center"/>
              <w:rPr>
                <w:rFonts w:ascii="Times New Roman" w:hAnsi="Times New Roman" w:cs="Times New Roman"/>
                <w:sz w:val="19"/>
                <w:szCs w:val="19"/>
              </w:rPr>
            </w:pPr>
            <w:r w:rsidRPr="002E0607">
              <w:rPr>
                <w:rFonts w:ascii="Times New Roman" w:hAnsi="Times New Roman" w:cs="Times New Roman"/>
                <w:sz w:val="19"/>
                <w:szCs w:val="19"/>
              </w:rPr>
              <w:t>..</w:t>
            </w:r>
          </w:p>
        </w:tc>
        <w:tc>
          <w:tcPr>
            <w:tcW w:w="0" w:type="auto"/>
            <w:vAlign w:val="center"/>
            <w:hideMark/>
          </w:tcPr>
          <w:p w14:paraId="3A9B8A62" w14:textId="77777777" w:rsidR="00572A85" w:rsidRPr="002E0607" w:rsidRDefault="00572A85" w:rsidP="002E0607">
            <w:pPr>
              <w:pStyle w:val="NoSpacing"/>
              <w:jc w:val="center"/>
              <w:rPr>
                <w:rFonts w:ascii="Times New Roman" w:hAnsi="Times New Roman" w:cs="Times New Roman"/>
                <w:sz w:val="19"/>
                <w:szCs w:val="19"/>
              </w:rPr>
            </w:pPr>
            <w:r w:rsidRPr="002E0607">
              <w:rPr>
                <w:rFonts w:ascii="Times New Roman" w:hAnsi="Times New Roman" w:cs="Times New Roman"/>
                <w:sz w:val="19"/>
                <w:szCs w:val="19"/>
              </w:rPr>
              <w:t>2.69</w:t>
            </w:r>
          </w:p>
        </w:tc>
        <w:tc>
          <w:tcPr>
            <w:tcW w:w="0" w:type="auto"/>
            <w:vAlign w:val="center"/>
            <w:hideMark/>
          </w:tcPr>
          <w:p w14:paraId="7C18AB70" w14:textId="77777777" w:rsidR="00572A85" w:rsidRPr="002E0607" w:rsidRDefault="00572A85" w:rsidP="002E0607">
            <w:pPr>
              <w:pStyle w:val="NoSpacing"/>
              <w:jc w:val="center"/>
              <w:rPr>
                <w:rFonts w:ascii="Times New Roman" w:hAnsi="Times New Roman" w:cs="Times New Roman"/>
                <w:sz w:val="19"/>
                <w:szCs w:val="19"/>
              </w:rPr>
            </w:pPr>
            <w:r w:rsidRPr="002E0607">
              <w:rPr>
                <w:rFonts w:ascii="Times New Roman" w:hAnsi="Times New Roman" w:cs="Times New Roman"/>
                <w:sz w:val="19"/>
                <w:szCs w:val="19"/>
              </w:rPr>
              <w:t>2.67</w:t>
            </w:r>
          </w:p>
        </w:tc>
        <w:tc>
          <w:tcPr>
            <w:tcW w:w="0" w:type="auto"/>
            <w:vAlign w:val="center"/>
            <w:hideMark/>
          </w:tcPr>
          <w:p w14:paraId="5975DFB9" w14:textId="77777777" w:rsidR="00572A85" w:rsidRPr="002E0607" w:rsidRDefault="00572A85" w:rsidP="002E0607">
            <w:pPr>
              <w:pStyle w:val="NoSpacing"/>
              <w:jc w:val="center"/>
              <w:rPr>
                <w:rFonts w:ascii="Times New Roman" w:hAnsi="Times New Roman" w:cs="Times New Roman"/>
                <w:sz w:val="19"/>
                <w:szCs w:val="19"/>
              </w:rPr>
            </w:pPr>
            <w:r w:rsidRPr="002E0607">
              <w:rPr>
                <w:rFonts w:ascii="Times New Roman" w:hAnsi="Times New Roman" w:cs="Times New Roman"/>
                <w:sz w:val="19"/>
                <w:szCs w:val="19"/>
              </w:rPr>
              <w:t>0.20</w:t>
            </w:r>
          </w:p>
        </w:tc>
        <w:tc>
          <w:tcPr>
            <w:tcW w:w="0" w:type="auto"/>
            <w:vAlign w:val="center"/>
            <w:hideMark/>
          </w:tcPr>
          <w:p w14:paraId="1A1495C0" w14:textId="77777777" w:rsidR="00572A85" w:rsidRPr="002E0607" w:rsidRDefault="00572A85" w:rsidP="002E0607">
            <w:pPr>
              <w:pStyle w:val="NoSpacing"/>
              <w:jc w:val="center"/>
              <w:rPr>
                <w:rFonts w:ascii="Times New Roman" w:hAnsi="Times New Roman" w:cs="Times New Roman"/>
                <w:sz w:val="19"/>
                <w:szCs w:val="19"/>
              </w:rPr>
            </w:pPr>
            <w:r w:rsidRPr="002E0607">
              <w:rPr>
                <w:rFonts w:ascii="Times New Roman" w:hAnsi="Times New Roman" w:cs="Times New Roman"/>
                <w:sz w:val="19"/>
                <w:szCs w:val="19"/>
              </w:rPr>
              <w:t>2.87</w:t>
            </w:r>
          </w:p>
        </w:tc>
        <w:tc>
          <w:tcPr>
            <w:tcW w:w="0" w:type="auto"/>
            <w:vAlign w:val="center"/>
            <w:hideMark/>
          </w:tcPr>
          <w:p w14:paraId="22C19C8D" w14:textId="77777777" w:rsidR="00572A85" w:rsidRPr="002E0607" w:rsidRDefault="00572A85" w:rsidP="002E0607">
            <w:pPr>
              <w:pStyle w:val="NoSpacing"/>
              <w:jc w:val="center"/>
              <w:rPr>
                <w:rFonts w:ascii="Times New Roman" w:hAnsi="Times New Roman" w:cs="Times New Roman"/>
                <w:sz w:val="19"/>
                <w:szCs w:val="19"/>
              </w:rPr>
            </w:pPr>
            <w:r w:rsidRPr="002E0607">
              <w:rPr>
                <w:rFonts w:ascii="Times New Roman" w:hAnsi="Times New Roman" w:cs="Times New Roman"/>
                <w:sz w:val="19"/>
                <w:szCs w:val="19"/>
              </w:rPr>
              <w:t>2.79</w:t>
            </w:r>
          </w:p>
        </w:tc>
        <w:tc>
          <w:tcPr>
            <w:tcW w:w="0" w:type="auto"/>
            <w:vAlign w:val="center"/>
            <w:hideMark/>
          </w:tcPr>
          <w:p w14:paraId="789F90BB" w14:textId="77777777" w:rsidR="00572A85" w:rsidRPr="002E0607" w:rsidRDefault="00572A85" w:rsidP="002E0607">
            <w:pPr>
              <w:pStyle w:val="NoSpacing"/>
              <w:jc w:val="center"/>
              <w:rPr>
                <w:rFonts w:ascii="Times New Roman" w:hAnsi="Times New Roman" w:cs="Times New Roman"/>
                <w:sz w:val="19"/>
                <w:szCs w:val="19"/>
              </w:rPr>
            </w:pPr>
            <w:r w:rsidRPr="002E0607">
              <w:rPr>
                <w:rFonts w:ascii="Times New Roman" w:hAnsi="Times New Roman" w:cs="Times New Roman"/>
                <w:sz w:val="19"/>
                <w:szCs w:val="19"/>
              </w:rPr>
              <w:t>0.26</w:t>
            </w:r>
          </w:p>
        </w:tc>
        <w:tc>
          <w:tcPr>
            <w:tcW w:w="0" w:type="auto"/>
            <w:vAlign w:val="center"/>
            <w:hideMark/>
          </w:tcPr>
          <w:p w14:paraId="1C804907" w14:textId="77777777" w:rsidR="00572A85" w:rsidRPr="002E0607" w:rsidRDefault="00572A85" w:rsidP="002E0607">
            <w:pPr>
              <w:pStyle w:val="NoSpacing"/>
              <w:jc w:val="center"/>
              <w:rPr>
                <w:rFonts w:ascii="Times New Roman" w:hAnsi="Times New Roman" w:cs="Times New Roman"/>
                <w:sz w:val="19"/>
                <w:szCs w:val="19"/>
              </w:rPr>
            </w:pPr>
            <w:r w:rsidRPr="002E0607">
              <w:rPr>
                <w:rFonts w:ascii="Times New Roman" w:hAnsi="Times New Roman" w:cs="Times New Roman"/>
                <w:sz w:val="19"/>
                <w:szCs w:val="19"/>
              </w:rPr>
              <w:t>3.05</w:t>
            </w:r>
          </w:p>
        </w:tc>
        <w:tc>
          <w:tcPr>
            <w:tcW w:w="0" w:type="auto"/>
            <w:vAlign w:val="center"/>
            <w:hideMark/>
          </w:tcPr>
          <w:p w14:paraId="007E4506" w14:textId="77777777" w:rsidR="00572A85" w:rsidRPr="002E0607" w:rsidRDefault="00572A85" w:rsidP="002E0607">
            <w:pPr>
              <w:pStyle w:val="NoSpacing"/>
              <w:jc w:val="center"/>
              <w:rPr>
                <w:rFonts w:ascii="Times New Roman" w:hAnsi="Times New Roman" w:cs="Times New Roman"/>
                <w:sz w:val="19"/>
                <w:szCs w:val="19"/>
              </w:rPr>
            </w:pPr>
            <w:r w:rsidRPr="002E0607">
              <w:rPr>
                <w:rFonts w:ascii="Times New Roman" w:hAnsi="Times New Roman" w:cs="Times New Roman"/>
                <w:sz w:val="19"/>
                <w:szCs w:val="19"/>
              </w:rPr>
              <w:t>2.83</w:t>
            </w:r>
          </w:p>
        </w:tc>
        <w:tc>
          <w:tcPr>
            <w:tcW w:w="0" w:type="auto"/>
            <w:vAlign w:val="center"/>
            <w:hideMark/>
          </w:tcPr>
          <w:p w14:paraId="072AA27E" w14:textId="77777777" w:rsidR="00572A85" w:rsidRPr="002E0607" w:rsidRDefault="00572A85" w:rsidP="002E0607">
            <w:pPr>
              <w:pStyle w:val="NoSpacing"/>
              <w:jc w:val="center"/>
              <w:rPr>
                <w:rFonts w:ascii="Times New Roman" w:hAnsi="Times New Roman" w:cs="Times New Roman"/>
                <w:sz w:val="19"/>
                <w:szCs w:val="19"/>
              </w:rPr>
            </w:pPr>
            <w:r w:rsidRPr="002E0607">
              <w:rPr>
                <w:rFonts w:ascii="Times New Roman" w:hAnsi="Times New Roman" w:cs="Times New Roman"/>
                <w:sz w:val="19"/>
                <w:szCs w:val="19"/>
              </w:rPr>
              <w:t>0.33</w:t>
            </w:r>
          </w:p>
        </w:tc>
        <w:tc>
          <w:tcPr>
            <w:tcW w:w="0" w:type="auto"/>
            <w:vAlign w:val="center"/>
            <w:hideMark/>
          </w:tcPr>
          <w:p w14:paraId="09A86ECE" w14:textId="77777777" w:rsidR="00572A85" w:rsidRPr="002E0607" w:rsidRDefault="00572A85" w:rsidP="002E0607">
            <w:pPr>
              <w:pStyle w:val="NoSpacing"/>
              <w:jc w:val="center"/>
              <w:rPr>
                <w:rFonts w:ascii="Times New Roman" w:hAnsi="Times New Roman" w:cs="Times New Roman"/>
                <w:sz w:val="19"/>
                <w:szCs w:val="19"/>
              </w:rPr>
            </w:pPr>
            <w:r w:rsidRPr="002E0607">
              <w:rPr>
                <w:rFonts w:ascii="Times New Roman" w:hAnsi="Times New Roman" w:cs="Times New Roman"/>
                <w:sz w:val="19"/>
                <w:szCs w:val="19"/>
              </w:rPr>
              <w:t>3.16</w:t>
            </w:r>
          </w:p>
        </w:tc>
        <w:tc>
          <w:tcPr>
            <w:tcW w:w="0" w:type="auto"/>
            <w:gridSpan w:val="3"/>
            <w:vMerge/>
            <w:vAlign w:val="center"/>
            <w:hideMark/>
          </w:tcPr>
          <w:p w14:paraId="5A9004D9" w14:textId="77EAE9B4" w:rsidR="00572A85" w:rsidRPr="002E0607" w:rsidRDefault="00572A85" w:rsidP="002E0607">
            <w:pPr>
              <w:pStyle w:val="NoSpacing"/>
              <w:jc w:val="center"/>
              <w:rPr>
                <w:rFonts w:ascii="Times New Roman" w:hAnsi="Times New Roman" w:cs="Times New Roman"/>
                <w:sz w:val="19"/>
                <w:szCs w:val="19"/>
              </w:rPr>
            </w:pPr>
          </w:p>
        </w:tc>
        <w:tc>
          <w:tcPr>
            <w:tcW w:w="0" w:type="auto"/>
            <w:vAlign w:val="center"/>
            <w:hideMark/>
          </w:tcPr>
          <w:p w14:paraId="6216ECE5" w14:textId="77777777" w:rsidR="00572A85" w:rsidRPr="002E0607" w:rsidRDefault="00572A85" w:rsidP="002E0607">
            <w:pPr>
              <w:pStyle w:val="NoSpacing"/>
              <w:jc w:val="center"/>
              <w:rPr>
                <w:rFonts w:ascii="Times New Roman" w:hAnsi="Times New Roman" w:cs="Times New Roman"/>
                <w:sz w:val="19"/>
                <w:szCs w:val="19"/>
              </w:rPr>
            </w:pPr>
            <w:r w:rsidRPr="002E0607">
              <w:rPr>
                <w:rFonts w:ascii="Times New Roman" w:hAnsi="Times New Roman" w:cs="Times New Roman"/>
                <w:sz w:val="19"/>
                <w:szCs w:val="19"/>
              </w:rPr>
              <w:t>10.98</w:t>
            </w:r>
          </w:p>
        </w:tc>
        <w:tc>
          <w:tcPr>
            <w:tcW w:w="0" w:type="auto"/>
            <w:vAlign w:val="center"/>
            <w:hideMark/>
          </w:tcPr>
          <w:p w14:paraId="248AF4E5" w14:textId="77777777" w:rsidR="00572A85" w:rsidRPr="002E0607" w:rsidRDefault="00572A85" w:rsidP="002E0607">
            <w:pPr>
              <w:pStyle w:val="NoSpacing"/>
              <w:jc w:val="center"/>
              <w:rPr>
                <w:rFonts w:ascii="Times New Roman" w:hAnsi="Times New Roman" w:cs="Times New Roman"/>
                <w:sz w:val="19"/>
                <w:szCs w:val="19"/>
              </w:rPr>
            </w:pPr>
            <w:r w:rsidRPr="002E0607">
              <w:rPr>
                <w:rFonts w:ascii="Times New Roman" w:hAnsi="Times New Roman" w:cs="Times New Roman"/>
                <w:sz w:val="19"/>
                <w:szCs w:val="19"/>
              </w:rPr>
              <w:t>0.79</w:t>
            </w:r>
          </w:p>
        </w:tc>
        <w:tc>
          <w:tcPr>
            <w:tcW w:w="0" w:type="auto"/>
            <w:vAlign w:val="center"/>
            <w:hideMark/>
          </w:tcPr>
          <w:p w14:paraId="01E1B7A8" w14:textId="77777777" w:rsidR="00572A85" w:rsidRPr="002E0607" w:rsidRDefault="00572A85" w:rsidP="002E0607">
            <w:pPr>
              <w:pStyle w:val="NoSpacing"/>
              <w:jc w:val="center"/>
              <w:rPr>
                <w:rFonts w:ascii="Times New Roman" w:hAnsi="Times New Roman" w:cs="Times New Roman"/>
                <w:sz w:val="19"/>
                <w:szCs w:val="19"/>
              </w:rPr>
            </w:pPr>
            <w:r w:rsidRPr="002E0607">
              <w:rPr>
                <w:rFonts w:ascii="Times New Roman" w:hAnsi="Times New Roman" w:cs="Times New Roman"/>
                <w:sz w:val="19"/>
                <w:szCs w:val="19"/>
              </w:rPr>
              <w:t>11.77</w:t>
            </w:r>
          </w:p>
        </w:tc>
      </w:tr>
      <w:tr w:rsidR="00572A85" w:rsidRPr="002E0607" w14:paraId="33675B6C" w14:textId="77777777" w:rsidTr="002E0607">
        <w:trPr>
          <w:trHeight w:val="157"/>
        </w:trPr>
        <w:tc>
          <w:tcPr>
            <w:tcW w:w="1926" w:type="dxa"/>
            <w:vAlign w:val="center"/>
            <w:hideMark/>
          </w:tcPr>
          <w:p w14:paraId="3F1FF445" w14:textId="77777777" w:rsidR="00572A85" w:rsidRPr="002E0607" w:rsidRDefault="00572A85" w:rsidP="002E0607">
            <w:pPr>
              <w:pStyle w:val="NoSpacing"/>
              <w:rPr>
                <w:rFonts w:ascii="Times New Roman" w:hAnsi="Times New Roman" w:cs="Times New Roman"/>
                <w:sz w:val="19"/>
                <w:szCs w:val="19"/>
              </w:rPr>
            </w:pPr>
            <w:r w:rsidRPr="002E0607">
              <w:rPr>
                <w:rFonts w:ascii="Times New Roman" w:hAnsi="Times New Roman" w:cs="Times New Roman"/>
                <w:sz w:val="19"/>
                <w:szCs w:val="19"/>
              </w:rPr>
              <w:t>Saurashtra</w:t>
            </w:r>
          </w:p>
        </w:tc>
        <w:tc>
          <w:tcPr>
            <w:tcW w:w="0" w:type="auto"/>
            <w:vAlign w:val="center"/>
            <w:hideMark/>
          </w:tcPr>
          <w:p w14:paraId="47EADE7F" w14:textId="77777777" w:rsidR="00572A85" w:rsidRPr="002E0607" w:rsidRDefault="00572A85" w:rsidP="002E0607">
            <w:pPr>
              <w:pStyle w:val="NoSpacing"/>
              <w:jc w:val="center"/>
              <w:rPr>
                <w:rFonts w:ascii="Times New Roman" w:hAnsi="Times New Roman" w:cs="Times New Roman"/>
                <w:sz w:val="19"/>
                <w:szCs w:val="19"/>
              </w:rPr>
            </w:pPr>
            <w:r w:rsidRPr="002E0607">
              <w:rPr>
                <w:rFonts w:ascii="Times New Roman" w:hAnsi="Times New Roman" w:cs="Times New Roman"/>
                <w:sz w:val="19"/>
                <w:szCs w:val="19"/>
              </w:rPr>
              <w:t>..</w:t>
            </w:r>
          </w:p>
        </w:tc>
        <w:tc>
          <w:tcPr>
            <w:tcW w:w="0" w:type="auto"/>
            <w:vAlign w:val="center"/>
            <w:hideMark/>
          </w:tcPr>
          <w:p w14:paraId="18668967" w14:textId="77777777" w:rsidR="00572A85" w:rsidRPr="002E0607" w:rsidRDefault="00572A85" w:rsidP="002E0607">
            <w:pPr>
              <w:pStyle w:val="NoSpacing"/>
              <w:jc w:val="center"/>
              <w:rPr>
                <w:rFonts w:ascii="Times New Roman" w:hAnsi="Times New Roman" w:cs="Times New Roman"/>
                <w:sz w:val="19"/>
                <w:szCs w:val="19"/>
              </w:rPr>
            </w:pPr>
            <w:r w:rsidRPr="002E0607">
              <w:rPr>
                <w:rFonts w:ascii="Times New Roman" w:hAnsi="Times New Roman" w:cs="Times New Roman"/>
                <w:sz w:val="19"/>
                <w:szCs w:val="19"/>
              </w:rPr>
              <w:t>0.40</w:t>
            </w:r>
          </w:p>
        </w:tc>
        <w:tc>
          <w:tcPr>
            <w:tcW w:w="0" w:type="auto"/>
            <w:vAlign w:val="center"/>
            <w:hideMark/>
          </w:tcPr>
          <w:p w14:paraId="30B1F109" w14:textId="77777777" w:rsidR="00572A85" w:rsidRPr="002E0607" w:rsidRDefault="00572A85" w:rsidP="002E0607">
            <w:pPr>
              <w:pStyle w:val="NoSpacing"/>
              <w:jc w:val="center"/>
              <w:rPr>
                <w:rFonts w:ascii="Times New Roman" w:hAnsi="Times New Roman" w:cs="Times New Roman"/>
                <w:sz w:val="19"/>
                <w:szCs w:val="19"/>
              </w:rPr>
            </w:pPr>
            <w:r w:rsidRPr="002E0607">
              <w:rPr>
                <w:rFonts w:ascii="Times New Roman" w:hAnsi="Times New Roman" w:cs="Times New Roman"/>
                <w:sz w:val="19"/>
                <w:szCs w:val="19"/>
              </w:rPr>
              <w:t>0.40</w:t>
            </w:r>
          </w:p>
        </w:tc>
        <w:tc>
          <w:tcPr>
            <w:tcW w:w="0" w:type="auto"/>
            <w:vAlign w:val="center"/>
            <w:hideMark/>
          </w:tcPr>
          <w:p w14:paraId="3578BE16" w14:textId="77777777" w:rsidR="00572A85" w:rsidRPr="002E0607" w:rsidRDefault="00572A85" w:rsidP="002E0607">
            <w:pPr>
              <w:pStyle w:val="NoSpacing"/>
              <w:jc w:val="center"/>
              <w:rPr>
                <w:rFonts w:ascii="Times New Roman" w:hAnsi="Times New Roman" w:cs="Times New Roman"/>
                <w:sz w:val="19"/>
                <w:szCs w:val="19"/>
              </w:rPr>
            </w:pPr>
            <w:r w:rsidRPr="002E0607">
              <w:rPr>
                <w:rFonts w:ascii="Times New Roman" w:hAnsi="Times New Roman" w:cs="Times New Roman"/>
                <w:sz w:val="19"/>
                <w:szCs w:val="19"/>
              </w:rPr>
              <w:t>..</w:t>
            </w:r>
          </w:p>
        </w:tc>
        <w:tc>
          <w:tcPr>
            <w:tcW w:w="0" w:type="auto"/>
            <w:vAlign w:val="center"/>
            <w:hideMark/>
          </w:tcPr>
          <w:p w14:paraId="74212755" w14:textId="77777777" w:rsidR="00572A85" w:rsidRPr="002E0607" w:rsidRDefault="00572A85" w:rsidP="002E0607">
            <w:pPr>
              <w:pStyle w:val="NoSpacing"/>
              <w:jc w:val="center"/>
              <w:rPr>
                <w:rFonts w:ascii="Times New Roman" w:hAnsi="Times New Roman" w:cs="Times New Roman"/>
                <w:sz w:val="19"/>
                <w:szCs w:val="19"/>
              </w:rPr>
            </w:pPr>
            <w:r w:rsidRPr="002E0607">
              <w:rPr>
                <w:rFonts w:ascii="Times New Roman" w:hAnsi="Times New Roman" w:cs="Times New Roman"/>
                <w:sz w:val="19"/>
                <w:szCs w:val="19"/>
              </w:rPr>
              <w:t>0.40</w:t>
            </w:r>
          </w:p>
        </w:tc>
        <w:tc>
          <w:tcPr>
            <w:tcW w:w="0" w:type="auto"/>
            <w:vAlign w:val="center"/>
            <w:hideMark/>
          </w:tcPr>
          <w:p w14:paraId="36EEE3D0" w14:textId="77777777" w:rsidR="00572A85" w:rsidRPr="002E0607" w:rsidRDefault="00572A85" w:rsidP="002E0607">
            <w:pPr>
              <w:pStyle w:val="NoSpacing"/>
              <w:jc w:val="center"/>
              <w:rPr>
                <w:rFonts w:ascii="Times New Roman" w:hAnsi="Times New Roman" w:cs="Times New Roman"/>
                <w:sz w:val="19"/>
                <w:szCs w:val="19"/>
              </w:rPr>
            </w:pPr>
            <w:r w:rsidRPr="002E0607">
              <w:rPr>
                <w:rFonts w:ascii="Times New Roman" w:hAnsi="Times New Roman" w:cs="Times New Roman"/>
                <w:sz w:val="19"/>
                <w:szCs w:val="19"/>
              </w:rPr>
              <w:t>0.40</w:t>
            </w:r>
          </w:p>
        </w:tc>
        <w:tc>
          <w:tcPr>
            <w:tcW w:w="0" w:type="auto"/>
            <w:vAlign w:val="center"/>
            <w:hideMark/>
          </w:tcPr>
          <w:p w14:paraId="05A666D3" w14:textId="77777777" w:rsidR="00572A85" w:rsidRPr="002E0607" w:rsidRDefault="00572A85" w:rsidP="002E0607">
            <w:pPr>
              <w:pStyle w:val="NoSpacing"/>
              <w:jc w:val="center"/>
              <w:rPr>
                <w:rFonts w:ascii="Times New Roman" w:hAnsi="Times New Roman" w:cs="Times New Roman"/>
                <w:sz w:val="19"/>
                <w:szCs w:val="19"/>
              </w:rPr>
            </w:pPr>
            <w:r w:rsidRPr="002E0607">
              <w:rPr>
                <w:rFonts w:ascii="Times New Roman" w:hAnsi="Times New Roman" w:cs="Times New Roman"/>
                <w:sz w:val="19"/>
                <w:szCs w:val="19"/>
              </w:rPr>
              <w:t>..</w:t>
            </w:r>
          </w:p>
        </w:tc>
        <w:tc>
          <w:tcPr>
            <w:tcW w:w="0" w:type="auto"/>
            <w:vAlign w:val="center"/>
            <w:hideMark/>
          </w:tcPr>
          <w:p w14:paraId="5BC37256" w14:textId="77777777" w:rsidR="00572A85" w:rsidRPr="002E0607" w:rsidRDefault="00572A85" w:rsidP="002E0607">
            <w:pPr>
              <w:pStyle w:val="NoSpacing"/>
              <w:jc w:val="center"/>
              <w:rPr>
                <w:rFonts w:ascii="Times New Roman" w:hAnsi="Times New Roman" w:cs="Times New Roman"/>
                <w:sz w:val="19"/>
                <w:szCs w:val="19"/>
              </w:rPr>
            </w:pPr>
            <w:r w:rsidRPr="002E0607">
              <w:rPr>
                <w:rFonts w:ascii="Times New Roman" w:hAnsi="Times New Roman" w:cs="Times New Roman"/>
                <w:sz w:val="19"/>
                <w:szCs w:val="19"/>
              </w:rPr>
              <w:t>0.40</w:t>
            </w:r>
          </w:p>
        </w:tc>
        <w:tc>
          <w:tcPr>
            <w:tcW w:w="0" w:type="auto"/>
            <w:vAlign w:val="center"/>
            <w:hideMark/>
          </w:tcPr>
          <w:p w14:paraId="7406243B" w14:textId="77777777" w:rsidR="00572A85" w:rsidRPr="002E0607" w:rsidRDefault="00572A85" w:rsidP="002E0607">
            <w:pPr>
              <w:pStyle w:val="NoSpacing"/>
              <w:jc w:val="center"/>
              <w:rPr>
                <w:rFonts w:ascii="Times New Roman" w:hAnsi="Times New Roman" w:cs="Times New Roman"/>
                <w:sz w:val="19"/>
                <w:szCs w:val="19"/>
              </w:rPr>
            </w:pPr>
            <w:r w:rsidRPr="002E0607">
              <w:rPr>
                <w:rFonts w:ascii="Times New Roman" w:hAnsi="Times New Roman" w:cs="Times New Roman"/>
                <w:sz w:val="19"/>
                <w:szCs w:val="19"/>
              </w:rPr>
              <w:t>0.40</w:t>
            </w:r>
          </w:p>
        </w:tc>
        <w:tc>
          <w:tcPr>
            <w:tcW w:w="0" w:type="auto"/>
            <w:vAlign w:val="center"/>
            <w:hideMark/>
          </w:tcPr>
          <w:p w14:paraId="2AA8E737" w14:textId="77777777" w:rsidR="00572A85" w:rsidRPr="002E0607" w:rsidRDefault="00572A85" w:rsidP="002E0607">
            <w:pPr>
              <w:pStyle w:val="NoSpacing"/>
              <w:jc w:val="center"/>
              <w:rPr>
                <w:rFonts w:ascii="Times New Roman" w:hAnsi="Times New Roman" w:cs="Times New Roman"/>
                <w:sz w:val="19"/>
                <w:szCs w:val="19"/>
              </w:rPr>
            </w:pPr>
            <w:r w:rsidRPr="002E0607">
              <w:rPr>
                <w:rFonts w:ascii="Times New Roman" w:hAnsi="Times New Roman" w:cs="Times New Roman"/>
                <w:sz w:val="19"/>
                <w:szCs w:val="19"/>
              </w:rPr>
              <w:t>..</w:t>
            </w:r>
          </w:p>
        </w:tc>
        <w:tc>
          <w:tcPr>
            <w:tcW w:w="0" w:type="auto"/>
            <w:vAlign w:val="center"/>
            <w:hideMark/>
          </w:tcPr>
          <w:p w14:paraId="2CBB0585" w14:textId="77777777" w:rsidR="00572A85" w:rsidRPr="002E0607" w:rsidRDefault="00572A85" w:rsidP="002E0607">
            <w:pPr>
              <w:pStyle w:val="NoSpacing"/>
              <w:jc w:val="center"/>
              <w:rPr>
                <w:rFonts w:ascii="Times New Roman" w:hAnsi="Times New Roman" w:cs="Times New Roman"/>
                <w:sz w:val="19"/>
                <w:szCs w:val="19"/>
              </w:rPr>
            </w:pPr>
            <w:r w:rsidRPr="002E0607">
              <w:rPr>
                <w:rFonts w:ascii="Times New Roman" w:hAnsi="Times New Roman" w:cs="Times New Roman"/>
                <w:sz w:val="19"/>
                <w:szCs w:val="19"/>
              </w:rPr>
              <w:t>0.40</w:t>
            </w:r>
          </w:p>
        </w:tc>
        <w:tc>
          <w:tcPr>
            <w:tcW w:w="0" w:type="auto"/>
            <w:vAlign w:val="center"/>
            <w:hideMark/>
          </w:tcPr>
          <w:p w14:paraId="1DCF7F4F" w14:textId="77777777" w:rsidR="00572A85" w:rsidRPr="002E0607" w:rsidRDefault="00572A85" w:rsidP="002E0607">
            <w:pPr>
              <w:pStyle w:val="NoSpacing"/>
              <w:jc w:val="center"/>
              <w:rPr>
                <w:rFonts w:ascii="Times New Roman" w:hAnsi="Times New Roman" w:cs="Times New Roman"/>
                <w:sz w:val="19"/>
                <w:szCs w:val="19"/>
              </w:rPr>
            </w:pPr>
            <w:r w:rsidRPr="002E0607">
              <w:rPr>
                <w:rFonts w:ascii="Times New Roman" w:hAnsi="Times New Roman" w:cs="Times New Roman"/>
                <w:sz w:val="19"/>
                <w:szCs w:val="19"/>
              </w:rPr>
              <w:t>0.40</w:t>
            </w:r>
          </w:p>
        </w:tc>
        <w:tc>
          <w:tcPr>
            <w:tcW w:w="0" w:type="auto"/>
            <w:gridSpan w:val="3"/>
            <w:vMerge/>
            <w:vAlign w:val="center"/>
            <w:hideMark/>
          </w:tcPr>
          <w:p w14:paraId="4502636D" w14:textId="54C78E9F" w:rsidR="00572A85" w:rsidRPr="002E0607" w:rsidRDefault="00572A85" w:rsidP="002E0607">
            <w:pPr>
              <w:pStyle w:val="NoSpacing"/>
              <w:jc w:val="center"/>
              <w:rPr>
                <w:rFonts w:ascii="Times New Roman" w:hAnsi="Times New Roman" w:cs="Times New Roman"/>
                <w:sz w:val="19"/>
                <w:szCs w:val="19"/>
              </w:rPr>
            </w:pPr>
          </w:p>
        </w:tc>
        <w:tc>
          <w:tcPr>
            <w:tcW w:w="0" w:type="auto"/>
            <w:vAlign w:val="center"/>
            <w:hideMark/>
          </w:tcPr>
          <w:p w14:paraId="07AD3221" w14:textId="77777777" w:rsidR="00572A85" w:rsidRPr="002E0607" w:rsidRDefault="00572A85" w:rsidP="002E0607">
            <w:pPr>
              <w:pStyle w:val="NoSpacing"/>
              <w:jc w:val="center"/>
              <w:rPr>
                <w:rFonts w:ascii="Times New Roman" w:hAnsi="Times New Roman" w:cs="Times New Roman"/>
                <w:sz w:val="19"/>
                <w:szCs w:val="19"/>
              </w:rPr>
            </w:pPr>
            <w:r w:rsidRPr="002E0607">
              <w:rPr>
                <w:rFonts w:ascii="Times New Roman" w:hAnsi="Times New Roman" w:cs="Times New Roman"/>
                <w:sz w:val="19"/>
                <w:szCs w:val="19"/>
              </w:rPr>
              <w:t>..</w:t>
            </w:r>
          </w:p>
        </w:tc>
        <w:tc>
          <w:tcPr>
            <w:tcW w:w="0" w:type="auto"/>
            <w:vAlign w:val="center"/>
            <w:hideMark/>
          </w:tcPr>
          <w:p w14:paraId="1A68D430" w14:textId="77777777" w:rsidR="00572A85" w:rsidRPr="002E0607" w:rsidRDefault="00572A85" w:rsidP="002E0607">
            <w:pPr>
              <w:pStyle w:val="NoSpacing"/>
              <w:jc w:val="center"/>
              <w:rPr>
                <w:rFonts w:ascii="Times New Roman" w:hAnsi="Times New Roman" w:cs="Times New Roman"/>
                <w:sz w:val="19"/>
                <w:szCs w:val="19"/>
              </w:rPr>
            </w:pPr>
            <w:r w:rsidRPr="002E0607">
              <w:rPr>
                <w:rFonts w:ascii="Times New Roman" w:hAnsi="Times New Roman" w:cs="Times New Roman"/>
                <w:sz w:val="19"/>
                <w:szCs w:val="19"/>
              </w:rPr>
              <w:t>1.60</w:t>
            </w:r>
          </w:p>
        </w:tc>
        <w:tc>
          <w:tcPr>
            <w:tcW w:w="0" w:type="auto"/>
            <w:vAlign w:val="center"/>
            <w:hideMark/>
          </w:tcPr>
          <w:p w14:paraId="42A0F1C1" w14:textId="77777777" w:rsidR="00572A85" w:rsidRPr="002E0607" w:rsidRDefault="00572A85" w:rsidP="002E0607">
            <w:pPr>
              <w:pStyle w:val="NoSpacing"/>
              <w:jc w:val="center"/>
              <w:rPr>
                <w:rFonts w:ascii="Times New Roman" w:hAnsi="Times New Roman" w:cs="Times New Roman"/>
                <w:sz w:val="19"/>
                <w:szCs w:val="19"/>
              </w:rPr>
            </w:pPr>
            <w:r w:rsidRPr="002E0607">
              <w:rPr>
                <w:rFonts w:ascii="Times New Roman" w:hAnsi="Times New Roman" w:cs="Times New Roman"/>
                <w:sz w:val="19"/>
                <w:szCs w:val="19"/>
              </w:rPr>
              <w:t>1.60</w:t>
            </w:r>
          </w:p>
        </w:tc>
      </w:tr>
      <w:tr w:rsidR="00572A85" w:rsidRPr="002E0607" w14:paraId="13596179" w14:textId="77777777" w:rsidTr="002E0607">
        <w:trPr>
          <w:trHeight w:val="315"/>
        </w:trPr>
        <w:tc>
          <w:tcPr>
            <w:tcW w:w="1926" w:type="dxa"/>
            <w:vAlign w:val="center"/>
            <w:hideMark/>
          </w:tcPr>
          <w:p w14:paraId="1F2AFDB3" w14:textId="77777777" w:rsidR="00572A85" w:rsidRPr="002E0607" w:rsidRDefault="00572A85" w:rsidP="002E0607">
            <w:pPr>
              <w:pStyle w:val="NoSpacing"/>
              <w:rPr>
                <w:rFonts w:ascii="Times New Roman" w:hAnsi="Times New Roman" w:cs="Times New Roman"/>
                <w:sz w:val="19"/>
                <w:szCs w:val="19"/>
              </w:rPr>
            </w:pPr>
            <w:r w:rsidRPr="002E0607">
              <w:rPr>
                <w:rFonts w:ascii="Times New Roman" w:hAnsi="Times New Roman" w:cs="Times New Roman"/>
                <w:sz w:val="19"/>
                <w:szCs w:val="19"/>
              </w:rPr>
              <w:t>Travancore Cochin</w:t>
            </w:r>
          </w:p>
        </w:tc>
        <w:tc>
          <w:tcPr>
            <w:tcW w:w="0" w:type="auto"/>
            <w:vAlign w:val="center"/>
            <w:hideMark/>
          </w:tcPr>
          <w:p w14:paraId="4F539019" w14:textId="77777777" w:rsidR="00572A85" w:rsidRPr="002E0607" w:rsidRDefault="00572A85" w:rsidP="002E0607">
            <w:pPr>
              <w:pStyle w:val="NoSpacing"/>
              <w:jc w:val="center"/>
              <w:rPr>
                <w:rFonts w:ascii="Times New Roman" w:hAnsi="Times New Roman" w:cs="Times New Roman"/>
                <w:sz w:val="19"/>
                <w:szCs w:val="19"/>
              </w:rPr>
            </w:pPr>
            <w:r w:rsidRPr="002E0607">
              <w:rPr>
                <w:rFonts w:ascii="Times New Roman" w:hAnsi="Times New Roman" w:cs="Times New Roman"/>
                <w:sz w:val="19"/>
                <w:szCs w:val="19"/>
              </w:rPr>
              <w:t>..</w:t>
            </w:r>
          </w:p>
        </w:tc>
        <w:tc>
          <w:tcPr>
            <w:tcW w:w="0" w:type="auto"/>
            <w:vAlign w:val="center"/>
            <w:hideMark/>
          </w:tcPr>
          <w:p w14:paraId="53CBE147" w14:textId="77777777" w:rsidR="00572A85" w:rsidRPr="002E0607" w:rsidRDefault="00572A85" w:rsidP="002E0607">
            <w:pPr>
              <w:pStyle w:val="NoSpacing"/>
              <w:jc w:val="center"/>
              <w:rPr>
                <w:rFonts w:ascii="Times New Roman" w:hAnsi="Times New Roman" w:cs="Times New Roman"/>
                <w:sz w:val="19"/>
                <w:szCs w:val="19"/>
              </w:rPr>
            </w:pPr>
            <w:r w:rsidRPr="002E0607">
              <w:rPr>
                <w:rFonts w:ascii="Times New Roman" w:hAnsi="Times New Roman" w:cs="Times New Roman"/>
                <w:sz w:val="19"/>
                <w:szCs w:val="19"/>
              </w:rPr>
              <w:t>0.45</w:t>
            </w:r>
          </w:p>
        </w:tc>
        <w:tc>
          <w:tcPr>
            <w:tcW w:w="0" w:type="auto"/>
            <w:vAlign w:val="center"/>
            <w:hideMark/>
          </w:tcPr>
          <w:p w14:paraId="4F8E4499" w14:textId="77777777" w:rsidR="00572A85" w:rsidRPr="002E0607" w:rsidRDefault="00572A85" w:rsidP="002E0607">
            <w:pPr>
              <w:pStyle w:val="NoSpacing"/>
              <w:jc w:val="center"/>
              <w:rPr>
                <w:rFonts w:ascii="Times New Roman" w:hAnsi="Times New Roman" w:cs="Times New Roman"/>
                <w:sz w:val="19"/>
                <w:szCs w:val="19"/>
              </w:rPr>
            </w:pPr>
            <w:r w:rsidRPr="002E0607">
              <w:rPr>
                <w:rFonts w:ascii="Times New Roman" w:hAnsi="Times New Roman" w:cs="Times New Roman"/>
                <w:sz w:val="19"/>
                <w:szCs w:val="19"/>
              </w:rPr>
              <w:t>0.45</w:t>
            </w:r>
          </w:p>
        </w:tc>
        <w:tc>
          <w:tcPr>
            <w:tcW w:w="0" w:type="auto"/>
            <w:vAlign w:val="center"/>
            <w:hideMark/>
          </w:tcPr>
          <w:p w14:paraId="1FEA7953" w14:textId="77777777" w:rsidR="00572A85" w:rsidRPr="002E0607" w:rsidRDefault="00572A85" w:rsidP="002E0607">
            <w:pPr>
              <w:pStyle w:val="NoSpacing"/>
              <w:jc w:val="center"/>
              <w:rPr>
                <w:rFonts w:ascii="Times New Roman" w:hAnsi="Times New Roman" w:cs="Times New Roman"/>
                <w:sz w:val="19"/>
                <w:szCs w:val="19"/>
              </w:rPr>
            </w:pPr>
            <w:r w:rsidRPr="002E0607">
              <w:rPr>
                <w:rFonts w:ascii="Times New Roman" w:hAnsi="Times New Roman" w:cs="Times New Roman"/>
                <w:sz w:val="19"/>
                <w:szCs w:val="19"/>
              </w:rPr>
              <w:t>..</w:t>
            </w:r>
          </w:p>
        </w:tc>
        <w:tc>
          <w:tcPr>
            <w:tcW w:w="0" w:type="auto"/>
            <w:vAlign w:val="center"/>
            <w:hideMark/>
          </w:tcPr>
          <w:p w14:paraId="013D3388" w14:textId="77777777" w:rsidR="00572A85" w:rsidRPr="002E0607" w:rsidRDefault="00572A85" w:rsidP="002E0607">
            <w:pPr>
              <w:pStyle w:val="NoSpacing"/>
              <w:jc w:val="center"/>
              <w:rPr>
                <w:rFonts w:ascii="Times New Roman" w:hAnsi="Times New Roman" w:cs="Times New Roman"/>
                <w:sz w:val="19"/>
                <w:szCs w:val="19"/>
              </w:rPr>
            </w:pPr>
            <w:r w:rsidRPr="002E0607">
              <w:rPr>
                <w:rFonts w:ascii="Times New Roman" w:hAnsi="Times New Roman" w:cs="Times New Roman"/>
                <w:sz w:val="19"/>
                <w:szCs w:val="19"/>
              </w:rPr>
              <w:t>0.45</w:t>
            </w:r>
          </w:p>
        </w:tc>
        <w:tc>
          <w:tcPr>
            <w:tcW w:w="0" w:type="auto"/>
            <w:vAlign w:val="center"/>
            <w:hideMark/>
          </w:tcPr>
          <w:p w14:paraId="23EE9BBC" w14:textId="77777777" w:rsidR="00572A85" w:rsidRPr="002E0607" w:rsidRDefault="00572A85" w:rsidP="002E0607">
            <w:pPr>
              <w:pStyle w:val="NoSpacing"/>
              <w:jc w:val="center"/>
              <w:rPr>
                <w:rFonts w:ascii="Times New Roman" w:hAnsi="Times New Roman" w:cs="Times New Roman"/>
                <w:sz w:val="19"/>
                <w:szCs w:val="19"/>
              </w:rPr>
            </w:pPr>
            <w:r w:rsidRPr="002E0607">
              <w:rPr>
                <w:rFonts w:ascii="Times New Roman" w:hAnsi="Times New Roman" w:cs="Times New Roman"/>
                <w:sz w:val="19"/>
                <w:szCs w:val="19"/>
              </w:rPr>
              <w:t>0.45</w:t>
            </w:r>
          </w:p>
        </w:tc>
        <w:tc>
          <w:tcPr>
            <w:tcW w:w="0" w:type="auto"/>
            <w:vAlign w:val="center"/>
            <w:hideMark/>
          </w:tcPr>
          <w:p w14:paraId="13D93F09" w14:textId="77777777" w:rsidR="00572A85" w:rsidRPr="002E0607" w:rsidRDefault="00572A85" w:rsidP="002E0607">
            <w:pPr>
              <w:pStyle w:val="NoSpacing"/>
              <w:jc w:val="center"/>
              <w:rPr>
                <w:rFonts w:ascii="Times New Roman" w:hAnsi="Times New Roman" w:cs="Times New Roman"/>
                <w:sz w:val="19"/>
                <w:szCs w:val="19"/>
              </w:rPr>
            </w:pPr>
            <w:r w:rsidRPr="002E0607">
              <w:rPr>
                <w:rFonts w:ascii="Times New Roman" w:hAnsi="Times New Roman" w:cs="Times New Roman"/>
                <w:sz w:val="19"/>
                <w:szCs w:val="19"/>
              </w:rPr>
              <w:t>..</w:t>
            </w:r>
          </w:p>
        </w:tc>
        <w:tc>
          <w:tcPr>
            <w:tcW w:w="0" w:type="auto"/>
            <w:vAlign w:val="center"/>
            <w:hideMark/>
          </w:tcPr>
          <w:p w14:paraId="1054030B" w14:textId="77777777" w:rsidR="00572A85" w:rsidRPr="002E0607" w:rsidRDefault="00572A85" w:rsidP="002E0607">
            <w:pPr>
              <w:pStyle w:val="NoSpacing"/>
              <w:jc w:val="center"/>
              <w:rPr>
                <w:rFonts w:ascii="Times New Roman" w:hAnsi="Times New Roman" w:cs="Times New Roman"/>
                <w:sz w:val="19"/>
                <w:szCs w:val="19"/>
              </w:rPr>
            </w:pPr>
            <w:r w:rsidRPr="002E0607">
              <w:rPr>
                <w:rFonts w:ascii="Times New Roman" w:hAnsi="Times New Roman" w:cs="Times New Roman"/>
                <w:sz w:val="19"/>
                <w:szCs w:val="19"/>
              </w:rPr>
              <w:t>0.45</w:t>
            </w:r>
          </w:p>
        </w:tc>
        <w:tc>
          <w:tcPr>
            <w:tcW w:w="0" w:type="auto"/>
            <w:vAlign w:val="center"/>
            <w:hideMark/>
          </w:tcPr>
          <w:p w14:paraId="020572C3" w14:textId="77777777" w:rsidR="00572A85" w:rsidRPr="002E0607" w:rsidRDefault="00572A85" w:rsidP="002E0607">
            <w:pPr>
              <w:pStyle w:val="NoSpacing"/>
              <w:jc w:val="center"/>
              <w:rPr>
                <w:rFonts w:ascii="Times New Roman" w:hAnsi="Times New Roman" w:cs="Times New Roman"/>
                <w:sz w:val="19"/>
                <w:szCs w:val="19"/>
              </w:rPr>
            </w:pPr>
            <w:r w:rsidRPr="002E0607">
              <w:rPr>
                <w:rFonts w:ascii="Times New Roman" w:hAnsi="Times New Roman" w:cs="Times New Roman"/>
                <w:sz w:val="19"/>
                <w:szCs w:val="19"/>
              </w:rPr>
              <w:t>0.45</w:t>
            </w:r>
          </w:p>
        </w:tc>
        <w:tc>
          <w:tcPr>
            <w:tcW w:w="0" w:type="auto"/>
            <w:vAlign w:val="center"/>
            <w:hideMark/>
          </w:tcPr>
          <w:p w14:paraId="26104FB0" w14:textId="77777777" w:rsidR="00572A85" w:rsidRPr="002E0607" w:rsidRDefault="00572A85" w:rsidP="002E0607">
            <w:pPr>
              <w:pStyle w:val="NoSpacing"/>
              <w:jc w:val="center"/>
              <w:rPr>
                <w:rFonts w:ascii="Times New Roman" w:hAnsi="Times New Roman" w:cs="Times New Roman"/>
                <w:sz w:val="19"/>
                <w:szCs w:val="19"/>
              </w:rPr>
            </w:pPr>
            <w:r w:rsidRPr="002E0607">
              <w:rPr>
                <w:rFonts w:ascii="Times New Roman" w:hAnsi="Times New Roman" w:cs="Times New Roman"/>
                <w:sz w:val="19"/>
                <w:szCs w:val="19"/>
              </w:rPr>
              <w:t>..</w:t>
            </w:r>
          </w:p>
        </w:tc>
        <w:tc>
          <w:tcPr>
            <w:tcW w:w="0" w:type="auto"/>
            <w:vAlign w:val="center"/>
            <w:hideMark/>
          </w:tcPr>
          <w:p w14:paraId="5ACDCE8B" w14:textId="77777777" w:rsidR="00572A85" w:rsidRPr="002E0607" w:rsidRDefault="00572A85" w:rsidP="002E0607">
            <w:pPr>
              <w:pStyle w:val="NoSpacing"/>
              <w:jc w:val="center"/>
              <w:rPr>
                <w:rFonts w:ascii="Times New Roman" w:hAnsi="Times New Roman" w:cs="Times New Roman"/>
                <w:sz w:val="19"/>
                <w:szCs w:val="19"/>
              </w:rPr>
            </w:pPr>
            <w:r w:rsidRPr="002E0607">
              <w:rPr>
                <w:rFonts w:ascii="Times New Roman" w:hAnsi="Times New Roman" w:cs="Times New Roman"/>
                <w:sz w:val="19"/>
                <w:szCs w:val="19"/>
              </w:rPr>
              <w:t>0.45</w:t>
            </w:r>
          </w:p>
        </w:tc>
        <w:tc>
          <w:tcPr>
            <w:tcW w:w="0" w:type="auto"/>
            <w:vAlign w:val="center"/>
            <w:hideMark/>
          </w:tcPr>
          <w:p w14:paraId="24799B27" w14:textId="77777777" w:rsidR="00572A85" w:rsidRPr="002E0607" w:rsidRDefault="00572A85" w:rsidP="002E0607">
            <w:pPr>
              <w:pStyle w:val="NoSpacing"/>
              <w:jc w:val="center"/>
              <w:rPr>
                <w:rFonts w:ascii="Times New Roman" w:hAnsi="Times New Roman" w:cs="Times New Roman"/>
                <w:sz w:val="19"/>
                <w:szCs w:val="19"/>
              </w:rPr>
            </w:pPr>
            <w:r w:rsidRPr="002E0607">
              <w:rPr>
                <w:rFonts w:ascii="Times New Roman" w:hAnsi="Times New Roman" w:cs="Times New Roman"/>
                <w:sz w:val="19"/>
                <w:szCs w:val="19"/>
              </w:rPr>
              <w:t>0.45</w:t>
            </w:r>
          </w:p>
        </w:tc>
        <w:tc>
          <w:tcPr>
            <w:tcW w:w="0" w:type="auto"/>
            <w:gridSpan w:val="3"/>
            <w:vMerge/>
            <w:vAlign w:val="center"/>
            <w:hideMark/>
          </w:tcPr>
          <w:p w14:paraId="0BF43215" w14:textId="0A9F9588" w:rsidR="00572A85" w:rsidRPr="002E0607" w:rsidRDefault="00572A85" w:rsidP="002E0607">
            <w:pPr>
              <w:pStyle w:val="NoSpacing"/>
              <w:jc w:val="center"/>
              <w:rPr>
                <w:rFonts w:ascii="Times New Roman" w:hAnsi="Times New Roman" w:cs="Times New Roman"/>
                <w:sz w:val="19"/>
                <w:szCs w:val="19"/>
              </w:rPr>
            </w:pPr>
          </w:p>
        </w:tc>
        <w:tc>
          <w:tcPr>
            <w:tcW w:w="0" w:type="auto"/>
            <w:vAlign w:val="center"/>
            <w:hideMark/>
          </w:tcPr>
          <w:p w14:paraId="3231F6AB" w14:textId="77777777" w:rsidR="00572A85" w:rsidRPr="002E0607" w:rsidRDefault="00572A85" w:rsidP="002E0607">
            <w:pPr>
              <w:pStyle w:val="NoSpacing"/>
              <w:jc w:val="center"/>
              <w:rPr>
                <w:rFonts w:ascii="Times New Roman" w:hAnsi="Times New Roman" w:cs="Times New Roman"/>
                <w:sz w:val="19"/>
                <w:szCs w:val="19"/>
              </w:rPr>
            </w:pPr>
            <w:r w:rsidRPr="002E0607">
              <w:rPr>
                <w:rFonts w:ascii="Times New Roman" w:hAnsi="Times New Roman" w:cs="Times New Roman"/>
                <w:sz w:val="19"/>
                <w:szCs w:val="19"/>
              </w:rPr>
              <w:t>..</w:t>
            </w:r>
          </w:p>
        </w:tc>
        <w:tc>
          <w:tcPr>
            <w:tcW w:w="0" w:type="auto"/>
            <w:vAlign w:val="center"/>
            <w:hideMark/>
          </w:tcPr>
          <w:p w14:paraId="41D0C9F3" w14:textId="77777777" w:rsidR="00572A85" w:rsidRPr="002E0607" w:rsidRDefault="00572A85" w:rsidP="002E0607">
            <w:pPr>
              <w:pStyle w:val="NoSpacing"/>
              <w:jc w:val="center"/>
              <w:rPr>
                <w:rFonts w:ascii="Times New Roman" w:hAnsi="Times New Roman" w:cs="Times New Roman"/>
                <w:sz w:val="19"/>
                <w:szCs w:val="19"/>
              </w:rPr>
            </w:pPr>
            <w:r w:rsidRPr="002E0607">
              <w:rPr>
                <w:rFonts w:ascii="Times New Roman" w:hAnsi="Times New Roman" w:cs="Times New Roman"/>
                <w:sz w:val="19"/>
                <w:szCs w:val="19"/>
              </w:rPr>
              <w:t>1.80</w:t>
            </w:r>
          </w:p>
        </w:tc>
        <w:tc>
          <w:tcPr>
            <w:tcW w:w="0" w:type="auto"/>
            <w:vAlign w:val="center"/>
            <w:hideMark/>
          </w:tcPr>
          <w:p w14:paraId="01E0423A" w14:textId="77777777" w:rsidR="00572A85" w:rsidRPr="002E0607" w:rsidRDefault="00572A85" w:rsidP="002E0607">
            <w:pPr>
              <w:pStyle w:val="NoSpacing"/>
              <w:jc w:val="center"/>
              <w:rPr>
                <w:rFonts w:ascii="Times New Roman" w:hAnsi="Times New Roman" w:cs="Times New Roman"/>
                <w:sz w:val="19"/>
                <w:szCs w:val="19"/>
              </w:rPr>
            </w:pPr>
            <w:r w:rsidRPr="002E0607">
              <w:rPr>
                <w:rFonts w:ascii="Times New Roman" w:hAnsi="Times New Roman" w:cs="Times New Roman"/>
                <w:sz w:val="19"/>
                <w:szCs w:val="19"/>
              </w:rPr>
              <w:t>1.80</w:t>
            </w:r>
          </w:p>
        </w:tc>
      </w:tr>
      <w:tr w:rsidR="00572A85" w:rsidRPr="002E0607" w14:paraId="5D65984E" w14:textId="77777777" w:rsidTr="002E0607">
        <w:trPr>
          <w:trHeight w:val="323"/>
        </w:trPr>
        <w:tc>
          <w:tcPr>
            <w:tcW w:w="1926" w:type="dxa"/>
            <w:vAlign w:val="center"/>
            <w:hideMark/>
          </w:tcPr>
          <w:p w14:paraId="66FD0D7D" w14:textId="77777777" w:rsidR="00572A85" w:rsidRPr="002E0607" w:rsidRDefault="00572A85" w:rsidP="002E0607">
            <w:pPr>
              <w:pStyle w:val="NoSpacing"/>
              <w:rPr>
                <w:rFonts w:ascii="Times New Roman" w:hAnsi="Times New Roman" w:cs="Times New Roman"/>
                <w:sz w:val="19"/>
                <w:szCs w:val="19"/>
              </w:rPr>
            </w:pPr>
            <w:r w:rsidRPr="002E0607">
              <w:rPr>
                <w:rFonts w:ascii="Times New Roman" w:hAnsi="Times New Roman" w:cs="Times New Roman"/>
                <w:sz w:val="19"/>
                <w:szCs w:val="19"/>
              </w:rPr>
              <w:t>Uttar Pradesh</w:t>
            </w:r>
          </w:p>
        </w:tc>
        <w:tc>
          <w:tcPr>
            <w:tcW w:w="0" w:type="auto"/>
            <w:vAlign w:val="center"/>
            <w:hideMark/>
          </w:tcPr>
          <w:p w14:paraId="14FB5D8A" w14:textId="77777777" w:rsidR="00572A85" w:rsidRPr="002E0607" w:rsidRDefault="00572A85" w:rsidP="002E0607">
            <w:pPr>
              <w:pStyle w:val="NoSpacing"/>
              <w:jc w:val="center"/>
              <w:rPr>
                <w:rFonts w:ascii="Times New Roman" w:hAnsi="Times New Roman" w:cs="Times New Roman"/>
                <w:sz w:val="19"/>
                <w:szCs w:val="19"/>
              </w:rPr>
            </w:pPr>
            <w:r w:rsidRPr="002E0607">
              <w:rPr>
                <w:rFonts w:ascii="Times New Roman" w:hAnsi="Times New Roman" w:cs="Times New Roman"/>
                <w:sz w:val="19"/>
                <w:szCs w:val="19"/>
              </w:rPr>
              <w:t>12.76</w:t>
            </w:r>
          </w:p>
        </w:tc>
        <w:tc>
          <w:tcPr>
            <w:tcW w:w="0" w:type="auto"/>
            <w:vAlign w:val="center"/>
            <w:hideMark/>
          </w:tcPr>
          <w:p w14:paraId="0A40248B" w14:textId="77777777" w:rsidR="00572A85" w:rsidRPr="002E0607" w:rsidRDefault="00572A85" w:rsidP="002E0607">
            <w:pPr>
              <w:pStyle w:val="NoSpacing"/>
              <w:jc w:val="center"/>
              <w:rPr>
                <w:rFonts w:ascii="Times New Roman" w:hAnsi="Times New Roman" w:cs="Times New Roman"/>
                <w:sz w:val="19"/>
                <w:szCs w:val="19"/>
              </w:rPr>
            </w:pPr>
            <w:r w:rsidRPr="002E0607">
              <w:rPr>
                <w:rFonts w:ascii="Times New Roman" w:hAnsi="Times New Roman" w:cs="Times New Roman"/>
                <w:sz w:val="19"/>
                <w:szCs w:val="19"/>
              </w:rPr>
              <w:t>..</w:t>
            </w:r>
          </w:p>
        </w:tc>
        <w:tc>
          <w:tcPr>
            <w:tcW w:w="0" w:type="auto"/>
            <w:vAlign w:val="center"/>
            <w:hideMark/>
          </w:tcPr>
          <w:p w14:paraId="59C69ED1" w14:textId="77777777" w:rsidR="00572A85" w:rsidRPr="002E0607" w:rsidRDefault="00572A85" w:rsidP="002E0607">
            <w:pPr>
              <w:pStyle w:val="NoSpacing"/>
              <w:jc w:val="center"/>
              <w:rPr>
                <w:rFonts w:ascii="Times New Roman" w:hAnsi="Times New Roman" w:cs="Times New Roman"/>
                <w:sz w:val="19"/>
                <w:szCs w:val="19"/>
              </w:rPr>
            </w:pPr>
            <w:r w:rsidRPr="002E0607">
              <w:rPr>
                <w:rFonts w:ascii="Times New Roman" w:hAnsi="Times New Roman" w:cs="Times New Roman"/>
                <w:sz w:val="19"/>
                <w:szCs w:val="19"/>
              </w:rPr>
              <w:t>12.76</w:t>
            </w:r>
          </w:p>
        </w:tc>
        <w:tc>
          <w:tcPr>
            <w:tcW w:w="0" w:type="auto"/>
            <w:vAlign w:val="center"/>
            <w:hideMark/>
          </w:tcPr>
          <w:p w14:paraId="33C7AC37" w14:textId="77777777" w:rsidR="00572A85" w:rsidRPr="002E0607" w:rsidRDefault="00572A85" w:rsidP="002E0607">
            <w:pPr>
              <w:pStyle w:val="NoSpacing"/>
              <w:jc w:val="center"/>
              <w:rPr>
                <w:rFonts w:ascii="Times New Roman" w:hAnsi="Times New Roman" w:cs="Times New Roman"/>
                <w:sz w:val="19"/>
                <w:szCs w:val="19"/>
              </w:rPr>
            </w:pPr>
            <w:r w:rsidRPr="002E0607">
              <w:rPr>
                <w:rFonts w:ascii="Times New Roman" w:hAnsi="Times New Roman" w:cs="Times New Roman"/>
                <w:sz w:val="19"/>
                <w:szCs w:val="19"/>
              </w:rPr>
              <w:t>12.67</w:t>
            </w:r>
          </w:p>
        </w:tc>
        <w:tc>
          <w:tcPr>
            <w:tcW w:w="0" w:type="auto"/>
            <w:vAlign w:val="center"/>
            <w:hideMark/>
          </w:tcPr>
          <w:p w14:paraId="0E26903A" w14:textId="77777777" w:rsidR="00572A85" w:rsidRPr="002E0607" w:rsidRDefault="00572A85" w:rsidP="002E0607">
            <w:pPr>
              <w:pStyle w:val="NoSpacing"/>
              <w:jc w:val="center"/>
              <w:rPr>
                <w:rFonts w:ascii="Times New Roman" w:hAnsi="Times New Roman" w:cs="Times New Roman"/>
                <w:sz w:val="19"/>
                <w:szCs w:val="19"/>
              </w:rPr>
            </w:pPr>
            <w:r w:rsidRPr="002E0607">
              <w:rPr>
                <w:rFonts w:ascii="Times New Roman" w:hAnsi="Times New Roman" w:cs="Times New Roman"/>
                <w:sz w:val="19"/>
                <w:szCs w:val="19"/>
              </w:rPr>
              <w:t>..</w:t>
            </w:r>
          </w:p>
        </w:tc>
        <w:tc>
          <w:tcPr>
            <w:tcW w:w="0" w:type="auto"/>
            <w:vAlign w:val="center"/>
            <w:hideMark/>
          </w:tcPr>
          <w:p w14:paraId="7877B72A" w14:textId="77777777" w:rsidR="00572A85" w:rsidRPr="002E0607" w:rsidRDefault="00572A85" w:rsidP="002E0607">
            <w:pPr>
              <w:pStyle w:val="NoSpacing"/>
              <w:jc w:val="center"/>
              <w:rPr>
                <w:rFonts w:ascii="Times New Roman" w:hAnsi="Times New Roman" w:cs="Times New Roman"/>
                <w:sz w:val="19"/>
                <w:szCs w:val="19"/>
              </w:rPr>
            </w:pPr>
            <w:r w:rsidRPr="002E0607">
              <w:rPr>
                <w:rFonts w:ascii="Times New Roman" w:hAnsi="Times New Roman" w:cs="Times New Roman"/>
                <w:sz w:val="19"/>
                <w:szCs w:val="19"/>
              </w:rPr>
              <w:t>12.67</w:t>
            </w:r>
          </w:p>
        </w:tc>
        <w:tc>
          <w:tcPr>
            <w:tcW w:w="0" w:type="auto"/>
            <w:vAlign w:val="center"/>
            <w:hideMark/>
          </w:tcPr>
          <w:p w14:paraId="23BACC02" w14:textId="77777777" w:rsidR="00572A85" w:rsidRPr="002E0607" w:rsidRDefault="00572A85" w:rsidP="002E0607">
            <w:pPr>
              <w:pStyle w:val="NoSpacing"/>
              <w:jc w:val="center"/>
              <w:rPr>
                <w:rFonts w:ascii="Times New Roman" w:hAnsi="Times New Roman" w:cs="Times New Roman"/>
                <w:sz w:val="19"/>
                <w:szCs w:val="19"/>
              </w:rPr>
            </w:pPr>
            <w:r w:rsidRPr="002E0607">
              <w:rPr>
                <w:rFonts w:ascii="Times New Roman" w:hAnsi="Times New Roman" w:cs="Times New Roman"/>
                <w:sz w:val="19"/>
                <w:szCs w:val="19"/>
              </w:rPr>
              <w:t>12.30</w:t>
            </w:r>
          </w:p>
        </w:tc>
        <w:tc>
          <w:tcPr>
            <w:tcW w:w="0" w:type="auto"/>
            <w:vAlign w:val="center"/>
            <w:hideMark/>
          </w:tcPr>
          <w:p w14:paraId="5031250B" w14:textId="77777777" w:rsidR="00572A85" w:rsidRPr="002E0607" w:rsidRDefault="00572A85" w:rsidP="002E0607">
            <w:pPr>
              <w:pStyle w:val="NoSpacing"/>
              <w:jc w:val="center"/>
              <w:rPr>
                <w:rFonts w:ascii="Times New Roman" w:hAnsi="Times New Roman" w:cs="Times New Roman"/>
                <w:sz w:val="19"/>
                <w:szCs w:val="19"/>
              </w:rPr>
            </w:pPr>
            <w:r w:rsidRPr="002E0607">
              <w:rPr>
                <w:rFonts w:ascii="Times New Roman" w:hAnsi="Times New Roman" w:cs="Times New Roman"/>
                <w:sz w:val="19"/>
                <w:szCs w:val="19"/>
              </w:rPr>
              <w:t>..</w:t>
            </w:r>
          </w:p>
        </w:tc>
        <w:tc>
          <w:tcPr>
            <w:tcW w:w="0" w:type="auto"/>
            <w:vAlign w:val="center"/>
            <w:hideMark/>
          </w:tcPr>
          <w:p w14:paraId="0866F94E" w14:textId="77777777" w:rsidR="00572A85" w:rsidRPr="002E0607" w:rsidRDefault="00572A85" w:rsidP="002E0607">
            <w:pPr>
              <w:pStyle w:val="NoSpacing"/>
              <w:jc w:val="center"/>
              <w:rPr>
                <w:rFonts w:ascii="Times New Roman" w:hAnsi="Times New Roman" w:cs="Times New Roman"/>
                <w:sz w:val="19"/>
                <w:szCs w:val="19"/>
              </w:rPr>
            </w:pPr>
            <w:r w:rsidRPr="002E0607">
              <w:rPr>
                <w:rFonts w:ascii="Times New Roman" w:hAnsi="Times New Roman" w:cs="Times New Roman"/>
                <w:sz w:val="19"/>
                <w:szCs w:val="19"/>
              </w:rPr>
              <w:t>12.30</w:t>
            </w:r>
          </w:p>
        </w:tc>
        <w:tc>
          <w:tcPr>
            <w:tcW w:w="0" w:type="auto"/>
            <w:vAlign w:val="center"/>
            <w:hideMark/>
          </w:tcPr>
          <w:p w14:paraId="7176E4CC" w14:textId="77777777" w:rsidR="00572A85" w:rsidRPr="002E0607" w:rsidRDefault="00572A85" w:rsidP="002E0607">
            <w:pPr>
              <w:pStyle w:val="NoSpacing"/>
              <w:jc w:val="center"/>
              <w:rPr>
                <w:rFonts w:ascii="Times New Roman" w:hAnsi="Times New Roman" w:cs="Times New Roman"/>
                <w:sz w:val="19"/>
                <w:szCs w:val="19"/>
              </w:rPr>
            </w:pPr>
            <w:r w:rsidRPr="002E0607">
              <w:rPr>
                <w:rFonts w:ascii="Times New Roman" w:hAnsi="Times New Roman" w:cs="Times New Roman"/>
                <w:sz w:val="19"/>
                <w:szCs w:val="19"/>
              </w:rPr>
              <w:t>12.45</w:t>
            </w:r>
          </w:p>
        </w:tc>
        <w:tc>
          <w:tcPr>
            <w:tcW w:w="0" w:type="auto"/>
            <w:vAlign w:val="center"/>
            <w:hideMark/>
          </w:tcPr>
          <w:p w14:paraId="7934608A" w14:textId="77777777" w:rsidR="00572A85" w:rsidRPr="002E0607" w:rsidRDefault="00572A85" w:rsidP="002E0607">
            <w:pPr>
              <w:pStyle w:val="NoSpacing"/>
              <w:jc w:val="center"/>
              <w:rPr>
                <w:rFonts w:ascii="Times New Roman" w:hAnsi="Times New Roman" w:cs="Times New Roman"/>
                <w:sz w:val="19"/>
                <w:szCs w:val="19"/>
              </w:rPr>
            </w:pPr>
            <w:r w:rsidRPr="002E0607">
              <w:rPr>
                <w:rFonts w:ascii="Times New Roman" w:hAnsi="Times New Roman" w:cs="Times New Roman"/>
                <w:sz w:val="19"/>
                <w:szCs w:val="19"/>
              </w:rPr>
              <w:t>..</w:t>
            </w:r>
          </w:p>
        </w:tc>
        <w:tc>
          <w:tcPr>
            <w:tcW w:w="0" w:type="auto"/>
            <w:vAlign w:val="center"/>
            <w:hideMark/>
          </w:tcPr>
          <w:p w14:paraId="696886D7" w14:textId="77777777" w:rsidR="00572A85" w:rsidRPr="002E0607" w:rsidRDefault="00572A85" w:rsidP="002E0607">
            <w:pPr>
              <w:pStyle w:val="NoSpacing"/>
              <w:jc w:val="center"/>
              <w:rPr>
                <w:rFonts w:ascii="Times New Roman" w:hAnsi="Times New Roman" w:cs="Times New Roman"/>
                <w:sz w:val="19"/>
                <w:szCs w:val="19"/>
              </w:rPr>
            </w:pPr>
            <w:r w:rsidRPr="002E0607">
              <w:rPr>
                <w:rFonts w:ascii="Times New Roman" w:hAnsi="Times New Roman" w:cs="Times New Roman"/>
                <w:sz w:val="19"/>
                <w:szCs w:val="19"/>
              </w:rPr>
              <w:t>12.45</w:t>
            </w:r>
          </w:p>
        </w:tc>
        <w:tc>
          <w:tcPr>
            <w:tcW w:w="0" w:type="auto"/>
            <w:gridSpan w:val="3"/>
            <w:vMerge/>
            <w:vAlign w:val="center"/>
            <w:hideMark/>
          </w:tcPr>
          <w:p w14:paraId="11C448E6" w14:textId="6700C625" w:rsidR="00572A85" w:rsidRPr="002E0607" w:rsidRDefault="00572A85" w:rsidP="002E0607">
            <w:pPr>
              <w:pStyle w:val="NoSpacing"/>
              <w:jc w:val="center"/>
              <w:rPr>
                <w:rFonts w:ascii="Times New Roman" w:hAnsi="Times New Roman" w:cs="Times New Roman"/>
                <w:sz w:val="19"/>
                <w:szCs w:val="19"/>
              </w:rPr>
            </w:pPr>
          </w:p>
        </w:tc>
        <w:tc>
          <w:tcPr>
            <w:tcW w:w="0" w:type="auto"/>
            <w:vAlign w:val="center"/>
            <w:hideMark/>
          </w:tcPr>
          <w:p w14:paraId="322D4C37" w14:textId="77777777" w:rsidR="00572A85" w:rsidRPr="002E0607" w:rsidRDefault="00572A85" w:rsidP="002E0607">
            <w:pPr>
              <w:pStyle w:val="NoSpacing"/>
              <w:jc w:val="center"/>
              <w:rPr>
                <w:rFonts w:ascii="Times New Roman" w:hAnsi="Times New Roman" w:cs="Times New Roman"/>
                <w:sz w:val="19"/>
                <w:szCs w:val="19"/>
              </w:rPr>
            </w:pPr>
            <w:r w:rsidRPr="002E0607">
              <w:rPr>
                <w:rFonts w:ascii="Times New Roman" w:hAnsi="Times New Roman" w:cs="Times New Roman"/>
                <w:sz w:val="19"/>
                <w:szCs w:val="19"/>
              </w:rPr>
              <w:t>50.18</w:t>
            </w:r>
          </w:p>
        </w:tc>
        <w:tc>
          <w:tcPr>
            <w:tcW w:w="0" w:type="auto"/>
            <w:vAlign w:val="center"/>
            <w:hideMark/>
          </w:tcPr>
          <w:p w14:paraId="0ED1975A" w14:textId="77777777" w:rsidR="00572A85" w:rsidRPr="002E0607" w:rsidRDefault="00572A85" w:rsidP="002E0607">
            <w:pPr>
              <w:pStyle w:val="NoSpacing"/>
              <w:jc w:val="center"/>
              <w:rPr>
                <w:rFonts w:ascii="Times New Roman" w:hAnsi="Times New Roman" w:cs="Times New Roman"/>
                <w:sz w:val="19"/>
                <w:szCs w:val="19"/>
              </w:rPr>
            </w:pPr>
            <w:r w:rsidRPr="002E0607">
              <w:rPr>
                <w:rFonts w:ascii="Times New Roman" w:hAnsi="Times New Roman" w:cs="Times New Roman"/>
                <w:sz w:val="19"/>
                <w:szCs w:val="19"/>
              </w:rPr>
              <w:t>..</w:t>
            </w:r>
          </w:p>
        </w:tc>
        <w:tc>
          <w:tcPr>
            <w:tcW w:w="0" w:type="auto"/>
            <w:vAlign w:val="center"/>
            <w:hideMark/>
          </w:tcPr>
          <w:p w14:paraId="19A8021B" w14:textId="77777777" w:rsidR="00572A85" w:rsidRPr="002E0607" w:rsidRDefault="00572A85" w:rsidP="002E0607">
            <w:pPr>
              <w:pStyle w:val="NoSpacing"/>
              <w:jc w:val="center"/>
              <w:rPr>
                <w:rFonts w:ascii="Times New Roman" w:hAnsi="Times New Roman" w:cs="Times New Roman"/>
                <w:sz w:val="19"/>
                <w:szCs w:val="19"/>
              </w:rPr>
            </w:pPr>
            <w:r w:rsidRPr="002E0607">
              <w:rPr>
                <w:rFonts w:ascii="Times New Roman" w:hAnsi="Times New Roman" w:cs="Times New Roman"/>
                <w:sz w:val="19"/>
                <w:szCs w:val="19"/>
              </w:rPr>
              <w:t>50.18</w:t>
            </w:r>
          </w:p>
        </w:tc>
      </w:tr>
      <w:tr w:rsidR="00572A85" w:rsidRPr="002E0607" w14:paraId="1D9BF824" w14:textId="77777777" w:rsidTr="002E0607">
        <w:trPr>
          <w:trHeight w:val="315"/>
        </w:trPr>
        <w:tc>
          <w:tcPr>
            <w:tcW w:w="1926" w:type="dxa"/>
            <w:vAlign w:val="center"/>
            <w:hideMark/>
          </w:tcPr>
          <w:p w14:paraId="1D90C1A7" w14:textId="77777777" w:rsidR="00572A85" w:rsidRPr="002E0607" w:rsidRDefault="00572A85" w:rsidP="002E0607">
            <w:pPr>
              <w:pStyle w:val="NoSpacing"/>
              <w:rPr>
                <w:rFonts w:ascii="Times New Roman" w:hAnsi="Times New Roman" w:cs="Times New Roman"/>
                <w:sz w:val="19"/>
                <w:szCs w:val="19"/>
              </w:rPr>
            </w:pPr>
            <w:r w:rsidRPr="002E0607">
              <w:rPr>
                <w:rFonts w:ascii="Times New Roman" w:hAnsi="Times New Roman" w:cs="Times New Roman"/>
                <w:sz w:val="19"/>
                <w:szCs w:val="19"/>
              </w:rPr>
              <w:t>West Bengal</w:t>
            </w:r>
          </w:p>
        </w:tc>
        <w:tc>
          <w:tcPr>
            <w:tcW w:w="0" w:type="auto"/>
            <w:vAlign w:val="center"/>
            <w:hideMark/>
          </w:tcPr>
          <w:p w14:paraId="5561EAEC" w14:textId="77777777" w:rsidR="00572A85" w:rsidRPr="002E0607" w:rsidRDefault="00572A85" w:rsidP="002E0607">
            <w:pPr>
              <w:pStyle w:val="NoSpacing"/>
              <w:jc w:val="center"/>
              <w:rPr>
                <w:rFonts w:ascii="Times New Roman" w:hAnsi="Times New Roman" w:cs="Times New Roman"/>
                <w:sz w:val="19"/>
                <w:szCs w:val="19"/>
              </w:rPr>
            </w:pPr>
            <w:r w:rsidRPr="002E0607">
              <w:rPr>
                <w:rFonts w:ascii="Times New Roman" w:hAnsi="Times New Roman" w:cs="Times New Roman"/>
                <w:sz w:val="19"/>
                <w:szCs w:val="19"/>
              </w:rPr>
              <w:t>8.12</w:t>
            </w:r>
          </w:p>
        </w:tc>
        <w:tc>
          <w:tcPr>
            <w:tcW w:w="0" w:type="auto"/>
            <w:vAlign w:val="center"/>
            <w:hideMark/>
          </w:tcPr>
          <w:p w14:paraId="287E55F9" w14:textId="77777777" w:rsidR="00572A85" w:rsidRPr="002E0607" w:rsidRDefault="00572A85" w:rsidP="002E0607">
            <w:pPr>
              <w:pStyle w:val="NoSpacing"/>
              <w:jc w:val="center"/>
              <w:rPr>
                <w:rFonts w:ascii="Times New Roman" w:hAnsi="Times New Roman" w:cs="Times New Roman"/>
                <w:sz w:val="19"/>
                <w:szCs w:val="19"/>
              </w:rPr>
            </w:pPr>
            <w:r w:rsidRPr="002E0607">
              <w:rPr>
                <w:rFonts w:ascii="Times New Roman" w:hAnsi="Times New Roman" w:cs="Times New Roman"/>
                <w:sz w:val="19"/>
                <w:szCs w:val="19"/>
              </w:rPr>
              <w:t>2.30</w:t>
            </w:r>
          </w:p>
        </w:tc>
        <w:tc>
          <w:tcPr>
            <w:tcW w:w="0" w:type="auto"/>
            <w:vAlign w:val="center"/>
            <w:hideMark/>
          </w:tcPr>
          <w:p w14:paraId="11B4FD10" w14:textId="77777777" w:rsidR="00572A85" w:rsidRPr="002E0607" w:rsidRDefault="00572A85" w:rsidP="002E0607">
            <w:pPr>
              <w:pStyle w:val="NoSpacing"/>
              <w:jc w:val="center"/>
              <w:rPr>
                <w:rFonts w:ascii="Times New Roman" w:hAnsi="Times New Roman" w:cs="Times New Roman"/>
                <w:sz w:val="19"/>
                <w:szCs w:val="19"/>
              </w:rPr>
            </w:pPr>
            <w:r w:rsidRPr="002E0607">
              <w:rPr>
                <w:rFonts w:ascii="Times New Roman" w:hAnsi="Times New Roman" w:cs="Times New Roman"/>
                <w:sz w:val="19"/>
                <w:szCs w:val="19"/>
              </w:rPr>
              <w:t>10.42</w:t>
            </w:r>
          </w:p>
        </w:tc>
        <w:tc>
          <w:tcPr>
            <w:tcW w:w="0" w:type="auto"/>
            <w:vAlign w:val="center"/>
            <w:hideMark/>
          </w:tcPr>
          <w:p w14:paraId="675D0CDA" w14:textId="77777777" w:rsidR="00572A85" w:rsidRPr="002E0607" w:rsidRDefault="00572A85" w:rsidP="002E0607">
            <w:pPr>
              <w:pStyle w:val="NoSpacing"/>
              <w:jc w:val="center"/>
              <w:rPr>
                <w:rFonts w:ascii="Times New Roman" w:hAnsi="Times New Roman" w:cs="Times New Roman"/>
                <w:sz w:val="19"/>
                <w:szCs w:val="19"/>
              </w:rPr>
            </w:pPr>
            <w:r w:rsidRPr="002E0607">
              <w:rPr>
                <w:rFonts w:ascii="Times New Roman" w:hAnsi="Times New Roman" w:cs="Times New Roman"/>
                <w:sz w:val="19"/>
                <w:szCs w:val="19"/>
              </w:rPr>
              <w:t>8.11</w:t>
            </w:r>
          </w:p>
        </w:tc>
        <w:tc>
          <w:tcPr>
            <w:tcW w:w="0" w:type="auto"/>
            <w:vAlign w:val="center"/>
            <w:hideMark/>
          </w:tcPr>
          <w:p w14:paraId="77C2F051" w14:textId="77777777" w:rsidR="00572A85" w:rsidRPr="002E0607" w:rsidRDefault="00572A85" w:rsidP="002E0607">
            <w:pPr>
              <w:pStyle w:val="NoSpacing"/>
              <w:jc w:val="center"/>
              <w:rPr>
                <w:rFonts w:ascii="Times New Roman" w:hAnsi="Times New Roman" w:cs="Times New Roman"/>
                <w:sz w:val="19"/>
                <w:szCs w:val="19"/>
              </w:rPr>
            </w:pPr>
            <w:r w:rsidRPr="002E0607">
              <w:rPr>
                <w:rFonts w:ascii="Times New Roman" w:hAnsi="Times New Roman" w:cs="Times New Roman"/>
                <w:sz w:val="19"/>
                <w:szCs w:val="19"/>
              </w:rPr>
              <w:t>2.30</w:t>
            </w:r>
          </w:p>
        </w:tc>
        <w:tc>
          <w:tcPr>
            <w:tcW w:w="0" w:type="auto"/>
            <w:vAlign w:val="center"/>
            <w:hideMark/>
          </w:tcPr>
          <w:p w14:paraId="0C8A4D90" w14:textId="77777777" w:rsidR="00572A85" w:rsidRPr="002E0607" w:rsidRDefault="00572A85" w:rsidP="002E0607">
            <w:pPr>
              <w:pStyle w:val="NoSpacing"/>
              <w:jc w:val="center"/>
              <w:rPr>
                <w:rFonts w:ascii="Times New Roman" w:hAnsi="Times New Roman" w:cs="Times New Roman"/>
                <w:sz w:val="19"/>
                <w:szCs w:val="19"/>
              </w:rPr>
            </w:pPr>
            <w:r w:rsidRPr="002E0607">
              <w:rPr>
                <w:rFonts w:ascii="Times New Roman" w:hAnsi="Times New Roman" w:cs="Times New Roman"/>
                <w:sz w:val="19"/>
                <w:szCs w:val="19"/>
              </w:rPr>
              <w:t>10.41</w:t>
            </w:r>
          </w:p>
        </w:tc>
        <w:tc>
          <w:tcPr>
            <w:tcW w:w="0" w:type="auto"/>
            <w:vAlign w:val="center"/>
            <w:hideMark/>
          </w:tcPr>
          <w:p w14:paraId="30CE43C9" w14:textId="77777777" w:rsidR="00572A85" w:rsidRPr="002E0607" w:rsidRDefault="00572A85" w:rsidP="002E0607">
            <w:pPr>
              <w:pStyle w:val="NoSpacing"/>
              <w:jc w:val="center"/>
              <w:rPr>
                <w:rFonts w:ascii="Times New Roman" w:hAnsi="Times New Roman" w:cs="Times New Roman"/>
                <w:sz w:val="19"/>
                <w:szCs w:val="19"/>
              </w:rPr>
            </w:pPr>
            <w:r w:rsidRPr="002E0607">
              <w:rPr>
                <w:rFonts w:ascii="Times New Roman" w:hAnsi="Times New Roman" w:cs="Times New Roman"/>
                <w:sz w:val="19"/>
                <w:szCs w:val="19"/>
              </w:rPr>
              <w:t>7.84</w:t>
            </w:r>
          </w:p>
        </w:tc>
        <w:tc>
          <w:tcPr>
            <w:tcW w:w="0" w:type="auto"/>
            <w:vAlign w:val="center"/>
            <w:hideMark/>
          </w:tcPr>
          <w:p w14:paraId="740B51E1" w14:textId="77777777" w:rsidR="00572A85" w:rsidRPr="002E0607" w:rsidRDefault="00572A85" w:rsidP="002E0607">
            <w:pPr>
              <w:pStyle w:val="NoSpacing"/>
              <w:jc w:val="center"/>
              <w:rPr>
                <w:rFonts w:ascii="Times New Roman" w:hAnsi="Times New Roman" w:cs="Times New Roman"/>
                <w:sz w:val="19"/>
                <w:szCs w:val="19"/>
              </w:rPr>
            </w:pPr>
            <w:r w:rsidRPr="002E0607">
              <w:rPr>
                <w:rFonts w:ascii="Times New Roman" w:hAnsi="Times New Roman" w:cs="Times New Roman"/>
                <w:sz w:val="19"/>
                <w:szCs w:val="19"/>
              </w:rPr>
              <w:t>2.30</w:t>
            </w:r>
          </w:p>
        </w:tc>
        <w:tc>
          <w:tcPr>
            <w:tcW w:w="0" w:type="auto"/>
            <w:vAlign w:val="center"/>
            <w:hideMark/>
          </w:tcPr>
          <w:p w14:paraId="71511919" w14:textId="77777777" w:rsidR="00572A85" w:rsidRPr="002E0607" w:rsidRDefault="00572A85" w:rsidP="002E0607">
            <w:pPr>
              <w:pStyle w:val="NoSpacing"/>
              <w:jc w:val="center"/>
              <w:rPr>
                <w:rFonts w:ascii="Times New Roman" w:hAnsi="Times New Roman" w:cs="Times New Roman"/>
                <w:sz w:val="19"/>
                <w:szCs w:val="19"/>
              </w:rPr>
            </w:pPr>
            <w:r w:rsidRPr="002E0607">
              <w:rPr>
                <w:rFonts w:ascii="Times New Roman" w:hAnsi="Times New Roman" w:cs="Times New Roman"/>
                <w:sz w:val="19"/>
                <w:szCs w:val="19"/>
              </w:rPr>
              <w:t>10.14</w:t>
            </w:r>
          </w:p>
        </w:tc>
        <w:tc>
          <w:tcPr>
            <w:tcW w:w="0" w:type="auto"/>
            <w:vAlign w:val="center"/>
            <w:hideMark/>
          </w:tcPr>
          <w:p w14:paraId="4F3CD7BB" w14:textId="77777777" w:rsidR="00572A85" w:rsidRPr="002E0607" w:rsidRDefault="00572A85" w:rsidP="002E0607">
            <w:pPr>
              <w:pStyle w:val="NoSpacing"/>
              <w:jc w:val="center"/>
              <w:rPr>
                <w:rFonts w:ascii="Times New Roman" w:hAnsi="Times New Roman" w:cs="Times New Roman"/>
                <w:sz w:val="19"/>
                <w:szCs w:val="19"/>
              </w:rPr>
            </w:pPr>
            <w:r w:rsidRPr="002E0607">
              <w:rPr>
                <w:rFonts w:ascii="Times New Roman" w:hAnsi="Times New Roman" w:cs="Times New Roman"/>
                <w:sz w:val="19"/>
                <w:szCs w:val="19"/>
              </w:rPr>
              <w:t>7.85</w:t>
            </w:r>
          </w:p>
        </w:tc>
        <w:tc>
          <w:tcPr>
            <w:tcW w:w="0" w:type="auto"/>
            <w:vAlign w:val="center"/>
            <w:hideMark/>
          </w:tcPr>
          <w:p w14:paraId="6C2D0051" w14:textId="77777777" w:rsidR="00572A85" w:rsidRPr="002E0607" w:rsidRDefault="00572A85" w:rsidP="002E0607">
            <w:pPr>
              <w:pStyle w:val="NoSpacing"/>
              <w:jc w:val="center"/>
              <w:rPr>
                <w:rFonts w:ascii="Times New Roman" w:hAnsi="Times New Roman" w:cs="Times New Roman"/>
                <w:sz w:val="19"/>
                <w:szCs w:val="19"/>
              </w:rPr>
            </w:pPr>
            <w:r w:rsidRPr="002E0607">
              <w:rPr>
                <w:rFonts w:ascii="Times New Roman" w:hAnsi="Times New Roman" w:cs="Times New Roman"/>
                <w:sz w:val="19"/>
                <w:szCs w:val="19"/>
              </w:rPr>
              <w:t>2.30</w:t>
            </w:r>
          </w:p>
        </w:tc>
        <w:tc>
          <w:tcPr>
            <w:tcW w:w="0" w:type="auto"/>
            <w:vAlign w:val="center"/>
            <w:hideMark/>
          </w:tcPr>
          <w:p w14:paraId="15720609" w14:textId="77777777" w:rsidR="00572A85" w:rsidRPr="002E0607" w:rsidRDefault="00572A85" w:rsidP="002E0607">
            <w:pPr>
              <w:pStyle w:val="NoSpacing"/>
              <w:jc w:val="center"/>
              <w:rPr>
                <w:rFonts w:ascii="Times New Roman" w:hAnsi="Times New Roman" w:cs="Times New Roman"/>
                <w:sz w:val="19"/>
                <w:szCs w:val="19"/>
              </w:rPr>
            </w:pPr>
            <w:r w:rsidRPr="002E0607">
              <w:rPr>
                <w:rFonts w:ascii="Times New Roman" w:hAnsi="Times New Roman" w:cs="Times New Roman"/>
                <w:sz w:val="19"/>
                <w:szCs w:val="19"/>
              </w:rPr>
              <w:t>10.15</w:t>
            </w:r>
          </w:p>
        </w:tc>
        <w:tc>
          <w:tcPr>
            <w:tcW w:w="0" w:type="auto"/>
            <w:gridSpan w:val="3"/>
            <w:vMerge/>
            <w:vAlign w:val="center"/>
            <w:hideMark/>
          </w:tcPr>
          <w:p w14:paraId="4030F5A7" w14:textId="0C308A43" w:rsidR="00572A85" w:rsidRPr="002E0607" w:rsidRDefault="00572A85" w:rsidP="002E0607">
            <w:pPr>
              <w:pStyle w:val="NoSpacing"/>
              <w:jc w:val="center"/>
              <w:rPr>
                <w:rFonts w:ascii="Times New Roman" w:hAnsi="Times New Roman" w:cs="Times New Roman"/>
                <w:sz w:val="19"/>
                <w:szCs w:val="19"/>
              </w:rPr>
            </w:pPr>
          </w:p>
        </w:tc>
        <w:tc>
          <w:tcPr>
            <w:tcW w:w="0" w:type="auto"/>
            <w:vAlign w:val="center"/>
            <w:hideMark/>
          </w:tcPr>
          <w:p w14:paraId="314CDD63" w14:textId="77777777" w:rsidR="00572A85" w:rsidRPr="002E0607" w:rsidRDefault="00572A85" w:rsidP="002E0607">
            <w:pPr>
              <w:pStyle w:val="NoSpacing"/>
              <w:jc w:val="center"/>
              <w:rPr>
                <w:rFonts w:ascii="Times New Roman" w:hAnsi="Times New Roman" w:cs="Times New Roman"/>
                <w:sz w:val="19"/>
                <w:szCs w:val="19"/>
              </w:rPr>
            </w:pPr>
            <w:r w:rsidRPr="002E0607">
              <w:rPr>
                <w:rFonts w:ascii="Times New Roman" w:hAnsi="Times New Roman" w:cs="Times New Roman"/>
                <w:sz w:val="19"/>
                <w:szCs w:val="19"/>
              </w:rPr>
              <w:t>31.92</w:t>
            </w:r>
          </w:p>
        </w:tc>
        <w:tc>
          <w:tcPr>
            <w:tcW w:w="0" w:type="auto"/>
            <w:vAlign w:val="center"/>
            <w:hideMark/>
          </w:tcPr>
          <w:p w14:paraId="6CD5F102" w14:textId="77777777" w:rsidR="00572A85" w:rsidRPr="002E0607" w:rsidRDefault="00572A85" w:rsidP="002E0607">
            <w:pPr>
              <w:pStyle w:val="NoSpacing"/>
              <w:jc w:val="center"/>
              <w:rPr>
                <w:rFonts w:ascii="Times New Roman" w:hAnsi="Times New Roman" w:cs="Times New Roman"/>
                <w:sz w:val="19"/>
                <w:szCs w:val="19"/>
              </w:rPr>
            </w:pPr>
            <w:r w:rsidRPr="002E0607">
              <w:rPr>
                <w:rFonts w:ascii="Times New Roman" w:hAnsi="Times New Roman" w:cs="Times New Roman"/>
                <w:sz w:val="19"/>
                <w:szCs w:val="19"/>
              </w:rPr>
              <w:t>9.20</w:t>
            </w:r>
          </w:p>
        </w:tc>
        <w:tc>
          <w:tcPr>
            <w:tcW w:w="0" w:type="auto"/>
            <w:vAlign w:val="center"/>
            <w:hideMark/>
          </w:tcPr>
          <w:p w14:paraId="668BD5F5" w14:textId="77777777" w:rsidR="00572A85" w:rsidRPr="002E0607" w:rsidRDefault="00572A85" w:rsidP="002E0607">
            <w:pPr>
              <w:pStyle w:val="NoSpacing"/>
              <w:jc w:val="center"/>
              <w:rPr>
                <w:rFonts w:ascii="Times New Roman" w:hAnsi="Times New Roman" w:cs="Times New Roman"/>
                <w:sz w:val="19"/>
                <w:szCs w:val="19"/>
              </w:rPr>
            </w:pPr>
            <w:r w:rsidRPr="002E0607">
              <w:rPr>
                <w:rFonts w:ascii="Times New Roman" w:hAnsi="Times New Roman" w:cs="Times New Roman"/>
                <w:sz w:val="19"/>
                <w:szCs w:val="19"/>
              </w:rPr>
              <w:t>41.12</w:t>
            </w:r>
          </w:p>
        </w:tc>
      </w:tr>
      <w:tr w:rsidR="00572A85" w:rsidRPr="002E0607" w14:paraId="4D9193F6" w14:textId="77777777" w:rsidTr="002E0607">
        <w:trPr>
          <w:trHeight w:val="481"/>
        </w:trPr>
        <w:tc>
          <w:tcPr>
            <w:tcW w:w="1926" w:type="dxa"/>
            <w:vAlign w:val="center"/>
            <w:hideMark/>
          </w:tcPr>
          <w:p w14:paraId="038B3248" w14:textId="77777777" w:rsidR="00572A85" w:rsidRPr="002E0607" w:rsidRDefault="00572A85" w:rsidP="002E0607">
            <w:pPr>
              <w:pStyle w:val="NoSpacing"/>
              <w:rPr>
                <w:rFonts w:ascii="Times New Roman" w:hAnsi="Times New Roman" w:cs="Times New Roman"/>
                <w:sz w:val="19"/>
                <w:szCs w:val="19"/>
              </w:rPr>
            </w:pPr>
            <w:r w:rsidRPr="002E0607">
              <w:rPr>
                <w:rFonts w:ascii="Times New Roman" w:hAnsi="Times New Roman" w:cs="Times New Roman"/>
                <w:sz w:val="19"/>
                <w:szCs w:val="19"/>
              </w:rPr>
              <w:t>Jammu and Kashmir</w:t>
            </w:r>
          </w:p>
        </w:tc>
        <w:tc>
          <w:tcPr>
            <w:tcW w:w="0" w:type="auto"/>
            <w:vAlign w:val="center"/>
            <w:hideMark/>
          </w:tcPr>
          <w:p w14:paraId="0E14A649" w14:textId="77777777" w:rsidR="00572A85" w:rsidRPr="002E0607" w:rsidRDefault="00572A85" w:rsidP="002E0607">
            <w:pPr>
              <w:pStyle w:val="NoSpacing"/>
              <w:jc w:val="center"/>
              <w:rPr>
                <w:rFonts w:ascii="Times New Roman" w:hAnsi="Times New Roman" w:cs="Times New Roman"/>
                <w:sz w:val="19"/>
                <w:szCs w:val="19"/>
              </w:rPr>
            </w:pPr>
            <w:r w:rsidRPr="002E0607">
              <w:rPr>
                <w:rFonts w:ascii="Times New Roman" w:hAnsi="Times New Roman" w:cs="Times New Roman"/>
                <w:sz w:val="19"/>
                <w:szCs w:val="19"/>
              </w:rPr>
              <w:t>..</w:t>
            </w:r>
          </w:p>
        </w:tc>
        <w:tc>
          <w:tcPr>
            <w:tcW w:w="0" w:type="auto"/>
            <w:vAlign w:val="center"/>
            <w:hideMark/>
          </w:tcPr>
          <w:p w14:paraId="493C05DA" w14:textId="77777777" w:rsidR="00572A85" w:rsidRPr="002E0607" w:rsidRDefault="00572A85" w:rsidP="002E0607">
            <w:pPr>
              <w:pStyle w:val="NoSpacing"/>
              <w:jc w:val="center"/>
              <w:rPr>
                <w:rFonts w:ascii="Times New Roman" w:hAnsi="Times New Roman" w:cs="Times New Roman"/>
                <w:sz w:val="19"/>
                <w:szCs w:val="19"/>
              </w:rPr>
            </w:pPr>
            <w:r w:rsidRPr="002E0607">
              <w:rPr>
                <w:rFonts w:ascii="Times New Roman" w:hAnsi="Times New Roman" w:cs="Times New Roman"/>
                <w:sz w:val="19"/>
                <w:szCs w:val="19"/>
              </w:rPr>
              <w:t>..</w:t>
            </w:r>
          </w:p>
        </w:tc>
        <w:tc>
          <w:tcPr>
            <w:tcW w:w="0" w:type="auto"/>
            <w:vAlign w:val="center"/>
            <w:hideMark/>
          </w:tcPr>
          <w:p w14:paraId="1EB9530A" w14:textId="77777777" w:rsidR="00572A85" w:rsidRPr="002E0607" w:rsidRDefault="00572A85" w:rsidP="002E0607">
            <w:pPr>
              <w:pStyle w:val="NoSpacing"/>
              <w:jc w:val="center"/>
              <w:rPr>
                <w:rFonts w:ascii="Times New Roman" w:hAnsi="Times New Roman" w:cs="Times New Roman"/>
                <w:sz w:val="19"/>
                <w:szCs w:val="19"/>
              </w:rPr>
            </w:pPr>
            <w:r w:rsidRPr="002E0607">
              <w:rPr>
                <w:rFonts w:ascii="Times New Roman" w:hAnsi="Times New Roman" w:cs="Times New Roman"/>
                <w:sz w:val="19"/>
                <w:szCs w:val="19"/>
              </w:rPr>
              <w:t>..</w:t>
            </w:r>
          </w:p>
        </w:tc>
        <w:tc>
          <w:tcPr>
            <w:tcW w:w="0" w:type="auto"/>
            <w:vAlign w:val="center"/>
            <w:hideMark/>
          </w:tcPr>
          <w:p w14:paraId="46B36E1D" w14:textId="77777777" w:rsidR="00572A85" w:rsidRPr="002E0607" w:rsidRDefault="00572A85" w:rsidP="002E0607">
            <w:pPr>
              <w:pStyle w:val="NoSpacing"/>
              <w:jc w:val="center"/>
              <w:rPr>
                <w:rFonts w:ascii="Times New Roman" w:hAnsi="Times New Roman" w:cs="Times New Roman"/>
                <w:sz w:val="19"/>
                <w:szCs w:val="19"/>
              </w:rPr>
            </w:pPr>
            <w:r w:rsidRPr="002E0607">
              <w:rPr>
                <w:rFonts w:ascii="Times New Roman" w:hAnsi="Times New Roman" w:cs="Times New Roman"/>
                <w:sz w:val="19"/>
                <w:szCs w:val="19"/>
              </w:rPr>
              <w:t>..</w:t>
            </w:r>
          </w:p>
        </w:tc>
        <w:tc>
          <w:tcPr>
            <w:tcW w:w="0" w:type="auto"/>
            <w:vAlign w:val="center"/>
            <w:hideMark/>
          </w:tcPr>
          <w:p w14:paraId="6C943350" w14:textId="77777777" w:rsidR="00572A85" w:rsidRPr="002E0607" w:rsidRDefault="00572A85" w:rsidP="002E0607">
            <w:pPr>
              <w:pStyle w:val="NoSpacing"/>
              <w:jc w:val="center"/>
              <w:rPr>
                <w:rFonts w:ascii="Times New Roman" w:hAnsi="Times New Roman" w:cs="Times New Roman"/>
                <w:sz w:val="19"/>
                <w:szCs w:val="19"/>
              </w:rPr>
            </w:pPr>
            <w:r w:rsidRPr="002E0607">
              <w:rPr>
                <w:rFonts w:ascii="Times New Roman" w:hAnsi="Times New Roman" w:cs="Times New Roman"/>
                <w:sz w:val="19"/>
                <w:szCs w:val="19"/>
              </w:rPr>
              <w:t>..</w:t>
            </w:r>
          </w:p>
        </w:tc>
        <w:tc>
          <w:tcPr>
            <w:tcW w:w="0" w:type="auto"/>
            <w:vAlign w:val="center"/>
            <w:hideMark/>
          </w:tcPr>
          <w:p w14:paraId="0C8169AB" w14:textId="77777777" w:rsidR="00572A85" w:rsidRPr="002E0607" w:rsidRDefault="00572A85" w:rsidP="002E0607">
            <w:pPr>
              <w:pStyle w:val="NoSpacing"/>
              <w:jc w:val="center"/>
              <w:rPr>
                <w:rFonts w:ascii="Times New Roman" w:hAnsi="Times New Roman" w:cs="Times New Roman"/>
                <w:sz w:val="19"/>
                <w:szCs w:val="19"/>
              </w:rPr>
            </w:pPr>
            <w:r w:rsidRPr="002E0607">
              <w:rPr>
                <w:rFonts w:ascii="Times New Roman" w:hAnsi="Times New Roman" w:cs="Times New Roman"/>
                <w:sz w:val="19"/>
                <w:szCs w:val="19"/>
              </w:rPr>
              <w:t>..</w:t>
            </w:r>
          </w:p>
        </w:tc>
        <w:tc>
          <w:tcPr>
            <w:tcW w:w="0" w:type="auto"/>
            <w:vAlign w:val="center"/>
            <w:hideMark/>
          </w:tcPr>
          <w:p w14:paraId="5BBF8449" w14:textId="77777777" w:rsidR="00572A85" w:rsidRPr="002E0607" w:rsidRDefault="00572A85" w:rsidP="002E0607">
            <w:pPr>
              <w:pStyle w:val="NoSpacing"/>
              <w:jc w:val="center"/>
              <w:rPr>
                <w:rFonts w:ascii="Times New Roman" w:hAnsi="Times New Roman" w:cs="Times New Roman"/>
                <w:sz w:val="19"/>
                <w:szCs w:val="19"/>
              </w:rPr>
            </w:pPr>
            <w:r w:rsidRPr="002E0607">
              <w:rPr>
                <w:rFonts w:ascii="Times New Roman" w:hAnsi="Times New Roman" w:cs="Times New Roman"/>
                <w:sz w:val="19"/>
                <w:szCs w:val="19"/>
              </w:rPr>
              <w:t>..</w:t>
            </w:r>
          </w:p>
        </w:tc>
        <w:tc>
          <w:tcPr>
            <w:tcW w:w="0" w:type="auto"/>
            <w:vAlign w:val="center"/>
            <w:hideMark/>
          </w:tcPr>
          <w:p w14:paraId="5D42C314" w14:textId="77777777" w:rsidR="00572A85" w:rsidRPr="002E0607" w:rsidRDefault="00572A85" w:rsidP="002E0607">
            <w:pPr>
              <w:pStyle w:val="NoSpacing"/>
              <w:jc w:val="center"/>
              <w:rPr>
                <w:rFonts w:ascii="Times New Roman" w:hAnsi="Times New Roman" w:cs="Times New Roman"/>
                <w:sz w:val="19"/>
                <w:szCs w:val="19"/>
              </w:rPr>
            </w:pPr>
            <w:r w:rsidRPr="002E0607">
              <w:rPr>
                <w:rFonts w:ascii="Times New Roman" w:hAnsi="Times New Roman" w:cs="Times New Roman"/>
                <w:sz w:val="19"/>
                <w:szCs w:val="19"/>
              </w:rPr>
              <w:t>..</w:t>
            </w:r>
          </w:p>
        </w:tc>
        <w:tc>
          <w:tcPr>
            <w:tcW w:w="0" w:type="auto"/>
            <w:vAlign w:val="center"/>
            <w:hideMark/>
          </w:tcPr>
          <w:p w14:paraId="6542B8F2" w14:textId="77777777" w:rsidR="00572A85" w:rsidRPr="002E0607" w:rsidRDefault="00572A85" w:rsidP="002E0607">
            <w:pPr>
              <w:pStyle w:val="NoSpacing"/>
              <w:jc w:val="center"/>
              <w:rPr>
                <w:rFonts w:ascii="Times New Roman" w:hAnsi="Times New Roman" w:cs="Times New Roman"/>
                <w:sz w:val="19"/>
                <w:szCs w:val="19"/>
              </w:rPr>
            </w:pPr>
            <w:r w:rsidRPr="002E0607">
              <w:rPr>
                <w:rFonts w:ascii="Times New Roman" w:hAnsi="Times New Roman" w:cs="Times New Roman"/>
                <w:sz w:val="19"/>
                <w:szCs w:val="19"/>
              </w:rPr>
              <w:t>..</w:t>
            </w:r>
          </w:p>
        </w:tc>
        <w:tc>
          <w:tcPr>
            <w:tcW w:w="0" w:type="auto"/>
            <w:vAlign w:val="center"/>
            <w:hideMark/>
          </w:tcPr>
          <w:p w14:paraId="4BBDFE38" w14:textId="77777777" w:rsidR="00572A85" w:rsidRPr="002E0607" w:rsidRDefault="00572A85" w:rsidP="002E0607">
            <w:pPr>
              <w:pStyle w:val="NoSpacing"/>
              <w:jc w:val="center"/>
              <w:rPr>
                <w:rFonts w:ascii="Times New Roman" w:hAnsi="Times New Roman" w:cs="Times New Roman"/>
                <w:sz w:val="19"/>
                <w:szCs w:val="19"/>
              </w:rPr>
            </w:pPr>
            <w:r w:rsidRPr="002E0607">
              <w:rPr>
                <w:rFonts w:ascii="Times New Roman" w:hAnsi="Times New Roman" w:cs="Times New Roman"/>
                <w:sz w:val="19"/>
                <w:szCs w:val="19"/>
              </w:rPr>
              <w:t>..</w:t>
            </w:r>
          </w:p>
        </w:tc>
        <w:tc>
          <w:tcPr>
            <w:tcW w:w="0" w:type="auto"/>
            <w:vAlign w:val="center"/>
            <w:hideMark/>
          </w:tcPr>
          <w:p w14:paraId="52CE902C" w14:textId="77777777" w:rsidR="00572A85" w:rsidRPr="002E0607" w:rsidRDefault="00572A85" w:rsidP="002E0607">
            <w:pPr>
              <w:pStyle w:val="NoSpacing"/>
              <w:jc w:val="center"/>
              <w:rPr>
                <w:rFonts w:ascii="Times New Roman" w:hAnsi="Times New Roman" w:cs="Times New Roman"/>
                <w:sz w:val="19"/>
                <w:szCs w:val="19"/>
              </w:rPr>
            </w:pPr>
            <w:r w:rsidRPr="002E0607">
              <w:rPr>
                <w:rFonts w:ascii="Times New Roman" w:hAnsi="Times New Roman" w:cs="Times New Roman"/>
                <w:sz w:val="19"/>
                <w:szCs w:val="19"/>
              </w:rPr>
              <w:t>..</w:t>
            </w:r>
          </w:p>
        </w:tc>
        <w:tc>
          <w:tcPr>
            <w:tcW w:w="0" w:type="auto"/>
            <w:vAlign w:val="center"/>
            <w:hideMark/>
          </w:tcPr>
          <w:p w14:paraId="597DBC0D" w14:textId="77777777" w:rsidR="00572A85" w:rsidRPr="002E0607" w:rsidRDefault="00572A85" w:rsidP="002E0607">
            <w:pPr>
              <w:pStyle w:val="NoSpacing"/>
              <w:jc w:val="center"/>
              <w:rPr>
                <w:rFonts w:ascii="Times New Roman" w:hAnsi="Times New Roman" w:cs="Times New Roman"/>
                <w:sz w:val="19"/>
                <w:szCs w:val="19"/>
              </w:rPr>
            </w:pPr>
            <w:r w:rsidRPr="002E0607">
              <w:rPr>
                <w:rFonts w:ascii="Times New Roman" w:hAnsi="Times New Roman" w:cs="Times New Roman"/>
                <w:sz w:val="19"/>
                <w:szCs w:val="19"/>
              </w:rPr>
              <w:t>..</w:t>
            </w:r>
          </w:p>
        </w:tc>
        <w:tc>
          <w:tcPr>
            <w:tcW w:w="0" w:type="auto"/>
            <w:gridSpan w:val="3"/>
            <w:vMerge/>
            <w:vAlign w:val="center"/>
            <w:hideMark/>
          </w:tcPr>
          <w:p w14:paraId="7C03BD1B" w14:textId="7F15F943" w:rsidR="00572A85" w:rsidRPr="002E0607" w:rsidRDefault="00572A85" w:rsidP="002E0607">
            <w:pPr>
              <w:pStyle w:val="NoSpacing"/>
              <w:jc w:val="center"/>
              <w:rPr>
                <w:rFonts w:ascii="Times New Roman" w:hAnsi="Times New Roman" w:cs="Times New Roman"/>
                <w:sz w:val="19"/>
                <w:szCs w:val="19"/>
              </w:rPr>
            </w:pPr>
          </w:p>
        </w:tc>
        <w:tc>
          <w:tcPr>
            <w:tcW w:w="0" w:type="auto"/>
            <w:vAlign w:val="center"/>
            <w:hideMark/>
          </w:tcPr>
          <w:p w14:paraId="367AA98D" w14:textId="77777777" w:rsidR="00572A85" w:rsidRPr="002E0607" w:rsidRDefault="00572A85" w:rsidP="002E0607">
            <w:pPr>
              <w:pStyle w:val="NoSpacing"/>
              <w:jc w:val="center"/>
              <w:rPr>
                <w:rFonts w:ascii="Times New Roman" w:hAnsi="Times New Roman" w:cs="Times New Roman"/>
                <w:sz w:val="19"/>
                <w:szCs w:val="19"/>
              </w:rPr>
            </w:pPr>
            <w:r w:rsidRPr="002E0607">
              <w:rPr>
                <w:rFonts w:ascii="Times New Roman" w:hAnsi="Times New Roman" w:cs="Times New Roman"/>
                <w:sz w:val="19"/>
                <w:szCs w:val="19"/>
              </w:rPr>
              <w:t>..</w:t>
            </w:r>
          </w:p>
        </w:tc>
        <w:tc>
          <w:tcPr>
            <w:tcW w:w="0" w:type="auto"/>
            <w:vAlign w:val="center"/>
            <w:hideMark/>
          </w:tcPr>
          <w:p w14:paraId="1AC750A1" w14:textId="77777777" w:rsidR="00572A85" w:rsidRPr="002E0607" w:rsidRDefault="00572A85" w:rsidP="002E0607">
            <w:pPr>
              <w:pStyle w:val="NoSpacing"/>
              <w:jc w:val="center"/>
              <w:rPr>
                <w:rFonts w:ascii="Times New Roman" w:hAnsi="Times New Roman" w:cs="Times New Roman"/>
                <w:sz w:val="19"/>
                <w:szCs w:val="19"/>
              </w:rPr>
            </w:pPr>
            <w:r w:rsidRPr="002E0607">
              <w:rPr>
                <w:rFonts w:ascii="Times New Roman" w:hAnsi="Times New Roman" w:cs="Times New Roman"/>
                <w:sz w:val="19"/>
                <w:szCs w:val="19"/>
              </w:rPr>
              <w:t>..</w:t>
            </w:r>
          </w:p>
        </w:tc>
        <w:tc>
          <w:tcPr>
            <w:tcW w:w="0" w:type="auto"/>
            <w:vAlign w:val="center"/>
            <w:hideMark/>
          </w:tcPr>
          <w:p w14:paraId="6B6CF220" w14:textId="77777777" w:rsidR="00572A85" w:rsidRPr="002E0607" w:rsidRDefault="00572A85" w:rsidP="002E0607">
            <w:pPr>
              <w:pStyle w:val="NoSpacing"/>
              <w:jc w:val="center"/>
              <w:rPr>
                <w:rFonts w:ascii="Times New Roman" w:hAnsi="Times New Roman" w:cs="Times New Roman"/>
                <w:sz w:val="19"/>
                <w:szCs w:val="19"/>
              </w:rPr>
            </w:pPr>
            <w:r w:rsidRPr="002E0607">
              <w:rPr>
                <w:rFonts w:ascii="Times New Roman" w:hAnsi="Times New Roman" w:cs="Times New Roman"/>
                <w:sz w:val="19"/>
                <w:szCs w:val="19"/>
              </w:rPr>
              <w:t>..</w:t>
            </w:r>
          </w:p>
        </w:tc>
      </w:tr>
      <w:tr w:rsidR="008D45A9" w:rsidRPr="002E0607" w14:paraId="4F82E5CF" w14:textId="77777777" w:rsidTr="002E0607">
        <w:trPr>
          <w:trHeight w:val="323"/>
        </w:trPr>
        <w:tc>
          <w:tcPr>
            <w:tcW w:w="1926" w:type="dxa"/>
            <w:vAlign w:val="center"/>
            <w:hideMark/>
          </w:tcPr>
          <w:p w14:paraId="64E61237" w14:textId="77777777" w:rsidR="008D45A9" w:rsidRPr="002E0607" w:rsidRDefault="008D45A9" w:rsidP="002E0607">
            <w:pPr>
              <w:pStyle w:val="NoSpacing"/>
              <w:rPr>
                <w:rFonts w:ascii="Times New Roman" w:hAnsi="Times New Roman" w:cs="Times New Roman"/>
                <w:sz w:val="19"/>
                <w:szCs w:val="19"/>
              </w:rPr>
            </w:pPr>
            <w:r w:rsidRPr="002E0607">
              <w:rPr>
                <w:rFonts w:ascii="Times New Roman" w:hAnsi="Times New Roman" w:cs="Times New Roman"/>
                <w:sz w:val="19"/>
                <w:szCs w:val="19"/>
              </w:rPr>
              <w:t>TOTAL</w:t>
            </w:r>
          </w:p>
        </w:tc>
        <w:tc>
          <w:tcPr>
            <w:tcW w:w="0" w:type="auto"/>
            <w:vAlign w:val="center"/>
            <w:hideMark/>
          </w:tcPr>
          <w:p w14:paraId="6955BD9E" w14:textId="77777777" w:rsidR="008D45A9" w:rsidRPr="002E0607" w:rsidRDefault="008D45A9" w:rsidP="002E0607">
            <w:pPr>
              <w:pStyle w:val="NoSpacing"/>
              <w:jc w:val="center"/>
              <w:rPr>
                <w:rFonts w:ascii="Times New Roman" w:hAnsi="Times New Roman" w:cs="Times New Roman"/>
                <w:sz w:val="19"/>
                <w:szCs w:val="19"/>
              </w:rPr>
            </w:pPr>
            <w:r w:rsidRPr="002E0607">
              <w:rPr>
                <w:rFonts w:ascii="Times New Roman" w:hAnsi="Times New Roman" w:cs="Times New Roman"/>
                <w:sz w:val="19"/>
                <w:szCs w:val="19"/>
              </w:rPr>
              <w:t>73.23</w:t>
            </w:r>
          </w:p>
        </w:tc>
        <w:tc>
          <w:tcPr>
            <w:tcW w:w="0" w:type="auto"/>
            <w:vAlign w:val="center"/>
            <w:hideMark/>
          </w:tcPr>
          <w:p w14:paraId="195836FC" w14:textId="77777777" w:rsidR="008D45A9" w:rsidRPr="002E0607" w:rsidRDefault="008D45A9" w:rsidP="002E0607">
            <w:pPr>
              <w:pStyle w:val="NoSpacing"/>
              <w:jc w:val="center"/>
              <w:rPr>
                <w:rFonts w:ascii="Times New Roman" w:hAnsi="Times New Roman" w:cs="Times New Roman"/>
                <w:sz w:val="19"/>
                <w:szCs w:val="19"/>
              </w:rPr>
            </w:pPr>
            <w:r w:rsidRPr="002E0607">
              <w:rPr>
                <w:rFonts w:ascii="Times New Roman" w:hAnsi="Times New Roman" w:cs="Times New Roman"/>
                <w:sz w:val="19"/>
                <w:szCs w:val="19"/>
              </w:rPr>
              <w:t>8.20</w:t>
            </w:r>
          </w:p>
        </w:tc>
        <w:tc>
          <w:tcPr>
            <w:tcW w:w="0" w:type="auto"/>
            <w:vAlign w:val="center"/>
            <w:hideMark/>
          </w:tcPr>
          <w:p w14:paraId="68421A31" w14:textId="77777777" w:rsidR="008D45A9" w:rsidRPr="002E0607" w:rsidRDefault="008D45A9" w:rsidP="002E0607">
            <w:pPr>
              <w:pStyle w:val="NoSpacing"/>
              <w:jc w:val="center"/>
              <w:rPr>
                <w:rFonts w:ascii="Times New Roman" w:hAnsi="Times New Roman" w:cs="Times New Roman"/>
                <w:sz w:val="19"/>
                <w:szCs w:val="19"/>
              </w:rPr>
            </w:pPr>
            <w:r w:rsidRPr="002E0607">
              <w:rPr>
                <w:rFonts w:ascii="Times New Roman" w:hAnsi="Times New Roman" w:cs="Times New Roman"/>
                <w:sz w:val="19"/>
                <w:szCs w:val="19"/>
              </w:rPr>
              <w:t>81.43</w:t>
            </w:r>
          </w:p>
        </w:tc>
        <w:tc>
          <w:tcPr>
            <w:tcW w:w="0" w:type="auto"/>
            <w:vAlign w:val="center"/>
            <w:hideMark/>
          </w:tcPr>
          <w:p w14:paraId="4AF3AFED" w14:textId="77777777" w:rsidR="008D45A9" w:rsidRPr="002E0607" w:rsidRDefault="008D45A9" w:rsidP="002E0607">
            <w:pPr>
              <w:pStyle w:val="NoSpacing"/>
              <w:jc w:val="center"/>
              <w:rPr>
                <w:rFonts w:ascii="Times New Roman" w:hAnsi="Times New Roman" w:cs="Times New Roman"/>
                <w:sz w:val="19"/>
                <w:szCs w:val="19"/>
              </w:rPr>
            </w:pPr>
            <w:r w:rsidRPr="002E0607">
              <w:rPr>
                <w:rFonts w:ascii="Times New Roman" w:hAnsi="Times New Roman" w:cs="Times New Roman"/>
                <w:sz w:val="19"/>
                <w:szCs w:val="19"/>
              </w:rPr>
              <w:t>67.18</w:t>
            </w:r>
          </w:p>
        </w:tc>
        <w:tc>
          <w:tcPr>
            <w:tcW w:w="0" w:type="auto"/>
            <w:vAlign w:val="center"/>
            <w:hideMark/>
          </w:tcPr>
          <w:p w14:paraId="01B1070B" w14:textId="77777777" w:rsidR="008D45A9" w:rsidRPr="002E0607" w:rsidRDefault="008D45A9" w:rsidP="002E0607">
            <w:pPr>
              <w:pStyle w:val="NoSpacing"/>
              <w:jc w:val="center"/>
              <w:rPr>
                <w:rFonts w:ascii="Times New Roman" w:hAnsi="Times New Roman" w:cs="Times New Roman"/>
                <w:sz w:val="19"/>
                <w:szCs w:val="19"/>
              </w:rPr>
            </w:pPr>
            <w:r w:rsidRPr="002E0607">
              <w:rPr>
                <w:rFonts w:ascii="Times New Roman" w:hAnsi="Times New Roman" w:cs="Times New Roman"/>
                <w:sz w:val="19"/>
                <w:szCs w:val="19"/>
              </w:rPr>
              <w:t>9.70</w:t>
            </w:r>
          </w:p>
        </w:tc>
        <w:tc>
          <w:tcPr>
            <w:tcW w:w="0" w:type="auto"/>
            <w:vAlign w:val="center"/>
            <w:hideMark/>
          </w:tcPr>
          <w:p w14:paraId="7F67F2B4" w14:textId="77777777" w:rsidR="008D45A9" w:rsidRPr="002E0607" w:rsidRDefault="008D45A9" w:rsidP="002E0607">
            <w:pPr>
              <w:pStyle w:val="NoSpacing"/>
              <w:jc w:val="center"/>
              <w:rPr>
                <w:rFonts w:ascii="Times New Roman" w:hAnsi="Times New Roman" w:cs="Times New Roman"/>
                <w:sz w:val="19"/>
                <w:szCs w:val="19"/>
              </w:rPr>
            </w:pPr>
            <w:r w:rsidRPr="002E0607">
              <w:rPr>
                <w:rFonts w:ascii="Times New Roman" w:hAnsi="Times New Roman" w:cs="Times New Roman"/>
                <w:sz w:val="19"/>
                <w:szCs w:val="19"/>
              </w:rPr>
              <w:t>76.88</w:t>
            </w:r>
          </w:p>
        </w:tc>
        <w:tc>
          <w:tcPr>
            <w:tcW w:w="0" w:type="auto"/>
            <w:vAlign w:val="center"/>
            <w:hideMark/>
          </w:tcPr>
          <w:p w14:paraId="51D6EF0F" w14:textId="77777777" w:rsidR="008D45A9" w:rsidRPr="002E0607" w:rsidRDefault="008D45A9" w:rsidP="002E0607">
            <w:pPr>
              <w:pStyle w:val="NoSpacing"/>
              <w:jc w:val="center"/>
              <w:rPr>
                <w:rFonts w:ascii="Times New Roman" w:hAnsi="Times New Roman" w:cs="Times New Roman"/>
                <w:sz w:val="19"/>
                <w:szCs w:val="19"/>
              </w:rPr>
            </w:pPr>
            <w:r w:rsidRPr="002E0607">
              <w:rPr>
                <w:rFonts w:ascii="Times New Roman" w:hAnsi="Times New Roman" w:cs="Times New Roman"/>
                <w:sz w:val="19"/>
                <w:szCs w:val="19"/>
              </w:rPr>
              <w:t>71.08</w:t>
            </w:r>
          </w:p>
        </w:tc>
        <w:tc>
          <w:tcPr>
            <w:tcW w:w="0" w:type="auto"/>
            <w:vAlign w:val="center"/>
            <w:hideMark/>
          </w:tcPr>
          <w:p w14:paraId="3D9DF32F" w14:textId="77777777" w:rsidR="008D45A9" w:rsidRPr="002E0607" w:rsidRDefault="008D45A9" w:rsidP="002E0607">
            <w:pPr>
              <w:pStyle w:val="NoSpacing"/>
              <w:jc w:val="center"/>
              <w:rPr>
                <w:rFonts w:ascii="Times New Roman" w:hAnsi="Times New Roman" w:cs="Times New Roman"/>
                <w:sz w:val="19"/>
                <w:szCs w:val="19"/>
              </w:rPr>
            </w:pPr>
            <w:r w:rsidRPr="002E0607">
              <w:rPr>
                <w:rFonts w:ascii="Times New Roman" w:hAnsi="Times New Roman" w:cs="Times New Roman"/>
                <w:sz w:val="19"/>
                <w:szCs w:val="19"/>
              </w:rPr>
              <w:t>10.20</w:t>
            </w:r>
          </w:p>
        </w:tc>
        <w:tc>
          <w:tcPr>
            <w:tcW w:w="0" w:type="auto"/>
            <w:vAlign w:val="center"/>
            <w:hideMark/>
          </w:tcPr>
          <w:p w14:paraId="6F8718A7" w14:textId="77777777" w:rsidR="008D45A9" w:rsidRPr="002E0607" w:rsidRDefault="008D45A9" w:rsidP="002E0607">
            <w:pPr>
              <w:pStyle w:val="NoSpacing"/>
              <w:jc w:val="center"/>
              <w:rPr>
                <w:rFonts w:ascii="Times New Roman" w:hAnsi="Times New Roman" w:cs="Times New Roman"/>
                <w:sz w:val="19"/>
                <w:szCs w:val="19"/>
              </w:rPr>
            </w:pPr>
            <w:r w:rsidRPr="002E0607">
              <w:rPr>
                <w:rFonts w:ascii="Times New Roman" w:hAnsi="Times New Roman" w:cs="Times New Roman"/>
                <w:sz w:val="19"/>
                <w:szCs w:val="19"/>
              </w:rPr>
              <w:t>81.28</w:t>
            </w:r>
          </w:p>
        </w:tc>
        <w:tc>
          <w:tcPr>
            <w:tcW w:w="0" w:type="auto"/>
            <w:vAlign w:val="center"/>
            <w:hideMark/>
          </w:tcPr>
          <w:p w14:paraId="2CC9C2EB" w14:textId="77777777" w:rsidR="008D45A9" w:rsidRPr="002E0607" w:rsidRDefault="008D45A9" w:rsidP="002E0607">
            <w:pPr>
              <w:pStyle w:val="NoSpacing"/>
              <w:jc w:val="center"/>
              <w:rPr>
                <w:rFonts w:ascii="Times New Roman" w:hAnsi="Times New Roman" w:cs="Times New Roman"/>
                <w:sz w:val="19"/>
                <w:szCs w:val="19"/>
              </w:rPr>
            </w:pPr>
            <w:r w:rsidRPr="002E0607">
              <w:rPr>
                <w:rFonts w:ascii="Times New Roman" w:hAnsi="Times New Roman" w:cs="Times New Roman"/>
                <w:sz w:val="19"/>
                <w:szCs w:val="19"/>
              </w:rPr>
              <w:t>71.87</w:t>
            </w:r>
          </w:p>
        </w:tc>
        <w:tc>
          <w:tcPr>
            <w:tcW w:w="0" w:type="auto"/>
            <w:vAlign w:val="center"/>
            <w:hideMark/>
          </w:tcPr>
          <w:p w14:paraId="53477BC6" w14:textId="77777777" w:rsidR="008D45A9" w:rsidRPr="002E0607" w:rsidRDefault="008D45A9" w:rsidP="002E0607">
            <w:pPr>
              <w:pStyle w:val="NoSpacing"/>
              <w:jc w:val="center"/>
              <w:rPr>
                <w:rFonts w:ascii="Times New Roman" w:hAnsi="Times New Roman" w:cs="Times New Roman"/>
                <w:sz w:val="19"/>
                <w:szCs w:val="19"/>
              </w:rPr>
            </w:pPr>
            <w:r w:rsidRPr="002E0607">
              <w:rPr>
                <w:rFonts w:ascii="Times New Roman" w:hAnsi="Times New Roman" w:cs="Times New Roman"/>
                <w:sz w:val="19"/>
                <w:szCs w:val="19"/>
              </w:rPr>
              <w:t>10.70</w:t>
            </w:r>
          </w:p>
        </w:tc>
        <w:tc>
          <w:tcPr>
            <w:tcW w:w="0" w:type="auto"/>
            <w:vAlign w:val="center"/>
            <w:hideMark/>
          </w:tcPr>
          <w:p w14:paraId="786442ED" w14:textId="77777777" w:rsidR="008D45A9" w:rsidRPr="002E0607" w:rsidRDefault="008D45A9" w:rsidP="002E0607">
            <w:pPr>
              <w:pStyle w:val="NoSpacing"/>
              <w:jc w:val="center"/>
              <w:rPr>
                <w:rFonts w:ascii="Times New Roman" w:hAnsi="Times New Roman" w:cs="Times New Roman"/>
                <w:sz w:val="19"/>
                <w:szCs w:val="19"/>
              </w:rPr>
            </w:pPr>
            <w:r w:rsidRPr="002E0607">
              <w:rPr>
                <w:rFonts w:ascii="Times New Roman" w:hAnsi="Times New Roman" w:cs="Times New Roman"/>
                <w:sz w:val="19"/>
                <w:szCs w:val="19"/>
              </w:rPr>
              <w:t>82.57</w:t>
            </w:r>
          </w:p>
        </w:tc>
        <w:tc>
          <w:tcPr>
            <w:tcW w:w="0" w:type="auto"/>
            <w:vAlign w:val="center"/>
            <w:hideMark/>
          </w:tcPr>
          <w:p w14:paraId="396882CC" w14:textId="77777777" w:rsidR="008D45A9" w:rsidRPr="002E0607" w:rsidRDefault="008D45A9" w:rsidP="002E0607">
            <w:pPr>
              <w:pStyle w:val="NoSpacing"/>
              <w:jc w:val="center"/>
              <w:rPr>
                <w:rFonts w:ascii="Times New Roman" w:hAnsi="Times New Roman" w:cs="Times New Roman"/>
                <w:sz w:val="19"/>
                <w:szCs w:val="19"/>
              </w:rPr>
            </w:pPr>
            <w:r w:rsidRPr="002E0607">
              <w:rPr>
                <w:rFonts w:ascii="Times New Roman" w:hAnsi="Times New Roman" w:cs="Times New Roman"/>
                <w:sz w:val="19"/>
                <w:szCs w:val="19"/>
              </w:rPr>
              <w:t>78.25</w:t>
            </w:r>
          </w:p>
        </w:tc>
        <w:tc>
          <w:tcPr>
            <w:tcW w:w="0" w:type="auto"/>
            <w:vAlign w:val="center"/>
            <w:hideMark/>
          </w:tcPr>
          <w:p w14:paraId="796E99F5" w14:textId="77777777" w:rsidR="008D45A9" w:rsidRPr="002E0607" w:rsidRDefault="008D45A9" w:rsidP="002E0607">
            <w:pPr>
              <w:pStyle w:val="NoSpacing"/>
              <w:jc w:val="center"/>
              <w:rPr>
                <w:rFonts w:ascii="Times New Roman" w:hAnsi="Times New Roman" w:cs="Times New Roman"/>
                <w:sz w:val="19"/>
                <w:szCs w:val="19"/>
              </w:rPr>
            </w:pPr>
            <w:r w:rsidRPr="002E0607">
              <w:rPr>
                <w:rFonts w:ascii="Times New Roman" w:hAnsi="Times New Roman" w:cs="Times New Roman"/>
                <w:sz w:val="19"/>
                <w:szCs w:val="19"/>
              </w:rPr>
              <w:t>11.20</w:t>
            </w:r>
          </w:p>
        </w:tc>
        <w:tc>
          <w:tcPr>
            <w:tcW w:w="0" w:type="auto"/>
            <w:vAlign w:val="center"/>
            <w:hideMark/>
          </w:tcPr>
          <w:p w14:paraId="231541A5" w14:textId="77777777" w:rsidR="008D45A9" w:rsidRPr="002E0607" w:rsidRDefault="008D45A9" w:rsidP="002E0607">
            <w:pPr>
              <w:pStyle w:val="NoSpacing"/>
              <w:jc w:val="center"/>
              <w:rPr>
                <w:rFonts w:ascii="Times New Roman" w:hAnsi="Times New Roman" w:cs="Times New Roman"/>
                <w:sz w:val="19"/>
                <w:szCs w:val="19"/>
              </w:rPr>
            </w:pPr>
            <w:r w:rsidRPr="002E0607">
              <w:rPr>
                <w:rFonts w:ascii="Times New Roman" w:hAnsi="Times New Roman" w:cs="Times New Roman"/>
                <w:sz w:val="19"/>
                <w:szCs w:val="19"/>
              </w:rPr>
              <w:t>89.45</w:t>
            </w:r>
          </w:p>
        </w:tc>
        <w:tc>
          <w:tcPr>
            <w:tcW w:w="0" w:type="auto"/>
            <w:vAlign w:val="center"/>
            <w:hideMark/>
          </w:tcPr>
          <w:p w14:paraId="01841151" w14:textId="77777777" w:rsidR="008D45A9" w:rsidRPr="002E0607" w:rsidRDefault="008D45A9" w:rsidP="002E0607">
            <w:pPr>
              <w:pStyle w:val="NoSpacing"/>
              <w:jc w:val="center"/>
              <w:rPr>
                <w:rFonts w:ascii="Times New Roman" w:hAnsi="Times New Roman" w:cs="Times New Roman"/>
                <w:sz w:val="19"/>
                <w:szCs w:val="19"/>
              </w:rPr>
            </w:pPr>
            <w:r w:rsidRPr="002E0607">
              <w:rPr>
                <w:rFonts w:ascii="Times New Roman" w:hAnsi="Times New Roman" w:cs="Times New Roman"/>
                <w:sz w:val="19"/>
                <w:szCs w:val="19"/>
              </w:rPr>
              <w:t>283.36 (361.61)*</w:t>
            </w:r>
          </w:p>
        </w:tc>
        <w:tc>
          <w:tcPr>
            <w:tcW w:w="0" w:type="auto"/>
            <w:vAlign w:val="center"/>
            <w:hideMark/>
          </w:tcPr>
          <w:p w14:paraId="4298F0A5" w14:textId="77777777" w:rsidR="008D45A9" w:rsidRPr="002E0607" w:rsidRDefault="008D45A9" w:rsidP="002E0607">
            <w:pPr>
              <w:pStyle w:val="NoSpacing"/>
              <w:jc w:val="center"/>
              <w:rPr>
                <w:rFonts w:ascii="Times New Roman" w:hAnsi="Times New Roman" w:cs="Times New Roman"/>
                <w:sz w:val="19"/>
                <w:szCs w:val="19"/>
              </w:rPr>
            </w:pPr>
            <w:r w:rsidRPr="002E0607">
              <w:rPr>
                <w:rFonts w:ascii="Times New Roman" w:hAnsi="Times New Roman" w:cs="Times New Roman"/>
                <w:sz w:val="19"/>
                <w:szCs w:val="19"/>
              </w:rPr>
              <w:t>38.80 (50.00)*</w:t>
            </w:r>
          </w:p>
        </w:tc>
        <w:tc>
          <w:tcPr>
            <w:tcW w:w="0" w:type="auto"/>
            <w:vAlign w:val="center"/>
            <w:hideMark/>
          </w:tcPr>
          <w:p w14:paraId="0054C7D5" w14:textId="77777777" w:rsidR="008D45A9" w:rsidRPr="002E0607" w:rsidRDefault="008D45A9" w:rsidP="002E0607">
            <w:pPr>
              <w:pStyle w:val="NoSpacing"/>
              <w:jc w:val="center"/>
              <w:rPr>
                <w:rFonts w:ascii="Times New Roman" w:hAnsi="Times New Roman" w:cs="Times New Roman"/>
                <w:sz w:val="19"/>
                <w:szCs w:val="19"/>
              </w:rPr>
            </w:pPr>
            <w:r w:rsidRPr="002E0607">
              <w:rPr>
                <w:rFonts w:ascii="Times New Roman" w:hAnsi="Times New Roman" w:cs="Times New Roman"/>
                <w:sz w:val="19"/>
                <w:szCs w:val="19"/>
              </w:rPr>
              <w:t>322.16 (411.61)*</w:t>
            </w:r>
          </w:p>
        </w:tc>
      </w:tr>
    </w:tbl>
    <w:p w14:paraId="27475990" w14:textId="3040BC7D" w:rsidR="008D45A9" w:rsidRPr="002E0607" w:rsidRDefault="008D45A9" w:rsidP="008D45A9">
      <w:pPr>
        <w:tabs>
          <w:tab w:val="left" w:pos="737"/>
        </w:tabs>
        <w:spacing w:after="0"/>
        <w:rPr>
          <w:rFonts w:ascii="Times New Roman" w:hAnsi="Times New Roman" w:cs="Times New Roman"/>
          <w:sz w:val="20"/>
          <w:szCs w:val="18"/>
        </w:rPr>
      </w:pPr>
      <w:r w:rsidRPr="002E0607">
        <w:rPr>
          <w:rFonts w:ascii="Times New Roman" w:hAnsi="Times New Roman" w:cs="Times New Roman"/>
          <w:sz w:val="20"/>
          <w:szCs w:val="18"/>
        </w:rPr>
        <w:t>Source: State Budgets.</w:t>
      </w:r>
      <w:r w:rsidRPr="002E0607">
        <w:rPr>
          <w:rFonts w:ascii="Times New Roman" w:hAnsi="Times New Roman" w:cs="Times New Roman"/>
          <w:sz w:val="20"/>
          <w:szCs w:val="18"/>
        </w:rPr>
        <w:br/>
        <w:t>** Shown Separately on next page (Because of reorganisation of States in 1956-57, the figures for that year cannot be put on a comparable basis).</w:t>
      </w:r>
    </w:p>
    <w:p w14:paraId="77439E22" w14:textId="77777777" w:rsidR="008D45A9" w:rsidRPr="002E0607" w:rsidRDefault="008D45A9" w:rsidP="008D45A9">
      <w:pPr>
        <w:tabs>
          <w:tab w:val="left" w:pos="737"/>
        </w:tabs>
        <w:spacing w:after="0"/>
        <w:rPr>
          <w:rFonts w:ascii="Times New Roman" w:hAnsi="Times New Roman" w:cs="Times New Roman"/>
          <w:sz w:val="20"/>
          <w:szCs w:val="18"/>
        </w:rPr>
      </w:pPr>
      <w:r w:rsidRPr="002E0607">
        <w:rPr>
          <w:rFonts w:ascii="Times New Roman" w:hAnsi="Times New Roman" w:cs="Times New Roman"/>
          <w:sz w:val="20"/>
          <w:szCs w:val="18"/>
        </w:rPr>
        <w:t>**Figure with in brackets are totals for five year 1952-53 to 1956-57</w:t>
      </w:r>
    </w:p>
    <w:p w14:paraId="018C532F" w14:textId="77777777" w:rsidR="008D45A9" w:rsidRPr="007245B0" w:rsidRDefault="008D45A9" w:rsidP="008D45A9">
      <w:pPr>
        <w:spacing w:after="0"/>
        <w:rPr>
          <w:rFonts w:ascii="Times New Roman" w:hAnsi="Times New Roman" w:cs="Times New Roman"/>
          <w:b/>
          <w:bCs/>
          <w:i/>
          <w:iCs/>
          <w:szCs w:val="24"/>
        </w:rPr>
        <w:sectPr w:rsidR="008D45A9" w:rsidRPr="007245B0" w:rsidSect="00937698">
          <w:pgSz w:w="15840" w:h="12240" w:orient="landscape"/>
          <w:pgMar w:top="1440" w:right="992" w:bottom="1440" w:left="1440" w:header="720" w:footer="720" w:gutter="0"/>
          <w:cols w:space="720"/>
        </w:sectPr>
      </w:pPr>
    </w:p>
    <w:p w14:paraId="341D8113" w14:textId="663B794D" w:rsidR="008D45A9" w:rsidRPr="002E0607" w:rsidRDefault="00574BCE" w:rsidP="008D45A9">
      <w:pPr>
        <w:spacing w:after="0"/>
        <w:jc w:val="center"/>
        <w:rPr>
          <w:rFonts w:ascii="Times New Roman" w:hAnsi="Times New Roman" w:cs="Times New Roman"/>
          <w:szCs w:val="24"/>
        </w:rPr>
      </w:pPr>
      <w:r>
        <w:rPr>
          <w:rFonts w:ascii="Times New Roman" w:hAnsi="Times New Roman" w:cs="Times New Roman"/>
          <w:b/>
          <w:bCs/>
          <w:szCs w:val="24"/>
        </w:rPr>
        <w:lastRenderedPageBreak/>
        <w:t>Table</w:t>
      </w:r>
      <w:r w:rsidR="008D45A9" w:rsidRPr="002E0607">
        <w:rPr>
          <w:rFonts w:ascii="Times New Roman" w:hAnsi="Times New Roman" w:cs="Times New Roman"/>
          <w:b/>
          <w:bCs/>
          <w:szCs w:val="24"/>
        </w:rPr>
        <w:t xml:space="preserve"> 54: Transfers from the Centre to States under the First Finance Commission's Award—contd.</w:t>
      </w:r>
    </w:p>
    <w:p w14:paraId="59ACACC4" w14:textId="77777777" w:rsidR="008D45A9" w:rsidRPr="007245B0" w:rsidRDefault="008D45A9" w:rsidP="002A212C">
      <w:pPr>
        <w:tabs>
          <w:tab w:val="left" w:pos="3084"/>
        </w:tabs>
        <w:rPr>
          <w:rFonts w:ascii="Times New Roman" w:hAnsi="Times New Roman" w:cs="Times New Roman"/>
        </w:rPr>
      </w:pPr>
    </w:p>
    <w:tbl>
      <w:tblPr>
        <w:tblStyle w:val="TableGrid"/>
        <w:tblW w:w="9747" w:type="dxa"/>
        <w:tblLook w:val="04A0" w:firstRow="1" w:lastRow="0" w:firstColumn="1" w:lastColumn="0" w:noHBand="0" w:noVBand="1"/>
      </w:tblPr>
      <w:tblGrid>
        <w:gridCol w:w="5866"/>
        <w:gridCol w:w="1445"/>
        <w:gridCol w:w="1358"/>
        <w:gridCol w:w="1078"/>
      </w:tblGrid>
      <w:tr w:rsidR="008D45A9" w:rsidRPr="002E0607" w14:paraId="4968A440" w14:textId="77777777" w:rsidTr="002E0607">
        <w:trPr>
          <w:trHeight w:val="465"/>
        </w:trPr>
        <w:tc>
          <w:tcPr>
            <w:tcW w:w="5866" w:type="dxa"/>
            <w:vMerge w:val="restart"/>
            <w:vAlign w:val="center"/>
          </w:tcPr>
          <w:p w14:paraId="55A3347D" w14:textId="77777777" w:rsidR="008D45A9" w:rsidRPr="002E0607" w:rsidRDefault="008D45A9" w:rsidP="002E0607">
            <w:pPr>
              <w:pStyle w:val="NoSpacing"/>
              <w:rPr>
                <w:rFonts w:ascii="Times New Roman" w:hAnsi="Times New Roman" w:cs="Times New Roman"/>
                <w:sz w:val="22"/>
                <w:szCs w:val="22"/>
              </w:rPr>
            </w:pPr>
          </w:p>
        </w:tc>
        <w:tc>
          <w:tcPr>
            <w:tcW w:w="3881" w:type="dxa"/>
            <w:gridSpan w:val="3"/>
            <w:vAlign w:val="center"/>
          </w:tcPr>
          <w:p w14:paraId="71218011" w14:textId="77777777" w:rsidR="008D45A9" w:rsidRPr="002E0607" w:rsidRDefault="008D45A9" w:rsidP="002E0607">
            <w:pPr>
              <w:pStyle w:val="NoSpacing"/>
              <w:jc w:val="center"/>
              <w:rPr>
                <w:rFonts w:ascii="Times New Roman" w:hAnsi="Times New Roman" w:cs="Times New Roman"/>
                <w:b/>
                <w:bCs/>
                <w:sz w:val="22"/>
                <w:szCs w:val="22"/>
              </w:rPr>
            </w:pPr>
          </w:p>
          <w:p w14:paraId="2D3AF228" w14:textId="77777777" w:rsidR="008D45A9" w:rsidRPr="002E0607" w:rsidRDefault="008D45A9" w:rsidP="002E0607">
            <w:pPr>
              <w:pStyle w:val="NoSpacing"/>
              <w:jc w:val="center"/>
              <w:rPr>
                <w:rFonts w:ascii="Times New Roman" w:hAnsi="Times New Roman" w:cs="Times New Roman"/>
                <w:b/>
                <w:bCs/>
                <w:sz w:val="22"/>
                <w:szCs w:val="22"/>
              </w:rPr>
            </w:pPr>
            <w:r w:rsidRPr="002E0607">
              <w:rPr>
                <w:rFonts w:ascii="Times New Roman" w:hAnsi="Times New Roman" w:cs="Times New Roman"/>
                <w:b/>
                <w:bCs/>
                <w:sz w:val="22"/>
                <w:szCs w:val="22"/>
              </w:rPr>
              <w:t>1956-57</w:t>
            </w:r>
          </w:p>
        </w:tc>
      </w:tr>
      <w:tr w:rsidR="008D45A9" w:rsidRPr="002E0607" w14:paraId="4D129A90" w14:textId="77777777" w:rsidTr="002E0607">
        <w:trPr>
          <w:trHeight w:val="151"/>
        </w:trPr>
        <w:tc>
          <w:tcPr>
            <w:tcW w:w="5866" w:type="dxa"/>
            <w:vMerge/>
            <w:vAlign w:val="center"/>
            <w:hideMark/>
          </w:tcPr>
          <w:p w14:paraId="4E71FC2C" w14:textId="77777777" w:rsidR="008D45A9" w:rsidRPr="002E0607" w:rsidRDefault="008D45A9" w:rsidP="002E0607">
            <w:pPr>
              <w:pStyle w:val="NoSpacing"/>
              <w:rPr>
                <w:rFonts w:ascii="Times New Roman" w:hAnsi="Times New Roman" w:cs="Times New Roman"/>
                <w:sz w:val="22"/>
                <w:szCs w:val="22"/>
              </w:rPr>
            </w:pPr>
          </w:p>
        </w:tc>
        <w:tc>
          <w:tcPr>
            <w:tcW w:w="1445" w:type="dxa"/>
            <w:vAlign w:val="center"/>
            <w:hideMark/>
          </w:tcPr>
          <w:p w14:paraId="05E4046C" w14:textId="03C7E032" w:rsidR="008D45A9" w:rsidRPr="002E0607" w:rsidRDefault="008D45A9" w:rsidP="002E0607">
            <w:pPr>
              <w:pStyle w:val="NoSpacing"/>
              <w:jc w:val="center"/>
              <w:rPr>
                <w:rFonts w:ascii="Times New Roman" w:hAnsi="Times New Roman" w:cs="Times New Roman"/>
                <w:b/>
                <w:bCs/>
                <w:sz w:val="22"/>
                <w:szCs w:val="22"/>
              </w:rPr>
            </w:pPr>
            <w:r w:rsidRPr="002E0607">
              <w:rPr>
                <w:rFonts w:ascii="Times New Roman" w:hAnsi="Times New Roman" w:cs="Times New Roman"/>
                <w:b/>
                <w:bCs/>
                <w:sz w:val="22"/>
                <w:szCs w:val="22"/>
              </w:rPr>
              <w:t>Share of Taxes</w:t>
            </w:r>
          </w:p>
        </w:tc>
        <w:tc>
          <w:tcPr>
            <w:tcW w:w="1358" w:type="dxa"/>
            <w:vAlign w:val="center"/>
            <w:hideMark/>
          </w:tcPr>
          <w:p w14:paraId="178A4DF2" w14:textId="25F085F4" w:rsidR="008D45A9" w:rsidRPr="002E0607" w:rsidRDefault="008D45A9" w:rsidP="002E0607">
            <w:pPr>
              <w:pStyle w:val="NoSpacing"/>
              <w:jc w:val="center"/>
              <w:rPr>
                <w:rFonts w:ascii="Times New Roman" w:hAnsi="Times New Roman" w:cs="Times New Roman"/>
                <w:b/>
                <w:bCs/>
                <w:sz w:val="22"/>
                <w:szCs w:val="22"/>
              </w:rPr>
            </w:pPr>
            <w:r w:rsidRPr="002E0607">
              <w:rPr>
                <w:rFonts w:ascii="Times New Roman" w:hAnsi="Times New Roman" w:cs="Times New Roman"/>
                <w:b/>
                <w:bCs/>
                <w:sz w:val="22"/>
                <w:szCs w:val="22"/>
              </w:rPr>
              <w:t>Grants*</w:t>
            </w:r>
          </w:p>
        </w:tc>
        <w:tc>
          <w:tcPr>
            <w:tcW w:w="1076" w:type="dxa"/>
            <w:vAlign w:val="center"/>
            <w:hideMark/>
          </w:tcPr>
          <w:p w14:paraId="2FDD04EC" w14:textId="174FA66D" w:rsidR="008D45A9" w:rsidRPr="002E0607" w:rsidRDefault="008D45A9" w:rsidP="002E0607">
            <w:pPr>
              <w:pStyle w:val="NoSpacing"/>
              <w:jc w:val="center"/>
              <w:rPr>
                <w:rFonts w:ascii="Times New Roman" w:hAnsi="Times New Roman" w:cs="Times New Roman"/>
                <w:b/>
                <w:bCs/>
                <w:sz w:val="22"/>
                <w:szCs w:val="22"/>
              </w:rPr>
            </w:pPr>
            <w:r w:rsidRPr="002E0607">
              <w:rPr>
                <w:rFonts w:ascii="Times New Roman" w:hAnsi="Times New Roman" w:cs="Times New Roman"/>
                <w:b/>
                <w:bCs/>
                <w:sz w:val="22"/>
                <w:szCs w:val="22"/>
              </w:rPr>
              <w:t>Total</w:t>
            </w:r>
          </w:p>
        </w:tc>
      </w:tr>
      <w:tr w:rsidR="008D45A9" w:rsidRPr="002E0607" w14:paraId="2BE16C55" w14:textId="77777777" w:rsidTr="002E0607">
        <w:trPr>
          <w:trHeight w:val="238"/>
        </w:trPr>
        <w:tc>
          <w:tcPr>
            <w:tcW w:w="5866" w:type="dxa"/>
            <w:vAlign w:val="center"/>
          </w:tcPr>
          <w:p w14:paraId="5DC0756E" w14:textId="77777777" w:rsidR="008D45A9" w:rsidRPr="002E0607" w:rsidRDefault="008D45A9" w:rsidP="002E0607">
            <w:pPr>
              <w:pStyle w:val="NoSpacing"/>
              <w:rPr>
                <w:rFonts w:ascii="Times New Roman" w:hAnsi="Times New Roman" w:cs="Times New Roman"/>
                <w:b/>
                <w:bCs/>
                <w:sz w:val="22"/>
                <w:szCs w:val="22"/>
              </w:rPr>
            </w:pPr>
          </w:p>
        </w:tc>
        <w:tc>
          <w:tcPr>
            <w:tcW w:w="1445" w:type="dxa"/>
            <w:vAlign w:val="center"/>
          </w:tcPr>
          <w:p w14:paraId="3B65E51D" w14:textId="77777777" w:rsidR="008D45A9" w:rsidRPr="002E0607" w:rsidRDefault="008D45A9" w:rsidP="002E0607">
            <w:pPr>
              <w:pStyle w:val="NoSpacing"/>
              <w:jc w:val="center"/>
              <w:rPr>
                <w:rFonts w:ascii="Times New Roman" w:hAnsi="Times New Roman" w:cs="Times New Roman"/>
                <w:sz w:val="22"/>
                <w:szCs w:val="22"/>
              </w:rPr>
            </w:pPr>
            <w:r w:rsidRPr="002E0607">
              <w:rPr>
                <w:rFonts w:ascii="Times New Roman" w:hAnsi="Times New Roman" w:cs="Times New Roman"/>
                <w:sz w:val="22"/>
                <w:szCs w:val="22"/>
              </w:rPr>
              <w:t>1</w:t>
            </w:r>
          </w:p>
        </w:tc>
        <w:tc>
          <w:tcPr>
            <w:tcW w:w="1358" w:type="dxa"/>
            <w:vAlign w:val="center"/>
          </w:tcPr>
          <w:p w14:paraId="4F134F71" w14:textId="77777777" w:rsidR="008D45A9" w:rsidRPr="002E0607" w:rsidRDefault="008D45A9" w:rsidP="002E0607">
            <w:pPr>
              <w:pStyle w:val="NoSpacing"/>
              <w:jc w:val="center"/>
              <w:rPr>
                <w:rFonts w:ascii="Times New Roman" w:hAnsi="Times New Roman" w:cs="Times New Roman"/>
                <w:sz w:val="22"/>
                <w:szCs w:val="22"/>
              </w:rPr>
            </w:pPr>
            <w:r w:rsidRPr="002E0607">
              <w:rPr>
                <w:rFonts w:ascii="Times New Roman" w:hAnsi="Times New Roman" w:cs="Times New Roman"/>
                <w:sz w:val="22"/>
                <w:szCs w:val="22"/>
              </w:rPr>
              <w:t>2</w:t>
            </w:r>
          </w:p>
        </w:tc>
        <w:tc>
          <w:tcPr>
            <w:tcW w:w="1076" w:type="dxa"/>
            <w:vAlign w:val="center"/>
          </w:tcPr>
          <w:p w14:paraId="32DB8DF3" w14:textId="77777777" w:rsidR="008D45A9" w:rsidRPr="002E0607" w:rsidRDefault="008D45A9" w:rsidP="002E0607">
            <w:pPr>
              <w:pStyle w:val="NoSpacing"/>
              <w:jc w:val="center"/>
              <w:rPr>
                <w:rFonts w:ascii="Times New Roman" w:hAnsi="Times New Roman" w:cs="Times New Roman"/>
                <w:sz w:val="22"/>
                <w:szCs w:val="22"/>
              </w:rPr>
            </w:pPr>
            <w:r w:rsidRPr="002E0607">
              <w:rPr>
                <w:rFonts w:ascii="Times New Roman" w:hAnsi="Times New Roman" w:cs="Times New Roman"/>
                <w:sz w:val="22"/>
                <w:szCs w:val="22"/>
              </w:rPr>
              <w:t>3</w:t>
            </w:r>
          </w:p>
        </w:tc>
      </w:tr>
      <w:tr w:rsidR="008D45A9" w:rsidRPr="002E0607" w14:paraId="675ABF08" w14:textId="77777777" w:rsidTr="002E0607">
        <w:trPr>
          <w:trHeight w:val="453"/>
        </w:trPr>
        <w:tc>
          <w:tcPr>
            <w:tcW w:w="5866" w:type="dxa"/>
            <w:vAlign w:val="center"/>
            <w:hideMark/>
          </w:tcPr>
          <w:p w14:paraId="0205D68B" w14:textId="77777777" w:rsidR="008D45A9" w:rsidRPr="002E0607" w:rsidRDefault="008D45A9" w:rsidP="002E0607">
            <w:pPr>
              <w:pStyle w:val="NoSpacing"/>
              <w:rPr>
                <w:rFonts w:ascii="Times New Roman" w:hAnsi="Times New Roman" w:cs="Times New Roman"/>
                <w:sz w:val="22"/>
                <w:szCs w:val="22"/>
              </w:rPr>
            </w:pPr>
            <w:r w:rsidRPr="002E0607">
              <w:rPr>
                <w:rFonts w:ascii="Times New Roman" w:hAnsi="Times New Roman" w:cs="Times New Roman"/>
                <w:b/>
                <w:bCs/>
                <w:sz w:val="22"/>
                <w:szCs w:val="22"/>
              </w:rPr>
              <w:t>States whose accounts were not affected by Reorganisation of States</w:t>
            </w:r>
          </w:p>
        </w:tc>
        <w:tc>
          <w:tcPr>
            <w:tcW w:w="1445" w:type="dxa"/>
            <w:vAlign w:val="center"/>
            <w:hideMark/>
          </w:tcPr>
          <w:p w14:paraId="350447EC" w14:textId="77777777" w:rsidR="008D45A9" w:rsidRPr="002E0607" w:rsidRDefault="008D45A9" w:rsidP="002E0607">
            <w:pPr>
              <w:pStyle w:val="NoSpacing"/>
              <w:jc w:val="center"/>
              <w:rPr>
                <w:rFonts w:ascii="Times New Roman" w:hAnsi="Times New Roman" w:cs="Times New Roman"/>
                <w:sz w:val="22"/>
                <w:szCs w:val="22"/>
              </w:rPr>
            </w:pPr>
          </w:p>
        </w:tc>
        <w:tc>
          <w:tcPr>
            <w:tcW w:w="1358" w:type="dxa"/>
            <w:vAlign w:val="center"/>
            <w:hideMark/>
          </w:tcPr>
          <w:p w14:paraId="0047EFC6" w14:textId="77777777" w:rsidR="008D45A9" w:rsidRPr="002E0607" w:rsidRDefault="008D45A9" w:rsidP="002E0607">
            <w:pPr>
              <w:pStyle w:val="NoSpacing"/>
              <w:jc w:val="center"/>
              <w:rPr>
                <w:rFonts w:ascii="Times New Roman" w:hAnsi="Times New Roman" w:cs="Times New Roman"/>
                <w:sz w:val="22"/>
                <w:szCs w:val="22"/>
              </w:rPr>
            </w:pPr>
          </w:p>
        </w:tc>
        <w:tc>
          <w:tcPr>
            <w:tcW w:w="1076" w:type="dxa"/>
            <w:vAlign w:val="center"/>
            <w:hideMark/>
          </w:tcPr>
          <w:p w14:paraId="62C62A89" w14:textId="77777777" w:rsidR="008D45A9" w:rsidRPr="002E0607" w:rsidRDefault="008D45A9" w:rsidP="002E0607">
            <w:pPr>
              <w:pStyle w:val="NoSpacing"/>
              <w:jc w:val="center"/>
              <w:rPr>
                <w:rFonts w:ascii="Times New Roman" w:hAnsi="Times New Roman" w:cs="Times New Roman"/>
                <w:sz w:val="22"/>
                <w:szCs w:val="22"/>
              </w:rPr>
            </w:pPr>
          </w:p>
        </w:tc>
      </w:tr>
      <w:tr w:rsidR="008D45A9" w:rsidRPr="002E0607" w14:paraId="67492B07" w14:textId="77777777" w:rsidTr="002E0607">
        <w:trPr>
          <w:trHeight w:val="238"/>
        </w:trPr>
        <w:tc>
          <w:tcPr>
            <w:tcW w:w="5866" w:type="dxa"/>
            <w:vAlign w:val="center"/>
            <w:hideMark/>
          </w:tcPr>
          <w:p w14:paraId="1F5F8866" w14:textId="77777777" w:rsidR="008D45A9" w:rsidRPr="002E0607" w:rsidRDefault="008D45A9" w:rsidP="002E0607">
            <w:pPr>
              <w:pStyle w:val="NoSpacing"/>
              <w:rPr>
                <w:rFonts w:ascii="Times New Roman" w:hAnsi="Times New Roman" w:cs="Times New Roman"/>
                <w:sz w:val="22"/>
                <w:szCs w:val="22"/>
              </w:rPr>
            </w:pPr>
            <w:r w:rsidRPr="002E0607">
              <w:rPr>
                <w:rFonts w:ascii="Times New Roman" w:hAnsi="Times New Roman" w:cs="Times New Roman"/>
                <w:sz w:val="22"/>
                <w:szCs w:val="22"/>
              </w:rPr>
              <w:t>Andhra Pradesh</w:t>
            </w:r>
          </w:p>
        </w:tc>
        <w:tc>
          <w:tcPr>
            <w:tcW w:w="1445" w:type="dxa"/>
            <w:vAlign w:val="center"/>
            <w:hideMark/>
          </w:tcPr>
          <w:p w14:paraId="2F007983" w14:textId="77777777" w:rsidR="008D45A9" w:rsidRPr="002E0607" w:rsidRDefault="008D45A9" w:rsidP="002E0607">
            <w:pPr>
              <w:pStyle w:val="NoSpacing"/>
              <w:jc w:val="center"/>
              <w:rPr>
                <w:rFonts w:ascii="Times New Roman" w:hAnsi="Times New Roman" w:cs="Times New Roman"/>
                <w:sz w:val="22"/>
                <w:szCs w:val="22"/>
              </w:rPr>
            </w:pPr>
            <w:r w:rsidRPr="002E0607">
              <w:rPr>
                <w:rFonts w:ascii="Times New Roman" w:hAnsi="Times New Roman" w:cs="Times New Roman"/>
                <w:sz w:val="22"/>
                <w:szCs w:val="22"/>
              </w:rPr>
              <w:t>5.38</w:t>
            </w:r>
          </w:p>
        </w:tc>
        <w:tc>
          <w:tcPr>
            <w:tcW w:w="1358" w:type="dxa"/>
            <w:vAlign w:val="center"/>
            <w:hideMark/>
          </w:tcPr>
          <w:p w14:paraId="404262DE" w14:textId="77777777" w:rsidR="008D45A9" w:rsidRPr="002E0607" w:rsidRDefault="008D45A9" w:rsidP="002E0607">
            <w:pPr>
              <w:pStyle w:val="NoSpacing"/>
              <w:jc w:val="center"/>
              <w:rPr>
                <w:rFonts w:ascii="Times New Roman" w:hAnsi="Times New Roman" w:cs="Times New Roman"/>
                <w:sz w:val="22"/>
                <w:szCs w:val="22"/>
              </w:rPr>
            </w:pPr>
            <w:r w:rsidRPr="002E0607">
              <w:rPr>
                <w:rFonts w:ascii="Times New Roman" w:hAnsi="Times New Roman" w:cs="Times New Roman"/>
                <w:sz w:val="22"/>
                <w:szCs w:val="22"/>
              </w:rPr>
              <w:t>..</w:t>
            </w:r>
          </w:p>
        </w:tc>
        <w:tc>
          <w:tcPr>
            <w:tcW w:w="1076" w:type="dxa"/>
            <w:vAlign w:val="center"/>
            <w:hideMark/>
          </w:tcPr>
          <w:p w14:paraId="4DD7B50A" w14:textId="77777777" w:rsidR="008D45A9" w:rsidRPr="002E0607" w:rsidRDefault="008D45A9" w:rsidP="002E0607">
            <w:pPr>
              <w:pStyle w:val="NoSpacing"/>
              <w:jc w:val="center"/>
              <w:rPr>
                <w:rFonts w:ascii="Times New Roman" w:hAnsi="Times New Roman" w:cs="Times New Roman"/>
                <w:sz w:val="22"/>
                <w:szCs w:val="22"/>
              </w:rPr>
            </w:pPr>
            <w:r w:rsidRPr="002E0607">
              <w:rPr>
                <w:rFonts w:ascii="Times New Roman" w:hAnsi="Times New Roman" w:cs="Times New Roman"/>
                <w:sz w:val="22"/>
                <w:szCs w:val="22"/>
              </w:rPr>
              <w:t>5.38</w:t>
            </w:r>
          </w:p>
        </w:tc>
      </w:tr>
      <w:tr w:rsidR="008D45A9" w:rsidRPr="002E0607" w14:paraId="3F8CE921" w14:textId="77777777" w:rsidTr="002E0607">
        <w:trPr>
          <w:trHeight w:val="226"/>
        </w:trPr>
        <w:tc>
          <w:tcPr>
            <w:tcW w:w="5866" w:type="dxa"/>
            <w:vAlign w:val="center"/>
            <w:hideMark/>
          </w:tcPr>
          <w:p w14:paraId="7D04A90B" w14:textId="77777777" w:rsidR="008D45A9" w:rsidRPr="002E0607" w:rsidRDefault="008D45A9" w:rsidP="002E0607">
            <w:pPr>
              <w:pStyle w:val="NoSpacing"/>
              <w:rPr>
                <w:rFonts w:ascii="Times New Roman" w:hAnsi="Times New Roman" w:cs="Times New Roman"/>
                <w:sz w:val="22"/>
                <w:szCs w:val="22"/>
              </w:rPr>
            </w:pPr>
            <w:r w:rsidRPr="002E0607">
              <w:rPr>
                <w:rFonts w:ascii="Times New Roman" w:hAnsi="Times New Roman" w:cs="Times New Roman"/>
                <w:sz w:val="22"/>
                <w:szCs w:val="22"/>
              </w:rPr>
              <w:t>Assam</w:t>
            </w:r>
          </w:p>
        </w:tc>
        <w:tc>
          <w:tcPr>
            <w:tcW w:w="1445" w:type="dxa"/>
            <w:vAlign w:val="center"/>
            <w:hideMark/>
          </w:tcPr>
          <w:p w14:paraId="36D614B7" w14:textId="77777777" w:rsidR="008D45A9" w:rsidRPr="002E0607" w:rsidRDefault="008D45A9" w:rsidP="002E0607">
            <w:pPr>
              <w:pStyle w:val="NoSpacing"/>
              <w:jc w:val="center"/>
              <w:rPr>
                <w:rFonts w:ascii="Times New Roman" w:hAnsi="Times New Roman" w:cs="Times New Roman"/>
                <w:sz w:val="22"/>
                <w:szCs w:val="22"/>
              </w:rPr>
            </w:pPr>
            <w:r w:rsidRPr="002E0607">
              <w:rPr>
                <w:rFonts w:ascii="Times New Roman" w:hAnsi="Times New Roman" w:cs="Times New Roman"/>
                <w:sz w:val="22"/>
                <w:szCs w:val="22"/>
              </w:rPr>
              <w:t>1.86</w:t>
            </w:r>
          </w:p>
        </w:tc>
        <w:tc>
          <w:tcPr>
            <w:tcW w:w="1358" w:type="dxa"/>
            <w:vAlign w:val="center"/>
            <w:hideMark/>
          </w:tcPr>
          <w:p w14:paraId="4DE584ED" w14:textId="77777777" w:rsidR="008D45A9" w:rsidRPr="002E0607" w:rsidRDefault="008D45A9" w:rsidP="002E0607">
            <w:pPr>
              <w:pStyle w:val="NoSpacing"/>
              <w:jc w:val="center"/>
              <w:rPr>
                <w:rFonts w:ascii="Times New Roman" w:hAnsi="Times New Roman" w:cs="Times New Roman"/>
                <w:sz w:val="22"/>
                <w:szCs w:val="22"/>
              </w:rPr>
            </w:pPr>
            <w:r w:rsidRPr="002E0607">
              <w:rPr>
                <w:rFonts w:ascii="Times New Roman" w:hAnsi="Times New Roman" w:cs="Times New Roman"/>
                <w:sz w:val="22"/>
                <w:szCs w:val="22"/>
              </w:rPr>
              <w:t>1.75</w:t>
            </w:r>
          </w:p>
        </w:tc>
        <w:tc>
          <w:tcPr>
            <w:tcW w:w="1076" w:type="dxa"/>
            <w:vAlign w:val="center"/>
            <w:hideMark/>
          </w:tcPr>
          <w:p w14:paraId="792946C5" w14:textId="77777777" w:rsidR="008D45A9" w:rsidRPr="002E0607" w:rsidRDefault="008D45A9" w:rsidP="002E0607">
            <w:pPr>
              <w:pStyle w:val="NoSpacing"/>
              <w:jc w:val="center"/>
              <w:rPr>
                <w:rFonts w:ascii="Times New Roman" w:hAnsi="Times New Roman" w:cs="Times New Roman"/>
                <w:sz w:val="22"/>
                <w:szCs w:val="22"/>
              </w:rPr>
            </w:pPr>
            <w:r w:rsidRPr="002E0607">
              <w:rPr>
                <w:rFonts w:ascii="Times New Roman" w:hAnsi="Times New Roman" w:cs="Times New Roman"/>
                <w:sz w:val="22"/>
                <w:szCs w:val="22"/>
              </w:rPr>
              <w:t>3.61</w:t>
            </w:r>
          </w:p>
        </w:tc>
      </w:tr>
      <w:tr w:rsidR="008D45A9" w:rsidRPr="002E0607" w14:paraId="48AC0930" w14:textId="77777777" w:rsidTr="002E0607">
        <w:trPr>
          <w:trHeight w:val="238"/>
        </w:trPr>
        <w:tc>
          <w:tcPr>
            <w:tcW w:w="5866" w:type="dxa"/>
            <w:vAlign w:val="center"/>
            <w:hideMark/>
          </w:tcPr>
          <w:p w14:paraId="1BD870AE" w14:textId="77777777" w:rsidR="008D45A9" w:rsidRPr="002E0607" w:rsidRDefault="008D45A9" w:rsidP="002E0607">
            <w:pPr>
              <w:pStyle w:val="NoSpacing"/>
              <w:rPr>
                <w:rFonts w:ascii="Times New Roman" w:hAnsi="Times New Roman" w:cs="Times New Roman"/>
                <w:sz w:val="22"/>
                <w:szCs w:val="22"/>
              </w:rPr>
            </w:pPr>
            <w:r w:rsidRPr="002E0607">
              <w:rPr>
                <w:rFonts w:ascii="Times New Roman" w:hAnsi="Times New Roman" w:cs="Times New Roman"/>
                <w:sz w:val="22"/>
                <w:szCs w:val="22"/>
              </w:rPr>
              <w:t>Orissa</w:t>
            </w:r>
          </w:p>
        </w:tc>
        <w:tc>
          <w:tcPr>
            <w:tcW w:w="1445" w:type="dxa"/>
            <w:vAlign w:val="center"/>
            <w:hideMark/>
          </w:tcPr>
          <w:p w14:paraId="596786F2" w14:textId="77777777" w:rsidR="008D45A9" w:rsidRPr="002E0607" w:rsidRDefault="008D45A9" w:rsidP="002E0607">
            <w:pPr>
              <w:pStyle w:val="NoSpacing"/>
              <w:jc w:val="center"/>
              <w:rPr>
                <w:rFonts w:ascii="Times New Roman" w:hAnsi="Times New Roman" w:cs="Times New Roman"/>
                <w:sz w:val="22"/>
                <w:szCs w:val="22"/>
              </w:rPr>
            </w:pPr>
            <w:r w:rsidRPr="002E0607">
              <w:rPr>
                <w:rFonts w:ascii="Times New Roman" w:hAnsi="Times New Roman" w:cs="Times New Roman"/>
                <w:sz w:val="22"/>
                <w:szCs w:val="22"/>
              </w:rPr>
              <w:t>2.91</w:t>
            </w:r>
          </w:p>
        </w:tc>
        <w:tc>
          <w:tcPr>
            <w:tcW w:w="1358" w:type="dxa"/>
            <w:vAlign w:val="center"/>
            <w:hideMark/>
          </w:tcPr>
          <w:p w14:paraId="73B0D38B" w14:textId="77777777" w:rsidR="008D45A9" w:rsidRPr="002E0607" w:rsidRDefault="008D45A9" w:rsidP="002E0607">
            <w:pPr>
              <w:pStyle w:val="NoSpacing"/>
              <w:jc w:val="center"/>
              <w:rPr>
                <w:rFonts w:ascii="Times New Roman" w:hAnsi="Times New Roman" w:cs="Times New Roman"/>
                <w:sz w:val="22"/>
                <w:szCs w:val="22"/>
              </w:rPr>
            </w:pPr>
            <w:r w:rsidRPr="002E0607">
              <w:rPr>
                <w:rFonts w:ascii="Times New Roman" w:hAnsi="Times New Roman" w:cs="Times New Roman"/>
                <w:sz w:val="22"/>
                <w:szCs w:val="22"/>
              </w:rPr>
              <w:t>1.22</w:t>
            </w:r>
          </w:p>
        </w:tc>
        <w:tc>
          <w:tcPr>
            <w:tcW w:w="1076" w:type="dxa"/>
            <w:vAlign w:val="center"/>
            <w:hideMark/>
          </w:tcPr>
          <w:p w14:paraId="61B06F55" w14:textId="77777777" w:rsidR="008D45A9" w:rsidRPr="002E0607" w:rsidRDefault="008D45A9" w:rsidP="002E0607">
            <w:pPr>
              <w:pStyle w:val="NoSpacing"/>
              <w:jc w:val="center"/>
              <w:rPr>
                <w:rFonts w:ascii="Times New Roman" w:hAnsi="Times New Roman" w:cs="Times New Roman"/>
                <w:sz w:val="22"/>
                <w:szCs w:val="22"/>
              </w:rPr>
            </w:pPr>
            <w:r w:rsidRPr="002E0607">
              <w:rPr>
                <w:rFonts w:ascii="Times New Roman" w:hAnsi="Times New Roman" w:cs="Times New Roman"/>
                <w:sz w:val="22"/>
                <w:szCs w:val="22"/>
              </w:rPr>
              <w:t>4.13</w:t>
            </w:r>
          </w:p>
        </w:tc>
      </w:tr>
      <w:tr w:rsidR="008D45A9" w:rsidRPr="002E0607" w14:paraId="3EFC390E" w14:textId="77777777" w:rsidTr="002E0607">
        <w:trPr>
          <w:trHeight w:val="226"/>
        </w:trPr>
        <w:tc>
          <w:tcPr>
            <w:tcW w:w="5866" w:type="dxa"/>
            <w:vAlign w:val="center"/>
            <w:hideMark/>
          </w:tcPr>
          <w:p w14:paraId="0AE95334" w14:textId="77777777" w:rsidR="008D45A9" w:rsidRPr="002E0607" w:rsidRDefault="008D45A9" w:rsidP="002E0607">
            <w:pPr>
              <w:pStyle w:val="NoSpacing"/>
              <w:rPr>
                <w:rFonts w:ascii="Times New Roman" w:hAnsi="Times New Roman" w:cs="Times New Roman"/>
                <w:sz w:val="22"/>
                <w:szCs w:val="22"/>
              </w:rPr>
            </w:pPr>
            <w:r w:rsidRPr="002E0607">
              <w:rPr>
                <w:rFonts w:ascii="Times New Roman" w:hAnsi="Times New Roman" w:cs="Times New Roman"/>
                <w:sz w:val="22"/>
                <w:szCs w:val="22"/>
              </w:rPr>
              <w:t>Uttar Pradesh</w:t>
            </w:r>
          </w:p>
        </w:tc>
        <w:tc>
          <w:tcPr>
            <w:tcW w:w="1445" w:type="dxa"/>
            <w:vAlign w:val="center"/>
            <w:hideMark/>
          </w:tcPr>
          <w:p w14:paraId="3429A06C" w14:textId="77777777" w:rsidR="008D45A9" w:rsidRPr="002E0607" w:rsidRDefault="008D45A9" w:rsidP="002E0607">
            <w:pPr>
              <w:pStyle w:val="NoSpacing"/>
              <w:jc w:val="center"/>
              <w:rPr>
                <w:rFonts w:ascii="Times New Roman" w:hAnsi="Times New Roman" w:cs="Times New Roman"/>
                <w:sz w:val="22"/>
                <w:szCs w:val="22"/>
              </w:rPr>
            </w:pPr>
            <w:r w:rsidRPr="002E0607">
              <w:rPr>
                <w:rFonts w:ascii="Times New Roman" w:hAnsi="Times New Roman" w:cs="Times New Roman"/>
                <w:sz w:val="22"/>
                <w:szCs w:val="22"/>
              </w:rPr>
              <w:t>12.93</w:t>
            </w:r>
          </w:p>
        </w:tc>
        <w:tc>
          <w:tcPr>
            <w:tcW w:w="1358" w:type="dxa"/>
            <w:vAlign w:val="center"/>
            <w:hideMark/>
          </w:tcPr>
          <w:p w14:paraId="3BFC215B" w14:textId="77777777" w:rsidR="008D45A9" w:rsidRPr="002E0607" w:rsidRDefault="008D45A9" w:rsidP="002E0607">
            <w:pPr>
              <w:pStyle w:val="NoSpacing"/>
              <w:jc w:val="center"/>
              <w:rPr>
                <w:rFonts w:ascii="Times New Roman" w:hAnsi="Times New Roman" w:cs="Times New Roman"/>
                <w:sz w:val="22"/>
                <w:szCs w:val="22"/>
              </w:rPr>
            </w:pPr>
            <w:r w:rsidRPr="002E0607">
              <w:rPr>
                <w:rFonts w:ascii="Times New Roman" w:hAnsi="Times New Roman" w:cs="Times New Roman"/>
                <w:sz w:val="22"/>
                <w:szCs w:val="22"/>
              </w:rPr>
              <w:t>..</w:t>
            </w:r>
          </w:p>
        </w:tc>
        <w:tc>
          <w:tcPr>
            <w:tcW w:w="1076" w:type="dxa"/>
            <w:vAlign w:val="center"/>
            <w:hideMark/>
          </w:tcPr>
          <w:p w14:paraId="52987CE5" w14:textId="77777777" w:rsidR="008D45A9" w:rsidRPr="002E0607" w:rsidRDefault="008D45A9" w:rsidP="002E0607">
            <w:pPr>
              <w:pStyle w:val="NoSpacing"/>
              <w:jc w:val="center"/>
              <w:rPr>
                <w:rFonts w:ascii="Times New Roman" w:hAnsi="Times New Roman" w:cs="Times New Roman"/>
                <w:sz w:val="22"/>
                <w:szCs w:val="22"/>
              </w:rPr>
            </w:pPr>
            <w:r w:rsidRPr="002E0607">
              <w:rPr>
                <w:rFonts w:ascii="Times New Roman" w:hAnsi="Times New Roman" w:cs="Times New Roman"/>
                <w:sz w:val="22"/>
                <w:szCs w:val="22"/>
              </w:rPr>
              <w:t>12.93</w:t>
            </w:r>
          </w:p>
        </w:tc>
      </w:tr>
      <w:tr w:rsidR="008D45A9" w:rsidRPr="002E0607" w14:paraId="777DD5E2" w14:textId="77777777" w:rsidTr="002E0607">
        <w:trPr>
          <w:trHeight w:val="226"/>
        </w:trPr>
        <w:tc>
          <w:tcPr>
            <w:tcW w:w="5866" w:type="dxa"/>
            <w:vAlign w:val="center"/>
            <w:hideMark/>
          </w:tcPr>
          <w:p w14:paraId="6D259C15" w14:textId="77777777" w:rsidR="008D45A9" w:rsidRPr="002E0607" w:rsidRDefault="008D45A9" w:rsidP="002E0607">
            <w:pPr>
              <w:pStyle w:val="NoSpacing"/>
              <w:rPr>
                <w:rFonts w:ascii="Times New Roman" w:hAnsi="Times New Roman" w:cs="Times New Roman"/>
                <w:sz w:val="22"/>
                <w:szCs w:val="22"/>
              </w:rPr>
            </w:pPr>
            <w:r w:rsidRPr="002E0607">
              <w:rPr>
                <w:rFonts w:ascii="Times New Roman" w:hAnsi="Times New Roman" w:cs="Times New Roman"/>
                <w:sz w:val="22"/>
                <w:szCs w:val="22"/>
              </w:rPr>
              <w:t>West Bengal</w:t>
            </w:r>
          </w:p>
        </w:tc>
        <w:tc>
          <w:tcPr>
            <w:tcW w:w="1445" w:type="dxa"/>
            <w:vAlign w:val="center"/>
            <w:hideMark/>
          </w:tcPr>
          <w:p w14:paraId="56E1D534" w14:textId="77777777" w:rsidR="008D45A9" w:rsidRPr="002E0607" w:rsidRDefault="008D45A9" w:rsidP="002E0607">
            <w:pPr>
              <w:pStyle w:val="NoSpacing"/>
              <w:jc w:val="center"/>
              <w:rPr>
                <w:rFonts w:ascii="Times New Roman" w:hAnsi="Times New Roman" w:cs="Times New Roman"/>
                <w:sz w:val="22"/>
                <w:szCs w:val="22"/>
              </w:rPr>
            </w:pPr>
            <w:r w:rsidRPr="002E0607">
              <w:rPr>
                <w:rFonts w:ascii="Times New Roman" w:hAnsi="Times New Roman" w:cs="Times New Roman"/>
                <w:sz w:val="22"/>
                <w:szCs w:val="22"/>
              </w:rPr>
              <w:t>8.30</w:t>
            </w:r>
          </w:p>
        </w:tc>
        <w:tc>
          <w:tcPr>
            <w:tcW w:w="1358" w:type="dxa"/>
            <w:vAlign w:val="center"/>
            <w:hideMark/>
          </w:tcPr>
          <w:p w14:paraId="30BD043B" w14:textId="77777777" w:rsidR="008D45A9" w:rsidRPr="002E0607" w:rsidRDefault="008D45A9" w:rsidP="002E0607">
            <w:pPr>
              <w:pStyle w:val="NoSpacing"/>
              <w:jc w:val="center"/>
              <w:rPr>
                <w:rFonts w:ascii="Times New Roman" w:hAnsi="Times New Roman" w:cs="Times New Roman"/>
                <w:sz w:val="22"/>
                <w:szCs w:val="22"/>
              </w:rPr>
            </w:pPr>
            <w:r w:rsidRPr="002E0607">
              <w:rPr>
                <w:rFonts w:ascii="Times New Roman" w:hAnsi="Times New Roman" w:cs="Times New Roman"/>
                <w:sz w:val="22"/>
                <w:szCs w:val="22"/>
              </w:rPr>
              <w:t>2.30</w:t>
            </w:r>
          </w:p>
        </w:tc>
        <w:tc>
          <w:tcPr>
            <w:tcW w:w="1076" w:type="dxa"/>
            <w:vAlign w:val="center"/>
            <w:hideMark/>
          </w:tcPr>
          <w:p w14:paraId="5E582B31" w14:textId="77777777" w:rsidR="008D45A9" w:rsidRPr="002E0607" w:rsidRDefault="008D45A9" w:rsidP="002E0607">
            <w:pPr>
              <w:pStyle w:val="NoSpacing"/>
              <w:jc w:val="center"/>
              <w:rPr>
                <w:rFonts w:ascii="Times New Roman" w:hAnsi="Times New Roman" w:cs="Times New Roman"/>
                <w:sz w:val="22"/>
                <w:szCs w:val="22"/>
              </w:rPr>
            </w:pPr>
            <w:r w:rsidRPr="002E0607">
              <w:rPr>
                <w:rFonts w:ascii="Times New Roman" w:hAnsi="Times New Roman" w:cs="Times New Roman"/>
                <w:sz w:val="22"/>
                <w:szCs w:val="22"/>
              </w:rPr>
              <w:t>10.60</w:t>
            </w:r>
          </w:p>
        </w:tc>
      </w:tr>
      <w:tr w:rsidR="008D45A9" w:rsidRPr="002E0607" w14:paraId="217CD849" w14:textId="77777777" w:rsidTr="002E0607">
        <w:trPr>
          <w:trHeight w:val="465"/>
        </w:trPr>
        <w:tc>
          <w:tcPr>
            <w:tcW w:w="5866" w:type="dxa"/>
            <w:vAlign w:val="center"/>
            <w:hideMark/>
          </w:tcPr>
          <w:p w14:paraId="31832C33" w14:textId="77777777" w:rsidR="008D45A9" w:rsidRPr="002E0607" w:rsidRDefault="008D45A9" w:rsidP="002E0607">
            <w:pPr>
              <w:pStyle w:val="NoSpacing"/>
              <w:rPr>
                <w:rFonts w:ascii="Times New Roman" w:hAnsi="Times New Roman" w:cs="Times New Roman"/>
                <w:sz w:val="22"/>
                <w:szCs w:val="22"/>
              </w:rPr>
            </w:pPr>
            <w:r w:rsidRPr="002E0607">
              <w:rPr>
                <w:rFonts w:ascii="Times New Roman" w:hAnsi="Times New Roman" w:cs="Times New Roman"/>
                <w:b/>
                <w:bCs/>
                <w:sz w:val="22"/>
                <w:szCs w:val="22"/>
              </w:rPr>
              <w:t>States for the Pre-reorganisation period whose accounts were closed on 31-10-1956—</w:t>
            </w:r>
          </w:p>
        </w:tc>
        <w:tc>
          <w:tcPr>
            <w:tcW w:w="1445" w:type="dxa"/>
            <w:vAlign w:val="center"/>
            <w:hideMark/>
          </w:tcPr>
          <w:p w14:paraId="104365FD" w14:textId="77777777" w:rsidR="008D45A9" w:rsidRPr="002E0607" w:rsidRDefault="008D45A9" w:rsidP="002E0607">
            <w:pPr>
              <w:pStyle w:val="NoSpacing"/>
              <w:jc w:val="center"/>
              <w:rPr>
                <w:rFonts w:ascii="Times New Roman" w:hAnsi="Times New Roman" w:cs="Times New Roman"/>
                <w:sz w:val="22"/>
                <w:szCs w:val="22"/>
              </w:rPr>
            </w:pPr>
          </w:p>
        </w:tc>
        <w:tc>
          <w:tcPr>
            <w:tcW w:w="1358" w:type="dxa"/>
            <w:vAlign w:val="center"/>
            <w:hideMark/>
          </w:tcPr>
          <w:p w14:paraId="04AC5D00" w14:textId="77777777" w:rsidR="008D45A9" w:rsidRPr="002E0607" w:rsidRDefault="008D45A9" w:rsidP="002E0607">
            <w:pPr>
              <w:pStyle w:val="NoSpacing"/>
              <w:jc w:val="center"/>
              <w:rPr>
                <w:rFonts w:ascii="Times New Roman" w:hAnsi="Times New Roman" w:cs="Times New Roman"/>
                <w:sz w:val="22"/>
                <w:szCs w:val="22"/>
              </w:rPr>
            </w:pPr>
          </w:p>
        </w:tc>
        <w:tc>
          <w:tcPr>
            <w:tcW w:w="1076" w:type="dxa"/>
            <w:vAlign w:val="center"/>
            <w:hideMark/>
          </w:tcPr>
          <w:p w14:paraId="6378846B" w14:textId="77777777" w:rsidR="008D45A9" w:rsidRPr="002E0607" w:rsidRDefault="008D45A9" w:rsidP="002E0607">
            <w:pPr>
              <w:pStyle w:val="NoSpacing"/>
              <w:jc w:val="center"/>
              <w:rPr>
                <w:rFonts w:ascii="Times New Roman" w:hAnsi="Times New Roman" w:cs="Times New Roman"/>
                <w:sz w:val="22"/>
                <w:szCs w:val="22"/>
              </w:rPr>
            </w:pPr>
          </w:p>
        </w:tc>
      </w:tr>
      <w:tr w:rsidR="008D45A9" w:rsidRPr="002E0607" w14:paraId="21B3E089" w14:textId="77777777" w:rsidTr="002E0607">
        <w:trPr>
          <w:trHeight w:val="226"/>
        </w:trPr>
        <w:tc>
          <w:tcPr>
            <w:tcW w:w="5866" w:type="dxa"/>
            <w:vAlign w:val="center"/>
            <w:hideMark/>
          </w:tcPr>
          <w:p w14:paraId="4D823313" w14:textId="77777777" w:rsidR="008D45A9" w:rsidRPr="002E0607" w:rsidRDefault="008D45A9" w:rsidP="002E0607">
            <w:pPr>
              <w:pStyle w:val="NoSpacing"/>
              <w:rPr>
                <w:rFonts w:ascii="Times New Roman" w:hAnsi="Times New Roman" w:cs="Times New Roman"/>
                <w:sz w:val="22"/>
                <w:szCs w:val="22"/>
              </w:rPr>
            </w:pPr>
            <w:r w:rsidRPr="002E0607">
              <w:rPr>
                <w:rFonts w:ascii="Times New Roman" w:hAnsi="Times New Roman" w:cs="Times New Roman"/>
                <w:sz w:val="22"/>
                <w:szCs w:val="22"/>
              </w:rPr>
              <w:t>Bihar</w:t>
            </w:r>
          </w:p>
        </w:tc>
        <w:tc>
          <w:tcPr>
            <w:tcW w:w="1445" w:type="dxa"/>
            <w:vAlign w:val="center"/>
            <w:hideMark/>
          </w:tcPr>
          <w:p w14:paraId="16EE2F7B" w14:textId="77777777" w:rsidR="008D45A9" w:rsidRPr="002E0607" w:rsidRDefault="008D45A9" w:rsidP="002E0607">
            <w:pPr>
              <w:pStyle w:val="NoSpacing"/>
              <w:jc w:val="center"/>
              <w:rPr>
                <w:rFonts w:ascii="Times New Roman" w:hAnsi="Times New Roman" w:cs="Times New Roman"/>
                <w:sz w:val="22"/>
                <w:szCs w:val="22"/>
              </w:rPr>
            </w:pPr>
            <w:r w:rsidRPr="002E0607">
              <w:rPr>
                <w:rFonts w:ascii="Times New Roman" w:hAnsi="Times New Roman" w:cs="Times New Roman"/>
                <w:sz w:val="22"/>
                <w:szCs w:val="22"/>
              </w:rPr>
              <w:t>3.98</w:t>
            </w:r>
          </w:p>
        </w:tc>
        <w:tc>
          <w:tcPr>
            <w:tcW w:w="1358" w:type="dxa"/>
            <w:vAlign w:val="center"/>
            <w:hideMark/>
          </w:tcPr>
          <w:p w14:paraId="4AA0316A" w14:textId="77777777" w:rsidR="008D45A9" w:rsidRPr="002E0607" w:rsidRDefault="008D45A9" w:rsidP="002E0607">
            <w:pPr>
              <w:pStyle w:val="NoSpacing"/>
              <w:jc w:val="center"/>
              <w:rPr>
                <w:rFonts w:ascii="Times New Roman" w:hAnsi="Times New Roman" w:cs="Times New Roman"/>
                <w:sz w:val="22"/>
                <w:szCs w:val="22"/>
              </w:rPr>
            </w:pPr>
            <w:r w:rsidRPr="002E0607">
              <w:rPr>
                <w:rFonts w:ascii="Times New Roman" w:hAnsi="Times New Roman" w:cs="Times New Roman"/>
                <w:sz w:val="22"/>
                <w:szCs w:val="22"/>
              </w:rPr>
              <w:t>1.58</w:t>
            </w:r>
          </w:p>
        </w:tc>
        <w:tc>
          <w:tcPr>
            <w:tcW w:w="1076" w:type="dxa"/>
            <w:vAlign w:val="center"/>
            <w:hideMark/>
          </w:tcPr>
          <w:p w14:paraId="7E947E07" w14:textId="77777777" w:rsidR="008D45A9" w:rsidRPr="002E0607" w:rsidRDefault="008D45A9" w:rsidP="002E0607">
            <w:pPr>
              <w:pStyle w:val="NoSpacing"/>
              <w:jc w:val="center"/>
              <w:rPr>
                <w:rFonts w:ascii="Times New Roman" w:hAnsi="Times New Roman" w:cs="Times New Roman"/>
                <w:sz w:val="22"/>
                <w:szCs w:val="22"/>
              </w:rPr>
            </w:pPr>
            <w:r w:rsidRPr="002E0607">
              <w:rPr>
                <w:rFonts w:ascii="Times New Roman" w:hAnsi="Times New Roman" w:cs="Times New Roman"/>
                <w:sz w:val="22"/>
                <w:szCs w:val="22"/>
              </w:rPr>
              <w:t>5.56</w:t>
            </w:r>
          </w:p>
        </w:tc>
      </w:tr>
      <w:tr w:rsidR="008D45A9" w:rsidRPr="002E0607" w14:paraId="6C8D41FB" w14:textId="77777777" w:rsidTr="002E0607">
        <w:trPr>
          <w:trHeight w:val="238"/>
        </w:trPr>
        <w:tc>
          <w:tcPr>
            <w:tcW w:w="5866" w:type="dxa"/>
            <w:vAlign w:val="center"/>
            <w:hideMark/>
          </w:tcPr>
          <w:p w14:paraId="0CB9A357" w14:textId="77777777" w:rsidR="008D45A9" w:rsidRPr="002E0607" w:rsidRDefault="008D45A9" w:rsidP="002E0607">
            <w:pPr>
              <w:pStyle w:val="NoSpacing"/>
              <w:rPr>
                <w:rFonts w:ascii="Times New Roman" w:hAnsi="Times New Roman" w:cs="Times New Roman"/>
                <w:sz w:val="22"/>
                <w:szCs w:val="22"/>
              </w:rPr>
            </w:pPr>
            <w:r w:rsidRPr="002E0607">
              <w:rPr>
                <w:rFonts w:ascii="Times New Roman" w:hAnsi="Times New Roman" w:cs="Times New Roman"/>
                <w:sz w:val="22"/>
                <w:szCs w:val="22"/>
              </w:rPr>
              <w:t>Bombay</w:t>
            </w:r>
          </w:p>
        </w:tc>
        <w:tc>
          <w:tcPr>
            <w:tcW w:w="1445" w:type="dxa"/>
            <w:vAlign w:val="center"/>
            <w:hideMark/>
          </w:tcPr>
          <w:p w14:paraId="48BC0397" w14:textId="77777777" w:rsidR="008D45A9" w:rsidRPr="002E0607" w:rsidRDefault="008D45A9" w:rsidP="002E0607">
            <w:pPr>
              <w:pStyle w:val="NoSpacing"/>
              <w:jc w:val="center"/>
              <w:rPr>
                <w:rFonts w:ascii="Times New Roman" w:hAnsi="Times New Roman" w:cs="Times New Roman"/>
                <w:sz w:val="22"/>
                <w:szCs w:val="22"/>
              </w:rPr>
            </w:pPr>
            <w:r w:rsidRPr="002E0607">
              <w:rPr>
                <w:rFonts w:ascii="Times New Roman" w:hAnsi="Times New Roman" w:cs="Times New Roman"/>
                <w:sz w:val="22"/>
                <w:szCs w:val="22"/>
              </w:rPr>
              <w:t>6.67</w:t>
            </w:r>
          </w:p>
        </w:tc>
        <w:tc>
          <w:tcPr>
            <w:tcW w:w="1358" w:type="dxa"/>
            <w:vAlign w:val="center"/>
            <w:hideMark/>
          </w:tcPr>
          <w:p w14:paraId="6FE2A087" w14:textId="77777777" w:rsidR="008D45A9" w:rsidRPr="002E0607" w:rsidRDefault="008D45A9" w:rsidP="002E0607">
            <w:pPr>
              <w:pStyle w:val="NoSpacing"/>
              <w:jc w:val="center"/>
              <w:rPr>
                <w:rFonts w:ascii="Times New Roman" w:hAnsi="Times New Roman" w:cs="Times New Roman"/>
                <w:sz w:val="22"/>
                <w:szCs w:val="22"/>
              </w:rPr>
            </w:pPr>
            <w:r w:rsidRPr="002E0607">
              <w:rPr>
                <w:rFonts w:ascii="Times New Roman" w:hAnsi="Times New Roman" w:cs="Times New Roman"/>
                <w:sz w:val="22"/>
                <w:szCs w:val="22"/>
              </w:rPr>
              <w:t>..</w:t>
            </w:r>
          </w:p>
        </w:tc>
        <w:tc>
          <w:tcPr>
            <w:tcW w:w="1076" w:type="dxa"/>
            <w:vAlign w:val="center"/>
            <w:hideMark/>
          </w:tcPr>
          <w:p w14:paraId="643551BA" w14:textId="77777777" w:rsidR="008D45A9" w:rsidRPr="002E0607" w:rsidRDefault="008D45A9" w:rsidP="002E0607">
            <w:pPr>
              <w:pStyle w:val="NoSpacing"/>
              <w:jc w:val="center"/>
              <w:rPr>
                <w:rFonts w:ascii="Times New Roman" w:hAnsi="Times New Roman" w:cs="Times New Roman"/>
                <w:sz w:val="22"/>
                <w:szCs w:val="22"/>
              </w:rPr>
            </w:pPr>
            <w:r w:rsidRPr="002E0607">
              <w:rPr>
                <w:rFonts w:ascii="Times New Roman" w:hAnsi="Times New Roman" w:cs="Times New Roman"/>
                <w:sz w:val="22"/>
                <w:szCs w:val="22"/>
              </w:rPr>
              <w:t>6.67</w:t>
            </w:r>
          </w:p>
        </w:tc>
      </w:tr>
      <w:tr w:rsidR="008D45A9" w:rsidRPr="002E0607" w14:paraId="65A6ACFE" w14:textId="77777777" w:rsidTr="002E0607">
        <w:trPr>
          <w:trHeight w:val="226"/>
        </w:trPr>
        <w:tc>
          <w:tcPr>
            <w:tcW w:w="5866" w:type="dxa"/>
            <w:vAlign w:val="center"/>
            <w:hideMark/>
          </w:tcPr>
          <w:p w14:paraId="02292C3B" w14:textId="77777777" w:rsidR="008D45A9" w:rsidRPr="002E0607" w:rsidRDefault="008D45A9" w:rsidP="002E0607">
            <w:pPr>
              <w:pStyle w:val="NoSpacing"/>
              <w:rPr>
                <w:rFonts w:ascii="Times New Roman" w:hAnsi="Times New Roman" w:cs="Times New Roman"/>
                <w:sz w:val="22"/>
                <w:szCs w:val="22"/>
              </w:rPr>
            </w:pPr>
            <w:r w:rsidRPr="002E0607">
              <w:rPr>
                <w:rFonts w:ascii="Times New Roman" w:hAnsi="Times New Roman" w:cs="Times New Roman"/>
                <w:sz w:val="22"/>
                <w:szCs w:val="22"/>
              </w:rPr>
              <w:t>Madhya Pradesh</w:t>
            </w:r>
          </w:p>
        </w:tc>
        <w:tc>
          <w:tcPr>
            <w:tcW w:w="1445" w:type="dxa"/>
            <w:vAlign w:val="center"/>
            <w:hideMark/>
          </w:tcPr>
          <w:p w14:paraId="0092723C" w14:textId="77777777" w:rsidR="008D45A9" w:rsidRPr="002E0607" w:rsidRDefault="008D45A9" w:rsidP="002E0607">
            <w:pPr>
              <w:pStyle w:val="NoSpacing"/>
              <w:jc w:val="center"/>
              <w:rPr>
                <w:rFonts w:ascii="Times New Roman" w:hAnsi="Times New Roman" w:cs="Times New Roman"/>
                <w:sz w:val="22"/>
                <w:szCs w:val="22"/>
              </w:rPr>
            </w:pPr>
            <w:r w:rsidRPr="002E0607">
              <w:rPr>
                <w:rFonts w:ascii="Times New Roman" w:hAnsi="Times New Roman" w:cs="Times New Roman"/>
                <w:sz w:val="22"/>
                <w:szCs w:val="22"/>
              </w:rPr>
              <w:t>2.51</w:t>
            </w:r>
          </w:p>
        </w:tc>
        <w:tc>
          <w:tcPr>
            <w:tcW w:w="1358" w:type="dxa"/>
            <w:vAlign w:val="center"/>
            <w:hideMark/>
          </w:tcPr>
          <w:p w14:paraId="0D350E04" w14:textId="77777777" w:rsidR="008D45A9" w:rsidRPr="002E0607" w:rsidRDefault="008D45A9" w:rsidP="002E0607">
            <w:pPr>
              <w:pStyle w:val="NoSpacing"/>
              <w:jc w:val="center"/>
              <w:rPr>
                <w:rFonts w:ascii="Times New Roman" w:hAnsi="Times New Roman" w:cs="Times New Roman"/>
                <w:sz w:val="22"/>
                <w:szCs w:val="22"/>
              </w:rPr>
            </w:pPr>
            <w:r w:rsidRPr="002E0607">
              <w:rPr>
                <w:rFonts w:ascii="Times New Roman" w:hAnsi="Times New Roman" w:cs="Times New Roman"/>
                <w:sz w:val="22"/>
                <w:szCs w:val="22"/>
              </w:rPr>
              <w:t>0.50</w:t>
            </w:r>
          </w:p>
        </w:tc>
        <w:tc>
          <w:tcPr>
            <w:tcW w:w="1076" w:type="dxa"/>
            <w:vAlign w:val="center"/>
            <w:hideMark/>
          </w:tcPr>
          <w:p w14:paraId="47676BFD" w14:textId="77777777" w:rsidR="008D45A9" w:rsidRPr="002E0607" w:rsidRDefault="008D45A9" w:rsidP="002E0607">
            <w:pPr>
              <w:pStyle w:val="NoSpacing"/>
              <w:jc w:val="center"/>
              <w:rPr>
                <w:rFonts w:ascii="Times New Roman" w:hAnsi="Times New Roman" w:cs="Times New Roman"/>
                <w:sz w:val="22"/>
                <w:szCs w:val="22"/>
              </w:rPr>
            </w:pPr>
            <w:r w:rsidRPr="002E0607">
              <w:rPr>
                <w:rFonts w:ascii="Times New Roman" w:hAnsi="Times New Roman" w:cs="Times New Roman"/>
                <w:sz w:val="22"/>
                <w:szCs w:val="22"/>
              </w:rPr>
              <w:t>3.01</w:t>
            </w:r>
          </w:p>
        </w:tc>
      </w:tr>
      <w:tr w:rsidR="008D45A9" w:rsidRPr="002E0607" w14:paraId="64EE140D" w14:textId="77777777" w:rsidTr="002E0607">
        <w:trPr>
          <w:trHeight w:val="238"/>
        </w:trPr>
        <w:tc>
          <w:tcPr>
            <w:tcW w:w="5866" w:type="dxa"/>
            <w:vAlign w:val="center"/>
            <w:hideMark/>
          </w:tcPr>
          <w:p w14:paraId="464787C1" w14:textId="77777777" w:rsidR="008D45A9" w:rsidRPr="002E0607" w:rsidRDefault="008D45A9" w:rsidP="002E0607">
            <w:pPr>
              <w:pStyle w:val="NoSpacing"/>
              <w:rPr>
                <w:rFonts w:ascii="Times New Roman" w:hAnsi="Times New Roman" w:cs="Times New Roman"/>
                <w:sz w:val="22"/>
                <w:szCs w:val="22"/>
              </w:rPr>
            </w:pPr>
            <w:r w:rsidRPr="002E0607">
              <w:rPr>
                <w:rFonts w:ascii="Times New Roman" w:hAnsi="Times New Roman" w:cs="Times New Roman"/>
                <w:sz w:val="22"/>
                <w:szCs w:val="22"/>
              </w:rPr>
              <w:t>Madras</w:t>
            </w:r>
          </w:p>
        </w:tc>
        <w:tc>
          <w:tcPr>
            <w:tcW w:w="1445" w:type="dxa"/>
            <w:vAlign w:val="center"/>
            <w:hideMark/>
          </w:tcPr>
          <w:p w14:paraId="412FDE24" w14:textId="77777777" w:rsidR="008D45A9" w:rsidRPr="002E0607" w:rsidRDefault="008D45A9" w:rsidP="002E0607">
            <w:pPr>
              <w:pStyle w:val="NoSpacing"/>
              <w:jc w:val="center"/>
              <w:rPr>
                <w:rFonts w:ascii="Times New Roman" w:hAnsi="Times New Roman" w:cs="Times New Roman"/>
                <w:sz w:val="22"/>
                <w:szCs w:val="22"/>
              </w:rPr>
            </w:pPr>
            <w:r w:rsidRPr="002E0607">
              <w:rPr>
                <w:rFonts w:ascii="Times New Roman" w:hAnsi="Times New Roman" w:cs="Times New Roman"/>
                <w:sz w:val="22"/>
                <w:szCs w:val="22"/>
              </w:rPr>
              <w:t>4.48</w:t>
            </w:r>
          </w:p>
        </w:tc>
        <w:tc>
          <w:tcPr>
            <w:tcW w:w="1358" w:type="dxa"/>
            <w:vAlign w:val="center"/>
            <w:hideMark/>
          </w:tcPr>
          <w:p w14:paraId="6469DB8D" w14:textId="77777777" w:rsidR="008D45A9" w:rsidRPr="002E0607" w:rsidRDefault="008D45A9" w:rsidP="002E0607">
            <w:pPr>
              <w:pStyle w:val="NoSpacing"/>
              <w:jc w:val="center"/>
              <w:rPr>
                <w:rFonts w:ascii="Times New Roman" w:hAnsi="Times New Roman" w:cs="Times New Roman"/>
                <w:sz w:val="22"/>
                <w:szCs w:val="22"/>
              </w:rPr>
            </w:pPr>
            <w:r w:rsidRPr="002E0607">
              <w:rPr>
                <w:rFonts w:ascii="Times New Roman" w:hAnsi="Times New Roman" w:cs="Times New Roman"/>
                <w:sz w:val="22"/>
                <w:szCs w:val="22"/>
              </w:rPr>
              <w:t>..</w:t>
            </w:r>
          </w:p>
        </w:tc>
        <w:tc>
          <w:tcPr>
            <w:tcW w:w="1076" w:type="dxa"/>
            <w:vAlign w:val="center"/>
            <w:hideMark/>
          </w:tcPr>
          <w:p w14:paraId="4C188D35" w14:textId="77777777" w:rsidR="008D45A9" w:rsidRPr="002E0607" w:rsidRDefault="008D45A9" w:rsidP="002E0607">
            <w:pPr>
              <w:pStyle w:val="NoSpacing"/>
              <w:jc w:val="center"/>
              <w:rPr>
                <w:rFonts w:ascii="Times New Roman" w:hAnsi="Times New Roman" w:cs="Times New Roman"/>
                <w:sz w:val="22"/>
                <w:szCs w:val="22"/>
              </w:rPr>
            </w:pPr>
            <w:r w:rsidRPr="002E0607">
              <w:rPr>
                <w:rFonts w:ascii="Times New Roman" w:hAnsi="Times New Roman" w:cs="Times New Roman"/>
                <w:sz w:val="22"/>
                <w:szCs w:val="22"/>
              </w:rPr>
              <w:t>4.48</w:t>
            </w:r>
          </w:p>
        </w:tc>
      </w:tr>
      <w:tr w:rsidR="008D45A9" w:rsidRPr="002E0607" w14:paraId="361D0A4C" w14:textId="77777777" w:rsidTr="002E0607">
        <w:trPr>
          <w:trHeight w:val="226"/>
        </w:trPr>
        <w:tc>
          <w:tcPr>
            <w:tcW w:w="5866" w:type="dxa"/>
            <w:vAlign w:val="center"/>
            <w:hideMark/>
          </w:tcPr>
          <w:p w14:paraId="1C8422D9" w14:textId="77777777" w:rsidR="008D45A9" w:rsidRPr="002E0607" w:rsidRDefault="008D45A9" w:rsidP="002E0607">
            <w:pPr>
              <w:pStyle w:val="NoSpacing"/>
              <w:rPr>
                <w:rFonts w:ascii="Times New Roman" w:hAnsi="Times New Roman" w:cs="Times New Roman"/>
                <w:sz w:val="22"/>
                <w:szCs w:val="22"/>
              </w:rPr>
            </w:pPr>
            <w:r w:rsidRPr="002E0607">
              <w:rPr>
                <w:rFonts w:ascii="Times New Roman" w:hAnsi="Times New Roman" w:cs="Times New Roman"/>
                <w:sz w:val="22"/>
                <w:szCs w:val="22"/>
              </w:rPr>
              <w:t>Punjab</w:t>
            </w:r>
          </w:p>
        </w:tc>
        <w:tc>
          <w:tcPr>
            <w:tcW w:w="1445" w:type="dxa"/>
            <w:vAlign w:val="center"/>
            <w:hideMark/>
          </w:tcPr>
          <w:p w14:paraId="1439966F" w14:textId="77777777" w:rsidR="008D45A9" w:rsidRPr="002E0607" w:rsidRDefault="008D45A9" w:rsidP="002E0607">
            <w:pPr>
              <w:pStyle w:val="NoSpacing"/>
              <w:jc w:val="center"/>
              <w:rPr>
                <w:rFonts w:ascii="Times New Roman" w:hAnsi="Times New Roman" w:cs="Times New Roman"/>
                <w:sz w:val="22"/>
                <w:szCs w:val="22"/>
              </w:rPr>
            </w:pPr>
            <w:r w:rsidRPr="002E0607">
              <w:rPr>
                <w:rFonts w:ascii="Times New Roman" w:hAnsi="Times New Roman" w:cs="Times New Roman"/>
                <w:sz w:val="22"/>
                <w:szCs w:val="22"/>
              </w:rPr>
              <w:t>1.54</w:t>
            </w:r>
          </w:p>
        </w:tc>
        <w:tc>
          <w:tcPr>
            <w:tcW w:w="1358" w:type="dxa"/>
            <w:vAlign w:val="center"/>
            <w:hideMark/>
          </w:tcPr>
          <w:p w14:paraId="004CCB43" w14:textId="77777777" w:rsidR="008D45A9" w:rsidRPr="002E0607" w:rsidRDefault="008D45A9" w:rsidP="002E0607">
            <w:pPr>
              <w:pStyle w:val="NoSpacing"/>
              <w:jc w:val="center"/>
              <w:rPr>
                <w:rFonts w:ascii="Times New Roman" w:hAnsi="Times New Roman" w:cs="Times New Roman"/>
                <w:sz w:val="22"/>
                <w:szCs w:val="22"/>
              </w:rPr>
            </w:pPr>
            <w:r w:rsidRPr="002E0607">
              <w:rPr>
                <w:rFonts w:ascii="Times New Roman" w:hAnsi="Times New Roman" w:cs="Times New Roman"/>
                <w:sz w:val="22"/>
                <w:szCs w:val="22"/>
              </w:rPr>
              <w:t>1.53</w:t>
            </w:r>
          </w:p>
        </w:tc>
        <w:tc>
          <w:tcPr>
            <w:tcW w:w="1076" w:type="dxa"/>
            <w:vAlign w:val="center"/>
            <w:hideMark/>
          </w:tcPr>
          <w:p w14:paraId="1D1E7FE4" w14:textId="77777777" w:rsidR="008D45A9" w:rsidRPr="002E0607" w:rsidRDefault="008D45A9" w:rsidP="002E0607">
            <w:pPr>
              <w:pStyle w:val="NoSpacing"/>
              <w:jc w:val="center"/>
              <w:rPr>
                <w:rFonts w:ascii="Times New Roman" w:hAnsi="Times New Roman" w:cs="Times New Roman"/>
                <w:sz w:val="22"/>
                <w:szCs w:val="22"/>
              </w:rPr>
            </w:pPr>
            <w:r w:rsidRPr="002E0607">
              <w:rPr>
                <w:rFonts w:ascii="Times New Roman" w:hAnsi="Times New Roman" w:cs="Times New Roman"/>
                <w:sz w:val="22"/>
                <w:szCs w:val="22"/>
              </w:rPr>
              <w:t>3.07</w:t>
            </w:r>
          </w:p>
        </w:tc>
      </w:tr>
      <w:tr w:rsidR="008D45A9" w:rsidRPr="002E0607" w14:paraId="5CC055D6" w14:textId="77777777" w:rsidTr="002E0607">
        <w:trPr>
          <w:trHeight w:val="226"/>
        </w:trPr>
        <w:tc>
          <w:tcPr>
            <w:tcW w:w="5866" w:type="dxa"/>
            <w:vAlign w:val="center"/>
            <w:hideMark/>
          </w:tcPr>
          <w:p w14:paraId="1320DDE1" w14:textId="77777777" w:rsidR="008D45A9" w:rsidRPr="002E0607" w:rsidRDefault="008D45A9" w:rsidP="002E0607">
            <w:pPr>
              <w:pStyle w:val="NoSpacing"/>
              <w:rPr>
                <w:rFonts w:ascii="Times New Roman" w:hAnsi="Times New Roman" w:cs="Times New Roman"/>
                <w:sz w:val="22"/>
                <w:szCs w:val="22"/>
              </w:rPr>
            </w:pPr>
            <w:r w:rsidRPr="002E0607">
              <w:rPr>
                <w:rFonts w:ascii="Times New Roman" w:hAnsi="Times New Roman" w:cs="Times New Roman"/>
                <w:sz w:val="22"/>
                <w:szCs w:val="22"/>
              </w:rPr>
              <w:t>Hyderabad</w:t>
            </w:r>
          </w:p>
        </w:tc>
        <w:tc>
          <w:tcPr>
            <w:tcW w:w="1445" w:type="dxa"/>
            <w:vAlign w:val="center"/>
            <w:hideMark/>
          </w:tcPr>
          <w:p w14:paraId="6EECB32A" w14:textId="77777777" w:rsidR="008D45A9" w:rsidRPr="002E0607" w:rsidRDefault="008D45A9" w:rsidP="002E0607">
            <w:pPr>
              <w:pStyle w:val="NoSpacing"/>
              <w:jc w:val="center"/>
              <w:rPr>
                <w:rFonts w:ascii="Times New Roman" w:hAnsi="Times New Roman" w:cs="Times New Roman"/>
                <w:sz w:val="22"/>
                <w:szCs w:val="22"/>
              </w:rPr>
            </w:pPr>
            <w:r w:rsidRPr="002E0607">
              <w:rPr>
                <w:rFonts w:ascii="Times New Roman" w:hAnsi="Times New Roman" w:cs="Times New Roman"/>
                <w:sz w:val="22"/>
                <w:szCs w:val="22"/>
              </w:rPr>
              <w:t>2.16</w:t>
            </w:r>
          </w:p>
        </w:tc>
        <w:tc>
          <w:tcPr>
            <w:tcW w:w="1358" w:type="dxa"/>
            <w:vAlign w:val="center"/>
            <w:hideMark/>
          </w:tcPr>
          <w:p w14:paraId="09A23577" w14:textId="77777777" w:rsidR="008D45A9" w:rsidRPr="002E0607" w:rsidRDefault="008D45A9" w:rsidP="002E0607">
            <w:pPr>
              <w:pStyle w:val="NoSpacing"/>
              <w:jc w:val="center"/>
              <w:rPr>
                <w:rFonts w:ascii="Times New Roman" w:hAnsi="Times New Roman" w:cs="Times New Roman"/>
                <w:sz w:val="22"/>
                <w:szCs w:val="22"/>
              </w:rPr>
            </w:pPr>
            <w:r w:rsidRPr="002E0607">
              <w:rPr>
                <w:rFonts w:ascii="Times New Roman" w:hAnsi="Times New Roman" w:cs="Times New Roman"/>
                <w:sz w:val="22"/>
                <w:szCs w:val="22"/>
              </w:rPr>
              <w:t>0.40</w:t>
            </w:r>
          </w:p>
        </w:tc>
        <w:tc>
          <w:tcPr>
            <w:tcW w:w="1076" w:type="dxa"/>
            <w:vAlign w:val="center"/>
            <w:hideMark/>
          </w:tcPr>
          <w:p w14:paraId="2EE9DC97" w14:textId="77777777" w:rsidR="008D45A9" w:rsidRPr="002E0607" w:rsidRDefault="008D45A9" w:rsidP="002E0607">
            <w:pPr>
              <w:pStyle w:val="NoSpacing"/>
              <w:jc w:val="center"/>
              <w:rPr>
                <w:rFonts w:ascii="Times New Roman" w:hAnsi="Times New Roman" w:cs="Times New Roman"/>
                <w:sz w:val="22"/>
                <w:szCs w:val="22"/>
              </w:rPr>
            </w:pPr>
            <w:r w:rsidRPr="002E0607">
              <w:rPr>
                <w:rFonts w:ascii="Times New Roman" w:hAnsi="Times New Roman" w:cs="Times New Roman"/>
                <w:sz w:val="22"/>
                <w:szCs w:val="22"/>
              </w:rPr>
              <w:t>2.56</w:t>
            </w:r>
          </w:p>
        </w:tc>
      </w:tr>
      <w:tr w:rsidR="008D45A9" w:rsidRPr="002E0607" w14:paraId="6400F1D8" w14:textId="77777777" w:rsidTr="002E0607">
        <w:trPr>
          <w:trHeight w:val="238"/>
        </w:trPr>
        <w:tc>
          <w:tcPr>
            <w:tcW w:w="5866" w:type="dxa"/>
            <w:vAlign w:val="center"/>
            <w:hideMark/>
          </w:tcPr>
          <w:p w14:paraId="59A9C96F" w14:textId="77777777" w:rsidR="008D45A9" w:rsidRPr="002E0607" w:rsidRDefault="008D45A9" w:rsidP="002E0607">
            <w:pPr>
              <w:pStyle w:val="NoSpacing"/>
              <w:rPr>
                <w:rFonts w:ascii="Times New Roman" w:hAnsi="Times New Roman" w:cs="Times New Roman"/>
                <w:sz w:val="22"/>
                <w:szCs w:val="22"/>
              </w:rPr>
            </w:pPr>
            <w:r w:rsidRPr="002E0607">
              <w:rPr>
                <w:rFonts w:ascii="Times New Roman" w:hAnsi="Times New Roman" w:cs="Times New Roman"/>
                <w:sz w:val="22"/>
                <w:szCs w:val="22"/>
              </w:rPr>
              <w:t>Madhya Bharat</w:t>
            </w:r>
          </w:p>
        </w:tc>
        <w:tc>
          <w:tcPr>
            <w:tcW w:w="1445" w:type="dxa"/>
            <w:vAlign w:val="center"/>
            <w:hideMark/>
          </w:tcPr>
          <w:p w14:paraId="61A1873B" w14:textId="77777777" w:rsidR="008D45A9" w:rsidRPr="002E0607" w:rsidRDefault="008D45A9" w:rsidP="002E0607">
            <w:pPr>
              <w:pStyle w:val="NoSpacing"/>
              <w:jc w:val="center"/>
              <w:rPr>
                <w:rFonts w:ascii="Times New Roman" w:hAnsi="Times New Roman" w:cs="Times New Roman"/>
                <w:sz w:val="22"/>
                <w:szCs w:val="22"/>
              </w:rPr>
            </w:pPr>
            <w:r w:rsidRPr="002E0607">
              <w:rPr>
                <w:rFonts w:ascii="Times New Roman" w:hAnsi="Times New Roman" w:cs="Times New Roman"/>
                <w:sz w:val="22"/>
                <w:szCs w:val="22"/>
              </w:rPr>
              <w:t>0.86</w:t>
            </w:r>
          </w:p>
        </w:tc>
        <w:tc>
          <w:tcPr>
            <w:tcW w:w="1358" w:type="dxa"/>
            <w:vAlign w:val="center"/>
            <w:hideMark/>
          </w:tcPr>
          <w:p w14:paraId="0CCDCF75" w14:textId="77777777" w:rsidR="008D45A9" w:rsidRPr="002E0607" w:rsidRDefault="008D45A9" w:rsidP="002E0607">
            <w:pPr>
              <w:pStyle w:val="NoSpacing"/>
              <w:jc w:val="center"/>
              <w:rPr>
                <w:rFonts w:ascii="Times New Roman" w:hAnsi="Times New Roman" w:cs="Times New Roman"/>
                <w:sz w:val="22"/>
                <w:szCs w:val="22"/>
              </w:rPr>
            </w:pPr>
            <w:r w:rsidRPr="002E0607">
              <w:rPr>
                <w:rFonts w:ascii="Times New Roman" w:hAnsi="Times New Roman" w:cs="Times New Roman"/>
                <w:sz w:val="22"/>
                <w:szCs w:val="22"/>
              </w:rPr>
              <w:t>0.18</w:t>
            </w:r>
          </w:p>
        </w:tc>
        <w:tc>
          <w:tcPr>
            <w:tcW w:w="1076" w:type="dxa"/>
            <w:vAlign w:val="center"/>
            <w:hideMark/>
          </w:tcPr>
          <w:p w14:paraId="4E9C79FE" w14:textId="77777777" w:rsidR="008D45A9" w:rsidRPr="002E0607" w:rsidRDefault="008D45A9" w:rsidP="002E0607">
            <w:pPr>
              <w:pStyle w:val="NoSpacing"/>
              <w:jc w:val="center"/>
              <w:rPr>
                <w:rFonts w:ascii="Times New Roman" w:hAnsi="Times New Roman" w:cs="Times New Roman"/>
                <w:sz w:val="22"/>
                <w:szCs w:val="22"/>
              </w:rPr>
            </w:pPr>
            <w:r w:rsidRPr="002E0607">
              <w:rPr>
                <w:rFonts w:ascii="Times New Roman" w:hAnsi="Times New Roman" w:cs="Times New Roman"/>
                <w:sz w:val="22"/>
                <w:szCs w:val="22"/>
              </w:rPr>
              <w:t>1.04</w:t>
            </w:r>
          </w:p>
        </w:tc>
      </w:tr>
      <w:tr w:rsidR="008D45A9" w:rsidRPr="002E0607" w14:paraId="4C972589" w14:textId="77777777" w:rsidTr="002E0607">
        <w:trPr>
          <w:trHeight w:val="226"/>
        </w:trPr>
        <w:tc>
          <w:tcPr>
            <w:tcW w:w="5866" w:type="dxa"/>
            <w:vAlign w:val="center"/>
            <w:hideMark/>
          </w:tcPr>
          <w:p w14:paraId="134ACCE1" w14:textId="77777777" w:rsidR="008D45A9" w:rsidRPr="002E0607" w:rsidRDefault="008D45A9" w:rsidP="002E0607">
            <w:pPr>
              <w:pStyle w:val="NoSpacing"/>
              <w:rPr>
                <w:rFonts w:ascii="Times New Roman" w:hAnsi="Times New Roman" w:cs="Times New Roman"/>
                <w:sz w:val="22"/>
                <w:szCs w:val="22"/>
              </w:rPr>
            </w:pPr>
            <w:r w:rsidRPr="002E0607">
              <w:rPr>
                <w:rFonts w:ascii="Times New Roman" w:hAnsi="Times New Roman" w:cs="Times New Roman"/>
                <w:sz w:val="22"/>
                <w:szCs w:val="22"/>
              </w:rPr>
              <w:t>Mysore</w:t>
            </w:r>
          </w:p>
        </w:tc>
        <w:tc>
          <w:tcPr>
            <w:tcW w:w="1445" w:type="dxa"/>
            <w:vAlign w:val="center"/>
            <w:hideMark/>
          </w:tcPr>
          <w:p w14:paraId="37A28C4F" w14:textId="77777777" w:rsidR="008D45A9" w:rsidRPr="002E0607" w:rsidRDefault="008D45A9" w:rsidP="002E0607">
            <w:pPr>
              <w:pStyle w:val="NoSpacing"/>
              <w:jc w:val="center"/>
              <w:rPr>
                <w:rFonts w:ascii="Times New Roman" w:hAnsi="Times New Roman" w:cs="Times New Roman"/>
                <w:sz w:val="22"/>
                <w:szCs w:val="22"/>
              </w:rPr>
            </w:pPr>
            <w:r w:rsidRPr="002E0607">
              <w:rPr>
                <w:rFonts w:ascii="Times New Roman" w:hAnsi="Times New Roman" w:cs="Times New Roman"/>
                <w:sz w:val="22"/>
                <w:szCs w:val="22"/>
              </w:rPr>
              <w:t>1.16</w:t>
            </w:r>
          </w:p>
        </w:tc>
        <w:tc>
          <w:tcPr>
            <w:tcW w:w="1358" w:type="dxa"/>
            <w:vAlign w:val="center"/>
            <w:hideMark/>
          </w:tcPr>
          <w:p w14:paraId="71ED91DB" w14:textId="77777777" w:rsidR="008D45A9" w:rsidRPr="002E0607" w:rsidRDefault="008D45A9" w:rsidP="002E0607">
            <w:pPr>
              <w:pStyle w:val="NoSpacing"/>
              <w:jc w:val="center"/>
              <w:rPr>
                <w:rFonts w:ascii="Times New Roman" w:hAnsi="Times New Roman" w:cs="Times New Roman"/>
                <w:sz w:val="22"/>
                <w:szCs w:val="22"/>
              </w:rPr>
            </w:pPr>
            <w:r w:rsidRPr="002E0607">
              <w:rPr>
                <w:rFonts w:ascii="Times New Roman" w:hAnsi="Times New Roman" w:cs="Times New Roman"/>
                <w:sz w:val="22"/>
                <w:szCs w:val="22"/>
              </w:rPr>
              <w:t>0.40</w:t>
            </w:r>
          </w:p>
        </w:tc>
        <w:tc>
          <w:tcPr>
            <w:tcW w:w="1076" w:type="dxa"/>
            <w:vAlign w:val="center"/>
            <w:hideMark/>
          </w:tcPr>
          <w:p w14:paraId="4201729F" w14:textId="77777777" w:rsidR="008D45A9" w:rsidRPr="002E0607" w:rsidRDefault="008D45A9" w:rsidP="002E0607">
            <w:pPr>
              <w:pStyle w:val="NoSpacing"/>
              <w:jc w:val="center"/>
              <w:rPr>
                <w:rFonts w:ascii="Times New Roman" w:hAnsi="Times New Roman" w:cs="Times New Roman"/>
                <w:sz w:val="22"/>
                <w:szCs w:val="22"/>
              </w:rPr>
            </w:pPr>
            <w:r w:rsidRPr="002E0607">
              <w:rPr>
                <w:rFonts w:ascii="Times New Roman" w:hAnsi="Times New Roman" w:cs="Times New Roman"/>
                <w:sz w:val="22"/>
                <w:szCs w:val="22"/>
              </w:rPr>
              <w:t>1.56</w:t>
            </w:r>
          </w:p>
        </w:tc>
      </w:tr>
      <w:tr w:rsidR="008D45A9" w:rsidRPr="002E0607" w14:paraId="798A833F" w14:textId="77777777" w:rsidTr="002E0607">
        <w:trPr>
          <w:trHeight w:val="238"/>
        </w:trPr>
        <w:tc>
          <w:tcPr>
            <w:tcW w:w="5866" w:type="dxa"/>
            <w:vAlign w:val="center"/>
            <w:hideMark/>
          </w:tcPr>
          <w:p w14:paraId="5D87E890" w14:textId="77777777" w:rsidR="008D45A9" w:rsidRPr="002E0607" w:rsidRDefault="008D45A9" w:rsidP="002E0607">
            <w:pPr>
              <w:pStyle w:val="NoSpacing"/>
              <w:rPr>
                <w:rFonts w:ascii="Times New Roman" w:hAnsi="Times New Roman" w:cs="Times New Roman"/>
                <w:sz w:val="22"/>
                <w:szCs w:val="22"/>
              </w:rPr>
            </w:pPr>
            <w:r w:rsidRPr="002E0607">
              <w:rPr>
                <w:rFonts w:ascii="Times New Roman" w:hAnsi="Times New Roman" w:cs="Times New Roman"/>
                <w:sz w:val="22"/>
                <w:szCs w:val="22"/>
              </w:rPr>
              <w:t>Pepsu</w:t>
            </w:r>
          </w:p>
        </w:tc>
        <w:tc>
          <w:tcPr>
            <w:tcW w:w="1445" w:type="dxa"/>
            <w:vAlign w:val="center"/>
            <w:hideMark/>
          </w:tcPr>
          <w:p w14:paraId="41F1B674" w14:textId="77777777" w:rsidR="008D45A9" w:rsidRPr="002E0607" w:rsidRDefault="008D45A9" w:rsidP="002E0607">
            <w:pPr>
              <w:pStyle w:val="NoSpacing"/>
              <w:jc w:val="center"/>
              <w:rPr>
                <w:rFonts w:ascii="Times New Roman" w:hAnsi="Times New Roman" w:cs="Times New Roman"/>
                <w:sz w:val="22"/>
                <w:szCs w:val="22"/>
              </w:rPr>
            </w:pPr>
            <w:r w:rsidRPr="002E0607">
              <w:rPr>
                <w:rFonts w:ascii="Times New Roman" w:hAnsi="Times New Roman" w:cs="Times New Roman"/>
                <w:sz w:val="22"/>
                <w:szCs w:val="22"/>
              </w:rPr>
              <w:t>0.12</w:t>
            </w:r>
          </w:p>
        </w:tc>
        <w:tc>
          <w:tcPr>
            <w:tcW w:w="1358" w:type="dxa"/>
            <w:vAlign w:val="center"/>
            <w:hideMark/>
          </w:tcPr>
          <w:p w14:paraId="70F14752" w14:textId="77777777" w:rsidR="008D45A9" w:rsidRPr="002E0607" w:rsidRDefault="008D45A9" w:rsidP="002E0607">
            <w:pPr>
              <w:pStyle w:val="NoSpacing"/>
              <w:jc w:val="center"/>
              <w:rPr>
                <w:rFonts w:ascii="Times New Roman" w:hAnsi="Times New Roman" w:cs="Times New Roman"/>
                <w:sz w:val="22"/>
                <w:szCs w:val="22"/>
              </w:rPr>
            </w:pPr>
            <w:r w:rsidRPr="002E0607">
              <w:rPr>
                <w:rFonts w:ascii="Times New Roman" w:hAnsi="Times New Roman" w:cs="Times New Roman"/>
                <w:sz w:val="22"/>
                <w:szCs w:val="22"/>
              </w:rPr>
              <w:t>0.09</w:t>
            </w:r>
          </w:p>
        </w:tc>
        <w:tc>
          <w:tcPr>
            <w:tcW w:w="1076" w:type="dxa"/>
            <w:vAlign w:val="center"/>
            <w:hideMark/>
          </w:tcPr>
          <w:p w14:paraId="734A040E" w14:textId="77777777" w:rsidR="008D45A9" w:rsidRPr="002E0607" w:rsidRDefault="008D45A9" w:rsidP="002E0607">
            <w:pPr>
              <w:pStyle w:val="NoSpacing"/>
              <w:jc w:val="center"/>
              <w:rPr>
                <w:rFonts w:ascii="Times New Roman" w:hAnsi="Times New Roman" w:cs="Times New Roman"/>
                <w:sz w:val="22"/>
                <w:szCs w:val="22"/>
              </w:rPr>
            </w:pPr>
            <w:r w:rsidRPr="002E0607">
              <w:rPr>
                <w:rFonts w:ascii="Times New Roman" w:hAnsi="Times New Roman" w:cs="Times New Roman"/>
                <w:sz w:val="22"/>
                <w:szCs w:val="22"/>
              </w:rPr>
              <w:t>0.21</w:t>
            </w:r>
          </w:p>
        </w:tc>
      </w:tr>
      <w:tr w:rsidR="008D45A9" w:rsidRPr="002E0607" w14:paraId="19153CA0" w14:textId="77777777" w:rsidTr="002E0607">
        <w:trPr>
          <w:trHeight w:val="226"/>
        </w:trPr>
        <w:tc>
          <w:tcPr>
            <w:tcW w:w="5866" w:type="dxa"/>
            <w:vAlign w:val="center"/>
            <w:hideMark/>
          </w:tcPr>
          <w:p w14:paraId="51D9F2F5" w14:textId="77777777" w:rsidR="008D45A9" w:rsidRPr="002E0607" w:rsidRDefault="008D45A9" w:rsidP="002E0607">
            <w:pPr>
              <w:pStyle w:val="NoSpacing"/>
              <w:rPr>
                <w:rFonts w:ascii="Times New Roman" w:hAnsi="Times New Roman" w:cs="Times New Roman"/>
                <w:sz w:val="22"/>
                <w:szCs w:val="22"/>
              </w:rPr>
            </w:pPr>
            <w:r w:rsidRPr="002E0607">
              <w:rPr>
                <w:rFonts w:ascii="Times New Roman" w:hAnsi="Times New Roman" w:cs="Times New Roman"/>
                <w:sz w:val="22"/>
                <w:szCs w:val="22"/>
              </w:rPr>
              <w:t>Rajasthan</w:t>
            </w:r>
          </w:p>
        </w:tc>
        <w:tc>
          <w:tcPr>
            <w:tcW w:w="1445" w:type="dxa"/>
            <w:vAlign w:val="center"/>
            <w:hideMark/>
          </w:tcPr>
          <w:p w14:paraId="314A9093" w14:textId="77777777" w:rsidR="008D45A9" w:rsidRPr="002E0607" w:rsidRDefault="008D45A9" w:rsidP="002E0607">
            <w:pPr>
              <w:pStyle w:val="NoSpacing"/>
              <w:jc w:val="center"/>
              <w:rPr>
                <w:rFonts w:ascii="Times New Roman" w:hAnsi="Times New Roman" w:cs="Times New Roman"/>
                <w:sz w:val="22"/>
                <w:szCs w:val="22"/>
              </w:rPr>
            </w:pPr>
            <w:r w:rsidRPr="002E0607">
              <w:rPr>
                <w:rFonts w:ascii="Times New Roman" w:hAnsi="Times New Roman" w:cs="Times New Roman"/>
                <w:sz w:val="22"/>
                <w:szCs w:val="22"/>
              </w:rPr>
              <w:t>1.71</w:t>
            </w:r>
          </w:p>
        </w:tc>
        <w:tc>
          <w:tcPr>
            <w:tcW w:w="1358" w:type="dxa"/>
            <w:vAlign w:val="center"/>
            <w:hideMark/>
          </w:tcPr>
          <w:p w14:paraId="14991CA4" w14:textId="77777777" w:rsidR="008D45A9" w:rsidRPr="002E0607" w:rsidRDefault="008D45A9" w:rsidP="002E0607">
            <w:pPr>
              <w:pStyle w:val="NoSpacing"/>
              <w:jc w:val="center"/>
              <w:rPr>
                <w:rFonts w:ascii="Times New Roman" w:hAnsi="Times New Roman" w:cs="Times New Roman"/>
                <w:sz w:val="22"/>
                <w:szCs w:val="22"/>
              </w:rPr>
            </w:pPr>
            <w:r w:rsidRPr="002E0607">
              <w:rPr>
                <w:rFonts w:ascii="Times New Roman" w:hAnsi="Times New Roman" w:cs="Times New Roman"/>
                <w:sz w:val="22"/>
                <w:szCs w:val="22"/>
              </w:rPr>
              <w:t>0.40</w:t>
            </w:r>
          </w:p>
        </w:tc>
        <w:tc>
          <w:tcPr>
            <w:tcW w:w="1076" w:type="dxa"/>
            <w:vAlign w:val="center"/>
            <w:hideMark/>
          </w:tcPr>
          <w:p w14:paraId="50EC6CC2" w14:textId="77777777" w:rsidR="008D45A9" w:rsidRPr="002E0607" w:rsidRDefault="008D45A9" w:rsidP="002E0607">
            <w:pPr>
              <w:pStyle w:val="NoSpacing"/>
              <w:jc w:val="center"/>
              <w:rPr>
                <w:rFonts w:ascii="Times New Roman" w:hAnsi="Times New Roman" w:cs="Times New Roman"/>
                <w:sz w:val="22"/>
                <w:szCs w:val="22"/>
              </w:rPr>
            </w:pPr>
            <w:r w:rsidRPr="002E0607">
              <w:rPr>
                <w:rFonts w:ascii="Times New Roman" w:hAnsi="Times New Roman" w:cs="Times New Roman"/>
                <w:sz w:val="22"/>
                <w:szCs w:val="22"/>
              </w:rPr>
              <w:t>2.11</w:t>
            </w:r>
          </w:p>
        </w:tc>
      </w:tr>
      <w:tr w:rsidR="008D45A9" w:rsidRPr="002E0607" w14:paraId="3BDC97A4" w14:textId="77777777" w:rsidTr="002E0607">
        <w:trPr>
          <w:trHeight w:val="226"/>
        </w:trPr>
        <w:tc>
          <w:tcPr>
            <w:tcW w:w="5866" w:type="dxa"/>
            <w:vAlign w:val="center"/>
            <w:hideMark/>
          </w:tcPr>
          <w:p w14:paraId="5EC37A0C" w14:textId="77777777" w:rsidR="008D45A9" w:rsidRPr="002E0607" w:rsidRDefault="008D45A9" w:rsidP="002E0607">
            <w:pPr>
              <w:pStyle w:val="NoSpacing"/>
              <w:rPr>
                <w:rFonts w:ascii="Times New Roman" w:hAnsi="Times New Roman" w:cs="Times New Roman"/>
                <w:sz w:val="22"/>
                <w:szCs w:val="22"/>
              </w:rPr>
            </w:pPr>
            <w:r w:rsidRPr="002E0607">
              <w:rPr>
                <w:rFonts w:ascii="Times New Roman" w:hAnsi="Times New Roman" w:cs="Times New Roman"/>
                <w:sz w:val="22"/>
                <w:szCs w:val="22"/>
              </w:rPr>
              <w:t>Saurashtra</w:t>
            </w:r>
          </w:p>
        </w:tc>
        <w:tc>
          <w:tcPr>
            <w:tcW w:w="1445" w:type="dxa"/>
            <w:vAlign w:val="center"/>
            <w:hideMark/>
          </w:tcPr>
          <w:p w14:paraId="0C2E19D8" w14:textId="77777777" w:rsidR="008D45A9" w:rsidRPr="002E0607" w:rsidRDefault="008D45A9" w:rsidP="002E0607">
            <w:pPr>
              <w:pStyle w:val="NoSpacing"/>
              <w:jc w:val="center"/>
              <w:rPr>
                <w:rFonts w:ascii="Times New Roman" w:hAnsi="Times New Roman" w:cs="Times New Roman"/>
                <w:sz w:val="22"/>
                <w:szCs w:val="22"/>
              </w:rPr>
            </w:pPr>
            <w:r w:rsidRPr="002E0607">
              <w:rPr>
                <w:rFonts w:ascii="Times New Roman" w:hAnsi="Times New Roman" w:cs="Times New Roman"/>
                <w:sz w:val="22"/>
                <w:szCs w:val="22"/>
              </w:rPr>
              <w:t>0.48</w:t>
            </w:r>
          </w:p>
        </w:tc>
        <w:tc>
          <w:tcPr>
            <w:tcW w:w="1358" w:type="dxa"/>
            <w:vAlign w:val="center"/>
            <w:hideMark/>
          </w:tcPr>
          <w:p w14:paraId="5FA23421" w14:textId="77777777" w:rsidR="008D45A9" w:rsidRPr="002E0607" w:rsidRDefault="008D45A9" w:rsidP="002E0607">
            <w:pPr>
              <w:pStyle w:val="NoSpacing"/>
              <w:jc w:val="center"/>
              <w:rPr>
                <w:rFonts w:ascii="Times New Roman" w:hAnsi="Times New Roman" w:cs="Times New Roman"/>
                <w:sz w:val="22"/>
                <w:szCs w:val="22"/>
              </w:rPr>
            </w:pPr>
            <w:r w:rsidRPr="002E0607">
              <w:rPr>
                <w:rFonts w:ascii="Times New Roman" w:hAnsi="Times New Roman" w:cs="Times New Roman"/>
                <w:sz w:val="22"/>
                <w:szCs w:val="22"/>
              </w:rPr>
              <w:t>0.40</w:t>
            </w:r>
          </w:p>
        </w:tc>
        <w:tc>
          <w:tcPr>
            <w:tcW w:w="1076" w:type="dxa"/>
            <w:vAlign w:val="center"/>
            <w:hideMark/>
          </w:tcPr>
          <w:p w14:paraId="6CB6CCD2" w14:textId="77777777" w:rsidR="008D45A9" w:rsidRPr="002E0607" w:rsidRDefault="008D45A9" w:rsidP="002E0607">
            <w:pPr>
              <w:pStyle w:val="NoSpacing"/>
              <w:jc w:val="center"/>
              <w:rPr>
                <w:rFonts w:ascii="Times New Roman" w:hAnsi="Times New Roman" w:cs="Times New Roman"/>
                <w:sz w:val="22"/>
                <w:szCs w:val="22"/>
              </w:rPr>
            </w:pPr>
            <w:r w:rsidRPr="002E0607">
              <w:rPr>
                <w:rFonts w:ascii="Times New Roman" w:hAnsi="Times New Roman" w:cs="Times New Roman"/>
                <w:sz w:val="22"/>
                <w:szCs w:val="22"/>
              </w:rPr>
              <w:t>0.88</w:t>
            </w:r>
          </w:p>
        </w:tc>
      </w:tr>
      <w:tr w:rsidR="008D45A9" w:rsidRPr="002E0607" w14:paraId="18A9C718" w14:textId="77777777" w:rsidTr="002E0607">
        <w:trPr>
          <w:trHeight w:val="238"/>
        </w:trPr>
        <w:tc>
          <w:tcPr>
            <w:tcW w:w="5866" w:type="dxa"/>
            <w:vAlign w:val="center"/>
            <w:hideMark/>
          </w:tcPr>
          <w:p w14:paraId="18B23217" w14:textId="77777777" w:rsidR="008D45A9" w:rsidRPr="002E0607" w:rsidRDefault="008D45A9" w:rsidP="002E0607">
            <w:pPr>
              <w:pStyle w:val="NoSpacing"/>
              <w:rPr>
                <w:rFonts w:ascii="Times New Roman" w:hAnsi="Times New Roman" w:cs="Times New Roman"/>
                <w:sz w:val="22"/>
                <w:szCs w:val="22"/>
              </w:rPr>
            </w:pPr>
            <w:r w:rsidRPr="002E0607">
              <w:rPr>
                <w:rFonts w:ascii="Times New Roman" w:hAnsi="Times New Roman" w:cs="Times New Roman"/>
                <w:sz w:val="22"/>
                <w:szCs w:val="22"/>
              </w:rPr>
              <w:t>Travancore Cochin</w:t>
            </w:r>
          </w:p>
        </w:tc>
        <w:tc>
          <w:tcPr>
            <w:tcW w:w="1445" w:type="dxa"/>
            <w:vAlign w:val="center"/>
            <w:hideMark/>
          </w:tcPr>
          <w:p w14:paraId="07386916" w14:textId="77777777" w:rsidR="008D45A9" w:rsidRPr="002E0607" w:rsidRDefault="008D45A9" w:rsidP="002E0607">
            <w:pPr>
              <w:pStyle w:val="NoSpacing"/>
              <w:jc w:val="center"/>
              <w:rPr>
                <w:rFonts w:ascii="Times New Roman" w:hAnsi="Times New Roman" w:cs="Times New Roman"/>
                <w:sz w:val="22"/>
                <w:szCs w:val="22"/>
              </w:rPr>
            </w:pPr>
            <w:r w:rsidRPr="002E0607">
              <w:rPr>
                <w:rFonts w:ascii="Times New Roman" w:hAnsi="Times New Roman" w:cs="Times New Roman"/>
                <w:sz w:val="22"/>
                <w:szCs w:val="22"/>
              </w:rPr>
              <w:t>0.04</w:t>
            </w:r>
          </w:p>
        </w:tc>
        <w:tc>
          <w:tcPr>
            <w:tcW w:w="1358" w:type="dxa"/>
            <w:vAlign w:val="center"/>
            <w:hideMark/>
          </w:tcPr>
          <w:p w14:paraId="1A242478" w14:textId="77777777" w:rsidR="008D45A9" w:rsidRPr="002E0607" w:rsidRDefault="008D45A9" w:rsidP="002E0607">
            <w:pPr>
              <w:pStyle w:val="NoSpacing"/>
              <w:jc w:val="center"/>
              <w:rPr>
                <w:rFonts w:ascii="Times New Roman" w:hAnsi="Times New Roman" w:cs="Times New Roman"/>
                <w:sz w:val="22"/>
                <w:szCs w:val="22"/>
              </w:rPr>
            </w:pPr>
            <w:r w:rsidRPr="002E0607">
              <w:rPr>
                <w:rFonts w:ascii="Times New Roman" w:hAnsi="Times New Roman" w:cs="Times New Roman"/>
                <w:sz w:val="22"/>
                <w:szCs w:val="22"/>
              </w:rPr>
              <w:t>0.45</w:t>
            </w:r>
          </w:p>
        </w:tc>
        <w:tc>
          <w:tcPr>
            <w:tcW w:w="1076" w:type="dxa"/>
            <w:vAlign w:val="center"/>
            <w:hideMark/>
          </w:tcPr>
          <w:p w14:paraId="7797E143" w14:textId="77777777" w:rsidR="008D45A9" w:rsidRPr="002E0607" w:rsidRDefault="008D45A9" w:rsidP="002E0607">
            <w:pPr>
              <w:pStyle w:val="NoSpacing"/>
              <w:jc w:val="center"/>
              <w:rPr>
                <w:rFonts w:ascii="Times New Roman" w:hAnsi="Times New Roman" w:cs="Times New Roman"/>
                <w:sz w:val="22"/>
                <w:szCs w:val="22"/>
              </w:rPr>
            </w:pPr>
            <w:r w:rsidRPr="002E0607">
              <w:rPr>
                <w:rFonts w:ascii="Times New Roman" w:hAnsi="Times New Roman" w:cs="Times New Roman"/>
                <w:sz w:val="22"/>
                <w:szCs w:val="22"/>
              </w:rPr>
              <w:t>0.49</w:t>
            </w:r>
          </w:p>
        </w:tc>
      </w:tr>
      <w:tr w:rsidR="008D45A9" w:rsidRPr="002E0607" w14:paraId="20C90A9F" w14:textId="77777777" w:rsidTr="002E0607">
        <w:trPr>
          <w:trHeight w:val="226"/>
        </w:trPr>
        <w:tc>
          <w:tcPr>
            <w:tcW w:w="5866" w:type="dxa"/>
            <w:vAlign w:val="center"/>
            <w:hideMark/>
          </w:tcPr>
          <w:p w14:paraId="4447B205" w14:textId="77777777" w:rsidR="008D45A9" w:rsidRPr="002E0607" w:rsidRDefault="008D45A9" w:rsidP="002E0607">
            <w:pPr>
              <w:pStyle w:val="NoSpacing"/>
              <w:rPr>
                <w:rFonts w:ascii="Times New Roman" w:hAnsi="Times New Roman" w:cs="Times New Roman"/>
                <w:sz w:val="22"/>
                <w:szCs w:val="22"/>
              </w:rPr>
            </w:pPr>
            <w:r w:rsidRPr="002E0607">
              <w:rPr>
                <w:rFonts w:ascii="Times New Roman" w:hAnsi="Times New Roman" w:cs="Times New Roman"/>
                <w:b/>
                <w:bCs/>
                <w:sz w:val="22"/>
                <w:szCs w:val="22"/>
              </w:rPr>
              <w:t>States formed as a result of Re-organisation of States</w:t>
            </w:r>
          </w:p>
        </w:tc>
        <w:tc>
          <w:tcPr>
            <w:tcW w:w="1445" w:type="dxa"/>
            <w:vAlign w:val="center"/>
            <w:hideMark/>
          </w:tcPr>
          <w:p w14:paraId="0D853C8A" w14:textId="77777777" w:rsidR="008D45A9" w:rsidRPr="002E0607" w:rsidRDefault="008D45A9" w:rsidP="002E0607">
            <w:pPr>
              <w:pStyle w:val="NoSpacing"/>
              <w:jc w:val="center"/>
              <w:rPr>
                <w:rFonts w:ascii="Times New Roman" w:hAnsi="Times New Roman" w:cs="Times New Roman"/>
                <w:sz w:val="22"/>
                <w:szCs w:val="22"/>
              </w:rPr>
            </w:pPr>
          </w:p>
        </w:tc>
        <w:tc>
          <w:tcPr>
            <w:tcW w:w="1358" w:type="dxa"/>
            <w:vAlign w:val="center"/>
            <w:hideMark/>
          </w:tcPr>
          <w:p w14:paraId="4B7041FD" w14:textId="77777777" w:rsidR="008D45A9" w:rsidRPr="002E0607" w:rsidRDefault="008D45A9" w:rsidP="002E0607">
            <w:pPr>
              <w:pStyle w:val="NoSpacing"/>
              <w:jc w:val="center"/>
              <w:rPr>
                <w:rFonts w:ascii="Times New Roman" w:hAnsi="Times New Roman" w:cs="Times New Roman"/>
                <w:sz w:val="22"/>
                <w:szCs w:val="22"/>
              </w:rPr>
            </w:pPr>
          </w:p>
        </w:tc>
        <w:tc>
          <w:tcPr>
            <w:tcW w:w="1076" w:type="dxa"/>
            <w:vAlign w:val="center"/>
            <w:hideMark/>
          </w:tcPr>
          <w:p w14:paraId="2CA0682B" w14:textId="77777777" w:rsidR="008D45A9" w:rsidRPr="002E0607" w:rsidRDefault="008D45A9" w:rsidP="002E0607">
            <w:pPr>
              <w:pStyle w:val="NoSpacing"/>
              <w:jc w:val="center"/>
              <w:rPr>
                <w:rFonts w:ascii="Times New Roman" w:hAnsi="Times New Roman" w:cs="Times New Roman"/>
                <w:sz w:val="22"/>
                <w:szCs w:val="22"/>
              </w:rPr>
            </w:pPr>
          </w:p>
        </w:tc>
      </w:tr>
      <w:tr w:rsidR="008D45A9" w:rsidRPr="002E0607" w14:paraId="32DECA4A" w14:textId="77777777" w:rsidTr="002E0607">
        <w:trPr>
          <w:trHeight w:val="226"/>
        </w:trPr>
        <w:tc>
          <w:tcPr>
            <w:tcW w:w="5866" w:type="dxa"/>
            <w:vAlign w:val="center"/>
            <w:hideMark/>
          </w:tcPr>
          <w:p w14:paraId="5BA936CC" w14:textId="77777777" w:rsidR="008D45A9" w:rsidRPr="002E0607" w:rsidRDefault="008D45A9" w:rsidP="002E0607">
            <w:pPr>
              <w:pStyle w:val="NoSpacing"/>
              <w:rPr>
                <w:rFonts w:ascii="Times New Roman" w:hAnsi="Times New Roman" w:cs="Times New Roman"/>
                <w:sz w:val="22"/>
                <w:szCs w:val="22"/>
              </w:rPr>
            </w:pPr>
            <w:r w:rsidRPr="002E0607">
              <w:rPr>
                <w:rFonts w:ascii="Times New Roman" w:hAnsi="Times New Roman" w:cs="Times New Roman"/>
                <w:sz w:val="22"/>
                <w:szCs w:val="22"/>
              </w:rPr>
              <w:t>Bihar</w:t>
            </w:r>
          </w:p>
        </w:tc>
        <w:tc>
          <w:tcPr>
            <w:tcW w:w="1445" w:type="dxa"/>
            <w:vAlign w:val="center"/>
            <w:hideMark/>
          </w:tcPr>
          <w:p w14:paraId="05A8236E" w14:textId="77777777" w:rsidR="008D45A9" w:rsidRPr="002E0607" w:rsidRDefault="008D45A9" w:rsidP="002E0607">
            <w:pPr>
              <w:pStyle w:val="NoSpacing"/>
              <w:jc w:val="center"/>
              <w:rPr>
                <w:rFonts w:ascii="Times New Roman" w:hAnsi="Times New Roman" w:cs="Times New Roman"/>
                <w:sz w:val="22"/>
                <w:szCs w:val="22"/>
              </w:rPr>
            </w:pPr>
            <w:r w:rsidRPr="002E0607">
              <w:rPr>
                <w:rFonts w:ascii="Times New Roman" w:hAnsi="Times New Roman" w:cs="Times New Roman"/>
                <w:sz w:val="22"/>
                <w:szCs w:val="22"/>
              </w:rPr>
              <w:t>3.96</w:t>
            </w:r>
          </w:p>
        </w:tc>
        <w:tc>
          <w:tcPr>
            <w:tcW w:w="1358" w:type="dxa"/>
            <w:vAlign w:val="center"/>
            <w:hideMark/>
          </w:tcPr>
          <w:p w14:paraId="1E63D4FB" w14:textId="77777777" w:rsidR="008D45A9" w:rsidRPr="002E0607" w:rsidRDefault="008D45A9" w:rsidP="002E0607">
            <w:pPr>
              <w:pStyle w:val="NoSpacing"/>
              <w:jc w:val="center"/>
              <w:rPr>
                <w:rFonts w:ascii="Times New Roman" w:hAnsi="Times New Roman" w:cs="Times New Roman"/>
                <w:sz w:val="22"/>
                <w:szCs w:val="22"/>
              </w:rPr>
            </w:pPr>
            <w:r w:rsidRPr="002E0607">
              <w:rPr>
                <w:rFonts w:ascii="Times New Roman" w:hAnsi="Times New Roman" w:cs="Times New Roman"/>
                <w:sz w:val="22"/>
                <w:szCs w:val="22"/>
              </w:rPr>
              <w:t>..</w:t>
            </w:r>
          </w:p>
        </w:tc>
        <w:tc>
          <w:tcPr>
            <w:tcW w:w="1076" w:type="dxa"/>
            <w:vAlign w:val="center"/>
            <w:hideMark/>
          </w:tcPr>
          <w:p w14:paraId="76EE667D" w14:textId="77777777" w:rsidR="008D45A9" w:rsidRPr="002E0607" w:rsidRDefault="008D45A9" w:rsidP="002E0607">
            <w:pPr>
              <w:pStyle w:val="NoSpacing"/>
              <w:jc w:val="center"/>
              <w:rPr>
                <w:rFonts w:ascii="Times New Roman" w:hAnsi="Times New Roman" w:cs="Times New Roman"/>
                <w:sz w:val="22"/>
                <w:szCs w:val="22"/>
              </w:rPr>
            </w:pPr>
            <w:r w:rsidRPr="002E0607">
              <w:rPr>
                <w:rFonts w:ascii="Times New Roman" w:hAnsi="Times New Roman" w:cs="Times New Roman"/>
                <w:sz w:val="22"/>
                <w:szCs w:val="22"/>
              </w:rPr>
              <w:t>3.96</w:t>
            </w:r>
          </w:p>
        </w:tc>
      </w:tr>
      <w:tr w:rsidR="008D45A9" w:rsidRPr="002E0607" w14:paraId="02FA4184" w14:textId="77777777" w:rsidTr="002E0607">
        <w:trPr>
          <w:trHeight w:val="238"/>
        </w:trPr>
        <w:tc>
          <w:tcPr>
            <w:tcW w:w="5866" w:type="dxa"/>
            <w:vAlign w:val="center"/>
            <w:hideMark/>
          </w:tcPr>
          <w:p w14:paraId="28033C8B" w14:textId="77777777" w:rsidR="008D45A9" w:rsidRPr="002E0607" w:rsidRDefault="008D45A9" w:rsidP="002E0607">
            <w:pPr>
              <w:pStyle w:val="NoSpacing"/>
              <w:rPr>
                <w:rFonts w:ascii="Times New Roman" w:hAnsi="Times New Roman" w:cs="Times New Roman"/>
                <w:sz w:val="22"/>
                <w:szCs w:val="22"/>
              </w:rPr>
            </w:pPr>
            <w:r w:rsidRPr="002E0607">
              <w:rPr>
                <w:rFonts w:ascii="Times New Roman" w:hAnsi="Times New Roman" w:cs="Times New Roman"/>
                <w:sz w:val="22"/>
                <w:szCs w:val="22"/>
              </w:rPr>
              <w:t>Bombay</w:t>
            </w:r>
          </w:p>
        </w:tc>
        <w:tc>
          <w:tcPr>
            <w:tcW w:w="1445" w:type="dxa"/>
            <w:vAlign w:val="center"/>
            <w:hideMark/>
          </w:tcPr>
          <w:p w14:paraId="1F367B29" w14:textId="77777777" w:rsidR="008D45A9" w:rsidRPr="002E0607" w:rsidRDefault="008D45A9" w:rsidP="002E0607">
            <w:pPr>
              <w:pStyle w:val="NoSpacing"/>
              <w:jc w:val="center"/>
              <w:rPr>
                <w:rFonts w:ascii="Times New Roman" w:hAnsi="Times New Roman" w:cs="Times New Roman"/>
                <w:sz w:val="22"/>
                <w:szCs w:val="22"/>
              </w:rPr>
            </w:pPr>
            <w:r w:rsidRPr="002E0607">
              <w:rPr>
                <w:rFonts w:ascii="Times New Roman" w:hAnsi="Times New Roman" w:cs="Times New Roman"/>
                <w:sz w:val="22"/>
                <w:szCs w:val="22"/>
              </w:rPr>
              <w:t>6.59</w:t>
            </w:r>
          </w:p>
        </w:tc>
        <w:tc>
          <w:tcPr>
            <w:tcW w:w="1358" w:type="dxa"/>
            <w:vAlign w:val="center"/>
            <w:hideMark/>
          </w:tcPr>
          <w:p w14:paraId="081FA57F" w14:textId="77777777" w:rsidR="008D45A9" w:rsidRPr="002E0607" w:rsidRDefault="008D45A9" w:rsidP="002E0607">
            <w:pPr>
              <w:pStyle w:val="NoSpacing"/>
              <w:jc w:val="center"/>
              <w:rPr>
                <w:rFonts w:ascii="Times New Roman" w:hAnsi="Times New Roman" w:cs="Times New Roman"/>
                <w:sz w:val="22"/>
                <w:szCs w:val="22"/>
              </w:rPr>
            </w:pPr>
            <w:r w:rsidRPr="002E0607">
              <w:rPr>
                <w:rFonts w:ascii="Times New Roman" w:hAnsi="Times New Roman" w:cs="Times New Roman"/>
                <w:sz w:val="22"/>
                <w:szCs w:val="22"/>
              </w:rPr>
              <w:t>..</w:t>
            </w:r>
          </w:p>
        </w:tc>
        <w:tc>
          <w:tcPr>
            <w:tcW w:w="1076" w:type="dxa"/>
            <w:vAlign w:val="center"/>
            <w:hideMark/>
          </w:tcPr>
          <w:p w14:paraId="411CA532" w14:textId="77777777" w:rsidR="008D45A9" w:rsidRPr="002E0607" w:rsidRDefault="008D45A9" w:rsidP="002E0607">
            <w:pPr>
              <w:pStyle w:val="NoSpacing"/>
              <w:jc w:val="center"/>
              <w:rPr>
                <w:rFonts w:ascii="Times New Roman" w:hAnsi="Times New Roman" w:cs="Times New Roman"/>
                <w:sz w:val="22"/>
                <w:szCs w:val="22"/>
              </w:rPr>
            </w:pPr>
            <w:r w:rsidRPr="002E0607">
              <w:rPr>
                <w:rFonts w:ascii="Times New Roman" w:hAnsi="Times New Roman" w:cs="Times New Roman"/>
                <w:sz w:val="22"/>
                <w:szCs w:val="22"/>
              </w:rPr>
              <w:t>6.59</w:t>
            </w:r>
          </w:p>
        </w:tc>
      </w:tr>
      <w:tr w:rsidR="008D45A9" w:rsidRPr="002E0607" w14:paraId="42DB20B8" w14:textId="77777777" w:rsidTr="002E0607">
        <w:trPr>
          <w:trHeight w:val="226"/>
        </w:trPr>
        <w:tc>
          <w:tcPr>
            <w:tcW w:w="5866" w:type="dxa"/>
            <w:vAlign w:val="center"/>
            <w:hideMark/>
          </w:tcPr>
          <w:p w14:paraId="55B009F7" w14:textId="77777777" w:rsidR="008D45A9" w:rsidRPr="002E0607" w:rsidRDefault="008D45A9" w:rsidP="002E0607">
            <w:pPr>
              <w:pStyle w:val="NoSpacing"/>
              <w:rPr>
                <w:rFonts w:ascii="Times New Roman" w:hAnsi="Times New Roman" w:cs="Times New Roman"/>
                <w:sz w:val="22"/>
                <w:szCs w:val="22"/>
              </w:rPr>
            </w:pPr>
            <w:r w:rsidRPr="002E0607">
              <w:rPr>
                <w:rFonts w:ascii="Times New Roman" w:hAnsi="Times New Roman" w:cs="Times New Roman"/>
                <w:sz w:val="22"/>
                <w:szCs w:val="22"/>
              </w:rPr>
              <w:t>Kerala</w:t>
            </w:r>
          </w:p>
        </w:tc>
        <w:tc>
          <w:tcPr>
            <w:tcW w:w="1445" w:type="dxa"/>
            <w:vAlign w:val="center"/>
            <w:hideMark/>
          </w:tcPr>
          <w:p w14:paraId="5D7B3E98" w14:textId="77777777" w:rsidR="008D45A9" w:rsidRPr="002E0607" w:rsidRDefault="008D45A9" w:rsidP="002E0607">
            <w:pPr>
              <w:pStyle w:val="NoSpacing"/>
              <w:jc w:val="center"/>
              <w:rPr>
                <w:rFonts w:ascii="Times New Roman" w:hAnsi="Times New Roman" w:cs="Times New Roman"/>
                <w:sz w:val="22"/>
                <w:szCs w:val="22"/>
              </w:rPr>
            </w:pPr>
            <w:r w:rsidRPr="002E0607">
              <w:rPr>
                <w:rFonts w:ascii="Times New Roman" w:hAnsi="Times New Roman" w:cs="Times New Roman"/>
                <w:sz w:val="22"/>
                <w:szCs w:val="22"/>
              </w:rPr>
              <w:t>1.25</w:t>
            </w:r>
          </w:p>
        </w:tc>
        <w:tc>
          <w:tcPr>
            <w:tcW w:w="1358" w:type="dxa"/>
            <w:vAlign w:val="center"/>
            <w:hideMark/>
          </w:tcPr>
          <w:p w14:paraId="5C1D3358" w14:textId="77777777" w:rsidR="008D45A9" w:rsidRPr="002E0607" w:rsidRDefault="008D45A9" w:rsidP="002E0607">
            <w:pPr>
              <w:pStyle w:val="NoSpacing"/>
              <w:jc w:val="center"/>
              <w:rPr>
                <w:rFonts w:ascii="Times New Roman" w:hAnsi="Times New Roman" w:cs="Times New Roman"/>
                <w:sz w:val="22"/>
                <w:szCs w:val="22"/>
              </w:rPr>
            </w:pPr>
            <w:r w:rsidRPr="002E0607">
              <w:rPr>
                <w:rFonts w:ascii="Times New Roman" w:hAnsi="Times New Roman" w:cs="Times New Roman"/>
                <w:sz w:val="22"/>
                <w:szCs w:val="22"/>
              </w:rPr>
              <w:t>..</w:t>
            </w:r>
          </w:p>
        </w:tc>
        <w:tc>
          <w:tcPr>
            <w:tcW w:w="1076" w:type="dxa"/>
            <w:vAlign w:val="center"/>
            <w:hideMark/>
          </w:tcPr>
          <w:p w14:paraId="6747A6E9" w14:textId="77777777" w:rsidR="008D45A9" w:rsidRPr="002E0607" w:rsidRDefault="008D45A9" w:rsidP="002E0607">
            <w:pPr>
              <w:pStyle w:val="NoSpacing"/>
              <w:jc w:val="center"/>
              <w:rPr>
                <w:rFonts w:ascii="Times New Roman" w:hAnsi="Times New Roman" w:cs="Times New Roman"/>
                <w:sz w:val="22"/>
                <w:szCs w:val="22"/>
              </w:rPr>
            </w:pPr>
            <w:r w:rsidRPr="002E0607">
              <w:rPr>
                <w:rFonts w:ascii="Times New Roman" w:hAnsi="Times New Roman" w:cs="Times New Roman"/>
                <w:sz w:val="22"/>
                <w:szCs w:val="22"/>
              </w:rPr>
              <w:t>1.25</w:t>
            </w:r>
          </w:p>
        </w:tc>
      </w:tr>
      <w:tr w:rsidR="008D45A9" w:rsidRPr="002E0607" w14:paraId="5A3333EA" w14:textId="77777777" w:rsidTr="002E0607">
        <w:trPr>
          <w:trHeight w:val="238"/>
        </w:trPr>
        <w:tc>
          <w:tcPr>
            <w:tcW w:w="5866" w:type="dxa"/>
            <w:vAlign w:val="center"/>
            <w:hideMark/>
          </w:tcPr>
          <w:p w14:paraId="6B831825" w14:textId="77777777" w:rsidR="008D45A9" w:rsidRPr="002E0607" w:rsidRDefault="008D45A9" w:rsidP="002E0607">
            <w:pPr>
              <w:pStyle w:val="NoSpacing"/>
              <w:rPr>
                <w:rFonts w:ascii="Times New Roman" w:hAnsi="Times New Roman" w:cs="Times New Roman"/>
                <w:sz w:val="22"/>
                <w:szCs w:val="22"/>
              </w:rPr>
            </w:pPr>
            <w:r w:rsidRPr="002E0607">
              <w:rPr>
                <w:rFonts w:ascii="Times New Roman" w:hAnsi="Times New Roman" w:cs="Times New Roman"/>
                <w:sz w:val="22"/>
                <w:szCs w:val="22"/>
              </w:rPr>
              <w:t>Madhya Pradesh</w:t>
            </w:r>
          </w:p>
        </w:tc>
        <w:tc>
          <w:tcPr>
            <w:tcW w:w="1445" w:type="dxa"/>
            <w:vAlign w:val="center"/>
            <w:hideMark/>
          </w:tcPr>
          <w:p w14:paraId="1F423376" w14:textId="77777777" w:rsidR="008D45A9" w:rsidRPr="002E0607" w:rsidRDefault="008D45A9" w:rsidP="002E0607">
            <w:pPr>
              <w:pStyle w:val="NoSpacing"/>
              <w:jc w:val="center"/>
              <w:rPr>
                <w:rFonts w:ascii="Times New Roman" w:hAnsi="Times New Roman" w:cs="Times New Roman"/>
                <w:sz w:val="22"/>
                <w:szCs w:val="22"/>
              </w:rPr>
            </w:pPr>
            <w:r w:rsidRPr="002E0607">
              <w:rPr>
                <w:rFonts w:ascii="Times New Roman" w:hAnsi="Times New Roman" w:cs="Times New Roman"/>
                <w:sz w:val="22"/>
                <w:szCs w:val="22"/>
              </w:rPr>
              <w:t>1.80</w:t>
            </w:r>
          </w:p>
        </w:tc>
        <w:tc>
          <w:tcPr>
            <w:tcW w:w="1358" w:type="dxa"/>
            <w:vAlign w:val="center"/>
            <w:hideMark/>
          </w:tcPr>
          <w:p w14:paraId="49BCFE9F" w14:textId="77777777" w:rsidR="008D45A9" w:rsidRPr="002E0607" w:rsidRDefault="008D45A9" w:rsidP="002E0607">
            <w:pPr>
              <w:pStyle w:val="NoSpacing"/>
              <w:jc w:val="center"/>
              <w:rPr>
                <w:rFonts w:ascii="Times New Roman" w:hAnsi="Times New Roman" w:cs="Times New Roman"/>
                <w:sz w:val="22"/>
                <w:szCs w:val="22"/>
              </w:rPr>
            </w:pPr>
            <w:r w:rsidRPr="002E0607">
              <w:rPr>
                <w:rFonts w:ascii="Times New Roman" w:hAnsi="Times New Roman" w:cs="Times New Roman"/>
                <w:sz w:val="22"/>
                <w:szCs w:val="22"/>
              </w:rPr>
              <w:t>..</w:t>
            </w:r>
          </w:p>
        </w:tc>
        <w:tc>
          <w:tcPr>
            <w:tcW w:w="1076" w:type="dxa"/>
            <w:vAlign w:val="center"/>
            <w:hideMark/>
          </w:tcPr>
          <w:p w14:paraId="728101E9" w14:textId="77777777" w:rsidR="008D45A9" w:rsidRPr="002E0607" w:rsidRDefault="008D45A9" w:rsidP="002E0607">
            <w:pPr>
              <w:pStyle w:val="NoSpacing"/>
              <w:jc w:val="center"/>
              <w:rPr>
                <w:rFonts w:ascii="Times New Roman" w:hAnsi="Times New Roman" w:cs="Times New Roman"/>
                <w:sz w:val="22"/>
                <w:szCs w:val="22"/>
              </w:rPr>
            </w:pPr>
            <w:r w:rsidRPr="002E0607">
              <w:rPr>
                <w:rFonts w:ascii="Times New Roman" w:hAnsi="Times New Roman" w:cs="Times New Roman"/>
                <w:sz w:val="22"/>
                <w:szCs w:val="22"/>
              </w:rPr>
              <w:t>1.80</w:t>
            </w:r>
          </w:p>
        </w:tc>
      </w:tr>
      <w:tr w:rsidR="008D45A9" w:rsidRPr="002E0607" w14:paraId="42762728" w14:textId="77777777" w:rsidTr="002E0607">
        <w:trPr>
          <w:trHeight w:val="226"/>
        </w:trPr>
        <w:tc>
          <w:tcPr>
            <w:tcW w:w="5866" w:type="dxa"/>
            <w:vAlign w:val="center"/>
            <w:hideMark/>
          </w:tcPr>
          <w:p w14:paraId="795B83FA" w14:textId="77777777" w:rsidR="008D45A9" w:rsidRPr="002E0607" w:rsidRDefault="008D45A9" w:rsidP="002E0607">
            <w:pPr>
              <w:pStyle w:val="NoSpacing"/>
              <w:rPr>
                <w:rFonts w:ascii="Times New Roman" w:hAnsi="Times New Roman" w:cs="Times New Roman"/>
                <w:sz w:val="22"/>
                <w:szCs w:val="22"/>
              </w:rPr>
            </w:pPr>
            <w:r w:rsidRPr="002E0607">
              <w:rPr>
                <w:rFonts w:ascii="Times New Roman" w:hAnsi="Times New Roman" w:cs="Times New Roman"/>
                <w:sz w:val="22"/>
                <w:szCs w:val="22"/>
              </w:rPr>
              <w:t>Madras</w:t>
            </w:r>
          </w:p>
        </w:tc>
        <w:tc>
          <w:tcPr>
            <w:tcW w:w="1445" w:type="dxa"/>
            <w:vAlign w:val="center"/>
            <w:hideMark/>
          </w:tcPr>
          <w:p w14:paraId="46E30435" w14:textId="77777777" w:rsidR="008D45A9" w:rsidRPr="002E0607" w:rsidRDefault="008D45A9" w:rsidP="002E0607">
            <w:pPr>
              <w:pStyle w:val="NoSpacing"/>
              <w:jc w:val="center"/>
              <w:rPr>
                <w:rFonts w:ascii="Times New Roman" w:hAnsi="Times New Roman" w:cs="Times New Roman"/>
                <w:sz w:val="22"/>
                <w:szCs w:val="22"/>
              </w:rPr>
            </w:pPr>
            <w:r w:rsidRPr="002E0607">
              <w:rPr>
                <w:rFonts w:ascii="Times New Roman" w:hAnsi="Times New Roman" w:cs="Times New Roman"/>
                <w:sz w:val="22"/>
                <w:szCs w:val="22"/>
              </w:rPr>
              <w:t>2.73</w:t>
            </w:r>
          </w:p>
        </w:tc>
        <w:tc>
          <w:tcPr>
            <w:tcW w:w="1358" w:type="dxa"/>
            <w:vAlign w:val="center"/>
            <w:hideMark/>
          </w:tcPr>
          <w:p w14:paraId="0E253ECC" w14:textId="77777777" w:rsidR="008D45A9" w:rsidRPr="002E0607" w:rsidRDefault="008D45A9" w:rsidP="002E0607">
            <w:pPr>
              <w:pStyle w:val="NoSpacing"/>
              <w:jc w:val="center"/>
              <w:rPr>
                <w:rFonts w:ascii="Times New Roman" w:hAnsi="Times New Roman" w:cs="Times New Roman"/>
                <w:sz w:val="22"/>
                <w:szCs w:val="22"/>
              </w:rPr>
            </w:pPr>
            <w:r w:rsidRPr="002E0607">
              <w:rPr>
                <w:rFonts w:ascii="Times New Roman" w:hAnsi="Times New Roman" w:cs="Times New Roman"/>
                <w:sz w:val="22"/>
                <w:szCs w:val="22"/>
              </w:rPr>
              <w:t>..</w:t>
            </w:r>
          </w:p>
        </w:tc>
        <w:tc>
          <w:tcPr>
            <w:tcW w:w="1076" w:type="dxa"/>
            <w:vAlign w:val="center"/>
            <w:hideMark/>
          </w:tcPr>
          <w:p w14:paraId="45E6CDE8" w14:textId="77777777" w:rsidR="008D45A9" w:rsidRPr="002E0607" w:rsidRDefault="008D45A9" w:rsidP="002E0607">
            <w:pPr>
              <w:pStyle w:val="NoSpacing"/>
              <w:jc w:val="center"/>
              <w:rPr>
                <w:rFonts w:ascii="Times New Roman" w:hAnsi="Times New Roman" w:cs="Times New Roman"/>
                <w:sz w:val="22"/>
                <w:szCs w:val="22"/>
              </w:rPr>
            </w:pPr>
            <w:r w:rsidRPr="002E0607">
              <w:rPr>
                <w:rFonts w:ascii="Times New Roman" w:hAnsi="Times New Roman" w:cs="Times New Roman"/>
                <w:sz w:val="22"/>
                <w:szCs w:val="22"/>
              </w:rPr>
              <w:t>2.73</w:t>
            </w:r>
          </w:p>
        </w:tc>
      </w:tr>
      <w:tr w:rsidR="008D45A9" w:rsidRPr="002E0607" w14:paraId="39380EAF" w14:textId="77777777" w:rsidTr="002E0607">
        <w:trPr>
          <w:trHeight w:val="226"/>
        </w:trPr>
        <w:tc>
          <w:tcPr>
            <w:tcW w:w="5866" w:type="dxa"/>
            <w:vAlign w:val="center"/>
            <w:hideMark/>
          </w:tcPr>
          <w:p w14:paraId="49C8F642" w14:textId="77777777" w:rsidR="008D45A9" w:rsidRPr="002E0607" w:rsidRDefault="008D45A9" w:rsidP="002E0607">
            <w:pPr>
              <w:pStyle w:val="NoSpacing"/>
              <w:rPr>
                <w:rFonts w:ascii="Times New Roman" w:hAnsi="Times New Roman" w:cs="Times New Roman"/>
                <w:sz w:val="22"/>
                <w:szCs w:val="22"/>
              </w:rPr>
            </w:pPr>
            <w:r w:rsidRPr="002E0607">
              <w:rPr>
                <w:rFonts w:ascii="Times New Roman" w:hAnsi="Times New Roman" w:cs="Times New Roman"/>
                <w:sz w:val="22"/>
                <w:szCs w:val="22"/>
              </w:rPr>
              <w:t>Mysore</w:t>
            </w:r>
          </w:p>
        </w:tc>
        <w:tc>
          <w:tcPr>
            <w:tcW w:w="1445" w:type="dxa"/>
            <w:vAlign w:val="center"/>
            <w:hideMark/>
          </w:tcPr>
          <w:p w14:paraId="3D9C1BD1" w14:textId="77777777" w:rsidR="008D45A9" w:rsidRPr="002E0607" w:rsidRDefault="008D45A9" w:rsidP="002E0607">
            <w:pPr>
              <w:pStyle w:val="NoSpacing"/>
              <w:jc w:val="center"/>
              <w:rPr>
                <w:rFonts w:ascii="Times New Roman" w:hAnsi="Times New Roman" w:cs="Times New Roman"/>
                <w:sz w:val="22"/>
                <w:szCs w:val="22"/>
              </w:rPr>
            </w:pPr>
            <w:r w:rsidRPr="002E0607">
              <w:rPr>
                <w:rFonts w:ascii="Times New Roman" w:hAnsi="Times New Roman" w:cs="Times New Roman"/>
                <w:sz w:val="22"/>
                <w:szCs w:val="22"/>
              </w:rPr>
              <w:t>1.96</w:t>
            </w:r>
          </w:p>
        </w:tc>
        <w:tc>
          <w:tcPr>
            <w:tcW w:w="1358" w:type="dxa"/>
            <w:vAlign w:val="center"/>
            <w:hideMark/>
          </w:tcPr>
          <w:p w14:paraId="28E3F299" w14:textId="77777777" w:rsidR="008D45A9" w:rsidRPr="002E0607" w:rsidRDefault="008D45A9" w:rsidP="002E0607">
            <w:pPr>
              <w:pStyle w:val="NoSpacing"/>
              <w:jc w:val="center"/>
              <w:rPr>
                <w:rFonts w:ascii="Times New Roman" w:hAnsi="Times New Roman" w:cs="Times New Roman"/>
                <w:sz w:val="22"/>
                <w:szCs w:val="22"/>
              </w:rPr>
            </w:pPr>
            <w:r w:rsidRPr="002E0607">
              <w:rPr>
                <w:rFonts w:ascii="Times New Roman" w:hAnsi="Times New Roman" w:cs="Times New Roman"/>
                <w:sz w:val="22"/>
                <w:szCs w:val="22"/>
              </w:rPr>
              <w:t>..</w:t>
            </w:r>
          </w:p>
        </w:tc>
        <w:tc>
          <w:tcPr>
            <w:tcW w:w="1076" w:type="dxa"/>
            <w:vAlign w:val="center"/>
            <w:hideMark/>
          </w:tcPr>
          <w:p w14:paraId="4BDEB0F9" w14:textId="77777777" w:rsidR="008D45A9" w:rsidRPr="002E0607" w:rsidRDefault="008D45A9" w:rsidP="002E0607">
            <w:pPr>
              <w:pStyle w:val="NoSpacing"/>
              <w:jc w:val="center"/>
              <w:rPr>
                <w:rFonts w:ascii="Times New Roman" w:hAnsi="Times New Roman" w:cs="Times New Roman"/>
                <w:sz w:val="22"/>
                <w:szCs w:val="22"/>
              </w:rPr>
            </w:pPr>
            <w:r w:rsidRPr="002E0607">
              <w:rPr>
                <w:rFonts w:ascii="Times New Roman" w:hAnsi="Times New Roman" w:cs="Times New Roman"/>
                <w:sz w:val="22"/>
                <w:szCs w:val="22"/>
              </w:rPr>
              <w:t>1.96</w:t>
            </w:r>
          </w:p>
        </w:tc>
      </w:tr>
      <w:tr w:rsidR="008D45A9" w:rsidRPr="002E0607" w14:paraId="5F599ADD" w14:textId="77777777" w:rsidTr="002E0607">
        <w:trPr>
          <w:trHeight w:val="238"/>
        </w:trPr>
        <w:tc>
          <w:tcPr>
            <w:tcW w:w="5866" w:type="dxa"/>
            <w:vAlign w:val="center"/>
            <w:hideMark/>
          </w:tcPr>
          <w:p w14:paraId="36981B54" w14:textId="77777777" w:rsidR="008D45A9" w:rsidRPr="002E0607" w:rsidRDefault="008D45A9" w:rsidP="002E0607">
            <w:pPr>
              <w:pStyle w:val="NoSpacing"/>
              <w:rPr>
                <w:rFonts w:ascii="Times New Roman" w:hAnsi="Times New Roman" w:cs="Times New Roman"/>
                <w:sz w:val="22"/>
                <w:szCs w:val="22"/>
              </w:rPr>
            </w:pPr>
            <w:r w:rsidRPr="002E0607">
              <w:rPr>
                <w:rFonts w:ascii="Times New Roman" w:hAnsi="Times New Roman" w:cs="Times New Roman"/>
                <w:sz w:val="22"/>
                <w:szCs w:val="22"/>
              </w:rPr>
              <w:t>Punjab</w:t>
            </w:r>
          </w:p>
        </w:tc>
        <w:tc>
          <w:tcPr>
            <w:tcW w:w="1445" w:type="dxa"/>
            <w:vAlign w:val="center"/>
            <w:hideMark/>
          </w:tcPr>
          <w:p w14:paraId="045D317F" w14:textId="77777777" w:rsidR="008D45A9" w:rsidRPr="002E0607" w:rsidRDefault="008D45A9" w:rsidP="002E0607">
            <w:pPr>
              <w:pStyle w:val="NoSpacing"/>
              <w:jc w:val="center"/>
              <w:rPr>
                <w:rFonts w:ascii="Times New Roman" w:hAnsi="Times New Roman" w:cs="Times New Roman"/>
                <w:sz w:val="22"/>
                <w:szCs w:val="22"/>
              </w:rPr>
            </w:pPr>
            <w:r w:rsidRPr="002E0607">
              <w:rPr>
                <w:rFonts w:ascii="Times New Roman" w:hAnsi="Times New Roman" w:cs="Times New Roman"/>
                <w:sz w:val="22"/>
                <w:szCs w:val="22"/>
              </w:rPr>
              <w:t>1.63</w:t>
            </w:r>
          </w:p>
        </w:tc>
        <w:tc>
          <w:tcPr>
            <w:tcW w:w="1358" w:type="dxa"/>
            <w:vAlign w:val="center"/>
            <w:hideMark/>
          </w:tcPr>
          <w:p w14:paraId="06408FA9" w14:textId="77777777" w:rsidR="008D45A9" w:rsidRPr="002E0607" w:rsidRDefault="008D45A9" w:rsidP="002E0607">
            <w:pPr>
              <w:pStyle w:val="NoSpacing"/>
              <w:jc w:val="center"/>
              <w:rPr>
                <w:rFonts w:ascii="Times New Roman" w:hAnsi="Times New Roman" w:cs="Times New Roman"/>
                <w:sz w:val="22"/>
                <w:szCs w:val="22"/>
              </w:rPr>
            </w:pPr>
            <w:r w:rsidRPr="002E0607">
              <w:rPr>
                <w:rFonts w:ascii="Times New Roman" w:hAnsi="Times New Roman" w:cs="Times New Roman"/>
                <w:sz w:val="22"/>
                <w:szCs w:val="22"/>
              </w:rPr>
              <w:t>..</w:t>
            </w:r>
          </w:p>
        </w:tc>
        <w:tc>
          <w:tcPr>
            <w:tcW w:w="1076" w:type="dxa"/>
            <w:vAlign w:val="center"/>
            <w:hideMark/>
          </w:tcPr>
          <w:p w14:paraId="75D3F48C" w14:textId="77777777" w:rsidR="008D45A9" w:rsidRPr="002E0607" w:rsidRDefault="008D45A9" w:rsidP="002E0607">
            <w:pPr>
              <w:pStyle w:val="NoSpacing"/>
              <w:jc w:val="center"/>
              <w:rPr>
                <w:rFonts w:ascii="Times New Roman" w:hAnsi="Times New Roman" w:cs="Times New Roman"/>
                <w:sz w:val="22"/>
                <w:szCs w:val="22"/>
              </w:rPr>
            </w:pPr>
            <w:r w:rsidRPr="002E0607">
              <w:rPr>
                <w:rFonts w:ascii="Times New Roman" w:hAnsi="Times New Roman" w:cs="Times New Roman"/>
                <w:sz w:val="22"/>
                <w:szCs w:val="22"/>
              </w:rPr>
              <w:t>1.63</w:t>
            </w:r>
          </w:p>
        </w:tc>
      </w:tr>
      <w:tr w:rsidR="008D45A9" w:rsidRPr="002E0607" w14:paraId="51462B6D" w14:textId="77777777" w:rsidTr="002E0607">
        <w:trPr>
          <w:trHeight w:val="226"/>
        </w:trPr>
        <w:tc>
          <w:tcPr>
            <w:tcW w:w="5866" w:type="dxa"/>
            <w:vAlign w:val="center"/>
            <w:hideMark/>
          </w:tcPr>
          <w:p w14:paraId="0B9701CE" w14:textId="77777777" w:rsidR="008D45A9" w:rsidRPr="002E0607" w:rsidRDefault="008D45A9" w:rsidP="002E0607">
            <w:pPr>
              <w:pStyle w:val="NoSpacing"/>
              <w:rPr>
                <w:rFonts w:ascii="Times New Roman" w:hAnsi="Times New Roman" w:cs="Times New Roman"/>
                <w:sz w:val="22"/>
                <w:szCs w:val="22"/>
              </w:rPr>
            </w:pPr>
            <w:r w:rsidRPr="002E0607">
              <w:rPr>
                <w:rFonts w:ascii="Times New Roman" w:hAnsi="Times New Roman" w:cs="Times New Roman"/>
                <w:sz w:val="22"/>
                <w:szCs w:val="22"/>
              </w:rPr>
              <w:t>Rajasthan</w:t>
            </w:r>
          </w:p>
        </w:tc>
        <w:tc>
          <w:tcPr>
            <w:tcW w:w="1445" w:type="dxa"/>
            <w:vAlign w:val="center"/>
            <w:hideMark/>
          </w:tcPr>
          <w:p w14:paraId="3B2CF66E" w14:textId="77777777" w:rsidR="008D45A9" w:rsidRPr="002E0607" w:rsidRDefault="008D45A9" w:rsidP="002E0607">
            <w:pPr>
              <w:pStyle w:val="NoSpacing"/>
              <w:jc w:val="center"/>
              <w:rPr>
                <w:rFonts w:ascii="Times New Roman" w:hAnsi="Times New Roman" w:cs="Times New Roman"/>
                <w:sz w:val="22"/>
                <w:szCs w:val="22"/>
              </w:rPr>
            </w:pPr>
            <w:r w:rsidRPr="002E0607">
              <w:rPr>
                <w:rFonts w:ascii="Times New Roman" w:hAnsi="Times New Roman" w:cs="Times New Roman"/>
                <w:sz w:val="22"/>
                <w:szCs w:val="22"/>
              </w:rPr>
              <w:t>1.24</w:t>
            </w:r>
          </w:p>
        </w:tc>
        <w:tc>
          <w:tcPr>
            <w:tcW w:w="1358" w:type="dxa"/>
            <w:vAlign w:val="center"/>
            <w:hideMark/>
          </w:tcPr>
          <w:p w14:paraId="46F6B573" w14:textId="77777777" w:rsidR="008D45A9" w:rsidRPr="002E0607" w:rsidRDefault="008D45A9" w:rsidP="002E0607">
            <w:pPr>
              <w:pStyle w:val="NoSpacing"/>
              <w:jc w:val="center"/>
              <w:rPr>
                <w:rFonts w:ascii="Times New Roman" w:hAnsi="Times New Roman" w:cs="Times New Roman"/>
                <w:sz w:val="22"/>
                <w:szCs w:val="22"/>
              </w:rPr>
            </w:pPr>
            <w:r w:rsidRPr="002E0607">
              <w:rPr>
                <w:rFonts w:ascii="Times New Roman" w:hAnsi="Times New Roman" w:cs="Times New Roman"/>
                <w:sz w:val="22"/>
                <w:szCs w:val="22"/>
              </w:rPr>
              <w:t>..</w:t>
            </w:r>
          </w:p>
        </w:tc>
        <w:tc>
          <w:tcPr>
            <w:tcW w:w="1076" w:type="dxa"/>
            <w:vAlign w:val="center"/>
            <w:hideMark/>
          </w:tcPr>
          <w:p w14:paraId="019BCE4E" w14:textId="77777777" w:rsidR="008D45A9" w:rsidRPr="002E0607" w:rsidRDefault="008D45A9" w:rsidP="002E0607">
            <w:pPr>
              <w:pStyle w:val="NoSpacing"/>
              <w:jc w:val="center"/>
              <w:rPr>
                <w:rFonts w:ascii="Times New Roman" w:hAnsi="Times New Roman" w:cs="Times New Roman"/>
                <w:sz w:val="22"/>
                <w:szCs w:val="22"/>
              </w:rPr>
            </w:pPr>
            <w:r w:rsidRPr="002E0607">
              <w:rPr>
                <w:rFonts w:ascii="Times New Roman" w:hAnsi="Times New Roman" w:cs="Times New Roman"/>
                <w:sz w:val="22"/>
                <w:szCs w:val="22"/>
              </w:rPr>
              <w:t>1.24</w:t>
            </w:r>
          </w:p>
        </w:tc>
      </w:tr>
      <w:tr w:rsidR="008D45A9" w:rsidRPr="002E0607" w14:paraId="7520DB6C" w14:textId="77777777" w:rsidTr="002E0607">
        <w:trPr>
          <w:trHeight w:val="226"/>
        </w:trPr>
        <w:tc>
          <w:tcPr>
            <w:tcW w:w="5866" w:type="dxa"/>
            <w:vAlign w:val="center"/>
            <w:hideMark/>
          </w:tcPr>
          <w:p w14:paraId="0BFCCB12" w14:textId="77777777" w:rsidR="008D45A9" w:rsidRPr="002E0607" w:rsidRDefault="008D45A9" w:rsidP="002E0607">
            <w:pPr>
              <w:pStyle w:val="NoSpacing"/>
              <w:rPr>
                <w:rFonts w:ascii="Times New Roman" w:hAnsi="Times New Roman" w:cs="Times New Roman"/>
                <w:sz w:val="22"/>
                <w:szCs w:val="22"/>
              </w:rPr>
            </w:pPr>
            <w:r w:rsidRPr="002E0607">
              <w:rPr>
                <w:rFonts w:ascii="Times New Roman" w:hAnsi="Times New Roman" w:cs="Times New Roman"/>
                <w:sz w:val="22"/>
                <w:szCs w:val="22"/>
              </w:rPr>
              <w:t>Ajmer</w:t>
            </w:r>
          </w:p>
        </w:tc>
        <w:tc>
          <w:tcPr>
            <w:tcW w:w="1445" w:type="dxa"/>
            <w:vAlign w:val="center"/>
            <w:hideMark/>
          </w:tcPr>
          <w:p w14:paraId="7C0721A4" w14:textId="77777777" w:rsidR="008D45A9" w:rsidRPr="002E0607" w:rsidRDefault="008D45A9" w:rsidP="002E0607">
            <w:pPr>
              <w:pStyle w:val="NoSpacing"/>
              <w:jc w:val="center"/>
              <w:rPr>
                <w:rFonts w:ascii="Times New Roman" w:hAnsi="Times New Roman" w:cs="Times New Roman"/>
                <w:sz w:val="22"/>
                <w:szCs w:val="22"/>
              </w:rPr>
            </w:pPr>
            <w:r w:rsidRPr="002E0607">
              <w:rPr>
                <w:rFonts w:ascii="Times New Roman" w:hAnsi="Times New Roman" w:cs="Times New Roman"/>
                <w:sz w:val="22"/>
                <w:szCs w:val="22"/>
              </w:rPr>
              <w:t>..</w:t>
            </w:r>
          </w:p>
        </w:tc>
        <w:tc>
          <w:tcPr>
            <w:tcW w:w="1358" w:type="dxa"/>
            <w:vAlign w:val="center"/>
            <w:hideMark/>
          </w:tcPr>
          <w:p w14:paraId="38A281F2" w14:textId="77777777" w:rsidR="008D45A9" w:rsidRPr="002E0607" w:rsidRDefault="008D45A9" w:rsidP="002E0607">
            <w:pPr>
              <w:pStyle w:val="NoSpacing"/>
              <w:jc w:val="center"/>
              <w:rPr>
                <w:rFonts w:ascii="Times New Roman" w:hAnsi="Times New Roman" w:cs="Times New Roman"/>
                <w:sz w:val="22"/>
                <w:szCs w:val="22"/>
              </w:rPr>
            </w:pPr>
            <w:r w:rsidRPr="002E0607">
              <w:rPr>
                <w:rFonts w:ascii="Times New Roman" w:hAnsi="Times New Roman" w:cs="Times New Roman"/>
                <w:sz w:val="22"/>
                <w:szCs w:val="22"/>
              </w:rPr>
              <w:t>..</w:t>
            </w:r>
          </w:p>
        </w:tc>
        <w:tc>
          <w:tcPr>
            <w:tcW w:w="1076" w:type="dxa"/>
            <w:vAlign w:val="center"/>
            <w:hideMark/>
          </w:tcPr>
          <w:p w14:paraId="4D5FF402" w14:textId="77777777" w:rsidR="008D45A9" w:rsidRPr="002E0607" w:rsidRDefault="008D45A9" w:rsidP="002E0607">
            <w:pPr>
              <w:pStyle w:val="NoSpacing"/>
              <w:jc w:val="center"/>
              <w:rPr>
                <w:rFonts w:ascii="Times New Roman" w:hAnsi="Times New Roman" w:cs="Times New Roman"/>
                <w:sz w:val="22"/>
                <w:szCs w:val="22"/>
              </w:rPr>
            </w:pPr>
            <w:r w:rsidRPr="002E0607">
              <w:rPr>
                <w:rFonts w:ascii="Times New Roman" w:hAnsi="Times New Roman" w:cs="Times New Roman"/>
                <w:sz w:val="22"/>
                <w:szCs w:val="22"/>
              </w:rPr>
              <w:t>..</w:t>
            </w:r>
          </w:p>
        </w:tc>
      </w:tr>
      <w:tr w:rsidR="008D45A9" w:rsidRPr="002E0607" w14:paraId="06351766" w14:textId="77777777" w:rsidTr="002E0607">
        <w:trPr>
          <w:trHeight w:val="238"/>
        </w:trPr>
        <w:tc>
          <w:tcPr>
            <w:tcW w:w="5866" w:type="dxa"/>
            <w:vAlign w:val="center"/>
            <w:hideMark/>
          </w:tcPr>
          <w:p w14:paraId="088EB141" w14:textId="77777777" w:rsidR="008D45A9" w:rsidRPr="002E0607" w:rsidRDefault="008D45A9" w:rsidP="002E0607">
            <w:pPr>
              <w:pStyle w:val="NoSpacing"/>
              <w:rPr>
                <w:rFonts w:ascii="Times New Roman" w:hAnsi="Times New Roman" w:cs="Times New Roman"/>
                <w:sz w:val="22"/>
                <w:szCs w:val="22"/>
              </w:rPr>
            </w:pPr>
            <w:r w:rsidRPr="002E0607">
              <w:rPr>
                <w:rFonts w:ascii="Times New Roman" w:hAnsi="Times New Roman" w:cs="Times New Roman"/>
                <w:sz w:val="22"/>
                <w:szCs w:val="22"/>
              </w:rPr>
              <w:t>Bhopal</w:t>
            </w:r>
          </w:p>
        </w:tc>
        <w:tc>
          <w:tcPr>
            <w:tcW w:w="1445" w:type="dxa"/>
            <w:vAlign w:val="center"/>
            <w:hideMark/>
          </w:tcPr>
          <w:p w14:paraId="6532B732" w14:textId="77777777" w:rsidR="008D45A9" w:rsidRPr="002E0607" w:rsidRDefault="008D45A9" w:rsidP="002E0607">
            <w:pPr>
              <w:pStyle w:val="NoSpacing"/>
              <w:jc w:val="center"/>
              <w:rPr>
                <w:rFonts w:ascii="Times New Roman" w:hAnsi="Times New Roman" w:cs="Times New Roman"/>
                <w:sz w:val="22"/>
                <w:szCs w:val="22"/>
              </w:rPr>
            </w:pPr>
            <w:r w:rsidRPr="002E0607">
              <w:rPr>
                <w:rFonts w:ascii="Times New Roman" w:hAnsi="Times New Roman" w:cs="Times New Roman"/>
                <w:sz w:val="22"/>
                <w:szCs w:val="22"/>
              </w:rPr>
              <w:t>..</w:t>
            </w:r>
          </w:p>
        </w:tc>
        <w:tc>
          <w:tcPr>
            <w:tcW w:w="1358" w:type="dxa"/>
            <w:vAlign w:val="center"/>
            <w:hideMark/>
          </w:tcPr>
          <w:p w14:paraId="65AAD5EC" w14:textId="77777777" w:rsidR="008D45A9" w:rsidRPr="002E0607" w:rsidRDefault="008D45A9" w:rsidP="002E0607">
            <w:pPr>
              <w:pStyle w:val="NoSpacing"/>
              <w:jc w:val="center"/>
              <w:rPr>
                <w:rFonts w:ascii="Times New Roman" w:hAnsi="Times New Roman" w:cs="Times New Roman"/>
                <w:sz w:val="22"/>
                <w:szCs w:val="22"/>
              </w:rPr>
            </w:pPr>
            <w:r w:rsidRPr="002E0607">
              <w:rPr>
                <w:rFonts w:ascii="Times New Roman" w:hAnsi="Times New Roman" w:cs="Times New Roman"/>
                <w:sz w:val="22"/>
                <w:szCs w:val="22"/>
              </w:rPr>
              <w:t>..</w:t>
            </w:r>
          </w:p>
        </w:tc>
        <w:tc>
          <w:tcPr>
            <w:tcW w:w="1076" w:type="dxa"/>
            <w:vAlign w:val="center"/>
            <w:hideMark/>
          </w:tcPr>
          <w:p w14:paraId="65DDB9FD" w14:textId="77777777" w:rsidR="008D45A9" w:rsidRPr="002E0607" w:rsidRDefault="008D45A9" w:rsidP="002E0607">
            <w:pPr>
              <w:pStyle w:val="NoSpacing"/>
              <w:jc w:val="center"/>
              <w:rPr>
                <w:rFonts w:ascii="Times New Roman" w:hAnsi="Times New Roman" w:cs="Times New Roman"/>
                <w:sz w:val="22"/>
                <w:szCs w:val="22"/>
              </w:rPr>
            </w:pPr>
            <w:r w:rsidRPr="002E0607">
              <w:rPr>
                <w:rFonts w:ascii="Times New Roman" w:hAnsi="Times New Roman" w:cs="Times New Roman"/>
                <w:sz w:val="22"/>
                <w:szCs w:val="22"/>
              </w:rPr>
              <w:t>..</w:t>
            </w:r>
          </w:p>
        </w:tc>
      </w:tr>
      <w:tr w:rsidR="008D45A9" w:rsidRPr="002E0607" w14:paraId="00F4237E" w14:textId="77777777" w:rsidTr="002E0607">
        <w:trPr>
          <w:trHeight w:val="226"/>
        </w:trPr>
        <w:tc>
          <w:tcPr>
            <w:tcW w:w="5866" w:type="dxa"/>
            <w:vAlign w:val="center"/>
            <w:hideMark/>
          </w:tcPr>
          <w:p w14:paraId="3DCF5A87" w14:textId="77777777" w:rsidR="008D45A9" w:rsidRPr="002E0607" w:rsidRDefault="008D45A9" w:rsidP="002E0607">
            <w:pPr>
              <w:pStyle w:val="NoSpacing"/>
              <w:rPr>
                <w:rFonts w:ascii="Times New Roman" w:hAnsi="Times New Roman" w:cs="Times New Roman"/>
                <w:sz w:val="22"/>
                <w:szCs w:val="22"/>
              </w:rPr>
            </w:pPr>
            <w:r w:rsidRPr="002E0607">
              <w:rPr>
                <w:rFonts w:ascii="Times New Roman" w:hAnsi="Times New Roman" w:cs="Times New Roman"/>
                <w:sz w:val="22"/>
                <w:szCs w:val="22"/>
              </w:rPr>
              <w:t>Coorg</w:t>
            </w:r>
          </w:p>
        </w:tc>
        <w:tc>
          <w:tcPr>
            <w:tcW w:w="1445" w:type="dxa"/>
            <w:vAlign w:val="center"/>
            <w:hideMark/>
          </w:tcPr>
          <w:p w14:paraId="56D0C8E7" w14:textId="77777777" w:rsidR="008D45A9" w:rsidRPr="002E0607" w:rsidRDefault="008D45A9" w:rsidP="002E0607">
            <w:pPr>
              <w:pStyle w:val="NoSpacing"/>
              <w:jc w:val="center"/>
              <w:rPr>
                <w:rFonts w:ascii="Times New Roman" w:hAnsi="Times New Roman" w:cs="Times New Roman"/>
                <w:sz w:val="22"/>
                <w:szCs w:val="22"/>
              </w:rPr>
            </w:pPr>
            <w:r w:rsidRPr="002E0607">
              <w:rPr>
                <w:rFonts w:ascii="Times New Roman" w:hAnsi="Times New Roman" w:cs="Times New Roman"/>
                <w:sz w:val="22"/>
                <w:szCs w:val="22"/>
              </w:rPr>
              <w:t>..</w:t>
            </w:r>
          </w:p>
        </w:tc>
        <w:tc>
          <w:tcPr>
            <w:tcW w:w="1358" w:type="dxa"/>
            <w:vAlign w:val="center"/>
            <w:hideMark/>
          </w:tcPr>
          <w:p w14:paraId="22B83A49" w14:textId="77777777" w:rsidR="008D45A9" w:rsidRPr="002E0607" w:rsidRDefault="008D45A9" w:rsidP="002E0607">
            <w:pPr>
              <w:pStyle w:val="NoSpacing"/>
              <w:jc w:val="center"/>
              <w:rPr>
                <w:rFonts w:ascii="Times New Roman" w:hAnsi="Times New Roman" w:cs="Times New Roman"/>
                <w:sz w:val="22"/>
                <w:szCs w:val="22"/>
              </w:rPr>
            </w:pPr>
            <w:r w:rsidRPr="002E0607">
              <w:rPr>
                <w:rFonts w:ascii="Times New Roman" w:hAnsi="Times New Roman" w:cs="Times New Roman"/>
                <w:sz w:val="22"/>
                <w:szCs w:val="22"/>
              </w:rPr>
              <w:t>..</w:t>
            </w:r>
          </w:p>
        </w:tc>
        <w:tc>
          <w:tcPr>
            <w:tcW w:w="1076" w:type="dxa"/>
            <w:vAlign w:val="center"/>
            <w:hideMark/>
          </w:tcPr>
          <w:p w14:paraId="10A0B95F" w14:textId="77777777" w:rsidR="008D45A9" w:rsidRPr="002E0607" w:rsidRDefault="008D45A9" w:rsidP="002E0607">
            <w:pPr>
              <w:pStyle w:val="NoSpacing"/>
              <w:jc w:val="center"/>
              <w:rPr>
                <w:rFonts w:ascii="Times New Roman" w:hAnsi="Times New Roman" w:cs="Times New Roman"/>
                <w:sz w:val="22"/>
                <w:szCs w:val="22"/>
              </w:rPr>
            </w:pPr>
            <w:r w:rsidRPr="002E0607">
              <w:rPr>
                <w:rFonts w:ascii="Times New Roman" w:hAnsi="Times New Roman" w:cs="Times New Roman"/>
                <w:sz w:val="22"/>
                <w:szCs w:val="22"/>
              </w:rPr>
              <w:t>..</w:t>
            </w:r>
          </w:p>
        </w:tc>
      </w:tr>
      <w:tr w:rsidR="008D45A9" w:rsidRPr="002E0607" w14:paraId="62BBD361" w14:textId="77777777" w:rsidTr="002E0607">
        <w:trPr>
          <w:trHeight w:val="238"/>
        </w:trPr>
        <w:tc>
          <w:tcPr>
            <w:tcW w:w="5866" w:type="dxa"/>
            <w:vAlign w:val="center"/>
            <w:hideMark/>
          </w:tcPr>
          <w:p w14:paraId="3102522B" w14:textId="77777777" w:rsidR="008D45A9" w:rsidRPr="002E0607" w:rsidRDefault="008D45A9" w:rsidP="002E0607">
            <w:pPr>
              <w:pStyle w:val="NoSpacing"/>
              <w:rPr>
                <w:rFonts w:ascii="Times New Roman" w:hAnsi="Times New Roman" w:cs="Times New Roman"/>
                <w:sz w:val="22"/>
                <w:szCs w:val="22"/>
              </w:rPr>
            </w:pPr>
            <w:r w:rsidRPr="002E0607">
              <w:rPr>
                <w:rFonts w:ascii="Times New Roman" w:hAnsi="Times New Roman" w:cs="Times New Roman"/>
                <w:sz w:val="22"/>
                <w:szCs w:val="22"/>
              </w:rPr>
              <w:t>Himachal Pradesh</w:t>
            </w:r>
          </w:p>
        </w:tc>
        <w:tc>
          <w:tcPr>
            <w:tcW w:w="1445" w:type="dxa"/>
            <w:vAlign w:val="center"/>
            <w:hideMark/>
          </w:tcPr>
          <w:p w14:paraId="41171AB5" w14:textId="77777777" w:rsidR="008D45A9" w:rsidRPr="002E0607" w:rsidRDefault="008D45A9" w:rsidP="002E0607">
            <w:pPr>
              <w:pStyle w:val="NoSpacing"/>
              <w:jc w:val="center"/>
              <w:rPr>
                <w:rFonts w:ascii="Times New Roman" w:hAnsi="Times New Roman" w:cs="Times New Roman"/>
                <w:sz w:val="22"/>
                <w:szCs w:val="22"/>
              </w:rPr>
            </w:pPr>
            <w:r w:rsidRPr="002E0607">
              <w:rPr>
                <w:rFonts w:ascii="Times New Roman" w:hAnsi="Times New Roman" w:cs="Times New Roman"/>
                <w:sz w:val="22"/>
                <w:szCs w:val="22"/>
              </w:rPr>
              <w:t>..</w:t>
            </w:r>
          </w:p>
        </w:tc>
        <w:tc>
          <w:tcPr>
            <w:tcW w:w="1358" w:type="dxa"/>
            <w:vAlign w:val="center"/>
            <w:hideMark/>
          </w:tcPr>
          <w:p w14:paraId="2E6863FD" w14:textId="77777777" w:rsidR="008D45A9" w:rsidRPr="002E0607" w:rsidRDefault="008D45A9" w:rsidP="002E0607">
            <w:pPr>
              <w:pStyle w:val="NoSpacing"/>
              <w:jc w:val="center"/>
              <w:rPr>
                <w:rFonts w:ascii="Times New Roman" w:hAnsi="Times New Roman" w:cs="Times New Roman"/>
                <w:sz w:val="22"/>
                <w:szCs w:val="22"/>
              </w:rPr>
            </w:pPr>
            <w:r w:rsidRPr="002E0607">
              <w:rPr>
                <w:rFonts w:ascii="Times New Roman" w:hAnsi="Times New Roman" w:cs="Times New Roman"/>
                <w:sz w:val="22"/>
                <w:szCs w:val="22"/>
              </w:rPr>
              <w:t>..</w:t>
            </w:r>
          </w:p>
        </w:tc>
        <w:tc>
          <w:tcPr>
            <w:tcW w:w="1076" w:type="dxa"/>
            <w:vAlign w:val="center"/>
            <w:hideMark/>
          </w:tcPr>
          <w:p w14:paraId="75D0B4FA" w14:textId="77777777" w:rsidR="008D45A9" w:rsidRPr="002E0607" w:rsidRDefault="008D45A9" w:rsidP="002E0607">
            <w:pPr>
              <w:pStyle w:val="NoSpacing"/>
              <w:jc w:val="center"/>
              <w:rPr>
                <w:rFonts w:ascii="Times New Roman" w:hAnsi="Times New Roman" w:cs="Times New Roman"/>
                <w:sz w:val="22"/>
                <w:szCs w:val="22"/>
              </w:rPr>
            </w:pPr>
            <w:r w:rsidRPr="002E0607">
              <w:rPr>
                <w:rFonts w:ascii="Times New Roman" w:hAnsi="Times New Roman" w:cs="Times New Roman"/>
                <w:sz w:val="22"/>
                <w:szCs w:val="22"/>
              </w:rPr>
              <w:t>..</w:t>
            </w:r>
          </w:p>
        </w:tc>
      </w:tr>
      <w:tr w:rsidR="008D45A9" w:rsidRPr="002E0607" w14:paraId="4C14509F" w14:textId="77777777" w:rsidTr="002E0607">
        <w:trPr>
          <w:trHeight w:val="226"/>
        </w:trPr>
        <w:tc>
          <w:tcPr>
            <w:tcW w:w="5866" w:type="dxa"/>
            <w:vAlign w:val="center"/>
            <w:hideMark/>
          </w:tcPr>
          <w:p w14:paraId="5AA9141E" w14:textId="77777777" w:rsidR="008D45A9" w:rsidRPr="002E0607" w:rsidRDefault="008D45A9" w:rsidP="002E0607">
            <w:pPr>
              <w:pStyle w:val="NoSpacing"/>
              <w:rPr>
                <w:rFonts w:ascii="Times New Roman" w:hAnsi="Times New Roman" w:cs="Times New Roman"/>
                <w:sz w:val="22"/>
                <w:szCs w:val="22"/>
              </w:rPr>
            </w:pPr>
            <w:r w:rsidRPr="002E0607">
              <w:rPr>
                <w:rFonts w:ascii="Times New Roman" w:hAnsi="Times New Roman" w:cs="Times New Roman"/>
                <w:sz w:val="22"/>
                <w:szCs w:val="22"/>
              </w:rPr>
              <w:t>Vindhya Pradesh</w:t>
            </w:r>
          </w:p>
        </w:tc>
        <w:tc>
          <w:tcPr>
            <w:tcW w:w="1445" w:type="dxa"/>
            <w:vAlign w:val="center"/>
            <w:hideMark/>
          </w:tcPr>
          <w:p w14:paraId="2375A19C" w14:textId="77777777" w:rsidR="008D45A9" w:rsidRPr="002E0607" w:rsidRDefault="008D45A9" w:rsidP="002E0607">
            <w:pPr>
              <w:pStyle w:val="NoSpacing"/>
              <w:jc w:val="center"/>
              <w:rPr>
                <w:rFonts w:ascii="Times New Roman" w:hAnsi="Times New Roman" w:cs="Times New Roman"/>
                <w:sz w:val="22"/>
                <w:szCs w:val="22"/>
              </w:rPr>
            </w:pPr>
            <w:r w:rsidRPr="002E0607">
              <w:rPr>
                <w:rFonts w:ascii="Times New Roman" w:hAnsi="Times New Roman" w:cs="Times New Roman"/>
                <w:sz w:val="22"/>
                <w:szCs w:val="22"/>
              </w:rPr>
              <w:t>..</w:t>
            </w:r>
          </w:p>
        </w:tc>
        <w:tc>
          <w:tcPr>
            <w:tcW w:w="1358" w:type="dxa"/>
            <w:vAlign w:val="center"/>
            <w:hideMark/>
          </w:tcPr>
          <w:p w14:paraId="72C5A7EC" w14:textId="77777777" w:rsidR="008D45A9" w:rsidRPr="002E0607" w:rsidRDefault="008D45A9" w:rsidP="002E0607">
            <w:pPr>
              <w:pStyle w:val="NoSpacing"/>
              <w:jc w:val="center"/>
              <w:rPr>
                <w:rFonts w:ascii="Times New Roman" w:hAnsi="Times New Roman" w:cs="Times New Roman"/>
                <w:sz w:val="22"/>
                <w:szCs w:val="22"/>
              </w:rPr>
            </w:pPr>
            <w:r w:rsidRPr="002E0607">
              <w:rPr>
                <w:rFonts w:ascii="Times New Roman" w:hAnsi="Times New Roman" w:cs="Times New Roman"/>
                <w:sz w:val="22"/>
                <w:szCs w:val="22"/>
              </w:rPr>
              <w:t>..</w:t>
            </w:r>
          </w:p>
        </w:tc>
        <w:tc>
          <w:tcPr>
            <w:tcW w:w="1076" w:type="dxa"/>
            <w:vAlign w:val="center"/>
            <w:hideMark/>
          </w:tcPr>
          <w:p w14:paraId="23C8092A" w14:textId="77777777" w:rsidR="008D45A9" w:rsidRPr="002E0607" w:rsidRDefault="008D45A9" w:rsidP="002E0607">
            <w:pPr>
              <w:pStyle w:val="NoSpacing"/>
              <w:jc w:val="center"/>
              <w:rPr>
                <w:rFonts w:ascii="Times New Roman" w:hAnsi="Times New Roman" w:cs="Times New Roman"/>
                <w:sz w:val="22"/>
                <w:szCs w:val="22"/>
              </w:rPr>
            </w:pPr>
            <w:r w:rsidRPr="002E0607">
              <w:rPr>
                <w:rFonts w:ascii="Times New Roman" w:hAnsi="Times New Roman" w:cs="Times New Roman"/>
                <w:sz w:val="22"/>
                <w:szCs w:val="22"/>
              </w:rPr>
              <w:t>..</w:t>
            </w:r>
          </w:p>
        </w:tc>
      </w:tr>
      <w:tr w:rsidR="008D45A9" w:rsidRPr="002E0607" w14:paraId="1859ADF7" w14:textId="77777777" w:rsidTr="002E0607">
        <w:trPr>
          <w:trHeight w:val="226"/>
        </w:trPr>
        <w:tc>
          <w:tcPr>
            <w:tcW w:w="5866" w:type="dxa"/>
            <w:vAlign w:val="center"/>
            <w:hideMark/>
          </w:tcPr>
          <w:p w14:paraId="4265BEBA" w14:textId="77777777" w:rsidR="008D45A9" w:rsidRPr="002E0607" w:rsidRDefault="008D45A9" w:rsidP="002E0607">
            <w:pPr>
              <w:pStyle w:val="NoSpacing"/>
              <w:rPr>
                <w:rFonts w:ascii="Times New Roman" w:hAnsi="Times New Roman" w:cs="Times New Roman"/>
                <w:sz w:val="22"/>
                <w:szCs w:val="22"/>
              </w:rPr>
            </w:pPr>
            <w:r w:rsidRPr="002E0607">
              <w:rPr>
                <w:rFonts w:ascii="Times New Roman" w:hAnsi="Times New Roman" w:cs="Times New Roman"/>
                <w:b/>
                <w:bCs/>
                <w:sz w:val="22"/>
                <w:szCs w:val="22"/>
              </w:rPr>
              <w:t>TOTAL</w:t>
            </w:r>
          </w:p>
        </w:tc>
        <w:tc>
          <w:tcPr>
            <w:tcW w:w="1445" w:type="dxa"/>
            <w:vAlign w:val="center"/>
            <w:hideMark/>
          </w:tcPr>
          <w:p w14:paraId="5452ACAD" w14:textId="77777777" w:rsidR="008D45A9" w:rsidRPr="002E0607" w:rsidRDefault="008D45A9" w:rsidP="002E0607">
            <w:pPr>
              <w:pStyle w:val="NoSpacing"/>
              <w:jc w:val="center"/>
              <w:rPr>
                <w:rFonts w:ascii="Times New Roman" w:hAnsi="Times New Roman" w:cs="Times New Roman"/>
                <w:sz w:val="22"/>
                <w:szCs w:val="22"/>
              </w:rPr>
            </w:pPr>
            <w:r w:rsidRPr="002E0607">
              <w:rPr>
                <w:rFonts w:ascii="Times New Roman" w:hAnsi="Times New Roman" w:cs="Times New Roman"/>
                <w:b/>
                <w:bCs/>
                <w:sz w:val="22"/>
                <w:szCs w:val="22"/>
              </w:rPr>
              <w:t>78.25</w:t>
            </w:r>
          </w:p>
        </w:tc>
        <w:tc>
          <w:tcPr>
            <w:tcW w:w="1358" w:type="dxa"/>
            <w:vAlign w:val="center"/>
            <w:hideMark/>
          </w:tcPr>
          <w:p w14:paraId="02B75127" w14:textId="77777777" w:rsidR="008D45A9" w:rsidRPr="002E0607" w:rsidRDefault="008D45A9" w:rsidP="002E0607">
            <w:pPr>
              <w:pStyle w:val="NoSpacing"/>
              <w:jc w:val="center"/>
              <w:rPr>
                <w:rFonts w:ascii="Times New Roman" w:hAnsi="Times New Roman" w:cs="Times New Roman"/>
                <w:sz w:val="22"/>
                <w:szCs w:val="22"/>
              </w:rPr>
            </w:pPr>
            <w:r w:rsidRPr="002E0607">
              <w:rPr>
                <w:rFonts w:ascii="Times New Roman" w:hAnsi="Times New Roman" w:cs="Times New Roman"/>
                <w:b/>
                <w:bCs/>
                <w:sz w:val="22"/>
                <w:szCs w:val="22"/>
              </w:rPr>
              <w:t>11.20</w:t>
            </w:r>
          </w:p>
        </w:tc>
        <w:tc>
          <w:tcPr>
            <w:tcW w:w="1076" w:type="dxa"/>
            <w:vAlign w:val="center"/>
            <w:hideMark/>
          </w:tcPr>
          <w:p w14:paraId="4DB0F2A6" w14:textId="77777777" w:rsidR="008D45A9" w:rsidRPr="002E0607" w:rsidRDefault="008D45A9" w:rsidP="002E0607">
            <w:pPr>
              <w:pStyle w:val="NoSpacing"/>
              <w:jc w:val="center"/>
              <w:rPr>
                <w:rFonts w:ascii="Times New Roman" w:hAnsi="Times New Roman" w:cs="Times New Roman"/>
                <w:sz w:val="22"/>
                <w:szCs w:val="22"/>
              </w:rPr>
            </w:pPr>
            <w:r w:rsidRPr="002E0607">
              <w:rPr>
                <w:rFonts w:ascii="Times New Roman" w:hAnsi="Times New Roman" w:cs="Times New Roman"/>
                <w:b/>
                <w:bCs/>
                <w:sz w:val="22"/>
                <w:szCs w:val="22"/>
              </w:rPr>
              <w:t>89.45</w:t>
            </w:r>
          </w:p>
        </w:tc>
      </w:tr>
    </w:tbl>
    <w:p w14:paraId="4373972D" w14:textId="77777777" w:rsidR="008D45A9" w:rsidRPr="002E0607" w:rsidRDefault="008D45A9" w:rsidP="008D45A9">
      <w:pPr>
        <w:spacing w:after="0"/>
        <w:rPr>
          <w:rFonts w:ascii="Times New Roman" w:hAnsi="Times New Roman" w:cs="Times New Roman"/>
          <w:sz w:val="20"/>
          <w:szCs w:val="20"/>
        </w:rPr>
      </w:pPr>
      <w:r w:rsidRPr="002E0607">
        <w:rPr>
          <w:rFonts w:ascii="Times New Roman" w:hAnsi="Times New Roman" w:cs="Times New Roman"/>
          <w:sz w:val="20"/>
          <w:szCs w:val="20"/>
        </w:rPr>
        <w:t>Source: Combined Finance and Revenue Accounts 1956-57.</w:t>
      </w:r>
      <w:r w:rsidRPr="002E0607">
        <w:rPr>
          <w:rFonts w:ascii="Times New Roman" w:hAnsi="Times New Roman" w:cs="Times New Roman"/>
          <w:sz w:val="20"/>
          <w:szCs w:val="20"/>
        </w:rPr>
        <w:br/>
        <w:t>*Includes Grants under Article 273.</w:t>
      </w:r>
    </w:p>
    <w:p w14:paraId="447B66E6" w14:textId="77777777" w:rsidR="008D45A9" w:rsidRPr="007245B0" w:rsidRDefault="008D45A9" w:rsidP="008D45A9">
      <w:pPr>
        <w:spacing w:after="0"/>
        <w:rPr>
          <w:rFonts w:ascii="Times New Roman" w:hAnsi="Times New Roman" w:cs="Times New Roman"/>
          <w:i/>
          <w:iCs/>
          <w:szCs w:val="24"/>
        </w:rPr>
      </w:pPr>
    </w:p>
    <w:p w14:paraId="4D275F51" w14:textId="77777777" w:rsidR="008D45A9" w:rsidRPr="007245B0" w:rsidRDefault="008D45A9" w:rsidP="008D45A9">
      <w:pPr>
        <w:spacing w:after="0"/>
        <w:rPr>
          <w:rFonts w:ascii="Times New Roman" w:hAnsi="Times New Roman" w:cs="Times New Roman"/>
          <w:i/>
          <w:iCs/>
          <w:szCs w:val="24"/>
        </w:rPr>
      </w:pPr>
    </w:p>
    <w:p w14:paraId="7F5FF2E2" w14:textId="77777777" w:rsidR="008D45A9" w:rsidRPr="007245B0" w:rsidRDefault="008D45A9" w:rsidP="002A212C">
      <w:pPr>
        <w:tabs>
          <w:tab w:val="left" w:pos="3084"/>
        </w:tabs>
        <w:rPr>
          <w:rFonts w:ascii="Times New Roman" w:hAnsi="Times New Roman" w:cs="Times New Roman"/>
        </w:rPr>
        <w:sectPr w:rsidR="008D45A9" w:rsidRPr="007245B0" w:rsidSect="008D45A9">
          <w:pgSz w:w="12240" w:h="15840"/>
          <w:pgMar w:top="992" w:right="1440" w:bottom="1440" w:left="1440" w:header="720" w:footer="720" w:gutter="0"/>
          <w:cols w:space="720"/>
        </w:sectPr>
      </w:pPr>
    </w:p>
    <w:p w14:paraId="38038922" w14:textId="0884156D" w:rsidR="008D45A9" w:rsidRPr="007245B0" w:rsidRDefault="00574BCE" w:rsidP="007D2EE4">
      <w:pPr>
        <w:pStyle w:val="Heading4"/>
      </w:pPr>
      <w:bookmarkStart w:id="198" w:name="_Toc220949736"/>
      <w:bookmarkStart w:id="199" w:name="_Toc221114336"/>
      <w:bookmarkStart w:id="200" w:name="_Toc221115359"/>
      <w:r>
        <w:lastRenderedPageBreak/>
        <w:t>Table</w:t>
      </w:r>
      <w:r w:rsidR="008D45A9" w:rsidRPr="007245B0">
        <w:t xml:space="preserve"> 55: Transfers from the Centre to States under the Second Finance Commission's Award.</w:t>
      </w:r>
      <w:r w:rsidR="008D45A9" w:rsidRPr="007245B0">
        <w:br/>
        <w:t>(1957-58 to 1961-62)</w:t>
      </w:r>
      <w:bookmarkEnd w:id="198"/>
      <w:bookmarkEnd w:id="199"/>
      <w:bookmarkEnd w:id="200"/>
    </w:p>
    <w:p w14:paraId="7AB0A102" w14:textId="77777777" w:rsidR="008D45A9" w:rsidRPr="007245B0" w:rsidRDefault="008D45A9" w:rsidP="008D45A9">
      <w:pPr>
        <w:spacing w:after="0"/>
        <w:jc w:val="right"/>
        <w:rPr>
          <w:rFonts w:ascii="Times New Roman" w:hAnsi="Times New Roman" w:cs="Times New Roman"/>
          <w:i/>
          <w:iCs/>
          <w:szCs w:val="24"/>
        </w:rPr>
      </w:pPr>
      <w:r w:rsidRPr="007245B0">
        <w:rPr>
          <w:rFonts w:ascii="Times New Roman" w:hAnsi="Times New Roman" w:cs="Times New Roman"/>
          <w:i/>
          <w:iCs/>
          <w:szCs w:val="24"/>
        </w:rPr>
        <w:t>(Rs. crores)</w:t>
      </w:r>
    </w:p>
    <w:tbl>
      <w:tblPr>
        <w:tblStyle w:val="TableGrid"/>
        <w:tblW w:w="15031" w:type="dxa"/>
        <w:jc w:val="center"/>
        <w:tblLayout w:type="fixed"/>
        <w:tblLook w:val="04A0" w:firstRow="1" w:lastRow="0" w:firstColumn="1" w:lastColumn="0" w:noHBand="0" w:noVBand="1"/>
      </w:tblPr>
      <w:tblGrid>
        <w:gridCol w:w="1450"/>
        <w:gridCol w:w="869"/>
        <w:gridCol w:w="724"/>
        <w:gridCol w:w="870"/>
        <w:gridCol w:w="821"/>
        <w:gridCol w:w="797"/>
        <w:gridCol w:w="719"/>
        <w:gridCol w:w="719"/>
        <w:gridCol w:w="797"/>
        <w:gridCol w:w="719"/>
        <w:gridCol w:w="719"/>
        <w:gridCol w:w="708"/>
        <w:gridCol w:w="719"/>
        <w:gridCol w:w="719"/>
        <w:gridCol w:w="708"/>
        <w:gridCol w:w="719"/>
        <w:gridCol w:w="719"/>
        <w:gridCol w:w="717"/>
        <w:gridCol w:w="807"/>
        <w:gridCol w:w="11"/>
      </w:tblGrid>
      <w:tr w:rsidR="008D45A9" w:rsidRPr="007245B0" w14:paraId="1B8AFE44" w14:textId="77777777" w:rsidTr="00A351F7">
        <w:trPr>
          <w:trHeight w:val="412"/>
          <w:jc w:val="center"/>
        </w:trPr>
        <w:tc>
          <w:tcPr>
            <w:tcW w:w="1452" w:type="dxa"/>
            <w:vAlign w:val="center"/>
            <w:hideMark/>
          </w:tcPr>
          <w:p w14:paraId="651DCAC0" w14:textId="77777777" w:rsidR="008D45A9" w:rsidRPr="00A351F7" w:rsidRDefault="008D45A9" w:rsidP="00A351F7">
            <w:pPr>
              <w:pStyle w:val="NoSpacing"/>
              <w:jc w:val="center"/>
              <w:rPr>
                <w:rFonts w:ascii="Times New Roman" w:hAnsi="Times New Roman" w:cs="Times New Roman"/>
                <w:b/>
                <w:bCs/>
                <w:sz w:val="18"/>
                <w:szCs w:val="18"/>
              </w:rPr>
            </w:pPr>
            <w:r w:rsidRPr="00A351F7">
              <w:rPr>
                <w:rFonts w:ascii="Times New Roman" w:hAnsi="Times New Roman" w:cs="Times New Roman"/>
                <w:b/>
                <w:bCs/>
                <w:sz w:val="18"/>
                <w:szCs w:val="18"/>
              </w:rPr>
              <w:t>States</w:t>
            </w:r>
          </w:p>
        </w:tc>
        <w:tc>
          <w:tcPr>
            <w:tcW w:w="2468" w:type="dxa"/>
            <w:gridSpan w:val="3"/>
            <w:vAlign w:val="center"/>
            <w:hideMark/>
          </w:tcPr>
          <w:p w14:paraId="42F81FDC" w14:textId="77777777" w:rsidR="008D45A9" w:rsidRPr="00A351F7" w:rsidRDefault="008D45A9" w:rsidP="00A351F7">
            <w:pPr>
              <w:pStyle w:val="NoSpacing"/>
              <w:jc w:val="center"/>
              <w:rPr>
                <w:rFonts w:ascii="Times New Roman" w:hAnsi="Times New Roman" w:cs="Times New Roman"/>
                <w:b/>
                <w:bCs/>
                <w:sz w:val="18"/>
                <w:szCs w:val="18"/>
              </w:rPr>
            </w:pPr>
            <w:r w:rsidRPr="00A351F7">
              <w:rPr>
                <w:rFonts w:ascii="Times New Roman" w:hAnsi="Times New Roman" w:cs="Times New Roman"/>
                <w:b/>
                <w:bCs/>
                <w:sz w:val="18"/>
                <w:szCs w:val="18"/>
              </w:rPr>
              <w:t>1957-58</w:t>
            </w:r>
          </w:p>
        </w:tc>
        <w:tc>
          <w:tcPr>
            <w:tcW w:w="2339" w:type="dxa"/>
            <w:gridSpan w:val="3"/>
            <w:vAlign w:val="center"/>
            <w:hideMark/>
          </w:tcPr>
          <w:p w14:paraId="43EB1B48" w14:textId="77777777" w:rsidR="008D45A9" w:rsidRPr="00A351F7" w:rsidRDefault="008D45A9" w:rsidP="00A351F7">
            <w:pPr>
              <w:pStyle w:val="NoSpacing"/>
              <w:jc w:val="center"/>
              <w:rPr>
                <w:rFonts w:ascii="Times New Roman" w:hAnsi="Times New Roman" w:cs="Times New Roman"/>
                <w:b/>
                <w:bCs/>
                <w:sz w:val="18"/>
                <w:szCs w:val="18"/>
              </w:rPr>
            </w:pPr>
            <w:r w:rsidRPr="00A351F7">
              <w:rPr>
                <w:rFonts w:ascii="Times New Roman" w:hAnsi="Times New Roman" w:cs="Times New Roman"/>
                <w:b/>
                <w:bCs/>
                <w:sz w:val="18"/>
                <w:szCs w:val="18"/>
              </w:rPr>
              <w:t>1958-59</w:t>
            </w:r>
          </w:p>
        </w:tc>
        <w:tc>
          <w:tcPr>
            <w:tcW w:w="2235" w:type="dxa"/>
            <w:gridSpan w:val="3"/>
            <w:vAlign w:val="center"/>
            <w:hideMark/>
          </w:tcPr>
          <w:p w14:paraId="2D826343" w14:textId="77777777" w:rsidR="008D45A9" w:rsidRPr="00A351F7" w:rsidRDefault="008D45A9" w:rsidP="00A351F7">
            <w:pPr>
              <w:pStyle w:val="NoSpacing"/>
              <w:jc w:val="center"/>
              <w:rPr>
                <w:rFonts w:ascii="Times New Roman" w:hAnsi="Times New Roman" w:cs="Times New Roman"/>
                <w:b/>
                <w:bCs/>
                <w:sz w:val="18"/>
                <w:szCs w:val="18"/>
              </w:rPr>
            </w:pPr>
            <w:r w:rsidRPr="00A351F7">
              <w:rPr>
                <w:rFonts w:ascii="Times New Roman" w:hAnsi="Times New Roman" w:cs="Times New Roman"/>
                <w:b/>
                <w:bCs/>
                <w:sz w:val="18"/>
                <w:szCs w:val="18"/>
              </w:rPr>
              <w:t>1959-60</w:t>
            </w:r>
          </w:p>
        </w:tc>
        <w:tc>
          <w:tcPr>
            <w:tcW w:w="2146" w:type="dxa"/>
            <w:gridSpan w:val="3"/>
            <w:vAlign w:val="center"/>
            <w:hideMark/>
          </w:tcPr>
          <w:p w14:paraId="7E26CD77" w14:textId="77777777" w:rsidR="008D45A9" w:rsidRPr="00A351F7" w:rsidRDefault="008D45A9" w:rsidP="00A351F7">
            <w:pPr>
              <w:pStyle w:val="NoSpacing"/>
              <w:jc w:val="center"/>
              <w:rPr>
                <w:rFonts w:ascii="Times New Roman" w:hAnsi="Times New Roman" w:cs="Times New Roman"/>
                <w:b/>
                <w:bCs/>
                <w:sz w:val="18"/>
                <w:szCs w:val="18"/>
              </w:rPr>
            </w:pPr>
            <w:r w:rsidRPr="00A351F7">
              <w:rPr>
                <w:rFonts w:ascii="Times New Roman" w:hAnsi="Times New Roman" w:cs="Times New Roman"/>
                <w:b/>
                <w:bCs/>
                <w:sz w:val="18"/>
                <w:szCs w:val="18"/>
              </w:rPr>
              <w:t>1960-61</w:t>
            </w:r>
          </w:p>
        </w:tc>
        <w:tc>
          <w:tcPr>
            <w:tcW w:w="2146" w:type="dxa"/>
            <w:gridSpan w:val="3"/>
            <w:vAlign w:val="center"/>
            <w:hideMark/>
          </w:tcPr>
          <w:p w14:paraId="31A53D0D" w14:textId="77777777" w:rsidR="008D45A9" w:rsidRPr="00A351F7" w:rsidRDefault="008D45A9" w:rsidP="00A351F7">
            <w:pPr>
              <w:pStyle w:val="NoSpacing"/>
              <w:jc w:val="center"/>
              <w:rPr>
                <w:rFonts w:ascii="Times New Roman" w:hAnsi="Times New Roman" w:cs="Times New Roman"/>
                <w:b/>
                <w:bCs/>
                <w:sz w:val="18"/>
                <w:szCs w:val="18"/>
              </w:rPr>
            </w:pPr>
            <w:r w:rsidRPr="00A351F7">
              <w:rPr>
                <w:rFonts w:ascii="Times New Roman" w:hAnsi="Times New Roman" w:cs="Times New Roman"/>
                <w:b/>
                <w:bCs/>
                <w:sz w:val="18"/>
                <w:szCs w:val="18"/>
              </w:rPr>
              <w:t>1961-62</w:t>
            </w:r>
          </w:p>
        </w:tc>
        <w:tc>
          <w:tcPr>
            <w:tcW w:w="2245" w:type="dxa"/>
            <w:gridSpan w:val="4"/>
            <w:vAlign w:val="center"/>
            <w:hideMark/>
          </w:tcPr>
          <w:p w14:paraId="2B23E814" w14:textId="100D96DF" w:rsidR="008D45A9" w:rsidRPr="00A351F7" w:rsidRDefault="008D45A9" w:rsidP="00A351F7">
            <w:pPr>
              <w:pStyle w:val="NoSpacing"/>
              <w:jc w:val="center"/>
              <w:rPr>
                <w:rFonts w:ascii="Times New Roman" w:hAnsi="Times New Roman" w:cs="Times New Roman"/>
                <w:b/>
                <w:bCs/>
                <w:sz w:val="18"/>
                <w:szCs w:val="18"/>
              </w:rPr>
            </w:pPr>
            <w:r w:rsidRPr="00A351F7">
              <w:rPr>
                <w:rFonts w:ascii="Times New Roman" w:hAnsi="Times New Roman" w:cs="Times New Roman"/>
                <w:b/>
                <w:bCs/>
                <w:sz w:val="18"/>
                <w:szCs w:val="18"/>
              </w:rPr>
              <w:t xml:space="preserve">Total </w:t>
            </w:r>
            <w:r w:rsidR="00886EB4">
              <w:rPr>
                <w:rFonts w:ascii="Times New Roman" w:hAnsi="Times New Roman" w:cs="Times New Roman"/>
                <w:b/>
                <w:bCs/>
                <w:sz w:val="18"/>
                <w:szCs w:val="18"/>
              </w:rPr>
              <w:t>of</w:t>
            </w:r>
            <w:r w:rsidRPr="00A351F7">
              <w:rPr>
                <w:rFonts w:ascii="Times New Roman" w:hAnsi="Times New Roman" w:cs="Times New Roman"/>
                <w:b/>
                <w:bCs/>
                <w:sz w:val="18"/>
                <w:szCs w:val="18"/>
              </w:rPr>
              <w:t xml:space="preserve"> 5 years (1957-58 to 1961-62)</w:t>
            </w:r>
          </w:p>
        </w:tc>
      </w:tr>
      <w:tr w:rsidR="008D45A9" w:rsidRPr="007245B0" w14:paraId="09A2F284" w14:textId="77777777" w:rsidTr="00A351F7">
        <w:trPr>
          <w:gridAfter w:val="1"/>
          <w:wAfter w:w="11" w:type="dxa"/>
          <w:trHeight w:val="881"/>
          <w:jc w:val="center"/>
        </w:trPr>
        <w:tc>
          <w:tcPr>
            <w:tcW w:w="1452" w:type="dxa"/>
            <w:vAlign w:val="center"/>
            <w:hideMark/>
          </w:tcPr>
          <w:p w14:paraId="3E49369E" w14:textId="77777777" w:rsidR="008D45A9" w:rsidRPr="00A351F7" w:rsidRDefault="008D45A9" w:rsidP="00A351F7">
            <w:pPr>
              <w:pStyle w:val="NoSpacing"/>
              <w:jc w:val="center"/>
              <w:rPr>
                <w:rFonts w:ascii="Times New Roman" w:hAnsi="Times New Roman" w:cs="Times New Roman"/>
                <w:b/>
                <w:bCs/>
                <w:sz w:val="18"/>
                <w:szCs w:val="18"/>
              </w:rPr>
            </w:pPr>
          </w:p>
        </w:tc>
        <w:tc>
          <w:tcPr>
            <w:tcW w:w="871" w:type="dxa"/>
            <w:vAlign w:val="center"/>
            <w:hideMark/>
          </w:tcPr>
          <w:p w14:paraId="19C122EB" w14:textId="77777777" w:rsidR="008D45A9" w:rsidRPr="00A351F7" w:rsidRDefault="008D45A9" w:rsidP="00A351F7">
            <w:pPr>
              <w:pStyle w:val="NoSpacing"/>
              <w:jc w:val="center"/>
              <w:rPr>
                <w:rFonts w:ascii="Times New Roman" w:hAnsi="Times New Roman" w:cs="Times New Roman"/>
                <w:b/>
                <w:bCs/>
                <w:sz w:val="18"/>
                <w:szCs w:val="18"/>
              </w:rPr>
            </w:pPr>
            <w:r w:rsidRPr="00A351F7">
              <w:rPr>
                <w:rFonts w:ascii="Times New Roman" w:hAnsi="Times New Roman" w:cs="Times New Roman"/>
                <w:b/>
                <w:bCs/>
                <w:sz w:val="18"/>
                <w:szCs w:val="18"/>
              </w:rPr>
              <w:t>Shares of Taxes</w:t>
            </w:r>
          </w:p>
        </w:tc>
        <w:tc>
          <w:tcPr>
            <w:tcW w:w="725" w:type="dxa"/>
            <w:vAlign w:val="center"/>
            <w:hideMark/>
          </w:tcPr>
          <w:p w14:paraId="21654AD8" w14:textId="77777777" w:rsidR="008D45A9" w:rsidRPr="00A351F7" w:rsidRDefault="008D45A9" w:rsidP="00A351F7">
            <w:pPr>
              <w:pStyle w:val="NoSpacing"/>
              <w:jc w:val="center"/>
              <w:rPr>
                <w:rFonts w:ascii="Times New Roman" w:hAnsi="Times New Roman" w:cs="Times New Roman"/>
                <w:b/>
                <w:bCs/>
                <w:sz w:val="18"/>
                <w:szCs w:val="18"/>
              </w:rPr>
            </w:pPr>
            <w:r w:rsidRPr="00A351F7">
              <w:rPr>
                <w:rFonts w:ascii="Times New Roman" w:hAnsi="Times New Roman" w:cs="Times New Roman"/>
                <w:b/>
                <w:bCs/>
                <w:sz w:val="18"/>
                <w:szCs w:val="18"/>
              </w:rPr>
              <w:t>Grants£</w:t>
            </w:r>
          </w:p>
        </w:tc>
        <w:tc>
          <w:tcPr>
            <w:tcW w:w="871" w:type="dxa"/>
            <w:vAlign w:val="center"/>
            <w:hideMark/>
          </w:tcPr>
          <w:p w14:paraId="45F50028" w14:textId="77777777" w:rsidR="008D45A9" w:rsidRPr="00A351F7" w:rsidRDefault="008D45A9" w:rsidP="00A351F7">
            <w:pPr>
              <w:pStyle w:val="NoSpacing"/>
              <w:jc w:val="center"/>
              <w:rPr>
                <w:rFonts w:ascii="Times New Roman" w:hAnsi="Times New Roman" w:cs="Times New Roman"/>
                <w:b/>
                <w:bCs/>
                <w:sz w:val="18"/>
                <w:szCs w:val="18"/>
              </w:rPr>
            </w:pPr>
            <w:r w:rsidRPr="00A351F7">
              <w:rPr>
                <w:rFonts w:ascii="Times New Roman" w:hAnsi="Times New Roman" w:cs="Times New Roman"/>
                <w:b/>
                <w:bCs/>
                <w:sz w:val="18"/>
                <w:szCs w:val="18"/>
              </w:rPr>
              <w:t>Total</w:t>
            </w:r>
          </w:p>
        </w:tc>
        <w:tc>
          <w:tcPr>
            <w:tcW w:w="823" w:type="dxa"/>
            <w:vAlign w:val="center"/>
            <w:hideMark/>
          </w:tcPr>
          <w:p w14:paraId="6313E781" w14:textId="77777777" w:rsidR="008D45A9" w:rsidRPr="00A351F7" w:rsidRDefault="008D45A9" w:rsidP="00A351F7">
            <w:pPr>
              <w:pStyle w:val="NoSpacing"/>
              <w:jc w:val="center"/>
              <w:rPr>
                <w:rFonts w:ascii="Times New Roman" w:hAnsi="Times New Roman" w:cs="Times New Roman"/>
                <w:b/>
                <w:bCs/>
                <w:sz w:val="18"/>
                <w:szCs w:val="18"/>
              </w:rPr>
            </w:pPr>
            <w:r w:rsidRPr="00A351F7">
              <w:rPr>
                <w:rFonts w:ascii="Times New Roman" w:hAnsi="Times New Roman" w:cs="Times New Roman"/>
                <w:b/>
                <w:bCs/>
                <w:sz w:val="18"/>
                <w:szCs w:val="18"/>
              </w:rPr>
              <w:t>Shares of Taxes</w:t>
            </w:r>
          </w:p>
        </w:tc>
        <w:tc>
          <w:tcPr>
            <w:tcW w:w="797" w:type="dxa"/>
            <w:vAlign w:val="center"/>
            <w:hideMark/>
          </w:tcPr>
          <w:p w14:paraId="0DA52C10" w14:textId="77777777" w:rsidR="008D45A9" w:rsidRPr="00A351F7" w:rsidRDefault="008D45A9" w:rsidP="00A351F7">
            <w:pPr>
              <w:pStyle w:val="NoSpacing"/>
              <w:jc w:val="center"/>
              <w:rPr>
                <w:rFonts w:ascii="Times New Roman" w:hAnsi="Times New Roman" w:cs="Times New Roman"/>
                <w:b/>
                <w:bCs/>
                <w:sz w:val="18"/>
                <w:szCs w:val="18"/>
              </w:rPr>
            </w:pPr>
            <w:r w:rsidRPr="00A351F7">
              <w:rPr>
                <w:rFonts w:ascii="Times New Roman" w:hAnsi="Times New Roman" w:cs="Times New Roman"/>
                <w:b/>
                <w:bCs/>
                <w:sz w:val="18"/>
                <w:szCs w:val="18"/>
              </w:rPr>
              <w:t>Grants£</w:t>
            </w:r>
          </w:p>
        </w:tc>
        <w:tc>
          <w:tcPr>
            <w:tcW w:w="717" w:type="dxa"/>
            <w:vAlign w:val="center"/>
            <w:hideMark/>
          </w:tcPr>
          <w:p w14:paraId="14982061" w14:textId="77777777" w:rsidR="008D45A9" w:rsidRPr="00A351F7" w:rsidRDefault="008D45A9" w:rsidP="00A351F7">
            <w:pPr>
              <w:pStyle w:val="NoSpacing"/>
              <w:jc w:val="center"/>
              <w:rPr>
                <w:rFonts w:ascii="Times New Roman" w:hAnsi="Times New Roman" w:cs="Times New Roman"/>
                <w:b/>
                <w:bCs/>
                <w:sz w:val="18"/>
                <w:szCs w:val="18"/>
              </w:rPr>
            </w:pPr>
            <w:r w:rsidRPr="00A351F7">
              <w:rPr>
                <w:rFonts w:ascii="Times New Roman" w:hAnsi="Times New Roman" w:cs="Times New Roman"/>
                <w:b/>
                <w:bCs/>
                <w:sz w:val="18"/>
                <w:szCs w:val="18"/>
              </w:rPr>
              <w:t>Total</w:t>
            </w:r>
          </w:p>
        </w:tc>
        <w:tc>
          <w:tcPr>
            <w:tcW w:w="719" w:type="dxa"/>
            <w:vAlign w:val="center"/>
            <w:hideMark/>
          </w:tcPr>
          <w:p w14:paraId="2B1EF66B" w14:textId="77777777" w:rsidR="008D45A9" w:rsidRPr="00A351F7" w:rsidRDefault="008D45A9" w:rsidP="00A351F7">
            <w:pPr>
              <w:pStyle w:val="NoSpacing"/>
              <w:jc w:val="center"/>
              <w:rPr>
                <w:rFonts w:ascii="Times New Roman" w:hAnsi="Times New Roman" w:cs="Times New Roman"/>
                <w:b/>
                <w:bCs/>
                <w:sz w:val="18"/>
                <w:szCs w:val="18"/>
              </w:rPr>
            </w:pPr>
            <w:r w:rsidRPr="00A351F7">
              <w:rPr>
                <w:rFonts w:ascii="Times New Roman" w:hAnsi="Times New Roman" w:cs="Times New Roman"/>
                <w:b/>
                <w:bCs/>
                <w:sz w:val="18"/>
                <w:szCs w:val="18"/>
              </w:rPr>
              <w:t>Shares of Taxes</w:t>
            </w:r>
          </w:p>
        </w:tc>
        <w:tc>
          <w:tcPr>
            <w:tcW w:w="797" w:type="dxa"/>
            <w:vAlign w:val="center"/>
            <w:hideMark/>
          </w:tcPr>
          <w:p w14:paraId="5DE01DCB" w14:textId="77777777" w:rsidR="008D45A9" w:rsidRPr="00A351F7" w:rsidRDefault="008D45A9" w:rsidP="00A351F7">
            <w:pPr>
              <w:pStyle w:val="NoSpacing"/>
              <w:jc w:val="center"/>
              <w:rPr>
                <w:rFonts w:ascii="Times New Roman" w:hAnsi="Times New Roman" w:cs="Times New Roman"/>
                <w:b/>
                <w:bCs/>
                <w:sz w:val="18"/>
                <w:szCs w:val="18"/>
              </w:rPr>
            </w:pPr>
            <w:r w:rsidRPr="00A351F7">
              <w:rPr>
                <w:rFonts w:ascii="Times New Roman" w:hAnsi="Times New Roman" w:cs="Times New Roman"/>
                <w:b/>
                <w:bCs/>
                <w:sz w:val="18"/>
                <w:szCs w:val="18"/>
              </w:rPr>
              <w:t>Grants£</w:t>
            </w:r>
          </w:p>
        </w:tc>
        <w:tc>
          <w:tcPr>
            <w:tcW w:w="717" w:type="dxa"/>
            <w:vAlign w:val="center"/>
            <w:hideMark/>
          </w:tcPr>
          <w:p w14:paraId="79E3D40D" w14:textId="77777777" w:rsidR="008D45A9" w:rsidRPr="00A351F7" w:rsidRDefault="008D45A9" w:rsidP="00A351F7">
            <w:pPr>
              <w:pStyle w:val="NoSpacing"/>
              <w:jc w:val="center"/>
              <w:rPr>
                <w:rFonts w:ascii="Times New Roman" w:hAnsi="Times New Roman" w:cs="Times New Roman"/>
                <w:b/>
                <w:bCs/>
                <w:sz w:val="18"/>
                <w:szCs w:val="18"/>
              </w:rPr>
            </w:pPr>
            <w:r w:rsidRPr="00A351F7">
              <w:rPr>
                <w:rFonts w:ascii="Times New Roman" w:hAnsi="Times New Roman" w:cs="Times New Roman"/>
                <w:b/>
                <w:bCs/>
                <w:sz w:val="18"/>
                <w:szCs w:val="18"/>
              </w:rPr>
              <w:t>Total</w:t>
            </w:r>
          </w:p>
        </w:tc>
        <w:tc>
          <w:tcPr>
            <w:tcW w:w="719" w:type="dxa"/>
            <w:vAlign w:val="center"/>
            <w:hideMark/>
          </w:tcPr>
          <w:p w14:paraId="344AF8B9" w14:textId="77777777" w:rsidR="008D45A9" w:rsidRPr="00A351F7" w:rsidRDefault="008D45A9" w:rsidP="00A351F7">
            <w:pPr>
              <w:pStyle w:val="NoSpacing"/>
              <w:jc w:val="center"/>
              <w:rPr>
                <w:rFonts w:ascii="Times New Roman" w:hAnsi="Times New Roman" w:cs="Times New Roman"/>
                <w:b/>
                <w:bCs/>
                <w:sz w:val="18"/>
                <w:szCs w:val="18"/>
              </w:rPr>
            </w:pPr>
            <w:r w:rsidRPr="00A351F7">
              <w:rPr>
                <w:rFonts w:ascii="Times New Roman" w:hAnsi="Times New Roman" w:cs="Times New Roman"/>
                <w:b/>
                <w:bCs/>
                <w:sz w:val="18"/>
                <w:szCs w:val="18"/>
              </w:rPr>
              <w:t>Shares of Taxes</w:t>
            </w:r>
          </w:p>
        </w:tc>
        <w:tc>
          <w:tcPr>
            <w:tcW w:w="708" w:type="dxa"/>
            <w:vAlign w:val="center"/>
            <w:hideMark/>
          </w:tcPr>
          <w:p w14:paraId="3B34B0BE" w14:textId="77777777" w:rsidR="008D45A9" w:rsidRPr="00A351F7" w:rsidRDefault="008D45A9" w:rsidP="00A351F7">
            <w:pPr>
              <w:pStyle w:val="NoSpacing"/>
              <w:jc w:val="center"/>
              <w:rPr>
                <w:rFonts w:ascii="Times New Roman" w:hAnsi="Times New Roman" w:cs="Times New Roman"/>
                <w:b/>
                <w:bCs/>
                <w:sz w:val="18"/>
                <w:szCs w:val="18"/>
              </w:rPr>
            </w:pPr>
            <w:r w:rsidRPr="00A351F7">
              <w:rPr>
                <w:rFonts w:ascii="Times New Roman" w:hAnsi="Times New Roman" w:cs="Times New Roman"/>
                <w:b/>
                <w:bCs/>
                <w:sz w:val="18"/>
                <w:szCs w:val="18"/>
              </w:rPr>
              <w:t>Grants</w:t>
            </w:r>
          </w:p>
        </w:tc>
        <w:tc>
          <w:tcPr>
            <w:tcW w:w="717" w:type="dxa"/>
            <w:vAlign w:val="center"/>
            <w:hideMark/>
          </w:tcPr>
          <w:p w14:paraId="6F6D3333" w14:textId="77777777" w:rsidR="008D45A9" w:rsidRPr="00A351F7" w:rsidRDefault="008D45A9" w:rsidP="00A351F7">
            <w:pPr>
              <w:pStyle w:val="NoSpacing"/>
              <w:jc w:val="center"/>
              <w:rPr>
                <w:rFonts w:ascii="Times New Roman" w:hAnsi="Times New Roman" w:cs="Times New Roman"/>
                <w:b/>
                <w:bCs/>
                <w:sz w:val="18"/>
                <w:szCs w:val="18"/>
              </w:rPr>
            </w:pPr>
            <w:r w:rsidRPr="00A351F7">
              <w:rPr>
                <w:rFonts w:ascii="Times New Roman" w:hAnsi="Times New Roman" w:cs="Times New Roman"/>
                <w:b/>
                <w:bCs/>
                <w:sz w:val="18"/>
                <w:szCs w:val="18"/>
              </w:rPr>
              <w:t>Total</w:t>
            </w:r>
          </w:p>
        </w:tc>
        <w:tc>
          <w:tcPr>
            <w:tcW w:w="719" w:type="dxa"/>
            <w:vAlign w:val="center"/>
            <w:hideMark/>
          </w:tcPr>
          <w:p w14:paraId="4B5224FC" w14:textId="3B84DAFA" w:rsidR="008D45A9" w:rsidRPr="00A351F7" w:rsidRDefault="008D45A9" w:rsidP="00A351F7">
            <w:pPr>
              <w:pStyle w:val="NoSpacing"/>
              <w:jc w:val="center"/>
              <w:rPr>
                <w:rFonts w:ascii="Times New Roman" w:hAnsi="Times New Roman" w:cs="Times New Roman"/>
                <w:b/>
                <w:bCs/>
                <w:sz w:val="18"/>
                <w:szCs w:val="18"/>
              </w:rPr>
            </w:pPr>
            <w:r w:rsidRPr="00A351F7">
              <w:rPr>
                <w:rFonts w:ascii="Times New Roman" w:hAnsi="Times New Roman" w:cs="Times New Roman"/>
                <w:b/>
                <w:bCs/>
                <w:sz w:val="18"/>
                <w:szCs w:val="18"/>
              </w:rPr>
              <w:t>Shares of Taxes</w:t>
            </w:r>
            <w:r w:rsidR="00036A74" w:rsidRPr="00A351F7">
              <w:rPr>
                <w:rFonts w:ascii="Times New Roman" w:hAnsi="Times New Roman" w:cs="Times New Roman"/>
                <w:b/>
                <w:bCs/>
                <w:szCs w:val="24"/>
              </w:rPr>
              <w:t>$</w:t>
            </w:r>
          </w:p>
        </w:tc>
        <w:tc>
          <w:tcPr>
            <w:tcW w:w="708" w:type="dxa"/>
            <w:vAlign w:val="center"/>
            <w:hideMark/>
          </w:tcPr>
          <w:p w14:paraId="2961C252" w14:textId="77777777" w:rsidR="008D45A9" w:rsidRPr="00A351F7" w:rsidRDefault="008D45A9" w:rsidP="00A351F7">
            <w:pPr>
              <w:pStyle w:val="NoSpacing"/>
              <w:jc w:val="center"/>
              <w:rPr>
                <w:rFonts w:ascii="Times New Roman" w:hAnsi="Times New Roman" w:cs="Times New Roman"/>
                <w:b/>
                <w:bCs/>
                <w:sz w:val="18"/>
                <w:szCs w:val="18"/>
              </w:rPr>
            </w:pPr>
            <w:r w:rsidRPr="00A351F7">
              <w:rPr>
                <w:rFonts w:ascii="Times New Roman" w:hAnsi="Times New Roman" w:cs="Times New Roman"/>
                <w:b/>
                <w:bCs/>
                <w:sz w:val="18"/>
                <w:szCs w:val="18"/>
              </w:rPr>
              <w:t>Grants</w:t>
            </w:r>
          </w:p>
        </w:tc>
        <w:tc>
          <w:tcPr>
            <w:tcW w:w="717" w:type="dxa"/>
            <w:vAlign w:val="center"/>
            <w:hideMark/>
          </w:tcPr>
          <w:p w14:paraId="26689769" w14:textId="77777777" w:rsidR="008D45A9" w:rsidRPr="00A351F7" w:rsidRDefault="008D45A9" w:rsidP="00A351F7">
            <w:pPr>
              <w:pStyle w:val="NoSpacing"/>
              <w:jc w:val="center"/>
              <w:rPr>
                <w:rFonts w:ascii="Times New Roman" w:hAnsi="Times New Roman" w:cs="Times New Roman"/>
                <w:b/>
                <w:bCs/>
                <w:sz w:val="18"/>
                <w:szCs w:val="18"/>
              </w:rPr>
            </w:pPr>
            <w:r w:rsidRPr="00A351F7">
              <w:rPr>
                <w:rFonts w:ascii="Times New Roman" w:hAnsi="Times New Roman" w:cs="Times New Roman"/>
                <w:b/>
                <w:bCs/>
                <w:sz w:val="18"/>
                <w:szCs w:val="18"/>
              </w:rPr>
              <w:t>Total</w:t>
            </w:r>
          </w:p>
        </w:tc>
        <w:tc>
          <w:tcPr>
            <w:tcW w:w="719" w:type="dxa"/>
            <w:vAlign w:val="center"/>
            <w:hideMark/>
          </w:tcPr>
          <w:p w14:paraId="158565E6" w14:textId="77777777" w:rsidR="008D45A9" w:rsidRPr="00A351F7" w:rsidRDefault="008D45A9" w:rsidP="00A351F7">
            <w:pPr>
              <w:pStyle w:val="NoSpacing"/>
              <w:jc w:val="center"/>
              <w:rPr>
                <w:rFonts w:ascii="Times New Roman" w:hAnsi="Times New Roman" w:cs="Times New Roman"/>
                <w:b/>
                <w:bCs/>
                <w:sz w:val="18"/>
                <w:szCs w:val="18"/>
              </w:rPr>
            </w:pPr>
            <w:r w:rsidRPr="00A351F7">
              <w:rPr>
                <w:rFonts w:ascii="Times New Roman" w:hAnsi="Times New Roman" w:cs="Times New Roman"/>
                <w:b/>
                <w:bCs/>
                <w:sz w:val="18"/>
                <w:szCs w:val="18"/>
              </w:rPr>
              <w:t>Shares of Taxes</w:t>
            </w:r>
          </w:p>
        </w:tc>
        <w:tc>
          <w:tcPr>
            <w:tcW w:w="717" w:type="dxa"/>
            <w:vAlign w:val="center"/>
            <w:hideMark/>
          </w:tcPr>
          <w:p w14:paraId="39A2D85C" w14:textId="77777777" w:rsidR="008D45A9" w:rsidRPr="00A351F7" w:rsidRDefault="008D45A9" w:rsidP="00A351F7">
            <w:pPr>
              <w:pStyle w:val="NoSpacing"/>
              <w:jc w:val="center"/>
              <w:rPr>
                <w:rFonts w:ascii="Times New Roman" w:hAnsi="Times New Roman" w:cs="Times New Roman"/>
                <w:b/>
                <w:bCs/>
                <w:sz w:val="18"/>
                <w:szCs w:val="18"/>
              </w:rPr>
            </w:pPr>
            <w:r w:rsidRPr="00A351F7">
              <w:rPr>
                <w:rFonts w:ascii="Times New Roman" w:hAnsi="Times New Roman" w:cs="Times New Roman"/>
                <w:b/>
                <w:bCs/>
                <w:sz w:val="18"/>
                <w:szCs w:val="18"/>
              </w:rPr>
              <w:t>Grants</w:t>
            </w:r>
          </w:p>
        </w:tc>
        <w:tc>
          <w:tcPr>
            <w:tcW w:w="807" w:type="dxa"/>
            <w:vAlign w:val="center"/>
            <w:hideMark/>
          </w:tcPr>
          <w:p w14:paraId="375316EA" w14:textId="77777777" w:rsidR="008D45A9" w:rsidRPr="00A351F7" w:rsidRDefault="008D45A9" w:rsidP="00A351F7">
            <w:pPr>
              <w:pStyle w:val="NoSpacing"/>
              <w:jc w:val="center"/>
              <w:rPr>
                <w:rFonts w:ascii="Times New Roman" w:hAnsi="Times New Roman" w:cs="Times New Roman"/>
                <w:b/>
                <w:bCs/>
                <w:sz w:val="18"/>
                <w:szCs w:val="18"/>
              </w:rPr>
            </w:pPr>
            <w:r w:rsidRPr="00A351F7">
              <w:rPr>
                <w:rFonts w:ascii="Times New Roman" w:hAnsi="Times New Roman" w:cs="Times New Roman"/>
                <w:b/>
                <w:bCs/>
                <w:sz w:val="18"/>
                <w:szCs w:val="18"/>
              </w:rPr>
              <w:t>Total</w:t>
            </w:r>
          </w:p>
        </w:tc>
      </w:tr>
      <w:tr w:rsidR="008D45A9" w:rsidRPr="007245B0" w14:paraId="22E4DA61" w14:textId="77777777" w:rsidTr="00A351F7">
        <w:trPr>
          <w:gridAfter w:val="1"/>
          <w:wAfter w:w="11" w:type="dxa"/>
          <w:trHeight w:val="206"/>
          <w:jc w:val="center"/>
        </w:trPr>
        <w:tc>
          <w:tcPr>
            <w:tcW w:w="1452" w:type="dxa"/>
            <w:vAlign w:val="center"/>
          </w:tcPr>
          <w:p w14:paraId="4B3E6DD2" w14:textId="77777777" w:rsidR="008D45A9" w:rsidRPr="00A351F7" w:rsidRDefault="008D45A9" w:rsidP="00A351F7">
            <w:pPr>
              <w:pStyle w:val="NoSpacing"/>
              <w:jc w:val="center"/>
              <w:rPr>
                <w:rFonts w:ascii="Times New Roman" w:hAnsi="Times New Roman" w:cs="Times New Roman"/>
                <w:b/>
                <w:bCs/>
                <w:sz w:val="18"/>
                <w:szCs w:val="18"/>
              </w:rPr>
            </w:pPr>
          </w:p>
        </w:tc>
        <w:tc>
          <w:tcPr>
            <w:tcW w:w="871" w:type="dxa"/>
            <w:vAlign w:val="center"/>
          </w:tcPr>
          <w:p w14:paraId="3507F026" w14:textId="77777777" w:rsidR="008D45A9" w:rsidRPr="00A351F7" w:rsidRDefault="008D45A9" w:rsidP="00A351F7">
            <w:pPr>
              <w:pStyle w:val="NoSpacing"/>
              <w:jc w:val="center"/>
              <w:rPr>
                <w:rFonts w:ascii="Times New Roman" w:hAnsi="Times New Roman" w:cs="Times New Roman"/>
                <w:b/>
                <w:bCs/>
                <w:sz w:val="18"/>
                <w:szCs w:val="18"/>
              </w:rPr>
            </w:pPr>
            <w:r w:rsidRPr="00A351F7">
              <w:rPr>
                <w:rFonts w:ascii="Times New Roman" w:hAnsi="Times New Roman" w:cs="Times New Roman"/>
                <w:b/>
                <w:bCs/>
                <w:sz w:val="18"/>
                <w:szCs w:val="18"/>
              </w:rPr>
              <w:t>(1)</w:t>
            </w:r>
          </w:p>
        </w:tc>
        <w:tc>
          <w:tcPr>
            <w:tcW w:w="725" w:type="dxa"/>
            <w:vAlign w:val="center"/>
          </w:tcPr>
          <w:p w14:paraId="0C94BA00" w14:textId="77777777" w:rsidR="008D45A9" w:rsidRPr="00A351F7" w:rsidRDefault="008D45A9" w:rsidP="00A351F7">
            <w:pPr>
              <w:pStyle w:val="NoSpacing"/>
              <w:jc w:val="center"/>
              <w:rPr>
                <w:rFonts w:ascii="Times New Roman" w:hAnsi="Times New Roman" w:cs="Times New Roman"/>
                <w:b/>
                <w:bCs/>
                <w:sz w:val="18"/>
                <w:szCs w:val="18"/>
              </w:rPr>
            </w:pPr>
            <w:r w:rsidRPr="00A351F7">
              <w:rPr>
                <w:rFonts w:ascii="Times New Roman" w:hAnsi="Times New Roman" w:cs="Times New Roman"/>
                <w:b/>
                <w:bCs/>
                <w:sz w:val="18"/>
                <w:szCs w:val="18"/>
              </w:rPr>
              <w:t>(2)</w:t>
            </w:r>
          </w:p>
        </w:tc>
        <w:tc>
          <w:tcPr>
            <w:tcW w:w="871" w:type="dxa"/>
            <w:vAlign w:val="center"/>
          </w:tcPr>
          <w:p w14:paraId="40B03D75" w14:textId="77777777" w:rsidR="008D45A9" w:rsidRPr="00A351F7" w:rsidRDefault="008D45A9" w:rsidP="00A351F7">
            <w:pPr>
              <w:pStyle w:val="NoSpacing"/>
              <w:jc w:val="center"/>
              <w:rPr>
                <w:rFonts w:ascii="Times New Roman" w:hAnsi="Times New Roman" w:cs="Times New Roman"/>
                <w:b/>
                <w:bCs/>
                <w:sz w:val="18"/>
                <w:szCs w:val="18"/>
              </w:rPr>
            </w:pPr>
            <w:r w:rsidRPr="00A351F7">
              <w:rPr>
                <w:rFonts w:ascii="Times New Roman" w:hAnsi="Times New Roman" w:cs="Times New Roman"/>
                <w:b/>
                <w:bCs/>
                <w:sz w:val="18"/>
                <w:szCs w:val="18"/>
              </w:rPr>
              <w:t>(3)</w:t>
            </w:r>
          </w:p>
        </w:tc>
        <w:tc>
          <w:tcPr>
            <w:tcW w:w="823" w:type="dxa"/>
            <w:vAlign w:val="center"/>
          </w:tcPr>
          <w:p w14:paraId="443298D5" w14:textId="77777777" w:rsidR="008D45A9" w:rsidRPr="00A351F7" w:rsidRDefault="008D45A9" w:rsidP="00A351F7">
            <w:pPr>
              <w:pStyle w:val="NoSpacing"/>
              <w:jc w:val="center"/>
              <w:rPr>
                <w:rFonts w:ascii="Times New Roman" w:hAnsi="Times New Roman" w:cs="Times New Roman"/>
                <w:b/>
                <w:bCs/>
                <w:sz w:val="18"/>
                <w:szCs w:val="18"/>
              </w:rPr>
            </w:pPr>
            <w:r w:rsidRPr="00A351F7">
              <w:rPr>
                <w:rFonts w:ascii="Times New Roman" w:hAnsi="Times New Roman" w:cs="Times New Roman"/>
                <w:b/>
                <w:bCs/>
                <w:sz w:val="18"/>
                <w:szCs w:val="18"/>
              </w:rPr>
              <w:t>(4)</w:t>
            </w:r>
          </w:p>
        </w:tc>
        <w:tc>
          <w:tcPr>
            <w:tcW w:w="797" w:type="dxa"/>
            <w:vAlign w:val="center"/>
          </w:tcPr>
          <w:p w14:paraId="641DE95C" w14:textId="77777777" w:rsidR="008D45A9" w:rsidRPr="00A351F7" w:rsidRDefault="008D45A9" w:rsidP="00A351F7">
            <w:pPr>
              <w:pStyle w:val="NoSpacing"/>
              <w:jc w:val="center"/>
              <w:rPr>
                <w:rFonts w:ascii="Times New Roman" w:hAnsi="Times New Roman" w:cs="Times New Roman"/>
                <w:b/>
                <w:bCs/>
                <w:sz w:val="18"/>
                <w:szCs w:val="18"/>
              </w:rPr>
            </w:pPr>
            <w:r w:rsidRPr="00A351F7">
              <w:rPr>
                <w:rFonts w:ascii="Times New Roman" w:hAnsi="Times New Roman" w:cs="Times New Roman"/>
                <w:b/>
                <w:bCs/>
                <w:sz w:val="18"/>
                <w:szCs w:val="18"/>
              </w:rPr>
              <w:t>(5)</w:t>
            </w:r>
          </w:p>
        </w:tc>
        <w:tc>
          <w:tcPr>
            <w:tcW w:w="717" w:type="dxa"/>
            <w:vAlign w:val="center"/>
          </w:tcPr>
          <w:p w14:paraId="6A8E6149" w14:textId="77777777" w:rsidR="008D45A9" w:rsidRPr="00A351F7" w:rsidRDefault="008D45A9" w:rsidP="00A351F7">
            <w:pPr>
              <w:pStyle w:val="NoSpacing"/>
              <w:jc w:val="center"/>
              <w:rPr>
                <w:rFonts w:ascii="Times New Roman" w:hAnsi="Times New Roman" w:cs="Times New Roman"/>
                <w:b/>
                <w:bCs/>
                <w:sz w:val="18"/>
                <w:szCs w:val="18"/>
              </w:rPr>
            </w:pPr>
            <w:r w:rsidRPr="00A351F7">
              <w:rPr>
                <w:rFonts w:ascii="Times New Roman" w:hAnsi="Times New Roman" w:cs="Times New Roman"/>
                <w:b/>
                <w:bCs/>
                <w:sz w:val="18"/>
                <w:szCs w:val="18"/>
              </w:rPr>
              <w:t>(6)</w:t>
            </w:r>
          </w:p>
        </w:tc>
        <w:tc>
          <w:tcPr>
            <w:tcW w:w="719" w:type="dxa"/>
            <w:vAlign w:val="center"/>
          </w:tcPr>
          <w:p w14:paraId="733718D0" w14:textId="77777777" w:rsidR="008D45A9" w:rsidRPr="00A351F7" w:rsidRDefault="008D45A9" w:rsidP="00A351F7">
            <w:pPr>
              <w:pStyle w:val="NoSpacing"/>
              <w:jc w:val="center"/>
              <w:rPr>
                <w:rFonts w:ascii="Times New Roman" w:hAnsi="Times New Roman" w:cs="Times New Roman"/>
                <w:b/>
                <w:bCs/>
                <w:sz w:val="18"/>
                <w:szCs w:val="18"/>
              </w:rPr>
            </w:pPr>
            <w:r w:rsidRPr="00A351F7">
              <w:rPr>
                <w:rFonts w:ascii="Times New Roman" w:hAnsi="Times New Roman" w:cs="Times New Roman"/>
                <w:b/>
                <w:bCs/>
                <w:sz w:val="18"/>
                <w:szCs w:val="18"/>
              </w:rPr>
              <w:t>(7)</w:t>
            </w:r>
          </w:p>
        </w:tc>
        <w:tc>
          <w:tcPr>
            <w:tcW w:w="797" w:type="dxa"/>
            <w:vAlign w:val="center"/>
          </w:tcPr>
          <w:p w14:paraId="23BFE7F6" w14:textId="77777777" w:rsidR="008D45A9" w:rsidRPr="00A351F7" w:rsidRDefault="008D45A9" w:rsidP="00A351F7">
            <w:pPr>
              <w:pStyle w:val="NoSpacing"/>
              <w:jc w:val="center"/>
              <w:rPr>
                <w:rFonts w:ascii="Times New Roman" w:hAnsi="Times New Roman" w:cs="Times New Roman"/>
                <w:b/>
                <w:bCs/>
                <w:sz w:val="18"/>
                <w:szCs w:val="18"/>
              </w:rPr>
            </w:pPr>
            <w:r w:rsidRPr="00A351F7">
              <w:rPr>
                <w:rFonts w:ascii="Times New Roman" w:hAnsi="Times New Roman" w:cs="Times New Roman"/>
                <w:b/>
                <w:bCs/>
                <w:sz w:val="18"/>
                <w:szCs w:val="18"/>
              </w:rPr>
              <w:t>(8)</w:t>
            </w:r>
          </w:p>
        </w:tc>
        <w:tc>
          <w:tcPr>
            <w:tcW w:w="717" w:type="dxa"/>
            <w:vAlign w:val="center"/>
          </w:tcPr>
          <w:p w14:paraId="1432A0B6" w14:textId="77777777" w:rsidR="008D45A9" w:rsidRPr="00A351F7" w:rsidRDefault="008D45A9" w:rsidP="00A351F7">
            <w:pPr>
              <w:pStyle w:val="NoSpacing"/>
              <w:jc w:val="center"/>
              <w:rPr>
                <w:rFonts w:ascii="Times New Roman" w:hAnsi="Times New Roman" w:cs="Times New Roman"/>
                <w:b/>
                <w:bCs/>
                <w:sz w:val="18"/>
                <w:szCs w:val="18"/>
              </w:rPr>
            </w:pPr>
            <w:r w:rsidRPr="00A351F7">
              <w:rPr>
                <w:rFonts w:ascii="Times New Roman" w:hAnsi="Times New Roman" w:cs="Times New Roman"/>
                <w:b/>
                <w:bCs/>
                <w:sz w:val="18"/>
                <w:szCs w:val="18"/>
              </w:rPr>
              <w:t>(9)</w:t>
            </w:r>
          </w:p>
        </w:tc>
        <w:tc>
          <w:tcPr>
            <w:tcW w:w="719" w:type="dxa"/>
            <w:vAlign w:val="center"/>
          </w:tcPr>
          <w:p w14:paraId="754C1F82" w14:textId="77777777" w:rsidR="008D45A9" w:rsidRPr="00A351F7" w:rsidRDefault="008D45A9" w:rsidP="00A351F7">
            <w:pPr>
              <w:pStyle w:val="NoSpacing"/>
              <w:jc w:val="center"/>
              <w:rPr>
                <w:rFonts w:ascii="Times New Roman" w:hAnsi="Times New Roman" w:cs="Times New Roman"/>
                <w:b/>
                <w:bCs/>
                <w:sz w:val="18"/>
                <w:szCs w:val="18"/>
              </w:rPr>
            </w:pPr>
            <w:r w:rsidRPr="00A351F7">
              <w:rPr>
                <w:rFonts w:ascii="Times New Roman" w:hAnsi="Times New Roman" w:cs="Times New Roman"/>
                <w:b/>
                <w:bCs/>
                <w:sz w:val="18"/>
                <w:szCs w:val="18"/>
              </w:rPr>
              <w:t>(10)</w:t>
            </w:r>
          </w:p>
        </w:tc>
        <w:tc>
          <w:tcPr>
            <w:tcW w:w="708" w:type="dxa"/>
            <w:vAlign w:val="center"/>
          </w:tcPr>
          <w:p w14:paraId="0461C3AE" w14:textId="77777777" w:rsidR="008D45A9" w:rsidRPr="00A351F7" w:rsidRDefault="008D45A9" w:rsidP="00A351F7">
            <w:pPr>
              <w:pStyle w:val="NoSpacing"/>
              <w:jc w:val="center"/>
              <w:rPr>
                <w:rFonts w:ascii="Times New Roman" w:hAnsi="Times New Roman" w:cs="Times New Roman"/>
                <w:b/>
                <w:bCs/>
                <w:sz w:val="18"/>
                <w:szCs w:val="18"/>
              </w:rPr>
            </w:pPr>
            <w:r w:rsidRPr="00A351F7">
              <w:rPr>
                <w:rFonts w:ascii="Times New Roman" w:hAnsi="Times New Roman" w:cs="Times New Roman"/>
                <w:b/>
                <w:bCs/>
                <w:sz w:val="18"/>
                <w:szCs w:val="18"/>
              </w:rPr>
              <w:t>(11)</w:t>
            </w:r>
          </w:p>
        </w:tc>
        <w:tc>
          <w:tcPr>
            <w:tcW w:w="717" w:type="dxa"/>
            <w:vAlign w:val="center"/>
          </w:tcPr>
          <w:p w14:paraId="359C8AA8" w14:textId="77777777" w:rsidR="008D45A9" w:rsidRPr="00A351F7" w:rsidRDefault="008D45A9" w:rsidP="00A351F7">
            <w:pPr>
              <w:pStyle w:val="NoSpacing"/>
              <w:jc w:val="center"/>
              <w:rPr>
                <w:rFonts w:ascii="Times New Roman" w:hAnsi="Times New Roman" w:cs="Times New Roman"/>
                <w:b/>
                <w:bCs/>
                <w:sz w:val="18"/>
                <w:szCs w:val="18"/>
              </w:rPr>
            </w:pPr>
            <w:r w:rsidRPr="00A351F7">
              <w:rPr>
                <w:rFonts w:ascii="Times New Roman" w:hAnsi="Times New Roman" w:cs="Times New Roman"/>
                <w:b/>
                <w:bCs/>
                <w:sz w:val="18"/>
                <w:szCs w:val="18"/>
              </w:rPr>
              <w:t>(12)</w:t>
            </w:r>
          </w:p>
        </w:tc>
        <w:tc>
          <w:tcPr>
            <w:tcW w:w="719" w:type="dxa"/>
            <w:vAlign w:val="center"/>
          </w:tcPr>
          <w:p w14:paraId="51801B75" w14:textId="77777777" w:rsidR="008D45A9" w:rsidRPr="00A351F7" w:rsidRDefault="008D45A9" w:rsidP="00A351F7">
            <w:pPr>
              <w:pStyle w:val="NoSpacing"/>
              <w:jc w:val="center"/>
              <w:rPr>
                <w:rFonts w:ascii="Times New Roman" w:hAnsi="Times New Roman" w:cs="Times New Roman"/>
                <w:b/>
                <w:bCs/>
                <w:sz w:val="18"/>
                <w:szCs w:val="18"/>
              </w:rPr>
            </w:pPr>
            <w:r w:rsidRPr="00A351F7">
              <w:rPr>
                <w:rFonts w:ascii="Times New Roman" w:hAnsi="Times New Roman" w:cs="Times New Roman"/>
                <w:b/>
                <w:bCs/>
                <w:sz w:val="18"/>
                <w:szCs w:val="18"/>
              </w:rPr>
              <w:t>(13)</w:t>
            </w:r>
          </w:p>
        </w:tc>
        <w:tc>
          <w:tcPr>
            <w:tcW w:w="708" w:type="dxa"/>
            <w:vAlign w:val="center"/>
          </w:tcPr>
          <w:p w14:paraId="3AAA3BD5" w14:textId="77777777" w:rsidR="008D45A9" w:rsidRPr="00A351F7" w:rsidRDefault="008D45A9" w:rsidP="00A351F7">
            <w:pPr>
              <w:pStyle w:val="NoSpacing"/>
              <w:jc w:val="center"/>
              <w:rPr>
                <w:rFonts w:ascii="Times New Roman" w:hAnsi="Times New Roman" w:cs="Times New Roman"/>
                <w:b/>
                <w:bCs/>
                <w:sz w:val="18"/>
                <w:szCs w:val="18"/>
              </w:rPr>
            </w:pPr>
            <w:r w:rsidRPr="00A351F7">
              <w:rPr>
                <w:rFonts w:ascii="Times New Roman" w:hAnsi="Times New Roman" w:cs="Times New Roman"/>
                <w:b/>
                <w:bCs/>
                <w:sz w:val="18"/>
                <w:szCs w:val="18"/>
              </w:rPr>
              <w:t>(14)</w:t>
            </w:r>
          </w:p>
        </w:tc>
        <w:tc>
          <w:tcPr>
            <w:tcW w:w="717" w:type="dxa"/>
            <w:vAlign w:val="center"/>
          </w:tcPr>
          <w:p w14:paraId="2FC63C89" w14:textId="77777777" w:rsidR="008D45A9" w:rsidRPr="00A351F7" w:rsidRDefault="008D45A9" w:rsidP="00A351F7">
            <w:pPr>
              <w:pStyle w:val="NoSpacing"/>
              <w:jc w:val="center"/>
              <w:rPr>
                <w:rFonts w:ascii="Times New Roman" w:hAnsi="Times New Roman" w:cs="Times New Roman"/>
                <w:b/>
                <w:bCs/>
                <w:sz w:val="18"/>
                <w:szCs w:val="18"/>
              </w:rPr>
            </w:pPr>
            <w:r w:rsidRPr="00A351F7">
              <w:rPr>
                <w:rFonts w:ascii="Times New Roman" w:hAnsi="Times New Roman" w:cs="Times New Roman"/>
                <w:b/>
                <w:bCs/>
                <w:sz w:val="18"/>
                <w:szCs w:val="18"/>
              </w:rPr>
              <w:t>(15)</w:t>
            </w:r>
          </w:p>
        </w:tc>
        <w:tc>
          <w:tcPr>
            <w:tcW w:w="719" w:type="dxa"/>
            <w:vAlign w:val="center"/>
          </w:tcPr>
          <w:p w14:paraId="630D2BA9" w14:textId="77777777" w:rsidR="008D45A9" w:rsidRPr="00A351F7" w:rsidRDefault="008D45A9" w:rsidP="00A351F7">
            <w:pPr>
              <w:pStyle w:val="NoSpacing"/>
              <w:jc w:val="center"/>
              <w:rPr>
                <w:rFonts w:ascii="Times New Roman" w:hAnsi="Times New Roman" w:cs="Times New Roman"/>
                <w:b/>
                <w:bCs/>
                <w:sz w:val="18"/>
                <w:szCs w:val="18"/>
              </w:rPr>
            </w:pPr>
            <w:r w:rsidRPr="00A351F7">
              <w:rPr>
                <w:rFonts w:ascii="Times New Roman" w:hAnsi="Times New Roman" w:cs="Times New Roman"/>
                <w:b/>
                <w:bCs/>
                <w:sz w:val="18"/>
                <w:szCs w:val="18"/>
              </w:rPr>
              <w:t>(16)</w:t>
            </w:r>
          </w:p>
        </w:tc>
        <w:tc>
          <w:tcPr>
            <w:tcW w:w="717" w:type="dxa"/>
            <w:vAlign w:val="center"/>
          </w:tcPr>
          <w:p w14:paraId="0B50CEB6" w14:textId="77777777" w:rsidR="008D45A9" w:rsidRPr="00A351F7" w:rsidRDefault="008D45A9" w:rsidP="00A351F7">
            <w:pPr>
              <w:pStyle w:val="NoSpacing"/>
              <w:jc w:val="center"/>
              <w:rPr>
                <w:rFonts w:ascii="Times New Roman" w:hAnsi="Times New Roman" w:cs="Times New Roman"/>
                <w:b/>
                <w:bCs/>
                <w:sz w:val="18"/>
                <w:szCs w:val="18"/>
              </w:rPr>
            </w:pPr>
            <w:r w:rsidRPr="00A351F7">
              <w:rPr>
                <w:rFonts w:ascii="Times New Roman" w:hAnsi="Times New Roman" w:cs="Times New Roman"/>
                <w:b/>
                <w:bCs/>
                <w:sz w:val="18"/>
                <w:szCs w:val="18"/>
              </w:rPr>
              <w:t>(17)</w:t>
            </w:r>
          </w:p>
        </w:tc>
        <w:tc>
          <w:tcPr>
            <w:tcW w:w="807" w:type="dxa"/>
            <w:vAlign w:val="center"/>
            <w:hideMark/>
          </w:tcPr>
          <w:p w14:paraId="3616C734" w14:textId="77777777" w:rsidR="008D45A9" w:rsidRPr="00A351F7" w:rsidRDefault="008D45A9" w:rsidP="00A351F7">
            <w:pPr>
              <w:pStyle w:val="NoSpacing"/>
              <w:jc w:val="center"/>
              <w:rPr>
                <w:rFonts w:ascii="Times New Roman" w:hAnsi="Times New Roman" w:cs="Times New Roman"/>
                <w:b/>
                <w:bCs/>
                <w:sz w:val="18"/>
                <w:szCs w:val="18"/>
              </w:rPr>
            </w:pPr>
            <w:r w:rsidRPr="00A351F7">
              <w:rPr>
                <w:rFonts w:ascii="Times New Roman" w:hAnsi="Times New Roman" w:cs="Times New Roman"/>
                <w:b/>
                <w:bCs/>
                <w:sz w:val="18"/>
                <w:szCs w:val="18"/>
              </w:rPr>
              <w:t>(18)</w:t>
            </w:r>
          </w:p>
        </w:tc>
      </w:tr>
      <w:tr w:rsidR="008D45A9" w:rsidRPr="007245B0" w14:paraId="046892D9" w14:textId="77777777" w:rsidTr="00A351F7">
        <w:trPr>
          <w:gridAfter w:val="1"/>
          <w:wAfter w:w="11" w:type="dxa"/>
          <w:trHeight w:val="187"/>
          <w:jc w:val="center"/>
        </w:trPr>
        <w:tc>
          <w:tcPr>
            <w:tcW w:w="1452" w:type="dxa"/>
            <w:hideMark/>
          </w:tcPr>
          <w:p w14:paraId="409A6F77" w14:textId="77777777" w:rsidR="008D45A9" w:rsidRPr="007245B0" w:rsidRDefault="008D45A9" w:rsidP="00B77C0B">
            <w:pPr>
              <w:pStyle w:val="NoSpacing"/>
              <w:rPr>
                <w:rFonts w:ascii="Times New Roman" w:hAnsi="Times New Roman" w:cs="Times New Roman"/>
                <w:sz w:val="18"/>
                <w:szCs w:val="18"/>
              </w:rPr>
            </w:pPr>
            <w:r w:rsidRPr="007245B0">
              <w:rPr>
                <w:rFonts w:ascii="Times New Roman" w:hAnsi="Times New Roman" w:cs="Times New Roman"/>
                <w:sz w:val="18"/>
                <w:szCs w:val="18"/>
              </w:rPr>
              <w:t>Andhra Pradesh</w:t>
            </w:r>
          </w:p>
        </w:tc>
        <w:tc>
          <w:tcPr>
            <w:tcW w:w="871" w:type="dxa"/>
            <w:vAlign w:val="center"/>
            <w:hideMark/>
          </w:tcPr>
          <w:p w14:paraId="7FB2F2DB" w14:textId="77777777" w:rsidR="008D45A9" w:rsidRPr="007245B0" w:rsidRDefault="008D45A9" w:rsidP="00A351F7">
            <w:pPr>
              <w:pStyle w:val="NoSpacing"/>
              <w:jc w:val="center"/>
              <w:rPr>
                <w:rFonts w:ascii="Times New Roman" w:hAnsi="Times New Roman" w:cs="Times New Roman"/>
                <w:sz w:val="18"/>
                <w:szCs w:val="18"/>
              </w:rPr>
            </w:pPr>
            <w:r w:rsidRPr="007245B0">
              <w:rPr>
                <w:rFonts w:ascii="Times New Roman" w:hAnsi="Times New Roman" w:cs="Times New Roman"/>
                <w:sz w:val="18"/>
                <w:szCs w:val="18"/>
              </w:rPr>
              <w:t>10.07</w:t>
            </w:r>
          </w:p>
        </w:tc>
        <w:tc>
          <w:tcPr>
            <w:tcW w:w="725" w:type="dxa"/>
            <w:vAlign w:val="center"/>
            <w:hideMark/>
          </w:tcPr>
          <w:p w14:paraId="0F1BB878" w14:textId="77777777" w:rsidR="008D45A9" w:rsidRPr="007245B0" w:rsidRDefault="008D45A9" w:rsidP="00A351F7">
            <w:pPr>
              <w:pStyle w:val="NoSpacing"/>
              <w:jc w:val="center"/>
              <w:rPr>
                <w:rFonts w:ascii="Times New Roman" w:hAnsi="Times New Roman" w:cs="Times New Roman"/>
                <w:sz w:val="18"/>
                <w:szCs w:val="18"/>
              </w:rPr>
            </w:pPr>
            <w:r w:rsidRPr="007245B0">
              <w:rPr>
                <w:rFonts w:ascii="Times New Roman" w:hAnsi="Times New Roman" w:cs="Times New Roman"/>
                <w:sz w:val="18"/>
                <w:szCs w:val="18"/>
              </w:rPr>
              <w:t>4.00</w:t>
            </w:r>
          </w:p>
        </w:tc>
        <w:tc>
          <w:tcPr>
            <w:tcW w:w="871" w:type="dxa"/>
            <w:vAlign w:val="center"/>
            <w:hideMark/>
          </w:tcPr>
          <w:p w14:paraId="35807F47" w14:textId="77777777" w:rsidR="008D45A9" w:rsidRPr="007245B0" w:rsidRDefault="008D45A9" w:rsidP="00A351F7">
            <w:pPr>
              <w:pStyle w:val="NoSpacing"/>
              <w:jc w:val="center"/>
              <w:rPr>
                <w:rFonts w:ascii="Times New Roman" w:hAnsi="Times New Roman" w:cs="Times New Roman"/>
                <w:sz w:val="18"/>
                <w:szCs w:val="18"/>
              </w:rPr>
            </w:pPr>
            <w:r w:rsidRPr="007245B0">
              <w:rPr>
                <w:rFonts w:ascii="Times New Roman" w:hAnsi="Times New Roman" w:cs="Times New Roman"/>
                <w:sz w:val="18"/>
                <w:szCs w:val="18"/>
              </w:rPr>
              <w:t>14.07</w:t>
            </w:r>
          </w:p>
        </w:tc>
        <w:tc>
          <w:tcPr>
            <w:tcW w:w="823" w:type="dxa"/>
            <w:vAlign w:val="center"/>
            <w:hideMark/>
          </w:tcPr>
          <w:p w14:paraId="1D9F9CAA" w14:textId="77777777" w:rsidR="008D45A9" w:rsidRPr="007245B0" w:rsidRDefault="008D45A9" w:rsidP="00A351F7">
            <w:pPr>
              <w:pStyle w:val="NoSpacing"/>
              <w:jc w:val="center"/>
              <w:rPr>
                <w:rFonts w:ascii="Times New Roman" w:hAnsi="Times New Roman" w:cs="Times New Roman"/>
                <w:sz w:val="18"/>
                <w:szCs w:val="18"/>
              </w:rPr>
            </w:pPr>
            <w:r w:rsidRPr="007245B0">
              <w:rPr>
                <w:rFonts w:ascii="Times New Roman" w:hAnsi="Times New Roman" w:cs="Times New Roman"/>
                <w:sz w:val="18"/>
                <w:szCs w:val="18"/>
              </w:rPr>
              <w:t>13.28</w:t>
            </w:r>
          </w:p>
        </w:tc>
        <w:tc>
          <w:tcPr>
            <w:tcW w:w="797" w:type="dxa"/>
            <w:vAlign w:val="center"/>
            <w:hideMark/>
          </w:tcPr>
          <w:p w14:paraId="0F49DF62" w14:textId="77777777" w:rsidR="008D45A9" w:rsidRPr="007245B0" w:rsidRDefault="008D45A9" w:rsidP="00A351F7">
            <w:pPr>
              <w:pStyle w:val="NoSpacing"/>
              <w:jc w:val="center"/>
              <w:rPr>
                <w:rFonts w:ascii="Times New Roman" w:hAnsi="Times New Roman" w:cs="Times New Roman"/>
                <w:sz w:val="18"/>
                <w:szCs w:val="18"/>
              </w:rPr>
            </w:pPr>
            <w:r w:rsidRPr="007245B0">
              <w:rPr>
                <w:rFonts w:ascii="Times New Roman" w:hAnsi="Times New Roman" w:cs="Times New Roman"/>
                <w:sz w:val="18"/>
                <w:szCs w:val="18"/>
              </w:rPr>
              <w:t>4.00</w:t>
            </w:r>
          </w:p>
        </w:tc>
        <w:tc>
          <w:tcPr>
            <w:tcW w:w="717" w:type="dxa"/>
            <w:vAlign w:val="center"/>
            <w:hideMark/>
          </w:tcPr>
          <w:p w14:paraId="200B59DE" w14:textId="77777777" w:rsidR="008D45A9" w:rsidRPr="007245B0" w:rsidRDefault="008D45A9" w:rsidP="00A351F7">
            <w:pPr>
              <w:pStyle w:val="NoSpacing"/>
              <w:jc w:val="center"/>
              <w:rPr>
                <w:rFonts w:ascii="Times New Roman" w:hAnsi="Times New Roman" w:cs="Times New Roman"/>
                <w:sz w:val="18"/>
                <w:szCs w:val="18"/>
              </w:rPr>
            </w:pPr>
            <w:r w:rsidRPr="007245B0">
              <w:rPr>
                <w:rFonts w:ascii="Times New Roman" w:hAnsi="Times New Roman" w:cs="Times New Roman"/>
                <w:sz w:val="18"/>
                <w:szCs w:val="18"/>
              </w:rPr>
              <w:t>17.28</w:t>
            </w:r>
          </w:p>
        </w:tc>
        <w:tc>
          <w:tcPr>
            <w:tcW w:w="719" w:type="dxa"/>
            <w:vAlign w:val="center"/>
            <w:hideMark/>
          </w:tcPr>
          <w:p w14:paraId="6E835404" w14:textId="77777777" w:rsidR="008D45A9" w:rsidRPr="007245B0" w:rsidRDefault="008D45A9" w:rsidP="00A351F7">
            <w:pPr>
              <w:pStyle w:val="NoSpacing"/>
              <w:jc w:val="center"/>
              <w:rPr>
                <w:rFonts w:ascii="Times New Roman" w:hAnsi="Times New Roman" w:cs="Times New Roman"/>
                <w:sz w:val="18"/>
                <w:szCs w:val="18"/>
              </w:rPr>
            </w:pPr>
            <w:r w:rsidRPr="007245B0">
              <w:rPr>
                <w:rFonts w:ascii="Times New Roman" w:hAnsi="Times New Roman" w:cs="Times New Roman"/>
                <w:sz w:val="18"/>
                <w:szCs w:val="18"/>
              </w:rPr>
              <w:t>14.25</w:t>
            </w:r>
          </w:p>
        </w:tc>
        <w:tc>
          <w:tcPr>
            <w:tcW w:w="797" w:type="dxa"/>
            <w:vAlign w:val="center"/>
            <w:hideMark/>
          </w:tcPr>
          <w:p w14:paraId="3F3B0A66" w14:textId="77777777" w:rsidR="008D45A9" w:rsidRPr="007245B0" w:rsidRDefault="008D45A9" w:rsidP="00A351F7">
            <w:pPr>
              <w:pStyle w:val="NoSpacing"/>
              <w:jc w:val="center"/>
              <w:rPr>
                <w:rFonts w:ascii="Times New Roman" w:hAnsi="Times New Roman" w:cs="Times New Roman"/>
                <w:sz w:val="18"/>
                <w:szCs w:val="18"/>
              </w:rPr>
            </w:pPr>
            <w:r w:rsidRPr="007245B0">
              <w:rPr>
                <w:rFonts w:ascii="Times New Roman" w:hAnsi="Times New Roman" w:cs="Times New Roman"/>
                <w:sz w:val="18"/>
                <w:szCs w:val="18"/>
              </w:rPr>
              <w:t>4.00</w:t>
            </w:r>
          </w:p>
        </w:tc>
        <w:tc>
          <w:tcPr>
            <w:tcW w:w="717" w:type="dxa"/>
            <w:vAlign w:val="center"/>
            <w:hideMark/>
          </w:tcPr>
          <w:p w14:paraId="570AC917" w14:textId="77777777" w:rsidR="008D45A9" w:rsidRPr="007245B0" w:rsidRDefault="008D45A9" w:rsidP="00A351F7">
            <w:pPr>
              <w:pStyle w:val="NoSpacing"/>
              <w:jc w:val="center"/>
              <w:rPr>
                <w:rFonts w:ascii="Times New Roman" w:hAnsi="Times New Roman" w:cs="Times New Roman"/>
                <w:sz w:val="18"/>
                <w:szCs w:val="18"/>
              </w:rPr>
            </w:pPr>
            <w:r w:rsidRPr="007245B0">
              <w:rPr>
                <w:rFonts w:ascii="Times New Roman" w:hAnsi="Times New Roman" w:cs="Times New Roman"/>
                <w:sz w:val="18"/>
                <w:szCs w:val="18"/>
              </w:rPr>
              <w:t>18.25</w:t>
            </w:r>
          </w:p>
        </w:tc>
        <w:tc>
          <w:tcPr>
            <w:tcW w:w="719" w:type="dxa"/>
            <w:vAlign w:val="center"/>
            <w:hideMark/>
          </w:tcPr>
          <w:p w14:paraId="53D14F9F" w14:textId="77777777" w:rsidR="008D45A9" w:rsidRPr="007245B0" w:rsidRDefault="008D45A9" w:rsidP="00A351F7">
            <w:pPr>
              <w:pStyle w:val="NoSpacing"/>
              <w:jc w:val="center"/>
              <w:rPr>
                <w:rFonts w:ascii="Times New Roman" w:hAnsi="Times New Roman" w:cs="Times New Roman"/>
                <w:sz w:val="18"/>
                <w:szCs w:val="18"/>
              </w:rPr>
            </w:pPr>
            <w:r w:rsidRPr="007245B0">
              <w:rPr>
                <w:rFonts w:ascii="Times New Roman" w:hAnsi="Times New Roman" w:cs="Times New Roman"/>
                <w:sz w:val="18"/>
                <w:szCs w:val="18"/>
              </w:rPr>
              <w:t>16.70</w:t>
            </w:r>
          </w:p>
        </w:tc>
        <w:tc>
          <w:tcPr>
            <w:tcW w:w="708" w:type="dxa"/>
            <w:vAlign w:val="center"/>
            <w:hideMark/>
          </w:tcPr>
          <w:p w14:paraId="1FE85F8E" w14:textId="77777777" w:rsidR="008D45A9" w:rsidRPr="007245B0" w:rsidRDefault="008D45A9" w:rsidP="00A351F7">
            <w:pPr>
              <w:pStyle w:val="NoSpacing"/>
              <w:jc w:val="center"/>
              <w:rPr>
                <w:rFonts w:ascii="Times New Roman" w:hAnsi="Times New Roman" w:cs="Times New Roman"/>
                <w:sz w:val="18"/>
                <w:szCs w:val="18"/>
              </w:rPr>
            </w:pPr>
            <w:r w:rsidRPr="007245B0">
              <w:rPr>
                <w:rFonts w:ascii="Times New Roman" w:hAnsi="Times New Roman" w:cs="Times New Roman"/>
                <w:sz w:val="18"/>
                <w:szCs w:val="18"/>
              </w:rPr>
              <w:t>4.00</w:t>
            </w:r>
          </w:p>
        </w:tc>
        <w:tc>
          <w:tcPr>
            <w:tcW w:w="717" w:type="dxa"/>
            <w:vAlign w:val="center"/>
            <w:hideMark/>
          </w:tcPr>
          <w:p w14:paraId="30A6876E" w14:textId="77777777" w:rsidR="008D45A9" w:rsidRPr="007245B0" w:rsidRDefault="008D45A9" w:rsidP="00A351F7">
            <w:pPr>
              <w:pStyle w:val="NoSpacing"/>
              <w:jc w:val="center"/>
              <w:rPr>
                <w:rFonts w:ascii="Times New Roman" w:hAnsi="Times New Roman" w:cs="Times New Roman"/>
                <w:sz w:val="18"/>
                <w:szCs w:val="18"/>
              </w:rPr>
            </w:pPr>
            <w:r w:rsidRPr="007245B0">
              <w:rPr>
                <w:rFonts w:ascii="Times New Roman" w:hAnsi="Times New Roman" w:cs="Times New Roman"/>
                <w:sz w:val="18"/>
                <w:szCs w:val="18"/>
              </w:rPr>
              <w:t>20.70</w:t>
            </w:r>
          </w:p>
        </w:tc>
        <w:tc>
          <w:tcPr>
            <w:tcW w:w="719" w:type="dxa"/>
            <w:vAlign w:val="center"/>
            <w:hideMark/>
          </w:tcPr>
          <w:p w14:paraId="7FA64D51" w14:textId="77777777" w:rsidR="008D45A9" w:rsidRPr="007245B0" w:rsidRDefault="008D45A9" w:rsidP="00A351F7">
            <w:pPr>
              <w:pStyle w:val="NoSpacing"/>
              <w:jc w:val="center"/>
              <w:rPr>
                <w:rFonts w:ascii="Times New Roman" w:hAnsi="Times New Roman" w:cs="Times New Roman"/>
                <w:sz w:val="18"/>
                <w:szCs w:val="18"/>
              </w:rPr>
            </w:pPr>
            <w:r w:rsidRPr="007245B0">
              <w:rPr>
                <w:rFonts w:ascii="Times New Roman" w:hAnsi="Times New Roman" w:cs="Times New Roman"/>
                <w:sz w:val="18"/>
                <w:szCs w:val="18"/>
              </w:rPr>
              <w:t>15.75</w:t>
            </w:r>
          </w:p>
        </w:tc>
        <w:tc>
          <w:tcPr>
            <w:tcW w:w="708" w:type="dxa"/>
            <w:vAlign w:val="center"/>
            <w:hideMark/>
          </w:tcPr>
          <w:p w14:paraId="29F10BC5" w14:textId="77777777" w:rsidR="008D45A9" w:rsidRPr="007245B0" w:rsidRDefault="008D45A9" w:rsidP="00A351F7">
            <w:pPr>
              <w:pStyle w:val="NoSpacing"/>
              <w:jc w:val="center"/>
              <w:rPr>
                <w:rFonts w:ascii="Times New Roman" w:hAnsi="Times New Roman" w:cs="Times New Roman"/>
                <w:sz w:val="18"/>
                <w:szCs w:val="18"/>
              </w:rPr>
            </w:pPr>
            <w:r w:rsidRPr="007245B0">
              <w:rPr>
                <w:rFonts w:ascii="Times New Roman" w:hAnsi="Times New Roman" w:cs="Times New Roman"/>
                <w:sz w:val="18"/>
                <w:szCs w:val="18"/>
              </w:rPr>
              <w:t>4.00</w:t>
            </w:r>
          </w:p>
        </w:tc>
        <w:tc>
          <w:tcPr>
            <w:tcW w:w="717" w:type="dxa"/>
            <w:vAlign w:val="center"/>
            <w:hideMark/>
          </w:tcPr>
          <w:p w14:paraId="1F5D5B69" w14:textId="77777777" w:rsidR="008D45A9" w:rsidRPr="007245B0" w:rsidRDefault="008D45A9" w:rsidP="00A351F7">
            <w:pPr>
              <w:pStyle w:val="NoSpacing"/>
              <w:jc w:val="center"/>
              <w:rPr>
                <w:rFonts w:ascii="Times New Roman" w:hAnsi="Times New Roman" w:cs="Times New Roman"/>
                <w:sz w:val="18"/>
                <w:szCs w:val="18"/>
              </w:rPr>
            </w:pPr>
            <w:r w:rsidRPr="007245B0">
              <w:rPr>
                <w:rFonts w:ascii="Times New Roman" w:hAnsi="Times New Roman" w:cs="Times New Roman"/>
                <w:sz w:val="18"/>
                <w:szCs w:val="18"/>
              </w:rPr>
              <w:t>19.75</w:t>
            </w:r>
          </w:p>
        </w:tc>
        <w:tc>
          <w:tcPr>
            <w:tcW w:w="719" w:type="dxa"/>
            <w:vAlign w:val="center"/>
            <w:hideMark/>
          </w:tcPr>
          <w:p w14:paraId="5B8892A0" w14:textId="77777777" w:rsidR="008D45A9" w:rsidRPr="007245B0" w:rsidRDefault="008D45A9" w:rsidP="00A351F7">
            <w:pPr>
              <w:pStyle w:val="NoSpacing"/>
              <w:jc w:val="center"/>
              <w:rPr>
                <w:rFonts w:ascii="Times New Roman" w:hAnsi="Times New Roman" w:cs="Times New Roman"/>
                <w:sz w:val="18"/>
                <w:szCs w:val="18"/>
              </w:rPr>
            </w:pPr>
            <w:r w:rsidRPr="007245B0">
              <w:rPr>
                <w:rFonts w:ascii="Times New Roman" w:hAnsi="Times New Roman" w:cs="Times New Roman"/>
                <w:sz w:val="18"/>
                <w:szCs w:val="18"/>
              </w:rPr>
              <w:t>70.05</w:t>
            </w:r>
          </w:p>
        </w:tc>
        <w:tc>
          <w:tcPr>
            <w:tcW w:w="717" w:type="dxa"/>
            <w:vAlign w:val="center"/>
            <w:hideMark/>
          </w:tcPr>
          <w:p w14:paraId="216DE8E8" w14:textId="77777777" w:rsidR="008D45A9" w:rsidRPr="007245B0" w:rsidRDefault="008D45A9" w:rsidP="00A351F7">
            <w:pPr>
              <w:pStyle w:val="NoSpacing"/>
              <w:jc w:val="center"/>
              <w:rPr>
                <w:rFonts w:ascii="Times New Roman" w:hAnsi="Times New Roman" w:cs="Times New Roman"/>
                <w:sz w:val="18"/>
                <w:szCs w:val="18"/>
              </w:rPr>
            </w:pPr>
            <w:r w:rsidRPr="007245B0">
              <w:rPr>
                <w:rFonts w:ascii="Times New Roman" w:hAnsi="Times New Roman" w:cs="Times New Roman"/>
                <w:sz w:val="18"/>
                <w:szCs w:val="18"/>
              </w:rPr>
              <w:t>20.00</w:t>
            </w:r>
          </w:p>
        </w:tc>
        <w:tc>
          <w:tcPr>
            <w:tcW w:w="807" w:type="dxa"/>
            <w:vAlign w:val="center"/>
            <w:hideMark/>
          </w:tcPr>
          <w:p w14:paraId="108CCB86" w14:textId="77777777" w:rsidR="008D45A9" w:rsidRPr="007245B0" w:rsidRDefault="008D45A9" w:rsidP="00A351F7">
            <w:pPr>
              <w:pStyle w:val="NoSpacing"/>
              <w:jc w:val="center"/>
              <w:rPr>
                <w:rFonts w:ascii="Times New Roman" w:hAnsi="Times New Roman" w:cs="Times New Roman"/>
                <w:sz w:val="18"/>
                <w:szCs w:val="18"/>
              </w:rPr>
            </w:pPr>
            <w:r w:rsidRPr="007245B0">
              <w:rPr>
                <w:rFonts w:ascii="Times New Roman" w:hAnsi="Times New Roman" w:cs="Times New Roman"/>
                <w:sz w:val="18"/>
                <w:szCs w:val="18"/>
              </w:rPr>
              <w:t>90.05</w:t>
            </w:r>
          </w:p>
        </w:tc>
      </w:tr>
      <w:tr w:rsidR="008D45A9" w:rsidRPr="007245B0" w14:paraId="19E60354" w14:textId="77777777" w:rsidTr="00A351F7">
        <w:trPr>
          <w:gridAfter w:val="1"/>
          <w:wAfter w:w="11" w:type="dxa"/>
          <w:trHeight w:val="206"/>
          <w:jc w:val="center"/>
        </w:trPr>
        <w:tc>
          <w:tcPr>
            <w:tcW w:w="1452" w:type="dxa"/>
            <w:hideMark/>
          </w:tcPr>
          <w:p w14:paraId="3AD64707" w14:textId="77777777" w:rsidR="008D45A9" w:rsidRPr="007245B0" w:rsidRDefault="008D45A9" w:rsidP="00B77C0B">
            <w:pPr>
              <w:pStyle w:val="NoSpacing"/>
              <w:rPr>
                <w:rFonts w:ascii="Times New Roman" w:hAnsi="Times New Roman" w:cs="Times New Roman"/>
                <w:sz w:val="18"/>
                <w:szCs w:val="18"/>
              </w:rPr>
            </w:pPr>
            <w:r w:rsidRPr="007245B0">
              <w:rPr>
                <w:rFonts w:ascii="Times New Roman" w:hAnsi="Times New Roman" w:cs="Times New Roman"/>
                <w:sz w:val="18"/>
                <w:szCs w:val="18"/>
              </w:rPr>
              <w:t>Assam</w:t>
            </w:r>
          </w:p>
        </w:tc>
        <w:tc>
          <w:tcPr>
            <w:tcW w:w="871" w:type="dxa"/>
            <w:vAlign w:val="center"/>
            <w:hideMark/>
          </w:tcPr>
          <w:p w14:paraId="496FBA39" w14:textId="77777777" w:rsidR="008D45A9" w:rsidRPr="007245B0" w:rsidRDefault="008D45A9" w:rsidP="00A351F7">
            <w:pPr>
              <w:pStyle w:val="NoSpacing"/>
              <w:jc w:val="center"/>
              <w:rPr>
                <w:rFonts w:ascii="Times New Roman" w:hAnsi="Times New Roman" w:cs="Times New Roman"/>
                <w:sz w:val="18"/>
                <w:szCs w:val="18"/>
              </w:rPr>
            </w:pPr>
            <w:r w:rsidRPr="007245B0">
              <w:rPr>
                <w:rFonts w:ascii="Times New Roman" w:hAnsi="Times New Roman" w:cs="Times New Roman"/>
                <w:sz w:val="18"/>
                <w:szCs w:val="18"/>
              </w:rPr>
              <w:t>3.25</w:t>
            </w:r>
          </w:p>
        </w:tc>
        <w:tc>
          <w:tcPr>
            <w:tcW w:w="725" w:type="dxa"/>
            <w:vAlign w:val="center"/>
            <w:hideMark/>
          </w:tcPr>
          <w:p w14:paraId="5E47FF03" w14:textId="77777777" w:rsidR="008D45A9" w:rsidRPr="007245B0" w:rsidRDefault="008D45A9" w:rsidP="00A351F7">
            <w:pPr>
              <w:pStyle w:val="NoSpacing"/>
              <w:jc w:val="center"/>
              <w:rPr>
                <w:rFonts w:ascii="Times New Roman" w:hAnsi="Times New Roman" w:cs="Times New Roman"/>
                <w:sz w:val="18"/>
                <w:szCs w:val="18"/>
              </w:rPr>
            </w:pPr>
            <w:r w:rsidRPr="007245B0">
              <w:rPr>
                <w:rFonts w:ascii="Times New Roman" w:hAnsi="Times New Roman" w:cs="Times New Roman"/>
                <w:sz w:val="18"/>
                <w:szCs w:val="18"/>
              </w:rPr>
              <w:t>4.50</w:t>
            </w:r>
          </w:p>
        </w:tc>
        <w:tc>
          <w:tcPr>
            <w:tcW w:w="871" w:type="dxa"/>
            <w:vAlign w:val="center"/>
            <w:hideMark/>
          </w:tcPr>
          <w:p w14:paraId="0B0EFBEC" w14:textId="77777777" w:rsidR="008D45A9" w:rsidRPr="007245B0" w:rsidRDefault="008D45A9" w:rsidP="00A351F7">
            <w:pPr>
              <w:pStyle w:val="NoSpacing"/>
              <w:jc w:val="center"/>
              <w:rPr>
                <w:rFonts w:ascii="Times New Roman" w:hAnsi="Times New Roman" w:cs="Times New Roman"/>
                <w:sz w:val="18"/>
                <w:szCs w:val="18"/>
              </w:rPr>
            </w:pPr>
            <w:r w:rsidRPr="007245B0">
              <w:rPr>
                <w:rFonts w:ascii="Times New Roman" w:hAnsi="Times New Roman" w:cs="Times New Roman"/>
                <w:sz w:val="18"/>
                <w:szCs w:val="18"/>
              </w:rPr>
              <w:t>7.75</w:t>
            </w:r>
          </w:p>
        </w:tc>
        <w:tc>
          <w:tcPr>
            <w:tcW w:w="823" w:type="dxa"/>
            <w:vAlign w:val="center"/>
            <w:hideMark/>
          </w:tcPr>
          <w:p w14:paraId="58E33A70" w14:textId="77777777" w:rsidR="008D45A9" w:rsidRPr="007245B0" w:rsidRDefault="008D45A9" w:rsidP="00A351F7">
            <w:pPr>
              <w:pStyle w:val="NoSpacing"/>
              <w:jc w:val="center"/>
              <w:rPr>
                <w:rFonts w:ascii="Times New Roman" w:hAnsi="Times New Roman" w:cs="Times New Roman"/>
                <w:sz w:val="18"/>
                <w:szCs w:val="18"/>
              </w:rPr>
            </w:pPr>
            <w:r w:rsidRPr="007245B0">
              <w:rPr>
                <w:rFonts w:ascii="Times New Roman" w:hAnsi="Times New Roman" w:cs="Times New Roman"/>
                <w:sz w:val="18"/>
                <w:szCs w:val="18"/>
              </w:rPr>
              <w:t>4.37</w:t>
            </w:r>
          </w:p>
        </w:tc>
        <w:tc>
          <w:tcPr>
            <w:tcW w:w="797" w:type="dxa"/>
            <w:vAlign w:val="center"/>
            <w:hideMark/>
          </w:tcPr>
          <w:p w14:paraId="2045D340" w14:textId="77777777" w:rsidR="008D45A9" w:rsidRPr="007245B0" w:rsidRDefault="008D45A9" w:rsidP="00A351F7">
            <w:pPr>
              <w:pStyle w:val="NoSpacing"/>
              <w:jc w:val="center"/>
              <w:rPr>
                <w:rFonts w:ascii="Times New Roman" w:hAnsi="Times New Roman" w:cs="Times New Roman"/>
                <w:sz w:val="18"/>
                <w:szCs w:val="18"/>
              </w:rPr>
            </w:pPr>
            <w:r w:rsidRPr="007245B0">
              <w:rPr>
                <w:rFonts w:ascii="Times New Roman" w:hAnsi="Times New Roman" w:cs="Times New Roman"/>
                <w:sz w:val="18"/>
                <w:szCs w:val="18"/>
              </w:rPr>
              <w:t>4.50</w:t>
            </w:r>
          </w:p>
        </w:tc>
        <w:tc>
          <w:tcPr>
            <w:tcW w:w="717" w:type="dxa"/>
            <w:vAlign w:val="center"/>
            <w:hideMark/>
          </w:tcPr>
          <w:p w14:paraId="31C5FBB1" w14:textId="77777777" w:rsidR="008D45A9" w:rsidRPr="007245B0" w:rsidRDefault="008D45A9" w:rsidP="00A351F7">
            <w:pPr>
              <w:pStyle w:val="NoSpacing"/>
              <w:jc w:val="center"/>
              <w:rPr>
                <w:rFonts w:ascii="Times New Roman" w:hAnsi="Times New Roman" w:cs="Times New Roman"/>
                <w:sz w:val="18"/>
                <w:szCs w:val="18"/>
              </w:rPr>
            </w:pPr>
            <w:r w:rsidRPr="007245B0">
              <w:rPr>
                <w:rFonts w:ascii="Times New Roman" w:hAnsi="Times New Roman" w:cs="Times New Roman"/>
                <w:sz w:val="18"/>
                <w:szCs w:val="18"/>
              </w:rPr>
              <w:t>8.87</w:t>
            </w:r>
          </w:p>
        </w:tc>
        <w:tc>
          <w:tcPr>
            <w:tcW w:w="719" w:type="dxa"/>
            <w:vAlign w:val="center"/>
            <w:hideMark/>
          </w:tcPr>
          <w:p w14:paraId="13558D0B" w14:textId="77777777" w:rsidR="008D45A9" w:rsidRPr="007245B0" w:rsidRDefault="008D45A9" w:rsidP="00A351F7">
            <w:pPr>
              <w:pStyle w:val="NoSpacing"/>
              <w:jc w:val="center"/>
              <w:rPr>
                <w:rFonts w:ascii="Times New Roman" w:hAnsi="Times New Roman" w:cs="Times New Roman"/>
                <w:sz w:val="18"/>
                <w:szCs w:val="18"/>
              </w:rPr>
            </w:pPr>
            <w:r w:rsidRPr="007245B0">
              <w:rPr>
                <w:rFonts w:ascii="Times New Roman" w:hAnsi="Times New Roman" w:cs="Times New Roman"/>
                <w:sz w:val="18"/>
                <w:szCs w:val="18"/>
              </w:rPr>
              <w:t>4.66</w:t>
            </w:r>
          </w:p>
        </w:tc>
        <w:tc>
          <w:tcPr>
            <w:tcW w:w="797" w:type="dxa"/>
            <w:vAlign w:val="center"/>
            <w:hideMark/>
          </w:tcPr>
          <w:p w14:paraId="5410AD5F" w14:textId="77777777" w:rsidR="008D45A9" w:rsidRPr="007245B0" w:rsidRDefault="008D45A9" w:rsidP="00A351F7">
            <w:pPr>
              <w:pStyle w:val="NoSpacing"/>
              <w:jc w:val="center"/>
              <w:rPr>
                <w:rFonts w:ascii="Times New Roman" w:hAnsi="Times New Roman" w:cs="Times New Roman"/>
                <w:sz w:val="18"/>
                <w:szCs w:val="18"/>
              </w:rPr>
            </w:pPr>
            <w:r w:rsidRPr="007245B0">
              <w:rPr>
                <w:rFonts w:ascii="Times New Roman" w:hAnsi="Times New Roman" w:cs="Times New Roman"/>
                <w:sz w:val="18"/>
                <w:szCs w:val="18"/>
              </w:rPr>
              <w:t>4.50</w:t>
            </w:r>
          </w:p>
        </w:tc>
        <w:tc>
          <w:tcPr>
            <w:tcW w:w="717" w:type="dxa"/>
            <w:vAlign w:val="center"/>
            <w:hideMark/>
          </w:tcPr>
          <w:p w14:paraId="1ED7EF34" w14:textId="77777777" w:rsidR="008D45A9" w:rsidRPr="007245B0" w:rsidRDefault="008D45A9" w:rsidP="00A351F7">
            <w:pPr>
              <w:pStyle w:val="NoSpacing"/>
              <w:jc w:val="center"/>
              <w:rPr>
                <w:rFonts w:ascii="Times New Roman" w:hAnsi="Times New Roman" w:cs="Times New Roman"/>
                <w:sz w:val="18"/>
                <w:szCs w:val="18"/>
              </w:rPr>
            </w:pPr>
            <w:r w:rsidRPr="007245B0">
              <w:rPr>
                <w:rFonts w:ascii="Times New Roman" w:hAnsi="Times New Roman" w:cs="Times New Roman"/>
                <w:sz w:val="18"/>
                <w:szCs w:val="18"/>
              </w:rPr>
              <w:t>9.16</w:t>
            </w:r>
          </w:p>
        </w:tc>
        <w:tc>
          <w:tcPr>
            <w:tcW w:w="719" w:type="dxa"/>
            <w:vAlign w:val="center"/>
            <w:hideMark/>
          </w:tcPr>
          <w:p w14:paraId="5D0061A0" w14:textId="77777777" w:rsidR="008D45A9" w:rsidRPr="007245B0" w:rsidRDefault="008D45A9" w:rsidP="00A351F7">
            <w:pPr>
              <w:pStyle w:val="NoSpacing"/>
              <w:jc w:val="center"/>
              <w:rPr>
                <w:rFonts w:ascii="Times New Roman" w:hAnsi="Times New Roman" w:cs="Times New Roman"/>
                <w:sz w:val="18"/>
                <w:szCs w:val="18"/>
              </w:rPr>
            </w:pPr>
            <w:r w:rsidRPr="007245B0">
              <w:rPr>
                <w:rFonts w:ascii="Times New Roman" w:hAnsi="Times New Roman" w:cs="Times New Roman"/>
                <w:sz w:val="18"/>
                <w:szCs w:val="18"/>
              </w:rPr>
              <w:t>5.43</w:t>
            </w:r>
          </w:p>
        </w:tc>
        <w:tc>
          <w:tcPr>
            <w:tcW w:w="708" w:type="dxa"/>
            <w:vAlign w:val="center"/>
            <w:hideMark/>
          </w:tcPr>
          <w:p w14:paraId="72AE18C1" w14:textId="77777777" w:rsidR="008D45A9" w:rsidRPr="007245B0" w:rsidRDefault="008D45A9" w:rsidP="00A351F7">
            <w:pPr>
              <w:pStyle w:val="NoSpacing"/>
              <w:jc w:val="center"/>
              <w:rPr>
                <w:rFonts w:ascii="Times New Roman" w:hAnsi="Times New Roman" w:cs="Times New Roman"/>
                <w:sz w:val="18"/>
                <w:szCs w:val="18"/>
              </w:rPr>
            </w:pPr>
            <w:r w:rsidRPr="007245B0">
              <w:rPr>
                <w:rFonts w:ascii="Times New Roman" w:hAnsi="Times New Roman" w:cs="Times New Roman"/>
                <w:sz w:val="18"/>
                <w:szCs w:val="18"/>
              </w:rPr>
              <w:t>4.50</w:t>
            </w:r>
          </w:p>
        </w:tc>
        <w:tc>
          <w:tcPr>
            <w:tcW w:w="717" w:type="dxa"/>
            <w:vAlign w:val="center"/>
            <w:hideMark/>
          </w:tcPr>
          <w:p w14:paraId="1BF897F4" w14:textId="77777777" w:rsidR="008D45A9" w:rsidRPr="007245B0" w:rsidRDefault="008D45A9" w:rsidP="00A351F7">
            <w:pPr>
              <w:pStyle w:val="NoSpacing"/>
              <w:jc w:val="center"/>
              <w:rPr>
                <w:rFonts w:ascii="Times New Roman" w:hAnsi="Times New Roman" w:cs="Times New Roman"/>
                <w:sz w:val="18"/>
                <w:szCs w:val="18"/>
              </w:rPr>
            </w:pPr>
            <w:r w:rsidRPr="007245B0">
              <w:rPr>
                <w:rFonts w:ascii="Times New Roman" w:hAnsi="Times New Roman" w:cs="Times New Roman"/>
                <w:sz w:val="18"/>
                <w:szCs w:val="18"/>
              </w:rPr>
              <w:t>9.93</w:t>
            </w:r>
          </w:p>
        </w:tc>
        <w:tc>
          <w:tcPr>
            <w:tcW w:w="719" w:type="dxa"/>
            <w:vAlign w:val="center"/>
            <w:hideMark/>
          </w:tcPr>
          <w:p w14:paraId="2AEA3E96" w14:textId="77777777" w:rsidR="008D45A9" w:rsidRPr="007245B0" w:rsidRDefault="008D45A9" w:rsidP="00A351F7">
            <w:pPr>
              <w:pStyle w:val="NoSpacing"/>
              <w:jc w:val="center"/>
              <w:rPr>
                <w:rFonts w:ascii="Times New Roman" w:hAnsi="Times New Roman" w:cs="Times New Roman"/>
                <w:sz w:val="18"/>
                <w:szCs w:val="18"/>
              </w:rPr>
            </w:pPr>
            <w:r w:rsidRPr="007245B0">
              <w:rPr>
                <w:rFonts w:ascii="Times New Roman" w:hAnsi="Times New Roman" w:cs="Times New Roman"/>
                <w:sz w:val="18"/>
                <w:szCs w:val="18"/>
              </w:rPr>
              <w:t>5.15</w:t>
            </w:r>
          </w:p>
        </w:tc>
        <w:tc>
          <w:tcPr>
            <w:tcW w:w="708" w:type="dxa"/>
            <w:vAlign w:val="center"/>
            <w:hideMark/>
          </w:tcPr>
          <w:p w14:paraId="776FDD40" w14:textId="77777777" w:rsidR="008D45A9" w:rsidRPr="007245B0" w:rsidRDefault="008D45A9" w:rsidP="00A351F7">
            <w:pPr>
              <w:pStyle w:val="NoSpacing"/>
              <w:jc w:val="center"/>
              <w:rPr>
                <w:rFonts w:ascii="Times New Roman" w:hAnsi="Times New Roman" w:cs="Times New Roman"/>
                <w:sz w:val="18"/>
                <w:szCs w:val="18"/>
              </w:rPr>
            </w:pPr>
            <w:r w:rsidRPr="007245B0">
              <w:rPr>
                <w:rFonts w:ascii="Times New Roman" w:hAnsi="Times New Roman" w:cs="Times New Roman"/>
                <w:sz w:val="18"/>
                <w:szCs w:val="18"/>
              </w:rPr>
              <w:t>4.50</w:t>
            </w:r>
          </w:p>
        </w:tc>
        <w:tc>
          <w:tcPr>
            <w:tcW w:w="717" w:type="dxa"/>
            <w:vAlign w:val="center"/>
            <w:hideMark/>
          </w:tcPr>
          <w:p w14:paraId="1987DB82" w14:textId="77777777" w:rsidR="008D45A9" w:rsidRPr="007245B0" w:rsidRDefault="008D45A9" w:rsidP="00A351F7">
            <w:pPr>
              <w:pStyle w:val="NoSpacing"/>
              <w:jc w:val="center"/>
              <w:rPr>
                <w:rFonts w:ascii="Times New Roman" w:hAnsi="Times New Roman" w:cs="Times New Roman"/>
                <w:sz w:val="18"/>
                <w:szCs w:val="18"/>
              </w:rPr>
            </w:pPr>
            <w:r w:rsidRPr="007245B0">
              <w:rPr>
                <w:rFonts w:ascii="Times New Roman" w:hAnsi="Times New Roman" w:cs="Times New Roman"/>
                <w:sz w:val="18"/>
                <w:szCs w:val="18"/>
              </w:rPr>
              <w:t>9.65</w:t>
            </w:r>
          </w:p>
        </w:tc>
        <w:tc>
          <w:tcPr>
            <w:tcW w:w="719" w:type="dxa"/>
            <w:vAlign w:val="center"/>
            <w:hideMark/>
          </w:tcPr>
          <w:p w14:paraId="0BFCDC6D" w14:textId="77777777" w:rsidR="008D45A9" w:rsidRPr="007245B0" w:rsidRDefault="008D45A9" w:rsidP="00A351F7">
            <w:pPr>
              <w:pStyle w:val="NoSpacing"/>
              <w:jc w:val="center"/>
              <w:rPr>
                <w:rFonts w:ascii="Times New Roman" w:hAnsi="Times New Roman" w:cs="Times New Roman"/>
                <w:sz w:val="18"/>
                <w:szCs w:val="18"/>
              </w:rPr>
            </w:pPr>
            <w:r w:rsidRPr="007245B0">
              <w:rPr>
                <w:rFonts w:ascii="Times New Roman" w:hAnsi="Times New Roman" w:cs="Times New Roman"/>
                <w:sz w:val="18"/>
                <w:szCs w:val="18"/>
              </w:rPr>
              <w:t>22.86</w:t>
            </w:r>
          </w:p>
        </w:tc>
        <w:tc>
          <w:tcPr>
            <w:tcW w:w="717" w:type="dxa"/>
            <w:vAlign w:val="center"/>
            <w:hideMark/>
          </w:tcPr>
          <w:p w14:paraId="7EA0FF09" w14:textId="77777777" w:rsidR="008D45A9" w:rsidRPr="007245B0" w:rsidRDefault="008D45A9" w:rsidP="00A351F7">
            <w:pPr>
              <w:pStyle w:val="NoSpacing"/>
              <w:jc w:val="center"/>
              <w:rPr>
                <w:rFonts w:ascii="Times New Roman" w:hAnsi="Times New Roman" w:cs="Times New Roman"/>
                <w:sz w:val="18"/>
                <w:szCs w:val="18"/>
              </w:rPr>
            </w:pPr>
            <w:r w:rsidRPr="007245B0">
              <w:rPr>
                <w:rFonts w:ascii="Times New Roman" w:hAnsi="Times New Roman" w:cs="Times New Roman"/>
                <w:sz w:val="18"/>
                <w:szCs w:val="18"/>
              </w:rPr>
              <w:t>22.50</w:t>
            </w:r>
          </w:p>
        </w:tc>
        <w:tc>
          <w:tcPr>
            <w:tcW w:w="807" w:type="dxa"/>
            <w:vAlign w:val="center"/>
            <w:hideMark/>
          </w:tcPr>
          <w:p w14:paraId="0164FA61" w14:textId="77777777" w:rsidR="008D45A9" w:rsidRPr="007245B0" w:rsidRDefault="008D45A9" w:rsidP="00A351F7">
            <w:pPr>
              <w:pStyle w:val="NoSpacing"/>
              <w:jc w:val="center"/>
              <w:rPr>
                <w:rFonts w:ascii="Times New Roman" w:hAnsi="Times New Roman" w:cs="Times New Roman"/>
                <w:sz w:val="18"/>
                <w:szCs w:val="18"/>
              </w:rPr>
            </w:pPr>
            <w:r w:rsidRPr="007245B0">
              <w:rPr>
                <w:rFonts w:ascii="Times New Roman" w:hAnsi="Times New Roman" w:cs="Times New Roman"/>
                <w:sz w:val="18"/>
                <w:szCs w:val="18"/>
              </w:rPr>
              <w:t>45.36</w:t>
            </w:r>
          </w:p>
        </w:tc>
      </w:tr>
      <w:tr w:rsidR="008D45A9" w:rsidRPr="007245B0" w14:paraId="2AC653CA" w14:textId="77777777" w:rsidTr="00A351F7">
        <w:trPr>
          <w:gridAfter w:val="1"/>
          <w:wAfter w:w="11" w:type="dxa"/>
          <w:trHeight w:val="206"/>
          <w:jc w:val="center"/>
        </w:trPr>
        <w:tc>
          <w:tcPr>
            <w:tcW w:w="1452" w:type="dxa"/>
            <w:hideMark/>
          </w:tcPr>
          <w:p w14:paraId="281A67D0" w14:textId="77777777" w:rsidR="008D45A9" w:rsidRPr="007245B0" w:rsidRDefault="008D45A9" w:rsidP="00B77C0B">
            <w:pPr>
              <w:pStyle w:val="NoSpacing"/>
              <w:rPr>
                <w:rFonts w:ascii="Times New Roman" w:hAnsi="Times New Roman" w:cs="Times New Roman"/>
                <w:sz w:val="18"/>
                <w:szCs w:val="18"/>
              </w:rPr>
            </w:pPr>
            <w:r w:rsidRPr="007245B0">
              <w:rPr>
                <w:rFonts w:ascii="Times New Roman" w:hAnsi="Times New Roman" w:cs="Times New Roman"/>
                <w:sz w:val="18"/>
                <w:szCs w:val="18"/>
              </w:rPr>
              <w:t>Bihar</w:t>
            </w:r>
          </w:p>
        </w:tc>
        <w:tc>
          <w:tcPr>
            <w:tcW w:w="871" w:type="dxa"/>
            <w:vAlign w:val="center"/>
            <w:hideMark/>
          </w:tcPr>
          <w:p w14:paraId="180D61AE" w14:textId="77777777" w:rsidR="008D45A9" w:rsidRPr="007245B0" w:rsidRDefault="008D45A9" w:rsidP="00A351F7">
            <w:pPr>
              <w:pStyle w:val="NoSpacing"/>
              <w:jc w:val="center"/>
              <w:rPr>
                <w:rFonts w:ascii="Times New Roman" w:hAnsi="Times New Roman" w:cs="Times New Roman"/>
                <w:sz w:val="18"/>
                <w:szCs w:val="18"/>
              </w:rPr>
            </w:pPr>
            <w:r w:rsidRPr="007245B0">
              <w:rPr>
                <w:rFonts w:ascii="Times New Roman" w:hAnsi="Times New Roman" w:cs="Times New Roman"/>
                <w:sz w:val="18"/>
                <w:szCs w:val="18"/>
              </w:rPr>
              <w:t>11.67</w:t>
            </w:r>
          </w:p>
        </w:tc>
        <w:tc>
          <w:tcPr>
            <w:tcW w:w="725" w:type="dxa"/>
            <w:vAlign w:val="center"/>
            <w:hideMark/>
          </w:tcPr>
          <w:p w14:paraId="54691A80" w14:textId="77777777" w:rsidR="008D45A9" w:rsidRPr="007245B0" w:rsidRDefault="008D45A9" w:rsidP="00A351F7">
            <w:pPr>
              <w:pStyle w:val="NoSpacing"/>
              <w:jc w:val="center"/>
              <w:rPr>
                <w:rFonts w:ascii="Times New Roman" w:hAnsi="Times New Roman" w:cs="Times New Roman"/>
                <w:sz w:val="18"/>
                <w:szCs w:val="18"/>
              </w:rPr>
            </w:pPr>
            <w:r w:rsidRPr="007245B0">
              <w:rPr>
                <w:rFonts w:ascii="Times New Roman" w:hAnsi="Times New Roman" w:cs="Times New Roman"/>
                <w:sz w:val="18"/>
                <w:szCs w:val="18"/>
              </w:rPr>
              <w:t>4.22</w:t>
            </w:r>
          </w:p>
        </w:tc>
        <w:tc>
          <w:tcPr>
            <w:tcW w:w="871" w:type="dxa"/>
            <w:vAlign w:val="center"/>
            <w:hideMark/>
          </w:tcPr>
          <w:p w14:paraId="5F2A913A" w14:textId="77777777" w:rsidR="008D45A9" w:rsidRPr="007245B0" w:rsidRDefault="008D45A9" w:rsidP="00A351F7">
            <w:pPr>
              <w:pStyle w:val="NoSpacing"/>
              <w:jc w:val="center"/>
              <w:rPr>
                <w:rFonts w:ascii="Times New Roman" w:hAnsi="Times New Roman" w:cs="Times New Roman"/>
                <w:sz w:val="18"/>
                <w:szCs w:val="18"/>
              </w:rPr>
            </w:pPr>
            <w:r w:rsidRPr="007245B0">
              <w:rPr>
                <w:rFonts w:ascii="Times New Roman" w:hAnsi="Times New Roman" w:cs="Times New Roman"/>
                <w:sz w:val="18"/>
                <w:szCs w:val="18"/>
              </w:rPr>
              <w:t>15.89</w:t>
            </w:r>
          </w:p>
        </w:tc>
        <w:tc>
          <w:tcPr>
            <w:tcW w:w="823" w:type="dxa"/>
            <w:vAlign w:val="center"/>
            <w:hideMark/>
          </w:tcPr>
          <w:p w14:paraId="7F1255CD" w14:textId="77777777" w:rsidR="008D45A9" w:rsidRPr="007245B0" w:rsidRDefault="008D45A9" w:rsidP="00A351F7">
            <w:pPr>
              <w:pStyle w:val="NoSpacing"/>
              <w:jc w:val="center"/>
              <w:rPr>
                <w:rFonts w:ascii="Times New Roman" w:hAnsi="Times New Roman" w:cs="Times New Roman"/>
                <w:sz w:val="18"/>
                <w:szCs w:val="18"/>
              </w:rPr>
            </w:pPr>
            <w:r w:rsidRPr="007245B0">
              <w:rPr>
                <w:rFonts w:ascii="Times New Roman" w:hAnsi="Times New Roman" w:cs="Times New Roman"/>
                <w:sz w:val="18"/>
                <w:szCs w:val="18"/>
              </w:rPr>
              <w:t>14.14</w:t>
            </w:r>
          </w:p>
        </w:tc>
        <w:tc>
          <w:tcPr>
            <w:tcW w:w="797" w:type="dxa"/>
            <w:vAlign w:val="center"/>
            <w:hideMark/>
          </w:tcPr>
          <w:p w14:paraId="7D72A3B6" w14:textId="77777777" w:rsidR="008D45A9" w:rsidRPr="007245B0" w:rsidRDefault="008D45A9" w:rsidP="00A351F7">
            <w:pPr>
              <w:pStyle w:val="NoSpacing"/>
              <w:jc w:val="center"/>
              <w:rPr>
                <w:rFonts w:ascii="Times New Roman" w:hAnsi="Times New Roman" w:cs="Times New Roman"/>
                <w:sz w:val="18"/>
                <w:szCs w:val="18"/>
              </w:rPr>
            </w:pPr>
            <w:r w:rsidRPr="007245B0">
              <w:rPr>
                <w:rFonts w:ascii="Times New Roman" w:hAnsi="Times New Roman" w:cs="Times New Roman"/>
                <w:sz w:val="18"/>
                <w:szCs w:val="18"/>
              </w:rPr>
              <w:t>4.22</w:t>
            </w:r>
          </w:p>
        </w:tc>
        <w:tc>
          <w:tcPr>
            <w:tcW w:w="717" w:type="dxa"/>
            <w:vAlign w:val="center"/>
            <w:hideMark/>
          </w:tcPr>
          <w:p w14:paraId="31FF8244" w14:textId="77777777" w:rsidR="008D45A9" w:rsidRPr="007245B0" w:rsidRDefault="008D45A9" w:rsidP="00A351F7">
            <w:pPr>
              <w:pStyle w:val="NoSpacing"/>
              <w:jc w:val="center"/>
              <w:rPr>
                <w:rFonts w:ascii="Times New Roman" w:hAnsi="Times New Roman" w:cs="Times New Roman"/>
                <w:sz w:val="18"/>
                <w:szCs w:val="18"/>
              </w:rPr>
            </w:pPr>
            <w:r w:rsidRPr="007245B0">
              <w:rPr>
                <w:rFonts w:ascii="Times New Roman" w:hAnsi="Times New Roman" w:cs="Times New Roman"/>
                <w:sz w:val="18"/>
                <w:szCs w:val="18"/>
              </w:rPr>
              <w:t>18.36</w:t>
            </w:r>
          </w:p>
        </w:tc>
        <w:tc>
          <w:tcPr>
            <w:tcW w:w="719" w:type="dxa"/>
            <w:vAlign w:val="center"/>
            <w:hideMark/>
          </w:tcPr>
          <w:p w14:paraId="32353C00" w14:textId="77777777" w:rsidR="008D45A9" w:rsidRPr="007245B0" w:rsidRDefault="008D45A9" w:rsidP="00A351F7">
            <w:pPr>
              <w:pStyle w:val="NoSpacing"/>
              <w:jc w:val="center"/>
              <w:rPr>
                <w:rFonts w:ascii="Times New Roman" w:hAnsi="Times New Roman" w:cs="Times New Roman"/>
                <w:sz w:val="18"/>
                <w:szCs w:val="18"/>
              </w:rPr>
            </w:pPr>
            <w:r w:rsidRPr="007245B0">
              <w:rPr>
                <w:rFonts w:ascii="Times New Roman" w:hAnsi="Times New Roman" w:cs="Times New Roman"/>
                <w:sz w:val="18"/>
                <w:szCs w:val="18"/>
              </w:rPr>
              <w:t>14.90</w:t>
            </w:r>
          </w:p>
        </w:tc>
        <w:tc>
          <w:tcPr>
            <w:tcW w:w="797" w:type="dxa"/>
            <w:vAlign w:val="center"/>
            <w:hideMark/>
          </w:tcPr>
          <w:p w14:paraId="3F4BA8E9" w14:textId="77777777" w:rsidR="008D45A9" w:rsidRPr="007245B0" w:rsidRDefault="008D45A9" w:rsidP="00A351F7">
            <w:pPr>
              <w:pStyle w:val="NoSpacing"/>
              <w:jc w:val="center"/>
              <w:rPr>
                <w:rFonts w:ascii="Times New Roman" w:hAnsi="Times New Roman" w:cs="Times New Roman"/>
                <w:sz w:val="18"/>
                <w:szCs w:val="18"/>
              </w:rPr>
            </w:pPr>
            <w:r w:rsidRPr="007245B0">
              <w:rPr>
                <w:rFonts w:ascii="Times New Roman" w:hAnsi="Times New Roman" w:cs="Times New Roman"/>
                <w:sz w:val="18"/>
                <w:szCs w:val="18"/>
              </w:rPr>
              <w:t>4.22</w:t>
            </w:r>
          </w:p>
        </w:tc>
        <w:tc>
          <w:tcPr>
            <w:tcW w:w="717" w:type="dxa"/>
            <w:vAlign w:val="center"/>
            <w:hideMark/>
          </w:tcPr>
          <w:p w14:paraId="549BD579" w14:textId="77777777" w:rsidR="008D45A9" w:rsidRPr="007245B0" w:rsidRDefault="008D45A9" w:rsidP="00A351F7">
            <w:pPr>
              <w:pStyle w:val="NoSpacing"/>
              <w:jc w:val="center"/>
              <w:rPr>
                <w:rFonts w:ascii="Times New Roman" w:hAnsi="Times New Roman" w:cs="Times New Roman"/>
                <w:sz w:val="18"/>
                <w:szCs w:val="18"/>
              </w:rPr>
            </w:pPr>
            <w:r w:rsidRPr="007245B0">
              <w:rPr>
                <w:rFonts w:ascii="Times New Roman" w:hAnsi="Times New Roman" w:cs="Times New Roman"/>
                <w:sz w:val="18"/>
                <w:szCs w:val="18"/>
              </w:rPr>
              <w:t>19.12</w:t>
            </w:r>
          </w:p>
        </w:tc>
        <w:tc>
          <w:tcPr>
            <w:tcW w:w="719" w:type="dxa"/>
            <w:vAlign w:val="center"/>
            <w:hideMark/>
          </w:tcPr>
          <w:p w14:paraId="79597332" w14:textId="77777777" w:rsidR="008D45A9" w:rsidRPr="007245B0" w:rsidRDefault="008D45A9" w:rsidP="00A351F7">
            <w:pPr>
              <w:pStyle w:val="NoSpacing"/>
              <w:jc w:val="center"/>
              <w:rPr>
                <w:rFonts w:ascii="Times New Roman" w:hAnsi="Times New Roman" w:cs="Times New Roman"/>
                <w:sz w:val="18"/>
                <w:szCs w:val="18"/>
              </w:rPr>
            </w:pPr>
            <w:r w:rsidRPr="007245B0">
              <w:rPr>
                <w:rFonts w:ascii="Times New Roman" w:hAnsi="Times New Roman" w:cs="Times New Roman"/>
                <w:sz w:val="18"/>
                <w:szCs w:val="18"/>
              </w:rPr>
              <w:t>16.40</w:t>
            </w:r>
          </w:p>
        </w:tc>
        <w:tc>
          <w:tcPr>
            <w:tcW w:w="708" w:type="dxa"/>
            <w:vAlign w:val="center"/>
            <w:hideMark/>
          </w:tcPr>
          <w:p w14:paraId="77A5491C" w14:textId="77777777" w:rsidR="008D45A9" w:rsidRPr="007245B0" w:rsidRDefault="008D45A9" w:rsidP="00A351F7">
            <w:pPr>
              <w:pStyle w:val="NoSpacing"/>
              <w:jc w:val="center"/>
              <w:rPr>
                <w:rFonts w:ascii="Times New Roman" w:hAnsi="Times New Roman" w:cs="Times New Roman"/>
                <w:sz w:val="18"/>
                <w:szCs w:val="18"/>
              </w:rPr>
            </w:pPr>
            <w:r w:rsidRPr="007245B0">
              <w:rPr>
                <w:rFonts w:ascii="Times New Roman" w:hAnsi="Times New Roman" w:cs="Times New Roman"/>
                <w:sz w:val="18"/>
                <w:szCs w:val="18"/>
              </w:rPr>
              <w:t>4.25</w:t>
            </w:r>
          </w:p>
        </w:tc>
        <w:tc>
          <w:tcPr>
            <w:tcW w:w="717" w:type="dxa"/>
            <w:vAlign w:val="center"/>
            <w:hideMark/>
          </w:tcPr>
          <w:p w14:paraId="1AF2B26E" w14:textId="77777777" w:rsidR="008D45A9" w:rsidRPr="007245B0" w:rsidRDefault="008D45A9" w:rsidP="00A351F7">
            <w:pPr>
              <w:pStyle w:val="NoSpacing"/>
              <w:jc w:val="center"/>
              <w:rPr>
                <w:rFonts w:ascii="Times New Roman" w:hAnsi="Times New Roman" w:cs="Times New Roman"/>
                <w:sz w:val="18"/>
                <w:szCs w:val="18"/>
              </w:rPr>
            </w:pPr>
            <w:r w:rsidRPr="007245B0">
              <w:rPr>
                <w:rFonts w:ascii="Times New Roman" w:hAnsi="Times New Roman" w:cs="Times New Roman"/>
                <w:sz w:val="18"/>
                <w:szCs w:val="18"/>
              </w:rPr>
              <w:t>20.65</w:t>
            </w:r>
          </w:p>
        </w:tc>
        <w:tc>
          <w:tcPr>
            <w:tcW w:w="719" w:type="dxa"/>
            <w:vAlign w:val="center"/>
            <w:hideMark/>
          </w:tcPr>
          <w:p w14:paraId="6BB3F828" w14:textId="77777777" w:rsidR="008D45A9" w:rsidRPr="007245B0" w:rsidRDefault="008D45A9" w:rsidP="00A351F7">
            <w:pPr>
              <w:pStyle w:val="NoSpacing"/>
              <w:jc w:val="center"/>
              <w:rPr>
                <w:rFonts w:ascii="Times New Roman" w:hAnsi="Times New Roman" w:cs="Times New Roman"/>
                <w:sz w:val="18"/>
                <w:szCs w:val="18"/>
              </w:rPr>
            </w:pPr>
            <w:r w:rsidRPr="007245B0">
              <w:rPr>
                <w:rFonts w:ascii="Times New Roman" w:hAnsi="Times New Roman" w:cs="Times New Roman"/>
                <w:sz w:val="18"/>
                <w:szCs w:val="18"/>
              </w:rPr>
              <w:t>17.05</w:t>
            </w:r>
          </w:p>
        </w:tc>
        <w:tc>
          <w:tcPr>
            <w:tcW w:w="708" w:type="dxa"/>
            <w:vAlign w:val="center"/>
            <w:hideMark/>
          </w:tcPr>
          <w:p w14:paraId="7243FA55" w14:textId="77777777" w:rsidR="008D45A9" w:rsidRPr="007245B0" w:rsidRDefault="008D45A9" w:rsidP="00A351F7">
            <w:pPr>
              <w:pStyle w:val="NoSpacing"/>
              <w:jc w:val="center"/>
              <w:rPr>
                <w:rFonts w:ascii="Times New Roman" w:hAnsi="Times New Roman" w:cs="Times New Roman"/>
                <w:sz w:val="18"/>
                <w:szCs w:val="18"/>
              </w:rPr>
            </w:pPr>
            <w:r w:rsidRPr="007245B0">
              <w:rPr>
                <w:rFonts w:ascii="Times New Roman" w:hAnsi="Times New Roman" w:cs="Times New Roman"/>
                <w:sz w:val="18"/>
                <w:szCs w:val="18"/>
              </w:rPr>
              <w:t>4.25</w:t>
            </w:r>
          </w:p>
        </w:tc>
        <w:tc>
          <w:tcPr>
            <w:tcW w:w="717" w:type="dxa"/>
            <w:vAlign w:val="center"/>
            <w:hideMark/>
          </w:tcPr>
          <w:p w14:paraId="34E78CFC" w14:textId="77777777" w:rsidR="008D45A9" w:rsidRPr="007245B0" w:rsidRDefault="008D45A9" w:rsidP="00A351F7">
            <w:pPr>
              <w:pStyle w:val="NoSpacing"/>
              <w:jc w:val="center"/>
              <w:rPr>
                <w:rFonts w:ascii="Times New Roman" w:hAnsi="Times New Roman" w:cs="Times New Roman"/>
                <w:sz w:val="18"/>
                <w:szCs w:val="18"/>
              </w:rPr>
            </w:pPr>
            <w:r w:rsidRPr="007245B0">
              <w:rPr>
                <w:rFonts w:ascii="Times New Roman" w:hAnsi="Times New Roman" w:cs="Times New Roman"/>
                <w:sz w:val="18"/>
                <w:szCs w:val="18"/>
              </w:rPr>
              <w:t>21.30</w:t>
            </w:r>
          </w:p>
        </w:tc>
        <w:tc>
          <w:tcPr>
            <w:tcW w:w="719" w:type="dxa"/>
            <w:vAlign w:val="center"/>
            <w:hideMark/>
          </w:tcPr>
          <w:p w14:paraId="32186DFF" w14:textId="77777777" w:rsidR="008D45A9" w:rsidRPr="007245B0" w:rsidRDefault="008D45A9" w:rsidP="00A351F7">
            <w:pPr>
              <w:pStyle w:val="NoSpacing"/>
              <w:jc w:val="center"/>
              <w:rPr>
                <w:rFonts w:ascii="Times New Roman" w:hAnsi="Times New Roman" w:cs="Times New Roman"/>
                <w:sz w:val="18"/>
                <w:szCs w:val="18"/>
              </w:rPr>
            </w:pPr>
            <w:r w:rsidRPr="007245B0">
              <w:rPr>
                <w:rFonts w:ascii="Times New Roman" w:hAnsi="Times New Roman" w:cs="Times New Roman"/>
                <w:sz w:val="18"/>
                <w:szCs w:val="18"/>
              </w:rPr>
              <w:t>74.16</w:t>
            </w:r>
          </w:p>
        </w:tc>
        <w:tc>
          <w:tcPr>
            <w:tcW w:w="717" w:type="dxa"/>
            <w:vAlign w:val="center"/>
            <w:hideMark/>
          </w:tcPr>
          <w:p w14:paraId="6E40B04B" w14:textId="77777777" w:rsidR="008D45A9" w:rsidRPr="007245B0" w:rsidRDefault="008D45A9" w:rsidP="00A351F7">
            <w:pPr>
              <w:pStyle w:val="NoSpacing"/>
              <w:jc w:val="center"/>
              <w:rPr>
                <w:rFonts w:ascii="Times New Roman" w:hAnsi="Times New Roman" w:cs="Times New Roman"/>
                <w:sz w:val="18"/>
                <w:szCs w:val="18"/>
              </w:rPr>
            </w:pPr>
            <w:r w:rsidRPr="007245B0">
              <w:rPr>
                <w:rFonts w:ascii="Times New Roman" w:hAnsi="Times New Roman" w:cs="Times New Roman"/>
                <w:sz w:val="18"/>
                <w:szCs w:val="18"/>
              </w:rPr>
              <w:t>21.16</w:t>
            </w:r>
          </w:p>
        </w:tc>
        <w:tc>
          <w:tcPr>
            <w:tcW w:w="807" w:type="dxa"/>
            <w:vAlign w:val="center"/>
            <w:hideMark/>
          </w:tcPr>
          <w:p w14:paraId="42B81339" w14:textId="77777777" w:rsidR="008D45A9" w:rsidRPr="007245B0" w:rsidRDefault="008D45A9" w:rsidP="00A351F7">
            <w:pPr>
              <w:pStyle w:val="NoSpacing"/>
              <w:jc w:val="center"/>
              <w:rPr>
                <w:rFonts w:ascii="Times New Roman" w:hAnsi="Times New Roman" w:cs="Times New Roman"/>
                <w:sz w:val="18"/>
                <w:szCs w:val="18"/>
              </w:rPr>
            </w:pPr>
            <w:r w:rsidRPr="007245B0">
              <w:rPr>
                <w:rFonts w:ascii="Times New Roman" w:hAnsi="Times New Roman" w:cs="Times New Roman"/>
                <w:sz w:val="18"/>
                <w:szCs w:val="18"/>
              </w:rPr>
              <w:t>95.32</w:t>
            </w:r>
          </w:p>
        </w:tc>
      </w:tr>
      <w:tr w:rsidR="00036A74" w:rsidRPr="007245B0" w14:paraId="0D352843" w14:textId="77777777" w:rsidTr="00A351F7">
        <w:trPr>
          <w:gridAfter w:val="1"/>
          <w:wAfter w:w="11" w:type="dxa"/>
          <w:trHeight w:val="315"/>
          <w:jc w:val="center"/>
        </w:trPr>
        <w:tc>
          <w:tcPr>
            <w:tcW w:w="1452" w:type="dxa"/>
            <w:hideMark/>
          </w:tcPr>
          <w:p w14:paraId="15893D4F" w14:textId="77777777" w:rsidR="00036A74" w:rsidRPr="007245B0" w:rsidRDefault="00036A74" w:rsidP="00B77C0B">
            <w:pPr>
              <w:pStyle w:val="NoSpacing"/>
              <w:rPr>
                <w:rFonts w:ascii="Times New Roman" w:hAnsi="Times New Roman" w:cs="Times New Roman"/>
                <w:sz w:val="18"/>
                <w:szCs w:val="18"/>
              </w:rPr>
            </w:pPr>
            <w:r w:rsidRPr="007245B0">
              <w:rPr>
                <w:rFonts w:ascii="Times New Roman" w:hAnsi="Times New Roman" w:cs="Times New Roman"/>
                <w:sz w:val="18"/>
                <w:szCs w:val="18"/>
              </w:rPr>
              <w:t>Maharashtra*</w:t>
            </w:r>
          </w:p>
        </w:tc>
        <w:tc>
          <w:tcPr>
            <w:tcW w:w="871" w:type="dxa"/>
            <w:vMerge w:val="restart"/>
            <w:vAlign w:val="center"/>
            <w:hideMark/>
          </w:tcPr>
          <w:p w14:paraId="4D01B9C5" w14:textId="5869E70A" w:rsidR="00036A74" w:rsidRPr="007245B0" w:rsidRDefault="00036A74" w:rsidP="00A351F7">
            <w:pPr>
              <w:pStyle w:val="NoSpacing"/>
              <w:jc w:val="center"/>
              <w:rPr>
                <w:rFonts w:ascii="Times New Roman" w:hAnsi="Times New Roman" w:cs="Times New Roman"/>
                <w:sz w:val="18"/>
                <w:szCs w:val="18"/>
              </w:rPr>
            </w:pPr>
            <w:r>
              <w:rPr>
                <w:rFonts w:ascii="Times New Roman" w:hAnsi="Times New Roman" w:cs="Times New Roman"/>
                <w:sz w:val="18"/>
                <w:szCs w:val="18"/>
              </w:rPr>
              <w:br/>
            </w:r>
            <w:r w:rsidRPr="007245B0">
              <w:rPr>
                <w:rFonts w:ascii="Times New Roman" w:hAnsi="Times New Roman" w:cs="Times New Roman"/>
                <w:sz w:val="18"/>
                <w:szCs w:val="18"/>
              </w:rPr>
              <w:t>19.38</w:t>
            </w:r>
          </w:p>
        </w:tc>
        <w:tc>
          <w:tcPr>
            <w:tcW w:w="725" w:type="dxa"/>
            <w:vMerge w:val="restart"/>
            <w:vAlign w:val="center"/>
            <w:hideMark/>
          </w:tcPr>
          <w:p w14:paraId="011DFA9B" w14:textId="71D15388" w:rsidR="00036A74" w:rsidRPr="007245B0" w:rsidRDefault="00036A74" w:rsidP="00A351F7">
            <w:pPr>
              <w:pStyle w:val="NoSpacing"/>
              <w:jc w:val="center"/>
              <w:rPr>
                <w:rFonts w:ascii="Times New Roman" w:hAnsi="Times New Roman" w:cs="Times New Roman"/>
                <w:sz w:val="18"/>
                <w:szCs w:val="18"/>
              </w:rPr>
            </w:pPr>
            <w:r>
              <w:rPr>
                <w:rFonts w:ascii="Times New Roman" w:hAnsi="Times New Roman" w:cs="Times New Roman"/>
                <w:sz w:val="18"/>
                <w:szCs w:val="18"/>
              </w:rPr>
              <w:br/>
            </w:r>
            <w:r w:rsidRPr="007245B0">
              <w:rPr>
                <w:rFonts w:ascii="Times New Roman" w:hAnsi="Times New Roman" w:cs="Times New Roman"/>
                <w:sz w:val="18"/>
                <w:szCs w:val="18"/>
              </w:rPr>
              <w:t>..</w:t>
            </w:r>
          </w:p>
          <w:p w14:paraId="56408BA3" w14:textId="7808BCB1" w:rsidR="00036A74" w:rsidRPr="007245B0" w:rsidRDefault="00036A74" w:rsidP="00A351F7">
            <w:pPr>
              <w:pStyle w:val="NoSpacing"/>
              <w:jc w:val="center"/>
              <w:rPr>
                <w:rFonts w:ascii="Times New Roman" w:hAnsi="Times New Roman" w:cs="Times New Roman"/>
                <w:sz w:val="18"/>
                <w:szCs w:val="18"/>
              </w:rPr>
            </w:pPr>
          </w:p>
        </w:tc>
        <w:tc>
          <w:tcPr>
            <w:tcW w:w="871" w:type="dxa"/>
            <w:vMerge w:val="restart"/>
            <w:vAlign w:val="center"/>
            <w:hideMark/>
          </w:tcPr>
          <w:p w14:paraId="013F51C3" w14:textId="067E6DA3" w:rsidR="00036A74" w:rsidRPr="007245B0" w:rsidRDefault="00036A74" w:rsidP="00A351F7">
            <w:pPr>
              <w:pStyle w:val="NoSpacing"/>
              <w:jc w:val="center"/>
              <w:rPr>
                <w:rFonts w:ascii="Times New Roman" w:hAnsi="Times New Roman" w:cs="Times New Roman"/>
                <w:sz w:val="18"/>
                <w:szCs w:val="18"/>
              </w:rPr>
            </w:pPr>
            <w:r>
              <w:rPr>
                <w:rFonts w:ascii="Times New Roman" w:hAnsi="Times New Roman" w:cs="Times New Roman"/>
                <w:sz w:val="18"/>
                <w:szCs w:val="18"/>
              </w:rPr>
              <w:br/>
            </w:r>
            <w:r w:rsidRPr="007245B0">
              <w:rPr>
                <w:rFonts w:ascii="Times New Roman" w:hAnsi="Times New Roman" w:cs="Times New Roman"/>
                <w:sz w:val="18"/>
                <w:szCs w:val="18"/>
              </w:rPr>
              <w:t>19.38</w:t>
            </w:r>
          </w:p>
          <w:p w14:paraId="0539DA97" w14:textId="023BD9ED" w:rsidR="00036A74" w:rsidRPr="007245B0" w:rsidRDefault="00036A74" w:rsidP="00A351F7">
            <w:pPr>
              <w:pStyle w:val="NoSpacing"/>
              <w:jc w:val="center"/>
              <w:rPr>
                <w:rFonts w:ascii="Times New Roman" w:hAnsi="Times New Roman" w:cs="Times New Roman"/>
                <w:sz w:val="18"/>
                <w:szCs w:val="18"/>
              </w:rPr>
            </w:pPr>
          </w:p>
        </w:tc>
        <w:tc>
          <w:tcPr>
            <w:tcW w:w="823" w:type="dxa"/>
            <w:vMerge w:val="restart"/>
            <w:vAlign w:val="center"/>
            <w:hideMark/>
          </w:tcPr>
          <w:p w14:paraId="753BD0CE" w14:textId="3B40C8FA" w:rsidR="00036A74" w:rsidRPr="007245B0" w:rsidRDefault="00036A74" w:rsidP="00A351F7">
            <w:pPr>
              <w:pStyle w:val="NoSpacing"/>
              <w:jc w:val="center"/>
              <w:rPr>
                <w:rFonts w:ascii="Times New Roman" w:hAnsi="Times New Roman" w:cs="Times New Roman"/>
                <w:sz w:val="18"/>
                <w:szCs w:val="18"/>
              </w:rPr>
            </w:pPr>
            <w:r>
              <w:rPr>
                <w:rFonts w:ascii="Times New Roman" w:hAnsi="Times New Roman" w:cs="Times New Roman"/>
                <w:sz w:val="18"/>
                <w:szCs w:val="18"/>
              </w:rPr>
              <w:br/>
            </w:r>
            <w:r w:rsidRPr="007245B0">
              <w:rPr>
                <w:rFonts w:ascii="Times New Roman" w:hAnsi="Times New Roman" w:cs="Times New Roman"/>
                <w:sz w:val="18"/>
                <w:szCs w:val="18"/>
              </w:rPr>
              <w:t>29.25</w:t>
            </w:r>
          </w:p>
          <w:p w14:paraId="17837553" w14:textId="4D2403E2" w:rsidR="00036A74" w:rsidRPr="007245B0" w:rsidRDefault="00036A74" w:rsidP="00A351F7">
            <w:pPr>
              <w:pStyle w:val="NoSpacing"/>
              <w:jc w:val="center"/>
              <w:rPr>
                <w:rFonts w:ascii="Times New Roman" w:hAnsi="Times New Roman" w:cs="Times New Roman"/>
                <w:sz w:val="18"/>
                <w:szCs w:val="18"/>
              </w:rPr>
            </w:pPr>
          </w:p>
        </w:tc>
        <w:tc>
          <w:tcPr>
            <w:tcW w:w="797" w:type="dxa"/>
            <w:vMerge w:val="restart"/>
            <w:vAlign w:val="center"/>
            <w:hideMark/>
          </w:tcPr>
          <w:p w14:paraId="1592395E" w14:textId="3F6AF297" w:rsidR="00036A74" w:rsidRPr="007245B0" w:rsidRDefault="00036A74" w:rsidP="00A351F7">
            <w:pPr>
              <w:pStyle w:val="NoSpacing"/>
              <w:jc w:val="center"/>
              <w:rPr>
                <w:rFonts w:ascii="Times New Roman" w:hAnsi="Times New Roman" w:cs="Times New Roman"/>
                <w:sz w:val="18"/>
                <w:szCs w:val="18"/>
              </w:rPr>
            </w:pPr>
            <w:r>
              <w:rPr>
                <w:rFonts w:ascii="Times New Roman" w:hAnsi="Times New Roman" w:cs="Times New Roman"/>
                <w:sz w:val="18"/>
                <w:szCs w:val="18"/>
              </w:rPr>
              <w:br/>
            </w:r>
            <w:r w:rsidRPr="007245B0">
              <w:rPr>
                <w:rFonts w:ascii="Times New Roman" w:hAnsi="Times New Roman" w:cs="Times New Roman"/>
                <w:sz w:val="18"/>
                <w:szCs w:val="18"/>
              </w:rPr>
              <w:t>..</w:t>
            </w:r>
          </w:p>
          <w:p w14:paraId="2938B9E9" w14:textId="79B5C413" w:rsidR="00036A74" w:rsidRPr="007245B0" w:rsidRDefault="00036A74" w:rsidP="00A351F7">
            <w:pPr>
              <w:pStyle w:val="NoSpacing"/>
              <w:jc w:val="center"/>
              <w:rPr>
                <w:rFonts w:ascii="Times New Roman" w:hAnsi="Times New Roman" w:cs="Times New Roman"/>
                <w:sz w:val="18"/>
                <w:szCs w:val="18"/>
              </w:rPr>
            </w:pPr>
          </w:p>
        </w:tc>
        <w:tc>
          <w:tcPr>
            <w:tcW w:w="717" w:type="dxa"/>
            <w:vMerge w:val="restart"/>
            <w:vAlign w:val="center"/>
            <w:hideMark/>
          </w:tcPr>
          <w:p w14:paraId="10D7E3B0" w14:textId="04E9678C" w:rsidR="00036A74" w:rsidRPr="007245B0" w:rsidRDefault="00036A74" w:rsidP="00A351F7">
            <w:pPr>
              <w:pStyle w:val="NoSpacing"/>
              <w:jc w:val="center"/>
              <w:rPr>
                <w:rFonts w:ascii="Times New Roman" w:hAnsi="Times New Roman" w:cs="Times New Roman"/>
                <w:sz w:val="18"/>
                <w:szCs w:val="18"/>
              </w:rPr>
            </w:pPr>
            <w:r>
              <w:rPr>
                <w:rFonts w:ascii="Times New Roman" w:hAnsi="Times New Roman" w:cs="Times New Roman"/>
                <w:sz w:val="18"/>
                <w:szCs w:val="18"/>
              </w:rPr>
              <w:br/>
            </w:r>
            <w:r w:rsidRPr="007245B0">
              <w:rPr>
                <w:rFonts w:ascii="Times New Roman" w:hAnsi="Times New Roman" w:cs="Times New Roman"/>
                <w:sz w:val="18"/>
                <w:szCs w:val="18"/>
              </w:rPr>
              <w:t>29.25</w:t>
            </w:r>
          </w:p>
          <w:p w14:paraId="0040E170" w14:textId="4D300EFA" w:rsidR="00036A74" w:rsidRPr="007245B0" w:rsidRDefault="00036A74" w:rsidP="00A351F7">
            <w:pPr>
              <w:pStyle w:val="NoSpacing"/>
              <w:jc w:val="center"/>
              <w:rPr>
                <w:rFonts w:ascii="Times New Roman" w:hAnsi="Times New Roman" w:cs="Times New Roman"/>
                <w:sz w:val="18"/>
                <w:szCs w:val="18"/>
              </w:rPr>
            </w:pPr>
          </w:p>
        </w:tc>
        <w:tc>
          <w:tcPr>
            <w:tcW w:w="719" w:type="dxa"/>
            <w:vMerge w:val="restart"/>
            <w:vAlign w:val="center"/>
            <w:hideMark/>
          </w:tcPr>
          <w:p w14:paraId="5508B01D" w14:textId="09360D6D" w:rsidR="00036A74" w:rsidRPr="007245B0" w:rsidRDefault="00036A74" w:rsidP="00A351F7">
            <w:pPr>
              <w:pStyle w:val="NoSpacing"/>
              <w:jc w:val="center"/>
              <w:rPr>
                <w:rFonts w:ascii="Times New Roman" w:hAnsi="Times New Roman" w:cs="Times New Roman"/>
                <w:sz w:val="18"/>
                <w:szCs w:val="18"/>
              </w:rPr>
            </w:pPr>
            <w:r>
              <w:rPr>
                <w:rFonts w:ascii="Times New Roman" w:hAnsi="Times New Roman" w:cs="Times New Roman"/>
                <w:sz w:val="18"/>
                <w:szCs w:val="18"/>
              </w:rPr>
              <w:br/>
            </w:r>
            <w:r w:rsidRPr="007245B0">
              <w:rPr>
                <w:rFonts w:ascii="Times New Roman" w:hAnsi="Times New Roman" w:cs="Times New Roman"/>
                <w:sz w:val="18"/>
                <w:szCs w:val="18"/>
              </w:rPr>
              <w:t>30.44</w:t>
            </w:r>
          </w:p>
          <w:p w14:paraId="5415253B" w14:textId="47BB733F" w:rsidR="00036A74" w:rsidRPr="007245B0" w:rsidRDefault="00036A74" w:rsidP="00A351F7">
            <w:pPr>
              <w:pStyle w:val="NoSpacing"/>
              <w:jc w:val="center"/>
              <w:rPr>
                <w:rFonts w:ascii="Times New Roman" w:hAnsi="Times New Roman" w:cs="Times New Roman"/>
                <w:sz w:val="18"/>
                <w:szCs w:val="18"/>
              </w:rPr>
            </w:pPr>
          </w:p>
        </w:tc>
        <w:tc>
          <w:tcPr>
            <w:tcW w:w="797" w:type="dxa"/>
            <w:vMerge w:val="restart"/>
            <w:vAlign w:val="center"/>
            <w:hideMark/>
          </w:tcPr>
          <w:p w14:paraId="11F60A67" w14:textId="79ADBE79" w:rsidR="00036A74" w:rsidRPr="007245B0" w:rsidRDefault="00036A74" w:rsidP="00A351F7">
            <w:pPr>
              <w:pStyle w:val="NoSpacing"/>
              <w:jc w:val="center"/>
              <w:rPr>
                <w:rFonts w:ascii="Times New Roman" w:hAnsi="Times New Roman" w:cs="Times New Roman"/>
                <w:sz w:val="18"/>
                <w:szCs w:val="18"/>
              </w:rPr>
            </w:pPr>
            <w:r>
              <w:rPr>
                <w:rFonts w:ascii="Times New Roman" w:hAnsi="Times New Roman" w:cs="Times New Roman"/>
                <w:sz w:val="18"/>
                <w:szCs w:val="18"/>
              </w:rPr>
              <w:br/>
            </w:r>
            <w:r w:rsidRPr="007245B0">
              <w:rPr>
                <w:rFonts w:ascii="Times New Roman" w:hAnsi="Times New Roman" w:cs="Times New Roman"/>
                <w:sz w:val="18"/>
                <w:szCs w:val="18"/>
              </w:rPr>
              <w:t>..</w:t>
            </w:r>
          </w:p>
          <w:p w14:paraId="4A423455" w14:textId="460F6A32" w:rsidR="00036A74" w:rsidRPr="007245B0" w:rsidRDefault="00036A74" w:rsidP="00A351F7">
            <w:pPr>
              <w:pStyle w:val="NoSpacing"/>
              <w:jc w:val="center"/>
              <w:rPr>
                <w:rFonts w:ascii="Times New Roman" w:hAnsi="Times New Roman" w:cs="Times New Roman"/>
                <w:sz w:val="18"/>
                <w:szCs w:val="18"/>
              </w:rPr>
            </w:pPr>
          </w:p>
        </w:tc>
        <w:tc>
          <w:tcPr>
            <w:tcW w:w="717" w:type="dxa"/>
            <w:vMerge w:val="restart"/>
            <w:vAlign w:val="center"/>
            <w:hideMark/>
          </w:tcPr>
          <w:p w14:paraId="4F9E5304" w14:textId="19712AC9" w:rsidR="00036A74" w:rsidRPr="007245B0" w:rsidRDefault="00036A74" w:rsidP="00A351F7">
            <w:pPr>
              <w:pStyle w:val="NoSpacing"/>
              <w:jc w:val="center"/>
              <w:rPr>
                <w:rFonts w:ascii="Times New Roman" w:hAnsi="Times New Roman" w:cs="Times New Roman"/>
                <w:sz w:val="18"/>
                <w:szCs w:val="18"/>
              </w:rPr>
            </w:pPr>
            <w:r>
              <w:rPr>
                <w:rFonts w:ascii="Times New Roman" w:hAnsi="Times New Roman" w:cs="Times New Roman"/>
                <w:sz w:val="18"/>
                <w:szCs w:val="18"/>
              </w:rPr>
              <w:br/>
            </w:r>
            <w:r w:rsidRPr="007245B0">
              <w:rPr>
                <w:rFonts w:ascii="Times New Roman" w:hAnsi="Times New Roman" w:cs="Times New Roman"/>
                <w:sz w:val="18"/>
                <w:szCs w:val="18"/>
              </w:rPr>
              <w:t>30.44</w:t>
            </w:r>
          </w:p>
          <w:p w14:paraId="68DE7851" w14:textId="7D411D56" w:rsidR="00036A74" w:rsidRPr="007245B0" w:rsidRDefault="00036A74" w:rsidP="00A351F7">
            <w:pPr>
              <w:pStyle w:val="NoSpacing"/>
              <w:jc w:val="center"/>
              <w:rPr>
                <w:rFonts w:ascii="Times New Roman" w:hAnsi="Times New Roman" w:cs="Times New Roman"/>
                <w:sz w:val="18"/>
                <w:szCs w:val="18"/>
              </w:rPr>
            </w:pPr>
          </w:p>
        </w:tc>
        <w:tc>
          <w:tcPr>
            <w:tcW w:w="719" w:type="dxa"/>
            <w:vAlign w:val="center"/>
            <w:hideMark/>
          </w:tcPr>
          <w:p w14:paraId="39BABAA8" w14:textId="77777777" w:rsidR="00036A74" w:rsidRPr="007245B0" w:rsidRDefault="00036A74" w:rsidP="00A351F7">
            <w:pPr>
              <w:pStyle w:val="NoSpacing"/>
              <w:jc w:val="center"/>
              <w:rPr>
                <w:rFonts w:ascii="Times New Roman" w:hAnsi="Times New Roman" w:cs="Times New Roman"/>
                <w:sz w:val="18"/>
                <w:szCs w:val="18"/>
              </w:rPr>
            </w:pPr>
            <w:r w:rsidRPr="007245B0">
              <w:rPr>
                <w:rFonts w:ascii="Times New Roman" w:hAnsi="Times New Roman" w:cs="Times New Roman"/>
                <w:sz w:val="18"/>
                <w:szCs w:val="18"/>
              </w:rPr>
              <w:t>14.96</w:t>
            </w:r>
          </w:p>
        </w:tc>
        <w:tc>
          <w:tcPr>
            <w:tcW w:w="708" w:type="dxa"/>
            <w:vAlign w:val="center"/>
            <w:hideMark/>
          </w:tcPr>
          <w:p w14:paraId="4B9782D7" w14:textId="77777777" w:rsidR="00036A74" w:rsidRPr="007245B0" w:rsidRDefault="00036A74" w:rsidP="00A351F7">
            <w:pPr>
              <w:pStyle w:val="NoSpacing"/>
              <w:jc w:val="center"/>
              <w:rPr>
                <w:rFonts w:ascii="Times New Roman" w:hAnsi="Times New Roman" w:cs="Times New Roman"/>
                <w:sz w:val="18"/>
                <w:szCs w:val="18"/>
              </w:rPr>
            </w:pPr>
            <w:r w:rsidRPr="007245B0">
              <w:rPr>
                <w:rFonts w:ascii="Times New Roman" w:hAnsi="Times New Roman" w:cs="Times New Roman"/>
                <w:sz w:val="18"/>
                <w:szCs w:val="18"/>
              </w:rPr>
              <w:t>..</w:t>
            </w:r>
          </w:p>
        </w:tc>
        <w:tc>
          <w:tcPr>
            <w:tcW w:w="717" w:type="dxa"/>
            <w:vAlign w:val="center"/>
            <w:hideMark/>
          </w:tcPr>
          <w:p w14:paraId="0E835AB5" w14:textId="77777777" w:rsidR="00036A74" w:rsidRPr="007245B0" w:rsidRDefault="00036A74" w:rsidP="00A351F7">
            <w:pPr>
              <w:pStyle w:val="NoSpacing"/>
              <w:jc w:val="center"/>
              <w:rPr>
                <w:rFonts w:ascii="Times New Roman" w:hAnsi="Times New Roman" w:cs="Times New Roman"/>
                <w:sz w:val="18"/>
                <w:szCs w:val="18"/>
              </w:rPr>
            </w:pPr>
            <w:r w:rsidRPr="007245B0">
              <w:rPr>
                <w:rFonts w:ascii="Times New Roman" w:hAnsi="Times New Roman" w:cs="Times New Roman"/>
                <w:sz w:val="18"/>
                <w:szCs w:val="18"/>
              </w:rPr>
              <w:t>14.96</w:t>
            </w:r>
          </w:p>
        </w:tc>
        <w:tc>
          <w:tcPr>
            <w:tcW w:w="719" w:type="dxa"/>
            <w:vAlign w:val="center"/>
            <w:hideMark/>
          </w:tcPr>
          <w:p w14:paraId="603B9B1B" w14:textId="77777777" w:rsidR="00036A74" w:rsidRPr="007245B0" w:rsidRDefault="00036A74" w:rsidP="00A351F7">
            <w:pPr>
              <w:pStyle w:val="NoSpacing"/>
              <w:jc w:val="center"/>
              <w:rPr>
                <w:rFonts w:ascii="Times New Roman" w:hAnsi="Times New Roman" w:cs="Times New Roman"/>
                <w:sz w:val="18"/>
                <w:szCs w:val="18"/>
              </w:rPr>
            </w:pPr>
            <w:r w:rsidRPr="007245B0">
              <w:rPr>
                <w:rFonts w:ascii="Times New Roman" w:hAnsi="Times New Roman" w:cs="Times New Roman"/>
                <w:sz w:val="18"/>
                <w:szCs w:val="18"/>
              </w:rPr>
              <w:t>15.82</w:t>
            </w:r>
          </w:p>
        </w:tc>
        <w:tc>
          <w:tcPr>
            <w:tcW w:w="708" w:type="dxa"/>
            <w:vAlign w:val="center"/>
            <w:hideMark/>
          </w:tcPr>
          <w:p w14:paraId="69BA5457" w14:textId="77777777" w:rsidR="00036A74" w:rsidRPr="007245B0" w:rsidRDefault="00036A74" w:rsidP="00A351F7">
            <w:pPr>
              <w:pStyle w:val="NoSpacing"/>
              <w:jc w:val="center"/>
              <w:rPr>
                <w:rFonts w:ascii="Times New Roman" w:hAnsi="Times New Roman" w:cs="Times New Roman"/>
                <w:sz w:val="18"/>
                <w:szCs w:val="18"/>
              </w:rPr>
            </w:pPr>
            <w:r w:rsidRPr="007245B0">
              <w:rPr>
                <w:rFonts w:ascii="Times New Roman" w:hAnsi="Times New Roman" w:cs="Times New Roman"/>
                <w:sz w:val="18"/>
                <w:szCs w:val="18"/>
              </w:rPr>
              <w:t>..</w:t>
            </w:r>
          </w:p>
        </w:tc>
        <w:tc>
          <w:tcPr>
            <w:tcW w:w="717" w:type="dxa"/>
            <w:vAlign w:val="center"/>
            <w:hideMark/>
          </w:tcPr>
          <w:p w14:paraId="2C427F46" w14:textId="77777777" w:rsidR="00036A74" w:rsidRPr="007245B0" w:rsidRDefault="00036A74" w:rsidP="00A351F7">
            <w:pPr>
              <w:pStyle w:val="NoSpacing"/>
              <w:jc w:val="center"/>
              <w:rPr>
                <w:rFonts w:ascii="Times New Roman" w:hAnsi="Times New Roman" w:cs="Times New Roman"/>
                <w:sz w:val="18"/>
                <w:szCs w:val="18"/>
              </w:rPr>
            </w:pPr>
            <w:r w:rsidRPr="007245B0">
              <w:rPr>
                <w:rFonts w:ascii="Times New Roman" w:hAnsi="Times New Roman" w:cs="Times New Roman"/>
                <w:sz w:val="18"/>
                <w:szCs w:val="18"/>
              </w:rPr>
              <w:t>15.82</w:t>
            </w:r>
          </w:p>
        </w:tc>
        <w:tc>
          <w:tcPr>
            <w:tcW w:w="719" w:type="dxa"/>
            <w:vAlign w:val="center"/>
            <w:hideMark/>
          </w:tcPr>
          <w:p w14:paraId="0E1968F7" w14:textId="77777777" w:rsidR="00036A74" w:rsidRPr="007245B0" w:rsidRDefault="00036A74" w:rsidP="00A351F7">
            <w:pPr>
              <w:pStyle w:val="NoSpacing"/>
              <w:jc w:val="center"/>
              <w:rPr>
                <w:rFonts w:ascii="Times New Roman" w:hAnsi="Times New Roman" w:cs="Times New Roman"/>
                <w:sz w:val="18"/>
                <w:szCs w:val="18"/>
              </w:rPr>
            </w:pPr>
            <w:r w:rsidRPr="007245B0">
              <w:rPr>
                <w:rFonts w:ascii="Times New Roman" w:hAnsi="Times New Roman" w:cs="Times New Roman"/>
                <w:sz w:val="18"/>
                <w:szCs w:val="18"/>
              </w:rPr>
              <w:t>109.85</w:t>
            </w:r>
          </w:p>
        </w:tc>
        <w:tc>
          <w:tcPr>
            <w:tcW w:w="717" w:type="dxa"/>
            <w:vAlign w:val="center"/>
            <w:hideMark/>
          </w:tcPr>
          <w:p w14:paraId="7FDC789C" w14:textId="77777777" w:rsidR="00036A74" w:rsidRPr="007245B0" w:rsidRDefault="00036A74" w:rsidP="00A351F7">
            <w:pPr>
              <w:pStyle w:val="NoSpacing"/>
              <w:jc w:val="center"/>
              <w:rPr>
                <w:rFonts w:ascii="Times New Roman" w:hAnsi="Times New Roman" w:cs="Times New Roman"/>
                <w:sz w:val="18"/>
                <w:szCs w:val="18"/>
              </w:rPr>
            </w:pPr>
            <w:r w:rsidRPr="007245B0">
              <w:rPr>
                <w:rFonts w:ascii="Times New Roman" w:hAnsi="Times New Roman" w:cs="Times New Roman"/>
                <w:sz w:val="18"/>
                <w:szCs w:val="18"/>
              </w:rPr>
              <w:t>..</w:t>
            </w:r>
          </w:p>
        </w:tc>
        <w:tc>
          <w:tcPr>
            <w:tcW w:w="807" w:type="dxa"/>
            <w:vAlign w:val="center"/>
            <w:hideMark/>
          </w:tcPr>
          <w:p w14:paraId="480BF14E" w14:textId="77777777" w:rsidR="00036A74" w:rsidRPr="007245B0" w:rsidRDefault="00036A74" w:rsidP="00A351F7">
            <w:pPr>
              <w:pStyle w:val="NoSpacing"/>
              <w:jc w:val="center"/>
              <w:rPr>
                <w:rFonts w:ascii="Times New Roman" w:hAnsi="Times New Roman" w:cs="Times New Roman"/>
                <w:sz w:val="18"/>
                <w:szCs w:val="18"/>
              </w:rPr>
            </w:pPr>
            <w:r w:rsidRPr="007245B0">
              <w:rPr>
                <w:rFonts w:ascii="Times New Roman" w:hAnsi="Times New Roman" w:cs="Times New Roman"/>
                <w:sz w:val="18"/>
                <w:szCs w:val="18"/>
              </w:rPr>
              <w:t>109.85</w:t>
            </w:r>
          </w:p>
        </w:tc>
      </w:tr>
      <w:tr w:rsidR="00036A74" w:rsidRPr="007245B0" w14:paraId="1B311480" w14:textId="77777777" w:rsidTr="00A351F7">
        <w:trPr>
          <w:gridAfter w:val="1"/>
          <w:wAfter w:w="11" w:type="dxa"/>
          <w:trHeight w:val="206"/>
          <w:jc w:val="center"/>
        </w:trPr>
        <w:tc>
          <w:tcPr>
            <w:tcW w:w="1452" w:type="dxa"/>
            <w:hideMark/>
          </w:tcPr>
          <w:p w14:paraId="4B564D88" w14:textId="77777777" w:rsidR="00036A74" w:rsidRPr="007245B0" w:rsidRDefault="00036A74" w:rsidP="00B77C0B">
            <w:pPr>
              <w:pStyle w:val="NoSpacing"/>
              <w:rPr>
                <w:rFonts w:ascii="Times New Roman" w:hAnsi="Times New Roman" w:cs="Times New Roman"/>
                <w:sz w:val="18"/>
                <w:szCs w:val="18"/>
              </w:rPr>
            </w:pPr>
            <w:r w:rsidRPr="007245B0">
              <w:rPr>
                <w:rFonts w:ascii="Times New Roman" w:hAnsi="Times New Roman" w:cs="Times New Roman"/>
                <w:sz w:val="18"/>
                <w:szCs w:val="18"/>
              </w:rPr>
              <w:t>Gujarat*</w:t>
            </w:r>
          </w:p>
        </w:tc>
        <w:tc>
          <w:tcPr>
            <w:tcW w:w="871" w:type="dxa"/>
            <w:vMerge/>
            <w:vAlign w:val="center"/>
            <w:hideMark/>
          </w:tcPr>
          <w:p w14:paraId="48E94747" w14:textId="61257DA6" w:rsidR="00036A74" w:rsidRPr="007245B0" w:rsidRDefault="00036A74" w:rsidP="00A351F7">
            <w:pPr>
              <w:pStyle w:val="NoSpacing"/>
              <w:jc w:val="center"/>
              <w:rPr>
                <w:rFonts w:ascii="Times New Roman" w:hAnsi="Times New Roman" w:cs="Times New Roman"/>
                <w:sz w:val="18"/>
                <w:szCs w:val="18"/>
              </w:rPr>
            </w:pPr>
          </w:p>
        </w:tc>
        <w:tc>
          <w:tcPr>
            <w:tcW w:w="725" w:type="dxa"/>
            <w:vMerge/>
            <w:vAlign w:val="center"/>
            <w:hideMark/>
          </w:tcPr>
          <w:p w14:paraId="386045B6" w14:textId="77E757BE" w:rsidR="00036A74" w:rsidRPr="007245B0" w:rsidRDefault="00036A74" w:rsidP="00A351F7">
            <w:pPr>
              <w:pStyle w:val="NoSpacing"/>
              <w:jc w:val="center"/>
              <w:rPr>
                <w:rFonts w:ascii="Times New Roman" w:hAnsi="Times New Roman" w:cs="Times New Roman"/>
                <w:sz w:val="18"/>
                <w:szCs w:val="18"/>
              </w:rPr>
            </w:pPr>
          </w:p>
        </w:tc>
        <w:tc>
          <w:tcPr>
            <w:tcW w:w="871" w:type="dxa"/>
            <w:vMerge/>
            <w:vAlign w:val="center"/>
            <w:hideMark/>
          </w:tcPr>
          <w:p w14:paraId="605F2591" w14:textId="54BD67AE" w:rsidR="00036A74" w:rsidRPr="007245B0" w:rsidRDefault="00036A74" w:rsidP="00A351F7">
            <w:pPr>
              <w:pStyle w:val="NoSpacing"/>
              <w:jc w:val="center"/>
              <w:rPr>
                <w:rFonts w:ascii="Times New Roman" w:hAnsi="Times New Roman" w:cs="Times New Roman"/>
                <w:sz w:val="18"/>
                <w:szCs w:val="18"/>
              </w:rPr>
            </w:pPr>
          </w:p>
        </w:tc>
        <w:tc>
          <w:tcPr>
            <w:tcW w:w="823" w:type="dxa"/>
            <w:vMerge/>
            <w:vAlign w:val="center"/>
            <w:hideMark/>
          </w:tcPr>
          <w:p w14:paraId="3D310C55" w14:textId="4717C05F" w:rsidR="00036A74" w:rsidRPr="007245B0" w:rsidRDefault="00036A74" w:rsidP="00A351F7">
            <w:pPr>
              <w:pStyle w:val="NoSpacing"/>
              <w:jc w:val="center"/>
              <w:rPr>
                <w:rFonts w:ascii="Times New Roman" w:hAnsi="Times New Roman" w:cs="Times New Roman"/>
                <w:sz w:val="18"/>
                <w:szCs w:val="18"/>
              </w:rPr>
            </w:pPr>
          </w:p>
        </w:tc>
        <w:tc>
          <w:tcPr>
            <w:tcW w:w="797" w:type="dxa"/>
            <w:vMerge/>
            <w:vAlign w:val="center"/>
            <w:hideMark/>
          </w:tcPr>
          <w:p w14:paraId="1DB2FEDC" w14:textId="7CDF176A" w:rsidR="00036A74" w:rsidRPr="007245B0" w:rsidRDefault="00036A74" w:rsidP="00A351F7">
            <w:pPr>
              <w:pStyle w:val="NoSpacing"/>
              <w:jc w:val="center"/>
              <w:rPr>
                <w:rFonts w:ascii="Times New Roman" w:hAnsi="Times New Roman" w:cs="Times New Roman"/>
                <w:sz w:val="18"/>
                <w:szCs w:val="18"/>
              </w:rPr>
            </w:pPr>
          </w:p>
        </w:tc>
        <w:tc>
          <w:tcPr>
            <w:tcW w:w="717" w:type="dxa"/>
            <w:vMerge/>
            <w:vAlign w:val="center"/>
            <w:hideMark/>
          </w:tcPr>
          <w:p w14:paraId="76E7F990" w14:textId="66FCF1DF" w:rsidR="00036A74" w:rsidRPr="007245B0" w:rsidRDefault="00036A74" w:rsidP="00A351F7">
            <w:pPr>
              <w:pStyle w:val="NoSpacing"/>
              <w:jc w:val="center"/>
              <w:rPr>
                <w:rFonts w:ascii="Times New Roman" w:hAnsi="Times New Roman" w:cs="Times New Roman"/>
                <w:sz w:val="18"/>
                <w:szCs w:val="18"/>
              </w:rPr>
            </w:pPr>
          </w:p>
        </w:tc>
        <w:tc>
          <w:tcPr>
            <w:tcW w:w="719" w:type="dxa"/>
            <w:vMerge/>
            <w:vAlign w:val="center"/>
            <w:hideMark/>
          </w:tcPr>
          <w:p w14:paraId="3C5DF9A1" w14:textId="17167EBC" w:rsidR="00036A74" w:rsidRPr="007245B0" w:rsidRDefault="00036A74" w:rsidP="00A351F7">
            <w:pPr>
              <w:pStyle w:val="NoSpacing"/>
              <w:jc w:val="center"/>
              <w:rPr>
                <w:rFonts w:ascii="Times New Roman" w:hAnsi="Times New Roman" w:cs="Times New Roman"/>
                <w:sz w:val="18"/>
                <w:szCs w:val="18"/>
              </w:rPr>
            </w:pPr>
          </w:p>
        </w:tc>
        <w:tc>
          <w:tcPr>
            <w:tcW w:w="797" w:type="dxa"/>
            <w:vMerge/>
            <w:vAlign w:val="center"/>
            <w:hideMark/>
          </w:tcPr>
          <w:p w14:paraId="7C3E7A1D" w14:textId="49EFDCCA" w:rsidR="00036A74" w:rsidRPr="007245B0" w:rsidRDefault="00036A74" w:rsidP="00A351F7">
            <w:pPr>
              <w:pStyle w:val="NoSpacing"/>
              <w:jc w:val="center"/>
              <w:rPr>
                <w:rFonts w:ascii="Times New Roman" w:hAnsi="Times New Roman" w:cs="Times New Roman"/>
                <w:sz w:val="18"/>
                <w:szCs w:val="18"/>
              </w:rPr>
            </w:pPr>
          </w:p>
        </w:tc>
        <w:tc>
          <w:tcPr>
            <w:tcW w:w="717" w:type="dxa"/>
            <w:vMerge/>
            <w:vAlign w:val="center"/>
            <w:hideMark/>
          </w:tcPr>
          <w:p w14:paraId="03DFA892" w14:textId="06A3A930" w:rsidR="00036A74" w:rsidRPr="007245B0" w:rsidRDefault="00036A74" w:rsidP="00A351F7">
            <w:pPr>
              <w:pStyle w:val="NoSpacing"/>
              <w:jc w:val="center"/>
              <w:rPr>
                <w:rFonts w:ascii="Times New Roman" w:hAnsi="Times New Roman" w:cs="Times New Roman"/>
                <w:sz w:val="18"/>
                <w:szCs w:val="18"/>
              </w:rPr>
            </w:pPr>
          </w:p>
        </w:tc>
        <w:tc>
          <w:tcPr>
            <w:tcW w:w="719" w:type="dxa"/>
            <w:vAlign w:val="center"/>
            <w:hideMark/>
          </w:tcPr>
          <w:p w14:paraId="36528A3C" w14:textId="77777777" w:rsidR="00036A74" w:rsidRPr="007245B0" w:rsidRDefault="00036A74" w:rsidP="00A351F7">
            <w:pPr>
              <w:pStyle w:val="NoSpacing"/>
              <w:jc w:val="center"/>
              <w:rPr>
                <w:rFonts w:ascii="Times New Roman" w:hAnsi="Times New Roman" w:cs="Times New Roman"/>
                <w:sz w:val="18"/>
                <w:szCs w:val="18"/>
              </w:rPr>
            </w:pPr>
            <w:r w:rsidRPr="007245B0">
              <w:rPr>
                <w:rFonts w:ascii="Times New Roman" w:hAnsi="Times New Roman" w:cs="Times New Roman"/>
                <w:sz w:val="18"/>
                <w:szCs w:val="18"/>
              </w:rPr>
              <w:t>17.10</w:t>
            </w:r>
          </w:p>
        </w:tc>
        <w:tc>
          <w:tcPr>
            <w:tcW w:w="708" w:type="dxa"/>
            <w:vAlign w:val="center"/>
            <w:hideMark/>
          </w:tcPr>
          <w:p w14:paraId="178DE52F" w14:textId="77777777" w:rsidR="00036A74" w:rsidRPr="007245B0" w:rsidRDefault="00036A74" w:rsidP="00A351F7">
            <w:pPr>
              <w:pStyle w:val="NoSpacing"/>
              <w:jc w:val="center"/>
              <w:rPr>
                <w:rFonts w:ascii="Times New Roman" w:hAnsi="Times New Roman" w:cs="Times New Roman"/>
                <w:sz w:val="18"/>
                <w:szCs w:val="18"/>
              </w:rPr>
            </w:pPr>
            <w:r w:rsidRPr="007245B0">
              <w:rPr>
                <w:rFonts w:ascii="Times New Roman" w:hAnsi="Times New Roman" w:cs="Times New Roman"/>
                <w:sz w:val="18"/>
                <w:szCs w:val="18"/>
              </w:rPr>
              <w:t>..</w:t>
            </w:r>
          </w:p>
        </w:tc>
        <w:tc>
          <w:tcPr>
            <w:tcW w:w="717" w:type="dxa"/>
            <w:vAlign w:val="center"/>
            <w:hideMark/>
          </w:tcPr>
          <w:p w14:paraId="399DF732" w14:textId="77777777" w:rsidR="00036A74" w:rsidRPr="007245B0" w:rsidRDefault="00036A74" w:rsidP="00A351F7">
            <w:pPr>
              <w:pStyle w:val="NoSpacing"/>
              <w:jc w:val="center"/>
              <w:rPr>
                <w:rFonts w:ascii="Times New Roman" w:hAnsi="Times New Roman" w:cs="Times New Roman"/>
                <w:sz w:val="18"/>
                <w:szCs w:val="18"/>
              </w:rPr>
            </w:pPr>
            <w:r w:rsidRPr="007245B0">
              <w:rPr>
                <w:rFonts w:ascii="Times New Roman" w:hAnsi="Times New Roman" w:cs="Times New Roman"/>
                <w:sz w:val="18"/>
                <w:szCs w:val="18"/>
              </w:rPr>
              <w:t>17.10</w:t>
            </w:r>
          </w:p>
        </w:tc>
        <w:tc>
          <w:tcPr>
            <w:tcW w:w="719" w:type="dxa"/>
            <w:vAlign w:val="center"/>
            <w:hideMark/>
          </w:tcPr>
          <w:p w14:paraId="7C20F8B3" w14:textId="77777777" w:rsidR="00036A74" w:rsidRPr="007245B0" w:rsidRDefault="00036A74" w:rsidP="00A351F7">
            <w:pPr>
              <w:pStyle w:val="NoSpacing"/>
              <w:jc w:val="center"/>
              <w:rPr>
                <w:rFonts w:ascii="Times New Roman" w:hAnsi="Times New Roman" w:cs="Times New Roman"/>
                <w:sz w:val="18"/>
                <w:szCs w:val="18"/>
              </w:rPr>
            </w:pPr>
            <w:r w:rsidRPr="007245B0">
              <w:rPr>
                <w:rFonts w:ascii="Times New Roman" w:hAnsi="Times New Roman" w:cs="Times New Roman"/>
                <w:sz w:val="18"/>
                <w:szCs w:val="18"/>
              </w:rPr>
              <w:t>18.69</w:t>
            </w:r>
          </w:p>
        </w:tc>
        <w:tc>
          <w:tcPr>
            <w:tcW w:w="708" w:type="dxa"/>
            <w:vAlign w:val="center"/>
            <w:hideMark/>
          </w:tcPr>
          <w:p w14:paraId="17F1EC6E" w14:textId="77777777" w:rsidR="00036A74" w:rsidRPr="007245B0" w:rsidRDefault="00036A74" w:rsidP="00A351F7">
            <w:pPr>
              <w:pStyle w:val="NoSpacing"/>
              <w:jc w:val="center"/>
              <w:rPr>
                <w:rFonts w:ascii="Times New Roman" w:hAnsi="Times New Roman" w:cs="Times New Roman"/>
                <w:sz w:val="18"/>
                <w:szCs w:val="18"/>
              </w:rPr>
            </w:pPr>
            <w:r w:rsidRPr="007245B0">
              <w:rPr>
                <w:rFonts w:ascii="Times New Roman" w:hAnsi="Times New Roman" w:cs="Times New Roman"/>
                <w:sz w:val="18"/>
                <w:szCs w:val="18"/>
              </w:rPr>
              <w:t>..</w:t>
            </w:r>
          </w:p>
        </w:tc>
        <w:tc>
          <w:tcPr>
            <w:tcW w:w="717" w:type="dxa"/>
            <w:vAlign w:val="center"/>
            <w:hideMark/>
          </w:tcPr>
          <w:p w14:paraId="3708061D" w14:textId="77777777" w:rsidR="00036A74" w:rsidRPr="007245B0" w:rsidRDefault="00036A74" w:rsidP="00A351F7">
            <w:pPr>
              <w:pStyle w:val="NoSpacing"/>
              <w:jc w:val="center"/>
              <w:rPr>
                <w:rFonts w:ascii="Times New Roman" w:hAnsi="Times New Roman" w:cs="Times New Roman"/>
                <w:sz w:val="18"/>
                <w:szCs w:val="18"/>
              </w:rPr>
            </w:pPr>
            <w:r w:rsidRPr="007245B0">
              <w:rPr>
                <w:rFonts w:ascii="Times New Roman" w:hAnsi="Times New Roman" w:cs="Times New Roman"/>
                <w:sz w:val="18"/>
                <w:szCs w:val="18"/>
              </w:rPr>
              <w:t>18.69</w:t>
            </w:r>
          </w:p>
        </w:tc>
        <w:tc>
          <w:tcPr>
            <w:tcW w:w="719" w:type="dxa"/>
            <w:vAlign w:val="center"/>
            <w:hideMark/>
          </w:tcPr>
          <w:p w14:paraId="49DF4B52" w14:textId="77777777" w:rsidR="00036A74" w:rsidRPr="007245B0" w:rsidRDefault="00036A74" w:rsidP="00A351F7">
            <w:pPr>
              <w:pStyle w:val="NoSpacing"/>
              <w:jc w:val="center"/>
              <w:rPr>
                <w:rFonts w:ascii="Times New Roman" w:hAnsi="Times New Roman" w:cs="Times New Roman"/>
                <w:sz w:val="18"/>
                <w:szCs w:val="18"/>
              </w:rPr>
            </w:pPr>
            <w:r w:rsidRPr="007245B0">
              <w:rPr>
                <w:rFonts w:ascii="Times New Roman" w:hAnsi="Times New Roman" w:cs="Times New Roman"/>
                <w:sz w:val="18"/>
                <w:szCs w:val="18"/>
              </w:rPr>
              <w:t>35.79</w:t>
            </w:r>
          </w:p>
        </w:tc>
        <w:tc>
          <w:tcPr>
            <w:tcW w:w="717" w:type="dxa"/>
            <w:vAlign w:val="center"/>
            <w:hideMark/>
          </w:tcPr>
          <w:p w14:paraId="165958E4" w14:textId="77777777" w:rsidR="00036A74" w:rsidRPr="007245B0" w:rsidRDefault="00036A74" w:rsidP="00A351F7">
            <w:pPr>
              <w:pStyle w:val="NoSpacing"/>
              <w:jc w:val="center"/>
              <w:rPr>
                <w:rFonts w:ascii="Times New Roman" w:hAnsi="Times New Roman" w:cs="Times New Roman"/>
                <w:sz w:val="18"/>
                <w:szCs w:val="18"/>
              </w:rPr>
            </w:pPr>
            <w:r w:rsidRPr="007245B0">
              <w:rPr>
                <w:rFonts w:ascii="Times New Roman" w:hAnsi="Times New Roman" w:cs="Times New Roman"/>
                <w:sz w:val="18"/>
                <w:szCs w:val="18"/>
              </w:rPr>
              <w:t>..</w:t>
            </w:r>
          </w:p>
        </w:tc>
        <w:tc>
          <w:tcPr>
            <w:tcW w:w="807" w:type="dxa"/>
            <w:vAlign w:val="center"/>
            <w:hideMark/>
          </w:tcPr>
          <w:p w14:paraId="7CB3DCF8" w14:textId="77777777" w:rsidR="00036A74" w:rsidRPr="007245B0" w:rsidRDefault="00036A74" w:rsidP="00A351F7">
            <w:pPr>
              <w:pStyle w:val="NoSpacing"/>
              <w:jc w:val="center"/>
              <w:rPr>
                <w:rFonts w:ascii="Times New Roman" w:hAnsi="Times New Roman" w:cs="Times New Roman"/>
                <w:sz w:val="18"/>
                <w:szCs w:val="18"/>
              </w:rPr>
            </w:pPr>
            <w:r w:rsidRPr="007245B0">
              <w:rPr>
                <w:rFonts w:ascii="Times New Roman" w:hAnsi="Times New Roman" w:cs="Times New Roman"/>
                <w:sz w:val="18"/>
                <w:szCs w:val="18"/>
              </w:rPr>
              <w:t>35.79</w:t>
            </w:r>
          </w:p>
        </w:tc>
      </w:tr>
      <w:tr w:rsidR="008D45A9" w:rsidRPr="007245B0" w14:paraId="606A3181" w14:textId="77777777" w:rsidTr="00A351F7">
        <w:trPr>
          <w:gridAfter w:val="1"/>
          <w:wAfter w:w="11" w:type="dxa"/>
          <w:trHeight w:val="412"/>
          <w:jc w:val="center"/>
        </w:trPr>
        <w:tc>
          <w:tcPr>
            <w:tcW w:w="1452" w:type="dxa"/>
            <w:hideMark/>
          </w:tcPr>
          <w:p w14:paraId="44EC3676" w14:textId="77777777" w:rsidR="008D45A9" w:rsidRPr="007245B0" w:rsidRDefault="008D45A9" w:rsidP="00B77C0B">
            <w:pPr>
              <w:pStyle w:val="NoSpacing"/>
              <w:rPr>
                <w:rFonts w:ascii="Times New Roman" w:hAnsi="Times New Roman" w:cs="Times New Roman"/>
                <w:sz w:val="18"/>
                <w:szCs w:val="18"/>
              </w:rPr>
            </w:pPr>
            <w:r w:rsidRPr="007245B0">
              <w:rPr>
                <w:rFonts w:ascii="Times New Roman" w:hAnsi="Times New Roman" w:cs="Times New Roman"/>
                <w:sz w:val="18"/>
                <w:szCs w:val="18"/>
              </w:rPr>
              <w:t>Jammu and Kashmir</w:t>
            </w:r>
          </w:p>
        </w:tc>
        <w:tc>
          <w:tcPr>
            <w:tcW w:w="871" w:type="dxa"/>
            <w:vAlign w:val="center"/>
            <w:hideMark/>
          </w:tcPr>
          <w:p w14:paraId="34F21D0B" w14:textId="77777777" w:rsidR="008D45A9" w:rsidRPr="007245B0" w:rsidRDefault="008D45A9" w:rsidP="00A351F7">
            <w:pPr>
              <w:pStyle w:val="NoSpacing"/>
              <w:jc w:val="center"/>
              <w:rPr>
                <w:rFonts w:ascii="Times New Roman" w:hAnsi="Times New Roman" w:cs="Times New Roman"/>
                <w:sz w:val="18"/>
                <w:szCs w:val="18"/>
              </w:rPr>
            </w:pPr>
            <w:r w:rsidRPr="007245B0">
              <w:rPr>
                <w:rFonts w:ascii="Times New Roman" w:hAnsi="Times New Roman" w:cs="Times New Roman"/>
                <w:sz w:val="18"/>
                <w:szCs w:val="18"/>
              </w:rPr>
              <w:t>1.45</w:t>
            </w:r>
          </w:p>
        </w:tc>
        <w:tc>
          <w:tcPr>
            <w:tcW w:w="725" w:type="dxa"/>
            <w:vAlign w:val="center"/>
            <w:hideMark/>
          </w:tcPr>
          <w:p w14:paraId="4750F01C" w14:textId="77777777" w:rsidR="008D45A9" w:rsidRPr="007245B0" w:rsidRDefault="008D45A9" w:rsidP="00A351F7">
            <w:pPr>
              <w:pStyle w:val="NoSpacing"/>
              <w:jc w:val="center"/>
              <w:rPr>
                <w:rFonts w:ascii="Times New Roman" w:hAnsi="Times New Roman" w:cs="Times New Roman"/>
                <w:sz w:val="18"/>
                <w:szCs w:val="18"/>
              </w:rPr>
            </w:pPr>
            <w:r w:rsidRPr="007245B0">
              <w:rPr>
                <w:rFonts w:ascii="Times New Roman" w:hAnsi="Times New Roman" w:cs="Times New Roman"/>
                <w:sz w:val="18"/>
                <w:szCs w:val="18"/>
              </w:rPr>
              <w:t>3.00</w:t>
            </w:r>
          </w:p>
        </w:tc>
        <w:tc>
          <w:tcPr>
            <w:tcW w:w="871" w:type="dxa"/>
            <w:vAlign w:val="center"/>
            <w:hideMark/>
          </w:tcPr>
          <w:p w14:paraId="07183618" w14:textId="77777777" w:rsidR="008D45A9" w:rsidRPr="007245B0" w:rsidRDefault="008D45A9" w:rsidP="00A351F7">
            <w:pPr>
              <w:pStyle w:val="NoSpacing"/>
              <w:jc w:val="center"/>
              <w:rPr>
                <w:rFonts w:ascii="Times New Roman" w:hAnsi="Times New Roman" w:cs="Times New Roman"/>
                <w:sz w:val="18"/>
                <w:szCs w:val="18"/>
              </w:rPr>
            </w:pPr>
            <w:r w:rsidRPr="007245B0">
              <w:rPr>
                <w:rFonts w:ascii="Times New Roman" w:hAnsi="Times New Roman" w:cs="Times New Roman"/>
                <w:sz w:val="18"/>
                <w:szCs w:val="18"/>
              </w:rPr>
              <w:t>4.45</w:t>
            </w:r>
          </w:p>
        </w:tc>
        <w:tc>
          <w:tcPr>
            <w:tcW w:w="823" w:type="dxa"/>
            <w:vAlign w:val="center"/>
            <w:hideMark/>
          </w:tcPr>
          <w:p w14:paraId="46DFFAFA" w14:textId="77777777" w:rsidR="008D45A9" w:rsidRPr="007245B0" w:rsidRDefault="008D45A9" w:rsidP="00A351F7">
            <w:pPr>
              <w:pStyle w:val="NoSpacing"/>
              <w:jc w:val="center"/>
              <w:rPr>
                <w:rFonts w:ascii="Times New Roman" w:hAnsi="Times New Roman" w:cs="Times New Roman"/>
                <w:sz w:val="18"/>
                <w:szCs w:val="18"/>
              </w:rPr>
            </w:pPr>
            <w:r w:rsidRPr="007245B0">
              <w:rPr>
                <w:rFonts w:ascii="Times New Roman" w:hAnsi="Times New Roman" w:cs="Times New Roman"/>
                <w:sz w:val="18"/>
                <w:szCs w:val="18"/>
              </w:rPr>
              <w:t>1.96</w:t>
            </w:r>
          </w:p>
        </w:tc>
        <w:tc>
          <w:tcPr>
            <w:tcW w:w="797" w:type="dxa"/>
            <w:vAlign w:val="center"/>
            <w:hideMark/>
          </w:tcPr>
          <w:p w14:paraId="19AC34DF" w14:textId="77777777" w:rsidR="008D45A9" w:rsidRPr="007245B0" w:rsidRDefault="008D45A9" w:rsidP="00A351F7">
            <w:pPr>
              <w:pStyle w:val="NoSpacing"/>
              <w:jc w:val="center"/>
              <w:rPr>
                <w:rFonts w:ascii="Times New Roman" w:hAnsi="Times New Roman" w:cs="Times New Roman"/>
                <w:sz w:val="18"/>
                <w:szCs w:val="18"/>
              </w:rPr>
            </w:pPr>
            <w:r w:rsidRPr="007245B0">
              <w:rPr>
                <w:rFonts w:ascii="Times New Roman" w:hAnsi="Times New Roman" w:cs="Times New Roman"/>
                <w:sz w:val="18"/>
                <w:szCs w:val="18"/>
              </w:rPr>
              <w:t>3.00</w:t>
            </w:r>
          </w:p>
        </w:tc>
        <w:tc>
          <w:tcPr>
            <w:tcW w:w="717" w:type="dxa"/>
            <w:vAlign w:val="center"/>
            <w:hideMark/>
          </w:tcPr>
          <w:p w14:paraId="7E74FFA3" w14:textId="77777777" w:rsidR="008D45A9" w:rsidRPr="007245B0" w:rsidRDefault="008D45A9" w:rsidP="00A351F7">
            <w:pPr>
              <w:pStyle w:val="NoSpacing"/>
              <w:jc w:val="center"/>
              <w:rPr>
                <w:rFonts w:ascii="Times New Roman" w:hAnsi="Times New Roman" w:cs="Times New Roman"/>
                <w:sz w:val="18"/>
                <w:szCs w:val="18"/>
              </w:rPr>
            </w:pPr>
            <w:r w:rsidRPr="007245B0">
              <w:rPr>
                <w:rFonts w:ascii="Times New Roman" w:hAnsi="Times New Roman" w:cs="Times New Roman"/>
                <w:sz w:val="18"/>
                <w:szCs w:val="18"/>
              </w:rPr>
              <w:t>4.96</w:t>
            </w:r>
          </w:p>
        </w:tc>
        <w:tc>
          <w:tcPr>
            <w:tcW w:w="719" w:type="dxa"/>
            <w:vAlign w:val="center"/>
            <w:hideMark/>
          </w:tcPr>
          <w:p w14:paraId="69800BFF" w14:textId="77777777" w:rsidR="008D45A9" w:rsidRPr="007245B0" w:rsidRDefault="008D45A9" w:rsidP="00A351F7">
            <w:pPr>
              <w:pStyle w:val="NoSpacing"/>
              <w:jc w:val="center"/>
              <w:rPr>
                <w:rFonts w:ascii="Times New Roman" w:hAnsi="Times New Roman" w:cs="Times New Roman"/>
                <w:sz w:val="18"/>
                <w:szCs w:val="18"/>
              </w:rPr>
            </w:pPr>
            <w:r w:rsidRPr="007245B0">
              <w:rPr>
                <w:rFonts w:ascii="Times New Roman" w:hAnsi="Times New Roman" w:cs="Times New Roman"/>
                <w:sz w:val="18"/>
                <w:szCs w:val="18"/>
              </w:rPr>
              <w:t>2.06</w:t>
            </w:r>
          </w:p>
        </w:tc>
        <w:tc>
          <w:tcPr>
            <w:tcW w:w="797" w:type="dxa"/>
            <w:vAlign w:val="center"/>
            <w:hideMark/>
          </w:tcPr>
          <w:p w14:paraId="7059122C" w14:textId="77777777" w:rsidR="008D45A9" w:rsidRPr="007245B0" w:rsidRDefault="008D45A9" w:rsidP="00A351F7">
            <w:pPr>
              <w:pStyle w:val="NoSpacing"/>
              <w:jc w:val="center"/>
              <w:rPr>
                <w:rFonts w:ascii="Times New Roman" w:hAnsi="Times New Roman" w:cs="Times New Roman"/>
                <w:sz w:val="18"/>
                <w:szCs w:val="18"/>
              </w:rPr>
            </w:pPr>
            <w:r w:rsidRPr="007245B0">
              <w:rPr>
                <w:rFonts w:ascii="Times New Roman" w:hAnsi="Times New Roman" w:cs="Times New Roman"/>
                <w:sz w:val="18"/>
                <w:szCs w:val="18"/>
              </w:rPr>
              <w:t>3.00</w:t>
            </w:r>
          </w:p>
        </w:tc>
        <w:tc>
          <w:tcPr>
            <w:tcW w:w="717" w:type="dxa"/>
            <w:vAlign w:val="center"/>
            <w:hideMark/>
          </w:tcPr>
          <w:p w14:paraId="241B0857" w14:textId="77777777" w:rsidR="008D45A9" w:rsidRPr="007245B0" w:rsidRDefault="008D45A9" w:rsidP="00A351F7">
            <w:pPr>
              <w:pStyle w:val="NoSpacing"/>
              <w:jc w:val="center"/>
              <w:rPr>
                <w:rFonts w:ascii="Times New Roman" w:hAnsi="Times New Roman" w:cs="Times New Roman"/>
                <w:sz w:val="18"/>
                <w:szCs w:val="18"/>
              </w:rPr>
            </w:pPr>
            <w:r w:rsidRPr="007245B0">
              <w:rPr>
                <w:rFonts w:ascii="Times New Roman" w:hAnsi="Times New Roman" w:cs="Times New Roman"/>
                <w:sz w:val="18"/>
                <w:szCs w:val="18"/>
              </w:rPr>
              <w:t>5.06</w:t>
            </w:r>
          </w:p>
        </w:tc>
        <w:tc>
          <w:tcPr>
            <w:tcW w:w="719" w:type="dxa"/>
            <w:vAlign w:val="center"/>
            <w:hideMark/>
          </w:tcPr>
          <w:p w14:paraId="3C1BA9E1" w14:textId="77777777" w:rsidR="008D45A9" w:rsidRPr="007245B0" w:rsidRDefault="008D45A9" w:rsidP="00A351F7">
            <w:pPr>
              <w:pStyle w:val="NoSpacing"/>
              <w:jc w:val="center"/>
              <w:rPr>
                <w:rFonts w:ascii="Times New Roman" w:hAnsi="Times New Roman" w:cs="Times New Roman"/>
                <w:sz w:val="18"/>
                <w:szCs w:val="18"/>
              </w:rPr>
            </w:pPr>
            <w:r w:rsidRPr="007245B0">
              <w:rPr>
                <w:rFonts w:ascii="Times New Roman" w:hAnsi="Times New Roman" w:cs="Times New Roman"/>
                <w:sz w:val="18"/>
                <w:szCs w:val="18"/>
              </w:rPr>
              <w:t>2.12</w:t>
            </w:r>
          </w:p>
        </w:tc>
        <w:tc>
          <w:tcPr>
            <w:tcW w:w="708" w:type="dxa"/>
            <w:vAlign w:val="center"/>
            <w:hideMark/>
          </w:tcPr>
          <w:p w14:paraId="0C50E007" w14:textId="77777777" w:rsidR="008D45A9" w:rsidRPr="007245B0" w:rsidRDefault="008D45A9" w:rsidP="00A351F7">
            <w:pPr>
              <w:pStyle w:val="NoSpacing"/>
              <w:jc w:val="center"/>
              <w:rPr>
                <w:rFonts w:ascii="Times New Roman" w:hAnsi="Times New Roman" w:cs="Times New Roman"/>
                <w:sz w:val="18"/>
                <w:szCs w:val="18"/>
              </w:rPr>
            </w:pPr>
            <w:r w:rsidRPr="007245B0">
              <w:rPr>
                <w:rFonts w:ascii="Times New Roman" w:hAnsi="Times New Roman" w:cs="Times New Roman"/>
                <w:sz w:val="18"/>
                <w:szCs w:val="18"/>
              </w:rPr>
              <w:t>3.00</w:t>
            </w:r>
          </w:p>
        </w:tc>
        <w:tc>
          <w:tcPr>
            <w:tcW w:w="717" w:type="dxa"/>
            <w:vAlign w:val="center"/>
            <w:hideMark/>
          </w:tcPr>
          <w:p w14:paraId="15AF245E" w14:textId="77777777" w:rsidR="008D45A9" w:rsidRPr="007245B0" w:rsidRDefault="008D45A9" w:rsidP="00A351F7">
            <w:pPr>
              <w:pStyle w:val="NoSpacing"/>
              <w:jc w:val="center"/>
              <w:rPr>
                <w:rFonts w:ascii="Times New Roman" w:hAnsi="Times New Roman" w:cs="Times New Roman"/>
                <w:sz w:val="18"/>
                <w:szCs w:val="18"/>
              </w:rPr>
            </w:pPr>
            <w:r w:rsidRPr="007245B0">
              <w:rPr>
                <w:rFonts w:ascii="Times New Roman" w:hAnsi="Times New Roman" w:cs="Times New Roman"/>
                <w:sz w:val="18"/>
                <w:szCs w:val="18"/>
              </w:rPr>
              <w:t>5.12</w:t>
            </w:r>
          </w:p>
        </w:tc>
        <w:tc>
          <w:tcPr>
            <w:tcW w:w="719" w:type="dxa"/>
            <w:vAlign w:val="center"/>
            <w:hideMark/>
          </w:tcPr>
          <w:p w14:paraId="7B12E9FC" w14:textId="77777777" w:rsidR="008D45A9" w:rsidRPr="007245B0" w:rsidRDefault="008D45A9" w:rsidP="00A351F7">
            <w:pPr>
              <w:pStyle w:val="NoSpacing"/>
              <w:jc w:val="center"/>
              <w:rPr>
                <w:rFonts w:ascii="Times New Roman" w:hAnsi="Times New Roman" w:cs="Times New Roman"/>
                <w:sz w:val="18"/>
                <w:szCs w:val="18"/>
              </w:rPr>
            </w:pPr>
            <w:r w:rsidRPr="007245B0">
              <w:rPr>
                <w:rFonts w:ascii="Times New Roman" w:hAnsi="Times New Roman" w:cs="Times New Roman"/>
                <w:sz w:val="18"/>
                <w:szCs w:val="18"/>
              </w:rPr>
              <w:t>1.98</w:t>
            </w:r>
          </w:p>
        </w:tc>
        <w:tc>
          <w:tcPr>
            <w:tcW w:w="708" w:type="dxa"/>
            <w:vAlign w:val="center"/>
            <w:hideMark/>
          </w:tcPr>
          <w:p w14:paraId="1FA75F76" w14:textId="77777777" w:rsidR="008D45A9" w:rsidRPr="007245B0" w:rsidRDefault="008D45A9" w:rsidP="00A351F7">
            <w:pPr>
              <w:pStyle w:val="NoSpacing"/>
              <w:jc w:val="center"/>
              <w:rPr>
                <w:rFonts w:ascii="Times New Roman" w:hAnsi="Times New Roman" w:cs="Times New Roman"/>
                <w:sz w:val="18"/>
                <w:szCs w:val="18"/>
              </w:rPr>
            </w:pPr>
            <w:r w:rsidRPr="007245B0">
              <w:rPr>
                <w:rFonts w:ascii="Times New Roman" w:hAnsi="Times New Roman" w:cs="Times New Roman"/>
                <w:sz w:val="18"/>
                <w:szCs w:val="18"/>
              </w:rPr>
              <w:t>3.00</w:t>
            </w:r>
          </w:p>
        </w:tc>
        <w:tc>
          <w:tcPr>
            <w:tcW w:w="717" w:type="dxa"/>
            <w:vAlign w:val="center"/>
            <w:hideMark/>
          </w:tcPr>
          <w:p w14:paraId="7305EF88" w14:textId="77777777" w:rsidR="008D45A9" w:rsidRPr="007245B0" w:rsidRDefault="008D45A9" w:rsidP="00A351F7">
            <w:pPr>
              <w:pStyle w:val="NoSpacing"/>
              <w:jc w:val="center"/>
              <w:rPr>
                <w:rFonts w:ascii="Times New Roman" w:hAnsi="Times New Roman" w:cs="Times New Roman"/>
                <w:sz w:val="18"/>
                <w:szCs w:val="18"/>
              </w:rPr>
            </w:pPr>
            <w:r w:rsidRPr="007245B0">
              <w:rPr>
                <w:rFonts w:ascii="Times New Roman" w:hAnsi="Times New Roman" w:cs="Times New Roman"/>
                <w:sz w:val="18"/>
                <w:szCs w:val="18"/>
              </w:rPr>
              <w:t>4.98</w:t>
            </w:r>
          </w:p>
        </w:tc>
        <w:tc>
          <w:tcPr>
            <w:tcW w:w="719" w:type="dxa"/>
            <w:vAlign w:val="center"/>
            <w:hideMark/>
          </w:tcPr>
          <w:p w14:paraId="45C3210D" w14:textId="77777777" w:rsidR="008D45A9" w:rsidRPr="007245B0" w:rsidRDefault="008D45A9" w:rsidP="00A351F7">
            <w:pPr>
              <w:pStyle w:val="NoSpacing"/>
              <w:jc w:val="center"/>
              <w:rPr>
                <w:rFonts w:ascii="Times New Roman" w:hAnsi="Times New Roman" w:cs="Times New Roman"/>
                <w:sz w:val="18"/>
                <w:szCs w:val="18"/>
              </w:rPr>
            </w:pPr>
            <w:r w:rsidRPr="007245B0">
              <w:rPr>
                <w:rFonts w:ascii="Times New Roman" w:hAnsi="Times New Roman" w:cs="Times New Roman"/>
                <w:sz w:val="18"/>
                <w:szCs w:val="18"/>
              </w:rPr>
              <w:t>9.57</w:t>
            </w:r>
          </w:p>
        </w:tc>
        <w:tc>
          <w:tcPr>
            <w:tcW w:w="717" w:type="dxa"/>
            <w:vAlign w:val="center"/>
            <w:hideMark/>
          </w:tcPr>
          <w:p w14:paraId="69D7D83F" w14:textId="77777777" w:rsidR="008D45A9" w:rsidRPr="007245B0" w:rsidRDefault="008D45A9" w:rsidP="00A351F7">
            <w:pPr>
              <w:pStyle w:val="NoSpacing"/>
              <w:jc w:val="center"/>
              <w:rPr>
                <w:rFonts w:ascii="Times New Roman" w:hAnsi="Times New Roman" w:cs="Times New Roman"/>
                <w:sz w:val="18"/>
                <w:szCs w:val="18"/>
              </w:rPr>
            </w:pPr>
            <w:r w:rsidRPr="007245B0">
              <w:rPr>
                <w:rFonts w:ascii="Times New Roman" w:hAnsi="Times New Roman" w:cs="Times New Roman"/>
                <w:sz w:val="18"/>
                <w:szCs w:val="18"/>
              </w:rPr>
              <w:t>15.00</w:t>
            </w:r>
          </w:p>
        </w:tc>
        <w:tc>
          <w:tcPr>
            <w:tcW w:w="807" w:type="dxa"/>
            <w:vAlign w:val="center"/>
            <w:hideMark/>
          </w:tcPr>
          <w:p w14:paraId="188FD1A4" w14:textId="77777777" w:rsidR="008D45A9" w:rsidRPr="007245B0" w:rsidRDefault="008D45A9" w:rsidP="00A351F7">
            <w:pPr>
              <w:pStyle w:val="NoSpacing"/>
              <w:jc w:val="center"/>
              <w:rPr>
                <w:rFonts w:ascii="Times New Roman" w:hAnsi="Times New Roman" w:cs="Times New Roman"/>
                <w:sz w:val="18"/>
                <w:szCs w:val="18"/>
              </w:rPr>
            </w:pPr>
            <w:r w:rsidRPr="007245B0">
              <w:rPr>
                <w:rFonts w:ascii="Times New Roman" w:hAnsi="Times New Roman" w:cs="Times New Roman"/>
                <w:sz w:val="18"/>
                <w:szCs w:val="18"/>
              </w:rPr>
              <w:t>24.57</w:t>
            </w:r>
          </w:p>
        </w:tc>
      </w:tr>
      <w:tr w:rsidR="008D45A9" w:rsidRPr="007245B0" w14:paraId="7F4C7E69" w14:textId="77777777" w:rsidTr="00A351F7">
        <w:trPr>
          <w:gridAfter w:val="1"/>
          <w:wAfter w:w="11" w:type="dxa"/>
          <w:trHeight w:val="187"/>
          <w:jc w:val="center"/>
        </w:trPr>
        <w:tc>
          <w:tcPr>
            <w:tcW w:w="1452" w:type="dxa"/>
            <w:hideMark/>
          </w:tcPr>
          <w:p w14:paraId="64FA1327" w14:textId="77777777" w:rsidR="008D45A9" w:rsidRPr="007245B0" w:rsidRDefault="008D45A9" w:rsidP="00B77C0B">
            <w:pPr>
              <w:pStyle w:val="NoSpacing"/>
              <w:rPr>
                <w:rFonts w:ascii="Times New Roman" w:hAnsi="Times New Roman" w:cs="Times New Roman"/>
                <w:sz w:val="18"/>
                <w:szCs w:val="18"/>
              </w:rPr>
            </w:pPr>
            <w:r w:rsidRPr="007245B0">
              <w:rPr>
                <w:rFonts w:ascii="Times New Roman" w:hAnsi="Times New Roman" w:cs="Times New Roman"/>
                <w:sz w:val="18"/>
                <w:szCs w:val="18"/>
              </w:rPr>
              <w:t>Kerala</w:t>
            </w:r>
          </w:p>
        </w:tc>
        <w:tc>
          <w:tcPr>
            <w:tcW w:w="871" w:type="dxa"/>
            <w:vAlign w:val="center"/>
            <w:hideMark/>
          </w:tcPr>
          <w:p w14:paraId="68BDB195" w14:textId="77777777" w:rsidR="008D45A9" w:rsidRPr="007245B0" w:rsidRDefault="008D45A9" w:rsidP="00A351F7">
            <w:pPr>
              <w:pStyle w:val="NoSpacing"/>
              <w:jc w:val="center"/>
              <w:rPr>
                <w:rFonts w:ascii="Times New Roman" w:hAnsi="Times New Roman" w:cs="Times New Roman"/>
                <w:sz w:val="18"/>
                <w:szCs w:val="18"/>
              </w:rPr>
            </w:pPr>
            <w:r w:rsidRPr="007245B0">
              <w:rPr>
                <w:rFonts w:ascii="Times New Roman" w:hAnsi="Times New Roman" w:cs="Times New Roman"/>
                <w:sz w:val="18"/>
                <w:szCs w:val="18"/>
              </w:rPr>
              <w:t>4.36</w:t>
            </w:r>
          </w:p>
        </w:tc>
        <w:tc>
          <w:tcPr>
            <w:tcW w:w="725" w:type="dxa"/>
            <w:vAlign w:val="center"/>
            <w:hideMark/>
          </w:tcPr>
          <w:p w14:paraId="505288FB" w14:textId="77777777" w:rsidR="008D45A9" w:rsidRPr="007245B0" w:rsidRDefault="008D45A9" w:rsidP="00A351F7">
            <w:pPr>
              <w:pStyle w:val="NoSpacing"/>
              <w:jc w:val="center"/>
              <w:rPr>
                <w:rFonts w:ascii="Times New Roman" w:hAnsi="Times New Roman" w:cs="Times New Roman"/>
                <w:sz w:val="18"/>
                <w:szCs w:val="18"/>
              </w:rPr>
            </w:pPr>
            <w:r w:rsidRPr="007245B0">
              <w:rPr>
                <w:rFonts w:ascii="Times New Roman" w:hAnsi="Times New Roman" w:cs="Times New Roman"/>
                <w:sz w:val="18"/>
                <w:szCs w:val="18"/>
              </w:rPr>
              <w:t>1.75</w:t>
            </w:r>
          </w:p>
        </w:tc>
        <w:tc>
          <w:tcPr>
            <w:tcW w:w="871" w:type="dxa"/>
            <w:vAlign w:val="center"/>
            <w:hideMark/>
          </w:tcPr>
          <w:p w14:paraId="095DD596" w14:textId="77777777" w:rsidR="008D45A9" w:rsidRPr="007245B0" w:rsidRDefault="008D45A9" w:rsidP="00A351F7">
            <w:pPr>
              <w:pStyle w:val="NoSpacing"/>
              <w:jc w:val="center"/>
              <w:rPr>
                <w:rFonts w:ascii="Times New Roman" w:hAnsi="Times New Roman" w:cs="Times New Roman"/>
                <w:sz w:val="18"/>
                <w:szCs w:val="18"/>
              </w:rPr>
            </w:pPr>
            <w:r w:rsidRPr="007245B0">
              <w:rPr>
                <w:rFonts w:ascii="Times New Roman" w:hAnsi="Times New Roman" w:cs="Times New Roman"/>
                <w:sz w:val="18"/>
                <w:szCs w:val="18"/>
              </w:rPr>
              <w:t>6.11</w:t>
            </w:r>
          </w:p>
        </w:tc>
        <w:tc>
          <w:tcPr>
            <w:tcW w:w="823" w:type="dxa"/>
            <w:vAlign w:val="center"/>
            <w:hideMark/>
          </w:tcPr>
          <w:p w14:paraId="6FD78B25" w14:textId="77777777" w:rsidR="008D45A9" w:rsidRPr="007245B0" w:rsidRDefault="008D45A9" w:rsidP="00A351F7">
            <w:pPr>
              <w:pStyle w:val="NoSpacing"/>
              <w:jc w:val="center"/>
              <w:rPr>
                <w:rFonts w:ascii="Times New Roman" w:hAnsi="Times New Roman" w:cs="Times New Roman"/>
                <w:sz w:val="18"/>
                <w:szCs w:val="18"/>
              </w:rPr>
            </w:pPr>
            <w:r w:rsidRPr="007245B0">
              <w:rPr>
                <w:rFonts w:ascii="Times New Roman" w:hAnsi="Times New Roman" w:cs="Times New Roman"/>
                <w:sz w:val="18"/>
                <w:szCs w:val="18"/>
              </w:rPr>
              <w:t>5.48</w:t>
            </w:r>
          </w:p>
        </w:tc>
        <w:tc>
          <w:tcPr>
            <w:tcW w:w="797" w:type="dxa"/>
            <w:vAlign w:val="center"/>
            <w:hideMark/>
          </w:tcPr>
          <w:p w14:paraId="3B01F85D" w14:textId="77777777" w:rsidR="008D45A9" w:rsidRPr="007245B0" w:rsidRDefault="008D45A9" w:rsidP="00A351F7">
            <w:pPr>
              <w:pStyle w:val="NoSpacing"/>
              <w:jc w:val="center"/>
              <w:rPr>
                <w:rFonts w:ascii="Times New Roman" w:hAnsi="Times New Roman" w:cs="Times New Roman"/>
                <w:sz w:val="18"/>
                <w:szCs w:val="18"/>
              </w:rPr>
            </w:pPr>
            <w:r w:rsidRPr="007245B0">
              <w:rPr>
                <w:rFonts w:ascii="Times New Roman" w:hAnsi="Times New Roman" w:cs="Times New Roman"/>
                <w:sz w:val="18"/>
                <w:szCs w:val="18"/>
              </w:rPr>
              <w:t>1.75</w:t>
            </w:r>
          </w:p>
        </w:tc>
        <w:tc>
          <w:tcPr>
            <w:tcW w:w="717" w:type="dxa"/>
            <w:vAlign w:val="center"/>
            <w:hideMark/>
          </w:tcPr>
          <w:p w14:paraId="55A1CD3E" w14:textId="77777777" w:rsidR="008D45A9" w:rsidRPr="007245B0" w:rsidRDefault="008D45A9" w:rsidP="00A351F7">
            <w:pPr>
              <w:pStyle w:val="NoSpacing"/>
              <w:jc w:val="center"/>
              <w:rPr>
                <w:rFonts w:ascii="Times New Roman" w:hAnsi="Times New Roman" w:cs="Times New Roman"/>
                <w:sz w:val="18"/>
                <w:szCs w:val="18"/>
              </w:rPr>
            </w:pPr>
            <w:r w:rsidRPr="007245B0">
              <w:rPr>
                <w:rFonts w:ascii="Times New Roman" w:hAnsi="Times New Roman" w:cs="Times New Roman"/>
                <w:sz w:val="18"/>
                <w:szCs w:val="18"/>
              </w:rPr>
              <w:t>7.23</w:t>
            </w:r>
          </w:p>
        </w:tc>
        <w:tc>
          <w:tcPr>
            <w:tcW w:w="719" w:type="dxa"/>
            <w:vAlign w:val="center"/>
            <w:hideMark/>
          </w:tcPr>
          <w:p w14:paraId="3B4BABF9" w14:textId="77777777" w:rsidR="008D45A9" w:rsidRPr="007245B0" w:rsidRDefault="008D45A9" w:rsidP="00A351F7">
            <w:pPr>
              <w:pStyle w:val="NoSpacing"/>
              <w:jc w:val="center"/>
              <w:rPr>
                <w:rFonts w:ascii="Times New Roman" w:hAnsi="Times New Roman" w:cs="Times New Roman"/>
                <w:sz w:val="18"/>
                <w:szCs w:val="18"/>
              </w:rPr>
            </w:pPr>
            <w:r w:rsidRPr="007245B0">
              <w:rPr>
                <w:rFonts w:ascii="Times New Roman" w:hAnsi="Times New Roman" w:cs="Times New Roman"/>
                <w:sz w:val="18"/>
                <w:szCs w:val="18"/>
              </w:rPr>
              <w:t>5.87</w:t>
            </w:r>
          </w:p>
        </w:tc>
        <w:tc>
          <w:tcPr>
            <w:tcW w:w="797" w:type="dxa"/>
            <w:vAlign w:val="center"/>
            <w:hideMark/>
          </w:tcPr>
          <w:p w14:paraId="6111513D" w14:textId="77777777" w:rsidR="008D45A9" w:rsidRPr="007245B0" w:rsidRDefault="008D45A9" w:rsidP="00A351F7">
            <w:pPr>
              <w:pStyle w:val="NoSpacing"/>
              <w:jc w:val="center"/>
              <w:rPr>
                <w:rFonts w:ascii="Times New Roman" w:hAnsi="Times New Roman" w:cs="Times New Roman"/>
                <w:sz w:val="18"/>
                <w:szCs w:val="18"/>
              </w:rPr>
            </w:pPr>
            <w:r w:rsidRPr="007245B0">
              <w:rPr>
                <w:rFonts w:ascii="Times New Roman" w:hAnsi="Times New Roman" w:cs="Times New Roman"/>
                <w:sz w:val="18"/>
                <w:szCs w:val="18"/>
              </w:rPr>
              <w:t>1.75</w:t>
            </w:r>
          </w:p>
        </w:tc>
        <w:tc>
          <w:tcPr>
            <w:tcW w:w="717" w:type="dxa"/>
            <w:vAlign w:val="center"/>
            <w:hideMark/>
          </w:tcPr>
          <w:p w14:paraId="70666C92" w14:textId="77777777" w:rsidR="008D45A9" w:rsidRPr="007245B0" w:rsidRDefault="008D45A9" w:rsidP="00A351F7">
            <w:pPr>
              <w:pStyle w:val="NoSpacing"/>
              <w:jc w:val="center"/>
              <w:rPr>
                <w:rFonts w:ascii="Times New Roman" w:hAnsi="Times New Roman" w:cs="Times New Roman"/>
                <w:sz w:val="18"/>
                <w:szCs w:val="18"/>
              </w:rPr>
            </w:pPr>
            <w:r w:rsidRPr="007245B0">
              <w:rPr>
                <w:rFonts w:ascii="Times New Roman" w:hAnsi="Times New Roman" w:cs="Times New Roman"/>
                <w:sz w:val="18"/>
                <w:szCs w:val="18"/>
              </w:rPr>
              <w:t>7.62</w:t>
            </w:r>
          </w:p>
        </w:tc>
        <w:tc>
          <w:tcPr>
            <w:tcW w:w="719" w:type="dxa"/>
            <w:vAlign w:val="center"/>
            <w:hideMark/>
          </w:tcPr>
          <w:p w14:paraId="24600DF5" w14:textId="77777777" w:rsidR="008D45A9" w:rsidRPr="007245B0" w:rsidRDefault="008D45A9" w:rsidP="00A351F7">
            <w:pPr>
              <w:pStyle w:val="NoSpacing"/>
              <w:jc w:val="center"/>
              <w:rPr>
                <w:rFonts w:ascii="Times New Roman" w:hAnsi="Times New Roman" w:cs="Times New Roman"/>
                <w:sz w:val="18"/>
                <w:szCs w:val="18"/>
              </w:rPr>
            </w:pPr>
            <w:r w:rsidRPr="007245B0">
              <w:rPr>
                <w:rFonts w:ascii="Times New Roman" w:hAnsi="Times New Roman" w:cs="Times New Roman"/>
                <w:sz w:val="18"/>
                <w:szCs w:val="18"/>
              </w:rPr>
              <w:t>6.95</w:t>
            </w:r>
          </w:p>
        </w:tc>
        <w:tc>
          <w:tcPr>
            <w:tcW w:w="708" w:type="dxa"/>
            <w:vAlign w:val="center"/>
            <w:hideMark/>
          </w:tcPr>
          <w:p w14:paraId="14043FA8" w14:textId="77777777" w:rsidR="008D45A9" w:rsidRPr="007245B0" w:rsidRDefault="008D45A9" w:rsidP="00A351F7">
            <w:pPr>
              <w:pStyle w:val="NoSpacing"/>
              <w:jc w:val="center"/>
              <w:rPr>
                <w:rFonts w:ascii="Times New Roman" w:hAnsi="Times New Roman" w:cs="Times New Roman"/>
                <w:sz w:val="18"/>
                <w:szCs w:val="18"/>
              </w:rPr>
            </w:pPr>
            <w:r w:rsidRPr="007245B0">
              <w:rPr>
                <w:rFonts w:ascii="Times New Roman" w:hAnsi="Times New Roman" w:cs="Times New Roman"/>
                <w:sz w:val="18"/>
                <w:szCs w:val="18"/>
              </w:rPr>
              <w:t>1.75</w:t>
            </w:r>
          </w:p>
        </w:tc>
        <w:tc>
          <w:tcPr>
            <w:tcW w:w="717" w:type="dxa"/>
            <w:vAlign w:val="center"/>
            <w:hideMark/>
          </w:tcPr>
          <w:p w14:paraId="020AC6BC" w14:textId="77777777" w:rsidR="008D45A9" w:rsidRPr="007245B0" w:rsidRDefault="008D45A9" w:rsidP="00A351F7">
            <w:pPr>
              <w:pStyle w:val="NoSpacing"/>
              <w:jc w:val="center"/>
              <w:rPr>
                <w:rFonts w:ascii="Times New Roman" w:hAnsi="Times New Roman" w:cs="Times New Roman"/>
                <w:sz w:val="18"/>
                <w:szCs w:val="18"/>
              </w:rPr>
            </w:pPr>
            <w:r w:rsidRPr="007245B0">
              <w:rPr>
                <w:rFonts w:ascii="Times New Roman" w:hAnsi="Times New Roman" w:cs="Times New Roman"/>
                <w:sz w:val="18"/>
                <w:szCs w:val="18"/>
              </w:rPr>
              <w:t>8.70</w:t>
            </w:r>
          </w:p>
        </w:tc>
        <w:tc>
          <w:tcPr>
            <w:tcW w:w="719" w:type="dxa"/>
            <w:vAlign w:val="center"/>
            <w:hideMark/>
          </w:tcPr>
          <w:p w14:paraId="7276BE56" w14:textId="77777777" w:rsidR="008D45A9" w:rsidRPr="007245B0" w:rsidRDefault="008D45A9" w:rsidP="00A351F7">
            <w:pPr>
              <w:pStyle w:val="NoSpacing"/>
              <w:jc w:val="center"/>
              <w:rPr>
                <w:rFonts w:ascii="Times New Roman" w:hAnsi="Times New Roman" w:cs="Times New Roman"/>
                <w:sz w:val="18"/>
                <w:szCs w:val="18"/>
              </w:rPr>
            </w:pPr>
            <w:r w:rsidRPr="007245B0">
              <w:rPr>
                <w:rFonts w:ascii="Times New Roman" w:hAnsi="Times New Roman" w:cs="Times New Roman"/>
                <w:sz w:val="18"/>
                <w:szCs w:val="18"/>
              </w:rPr>
              <w:t>6.50</w:t>
            </w:r>
          </w:p>
        </w:tc>
        <w:tc>
          <w:tcPr>
            <w:tcW w:w="708" w:type="dxa"/>
            <w:vAlign w:val="center"/>
            <w:hideMark/>
          </w:tcPr>
          <w:p w14:paraId="5070D13F" w14:textId="77777777" w:rsidR="008D45A9" w:rsidRPr="007245B0" w:rsidRDefault="008D45A9" w:rsidP="00A351F7">
            <w:pPr>
              <w:pStyle w:val="NoSpacing"/>
              <w:jc w:val="center"/>
              <w:rPr>
                <w:rFonts w:ascii="Times New Roman" w:hAnsi="Times New Roman" w:cs="Times New Roman"/>
                <w:sz w:val="18"/>
                <w:szCs w:val="18"/>
              </w:rPr>
            </w:pPr>
            <w:r w:rsidRPr="007245B0">
              <w:rPr>
                <w:rFonts w:ascii="Times New Roman" w:hAnsi="Times New Roman" w:cs="Times New Roman"/>
                <w:sz w:val="18"/>
                <w:szCs w:val="18"/>
              </w:rPr>
              <w:t>1.75</w:t>
            </w:r>
          </w:p>
        </w:tc>
        <w:tc>
          <w:tcPr>
            <w:tcW w:w="717" w:type="dxa"/>
            <w:vAlign w:val="center"/>
            <w:hideMark/>
          </w:tcPr>
          <w:p w14:paraId="13182CF0" w14:textId="77777777" w:rsidR="008D45A9" w:rsidRPr="007245B0" w:rsidRDefault="008D45A9" w:rsidP="00A351F7">
            <w:pPr>
              <w:pStyle w:val="NoSpacing"/>
              <w:jc w:val="center"/>
              <w:rPr>
                <w:rFonts w:ascii="Times New Roman" w:hAnsi="Times New Roman" w:cs="Times New Roman"/>
                <w:sz w:val="18"/>
                <w:szCs w:val="18"/>
              </w:rPr>
            </w:pPr>
            <w:r w:rsidRPr="007245B0">
              <w:rPr>
                <w:rFonts w:ascii="Times New Roman" w:hAnsi="Times New Roman" w:cs="Times New Roman"/>
                <w:sz w:val="18"/>
                <w:szCs w:val="18"/>
              </w:rPr>
              <w:t>8.25</w:t>
            </w:r>
          </w:p>
        </w:tc>
        <w:tc>
          <w:tcPr>
            <w:tcW w:w="719" w:type="dxa"/>
            <w:vAlign w:val="center"/>
            <w:hideMark/>
          </w:tcPr>
          <w:p w14:paraId="2180BEDE" w14:textId="77777777" w:rsidR="008D45A9" w:rsidRPr="007245B0" w:rsidRDefault="008D45A9" w:rsidP="00A351F7">
            <w:pPr>
              <w:pStyle w:val="NoSpacing"/>
              <w:jc w:val="center"/>
              <w:rPr>
                <w:rFonts w:ascii="Times New Roman" w:hAnsi="Times New Roman" w:cs="Times New Roman"/>
                <w:sz w:val="18"/>
                <w:szCs w:val="18"/>
              </w:rPr>
            </w:pPr>
            <w:r w:rsidRPr="007245B0">
              <w:rPr>
                <w:rFonts w:ascii="Times New Roman" w:hAnsi="Times New Roman" w:cs="Times New Roman"/>
                <w:sz w:val="18"/>
                <w:szCs w:val="18"/>
              </w:rPr>
              <w:t>29.16</w:t>
            </w:r>
          </w:p>
        </w:tc>
        <w:tc>
          <w:tcPr>
            <w:tcW w:w="717" w:type="dxa"/>
            <w:vAlign w:val="center"/>
            <w:hideMark/>
          </w:tcPr>
          <w:p w14:paraId="63270FA8" w14:textId="77777777" w:rsidR="008D45A9" w:rsidRPr="007245B0" w:rsidRDefault="008D45A9" w:rsidP="00A351F7">
            <w:pPr>
              <w:pStyle w:val="NoSpacing"/>
              <w:jc w:val="center"/>
              <w:rPr>
                <w:rFonts w:ascii="Times New Roman" w:hAnsi="Times New Roman" w:cs="Times New Roman"/>
                <w:sz w:val="18"/>
                <w:szCs w:val="18"/>
              </w:rPr>
            </w:pPr>
            <w:r w:rsidRPr="007245B0">
              <w:rPr>
                <w:rFonts w:ascii="Times New Roman" w:hAnsi="Times New Roman" w:cs="Times New Roman"/>
                <w:sz w:val="18"/>
                <w:szCs w:val="18"/>
              </w:rPr>
              <w:t>8.75</w:t>
            </w:r>
          </w:p>
        </w:tc>
        <w:tc>
          <w:tcPr>
            <w:tcW w:w="807" w:type="dxa"/>
            <w:vAlign w:val="center"/>
            <w:hideMark/>
          </w:tcPr>
          <w:p w14:paraId="6C908508" w14:textId="77777777" w:rsidR="008D45A9" w:rsidRPr="007245B0" w:rsidRDefault="008D45A9" w:rsidP="00A351F7">
            <w:pPr>
              <w:pStyle w:val="NoSpacing"/>
              <w:jc w:val="center"/>
              <w:rPr>
                <w:rFonts w:ascii="Times New Roman" w:hAnsi="Times New Roman" w:cs="Times New Roman"/>
                <w:sz w:val="18"/>
                <w:szCs w:val="18"/>
              </w:rPr>
            </w:pPr>
            <w:r w:rsidRPr="007245B0">
              <w:rPr>
                <w:rFonts w:ascii="Times New Roman" w:hAnsi="Times New Roman" w:cs="Times New Roman"/>
                <w:sz w:val="18"/>
                <w:szCs w:val="18"/>
              </w:rPr>
              <w:t>37.91</w:t>
            </w:r>
          </w:p>
        </w:tc>
      </w:tr>
      <w:tr w:rsidR="008D45A9" w:rsidRPr="007245B0" w14:paraId="7B2683CF" w14:textId="77777777" w:rsidTr="00A351F7">
        <w:trPr>
          <w:gridAfter w:val="1"/>
          <w:wAfter w:w="11" w:type="dxa"/>
          <w:trHeight w:val="412"/>
          <w:jc w:val="center"/>
        </w:trPr>
        <w:tc>
          <w:tcPr>
            <w:tcW w:w="1452" w:type="dxa"/>
            <w:hideMark/>
          </w:tcPr>
          <w:p w14:paraId="349A81C0" w14:textId="77777777" w:rsidR="008D45A9" w:rsidRPr="007245B0" w:rsidRDefault="008D45A9" w:rsidP="00B77C0B">
            <w:pPr>
              <w:pStyle w:val="NoSpacing"/>
              <w:rPr>
                <w:rFonts w:ascii="Times New Roman" w:hAnsi="Times New Roman" w:cs="Times New Roman"/>
                <w:sz w:val="18"/>
                <w:szCs w:val="18"/>
              </w:rPr>
            </w:pPr>
            <w:r w:rsidRPr="007245B0">
              <w:rPr>
                <w:rFonts w:ascii="Times New Roman" w:hAnsi="Times New Roman" w:cs="Times New Roman"/>
                <w:sz w:val="18"/>
                <w:szCs w:val="18"/>
              </w:rPr>
              <w:t>Madhya Pradesh</w:t>
            </w:r>
          </w:p>
        </w:tc>
        <w:tc>
          <w:tcPr>
            <w:tcW w:w="871" w:type="dxa"/>
            <w:vAlign w:val="center"/>
            <w:hideMark/>
          </w:tcPr>
          <w:p w14:paraId="2670631E" w14:textId="77777777" w:rsidR="008D45A9" w:rsidRPr="007245B0" w:rsidRDefault="008D45A9" w:rsidP="00A351F7">
            <w:pPr>
              <w:pStyle w:val="NoSpacing"/>
              <w:jc w:val="center"/>
              <w:rPr>
                <w:rFonts w:ascii="Times New Roman" w:hAnsi="Times New Roman" w:cs="Times New Roman"/>
                <w:sz w:val="18"/>
                <w:szCs w:val="18"/>
              </w:rPr>
            </w:pPr>
            <w:r w:rsidRPr="007245B0">
              <w:rPr>
                <w:rFonts w:ascii="Times New Roman" w:hAnsi="Times New Roman" w:cs="Times New Roman"/>
                <w:sz w:val="18"/>
                <w:szCs w:val="18"/>
              </w:rPr>
              <w:t>8.21</w:t>
            </w:r>
          </w:p>
        </w:tc>
        <w:tc>
          <w:tcPr>
            <w:tcW w:w="725" w:type="dxa"/>
            <w:vAlign w:val="center"/>
            <w:hideMark/>
          </w:tcPr>
          <w:p w14:paraId="40972A80" w14:textId="77777777" w:rsidR="008D45A9" w:rsidRPr="007245B0" w:rsidRDefault="008D45A9" w:rsidP="00A351F7">
            <w:pPr>
              <w:pStyle w:val="NoSpacing"/>
              <w:jc w:val="center"/>
              <w:rPr>
                <w:rFonts w:ascii="Times New Roman" w:hAnsi="Times New Roman" w:cs="Times New Roman"/>
                <w:sz w:val="18"/>
                <w:szCs w:val="18"/>
              </w:rPr>
            </w:pPr>
            <w:r w:rsidRPr="007245B0">
              <w:rPr>
                <w:rFonts w:ascii="Times New Roman" w:hAnsi="Times New Roman" w:cs="Times New Roman"/>
                <w:sz w:val="18"/>
                <w:szCs w:val="18"/>
              </w:rPr>
              <w:t>3.00</w:t>
            </w:r>
          </w:p>
        </w:tc>
        <w:tc>
          <w:tcPr>
            <w:tcW w:w="871" w:type="dxa"/>
            <w:vAlign w:val="center"/>
            <w:hideMark/>
          </w:tcPr>
          <w:p w14:paraId="0246379C" w14:textId="77777777" w:rsidR="008D45A9" w:rsidRPr="007245B0" w:rsidRDefault="008D45A9" w:rsidP="00A351F7">
            <w:pPr>
              <w:pStyle w:val="NoSpacing"/>
              <w:jc w:val="center"/>
              <w:rPr>
                <w:rFonts w:ascii="Times New Roman" w:hAnsi="Times New Roman" w:cs="Times New Roman"/>
                <w:sz w:val="18"/>
                <w:szCs w:val="18"/>
              </w:rPr>
            </w:pPr>
            <w:r w:rsidRPr="007245B0">
              <w:rPr>
                <w:rFonts w:ascii="Times New Roman" w:hAnsi="Times New Roman" w:cs="Times New Roman"/>
                <w:sz w:val="18"/>
                <w:szCs w:val="18"/>
              </w:rPr>
              <w:t>11.21</w:t>
            </w:r>
          </w:p>
        </w:tc>
        <w:tc>
          <w:tcPr>
            <w:tcW w:w="823" w:type="dxa"/>
            <w:vAlign w:val="center"/>
            <w:hideMark/>
          </w:tcPr>
          <w:p w14:paraId="5AD01D9C" w14:textId="77777777" w:rsidR="008D45A9" w:rsidRPr="007245B0" w:rsidRDefault="008D45A9" w:rsidP="00A351F7">
            <w:pPr>
              <w:pStyle w:val="NoSpacing"/>
              <w:jc w:val="center"/>
              <w:rPr>
                <w:rFonts w:ascii="Times New Roman" w:hAnsi="Times New Roman" w:cs="Times New Roman"/>
                <w:sz w:val="18"/>
                <w:szCs w:val="18"/>
              </w:rPr>
            </w:pPr>
            <w:r w:rsidRPr="007245B0">
              <w:rPr>
                <w:rFonts w:ascii="Times New Roman" w:hAnsi="Times New Roman" w:cs="Times New Roman"/>
                <w:sz w:val="18"/>
                <w:szCs w:val="18"/>
              </w:rPr>
              <w:t>10.66</w:t>
            </w:r>
          </w:p>
        </w:tc>
        <w:tc>
          <w:tcPr>
            <w:tcW w:w="797" w:type="dxa"/>
            <w:vAlign w:val="center"/>
            <w:hideMark/>
          </w:tcPr>
          <w:p w14:paraId="7D0CBD84" w14:textId="77777777" w:rsidR="008D45A9" w:rsidRPr="007245B0" w:rsidRDefault="008D45A9" w:rsidP="00A351F7">
            <w:pPr>
              <w:pStyle w:val="NoSpacing"/>
              <w:jc w:val="center"/>
              <w:rPr>
                <w:rFonts w:ascii="Times New Roman" w:hAnsi="Times New Roman" w:cs="Times New Roman"/>
                <w:sz w:val="18"/>
                <w:szCs w:val="18"/>
              </w:rPr>
            </w:pPr>
            <w:r w:rsidRPr="007245B0">
              <w:rPr>
                <w:rFonts w:ascii="Times New Roman" w:hAnsi="Times New Roman" w:cs="Times New Roman"/>
                <w:sz w:val="18"/>
                <w:szCs w:val="18"/>
              </w:rPr>
              <w:t>3.00</w:t>
            </w:r>
          </w:p>
        </w:tc>
        <w:tc>
          <w:tcPr>
            <w:tcW w:w="717" w:type="dxa"/>
            <w:vAlign w:val="center"/>
            <w:hideMark/>
          </w:tcPr>
          <w:p w14:paraId="6CCF6B9C" w14:textId="77777777" w:rsidR="008D45A9" w:rsidRPr="007245B0" w:rsidRDefault="008D45A9" w:rsidP="00A351F7">
            <w:pPr>
              <w:pStyle w:val="NoSpacing"/>
              <w:jc w:val="center"/>
              <w:rPr>
                <w:rFonts w:ascii="Times New Roman" w:hAnsi="Times New Roman" w:cs="Times New Roman"/>
                <w:sz w:val="18"/>
                <w:szCs w:val="18"/>
              </w:rPr>
            </w:pPr>
            <w:r w:rsidRPr="007245B0">
              <w:rPr>
                <w:rFonts w:ascii="Times New Roman" w:hAnsi="Times New Roman" w:cs="Times New Roman"/>
                <w:sz w:val="18"/>
                <w:szCs w:val="18"/>
              </w:rPr>
              <w:t>13.66</w:t>
            </w:r>
          </w:p>
        </w:tc>
        <w:tc>
          <w:tcPr>
            <w:tcW w:w="719" w:type="dxa"/>
            <w:vAlign w:val="center"/>
            <w:hideMark/>
          </w:tcPr>
          <w:p w14:paraId="6C6026D9" w14:textId="77777777" w:rsidR="008D45A9" w:rsidRPr="007245B0" w:rsidRDefault="008D45A9" w:rsidP="00A351F7">
            <w:pPr>
              <w:pStyle w:val="NoSpacing"/>
              <w:jc w:val="center"/>
              <w:rPr>
                <w:rFonts w:ascii="Times New Roman" w:hAnsi="Times New Roman" w:cs="Times New Roman"/>
                <w:sz w:val="18"/>
                <w:szCs w:val="18"/>
              </w:rPr>
            </w:pPr>
            <w:r w:rsidRPr="007245B0">
              <w:rPr>
                <w:rFonts w:ascii="Times New Roman" w:hAnsi="Times New Roman" w:cs="Times New Roman"/>
                <w:sz w:val="18"/>
                <w:szCs w:val="18"/>
              </w:rPr>
              <w:t>11.46</w:t>
            </w:r>
          </w:p>
        </w:tc>
        <w:tc>
          <w:tcPr>
            <w:tcW w:w="797" w:type="dxa"/>
            <w:vAlign w:val="center"/>
            <w:hideMark/>
          </w:tcPr>
          <w:p w14:paraId="3FBF3151" w14:textId="77777777" w:rsidR="008D45A9" w:rsidRPr="007245B0" w:rsidRDefault="008D45A9" w:rsidP="00A351F7">
            <w:pPr>
              <w:pStyle w:val="NoSpacing"/>
              <w:jc w:val="center"/>
              <w:rPr>
                <w:rFonts w:ascii="Times New Roman" w:hAnsi="Times New Roman" w:cs="Times New Roman"/>
                <w:sz w:val="18"/>
                <w:szCs w:val="18"/>
              </w:rPr>
            </w:pPr>
            <w:r w:rsidRPr="007245B0">
              <w:rPr>
                <w:rFonts w:ascii="Times New Roman" w:hAnsi="Times New Roman" w:cs="Times New Roman"/>
                <w:sz w:val="18"/>
                <w:szCs w:val="18"/>
              </w:rPr>
              <w:t>3.00</w:t>
            </w:r>
          </w:p>
        </w:tc>
        <w:tc>
          <w:tcPr>
            <w:tcW w:w="717" w:type="dxa"/>
            <w:vAlign w:val="center"/>
            <w:hideMark/>
          </w:tcPr>
          <w:p w14:paraId="24D3CC37" w14:textId="77777777" w:rsidR="008D45A9" w:rsidRPr="007245B0" w:rsidRDefault="008D45A9" w:rsidP="00A351F7">
            <w:pPr>
              <w:pStyle w:val="NoSpacing"/>
              <w:jc w:val="center"/>
              <w:rPr>
                <w:rFonts w:ascii="Times New Roman" w:hAnsi="Times New Roman" w:cs="Times New Roman"/>
                <w:sz w:val="18"/>
                <w:szCs w:val="18"/>
              </w:rPr>
            </w:pPr>
            <w:r w:rsidRPr="007245B0">
              <w:rPr>
                <w:rFonts w:ascii="Times New Roman" w:hAnsi="Times New Roman" w:cs="Times New Roman"/>
                <w:sz w:val="18"/>
                <w:szCs w:val="18"/>
              </w:rPr>
              <w:t>14.46</w:t>
            </w:r>
          </w:p>
        </w:tc>
        <w:tc>
          <w:tcPr>
            <w:tcW w:w="719" w:type="dxa"/>
            <w:vAlign w:val="center"/>
            <w:hideMark/>
          </w:tcPr>
          <w:p w14:paraId="6C4E2103" w14:textId="77777777" w:rsidR="008D45A9" w:rsidRPr="007245B0" w:rsidRDefault="008D45A9" w:rsidP="00A351F7">
            <w:pPr>
              <w:pStyle w:val="NoSpacing"/>
              <w:jc w:val="center"/>
              <w:rPr>
                <w:rFonts w:ascii="Times New Roman" w:hAnsi="Times New Roman" w:cs="Times New Roman"/>
                <w:sz w:val="18"/>
                <w:szCs w:val="18"/>
              </w:rPr>
            </w:pPr>
            <w:r w:rsidRPr="007245B0">
              <w:rPr>
                <w:rFonts w:ascii="Times New Roman" w:hAnsi="Times New Roman" w:cs="Times New Roman"/>
                <w:sz w:val="18"/>
                <w:szCs w:val="18"/>
              </w:rPr>
              <w:t>13.52</w:t>
            </w:r>
          </w:p>
        </w:tc>
        <w:tc>
          <w:tcPr>
            <w:tcW w:w="708" w:type="dxa"/>
            <w:vAlign w:val="center"/>
            <w:hideMark/>
          </w:tcPr>
          <w:p w14:paraId="0C55516D" w14:textId="77777777" w:rsidR="008D45A9" w:rsidRPr="007245B0" w:rsidRDefault="008D45A9" w:rsidP="00A351F7">
            <w:pPr>
              <w:pStyle w:val="NoSpacing"/>
              <w:jc w:val="center"/>
              <w:rPr>
                <w:rFonts w:ascii="Times New Roman" w:hAnsi="Times New Roman" w:cs="Times New Roman"/>
                <w:sz w:val="18"/>
                <w:szCs w:val="18"/>
              </w:rPr>
            </w:pPr>
            <w:r w:rsidRPr="007245B0">
              <w:rPr>
                <w:rFonts w:ascii="Times New Roman" w:hAnsi="Times New Roman" w:cs="Times New Roman"/>
                <w:sz w:val="18"/>
                <w:szCs w:val="18"/>
              </w:rPr>
              <w:t>3.00</w:t>
            </w:r>
          </w:p>
        </w:tc>
        <w:tc>
          <w:tcPr>
            <w:tcW w:w="717" w:type="dxa"/>
            <w:vAlign w:val="center"/>
            <w:hideMark/>
          </w:tcPr>
          <w:p w14:paraId="40217447" w14:textId="77777777" w:rsidR="008D45A9" w:rsidRPr="007245B0" w:rsidRDefault="008D45A9" w:rsidP="00A351F7">
            <w:pPr>
              <w:pStyle w:val="NoSpacing"/>
              <w:jc w:val="center"/>
              <w:rPr>
                <w:rFonts w:ascii="Times New Roman" w:hAnsi="Times New Roman" w:cs="Times New Roman"/>
                <w:sz w:val="18"/>
                <w:szCs w:val="18"/>
              </w:rPr>
            </w:pPr>
            <w:r w:rsidRPr="007245B0">
              <w:rPr>
                <w:rFonts w:ascii="Times New Roman" w:hAnsi="Times New Roman" w:cs="Times New Roman"/>
                <w:sz w:val="18"/>
                <w:szCs w:val="18"/>
              </w:rPr>
              <w:t>16.52</w:t>
            </w:r>
          </w:p>
        </w:tc>
        <w:tc>
          <w:tcPr>
            <w:tcW w:w="719" w:type="dxa"/>
            <w:vAlign w:val="center"/>
            <w:hideMark/>
          </w:tcPr>
          <w:p w14:paraId="5E768BAD" w14:textId="77777777" w:rsidR="008D45A9" w:rsidRPr="007245B0" w:rsidRDefault="008D45A9" w:rsidP="00A351F7">
            <w:pPr>
              <w:pStyle w:val="NoSpacing"/>
              <w:jc w:val="center"/>
              <w:rPr>
                <w:rFonts w:ascii="Times New Roman" w:hAnsi="Times New Roman" w:cs="Times New Roman"/>
                <w:sz w:val="18"/>
                <w:szCs w:val="18"/>
              </w:rPr>
            </w:pPr>
            <w:r w:rsidRPr="007245B0">
              <w:rPr>
                <w:rFonts w:ascii="Times New Roman" w:hAnsi="Times New Roman" w:cs="Times New Roman"/>
                <w:sz w:val="18"/>
                <w:szCs w:val="18"/>
              </w:rPr>
              <w:t>12.69</w:t>
            </w:r>
          </w:p>
        </w:tc>
        <w:tc>
          <w:tcPr>
            <w:tcW w:w="708" w:type="dxa"/>
            <w:vAlign w:val="center"/>
            <w:hideMark/>
          </w:tcPr>
          <w:p w14:paraId="04D95B6B" w14:textId="77777777" w:rsidR="008D45A9" w:rsidRPr="007245B0" w:rsidRDefault="008D45A9" w:rsidP="00A351F7">
            <w:pPr>
              <w:pStyle w:val="NoSpacing"/>
              <w:jc w:val="center"/>
              <w:rPr>
                <w:rFonts w:ascii="Times New Roman" w:hAnsi="Times New Roman" w:cs="Times New Roman"/>
                <w:sz w:val="18"/>
                <w:szCs w:val="18"/>
              </w:rPr>
            </w:pPr>
            <w:r w:rsidRPr="007245B0">
              <w:rPr>
                <w:rFonts w:ascii="Times New Roman" w:hAnsi="Times New Roman" w:cs="Times New Roman"/>
                <w:sz w:val="18"/>
                <w:szCs w:val="18"/>
              </w:rPr>
              <w:t>3.00</w:t>
            </w:r>
          </w:p>
        </w:tc>
        <w:tc>
          <w:tcPr>
            <w:tcW w:w="717" w:type="dxa"/>
            <w:vAlign w:val="center"/>
            <w:hideMark/>
          </w:tcPr>
          <w:p w14:paraId="2194DD1B" w14:textId="77777777" w:rsidR="008D45A9" w:rsidRPr="007245B0" w:rsidRDefault="008D45A9" w:rsidP="00A351F7">
            <w:pPr>
              <w:pStyle w:val="NoSpacing"/>
              <w:jc w:val="center"/>
              <w:rPr>
                <w:rFonts w:ascii="Times New Roman" w:hAnsi="Times New Roman" w:cs="Times New Roman"/>
                <w:sz w:val="18"/>
                <w:szCs w:val="18"/>
              </w:rPr>
            </w:pPr>
            <w:r w:rsidRPr="007245B0">
              <w:rPr>
                <w:rFonts w:ascii="Times New Roman" w:hAnsi="Times New Roman" w:cs="Times New Roman"/>
                <w:sz w:val="18"/>
                <w:szCs w:val="18"/>
              </w:rPr>
              <w:t>15.69</w:t>
            </w:r>
          </w:p>
        </w:tc>
        <w:tc>
          <w:tcPr>
            <w:tcW w:w="719" w:type="dxa"/>
            <w:vAlign w:val="center"/>
            <w:hideMark/>
          </w:tcPr>
          <w:p w14:paraId="66F3285A" w14:textId="77777777" w:rsidR="008D45A9" w:rsidRPr="007245B0" w:rsidRDefault="008D45A9" w:rsidP="00A351F7">
            <w:pPr>
              <w:pStyle w:val="NoSpacing"/>
              <w:jc w:val="center"/>
              <w:rPr>
                <w:rFonts w:ascii="Times New Roman" w:hAnsi="Times New Roman" w:cs="Times New Roman"/>
                <w:sz w:val="18"/>
                <w:szCs w:val="18"/>
              </w:rPr>
            </w:pPr>
            <w:r w:rsidRPr="007245B0">
              <w:rPr>
                <w:rFonts w:ascii="Times New Roman" w:hAnsi="Times New Roman" w:cs="Times New Roman"/>
                <w:sz w:val="18"/>
                <w:szCs w:val="18"/>
              </w:rPr>
              <w:t>56.54</w:t>
            </w:r>
          </w:p>
        </w:tc>
        <w:tc>
          <w:tcPr>
            <w:tcW w:w="717" w:type="dxa"/>
            <w:vAlign w:val="center"/>
            <w:hideMark/>
          </w:tcPr>
          <w:p w14:paraId="195FF2D8" w14:textId="77777777" w:rsidR="008D45A9" w:rsidRPr="007245B0" w:rsidRDefault="008D45A9" w:rsidP="00A351F7">
            <w:pPr>
              <w:pStyle w:val="NoSpacing"/>
              <w:jc w:val="center"/>
              <w:rPr>
                <w:rFonts w:ascii="Times New Roman" w:hAnsi="Times New Roman" w:cs="Times New Roman"/>
                <w:sz w:val="18"/>
                <w:szCs w:val="18"/>
              </w:rPr>
            </w:pPr>
            <w:r w:rsidRPr="007245B0">
              <w:rPr>
                <w:rFonts w:ascii="Times New Roman" w:hAnsi="Times New Roman" w:cs="Times New Roman"/>
                <w:sz w:val="18"/>
                <w:szCs w:val="18"/>
              </w:rPr>
              <w:t>15.00</w:t>
            </w:r>
          </w:p>
        </w:tc>
        <w:tc>
          <w:tcPr>
            <w:tcW w:w="807" w:type="dxa"/>
            <w:vAlign w:val="center"/>
            <w:hideMark/>
          </w:tcPr>
          <w:p w14:paraId="10F3FC66" w14:textId="77777777" w:rsidR="008D45A9" w:rsidRPr="007245B0" w:rsidRDefault="008D45A9" w:rsidP="00A351F7">
            <w:pPr>
              <w:pStyle w:val="NoSpacing"/>
              <w:jc w:val="center"/>
              <w:rPr>
                <w:rFonts w:ascii="Times New Roman" w:hAnsi="Times New Roman" w:cs="Times New Roman"/>
                <w:sz w:val="18"/>
                <w:szCs w:val="18"/>
              </w:rPr>
            </w:pPr>
            <w:r w:rsidRPr="007245B0">
              <w:rPr>
                <w:rFonts w:ascii="Times New Roman" w:hAnsi="Times New Roman" w:cs="Times New Roman"/>
                <w:sz w:val="18"/>
                <w:szCs w:val="18"/>
              </w:rPr>
              <w:t>71.54</w:t>
            </w:r>
          </w:p>
        </w:tc>
      </w:tr>
      <w:tr w:rsidR="008D45A9" w:rsidRPr="007245B0" w14:paraId="623899DF" w14:textId="77777777" w:rsidTr="00A351F7">
        <w:trPr>
          <w:gridAfter w:val="1"/>
          <w:wAfter w:w="11" w:type="dxa"/>
          <w:trHeight w:val="187"/>
          <w:jc w:val="center"/>
        </w:trPr>
        <w:tc>
          <w:tcPr>
            <w:tcW w:w="1452" w:type="dxa"/>
            <w:hideMark/>
          </w:tcPr>
          <w:p w14:paraId="0F9B833B" w14:textId="77777777" w:rsidR="008D45A9" w:rsidRPr="007245B0" w:rsidRDefault="008D45A9" w:rsidP="00B77C0B">
            <w:pPr>
              <w:pStyle w:val="NoSpacing"/>
              <w:rPr>
                <w:rFonts w:ascii="Times New Roman" w:hAnsi="Times New Roman" w:cs="Times New Roman"/>
                <w:sz w:val="18"/>
                <w:szCs w:val="18"/>
              </w:rPr>
            </w:pPr>
            <w:r w:rsidRPr="007245B0">
              <w:rPr>
                <w:rFonts w:ascii="Times New Roman" w:hAnsi="Times New Roman" w:cs="Times New Roman"/>
                <w:sz w:val="18"/>
                <w:szCs w:val="18"/>
              </w:rPr>
              <w:t>Mysore</w:t>
            </w:r>
          </w:p>
        </w:tc>
        <w:tc>
          <w:tcPr>
            <w:tcW w:w="871" w:type="dxa"/>
            <w:vAlign w:val="center"/>
            <w:hideMark/>
          </w:tcPr>
          <w:p w14:paraId="5C06189E" w14:textId="77777777" w:rsidR="008D45A9" w:rsidRPr="007245B0" w:rsidRDefault="008D45A9" w:rsidP="00A351F7">
            <w:pPr>
              <w:pStyle w:val="NoSpacing"/>
              <w:jc w:val="center"/>
              <w:rPr>
                <w:rFonts w:ascii="Times New Roman" w:hAnsi="Times New Roman" w:cs="Times New Roman"/>
                <w:sz w:val="18"/>
                <w:szCs w:val="18"/>
              </w:rPr>
            </w:pPr>
            <w:r w:rsidRPr="007245B0">
              <w:rPr>
                <w:rFonts w:ascii="Times New Roman" w:hAnsi="Times New Roman" w:cs="Times New Roman"/>
                <w:sz w:val="18"/>
                <w:szCs w:val="18"/>
              </w:rPr>
              <w:t>6.41</w:t>
            </w:r>
          </w:p>
        </w:tc>
        <w:tc>
          <w:tcPr>
            <w:tcW w:w="725" w:type="dxa"/>
            <w:vAlign w:val="center"/>
            <w:hideMark/>
          </w:tcPr>
          <w:p w14:paraId="70EB495A" w14:textId="77777777" w:rsidR="008D45A9" w:rsidRPr="007245B0" w:rsidRDefault="008D45A9" w:rsidP="00A351F7">
            <w:pPr>
              <w:pStyle w:val="NoSpacing"/>
              <w:jc w:val="center"/>
              <w:rPr>
                <w:rFonts w:ascii="Times New Roman" w:hAnsi="Times New Roman" w:cs="Times New Roman"/>
                <w:sz w:val="18"/>
                <w:szCs w:val="18"/>
              </w:rPr>
            </w:pPr>
            <w:r w:rsidRPr="007245B0">
              <w:rPr>
                <w:rFonts w:ascii="Times New Roman" w:hAnsi="Times New Roman" w:cs="Times New Roman"/>
                <w:sz w:val="18"/>
                <w:szCs w:val="18"/>
              </w:rPr>
              <w:t>6.00</w:t>
            </w:r>
          </w:p>
        </w:tc>
        <w:tc>
          <w:tcPr>
            <w:tcW w:w="871" w:type="dxa"/>
            <w:vAlign w:val="center"/>
            <w:hideMark/>
          </w:tcPr>
          <w:p w14:paraId="0D69E760" w14:textId="77777777" w:rsidR="008D45A9" w:rsidRPr="007245B0" w:rsidRDefault="008D45A9" w:rsidP="00A351F7">
            <w:pPr>
              <w:pStyle w:val="NoSpacing"/>
              <w:jc w:val="center"/>
              <w:rPr>
                <w:rFonts w:ascii="Times New Roman" w:hAnsi="Times New Roman" w:cs="Times New Roman"/>
                <w:sz w:val="18"/>
                <w:szCs w:val="18"/>
              </w:rPr>
            </w:pPr>
            <w:r w:rsidRPr="007245B0">
              <w:rPr>
                <w:rFonts w:ascii="Times New Roman" w:hAnsi="Times New Roman" w:cs="Times New Roman"/>
                <w:sz w:val="18"/>
                <w:szCs w:val="18"/>
              </w:rPr>
              <w:t>12.41</w:t>
            </w:r>
          </w:p>
        </w:tc>
        <w:tc>
          <w:tcPr>
            <w:tcW w:w="823" w:type="dxa"/>
            <w:vAlign w:val="center"/>
            <w:hideMark/>
          </w:tcPr>
          <w:p w14:paraId="32DE1415" w14:textId="77777777" w:rsidR="008D45A9" w:rsidRPr="007245B0" w:rsidRDefault="008D45A9" w:rsidP="00A351F7">
            <w:pPr>
              <w:pStyle w:val="NoSpacing"/>
              <w:jc w:val="center"/>
              <w:rPr>
                <w:rFonts w:ascii="Times New Roman" w:hAnsi="Times New Roman" w:cs="Times New Roman"/>
                <w:sz w:val="18"/>
                <w:szCs w:val="18"/>
              </w:rPr>
            </w:pPr>
            <w:r w:rsidRPr="007245B0">
              <w:rPr>
                <w:rFonts w:ascii="Times New Roman" w:hAnsi="Times New Roman" w:cs="Times New Roman"/>
                <w:sz w:val="18"/>
                <w:szCs w:val="18"/>
              </w:rPr>
              <w:t>8.02</w:t>
            </w:r>
          </w:p>
        </w:tc>
        <w:tc>
          <w:tcPr>
            <w:tcW w:w="797" w:type="dxa"/>
            <w:vAlign w:val="center"/>
            <w:hideMark/>
          </w:tcPr>
          <w:p w14:paraId="0CB54B0A" w14:textId="77777777" w:rsidR="008D45A9" w:rsidRPr="007245B0" w:rsidRDefault="008D45A9" w:rsidP="00A351F7">
            <w:pPr>
              <w:pStyle w:val="NoSpacing"/>
              <w:jc w:val="center"/>
              <w:rPr>
                <w:rFonts w:ascii="Times New Roman" w:hAnsi="Times New Roman" w:cs="Times New Roman"/>
                <w:sz w:val="18"/>
                <w:szCs w:val="18"/>
              </w:rPr>
            </w:pPr>
            <w:r w:rsidRPr="007245B0">
              <w:rPr>
                <w:rFonts w:ascii="Times New Roman" w:hAnsi="Times New Roman" w:cs="Times New Roman"/>
                <w:sz w:val="18"/>
                <w:szCs w:val="18"/>
              </w:rPr>
              <w:t>6.00</w:t>
            </w:r>
          </w:p>
        </w:tc>
        <w:tc>
          <w:tcPr>
            <w:tcW w:w="717" w:type="dxa"/>
            <w:vAlign w:val="center"/>
            <w:hideMark/>
          </w:tcPr>
          <w:p w14:paraId="220C7735" w14:textId="77777777" w:rsidR="008D45A9" w:rsidRPr="007245B0" w:rsidRDefault="008D45A9" w:rsidP="00A351F7">
            <w:pPr>
              <w:pStyle w:val="NoSpacing"/>
              <w:jc w:val="center"/>
              <w:rPr>
                <w:rFonts w:ascii="Times New Roman" w:hAnsi="Times New Roman" w:cs="Times New Roman"/>
                <w:sz w:val="18"/>
                <w:szCs w:val="18"/>
              </w:rPr>
            </w:pPr>
            <w:r w:rsidRPr="007245B0">
              <w:rPr>
                <w:rFonts w:ascii="Times New Roman" w:hAnsi="Times New Roman" w:cs="Times New Roman"/>
                <w:sz w:val="18"/>
                <w:szCs w:val="18"/>
              </w:rPr>
              <w:t>14.02</w:t>
            </w:r>
          </w:p>
        </w:tc>
        <w:tc>
          <w:tcPr>
            <w:tcW w:w="719" w:type="dxa"/>
            <w:vAlign w:val="center"/>
            <w:hideMark/>
          </w:tcPr>
          <w:p w14:paraId="5345E50C" w14:textId="77777777" w:rsidR="008D45A9" w:rsidRPr="007245B0" w:rsidRDefault="008D45A9" w:rsidP="00A351F7">
            <w:pPr>
              <w:pStyle w:val="NoSpacing"/>
              <w:jc w:val="center"/>
              <w:rPr>
                <w:rFonts w:ascii="Times New Roman" w:hAnsi="Times New Roman" w:cs="Times New Roman"/>
                <w:sz w:val="18"/>
                <w:szCs w:val="18"/>
              </w:rPr>
            </w:pPr>
            <w:r w:rsidRPr="007245B0">
              <w:rPr>
                <w:rFonts w:ascii="Times New Roman" w:hAnsi="Times New Roman" w:cs="Times New Roman"/>
                <w:sz w:val="18"/>
                <w:szCs w:val="18"/>
              </w:rPr>
              <w:t>8.55</w:t>
            </w:r>
          </w:p>
        </w:tc>
        <w:tc>
          <w:tcPr>
            <w:tcW w:w="797" w:type="dxa"/>
            <w:vAlign w:val="center"/>
            <w:hideMark/>
          </w:tcPr>
          <w:p w14:paraId="3B70F16D" w14:textId="77777777" w:rsidR="008D45A9" w:rsidRPr="007245B0" w:rsidRDefault="008D45A9" w:rsidP="00A351F7">
            <w:pPr>
              <w:pStyle w:val="NoSpacing"/>
              <w:jc w:val="center"/>
              <w:rPr>
                <w:rFonts w:ascii="Times New Roman" w:hAnsi="Times New Roman" w:cs="Times New Roman"/>
                <w:sz w:val="18"/>
                <w:szCs w:val="18"/>
              </w:rPr>
            </w:pPr>
            <w:r w:rsidRPr="007245B0">
              <w:rPr>
                <w:rFonts w:ascii="Times New Roman" w:hAnsi="Times New Roman" w:cs="Times New Roman"/>
                <w:sz w:val="18"/>
                <w:szCs w:val="18"/>
              </w:rPr>
              <w:t>6.00</w:t>
            </w:r>
          </w:p>
        </w:tc>
        <w:tc>
          <w:tcPr>
            <w:tcW w:w="717" w:type="dxa"/>
            <w:vAlign w:val="center"/>
            <w:hideMark/>
          </w:tcPr>
          <w:p w14:paraId="76EAA3EF" w14:textId="77777777" w:rsidR="008D45A9" w:rsidRPr="007245B0" w:rsidRDefault="008D45A9" w:rsidP="00A351F7">
            <w:pPr>
              <w:pStyle w:val="NoSpacing"/>
              <w:jc w:val="center"/>
              <w:rPr>
                <w:rFonts w:ascii="Times New Roman" w:hAnsi="Times New Roman" w:cs="Times New Roman"/>
                <w:sz w:val="18"/>
                <w:szCs w:val="18"/>
              </w:rPr>
            </w:pPr>
            <w:r w:rsidRPr="007245B0">
              <w:rPr>
                <w:rFonts w:ascii="Times New Roman" w:hAnsi="Times New Roman" w:cs="Times New Roman"/>
                <w:sz w:val="18"/>
                <w:szCs w:val="18"/>
              </w:rPr>
              <w:t>14.55</w:t>
            </w:r>
          </w:p>
        </w:tc>
        <w:tc>
          <w:tcPr>
            <w:tcW w:w="719" w:type="dxa"/>
            <w:vAlign w:val="center"/>
            <w:hideMark/>
          </w:tcPr>
          <w:p w14:paraId="229FF0A7" w14:textId="77777777" w:rsidR="008D45A9" w:rsidRPr="007245B0" w:rsidRDefault="008D45A9" w:rsidP="00A351F7">
            <w:pPr>
              <w:pStyle w:val="NoSpacing"/>
              <w:jc w:val="center"/>
              <w:rPr>
                <w:rFonts w:ascii="Times New Roman" w:hAnsi="Times New Roman" w:cs="Times New Roman"/>
                <w:sz w:val="18"/>
                <w:szCs w:val="18"/>
              </w:rPr>
            </w:pPr>
            <w:r w:rsidRPr="007245B0">
              <w:rPr>
                <w:rFonts w:ascii="Times New Roman" w:hAnsi="Times New Roman" w:cs="Times New Roman"/>
                <w:sz w:val="18"/>
                <w:szCs w:val="18"/>
              </w:rPr>
              <w:t>10.91</w:t>
            </w:r>
          </w:p>
        </w:tc>
        <w:tc>
          <w:tcPr>
            <w:tcW w:w="708" w:type="dxa"/>
            <w:vAlign w:val="center"/>
            <w:hideMark/>
          </w:tcPr>
          <w:p w14:paraId="6CDFEEA3" w14:textId="77777777" w:rsidR="008D45A9" w:rsidRPr="007245B0" w:rsidRDefault="008D45A9" w:rsidP="00A351F7">
            <w:pPr>
              <w:pStyle w:val="NoSpacing"/>
              <w:jc w:val="center"/>
              <w:rPr>
                <w:rFonts w:ascii="Times New Roman" w:hAnsi="Times New Roman" w:cs="Times New Roman"/>
                <w:sz w:val="18"/>
                <w:szCs w:val="18"/>
              </w:rPr>
            </w:pPr>
            <w:r w:rsidRPr="007245B0">
              <w:rPr>
                <w:rFonts w:ascii="Times New Roman" w:hAnsi="Times New Roman" w:cs="Times New Roman"/>
                <w:sz w:val="18"/>
                <w:szCs w:val="18"/>
              </w:rPr>
              <w:t>6.00</w:t>
            </w:r>
          </w:p>
        </w:tc>
        <w:tc>
          <w:tcPr>
            <w:tcW w:w="717" w:type="dxa"/>
            <w:vAlign w:val="center"/>
            <w:hideMark/>
          </w:tcPr>
          <w:p w14:paraId="65D2D75A" w14:textId="77777777" w:rsidR="008D45A9" w:rsidRPr="007245B0" w:rsidRDefault="008D45A9" w:rsidP="00A351F7">
            <w:pPr>
              <w:pStyle w:val="NoSpacing"/>
              <w:jc w:val="center"/>
              <w:rPr>
                <w:rFonts w:ascii="Times New Roman" w:hAnsi="Times New Roman" w:cs="Times New Roman"/>
                <w:sz w:val="18"/>
                <w:szCs w:val="18"/>
              </w:rPr>
            </w:pPr>
            <w:r w:rsidRPr="007245B0">
              <w:rPr>
                <w:rFonts w:ascii="Times New Roman" w:hAnsi="Times New Roman" w:cs="Times New Roman"/>
                <w:sz w:val="18"/>
                <w:szCs w:val="18"/>
              </w:rPr>
              <w:t>16.91</w:t>
            </w:r>
          </w:p>
        </w:tc>
        <w:tc>
          <w:tcPr>
            <w:tcW w:w="719" w:type="dxa"/>
            <w:vAlign w:val="center"/>
            <w:hideMark/>
          </w:tcPr>
          <w:p w14:paraId="649C8683" w14:textId="77777777" w:rsidR="008D45A9" w:rsidRPr="007245B0" w:rsidRDefault="008D45A9" w:rsidP="00A351F7">
            <w:pPr>
              <w:pStyle w:val="NoSpacing"/>
              <w:jc w:val="center"/>
              <w:rPr>
                <w:rFonts w:ascii="Times New Roman" w:hAnsi="Times New Roman" w:cs="Times New Roman"/>
                <w:sz w:val="18"/>
                <w:szCs w:val="18"/>
              </w:rPr>
            </w:pPr>
            <w:r w:rsidRPr="007245B0">
              <w:rPr>
                <w:rFonts w:ascii="Times New Roman" w:hAnsi="Times New Roman" w:cs="Times New Roman"/>
                <w:sz w:val="18"/>
                <w:szCs w:val="18"/>
              </w:rPr>
              <w:t>9.57</w:t>
            </w:r>
          </w:p>
        </w:tc>
        <w:tc>
          <w:tcPr>
            <w:tcW w:w="708" w:type="dxa"/>
            <w:vAlign w:val="center"/>
            <w:hideMark/>
          </w:tcPr>
          <w:p w14:paraId="63E1423A" w14:textId="77777777" w:rsidR="008D45A9" w:rsidRPr="007245B0" w:rsidRDefault="008D45A9" w:rsidP="00A351F7">
            <w:pPr>
              <w:pStyle w:val="NoSpacing"/>
              <w:jc w:val="center"/>
              <w:rPr>
                <w:rFonts w:ascii="Times New Roman" w:hAnsi="Times New Roman" w:cs="Times New Roman"/>
                <w:sz w:val="18"/>
                <w:szCs w:val="18"/>
              </w:rPr>
            </w:pPr>
            <w:r w:rsidRPr="007245B0">
              <w:rPr>
                <w:rFonts w:ascii="Times New Roman" w:hAnsi="Times New Roman" w:cs="Times New Roman"/>
                <w:sz w:val="18"/>
                <w:szCs w:val="18"/>
              </w:rPr>
              <w:t>6.00</w:t>
            </w:r>
          </w:p>
        </w:tc>
        <w:tc>
          <w:tcPr>
            <w:tcW w:w="717" w:type="dxa"/>
            <w:vAlign w:val="center"/>
            <w:hideMark/>
          </w:tcPr>
          <w:p w14:paraId="53B6A7D3" w14:textId="77777777" w:rsidR="008D45A9" w:rsidRPr="007245B0" w:rsidRDefault="008D45A9" w:rsidP="00A351F7">
            <w:pPr>
              <w:pStyle w:val="NoSpacing"/>
              <w:jc w:val="center"/>
              <w:rPr>
                <w:rFonts w:ascii="Times New Roman" w:hAnsi="Times New Roman" w:cs="Times New Roman"/>
                <w:sz w:val="18"/>
                <w:szCs w:val="18"/>
              </w:rPr>
            </w:pPr>
            <w:r w:rsidRPr="007245B0">
              <w:rPr>
                <w:rFonts w:ascii="Times New Roman" w:hAnsi="Times New Roman" w:cs="Times New Roman"/>
                <w:sz w:val="18"/>
                <w:szCs w:val="18"/>
              </w:rPr>
              <w:t>15.57</w:t>
            </w:r>
          </w:p>
        </w:tc>
        <w:tc>
          <w:tcPr>
            <w:tcW w:w="719" w:type="dxa"/>
            <w:vAlign w:val="center"/>
            <w:hideMark/>
          </w:tcPr>
          <w:p w14:paraId="2151340D" w14:textId="77777777" w:rsidR="008D45A9" w:rsidRPr="007245B0" w:rsidRDefault="008D45A9" w:rsidP="00A351F7">
            <w:pPr>
              <w:pStyle w:val="NoSpacing"/>
              <w:jc w:val="center"/>
              <w:rPr>
                <w:rFonts w:ascii="Times New Roman" w:hAnsi="Times New Roman" w:cs="Times New Roman"/>
                <w:sz w:val="18"/>
                <w:szCs w:val="18"/>
              </w:rPr>
            </w:pPr>
            <w:r w:rsidRPr="007245B0">
              <w:rPr>
                <w:rFonts w:ascii="Times New Roman" w:hAnsi="Times New Roman" w:cs="Times New Roman"/>
                <w:sz w:val="18"/>
                <w:szCs w:val="18"/>
              </w:rPr>
              <w:t>43.46</w:t>
            </w:r>
          </w:p>
        </w:tc>
        <w:tc>
          <w:tcPr>
            <w:tcW w:w="717" w:type="dxa"/>
            <w:vAlign w:val="center"/>
            <w:hideMark/>
          </w:tcPr>
          <w:p w14:paraId="4346ADDD" w14:textId="77777777" w:rsidR="008D45A9" w:rsidRPr="007245B0" w:rsidRDefault="008D45A9" w:rsidP="00A351F7">
            <w:pPr>
              <w:pStyle w:val="NoSpacing"/>
              <w:jc w:val="center"/>
              <w:rPr>
                <w:rFonts w:ascii="Times New Roman" w:hAnsi="Times New Roman" w:cs="Times New Roman"/>
                <w:sz w:val="18"/>
                <w:szCs w:val="18"/>
              </w:rPr>
            </w:pPr>
            <w:r w:rsidRPr="007245B0">
              <w:rPr>
                <w:rFonts w:ascii="Times New Roman" w:hAnsi="Times New Roman" w:cs="Times New Roman"/>
                <w:sz w:val="18"/>
                <w:szCs w:val="18"/>
              </w:rPr>
              <w:t>30.00</w:t>
            </w:r>
          </w:p>
        </w:tc>
        <w:tc>
          <w:tcPr>
            <w:tcW w:w="807" w:type="dxa"/>
            <w:vAlign w:val="center"/>
            <w:hideMark/>
          </w:tcPr>
          <w:p w14:paraId="0988DAA5" w14:textId="77777777" w:rsidR="008D45A9" w:rsidRPr="007245B0" w:rsidRDefault="008D45A9" w:rsidP="00A351F7">
            <w:pPr>
              <w:pStyle w:val="NoSpacing"/>
              <w:jc w:val="center"/>
              <w:rPr>
                <w:rFonts w:ascii="Times New Roman" w:hAnsi="Times New Roman" w:cs="Times New Roman"/>
                <w:sz w:val="18"/>
                <w:szCs w:val="18"/>
              </w:rPr>
            </w:pPr>
            <w:r w:rsidRPr="007245B0">
              <w:rPr>
                <w:rFonts w:ascii="Times New Roman" w:hAnsi="Times New Roman" w:cs="Times New Roman"/>
                <w:sz w:val="18"/>
                <w:szCs w:val="18"/>
              </w:rPr>
              <w:t>73.46</w:t>
            </w:r>
          </w:p>
        </w:tc>
      </w:tr>
      <w:tr w:rsidR="008D45A9" w:rsidRPr="007245B0" w14:paraId="5977176A" w14:textId="77777777" w:rsidTr="00A351F7">
        <w:trPr>
          <w:gridAfter w:val="1"/>
          <w:wAfter w:w="11" w:type="dxa"/>
          <w:trHeight w:val="206"/>
          <w:jc w:val="center"/>
        </w:trPr>
        <w:tc>
          <w:tcPr>
            <w:tcW w:w="1452" w:type="dxa"/>
            <w:hideMark/>
          </w:tcPr>
          <w:p w14:paraId="3073E71D" w14:textId="77777777" w:rsidR="008D45A9" w:rsidRPr="007245B0" w:rsidRDefault="008D45A9" w:rsidP="00B77C0B">
            <w:pPr>
              <w:pStyle w:val="NoSpacing"/>
              <w:rPr>
                <w:rFonts w:ascii="Times New Roman" w:hAnsi="Times New Roman" w:cs="Times New Roman"/>
                <w:sz w:val="18"/>
                <w:szCs w:val="18"/>
              </w:rPr>
            </w:pPr>
            <w:r w:rsidRPr="007245B0">
              <w:rPr>
                <w:rFonts w:ascii="Times New Roman" w:hAnsi="Times New Roman" w:cs="Times New Roman"/>
                <w:sz w:val="18"/>
                <w:szCs w:val="18"/>
              </w:rPr>
              <w:t>Orissa</w:t>
            </w:r>
          </w:p>
        </w:tc>
        <w:tc>
          <w:tcPr>
            <w:tcW w:w="871" w:type="dxa"/>
            <w:vAlign w:val="center"/>
            <w:hideMark/>
          </w:tcPr>
          <w:p w14:paraId="69761AF9" w14:textId="77777777" w:rsidR="008D45A9" w:rsidRPr="007245B0" w:rsidRDefault="008D45A9" w:rsidP="00A351F7">
            <w:pPr>
              <w:pStyle w:val="NoSpacing"/>
              <w:jc w:val="center"/>
              <w:rPr>
                <w:rFonts w:ascii="Times New Roman" w:hAnsi="Times New Roman" w:cs="Times New Roman"/>
                <w:sz w:val="18"/>
                <w:szCs w:val="18"/>
              </w:rPr>
            </w:pPr>
            <w:r w:rsidRPr="007245B0">
              <w:rPr>
                <w:rFonts w:ascii="Times New Roman" w:hAnsi="Times New Roman" w:cs="Times New Roman"/>
                <w:sz w:val="18"/>
                <w:szCs w:val="18"/>
              </w:rPr>
              <w:t>4.47</w:t>
            </w:r>
          </w:p>
        </w:tc>
        <w:tc>
          <w:tcPr>
            <w:tcW w:w="725" w:type="dxa"/>
            <w:vAlign w:val="center"/>
            <w:hideMark/>
          </w:tcPr>
          <w:p w14:paraId="72F5C1AF" w14:textId="77777777" w:rsidR="008D45A9" w:rsidRPr="007245B0" w:rsidRDefault="008D45A9" w:rsidP="00A351F7">
            <w:pPr>
              <w:pStyle w:val="NoSpacing"/>
              <w:jc w:val="center"/>
              <w:rPr>
                <w:rFonts w:ascii="Times New Roman" w:hAnsi="Times New Roman" w:cs="Times New Roman"/>
                <w:sz w:val="18"/>
                <w:szCs w:val="18"/>
              </w:rPr>
            </w:pPr>
            <w:r w:rsidRPr="007245B0">
              <w:rPr>
                <w:rFonts w:ascii="Times New Roman" w:hAnsi="Times New Roman" w:cs="Times New Roman"/>
                <w:sz w:val="18"/>
                <w:szCs w:val="18"/>
              </w:rPr>
              <w:t>3.40</w:t>
            </w:r>
          </w:p>
        </w:tc>
        <w:tc>
          <w:tcPr>
            <w:tcW w:w="871" w:type="dxa"/>
            <w:vAlign w:val="center"/>
            <w:hideMark/>
          </w:tcPr>
          <w:p w14:paraId="591440BF" w14:textId="77777777" w:rsidR="008D45A9" w:rsidRPr="007245B0" w:rsidRDefault="008D45A9" w:rsidP="00A351F7">
            <w:pPr>
              <w:pStyle w:val="NoSpacing"/>
              <w:jc w:val="center"/>
              <w:rPr>
                <w:rFonts w:ascii="Times New Roman" w:hAnsi="Times New Roman" w:cs="Times New Roman"/>
                <w:sz w:val="18"/>
                <w:szCs w:val="18"/>
              </w:rPr>
            </w:pPr>
            <w:r w:rsidRPr="007245B0">
              <w:rPr>
                <w:rFonts w:ascii="Times New Roman" w:hAnsi="Times New Roman" w:cs="Times New Roman"/>
                <w:sz w:val="18"/>
                <w:szCs w:val="18"/>
              </w:rPr>
              <w:t>7.87</w:t>
            </w:r>
          </w:p>
        </w:tc>
        <w:tc>
          <w:tcPr>
            <w:tcW w:w="823" w:type="dxa"/>
            <w:vAlign w:val="center"/>
            <w:hideMark/>
          </w:tcPr>
          <w:p w14:paraId="7904C80F" w14:textId="77777777" w:rsidR="008D45A9" w:rsidRPr="007245B0" w:rsidRDefault="008D45A9" w:rsidP="00A351F7">
            <w:pPr>
              <w:pStyle w:val="NoSpacing"/>
              <w:jc w:val="center"/>
              <w:rPr>
                <w:rFonts w:ascii="Times New Roman" w:hAnsi="Times New Roman" w:cs="Times New Roman"/>
                <w:sz w:val="18"/>
                <w:szCs w:val="18"/>
              </w:rPr>
            </w:pPr>
            <w:r w:rsidRPr="007245B0">
              <w:rPr>
                <w:rFonts w:ascii="Times New Roman" w:hAnsi="Times New Roman" w:cs="Times New Roman"/>
                <w:sz w:val="18"/>
                <w:szCs w:val="18"/>
              </w:rPr>
              <w:t>5.63</w:t>
            </w:r>
          </w:p>
        </w:tc>
        <w:tc>
          <w:tcPr>
            <w:tcW w:w="797" w:type="dxa"/>
            <w:vAlign w:val="center"/>
            <w:hideMark/>
          </w:tcPr>
          <w:p w14:paraId="477BDE23" w14:textId="77777777" w:rsidR="008D45A9" w:rsidRPr="007245B0" w:rsidRDefault="008D45A9" w:rsidP="00A351F7">
            <w:pPr>
              <w:pStyle w:val="NoSpacing"/>
              <w:jc w:val="center"/>
              <w:rPr>
                <w:rFonts w:ascii="Times New Roman" w:hAnsi="Times New Roman" w:cs="Times New Roman"/>
                <w:sz w:val="18"/>
                <w:szCs w:val="18"/>
              </w:rPr>
            </w:pPr>
            <w:r w:rsidRPr="007245B0">
              <w:rPr>
                <w:rFonts w:ascii="Times New Roman" w:hAnsi="Times New Roman" w:cs="Times New Roman"/>
                <w:sz w:val="18"/>
                <w:szCs w:val="18"/>
              </w:rPr>
              <w:t>3.40</w:t>
            </w:r>
          </w:p>
        </w:tc>
        <w:tc>
          <w:tcPr>
            <w:tcW w:w="717" w:type="dxa"/>
            <w:vAlign w:val="center"/>
            <w:hideMark/>
          </w:tcPr>
          <w:p w14:paraId="7605B3C3" w14:textId="77777777" w:rsidR="008D45A9" w:rsidRPr="007245B0" w:rsidRDefault="008D45A9" w:rsidP="00A351F7">
            <w:pPr>
              <w:pStyle w:val="NoSpacing"/>
              <w:jc w:val="center"/>
              <w:rPr>
                <w:rFonts w:ascii="Times New Roman" w:hAnsi="Times New Roman" w:cs="Times New Roman"/>
                <w:sz w:val="18"/>
                <w:szCs w:val="18"/>
              </w:rPr>
            </w:pPr>
            <w:r w:rsidRPr="007245B0">
              <w:rPr>
                <w:rFonts w:ascii="Times New Roman" w:hAnsi="Times New Roman" w:cs="Times New Roman"/>
                <w:sz w:val="18"/>
                <w:szCs w:val="18"/>
              </w:rPr>
              <w:t>9.03</w:t>
            </w:r>
          </w:p>
        </w:tc>
        <w:tc>
          <w:tcPr>
            <w:tcW w:w="719" w:type="dxa"/>
            <w:vAlign w:val="center"/>
            <w:hideMark/>
          </w:tcPr>
          <w:p w14:paraId="53CE31E1" w14:textId="77777777" w:rsidR="008D45A9" w:rsidRPr="007245B0" w:rsidRDefault="008D45A9" w:rsidP="00A351F7">
            <w:pPr>
              <w:pStyle w:val="NoSpacing"/>
              <w:jc w:val="center"/>
              <w:rPr>
                <w:rFonts w:ascii="Times New Roman" w:hAnsi="Times New Roman" w:cs="Times New Roman"/>
                <w:sz w:val="18"/>
                <w:szCs w:val="18"/>
              </w:rPr>
            </w:pPr>
            <w:r w:rsidRPr="007245B0">
              <w:rPr>
                <w:rFonts w:ascii="Times New Roman" w:hAnsi="Times New Roman" w:cs="Times New Roman"/>
                <w:sz w:val="18"/>
                <w:szCs w:val="18"/>
              </w:rPr>
              <w:t>6.02</w:t>
            </w:r>
          </w:p>
        </w:tc>
        <w:tc>
          <w:tcPr>
            <w:tcW w:w="797" w:type="dxa"/>
            <w:vAlign w:val="center"/>
            <w:hideMark/>
          </w:tcPr>
          <w:p w14:paraId="285C7043" w14:textId="77777777" w:rsidR="008D45A9" w:rsidRPr="007245B0" w:rsidRDefault="008D45A9" w:rsidP="00A351F7">
            <w:pPr>
              <w:pStyle w:val="NoSpacing"/>
              <w:jc w:val="center"/>
              <w:rPr>
                <w:rFonts w:ascii="Times New Roman" w:hAnsi="Times New Roman" w:cs="Times New Roman"/>
                <w:sz w:val="18"/>
                <w:szCs w:val="18"/>
              </w:rPr>
            </w:pPr>
            <w:r w:rsidRPr="007245B0">
              <w:rPr>
                <w:rFonts w:ascii="Times New Roman" w:hAnsi="Times New Roman" w:cs="Times New Roman"/>
                <w:sz w:val="18"/>
                <w:szCs w:val="18"/>
              </w:rPr>
              <w:t>3.40</w:t>
            </w:r>
          </w:p>
        </w:tc>
        <w:tc>
          <w:tcPr>
            <w:tcW w:w="717" w:type="dxa"/>
            <w:vAlign w:val="center"/>
            <w:hideMark/>
          </w:tcPr>
          <w:p w14:paraId="7D4B86EA" w14:textId="77777777" w:rsidR="008D45A9" w:rsidRPr="007245B0" w:rsidRDefault="008D45A9" w:rsidP="00A351F7">
            <w:pPr>
              <w:pStyle w:val="NoSpacing"/>
              <w:jc w:val="center"/>
              <w:rPr>
                <w:rFonts w:ascii="Times New Roman" w:hAnsi="Times New Roman" w:cs="Times New Roman"/>
                <w:sz w:val="18"/>
                <w:szCs w:val="18"/>
              </w:rPr>
            </w:pPr>
            <w:r w:rsidRPr="007245B0">
              <w:rPr>
                <w:rFonts w:ascii="Times New Roman" w:hAnsi="Times New Roman" w:cs="Times New Roman"/>
                <w:sz w:val="18"/>
                <w:szCs w:val="18"/>
              </w:rPr>
              <w:t>9.42</w:t>
            </w:r>
          </w:p>
        </w:tc>
        <w:tc>
          <w:tcPr>
            <w:tcW w:w="719" w:type="dxa"/>
            <w:vAlign w:val="center"/>
            <w:hideMark/>
          </w:tcPr>
          <w:p w14:paraId="5583B146" w14:textId="77777777" w:rsidR="008D45A9" w:rsidRPr="007245B0" w:rsidRDefault="008D45A9" w:rsidP="00A351F7">
            <w:pPr>
              <w:pStyle w:val="NoSpacing"/>
              <w:jc w:val="center"/>
              <w:rPr>
                <w:rFonts w:ascii="Times New Roman" w:hAnsi="Times New Roman" w:cs="Times New Roman"/>
                <w:sz w:val="18"/>
                <w:szCs w:val="18"/>
              </w:rPr>
            </w:pPr>
            <w:r w:rsidRPr="007245B0">
              <w:rPr>
                <w:rFonts w:ascii="Times New Roman" w:hAnsi="Times New Roman" w:cs="Times New Roman"/>
                <w:sz w:val="18"/>
                <w:szCs w:val="18"/>
              </w:rPr>
              <w:t>7.19</w:t>
            </w:r>
          </w:p>
        </w:tc>
        <w:tc>
          <w:tcPr>
            <w:tcW w:w="708" w:type="dxa"/>
            <w:vAlign w:val="center"/>
            <w:hideMark/>
          </w:tcPr>
          <w:p w14:paraId="3834A46B" w14:textId="77777777" w:rsidR="008D45A9" w:rsidRPr="007245B0" w:rsidRDefault="008D45A9" w:rsidP="00A351F7">
            <w:pPr>
              <w:pStyle w:val="NoSpacing"/>
              <w:jc w:val="center"/>
              <w:rPr>
                <w:rFonts w:ascii="Times New Roman" w:hAnsi="Times New Roman" w:cs="Times New Roman"/>
                <w:sz w:val="18"/>
                <w:szCs w:val="18"/>
              </w:rPr>
            </w:pPr>
            <w:r w:rsidRPr="007245B0">
              <w:rPr>
                <w:rFonts w:ascii="Times New Roman" w:hAnsi="Times New Roman" w:cs="Times New Roman"/>
                <w:sz w:val="18"/>
                <w:szCs w:val="18"/>
              </w:rPr>
              <w:t>3.50</w:t>
            </w:r>
          </w:p>
        </w:tc>
        <w:tc>
          <w:tcPr>
            <w:tcW w:w="717" w:type="dxa"/>
            <w:vAlign w:val="center"/>
            <w:hideMark/>
          </w:tcPr>
          <w:p w14:paraId="56947C7B" w14:textId="77777777" w:rsidR="008D45A9" w:rsidRPr="007245B0" w:rsidRDefault="008D45A9" w:rsidP="00A351F7">
            <w:pPr>
              <w:pStyle w:val="NoSpacing"/>
              <w:jc w:val="center"/>
              <w:rPr>
                <w:rFonts w:ascii="Times New Roman" w:hAnsi="Times New Roman" w:cs="Times New Roman"/>
                <w:sz w:val="18"/>
                <w:szCs w:val="18"/>
              </w:rPr>
            </w:pPr>
            <w:r w:rsidRPr="007245B0">
              <w:rPr>
                <w:rFonts w:ascii="Times New Roman" w:hAnsi="Times New Roman" w:cs="Times New Roman"/>
                <w:sz w:val="18"/>
                <w:szCs w:val="18"/>
              </w:rPr>
              <w:t>10.69</w:t>
            </w:r>
          </w:p>
        </w:tc>
        <w:tc>
          <w:tcPr>
            <w:tcW w:w="719" w:type="dxa"/>
            <w:vAlign w:val="center"/>
            <w:hideMark/>
          </w:tcPr>
          <w:p w14:paraId="19784BD5" w14:textId="77777777" w:rsidR="008D45A9" w:rsidRPr="007245B0" w:rsidRDefault="008D45A9" w:rsidP="00A351F7">
            <w:pPr>
              <w:pStyle w:val="NoSpacing"/>
              <w:jc w:val="center"/>
              <w:rPr>
                <w:rFonts w:ascii="Times New Roman" w:hAnsi="Times New Roman" w:cs="Times New Roman"/>
                <w:sz w:val="18"/>
                <w:szCs w:val="18"/>
              </w:rPr>
            </w:pPr>
            <w:r w:rsidRPr="007245B0">
              <w:rPr>
                <w:rFonts w:ascii="Times New Roman" w:hAnsi="Times New Roman" w:cs="Times New Roman"/>
                <w:sz w:val="18"/>
                <w:szCs w:val="18"/>
              </w:rPr>
              <w:t>6.74</w:t>
            </w:r>
          </w:p>
        </w:tc>
        <w:tc>
          <w:tcPr>
            <w:tcW w:w="708" w:type="dxa"/>
            <w:vAlign w:val="center"/>
            <w:hideMark/>
          </w:tcPr>
          <w:p w14:paraId="3701F95B" w14:textId="77777777" w:rsidR="008D45A9" w:rsidRPr="007245B0" w:rsidRDefault="008D45A9" w:rsidP="00A351F7">
            <w:pPr>
              <w:pStyle w:val="NoSpacing"/>
              <w:jc w:val="center"/>
              <w:rPr>
                <w:rFonts w:ascii="Times New Roman" w:hAnsi="Times New Roman" w:cs="Times New Roman"/>
                <w:sz w:val="18"/>
                <w:szCs w:val="18"/>
              </w:rPr>
            </w:pPr>
            <w:r w:rsidRPr="007245B0">
              <w:rPr>
                <w:rFonts w:ascii="Times New Roman" w:hAnsi="Times New Roman" w:cs="Times New Roman"/>
                <w:sz w:val="18"/>
                <w:szCs w:val="18"/>
              </w:rPr>
              <w:t>3.50</w:t>
            </w:r>
          </w:p>
        </w:tc>
        <w:tc>
          <w:tcPr>
            <w:tcW w:w="717" w:type="dxa"/>
            <w:vAlign w:val="center"/>
            <w:hideMark/>
          </w:tcPr>
          <w:p w14:paraId="61C7DCC4" w14:textId="77777777" w:rsidR="008D45A9" w:rsidRPr="007245B0" w:rsidRDefault="008D45A9" w:rsidP="00A351F7">
            <w:pPr>
              <w:pStyle w:val="NoSpacing"/>
              <w:jc w:val="center"/>
              <w:rPr>
                <w:rFonts w:ascii="Times New Roman" w:hAnsi="Times New Roman" w:cs="Times New Roman"/>
                <w:sz w:val="18"/>
                <w:szCs w:val="18"/>
              </w:rPr>
            </w:pPr>
            <w:r w:rsidRPr="007245B0">
              <w:rPr>
                <w:rFonts w:ascii="Times New Roman" w:hAnsi="Times New Roman" w:cs="Times New Roman"/>
                <w:sz w:val="18"/>
                <w:szCs w:val="18"/>
              </w:rPr>
              <w:t>10.24</w:t>
            </w:r>
          </w:p>
        </w:tc>
        <w:tc>
          <w:tcPr>
            <w:tcW w:w="719" w:type="dxa"/>
            <w:vAlign w:val="center"/>
            <w:hideMark/>
          </w:tcPr>
          <w:p w14:paraId="4B6D3AB2" w14:textId="77777777" w:rsidR="008D45A9" w:rsidRPr="007245B0" w:rsidRDefault="008D45A9" w:rsidP="00A351F7">
            <w:pPr>
              <w:pStyle w:val="NoSpacing"/>
              <w:jc w:val="center"/>
              <w:rPr>
                <w:rFonts w:ascii="Times New Roman" w:hAnsi="Times New Roman" w:cs="Times New Roman"/>
                <w:sz w:val="18"/>
                <w:szCs w:val="18"/>
              </w:rPr>
            </w:pPr>
            <w:r w:rsidRPr="007245B0">
              <w:rPr>
                <w:rFonts w:ascii="Times New Roman" w:hAnsi="Times New Roman" w:cs="Times New Roman"/>
                <w:sz w:val="18"/>
                <w:szCs w:val="18"/>
              </w:rPr>
              <w:t>30.05</w:t>
            </w:r>
          </w:p>
        </w:tc>
        <w:tc>
          <w:tcPr>
            <w:tcW w:w="717" w:type="dxa"/>
            <w:vAlign w:val="center"/>
            <w:hideMark/>
          </w:tcPr>
          <w:p w14:paraId="3871A34B" w14:textId="77777777" w:rsidR="008D45A9" w:rsidRPr="007245B0" w:rsidRDefault="008D45A9" w:rsidP="00A351F7">
            <w:pPr>
              <w:pStyle w:val="NoSpacing"/>
              <w:jc w:val="center"/>
              <w:rPr>
                <w:rFonts w:ascii="Times New Roman" w:hAnsi="Times New Roman" w:cs="Times New Roman"/>
                <w:sz w:val="18"/>
                <w:szCs w:val="18"/>
              </w:rPr>
            </w:pPr>
            <w:r w:rsidRPr="007245B0">
              <w:rPr>
                <w:rFonts w:ascii="Times New Roman" w:hAnsi="Times New Roman" w:cs="Times New Roman"/>
                <w:sz w:val="18"/>
                <w:szCs w:val="18"/>
              </w:rPr>
              <w:t>17.20</w:t>
            </w:r>
          </w:p>
        </w:tc>
        <w:tc>
          <w:tcPr>
            <w:tcW w:w="807" w:type="dxa"/>
            <w:vAlign w:val="center"/>
            <w:hideMark/>
          </w:tcPr>
          <w:p w14:paraId="7A924BE9" w14:textId="77777777" w:rsidR="008D45A9" w:rsidRPr="007245B0" w:rsidRDefault="008D45A9" w:rsidP="00A351F7">
            <w:pPr>
              <w:pStyle w:val="NoSpacing"/>
              <w:jc w:val="center"/>
              <w:rPr>
                <w:rFonts w:ascii="Times New Roman" w:hAnsi="Times New Roman" w:cs="Times New Roman"/>
                <w:sz w:val="18"/>
                <w:szCs w:val="18"/>
              </w:rPr>
            </w:pPr>
            <w:r w:rsidRPr="007245B0">
              <w:rPr>
                <w:rFonts w:ascii="Times New Roman" w:hAnsi="Times New Roman" w:cs="Times New Roman"/>
                <w:sz w:val="18"/>
                <w:szCs w:val="18"/>
              </w:rPr>
              <w:t>47.25</w:t>
            </w:r>
          </w:p>
        </w:tc>
      </w:tr>
      <w:tr w:rsidR="008D45A9" w:rsidRPr="007245B0" w14:paraId="0B532A8C" w14:textId="77777777" w:rsidTr="00A351F7">
        <w:trPr>
          <w:gridAfter w:val="1"/>
          <w:wAfter w:w="11" w:type="dxa"/>
          <w:trHeight w:val="206"/>
          <w:jc w:val="center"/>
        </w:trPr>
        <w:tc>
          <w:tcPr>
            <w:tcW w:w="1452" w:type="dxa"/>
            <w:hideMark/>
          </w:tcPr>
          <w:p w14:paraId="48CA1B65" w14:textId="77777777" w:rsidR="008D45A9" w:rsidRPr="007245B0" w:rsidRDefault="008D45A9" w:rsidP="00B77C0B">
            <w:pPr>
              <w:pStyle w:val="NoSpacing"/>
              <w:rPr>
                <w:rFonts w:ascii="Times New Roman" w:hAnsi="Times New Roman" w:cs="Times New Roman"/>
                <w:sz w:val="18"/>
                <w:szCs w:val="18"/>
              </w:rPr>
            </w:pPr>
            <w:r w:rsidRPr="007245B0">
              <w:rPr>
                <w:rFonts w:ascii="Times New Roman" w:hAnsi="Times New Roman" w:cs="Times New Roman"/>
                <w:sz w:val="18"/>
                <w:szCs w:val="18"/>
              </w:rPr>
              <w:t>Punjab</w:t>
            </w:r>
          </w:p>
        </w:tc>
        <w:tc>
          <w:tcPr>
            <w:tcW w:w="871" w:type="dxa"/>
            <w:vAlign w:val="center"/>
            <w:hideMark/>
          </w:tcPr>
          <w:p w14:paraId="0C89BC06" w14:textId="77777777" w:rsidR="008D45A9" w:rsidRPr="007245B0" w:rsidRDefault="008D45A9" w:rsidP="00A351F7">
            <w:pPr>
              <w:pStyle w:val="NoSpacing"/>
              <w:jc w:val="center"/>
              <w:rPr>
                <w:rFonts w:ascii="Times New Roman" w:hAnsi="Times New Roman" w:cs="Times New Roman"/>
                <w:sz w:val="18"/>
                <w:szCs w:val="18"/>
              </w:rPr>
            </w:pPr>
            <w:r w:rsidRPr="007245B0">
              <w:rPr>
                <w:rFonts w:ascii="Times New Roman" w:hAnsi="Times New Roman" w:cs="Times New Roman"/>
                <w:sz w:val="18"/>
                <w:szCs w:val="18"/>
              </w:rPr>
              <w:t>5.54</w:t>
            </w:r>
          </w:p>
        </w:tc>
        <w:tc>
          <w:tcPr>
            <w:tcW w:w="725" w:type="dxa"/>
            <w:vAlign w:val="center"/>
            <w:hideMark/>
          </w:tcPr>
          <w:p w14:paraId="1AFEECDA" w14:textId="77777777" w:rsidR="008D45A9" w:rsidRPr="007245B0" w:rsidRDefault="008D45A9" w:rsidP="00A351F7">
            <w:pPr>
              <w:pStyle w:val="NoSpacing"/>
              <w:jc w:val="center"/>
              <w:rPr>
                <w:rFonts w:ascii="Times New Roman" w:hAnsi="Times New Roman" w:cs="Times New Roman"/>
                <w:sz w:val="18"/>
                <w:szCs w:val="18"/>
              </w:rPr>
            </w:pPr>
            <w:r w:rsidRPr="007245B0">
              <w:rPr>
                <w:rFonts w:ascii="Times New Roman" w:hAnsi="Times New Roman" w:cs="Times New Roman"/>
                <w:sz w:val="18"/>
                <w:szCs w:val="18"/>
              </w:rPr>
              <w:t>2.25</w:t>
            </w:r>
          </w:p>
        </w:tc>
        <w:tc>
          <w:tcPr>
            <w:tcW w:w="871" w:type="dxa"/>
            <w:vAlign w:val="center"/>
            <w:hideMark/>
          </w:tcPr>
          <w:p w14:paraId="40D1234A" w14:textId="77777777" w:rsidR="008D45A9" w:rsidRPr="007245B0" w:rsidRDefault="008D45A9" w:rsidP="00A351F7">
            <w:pPr>
              <w:pStyle w:val="NoSpacing"/>
              <w:jc w:val="center"/>
              <w:rPr>
                <w:rFonts w:ascii="Times New Roman" w:hAnsi="Times New Roman" w:cs="Times New Roman"/>
                <w:sz w:val="18"/>
                <w:szCs w:val="18"/>
              </w:rPr>
            </w:pPr>
            <w:r w:rsidRPr="007245B0">
              <w:rPr>
                <w:rFonts w:ascii="Times New Roman" w:hAnsi="Times New Roman" w:cs="Times New Roman"/>
                <w:sz w:val="18"/>
                <w:szCs w:val="18"/>
              </w:rPr>
              <w:t>7.79</w:t>
            </w:r>
          </w:p>
        </w:tc>
        <w:tc>
          <w:tcPr>
            <w:tcW w:w="823" w:type="dxa"/>
            <w:vAlign w:val="center"/>
            <w:hideMark/>
          </w:tcPr>
          <w:p w14:paraId="32439B49" w14:textId="77777777" w:rsidR="008D45A9" w:rsidRPr="007245B0" w:rsidRDefault="008D45A9" w:rsidP="00A351F7">
            <w:pPr>
              <w:pStyle w:val="NoSpacing"/>
              <w:jc w:val="center"/>
              <w:rPr>
                <w:rFonts w:ascii="Times New Roman" w:hAnsi="Times New Roman" w:cs="Times New Roman"/>
                <w:sz w:val="18"/>
                <w:szCs w:val="18"/>
              </w:rPr>
            </w:pPr>
            <w:r w:rsidRPr="007245B0">
              <w:rPr>
                <w:rFonts w:ascii="Times New Roman" w:hAnsi="Times New Roman" w:cs="Times New Roman"/>
                <w:sz w:val="18"/>
                <w:szCs w:val="18"/>
              </w:rPr>
              <w:t>7.89</w:t>
            </w:r>
          </w:p>
        </w:tc>
        <w:tc>
          <w:tcPr>
            <w:tcW w:w="797" w:type="dxa"/>
            <w:vAlign w:val="center"/>
            <w:hideMark/>
          </w:tcPr>
          <w:p w14:paraId="66A90B58" w14:textId="77777777" w:rsidR="008D45A9" w:rsidRPr="007245B0" w:rsidRDefault="008D45A9" w:rsidP="00A351F7">
            <w:pPr>
              <w:pStyle w:val="NoSpacing"/>
              <w:jc w:val="center"/>
              <w:rPr>
                <w:rFonts w:ascii="Times New Roman" w:hAnsi="Times New Roman" w:cs="Times New Roman"/>
                <w:sz w:val="18"/>
                <w:szCs w:val="18"/>
              </w:rPr>
            </w:pPr>
            <w:r w:rsidRPr="007245B0">
              <w:rPr>
                <w:rFonts w:ascii="Times New Roman" w:hAnsi="Times New Roman" w:cs="Times New Roman"/>
                <w:sz w:val="18"/>
                <w:szCs w:val="18"/>
              </w:rPr>
              <w:t>2.25</w:t>
            </w:r>
          </w:p>
        </w:tc>
        <w:tc>
          <w:tcPr>
            <w:tcW w:w="717" w:type="dxa"/>
            <w:vAlign w:val="center"/>
            <w:hideMark/>
          </w:tcPr>
          <w:p w14:paraId="7E252846" w14:textId="77777777" w:rsidR="008D45A9" w:rsidRPr="007245B0" w:rsidRDefault="008D45A9" w:rsidP="00A351F7">
            <w:pPr>
              <w:pStyle w:val="NoSpacing"/>
              <w:jc w:val="center"/>
              <w:rPr>
                <w:rFonts w:ascii="Times New Roman" w:hAnsi="Times New Roman" w:cs="Times New Roman"/>
                <w:sz w:val="18"/>
                <w:szCs w:val="18"/>
              </w:rPr>
            </w:pPr>
            <w:r w:rsidRPr="007245B0">
              <w:rPr>
                <w:rFonts w:ascii="Times New Roman" w:hAnsi="Times New Roman" w:cs="Times New Roman"/>
                <w:sz w:val="18"/>
                <w:szCs w:val="18"/>
              </w:rPr>
              <w:t>10.14</w:t>
            </w:r>
          </w:p>
        </w:tc>
        <w:tc>
          <w:tcPr>
            <w:tcW w:w="719" w:type="dxa"/>
            <w:vAlign w:val="center"/>
            <w:hideMark/>
          </w:tcPr>
          <w:p w14:paraId="7287088D" w14:textId="77777777" w:rsidR="008D45A9" w:rsidRPr="007245B0" w:rsidRDefault="008D45A9" w:rsidP="00A351F7">
            <w:pPr>
              <w:pStyle w:val="NoSpacing"/>
              <w:jc w:val="center"/>
              <w:rPr>
                <w:rFonts w:ascii="Times New Roman" w:hAnsi="Times New Roman" w:cs="Times New Roman"/>
                <w:sz w:val="18"/>
                <w:szCs w:val="18"/>
              </w:rPr>
            </w:pPr>
            <w:r w:rsidRPr="007245B0">
              <w:rPr>
                <w:rFonts w:ascii="Times New Roman" w:hAnsi="Times New Roman" w:cs="Times New Roman"/>
                <w:sz w:val="18"/>
                <w:szCs w:val="18"/>
              </w:rPr>
              <w:t>8.32</w:t>
            </w:r>
          </w:p>
        </w:tc>
        <w:tc>
          <w:tcPr>
            <w:tcW w:w="797" w:type="dxa"/>
            <w:vAlign w:val="center"/>
            <w:hideMark/>
          </w:tcPr>
          <w:p w14:paraId="416004A1" w14:textId="77777777" w:rsidR="008D45A9" w:rsidRPr="007245B0" w:rsidRDefault="008D45A9" w:rsidP="00A351F7">
            <w:pPr>
              <w:pStyle w:val="NoSpacing"/>
              <w:jc w:val="center"/>
              <w:rPr>
                <w:rFonts w:ascii="Times New Roman" w:hAnsi="Times New Roman" w:cs="Times New Roman"/>
                <w:sz w:val="18"/>
                <w:szCs w:val="18"/>
              </w:rPr>
            </w:pPr>
            <w:r w:rsidRPr="007245B0">
              <w:rPr>
                <w:rFonts w:ascii="Times New Roman" w:hAnsi="Times New Roman" w:cs="Times New Roman"/>
                <w:sz w:val="18"/>
                <w:szCs w:val="18"/>
              </w:rPr>
              <w:t>2.25</w:t>
            </w:r>
          </w:p>
        </w:tc>
        <w:tc>
          <w:tcPr>
            <w:tcW w:w="717" w:type="dxa"/>
            <w:vAlign w:val="center"/>
            <w:hideMark/>
          </w:tcPr>
          <w:p w14:paraId="1B9E74A0" w14:textId="77777777" w:rsidR="008D45A9" w:rsidRPr="007245B0" w:rsidRDefault="008D45A9" w:rsidP="00A351F7">
            <w:pPr>
              <w:pStyle w:val="NoSpacing"/>
              <w:jc w:val="center"/>
              <w:rPr>
                <w:rFonts w:ascii="Times New Roman" w:hAnsi="Times New Roman" w:cs="Times New Roman"/>
                <w:sz w:val="18"/>
                <w:szCs w:val="18"/>
              </w:rPr>
            </w:pPr>
            <w:r w:rsidRPr="007245B0">
              <w:rPr>
                <w:rFonts w:ascii="Times New Roman" w:hAnsi="Times New Roman" w:cs="Times New Roman"/>
                <w:sz w:val="18"/>
                <w:szCs w:val="18"/>
              </w:rPr>
              <w:t>10.57</w:t>
            </w:r>
          </w:p>
        </w:tc>
        <w:tc>
          <w:tcPr>
            <w:tcW w:w="719" w:type="dxa"/>
            <w:vAlign w:val="center"/>
            <w:hideMark/>
          </w:tcPr>
          <w:p w14:paraId="28ECD353" w14:textId="77777777" w:rsidR="008D45A9" w:rsidRPr="007245B0" w:rsidRDefault="008D45A9" w:rsidP="00A351F7">
            <w:pPr>
              <w:pStyle w:val="NoSpacing"/>
              <w:jc w:val="center"/>
              <w:rPr>
                <w:rFonts w:ascii="Times New Roman" w:hAnsi="Times New Roman" w:cs="Times New Roman"/>
                <w:sz w:val="18"/>
                <w:szCs w:val="18"/>
              </w:rPr>
            </w:pPr>
            <w:r w:rsidRPr="007245B0">
              <w:rPr>
                <w:rFonts w:ascii="Times New Roman" w:hAnsi="Times New Roman" w:cs="Times New Roman"/>
                <w:sz w:val="18"/>
                <w:szCs w:val="18"/>
              </w:rPr>
              <w:t>9.73</w:t>
            </w:r>
          </w:p>
        </w:tc>
        <w:tc>
          <w:tcPr>
            <w:tcW w:w="708" w:type="dxa"/>
            <w:vAlign w:val="center"/>
            <w:hideMark/>
          </w:tcPr>
          <w:p w14:paraId="2073EFA5" w14:textId="77777777" w:rsidR="008D45A9" w:rsidRPr="007245B0" w:rsidRDefault="008D45A9" w:rsidP="00A351F7">
            <w:pPr>
              <w:pStyle w:val="NoSpacing"/>
              <w:jc w:val="center"/>
              <w:rPr>
                <w:rFonts w:ascii="Times New Roman" w:hAnsi="Times New Roman" w:cs="Times New Roman"/>
                <w:sz w:val="18"/>
                <w:szCs w:val="18"/>
              </w:rPr>
            </w:pPr>
            <w:r w:rsidRPr="007245B0">
              <w:rPr>
                <w:rFonts w:ascii="Times New Roman" w:hAnsi="Times New Roman" w:cs="Times New Roman"/>
                <w:sz w:val="18"/>
                <w:szCs w:val="18"/>
              </w:rPr>
              <w:t>2.25</w:t>
            </w:r>
          </w:p>
        </w:tc>
        <w:tc>
          <w:tcPr>
            <w:tcW w:w="717" w:type="dxa"/>
            <w:vAlign w:val="center"/>
            <w:hideMark/>
          </w:tcPr>
          <w:p w14:paraId="1ABD5447" w14:textId="77777777" w:rsidR="008D45A9" w:rsidRPr="007245B0" w:rsidRDefault="008D45A9" w:rsidP="00A351F7">
            <w:pPr>
              <w:pStyle w:val="NoSpacing"/>
              <w:jc w:val="center"/>
              <w:rPr>
                <w:rFonts w:ascii="Times New Roman" w:hAnsi="Times New Roman" w:cs="Times New Roman"/>
                <w:sz w:val="18"/>
                <w:szCs w:val="18"/>
              </w:rPr>
            </w:pPr>
            <w:r w:rsidRPr="007245B0">
              <w:rPr>
                <w:rFonts w:ascii="Times New Roman" w:hAnsi="Times New Roman" w:cs="Times New Roman"/>
                <w:sz w:val="18"/>
                <w:szCs w:val="18"/>
              </w:rPr>
              <w:t>11.98</w:t>
            </w:r>
          </w:p>
        </w:tc>
        <w:tc>
          <w:tcPr>
            <w:tcW w:w="719" w:type="dxa"/>
            <w:vAlign w:val="center"/>
            <w:hideMark/>
          </w:tcPr>
          <w:p w14:paraId="6C56D845" w14:textId="77777777" w:rsidR="008D45A9" w:rsidRPr="007245B0" w:rsidRDefault="008D45A9" w:rsidP="00A351F7">
            <w:pPr>
              <w:pStyle w:val="NoSpacing"/>
              <w:jc w:val="center"/>
              <w:rPr>
                <w:rFonts w:ascii="Times New Roman" w:hAnsi="Times New Roman" w:cs="Times New Roman"/>
                <w:sz w:val="18"/>
                <w:szCs w:val="18"/>
              </w:rPr>
            </w:pPr>
            <w:r w:rsidRPr="007245B0">
              <w:rPr>
                <w:rFonts w:ascii="Times New Roman" w:hAnsi="Times New Roman" w:cs="Times New Roman"/>
                <w:sz w:val="18"/>
                <w:szCs w:val="18"/>
              </w:rPr>
              <w:t>9.19</w:t>
            </w:r>
          </w:p>
        </w:tc>
        <w:tc>
          <w:tcPr>
            <w:tcW w:w="708" w:type="dxa"/>
            <w:vAlign w:val="center"/>
            <w:hideMark/>
          </w:tcPr>
          <w:p w14:paraId="5AB3BCE9" w14:textId="77777777" w:rsidR="008D45A9" w:rsidRPr="007245B0" w:rsidRDefault="008D45A9" w:rsidP="00A351F7">
            <w:pPr>
              <w:pStyle w:val="NoSpacing"/>
              <w:jc w:val="center"/>
              <w:rPr>
                <w:rFonts w:ascii="Times New Roman" w:hAnsi="Times New Roman" w:cs="Times New Roman"/>
                <w:sz w:val="18"/>
                <w:szCs w:val="18"/>
              </w:rPr>
            </w:pPr>
            <w:r w:rsidRPr="007245B0">
              <w:rPr>
                <w:rFonts w:ascii="Times New Roman" w:hAnsi="Times New Roman" w:cs="Times New Roman"/>
                <w:sz w:val="18"/>
                <w:szCs w:val="18"/>
              </w:rPr>
              <w:t>2.25</w:t>
            </w:r>
          </w:p>
        </w:tc>
        <w:tc>
          <w:tcPr>
            <w:tcW w:w="717" w:type="dxa"/>
            <w:vAlign w:val="center"/>
            <w:hideMark/>
          </w:tcPr>
          <w:p w14:paraId="3C631B93" w14:textId="77777777" w:rsidR="008D45A9" w:rsidRPr="007245B0" w:rsidRDefault="008D45A9" w:rsidP="00A351F7">
            <w:pPr>
              <w:pStyle w:val="NoSpacing"/>
              <w:jc w:val="center"/>
              <w:rPr>
                <w:rFonts w:ascii="Times New Roman" w:hAnsi="Times New Roman" w:cs="Times New Roman"/>
                <w:sz w:val="18"/>
                <w:szCs w:val="18"/>
              </w:rPr>
            </w:pPr>
            <w:r w:rsidRPr="007245B0">
              <w:rPr>
                <w:rFonts w:ascii="Times New Roman" w:hAnsi="Times New Roman" w:cs="Times New Roman"/>
                <w:sz w:val="18"/>
                <w:szCs w:val="18"/>
              </w:rPr>
              <w:t>11.44</w:t>
            </w:r>
          </w:p>
        </w:tc>
        <w:tc>
          <w:tcPr>
            <w:tcW w:w="719" w:type="dxa"/>
            <w:vAlign w:val="center"/>
            <w:hideMark/>
          </w:tcPr>
          <w:p w14:paraId="4125A394" w14:textId="77777777" w:rsidR="008D45A9" w:rsidRPr="007245B0" w:rsidRDefault="008D45A9" w:rsidP="00A351F7">
            <w:pPr>
              <w:pStyle w:val="NoSpacing"/>
              <w:jc w:val="center"/>
              <w:rPr>
                <w:rFonts w:ascii="Times New Roman" w:hAnsi="Times New Roman" w:cs="Times New Roman"/>
                <w:sz w:val="18"/>
                <w:szCs w:val="18"/>
              </w:rPr>
            </w:pPr>
            <w:r w:rsidRPr="007245B0">
              <w:rPr>
                <w:rFonts w:ascii="Times New Roman" w:hAnsi="Times New Roman" w:cs="Times New Roman"/>
                <w:sz w:val="18"/>
                <w:szCs w:val="18"/>
              </w:rPr>
              <w:t>40.67</w:t>
            </w:r>
          </w:p>
        </w:tc>
        <w:tc>
          <w:tcPr>
            <w:tcW w:w="717" w:type="dxa"/>
            <w:vAlign w:val="center"/>
            <w:hideMark/>
          </w:tcPr>
          <w:p w14:paraId="5C01420D" w14:textId="77777777" w:rsidR="008D45A9" w:rsidRPr="007245B0" w:rsidRDefault="008D45A9" w:rsidP="00A351F7">
            <w:pPr>
              <w:pStyle w:val="NoSpacing"/>
              <w:jc w:val="center"/>
              <w:rPr>
                <w:rFonts w:ascii="Times New Roman" w:hAnsi="Times New Roman" w:cs="Times New Roman"/>
                <w:sz w:val="18"/>
                <w:szCs w:val="18"/>
              </w:rPr>
            </w:pPr>
            <w:r w:rsidRPr="007245B0">
              <w:rPr>
                <w:rFonts w:ascii="Times New Roman" w:hAnsi="Times New Roman" w:cs="Times New Roman"/>
                <w:sz w:val="18"/>
                <w:szCs w:val="18"/>
              </w:rPr>
              <w:t>11.25</w:t>
            </w:r>
          </w:p>
        </w:tc>
        <w:tc>
          <w:tcPr>
            <w:tcW w:w="807" w:type="dxa"/>
            <w:vAlign w:val="center"/>
            <w:hideMark/>
          </w:tcPr>
          <w:p w14:paraId="374FCC08" w14:textId="77777777" w:rsidR="008D45A9" w:rsidRPr="007245B0" w:rsidRDefault="008D45A9" w:rsidP="00A351F7">
            <w:pPr>
              <w:pStyle w:val="NoSpacing"/>
              <w:jc w:val="center"/>
              <w:rPr>
                <w:rFonts w:ascii="Times New Roman" w:hAnsi="Times New Roman" w:cs="Times New Roman"/>
                <w:sz w:val="18"/>
                <w:szCs w:val="18"/>
              </w:rPr>
            </w:pPr>
            <w:r w:rsidRPr="007245B0">
              <w:rPr>
                <w:rFonts w:ascii="Times New Roman" w:hAnsi="Times New Roman" w:cs="Times New Roman"/>
                <w:sz w:val="18"/>
                <w:szCs w:val="18"/>
              </w:rPr>
              <w:t>51.92</w:t>
            </w:r>
          </w:p>
        </w:tc>
      </w:tr>
      <w:tr w:rsidR="008D45A9" w:rsidRPr="007245B0" w14:paraId="761FCCF7" w14:textId="77777777" w:rsidTr="00A351F7">
        <w:trPr>
          <w:gridAfter w:val="1"/>
          <w:wAfter w:w="11" w:type="dxa"/>
          <w:trHeight w:val="187"/>
          <w:jc w:val="center"/>
        </w:trPr>
        <w:tc>
          <w:tcPr>
            <w:tcW w:w="1452" w:type="dxa"/>
            <w:hideMark/>
          </w:tcPr>
          <w:p w14:paraId="1093F5F5" w14:textId="77777777" w:rsidR="008D45A9" w:rsidRPr="007245B0" w:rsidRDefault="008D45A9" w:rsidP="00B77C0B">
            <w:pPr>
              <w:pStyle w:val="NoSpacing"/>
              <w:rPr>
                <w:rFonts w:ascii="Times New Roman" w:hAnsi="Times New Roman" w:cs="Times New Roman"/>
                <w:sz w:val="18"/>
                <w:szCs w:val="18"/>
              </w:rPr>
            </w:pPr>
            <w:r w:rsidRPr="007245B0">
              <w:rPr>
                <w:rFonts w:ascii="Times New Roman" w:hAnsi="Times New Roman" w:cs="Times New Roman"/>
                <w:sz w:val="18"/>
                <w:szCs w:val="18"/>
              </w:rPr>
              <w:t>Rajasthan</w:t>
            </w:r>
          </w:p>
        </w:tc>
        <w:tc>
          <w:tcPr>
            <w:tcW w:w="871" w:type="dxa"/>
            <w:vAlign w:val="center"/>
            <w:hideMark/>
          </w:tcPr>
          <w:p w14:paraId="174F7B38" w14:textId="77777777" w:rsidR="008D45A9" w:rsidRPr="007245B0" w:rsidRDefault="008D45A9" w:rsidP="00A351F7">
            <w:pPr>
              <w:pStyle w:val="NoSpacing"/>
              <w:jc w:val="center"/>
              <w:rPr>
                <w:rFonts w:ascii="Times New Roman" w:hAnsi="Times New Roman" w:cs="Times New Roman"/>
                <w:sz w:val="18"/>
                <w:szCs w:val="18"/>
              </w:rPr>
            </w:pPr>
            <w:r w:rsidRPr="007245B0">
              <w:rPr>
                <w:rFonts w:ascii="Times New Roman" w:hAnsi="Times New Roman" w:cs="Times New Roman"/>
                <w:sz w:val="18"/>
                <w:szCs w:val="18"/>
              </w:rPr>
              <w:t>5.14</w:t>
            </w:r>
          </w:p>
        </w:tc>
        <w:tc>
          <w:tcPr>
            <w:tcW w:w="725" w:type="dxa"/>
            <w:vAlign w:val="center"/>
            <w:hideMark/>
          </w:tcPr>
          <w:p w14:paraId="5F36C432" w14:textId="77777777" w:rsidR="008D45A9" w:rsidRPr="007245B0" w:rsidRDefault="008D45A9" w:rsidP="00A351F7">
            <w:pPr>
              <w:pStyle w:val="NoSpacing"/>
              <w:jc w:val="center"/>
              <w:rPr>
                <w:rFonts w:ascii="Times New Roman" w:hAnsi="Times New Roman" w:cs="Times New Roman"/>
                <w:sz w:val="18"/>
                <w:szCs w:val="18"/>
              </w:rPr>
            </w:pPr>
            <w:r w:rsidRPr="007245B0">
              <w:rPr>
                <w:rFonts w:ascii="Times New Roman" w:hAnsi="Times New Roman" w:cs="Times New Roman"/>
                <w:sz w:val="18"/>
                <w:szCs w:val="18"/>
              </w:rPr>
              <w:t>2.50</w:t>
            </w:r>
          </w:p>
        </w:tc>
        <w:tc>
          <w:tcPr>
            <w:tcW w:w="871" w:type="dxa"/>
            <w:vAlign w:val="center"/>
            <w:hideMark/>
          </w:tcPr>
          <w:p w14:paraId="53119C7D" w14:textId="77777777" w:rsidR="008D45A9" w:rsidRPr="007245B0" w:rsidRDefault="008D45A9" w:rsidP="00A351F7">
            <w:pPr>
              <w:pStyle w:val="NoSpacing"/>
              <w:jc w:val="center"/>
              <w:rPr>
                <w:rFonts w:ascii="Times New Roman" w:hAnsi="Times New Roman" w:cs="Times New Roman"/>
                <w:sz w:val="18"/>
                <w:szCs w:val="18"/>
              </w:rPr>
            </w:pPr>
            <w:r w:rsidRPr="007245B0">
              <w:rPr>
                <w:rFonts w:ascii="Times New Roman" w:hAnsi="Times New Roman" w:cs="Times New Roman"/>
                <w:sz w:val="18"/>
                <w:szCs w:val="18"/>
              </w:rPr>
              <w:t>7.64</w:t>
            </w:r>
          </w:p>
        </w:tc>
        <w:tc>
          <w:tcPr>
            <w:tcW w:w="823" w:type="dxa"/>
            <w:vAlign w:val="center"/>
            <w:hideMark/>
          </w:tcPr>
          <w:p w14:paraId="65AD3795" w14:textId="77777777" w:rsidR="008D45A9" w:rsidRPr="007245B0" w:rsidRDefault="008D45A9" w:rsidP="00A351F7">
            <w:pPr>
              <w:pStyle w:val="NoSpacing"/>
              <w:jc w:val="center"/>
              <w:rPr>
                <w:rFonts w:ascii="Times New Roman" w:hAnsi="Times New Roman" w:cs="Times New Roman"/>
                <w:sz w:val="18"/>
                <w:szCs w:val="18"/>
              </w:rPr>
            </w:pPr>
            <w:r w:rsidRPr="007245B0">
              <w:rPr>
                <w:rFonts w:ascii="Times New Roman" w:hAnsi="Times New Roman" w:cs="Times New Roman"/>
                <w:sz w:val="18"/>
                <w:szCs w:val="18"/>
              </w:rPr>
              <w:t>6.70</w:t>
            </w:r>
          </w:p>
        </w:tc>
        <w:tc>
          <w:tcPr>
            <w:tcW w:w="797" w:type="dxa"/>
            <w:vAlign w:val="center"/>
            <w:hideMark/>
          </w:tcPr>
          <w:p w14:paraId="413A369B" w14:textId="77777777" w:rsidR="008D45A9" w:rsidRPr="007245B0" w:rsidRDefault="008D45A9" w:rsidP="00A351F7">
            <w:pPr>
              <w:pStyle w:val="NoSpacing"/>
              <w:jc w:val="center"/>
              <w:rPr>
                <w:rFonts w:ascii="Times New Roman" w:hAnsi="Times New Roman" w:cs="Times New Roman"/>
                <w:sz w:val="18"/>
                <w:szCs w:val="18"/>
              </w:rPr>
            </w:pPr>
            <w:r w:rsidRPr="007245B0">
              <w:rPr>
                <w:rFonts w:ascii="Times New Roman" w:hAnsi="Times New Roman" w:cs="Times New Roman"/>
                <w:sz w:val="18"/>
                <w:szCs w:val="18"/>
              </w:rPr>
              <w:t>2.50</w:t>
            </w:r>
          </w:p>
        </w:tc>
        <w:tc>
          <w:tcPr>
            <w:tcW w:w="717" w:type="dxa"/>
            <w:vAlign w:val="center"/>
            <w:hideMark/>
          </w:tcPr>
          <w:p w14:paraId="714DAC3A" w14:textId="77777777" w:rsidR="008D45A9" w:rsidRPr="007245B0" w:rsidRDefault="008D45A9" w:rsidP="00A351F7">
            <w:pPr>
              <w:pStyle w:val="NoSpacing"/>
              <w:jc w:val="center"/>
              <w:rPr>
                <w:rFonts w:ascii="Times New Roman" w:hAnsi="Times New Roman" w:cs="Times New Roman"/>
                <w:sz w:val="18"/>
                <w:szCs w:val="18"/>
              </w:rPr>
            </w:pPr>
            <w:r w:rsidRPr="007245B0">
              <w:rPr>
                <w:rFonts w:ascii="Times New Roman" w:hAnsi="Times New Roman" w:cs="Times New Roman"/>
                <w:sz w:val="18"/>
                <w:szCs w:val="18"/>
              </w:rPr>
              <w:t>9.20</w:t>
            </w:r>
          </w:p>
        </w:tc>
        <w:tc>
          <w:tcPr>
            <w:tcW w:w="719" w:type="dxa"/>
            <w:vAlign w:val="center"/>
            <w:hideMark/>
          </w:tcPr>
          <w:p w14:paraId="4BD517B1" w14:textId="77777777" w:rsidR="008D45A9" w:rsidRPr="007245B0" w:rsidRDefault="008D45A9" w:rsidP="00A351F7">
            <w:pPr>
              <w:pStyle w:val="NoSpacing"/>
              <w:jc w:val="center"/>
              <w:rPr>
                <w:rFonts w:ascii="Times New Roman" w:hAnsi="Times New Roman" w:cs="Times New Roman"/>
                <w:sz w:val="18"/>
                <w:szCs w:val="18"/>
              </w:rPr>
            </w:pPr>
            <w:r w:rsidRPr="007245B0">
              <w:rPr>
                <w:rFonts w:ascii="Times New Roman" w:hAnsi="Times New Roman" w:cs="Times New Roman"/>
                <w:sz w:val="18"/>
                <w:szCs w:val="18"/>
              </w:rPr>
              <w:t>7.22</w:t>
            </w:r>
          </w:p>
        </w:tc>
        <w:tc>
          <w:tcPr>
            <w:tcW w:w="797" w:type="dxa"/>
            <w:vAlign w:val="center"/>
            <w:hideMark/>
          </w:tcPr>
          <w:p w14:paraId="48FACD6C" w14:textId="77777777" w:rsidR="008D45A9" w:rsidRPr="007245B0" w:rsidRDefault="008D45A9" w:rsidP="00A351F7">
            <w:pPr>
              <w:pStyle w:val="NoSpacing"/>
              <w:jc w:val="center"/>
              <w:rPr>
                <w:rFonts w:ascii="Times New Roman" w:hAnsi="Times New Roman" w:cs="Times New Roman"/>
                <w:sz w:val="18"/>
                <w:szCs w:val="18"/>
              </w:rPr>
            </w:pPr>
            <w:r w:rsidRPr="007245B0">
              <w:rPr>
                <w:rFonts w:ascii="Times New Roman" w:hAnsi="Times New Roman" w:cs="Times New Roman"/>
                <w:sz w:val="18"/>
                <w:szCs w:val="18"/>
              </w:rPr>
              <w:t>2.50</w:t>
            </w:r>
          </w:p>
        </w:tc>
        <w:tc>
          <w:tcPr>
            <w:tcW w:w="717" w:type="dxa"/>
            <w:vAlign w:val="center"/>
            <w:hideMark/>
          </w:tcPr>
          <w:p w14:paraId="58A78631" w14:textId="77777777" w:rsidR="008D45A9" w:rsidRPr="007245B0" w:rsidRDefault="008D45A9" w:rsidP="00A351F7">
            <w:pPr>
              <w:pStyle w:val="NoSpacing"/>
              <w:jc w:val="center"/>
              <w:rPr>
                <w:rFonts w:ascii="Times New Roman" w:hAnsi="Times New Roman" w:cs="Times New Roman"/>
                <w:sz w:val="18"/>
                <w:szCs w:val="18"/>
              </w:rPr>
            </w:pPr>
            <w:r w:rsidRPr="007245B0">
              <w:rPr>
                <w:rFonts w:ascii="Times New Roman" w:hAnsi="Times New Roman" w:cs="Times New Roman"/>
                <w:sz w:val="18"/>
                <w:szCs w:val="18"/>
              </w:rPr>
              <w:t>9.72</w:t>
            </w:r>
          </w:p>
        </w:tc>
        <w:tc>
          <w:tcPr>
            <w:tcW w:w="719" w:type="dxa"/>
            <w:vAlign w:val="center"/>
            <w:hideMark/>
          </w:tcPr>
          <w:p w14:paraId="2DD3FD76" w14:textId="77777777" w:rsidR="008D45A9" w:rsidRPr="007245B0" w:rsidRDefault="008D45A9" w:rsidP="00A351F7">
            <w:pPr>
              <w:pStyle w:val="NoSpacing"/>
              <w:jc w:val="center"/>
              <w:rPr>
                <w:rFonts w:ascii="Times New Roman" w:hAnsi="Times New Roman" w:cs="Times New Roman"/>
                <w:sz w:val="18"/>
                <w:szCs w:val="18"/>
              </w:rPr>
            </w:pPr>
            <w:r w:rsidRPr="007245B0">
              <w:rPr>
                <w:rFonts w:ascii="Times New Roman" w:hAnsi="Times New Roman" w:cs="Times New Roman"/>
                <w:sz w:val="18"/>
                <w:szCs w:val="18"/>
              </w:rPr>
              <w:t>8.51</w:t>
            </w:r>
          </w:p>
        </w:tc>
        <w:tc>
          <w:tcPr>
            <w:tcW w:w="708" w:type="dxa"/>
            <w:vAlign w:val="center"/>
            <w:hideMark/>
          </w:tcPr>
          <w:p w14:paraId="38AF74C7" w14:textId="77777777" w:rsidR="008D45A9" w:rsidRPr="007245B0" w:rsidRDefault="008D45A9" w:rsidP="00A351F7">
            <w:pPr>
              <w:pStyle w:val="NoSpacing"/>
              <w:jc w:val="center"/>
              <w:rPr>
                <w:rFonts w:ascii="Times New Roman" w:hAnsi="Times New Roman" w:cs="Times New Roman"/>
                <w:sz w:val="18"/>
                <w:szCs w:val="18"/>
              </w:rPr>
            </w:pPr>
            <w:r w:rsidRPr="007245B0">
              <w:rPr>
                <w:rFonts w:ascii="Times New Roman" w:hAnsi="Times New Roman" w:cs="Times New Roman"/>
                <w:sz w:val="18"/>
                <w:szCs w:val="18"/>
              </w:rPr>
              <w:t>2.50</w:t>
            </w:r>
          </w:p>
        </w:tc>
        <w:tc>
          <w:tcPr>
            <w:tcW w:w="717" w:type="dxa"/>
            <w:vAlign w:val="center"/>
            <w:hideMark/>
          </w:tcPr>
          <w:p w14:paraId="3E1FD920" w14:textId="77777777" w:rsidR="008D45A9" w:rsidRPr="007245B0" w:rsidRDefault="008D45A9" w:rsidP="00A351F7">
            <w:pPr>
              <w:pStyle w:val="NoSpacing"/>
              <w:jc w:val="center"/>
              <w:rPr>
                <w:rFonts w:ascii="Times New Roman" w:hAnsi="Times New Roman" w:cs="Times New Roman"/>
                <w:sz w:val="18"/>
                <w:szCs w:val="18"/>
              </w:rPr>
            </w:pPr>
            <w:r w:rsidRPr="007245B0">
              <w:rPr>
                <w:rFonts w:ascii="Times New Roman" w:hAnsi="Times New Roman" w:cs="Times New Roman"/>
                <w:sz w:val="18"/>
                <w:szCs w:val="18"/>
              </w:rPr>
              <w:t>11.01</w:t>
            </w:r>
          </w:p>
        </w:tc>
        <w:tc>
          <w:tcPr>
            <w:tcW w:w="719" w:type="dxa"/>
            <w:vAlign w:val="center"/>
            <w:hideMark/>
          </w:tcPr>
          <w:p w14:paraId="66D96A81" w14:textId="77777777" w:rsidR="008D45A9" w:rsidRPr="007245B0" w:rsidRDefault="008D45A9" w:rsidP="00A351F7">
            <w:pPr>
              <w:pStyle w:val="NoSpacing"/>
              <w:jc w:val="center"/>
              <w:rPr>
                <w:rFonts w:ascii="Times New Roman" w:hAnsi="Times New Roman" w:cs="Times New Roman"/>
                <w:sz w:val="18"/>
                <w:szCs w:val="18"/>
              </w:rPr>
            </w:pPr>
            <w:r w:rsidRPr="007245B0">
              <w:rPr>
                <w:rFonts w:ascii="Times New Roman" w:hAnsi="Times New Roman" w:cs="Times New Roman"/>
                <w:sz w:val="18"/>
                <w:szCs w:val="18"/>
              </w:rPr>
              <w:t>7.95</w:t>
            </w:r>
          </w:p>
        </w:tc>
        <w:tc>
          <w:tcPr>
            <w:tcW w:w="708" w:type="dxa"/>
            <w:vAlign w:val="center"/>
            <w:hideMark/>
          </w:tcPr>
          <w:p w14:paraId="3DD7B473" w14:textId="77777777" w:rsidR="008D45A9" w:rsidRPr="007245B0" w:rsidRDefault="008D45A9" w:rsidP="00A351F7">
            <w:pPr>
              <w:pStyle w:val="NoSpacing"/>
              <w:jc w:val="center"/>
              <w:rPr>
                <w:rFonts w:ascii="Times New Roman" w:hAnsi="Times New Roman" w:cs="Times New Roman"/>
                <w:sz w:val="18"/>
                <w:szCs w:val="18"/>
              </w:rPr>
            </w:pPr>
            <w:r w:rsidRPr="007245B0">
              <w:rPr>
                <w:rFonts w:ascii="Times New Roman" w:hAnsi="Times New Roman" w:cs="Times New Roman"/>
                <w:sz w:val="18"/>
                <w:szCs w:val="18"/>
              </w:rPr>
              <w:t>2.50</w:t>
            </w:r>
          </w:p>
        </w:tc>
        <w:tc>
          <w:tcPr>
            <w:tcW w:w="717" w:type="dxa"/>
            <w:vAlign w:val="center"/>
            <w:hideMark/>
          </w:tcPr>
          <w:p w14:paraId="17327499" w14:textId="77777777" w:rsidR="008D45A9" w:rsidRPr="007245B0" w:rsidRDefault="008D45A9" w:rsidP="00A351F7">
            <w:pPr>
              <w:pStyle w:val="NoSpacing"/>
              <w:jc w:val="center"/>
              <w:rPr>
                <w:rFonts w:ascii="Times New Roman" w:hAnsi="Times New Roman" w:cs="Times New Roman"/>
                <w:sz w:val="18"/>
                <w:szCs w:val="18"/>
              </w:rPr>
            </w:pPr>
            <w:r w:rsidRPr="007245B0">
              <w:rPr>
                <w:rFonts w:ascii="Times New Roman" w:hAnsi="Times New Roman" w:cs="Times New Roman"/>
                <w:sz w:val="18"/>
                <w:szCs w:val="18"/>
              </w:rPr>
              <w:t>10.45</w:t>
            </w:r>
          </w:p>
        </w:tc>
        <w:tc>
          <w:tcPr>
            <w:tcW w:w="719" w:type="dxa"/>
            <w:vAlign w:val="center"/>
            <w:hideMark/>
          </w:tcPr>
          <w:p w14:paraId="05AFDCBD" w14:textId="77777777" w:rsidR="008D45A9" w:rsidRPr="007245B0" w:rsidRDefault="008D45A9" w:rsidP="00A351F7">
            <w:pPr>
              <w:pStyle w:val="NoSpacing"/>
              <w:jc w:val="center"/>
              <w:rPr>
                <w:rFonts w:ascii="Times New Roman" w:hAnsi="Times New Roman" w:cs="Times New Roman"/>
                <w:sz w:val="18"/>
                <w:szCs w:val="18"/>
              </w:rPr>
            </w:pPr>
            <w:r w:rsidRPr="007245B0">
              <w:rPr>
                <w:rFonts w:ascii="Times New Roman" w:hAnsi="Times New Roman" w:cs="Times New Roman"/>
                <w:sz w:val="18"/>
                <w:szCs w:val="18"/>
              </w:rPr>
              <w:t>35.52</w:t>
            </w:r>
          </w:p>
        </w:tc>
        <w:tc>
          <w:tcPr>
            <w:tcW w:w="717" w:type="dxa"/>
            <w:vAlign w:val="center"/>
            <w:hideMark/>
          </w:tcPr>
          <w:p w14:paraId="46B3F941" w14:textId="77777777" w:rsidR="008D45A9" w:rsidRPr="007245B0" w:rsidRDefault="008D45A9" w:rsidP="00A351F7">
            <w:pPr>
              <w:pStyle w:val="NoSpacing"/>
              <w:jc w:val="center"/>
              <w:rPr>
                <w:rFonts w:ascii="Times New Roman" w:hAnsi="Times New Roman" w:cs="Times New Roman"/>
                <w:sz w:val="18"/>
                <w:szCs w:val="18"/>
              </w:rPr>
            </w:pPr>
            <w:r w:rsidRPr="007245B0">
              <w:rPr>
                <w:rFonts w:ascii="Times New Roman" w:hAnsi="Times New Roman" w:cs="Times New Roman"/>
                <w:sz w:val="18"/>
                <w:szCs w:val="18"/>
              </w:rPr>
              <w:t>12.50</w:t>
            </w:r>
          </w:p>
        </w:tc>
        <w:tc>
          <w:tcPr>
            <w:tcW w:w="807" w:type="dxa"/>
            <w:vAlign w:val="center"/>
            <w:hideMark/>
          </w:tcPr>
          <w:p w14:paraId="016E0E1B" w14:textId="77777777" w:rsidR="008D45A9" w:rsidRPr="007245B0" w:rsidRDefault="008D45A9" w:rsidP="00A351F7">
            <w:pPr>
              <w:pStyle w:val="NoSpacing"/>
              <w:jc w:val="center"/>
              <w:rPr>
                <w:rFonts w:ascii="Times New Roman" w:hAnsi="Times New Roman" w:cs="Times New Roman"/>
                <w:sz w:val="18"/>
                <w:szCs w:val="18"/>
              </w:rPr>
            </w:pPr>
            <w:r w:rsidRPr="007245B0">
              <w:rPr>
                <w:rFonts w:ascii="Times New Roman" w:hAnsi="Times New Roman" w:cs="Times New Roman"/>
                <w:sz w:val="18"/>
                <w:szCs w:val="18"/>
              </w:rPr>
              <w:t>48.02</w:t>
            </w:r>
          </w:p>
        </w:tc>
      </w:tr>
      <w:tr w:rsidR="008D45A9" w:rsidRPr="007245B0" w14:paraId="3C42E203" w14:textId="77777777" w:rsidTr="00A351F7">
        <w:trPr>
          <w:gridAfter w:val="1"/>
          <w:wAfter w:w="11" w:type="dxa"/>
          <w:trHeight w:val="206"/>
          <w:jc w:val="center"/>
        </w:trPr>
        <w:tc>
          <w:tcPr>
            <w:tcW w:w="1452" w:type="dxa"/>
            <w:hideMark/>
          </w:tcPr>
          <w:p w14:paraId="3D07118C" w14:textId="77777777" w:rsidR="008D45A9" w:rsidRPr="007245B0" w:rsidRDefault="008D45A9" w:rsidP="00B77C0B">
            <w:pPr>
              <w:pStyle w:val="NoSpacing"/>
              <w:rPr>
                <w:rFonts w:ascii="Times New Roman" w:hAnsi="Times New Roman" w:cs="Times New Roman"/>
                <w:sz w:val="18"/>
                <w:szCs w:val="18"/>
              </w:rPr>
            </w:pPr>
            <w:r w:rsidRPr="007245B0">
              <w:rPr>
                <w:rFonts w:ascii="Times New Roman" w:hAnsi="Times New Roman" w:cs="Times New Roman"/>
                <w:sz w:val="18"/>
                <w:szCs w:val="18"/>
              </w:rPr>
              <w:t>Tamil Nadu</w:t>
            </w:r>
          </w:p>
        </w:tc>
        <w:tc>
          <w:tcPr>
            <w:tcW w:w="871" w:type="dxa"/>
            <w:vAlign w:val="center"/>
            <w:hideMark/>
          </w:tcPr>
          <w:p w14:paraId="533909F1" w14:textId="77777777" w:rsidR="008D45A9" w:rsidRPr="007245B0" w:rsidRDefault="008D45A9" w:rsidP="00A351F7">
            <w:pPr>
              <w:pStyle w:val="NoSpacing"/>
              <w:jc w:val="center"/>
              <w:rPr>
                <w:rFonts w:ascii="Times New Roman" w:hAnsi="Times New Roman" w:cs="Times New Roman"/>
                <w:sz w:val="18"/>
                <w:szCs w:val="18"/>
              </w:rPr>
            </w:pPr>
            <w:r w:rsidRPr="007245B0">
              <w:rPr>
                <w:rFonts w:ascii="Times New Roman" w:hAnsi="Times New Roman" w:cs="Times New Roman"/>
                <w:sz w:val="18"/>
                <w:szCs w:val="18"/>
              </w:rPr>
              <w:t>9.90</w:t>
            </w:r>
          </w:p>
        </w:tc>
        <w:tc>
          <w:tcPr>
            <w:tcW w:w="725" w:type="dxa"/>
            <w:vAlign w:val="center"/>
            <w:hideMark/>
          </w:tcPr>
          <w:p w14:paraId="4E3F3379" w14:textId="77777777" w:rsidR="008D45A9" w:rsidRPr="007245B0" w:rsidRDefault="008D45A9" w:rsidP="00A351F7">
            <w:pPr>
              <w:pStyle w:val="NoSpacing"/>
              <w:jc w:val="center"/>
              <w:rPr>
                <w:rFonts w:ascii="Times New Roman" w:hAnsi="Times New Roman" w:cs="Times New Roman"/>
                <w:sz w:val="18"/>
                <w:szCs w:val="18"/>
              </w:rPr>
            </w:pPr>
            <w:r w:rsidRPr="007245B0">
              <w:rPr>
                <w:rFonts w:ascii="Times New Roman" w:hAnsi="Times New Roman" w:cs="Times New Roman"/>
                <w:sz w:val="18"/>
                <w:szCs w:val="18"/>
              </w:rPr>
              <w:t>..</w:t>
            </w:r>
          </w:p>
        </w:tc>
        <w:tc>
          <w:tcPr>
            <w:tcW w:w="871" w:type="dxa"/>
            <w:vAlign w:val="center"/>
            <w:hideMark/>
          </w:tcPr>
          <w:p w14:paraId="69A68963" w14:textId="77777777" w:rsidR="008D45A9" w:rsidRPr="007245B0" w:rsidRDefault="008D45A9" w:rsidP="00A351F7">
            <w:pPr>
              <w:pStyle w:val="NoSpacing"/>
              <w:jc w:val="center"/>
              <w:rPr>
                <w:rFonts w:ascii="Times New Roman" w:hAnsi="Times New Roman" w:cs="Times New Roman"/>
                <w:sz w:val="18"/>
                <w:szCs w:val="18"/>
              </w:rPr>
            </w:pPr>
            <w:r w:rsidRPr="007245B0">
              <w:rPr>
                <w:rFonts w:ascii="Times New Roman" w:hAnsi="Times New Roman" w:cs="Times New Roman"/>
                <w:sz w:val="18"/>
                <w:szCs w:val="18"/>
              </w:rPr>
              <w:t>9.90</w:t>
            </w:r>
          </w:p>
        </w:tc>
        <w:tc>
          <w:tcPr>
            <w:tcW w:w="823" w:type="dxa"/>
            <w:vAlign w:val="center"/>
            <w:hideMark/>
          </w:tcPr>
          <w:p w14:paraId="34F19267" w14:textId="77777777" w:rsidR="008D45A9" w:rsidRPr="007245B0" w:rsidRDefault="008D45A9" w:rsidP="00A351F7">
            <w:pPr>
              <w:pStyle w:val="NoSpacing"/>
              <w:jc w:val="center"/>
              <w:rPr>
                <w:rFonts w:ascii="Times New Roman" w:hAnsi="Times New Roman" w:cs="Times New Roman"/>
                <w:sz w:val="18"/>
                <w:szCs w:val="18"/>
              </w:rPr>
            </w:pPr>
            <w:r w:rsidRPr="007245B0">
              <w:rPr>
                <w:rFonts w:ascii="Times New Roman" w:hAnsi="Times New Roman" w:cs="Times New Roman"/>
                <w:sz w:val="18"/>
                <w:szCs w:val="18"/>
              </w:rPr>
              <w:t>13.20</w:t>
            </w:r>
          </w:p>
        </w:tc>
        <w:tc>
          <w:tcPr>
            <w:tcW w:w="797" w:type="dxa"/>
            <w:vAlign w:val="center"/>
            <w:hideMark/>
          </w:tcPr>
          <w:p w14:paraId="328A416D" w14:textId="77777777" w:rsidR="008D45A9" w:rsidRPr="007245B0" w:rsidRDefault="008D45A9" w:rsidP="00A351F7">
            <w:pPr>
              <w:pStyle w:val="NoSpacing"/>
              <w:jc w:val="center"/>
              <w:rPr>
                <w:rFonts w:ascii="Times New Roman" w:hAnsi="Times New Roman" w:cs="Times New Roman"/>
                <w:sz w:val="18"/>
                <w:szCs w:val="18"/>
              </w:rPr>
            </w:pPr>
            <w:r w:rsidRPr="007245B0">
              <w:rPr>
                <w:rFonts w:ascii="Times New Roman" w:hAnsi="Times New Roman" w:cs="Times New Roman"/>
                <w:sz w:val="18"/>
                <w:szCs w:val="18"/>
              </w:rPr>
              <w:t>..</w:t>
            </w:r>
          </w:p>
        </w:tc>
        <w:tc>
          <w:tcPr>
            <w:tcW w:w="717" w:type="dxa"/>
            <w:vAlign w:val="center"/>
            <w:hideMark/>
          </w:tcPr>
          <w:p w14:paraId="7CFCBB6D" w14:textId="77777777" w:rsidR="008D45A9" w:rsidRPr="007245B0" w:rsidRDefault="008D45A9" w:rsidP="00A351F7">
            <w:pPr>
              <w:pStyle w:val="NoSpacing"/>
              <w:jc w:val="center"/>
              <w:rPr>
                <w:rFonts w:ascii="Times New Roman" w:hAnsi="Times New Roman" w:cs="Times New Roman"/>
                <w:sz w:val="18"/>
                <w:szCs w:val="18"/>
              </w:rPr>
            </w:pPr>
            <w:r w:rsidRPr="007245B0">
              <w:rPr>
                <w:rFonts w:ascii="Times New Roman" w:hAnsi="Times New Roman" w:cs="Times New Roman"/>
                <w:sz w:val="18"/>
                <w:szCs w:val="18"/>
              </w:rPr>
              <w:t>13.20</w:t>
            </w:r>
          </w:p>
        </w:tc>
        <w:tc>
          <w:tcPr>
            <w:tcW w:w="719" w:type="dxa"/>
            <w:vAlign w:val="center"/>
            <w:hideMark/>
          </w:tcPr>
          <w:p w14:paraId="06AF33B8" w14:textId="77777777" w:rsidR="008D45A9" w:rsidRPr="007245B0" w:rsidRDefault="008D45A9" w:rsidP="00A351F7">
            <w:pPr>
              <w:pStyle w:val="NoSpacing"/>
              <w:jc w:val="center"/>
              <w:rPr>
                <w:rFonts w:ascii="Times New Roman" w:hAnsi="Times New Roman" w:cs="Times New Roman"/>
                <w:sz w:val="18"/>
                <w:szCs w:val="18"/>
              </w:rPr>
            </w:pPr>
            <w:r w:rsidRPr="007245B0">
              <w:rPr>
                <w:rFonts w:ascii="Times New Roman" w:hAnsi="Times New Roman" w:cs="Times New Roman"/>
                <w:sz w:val="18"/>
                <w:szCs w:val="18"/>
              </w:rPr>
              <w:t>14.12</w:t>
            </w:r>
          </w:p>
        </w:tc>
        <w:tc>
          <w:tcPr>
            <w:tcW w:w="797" w:type="dxa"/>
            <w:vAlign w:val="center"/>
            <w:hideMark/>
          </w:tcPr>
          <w:p w14:paraId="0A5FDBB6" w14:textId="77777777" w:rsidR="008D45A9" w:rsidRPr="007245B0" w:rsidRDefault="008D45A9" w:rsidP="00A351F7">
            <w:pPr>
              <w:pStyle w:val="NoSpacing"/>
              <w:jc w:val="center"/>
              <w:rPr>
                <w:rFonts w:ascii="Times New Roman" w:hAnsi="Times New Roman" w:cs="Times New Roman"/>
                <w:sz w:val="18"/>
                <w:szCs w:val="18"/>
              </w:rPr>
            </w:pPr>
            <w:r w:rsidRPr="007245B0">
              <w:rPr>
                <w:rFonts w:ascii="Times New Roman" w:hAnsi="Times New Roman" w:cs="Times New Roman"/>
                <w:sz w:val="18"/>
                <w:szCs w:val="18"/>
              </w:rPr>
              <w:t>..</w:t>
            </w:r>
          </w:p>
        </w:tc>
        <w:tc>
          <w:tcPr>
            <w:tcW w:w="717" w:type="dxa"/>
            <w:vAlign w:val="center"/>
            <w:hideMark/>
          </w:tcPr>
          <w:p w14:paraId="1A7C7BA2" w14:textId="77777777" w:rsidR="008D45A9" w:rsidRPr="007245B0" w:rsidRDefault="008D45A9" w:rsidP="00A351F7">
            <w:pPr>
              <w:pStyle w:val="NoSpacing"/>
              <w:jc w:val="center"/>
              <w:rPr>
                <w:rFonts w:ascii="Times New Roman" w:hAnsi="Times New Roman" w:cs="Times New Roman"/>
                <w:sz w:val="18"/>
                <w:szCs w:val="18"/>
              </w:rPr>
            </w:pPr>
            <w:r w:rsidRPr="007245B0">
              <w:rPr>
                <w:rFonts w:ascii="Times New Roman" w:hAnsi="Times New Roman" w:cs="Times New Roman"/>
                <w:sz w:val="18"/>
                <w:szCs w:val="18"/>
              </w:rPr>
              <w:t>14.12</w:t>
            </w:r>
          </w:p>
        </w:tc>
        <w:tc>
          <w:tcPr>
            <w:tcW w:w="719" w:type="dxa"/>
            <w:vAlign w:val="center"/>
            <w:hideMark/>
          </w:tcPr>
          <w:p w14:paraId="349FB744" w14:textId="77777777" w:rsidR="008D45A9" w:rsidRPr="007245B0" w:rsidRDefault="008D45A9" w:rsidP="00A351F7">
            <w:pPr>
              <w:pStyle w:val="NoSpacing"/>
              <w:jc w:val="center"/>
              <w:rPr>
                <w:rFonts w:ascii="Times New Roman" w:hAnsi="Times New Roman" w:cs="Times New Roman"/>
                <w:sz w:val="18"/>
                <w:szCs w:val="18"/>
              </w:rPr>
            </w:pPr>
            <w:r w:rsidRPr="007245B0">
              <w:rPr>
                <w:rFonts w:ascii="Times New Roman" w:hAnsi="Times New Roman" w:cs="Times New Roman"/>
                <w:sz w:val="18"/>
                <w:szCs w:val="18"/>
              </w:rPr>
              <w:t>20.03</w:t>
            </w:r>
          </w:p>
        </w:tc>
        <w:tc>
          <w:tcPr>
            <w:tcW w:w="708" w:type="dxa"/>
            <w:vAlign w:val="center"/>
            <w:hideMark/>
          </w:tcPr>
          <w:p w14:paraId="6E467521" w14:textId="77777777" w:rsidR="008D45A9" w:rsidRPr="007245B0" w:rsidRDefault="008D45A9" w:rsidP="00A351F7">
            <w:pPr>
              <w:pStyle w:val="NoSpacing"/>
              <w:jc w:val="center"/>
              <w:rPr>
                <w:rFonts w:ascii="Times New Roman" w:hAnsi="Times New Roman" w:cs="Times New Roman"/>
                <w:sz w:val="18"/>
                <w:szCs w:val="18"/>
              </w:rPr>
            </w:pPr>
            <w:r w:rsidRPr="007245B0">
              <w:rPr>
                <w:rFonts w:ascii="Times New Roman" w:hAnsi="Times New Roman" w:cs="Times New Roman"/>
                <w:sz w:val="18"/>
                <w:szCs w:val="18"/>
              </w:rPr>
              <w:t>..</w:t>
            </w:r>
          </w:p>
        </w:tc>
        <w:tc>
          <w:tcPr>
            <w:tcW w:w="717" w:type="dxa"/>
            <w:vAlign w:val="center"/>
            <w:hideMark/>
          </w:tcPr>
          <w:p w14:paraId="2008737E" w14:textId="77777777" w:rsidR="008D45A9" w:rsidRPr="007245B0" w:rsidRDefault="008D45A9" w:rsidP="00A351F7">
            <w:pPr>
              <w:pStyle w:val="NoSpacing"/>
              <w:jc w:val="center"/>
              <w:rPr>
                <w:rFonts w:ascii="Times New Roman" w:hAnsi="Times New Roman" w:cs="Times New Roman"/>
                <w:sz w:val="18"/>
                <w:szCs w:val="18"/>
              </w:rPr>
            </w:pPr>
            <w:r w:rsidRPr="007245B0">
              <w:rPr>
                <w:rFonts w:ascii="Times New Roman" w:hAnsi="Times New Roman" w:cs="Times New Roman"/>
                <w:sz w:val="18"/>
                <w:szCs w:val="18"/>
              </w:rPr>
              <w:t>20.03</w:t>
            </w:r>
          </w:p>
        </w:tc>
        <w:tc>
          <w:tcPr>
            <w:tcW w:w="719" w:type="dxa"/>
            <w:vAlign w:val="center"/>
            <w:hideMark/>
          </w:tcPr>
          <w:p w14:paraId="7F437007" w14:textId="77777777" w:rsidR="008D45A9" w:rsidRPr="007245B0" w:rsidRDefault="008D45A9" w:rsidP="00A351F7">
            <w:pPr>
              <w:pStyle w:val="NoSpacing"/>
              <w:jc w:val="center"/>
              <w:rPr>
                <w:rFonts w:ascii="Times New Roman" w:hAnsi="Times New Roman" w:cs="Times New Roman"/>
                <w:sz w:val="18"/>
                <w:szCs w:val="18"/>
              </w:rPr>
            </w:pPr>
            <w:r w:rsidRPr="007245B0">
              <w:rPr>
                <w:rFonts w:ascii="Times New Roman" w:hAnsi="Times New Roman" w:cs="Times New Roman"/>
                <w:sz w:val="18"/>
                <w:szCs w:val="18"/>
              </w:rPr>
              <w:t>15.63</w:t>
            </w:r>
          </w:p>
        </w:tc>
        <w:tc>
          <w:tcPr>
            <w:tcW w:w="708" w:type="dxa"/>
            <w:vAlign w:val="center"/>
            <w:hideMark/>
          </w:tcPr>
          <w:p w14:paraId="592DB2C7" w14:textId="77777777" w:rsidR="008D45A9" w:rsidRPr="007245B0" w:rsidRDefault="008D45A9" w:rsidP="00A351F7">
            <w:pPr>
              <w:pStyle w:val="NoSpacing"/>
              <w:jc w:val="center"/>
              <w:rPr>
                <w:rFonts w:ascii="Times New Roman" w:hAnsi="Times New Roman" w:cs="Times New Roman"/>
                <w:sz w:val="18"/>
                <w:szCs w:val="18"/>
              </w:rPr>
            </w:pPr>
            <w:r w:rsidRPr="007245B0">
              <w:rPr>
                <w:rFonts w:ascii="Times New Roman" w:hAnsi="Times New Roman" w:cs="Times New Roman"/>
                <w:sz w:val="18"/>
                <w:szCs w:val="18"/>
              </w:rPr>
              <w:t>..</w:t>
            </w:r>
          </w:p>
        </w:tc>
        <w:tc>
          <w:tcPr>
            <w:tcW w:w="717" w:type="dxa"/>
            <w:vAlign w:val="center"/>
            <w:hideMark/>
          </w:tcPr>
          <w:p w14:paraId="49306E69" w14:textId="77777777" w:rsidR="008D45A9" w:rsidRPr="007245B0" w:rsidRDefault="008D45A9" w:rsidP="00A351F7">
            <w:pPr>
              <w:pStyle w:val="NoSpacing"/>
              <w:jc w:val="center"/>
              <w:rPr>
                <w:rFonts w:ascii="Times New Roman" w:hAnsi="Times New Roman" w:cs="Times New Roman"/>
                <w:sz w:val="18"/>
                <w:szCs w:val="18"/>
              </w:rPr>
            </w:pPr>
            <w:r w:rsidRPr="007245B0">
              <w:rPr>
                <w:rFonts w:ascii="Times New Roman" w:hAnsi="Times New Roman" w:cs="Times New Roman"/>
                <w:sz w:val="18"/>
                <w:szCs w:val="18"/>
              </w:rPr>
              <w:t>15.63</w:t>
            </w:r>
          </w:p>
        </w:tc>
        <w:tc>
          <w:tcPr>
            <w:tcW w:w="719" w:type="dxa"/>
            <w:vAlign w:val="center"/>
            <w:hideMark/>
          </w:tcPr>
          <w:p w14:paraId="62087E1F" w14:textId="77777777" w:rsidR="008D45A9" w:rsidRPr="007245B0" w:rsidRDefault="008D45A9" w:rsidP="00A351F7">
            <w:pPr>
              <w:pStyle w:val="NoSpacing"/>
              <w:jc w:val="center"/>
              <w:rPr>
                <w:rFonts w:ascii="Times New Roman" w:hAnsi="Times New Roman" w:cs="Times New Roman"/>
                <w:sz w:val="18"/>
                <w:szCs w:val="18"/>
              </w:rPr>
            </w:pPr>
            <w:r w:rsidRPr="007245B0">
              <w:rPr>
                <w:rFonts w:ascii="Times New Roman" w:hAnsi="Times New Roman" w:cs="Times New Roman"/>
                <w:sz w:val="18"/>
                <w:szCs w:val="18"/>
              </w:rPr>
              <w:t>72.88</w:t>
            </w:r>
          </w:p>
        </w:tc>
        <w:tc>
          <w:tcPr>
            <w:tcW w:w="717" w:type="dxa"/>
            <w:vAlign w:val="center"/>
            <w:hideMark/>
          </w:tcPr>
          <w:p w14:paraId="7ADB4C24" w14:textId="77777777" w:rsidR="008D45A9" w:rsidRPr="007245B0" w:rsidRDefault="008D45A9" w:rsidP="00A351F7">
            <w:pPr>
              <w:pStyle w:val="NoSpacing"/>
              <w:jc w:val="center"/>
              <w:rPr>
                <w:rFonts w:ascii="Times New Roman" w:hAnsi="Times New Roman" w:cs="Times New Roman"/>
                <w:sz w:val="18"/>
                <w:szCs w:val="18"/>
              </w:rPr>
            </w:pPr>
            <w:r w:rsidRPr="007245B0">
              <w:rPr>
                <w:rFonts w:ascii="Times New Roman" w:hAnsi="Times New Roman" w:cs="Times New Roman"/>
                <w:sz w:val="18"/>
                <w:szCs w:val="18"/>
              </w:rPr>
              <w:t>..</w:t>
            </w:r>
          </w:p>
        </w:tc>
        <w:tc>
          <w:tcPr>
            <w:tcW w:w="807" w:type="dxa"/>
            <w:vAlign w:val="center"/>
            <w:hideMark/>
          </w:tcPr>
          <w:p w14:paraId="4A04FBF6" w14:textId="77777777" w:rsidR="008D45A9" w:rsidRPr="007245B0" w:rsidRDefault="008D45A9" w:rsidP="00A351F7">
            <w:pPr>
              <w:pStyle w:val="NoSpacing"/>
              <w:jc w:val="center"/>
              <w:rPr>
                <w:rFonts w:ascii="Times New Roman" w:hAnsi="Times New Roman" w:cs="Times New Roman"/>
                <w:sz w:val="18"/>
                <w:szCs w:val="18"/>
              </w:rPr>
            </w:pPr>
            <w:r w:rsidRPr="007245B0">
              <w:rPr>
                <w:rFonts w:ascii="Times New Roman" w:hAnsi="Times New Roman" w:cs="Times New Roman"/>
                <w:sz w:val="18"/>
                <w:szCs w:val="18"/>
              </w:rPr>
              <w:t>72.88</w:t>
            </w:r>
          </w:p>
        </w:tc>
      </w:tr>
      <w:tr w:rsidR="008D45A9" w:rsidRPr="007245B0" w14:paraId="0D01E78C" w14:textId="77777777" w:rsidTr="00A351F7">
        <w:trPr>
          <w:gridAfter w:val="1"/>
          <w:wAfter w:w="11" w:type="dxa"/>
          <w:trHeight w:val="394"/>
          <w:jc w:val="center"/>
        </w:trPr>
        <w:tc>
          <w:tcPr>
            <w:tcW w:w="1452" w:type="dxa"/>
            <w:hideMark/>
          </w:tcPr>
          <w:p w14:paraId="6CE5582A" w14:textId="77777777" w:rsidR="008D45A9" w:rsidRPr="007245B0" w:rsidRDefault="008D45A9" w:rsidP="00B77C0B">
            <w:pPr>
              <w:pStyle w:val="NoSpacing"/>
              <w:rPr>
                <w:rFonts w:ascii="Times New Roman" w:hAnsi="Times New Roman" w:cs="Times New Roman"/>
                <w:sz w:val="18"/>
                <w:szCs w:val="18"/>
              </w:rPr>
            </w:pPr>
            <w:r w:rsidRPr="007245B0">
              <w:rPr>
                <w:rFonts w:ascii="Times New Roman" w:hAnsi="Times New Roman" w:cs="Times New Roman"/>
                <w:sz w:val="18"/>
                <w:szCs w:val="18"/>
              </w:rPr>
              <w:t>Uttar Pradesh</w:t>
            </w:r>
          </w:p>
        </w:tc>
        <w:tc>
          <w:tcPr>
            <w:tcW w:w="871" w:type="dxa"/>
            <w:vAlign w:val="center"/>
            <w:hideMark/>
          </w:tcPr>
          <w:p w14:paraId="3574439C" w14:textId="77777777" w:rsidR="008D45A9" w:rsidRPr="007245B0" w:rsidRDefault="008D45A9" w:rsidP="00A351F7">
            <w:pPr>
              <w:pStyle w:val="NoSpacing"/>
              <w:jc w:val="center"/>
              <w:rPr>
                <w:rFonts w:ascii="Times New Roman" w:hAnsi="Times New Roman" w:cs="Times New Roman"/>
                <w:sz w:val="18"/>
                <w:szCs w:val="18"/>
              </w:rPr>
            </w:pPr>
            <w:r w:rsidRPr="007245B0">
              <w:rPr>
                <w:rFonts w:ascii="Times New Roman" w:hAnsi="Times New Roman" w:cs="Times New Roman"/>
                <w:sz w:val="18"/>
                <w:szCs w:val="18"/>
              </w:rPr>
              <w:t>19.75</w:t>
            </w:r>
          </w:p>
        </w:tc>
        <w:tc>
          <w:tcPr>
            <w:tcW w:w="725" w:type="dxa"/>
            <w:vAlign w:val="center"/>
            <w:hideMark/>
          </w:tcPr>
          <w:p w14:paraId="4852975B" w14:textId="77777777" w:rsidR="008D45A9" w:rsidRPr="007245B0" w:rsidRDefault="008D45A9" w:rsidP="00A351F7">
            <w:pPr>
              <w:pStyle w:val="NoSpacing"/>
              <w:jc w:val="center"/>
              <w:rPr>
                <w:rFonts w:ascii="Times New Roman" w:hAnsi="Times New Roman" w:cs="Times New Roman"/>
                <w:sz w:val="18"/>
                <w:szCs w:val="18"/>
              </w:rPr>
            </w:pPr>
            <w:r w:rsidRPr="007245B0">
              <w:rPr>
                <w:rFonts w:ascii="Times New Roman" w:hAnsi="Times New Roman" w:cs="Times New Roman"/>
                <w:sz w:val="18"/>
                <w:szCs w:val="18"/>
              </w:rPr>
              <w:t>..</w:t>
            </w:r>
          </w:p>
        </w:tc>
        <w:tc>
          <w:tcPr>
            <w:tcW w:w="871" w:type="dxa"/>
            <w:vAlign w:val="center"/>
            <w:hideMark/>
          </w:tcPr>
          <w:p w14:paraId="2385562D" w14:textId="77777777" w:rsidR="008D45A9" w:rsidRPr="007245B0" w:rsidRDefault="008D45A9" w:rsidP="00A351F7">
            <w:pPr>
              <w:pStyle w:val="NoSpacing"/>
              <w:jc w:val="center"/>
              <w:rPr>
                <w:rFonts w:ascii="Times New Roman" w:hAnsi="Times New Roman" w:cs="Times New Roman"/>
                <w:sz w:val="18"/>
                <w:szCs w:val="18"/>
              </w:rPr>
            </w:pPr>
            <w:r w:rsidRPr="007245B0">
              <w:rPr>
                <w:rFonts w:ascii="Times New Roman" w:hAnsi="Times New Roman" w:cs="Times New Roman"/>
                <w:sz w:val="18"/>
                <w:szCs w:val="18"/>
              </w:rPr>
              <w:t>19.75</w:t>
            </w:r>
          </w:p>
        </w:tc>
        <w:tc>
          <w:tcPr>
            <w:tcW w:w="823" w:type="dxa"/>
            <w:vAlign w:val="center"/>
            <w:hideMark/>
          </w:tcPr>
          <w:p w14:paraId="4D47C733" w14:textId="77777777" w:rsidR="008D45A9" w:rsidRPr="007245B0" w:rsidRDefault="008D45A9" w:rsidP="00A351F7">
            <w:pPr>
              <w:pStyle w:val="NoSpacing"/>
              <w:jc w:val="center"/>
              <w:rPr>
                <w:rFonts w:ascii="Times New Roman" w:hAnsi="Times New Roman" w:cs="Times New Roman"/>
                <w:sz w:val="18"/>
                <w:szCs w:val="18"/>
              </w:rPr>
            </w:pPr>
            <w:r w:rsidRPr="007245B0">
              <w:rPr>
                <w:rFonts w:ascii="Times New Roman" w:hAnsi="Times New Roman" w:cs="Times New Roman"/>
                <w:sz w:val="18"/>
                <w:szCs w:val="18"/>
              </w:rPr>
              <w:t>26.90</w:t>
            </w:r>
          </w:p>
        </w:tc>
        <w:tc>
          <w:tcPr>
            <w:tcW w:w="797" w:type="dxa"/>
            <w:vAlign w:val="center"/>
            <w:hideMark/>
          </w:tcPr>
          <w:p w14:paraId="55B1DAF9" w14:textId="77777777" w:rsidR="008D45A9" w:rsidRPr="007245B0" w:rsidRDefault="008D45A9" w:rsidP="00A351F7">
            <w:pPr>
              <w:pStyle w:val="NoSpacing"/>
              <w:jc w:val="center"/>
              <w:rPr>
                <w:rFonts w:ascii="Times New Roman" w:hAnsi="Times New Roman" w:cs="Times New Roman"/>
                <w:sz w:val="18"/>
                <w:szCs w:val="18"/>
              </w:rPr>
            </w:pPr>
            <w:r w:rsidRPr="007245B0">
              <w:rPr>
                <w:rFonts w:ascii="Times New Roman" w:hAnsi="Times New Roman" w:cs="Times New Roman"/>
                <w:sz w:val="18"/>
                <w:szCs w:val="18"/>
              </w:rPr>
              <w:t>..</w:t>
            </w:r>
          </w:p>
        </w:tc>
        <w:tc>
          <w:tcPr>
            <w:tcW w:w="717" w:type="dxa"/>
            <w:vAlign w:val="center"/>
            <w:hideMark/>
          </w:tcPr>
          <w:p w14:paraId="232A6E6E" w14:textId="77777777" w:rsidR="008D45A9" w:rsidRPr="007245B0" w:rsidRDefault="008D45A9" w:rsidP="00A351F7">
            <w:pPr>
              <w:pStyle w:val="NoSpacing"/>
              <w:jc w:val="center"/>
              <w:rPr>
                <w:rFonts w:ascii="Times New Roman" w:hAnsi="Times New Roman" w:cs="Times New Roman"/>
                <w:sz w:val="18"/>
                <w:szCs w:val="18"/>
              </w:rPr>
            </w:pPr>
            <w:r w:rsidRPr="007245B0">
              <w:rPr>
                <w:rFonts w:ascii="Times New Roman" w:hAnsi="Times New Roman" w:cs="Times New Roman"/>
                <w:sz w:val="18"/>
                <w:szCs w:val="18"/>
              </w:rPr>
              <w:t>26.90</w:t>
            </w:r>
          </w:p>
        </w:tc>
        <w:tc>
          <w:tcPr>
            <w:tcW w:w="719" w:type="dxa"/>
            <w:vAlign w:val="center"/>
            <w:hideMark/>
          </w:tcPr>
          <w:p w14:paraId="2DDB41FC" w14:textId="77777777" w:rsidR="008D45A9" w:rsidRPr="007245B0" w:rsidRDefault="008D45A9" w:rsidP="00A351F7">
            <w:pPr>
              <w:pStyle w:val="NoSpacing"/>
              <w:jc w:val="center"/>
              <w:rPr>
                <w:rFonts w:ascii="Times New Roman" w:hAnsi="Times New Roman" w:cs="Times New Roman"/>
                <w:sz w:val="18"/>
                <w:szCs w:val="18"/>
              </w:rPr>
            </w:pPr>
            <w:r w:rsidRPr="007245B0">
              <w:rPr>
                <w:rFonts w:ascii="Times New Roman" w:hAnsi="Times New Roman" w:cs="Times New Roman"/>
                <w:sz w:val="18"/>
                <w:szCs w:val="18"/>
              </w:rPr>
              <w:t>28.76</w:t>
            </w:r>
          </w:p>
        </w:tc>
        <w:tc>
          <w:tcPr>
            <w:tcW w:w="797" w:type="dxa"/>
            <w:vAlign w:val="center"/>
            <w:hideMark/>
          </w:tcPr>
          <w:p w14:paraId="4F7F3A16" w14:textId="77777777" w:rsidR="008D45A9" w:rsidRPr="007245B0" w:rsidRDefault="008D45A9" w:rsidP="00A351F7">
            <w:pPr>
              <w:pStyle w:val="NoSpacing"/>
              <w:jc w:val="center"/>
              <w:rPr>
                <w:rFonts w:ascii="Times New Roman" w:hAnsi="Times New Roman" w:cs="Times New Roman"/>
                <w:sz w:val="18"/>
                <w:szCs w:val="18"/>
              </w:rPr>
            </w:pPr>
            <w:r w:rsidRPr="007245B0">
              <w:rPr>
                <w:rFonts w:ascii="Times New Roman" w:hAnsi="Times New Roman" w:cs="Times New Roman"/>
                <w:sz w:val="18"/>
                <w:szCs w:val="18"/>
              </w:rPr>
              <w:t>..</w:t>
            </w:r>
          </w:p>
        </w:tc>
        <w:tc>
          <w:tcPr>
            <w:tcW w:w="717" w:type="dxa"/>
            <w:vAlign w:val="center"/>
            <w:hideMark/>
          </w:tcPr>
          <w:p w14:paraId="5EE43A27" w14:textId="77777777" w:rsidR="008D45A9" w:rsidRPr="007245B0" w:rsidRDefault="008D45A9" w:rsidP="00A351F7">
            <w:pPr>
              <w:pStyle w:val="NoSpacing"/>
              <w:jc w:val="center"/>
              <w:rPr>
                <w:rFonts w:ascii="Times New Roman" w:hAnsi="Times New Roman" w:cs="Times New Roman"/>
                <w:sz w:val="18"/>
                <w:szCs w:val="18"/>
              </w:rPr>
            </w:pPr>
            <w:r w:rsidRPr="007245B0">
              <w:rPr>
                <w:rFonts w:ascii="Times New Roman" w:hAnsi="Times New Roman" w:cs="Times New Roman"/>
                <w:sz w:val="18"/>
                <w:szCs w:val="18"/>
              </w:rPr>
              <w:t>28.76</w:t>
            </w:r>
          </w:p>
        </w:tc>
        <w:tc>
          <w:tcPr>
            <w:tcW w:w="719" w:type="dxa"/>
            <w:vAlign w:val="center"/>
            <w:hideMark/>
          </w:tcPr>
          <w:p w14:paraId="7497D40A" w14:textId="77777777" w:rsidR="008D45A9" w:rsidRPr="007245B0" w:rsidRDefault="008D45A9" w:rsidP="00A351F7">
            <w:pPr>
              <w:pStyle w:val="NoSpacing"/>
              <w:jc w:val="center"/>
              <w:rPr>
                <w:rFonts w:ascii="Times New Roman" w:hAnsi="Times New Roman" w:cs="Times New Roman"/>
                <w:sz w:val="18"/>
                <w:szCs w:val="18"/>
              </w:rPr>
            </w:pPr>
            <w:r w:rsidRPr="007245B0">
              <w:rPr>
                <w:rFonts w:ascii="Times New Roman" w:hAnsi="Times New Roman" w:cs="Times New Roman"/>
                <w:sz w:val="18"/>
                <w:szCs w:val="18"/>
              </w:rPr>
              <w:t>34.56</w:t>
            </w:r>
          </w:p>
        </w:tc>
        <w:tc>
          <w:tcPr>
            <w:tcW w:w="708" w:type="dxa"/>
            <w:vAlign w:val="center"/>
            <w:hideMark/>
          </w:tcPr>
          <w:p w14:paraId="7FAE76B8" w14:textId="77777777" w:rsidR="008D45A9" w:rsidRPr="007245B0" w:rsidRDefault="008D45A9" w:rsidP="00A351F7">
            <w:pPr>
              <w:pStyle w:val="NoSpacing"/>
              <w:jc w:val="center"/>
              <w:rPr>
                <w:rFonts w:ascii="Times New Roman" w:hAnsi="Times New Roman" w:cs="Times New Roman"/>
                <w:sz w:val="18"/>
                <w:szCs w:val="18"/>
              </w:rPr>
            </w:pPr>
            <w:r w:rsidRPr="007245B0">
              <w:rPr>
                <w:rFonts w:ascii="Times New Roman" w:hAnsi="Times New Roman" w:cs="Times New Roman"/>
                <w:sz w:val="18"/>
                <w:szCs w:val="18"/>
              </w:rPr>
              <w:t>..</w:t>
            </w:r>
          </w:p>
        </w:tc>
        <w:tc>
          <w:tcPr>
            <w:tcW w:w="717" w:type="dxa"/>
            <w:vAlign w:val="center"/>
            <w:hideMark/>
          </w:tcPr>
          <w:p w14:paraId="630D710B" w14:textId="77777777" w:rsidR="008D45A9" w:rsidRPr="007245B0" w:rsidRDefault="008D45A9" w:rsidP="00A351F7">
            <w:pPr>
              <w:pStyle w:val="NoSpacing"/>
              <w:jc w:val="center"/>
              <w:rPr>
                <w:rFonts w:ascii="Times New Roman" w:hAnsi="Times New Roman" w:cs="Times New Roman"/>
                <w:sz w:val="18"/>
                <w:szCs w:val="18"/>
              </w:rPr>
            </w:pPr>
            <w:r w:rsidRPr="007245B0">
              <w:rPr>
                <w:rFonts w:ascii="Times New Roman" w:hAnsi="Times New Roman" w:cs="Times New Roman"/>
                <w:sz w:val="18"/>
                <w:szCs w:val="18"/>
              </w:rPr>
              <w:t>34.56</w:t>
            </w:r>
          </w:p>
        </w:tc>
        <w:tc>
          <w:tcPr>
            <w:tcW w:w="719" w:type="dxa"/>
            <w:vAlign w:val="center"/>
            <w:hideMark/>
          </w:tcPr>
          <w:p w14:paraId="15B6AB1C" w14:textId="77777777" w:rsidR="008D45A9" w:rsidRPr="007245B0" w:rsidRDefault="008D45A9" w:rsidP="00A351F7">
            <w:pPr>
              <w:pStyle w:val="NoSpacing"/>
              <w:jc w:val="center"/>
              <w:rPr>
                <w:rFonts w:ascii="Times New Roman" w:hAnsi="Times New Roman" w:cs="Times New Roman"/>
                <w:sz w:val="18"/>
                <w:szCs w:val="18"/>
              </w:rPr>
            </w:pPr>
            <w:r w:rsidRPr="007245B0">
              <w:rPr>
                <w:rFonts w:ascii="Times New Roman" w:hAnsi="Times New Roman" w:cs="Times New Roman"/>
                <w:sz w:val="18"/>
                <w:szCs w:val="18"/>
              </w:rPr>
              <w:t>31.72</w:t>
            </w:r>
          </w:p>
        </w:tc>
        <w:tc>
          <w:tcPr>
            <w:tcW w:w="708" w:type="dxa"/>
            <w:vAlign w:val="center"/>
            <w:hideMark/>
          </w:tcPr>
          <w:p w14:paraId="1BCF0B2B" w14:textId="77777777" w:rsidR="008D45A9" w:rsidRPr="007245B0" w:rsidRDefault="008D45A9" w:rsidP="00A351F7">
            <w:pPr>
              <w:pStyle w:val="NoSpacing"/>
              <w:jc w:val="center"/>
              <w:rPr>
                <w:rFonts w:ascii="Times New Roman" w:hAnsi="Times New Roman" w:cs="Times New Roman"/>
                <w:sz w:val="18"/>
                <w:szCs w:val="18"/>
              </w:rPr>
            </w:pPr>
            <w:r w:rsidRPr="007245B0">
              <w:rPr>
                <w:rFonts w:ascii="Times New Roman" w:hAnsi="Times New Roman" w:cs="Times New Roman"/>
                <w:sz w:val="18"/>
                <w:szCs w:val="18"/>
              </w:rPr>
              <w:t>..</w:t>
            </w:r>
          </w:p>
        </w:tc>
        <w:tc>
          <w:tcPr>
            <w:tcW w:w="717" w:type="dxa"/>
            <w:vAlign w:val="center"/>
            <w:hideMark/>
          </w:tcPr>
          <w:p w14:paraId="70EC3AB9" w14:textId="77777777" w:rsidR="008D45A9" w:rsidRPr="007245B0" w:rsidRDefault="008D45A9" w:rsidP="00A351F7">
            <w:pPr>
              <w:pStyle w:val="NoSpacing"/>
              <w:jc w:val="center"/>
              <w:rPr>
                <w:rFonts w:ascii="Times New Roman" w:hAnsi="Times New Roman" w:cs="Times New Roman"/>
                <w:sz w:val="18"/>
                <w:szCs w:val="18"/>
              </w:rPr>
            </w:pPr>
            <w:r w:rsidRPr="007245B0">
              <w:rPr>
                <w:rFonts w:ascii="Times New Roman" w:hAnsi="Times New Roman" w:cs="Times New Roman"/>
                <w:sz w:val="18"/>
                <w:szCs w:val="18"/>
              </w:rPr>
              <w:t>31.72</w:t>
            </w:r>
          </w:p>
        </w:tc>
        <w:tc>
          <w:tcPr>
            <w:tcW w:w="719" w:type="dxa"/>
            <w:vAlign w:val="center"/>
            <w:hideMark/>
          </w:tcPr>
          <w:p w14:paraId="3195BDB3" w14:textId="77777777" w:rsidR="008D45A9" w:rsidRPr="007245B0" w:rsidRDefault="008D45A9" w:rsidP="00A351F7">
            <w:pPr>
              <w:pStyle w:val="NoSpacing"/>
              <w:jc w:val="center"/>
              <w:rPr>
                <w:rFonts w:ascii="Times New Roman" w:hAnsi="Times New Roman" w:cs="Times New Roman"/>
                <w:sz w:val="18"/>
                <w:szCs w:val="18"/>
              </w:rPr>
            </w:pPr>
            <w:r w:rsidRPr="007245B0">
              <w:rPr>
                <w:rFonts w:ascii="Times New Roman" w:hAnsi="Times New Roman" w:cs="Times New Roman"/>
                <w:sz w:val="18"/>
                <w:szCs w:val="18"/>
              </w:rPr>
              <w:t>141.69</w:t>
            </w:r>
          </w:p>
        </w:tc>
        <w:tc>
          <w:tcPr>
            <w:tcW w:w="717" w:type="dxa"/>
            <w:vAlign w:val="center"/>
            <w:hideMark/>
          </w:tcPr>
          <w:p w14:paraId="589B447B" w14:textId="77777777" w:rsidR="008D45A9" w:rsidRPr="007245B0" w:rsidRDefault="008D45A9" w:rsidP="00A351F7">
            <w:pPr>
              <w:pStyle w:val="NoSpacing"/>
              <w:jc w:val="center"/>
              <w:rPr>
                <w:rFonts w:ascii="Times New Roman" w:hAnsi="Times New Roman" w:cs="Times New Roman"/>
                <w:sz w:val="18"/>
                <w:szCs w:val="18"/>
              </w:rPr>
            </w:pPr>
            <w:r w:rsidRPr="007245B0">
              <w:rPr>
                <w:rFonts w:ascii="Times New Roman" w:hAnsi="Times New Roman" w:cs="Times New Roman"/>
                <w:sz w:val="18"/>
                <w:szCs w:val="18"/>
              </w:rPr>
              <w:t>..</w:t>
            </w:r>
          </w:p>
        </w:tc>
        <w:tc>
          <w:tcPr>
            <w:tcW w:w="807" w:type="dxa"/>
            <w:vAlign w:val="center"/>
            <w:hideMark/>
          </w:tcPr>
          <w:p w14:paraId="579F1553" w14:textId="77777777" w:rsidR="008D45A9" w:rsidRPr="007245B0" w:rsidRDefault="008D45A9" w:rsidP="00A351F7">
            <w:pPr>
              <w:pStyle w:val="NoSpacing"/>
              <w:jc w:val="center"/>
              <w:rPr>
                <w:rFonts w:ascii="Times New Roman" w:hAnsi="Times New Roman" w:cs="Times New Roman"/>
                <w:sz w:val="18"/>
                <w:szCs w:val="18"/>
              </w:rPr>
            </w:pPr>
            <w:r w:rsidRPr="007245B0">
              <w:rPr>
                <w:rFonts w:ascii="Times New Roman" w:hAnsi="Times New Roman" w:cs="Times New Roman"/>
                <w:sz w:val="18"/>
                <w:szCs w:val="18"/>
              </w:rPr>
              <w:t>141.69</w:t>
            </w:r>
          </w:p>
        </w:tc>
      </w:tr>
      <w:tr w:rsidR="008D45A9" w:rsidRPr="007245B0" w14:paraId="3301FCA9" w14:textId="77777777" w:rsidTr="00A351F7">
        <w:trPr>
          <w:gridAfter w:val="1"/>
          <w:wAfter w:w="11" w:type="dxa"/>
          <w:trHeight w:val="206"/>
          <w:jc w:val="center"/>
        </w:trPr>
        <w:tc>
          <w:tcPr>
            <w:tcW w:w="1452" w:type="dxa"/>
            <w:hideMark/>
          </w:tcPr>
          <w:p w14:paraId="1D1CA9E6" w14:textId="77777777" w:rsidR="008D45A9" w:rsidRPr="007245B0" w:rsidRDefault="008D45A9" w:rsidP="00B77C0B">
            <w:pPr>
              <w:pStyle w:val="NoSpacing"/>
              <w:rPr>
                <w:rFonts w:ascii="Times New Roman" w:hAnsi="Times New Roman" w:cs="Times New Roman"/>
                <w:sz w:val="18"/>
                <w:szCs w:val="18"/>
              </w:rPr>
            </w:pPr>
            <w:r w:rsidRPr="007245B0">
              <w:rPr>
                <w:rFonts w:ascii="Times New Roman" w:hAnsi="Times New Roman" w:cs="Times New Roman"/>
                <w:sz w:val="18"/>
                <w:szCs w:val="18"/>
              </w:rPr>
              <w:t>West Bengal</w:t>
            </w:r>
          </w:p>
        </w:tc>
        <w:tc>
          <w:tcPr>
            <w:tcW w:w="871" w:type="dxa"/>
            <w:vAlign w:val="center"/>
            <w:hideMark/>
          </w:tcPr>
          <w:p w14:paraId="6FAE8D55" w14:textId="77777777" w:rsidR="008D45A9" w:rsidRPr="007245B0" w:rsidRDefault="008D45A9" w:rsidP="00A351F7">
            <w:pPr>
              <w:pStyle w:val="NoSpacing"/>
              <w:jc w:val="center"/>
              <w:rPr>
                <w:rFonts w:ascii="Times New Roman" w:hAnsi="Times New Roman" w:cs="Times New Roman"/>
                <w:sz w:val="18"/>
                <w:szCs w:val="18"/>
              </w:rPr>
            </w:pPr>
            <w:r w:rsidRPr="007245B0">
              <w:rPr>
                <w:rFonts w:ascii="Times New Roman" w:hAnsi="Times New Roman" w:cs="Times New Roman"/>
                <w:sz w:val="18"/>
                <w:szCs w:val="18"/>
              </w:rPr>
              <w:t>11.12</w:t>
            </w:r>
          </w:p>
        </w:tc>
        <w:tc>
          <w:tcPr>
            <w:tcW w:w="725" w:type="dxa"/>
            <w:vAlign w:val="center"/>
            <w:hideMark/>
          </w:tcPr>
          <w:p w14:paraId="1670D93D" w14:textId="77777777" w:rsidR="008D45A9" w:rsidRPr="007245B0" w:rsidRDefault="008D45A9" w:rsidP="00A351F7">
            <w:pPr>
              <w:pStyle w:val="NoSpacing"/>
              <w:jc w:val="center"/>
              <w:rPr>
                <w:rFonts w:ascii="Times New Roman" w:hAnsi="Times New Roman" w:cs="Times New Roman"/>
                <w:sz w:val="18"/>
                <w:szCs w:val="18"/>
              </w:rPr>
            </w:pPr>
            <w:r w:rsidRPr="007245B0">
              <w:rPr>
                <w:rFonts w:ascii="Times New Roman" w:hAnsi="Times New Roman" w:cs="Times New Roman"/>
                <w:sz w:val="18"/>
                <w:szCs w:val="18"/>
              </w:rPr>
              <w:t>4.78</w:t>
            </w:r>
          </w:p>
        </w:tc>
        <w:tc>
          <w:tcPr>
            <w:tcW w:w="871" w:type="dxa"/>
            <w:vAlign w:val="center"/>
            <w:hideMark/>
          </w:tcPr>
          <w:p w14:paraId="024AA73F" w14:textId="77777777" w:rsidR="008D45A9" w:rsidRPr="007245B0" w:rsidRDefault="008D45A9" w:rsidP="00A351F7">
            <w:pPr>
              <w:pStyle w:val="NoSpacing"/>
              <w:jc w:val="center"/>
              <w:rPr>
                <w:rFonts w:ascii="Times New Roman" w:hAnsi="Times New Roman" w:cs="Times New Roman"/>
                <w:sz w:val="18"/>
                <w:szCs w:val="18"/>
              </w:rPr>
            </w:pPr>
            <w:r w:rsidRPr="007245B0">
              <w:rPr>
                <w:rFonts w:ascii="Times New Roman" w:hAnsi="Times New Roman" w:cs="Times New Roman"/>
                <w:sz w:val="18"/>
                <w:szCs w:val="18"/>
              </w:rPr>
              <w:t>15.90</w:t>
            </w:r>
          </w:p>
        </w:tc>
        <w:tc>
          <w:tcPr>
            <w:tcW w:w="823" w:type="dxa"/>
            <w:vAlign w:val="center"/>
            <w:hideMark/>
          </w:tcPr>
          <w:p w14:paraId="04FEC434" w14:textId="77777777" w:rsidR="008D45A9" w:rsidRPr="007245B0" w:rsidRDefault="008D45A9" w:rsidP="00A351F7">
            <w:pPr>
              <w:pStyle w:val="NoSpacing"/>
              <w:jc w:val="center"/>
              <w:rPr>
                <w:rFonts w:ascii="Times New Roman" w:hAnsi="Times New Roman" w:cs="Times New Roman"/>
                <w:sz w:val="18"/>
                <w:szCs w:val="18"/>
              </w:rPr>
            </w:pPr>
            <w:r w:rsidRPr="007245B0">
              <w:rPr>
                <w:rFonts w:ascii="Times New Roman" w:hAnsi="Times New Roman" w:cs="Times New Roman"/>
                <w:sz w:val="18"/>
                <w:szCs w:val="18"/>
              </w:rPr>
              <w:t>14.58</w:t>
            </w:r>
          </w:p>
        </w:tc>
        <w:tc>
          <w:tcPr>
            <w:tcW w:w="797" w:type="dxa"/>
            <w:vAlign w:val="center"/>
            <w:hideMark/>
          </w:tcPr>
          <w:p w14:paraId="3CB9A7BB" w14:textId="77777777" w:rsidR="008D45A9" w:rsidRPr="007245B0" w:rsidRDefault="008D45A9" w:rsidP="00A351F7">
            <w:pPr>
              <w:pStyle w:val="NoSpacing"/>
              <w:jc w:val="center"/>
              <w:rPr>
                <w:rFonts w:ascii="Times New Roman" w:hAnsi="Times New Roman" w:cs="Times New Roman"/>
                <w:sz w:val="18"/>
                <w:szCs w:val="18"/>
              </w:rPr>
            </w:pPr>
            <w:r w:rsidRPr="007245B0">
              <w:rPr>
                <w:rFonts w:ascii="Times New Roman" w:hAnsi="Times New Roman" w:cs="Times New Roman"/>
                <w:sz w:val="18"/>
                <w:szCs w:val="18"/>
              </w:rPr>
              <w:t>4.78</w:t>
            </w:r>
          </w:p>
        </w:tc>
        <w:tc>
          <w:tcPr>
            <w:tcW w:w="717" w:type="dxa"/>
            <w:vAlign w:val="center"/>
            <w:hideMark/>
          </w:tcPr>
          <w:p w14:paraId="39647B2E" w14:textId="77777777" w:rsidR="008D45A9" w:rsidRPr="007245B0" w:rsidRDefault="008D45A9" w:rsidP="00A351F7">
            <w:pPr>
              <w:pStyle w:val="NoSpacing"/>
              <w:jc w:val="center"/>
              <w:rPr>
                <w:rFonts w:ascii="Times New Roman" w:hAnsi="Times New Roman" w:cs="Times New Roman"/>
                <w:sz w:val="18"/>
                <w:szCs w:val="18"/>
              </w:rPr>
            </w:pPr>
            <w:r w:rsidRPr="007245B0">
              <w:rPr>
                <w:rFonts w:ascii="Times New Roman" w:hAnsi="Times New Roman" w:cs="Times New Roman"/>
                <w:sz w:val="18"/>
                <w:szCs w:val="18"/>
              </w:rPr>
              <w:t>19.36</w:t>
            </w:r>
          </w:p>
        </w:tc>
        <w:tc>
          <w:tcPr>
            <w:tcW w:w="719" w:type="dxa"/>
            <w:vAlign w:val="center"/>
            <w:hideMark/>
          </w:tcPr>
          <w:p w14:paraId="5ED65E7D" w14:textId="77777777" w:rsidR="008D45A9" w:rsidRPr="007245B0" w:rsidRDefault="008D45A9" w:rsidP="00A351F7">
            <w:pPr>
              <w:pStyle w:val="NoSpacing"/>
              <w:jc w:val="center"/>
              <w:rPr>
                <w:rFonts w:ascii="Times New Roman" w:hAnsi="Times New Roman" w:cs="Times New Roman"/>
                <w:sz w:val="18"/>
                <w:szCs w:val="18"/>
              </w:rPr>
            </w:pPr>
            <w:r w:rsidRPr="007245B0">
              <w:rPr>
                <w:rFonts w:ascii="Times New Roman" w:hAnsi="Times New Roman" w:cs="Times New Roman"/>
                <w:sz w:val="18"/>
                <w:szCs w:val="18"/>
              </w:rPr>
              <w:t>15.25</w:t>
            </w:r>
          </w:p>
        </w:tc>
        <w:tc>
          <w:tcPr>
            <w:tcW w:w="797" w:type="dxa"/>
            <w:vAlign w:val="center"/>
            <w:hideMark/>
          </w:tcPr>
          <w:p w14:paraId="60F3C5E3" w14:textId="77777777" w:rsidR="008D45A9" w:rsidRPr="007245B0" w:rsidRDefault="008D45A9" w:rsidP="00A351F7">
            <w:pPr>
              <w:pStyle w:val="NoSpacing"/>
              <w:jc w:val="center"/>
              <w:rPr>
                <w:rFonts w:ascii="Times New Roman" w:hAnsi="Times New Roman" w:cs="Times New Roman"/>
                <w:sz w:val="18"/>
                <w:szCs w:val="18"/>
              </w:rPr>
            </w:pPr>
            <w:r w:rsidRPr="007245B0">
              <w:rPr>
                <w:rFonts w:ascii="Times New Roman" w:hAnsi="Times New Roman" w:cs="Times New Roman"/>
                <w:sz w:val="18"/>
                <w:szCs w:val="18"/>
              </w:rPr>
              <w:t>4.78</w:t>
            </w:r>
          </w:p>
        </w:tc>
        <w:tc>
          <w:tcPr>
            <w:tcW w:w="717" w:type="dxa"/>
            <w:vAlign w:val="center"/>
            <w:hideMark/>
          </w:tcPr>
          <w:p w14:paraId="02FB8590" w14:textId="77777777" w:rsidR="008D45A9" w:rsidRPr="007245B0" w:rsidRDefault="008D45A9" w:rsidP="00A351F7">
            <w:pPr>
              <w:pStyle w:val="NoSpacing"/>
              <w:jc w:val="center"/>
              <w:rPr>
                <w:rFonts w:ascii="Times New Roman" w:hAnsi="Times New Roman" w:cs="Times New Roman"/>
                <w:sz w:val="18"/>
                <w:szCs w:val="18"/>
              </w:rPr>
            </w:pPr>
            <w:r w:rsidRPr="007245B0">
              <w:rPr>
                <w:rFonts w:ascii="Times New Roman" w:hAnsi="Times New Roman" w:cs="Times New Roman"/>
                <w:sz w:val="18"/>
                <w:szCs w:val="18"/>
              </w:rPr>
              <w:t>20.03</w:t>
            </w:r>
          </w:p>
        </w:tc>
        <w:tc>
          <w:tcPr>
            <w:tcW w:w="719" w:type="dxa"/>
            <w:vAlign w:val="center"/>
            <w:hideMark/>
          </w:tcPr>
          <w:p w14:paraId="063F8E9A" w14:textId="77777777" w:rsidR="008D45A9" w:rsidRPr="007245B0" w:rsidRDefault="008D45A9" w:rsidP="00A351F7">
            <w:pPr>
              <w:pStyle w:val="NoSpacing"/>
              <w:jc w:val="center"/>
              <w:rPr>
                <w:rFonts w:ascii="Times New Roman" w:hAnsi="Times New Roman" w:cs="Times New Roman"/>
                <w:sz w:val="18"/>
                <w:szCs w:val="18"/>
              </w:rPr>
            </w:pPr>
            <w:r w:rsidRPr="007245B0">
              <w:rPr>
                <w:rFonts w:ascii="Times New Roman" w:hAnsi="Times New Roman" w:cs="Times New Roman"/>
                <w:sz w:val="18"/>
                <w:szCs w:val="18"/>
              </w:rPr>
              <w:t>21.58</w:t>
            </w:r>
          </w:p>
        </w:tc>
        <w:tc>
          <w:tcPr>
            <w:tcW w:w="708" w:type="dxa"/>
            <w:vAlign w:val="center"/>
            <w:hideMark/>
          </w:tcPr>
          <w:p w14:paraId="4F4E60A5" w14:textId="77777777" w:rsidR="008D45A9" w:rsidRPr="007245B0" w:rsidRDefault="008D45A9" w:rsidP="00A351F7">
            <w:pPr>
              <w:pStyle w:val="NoSpacing"/>
              <w:jc w:val="center"/>
              <w:rPr>
                <w:rFonts w:ascii="Times New Roman" w:hAnsi="Times New Roman" w:cs="Times New Roman"/>
                <w:sz w:val="18"/>
                <w:szCs w:val="18"/>
              </w:rPr>
            </w:pPr>
            <w:r w:rsidRPr="007245B0">
              <w:rPr>
                <w:rFonts w:ascii="Times New Roman" w:hAnsi="Times New Roman" w:cs="Times New Roman"/>
                <w:sz w:val="18"/>
                <w:szCs w:val="18"/>
              </w:rPr>
              <w:t>4.75</w:t>
            </w:r>
          </w:p>
        </w:tc>
        <w:tc>
          <w:tcPr>
            <w:tcW w:w="717" w:type="dxa"/>
            <w:vAlign w:val="center"/>
            <w:hideMark/>
          </w:tcPr>
          <w:p w14:paraId="0CDE7B58" w14:textId="77777777" w:rsidR="008D45A9" w:rsidRPr="007245B0" w:rsidRDefault="008D45A9" w:rsidP="00A351F7">
            <w:pPr>
              <w:pStyle w:val="NoSpacing"/>
              <w:jc w:val="center"/>
              <w:rPr>
                <w:rFonts w:ascii="Times New Roman" w:hAnsi="Times New Roman" w:cs="Times New Roman"/>
                <w:sz w:val="18"/>
                <w:szCs w:val="18"/>
              </w:rPr>
            </w:pPr>
            <w:r w:rsidRPr="007245B0">
              <w:rPr>
                <w:rFonts w:ascii="Times New Roman" w:hAnsi="Times New Roman" w:cs="Times New Roman"/>
                <w:sz w:val="18"/>
                <w:szCs w:val="18"/>
              </w:rPr>
              <w:t>26.33</w:t>
            </w:r>
          </w:p>
        </w:tc>
        <w:tc>
          <w:tcPr>
            <w:tcW w:w="719" w:type="dxa"/>
            <w:vAlign w:val="center"/>
            <w:hideMark/>
          </w:tcPr>
          <w:p w14:paraId="4E2E8841" w14:textId="77777777" w:rsidR="008D45A9" w:rsidRPr="007245B0" w:rsidRDefault="008D45A9" w:rsidP="00A351F7">
            <w:pPr>
              <w:pStyle w:val="NoSpacing"/>
              <w:jc w:val="center"/>
              <w:rPr>
                <w:rFonts w:ascii="Times New Roman" w:hAnsi="Times New Roman" w:cs="Times New Roman"/>
                <w:sz w:val="18"/>
                <w:szCs w:val="18"/>
              </w:rPr>
            </w:pPr>
            <w:r w:rsidRPr="007245B0">
              <w:rPr>
                <w:rFonts w:ascii="Times New Roman" w:hAnsi="Times New Roman" w:cs="Times New Roman"/>
                <w:sz w:val="18"/>
                <w:szCs w:val="18"/>
              </w:rPr>
              <w:t>16.99</w:t>
            </w:r>
          </w:p>
        </w:tc>
        <w:tc>
          <w:tcPr>
            <w:tcW w:w="708" w:type="dxa"/>
            <w:vAlign w:val="center"/>
            <w:hideMark/>
          </w:tcPr>
          <w:p w14:paraId="6A2E02AC" w14:textId="77777777" w:rsidR="008D45A9" w:rsidRPr="007245B0" w:rsidRDefault="008D45A9" w:rsidP="00A351F7">
            <w:pPr>
              <w:pStyle w:val="NoSpacing"/>
              <w:jc w:val="center"/>
              <w:rPr>
                <w:rFonts w:ascii="Times New Roman" w:hAnsi="Times New Roman" w:cs="Times New Roman"/>
                <w:sz w:val="18"/>
                <w:szCs w:val="18"/>
              </w:rPr>
            </w:pPr>
            <w:r w:rsidRPr="007245B0">
              <w:rPr>
                <w:rFonts w:ascii="Times New Roman" w:hAnsi="Times New Roman" w:cs="Times New Roman"/>
                <w:sz w:val="18"/>
                <w:szCs w:val="18"/>
              </w:rPr>
              <w:t>4.75</w:t>
            </w:r>
          </w:p>
        </w:tc>
        <w:tc>
          <w:tcPr>
            <w:tcW w:w="717" w:type="dxa"/>
            <w:vAlign w:val="center"/>
            <w:hideMark/>
          </w:tcPr>
          <w:p w14:paraId="02297141" w14:textId="77777777" w:rsidR="008D45A9" w:rsidRPr="007245B0" w:rsidRDefault="008D45A9" w:rsidP="00A351F7">
            <w:pPr>
              <w:pStyle w:val="NoSpacing"/>
              <w:jc w:val="center"/>
              <w:rPr>
                <w:rFonts w:ascii="Times New Roman" w:hAnsi="Times New Roman" w:cs="Times New Roman"/>
                <w:sz w:val="18"/>
                <w:szCs w:val="18"/>
              </w:rPr>
            </w:pPr>
            <w:r w:rsidRPr="007245B0">
              <w:rPr>
                <w:rFonts w:ascii="Times New Roman" w:hAnsi="Times New Roman" w:cs="Times New Roman"/>
                <w:sz w:val="18"/>
                <w:szCs w:val="18"/>
              </w:rPr>
              <w:t>21.74</w:t>
            </w:r>
          </w:p>
        </w:tc>
        <w:tc>
          <w:tcPr>
            <w:tcW w:w="719" w:type="dxa"/>
            <w:vAlign w:val="center"/>
            <w:hideMark/>
          </w:tcPr>
          <w:p w14:paraId="0AEA8C41" w14:textId="77777777" w:rsidR="008D45A9" w:rsidRPr="007245B0" w:rsidRDefault="008D45A9" w:rsidP="00A351F7">
            <w:pPr>
              <w:pStyle w:val="NoSpacing"/>
              <w:jc w:val="center"/>
              <w:rPr>
                <w:rFonts w:ascii="Times New Roman" w:hAnsi="Times New Roman" w:cs="Times New Roman"/>
                <w:sz w:val="18"/>
                <w:szCs w:val="18"/>
              </w:rPr>
            </w:pPr>
            <w:r w:rsidRPr="007245B0">
              <w:rPr>
                <w:rFonts w:ascii="Times New Roman" w:hAnsi="Times New Roman" w:cs="Times New Roman"/>
                <w:sz w:val="18"/>
                <w:szCs w:val="18"/>
              </w:rPr>
              <w:t>79.52</w:t>
            </w:r>
          </w:p>
        </w:tc>
        <w:tc>
          <w:tcPr>
            <w:tcW w:w="717" w:type="dxa"/>
            <w:vAlign w:val="center"/>
            <w:hideMark/>
          </w:tcPr>
          <w:p w14:paraId="63135196" w14:textId="77777777" w:rsidR="008D45A9" w:rsidRPr="007245B0" w:rsidRDefault="008D45A9" w:rsidP="00A351F7">
            <w:pPr>
              <w:pStyle w:val="NoSpacing"/>
              <w:jc w:val="center"/>
              <w:rPr>
                <w:rFonts w:ascii="Times New Roman" w:hAnsi="Times New Roman" w:cs="Times New Roman"/>
                <w:sz w:val="18"/>
                <w:szCs w:val="18"/>
              </w:rPr>
            </w:pPr>
            <w:r w:rsidRPr="007245B0">
              <w:rPr>
                <w:rFonts w:ascii="Times New Roman" w:hAnsi="Times New Roman" w:cs="Times New Roman"/>
                <w:sz w:val="18"/>
                <w:szCs w:val="18"/>
              </w:rPr>
              <w:t>23.84</w:t>
            </w:r>
          </w:p>
        </w:tc>
        <w:tc>
          <w:tcPr>
            <w:tcW w:w="807" w:type="dxa"/>
            <w:vAlign w:val="center"/>
            <w:hideMark/>
          </w:tcPr>
          <w:p w14:paraId="772DCC42" w14:textId="77777777" w:rsidR="008D45A9" w:rsidRPr="007245B0" w:rsidRDefault="008D45A9" w:rsidP="00A351F7">
            <w:pPr>
              <w:pStyle w:val="NoSpacing"/>
              <w:jc w:val="center"/>
              <w:rPr>
                <w:rFonts w:ascii="Times New Roman" w:hAnsi="Times New Roman" w:cs="Times New Roman"/>
                <w:sz w:val="18"/>
                <w:szCs w:val="18"/>
              </w:rPr>
            </w:pPr>
            <w:r w:rsidRPr="007245B0">
              <w:rPr>
                <w:rFonts w:ascii="Times New Roman" w:hAnsi="Times New Roman" w:cs="Times New Roman"/>
                <w:sz w:val="18"/>
                <w:szCs w:val="18"/>
              </w:rPr>
              <w:t>103.36</w:t>
            </w:r>
          </w:p>
        </w:tc>
      </w:tr>
      <w:tr w:rsidR="008D45A9" w:rsidRPr="007245B0" w14:paraId="51DAB0C5" w14:textId="77777777" w:rsidTr="00A351F7">
        <w:trPr>
          <w:gridAfter w:val="1"/>
          <w:wAfter w:w="11" w:type="dxa"/>
          <w:trHeight w:val="394"/>
          <w:jc w:val="center"/>
        </w:trPr>
        <w:tc>
          <w:tcPr>
            <w:tcW w:w="1452" w:type="dxa"/>
            <w:hideMark/>
          </w:tcPr>
          <w:p w14:paraId="6E469C75" w14:textId="77777777" w:rsidR="008D45A9" w:rsidRPr="007245B0" w:rsidRDefault="008D45A9" w:rsidP="00B77C0B">
            <w:pPr>
              <w:pStyle w:val="NoSpacing"/>
              <w:rPr>
                <w:rFonts w:ascii="Times New Roman" w:hAnsi="Times New Roman" w:cs="Times New Roman"/>
                <w:sz w:val="18"/>
                <w:szCs w:val="18"/>
              </w:rPr>
            </w:pPr>
            <w:r w:rsidRPr="007245B0">
              <w:rPr>
                <w:rFonts w:ascii="Times New Roman" w:hAnsi="Times New Roman" w:cs="Times New Roman"/>
                <w:sz w:val="18"/>
                <w:szCs w:val="18"/>
              </w:rPr>
              <w:t>TOTAL</w:t>
            </w:r>
          </w:p>
        </w:tc>
        <w:tc>
          <w:tcPr>
            <w:tcW w:w="871" w:type="dxa"/>
            <w:vAlign w:val="center"/>
            <w:hideMark/>
          </w:tcPr>
          <w:p w14:paraId="25ED3622" w14:textId="77777777" w:rsidR="008D45A9" w:rsidRPr="007245B0" w:rsidRDefault="008D45A9" w:rsidP="00A351F7">
            <w:pPr>
              <w:pStyle w:val="NoSpacing"/>
              <w:jc w:val="center"/>
              <w:rPr>
                <w:rFonts w:ascii="Times New Roman" w:hAnsi="Times New Roman" w:cs="Times New Roman"/>
                <w:sz w:val="18"/>
                <w:szCs w:val="18"/>
              </w:rPr>
            </w:pPr>
            <w:r w:rsidRPr="007245B0">
              <w:rPr>
                <w:rFonts w:ascii="Times New Roman" w:hAnsi="Times New Roman" w:cs="Times New Roman"/>
                <w:sz w:val="18"/>
                <w:szCs w:val="18"/>
              </w:rPr>
              <w:t>120.72</w:t>
            </w:r>
          </w:p>
        </w:tc>
        <w:tc>
          <w:tcPr>
            <w:tcW w:w="725" w:type="dxa"/>
            <w:vAlign w:val="center"/>
            <w:hideMark/>
          </w:tcPr>
          <w:p w14:paraId="1842731F" w14:textId="77777777" w:rsidR="008D45A9" w:rsidRPr="007245B0" w:rsidRDefault="008D45A9" w:rsidP="00A351F7">
            <w:pPr>
              <w:pStyle w:val="NoSpacing"/>
              <w:jc w:val="center"/>
              <w:rPr>
                <w:rFonts w:ascii="Times New Roman" w:hAnsi="Times New Roman" w:cs="Times New Roman"/>
                <w:sz w:val="18"/>
                <w:szCs w:val="18"/>
              </w:rPr>
            </w:pPr>
            <w:r w:rsidRPr="007245B0">
              <w:rPr>
                <w:rFonts w:ascii="Times New Roman" w:hAnsi="Times New Roman" w:cs="Times New Roman"/>
                <w:sz w:val="18"/>
                <w:szCs w:val="18"/>
              </w:rPr>
              <w:t>39.40</w:t>
            </w:r>
          </w:p>
        </w:tc>
        <w:tc>
          <w:tcPr>
            <w:tcW w:w="871" w:type="dxa"/>
            <w:vAlign w:val="center"/>
            <w:hideMark/>
          </w:tcPr>
          <w:p w14:paraId="48472BA7" w14:textId="77777777" w:rsidR="008D45A9" w:rsidRPr="007245B0" w:rsidRDefault="008D45A9" w:rsidP="00A351F7">
            <w:pPr>
              <w:pStyle w:val="NoSpacing"/>
              <w:jc w:val="center"/>
              <w:rPr>
                <w:rFonts w:ascii="Times New Roman" w:hAnsi="Times New Roman" w:cs="Times New Roman"/>
                <w:sz w:val="18"/>
                <w:szCs w:val="18"/>
              </w:rPr>
            </w:pPr>
            <w:r w:rsidRPr="007245B0">
              <w:rPr>
                <w:rFonts w:ascii="Times New Roman" w:hAnsi="Times New Roman" w:cs="Times New Roman"/>
                <w:sz w:val="18"/>
                <w:szCs w:val="18"/>
              </w:rPr>
              <w:t>160.12</w:t>
            </w:r>
          </w:p>
        </w:tc>
        <w:tc>
          <w:tcPr>
            <w:tcW w:w="823" w:type="dxa"/>
            <w:vAlign w:val="center"/>
            <w:hideMark/>
          </w:tcPr>
          <w:p w14:paraId="6D6272C4" w14:textId="77777777" w:rsidR="008D45A9" w:rsidRPr="007245B0" w:rsidRDefault="008D45A9" w:rsidP="00A351F7">
            <w:pPr>
              <w:pStyle w:val="NoSpacing"/>
              <w:jc w:val="center"/>
              <w:rPr>
                <w:rFonts w:ascii="Times New Roman" w:hAnsi="Times New Roman" w:cs="Times New Roman"/>
                <w:sz w:val="18"/>
                <w:szCs w:val="18"/>
              </w:rPr>
            </w:pPr>
            <w:r w:rsidRPr="007245B0">
              <w:rPr>
                <w:rFonts w:ascii="Times New Roman" w:hAnsi="Times New Roman" w:cs="Times New Roman"/>
                <w:sz w:val="18"/>
                <w:szCs w:val="18"/>
              </w:rPr>
              <w:t>162.06</w:t>
            </w:r>
          </w:p>
        </w:tc>
        <w:tc>
          <w:tcPr>
            <w:tcW w:w="797" w:type="dxa"/>
            <w:vAlign w:val="center"/>
            <w:hideMark/>
          </w:tcPr>
          <w:p w14:paraId="74D9C5E2" w14:textId="77777777" w:rsidR="008D45A9" w:rsidRPr="007245B0" w:rsidRDefault="008D45A9" w:rsidP="00A351F7">
            <w:pPr>
              <w:pStyle w:val="NoSpacing"/>
              <w:jc w:val="center"/>
              <w:rPr>
                <w:rFonts w:ascii="Times New Roman" w:hAnsi="Times New Roman" w:cs="Times New Roman"/>
                <w:sz w:val="18"/>
                <w:szCs w:val="18"/>
              </w:rPr>
            </w:pPr>
            <w:r w:rsidRPr="007245B0">
              <w:rPr>
                <w:rFonts w:ascii="Times New Roman" w:hAnsi="Times New Roman" w:cs="Times New Roman"/>
                <w:sz w:val="18"/>
                <w:szCs w:val="18"/>
              </w:rPr>
              <w:t>39.40</w:t>
            </w:r>
          </w:p>
        </w:tc>
        <w:tc>
          <w:tcPr>
            <w:tcW w:w="717" w:type="dxa"/>
            <w:vAlign w:val="center"/>
            <w:hideMark/>
          </w:tcPr>
          <w:p w14:paraId="61895288" w14:textId="77777777" w:rsidR="008D45A9" w:rsidRPr="007245B0" w:rsidRDefault="008D45A9" w:rsidP="00A351F7">
            <w:pPr>
              <w:pStyle w:val="NoSpacing"/>
              <w:jc w:val="center"/>
              <w:rPr>
                <w:rFonts w:ascii="Times New Roman" w:hAnsi="Times New Roman" w:cs="Times New Roman"/>
                <w:sz w:val="18"/>
                <w:szCs w:val="18"/>
              </w:rPr>
            </w:pPr>
            <w:r w:rsidRPr="007245B0">
              <w:rPr>
                <w:rFonts w:ascii="Times New Roman" w:hAnsi="Times New Roman" w:cs="Times New Roman"/>
                <w:sz w:val="18"/>
                <w:szCs w:val="18"/>
              </w:rPr>
              <w:t>201.46</w:t>
            </w:r>
          </w:p>
        </w:tc>
        <w:tc>
          <w:tcPr>
            <w:tcW w:w="719" w:type="dxa"/>
            <w:vAlign w:val="center"/>
            <w:hideMark/>
          </w:tcPr>
          <w:p w14:paraId="6C3006BE" w14:textId="77777777" w:rsidR="008D45A9" w:rsidRPr="007245B0" w:rsidRDefault="008D45A9" w:rsidP="00A351F7">
            <w:pPr>
              <w:pStyle w:val="NoSpacing"/>
              <w:jc w:val="center"/>
              <w:rPr>
                <w:rFonts w:ascii="Times New Roman" w:hAnsi="Times New Roman" w:cs="Times New Roman"/>
                <w:sz w:val="18"/>
                <w:szCs w:val="18"/>
              </w:rPr>
            </w:pPr>
            <w:r w:rsidRPr="007245B0">
              <w:rPr>
                <w:rFonts w:ascii="Times New Roman" w:hAnsi="Times New Roman" w:cs="Times New Roman"/>
                <w:sz w:val="18"/>
                <w:szCs w:val="18"/>
              </w:rPr>
              <w:t>171.88</w:t>
            </w:r>
          </w:p>
        </w:tc>
        <w:tc>
          <w:tcPr>
            <w:tcW w:w="797" w:type="dxa"/>
            <w:vAlign w:val="center"/>
            <w:hideMark/>
          </w:tcPr>
          <w:p w14:paraId="097F90FA" w14:textId="77777777" w:rsidR="008D45A9" w:rsidRPr="007245B0" w:rsidRDefault="008D45A9" w:rsidP="00A351F7">
            <w:pPr>
              <w:pStyle w:val="NoSpacing"/>
              <w:jc w:val="center"/>
              <w:rPr>
                <w:rFonts w:ascii="Times New Roman" w:hAnsi="Times New Roman" w:cs="Times New Roman"/>
                <w:sz w:val="18"/>
                <w:szCs w:val="18"/>
              </w:rPr>
            </w:pPr>
            <w:r w:rsidRPr="007245B0">
              <w:rPr>
                <w:rFonts w:ascii="Times New Roman" w:hAnsi="Times New Roman" w:cs="Times New Roman"/>
                <w:sz w:val="18"/>
                <w:szCs w:val="18"/>
              </w:rPr>
              <w:t>39.40</w:t>
            </w:r>
          </w:p>
        </w:tc>
        <w:tc>
          <w:tcPr>
            <w:tcW w:w="717" w:type="dxa"/>
            <w:vAlign w:val="center"/>
            <w:hideMark/>
          </w:tcPr>
          <w:p w14:paraId="7DE9744C" w14:textId="77777777" w:rsidR="008D45A9" w:rsidRPr="007245B0" w:rsidRDefault="008D45A9" w:rsidP="00A351F7">
            <w:pPr>
              <w:pStyle w:val="NoSpacing"/>
              <w:jc w:val="center"/>
              <w:rPr>
                <w:rFonts w:ascii="Times New Roman" w:hAnsi="Times New Roman" w:cs="Times New Roman"/>
                <w:sz w:val="18"/>
                <w:szCs w:val="18"/>
              </w:rPr>
            </w:pPr>
            <w:r w:rsidRPr="007245B0">
              <w:rPr>
                <w:rFonts w:ascii="Times New Roman" w:hAnsi="Times New Roman" w:cs="Times New Roman"/>
                <w:sz w:val="18"/>
                <w:szCs w:val="18"/>
              </w:rPr>
              <w:t>211.28</w:t>
            </w:r>
          </w:p>
        </w:tc>
        <w:tc>
          <w:tcPr>
            <w:tcW w:w="719" w:type="dxa"/>
            <w:vAlign w:val="center"/>
            <w:hideMark/>
          </w:tcPr>
          <w:p w14:paraId="001F91A2" w14:textId="77777777" w:rsidR="008D45A9" w:rsidRPr="007245B0" w:rsidRDefault="008D45A9" w:rsidP="00A351F7">
            <w:pPr>
              <w:pStyle w:val="NoSpacing"/>
              <w:jc w:val="center"/>
              <w:rPr>
                <w:rFonts w:ascii="Times New Roman" w:hAnsi="Times New Roman" w:cs="Times New Roman"/>
                <w:sz w:val="18"/>
                <w:szCs w:val="18"/>
              </w:rPr>
            </w:pPr>
            <w:r w:rsidRPr="007245B0">
              <w:rPr>
                <w:rFonts w:ascii="Times New Roman" w:hAnsi="Times New Roman" w:cs="Times New Roman"/>
                <w:sz w:val="18"/>
                <w:szCs w:val="18"/>
              </w:rPr>
              <w:t>205.69</w:t>
            </w:r>
          </w:p>
        </w:tc>
        <w:tc>
          <w:tcPr>
            <w:tcW w:w="708" w:type="dxa"/>
            <w:vAlign w:val="center"/>
            <w:hideMark/>
          </w:tcPr>
          <w:p w14:paraId="56229771" w14:textId="77777777" w:rsidR="008D45A9" w:rsidRPr="007245B0" w:rsidRDefault="008D45A9" w:rsidP="00A351F7">
            <w:pPr>
              <w:pStyle w:val="NoSpacing"/>
              <w:jc w:val="center"/>
              <w:rPr>
                <w:rFonts w:ascii="Times New Roman" w:hAnsi="Times New Roman" w:cs="Times New Roman"/>
                <w:sz w:val="18"/>
                <w:szCs w:val="18"/>
              </w:rPr>
            </w:pPr>
            <w:r w:rsidRPr="007245B0">
              <w:rPr>
                <w:rFonts w:ascii="Times New Roman" w:hAnsi="Times New Roman" w:cs="Times New Roman"/>
                <w:sz w:val="18"/>
                <w:szCs w:val="18"/>
              </w:rPr>
              <w:t>39.50</w:t>
            </w:r>
          </w:p>
        </w:tc>
        <w:tc>
          <w:tcPr>
            <w:tcW w:w="717" w:type="dxa"/>
            <w:vAlign w:val="center"/>
            <w:hideMark/>
          </w:tcPr>
          <w:p w14:paraId="0818AE9C" w14:textId="77777777" w:rsidR="008D45A9" w:rsidRPr="007245B0" w:rsidRDefault="008D45A9" w:rsidP="00A351F7">
            <w:pPr>
              <w:pStyle w:val="NoSpacing"/>
              <w:jc w:val="center"/>
              <w:rPr>
                <w:rFonts w:ascii="Times New Roman" w:hAnsi="Times New Roman" w:cs="Times New Roman"/>
                <w:sz w:val="18"/>
                <w:szCs w:val="18"/>
              </w:rPr>
            </w:pPr>
            <w:r w:rsidRPr="007245B0">
              <w:rPr>
                <w:rFonts w:ascii="Times New Roman" w:hAnsi="Times New Roman" w:cs="Times New Roman"/>
                <w:sz w:val="18"/>
                <w:szCs w:val="18"/>
              </w:rPr>
              <w:t>245.19</w:t>
            </w:r>
          </w:p>
        </w:tc>
        <w:tc>
          <w:tcPr>
            <w:tcW w:w="719" w:type="dxa"/>
            <w:vAlign w:val="center"/>
            <w:hideMark/>
          </w:tcPr>
          <w:p w14:paraId="35EF4F65" w14:textId="77777777" w:rsidR="008D45A9" w:rsidRPr="007245B0" w:rsidRDefault="008D45A9" w:rsidP="00A351F7">
            <w:pPr>
              <w:pStyle w:val="NoSpacing"/>
              <w:jc w:val="center"/>
              <w:rPr>
                <w:rFonts w:ascii="Times New Roman" w:hAnsi="Times New Roman" w:cs="Times New Roman"/>
                <w:sz w:val="18"/>
                <w:szCs w:val="18"/>
              </w:rPr>
            </w:pPr>
            <w:r w:rsidRPr="007245B0">
              <w:rPr>
                <w:rFonts w:ascii="Times New Roman" w:hAnsi="Times New Roman" w:cs="Times New Roman"/>
                <w:sz w:val="18"/>
                <w:szCs w:val="18"/>
              </w:rPr>
              <w:t>191.42</w:t>
            </w:r>
          </w:p>
        </w:tc>
        <w:tc>
          <w:tcPr>
            <w:tcW w:w="708" w:type="dxa"/>
            <w:vAlign w:val="center"/>
            <w:hideMark/>
          </w:tcPr>
          <w:p w14:paraId="38C59C6D" w14:textId="77777777" w:rsidR="008D45A9" w:rsidRPr="007245B0" w:rsidRDefault="008D45A9" w:rsidP="00A351F7">
            <w:pPr>
              <w:pStyle w:val="NoSpacing"/>
              <w:jc w:val="center"/>
              <w:rPr>
                <w:rFonts w:ascii="Times New Roman" w:hAnsi="Times New Roman" w:cs="Times New Roman"/>
                <w:sz w:val="18"/>
                <w:szCs w:val="18"/>
              </w:rPr>
            </w:pPr>
            <w:r w:rsidRPr="007245B0">
              <w:rPr>
                <w:rFonts w:ascii="Times New Roman" w:hAnsi="Times New Roman" w:cs="Times New Roman"/>
                <w:sz w:val="18"/>
                <w:szCs w:val="18"/>
              </w:rPr>
              <w:t>39.50</w:t>
            </w:r>
          </w:p>
        </w:tc>
        <w:tc>
          <w:tcPr>
            <w:tcW w:w="717" w:type="dxa"/>
            <w:vAlign w:val="center"/>
            <w:hideMark/>
          </w:tcPr>
          <w:p w14:paraId="100EC70F" w14:textId="77777777" w:rsidR="008D45A9" w:rsidRPr="007245B0" w:rsidRDefault="008D45A9" w:rsidP="00A351F7">
            <w:pPr>
              <w:pStyle w:val="NoSpacing"/>
              <w:jc w:val="center"/>
              <w:rPr>
                <w:rFonts w:ascii="Times New Roman" w:hAnsi="Times New Roman" w:cs="Times New Roman"/>
                <w:sz w:val="18"/>
                <w:szCs w:val="18"/>
              </w:rPr>
            </w:pPr>
            <w:r w:rsidRPr="007245B0">
              <w:rPr>
                <w:rFonts w:ascii="Times New Roman" w:hAnsi="Times New Roman" w:cs="Times New Roman"/>
                <w:sz w:val="18"/>
                <w:szCs w:val="18"/>
              </w:rPr>
              <w:t>230.92</w:t>
            </w:r>
          </w:p>
        </w:tc>
        <w:tc>
          <w:tcPr>
            <w:tcW w:w="719" w:type="dxa"/>
            <w:vAlign w:val="center"/>
            <w:hideMark/>
          </w:tcPr>
          <w:p w14:paraId="21F74C8A" w14:textId="77777777" w:rsidR="008D45A9" w:rsidRPr="007245B0" w:rsidRDefault="008D45A9" w:rsidP="00A351F7">
            <w:pPr>
              <w:pStyle w:val="NoSpacing"/>
              <w:jc w:val="center"/>
              <w:rPr>
                <w:rFonts w:ascii="Times New Roman" w:hAnsi="Times New Roman" w:cs="Times New Roman"/>
                <w:sz w:val="18"/>
                <w:szCs w:val="18"/>
              </w:rPr>
            </w:pPr>
            <w:r w:rsidRPr="007245B0">
              <w:rPr>
                <w:rFonts w:ascii="Times New Roman" w:hAnsi="Times New Roman" w:cs="Times New Roman"/>
                <w:sz w:val="18"/>
                <w:szCs w:val="18"/>
              </w:rPr>
              <w:t>851.77</w:t>
            </w:r>
          </w:p>
        </w:tc>
        <w:tc>
          <w:tcPr>
            <w:tcW w:w="717" w:type="dxa"/>
            <w:vAlign w:val="center"/>
            <w:hideMark/>
          </w:tcPr>
          <w:p w14:paraId="2740058E" w14:textId="77777777" w:rsidR="008D45A9" w:rsidRPr="007245B0" w:rsidRDefault="008D45A9" w:rsidP="00A351F7">
            <w:pPr>
              <w:pStyle w:val="NoSpacing"/>
              <w:jc w:val="center"/>
              <w:rPr>
                <w:rFonts w:ascii="Times New Roman" w:hAnsi="Times New Roman" w:cs="Times New Roman"/>
                <w:sz w:val="18"/>
                <w:szCs w:val="18"/>
              </w:rPr>
            </w:pPr>
            <w:r w:rsidRPr="007245B0">
              <w:rPr>
                <w:rFonts w:ascii="Times New Roman" w:hAnsi="Times New Roman" w:cs="Times New Roman"/>
                <w:sz w:val="18"/>
                <w:szCs w:val="18"/>
              </w:rPr>
              <w:t>197.20</w:t>
            </w:r>
          </w:p>
        </w:tc>
        <w:tc>
          <w:tcPr>
            <w:tcW w:w="807" w:type="dxa"/>
            <w:vAlign w:val="center"/>
            <w:hideMark/>
          </w:tcPr>
          <w:p w14:paraId="5E21CDA2" w14:textId="77777777" w:rsidR="008D45A9" w:rsidRPr="007245B0" w:rsidRDefault="008D45A9" w:rsidP="00A351F7">
            <w:pPr>
              <w:pStyle w:val="NoSpacing"/>
              <w:jc w:val="center"/>
              <w:rPr>
                <w:rFonts w:ascii="Times New Roman" w:hAnsi="Times New Roman" w:cs="Times New Roman"/>
                <w:sz w:val="18"/>
                <w:szCs w:val="18"/>
              </w:rPr>
            </w:pPr>
            <w:r w:rsidRPr="007245B0">
              <w:rPr>
                <w:rFonts w:ascii="Times New Roman" w:hAnsi="Times New Roman" w:cs="Times New Roman"/>
                <w:sz w:val="18"/>
                <w:szCs w:val="18"/>
              </w:rPr>
              <w:t>1048.97</w:t>
            </w:r>
          </w:p>
        </w:tc>
      </w:tr>
    </w:tbl>
    <w:p w14:paraId="4DBC4524" w14:textId="77777777" w:rsidR="008D45A9" w:rsidRPr="00A351F7" w:rsidRDefault="008D45A9" w:rsidP="008D45A9">
      <w:pPr>
        <w:spacing w:after="0"/>
        <w:rPr>
          <w:rFonts w:ascii="Times New Roman" w:hAnsi="Times New Roman" w:cs="Times New Roman"/>
          <w:sz w:val="20"/>
          <w:szCs w:val="20"/>
        </w:rPr>
      </w:pPr>
      <w:r w:rsidRPr="00A351F7">
        <w:rPr>
          <w:rFonts w:ascii="Times New Roman" w:hAnsi="Times New Roman" w:cs="Times New Roman"/>
          <w:sz w:val="20"/>
          <w:szCs w:val="20"/>
        </w:rPr>
        <w:t>Source: State Budgets.</w:t>
      </w:r>
      <w:r w:rsidRPr="00A351F7">
        <w:rPr>
          <w:rFonts w:ascii="Times New Roman" w:hAnsi="Times New Roman" w:cs="Times New Roman"/>
          <w:sz w:val="20"/>
          <w:szCs w:val="20"/>
        </w:rPr>
        <w:br/>
        <w:t>£ Including Grants under Article 273.</w:t>
      </w:r>
      <w:r w:rsidRPr="00A351F7">
        <w:rPr>
          <w:rFonts w:ascii="Times New Roman" w:hAnsi="Times New Roman" w:cs="Times New Roman"/>
          <w:sz w:val="20"/>
          <w:szCs w:val="20"/>
        </w:rPr>
        <w:br/>
        <w:t>$ Includes grants in lieu of tax on Railway Passenger Fares.</w:t>
      </w:r>
      <w:r w:rsidRPr="00A351F7">
        <w:rPr>
          <w:rFonts w:ascii="Times New Roman" w:hAnsi="Times New Roman" w:cs="Times New Roman"/>
          <w:sz w:val="20"/>
          <w:szCs w:val="20"/>
        </w:rPr>
        <w:br/>
        <w:t>* Figures for these States upto 1959-60 relate to the composite State of Bombay.</w:t>
      </w:r>
    </w:p>
    <w:p w14:paraId="4AB54C2C" w14:textId="77777777" w:rsidR="008D45A9" w:rsidRPr="007245B0" w:rsidRDefault="008D45A9" w:rsidP="008D45A9">
      <w:pPr>
        <w:spacing w:after="0"/>
        <w:rPr>
          <w:rFonts w:ascii="Times New Roman" w:hAnsi="Times New Roman" w:cs="Times New Roman"/>
          <w:i/>
          <w:iCs/>
          <w:szCs w:val="24"/>
        </w:rPr>
      </w:pPr>
    </w:p>
    <w:p w14:paraId="7915F6A7" w14:textId="77777777" w:rsidR="007D2EE4" w:rsidRDefault="008D45A9" w:rsidP="008D45A9">
      <w:pPr>
        <w:spacing w:after="0"/>
        <w:rPr>
          <w:rFonts w:ascii="Times New Roman" w:hAnsi="Times New Roman" w:cs="Times New Roman"/>
          <w:b/>
          <w:bCs/>
          <w:i/>
          <w:iCs/>
          <w:szCs w:val="24"/>
        </w:rPr>
      </w:pPr>
      <w:r w:rsidRPr="007245B0">
        <w:rPr>
          <w:rFonts w:ascii="Times New Roman" w:hAnsi="Times New Roman" w:cs="Times New Roman"/>
          <w:b/>
          <w:bCs/>
          <w:i/>
          <w:iCs/>
          <w:szCs w:val="24"/>
        </w:rPr>
        <w:t xml:space="preserve"> </w:t>
      </w:r>
    </w:p>
    <w:p w14:paraId="6F5FB519" w14:textId="77777777" w:rsidR="007D2EE4" w:rsidRDefault="007D2EE4">
      <w:pPr>
        <w:rPr>
          <w:rFonts w:ascii="Times New Roman" w:hAnsi="Times New Roman" w:cs="Times New Roman"/>
          <w:b/>
          <w:bCs/>
          <w:i/>
          <w:iCs/>
          <w:szCs w:val="24"/>
        </w:rPr>
      </w:pPr>
      <w:r>
        <w:rPr>
          <w:rFonts w:ascii="Times New Roman" w:hAnsi="Times New Roman" w:cs="Times New Roman"/>
          <w:b/>
          <w:bCs/>
          <w:i/>
          <w:iCs/>
          <w:szCs w:val="24"/>
        </w:rPr>
        <w:br w:type="page"/>
      </w:r>
    </w:p>
    <w:p w14:paraId="04908707" w14:textId="245289B9" w:rsidR="00A351F7" w:rsidRDefault="00574BCE" w:rsidP="00A351F7">
      <w:pPr>
        <w:spacing w:after="0"/>
        <w:jc w:val="center"/>
        <w:rPr>
          <w:rFonts w:ascii="Times New Roman" w:hAnsi="Times New Roman" w:cs="Times New Roman"/>
          <w:i/>
          <w:iCs/>
          <w:szCs w:val="24"/>
        </w:rPr>
      </w:pPr>
      <w:bookmarkStart w:id="201" w:name="_Toc220949737"/>
      <w:bookmarkStart w:id="202" w:name="_Toc221114337"/>
      <w:bookmarkStart w:id="203" w:name="_Toc221115360"/>
      <w:r>
        <w:rPr>
          <w:rStyle w:val="Heading4Char"/>
        </w:rPr>
        <w:lastRenderedPageBreak/>
        <w:t>Table</w:t>
      </w:r>
      <w:r w:rsidR="008D45A9" w:rsidRPr="00A351F7">
        <w:rPr>
          <w:rStyle w:val="Heading4Char"/>
        </w:rPr>
        <w:t xml:space="preserve"> 56: Transfers from the Centre to States under the Third Finance Commission’s Award (1962-63 to 1965-66)</w:t>
      </w:r>
      <w:bookmarkEnd w:id="201"/>
      <w:bookmarkEnd w:id="202"/>
      <w:bookmarkEnd w:id="203"/>
    </w:p>
    <w:p w14:paraId="0DFFB7DF" w14:textId="54C78044" w:rsidR="008D45A9" w:rsidRPr="007245B0" w:rsidRDefault="008D45A9" w:rsidP="00A351F7">
      <w:pPr>
        <w:spacing w:after="0"/>
        <w:jc w:val="right"/>
        <w:rPr>
          <w:rFonts w:ascii="Times New Roman" w:hAnsi="Times New Roman" w:cs="Times New Roman"/>
          <w:i/>
          <w:iCs/>
          <w:szCs w:val="24"/>
        </w:rPr>
      </w:pPr>
      <w:r w:rsidRPr="007245B0">
        <w:rPr>
          <w:rFonts w:ascii="Times New Roman" w:hAnsi="Times New Roman" w:cs="Times New Roman"/>
          <w:i/>
          <w:iCs/>
          <w:szCs w:val="24"/>
        </w:rPr>
        <w:t>(Rs. crores)</w:t>
      </w:r>
    </w:p>
    <w:tbl>
      <w:tblPr>
        <w:tblStyle w:val="TableGrid"/>
        <w:tblW w:w="14234" w:type="dxa"/>
        <w:tblInd w:w="-572" w:type="dxa"/>
        <w:tblLook w:val="04A0" w:firstRow="1" w:lastRow="0" w:firstColumn="1" w:lastColumn="0" w:noHBand="0" w:noVBand="1"/>
      </w:tblPr>
      <w:tblGrid>
        <w:gridCol w:w="1336"/>
        <w:gridCol w:w="900"/>
        <w:gridCol w:w="846"/>
        <w:gridCol w:w="794"/>
        <w:gridCol w:w="900"/>
        <w:gridCol w:w="846"/>
        <w:gridCol w:w="794"/>
        <w:gridCol w:w="900"/>
        <w:gridCol w:w="846"/>
        <w:gridCol w:w="794"/>
        <w:gridCol w:w="900"/>
        <w:gridCol w:w="846"/>
        <w:gridCol w:w="794"/>
        <w:gridCol w:w="982"/>
        <w:gridCol w:w="851"/>
        <w:gridCol w:w="905"/>
      </w:tblGrid>
      <w:tr w:rsidR="008D45A9" w:rsidRPr="00A351F7" w14:paraId="624618D9" w14:textId="77777777" w:rsidTr="00A351F7">
        <w:trPr>
          <w:trHeight w:val="510"/>
        </w:trPr>
        <w:tc>
          <w:tcPr>
            <w:tcW w:w="0" w:type="auto"/>
            <w:vAlign w:val="center"/>
            <w:hideMark/>
          </w:tcPr>
          <w:p w14:paraId="263D9B23" w14:textId="77777777" w:rsidR="008D45A9" w:rsidRPr="00A351F7" w:rsidRDefault="008D45A9" w:rsidP="00A351F7">
            <w:pPr>
              <w:pStyle w:val="NoSpacing"/>
              <w:jc w:val="center"/>
              <w:rPr>
                <w:rFonts w:ascii="Times New Roman" w:hAnsi="Times New Roman" w:cs="Times New Roman"/>
                <w:b/>
                <w:bCs/>
                <w:sz w:val="21"/>
              </w:rPr>
            </w:pPr>
            <w:r w:rsidRPr="00A351F7">
              <w:rPr>
                <w:rFonts w:ascii="Times New Roman" w:hAnsi="Times New Roman" w:cs="Times New Roman"/>
                <w:b/>
                <w:bCs/>
                <w:sz w:val="21"/>
              </w:rPr>
              <w:t>States</w:t>
            </w:r>
          </w:p>
        </w:tc>
        <w:tc>
          <w:tcPr>
            <w:tcW w:w="0" w:type="auto"/>
            <w:gridSpan w:val="3"/>
            <w:vAlign w:val="center"/>
            <w:hideMark/>
          </w:tcPr>
          <w:p w14:paraId="24755F3D" w14:textId="77777777" w:rsidR="008D45A9" w:rsidRPr="00A351F7" w:rsidRDefault="008D45A9" w:rsidP="00A351F7">
            <w:pPr>
              <w:pStyle w:val="NoSpacing"/>
              <w:jc w:val="center"/>
              <w:rPr>
                <w:rFonts w:ascii="Times New Roman" w:hAnsi="Times New Roman" w:cs="Times New Roman"/>
                <w:b/>
                <w:bCs/>
                <w:sz w:val="21"/>
              </w:rPr>
            </w:pPr>
            <w:r w:rsidRPr="00A351F7">
              <w:rPr>
                <w:rFonts w:ascii="Times New Roman" w:hAnsi="Times New Roman" w:cs="Times New Roman"/>
                <w:b/>
                <w:bCs/>
                <w:sz w:val="21"/>
              </w:rPr>
              <w:t>1962-63</w:t>
            </w:r>
          </w:p>
        </w:tc>
        <w:tc>
          <w:tcPr>
            <w:tcW w:w="0" w:type="auto"/>
            <w:gridSpan w:val="3"/>
            <w:vAlign w:val="center"/>
            <w:hideMark/>
          </w:tcPr>
          <w:p w14:paraId="45D3729D" w14:textId="77777777" w:rsidR="008D45A9" w:rsidRPr="00A351F7" w:rsidRDefault="008D45A9" w:rsidP="00A351F7">
            <w:pPr>
              <w:pStyle w:val="NoSpacing"/>
              <w:jc w:val="center"/>
              <w:rPr>
                <w:rFonts w:ascii="Times New Roman" w:hAnsi="Times New Roman" w:cs="Times New Roman"/>
                <w:b/>
                <w:bCs/>
                <w:sz w:val="21"/>
              </w:rPr>
            </w:pPr>
            <w:r w:rsidRPr="00A351F7">
              <w:rPr>
                <w:rFonts w:ascii="Times New Roman" w:hAnsi="Times New Roman" w:cs="Times New Roman"/>
                <w:b/>
                <w:bCs/>
                <w:sz w:val="21"/>
              </w:rPr>
              <w:t>1963-64</w:t>
            </w:r>
          </w:p>
        </w:tc>
        <w:tc>
          <w:tcPr>
            <w:tcW w:w="0" w:type="auto"/>
            <w:gridSpan w:val="3"/>
            <w:vAlign w:val="center"/>
            <w:hideMark/>
          </w:tcPr>
          <w:p w14:paraId="5BE0C780" w14:textId="77777777" w:rsidR="008D45A9" w:rsidRPr="00A351F7" w:rsidRDefault="008D45A9" w:rsidP="00A351F7">
            <w:pPr>
              <w:pStyle w:val="NoSpacing"/>
              <w:jc w:val="center"/>
              <w:rPr>
                <w:rFonts w:ascii="Times New Roman" w:hAnsi="Times New Roman" w:cs="Times New Roman"/>
                <w:b/>
                <w:bCs/>
                <w:sz w:val="21"/>
              </w:rPr>
            </w:pPr>
            <w:r w:rsidRPr="00A351F7">
              <w:rPr>
                <w:rFonts w:ascii="Times New Roman" w:hAnsi="Times New Roman" w:cs="Times New Roman"/>
                <w:b/>
                <w:bCs/>
                <w:sz w:val="21"/>
              </w:rPr>
              <w:t>1964-65</w:t>
            </w:r>
          </w:p>
        </w:tc>
        <w:tc>
          <w:tcPr>
            <w:tcW w:w="0" w:type="auto"/>
            <w:gridSpan w:val="3"/>
            <w:vAlign w:val="center"/>
            <w:hideMark/>
          </w:tcPr>
          <w:p w14:paraId="59526ADE" w14:textId="77777777" w:rsidR="008D45A9" w:rsidRPr="00A351F7" w:rsidRDefault="008D45A9" w:rsidP="00A351F7">
            <w:pPr>
              <w:pStyle w:val="NoSpacing"/>
              <w:jc w:val="center"/>
              <w:rPr>
                <w:rFonts w:ascii="Times New Roman" w:hAnsi="Times New Roman" w:cs="Times New Roman"/>
                <w:b/>
                <w:bCs/>
                <w:sz w:val="21"/>
              </w:rPr>
            </w:pPr>
            <w:r w:rsidRPr="00A351F7">
              <w:rPr>
                <w:rFonts w:ascii="Times New Roman" w:hAnsi="Times New Roman" w:cs="Times New Roman"/>
                <w:b/>
                <w:bCs/>
                <w:sz w:val="21"/>
              </w:rPr>
              <w:t>1965-66</w:t>
            </w:r>
          </w:p>
        </w:tc>
        <w:tc>
          <w:tcPr>
            <w:tcW w:w="0" w:type="auto"/>
            <w:gridSpan w:val="3"/>
            <w:vAlign w:val="center"/>
            <w:hideMark/>
          </w:tcPr>
          <w:p w14:paraId="49DA99AB" w14:textId="77777777" w:rsidR="008D45A9" w:rsidRPr="00A351F7" w:rsidRDefault="008D45A9" w:rsidP="00A351F7">
            <w:pPr>
              <w:pStyle w:val="NoSpacing"/>
              <w:jc w:val="center"/>
              <w:rPr>
                <w:rFonts w:ascii="Times New Roman" w:hAnsi="Times New Roman" w:cs="Times New Roman"/>
                <w:b/>
                <w:bCs/>
                <w:sz w:val="21"/>
              </w:rPr>
            </w:pPr>
            <w:r w:rsidRPr="00A351F7">
              <w:rPr>
                <w:rFonts w:ascii="Times New Roman" w:hAnsi="Times New Roman" w:cs="Times New Roman"/>
                <w:b/>
                <w:bCs/>
                <w:sz w:val="21"/>
              </w:rPr>
              <w:t>Total for 4 years (1962-63 to 1965-66)</w:t>
            </w:r>
          </w:p>
        </w:tc>
      </w:tr>
      <w:tr w:rsidR="008D45A9" w:rsidRPr="00A351F7" w14:paraId="5FD7492A" w14:textId="77777777" w:rsidTr="00A351F7">
        <w:trPr>
          <w:trHeight w:val="756"/>
        </w:trPr>
        <w:tc>
          <w:tcPr>
            <w:tcW w:w="0" w:type="auto"/>
            <w:vAlign w:val="center"/>
            <w:hideMark/>
          </w:tcPr>
          <w:p w14:paraId="363433F8" w14:textId="77777777" w:rsidR="008D45A9" w:rsidRPr="00A351F7" w:rsidRDefault="008D45A9" w:rsidP="00A351F7">
            <w:pPr>
              <w:pStyle w:val="NoSpacing"/>
              <w:jc w:val="center"/>
              <w:rPr>
                <w:rFonts w:ascii="Times New Roman" w:hAnsi="Times New Roman" w:cs="Times New Roman"/>
                <w:b/>
                <w:bCs/>
                <w:sz w:val="21"/>
              </w:rPr>
            </w:pPr>
          </w:p>
        </w:tc>
        <w:tc>
          <w:tcPr>
            <w:tcW w:w="0" w:type="auto"/>
            <w:vAlign w:val="center"/>
            <w:hideMark/>
          </w:tcPr>
          <w:p w14:paraId="0BBA8398" w14:textId="77777777" w:rsidR="008D45A9" w:rsidRPr="00A351F7" w:rsidRDefault="008D45A9" w:rsidP="00A351F7">
            <w:pPr>
              <w:pStyle w:val="NoSpacing"/>
              <w:jc w:val="center"/>
              <w:rPr>
                <w:rFonts w:ascii="Times New Roman" w:hAnsi="Times New Roman" w:cs="Times New Roman"/>
                <w:b/>
                <w:bCs/>
                <w:sz w:val="21"/>
              </w:rPr>
            </w:pPr>
            <w:r w:rsidRPr="00A351F7">
              <w:rPr>
                <w:rFonts w:ascii="Times New Roman" w:hAnsi="Times New Roman" w:cs="Times New Roman"/>
                <w:b/>
                <w:bCs/>
                <w:sz w:val="21"/>
              </w:rPr>
              <w:t>Shares of Taxes</w:t>
            </w:r>
          </w:p>
        </w:tc>
        <w:tc>
          <w:tcPr>
            <w:tcW w:w="0" w:type="auto"/>
            <w:vAlign w:val="center"/>
            <w:hideMark/>
          </w:tcPr>
          <w:p w14:paraId="0D57112C" w14:textId="77777777" w:rsidR="008D45A9" w:rsidRPr="00A351F7" w:rsidRDefault="008D45A9" w:rsidP="00A351F7">
            <w:pPr>
              <w:pStyle w:val="NoSpacing"/>
              <w:jc w:val="center"/>
              <w:rPr>
                <w:rFonts w:ascii="Times New Roman" w:hAnsi="Times New Roman" w:cs="Times New Roman"/>
                <w:b/>
                <w:bCs/>
                <w:sz w:val="21"/>
              </w:rPr>
            </w:pPr>
            <w:r w:rsidRPr="00A351F7">
              <w:rPr>
                <w:rFonts w:ascii="Times New Roman" w:hAnsi="Times New Roman" w:cs="Times New Roman"/>
                <w:b/>
                <w:bCs/>
                <w:sz w:val="21"/>
              </w:rPr>
              <w:t>Grants</w:t>
            </w:r>
          </w:p>
        </w:tc>
        <w:tc>
          <w:tcPr>
            <w:tcW w:w="0" w:type="auto"/>
            <w:vAlign w:val="center"/>
            <w:hideMark/>
          </w:tcPr>
          <w:p w14:paraId="603A8C3D" w14:textId="77777777" w:rsidR="008D45A9" w:rsidRPr="00A351F7" w:rsidRDefault="008D45A9" w:rsidP="00A351F7">
            <w:pPr>
              <w:pStyle w:val="NoSpacing"/>
              <w:jc w:val="center"/>
              <w:rPr>
                <w:rFonts w:ascii="Times New Roman" w:hAnsi="Times New Roman" w:cs="Times New Roman"/>
                <w:b/>
                <w:bCs/>
                <w:sz w:val="21"/>
              </w:rPr>
            </w:pPr>
            <w:r w:rsidRPr="00A351F7">
              <w:rPr>
                <w:rFonts w:ascii="Times New Roman" w:hAnsi="Times New Roman" w:cs="Times New Roman"/>
                <w:b/>
                <w:bCs/>
                <w:sz w:val="21"/>
              </w:rPr>
              <w:t>Total</w:t>
            </w:r>
          </w:p>
        </w:tc>
        <w:tc>
          <w:tcPr>
            <w:tcW w:w="0" w:type="auto"/>
            <w:vAlign w:val="center"/>
            <w:hideMark/>
          </w:tcPr>
          <w:p w14:paraId="4122F666" w14:textId="77777777" w:rsidR="008D45A9" w:rsidRPr="00A351F7" w:rsidRDefault="008D45A9" w:rsidP="00A351F7">
            <w:pPr>
              <w:pStyle w:val="NoSpacing"/>
              <w:jc w:val="center"/>
              <w:rPr>
                <w:rFonts w:ascii="Times New Roman" w:hAnsi="Times New Roman" w:cs="Times New Roman"/>
                <w:b/>
                <w:bCs/>
                <w:sz w:val="21"/>
              </w:rPr>
            </w:pPr>
            <w:r w:rsidRPr="00A351F7">
              <w:rPr>
                <w:rFonts w:ascii="Times New Roman" w:hAnsi="Times New Roman" w:cs="Times New Roman"/>
                <w:b/>
                <w:bCs/>
                <w:sz w:val="21"/>
              </w:rPr>
              <w:t>Shares of Taxes</w:t>
            </w:r>
          </w:p>
        </w:tc>
        <w:tc>
          <w:tcPr>
            <w:tcW w:w="0" w:type="auto"/>
            <w:vAlign w:val="center"/>
            <w:hideMark/>
          </w:tcPr>
          <w:p w14:paraId="755372A8" w14:textId="77777777" w:rsidR="008D45A9" w:rsidRPr="00A351F7" w:rsidRDefault="008D45A9" w:rsidP="00A351F7">
            <w:pPr>
              <w:pStyle w:val="NoSpacing"/>
              <w:jc w:val="center"/>
              <w:rPr>
                <w:rFonts w:ascii="Times New Roman" w:hAnsi="Times New Roman" w:cs="Times New Roman"/>
                <w:b/>
                <w:bCs/>
                <w:sz w:val="21"/>
              </w:rPr>
            </w:pPr>
            <w:r w:rsidRPr="00A351F7">
              <w:rPr>
                <w:rFonts w:ascii="Times New Roman" w:hAnsi="Times New Roman" w:cs="Times New Roman"/>
                <w:b/>
                <w:bCs/>
                <w:sz w:val="21"/>
              </w:rPr>
              <w:t>Grants</w:t>
            </w:r>
          </w:p>
        </w:tc>
        <w:tc>
          <w:tcPr>
            <w:tcW w:w="0" w:type="auto"/>
            <w:vAlign w:val="center"/>
            <w:hideMark/>
          </w:tcPr>
          <w:p w14:paraId="1D627B70" w14:textId="77777777" w:rsidR="008D45A9" w:rsidRPr="00A351F7" w:rsidRDefault="008D45A9" w:rsidP="00A351F7">
            <w:pPr>
              <w:pStyle w:val="NoSpacing"/>
              <w:jc w:val="center"/>
              <w:rPr>
                <w:rFonts w:ascii="Times New Roman" w:hAnsi="Times New Roman" w:cs="Times New Roman"/>
                <w:b/>
                <w:bCs/>
                <w:sz w:val="21"/>
              </w:rPr>
            </w:pPr>
            <w:r w:rsidRPr="00A351F7">
              <w:rPr>
                <w:rFonts w:ascii="Times New Roman" w:hAnsi="Times New Roman" w:cs="Times New Roman"/>
                <w:b/>
                <w:bCs/>
                <w:sz w:val="21"/>
              </w:rPr>
              <w:t>Total</w:t>
            </w:r>
          </w:p>
        </w:tc>
        <w:tc>
          <w:tcPr>
            <w:tcW w:w="0" w:type="auto"/>
            <w:vAlign w:val="center"/>
            <w:hideMark/>
          </w:tcPr>
          <w:p w14:paraId="66263A72" w14:textId="77777777" w:rsidR="008D45A9" w:rsidRPr="00A351F7" w:rsidRDefault="008D45A9" w:rsidP="00A351F7">
            <w:pPr>
              <w:pStyle w:val="NoSpacing"/>
              <w:jc w:val="center"/>
              <w:rPr>
                <w:rFonts w:ascii="Times New Roman" w:hAnsi="Times New Roman" w:cs="Times New Roman"/>
                <w:b/>
                <w:bCs/>
                <w:sz w:val="21"/>
              </w:rPr>
            </w:pPr>
            <w:r w:rsidRPr="00A351F7">
              <w:rPr>
                <w:rFonts w:ascii="Times New Roman" w:hAnsi="Times New Roman" w:cs="Times New Roman"/>
                <w:b/>
                <w:bCs/>
                <w:sz w:val="21"/>
              </w:rPr>
              <w:t>Shares of Taxes</w:t>
            </w:r>
          </w:p>
        </w:tc>
        <w:tc>
          <w:tcPr>
            <w:tcW w:w="0" w:type="auto"/>
            <w:vAlign w:val="center"/>
            <w:hideMark/>
          </w:tcPr>
          <w:p w14:paraId="639D218C" w14:textId="77777777" w:rsidR="008D45A9" w:rsidRPr="00A351F7" w:rsidRDefault="008D45A9" w:rsidP="00A351F7">
            <w:pPr>
              <w:pStyle w:val="NoSpacing"/>
              <w:jc w:val="center"/>
              <w:rPr>
                <w:rFonts w:ascii="Times New Roman" w:hAnsi="Times New Roman" w:cs="Times New Roman"/>
                <w:b/>
                <w:bCs/>
                <w:sz w:val="21"/>
              </w:rPr>
            </w:pPr>
            <w:r w:rsidRPr="00A351F7">
              <w:rPr>
                <w:rFonts w:ascii="Times New Roman" w:hAnsi="Times New Roman" w:cs="Times New Roman"/>
                <w:b/>
                <w:bCs/>
                <w:sz w:val="21"/>
              </w:rPr>
              <w:t>Grants</w:t>
            </w:r>
          </w:p>
        </w:tc>
        <w:tc>
          <w:tcPr>
            <w:tcW w:w="0" w:type="auto"/>
            <w:vAlign w:val="center"/>
            <w:hideMark/>
          </w:tcPr>
          <w:p w14:paraId="1E1CD48C" w14:textId="77777777" w:rsidR="008D45A9" w:rsidRPr="00A351F7" w:rsidRDefault="008D45A9" w:rsidP="00A351F7">
            <w:pPr>
              <w:pStyle w:val="NoSpacing"/>
              <w:jc w:val="center"/>
              <w:rPr>
                <w:rFonts w:ascii="Times New Roman" w:hAnsi="Times New Roman" w:cs="Times New Roman"/>
                <w:b/>
                <w:bCs/>
                <w:sz w:val="21"/>
              </w:rPr>
            </w:pPr>
            <w:r w:rsidRPr="00A351F7">
              <w:rPr>
                <w:rFonts w:ascii="Times New Roman" w:hAnsi="Times New Roman" w:cs="Times New Roman"/>
                <w:b/>
                <w:bCs/>
                <w:sz w:val="21"/>
              </w:rPr>
              <w:t>Total</w:t>
            </w:r>
          </w:p>
        </w:tc>
        <w:tc>
          <w:tcPr>
            <w:tcW w:w="0" w:type="auto"/>
            <w:vAlign w:val="center"/>
            <w:hideMark/>
          </w:tcPr>
          <w:p w14:paraId="5312CCC9" w14:textId="77777777" w:rsidR="008D45A9" w:rsidRPr="00A351F7" w:rsidRDefault="008D45A9" w:rsidP="00A351F7">
            <w:pPr>
              <w:pStyle w:val="NoSpacing"/>
              <w:jc w:val="center"/>
              <w:rPr>
                <w:rFonts w:ascii="Times New Roman" w:hAnsi="Times New Roman" w:cs="Times New Roman"/>
                <w:b/>
                <w:bCs/>
                <w:sz w:val="21"/>
              </w:rPr>
            </w:pPr>
            <w:r w:rsidRPr="00A351F7">
              <w:rPr>
                <w:rFonts w:ascii="Times New Roman" w:hAnsi="Times New Roman" w:cs="Times New Roman"/>
                <w:b/>
                <w:bCs/>
                <w:sz w:val="21"/>
              </w:rPr>
              <w:t>Shares of Taxes</w:t>
            </w:r>
          </w:p>
        </w:tc>
        <w:tc>
          <w:tcPr>
            <w:tcW w:w="0" w:type="auto"/>
            <w:vAlign w:val="center"/>
            <w:hideMark/>
          </w:tcPr>
          <w:p w14:paraId="13471144" w14:textId="77777777" w:rsidR="008D45A9" w:rsidRPr="00A351F7" w:rsidRDefault="008D45A9" w:rsidP="00A351F7">
            <w:pPr>
              <w:pStyle w:val="NoSpacing"/>
              <w:jc w:val="center"/>
              <w:rPr>
                <w:rFonts w:ascii="Times New Roman" w:hAnsi="Times New Roman" w:cs="Times New Roman"/>
                <w:b/>
                <w:bCs/>
                <w:sz w:val="21"/>
              </w:rPr>
            </w:pPr>
            <w:r w:rsidRPr="00A351F7">
              <w:rPr>
                <w:rFonts w:ascii="Times New Roman" w:hAnsi="Times New Roman" w:cs="Times New Roman"/>
                <w:b/>
                <w:bCs/>
                <w:sz w:val="21"/>
              </w:rPr>
              <w:t>Grants</w:t>
            </w:r>
          </w:p>
        </w:tc>
        <w:tc>
          <w:tcPr>
            <w:tcW w:w="0" w:type="auto"/>
            <w:vAlign w:val="center"/>
            <w:hideMark/>
          </w:tcPr>
          <w:p w14:paraId="286E13CE" w14:textId="77777777" w:rsidR="008D45A9" w:rsidRPr="00A351F7" w:rsidRDefault="008D45A9" w:rsidP="00A351F7">
            <w:pPr>
              <w:pStyle w:val="NoSpacing"/>
              <w:jc w:val="center"/>
              <w:rPr>
                <w:rFonts w:ascii="Times New Roman" w:hAnsi="Times New Roman" w:cs="Times New Roman"/>
                <w:b/>
                <w:bCs/>
                <w:sz w:val="21"/>
              </w:rPr>
            </w:pPr>
            <w:r w:rsidRPr="00A351F7">
              <w:rPr>
                <w:rFonts w:ascii="Times New Roman" w:hAnsi="Times New Roman" w:cs="Times New Roman"/>
                <w:b/>
                <w:bCs/>
                <w:sz w:val="21"/>
              </w:rPr>
              <w:t>Total</w:t>
            </w:r>
          </w:p>
        </w:tc>
        <w:tc>
          <w:tcPr>
            <w:tcW w:w="0" w:type="auto"/>
            <w:vAlign w:val="center"/>
            <w:hideMark/>
          </w:tcPr>
          <w:p w14:paraId="21FA7EDC" w14:textId="77777777" w:rsidR="008D45A9" w:rsidRPr="00A351F7" w:rsidRDefault="008D45A9" w:rsidP="00A351F7">
            <w:pPr>
              <w:pStyle w:val="NoSpacing"/>
              <w:jc w:val="center"/>
              <w:rPr>
                <w:rFonts w:ascii="Times New Roman" w:hAnsi="Times New Roman" w:cs="Times New Roman"/>
                <w:b/>
                <w:bCs/>
                <w:sz w:val="21"/>
              </w:rPr>
            </w:pPr>
            <w:r w:rsidRPr="00A351F7">
              <w:rPr>
                <w:rFonts w:ascii="Times New Roman" w:hAnsi="Times New Roman" w:cs="Times New Roman"/>
                <w:b/>
                <w:bCs/>
                <w:sz w:val="21"/>
              </w:rPr>
              <w:t>Shares of Taxes</w:t>
            </w:r>
          </w:p>
        </w:tc>
        <w:tc>
          <w:tcPr>
            <w:tcW w:w="0" w:type="auto"/>
            <w:vAlign w:val="center"/>
            <w:hideMark/>
          </w:tcPr>
          <w:p w14:paraId="21E17A2B" w14:textId="77777777" w:rsidR="008D45A9" w:rsidRPr="00A351F7" w:rsidRDefault="008D45A9" w:rsidP="00A351F7">
            <w:pPr>
              <w:pStyle w:val="NoSpacing"/>
              <w:jc w:val="center"/>
              <w:rPr>
                <w:rFonts w:ascii="Times New Roman" w:hAnsi="Times New Roman" w:cs="Times New Roman"/>
                <w:b/>
                <w:bCs/>
                <w:sz w:val="21"/>
              </w:rPr>
            </w:pPr>
            <w:r w:rsidRPr="00A351F7">
              <w:rPr>
                <w:rFonts w:ascii="Times New Roman" w:hAnsi="Times New Roman" w:cs="Times New Roman"/>
                <w:b/>
                <w:bCs/>
                <w:sz w:val="21"/>
              </w:rPr>
              <w:t>Grants</w:t>
            </w:r>
          </w:p>
        </w:tc>
        <w:tc>
          <w:tcPr>
            <w:tcW w:w="0" w:type="auto"/>
            <w:vAlign w:val="center"/>
            <w:hideMark/>
          </w:tcPr>
          <w:p w14:paraId="62187898" w14:textId="77777777" w:rsidR="008D45A9" w:rsidRPr="00A351F7" w:rsidRDefault="008D45A9" w:rsidP="00A351F7">
            <w:pPr>
              <w:pStyle w:val="NoSpacing"/>
              <w:jc w:val="center"/>
              <w:rPr>
                <w:rFonts w:ascii="Times New Roman" w:hAnsi="Times New Roman" w:cs="Times New Roman"/>
                <w:b/>
                <w:bCs/>
                <w:sz w:val="21"/>
              </w:rPr>
            </w:pPr>
            <w:r w:rsidRPr="00A351F7">
              <w:rPr>
                <w:rFonts w:ascii="Times New Roman" w:hAnsi="Times New Roman" w:cs="Times New Roman"/>
                <w:b/>
                <w:bCs/>
                <w:sz w:val="21"/>
              </w:rPr>
              <w:t>Total</w:t>
            </w:r>
          </w:p>
        </w:tc>
      </w:tr>
      <w:tr w:rsidR="008D45A9" w:rsidRPr="00A351F7" w14:paraId="5E376631" w14:textId="77777777" w:rsidTr="00A351F7">
        <w:trPr>
          <w:trHeight w:val="245"/>
        </w:trPr>
        <w:tc>
          <w:tcPr>
            <w:tcW w:w="0" w:type="auto"/>
            <w:vAlign w:val="center"/>
            <w:hideMark/>
          </w:tcPr>
          <w:p w14:paraId="611ECA50" w14:textId="77777777" w:rsidR="008D45A9" w:rsidRPr="00A351F7" w:rsidRDefault="008D45A9" w:rsidP="00A351F7">
            <w:pPr>
              <w:pStyle w:val="NoSpacing"/>
              <w:jc w:val="center"/>
              <w:rPr>
                <w:rFonts w:ascii="Times New Roman" w:hAnsi="Times New Roman" w:cs="Times New Roman"/>
                <w:b/>
                <w:bCs/>
                <w:sz w:val="21"/>
              </w:rPr>
            </w:pPr>
            <w:r w:rsidRPr="00A351F7">
              <w:rPr>
                <w:rFonts w:ascii="Times New Roman" w:hAnsi="Times New Roman" w:cs="Times New Roman"/>
                <w:b/>
                <w:bCs/>
                <w:sz w:val="21"/>
              </w:rPr>
              <w:t>(1)</w:t>
            </w:r>
          </w:p>
        </w:tc>
        <w:tc>
          <w:tcPr>
            <w:tcW w:w="0" w:type="auto"/>
            <w:vAlign w:val="center"/>
            <w:hideMark/>
          </w:tcPr>
          <w:p w14:paraId="75445B24" w14:textId="77777777" w:rsidR="008D45A9" w:rsidRPr="00A351F7" w:rsidRDefault="008D45A9" w:rsidP="00A351F7">
            <w:pPr>
              <w:pStyle w:val="NoSpacing"/>
              <w:jc w:val="center"/>
              <w:rPr>
                <w:rFonts w:ascii="Times New Roman" w:hAnsi="Times New Roman" w:cs="Times New Roman"/>
                <w:b/>
                <w:bCs/>
                <w:sz w:val="21"/>
              </w:rPr>
            </w:pPr>
            <w:r w:rsidRPr="00A351F7">
              <w:rPr>
                <w:rFonts w:ascii="Times New Roman" w:hAnsi="Times New Roman" w:cs="Times New Roman"/>
                <w:b/>
                <w:bCs/>
                <w:sz w:val="21"/>
              </w:rPr>
              <w:t>(2)</w:t>
            </w:r>
          </w:p>
        </w:tc>
        <w:tc>
          <w:tcPr>
            <w:tcW w:w="0" w:type="auto"/>
            <w:vAlign w:val="center"/>
            <w:hideMark/>
          </w:tcPr>
          <w:p w14:paraId="5A696C7D" w14:textId="77777777" w:rsidR="008D45A9" w:rsidRPr="00A351F7" w:rsidRDefault="008D45A9" w:rsidP="00A351F7">
            <w:pPr>
              <w:pStyle w:val="NoSpacing"/>
              <w:jc w:val="center"/>
              <w:rPr>
                <w:rFonts w:ascii="Times New Roman" w:hAnsi="Times New Roman" w:cs="Times New Roman"/>
                <w:b/>
                <w:bCs/>
                <w:sz w:val="21"/>
              </w:rPr>
            </w:pPr>
            <w:r w:rsidRPr="00A351F7">
              <w:rPr>
                <w:rFonts w:ascii="Times New Roman" w:hAnsi="Times New Roman" w:cs="Times New Roman"/>
                <w:b/>
                <w:bCs/>
                <w:sz w:val="21"/>
              </w:rPr>
              <w:t>(3)</w:t>
            </w:r>
          </w:p>
        </w:tc>
        <w:tc>
          <w:tcPr>
            <w:tcW w:w="0" w:type="auto"/>
            <w:vAlign w:val="center"/>
            <w:hideMark/>
          </w:tcPr>
          <w:p w14:paraId="1973CD5B" w14:textId="77777777" w:rsidR="008D45A9" w:rsidRPr="00A351F7" w:rsidRDefault="008D45A9" w:rsidP="00A351F7">
            <w:pPr>
              <w:pStyle w:val="NoSpacing"/>
              <w:jc w:val="center"/>
              <w:rPr>
                <w:rFonts w:ascii="Times New Roman" w:hAnsi="Times New Roman" w:cs="Times New Roman"/>
                <w:b/>
                <w:bCs/>
                <w:sz w:val="21"/>
              </w:rPr>
            </w:pPr>
            <w:r w:rsidRPr="00A351F7">
              <w:rPr>
                <w:rFonts w:ascii="Times New Roman" w:hAnsi="Times New Roman" w:cs="Times New Roman"/>
                <w:b/>
                <w:bCs/>
                <w:sz w:val="21"/>
              </w:rPr>
              <w:t>(4)</w:t>
            </w:r>
          </w:p>
        </w:tc>
        <w:tc>
          <w:tcPr>
            <w:tcW w:w="0" w:type="auto"/>
            <w:vAlign w:val="center"/>
            <w:hideMark/>
          </w:tcPr>
          <w:p w14:paraId="0A99DCA6" w14:textId="77777777" w:rsidR="008D45A9" w:rsidRPr="00A351F7" w:rsidRDefault="008D45A9" w:rsidP="00A351F7">
            <w:pPr>
              <w:pStyle w:val="NoSpacing"/>
              <w:jc w:val="center"/>
              <w:rPr>
                <w:rFonts w:ascii="Times New Roman" w:hAnsi="Times New Roman" w:cs="Times New Roman"/>
                <w:b/>
                <w:bCs/>
                <w:sz w:val="21"/>
              </w:rPr>
            </w:pPr>
            <w:r w:rsidRPr="00A351F7">
              <w:rPr>
                <w:rFonts w:ascii="Times New Roman" w:hAnsi="Times New Roman" w:cs="Times New Roman"/>
                <w:b/>
                <w:bCs/>
                <w:sz w:val="21"/>
              </w:rPr>
              <w:t>(5)</w:t>
            </w:r>
          </w:p>
        </w:tc>
        <w:tc>
          <w:tcPr>
            <w:tcW w:w="0" w:type="auto"/>
            <w:vAlign w:val="center"/>
            <w:hideMark/>
          </w:tcPr>
          <w:p w14:paraId="4BB295CF" w14:textId="77777777" w:rsidR="008D45A9" w:rsidRPr="00A351F7" w:rsidRDefault="008D45A9" w:rsidP="00A351F7">
            <w:pPr>
              <w:pStyle w:val="NoSpacing"/>
              <w:jc w:val="center"/>
              <w:rPr>
                <w:rFonts w:ascii="Times New Roman" w:hAnsi="Times New Roman" w:cs="Times New Roman"/>
                <w:b/>
                <w:bCs/>
                <w:sz w:val="21"/>
              </w:rPr>
            </w:pPr>
            <w:r w:rsidRPr="00A351F7">
              <w:rPr>
                <w:rFonts w:ascii="Times New Roman" w:hAnsi="Times New Roman" w:cs="Times New Roman"/>
                <w:b/>
                <w:bCs/>
                <w:sz w:val="21"/>
              </w:rPr>
              <w:t>(6)</w:t>
            </w:r>
          </w:p>
        </w:tc>
        <w:tc>
          <w:tcPr>
            <w:tcW w:w="0" w:type="auto"/>
            <w:vAlign w:val="center"/>
            <w:hideMark/>
          </w:tcPr>
          <w:p w14:paraId="1D2A074F" w14:textId="77777777" w:rsidR="008D45A9" w:rsidRPr="00A351F7" w:rsidRDefault="008D45A9" w:rsidP="00A351F7">
            <w:pPr>
              <w:pStyle w:val="NoSpacing"/>
              <w:jc w:val="center"/>
              <w:rPr>
                <w:rFonts w:ascii="Times New Roman" w:hAnsi="Times New Roman" w:cs="Times New Roman"/>
                <w:b/>
                <w:bCs/>
                <w:sz w:val="21"/>
              </w:rPr>
            </w:pPr>
            <w:r w:rsidRPr="00A351F7">
              <w:rPr>
                <w:rFonts w:ascii="Times New Roman" w:hAnsi="Times New Roman" w:cs="Times New Roman"/>
                <w:b/>
                <w:bCs/>
                <w:sz w:val="21"/>
              </w:rPr>
              <w:t>(7)</w:t>
            </w:r>
          </w:p>
        </w:tc>
        <w:tc>
          <w:tcPr>
            <w:tcW w:w="0" w:type="auto"/>
            <w:vAlign w:val="center"/>
            <w:hideMark/>
          </w:tcPr>
          <w:p w14:paraId="706724C2" w14:textId="77777777" w:rsidR="008D45A9" w:rsidRPr="00A351F7" w:rsidRDefault="008D45A9" w:rsidP="00A351F7">
            <w:pPr>
              <w:pStyle w:val="NoSpacing"/>
              <w:jc w:val="center"/>
              <w:rPr>
                <w:rFonts w:ascii="Times New Roman" w:hAnsi="Times New Roman" w:cs="Times New Roman"/>
                <w:b/>
                <w:bCs/>
                <w:sz w:val="21"/>
              </w:rPr>
            </w:pPr>
            <w:r w:rsidRPr="00A351F7">
              <w:rPr>
                <w:rFonts w:ascii="Times New Roman" w:hAnsi="Times New Roman" w:cs="Times New Roman"/>
                <w:b/>
                <w:bCs/>
                <w:sz w:val="21"/>
              </w:rPr>
              <w:t>(8)</w:t>
            </w:r>
          </w:p>
        </w:tc>
        <w:tc>
          <w:tcPr>
            <w:tcW w:w="0" w:type="auto"/>
            <w:vAlign w:val="center"/>
            <w:hideMark/>
          </w:tcPr>
          <w:p w14:paraId="3FFA161F" w14:textId="77777777" w:rsidR="008D45A9" w:rsidRPr="00A351F7" w:rsidRDefault="008D45A9" w:rsidP="00A351F7">
            <w:pPr>
              <w:pStyle w:val="NoSpacing"/>
              <w:jc w:val="center"/>
              <w:rPr>
                <w:rFonts w:ascii="Times New Roman" w:hAnsi="Times New Roman" w:cs="Times New Roman"/>
                <w:b/>
                <w:bCs/>
                <w:sz w:val="21"/>
              </w:rPr>
            </w:pPr>
            <w:r w:rsidRPr="00A351F7">
              <w:rPr>
                <w:rFonts w:ascii="Times New Roman" w:hAnsi="Times New Roman" w:cs="Times New Roman"/>
                <w:b/>
                <w:bCs/>
                <w:sz w:val="21"/>
              </w:rPr>
              <w:t>(9)</w:t>
            </w:r>
          </w:p>
        </w:tc>
        <w:tc>
          <w:tcPr>
            <w:tcW w:w="0" w:type="auto"/>
            <w:vAlign w:val="center"/>
            <w:hideMark/>
          </w:tcPr>
          <w:p w14:paraId="782F6F9C" w14:textId="77777777" w:rsidR="008D45A9" w:rsidRPr="00A351F7" w:rsidRDefault="008D45A9" w:rsidP="00A351F7">
            <w:pPr>
              <w:pStyle w:val="NoSpacing"/>
              <w:jc w:val="center"/>
              <w:rPr>
                <w:rFonts w:ascii="Times New Roman" w:hAnsi="Times New Roman" w:cs="Times New Roman"/>
                <w:b/>
                <w:bCs/>
                <w:sz w:val="21"/>
              </w:rPr>
            </w:pPr>
            <w:r w:rsidRPr="00A351F7">
              <w:rPr>
                <w:rFonts w:ascii="Times New Roman" w:hAnsi="Times New Roman" w:cs="Times New Roman"/>
                <w:b/>
                <w:bCs/>
                <w:sz w:val="21"/>
              </w:rPr>
              <w:t>(10)</w:t>
            </w:r>
          </w:p>
        </w:tc>
        <w:tc>
          <w:tcPr>
            <w:tcW w:w="0" w:type="auto"/>
            <w:vAlign w:val="center"/>
            <w:hideMark/>
          </w:tcPr>
          <w:p w14:paraId="4ED9B765" w14:textId="77777777" w:rsidR="008D45A9" w:rsidRPr="00A351F7" w:rsidRDefault="008D45A9" w:rsidP="00A351F7">
            <w:pPr>
              <w:pStyle w:val="NoSpacing"/>
              <w:jc w:val="center"/>
              <w:rPr>
                <w:rFonts w:ascii="Times New Roman" w:hAnsi="Times New Roman" w:cs="Times New Roman"/>
                <w:b/>
                <w:bCs/>
                <w:sz w:val="21"/>
              </w:rPr>
            </w:pPr>
            <w:r w:rsidRPr="00A351F7">
              <w:rPr>
                <w:rFonts w:ascii="Times New Roman" w:hAnsi="Times New Roman" w:cs="Times New Roman"/>
                <w:b/>
                <w:bCs/>
                <w:sz w:val="21"/>
              </w:rPr>
              <w:t>(11)</w:t>
            </w:r>
          </w:p>
        </w:tc>
        <w:tc>
          <w:tcPr>
            <w:tcW w:w="0" w:type="auto"/>
            <w:vAlign w:val="center"/>
            <w:hideMark/>
          </w:tcPr>
          <w:p w14:paraId="115D841F" w14:textId="77777777" w:rsidR="008D45A9" w:rsidRPr="00A351F7" w:rsidRDefault="008D45A9" w:rsidP="00A351F7">
            <w:pPr>
              <w:pStyle w:val="NoSpacing"/>
              <w:jc w:val="center"/>
              <w:rPr>
                <w:rFonts w:ascii="Times New Roman" w:hAnsi="Times New Roman" w:cs="Times New Roman"/>
                <w:b/>
                <w:bCs/>
                <w:sz w:val="21"/>
              </w:rPr>
            </w:pPr>
            <w:r w:rsidRPr="00A351F7">
              <w:rPr>
                <w:rFonts w:ascii="Times New Roman" w:hAnsi="Times New Roman" w:cs="Times New Roman"/>
                <w:b/>
                <w:bCs/>
                <w:sz w:val="21"/>
              </w:rPr>
              <w:t>(12)</w:t>
            </w:r>
          </w:p>
        </w:tc>
        <w:tc>
          <w:tcPr>
            <w:tcW w:w="0" w:type="auto"/>
            <w:vAlign w:val="center"/>
            <w:hideMark/>
          </w:tcPr>
          <w:p w14:paraId="4BA2585A" w14:textId="77777777" w:rsidR="008D45A9" w:rsidRPr="00A351F7" w:rsidRDefault="008D45A9" w:rsidP="00A351F7">
            <w:pPr>
              <w:pStyle w:val="NoSpacing"/>
              <w:jc w:val="center"/>
              <w:rPr>
                <w:rFonts w:ascii="Times New Roman" w:hAnsi="Times New Roman" w:cs="Times New Roman"/>
                <w:b/>
                <w:bCs/>
                <w:sz w:val="21"/>
              </w:rPr>
            </w:pPr>
            <w:r w:rsidRPr="00A351F7">
              <w:rPr>
                <w:rFonts w:ascii="Times New Roman" w:hAnsi="Times New Roman" w:cs="Times New Roman"/>
                <w:b/>
                <w:bCs/>
                <w:sz w:val="21"/>
              </w:rPr>
              <w:t>(13)</w:t>
            </w:r>
          </w:p>
        </w:tc>
        <w:tc>
          <w:tcPr>
            <w:tcW w:w="0" w:type="auto"/>
            <w:vAlign w:val="center"/>
            <w:hideMark/>
          </w:tcPr>
          <w:p w14:paraId="2E244C4A" w14:textId="77777777" w:rsidR="008D45A9" w:rsidRPr="00A351F7" w:rsidRDefault="008D45A9" w:rsidP="00A351F7">
            <w:pPr>
              <w:pStyle w:val="NoSpacing"/>
              <w:jc w:val="center"/>
              <w:rPr>
                <w:rFonts w:ascii="Times New Roman" w:hAnsi="Times New Roman" w:cs="Times New Roman"/>
                <w:b/>
                <w:bCs/>
                <w:sz w:val="21"/>
              </w:rPr>
            </w:pPr>
            <w:r w:rsidRPr="00A351F7">
              <w:rPr>
                <w:rFonts w:ascii="Times New Roman" w:hAnsi="Times New Roman" w:cs="Times New Roman"/>
                <w:b/>
                <w:bCs/>
                <w:sz w:val="21"/>
              </w:rPr>
              <w:t>(14)</w:t>
            </w:r>
          </w:p>
        </w:tc>
        <w:tc>
          <w:tcPr>
            <w:tcW w:w="0" w:type="auto"/>
            <w:vAlign w:val="center"/>
            <w:hideMark/>
          </w:tcPr>
          <w:p w14:paraId="418F7352" w14:textId="77777777" w:rsidR="008D45A9" w:rsidRPr="00A351F7" w:rsidRDefault="008D45A9" w:rsidP="00A351F7">
            <w:pPr>
              <w:pStyle w:val="NoSpacing"/>
              <w:jc w:val="center"/>
              <w:rPr>
                <w:rFonts w:ascii="Times New Roman" w:hAnsi="Times New Roman" w:cs="Times New Roman"/>
                <w:b/>
                <w:bCs/>
                <w:sz w:val="21"/>
              </w:rPr>
            </w:pPr>
            <w:r w:rsidRPr="00A351F7">
              <w:rPr>
                <w:rFonts w:ascii="Times New Roman" w:hAnsi="Times New Roman" w:cs="Times New Roman"/>
                <w:b/>
                <w:bCs/>
                <w:sz w:val="21"/>
              </w:rPr>
              <w:t>(15)</w:t>
            </w:r>
          </w:p>
        </w:tc>
        <w:tc>
          <w:tcPr>
            <w:tcW w:w="0" w:type="auto"/>
            <w:vAlign w:val="center"/>
            <w:hideMark/>
          </w:tcPr>
          <w:p w14:paraId="3747F2B9" w14:textId="77777777" w:rsidR="008D45A9" w:rsidRPr="00A351F7" w:rsidRDefault="008D45A9" w:rsidP="00A351F7">
            <w:pPr>
              <w:pStyle w:val="NoSpacing"/>
              <w:jc w:val="center"/>
              <w:rPr>
                <w:rFonts w:ascii="Times New Roman" w:hAnsi="Times New Roman" w:cs="Times New Roman"/>
                <w:b/>
                <w:bCs/>
                <w:sz w:val="21"/>
              </w:rPr>
            </w:pPr>
            <w:r w:rsidRPr="00A351F7">
              <w:rPr>
                <w:rFonts w:ascii="Times New Roman" w:hAnsi="Times New Roman" w:cs="Times New Roman"/>
                <w:b/>
                <w:bCs/>
                <w:sz w:val="21"/>
              </w:rPr>
              <w:t>(16)</w:t>
            </w:r>
          </w:p>
        </w:tc>
      </w:tr>
      <w:tr w:rsidR="008D45A9" w:rsidRPr="00A351F7" w14:paraId="187180CE" w14:textId="77777777" w:rsidTr="00A351F7">
        <w:trPr>
          <w:trHeight w:val="491"/>
        </w:trPr>
        <w:tc>
          <w:tcPr>
            <w:tcW w:w="0" w:type="auto"/>
            <w:hideMark/>
          </w:tcPr>
          <w:p w14:paraId="0E584E7B" w14:textId="77777777" w:rsidR="008D45A9" w:rsidRPr="00A351F7" w:rsidRDefault="008D45A9" w:rsidP="00B77C0B">
            <w:pPr>
              <w:pStyle w:val="NoSpacing"/>
              <w:rPr>
                <w:rFonts w:ascii="Times New Roman" w:hAnsi="Times New Roman" w:cs="Times New Roman"/>
                <w:sz w:val="21"/>
              </w:rPr>
            </w:pPr>
            <w:r w:rsidRPr="00A351F7">
              <w:rPr>
                <w:rFonts w:ascii="Times New Roman" w:hAnsi="Times New Roman" w:cs="Times New Roman"/>
                <w:sz w:val="21"/>
              </w:rPr>
              <w:t>Andhra Pradesh</w:t>
            </w:r>
          </w:p>
        </w:tc>
        <w:tc>
          <w:tcPr>
            <w:tcW w:w="0" w:type="auto"/>
            <w:vAlign w:val="center"/>
            <w:hideMark/>
          </w:tcPr>
          <w:p w14:paraId="6CC76EA4" w14:textId="77777777" w:rsidR="008D45A9" w:rsidRPr="00A351F7" w:rsidRDefault="008D45A9" w:rsidP="00A351F7">
            <w:pPr>
              <w:pStyle w:val="NoSpacing"/>
              <w:jc w:val="center"/>
              <w:rPr>
                <w:rFonts w:ascii="Times New Roman" w:hAnsi="Times New Roman" w:cs="Times New Roman"/>
                <w:sz w:val="21"/>
              </w:rPr>
            </w:pPr>
            <w:r w:rsidRPr="00A351F7">
              <w:rPr>
                <w:rFonts w:ascii="Times New Roman" w:hAnsi="Times New Roman" w:cs="Times New Roman"/>
                <w:sz w:val="21"/>
              </w:rPr>
              <w:t>18.60</w:t>
            </w:r>
          </w:p>
        </w:tc>
        <w:tc>
          <w:tcPr>
            <w:tcW w:w="0" w:type="auto"/>
            <w:vAlign w:val="center"/>
            <w:hideMark/>
          </w:tcPr>
          <w:p w14:paraId="39EC7EFE" w14:textId="77777777" w:rsidR="008D45A9" w:rsidRPr="00A351F7" w:rsidRDefault="008D45A9" w:rsidP="00A351F7">
            <w:pPr>
              <w:pStyle w:val="NoSpacing"/>
              <w:jc w:val="center"/>
              <w:rPr>
                <w:rFonts w:ascii="Times New Roman" w:hAnsi="Times New Roman" w:cs="Times New Roman"/>
                <w:sz w:val="21"/>
              </w:rPr>
            </w:pPr>
            <w:r w:rsidRPr="00A351F7">
              <w:rPr>
                <w:rFonts w:ascii="Times New Roman" w:hAnsi="Times New Roman" w:cs="Times New Roman"/>
                <w:sz w:val="21"/>
              </w:rPr>
              <w:t>9.50</w:t>
            </w:r>
          </w:p>
        </w:tc>
        <w:tc>
          <w:tcPr>
            <w:tcW w:w="0" w:type="auto"/>
            <w:vAlign w:val="center"/>
            <w:hideMark/>
          </w:tcPr>
          <w:p w14:paraId="40D0A207" w14:textId="77777777" w:rsidR="008D45A9" w:rsidRPr="00A351F7" w:rsidRDefault="008D45A9" w:rsidP="00A351F7">
            <w:pPr>
              <w:pStyle w:val="NoSpacing"/>
              <w:jc w:val="center"/>
              <w:rPr>
                <w:rFonts w:ascii="Times New Roman" w:hAnsi="Times New Roman" w:cs="Times New Roman"/>
                <w:sz w:val="21"/>
              </w:rPr>
            </w:pPr>
            <w:r w:rsidRPr="00A351F7">
              <w:rPr>
                <w:rFonts w:ascii="Times New Roman" w:hAnsi="Times New Roman" w:cs="Times New Roman"/>
                <w:sz w:val="21"/>
              </w:rPr>
              <w:t>28.10</w:t>
            </w:r>
          </w:p>
        </w:tc>
        <w:tc>
          <w:tcPr>
            <w:tcW w:w="0" w:type="auto"/>
            <w:vAlign w:val="center"/>
            <w:hideMark/>
          </w:tcPr>
          <w:p w14:paraId="1EE4B286" w14:textId="77777777" w:rsidR="008D45A9" w:rsidRPr="00A351F7" w:rsidRDefault="008D45A9" w:rsidP="00A351F7">
            <w:pPr>
              <w:pStyle w:val="NoSpacing"/>
              <w:jc w:val="center"/>
              <w:rPr>
                <w:rFonts w:ascii="Times New Roman" w:hAnsi="Times New Roman" w:cs="Times New Roman"/>
                <w:sz w:val="21"/>
              </w:rPr>
            </w:pPr>
            <w:r w:rsidRPr="00A351F7">
              <w:rPr>
                <w:rFonts w:ascii="Times New Roman" w:hAnsi="Times New Roman" w:cs="Times New Roman"/>
                <w:sz w:val="21"/>
              </w:rPr>
              <w:t>21.46</w:t>
            </w:r>
          </w:p>
        </w:tc>
        <w:tc>
          <w:tcPr>
            <w:tcW w:w="0" w:type="auto"/>
            <w:vAlign w:val="center"/>
            <w:hideMark/>
          </w:tcPr>
          <w:p w14:paraId="46A17933" w14:textId="77777777" w:rsidR="008D45A9" w:rsidRPr="00A351F7" w:rsidRDefault="008D45A9" w:rsidP="00A351F7">
            <w:pPr>
              <w:pStyle w:val="NoSpacing"/>
              <w:jc w:val="center"/>
              <w:rPr>
                <w:rFonts w:ascii="Times New Roman" w:hAnsi="Times New Roman" w:cs="Times New Roman"/>
                <w:sz w:val="21"/>
              </w:rPr>
            </w:pPr>
            <w:r w:rsidRPr="00A351F7">
              <w:rPr>
                <w:rFonts w:ascii="Times New Roman" w:hAnsi="Times New Roman" w:cs="Times New Roman"/>
                <w:sz w:val="21"/>
              </w:rPr>
              <w:t>9.50</w:t>
            </w:r>
          </w:p>
        </w:tc>
        <w:tc>
          <w:tcPr>
            <w:tcW w:w="0" w:type="auto"/>
            <w:vAlign w:val="center"/>
            <w:hideMark/>
          </w:tcPr>
          <w:p w14:paraId="3BB36E0C" w14:textId="77777777" w:rsidR="008D45A9" w:rsidRPr="00A351F7" w:rsidRDefault="008D45A9" w:rsidP="00A351F7">
            <w:pPr>
              <w:pStyle w:val="NoSpacing"/>
              <w:jc w:val="center"/>
              <w:rPr>
                <w:rFonts w:ascii="Times New Roman" w:hAnsi="Times New Roman" w:cs="Times New Roman"/>
                <w:sz w:val="21"/>
              </w:rPr>
            </w:pPr>
            <w:r w:rsidRPr="00A351F7">
              <w:rPr>
                <w:rFonts w:ascii="Times New Roman" w:hAnsi="Times New Roman" w:cs="Times New Roman"/>
                <w:sz w:val="21"/>
              </w:rPr>
              <w:t>30.96</w:t>
            </w:r>
          </w:p>
        </w:tc>
        <w:tc>
          <w:tcPr>
            <w:tcW w:w="0" w:type="auto"/>
            <w:vAlign w:val="center"/>
            <w:hideMark/>
          </w:tcPr>
          <w:p w14:paraId="6D919800" w14:textId="77777777" w:rsidR="008D45A9" w:rsidRPr="00A351F7" w:rsidRDefault="008D45A9" w:rsidP="00A351F7">
            <w:pPr>
              <w:pStyle w:val="NoSpacing"/>
              <w:jc w:val="center"/>
              <w:rPr>
                <w:rFonts w:ascii="Times New Roman" w:hAnsi="Times New Roman" w:cs="Times New Roman"/>
                <w:sz w:val="21"/>
              </w:rPr>
            </w:pPr>
            <w:r w:rsidRPr="00A351F7">
              <w:rPr>
                <w:rFonts w:ascii="Times New Roman" w:hAnsi="Times New Roman" w:cs="Times New Roman"/>
                <w:sz w:val="21"/>
              </w:rPr>
              <w:t>21.30</w:t>
            </w:r>
          </w:p>
        </w:tc>
        <w:tc>
          <w:tcPr>
            <w:tcW w:w="0" w:type="auto"/>
            <w:vAlign w:val="center"/>
            <w:hideMark/>
          </w:tcPr>
          <w:p w14:paraId="05812972" w14:textId="77777777" w:rsidR="008D45A9" w:rsidRPr="00A351F7" w:rsidRDefault="008D45A9" w:rsidP="00A351F7">
            <w:pPr>
              <w:pStyle w:val="NoSpacing"/>
              <w:jc w:val="center"/>
              <w:rPr>
                <w:rFonts w:ascii="Times New Roman" w:hAnsi="Times New Roman" w:cs="Times New Roman"/>
                <w:sz w:val="21"/>
              </w:rPr>
            </w:pPr>
            <w:r w:rsidRPr="00A351F7">
              <w:rPr>
                <w:rFonts w:ascii="Times New Roman" w:hAnsi="Times New Roman" w:cs="Times New Roman"/>
                <w:sz w:val="21"/>
              </w:rPr>
              <w:t>9.50</w:t>
            </w:r>
          </w:p>
        </w:tc>
        <w:tc>
          <w:tcPr>
            <w:tcW w:w="0" w:type="auto"/>
            <w:vAlign w:val="center"/>
            <w:hideMark/>
          </w:tcPr>
          <w:p w14:paraId="471FAE30" w14:textId="77777777" w:rsidR="008D45A9" w:rsidRPr="00A351F7" w:rsidRDefault="008D45A9" w:rsidP="00A351F7">
            <w:pPr>
              <w:pStyle w:val="NoSpacing"/>
              <w:jc w:val="center"/>
              <w:rPr>
                <w:rFonts w:ascii="Times New Roman" w:hAnsi="Times New Roman" w:cs="Times New Roman"/>
                <w:sz w:val="21"/>
              </w:rPr>
            </w:pPr>
            <w:r w:rsidRPr="00A351F7">
              <w:rPr>
                <w:rFonts w:ascii="Times New Roman" w:hAnsi="Times New Roman" w:cs="Times New Roman"/>
                <w:sz w:val="21"/>
              </w:rPr>
              <w:t>30.80</w:t>
            </w:r>
          </w:p>
        </w:tc>
        <w:tc>
          <w:tcPr>
            <w:tcW w:w="0" w:type="auto"/>
            <w:vAlign w:val="center"/>
            <w:hideMark/>
          </w:tcPr>
          <w:p w14:paraId="256A54FC" w14:textId="77777777" w:rsidR="008D45A9" w:rsidRPr="00A351F7" w:rsidRDefault="008D45A9" w:rsidP="00A351F7">
            <w:pPr>
              <w:pStyle w:val="NoSpacing"/>
              <w:jc w:val="center"/>
              <w:rPr>
                <w:rFonts w:ascii="Times New Roman" w:hAnsi="Times New Roman" w:cs="Times New Roman"/>
                <w:sz w:val="21"/>
              </w:rPr>
            </w:pPr>
            <w:r w:rsidRPr="00A351F7">
              <w:rPr>
                <w:rFonts w:ascii="Times New Roman" w:hAnsi="Times New Roman" w:cs="Times New Roman"/>
                <w:sz w:val="21"/>
              </w:rPr>
              <w:t>22.76</w:t>
            </w:r>
          </w:p>
        </w:tc>
        <w:tc>
          <w:tcPr>
            <w:tcW w:w="0" w:type="auto"/>
            <w:vAlign w:val="center"/>
            <w:hideMark/>
          </w:tcPr>
          <w:p w14:paraId="7B4B1073" w14:textId="77777777" w:rsidR="008D45A9" w:rsidRPr="00A351F7" w:rsidRDefault="008D45A9" w:rsidP="00A351F7">
            <w:pPr>
              <w:pStyle w:val="NoSpacing"/>
              <w:jc w:val="center"/>
              <w:rPr>
                <w:rFonts w:ascii="Times New Roman" w:hAnsi="Times New Roman" w:cs="Times New Roman"/>
                <w:sz w:val="21"/>
              </w:rPr>
            </w:pPr>
            <w:r w:rsidRPr="00A351F7">
              <w:rPr>
                <w:rFonts w:ascii="Times New Roman" w:hAnsi="Times New Roman" w:cs="Times New Roman"/>
                <w:sz w:val="21"/>
              </w:rPr>
              <w:t>9.50</w:t>
            </w:r>
          </w:p>
        </w:tc>
        <w:tc>
          <w:tcPr>
            <w:tcW w:w="0" w:type="auto"/>
            <w:vAlign w:val="center"/>
            <w:hideMark/>
          </w:tcPr>
          <w:p w14:paraId="09C301DE" w14:textId="77777777" w:rsidR="008D45A9" w:rsidRPr="00A351F7" w:rsidRDefault="008D45A9" w:rsidP="00A351F7">
            <w:pPr>
              <w:pStyle w:val="NoSpacing"/>
              <w:jc w:val="center"/>
              <w:rPr>
                <w:rFonts w:ascii="Times New Roman" w:hAnsi="Times New Roman" w:cs="Times New Roman"/>
                <w:sz w:val="21"/>
              </w:rPr>
            </w:pPr>
            <w:r w:rsidRPr="00A351F7">
              <w:rPr>
                <w:rFonts w:ascii="Times New Roman" w:hAnsi="Times New Roman" w:cs="Times New Roman"/>
                <w:sz w:val="21"/>
              </w:rPr>
              <w:t>32.26</w:t>
            </w:r>
          </w:p>
        </w:tc>
        <w:tc>
          <w:tcPr>
            <w:tcW w:w="0" w:type="auto"/>
            <w:vAlign w:val="center"/>
            <w:hideMark/>
          </w:tcPr>
          <w:p w14:paraId="192B5F51" w14:textId="77777777" w:rsidR="008D45A9" w:rsidRPr="00A351F7" w:rsidRDefault="008D45A9" w:rsidP="00A351F7">
            <w:pPr>
              <w:pStyle w:val="NoSpacing"/>
              <w:jc w:val="center"/>
              <w:rPr>
                <w:rFonts w:ascii="Times New Roman" w:hAnsi="Times New Roman" w:cs="Times New Roman"/>
                <w:sz w:val="21"/>
              </w:rPr>
            </w:pPr>
            <w:r w:rsidRPr="00A351F7">
              <w:rPr>
                <w:rFonts w:ascii="Times New Roman" w:hAnsi="Times New Roman" w:cs="Times New Roman"/>
                <w:sz w:val="21"/>
              </w:rPr>
              <w:t>84.12</w:t>
            </w:r>
          </w:p>
        </w:tc>
        <w:tc>
          <w:tcPr>
            <w:tcW w:w="0" w:type="auto"/>
            <w:vAlign w:val="center"/>
            <w:hideMark/>
          </w:tcPr>
          <w:p w14:paraId="2FF46CB6" w14:textId="77777777" w:rsidR="008D45A9" w:rsidRPr="00A351F7" w:rsidRDefault="008D45A9" w:rsidP="00A351F7">
            <w:pPr>
              <w:pStyle w:val="NoSpacing"/>
              <w:jc w:val="center"/>
              <w:rPr>
                <w:rFonts w:ascii="Times New Roman" w:hAnsi="Times New Roman" w:cs="Times New Roman"/>
                <w:sz w:val="21"/>
              </w:rPr>
            </w:pPr>
            <w:r w:rsidRPr="00A351F7">
              <w:rPr>
                <w:rFonts w:ascii="Times New Roman" w:hAnsi="Times New Roman" w:cs="Times New Roman"/>
                <w:sz w:val="21"/>
              </w:rPr>
              <w:t>38.00</w:t>
            </w:r>
          </w:p>
        </w:tc>
        <w:tc>
          <w:tcPr>
            <w:tcW w:w="0" w:type="auto"/>
            <w:vAlign w:val="center"/>
            <w:hideMark/>
          </w:tcPr>
          <w:p w14:paraId="4EFB4421" w14:textId="77777777" w:rsidR="008D45A9" w:rsidRPr="00A351F7" w:rsidRDefault="008D45A9" w:rsidP="00A351F7">
            <w:pPr>
              <w:pStyle w:val="NoSpacing"/>
              <w:jc w:val="center"/>
              <w:rPr>
                <w:rFonts w:ascii="Times New Roman" w:hAnsi="Times New Roman" w:cs="Times New Roman"/>
                <w:sz w:val="21"/>
              </w:rPr>
            </w:pPr>
            <w:r w:rsidRPr="00A351F7">
              <w:rPr>
                <w:rFonts w:ascii="Times New Roman" w:hAnsi="Times New Roman" w:cs="Times New Roman"/>
                <w:sz w:val="21"/>
              </w:rPr>
              <w:t>122.12</w:t>
            </w:r>
          </w:p>
        </w:tc>
      </w:tr>
      <w:tr w:rsidR="008D45A9" w:rsidRPr="00A351F7" w14:paraId="029730CD" w14:textId="77777777" w:rsidTr="00A351F7">
        <w:trPr>
          <w:trHeight w:val="245"/>
        </w:trPr>
        <w:tc>
          <w:tcPr>
            <w:tcW w:w="0" w:type="auto"/>
            <w:hideMark/>
          </w:tcPr>
          <w:p w14:paraId="55671801" w14:textId="77777777" w:rsidR="008D45A9" w:rsidRPr="00A351F7" w:rsidRDefault="008D45A9" w:rsidP="00B77C0B">
            <w:pPr>
              <w:pStyle w:val="NoSpacing"/>
              <w:rPr>
                <w:rFonts w:ascii="Times New Roman" w:hAnsi="Times New Roman" w:cs="Times New Roman"/>
                <w:sz w:val="21"/>
              </w:rPr>
            </w:pPr>
            <w:r w:rsidRPr="00A351F7">
              <w:rPr>
                <w:rFonts w:ascii="Times New Roman" w:hAnsi="Times New Roman" w:cs="Times New Roman"/>
                <w:sz w:val="21"/>
              </w:rPr>
              <w:t>Assam</w:t>
            </w:r>
          </w:p>
        </w:tc>
        <w:tc>
          <w:tcPr>
            <w:tcW w:w="0" w:type="auto"/>
            <w:vAlign w:val="center"/>
            <w:hideMark/>
          </w:tcPr>
          <w:p w14:paraId="6F10CEE7" w14:textId="77777777" w:rsidR="008D45A9" w:rsidRPr="00A351F7" w:rsidRDefault="008D45A9" w:rsidP="00A351F7">
            <w:pPr>
              <w:pStyle w:val="NoSpacing"/>
              <w:jc w:val="center"/>
              <w:rPr>
                <w:rFonts w:ascii="Times New Roman" w:hAnsi="Times New Roman" w:cs="Times New Roman"/>
                <w:sz w:val="21"/>
              </w:rPr>
            </w:pPr>
            <w:r w:rsidRPr="00A351F7">
              <w:rPr>
                <w:rFonts w:ascii="Times New Roman" w:hAnsi="Times New Roman" w:cs="Times New Roman"/>
                <w:sz w:val="21"/>
              </w:rPr>
              <w:t>7.63</w:t>
            </w:r>
          </w:p>
        </w:tc>
        <w:tc>
          <w:tcPr>
            <w:tcW w:w="0" w:type="auto"/>
            <w:vAlign w:val="center"/>
            <w:hideMark/>
          </w:tcPr>
          <w:p w14:paraId="72DE6D60" w14:textId="77777777" w:rsidR="008D45A9" w:rsidRPr="00A351F7" w:rsidRDefault="008D45A9" w:rsidP="00A351F7">
            <w:pPr>
              <w:pStyle w:val="NoSpacing"/>
              <w:jc w:val="center"/>
              <w:rPr>
                <w:rFonts w:ascii="Times New Roman" w:hAnsi="Times New Roman" w:cs="Times New Roman"/>
                <w:sz w:val="21"/>
              </w:rPr>
            </w:pPr>
            <w:r w:rsidRPr="00A351F7">
              <w:rPr>
                <w:rFonts w:ascii="Times New Roman" w:hAnsi="Times New Roman" w:cs="Times New Roman"/>
                <w:sz w:val="21"/>
              </w:rPr>
              <w:t>6.00</w:t>
            </w:r>
          </w:p>
        </w:tc>
        <w:tc>
          <w:tcPr>
            <w:tcW w:w="0" w:type="auto"/>
            <w:vAlign w:val="center"/>
            <w:hideMark/>
          </w:tcPr>
          <w:p w14:paraId="5A16E6A6" w14:textId="77777777" w:rsidR="008D45A9" w:rsidRPr="00A351F7" w:rsidRDefault="008D45A9" w:rsidP="00A351F7">
            <w:pPr>
              <w:pStyle w:val="NoSpacing"/>
              <w:jc w:val="center"/>
              <w:rPr>
                <w:rFonts w:ascii="Times New Roman" w:hAnsi="Times New Roman" w:cs="Times New Roman"/>
                <w:sz w:val="21"/>
              </w:rPr>
            </w:pPr>
            <w:r w:rsidRPr="00A351F7">
              <w:rPr>
                <w:rFonts w:ascii="Times New Roman" w:hAnsi="Times New Roman" w:cs="Times New Roman"/>
                <w:sz w:val="21"/>
              </w:rPr>
              <w:t>13.63</w:t>
            </w:r>
          </w:p>
        </w:tc>
        <w:tc>
          <w:tcPr>
            <w:tcW w:w="0" w:type="auto"/>
            <w:vAlign w:val="center"/>
            <w:hideMark/>
          </w:tcPr>
          <w:p w14:paraId="3B9B4200" w14:textId="77777777" w:rsidR="008D45A9" w:rsidRPr="00A351F7" w:rsidRDefault="008D45A9" w:rsidP="00A351F7">
            <w:pPr>
              <w:pStyle w:val="NoSpacing"/>
              <w:jc w:val="center"/>
              <w:rPr>
                <w:rFonts w:ascii="Times New Roman" w:hAnsi="Times New Roman" w:cs="Times New Roman"/>
                <w:sz w:val="21"/>
              </w:rPr>
            </w:pPr>
            <w:r w:rsidRPr="00A351F7">
              <w:rPr>
                <w:rFonts w:ascii="Times New Roman" w:hAnsi="Times New Roman" w:cs="Times New Roman"/>
                <w:sz w:val="21"/>
              </w:rPr>
              <w:t>8.84</w:t>
            </w:r>
          </w:p>
        </w:tc>
        <w:tc>
          <w:tcPr>
            <w:tcW w:w="0" w:type="auto"/>
            <w:vAlign w:val="center"/>
            <w:hideMark/>
          </w:tcPr>
          <w:p w14:paraId="4E3FCFB8" w14:textId="77777777" w:rsidR="008D45A9" w:rsidRPr="00A351F7" w:rsidRDefault="008D45A9" w:rsidP="00A351F7">
            <w:pPr>
              <w:pStyle w:val="NoSpacing"/>
              <w:jc w:val="center"/>
              <w:rPr>
                <w:rFonts w:ascii="Times New Roman" w:hAnsi="Times New Roman" w:cs="Times New Roman"/>
                <w:sz w:val="21"/>
              </w:rPr>
            </w:pPr>
            <w:r w:rsidRPr="00A351F7">
              <w:rPr>
                <w:rFonts w:ascii="Times New Roman" w:hAnsi="Times New Roman" w:cs="Times New Roman"/>
                <w:sz w:val="21"/>
              </w:rPr>
              <w:t>6.00</w:t>
            </w:r>
          </w:p>
        </w:tc>
        <w:tc>
          <w:tcPr>
            <w:tcW w:w="0" w:type="auto"/>
            <w:vAlign w:val="center"/>
            <w:hideMark/>
          </w:tcPr>
          <w:p w14:paraId="011097E5" w14:textId="77777777" w:rsidR="008D45A9" w:rsidRPr="00A351F7" w:rsidRDefault="008D45A9" w:rsidP="00A351F7">
            <w:pPr>
              <w:pStyle w:val="NoSpacing"/>
              <w:jc w:val="center"/>
              <w:rPr>
                <w:rFonts w:ascii="Times New Roman" w:hAnsi="Times New Roman" w:cs="Times New Roman"/>
                <w:sz w:val="21"/>
              </w:rPr>
            </w:pPr>
            <w:r w:rsidRPr="00A351F7">
              <w:rPr>
                <w:rFonts w:ascii="Times New Roman" w:hAnsi="Times New Roman" w:cs="Times New Roman"/>
                <w:sz w:val="21"/>
              </w:rPr>
              <w:t>14.84</w:t>
            </w:r>
          </w:p>
        </w:tc>
        <w:tc>
          <w:tcPr>
            <w:tcW w:w="0" w:type="auto"/>
            <w:vAlign w:val="center"/>
            <w:hideMark/>
          </w:tcPr>
          <w:p w14:paraId="749FDBB1" w14:textId="77777777" w:rsidR="008D45A9" w:rsidRPr="00A351F7" w:rsidRDefault="008D45A9" w:rsidP="00A351F7">
            <w:pPr>
              <w:pStyle w:val="NoSpacing"/>
              <w:jc w:val="center"/>
              <w:rPr>
                <w:rFonts w:ascii="Times New Roman" w:hAnsi="Times New Roman" w:cs="Times New Roman"/>
                <w:sz w:val="21"/>
              </w:rPr>
            </w:pPr>
            <w:r w:rsidRPr="00A351F7">
              <w:rPr>
                <w:rFonts w:ascii="Times New Roman" w:hAnsi="Times New Roman" w:cs="Times New Roman"/>
                <w:sz w:val="21"/>
              </w:rPr>
              <w:t>8.66</w:t>
            </w:r>
          </w:p>
        </w:tc>
        <w:tc>
          <w:tcPr>
            <w:tcW w:w="0" w:type="auto"/>
            <w:vAlign w:val="center"/>
            <w:hideMark/>
          </w:tcPr>
          <w:p w14:paraId="33BC1BA6" w14:textId="77777777" w:rsidR="008D45A9" w:rsidRPr="00A351F7" w:rsidRDefault="008D45A9" w:rsidP="00A351F7">
            <w:pPr>
              <w:pStyle w:val="NoSpacing"/>
              <w:jc w:val="center"/>
              <w:rPr>
                <w:rFonts w:ascii="Times New Roman" w:hAnsi="Times New Roman" w:cs="Times New Roman"/>
                <w:sz w:val="21"/>
              </w:rPr>
            </w:pPr>
            <w:r w:rsidRPr="00A351F7">
              <w:rPr>
                <w:rFonts w:ascii="Times New Roman" w:hAnsi="Times New Roman" w:cs="Times New Roman"/>
                <w:sz w:val="21"/>
              </w:rPr>
              <w:t>6.00</w:t>
            </w:r>
          </w:p>
        </w:tc>
        <w:tc>
          <w:tcPr>
            <w:tcW w:w="0" w:type="auto"/>
            <w:vAlign w:val="center"/>
            <w:hideMark/>
          </w:tcPr>
          <w:p w14:paraId="527D888B" w14:textId="77777777" w:rsidR="008D45A9" w:rsidRPr="00A351F7" w:rsidRDefault="008D45A9" w:rsidP="00A351F7">
            <w:pPr>
              <w:pStyle w:val="NoSpacing"/>
              <w:jc w:val="center"/>
              <w:rPr>
                <w:rFonts w:ascii="Times New Roman" w:hAnsi="Times New Roman" w:cs="Times New Roman"/>
                <w:sz w:val="21"/>
              </w:rPr>
            </w:pPr>
            <w:r w:rsidRPr="00A351F7">
              <w:rPr>
                <w:rFonts w:ascii="Times New Roman" w:hAnsi="Times New Roman" w:cs="Times New Roman"/>
                <w:sz w:val="21"/>
              </w:rPr>
              <w:t>14.66</w:t>
            </w:r>
          </w:p>
        </w:tc>
        <w:tc>
          <w:tcPr>
            <w:tcW w:w="0" w:type="auto"/>
            <w:vAlign w:val="center"/>
            <w:hideMark/>
          </w:tcPr>
          <w:p w14:paraId="34EC2326" w14:textId="77777777" w:rsidR="008D45A9" w:rsidRPr="00A351F7" w:rsidRDefault="008D45A9" w:rsidP="00A351F7">
            <w:pPr>
              <w:pStyle w:val="NoSpacing"/>
              <w:jc w:val="center"/>
              <w:rPr>
                <w:rFonts w:ascii="Times New Roman" w:hAnsi="Times New Roman" w:cs="Times New Roman"/>
                <w:sz w:val="21"/>
              </w:rPr>
            </w:pPr>
            <w:r w:rsidRPr="00A351F7">
              <w:rPr>
                <w:rFonts w:ascii="Times New Roman" w:hAnsi="Times New Roman" w:cs="Times New Roman"/>
                <w:sz w:val="21"/>
              </w:rPr>
              <w:t>9.44</w:t>
            </w:r>
          </w:p>
        </w:tc>
        <w:tc>
          <w:tcPr>
            <w:tcW w:w="0" w:type="auto"/>
            <w:vAlign w:val="center"/>
            <w:hideMark/>
          </w:tcPr>
          <w:p w14:paraId="620D3CCC" w14:textId="77777777" w:rsidR="008D45A9" w:rsidRPr="00A351F7" w:rsidRDefault="008D45A9" w:rsidP="00A351F7">
            <w:pPr>
              <w:pStyle w:val="NoSpacing"/>
              <w:jc w:val="center"/>
              <w:rPr>
                <w:rFonts w:ascii="Times New Roman" w:hAnsi="Times New Roman" w:cs="Times New Roman"/>
                <w:sz w:val="21"/>
              </w:rPr>
            </w:pPr>
            <w:r w:rsidRPr="00A351F7">
              <w:rPr>
                <w:rFonts w:ascii="Times New Roman" w:hAnsi="Times New Roman" w:cs="Times New Roman"/>
                <w:sz w:val="21"/>
              </w:rPr>
              <w:t>6.00</w:t>
            </w:r>
          </w:p>
        </w:tc>
        <w:tc>
          <w:tcPr>
            <w:tcW w:w="0" w:type="auto"/>
            <w:vAlign w:val="center"/>
            <w:hideMark/>
          </w:tcPr>
          <w:p w14:paraId="30E24FB4" w14:textId="77777777" w:rsidR="008D45A9" w:rsidRPr="00A351F7" w:rsidRDefault="008D45A9" w:rsidP="00A351F7">
            <w:pPr>
              <w:pStyle w:val="NoSpacing"/>
              <w:jc w:val="center"/>
              <w:rPr>
                <w:rFonts w:ascii="Times New Roman" w:hAnsi="Times New Roman" w:cs="Times New Roman"/>
                <w:sz w:val="21"/>
              </w:rPr>
            </w:pPr>
            <w:r w:rsidRPr="00A351F7">
              <w:rPr>
                <w:rFonts w:ascii="Times New Roman" w:hAnsi="Times New Roman" w:cs="Times New Roman"/>
                <w:sz w:val="21"/>
              </w:rPr>
              <w:t>15.44</w:t>
            </w:r>
          </w:p>
        </w:tc>
        <w:tc>
          <w:tcPr>
            <w:tcW w:w="0" w:type="auto"/>
            <w:vAlign w:val="center"/>
            <w:hideMark/>
          </w:tcPr>
          <w:p w14:paraId="75186DF3" w14:textId="77777777" w:rsidR="008D45A9" w:rsidRPr="00A351F7" w:rsidRDefault="008D45A9" w:rsidP="00A351F7">
            <w:pPr>
              <w:pStyle w:val="NoSpacing"/>
              <w:jc w:val="center"/>
              <w:rPr>
                <w:rFonts w:ascii="Times New Roman" w:hAnsi="Times New Roman" w:cs="Times New Roman"/>
                <w:sz w:val="21"/>
              </w:rPr>
            </w:pPr>
            <w:r w:rsidRPr="00A351F7">
              <w:rPr>
                <w:rFonts w:ascii="Times New Roman" w:hAnsi="Times New Roman" w:cs="Times New Roman"/>
                <w:sz w:val="21"/>
              </w:rPr>
              <w:t>34.57</w:t>
            </w:r>
          </w:p>
        </w:tc>
        <w:tc>
          <w:tcPr>
            <w:tcW w:w="0" w:type="auto"/>
            <w:vAlign w:val="center"/>
            <w:hideMark/>
          </w:tcPr>
          <w:p w14:paraId="453F0102" w14:textId="77777777" w:rsidR="008D45A9" w:rsidRPr="00A351F7" w:rsidRDefault="008D45A9" w:rsidP="00A351F7">
            <w:pPr>
              <w:pStyle w:val="NoSpacing"/>
              <w:jc w:val="center"/>
              <w:rPr>
                <w:rFonts w:ascii="Times New Roman" w:hAnsi="Times New Roman" w:cs="Times New Roman"/>
                <w:sz w:val="21"/>
              </w:rPr>
            </w:pPr>
            <w:r w:rsidRPr="00A351F7">
              <w:rPr>
                <w:rFonts w:ascii="Times New Roman" w:hAnsi="Times New Roman" w:cs="Times New Roman"/>
                <w:sz w:val="21"/>
              </w:rPr>
              <w:t>24.00</w:t>
            </w:r>
          </w:p>
        </w:tc>
        <w:tc>
          <w:tcPr>
            <w:tcW w:w="0" w:type="auto"/>
            <w:vAlign w:val="center"/>
            <w:hideMark/>
          </w:tcPr>
          <w:p w14:paraId="1D167BC7" w14:textId="77777777" w:rsidR="008D45A9" w:rsidRPr="00A351F7" w:rsidRDefault="008D45A9" w:rsidP="00A351F7">
            <w:pPr>
              <w:pStyle w:val="NoSpacing"/>
              <w:jc w:val="center"/>
              <w:rPr>
                <w:rFonts w:ascii="Times New Roman" w:hAnsi="Times New Roman" w:cs="Times New Roman"/>
                <w:sz w:val="21"/>
              </w:rPr>
            </w:pPr>
            <w:r w:rsidRPr="00A351F7">
              <w:rPr>
                <w:rFonts w:ascii="Times New Roman" w:hAnsi="Times New Roman" w:cs="Times New Roman"/>
                <w:sz w:val="21"/>
              </w:rPr>
              <w:t>58.57</w:t>
            </w:r>
          </w:p>
        </w:tc>
      </w:tr>
      <w:tr w:rsidR="008D45A9" w:rsidRPr="00A351F7" w14:paraId="7030115E" w14:textId="77777777" w:rsidTr="00A351F7">
        <w:trPr>
          <w:trHeight w:val="245"/>
        </w:trPr>
        <w:tc>
          <w:tcPr>
            <w:tcW w:w="0" w:type="auto"/>
            <w:hideMark/>
          </w:tcPr>
          <w:p w14:paraId="7D37E217" w14:textId="77777777" w:rsidR="008D45A9" w:rsidRPr="00A351F7" w:rsidRDefault="008D45A9" w:rsidP="00B77C0B">
            <w:pPr>
              <w:pStyle w:val="NoSpacing"/>
              <w:rPr>
                <w:rFonts w:ascii="Times New Roman" w:hAnsi="Times New Roman" w:cs="Times New Roman"/>
                <w:sz w:val="21"/>
              </w:rPr>
            </w:pPr>
            <w:r w:rsidRPr="00A351F7">
              <w:rPr>
                <w:rFonts w:ascii="Times New Roman" w:hAnsi="Times New Roman" w:cs="Times New Roman"/>
                <w:sz w:val="21"/>
              </w:rPr>
              <w:t>Bihar</w:t>
            </w:r>
          </w:p>
        </w:tc>
        <w:tc>
          <w:tcPr>
            <w:tcW w:w="0" w:type="auto"/>
            <w:vAlign w:val="center"/>
            <w:hideMark/>
          </w:tcPr>
          <w:p w14:paraId="63E98058" w14:textId="77777777" w:rsidR="008D45A9" w:rsidRPr="00A351F7" w:rsidRDefault="008D45A9" w:rsidP="00A351F7">
            <w:pPr>
              <w:pStyle w:val="NoSpacing"/>
              <w:jc w:val="center"/>
              <w:rPr>
                <w:rFonts w:ascii="Times New Roman" w:hAnsi="Times New Roman" w:cs="Times New Roman"/>
                <w:sz w:val="21"/>
              </w:rPr>
            </w:pPr>
            <w:r w:rsidRPr="00A351F7">
              <w:rPr>
                <w:rFonts w:ascii="Times New Roman" w:hAnsi="Times New Roman" w:cs="Times New Roman"/>
                <w:sz w:val="21"/>
              </w:rPr>
              <w:t>22.11</w:t>
            </w:r>
          </w:p>
        </w:tc>
        <w:tc>
          <w:tcPr>
            <w:tcW w:w="0" w:type="auto"/>
            <w:vAlign w:val="center"/>
            <w:hideMark/>
          </w:tcPr>
          <w:p w14:paraId="0FEDA7C8" w14:textId="77777777" w:rsidR="008D45A9" w:rsidRPr="00A351F7" w:rsidRDefault="008D45A9" w:rsidP="00A351F7">
            <w:pPr>
              <w:pStyle w:val="NoSpacing"/>
              <w:jc w:val="center"/>
              <w:rPr>
                <w:rFonts w:ascii="Times New Roman" w:hAnsi="Times New Roman" w:cs="Times New Roman"/>
                <w:sz w:val="21"/>
              </w:rPr>
            </w:pPr>
            <w:r w:rsidRPr="00A351F7">
              <w:rPr>
                <w:rFonts w:ascii="Times New Roman" w:hAnsi="Times New Roman" w:cs="Times New Roman"/>
                <w:sz w:val="21"/>
              </w:rPr>
              <w:t>0.75</w:t>
            </w:r>
          </w:p>
        </w:tc>
        <w:tc>
          <w:tcPr>
            <w:tcW w:w="0" w:type="auto"/>
            <w:vAlign w:val="center"/>
            <w:hideMark/>
          </w:tcPr>
          <w:p w14:paraId="2B4A6824" w14:textId="77777777" w:rsidR="008D45A9" w:rsidRPr="00A351F7" w:rsidRDefault="008D45A9" w:rsidP="00A351F7">
            <w:pPr>
              <w:pStyle w:val="NoSpacing"/>
              <w:jc w:val="center"/>
              <w:rPr>
                <w:rFonts w:ascii="Times New Roman" w:hAnsi="Times New Roman" w:cs="Times New Roman"/>
                <w:sz w:val="21"/>
              </w:rPr>
            </w:pPr>
            <w:r w:rsidRPr="00A351F7">
              <w:rPr>
                <w:rFonts w:ascii="Times New Roman" w:hAnsi="Times New Roman" w:cs="Times New Roman"/>
                <w:sz w:val="21"/>
              </w:rPr>
              <w:t>22.86</w:t>
            </w:r>
          </w:p>
        </w:tc>
        <w:tc>
          <w:tcPr>
            <w:tcW w:w="0" w:type="auto"/>
            <w:vAlign w:val="center"/>
            <w:hideMark/>
          </w:tcPr>
          <w:p w14:paraId="608A07AA" w14:textId="77777777" w:rsidR="008D45A9" w:rsidRPr="00A351F7" w:rsidRDefault="008D45A9" w:rsidP="00A351F7">
            <w:pPr>
              <w:pStyle w:val="NoSpacing"/>
              <w:jc w:val="center"/>
              <w:rPr>
                <w:rFonts w:ascii="Times New Roman" w:hAnsi="Times New Roman" w:cs="Times New Roman"/>
                <w:sz w:val="21"/>
              </w:rPr>
            </w:pPr>
            <w:r w:rsidRPr="00A351F7">
              <w:rPr>
                <w:rFonts w:ascii="Times New Roman" w:hAnsi="Times New Roman" w:cs="Times New Roman"/>
                <w:sz w:val="21"/>
              </w:rPr>
              <w:t>24.57</w:t>
            </w:r>
          </w:p>
        </w:tc>
        <w:tc>
          <w:tcPr>
            <w:tcW w:w="0" w:type="auto"/>
            <w:vAlign w:val="center"/>
            <w:hideMark/>
          </w:tcPr>
          <w:p w14:paraId="2A54F5C0" w14:textId="77777777" w:rsidR="008D45A9" w:rsidRPr="00A351F7" w:rsidRDefault="008D45A9" w:rsidP="00A351F7">
            <w:pPr>
              <w:pStyle w:val="NoSpacing"/>
              <w:jc w:val="center"/>
              <w:rPr>
                <w:rFonts w:ascii="Times New Roman" w:hAnsi="Times New Roman" w:cs="Times New Roman"/>
                <w:sz w:val="21"/>
              </w:rPr>
            </w:pPr>
            <w:r w:rsidRPr="00A351F7">
              <w:rPr>
                <w:rFonts w:ascii="Times New Roman" w:hAnsi="Times New Roman" w:cs="Times New Roman"/>
                <w:sz w:val="21"/>
              </w:rPr>
              <w:t>0.75</w:t>
            </w:r>
          </w:p>
        </w:tc>
        <w:tc>
          <w:tcPr>
            <w:tcW w:w="0" w:type="auto"/>
            <w:vAlign w:val="center"/>
            <w:hideMark/>
          </w:tcPr>
          <w:p w14:paraId="18649D4B" w14:textId="77777777" w:rsidR="008D45A9" w:rsidRPr="00A351F7" w:rsidRDefault="008D45A9" w:rsidP="00A351F7">
            <w:pPr>
              <w:pStyle w:val="NoSpacing"/>
              <w:jc w:val="center"/>
              <w:rPr>
                <w:rFonts w:ascii="Times New Roman" w:hAnsi="Times New Roman" w:cs="Times New Roman"/>
                <w:sz w:val="21"/>
              </w:rPr>
            </w:pPr>
            <w:r w:rsidRPr="00A351F7">
              <w:rPr>
                <w:rFonts w:ascii="Times New Roman" w:hAnsi="Times New Roman" w:cs="Times New Roman"/>
                <w:sz w:val="21"/>
              </w:rPr>
              <w:t>25.32</w:t>
            </w:r>
          </w:p>
        </w:tc>
        <w:tc>
          <w:tcPr>
            <w:tcW w:w="0" w:type="auto"/>
            <w:vAlign w:val="center"/>
            <w:hideMark/>
          </w:tcPr>
          <w:p w14:paraId="66F31837" w14:textId="77777777" w:rsidR="008D45A9" w:rsidRPr="00A351F7" w:rsidRDefault="008D45A9" w:rsidP="00A351F7">
            <w:pPr>
              <w:pStyle w:val="NoSpacing"/>
              <w:jc w:val="center"/>
              <w:rPr>
                <w:rFonts w:ascii="Times New Roman" w:hAnsi="Times New Roman" w:cs="Times New Roman"/>
                <w:sz w:val="21"/>
              </w:rPr>
            </w:pPr>
            <w:r w:rsidRPr="00A351F7">
              <w:rPr>
                <w:rFonts w:ascii="Times New Roman" w:hAnsi="Times New Roman" w:cs="Times New Roman"/>
                <w:sz w:val="21"/>
              </w:rPr>
              <w:t>25.45</w:t>
            </w:r>
          </w:p>
        </w:tc>
        <w:tc>
          <w:tcPr>
            <w:tcW w:w="0" w:type="auto"/>
            <w:vAlign w:val="center"/>
            <w:hideMark/>
          </w:tcPr>
          <w:p w14:paraId="16F4EB3F" w14:textId="77777777" w:rsidR="008D45A9" w:rsidRPr="00A351F7" w:rsidRDefault="008D45A9" w:rsidP="00A351F7">
            <w:pPr>
              <w:pStyle w:val="NoSpacing"/>
              <w:jc w:val="center"/>
              <w:rPr>
                <w:rFonts w:ascii="Times New Roman" w:hAnsi="Times New Roman" w:cs="Times New Roman"/>
                <w:sz w:val="21"/>
              </w:rPr>
            </w:pPr>
            <w:r w:rsidRPr="00A351F7">
              <w:rPr>
                <w:rFonts w:ascii="Times New Roman" w:hAnsi="Times New Roman" w:cs="Times New Roman"/>
                <w:sz w:val="21"/>
              </w:rPr>
              <w:t>0.75</w:t>
            </w:r>
          </w:p>
        </w:tc>
        <w:tc>
          <w:tcPr>
            <w:tcW w:w="0" w:type="auto"/>
            <w:vAlign w:val="center"/>
            <w:hideMark/>
          </w:tcPr>
          <w:p w14:paraId="4CF18DA1" w14:textId="77777777" w:rsidR="008D45A9" w:rsidRPr="00A351F7" w:rsidRDefault="008D45A9" w:rsidP="00A351F7">
            <w:pPr>
              <w:pStyle w:val="NoSpacing"/>
              <w:jc w:val="center"/>
              <w:rPr>
                <w:rFonts w:ascii="Times New Roman" w:hAnsi="Times New Roman" w:cs="Times New Roman"/>
                <w:sz w:val="21"/>
              </w:rPr>
            </w:pPr>
            <w:r w:rsidRPr="00A351F7">
              <w:rPr>
                <w:rFonts w:ascii="Times New Roman" w:hAnsi="Times New Roman" w:cs="Times New Roman"/>
                <w:sz w:val="21"/>
              </w:rPr>
              <w:t>26.20</w:t>
            </w:r>
          </w:p>
        </w:tc>
        <w:tc>
          <w:tcPr>
            <w:tcW w:w="0" w:type="auto"/>
            <w:vAlign w:val="center"/>
            <w:hideMark/>
          </w:tcPr>
          <w:p w14:paraId="69D326BD" w14:textId="77777777" w:rsidR="008D45A9" w:rsidRPr="00A351F7" w:rsidRDefault="008D45A9" w:rsidP="00A351F7">
            <w:pPr>
              <w:pStyle w:val="NoSpacing"/>
              <w:jc w:val="center"/>
              <w:rPr>
                <w:rFonts w:ascii="Times New Roman" w:hAnsi="Times New Roman" w:cs="Times New Roman"/>
                <w:sz w:val="21"/>
              </w:rPr>
            </w:pPr>
            <w:r w:rsidRPr="00A351F7">
              <w:rPr>
                <w:rFonts w:ascii="Times New Roman" w:hAnsi="Times New Roman" w:cs="Times New Roman"/>
                <w:sz w:val="21"/>
              </w:rPr>
              <w:t>27.50</w:t>
            </w:r>
          </w:p>
        </w:tc>
        <w:tc>
          <w:tcPr>
            <w:tcW w:w="0" w:type="auto"/>
            <w:vAlign w:val="center"/>
            <w:hideMark/>
          </w:tcPr>
          <w:p w14:paraId="648204EA" w14:textId="77777777" w:rsidR="008D45A9" w:rsidRPr="00A351F7" w:rsidRDefault="008D45A9" w:rsidP="00A351F7">
            <w:pPr>
              <w:pStyle w:val="NoSpacing"/>
              <w:jc w:val="center"/>
              <w:rPr>
                <w:rFonts w:ascii="Times New Roman" w:hAnsi="Times New Roman" w:cs="Times New Roman"/>
                <w:sz w:val="21"/>
              </w:rPr>
            </w:pPr>
            <w:r w:rsidRPr="00A351F7">
              <w:rPr>
                <w:rFonts w:ascii="Times New Roman" w:hAnsi="Times New Roman" w:cs="Times New Roman"/>
                <w:sz w:val="21"/>
              </w:rPr>
              <w:t>0.75</w:t>
            </w:r>
          </w:p>
        </w:tc>
        <w:tc>
          <w:tcPr>
            <w:tcW w:w="0" w:type="auto"/>
            <w:vAlign w:val="center"/>
            <w:hideMark/>
          </w:tcPr>
          <w:p w14:paraId="6B036031" w14:textId="77777777" w:rsidR="008D45A9" w:rsidRPr="00A351F7" w:rsidRDefault="008D45A9" w:rsidP="00A351F7">
            <w:pPr>
              <w:pStyle w:val="NoSpacing"/>
              <w:jc w:val="center"/>
              <w:rPr>
                <w:rFonts w:ascii="Times New Roman" w:hAnsi="Times New Roman" w:cs="Times New Roman"/>
                <w:sz w:val="21"/>
              </w:rPr>
            </w:pPr>
            <w:r w:rsidRPr="00A351F7">
              <w:rPr>
                <w:rFonts w:ascii="Times New Roman" w:hAnsi="Times New Roman" w:cs="Times New Roman"/>
                <w:sz w:val="21"/>
              </w:rPr>
              <w:t>28.25</w:t>
            </w:r>
          </w:p>
        </w:tc>
        <w:tc>
          <w:tcPr>
            <w:tcW w:w="0" w:type="auto"/>
            <w:vAlign w:val="center"/>
            <w:hideMark/>
          </w:tcPr>
          <w:p w14:paraId="7B8E3A2C" w14:textId="77777777" w:rsidR="008D45A9" w:rsidRPr="00A351F7" w:rsidRDefault="008D45A9" w:rsidP="00A351F7">
            <w:pPr>
              <w:pStyle w:val="NoSpacing"/>
              <w:jc w:val="center"/>
              <w:rPr>
                <w:rFonts w:ascii="Times New Roman" w:hAnsi="Times New Roman" w:cs="Times New Roman"/>
                <w:sz w:val="21"/>
              </w:rPr>
            </w:pPr>
            <w:r w:rsidRPr="00A351F7">
              <w:rPr>
                <w:rFonts w:ascii="Times New Roman" w:hAnsi="Times New Roman" w:cs="Times New Roman"/>
                <w:sz w:val="21"/>
              </w:rPr>
              <w:t>99.63</w:t>
            </w:r>
          </w:p>
        </w:tc>
        <w:tc>
          <w:tcPr>
            <w:tcW w:w="0" w:type="auto"/>
            <w:vAlign w:val="center"/>
            <w:hideMark/>
          </w:tcPr>
          <w:p w14:paraId="1A5AAC4A" w14:textId="77777777" w:rsidR="008D45A9" w:rsidRPr="00A351F7" w:rsidRDefault="008D45A9" w:rsidP="00A351F7">
            <w:pPr>
              <w:pStyle w:val="NoSpacing"/>
              <w:jc w:val="center"/>
              <w:rPr>
                <w:rFonts w:ascii="Times New Roman" w:hAnsi="Times New Roman" w:cs="Times New Roman"/>
                <w:sz w:val="21"/>
              </w:rPr>
            </w:pPr>
            <w:r w:rsidRPr="00A351F7">
              <w:rPr>
                <w:rFonts w:ascii="Times New Roman" w:hAnsi="Times New Roman" w:cs="Times New Roman"/>
                <w:sz w:val="21"/>
              </w:rPr>
              <w:t>3.00</w:t>
            </w:r>
          </w:p>
        </w:tc>
        <w:tc>
          <w:tcPr>
            <w:tcW w:w="0" w:type="auto"/>
            <w:vAlign w:val="center"/>
            <w:hideMark/>
          </w:tcPr>
          <w:p w14:paraId="23904191" w14:textId="77777777" w:rsidR="008D45A9" w:rsidRPr="00A351F7" w:rsidRDefault="008D45A9" w:rsidP="00A351F7">
            <w:pPr>
              <w:pStyle w:val="NoSpacing"/>
              <w:jc w:val="center"/>
              <w:rPr>
                <w:rFonts w:ascii="Times New Roman" w:hAnsi="Times New Roman" w:cs="Times New Roman"/>
                <w:sz w:val="21"/>
              </w:rPr>
            </w:pPr>
            <w:r w:rsidRPr="00A351F7">
              <w:rPr>
                <w:rFonts w:ascii="Times New Roman" w:hAnsi="Times New Roman" w:cs="Times New Roman"/>
                <w:sz w:val="21"/>
              </w:rPr>
              <w:t>102.63</w:t>
            </w:r>
          </w:p>
        </w:tc>
      </w:tr>
      <w:tr w:rsidR="008D45A9" w:rsidRPr="00A351F7" w14:paraId="7F6E37AE" w14:textId="77777777" w:rsidTr="00A351F7">
        <w:trPr>
          <w:trHeight w:val="265"/>
        </w:trPr>
        <w:tc>
          <w:tcPr>
            <w:tcW w:w="0" w:type="auto"/>
            <w:hideMark/>
          </w:tcPr>
          <w:p w14:paraId="7F173E1A" w14:textId="77777777" w:rsidR="008D45A9" w:rsidRPr="00A351F7" w:rsidRDefault="008D45A9" w:rsidP="00B77C0B">
            <w:pPr>
              <w:pStyle w:val="NoSpacing"/>
              <w:rPr>
                <w:rFonts w:ascii="Times New Roman" w:hAnsi="Times New Roman" w:cs="Times New Roman"/>
                <w:sz w:val="21"/>
              </w:rPr>
            </w:pPr>
            <w:r w:rsidRPr="00A351F7">
              <w:rPr>
                <w:rFonts w:ascii="Times New Roman" w:hAnsi="Times New Roman" w:cs="Times New Roman"/>
                <w:sz w:val="21"/>
              </w:rPr>
              <w:t>Gujarat</w:t>
            </w:r>
          </w:p>
        </w:tc>
        <w:tc>
          <w:tcPr>
            <w:tcW w:w="0" w:type="auto"/>
            <w:vAlign w:val="center"/>
            <w:hideMark/>
          </w:tcPr>
          <w:p w14:paraId="39B66E7F" w14:textId="77777777" w:rsidR="008D45A9" w:rsidRPr="00A351F7" w:rsidRDefault="008D45A9" w:rsidP="00A351F7">
            <w:pPr>
              <w:pStyle w:val="NoSpacing"/>
              <w:jc w:val="center"/>
              <w:rPr>
                <w:rFonts w:ascii="Times New Roman" w:hAnsi="Times New Roman" w:cs="Times New Roman"/>
                <w:sz w:val="21"/>
              </w:rPr>
            </w:pPr>
            <w:r w:rsidRPr="00A351F7">
              <w:rPr>
                <w:rFonts w:ascii="Times New Roman" w:hAnsi="Times New Roman" w:cs="Times New Roman"/>
                <w:sz w:val="21"/>
              </w:rPr>
              <w:t>14.41</w:t>
            </w:r>
          </w:p>
        </w:tc>
        <w:tc>
          <w:tcPr>
            <w:tcW w:w="0" w:type="auto"/>
            <w:vAlign w:val="center"/>
            <w:hideMark/>
          </w:tcPr>
          <w:p w14:paraId="26B9CC24" w14:textId="77777777" w:rsidR="008D45A9" w:rsidRPr="00A351F7" w:rsidRDefault="008D45A9" w:rsidP="00A351F7">
            <w:pPr>
              <w:pStyle w:val="NoSpacing"/>
              <w:jc w:val="center"/>
              <w:rPr>
                <w:rFonts w:ascii="Times New Roman" w:hAnsi="Times New Roman" w:cs="Times New Roman"/>
                <w:sz w:val="21"/>
              </w:rPr>
            </w:pPr>
            <w:r w:rsidRPr="00A351F7">
              <w:rPr>
                <w:rFonts w:ascii="Times New Roman" w:hAnsi="Times New Roman" w:cs="Times New Roman"/>
                <w:sz w:val="21"/>
              </w:rPr>
              <w:t>5.25</w:t>
            </w:r>
          </w:p>
        </w:tc>
        <w:tc>
          <w:tcPr>
            <w:tcW w:w="0" w:type="auto"/>
            <w:vAlign w:val="center"/>
            <w:hideMark/>
          </w:tcPr>
          <w:p w14:paraId="40D937ED" w14:textId="77777777" w:rsidR="008D45A9" w:rsidRPr="00A351F7" w:rsidRDefault="008D45A9" w:rsidP="00A351F7">
            <w:pPr>
              <w:pStyle w:val="NoSpacing"/>
              <w:jc w:val="center"/>
              <w:rPr>
                <w:rFonts w:ascii="Times New Roman" w:hAnsi="Times New Roman" w:cs="Times New Roman"/>
                <w:sz w:val="21"/>
              </w:rPr>
            </w:pPr>
            <w:r w:rsidRPr="00A351F7">
              <w:rPr>
                <w:rFonts w:ascii="Times New Roman" w:hAnsi="Times New Roman" w:cs="Times New Roman"/>
                <w:sz w:val="21"/>
              </w:rPr>
              <w:t>19.66</w:t>
            </w:r>
          </w:p>
        </w:tc>
        <w:tc>
          <w:tcPr>
            <w:tcW w:w="0" w:type="auto"/>
            <w:vAlign w:val="center"/>
            <w:hideMark/>
          </w:tcPr>
          <w:p w14:paraId="68435770" w14:textId="77777777" w:rsidR="008D45A9" w:rsidRPr="00A351F7" w:rsidRDefault="008D45A9" w:rsidP="00A351F7">
            <w:pPr>
              <w:pStyle w:val="NoSpacing"/>
              <w:jc w:val="center"/>
              <w:rPr>
                <w:rFonts w:ascii="Times New Roman" w:hAnsi="Times New Roman" w:cs="Times New Roman"/>
                <w:sz w:val="21"/>
              </w:rPr>
            </w:pPr>
            <w:r w:rsidRPr="00A351F7">
              <w:rPr>
                <w:rFonts w:ascii="Times New Roman" w:hAnsi="Times New Roman" w:cs="Times New Roman"/>
                <w:sz w:val="21"/>
              </w:rPr>
              <w:t>16.39</w:t>
            </w:r>
          </w:p>
        </w:tc>
        <w:tc>
          <w:tcPr>
            <w:tcW w:w="0" w:type="auto"/>
            <w:vAlign w:val="center"/>
            <w:hideMark/>
          </w:tcPr>
          <w:p w14:paraId="7A7E4371" w14:textId="77777777" w:rsidR="008D45A9" w:rsidRPr="00A351F7" w:rsidRDefault="008D45A9" w:rsidP="00A351F7">
            <w:pPr>
              <w:pStyle w:val="NoSpacing"/>
              <w:jc w:val="center"/>
              <w:rPr>
                <w:rFonts w:ascii="Times New Roman" w:hAnsi="Times New Roman" w:cs="Times New Roman"/>
                <w:sz w:val="21"/>
              </w:rPr>
            </w:pPr>
            <w:r w:rsidRPr="00A351F7">
              <w:rPr>
                <w:rFonts w:ascii="Times New Roman" w:hAnsi="Times New Roman" w:cs="Times New Roman"/>
                <w:sz w:val="21"/>
              </w:rPr>
              <w:t>5.25</w:t>
            </w:r>
          </w:p>
        </w:tc>
        <w:tc>
          <w:tcPr>
            <w:tcW w:w="0" w:type="auto"/>
            <w:vAlign w:val="center"/>
            <w:hideMark/>
          </w:tcPr>
          <w:p w14:paraId="58EE4B7F" w14:textId="77777777" w:rsidR="008D45A9" w:rsidRPr="00A351F7" w:rsidRDefault="008D45A9" w:rsidP="00A351F7">
            <w:pPr>
              <w:pStyle w:val="NoSpacing"/>
              <w:jc w:val="center"/>
              <w:rPr>
                <w:rFonts w:ascii="Times New Roman" w:hAnsi="Times New Roman" w:cs="Times New Roman"/>
                <w:sz w:val="21"/>
              </w:rPr>
            </w:pPr>
            <w:r w:rsidRPr="00A351F7">
              <w:rPr>
                <w:rFonts w:ascii="Times New Roman" w:hAnsi="Times New Roman" w:cs="Times New Roman"/>
                <w:sz w:val="21"/>
              </w:rPr>
              <w:t>21.64</w:t>
            </w:r>
          </w:p>
        </w:tc>
        <w:tc>
          <w:tcPr>
            <w:tcW w:w="0" w:type="auto"/>
            <w:vAlign w:val="center"/>
            <w:hideMark/>
          </w:tcPr>
          <w:p w14:paraId="48D3344F" w14:textId="77777777" w:rsidR="008D45A9" w:rsidRPr="00A351F7" w:rsidRDefault="008D45A9" w:rsidP="00A351F7">
            <w:pPr>
              <w:pStyle w:val="NoSpacing"/>
              <w:jc w:val="center"/>
              <w:rPr>
                <w:rFonts w:ascii="Times New Roman" w:hAnsi="Times New Roman" w:cs="Times New Roman"/>
                <w:sz w:val="21"/>
              </w:rPr>
            </w:pPr>
            <w:r w:rsidRPr="00A351F7">
              <w:rPr>
                <w:rFonts w:ascii="Times New Roman" w:hAnsi="Times New Roman" w:cs="Times New Roman"/>
                <w:sz w:val="21"/>
              </w:rPr>
              <w:t>16.13</w:t>
            </w:r>
          </w:p>
        </w:tc>
        <w:tc>
          <w:tcPr>
            <w:tcW w:w="0" w:type="auto"/>
            <w:vAlign w:val="center"/>
            <w:hideMark/>
          </w:tcPr>
          <w:p w14:paraId="698A8720" w14:textId="77777777" w:rsidR="008D45A9" w:rsidRPr="00A351F7" w:rsidRDefault="008D45A9" w:rsidP="00A351F7">
            <w:pPr>
              <w:pStyle w:val="NoSpacing"/>
              <w:jc w:val="center"/>
              <w:rPr>
                <w:rFonts w:ascii="Times New Roman" w:hAnsi="Times New Roman" w:cs="Times New Roman"/>
                <w:sz w:val="21"/>
              </w:rPr>
            </w:pPr>
            <w:r w:rsidRPr="00A351F7">
              <w:rPr>
                <w:rFonts w:ascii="Times New Roman" w:hAnsi="Times New Roman" w:cs="Times New Roman"/>
                <w:sz w:val="21"/>
              </w:rPr>
              <w:t>5.25</w:t>
            </w:r>
          </w:p>
        </w:tc>
        <w:tc>
          <w:tcPr>
            <w:tcW w:w="0" w:type="auto"/>
            <w:vAlign w:val="center"/>
            <w:hideMark/>
          </w:tcPr>
          <w:p w14:paraId="026EBAF5" w14:textId="77777777" w:rsidR="008D45A9" w:rsidRPr="00A351F7" w:rsidRDefault="008D45A9" w:rsidP="00A351F7">
            <w:pPr>
              <w:pStyle w:val="NoSpacing"/>
              <w:jc w:val="center"/>
              <w:rPr>
                <w:rFonts w:ascii="Times New Roman" w:hAnsi="Times New Roman" w:cs="Times New Roman"/>
                <w:sz w:val="21"/>
              </w:rPr>
            </w:pPr>
            <w:r w:rsidRPr="00A351F7">
              <w:rPr>
                <w:rFonts w:ascii="Times New Roman" w:hAnsi="Times New Roman" w:cs="Times New Roman"/>
                <w:sz w:val="21"/>
              </w:rPr>
              <w:t>21.38</w:t>
            </w:r>
          </w:p>
        </w:tc>
        <w:tc>
          <w:tcPr>
            <w:tcW w:w="0" w:type="auto"/>
            <w:vAlign w:val="center"/>
            <w:hideMark/>
          </w:tcPr>
          <w:p w14:paraId="6D0704CB" w14:textId="77777777" w:rsidR="008D45A9" w:rsidRPr="00A351F7" w:rsidRDefault="008D45A9" w:rsidP="00A351F7">
            <w:pPr>
              <w:pStyle w:val="NoSpacing"/>
              <w:jc w:val="center"/>
              <w:rPr>
                <w:rFonts w:ascii="Times New Roman" w:hAnsi="Times New Roman" w:cs="Times New Roman"/>
                <w:sz w:val="21"/>
              </w:rPr>
            </w:pPr>
            <w:r w:rsidRPr="00A351F7">
              <w:rPr>
                <w:rFonts w:ascii="Times New Roman" w:hAnsi="Times New Roman" w:cs="Times New Roman"/>
                <w:sz w:val="21"/>
              </w:rPr>
              <w:t>17.25</w:t>
            </w:r>
          </w:p>
        </w:tc>
        <w:tc>
          <w:tcPr>
            <w:tcW w:w="0" w:type="auto"/>
            <w:vAlign w:val="center"/>
            <w:hideMark/>
          </w:tcPr>
          <w:p w14:paraId="414FDE01" w14:textId="77777777" w:rsidR="008D45A9" w:rsidRPr="00A351F7" w:rsidRDefault="008D45A9" w:rsidP="00A351F7">
            <w:pPr>
              <w:pStyle w:val="NoSpacing"/>
              <w:jc w:val="center"/>
              <w:rPr>
                <w:rFonts w:ascii="Times New Roman" w:hAnsi="Times New Roman" w:cs="Times New Roman"/>
                <w:sz w:val="21"/>
              </w:rPr>
            </w:pPr>
            <w:r w:rsidRPr="00A351F7">
              <w:rPr>
                <w:rFonts w:ascii="Times New Roman" w:hAnsi="Times New Roman" w:cs="Times New Roman"/>
                <w:sz w:val="21"/>
              </w:rPr>
              <w:t>5.25</w:t>
            </w:r>
          </w:p>
        </w:tc>
        <w:tc>
          <w:tcPr>
            <w:tcW w:w="0" w:type="auto"/>
            <w:vAlign w:val="center"/>
            <w:hideMark/>
          </w:tcPr>
          <w:p w14:paraId="30049951" w14:textId="77777777" w:rsidR="008D45A9" w:rsidRPr="00A351F7" w:rsidRDefault="008D45A9" w:rsidP="00A351F7">
            <w:pPr>
              <w:pStyle w:val="NoSpacing"/>
              <w:jc w:val="center"/>
              <w:rPr>
                <w:rFonts w:ascii="Times New Roman" w:hAnsi="Times New Roman" w:cs="Times New Roman"/>
                <w:sz w:val="21"/>
              </w:rPr>
            </w:pPr>
            <w:r w:rsidRPr="00A351F7">
              <w:rPr>
                <w:rFonts w:ascii="Times New Roman" w:hAnsi="Times New Roman" w:cs="Times New Roman"/>
                <w:sz w:val="21"/>
              </w:rPr>
              <w:t>22.50</w:t>
            </w:r>
          </w:p>
        </w:tc>
        <w:tc>
          <w:tcPr>
            <w:tcW w:w="0" w:type="auto"/>
            <w:vAlign w:val="center"/>
            <w:hideMark/>
          </w:tcPr>
          <w:p w14:paraId="3B7A80CF" w14:textId="77777777" w:rsidR="008D45A9" w:rsidRPr="00A351F7" w:rsidRDefault="008D45A9" w:rsidP="00A351F7">
            <w:pPr>
              <w:pStyle w:val="NoSpacing"/>
              <w:jc w:val="center"/>
              <w:rPr>
                <w:rFonts w:ascii="Times New Roman" w:hAnsi="Times New Roman" w:cs="Times New Roman"/>
                <w:sz w:val="21"/>
              </w:rPr>
            </w:pPr>
            <w:r w:rsidRPr="00A351F7">
              <w:rPr>
                <w:rFonts w:ascii="Times New Roman" w:hAnsi="Times New Roman" w:cs="Times New Roman"/>
                <w:sz w:val="21"/>
              </w:rPr>
              <w:t>64.18</w:t>
            </w:r>
          </w:p>
        </w:tc>
        <w:tc>
          <w:tcPr>
            <w:tcW w:w="0" w:type="auto"/>
            <w:vAlign w:val="center"/>
            <w:hideMark/>
          </w:tcPr>
          <w:p w14:paraId="65AC4A82" w14:textId="77777777" w:rsidR="008D45A9" w:rsidRPr="00A351F7" w:rsidRDefault="008D45A9" w:rsidP="00A351F7">
            <w:pPr>
              <w:pStyle w:val="NoSpacing"/>
              <w:jc w:val="center"/>
              <w:rPr>
                <w:rFonts w:ascii="Times New Roman" w:hAnsi="Times New Roman" w:cs="Times New Roman"/>
                <w:sz w:val="21"/>
              </w:rPr>
            </w:pPr>
            <w:r w:rsidRPr="00A351F7">
              <w:rPr>
                <w:rFonts w:ascii="Times New Roman" w:hAnsi="Times New Roman" w:cs="Times New Roman"/>
                <w:sz w:val="21"/>
              </w:rPr>
              <w:t>21.00</w:t>
            </w:r>
          </w:p>
        </w:tc>
        <w:tc>
          <w:tcPr>
            <w:tcW w:w="0" w:type="auto"/>
            <w:vAlign w:val="center"/>
            <w:hideMark/>
          </w:tcPr>
          <w:p w14:paraId="1DB337BE" w14:textId="77777777" w:rsidR="008D45A9" w:rsidRPr="00A351F7" w:rsidRDefault="008D45A9" w:rsidP="00A351F7">
            <w:pPr>
              <w:pStyle w:val="NoSpacing"/>
              <w:jc w:val="center"/>
              <w:rPr>
                <w:rFonts w:ascii="Times New Roman" w:hAnsi="Times New Roman" w:cs="Times New Roman"/>
                <w:sz w:val="21"/>
              </w:rPr>
            </w:pPr>
            <w:r w:rsidRPr="00A351F7">
              <w:rPr>
                <w:rFonts w:ascii="Times New Roman" w:hAnsi="Times New Roman" w:cs="Times New Roman"/>
                <w:sz w:val="21"/>
              </w:rPr>
              <w:t>85.18</w:t>
            </w:r>
          </w:p>
        </w:tc>
      </w:tr>
      <w:tr w:rsidR="008D45A9" w:rsidRPr="00A351F7" w14:paraId="562E3A12" w14:textId="77777777" w:rsidTr="00A351F7">
        <w:trPr>
          <w:trHeight w:val="491"/>
        </w:trPr>
        <w:tc>
          <w:tcPr>
            <w:tcW w:w="0" w:type="auto"/>
            <w:hideMark/>
          </w:tcPr>
          <w:p w14:paraId="425B0F3D" w14:textId="77777777" w:rsidR="008D45A9" w:rsidRPr="00A351F7" w:rsidRDefault="008D45A9" w:rsidP="00B77C0B">
            <w:pPr>
              <w:pStyle w:val="NoSpacing"/>
              <w:rPr>
                <w:rFonts w:ascii="Times New Roman" w:hAnsi="Times New Roman" w:cs="Times New Roman"/>
                <w:sz w:val="21"/>
              </w:rPr>
            </w:pPr>
            <w:r w:rsidRPr="00A351F7">
              <w:rPr>
                <w:rFonts w:ascii="Times New Roman" w:hAnsi="Times New Roman" w:cs="Times New Roman"/>
                <w:sz w:val="21"/>
              </w:rPr>
              <w:t>Jammu and Kashmir</w:t>
            </w:r>
          </w:p>
        </w:tc>
        <w:tc>
          <w:tcPr>
            <w:tcW w:w="0" w:type="auto"/>
            <w:vAlign w:val="center"/>
            <w:hideMark/>
          </w:tcPr>
          <w:p w14:paraId="3A6468E8" w14:textId="77777777" w:rsidR="008D45A9" w:rsidRPr="00A351F7" w:rsidRDefault="008D45A9" w:rsidP="00A351F7">
            <w:pPr>
              <w:pStyle w:val="NoSpacing"/>
              <w:jc w:val="center"/>
              <w:rPr>
                <w:rFonts w:ascii="Times New Roman" w:hAnsi="Times New Roman" w:cs="Times New Roman"/>
                <w:sz w:val="21"/>
              </w:rPr>
            </w:pPr>
            <w:r w:rsidRPr="00A351F7">
              <w:rPr>
                <w:rFonts w:ascii="Times New Roman" w:hAnsi="Times New Roman" w:cs="Times New Roman"/>
                <w:sz w:val="21"/>
              </w:rPr>
              <w:t>3.28</w:t>
            </w:r>
          </w:p>
        </w:tc>
        <w:tc>
          <w:tcPr>
            <w:tcW w:w="0" w:type="auto"/>
            <w:vAlign w:val="center"/>
            <w:hideMark/>
          </w:tcPr>
          <w:p w14:paraId="39196CA4" w14:textId="77777777" w:rsidR="008D45A9" w:rsidRPr="00A351F7" w:rsidRDefault="008D45A9" w:rsidP="00A351F7">
            <w:pPr>
              <w:pStyle w:val="NoSpacing"/>
              <w:jc w:val="center"/>
              <w:rPr>
                <w:rFonts w:ascii="Times New Roman" w:hAnsi="Times New Roman" w:cs="Times New Roman"/>
                <w:sz w:val="21"/>
              </w:rPr>
            </w:pPr>
            <w:r w:rsidRPr="00A351F7">
              <w:rPr>
                <w:rFonts w:ascii="Times New Roman" w:hAnsi="Times New Roman" w:cs="Times New Roman"/>
                <w:sz w:val="21"/>
              </w:rPr>
              <w:t>2.00</w:t>
            </w:r>
          </w:p>
        </w:tc>
        <w:tc>
          <w:tcPr>
            <w:tcW w:w="0" w:type="auto"/>
            <w:vAlign w:val="center"/>
            <w:hideMark/>
          </w:tcPr>
          <w:p w14:paraId="1F6999AF" w14:textId="77777777" w:rsidR="008D45A9" w:rsidRPr="00A351F7" w:rsidRDefault="008D45A9" w:rsidP="00A351F7">
            <w:pPr>
              <w:pStyle w:val="NoSpacing"/>
              <w:jc w:val="center"/>
              <w:rPr>
                <w:rFonts w:ascii="Times New Roman" w:hAnsi="Times New Roman" w:cs="Times New Roman"/>
                <w:sz w:val="21"/>
              </w:rPr>
            </w:pPr>
            <w:r w:rsidRPr="00A351F7">
              <w:rPr>
                <w:rFonts w:ascii="Times New Roman" w:hAnsi="Times New Roman" w:cs="Times New Roman"/>
                <w:sz w:val="21"/>
              </w:rPr>
              <w:t>5.28</w:t>
            </w:r>
          </w:p>
        </w:tc>
        <w:tc>
          <w:tcPr>
            <w:tcW w:w="0" w:type="auto"/>
            <w:vAlign w:val="center"/>
            <w:hideMark/>
          </w:tcPr>
          <w:p w14:paraId="31399AB4" w14:textId="77777777" w:rsidR="008D45A9" w:rsidRPr="00A351F7" w:rsidRDefault="008D45A9" w:rsidP="00A351F7">
            <w:pPr>
              <w:pStyle w:val="NoSpacing"/>
              <w:jc w:val="center"/>
              <w:rPr>
                <w:rFonts w:ascii="Times New Roman" w:hAnsi="Times New Roman" w:cs="Times New Roman"/>
                <w:sz w:val="21"/>
              </w:rPr>
            </w:pPr>
            <w:r w:rsidRPr="00A351F7">
              <w:rPr>
                <w:rFonts w:ascii="Times New Roman" w:hAnsi="Times New Roman" w:cs="Times New Roman"/>
                <w:sz w:val="21"/>
              </w:rPr>
              <w:t>3.55</w:t>
            </w:r>
          </w:p>
        </w:tc>
        <w:tc>
          <w:tcPr>
            <w:tcW w:w="0" w:type="auto"/>
            <w:vAlign w:val="center"/>
            <w:hideMark/>
          </w:tcPr>
          <w:p w14:paraId="09F0B3DA" w14:textId="77777777" w:rsidR="008D45A9" w:rsidRPr="00A351F7" w:rsidRDefault="008D45A9" w:rsidP="00A351F7">
            <w:pPr>
              <w:pStyle w:val="NoSpacing"/>
              <w:jc w:val="center"/>
              <w:rPr>
                <w:rFonts w:ascii="Times New Roman" w:hAnsi="Times New Roman" w:cs="Times New Roman"/>
                <w:sz w:val="21"/>
              </w:rPr>
            </w:pPr>
            <w:r w:rsidRPr="00A351F7">
              <w:rPr>
                <w:rFonts w:ascii="Times New Roman" w:hAnsi="Times New Roman" w:cs="Times New Roman"/>
                <w:sz w:val="21"/>
              </w:rPr>
              <w:t>2.00</w:t>
            </w:r>
          </w:p>
        </w:tc>
        <w:tc>
          <w:tcPr>
            <w:tcW w:w="0" w:type="auto"/>
            <w:vAlign w:val="center"/>
            <w:hideMark/>
          </w:tcPr>
          <w:p w14:paraId="7230581B" w14:textId="77777777" w:rsidR="008D45A9" w:rsidRPr="00A351F7" w:rsidRDefault="008D45A9" w:rsidP="00A351F7">
            <w:pPr>
              <w:pStyle w:val="NoSpacing"/>
              <w:jc w:val="center"/>
              <w:rPr>
                <w:rFonts w:ascii="Times New Roman" w:hAnsi="Times New Roman" w:cs="Times New Roman"/>
                <w:sz w:val="21"/>
              </w:rPr>
            </w:pPr>
            <w:r w:rsidRPr="00A351F7">
              <w:rPr>
                <w:rFonts w:ascii="Times New Roman" w:hAnsi="Times New Roman" w:cs="Times New Roman"/>
                <w:sz w:val="21"/>
              </w:rPr>
              <w:t>5.55</w:t>
            </w:r>
          </w:p>
        </w:tc>
        <w:tc>
          <w:tcPr>
            <w:tcW w:w="0" w:type="auto"/>
            <w:vAlign w:val="center"/>
            <w:hideMark/>
          </w:tcPr>
          <w:p w14:paraId="43B10090" w14:textId="77777777" w:rsidR="008D45A9" w:rsidRPr="00A351F7" w:rsidRDefault="008D45A9" w:rsidP="00A351F7">
            <w:pPr>
              <w:pStyle w:val="NoSpacing"/>
              <w:jc w:val="center"/>
              <w:rPr>
                <w:rFonts w:ascii="Times New Roman" w:hAnsi="Times New Roman" w:cs="Times New Roman"/>
                <w:sz w:val="21"/>
              </w:rPr>
            </w:pPr>
            <w:r w:rsidRPr="00A351F7">
              <w:rPr>
                <w:rFonts w:ascii="Times New Roman" w:hAnsi="Times New Roman" w:cs="Times New Roman"/>
                <w:sz w:val="21"/>
              </w:rPr>
              <w:t>3.29</w:t>
            </w:r>
          </w:p>
        </w:tc>
        <w:tc>
          <w:tcPr>
            <w:tcW w:w="0" w:type="auto"/>
            <w:vAlign w:val="center"/>
            <w:hideMark/>
          </w:tcPr>
          <w:p w14:paraId="786F7EC8" w14:textId="77777777" w:rsidR="008D45A9" w:rsidRPr="00A351F7" w:rsidRDefault="008D45A9" w:rsidP="00A351F7">
            <w:pPr>
              <w:pStyle w:val="NoSpacing"/>
              <w:jc w:val="center"/>
              <w:rPr>
                <w:rFonts w:ascii="Times New Roman" w:hAnsi="Times New Roman" w:cs="Times New Roman"/>
                <w:sz w:val="21"/>
              </w:rPr>
            </w:pPr>
            <w:r w:rsidRPr="00A351F7">
              <w:rPr>
                <w:rFonts w:ascii="Times New Roman" w:hAnsi="Times New Roman" w:cs="Times New Roman"/>
                <w:sz w:val="21"/>
              </w:rPr>
              <w:t>2.00</w:t>
            </w:r>
          </w:p>
        </w:tc>
        <w:tc>
          <w:tcPr>
            <w:tcW w:w="0" w:type="auto"/>
            <w:vAlign w:val="center"/>
            <w:hideMark/>
          </w:tcPr>
          <w:p w14:paraId="685FC321" w14:textId="77777777" w:rsidR="008D45A9" w:rsidRPr="00A351F7" w:rsidRDefault="008D45A9" w:rsidP="00A351F7">
            <w:pPr>
              <w:pStyle w:val="NoSpacing"/>
              <w:jc w:val="center"/>
              <w:rPr>
                <w:rFonts w:ascii="Times New Roman" w:hAnsi="Times New Roman" w:cs="Times New Roman"/>
                <w:sz w:val="21"/>
              </w:rPr>
            </w:pPr>
            <w:r w:rsidRPr="00A351F7">
              <w:rPr>
                <w:rFonts w:ascii="Times New Roman" w:hAnsi="Times New Roman" w:cs="Times New Roman"/>
                <w:sz w:val="21"/>
              </w:rPr>
              <w:t>5.29</w:t>
            </w:r>
          </w:p>
        </w:tc>
        <w:tc>
          <w:tcPr>
            <w:tcW w:w="0" w:type="auto"/>
            <w:vAlign w:val="center"/>
            <w:hideMark/>
          </w:tcPr>
          <w:p w14:paraId="3CCDA839" w14:textId="77777777" w:rsidR="008D45A9" w:rsidRPr="00A351F7" w:rsidRDefault="008D45A9" w:rsidP="00A351F7">
            <w:pPr>
              <w:pStyle w:val="NoSpacing"/>
              <w:jc w:val="center"/>
              <w:rPr>
                <w:rFonts w:ascii="Times New Roman" w:hAnsi="Times New Roman" w:cs="Times New Roman"/>
                <w:sz w:val="21"/>
              </w:rPr>
            </w:pPr>
            <w:r w:rsidRPr="00A351F7">
              <w:rPr>
                <w:rFonts w:ascii="Times New Roman" w:hAnsi="Times New Roman" w:cs="Times New Roman"/>
                <w:sz w:val="21"/>
              </w:rPr>
              <w:t>3.63</w:t>
            </w:r>
          </w:p>
        </w:tc>
        <w:tc>
          <w:tcPr>
            <w:tcW w:w="0" w:type="auto"/>
            <w:vAlign w:val="center"/>
            <w:hideMark/>
          </w:tcPr>
          <w:p w14:paraId="38BB6760" w14:textId="77777777" w:rsidR="008D45A9" w:rsidRPr="00A351F7" w:rsidRDefault="008D45A9" w:rsidP="00A351F7">
            <w:pPr>
              <w:pStyle w:val="NoSpacing"/>
              <w:jc w:val="center"/>
              <w:rPr>
                <w:rFonts w:ascii="Times New Roman" w:hAnsi="Times New Roman" w:cs="Times New Roman"/>
                <w:sz w:val="21"/>
              </w:rPr>
            </w:pPr>
            <w:r w:rsidRPr="00A351F7">
              <w:rPr>
                <w:rFonts w:ascii="Times New Roman" w:hAnsi="Times New Roman" w:cs="Times New Roman"/>
                <w:sz w:val="21"/>
              </w:rPr>
              <w:t>2.00</w:t>
            </w:r>
          </w:p>
        </w:tc>
        <w:tc>
          <w:tcPr>
            <w:tcW w:w="0" w:type="auto"/>
            <w:vAlign w:val="center"/>
            <w:hideMark/>
          </w:tcPr>
          <w:p w14:paraId="0879B175" w14:textId="77777777" w:rsidR="008D45A9" w:rsidRPr="00A351F7" w:rsidRDefault="008D45A9" w:rsidP="00A351F7">
            <w:pPr>
              <w:pStyle w:val="NoSpacing"/>
              <w:jc w:val="center"/>
              <w:rPr>
                <w:rFonts w:ascii="Times New Roman" w:hAnsi="Times New Roman" w:cs="Times New Roman"/>
                <w:sz w:val="21"/>
              </w:rPr>
            </w:pPr>
            <w:r w:rsidRPr="00A351F7">
              <w:rPr>
                <w:rFonts w:ascii="Times New Roman" w:hAnsi="Times New Roman" w:cs="Times New Roman"/>
                <w:sz w:val="21"/>
              </w:rPr>
              <w:t>5.63</w:t>
            </w:r>
          </w:p>
        </w:tc>
        <w:tc>
          <w:tcPr>
            <w:tcW w:w="0" w:type="auto"/>
            <w:vAlign w:val="center"/>
            <w:hideMark/>
          </w:tcPr>
          <w:p w14:paraId="3F999857" w14:textId="77777777" w:rsidR="008D45A9" w:rsidRPr="00A351F7" w:rsidRDefault="008D45A9" w:rsidP="00A351F7">
            <w:pPr>
              <w:pStyle w:val="NoSpacing"/>
              <w:jc w:val="center"/>
              <w:rPr>
                <w:rFonts w:ascii="Times New Roman" w:hAnsi="Times New Roman" w:cs="Times New Roman"/>
                <w:sz w:val="21"/>
              </w:rPr>
            </w:pPr>
            <w:r w:rsidRPr="00A351F7">
              <w:rPr>
                <w:rFonts w:ascii="Times New Roman" w:hAnsi="Times New Roman" w:cs="Times New Roman"/>
                <w:sz w:val="21"/>
              </w:rPr>
              <w:t>13.75</w:t>
            </w:r>
          </w:p>
        </w:tc>
        <w:tc>
          <w:tcPr>
            <w:tcW w:w="0" w:type="auto"/>
            <w:vAlign w:val="center"/>
            <w:hideMark/>
          </w:tcPr>
          <w:p w14:paraId="02761C59" w14:textId="77777777" w:rsidR="008D45A9" w:rsidRPr="00A351F7" w:rsidRDefault="008D45A9" w:rsidP="00A351F7">
            <w:pPr>
              <w:pStyle w:val="NoSpacing"/>
              <w:jc w:val="center"/>
              <w:rPr>
                <w:rFonts w:ascii="Times New Roman" w:hAnsi="Times New Roman" w:cs="Times New Roman"/>
                <w:sz w:val="21"/>
              </w:rPr>
            </w:pPr>
            <w:r w:rsidRPr="00A351F7">
              <w:rPr>
                <w:rFonts w:ascii="Times New Roman" w:hAnsi="Times New Roman" w:cs="Times New Roman"/>
                <w:sz w:val="21"/>
              </w:rPr>
              <w:t>8.00</w:t>
            </w:r>
          </w:p>
        </w:tc>
        <w:tc>
          <w:tcPr>
            <w:tcW w:w="0" w:type="auto"/>
            <w:vAlign w:val="center"/>
            <w:hideMark/>
          </w:tcPr>
          <w:p w14:paraId="082A348A" w14:textId="77777777" w:rsidR="008D45A9" w:rsidRPr="00A351F7" w:rsidRDefault="008D45A9" w:rsidP="00A351F7">
            <w:pPr>
              <w:pStyle w:val="NoSpacing"/>
              <w:jc w:val="center"/>
              <w:rPr>
                <w:rFonts w:ascii="Times New Roman" w:hAnsi="Times New Roman" w:cs="Times New Roman"/>
                <w:sz w:val="21"/>
              </w:rPr>
            </w:pPr>
            <w:r w:rsidRPr="00A351F7">
              <w:rPr>
                <w:rFonts w:ascii="Times New Roman" w:hAnsi="Times New Roman" w:cs="Times New Roman"/>
                <w:sz w:val="21"/>
              </w:rPr>
              <w:t>21.75</w:t>
            </w:r>
          </w:p>
        </w:tc>
      </w:tr>
      <w:tr w:rsidR="008D45A9" w:rsidRPr="00A351F7" w14:paraId="4790A192" w14:textId="77777777" w:rsidTr="00A351F7">
        <w:trPr>
          <w:trHeight w:val="245"/>
        </w:trPr>
        <w:tc>
          <w:tcPr>
            <w:tcW w:w="0" w:type="auto"/>
            <w:hideMark/>
          </w:tcPr>
          <w:p w14:paraId="4676AE41" w14:textId="77777777" w:rsidR="008D45A9" w:rsidRPr="00A351F7" w:rsidRDefault="008D45A9" w:rsidP="00B77C0B">
            <w:pPr>
              <w:pStyle w:val="NoSpacing"/>
              <w:rPr>
                <w:rFonts w:ascii="Times New Roman" w:hAnsi="Times New Roman" w:cs="Times New Roman"/>
                <w:sz w:val="21"/>
              </w:rPr>
            </w:pPr>
            <w:r w:rsidRPr="00A351F7">
              <w:rPr>
                <w:rFonts w:ascii="Times New Roman" w:hAnsi="Times New Roman" w:cs="Times New Roman"/>
                <w:sz w:val="21"/>
              </w:rPr>
              <w:t>Kerala</w:t>
            </w:r>
          </w:p>
        </w:tc>
        <w:tc>
          <w:tcPr>
            <w:tcW w:w="0" w:type="auto"/>
            <w:vAlign w:val="center"/>
            <w:hideMark/>
          </w:tcPr>
          <w:p w14:paraId="5207C97B" w14:textId="77777777" w:rsidR="008D45A9" w:rsidRPr="00A351F7" w:rsidRDefault="008D45A9" w:rsidP="00A351F7">
            <w:pPr>
              <w:pStyle w:val="NoSpacing"/>
              <w:jc w:val="center"/>
              <w:rPr>
                <w:rFonts w:ascii="Times New Roman" w:hAnsi="Times New Roman" w:cs="Times New Roman"/>
                <w:sz w:val="21"/>
              </w:rPr>
            </w:pPr>
            <w:r w:rsidRPr="00A351F7">
              <w:rPr>
                <w:rFonts w:ascii="Times New Roman" w:hAnsi="Times New Roman" w:cs="Times New Roman"/>
                <w:sz w:val="21"/>
              </w:rPr>
              <w:t>9.53</w:t>
            </w:r>
          </w:p>
        </w:tc>
        <w:tc>
          <w:tcPr>
            <w:tcW w:w="0" w:type="auto"/>
            <w:vAlign w:val="center"/>
            <w:hideMark/>
          </w:tcPr>
          <w:p w14:paraId="0FC953AC" w14:textId="77777777" w:rsidR="008D45A9" w:rsidRPr="00A351F7" w:rsidRDefault="008D45A9" w:rsidP="00A351F7">
            <w:pPr>
              <w:pStyle w:val="NoSpacing"/>
              <w:jc w:val="center"/>
              <w:rPr>
                <w:rFonts w:ascii="Times New Roman" w:hAnsi="Times New Roman" w:cs="Times New Roman"/>
                <w:sz w:val="21"/>
              </w:rPr>
            </w:pPr>
            <w:r w:rsidRPr="00A351F7">
              <w:rPr>
                <w:rFonts w:ascii="Times New Roman" w:hAnsi="Times New Roman" w:cs="Times New Roman"/>
                <w:sz w:val="21"/>
              </w:rPr>
              <w:t>6.25</w:t>
            </w:r>
          </w:p>
        </w:tc>
        <w:tc>
          <w:tcPr>
            <w:tcW w:w="0" w:type="auto"/>
            <w:vAlign w:val="center"/>
            <w:hideMark/>
          </w:tcPr>
          <w:p w14:paraId="399B94BF" w14:textId="77777777" w:rsidR="008D45A9" w:rsidRPr="00A351F7" w:rsidRDefault="008D45A9" w:rsidP="00A351F7">
            <w:pPr>
              <w:pStyle w:val="NoSpacing"/>
              <w:jc w:val="center"/>
              <w:rPr>
                <w:rFonts w:ascii="Times New Roman" w:hAnsi="Times New Roman" w:cs="Times New Roman"/>
                <w:sz w:val="21"/>
              </w:rPr>
            </w:pPr>
            <w:r w:rsidRPr="00A351F7">
              <w:rPr>
                <w:rFonts w:ascii="Times New Roman" w:hAnsi="Times New Roman" w:cs="Times New Roman"/>
                <w:sz w:val="21"/>
              </w:rPr>
              <w:t>15.78</w:t>
            </w:r>
          </w:p>
        </w:tc>
        <w:tc>
          <w:tcPr>
            <w:tcW w:w="0" w:type="auto"/>
            <w:vAlign w:val="center"/>
            <w:hideMark/>
          </w:tcPr>
          <w:p w14:paraId="20A6441F" w14:textId="77777777" w:rsidR="008D45A9" w:rsidRPr="00A351F7" w:rsidRDefault="008D45A9" w:rsidP="00A351F7">
            <w:pPr>
              <w:pStyle w:val="NoSpacing"/>
              <w:jc w:val="center"/>
              <w:rPr>
                <w:rFonts w:ascii="Times New Roman" w:hAnsi="Times New Roman" w:cs="Times New Roman"/>
                <w:sz w:val="21"/>
              </w:rPr>
            </w:pPr>
            <w:r w:rsidRPr="00A351F7">
              <w:rPr>
                <w:rFonts w:ascii="Times New Roman" w:hAnsi="Times New Roman" w:cs="Times New Roman"/>
                <w:sz w:val="21"/>
              </w:rPr>
              <w:t>11.17</w:t>
            </w:r>
          </w:p>
        </w:tc>
        <w:tc>
          <w:tcPr>
            <w:tcW w:w="0" w:type="auto"/>
            <w:vAlign w:val="center"/>
            <w:hideMark/>
          </w:tcPr>
          <w:p w14:paraId="25901FD9" w14:textId="77777777" w:rsidR="008D45A9" w:rsidRPr="00A351F7" w:rsidRDefault="008D45A9" w:rsidP="00A351F7">
            <w:pPr>
              <w:pStyle w:val="NoSpacing"/>
              <w:jc w:val="center"/>
              <w:rPr>
                <w:rFonts w:ascii="Times New Roman" w:hAnsi="Times New Roman" w:cs="Times New Roman"/>
                <w:sz w:val="21"/>
              </w:rPr>
            </w:pPr>
            <w:r w:rsidRPr="00A351F7">
              <w:rPr>
                <w:rFonts w:ascii="Times New Roman" w:hAnsi="Times New Roman" w:cs="Times New Roman"/>
                <w:sz w:val="21"/>
              </w:rPr>
              <w:t>6.25</w:t>
            </w:r>
          </w:p>
        </w:tc>
        <w:tc>
          <w:tcPr>
            <w:tcW w:w="0" w:type="auto"/>
            <w:vAlign w:val="center"/>
            <w:hideMark/>
          </w:tcPr>
          <w:p w14:paraId="25227F5B" w14:textId="77777777" w:rsidR="008D45A9" w:rsidRPr="00A351F7" w:rsidRDefault="008D45A9" w:rsidP="00A351F7">
            <w:pPr>
              <w:pStyle w:val="NoSpacing"/>
              <w:jc w:val="center"/>
              <w:rPr>
                <w:rFonts w:ascii="Times New Roman" w:hAnsi="Times New Roman" w:cs="Times New Roman"/>
                <w:sz w:val="21"/>
              </w:rPr>
            </w:pPr>
            <w:r w:rsidRPr="00A351F7">
              <w:rPr>
                <w:rFonts w:ascii="Times New Roman" w:hAnsi="Times New Roman" w:cs="Times New Roman"/>
                <w:sz w:val="21"/>
              </w:rPr>
              <w:t>17.42</w:t>
            </w:r>
          </w:p>
        </w:tc>
        <w:tc>
          <w:tcPr>
            <w:tcW w:w="0" w:type="auto"/>
            <w:vAlign w:val="center"/>
            <w:hideMark/>
          </w:tcPr>
          <w:p w14:paraId="377C9063" w14:textId="77777777" w:rsidR="008D45A9" w:rsidRPr="00A351F7" w:rsidRDefault="008D45A9" w:rsidP="00A351F7">
            <w:pPr>
              <w:pStyle w:val="NoSpacing"/>
              <w:jc w:val="center"/>
              <w:rPr>
                <w:rFonts w:ascii="Times New Roman" w:hAnsi="Times New Roman" w:cs="Times New Roman"/>
                <w:sz w:val="21"/>
              </w:rPr>
            </w:pPr>
            <w:r w:rsidRPr="00A351F7">
              <w:rPr>
                <w:rFonts w:ascii="Times New Roman" w:hAnsi="Times New Roman" w:cs="Times New Roman"/>
                <w:sz w:val="21"/>
              </w:rPr>
              <w:t>10.92</w:t>
            </w:r>
          </w:p>
        </w:tc>
        <w:tc>
          <w:tcPr>
            <w:tcW w:w="0" w:type="auto"/>
            <w:vAlign w:val="center"/>
            <w:hideMark/>
          </w:tcPr>
          <w:p w14:paraId="40BC06FF" w14:textId="77777777" w:rsidR="008D45A9" w:rsidRPr="00A351F7" w:rsidRDefault="008D45A9" w:rsidP="00A351F7">
            <w:pPr>
              <w:pStyle w:val="NoSpacing"/>
              <w:jc w:val="center"/>
              <w:rPr>
                <w:rFonts w:ascii="Times New Roman" w:hAnsi="Times New Roman" w:cs="Times New Roman"/>
                <w:sz w:val="21"/>
              </w:rPr>
            </w:pPr>
            <w:r w:rsidRPr="00A351F7">
              <w:rPr>
                <w:rFonts w:ascii="Times New Roman" w:hAnsi="Times New Roman" w:cs="Times New Roman"/>
                <w:sz w:val="21"/>
              </w:rPr>
              <w:t>6.25</w:t>
            </w:r>
          </w:p>
        </w:tc>
        <w:tc>
          <w:tcPr>
            <w:tcW w:w="0" w:type="auto"/>
            <w:vAlign w:val="center"/>
            <w:hideMark/>
          </w:tcPr>
          <w:p w14:paraId="08654719" w14:textId="77777777" w:rsidR="008D45A9" w:rsidRPr="00A351F7" w:rsidRDefault="008D45A9" w:rsidP="00A351F7">
            <w:pPr>
              <w:pStyle w:val="NoSpacing"/>
              <w:jc w:val="center"/>
              <w:rPr>
                <w:rFonts w:ascii="Times New Roman" w:hAnsi="Times New Roman" w:cs="Times New Roman"/>
                <w:sz w:val="21"/>
              </w:rPr>
            </w:pPr>
            <w:r w:rsidRPr="00A351F7">
              <w:rPr>
                <w:rFonts w:ascii="Times New Roman" w:hAnsi="Times New Roman" w:cs="Times New Roman"/>
                <w:sz w:val="21"/>
              </w:rPr>
              <w:t>17.17</w:t>
            </w:r>
          </w:p>
        </w:tc>
        <w:tc>
          <w:tcPr>
            <w:tcW w:w="0" w:type="auto"/>
            <w:vAlign w:val="center"/>
            <w:hideMark/>
          </w:tcPr>
          <w:p w14:paraId="3065311F" w14:textId="77777777" w:rsidR="008D45A9" w:rsidRPr="00A351F7" w:rsidRDefault="008D45A9" w:rsidP="00A351F7">
            <w:pPr>
              <w:pStyle w:val="NoSpacing"/>
              <w:jc w:val="center"/>
              <w:rPr>
                <w:rFonts w:ascii="Times New Roman" w:hAnsi="Times New Roman" w:cs="Times New Roman"/>
                <w:sz w:val="21"/>
              </w:rPr>
            </w:pPr>
            <w:r w:rsidRPr="00A351F7">
              <w:rPr>
                <w:rFonts w:ascii="Times New Roman" w:hAnsi="Times New Roman" w:cs="Times New Roman"/>
                <w:sz w:val="21"/>
              </w:rPr>
              <w:t>11.83</w:t>
            </w:r>
          </w:p>
        </w:tc>
        <w:tc>
          <w:tcPr>
            <w:tcW w:w="0" w:type="auto"/>
            <w:vAlign w:val="center"/>
            <w:hideMark/>
          </w:tcPr>
          <w:p w14:paraId="351A3E17" w14:textId="77777777" w:rsidR="008D45A9" w:rsidRPr="00A351F7" w:rsidRDefault="008D45A9" w:rsidP="00A351F7">
            <w:pPr>
              <w:pStyle w:val="NoSpacing"/>
              <w:jc w:val="center"/>
              <w:rPr>
                <w:rFonts w:ascii="Times New Roman" w:hAnsi="Times New Roman" w:cs="Times New Roman"/>
                <w:sz w:val="21"/>
              </w:rPr>
            </w:pPr>
            <w:r w:rsidRPr="00A351F7">
              <w:rPr>
                <w:rFonts w:ascii="Times New Roman" w:hAnsi="Times New Roman" w:cs="Times New Roman"/>
                <w:sz w:val="21"/>
              </w:rPr>
              <w:t>6.25</w:t>
            </w:r>
          </w:p>
        </w:tc>
        <w:tc>
          <w:tcPr>
            <w:tcW w:w="0" w:type="auto"/>
            <w:vAlign w:val="center"/>
            <w:hideMark/>
          </w:tcPr>
          <w:p w14:paraId="4ACCCB4D" w14:textId="77777777" w:rsidR="008D45A9" w:rsidRPr="00A351F7" w:rsidRDefault="008D45A9" w:rsidP="00A351F7">
            <w:pPr>
              <w:pStyle w:val="NoSpacing"/>
              <w:jc w:val="center"/>
              <w:rPr>
                <w:rFonts w:ascii="Times New Roman" w:hAnsi="Times New Roman" w:cs="Times New Roman"/>
                <w:sz w:val="21"/>
              </w:rPr>
            </w:pPr>
            <w:r w:rsidRPr="00A351F7">
              <w:rPr>
                <w:rFonts w:ascii="Times New Roman" w:hAnsi="Times New Roman" w:cs="Times New Roman"/>
                <w:sz w:val="21"/>
              </w:rPr>
              <w:t>18.08</w:t>
            </w:r>
          </w:p>
        </w:tc>
        <w:tc>
          <w:tcPr>
            <w:tcW w:w="0" w:type="auto"/>
            <w:vAlign w:val="center"/>
            <w:hideMark/>
          </w:tcPr>
          <w:p w14:paraId="2DA025BC" w14:textId="77777777" w:rsidR="008D45A9" w:rsidRPr="00A351F7" w:rsidRDefault="008D45A9" w:rsidP="00A351F7">
            <w:pPr>
              <w:pStyle w:val="NoSpacing"/>
              <w:jc w:val="center"/>
              <w:rPr>
                <w:rFonts w:ascii="Times New Roman" w:hAnsi="Times New Roman" w:cs="Times New Roman"/>
                <w:sz w:val="21"/>
              </w:rPr>
            </w:pPr>
            <w:r w:rsidRPr="00A351F7">
              <w:rPr>
                <w:rFonts w:ascii="Times New Roman" w:hAnsi="Times New Roman" w:cs="Times New Roman"/>
                <w:sz w:val="21"/>
              </w:rPr>
              <w:t>43.45</w:t>
            </w:r>
          </w:p>
        </w:tc>
        <w:tc>
          <w:tcPr>
            <w:tcW w:w="0" w:type="auto"/>
            <w:vAlign w:val="center"/>
            <w:hideMark/>
          </w:tcPr>
          <w:p w14:paraId="73D47230" w14:textId="77777777" w:rsidR="008D45A9" w:rsidRPr="00A351F7" w:rsidRDefault="008D45A9" w:rsidP="00A351F7">
            <w:pPr>
              <w:pStyle w:val="NoSpacing"/>
              <w:jc w:val="center"/>
              <w:rPr>
                <w:rFonts w:ascii="Times New Roman" w:hAnsi="Times New Roman" w:cs="Times New Roman"/>
                <w:sz w:val="21"/>
              </w:rPr>
            </w:pPr>
            <w:r w:rsidRPr="00A351F7">
              <w:rPr>
                <w:rFonts w:ascii="Times New Roman" w:hAnsi="Times New Roman" w:cs="Times New Roman"/>
                <w:sz w:val="21"/>
              </w:rPr>
              <w:t>25.00</w:t>
            </w:r>
          </w:p>
        </w:tc>
        <w:tc>
          <w:tcPr>
            <w:tcW w:w="0" w:type="auto"/>
            <w:vAlign w:val="center"/>
            <w:hideMark/>
          </w:tcPr>
          <w:p w14:paraId="382D93EC" w14:textId="77777777" w:rsidR="008D45A9" w:rsidRPr="00A351F7" w:rsidRDefault="008D45A9" w:rsidP="00A351F7">
            <w:pPr>
              <w:pStyle w:val="NoSpacing"/>
              <w:jc w:val="center"/>
              <w:rPr>
                <w:rFonts w:ascii="Times New Roman" w:hAnsi="Times New Roman" w:cs="Times New Roman"/>
                <w:sz w:val="21"/>
              </w:rPr>
            </w:pPr>
            <w:r w:rsidRPr="00A351F7">
              <w:rPr>
                <w:rFonts w:ascii="Times New Roman" w:hAnsi="Times New Roman" w:cs="Times New Roman"/>
                <w:sz w:val="21"/>
              </w:rPr>
              <w:t>68.45</w:t>
            </w:r>
          </w:p>
        </w:tc>
      </w:tr>
      <w:tr w:rsidR="008D45A9" w:rsidRPr="00A351F7" w14:paraId="6E14A75C" w14:textId="77777777" w:rsidTr="00A351F7">
        <w:trPr>
          <w:trHeight w:val="510"/>
        </w:trPr>
        <w:tc>
          <w:tcPr>
            <w:tcW w:w="0" w:type="auto"/>
            <w:hideMark/>
          </w:tcPr>
          <w:p w14:paraId="129339E7" w14:textId="77777777" w:rsidR="008D45A9" w:rsidRPr="00A351F7" w:rsidRDefault="008D45A9" w:rsidP="00B77C0B">
            <w:pPr>
              <w:pStyle w:val="NoSpacing"/>
              <w:rPr>
                <w:rFonts w:ascii="Times New Roman" w:hAnsi="Times New Roman" w:cs="Times New Roman"/>
                <w:sz w:val="21"/>
              </w:rPr>
            </w:pPr>
            <w:r w:rsidRPr="00A351F7">
              <w:rPr>
                <w:rFonts w:ascii="Times New Roman" w:hAnsi="Times New Roman" w:cs="Times New Roman"/>
                <w:sz w:val="21"/>
              </w:rPr>
              <w:t>Madhya Pradesh</w:t>
            </w:r>
          </w:p>
        </w:tc>
        <w:tc>
          <w:tcPr>
            <w:tcW w:w="0" w:type="auto"/>
            <w:vAlign w:val="center"/>
            <w:hideMark/>
          </w:tcPr>
          <w:p w14:paraId="352120EB" w14:textId="77777777" w:rsidR="008D45A9" w:rsidRPr="00A351F7" w:rsidRDefault="008D45A9" w:rsidP="00A351F7">
            <w:pPr>
              <w:pStyle w:val="NoSpacing"/>
              <w:jc w:val="center"/>
              <w:rPr>
                <w:rFonts w:ascii="Times New Roman" w:hAnsi="Times New Roman" w:cs="Times New Roman"/>
                <w:sz w:val="21"/>
              </w:rPr>
            </w:pPr>
            <w:r w:rsidRPr="00A351F7">
              <w:rPr>
                <w:rFonts w:ascii="Times New Roman" w:hAnsi="Times New Roman" w:cs="Times New Roman"/>
                <w:sz w:val="21"/>
              </w:rPr>
              <w:t>16.53</w:t>
            </w:r>
          </w:p>
        </w:tc>
        <w:tc>
          <w:tcPr>
            <w:tcW w:w="0" w:type="auto"/>
            <w:vAlign w:val="center"/>
            <w:hideMark/>
          </w:tcPr>
          <w:p w14:paraId="52F8B495" w14:textId="77777777" w:rsidR="008D45A9" w:rsidRPr="00A351F7" w:rsidRDefault="008D45A9" w:rsidP="00A351F7">
            <w:pPr>
              <w:pStyle w:val="NoSpacing"/>
              <w:jc w:val="center"/>
              <w:rPr>
                <w:rFonts w:ascii="Times New Roman" w:hAnsi="Times New Roman" w:cs="Times New Roman"/>
                <w:sz w:val="21"/>
              </w:rPr>
            </w:pPr>
            <w:r w:rsidRPr="00A351F7">
              <w:rPr>
                <w:rFonts w:ascii="Times New Roman" w:hAnsi="Times New Roman" w:cs="Times New Roman"/>
                <w:sz w:val="21"/>
              </w:rPr>
              <w:t>3.00</w:t>
            </w:r>
          </w:p>
        </w:tc>
        <w:tc>
          <w:tcPr>
            <w:tcW w:w="0" w:type="auto"/>
            <w:vAlign w:val="center"/>
            <w:hideMark/>
          </w:tcPr>
          <w:p w14:paraId="2A349079" w14:textId="77777777" w:rsidR="008D45A9" w:rsidRPr="00A351F7" w:rsidRDefault="008D45A9" w:rsidP="00A351F7">
            <w:pPr>
              <w:pStyle w:val="NoSpacing"/>
              <w:jc w:val="center"/>
              <w:rPr>
                <w:rFonts w:ascii="Times New Roman" w:hAnsi="Times New Roman" w:cs="Times New Roman"/>
                <w:sz w:val="21"/>
              </w:rPr>
            </w:pPr>
            <w:r w:rsidRPr="00A351F7">
              <w:rPr>
                <w:rFonts w:ascii="Times New Roman" w:hAnsi="Times New Roman" w:cs="Times New Roman"/>
                <w:sz w:val="21"/>
              </w:rPr>
              <w:t>19.53</w:t>
            </w:r>
          </w:p>
        </w:tc>
        <w:tc>
          <w:tcPr>
            <w:tcW w:w="0" w:type="auto"/>
            <w:vAlign w:val="center"/>
            <w:hideMark/>
          </w:tcPr>
          <w:p w14:paraId="3D972B5A" w14:textId="77777777" w:rsidR="008D45A9" w:rsidRPr="00A351F7" w:rsidRDefault="008D45A9" w:rsidP="00A351F7">
            <w:pPr>
              <w:pStyle w:val="NoSpacing"/>
              <w:jc w:val="center"/>
              <w:rPr>
                <w:rFonts w:ascii="Times New Roman" w:hAnsi="Times New Roman" w:cs="Times New Roman"/>
                <w:sz w:val="21"/>
              </w:rPr>
            </w:pPr>
            <w:r w:rsidRPr="00A351F7">
              <w:rPr>
                <w:rFonts w:ascii="Times New Roman" w:hAnsi="Times New Roman" w:cs="Times New Roman"/>
                <w:sz w:val="21"/>
              </w:rPr>
              <w:t>19.13</w:t>
            </w:r>
          </w:p>
        </w:tc>
        <w:tc>
          <w:tcPr>
            <w:tcW w:w="0" w:type="auto"/>
            <w:vAlign w:val="center"/>
            <w:hideMark/>
          </w:tcPr>
          <w:p w14:paraId="6B66FAC7" w14:textId="77777777" w:rsidR="008D45A9" w:rsidRPr="00A351F7" w:rsidRDefault="008D45A9" w:rsidP="00A351F7">
            <w:pPr>
              <w:pStyle w:val="NoSpacing"/>
              <w:jc w:val="center"/>
              <w:rPr>
                <w:rFonts w:ascii="Times New Roman" w:hAnsi="Times New Roman" w:cs="Times New Roman"/>
                <w:sz w:val="21"/>
              </w:rPr>
            </w:pPr>
            <w:r w:rsidRPr="00A351F7">
              <w:rPr>
                <w:rFonts w:ascii="Times New Roman" w:hAnsi="Times New Roman" w:cs="Times New Roman"/>
                <w:sz w:val="21"/>
              </w:rPr>
              <w:t>3.00</w:t>
            </w:r>
          </w:p>
        </w:tc>
        <w:tc>
          <w:tcPr>
            <w:tcW w:w="0" w:type="auto"/>
            <w:vAlign w:val="center"/>
            <w:hideMark/>
          </w:tcPr>
          <w:p w14:paraId="68AF9163" w14:textId="77777777" w:rsidR="008D45A9" w:rsidRPr="00A351F7" w:rsidRDefault="008D45A9" w:rsidP="00A351F7">
            <w:pPr>
              <w:pStyle w:val="NoSpacing"/>
              <w:jc w:val="center"/>
              <w:rPr>
                <w:rFonts w:ascii="Times New Roman" w:hAnsi="Times New Roman" w:cs="Times New Roman"/>
                <w:sz w:val="21"/>
              </w:rPr>
            </w:pPr>
            <w:r w:rsidRPr="00A351F7">
              <w:rPr>
                <w:rFonts w:ascii="Times New Roman" w:hAnsi="Times New Roman" w:cs="Times New Roman"/>
                <w:sz w:val="21"/>
              </w:rPr>
              <w:t>22.13</w:t>
            </w:r>
          </w:p>
        </w:tc>
        <w:tc>
          <w:tcPr>
            <w:tcW w:w="0" w:type="auto"/>
            <w:vAlign w:val="center"/>
            <w:hideMark/>
          </w:tcPr>
          <w:p w14:paraId="32696ECA" w14:textId="77777777" w:rsidR="008D45A9" w:rsidRPr="00A351F7" w:rsidRDefault="008D45A9" w:rsidP="00A351F7">
            <w:pPr>
              <w:pStyle w:val="NoSpacing"/>
              <w:jc w:val="center"/>
              <w:rPr>
                <w:rFonts w:ascii="Times New Roman" w:hAnsi="Times New Roman" w:cs="Times New Roman"/>
                <w:sz w:val="21"/>
              </w:rPr>
            </w:pPr>
            <w:r w:rsidRPr="00A351F7">
              <w:rPr>
                <w:rFonts w:ascii="Times New Roman" w:hAnsi="Times New Roman" w:cs="Times New Roman"/>
                <w:sz w:val="21"/>
              </w:rPr>
              <w:t>18.84</w:t>
            </w:r>
          </w:p>
        </w:tc>
        <w:tc>
          <w:tcPr>
            <w:tcW w:w="0" w:type="auto"/>
            <w:vAlign w:val="center"/>
            <w:hideMark/>
          </w:tcPr>
          <w:p w14:paraId="11CBFD79" w14:textId="77777777" w:rsidR="008D45A9" w:rsidRPr="00A351F7" w:rsidRDefault="008D45A9" w:rsidP="00A351F7">
            <w:pPr>
              <w:pStyle w:val="NoSpacing"/>
              <w:jc w:val="center"/>
              <w:rPr>
                <w:rFonts w:ascii="Times New Roman" w:hAnsi="Times New Roman" w:cs="Times New Roman"/>
                <w:sz w:val="21"/>
              </w:rPr>
            </w:pPr>
            <w:r w:rsidRPr="00A351F7">
              <w:rPr>
                <w:rFonts w:ascii="Times New Roman" w:hAnsi="Times New Roman" w:cs="Times New Roman"/>
                <w:sz w:val="21"/>
              </w:rPr>
              <w:t>3.00</w:t>
            </w:r>
          </w:p>
        </w:tc>
        <w:tc>
          <w:tcPr>
            <w:tcW w:w="0" w:type="auto"/>
            <w:vAlign w:val="center"/>
            <w:hideMark/>
          </w:tcPr>
          <w:p w14:paraId="59C7C660" w14:textId="77777777" w:rsidR="008D45A9" w:rsidRPr="00A351F7" w:rsidRDefault="008D45A9" w:rsidP="00A351F7">
            <w:pPr>
              <w:pStyle w:val="NoSpacing"/>
              <w:jc w:val="center"/>
              <w:rPr>
                <w:rFonts w:ascii="Times New Roman" w:hAnsi="Times New Roman" w:cs="Times New Roman"/>
                <w:sz w:val="21"/>
              </w:rPr>
            </w:pPr>
            <w:r w:rsidRPr="00A351F7">
              <w:rPr>
                <w:rFonts w:ascii="Times New Roman" w:hAnsi="Times New Roman" w:cs="Times New Roman"/>
                <w:sz w:val="21"/>
              </w:rPr>
              <w:t>21.84</w:t>
            </w:r>
          </w:p>
        </w:tc>
        <w:tc>
          <w:tcPr>
            <w:tcW w:w="0" w:type="auto"/>
            <w:vAlign w:val="center"/>
            <w:hideMark/>
          </w:tcPr>
          <w:p w14:paraId="60122C49" w14:textId="77777777" w:rsidR="008D45A9" w:rsidRPr="00A351F7" w:rsidRDefault="008D45A9" w:rsidP="00A351F7">
            <w:pPr>
              <w:pStyle w:val="NoSpacing"/>
              <w:jc w:val="center"/>
              <w:rPr>
                <w:rFonts w:ascii="Times New Roman" w:hAnsi="Times New Roman" w:cs="Times New Roman"/>
                <w:sz w:val="21"/>
              </w:rPr>
            </w:pPr>
            <w:r w:rsidRPr="00A351F7">
              <w:rPr>
                <w:rFonts w:ascii="Times New Roman" w:hAnsi="Times New Roman" w:cs="Times New Roman"/>
                <w:sz w:val="21"/>
              </w:rPr>
              <w:t>20.31</w:t>
            </w:r>
          </w:p>
        </w:tc>
        <w:tc>
          <w:tcPr>
            <w:tcW w:w="0" w:type="auto"/>
            <w:vAlign w:val="center"/>
            <w:hideMark/>
          </w:tcPr>
          <w:p w14:paraId="3439DD70" w14:textId="77777777" w:rsidR="008D45A9" w:rsidRPr="00A351F7" w:rsidRDefault="008D45A9" w:rsidP="00A351F7">
            <w:pPr>
              <w:pStyle w:val="NoSpacing"/>
              <w:jc w:val="center"/>
              <w:rPr>
                <w:rFonts w:ascii="Times New Roman" w:hAnsi="Times New Roman" w:cs="Times New Roman"/>
                <w:sz w:val="21"/>
              </w:rPr>
            </w:pPr>
            <w:r w:rsidRPr="00A351F7">
              <w:rPr>
                <w:rFonts w:ascii="Times New Roman" w:hAnsi="Times New Roman" w:cs="Times New Roman"/>
                <w:sz w:val="21"/>
              </w:rPr>
              <w:t>3.00</w:t>
            </w:r>
          </w:p>
        </w:tc>
        <w:tc>
          <w:tcPr>
            <w:tcW w:w="0" w:type="auto"/>
            <w:vAlign w:val="center"/>
            <w:hideMark/>
          </w:tcPr>
          <w:p w14:paraId="2AF0E143" w14:textId="77777777" w:rsidR="008D45A9" w:rsidRPr="00A351F7" w:rsidRDefault="008D45A9" w:rsidP="00A351F7">
            <w:pPr>
              <w:pStyle w:val="NoSpacing"/>
              <w:jc w:val="center"/>
              <w:rPr>
                <w:rFonts w:ascii="Times New Roman" w:hAnsi="Times New Roman" w:cs="Times New Roman"/>
                <w:sz w:val="21"/>
              </w:rPr>
            </w:pPr>
            <w:r w:rsidRPr="00A351F7">
              <w:rPr>
                <w:rFonts w:ascii="Times New Roman" w:hAnsi="Times New Roman" w:cs="Times New Roman"/>
                <w:sz w:val="21"/>
              </w:rPr>
              <w:t>23.31</w:t>
            </w:r>
          </w:p>
        </w:tc>
        <w:tc>
          <w:tcPr>
            <w:tcW w:w="0" w:type="auto"/>
            <w:vAlign w:val="center"/>
            <w:hideMark/>
          </w:tcPr>
          <w:p w14:paraId="75FE9D6E" w14:textId="77777777" w:rsidR="008D45A9" w:rsidRPr="00A351F7" w:rsidRDefault="008D45A9" w:rsidP="00A351F7">
            <w:pPr>
              <w:pStyle w:val="NoSpacing"/>
              <w:jc w:val="center"/>
              <w:rPr>
                <w:rFonts w:ascii="Times New Roman" w:hAnsi="Times New Roman" w:cs="Times New Roman"/>
                <w:sz w:val="21"/>
              </w:rPr>
            </w:pPr>
            <w:r w:rsidRPr="00A351F7">
              <w:rPr>
                <w:rFonts w:ascii="Times New Roman" w:hAnsi="Times New Roman" w:cs="Times New Roman"/>
                <w:sz w:val="21"/>
              </w:rPr>
              <w:t>74.81</w:t>
            </w:r>
          </w:p>
        </w:tc>
        <w:tc>
          <w:tcPr>
            <w:tcW w:w="0" w:type="auto"/>
            <w:vAlign w:val="center"/>
            <w:hideMark/>
          </w:tcPr>
          <w:p w14:paraId="43EA79D9" w14:textId="77777777" w:rsidR="008D45A9" w:rsidRPr="00A351F7" w:rsidRDefault="008D45A9" w:rsidP="00A351F7">
            <w:pPr>
              <w:pStyle w:val="NoSpacing"/>
              <w:jc w:val="center"/>
              <w:rPr>
                <w:rFonts w:ascii="Times New Roman" w:hAnsi="Times New Roman" w:cs="Times New Roman"/>
                <w:sz w:val="21"/>
              </w:rPr>
            </w:pPr>
            <w:r w:rsidRPr="00A351F7">
              <w:rPr>
                <w:rFonts w:ascii="Times New Roman" w:hAnsi="Times New Roman" w:cs="Times New Roman"/>
                <w:sz w:val="21"/>
              </w:rPr>
              <w:t>12.00</w:t>
            </w:r>
          </w:p>
        </w:tc>
        <w:tc>
          <w:tcPr>
            <w:tcW w:w="0" w:type="auto"/>
            <w:vAlign w:val="center"/>
            <w:hideMark/>
          </w:tcPr>
          <w:p w14:paraId="15516176" w14:textId="77777777" w:rsidR="008D45A9" w:rsidRPr="00A351F7" w:rsidRDefault="008D45A9" w:rsidP="00A351F7">
            <w:pPr>
              <w:pStyle w:val="NoSpacing"/>
              <w:jc w:val="center"/>
              <w:rPr>
                <w:rFonts w:ascii="Times New Roman" w:hAnsi="Times New Roman" w:cs="Times New Roman"/>
                <w:sz w:val="21"/>
              </w:rPr>
            </w:pPr>
            <w:r w:rsidRPr="00A351F7">
              <w:rPr>
                <w:rFonts w:ascii="Times New Roman" w:hAnsi="Times New Roman" w:cs="Times New Roman"/>
                <w:sz w:val="21"/>
              </w:rPr>
              <w:t>86.81</w:t>
            </w:r>
          </w:p>
        </w:tc>
      </w:tr>
      <w:tr w:rsidR="008D45A9" w:rsidRPr="00A351F7" w14:paraId="25BBE496" w14:textId="77777777" w:rsidTr="00A351F7">
        <w:trPr>
          <w:trHeight w:val="491"/>
        </w:trPr>
        <w:tc>
          <w:tcPr>
            <w:tcW w:w="0" w:type="auto"/>
            <w:hideMark/>
          </w:tcPr>
          <w:p w14:paraId="296556CE" w14:textId="77777777" w:rsidR="008D45A9" w:rsidRPr="00A351F7" w:rsidRDefault="008D45A9" w:rsidP="00B77C0B">
            <w:pPr>
              <w:pStyle w:val="NoSpacing"/>
              <w:rPr>
                <w:rFonts w:ascii="Times New Roman" w:hAnsi="Times New Roman" w:cs="Times New Roman"/>
                <w:sz w:val="21"/>
              </w:rPr>
            </w:pPr>
            <w:r w:rsidRPr="00A351F7">
              <w:rPr>
                <w:rFonts w:ascii="Times New Roman" w:hAnsi="Times New Roman" w:cs="Times New Roman"/>
                <w:sz w:val="21"/>
              </w:rPr>
              <w:t>Maharashtra</w:t>
            </w:r>
          </w:p>
        </w:tc>
        <w:tc>
          <w:tcPr>
            <w:tcW w:w="0" w:type="auto"/>
            <w:vAlign w:val="center"/>
            <w:hideMark/>
          </w:tcPr>
          <w:p w14:paraId="2FBFE358" w14:textId="77777777" w:rsidR="008D45A9" w:rsidRPr="00A351F7" w:rsidRDefault="008D45A9" w:rsidP="00A351F7">
            <w:pPr>
              <w:pStyle w:val="NoSpacing"/>
              <w:jc w:val="center"/>
              <w:rPr>
                <w:rFonts w:ascii="Times New Roman" w:hAnsi="Times New Roman" w:cs="Times New Roman"/>
                <w:sz w:val="21"/>
              </w:rPr>
            </w:pPr>
            <w:r w:rsidRPr="00A351F7">
              <w:rPr>
                <w:rFonts w:ascii="Times New Roman" w:hAnsi="Times New Roman" w:cs="Times New Roman"/>
                <w:sz w:val="21"/>
              </w:rPr>
              <w:t>26.76</w:t>
            </w:r>
          </w:p>
        </w:tc>
        <w:tc>
          <w:tcPr>
            <w:tcW w:w="0" w:type="auto"/>
            <w:vAlign w:val="center"/>
            <w:hideMark/>
          </w:tcPr>
          <w:p w14:paraId="6F817DE2" w14:textId="77777777" w:rsidR="008D45A9" w:rsidRPr="00A351F7" w:rsidRDefault="008D45A9" w:rsidP="00A351F7">
            <w:pPr>
              <w:pStyle w:val="NoSpacing"/>
              <w:jc w:val="center"/>
              <w:rPr>
                <w:rFonts w:ascii="Times New Roman" w:hAnsi="Times New Roman" w:cs="Times New Roman"/>
                <w:sz w:val="21"/>
              </w:rPr>
            </w:pPr>
            <w:r w:rsidRPr="00A351F7">
              <w:rPr>
                <w:rFonts w:ascii="Times New Roman" w:hAnsi="Times New Roman" w:cs="Times New Roman"/>
                <w:sz w:val="21"/>
              </w:rPr>
              <w:t>..</w:t>
            </w:r>
          </w:p>
        </w:tc>
        <w:tc>
          <w:tcPr>
            <w:tcW w:w="0" w:type="auto"/>
            <w:vAlign w:val="center"/>
            <w:hideMark/>
          </w:tcPr>
          <w:p w14:paraId="55C73BEA" w14:textId="77777777" w:rsidR="008D45A9" w:rsidRPr="00A351F7" w:rsidRDefault="008D45A9" w:rsidP="00A351F7">
            <w:pPr>
              <w:pStyle w:val="NoSpacing"/>
              <w:jc w:val="center"/>
              <w:rPr>
                <w:rFonts w:ascii="Times New Roman" w:hAnsi="Times New Roman" w:cs="Times New Roman"/>
                <w:sz w:val="21"/>
              </w:rPr>
            </w:pPr>
            <w:r w:rsidRPr="00A351F7">
              <w:rPr>
                <w:rFonts w:ascii="Times New Roman" w:hAnsi="Times New Roman" w:cs="Times New Roman"/>
                <w:sz w:val="21"/>
              </w:rPr>
              <w:t>26.76</w:t>
            </w:r>
          </w:p>
        </w:tc>
        <w:tc>
          <w:tcPr>
            <w:tcW w:w="0" w:type="auto"/>
            <w:vAlign w:val="center"/>
            <w:hideMark/>
          </w:tcPr>
          <w:p w14:paraId="575260BD" w14:textId="77777777" w:rsidR="008D45A9" w:rsidRPr="00A351F7" w:rsidRDefault="008D45A9" w:rsidP="00A351F7">
            <w:pPr>
              <w:pStyle w:val="NoSpacing"/>
              <w:jc w:val="center"/>
              <w:rPr>
                <w:rFonts w:ascii="Times New Roman" w:hAnsi="Times New Roman" w:cs="Times New Roman"/>
                <w:sz w:val="21"/>
              </w:rPr>
            </w:pPr>
            <w:r w:rsidRPr="00A351F7">
              <w:rPr>
                <w:rFonts w:ascii="Times New Roman" w:hAnsi="Times New Roman" w:cs="Times New Roman"/>
                <w:sz w:val="21"/>
              </w:rPr>
              <w:t>30.13</w:t>
            </w:r>
          </w:p>
        </w:tc>
        <w:tc>
          <w:tcPr>
            <w:tcW w:w="0" w:type="auto"/>
            <w:vAlign w:val="center"/>
            <w:hideMark/>
          </w:tcPr>
          <w:p w14:paraId="0E561F9C" w14:textId="77777777" w:rsidR="008D45A9" w:rsidRPr="00A351F7" w:rsidRDefault="008D45A9" w:rsidP="00A351F7">
            <w:pPr>
              <w:pStyle w:val="NoSpacing"/>
              <w:jc w:val="center"/>
              <w:rPr>
                <w:rFonts w:ascii="Times New Roman" w:hAnsi="Times New Roman" w:cs="Times New Roman"/>
                <w:sz w:val="21"/>
              </w:rPr>
            </w:pPr>
            <w:r w:rsidRPr="00A351F7">
              <w:rPr>
                <w:rFonts w:ascii="Times New Roman" w:hAnsi="Times New Roman" w:cs="Times New Roman"/>
                <w:sz w:val="21"/>
              </w:rPr>
              <w:t>..</w:t>
            </w:r>
          </w:p>
        </w:tc>
        <w:tc>
          <w:tcPr>
            <w:tcW w:w="0" w:type="auto"/>
            <w:vAlign w:val="center"/>
            <w:hideMark/>
          </w:tcPr>
          <w:p w14:paraId="19075B32" w14:textId="77777777" w:rsidR="008D45A9" w:rsidRPr="00A351F7" w:rsidRDefault="008D45A9" w:rsidP="00A351F7">
            <w:pPr>
              <w:pStyle w:val="NoSpacing"/>
              <w:jc w:val="center"/>
              <w:rPr>
                <w:rFonts w:ascii="Times New Roman" w:hAnsi="Times New Roman" w:cs="Times New Roman"/>
                <w:sz w:val="21"/>
              </w:rPr>
            </w:pPr>
            <w:r w:rsidRPr="00A351F7">
              <w:rPr>
                <w:rFonts w:ascii="Times New Roman" w:hAnsi="Times New Roman" w:cs="Times New Roman"/>
                <w:sz w:val="21"/>
              </w:rPr>
              <w:t>30.13</w:t>
            </w:r>
          </w:p>
        </w:tc>
        <w:tc>
          <w:tcPr>
            <w:tcW w:w="0" w:type="auto"/>
            <w:vAlign w:val="center"/>
            <w:hideMark/>
          </w:tcPr>
          <w:p w14:paraId="4A42577E" w14:textId="77777777" w:rsidR="008D45A9" w:rsidRPr="00A351F7" w:rsidRDefault="008D45A9" w:rsidP="00A351F7">
            <w:pPr>
              <w:pStyle w:val="NoSpacing"/>
              <w:jc w:val="center"/>
              <w:rPr>
                <w:rFonts w:ascii="Times New Roman" w:hAnsi="Times New Roman" w:cs="Times New Roman"/>
                <w:sz w:val="21"/>
              </w:rPr>
            </w:pPr>
            <w:r w:rsidRPr="00A351F7">
              <w:rPr>
                <w:rFonts w:ascii="Times New Roman" w:hAnsi="Times New Roman" w:cs="Times New Roman"/>
                <w:sz w:val="21"/>
              </w:rPr>
              <w:t>30.70</w:t>
            </w:r>
          </w:p>
        </w:tc>
        <w:tc>
          <w:tcPr>
            <w:tcW w:w="0" w:type="auto"/>
            <w:vAlign w:val="center"/>
            <w:hideMark/>
          </w:tcPr>
          <w:p w14:paraId="6E235DCE" w14:textId="77777777" w:rsidR="008D45A9" w:rsidRPr="00A351F7" w:rsidRDefault="008D45A9" w:rsidP="00A351F7">
            <w:pPr>
              <w:pStyle w:val="NoSpacing"/>
              <w:jc w:val="center"/>
              <w:rPr>
                <w:rFonts w:ascii="Times New Roman" w:hAnsi="Times New Roman" w:cs="Times New Roman"/>
                <w:sz w:val="21"/>
              </w:rPr>
            </w:pPr>
            <w:r w:rsidRPr="00A351F7">
              <w:rPr>
                <w:rFonts w:ascii="Times New Roman" w:hAnsi="Times New Roman" w:cs="Times New Roman"/>
                <w:sz w:val="21"/>
              </w:rPr>
              <w:t>..</w:t>
            </w:r>
          </w:p>
        </w:tc>
        <w:tc>
          <w:tcPr>
            <w:tcW w:w="0" w:type="auto"/>
            <w:vAlign w:val="center"/>
            <w:hideMark/>
          </w:tcPr>
          <w:p w14:paraId="5DD28A4A" w14:textId="77777777" w:rsidR="008D45A9" w:rsidRPr="00A351F7" w:rsidRDefault="008D45A9" w:rsidP="00A351F7">
            <w:pPr>
              <w:pStyle w:val="NoSpacing"/>
              <w:jc w:val="center"/>
              <w:rPr>
                <w:rFonts w:ascii="Times New Roman" w:hAnsi="Times New Roman" w:cs="Times New Roman"/>
                <w:sz w:val="21"/>
              </w:rPr>
            </w:pPr>
            <w:r w:rsidRPr="00A351F7">
              <w:rPr>
                <w:rFonts w:ascii="Times New Roman" w:hAnsi="Times New Roman" w:cs="Times New Roman"/>
                <w:sz w:val="21"/>
              </w:rPr>
              <w:t>30.70</w:t>
            </w:r>
          </w:p>
        </w:tc>
        <w:tc>
          <w:tcPr>
            <w:tcW w:w="0" w:type="auto"/>
            <w:vAlign w:val="center"/>
            <w:hideMark/>
          </w:tcPr>
          <w:p w14:paraId="71102CCB" w14:textId="77777777" w:rsidR="008D45A9" w:rsidRPr="00A351F7" w:rsidRDefault="008D45A9" w:rsidP="00A351F7">
            <w:pPr>
              <w:pStyle w:val="NoSpacing"/>
              <w:jc w:val="center"/>
              <w:rPr>
                <w:rFonts w:ascii="Times New Roman" w:hAnsi="Times New Roman" w:cs="Times New Roman"/>
                <w:sz w:val="21"/>
              </w:rPr>
            </w:pPr>
            <w:r w:rsidRPr="00A351F7">
              <w:rPr>
                <w:rFonts w:ascii="Times New Roman" w:hAnsi="Times New Roman" w:cs="Times New Roman"/>
                <w:sz w:val="21"/>
              </w:rPr>
              <w:t>31.93</w:t>
            </w:r>
          </w:p>
        </w:tc>
        <w:tc>
          <w:tcPr>
            <w:tcW w:w="0" w:type="auto"/>
            <w:vAlign w:val="center"/>
            <w:hideMark/>
          </w:tcPr>
          <w:p w14:paraId="149367E0" w14:textId="77777777" w:rsidR="008D45A9" w:rsidRPr="00A351F7" w:rsidRDefault="008D45A9" w:rsidP="00A351F7">
            <w:pPr>
              <w:pStyle w:val="NoSpacing"/>
              <w:jc w:val="center"/>
              <w:rPr>
                <w:rFonts w:ascii="Times New Roman" w:hAnsi="Times New Roman" w:cs="Times New Roman"/>
                <w:sz w:val="21"/>
              </w:rPr>
            </w:pPr>
            <w:r w:rsidRPr="00A351F7">
              <w:rPr>
                <w:rFonts w:ascii="Times New Roman" w:hAnsi="Times New Roman" w:cs="Times New Roman"/>
                <w:sz w:val="21"/>
              </w:rPr>
              <w:t>..</w:t>
            </w:r>
          </w:p>
        </w:tc>
        <w:tc>
          <w:tcPr>
            <w:tcW w:w="0" w:type="auto"/>
            <w:vAlign w:val="center"/>
            <w:hideMark/>
          </w:tcPr>
          <w:p w14:paraId="7604C73A" w14:textId="77777777" w:rsidR="008D45A9" w:rsidRPr="00A351F7" w:rsidRDefault="008D45A9" w:rsidP="00A351F7">
            <w:pPr>
              <w:pStyle w:val="NoSpacing"/>
              <w:jc w:val="center"/>
              <w:rPr>
                <w:rFonts w:ascii="Times New Roman" w:hAnsi="Times New Roman" w:cs="Times New Roman"/>
                <w:sz w:val="21"/>
              </w:rPr>
            </w:pPr>
            <w:r w:rsidRPr="00A351F7">
              <w:rPr>
                <w:rFonts w:ascii="Times New Roman" w:hAnsi="Times New Roman" w:cs="Times New Roman"/>
                <w:sz w:val="21"/>
              </w:rPr>
              <w:t>31.93</w:t>
            </w:r>
          </w:p>
        </w:tc>
        <w:tc>
          <w:tcPr>
            <w:tcW w:w="0" w:type="auto"/>
            <w:vAlign w:val="center"/>
            <w:hideMark/>
          </w:tcPr>
          <w:p w14:paraId="305BE785" w14:textId="77777777" w:rsidR="008D45A9" w:rsidRPr="00A351F7" w:rsidRDefault="008D45A9" w:rsidP="00A351F7">
            <w:pPr>
              <w:pStyle w:val="NoSpacing"/>
              <w:jc w:val="center"/>
              <w:rPr>
                <w:rFonts w:ascii="Times New Roman" w:hAnsi="Times New Roman" w:cs="Times New Roman"/>
                <w:sz w:val="21"/>
              </w:rPr>
            </w:pPr>
            <w:r w:rsidRPr="00A351F7">
              <w:rPr>
                <w:rFonts w:ascii="Times New Roman" w:hAnsi="Times New Roman" w:cs="Times New Roman"/>
                <w:sz w:val="21"/>
              </w:rPr>
              <w:t>119.52</w:t>
            </w:r>
          </w:p>
        </w:tc>
        <w:tc>
          <w:tcPr>
            <w:tcW w:w="0" w:type="auto"/>
            <w:vAlign w:val="center"/>
            <w:hideMark/>
          </w:tcPr>
          <w:p w14:paraId="50CD9F13" w14:textId="77777777" w:rsidR="008D45A9" w:rsidRPr="00A351F7" w:rsidRDefault="008D45A9" w:rsidP="00A351F7">
            <w:pPr>
              <w:pStyle w:val="NoSpacing"/>
              <w:jc w:val="center"/>
              <w:rPr>
                <w:rFonts w:ascii="Times New Roman" w:hAnsi="Times New Roman" w:cs="Times New Roman"/>
                <w:sz w:val="21"/>
              </w:rPr>
            </w:pPr>
            <w:r w:rsidRPr="00A351F7">
              <w:rPr>
                <w:rFonts w:ascii="Times New Roman" w:hAnsi="Times New Roman" w:cs="Times New Roman"/>
                <w:sz w:val="21"/>
              </w:rPr>
              <w:t>..</w:t>
            </w:r>
          </w:p>
        </w:tc>
        <w:tc>
          <w:tcPr>
            <w:tcW w:w="0" w:type="auto"/>
            <w:vAlign w:val="center"/>
            <w:hideMark/>
          </w:tcPr>
          <w:p w14:paraId="7B5C79DC" w14:textId="77777777" w:rsidR="008D45A9" w:rsidRPr="00A351F7" w:rsidRDefault="008D45A9" w:rsidP="00A351F7">
            <w:pPr>
              <w:pStyle w:val="NoSpacing"/>
              <w:jc w:val="center"/>
              <w:rPr>
                <w:rFonts w:ascii="Times New Roman" w:hAnsi="Times New Roman" w:cs="Times New Roman"/>
                <w:sz w:val="21"/>
              </w:rPr>
            </w:pPr>
            <w:r w:rsidRPr="00A351F7">
              <w:rPr>
                <w:rFonts w:ascii="Times New Roman" w:hAnsi="Times New Roman" w:cs="Times New Roman"/>
                <w:sz w:val="21"/>
              </w:rPr>
              <w:t>119.52</w:t>
            </w:r>
          </w:p>
        </w:tc>
      </w:tr>
      <w:tr w:rsidR="008D45A9" w:rsidRPr="00A351F7" w14:paraId="02C15156" w14:textId="77777777" w:rsidTr="00A351F7">
        <w:trPr>
          <w:trHeight w:val="245"/>
        </w:trPr>
        <w:tc>
          <w:tcPr>
            <w:tcW w:w="0" w:type="auto"/>
            <w:hideMark/>
          </w:tcPr>
          <w:p w14:paraId="343D051E" w14:textId="77777777" w:rsidR="008D45A9" w:rsidRPr="00A351F7" w:rsidRDefault="008D45A9" w:rsidP="00B77C0B">
            <w:pPr>
              <w:pStyle w:val="NoSpacing"/>
              <w:rPr>
                <w:rFonts w:ascii="Times New Roman" w:hAnsi="Times New Roman" w:cs="Times New Roman"/>
                <w:sz w:val="21"/>
              </w:rPr>
            </w:pPr>
            <w:r w:rsidRPr="00A351F7">
              <w:rPr>
                <w:rFonts w:ascii="Times New Roman" w:hAnsi="Times New Roman" w:cs="Times New Roman"/>
                <w:sz w:val="21"/>
              </w:rPr>
              <w:t>Mysore</w:t>
            </w:r>
          </w:p>
        </w:tc>
        <w:tc>
          <w:tcPr>
            <w:tcW w:w="0" w:type="auto"/>
            <w:vAlign w:val="center"/>
            <w:hideMark/>
          </w:tcPr>
          <w:p w14:paraId="23FA1356" w14:textId="77777777" w:rsidR="008D45A9" w:rsidRPr="00A351F7" w:rsidRDefault="008D45A9" w:rsidP="00A351F7">
            <w:pPr>
              <w:pStyle w:val="NoSpacing"/>
              <w:jc w:val="center"/>
              <w:rPr>
                <w:rFonts w:ascii="Times New Roman" w:hAnsi="Times New Roman" w:cs="Times New Roman"/>
                <w:sz w:val="21"/>
              </w:rPr>
            </w:pPr>
            <w:r w:rsidRPr="00A351F7">
              <w:rPr>
                <w:rFonts w:ascii="Times New Roman" w:hAnsi="Times New Roman" w:cs="Times New Roman"/>
                <w:sz w:val="21"/>
              </w:rPr>
              <w:t>11.93</w:t>
            </w:r>
          </w:p>
        </w:tc>
        <w:tc>
          <w:tcPr>
            <w:tcW w:w="0" w:type="auto"/>
            <w:vAlign w:val="center"/>
            <w:hideMark/>
          </w:tcPr>
          <w:p w14:paraId="4BC49000" w14:textId="77777777" w:rsidR="008D45A9" w:rsidRPr="00A351F7" w:rsidRDefault="008D45A9" w:rsidP="00A351F7">
            <w:pPr>
              <w:pStyle w:val="NoSpacing"/>
              <w:jc w:val="center"/>
              <w:rPr>
                <w:rFonts w:ascii="Times New Roman" w:hAnsi="Times New Roman" w:cs="Times New Roman"/>
                <w:sz w:val="21"/>
              </w:rPr>
            </w:pPr>
            <w:r w:rsidRPr="00A351F7">
              <w:rPr>
                <w:rFonts w:ascii="Times New Roman" w:hAnsi="Times New Roman" w:cs="Times New Roman"/>
                <w:sz w:val="21"/>
              </w:rPr>
              <w:t>6.75</w:t>
            </w:r>
          </w:p>
        </w:tc>
        <w:tc>
          <w:tcPr>
            <w:tcW w:w="0" w:type="auto"/>
            <w:vAlign w:val="center"/>
            <w:hideMark/>
          </w:tcPr>
          <w:p w14:paraId="4ED52DF6" w14:textId="77777777" w:rsidR="008D45A9" w:rsidRPr="00A351F7" w:rsidRDefault="008D45A9" w:rsidP="00A351F7">
            <w:pPr>
              <w:pStyle w:val="NoSpacing"/>
              <w:jc w:val="center"/>
              <w:rPr>
                <w:rFonts w:ascii="Times New Roman" w:hAnsi="Times New Roman" w:cs="Times New Roman"/>
                <w:sz w:val="21"/>
              </w:rPr>
            </w:pPr>
            <w:r w:rsidRPr="00A351F7">
              <w:rPr>
                <w:rFonts w:ascii="Times New Roman" w:hAnsi="Times New Roman" w:cs="Times New Roman"/>
                <w:sz w:val="21"/>
              </w:rPr>
              <w:t>18.68</w:t>
            </w:r>
          </w:p>
        </w:tc>
        <w:tc>
          <w:tcPr>
            <w:tcW w:w="0" w:type="auto"/>
            <w:vAlign w:val="center"/>
            <w:hideMark/>
          </w:tcPr>
          <w:p w14:paraId="635107AA" w14:textId="77777777" w:rsidR="008D45A9" w:rsidRPr="00A351F7" w:rsidRDefault="008D45A9" w:rsidP="00A351F7">
            <w:pPr>
              <w:pStyle w:val="NoSpacing"/>
              <w:jc w:val="center"/>
              <w:rPr>
                <w:rFonts w:ascii="Times New Roman" w:hAnsi="Times New Roman" w:cs="Times New Roman"/>
                <w:sz w:val="21"/>
              </w:rPr>
            </w:pPr>
            <w:r w:rsidRPr="00A351F7">
              <w:rPr>
                <w:rFonts w:ascii="Times New Roman" w:hAnsi="Times New Roman" w:cs="Times New Roman"/>
                <w:sz w:val="21"/>
              </w:rPr>
              <w:t>13.90</w:t>
            </w:r>
          </w:p>
        </w:tc>
        <w:tc>
          <w:tcPr>
            <w:tcW w:w="0" w:type="auto"/>
            <w:vAlign w:val="center"/>
            <w:hideMark/>
          </w:tcPr>
          <w:p w14:paraId="369FE1AB" w14:textId="77777777" w:rsidR="008D45A9" w:rsidRPr="00A351F7" w:rsidRDefault="008D45A9" w:rsidP="00A351F7">
            <w:pPr>
              <w:pStyle w:val="NoSpacing"/>
              <w:jc w:val="center"/>
              <w:rPr>
                <w:rFonts w:ascii="Times New Roman" w:hAnsi="Times New Roman" w:cs="Times New Roman"/>
                <w:sz w:val="21"/>
              </w:rPr>
            </w:pPr>
            <w:r w:rsidRPr="00A351F7">
              <w:rPr>
                <w:rFonts w:ascii="Times New Roman" w:hAnsi="Times New Roman" w:cs="Times New Roman"/>
                <w:sz w:val="21"/>
              </w:rPr>
              <w:t>6.75</w:t>
            </w:r>
          </w:p>
        </w:tc>
        <w:tc>
          <w:tcPr>
            <w:tcW w:w="0" w:type="auto"/>
            <w:vAlign w:val="center"/>
            <w:hideMark/>
          </w:tcPr>
          <w:p w14:paraId="2EA13FF4" w14:textId="77777777" w:rsidR="008D45A9" w:rsidRPr="00A351F7" w:rsidRDefault="008D45A9" w:rsidP="00A351F7">
            <w:pPr>
              <w:pStyle w:val="NoSpacing"/>
              <w:jc w:val="center"/>
              <w:rPr>
                <w:rFonts w:ascii="Times New Roman" w:hAnsi="Times New Roman" w:cs="Times New Roman"/>
                <w:sz w:val="21"/>
              </w:rPr>
            </w:pPr>
            <w:r w:rsidRPr="00A351F7">
              <w:rPr>
                <w:rFonts w:ascii="Times New Roman" w:hAnsi="Times New Roman" w:cs="Times New Roman"/>
                <w:sz w:val="21"/>
              </w:rPr>
              <w:t>20.65</w:t>
            </w:r>
          </w:p>
        </w:tc>
        <w:tc>
          <w:tcPr>
            <w:tcW w:w="0" w:type="auto"/>
            <w:vAlign w:val="center"/>
            <w:hideMark/>
          </w:tcPr>
          <w:p w14:paraId="7B1F3D84" w14:textId="77777777" w:rsidR="008D45A9" w:rsidRPr="00A351F7" w:rsidRDefault="008D45A9" w:rsidP="00A351F7">
            <w:pPr>
              <w:pStyle w:val="NoSpacing"/>
              <w:jc w:val="center"/>
              <w:rPr>
                <w:rFonts w:ascii="Times New Roman" w:hAnsi="Times New Roman" w:cs="Times New Roman"/>
                <w:sz w:val="21"/>
              </w:rPr>
            </w:pPr>
            <w:r w:rsidRPr="00A351F7">
              <w:rPr>
                <w:rFonts w:ascii="Times New Roman" w:hAnsi="Times New Roman" w:cs="Times New Roman"/>
                <w:sz w:val="21"/>
              </w:rPr>
              <w:t>13.70</w:t>
            </w:r>
          </w:p>
        </w:tc>
        <w:tc>
          <w:tcPr>
            <w:tcW w:w="0" w:type="auto"/>
            <w:vAlign w:val="center"/>
            <w:hideMark/>
          </w:tcPr>
          <w:p w14:paraId="7887F4E6" w14:textId="77777777" w:rsidR="008D45A9" w:rsidRPr="00A351F7" w:rsidRDefault="008D45A9" w:rsidP="00A351F7">
            <w:pPr>
              <w:pStyle w:val="NoSpacing"/>
              <w:jc w:val="center"/>
              <w:rPr>
                <w:rFonts w:ascii="Times New Roman" w:hAnsi="Times New Roman" w:cs="Times New Roman"/>
                <w:sz w:val="21"/>
              </w:rPr>
            </w:pPr>
            <w:r w:rsidRPr="00A351F7">
              <w:rPr>
                <w:rFonts w:ascii="Times New Roman" w:hAnsi="Times New Roman" w:cs="Times New Roman"/>
                <w:sz w:val="21"/>
              </w:rPr>
              <w:t>6.75</w:t>
            </w:r>
          </w:p>
        </w:tc>
        <w:tc>
          <w:tcPr>
            <w:tcW w:w="0" w:type="auto"/>
            <w:vAlign w:val="center"/>
            <w:hideMark/>
          </w:tcPr>
          <w:p w14:paraId="12CB16D1" w14:textId="77777777" w:rsidR="008D45A9" w:rsidRPr="00A351F7" w:rsidRDefault="008D45A9" w:rsidP="00A351F7">
            <w:pPr>
              <w:pStyle w:val="NoSpacing"/>
              <w:jc w:val="center"/>
              <w:rPr>
                <w:rFonts w:ascii="Times New Roman" w:hAnsi="Times New Roman" w:cs="Times New Roman"/>
                <w:sz w:val="21"/>
              </w:rPr>
            </w:pPr>
            <w:r w:rsidRPr="00A351F7">
              <w:rPr>
                <w:rFonts w:ascii="Times New Roman" w:hAnsi="Times New Roman" w:cs="Times New Roman"/>
                <w:sz w:val="21"/>
              </w:rPr>
              <w:t>20.45</w:t>
            </w:r>
          </w:p>
        </w:tc>
        <w:tc>
          <w:tcPr>
            <w:tcW w:w="0" w:type="auto"/>
            <w:vAlign w:val="center"/>
            <w:hideMark/>
          </w:tcPr>
          <w:p w14:paraId="1436FBC3" w14:textId="77777777" w:rsidR="008D45A9" w:rsidRPr="00A351F7" w:rsidRDefault="008D45A9" w:rsidP="00A351F7">
            <w:pPr>
              <w:pStyle w:val="NoSpacing"/>
              <w:jc w:val="center"/>
              <w:rPr>
                <w:rFonts w:ascii="Times New Roman" w:hAnsi="Times New Roman" w:cs="Times New Roman"/>
                <w:sz w:val="21"/>
              </w:rPr>
            </w:pPr>
            <w:r w:rsidRPr="00A351F7">
              <w:rPr>
                <w:rFonts w:ascii="Times New Roman" w:hAnsi="Times New Roman" w:cs="Times New Roman"/>
                <w:sz w:val="21"/>
              </w:rPr>
              <w:t>14.70</w:t>
            </w:r>
          </w:p>
        </w:tc>
        <w:tc>
          <w:tcPr>
            <w:tcW w:w="0" w:type="auto"/>
            <w:vAlign w:val="center"/>
            <w:hideMark/>
          </w:tcPr>
          <w:p w14:paraId="1C652549" w14:textId="77777777" w:rsidR="008D45A9" w:rsidRPr="00A351F7" w:rsidRDefault="008D45A9" w:rsidP="00A351F7">
            <w:pPr>
              <w:pStyle w:val="NoSpacing"/>
              <w:jc w:val="center"/>
              <w:rPr>
                <w:rFonts w:ascii="Times New Roman" w:hAnsi="Times New Roman" w:cs="Times New Roman"/>
                <w:sz w:val="21"/>
              </w:rPr>
            </w:pPr>
            <w:r w:rsidRPr="00A351F7">
              <w:rPr>
                <w:rFonts w:ascii="Times New Roman" w:hAnsi="Times New Roman" w:cs="Times New Roman"/>
                <w:sz w:val="21"/>
              </w:rPr>
              <w:t>6.75</w:t>
            </w:r>
          </w:p>
        </w:tc>
        <w:tc>
          <w:tcPr>
            <w:tcW w:w="0" w:type="auto"/>
            <w:vAlign w:val="center"/>
            <w:hideMark/>
          </w:tcPr>
          <w:p w14:paraId="6F5412E5" w14:textId="77777777" w:rsidR="008D45A9" w:rsidRPr="00A351F7" w:rsidRDefault="008D45A9" w:rsidP="00A351F7">
            <w:pPr>
              <w:pStyle w:val="NoSpacing"/>
              <w:jc w:val="center"/>
              <w:rPr>
                <w:rFonts w:ascii="Times New Roman" w:hAnsi="Times New Roman" w:cs="Times New Roman"/>
                <w:sz w:val="21"/>
              </w:rPr>
            </w:pPr>
            <w:r w:rsidRPr="00A351F7">
              <w:rPr>
                <w:rFonts w:ascii="Times New Roman" w:hAnsi="Times New Roman" w:cs="Times New Roman"/>
                <w:sz w:val="21"/>
              </w:rPr>
              <w:t>21.45</w:t>
            </w:r>
          </w:p>
        </w:tc>
        <w:tc>
          <w:tcPr>
            <w:tcW w:w="0" w:type="auto"/>
            <w:vAlign w:val="center"/>
            <w:hideMark/>
          </w:tcPr>
          <w:p w14:paraId="0765CFEF" w14:textId="77777777" w:rsidR="008D45A9" w:rsidRPr="00A351F7" w:rsidRDefault="008D45A9" w:rsidP="00A351F7">
            <w:pPr>
              <w:pStyle w:val="NoSpacing"/>
              <w:jc w:val="center"/>
              <w:rPr>
                <w:rFonts w:ascii="Times New Roman" w:hAnsi="Times New Roman" w:cs="Times New Roman"/>
                <w:sz w:val="21"/>
              </w:rPr>
            </w:pPr>
            <w:r w:rsidRPr="00A351F7">
              <w:rPr>
                <w:rFonts w:ascii="Times New Roman" w:hAnsi="Times New Roman" w:cs="Times New Roman"/>
                <w:sz w:val="21"/>
              </w:rPr>
              <w:t>54.23</w:t>
            </w:r>
          </w:p>
        </w:tc>
        <w:tc>
          <w:tcPr>
            <w:tcW w:w="0" w:type="auto"/>
            <w:vAlign w:val="center"/>
            <w:hideMark/>
          </w:tcPr>
          <w:p w14:paraId="67E6B74C" w14:textId="77777777" w:rsidR="008D45A9" w:rsidRPr="00A351F7" w:rsidRDefault="008D45A9" w:rsidP="00A351F7">
            <w:pPr>
              <w:pStyle w:val="NoSpacing"/>
              <w:jc w:val="center"/>
              <w:rPr>
                <w:rFonts w:ascii="Times New Roman" w:hAnsi="Times New Roman" w:cs="Times New Roman"/>
                <w:sz w:val="21"/>
              </w:rPr>
            </w:pPr>
            <w:r w:rsidRPr="00A351F7">
              <w:rPr>
                <w:rFonts w:ascii="Times New Roman" w:hAnsi="Times New Roman" w:cs="Times New Roman"/>
                <w:sz w:val="21"/>
              </w:rPr>
              <w:t>27.00</w:t>
            </w:r>
          </w:p>
        </w:tc>
        <w:tc>
          <w:tcPr>
            <w:tcW w:w="0" w:type="auto"/>
            <w:vAlign w:val="center"/>
            <w:hideMark/>
          </w:tcPr>
          <w:p w14:paraId="1912D6A6" w14:textId="77777777" w:rsidR="008D45A9" w:rsidRPr="00A351F7" w:rsidRDefault="008D45A9" w:rsidP="00A351F7">
            <w:pPr>
              <w:pStyle w:val="NoSpacing"/>
              <w:jc w:val="center"/>
              <w:rPr>
                <w:rFonts w:ascii="Times New Roman" w:hAnsi="Times New Roman" w:cs="Times New Roman"/>
                <w:sz w:val="21"/>
              </w:rPr>
            </w:pPr>
            <w:r w:rsidRPr="00A351F7">
              <w:rPr>
                <w:rFonts w:ascii="Times New Roman" w:hAnsi="Times New Roman" w:cs="Times New Roman"/>
                <w:sz w:val="21"/>
              </w:rPr>
              <w:t>81.23</w:t>
            </w:r>
          </w:p>
        </w:tc>
      </w:tr>
      <w:tr w:rsidR="008D45A9" w:rsidRPr="00A351F7" w14:paraId="4A8FB7B8" w14:textId="77777777" w:rsidTr="00A351F7">
        <w:trPr>
          <w:trHeight w:val="245"/>
        </w:trPr>
        <w:tc>
          <w:tcPr>
            <w:tcW w:w="0" w:type="auto"/>
            <w:hideMark/>
          </w:tcPr>
          <w:p w14:paraId="4D59F81B" w14:textId="77777777" w:rsidR="008D45A9" w:rsidRPr="00A351F7" w:rsidRDefault="008D45A9" w:rsidP="00B77C0B">
            <w:pPr>
              <w:pStyle w:val="NoSpacing"/>
              <w:rPr>
                <w:rFonts w:ascii="Times New Roman" w:hAnsi="Times New Roman" w:cs="Times New Roman"/>
                <w:sz w:val="21"/>
              </w:rPr>
            </w:pPr>
            <w:r w:rsidRPr="00A351F7">
              <w:rPr>
                <w:rFonts w:ascii="Times New Roman" w:hAnsi="Times New Roman" w:cs="Times New Roman"/>
                <w:sz w:val="21"/>
              </w:rPr>
              <w:t>Nagaland</w:t>
            </w:r>
          </w:p>
        </w:tc>
        <w:tc>
          <w:tcPr>
            <w:tcW w:w="0" w:type="auto"/>
            <w:vAlign w:val="center"/>
            <w:hideMark/>
          </w:tcPr>
          <w:p w14:paraId="0F8FEF91" w14:textId="77777777" w:rsidR="008D45A9" w:rsidRPr="00A351F7" w:rsidRDefault="008D45A9" w:rsidP="00A351F7">
            <w:pPr>
              <w:pStyle w:val="NoSpacing"/>
              <w:jc w:val="center"/>
              <w:rPr>
                <w:rFonts w:ascii="Times New Roman" w:hAnsi="Times New Roman" w:cs="Times New Roman"/>
                <w:sz w:val="21"/>
              </w:rPr>
            </w:pPr>
            <w:r w:rsidRPr="00A351F7">
              <w:rPr>
                <w:rFonts w:ascii="Times New Roman" w:hAnsi="Times New Roman" w:cs="Times New Roman"/>
                <w:sz w:val="21"/>
              </w:rPr>
              <w:t>..</w:t>
            </w:r>
          </w:p>
        </w:tc>
        <w:tc>
          <w:tcPr>
            <w:tcW w:w="0" w:type="auto"/>
            <w:vAlign w:val="center"/>
            <w:hideMark/>
          </w:tcPr>
          <w:p w14:paraId="1FE64A4C" w14:textId="77777777" w:rsidR="008D45A9" w:rsidRPr="00A351F7" w:rsidRDefault="008D45A9" w:rsidP="00A351F7">
            <w:pPr>
              <w:pStyle w:val="NoSpacing"/>
              <w:jc w:val="center"/>
              <w:rPr>
                <w:rFonts w:ascii="Times New Roman" w:hAnsi="Times New Roman" w:cs="Times New Roman"/>
                <w:sz w:val="21"/>
              </w:rPr>
            </w:pPr>
            <w:r w:rsidRPr="00A351F7">
              <w:rPr>
                <w:rFonts w:ascii="Times New Roman" w:hAnsi="Times New Roman" w:cs="Times New Roman"/>
                <w:sz w:val="21"/>
              </w:rPr>
              <w:t>..</w:t>
            </w:r>
          </w:p>
        </w:tc>
        <w:tc>
          <w:tcPr>
            <w:tcW w:w="0" w:type="auto"/>
            <w:vAlign w:val="center"/>
            <w:hideMark/>
          </w:tcPr>
          <w:p w14:paraId="60BCF70F" w14:textId="77777777" w:rsidR="008D45A9" w:rsidRPr="00A351F7" w:rsidRDefault="008D45A9" w:rsidP="00A351F7">
            <w:pPr>
              <w:pStyle w:val="NoSpacing"/>
              <w:jc w:val="center"/>
              <w:rPr>
                <w:rFonts w:ascii="Times New Roman" w:hAnsi="Times New Roman" w:cs="Times New Roman"/>
                <w:sz w:val="21"/>
              </w:rPr>
            </w:pPr>
            <w:r w:rsidRPr="00A351F7">
              <w:rPr>
                <w:rFonts w:ascii="Times New Roman" w:hAnsi="Times New Roman" w:cs="Times New Roman"/>
                <w:sz w:val="21"/>
              </w:rPr>
              <w:t>..</w:t>
            </w:r>
          </w:p>
        </w:tc>
        <w:tc>
          <w:tcPr>
            <w:tcW w:w="0" w:type="auto"/>
            <w:vAlign w:val="center"/>
            <w:hideMark/>
          </w:tcPr>
          <w:p w14:paraId="4C5EF628" w14:textId="77777777" w:rsidR="008D45A9" w:rsidRPr="00A351F7" w:rsidRDefault="008D45A9" w:rsidP="00A351F7">
            <w:pPr>
              <w:pStyle w:val="NoSpacing"/>
              <w:jc w:val="center"/>
              <w:rPr>
                <w:rFonts w:ascii="Times New Roman" w:hAnsi="Times New Roman" w:cs="Times New Roman"/>
                <w:sz w:val="21"/>
              </w:rPr>
            </w:pPr>
            <w:r w:rsidRPr="00A351F7">
              <w:rPr>
                <w:rFonts w:ascii="Times New Roman" w:hAnsi="Times New Roman" w:cs="Times New Roman"/>
                <w:sz w:val="21"/>
              </w:rPr>
              <w:t>0.09*</w:t>
            </w:r>
          </w:p>
        </w:tc>
        <w:tc>
          <w:tcPr>
            <w:tcW w:w="0" w:type="auto"/>
            <w:vAlign w:val="center"/>
            <w:hideMark/>
          </w:tcPr>
          <w:p w14:paraId="72163219" w14:textId="77777777" w:rsidR="008D45A9" w:rsidRPr="00A351F7" w:rsidRDefault="008D45A9" w:rsidP="00A351F7">
            <w:pPr>
              <w:pStyle w:val="NoSpacing"/>
              <w:jc w:val="center"/>
              <w:rPr>
                <w:rFonts w:ascii="Times New Roman" w:hAnsi="Times New Roman" w:cs="Times New Roman"/>
                <w:sz w:val="21"/>
              </w:rPr>
            </w:pPr>
            <w:r w:rsidRPr="00A351F7">
              <w:rPr>
                <w:rFonts w:ascii="Times New Roman" w:hAnsi="Times New Roman" w:cs="Times New Roman"/>
                <w:sz w:val="21"/>
              </w:rPr>
              <w:t>..</w:t>
            </w:r>
          </w:p>
        </w:tc>
        <w:tc>
          <w:tcPr>
            <w:tcW w:w="0" w:type="auto"/>
            <w:vAlign w:val="center"/>
            <w:hideMark/>
          </w:tcPr>
          <w:p w14:paraId="588CD38E" w14:textId="77777777" w:rsidR="008D45A9" w:rsidRPr="00A351F7" w:rsidRDefault="008D45A9" w:rsidP="00A351F7">
            <w:pPr>
              <w:pStyle w:val="NoSpacing"/>
              <w:jc w:val="center"/>
              <w:rPr>
                <w:rFonts w:ascii="Times New Roman" w:hAnsi="Times New Roman" w:cs="Times New Roman"/>
                <w:sz w:val="21"/>
              </w:rPr>
            </w:pPr>
            <w:r w:rsidRPr="00A351F7">
              <w:rPr>
                <w:rFonts w:ascii="Times New Roman" w:hAnsi="Times New Roman" w:cs="Times New Roman"/>
                <w:sz w:val="21"/>
              </w:rPr>
              <w:t>0.09</w:t>
            </w:r>
          </w:p>
        </w:tc>
        <w:tc>
          <w:tcPr>
            <w:tcW w:w="0" w:type="auto"/>
            <w:vAlign w:val="center"/>
            <w:hideMark/>
          </w:tcPr>
          <w:p w14:paraId="2D9CCCC6" w14:textId="77777777" w:rsidR="008D45A9" w:rsidRPr="00A351F7" w:rsidRDefault="008D45A9" w:rsidP="00A351F7">
            <w:pPr>
              <w:pStyle w:val="NoSpacing"/>
              <w:jc w:val="center"/>
              <w:rPr>
                <w:rFonts w:ascii="Times New Roman" w:hAnsi="Times New Roman" w:cs="Times New Roman"/>
                <w:sz w:val="21"/>
              </w:rPr>
            </w:pPr>
            <w:r w:rsidRPr="00A351F7">
              <w:rPr>
                <w:rFonts w:ascii="Times New Roman" w:hAnsi="Times New Roman" w:cs="Times New Roman"/>
                <w:sz w:val="21"/>
              </w:rPr>
              <w:t>0.29</w:t>
            </w:r>
          </w:p>
        </w:tc>
        <w:tc>
          <w:tcPr>
            <w:tcW w:w="0" w:type="auto"/>
            <w:vAlign w:val="center"/>
            <w:hideMark/>
          </w:tcPr>
          <w:p w14:paraId="736887C4" w14:textId="77777777" w:rsidR="008D45A9" w:rsidRPr="00A351F7" w:rsidRDefault="008D45A9" w:rsidP="00A351F7">
            <w:pPr>
              <w:pStyle w:val="NoSpacing"/>
              <w:jc w:val="center"/>
              <w:rPr>
                <w:rFonts w:ascii="Times New Roman" w:hAnsi="Times New Roman" w:cs="Times New Roman"/>
                <w:sz w:val="21"/>
              </w:rPr>
            </w:pPr>
            <w:r w:rsidRPr="00A351F7">
              <w:rPr>
                <w:rFonts w:ascii="Times New Roman" w:hAnsi="Times New Roman" w:cs="Times New Roman"/>
                <w:sz w:val="21"/>
              </w:rPr>
              <w:t>..</w:t>
            </w:r>
          </w:p>
        </w:tc>
        <w:tc>
          <w:tcPr>
            <w:tcW w:w="0" w:type="auto"/>
            <w:vAlign w:val="center"/>
            <w:hideMark/>
          </w:tcPr>
          <w:p w14:paraId="0C2D611E" w14:textId="77777777" w:rsidR="008D45A9" w:rsidRPr="00A351F7" w:rsidRDefault="008D45A9" w:rsidP="00A351F7">
            <w:pPr>
              <w:pStyle w:val="NoSpacing"/>
              <w:jc w:val="center"/>
              <w:rPr>
                <w:rFonts w:ascii="Times New Roman" w:hAnsi="Times New Roman" w:cs="Times New Roman"/>
                <w:sz w:val="21"/>
              </w:rPr>
            </w:pPr>
            <w:r w:rsidRPr="00A351F7">
              <w:rPr>
                <w:rFonts w:ascii="Times New Roman" w:hAnsi="Times New Roman" w:cs="Times New Roman"/>
                <w:sz w:val="21"/>
              </w:rPr>
              <w:t>0.29</w:t>
            </w:r>
          </w:p>
        </w:tc>
        <w:tc>
          <w:tcPr>
            <w:tcW w:w="0" w:type="auto"/>
            <w:vAlign w:val="center"/>
            <w:hideMark/>
          </w:tcPr>
          <w:p w14:paraId="43F37991" w14:textId="77777777" w:rsidR="008D45A9" w:rsidRPr="00A351F7" w:rsidRDefault="008D45A9" w:rsidP="00A351F7">
            <w:pPr>
              <w:pStyle w:val="NoSpacing"/>
              <w:jc w:val="center"/>
              <w:rPr>
                <w:rFonts w:ascii="Times New Roman" w:hAnsi="Times New Roman" w:cs="Times New Roman"/>
                <w:sz w:val="21"/>
              </w:rPr>
            </w:pPr>
            <w:r w:rsidRPr="00A351F7">
              <w:rPr>
                <w:rFonts w:ascii="Times New Roman" w:hAnsi="Times New Roman" w:cs="Times New Roman"/>
                <w:sz w:val="21"/>
              </w:rPr>
              <w:t>0.30</w:t>
            </w:r>
          </w:p>
        </w:tc>
        <w:tc>
          <w:tcPr>
            <w:tcW w:w="0" w:type="auto"/>
            <w:vAlign w:val="center"/>
            <w:hideMark/>
          </w:tcPr>
          <w:p w14:paraId="6E8B75F5" w14:textId="77777777" w:rsidR="008D45A9" w:rsidRPr="00A351F7" w:rsidRDefault="008D45A9" w:rsidP="00A351F7">
            <w:pPr>
              <w:pStyle w:val="NoSpacing"/>
              <w:jc w:val="center"/>
              <w:rPr>
                <w:rFonts w:ascii="Times New Roman" w:hAnsi="Times New Roman" w:cs="Times New Roman"/>
                <w:sz w:val="21"/>
              </w:rPr>
            </w:pPr>
            <w:r w:rsidRPr="00A351F7">
              <w:rPr>
                <w:rFonts w:ascii="Times New Roman" w:hAnsi="Times New Roman" w:cs="Times New Roman"/>
                <w:sz w:val="21"/>
              </w:rPr>
              <w:t>..</w:t>
            </w:r>
          </w:p>
        </w:tc>
        <w:tc>
          <w:tcPr>
            <w:tcW w:w="0" w:type="auto"/>
            <w:vAlign w:val="center"/>
            <w:hideMark/>
          </w:tcPr>
          <w:p w14:paraId="77392060" w14:textId="77777777" w:rsidR="008D45A9" w:rsidRPr="00A351F7" w:rsidRDefault="008D45A9" w:rsidP="00A351F7">
            <w:pPr>
              <w:pStyle w:val="NoSpacing"/>
              <w:jc w:val="center"/>
              <w:rPr>
                <w:rFonts w:ascii="Times New Roman" w:hAnsi="Times New Roman" w:cs="Times New Roman"/>
                <w:sz w:val="21"/>
              </w:rPr>
            </w:pPr>
            <w:r w:rsidRPr="00A351F7">
              <w:rPr>
                <w:rFonts w:ascii="Times New Roman" w:hAnsi="Times New Roman" w:cs="Times New Roman"/>
                <w:sz w:val="21"/>
              </w:rPr>
              <w:t>0.30</w:t>
            </w:r>
          </w:p>
        </w:tc>
        <w:tc>
          <w:tcPr>
            <w:tcW w:w="0" w:type="auto"/>
            <w:vAlign w:val="center"/>
            <w:hideMark/>
          </w:tcPr>
          <w:p w14:paraId="659C0420" w14:textId="77777777" w:rsidR="008D45A9" w:rsidRPr="00A351F7" w:rsidRDefault="008D45A9" w:rsidP="00A351F7">
            <w:pPr>
              <w:pStyle w:val="NoSpacing"/>
              <w:jc w:val="center"/>
              <w:rPr>
                <w:rFonts w:ascii="Times New Roman" w:hAnsi="Times New Roman" w:cs="Times New Roman"/>
                <w:sz w:val="21"/>
              </w:rPr>
            </w:pPr>
            <w:r w:rsidRPr="00A351F7">
              <w:rPr>
                <w:rFonts w:ascii="Times New Roman" w:hAnsi="Times New Roman" w:cs="Times New Roman"/>
                <w:sz w:val="21"/>
              </w:rPr>
              <w:t>0.68</w:t>
            </w:r>
          </w:p>
        </w:tc>
        <w:tc>
          <w:tcPr>
            <w:tcW w:w="0" w:type="auto"/>
            <w:vAlign w:val="center"/>
            <w:hideMark/>
          </w:tcPr>
          <w:p w14:paraId="2D572634" w14:textId="77777777" w:rsidR="008D45A9" w:rsidRPr="00A351F7" w:rsidRDefault="008D45A9" w:rsidP="00A351F7">
            <w:pPr>
              <w:pStyle w:val="NoSpacing"/>
              <w:jc w:val="center"/>
              <w:rPr>
                <w:rFonts w:ascii="Times New Roman" w:hAnsi="Times New Roman" w:cs="Times New Roman"/>
                <w:sz w:val="21"/>
              </w:rPr>
            </w:pPr>
            <w:r w:rsidRPr="00A351F7">
              <w:rPr>
                <w:rFonts w:ascii="Times New Roman" w:hAnsi="Times New Roman" w:cs="Times New Roman"/>
                <w:sz w:val="21"/>
              </w:rPr>
              <w:t>..</w:t>
            </w:r>
          </w:p>
        </w:tc>
        <w:tc>
          <w:tcPr>
            <w:tcW w:w="0" w:type="auto"/>
            <w:vAlign w:val="center"/>
            <w:hideMark/>
          </w:tcPr>
          <w:p w14:paraId="036165EC" w14:textId="77777777" w:rsidR="008D45A9" w:rsidRPr="00A351F7" w:rsidRDefault="008D45A9" w:rsidP="00A351F7">
            <w:pPr>
              <w:pStyle w:val="NoSpacing"/>
              <w:jc w:val="center"/>
              <w:rPr>
                <w:rFonts w:ascii="Times New Roman" w:hAnsi="Times New Roman" w:cs="Times New Roman"/>
                <w:sz w:val="21"/>
              </w:rPr>
            </w:pPr>
            <w:r w:rsidRPr="00A351F7">
              <w:rPr>
                <w:rFonts w:ascii="Times New Roman" w:hAnsi="Times New Roman" w:cs="Times New Roman"/>
                <w:sz w:val="21"/>
              </w:rPr>
              <w:t>0.68</w:t>
            </w:r>
          </w:p>
        </w:tc>
      </w:tr>
      <w:tr w:rsidR="008D45A9" w:rsidRPr="00A351F7" w14:paraId="2DB9CB7E" w14:textId="77777777" w:rsidTr="00A351F7">
        <w:trPr>
          <w:trHeight w:val="265"/>
        </w:trPr>
        <w:tc>
          <w:tcPr>
            <w:tcW w:w="0" w:type="auto"/>
            <w:hideMark/>
          </w:tcPr>
          <w:p w14:paraId="0687F566" w14:textId="77777777" w:rsidR="008D45A9" w:rsidRPr="00A351F7" w:rsidRDefault="008D45A9" w:rsidP="00B77C0B">
            <w:pPr>
              <w:pStyle w:val="NoSpacing"/>
              <w:rPr>
                <w:rFonts w:ascii="Times New Roman" w:hAnsi="Times New Roman" w:cs="Times New Roman"/>
                <w:sz w:val="21"/>
              </w:rPr>
            </w:pPr>
            <w:r w:rsidRPr="00A351F7">
              <w:rPr>
                <w:rFonts w:ascii="Times New Roman" w:hAnsi="Times New Roman" w:cs="Times New Roman"/>
                <w:sz w:val="21"/>
              </w:rPr>
              <w:t>Orissa</w:t>
            </w:r>
          </w:p>
        </w:tc>
        <w:tc>
          <w:tcPr>
            <w:tcW w:w="0" w:type="auto"/>
            <w:vAlign w:val="center"/>
            <w:hideMark/>
          </w:tcPr>
          <w:p w14:paraId="28DDFE95" w14:textId="77777777" w:rsidR="008D45A9" w:rsidRPr="00A351F7" w:rsidRDefault="008D45A9" w:rsidP="00A351F7">
            <w:pPr>
              <w:pStyle w:val="NoSpacing"/>
              <w:jc w:val="center"/>
              <w:rPr>
                <w:rFonts w:ascii="Times New Roman" w:hAnsi="Times New Roman" w:cs="Times New Roman"/>
                <w:sz w:val="21"/>
              </w:rPr>
            </w:pPr>
            <w:r w:rsidRPr="00A351F7">
              <w:rPr>
                <w:rFonts w:ascii="Times New Roman" w:hAnsi="Times New Roman" w:cs="Times New Roman"/>
                <w:sz w:val="21"/>
              </w:rPr>
              <w:t>10.59</w:t>
            </w:r>
          </w:p>
        </w:tc>
        <w:tc>
          <w:tcPr>
            <w:tcW w:w="0" w:type="auto"/>
            <w:vAlign w:val="center"/>
            <w:hideMark/>
          </w:tcPr>
          <w:p w14:paraId="677C5A44" w14:textId="77777777" w:rsidR="008D45A9" w:rsidRPr="00A351F7" w:rsidRDefault="008D45A9" w:rsidP="00A351F7">
            <w:pPr>
              <w:pStyle w:val="NoSpacing"/>
              <w:jc w:val="center"/>
              <w:rPr>
                <w:rFonts w:ascii="Times New Roman" w:hAnsi="Times New Roman" w:cs="Times New Roman"/>
                <w:sz w:val="21"/>
              </w:rPr>
            </w:pPr>
            <w:r w:rsidRPr="00A351F7">
              <w:rPr>
                <w:rFonts w:ascii="Times New Roman" w:hAnsi="Times New Roman" w:cs="Times New Roman"/>
                <w:sz w:val="21"/>
              </w:rPr>
              <w:t>13.25</w:t>
            </w:r>
          </w:p>
        </w:tc>
        <w:tc>
          <w:tcPr>
            <w:tcW w:w="0" w:type="auto"/>
            <w:vAlign w:val="center"/>
            <w:hideMark/>
          </w:tcPr>
          <w:p w14:paraId="289FCF20" w14:textId="77777777" w:rsidR="008D45A9" w:rsidRPr="00A351F7" w:rsidRDefault="008D45A9" w:rsidP="00A351F7">
            <w:pPr>
              <w:pStyle w:val="NoSpacing"/>
              <w:jc w:val="center"/>
              <w:rPr>
                <w:rFonts w:ascii="Times New Roman" w:hAnsi="Times New Roman" w:cs="Times New Roman"/>
                <w:sz w:val="21"/>
              </w:rPr>
            </w:pPr>
            <w:r w:rsidRPr="00A351F7">
              <w:rPr>
                <w:rFonts w:ascii="Times New Roman" w:hAnsi="Times New Roman" w:cs="Times New Roman"/>
                <w:sz w:val="21"/>
              </w:rPr>
              <w:t>23.84</w:t>
            </w:r>
          </w:p>
        </w:tc>
        <w:tc>
          <w:tcPr>
            <w:tcW w:w="0" w:type="auto"/>
            <w:vAlign w:val="center"/>
            <w:hideMark/>
          </w:tcPr>
          <w:p w14:paraId="15D9D219" w14:textId="77777777" w:rsidR="008D45A9" w:rsidRPr="00A351F7" w:rsidRDefault="008D45A9" w:rsidP="00A351F7">
            <w:pPr>
              <w:pStyle w:val="NoSpacing"/>
              <w:jc w:val="center"/>
              <w:rPr>
                <w:rFonts w:ascii="Times New Roman" w:hAnsi="Times New Roman" w:cs="Times New Roman"/>
                <w:sz w:val="21"/>
              </w:rPr>
            </w:pPr>
            <w:r w:rsidRPr="00A351F7">
              <w:rPr>
                <w:rFonts w:ascii="Times New Roman" w:hAnsi="Times New Roman" w:cs="Times New Roman"/>
                <w:sz w:val="21"/>
              </w:rPr>
              <w:t>12.36</w:t>
            </w:r>
          </w:p>
        </w:tc>
        <w:tc>
          <w:tcPr>
            <w:tcW w:w="0" w:type="auto"/>
            <w:vAlign w:val="center"/>
            <w:hideMark/>
          </w:tcPr>
          <w:p w14:paraId="605DC9E5" w14:textId="77777777" w:rsidR="008D45A9" w:rsidRPr="00A351F7" w:rsidRDefault="008D45A9" w:rsidP="00A351F7">
            <w:pPr>
              <w:pStyle w:val="NoSpacing"/>
              <w:jc w:val="center"/>
              <w:rPr>
                <w:rFonts w:ascii="Times New Roman" w:hAnsi="Times New Roman" w:cs="Times New Roman"/>
                <w:sz w:val="21"/>
              </w:rPr>
            </w:pPr>
            <w:r w:rsidRPr="00A351F7">
              <w:rPr>
                <w:rFonts w:ascii="Times New Roman" w:hAnsi="Times New Roman" w:cs="Times New Roman"/>
                <w:sz w:val="21"/>
              </w:rPr>
              <w:t>13.25</w:t>
            </w:r>
          </w:p>
        </w:tc>
        <w:tc>
          <w:tcPr>
            <w:tcW w:w="0" w:type="auto"/>
            <w:vAlign w:val="center"/>
            <w:hideMark/>
          </w:tcPr>
          <w:p w14:paraId="0917349B" w14:textId="77777777" w:rsidR="008D45A9" w:rsidRPr="00A351F7" w:rsidRDefault="008D45A9" w:rsidP="00A351F7">
            <w:pPr>
              <w:pStyle w:val="NoSpacing"/>
              <w:jc w:val="center"/>
              <w:rPr>
                <w:rFonts w:ascii="Times New Roman" w:hAnsi="Times New Roman" w:cs="Times New Roman"/>
                <w:sz w:val="21"/>
              </w:rPr>
            </w:pPr>
            <w:r w:rsidRPr="00A351F7">
              <w:rPr>
                <w:rFonts w:ascii="Times New Roman" w:hAnsi="Times New Roman" w:cs="Times New Roman"/>
                <w:sz w:val="21"/>
              </w:rPr>
              <w:t>25.61</w:t>
            </w:r>
          </w:p>
        </w:tc>
        <w:tc>
          <w:tcPr>
            <w:tcW w:w="0" w:type="auto"/>
            <w:vAlign w:val="center"/>
            <w:hideMark/>
          </w:tcPr>
          <w:p w14:paraId="5A49CCB0" w14:textId="77777777" w:rsidR="008D45A9" w:rsidRPr="00A351F7" w:rsidRDefault="008D45A9" w:rsidP="00A351F7">
            <w:pPr>
              <w:pStyle w:val="NoSpacing"/>
              <w:jc w:val="center"/>
              <w:rPr>
                <w:rFonts w:ascii="Times New Roman" w:hAnsi="Times New Roman" w:cs="Times New Roman"/>
                <w:sz w:val="21"/>
              </w:rPr>
            </w:pPr>
            <w:r w:rsidRPr="00A351F7">
              <w:rPr>
                <w:rFonts w:ascii="Times New Roman" w:hAnsi="Times New Roman" w:cs="Times New Roman"/>
                <w:sz w:val="21"/>
              </w:rPr>
              <w:t>12.03</w:t>
            </w:r>
          </w:p>
        </w:tc>
        <w:tc>
          <w:tcPr>
            <w:tcW w:w="0" w:type="auto"/>
            <w:vAlign w:val="center"/>
            <w:hideMark/>
          </w:tcPr>
          <w:p w14:paraId="5C3E667C" w14:textId="77777777" w:rsidR="008D45A9" w:rsidRPr="00A351F7" w:rsidRDefault="008D45A9" w:rsidP="00A351F7">
            <w:pPr>
              <w:pStyle w:val="NoSpacing"/>
              <w:jc w:val="center"/>
              <w:rPr>
                <w:rFonts w:ascii="Times New Roman" w:hAnsi="Times New Roman" w:cs="Times New Roman"/>
                <w:sz w:val="21"/>
              </w:rPr>
            </w:pPr>
            <w:r w:rsidRPr="00A351F7">
              <w:rPr>
                <w:rFonts w:ascii="Times New Roman" w:hAnsi="Times New Roman" w:cs="Times New Roman"/>
                <w:sz w:val="21"/>
              </w:rPr>
              <w:t>13.25</w:t>
            </w:r>
          </w:p>
        </w:tc>
        <w:tc>
          <w:tcPr>
            <w:tcW w:w="0" w:type="auto"/>
            <w:vAlign w:val="center"/>
            <w:hideMark/>
          </w:tcPr>
          <w:p w14:paraId="60EE8820" w14:textId="77777777" w:rsidR="008D45A9" w:rsidRPr="00A351F7" w:rsidRDefault="008D45A9" w:rsidP="00A351F7">
            <w:pPr>
              <w:pStyle w:val="NoSpacing"/>
              <w:jc w:val="center"/>
              <w:rPr>
                <w:rFonts w:ascii="Times New Roman" w:hAnsi="Times New Roman" w:cs="Times New Roman"/>
                <w:sz w:val="21"/>
              </w:rPr>
            </w:pPr>
            <w:r w:rsidRPr="00A351F7">
              <w:rPr>
                <w:rFonts w:ascii="Times New Roman" w:hAnsi="Times New Roman" w:cs="Times New Roman"/>
                <w:sz w:val="21"/>
              </w:rPr>
              <w:t>25.28</w:t>
            </w:r>
          </w:p>
        </w:tc>
        <w:tc>
          <w:tcPr>
            <w:tcW w:w="0" w:type="auto"/>
            <w:vAlign w:val="center"/>
            <w:hideMark/>
          </w:tcPr>
          <w:p w14:paraId="39E90EBD" w14:textId="77777777" w:rsidR="008D45A9" w:rsidRPr="00A351F7" w:rsidRDefault="008D45A9" w:rsidP="00A351F7">
            <w:pPr>
              <w:pStyle w:val="NoSpacing"/>
              <w:jc w:val="center"/>
              <w:rPr>
                <w:rFonts w:ascii="Times New Roman" w:hAnsi="Times New Roman" w:cs="Times New Roman"/>
                <w:sz w:val="21"/>
              </w:rPr>
            </w:pPr>
            <w:r w:rsidRPr="00A351F7">
              <w:rPr>
                <w:rFonts w:ascii="Times New Roman" w:hAnsi="Times New Roman" w:cs="Times New Roman"/>
                <w:sz w:val="21"/>
              </w:rPr>
              <w:t>13.22</w:t>
            </w:r>
          </w:p>
        </w:tc>
        <w:tc>
          <w:tcPr>
            <w:tcW w:w="0" w:type="auto"/>
            <w:vAlign w:val="center"/>
            <w:hideMark/>
          </w:tcPr>
          <w:p w14:paraId="3CE73DB4" w14:textId="77777777" w:rsidR="008D45A9" w:rsidRPr="00A351F7" w:rsidRDefault="008D45A9" w:rsidP="00A351F7">
            <w:pPr>
              <w:pStyle w:val="NoSpacing"/>
              <w:jc w:val="center"/>
              <w:rPr>
                <w:rFonts w:ascii="Times New Roman" w:hAnsi="Times New Roman" w:cs="Times New Roman"/>
                <w:sz w:val="21"/>
              </w:rPr>
            </w:pPr>
            <w:r w:rsidRPr="00A351F7">
              <w:rPr>
                <w:rFonts w:ascii="Times New Roman" w:hAnsi="Times New Roman" w:cs="Times New Roman"/>
                <w:sz w:val="21"/>
              </w:rPr>
              <w:t>13.25</w:t>
            </w:r>
          </w:p>
        </w:tc>
        <w:tc>
          <w:tcPr>
            <w:tcW w:w="0" w:type="auto"/>
            <w:vAlign w:val="center"/>
            <w:hideMark/>
          </w:tcPr>
          <w:p w14:paraId="0E370274" w14:textId="77777777" w:rsidR="008D45A9" w:rsidRPr="00A351F7" w:rsidRDefault="008D45A9" w:rsidP="00A351F7">
            <w:pPr>
              <w:pStyle w:val="NoSpacing"/>
              <w:jc w:val="center"/>
              <w:rPr>
                <w:rFonts w:ascii="Times New Roman" w:hAnsi="Times New Roman" w:cs="Times New Roman"/>
                <w:sz w:val="21"/>
              </w:rPr>
            </w:pPr>
            <w:r w:rsidRPr="00A351F7">
              <w:rPr>
                <w:rFonts w:ascii="Times New Roman" w:hAnsi="Times New Roman" w:cs="Times New Roman"/>
                <w:sz w:val="21"/>
              </w:rPr>
              <w:t>26.47</w:t>
            </w:r>
          </w:p>
        </w:tc>
        <w:tc>
          <w:tcPr>
            <w:tcW w:w="0" w:type="auto"/>
            <w:vAlign w:val="center"/>
            <w:hideMark/>
          </w:tcPr>
          <w:p w14:paraId="6F65CA5E" w14:textId="77777777" w:rsidR="008D45A9" w:rsidRPr="00A351F7" w:rsidRDefault="008D45A9" w:rsidP="00A351F7">
            <w:pPr>
              <w:pStyle w:val="NoSpacing"/>
              <w:jc w:val="center"/>
              <w:rPr>
                <w:rFonts w:ascii="Times New Roman" w:hAnsi="Times New Roman" w:cs="Times New Roman"/>
                <w:sz w:val="21"/>
              </w:rPr>
            </w:pPr>
            <w:r w:rsidRPr="00A351F7">
              <w:rPr>
                <w:rFonts w:ascii="Times New Roman" w:hAnsi="Times New Roman" w:cs="Times New Roman"/>
                <w:sz w:val="21"/>
              </w:rPr>
              <w:t>48.20</w:t>
            </w:r>
          </w:p>
        </w:tc>
        <w:tc>
          <w:tcPr>
            <w:tcW w:w="0" w:type="auto"/>
            <w:vAlign w:val="center"/>
            <w:hideMark/>
          </w:tcPr>
          <w:p w14:paraId="2F117B20" w14:textId="77777777" w:rsidR="008D45A9" w:rsidRPr="00A351F7" w:rsidRDefault="008D45A9" w:rsidP="00A351F7">
            <w:pPr>
              <w:pStyle w:val="NoSpacing"/>
              <w:jc w:val="center"/>
              <w:rPr>
                <w:rFonts w:ascii="Times New Roman" w:hAnsi="Times New Roman" w:cs="Times New Roman"/>
                <w:sz w:val="21"/>
              </w:rPr>
            </w:pPr>
            <w:r w:rsidRPr="00A351F7">
              <w:rPr>
                <w:rFonts w:ascii="Times New Roman" w:hAnsi="Times New Roman" w:cs="Times New Roman"/>
                <w:sz w:val="21"/>
              </w:rPr>
              <w:t>53.00</w:t>
            </w:r>
          </w:p>
        </w:tc>
        <w:tc>
          <w:tcPr>
            <w:tcW w:w="0" w:type="auto"/>
            <w:vAlign w:val="center"/>
            <w:hideMark/>
          </w:tcPr>
          <w:p w14:paraId="4CAD4195" w14:textId="77777777" w:rsidR="008D45A9" w:rsidRPr="00A351F7" w:rsidRDefault="008D45A9" w:rsidP="00A351F7">
            <w:pPr>
              <w:pStyle w:val="NoSpacing"/>
              <w:jc w:val="center"/>
              <w:rPr>
                <w:rFonts w:ascii="Times New Roman" w:hAnsi="Times New Roman" w:cs="Times New Roman"/>
                <w:sz w:val="21"/>
              </w:rPr>
            </w:pPr>
            <w:r w:rsidRPr="00A351F7">
              <w:rPr>
                <w:rFonts w:ascii="Times New Roman" w:hAnsi="Times New Roman" w:cs="Times New Roman"/>
                <w:sz w:val="21"/>
              </w:rPr>
              <w:t>101.20</w:t>
            </w:r>
          </w:p>
        </w:tc>
      </w:tr>
      <w:tr w:rsidR="008D45A9" w:rsidRPr="00A351F7" w14:paraId="7A22949E" w14:textId="77777777" w:rsidTr="00A351F7">
        <w:trPr>
          <w:trHeight w:val="245"/>
        </w:trPr>
        <w:tc>
          <w:tcPr>
            <w:tcW w:w="0" w:type="auto"/>
            <w:hideMark/>
          </w:tcPr>
          <w:p w14:paraId="4BC07CDC" w14:textId="77777777" w:rsidR="008D45A9" w:rsidRPr="00A351F7" w:rsidRDefault="008D45A9" w:rsidP="00B77C0B">
            <w:pPr>
              <w:pStyle w:val="NoSpacing"/>
              <w:rPr>
                <w:rFonts w:ascii="Times New Roman" w:hAnsi="Times New Roman" w:cs="Times New Roman"/>
                <w:sz w:val="21"/>
              </w:rPr>
            </w:pPr>
            <w:r w:rsidRPr="00A351F7">
              <w:rPr>
                <w:rFonts w:ascii="Times New Roman" w:hAnsi="Times New Roman" w:cs="Times New Roman"/>
                <w:sz w:val="21"/>
              </w:rPr>
              <w:t>Punjab</w:t>
            </w:r>
          </w:p>
        </w:tc>
        <w:tc>
          <w:tcPr>
            <w:tcW w:w="0" w:type="auto"/>
            <w:vAlign w:val="center"/>
            <w:hideMark/>
          </w:tcPr>
          <w:p w14:paraId="3282E6D4" w14:textId="77777777" w:rsidR="008D45A9" w:rsidRPr="00A351F7" w:rsidRDefault="008D45A9" w:rsidP="00A351F7">
            <w:pPr>
              <w:pStyle w:val="NoSpacing"/>
              <w:jc w:val="center"/>
              <w:rPr>
                <w:rFonts w:ascii="Times New Roman" w:hAnsi="Times New Roman" w:cs="Times New Roman"/>
                <w:sz w:val="21"/>
              </w:rPr>
            </w:pPr>
            <w:r w:rsidRPr="00A351F7">
              <w:rPr>
                <w:rFonts w:ascii="Times New Roman" w:hAnsi="Times New Roman" w:cs="Times New Roman"/>
                <w:sz w:val="21"/>
              </w:rPr>
              <w:t>13.15</w:t>
            </w:r>
          </w:p>
        </w:tc>
        <w:tc>
          <w:tcPr>
            <w:tcW w:w="0" w:type="auto"/>
            <w:vAlign w:val="center"/>
            <w:hideMark/>
          </w:tcPr>
          <w:p w14:paraId="62DE23DD" w14:textId="77777777" w:rsidR="008D45A9" w:rsidRPr="00A351F7" w:rsidRDefault="008D45A9" w:rsidP="00A351F7">
            <w:pPr>
              <w:pStyle w:val="NoSpacing"/>
              <w:jc w:val="center"/>
              <w:rPr>
                <w:rFonts w:ascii="Times New Roman" w:hAnsi="Times New Roman" w:cs="Times New Roman"/>
                <w:sz w:val="21"/>
              </w:rPr>
            </w:pPr>
            <w:r w:rsidRPr="00A351F7">
              <w:rPr>
                <w:rFonts w:ascii="Times New Roman" w:hAnsi="Times New Roman" w:cs="Times New Roman"/>
                <w:sz w:val="21"/>
              </w:rPr>
              <w:t>..</w:t>
            </w:r>
          </w:p>
        </w:tc>
        <w:tc>
          <w:tcPr>
            <w:tcW w:w="0" w:type="auto"/>
            <w:vAlign w:val="center"/>
            <w:hideMark/>
          </w:tcPr>
          <w:p w14:paraId="7F12AEBF" w14:textId="77777777" w:rsidR="008D45A9" w:rsidRPr="00A351F7" w:rsidRDefault="008D45A9" w:rsidP="00A351F7">
            <w:pPr>
              <w:pStyle w:val="NoSpacing"/>
              <w:jc w:val="center"/>
              <w:rPr>
                <w:rFonts w:ascii="Times New Roman" w:hAnsi="Times New Roman" w:cs="Times New Roman"/>
                <w:sz w:val="21"/>
              </w:rPr>
            </w:pPr>
            <w:r w:rsidRPr="00A351F7">
              <w:rPr>
                <w:rFonts w:ascii="Times New Roman" w:hAnsi="Times New Roman" w:cs="Times New Roman"/>
                <w:sz w:val="21"/>
              </w:rPr>
              <w:t>13.15</w:t>
            </w:r>
          </w:p>
        </w:tc>
        <w:tc>
          <w:tcPr>
            <w:tcW w:w="0" w:type="auto"/>
            <w:vAlign w:val="center"/>
            <w:hideMark/>
          </w:tcPr>
          <w:p w14:paraId="0AC6D0F2" w14:textId="77777777" w:rsidR="008D45A9" w:rsidRPr="00A351F7" w:rsidRDefault="008D45A9" w:rsidP="00A351F7">
            <w:pPr>
              <w:pStyle w:val="NoSpacing"/>
              <w:jc w:val="center"/>
              <w:rPr>
                <w:rFonts w:ascii="Times New Roman" w:hAnsi="Times New Roman" w:cs="Times New Roman"/>
                <w:sz w:val="21"/>
              </w:rPr>
            </w:pPr>
            <w:r w:rsidRPr="00A351F7">
              <w:rPr>
                <w:rFonts w:ascii="Times New Roman" w:hAnsi="Times New Roman" w:cs="Times New Roman"/>
                <w:sz w:val="21"/>
              </w:rPr>
              <w:t>15.03</w:t>
            </w:r>
          </w:p>
        </w:tc>
        <w:tc>
          <w:tcPr>
            <w:tcW w:w="0" w:type="auto"/>
            <w:vAlign w:val="center"/>
            <w:hideMark/>
          </w:tcPr>
          <w:p w14:paraId="084A9BA0" w14:textId="77777777" w:rsidR="008D45A9" w:rsidRPr="00A351F7" w:rsidRDefault="008D45A9" w:rsidP="00A351F7">
            <w:pPr>
              <w:pStyle w:val="NoSpacing"/>
              <w:jc w:val="center"/>
              <w:rPr>
                <w:rFonts w:ascii="Times New Roman" w:hAnsi="Times New Roman" w:cs="Times New Roman"/>
                <w:sz w:val="21"/>
              </w:rPr>
            </w:pPr>
            <w:r w:rsidRPr="00A351F7">
              <w:rPr>
                <w:rFonts w:ascii="Times New Roman" w:hAnsi="Times New Roman" w:cs="Times New Roman"/>
                <w:sz w:val="21"/>
              </w:rPr>
              <w:t>..</w:t>
            </w:r>
          </w:p>
        </w:tc>
        <w:tc>
          <w:tcPr>
            <w:tcW w:w="0" w:type="auto"/>
            <w:vAlign w:val="center"/>
            <w:hideMark/>
          </w:tcPr>
          <w:p w14:paraId="3140F615" w14:textId="77777777" w:rsidR="008D45A9" w:rsidRPr="00A351F7" w:rsidRDefault="008D45A9" w:rsidP="00A351F7">
            <w:pPr>
              <w:pStyle w:val="NoSpacing"/>
              <w:jc w:val="center"/>
              <w:rPr>
                <w:rFonts w:ascii="Times New Roman" w:hAnsi="Times New Roman" w:cs="Times New Roman"/>
                <w:sz w:val="21"/>
              </w:rPr>
            </w:pPr>
            <w:r w:rsidRPr="00A351F7">
              <w:rPr>
                <w:rFonts w:ascii="Times New Roman" w:hAnsi="Times New Roman" w:cs="Times New Roman"/>
                <w:sz w:val="21"/>
              </w:rPr>
              <w:t>15.03</w:t>
            </w:r>
          </w:p>
        </w:tc>
        <w:tc>
          <w:tcPr>
            <w:tcW w:w="0" w:type="auto"/>
            <w:vAlign w:val="center"/>
            <w:hideMark/>
          </w:tcPr>
          <w:p w14:paraId="242D5CDF" w14:textId="77777777" w:rsidR="008D45A9" w:rsidRPr="00A351F7" w:rsidRDefault="008D45A9" w:rsidP="00A351F7">
            <w:pPr>
              <w:pStyle w:val="NoSpacing"/>
              <w:jc w:val="center"/>
              <w:rPr>
                <w:rFonts w:ascii="Times New Roman" w:hAnsi="Times New Roman" w:cs="Times New Roman"/>
                <w:sz w:val="21"/>
              </w:rPr>
            </w:pPr>
            <w:r w:rsidRPr="00A351F7">
              <w:rPr>
                <w:rFonts w:ascii="Times New Roman" w:hAnsi="Times New Roman" w:cs="Times New Roman"/>
                <w:sz w:val="21"/>
              </w:rPr>
              <w:t>14.83</w:t>
            </w:r>
          </w:p>
        </w:tc>
        <w:tc>
          <w:tcPr>
            <w:tcW w:w="0" w:type="auto"/>
            <w:vAlign w:val="center"/>
            <w:hideMark/>
          </w:tcPr>
          <w:p w14:paraId="7B50974C" w14:textId="77777777" w:rsidR="008D45A9" w:rsidRPr="00A351F7" w:rsidRDefault="008D45A9" w:rsidP="00A351F7">
            <w:pPr>
              <w:pStyle w:val="NoSpacing"/>
              <w:jc w:val="center"/>
              <w:rPr>
                <w:rFonts w:ascii="Times New Roman" w:hAnsi="Times New Roman" w:cs="Times New Roman"/>
                <w:sz w:val="21"/>
              </w:rPr>
            </w:pPr>
            <w:r w:rsidRPr="00A351F7">
              <w:rPr>
                <w:rFonts w:ascii="Times New Roman" w:hAnsi="Times New Roman" w:cs="Times New Roman"/>
                <w:sz w:val="21"/>
              </w:rPr>
              <w:t>..</w:t>
            </w:r>
          </w:p>
        </w:tc>
        <w:tc>
          <w:tcPr>
            <w:tcW w:w="0" w:type="auto"/>
            <w:vAlign w:val="center"/>
            <w:hideMark/>
          </w:tcPr>
          <w:p w14:paraId="5DC938F7" w14:textId="77777777" w:rsidR="008D45A9" w:rsidRPr="00A351F7" w:rsidRDefault="008D45A9" w:rsidP="00A351F7">
            <w:pPr>
              <w:pStyle w:val="NoSpacing"/>
              <w:jc w:val="center"/>
              <w:rPr>
                <w:rFonts w:ascii="Times New Roman" w:hAnsi="Times New Roman" w:cs="Times New Roman"/>
                <w:sz w:val="21"/>
              </w:rPr>
            </w:pPr>
            <w:r w:rsidRPr="00A351F7">
              <w:rPr>
                <w:rFonts w:ascii="Times New Roman" w:hAnsi="Times New Roman" w:cs="Times New Roman"/>
                <w:sz w:val="21"/>
              </w:rPr>
              <w:t>14.83</w:t>
            </w:r>
          </w:p>
        </w:tc>
        <w:tc>
          <w:tcPr>
            <w:tcW w:w="0" w:type="auto"/>
            <w:vAlign w:val="center"/>
            <w:hideMark/>
          </w:tcPr>
          <w:p w14:paraId="0B9B4D66" w14:textId="77777777" w:rsidR="008D45A9" w:rsidRPr="00A351F7" w:rsidRDefault="008D45A9" w:rsidP="00A351F7">
            <w:pPr>
              <w:pStyle w:val="NoSpacing"/>
              <w:jc w:val="center"/>
              <w:rPr>
                <w:rFonts w:ascii="Times New Roman" w:hAnsi="Times New Roman" w:cs="Times New Roman"/>
                <w:sz w:val="21"/>
              </w:rPr>
            </w:pPr>
            <w:r w:rsidRPr="00A351F7">
              <w:rPr>
                <w:rFonts w:ascii="Times New Roman" w:hAnsi="Times New Roman" w:cs="Times New Roman"/>
                <w:sz w:val="21"/>
              </w:rPr>
              <w:t>15.98</w:t>
            </w:r>
          </w:p>
        </w:tc>
        <w:tc>
          <w:tcPr>
            <w:tcW w:w="0" w:type="auto"/>
            <w:vAlign w:val="center"/>
            <w:hideMark/>
          </w:tcPr>
          <w:p w14:paraId="5FF50A95" w14:textId="77777777" w:rsidR="008D45A9" w:rsidRPr="00A351F7" w:rsidRDefault="008D45A9" w:rsidP="00A351F7">
            <w:pPr>
              <w:pStyle w:val="NoSpacing"/>
              <w:jc w:val="center"/>
              <w:rPr>
                <w:rFonts w:ascii="Times New Roman" w:hAnsi="Times New Roman" w:cs="Times New Roman"/>
                <w:sz w:val="21"/>
              </w:rPr>
            </w:pPr>
            <w:r w:rsidRPr="00A351F7">
              <w:rPr>
                <w:rFonts w:ascii="Times New Roman" w:hAnsi="Times New Roman" w:cs="Times New Roman"/>
                <w:sz w:val="21"/>
              </w:rPr>
              <w:t>..</w:t>
            </w:r>
          </w:p>
        </w:tc>
        <w:tc>
          <w:tcPr>
            <w:tcW w:w="0" w:type="auto"/>
            <w:vAlign w:val="center"/>
            <w:hideMark/>
          </w:tcPr>
          <w:p w14:paraId="56A3EFBD" w14:textId="77777777" w:rsidR="008D45A9" w:rsidRPr="00A351F7" w:rsidRDefault="008D45A9" w:rsidP="00A351F7">
            <w:pPr>
              <w:pStyle w:val="NoSpacing"/>
              <w:jc w:val="center"/>
              <w:rPr>
                <w:rFonts w:ascii="Times New Roman" w:hAnsi="Times New Roman" w:cs="Times New Roman"/>
                <w:sz w:val="21"/>
              </w:rPr>
            </w:pPr>
            <w:r w:rsidRPr="00A351F7">
              <w:rPr>
                <w:rFonts w:ascii="Times New Roman" w:hAnsi="Times New Roman" w:cs="Times New Roman"/>
                <w:sz w:val="21"/>
              </w:rPr>
              <w:t>15.98</w:t>
            </w:r>
          </w:p>
        </w:tc>
        <w:tc>
          <w:tcPr>
            <w:tcW w:w="0" w:type="auto"/>
            <w:vAlign w:val="center"/>
            <w:hideMark/>
          </w:tcPr>
          <w:p w14:paraId="6A30F7EE" w14:textId="77777777" w:rsidR="008D45A9" w:rsidRPr="00A351F7" w:rsidRDefault="008D45A9" w:rsidP="00A351F7">
            <w:pPr>
              <w:pStyle w:val="NoSpacing"/>
              <w:jc w:val="center"/>
              <w:rPr>
                <w:rFonts w:ascii="Times New Roman" w:hAnsi="Times New Roman" w:cs="Times New Roman"/>
                <w:sz w:val="21"/>
              </w:rPr>
            </w:pPr>
            <w:r w:rsidRPr="00A351F7">
              <w:rPr>
                <w:rFonts w:ascii="Times New Roman" w:hAnsi="Times New Roman" w:cs="Times New Roman"/>
                <w:sz w:val="21"/>
              </w:rPr>
              <w:t>58.99</w:t>
            </w:r>
          </w:p>
        </w:tc>
        <w:tc>
          <w:tcPr>
            <w:tcW w:w="0" w:type="auto"/>
            <w:vAlign w:val="center"/>
            <w:hideMark/>
          </w:tcPr>
          <w:p w14:paraId="73A4503B" w14:textId="77777777" w:rsidR="008D45A9" w:rsidRPr="00A351F7" w:rsidRDefault="008D45A9" w:rsidP="00A351F7">
            <w:pPr>
              <w:pStyle w:val="NoSpacing"/>
              <w:jc w:val="center"/>
              <w:rPr>
                <w:rFonts w:ascii="Times New Roman" w:hAnsi="Times New Roman" w:cs="Times New Roman"/>
                <w:sz w:val="21"/>
              </w:rPr>
            </w:pPr>
            <w:r w:rsidRPr="00A351F7">
              <w:rPr>
                <w:rFonts w:ascii="Times New Roman" w:hAnsi="Times New Roman" w:cs="Times New Roman"/>
                <w:sz w:val="21"/>
              </w:rPr>
              <w:t>..</w:t>
            </w:r>
          </w:p>
        </w:tc>
        <w:tc>
          <w:tcPr>
            <w:tcW w:w="0" w:type="auto"/>
            <w:vAlign w:val="center"/>
            <w:hideMark/>
          </w:tcPr>
          <w:p w14:paraId="01A6E16C" w14:textId="77777777" w:rsidR="008D45A9" w:rsidRPr="00A351F7" w:rsidRDefault="008D45A9" w:rsidP="00A351F7">
            <w:pPr>
              <w:pStyle w:val="NoSpacing"/>
              <w:jc w:val="center"/>
              <w:rPr>
                <w:rFonts w:ascii="Times New Roman" w:hAnsi="Times New Roman" w:cs="Times New Roman"/>
                <w:sz w:val="21"/>
              </w:rPr>
            </w:pPr>
            <w:r w:rsidRPr="00A351F7">
              <w:rPr>
                <w:rFonts w:ascii="Times New Roman" w:hAnsi="Times New Roman" w:cs="Times New Roman"/>
                <w:sz w:val="21"/>
              </w:rPr>
              <w:t>58.99</w:t>
            </w:r>
          </w:p>
        </w:tc>
      </w:tr>
      <w:tr w:rsidR="008D45A9" w:rsidRPr="00A351F7" w14:paraId="090CDB05" w14:textId="77777777" w:rsidTr="00A351F7">
        <w:trPr>
          <w:trHeight w:val="245"/>
        </w:trPr>
        <w:tc>
          <w:tcPr>
            <w:tcW w:w="0" w:type="auto"/>
            <w:hideMark/>
          </w:tcPr>
          <w:p w14:paraId="1BAC6DEF" w14:textId="77777777" w:rsidR="008D45A9" w:rsidRPr="00A351F7" w:rsidRDefault="008D45A9" w:rsidP="00B77C0B">
            <w:pPr>
              <w:pStyle w:val="NoSpacing"/>
              <w:rPr>
                <w:rFonts w:ascii="Times New Roman" w:hAnsi="Times New Roman" w:cs="Times New Roman"/>
                <w:sz w:val="21"/>
              </w:rPr>
            </w:pPr>
            <w:r w:rsidRPr="00A351F7">
              <w:rPr>
                <w:rFonts w:ascii="Times New Roman" w:hAnsi="Times New Roman" w:cs="Times New Roman"/>
                <w:sz w:val="21"/>
              </w:rPr>
              <w:t>Rajasthan</w:t>
            </w:r>
          </w:p>
        </w:tc>
        <w:tc>
          <w:tcPr>
            <w:tcW w:w="0" w:type="auto"/>
            <w:vAlign w:val="center"/>
            <w:hideMark/>
          </w:tcPr>
          <w:p w14:paraId="4102247E" w14:textId="77777777" w:rsidR="008D45A9" w:rsidRPr="00A351F7" w:rsidRDefault="008D45A9" w:rsidP="00A351F7">
            <w:pPr>
              <w:pStyle w:val="NoSpacing"/>
              <w:jc w:val="center"/>
              <w:rPr>
                <w:rFonts w:ascii="Times New Roman" w:hAnsi="Times New Roman" w:cs="Times New Roman"/>
                <w:sz w:val="21"/>
              </w:rPr>
            </w:pPr>
            <w:r w:rsidRPr="00A351F7">
              <w:rPr>
                <w:rFonts w:ascii="Times New Roman" w:hAnsi="Times New Roman" w:cs="Times New Roman"/>
                <w:sz w:val="21"/>
              </w:rPr>
              <w:t>10.86</w:t>
            </w:r>
          </w:p>
        </w:tc>
        <w:tc>
          <w:tcPr>
            <w:tcW w:w="0" w:type="auto"/>
            <w:vAlign w:val="center"/>
            <w:hideMark/>
          </w:tcPr>
          <w:p w14:paraId="0A3ED83C" w14:textId="77777777" w:rsidR="008D45A9" w:rsidRPr="00A351F7" w:rsidRDefault="008D45A9" w:rsidP="00A351F7">
            <w:pPr>
              <w:pStyle w:val="NoSpacing"/>
              <w:jc w:val="center"/>
              <w:rPr>
                <w:rFonts w:ascii="Times New Roman" w:hAnsi="Times New Roman" w:cs="Times New Roman"/>
                <w:sz w:val="21"/>
              </w:rPr>
            </w:pPr>
            <w:r w:rsidRPr="00A351F7">
              <w:rPr>
                <w:rFonts w:ascii="Times New Roman" w:hAnsi="Times New Roman" w:cs="Times New Roman"/>
                <w:sz w:val="21"/>
              </w:rPr>
              <w:t>5.25</w:t>
            </w:r>
          </w:p>
        </w:tc>
        <w:tc>
          <w:tcPr>
            <w:tcW w:w="0" w:type="auto"/>
            <w:vAlign w:val="center"/>
            <w:hideMark/>
          </w:tcPr>
          <w:p w14:paraId="27FA1CD6" w14:textId="77777777" w:rsidR="008D45A9" w:rsidRPr="00A351F7" w:rsidRDefault="008D45A9" w:rsidP="00A351F7">
            <w:pPr>
              <w:pStyle w:val="NoSpacing"/>
              <w:jc w:val="center"/>
              <w:rPr>
                <w:rFonts w:ascii="Times New Roman" w:hAnsi="Times New Roman" w:cs="Times New Roman"/>
                <w:sz w:val="21"/>
              </w:rPr>
            </w:pPr>
            <w:r w:rsidRPr="00A351F7">
              <w:rPr>
                <w:rFonts w:ascii="Times New Roman" w:hAnsi="Times New Roman" w:cs="Times New Roman"/>
                <w:sz w:val="21"/>
              </w:rPr>
              <w:t>16.11</w:t>
            </w:r>
          </w:p>
        </w:tc>
        <w:tc>
          <w:tcPr>
            <w:tcW w:w="0" w:type="auto"/>
            <w:vAlign w:val="center"/>
            <w:hideMark/>
          </w:tcPr>
          <w:p w14:paraId="41310992" w14:textId="77777777" w:rsidR="008D45A9" w:rsidRPr="00A351F7" w:rsidRDefault="008D45A9" w:rsidP="00A351F7">
            <w:pPr>
              <w:pStyle w:val="NoSpacing"/>
              <w:jc w:val="center"/>
              <w:rPr>
                <w:rFonts w:ascii="Times New Roman" w:hAnsi="Times New Roman" w:cs="Times New Roman"/>
                <w:sz w:val="21"/>
              </w:rPr>
            </w:pPr>
            <w:r w:rsidRPr="00A351F7">
              <w:rPr>
                <w:rFonts w:ascii="Times New Roman" w:hAnsi="Times New Roman" w:cs="Times New Roman"/>
                <w:sz w:val="21"/>
              </w:rPr>
              <w:t>12.58</w:t>
            </w:r>
          </w:p>
        </w:tc>
        <w:tc>
          <w:tcPr>
            <w:tcW w:w="0" w:type="auto"/>
            <w:vAlign w:val="center"/>
            <w:hideMark/>
          </w:tcPr>
          <w:p w14:paraId="1148F8FD" w14:textId="77777777" w:rsidR="008D45A9" w:rsidRPr="00A351F7" w:rsidRDefault="008D45A9" w:rsidP="00A351F7">
            <w:pPr>
              <w:pStyle w:val="NoSpacing"/>
              <w:jc w:val="center"/>
              <w:rPr>
                <w:rFonts w:ascii="Times New Roman" w:hAnsi="Times New Roman" w:cs="Times New Roman"/>
                <w:sz w:val="21"/>
              </w:rPr>
            </w:pPr>
            <w:r w:rsidRPr="00A351F7">
              <w:rPr>
                <w:rFonts w:ascii="Times New Roman" w:hAnsi="Times New Roman" w:cs="Times New Roman"/>
                <w:sz w:val="21"/>
              </w:rPr>
              <w:t>5.25</w:t>
            </w:r>
          </w:p>
        </w:tc>
        <w:tc>
          <w:tcPr>
            <w:tcW w:w="0" w:type="auto"/>
            <w:vAlign w:val="center"/>
            <w:hideMark/>
          </w:tcPr>
          <w:p w14:paraId="3784B84F" w14:textId="77777777" w:rsidR="008D45A9" w:rsidRPr="00A351F7" w:rsidRDefault="008D45A9" w:rsidP="00A351F7">
            <w:pPr>
              <w:pStyle w:val="NoSpacing"/>
              <w:jc w:val="center"/>
              <w:rPr>
                <w:rFonts w:ascii="Times New Roman" w:hAnsi="Times New Roman" w:cs="Times New Roman"/>
                <w:sz w:val="21"/>
              </w:rPr>
            </w:pPr>
            <w:r w:rsidRPr="00A351F7">
              <w:rPr>
                <w:rFonts w:ascii="Times New Roman" w:hAnsi="Times New Roman" w:cs="Times New Roman"/>
                <w:sz w:val="21"/>
              </w:rPr>
              <w:t>17.83</w:t>
            </w:r>
          </w:p>
        </w:tc>
        <w:tc>
          <w:tcPr>
            <w:tcW w:w="0" w:type="auto"/>
            <w:vAlign w:val="center"/>
            <w:hideMark/>
          </w:tcPr>
          <w:p w14:paraId="799F8397" w14:textId="77777777" w:rsidR="008D45A9" w:rsidRPr="00A351F7" w:rsidRDefault="008D45A9" w:rsidP="00A351F7">
            <w:pPr>
              <w:pStyle w:val="NoSpacing"/>
              <w:jc w:val="center"/>
              <w:rPr>
                <w:rFonts w:ascii="Times New Roman" w:hAnsi="Times New Roman" w:cs="Times New Roman"/>
                <w:sz w:val="21"/>
              </w:rPr>
            </w:pPr>
            <w:r w:rsidRPr="00A351F7">
              <w:rPr>
                <w:rFonts w:ascii="Times New Roman" w:hAnsi="Times New Roman" w:cs="Times New Roman"/>
                <w:sz w:val="21"/>
              </w:rPr>
              <w:t>12.39</w:t>
            </w:r>
          </w:p>
        </w:tc>
        <w:tc>
          <w:tcPr>
            <w:tcW w:w="0" w:type="auto"/>
            <w:vAlign w:val="center"/>
            <w:hideMark/>
          </w:tcPr>
          <w:p w14:paraId="77883056" w14:textId="77777777" w:rsidR="008D45A9" w:rsidRPr="00A351F7" w:rsidRDefault="008D45A9" w:rsidP="00A351F7">
            <w:pPr>
              <w:pStyle w:val="NoSpacing"/>
              <w:jc w:val="center"/>
              <w:rPr>
                <w:rFonts w:ascii="Times New Roman" w:hAnsi="Times New Roman" w:cs="Times New Roman"/>
                <w:sz w:val="21"/>
              </w:rPr>
            </w:pPr>
            <w:r w:rsidRPr="00A351F7">
              <w:rPr>
                <w:rFonts w:ascii="Times New Roman" w:hAnsi="Times New Roman" w:cs="Times New Roman"/>
                <w:sz w:val="21"/>
              </w:rPr>
              <w:t>5.25</w:t>
            </w:r>
          </w:p>
        </w:tc>
        <w:tc>
          <w:tcPr>
            <w:tcW w:w="0" w:type="auto"/>
            <w:vAlign w:val="center"/>
            <w:hideMark/>
          </w:tcPr>
          <w:p w14:paraId="3EB35671" w14:textId="77777777" w:rsidR="008D45A9" w:rsidRPr="00A351F7" w:rsidRDefault="008D45A9" w:rsidP="00A351F7">
            <w:pPr>
              <w:pStyle w:val="NoSpacing"/>
              <w:jc w:val="center"/>
              <w:rPr>
                <w:rFonts w:ascii="Times New Roman" w:hAnsi="Times New Roman" w:cs="Times New Roman"/>
                <w:sz w:val="21"/>
              </w:rPr>
            </w:pPr>
            <w:r w:rsidRPr="00A351F7">
              <w:rPr>
                <w:rFonts w:ascii="Times New Roman" w:hAnsi="Times New Roman" w:cs="Times New Roman"/>
                <w:sz w:val="21"/>
              </w:rPr>
              <w:t>17.64</w:t>
            </w:r>
          </w:p>
        </w:tc>
        <w:tc>
          <w:tcPr>
            <w:tcW w:w="0" w:type="auto"/>
            <w:vAlign w:val="center"/>
            <w:hideMark/>
          </w:tcPr>
          <w:p w14:paraId="010808FE" w14:textId="77777777" w:rsidR="008D45A9" w:rsidRPr="00A351F7" w:rsidRDefault="008D45A9" w:rsidP="00A351F7">
            <w:pPr>
              <w:pStyle w:val="NoSpacing"/>
              <w:jc w:val="center"/>
              <w:rPr>
                <w:rFonts w:ascii="Times New Roman" w:hAnsi="Times New Roman" w:cs="Times New Roman"/>
                <w:sz w:val="21"/>
              </w:rPr>
            </w:pPr>
            <w:r w:rsidRPr="00A351F7">
              <w:rPr>
                <w:rFonts w:ascii="Times New Roman" w:hAnsi="Times New Roman" w:cs="Times New Roman"/>
                <w:sz w:val="21"/>
              </w:rPr>
              <w:t>13.38</w:t>
            </w:r>
          </w:p>
        </w:tc>
        <w:tc>
          <w:tcPr>
            <w:tcW w:w="0" w:type="auto"/>
            <w:vAlign w:val="center"/>
            <w:hideMark/>
          </w:tcPr>
          <w:p w14:paraId="2C4DA6E1" w14:textId="77777777" w:rsidR="008D45A9" w:rsidRPr="00A351F7" w:rsidRDefault="008D45A9" w:rsidP="00A351F7">
            <w:pPr>
              <w:pStyle w:val="NoSpacing"/>
              <w:jc w:val="center"/>
              <w:rPr>
                <w:rFonts w:ascii="Times New Roman" w:hAnsi="Times New Roman" w:cs="Times New Roman"/>
                <w:sz w:val="21"/>
              </w:rPr>
            </w:pPr>
            <w:r w:rsidRPr="00A351F7">
              <w:rPr>
                <w:rFonts w:ascii="Times New Roman" w:hAnsi="Times New Roman" w:cs="Times New Roman"/>
                <w:sz w:val="21"/>
              </w:rPr>
              <w:t>5.25</w:t>
            </w:r>
          </w:p>
        </w:tc>
        <w:tc>
          <w:tcPr>
            <w:tcW w:w="0" w:type="auto"/>
            <w:vAlign w:val="center"/>
            <w:hideMark/>
          </w:tcPr>
          <w:p w14:paraId="3A07DED4" w14:textId="77777777" w:rsidR="008D45A9" w:rsidRPr="00A351F7" w:rsidRDefault="008D45A9" w:rsidP="00A351F7">
            <w:pPr>
              <w:pStyle w:val="NoSpacing"/>
              <w:jc w:val="center"/>
              <w:rPr>
                <w:rFonts w:ascii="Times New Roman" w:hAnsi="Times New Roman" w:cs="Times New Roman"/>
                <w:sz w:val="21"/>
              </w:rPr>
            </w:pPr>
            <w:r w:rsidRPr="00A351F7">
              <w:rPr>
                <w:rFonts w:ascii="Times New Roman" w:hAnsi="Times New Roman" w:cs="Times New Roman"/>
                <w:sz w:val="21"/>
              </w:rPr>
              <w:t>18.63</w:t>
            </w:r>
          </w:p>
        </w:tc>
        <w:tc>
          <w:tcPr>
            <w:tcW w:w="0" w:type="auto"/>
            <w:vAlign w:val="center"/>
            <w:hideMark/>
          </w:tcPr>
          <w:p w14:paraId="5AFC4F3B" w14:textId="77777777" w:rsidR="008D45A9" w:rsidRPr="00A351F7" w:rsidRDefault="008D45A9" w:rsidP="00A351F7">
            <w:pPr>
              <w:pStyle w:val="NoSpacing"/>
              <w:jc w:val="center"/>
              <w:rPr>
                <w:rFonts w:ascii="Times New Roman" w:hAnsi="Times New Roman" w:cs="Times New Roman"/>
                <w:sz w:val="21"/>
              </w:rPr>
            </w:pPr>
            <w:r w:rsidRPr="00A351F7">
              <w:rPr>
                <w:rFonts w:ascii="Times New Roman" w:hAnsi="Times New Roman" w:cs="Times New Roman"/>
                <w:sz w:val="21"/>
              </w:rPr>
              <w:t>49.21</w:t>
            </w:r>
          </w:p>
        </w:tc>
        <w:tc>
          <w:tcPr>
            <w:tcW w:w="0" w:type="auto"/>
            <w:vAlign w:val="center"/>
            <w:hideMark/>
          </w:tcPr>
          <w:p w14:paraId="1C787549" w14:textId="77777777" w:rsidR="008D45A9" w:rsidRPr="00A351F7" w:rsidRDefault="008D45A9" w:rsidP="00A351F7">
            <w:pPr>
              <w:pStyle w:val="NoSpacing"/>
              <w:jc w:val="center"/>
              <w:rPr>
                <w:rFonts w:ascii="Times New Roman" w:hAnsi="Times New Roman" w:cs="Times New Roman"/>
                <w:sz w:val="21"/>
              </w:rPr>
            </w:pPr>
            <w:r w:rsidRPr="00A351F7">
              <w:rPr>
                <w:rFonts w:ascii="Times New Roman" w:hAnsi="Times New Roman" w:cs="Times New Roman"/>
                <w:sz w:val="21"/>
              </w:rPr>
              <w:t>21.00</w:t>
            </w:r>
          </w:p>
        </w:tc>
        <w:tc>
          <w:tcPr>
            <w:tcW w:w="0" w:type="auto"/>
            <w:vAlign w:val="center"/>
            <w:hideMark/>
          </w:tcPr>
          <w:p w14:paraId="543825BE" w14:textId="77777777" w:rsidR="008D45A9" w:rsidRPr="00A351F7" w:rsidRDefault="008D45A9" w:rsidP="00A351F7">
            <w:pPr>
              <w:pStyle w:val="NoSpacing"/>
              <w:jc w:val="center"/>
              <w:rPr>
                <w:rFonts w:ascii="Times New Roman" w:hAnsi="Times New Roman" w:cs="Times New Roman"/>
                <w:sz w:val="21"/>
              </w:rPr>
            </w:pPr>
            <w:r w:rsidRPr="00A351F7">
              <w:rPr>
                <w:rFonts w:ascii="Times New Roman" w:hAnsi="Times New Roman" w:cs="Times New Roman"/>
                <w:sz w:val="21"/>
              </w:rPr>
              <w:t>70.21</w:t>
            </w:r>
          </w:p>
        </w:tc>
      </w:tr>
      <w:tr w:rsidR="008D45A9" w:rsidRPr="00A351F7" w14:paraId="2730CCC3" w14:textId="77777777" w:rsidTr="00A351F7">
        <w:trPr>
          <w:trHeight w:val="491"/>
        </w:trPr>
        <w:tc>
          <w:tcPr>
            <w:tcW w:w="0" w:type="auto"/>
            <w:hideMark/>
          </w:tcPr>
          <w:p w14:paraId="4D3AFEFF" w14:textId="77777777" w:rsidR="008D45A9" w:rsidRPr="00A351F7" w:rsidRDefault="008D45A9" w:rsidP="00B77C0B">
            <w:pPr>
              <w:pStyle w:val="NoSpacing"/>
              <w:rPr>
                <w:rFonts w:ascii="Times New Roman" w:hAnsi="Times New Roman" w:cs="Times New Roman"/>
                <w:sz w:val="21"/>
              </w:rPr>
            </w:pPr>
            <w:r w:rsidRPr="00A351F7">
              <w:rPr>
                <w:rFonts w:ascii="Times New Roman" w:hAnsi="Times New Roman" w:cs="Times New Roman"/>
                <w:sz w:val="21"/>
              </w:rPr>
              <w:t>Tamil Nadu</w:t>
            </w:r>
          </w:p>
        </w:tc>
        <w:tc>
          <w:tcPr>
            <w:tcW w:w="0" w:type="auto"/>
            <w:vAlign w:val="center"/>
            <w:hideMark/>
          </w:tcPr>
          <w:p w14:paraId="6B554E9B" w14:textId="77777777" w:rsidR="008D45A9" w:rsidRPr="00A351F7" w:rsidRDefault="008D45A9" w:rsidP="00A351F7">
            <w:pPr>
              <w:pStyle w:val="NoSpacing"/>
              <w:jc w:val="center"/>
              <w:rPr>
                <w:rFonts w:ascii="Times New Roman" w:hAnsi="Times New Roman" w:cs="Times New Roman"/>
                <w:sz w:val="21"/>
              </w:rPr>
            </w:pPr>
            <w:r w:rsidRPr="00A351F7">
              <w:rPr>
                <w:rFonts w:ascii="Times New Roman" w:hAnsi="Times New Roman" w:cs="Times New Roman"/>
                <w:sz w:val="21"/>
              </w:rPr>
              <w:t>17.71</w:t>
            </w:r>
          </w:p>
        </w:tc>
        <w:tc>
          <w:tcPr>
            <w:tcW w:w="0" w:type="auto"/>
            <w:vAlign w:val="center"/>
            <w:hideMark/>
          </w:tcPr>
          <w:p w14:paraId="42B58592" w14:textId="77777777" w:rsidR="008D45A9" w:rsidRPr="00A351F7" w:rsidRDefault="008D45A9" w:rsidP="00A351F7">
            <w:pPr>
              <w:pStyle w:val="NoSpacing"/>
              <w:jc w:val="center"/>
              <w:rPr>
                <w:rFonts w:ascii="Times New Roman" w:hAnsi="Times New Roman" w:cs="Times New Roman"/>
                <w:sz w:val="21"/>
              </w:rPr>
            </w:pPr>
            <w:r w:rsidRPr="00A351F7">
              <w:rPr>
                <w:rFonts w:ascii="Times New Roman" w:hAnsi="Times New Roman" w:cs="Times New Roman"/>
                <w:sz w:val="21"/>
              </w:rPr>
              <w:t>3.00</w:t>
            </w:r>
          </w:p>
        </w:tc>
        <w:tc>
          <w:tcPr>
            <w:tcW w:w="0" w:type="auto"/>
            <w:vAlign w:val="center"/>
            <w:hideMark/>
          </w:tcPr>
          <w:p w14:paraId="48D21638" w14:textId="77777777" w:rsidR="008D45A9" w:rsidRPr="00A351F7" w:rsidRDefault="008D45A9" w:rsidP="00A351F7">
            <w:pPr>
              <w:pStyle w:val="NoSpacing"/>
              <w:jc w:val="center"/>
              <w:rPr>
                <w:rFonts w:ascii="Times New Roman" w:hAnsi="Times New Roman" w:cs="Times New Roman"/>
                <w:sz w:val="21"/>
              </w:rPr>
            </w:pPr>
            <w:r w:rsidRPr="00A351F7">
              <w:rPr>
                <w:rFonts w:ascii="Times New Roman" w:hAnsi="Times New Roman" w:cs="Times New Roman"/>
                <w:sz w:val="21"/>
              </w:rPr>
              <w:t>20.71</w:t>
            </w:r>
          </w:p>
        </w:tc>
        <w:tc>
          <w:tcPr>
            <w:tcW w:w="0" w:type="auto"/>
            <w:vAlign w:val="center"/>
            <w:hideMark/>
          </w:tcPr>
          <w:p w14:paraId="3EAB3690" w14:textId="77777777" w:rsidR="008D45A9" w:rsidRPr="00A351F7" w:rsidRDefault="008D45A9" w:rsidP="00A351F7">
            <w:pPr>
              <w:pStyle w:val="NoSpacing"/>
              <w:jc w:val="center"/>
              <w:rPr>
                <w:rFonts w:ascii="Times New Roman" w:hAnsi="Times New Roman" w:cs="Times New Roman"/>
                <w:sz w:val="21"/>
              </w:rPr>
            </w:pPr>
            <w:r w:rsidRPr="00A351F7">
              <w:rPr>
                <w:rFonts w:ascii="Times New Roman" w:hAnsi="Times New Roman" w:cs="Times New Roman"/>
                <w:sz w:val="21"/>
              </w:rPr>
              <w:t>20.31</w:t>
            </w:r>
          </w:p>
        </w:tc>
        <w:tc>
          <w:tcPr>
            <w:tcW w:w="0" w:type="auto"/>
            <w:vAlign w:val="center"/>
            <w:hideMark/>
          </w:tcPr>
          <w:p w14:paraId="49591272" w14:textId="77777777" w:rsidR="008D45A9" w:rsidRPr="00A351F7" w:rsidRDefault="008D45A9" w:rsidP="00A351F7">
            <w:pPr>
              <w:pStyle w:val="NoSpacing"/>
              <w:jc w:val="center"/>
              <w:rPr>
                <w:rFonts w:ascii="Times New Roman" w:hAnsi="Times New Roman" w:cs="Times New Roman"/>
                <w:sz w:val="21"/>
              </w:rPr>
            </w:pPr>
            <w:r w:rsidRPr="00A351F7">
              <w:rPr>
                <w:rFonts w:ascii="Times New Roman" w:hAnsi="Times New Roman" w:cs="Times New Roman"/>
                <w:sz w:val="21"/>
              </w:rPr>
              <w:t>3.00</w:t>
            </w:r>
          </w:p>
        </w:tc>
        <w:tc>
          <w:tcPr>
            <w:tcW w:w="0" w:type="auto"/>
            <w:vAlign w:val="center"/>
            <w:hideMark/>
          </w:tcPr>
          <w:p w14:paraId="79257AF9" w14:textId="77777777" w:rsidR="008D45A9" w:rsidRPr="00A351F7" w:rsidRDefault="008D45A9" w:rsidP="00A351F7">
            <w:pPr>
              <w:pStyle w:val="NoSpacing"/>
              <w:jc w:val="center"/>
              <w:rPr>
                <w:rFonts w:ascii="Times New Roman" w:hAnsi="Times New Roman" w:cs="Times New Roman"/>
                <w:sz w:val="21"/>
              </w:rPr>
            </w:pPr>
            <w:r w:rsidRPr="00A351F7">
              <w:rPr>
                <w:rFonts w:ascii="Times New Roman" w:hAnsi="Times New Roman" w:cs="Times New Roman"/>
                <w:sz w:val="21"/>
              </w:rPr>
              <w:t>23.31</w:t>
            </w:r>
          </w:p>
        </w:tc>
        <w:tc>
          <w:tcPr>
            <w:tcW w:w="0" w:type="auto"/>
            <w:vAlign w:val="center"/>
            <w:hideMark/>
          </w:tcPr>
          <w:p w14:paraId="2DEBA150" w14:textId="77777777" w:rsidR="008D45A9" w:rsidRPr="00A351F7" w:rsidRDefault="008D45A9" w:rsidP="00A351F7">
            <w:pPr>
              <w:pStyle w:val="NoSpacing"/>
              <w:jc w:val="center"/>
              <w:rPr>
                <w:rFonts w:ascii="Times New Roman" w:hAnsi="Times New Roman" w:cs="Times New Roman"/>
                <w:sz w:val="21"/>
              </w:rPr>
            </w:pPr>
            <w:r w:rsidRPr="00A351F7">
              <w:rPr>
                <w:rFonts w:ascii="Times New Roman" w:hAnsi="Times New Roman" w:cs="Times New Roman"/>
                <w:sz w:val="21"/>
              </w:rPr>
              <w:t>20.26</w:t>
            </w:r>
          </w:p>
        </w:tc>
        <w:tc>
          <w:tcPr>
            <w:tcW w:w="0" w:type="auto"/>
            <w:vAlign w:val="center"/>
            <w:hideMark/>
          </w:tcPr>
          <w:p w14:paraId="43984178" w14:textId="77777777" w:rsidR="008D45A9" w:rsidRPr="00A351F7" w:rsidRDefault="008D45A9" w:rsidP="00A351F7">
            <w:pPr>
              <w:pStyle w:val="NoSpacing"/>
              <w:jc w:val="center"/>
              <w:rPr>
                <w:rFonts w:ascii="Times New Roman" w:hAnsi="Times New Roman" w:cs="Times New Roman"/>
                <w:sz w:val="21"/>
              </w:rPr>
            </w:pPr>
            <w:r w:rsidRPr="00A351F7">
              <w:rPr>
                <w:rFonts w:ascii="Times New Roman" w:hAnsi="Times New Roman" w:cs="Times New Roman"/>
                <w:sz w:val="21"/>
              </w:rPr>
              <w:t>3.00</w:t>
            </w:r>
          </w:p>
        </w:tc>
        <w:tc>
          <w:tcPr>
            <w:tcW w:w="0" w:type="auto"/>
            <w:vAlign w:val="center"/>
            <w:hideMark/>
          </w:tcPr>
          <w:p w14:paraId="43147667" w14:textId="77777777" w:rsidR="008D45A9" w:rsidRPr="00A351F7" w:rsidRDefault="008D45A9" w:rsidP="00A351F7">
            <w:pPr>
              <w:pStyle w:val="NoSpacing"/>
              <w:jc w:val="center"/>
              <w:rPr>
                <w:rFonts w:ascii="Times New Roman" w:hAnsi="Times New Roman" w:cs="Times New Roman"/>
                <w:sz w:val="21"/>
              </w:rPr>
            </w:pPr>
            <w:r w:rsidRPr="00A351F7">
              <w:rPr>
                <w:rFonts w:ascii="Times New Roman" w:hAnsi="Times New Roman" w:cs="Times New Roman"/>
                <w:sz w:val="21"/>
              </w:rPr>
              <w:t>23.26</w:t>
            </w:r>
          </w:p>
        </w:tc>
        <w:tc>
          <w:tcPr>
            <w:tcW w:w="0" w:type="auto"/>
            <w:vAlign w:val="center"/>
            <w:hideMark/>
          </w:tcPr>
          <w:p w14:paraId="030F3725" w14:textId="77777777" w:rsidR="008D45A9" w:rsidRPr="00A351F7" w:rsidRDefault="008D45A9" w:rsidP="00A351F7">
            <w:pPr>
              <w:pStyle w:val="NoSpacing"/>
              <w:jc w:val="center"/>
              <w:rPr>
                <w:rFonts w:ascii="Times New Roman" w:hAnsi="Times New Roman" w:cs="Times New Roman"/>
                <w:sz w:val="21"/>
              </w:rPr>
            </w:pPr>
            <w:r w:rsidRPr="00A351F7">
              <w:rPr>
                <w:rFonts w:ascii="Times New Roman" w:hAnsi="Times New Roman" w:cs="Times New Roman"/>
                <w:sz w:val="21"/>
              </w:rPr>
              <w:t>21.47</w:t>
            </w:r>
          </w:p>
        </w:tc>
        <w:tc>
          <w:tcPr>
            <w:tcW w:w="0" w:type="auto"/>
            <w:vAlign w:val="center"/>
            <w:hideMark/>
          </w:tcPr>
          <w:p w14:paraId="79C3453A" w14:textId="77777777" w:rsidR="008D45A9" w:rsidRPr="00A351F7" w:rsidRDefault="008D45A9" w:rsidP="00A351F7">
            <w:pPr>
              <w:pStyle w:val="NoSpacing"/>
              <w:jc w:val="center"/>
              <w:rPr>
                <w:rFonts w:ascii="Times New Roman" w:hAnsi="Times New Roman" w:cs="Times New Roman"/>
                <w:sz w:val="21"/>
              </w:rPr>
            </w:pPr>
            <w:r w:rsidRPr="00A351F7">
              <w:rPr>
                <w:rFonts w:ascii="Times New Roman" w:hAnsi="Times New Roman" w:cs="Times New Roman"/>
                <w:sz w:val="21"/>
              </w:rPr>
              <w:t>3.00</w:t>
            </w:r>
          </w:p>
        </w:tc>
        <w:tc>
          <w:tcPr>
            <w:tcW w:w="0" w:type="auto"/>
            <w:vAlign w:val="center"/>
            <w:hideMark/>
          </w:tcPr>
          <w:p w14:paraId="5343CA84" w14:textId="77777777" w:rsidR="008D45A9" w:rsidRPr="00A351F7" w:rsidRDefault="008D45A9" w:rsidP="00A351F7">
            <w:pPr>
              <w:pStyle w:val="NoSpacing"/>
              <w:jc w:val="center"/>
              <w:rPr>
                <w:rFonts w:ascii="Times New Roman" w:hAnsi="Times New Roman" w:cs="Times New Roman"/>
                <w:sz w:val="21"/>
              </w:rPr>
            </w:pPr>
            <w:r w:rsidRPr="00A351F7">
              <w:rPr>
                <w:rFonts w:ascii="Times New Roman" w:hAnsi="Times New Roman" w:cs="Times New Roman"/>
                <w:sz w:val="21"/>
              </w:rPr>
              <w:t>24.47</w:t>
            </w:r>
          </w:p>
        </w:tc>
        <w:tc>
          <w:tcPr>
            <w:tcW w:w="0" w:type="auto"/>
            <w:vAlign w:val="center"/>
            <w:hideMark/>
          </w:tcPr>
          <w:p w14:paraId="6ABD11E0" w14:textId="77777777" w:rsidR="008D45A9" w:rsidRPr="00A351F7" w:rsidRDefault="008D45A9" w:rsidP="00A351F7">
            <w:pPr>
              <w:pStyle w:val="NoSpacing"/>
              <w:jc w:val="center"/>
              <w:rPr>
                <w:rFonts w:ascii="Times New Roman" w:hAnsi="Times New Roman" w:cs="Times New Roman"/>
                <w:sz w:val="21"/>
              </w:rPr>
            </w:pPr>
            <w:r w:rsidRPr="00A351F7">
              <w:rPr>
                <w:rFonts w:ascii="Times New Roman" w:hAnsi="Times New Roman" w:cs="Times New Roman"/>
                <w:sz w:val="21"/>
              </w:rPr>
              <w:t>79.75</w:t>
            </w:r>
          </w:p>
        </w:tc>
        <w:tc>
          <w:tcPr>
            <w:tcW w:w="0" w:type="auto"/>
            <w:vAlign w:val="center"/>
            <w:hideMark/>
          </w:tcPr>
          <w:p w14:paraId="7263BC1A" w14:textId="77777777" w:rsidR="008D45A9" w:rsidRPr="00A351F7" w:rsidRDefault="008D45A9" w:rsidP="00A351F7">
            <w:pPr>
              <w:pStyle w:val="NoSpacing"/>
              <w:jc w:val="center"/>
              <w:rPr>
                <w:rFonts w:ascii="Times New Roman" w:hAnsi="Times New Roman" w:cs="Times New Roman"/>
                <w:sz w:val="21"/>
              </w:rPr>
            </w:pPr>
            <w:r w:rsidRPr="00A351F7">
              <w:rPr>
                <w:rFonts w:ascii="Times New Roman" w:hAnsi="Times New Roman" w:cs="Times New Roman"/>
                <w:sz w:val="21"/>
              </w:rPr>
              <w:t>12.00</w:t>
            </w:r>
          </w:p>
        </w:tc>
        <w:tc>
          <w:tcPr>
            <w:tcW w:w="0" w:type="auto"/>
            <w:vAlign w:val="center"/>
            <w:hideMark/>
          </w:tcPr>
          <w:p w14:paraId="773429B4" w14:textId="77777777" w:rsidR="008D45A9" w:rsidRPr="00A351F7" w:rsidRDefault="008D45A9" w:rsidP="00A351F7">
            <w:pPr>
              <w:pStyle w:val="NoSpacing"/>
              <w:jc w:val="center"/>
              <w:rPr>
                <w:rFonts w:ascii="Times New Roman" w:hAnsi="Times New Roman" w:cs="Times New Roman"/>
                <w:sz w:val="21"/>
              </w:rPr>
            </w:pPr>
            <w:r w:rsidRPr="00A351F7">
              <w:rPr>
                <w:rFonts w:ascii="Times New Roman" w:hAnsi="Times New Roman" w:cs="Times New Roman"/>
                <w:sz w:val="21"/>
              </w:rPr>
              <w:t>91.75</w:t>
            </w:r>
          </w:p>
        </w:tc>
      </w:tr>
      <w:tr w:rsidR="008D45A9" w:rsidRPr="00A351F7" w14:paraId="11D991A4" w14:textId="77777777" w:rsidTr="00A351F7">
        <w:trPr>
          <w:trHeight w:val="510"/>
        </w:trPr>
        <w:tc>
          <w:tcPr>
            <w:tcW w:w="0" w:type="auto"/>
            <w:hideMark/>
          </w:tcPr>
          <w:p w14:paraId="162C1DBF" w14:textId="77777777" w:rsidR="008D45A9" w:rsidRPr="00A351F7" w:rsidRDefault="008D45A9" w:rsidP="00B77C0B">
            <w:pPr>
              <w:pStyle w:val="NoSpacing"/>
              <w:rPr>
                <w:rFonts w:ascii="Times New Roman" w:hAnsi="Times New Roman" w:cs="Times New Roman"/>
                <w:sz w:val="21"/>
              </w:rPr>
            </w:pPr>
            <w:r w:rsidRPr="00A351F7">
              <w:rPr>
                <w:rFonts w:ascii="Times New Roman" w:hAnsi="Times New Roman" w:cs="Times New Roman"/>
                <w:sz w:val="21"/>
              </w:rPr>
              <w:t>Uttar Pradesh</w:t>
            </w:r>
          </w:p>
        </w:tc>
        <w:tc>
          <w:tcPr>
            <w:tcW w:w="0" w:type="auto"/>
            <w:vAlign w:val="center"/>
            <w:hideMark/>
          </w:tcPr>
          <w:p w14:paraId="357DF81D" w14:textId="77777777" w:rsidR="008D45A9" w:rsidRPr="00A351F7" w:rsidRDefault="008D45A9" w:rsidP="00A351F7">
            <w:pPr>
              <w:pStyle w:val="NoSpacing"/>
              <w:jc w:val="center"/>
              <w:rPr>
                <w:rFonts w:ascii="Times New Roman" w:hAnsi="Times New Roman" w:cs="Times New Roman"/>
                <w:sz w:val="21"/>
              </w:rPr>
            </w:pPr>
            <w:r w:rsidRPr="00A351F7">
              <w:rPr>
                <w:rFonts w:ascii="Times New Roman" w:hAnsi="Times New Roman" w:cs="Times New Roman"/>
                <w:sz w:val="21"/>
              </w:rPr>
              <w:t>32.90</w:t>
            </w:r>
          </w:p>
        </w:tc>
        <w:tc>
          <w:tcPr>
            <w:tcW w:w="0" w:type="auto"/>
            <w:vAlign w:val="center"/>
            <w:hideMark/>
          </w:tcPr>
          <w:p w14:paraId="3CA42E34" w14:textId="77777777" w:rsidR="008D45A9" w:rsidRPr="00A351F7" w:rsidRDefault="008D45A9" w:rsidP="00A351F7">
            <w:pPr>
              <w:pStyle w:val="NoSpacing"/>
              <w:jc w:val="center"/>
              <w:rPr>
                <w:rFonts w:ascii="Times New Roman" w:hAnsi="Times New Roman" w:cs="Times New Roman"/>
                <w:sz w:val="21"/>
              </w:rPr>
            </w:pPr>
            <w:r w:rsidRPr="00A351F7">
              <w:rPr>
                <w:rFonts w:ascii="Times New Roman" w:hAnsi="Times New Roman" w:cs="Times New Roman"/>
                <w:sz w:val="21"/>
              </w:rPr>
              <w:t>..</w:t>
            </w:r>
          </w:p>
        </w:tc>
        <w:tc>
          <w:tcPr>
            <w:tcW w:w="0" w:type="auto"/>
            <w:vAlign w:val="center"/>
            <w:hideMark/>
          </w:tcPr>
          <w:p w14:paraId="018D472D" w14:textId="77777777" w:rsidR="008D45A9" w:rsidRPr="00A351F7" w:rsidRDefault="008D45A9" w:rsidP="00A351F7">
            <w:pPr>
              <w:pStyle w:val="NoSpacing"/>
              <w:jc w:val="center"/>
              <w:rPr>
                <w:rFonts w:ascii="Times New Roman" w:hAnsi="Times New Roman" w:cs="Times New Roman"/>
                <w:sz w:val="21"/>
              </w:rPr>
            </w:pPr>
            <w:r w:rsidRPr="00A351F7">
              <w:rPr>
                <w:rFonts w:ascii="Times New Roman" w:hAnsi="Times New Roman" w:cs="Times New Roman"/>
                <w:sz w:val="21"/>
              </w:rPr>
              <w:t>32.90</w:t>
            </w:r>
          </w:p>
        </w:tc>
        <w:tc>
          <w:tcPr>
            <w:tcW w:w="0" w:type="auto"/>
            <w:vAlign w:val="center"/>
            <w:hideMark/>
          </w:tcPr>
          <w:p w14:paraId="23F04B5D" w14:textId="77777777" w:rsidR="008D45A9" w:rsidRPr="00A351F7" w:rsidRDefault="008D45A9" w:rsidP="00A351F7">
            <w:pPr>
              <w:pStyle w:val="NoSpacing"/>
              <w:jc w:val="center"/>
              <w:rPr>
                <w:rFonts w:ascii="Times New Roman" w:hAnsi="Times New Roman" w:cs="Times New Roman"/>
                <w:sz w:val="21"/>
              </w:rPr>
            </w:pPr>
            <w:r w:rsidRPr="00A351F7">
              <w:rPr>
                <w:rFonts w:ascii="Times New Roman" w:hAnsi="Times New Roman" w:cs="Times New Roman"/>
                <w:sz w:val="21"/>
              </w:rPr>
              <w:t>37.66</w:t>
            </w:r>
          </w:p>
        </w:tc>
        <w:tc>
          <w:tcPr>
            <w:tcW w:w="0" w:type="auto"/>
            <w:vAlign w:val="center"/>
            <w:hideMark/>
          </w:tcPr>
          <w:p w14:paraId="5487E33C" w14:textId="77777777" w:rsidR="008D45A9" w:rsidRPr="00A351F7" w:rsidRDefault="008D45A9" w:rsidP="00A351F7">
            <w:pPr>
              <w:pStyle w:val="NoSpacing"/>
              <w:jc w:val="center"/>
              <w:rPr>
                <w:rFonts w:ascii="Times New Roman" w:hAnsi="Times New Roman" w:cs="Times New Roman"/>
                <w:sz w:val="21"/>
              </w:rPr>
            </w:pPr>
            <w:r w:rsidRPr="00A351F7">
              <w:rPr>
                <w:rFonts w:ascii="Times New Roman" w:hAnsi="Times New Roman" w:cs="Times New Roman"/>
                <w:sz w:val="21"/>
              </w:rPr>
              <w:t>..</w:t>
            </w:r>
          </w:p>
        </w:tc>
        <w:tc>
          <w:tcPr>
            <w:tcW w:w="0" w:type="auto"/>
            <w:vAlign w:val="center"/>
            <w:hideMark/>
          </w:tcPr>
          <w:p w14:paraId="7C255FD4" w14:textId="77777777" w:rsidR="008D45A9" w:rsidRPr="00A351F7" w:rsidRDefault="008D45A9" w:rsidP="00A351F7">
            <w:pPr>
              <w:pStyle w:val="NoSpacing"/>
              <w:jc w:val="center"/>
              <w:rPr>
                <w:rFonts w:ascii="Times New Roman" w:hAnsi="Times New Roman" w:cs="Times New Roman"/>
                <w:sz w:val="21"/>
              </w:rPr>
            </w:pPr>
            <w:r w:rsidRPr="00A351F7">
              <w:rPr>
                <w:rFonts w:ascii="Times New Roman" w:hAnsi="Times New Roman" w:cs="Times New Roman"/>
                <w:sz w:val="21"/>
              </w:rPr>
              <w:t>37.66</w:t>
            </w:r>
          </w:p>
        </w:tc>
        <w:tc>
          <w:tcPr>
            <w:tcW w:w="0" w:type="auto"/>
            <w:vAlign w:val="center"/>
            <w:hideMark/>
          </w:tcPr>
          <w:p w14:paraId="40DA473F" w14:textId="77777777" w:rsidR="008D45A9" w:rsidRPr="00A351F7" w:rsidRDefault="008D45A9" w:rsidP="00A351F7">
            <w:pPr>
              <w:pStyle w:val="NoSpacing"/>
              <w:jc w:val="center"/>
              <w:rPr>
                <w:rFonts w:ascii="Times New Roman" w:hAnsi="Times New Roman" w:cs="Times New Roman"/>
                <w:sz w:val="21"/>
              </w:rPr>
            </w:pPr>
            <w:r w:rsidRPr="00A351F7">
              <w:rPr>
                <w:rFonts w:ascii="Times New Roman" w:hAnsi="Times New Roman" w:cs="Times New Roman"/>
                <w:sz w:val="21"/>
              </w:rPr>
              <w:t>37.47</w:t>
            </w:r>
          </w:p>
        </w:tc>
        <w:tc>
          <w:tcPr>
            <w:tcW w:w="0" w:type="auto"/>
            <w:vAlign w:val="center"/>
            <w:hideMark/>
          </w:tcPr>
          <w:p w14:paraId="10EBFFDA" w14:textId="77777777" w:rsidR="008D45A9" w:rsidRPr="00A351F7" w:rsidRDefault="008D45A9" w:rsidP="00A351F7">
            <w:pPr>
              <w:pStyle w:val="NoSpacing"/>
              <w:jc w:val="center"/>
              <w:rPr>
                <w:rFonts w:ascii="Times New Roman" w:hAnsi="Times New Roman" w:cs="Times New Roman"/>
                <w:sz w:val="21"/>
              </w:rPr>
            </w:pPr>
            <w:r w:rsidRPr="00A351F7">
              <w:rPr>
                <w:rFonts w:ascii="Times New Roman" w:hAnsi="Times New Roman" w:cs="Times New Roman"/>
                <w:sz w:val="21"/>
              </w:rPr>
              <w:t>..</w:t>
            </w:r>
          </w:p>
        </w:tc>
        <w:tc>
          <w:tcPr>
            <w:tcW w:w="0" w:type="auto"/>
            <w:vAlign w:val="center"/>
            <w:hideMark/>
          </w:tcPr>
          <w:p w14:paraId="48C2F801" w14:textId="77777777" w:rsidR="008D45A9" w:rsidRPr="00A351F7" w:rsidRDefault="008D45A9" w:rsidP="00A351F7">
            <w:pPr>
              <w:pStyle w:val="NoSpacing"/>
              <w:jc w:val="center"/>
              <w:rPr>
                <w:rFonts w:ascii="Times New Roman" w:hAnsi="Times New Roman" w:cs="Times New Roman"/>
                <w:sz w:val="21"/>
              </w:rPr>
            </w:pPr>
            <w:r w:rsidRPr="00A351F7">
              <w:rPr>
                <w:rFonts w:ascii="Times New Roman" w:hAnsi="Times New Roman" w:cs="Times New Roman"/>
                <w:sz w:val="21"/>
              </w:rPr>
              <w:t>37.47</w:t>
            </w:r>
          </w:p>
        </w:tc>
        <w:tc>
          <w:tcPr>
            <w:tcW w:w="0" w:type="auto"/>
            <w:vAlign w:val="center"/>
            <w:hideMark/>
          </w:tcPr>
          <w:p w14:paraId="7AB125D6" w14:textId="77777777" w:rsidR="008D45A9" w:rsidRPr="00A351F7" w:rsidRDefault="008D45A9" w:rsidP="00A351F7">
            <w:pPr>
              <w:pStyle w:val="NoSpacing"/>
              <w:jc w:val="center"/>
              <w:rPr>
                <w:rFonts w:ascii="Times New Roman" w:hAnsi="Times New Roman" w:cs="Times New Roman"/>
                <w:sz w:val="21"/>
              </w:rPr>
            </w:pPr>
            <w:r w:rsidRPr="00A351F7">
              <w:rPr>
                <w:rFonts w:ascii="Times New Roman" w:hAnsi="Times New Roman" w:cs="Times New Roman"/>
                <w:sz w:val="21"/>
              </w:rPr>
              <w:t>39.92</w:t>
            </w:r>
          </w:p>
        </w:tc>
        <w:tc>
          <w:tcPr>
            <w:tcW w:w="0" w:type="auto"/>
            <w:vAlign w:val="center"/>
            <w:hideMark/>
          </w:tcPr>
          <w:p w14:paraId="79057D06" w14:textId="77777777" w:rsidR="008D45A9" w:rsidRPr="00A351F7" w:rsidRDefault="008D45A9" w:rsidP="00A351F7">
            <w:pPr>
              <w:pStyle w:val="NoSpacing"/>
              <w:jc w:val="center"/>
              <w:rPr>
                <w:rFonts w:ascii="Times New Roman" w:hAnsi="Times New Roman" w:cs="Times New Roman"/>
                <w:sz w:val="21"/>
              </w:rPr>
            </w:pPr>
            <w:r w:rsidRPr="00A351F7">
              <w:rPr>
                <w:rFonts w:ascii="Times New Roman" w:hAnsi="Times New Roman" w:cs="Times New Roman"/>
                <w:sz w:val="21"/>
              </w:rPr>
              <w:t>..</w:t>
            </w:r>
          </w:p>
        </w:tc>
        <w:tc>
          <w:tcPr>
            <w:tcW w:w="0" w:type="auto"/>
            <w:vAlign w:val="center"/>
            <w:hideMark/>
          </w:tcPr>
          <w:p w14:paraId="629A39CD" w14:textId="77777777" w:rsidR="008D45A9" w:rsidRPr="00A351F7" w:rsidRDefault="008D45A9" w:rsidP="00A351F7">
            <w:pPr>
              <w:pStyle w:val="NoSpacing"/>
              <w:jc w:val="center"/>
              <w:rPr>
                <w:rFonts w:ascii="Times New Roman" w:hAnsi="Times New Roman" w:cs="Times New Roman"/>
                <w:sz w:val="21"/>
              </w:rPr>
            </w:pPr>
            <w:r w:rsidRPr="00A351F7">
              <w:rPr>
                <w:rFonts w:ascii="Times New Roman" w:hAnsi="Times New Roman" w:cs="Times New Roman"/>
                <w:sz w:val="21"/>
              </w:rPr>
              <w:t>39.92</w:t>
            </w:r>
          </w:p>
        </w:tc>
        <w:tc>
          <w:tcPr>
            <w:tcW w:w="0" w:type="auto"/>
            <w:vAlign w:val="center"/>
            <w:hideMark/>
          </w:tcPr>
          <w:p w14:paraId="51A85998" w14:textId="77777777" w:rsidR="008D45A9" w:rsidRPr="00A351F7" w:rsidRDefault="008D45A9" w:rsidP="00A351F7">
            <w:pPr>
              <w:pStyle w:val="NoSpacing"/>
              <w:jc w:val="center"/>
              <w:rPr>
                <w:rFonts w:ascii="Times New Roman" w:hAnsi="Times New Roman" w:cs="Times New Roman"/>
                <w:sz w:val="21"/>
              </w:rPr>
            </w:pPr>
            <w:r w:rsidRPr="00A351F7">
              <w:rPr>
                <w:rFonts w:ascii="Times New Roman" w:hAnsi="Times New Roman" w:cs="Times New Roman"/>
                <w:sz w:val="21"/>
              </w:rPr>
              <w:t>147.95</w:t>
            </w:r>
          </w:p>
        </w:tc>
        <w:tc>
          <w:tcPr>
            <w:tcW w:w="0" w:type="auto"/>
            <w:vAlign w:val="center"/>
            <w:hideMark/>
          </w:tcPr>
          <w:p w14:paraId="4281FA2E" w14:textId="77777777" w:rsidR="008D45A9" w:rsidRPr="00A351F7" w:rsidRDefault="008D45A9" w:rsidP="00A351F7">
            <w:pPr>
              <w:pStyle w:val="NoSpacing"/>
              <w:jc w:val="center"/>
              <w:rPr>
                <w:rFonts w:ascii="Times New Roman" w:hAnsi="Times New Roman" w:cs="Times New Roman"/>
                <w:sz w:val="21"/>
              </w:rPr>
            </w:pPr>
            <w:r w:rsidRPr="00A351F7">
              <w:rPr>
                <w:rFonts w:ascii="Times New Roman" w:hAnsi="Times New Roman" w:cs="Times New Roman"/>
                <w:sz w:val="21"/>
              </w:rPr>
              <w:t>..</w:t>
            </w:r>
          </w:p>
        </w:tc>
        <w:tc>
          <w:tcPr>
            <w:tcW w:w="0" w:type="auto"/>
            <w:vAlign w:val="center"/>
            <w:hideMark/>
          </w:tcPr>
          <w:p w14:paraId="0F678803" w14:textId="77777777" w:rsidR="008D45A9" w:rsidRPr="00A351F7" w:rsidRDefault="008D45A9" w:rsidP="00A351F7">
            <w:pPr>
              <w:pStyle w:val="NoSpacing"/>
              <w:jc w:val="center"/>
              <w:rPr>
                <w:rFonts w:ascii="Times New Roman" w:hAnsi="Times New Roman" w:cs="Times New Roman"/>
                <w:sz w:val="21"/>
              </w:rPr>
            </w:pPr>
            <w:r w:rsidRPr="00A351F7">
              <w:rPr>
                <w:rFonts w:ascii="Times New Roman" w:hAnsi="Times New Roman" w:cs="Times New Roman"/>
                <w:sz w:val="21"/>
              </w:rPr>
              <w:t>147.95</w:t>
            </w:r>
          </w:p>
        </w:tc>
      </w:tr>
      <w:tr w:rsidR="008D45A9" w:rsidRPr="00A351F7" w14:paraId="6BCFDA9B" w14:textId="77777777" w:rsidTr="00A351F7">
        <w:trPr>
          <w:trHeight w:val="491"/>
        </w:trPr>
        <w:tc>
          <w:tcPr>
            <w:tcW w:w="0" w:type="auto"/>
            <w:hideMark/>
          </w:tcPr>
          <w:p w14:paraId="62B4FD0B" w14:textId="77777777" w:rsidR="008D45A9" w:rsidRPr="00A351F7" w:rsidRDefault="008D45A9" w:rsidP="00B77C0B">
            <w:pPr>
              <w:pStyle w:val="NoSpacing"/>
              <w:rPr>
                <w:rFonts w:ascii="Times New Roman" w:hAnsi="Times New Roman" w:cs="Times New Roman"/>
                <w:sz w:val="21"/>
              </w:rPr>
            </w:pPr>
            <w:r w:rsidRPr="00A351F7">
              <w:rPr>
                <w:rFonts w:ascii="Times New Roman" w:hAnsi="Times New Roman" w:cs="Times New Roman"/>
                <w:sz w:val="21"/>
              </w:rPr>
              <w:t>West Bengal</w:t>
            </w:r>
          </w:p>
        </w:tc>
        <w:tc>
          <w:tcPr>
            <w:tcW w:w="0" w:type="auto"/>
            <w:vAlign w:val="center"/>
            <w:hideMark/>
          </w:tcPr>
          <w:p w14:paraId="545C7F3D" w14:textId="77777777" w:rsidR="008D45A9" w:rsidRPr="00A351F7" w:rsidRDefault="008D45A9" w:rsidP="00A351F7">
            <w:pPr>
              <w:pStyle w:val="NoSpacing"/>
              <w:jc w:val="center"/>
              <w:rPr>
                <w:rFonts w:ascii="Times New Roman" w:hAnsi="Times New Roman" w:cs="Times New Roman"/>
                <w:sz w:val="21"/>
              </w:rPr>
            </w:pPr>
            <w:r w:rsidRPr="00A351F7">
              <w:rPr>
                <w:rFonts w:ascii="Times New Roman" w:hAnsi="Times New Roman" w:cs="Times New Roman"/>
                <w:sz w:val="21"/>
              </w:rPr>
              <w:t>20.58</w:t>
            </w:r>
          </w:p>
        </w:tc>
        <w:tc>
          <w:tcPr>
            <w:tcW w:w="0" w:type="auto"/>
            <w:vAlign w:val="center"/>
            <w:hideMark/>
          </w:tcPr>
          <w:p w14:paraId="7B8A24BE" w14:textId="77777777" w:rsidR="008D45A9" w:rsidRPr="00A351F7" w:rsidRDefault="008D45A9" w:rsidP="00A351F7">
            <w:pPr>
              <w:pStyle w:val="NoSpacing"/>
              <w:jc w:val="center"/>
              <w:rPr>
                <w:rFonts w:ascii="Times New Roman" w:hAnsi="Times New Roman" w:cs="Times New Roman"/>
                <w:sz w:val="21"/>
              </w:rPr>
            </w:pPr>
            <w:r w:rsidRPr="00A351F7">
              <w:rPr>
                <w:rFonts w:ascii="Times New Roman" w:hAnsi="Times New Roman" w:cs="Times New Roman"/>
                <w:sz w:val="21"/>
              </w:rPr>
              <w:t>..</w:t>
            </w:r>
          </w:p>
        </w:tc>
        <w:tc>
          <w:tcPr>
            <w:tcW w:w="0" w:type="auto"/>
            <w:vAlign w:val="center"/>
            <w:hideMark/>
          </w:tcPr>
          <w:p w14:paraId="7DB08834" w14:textId="77777777" w:rsidR="008D45A9" w:rsidRPr="00A351F7" w:rsidRDefault="008D45A9" w:rsidP="00A351F7">
            <w:pPr>
              <w:pStyle w:val="NoSpacing"/>
              <w:jc w:val="center"/>
              <w:rPr>
                <w:rFonts w:ascii="Times New Roman" w:hAnsi="Times New Roman" w:cs="Times New Roman"/>
                <w:sz w:val="21"/>
              </w:rPr>
            </w:pPr>
            <w:r w:rsidRPr="00A351F7">
              <w:rPr>
                <w:rFonts w:ascii="Times New Roman" w:hAnsi="Times New Roman" w:cs="Times New Roman"/>
                <w:sz w:val="21"/>
              </w:rPr>
              <w:t>20.58</w:t>
            </w:r>
          </w:p>
        </w:tc>
        <w:tc>
          <w:tcPr>
            <w:tcW w:w="0" w:type="auto"/>
            <w:vAlign w:val="center"/>
            <w:hideMark/>
          </w:tcPr>
          <w:p w14:paraId="78662467" w14:textId="77777777" w:rsidR="008D45A9" w:rsidRPr="00A351F7" w:rsidRDefault="008D45A9" w:rsidP="00A351F7">
            <w:pPr>
              <w:pStyle w:val="NoSpacing"/>
              <w:jc w:val="center"/>
              <w:rPr>
                <w:rFonts w:ascii="Times New Roman" w:hAnsi="Times New Roman" w:cs="Times New Roman"/>
                <w:sz w:val="21"/>
              </w:rPr>
            </w:pPr>
            <w:r w:rsidRPr="00A351F7">
              <w:rPr>
                <w:rFonts w:ascii="Times New Roman" w:hAnsi="Times New Roman" w:cs="Times New Roman"/>
                <w:sz w:val="21"/>
              </w:rPr>
              <w:t>23.79</w:t>
            </w:r>
          </w:p>
        </w:tc>
        <w:tc>
          <w:tcPr>
            <w:tcW w:w="0" w:type="auto"/>
            <w:vAlign w:val="center"/>
            <w:hideMark/>
          </w:tcPr>
          <w:p w14:paraId="018F8AD1" w14:textId="77777777" w:rsidR="008D45A9" w:rsidRPr="00A351F7" w:rsidRDefault="008D45A9" w:rsidP="00A351F7">
            <w:pPr>
              <w:pStyle w:val="NoSpacing"/>
              <w:jc w:val="center"/>
              <w:rPr>
                <w:rFonts w:ascii="Times New Roman" w:hAnsi="Times New Roman" w:cs="Times New Roman"/>
                <w:sz w:val="21"/>
              </w:rPr>
            </w:pPr>
            <w:r w:rsidRPr="00A351F7">
              <w:rPr>
                <w:rFonts w:ascii="Times New Roman" w:hAnsi="Times New Roman" w:cs="Times New Roman"/>
                <w:sz w:val="21"/>
              </w:rPr>
              <w:t>..</w:t>
            </w:r>
          </w:p>
        </w:tc>
        <w:tc>
          <w:tcPr>
            <w:tcW w:w="0" w:type="auto"/>
            <w:vAlign w:val="center"/>
            <w:hideMark/>
          </w:tcPr>
          <w:p w14:paraId="7ACD3017" w14:textId="77777777" w:rsidR="008D45A9" w:rsidRPr="00A351F7" w:rsidRDefault="008D45A9" w:rsidP="00A351F7">
            <w:pPr>
              <w:pStyle w:val="NoSpacing"/>
              <w:jc w:val="center"/>
              <w:rPr>
                <w:rFonts w:ascii="Times New Roman" w:hAnsi="Times New Roman" w:cs="Times New Roman"/>
                <w:sz w:val="21"/>
              </w:rPr>
            </w:pPr>
            <w:r w:rsidRPr="00A351F7">
              <w:rPr>
                <w:rFonts w:ascii="Times New Roman" w:hAnsi="Times New Roman" w:cs="Times New Roman"/>
                <w:sz w:val="21"/>
              </w:rPr>
              <w:t>23.79</w:t>
            </w:r>
          </w:p>
        </w:tc>
        <w:tc>
          <w:tcPr>
            <w:tcW w:w="0" w:type="auto"/>
            <w:vAlign w:val="center"/>
            <w:hideMark/>
          </w:tcPr>
          <w:p w14:paraId="2CBADD17" w14:textId="77777777" w:rsidR="008D45A9" w:rsidRPr="00A351F7" w:rsidRDefault="008D45A9" w:rsidP="00A351F7">
            <w:pPr>
              <w:pStyle w:val="NoSpacing"/>
              <w:jc w:val="center"/>
              <w:rPr>
                <w:rFonts w:ascii="Times New Roman" w:hAnsi="Times New Roman" w:cs="Times New Roman"/>
                <w:sz w:val="21"/>
              </w:rPr>
            </w:pPr>
            <w:r w:rsidRPr="00A351F7">
              <w:rPr>
                <w:rFonts w:ascii="Times New Roman" w:hAnsi="Times New Roman" w:cs="Times New Roman"/>
                <w:sz w:val="21"/>
              </w:rPr>
              <w:t>24.14</w:t>
            </w:r>
          </w:p>
        </w:tc>
        <w:tc>
          <w:tcPr>
            <w:tcW w:w="0" w:type="auto"/>
            <w:vAlign w:val="center"/>
            <w:hideMark/>
          </w:tcPr>
          <w:p w14:paraId="17C08E9B" w14:textId="77777777" w:rsidR="008D45A9" w:rsidRPr="00A351F7" w:rsidRDefault="008D45A9" w:rsidP="00A351F7">
            <w:pPr>
              <w:pStyle w:val="NoSpacing"/>
              <w:jc w:val="center"/>
              <w:rPr>
                <w:rFonts w:ascii="Times New Roman" w:hAnsi="Times New Roman" w:cs="Times New Roman"/>
                <w:sz w:val="21"/>
              </w:rPr>
            </w:pPr>
            <w:r w:rsidRPr="00A351F7">
              <w:rPr>
                <w:rFonts w:ascii="Times New Roman" w:hAnsi="Times New Roman" w:cs="Times New Roman"/>
                <w:sz w:val="21"/>
              </w:rPr>
              <w:t>..</w:t>
            </w:r>
          </w:p>
        </w:tc>
        <w:tc>
          <w:tcPr>
            <w:tcW w:w="0" w:type="auto"/>
            <w:vAlign w:val="center"/>
            <w:hideMark/>
          </w:tcPr>
          <w:p w14:paraId="512B7C37" w14:textId="77777777" w:rsidR="008D45A9" w:rsidRPr="00A351F7" w:rsidRDefault="008D45A9" w:rsidP="00A351F7">
            <w:pPr>
              <w:pStyle w:val="NoSpacing"/>
              <w:jc w:val="center"/>
              <w:rPr>
                <w:rFonts w:ascii="Times New Roman" w:hAnsi="Times New Roman" w:cs="Times New Roman"/>
                <w:sz w:val="21"/>
              </w:rPr>
            </w:pPr>
            <w:r w:rsidRPr="00A351F7">
              <w:rPr>
                <w:rFonts w:ascii="Times New Roman" w:hAnsi="Times New Roman" w:cs="Times New Roman"/>
                <w:sz w:val="21"/>
              </w:rPr>
              <w:t>24.14</w:t>
            </w:r>
          </w:p>
        </w:tc>
        <w:tc>
          <w:tcPr>
            <w:tcW w:w="0" w:type="auto"/>
            <w:vAlign w:val="center"/>
            <w:hideMark/>
          </w:tcPr>
          <w:p w14:paraId="0C4934C2" w14:textId="77777777" w:rsidR="008D45A9" w:rsidRPr="00A351F7" w:rsidRDefault="008D45A9" w:rsidP="00A351F7">
            <w:pPr>
              <w:pStyle w:val="NoSpacing"/>
              <w:jc w:val="center"/>
              <w:rPr>
                <w:rFonts w:ascii="Times New Roman" w:hAnsi="Times New Roman" w:cs="Times New Roman"/>
                <w:sz w:val="21"/>
              </w:rPr>
            </w:pPr>
            <w:r w:rsidRPr="00A351F7">
              <w:rPr>
                <w:rFonts w:ascii="Times New Roman" w:hAnsi="Times New Roman" w:cs="Times New Roman"/>
                <w:sz w:val="21"/>
              </w:rPr>
              <w:t>25.21</w:t>
            </w:r>
          </w:p>
        </w:tc>
        <w:tc>
          <w:tcPr>
            <w:tcW w:w="0" w:type="auto"/>
            <w:vAlign w:val="center"/>
            <w:hideMark/>
          </w:tcPr>
          <w:p w14:paraId="6F79A3BB" w14:textId="77777777" w:rsidR="008D45A9" w:rsidRPr="00A351F7" w:rsidRDefault="008D45A9" w:rsidP="00A351F7">
            <w:pPr>
              <w:pStyle w:val="NoSpacing"/>
              <w:jc w:val="center"/>
              <w:rPr>
                <w:rFonts w:ascii="Times New Roman" w:hAnsi="Times New Roman" w:cs="Times New Roman"/>
                <w:sz w:val="21"/>
              </w:rPr>
            </w:pPr>
            <w:r w:rsidRPr="00A351F7">
              <w:rPr>
                <w:rFonts w:ascii="Times New Roman" w:hAnsi="Times New Roman" w:cs="Times New Roman"/>
                <w:sz w:val="21"/>
              </w:rPr>
              <w:t>..</w:t>
            </w:r>
          </w:p>
        </w:tc>
        <w:tc>
          <w:tcPr>
            <w:tcW w:w="0" w:type="auto"/>
            <w:vAlign w:val="center"/>
            <w:hideMark/>
          </w:tcPr>
          <w:p w14:paraId="288B320C" w14:textId="77777777" w:rsidR="008D45A9" w:rsidRPr="00A351F7" w:rsidRDefault="008D45A9" w:rsidP="00A351F7">
            <w:pPr>
              <w:pStyle w:val="NoSpacing"/>
              <w:jc w:val="center"/>
              <w:rPr>
                <w:rFonts w:ascii="Times New Roman" w:hAnsi="Times New Roman" w:cs="Times New Roman"/>
                <w:sz w:val="21"/>
              </w:rPr>
            </w:pPr>
            <w:r w:rsidRPr="00A351F7">
              <w:rPr>
                <w:rFonts w:ascii="Times New Roman" w:hAnsi="Times New Roman" w:cs="Times New Roman"/>
                <w:sz w:val="21"/>
              </w:rPr>
              <w:t>25.21</w:t>
            </w:r>
          </w:p>
        </w:tc>
        <w:tc>
          <w:tcPr>
            <w:tcW w:w="0" w:type="auto"/>
            <w:vAlign w:val="center"/>
            <w:hideMark/>
          </w:tcPr>
          <w:p w14:paraId="7F0BCC99" w14:textId="77777777" w:rsidR="008D45A9" w:rsidRPr="00A351F7" w:rsidRDefault="008D45A9" w:rsidP="00A351F7">
            <w:pPr>
              <w:pStyle w:val="NoSpacing"/>
              <w:jc w:val="center"/>
              <w:rPr>
                <w:rFonts w:ascii="Times New Roman" w:hAnsi="Times New Roman" w:cs="Times New Roman"/>
                <w:sz w:val="21"/>
              </w:rPr>
            </w:pPr>
            <w:r w:rsidRPr="00A351F7">
              <w:rPr>
                <w:rFonts w:ascii="Times New Roman" w:hAnsi="Times New Roman" w:cs="Times New Roman"/>
                <w:sz w:val="21"/>
              </w:rPr>
              <w:t>93.72</w:t>
            </w:r>
          </w:p>
        </w:tc>
        <w:tc>
          <w:tcPr>
            <w:tcW w:w="0" w:type="auto"/>
            <w:vAlign w:val="center"/>
            <w:hideMark/>
          </w:tcPr>
          <w:p w14:paraId="02B50C69" w14:textId="77777777" w:rsidR="008D45A9" w:rsidRPr="00A351F7" w:rsidRDefault="008D45A9" w:rsidP="00A351F7">
            <w:pPr>
              <w:pStyle w:val="NoSpacing"/>
              <w:jc w:val="center"/>
              <w:rPr>
                <w:rFonts w:ascii="Times New Roman" w:hAnsi="Times New Roman" w:cs="Times New Roman"/>
                <w:sz w:val="21"/>
              </w:rPr>
            </w:pPr>
            <w:r w:rsidRPr="00A351F7">
              <w:rPr>
                <w:rFonts w:ascii="Times New Roman" w:hAnsi="Times New Roman" w:cs="Times New Roman"/>
                <w:sz w:val="21"/>
              </w:rPr>
              <w:t>..</w:t>
            </w:r>
          </w:p>
        </w:tc>
        <w:tc>
          <w:tcPr>
            <w:tcW w:w="0" w:type="auto"/>
            <w:vAlign w:val="center"/>
            <w:hideMark/>
          </w:tcPr>
          <w:p w14:paraId="76A9D150" w14:textId="77777777" w:rsidR="008D45A9" w:rsidRPr="00A351F7" w:rsidRDefault="008D45A9" w:rsidP="00A351F7">
            <w:pPr>
              <w:pStyle w:val="NoSpacing"/>
              <w:jc w:val="center"/>
              <w:rPr>
                <w:rFonts w:ascii="Times New Roman" w:hAnsi="Times New Roman" w:cs="Times New Roman"/>
                <w:sz w:val="21"/>
              </w:rPr>
            </w:pPr>
            <w:r w:rsidRPr="00A351F7">
              <w:rPr>
                <w:rFonts w:ascii="Times New Roman" w:hAnsi="Times New Roman" w:cs="Times New Roman"/>
                <w:sz w:val="21"/>
              </w:rPr>
              <w:t>93.72</w:t>
            </w:r>
          </w:p>
        </w:tc>
      </w:tr>
      <w:tr w:rsidR="008D45A9" w:rsidRPr="00A351F7" w14:paraId="71588BAE" w14:textId="77777777" w:rsidTr="00A351F7">
        <w:trPr>
          <w:trHeight w:val="510"/>
        </w:trPr>
        <w:tc>
          <w:tcPr>
            <w:tcW w:w="0" w:type="auto"/>
            <w:hideMark/>
          </w:tcPr>
          <w:p w14:paraId="2002567C" w14:textId="77777777" w:rsidR="008D45A9" w:rsidRPr="00A351F7" w:rsidRDefault="008D45A9" w:rsidP="00B77C0B">
            <w:pPr>
              <w:pStyle w:val="NoSpacing"/>
              <w:rPr>
                <w:rFonts w:ascii="Times New Roman" w:hAnsi="Times New Roman" w:cs="Times New Roman"/>
                <w:sz w:val="21"/>
              </w:rPr>
            </w:pPr>
            <w:r w:rsidRPr="00A351F7">
              <w:rPr>
                <w:rFonts w:ascii="Times New Roman" w:hAnsi="Times New Roman" w:cs="Times New Roman"/>
                <w:sz w:val="21"/>
              </w:rPr>
              <w:t>TOTAL</w:t>
            </w:r>
          </w:p>
        </w:tc>
        <w:tc>
          <w:tcPr>
            <w:tcW w:w="0" w:type="auto"/>
            <w:vAlign w:val="center"/>
            <w:hideMark/>
          </w:tcPr>
          <w:p w14:paraId="14BC955D" w14:textId="77777777" w:rsidR="008D45A9" w:rsidRPr="00A351F7" w:rsidRDefault="008D45A9" w:rsidP="00A351F7">
            <w:pPr>
              <w:pStyle w:val="NoSpacing"/>
              <w:jc w:val="center"/>
              <w:rPr>
                <w:rFonts w:ascii="Times New Roman" w:hAnsi="Times New Roman" w:cs="Times New Roman"/>
                <w:sz w:val="21"/>
              </w:rPr>
            </w:pPr>
            <w:r w:rsidRPr="00A351F7">
              <w:rPr>
                <w:rFonts w:ascii="Times New Roman" w:hAnsi="Times New Roman" w:cs="Times New Roman"/>
                <w:sz w:val="21"/>
              </w:rPr>
              <w:t>236.57</w:t>
            </w:r>
          </w:p>
        </w:tc>
        <w:tc>
          <w:tcPr>
            <w:tcW w:w="0" w:type="auto"/>
            <w:vAlign w:val="center"/>
            <w:hideMark/>
          </w:tcPr>
          <w:p w14:paraId="21BABABF" w14:textId="77777777" w:rsidR="008D45A9" w:rsidRPr="00A351F7" w:rsidRDefault="008D45A9" w:rsidP="00A351F7">
            <w:pPr>
              <w:pStyle w:val="NoSpacing"/>
              <w:jc w:val="center"/>
              <w:rPr>
                <w:rFonts w:ascii="Times New Roman" w:hAnsi="Times New Roman" w:cs="Times New Roman"/>
                <w:sz w:val="21"/>
              </w:rPr>
            </w:pPr>
            <w:r w:rsidRPr="00A351F7">
              <w:rPr>
                <w:rFonts w:ascii="Times New Roman" w:hAnsi="Times New Roman" w:cs="Times New Roman"/>
                <w:sz w:val="21"/>
              </w:rPr>
              <w:t>61.00</w:t>
            </w:r>
          </w:p>
        </w:tc>
        <w:tc>
          <w:tcPr>
            <w:tcW w:w="0" w:type="auto"/>
            <w:vAlign w:val="center"/>
            <w:hideMark/>
          </w:tcPr>
          <w:p w14:paraId="139B0070" w14:textId="77777777" w:rsidR="008D45A9" w:rsidRPr="00A351F7" w:rsidRDefault="008D45A9" w:rsidP="00A351F7">
            <w:pPr>
              <w:pStyle w:val="NoSpacing"/>
              <w:jc w:val="center"/>
              <w:rPr>
                <w:rFonts w:ascii="Times New Roman" w:hAnsi="Times New Roman" w:cs="Times New Roman"/>
                <w:sz w:val="21"/>
              </w:rPr>
            </w:pPr>
            <w:r w:rsidRPr="00A351F7">
              <w:rPr>
                <w:rFonts w:ascii="Times New Roman" w:hAnsi="Times New Roman" w:cs="Times New Roman"/>
                <w:sz w:val="21"/>
              </w:rPr>
              <w:t>297.57</w:t>
            </w:r>
          </w:p>
        </w:tc>
        <w:tc>
          <w:tcPr>
            <w:tcW w:w="0" w:type="auto"/>
            <w:vAlign w:val="center"/>
            <w:hideMark/>
          </w:tcPr>
          <w:p w14:paraId="3C6C945E" w14:textId="77777777" w:rsidR="008D45A9" w:rsidRPr="00A351F7" w:rsidRDefault="008D45A9" w:rsidP="00A351F7">
            <w:pPr>
              <w:pStyle w:val="NoSpacing"/>
              <w:jc w:val="center"/>
              <w:rPr>
                <w:rFonts w:ascii="Times New Roman" w:hAnsi="Times New Roman" w:cs="Times New Roman"/>
                <w:sz w:val="21"/>
              </w:rPr>
            </w:pPr>
            <w:r w:rsidRPr="00A351F7">
              <w:rPr>
                <w:rFonts w:ascii="Times New Roman" w:hAnsi="Times New Roman" w:cs="Times New Roman"/>
                <w:sz w:val="21"/>
              </w:rPr>
              <w:t>270.96</w:t>
            </w:r>
          </w:p>
        </w:tc>
        <w:tc>
          <w:tcPr>
            <w:tcW w:w="0" w:type="auto"/>
            <w:vAlign w:val="center"/>
            <w:hideMark/>
          </w:tcPr>
          <w:p w14:paraId="2C849F29" w14:textId="77777777" w:rsidR="008D45A9" w:rsidRPr="00A351F7" w:rsidRDefault="008D45A9" w:rsidP="00A351F7">
            <w:pPr>
              <w:pStyle w:val="NoSpacing"/>
              <w:jc w:val="center"/>
              <w:rPr>
                <w:rFonts w:ascii="Times New Roman" w:hAnsi="Times New Roman" w:cs="Times New Roman"/>
                <w:sz w:val="21"/>
              </w:rPr>
            </w:pPr>
            <w:r w:rsidRPr="00A351F7">
              <w:rPr>
                <w:rFonts w:ascii="Times New Roman" w:hAnsi="Times New Roman" w:cs="Times New Roman"/>
                <w:sz w:val="21"/>
              </w:rPr>
              <w:t>61.00</w:t>
            </w:r>
          </w:p>
        </w:tc>
        <w:tc>
          <w:tcPr>
            <w:tcW w:w="0" w:type="auto"/>
            <w:vAlign w:val="center"/>
            <w:hideMark/>
          </w:tcPr>
          <w:p w14:paraId="76DAA688" w14:textId="77777777" w:rsidR="008D45A9" w:rsidRPr="00A351F7" w:rsidRDefault="008D45A9" w:rsidP="00A351F7">
            <w:pPr>
              <w:pStyle w:val="NoSpacing"/>
              <w:jc w:val="center"/>
              <w:rPr>
                <w:rFonts w:ascii="Times New Roman" w:hAnsi="Times New Roman" w:cs="Times New Roman"/>
                <w:sz w:val="21"/>
              </w:rPr>
            </w:pPr>
            <w:r w:rsidRPr="00A351F7">
              <w:rPr>
                <w:rFonts w:ascii="Times New Roman" w:hAnsi="Times New Roman" w:cs="Times New Roman"/>
                <w:sz w:val="21"/>
              </w:rPr>
              <w:t>331.96</w:t>
            </w:r>
          </w:p>
        </w:tc>
        <w:tc>
          <w:tcPr>
            <w:tcW w:w="0" w:type="auto"/>
            <w:vAlign w:val="center"/>
            <w:hideMark/>
          </w:tcPr>
          <w:p w14:paraId="3D33A9EA" w14:textId="77777777" w:rsidR="008D45A9" w:rsidRPr="00A351F7" w:rsidRDefault="008D45A9" w:rsidP="00A351F7">
            <w:pPr>
              <w:pStyle w:val="NoSpacing"/>
              <w:jc w:val="center"/>
              <w:rPr>
                <w:rFonts w:ascii="Times New Roman" w:hAnsi="Times New Roman" w:cs="Times New Roman"/>
                <w:sz w:val="21"/>
              </w:rPr>
            </w:pPr>
            <w:r w:rsidRPr="00A351F7">
              <w:rPr>
                <w:rFonts w:ascii="Times New Roman" w:hAnsi="Times New Roman" w:cs="Times New Roman"/>
                <w:sz w:val="21"/>
              </w:rPr>
              <w:t>270.40</w:t>
            </w:r>
          </w:p>
        </w:tc>
        <w:tc>
          <w:tcPr>
            <w:tcW w:w="0" w:type="auto"/>
            <w:vAlign w:val="center"/>
            <w:hideMark/>
          </w:tcPr>
          <w:p w14:paraId="020A4F40" w14:textId="77777777" w:rsidR="008D45A9" w:rsidRPr="00A351F7" w:rsidRDefault="008D45A9" w:rsidP="00A351F7">
            <w:pPr>
              <w:pStyle w:val="NoSpacing"/>
              <w:jc w:val="center"/>
              <w:rPr>
                <w:rFonts w:ascii="Times New Roman" w:hAnsi="Times New Roman" w:cs="Times New Roman"/>
                <w:sz w:val="21"/>
              </w:rPr>
            </w:pPr>
            <w:r w:rsidRPr="00A351F7">
              <w:rPr>
                <w:rFonts w:ascii="Times New Roman" w:hAnsi="Times New Roman" w:cs="Times New Roman"/>
                <w:sz w:val="21"/>
              </w:rPr>
              <w:t>61.00</w:t>
            </w:r>
          </w:p>
        </w:tc>
        <w:tc>
          <w:tcPr>
            <w:tcW w:w="0" w:type="auto"/>
            <w:vAlign w:val="center"/>
            <w:hideMark/>
          </w:tcPr>
          <w:p w14:paraId="608F0A89" w14:textId="77777777" w:rsidR="008D45A9" w:rsidRPr="00A351F7" w:rsidRDefault="008D45A9" w:rsidP="00A351F7">
            <w:pPr>
              <w:pStyle w:val="NoSpacing"/>
              <w:jc w:val="center"/>
              <w:rPr>
                <w:rFonts w:ascii="Times New Roman" w:hAnsi="Times New Roman" w:cs="Times New Roman"/>
                <w:sz w:val="21"/>
              </w:rPr>
            </w:pPr>
            <w:r w:rsidRPr="00A351F7">
              <w:rPr>
                <w:rFonts w:ascii="Times New Roman" w:hAnsi="Times New Roman" w:cs="Times New Roman"/>
                <w:sz w:val="21"/>
              </w:rPr>
              <w:t>331.40</w:t>
            </w:r>
          </w:p>
        </w:tc>
        <w:tc>
          <w:tcPr>
            <w:tcW w:w="0" w:type="auto"/>
            <w:vAlign w:val="center"/>
            <w:hideMark/>
          </w:tcPr>
          <w:p w14:paraId="6A942421" w14:textId="77777777" w:rsidR="008D45A9" w:rsidRPr="00A351F7" w:rsidRDefault="008D45A9" w:rsidP="00A351F7">
            <w:pPr>
              <w:pStyle w:val="NoSpacing"/>
              <w:jc w:val="center"/>
              <w:rPr>
                <w:rFonts w:ascii="Times New Roman" w:hAnsi="Times New Roman" w:cs="Times New Roman"/>
                <w:sz w:val="21"/>
              </w:rPr>
            </w:pPr>
            <w:r w:rsidRPr="00A351F7">
              <w:rPr>
                <w:rFonts w:ascii="Times New Roman" w:hAnsi="Times New Roman" w:cs="Times New Roman"/>
                <w:sz w:val="21"/>
              </w:rPr>
              <w:t>288.83</w:t>
            </w:r>
          </w:p>
        </w:tc>
        <w:tc>
          <w:tcPr>
            <w:tcW w:w="0" w:type="auto"/>
            <w:vAlign w:val="center"/>
            <w:hideMark/>
          </w:tcPr>
          <w:p w14:paraId="503AE838" w14:textId="77777777" w:rsidR="008D45A9" w:rsidRPr="00A351F7" w:rsidRDefault="008D45A9" w:rsidP="00A351F7">
            <w:pPr>
              <w:pStyle w:val="NoSpacing"/>
              <w:jc w:val="center"/>
              <w:rPr>
                <w:rFonts w:ascii="Times New Roman" w:hAnsi="Times New Roman" w:cs="Times New Roman"/>
                <w:sz w:val="21"/>
              </w:rPr>
            </w:pPr>
            <w:r w:rsidRPr="00A351F7">
              <w:rPr>
                <w:rFonts w:ascii="Times New Roman" w:hAnsi="Times New Roman" w:cs="Times New Roman"/>
                <w:sz w:val="21"/>
              </w:rPr>
              <w:t>61.00</w:t>
            </w:r>
          </w:p>
        </w:tc>
        <w:tc>
          <w:tcPr>
            <w:tcW w:w="0" w:type="auto"/>
            <w:vAlign w:val="center"/>
            <w:hideMark/>
          </w:tcPr>
          <w:p w14:paraId="7EEB8B33" w14:textId="77777777" w:rsidR="008D45A9" w:rsidRPr="00A351F7" w:rsidRDefault="008D45A9" w:rsidP="00A351F7">
            <w:pPr>
              <w:pStyle w:val="NoSpacing"/>
              <w:jc w:val="center"/>
              <w:rPr>
                <w:rFonts w:ascii="Times New Roman" w:hAnsi="Times New Roman" w:cs="Times New Roman"/>
                <w:sz w:val="21"/>
              </w:rPr>
            </w:pPr>
            <w:r w:rsidRPr="00A351F7">
              <w:rPr>
                <w:rFonts w:ascii="Times New Roman" w:hAnsi="Times New Roman" w:cs="Times New Roman"/>
                <w:sz w:val="21"/>
              </w:rPr>
              <w:t>349.83</w:t>
            </w:r>
          </w:p>
        </w:tc>
        <w:tc>
          <w:tcPr>
            <w:tcW w:w="0" w:type="auto"/>
            <w:vAlign w:val="center"/>
            <w:hideMark/>
          </w:tcPr>
          <w:p w14:paraId="2D482215" w14:textId="77777777" w:rsidR="008D45A9" w:rsidRPr="00A351F7" w:rsidRDefault="008D45A9" w:rsidP="00A351F7">
            <w:pPr>
              <w:pStyle w:val="NoSpacing"/>
              <w:jc w:val="center"/>
              <w:rPr>
                <w:rFonts w:ascii="Times New Roman" w:hAnsi="Times New Roman" w:cs="Times New Roman"/>
                <w:sz w:val="21"/>
              </w:rPr>
            </w:pPr>
            <w:r w:rsidRPr="00A351F7">
              <w:rPr>
                <w:rFonts w:ascii="Times New Roman" w:hAnsi="Times New Roman" w:cs="Times New Roman"/>
                <w:sz w:val="21"/>
              </w:rPr>
              <w:t>1066.76</w:t>
            </w:r>
          </w:p>
        </w:tc>
        <w:tc>
          <w:tcPr>
            <w:tcW w:w="0" w:type="auto"/>
            <w:vAlign w:val="center"/>
            <w:hideMark/>
          </w:tcPr>
          <w:p w14:paraId="43505187" w14:textId="77777777" w:rsidR="008D45A9" w:rsidRPr="00A351F7" w:rsidRDefault="008D45A9" w:rsidP="00A351F7">
            <w:pPr>
              <w:pStyle w:val="NoSpacing"/>
              <w:jc w:val="center"/>
              <w:rPr>
                <w:rFonts w:ascii="Times New Roman" w:hAnsi="Times New Roman" w:cs="Times New Roman"/>
                <w:sz w:val="21"/>
              </w:rPr>
            </w:pPr>
            <w:r w:rsidRPr="00A351F7">
              <w:rPr>
                <w:rFonts w:ascii="Times New Roman" w:hAnsi="Times New Roman" w:cs="Times New Roman"/>
                <w:sz w:val="21"/>
              </w:rPr>
              <w:t>244.00</w:t>
            </w:r>
          </w:p>
        </w:tc>
        <w:tc>
          <w:tcPr>
            <w:tcW w:w="0" w:type="auto"/>
            <w:vAlign w:val="center"/>
            <w:hideMark/>
          </w:tcPr>
          <w:p w14:paraId="7B546FF9" w14:textId="77777777" w:rsidR="008D45A9" w:rsidRPr="00A351F7" w:rsidRDefault="008D45A9" w:rsidP="00A351F7">
            <w:pPr>
              <w:pStyle w:val="NoSpacing"/>
              <w:jc w:val="center"/>
              <w:rPr>
                <w:rFonts w:ascii="Times New Roman" w:hAnsi="Times New Roman" w:cs="Times New Roman"/>
                <w:sz w:val="21"/>
              </w:rPr>
            </w:pPr>
            <w:r w:rsidRPr="00A351F7">
              <w:rPr>
                <w:rFonts w:ascii="Times New Roman" w:hAnsi="Times New Roman" w:cs="Times New Roman"/>
                <w:sz w:val="21"/>
              </w:rPr>
              <w:t>1310.76</w:t>
            </w:r>
          </w:p>
        </w:tc>
      </w:tr>
    </w:tbl>
    <w:p w14:paraId="421E2EAC" w14:textId="68E145BD" w:rsidR="008D45A9" w:rsidRPr="007245B0" w:rsidRDefault="008D45A9" w:rsidP="00A351F7">
      <w:pPr>
        <w:spacing w:after="0"/>
        <w:rPr>
          <w:rFonts w:ascii="Times New Roman" w:hAnsi="Times New Roman" w:cs="Times New Roman"/>
        </w:rPr>
      </w:pPr>
      <w:r w:rsidRPr="00A351F7">
        <w:rPr>
          <w:rFonts w:ascii="Times New Roman" w:hAnsi="Times New Roman" w:cs="Times New Roman"/>
          <w:sz w:val="20"/>
          <w:szCs w:val="20"/>
        </w:rPr>
        <w:t>Source: State Budgets.</w:t>
      </w:r>
      <w:r w:rsidRPr="00A351F7">
        <w:rPr>
          <w:rFonts w:ascii="Times New Roman" w:hAnsi="Times New Roman" w:cs="Times New Roman"/>
          <w:sz w:val="20"/>
          <w:szCs w:val="20"/>
        </w:rPr>
        <w:br/>
        <w:t xml:space="preserve">NOTE: Shares of Taxes include: </w:t>
      </w:r>
      <w:r w:rsidRPr="00A351F7">
        <w:rPr>
          <w:rFonts w:ascii="Times New Roman" w:hAnsi="Times New Roman" w:cs="Times New Roman"/>
          <w:sz w:val="20"/>
          <w:szCs w:val="20"/>
        </w:rPr>
        <w:tab/>
        <w:t>'Grants in lieu of Tax on Railway fares'.</w:t>
      </w:r>
      <w:r w:rsidRPr="00A351F7">
        <w:rPr>
          <w:rFonts w:ascii="Times New Roman" w:hAnsi="Times New Roman" w:cs="Times New Roman"/>
          <w:sz w:val="20"/>
          <w:szCs w:val="20"/>
        </w:rPr>
        <w:br/>
        <w:t>*For three months only.</w:t>
      </w:r>
      <w:r w:rsidRPr="007245B0">
        <w:rPr>
          <w:rFonts w:ascii="Times New Roman" w:hAnsi="Times New Roman" w:cs="Times New Roman"/>
        </w:rPr>
        <w:br w:type="page"/>
      </w:r>
    </w:p>
    <w:p w14:paraId="51BA0DB9" w14:textId="77777777" w:rsidR="00424B7B" w:rsidRPr="007245B0" w:rsidRDefault="00424B7B" w:rsidP="002A212C">
      <w:pPr>
        <w:tabs>
          <w:tab w:val="left" w:pos="3084"/>
        </w:tabs>
        <w:rPr>
          <w:rFonts w:ascii="Times New Roman" w:hAnsi="Times New Roman" w:cs="Times New Roman"/>
        </w:rPr>
        <w:sectPr w:rsidR="00424B7B" w:rsidRPr="007245B0" w:rsidSect="00937698">
          <w:pgSz w:w="15840" w:h="12240" w:orient="landscape"/>
          <w:pgMar w:top="1440" w:right="992" w:bottom="1440" w:left="1440" w:header="720" w:footer="720" w:gutter="0"/>
          <w:cols w:space="720"/>
        </w:sectPr>
      </w:pPr>
    </w:p>
    <w:p w14:paraId="69DAE735" w14:textId="1FA3898C" w:rsidR="00424B7B" w:rsidRDefault="00574BCE" w:rsidP="007D2EE4">
      <w:pPr>
        <w:pStyle w:val="Heading4"/>
      </w:pPr>
      <w:bookmarkStart w:id="204" w:name="_Toc220949738"/>
      <w:bookmarkStart w:id="205" w:name="_Toc221114338"/>
      <w:bookmarkStart w:id="206" w:name="_Toc221115361"/>
      <w:r>
        <w:lastRenderedPageBreak/>
        <w:t>Table</w:t>
      </w:r>
      <w:r w:rsidR="00424B7B" w:rsidRPr="007245B0">
        <w:t xml:space="preserve"> 57: Transfers from the Centre to the States under the Fourth Finance Commission's Award. (1966-67 To1968-69)</w:t>
      </w:r>
      <w:bookmarkEnd w:id="204"/>
      <w:bookmarkEnd w:id="205"/>
      <w:bookmarkEnd w:id="206"/>
    </w:p>
    <w:p w14:paraId="7007AF90" w14:textId="77777777" w:rsidR="00A351F7" w:rsidRDefault="00A351F7" w:rsidP="00A351F7"/>
    <w:tbl>
      <w:tblPr>
        <w:tblW w:w="10234" w:type="dxa"/>
        <w:tblLook w:val="04A0" w:firstRow="1" w:lastRow="0" w:firstColumn="1" w:lastColumn="0" w:noHBand="0" w:noVBand="1"/>
      </w:tblPr>
      <w:tblGrid>
        <w:gridCol w:w="1416"/>
        <w:gridCol w:w="984"/>
        <w:gridCol w:w="993"/>
        <w:gridCol w:w="974"/>
        <w:gridCol w:w="985"/>
        <w:gridCol w:w="993"/>
        <w:gridCol w:w="937"/>
        <w:gridCol w:w="985"/>
        <w:gridCol w:w="993"/>
        <w:gridCol w:w="974"/>
      </w:tblGrid>
      <w:tr w:rsidR="00A351F7" w:rsidRPr="00A351F7" w14:paraId="0EF441E4" w14:textId="77777777" w:rsidTr="00A351F7">
        <w:trPr>
          <w:trHeight w:val="495"/>
        </w:trPr>
        <w:tc>
          <w:tcPr>
            <w:tcW w:w="1403" w:type="dxa"/>
            <w:vMerge w:val="restart"/>
            <w:tcBorders>
              <w:top w:val="single" w:sz="4" w:space="0" w:color="auto"/>
              <w:left w:val="single" w:sz="4" w:space="0" w:color="auto"/>
              <w:bottom w:val="single" w:sz="4" w:space="0" w:color="auto"/>
              <w:right w:val="single" w:sz="4" w:space="0" w:color="auto"/>
            </w:tcBorders>
            <w:vAlign w:val="center"/>
            <w:hideMark/>
          </w:tcPr>
          <w:p w14:paraId="792AA621" w14:textId="77777777" w:rsidR="00A351F7" w:rsidRPr="00A351F7" w:rsidRDefault="00A351F7" w:rsidP="00A351F7">
            <w:pPr>
              <w:spacing w:after="0" w:line="240" w:lineRule="auto"/>
              <w:jc w:val="center"/>
              <w:rPr>
                <w:rFonts w:ascii="Times New Roman" w:eastAsia="Times New Roman" w:hAnsi="Times New Roman" w:cs="Times New Roman"/>
                <w:b/>
                <w:bCs/>
                <w:color w:val="000000"/>
                <w:kern w:val="0"/>
                <w:szCs w:val="24"/>
                <w:lang w:eastAsia="en-IN"/>
                <w14:ligatures w14:val="none"/>
              </w:rPr>
            </w:pPr>
            <w:r w:rsidRPr="00A351F7">
              <w:rPr>
                <w:rFonts w:ascii="Times New Roman" w:eastAsia="Times New Roman" w:hAnsi="Times New Roman" w:cs="Times New Roman"/>
                <w:b/>
                <w:bCs/>
                <w:color w:val="000000"/>
                <w:kern w:val="0"/>
                <w:szCs w:val="24"/>
                <w:lang w:eastAsia="en-IN"/>
                <w14:ligatures w14:val="none"/>
              </w:rPr>
              <w:t>State</w:t>
            </w:r>
          </w:p>
        </w:tc>
        <w:tc>
          <w:tcPr>
            <w:tcW w:w="2955" w:type="dxa"/>
            <w:gridSpan w:val="3"/>
            <w:tcBorders>
              <w:top w:val="single" w:sz="4" w:space="0" w:color="auto"/>
              <w:left w:val="nil"/>
              <w:bottom w:val="single" w:sz="4" w:space="0" w:color="auto"/>
              <w:right w:val="single" w:sz="4" w:space="0" w:color="auto"/>
            </w:tcBorders>
            <w:vAlign w:val="center"/>
            <w:hideMark/>
          </w:tcPr>
          <w:p w14:paraId="74343207" w14:textId="77777777" w:rsidR="00A351F7" w:rsidRPr="00A351F7" w:rsidRDefault="00A351F7" w:rsidP="00A351F7">
            <w:pPr>
              <w:spacing w:after="0" w:line="240" w:lineRule="auto"/>
              <w:jc w:val="center"/>
              <w:rPr>
                <w:rFonts w:ascii="Times New Roman" w:eastAsia="Times New Roman" w:hAnsi="Times New Roman" w:cs="Times New Roman"/>
                <w:b/>
                <w:bCs/>
                <w:color w:val="000000"/>
                <w:kern w:val="0"/>
                <w:szCs w:val="24"/>
                <w:lang w:eastAsia="en-IN"/>
                <w14:ligatures w14:val="none"/>
              </w:rPr>
            </w:pPr>
            <w:r w:rsidRPr="00A351F7">
              <w:rPr>
                <w:rFonts w:ascii="Times New Roman" w:eastAsia="Times New Roman" w:hAnsi="Times New Roman" w:cs="Times New Roman"/>
                <w:b/>
                <w:bCs/>
                <w:color w:val="000000"/>
                <w:kern w:val="0"/>
                <w:szCs w:val="24"/>
                <w:lang w:eastAsia="en-IN"/>
                <w14:ligatures w14:val="none"/>
              </w:rPr>
              <w:t>1966-67</w:t>
            </w:r>
          </w:p>
        </w:tc>
        <w:tc>
          <w:tcPr>
            <w:tcW w:w="2920" w:type="dxa"/>
            <w:gridSpan w:val="3"/>
            <w:tcBorders>
              <w:top w:val="single" w:sz="4" w:space="0" w:color="auto"/>
              <w:left w:val="nil"/>
              <w:bottom w:val="single" w:sz="4" w:space="0" w:color="auto"/>
              <w:right w:val="single" w:sz="4" w:space="0" w:color="auto"/>
            </w:tcBorders>
            <w:vAlign w:val="center"/>
            <w:hideMark/>
          </w:tcPr>
          <w:p w14:paraId="11702211" w14:textId="77777777" w:rsidR="00A351F7" w:rsidRPr="00A351F7" w:rsidRDefault="00A351F7" w:rsidP="00A351F7">
            <w:pPr>
              <w:spacing w:after="0" w:line="240" w:lineRule="auto"/>
              <w:jc w:val="center"/>
              <w:rPr>
                <w:rFonts w:ascii="Times New Roman" w:eastAsia="Times New Roman" w:hAnsi="Times New Roman" w:cs="Times New Roman"/>
                <w:b/>
                <w:bCs/>
                <w:color w:val="000000"/>
                <w:kern w:val="0"/>
                <w:szCs w:val="24"/>
                <w:lang w:eastAsia="en-IN"/>
                <w14:ligatures w14:val="none"/>
              </w:rPr>
            </w:pPr>
            <w:r w:rsidRPr="00A351F7">
              <w:rPr>
                <w:rFonts w:ascii="Times New Roman" w:eastAsia="Times New Roman" w:hAnsi="Times New Roman" w:cs="Times New Roman"/>
                <w:b/>
                <w:bCs/>
                <w:color w:val="000000"/>
                <w:kern w:val="0"/>
                <w:szCs w:val="24"/>
                <w:lang w:eastAsia="en-IN"/>
                <w14:ligatures w14:val="none"/>
              </w:rPr>
              <w:t>1967-68</w:t>
            </w:r>
          </w:p>
        </w:tc>
        <w:tc>
          <w:tcPr>
            <w:tcW w:w="2956" w:type="dxa"/>
            <w:gridSpan w:val="3"/>
            <w:tcBorders>
              <w:top w:val="single" w:sz="4" w:space="0" w:color="auto"/>
              <w:left w:val="nil"/>
              <w:bottom w:val="single" w:sz="4" w:space="0" w:color="auto"/>
              <w:right w:val="single" w:sz="4" w:space="0" w:color="auto"/>
            </w:tcBorders>
            <w:vAlign w:val="center"/>
            <w:hideMark/>
          </w:tcPr>
          <w:p w14:paraId="15D7B2D5" w14:textId="77777777" w:rsidR="00A351F7" w:rsidRPr="00A351F7" w:rsidRDefault="00A351F7" w:rsidP="00A351F7">
            <w:pPr>
              <w:spacing w:after="0" w:line="240" w:lineRule="auto"/>
              <w:jc w:val="center"/>
              <w:rPr>
                <w:rFonts w:ascii="Times New Roman" w:eastAsia="Times New Roman" w:hAnsi="Times New Roman" w:cs="Times New Roman"/>
                <w:b/>
                <w:bCs/>
                <w:color w:val="000000"/>
                <w:kern w:val="0"/>
                <w:szCs w:val="24"/>
                <w:lang w:eastAsia="en-IN"/>
                <w14:ligatures w14:val="none"/>
              </w:rPr>
            </w:pPr>
            <w:r w:rsidRPr="00A351F7">
              <w:rPr>
                <w:rFonts w:ascii="Times New Roman" w:eastAsia="Times New Roman" w:hAnsi="Times New Roman" w:cs="Times New Roman"/>
                <w:b/>
                <w:bCs/>
                <w:color w:val="000000"/>
                <w:kern w:val="0"/>
                <w:szCs w:val="24"/>
                <w:lang w:eastAsia="en-IN"/>
                <w14:ligatures w14:val="none"/>
              </w:rPr>
              <w:t>1968-69 (RE)</w:t>
            </w:r>
          </w:p>
        </w:tc>
      </w:tr>
      <w:tr w:rsidR="00A351F7" w:rsidRPr="00A351F7" w14:paraId="3CF17736" w14:textId="77777777" w:rsidTr="00A351F7">
        <w:trPr>
          <w:trHeight w:val="495"/>
        </w:trPr>
        <w:tc>
          <w:tcPr>
            <w:tcW w:w="1403" w:type="dxa"/>
            <w:vMerge/>
            <w:tcBorders>
              <w:top w:val="single" w:sz="4" w:space="0" w:color="auto"/>
              <w:left w:val="single" w:sz="4" w:space="0" w:color="auto"/>
              <w:bottom w:val="single" w:sz="4" w:space="0" w:color="auto"/>
              <w:right w:val="single" w:sz="4" w:space="0" w:color="auto"/>
            </w:tcBorders>
            <w:vAlign w:val="center"/>
            <w:hideMark/>
          </w:tcPr>
          <w:p w14:paraId="4B907742" w14:textId="77777777" w:rsidR="00A351F7" w:rsidRPr="00A351F7" w:rsidRDefault="00A351F7" w:rsidP="00A351F7">
            <w:pPr>
              <w:spacing w:after="0" w:line="240" w:lineRule="auto"/>
              <w:rPr>
                <w:rFonts w:ascii="Times New Roman" w:eastAsia="Times New Roman" w:hAnsi="Times New Roman" w:cs="Times New Roman"/>
                <w:b/>
                <w:bCs/>
                <w:color w:val="000000"/>
                <w:kern w:val="0"/>
                <w:szCs w:val="24"/>
                <w:lang w:eastAsia="en-IN"/>
                <w14:ligatures w14:val="none"/>
              </w:rPr>
            </w:pPr>
          </w:p>
        </w:tc>
        <w:tc>
          <w:tcPr>
            <w:tcW w:w="985" w:type="dxa"/>
            <w:tcBorders>
              <w:top w:val="nil"/>
              <w:left w:val="nil"/>
              <w:bottom w:val="single" w:sz="4" w:space="0" w:color="auto"/>
              <w:right w:val="single" w:sz="4" w:space="0" w:color="auto"/>
            </w:tcBorders>
            <w:vAlign w:val="center"/>
            <w:hideMark/>
          </w:tcPr>
          <w:p w14:paraId="003BF7FF" w14:textId="77777777" w:rsidR="00A351F7" w:rsidRPr="00A351F7" w:rsidRDefault="00A351F7" w:rsidP="00A351F7">
            <w:pPr>
              <w:spacing w:after="0" w:line="240" w:lineRule="auto"/>
              <w:jc w:val="center"/>
              <w:rPr>
                <w:rFonts w:ascii="Times New Roman" w:eastAsia="Times New Roman" w:hAnsi="Times New Roman" w:cs="Times New Roman"/>
                <w:b/>
                <w:bCs/>
                <w:color w:val="000000"/>
                <w:kern w:val="0"/>
                <w:szCs w:val="24"/>
                <w:lang w:eastAsia="en-IN"/>
                <w14:ligatures w14:val="none"/>
              </w:rPr>
            </w:pPr>
            <w:r w:rsidRPr="00A351F7">
              <w:rPr>
                <w:rFonts w:ascii="Times New Roman" w:eastAsia="Times New Roman" w:hAnsi="Times New Roman" w:cs="Times New Roman"/>
                <w:b/>
                <w:bCs/>
                <w:color w:val="000000"/>
                <w:kern w:val="0"/>
                <w:szCs w:val="24"/>
                <w:lang w:eastAsia="en-IN"/>
                <w14:ligatures w14:val="none"/>
              </w:rPr>
              <w:t>Shares of Taxes</w:t>
            </w:r>
          </w:p>
        </w:tc>
        <w:tc>
          <w:tcPr>
            <w:tcW w:w="994" w:type="dxa"/>
            <w:tcBorders>
              <w:top w:val="nil"/>
              <w:left w:val="nil"/>
              <w:bottom w:val="single" w:sz="4" w:space="0" w:color="auto"/>
              <w:right w:val="single" w:sz="4" w:space="0" w:color="auto"/>
            </w:tcBorders>
            <w:vAlign w:val="center"/>
            <w:hideMark/>
          </w:tcPr>
          <w:p w14:paraId="17A59D06" w14:textId="77777777" w:rsidR="00A351F7" w:rsidRPr="00A351F7" w:rsidRDefault="00A351F7" w:rsidP="00A351F7">
            <w:pPr>
              <w:spacing w:after="0" w:line="240" w:lineRule="auto"/>
              <w:jc w:val="center"/>
              <w:rPr>
                <w:rFonts w:ascii="Times New Roman" w:eastAsia="Times New Roman" w:hAnsi="Times New Roman" w:cs="Times New Roman"/>
                <w:b/>
                <w:bCs/>
                <w:color w:val="000000"/>
                <w:kern w:val="0"/>
                <w:szCs w:val="24"/>
                <w:lang w:eastAsia="en-IN"/>
                <w14:ligatures w14:val="none"/>
              </w:rPr>
            </w:pPr>
            <w:r w:rsidRPr="00A351F7">
              <w:rPr>
                <w:rFonts w:ascii="Times New Roman" w:eastAsia="Times New Roman" w:hAnsi="Times New Roman" w:cs="Times New Roman"/>
                <w:b/>
                <w:bCs/>
                <w:color w:val="000000"/>
                <w:kern w:val="0"/>
                <w:szCs w:val="24"/>
                <w:lang w:eastAsia="en-IN"/>
                <w14:ligatures w14:val="none"/>
              </w:rPr>
              <w:t>Grants</w:t>
            </w:r>
          </w:p>
        </w:tc>
        <w:tc>
          <w:tcPr>
            <w:tcW w:w="975" w:type="dxa"/>
            <w:tcBorders>
              <w:top w:val="nil"/>
              <w:left w:val="nil"/>
              <w:bottom w:val="single" w:sz="4" w:space="0" w:color="auto"/>
              <w:right w:val="single" w:sz="4" w:space="0" w:color="auto"/>
            </w:tcBorders>
            <w:vAlign w:val="center"/>
            <w:hideMark/>
          </w:tcPr>
          <w:p w14:paraId="4785A92D" w14:textId="77777777" w:rsidR="00A351F7" w:rsidRPr="00A351F7" w:rsidRDefault="00A351F7" w:rsidP="00A351F7">
            <w:pPr>
              <w:spacing w:after="0" w:line="240" w:lineRule="auto"/>
              <w:jc w:val="center"/>
              <w:rPr>
                <w:rFonts w:ascii="Times New Roman" w:eastAsia="Times New Roman" w:hAnsi="Times New Roman" w:cs="Times New Roman"/>
                <w:b/>
                <w:bCs/>
                <w:color w:val="000000"/>
                <w:kern w:val="0"/>
                <w:szCs w:val="24"/>
                <w:lang w:eastAsia="en-IN"/>
                <w14:ligatures w14:val="none"/>
              </w:rPr>
            </w:pPr>
            <w:r w:rsidRPr="00A351F7">
              <w:rPr>
                <w:rFonts w:ascii="Times New Roman" w:eastAsia="Times New Roman" w:hAnsi="Times New Roman" w:cs="Times New Roman"/>
                <w:b/>
                <w:bCs/>
                <w:color w:val="000000"/>
                <w:kern w:val="0"/>
                <w:szCs w:val="24"/>
                <w:lang w:eastAsia="en-IN"/>
                <w14:ligatures w14:val="none"/>
              </w:rPr>
              <w:t>Total</w:t>
            </w:r>
          </w:p>
        </w:tc>
        <w:tc>
          <w:tcPr>
            <w:tcW w:w="986" w:type="dxa"/>
            <w:tcBorders>
              <w:top w:val="nil"/>
              <w:left w:val="nil"/>
              <w:bottom w:val="single" w:sz="4" w:space="0" w:color="auto"/>
              <w:right w:val="single" w:sz="4" w:space="0" w:color="auto"/>
            </w:tcBorders>
            <w:vAlign w:val="center"/>
            <w:hideMark/>
          </w:tcPr>
          <w:p w14:paraId="6DB7FBD1" w14:textId="77777777" w:rsidR="00A351F7" w:rsidRPr="00A351F7" w:rsidRDefault="00A351F7" w:rsidP="00A351F7">
            <w:pPr>
              <w:spacing w:after="0" w:line="240" w:lineRule="auto"/>
              <w:jc w:val="center"/>
              <w:rPr>
                <w:rFonts w:ascii="Times New Roman" w:eastAsia="Times New Roman" w:hAnsi="Times New Roman" w:cs="Times New Roman"/>
                <w:b/>
                <w:bCs/>
                <w:color w:val="000000"/>
                <w:kern w:val="0"/>
                <w:szCs w:val="24"/>
                <w:lang w:eastAsia="en-IN"/>
                <w14:ligatures w14:val="none"/>
              </w:rPr>
            </w:pPr>
            <w:r w:rsidRPr="00A351F7">
              <w:rPr>
                <w:rFonts w:ascii="Times New Roman" w:eastAsia="Times New Roman" w:hAnsi="Times New Roman" w:cs="Times New Roman"/>
                <w:b/>
                <w:bCs/>
                <w:color w:val="000000"/>
                <w:kern w:val="0"/>
                <w:szCs w:val="24"/>
                <w:lang w:eastAsia="en-IN"/>
                <w14:ligatures w14:val="none"/>
              </w:rPr>
              <w:t>Shares of Taxes</w:t>
            </w:r>
          </w:p>
        </w:tc>
        <w:tc>
          <w:tcPr>
            <w:tcW w:w="994" w:type="dxa"/>
            <w:tcBorders>
              <w:top w:val="nil"/>
              <w:left w:val="nil"/>
              <w:bottom w:val="single" w:sz="4" w:space="0" w:color="auto"/>
              <w:right w:val="single" w:sz="4" w:space="0" w:color="auto"/>
            </w:tcBorders>
            <w:vAlign w:val="center"/>
            <w:hideMark/>
          </w:tcPr>
          <w:p w14:paraId="4644767D" w14:textId="77777777" w:rsidR="00A351F7" w:rsidRPr="00A351F7" w:rsidRDefault="00A351F7" w:rsidP="00A351F7">
            <w:pPr>
              <w:spacing w:after="0" w:line="240" w:lineRule="auto"/>
              <w:jc w:val="center"/>
              <w:rPr>
                <w:rFonts w:ascii="Times New Roman" w:eastAsia="Times New Roman" w:hAnsi="Times New Roman" w:cs="Times New Roman"/>
                <w:b/>
                <w:bCs/>
                <w:color w:val="000000"/>
                <w:kern w:val="0"/>
                <w:szCs w:val="24"/>
                <w:lang w:eastAsia="en-IN"/>
                <w14:ligatures w14:val="none"/>
              </w:rPr>
            </w:pPr>
            <w:r w:rsidRPr="00A351F7">
              <w:rPr>
                <w:rFonts w:ascii="Times New Roman" w:eastAsia="Times New Roman" w:hAnsi="Times New Roman" w:cs="Times New Roman"/>
                <w:b/>
                <w:bCs/>
                <w:color w:val="000000"/>
                <w:kern w:val="0"/>
                <w:szCs w:val="24"/>
                <w:lang w:eastAsia="en-IN"/>
                <w14:ligatures w14:val="none"/>
              </w:rPr>
              <w:t>Grants</w:t>
            </w:r>
          </w:p>
        </w:tc>
        <w:tc>
          <w:tcPr>
            <w:tcW w:w="939" w:type="dxa"/>
            <w:tcBorders>
              <w:top w:val="nil"/>
              <w:left w:val="nil"/>
              <w:bottom w:val="single" w:sz="4" w:space="0" w:color="auto"/>
              <w:right w:val="single" w:sz="4" w:space="0" w:color="auto"/>
            </w:tcBorders>
            <w:vAlign w:val="center"/>
            <w:hideMark/>
          </w:tcPr>
          <w:p w14:paraId="4B827319" w14:textId="77777777" w:rsidR="00A351F7" w:rsidRPr="00A351F7" w:rsidRDefault="00A351F7" w:rsidP="00A351F7">
            <w:pPr>
              <w:spacing w:after="0" w:line="240" w:lineRule="auto"/>
              <w:jc w:val="center"/>
              <w:rPr>
                <w:rFonts w:ascii="Times New Roman" w:eastAsia="Times New Roman" w:hAnsi="Times New Roman" w:cs="Times New Roman"/>
                <w:b/>
                <w:bCs/>
                <w:color w:val="000000"/>
                <w:kern w:val="0"/>
                <w:szCs w:val="24"/>
                <w:lang w:eastAsia="en-IN"/>
                <w14:ligatures w14:val="none"/>
              </w:rPr>
            </w:pPr>
            <w:r w:rsidRPr="00A351F7">
              <w:rPr>
                <w:rFonts w:ascii="Times New Roman" w:eastAsia="Times New Roman" w:hAnsi="Times New Roman" w:cs="Times New Roman"/>
                <w:b/>
                <w:bCs/>
                <w:color w:val="000000"/>
                <w:kern w:val="0"/>
                <w:szCs w:val="24"/>
                <w:lang w:eastAsia="en-IN"/>
                <w14:ligatures w14:val="none"/>
              </w:rPr>
              <w:t>Total</w:t>
            </w:r>
          </w:p>
        </w:tc>
        <w:tc>
          <w:tcPr>
            <w:tcW w:w="986" w:type="dxa"/>
            <w:tcBorders>
              <w:top w:val="nil"/>
              <w:left w:val="nil"/>
              <w:bottom w:val="single" w:sz="4" w:space="0" w:color="auto"/>
              <w:right w:val="single" w:sz="4" w:space="0" w:color="auto"/>
            </w:tcBorders>
            <w:vAlign w:val="center"/>
            <w:hideMark/>
          </w:tcPr>
          <w:p w14:paraId="6686702E" w14:textId="77777777" w:rsidR="00A351F7" w:rsidRPr="00A351F7" w:rsidRDefault="00A351F7" w:rsidP="00A351F7">
            <w:pPr>
              <w:spacing w:after="0" w:line="240" w:lineRule="auto"/>
              <w:jc w:val="center"/>
              <w:rPr>
                <w:rFonts w:ascii="Times New Roman" w:eastAsia="Times New Roman" w:hAnsi="Times New Roman" w:cs="Times New Roman"/>
                <w:b/>
                <w:bCs/>
                <w:color w:val="000000"/>
                <w:kern w:val="0"/>
                <w:szCs w:val="24"/>
                <w:lang w:eastAsia="en-IN"/>
                <w14:ligatures w14:val="none"/>
              </w:rPr>
            </w:pPr>
            <w:r w:rsidRPr="00A351F7">
              <w:rPr>
                <w:rFonts w:ascii="Times New Roman" w:eastAsia="Times New Roman" w:hAnsi="Times New Roman" w:cs="Times New Roman"/>
                <w:b/>
                <w:bCs/>
                <w:color w:val="000000"/>
                <w:kern w:val="0"/>
                <w:szCs w:val="24"/>
                <w:lang w:eastAsia="en-IN"/>
                <w14:ligatures w14:val="none"/>
              </w:rPr>
              <w:t>Shares of Taxes</w:t>
            </w:r>
          </w:p>
        </w:tc>
        <w:tc>
          <w:tcPr>
            <w:tcW w:w="994" w:type="dxa"/>
            <w:tcBorders>
              <w:top w:val="nil"/>
              <w:left w:val="nil"/>
              <w:bottom w:val="single" w:sz="4" w:space="0" w:color="auto"/>
              <w:right w:val="single" w:sz="4" w:space="0" w:color="auto"/>
            </w:tcBorders>
            <w:vAlign w:val="center"/>
            <w:hideMark/>
          </w:tcPr>
          <w:p w14:paraId="4E8A7658" w14:textId="77777777" w:rsidR="00A351F7" w:rsidRPr="00A351F7" w:rsidRDefault="00A351F7" w:rsidP="00A351F7">
            <w:pPr>
              <w:spacing w:after="0" w:line="240" w:lineRule="auto"/>
              <w:jc w:val="center"/>
              <w:rPr>
                <w:rFonts w:ascii="Times New Roman" w:eastAsia="Times New Roman" w:hAnsi="Times New Roman" w:cs="Times New Roman"/>
                <w:b/>
                <w:bCs/>
                <w:color w:val="000000"/>
                <w:kern w:val="0"/>
                <w:szCs w:val="24"/>
                <w:lang w:eastAsia="en-IN"/>
                <w14:ligatures w14:val="none"/>
              </w:rPr>
            </w:pPr>
            <w:r w:rsidRPr="00A351F7">
              <w:rPr>
                <w:rFonts w:ascii="Times New Roman" w:eastAsia="Times New Roman" w:hAnsi="Times New Roman" w:cs="Times New Roman"/>
                <w:b/>
                <w:bCs/>
                <w:color w:val="000000"/>
                <w:kern w:val="0"/>
                <w:szCs w:val="24"/>
                <w:lang w:eastAsia="en-IN"/>
                <w14:ligatures w14:val="none"/>
              </w:rPr>
              <w:t>Grants</w:t>
            </w:r>
          </w:p>
        </w:tc>
        <w:tc>
          <w:tcPr>
            <w:tcW w:w="975" w:type="dxa"/>
            <w:tcBorders>
              <w:top w:val="nil"/>
              <w:left w:val="nil"/>
              <w:bottom w:val="single" w:sz="4" w:space="0" w:color="auto"/>
              <w:right w:val="single" w:sz="4" w:space="0" w:color="auto"/>
            </w:tcBorders>
            <w:vAlign w:val="center"/>
            <w:hideMark/>
          </w:tcPr>
          <w:p w14:paraId="30EADB72" w14:textId="77777777" w:rsidR="00A351F7" w:rsidRPr="00A351F7" w:rsidRDefault="00A351F7" w:rsidP="00A351F7">
            <w:pPr>
              <w:spacing w:after="0" w:line="240" w:lineRule="auto"/>
              <w:jc w:val="center"/>
              <w:rPr>
                <w:rFonts w:ascii="Times New Roman" w:eastAsia="Times New Roman" w:hAnsi="Times New Roman" w:cs="Times New Roman"/>
                <w:b/>
                <w:bCs/>
                <w:color w:val="000000"/>
                <w:kern w:val="0"/>
                <w:szCs w:val="24"/>
                <w:lang w:eastAsia="en-IN"/>
                <w14:ligatures w14:val="none"/>
              </w:rPr>
            </w:pPr>
            <w:r w:rsidRPr="00A351F7">
              <w:rPr>
                <w:rFonts w:ascii="Times New Roman" w:eastAsia="Times New Roman" w:hAnsi="Times New Roman" w:cs="Times New Roman"/>
                <w:b/>
                <w:bCs/>
                <w:color w:val="000000"/>
                <w:kern w:val="0"/>
                <w:szCs w:val="24"/>
                <w:lang w:eastAsia="en-IN"/>
                <w14:ligatures w14:val="none"/>
              </w:rPr>
              <w:t>Total</w:t>
            </w:r>
          </w:p>
        </w:tc>
      </w:tr>
      <w:tr w:rsidR="00A351F7" w:rsidRPr="00A351F7" w14:paraId="4ED2D3C5" w14:textId="77777777" w:rsidTr="00A351F7">
        <w:trPr>
          <w:trHeight w:val="495"/>
        </w:trPr>
        <w:tc>
          <w:tcPr>
            <w:tcW w:w="1403" w:type="dxa"/>
            <w:tcBorders>
              <w:top w:val="nil"/>
              <w:left w:val="single" w:sz="4" w:space="0" w:color="auto"/>
              <w:bottom w:val="single" w:sz="4" w:space="0" w:color="auto"/>
              <w:right w:val="single" w:sz="4" w:space="0" w:color="auto"/>
            </w:tcBorders>
            <w:vAlign w:val="center"/>
            <w:hideMark/>
          </w:tcPr>
          <w:p w14:paraId="16772172" w14:textId="77777777" w:rsidR="00A351F7" w:rsidRPr="00A351F7" w:rsidRDefault="00A351F7" w:rsidP="00A351F7">
            <w:pPr>
              <w:spacing w:after="0" w:line="240" w:lineRule="auto"/>
              <w:rPr>
                <w:rFonts w:ascii="Times New Roman" w:eastAsia="Times New Roman" w:hAnsi="Times New Roman" w:cs="Times New Roman"/>
                <w:color w:val="000000"/>
                <w:kern w:val="0"/>
                <w:szCs w:val="24"/>
                <w:lang w:eastAsia="en-IN"/>
                <w14:ligatures w14:val="none"/>
              </w:rPr>
            </w:pPr>
            <w:r w:rsidRPr="00A351F7">
              <w:rPr>
                <w:rFonts w:ascii="Times New Roman" w:eastAsia="Times New Roman" w:hAnsi="Times New Roman" w:cs="Times New Roman"/>
                <w:color w:val="000000"/>
                <w:kern w:val="0"/>
                <w:szCs w:val="24"/>
                <w:lang w:eastAsia="en-IN"/>
                <w14:ligatures w14:val="none"/>
              </w:rPr>
              <w:t>Andhra Pradesh</w:t>
            </w:r>
          </w:p>
        </w:tc>
        <w:tc>
          <w:tcPr>
            <w:tcW w:w="985" w:type="dxa"/>
            <w:tcBorders>
              <w:top w:val="nil"/>
              <w:left w:val="nil"/>
              <w:bottom w:val="single" w:sz="4" w:space="0" w:color="auto"/>
              <w:right w:val="single" w:sz="4" w:space="0" w:color="auto"/>
            </w:tcBorders>
            <w:vAlign w:val="center"/>
            <w:hideMark/>
          </w:tcPr>
          <w:p w14:paraId="734AC92F" w14:textId="77777777" w:rsidR="00A351F7" w:rsidRPr="00A351F7" w:rsidRDefault="00A351F7" w:rsidP="00A351F7">
            <w:pPr>
              <w:spacing w:after="0" w:line="240" w:lineRule="auto"/>
              <w:jc w:val="center"/>
              <w:rPr>
                <w:rFonts w:ascii="Times New Roman" w:eastAsia="Times New Roman" w:hAnsi="Times New Roman" w:cs="Times New Roman"/>
                <w:color w:val="000000"/>
                <w:kern w:val="0"/>
                <w:szCs w:val="24"/>
                <w:lang w:eastAsia="en-IN"/>
                <w14:ligatures w14:val="none"/>
              </w:rPr>
            </w:pPr>
            <w:r w:rsidRPr="00A351F7">
              <w:rPr>
                <w:rFonts w:ascii="Times New Roman" w:eastAsia="Times New Roman" w:hAnsi="Times New Roman" w:cs="Times New Roman"/>
                <w:color w:val="000000"/>
                <w:kern w:val="0"/>
                <w:szCs w:val="24"/>
                <w:lang w:eastAsia="en-IN"/>
                <w14:ligatures w14:val="none"/>
              </w:rPr>
              <w:t>28.18</w:t>
            </w:r>
          </w:p>
        </w:tc>
        <w:tc>
          <w:tcPr>
            <w:tcW w:w="994" w:type="dxa"/>
            <w:tcBorders>
              <w:top w:val="nil"/>
              <w:left w:val="nil"/>
              <w:bottom w:val="single" w:sz="4" w:space="0" w:color="auto"/>
              <w:right w:val="single" w:sz="4" w:space="0" w:color="auto"/>
            </w:tcBorders>
            <w:vAlign w:val="center"/>
            <w:hideMark/>
          </w:tcPr>
          <w:p w14:paraId="171507D0" w14:textId="77777777" w:rsidR="00A351F7" w:rsidRPr="00A351F7" w:rsidRDefault="00A351F7" w:rsidP="00A351F7">
            <w:pPr>
              <w:spacing w:after="0" w:line="240" w:lineRule="auto"/>
              <w:jc w:val="center"/>
              <w:rPr>
                <w:rFonts w:ascii="Times New Roman" w:eastAsia="Times New Roman" w:hAnsi="Times New Roman" w:cs="Times New Roman"/>
                <w:color w:val="000000"/>
                <w:kern w:val="0"/>
                <w:szCs w:val="24"/>
                <w:lang w:eastAsia="en-IN"/>
                <w14:ligatures w14:val="none"/>
              </w:rPr>
            </w:pPr>
            <w:r w:rsidRPr="00A351F7">
              <w:rPr>
                <w:rFonts w:ascii="Times New Roman" w:eastAsia="Times New Roman" w:hAnsi="Times New Roman" w:cs="Times New Roman"/>
                <w:color w:val="000000"/>
                <w:kern w:val="0"/>
                <w:szCs w:val="24"/>
                <w:lang w:eastAsia="en-IN"/>
                <w14:ligatures w14:val="none"/>
              </w:rPr>
              <w:t>13.51</w:t>
            </w:r>
          </w:p>
        </w:tc>
        <w:tc>
          <w:tcPr>
            <w:tcW w:w="975" w:type="dxa"/>
            <w:tcBorders>
              <w:top w:val="nil"/>
              <w:left w:val="nil"/>
              <w:bottom w:val="single" w:sz="4" w:space="0" w:color="auto"/>
              <w:right w:val="single" w:sz="4" w:space="0" w:color="auto"/>
            </w:tcBorders>
            <w:vAlign w:val="center"/>
            <w:hideMark/>
          </w:tcPr>
          <w:p w14:paraId="1CD9743B" w14:textId="77777777" w:rsidR="00A351F7" w:rsidRPr="00A351F7" w:rsidRDefault="00A351F7" w:rsidP="00A351F7">
            <w:pPr>
              <w:spacing w:after="0" w:line="240" w:lineRule="auto"/>
              <w:jc w:val="center"/>
              <w:rPr>
                <w:rFonts w:ascii="Times New Roman" w:eastAsia="Times New Roman" w:hAnsi="Times New Roman" w:cs="Times New Roman"/>
                <w:color w:val="000000"/>
                <w:kern w:val="0"/>
                <w:szCs w:val="24"/>
                <w:lang w:eastAsia="en-IN"/>
                <w14:ligatures w14:val="none"/>
              </w:rPr>
            </w:pPr>
            <w:r w:rsidRPr="00A351F7">
              <w:rPr>
                <w:rFonts w:ascii="Times New Roman" w:eastAsia="Times New Roman" w:hAnsi="Times New Roman" w:cs="Times New Roman"/>
                <w:color w:val="000000"/>
                <w:kern w:val="0"/>
                <w:szCs w:val="24"/>
                <w:lang w:eastAsia="en-IN"/>
                <w14:ligatures w14:val="none"/>
              </w:rPr>
              <w:t>41.69</w:t>
            </w:r>
          </w:p>
        </w:tc>
        <w:tc>
          <w:tcPr>
            <w:tcW w:w="986" w:type="dxa"/>
            <w:tcBorders>
              <w:top w:val="nil"/>
              <w:left w:val="nil"/>
              <w:bottom w:val="single" w:sz="4" w:space="0" w:color="auto"/>
              <w:right w:val="single" w:sz="4" w:space="0" w:color="auto"/>
            </w:tcBorders>
            <w:vAlign w:val="center"/>
            <w:hideMark/>
          </w:tcPr>
          <w:p w14:paraId="5D4CC1B7" w14:textId="77777777" w:rsidR="00A351F7" w:rsidRPr="00A351F7" w:rsidRDefault="00A351F7" w:rsidP="00A351F7">
            <w:pPr>
              <w:spacing w:after="0" w:line="240" w:lineRule="auto"/>
              <w:jc w:val="center"/>
              <w:rPr>
                <w:rFonts w:ascii="Times New Roman" w:eastAsia="Times New Roman" w:hAnsi="Times New Roman" w:cs="Times New Roman"/>
                <w:color w:val="000000"/>
                <w:kern w:val="0"/>
                <w:szCs w:val="24"/>
                <w:lang w:eastAsia="en-IN"/>
                <w14:ligatures w14:val="none"/>
              </w:rPr>
            </w:pPr>
            <w:r w:rsidRPr="00A351F7">
              <w:rPr>
                <w:rFonts w:ascii="Times New Roman" w:eastAsia="Times New Roman" w:hAnsi="Times New Roman" w:cs="Times New Roman"/>
                <w:color w:val="000000"/>
                <w:kern w:val="0"/>
                <w:szCs w:val="24"/>
                <w:lang w:eastAsia="en-IN"/>
                <w14:ligatures w14:val="none"/>
              </w:rPr>
              <w:t>33.06</w:t>
            </w:r>
          </w:p>
        </w:tc>
        <w:tc>
          <w:tcPr>
            <w:tcW w:w="994" w:type="dxa"/>
            <w:tcBorders>
              <w:top w:val="nil"/>
              <w:left w:val="nil"/>
              <w:bottom w:val="single" w:sz="4" w:space="0" w:color="auto"/>
              <w:right w:val="single" w:sz="4" w:space="0" w:color="auto"/>
            </w:tcBorders>
            <w:vAlign w:val="center"/>
            <w:hideMark/>
          </w:tcPr>
          <w:p w14:paraId="64B071DB" w14:textId="77777777" w:rsidR="00A351F7" w:rsidRPr="00A351F7" w:rsidRDefault="00A351F7" w:rsidP="00A351F7">
            <w:pPr>
              <w:spacing w:after="0" w:line="240" w:lineRule="auto"/>
              <w:jc w:val="center"/>
              <w:rPr>
                <w:rFonts w:ascii="Times New Roman" w:eastAsia="Times New Roman" w:hAnsi="Times New Roman" w:cs="Times New Roman"/>
                <w:color w:val="000000"/>
                <w:kern w:val="0"/>
                <w:szCs w:val="24"/>
                <w:lang w:eastAsia="en-IN"/>
                <w14:ligatures w14:val="none"/>
              </w:rPr>
            </w:pPr>
            <w:r w:rsidRPr="00A351F7">
              <w:rPr>
                <w:rFonts w:ascii="Times New Roman" w:eastAsia="Times New Roman" w:hAnsi="Times New Roman" w:cs="Times New Roman"/>
                <w:color w:val="000000"/>
                <w:kern w:val="0"/>
                <w:szCs w:val="24"/>
                <w:lang w:eastAsia="en-IN"/>
                <w14:ligatures w14:val="none"/>
              </w:rPr>
              <w:t>13.51</w:t>
            </w:r>
          </w:p>
        </w:tc>
        <w:tc>
          <w:tcPr>
            <w:tcW w:w="939" w:type="dxa"/>
            <w:tcBorders>
              <w:top w:val="nil"/>
              <w:left w:val="nil"/>
              <w:bottom w:val="single" w:sz="4" w:space="0" w:color="auto"/>
              <w:right w:val="single" w:sz="4" w:space="0" w:color="auto"/>
            </w:tcBorders>
            <w:vAlign w:val="center"/>
            <w:hideMark/>
          </w:tcPr>
          <w:p w14:paraId="600CB95F" w14:textId="77777777" w:rsidR="00A351F7" w:rsidRPr="00A351F7" w:rsidRDefault="00A351F7" w:rsidP="00A351F7">
            <w:pPr>
              <w:spacing w:after="0" w:line="240" w:lineRule="auto"/>
              <w:jc w:val="center"/>
              <w:rPr>
                <w:rFonts w:ascii="Times New Roman" w:eastAsia="Times New Roman" w:hAnsi="Times New Roman" w:cs="Times New Roman"/>
                <w:color w:val="000000"/>
                <w:kern w:val="0"/>
                <w:szCs w:val="24"/>
                <w:lang w:eastAsia="en-IN"/>
                <w14:ligatures w14:val="none"/>
              </w:rPr>
            </w:pPr>
            <w:r w:rsidRPr="00A351F7">
              <w:rPr>
                <w:rFonts w:ascii="Times New Roman" w:eastAsia="Times New Roman" w:hAnsi="Times New Roman" w:cs="Times New Roman"/>
                <w:color w:val="000000"/>
                <w:kern w:val="0"/>
                <w:szCs w:val="24"/>
                <w:lang w:eastAsia="en-IN"/>
                <w14:ligatures w14:val="none"/>
              </w:rPr>
              <w:t>46.57</w:t>
            </w:r>
          </w:p>
        </w:tc>
        <w:tc>
          <w:tcPr>
            <w:tcW w:w="986" w:type="dxa"/>
            <w:tcBorders>
              <w:top w:val="nil"/>
              <w:left w:val="nil"/>
              <w:bottom w:val="single" w:sz="4" w:space="0" w:color="auto"/>
              <w:right w:val="single" w:sz="4" w:space="0" w:color="auto"/>
            </w:tcBorders>
            <w:vAlign w:val="center"/>
            <w:hideMark/>
          </w:tcPr>
          <w:p w14:paraId="6330510B" w14:textId="77777777" w:rsidR="00A351F7" w:rsidRPr="00A351F7" w:rsidRDefault="00A351F7" w:rsidP="00A351F7">
            <w:pPr>
              <w:spacing w:after="0" w:line="240" w:lineRule="auto"/>
              <w:jc w:val="center"/>
              <w:rPr>
                <w:rFonts w:ascii="Times New Roman" w:eastAsia="Times New Roman" w:hAnsi="Times New Roman" w:cs="Times New Roman"/>
                <w:color w:val="000000"/>
                <w:kern w:val="0"/>
                <w:szCs w:val="24"/>
                <w:lang w:eastAsia="en-IN"/>
                <w14:ligatures w14:val="none"/>
              </w:rPr>
            </w:pPr>
            <w:r w:rsidRPr="00A351F7">
              <w:rPr>
                <w:rFonts w:ascii="Times New Roman" w:eastAsia="Times New Roman" w:hAnsi="Times New Roman" w:cs="Times New Roman"/>
                <w:color w:val="000000"/>
                <w:kern w:val="0"/>
                <w:szCs w:val="24"/>
                <w:lang w:eastAsia="en-IN"/>
                <w14:ligatures w14:val="none"/>
              </w:rPr>
              <w:t>38.72</w:t>
            </w:r>
          </w:p>
        </w:tc>
        <w:tc>
          <w:tcPr>
            <w:tcW w:w="994" w:type="dxa"/>
            <w:tcBorders>
              <w:top w:val="nil"/>
              <w:left w:val="nil"/>
              <w:bottom w:val="single" w:sz="4" w:space="0" w:color="auto"/>
              <w:right w:val="single" w:sz="4" w:space="0" w:color="auto"/>
            </w:tcBorders>
            <w:vAlign w:val="center"/>
            <w:hideMark/>
          </w:tcPr>
          <w:p w14:paraId="4FA2038A" w14:textId="77777777" w:rsidR="00A351F7" w:rsidRPr="00A351F7" w:rsidRDefault="00A351F7" w:rsidP="00A351F7">
            <w:pPr>
              <w:spacing w:after="0" w:line="240" w:lineRule="auto"/>
              <w:jc w:val="center"/>
              <w:rPr>
                <w:rFonts w:ascii="Times New Roman" w:eastAsia="Times New Roman" w:hAnsi="Times New Roman" w:cs="Times New Roman"/>
                <w:color w:val="000000"/>
                <w:kern w:val="0"/>
                <w:szCs w:val="24"/>
                <w:lang w:eastAsia="en-IN"/>
                <w14:ligatures w14:val="none"/>
              </w:rPr>
            </w:pPr>
            <w:r w:rsidRPr="00A351F7">
              <w:rPr>
                <w:rFonts w:ascii="Times New Roman" w:eastAsia="Times New Roman" w:hAnsi="Times New Roman" w:cs="Times New Roman"/>
                <w:color w:val="000000"/>
                <w:kern w:val="0"/>
                <w:szCs w:val="24"/>
                <w:lang w:eastAsia="en-IN"/>
                <w14:ligatures w14:val="none"/>
              </w:rPr>
              <w:t>13.51</w:t>
            </w:r>
          </w:p>
        </w:tc>
        <w:tc>
          <w:tcPr>
            <w:tcW w:w="975" w:type="dxa"/>
            <w:tcBorders>
              <w:top w:val="nil"/>
              <w:left w:val="nil"/>
              <w:bottom w:val="single" w:sz="4" w:space="0" w:color="auto"/>
              <w:right w:val="single" w:sz="4" w:space="0" w:color="auto"/>
            </w:tcBorders>
            <w:vAlign w:val="center"/>
            <w:hideMark/>
          </w:tcPr>
          <w:p w14:paraId="156E983B" w14:textId="77777777" w:rsidR="00A351F7" w:rsidRPr="00A351F7" w:rsidRDefault="00A351F7" w:rsidP="00A351F7">
            <w:pPr>
              <w:spacing w:after="0" w:line="240" w:lineRule="auto"/>
              <w:jc w:val="center"/>
              <w:rPr>
                <w:rFonts w:ascii="Times New Roman" w:eastAsia="Times New Roman" w:hAnsi="Times New Roman" w:cs="Times New Roman"/>
                <w:color w:val="000000"/>
                <w:kern w:val="0"/>
                <w:szCs w:val="24"/>
                <w:lang w:eastAsia="en-IN"/>
                <w14:ligatures w14:val="none"/>
              </w:rPr>
            </w:pPr>
            <w:r w:rsidRPr="00A351F7">
              <w:rPr>
                <w:rFonts w:ascii="Times New Roman" w:eastAsia="Times New Roman" w:hAnsi="Times New Roman" w:cs="Times New Roman"/>
                <w:color w:val="000000"/>
                <w:kern w:val="0"/>
                <w:szCs w:val="24"/>
                <w:lang w:eastAsia="en-IN"/>
                <w14:ligatures w14:val="none"/>
              </w:rPr>
              <w:t>52.23</w:t>
            </w:r>
          </w:p>
        </w:tc>
      </w:tr>
      <w:tr w:rsidR="00A351F7" w:rsidRPr="00A351F7" w14:paraId="1C166F1A" w14:textId="77777777" w:rsidTr="00A351F7">
        <w:trPr>
          <w:trHeight w:val="309"/>
        </w:trPr>
        <w:tc>
          <w:tcPr>
            <w:tcW w:w="1403" w:type="dxa"/>
            <w:tcBorders>
              <w:top w:val="nil"/>
              <w:left w:val="single" w:sz="4" w:space="0" w:color="auto"/>
              <w:bottom w:val="single" w:sz="4" w:space="0" w:color="auto"/>
              <w:right w:val="single" w:sz="4" w:space="0" w:color="auto"/>
            </w:tcBorders>
            <w:vAlign w:val="center"/>
            <w:hideMark/>
          </w:tcPr>
          <w:p w14:paraId="0912F939" w14:textId="77777777" w:rsidR="00A351F7" w:rsidRPr="00A351F7" w:rsidRDefault="00A351F7" w:rsidP="00A351F7">
            <w:pPr>
              <w:spacing w:after="0" w:line="240" w:lineRule="auto"/>
              <w:rPr>
                <w:rFonts w:ascii="Times New Roman" w:eastAsia="Times New Roman" w:hAnsi="Times New Roman" w:cs="Times New Roman"/>
                <w:color w:val="000000"/>
                <w:kern w:val="0"/>
                <w:szCs w:val="24"/>
                <w:lang w:eastAsia="en-IN"/>
                <w14:ligatures w14:val="none"/>
              </w:rPr>
            </w:pPr>
            <w:r w:rsidRPr="00A351F7">
              <w:rPr>
                <w:rFonts w:ascii="Times New Roman" w:eastAsia="Times New Roman" w:hAnsi="Times New Roman" w:cs="Times New Roman"/>
                <w:color w:val="000000"/>
                <w:kern w:val="0"/>
                <w:szCs w:val="24"/>
                <w:lang w:eastAsia="en-IN"/>
                <w14:ligatures w14:val="none"/>
              </w:rPr>
              <w:t>Assam</w:t>
            </w:r>
          </w:p>
        </w:tc>
        <w:tc>
          <w:tcPr>
            <w:tcW w:w="985" w:type="dxa"/>
            <w:tcBorders>
              <w:top w:val="nil"/>
              <w:left w:val="nil"/>
              <w:bottom w:val="single" w:sz="4" w:space="0" w:color="auto"/>
              <w:right w:val="single" w:sz="4" w:space="0" w:color="auto"/>
            </w:tcBorders>
            <w:vAlign w:val="center"/>
            <w:hideMark/>
          </w:tcPr>
          <w:p w14:paraId="37EFAC37" w14:textId="77777777" w:rsidR="00A351F7" w:rsidRPr="00A351F7" w:rsidRDefault="00A351F7" w:rsidP="00A351F7">
            <w:pPr>
              <w:spacing w:after="0" w:line="240" w:lineRule="auto"/>
              <w:jc w:val="center"/>
              <w:rPr>
                <w:rFonts w:ascii="Times New Roman" w:eastAsia="Times New Roman" w:hAnsi="Times New Roman" w:cs="Times New Roman"/>
                <w:color w:val="000000"/>
                <w:kern w:val="0"/>
                <w:szCs w:val="24"/>
                <w:lang w:eastAsia="en-IN"/>
                <w14:ligatures w14:val="none"/>
              </w:rPr>
            </w:pPr>
            <w:r w:rsidRPr="00A351F7">
              <w:rPr>
                <w:rFonts w:ascii="Times New Roman" w:eastAsia="Times New Roman" w:hAnsi="Times New Roman" w:cs="Times New Roman"/>
                <w:color w:val="000000"/>
                <w:kern w:val="0"/>
                <w:szCs w:val="24"/>
                <w:lang w:eastAsia="en-IN"/>
                <w14:ligatures w14:val="none"/>
              </w:rPr>
              <w:t>11.25</w:t>
            </w:r>
          </w:p>
        </w:tc>
        <w:tc>
          <w:tcPr>
            <w:tcW w:w="994" w:type="dxa"/>
            <w:tcBorders>
              <w:top w:val="nil"/>
              <w:left w:val="nil"/>
              <w:bottom w:val="single" w:sz="4" w:space="0" w:color="auto"/>
              <w:right w:val="single" w:sz="4" w:space="0" w:color="auto"/>
            </w:tcBorders>
            <w:vAlign w:val="center"/>
            <w:hideMark/>
          </w:tcPr>
          <w:p w14:paraId="00AE8FC7" w14:textId="77777777" w:rsidR="00A351F7" w:rsidRPr="00A351F7" w:rsidRDefault="00A351F7" w:rsidP="00A351F7">
            <w:pPr>
              <w:spacing w:after="0" w:line="240" w:lineRule="auto"/>
              <w:jc w:val="center"/>
              <w:rPr>
                <w:rFonts w:ascii="Times New Roman" w:eastAsia="Times New Roman" w:hAnsi="Times New Roman" w:cs="Times New Roman"/>
                <w:color w:val="000000"/>
                <w:kern w:val="0"/>
                <w:szCs w:val="24"/>
                <w:lang w:eastAsia="en-IN"/>
                <w14:ligatures w14:val="none"/>
              </w:rPr>
            </w:pPr>
            <w:r w:rsidRPr="00A351F7">
              <w:rPr>
                <w:rFonts w:ascii="Times New Roman" w:eastAsia="Times New Roman" w:hAnsi="Times New Roman" w:cs="Times New Roman"/>
                <w:color w:val="000000"/>
                <w:kern w:val="0"/>
                <w:szCs w:val="24"/>
                <w:lang w:eastAsia="en-IN"/>
                <w14:ligatures w14:val="none"/>
              </w:rPr>
              <w:t>16.52</w:t>
            </w:r>
          </w:p>
        </w:tc>
        <w:tc>
          <w:tcPr>
            <w:tcW w:w="975" w:type="dxa"/>
            <w:tcBorders>
              <w:top w:val="nil"/>
              <w:left w:val="nil"/>
              <w:bottom w:val="single" w:sz="4" w:space="0" w:color="auto"/>
              <w:right w:val="single" w:sz="4" w:space="0" w:color="auto"/>
            </w:tcBorders>
            <w:vAlign w:val="center"/>
            <w:hideMark/>
          </w:tcPr>
          <w:p w14:paraId="43CE77F2" w14:textId="77777777" w:rsidR="00A351F7" w:rsidRPr="00A351F7" w:rsidRDefault="00A351F7" w:rsidP="00A351F7">
            <w:pPr>
              <w:spacing w:after="0" w:line="240" w:lineRule="auto"/>
              <w:jc w:val="center"/>
              <w:rPr>
                <w:rFonts w:ascii="Times New Roman" w:eastAsia="Times New Roman" w:hAnsi="Times New Roman" w:cs="Times New Roman"/>
                <w:color w:val="000000"/>
                <w:kern w:val="0"/>
                <w:szCs w:val="24"/>
                <w:lang w:eastAsia="en-IN"/>
                <w14:ligatures w14:val="none"/>
              </w:rPr>
            </w:pPr>
            <w:r w:rsidRPr="00A351F7">
              <w:rPr>
                <w:rFonts w:ascii="Times New Roman" w:eastAsia="Times New Roman" w:hAnsi="Times New Roman" w:cs="Times New Roman"/>
                <w:color w:val="000000"/>
                <w:kern w:val="0"/>
                <w:szCs w:val="24"/>
                <w:lang w:eastAsia="en-IN"/>
                <w14:ligatures w14:val="none"/>
              </w:rPr>
              <w:t>27.77</w:t>
            </w:r>
          </w:p>
        </w:tc>
        <w:tc>
          <w:tcPr>
            <w:tcW w:w="986" w:type="dxa"/>
            <w:tcBorders>
              <w:top w:val="nil"/>
              <w:left w:val="nil"/>
              <w:bottom w:val="single" w:sz="4" w:space="0" w:color="auto"/>
              <w:right w:val="single" w:sz="4" w:space="0" w:color="auto"/>
            </w:tcBorders>
            <w:vAlign w:val="center"/>
            <w:hideMark/>
          </w:tcPr>
          <w:p w14:paraId="62DC50A9" w14:textId="77777777" w:rsidR="00A351F7" w:rsidRPr="00A351F7" w:rsidRDefault="00A351F7" w:rsidP="00A351F7">
            <w:pPr>
              <w:spacing w:after="0" w:line="240" w:lineRule="auto"/>
              <w:jc w:val="center"/>
              <w:rPr>
                <w:rFonts w:ascii="Times New Roman" w:eastAsia="Times New Roman" w:hAnsi="Times New Roman" w:cs="Times New Roman"/>
                <w:color w:val="000000"/>
                <w:kern w:val="0"/>
                <w:szCs w:val="24"/>
                <w:lang w:eastAsia="en-IN"/>
                <w14:ligatures w14:val="none"/>
              </w:rPr>
            </w:pPr>
            <w:r w:rsidRPr="00A351F7">
              <w:rPr>
                <w:rFonts w:ascii="Times New Roman" w:eastAsia="Times New Roman" w:hAnsi="Times New Roman" w:cs="Times New Roman"/>
                <w:color w:val="000000"/>
                <w:kern w:val="0"/>
                <w:szCs w:val="24"/>
                <w:lang w:eastAsia="en-IN"/>
                <w14:ligatures w14:val="none"/>
              </w:rPr>
              <w:t>12.31</w:t>
            </w:r>
          </w:p>
        </w:tc>
        <w:tc>
          <w:tcPr>
            <w:tcW w:w="994" w:type="dxa"/>
            <w:tcBorders>
              <w:top w:val="nil"/>
              <w:left w:val="nil"/>
              <w:bottom w:val="single" w:sz="4" w:space="0" w:color="auto"/>
              <w:right w:val="single" w:sz="4" w:space="0" w:color="auto"/>
            </w:tcBorders>
            <w:vAlign w:val="center"/>
            <w:hideMark/>
          </w:tcPr>
          <w:p w14:paraId="390F4F38" w14:textId="77777777" w:rsidR="00A351F7" w:rsidRPr="00A351F7" w:rsidRDefault="00A351F7" w:rsidP="00A351F7">
            <w:pPr>
              <w:spacing w:after="0" w:line="240" w:lineRule="auto"/>
              <w:jc w:val="center"/>
              <w:rPr>
                <w:rFonts w:ascii="Times New Roman" w:eastAsia="Times New Roman" w:hAnsi="Times New Roman" w:cs="Times New Roman"/>
                <w:color w:val="000000"/>
                <w:kern w:val="0"/>
                <w:szCs w:val="24"/>
                <w:lang w:eastAsia="en-IN"/>
                <w14:ligatures w14:val="none"/>
              </w:rPr>
            </w:pPr>
            <w:r w:rsidRPr="00A351F7">
              <w:rPr>
                <w:rFonts w:ascii="Times New Roman" w:eastAsia="Times New Roman" w:hAnsi="Times New Roman" w:cs="Times New Roman"/>
                <w:color w:val="000000"/>
                <w:kern w:val="0"/>
                <w:szCs w:val="24"/>
                <w:lang w:eastAsia="en-IN"/>
                <w14:ligatures w14:val="none"/>
              </w:rPr>
              <w:t>16.52</w:t>
            </w:r>
          </w:p>
        </w:tc>
        <w:tc>
          <w:tcPr>
            <w:tcW w:w="939" w:type="dxa"/>
            <w:tcBorders>
              <w:top w:val="nil"/>
              <w:left w:val="nil"/>
              <w:bottom w:val="single" w:sz="4" w:space="0" w:color="auto"/>
              <w:right w:val="single" w:sz="4" w:space="0" w:color="auto"/>
            </w:tcBorders>
            <w:vAlign w:val="center"/>
            <w:hideMark/>
          </w:tcPr>
          <w:p w14:paraId="1B5ED96F" w14:textId="77777777" w:rsidR="00A351F7" w:rsidRPr="00A351F7" w:rsidRDefault="00A351F7" w:rsidP="00A351F7">
            <w:pPr>
              <w:spacing w:after="0" w:line="240" w:lineRule="auto"/>
              <w:jc w:val="center"/>
              <w:rPr>
                <w:rFonts w:ascii="Times New Roman" w:eastAsia="Times New Roman" w:hAnsi="Times New Roman" w:cs="Times New Roman"/>
                <w:color w:val="000000"/>
                <w:kern w:val="0"/>
                <w:szCs w:val="24"/>
                <w:lang w:eastAsia="en-IN"/>
                <w14:ligatures w14:val="none"/>
              </w:rPr>
            </w:pPr>
            <w:r w:rsidRPr="00A351F7">
              <w:rPr>
                <w:rFonts w:ascii="Times New Roman" w:eastAsia="Times New Roman" w:hAnsi="Times New Roman" w:cs="Times New Roman"/>
                <w:color w:val="000000"/>
                <w:kern w:val="0"/>
                <w:szCs w:val="24"/>
                <w:lang w:eastAsia="en-IN"/>
                <w14:ligatures w14:val="none"/>
              </w:rPr>
              <w:t>28.83</w:t>
            </w:r>
          </w:p>
        </w:tc>
        <w:tc>
          <w:tcPr>
            <w:tcW w:w="986" w:type="dxa"/>
            <w:tcBorders>
              <w:top w:val="nil"/>
              <w:left w:val="nil"/>
              <w:bottom w:val="single" w:sz="4" w:space="0" w:color="auto"/>
              <w:right w:val="single" w:sz="4" w:space="0" w:color="auto"/>
            </w:tcBorders>
            <w:vAlign w:val="center"/>
            <w:hideMark/>
          </w:tcPr>
          <w:p w14:paraId="20C832BF" w14:textId="77777777" w:rsidR="00A351F7" w:rsidRPr="00A351F7" w:rsidRDefault="00A351F7" w:rsidP="00A351F7">
            <w:pPr>
              <w:spacing w:after="0" w:line="240" w:lineRule="auto"/>
              <w:jc w:val="center"/>
              <w:rPr>
                <w:rFonts w:ascii="Times New Roman" w:eastAsia="Times New Roman" w:hAnsi="Times New Roman" w:cs="Times New Roman"/>
                <w:color w:val="000000"/>
                <w:kern w:val="0"/>
                <w:szCs w:val="24"/>
                <w:lang w:eastAsia="en-IN"/>
                <w14:ligatures w14:val="none"/>
              </w:rPr>
            </w:pPr>
            <w:r w:rsidRPr="00A351F7">
              <w:rPr>
                <w:rFonts w:ascii="Times New Roman" w:eastAsia="Times New Roman" w:hAnsi="Times New Roman" w:cs="Times New Roman"/>
                <w:color w:val="000000"/>
                <w:kern w:val="0"/>
                <w:szCs w:val="24"/>
                <w:lang w:eastAsia="en-IN"/>
                <w14:ligatures w14:val="none"/>
              </w:rPr>
              <w:t>14.76</w:t>
            </w:r>
          </w:p>
        </w:tc>
        <w:tc>
          <w:tcPr>
            <w:tcW w:w="994" w:type="dxa"/>
            <w:tcBorders>
              <w:top w:val="nil"/>
              <w:left w:val="nil"/>
              <w:bottom w:val="single" w:sz="4" w:space="0" w:color="auto"/>
              <w:right w:val="single" w:sz="4" w:space="0" w:color="auto"/>
            </w:tcBorders>
            <w:vAlign w:val="center"/>
            <w:hideMark/>
          </w:tcPr>
          <w:p w14:paraId="3B4F7E70" w14:textId="77777777" w:rsidR="00A351F7" w:rsidRPr="00A351F7" w:rsidRDefault="00A351F7" w:rsidP="00A351F7">
            <w:pPr>
              <w:spacing w:after="0" w:line="240" w:lineRule="auto"/>
              <w:jc w:val="center"/>
              <w:rPr>
                <w:rFonts w:ascii="Times New Roman" w:eastAsia="Times New Roman" w:hAnsi="Times New Roman" w:cs="Times New Roman"/>
                <w:color w:val="000000"/>
                <w:kern w:val="0"/>
                <w:szCs w:val="24"/>
                <w:lang w:eastAsia="en-IN"/>
                <w14:ligatures w14:val="none"/>
              </w:rPr>
            </w:pPr>
            <w:r w:rsidRPr="00A351F7">
              <w:rPr>
                <w:rFonts w:ascii="Times New Roman" w:eastAsia="Times New Roman" w:hAnsi="Times New Roman" w:cs="Times New Roman"/>
                <w:color w:val="000000"/>
                <w:kern w:val="0"/>
                <w:szCs w:val="24"/>
                <w:lang w:eastAsia="en-IN"/>
                <w14:ligatures w14:val="none"/>
              </w:rPr>
              <w:t>16.52</w:t>
            </w:r>
          </w:p>
        </w:tc>
        <w:tc>
          <w:tcPr>
            <w:tcW w:w="975" w:type="dxa"/>
            <w:tcBorders>
              <w:top w:val="nil"/>
              <w:left w:val="nil"/>
              <w:bottom w:val="single" w:sz="4" w:space="0" w:color="auto"/>
              <w:right w:val="single" w:sz="4" w:space="0" w:color="auto"/>
            </w:tcBorders>
            <w:vAlign w:val="center"/>
            <w:hideMark/>
          </w:tcPr>
          <w:p w14:paraId="73B2593D" w14:textId="77777777" w:rsidR="00A351F7" w:rsidRPr="00A351F7" w:rsidRDefault="00A351F7" w:rsidP="00A351F7">
            <w:pPr>
              <w:spacing w:after="0" w:line="240" w:lineRule="auto"/>
              <w:jc w:val="center"/>
              <w:rPr>
                <w:rFonts w:ascii="Times New Roman" w:eastAsia="Times New Roman" w:hAnsi="Times New Roman" w:cs="Times New Roman"/>
                <w:color w:val="000000"/>
                <w:kern w:val="0"/>
                <w:szCs w:val="24"/>
                <w:lang w:eastAsia="en-IN"/>
                <w14:ligatures w14:val="none"/>
              </w:rPr>
            </w:pPr>
            <w:r w:rsidRPr="00A351F7">
              <w:rPr>
                <w:rFonts w:ascii="Times New Roman" w:eastAsia="Times New Roman" w:hAnsi="Times New Roman" w:cs="Times New Roman"/>
                <w:color w:val="000000"/>
                <w:kern w:val="0"/>
                <w:szCs w:val="24"/>
                <w:lang w:eastAsia="en-IN"/>
                <w14:ligatures w14:val="none"/>
              </w:rPr>
              <w:t>31.28</w:t>
            </w:r>
          </w:p>
        </w:tc>
      </w:tr>
      <w:tr w:rsidR="00A351F7" w:rsidRPr="00A351F7" w14:paraId="5EA46256" w14:textId="77777777" w:rsidTr="00A351F7">
        <w:trPr>
          <w:trHeight w:val="309"/>
        </w:trPr>
        <w:tc>
          <w:tcPr>
            <w:tcW w:w="1403" w:type="dxa"/>
            <w:tcBorders>
              <w:top w:val="nil"/>
              <w:left w:val="single" w:sz="4" w:space="0" w:color="auto"/>
              <w:bottom w:val="single" w:sz="4" w:space="0" w:color="auto"/>
              <w:right w:val="single" w:sz="4" w:space="0" w:color="auto"/>
            </w:tcBorders>
            <w:vAlign w:val="center"/>
            <w:hideMark/>
          </w:tcPr>
          <w:p w14:paraId="23B0E854" w14:textId="77777777" w:rsidR="00A351F7" w:rsidRPr="00A351F7" w:rsidRDefault="00A351F7" w:rsidP="00A351F7">
            <w:pPr>
              <w:spacing w:after="0" w:line="240" w:lineRule="auto"/>
              <w:rPr>
                <w:rFonts w:ascii="Times New Roman" w:eastAsia="Times New Roman" w:hAnsi="Times New Roman" w:cs="Times New Roman"/>
                <w:color w:val="000000"/>
                <w:kern w:val="0"/>
                <w:szCs w:val="24"/>
                <w:lang w:eastAsia="en-IN"/>
                <w14:ligatures w14:val="none"/>
              </w:rPr>
            </w:pPr>
            <w:r w:rsidRPr="00A351F7">
              <w:rPr>
                <w:rFonts w:ascii="Times New Roman" w:eastAsia="Times New Roman" w:hAnsi="Times New Roman" w:cs="Times New Roman"/>
                <w:color w:val="000000"/>
                <w:kern w:val="0"/>
                <w:szCs w:val="24"/>
                <w:lang w:eastAsia="en-IN"/>
                <w14:ligatures w14:val="none"/>
              </w:rPr>
              <w:t>Bihar</w:t>
            </w:r>
          </w:p>
        </w:tc>
        <w:tc>
          <w:tcPr>
            <w:tcW w:w="985" w:type="dxa"/>
            <w:tcBorders>
              <w:top w:val="nil"/>
              <w:left w:val="nil"/>
              <w:bottom w:val="single" w:sz="4" w:space="0" w:color="auto"/>
              <w:right w:val="single" w:sz="4" w:space="0" w:color="auto"/>
            </w:tcBorders>
            <w:vAlign w:val="center"/>
            <w:hideMark/>
          </w:tcPr>
          <w:p w14:paraId="54CD949D" w14:textId="77777777" w:rsidR="00A351F7" w:rsidRPr="00A351F7" w:rsidRDefault="00A351F7" w:rsidP="00A351F7">
            <w:pPr>
              <w:spacing w:after="0" w:line="240" w:lineRule="auto"/>
              <w:jc w:val="center"/>
              <w:rPr>
                <w:rFonts w:ascii="Times New Roman" w:eastAsia="Times New Roman" w:hAnsi="Times New Roman" w:cs="Times New Roman"/>
                <w:color w:val="000000"/>
                <w:kern w:val="0"/>
                <w:szCs w:val="24"/>
                <w:lang w:eastAsia="en-IN"/>
                <w14:ligatures w14:val="none"/>
              </w:rPr>
            </w:pPr>
            <w:r w:rsidRPr="00A351F7">
              <w:rPr>
                <w:rFonts w:ascii="Times New Roman" w:eastAsia="Times New Roman" w:hAnsi="Times New Roman" w:cs="Times New Roman"/>
                <w:color w:val="000000"/>
                <w:kern w:val="0"/>
                <w:szCs w:val="24"/>
                <w:lang w:eastAsia="en-IN"/>
                <w14:ligatures w14:val="none"/>
              </w:rPr>
              <w:t>35.57</w:t>
            </w:r>
          </w:p>
        </w:tc>
        <w:tc>
          <w:tcPr>
            <w:tcW w:w="994" w:type="dxa"/>
            <w:tcBorders>
              <w:top w:val="nil"/>
              <w:left w:val="nil"/>
              <w:bottom w:val="single" w:sz="4" w:space="0" w:color="auto"/>
              <w:right w:val="single" w:sz="4" w:space="0" w:color="auto"/>
            </w:tcBorders>
            <w:vAlign w:val="center"/>
            <w:hideMark/>
          </w:tcPr>
          <w:p w14:paraId="6DCB2A6B" w14:textId="77777777" w:rsidR="00A351F7" w:rsidRPr="00A351F7" w:rsidRDefault="00A351F7" w:rsidP="00A351F7">
            <w:pPr>
              <w:spacing w:after="0" w:line="240" w:lineRule="auto"/>
              <w:jc w:val="center"/>
              <w:rPr>
                <w:rFonts w:ascii="Times New Roman" w:eastAsia="Times New Roman" w:hAnsi="Times New Roman" w:cs="Times New Roman"/>
                <w:color w:val="000000"/>
                <w:kern w:val="0"/>
                <w:szCs w:val="24"/>
                <w:lang w:eastAsia="en-IN"/>
                <w14:ligatures w14:val="none"/>
              </w:rPr>
            </w:pPr>
            <w:r w:rsidRPr="00A351F7">
              <w:rPr>
                <w:rFonts w:ascii="Times New Roman" w:eastAsia="Times New Roman" w:hAnsi="Times New Roman" w:cs="Times New Roman"/>
                <w:color w:val="000000"/>
                <w:kern w:val="0"/>
                <w:szCs w:val="24"/>
                <w:lang w:eastAsia="en-IN"/>
                <w14:ligatures w14:val="none"/>
              </w:rPr>
              <w:t>..</w:t>
            </w:r>
          </w:p>
        </w:tc>
        <w:tc>
          <w:tcPr>
            <w:tcW w:w="975" w:type="dxa"/>
            <w:tcBorders>
              <w:top w:val="nil"/>
              <w:left w:val="nil"/>
              <w:bottom w:val="single" w:sz="4" w:space="0" w:color="auto"/>
              <w:right w:val="single" w:sz="4" w:space="0" w:color="auto"/>
            </w:tcBorders>
            <w:vAlign w:val="center"/>
            <w:hideMark/>
          </w:tcPr>
          <w:p w14:paraId="26272D7B" w14:textId="77777777" w:rsidR="00A351F7" w:rsidRPr="00A351F7" w:rsidRDefault="00A351F7" w:rsidP="00A351F7">
            <w:pPr>
              <w:spacing w:after="0" w:line="240" w:lineRule="auto"/>
              <w:jc w:val="center"/>
              <w:rPr>
                <w:rFonts w:ascii="Times New Roman" w:eastAsia="Times New Roman" w:hAnsi="Times New Roman" w:cs="Times New Roman"/>
                <w:color w:val="000000"/>
                <w:kern w:val="0"/>
                <w:szCs w:val="24"/>
                <w:lang w:eastAsia="en-IN"/>
                <w14:ligatures w14:val="none"/>
              </w:rPr>
            </w:pPr>
            <w:r w:rsidRPr="00A351F7">
              <w:rPr>
                <w:rFonts w:ascii="Times New Roman" w:eastAsia="Times New Roman" w:hAnsi="Times New Roman" w:cs="Times New Roman"/>
                <w:color w:val="000000"/>
                <w:kern w:val="0"/>
                <w:szCs w:val="24"/>
                <w:lang w:eastAsia="en-IN"/>
                <w14:ligatures w14:val="none"/>
              </w:rPr>
              <w:t>35.57</w:t>
            </w:r>
          </w:p>
        </w:tc>
        <w:tc>
          <w:tcPr>
            <w:tcW w:w="986" w:type="dxa"/>
            <w:tcBorders>
              <w:top w:val="nil"/>
              <w:left w:val="nil"/>
              <w:bottom w:val="single" w:sz="4" w:space="0" w:color="auto"/>
              <w:right w:val="single" w:sz="4" w:space="0" w:color="auto"/>
            </w:tcBorders>
            <w:vAlign w:val="center"/>
            <w:hideMark/>
          </w:tcPr>
          <w:p w14:paraId="48087CA8" w14:textId="77777777" w:rsidR="00A351F7" w:rsidRPr="00A351F7" w:rsidRDefault="00A351F7" w:rsidP="00A351F7">
            <w:pPr>
              <w:spacing w:after="0" w:line="240" w:lineRule="auto"/>
              <w:jc w:val="center"/>
              <w:rPr>
                <w:rFonts w:ascii="Times New Roman" w:eastAsia="Times New Roman" w:hAnsi="Times New Roman" w:cs="Times New Roman"/>
                <w:color w:val="000000"/>
                <w:kern w:val="0"/>
                <w:szCs w:val="24"/>
                <w:lang w:eastAsia="en-IN"/>
                <w14:ligatures w14:val="none"/>
              </w:rPr>
            </w:pPr>
            <w:r w:rsidRPr="00A351F7">
              <w:rPr>
                <w:rFonts w:ascii="Times New Roman" w:eastAsia="Times New Roman" w:hAnsi="Times New Roman" w:cs="Times New Roman"/>
                <w:color w:val="000000"/>
                <w:kern w:val="0"/>
                <w:szCs w:val="24"/>
                <w:lang w:eastAsia="en-IN"/>
                <w14:ligatures w14:val="none"/>
              </w:rPr>
              <w:t>38.7</w:t>
            </w:r>
          </w:p>
        </w:tc>
        <w:tc>
          <w:tcPr>
            <w:tcW w:w="994" w:type="dxa"/>
            <w:tcBorders>
              <w:top w:val="nil"/>
              <w:left w:val="nil"/>
              <w:bottom w:val="single" w:sz="4" w:space="0" w:color="auto"/>
              <w:right w:val="single" w:sz="4" w:space="0" w:color="auto"/>
            </w:tcBorders>
            <w:vAlign w:val="center"/>
            <w:hideMark/>
          </w:tcPr>
          <w:p w14:paraId="08A322FC" w14:textId="77777777" w:rsidR="00A351F7" w:rsidRPr="00A351F7" w:rsidRDefault="00A351F7" w:rsidP="00A351F7">
            <w:pPr>
              <w:spacing w:after="0" w:line="240" w:lineRule="auto"/>
              <w:jc w:val="center"/>
              <w:rPr>
                <w:rFonts w:ascii="Times New Roman" w:eastAsia="Times New Roman" w:hAnsi="Times New Roman" w:cs="Times New Roman"/>
                <w:color w:val="000000"/>
                <w:kern w:val="0"/>
                <w:szCs w:val="24"/>
                <w:lang w:eastAsia="en-IN"/>
                <w14:ligatures w14:val="none"/>
              </w:rPr>
            </w:pPr>
            <w:r w:rsidRPr="00A351F7">
              <w:rPr>
                <w:rFonts w:ascii="Times New Roman" w:eastAsia="Times New Roman" w:hAnsi="Times New Roman" w:cs="Times New Roman"/>
                <w:color w:val="000000"/>
                <w:kern w:val="0"/>
                <w:szCs w:val="24"/>
                <w:lang w:eastAsia="en-IN"/>
                <w14:ligatures w14:val="none"/>
              </w:rPr>
              <w:t>..</w:t>
            </w:r>
          </w:p>
        </w:tc>
        <w:tc>
          <w:tcPr>
            <w:tcW w:w="939" w:type="dxa"/>
            <w:tcBorders>
              <w:top w:val="nil"/>
              <w:left w:val="nil"/>
              <w:bottom w:val="single" w:sz="4" w:space="0" w:color="auto"/>
              <w:right w:val="single" w:sz="4" w:space="0" w:color="auto"/>
            </w:tcBorders>
            <w:vAlign w:val="center"/>
            <w:hideMark/>
          </w:tcPr>
          <w:p w14:paraId="7581CAE0" w14:textId="77777777" w:rsidR="00A351F7" w:rsidRPr="00A351F7" w:rsidRDefault="00A351F7" w:rsidP="00A351F7">
            <w:pPr>
              <w:spacing w:after="0" w:line="240" w:lineRule="auto"/>
              <w:jc w:val="center"/>
              <w:rPr>
                <w:rFonts w:ascii="Times New Roman" w:eastAsia="Times New Roman" w:hAnsi="Times New Roman" w:cs="Times New Roman"/>
                <w:color w:val="000000"/>
                <w:kern w:val="0"/>
                <w:szCs w:val="24"/>
                <w:lang w:eastAsia="en-IN"/>
                <w14:ligatures w14:val="none"/>
              </w:rPr>
            </w:pPr>
            <w:r w:rsidRPr="00A351F7">
              <w:rPr>
                <w:rFonts w:ascii="Times New Roman" w:eastAsia="Times New Roman" w:hAnsi="Times New Roman" w:cs="Times New Roman"/>
                <w:color w:val="000000"/>
                <w:kern w:val="0"/>
                <w:szCs w:val="24"/>
                <w:lang w:eastAsia="en-IN"/>
                <w14:ligatures w14:val="none"/>
              </w:rPr>
              <w:t>38.7</w:t>
            </w:r>
          </w:p>
        </w:tc>
        <w:tc>
          <w:tcPr>
            <w:tcW w:w="986" w:type="dxa"/>
            <w:tcBorders>
              <w:top w:val="nil"/>
              <w:left w:val="nil"/>
              <w:bottom w:val="single" w:sz="4" w:space="0" w:color="auto"/>
              <w:right w:val="single" w:sz="4" w:space="0" w:color="auto"/>
            </w:tcBorders>
            <w:vAlign w:val="center"/>
            <w:hideMark/>
          </w:tcPr>
          <w:p w14:paraId="0F50EF76" w14:textId="77777777" w:rsidR="00A351F7" w:rsidRPr="00A351F7" w:rsidRDefault="00A351F7" w:rsidP="00A351F7">
            <w:pPr>
              <w:spacing w:after="0" w:line="240" w:lineRule="auto"/>
              <w:jc w:val="center"/>
              <w:rPr>
                <w:rFonts w:ascii="Times New Roman" w:eastAsia="Times New Roman" w:hAnsi="Times New Roman" w:cs="Times New Roman"/>
                <w:color w:val="000000"/>
                <w:kern w:val="0"/>
                <w:szCs w:val="24"/>
                <w:lang w:eastAsia="en-IN"/>
                <w14:ligatures w14:val="none"/>
              </w:rPr>
            </w:pPr>
            <w:r w:rsidRPr="00A351F7">
              <w:rPr>
                <w:rFonts w:ascii="Times New Roman" w:eastAsia="Times New Roman" w:hAnsi="Times New Roman" w:cs="Times New Roman"/>
                <w:color w:val="000000"/>
                <w:kern w:val="0"/>
                <w:szCs w:val="24"/>
                <w:lang w:eastAsia="en-IN"/>
                <w14:ligatures w14:val="none"/>
              </w:rPr>
              <w:t>46.34</w:t>
            </w:r>
          </w:p>
        </w:tc>
        <w:tc>
          <w:tcPr>
            <w:tcW w:w="994" w:type="dxa"/>
            <w:tcBorders>
              <w:top w:val="nil"/>
              <w:left w:val="nil"/>
              <w:bottom w:val="single" w:sz="4" w:space="0" w:color="auto"/>
              <w:right w:val="single" w:sz="4" w:space="0" w:color="auto"/>
            </w:tcBorders>
            <w:vAlign w:val="center"/>
            <w:hideMark/>
          </w:tcPr>
          <w:p w14:paraId="2EFF2D8D" w14:textId="77777777" w:rsidR="00A351F7" w:rsidRPr="00A351F7" w:rsidRDefault="00A351F7" w:rsidP="00A351F7">
            <w:pPr>
              <w:spacing w:after="0" w:line="240" w:lineRule="auto"/>
              <w:jc w:val="center"/>
              <w:rPr>
                <w:rFonts w:ascii="Times New Roman" w:eastAsia="Times New Roman" w:hAnsi="Times New Roman" w:cs="Times New Roman"/>
                <w:color w:val="000000"/>
                <w:kern w:val="0"/>
                <w:szCs w:val="24"/>
                <w:lang w:eastAsia="en-IN"/>
                <w14:ligatures w14:val="none"/>
              </w:rPr>
            </w:pPr>
            <w:r w:rsidRPr="00A351F7">
              <w:rPr>
                <w:rFonts w:ascii="Times New Roman" w:eastAsia="Times New Roman" w:hAnsi="Times New Roman" w:cs="Times New Roman"/>
                <w:color w:val="000000"/>
                <w:kern w:val="0"/>
                <w:szCs w:val="24"/>
                <w:lang w:eastAsia="en-IN"/>
                <w14:ligatures w14:val="none"/>
              </w:rPr>
              <w:t>..</w:t>
            </w:r>
          </w:p>
        </w:tc>
        <w:tc>
          <w:tcPr>
            <w:tcW w:w="975" w:type="dxa"/>
            <w:tcBorders>
              <w:top w:val="nil"/>
              <w:left w:val="nil"/>
              <w:bottom w:val="single" w:sz="4" w:space="0" w:color="auto"/>
              <w:right w:val="single" w:sz="4" w:space="0" w:color="auto"/>
            </w:tcBorders>
            <w:vAlign w:val="center"/>
            <w:hideMark/>
          </w:tcPr>
          <w:p w14:paraId="0E835018" w14:textId="77777777" w:rsidR="00A351F7" w:rsidRPr="00A351F7" w:rsidRDefault="00A351F7" w:rsidP="00A351F7">
            <w:pPr>
              <w:spacing w:after="0" w:line="240" w:lineRule="auto"/>
              <w:jc w:val="center"/>
              <w:rPr>
                <w:rFonts w:ascii="Times New Roman" w:eastAsia="Times New Roman" w:hAnsi="Times New Roman" w:cs="Times New Roman"/>
                <w:color w:val="000000"/>
                <w:kern w:val="0"/>
                <w:szCs w:val="24"/>
                <w:lang w:eastAsia="en-IN"/>
                <w14:ligatures w14:val="none"/>
              </w:rPr>
            </w:pPr>
            <w:r w:rsidRPr="00A351F7">
              <w:rPr>
                <w:rFonts w:ascii="Times New Roman" w:eastAsia="Times New Roman" w:hAnsi="Times New Roman" w:cs="Times New Roman"/>
                <w:color w:val="000000"/>
                <w:kern w:val="0"/>
                <w:szCs w:val="24"/>
                <w:lang w:eastAsia="en-IN"/>
                <w14:ligatures w14:val="none"/>
              </w:rPr>
              <w:t>46.34</w:t>
            </w:r>
          </w:p>
        </w:tc>
      </w:tr>
      <w:tr w:rsidR="00A351F7" w:rsidRPr="00A351F7" w14:paraId="238E0B66" w14:textId="77777777" w:rsidTr="00A351F7">
        <w:trPr>
          <w:trHeight w:val="309"/>
        </w:trPr>
        <w:tc>
          <w:tcPr>
            <w:tcW w:w="1403" w:type="dxa"/>
            <w:tcBorders>
              <w:top w:val="nil"/>
              <w:left w:val="single" w:sz="4" w:space="0" w:color="auto"/>
              <w:bottom w:val="single" w:sz="4" w:space="0" w:color="auto"/>
              <w:right w:val="single" w:sz="4" w:space="0" w:color="auto"/>
            </w:tcBorders>
            <w:vAlign w:val="center"/>
            <w:hideMark/>
          </w:tcPr>
          <w:p w14:paraId="635D713B" w14:textId="77777777" w:rsidR="00A351F7" w:rsidRPr="00A351F7" w:rsidRDefault="00A351F7" w:rsidP="00A351F7">
            <w:pPr>
              <w:spacing w:after="0" w:line="240" w:lineRule="auto"/>
              <w:rPr>
                <w:rFonts w:ascii="Times New Roman" w:eastAsia="Times New Roman" w:hAnsi="Times New Roman" w:cs="Times New Roman"/>
                <w:color w:val="000000"/>
                <w:kern w:val="0"/>
                <w:szCs w:val="24"/>
                <w:lang w:eastAsia="en-IN"/>
                <w14:ligatures w14:val="none"/>
              </w:rPr>
            </w:pPr>
            <w:r w:rsidRPr="00A351F7">
              <w:rPr>
                <w:rFonts w:ascii="Times New Roman" w:eastAsia="Times New Roman" w:hAnsi="Times New Roman" w:cs="Times New Roman"/>
                <w:color w:val="000000"/>
                <w:kern w:val="0"/>
                <w:szCs w:val="24"/>
                <w:lang w:eastAsia="en-IN"/>
                <w14:ligatures w14:val="none"/>
              </w:rPr>
              <w:t>Gujarat</w:t>
            </w:r>
          </w:p>
        </w:tc>
        <w:tc>
          <w:tcPr>
            <w:tcW w:w="985" w:type="dxa"/>
            <w:tcBorders>
              <w:top w:val="nil"/>
              <w:left w:val="nil"/>
              <w:bottom w:val="single" w:sz="4" w:space="0" w:color="auto"/>
              <w:right w:val="single" w:sz="4" w:space="0" w:color="auto"/>
            </w:tcBorders>
            <w:vAlign w:val="center"/>
            <w:hideMark/>
          </w:tcPr>
          <w:p w14:paraId="12CDC52B" w14:textId="77777777" w:rsidR="00A351F7" w:rsidRPr="00A351F7" w:rsidRDefault="00A351F7" w:rsidP="00A351F7">
            <w:pPr>
              <w:spacing w:after="0" w:line="240" w:lineRule="auto"/>
              <w:jc w:val="center"/>
              <w:rPr>
                <w:rFonts w:ascii="Times New Roman" w:eastAsia="Times New Roman" w:hAnsi="Times New Roman" w:cs="Times New Roman"/>
                <w:color w:val="000000"/>
                <w:kern w:val="0"/>
                <w:szCs w:val="24"/>
                <w:lang w:eastAsia="en-IN"/>
                <w14:ligatures w14:val="none"/>
              </w:rPr>
            </w:pPr>
            <w:r w:rsidRPr="00A351F7">
              <w:rPr>
                <w:rFonts w:ascii="Times New Roman" w:eastAsia="Times New Roman" w:hAnsi="Times New Roman" w:cs="Times New Roman"/>
                <w:color w:val="000000"/>
                <w:kern w:val="0"/>
                <w:szCs w:val="24"/>
                <w:lang w:eastAsia="en-IN"/>
                <w14:ligatures w14:val="none"/>
              </w:rPr>
              <w:t>21.8</w:t>
            </w:r>
          </w:p>
        </w:tc>
        <w:tc>
          <w:tcPr>
            <w:tcW w:w="994" w:type="dxa"/>
            <w:tcBorders>
              <w:top w:val="nil"/>
              <w:left w:val="nil"/>
              <w:bottom w:val="single" w:sz="4" w:space="0" w:color="auto"/>
              <w:right w:val="single" w:sz="4" w:space="0" w:color="auto"/>
            </w:tcBorders>
            <w:vAlign w:val="center"/>
            <w:hideMark/>
          </w:tcPr>
          <w:p w14:paraId="7B11C933" w14:textId="77777777" w:rsidR="00A351F7" w:rsidRPr="00A351F7" w:rsidRDefault="00A351F7" w:rsidP="00A351F7">
            <w:pPr>
              <w:spacing w:after="0" w:line="240" w:lineRule="auto"/>
              <w:jc w:val="center"/>
              <w:rPr>
                <w:rFonts w:ascii="Times New Roman" w:eastAsia="Times New Roman" w:hAnsi="Times New Roman" w:cs="Times New Roman"/>
                <w:color w:val="000000"/>
                <w:kern w:val="0"/>
                <w:szCs w:val="24"/>
                <w:lang w:eastAsia="en-IN"/>
                <w14:ligatures w14:val="none"/>
              </w:rPr>
            </w:pPr>
            <w:r w:rsidRPr="00A351F7">
              <w:rPr>
                <w:rFonts w:ascii="Times New Roman" w:eastAsia="Times New Roman" w:hAnsi="Times New Roman" w:cs="Times New Roman"/>
                <w:color w:val="000000"/>
                <w:kern w:val="0"/>
                <w:szCs w:val="24"/>
                <w:lang w:eastAsia="en-IN"/>
                <w14:ligatures w14:val="none"/>
              </w:rPr>
              <w:t>..</w:t>
            </w:r>
          </w:p>
        </w:tc>
        <w:tc>
          <w:tcPr>
            <w:tcW w:w="975" w:type="dxa"/>
            <w:tcBorders>
              <w:top w:val="nil"/>
              <w:left w:val="nil"/>
              <w:bottom w:val="single" w:sz="4" w:space="0" w:color="auto"/>
              <w:right w:val="single" w:sz="4" w:space="0" w:color="auto"/>
            </w:tcBorders>
            <w:vAlign w:val="center"/>
            <w:hideMark/>
          </w:tcPr>
          <w:p w14:paraId="7460ADC6" w14:textId="77777777" w:rsidR="00A351F7" w:rsidRPr="00A351F7" w:rsidRDefault="00A351F7" w:rsidP="00A351F7">
            <w:pPr>
              <w:spacing w:after="0" w:line="240" w:lineRule="auto"/>
              <w:jc w:val="center"/>
              <w:rPr>
                <w:rFonts w:ascii="Times New Roman" w:eastAsia="Times New Roman" w:hAnsi="Times New Roman" w:cs="Times New Roman"/>
                <w:color w:val="000000"/>
                <w:kern w:val="0"/>
                <w:szCs w:val="24"/>
                <w:lang w:eastAsia="en-IN"/>
                <w14:ligatures w14:val="none"/>
              </w:rPr>
            </w:pPr>
            <w:r w:rsidRPr="00A351F7">
              <w:rPr>
                <w:rFonts w:ascii="Times New Roman" w:eastAsia="Times New Roman" w:hAnsi="Times New Roman" w:cs="Times New Roman"/>
                <w:color w:val="000000"/>
                <w:kern w:val="0"/>
                <w:szCs w:val="24"/>
                <w:lang w:eastAsia="en-IN"/>
                <w14:ligatures w14:val="none"/>
              </w:rPr>
              <w:t>21.8</w:t>
            </w:r>
          </w:p>
        </w:tc>
        <w:tc>
          <w:tcPr>
            <w:tcW w:w="986" w:type="dxa"/>
            <w:tcBorders>
              <w:top w:val="nil"/>
              <w:left w:val="nil"/>
              <w:bottom w:val="single" w:sz="4" w:space="0" w:color="auto"/>
              <w:right w:val="single" w:sz="4" w:space="0" w:color="auto"/>
            </w:tcBorders>
            <w:vAlign w:val="center"/>
            <w:hideMark/>
          </w:tcPr>
          <w:p w14:paraId="3BF775B3" w14:textId="77777777" w:rsidR="00A351F7" w:rsidRPr="00A351F7" w:rsidRDefault="00A351F7" w:rsidP="00A351F7">
            <w:pPr>
              <w:spacing w:after="0" w:line="240" w:lineRule="auto"/>
              <w:jc w:val="center"/>
              <w:rPr>
                <w:rFonts w:ascii="Times New Roman" w:eastAsia="Times New Roman" w:hAnsi="Times New Roman" w:cs="Times New Roman"/>
                <w:color w:val="000000"/>
                <w:kern w:val="0"/>
                <w:szCs w:val="24"/>
                <w:lang w:eastAsia="en-IN"/>
                <w14:ligatures w14:val="none"/>
              </w:rPr>
            </w:pPr>
            <w:r w:rsidRPr="00A351F7">
              <w:rPr>
                <w:rFonts w:ascii="Times New Roman" w:eastAsia="Times New Roman" w:hAnsi="Times New Roman" w:cs="Times New Roman"/>
                <w:color w:val="000000"/>
                <w:kern w:val="0"/>
                <w:szCs w:val="24"/>
                <w:lang w:eastAsia="en-IN"/>
                <w14:ligatures w14:val="none"/>
              </w:rPr>
              <w:t>23.86</w:t>
            </w:r>
          </w:p>
        </w:tc>
        <w:tc>
          <w:tcPr>
            <w:tcW w:w="994" w:type="dxa"/>
            <w:tcBorders>
              <w:top w:val="nil"/>
              <w:left w:val="nil"/>
              <w:bottom w:val="single" w:sz="4" w:space="0" w:color="auto"/>
              <w:right w:val="single" w:sz="4" w:space="0" w:color="auto"/>
            </w:tcBorders>
            <w:vAlign w:val="center"/>
            <w:hideMark/>
          </w:tcPr>
          <w:p w14:paraId="1F6B15BE" w14:textId="77777777" w:rsidR="00A351F7" w:rsidRPr="00A351F7" w:rsidRDefault="00A351F7" w:rsidP="00A351F7">
            <w:pPr>
              <w:spacing w:after="0" w:line="240" w:lineRule="auto"/>
              <w:jc w:val="center"/>
              <w:rPr>
                <w:rFonts w:ascii="Times New Roman" w:eastAsia="Times New Roman" w:hAnsi="Times New Roman" w:cs="Times New Roman"/>
                <w:color w:val="000000"/>
                <w:kern w:val="0"/>
                <w:szCs w:val="24"/>
                <w:lang w:eastAsia="en-IN"/>
                <w14:ligatures w14:val="none"/>
              </w:rPr>
            </w:pPr>
            <w:r w:rsidRPr="00A351F7">
              <w:rPr>
                <w:rFonts w:ascii="Times New Roman" w:eastAsia="Times New Roman" w:hAnsi="Times New Roman" w:cs="Times New Roman"/>
                <w:color w:val="000000"/>
                <w:kern w:val="0"/>
                <w:szCs w:val="24"/>
                <w:lang w:eastAsia="en-IN"/>
                <w14:ligatures w14:val="none"/>
              </w:rPr>
              <w:t>..</w:t>
            </w:r>
          </w:p>
        </w:tc>
        <w:tc>
          <w:tcPr>
            <w:tcW w:w="939" w:type="dxa"/>
            <w:tcBorders>
              <w:top w:val="nil"/>
              <w:left w:val="nil"/>
              <w:bottom w:val="single" w:sz="4" w:space="0" w:color="auto"/>
              <w:right w:val="single" w:sz="4" w:space="0" w:color="auto"/>
            </w:tcBorders>
            <w:vAlign w:val="center"/>
            <w:hideMark/>
          </w:tcPr>
          <w:p w14:paraId="6A2DD8F6" w14:textId="77777777" w:rsidR="00A351F7" w:rsidRPr="00A351F7" w:rsidRDefault="00A351F7" w:rsidP="00A351F7">
            <w:pPr>
              <w:spacing w:after="0" w:line="240" w:lineRule="auto"/>
              <w:jc w:val="center"/>
              <w:rPr>
                <w:rFonts w:ascii="Times New Roman" w:eastAsia="Times New Roman" w:hAnsi="Times New Roman" w:cs="Times New Roman"/>
                <w:color w:val="000000"/>
                <w:kern w:val="0"/>
                <w:szCs w:val="24"/>
                <w:lang w:eastAsia="en-IN"/>
                <w14:ligatures w14:val="none"/>
              </w:rPr>
            </w:pPr>
            <w:r w:rsidRPr="00A351F7">
              <w:rPr>
                <w:rFonts w:ascii="Times New Roman" w:eastAsia="Times New Roman" w:hAnsi="Times New Roman" w:cs="Times New Roman"/>
                <w:color w:val="000000"/>
                <w:kern w:val="0"/>
                <w:szCs w:val="24"/>
                <w:lang w:eastAsia="en-IN"/>
                <w14:ligatures w14:val="none"/>
              </w:rPr>
              <w:t>23.86</w:t>
            </w:r>
          </w:p>
        </w:tc>
        <w:tc>
          <w:tcPr>
            <w:tcW w:w="986" w:type="dxa"/>
            <w:tcBorders>
              <w:top w:val="nil"/>
              <w:left w:val="nil"/>
              <w:bottom w:val="single" w:sz="4" w:space="0" w:color="auto"/>
              <w:right w:val="single" w:sz="4" w:space="0" w:color="auto"/>
            </w:tcBorders>
            <w:vAlign w:val="center"/>
            <w:hideMark/>
          </w:tcPr>
          <w:p w14:paraId="7BE94562" w14:textId="77777777" w:rsidR="00A351F7" w:rsidRPr="00A351F7" w:rsidRDefault="00A351F7" w:rsidP="00A351F7">
            <w:pPr>
              <w:spacing w:after="0" w:line="240" w:lineRule="auto"/>
              <w:jc w:val="center"/>
              <w:rPr>
                <w:rFonts w:ascii="Times New Roman" w:eastAsia="Times New Roman" w:hAnsi="Times New Roman" w:cs="Times New Roman"/>
                <w:color w:val="000000"/>
                <w:kern w:val="0"/>
                <w:szCs w:val="24"/>
                <w:lang w:eastAsia="en-IN"/>
                <w14:ligatures w14:val="none"/>
              </w:rPr>
            </w:pPr>
            <w:r w:rsidRPr="00A351F7">
              <w:rPr>
                <w:rFonts w:ascii="Times New Roman" w:eastAsia="Times New Roman" w:hAnsi="Times New Roman" w:cs="Times New Roman"/>
                <w:color w:val="000000"/>
                <w:kern w:val="0"/>
                <w:szCs w:val="24"/>
                <w:lang w:eastAsia="en-IN"/>
                <w14:ligatures w14:val="none"/>
              </w:rPr>
              <w:t>28.11</w:t>
            </w:r>
          </w:p>
        </w:tc>
        <w:tc>
          <w:tcPr>
            <w:tcW w:w="994" w:type="dxa"/>
            <w:tcBorders>
              <w:top w:val="nil"/>
              <w:left w:val="nil"/>
              <w:bottom w:val="single" w:sz="4" w:space="0" w:color="auto"/>
              <w:right w:val="single" w:sz="4" w:space="0" w:color="auto"/>
            </w:tcBorders>
            <w:vAlign w:val="center"/>
            <w:hideMark/>
          </w:tcPr>
          <w:p w14:paraId="3F17AFA5" w14:textId="77777777" w:rsidR="00A351F7" w:rsidRPr="00A351F7" w:rsidRDefault="00A351F7" w:rsidP="00A351F7">
            <w:pPr>
              <w:spacing w:after="0" w:line="240" w:lineRule="auto"/>
              <w:jc w:val="center"/>
              <w:rPr>
                <w:rFonts w:ascii="Times New Roman" w:eastAsia="Times New Roman" w:hAnsi="Times New Roman" w:cs="Times New Roman"/>
                <w:color w:val="000000"/>
                <w:kern w:val="0"/>
                <w:szCs w:val="24"/>
                <w:lang w:eastAsia="en-IN"/>
                <w14:ligatures w14:val="none"/>
              </w:rPr>
            </w:pPr>
            <w:r w:rsidRPr="00A351F7">
              <w:rPr>
                <w:rFonts w:ascii="Times New Roman" w:eastAsia="Times New Roman" w:hAnsi="Times New Roman" w:cs="Times New Roman"/>
                <w:color w:val="000000"/>
                <w:kern w:val="0"/>
                <w:szCs w:val="24"/>
                <w:lang w:eastAsia="en-IN"/>
                <w14:ligatures w14:val="none"/>
              </w:rPr>
              <w:t>..</w:t>
            </w:r>
          </w:p>
        </w:tc>
        <w:tc>
          <w:tcPr>
            <w:tcW w:w="975" w:type="dxa"/>
            <w:tcBorders>
              <w:top w:val="nil"/>
              <w:left w:val="nil"/>
              <w:bottom w:val="single" w:sz="4" w:space="0" w:color="auto"/>
              <w:right w:val="single" w:sz="4" w:space="0" w:color="auto"/>
            </w:tcBorders>
            <w:vAlign w:val="center"/>
            <w:hideMark/>
          </w:tcPr>
          <w:p w14:paraId="0ABA2E47" w14:textId="77777777" w:rsidR="00A351F7" w:rsidRPr="00A351F7" w:rsidRDefault="00A351F7" w:rsidP="00A351F7">
            <w:pPr>
              <w:spacing w:after="0" w:line="240" w:lineRule="auto"/>
              <w:jc w:val="center"/>
              <w:rPr>
                <w:rFonts w:ascii="Times New Roman" w:eastAsia="Times New Roman" w:hAnsi="Times New Roman" w:cs="Times New Roman"/>
                <w:color w:val="000000"/>
                <w:kern w:val="0"/>
                <w:szCs w:val="24"/>
                <w:lang w:eastAsia="en-IN"/>
                <w14:ligatures w14:val="none"/>
              </w:rPr>
            </w:pPr>
            <w:r w:rsidRPr="00A351F7">
              <w:rPr>
                <w:rFonts w:ascii="Times New Roman" w:eastAsia="Times New Roman" w:hAnsi="Times New Roman" w:cs="Times New Roman"/>
                <w:color w:val="000000"/>
                <w:kern w:val="0"/>
                <w:szCs w:val="24"/>
                <w:lang w:eastAsia="en-IN"/>
                <w14:ligatures w14:val="none"/>
              </w:rPr>
              <w:t>28.11</w:t>
            </w:r>
          </w:p>
        </w:tc>
      </w:tr>
      <w:tr w:rsidR="00A351F7" w:rsidRPr="00A351F7" w14:paraId="2A2E0931" w14:textId="77777777" w:rsidTr="00A351F7">
        <w:trPr>
          <w:trHeight w:val="309"/>
        </w:trPr>
        <w:tc>
          <w:tcPr>
            <w:tcW w:w="1403" w:type="dxa"/>
            <w:tcBorders>
              <w:top w:val="nil"/>
              <w:left w:val="single" w:sz="4" w:space="0" w:color="auto"/>
              <w:bottom w:val="single" w:sz="4" w:space="0" w:color="auto"/>
              <w:right w:val="single" w:sz="4" w:space="0" w:color="auto"/>
            </w:tcBorders>
            <w:vAlign w:val="center"/>
            <w:hideMark/>
          </w:tcPr>
          <w:p w14:paraId="1B5804F9" w14:textId="77777777" w:rsidR="00A351F7" w:rsidRPr="00A351F7" w:rsidRDefault="00A351F7" w:rsidP="00A351F7">
            <w:pPr>
              <w:spacing w:after="0" w:line="240" w:lineRule="auto"/>
              <w:rPr>
                <w:rFonts w:ascii="Times New Roman" w:eastAsia="Times New Roman" w:hAnsi="Times New Roman" w:cs="Times New Roman"/>
                <w:color w:val="000000"/>
                <w:kern w:val="0"/>
                <w:szCs w:val="24"/>
                <w:lang w:eastAsia="en-IN"/>
                <w14:ligatures w14:val="none"/>
              </w:rPr>
            </w:pPr>
            <w:r w:rsidRPr="00A351F7">
              <w:rPr>
                <w:rFonts w:ascii="Times New Roman" w:eastAsia="Times New Roman" w:hAnsi="Times New Roman" w:cs="Times New Roman"/>
                <w:color w:val="000000"/>
                <w:kern w:val="0"/>
                <w:szCs w:val="24"/>
                <w:lang w:eastAsia="en-IN"/>
                <w14:ligatures w14:val="none"/>
              </w:rPr>
              <w:t>Haryana</w:t>
            </w:r>
          </w:p>
        </w:tc>
        <w:tc>
          <w:tcPr>
            <w:tcW w:w="985" w:type="dxa"/>
            <w:tcBorders>
              <w:top w:val="nil"/>
              <w:left w:val="nil"/>
              <w:bottom w:val="single" w:sz="4" w:space="0" w:color="auto"/>
              <w:right w:val="single" w:sz="4" w:space="0" w:color="auto"/>
            </w:tcBorders>
            <w:vAlign w:val="center"/>
            <w:hideMark/>
          </w:tcPr>
          <w:p w14:paraId="1AC391C9" w14:textId="77777777" w:rsidR="00A351F7" w:rsidRPr="00A351F7" w:rsidRDefault="00A351F7" w:rsidP="00A351F7">
            <w:pPr>
              <w:spacing w:after="0" w:line="240" w:lineRule="auto"/>
              <w:jc w:val="center"/>
              <w:rPr>
                <w:rFonts w:ascii="Times New Roman" w:eastAsia="Times New Roman" w:hAnsi="Times New Roman" w:cs="Times New Roman"/>
                <w:color w:val="000000"/>
                <w:kern w:val="0"/>
                <w:szCs w:val="24"/>
                <w:lang w:eastAsia="en-IN"/>
                <w14:ligatures w14:val="none"/>
              </w:rPr>
            </w:pPr>
            <w:r w:rsidRPr="00A351F7">
              <w:rPr>
                <w:rFonts w:ascii="Times New Roman" w:eastAsia="Times New Roman" w:hAnsi="Times New Roman" w:cs="Times New Roman"/>
                <w:color w:val="000000"/>
                <w:kern w:val="0"/>
                <w:szCs w:val="24"/>
                <w:lang w:eastAsia="en-IN"/>
                <w14:ligatures w14:val="none"/>
              </w:rPr>
              <w:t>3.97*</w:t>
            </w:r>
          </w:p>
        </w:tc>
        <w:tc>
          <w:tcPr>
            <w:tcW w:w="994" w:type="dxa"/>
            <w:tcBorders>
              <w:top w:val="nil"/>
              <w:left w:val="nil"/>
              <w:bottom w:val="single" w:sz="4" w:space="0" w:color="auto"/>
              <w:right w:val="single" w:sz="4" w:space="0" w:color="auto"/>
            </w:tcBorders>
            <w:vAlign w:val="center"/>
            <w:hideMark/>
          </w:tcPr>
          <w:p w14:paraId="5BBC90E1" w14:textId="77777777" w:rsidR="00A351F7" w:rsidRPr="00A351F7" w:rsidRDefault="00A351F7" w:rsidP="00A351F7">
            <w:pPr>
              <w:spacing w:after="0" w:line="240" w:lineRule="auto"/>
              <w:jc w:val="center"/>
              <w:rPr>
                <w:rFonts w:ascii="Times New Roman" w:eastAsia="Times New Roman" w:hAnsi="Times New Roman" w:cs="Times New Roman"/>
                <w:color w:val="000000"/>
                <w:kern w:val="0"/>
                <w:szCs w:val="24"/>
                <w:lang w:eastAsia="en-IN"/>
                <w14:ligatures w14:val="none"/>
              </w:rPr>
            </w:pPr>
            <w:r w:rsidRPr="00A351F7">
              <w:rPr>
                <w:rFonts w:ascii="Times New Roman" w:eastAsia="Times New Roman" w:hAnsi="Times New Roman" w:cs="Times New Roman"/>
                <w:color w:val="000000"/>
                <w:kern w:val="0"/>
                <w:szCs w:val="24"/>
                <w:lang w:eastAsia="en-IN"/>
                <w14:ligatures w14:val="none"/>
              </w:rPr>
              <w:t>..</w:t>
            </w:r>
          </w:p>
        </w:tc>
        <w:tc>
          <w:tcPr>
            <w:tcW w:w="975" w:type="dxa"/>
            <w:tcBorders>
              <w:top w:val="nil"/>
              <w:left w:val="nil"/>
              <w:bottom w:val="single" w:sz="4" w:space="0" w:color="auto"/>
              <w:right w:val="single" w:sz="4" w:space="0" w:color="auto"/>
            </w:tcBorders>
            <w:vAlign w:val="center"/>
            <w:hideMark/>
          </w:tcPr>
          <w:p w14:paraId="6C0EDECD" w14:textId="77777777" w:rsidR="00A351F7" w:rsidRPr="00A351F7" w:rsidRDefault="00A351F7" w:rsidP="00A351F7">
            <w:pPr>
              <w:spacing w:after="0" w:line="240" w:lineRule="auto"/>
              <w:jc w:val="center"/>
              <w:rPr>
                <w:rFonts w:ascii="Times New Roman" w:eastAsia="Times New Roman" w:hAnsi="Times New Roman" w:cs="Times New Roman"/>
                <w:color w:val="000000"/>
                <w:kern w:val="0"/>
                <w:szCs w:val="24"/>
                <w:lang w:eastAsia="en-IN"/>
                <w14:ligatures w14:val="none"/>
              </w:rPr>
            </w:pPr>
            <w:r w:rsidRPr="00A351F7">
              <w:rPr>
                <w:rFonts w:ascii="Times New Roman" w:eastAsia="Times New Roman" w:hAnsi="Times New Roman" w:cs="Times New Roman"/>
                <w:color w:val="000000"/>
                <w:kern w:val="0"/>
                <w:szCs w:val="24"/>
                <w:lang w:eastAsia="en-IN"/>
                <w14:ligatures w14:val="none"/>
              </w:rPr>
              <w:t>3.97*</w:t>
            </w:r>
          </w:p>
        </w:tc>
        <w:tc>
          <w:tcPr>
            <w:tcW w:w="986" w:type="dxa"/>
            <w:tcBorders>
              <w:top w:val="nil"/>
              <w:left w:val="nil"/>
              <w:bottom w:val="single" w:sz="4" w:space="0" w:color="auto"/>
              <w:right w:val="single" w:sz="4" w:space="0" w:color="auto"/>
            </w:tcBorders>
            <w:vAlign w:val="center"/>
            <w:hideMark/>
          </w:tcPr>
          <w:p w14:paraId="1186613A" w14:textId="77777777" w:rsidR="00A351F7" w:rsidRPr="00A351F7" w:rsidRDefault="00A351F7" w:rsidP="00A351F7">
            <w:pPr>
              <w:spacing w:after="0" w:line="240" w:lineRule="auto"/>
              <w:jc w:val="center"/>
              <w:rPr>
                <w:rFonts w:ascii="Times New Roman" w:eastAsia="Times New Roman" w:hAnsi="Times New Roman" w:cs="Times New Roman"/>
                <w:color w:val="000000"/>
                <w:kern w:val="0"/>
                <w:szCs w:val="24"/>
                <w:lang w:eastAsia="en-IN"/>
                <w14:ligatures w14:val="none"/>
              </w:rPr>
            </w:pPr>
            <w:r w:rsidRPr="00A351F7">
              <w:rPr>
                <w:rFonts w:ascii="Times New Roman" w:eastAsia="Times New Roman" w:hAnsi="Times New Roman" w:cs="Times New Roman"/>
                <w:color w:val="000000"/>
                <w:kern w:val="0"/>
                <w:szCs w:val="24"/>
                <w:lang w:eastAsia="en-IN"/>
                <w14:ligatures w14:val="none"/>
              </w:rPr>
              <w:t>7.67</w:t>
            </w:r>
          </w:p>
        </w:tc>
        <w:tc>
          <w:tcPr>
            <w:tcW w:w="994" w:type="dxa"/>
            <w:tcBorders>
              <w:top w:val="nil"/>
              <w:left w:val="nil"/>
              <w:bottom w:val="single" w:sz="4" w:space="0" w:color="auto"/>
              <w:right w:val="single" w:sz="4" w:space="0" w:color="auto"/>
            </w:tcBorders>
            <w:vAlign w:val="center"/>
            <w:hideMark/>
          </w:tcPr>
          <w:p w14:paraId="6B4CA032" w14:textId="77777777" w:rsidR="00A351F7" w:rsidRPr="00A351F7" w:rsidRDefault="00A351F7" w:rsidP="00A351F7">
            <w:pPr>
              <w:spacing w:after="0" w:line="240" w:lineRule="auto"/>
              <w:jc w:val="center"/>
              <w:rPr>
                <w:rFonts w:ascii="Times New Roman" w:eastAsia="Times New Roman" w:hAnsi="Times New Roman" w:cs="Times New Roman"/>
                <w:color w:val="000000"/>
                <w:kern w:val="0"/>
                <w:szCs w:val="24"/>
                <w:lang w:eastAsia="en-IN"/>
                <w14:ligatures w14:val="none"/>
              </w:rPr>
            </w:pPr>
            <w:r w:rsidRPr="00A351F7">
              <w:rPr>
                <w:rFonts w:ascii="Times New Roman" w:eastAsia="Times New Roman" w:hAnsi="Times New Roman" w:cs="Times New Roman"/>
                <w:color w:val="000000"/>
                <w:kern w:val="0"/>
                <w:szCs w:val="24"/>
                <w:lang w:eastAsia="en-IN"/>
                <w14:ligatures w14:val="none"/>
              </w:rPr>
              <w:t>..</w:t>
            </w:r>
          </w:p>
        </w:tc>
        <w:tc>
          <w:tcPr>
            <w:tcW w:w="939" w:type="dxa"/>
            <w:tcBorders>
              <w:top w:val="nil"/>
              <w:left w:val="nil"/>
              <w:bottom w:val="single" w:sz="4" w:space="0" w:color="auto"/>
              <w:right w:val="single" w:sz="4" w:space="0" w:color="auto"/>
            </w:tcBorders>
            <w:vAlign w:val="center"/>
            <w:hideMark/>
          </w:tcPr>
          <w:p w14:paraId="75AA8BDB" w14:textId="77777777" w:rsidR="00A351F7" w:rsidRPr="00A351F7" w:rsidRDefault="00A351F7" w:rsidP="00A351F7">
            <w:pPr>
              <w:spacing w:after="0" w:line="240" w:lineRule="auto"/>
              <w:jc w:val="center"/>
              <w:rPr>
                <w:rFonts w:ascii="Times New Roman" w:eastAsia="Times New Roman" w:hAnsi="Times New Roman" w:cs="Times New Roman"/>
                <w:color w:val="000000"/>
                <w:kern w:val="0"/>
                <w:szCs w:val="24"/>
                <w:lang w:eastAsia="en-IN"/>
                <w14:ligatures w14:val="none"/>
              </w:rPr>
            </w:pPr>
            <w:r w:rsidRPr="00A351F7">
              <w:rPr>
                <w:rFonts w:ascii="Times New Roman" w:eastAsia="Times New Roman" w:hAnsi="Times New Roman" w:cs="Times New Roman"/>
                <w:color w:val="000000"/>
                <w:kern w:val="0"/>
                <w:szCs w:val="24"/>
                <w:lang w:eastAsia="en-IN"/>
                <w14:ligatures w14:val="none"/>
              </w:rPr>
              <w:t>7.67</w:t>
            </w:r>
          </w:p>
        </w:tc>
        <w:tc>
          <w:tcPr>
            <w:tcW w:w="986" w:type="dxa"/>
            <w:tcBorders>
              <w:top w:val="nil"/>
              <w:left w:val="nil"/>
              <w:bottom w:val="single" w:sz="4" w:space="0" w:color="auto"/>
              <w:right w:val="single" w:sz="4" w:space="0" w:color="auto"/>
            </w:tcBorders>
            <w:vAlign w:val="center"/>
            <w:hideMark/>
          </w:tcPr>
          <w:p w14:paraId="2AC44DC4" w14:textId="77777777" w:rsidR="00A351F7" w:rsidRPr="00A351F7" w:rsidRDefault="00A351F7" w:rsidP="00A351F7">
            <w:pPr>
              <w:spacing w:after="0" w:line="240" w:lineRule="auto"/>
              <w:jc w:val="center"/>
              <w:rPr>
                <w:rFonts w:ascii="Times New Roman" w:eastAsia="Times New Roman" w:hAnsi="Times New Roman" w:cs="Times New Roman"/>
                <w:color w:val="000000"/>
                <w:kern w:val="0"/>
                <w:szCs w:val="24"/>
                <w:lang w:eastAsia="en-IN"/>
                <w14:ligatures w14:val="none"/>
              </w:rPr>
            </w:pPr>
            <w:r w:rsidRPr="00A351F7">
              <w:rPr>
                <w:rFonts w:ascii="Times New Roman" w:eastAsia="Times New Roman" w:hAnsi="Times New Roman" w:cs="Times New Roman"/>
                <w:color w:val="000000"/>
                <w:kern w:val="0"/>
                <w:szCs w:val="24"/>
                <w:lang w:eastAsia="en-IN"/>
                <w14:ligatures w14:val="none"/>
              </w:rPr>
              <w:t>9.13</w:t>
            </w:r>
          </w:p>
        </w:tc>
        <w:tc>
          <w:tcPr>
            <w:tcW w:w="994" w:type="dxa"/>
            <w:tcBorders>
              <w:top w:val="nil"/>
              <w:left w:val="nil"/>
              <w:bottom w:val="single" w:sz="4" w:space="0" w:color="auto"/>
              <w:right w:val="single" w:sz="4" w:space="0" w:color="auto"/>
            </w:tcBorders>
            <w:vAlign w:val="center"/>
            <w:hideMark/>
          </w:tcPr>
          <w:p w14:paraId="47E81FC2" w14:textId="77777777" w:rsidR="00A351F7" w:rsidRPr="00A351F7" w:rsidRDefault="00A351F7" w:rsidP="00A351F7">
            <w:pPr>
              <w:spacing w:after="0" w:line="240" w:lineRule="auto"/>
              <w:jc w:val="center"/>
              <w:rPr>
                <w:rFonts w:ascii="Times New Roman" w:eastAsia="Times New Roman" w:hAnsi="Times New Roman" w:cs="Times New Roman"/>
                <w:color w:val="000000"/>
                <w:kern w:val="0"/>
                <w:szCs w:val="24"/>
                <w:lang w:eastAsia="en-IN"/>
                <w14:ligatures w14:val="none"/>
              </w:rPr>
            </w:pPr>
            <w:r w:rsidRPr="00A351F7">
              <w:rPr>
                <w:rFonts w:ascii="Times New Roman" w:eastAsia="Times New Roman" w:hAnsi="Times New Roman" w:cs="Times New Roman"/>
                <w:color w:val="000000"/>
                <w:kern w:val="0"/>
                <w:szCs w:val="24"/>
                <w:lang w:eastAsia="en-IN"/>
                <w14:ligatures w14:val="none"/>
              </w:rPr>
              <w:t>..</w:t>
            </w:r>
          </w:p>
        </w:tc>
        <w:tc>
          <w:tcPr>
            <w:tcW w:w="975" w:type="dxa"/>
            <w:tcBorders>
              <w:top w:val="nil"/>
              <w:left w:val="nil"/>
              <w:bottom w:val="single" w:sz="4" w:space="0" w:color="auto"/>
              <w:right w:val="single" w:sz="4" w:space="0" w:color="auto"/>
            </w:tcBorders>
            <w:vAlign w:val="center"/>
            <w:hideMark/>
          </w:tcPr>
          <w:p w14:paraId="2F17413A" w14:textId="77777777" w:rsidR="00A351F7" w:rsidRPr="00A351F7" w:rsidRDefault="00A351F7" w:rsidP="00A351F7">
            <w:pPr>
              <w:spacing w:after="0" w:line="240" w:lineRule="auto"/>
              <w:jc w:val="center"/>
              <w:rPr>
                <w:rFonts w:ascii="Times New Roman" w:eastAsia="Times New Roman" w:hAnsi="Times New Roman" w:cs="Times New Roman"/>
                <w:color w:val="000000"/>
                <w:kern w:val="0"/>
                <w:szCs w:val="24"/>
                <w:lang w:eastAsia="en-IN"/>
                <w14:ligatures w14:val="none"/>
              </w:rPr>
            </w:pPr>
            <w:r w:rsidRPr="00A351F7">
              <w:rPr>
                <w:rFonts w:ascii="Times New Roman" w:eastAsia="Times New Roman" w:hAnsi="Times New Roman" w:cs="Times New Roman"/>
                <w:color w:val="000000"/>
                <w:kern w:val="0"/>
                <w:szCs w:val="24"/>
                <w:lang w:eastAsia="en-IN"/>
                <w14:ligatures w14:val="none"/>
              </w:rPr>
              <w:t>9.13</w:t>
            </w:r>
          </w:p>
        </w:tc>
      </w:tr>
      <w:tr w:rsidR="00A351F7" w:rsidRPr="00A351F7" w14:paraId="7DC596F1" w14:textId="77777777" w:rsidTr="00A351F7">
        <w:trPr>
          <w:trHeight w:val="495"/>
        </w:trPr>
        <w:tc>
          <w:tcPr>
            <w:tcW w:w="1403" w:type="dxa"/>
            <w:tcBorders>
              <w:top w:val="nil"/>
              <w:left w:val="single" w:sz="4" w:space="0" w:color="auto"/>
              <w:bottom w:val="single" w:sz="4" w:space="0" w:color="auto"/>
              <w:right w:val="single" w:sz="4" w:space="0" w:color="auto"/>
            </w:tcBorders>
            <w:vAlign w:val="center"/>
            <w:hideMark/>
          </w:tcPr>
          <w:p w14:paraId="43235C57" w14:textId="77777777" w:rsidR="00A351F7" w:rsidRPr="00A351F7" w:rsidRDefault="00A351F7" w:rsidP="00A351F7">
            <w:pPr>
              <w:spacing w:after="0" w:line="240" w:lineRule="auto"/>
              <w:rPr>
                <w:rFonts w:ascii="Times New Roman" w:eastAsia="Times New Roman" w:hAnsi="Times New Roman" w:cs="Times New Roman"/>
                <w:color w:val="000000"/>
                <w:kern w:val="0"/>
                <w:szCs w:val="24"/>
                <w:lang w:eastAsia="en-IN"/>
                <w14:ligatures w14:val="none"/>
              </w:rPr>
            </w:pPr>
            <w:r w:rsidRPr="00A351F7">
              <w:rPr>
                <w:rFonts w:ascii="Times New Roman" w:eastAsia="Times New Roman" w:hAnsi="Times New Roman" w:cs="Times New Roman"/>
                <w:color w:val="000000"/>
                <w:kern w:val="0"/>
                <w:szCs w:val="24"/>
                <w:lang w:eastAsia="en-IN"/>
                <w14:ligatures w14:val="none"/>
              </w:rPr>
              <w:t>Jammu &amp; Kashmir</w:t>
            </w:r>
          </w:p>
        </w:tc>
        <w:tc>
          <w:tcPr>
            <w:tcW w:w="985" w:type="dxa"/>
            <w:tcBorders>
              <w:top w:val="nil"/>
              <w:left w:val="nil"/>
              <w:bottom w:val="single" w:sz="4" w:space="0" w:color="auto"/>
              <w:right w:val="single" w:sz="4" w:space="0" w:color="auto"/>
            </w:tcBorders>
            <w:vAlign w:val="center"/>
            <w:hideMark/>
          </w:tcPr>
          <w:p w14:paraId="3E9A50A5" w14:textId="77777777" w:rsidR="00A351F7" w:rsidRPr="00A351F7" w:rsidRDefault="00A351F7" w:rsidP="00A351F7">
            <w:pPr>
              <w:spacing w:after="0" w:line="240" w:lineRule="auto"/>
              <w:jc w:val="center"/>
              <w:rPr>
                <w:rFonts w:ascii="Times New Roman" w:eastAsia="Times New Roman" w:hAnsi="Times New Roman" w:cs="Times New Roman"/>
                <w:color w:val="000000"/>
                <w:kern w:val="0"/>
                <w:szCs w:val="24"/>
                <w:lang w:eastAsia="en-IN"/>
                <w14:ligatures w14:val="none"/>
              </w:rPr>
            </w:pPr>
            <w:r w:rsidRPr="00A351F7">
              <w:rPr>
                <w:rFonts w:ascii="Times New Roman" w:eastAsia="Times New Roman" w:hAnsi="Times New Roman" w:cs="Times New Roman"/>
                <w:color w:val="000000"/>
                <w:kern w:val="0"/>
                <w:szCs w:val="24"/>
                <w:lang w:eastAsia="en-IN"/>
                <w14:ligatures w14:val="none"/>
              </w:rPr>
              <w:t>5.89</w:t>
            </w:r>
          </w:p>
        </w:tc>
        <w:tc>
          <w:tcPr>
            <w:tcW w:w="994" w:type="dxa"/>
            <w:tcBorders>
              <w:top w:val="nil"/>
              <w:left w:val="nil"/>
              <w:bottom w:val="single" w:sz="4" w:space="0" w:color="auto"/>
              <w:right w:val="single" w:sz="4" w:space="0" w:color="auto"/>
            </w:tcBorders>
            <w:vAlign w:val="center"/>
            <w:hideMark/>
          </w:tcPr>
          <w:p w14:paraId="41149804" w14:textId="77777777" w:rsidR="00A351F7" w:rsidRPr="00A351F7" w:rsidRDefault="00A351F7" w:rsidP="00A351F7">
            <w:pPr>
              <w:spacing w:after="0" w:line="240" w:lineRule="auto"/>
              <w:jc w:val="center"/>
              <w:rPr>
                <w:rFonts w:ascii="Times New Roman" w:eastAsia="Times New Roman" w:hAnsi="Times New Roman" w:cs="Times New Roman"/>
                <w:color w:val="000000"/>
                <w:kern w:val="0"/>
                <w:szCs w:val="24"/>
                <w:lang w:eastAsia="en-IN"/>
                <w14:ligatures w14:val="none"/>
              </w:rPr>
            </w:pPr>
            <w:r w:rsidRPr="00A351F7">
              <w:rPr>
                <w:rFonts w:ascii="Times New Roman" w:eastAsia="Times New Roman" w:hAnsi="Times New Roman" w:cs="Times New Roman"/>
                <w:color w:val="000000"/>
                <w:kern w:val="0"/>
                <w:szCs w:val="24"/>
                <w:lang w:eastAsia="en-IN"/>
                <w14:ligatures w14:val="none"/>
              </w:rPr>
              <w:t>6.57</w:t>
            </w:r>
          </w:p>
        </w:tc>
        <w:tc>
          <w:tcPr>
            <w:tcW w:w="975" w:type="dxa"/>
            <w:tcBorders>
              <w:top w:val="nil"/>
              <w:left w:val="nil"/>
              <w:bottom w:val="single" w:sz="4" w:space="0" w:color="auto"/>
              <w:right w:val="single" w:sz="4" w:space="0" w:color="auto"/>
            </w:tcBorders>
            <w:vAlign w:val="center"/>
            <w:hideMark/>
          </w:tcPr>
          <w:p w14:paraId="4E18B5A2" w14:textId="77777777" w:rsidR="00A351F7" w:rsidRPr="00A351F7" w:rsidRDefault="00A351F7" w:rsidP="00A351F7">
            <w:pPr>
              <w:spacing w:after="0" w:line="240" w:lineRule="auto"/>
              <w:jc w:val="center"/>
              <w:rPr>
                <w:rFonts w:ascii="Times New Roman" w:eastAsia="Times New Roman" w:hAnsi="Times New Roman" w:cs="Times New Roman"/>
                <w:color w:val="000000"/>
                <w:kern w:val="0"/>
                <w:szCs w:val="24"/>
                <w:lang w:eastAsia="en-IN"/>
                <w14:ligatures w14:val="none"/>
              </w:rPr>
            </w:pPr>
            <w:r w:rsidRPr="00A351F7">
              <w:rPr>
                <w:rFonts w:ascii="Times New Roman" w:eastAsia="Times New Roman" w:hAnsi="Times New Roman" w:cs="Times New Roman"/>
                <w:color w:val="000000"/>
                <w:kern w:val="0"/>
                <w:szCs w:val="24"/>
                <w:lang w:eastAsia="en-IN"/>
                <w14:ligatures w14:val="none"/>
              </w:rPr>
              <w:t>12.46</w:t>
            </w:r>
          </w:p>
        </w:tc>
        <w:tc>
          <w:tcPr>
            <w:tcW w:w="986" w:type="dxa"/>
            <w:tcBorders>
              <w:top w:val="nil"/>
              <w:left w:val="nil"/>
              <w:bottom w:val="single" w:sz="4" w:space="0" w:color="auto"/>
              <w:right w:val="single" w:sz="4" w:space="0" w:color="auto"/>
            </w:tcBorders>
            <w:vAlign w:val="center"/>
            <w:hideMark/>
          </w:tcPr>
          <w:p w14:paraId="24FCDC13" w14:textId="77777777" w:rsidR="00A351F7" w:rsidRPr="00A351F7" w:rsidRDefault="00A351F7" w:rsidP="00A351F7">
            <w:pPr>
              <w:spacing w:after="0" w:line="240" w:lineRule="auto"/>
              <w:jc w:val="center"/>
              <w:rPr>
                <w:rFonts w:ascii="Times New Roman" w:eastAsia="Times New Roman" w:hAnsi="Times New Roman" w:cs="Times New Roman"/>
                <w:color w:val="000000"/>
                <w:kern w:val="0"/>
                <w:szCs w:val="24"/>
                <w:lang w:eastAsia="en-IN"/>
                <w14:ligatures w14:val="none"/>
              </w:rPr>
            </w:pPr>
            <w:r w:rsidRPr="00A351F7">
              <w:rPr>
                <w:rFonts w:ascii="Times New Roman" w:eastAsia="Times New Roman" w:hAnsi="Times New Roman" w:cs="Times New Roman"/>
                <w:color w:val="000000"/>
                <w:kern w:val="0"/>
                <w:szCs w:val="24"/>
                <w:lang w:eastAsia="en-IN"/>
                <w14:ligatures w14:val="none"/>
              </w:rPr>
              <w:t>6.38</w:t>
            </w:r>
          </w:p>
        </w:tc>
        <w:tc>
          <w:tcPr>
            <w:tcW w:w="994" w:type="dxa"/>
            <w:tcBorders>
              <w:top w:val="nil"/>
              <w:left w:val="nil"/>
              <w:bottom w:val="single" w:sz="4" w:space="0" w:color="auto"/>
              <w:right w:val="single" w:sz="4" w:space="0" w:color="auto"/>
            </w:tcBorders>
            <w:vAlign w:val="center"/>
            <w:hideMark/>
          </w:tcPr>
          <w:p w14:paraId="13937EAD" w14:textId="77777777" w:rsidR="00A351F7" w:rsidRPr="00A351F7" w:rsidRDefault="00A351F7" w:rsidP="00A351F7">
            <w:pPr>
              <w:spacing w:after="0" w:line="240" w:lineRule="auto"/>
              <w:jc w:val="center"/>
              <w:rPr>
                <w:rFonts w:ascii="Times New Roman" w:eastAsia="Times New Roman" w:hAnsi="Times New Roman" w:cs="Times New Roman"/>
                <w:color w:val="000000"/>
                <w:kern w:val="0"/>
                <w:szCs w:val="24"/>
                <w:lang w:eastAsia="en-IN"/>
                <w14:ligatures w14:val="none"/>
              </w:rPr>
            </w:pPr>
            <w:r w:rsidRPr="00A351F7">
              <w:rPr>
                <w:rFonts w:ascii="Times New Roman" w:eastAsia="Times New Roman" w:hAnsi="Times New Roman" w:cs="Times New Roman"/>
                <w:color w:val="000000"/>
                <w:kern w:val="0"/>
                <w:szCs w:val="24"/>
                <w:lang w:eastAsia="en-IN"/>
                <w14:ligatures w14:val="none"/>
              </w:rPr>
              <w:t>6.57</w:t>
            </w:r>
          </w:p>
        </w:tc>
        <w:tc>
          <w:tcPr>
            <w:tcW w:w="939" w:type="dxa"/>
            <w:tcBorders>
              <w:top w:val="nil"/>
              <w:left w:val="nil"/>
              <w:bottom w:val="single" w:sz="4" w:space="0" w:color="auto"/>
              <w:right w:val="single" w:sz="4" w:space="0" w:color="auto"/>
            </w:tcBorders>
            <w:vAlign w:val="center"/>
            <w:hideMark/>
          </w:tcPr>
          <w:p w14:paraId="1C6F680D" w14:textId="77777777" w:rsidR="00A351F7" w:rsidRPr="00A351F7" w:rsidRDefault="00A351F7" w:rsidP="00A351F7">
            <w:pPr>
              <w:spacing w:after="0" w:line="240" w:lineRule="auto"/>
              <w:jc w:val="center"/>
              <w:rPr>
                <w:rFonts w:ascii="Times New Roman" w:eastAsia="Times New Roman" w:hAnsi="Times New Roman" w:cs="Times New Roman"/>
                <w:color w:val="000000"/>
                <w:kern w:val="0"/>
                <w:szCs w:val="24"/>
                <w:lang w:eastAsia="en-IN"/>
                <w14:ligatures w14:val="none"/>
              </w:rPr>
            </w:pPr>
            <w:r w:rsidRPr="00A351F7">
              <w:rPr>
                <w:rFonts w:ascii="Times New Roman" w:eastAsia="Times New Roman" w:hAnsi="Times New Roman" w:cs="Times New Roman"/>
                <w:color w:val="000000"/>
                <w:kern w:val="0"/>
                <w:szCs w:val="24"/>
                <w:lang w:eastAsia="en-IN"/>
                <w14:ligatures w14:val="none"/>
              </w:rPr>
              <w:t>12.95</w:t>
            </w:r>
          </w:p>
        </w:tc>
        <w:tc>
          <w:tcPr>
            <w:tcW w:w="986" w:type="dxa"/>
            <w:tcBorders>
              <w:top w:val="nil"/>
              <w:left w:val="nil"/>
              <w:bottom w:val="single" w:sz="4" w:space="0" w:color="auto"/>
              <w:right w:val="single" w:sz="4" w:space="0" w:color="auto"/>
            </w:tcBorders>
            <w:vAlign w:val="center"/>
            <w:hideMark/>
          </w:tcPr>
          <w:p w14:paraId="78F76CD9" w14:textId="77777777" w:rsidR="00A351F7" w:rsidRPr="00A351F7" w:rsidRDefault="00A351F7" w:rsidP="00A351F7">
            <w:pPr>
              <w:spacing w:after="0" w:line="240" w:lineRule="auto"/>
              <w:jc w:val="center"/>
              <w:rPr>
                <w:rFonts w:ascii="Times New Roman" w:eastAsia="Times New Roman" w:hAnsi="Times New Roman" w:cs="Times New Roman"/>
                <w:color w:val="000000"/>
                <w:kern w:val="0"/>
                <w:szCs w:val="24"/>
                <w:lang w:eastAsia="en-IN"/>
                <w14:ligatures w14:val="none"/>
              </w:rPr>
            </w:pPr>
            <w:r w:rsidRPr="00A351F7">
              <w:rPr>
                <w:rFonts w:ascii="Times New Roman" w:eastAsia="Times New Roman" w:hAnsi="Times New Roman" w:cs="Times New Roman"/>
                <w:color w:val="000000"/>
                <w:kern w:val="0"/>
                <w:szCs w:val="24"/>
                <w:lang w:eastAsia="en-IN"/>
                <w14:ligatures w14:val="none"/>
              </w:rPr>
              <w:t>7.68</w:t>
            </w:r>
          </w:p>
        </w:tc>
        <w:tc>
          <w:tcPr>
            <w:tcW w:w="994" w:type="dxa"/>
            <w:tcBorders>
              <w:top w:val="nil"/>
              <w:left w:val="nil"/>
              <w:bottom w:val="single" w:sz="4" w:space="0" w:color="auto"/>
              <w:right w:val="single" w:sz="4" w:space="0" w:color="auto"/>
            </w:tcBorders>
            <w:vAlign w:val="center"/>
            <w:hideMark/>
          </w:tcPr>
          <w:p w14:paraId="4717AE87" w14:textId="77777777" w:rsidR="00A351F7" w:rsidRPr="00A351F7" w:rsidRDefault="00A351F7" w:rsidP="00A351F7">
            <w:pPr>
              <w:spacing w:after="0" w:line="240" w:lineRule="auto"/>
              <w:jc w:val="center"/>
              <w:rPr>
                <w:rFonts w:ascii="Times New Roman" w:eastAsia="Times New Roman" w:hAnsi="Times New Roman" w:cs="Times New Roman"/>
                <w:color w:val="000000"/>
                <w:kern w:val="0"/>
                <w:szCs w:val="24"/>
                <w:lang w:eastAsia="en-IN"/>
                <w14:ligatures w14:val="none"/>
              </w:rPr>
            </w:pPr>
            <w:r w:rsidRPr="00A351F7">
              <w:rPr>
                <w:rFonts w:ascii="Times New Roman" w:eastAsia="Times New Roman" w:hAnsi="Times New Roman" w:cs="Times New Roman"/>
                <w:color w:val="000000"/>
                <w:kern w:val="0"/>
                <w:szCs w:val="24"/>
                <w:lang w:eastAsia="en-IN"/>
                <w14:ligatures w14:val="none"/>
              </w:rPr>
              <w:t>6.57</w:t>
            </w:r>
          </w:p>
        </w:tc>
        <w:tc>
          <w:tcPr>
            <w:tcW w:w="975" w:type="dxa"/>
            <w:tcBorders>
              <w:top w:val="nil"/>
              <w:left w:val="nil"/>
              <w:bottom w:val="single" w:sz="4" w:space="0" w:color="auto"/>
              <w:right w:val="single" w:sz="4" w:space="0" w:color="auto"/>
            </w:tcBorders>
            <w:vAlign w:val="center"/>
            <w:hideMark/>
          </w:tcPr>
          <w:p w14:paraId="728F47E2" w14:textId="77777777" w:rsidR="00A351F7" w:rsidRPr="00A351F7" w:rsidRDefault="00A351F7" w:rsidP="00A351F7">
            <w:pPr>
              <w:spacing w:after="0" w:line="240" w:lineRule="auto"/>
              <w:jc w:val="center"/>
              <w:rPr>
                <w:rFonts w:ascii="Times New Roman" w:eastAsia="Times New Roman" w:hAnsi="Times New Roman" w:cs="Times New Roman"/>
                <w:color w:val="000000"/>
                <w:kern w:val="0"/>
                <w:szCs w:val="24"/>
                <w:lang w:eastAsia="en-IN"/>
                <w14:ligatures w14:val="none"/>
              </w:rPr>
            </w:pPr>
            <w:r w:rsidRPr="00A351F7">
              <w:rPr>
                <w:rFonts w:ascii="Times New Roman" w:eastAsia="Times New Roman" w:hAnsi="Times New Roman" w:cs="Times New Roman"/>
                <w:color w:val="000000"/>
                <w:kern w:val="0"/>
                <w:szCs w:val="24"/>
                <w:lang w:eastAsia="en-IN"/>
                <w14:ligatures w14:val="none"/>
              </w:rPr>
              <w:t>14.25</w:t>
            </w:r>
          </w:p>
        </w:tc>
      </w:tr>
      <w:tr w:rsidR="00A351F7" w:rsidRPr="00A351F7" w14:paraId="631341C9" w14:textId="77777777" w:rsidTr="00A351F7">
        <w:trPr>
          <w:trHeight w:val="309"/>
        </w:trPr>
        <w:tc>
          <w:tcPr>
            <w:tcW w:w="1403" w:type="dxa"/>
            <w:tcBorders>
              <w:top w:val="nil"/>
              <w:left w:val="single" w:sz="4" w:space="0" w:color="auto"/>
              <w:bottom w:val="single" w:sz="4" w:space="0" w:color="auto"/>
              <w:right w:val="single" w:sz="4" w:space="0" w:color="auto"/>
            </w:tcBorders>
            <w:vAlign w:val="center"/>
            <w:hideMark/>
          </w:tcPr>
          <w:p w14:paraId="203CA6D8" w14:textId="77777777" w:rsidR="00A351F7" w:rsidRPr="00A351F7" w:rsidRDefault="00A351F7" w:rsidP="00A351F7">
            <w:pPr>
              <w:spacing w:after="0" w:line="240" w:lineRule="auto"/>
              <w:rPr>
                <w:rFonts w:ascii="Times New Roman" w:eastAsia="Times New Roman" w:hAnsi="Times New Roman" w:cs="Times New Roman"/>
                <w:color w:val="000000"/>
                <w:kern w:val="0"/>
                <w:szCs w:val="24"/>
                <w:lang w:eastAsia="en-IN"/>
                <w14:ligatures w14:val="none"/>
              </w:rPr>
            </w:pPr>
            <w:r w:rsidRPr="00A351F7">
              <w:rPr>
                <w:rFonts w:ascii="Times New Roman" w:eastAsia="Times New Roman" w:hAnsi="Times New Roman" w:cs="Times New Roman"/>
                <w:color w:val="000000"/>
                <w:kern w:val="0"/>
                <w:szCs w:val="24"/>
                <w:lang w:eastAsia="en-IN"/>
                <w14:ligatures w14:val="none"/>
              </w:rPr>
              <w:t>Kerala</w:t>
            </w:r>
          </w:p>
        </w:tc>
        <w:tc>
          <w:tcPr>
            <w:tcW w:w="985" w:type="dxa"/>
            <w:tcBorders>
              <w:top w:val="nil"/>
              <w:left w:val="nil"/>
              <w:bottom w:val="single" w:sz="4" w:space="0" w:color="auto"/>
              <w:right w:val="single" w:sz="4" w:space="0" w:color="auto"/>
            </w:tcBorders>
            <w:vAlign w:val="center"/>
            <w:hideMark/>
          </w:tcPr>
          <w:p w14:paraId="51D979B8" w14:textId="77777777" w:rsidR="00A351F7" w:rsidRPr="00A351F7" w:rsidRDefault="00A351F7" w:rsidP="00A351F7">
            <w:pPr>
              <w:spacing w:after="0" w:line="240" w:lineRule="auto"/>
              <w:jc w:val="center"/>
              <w:rPr>
                <w:rFonts w:ascii="Times New Roman" w:eastAsia="Times New Roman" w:hAnsi="Times New Roman" w:cs="Times New Roman"/>
                <w:color w:val="000000"/>
                <w:kern w:val="0"/>
                <w:szCs w:val="24"/>
                <w:lang w:eastAsia="en-IN"/>
                <w14:ligatures w14:val="none"/>
              </w:rPr>
            </w:pPr>
            <w:r w:rsidRPr="00A351F7">
              <w:rPr>
                <w:rFonts w:ascii="Times New Roman" w:eastAsia="Times New Roman" w:hAnsi="Times New Roman" w:cs="Times New Roman"/>
                <w:color w:val="000000"/>
                <w:kern w:val="0"/>
                <w:szCs w:val="24"/>
                <w:lang w:eastAsia="en-IN"/>
                <w14:ligatures w14:val="none"/>
              </w:rPr>
              <w:t>14.93</w:t>
            </w:r>
          </w:p>
        </w:tc>
        <w:tc>
          <w:tcPr>
            <w:tcW w:w="994" w:type="dxa"/>
            <w:tcBorders>
              <w:top w:val="nil"/>
              <w:left w:val="nil"/>
              <w:bottom w:val="single" w:sz="4" w:space="0" w:color="auto"/>
              <w:right w:val="single" w:sz="4" w:space="0" w:color="auto"/>
            </w:tcBorders>
            <w:vAlign w:val="center"/>
            <w:hideMark/>
          </w:tcPr>
          <w:p w14:paraId="1F1F6C1A" w14:textId="77777777" w:rsidR="00A351F7" w:rsidRPr="00A351F7" w:rsidRDefault="00A351F7" w:rsidP="00A351F7">
            <w:pPr>
              <w:spacing w:after="0" w:line="240" w:lineRule="auto"/>
              <w:jc w:val="center"/>
              <w:rPr>
                <w:rFonts w:ascii="Times New Roman" w:eastAsia="Times New Roman" w:hAnsi="Times New Roman" w:cs="Times New Roman"/>
                <w:color w:val="000000"/>
                <w:kern w:val="0"/>
                <w:szCs w:val="24"/>
                <w:lang w:eastAsia="en-IN"/>
                <w14:ligatures w14:val="none"/>
              </w:rPr>
            </w:pPr>
            <w:r w:rsidRPr="00A351F7">
              <w:rPr>
                <w:rFonts w:ascii="Times New Roman" w:eastAsia="Times New Roman" w:hAnsi="Times New Roman" w:cs="Times New Roman"/>
                <w:color w:val="000000"/>
                <w:kern w:val="0"/>
                <w:szCs w:val="24"/>
                <w:lang w:eastAsia="en-IN"/>
                <w14:ligatures w14:val="none"/>
              </w:rPr>
              <w:t>20.82</w:t>
            </w:r>
          </w:p>
        </w:tc>
        <w:tc>
          <w:tcPr>
            <w:tcW w:w="975" w:type="dxa"/>
            <w:tcBorders>
              <w:top w:val="nil"/>
              <w:left w:val="nil"/>
              <w:bottom w:val="single" w:sz="4" w:space="0" w:color="auto"/>
              <w:right w:val="single" w:sz="4" w:space="0" w:color="auto"/>
            </w:tcBorders>
            <w:vAlign w:val="center"/>
            <w:hideMark/>
          </w:tcPr>
          <w:p w14:paraId="1382D646" w14:textId="77777777" w:rsidR="00A351F7" w:rsidRPr="00A351F7" w:rsidRDefault="00A351F7" w:rsidP="00A351F7">
            <w:pPr>
              <w:spacing w:after="0" w:line="240" w:lineRule="auto"/>
              <w:jc w:val="center"/>
              <w:rPr>
                <w:rFonts w:ascii="Times New Roman" w:eastAsia="Times New Roman" w:hAnsi="Times New Roman" w:cs="Times New Roman"/>
                <w:color w:val="000000"/>
                <w:kern w:val="0"/>
                <w:szCs w:val="24"/>
                <w:lang w:eastAsia="en-IN"/>
                <w14:ligatures w14:val="none"/>
              </w:rPr>
            </w:pPr>
            <w:r w:rsidRPr="00A351F7">
              <w:rPr>
                <w:rFonts w:ascii="Times New Roman" w:eastAsia="Times New Roman" w:hAnsi="Times New Roman" w:cs="Times New Roman"/>
                <w:color w:val="000000"/>
                <w:kern w:val="0"/>
                <w:szCs w:val="24"/>
                <w:lang w:eastAsia="en-IN"/>
                <w14:ligatures w14:val="none"/>
              </w:rPr>
              <w:t>35.75</w:t>
            </w:r>
          </w:p>
        </w:tc>
        <w:tc>
          <w:tcPr>
            <w:tcW w:w="986" w:type="dxa"/>
            <w:tcBorders>
              <w:top w:val="nil"/>
              <w:left w:val="nil"/>
              <w:bottom w:val="single" w:sz="4" w:space="0" w:color="auto"/>
              <w:right w:val="single" w:sz="4" w:space="0" w:color="auto"/>
            </w:tcBorders>
            <w:vAlign w:val="center"/>
            <w:hideMark/>
          </w:tcPr>
          <w:p w14:paraId="1D62F115" w14:textId="77777777" w:rsidR="00A351F7" w:rsidRPr="00A351F7" w:rsidRDefault="00A351F7" w:rsidP="00A351F7">
            <w:pPr>
              <w:spacing w:after="0" w:line="240" w:lineRule="auto"/>
              <w:jc w:val="center"/>
              <w:rPr>
                <w:rFonts w:ascii="Times New Roman" w:eastAsia="Times New Roman" w:hAnsi="Times New Roman" w:cs="Times New Roman"/>
                <w:color w:val="000000"/>
                <w:kern w:val="0"/>
                <w:szCs w:val="24"/>
                <w:lang w:eastAsia="en-IN"/>
                <w14:ligatures w14:val="none"/>
              </w:rPr>
            </w:pPr>
            <w:r w:rsidRPr="00A351F7">
              <w:rPr>
                <w:rFonts w:ascii="Times New Roman" w:eastAsia="Times New Roman" w:hAnsi="Times New Roman" w:cs="Times New Roman"/>
                <w:color w:val="000000"/>
                <w:kern w:val="0"/>
                <w:szCs w:val="24"/>
                <w:lang w:eastAsia="en-IN"/>
                <w14:ligatures w14:val="none"/>
              </w:rPr>
              <w:t>16.54</w:t>
            </w:r>
          </w:p>
        </w:tc>
        <w:tc>
          <w:tcPr>
            <w:tcW w:w="994" w:type="dxa"/>
            <w:tcBorders>
              <w:top w:val="nil"/>
              <w:left w:val="nil"/>
              <w:bottom w:val="single" w:sz="4" w:space="0" w:color="auto"/>
              <w:right w:val="single" w:sz="4" w:space="0" w:color="auto"/>
            </w:tcBorders>
            <w:vAlign w:val="center"/>
            <w:hideMark/>
          </w:tcPr>
          <w:p w14:paraId="77C76833" w14:textId="77777777" w:rsidR="00A351F7" w:rsidRPr="00A351F7" w:rsidRDefault="00A351F7" w:rsidP="00A351F7">
            <w:pPr>
              <w:spacing w:after="0" w:line="240" w:lineRule="auto"/>
              <w:jc w:val="center"/>
              <w:rPr>
                <w:rFonts w:ascii="Times New Roman" w:eastAsia="Times New Roman" w:hAnsi="Times New Roman" w:cs="Times New Roman"/>
                <w:color w:val="000000"/>
                <w:kern w:val="0"/>
                <w:szCs w:val="24"/>
                <w:lang w:eastAsia="en-IN"/>
                <w14:ligatures w14:val="none"/>
              </w:rPr>
            </w:pPr>
            <w:r w:rsidRPr="00A351F7">
              <w:rPr>
                <w:rFonts w:ascii="Times New Roman" w:eastAsia="Times New Roman" w:hAnsi="Times New Roman" w:cs="Times New Roman"/>
                <w:color w:val="000000"/>
                <w:kern w:val="0"/>
                <w:szCs w:val="24"/>
                <w:lang w:eastAsia="en-IN"/>
                <w14:ligatures w14:val="none"/>
              </w:rPr>
              <w:t>20.82</w:t>
            </w:r>
          </w:p>
        </w:tc>
        <w:tc>
          <w:tcPr>
            <w:tcW w:w="939" w:type="dxa"/>
            <w:tcBorders>
              <w:top w:val="nil"/>
              <w:left w:val="nil"/>
              <w:bottom w:val="single" w:sz="4" w:space="0" w:color="auto"/>
              <w:right w:val="single" w:sz="4" w:space="0" w:color="auto"/>
            </w:tcBorders>
            <w:vAlign w:val="center"/>
            <w:hideMark/>
          </w:tcPr>
          <w:p w14:paraId="37F567DC" w14:textId="77777777" w:rsidR="00A351F7" w:rsidRPr="00A351F7" w:rsidRDefault="00A351F7" w:rsidP="00A351F7">
            <w:pPr>
              <w:spacing w:after="0" w:line="240" w:lineRule="auto"/>
              <w:jc w:val="center"/>
              <w:rPr>
                <w:rFonts w:ascii="Times New Roman" w:eastAsia="Times New Roman" w:hAnsi="Times New Roman" w:cs="Times New Roman"/>
                <w:color w:val="000000"/>
                <w:kern w:val="0"/>
                <w:szCs w:val="24"/>
                <w:lang w:eastAsia="en-IN"/>
                <w14:ligatures w14:val="none"/>
              </w:rPr>
            </w:pPr>
            <w:r w:rsidRPr="00A351F7">
              <w:rPr>
                <w:rFonts w:ascii="Times New Roman" w:eastAsia="Times New Roman" w:hAnsi="Times New Roman" w:cs="Times New Roman"/>
                <w:color w:val="000000"/>
                <w:kern w:val="0"/>
                <w:szCs w:val="24"/>
                <w:lang w:eastAsia="en-IN"/>
                <w14:ligatures w14:val="none"/>
              </w:rPr>
              <w:t>37.36</w:t>
            </w:r>
          </w:p>
        </w:tc>
        <w:tc>
          <w:tcPr>
            <w:tcW w:w="986" w:type="dxa"/>
            <w:tcBorders>
              <w:top w:val="nil"/>
              <w:left w:val="nil"/>
              <w:bottom w:val="single" w:sz="4" w:space="0" w:color="auto"/>
              <w:right w:val="single" w:sz="4" w:space="0" w:color="auto"/>
            </w:tcBorders>
            <w:vAlign w:val="center"/>
            <w:hideMark/>
          </w:tcPr>
          <w:p w14:paraId="5C9E3C29" w14:textId="77777777" w:rsidR="00A351F7" w:rsidRPr="00A351F7" w:rsidRDefault="00A351F7" w:rsidP="00A351F7">
            <w:pPr>
              <w:spacing w:after="0" w:line="240" w:lineRule="auto"/>
              <w:jc w:val="center"/>
              <w:rPr>
                <w:rFonts w:ascii="Times New Roman" w:eastAsia="Times New Roman" w:hAnsi="Times New Roman" w:cs="Times New Roman"/>
                <w:color w:val="000000"/>
                <w:kern w:val="0"/>
                <w:szCs w:val="24"/>
                <w:lang w:eastAsia="en-IN"/>
                <w14:ligatures w14:val="none"/>
              </w:rPr>
            </w:pPr>
            <w:r w:rsidRPr="00A351F7">
              <w:rPr>
                <w:rFonts w:ascii="Times New Roman" w:eastAsia="Times New Roman" w:hAnsi="Times New Roman" w:cs="Times New Roman"/>
                <w:color w:val="000000"/>
                <w:kern w:val="0"/>
                <w:szCs w:val="24"/>
                <w:lang w:eastAsia="en-IN"/>
                <w14:ligatures w14:val="none"/>
              </w:rPr>
              <w:t>19.74</w:t>
            </w:r>
          </w:p>
        </w:tc>
        <w:tc>
          <w:tcPr>
            <w:tcW w:w="994" w:type="dxa"/>
            <w:tcBorders>
              <w:top w:val="nil"/>
              <w:left w:val="nil"/>
              <w:bottom w:val="single" w:sz="4" w:space="0" w:color="auto"/>
              <w:right w:val="single" w:sz="4" w:space="0" w:color="auto"/>
            </w:tcBorders>
            <w:vAlign w:val="center"/>
            <w:hideMark/>
          </w:tcPr>
          <w:p w14:paraId="3D76D78C" w14:textId="77777777" w:rsidR="00A351F7" w:rsidRPr="00A351F7" w:rsidRDefault="00A351F7" w:rsidP="00A351F7">
            <w:pPr>
              <w:spacing w:after="0" w:line="240" w:lineRule="auto"/>
              <w:jc w:val="center"/>
              <w:rPr>
                <w:rFonts w:ascii="Times New Roman" w:eastAsia="Times New Roman" w:hAnsi="Times New Roman" w:cs="Times New Roman"/>
                <w:color w:val="000000"/>
                <w:kern w:val="0"/>
                <w:szCs w:val="24"/>
                <w:lang w:eastAsia="en-IN"/>
                <w14:ligatures w14:val="none"/>
              </w:rPr>
            </w:pPr>
            <w:r w:rsidRPr="00A351F7">
              <w:rPr>
                <w:rFonts w:ascii="Times New Roman" w:eastAsia="Times New Roman" w:hAnsi="Times New Roman" w:cs="Times New Roman"/>
                <w:color w:val="000000"/>
                <w:kern w:val="0"/>
                <w:szCs w:val="24"/>
                <w:lang w:eastAsia="en-IN"/>
                <w14:ligatures w14:val="none"/>
              </w:rPr>
              <w:t>20.82</w:t>
            </w:r>
          </w:p>
        </w:tc>
        <w:tc>
          <w:tcPr>
            <w:tcW w:w="975" w:type="dxa"/>
            <w:tcBorders>
              <w:top w:val="nil"/>
              <w:left w:val="nil"/>
              <w:bottom w:val="single" w:sz="4" w:space="0" w:color="auto"/>
              <w:right w:val="single" w:sz="4" w:space="0" w:color="auto"/>
            </w:tcBorders>
            <w:vAlign w:val="center"/>
            <w:hideMark/>
          </w:tcPr>
          <w:p w14:paraId="1337E9DB" w14:textId="77777777" w:rsidR="00A351F7" w:rsidRPr="00A351F7" w:rsidRDefault="00A351F7" w:rsidP="00A351F7">
            <w:pPr>
              <w:spacing w:after="0" w:line="240" w:lineRule="auto"/>
              <w:jc w:val="center"/>
              <w:rPr>
                <w:rFonts w:ascii="Times New Roman" w:eastAsia="Times New Roman" w:hAnsi="Times New Roman" w:cs="Times New Roman"/>
                <w:color w:val="000000"/>
                <w:kern w:val="0"/>
                <w:szCs w:val="24"/>
                <w:lang w:eastAsia="en-IN"/>
                <w14:ligatures w14:val="none"/>
              </w:rPr>
            </w:pPr>
            <w:r w:rsidRPr="00A351F7">
              <w:rPr>
                <w:rFonts w:ascii="Times New Roman" w:eastAsia="Times New Roman" w:hAnsi="Times New Roman" w:cs="Times New Roman"/>
                <w:color w:val="000000"/>
                <w:kern w:val="0"/>
                <w:szCs w:val="24"/>
                <w:lang w:eastAsia="en-IN"/>
                <w14:ligatures w14:val="none"/>
              </w:rPr>
              <w:t>40.56</w:t>
            </w:r>
          </w:p>
        </w:tc>
      </w:tr>
      <w:tr w:rsidR="00A351F7" w:rsidRPr="00A351F7" w14:paraId="0A16BED3" w14:textId="77777777" w:rsidTr="00A351F7">
        <w:trPr>
          <w:trHeight w:val="495"/>
        </w:trPr>
        <w:tc>
          <w:tcPr>
            <w:tcW w:w="1403" w:type="dxa"/>
            <w:tcBorders>
              <w:top w:val="nil"/>
              <w:left w:val="single" w:sz="4" w:space="0" w:color="auto"/>
              <w:bottom w:val="single" w:sz="4" w:space="0" w:color="auto"/>
              <w:right w:val="single" w:sz="4" w:space="0" w:color="auto"/>
            </w:tcBorders>
            <w:vAlign w:val="center"/>
            <w:hideMark/>
          </w:tcPr>
          <w:p w14:paraId="74CFA3F1" w14:textId="77777777" w:rsidR="00A351F7" w:rsidRPr="00A351F7" w:rsidRDefault="00A351F7" w:rsidP="00A351F7">
            <w:pPr>
              <w:spacing w:after="0" w:line="240" w:lineRule="auto"/>
              <w:rPr>
                <w:rFonts w:ascii="Times New Roman" w:eastAsia="Times New Roman" w:hAnsi="Times New Roman" w:cs="Times New Roman"/>
                <w:color w:val="000000"/>
                <w:kern w:val="0"/>
                <w:szCs w:val="24"/>
                <w:lang w:eastAsia="en-IN"/>
                <w14:ligatures w14:val="none"/>
              </w:rPr>
            </w:pPr>
            <w:r w:rsidRPr="00A351F7">
              <w:rPr>
                <w:rFonts w:ascii="Times New Roman" w:eastAsia="Times New Roman" w:hAnsi="Times New Roman" w:cs="Times New Roman"/>
                <w:color w:val="000000"/>
                <w:kern w:val="0"/>
                <w:szCs w:val="24"/>
                <w:lang w:eastAsia="en-IN"/>
                <w14:ligatures w14:val="none"/>
              </w:rPr>
              <w:t>Madhya Pradesh</w:t>
            </w:r>
          </w:p>
        </w:tc>
        <w:tc>
          <w:tcPr>
            <w:tcW w:w="985" w:type="dxa"/>
            <w:tcBorders>
              <w:top w:val="nil"/>
              <w:left w:val="nil"/>
              <w:bottom w:val="single" w:sz="4" w:space="0" w:color="auto"/>
              <w:right w:val="single" w:sz="4" w:space="0" w:color="auto"/>
            </w:tcBorders>
            <w:vAlign w:val="center"/>
            <w:hideMark/>
          </w:tcPr>
          <w:p w14:paraId="5CD15247" w14:textId="77777777" w:rsidR="00A351F7" w:rsidRPr="00A351F7" w:rsidRDefault="00A351F7" w:rsidP="00A351F7">
            <w:pPr>
              <w:spacing w:after="0" w:line="240" w:lineRule="auto"/>
              <w:jc w:val="center"/>
              <w:rPr>
                <w:rFonts w:ascii="Times New Roman" w:eastAsia="Times New Roman" w:hAnsi="Times New Roman" w:cs="Times New Roman"/>
                <w:color w:val="000000"/>
                <w:kern w:val="0"/>
                <w:szCs w:val="24"/>
                <w:lang w:eastAsia="en-IN"/>
                <w14:ligatures w14:val="none"/>
              </w:rPr>
            </w:pPr>
            <w:r w:rsidRPr="00A351F7">
              <w:rPr>
                <w:rFonts w:ascii="Times New Roman" w:eastAsia="Times New Roman" w:hAnsi="Times New Roman" w:cs="Times New Roman"/>
                <w:color w:val="000000"/>
                <w:kern w:val="0"/>
                <w:szCs w:val="24"/>
                <w:lang w:eastAsia="en-IN"/>
                <w14:ligatures w14:val="none"/>
              </w:rPr>
              <w:t>25.54</w:t>
            </w:r>
          </w:p>
        </w:tc>
        <w:tc>
          <w:tcPr>
            <w:tcW w:w="994" w:type="dxa"/>
            <w:tcBorders>
              <w:top w:val="nil"/>
              <w:left w:val="nil"/>
              <w:bottom w:val="single" w:sz="4" w:space="0" w:color="auto"/>
              <w:right w:val="single" w:sz="4" w:space="0" w:color="auto"/>
            </w:tcBorders>
            <w:vAlign w:val="center"/>
            <w:hideMark/>
          </w:tcPr>
          <w:p w14:paraId="654E6633" w14:textId="77777777" w:rsidR="00A351F7" w:rsidRPr="00A351F7" w:rsidRDefault="00A351F7" w:rsidP="00A351F7">
            <w:pPr>
              <w:spacing w:after="0" w:line="240" w:lineRule="auto"/>
              <w:jc w:val="center"/>
              <w:rPr>
                <w:rFonts w:ascii="Times New Roman" w:eastAsia="Times New Roman" w:hAnsi="Times New Roman" w:cs="Times New Roman"/>
                <w:color w:val="000000"/>
                <w:kern w:val="0"/>
                <w:szCs w:val="24"/>
                <w:lang w:eastAsia="en-IN"/>
                <w14:ligatures w14:val="none"/>
              </w:rPr>
            </w:pPr>
            <w:r w:rsidRPr="00A351F7">
              <w:rPr>
                <w:rFonts w:ascii="Times New Roman" w:eastAsia="Times New Roman" w:hAnsi="Times New Roman" w:cs="Times New Roman"/>
                <w:color w:val="000000"/>
                <w:kern w:val="0"/>
                <w:szCs w:val="24"/>
                <w:lang w:eastAsia="en-IN"/>
                <w14:ligatures w14:val="none"/>
              </w:rPr>
              <w:t>2.7</w:t>
            </w:r>
          </w:p>
        </w:tc>
        <w:tc>
          <w:tcPr>
            <w:tcW w:w="975" w:type="dxa"/>
            <w:tcBorders>
              <w:top w:val="nil"/>
              <w:left w:val="nil"/>
              <w:bottom w:val="single" w:sz="4" w:space="0" w:color="auto"/>
              <w:right w:val="single" w:sz="4" w:space="0" w:color="auto"/>
            </w:tcBorders>
            <w:vAlign w:val="center"/>
            <w:hideMark/>
          </w:tcPr>
          <w:p w14:paraId="0BB3AEC3" w14:textId="77777777" w:rsidR="00A351F7" w:rsidRPr="00A351F7" w:rsidRDefault="00A351F7" w:rsidP="00A351F7">
            <w:pPr>
              <w:spacing w:after="0" w:line="240" w:lineRule="auto"/>
              <w:jc w:val="center"/>
              <w:rPr>
                <w:rFonts w:ascii="Times New Roman" w:eastAsia="Times New Roman" w:hAnsi="Times New Roman" w:cs="Times New Roman"/>
                <w:color w:val="000000"/>
                <w:kern w:val="0"/>
                <w:szCs w:val="24"/>
                <w:lang w:eastAsia="en-IN"/>
                <w14:ligatures w14:val="none"/>
              </w:rPr>
            </w:pPr>
            <w:r w:rsidRPr="00A351F7">
              <w:rPr>
                <w:rFonts w:ascii="Times New Roman" w:eastAsia="Times New Roman" w:hAnsi="Times New Roman" w:cs="Times New Roman"/>
                <w:color w:val="000000"/>
                <w:kern w:val="0"/>
                <w:szCs w:val="24"/>
                <w:lang w:eastAsia="en-IN"/>
                <w14:ligatures w14:val="none"/>
              </w:rPr>
              <w:t>28.24</w:t>
            </w:r>
          </w:p>
        </w:tc>
        <w:tc>
          <w:tcPr>
            <w:tcW w:w="986" w:type="dxa"/>
            <w:tcBorders>
              <w:top w:val="nil"/>
              <w:left w:val="nil"/>
              <w:bottom w:val="single" w:sz="4" w:space="0" w:color="auto"/>
              <w:right w:val="single" w:sz="4" w:space="0" w:color="auto"/>
            </w:tcBorders>
            <w:vAlign w:val="center"/>
            <w:hideMark/>
          </w:tcPr>
          <w:p w14:paraId="07442877" w14:textId="77777777" w:rsidR="00A351F7" w:rsidRPr="00A351F7" w:rsidRDefault="00A351F7" w:rsidP="00A351F7">
            <w:pPr>
              <w:spacing w:after="0" w:line="240" w:lineRule="auto"/>
              <w:jc w:val="center"/>
              <w:rPr>
                <w:rFonts w:ascii="Times New Roman" w:eastAsia="Times New Roman" w:hAnsi="Times New Roman" w:cs="Times New Roman"/>
                <w:color w:val="000000"/>
                <w:kern w:val="0"/>
                <w:szCs w:val="24"/>
                <w:lang w:eastAsia="en-IN"/>
                <w14:ligatures w14:val="none"/>
              </w:rPr>
            </w:pPr>
            <w:r w:rsidRPr="00A351F7">
              <w:rPr>
                <w:rFonts w:ascii="Times New Roman" w:eastAsia="Times New Roman" w:hAnsi="Times New Roman" w:cs="Times New Roman"/>
                <w:color w:val="000000"/>
                <w:kern w:val="0"/>
                <w:szCs w:val="24"/>
                <w:lang w:eastAsia="en-IN"/>
                <w14:ligatures w14:val="none"/>
              </w:rPr>
              <w:t>29.18</w:t>
            </w:r>
          </w:p>
        </w:tc>
        <w:tc>
          <w:tcPr>
            <w:tcW w:w="994" w:type="dxa"/>
            <w:tcBorders>
              <w:top w:val="nil"/>
              <w:left w:val="nil"/>
              <w:bottom w:val="single" w:sz="4" w:space="0" w:color="auto"/>
              <w:right w:val="single" w:sz="4" w:space="0" w:color="auto"/>
            </w:tcBorders>
            <w:vAlign w:val="center"/>
            <w:hideMark/>
          </w:tcPr>
          <w:p w14:paraId="5CD1047E" w14:textId="77777777" w:rsidR="00A351F7" w:rsidRPr="00A351F7" w:rsidRDefault="00A351F7" w:rsidP="00A351F7">
            <w:pPr>
              <w:spacing w:after="0" w:line="240" w:lineRule="auto"/>
              <w:jc w:val="center"/>
              <w:rPr>
                <w:rFonts w:ascii="Times New Roman" w:eastAsia="Times New Roman" w:hAnsi="Times New Roman" w:cs="Times New Roman"/>
                <w:color w:val="000000"/>
                <w:kern w:val="0"/>
                <w:szCs w:val="24"/>
                <w:lang w:eastAsia="en-IN"/>
                <w14:ligatures w14:val="none"/>
              </w:rPr>
            </w:pPr>
            <w:r w:rsidRPr="00A351F7">
              <w:rPr>
                <w:rFonts w:ascii="Times New Roman" w:eastAsia="Times New Roman" w:hAnsi="Times New Roman" w:cs="Times New Roman"/>
                <w:color w:val="000000"/>
                <w:kern w:val="0"/>
                <w:szCs w:val="24"/>
                <w:lang w:eastAsia="en-IN"/>
                <w14:ligatures w14:val="none"/>
              </w:rPr>
              <w:t>2.7</w:t>
            </w:r>
          </w:p>
        </w:tc>
        <w:tc>
          <w:tcPr>
            <w:tcW w:w="939" w:type="dxa"/>
            <w:tcBorders>
              <w:top w:val="nil"/>
              <w:left w:val="nil"/>
              <w:bottom w:val="single" w:sz="4" w:space="0" w:color="auto"/>
              <w:right w:val="single" w:sz="4" w:space="0" w:color="auto"/>
            </w:tcBorders>
            <w:vAlign w:val="center"/>
            <w:hideMark/>
          </w:tcPr>
          <w:p w14:paraId="59A63681" w14:textId="77777777" w:rsidR="00A351F7" w:rsidRPr="00A351F7" w:rsidRDefault="00A351F7" w:rsidP="00A351F7">
            <w:pPr>
              <w:spacing w:after="0" w:line="240" w:lineRule="auto"/>
              <w:jc w:val="center"/>
              <w:rPr>
                <w:rFonts w:ascii="Times New Roman" w:eastAsia="Times New Roman" w:hAnsi="Times New Roman" w:cs="Times New Roman"/>
                <w:color w:val="000000"/>
                <w:kern w:val="0"/>
                <w:szCs w:val="24"/>
                <w:lang w:eastAsia="en-IN"/>
                <w14:ligatures w14:val="none"/>
              </w:rPr>
            </w:pPr>
            <w:r w:rsidRPr="00A351F7">
              <w:rPr>
                <w:rFonts w:ascii="Times New Roman" w:eastAsia="Times New Roman" w:hAnsi="Times New Roman" w:cs="Times New Roman"/>
                <w:color w:val="000000"/>
                <w:kern w:val="0"/>
                <w:szCs w:val="24"/>
                <w:lang w:eastAsia="en-IN"/>
                <w14:ligatures w14:val="none"/>
              </w:rPr>
              <w:t>31.88</w:t>
            </w:r>
          </w:p>
        </w:tc>
        <w:tc>
          <w:tcPr>
            <w:tcW w:w="986" w:type="dxa"/>
            <w:tcBorders>
              <w:top w:val="nil"/>
              <w:left w:val="nil"/>
              <w:bottom w:val="single" w:sz="4" w:space="0" w:color="auto"/>
              <w:right w:val="single" w:sz="4" w:space="0" w:color="auto"/>
            </w:tcBorders>
            <w:vAlign w:val="center"/>
            <w:hideMark/>
          </w:tcPr>
          <w:p w14:paraId="5885DFCF" w14:textId="77777777" w:rsidR="00A351F7" w:rsidRPr="00A351F7" w:rsidRDefault="00A351F7" w:rsidP="00A351F7">
            <w:pPr>
              <w:spacing w:after="0" w:line="240" w:lineRule="auto"/>
              <w:jc w:val="center"/>
              <w:rPr>
                <w:rFonts w:ascii="Times New Roman" w:eastAsia="Times New Roman" w:hAnsi="Times New Roman" w:cs="Times New Roman"/>
                <w:color w:val="000000"/>
                <w:kern w:val="0"/>
                <w:szCs w:val="24"/>
                <w:lang w:eastAsia="en-IN"/>
                <w14:ligatures w14:val="none"/>
              </w:rPr>
            </w:pPr>
            <w:r w:rsidRPr="00A351F7">
              <w:rPr>
                <w:rFonts w:ascii="Times New Roman" w:eastAsia="Times New Roman" w:hAnsi="Times New Roman" w:cs="Times New Roman"/>
                <w:color w:val="000000"/>
                <w:kern w:val="0"/>
                <w:szCs w:val="24"/>
                <w:lang w:eastAsia="en-IN"/>
                <w14:ligatures w14:val="none"/>
              </w:rPr>
              <w:t>34.95</w:t>
            </w:r>
          </w:p>
        </w:tc>
        <w:tc>
          <w:tcPr>
            <w:tcW w:w="994" w:type="dxa"/>
            <w:tcBorders>
              <w:top w:val="nil"/>
              <w:left w:val="nil"/>
              <w:bottom w:val="single" w:sz="4" w:space="0" w:color="auto"/>
              <w:right w:val="single" w:sz="4" w:space="0" w:color="auto"/>
            </w:tcBorders>
            <w:vAlign w:val="center"/>
            <w:hideMark/>
          </w:tcPr>
          <w:p w14:paraId="22E7E616" w14:textId="77777777" w:rsidR="00A351F7" w:rsidRPr="00A351F7" w:rsidRDefault="00A351F7" w:rsidP="00A351F7">
            <w:pPr>
              <w:spacing w:after="0" w:line="240" w:lineRule="auto"/>
              <w:jc w:val="center"/>
              <w:rPr>
                <w:rFonts w:ascii="Times New Roman" w:eastAsia="Times New Roman" w:hAnsi="Times New Roman" w:cs="Times New Roman"/>
                <w:color w:val="000000"/>
                <w:kern w:val="0"/>
                <w:szCs w:val="24"/>
                <w:lang w:eastAsia="en-IN"/>
                <w14:ligatures w14:val="none"/>
              </w:rPr>
            </w:pPr>
            <w:r w:rsidRPr="00A351F7">
              <w:rPr>
                <w:rFonts w:ascii="Times New Roman" w:eastAsia="Times New Roman" w:hAnsi="Times New Roman" w:cs="Times New Roman"/>
                <w:color w:val="000000"/>
                <w:kern w:val="0"/>
                <w:szCs w:val="24"/>
                <w:lang w:eastAsia="en-IN"/>
                <w14:ligatures w14:val="none"/>
              </w:rPr>
              <w:t>2.7</w:t>
            </w:r>
          </w:p>
        </w:tc>
        <w:tc>
          <w:tcPr>
            <w:tcW w:w="975" w:type="dxa"/>
            <w:tcBorders>
              <w:top w:val="nil"/>
              <w:left w:val="nil"/>
              <w:bottom w:val="single" w:sz="4" w:space="0" w:color="auto"/>
              <w:right w:val="single" w:sz="4" w:space="0" w:color="auto"/>
            </w:tcBorders>
            <w:vAlign w:val="center"/>
            <w:hideMark/>
          </w:tcPr>
          <w:p w14:paraId="3572A452" w14:textId="77777777" w:rsidR="00A351F7" w:rsidRPr="00A351F7" w:rsidRDefault="00A351F7" w:rsidP="00A351F7">
            <w:pPr>
              <w:spacing w:after="0" w:line="240" w:lineRule="auto"/>
              <w:jc w:val="center"/>
              <w:rPr>
                <w:rFonts w:ascii="Times New Roman" w:eastAsia="Times New Roman" w:hAnsi="Times New Roman" w:cs="Times New Roman"/>
                <w:color w:val="000000"/>
                <w:kern w:val="0"/>
                <w:szCs w:val="24"/>
                <w:lang w:eastAsia="en-IN"/>
                <w14:ligatures w14:val="none"/>
              </w:rPr>
            </w:pPr>
            <w:r w:rsidRPr="00A351F7">
              <w:rPr>
                <w:rFonts w:ascii="Times New Roman" w:eastAsia="Times New Roman" w:hAnsi="Times New Roman" w:cs="Times New Roman"/>
                <w:color w:val="000000"/>
                <w:kern w:val="0"/>
                <w:szCs w:val="24"/>
                <w:lang w:eastAsia="en-IN"/>
                <w14:ligatures w14:val="none"/>
              </w:rPr>
              <w:t>37.65</w:t>
            </w:r>
          </w:p>
        </w:tc>
      </w:tr>
      <w:tr w:rsidR="00A351F7" w:rsidRPr="00A351F7" w14:paraId="4E3928F8" w14:textId="77777777" w:rsidTr="00A351F7">
        <w:trPr>
          <w:trHeight w:val="495"/>
        </w:trPr>
        <w:tc>
          <w:tcPr>
            <w:tcW w:w="1403" w:type="dxa"/>
            <w:tcBorders>
              <w:top w:val="nil"/>
              <w:left w:val="single" w:sz="4" w:space="0" w:color="auto"/>
              <w:bottom w:val="single" w:sz="4" w:space="0" w:color="auto"/>
              <w:right w:val="single" w:sz="4" w:space="0" w:color="auto"/>
            </w:tcBorders>
            <w:vAlign w:val="center"/>
            <w:hideMark/>
          </w:tcPr>
          <w:p w14:paraId="25A360BF" w14:textId="77777777" w:rsidR="00A351F7" w:rsidRPr="00A351F7" w:rsidRDefault="00A351F7" w:rsidP="00A351F7">
            <w:pPr>
              <w:spacing w:after="0" w:line="240" w:lineRule="auto"/>
              <w:rPr>
                <w:rFonts w:ascii="Times New Roman" w:eastAsia="Times New Roman" w:hAnsi="Times New Roman" w:cs="Times New Roman"/>
                <w:color w:val="000000"/>
                <w:kern w:val="0"/>
                <w:szCs w:val="24"/>
                <w:lang w:eastAsia="en-IN"/>
                <w14:ligatures w14:val="none"/>
              </w:rPr>
            </w:pPr>
            <w:r w:rsidRPr="00A351F7">
              <w:rPr>
                <w:rFonts w:ascii="Times New Roman" w:eastAsia="Times New Roman" w:hAnsi="Times New Roman" w:cs="Times New Roman"/>
                <w:color w:val="000000"/>
                <w:kern w:val="0"/>
                <w:szCs w:val="24"/>
                <w:lang w:eastAsia="en-IN"/>
                <w14:ligatures w14:val="none"/>
              </w:rPr>
              <w:t>Maharashtra</w:t>
            </w:r>
          </w:p>
        </w:tc>
        <w:tc>
          <w:tcPr>
            <w:tcW w:w="985" w:type="dxa"/>
            <w:tcBorders>
              <w:top w:val="nil"/>
              <w:left w:val="nil"/>
              <w:bottom w:val="single" w:sz="4" w:space="0" w:color="auto"/>
              <w:right w:val="single" w:sz="4" w:space="0" w:color="auto"/>
            </w:tcBorders>
            <w:vAlign w:val="center"/>
            <w:hideMark/>
          </w:tcPr>
          <w:p w14:paraId="07C34CCB" w14:textId="77777777" w:rsidR="00A351F7" w:rsidRPr="00A351F7" w:rsidRDefault="00A351F7" w:rsidP="00A351F7">
            <w:pPr>
              <w:spacing w:after="0" w:line="240" w:lineRule="auto"/>
              <w:jc w:val="center"/>
              <w:rPr>
                <w:rFonts w:ascii="Times New Roman" w:eastAsia="Times New Roman" w:hAnsi="Times New Roman" w:cs="Times New Roman"/>
                <w:color w:val="000000"/>
                <w:kern w:val="0"/>
                <w:szCs w:val="24"/>
                <w:lang w:eastAsia="en-IN"/>
                <w14:ligatures w14:val="none"/>
              </w:rPr>
            </w:pPr>
            <w:r w:rsidRPr="00A351F7">
              <w:rPr>
                <w:rFonts w:ascii="Times New Roman" w:eastAsia="Times New Roman" w:hAnsi="Times New Roman" w:cs="Times New Roman"/>
                <w:color w:val="000000"/>
                <w:kern w:val="0"/>
                <w:szCs w:val="24"/>
                <w:lang w:eastAsia="en-IN"/>
                <w14:ligatures w14:val="none"/>
              </w:rPr>
              <w:t>45.6</w:t>
            </w:r>
          </w:p>
        </w:tc>
        <w:tc>
          <w:tcPr>
            <w:tcW w:w="994" w:type="dxa"/>
            <w:tcBorders>
              <w:top w:val="nil"/>
              <w:left w:val="nil"/>
              <w:bottom w:val="single" w:sz="4" w:space="0" w:color="auto"/>
              <w:right w:val="single" w:sz="4" w:space="0" w:color="auto"/>
            </w:tcBorders>
            <w:vAlign w:val="center"/>
            <w:hideMark/>
          </w:tcPr>
          <w:p w14:paraId="6A65AD35" w14:textId="77777777" w:rsidR="00A351F7" w:rsidRPr="00A351F7" w:rsidRDefault="00A351F7" w:rsidP="00A351F7">
            <w:pPr>
              <w:spacing w:after="0" w:line="240" w:lineRule="auto"/>
              <w:jc w:val="center"/>
              <w:rPr>
                <w:rFonts w:ascii="Times New Roman" w:eastAsia="Times New Roman" w:hAnsi="Times New Roman" w:cs="Times New Roman"/>
                <w:color w:val="000000"/>
                <w:kern w:val="0"/>
                <w:szCs w:val="24"/>
                <w:lang w:eastAsia="en-IN"/>
                <w14:ligatures w14:val="none"/>
              </w:rPr>
            </w:pPr>
            <w:r w:rsidRPr="00A351F7">
              <w:rPr>
                <w:rFonts w:ascii="Times New Roman" w:eastAsia="Times New Roman" w:hAnsi="Times New Roman" w:cs="Times New Roman"/>
                <w:color w:val="000000"/>
                <w:kern w:val="0"/>
                <w:szCs w:val="24"/>
                <w:lang w:eastAsia="en-IN"/>
                <w14:ligatures w14:val="none"/>
              </w:rPr>
              <w:t>..</w:t>
            </w:r>
          </w:p>
        </w:tc>
        <w:tc>
          <w:tcPr>
            <w:tcW w:w="975" w:type="dxa"/>
            <w:tcBorders>
              <w:top w:val="nil"/>
              <w:left w:val="nil"/>
              <w:bottom w:val="single" w:sz="4" w:space="0" w:color="auto"/>
              <w:right w:val="single" w:sz="4" w:space="0" w:color="auto"/>
            </w:tcBorders>
            <w:vAlign w:val="center"/>
            <w:hideMark/>
          </w:tcPr>
          <w:p w14:paraId="59B2C390" w14:textId="77777777" w:rsidR="00A351F7" w:rsidRPr="00A351F7" w:rsidRDefault="00A351F7" w:rsidP="00A351F7">
            <w:pPr>
              <w:spacing w:after="0" w:line="240" w:lineRule="auto"/>
              <w:jc w:val="center"/>
              <w:rPr>
                <w:rFonts w:ascii="Times New Roman" w:eastAsia="Times New Roman" w:hAnsi="Times New Roman" w:cs="Times New Roman"/>
                <w:color w:val="000000"/>
                <w:kern w:val="0"/>
                <w:szCs w:val="24"/>
                <w:lang w:eastAsia="en-IN"/>
                <w14:ligatures w14:val="none"/>
              </w:rPr>
            </w:pPr>
            <w:r w:rsidRPr="00A351F7">
              <w:rPr>
                <w:rFonts w:ascii="Times New Roman" w:eastAsia="Times New Roman" w:hAnsi="Times New Roman" w:cs="Times New Roman"/>
                <w:color w:val="000000"/>
                <w:kern w:val="0"/>
                <w:szCs w:val="24"/>
                <w:lang w:eastAsia="en-IN"/>
                <w14:ligatures w14:val="none"/>
              </w:rPr>
              <w:t>45.6</w:t>
            </w:r>
          </w:p>
        </w:tc>
        <w:tc>
          <w:tcPr>
            <w:tcW w:w="986" w:type="dxa"/>
            <w:tcBorders>
              <w:top w:val="nil"/>
              <w:left w:val="nil"/>
              <w:bottom w:val="single" w:sz="4" w:space="0" w:color="auto"/>
              <w:right w:val="single" w:sz="4" w:space="0" w:color="auto"/>
            </w:tcBorders>
            <w:vAlign w:val="center"/>
            <w:hideMark/>
          </w:tcPr>
          <w:p w14:paraId="3A054813" w14:textId="77777777" w:rsidR="00A351F7" w:rsidRPr="00A351F7" w:rsidRDefault="00A351F7" w:rsidP="00A351F7">
            <w:pPr>
              <w:spacing w:after="0" w:line="240" w:lineRule="auto"/>
              <w:jc w:val="center"/>
              <w:rPr>
                <w:rFonts w:ascii="Times New Roman" w:eastAsia="Times New Roman" w:hAnsi="Times New Roman" w:cs="Times New Roman"/>
                <w:color w:val="000000"/>
                <w:kern w:val="0"/>
                <w:szCs w:val="24"/>
                <w:lang w:eastAsia="en-IN"/>
                <w14:ligatures w14:val="none"/>
              </w:rPr>
            </w:pPr>
            <w:r w:rsidRPr="00A351F7">
              <w:rPr>
                <w:rFonts w:ascii="Times New Roman" w:eastAsia="Times New Roman" w:hAnsi="Times New Roman" w:cs="Times New Roman"/>
                <w:color w:val="000000"/>
                <w:kern w:val="0"/>
                <w:szCs w:val="24"/>
                <w:lang w:eastAsia="en-IN"/>
                <w14:ligatures w14:val="none"/>
              </w:rPr>
              <w:t>52.02</w:t>
            </w:r>
          </w:p>
        </w:tc>
        <w:tc>
          <w:tcPr>
            <w:tcW w:w="994" w:type="dxa"/>
            <w:tcBorders>
              <w:top w:val="nil"/>
              <w:left w:val="nil"/>
              <w:bottom w:val="single" w:sz="4" w:space="0" w:color="auto"/>
              <w:right w:val="single" w:sz="4" w:space="0" w:color="auto"/>
            </w:tcBorders>
            <w:vAlign w:val="center"/>
            <w:hideMark/>
          </w:tcPr>
          <w:p w14:paraId="77AAD5CB" w14:textId="77777777" w:rsidR="00A351F7" w:rsidRPr="00A351F7" w:rsidRDefault="00A351F7" w:rsidP="00A351F7">
            <w:pPr>
              <w:spacing w:after="0" w:line="240" w:lineRule="auto"/>
              <w:jc w:val="center"/>
              <w:rPr>
                <w:rFonts w:ascii="Times New Roman" w:eastAsia="Times New Roman" w:hAnsi="Times New Roman" w:cs="Times New Roman"/>
                <w:color w:val="000000"/>
                <w:kern w:val="0"/>
                <w:szCs w:val="24"/>
                <w:lang w:eastAsia="en-IN"/>
                <w14:ligatures w14:val="none"/>
              </w:rPr>
            </w:pPr>
            <w:r w:rsidRPr="00A351F7">
              <w:rPr>
                <w:rFonts w:ascii="Times New Roman" w:eastAsia="Times New Roman" w:hAnsi="Times New Roman" w:cs="Times New Roman"/>
                <w:color w:val="000000"/>
                <w:kern w:val="0"/>
                <w:szCs w:val="24"/>
                <w:lang w:eastAsia="en-IN"/>
                <w14:ligatures w14:val="none"/>
              </w:rPr>
              <w:t>..</w:t>
            </w:r>
          </w:p>
        </w:tc>
        <w:tc>
          <w:tcPr>
            <w:tcW w:w="939" w:type="dxa"/>
            <w:tcBorders>
              <w:top w:val="nil"/>
              <w:left w:val="nil"/>
              <w:bottom w:val="single" w:sz="4" w:space="0" w:color="auto"/>
              <w:right w:val="single" w:sz="4" w:space="0" w:color="auto"/>
            </w:tcBorders>
            <w:vAlign w:val="center"/>
            <w:hideMark/>
          </w:tcPr>
          <w:p w14:paraId="6FD8C53A" w14:textId="77777777" w:rsidR="00A351F7" w:rsidRPr="00A351F7" w:rsidRDefault="00A351F7" w:rsidP="00A351F7">
            <w:pPr>
              <w:spacing w:after="0" w:line="240" w:lineRule="auto"/>
              <w:jc w:val="center"/>
              <w:rPr>
                <w:rFonts w:ascii="Times New Roman" w:eastAsia="Times New Roman" w:hAnsi="Times New Roman" w:cs="Times New Roman"/>
                <w:color w:val="000000"/>
                <w:kern w:val="0"/>
                <w:szCs w:val="24"/>
                <w:lang w:eastAsia="en-IN"/>
                <w14:ligatures w14:val="none"/>
              </w:rPr>
            </w:pPr>
            <w:r w:rsidRPr="00A351F7">
              <w:rPr>
                <w:rFonts w:ascii="Times New Roman" w:eastAsia="Times New Roman" w:hAnsi="Times New Roman" w:cs="Times New Roman"/>
                <w:color w:val="000000"/>
                <w:kern w:val="0"/>
                <w:szCs w:val="24"/>
                <w:lang w:eastAsia="en-IN"/>
                <w14:ligatures w14:val="none"/>
              </w:rPr>
              <w:t>52.02</w:t>
            </w:r>
          </w:p>
        </w:tc>
        <w:tc>
          <w:tcPr>
            <w:tcW w:w="986" w:type="dxa"/>
            <w:tcBorders>
              <w:top w:val="nil"/>
              <w:left w:val="nil"/>
              <w:bottom w:val="single" w:sz="4" w:space="0" w:color="auto"/>
              <w:right w:val="single" w:sz="4" w:space="0" w:color="auto"/>
            </w:tcBorders>
            <w:vAlign w:val="center"/>
            <w:hideMark/>
          </w:tcPr>
          <w:p w14:paraId="6A134544" w14:textId="77777777" w:rsidR="00A351F7" w:rsidRPr="00A351F7" w:rsidRDefault="00A351F7" w:rsidP="00A351F7">
            <w:pPr>
              <w:spacing w:after="0" w:line="240" w:lineRule="auto"/>
              <w:jc w:val="center"/>
              <w:rPr>
                <w:rFonts w:ascii="Times New Roman" w:eastAsia="Times New Roman" w:hAnsi="Times New Roman" w:cs="Times New Roman"/>
                <w:color w:val="000000"/>
                <w:kern w:val="0"/>
                <w:szCs w:val="24"/>
                <w:lang w:eastAsia="en-IN"/>
                <w14:ligatures w14:val="none"/>
              </w:rPr>
            </w:pPr>
            <w:r w:rsidRPr="00A351F7">
              <w:rPr>
                <w:rFonts w:ascii="Times New Roman" w:eastAsia="Times New Roman" w:hAnsi="Times New Roman" w:cs="Times New Roman"/>
                <w:color w:val="000000"/>
                <w:kern w:val="0"/>
                <w:szCs w:val="24"/>
                <w:lang w:eastAsia="en-IN"/>
                <w14:ligatures w14:val="none"/>
              </w:rPr>
              <w:t>59.57</w:t>
            </w:r>
          </w:p>
        </w:tc>
        <w:tc>
          <w:tcPr>
            <w:tcW w:w="994" w:type="dxa"/>
            <w:tcBorders>
              <w:top w:val="nil"/>
              <w:left w:val="nil"/>
              <w:bottom w:val="single" w:sz="4" w:space="0" w:color="auto"/>
              <w:right w:val="single" w:sz="4" w:space="0" w:color="auto"/>
            </w:tcBorders>
            <w:vAlign w:val="center"/>
            <w:hideMark/>
          </w:tcPr>
          <w:p w14:paraId="00554402" w14:textId="77777777" w:rsidR="00A351F7" w:rsidRPr="00A351F7" w:rsidRDefault="00A351F7" w:rsidP="00A351F7">
            <w:pPr>
              <w:spacing w:after="0" w:line="240" w:lineRule="auto"/>
              <w:jc w:val="center"/>
              <w:rPr>
                <w:rFonts w:ascii="Times New Roman" w:eastAsia="Times New Roman" w:hAnsi="Times New Roman" w:cs="Times New Roman"/>
                <w:color w:val="000000"/>
                <w:kern w:val="0"/>
                <w:szCs w:val="24"/>
                <w:lang w:eastAsia="en-IN"/>
                <w14:ligatures w14:val="none"/>
              </w:rPr>
            </w:pPr>
            <w:r w:rsidRPr="00A351F7">
              <w:rPr>
                <w:rFonts w:ascii="Times New Roman" w:eastAsia="Times New Roman" w:hAnsi="Times New Roman" w:cs="Times New Roman"/>
                <w:color w:val="000000"/>
                <w:kern w:val="0"/>
                <w:szCs w:val="24"/>
                <w:lang w:eastAsia="en-IN"/>
                <w14:ligatures w14:val="none"/>
              </w:rPr>
              <w:t>..</w:t>
            </w:r>
          </w:p>
        </w:tc>
        <w:tc>
          <w:tcPr>
            <w:tcW w:w="975" w:type="dxa"/>
            <w:tcBorders>
              <w:top w:val="nil"/>
              <w:left w:val="nil"/>
              <w:bottom w:val="single" w:sz="4" w:space="0" w:color="auto"/>
              <w:right w:val="single" w:sz="4" w:space="0" w:color="auto"/>
            </w:tcBorders>
            <w:vAlign w:val="center"/>
            <w:hideMark/>
          </w:tcPr>
          <w:p w14:paraId="621EAF55" w14:textId="77777777" w:rsidR="00A351F7" w:rsidRPr="00A351F7" w:rsidRDefault="00A351F7" w:rsidP="00A351F7">
            <w:pPr>
              <w:spacing w:after="0" w:line="240" w:lineRule="auto"/>
              <w:jc w:val="center"/>
              <w:rPr>
                <w:rFonts w:ascii="Times New Roman" w:eastAsia="Times New Roman" w:hAnsi="Times New Roman" w:cs="Times New Roman"/>
                <w:color w:val="000000"/>
                <w:kern w:val="0"/>
                <w:szCs w:val="24"/>
                <w:lang w:eastAsia="en-IN"/>
                <w14:ligatures w14:val="none"/>
              </w:rPr>
            </w:pPr>
            <w:r w:rsidRPr="00A351F7">
              <w:rPr>
                <w:rFonts w:ascii="Times New Roman" w:eastAsia="Times New Roman" w:hAnsi="Times New Roman" w:cs="Times New Roman"/>
                <w:color w:val="000000"/>
                <w:kern w:val="0"/>
                <w:szCs w:val="24"/>
                <w:lang w:eastAsia="en-IN"/>
                <w14:ligatures w14:val="none"/>
              </w:rPr>
              <w:t>59.57</w:t>
            </w:r>
          </w:p>
        </w:tc>
      </w:tr>
      <w:tr w:rsidR="00A351F7" w:rsidRPr="00A351F7" w14:paraId="22170508" w14:textId="77777777" w:rsidTr="00A351F7">
        <w:trPr>
          <w:trHeight w:val="309"/>
        </w:trPr>
        <w:tc>
          <w:tcPr>
            <w:tcW w:w="1403" w:type="dxa"/>
            <w:tcBorders>
              <w:top w:val="nil"/>
              <w:left w:val="single" w:sz="4" w:space="0" w:color="auto"/>
              <w:bottom w:val="single" w:sz="4" w:space="0" w:color="auto"/>
              <w:right w:val="single" w:sz="4" w:space="0" w:color="auto"/>
            </w:tcBorders>
            <w:vAlign w:val="center"/>
            <w:hideMark/>
          </w:tcPr>
          <w:p w14:paraId="01E59933" w14:textId="77777777" w:rsidR="00A351F7" w:rsidRPr="00A351F7" w:rsidRDefault="00A351F7" w:rsidP="00A351F7">
            <w:pPr>
              <w:spacing w:after="0" w:line="240" w:lineRule="auto"/>
              <w:rPr>
                <w:rFonts w:ascii="Times New Roman" w:eastAsia="Times New Roman" w:hAnsi="Times New Roman" w:cs="Times New Roman"/>
                <w:color w:val="000000"/>
                <w:kern w:val="0"/>
                <w:szCs w:val="24"/>
                <w:lang w:eastAsia="en-IN"/>
                <w14:ligatures w14:val="none"/>
              </w:rPr>
            </w:pPr>
            <w:r w:rsidRPr="00A351F7">
              <w:rPr>
                <w:rFonts w:ascii="Times New Roman" w:eastAsia="Times New Roman" w:hAnsi="Times New Roman" w:cs="Times New Roman"/>
                <w:color w:val="000000"/>
                <w:kern w:val="0"/>
                <w:szCs w:val="24"/>
                <w:lang w:eastAsia="en-IN"/>
                <w14:ligatures w14:val="none"/>
              </w:rPr>
              <w:t>Mysore</w:t>
            </w:r>
          </w:p>
        </w:tc>
        <w:tc>
          <w:tcPr>
            <w:tcW w:w="985" w:type="dxa"/>
            <w:tcBorders>
              <w:top w:val="nil"/>
              <w:left w:val="nil"/>
              <w:bottom w:val="single" w:sz="4" w:space="0" w:color="auto"/>
              <w:right w:val="single" w:sz="4" w:space="0" w:color="auto"/>
            </w:tcBorders>
            <w:vAlign w:val="center"/>
            <w:hideMark/>
          </w:tcPr>
          <w:p w14:paraId="6032EA9B" w14:textId="77777777" w:rsidR="00A351F7" w:rsidRPr="00A351F7" w:rsidRDefault="00A351F7" w:rsidP="00A351F7">
            <w:pPr>
              <w:spacing w:after="0" w:line="240" w:lineRule="auto"/>
              <w:jc w:val="center"/>
              <w:rPr>
                <w:rFonts w:ascii="Times New Roman" w:eastAsia="Times New Roman" w:hAnsi="Times New Roman" w:cs="Times New Roman"/>
                <w:color w:val="000000"/>
                <w:kern w:val="0"/>
                <w:szCs w:val="24"/>
                <w:lang w:eastAsia="en-IN"/>
                <w14:ligatures w14:val="none"/>
              </w:rPr>
            </w:pPr>
            <w:r w:rsidRPr="00A351F7">
              <w:rPr>
                <w:rFonts w:ascii="Times New Roman" w:eastAsia="Times New Roman" w:hAnsi="Times New Roman" w:cs="Times New Roman"/>
                <w:color w:val="000000"/>
                <w:kern w:val="0"/>
                <w:szCs w:val="24"/>
                <w:lang w:eastAsia="en-IN"/>
                <w14:ligatures w14:val="none"/>
              </w:rPr>
              <w:t>19.69</w:t>
            </w:r>
          </w:p>
        </w:tc>
        <w:tc>
          <w:tcPr>
            <w:tcW w:w="994" w:type="dxa"/>
            <w:tcBorders>
              <w:top w:val="nil"/>
              <w:left w:val="nil"/>
              <w:bottom w:val="single" w:sz="4" w:space="0" w:color="auto"/>
              <w:right w:val="single" w:sz="4" w:space="0" w:color="auto"/>
            </w:tcBorders>
            <w:vAlign w:val="center"/>
            <w:hideMark/>
          </w:tcPr>
          <w:p w14:paraId="1C5F152E" w14:textId="77777777" w:rsidR="00A351F7" w:rsidRPr="00A351F7" w:rsidRDefault="00A351F7" w:rsidP="00A351F7">
            <w:pPr>
              <w:spacing w:after="0" w:line="240" w:lineRule="auto"/>
              <w:jc w:val="center"/>
              <w:rPr>
                <w:rFonts w:ascii="Times New Roman" w:eastAsia="Times New Roman" w:hAnsi="Times New Roman" w:cs="Times New Roman"/>
                <w:color w:val="000000"/>
                <w:kern w:val="0"/>
                <w:szCs w:val="24"/>
                <w:lang w:eastAsia="en-IN"/>
                <w14:ligatures w14:val="none"/>
              </w:rPr>
            </w:pPr>
            <w:r w:rsidRPr="00A351F7">
              <w:rPr>
                <w:rFonts w:ascii="Times New Roman" w:eastAsia="Times New Roman" w:hAnsi="Times New Roman" w:cs="Times New Roman"/>
                <w:color w:val="000000"/>
                <w:kern w:val="0"/>
                <w:szCs w:val="24"/>
                <w:lang w:eastAsia="en-IN"/>
                <w14:ligatures w14:val="none"/>
              </w:rPr>
              <w:t>20.82</w:t>
            </w:r>
          </w:p>
        </w:tc>
        <w:tc>
          <w:tcPr>
            <w:tcW w:w="975" w:type="dxa"/>
            <w:tcBorders>
              <w:top w:val="nil"/>
              <w:left w:val="nil"/>
              <w:bottom w:val="single" w:sz="4" w:space="0" w:color="auto"/>
              <w:right w:val="single" w:sz="4" w:space="0" w:color="auto"/>
            </w:tcBorders>
            <w:vAlign w:val="center"/>
            <w:hideMark/>
          </w:tcPr>
          <w:p w14:paraId="06BC3A2A" w14:textId="77777777" w:rsidR="00A351F7" w:rsidRPr="00A351F7" w:rsidRDefault="00A351F7" w:rsidP="00A351F7">
            <w:pPr>
              <w:spacing w:after="0" w:line="240" w:lineRule="auto"/>
              <w:jc w:val="center"/>
              <w:rPr>
                <w:rFonts w:ascii="Times New Roman" w:eastAsia="Times New Roman" w:hAnsi="Times New Roman" w:cs="Times New Roman"/>
                <w:color w:val="000000"/>
                <w:kern w:val="0"/>
                <w:szCs w:val="24"/>
                <w:lang w:eastAsia="en-IN"/>
                <w14:ligatures w14:val="none"/>
              </w:rPr>
            </w:pPr>
            <w:r w:rsidRPr="00A351F7">
              <w:rPr>
                <w:rFonts w:ascii="Times New Roman" w:eastAsia="Times New Roman" w:hAnsi="Times New Roman" w:cs="Times New Roman"/>
                <w:color w:val="000000"/>
                <w:kern w:val="0"/>
                <w:szCs w:val="24"/>
                <w:lang w:eastAsia="en-IN"/>
                <w14:ligatures w14:val="none"/>
              </w:rPr>
              <w:t>40.51</w:t>
            </w:r>
          </w:p>
        </w:tc>
        <w:tc>
          <w:tcPr>
            <w:tcW w:w="986" w:type="dxa"/>
            <w:tcBorders>
              <w:top w:val="nil"/>
              <w:left w:val="nil"/>
              <w:bottom w:val="single" w:sz="4" w:space="0" w:color="auto"/>
              <w:right w:val="single" w:sz="4" w:space="0" w:color="auto"/>
            </w:tcBorders>
            <w:vAlign w:val="center"/>
            <w:hideMark/>
          </w:tcPr>
          <w:p w14:paraId="7E10166D" w14:textId="77777777" w:rsidR="00A351F7" w:rsidRPr="00A351F7" w:rsidRDefault="00A351F7" w:rsidP="00A351F7">
            <w:pPr>
              <w:spacing w:after="0" w:line="240" w:lineRule="auto"/>
              <w:jc w:val="center"/>
              <w:rPr>
                <w:rFonts w:ascii="Times New Roman" w:eastAsia="Times New Roman" w:hAnsi="Times New Roman" w:cs="Times New Roman"/>
                <w:color w:val="000000"/>
                <w:kern w:val="0"/>
                <w:szCs w:val="24"/>
                <w:lang w:eastAsia="en-IN"/>
                <w14:ligatures w14:val="none"/>
              </w:rPr>
            </w:pPr>
            <w:r w:rsidRPr="00A351F7">
              <w:rPr>
                <w:rFonts w:ascii="Times New Roman" w:eastAsia="Times New Roman" w:hAnsi="Times New Roman" w:cs="Times New Roman"/>
                <w:color w:val="000000"/>
                <w:kern w:val="0"/>
                <w:szCs w:val="24"/>
                <w:lang w:eastAsia="en-IN"/>
                <w14:ligatures w14:val="none"/>
              </w:rPr>
              <w:t>22.38</w:t>
            </w:r>
          </w:p>
        </w:tc>
        <w:tc>
          <w:tcPr>
            <w:tcW w:w="994" w:type="dxa"/>
            <w:tcBorders>
              <w:top w:val="nil"/>
              <w:left w:val="nil"/>
              <w:bottom w:val="single" w:sz="4" w:space="0" w:color="auto"/>
              <w:right w:val="single" w:sz="4" w:space="0" w:color="auto"/>
            </w:tcBorders>
            <w:vAlign w:val="center"/>
            <w:hideMark/>
          </w:tcPr>
          <w:p w14:paraId="4A394424" w14:textId="77777777" w:rsidR="00A351F7" w:rsidRPr="00A351F7" w:rsidRDefault="00A351F7" w:rsidP="00A351F7">
            <w:pPr>
              <w:spacing w:after="0" w:line="240" w:lineRule="auto"/>
              <w:jc w:val="center"/>
              <w:rPr>
                <w:rFonts w:ascii="Times New Roman" w:eastAsia="Times New Roman" w:hAnsi="Times New Roman" w:cs="Times New Roman"/>
                <w:color w:val="000000"/>
                <w:kern w:val="0"/>
                <w:szCs w:val="24"/>
                <w:lang w:eastAsia="en-IN"/>
                <w14:ligatures w14:val="none"/>
              </w:rPr>
            </w:pPr>
            <w:r w:rsidRPr="00A351F7">
              <w:rPr>
                <w:rFonts w:ascii="Times New Roman" w:eastAsia="Times New Roman" w:hAnsi="Times New Roman" w:cs="Times New Roman"/>
                <w:color w:val="000000"/>
                <w:kern w:val="0"/>
                <w:szCs w:val="24"/>
                <w:lang w:eastAsia="en-IN"/>
                <w14:ligatures w14:val="none"/>
              </w:rPr>
              <w:t>20.82</w:t>
            </w:r>
          </w:p>
        </w:tc>
        <w:tc>
          <w:tcPr>
            <w:tcW w:w="939" w:type="dxa"/>
            <w:tcBorders>
              <w:top w:val="nil"/>
              <w:left w:val="nil"/>
              <w:bottom w:val="single" w:sz="4" w:space="0" w:color="auto"/>
              <w:right w:val="single" w:sz="4" w:space="0" w:color="auto"/>
            </w:tcBorders>
            <w:vAlign w:val="center"/>
            <w:hideMark/>
          </w:tcPr>
          <w:p w14:paraId="11F7EC54" w14:textId="77777777" w:rsidR="00A351F7" w:rsidRPr="00A351F7" w:rsidRDefault="00A351F7" w:rsidP="00A351F7">
            <w:pPr>
              <w:spacing w:after="0" w:line="240" w:lineRule="auto"/>
              <w:jc w:val="center"/>
              <w:rPr>
                <w:rFonts w:ascii="Times New Roman" w:eastAsia="Times New Roman" w:hAnsi="Times New Roman" w:cs="Times New Roman"/>
                <w:color w:val="000000"/>
                <w:kern w:val="0"/>
                <w:szCs w:val="24"/>
                <w:lang w:eastAsia="en-IN"/>
                <w14:ligatures w14:val="none"/>
              </w:rPr>
            </w:pPr>
            <w:r w:rsidRPr="00A351F7">
              <w:rPr>
                <w:rFonts w:ascii="Times New Roman" w:eastAsia="Times New Roman" w:hAnsi="Times New Roman" w:cs="Times New Roman"/>
                <w:color w:val="000000"/>
                <w:kern w:val="0"/>
                <w:szCs w:val="24"/>
                <w:lang w:eastAsia="en-IN"/>
                <w14:ligatures w14:val="none"/>
              </w:rPr>
              <w:t>43.2</w:t>
            </w:r>
          </w:p>
        </w:tc>
        <w:tc>
          <w:tcPr>
            <w:tcW w:w="986" w:type="dxa"/>
            <w:tcBorders>
              <w:top w:val="nil"/>
              <w:left w:val="nil"/>
              <w:bottom w:val="single" w:sz="4" w:space="0" w:color="auto"/>
              <w:right w:val="single" w:sz="4" w:space="0" w:color="auto"/>
            </w:tcBorders>
            <w:vAlign w:val="center"/>
            <w:hideMark/>
          </w:tcPr>
          <w:p w14:paraId="6F31FE6C" w14:textId="77777777" w:rsidR="00A351F7" w:rsidRPr="00A351F7" w:rsidRDefault="00A351F7" w:rsidP="00A351F7">
            <w:pPr>
              <w:spacing w:after="0" w:line="240" w:lineRule="auto"/>
              <w:jc w:val="center"/>
              <w:rPr>
                <w:rFonts w:ascii="Times New Roman" w:eastAsia="Times New Roman" w:hAnsi="Times New Roman" w:cs="Times New Roman"/>
                <w:color w:val="000000"/>
                <w:kern w:val="0"/>
                <w:szCs w:val="24"/>
                <w:lang w:eastAsia="en-IN"/>
                <w14:ligatures w14:val="none"/>
              </w:rPr>
            </w:pPr>
            <w:r w:rsidRPr="00A351F7">
              <w:rPr>
                <w:rFonts w:ascii="Times New Roman" w:eastAsia="Times New Roman" w:hAnsi="Times New Roman" w:cs="Times New Roman"/>
                <w:color w:val="000000"/>
                <w:kern w:val="0"/>
                <w:szCs w:val="24"/>
                <w:lang w:eastAsia="en-IN"/>
                <w14:ligatures w14:val="none"/>
              </w:rPr>
              <w:t>26.03</w:t>
            </w:r>
          </w:p>
        </w:tc>
        <w:tc>
          <w:tcPr>
            <w:tcW w:w="994" w:type="dxa"/>
            <w:tcBorders>
              <w:top w:val="nil"/>
              <w:left w:val="nil"/>
              <w:bottom w:val="single" w:sz="4" w:space="0" w:color="auto"/>
              <w:right w:val="single" w:sz="4" w:space="0" w:color="auto"/>
            </w:tcBorders>
            <w:vAlign w:val="center"/>
            <w:hideMark/>
          </w:tcPr>
          <w:p w14:paraId="6BFA6001" w14:textId="77777777" w:rsidR="00A351F7" w:rsidRPr="00A351F7" w:rsidRDefault="00A351F7" w:rsidP="00A351F7">
            <w:pPr>
              <w:spacing w:after="0" w:line="240" w:lineRule="auto"/>
              <w:jc w:val="center"/>
              <w:rPr>
                <w:rFonts w:ascii="Times New Roman" w:eastAsia="Times New Roman" w:hAnsi="Times New Roman" w:cs="Times New Roman"/>
                <w:color w:val="000000"/>
                <w:kern w:val="0"/>
                <w:szCs w:val="24"/>
                <w:lang w:eastAsia="en-IN"/>
                <w14:ligatures w14:val="none"/>
              </w:rPr>
            </w:pPr>
            <w:r w:rsidRPr="00A351F7">
              <w:rPr>
                <w:rFonts w:ascii="Times New Roman" w:eastAsia="Times New Roman" w:hAnsi="Times New Roman" w:cs="Times New Roman"/>
                <w:color w:val="000000"/>
                <w:kern w:val="0"/>
                <w:szCs w:val="24"/>
                <w:lang w:eastAsia="en-IN"/>
                <w14:ligatures w14:val="none"/>
              </w:rPr>
              <w:t>20.82</w:t>
            </w:r>
          </w:p>
        </w:tc>
        <w:tc>
          <w:tcPr>
            <w:tcW w:w="975" w:type="dxa"/>
            <w:tcBorders>
              <w:top w:val="nil"/>
              <w:left w:val="nil"/>
              <w:bottom w:val="single" w:sz="4" w:space="0" w:color="auto"/>
              <w:right w:val="single" w:sz="4" w:space="0" w:color="auto"/>
            </w:tcBorders>
            <w:vAlign w:val="center"/>
            <w:hideMark/>
          </w:tcPr>
          <w:p w14:paraId="7F42006B" w14:textId="77777777" w:rsidR="00A351F7" w:rsidRPr="00A351F7" w:rsidRDefault="00A351F7" w:rsidP="00A351F7">
            <w:pPr>
              <w:spacing w:after="0" w:line="240" w:lineRule="auto"/>
              <w:jc w:val="center"/>
              <w:rPr>
                <w:rFonts w:ascii="Times New Roman" w:eastAsia="Times New Roman" w:hAnsi="Times New Roman" w:cs="Times New Roman"/>
                <w:color w:val="000000"/>
                <w:kern w:val="0"/>
                <w:szCs w:val="24"/>
                <w:lang w:eastAsia="en-IN"/>
                <w14:ligatures w14:val="none"/>
              </w:rPr>
            </w:pPr>
            <w:r w:rsidRPr="00A351F7">
              <w:rPr>
                <w:rFonts w:ascii="Times New Roman" w:eastAsia="Times New Roman" w:hAnsi="Times New Roman" w:cs="Times New Roman"/>
                <w:color w:val="000000"/>
                <w:kern w:val="0"/>
                <w:szCs w:val="24"/>
                <w:lang w:eastAsia="en-IN"/>
                <w14:ligatures w14:val="none"/>
              </w:rPr>
              <w:t>46.85</w:t>
            </w:r>
          </w:p>
        </w:tc>
      </w:tr>
      <w:tr w:rsidR="00A351F7" w:rsidRPr="00A351F7" w14:paraId="5CF004A7" w14:textId="77777777" w:rsidTr="00A351F7">
        <w:trPr>
          <w:trHeight w:val="309"/>
        </w:trPr>
        <w:tc>
          <w:tcPr>
            <w:tcW w:w="1403" w:type="dxa"/>
            <w:tcBorders>
              <w:top w:val="nil"/>
              <w:left w:val="single" w:sz="4" w:space="0" w:color="auto"/>
              <w:bottom w:val="single" w:sz="4" w:space="0" w:color="auto"/>
              <w:right w:val="single" w:sz="4" w:space="0" w:color="auto"/>
            </w:tcBorders>
            <w:vAlign w:val="center"/>
            <w:hideMark/>
          </w:tcPr>
          <w:p w14:paraId="6828B6A1" w14:textId="77777777" w:rsidR="00A351F7" w:rsidRPr="00A351F7" w:rsidRDefault="00A351F7" w:rsidP="00A351F7">
            <w:pPr>
              <w:spacing w:after="0" w:line="240" w:lineRule="auto"/>
              <w:rPr>
                <w:rFonts w:ascii="Times New Roman" w:eastAsia="Times New Roman" w:hAnsi="Times New Roman" w:cs="Times New Roman"/>
                <w:color w:val="000000"/>
                <w:kern w:val="0"/>
                <w:szCs w:val="24"/>
                <w:lang w:eastAsia="en-IN"/>
                <w14:ligatures w14:val="none"/>
              </w:rPr>
            </w:pPr>
            <w:r w:rsidRPr="00A351F7">
              <w:rPr>
                <w:rFonts w:ascii="Times New Roman" w:eastAsia="Times New Roman" w:hAnsi="Times New Roman" w:cs="Times New Roman"/>
                <w:color w:val="000000"/>
                <w:kern w:val="0"/>
                <w:szCs w:val="24"/>
                <w:lang w:eastAsia="en-IN"/>
                <w14:ligatures w14:val="none"/>
              </w:rPr>
              <w:t>Nagaland</w:t>
            </w:r>
          </w:p>
        </w:tc>
        <w:tc>
          <w:tcPr>
            <w:tcW w:w="985" w:type="dxa"/>
            <w:tcBorders>
              <w:top w:val="nil"/>
              <w:left w:val="nil"/>
              <w:bottom w:val="single" w:sz="4" w:space="0" w:color="auto"/>
              <w:right w:val="single" w:sz="4" w:space="0" w:color="auto"/>
            </w:tcBorders>
            <w:vAlign w:val="center"/>
            <w:hideMark/>
          </w:tcPr>
          <w:p w14:paraId="7CF33D90" w14:textId="77777777" w:rsidR="00A351F7" w:rsidRPr="00A351F7" w:rsidRDefault="00A351F7" w:rsidP="00A351F7">
            <w:pPr>
              <w:spacing w:after="0" w:line="240" w:lineRule="auto"/>
              <w:jc w:val="center"/>
              <w:rPr>
                <w:rFonts w:ascii="Times New Roman" w:eastAsia="Times New Roman" w:hAnsi="Times New Roman" w:cs="Times New Roman"/>
                <w:color w:val="000000"/>
                <w:kern w:val="0"/>
                <w:szCs w:val="24"/>
                <w:lang w:eastAsia="en-IN"/>
                <w14:ligatures w14:val="none"/>
              </w:rPr>
            </w:pPr>
            <w:r w:rsidRPr="00A351F7">
              <w:rPr>
                <w:rFonts w:ascii="Times New Roman" w:eastAsia="Times New Roman" w:hAnsi="Times New Roman" w:cs="Times New Roman"/>
                <w:color w:val="000000"/>
                <w:kern w:val="0"/>
                <w:szCs w:val="24"/>
                <w:lang w:eastAsia="en-IN"/>
                <w14:ligatures w14:val="none"/>
              </w:rPr>
              <w:t>4.07</w:t>
            </w:r>
          </w:p>
        </w:tc>
        <w:tc>
          <w:tcPr>
            <w:tcW w:w="994" w:type="dxa"/>
            <w:tcBorders>
              <w:top w:val="nil"/>
              <w:left w:val="nil"/>
              <w:bottom w:val="single" w:sz="4" w:space="0" w:color="auto"/>
              <w:right w:val="single" w:sz="4" w:space="0" w:color="auto"/>
            </w:tcBorders>
            <w:vAlign w:val="center"/>
            <w:hideMark/>
          </w:tcPr>
          <w:p w14:paraId="1A8DBFEA" w14:textId="77777777" w:rsidR="00A351F7" w:rsidRPr="00A351F7" w:rsidRDefault="00A351F7" w:rsidP="00A351F7">
            <w:pPr>
              <w:spacing w:after="0" w:line="240" w:lineRule="auto"/>
              <w:jc w:val="center"/>
              <w:rPr>
                <w:rFonts w:ascii="Times New Roman" w:eastAsia="Times New Roman" w:hAnsi="Times New Roman" w:cs="Times New Roman"/>
                <w:color w:val="000000"/>
                <w:kern w:val="0"/>
                <w:szCs w:val="24"/>
                <w:lang w:eastAsia="en-IN"/>
                <w14:ligatures w14:val="none"/>
              </w:rPr>
            </w:pPr>
            <w:r w:rsidRPr="00A351F7">
              <w:rPr>
                <w:rFonts w:ascii="Times New Roman" w:eastAsia="Times New Roman" w:hAnsi="Times New Roman" w:cs="Times New Roman"/>
                <w:color w:val="000000"/>
                <w:kern w:val="0"/>
                <w:szCs w:val="24"/>
                <w:lang w:eastAsia="en-IN"/>
                <w14:ligatures w14:val="none"/>
              </w:rPr>
              <w:t>7.07</w:t>
            </w:r>
          </w:p>
        </w:tc>
        <w:tc>
          <w:tcPr>
            <w:tcW w:w="975" w:type="dxa"/>
            <w:tcBorders>
              <w:top w:val="nil"/>
              <w:left w:val="nil"/>
              <w:bottom w:val="single" w:sz="4" w:space="0" w:color="auto"/>
              <w:right w:val="single" w:sz="4" w:space="0" w:color="auto"/>
            </w:tcBorders>
            <w:vAlign w:val="center"/>
            <w:hideMark/>
          </w:tcPr>
          <w:p w14:paraId="4B083E90" w14:textId="77777777" w:rsidR="00A351F7" w:rsidRPr="00A351F7" w:rsidRDefault="00A351F7" w:rsidP="00A351F7">
            <w:pPr>
              <w:spacing w:after="0" w:line="240" w:lineRule="auto"/>
              <w:jc w:val="center"/>
              <w:rPr>
                <w:rFonts w:ascii="Times New Roman" w:eastAsia="Times New Roman" w:hAnsi="Times New Roman" w:cs="Times New Roman"/>
                <w:color w:val="000000"/>
                <w:kern w:val="0"/>
                <w:szCs w:val="24"/>
                <w:lang w:eastAsia="en-IN"/>
                <w14:ligatures w14:val="none"/>
              </w:rPr>
            </w:pPr>
            <w:r w:rsidRPr="00A351F7">
              <w:rPr>
                <w:rFonts w:ascii="Times New Roman" w:eastAsia="Times New Roman" w:hAnsi="Times New Roman" w:cs="Times New Roman"/>
                <w:color w:val="000000"/>
                <w:kern w:val="0"/>
                <w:szCs w:val="24"/>
                <w:lang w:eastAsia="en-IN"/>
                <w14:ligatures w14:val="none"/>
              </w:rPr>
              <w:t>11.14</w:t>
            </w:r>
          </w:p>
        </w:tc>
        <w:tc>
          <w:tcPr>
            <w:tcW w:w="986" w:type="dxa"/>
            <w:tcBorders>
              <w:top w:val="nil"/>
              <w:left w:val="nil"/>
              <w:bottom w:val="single" w:sz="4" w:space="0" w:color="auto"/>
              <w:right w:val="single" w:sz="4" w:space="0" w:color="auto"/>
            </w:tcBorders>
            <w:vAlign w:val="center"/>
            <w:hideMark/>
          </w:tcPr>
          <w:p w14:paraId="1654E9E4" w14:textId="77777777" w:rsidR="00A351F7" w:rsidRPr="00A351F7" w:rsidRDefault="00A351F7" w:rsidP="00A351F7">
            <w:pPr>
              <w:spacing w:after="0" w:line="240" w:lineRule="auto"/>
              <w:jc w:val="center"/>
              <w:rPr>
                <w:rFonts w:ascii="Times New Roman" w:eastAsia="Times New Roman" w:hAnsi="Times New Roman" w:cs="Times New Roman"/>
                <w:color w:val="000000"/>
                <w:kern w:val="0"/>
                <w:szCs w:val="24"/>
                <w:lang w:eastAsia="en-IN"/>
                <w14:ligatures w14:val="none"/>
              </w:rPr>
            </w:pPr>
            <w:r w:rsidRPr="00A351F7">
              <w:rPr>
                <w:rFonts w:ascii="Times New Roman" w:eastAsia="Times New Roman" w:hAnsi="Times New Roman" w:cs="Times New Roman"/>
                <w:color w:val="000000"/>
                <w:kern w:val="0"/>
                <w:szCs w:val="24"/>
                <w:lang w:eastAsia="en-IN"/>
                <w14:ligatures w14:val="none"/>
              </w:rPr>
              <w:t>4.59</w:t>
            </w:r>
          </w:p>
        </w:tc>
        <w:tc>
          <w:tcPr>
            <w:tcW w:w="994" w:type="dxa"/>
            <w:tcBorders>
              <w:top w:val="nil"/>
              <w:left w:val="nil"/>
              <w:bottom w:val="single" w:sz="4" w:space="0" w:color="auto"/>
              <w:right w:val="single" w:sz="4" w:space="0" w:color="auto"/>
            </w:tcBorders>
            <w:vAlign w:val="center"/>
            <w:hideMark/>
          </w:tcPr>
          <w:p w14:paraId="529D7F8F" w14:textId="77777777" w:rsidR="00A351F7" w:rsidRPr="00A351F7" w:rsidRDefault="00A351F7" w:rsidP="00A351F7">
            <w:pPr>
              <w:spacing w:after="0" w:line="240" w:lineRule="auto"/>
              <w:jc w:val="center"/>
              <w:rPr>
                <w:rFonts w:ascii="Times New Roman" w:eastAsia="Times New Roman" w:hAnsi="Times New Roman" w:cs="Times New Roman"/>
                <w:color w:val="000000"/>
                <w:kern w:val="0"/>
                <w:szCs w:val="24"/>
                <w:lang w:eastAsia="en-IN"/>
                <w14:ligatures w14:val="none"/>
              </w:rPr>
            </w:pPr>
            <w:r w:rsidRPr="00A351F7">
              <w:rPr>
                <w:rFonts w:ascii="Times New Roman" w:eastAsia="Times New Roman" w:hAnsi="Times New Roman" w:cs="Times New Roman"/>
                <w:color w:val="000000"/>
                <w:kern w:val="0"/>
                <w:szCs w:val="24"/>
                <w:lang w:eastAsia="en-IN"/>
                <w14:ligatures w14:val="none"/>
              </w:rPr>
              <w:t>7.07</w:t>
            </w:r>
          </w:p>
        </w:tc>
        <w:tc>
          <w:tcPr>
            <w:tcW w:w="939" w:type="dxa"/>
            <w:tcBorders>
              <w:top w:val="nil"/>
              <w:left w:val="nil"/>
              <w:bottom w:val="single" w:sz="4" w:space="0" w:color="auto"/>
              <w:right w:val="single" w:sz="4" w:space="0" w:color="auto"/>
            </w:tcBorders>
            <w:vAlign w:val="center"/>
            <w:hideMark/>
          </w:tcPr>
          <w:p w14:paraId="7F335F78" w14:textId="77777777" w:rsidR="00A351F7" w:rsidRPr="00A351F7" w:rsidRDefault="00A351F7" w:rsidP="00A351F7">
            <w:pPr>
              <w:spacing w:after="0" w:line="240" w:lineRule="auto"/>
              <w:jc w:val="center"/>
              <w:rPr>
                <w:rFonts w:ascii="Times New Roman" w:eastAsia="Times New Roman" w:hAnsi="Times New Roman" w:cs="Times New Roman"/>
                <w:color w:val="000000"/>
                <w:kern w:val="0"/>
                <w:szCs w:val="24"/>
                <w:lang w:eastAsia="en-IN"/>
                <w14:ligatures w14:val="none"/>
              </w:rPr>
            </w:pPr>
            <w:r w:rsidRPr="00A351F7">
              <w:rPr>
                <w:rFonts w:ascii="Times New Roman" w:eastAsia="Times New Roman" w:hAnsi="Times New Roman" w:cs="Times New Roman"/>
                <w:color w:val="000000"/>
                <w:kern w:val="0"/>
                <w:szCs w:val="24"/>
                <w:lang w:eastAsia="en-IN"/>
                <w14:ligatures w14:val="none"/>
              </w:rPr>
              <w:t>11.66</w:t>
            </w:r>
          </w:p>
        </w:tc>
        <w:tc>
          <w:tcPr>
            <w:tcW w:w="986" w:type="dxa"/>
            <w:tcBorders>
              <w:top w:val="nil"/>
              <w:left w:val="nil"/>
              <w:bottom w:val="single" w:sz="4" w:space="0" w:color="auto"/>
              <w:right w:val="single" w:sz="4" w:space="0" w:color="auto"/>
            </w:tcBorders>
            <w:vAlign w:val="center"/>
            <w:hideMark/>
          </w:tcPr>
          <w:p w14:paraId="70E28C95" w14:textId="77777777" w:rsidR="00A351F7" w:rsidRPr="00A351F7" w:rsidRDefault="00A351F7" w:rsidP="00A351F7">
            <w:pPr>
              <w:spacing w:after="0" w:line="240" w:lineRule="auto"/>
              <w:jc w:val="center"/>
              <w:rPr>
                <w:rFonts w:ascii="Times New Roman" w:eastAsia="Times New Roman" w:hAnsi="Times New Roman" w:cs="Times New Roman"/>
                <w:color w:val="000000"/>
                <w:kern w:val="0"/>
                <w:szCs w:val="24"/>
                <w:lang w:eastAsia="en-IN"/>
                <w14:ligatures w14:val="none"/>
              </w:rPr>
            </w:pPr>
            <w:r w:rsidRPr="00A351F7">
              <w:rPr>
                <w:rFonts w:ascii="Times New Roman" w:eastAsia="Times New Roman" w:hAnsi="Times New Roman" w:cs="Times New Roman"/>
                <w:color w:val="000000"/>
                <w:kern w:val="0"/>
                <w:szCs w:val="24"/>
                <w:lang w:eastAsia="en-IN"/>
                <w14:ligatures w14:val="none"/>
              </w:rPr>
              <w:t>5.26</w:t>
            </w:r>
          </w:p>
        </w:tc>
        <w:tc>
          <w:tcPr>
            <w:tcW w:w="994" w:type="dxa"/>
            <w:tcBorders>
              <w:top w:val="nil"/>
              <w:left w:val="nil"/>
              <w:bottom w:val="single" w:sz="4" w:space="0" w:color="auto"/>
              <w:right w:val="single" w:sz="4" w:space="0" w:color="auto"/>
            </w:tcBorders>
            <w:vAlign w:val="center"/>
            <w:hideMark/>
          </w:tcPr>
          <w:p w14:paraId="3E381210" w14:textId="77777777" w:rsidR="00A351F7" w:rsidRPr="00A351F7" w:rsidRDefault="00A351F7" w:rsidP="00A351F7">
            <w:pPr>
              <w:spacing w:after="0" w:line="240" w:lineRule="auto"/>
              <w:jc w:val="center"/>
              <w:rPr>
                <w:rFonts w:ascii="Times New Roman" w:eastAsia="Times New Roman" w:hAnsi="Times New Roman" w:cs="Times New Roman"/>
                <w:color w:val="000000"/>
                <w:kern w:val="0"/>
                <w:szCs w:val="24"/>
                <w:lang w:eastAsia="en-IN"/>
                <w14:ligatures w14:val="none"/>
              </w:rPr>
            </w:pPr>
            <w:r w:rsidRPr="00A351F7">
              <w:rPr>
                <w:rFonts w:ascii="Times New Roman" w:eastAsia="Times New Roman" w:hAnsi="Times New Roman" w:cs="Times New Roman"/>
                <w:color w:val="000000"/>
                <w:kern w:val="0"/>
                <w:szCs w:val="24"/>
                <w:lang w:eastAsia="en-IN"/>
                <w14:ligatures w14:val="none"/>
              </w:rPr>
              <w:t>7.07</w:t>
            </w:r>
          </w:p>
        </w:tc>
        <w:tc>
          <w:tcPr>
            <w:tcW w:w="975" w:type="dxa"/>
            <w:tcBorders>
              <w:top w:val="nil"/>
              <w:left w:val="nil"/>
              <w:bottom w:val="single" w:sz="4" w:space="0" w:color="auto"/>
              <w:right w:val="single" w:sz="4" w:space="0" w:color="auto"/>
            </w:tcBorders>
            <w:vAlign w:val="center"/>
            <w:hideMark/>
          </w:tcPr>
          <w:p w14:paraId="0819B2E1" w14:textId="77777777" w:rsidR="00A351F7" w:rsidRPr="00A351F7" w:rsidRDefault="00A351F7" w:rsidP="00A351F7">
            <w:pPr>
              <w:spacing w:after="0" w:line="240" w:lineRule="auto"/>
              <w:jc w:val="center"/>
              <w:rPr>
                <w:rFonts w:ascii="Times New Roman" w:eastAsia="Times New Roman" w:hAnsi="Times New Roman" w:cs="Times New Roman"/>
                <w:color w:val="000000"/>
                <w:kern w:val="0"/>
                <w:szCs w:val="24"/>
                <w:lang w:eastAsia="en-IN"/>
                <w14:ligatures w14:val="none"/>
              </w:rPr>
            </w:pPr>
            <w:r w:rsidRPr="00A351F7">
              <w:rPr>
                <w:rFonts w:ascii="Times New Roman" w:eastAsia="Times New Roman" w:hAnsi="Times New Roman" w:cs="Times New Roman"/>
                <w:color w:val="000000"/>
                <w:kern w:val="0"/>
                <w:szCs w:val="24"/>
                <w:lang w:eastAsia="en-IN"/>
                <w14:ligatures w14:val="none"/>
              </w:rPr>
              <w:t>12.33</w:t>
            </w:r>
          </w:p>
        </w:tc>
      </w:tr>
      <w:tr w:rsidR="00A351F7" w:rsidRPr="00A351F7" w14:paraId="3391765D" w14:textId="77777777" w:rsidTr="00A351F7">
        <w:trPr>
          <w:trHeight w:val="309"/>
        </w:trPr>
        <w:tc>
          <w:tcPr>
            <w:tcW w:w="1403" w:type="dxa"/>
            <w:tcBorders>
              <w:top w:val="nil"/>
              <w:left w:val="single" w:sz="4" w:space="0" w:color="auto"/>
              <w:bottom w:val="single" w:sz="4" w:space="0" w:color="auto"/>
              <w:right w:val="single" w:sz="4" w:space="0" w:color="auto"/>
            </w:tcBorders>
            <w:vAlign w:val="center"/>
            <w:hideMark/>
          </w:tcPr>
          <w:p w14:paraId="7EEF6D3B" w14:textId="77777777" w:rsidR="00A351F7" w:rsidRPr="00A351F7" w:rsidRDefault="00A351F7" w:rsidP="00A351F7">
            <w:pPr>
              <w:spacing w:after="0" w:line="240" w:lineRule="auto"/>
              <w:rPr>
                <w:rFonts w:ascii="Times New Roman" w:eastAsia="Times New Roman" w:hAnsi="Times New Roman" w:cs="Times New Roman"/>
                <w:color w:val="000000"/>
                <w:kern w:val="0"/>
                <w:szCs w:val="24"/>
                <w:lang w:eastAsia="en-IN"/>
                <w14:ligatures w14:val="none"/>
              </w:rPr>
            </w:pPr>
            <w:r w:rsidRPr="00A351F7">
              <w:rPr>
                <w:rFonts w:ascii="Times New Roman" w:eastAsia="Times New Roman" w:hAnsi="Times New Roman" w:cs="Times New Roman"/>
                <w:color w:val="000000"/>
                <w:kern w:val="0"/>
                <w:szCs w:val="24"/>
                <w:lang w:eastAsia="en-IN"/>
                <w14:ligatures w14:val="none"/>
              </w:rPr>
              <w:t>Orissa</w:t>
            </w:r>
          </w:p>
        </w:tc>
        <w:tc>
          <w:tcPr>
            <w:tcW w:w="985" w:type="dxa"/>
            <w:tcBorders>
              <w:top w:val="nil"/>
              <w:left w:val="nil"/>
              <w:bottom w:val="single" w:sz="4" w:space="0" w:color="auto"/>
              <w:right w:val="single" w:sz="4" w:space="0" w:color="auto"/>
            </w:tcBorders>
            <w:vAlign w:val="center"/>
            <w:hideMark/>
          </w:tcPr>
          <w:p w14:paraId="423E6639" w14:textId="77777777" w:rsidR="00A351F7" w:rsidRPr="00A351F7" w:rsidRDefault="00A351F7" w:rsidP="00A351F7">
            <w:pPr>
              <w:spacing w:after="0" w:line="240" w:lineRule="auto"/>
              <w:jc w:val="center"/>
              <w:rPr>
                <w:rFonts w:ascii="Times New Roman" w:eastAsia="Times New Roman" w:hAnsi="Times New Roman" w:cs="Times New Roman"/>
                <w:color w:val="000000"/>
                <w:kern w:val="0"/>
                <w:szCs w:val="24"/>
                <w:lang w:eastAsia="en-IN"/>
                <w14:ligatures w14:val="none"/>
              </w:rPr>
            </w:pPr>
            <w:r w:rsidRPr="00A351F7">
              <w:rPr>
                <w:rFonts w:ascii="Times New Roman" w:eastAsia="Times New Roman" w:hAnsi="Times New Roman" w:cs="Times New Roman"/>
                <w:color w:val="000000"/>
                <w:kern w:val="0"/>
                <w:szCs w:val="24"/>
                <w:lang w:eastAsia="en-IN"/>
                <w14:ligatures w14:val="none"/>
              </w:rPr>
              <w:t>15.42</w:t>
            </w:r>
          </w:p>
        </w:tc>
        <w:tc>
          <w:tcPr>
            <w:tcW w:w="994" w:type="dxa"/>
            <w:tcBorders>
              <w:top w:val="nil"/>
              <w:left w:val="nil"/>
              <w:bottom w:val="single" w:sz="4" w:space="0" w:color="auto"/>
              <w:right w:val="single" w:sz="4" w:space="0" w:color="auto"/>
            </w:tcBorders>
            <w:vAlign w:val="center"/>
            <w:hideMark/>
          </w:tcPr>
          <w:p w14:paraId="6EE460DC" w14:textId="77777777" w:rsidR="00A351F7" w:rsidRPr="00A351F7" w:rsidRDefault="00A351F7" w:rsidP="00A351F7">
            <w:pPr>
              <w:spacing w:after="0" w:line="240" w:lineRule="auto"/>
              <w:jc w:val="center"/>
              <w:rPr>
                <w:rFonts w:ascii="Times New Roman" w:eastAsia="Times New Roman" w:hAnsi="Times New Roman" w:cs="Times New Roman"/>
                <w:color w:val="000000"/>
                <w:kern w:val="0"/>
                <w:szCs w:val="24"/>
                <w:lang w:eastAsia="en-IN"/>
                <w14:ligatures w14:val="none"/>
              </w:rPr>
            </w:pPr>
            <w:r w:rsidRPr="00A351F7">
              <w:rPr>
                <w:rFonts w:ascii="Times New Roman" w:eastAsia="Times New Roman" w:hAnsi="Times New Roman" w:cs="Times New Roman"/>
                <w:color w:val="000000"/>
                <w:kern w:val="0"/>
                <w:szCs w:val="24"/>
                <w:lang w:eastAsia="en-IN"/>
                <w14:ligatures w14:val="none"/>
              </w:rPr>
              <w:t>29.18</w:t>
            </w:r>
          </w:p>
        </w:tc>
        <w:tc>
          <w:tcPr>
            <w:tcW w:w="975" w:type="dxa"/>
            <w:tcBorders>
              <w:top w:val="nil"/>
              <w:left w:val="nil"/>
              <w:bottom w:val="single" w:sz="4" w:space="0" w:color="auto"/>
              <w:right w:val="single" w:sz="4" w:space="0" w:color="auto"/>
            </w:tcBorders>
            <w:vAlign w:val="center"/>
            <w:hideMark/>
          </w:tcPr>
          <w:p w14:paraId="4A64D50D" w14:textId="77777777" w:rsidR="00A351F7" w:rsidRPr="00A351F7" w:rsidRDefault="00A351F7" w:rsidP="00A351F7">
            <w:pPr>
              <w:spacing w:after="0" w:line="240" w:lineRule="auto"/>
              <w:jc w:val="center"/>
              <w:rPr>
                <w:rFonts w:ascii="Times New Roman" w:eastAsia="Times New Roman" w:hAnsi="Times New Roman" w:cs="Times New Roman"/>
                <w:color w:val="000000"/>
                <w:kern w:val="0"/>
                <w:szCs w:val="24"/>
                <w:lang w:eastAsia="en-IN"/>
                <w14:ligatures w14:val="none"/>
              </w:rPr>
            </w:pPr>
            <w:r w:rsidRPr="00A351F7">
              <w:rPr>
                <w:rFonts w:ascii="Times New Roman" w:eastAsia="Times New Roman" w:hAnsi="Times New Roman" w:cs="Times New Roman"/>
                <w:color w:val="000000"/>
                <w:kern w:val="0"/>
                <w:szCs w:val="24"/>
                <w:lang w:eastAsia="en-IN"/>
                <w14:ligatures w14:val="none"/>
              </w:rPr>
              <w:t>44.6</w:t>
            </w:r>
          </w:p>
        </w:tc>
        <w:tc>
          <w:tcPr>
            <w:tcW w:w="986" w:type="dxa"/>
            <w:tcBorders>
              <w:top w:val="nil"/>
              <w:left w:val="nil"/>
              <w:bottom w:val="single" w:sz="4" w:space="0" w:color="auto"/>
              <w:right w:val="single" w:sz="4" w:space="0" w:color="auto"/>
            </w:tcBorders>
            <w:vAlign w:val="center"/>
            <w:hideMark/>
          </w:tcPr>
          <w:p w14:paraId="194E3AC0" w14:textId="77777777" w:rsidR="00A351F7" w:rsidRPr="00A351F7" w:rsidRDefault="00A351F7" w:rsidP="00A351F7">
            <w:pPr>
              <w:spacing w:after="0" w:line="240" w:lineRule="auto"/>
              <w:jc w:val="center"/>
              <w:rPr>
                <w:rFonts w:ascii="Times New Roman" w:eastAsia="Times New Roman" w:hAnsi="Times New Roman" w:cs="Times New Roman"/>
                <w:color w:val="000000"/>
                <w:kern w:val="0"/>
                <w:szCs w:val="24"/>
                <w:lang w:eastAsia="en-IN"/>
                <w14:ligatures w14:val="none"/>
              </w:rPr>
            </w:pPr>
            <w:r w:rsidRPr="00A351F7">
              <w:rPr>
                <w:rFonts w:ascii="Times New Roman" w:eastAsia="Times New Roman" w:hAnsi="Times New Roman" w:cs="Times New Roman"/>
                <w:color w:val="000000"/>
                <w:kern w:val="0"/>
                <w:szCs w:val="24"/>
                <w:lang w:eastAsia="en-IN"/>
                <w14:ligatures w14:val="none"/>
              </w:rPr>
              <w:t>16.87</w:t>
            </w:r>
          </w:p>
        </w:tc>
        <w:tc>
          <w:tcPr>
            <w:tcW w:w="994" w:type="dxa"/>
            <w:tcBorders>
              <w:top w:val="nil"/>
              <w:left w:val="nil"/>
              <w:bottom w:val="single" w:sz="4" w:space="0" w:color="auto"/>
              <w:right w:val="single" w:sz="4" w:space="0" w:color="auto"/>
            </w:tcBorders>
            <w:vAlign w:val="center"/>
            <w:hideMark/>
          </w:tcPr>
          <w:p w14:paraId="6930A839" w14:textId="77777777" w:rsidR="00A351F7" w:rsidRPr="00A351F7" w:rsidRDefault="00A351F7" w:rsidP="00A351F7">
            <w:pPr>
              <w:spacing w:after="0" w:line="240" w:lineRule="auto"/>
              <w:jc w:val="center"/>
              <w:rPr>
                <w:rFonts w:ascii="Times New Roman" w:eastAsia="Times New Roman" w:hAnsi="Times New Roman" w:cs="Times New Roman"/>
                <w:color w:val="000000"/>
                <w:kern w:val="0"/>
                <w:szCs w:val="24"/>
                <w:lang w:eastAsia="en-IN"/>
                <w14:ligatures w14:val="none"/>
              </w:rPr>
            </w:pPr>
            <w:r w:rsidRPr="00A351F7">
              <w:rPr>
                <w:rFonts w:ascii="Times New Roman" w:eastAsia="Times New Roman" w:hAnsi="Times New Roman" w:cs="Times New Roman"/>
                <w:color w:val="000000"/>
                <w:kern w:val="0"/>
                <w:szCs w:val="24"/>
                <w:lang w:eastAsia="en-IN"/>
                <w14:ligatures w14:val="none"/>
              </w:rPr>
              <w:t>29.18</w:t>
            </w:r>
          </w:p>
        </w:tc>
        <w:tc>
          <w:tcPr>
            <w:tcW w:w="939" w:type="dxa"/>
            <w:tcBorders>
              <w:top w:val="nil"/>
              <w:left w:val="nil"/>
              <w:bottom w:val="single" w:sz="4" w:space="0" w:color="auto"/>
              <w:right w:val="single" w:sz="4" w:space="0" w:color="auto"/>
            </w:tcBorders>
            <w:vAlign w:val="center"/>
            <w:hideMark/>
          </w:tcPr>
          <w:p w14:paraId="0AB26FB2" w14:textId="77777777" w:rsidR="00A351F7" w:rsidRPr="00A351F7" w:rsidRDefault="00A351F7" w:rsidP="00A351F7">
            <w:pPr>
              <w:spacing w:after="0" w:line="240" w:lineRule="auto"/>
              <w:jc w:val="center"/>
              <w:rPr>
                <w:rFonts w:ascii="Times New Roman" w:eastAsia="Times New Roman" w:hAnsi="Times New Roman" w:cs="Times New Roman"/>
                <w:color w:val="000000"/>
                <w:kern w:val="0"/>
                <w:szCs w:val="24"/>
                <w:lang w:eastAsia="en-IN"/>
                <w14:ligatures w14:val="none"/>
              </w:rPr>
            </w:pPr>
            <w:r w:rsidRPr="00A351F7">
              <w:rPr>
                <w:rFonts w:ascii="Times New Roman" w:eastAsia="Times New Roman" w:hAnsi="Times New Roman" w:cs="Times New Roman"/>
                <w:color w:val="000000"/>
                <w:kern w:val="0"/>
                <w:szCs w:val="24"/>
                <w:lang w:eastAsia="en-IN"/>
                <w14:ligatures w14:val="none"/>
              </w:rPr>
              <w:t>46.05</w:t>
            </w:r>
          </w:p>
        </w:tc>
        <w:tc>
          <w:tcPr>
            <w:tcW w:w="986" w:type="dxa"/>
            <w:tcBorders>
              <w:top w:val="nil"/>
              <w:left w:val="nil"/>
              <w:bottom w:val="single" w:sz="4" w:space="0" w:color="auto"/>
              <w:right w:val="single" w:sz="4" w:space="0" w:color="auto"/>
            </w:tcBorders>
            <w:vAlign w:val="center"/>
            <w:hideMark/>
          </w:tcPr>
          <w:p w14:paraId="7A73C319" w14:textId="77777777" w:rsidR="00A351F7" w:rsidRPr="00A351F7" w:rsidRDefault="00A351F7" w:rsidP="00A351F7">
            <w:pPr>
              <w:spacing w:after="0" w:line="240" w:lineRule="auto"/>
              <w:jc w:val="center"/>
              <w:rPr>
                <w:rFonts w:ascii="Times New Roman" w:eastAsia="Times New Roman" w:hAnsi="Times New Roman" w:cs="Times New Roman"/>
                <w:color w:val="000000"/>
                <w:kern w:val="0"/>
                <w:szCs w:val="24"/>
                <w:lang w:eastAsia="en-IN"/>
                <w14:ligatures w14:val="none"/>
              </w:rPr>
            </w:pPr>
            <w:r w:rsidRPr="00A351F7">
              <w:rPr>
                <w:rFonts w:ascii="Times New Roman" w:eastAsia="Times New Roman" w:hAnsi="Times New Roman" w:cs="Times New Roman"/>
                <w:color w:val="000000"/>
                <w:kern w:val="0"/>
                <w:szCs w:val="24"/>
                <w:lang w:eastAsia="en-IN"/>
                <w14:ligatures w14:val="none"/>
              </w:rPr>
              <w:t>20.38</w:t>
            </w:r>
          </w:p>
        </w:tc>
        <w:tc>
          <w:tcPr>
            <w:tcW w:w="994" w:type="dxa"/>
            <w:tcBorders>
              <w:top w:val="nil"/>
              <w:left w:val="nil"/>
              <w:bottom w:val="single" w:sz="4" w:space="0" w:color="auto"/>
              <w:right w:val="single" w:sz="4" w:space="0" w:color="auto"/>
            </w:tcBorders>
            <w:vAlign w:val="center"/>
            <w:hideMark/>
          </w:tcPr>
          <w:p w14:paraId="46108234" w14:textId="77777777" w:rsidR="00A351F7" w:rsidRPr="00A351F7" w:rsidRDefault="00A351F7" w:rsidP="00A351F7">
            <w:pPr>
              <w:spacing w:after="0" w:line="240" w:lineRule="auto"/>
              <w:jc w:val="center"/>
              <w:rPr>
                <w:rFonts w:ascii="Times New Roman" w:eastAsia="Times New Roman" w:hAnsi="Times New Roman" w:cs="Times New Roman"/>
                <w:color w:val="000000"/>
                <w:kern w:val="0"/>
                <w:szCs w:val="24"/>
                <w:lang w:eastAsia="en-IN"/>
                <w14:ligatures w14:val="none"/>
              </w:rPr>
            </w:pPr>
            <w:r w:rsidRPr="00A351F7">
              <w:rPr>
                <w:rFonts w:ascii="Times New Roman" w:eastAsia="Times New Roman" w:hAnsi="Times New Roman" w:cs="Times New Roman"/>
                <w:color w:val="000000"/>
                <w:kern w:val="0"/>
                <w:szCs w:val="24"/>
                <w:lang w:eastAsia="en-IN"/>
                <w14:ligatures w14:val="none"/>
              </w:rPr>
              <w:t>29.18</w:t>
            </w:r>
          </w:p>
        </w:tc>
        <w:tc>
          <w:tcPr>
            <w:tcW w:w="975" w:type="dxa"/>
            <w:tcBorders>
              <w:top w:val="nil"/>
              <w:left w:val="nil"/>
              <w:bottom w:val="single" w:sz="4" w:space="0" w:color="auto"/>
              <w:right w:val="single" w:sz="4" w:space="0" w:color="auto"/>
            </w:tcBorders>
            <w:vAlign w:val="center"/>
            <w:hideMark/>
          </w:tcPr>
          <w:p w14:paraId="025FE2EE" w14:textId="77777777" w:rsidR="00A351F7" w:rsidRPr="00A351F7" w:rsidRDefault="00A351F7" w:rsidP="00A351F7">
            <w:pPr>
              <w:spacing w:after="0" w:line="240" w:lineRule="auto"/>
              <w:jc w:val="center"/>
              <w:rPr>
                <w:rFonts w:ascii="Times New Roman" w:eastAsia="Times New Roman" w:hAnsi="Times New Roman" w:cs="Times New Roman"/>
                <w:color w:val="000000"/>
                <w:kern w:val="0"/>
                <w:szCs w:val="24"/>
                <w:lang w:eastAsia="en-IN"/>
                <w14:ligatures w14:val="none"/>
              </w:rPr>
            </w:pPr>
            <w:r w:rsidRPr="00A351F7">
              <w:rPr>
                <w:rFonts w:ascii="Times New Roman" w:eastAsia="Times New Roman" w:hAnsi="Times New Roman" w:cs="Times New Roman"/>
                <w:color w:val="000000"/>
                <w:kern w:val="0"/>
                <w:szCs w:val="24"/>
                <w:lang w:eastAsia="en-IN"/>
                <w14:ligatures w14:val="none"/>
              </w:rPr>
              <w:t>49.56</w:t>
            </w:r>
          </w:p>
        </w:tc>
      </w:tr>
      <w:tr w:rsidR="00A351F7" w:rsidRPr="00A351F7" w14:paraId="278F2920" w14:textId="77777777" w:rsidTr="00A351F7">
        <w:trPr>
          <w:trHeight w:val="309"/>
        </w:trPr>
        <w:tc>
          <w:tcPr>
            <w:tcW w:w="1403" w:type="dxa"/>
            <w:tcBorders>
              <w:top w:val="nil"/>
              <w:left w:val="single" w:sz="4" w:space="0" w:color="auto"/>
              <w:bottom w:val="single" w:sz="4" w:space="0" w:color="auto"/>
              <w:right w:val="single" w:sz="4" w:space="0" w:color="auto"/>
            </w:tcBorders>
            <w:vAlign w:val="center"/>
            <w:hideMark/>
          </w:tcPr>
          <w:p w14:paraId="6E76A693" w14:textId="77777777" w:rsidR="00A351F7" w:rsidRPr="00A351F7" w:rsidRDefault="00A351F7" w:rsidP="00A351F7">
            <w:pPr>
              <w:spacing w:after="0" w:line="240" w:lineRule="auto"/>
              <w:rPr>
                <w:rFonts w:ascii="Times New Roman" w:eastAsia="Times New Roman" w:hAnsi="Times New Roman" w:cs="Times New Roman"/>
                <w:color w:val="000000"/>
                <w:kern w:val="0"/>
                <w:szCs w:val="24"/>
                <w:lang w:eastAsia="en-IN"/>
                <w14:ligatures w14:val="none"/>
              </w:rPr>
            </w:pPr>
            <w:r w:rsidRPr="00A351F7">
              <w:rPr>
                <w:rFonts w:ascii="Times New Roman" w:eastAsia="Times New Roman" w:hAnsi="Times New Roman" w:cs="Times New Roman"/>
                <w:color w:val="000000"/>
                <w:kern w:val="0"/>
                <w:szCs w:val="24"/>
                <w:lang w:eastAsia="en-IN"/>
                <w14:ligatures w14:val="none"/>
              </w:rPr>
              <w:t>Punjab</w:t>
            </w:r>
          </w:p>
        </w:tc>
        <w:tc>
          <w:tcPr>
            <w:tcW w:w="985" w:type="dxa"/>
            <w:tcBorders>
              <w:top w:val="nil"/>
              <w:left w:val="nil"/>
              <w:bottom w:val="single" w:sz="4" w:space="0" w:color="auto"/>
              <w:right w:val="single" w:sz="4" w:space="0" w:color="auto"/>
            </w:tcBorders>
            <w:vAlign w:val="center"/>
            <w:hideMark/>
          </w:tcPr>
          <w:p w14:paraId="58E14F9C" w14:textId="77777777" w:rsidR="00A351F7" w:rsidRPr="00A351F7" w:rsidRDefault="00A351F7" w:rsidP="00A351F7">
            <w:pPr>
              <w:spacing w:after="0" w:line="240" w:lineRule="auto"/>
              <w:jc w:val="center"/>
              <w:rPr>
                <w:rFonts w:ascii="Times New Roman" w:eastAsia="Times New Roman" w:hAnsi="Times New Roman" w:cs="Times New Roman"/>
                <w:color w:val="000000"/>
                <w:kern w:val="0"/>
                <w:szCs w:val="24"/>
                <w:lang w:eastAsia="en-IN"/>
                <w14:ligatures w14:val="none"/>
              </w:rPr>
            </w:pPr>
            <w:r w:rsidRPr="00A351F7">
              <w:rPr>
                <w:rFonts w:ascii="Times New Roman" w:eastAsia="Times New Roman" w:hAnsi="Times New Roman" w:cs="Times New Roman"/>
                <w:color w:val="000000"/>
                <w:kern w:val="0"/>
                <w:szCs w:val="24"/>
                <w:lang w:eastAsia="en-IN"/>
                <w14:ligatures w14:val="none"/>
              </w:rPr>
              <w:t>13.95*</w:t>
            </w:r>
          </w:p>
        </w:tc>
        <w:tc>
          <w:tcPr>
            <w:tcW w:w="994" w:type="dxa"/>
            <w:tcBorders>
              <w:top w:val="nil"/>
              <w:left w:val="nil"/>
              <w:bottom w:val="single" w:sz="4" w:space="0" w:color="auto"/>
              <w:right w:val="single" w:sz="4" w:space="0" w:color="auto"/>
            </w:tcBorders>
            <w:vAlign w:val="center"/>
            <w:hideMark/>
          </w:tcPr>
          <w:p w14:paraId="56B7F766" w14:textId="77777777" w:rsidR="00A351F7" w:rsidRPr="00A351F7" w:rsidRDefault="00A351F7" w:rsidP="00A351F7">
            <w:pPr>
              <w:spacing w:after="0" w:line="240" w:lineRule="auto"/>
              <w:jc w:val="center"/>
              <w:rPr>
                <w:rFonts w:ascii="Times New Roman" w:eastAsia="Times New Roman" w:hAnsi="Times New Roman" w:cs="Times New Roman"/>
                <w:color w:val="000000"/>
                <w:kern w:val="0"/>
                <w:szCs w:val="24"/>
                <w:lang w:eastAsia="en-IN"/>
                <w14:ligatures w14:val="none"/>
              </w:rPr>
            </w:pPr>
            <w:r w:rsidRPr="00A351F7">
              <w:rPr>
                <w:rFonts w:ascii="Times New Roman" w:eastAsia="Times New Roman" w:hAnsi="Times New Roman" w:cs="Times New Roman"/>
                <w:color w:val="000000"/>
                <w:kern w:val="0"/>
                <w:szCs w:val="24"/>
                <w:lang w:eastAsia="en-IN"/>
                <w14:ligatures w14:val="none"/>
              </w:rPr>
              <w:t>..</w:t>
            </w:r>
          </w:p>
        </w:tc>
        <w:tc>
          <w:tcPr>
            <w:tcW w:w="975" w:type="dxa"/>
            <w:tcBorders>
              <w:top w:val="nil"/>
              <w:left w:val="nil"/>
              <w:bottom w:val="single" w:sz="4" w:space="0" w:color="auto"/>
              <w:right w:val="single" w:sz="4" w:space="0" w:color="auto"/>
            </w:tcBorders>
            <w:vAlign w:val="center"/>
            <w:hideMark/>
          </w:tcPr>
          <w:p w14:paraId="6A9AFB30" w14:textId="77777777" w:rsidR="00A351F7" w:rsidRPr="00A351F7" w:rsidRDefault="00A351F7" w:rsidP="00A351F7">
            <w:pPr>
              <w:spacing w:after="0" w:line="240" w:lineRule="auto"/>
              <w:jc w:val="center"/>
              <w:rPr>
                <w:rFonts w:ascii="Times New Roman" w:eastAsia="Times New Roman" w:hAnsi="Times New Roman" w:cs="Times New Roman"/>
                <w:color w:val="000000"/>
                <w:kern w:val="0"/>
                <w:szCs w:val="24"/>
                <w:lang w:eastAsia="en-IN"/>
                <w14:ligatures w14:val="none"/>
              </w:rPr>
            </w:pPr>
            <w:r w:rsidRPr="00A351F7">
              <w:rPr>
                <w:rFonts w:ascii="Times New Roman" w:eastAsia="Times New Roman" w:hAnsi="Times New Roman" w:cs="Times New Roman"/>
                <w:color w:val="000000"/>
                <w:kern w:val="0"/>
                <w:szCs w:val="24"/>
                <w:lang w:eastAsia="en-IN"/>
                <w14:ligatures w14:val="none"/>
              </w:rPr>
              <w:t>13.95*</w:t>
            </w:r>
          </w:p>
        </w:tc>
        <w:tc>
          <w:tcPr>
            <w:tcW w:w="986" w:type="dxa"/>
            <w:tcBorders>
              <w:top w:val="nil"/>
              <w:left w:val="nil"/>
              <w:bottom w:val="single" w:sz="4" w:space="0" w:color="auto"/>
              <w:right w:val="single" w:sz="4" w:space="0" w:color="auto"/>
            </w:tcBorders>
            <w:vAlign w:val="center"/>
            <w:hideMark/>
          </w:tcPr>
          <w:p w14:paraId="56A3594C" w14:textId="77777777" w:rsidR="00A351F7" w:rsidRPr="00A351F7" w:rsidRDefault="00A351F7" w:rsidP="00A351F7">
            <w:pPr>
              <w:spacing w:after="0" w:line="240" w:lineRule="auto"/>
              <w:jc w:val="center"/>
              <w:rPr>
                <w:rFonts w:ascii="Times New Roman" w:eastAsia="Times New Roman" w:hAnsi="Times New Roman" w:cs="Times New Roman"/>
                <w:color w:val="000000"/>
                <w:kern w:val="0"/>
                <w:szCs w:val="24"/>
                <w:lang w:eastAsia="en-IN"/>
                <w14:ligatures w14:val="none"/>
              </w:rPr>
            </w:pPr>
            <w:r w:rsidRPr="00A351F7">
              <w:rPr>
                <w:rFonts w:ascii="Times New Roman" w:eastAsia="Times New Roman" w:hAnsi="Times New Roman" w:cs="Times New Roman"/>
                <w:color w:val="000000"/>
                <w:kern w:val="0"/>
                <w:szCs w:val="24"/>
                <w:lang w:eastAsia="en-IN"/>
                <w14:ligatures w14:val="none"/>
              </w:rPr>
              <w:t>11.33</w:t>
            </w:r>
          </w:p>
        </w:tc>
        <w:tc>
          <w:tcPr>
            <w:tcW w:w="994" w:type="dxa"/>
            <w:tcBorders>
              <w:top w:val="nil"/>
              <w:left w:val="nil"/>
              <w:bottom w:val="single" w:sz="4" w:space="0" w:color="auto"/>
              <w:right w:val="single" w:sz="4" w:space="0" w:color="auto"/>
            </w:tcBorders>
            <w:vAlign w:val="center"/>
            <w:hideMark/>
          </w:tcPr>
          <w:p w14:paraId="53A591EC" w14:textId="77777777" w:rsidR="00A351F7" w:rsidRPr="00A351F7" w:rsidRDefault="00A351F7" w:rsidP="00A351F7">
            <w:pPr>
              <w:spacing w:after="0" w:line="240" w:lineRule="auto"/>
              <w:jc w:val="center"/>
              <w:rPr>
                <w:rFonts w:ascii="Times New Roman" w:eastAsia="Times New Roman" w:hAnsi="Times New Roman" w:cs="Times New Roman"/>
                <w:color w:val="000000"/>
                <w:kern w:val="0"/>
                <w:szCs w:val="24"/>
                <w:lang w:eastAsia="en-IN"/>
                <w14:ligatures w14:val="none"/>
              </w:rPr>
            </w:pPr>
            <w:r w:rsidRPr="00A351F7">
              <w:rPr>
                <w:rFonts w:ascii="Times New Roman" w:eastAsia="Times New Roman" w:hAnsi="Times New Roman" w:cs="Times New Roman"/>
                <w:color w:val="000000"/>
                <w:kern w:val="0"/>
                <w:szCs w:val="24"/>
                <w:lang w:eastAsia="en-IN"/>
                <w14:ligatures w14:val="none"/>
              </w:rPr>
              <w:t>..</w:t>
            </w:r>
          </w:p>
        </w:tc>
        <w:tc>
          <w:tcPr>
            <w:tcW w:w="939" w:type="dxa"/>
            <w:tcBorders>
              <w:top w:val="nil"/>
              <w:left w:val="nil"/>
              <w:bottom w:val="single" w:sz="4" w:space="0" w:color="auto"/>
              <w:right w:val="single" w:sz="4" w:space="0" w:color="auto"/>
            </w:tcBorders>
            <w:vAlign w:val="center"/>
            <w:hideMark/>
          </w:tcPr>
          <w:p w14:paraId="11DBF85C" w14:textId="77777777" w:rsidR="00A351F7" w:rsidRPr="00A351F7" w:rsidRDefault="00A351F7" w:rsidP="00A351F7">
            <w:pPr>
              <w:spacing w:after="0" w:line="240" w:lineRule="auto"/>
              <w:jc w:val="center"/>
              <w:rPr>
                <w:rFonts w:ascii="Times New Roman" w:eastAsia="Times New Roman" w:hAnsi="Times New Roman" w:cs="Times New Roman"/>
                <w:color w:val="000000"/>
                <w:kern w:val="0"/>
                <w:szCs w:val="24"/>
                <w:lang w:eastAsia="en-IN"/>
                <w14:ligatures w14:val="none"/>
              </w:rPr>
            </w:pPr>
            <w:r w:rsidRPr="00A351F7">
              <w:rPr>
                <w:rFonts w:ascii="Times New Roman" w:eastAsia="Times New Roman" w:hAnsi="Times New Roman" w:cs="Times New Roman"/>
                <w:color w:val="000000"/>
                <w:kern w:val="0"/>
                <w:szCs w:val="24"/>
                <w:lang w:eastAsia="en-IN"/>
                <w14:ligatures w14:val="none"/>
              </w:rPr>
              <w:t>11.33</w:t>
            </w:r>
          </w:p>
        </w:tc>
        <w:tc>
          <w:tcPr>
            <w:tcW w:w="986" w:type="dxa"/>
            <w:tcBorders>
              <w:top w:val="nil"/>
              <w:left w:val="nil"/>
              <w:bottom w:val="single" w:sz="4" w:space="0" w:color="auto"/>
              <w:right w:val="single" w:sz="4" w:space="0" w:color="auto"/>
            </w:tcBorders>
            <w:vAlign w:val="center"/>
            <w:hideMark/>
          </w:tcPr>
          <w:p w14:paraId="3ED38AEF" w14:textId="77777777" w:rsidR="00A351F7" w:rsidRPr="00A351F7" w:rsidRDefault="00A351F7" w:rsidP="00A351F7">
            <w:pPr>
              <w:spacing w:after="0" w:line="240" w:lineRule="auto"/>
              <w:jc w:val="center"/>
              <w:rPr>
                <w:rFonts w:ascii="Times New Roman" w:eastAsia="Times New Roman" w:hAnsi="Times New Roman" w:cs="Times New Roman"/>
                <w:color w:val="000000"/>
                <w:kern w:val="0"/>
                <w:szCs w:val="24"/>
                <w:lang w:eastAsia="en-IN"/>
                <w14:ligatures w14:val="none"/>
              </w:rPr>
            </w:pPr>
            <w:r w:rsidRPr="00A351F7">
              <w:rPr>
                <w:rFonts w:ascii="Times New Roman" w:eastAsia="Times New Roman" w:hAnsi="Times New Roman" w:cs="Times New Roman"/>
                <w:color w:val="000000"/>
                <w:kern w:val="0"/>
                <w:szCs w:val="24"/>
                <w:lang w:eastAsia="en-IN"/>
                <w14:ligatures w14:val="none"/>
              </w:rPr>
              <w:t>13.49</w:t>
            </w:r>
          </w:p>
        </w:tc>
        <w:tc>
          <w:tcPr>
            <w:tcW w:w="994" w:type="dxa"/>
            <w:tcBorders>
              <w:top w:val="nil"/>
              <w:left w:val="nil"/>
              <w:bottom w:val="single" w:sz="4" w:space="0" w:color="auto"/>
              <w:right w:val="single" w:sz="4" w:space="0" w:color="auto"/>
            </w:tcBorders>
            <w:vAlign w:val="center"/>
            <w:hideMark/>
          </w:tcPr>
          <w:p w14:paraId="5485BE6D" w14:textId="77777777" w:rsidR="00A351F7" w:rsidRPr="00A351F7" w:rsidRDefault="00A351F7" w:rsidP="00A351F7">
            <w:pPr>
              <w:spacing w:after="0" w:line="240" w:lineRule="auto"/>
              <w:jc w:val="center"/>
              <w:rPr>
                <w:rFonts w:ascii="Times New Roman" w:eastAsia="Times New Roman" w:hAnsi="Times New Roman" w:cs="Times New Roman"/>
                <w:color w:val="000000"/>
                <w:kern w:val="0"/>
                <w:szCs w:val="24"/>
                <w:lang w:eastAsia="en-IN"/>
                <w14:ligatures w14:val="none"/>
              </w:rPr>
            </w:pPr>
            <w:r w:rsidRPr="00A351F7">
              <w:rPr>
                <w:rFonts w:ascii="Times New Roman" w:eastAsia="Times New Roman" w:hAnsi="Times New Roman" w:cs="Times New Roman"/>
                <w:color w:val="000000"/>
                <w:kern w:val="0"/>
                <w:szCs w:val="24"/>
                <w:lang w:eastAsia="en-IN"/>
                <w14:ligatures w14:val="none"/>
              </w:rPr>
              <w:t>..</w:t>
            </w:r>
          </w:p>
        </w:tc>
        <w:tc>
          <w:tcPr>
            <w:tcW w:w="975" w:type="dxa"/>
            <w:tcBorders>
              <w:top w:val="nil"/>
              <w:left w:val="nil"/>
              <w:bottom w:val="single" w:sz="4" w:space="0" w:color="auto"/>
              <w:right w:val="single" w:sz="4" w:space="0" w:color="auto"/>
            </w:tcBorders>
            <w:vAlign w:val="center"/>
            <w:hideMark/>
          </w:tcPr>
          <w:p w14:paraId="29E74001" w14:textId="77777777" w:rsidR="00A351F7" w:rsidRPr="00A351F7" w:rsidRDefault="00A351F7" w:rsidP="00A351F7">
            <w:pPr>
              <w:spacing w:after="0" w:line="240" w:lineRule="auto"/>
              <w:jc w:val="center"/>
              <w:rPr>
                <w:rFonts w:ascii="Times New Roman" w:eastAsia="Times New Roman" w:hAnsi="Times New Roman" w:cs="Times New Roman"/>
                <w:color w:val="000000"/>
                <w:kern w:val="0"/>
                <w:szCs w:val="24"/>
                <w:lang w:eastAsia="en-IN"/>
                <w14:ligatures w14:val="none"/>
              </w:rPr>
            </w:pPr>
            <w:r w:rsidRPr="00A351F7">
              <w:rPr>
                <w:rFonts w:ascii="Times New Roman" w:eastAsia="Times New Roman" w:hAnsi="Times New Roman" w:cs="Times New Roman"/>
                <w:color w:val="000000"/>
                <w:kern w:val="0"/>
                <w:szCs w:val="24"/>
                <w:lang w:eastAsia="en-IN"/>
                <w14:ligatures w14:val="none"/>
              </w:rPr>
              <w:t>13.49</w:t>
            </w:r>
          </w:p>
        </w:tc>
      </w:tr>
      <w:tr w:rsidR="00A351F7" w:rsidRPr="00A351F7" w14:paraId="0D289864" w14:textId="77777777" w:rsidTr="00A351F7">
        <w:trPr>
          <w:trHeight w:val="309"/>
        </w:trPr>
        <w:tc>
          <w:tcPr>
            <w:tcW w:w="1403" w:type="dxa"/>
            <w:tcBorders>
              <w:top w:val="nil"/>
              <w:left w:val="single" w:sz="4" w:space="0" w:color="auto"/>
              <w:bottom w:val="single" w:sz="4" w:space="0" w:color="auto"/>
              <w:right w:val="single" w:sz="4" w:space="0" w:color="auto"/>
            </w:tcBorders>
            <w:vAlign w:val="center"/>
            <w:hideMark/>
          </w:tcPr>
          <w:p w14:paraId="3A298465" w14:textId="77777777" w:rsidR="00A351F7" w:rsidRPr="00A351F7" w:rsidRDefault="00A351F7" w:rsidP="00A351F7">
            <w:pPr>
              <w:spacing w:after="0" w:line="240" w:lineRule="auto"/>
              <w:rPr>
                <w:rFonts w:ascii="Times New Roman" w:eastAsia="Times New Roman" w:hAnsi="Times New Roman" w:cs="Times New Roman"/>
                <w:color w:val="000000"/>
                <w:kern w:val="0"/>
                <w:szCs w:val="24"/>
                <w:lang w:eastAsia="en-IN"/>
                <w14:ligatures w14:val="none"/>
              </w:rPr>
            </w:pPr>
            <w:r w:rsidRPr="00A351F7">
              <w:rPr>
                <w:rFonts w:ascii="Times New Roman" w:eastAsia="Times New Roman" w:hAnsi="Times New Roman" w:cs="Times New Roman"/>
                <w:color w:val="000000"/>
                <w:kern w:val="0"/>
                <w:szCs w:val="24"/>
                <w:lang w:eastAsia="en-IN"/>
                <w14:ligatures w14:val="none"/>
              </w:rPr>
              <w:t>Rajasthan</w:t>
            </w:r>
          </w:p>
        </w:tc>
        <w:tc>
          <w:tcPr>
            <w:tcW w:w="985" w:type="dxa"/>
            <w:tcBorders>
              <w:top w:val="nil"/>
              <w:left w:val="nil"/>
              <w:bottom w:val="single" w:sz="4" w:space="0" w:color="auto"/>
              <w:right w:val="single" w:sz="4" w:space="0" w:color="auto"/>
            </w:tcBorders>
            <w:vAlign w:val="center"/>
            <w:hideMark/>
          </w:tcPr>
          <w:p w14:paraId="65C8F360" w14:textId="77777777" w:rsidR="00A351F7" w:rsidRPr="00A351F7" w:rsidRDefault="00A351F7" w:rsidP="00A351F7">
            <w:pPr>
              <w:spacing w:after="0" w:line="240" w:lineRule="auto"/>
              <w:jc w:val="center"/>
              <w:rPr>
                <w:rFonts w:ascii="Times New Roman" w:eastAsia="Times New Roman" w:hAnsi="Times New Roman" w:cs="Times New Roman"/>
                <w:color w:val="000000"/>
                <w:kern w:val="0"/>
                <w:szCs w:val="24"/>
                <w:lang w:eastAsia="en-IN"/>
                <w14:ligatures w14:val="none"/>
              </w:rPr>
            </w:pPr>
            <w:r w:rsidRPr="00A351F7">
              <w:rPr>
                <w:rFonts w:ascii="Times New Roman" w:eastAsia="Times New Roman" w:hAnsi="Times New Roman" w:cs="Times New Roman"/>
                <w:color w:val="000000"/>
                <w:kern w:val="0"/>
                <w:szCs w:val="24"/>
                <w:lang w:eastAsia="en-IN"/>
                <w14:ligatures w14:val="none"/>
              </w:rPr>
              <w:t>16.89</w:t>
            </w:r>
          </w:p>
        </w:tc>
        <w:tc>
          <w:tcPr>
            <w:tcW w:w="994" w:type="dxa"/>
            <w:tcBorders>
              <w:top w:val="nil"/>
              <w:left w:val="nil"/>
              <w:bottom w:val="single" w:sz="4" w:space="0" w:color="auto"/>
              <w:right w:val="single" w:sz="4" w:space="0" w:color="auto"/>
            </w:tcBorders>
            <w:vAlign w:val="center"/>
            <w:hideMark/>
          </w:tcPr>
          <w:p w14:paraId="692D9E29" w14:textId="77777777" w:rsidR="00A351F7" w:rsidRPr="00A351F7" w:rsidRDefault="00A351F7" w:rsidP="00A351F7">
            <w:pPr>
              <w:spacing w:after="0" w:line="240" w:lineRule="auto"/>
              <w:jc w:val="center"/>
              <w:rPr>
                <w:rFonts w:ascii="Times New Roman" w:eastAsia="Times New Roman" w:hAnsi="Times New Roman" w:cs="Times New Roman"/>
                <w:color w:val="000000"/>
                <w:kern w:val="0"/>
                <w:szCs w:val="24"/>
                <w:lang w:eastAsia="en-IN"/>
                <w14:ligatures w14:val="none"/>
              </w:rPr>
            </w:pPr>
            <w:r w:rsidRPr="00A351F7">
              <w:rPr>
                <w:rFonts w:ascii="Times New Roman" w:eastAsia="Times New Roman" w:hAnsi="Times New Roman" w:cs="Times New Roman"/>
                <w:color w:val="000000"/>
                <w:kern w:val="0"/>
                <w:szCs w:val="24"/>
                <w:lang w:eastAsia="en-IN"/>
                <w14:ligatures w14:val="none"/>
              </w:rPr>
              <w:t>6.73</w:t>
            </w:r>
          </w:p>
        </w:tc>
        <w:tc>
          <w:tcPr>
            <w:tcW w:w="975" w:type="dxa"/>
            <w:tcBorders>
              <w:top w:val="nil"/>
              <w:left w:val="nil"/>
              <w:bottom w:val="single" w:sz="4" w:space="0" w:color="auto"/>
              <w:right w:val="single" w:sz="4" w:space="0" w:color="auto"/>
            </w:tcBorders>
            <w:vAlign w:val="center"/>
            <w:hideMark/>
          </w:tcPr>
          <w:p w14:paraId="16198781" w14:textId="77777777" w:rsidR="00A351F7" w:rsidRPr="00A351F7" w:rsidRDefault="00A351F7" w:rsidP="00A351F7">
            <w:pPr>
              <w:spacing w:after="0" w:line="240" w:lineRule="auto"/>
              <w:jc w:val="center"/>
              <w:rPr>
                <w:rFonts w:ascii="Times New Roman" w:eastAsia="Times New Roman" w:hAnsi="Times New Roman" w:cs="Times New Roman"/>
                <w:color w:val="000000"/>
                <w:kern w:val="0"/>
                <w:szCs w:val="24"/>
                <w:lang w:eastAsia="en-IN"/>
                <w14:ligatures w14:val="none"/>
              </w:rPr>
            </w:pPr>
            <w:r w:rsidRPr="00A351F7">
              <w:rPr>
                <w:rFonts w:ascii="Times New Roman" w:eastAsia="Times New Roman" w:hAnsi="Times New Roman" w:cs="Times New Roman"/>
                <w:color w:val="000000"/>
                <w:kern w:val="0"/>
                <w:szCs w:val="24"/>
                <w:lang w:eastAsia="en-IN"/>
                <w14:ligatures w14:val="none"/>
              </w:rPr>
              <w:t>23.62</w:t>
            </w:r>
          </w:p>
        </w:tc>
        <w:tc>
          <w:tcPr>
            <w:tcW w:w="986" w:type="dxa"/>
            <w:tcBorders>
              <w:top w:val="nil"/>
              <w:left w:val="nil"/>
              <w:bottom w:val="single" w:sz="4" w:space="0" w:color="auto"/>
              <w:right w:val="single" w:sz="4" w:space="0" w:color="auto"/>
            </w:tcBorders>
            <w:vAlign w:val="center"/>
            <w:hideMark/>
          </w:tcPr>
          <w:p w14:paraId="6C7015F6" w14:textId="77777777" w:rsidR="00A351F7" w:rsidRPr="00A351F7" w:rsidRDefault="00A351F7" w:rsidP="00A351F7">
            <w:pPr>
              <w:spacing w:after="0" w:line="240" w:lineRule="auto"/>
              <w:jc w:val="center"/>
              <w:rPr>
                <w:rFonts w:ascii="Times New Roman" w:eastAsia="Times New Roman" w:hAnsi="Times New Roman" w:cs="Times New Roman"/>
                <w:color w:val="000000"/>
                <w:kern w:val="0"/>
                <w:szCs w:val="24"/>
                <w:lang w:eastAsia="en-IN"/>
                <w14:ligatures w14:val="none"/>
              </w:rPr>
            </w:pPr>
            <w:r w:rsidRPr="00A351F7">
              <w:rPr>
                <w:rFonts w:ascii="Times New Roman" w:eastAsia="Times New Roman" w:hAnsi="Times New Roman" w:cs="Times New Roman"/>
                <w:color w:val="000000"/>
                <w:kern w:val="0"/>
                <w:szCs w:val="24"/>
                <w:lang w:eastAsia="en-IN"/>
                <w14:ligatures w14:val="none"/>
              </w:rPr>
              <w:t>19</w:t>
            </w:r>
          </w:p>
        </w:tc>
        <w:tc>
          <w:tcPr>
            <w:tcW w:w="994" w:type="dxa"/>
            <w:tcBorders>
              <w:top w:val="nil"/>
              <w:left w:val="nil"/>
              <w:bottom w:val="single" w:sz="4" w:space="0" w:color="auto"/>
              <w:right w:val="single" w:sz="4" w:space="0" w:color="auto"/>
            </w:tcBorders>
            <w:vAlign w:val="center"/>
            <w:hideMark/>
          </w:tcPr>
          <w:p w14:paraId="23075DC1" w14:textId="77777777" w:rsidR="00A351F7" w:rsidRPr="00A351F7" w:rsidRDefault="00A351F7" w:rsidP="00A351F7">
            <w:pPr>
              <w:spacing w:after="0" w:line="240" w:lineRule="auto"/>
              <w:jc w:val="center"/>
              <w:rPr>
                <w:rFonts w:ascii="Times New Roman" w:eastAsia="Times New Roman" w:hAnsi="Times New Roman" w:cs="Times New Roman"/>
                <w:color w:val="000000"/>
                <w:kern w:val="0"/>
                <w:szCs w:val="24"/>
                <w:lang w:eastAsia="en-IN"/>
                <w14:ligatures w14:val="none"/>
              </w:rPr>
            </w:pPr>
            <w:r w:rsidRPr="00A351F7">
              <w:rPr>
                <w:rFonts w:ascii="Times New Roman" w:eastAsia="Times New Roman" w:hAnsi="Times New Roman" w:cs="Times New Roman"/>
                <w:color w:val="000000"/>
                <w:kern w:val="0"/>
                <w:szCs w:val="24"/>
                <w:lang w:eastAsia="en-IN"/>
                <w14:ligatures w14:val="none"/>
              </w:rPr>
              <w:t>6.73</w:t>
            </w:r>
          </w:p>
        </w:tc>
        <w:tc>
          <w:tcPr>
            <w:tcW w:w="939" w:type="dxa"/>
            <w:tcBorders>
              <w:top w:val="nil"/>
              <w:left w:val="nil"/>
              <w:bottom w:val="single" w:sz="4" w:space="0" w:color="auto"/>
              <w:right w:val="single" w:sz="4" w:space="0" w:color="auto"/>
            </w:tcBorders>
            <w:vAlign w:val="center"/>
            <w:hideMark/>
          </w:tcPr>
          <w:p w14:paraId="6CA4716E" w14:textId="77777777" w:rsidR="00A351F7" w:rsidRPr="00A351F7" w:rsidRDefault="00A351F7" w:rsidP="00A351F7">
            <w:pPr>
              <w:spacing w:after="0" w:line="240" w:lineRule="auto"/>
              <w:jc w:val="center"/>
              <w:rPr>
                <w:rFonts w:ascii="Times New Roman" w:eastAsia="Times New Roman" w:hAnsi="Times New Roman" w:cs="Times New Roman"/>
                <w:color w:val="000000"/>
                <w:kern w:val="0"/>
                <w:szCs w:val="24"/>
                <w:lang w:eastAsia="en-IN"/>
                <w14:ligatures w14:val="none"/>
              </w:rPr>
            </w:pPr>
            <w:r w:rsidRPr="00A351F7">
              <w:rPr>
                <w:rFonts w:ascii="Times New Roman" w:eastAsia="Times New Roman" w:hAnsi="Times New Roman" w:cs="Times New Roman"/>
                <w:color w:val="000000"/>
                <w:kern w:val="0"/>
                <w:szCs w:val="24"/>
                <w:lang w:eastAsia="en-IN"/>
                <w14:ligatures w14:val="none"/>
              </w:rPr>
              <w:t>25.73</w:t>
            </w:r>
          </w:p>
        </w:tc>
        <w:tc>
          <w:tcPr>
            <w:tcW w:w="986" w:type="dxa"/>
            <w:tcBorders>
              <w:top w:val="nil"/>
              <w:left w:val="nil"/>
              <w:bottom w:val="single" w:sz="4" w:space="0" w:color="auto"/>
              <w:right w:val="single" w:sz="4" w:space="0" w:color="auto"/>
            </w:tcBorders>
            <w:vAlign w:val="center"/>
            <w:hideMark/>
          </w:tcPr>
          <w:p w14:paraId="7BA06B43" w14:textId="77777777" w:rsidR="00A351F7" w:rsidRPr="00A351F7" w:rsidRDefault="00A351F7" w:rsidP="00A351F7">
            <w:pPr>
              <w:spacing w:after="0" w:line="240" w:lineRule="auto"/>
              <w:jc w:val="center"/>
              <w:rPr>
                <w:rFonts w:ascii="Times New Roman" w:eastAsia="Times New Roman" w:hAnsi="Times New Roman" w:cs="Times New Roman"/>
                <w:color w:val="000000"/>
                <w:kern w:val="0"/>
                <w:szCs w:val="24"/>
                <w:lang w:eastAsia="en-IN"/>
                <w14:ligatures w14:val="none"/>
              </w:rPr>
            </w:pPr>
            <w:r w:rsidRPr="00A351F7">
              <w:rPr>
                <w:rFonts w:ascii="Times New Roman" w:eastAsia="Times New Roman" w:hAnsi="Times New Roman" w:cs="Times New Roman"/>
                <w:color w:val="000000"/>
                <w:kern w:val="0"/>
                <w:szCs w:val="24"/>
                <w:lang w:eastAsia="en-IN"/>
                <w14:ligatures w14:val="none"/>
              </w:rPr>
              <w:t>22.8</w:t>
            </w:r>
          </w:p>
        </w:tc>
        <w:tc>
          <w:tcPr>
            <w:tcW w:w="994" w:type="dxa"/>
            <w:tcBorders>
              <w:top w:val="nil"/>
              <w:left w:val="nil"/>
              <w:bottom w:val="single" w:sz="4" w:space="0" w:color="auto"/>
              <w:right w:val="single" w:sz="4" w:space="0" w:color="auto"/>
            </w:tcBorders>
            <w:vAlign w:val="center"/>
            <w:hideMark/>
          </w:tcPr>
          <w:p w14:paraId="543FF588" w14:textId="77777777" w:rsidR="00A351F7" w:rsidRPr="00A351F7" w:rsidRDefault="00A351F7" w:rsidP="00A351F7">
            <w:pPr>
              <w:spacing w:after="0" w:line="240" w:lineRule="auto"/>
              <w:jc w:val="center"/>
              <w:rPr>
                <w:rFonts w:ascii="Times New Roman" w:eastAsia="Times New Roman" w:hAnsi="Times New Roman" w:cs="Times New Roman"/>
                <w:color w:val="000000"/>
                <w:kern w:val="0"/>
                <w:szCs w:val="24"/>
                <w:lang w:eastAsia="en-IN"/>
                <w14:ligatures w14:val="none"/>
              </w:rPr>
            </w:pPr>
            <w:r w:rsidRPr="00A351F7">
              <w:rPr>
                <w:rFonts w:ascii="Times New Roman" w:eastAsia="Times New Roman" w:hAnsi="Times New Roman" w:cs="Times New Roman"/>
                <w:color w:val="000000"/>
                <w:kern w:val="0"/>
                <w:szCs w:val="24"/>
                <w:lang w:eastAsia="en-IN"/>
                <w14:ligatures w14:val="none"/>
              </w:rPr>
              <w:t>6.73</w:t>
            </w:r>
          </w:p>
        </w:tc>
        <w:tc>
          <w:tcPr>
            <w:tcW w:w="975" w:type="dxa"/>
            <w:tcBorders>
              <w:top w:val="nil"/>
              <w:left w:val="nil"/>
              <w:bottom w:val="single" w:sz="4" w:space="0" w:color="auto"/>
              <w:right w:val="single" w:sz="4" w:space="0" w:color="auto"/>
            </w:tcBorders>
            <w:vAlign w:val="center"/>
            <w:hideMark/>
          </w:tcPr>
          <w:p w14:paraId="34BB368D" w14:textId="77777777" w:rsidR="00A351F7" w:rsidRPr="00A351F7" w:rsidRDefault="00A351F7" w:rsidP="00A351F7">
            <w:pPr>
              <w:spacing w:after="0" w:line="240" w:lineRule="auto"/>
              <w:jc w:val="center"/>
              <w:rPr>
                <w:rFonts w:ascii="Times New Roman" w:eastAsia="Times New Roman" w:hAnsi="Times New Roman" w:cs="Times New Roman"/>
                <w:color w:val="000000"/>
                <w:kern w:val="0"/>
                <w:szCs w:val="24"/>
                <w:lang w:eastAsia="en-IN"/>
                <w14:ligatures w14:val="none"/>
              </w:rPr>
            </w:pPr>
            <w:r w:rsidRPr="00A351F7">
              <w:rPr>
                <w:rFonts w:ascii="Times New Roman" w:eastAsia="Times New Roman" w:hAnsi="Times New Roman" w:cs="Times New Roman"/>
                <w:color w:val="000000"/>
                <w:kern w:val="0"/>
                <w:szCs w:val="24"/>
                <w:lang w:eastAsia="en-IN"/>
                <w14:ligatures w14:val="none"/>
              </w:rPr>
              <w:t>29.53</w:t>
            </w:r>
          </w:p>
        </w:tc>
      </w:tr>
      <w:tr w:rsidR="00A351F7" w:rsidRPr="00A351F7" w14:paraId="697A06CE" w14:textId="77777777" w:rsidTr="00A351F7">
        <w:trPr>
          <w:trHeight w:val="309"/>
        </w:trPr>
        <w:tc>
          <w:tcPr>
            <w:tcW w:w="1403" w:type="dxa"/>
            <w:tcBorders>
              <w:top w:val="nil"/>
              <w:left w:val="single" w:sz="4" w:space="0" w:color="auto"/>
              <w:bottom w:val="single" w:sz="4" w:space="0" w:color="auto"/>
              <w:right w:val="single" w:sz="4" w:space="0" w:color="auto"/>
            </w:tcBorders>
            <w:vAlign w:val="center"/>
            <w:hideMark/>
          </w:tcPr>
          <w:p w14:paraId="696AEDA5" w14:textId="77777777" w:rsidR="00A351F7" w:rsidRPr="00A351F7" w:rsidRDefault="00A351F7" w:rsidP="00A351F7">
            <w:pPr>
              <w:spacing w:after="0" w:line="240" w:lineRule="auto"/>
              <w:rPr>
                <w:rFonts w:ascii="Times New Roman" w:eastAsia="Times New Roman" w:hAnsi="Times New Roman" w:cs="Times New Roman"/>
                <w:color w:val="000000"/>
                <w:kern w:val="0"/>
                <w:szCs w:val="24"/>
                <w:lang w:eastAsia="en-IN"/>
                <w14:ligatures w14:val="none"/>
              </w:rPr>
            </w:pPr>
            <w:r w:rsidRPr="00A351F7">
              <w:rPr>
                <w:rFonts w:ascii="Times New Roman" w:eastAsia="Times New Roman" w:hAnsi="Times New Roman" w:cs="Times New Roman"/>
                <w:color w:val="000000"/>
                <w:kern w:val="0"/>
                <w:szCs w:val="24"/>
                <w:lang w:eastAsia="en-IN"/>
                <w14:ligatures w14:val="none"/>
              </w:rPr>
              <w:t>Tamil Nadu</w:t>
            </w:r>
          </w:p>
        </w:tc>
        <w:tc>
          <w:tcPr>
            <w:tcW w:w="985" w:type="dxa"/>
            <w:tcBorders>
              <w:top w:val="nil"/>
              <w:left w:val="nil"/>
              <w:bottom w:val="single" w:sz="4" w:space="0" w:color="auto"/>
              <w:right w:val="single" w:sz="4" w:space="0" w:color="auto"/>
            </w:tcBorders>
            <w:vAlign w:val="center"/>
            <w:hideMark/>
          </w:tcPr>
          <w:p w14:paraId="462BD16C" w14:textId="77777777" w:rsidR="00A351F7" w:rsidRPr="00A351F7" w:rsidRDefault="00A351F7" w:rsidP="00A351F7">
            <w:pPr>
              <w:spacing w:after="0" w:line="240" w:lineRule="auto"/>
              <w:jc w:val="center"/>
              <w:rPr>
                <w:rFonts w:ascii="Times New Roman" w:eastAsia="Times New Roman" w:hAnsi="Times New Roman" w:cs="Times New Roman"/>
                <w:color w:val="000000"/>
                <w:kern w:val="0"/>
                <w:szCs w:val="24"/>
                <w:lang w:eastAsia="en-IN"/>
                <w14:ligatures w14:val="none"/>
              </w:rPr>
            </w:pPr>
            <w:r w:rsidRPr="00A351F7">
              <w:rPr>
                <w:rFonts w:ascii="Times New Roman" w:eastAsia="Times New Roman" w:hAnsi="Times New Roman" w:cs="Times New Roman"/>
                <w:color w:val="000000"/>
                <w:kern w:val="0"/>
                <w:szCs w:val="24"/>
                <w:lang w:eastAsia="en-IN"/>
                <w14:ligatures w14:val="none"/>
              </w:rPr>
              <w:t>30.3</w:t>
            </w:r>
          </w:p>
        </w:tc>
        <w:tc>
          <w:tcPr>
            <w:tcW w:w="994" w:type="dxa"/>
            <w:tcBorders>
              <w:top w:val="nil"/>
              <w:left w:val="nil"/>
              <w:bottom w:val="single" w:sz="4" w:space="0" w:color="auto"/>
              <w:right w:val="single" w:sz="4" w:space="0" w:color="auto"/>
            </w:tcBorders>
            <w:vAlign w:val="center"/>
            <w:hideMark/>
          </w:tcPr>
          <w:p w14:paraId="1A0DE717" w14:textId="77777777" w:rsidR="00A351F7" w:rsidRPr="00A351F7" w:rsidRDefault="00A351F7" w:rsidP="00A351F7">
            <w:pPr>
              <w:spacing w:after="0" w:line="240" w:lineRule="auto"/>
              <w:jc w:val="center"/>
              <w:rPr>
                <w:rFonts w:ascii="Times New Roman" w:eastAsia="Times New Roman" w:hAnsi="Times New Roman" w:cs="Times New Roman"/>
                <w:color w:val="000000"/>
                <w:kern w:val="0"/>
                <w:szCs w:val="24"/>
                <w:lang w:eastAsia="en-IN"/>
                <w14:ligatures w14:val="none"/>
              </w:rPr>
            </w:pPr>
            <w:r w:rsidRPr="00A351F7">
              <w:rPr>
                <w:rFonts w:ascii="Times New Roman" w:eastAsia="Times New Roman" w:hAnsi="Times New Roman" w:cs="Times New Roman"/>
                <w:color w:val="000000"/>
                <w:kern w:val="0"/>
                <w:szCs w:val="24"/>
                <w:lang w:eastAsia="en-IN"/>
                <w14:ligatures w14:val="none"/>
              </w:rPr>
              <w:t>6.84</w:t>
            </w:r>
          </w:p>
        </w:tc>
        <w:tc>
          <w:tcPr>
            <w:tcW w:w="975" w:type="dxa"/>
            <w:tcBorders>
              <w:top w:val="nil"/>
              <w:left w:val="nil"/>
              <w:bottom w:val="single" w:sz="4" w:space="0" w:color="auto"/>
              <w:right w:val="single" w:sz="4" w:space="0" w:color="auto"/>
            </w:tcBorders>
            <w:vAlign w:val="center"/>
            <w:hideMark/>
          </w:tcPr>
          <w:p w14:paraId="22672271" w14:textId="77777777" w:rsidR="00A351F7" w:rsidRPr="00A351F7" w:rsidRDefault="00A351F7" w:rsidP="00A351F7">
            <w:pPr>
              <w:spacing w:after="0" w:line="240" w:lineRule="auto"/>
              <w:jc w:val="center"/>
              <w:rPr>
                <w:rFonts w:ascii="Times New Roman" w:eastAsia="Times New Roman" w:hAnsi="Times New Roman" w:cs="Times New Roman"/>
                <w:color w:val="000000"/>
                <w:kern w:val="0"/>
                <w:szCs w:val="24"/>
                <w:lang w:eastAsia="en-IN"/>
                <w14:ligatures w14:val="none"/>
              </w:rPr>
            </w:pPr>
            <w:r w:rsidRPr="00A351F7">
              <w:rPr>
                <w:rFonts w:ascii="Times New Roman" w:eastAsia="Times New Roman" w:hAnsi="Times New Roman" w:cs="Times New Roman"/>
                <w:color w:val="000000"/>
                <w:kern w:val="0"/>
                <w:szCs w:val="24"/>
                <w:lang w:eastAsia="en-IN"/>
                <w14:ligatures w14:val="none"/>
              </w:rPr>
              <w:t>37.14</w:t>
            </w:r>
          </w:p>
        </w:tc>
        <w:tc>
          <w:tcPr>
            <w:tcW w:w="986" w:type="dxa"/>
            <w:tcBorders>
              <w:top w:val="nil"/>
              <w:left w:val="nil"/>
              <w:bottom w:val="single" w:sz="4" w:space="0" w:color="auto"/>
              <w:right w:val="single" w:sz="4" w:space="0" w:color="auto"/>
            </w:tcBorders>
            <w:vAlign w:val="center"/>
            <w:hideMark/>
          </w:tcPr>
          <w:p w14:paraId="69A10EA8" w14:textId="77777777" w:rsidR="00A351F7" w:rsidRPr="00A351F7" w:rsidRDefault="00A351F7" w:rsidP="00A351F7">
            <w:pPr>
              <w:spacing w:after="0" w:line="240" w:lineRule="auto"/>
              <w:jc w:val="center"/>
              <w:rPr>
                <w:rFonts w:ascii="Times New Roman" w:eastAsia="Times New Roman" w:hAnsi="Times New Roman" w:cs="Times New Roman"/>
                <w:color w:val="000000"/>
                <w:kern w:val="0"/>
                <w:szCs w:val="24"/>
                <w:lang w:eastAsia="en-IN"/>
                <w14:ligatures w14:val="none"/>
              </w:rPr>
            </w:pPr>
            <w:r w:rsidRPr="00A351F7">
              <w:rPr>
                <w:rFonts w:ascii="Times New Roman" w:eastAsia="Times New Roman" w:hAnsi="Times New Roman" w:cs="Times New Roman"/>
                <w:color w:val="000000"/>
                <w:kern w:val="0"/>
                <w:szCs w:val="24"/>
                <w:lang w:eastAsia="en-IN"/>
                <w14:ligatures w14:val="none"/>
              </w:rPr>
              <w:t>34.53</w:t>
            </w:r>
          </w:p>
        </w:tc>
        <w:tc>
          <w:tcPr>
            <w:tcW w:w="994" w:type="dxa"/>
            <w:tcBorders>
              <w:top w:val="nil"/>
              <w:left w:val="nil"/>
              <w:bottom w:val="single" w:sz="4" w:space="0" w:color="auto"/>
              <w:right w:val="single" w:sz="4" w:space="0" w:color="auto"/>
            </w:tcBorders>
            <w:vAlign w:val="center"/>
            <w:hideMark/>
          </w:tcPr>
          <w:p w14:paraId="62BC396B" w14:textId="77777777" w:rsidR="00A351F7" w:rsidRPr="00A351F7" w:rsidRDefault="00A351F7" w:rsidP="00A351F7">
            <w:pPr>
              <w:spacing w:after="0" w:line="240" w:lineRule="auto"/>
              <w:jc w:val="center"/>
              <w:rPr>
                <w:rFonts w:ascii="Times New Roman" w:eastAsia="Times New Roman" w:hAnsi="Times New Roman" w:cs="Times New Roman"/>
                <w:color w:val="000000"/>
                <w:kern w:val="0"/>
                <w:szCs w:val="24"/>
                <w:lang w:eastAsia="en-IN"/>
                <w14:ligatures w14:val="none"/>
              </w:rPr>
            </w:pPr>
            <w:r w:rsidRPr="00A351F7">
              <w:rPr>
                <w:rFonts w:ascii="Times New Roman" w:eastAsia="Times New Roman" w:hAnsi="Times New Roman" w:cs="Times New Roman"/>
                <w:color w:val="000000"/>
                <w:kern w:val="0"/>
                <w:szCs w:val="24"/>
                <w:lang w:eastAsia="en-IN"/>
                <w14:ligatures w14:val="none"/>
              </w:rPr>
              <w:t>6.84</w:t>
            </w:r>
          </w:p>
        </w:tc>
        <w:tc>
          <w:tcPr>
            <w:tcW w:w="939" w:type="dxa"/>
            <w:tcBorders>
              <w:top w:val="nil"/>
              <w:left w:val="nil"/>
              <w:bottom w:val="single" w:sz="4" w:space="0" w:color="auto"/>
              <w:right w:val="single" w:sz="4" w:space="0" w:color="auto"/>
            </w:tcBorders>
            <w:vAlign w:val="center"/>
            <w:hideMark/>
          </w:tcPr>
          <w:p w14:paraId="69F39768" w14:textId="77777777" w:rsidR="00A351F7" w:rsidRPr="00A351F7" w:rsidRDefault="00A351F7" w:rsidP="00A351F7">
            <w:pPr>
              <w:spacing w:after="0" w:line="240" w:lineRule="auto"/>
              <w:jc w:val="center"/>
              <w:rPr>
                <w:rFonts w:ascii="Times New Roman" w:eastAsia="Times New Roman" w:hAnsi="Times New Roman" w:cs="Times New Roman"/>
                <w:color w:val="000000"/>
                <w:kern w:val="0"/>
                <w:szCs w:val="24"/>
                <w:lang w:eastAsia="en-IN"/>
                <w14:ligatures w14:val="none"/>
              </w:rPr>
            </w:pPr>
            <w:r w:rsidRPr="00A351F7">
              <w:rPr>
                <w:rFonts w:ascii="Times New Roman" w:eastAsia="Times New Roman" w:hAnsi="Times New Roman" w:cs="Times New Roman"/>
                <w:color w:val="000000"/>
                <w:kern w:val="0"/>
                <w:szCs w:val="24"/>
                <w:lang w:eastAsia="en-IN"/>
                <w14:ligatures w14:val="none"/>
              </w:rPr>
              <w:t>41.37</w:t>
            </w:r>
          </w:p>
        </w:tc>
        <w:tc>
          <w:tcPr>
            <w:tcW w:w="986" w:type="dxa"/>
            <w:tcBorders>
              <w:top w:val="nil"/>
              <w:left w:val="nil"/>
              <w:bottom w:val="single" w:sz="4" w:space="0" w:color="auto"/>
              <w:right w:val="single" w:sz="4" w:space="0" w:color="auto"/>
            </w:tcBorders>
            <w:vAlign w:val="center"/>
            <w:hideMark/>
          </w:tcPr>
          <w:p w14:paraId="4104734E" w14:textId="77777777" w:rsidR="00A351F7" w:rsidRPr="00A351F7" w:rsidRDefault="00A351F7" w:rsidP="00A351F7">
            <w:pPr>
              <w:spacing w:after="0" w:line="240" w:lineRule="auto"/>
              <w:jc w:val="center"/>
              <w:rPr>
                <w:rFonts w:ascii="Times New Roman" w:eastAsia="Times New Roman" w:hAnsi="Times New Roman" w:cs="Times New Roman"/>
                <w:color w:val="000000"/>
                <w:kern w:val="0"/>
                <w:szCs w:val="24"/>
                <w:lang w:eastAsia="en-IN"/>
                <w14:ligatures w14:val="none"/>
              </w:rPr>
            </w:pPr>
            <w:r w:rsidRPr="00A351F7">
              <w:rPr>
                <w:rFonts w:ascii="Times New Roman" w:eastAsia="Times New Roman" w:hAnsi="Times New Roman" w:cs="Times New Roman"/>
                <w:color w:val="000000"/>
                <w:kern w:val="0"/>
                <w:szCs w:val="24"/>
                <w:lang w:eastAsia="en-IN"/>
                <w14:ligatures w14:val="none"/>
              </w:rPr>
              <w:t>39.75</w:t>
            </w:r>
          </w:p>
        </w:tc>
        <w:tc>
          <w:tcPr>
            <w:tcW w:w="994" w:type="dxa"/>
            <w:tcBorders>
              <w:top w:val="nil"/>
              <w:left w:val="nil"/>
              <w:bottom w:val="single" w:sz="4" w:space="0" w:color="auto"/>
              <w:right w:val="single" w:sz="4" w:space="0" w:color="auto"/>
            </w:tcBorders>
            <w:vAlign w:val="center"/>
            <w:hideMark/>
          </w:tcPr>
          <w:p w14:paraId="62C86135" w14:textId="77777777" w:rsidR="00A351F7" w:rsidRPr="00A351F7" w:rsidRDefault="00A351F7" w:rsidP="00A351F7">
            <w:pPr>
              <w:spacing w:after="0" w:line="240" w:lineRule="auto"/>
              <w:jc w:val="center"/>
              <w:rPr>
                <w:rFonts w:ascii="Times New Roman" w:eastAsia="Times New Roman" w:hAnsi="Times New Roman" w:cs="Times New Roman"/>
                <w:color w:val="000000"/>
                <w:kern w:val="0"/>
                <w:szCs w:val="24"/>
                <w:lang w:eastAsia="en-IN"/>
                <w14:ligatures w14:val="none"/>
              </w:rPr>
            </w:pPr>
            <w:r w:rsidRPr="00A351F7">
              <w:rPr>
                <w:rFonts w:ascii="Times New Roman" w:eastAsia="Times New Roman" w:hAnsi="Times New Roman" w:cs="Times New Roman"/>
                <w:color w:val="000000"/>
                <w:kern w:val="0"/>
                <w:szCs w:val="24"/>
                <w:lang w:eastAsia="en-IN"/>
                <w14:ligatures w14:val="none"/>
              </w:rPr>
              <w:t>6.84</w:t>
            </w:r>
          </w:p>
        </w:tc>
        <w:tc>
          <w:tcPr>
            <w:tcW w:w="975" w:type="dxa"/>
            <w:tcBorders>
              <w:top w:val="nil"/>
              <w:left w:val="nil"/>
              <w:bottom w:val="single" w:sz="4" w:space="0" w:color="auto"/>
              <w:right w:val="single" w:sz="4" w:space="0" w:color="auto"/>
            </w:tcBorders>
            <w:vAlign w:val="center"/>
            <w:hideMark/>
          </w:tcPr>
          <w:p w14:paraId="3C462158" w14:textId="77777777" w:rsidR="00A351F7" w:rsidRPr="00A351F7" w:rsidRDefault="00A351F7" w:rsidP="00A351F7">
            <w:pPr>
              <w:spacing w:after="0" w:line="240" w:lineRule="auto"/>
              <w:jc w:val="center"/>
              <w:rPr>
                <w:rFonts w:ascii="Times New Roman" w:eastAsia="Times New Roman" w:hAnsi="Times New Roman" w:cs="Times New Roman"/>
                <w:color w:val="000000"/>
                <w:kern w:val="0"/>
                <w:szCs w:val="24"/>
                <w:lang w:eastAsia="en-IN"/>
                <w14:ligatures w14:val="none"/>
              </w:rPr>
            </w:pPr>
            <w:r w:rsidRPr="00A351F7">
              <w:rPr>
                <w:rFonts w:ascii="Times New Roman" w:eastAsia="Times New Roman" w:hAnsi="Times New Roman" w:cs="Times New Roman"/>
                <w:color w:val="000000"/>
                <w:kern w:val="0"/>
                <w:szCs w:val="24"/>
                <w:lang w:eastAsia="en-IN"/>
                <w14:ligatures w14:val="none"/>
              </w:rPr>
              <w:t>46.59</w:t>
            </w:r>
          </w:p>
        </w:tc>
      </w:tr>
      <w:tr w:rsidR="00A351F7" w:rsidRPr="00A351F7" w14:paraId="72ECC214" w14:textId="77777777" w:rsidTr="00A351F7">
        <w:trPr>
          <w:trHeight w:val="495"/>
        </w:trPr>
        <w:tc>
          <w:tcPr>
            <w:tcW w:w="1403" w:type="dxa"/>
            <w:tcBorders>
              <w:top w:val="nil"/>
              <w:left w:val="single" w:sz="4" w:space="0" w:color="auto"/>
              <w:bottom w:val="single" w:sz="4" w:space="0" w:color="auto"/>
              <w:right w:val="single" w:sz="4" w:space="0" w:color="auto"/>
            </w:tcBorders>
            <w:vAlign w:val="center"/>
            <w:hideMark/>
          </w:tcPr>
          <w:p w14:paraId="096404E0" w14:textId="77777777" w:rsidR="00A351F7" w:rsidRPr="00A351F7" w:rsidRDefault="00A351F7" w:rsidP="00A351F7">
            <w:pPr>
              <w:spacing w:after="0" w:line="240" w:lineRule="auto"/>
              <w:rPr>
                <w:rFonts w:ascii="Times New Roman" w:eastAsia="Times New Roman" w:hAnsi="Times New Roman" w:cs="Times New Roman"/>
                <w:color w:val="000000"/>
                <w:kern w:val="0"/>
                <w:szCs w:val="24"/>
                <w:lang w:eastAsia="en-IN"/>
                <w14:ligatures w14:val="none"/>
              </w:rPr>
            </w:pPr>
            <w:r w:rsidRPr="00A351F7">
              <w:rPr>
                <w:rFonts w:ascii="Times New Roman" w:eastAsia="Times New Roman" w:hAnsi="Times New Roman" w:cs="Times New Roman"/>
                <w:color w:val="000000"/>
                <w:kern w:val="0"/>
                <w:szCs w:val="24"/>
                <w:lang w:eastAsia="en-IN"/>
                <w14:ligatures w14:val="none"/>
              </w:rPr>
              <w:t>Uttar Pradesh</w:t>
            </w:r>
          </w:p>
        </w:tc>
        <w:tc>
          <w:tcPr>
            <w:tcW w:w="985" w:type="dxa"/>
            <w:tcBorders>
              <w:top w:val="nil"/>
              <w:left w:val="nil"/>
              <w:bottom w:val="single" w:sz="4" w:space="0" w:color="auto"/>
              <w:right w:val="single" w:sz="4" w:space="0" w:color="auto"/>
            </w:tcBorders>
            <w:vAlign w:val="center"/>
            <w:hideMark/>
          </w:tcPr>
          <w:p w14:paraId="5D1BB866" w14:textId="77777777" w:rsidR="00A351F7" w:rsidRPr="00A351F7" w:rsidRDefault="00A351F7" w:rsidP="00A351F7">
            <w:pPr>
              <w:spacing w:after="0" w:line="240" w:lineRule="auto"/>
              <w:jc w:val="center"/>
              <w:rPr>
                <w:rFonts w:ascii="Times New Roman" w:eastAsia="Times New Roman" w:hAnsi="Times New Roman" w:cs="Times New Roman"/>
                <w:color w:val="000000"/>
                <w:kern w:val="0"/>
                <w:szCs w:val="24"/>
                <w:lang w:eastAsia="en-IN"/>
                <w14:ligatures w14:val="none"/>
              </w:rPr>
            </w:pPr>
            <w:r w:rsidRPr="00A351F7">
              <w:rPr>
                <w:rFonts w:ascii="Times New Roman" w:eastAsia="Times New Roman" w:hAnsi="Times New Roman" w:cs="Times New Roman"/>
                <w:color w:val="000000"/>
                <w:kern w:val="0"/>
                <w:szCs w:val="24"/>
                <w:lang w:eastAsia="en-IN"/>
                <w14:ligatures w14:val="none"/>
              </w:rPr>
              <w:t>57.87</w:t>
            </w:r>
          </w:p>
        </w:tc>
        <w:tc>
          <w:tcPr>
            <w:tcW w:w="994" w:type="dxa"/>
            <w:tcBorders>
              <w:top w:val="nil"/>
              <w:left w:val="nil"/>
              <w:bottom w:val="single" w:sz="4" w:space="0" w:color="auto"/>
              <w:right w:val="single" w:sz="4" w:space="0" w:color="auto"/>
            </w:tcBorders>
            <w:vAlign w:val="center"/>
            <w:hideMark/>
          </w:tcPr>
          <w:p w14:paraId="0B7E15A6" w14:textId="77777777" w:rsidR="00A351F7" w:rsidRPr="00A351F7" w:rsidRDefault="00A351F7" w:rsidP="00A351F7">
            <w:pPr>
              <w:spacing w:after="0" w:line="240" w:lineRule="auto"/>
              <w:jc w:val="center"/>
              <w:rPr>
                <w:rFonts w:ascii="Times New Roman" w:eastAsia="Times New Roman" w:hAnsi="Times New Roman" w:cs="Times New Roman"/>
                <w:color w:val="000000"/>
                <w:kern w:val="0"/>
                <w:szCs w:val="24"/>
                <w:lang w:eastAsia="en-IN"/>
                <w14:ligatures w14:val="none"/>
              </w:rPr>
            </w:pPr>
            <w:r w:rsidRPr="00A351F7">
              <w:rPr>
                <w:rFonts w:ascii="Times New Roman" w:eastAsia="Times New Roman" w:hAnsi="Times New Roman" w:cs="Times New Roman"/>
                <w:color w:val="000000"/>
                <w:kern w:val="0"/>
                <w:szCs w:val="24"/>
                <w:lang w:eastAsia="en-IN"/>
                <w14:ligatures w14:val="none"/>
              </w:rPr>
              <w:t>9.85</w:t>
            </w:r>
          </w:p>
        </w:tc>
        <w:tc>
          <w:tcPr>
            <w:tcW w:w="975" w:type="dxa"/>
            <w:tcBorders>
              <w:top w:val="nil"/>
              <w:left w:val="nil"/>
              <w:bottom w:val="single" w:sz="4" w:space="0" w:color="auto"/>
              <w:right w:val="single" w:sz="4" w:space="0" w:color="auto"/>
            </w:tcBorders>
            <w:vAlign w:val="center"/>
            <w:hideMark/>
          </w:tcPr>
          <w:p w14:paraId="7F1126B1" w14:textId="77777777" w:rsidR="00A351F7" w:rsidRPr="00A351F7" w:rsidRDefault="00A351F7" w:rsidP="00A351F7">
            <w:pPr>
              <w:spacing w:after="0" w:line="240" w:lineRule="auto"/>
              <w:jc w:val="center"/>
              <w:rPr>
                <w:rFonts w:ascii="Times New Roman" w:eastAsia="Times New Roman" w:hAnsi="Times New Roman" w:cs="Times New Roman"/>
                <w:color w:val="000000"/>
                <w:kern w:val="0"/>
                <w:szCs w:val="24"/>
                <w:lang w:eastAsia="en-IN"/>
                <w14:ligatures w14:val="none"/>
              </w:rPr>
            </w:pPr>
            <w:r w:rsidRPr="00A351F7">
              <w:rPr>
                <w:rFonts w:ascii="Times New Roman" w:eastAsia="Times New Roman" w:hAnsi="Times New Roman" w:cs="Times New Roman"/>
                <w:color w:val="000000"/>
                <w:kern w:val="0"/>
                <w:szCs w:val="24"/>
                <w:lang w:eastAsia="en-IN"/>
                <w14:ligatures w14:val="none"/>
              </w:rPr>
              <w:t>67.72</w:t>
            </w:r>
          </w:p>
        </w:tc>
        <w:tc>
          <w:tcPr>
            <w:tcW w:w="986" w:type="dxa"/>
            <w:tcBorders>
              <w:top w:val="nil"/>
              <w:left w:val="nil"/>
              <w:bottom w:val="single" w:sz="4" w:space="0" w:color="auto"/>
              <w:right w:val="single" w:sz="4" w:space="0" w:color="auto"/>
            </w:tcBorders>
            <w:vAlign w:val="center"/>
            <w:hideMark/>
          </w:tcPr>
          <w:p w14:paraId="500646A4" w14:textId="77777777" w:rsidR="00A351F7" w:rsidRPr="00A351F7" w:rsidRDefault="00A351F7" w:rsidP="00A351F7">
            <w:pPr>
              <w:spacing w:after="0" w:line="240" w:lineRule="auto"/>
              <w:jc w:val="center"/>
              <w:rPr>
                <w:rFonts w:ascii="Times New Roman" w:eastAsia="Times New Roman" w:hAnsi="Times New Roman" w:cs="Times New Roman"/>
                <w:color w:val="000000"/>
                <w:kern w:val="0"/>
                <w:szCs w:val="24"/>
                <w:lang w:eastAsia="en-IN"/>
                <w14:ligatures w14:val="none"/>
              </w:rPr>
            </w:pPr>
            <w:r w:rsidRPr="00A351F7">
              <w:rPr>
                <w:rFonts w:ascii="Times New Roman" w:eastAsia="Times New Roman" w:hAnsi="Times New Roman" w:cs="Times New Roman"/>
                <w:color w:val="000000"/>
                <w:kern w:val="0"/>
                <w:szCs w:val="24"/>
                <w:lang w:eastAsia="en-IN"/>
                <w14:ligatures w14:val="none"/>
              </w:rPr>
              <w:t>63.77</w:t>
            </w:r>
          </w:p>
        </w:tc>
        <w:tc>
          <w:tcPr>
            <w:tcW w:w="994" w:type="dxa"/>
            <w:tcBorders>
              <w:top w:val="nil"/>
              <w:left w:val="nil"/>
              <w:bottom w:val="single" w:sz="4" w:space="0" w:color="auto"/>
              <w:right w:val="single" w:sz="4" w:space="0" w:color="auto"/>
            </w:tcBorders>
            <w:vAlign w:val="center"/>
            <w:hideMark/>
          </w:tcPr>
          <w:p w14:paraId="1BD0E29D" w14:textId="77777777" w:rsidR="00A351F7" w:rsidRPr="00A351F7" w:rsidRDefault="00A351F7" w:rsidP="00A351F7">
            <w:pPr>
              <w:spacing w:after="0" w:line="240" w:lineRule="auto"/>
              <w:jc w:val="center"/>
              <w:rPr>
                <w:rFonts w:ascii="Times New Roman" w:eastAsia="Times New Roman" w:hAnsi="Times New Roman" w:cs="Times New Roman"/>
                <w:color w:val="000000"/>
                <w:kern w:val="0"/>
                <w:szCs w:val="24"/>
                <w:lang w:eastAsia="en-IN"/>
                <w14:ligatures w14:val="none"/>
              </w:rPr>
            </w:pPr>
            <w:r w:rsidRPr="00A351F7">
              <w:rPr>
                <w:rFonts w:ascii="Times New Roman" w:eastAsia="Times New Roman" w:hAnsi="Times New Roman" w:cs="Times New Roman"/>
                <w:color w:val="000000"/>
                <w:kern w:val="0"/>
                <w:szCs w:val="24"/>
                <w:lang w:eastAsia="en-IN"/>
                <w14:ligatures w14:val="none"/>
              </w:rPr>
              <w:t>9.85</w:t>
            </w:r>
          </w:p>
        </w:tc>
        <w:tc>
          <w:tcPr>
            <w:tcW w:w="939" w:type="dxa"/>
            <w:tcBorders>
              <w:top w:val="nil"/>
              <w:left w:val="nil"/>
              <w:bottom w:val="single" w:sz="4" w:space="0" w:color="auto"/>
              <w:right w:val="single" w:sz="4" w:space="0" w:color="auto"/>
            </w:tcBorders>
            <w:vAlign w:val="center"/>
            <w:hideMark/>
          </w:tcPr>
          <w:p w14:paraId="37925D21" w14:textId="77777777" w:rsidR="00A351F7" w:rsidRPr="00A351F7" w:rsidRDefault="00A351F7" w:rsidP="00A351F7">
            <w:pPr>
              <w:spacing w:after="0" w:line="240" w:lineRule="auto"/>
              <w:jc w:val="center"/>
              <w:rPr>
                <w:rFonts w:ascii="Times New Roman" w:eastAsia="Times New Roman" w:hAnsi="Times New Roman" w:cs="Times New Roman"/>
                <w:color w:val="000000"/>
                <w:kern w:val="0"/>
                <w:szCs w:val="24"/>
                <w:lang w:eastAsia="en-IN"/>
                <w14:ligatures w14:val="none"/>
              </w:rPr>
            </w:pPr>
            <w:r w:rsidRPr="00A351F7">
              <w:rPr>
                <w:rFonts w:ascii="Times New Roman" w:eastAsia="Times New Roman" w:hAnsi="Times New Roman" w:cs="Times New Roman"/>
                <w:color w:val="000000"/>
                <w:kern w:val="0"/>
                <w:szCs w:val="24"/>
                <w:lang w:eastAsia="en-IN"/>
                <w14:ligatures w14:val="none"/>
              </w:rPr>
              <w:t>73.62</w:t>
            </w:r>
          </w:p>
        </w:tc>
        <w:tc>
          <w:tcPr>
            <w:tcW w:w="986" w:type="dxa"/>
            <w:tcBorders>
              <w:top w:val="nil"/>
              <w:left w:val="nil"/>
              <w:bottom w:val="single" w:sz="4" w:space="0" w:color="auto"/>
              <w:right w:val="single" w:sz="4" w:space="0" w:color="auto"/>
            </w:tcBorders>
            <w:vAlign w:val="center"/>
            <w:hideMark/>
          </w:tcPr>
          <w:p w14:paraId="050B8865" w14:textId="77777777" w:rsidR="00A351F7" w:rsidRPr="00A351F7" w:rsidRDefault="00A351F7" w:rsidP="00A351F7">
            <w:pPr>
              <w:spacing w:after="0" w:line="240" w:lineRule="auto"/>
              <w:jc w:val="center"/>
              <w:rPr>
                <w:rFonts w:ascii="Times New Roman" w:eastAsia="Times New Roman" w:hAnsi="Times New Roman" w:cs="Times New Roman"/>
                <w:color w:val="000000"/>
                <w:kern w:val="0"/>
                <w:szCs w:val="24"/>
                <w:lang w:eastAsia="en-IN"/>
                <w14:ligatures w14:val="none"/>
              </w:rPr>
            </w:pPr>
            <w:r w:rsidRPr="00A351F7">
              <w:rPr>
                <w:rFonts w:ascii="Times New Roman" w:eastAsia="Times New Roman" w:hAnsi="Times New Roman" w:cs="Times New Roman"/>
                <w:color w:val="000000"/>
                <w:kern w:val="0"/>
                <w:szCs w:val="24"/>
                <w:lang w:eastAsia="en-IN"/>
                <w14:ligatures w14:val="none"/>
              </w:rPr>
              <w:t>75.04</w:t>
            </w:r>
          </w:p>
        </w:tc>
        <w:tc>
          <w:tcPr>
            <w:tcW w:w="994" w:type="dxa"/>
            <w:tcBorders>
              <w:top w:val="nil"/>
              <w:left w:val="nil"/>
              <w:bottom w:val="single" w:sz="4" w:space="0" w:color="auto"/>
              <w:right w:val="single" w:sz="4" w:space="0" w:color="auto"/>
            </w:tcBorders>
            <w:vAlign w:val="center"/>
            <w:hideMark/>
          </w:tcPr>
          <w:p w14:paraId="267C3028" w14:textId="77777777" w:rsidR="00A351F7" w:rsidRPr="00A351F7" w:rsidRDefault="00A351F7" w:rsidP="00A351F7">
            <w:pPr>
              <w:spacing w:after="0" w:line="240" w:lineRule="auto"/>
              <w:jc w:val="center"/>
              <w:rPr>
                <w:rFonts w:ascii="Times New Roman" w:eastAsia="Times New Roman" w:hAnsi="Times New Roman" w:cs="Times New Roman"/>
                <w:color w:val="000000"/>
                <w:kern w:val="0"/>
                <w:szCs w:val="24"/>
                <w:lang w:eastAsia="en-IN"/>
                <w14:ligatures w14:val="none"/>
              </w:rPr>
            </w:pPr>
            <w:r w:rsidRPr="00A351F7">
              <w:rPr>
                <w:rFonts w:ascii="Times New Roman" w:eastAsia="Times New Roman" w:hAnsi="Times New Roman" w:cs="Times New Roman"/>
                <w:color w:val="000000"/>
                <w:kern w:val="0"/>
                <w:szCs w:val="24"/>
                <w:lang w:eastAsia="en-IN"/>
                <w14:ligatures w14:val="none"/>
              </w:rPr>
              <w:t>9.85</w:t>
            </w:r>
          </w:p>
        </w:tc>
        <w:tc>
          <w:tcPr>
            <w:tcW w:w="975" w:type="dxa"/>
            <w:tcBorders>
              <w:top w:val="nil"/>
              <w:left w:val="nil"/>
              <w:bottom w:val="single" w:sz="4" w:space="0" w:color="auto"/>
              <w:right w:val="single" w:sz="4" w:space="0" w:color="auto"/>
            </w:tcBorders>
            <w:vAlign w:val="center"/>
            <w:hideMark/>
          </w:tcPr>
          <w:p w14:paraId="0550417B" w14:textId="77777777" w:rsidR="00A351F7" w:rsidRPr="00A351F7" w:rsidRDefault="00A351F7" w:rsidP="00A351F7">
            <w:pPr>
              <w:spacing w:after="0" w:line="240" w:lineRule="auto"/>
              <w:jc w:val="center"/>
              <w:rPr>
                <w:rFonts w:ascii="Times New Roman" w:eastAsia="Times New Roman" w:hAnsi="Times New Roman" w:cs="Times New Roman"/>
                <w:color w:val="000000"/>
                <w:kern w:val="0"/>
                <w:szCs w:val="24"/>
                <w:lang w:eastAsia="en-IN"/>
                <w14:ligatures w14:val="none"/>
              </w:rPr>
            </w:pPr>
            <w:r w:rsidRPr="00A351F7">
              <w:rPr>
                <w:rFonts w:ascii="Times New Roman" w:eastAsia="Times New Roman" w:hAnsi="Times New Roman" w:cs="Times New Roman"/>
                <w:color w:val="000000"/>
                <w:kern w:val="0"/>
                <w:szCs w:val="24"/>
                <w:lang w:eastAsia="en-IN"/>
                <w14:ligatures w14:val="none"/>
              </w:rPr>
              <w:t>84.89</w:t>
            </w:r>
          </w:p>
        </w:tc>
      </w:tr>
      <w:tr w:rsidR="00A351F7" w:rsidRPr="00A351F7" w14:paraId="5372DF33" w14:textId="77777777" w:rsidTr="00A351F7">
        <w:trPr>
          <w:trHeight w:val="495"/>
        </w:trPr>
        <w:tc>
          <w:tcPr>
            <w:tcW w:w="1403" w:type="dxa"/>
            <w:tcBorders>
              <w:top w:val="nil"/>
              <w:left w:val="single" w:sz="4" w:space="0" w:color="auto"/>
              <w:bottom w:val="single" w:sz="4" w:space="0" w:color="auto"/>
              <w:right w:val="single" w:sz="4" w:space="0" w:color="auto"/>
            </w:tcBorders>
            <w:vAlign w:val="center"/>
            <w:hideMark/>
          </w:tcPr>
          <w:p w14:paraId="7FDE7485" w14:textId="77777777" w:rsidR="00A351F7" w:rsidRPr="00A351F7" w:rsidRDefault="00A351F7" w:rsidP="00A351F7">
            <w:pPr>
              <w:spacing w:after="0" w:line="240" w:lineRule="auto"/>
              <w:rPr>
                <w:rFonts w:ascii="Times New Roman" w:eastAsia="Times New Roman" w:hAnsi="Times New Roman" w:cs="Times New Roman"/>
                <w:color w:val="000000"/>
                <w:kern w:val="0"/>
                <w:szCs w:val="24"/>
                <w:lang w:eastAsia="en-IN"/>
                <w14:ligatures w14:val="none"/>
              </w:rPr>
            </w:pPr>
            <w:r w:rsidRPr="00A351F7">
              <w:rPr>
                <w:rFonts w:ascii="Times New Roman" w:eastAsia="Times New Roman" w:hAnsi="Times New Roman" w:cs="Times New Roman"/>
                <w:color w:val="000000"/>
                <w:kern w:val="0"/>
                <w:szCs w:val="24"/>
                <w:lang w:eastAsia="en-IN"/>
                <w14:ligatures w14:val="none"/>
              </w:rPr>
              <w:t>West Bengal</w:t>
            </w:r>
          </w:p>
        </w:tc>
        <w:tc>
          <w:tcPr>
            <w:tcW w:w="985" w:type="dxa"/>
            <w:tcBorders>
              <w:top w:val="nil"/>
              <w:left w:val="nil"/>
              <w:bottom w:val="single" w:sz="4" w:space="0" w:color="auto"/>
              <w:right w:val="single" w:sz="4" w:space="0" w:color="auto"/>
            </w:tcBorders>
            <w:vAlign w:val="center"/>
            <w:hideMark/>
          </w:tcPr>
          <w:p w14:paraId="14290AE1" w14:textId="77777777" w:rsidR="00A351F7" w:rsidRPr="00A351F7" w:rsidRDefault="00A351F7" w:rsidP="00A351F7">
            <w:pPr>
              <w:spacing w:after="0" w:line="240" w:lineRule="auto"/>
              <w:jc w:val="center"/>
              <w:rPr>
                <w:rFonts w:ascii="Times New Roman" w:eastAsia="Times New Roman" w:hAnsi="Times New Roman" w:cs="Times New Roman"/>
                <w:color w:val="000000"/>
                <w:kern w:val="0"/>
                <w:szCs w:val="24"/>
                <w:lang w:eastAsia="en-IN"/>
                <w14:ligatures w14:val="none"/>
              </w:rPr>
            </w:pPr>
            <w:r w:rsidRPr="00A351F7">
              <w:rPr>
                <w:rFonts w:ascii="Times New Roman" w:eastAsia="Times New Roman" w:hAnsi="Times New Roman" w:cs="Times New Roman"/>
                <w:color w:val="000000"/>
                <w:kern w:val="0"/>
                <w:szCs w:val="24"/>
                <w:lang w:eastAsia="en-IN"/>
                <w14:ligatures w14:val="none"/>
              </w:rPr>
              <w:t>33.16</w:t>
            </w:r>
          </w:p>
        </w:tc>
        <w:tc>
          <w:tcPr>
            <w:tcW w:w="994" w:type="dxa"/>
            <w:tcBorders>
              <w:top w:val="nil"/>
              <w:left w:val="nil"/>
              <w:bottom w:val="single" w:sz="4" w:space="0" w:color="auto"/>
              <w:right w:val="single" w:sz="4" w:space="0" w:color="auto"/>
            </w:tcBorders>
            <w:vAlign w:val="center"/>
            <w:hideMark/>
          </w:tcPr>
          <w:p w14:paraId="05931742" w14:textId="77777777" w:rsidR="00A351F7" w:rsidRPr="00A351F7" w:rsidRDefault="00A351F7" w:rsidP="00A351F7">
            <w:pPr>
              <w:spacing w:after="0" w:line="240" w:lineRule="auto"/>
              <w:jc w:val="center"/>
              <w:rPr>
                <w:rFonts w:ascii="Times New Roman" w:eastAsia="Times New Roman" w:hAnsi="Times New Roman" w:cs="Times New Roman"/>
                <w:color w:val="000000"/>
                <w:kern w:val="0"/>
                <w:szCs w:val="24"/>
                <w:lang w:eastAsia="en-IN"/>
                <w14:ligatures w14:val="none"/>
              </w:rPr>
            </w:pPr>
            <w:r w:rsidRPr="00A351F7">
              <w:rPr>
                <w:rFonts w:ascii="Times New Roman" w:eastAsia="Times New Roman" w:hAnsi="Times New Roman" w:cs="Times New Roman"/>
                <w:color w:val="000000"/>
                <w:kern w:val="0"/>
                <w:szCs w:val="24"/>
                <w:lang w:eastAsia="en-IN"/>
                <w14:ligatures w14:val="none"/>
              </w:rPr>
              <w:t>..</w:t>
            </w:r>
          </w:p>
        </w:tc>
        <w:tc>
          <w:tcPr>
            <w:tcW w:w="975" w:type="dxa"/>
            <w:tcBorders>
              <w:top w:val="nil"/>
              <w:left w:val="nil"/>
              <w:bottom w:val="single" w:sz="4" w:space="0" w:color="auto"/>
              <w:right w:val="single" w:sz="4" w:space="0" w:color="auto"/>
            </w:tcBorders>
            <w:vAlign w:val="center"/>
            <w:hideMark/>
          </w:tcPr>
          <w:p w14:paraId="76EFF752" w14:textId="77777777" w:rsidR="00A351F7" w:rsidRPr="00A351F7" w:rsidRDefault="00A351F7" w:rsidP="00A351F7">
            <w:pPr>
              <w:spacing w:after="0" w:line="240" w:lineRule="auto"/>
              <w:jc w:val="center"/>
              <w:rPr>
                <w:rFonts w:ascii="Times New Roman" w:eastAsia="Times New Roman" w:hAnsi="Times New Roman" w:cs="Times New Roman"/>
                <w:color w:val="000000"/>
                <w:kern w:val="0"/>
                <w:szCs w:val="24"/>
                <w:lang w:eastAsia="en-IN"/>
                <w14:ligatures w14:val="none"/>
              </w:rPr>
            </w:pPr>
            <w:r w:rsidRPr="00A351F7">
              <w:rPr>
                <w:rFonts w:ascii="Times New Roman" w:eastAsia="Times New Roman" w:hAnsi="Times New Roman" w:cs="Times New Roman"/>
                <w:color w:val="000000"/>
                <w:kern w:val="0"/>
                <w:szCs w:val="24"/>
                <w:lang w:eastAsia="en-IN"/>
                <w14:ligatures w14:val="none"/>
              </w:rPr>
              <w:t>33.16</w:t>
            </w:r>
          </w:p>
        </w:tc>
        <w:tc>
          <w:tcPr>
            <w:tcW w:w="986" w:type="dxa"/>
            <w:tcBorders>
              <w:top w:val="nil"/>
              <w:left w:val="nil"/>
              <w:bottom w:val="single" w:sz="4" w:space="0" w:color="auto"/>
              <w:right w:val="single" w:sz="4" w:space="0" w:color="auto"/>
            </w:tcBorders>
            <w:vAlign w:val="center"/>
            <w:hideMark/>
          </w:tcPr>
          <w:p w14:paraId="6EEFF567" w14:textId="77777777" w:rsidR="00A351F7" w:rsidRPr="00A351F7" w:rsidRDefault="00A351F7" w:rsidP="00A351F7">
            <w:pPr>
              <w:spacing w:after="0" w:line="240" w:lineRule="auto"/>
              <w:jc w:val="center"/>
              <w:rPr>
                <w:rFonts w:ascii="Times New Roman" w:eastAsia="Times New Roman" w:hAnsi="Times New Roman" w:cs="Times New Roman"/>
                <w:color w:val="000000"/>
                <w:kern w:val="0"/>
                <w:szCs w:val="24"/>
                <w:lang w:eastAsia="en-IN"/>
                <w14:ligatures w14:val="none"/>
              </w:rPr>
            </w:pPr>
            <w:r w:rsidRPr="00A351F7">
              <w:rPr>
                <w:rFonts w:ascii="Times New Roman" w:eastAsia="Times New Roman" w:hAnsi="Times New Roman" w:cs="Times New Roman"/>
                <w:color w:val="000000"/>
                <w:kern w:val="0"/>
                <w:szCs w:val="24"/>
                <w:lang w:eastAsia="en-IN"/>
                <w14:ligatures w14:val="none"/>
              </w:rPr>
              <w:t>39.8</w:t>
            </w:r>
          </w:p>
        </w:tc>
        <w:tc>
          <w:tcPr>
            <w:tcW w:w="994" w:type="dxa"/>
            <w:tcBorders>
              <w:top w:val="nil"/>
              <w:left w:val="nil"/>
              <w:bottom w:val="single" w:sz="4" w:space="0" w:color="auto"/>
              <w:right w:val="single" w:sz="4" w:space="0" w:color="auto"/>
            </w:tcBorders>
            <w:vAlign w:val="center"/>
            <w:hideMark/>
          </w:tcPr>
          <w:p w14:paraId="06A670EC" w14:textId="77777777" w:rsidR="00A351F7" w:rsidRPr="00A351F7" w:rsidRDefault="00A351F7" w:rsidP="00A351F7">
            <w:pPr>
              <w:spacing w:after="0" w:line="240" w:lineRule="auto"/>
              <w:jc w:val="center"/>
              <w:rPr>
                <w:rFonts w:ascii="Times New Roman" w:eastAsia="Times New Roman" w:hAnsi="Times New Roman" w:cs="Times New Roman"/>
                <w:color w:val="000000"/>
                <w:kern w:val="0"/>
                <w:szCs w:val="24"/>
                <w:lang w:eastAsia="en-IN"/>
                <w14:ligatures w14:val="none"/>
              </w:rPr>
            </w:pPr>
            <w:r w:rsidRPr="00A351F7">
              <w:rPr>
                <w:rFonts w:ascii="Times New Roman" w:eastAsia="Times New Roman" w:hAnsi="Times New Roman" w:cs="Times New Roman"/>
                <w:color w:val="000000"/>
                <w:kern w:val="0"/>
                <w:szCs w:val="24"/>
                <w:lang w:eastAsia="en-IN"/>
                <w14:ligatures w14:val="none"/>
              </w:rPr>
              <w:t>..</w:t>
            </w:r>
          </w:p>
        </w:tc>
        <w:tc>
          <w:tcPr>
            <w:tcW w:w="939" w:type="dxa"/>
            <w:tcBorders>
              <w:top w:val="nil"/>
              <w:left w:val="nil"/>
              <w:bottom w:val="single" w:sz="4" w:space="0" w:color="auto"/>
              <w:right w:val="single" w:sz="4" w:space="0" w:color="auto"/>
            </w:tcBorders>
            <w:vAlign w:val="center"/>
            <w:hideMark/>
          </w:tcPr>
          <w:p w14:paraId="3A46D4FE" w14:textId="77777777" w:rsidR="00A351F7" w:rsidRPr="00A351F7" w:rsidRDefault="00A351F7" w:rsidP="00A351F7">
            <w:pPr>
              <w:spacing w:after="0" w:line="240" w:lineRule="auto"/>
              <w:jc w:val="center"/>
              <w:rPr>
                <w:rFonts w:ascii="Times New Roman" w:eastAsia="Times New Roman" w:hAnsi="Times New Roman" w:cs="Times New Roman"/>
                <w:color w:val="000000"/>
                <w:kern w:val="0"/>
                <w:szCs w:val="24"/>
                <w:lang w:eastAsia="en-IN"/>
                <w14:ligatures w14:val="none"/>
              </w:rPr>
            </w:pPr>
            <w:r w:rsidRPr="00A351F7">
              <w:rPr>
                <w:rFonts w:ascii="Times New Roman" w:eastAsia="Times New Roman" w:hAnsi="Times New Roman" w:cs="Times New Roman"/>
                <w:color w:val="000000"/>
                <w:kern w:val="0"/>
                <w:szCs w:val="24"/>
                <w:lang w:eastAsia="en-IN"/>
                <w14:ligatures w14:val="none"/>
              </w:rPr>
              <w:t>39.8</w:t>
            </w:r>
          </w:p>
        </w:tc>
        <w:tc>
          <w:tcPr>
            <w:tcW w:w="986" w:type="dxa"/>
            <w:tcBorders>
              <w:top w:val="nil"/>
              <w:left w:val="nil"/>
              <w:bottom w:val="single" w:sz="4" w:space="0" w:color="auto"/>
              <w:right w:val="single" w:sz="4" w:space="0" w:color="auto"/>
            </w:tcBorders>
            <w:vAlign w:val="center"/>
            <w:hideMark/>
          </w:tcPr>
          <w:p w14:paraId="4A65E426" w14:textId="77777777" w:rsidR="00A351F7" w:rsidRPr="00A351F7" w:rsidRDefault="00A351F7" w:rsidP="00A351F7">
            <w:pPr>
              <w:spacing w:after="0" w:line="240" w:lineRule="auto"/>
              <w:jc w:val="center"/>
              <w:rPr>
                <w:rFonts w:ascii="Times New Roman" w:eastAsia="Times New Roman" w:hAnsi="Times New Roman" w:cs="Times New Roman"/>
                <w:color w:val="000000"/>
                <w:kern w:val="0"/>
                <w:szCs w:val="24"/>
                <w:lang w:eastAsia="en-IN"/>
                <w14:ligatures w14:val="none"/>
              </w:rPr>
            </w:pPr>
            <w:r w:rsidRPr="00A351F7">
              <w:rPr>
                <w:rFonts w:ascii="Times New Roman" w:eastAsia="Times New Roman" w:hAnsi="Times New Roman" w:cs="Times New Roman"/>
                <w:color w:val="000000"/>
                <w:kern w:val="0"/>
                <w:szCs w:val="24"/>
                <w:lang w:eastAsia="en-IN"/>
                <w14:ligatures w14:val="none"/>
              </w:rPr>
              <w:t>45.37</w:t>
            </w:r>
          </w:p>
        </w:tc>
        <w:tc>
          <w:tcPr>
            <w:tcW w:w="994" w:type="dxa"/>
            <w:tcBorders>
              <w:top w:val="nil"/>
              <w:left w:val="nil"/>
              <w:bottom w:val="single" w:sz="4" w:space="0" w:color="auto"/>
              <w:right w:val="single" w:sz="4" w:space="0" w:color="auto"/>
            </w:tcBorders>
            <w:vAlign w:val="center"/>
            <w:hideMark/>
          </w:tcPr>
          <w:p w14:paraId="41EE5168" w14:textId="77777777" w:rsidR="00A351F7" w:rsidRPr="00A351F7" w:rsidRDefault="00A351F7" w:rsidP="00A351F7">
            <w:pPr>
              <w:spacing w:after="0" w:line="240" w:lineRule="auto"/>
              <w:jc w:val="center"/>
              <w:rPr>
                <w:rFonts w:ascii="Times New Roman" w:eastAsia="Times New Roman" w:hAnsi="Times New Roman" w:cs="Times New Roman"/>
                <w:color w:val="000000"/>
                <w:kern w:val="0"/>
                <w:szCs w:val="24"/>
                <w:lang w:eastAsia="en-IN"/>
                <w14:ligatures w14:val="none"/>
              </w:rPr>
            </w:pPr>
            <w:r w:rsidRPr="00A351F7">
              <w:rPr>
                <w:rFonts w:ascii="Times New Roman" w:eastAsia="Times New Roman" w:hAnsi="Times New Roman" w:cs="Times New Roman"/>
                <w:color w:val="000000"/>
                <w:kern w:val="0"/>
                <w:szCs w:val="24"/>
                <w:lang w:eastAsia="en-IN"/>
                <w14:ligatures w14:val="none"/>
              </w:rPr>
              <w:t>..</w:t>
            </w:r>
          </w:p>
        </w:tc>
        <w:tc>
          <w:tcPr>
            <w:tcW w:w="975" w:type="dxa"/>
            <w:tcBorders>
              <w:top w:val="nil"/>
              <w:left w:val="nil"/>
              <w:bottom w:val="single" w:sz="4" w:space="0" w:color="auto"/>
              <w:right w:val="single" w:sz="4" w:space="0" w:color="auto"/>
            </w:tcBorders>
            <w:vAlign w:val="center"/>
            <w:hideMark/>
          </w:tcPr>
          <w:p w14:paraId="6EB5E72F" w14:textId="77777777" w:rsidR="00A351F7" w:rsidRPr="00A351F7" w:rsidRDefault="00A351F7" w:rsidP="00A351F7">
            <w:pPr>
              <w:spacing w:after="0" w:line="240" w:lineRule="auto"/>
              <w:jc w:val="center"/>
              <w:rPr>
                <w:rFonts w:ascii="Times New Roman" w:eastAsia="Times New Roman" w:hAnsi="Times New Roman" w:cs="Times New Roman"/>
                <w:color w:val="000000"/>
                <w:kern w:val="0"/>
                <w:szCs w:val="24"/>
                <w:lang w:eastAsia="en-IN"/>
                <w14:ligatures w14:val="none"/>
              </w:rPr>
            </w:pPr>
            <w:r w:rsidRPr="00A351F7">
              <w:rPr>
                <w:rFonts w:ascii="Times New Roman" w:eastAsia="Times New Roman" w:hAnsi="Times New Roman" w:cs="Times New Roman"/>
                <w:color w:val="000000"/>
                <w:kern w:val="0"/>
                <w:szCs w:val="24"/>
                <w:lang w:eastAsia="en-IN"/>
                <w14:ligatures w14:val="none"/>
              </w:rPr>
              <w:t>45.37</w:t>
            </w:r>
          </w:p>
        </w:tc>
      </w:tr>
      <w:tr w:rsidR="00A351F7" w:rsidRPr="00A351F7" w14:paraId="0FFFDFB4" w14:textId="77777777" w:rsidTr="00A351F7">
        <w:trPr>
          <w:trHeight w:val="309"/>
        </w:trPr>
        <w:tc>
          <w:tcPr>
            <w:tcW w:w="1403" w:type="dxa"/>
            <w:tcBorders>
              <w:top w:val="nil"/>
              <w:left w:val="single" w:sz="4" w:space="0" w:color="auto"/>
              <w:bottom w:val="single" w:sz="4" w:space="0" w:color="auto"/>
              <w:right w:val="single" w:sz="4" w:space="0" w:color="auto"/>
            </w:tcBorders>
            <w:vAlign w:val="center"/>
            <w:hideMark/>
          </w:tcPr>
          <w:p w14:paraId="78E97B5E" w14:textId="77777777" w:rsidR="00A351F7" w:rsidRPr="00A351F7" w:rsidRDefault="00A351F7" w:rsidP="00A351F7">
            <w:pPr>
              <w:spacing w:after="0" w:line="240" w:lineRule="auto"/>
              <w:rPr>
                <w:rFonts w:ascii="Times New Roman" w:eastAsia="Times New Roman" w:hAnsi="Times New Roman" w:cs="Times New Roman"/>
                <w:color w:val="000000"/>
                <w:kern w:val="0"/>
                <w:szCs w:val="24"/>
                <w:lang w:eastAsia="en-IN"/>
                <w14:ligatures w14:val="none"/>
              </w:rPr>
            </w:pPr>
            <w:r w:rsidRPr="00A351F7">
              <w:rPr>
                <w:rFonts w:ascii="Times New Roman" w:eastAsia="Times New Roman" w:hAnsi="Times New Roman" w:cs="Times New Roman"/>
                <w:color w:val="000000"/>
                <w:kern w:val="0"/>
                <w:szCs w:val="24"/>
                <w:lang w:eastAsia="en-IN"/>
                <w14:ligatures w14:val="none"/>
              </w:rPr>
              <w:t>TOTAL</w:t>
            </w:r>
          </w:p>
        </w:tc>
        <w:tc>
          <w:tcPr>
            <w:tcW w:w="985" w:type="dxa"/>
            <w:tcBorders>
              <w:top w:val="nil"/>
              <w:left w:val="nil"/>
              <w:bottom w:val="single" w:sz="4" w:space="0" w:color="auto"/>
              <w:right w:val="single" w:sz="4" w:space="0" w:color="auto"/>
            </w:tcBorders>
            <w:vAlign w:val="center"/>
            <w:hideMark/>
          </w:tcPr>
          <w:p w14:paraId="302ECF2B" w14:textId="77777777" w:rsidR="00A351F7" w:rsidRPr="00A351F7" w:rsidRDefault="00A351F7" w:rsidP="00A351F7">
            <w:pPr>
              <w:spacing w:after="0" w:line="240" w:lineRule="auto"/>
              <w:jc w:val="center"/>
              <w:rPr>
                <w:rFonts w:ascii="Times New Roman" w:eastAsia="Times New Roman" w:hAnsi="Times New Roman" w:cs="Times New Roman"/>
                <w:color w:val="000000"/>
                <w:kern w:val="0"/>
                <w:szCs w:val="24"/>
                <w:lang w:eastAsia="en-IN"/>
                <w14:ligatures w14:val="none"/>
              </w:rPr>
            </w:pPr>
            <w:r w:rsidRPr="00A351F7">
              <w:rPr>
                <w:rFonts w:ascii="Times New Roman" w:eastAsia="Times New Roman" w:hAnsi="Times New Roman" w:cs="Times New Roman"/>
                <w:color w:val="000000"/>
                <w:kern w:val="0"/>
                <w:szCs w:val="24"/>
                <w:lang w:eastAsia="en-IN"/>
                <w14:ligatures w14:val="none"/>
              </w:rPr>
              <w:t>384.08</w:t>
            </w:r>
          </w:p>
        </w:tc>
        <w:tc>
          <w:tcPr>
            <w:tcW w:w="994" w:type="dxa"/>
            <w:tcBorders>
              <w:top w:val="nil"/>
              <w:left w:val="nil"/>
              <w:bottom w:val="single" w:sz="4" w:space="0" w:color="auto"/>
              <w:right w:val="single" w:sz="4" w:space="0" w:color="auto"/>
            </w:tcBorders>
            <w:vAlign w:val="center"/>
            <w:hideMark/>
          </w:tcPr>
          <w:p w14:paraId="0ECE6E94" w14:textId="77777777" w:rsidR="00A351F7" w:rsidRPr="00A351F7" w:rsidRDefault="00A351F7" w:rsidP="00A351F7">
            <w:pPr>
              <w:spacing w:after="0" w:line="240" w:lineRule="auto"/>
              <w:jc w:val="center"/>
              <w:rPr>
                <w:rFonts w:ascii="Times New Roman" w:eastAsia="Times New Roman" w:hAnsi="Times New Roman" w:cs="Times New Roman"/>
                <w:color w:val="000000"/>
                <w:kern w:val="0"/>
                <w:szCs w:val="24"/>
                <w:lang w:eastAsia="en-IN"/>
                <w14:ligatures w14:val="none"/>
              </w:rPr>
            </w:pPr>
            <w:r w:rsidRPr="00A351F7">
              <w:rPr>
                <w:rFonts w:ascii="Times New Roman" w:eastAsia="Times New Roman" w:hAnsi="Times New Roman" w:cs="Times New Roman"/>
                <w:color w:val="000000"/>
                <w:kern w:val="0"/>
                <w:szCs w:val="24"/>
                <w:lang w:eastAsia="en-IN"/>
                <w14:ligatures w14:val="none"/>
              </w:rPr>
              <w:t>140.61</w:t>
            </w:r>
          </w:p>
        </w:tc>
        <w:tc>
          <w:tcPr>
            <w:tcW w:w="975" w:type="dxa"/>
            <w:tcBorders>
              <w:top w:val="nil"/>
              <w:left w:val="nil"/>
              <w:bottom w:val="single" w:sz="4" w:space="0" w:color="auto"/>
              <w:right w:val="single" w:sz="4" w:space="0" w:color="auto"/>
            </w:tcBorders>
            <w:vAlign w:val="center"/>
            <w:hideMark/>
          </w:tcPr>
          <w:p w14:paraId="2074E1F5" w14:textId="77777777" w:rsidR="00A351F7" w:rsidRPr="00A351F7" w:rsidRDefault="00A351F7" w:rsidP="00A351F7">
            <w:pPr>
              <w:spacing w:after="0" w:line="240" w:lineRule="auto"/>
              <w:jc w:val="center"/>
              <w:rPr>
                <w:rFonts w:ascii="Times New Roman" w:eastAsia="Times New Roman" w:hAnsi="Times New Roman" w:cs="Times New Roman"/>
                <w:color w:val="000000"/>
                <w:kern w:val="0"/>
                <w:szCs w:val="24"/>
                <w:lang w:eastAsia="en-IN"/>
                <w14:ligatures w14:val="none"/>
              </w:rPr>
            </w:pPr>
            <w:r w:rsidRPr="00A351F7">
              <w:rPr>
                <w:rFonts w:ascii="Times New Roman" w:eastAsia="Times New Roman" w:hAnsi="Times New Roman" w:cs="Times New Roman"/>
                <w:color w:val="000000"/>
                <w:kern w:val="0"/>
                <w:szCs w:val="24"/>
                <w:lang w:eastAsia="en-IN"/>
                <w14:ligatures w14:val="none"/>
              </w:rPr>
              <w:t>524.69</w:t>
            </w:r>
          </w:p>
        </w:tc>
        <w:tc>
          <w:tcPr>
            <w:tcW w:w="986" w:type="dxa"/>
            <w:tcBorders>
              <w:top w:val="nil"/>
              <w:left w:val="nil"/>
              <w:bottom w:val="single" w:sz="4" w:space="0" w:color="auto"/>
              <w:right w:val="single" w:sz="4" w:space="0" w:color="auto"/>
            </w:tcBorders>
            <w:vAlign w:val="center"/>
            <w:hideMark/>
          </w:tcPr>
          <w:p w14:paraId="3F0D44B4" w14:textId="77777777" w:rsidR="00A351F7" w:rsidRPr="00A351F7" w:rsidRDefault="00A351F7" w:rsidP="00A351F7">
            <w:pPr>
              <w:spacing w:after="0" w:line="240" w:lineRule="auto"/>
              <w:jc w:val="center"/>
              <w:rPr>
                <w:rFonts w:ascii="Times New Roman" w:eastAsia="Times New Roman" w:hAnsi="Times New Roman" w:cs="Times New Roman"/>
                <w:color w:val="000000"/>
                <w:kern w:val="0"/>
                <w:szCs w:val="24"/>
                <w:lang w:eastAsia="en-IN"/>
                <w14:ligatures w14:val="none"/>
              </w:rPr>
            </w:pPr>
            <w:r w:rsidRPr="00A351F7">
              <w:rPr>
                <w:rFonts w:ascii="Times New Roman" w:eastAsia="Times New Roman" w:hAnsi="Times New Roman" w:cs="Times New Roman"/>
                <w:color w:val="000000"/>
                <w:kern w:val="0"/>
                <w:szCs w:val="24"/>
                <w:lang w:eastAsia="en-IN"/>
                <w14:ligatures w14:val="none"/>
              </w:rPr>
              <w:t>431.99</w:t>
            </w:r>
          </w:p>
        </w:tc>
        <w:tc>
          <w:tcPr>
            <w:tcW w:w="994" w:type="dxa"/>
            <w:tcBorders>
              <w:top w:val="nil"/>
              <w:left w:val="nil"/>
              <w:bottom w:val="single" w:sz="4" w:space="0" w:color="auto"/>
              <w:right w:val="single" w:sz="4" w:space="0" w:color="auto"/>
            </w:tcBorders>
            <w:vAlign w:val="center"/>
            <w:hideMark/>
          </w:tcPr>
          <w:p w14:paraId="7B1178EA" w14:textId="77777777" w:rsidR="00A351F7" w:rsidRPr="00A351F7" w:rsidRDefault="00A351F7" w:rsidP="00A351F7">
            <w:pPr>
              <w:spacing w:after="0" w:line="240" w:lineRule="auto"/>
              <w:jc w:val="center"/>
              <w:rPr>
                <w:rFonts w:ascii="Times New Roman" w:eastAsia="Times New Roman" w:hAnsi="Times New Roman" w:cs="Times New Roman"/>
                <w:color w:val="000000"/>
                <w:kern w:val="0"/>
                <w:szCs w:val="24"/>
                <w:lang w:eastAsia="en-IN"/>
                <w14:ligatures w14:val="none"/>
              </w:rPr>
            </w:pPr>
            <w:r w:rsidRPr="00A351F7">
              <w:rPr>
                <w:rFonts w:ascii="Times New Roman" w:eastAsia="Times New Roman" w:hAnsi="Times New Roman" w:cs="Times New Roman"/>
                <w:color w:val="000000"/>
                <w:kern w:val="0"/>
                <w:szCs w:val="24"/>
                <w:lang w:eastAsia="en-IN"/>
                <w14:ligatures w14:val="none"/>
              </w:rPr>
              <w:t>140.61</w:t>
            </w:r>
          </w:p>
        </w:tc>
        <w:tc>
          <w:tcPr>
            <w:tcW w:w="939" w:type="dxa"/>
            <w:tcBorders>
              <w:top w:val="nil"/>
              <w:left w:val="nil"/>
              <w:bottom w:val="single" w:sz="4" w:space="0" w:color="auto"/>
              <w:right w:val="single" w:sz="4" w:space="0" w:color="auto"/>
            </w:tcBorders>
            <w:vAlign w:val="center"/>
            <w:hideMark/>
          </w:tcPr>
          <w:p w14:paraId="6858ACCE" w14:textId="77777777" w:rsidR="00A351F7" w:rsidRPr="00A351F7" w:rsidRDefault="00A351F7" w:rsidP="00A351F7">
            <w:pPr>
              <w:spacing w:after="0" w:line="240" w:lineRule="auto"/>
              <w:jc w:val="center"/>
              <w:rPr>
                <w:rFonts w:ascii="Times New Roman" w:eastAsia="Times New Roman" w:hAnsi="Times New Roman" w:cs="Times New Roman"/>
                <w:color w:val="000000"/>
                <w:kern w:val="0"/>
                <w:szCs w:val="24"/>
                <w:lang w:eastAsia="en-IN"/>
                <w14:ligatures w14:val="none"/>
              </w:rPr>
            </w:pPr>
            <w:r w:rsidRPr="00A351F7">
              <w:rPr>
                <w:rFonts w:ascii="Times New Roman" w:eastAsia="Times New Roman" w:hAnsi="Times New Roman" w:cs="Times New Roman"/>
                <w:color w:val="000000"/>
                <w:kern w:val="0"/>
                <w:szCs w:val="24"/>
                <w:lang w:eastAsia="en-IN"/>
                <w14:ligatures w14:val="none"/>
              </w:rPr>
              <w:t>572.6</w:t>
            </w:r>
          </w:p>
        </w:tc>
        <w:tc>
          <w:tcPr>
            <w:tcW w:w="986" w:type="dxa"/>
            <w:tcBorders>
              <w:top w:val="nil"/>
              <w:left w:val="nil"/>
              <w:bottom w:val="single" w:sz="4" w:space="0" w:color="auto"/>
              <w:right w:val="single" w:sz="4" w:space="0" w:color="auto"/>
            </w:tcBorders>
            <w:vAlign w:val="center"/>
            <w:hideMark/>
          </w:tcPr>
          <w:p w14:paraId="2CEA4828" w14:textId="77777777" w:rsidR="00A351F7" w:rsidRPr="00A351F7" w:rsidRDefault="00A351F7" w:rsidP="00A351F7">
            <w:pPr>
              <w:spacing w:after="0" w:line="240" w:lineRule="auto"/>
              <w:jc w:val="center"/>
              <w:rPr>
                <w:rFonts w:ascii="Times New Roman" w:eastAsia="Times New Roman" w:hAnsi="Times New Roman" w:cs="Times New Roman"/>
                <w:color w:val="000000"/>
                <w:kern w:val="0"/>
                <w:szCs w:val="24"/>
                <w:lang w:eastAsia="en-IN"/>
                <w14:ligatures w14:val="none"/>
              </w:rPr>
            </w:pPr>
            <w:r w:rsidRPr="00A351F7">
              <w:rPr>
                <w:rFonts w:ascii="Times New Roman" w:eastAsia="Times New Roman" w:hAnsi="Times New Roman" w:cs="Times New Roman"/>
                <w:color w:val="000000"/>
                <w:kern w:val="0"/>
                <w:szCs w:val="24"/>
                <w:lang w:eastAsia="en-IN"/>
                <w14:ligatures w14:val="none"/>
              </w:rPr>
              <w:t>507.12</w:t>
            </w:r>
          </w:p>
        </w:tc>
        <w:tc>
          <w:tcPr>
            <w:tcW w:w="994" w:type="dxa"/>
            <w:tcBorders>
              <w:top w:val="nil"/>
              <w:left w:val="nil"/>
              <w:bottom w:val="single" w:sz="4" w:space="0" w:color="auto"/>
              <w:right w:val="single" w:sz="4" w:space="0" w:color="auto"/>
            </w:tcBorders>
            <w:vAlign w:val="center"/>
            <w:hideMark/>
          </w:tcPr>
          <w:p w14:paraId="32DF00E5" w14:textId="77777777" w:rsidR="00A351F7" w:rsidRPr="00A351F7" w:rsidRDefault="00A351F7" w:rsidP="00A351F7">
            <w:pPr>
              <w:spacing w:after="0" w:line="240" w:lineRule="auto"/>
              <w:jc w:val="center"/>
              <w:rPr>
                <w:rFonts w:ascii="Times New Roman" w:eastAsia="Times New Roman" w:hAnsi="Times New Roman" w:cs="Times New Roman"/>
                <w:color w:val="000000"/>
                <w:kern w:val="0"/>
                <w:szCs w:val="24"/>
                <w:lang w:eastAsia="en-IN"/>
                <w14:ligatures w14:val="none"/>
              </w:rPr>
            </w:pPr>
            <w:r w:rsidRPr="00A351F7">
              <w:rPr>
                <w:rFonts w:ascii="Times New Roman" w:eastAsia="Times New Roman" w:hAnsi="Times New Roman" w:cs="Times New Roman"/>
                <w:color w:val="000000"/>
                <w:kern w:val="0"/>
                <w:szCs w:val="24"/>
                <w:lang w:eastAsia="en-IN"/>
                <w14:ligatures w14:val="none"/>
              </w:rPr>
              <w:t>140.61</w:t>
            </w:r>
          </w:p>
        </w:tc>
        <w:tc>
          <w:tcPr>
            <w:tcW w:w="975" w:type="dxa"/>
            <w:tcBorders>
              <w:top w:val="nil"/>
              <w:left w:val="nil"/>
              <w:bottom w:val="single" w:sz="4" w:space="0" w:color="auto"/>
              <w:right w:val="single" w:sz="4" w:space="0" w:color="auto"/>
            </w:tcBorders>
            <w:vAlign w:val="center"/>
            <w:hideMark/>
          </w:tcPr>
          <w:p w14:paraId="30322D48" w14:textId="77777777" w:rsidR="00A351F7" w:rsidRPr="00A351F7" w:rsidRDefault="00A351F7" w:rsidP="00A351F7">
            <w:pPr>
              <w:spacing w:after="0" w:line="240" w:lineRule="auto"/>
              <w:jc w:val="center"/>
              <w:rPr>
                <w:rFonts w:ascii="Times New Roman" w:eastAsia="Times New Roman" w:hAnsi="Times New Roman" w:cs="Times New Roman"/>
                <w:color w:val="000000"/>
                <w:kern w:val="0"/>
                <w:szCs w:val="24"/>
                <w:lang w:eastAsia="en-IN"/>
                <w14:ligatures w14:val="none"/>
              </w:rPr>
            </w:pPr>
            <w:r w:rsidRPr="00A351F7">
              <w:rPr>
                <w:rFonts w:ascii="Times New Roman" w:eastAsia="Times New Roman" w:hAnsi="Times New Roman" w:cs="Times New Roman"/>
                <w:color w:val="000000"/>
                <w:kern w:val="0"/>
                <w:szCs w:val="24"/>
                <w:lang w:eastAsia="en-IN"/>
                <w14:ligatures w14:val="none"/>
              </w:rPr>
              <w:t>647.73</w:t>
            </w:r>
          </w:p>
        </w:tc>
      </w:tr>
    </w:tbl>
    <w:p w14:paraId="59C7D0C4" w14:textId="02754D5A" w:rsidR="00424B7B" w:rsidRPr="00A351F7" w:rsidRDefault="00FC2A09" w:rsidP="00424B7B">
      <w:pPr>
        <w:pStyle w:val="ListParagraph"/>
        <w:rPr>
          <w:rFonts w:ascii="Times New Roman" w:hAnsi="Times New Roman" w:cs="Times New Roman"/>
          <w:sz w:val="20"/>
          <w:szCs w:val="18"/>
        </w:rPr>
      </w:pPr>
      <w:r w:rsidRPr="00A351F7">
        <w:rPr>
          <w:rFonts w:ascii="Times New Roman" w:hAnsi="Times New Roman" w:cs="Times New Roman"/>
          <w:sz w:val="20"/>
          <w:szCs w:val="18"/>
        </w:rPr>
        <w:t>Source:</w:t>
      </w:r>
      <w:r w:rsidR="00424B7B" w:rsidRPr="00A351F7">
        <w:rPr>
          <w:rFonts w:ascii="Times New Roman" w:hAnsi="Times New Roman" w:cs="Times New Roman"/>
          <w:sz w:val="20"/>
          <w:szCs w:val="18"/>
        </w:rPr>
        <w:t> (1)1966-</w:t>
      </w:r>
      <w:r w:rsidRPr="00A351F7">
        <w:rPr>
          <w:rFonts w:ascii="Times New Roman" w:hAnsi="Times New Roman" w:cs="Times New Roman"/>
          <w:sz w:val="20"/>
          <w:szCs w:val="18"/>
        </w:rPr>
        <w:t>67 State</w:t>
      </w:r>
      <w:r w:rsidR="00424B7B" w:rsidRPr="00A351F7">
        <w:rPr>
          <w:rFonts w:ascii="Times New Roman" w:hAnsi="Times New Roman" w:cs="Times New Roman"/>
          <w:sz w:val="20"/>
          <w:szCs w:val="18"/>
        </w:rPr>
        <w:t xml:space="preserve"> Budgets</w:t>
      </w:r>
    </w:p>
    <w:p w14:paraId="61A0D734" w14:textId="3FD45303" w:rsidR="00424B7B" w:rsidRPr="00A351F7" w:rsidRDefault="00424B7B" w:rsidP="00A351F7">
      <w:pPr>
        <w:ind w:firstLine="720"/>
        <w:rPr>
          <w:rFonts w:ascii="Times New Roman" w:hAnsi="Times New Roman" w:cs="Times New Roman"/>
          <w:sz w:val="20"/>
          <w:szCs w:val="18"/>
        </w:rPr>
      </w:pPr>
      <w:r w:rsidRPr="00A351F7">
        <w:rPr>
          <w:rFonts w:ascii="Times New Roman" w:hAnsi="Times New Roman" w:cs="Times New Roman"/>
          <w:sz w:val="20"/>
          <w:szCs w:val="18"/>
        </w:rPr>
        <w:t>(2) 1967-68 and 1968-69 data is from Central Budgets</w:t>
      </w:r>
    </w:p>
    <w:p w14:paraId="7DFE6A41" w14:textId="5C3B6D57" w:rsidR="00424B7B" w:rsidRPr="00A351F7" w:rsidRDefault="00424B7B" w:rsidP="00A351F7">
      <w:pPr>
        <w:rPr>
          <w:rFonts w:ascii="Times New Roman" w:hAnsi="Times New Roman" w:cs="Times New Roman"/>
          <w:sz w:val="20"/>
          <w:szCs w:val="18"/>
        </w:rPr>
      </w:pPr>
      <w:r w:rsidRPr="00A351F7">
        <w:rPr>
          <w:rFonts w:ascii="Times New Roman" w:hAnsi="Times New Roman" w:cs="Times New Roman"/>
          <w:sz w:val="20"/>
          <w:szCs w:val="18"/>
        </w:rPr>
        <w:t>*Since the reorganised States of Punjab and Haryana came into being on November 1. 1966 the figures for Punjab in Col. I relate to the composition State for the first 7 Months of the year and the reorganised State for the next 5 months. The figure for Haryana relate to the only months of the year.</w:t>
      </w:r>
    </w:p>
    <w:p w14:paraId="45F39370" w14:textId="77777777" w:rsidR="00424B7B" w:rsidRPr="007245B0" w:rsidRDefault="00424B7B" w:rsidP="00424B7B">
      <w:pPr>
        <w:jc w:val="center"/>
        <w:rPr>
          <w:rFonts w:ascii="Times New Roman" w:hAnsi="Times New Roman" w:cs="Times New Roman"/>
        </w:rPr>
      </w:pPr>
    </w:p>
    <w:p w14:paraId="43515AA1" w14:textId="49AFFBFD" w:rsidR="00424B7B" w:rsidRPr="007245B0" w:rsidRDefault="00574BCE" w:rsidP="007D2EE4">
      <w:pPr>
        <w:pStyle w:val="Heading4"/>
      </w:pPr>
      <w:bookmarkStart w:id="207" w:name="_Toc220949739"/>
      <w:bookmarkStart w:id="208" w:name="_Toc221114339"/>
      <w:bookmarkStart w:id="209" w:name="_Toc221115362"/>
      <w:r>
        <w:lastRenderedPageBreak/>
        <w:t>Table</w:t>
      </w:r>
      <w:r w:rsidR="00424B7B" w:rsidRPr="007245B0">
        <w:t xml:space="preserve"> 58: Area Irrigated (</w:t>
      </w:r>
      <w:r w:rsidR="00A351F7">
        <w:t>n</w:t>
      </w:r>
      <w:r w:rsidR="00424B7B" w:rsidRPr="007245B0">
        <w:t xml:space="preserve">et by Main Sources </w:t>
      </w:r>
      <w:r w:rsidR="00427668">
        <w:t xml:space="preserve">in </w:t>
      </w:r>
      <w:r w:rsidR="00424B7B" w:rsidRPr="007245B0">
        <w:t xml:space="preserve">1965-66 and </w:t>
      </w:r>
      <w:r w:rsidR="00A351F7">
        <w:t>n</w:t>
      </w:r>
      <w:r w:rsidR="00424B7B" w:rsidRPr="007245B0">
        <w:t xml:space="preserve">umber of </w:t>
      </w:r>
      <w:r w:rsidR="00A351F7">
        <w:t>c</w:t>
      </w:r>
      <w:r w:rsidR="00424B7B" w:rsidRPr="007245B0">
        <w:t xml:space="preserve">ultivators </w:t>
      </w:r>
      <w:r w:rsidR="00A351F7">
        <w:t xml:space="preserve">as per Census </w:t>
      </w:r>
      <w:r w:rsidR="00424B7B" w:rsidRPr="007245B0">
        <w:t>1961</w:t>
      </w:r>
      <w:bookmarkEnd w:id="207"/>
      <w:r w:rsidR="00427668">
        <w:t>)</w:t>
      </w:r>
      <w:bookmarkEnd w:id="208"/>
      <w:bookmarkEnd w:id="209"/>
    </w:p>
    <w:tbl>
      <w:tblPr>
        <w:tblStyle w:val="TableGrid"/>
        <w:tblpPr w:leftFromText="180" w:rightFromText="180" w:vertAnchor="text" w:horzAnchor="page" w:tblpX="392" w:tblpY="326"/>
        <w:tblW w:w="11552" w:type="dxa"/>
        <w:tblLook w:val="04A0" w:firstRow="1" w:lastRow="0" w:firstColumn="1" w:lastColumn="0" w:noHBand="0" w:noVBand="1"/>
      </w:tblPr>
      <w:tblGrid>
        <w:gridCol w:w="2137"/>
        <w:gridCol w:w="965"/>
        <w:gridCol w:w="873"/>
        <w:gridCol w:w="813"/>
        <w:gridCol w:w="1716"/>
        <w:gridCol w:w="2387"/>
        <w:gridCol w:w="2661"/>
      </w:tblGrid>
      <w:tr w:rsidR="00424B7B" w:rsidRPr="00427668" w14:paraId="631BB8B3" w14:textId="77777777" w:rsidTr="00A351F7">
        <w:trPr>
          <w:trHeight w:val="598"/>
        </w:trPr>
        <w:tc>
          <w:tcPr>
            <w:tcW w:w="0" w:type="auto"/>
            <w:vMerge w:val="restart"/>
            <w:vAlign w:val="center"/>
          </w:tcPr>
          <w:p w14:paraId="09DAB58A" w14:textId="77777777" w:rsidR="00424B7B" w:rsidRPr="00427668" w:rsidRDefault="00424B7B" w:rsidP="00A351F7">
            <w:pPr>
              <w:pStyle w:val="NoSpacing"/>
              <w:jc w:val="center"/>
              <w:rPr>
                <w:rFonts w:ascii="Times New Roman" w:hAnsi="Times New Roman" w:cs="Times New Roman"/>
                <w:b/>
                <w:bCs/>
                <w:szCs w:val="24"/>
              </w:rPr>
            </w:pPr>
            <w:r w:rsidRPr="00427668">
              <w:rPr>
                <w:rFonts w:ascii="Times New Roman" w:hAnsi="Times New Roman" w:cs="Times New Roman"/>
                <w:b/>
                <w:bCs/>
                <w:szCs w:val="24"/>
              </w:rPr>
              <w:t>State</w:t>
            </w:r>
          </w:p>
        </w:tc>
        <w:tc>
          <w:tcPr>
            <w:tcW w:w="0" w:type="auto"/>
            <w:gridSpan w:val="5"/>
            <w:vAlign w:val="center"/>
          </w:tcPr>
          <w:p w14:paraId="2673132D" w14:textId="65D0A4C9" w:rsidR="00424B7B" w:rsidRPr="00427668" w:rsidRDefault="00424B7B" w:rsidP="00A351F7">
            <w:pPr>
              <w:spacing w:after="160" w:line="278" w:lineRule="auto"/>
              <w:jc w:val="center"/>
              <w:rPr>
                <w:rFonts w:ascii="Times New Roman" w:hAnsi="Times New Roman" w:cs="Times New Roman"/>
                <w:b/>
                <w:bCs/>
                <w:szCs w:val="24"/>
              </w:rPr>
            </w:pPr>
            <w:r w:rsidRPr="00427668">
              <w:rPr>
                <w:rFonts w:ascii="Times New Roman" w:hAnsi="Times New Roman" w:cs="Times New Roman"/>
                <w:b/>
                <w:bCs/>
                <w:szCs w:val="24"/>
              </w:rPr>
              <w:t>(Area in Thousand Hectares</w:t>
            </w:r>
            <w:r w:rsidR="00A351F7" w:rsidRPr="00427668">
              <w:rPr>
                <w:rFonts w:ascii="Times New Roman" w:hAnsi="Times New Roman" w:cs="Times New Roman"/>
                <w:b/>
                <w:bCs/>
                <w:szCs w:val="24"/>
              </w:rPr>
              <w:t xml:space="preserve"> irrigated by</w:t>
            </w:r>
          </w:p>
          <w:p w14:paraId="27B366FD" w14:textId="77777777" w:rsidR="00424B7B" w:rsidRPr="00427668" w:rsidRDefault="00424B7B" w:rsidP="00A351F7">
            <w:pPr>
              <w:pStyle w:val="NoSpacing"/>
              <w:jc w:val="center"/>
              <w:rPr>
                <w:rFonts w:ascii="Times New Roman" w:hAnsi="Times New Roman" w:cs="Times New Roman"/>
                <w:b/>
                <w:bCs/>
                <w:szCs w:val="24"/>
              </w:rPr>
            </w:pPr>
          </w:p>
        </w:tc>
        <w:tc>
          <w:tcPr>
            <w:tcW w:w="0" w:type="auto"/>
            <w:vMerge w:val="restart"/>
            <w:vAlign w:val="center"/>
          </w:tcPr>
          <w:p w14:paraId="2882AFE2" w14:textId="4E1376CA" w:rsidR="00424B7B" w:rsidRPr="00427668" w:rsidRDefault="00A351F7" w:rsidP="00A351F7">
            <w:pPr>
              <w:pStyle w:val="NoSpacing"/>
              <w:jc w:val="center"/>
              <w:rPr>
                <w:rFonts w:ascii="Times New Roman" w:hAnsi="Times New Roman" w:cs="Times New Roman"/>
                <w:b/>
                <w:bCs/>
                <w:szCs w:val="24"/>
              </w:rPr>
            </w:pPr>
            <w:r w:rsidRPr="00427668">
              <w:rPr>
                <w:rFonts w:ascii="Times New Roman" w:hAnsi="Times New Roman" w:cs="Times New Roman"/>
                <w:b/>
                <w:bCs/>
                <w:szCs w:val="24"/>
              </w:rPr>
              <w:t>Number of</w:t>
            </w:r>
            <w:r w:rsidR="00424B7B" w:rsidRPr="00427668">
              <w:rPr>
                <w:rFonts w:ascii="Times New Roman" w:hAnsi="Times New Roman" w:cs="Times New Roman"/>
                <w:b/>
                <w:bCs/>
                <w:szCs w:val="24"/>
              </w:rPr>
              <w:t xml:space="preserve"> Cultivators</w:t>
            </w:r>
          </w:p>
          <w:p w14:paraId="38A23EE1" w14:textId="104E9DDF" w:rsidR="00424B7B" w:rsidRPr="00427668" w:rsidRDefault="00424B7B" w:rsidP="00A351F7">
            <w:pPr>
              <w:pStyle w:val="NoSpacing"/>
              <w:jc w:val="center"/>
              <w:rPr>
                <w:rFonts w:ascii="Times New Roman" w:hAnsi="Times New Roman" w:cs="Times New Roman"/>
                <w:b/>
                <w:bCs/>
                <w:szCs w:val="24"/>
              </w:rPr>
            </w:pPr>
            <w:r w:rsidRPr="00427668">
              <w:rPr>
                <w:rFonts w:ascii="Times New Roman" w:hAnsi="Times New Roman" w:cs="Times New Roman"/>
                <w:b/>
                <w:bCs/>
                <w:szCs w:val="24"/>
              </w:rPr>
              <w:t>as on 1-3-1961</w:t>
            </w:r>
          </w:p>
          <w:p w14:paraId="4353060B" w14:textId="5BC0F9EC" w:rsidR="00424B7B" w:rsidRPr="00427668" w:rsidRDefault="00424B7B" w:rsidP="00A351F7">
            <w:pPr>
              <w:pStyle w:val="NoSpacing"/>
              <w:jc w:val="center"/>
              <w:rPr>
                <w:rFonts w:ascii="Times New Roman" w:hAnsi="Times New Roman" w:cs="Times New Roman"/>
                <w:b/>
                <w:bCs/>
                <w:szCs w:val="24"/>
              </w:rPr>
            </w:pPr>
            <w:r w:rsidRPr="00427668">
              <w:rPr>
                <w:rFonts w:ascii="Times New Roman" w:hAnsi="Times New Roman" w:cs="Times New Roman"/>
                <w:b/>
                <w:bCs/>
                <w:szCs w:val="24"/>
              </w:rPr>
              <w:t>(thousand</w:t>
            </w:r>
            <w:r w:rsidR="00A351F7" w:rsidRPr="00427668">
              <w:rPr>
                <w:rFonts w:ascii="Times New Roman" w:hAnsi="Times New Roman" w:cs="Times New Roman"/>
                <w:b/>
                <w:bCs/>
                <w:szCs w:val="24"/>
              </w:rPr>
              <w:t>s</w:t>
            </w:r>
            <w:r w:rsidRPr="00427668">
              <w:rPr>
                <w:rFonts w:ascii="Times New Roman" w:hAnsi="Times New Roman" w:cs="Times New Roman"/>
                <w:b/>
                <w:bCs/>
                <w:szCs w:val="24"/>
              </w:rPr>
              <w:t>)</w:t>
            </w:r>
          </w:p>
        </w:tc>
      </w:tr>
      <w:tr w:rsidR="00424B7B" w:rsidRPr="00427668" w14:paraId="49C787EF" w14:textId="77777777" w:rsidTr="00A351F7">
        <w:trPr>
          <w:trHeight w:val="598"/>
        </w:trPr>
        <w:tc>
          <w:tcPr>
            <w:tcW w:w="0" w:type="auto"/>
            <w:vMerge/>
            <w:hideMark/>
          </w:tcPr>
          <w:p w14:paraId="398989AA" w14:textId="77777777" w:rsidR="00424B7B" w:rsidRPr="00427668" w:rsidRDefault="00424B7B" w:rsidP="00B77C0B">
            <w:pPr>
              <w:pStyle w:val="NoSpacing"/>
              <w:rPr>
                <w:rFonts w:ascii="Times New Roman" w:hAnsi="Times New Roman" w:cs="Times New Roman"/>
                <w:szCs w:val="24"/>
              </w:rPr>
            </w:pPr>
          </w:p>
        </w:tc>
        <w:tc>
          <w:tcPr>
            <w:tcW w:w="0" w:type="auto"/>
            <w:vAlign w:val="center"/>
            <w:hideMark/>
          </w:tcPr>
          <w:p w14:paraId="6C73020B" w14:textId="77777777" w:rsidR="00424B7B" w:rsidRPr="00427668" w:rsidRDefault="00424B7B" w:rsidP="00A351F7">
            <w:pPr>
              <w:pStyle w:val="NoSpacing"/>
              <w:jc w:val="center"/>
              <w:rPr>
                <w:rFonts w:ascii="Times New Roman" w:hAnsi="Times New Roman" w:cs="Times New Roman"/>
                <w:b/>
                <w:bCs/>
                <w:szCs w:val="24"/>
              </w:rPr>
            </w:pPr>
            <w:r w:rsidRPr="00427668">
              <w:rPr>
                <w:rFonts w:ascii="Times New Roman" w:hAnsi="Times New Roman" w:cs="Times New Roman"/>
                <w:b/>
                <w:bCs/>
                <w:szCs w:val="24"/>
              </w:rPr>
              <w:t>Canals</w:t>
            </w:r>
          </w:p>
        </w:tc>
        <w:tc>
          <w:tcPr>
            <w:tcW w:w="0" w:type="auto"/>
            <w:vAlign w:val="center"/>
            <w:hideMark/>
          </w:tcPr>
          <w:p w14:paraId="13223E2F" w14:textId="77777777" w:rsidR="00424B7B" w:rsidRPr="00427668" w:rsidRDefault="00424B7B" w:rsidP="00A351F7">
            <w:pPr>
              <w:pStyle w:val="NoSpacing"/>
              <w:jc w:val="center"/>
              <w:rPr>
                <w:rFonts w:ascii="Times New Roman" w:hAnsi="Times New Roman" w:cs="Times New Roman"/>
                <w:b/>
                <w:bCs/>
                <w:szCs w:val="24"/>
              </w:rPr>
            </w:pPr>
            <w:r w:rsidRPr="00427668">
              <w:rPr>
                <w:rFonts w:ascii="Times New Roman" w:hAnsi="Times New Roman" w:cs="Times New Roman"/>
                <w:b/>
                <w:bCs/>
                <w:szCs w:val="24"/>
              </w:rPr>
              <w:t>Tanks</w:t>
            </w:r>
          </w:p>
        </w:tc>
        <w:tc>
          <w:tcPr>
            <w:tcW w:w="0" w:type="auto"/>
            <w:vAlign w:val="center"/>
            <w:hideMark/>
          </w:tcPr>
          <w:p w14:paraId="23B850FD" w14:textId="77777777" w:rsidR="00424B7B" w:rsidRPr="00427668" w:rsidRDefault="00424B7B" w:rsidP="00A351F7">
            <w:pPr>
              <w:pStyle w:val="NoSpacing"/>
              <w:jc w:val="center"/>
              <w:rPr>
                <w:rFonts w:ascii="Times New Roman" w:hAnsi="Times New Roman" w:cs="Times New Roman"/>
                <w:b/>
                <w:bCs/>
                <w:szCs w:val="24"/>
              </w:rPr>
            </w:pPr>
            <w:r w:rsidRPr="00427668">
              <w:rPr>
                <w:rFonts w:ascii="Times New Roman" w:hAnsi="Times New Roman" w:cs="Times New Roman"/>
                <w:b/>
                <w:bCs/>
                <w:szCs w:val="24"/>
              </w:rPr>
              <w:t>Wells</w:t>
            </w:r>
          </w:p>
        </w:tc>
        <w:tc>
          <w:tcPr>
            <w:tcW w:w="0" w:type="auto"/>
            <w:vAlign w:val="center"/>
            <w:hideMark/>
          </w:tcPr>
          <w:p w14:paraId="7107D16C" w14:textId="77777777" w:rsidR="00424B7B" w:rsidRPr="00427668" w:rsidRDefault="00424B7B" w:rsidP="00A351F7">
            <w:pPr>
              <w:pStyle w:val="NoSpacing"/>
              <w:jc w:val="center"/>
              <w:rPr>
                <w:rFonts w:ascii="Times New Roman" w:hAnsi="Times New Roman" w:cs="Times New Roman"/>
                <w:b/>
                <w:bCs/>
                <w:szCs w:val="24"/>
              </w:rPr>
            </w:pPr>
            <w:r w:rsidRPr="00427668">
              <w:rPr>
                <w:rFonts w:ascii="Times New Roman" w:hAnsi="Times New Roman" w:cs="Times New Roman"/>
                <w:b/>
                <w:bCs/>
                <w:szCs w:val="24"/>
              </w:rPr>
              <w:t>Other sources</w:t>
            </w:r>
          </w:p>
        </w:tc>
        <w:tc>
          <w:tcPr>
            <w:tcW w:w="0" w:type="auto"/>
            <w:vAlign w:val="center"/>
            <w:hideMark/>
          </w:tcPr>
          <w:p w14:paraId="53FA226E" w14:textId="77777777" w:rsidR="00424B7B" w:rsidRPr="00427668" w:rsidRDefault="00424B7B" w:rsidP="00A351F7">
            <w:pPr>
              <w:pStyle w:val="NoSpacing"/>
              <w:jc w:val="center"/>
              <w:rPr>
                <w:rFonts w:ascii="Times New Roman" w:hAnsi="Times New Roman" w:cs="Times New Roman"/>
                <w:b/>
                <w:bCs/>
                <w:szCs w:val="24"/>
              </w:rPr>
            </w:pPr>
            <w:r w:rsidRPr="00427668">
              <w:rPr>
                <w:rFonts w:ascii="Times New Roman" w:hAnsi="Times New Roman" w:cs="Times New Roman"/>
                <w:b/>
                <w:bCs/>
                <w:szCs w:val="24"/>
              </w:rPr>
              <w:t>Total Irrigated Area</w:t>
            </w:r>
          </w:p>
        </w:tc>
        <w:tc>
          <w:tcPr>
            <w:tcW w:w="0" w:type="auto"/>
            <w:vMerge/>
            <w:hideMark/>
          </w:tcPr>
          <w:p w14:paraId="3E07BC17" w14:textId="77777777" w:rsidR="00424B7B" w:rsidRPr="00427668" w:rsidRDefault="00424B7B" w:rsidP="00B77C0B">
            <w:pPr>
              <w:pStyle w:val="NoSpacing"/>
              <w:rPr>
                <w:rFonts w:ascii="Times New Roman" w:hAnsi="Times New Roman" w:cs="Times New Roman"/>
                <w:szCs w:val="24"/>
              </w:rPr>
            </w:pPr>
          </w:p>
        </w:tc>
      </w:tr>
      <w:tr w:rsidR="00424B7B" w:rsidRPr="00427668" w14:paraId="0D9EE1BF" w14:textId="77777777" w:rsidTr="00A351F7">
        <w:trPr>
          <w:trHeight w:val="292"/>
        </w:trPr>
        <w:tc>
          <w:tcPr>
            <w:tcW w:w="0" w:type="auto"/>
            <w:hideMark/>
          </w:tcPr>
          <w:p w14:paraId="06B6C3E7" w14:textId="77777777" w:rsidR="00424B7B" w:rsidRPr="00427668" w:rsidRDefault="00424B7B" w:rsidP="00B77C0B">
            <w:pPr>
              <w:pStyle w:val="NoSpacing"/>
              <w:rPr>
                <w:rFonts w:ascii="Times New Roman" w:hAnsi="Times New Roman" w:cs="Times New Roman"/>
                <w:szCs w:val="24"/>
              </w:rPr>
            </w:pPr>
            <w:r w:rsidRPr="00427668">
              <w:rPr>
                <w:rFonts w:ascii="Times New Roman" w:hAnsi="Times New Roman" w:cs="Times New Roman"/>
                <w:szCs w:val="24"/>
              </w:rPr>
              <w:t>Andhra Pradesh</w:t>
            </w:r>
          </w:p>
        </w:tc>
        <w:tc>
          <w:tcPr>
            <w:tcW w:w="0" w:type="auto"/>
            <w:vAlign w:val="center"/>
            <w:hideMark/>
          </w:tcPr>
          <w:p w14:paraId="2C8633DC" w14:textId="77777777" w:rsidR="00424B7B" w:rsidRPr="00427668" w:rsidRDefault="00424B7B" w:rsidP="00A351F7">
            <w:pPr>
              <w:pStyle w:val="NoSpacing"/>
              <w:jc w:val="center"/>
              <w:rPr>
                <w:rFonts w:ascii="Times New Roman" w:hAnsi="Times New Roman" w:cs="Times New Roman"/>
                <w:szCs w:val="24"/>
              </w:rPr>
            </w:pPr>
            <w:r w:rsidRPr="00427668">
              <w:rPr>
                <w:rFonts w:ascii="Times New Roman" w:hAnsi="Times New Roman" w:cs="Times New Roman"/>
                <w:szCs w:val="24"/>
              </w:rPr>
              <w:t>1226</w:t>
            </w:r>
          </w:p>
        </w:tc>
        <w:tc>
          <w:tcPr>
            <w:tcW w:w="0" w:type="auto"/>
            <w:vAlign w:val="center"/>
            <w:hideMark/>
          </w:tcPr>
          <w:p w14:paraId="33804894" w14:textId="77777777" w:rsidR="00424B7B" w:rsidRPr="00427668" w:rsidRDefault="00424B7B" w:rsidP="00A351F7">
            <w:pPr>
              <w:pStyle w:val="NoSpacing"/>
              <w:jc w:val="center"/>
              <w:rPr>
                <w:rFonts w:ascii="Times New Roman" w:hAnsi="Times New Roman" w:cs="Times New Roman"/>
                <w:szCs w:val="24"/>
              </w:rPr>
            </w:pPr>
            <w:r w:rsidRPr="00427668">
              <w:rPr>
                <w:rFonts w:ascii="Times New Roman" w:hAnsi="Times New Roman" w:cs="Times New Roman"/>
                <w:szCs w:val="24"/>
              </w:rPr>
              <w:t>1189</w:t>
            </w:r>
          </w:p>
        </w:tc>
        <w:tc>
          <w:tcPr>
            <w:tcW w:w="0" w:type="auto"/>
            <w:vAlign w:val="center"/>
            <w:hideMark/>
          </w:tcPr>
          <w:p w14:paraId="5B6D1E72" w14:textId="77777777" w:rsidR="00424B7B" w:rsidRPr="00427668" w:rsidRDefault="00424B7B" w:rsidP="00A351F7">
            <w:pPr>
              <w:pStyle w:val="NoSpacing"/>
              <w:jc w:val="center"/>
              <w:rPr>
                <w:rFonts w:ascii="Times New Roman" w:hAnsi="Times New Roman" w:cs="Times New Roman"/>
                <w:szCs w:val="24"/>
              </w:rPr>
            </w:pPr>
            <w:r w:rsidRPr="00427668">
              <w:rPr>
                <w:rFonts w:ascii="Times New Roman" w:hAnsi="Times New Roman" w:cs="Times New Roman"/>
                <w:szCs w:val="24"/>
              </w:rPr>
              <w:t>455</w:t>
            </w:r>
          </w:p>
        </w:tc>
        <w:tc>
          <w:tcPr>
            <w:tcW w:w="0" w:type="auto"/>
            <w:vAlign w:val="center"/>
            <w:hideMark/>
          </w:tcPr>
          <w:p w14:paraId="0435DC9A" w14:textId="77777777" w:rsidR="00424B7B" w:rsidRPr="00427668" w:rsidRDefault="00424B7B" w:rsidP="00A351F7">
            <w:pPr>
              <w:pStyle w:val="NoSpacing"/>
              <w:jc w:val="center"/>
              <w:rPr>
                <w:rFonts w:ascii="Times New Roman" w:hAnsi="Times New Roman" w:cs="Times New Roman"/>
                <w:szCs w:val="24"/>
              </w:rPr>
            </w:pPr>
            <w:r w:rsidRPr="00427668">
              <w:rPr>
                <w:rFonts w:ascii="Times New Roman" w:hAnsi="Times New Roman" w:cs="Times New Roman"/>
                <w:szCs w:val="24"/>
              </w:rPr>
              <w:t>108</w:t>
            </w:r>
          </w:p>
        </w:tc>
        <w:tc>
          <w:tcPr>
            <w:tcW w:w="0" w:type="auto"/>
            <w:vAlign w:val="center"/>
            <w:hideMark/>
          </w:tcPr>
          <w:p w14:paraId="215CA39D" w14:textId="77777777" w:rsidR="00424B7B" w:rsidRPr="00427668" w:rsidRDefault="00424B7B" w:rsidP="00A351F7">
            <w:pPr>
              <w:pStyle w:val="NoSpacing"/>
              <w:jc w:val="center"/>
              <w:rPr>
                <w:rFonts w:ascii="Times New Roman" w:hAnsi="Times New Roman" w:cs="Times New Roman"/>
                <w:szCs w:val="24"/>
              </w:rPr>
            </w:pPr>
            <w:r w:rsidRPr="00427668">
              <w:rPr>
                <w:rFonts w:ascii="Times New Roman" w:hAnsi="Times New Roman" w:cs="Times New Roman"/>
                <w:szCs w:val="24"/>
              </w:rPr>
              <w:t>2978</w:t>
            </w:r>
          </w:p>
        </w:tc>
        <w:tc>
          <w:tcPr>
            <w:tcW w:w="0" w:type="auto"/>
            <w:vAlign w:val="center"/>
            <w:hideMark/>
          </w:tcPr>
          <w:p w14:paraId="79FD8331" w14:textId="77777777" w:rsidR="00424B7B" w:rsidRPr="00427668" w:rsidRDefault="00424B7B" w:rsidP="00A351F7">
            <w:pPr>
              <w:pStyle w:val="NoSpacing"/>
              <w:jc w:val="center"/>
              <w:rPr>
                <w:rFonts w:ascii="Times New Roman" w:hAnsi="Times New Roman" w:cs="Times New Roman"/>
                <w:szCs w:val="24"/>
              </w:rPr>
            </w:pPr>
            <w:r w:rsidRPr="00427668">
              <w:rPr>
                <w:rFonts w:ascii="Times New Roman" w:hAnsi="Times New Roman" w:cs="Times New Roman"/>
                <w:szCs w:val="24"/>
              </w:rPr>
              <w:t>7487</w:t>
            </w:r>
          </w:p>
        </w:tc>
      </w:tr>
      <w:tr w:rsidR="00424B7B" w:rsidRPr="00427668" w14:paraId="13863B35" w14:textId="77777777" w:rsidTr="00A351F7">
        <w:trPr>
          <w:trHeight w:val="292"/>
        </w:trPr>
        <w:tc>
          <w:tcPr>
            <w:tcW w:w="0" w:type="auto"/>
            <w:hideMark/>
          </w:tcPr>
          <w:p w14:paraId="23470214" w14:textId="77777777" w:rsidR="00424B7B" w:rsidRPr="00427668" w:rsidRDefault="00424B7B" w:rsidP="00B77C0B">
            <w:pPr>
              <w:pStyle w:val="NoSpacing"/>
              <w:rPr>
                <w:rFonts w:ascii="Times New Roman" w:hAnsi="Times New Roman" w:cs="Times New Roman"/>
                <w:szCs w:val="24"/>
              </w:rPr>
            </w:pPr>
            <w:r w:rsidRPr="00427668">
              <w:rPr>
                <w:rFonts w:ascii="Times New Roman" w:hAnsi="Times New Roman" w:cs="Times New Roman"/>
                <w:szCs w:val="24"/>
              </w:rPr>
              <w:t>Assam</w:t>
            </w:r>
          </w:p>
        </w:tc>
        <w:tc>
          <w:tcPr>
            <w:tcW w:w="0" w:type="auto"/>
            <w:vAlign w:val="center"/>
            <w:hideMark/>
          </w:tcPr>
          <w:p w14:paraId="76277AC0" w14:textId="77777777" w:rsidR="00424B7B" w:rsidRPr="00427668" w:rsidRDefault="00424B7B" w:rsidP="00A351F7">
            <w:pPr>
              <w:pStyle w:val="NoSpacing"/>
              <w:jc w:val="center"/>
              <w:rPr>
                <w:rFonts w:ascii="Times New Roman" w:hAnsi="Times New Roman" w:cs="Times New Roman"/>
                <w:szCs w:val="24"/>
              </w:rPr>
            </w:pPr>
            <w:r w:rsidRPr="00427668">
              <w:rPr>
                <w:rFonts w:ascii="Times New Roman" w:hAnsi="Times New Roman" w:cs="Times New Roman"/>
                <w:szCs w:val="24"/>
              </w:rPr>
              <w:t>364</w:t>
            </w:r>
          </w:p>
        </w:tc>
        <w:tc>
          <w:tcPr>
            <w:tcW w:w="0" w:type="auto"/>
            <w:vAlign w:val="center"/>
            <w:hideMark/>
          </w:tcPr>
          <w:p w14:paraId="639D0E82" w14:textId="77777777" w:rsidR="00424B7B" w:rsidRPr="00427668" w:rsidRDefault="00424B7B" w:rsidP="00A351F7">
            <w:pPr>
              <w:pStyle w:val="NoSpacing"/>
              <w:jc w:val="center"/>
              <w:rPr>
                <w:rFonts w:ascii="Times New Roman" w:hAnsi="Times New Roman" w:cs="Times New Roman"/>
                <w:szCs w:val="24"/>
              </w:rPr>
            </w:pPr>
            <w:r w:rsidRPr="00427668">
              <w:rPr>
                <w:rFonts w:ascii="Times New Roman" w:hAnsi="Times New Roman" w:cs="Times New Roman"/>
                <w:szCs w:val="24"/>
              </w:rPr>
              <w:t>..</w:t>
            </w:r>
          </w:p>
        </w:tc>
        <w:tc>
          <w:tcPr>
            <w:tcW w:w="0" w:type="auto"/>
            <w:vAlign w:val="center"/>
            <w:hideMark/>
          </w:tcPr>
          <w:p w14:paraId="1B428DAF" w14:textId="77777777" w:rsidR="00424B7B" w:rsidRPr="00427668" w:rsidRDefault="00424B7B" w:rsidP="00A351F7">
            <w:pPr>
              <w:pStyle w:val="NoSpacing"/>
              <w:jc w:val="center"/>
              <w:rPr>
                <w:rFonts w:ascii="Times New Roman" w:hAnsi="Times New Roman" w:cs="Times New Roman"/>
                <w:szCs w:val="24"/>
              </w:rPr>
            </w:pPr>
            <w:r w:rsidRPr="00427668">
              <w:rPr>
                <w:rFonts w:ascii="Times New Roman" w:hAnsi="Times New Roman" w:cs="Times New Roman"/>
                <w:szCs w:val="24"/>
              </w:rPr>
              <w:t>..</w:t>
            </w:r>
          </w:p>
        </w:tc>
        <w:tc>
          <w:tcPr>
            <w:tcW w:w="0" w:type="auto"/>
            <w:vAlign w:val="center"/>
            <w:hideMark/>
          </w:tcPr>
          <w:p w14:paraId="63424119" w14:textId="77777777" w:rsidR="00424B7B" w:rsidRPr="00427668" w:rsidRDefault="00424B7B" w:rsidP="00A351F7">
            <w:pPr>
              <w:pStyle w:val="NoSpacing"/>
              <w:jc w:val="center"/>
              <w:rPr>
                <w:rFonts w:ascii="Times New Roman" w:hAnsi="Times New Roman" w:cs="Times New Roman"/>
                <w:szCs w:val="24"/>
              </w:rPr>
            </w:pPr>
            <w:r w:rsidRPr="00427668">
              <w:rPr>
                <w:rFonts w:ascii="Times New Roman" w:hAnsi="Times New Roman" w:cs="Times New Roman"/>
                <w:szCs w:val="24"/>
              </w:rPr>
              <w:t>248</w:t>
            </w:r>
          </w:p>
        </w:tc>
        <w:tc>
          <w:tcPr>
            <w:tcW w:w="0" w:type="auto"/>
            <w:vAlign w:val="center"/>
            <w:hideMark/>
          </w:tcPr>
          <w:p w14:paraId="7FC843B4" w14:textId="77777777" w:rsidR="00424B7B" w:rsidRPr="00427668" w:rsidRDefault="00424B7B" w:rsidP="00A351F7">
            <w:pPr>
              <w:pStyle w:val="NoSpacing"/>
              <w:jc w:val="center"/>
              <w:rPr>
                <w:rFonts w:ascii="Times New Roman" w:hAnsi="Times New Roman" w:cs="Times New Roman"/>
                <w:szCs w:val="24"/>
              </w:rPr>
            </w:pPr>
            <w:r w:rsidRPr="00427668">
              <w:rPr>
                <w:rFonts w:ascii="Times New Roman" w:hAnsi="Times New Roman" w:cs="Times New Roman"/>
                <w:szCs w:val="24"/>
              </w:rPr>
              <w:t>612</w:t>
            </w:r>
          </w:p>
        </w:tc>
        <w:tc>
          <w:tcPr>
            <w:tcW w:w="0" w:type="auto"/>
            <w:vAlign w:val="center"/>
            <w:hideMark/>
          </w:tcPr>
          <w:p w14:paraId="40DA589C" w14:textId="77777777" w:rsidR="00424B7B" w:rsidRPr="00427668" w:rsidRDefault="00424B7B" w:rsidP="00A351F7">
            <w:pPr>
              <w:pStyle w:val="NoSpacing"/>
              <w:jc w:val="center"/>
              <w:rPr>
                <w:rFonts w:ascii="Times New Roman" w:hAnsi="Times New Roman" w:cs="Times New Roman"/>
                <w:szCs w:val="24"/>
              </w:rPr>
            </w:pPr>
            <w:r w:rsidRPr="00427668">
              <w:rPr>
                <w:rFonts w:ascii="Times New Roman" w:hAnsi="Times New Roman" w:cs="Times New Roman"/>
                <w:szCs w:val="24"/>
              </w:rPr>
              <w:t>3324</w:t>
            </w:r>
          </w:p>
        </w:tc>
      </w:tr>
      <w:tr w:rsidR="00424B7B" w:rsidRPr="00427668" w14:paraId="66B2315B" w14:textId="77777777" w:rsidTr="00A351F7">
        <w:trPr>
          <w:trHeight w:val="304"/>
        </w:trPr>
        <w:tc>
          <w:tcPr>
            <w:tcW w:w="0" w:type="auto"/>
            <w:hideMark/>
          </w:tcPr>
          <w:p w14:paraId="1F9A0E43" w14:textId="77777777" w:rsidR="00424B7B" w:rsidRPr="00427668" w:rsidRDefault="00424B7B" w:rsidP="00B77C0B">
            <w:pPr>
              <w:pStyle w:val="NoSpacing"/>
              <w:rPr>
                <w:rFonts w:ascii="Times New Roman" w:hAnsi="Times New Roman" w:cs="Times New Roman"/>
                <w:szCs w:val="24"/>
              </w:rPr>
            </w:pPr>
            <w:r w:rsidRPr="00427668">
              <w:rPr>
                <w:rFonts w:ascii="Times New Roman" w:hAnsi="Times New Roman" w:cs="Times New Roman"/>
                <w:szCs w:val="24"/>
              </w:rPr>
              <w:t>Bihar</w:t>
            </w:r>
          </w:p>
        </w:tc>
        <w:tc>
          <w:tcPr>
            <w:tcW w:w="0" w:type="auto"/>
            <w:vAlign w:val="center"/>
            <w:hideMark/>
          </w:tcPr>
          <w:p w14:paraId="7421E80B" w14:textId="77777777" w:rsidR="00424B7B" w:rsidRPr="00427668" w:rsidRDefault="00424B7B" w:rsidP="00A351F7">
            <w:pPr>
              <w:pStyle w:val="NoSpacing"/>
              <w:jc w:val="center"/>
              <w:rPr>
                <w:rFonts w:ascii="Times New Roman" w:hAnsi="Times New Roman" w:cs="Times New Roman"/>
                <w:szCs w:val="24"/>
              </w:rPr>
            </w:pPr>
            <w:r w:rsidRPr="00427668">
              <w:rPr>
                <w:rFonts w:ascii="Times New Roman" w:hAnsi="Times New Roman" w:cs="Times New Roman"/>
                <w:szCs w:val="24"/>
              </w:rPr>
              <w:t>632</w:t>
            </w:r>
          </w:p>
        </w:tc>
        <w:tc>
          <w:tcPr>
            <w:tcW w:w="0" w:type="auto"/>
            <w:vAlign w:val="center"/>
            <w:hideMark/>
          </w:tcPr>
          <w:p w14:paraId="53CFE7AE" w14:textId="77777777" w:rsidR="00424B7B" w:rsidRPr="00427668" w:rsidRDefault="00424B7B" w:rsidP="00A351F7">
            <w:pPr>
              <w:pStyle w:val="NoSpacing"/>
              <w:jc w:val="center"/>
              <w:rPr>
                <w:rFonts w:ascii="Times New Roman" w:hAnsi="Times New Roman" w:cs="Times New Roman"/>
                <w:szCs w:val="24"/>
              </w:rPr>
            </w:pPr>
            <w:r w:rsidRPr="00427668">
              <w:rPr>
                <w:rFonts w:ascii="Times New Roman" w:hAnsi="Times New Roman" w:cs="Times New Roman"/>
                <w:szCs w:val="24"/>
              </w:rPr>
              <w:t>175</w:t>
            </w:r>
          </w:p>
        </w:tc>
        <w:tc>
          <w:tcPr>
            <w:tcW w:w="0" w:type="auto"/>
            <w:vAlign w:val="center"/>
            <w:hideMark/>
          </w:tcPr>
          <w:p w14:paraId="69F7D773" w14:textId="77777777" w:rsidR="00424B7B" w:rsidRPr="00427668" w:rsidRDefault="00424B7B" w:rsidP="00A351F7">
            <w:pPr>
              <w:pStyle w:val="NoSpacing"/>
              <w:jc w:val="center"/>
              <w:rPr>
                <w:rFonts w:ascii="Times New Roman" w:hAnsi="Times New Roman" w:cs="Times New Roman"/>
                <w:szCs w:val="24"/>
              </w:rPr>
            </w:pPr>
            <w:r w:rsidRPr="00427668">
              <w:rPr>
                <w:rFonts w:ascii="Times New Roman" w:hAnsi="Times New Roman" w:cs="Times New Roman"/>
                <w:szCs w:val="24"/>
              </w:rPr>
              <w:t>289</w:t>
            </w:r>
          </w:p>
        </w:tc>
        <w:tc>
          <w:tcPr>
            <w:tcW w:w="0" w:type="auto"/>
            <w:vAlign w:val="center"/>
            <w:hideMark/>
          </w:tcPr>
          <w:p w14:paraId="64113D6D" w14:textId="77777777" w:rsidR="00424B7B" w:rsidRPr="00427668" w:rsidRDefault="00424B7B" w:rsidP="00A351F7">
            <w:pPr>
              <w:pStyle w:val="NoSpacing"/>
              <w:jc w:val="center"/>
              <w:rPr>
                <w:rFonts w:ascii="Times New Roman" w:hAnsi="Times New Roman" w:cs="Times New Roman"/>
                <w:szCs w:val="24"/>
              </w:rPr>
            </w:pPr>
            <w:r w:rsidRPr="00427668">
              <w:rPr>
                <w:rFonts w:ascii="Times New Roman" w:hAnsi="Times New Roman" w:cs="Times New Roman"/>
                <w:szCs w:val="24"/>
              </w:rPr>
              <w:t>895</w:t>
            </w:r>
          </w:p>
        </w:tc>
        <w:tc>
          <w:tcPr>
            <w:tcW w:w="0" w:type="auto"/>
            <w:vAlign w:val="center"/>
            <w:hideMark/>
          </w:tcPr>
          <w:p w14:paraId="046E78F6" w14:textId="77777777" w:rsidR="00424B7B" w:rsidRPr="00427668" w:rsidRDefault="00424B7B" w:rsidP="00A351F7">
            <w:pPr>
              <w:pStyle w:val="NoSpacing"/>
              <w:jc w:val="center"/>
              <w:rPr>
                <w:rFonts w:ascii="Times New Roman" w:hAnsi="Times New Roman" w:cs="Times New Roman"/>
                <w:szCs w:val="24"/>
              </w:rPr>
            </w:pPr>
            <w:r w:rsidRPr="00427668">
              <w:rPr>
                <w:rFonts w:ascii="Times New Roman" w:hAnsi="Times New Roman" w:cs="Times New Roman"/>
                <w:szCs w:val="24"/>
              </w:rPr>
              <w:t>1991</w:t>
            </w:r>
          </w:p>
        </w:tc>
        <w:tc>
          <w:tcPr>
            <w:tcW w:w="0" w:type="auto"/>
            <w:vAlign w:val="center"/>
            <w:hideMark/>
          </w:tcPr>
          <w:p w14:paraId="1D231A3C" w14:textId="77777777" w:rsidR="00424B7B" w:rsidRPr="00427668" w:rsidRDefault="00424B7B" w:rsidP="00A351F7">
            <w:pPr>
              <w:pStyle w:val="NoSpacing"/>
              <w:jc w:val="center"/>
              <w:rPr>
                <w:rFonts w:ascii="Times New Roman" w:hAnsi="Times New Roman" w:cs="Times New Roman"/>
                <w:szCs w:val="24"/>
              </w:rPr>
            </w:pPr>
            <w:r w:rsidRPr="00427668">
              <w:rPr>
                <w:rFonts w:ascii="Times New Roman" w:hAnsi="Times New Roman" w:cs="Times New Roman"/>
                <w:szCs w:val="24"/>
              </w:rPr>
              <w:t>10362</w:t>
            </w:r>
          </w:p>
        </w:tc>
      </w:tr>
      <w:tr w:rsidR="00424B7B" w:rsidRPr="00427668" w14:paraId="7364C570" w14:textId="77777777" w:rsidTr="00A351F7">
        <w:trPr>
          <w:trHeight w:val="292"/>
        </w:trPr>
        <w:tc>
          <w:tcPr>
            <w:tcW w:w="0" w:type="auto"/>
            <w:hideMark/>
          </w:tcPr>
          <w:p w14:paraId="5D1C6DC9" w14:textId="77777777" w:rsidR="00424B7B" w:rsidRPr="00427668" w:rsidRDefault="00424B7B" w:rsidP="00B77C0B">
            <w:pPr>
              <w:pStyle w:val="NoSpacing"/>
              <w:rPr>
                <w:rFonts w:ascii="Times New Roman" w:hAnsi="Times New Roman" w:cs="Times New Roman"/>
                <w:szCs w:val="24"/>
              </w:rPr>
            </w:pPr>
            <w:r w:rsidRPr="00427668">
              <w:rPr>
                <w:rFonts w:ascii="Times New Roman" w:hAnsi="Times New Roman" w:cs="Times New Roman"/>
                <w:szCs w:val="24"/>
              </w:rPr>
              <w:t>Gujarat</w:t>
            </w:r>
          </w:p>
        </w:tc>
        <w:tc>
          <w:tcPr>
            <w:tcW w:w="0" w:type="auto"/>
            <w:vAlign w:val="center"/>
            <w:hideMark/>
          </w:tcPr>
          <w:p w14:paraId="26ACB048" w14:textId="77777777" w:rsidR="00424B7B" w:rsidRPr="00427668" w:rsidRDefault="00424B7B" w:rsidP="00A351F7">
            <w:pPr>
              <w:pStyle w:val="NoSpacing"/>
              <w:jc w:val="center"/>
              <w:rPr>
                <w:rFonts w:ascii="Times New Roman" w:hAnsi="Times New Roman" w:cs="Times New Roman"/>
                <w:szCs w:val="24"/>
              </w:rPr>
            </w:pPr>
            <w:r w:rsidRPr="00427668">
              <w:rPr>
                <w:rFonts w:ascii="Times New Roman" w:hAnsi="Times New Roman" w:cs="Times New Roman"/>
                <w:szCs w:val="24"/>
              </w:rPr>
              <w:t>111</w:t>
            </w:r>
          </w:p>
        </w:tc>
        <w:tc>
          <w:tcPr>
            <w:tcW w:w="0" w:type="auto"/>
            <w:vAlign w:val="center"/>
            <w:hideMark/>
          </w:tcPr>
          <w:p w14:paraId="49F38216" w14:textId="77777777" w:rsidR="00424B7B" w:rsidRPr="00427668" w:rsidRDefault="00424B7B" w:rsidP="00A351F7">
            <w:pPr>
              <w:pStyle w:val="NoSpacing"/>
              <w:jc w:val="center"/>
              <w:rPr>
                <w:rFonts w:ascii="Times New Roman" w:hAnsi="Times New Roman" w:cs="Times New Roman"/>
                <w:szCs w:val="24"/>
              </w:rPr>
            </w:pPr>
            <w:r w:rsidRPr="00427668">
              <w:rPr>
                <w:rFonts w:ascii="Times New Roman" w:hAnsi="Times New Roman" w:cs="Times New Roman"/>
                <w:szCs w:val="24"/>
              </w:rPr>
              <w:t>22</w:t>
            </w:r>
          </w:p>
        </w:tc>
        <w:tc>
          <w:tcPr>
            <w:tcW w:w="0" w:type="auto"/>
            <w:vAlign w:val="center"/>
            <w:hideMark/>
          </w:tcPr>
          <w:p w14:paraId="1DD26E38" w14:textId="77777777" w:rsidR="00424B7B" w:rsidRPr="00427668" w:rsidRDefault="00424B7B" w:rsidP="00A351F7">
            <w:pPr>
              <w:pStyle w:val="NoSpacing"/>
              <w:jc w:val="center"/>
              <w:rPr>
                <w:rFonts w:ascii="Times New Roman" w:hAnsi="Times New Roman" w:cs="Times New Roman"/>
                <w:szCs w:val="24"/>
              </w:rPr>
            </w:pPr>
            <w:r w:rsidRPr="00427668">
              <w:rPr>
                <w:rFonts w:ascii="Times New Roman" w:hAnsi="Times New Roman" w:cs="Times New Roman"/>
                <w:szCs w:val="24"/>
              </w:rPr>
              <w:t>668</w:t>
            </w:r>
          </w:p>
        </w:tc>
        <w:tc>
          <w:tcPr>
            <w:tcW w:w="0" w:type="auto"/>
            <w:vAlign w:val="center"/>
            <w:hideMark/>
          </w:tcPr>
          <w:p w14:paraId="2CDB2739" w14:textId="77777777" w:rsidR="00424B7B" w:rsidRPr="00427668" w:rsidRDefault="00424B7B" w:rsidP="00A351F7">
            <w:pPr>
              <w:pStyle w:val="NoSpacing"/>
              <w:jc w:val="center"/>
              <w:rPr>
                <w:rFonts w:ascii="Times New Roman" w:hAnsi="Times New Roman" w:cs="Times New Roman"/>
                <w:szCs w:val="24"/>
              </w:rPr>
            </w:pPr>
            <w:r w:rsidRPr="00427668">
              <w:rPr>
                <w:rFonts w:ascii="Times New Roman" w:hAnsi="Times New Roman" w:cs="Times New Roman"/>
                <w:szCs w:val="24"/>
              </w:rPr>
              <w:t>36</w:t>
            </w:r>
          </w:p>
        </w:tc>
        <w:tc>
          <w:tcPr>
            <w:tcW w:w="0" w:type="auto"/>
            <w:vAlign w:val="center"/>
            <w:hideMark/>
          </w:tcPr>
          <w:p w14:paraId="6E7C771E" w14:textId="77777777" w:rsidR="00424B7B" w:rsidRPr="00427668" w:rsidRDefault="00424B7B" w:rsidP="00A351F7">
            <w:pPr>
              <w:pStyle w:val="NoSpacing"/>
              <w:jc w:val="center"/>
              <w:rPr>
                <w:rFonts w:ascii="Times New Roman" w:hAnsi="Times New Roman" w:cs="Times New Roman"/>
                <w:szCs w:val="24"/>
              </w:rPr>
            </w:pPr>
            <w:r w:rsidRPr="00427668">
              <w:rPr>
                <w:rFonts w:ascii="Times New Roman" w:hAnsi="Times New Roman" w:cs="Times New Roman"/>
                <w:szCs w:val="24"/>
              </w:rPr>
              <w:t>837</w:t>
            </w:r>
          </w:p>
        </w:tc>
        <w:tc>
          <w:tcPr>
            <w:tcW w:w="0" w:type="auto"/>
            <w:vAlign w:val="center"/>
            <w:hideMark/>
          </w:tcPr>
          <w:p w14:paraId="37F2A9B1" w14:textId="77777777" w:rsidR="00424B7B" w:rsidRPr="00427668" w:rsidRDefault="00424B7B" w:rsidP="00A351F7">
            <w:pPr>
              <w:pStyle w:val="NoSpacing"/>
              <w:jc w:val="center"/>
              <w:rPr>
                <w:rFonts w:ascii="Times New Roman" w:hAnsi="Times New Roman" w:cs="Times New Roman"/>
                <w:szCs w:val="24"/>
              </w:rPr>
            </w:pPr>
            <w:r w:rsidRPr="00427668">
              <w:rPr>
                <w:rFonts w:ascii="Times New Roman" w:hAnsi="Times New Roman" w:cs="Times New Roman"/>
                <w:szCs w:val="24"/>
              </w:rPr>
              <w:t>4519</w:t>
            </w:r>
          </w:p>
        </w:tc>
      </w:tr>
      <w:tr w:rsidR="00424B7B" w:rsidRPr="00427668" w14:paraId="7A91C43B" w14:textId="77777777" w:rsidTr="00A351F7">
        <w:trPr>
          <w:trHeight w:val="292"/>
        </w:trPr>
        <w:tc>
          <w:tcPr>
            <w:tcW w:w="0" w:type="auto"/>
            <w:hideMark/>
          </w:tcPr>
          <w:p w14:paraId="7BF7473B" w14:textId="77777777" w:rsidR="00424B7B" w:rsidRPr="00427668" w:rsidRDefault="00424B7B" w:rsidP="00B77C0B">
            <w:pPr>
              <w:pStyle w:val="NoSpacing"/>
              <w:rPr>
                <w:rFonts w:ascii="Times New Roman" w:hAnsi="Times New Roman" w:cs="Times New Roman"/>
                <w:szCs w:val="24"/>
              </w:rPr>
            </w:pPr>
            <w:r w:rsidRPr="00427668">
              <w:rPr>
                <w:rFonts w:ascii="Times New Roman" w:hAnsi="Times New Roman" w:cs="Times New Roman"/>
                <w:szCs w:val="24"/>
              </w:rPr>
              <w:t>Haryana</w:t>
            </w:r>
          </w:p>
        </w:tc>
        <w:tc>
          <w:tcPr>
            <w:tcW w:w="0" w:type="auto"/>
            <w:vAlign w:val="center"/>
            <w:hideMark/>
          </w:tcPr>
          <w:p w14:paraId="587491DA" w14:textId="77777777" w:rsidR="00424B7B" w:rsidRPr="00427668" w:rsidRDefault="00424B7B" w:rsidP="00A351F7">
            <w:pPr>
              <w:pStyle w:val="NoSpacing"/>
              <w:jc w:val="center"/>
              <w:rPr>
                <w:rFonts w:ascii="Times New Roman" w:hAnsi="Times New Roman" w:cs="Times New Roman"/>
                <w:szCs w:val="24"/>
              </w:rPr>
            </w:pPr>
            <w:r w:rsidRPr="00427668">
              <w:rPr>
                <w:rFonts w:ascii="Times New Roman" w:hAnsi="Times New Roman" w:cs="Times New Roman"/>
                <w:szCs w:val="24"/>
              </w:rPr>
              <w:t>960</w:t>
            </w:r>
          </w:p>
        </w:tc>
        <w:tc>
          <w:tcPr>
            <w:tcW w:w="0" w:type="auto"/>
            <w:vAlign w:val="center"/>
            <w:hideMark/>
          </w:tcPr>
          <w:p w14:paraId="0B0C35EF" w14:textId="44EEBD38" w:rsidR="00424B7B" w:rsidRPr="00427668" w:rsidRDefault="002A2890" w:rsidP="00A351F7">
            <w:pPr>
              <w:pStyle w:val="NoSpacing"/>
              <w:jc w:val="center"/>
              <w:rPr>
                <w:rFonts w:ascii="Times New Roman" w:hAnsi="Times New Roman" w:cs="Times New Roman"/>
                <w:szCs w:val="24"/>
              </w:rPr>
            </w:pPr>
            <w:r w:rsidRPr="00427668">
              <w:rPr>
                <w:rFonts w:ascii="Times New Roman" w:hAnsi="Times New Roman" w:cs="Times New Roman"/>
                <w:szCs w:val="24"/>
              </w:rPr>
              <w:t>4</w:t>
            </w:r>
          </w:p>
        </w:tc>
        <w:tc>
          <w:tcPr>
            <w:tcW w:w="0" w:type="auto"/>
            <w:vAlign w:val="center"/>
            <w:hideMark/>
          </w:tcPr>
          <w:p w14:paraId="6E7DCE37" w14:textId="77777777" w:rsidR="00424B7B" w:rsidRPr="00427668" w:rsidRDefault="00424B7B" w:rsidP="00A351F7">
            <w:pPr>
              <w:pStyle w:val="NoSpacing"/>
              <w:jc w:val="center"/>
              <w:rPr>
                <w:rFonts w:ascii="Times New Roman" w:hAnsi="Times New Roman" w:cs="Times New Roman"/>
                <w:szCs w:val="24"/>
              </w:rPr>
            </w:pPr>
            <w:r w:rsidRPr="00427668">
              <w:rPr>
                <w:rFonts w:ascii="Times New Roman" w:hAnsi="Times New Roman" w:cs="Times New Roman"/>
                <w:szCs w:val="24"/>
              </w:rPr>
              <w:t>224</w:t>
            </w:r>
          </w:p>
        </w:tc>
        <w:tc>
          <w:tcPr>
            <w:tcW w:w="0" w:type="auto"/>
            <w:vAlign w:val="center"/>
            <w:hideMark/>
          </w:tcPr>
          <w:p w14:paraId="6B5CFD41" w14:textId="77777777" w:rsidR="00424B7B" w:rsidRPr="00427668" w:rsidRDefault="00424B7B" w:rsidP="00A351F7">
            <w:pPr>
              <w:pStyle w:val="NoSpacing"/>
              <w:jc w:val="center"/>
              <w:rPr>
                <w:rFonts w:ascii="Times New Roman" w:hAnsi="Times New Roman" w:cs="Times New Roman"/>
                <w:szCs w:val="24"/>
              </w:rPr>
            </w:pPr>
            <w:r w:rsidRPr="00427668">
              <w:rPr>
                <w:rFonts w:ascii="Times New Roman" w:hAnsi="Times New Roman" w:cs="Times New Roman"/>
                <w:szCs w:val="24"/>
              </w:rPr>
              <w:t>38</w:t>
            </w:r>
          </w:p>
        </w:tc>
        <w:tc>
          <w:tcPr>
            <w:tcW w:w="0" w:type="auto"/>
            <w:vAlign w:val="center"/>
            <w:hideMark/>
          </w:tcPr>
          <w:p w14:paraId="696C8864" w14:textId="77777777" w:rsidR="00424B7B" w:rsidRPr="00427668" w:rsidRDefault="00424B7B" w:rsidP="00A351F7">
            <w:pPr>
              <w:pStyle w:val="NoSpacing"/>
              <w:jc w:val="center"/>
              <w:rPr>
                <w:rFonts w:ascii="Times New Roman" w:hAnsi="Times New Roman" w:cs="Times New Roman"/>
                <w:szCs w:val="24"/>
              </w:rPr>
            </w:pPr>
            <w:r w:rsidRPr="00427668">
              <w:rPr>
                <w:rFonts w:ascii="Times New Roman" w:hAnsi="Times New Roman" w:cs="Times New Roman"/>
                <w:szCs w:val="24"/>
              </w:rPr>
              <w:t>1226</w:t>
            </w:r>
          </w:p>
        </w:tc>
        <w:tc>
          <w:tcPr>
            <w:tcW w:w="0" w:type="auto"/>
            <w:vAlign w:val="center"/>
            <w:hideMark/>
          </w:tcPr>
          <w:p w14:paraId="03B9662F" w14:textId="77777777" w:rsidR="00424B7B" w:rsidRPr="00427668" w:rsidRDefault="00424B7B" w:rsidP="00A351F7">
            <w:pPr>
              <w:pStyle w:val="NoSpacing"/>
              <w:jc w:val="center"/>
              <w:rPr>
                <w:rFonts w:ascii="Times New Roman" w:hAnsi="Times New Roman" w:cs="Times New Roman"/>
                <w:szCs w:val="24"/>
              </w:rPr>
            </w:pPr>
            <w:r w:rsidRPr="00427668">
              <w:rPr>
                <w:rFonts w:ascii="Times New Roman" w:hAnsi="Times New Roman" w:cs="Times New Roman"/>
                <w:szCs w:val="24"/>
              </w:rPr>
              <w:t>1838</w:t>
            </w:r>
          </w:p>
        </w:tc>
      </w:tr>
      <w:tr w:rsidR="00424B7B" w:rsidRPr="00427668" w14:paraId="23257DB3" w14:textId="77777777" w:rsidTr="00A351F7">
        <w:trPr>
          <w:trHeight w:val="598"/>
        </w:trPr>
        <w:tc>
          <w:tcPr>
            <w:tcW w:w="0" w:type="auto"/>
            <w:hideMark/>
          </w:tcPr>
          <w:p w14:paraId="4521FD40" w14:textId="77777777" w:rsidR="00424B7B" w:rsidRPr="00427668" w:rsidRDefault="00424B7B" w:rsidP="00B77C0B">
            <w:pPr>
              <w:pStyle w:val="NoSpacing"/>
              <w:rPr>
                <w:rFonts w:ascii="Times New Roman" w:hAnsi="Times New Roman" w:cs="Times New Roman"/>
                <w:szCs w:val="24"/>
              </w:rPr>
            </w:pPr>
            <w:r w:rsidRPr="00427668">
              <w:rPr>
                <w:rFonts w:ascii="Times New Roman" w:hAnsi="Times New Roman" w:cs="Times New Roman"/>
                <w:szCs w:val="24"/>
              </w:rPr>
              <w:t>Jammu &amp; Kashmir</w:t>
            </w:r>
          </w:p>
        </w:tc>
        <w:tc>
          <w:tcPr>
            <w:tcW w:w="0" w:type="auto"/>
            <w:vAlign w:val="center"/>
            <w:hideMark/>
          </w:tcPr>
          <w:p w14:paraId="43FD56CB" w14:textId="77777777" w:rsidR="00424B7B" w:rsidRPr="00427668" w:rsidRDefault="00424B7B" w:rsidP="00A351F7">
            <w:pPr>
              <w:pStyle w:val="NoSpacing"/>
              <w:jc w:val="center"/>
              <w:rPr>
                <w:rFonts w:ascii="Times New Roman" w:hAnsi="Times New Roman" w:cs="Times New Roman"/>
                <w:szCs w:val="24"/>
              </w:rPr>
            </w:pPr>
            <w:r w:rsidRPr="00427668">
              <w:rPr>
                <w:rFonts w:ascii="Times New Roman" w:hAnsi="Times New Roman" w:cs="Times New Roman"/>
                <w:szCs w:val="24"/>
              </w:rPr>
              <w:t>279</w:t>
            </w:r>
          </w:p>
        </w:tc>
        <w:tc>
          <w:tcPr>
            <w:tcW w:w="0" w:type="auto"/>
            <w:vAlign w:val="center"/>
            <w:hideMark/>
          </w:tcPr>
          <w:p w14:paraId="68F77BB7" w14:textId="77777777" w:rsidR="00424B7B" w:rsidRPr="00427668" w:rsidRDefault="00424B7B" w:rsidP="00A351F7">
            <w:pPr>
              <w:pStyle w:val="NoSpacing"/>
              <w:jc w:val="center"/>
              <w:rPr>
                <w:rFonts w:ascii="Times New Roman" w:hAnsi="Times New Roman" w:cs="Times New Roman"/>
                <w:szCs w:val="24"/>
              </w:rPr>
            </w:pPr>
            <w:r w:rsidRPr="00427668">
              <w:rPr>
                <w:rFonts w:ascii="Times New Roman" w:hAnsi="Times New Roman" w:cs="Times New Roman"/>
                <w:szCs w:val="24"/>
              </w:rPr>
              <w:t>2</w:t>
            </w:r>
          </w:p>
        </w:tc>
        <w:tc>
          <w:tcPr>
            <w:tcW w:w="0" w:type="auto"/>
            <w:vAlign w:val="center"/>
            <w:hideMark/>
          </w:tcPr>
          <w:p w14:paraId="795210BD" w14:textId="77777777" w:rsidR="00424B7B" w:rsidRPr="00427668" w:rsidRDefault="00424B7B" w:rsidP="00A351F7">
            <w:pPr>
              <w:pStyle w:val="NoSpacing"/>
              <w:jc w:val="center"/>
              <w:rPr>
                <w:rFonts w:ascii="Times New Roman" w:hAnsi="Times New Roman" w:cs="Times New Roman"/>
                <w:szCs w:val="24"/>
              </w:rPr>
            </w:pPr>
            <w:r w:rsidRPr="00427668">
              <w:rPr>
                <w:rFonts w:ascii="Times New Roman" w:hAnsi="Times New Roman" w:cs="Times New Roman"/>
                <w:szCs w:val="24"/>
              </w:rPr>
              <w:t>6</w:t>
            </w:r>
          </w:p>
        </w:tc>
        <w:tc>
          <w:tcPr>
            <w:tcW w:w="0" w:type="auto"/>
            <w:vAlign w:val="center"/>
            <w:hideMark/>
          </w:tcPr>
          <w:p w14:paraId="5C592D20" w14:textId="77777777" w:rsidR="00424B7B" w:rsidRPr="00427668" w:rsidRDefault="00424B7B" w:rsidP="00A351F7">
            <w:pPr>
              <w:pStyle w:val="NoSpacing"/>
              <w:jc w:val="center"/>
              <w:rPr>
                <w:rFonts w:ascii="Times New Roman" w:hAnsi="Times New Roman" w:cs="Times New Roman"/>
                <w:szCs w:val="24"/>
              </w:rPr>
            </w:pPr>
            <w:r w:rsidRPr="00427668">
              <w:rPr>
                <w:rFonts w:ascii="Times New Roman" w:hAnsi="Times New Roman" w:cs="Times New Roman"/>
                <w:szCs w:val="24"/>
              </w:rPr>
              <w:t>1</w:t>
            </w:r>
          </w:p>
        </w:tc>
        <w:tc>
          <w:tcPr>
            <w:tcW w:w="0" w:type="auto"/>
            <w:vAlign w:val="center"/>
            <w:hideMark/>
          </w:tcPr>
          <w:p w14:paraId="6425183D" w14:textId="77777777" w:rsidR="00424B7B" w:rsidRPr="00427668" w:rsidRDefault="00424B7B" w:rsidP="00A351F7">
            <w:pPr>
              <w:pStyle w:val="NoSpacing"/>
              <w:jc w:val="center"/>
              <w:rPr>
                <w:rFonts w:ascii="Times New Roman" w:hAnsi="Times New Roman" w:cs="Times New Roman"/>
                <w:szCs w:val="24"/>
              </w:rPr>
            </w:pPr>
            <w:r w:rsidRPr="00427668">
              <w:rPr>
                <w:rFonts w:ascii="Times New Roman" w:hAnsi="Times New Roman" w:cs="Times New Roman"/>
                <w:szCs w:val="24"/>
              </w:rPr>
              <w:t>288</w:t>
            </w:r>
          </w:p>
        </w:tc>
        <w:tc>
          <w:tcPr>
            <w:tcW w:w="0" w:type="auto"/>
            <w:vAlign w:val="center"/>
            <w:hideMark/>
          </w:tcPr>
          <w:p w14:paraId="7E1FC069" w14:textId="77777777" w:rsidR="00424B7B" w:rsidRPr="00427668" w:rsidRDefault="00424B7B" w:rsidP="00A351F7">
            <w:pPr>
              <w:pStyle w:val="NoSpacing"/>
              <w:jc w:val="center"/>
              <w:rPr>
                <w:rFonts w:ascii="Times New Roman" w:hAnsi="Times New Roman" w:cs="Times New Roman"/>
                <w:szCs w:val="24"/>
              </w:rPr>
            </w:pPr>
            <w:r w:rsidRPr="00427668">
              <w:rPr>
                <w:rFonts w:ascii="Times New Roman" w:hAnsi="Times New Roman" w:cs="Times New Roman"/>
                <w:szCs w:val="24"/>
              </w:rPr>
              <w:t>1153</w:t>
            </w:r>
          </w:p>
        </w:tc>
      </w:tr>
      <w:tr w:rsidR="00424B7B" w:rsidRPr="00427668" w14:paraId="1B584F93" w14:textId="77777777" w:rsidTr="00A351F7">
        <w:trPr>
          <w:trHeight w:val="292"/>
        </w:trPr>
        <w:tc>
          <w:tcPr>
            <w:tcW w:w="0" w:type="auto"/>
            <w:hideMark/>
          </w:tcPr>
          <w:p w14:paraId="7053F1C0" w14:textId="77777777" w:rsidR="00424B7B" w:rsidRPr="00427668" w:rsidRDefault="00424B7B" w:rsidP="00B77C0B">
            <w:pPr>
              <w:pStyle w:val="NoSpacing"/>
              <w:rPr>
                <w:rFonts w:ascii="Times New Roman" w:hAnsi="Times New Roman" w:cs="Times New Roman"/>
                <w:szCs w:val="24"/>
              </w:rPr>
            </w:pPr>
            <w:r w:rsidRPr="00427668">
              <w:rPr>
                <w:rFonts w:ascii="Times New Roman" w:hAnsi="Times New Roman" w:cs="Times New Roman"/>
                <w:szCs w:val="24"/>
              </w:rPr>
              <w:t>Kerala</w:t>
            </w:r>
          </w:p>
        </w:tc>
        <w:tc>
          <w:tcPr>
            <w:tcW w:w="0" w:type="auto"/>
            <w:vAlign w:val="center"/>
            <w:hideMark/>
          </w:tcPr>
          <w:p w14:paraId="5F6E35A7" w14:textId="77777777" w:rsidR="00424B7B" w:rsidRPr="00427668" w:rsidRDefault="00424B7B" w:rsidP="00A351F7">
            <w:pPr>
              <w:pStyle w:val="NoSpacing"/>
              <w:jc w:val="center"/>
              <w:rPr>
                <w:rFonts w:ascii="Times New Roman" w:hAnsi="Times New Roman" w:cs="Times New Roman"/>
                <w:szCs w:val="24"/>
              </w:rPr>
            </w:pPr>
            <w:r w:rsidRPr="00427668">
              <w:rPr>
                <w:rFonts w:ascii="Times New Roman" w:hAnsi="Times New Roman" w:cs="Times New Roman"/>
                <w:szCs w:val="24"/>
              </w:rPr>
              <w:t>177</w:t>
            </w:r>
          </w:p>
        </w:tc>
        <w:tc>
          <w:tcPr>
            <w:tcW w:w="0" w:type="auto"/>
            <w:vAlign w:val="center"/>
            <w:hideMark/>
          </w:tcPr>
          <w:p w14:paraId="220D3EE2" w14:textId="77777777" w:rsidR="00424B7B" w:rsidRPr="00427668" w:rsidRDefault="00424B7B" w:rsidP="00A351F7">
            <w:pPr>
              <w:pStyle w:val="NoSpacing"/>
              <w:jc w:val="center"/>
              <w:rPr>
                <w:rFonts w:ascii="Times New Roman" w:hAnsi="Times New Roman" w:cs="Times New Roman"/>
                <w:szCs w:val="24"/>
              </w:rPr>
            </w:pPr>
            <w:r w:rsidRPr="00427668">
              <w:rPr>
                <w:rFonts w:ascii="Times New Roman" w:hAnsi="Times New Roman" w:cs="Times New Roman"/>
                <w:szCs w:val="24"/>
              </w:rPr>
              <w:t>60</w:t>
            </w:r>
          </w:p>
        </w:tc>
        <w:tc>
          <w:tcPr>
            <w:tcW w:w="0" w:type="auto"/>
            <w:vAlign w:val="center"/>
            <w:hideMark/>
          </w:tcPr>
          <w:p w14:paraId="71321733" w14:textId="77777777" w:rsidR="00424B7B" w:rsidRPr="00427668" w:rsidRDefault="00424B7B" w:rsidP="00A351F7">
            <w:pPr>
              <w:pStyle w:val="NoSpacing"/>
              <w:jc w:val="center"/>
              <w:rPr>
                <w:rFonts w:ascii="Times New Roman" w:hAnsi="Times New Roman" w:cs="Times New Roman"/>
                <w:szCs w:val="24"/>
              </w:rPr>
            </w:pPr>
            <w:r w:rsidRPr="00427668">
              <w:rPr>
                <w:rFonts w:ascii="Times New Roman" w:hAnsi="Times New Roman" w:cs="Times New Roman"/>
                <w:szCs w:val="24"/>
              </w:rPr>
              <w:t>4</w:t>
            </w:r>
          </w:p>
        </w:tc>
        <w:tc>
          <w:tcPr>
            <w:tcW w:w="0" w:type="auto"/>
            <w:vAlign w:val="center"/>
            <w:hideMark/>
          </w:tcPr>
          <w:p w14:paraId="29B0FB16" w14:textId="77777777" w:rsidR="00424B7B" w:rsidRPr="00427668" w:rsidRDefault="00424B7B" w:rsidP="00A351F7">
            <w:pPr>
              <w:pStyle w:val="NoSpacing"/>
              <w:jc w:val="center"/>
              <w:rPr>
                <w:rFonts w:ascii="Times New Roman" w:hAnsi="Times New Roman" w:cs="Times New Roman"/>
                <w:szCs w:val="24"/>
              </w:rPr>
            </w:pPr>
            <w:r w:rsidRPr="00427668">
              <w:rPr>
                <w:rFonts w:ascii="Times New Roman" w:hAnsi="Times New Roman" w:cs="Times New Roman"/>
                <w:szCs w:val="24"/>
              </w:rPr>
              <w:t>121</w:t>
            </w:r>
          </w:p>
        </w:tc>
        <w:tc>
          <w:tcPr>
            <w:tcW w:w="0" w:type="auto"/>
            <w:vAlign w:val="center"/>
            <w:hideMark/>
          </w:tcPr>
          <w:p w14:paraId="059D42B4" w14:textId="77777777" w:rsidR="00424B7B" w:rsidRPr="00427668" w:rsidRDefault="00424B7B" w:rsidP="00A351F7">
            <w:pPr>
              <w:pStyle w:val="NoSpacing"/>
              <w:jc w:val="center"/>
              <w:rPr>
                <w:rFonts w:ascii="Times New Roman" w:hAnsi="Times New Roman" w:cs="Times New Roman"/>
                <w:szCs w:val="24"/>
              </w:rPr>
            </w:pPr>
            <w:r w:rsidRPr="00427668">
              <w:rPr>
                <w:rFonts w:ascii="Times New Roman" w:hAnsi="Times New Roman" w:cs="Times New Roman"/>
                <w:szCs w:val="24"/>
              </w:rPr>
              <w:t>362</w:t>
            </w:r>
          </w:p>
        </w:tc>
        <w:tc>
          <w:tcPr>
            <w:tcW w:w="0" w:type="auto"/>
            <w:vAlign w:val="center"/>
            <w:hideMark/>
          </w:tcPr>
          <w:p w14:paraId="7D14A058" w14:textId="77777777" w:rsidR="00424B7B" w:rsidRPr="00427668" w:rsidRDefault="00424B7B" w:rsidP="00A351F7">
            <w:pPr>
              <w:pStyle w:val="NoSpacing"/>
              <w:jc w:val="center"/>
              <w:rPr>
                <w:rFonts w:ascii="Times New Roman" w:hAnsi="Times New Roman" w:cs="Times New Roman"/>
                <w:szCs w:val="24"/>
              </w:rPr>
            </w:pPr>
            <w:r w:rsidRPr="00427668">
              <w:rPr>
                <w:rFonts w:ascii="Times New Roman" w:hAnsi="Times New Roman" w:cs="Times New Roman"/>
                <w:szCs w:val="24"/>
              </w:rPr>
              <w:t>1178</w:t>
            </w:r>
          </w:p>
        </w:tc>
      </w:tr>
      <w:tr w:rsidR="00424B7B" w:rsidRPr="00427668" w14:paraId="5FB48E60" w14:textId="77777777" w:rsidTr="00A351F7">
        <w:trPr>
          <w:trHeight w:val="304"/>
        </w:trPr>
        <w:tc>
          <w:tcPr>
            <w:tcW w:w="0" w:type="auto"/>
            <w:hideMark/>
          </w:tcPr>
          <w:p w14:paraId="25F17AC5" w14:textId="77777777" w:rsidR="00424B7B" w:rsidRPr="00427668" w:rsidRDefault="00424B7B" w:rsidP="00B77C0B">
            <w:pPr>
              <w:pStyle w:val="NoSpacing"/>
              <w:rPr>
                <w:rFonts w:ascii="Times New Roman" w:hAnsi="Times New Roman" w:cs="Times New Roman"/>
                <w:szCs w:val="24"/>
              </w:rPr>
            </w:pPr>
            <w:r w:rsidRPr="00427668">
              <w:rPr>
                <w:rFonts w:ascii="Times New Roman" w:hAnsi="Times New Roman" w:cs="Times New Roman"/>
                <w:szCs w:val="24"/>
              </w:rPr>
              <w:t>Madhya Pradesh</w:t>
            </w:r>
          </w:p>
        </w:tc>
        <w:tc>
          <w:tcPr>
            <w:tcW w:w="0" w:type="auto"/>
            <w:vAlign w:val="center"/>
            <w:hideMark/>
          </w:tcPr>
          <w:p w14:paraId="3BFF8C2B" w14:textId="77777777" w:rsidR="00424B7B" w:rsidRPr="00427668" w:rsidRDefault="00424B7B" w:rsidP="00A351F7">
            <w:pPr>
              <w:pStyle w:val="NoSpacing"/>
              <w:jc w:val="center"/>
              <w:rPr>
                <w:rFonts w:ascii="Times New Roman" w:hAnsi="Times New Roman" w:cs="Times New Roman"/>
                <w:szCs w:val="24"/>
              </w:rPr>
            </w:pPr>
            <w:r w:rsidRPr="00427668">
              <w:rPr>
                <w:rFonts w:ascii="Times New Roman" w:hAnsi="Times New Roman" w:cs="Times New Roman"/>
                <w:szCs w:val="24"/>
              </w:rPr>
              <w:t>462</w:t>
            </w:r>
          </w:p>
        </w:tc>
        <w:tc>
          <w:tcPr>
            <w:tcW w:w="0" w:type="auto"/>
            <w:vAlign w:val="center"/>
            <w:hideMark/>
          </w:tcPr>
          <w:p w14:paraId="55B114BA" w14:textId="77777777" w:rsidR="00424B7B" w:rsidRPr="00427668" w:rsidRDefault="00424B7B" w:rsidP="00A351F7">
            <w:pPr>
              <w:pStyle w:val="NoSpacing"/>
              <w:jc w:val="center"/>
              <w:rPr>
                <w:rFonts w:ascii="Times New Roman" w:hAnsi="Times New Roman" w:cs="Times New Roman"/>
                <w:szCs w:val="24"/>
              </w:rPr>
            </w:pPr>
            <w:r w:rsidRPr="00427668">
              <w:rPr>
                <w:rFonts w:ascii="Times New Roman" w:hAnsi="Times New Roman" w:cs="Times New Roman"/>
                <w:szCs w:val="24"/>
              </w:rPr>
              <w:t>118</w:t>
            </w:r>
          </w:p>
        </w:tc>
        <w:tc>
          <w:tcPr>
            <w:tcW w:w="0" w:type="auto"/>
            <w:vAlign w:val="center"/>
            <w:hideMark/>
          </w:tcPr>
          <w:p w14:paraId="05750BE0" w14:textId="77777777" w:rsidR="00424B7B" w:rsidRPr="00427668" w:rsidRDefault="00424B7B" w:rsidP="00A351F7">
            <w:pPr>
              <w:pStyle w:val="NoSpacing"/>
              <w:jc w:val="center"/>
              <w:rPr>
                <w:rFonts w:ascii="Times New Roman" w:hAnsi="Times New Roman" w:cs="Times New Roman"/>
                <w:szCs w:val="24"/>
              </w:rPr>
            </w:pPr>
            <w:r w:rsidRPr="00427668">
              <w:rPr>
                <w:rFonts w:ascii="Times New Roman" w:hAnsi="Times New Roman" w:cs="Times New Roman"/>
                <w:szCs w:val="24"/>
              </w:rPr>
              <w:t>345</w:t>
            </w:r>
          </w:p>
        </w:tc>
        <w:tc>
          <w:tcPr>
            <w:tcW w:w="0" w:type="auto"/>
            <w:vAlign w:val="center"/>
            <w:hideMark/>
          </w:tcPr>
          <w:p w14:paraId="76553DDA" w14:textId="77777777" w:rsidR="00424B7B" w:rsidRPr="00427668" w:rsidRDefault="00424B7B" w:rsidP="00A351F7">
            <w:pPr>
              <w:pStyle w:val="NoSpacing"/>
              <w:jc w:val="center"/>
              <w:rPr>
                <w:rFonts w:ascii="Times New Roman" w:hAnsi="Times New Roman" w:cs="Times New Roman"/>
                <w:szCs w:val="24"/>
              </w:rPr>
            </w:pPr>
            <w:r w:rsidRPr="00427668">
              <w:rPr>
                <w:rFonts w:ascii="Times New Roman" w:hAnsi="Times New Roman" w:cs="Times New Roman"/>
                <w:szCs w:val="24"/>
              </w:rPr>
              <w:t>52</w:t>
            </w:r>
          </w:p>
        </w:tc>
        <w:tc>
          <w:tcPr>
            <w:tcW w:w="0" w:type="auto"/>
            <w:vAlign w:val="center"/>
            <w:hideMark/>
          </w:tcPr>
          <w:p w14:paraId="3F32DE37" w14:textId="77777777" w:rsidR="00424B7B" w:rsidRPr="00427668" w:rsidRDefault="00424B7B" w:rsidP="00A351F7">
            <w:pPr>
              <w:pStyle w:val="NoSpacing"/>
              <w:jc w:val="center"/>
              <w:rPr>
                <w:rFonts w:ascii="Times New Roman" w:hAnsi="Times New Roman" w:cs="Times New Roman"/>
                <w:szCs w:val="24"/>
              </w:rPr>
            </w:pPr>
            <w:r w:rsidRPr="00427668">
              <w:rPr>
                <w:rFonts w:ascii="Times New Roman" w:hAnsi="Times New Roman" w:cs="Times New Roman"/>
                <w:szCs w:val="24"/>
              </w:rPr>
              <w:t>977</w:t>
            </w:r>
          </w:p>
        </w:tc>
        <w:tc>
          <w:tcPr>
            <w:tcW w:w="0" w:type="auto"/>
            <w:vAlign w:val="center"/>
            <w:hideMark/>
          </w:tcPr>
          <w:p w14:paraId="1D83ADF0" w14:textId="77777777" w:rsidR="00424B7B" w:rsidRPr="00427668" w:rsidRDefault="00424B7B" w:rsidP="00A351F7">
            <w:pPr>
              <w:pStyle w:val="NoSpacing"/>
              <w:jc w:val="center"/>
              <w:rPr>
                <w:rFonts w:ascii="Times New Roman" w:hAnsi="Times New Roman" w:cs="Times New Roman"/>
                <w:szCs w:val="24"/>
              </w:rPr>
            </w:pPr>
            <w:r w:rsidRPr="00427668">
              <w:rPr>
                <w:rFonts w:ascii="Times New Roman" w:hAnsi="Times New Roman" w:cs="Times New Roman"/>
                <w:szCs w:val="24"/>
              </w:rPr>
              <w:t>10612</w:t>
            </w:r>
          </w:p>
        </w:tc>
      </w:tr>
      <w:tr w:rsidR="00424B7B" w:rsidRPr="00427668" w14:paraId="65A75F6D" w14:textId="77777777" w:rsidTr="00A351F7">
        <w:trPr>
          <w:trHeight w:val="292"/>
        </w:trPr>
        <w:tc>
          <w:tcPr>
            <w:tcW w:w="0" w:type="auto"/>
            <w:hideMark/>
          </w:tcPr>
          <w:p w14:paraId="2CC6EFF0" w14:textId="77777777" w:rsidR="00424B7B" w:rsidRPr="00427668" w:rsidRDefault="00424B7B" w:rsidP="00B77C0B">
            <w:pPr>
              <w:pStyle w:val="NoSpacing"/>
              <w:rPr>
                <w:rFonts w:ascii="Times New Roman" w:hAnsi="Times New Roman" w:cs="Times New Roman"/>
                <w:szCs w:val="24"/>
              </w:rPr>
            </w:pPr>
            <w:r w:rsidRPr="00427668">
              <w:rPr>
                <w:rFonts w:ascii="Times New Roman" w:hAnsi="Times New Roman" w:cs="Times New Roman"/>
                <w:szCs w:val="24"/>
              </w:rPr>
              <w:t>Maharashtra</w:t>
            </w:r>
          </w:p>
        </w:tc>
        <w:tc>
          <w:tcPr>
            <w:tcW w:w="0" w:type="auto"/>
            <w:vAlign w:val="center"/>
            <w:hideMark/>
          </w:tcPr>
          <w:p w14:paraId="66EF95B7" w14:textId="77777777" w:rsidR="00424B7B" w:rsidRPr="00427668" w:rsidRDefault="00424B7B" w:rsidP="00A351F7">
            <w:pPr>
              <w:pStyle w:val="NoSpacing"/>
              <w:jc w:val="center"/>
              <w:rPr>
                <w:rFonts w:ascii="Times New Roman" w:hAnsi="Times New Roman" w:cs="Times New Roman"/>
                <w:szCs w:val="24"/>
              </w:rPr>
            </w:pPr>
            <w:r w:rsidRPr="00427668">
              <w:rPr>
                <w:rFonts w:ascii="Times New Roman" w:hAnsi="Times New Roman" w:cs="Times New Roman"/>
                <w:szCs w:val="24"/>
              </w:rPr>
              <w:t>248</w:t>
            </w:r>
          </w:p>
        </w:tc>
        <w:tc>
          <w:tcPr>
            <w:tcW w:w="0" w:type="auto"/>
            <w:vAlign w:val="center"/>
            <w:hideMark/>
          </w:tcPr>
          <w:p w14:paraId="104F6AEB" w14:textId="77777777" w:rsidR="00424B7B" w:rsidRPr="00427668" w:rsidRDefault="00424B7B" w:rsidP="00A351F7">
            <w:pPr>
              <w:pStyle w:val="NoSpacing"/>
              <w:jc w:val="center"/>
              <w:rPr>
                <w:rFonts w:ascii="Times New Roman" w:hAnsi="Times New Roman" w:cs="Times New Roman"/>
                <w:szCs w:val="24"/>
              </w:rPr>
            </w:pPr>
            <w:r w:rsidRPr="00427668">
              <w:rPr>
                <w:rFonts w:ascii="Times New Roman" w:hAnsi="Times New Roman" w:cs="Times New Roman"/>
                <w:szCs w:val="24"/>
              </w:rPr>
              <w:t>213</w:t>
            </w:r>
          </w:p>
        </w:tc>
        <w:tc>
          <w:tcPr>
            <w:tcW w:w="0" w:type="auto"/>
            <w:vAlign w:val="center"/>
            <w:hideMark/>
          </w:tcPr>
          <w:p w14:paraId="51C58041" w14:textId="77777777" w:rsidR="00424B7B" w:rsidRPr="00427668" w:rsidRDefault="00424B7B" w:rsidP="00A351F7">
            <w:pPr>
              <w:pStyle w:val="NoSpacing"/>
              <w:jc w:val="center"/>
              <w:rPr>
                <w:rFonts w:ascii="Times New Roman" w:hAnsi="Times New Roman" w:cs="Times New Roman"/>
                <w:szCs w:val="24"/>
              </w:rPr>
            </w:pPr>
            <w:r w:rsidRPr="00427668">
              <w:rPr>
                <w:rFonts w:ascii="Times New Roman" w:hAnsi="Times New Roman" w:cs="Times New Roman"/>
                <w:szCs w:val="24"/>
              </w:rPr>
              <w:t>683</w:t>
            </w:r>
          </w:p>
        </w:tc>
        <w:tc>
          <w:tcPr>
            <w:tcW w:w="0" w:type="auto"/>
            <w:vAlign w:val="center"/>
            <w:hideMark/>
          </w:tcPr>
          <w:p w14:paraId="20D61103" w14:textId="77777777" w:rsidR="00424B7B" w:rsidRPr="00427668" w:rsidRDefault="00424B7B" w:rsidP="00A351F7">
            <w:pPr>
              <w:pStyle w:val="NoSpacing"/>
              <w:jc w:val="center"/>
              <w:rPr>
                <w:rFonts w:ascii="Times New Roman" w:hAnsi="Times New Roman" w:cs="Times New Roman"/>
                <w:szCs w:val="24"/>
              </w:rPr>
            </w:pPr>
            <w:r w:rsidRPr="00427668">
              <w:rPr>
                <w:rFonts w:ascii="Times New Roman" w:hAnsi="Times New Roman" w:cs="Times New Roman"/>
                <w:szCs w:val="24"/>
              </w:rPr>
              <w:t>86</w:t>
            </w:r>
          </w:p>
        </w:tc>
        <w:tc>
          <w:tcPr>
            <w:tcW w:w="0" w:type="auto"/>
            <w:vAlign w:val="center"/>
            <w:hideMark/>
          </w:tcPr>
          <w:p w14:paraId="4F5759EF" w14:textId="77777777" w:rsidR="00424B7B" w:rsidRPr="00427668" w:rsidRDefault="00424B7B" w:rsidP="00A351F7">
            <w:pPr>
              <w:pStyle w:val="NoSpacing"/>
              <w:jc w:val="center"/>
              <w:rPr>
                <w:rFonts w:ascii="Times New Roman" w:hAnsi="Times New Roman" w:cs="Times New Roman"/>
                <w:szCs w:val="24"/>
              </w:rPr>
            </w:pPr>
            <w:r w:rsidRPr="00427668">
              <w:rPr>
                <w:rFonts w:ascii="Times New Roman" w:hAnsi="Times New Roman" w:cs="Times New Roman"/>
                <w:szCs w:val="24"/>
              </w:rPr>
              <w:t>1230</w:t>
            </w:r>
          </w:p>
        </w:tc>
        <w:tc>
          <w:tcPr>
            <w:tcW w:w="0" w:type="auto"/>
            <w:vAlign w:val="center"/>
            <w:hideMark/>
          </w:tcPr>
          <w:p w14:paraId="6522085A" w14:textId="77777777" w:rsidR="00424B7B" w:rsidRPr="00427668" w:rsidRDefault="00424B7B" w:rsidP="00A351F7">
            <w:pPr>
              <w:pStyle w:val="NoSpacing"/>
              <w:jc w:val="center"/>
              <w:rPr>
                <w:rFonts w:ascii="Times New Roman" w:hAnsi="Times New Roman" w:cs="Times New Roman"/>
                <w:szCs w:val="24"/>
              </w:rPr>
            </w:pPr>
            <w:r w:rsidRPr="00427668">
              <w:rPr>
                <w:rFonts w:ascii="Times New Roman" w:hAnsi="Times New Roman" w:cs="Times New Roman"/>
                <w:szCs w:val="24"/>
              </w:rPr>
              <w:t>8737</w:t>
            </w:r>
          </w:p>
        </w:tc>
      </w:tr>
      <w:tr w:rsidR="00424B7B" w:rsidRPr="00427668" w14:paraId="14EBC1D6" w14:textId="77777777" w:rsidTr="00A351F7">
        <w:trPr>
          <w:trHeight w:val="292"/>
        </w:trPr>
        <w:tc>
          <w:tcPr>
            <w:tcW w:w="0" w:type="auto"/>
            <w:hideMark/>
          </w:tcPr>
          <w:p w14:paraId="6104C6AA" w14:textId="77777777" w:rsidR="00424B7B" w:rsidRPr="00427668" w:rsidRDefault="00424B7B" w:rsidP="00B77C0B">
            <w:pPr>
              <w:pStyle w:val="NoSpacing"/>
              <w:rPr>
                <w:rFonts w:ascii="Times New Roman" w:hAnsi="Times New Roman" w:cs="Times New Roman"/>
                <w:szCs w:val="24"/>
              </w:rPr>
            </w:pPr>
            <w:r w:rsidRPr="00427668">
              <w:rPr>
                <w:rFonts w:ascii="Times New Roman" w:hAnsi="Times New Roman" w:cs="Times New Roman"/>
                <w:szCs w:val="24"/>
              </w:rPr>
              <w:t>Mysore</w:t>
            </w:r>
          </w:p>
        </w:tc>
        <w:tc>
          <w:tcPr>
            <w:tcW w:w="0" w:type="auto"/>
            <w:vAlign w:val="center"/>
            <w:hideMark/>
          </w:tcPr>
          <w:p w14:paraId="0F466172" w14:textId="77777777" w:rsidR="00424B7B" w:rsidRPr="00427668" w:rsidRDefault="00424B7B" w:rsidP="00A351F7">
            <w:pPr>
              <w:pStyle w:val="NoSpacing"/>
              <w:jc w:val="center"/>
              <w:rPr>
                <w:rFonts w:ascii="Times New Roman" w:hAnsi="Times New Roman" w:cs="Times New Roman"/>
                <w:szCs w:val="24"/>
              </w:rPr>
            </w:pPr>
            <w:r w:rsidRPr="00427668">
              <w:rPr>
                <w:rFonts w:ascii="Times New Roman" w:hAnsi="Times New Roman" w:cs="Times New Roman"/>
                <w:szCs w:val="24"/>
              </w:rPr>
              <w:t>361</w:t>
            </w:r>
          </w:p>
        </w:tc>
        <w:tc>
          <w:tcPr>
            <w:tcW w:w="0" w:type="auto"/>
            <w:vAlign w:val="center"/>
            <w:hideMark/>
          </w:tcPr>
          <w:p w14:paraId="1A15054B" w14:textId="77777777" w:rsidR="00424B7B" w:rsidRPr="00427668" w:rsidRDefault="00424B7B" w:rsidP="00A351F7">
            <w:pPr>
              <w:pStyle w:val="NoSpacing"/>
              <w:jc w:val="center"/>
              <w:rPr>
                <w:rFonts w:ascii="Times New Roman" w:hAnsi="Times New Roman" w:cs="Times New Roman"/>
                <w:szCs w:val="24"/>
              </w:rPr>
            </w:pPr>
            <w:r w:rsidRPr="00427668">
              <w:rPr>
                <w:rFonts w:ascii="Times New Roman" w:hAnsi="Times New Roman" w:cs="Times New Roman"/>
                <w:szCs w:val="24"/>
              </w:rPr>
              <w:t>325</w:t>
            </w:r>
          </w:p>
        </w:tc>
        <w:tc>
          <w:tcPr>
            <w:tcW w:w="0" w:type="auto"/>
            <w:vAlign w:val="center"/>
            <w:hideMark/>
          </w:tcPr>
          <w:p w14:paraId="3378CE89" w14:textId="77777777" w:rsidR="00424B7B" w:rsidRPr="00427668" w:rsidRDefault="00424B7B" w:rsidP="00A351F7">
            <w:pPr>
              <w:pStyle w:val="NoSpacing"/>
              <w:jc w:val="center"/>
              <w:rPr>
                <w:rFonts w:ascii="Times New Roman" w:hAnsi="Times New Roman" w:cs="Times New Roman"/>
                <w:szCs w:val="24"/>
              </w:rPr>
            </w:pPr>
            <w:r w:rsidRPr="00427668">
              <w:rPr>
                <w:rFonts w:ascii="Times New Roman" w:hAnsi="Times New Roman" w:cs="Times New Roman"/>
                <w:szCs w:val="24"/>
              </w:rPr>
              <w:t>163</w:t>
            </w:r>
          </w:p>
        </w:tc>
        <w:tc>
          <w:tcPr>
            <w:tcW w:w="0" w:type="auto"/>
            <w:vAlign w:val="center"/>
            <w:hideMark/>
          </w:tcPr>
          <w:p w14:paraId="3C9831C4" w14:textId="77777777" w:rsidR="00424B7B" w:rsidRPr="00427668" w:rsidRDefault="00424B7B" w:rsidP="00A351F7">
            <w:pPr>
              <w:pStyle w:val="NoSpacing"/>
              <w:jc w:val="center"/>
              <w:rPr>
                <w:rFonts w:ascii="Times New Roman" w:hAnsi="Times New Roman" w:cs="Times New Roman"/>
                <w:szCs w:val="24"/>
              </w:rPr>
            </w:pPr>
            <w:r w:rsidRPr="00427668">
              <w:rPr>
                <w:rFonts w:ascii="Times New Roman" w:hAnsi="Times New Roman" w:cs="Times New Roman"/>
                <w:szCs w:val="24"/>
              </w:rPr>
              <w:t>128</w:t>
            </w:r>
          </w:p>
        </w:tc>
        <w:tc>
          <w:tcPr>
            <w:tcW w:w="0" w:type="auto"/>
            <w:vAlign w:val="center"/>
            <w:hideMark/>
          </w:tcPr>
          <w:p w14:paraId="35B9F76F" w14:textId="77777777" w:rsidR="00424B7B" w:rsidRPr="00427668" w:rsidRDefault="00424B7B" w:rsidP="00A351F7">
            <w:pPr>
              <w:pStyle w:val="NoSpacing"/>
              <w:jc w:val="center"/>
              <w:rPr>
                <w:rFonts w:ascii="Times New Roman" w:hAnsi="Times New Roman" w:cs="Times New Roman"/>
                <w:szCs w:val="24"/>
              </w:rPr>
            </w:pPr>
            <w:r w:rsidRPr="00427668">
              <w:rPr>
                <w:rFonts w:ascii="Times New Roman" w:hAnsi="Times New Roman" w:cs="Times New Roman"/>
                <w:szCs w:val="24"/>
              </w:rPr>
              <w:t>977</w:t>
            </w:r>
          </w:p>
        </w:tc>
        <w:tc>
          <w:tcPr>
            <w:tcW w:w="0" w:type="auto"/>
            <w:vAlign w:val="center"/>
            <w:hideMark/>
          </w:tcPr>
          <w:p w14:paraId="3A561EE3" w14:textId="77777777" w:rsidR="00424B7B" w:rsidRPr="00427668" w:rsidRDefault="00424B7B" w:rsidP="00A351F7">
            <w:pPr>
              <w:pStyle w:val="NoSpacing"/>
              <w:jc w:val="center"/>
              <w:rPr>
                <w:rFonts w:ascii="Times New Roman" w:hAnsi="Times New Roman" w:cs="Times New Roman"/>
                <w:szCs w:val="24"/>
              </w:rPr>
            </w:pPr>
            <w:r w:rsidRPr="00427668">
              <w:rPr>
                <w:rFonts w:ascii="Times New Roman" w:hAnsi="Times New Roman" w:cs="Times New Roman"/>
                <w:szCs w:val="24"/>
              </w:rPr>
              <w:t>5807</w:t>
            </w:r>
          </w:p>
        </w:tc>
      </w:tr>
      <w:tr w:rsidR="00424B7B" w:rsidRPr="00427668" w14:paraId="17B00A8F" w14:textId="77777777" w:rsidTr="00A351F7">
        <w:trPr>
          <w:trHeight w:val="292"/>
        </w:trPr>
        <w:tc>
          <w:tcPr>
            <w:tcW w:w="0" w:type="auto"/>
            <w:hideMark/>
          </w:tcPr>
          <w:p w14:paraId="3377DA47" w14:textId="77777777" w:rsidR="00424B7B" w:rsidRPr="00427668" w:rsidRDefault="00424B7B" w:rsidP="00B77C0B">
            <w:pPr>
              <w:pStyle w:val="NoSpacing"/>
              <w:rPr>
                <w:rFonts w:ascii="Times New Roman" w:hAnsi="Times New Roman" w:cs="Times New Roman"/>
                <w:szCs w:val="24"/>
              </w:rPr>
            </w:pPr>
            <w:r w:rsidRPr="00427668">
              <w:rPr>
                <w:rFonts w:ascii="Times New Roman" w:hAnsi="Times New Roman" w:cs="Times New Roman"/>
                <w:szCs w:val="24"/>
              </w:rPr>
              <w:t>Nagaland</w:t>
            </w:r>
          </w:p>
        </w:tc>
        <w:tc>
          <w:tcPr>
            <w:tcW w:w="0" w:type="auto"/>
            <w:vAlign w:val="center"/>
            <w:hideMark/>
          </w:tcPr>
          <w:p w14:paraId="17FD9DBA" w14:textId="77777777" w:rsidR="00424B7B" w:rsidRPr="00427668" w:rsidRDefault="00424B7B" w:rsidP="00A351F7">
            <w:pPr>
              <w:pStyle w:val="NoSpacing"/>
              <w:jc w:val="center"/>
              <w:rPr>
                <w:rFonts w:ascii="Times New Roman" w:hAnsi="Times New Roman" w:cs="Times New Roman"/>
                <w:szCs w:val="24"/>
              </w:rPr>
            </w:pPr>
            <w:r w:rsidRPr="00427668">
              <w:rPr>
                <w:rFonts w:ascii="Times New Roman" w:hAnsi="Times New Roman" w:cs="Times New Roman"/>
                <w:szCs w:val="24"/>
              </w:rPr>
              <w:t>..</w:t>
            </w:r>
          </w:p>
        </w:tc>
        <w:tc>
          <w:tcPr>
            <w:tcW w:w="0" w:type="auto"/>
            <w:vAlign w:val="center"/>
            <w:hideMark/>
          </w:tcPr>
          <w:p w14:paraId="7798AA6E" w14:textId="77777777" w:rsidR="00424B7B" w:rsidRPr="00427668" w:rsidRDefault="00424B7B" w:rsidP="00A351F7">
            <w:pPr>
              <w:pStyle w:val="NoSpacing"/>
              <w:jc w:val="center"/>
              <w:rPr>
                <w:rFonts w:ascii="Times New Roman" w:hAnsi="Times New Roman" w:cs="Times New Roman"/>
                <w:szCs w:val="24"/>
              </w:rPr>
            </w:pPr>
            <w:r w:rsidRPr="00427668">
              <w:rPr>
                <w:rFonts w:ascii="Times New Roman" w:hAnsi="Times New Roman" w:cs="Times New Roman"/>
                <w:szCs w:val="24"/>
              </w:rPr>
              <w:t>..</w:t>
            </w:r>
          </w:p>
        </w:tc>
        <w:tc>
          <w:tcPr>
            <w:tcW w:w="0" w:type="auto"/>
            <w:vAlign w:val="center"/>
            <w:hideMark/>
          </w:tcPr>
          <w:p w14:paraId="36CF3134" w14:textId="77777777" w:rsidR="00424B7B" w:rsidRPr="00427668" w:rsidRDefault="00424B7B" w:rsidP="00A351F7">
            <w:pPr>
              <w:pStyle w:val="NoSpacing"/>
              <w:jc w:val="center"/>
              <w:rPr>
                <w:rFonts w:ascii="Times New Roman" w:hAnsi="Times New Roman" w:cs="Times New Roman"/>
                <w:szCs w:val="24"/>
              </w:rPr>
            </w:pPr>
            <w:r w:rsidRPr="00427668">
              <w:rPr>
                <w:rFonts w:ascii="Times New Roman" w:hAnsi="Times New Roman" w:cs="Times New Roman"/>
                <w:szCs w:val="24"/>
              </w:rPr>
              <w:t>..</w:t>
            </w:r>
          </w:p>
        </w:tc>
        <w:tc>
          <w:tcPr>
            <w:tcW w:w="0" w:type="auto"/>
            <w:vAlign w:val="center"/>
            <w:hideMark/>
          </w:tcPr>
          <w:p w14:paraId="459F5974" w14:textId="77777777" w:rsidR="00424B7B" w:rsidRPr="00427668" w:rsidRDefault="00424B7B" w:rsidP="00A351F7">
            <w:pPr>
              <w:pStyle w:val="NoSpacing"/>
              <w:jc w:val="center"/>
              <w:rPr>
                <w:rFonts w:ascii="Times New Roman" w:hAnsi="Times New Roman" w:cs="Times New Roman"/>
                <w:szCs w:val="24"/>
              </w:rPr>
            </w:pPr>
            <w:r w:rsidRPr="00427668">
              <w:rPr>
                <w:rFonts w:ascii="Times New Roman" w:hAnsi="Times New Roman" w:cs="Times New Roman"/>
                <w:szCs w:val="24"/>
              </w:rPr>
              <w:t>12</w:t>
            </w:r>
          </w:p>
        </w:tc>
        <w:tc>
          <w:tcPr>
            <w:tcW w:w="0" w:type="auto"/>
            <w:vAlign w:val="center"/>
            <w:hideMark/>
          </w:tcPr>
          <w:p w14:paraId="0D378E83" w14:textId="77777777" w:rsidR="00424B7B" w:rsidRPr="00427668" w:rsidRDefault="00424B7B" w:rsidP="00A351F7">
            <w:pPr>
              <w:pStyle w:val="NoSpacing"/>
              <w:jc w:val="center"/>
              <w:rPr>
                <w:rFonts w:ascii="Times New Roman" w:hAnsi="Times New Roman" w:cs="Times New Roman"/>
                <w:szCs w:val="24"/>
              </w:rPr>
            </w:pPr>
            <w:r w:rsidRPr="00427668">
              <w:rPr>
                <w:rFonts w:ascii="Times New Roman" w:hAnsi="Times New Roman" w:cs="Times New Roman"/>
                <w:szCs w:val="24"/>
              </w:rPr>
              <w:t>12</w:t>
            </w:r>
          </w:p>
        </w:tc>
        <w:tc>
          <w:tcPr>
            <w:tcW w:w="0" w:type="auto"/>
            <w:vAlign w:val="center"/>
            <w:hideMark/>
          </w:tcPr>
          <w:p w14:paraId="2762E320" w14:textId="77777777" w:rsidR="00424B7B" w:rsidRPr="00427668" w:rsidRDefault="00424B7B" w:rsidP="00A351F7">
            <w:pPr>
              <w:pStyle w:val="NoSpacing"/>
              <w:jc w:val="center"/>
              <w:rPr>
                <w:rFonts w:ascii="Times New Roman" w:hAnsi="Times New Roman" w:cs="Times New Roman"/>
                <w:szCs w:val="24"/>
              </w:rPr>
            </w:pPr>
            <w:r w:rsidRPr="00427668">
              <w:rPr>
                <w:rFonts w:ascii="Times New Roman" w:hAnsi="Times New Roman" w:cs="Times New Roman"/>
                <w:szCs w:val="24"/>
              </w:rPr>
              <w:t>193</w:t>
            </w:r>
          </w:p>
        </w:tc>
      </w:tr>
      <w:tr w:rsidR="00424B7B" w:rsidRPr="00427668" w14:paraId="7B758994" w14:textId="77777777" w:rsidTr="00A351F7">
        <w:trPr>
          <w:trHeight w:val="304"/>
        </w:trPr>
        <w:tc>
          <w:tcPr>
            <w:tcW w:w="0" w:type="auto"/>
            <w:hideMark/>
          </w:tcPr>
          <w:p w14:paraId="5791D1CF" w14:textId="77777777" w:rsidR="00424B7B" w:rsidRPr="00427668" w:rsidRDefault="00424B7B" w:rsidP="00B77C0B">
            <w:pPr>
              <w:pStyle w:val="NoSpacing"/>
              <w:rPr>
                <w:rFonts w:ascii="Times New Roman" w:hAnsi="Times New Roman" w:cs="Times New Roman"/>
                <w:szCs w:val="24"/>
              </w:rPr>
            </w:pPr>
            <w:r w:rsidRPr="00427668">
              <w:rPr>
                <w:rFonts w:ascii="Times New Roman" w:hAnsi="Times New Roman" w:cs="Times New Roman"/>
                <w:szCs w:val="24"/>
              </w:rPr>
              <w:t>Orissa</w:t>
            </w:r>
          </w:p>
        </w:tc>
        <w:tc>
          <w:tcPr>
            <w:tcW w:w="0" w:type="auto"/>
            <w:vAlign w:val="center"/>
            <w:hideMark/>
          </w:tcPr>
          <w:p w14:paraId="102AE571" w14:textId="77777777" w:rsidR="00424B7B" w:rsidRPr="00427668" w:rsidRDefault="00424B7B" w:rsidP="00A351F7">
            <w:pPr>
              <w:pStyle w:val="NoSpacing"/>
              <w:jc w:val="center"/>
              <w:rPr>
                <w:rFonts w:ascii="Times New Roman" w:hAnsi="Times New Roman" w:cs="Times New Roman"/>
                <w:szCs w:val="24"/>
              </w:rPr>
            </w:pPr>
            <w:r w:rsidRPr="00427668">
              <w:rPr>
                <w:rFonts w:ascii="Times New Roman" w:hAnsi="Times New Roman" w:cs="Times New Roman"/>
                <w:szCs w:val="24"/>
              </w:rPr>
              <w:t>225</w:t>
            </w:r>
          </w:p>
        </w:tc>
        <w:tc>
          <w:tcPr>
            <w:tcW w:w="0" w:type="auto"/>
            <w:vAlign w:val="center"/>
            <w:hideMark/>
          </w:tcPr>
          <w:p w14:paraId="58B0E176" w14:textId="77777777" w:rsidR="00424B7B" w:rsidRPr="00427668" w:rsidRDefault="00424B7B" w:rsidP="00A351F7">
            <w:pPr>
              <w:pStyle w:val="NoSpacing"/>
              <w:jc w:val="center"/>
              <w:rPr>
                <w:rFonts w:ascii="Times New Roman" w:hAnsi="Times New Roman" w:cs="Times New Roman"/>
                <w:szCs w:val="24"/>
              </w:rPr>
            </w:pPr>
            <w:r w:rsidRPr="00427668">
              <w:rPr>
                <w:rFonts w:ascii="Times New Roman" w:hAnsi="Times New Roman" w:cs="Times New Roman"/>
                <w:szCs w:val="24"/>
              </w:rPr>
              <w:t>495</w:t>
            </w:r>
          </w:p>
        </w:tc>
        <w:tc>
          <w:tcPr>
            <w:tcW w:w="0" w:type="auto"/>
            <w:vAlign w:val="center"/>
            <w:hideMark/>
          </w:tcPr>
          <w:p w14:paraId="14C65BAA" w14:textId="77777777" w:rsidR="00424B7B" w:rsidRPr="00427668" w:rsidRDefault="00424B7B" w:rsidP="00A351F7">
            <w:pPr>
              <w:pStyle w:val="NoSpacing"/>
              <w:jc w:val="center"/>
              <w:rPr>
                <w:rFonts w:ascii="Times New Roman" w:hAnsi="Times New Roman" w:cs="Times New Roman"/>
                <w:szCs w:val="24"/>
              </w:rPr>
            </w:pPr>
            <w:r w:rsidRPr="00427668">
              <w:rPr>
                <w:rFonts w:ascii="Times New Roman" w:hAnsi="Times New Roman" w:cs="Times New Roman"/>
                <w:szCs w:val="24"/>
              </w:rPr>
              <w:t>38</w:t>
            </w:r>
          </w:p>
        </w:tc>
        <w:tc>
          <w:tcPr>
            <w:tcW w:w="0" w:type="auto"/>
            <w:vAlign w:val="center"/>
            <w:hideMark/>
          </w:tcPr>
          <w:p w14:paraId="18B73C89" w14:textId="77777777" w:rsidR="00424B7B" w:rsidRPr="00427668" w:rsidRDefault="00424B7B" w:rsidP="00A351F7">
            <w:pPr>
              <w:pStyle w:val="NoSpacing"/>
              <w:jc w:val="center"/>
              <w:rPr>
                <w:rFonts w:ascii="Times New Roman" w:hAnsi="Times New Roman" w:cs="Times New Roman"/>
                <w:szCs w:val="24"/>
              </w:rPr>
            </w:pPr>
            <w:r w:rsidRPr="00427668">
              <w:rPr>
                <w:rFonts w:ascii="Times New Roman" w:hAnsi="Times New Roman" w:cs="Times New Roman"/>
                <w:szCs w:val="24"/>
              </w:rPr>
              <w:t>219</w:t>
            </w:r>
          </w:p>
        </w:tc>
        <w:tc>
          <w:tcPr>
            <w:tcW w:w="0" w:type="auto"/>
            <w:vAlign w:val="center"/>
            <w:hideMark/>
          </w:tcPr>
          <w:p w14:paraId="489A1AF4" w14:textId="77777777" w:rsidR="00424B7B" w:rsidRPr="00427668" w:rsidRDefault="00424B7B" w:rsidP="00A351F7">
            <w:pPr>
              <w:pStyle w:val="NoSpacing"/>
              <w:jc w:val="center"/>
              <w:rPr>
                <w:rFonts w:ascii="Times New Roman" w:hAnsi="Times New Roman" w:cs="Times New Roman"/>
                <w:szCs w:val="24"/>
              </w:rPr>
            </w:pPr>
            <w:r w:rsidRPr="00427668">
              <w:rPr>
                <w:rFonts w:ascii="Times New Roman" w:hAnsi="Times New Roman" w:cs="Times New Roman"/>
                <w:szCs w:val="24"/>
              </w:rPr>
              <w:t>977</w:t>
            </w:r>
          </w:p>
        </w:tc>
        <w:tc>
          <w:tcPr>
            <w:tcW w:w="0" w:type="auto"/>
            <w:vAlign w:val="center"/>
            <w:hideMark/>
          </w:tcPr>
          <w:p w14:paraId="5B08CB8B" w14:textId="77777777" w:rsidR="00424B7B" w:rsidRPr="00427668" w:rsidRDefault="00424B7B" w:rsidP="00A351F7">
            <w:pPr>
              <w:pStyle w:val="NoSpacing"/>
              <w:jc w:val="center"/>
              <w:rPr>
                <w:rFonts w:ascii="Times New Roman" w:hAnsi="Times New Roman" w:cs="Times New Roman"/>
                <w:szCs w:val="24"/>
              </w:rPr>
            </w:pPr>
            <w:r w:rsidRPr="00427668">
              <w:rPr>
                <w:rFonts w:ascii="Times New Roman" w:hAnsi="Times New Roman" w:cs="Times New Roman"/>
                <w:szCs w:val="24"/>
              </w:rPr>
              <w:t>4353</w:t>
            </w:r>
          </w:p>
        </w:tc>
      </w:tr>
      <w:tr w:rsidR="00424B7B" w:rsidRPr="00427668" w14:paraId="733A91A5" w14:textId="77777777" w:rsidTr="00A351F7">
        <w:trPr>
          <w:trHeight w:val="292"/>
        </w:trPr>
        <w:tc>
          <w:tcPr>
            <w:tcW w:w="0" w:type="auto"/>
            <w:hideMark/>
          </w:tcPr>
          <w:p w14:paraId="672BFD28" w14:textId="77777777" w:rsidR="00424B7B" w:rsidRPr="00427668" w:rsidRDefault="00424B7B" w:rsidP="00B77C0B">
            <w:pPr>
              <w:pStyle w:val="NoSpacing"/>
              <w:rPr>
                <w:rFonts w:ascii="Times New Roman" w:hAnsi="Times New Roman" w:cs="Times New Roman"/>
                <w:szCs w:val="24"/>
              </w:rPr>
            </w:pPr>
            <w:r w:rsidRPr="00427668">
              <w:rPr>
                <w:rFonts w:ascii="Times New Roman" w:hAnsi="Times New Roman" w:cs="Times New Roman"/>
                <w:szCs w:val="24"/>
              </w:rPr>
              <w:t>Punjab</w:t>
            </w:r>
          </w:p>
        </w:tc>
        <w:tc>
          <w:tcPr>
            <w:tcW w:w="0" w:type="auto"/>
            <w:vAlign w:val="center"/>
            <w:hideMark/>
          </w:tcPr>
          <w:p w14:paraId="1D9BD441" w14:textId="77777777" w:rsidR="00424B7B" w:rsidRPr="00427668" w:rsidRDefault="00424B7B" w:rsidP="00A351F7">
            <w:pPr>
              <w:pStyle w:val="NoSpacing"/>
              <w:jc w:val="center"/>
              <w:rPr>
                <w:rFonts w:ascii="Times New Roman" w:hAnsi="Times New Roman" w:cs="Times New Roman"/>
                <w:szCs w:val="24"/>
              </w:rPr>
            </w:pPr>
            <w:r w:rsidRPr="00427668">
              <w:rPr>
                <w:rFonts w:ascii="Times New Roman" w:hAnsi="Times New Roman" w:cs="Times New Roman"/>
                <w:szCs w:val="24"/>
              </w:rPr>
              <w:t>1295</w:t>
            </w:r>
          </w:p>
        </w:tc>
        <w:tc>
          <w:tcPr>
            <w:tcW w:w="0" w:type="auto"/>
            <w:vAlign w:val="center"/>
            <w:hideMark/>
          </w:tcPr>
          <w:p w14:paraId="7E2A8A97" w14:textId="75A802C9" w:rsidR="00424B7B" w:rsidRPr="00427668" w:rsidRDefault="002A2890" w:rsidP="00A351F7">
            <w:pPr>
              <w:pStyle w:val="NoSpacing"/>
              <w:jc w:val="center"/>
              <w:rPr>
                <w:rFonts w:ascii="Times New Roman" w:hAnsi="Times New Roman" w:cs="Times New Roman"/>
                <w:szCs w:val="24"/>
              </w:rPr>
            </w:pPr>
            <w:r w:rsidRPr="00427668">
              <w:rPr>
                <w:rFonts w:ascii="Times New Roman" w:hAnsi="Times New Roman" w:cs="Times New Roman"/>
                <w:szCs w:val="24"/>
              </w:rPr>
              <w:t>4</w:t>
            </w:r>
          </w:p>
        </w:tc>
        <w:tc>
          <w:tcPr>
            <w:tcW w:w="0" w:type="auto"/>
            <w:vAlign w:val="center"/>
            <w:hideMark/>
          </w:tcPr>
          <w:p w14:paraId="4113BFE9" w14:textId="77777777" w:rsidR="00424B7B" w:rsidRPr="00427668" w:rsidRDefault="00424B7B" w:rsidP="00A351F7">
            <w:pPr>
              <w:pStyle w:val="NoSpacing"/>
              <w:jc w:val="center"/>
              <w:rPr>
                <w:rFonts w:ascii="Times New Roman" w:hAnsi="Times New Roman" w:cs="Times New Roman"/>
                <w:szCs w:val="24"/>
              </w:rPr>
            </w:pPr>
            <w:r w:rsidRPr="00427668">
              <w:rPr>
                <w:rFonts w:ascii="Times New Roman" w:hAnsi="Times New Roman" w:cs="Times New Roman"/>
                <w:szCs w:val="24"/>
              </w:rPr>
              <w:t>887</w:t>
            </w:r>
          </w:p>
        </w:tc>
        <w:tc>
          <w:tcPr>
            <w:tcW w:w="0" w:type="auto"/>
            <w:vAlign w:val="center"/>
            <w:hideMark/>
          </w:tcPr>
          <w:p w14:paraId="2DB62DA1" w14:textId="77777777" w:rsidR="00424B7B" w:rsidRPr="00427668" w:rsidRDefault="00424B7B" w:rsidP="00A351F7">
            <w:pPr>
              <w:pStyle w:val="NoSpacing"/>
              <w:jc w:val="center"/>
              <w:rPr>
                <w:rFonts w:ascii="Times New Roman" w:hAnsi="Times New Roman" w:cs="Times New Roman"/>
                <w:szCs w:val="24"/>
              </w:rPr>
            </w:pPr>
            <w:r w:rsidRPr="00427668">
              <w:rPr>
                <w:rFonts w:ascii="Times New Roman" w:hAnsi="Times New Roman" w:cs="Times New Roman"/>
                <w:szCs w:val="24"/>
              </w:rPr>
              <w:t>77</w:t>
            </w:r>
          </w:p>
        </w:tc>
        <w:tc>
          <w:tcPr>
            <w:tcW w:w="0" w:type="auto"/>
            <w:vAlign w:val="center"/>
            <w:hideMark/>
          </w:tcPr>
          <w:p w14:paraId="4101471D" w14:textId="77777777" w:rsidR="00424B7B" w:rsidRPr="00427668" w:rsidRDefault="00424B7B" w:rsidP="00A351F7">
            <w:pPr>
              <w:pStyle w:val="NoSpacing"/>
              <w:jc w:val="center"/>
              <w:rPr>
                <w:rFonts w:ascii="Times New Roman" w:hAnsi="Times New Roman" w:cs="Times New Roman"/>
                <w:szCs w:val="24"/>
              </w:rPr>
            </w:pPr>
            <w:r w:rsidRPr="00427668">
              <w:rPr>
                <w:rFonts w:ascii="Times New Roman" w:hAnsi="Times New Roman" w:cs="Times New Roman"/>
                <w:szCs w:val="24"/>
              </w:rPr>
              <w:t>2263</w:t>
            </w:r>
          </w:p>
        </w:tc>
        <w:tc>
          <w:tcPr>
            <w:tcW w:w="0" w:type="auto"/>
            <w:vAlign w:val="center"/>
            <w:hideMark/>
          </w:tcPr>
          <w:p w14:paraId="69120444" w14:textId="77777777" w:rsidR="00424B7B" w:rsidRPr="00427668" w:rsidRDefault="00424B7B" w:rsidP="00A351F7">
            <w:pPr>
              <w:pStyle w:val="NoSpacing"/>
              <w:jc w:val="center"/>
              <w:rPr>
                <w:rFonts w:ascii="Times New Roman" w:hAnsi="Times New Roman" w:cs="Times New Roman"/>
                <w:szCs w:val="24"/>
              </w:rPr>
            </w:pPr>
            <w:r w:rsidRPr="00427668">
              <w:rPr>
                <w:rFonts w:ascii="Times New Roman" w:hAnsi="Times New Roman" w:cs="Times New Roman"/>
                <w:szCs w:val="24"/>
              </w:rPr>
              <w:t>1603</w:t>
            </w:r>
          </w:p>
        </w:tc>
      </w:tr>
      <w:tr w:rsidR="00424B7B" w:rsidRPr="00427668" w14:paraId="538D2850" w14:textId="77777777" w:rsidTr="00A351F7">
        <w:trPr>
          <w:trHeight w:val="292"/>
        </w:trPr>
        <w:tc>
          <w:tcPr>
            <w:tcW w:w="0" w:type="auto"/>
            <w:hideMark/>
          </w:tcPr>
          <w:p w14:paraId="28F26B31" w14:textId="77777777" w:rsidR="00424B7B" w:rsidRPr="00427668" w:rsidRDefault="00424B7B" w:rsidP="00B77C0B">
            <w:pPr>
              <w:pStyle w:val="NoSpacing"/>
              <w:rPr>
                <w:rFonts w:ascii="Times New Roman" w:hAnsi="Times New Roman" w:cs="Times New Roman"/>
                <w:szCs w:val="24"/>
              </w:rPr>
            </w:pPr>
            <w:r w:rsidRPr="00427668">
              <w:rPr>
                <w:rFonts w:ascii="Times New Roman" w:hAnsi="Times New Roman" w:cs="Times New Roman"/>
                <w:szCs w:val="24"/>
              </w:rPr>
              <w:t>Rajasthan</w:t>
            </w:r>
          </w:p>
        </w:tc>
        <w:tc>
          <w:tcPr>
            <w:tcW w:w="0" w:type="auto"/>
            <w:vAlign w:val="center"/>
            <w:hideMark/>
          </w:tcPr>
          <w:p w14:paraId="77070134" w14:textId="77777777" w:rsidR="00424B7B" w:rsidRPr="00427668" w:rsidRDefault="00424B7B" w:rsidP="00A351F7">
            <w:pPr>
              <w:pStyle w:val="NoSpacing"/>
              <w:jc w:val="center"/>
              <w:rPr>
                <w:rFonts w:ascii="Times New Roman" w:hAnsi="Times New Roman" w:cs="Times New Roman"/>
                <w:szCs w:val="24"/>
              </w:rPr>
            </w:pPr>
            <w:r w:rsidRPr="00427668">
              <w:rPr>
                <w:rFonts w:ascii="Times New Roman" w:hAnsi="Times New Roman" w:cs="Times New Roman"/>
                <w:szCs w:val="24"/>
              </w:rPr>
              <w:t>487</w:t>
            </w:r>
          </w:p>
        </w:tc>
        <w:tc>
          <w:tcPr>
            <w:tcW w:w="0" w:type="auto"/>
            <w:vAlign w:val="center"/>
            <w:hideMark/>
          </w:tcPr>
          <w:p w14:paraId="62C60FE4" w14:textId="77777777" w:rsidR="00424B7B" w:rsidRPr="00427668" w:rsidRDefault="00424B7B" w:rsidP="00A351F7">
            <w:pPr>
              <w:pStyle w:val="NoSpacing"/>
              <w:jc w:val="center"/>
              <w:rPr>
                <w:rFonts w:ascii="Times New Roman" w:hAnsi="Times New Roman" w:cs="Times New Roman"/>
                <w:szCs w:val="24"/>
              </w:rPr>
            </w:pPr>
            <w:r w:rsidRPr="00427668">
              <w:rPr>
                <w:rFonts w:ascii="Times New Roman" w:hAnsi="Times New Roman" w:cs="Times New Roman"/>
                <w:szCs w:val="24"/>
              </w:rPr>
              <w:t>203</w:t>
            </w:r>
          </w:p>
        </w:tc>
        <w:tc>
          <w:tcPr>
            <w:tcW w:w="0" w:type="auto"/>
            <w:vAlign w:val="center"/>
            <w:hideMark/>
          </w:tcPr>
          <w:p w14:paraId="635C7C29" w14:textId="77777777" w:rsidR="00424B7B" w:rsidRPr="00427668" w:rsidRDefault="00424B7B" w:rsidP="00A351F7">
            <w:pPr>
              <w:pStyle w:val="NoSpacing"/>
              <w:jc w:val="center"/>
              <w:rPr>
                <w:rFonts w:ascii="Times New Roman" w:hAnsi="Times New Roman" w:cs="Times New Roman"/>
                <w:szCs w:val="24"/>
              </w:rPr>
            </w:pPr>
            <w:r w:rsidRPr="00427668">
              <w:rPr>
                <w:rFonts w:ascii="Times New Roman" w:hAnsi="Times New Roman" w:cs="Times New Roman"/>
                <w:szCs w:val="24"/>
              </w:rPr>
              <w:t>1023</w:t>
            </w:r>
          </w:p>
        </w:tc>
        <w:tc>
          <w:tcPr>
            <w:tcW w:w="0" w:type="auto"/>
            <w:vAlign w:val="center"/>
            <w:hideMark/>
          </w:tcPr>
          <w:p w14:paraId="6E142508" w14:textId="77777777" w:rsidR="00424B7B" w:rsidRPr="00427668" w:rsidRDefault="00424B7B" w:rsidP="00A351F7">
            <w:pPr>
              <w:pStyle w:val="NoSpacing"/>
              <w:jc w:val="center"/>
              <w:rPr>
                <w:rFonts w:ascii="Times New Roman" w:hAnsi="Times New Roman" w:cs="Times New Roman"/>
                <w:szCs w:val="24"/>
              </w:rPr>
            </w:pPr>
            <w:r w:rsidRPr="00427668">
              <w:rPr>
                <w:rFonts w:ascii="Times New Roman" w:hAnsi="Times New Roman" w:cs="Times New Roman"/>
                <w:szCs w:val="24"/>
              </w:rPr>
              <w:t>40</w:t>
            </w:r>
          </w:p>
        </w:tc>
        <w:tc>
          <w:tcPr>
            <w:tcW w:w="0" w:type="auto"/>
            <w:vAlign w:val="center"/>
            <w:hideMark/>
          </w:tcPr>
          <w:p w14:paraId="15DD9294" w14:textId="77777777" w:rsidR="00424B7B" w:rsidRPr="00427668" w:rsidRDefault="00424B7B" w:rsidP="00A351F7">
            <w:pPr>
              <w:pStyle w:val="NoSpacing"/>
              <w:jc w:val="center"/>
              <w:rPr>
                <w:rFonts w:ascii="Times New Roman" w:hAnsi="Times New Roman" w:cs="Times New Roman"/>
                <w:szCs w:val="24"/>
              </w:rPr>
            </w:pPr>
            <w:r w:rsidRPr="00427668">
              <w:rPr>
                <w:rFonts w:ascii="Times New Roman" w:hAnsi="Times New Roman" w:cs="Times New Roman"/>
                <w:szCs w:val="24"/>
              </w:rPr>
              <w:t>1753</w:t>
            </w:r>
          </w:p>
        </w:tc>
        <w:tc>
          <w:tcPr>
            <w:tcW w:w="0" w:type="auto"/>
            <w:vAlign w:val="center"/>
            <w:hideMark/>
          </w:tcPr>
          <w:p w14:paraId="704CF62E" w14:textId="77777777" w:rsidR="00424B7B" w:rsidRPr="00427668" w:rsidRDefault="00424B7B" w:rsidP="00A351F7">
            <w:pPr>
              <w:pStyle w:val="NoSpacing"/>
              <w:jc w:val="center"/>
              <w:rPr>
                <w:rFonts w:ascii="Times New Roman" w:hAnsi="Times New Roman" w:cs="Times New Roman"/>
                <w:szCs w:val="24"/>
              </w:rPr>
            </w:pPr>
            <w:r w:rsidRPr="00427668">
              <w:rPr>
                <w:rFonts w:ascii="Times New Roman" w:hAnsi="Times New Roman" w:cs="Times New Roman"/>
                <w:szCs w:val="24"/>
              </w:rPr>
              <w:t>7055</w:t>
            </w:r>
          </w:p>
        </w:tc>
      </w:tr>
      <w:tr w:rsidR="00424B7B" w:rsidRPr="00427668" w14:paraId="7AE45F19" w14:textId="77777777" w:rsidTr="00A351F7">
        <w:trPr>
          <w:trHeight w:val="304"/>
        </w:trPr>
        <w:tc>
          <w:tcPr>
            <w:tcW w:w="0" w:type="auto"/>
            <w:hideMark/>
          </w:tcPr>
          <w:p w14:paraId="69506A97" w14:textId="77777777" w:rsidR="00424B7B" w:rsidRPr="00427668" w:rsidRDefault="00424B7B" w:rsidP="00B77C0B">
            <w:pPr>
              <w:pStyle w:val="NoSpacing"/>
              <w:rPr>
                <w:rFonts w:ascii="Times New Roman" w:hAnsi="Times New Roman" w:cs="Times New Roman"/>
                <w:szCs w:val="24"/>
              </w:rPr>
            </w:pPr>
            <w:r w:rsidRPr="00427668">
              <w:rPr>
                <w:rFonts w:ascii="Times New Roman" w:hAnsi="Times New Roman" w:cs="Times New Roman"/>
                <w:szCs w:val="24"/>
              </w:rPr>
              <w:t>Tamil Nadu</w:t>
            </w:r>
          </w:p>
        </w:tc>
        <w:tc>
          <w:tcPr>
            <w:tcW w:w="0" w:type="auto"/>
            <w:vAlign w:val="center"/>
            <w:hideMark/>
          </w:tcPr>
          <w:p w14:paraId="4D16016A" w14:textId="77777777" w:rsidR="00424B7B" w:rsidRPr="00427668" w:rsidRDefault="00424B7B" w:rsidP="00A351F7">
            <w:pPr>
              <w:pStyle w:val="NoSpacing"/>
              <w:jc w:val="center"/>
              <w:rPr>
                <w:rFonts w:ascii="Times New Roman" w:hAnsi="Times New Roman" w:cs="Times New Roman"/>
                <w:szCs w:val="24"/>
              </w:rPr>
            </w:pPr>
            <w:r w:rsidRPr="00427668">
              <w:rPr>
                <w:rFonts w:ascii="Times New Roman" w:hAnsi="Times New Roman" w:cs="Times New Roman"/>
                <w:szCs w:val="24"/>
              </w:rPr>
              <w:t>799</w:t>
            </w:r>
          </w:p>
        </w:tc>
        <w:tc>
          <w:tcPr>
            <w:tcW w:w="0" w:type="auto"/>
            <w:vAlign w:val="center"/>
            <w:hideMark/>
          </w:tcPr>
          <w:p w14:paraId="60412230" w14:textId="77777777" w:rsidR="00424B7B" w:rsidRPr="00427668" w:rsidRDefault="00424B7B" w:rsidP="00A351F7">
            <w:pPr>
              <w:pStyle w:val="NoSpacing"/>
              <w:jc w:val="center"/>
              <w:rPr>
                <w:rFonts w:ascii="Times New Roman" w:hAnsi="Times New Roman" w:cs="Times New Roman"/>
                <w:szCs w:val="24"/>
              </w:rPr>
            </w:pPr>
            <w:r w:rsidRPr="00427668">
              <w:rPr>
                <w:rFonts w:ascii="Times New Roman" w:hAnsi="Times New Roman" w:cs="Times New Roman"/>
                <w:szCs w:val="24"/>
              </w:rPr>
              <w:t>903</w:t>
            </w:r>
          </w:p>
        </w:tc>
        <w:tc>
          <w:tcPr>
            <w:tcW w:w="0" w:type="auto"/>
            <w:vAlign w:val="center"/>
            <w:hideMark/>
          </w:tcPr>
          <w:p w14:paraId="3DC96DBE" w14:textId="77777777" w:rsidR="00424B7B" w:rsidRPr="00427668" w:rsidRDefault="00424B7B" w:rsidP="00A351F7">
            <w:pPr>
              <w:pStyle w:val="NoSpacing"/>
              <w:jc w:val="center"/>
              <w:rPr>
                <w:rFonts w:ascii="Times New Roman" w:hAnsi="Times New Roman" w:cs="Times New Roman"/>
                <w:szCs w:val="24"/>
              </w:rPr>
            </w:pPr>
            <w:r w:rsidRPr="00427668">
              <w:rPr>
                <w:rFonts w:ascii="Times New Roman" w:hAnsi="Times New Roman" w:cs="Times New Roman"/>
                <w:szCs w:val="24"/>
              </w:rPr>
              <w:t>659</w:t>
            </w:r>
          </w:p>
        </w:tc>
        <w:tc>
          <w:tcPr>
            <w:tcW w:w="0" w:type="auto"/>
            <w:vAlign w:val="center"/>
            <w:hideMark/>
          </w:tcPr>
          <w:p w14:paraId="7383F7D9" w14:textId="77777777" w:rsidR="00424B7B" w:rsidRPr="00427668" w:rsidRDefault="00424B7B" w:rsidP="00A351F7">
            <w:pPr>
              <w:pStyle w:val="NoSpacing"/>
              <w:jc w:val="center"/>
              <w:rPr>
                <w:rFonts w:ascii="Times New Roman" w:hAnsi="Times New Roman" w:cs="Times New Roman"/>
                <w:szCs w:val="24"/>
              </w:rPr>
            </w:pPr>
            <w:r w:rsidRPr="00427668">
              <w:rPr>
                <w:rFonts w:ascii="Times New Roman" w:hAnsi="Times New Roman" w:cs="Times New Roman"/>
                <w:szCs w:val="24"/>
              </w:rPr>
              <w:t>38</w:t>
            </w:r>
          </w:p>
        </w:tc>
        <w:tc>
          <w:tcPr>
            <w:tcW w:w="0" w:type="auto"/>
            <w:vAlign w:val="center"/>
            <w:hideMark/>
          </w:tcPr>
          <w:p w14:paraId="28C83A44" w14:textId="77777777" w:rsidR="00424B7B" w:rsidRPr="00427668" w:rsidRDefault="00424B7B" w:rsidP="00A351F7">
            <w:pPr>
              <w:pStyle w:val="NoSpacing"/>
              <w:jc w:val="center"/>
              <w:rPr>
                <w:rFonts w:ascii="Times New Roman" w:hAnsi="Times New Roman" w:cs="Times New Roman"/>
                <w:szCs w:val="24"/>
              </w:rPr>
            </w:pPr>
            <w:r w:rsidRPr="00427668">
              <w:rPr>
                <w:rFonts w:ascii="Times New Roman" w:hAnsi="Times New Roman" w:cs="Times New Roman"/>
                <w:szCs w:val="24"/>
              </w:rPr>
              <w:t>2399</w:t>
            </w:r>
          </w:p>
        </w:tc>
        <w:tc>
          <w:tcPr>
            <w:tcW w:w="0" w:type="auto"/>
            <w:vAlign w:val="center"/>
            <w:hideMark/>
          </w:tcPr>
          <w:p w14:paraId="2470150D" w14:textId="77777777" w:rsidR="00424B7B" w:rsidRPr="00427668" w:rsidRDefault="00424B7B" w:rsidP="00A351F7">
            <w:pPr>
              <w:pStyle w:val="NoSpacing"/>
              <w:jc w:val="center"/>
              <w:rPr>
                <w:rFonts w:ascii="Times New Roman" w:hAnsi="Times New Roman" w:cs="Times New Roman"/>
                <w:szCs w:val="24"/>
              </w:rPr>
            </w:pPr>
            <w:r w:rsidRPr="00427668">
              <w:rPr>
                <w:rFonts w:ascii="Times New Roman" w:hAnsi="Times New Roman" w:cs="Times New Roman"/>
                <w:szCs w:val="24"/>
              </w:rPr>
              <w:t>6458</w:t>
            </w:r>
          </w:p>
        </w:tc>
      </w:tr>
      <w:tr w:rsidR="00424B7B" w:rsidRPr="00427668" w14:paraId="1840AD2A" w14:textId="77777777" w:rsidTr="00A351F7">
        <w:trPr>
          <w:trHeight w:val="292"/>
        </w:trPr>
        <w:tc>
          <w:tcPr>
            <w:tcW w:w="0" w:type="auto"/>
            <w:hideMark/>
          </w:tcPr>
          <w:p w14:paraId="262137F2" w14:textId="77777777" w:rsidR="00424B7B" w:rsidRPr="00427668" w:rsidRDefault="00424B7B" w:rsidP="00B77C0B">
            <w:pPr>
              <w:pStyle w:val="NoSpacing"/>
              <w:rPr>
                <w:rFonts w:ascii="Times New Roman" w:hAnsi="Times New Roman" w:cs="Times New Roman"/>
                <w:szCs w:val="24"/>
              </w:rPr>
            </w:pPr>
            <w:r w:rsidRPr="00427668">
              <w:rPr>
                <w:rFonts w:ascii="Times New Roman" w:hAnsi="Times New Roman" w:cs="Times New Roman"/>
                <w:szCs w:val="24"/>
              </w:rPr>
              <w:t>Uttar Pradesh</w:t>
            </w:r>
          </w:p>
        </w:tc>
        <w:tc>
          <w:tcPr>
            <w:tcW w:w="0" w:type="auto"/>
            <w:vAlign w:val="center"/>
            <w:hideMark/>
          </w:tcPr>
          <w:p w14:paraId="636C0E1D" w14:textId="77777777" w:rsidR="00424B7B" w:rsidRPr="00427668" w:rsidRDefault="00424B7B" w:rsidP="00A351F7">
            <w:pPr>
              <w:pStyle w:val="NoSpacing"/>
              <w:jc w:val="center"/>
              <w:rPr>
                <w:rFonts w:ascii="Times New Roman" w:hAnsi="Times New Roman" w:cs="Times New Roman"/>
                <w:szCs w:val="24"/>
              </w:rPr>
            </w:pPr>
            <w:r w:rsidRPr="00427668">
              <w:rPr>
                <w:rFonts w:ascii="Times New Roman" w:hAnsi="Times New Roman" w:cs="Times New Roman"/>
                <w:szCs w:val="24"/>
              </w:rPr>
              <w:t>2300</w:t>
            </w:r>
          </w:p>
        </w:tc>
        <w:tc>
          <w:tcPr>
            <w:tcW w:w="0" w:type="auto"/>
            <w:vAlign w:val="center"/>
            <w:hideMark/>
          </w:tcPr>
          <w:p w14:paraId="43664826" w14:textId="77777777" w:rsidR="00424B7B" w:rsidRPr="00427668" w:rsidRDefault="00424B7B" w:rsidP="00A351F7">
            <w:pPr>
              <w:pStyle w:val="NoSpacing"/>
              <w:jc w:val="center"/>
              <w:rPr>
                <w:rFonts w:ascii="Times New Roman" w:hAnsi="Times New Roman" w:cs="Times New Roman"/>
                <w:szCs w:val="24"/>
              </w:rPr>
            </w:pPr>
            <w:r w:rsidRPr="00427668">
              <w:rPr>
                <w:rFonts w:ascii="Times New Roman" w:hAnsi="Times New Roman" w:cs="Times New Roman"/>
                <w:szCs w:val="24"/>
              </w:rPr>
              <w:t>391</w:t>
            </w:r>
          </w:p>
        </w:tc>
        <w:tc>
          <w:tcPr>
            <w:tcW w:w="0" w:type="auto"/>
            <w:vAlign w:val="center"/>
            <w:hideMark/>
          </w:tcPr>
          <w:p w14:paraId="45EABCEF" w14:textId="77777777" w:rsidR="00424B7B" w:rsidRPr="00427668" w:rsidRDefault="00424B7B" w:rsidP="00A351F7">
            <w:pPr>
              <w:pStyle w:val="NoSpacing"/>
              <w:jc w:val="center"/>
              <w:rPr>
                <w:rFonts w:ascii="Times New Roman" w:hAnsi="Times New Roman" w:cs="Times New Roman"/>
                <w:szCs w:val="24"/>
              </w:rPr>
            </w:pPr>
            <w:r w:rsidRPr="00427668">
              <w:rPr>
                <w:rFonts w:ascii="Times New Roman" w:hAnsi="Times New Roman" w:cs="Times New Roman"/>
                <w:szCs w:val="24"/>
              </w:rPr>
              <w:t>2905</w:t>
            </w:r>
          </w:p>
        </w:tc>
        <w:tc>
          <w:tcPr>
            <w:tcW w:w="0" w:type="auto"/>
            <w:vAlign w:val="center"/>
            <w:hideMark/>
          </w:tcPr>
          <w:p w14:paraId="595F0293" w14:textId="77777777" w:rsidR="00424B7B" w:rsidRPr="00427668" w:rsidRDefault="00424B7B" w:rsidP="00A351F7">
            <w:pPr>
              <w:pStyle w:val="NoSpacing"/>
              <w:jc w:val="center"/>
              <w:rPr>
                <w:rFonts w:ascii="Times New Roman" w:hAnsi="Times New Roman" w:cs="Times New Roman"/>
                <w:szCs w:val="24"/>
              </w:rPr>
            </w:pPr>
            <w:r w:rsidRPr="00427668">
              <w:rPr>
                <w:rFonts w:ascii="Times New Roman" w:hAnsi="Times New Roman" w:cs="Times New Roman"/>
                <w:szCs w:val="24"/>
              </w:rPr>
              <w:t>279</w:t>
            </w:r>
          </w:p>
        </w:tc>
        <w:tc>
          <w:tcPr>
            <w:tcW w:w="0" w:type="auto"/>
            <w:vAlign w:val="center"/>
            <w:hideMark/>
          </w:tcPr>
          <w:p w14:paraId="2CF2B4DE" w14:textId="77777777" w:rsidR="00424B7B" w:rsidRPr="00427668" w:rsidRDefault="00424B7B" w:rsidP="00A351F7">
            <w:pPr>
              <w:pStyle w:val="NoSpacing"/>
              <w:jc w:val="center"/>
              <w:rPr>
                <w:rFonts w:ascii="Times New Roman" w:hAnsi="Times New Roman" w:cs="Times New Roman"/>
                <w:szCs w:val="24"/>
              </w:rPr>
            </w:pPr>
            <w:r w:rsidRPr="00427668">
              <w:rPr>
                <w:rFonts w:ascii="Times New Roman" w:hAnsi="Times New Roman" w:cs="Times New Roman"/>
                <w:szCs w:val="24"/>
              </w:rPr>
              <w:t>5875</w:t>
            </w:r>
          </w:p>
        </w:tc>
        <w:tc>
          <w:tcPr>
            <w:tcW w:w="0" w:type="auto"/>
            <w:vAlign w:val="center"/>
            <w:hideMark/>
          </w:tcPr>
          <w:p w14:paraId="76117EF6" w14:textId="77777777" w:rsidR="00424B7B" w:rsidRPr="00427668" w:rsidRDefault="00424B7B" w:rsidP="00A351F7">
            <w:pPr>
              <w:pStyle w:val="NoSpacing"/>
              <w:jc w:val="center"/>
              <w:rPr>
                <w:rFonts w:ascii="Times New Roman" w:hAnsi="Times New Roman" w:cs="Times New Roman"/>
                <w:szCs w:val="24"/>
              </w:rPr>
            </w:pPr>
            <w:r w:rsidRPr="00427668">
              <w:rPr>
                <w:rFonts w:ascii="Times New Roman" w:hAnsi="Times New Roman" w:cs="Times New Roman"/>
                <w:szCs w:val="24"/>
              </w:rPr>
              <w:t>18428</w:t>
            </w:r>
          </w:p>
        </w:tc>
      </w:tr>
      <w:tr w:rsidR="00424B7B" w:rsidRPr="00427668" w14:paraId="3DF9664A" w14:textId="77777777" w:rsidTr="00A351F7">
        <w:trPr>
          <w:trHeight w:val="292"/>
        </w:trPr>
        <w:tc>
          <w:tcPr>
            <w:tcW w:w="0" w:type="auto"/>
            <w:hideMark/>
          </w:tcPr>
          <w:p w14:paraId="043FD93C" w14:textId="77777777" w:rsidR="00424B7B" w:rsidRPr="00427668" w:rsidRDefault="00424B7B" w:rsidP="00B77C0B">
            <w:pPr>
              <w:pStyle w:val="NoSpacing"/>
              <w:rPr>
                <w:rFonts w:ascii="Times New Roman" w:hAnsi="Times New Roman" w:cs="Times New Roman"/>
                <w:szCs w:val="24"/>
              </w:rPr>
            </w:pPr>
            <w:r w:rsidRPr="00427668">
              <w:rPr>
                <w:rFonts w:ascii="Times New Roman" w:hAnsi="Times New Roman" w:cs="Times New Roman"/>
                <w:szCs w:val="24"/>
              </w:rPr>
              <w:t>West Bengal</w:t>
            </w:r>
          </w:p>
        </w:tc>
        <w:tc>
          <w:tcPr>
            <w:tcW w:w="0" w:type="auto"/>
            <w:vAlign w:val="center"/>
            <w:hideMark/>
          </w:tcPr>
          <w:p w14:paraId="207D9662" w14:textId="77777777" w:rsidR="00424B7B" w:rsidRPr="00427668" w:rsidRDefault="00424B7B" w:rsidP="00A351F7">
            <w:pPr>
              <w:pStyle w:val="NoSpacing"/>
              <w:jc w:val="center"/>
              <w:rPr>
                <w:rFonts w:ascii="Times New Roman" w:hAnsi="Times New Roman" w:cs="Times New Roman"/>
                <w:szCs w:val="24"/>
              </w:rPr>
            </w:pPr>
            <w:r w:rsidRPr="00427668">
              <w:rPr>
                <w:rFonts w:ascii="Times New Roman" w:hAnsi="Times New Roman" w:cs="Times New Roman"/>
                <w:szCs w:val="24"/>
              </w:rPr>
              <w:t>902</w:t>
            </w:r>
          </w:p>
        </w:tc>
        <w:tc>
          <w:tcPr>
            <w:tcW w:w="0" w:type="auto"/>
            <w:vAlign w:val="center"/>
            <w:hideMark/>
          </w:tcPr>
          <w:p w14:paraId="0CFF014D" w14:textId="77777777" w:rsidR="00424B7B" w:rsidRPr="00427668" w:rsidRDefault="00424B7B" w:rsidP="00A351F7">
            <w:pPr>
              <w:pStyle w:val="NoSpacing"/>
              <w:jc w:val="center"/>
              <w:rPr>
                <w:rFonts w:ascii="Times New Roman" w:hAnsi="Times New Roman" w:cs="Times New Roman"/>
                <w:szCs w:val="24"/>
              </w:rPr>
            </w:pPr>
            <w:r w:rsidRPr="00427668">
              <w:rPr>
                <w:rFonts w:ascii="Times New Roman" w:hAnsi="Times New Roman" w:cs="Times New Roman"/>
                <w:szCs w:val="24"/>
              </w:rPr>
              <w:t>328</w:t>
            </w:r>
          </w:p>
        </w:tc>
        <w:tc>
          <w:tcPr>
            <w:tcW w:w="0" w:type="auto"/>
            <w:vAlign w:val="center"/>
            <w:hideMark/>
          </w:tcPr>
          <w:p w14:paraId="2DE19654" w14:textId="77777777" w:rsidR="00424B7B" w:rsidRPr="00427668" w:rsidRDefault="00424B7B" w:rsidP="00A351F7">
            <w:pPr>
              <w:pStyle w:val="NoSpacing"/>
              <w:jc w:val="center"/>
              <w:rPr>
                <w:rFonts w:ascii="Times New Roman" w:hAnsi="Times New Roman" w:cs="Times New Roman"/>
                <w:szCs w:val="24"/>
              </w:rPr>
            </w:pPr>
            <w:r w:rsidRPr="00427668">
              <w:rPr>
                <w:rFonts w:ascii="Times New Roman" w:hAnsi="Times New Roman" w:cs="Times New Roman"/>
                <w:szCs w:val="24"/>
              </w:rPr>
              <w:t>16</w:t>
            </w:r>
          </w:p>
        </w:tc>
        <w:tc>
          <w:tcPr>
            <w:tcW w:w="0" w:type="auto"/>
            <w:vAlign w:val="center"/>
            <w:hideMark/>
          </w:tcPr>
          <w:p w14:paraId="4250E690" w14:textId="77777777" w:rsidR="00424B7B" w:rsidRPr="00427668" w:rsidRDefault="00424B7B" w:rsidP="00A351F7">
            <w:pPr>
              <w:pStyle w:val="NoSpacing"/>
              <w:jc w:val="center"/>
              <w:rPr>
                <w:rFonts w:ascii="Times New Roman" w:hAnsi="Times New Roman" w:cs="Times New Roman"/>
                <w:szCs w:val="24"/>
              </w:rPr>
            </w:pPr>
            <w:r w:rsidRPr="00427668">
              <w:rPr>
                <w:rFonts w:ascii="Times New Roman" w:hAnsi="Times New Roman" w:cs="Times New Roman"/>
                <w:szCs w:val="24"/>
              </w:rPr>
              <w:t>184</w:t>
            </w:r>
          </w:p>
        </w:tc>
        <w:tc>
          <w:tcPr>
            <w:tcW w:w="0" w:type="auto"/>
            <w:vAlign w:val="center"/>
            <w:hideMark/>
          </w:tcPr>
          <w:p w14:paraId="34A9F82E" w14:textId="77777777" w:rsidR="00424B7B" w:rsidRPr="00427668" w:rsidRDefault="00424B7B" w:rsidP="00A351F7">
            <w:pPr>
              <w:pStyle w:val="NoSpacing"/>
              <w:jc w:val="center"/>
              <w:rPr>
                <w:rFonts w:ascii="Times New Roman" w:hAnsi="Times New Roman" w:cs="Times New Roman"/>
                <w:szCs w:val="24"/>
              </w:rPr>
            </w:pPr>
            <w:r w:rsidRPr="00427668">
              <w:rPr>
                <w:rFonts w:ascii="Times New Roman" w:hAnsi="Times New Roman" w:cs="Times New Roman"/>
                <w:szCs w:val="24"/>
              </w:rPr>
              <w:t>1430</w:t>
            </w:r>
          </w:p>
        </w:tc>
        <w:tc>
          <w:tcPr>
            <w:tcW w:w="0" w:type="auto"/>
            <w:vAlign w:val="center"/>
            <w:hideMark/>
          </w:tcPr>
          <w:p w14:paraId="77A2DCB1" w14:textId="77777777" w:rsidR="00424B7B" w:rsidRPr="00427668" w:rsidRDefault="00424B7B" w:rsidP="00A351F7">
            <w:pPr>
              <w:pStyle w:val="NoSpacing"/>
              <w:jc w:val="center"/>
              <w:rPr>
                <w:rFonts w:ascii="Times New Roman" w:hAnsi="Times New Roman" w:cs="Times New Roman"/>
                <w:szCs w:val="24"/>
              </w:rPr>
            </w:pPr>
            <w:r w:rsidRPr="00427668">
              <w:rPr>
                <w:rFonts w:ascii="Times New Roman" w:hAnsi="Times New Roman" w:cs="Times New Roman"/>
                <w:szCs w:val="24"/>
              </w:rPr>
              <w:t>4459</w:t>
            </w:r>
          </w:p>
        </w:tc>
      </w:tr>
      <w:tr w:rsidR="00424B7B" w:rsidRPr="00427668" w14:paraId="4B3B4E82" w14:textId="77777777" w:rsidTr="00A351F7">
        <w:trPr>
          <w:trHeight w:val="292"/>
        </w:trPr>
        <w:tc>
          <w:tcPr>
            <w:tcW w:w="0" w:type="auto"/>
            <w:hideMark/>
          </w:tcPr>
          <w:p w14:paraId="23D6059E" w14:textId="77777777" w:rsidR="00424B7B" w:rsidRPr="00427668" w:rsidRDefault="00424B7B" w:rsidP="00B77C0B">
            <w:pPr>
              <w:pStyle w:val="NoSpacing"/>
              <w:rPr>
                <w:rFonts w:ascii="Times New Roman" w:hAnsi="Times New Roman" w:cs="Times New Roman"/>
                <w:szCs w:val="24"/>
              </w:rPr>
            </w:pPr>
            <w:r w:rsidRPr="00427668">
              <w:rPr>
                <w:rFonts w:ascii="Times New Roman" w:hAnsi="Times New Roman" w:cs="Times New Roman"/>
                <w:szCs w:val="24"/>
              </w:rPr>
              <w:t>TOTAL</w:t>
            </w:r>
          </w:p>
        </w:tc>
        <w:tc>
          <w:tcPr>
            <w:tcW w:w="0" w:type="auto"/>
            <w:vAlign w:val="center"/>
            <w:hideMark/>
          </w:tcPr>
          <w:p w14:paraId="64A244FB" w14:textId="77777777" w:rsidR="00424B7B" w:rsidRPr="00427668" w:rsidRDefault="00424B7B" w:rsidP="00A351F7">
            <w:pPr>
              <w:pStyle w:val="NoSpacing"/>
              <w:jc w:val="center"/>
              <w:rPr>
                <w:rFonts w:ascii="Times New Roman" w:hAnsi="Times New Roman" w:cs="Times New Roman"/>
                <w:szCs w:val="24"/>
              </w:rPr>
            </w:pPr>
            <w:r w:rsidRPr="00427668">
              <w:rPr>
                <w:rFonts w:ascii="Times New Roman" w:hAnsi="Times New Roman" w:cs="Times New Roman"/>
                <w:szCs w:val="24"/>
              </w:rPr>
              <w:t>10828</w:t>
            </w:r>
          </w:p>
        </w:tc>
        <w:tc>
          <w:tcPr>
            <w:tcW w:w="0" w:type="auto"/>
            <w:vAlign w:val="center"/>
            <w:hideMark/>
          </w:tcPr>
          <w:p w14:paraId="403D2F12" w14:textId="77777777" w:rsidR="00424B7B" w:rsidRPr="00427668" w:rsidRDefault="00424B7B" w:rsidP="00A351F7">
            <w:pPr>
              <w:pStyle w:val="NoSpacing"/>
              <w:jc w:val="center"/>
              <w:rPr>
                <w:rFonts w:ascii="Times New Roman" w:hAnsi="Times New Roman" w:cs="Times New Roman"/>
                <w:szCs w:val="24"/>
              </w:rPr>
            </w:pPr>
            <w:r w:rsidRPr="00427668">
              <w:rPr>
                <w:rFonts w:ascii="Times New Roman" w:hAnsi="Times New Roman" w:cs="Times New Roman"/>
                <w:szCs w:val="24"/>
              </w:rPr>
              <w:t>4431</w:t>
            </w:r>
          </w:p>
        </w:tc>
        <w:tc>
          <w:tcPr>
            <w:tcW w:w="0" w:type="auto"/>
            <w:vAlign w:val="center"/>
            <w:hideMark/>
          </w:tcPr>
          <w:p w14:paraId="06438FDF" w14:textId="77777777" w:rsidR="00424B7B" w:rsidRPr="00427668" w:rsidRDefault="00424B7B" w:rsidP="00A351F7">
            <w:pPr>
              <w:pStyle w:val="NoSpacing"/>
              <w:jc w:val="center"/>
              <w:rPr>
                <w:rFonts w:ascii="Times New Roman" w:hAnsi="Times New Roman" w:cs="Times New Roman"/>
                <w:szCs w:val="24"/>
              </w:rPr>
            </w:pPr>
            <w:r w:rsidRPr="00427668">
              <w:rPr>
                <w:rFonts w:ascii="Times New Roman" w:hAnsi="Times New Roman" w:cs="Times New Roman"/>
                <w:szCs w:val="24"/>
              </w:rPr>
              <w:t>8361</w:t>
            </w:r>
          </w:p>
        </w:tc>
        <w:tc>
          <w:tcPr>
            <w:tcW w:w="0" w:type="auto"/>
            <w:vAlign w:val="center"/>
            <w:hideMark/>
          </w:tcPr>
          <w:p w14:paraId="68F318AE" w14:textId="77777777" w:rsidR="00424B7B" w:rsidRPr="00427668" w:rsidRDefault="00424B7B" w:rsidP="00A351F7">
            <w:pPr>
              <w:pStyle w:val="NoSpacing"/>
              <w:jc w:val="center"/>
              <w:rPr>
                <w:rFonts w:ascii="Times New Roman" w:hAnsi="Times New Roman" w:cs="Times New Roman"/>
                <w:szCs w:val="24"/>
              </w:rPr>
            </w:pPr>
            <w:r w:rsidRPr="00427668">
              <w:rPr>
                <w:rFonts w:ascii="Times New Roman" w:hAnsi="Times New Roman" w:cs="Times New Roman"/>
                <w:szCs w:val="24"/>
              </w:rPr>
              <w:t>2467</w:t>
            </w:r>
          </w:p>
        </w:tc>
        <w:tc>
          <w:tcPr>
            <w:tcW w:w="0" w:type="auto"/>
            <w:vAlign w:val="center"/>
            <w:hideMark/>
          </w:tcPr>
          <w:p w14:paraId="5106ADAA" w14:textId="77777777" w:rsidR="00424B7B" w:rsidRPr="00427668" w:rsidRDefault="00424B7B" w:rsidP="00A351F7">
            <w:pPr>
              <w:pStyle w:val="NoSpacing"/>
              <w:jc w:val="center"/>
              <w:rPr>
                <w:rFonts w:ascii="Times New Roman" w:hAnsi="Times New Roman" w:cs="Times New Roman"/>
                <w:szCs w:val="24"/>
              </w:rPr>
            </w:pPr>
            <w:r w:rsidRPr="00427668">
              <w:rPr>
                <w:rFonts w:ascii="Times New Roman" w:hAnsi="Times New Roman" w:cs="Times New Roman"/>
                <w:szCs w:val="24"/>
              </w:rPr>
              <w:t>26187</w:t>
            </w:r>
          </w:p>
        </w:tc>
        <w:tc>
          <w:tcPr>
            <w:tcW w:w="0" w:type="auto"/>
            <w:vAlign w:val="center"/>
            <w:hideMark/>
          </w:tcPr>
          <w:p w14:paraId="08414687" w14:textId="77777777" w:rsidR="00424B7B" w:rsidRPr="00427668" w:rsidRDefault="00424B7B" w:rsidP="00A351F7">
            <w:pPr>
              <w:pStyle w:val="NoSpacing"/>
              <w:jc w:val="center"/>
              <w:rPr>
                <w:rFonts w:ascii="Times New Roman" w:hAnsi="Times New Roman" w:cs="Times New Roman"/>
                <w:szCs w:val="24"/>
              </w:rPr>
            </w:pPr>
            <w:r w:rsidRPr="00427668">
              <w:rPr>
                <w:rFonts w:ascii="Times New Roman" w:hAnsi="Times New Roman" w:cs="Times New Roman"/>
                <w:szCs w:val="24"/>
              </w:rPr>
              <w:t>97566</w:t>
            </w:r>
          </w:p>
        </w:tc>
      </w:tr>
    </w:tbl>
    <w:p w14:paraId="12E91B8C" w14:textId="69AD5197" w:rsidR="00427C75" w:rsidRPr="007245B0" w:rsidRDefault="00427C75" w:rsidP="002A212C">
      <w:pPr>
        <w:tabs>
          <w:tab w:val="left" w:pos="3084"/>
        </w:tabs>
        <w:rPr>
          <w:rFonts w:ascii="Times New Roman" w:hAnsi="Times New Roman" w:cs="Times New Roman"/>
        </w:rPr>
      </w:pPr>
    </w:p>
    <w:p w14:paraId="2BA93083" w14:textId="6B78256A" w:rsidR="00424B7B" w:rsidRPr="00A351F7" w:rsidRDefault="00424B7B" w:rsidP="00424B7B">
      <w:pPr>
        <w:rPr>
          <w:rFonts w:ascii="Times New Roman" w:hAnsi="Times New Roman" w:cs="Times New Roman"/>
          <w:sz w:val="20"/>
          <w:szCs w:val="18"/>
        </w:rPr>
      </w:pPr>
      <w:r w:rsidRPr="00A351F7">
        <w:rPr>
          <w:rFonts w:ascii="Times New Roman" w:hAnsi="Times New Roman" w:cs="Times New Roman"/>
          <w:sz w:val="20"/>
          <w:szCs w:val="18"/>
        </w:rPr>
        <w:t>Sources: Cols. 1to 5-Directorate of Economics and Statistics, Ministry of Food and Agriculture, Community Development and Co-operation. Figures in respect of Haryana and Punjab have been taken from the Statistical Abstracts of Haryana and Punjab respectively for the year 1967.</w:t>
      </w:r>
    </w:p>
    <w:p w14:paraId="3FF0822B" w14:textId="5485AEC6" w:rsidR="00424B7B" w:rsidRPr="007245B0" w:rsidRDefault="00424B7B" w:rsidP="00424B7B">
      <w:pPr>
        <w:tabs>
          <w:tab w:val="left" w:pos="1139"/>
        </w:tabs>
        <w:rPr>
          <w:rFonts w:ascii="Times New Roman" w:hAnsi="Times New Roman" w:cs="Times New Roman"/>
        </w:rPr>
      </w:pPr>
    </w:p>
    <w:p w14:paraId="122F393B" w14:textId="6DEF3DD4" w:rsidR="00424B7B" w:rsidRPr="007245B0" w:rsidRDefault="00424B7B">
      <w:pPr>
        <w:rPr>
          <w:rFonts w:ascii="Times New Roman" w:hAnsi="Times New Roman" w:cs="Times New Roman"/>
        </w:rPr>
      </w:pPr>
      <w:r w:rsidRPr="007245B0">
        <w:rPr>
          <w:rFonts w:ascii="Times New Roman" w:hAnsi="Times New Roman" w:cs="Times New Roman"/>
        </w:rPr>
        <w:br w:type="page"/>
      </w:r>
    </w:p>
    <w:p w14:paraId="49C00F23" w14:textId="27816F64" w:rsidR="00424B7B" w:rsidRDefault="00574BCE" w:rsidP="007D2EE4">
      <w:pPr>
        <w:pStyle w:val="Heading4"/>
      </w:pPr>
      <w:bookmarkStart w:id="210" w:name="_Toc220949740"/>
      <w:bookmarkStart w:id="211" w:name="_Toc221114340"/>
      <w:bookmarkStart w:id="212" w:name="_Toc221115363"/>
      <w:r>
        <w:lastRenderedPageBreak/>
        <w:t>Table</w:t>
      </w:r>
      <w:r w:rsidR="00424B7B" w:rsidRPr="007245B0">
        <w:t xml:space="preserve"> 59: Distribution of Area Operated and Households by Size Classes</w:t>
      </w:r>
      <w:bookmarkEnd w:id="210"/>
      <w:bookmarkEnd w:id="211"/>
      <w:bookmarkEnd w:id="212"/>
    </w:p>
    <w:p w14:paraId="71BB4070" w14:textId="77777777" w:rsidR="00A351F7" w:rsidRPr="00A351F7" w:rsidRDefault="00A351F7" w:rsidP="00A351F7"/>
    <w:tbl>
      <w:tblPr>
        <w:tblStyle w:val="TableGrid"/>
        <w:tblW w:w="9318" w:type="dxa"/>
        <w:tblLook w:val="04A0" w:firstRow="1" w:lastRow="0" w:firstColumn="1" w:lastColumn="0" w:noHBand="0" w:noVBand="1"/>
      </w:tblPr>
      <w:tblGrid>
        <w:gridCol w:w="3604"/>
        <w:gridCol w:w="1551"/>
        <w:gridCol w:w="1505"/>
        <w:gridCol w:w="1153"/>
        <w:gridCol w:w="1505"/>
      </w:tblGrid>
      <w:tr w:rsidR="00424B7B" w:rsidRPr="007245B0" w14:paraId="3AFD44F8" w14:textId="77777777" w:rsidTr="00A351F7">
        <w:trPr>
          <w:trHeight w:val="737"/>
        </w:trPr>
        <w:tc>
          <w:tcPr>
            <w:tcW w:w="0" w:type="auto"/>
            <w:vAlign w:val="center"/>
          </w:tcPr>
          <w:p w14:paraId="68118B67" w14:textId="77777777" w:rsidR="00424B7B" w:rsidRPr="00A351F7" w:rsidRDefault="00424B7B" w:rsidP="00A351F7">
            <w:pPr>
              <w:pStyle w:val="NoSpacing"/>
              <w:jc w:val="center"/>
              <w:rPr>
                <w:rFonts w:ascii="Times New Roman" w:hAnsi="Times New Roman" w:cs="Times New Roman"/>
                <w:b/>
                <w:bCs/>
              </w:rPr>
            </w:pPr>
          </w:p>
        </w:tc>
        <w:tc>
          <w:tcPr>
            <w:tcW w:w="0" w:type="auto"/>
            <w:gridSpan w:val="2"/>
            <w:vAlign w:val="center"/>
          </w:tcPr>
          <w:p w14:paraId="041DD885" w14:textId="77777777" w:rsidR="00424B7B" w:rsidRPr="00A351F7" w:rsidRDefault="00424B7B" w:rsidP="00A351F7">
            <w:pPr>
              <w:pStyle w:val="NoSpacing"/>
              <w:jc w:val="center"/>
              <w:rPr>
                <w:rFonts w:ascii="Times New Roman" w:hAnsi="Times New Roman" w:cs="Times New Roman"/>
                <w:b/>
                <w:bCs/>
              </w:rPr>
            </w:pPr>
            <w:r w:rsidRPr="00A351F7">
              <w:rPr>
                <w:rFonts w:ascii="Times New Roman" w:hAnsi="Times New Roman" w:cs="Times New Roman"/>
                <w:b/>
                <w:bCs/>
              </w:rPr>
              <w:t>Total Area Operated</w:t>
            </w:r>
            <w:r w:rsidRPr="00A351F7">
              <w:rPr>
                <w:rFonts w:ascii="Times New Roman" w:hAnsi="Times New Roman" w:cs="Times New Roman"/>
                <w:b/>
                <w:bCs/>
              </w:rPr>
              <w:br/>
            </w:r>
          </w:p>
        </w:tc>
        <w:tc>
          <w:tcPr>
            <w:tcW w:w="0" w:type="auto"/>
            <w:gridSpan w:val="2"/>
            <w:vAlign w:val="center"/>
          </w:tcPr>
          <w:p w14:paraId="08082197" w14:textId="77777777" w:rsidR="00424B7B" w:rsidRPr="00A351F7" w:rsidRDefault="00424B7B" w:rsidP="00A351F7">
            <w:pPr>
              <w:pStyle w:val="NoSpacing"/>
              <w:jc w:val="center"/>
              <w:rPr>
                <w:rFonts w:ascii="Times New Roman" w:hAnsi="Times New Roman" w:cs="Times New Roman"/>
                <w:b/>
                <w:bCs/>
              </w:rPr>
            </w:pPr>
            <w:r w:rsidRPr="00A351F7">
              <w:rPr>
                <w:rFonts w:ascii="Times New Roman" w:hAnsi="Times New Roman" w:cs="Times New Roman"/>
                <w:b/>
                <w:bCs/>
              </w:rPr>
              <w:t>No. of Households</w:t>
            </w:r>
          </w:p>
        </w:tc>
      </w:tr>
      <w:tr w:rsidR="00424B7B" w:rsidRPr="007245B0" w14:paraId="28485D9C" w14:textId="77777777" w:rsidTr="00A351F7">
        <w:trPr>
          <w:trHeight w:val="737"/>
        </w:trPr>
        <w:tc>
          <w:tcPr>
            <w:tcW w:w="0" w:type="auto"/>
            <w:vAlign w:val="center"/>
            <w:hideMark/>
          </w:tcPr>
          <w:p w14:paraId="214BB0E4" w14:textId="77777777" w:rsidR="00424B7B" w:rsidRPr="00A351F7" w:rsidRDefault="00424B7B" w:rsidP="00A351F7">
            <w:pPr>
              <w:pStyle w:val="NoSpacing"/>
              <w:jc w:val="center"/>
              <w:rPr>
                <w:rFonts w:ascii="Times New Roman" w:hAnsi="Times New Roman" w:cs="Times New Roman"/>
                <w:b/>
                <w:bCs/>
              </w:rPr>
            </w:pPr>
            <w:r w:rsidRPr="00A351F7">
              <w:rPr>
                <w:rFonts w:ascii="Times New Roman" w:hAnsi="Times New Roman" w:cs="Times New Roman"/>
                <w:b/>
                <w:bCs/>
              </w:rPr>
              <w:t>Size of holdings</w:t>
            </w:r>
          </w:p>
        </w:tc>
        <w:tc>
          <w:tcPr>
            <w:tcW w:w="0" w:type="auto"/>
            <w:vAlign w:val="center"/>
            <w:hideMark/>
          </w:tcPr>
          <w:p w14:paraId="6FCDE9A6" w14:textId="37A3ECCB" w:rsidR="00424B7B" w:rsidRPr="00A351F7" w:rsidRDefault="00424B7B" w:rsidP="00A351F7">
            <w:pPr>
              <w:pStyle w:val="NoSpacing"/>
              <w:jc w:val="center"/>
              <w:rPr>
                <w:rFonts w:ascii="Times New Roman" w:hAnsi="Times New Roman" w:cs="Times New Roman"/>
                <w:b/>
                <w:bCs/>
              </w:rPr>
            </w:pPr>
            <w:r w:rsidRPr="00A351F7">
              <w:rPr>
                <w:rFonts w:ascii="Times New Roman" w:hAnsi="Times New Roman" w:cs="Times New Roman"/>
                <w:b/>
                <w:bCs/>
              </w:rPr>
              <w:t>Area</w:t>
            </w:r>
          </w:p>
          <w:p w14:paraId="498988CE" w14:textId="26BFF500" w:rsidR="00424B7B" w:rsidRPr="00A351F7" w:rsidRDefault="00424B7B" w:rsidP="00A351F7">
            <w:pPr>
              <w:pStyle w:val="NoSpacing"/>
              <w:jc w:val="center"/>
              <w:rPr>
                <w:rFonts w:ascii="Times New Roman" w:hAnsi="Times New Roman" w:cs="Times New Roman"/>
                <w:b/>
                <w:bCs/>
              </w:rPr>
            </w:pPr>
            <w:r w:rsidRPr="00A351F7">
              <w:rPr>
                <w:rFonts w:ascii="Times New Roman" w:hAnsi="Times New Roman" w:cs="Times New Roman"/>
                <w:b/>
                <w:bCs/>
              </w:rPr>
              <w:t>(Lakh Acres)</w:t>
            </w:r>
          </w:p>
        </w:tc>
        <w:tc>
          <w:tcPr>
            <w:tcW w:w="0" w:type="auto"/>
            <w:vAlign w:val="center"/>
            <w:hideMark/>
          </w:tcPr>
          <w:p w14:paraId="3C521849" w14:textId="2D26BEE4" w:rsidR="00424B7B" w:rsidRPr="00A351F7" w:rsidRDefault="00424B7B" w:rsidP="00A351F7">
            <w:pPr>
              <w:pStyle w:val="NoSpacing"/>
              <w:jc w:val="center"/>
              <w:rPr>
                <w:rFonts w:ascii="Times New Roman" w:hAnsi="Times New Roman" w:cs="Times New Roman"/>
                <w:b/>
                <w:bCs/>
              </w:rPr>
            </w:pPr>
            <w:r w:rsidRPr="00A351F7">
              <w:rPr>
                <w:rFonts w:ascii="Times New Roman" w:hAnsi="Times New Roman" w:cs="Times New Roman"/>
                <w:b/>
                <w:bCs/>
              </w:rPr>
              <w:t>(Percentage)</w:t>
            </w:r>
          </w:p>
        </w:tc>
        <w:tc>
          <w:tcPr>
            <w:tcW w:w="0" w:type="auto"/>
            <w:vAlign w:val="center"/>
            <w:hideMark/>
          </w:tcPr>
          <w:p w14:paraId="347A6D01" w14:textId="42760C04" w:rsidR="00424B7B" w:rsidRPr="00A351F7" w:rsidRDefault="00424B7B" w:rsidP="00A351F7">
            <w:pPr>
              <w:pStyle w:val="NoSpacing"/>
              <w:jc w:val="center"/>
              <w:rPr>
                <w:rFonts w:ascii="Times New Roman" w:hAnsi="Times New Roman" w:cs="Times New Roman"/>
                <w:b/>
                <w:bCs/>
              </w:rPr>
            </w:pPr>
            <w:r w:rsidRPr="00A351F7">
              <w:rPr>
                <w:rFonts w:ascii="Times New Roman" w:hAnsi="Times New Roman" w:cs="Times New Roman"/>
                <w:b/>
                <w:bCs/>
              </w:rPr>
              <w:t>Total No.</w:t>
            </w:r>
          </w:p>
          <w:p w14:paraId="57B499F3" w14:textId="77777777" w:rsidR="00424B7B" w:rsidRPr="00A351F7" w:rsidRDefault="00424B7B" w:rsidP="00A351F7">
            <w:pPr>
              <w:pStyle w:val="NoSpacing"/>
              <w:jc w:val="center"/>
              <w:rPr>
                <w:rFonts w:ascii="Times New Roman" w:hAnsi="Times New Roman" w:cs="Times New Roman"/>
                <w:b/>
                <w:bCs/>
              </w:rPr>
            </w:pPr>
            <w:r w:rsidRPr="00A351F7">
              <w:rPr>
                <w:rFonts w:ascii="Times New Roman" w:hAnsi="Times New Roman" w:cs="Times New Roman"/>
                <w:b/>
                <w:bCs/>
              </w:rPr>
              <w:t>(in '000)</w:t>
            </w:r>
          </w:p>
        </w:tc>
        <w:tc>
          <w:tcPr>
            <w:tcW w:w="0" w:type="auto"/>
            <w:vAlign w:val="center"/>
            <w:hideMark/>
          </w:tcPr>
          <w:p w14:paraId="4682F045" w14:textId="77777777" w:rsidR="00424B7B" w:rsidRPr="00A351F7" w:rsidRDefault="00424B7B" w:rsidP="00A351F7">
            <w:pPr>
              <w:pStyle w:val="NoSpacing"/>
              <w:jc w:val="center"/>
              <w:rPr>
                <w:rFonts w:ascii="Times New Roman" w:hAnsi="Times New Roman" w:cs="Times New Roman"/>
                <w:b/>
                <w:bCs/>
              </w:rPr>
            </w:pPr>
            <w:r w:rsidRPr="00A351F7">
              <w:rPr>
                <w:rFonts w:ascii="Times New Roman" w:hAnsi="Times New Roman" w:cs="Times New Roman"/>
                <w:b/>
                <w:bCs/>
              </w:rPr>
              <w:t>(Percentage)</w:t>
            </w:r>
          </w:p>
        </w:tc>
      </w:tr>
      <w:tr w:rsidR="00424B7B" w:rsidRPr="007245B0" w14:paraId="7DE4484E" w14:textId="77777777" w:rsidTr="00A351F7">
        <w:trPr>
          <w:trHeight w:val="359"/>
        </w:trPr>
        <w:tc>
          <w:tcPr>
            <w:tcW w:w="0" w:type="auto"/>
            <w:hideMark/>
          </w:tcPr>
          <w:p w14:paraId="7B3BFBA4" w14:textId="77777777" w:rsidR="00424B7B" w:rsidRPr="007245B0" w:rsidRDefault="00424B7B" w:rsidP="00B77C0B">
            <w:pPr>
              <w:pStyle w:val="NoSpacing"/>
              <w:rPr>
                <w:rFonts w:ascii="Times New Roman" w:hAnsi="Times New Roman" w:cs="Times New Roman"/>
              </w:rPr>
            </w:pPr>
            <w:r w:rsidRPr="007245B0">
              <w:rPr>
                <w:rFonts w:ascii="Times New Roman" w:hAnsi="Times New Roman" w:cs="Times New Roman"/>
              </w:rPr>
              <w:t>Below 2.5 acres</w:t>
            </w:r>
          </w:p>
        </w:tc>
        <w:tc>
          <w:tcPr>
            <w:tcW w:w="0" w:type="auto"/>
            <w:vAlign w:val="center"/>
            <w:hideMark/>
          </w:tcPr>
          <w:p w14:paraId="4731B7D7" w14:textId="77777777" w:rsidR="00424B7B" w:rsidRPr="007245B0" w:rsidRDefault="00424B7B" w:rsidP="00A351F7">
            <w:pPr>
              <w:pStyle w:val="NoSpacing"/>
              <w:jc w:val="center"/>
              <w:rPr>
                <w:rFonts w:ascii="Times New Roman" w:hAnsi="Times New Roman" w:cs="Times New Roman"/>
              </w:rPr>
            </w:pPr>
            <w:r w:rsidRPr="007245B0">
              <w:rPr>
                <w:rFonts w:ascii="Times New Roman" w:hAnsi="Times New Roman" w:cs="Times New Roman"/>
              </w:rPr>
              <w:t>216</w:t>
            </w:r>
          </w:p>
        </w:tc>
        <w:tc>
          <w:tcPr>
            <w:tcW w:w="0" w:type="auto"/>
            <w:vAlign w:val="center"/>
            <w:hideMark/>
          </w:tcPr>
          <w:p w14:paraId="59669749" w14:textId="77777777" w:rsidR="00424B7B" w:rsidRPr="007245B0" w:rsidRDefault="00424B7B" w:rsidP="00A351F7">
            <w:pPr>
              <w:pStyle w:val="NoSpacing"/>
              <w:jc w:val="center"/>
              <w:rPr>
                <w:rFonts w:ascii="Times New Roman" w:hAnsi="Times New Roman" w:cs="Times New Roman"/>
              </w:rPr>
            </w:pPr>
            <w:r w:rsidRPr="007245B0">
              <w:rPr>
                <w:rFonts w:ascii="Times New Roman" w:hAnsi="Times New Roman" w:cs="Times New Roman"/>
              </w:rPr>
              <w:t>6.67</w:t>
            </w:r>
          </w:p>
        </w:tc>
        <w:tc>
          <w:tcPr>
            <w:tcW w:w="0" w:type="auto"/>
            <w:vAlign w:val="center"/>
            <w:hideMark/>
          </w:tcPr>
          <w:p w14:paraId="4FC69FBD" w14:textId="77777777" w:rsidR="00424B7B" w:rsidRPr="007245B0" w:rsidRDefault="00424B7B" w:rsidP="00A351F7">
            <w:pPr>
              <w:pStyle w:val="NoSpacing"/>
              <w:jc w:val="center"/>
              <w:rPr>
                <w:rFonts w:ascii="Times New Roman" w:hAnsi="Times New Roman" w:cs="Times New Roman"/>
              </w:rPr>
            </w:pPr>
            <w:r w:rsidRPr="007245B0">
              <w:rPr>
                <w:rFonts w:ascii="Times New Roman" w:hAnsi="Times New Roman" w:cs="Times New Roman"/>
              </w:rPr>
              <w:t>41524</w:t>
            </w:r>
          </w:p>
        </w:tc>
        <w:tc>
          <w:tcPr>
            <w:tcW w:w="0" w:type="auto"/>
            <w:vAlign w:val="center"/>
            <w:hideMark/>
          </w:tcPr>
          <w:p w14:paraId="11EAF5CC" w14:textId="77777777" w:rsidR="00424B7B" w:rsidRPr="007245B0" w:rsidRDefault="00424B7B" w:rsidP="00A351F7">
            <w:pPr>
              <w:pStyle w:val="NoSpacing"/>
              <w:jc w:val="center"/>
              <w:rPr>
                <w:rFonts w:ascii="Times New Roman" w:hAnsi="Times New Roman" w:cs="Times New Roman"/>
              </w:rPr>
            </w:pPr>
            <w:r w:rsidRPr="007245B0">
              <w:rPr>
                <w:rFonts w:ascii="Times New Roman" w:hAnsi="Times New Roman" w:cs="Times New Roman"/>
              </w:rPr>
              <w:t>57.6</w:t>
            </w:r>
          </w:p>
        </w:tc>
      </w:tr>
      <w:tr w:rsidR="00424B7B" w:rsidRPr="007245B0" w14:paraId="39E3E7F7" w14:textId="77777777" w:rsidTr="00A351F7">
        <w:trPr>
          <w:trHeight w:val="359"/>
        </w:trPr>
        <w:tc>
          <w:tcPr>
            <w:tcW w:w="0" w:type="auto"/>
            <w:hideMark/>
          </w:tcPr>
          <w:p w14:paraId="39B6D731" w14:textId="501A5741" w:rsidR="00424B7B" w:rsidRPr="007245B0" w:rsidRDefault="002A2890" w:rsidP="00B77C0B">
            <w:pPr>
              <w:pStyle w:val="NoSpacing"/>
              <w:rPr>
                <w:rFonts w:ascii="Times New Roman" w:hAnsi="Times New Roman" w:cs="Times New Roman"/>
              </w:rPr>
            </w:pPr>
            <w:r>
              <w:rPr>
                <w:rFonts w:ascii="Times New Roman" w:hAnsi="Times New Roman" w:cs="Times New Roman"/>
              </w:rPr>
              <w:t xml:space="preserve">Over </w:t>
            </w:r>
            <w:r w:rsidR="00424B7B" w:rsidRPr="007245B0">
              <w:rPr>
                <w:rFonts w:ascii="Times New Roman" w:hAnsi="Times New Roman" w:cs="Times New Roman"/>
              </w:rPr>
              <w:t xml:space="preserve">2.5 </w:t>
            </w:r>
            <w:r>
              <w:rPr>
                <w:rFonts w:ascii="Times New Roman" w:hAnsi="Times New Roman" w:cs="Times New Roman"/>
              </w:rPr>
              <w:t>but no exceeding</w:t>
            </w:r>
            <w:r w:rsidR="00424B7B" w:rsidRPr="007245B0">
              <w:rPr>
                <w:rFonts w:ascii="Times New Roman" w:hAnsi="Times New Roman" w:cs="Times New Roman"/>
              </w:rPr>
              <w:t xml:space="preserve"> 5 acres</w:t>
            </w:r>
          </w:p>
        </w:tc>
        <w:tc>
          <w:tcPr>
            <w:tcW w:w="0" w:type="auto"/>
            <w:vAlign w:val="center"/>
            <w:hideMark/>
          </w:tcPr>
          <w:p w14:paraId="366A3A35" w14:textId="77777777" w:rsidR="00424B7B" w:rsidRPr="007245B0" w:rsidRDefault="00424B7B" w:rsidP="00A351F7">
            <w:pPr>
              <w:pStyle w:val="NoSpacing"/>
              <w:jc w:val="center"/>
              <w:rPr>
                <w:rFonts w:ascii="Times New Roman" w:hAnsi="Times New Roman" w:cs="Times New Roman"/>
              </w:rPr>
            </w:pPr>
            <w:r w:rsidRPr="007245B0">
              <w:rPr>
                <w:rFonts w:ascii="Times New Roman" w:hAnsi="Times New Roman" w:cs="Times New Roman"/>
              </w:rPr>
              <w:t>391</w:t>
            </w:r>
          </w:p>
        </w:tc>
        <w:tc>
          <w:tcPr>
            <w:tcW w:w="0" w:type="auto"/>
            <w:vAlign w:val="center"/>
            <w:hideMark/>
          </w:tcPr>
          <w:p w14:paraId="2447E111" w14:textId="77777777" w:rsidR="00424B7B" w:rsidRPr="007245B0" w:rsidRDefault="00424B7B" w:rsidP="00A351F7">
            <w:pPr>
              <w:pStyle w:val="NoSpacing"/>
              <w:jc w:val="center"/>
              <w:rPr>
                <w:rFonts w:ascii="Times New Roman" w:hAnsi="Times New Roman" w:cs="Times New Roman"/>
              </w:rPr>
            </w:pPr>
            <w:r w:rsidRPr="007245B0">
              <w:rPr>
                <w:rFonts w:ascii="Times New Roman" w:hAnsi="Times New Roman" w:cs="Times New Roman"/>
              </w:rPr>
              <w:t>12.08</w:t>
            </w:r>
          </w:p>
        </w:tc>
        <w:tc>
          <w:tcPr>
            <w:tcW w:w="0" w:type="auto"/>
            <w:vAlign w:val="center"/>
            <w:hideMark/>
          </w:tcPr>
          <w:p w14:paraId="74920C89" w14:textId="77777777" w:rsidR="00424B7B" w:rsidRPr="007245B0" w:rsidRDefault="00424B7B" w:rsidP="00A351F7">
            <w:pPr>
              <w:pStyle w:val="NoSpacing"/>
              <w:jc w:val="center"/>
              <w:rPr>
                <w:rFonts w:ascii="Times New Roman" w:hAnsi="Times New Roman" w:cs="Times New Roman"/>
              </w:rPr>
            </w:pPr>
            <w:r w:rsidRPr="007245B0">
              <w:rPr>
                <w:rFonts w:ascii="Times New Roman" w:hAnsi="Times New Roman" w:cs="Times New Roman"/>
              </w:rPr>
              <w:t>11606</w:t>
            </w:r>
          </w:p>
        </w:tc>
        <w:tc>
          <w:tcPr>
            <w:tcW w:w="0" w:type="auto"/>
            <w:vAlign w:val="center"/>
            <w:hideMark/>
          </w:tcPr>
          <w:p w14:paraId="21F7C8ED" w14:textId="77777777" w:rsidR="00424B7B" w:rsidRPr="007245B0" w:rsidRDefault="00424B7B" w:rsidP="00A351F7">
            <w:pPr>
              <w:pStyle w:val="NoSpacing"/>
              <w:jc w:val="center"/>
              <w:rPr>
                <w:rFonts w:ascii="Times New Roman" w:hAnsi="Times New Roman" w:cs="Times New Roman"/>
              </w:rPr>
            </w:pPr>
            <w:r w:rsidRPr="007245B0">
              <w:rPr>
                <w:rFonts w:ascii="Times New Roman" w:hAnsi="Times New Roman" w:cs="Times New Roman"/>
              </w:rPr>
              <w:t>16.1</w:t>
            </w:r>
          </w:p>
        </w:tc>
      </w:tr>
      <w:tr w:rsidR="002A2890" w:rsidRPr="007245B0" w14:paraId="0EC118FF" w14:textId="77777777" w:rsidTr="00A351F7">
        <w:trPr>
          <w:trHeight w:val="377"/>
        </w:trPr>
        <w:tc>
          <w:tcPr>
            <w:tcW w:w="0" w:type="auto"/>
            <w:hideMark/>
          </w:tcPr>
          <w:p w14:paraId="7746CD96" w14:textId="49ABDEEF" w:rsidR="002A2890" w:rsidRPr="007245B0" w:rsidRDefault="002A2890" w:rsidP="002A2890">
            <w:pPr>
              <w:pStyle w:val="NoSpacing"/>
              <w:rPr>
                <w:rFonts w:ascii="Times New Roman" w:hAnsi="Times New Roman" w:cs="Times New Roman"/>
              </w:rPr>
            </w:pPr>
            <w:r>
              <w:rPr>
                <w:rFonts w:ascii="Times New Roman" w:hAnsi="Times New Roman" w:cs="Times New Roman"/>
              </w:rPr>
              <w:t>Over 5</w:t>
            </w:r>
            <w:r w:rsidRPr="007245B0">
              <w:rPr>
                <w:rFonts w:ascii="Times New Roman" w:hAnsi="Times New Roman" w:cs="Times New Roman"/>
              </w:rPr>
              <w:t xml:space="preserve"> </w:t>
            </w:r>
            <w:r>
              <w:rPr>
                <w:rFonts w:ascii="Times New Roman" w:hAnsi="Times New Roman" w:cs="Times New Roman"/>
              </w:rPr>
              <w:t>but no exceeding</w:t>
            </w:r>
            <w:r w:rsidRPr="007245B0">
              <w:rPr>
                <w:rFonts w:ascii="Times New Roman" w:hAnsi="Times New Roman" w:cs="Times New Roman"/>
              </w:rPr>
              <w:t xml:space="preserve"> </w:t>
            </w:r>
            <w:r>
              <w:rPr>
                <w:rFonts w:ascii="Times New Roman" w:hAnsi="Times New Roman" w:cs="Times New Roman"/>
              </w:rPr>
              <w:t>7.</w:t>
            </w:r>
            <w:r w:rsidRPr="007245B0">
              <w:rPr>
                <w:rFonts w:ascii="Times New Roman" w:hAnsi="Times New Roman" w:cs="Times New Roman"/>
              </w:rPr>
              <w:t>5 acres</w:t>
            </w:r>
          </w:p>
        </w:tc>
        <w:tc>
          <w:tcPr>
            <w:tcW w:w="0" w:type="auto"/>
            <w:vAlign w:val="center"/>
            <w:hideMark/>
          </w:tcPr>
          <w:p w14:paraId="7249F20B" w14:textId="77777777" w:rsidR="002A2890" w:rsidRPr="007245B0" w:rsidRDefault="002A2890" w:rsidP="00A351F7">
            <w:pPr>
              <w:pStyle w:val="NoSpacing"/>
              <w:jc w:val="center"/>
              <w:rPr>
                <w:rFonts w:ascii="Times New Roman" w:hAnsi="Times New Roman" w:cs="Times New Roman"/>
              </w:rPr>
            </w:pPr>
            <w:r w:rsidRPr="007245B0">
              <w:rPr>
                <w:rFonts w:ascii="Times New Roman" w:hAnsi="Times New Roman" w:cs="Times New Roman"/>
              </w:rPr>
              <w:t>352</w:t>
            </w:r>
          </w:p>
        </w:tc>
        <w:tc>
          <w:tcPr>
            <w:tcW w:w="0" w:type="auto"/>
            <w:vAlign w:val="center"/>
            <w:hideMark/>
          </w:tcPr>
          <w:p w14:paraId="19D78842" w14:textId="77777777" w:rsidR="002A2890" w:rsidRPr="007245B0" w:rsidRDefault="002A2890" w:rsidP="00A351F7">
            <w:pPr>
              <w:pStyle w:val="NoSpacing"/>
              <w:jc w:val="center"/>
              <w:rPr>
                <w:rFonts w:ascii="Times New Roman" w:hAnsi="Times New Roman" w:cs="Times New Roman"/>
              </w:rPr>
            </w:pPr>
            <w:r w:rsidRPr="007245B0">
              <w:rPr>
                <w:rFonts w:ascii="Times New Roman" w:hAnsi="Times New Roman" w:cs="Times New Roman"/>
              </w:rPr>
              <w:t>10.87</w:t>
            </w:r>
          </w:p>
        </w:tc>
        <w:tc>
          <w:tcPr>
            <w:tcW w:w="0" w:type="auto"/>
            <w:vAlign w:val="center"/>
            <w:hideMark/>
          </w:tcPr>
          <w:p w14:paraId="7C9313FB" w14:textId="77777777" w:rsidR="002A2890" w:rsidRPr="007245B0" w:rsidRDefault="002A2890" w:rsidP="00A351F7">
            <w:pPr>
              <w:pStyle w:val="NoSpacing"/>
              <w:jc w:val="center"/>
              <w:rPr>
                <w:rFonts w:ascii="Times New Roman" w:hAnsi="Times New Roman" w:cs="Times New Roman"/>
              </w:rPr>
            </w:pPr>
            <w:r w:rsidRPr="007245B0">
              <w:rPr>
                <w:rFonts w:ascii="Times New Roman" w:hAnsi="Times New Roman" w:cs="Times New Roman"/>
              </w:rPr>
              <w:t>6488</w:t>
            </w:r>
          </w:p>
        </w:tc>
        <w:tc>
          <w:tcPr>
            <w:tcW w:w="0" w:type="auto"/>
            <w:vAlign w:val="center"/>
            <w:hideMark/>
          </w:tcPr>
          <w:p w14:paraId="31727361" w14:textId="77777777" w:rsidR="002A2890" w:rsidRPr="007245B0" w:rsidRDefault="002A2890" w:rsidP="00A351F7">
            <w:pPr>
              <w:pStyle w:val="NoSpacing"/>
              <w:jc w:val="center"/>
              <w:rPr>
                <w:rFonts w:ascii="Times New Roman" w:hAnsi="Times New Roman" w:cs="Times New Roman"/>
              </w:rPr>
            </w:pPr>
            <w:r w:rsidRPr="007245B0">
              <w:rPr>
                <w:rFonts w:ascii="Times New Roman" w:hAnsi="Times New Roman" w:cs="Times New Roman"/>
              </w:rPr>
              <w:t>9.0</w:t>
            </w:r>
          </w:p>
        </w:tc>
      </w:tr>
      <w:tr w:rsidR="002A2890" w:rsidRPr="007245B0" w14:paraId="3CC940FC" w14:textId="77777777" w:rsidTr="00A351F7">
        <w:trPr>
          <w:trHeight w:val="359"/>
        </w:trPr>
        <w:tc>
          <w:tcPr>
            <w:tcW w:w="0" w:type="auto"/>
            <w:hideMark/>
          </w:tcPr>
          <w:p w14:paraId="20E8B06D" w14:textId="2AABE57B" w:rsidR="002A2890" w:rsidRPr="007245B0" w:rsidRDefault="002A2890" w:rsidP="002A2890">
            <w:pPr>
              <w:pStyle w:val="NoSpacing"/>
              <w:rPr>
                <w:rFonts w:ascii="Times New Roman" w:hAnsi="Times New Roman" w:cs="Times New Roman"/>
              </w:rPr>
            </w:pPr>
            <w:r>
              <w:rPr>
                <w:rFonts w:ascii="Times New Roman" w:hAnsi="Times New Roman" w:cs="Times New Roman"/>
              </w:rPr>
              <w:t>Over 7</w:t>
            </w:r>
            <w:r w:rsidRPr="007245B0">
              <w:rPr>
                <w:rFonts w:ascii="Times New Roman" w:hAnsi="Times New Roman" w:cs="Times New Roman"/>
              </w:rPr>
              <w:t xml:space="preserve">.5 </w:t>
            </w:r>
            <w:r>
              <w:rPr>
                <w:rFonts w:ascii="Times New Roman" w:hAnsi="Times New Roman" w:cs="Times New Roman"/>
              </w:rPr>
              <w:t>but no exceeding</w:t>
            </w:r>
            <w:r w:rsidRPr="007245B0">
              <w:rPr>
                <w:rFonts w:ascii="Times New Roman" w:hAnsi="Times New Roman" w:cs="Times New Roman"/>
              </w:rPr>
              <w:t xml:space="preserve"> </w:t>
            </w:r>
            <w:r>
              <w:rPr>
                <w:rFonts w:ascii="Times New Roman" w:hAnsi="Times New Roman" w:cs="Times New Roman"/>
              </w:rPr>
              <w:t>10</w:t>
            </w:r>
            <w:r w:rsidRPr="007245B0">
              <w:rPr>
                <w:rFonts w:ascii="Times New Roman" w:hAnsi="Times New Roman" w:cs="Times New Roman"/>
              </w:rPr>
              <w:t xml:space="preserve"> acres</w:t>
            </w:r>
          </w:p>
        </w:tc>
        <w:tc>
          <w:tcPr>
            <w:tcW w:w="0" w:type="auto"/>
            <w:vAlign w:val="center"/>
            <w:hideMark/>
          </w:tcPr>
          <w:p w14:paraId="19C50B82" w14:textId="77777777" w:rsidR="002A2890" w:rsidRPr="007245B0" w:rsidRDefault="002A2890" w:rsidP="00A351F7">
            <w:pPr>
              <w:pStyle w:val="NoSpacing"/>
              <w:jc w:val="center"/>
              <w:rPr>
                <w:rFonts w:ascii="Times New Roman" w:hAnsi="Times New Roman" w:cs="Times New Roman"/>
              </w:rPr>
            </w:pPr>
            <w:r w:rsidRPr="007245B0">
              <w:rPr>
                <w:rFonts w:ascii="Times New Roman" w:hAnsi="Times New Roman" w:cs="Times New Roman"/>
              </w:rPr>
              <w:t>294</w:t>
            </w:r>
          </w:p>
        </w:tc>
        <w:tc>
          <w:tcPr>
            <w:tcW w:w="0" w:type="auto"/>
            <w:vAlign w:val="center"/>
            <w:hideMark/>
          </w:tcPr>
          <w:p w14:paraId="37573FC3" w14:textId="77777777" w:rsidR="002A2890" w:rsidRPr="007245B0" w:rsidRDefault="002A2890" w:rsidP="00A351F7">
            <w:pPr>
              <w:pStyle w:val="NoSpacing"/>
              <w:jc w:val="center"/>
              <w:rPr>
                <w:rFonts w:ascii="Times New Roman" w:hAnsi="Times New Roman" w:cs="Times New Roman"/>
              </w:rPr>
            </w:pPr>
            <w:r w:rsidRPr="007245B0">
              <w:rPr>
                <w:rFonts w:ascii="Times New Roman" w:hAnsi="Times New Roman" w:cs="Times New Roman"/>
              </w:rPr>
              <w:t>9.08</w:t>
            </w:r>
          </w:p>
        </w:tc>
        <w:tc>
          <w:tcPr>
            <w:tcW w:w="0" w:type="auto"/>
            <w:vAlign w:val="center"/>
            <w:hideMark/>
          </w:tcPr>
          <w:p w14:paraId="2935E4E6" w14:textId="77777777" w:rsidR="002A2890" w:rsidRPr="007245B0" w:rsidRDefault="002A2890" w:rsidP="00A351F7">
            <w:pPr>
              <w:pStyle w:val="NoSpacing"/>
              <w:jc w:val="center"/>
              <w:rPr>
                <w:rFonts w:ascii="Times New Roman" w:hAnsi="Times New Roman" w:cs="Times New Roman"/>
              </w:rPr>
            </w:pPr>
            <w:r w:rsidRPr="007245B0">
              <w:rPr>
                <w:rFonts w:ascii="Times New Roman" w:hAnsi="Times New Roman" w:cs="Times New Roman"/>
              </w:rPr>
              <w:t>3466</w:t>
            </w:r>
          </w:p>
        </w:tc>
        <w:tc>
          <w:tcPr>
            <w:tcW w:w="0" w:type="auto"/>
            <w:vAlign w:val="center"/>
            <w:hideMark/>
          </w:tcPr>
          <w:p w14:paraId="139B02DB" w14:textId="77777777" w:rsidR="002A2890" w:rsidRPr="007245B0" w:rsidRDefault="002A2890" w:rsidP="00A351F7">
            <w:pPr>
              <w:pStyle w:val="NoSpacing"/>
              <w:jc w:val="center"/>
              <w:rPr>
                <w:rFonts w:ascii="Times New Roman" w:hAnsi="Times New Roman" w:cs="Times New Roman"/>
              </w:rPr>
            </w:pPr>
            <w:r w:rsidRPr="007245B0">
              <w:rPr>
                <w:rFonts w:ascii="Times New Roman" w:hAnsi="Times New Roman" w:cs="Times New Roman"/>
              </w:rPr>
              <w:t>4.8</w:t>
            </w:r>
          </w:p>
        </w:tc>
      </w:tr>
      <w:tr w:rsidR="002A2890" w:rsidRPr="007245B0" w14:paraId="0A7CE404" w14:textId="77777777" w:rsidTr="00A351F7">
        <w:trPr>
          <w:trHeight w:val="359"/>
        </w:trPr>
        <w:tc>
          <w:tcPr>
            <w:tcW w:w="0" w:type="auto"/>
            <w:hideMark/>
          </w:tcPr>
          <w:p w14:paraId="0FCECA95" w14:textId="4FAF0777" w:rsidR="002A2890" w:rsidRPr="007245B0" w:rsidRDefault="002A2890" w:rsidP="002A2890">
            <w:pPr>
              <w:pStyle w:val="NoSpacing"/>
              <w:rPr>
                <w:rFonts w:ascii="Times New Roman" w:hAnsi="Times New Roman" w:cs="Times New Roman"/>
              </w:rPr>
            </w:pPr>
            <w:r>
              <w:rPr>
                <w:rFonts w:ascii="Times New Roman" w:hAnsi="Times New Roman" w:cs="Times New Roman"/>
              </w:rPr>
              <w:t>Over 10</w:t>
            </w:r>
            <w:r w:rsidRPr="007245B0">
              <w:rPr>
                <w:rFonts w:ascii="Times New Roman" w:hAnsi="Times New Roman" w:cs="Times New Roman"/>
              </w:rPr>
              <w:t xml:space="preserve"> </w:t>
            </w:r>
            <w:r>
              <w:rPr>
                <w:rFonts w:ascii="Times New Roman" w:hAnsi="Times New Roman" w:cs="Times New Roman"/>
              </w:rPr>
              <w:t>but no exceeding</w:t>
            </w:r>
            <w:r w:rsidRPr="007245B0">
              <w:rPr>
                <w:rFonts w:ascii="Times New Roman" w:hAnsi="Times New Roman" w:cs="Times New Roman"/>
              </w:rPr>
              <w:t xml:space="preserve"> </w:t>
            </w:r>
            <w:r>
              <w:rPr>
                <w:rFonts w:ascii="Times New Roman" w:hAnsi="Times New Roman" w:cs="Times New Roman"/>
              </w:rPr>
              <w:t>1</w:t>
            </w:r>
            <w:r w:rsidRPr="007245B0">
              <w:rPr>
                <w:rFonts w:ascii="Times New Roman" w:hAnsi="Times New Roman" w:cs="Times New Roman"/>
              </w:rPr>
              <w:t>5 acres</w:t>
            </w:r>
          </w:p>
        </w:tc>
        <w:tc>
          <w:tcPr>
            <w:tcW w:w="0" w:type="auto"/>
            <w:vAlign w:val="center"/>
            <w:hideMark/>
          </w:tcPr>
          <w:p w14:paraId="0B3E711A" w14:textId="77777777" w:rsidR="002A2890" w:rsidRPr="007245B0" w:rsidRDefault="002A2890" w:rsidP="00A351F7">
            <w:pPr>
              <w:pStyle w:val="NoSpacing"/>
              <w:jc w:val="center"/>
              <w:rPr>
                <w:rFonts w:ascii="Times New Roman" w:hAnsi="Times New Roman" w:cs="Times New Roman"/>
              </w:rPr>
            </w:pPr>
            <w:r w:rsidRPr="007245B0">
              <w:rPr>
                <w:rFonts w:ascii="Times New Roman" w:hAnsi="Times New Roman" w:cs="Times New Roman"/>
              </w:rPr>
              <w:t>446</w:t>
            </w:r>
          </w:p>
        </w:tc>
        <w:tc>
          <w:tcPr>
            <w:tcW w:w="0" w:type="auto"/>
            <w:vAlign w:val="center"/>
            <w:hideMark/>
          </w:tcPr>
          <w:p w14:paraId="7585A40B" w14:textId="77777777" w:rsidR="002A2890" w:rsidRPr="007245B0" w:rsidRDefault="002A2890" w:rsidP="00A351F7">
            <w:pPr>
              <w:pStyle w:val="NoSpacing"/>
              <w:jc w:val="center"/>
              <w:rPr>
                <w:rFonts w:ascii="Times New Roman" w:hAnsi="Times New Roman" w:cs="Times New Roman"/>
              </w:rPr>
            </w:pPr>
            <w:r w:rsidRPr="007245B0">
              <w:rPr>
                <w:rFonts w:ascii="Times New Roman" w:hAnsi="Times New Roman" w:cs="Times New Roman"/>
              </w:rPr>
              <w:t>13.77</w:t>
            </w:r>
          </w:p>
        </w:tc>
        <w:tc>
          <w:tcPr>
            <w:tcW w:w="0" w:type="auto"/>
            <w:vAlign w:val="center"/>
            <w:hideMark/>
          </w:tcPr>
          <w:p w14:paraId="22F343A4" w14:textId="77777777" w:rsidR="002A2890" w:rsidRPr="007245B0" w:rsidRDefault="002A2890" w:rsidP="00A351F7">
            <w:pPr>
              <w:pStyle w:val="NoSpacing"/>
              <w:jc w:val="center"/>
              <w:rPr>
                <w:rFonts w:ascii="Times New Roman" w:hAnsi="Times New Roman" w:cs="Times New Roman"/>
              </w:rPr>
            </w:pPr>
            <w:r w:rsidRPr="007245B0">
              <w:rPr>
                <w:rFonts w:ascii="Times New Roman" w:hAnsi="Times New Roman" w:cs="Times New Roman"/>
              </w:rPr>
              <w:t>3911</w:t>
            </w:r>
          </w:p>
        </w:tc>
        <w:tc>
          <w:tcPr>
            <w:tcW w:w="0" w:type="auto"/>
            <w:vAlign w:val="center"/>
            <w:hideMark/>
          </w:tcPr>
          <w:p w14:paraId="6976B7FA" w14:textId="77777777" w:rsidR="002A2890" w:rsidRPr="007245B0" w:rsidRDefault="002A2890" w:rsidP="00A351F7">
            <w:pPr>
              <w:pStyle w:val="NoSpacing"/>
              <w:jc w:val="center"/>
              <w:rPr>
                <w:rFonts w:ascii="Times New Roman" w:hAnsi="Times New Roman" w:cs="Times New Roman"/>
              </w:rPr>
            </w:pPr>
            <w:r w:rsidRPr="007245B0">
              <w:rPr>
                <w:rFonts w:ascii="Times New Roman" w:hAnsi="Times New Roman" w:cs="Times New Roman"/>
              </w:rPr>
              <w:t>5.4</w:t>
            </w:r>
          </w:p>
        </w:tc>
      </w:tr>
      <w:tr w:rsidR="002A2890" w:rsidRPr="007245B0" w14:paraId="48804F52" w14:textId="77777777" w:rsidTr="00A351F7">
        <w:trPr>
          <w:trHeight w:val="377"/>
        </w:trPr>
        <w:tc>
          <w:tcPr>
            <w:tcW w:w="0" w:type="auto"/>
            <w:hideMark/>
          </w:tcPr>
          <w:p w14:paraId="74441A08" w14:textId="4037FDA8" w:rsidR="002A2890" w:rsidRPr="007245B0" w:rsidRDefault="002A2890" w:rsidP="002A2890">
            <w:pPr>
              <w:pStyle w:val="NoSpacing"/>
              <w:rPr>
                <w:rFonts w:ascii="Times New Roman" w:hAnsi="Times New Roman" w:cs="Times New Roman"/>
              </w:rPr>
            </w:pPr>
            <w:r>
              <w:rPr>
                <w:rFonts w:ascii="Times New Roman" w:hAnsi="Times New Roman" w:cs="Times New Roman"/>
              </w:rPr>
              <w:t>Over 1</w:t>
            </w:r>
            <w:r w:rsidRPr="007245B0">
              <w:rPr>
                <w:rFonts w:ascii="Times New Roman" w:hAnsi="Times New Roman" w:cs="Times New Roman"/>
              </w:rPr>
              <w:t xml:space="preserve">5 </w:t>
            </w:r>
            <w:r>
              <w:rPr>
                <w:rFonts w:ascii="Times New Roman" w:hAnsi="Times New Roman" w:cs="Times New Roman"/>
              </w:rPr>
              <w:t>but no exceeding 20</w:t>
            </w:r>
            <w:r w:rsidRPr="007245B0">
              <w:rPr>
                <w:rFonts w:ascii="Times New Roman" w:hAnsi="Times New Roman" w:cs="Times New Roman"/>
              </w:rPr>
              <w:t xml:space="preserve"> acres</w:t>
            </w:r>
          </w:p>
        </w:tc>
        <w:tc>
          <w:tcPr>
            <w:tcW w:w="0" w:type="auto"/>
            <w:vAlign w:val="center"/>
            <w:hideMark/>
          </w:tcPr>
          <w:p w14:paraId="73A7A807" w14:textId="77777777" w:rsidR="002A2890" w:rsidRPr="007245B0" w:rsidRDefault="002A2890" w:rsidP="00A351F7">
            <w:pPr>
              <w:pStyle w:val="NoSpacing"/>
              <w:jc w:val="center"/>
              <w:rPr>
                <w:rFonts w:ascii="Times New Roman" w:hAnsi="Times New Roman" w:cs="Times New Roman"/>
              </w:rPr>
            </w:pPr>
            <w:r w:rsidRPr="007245B0">
              <w:rPr>
                <w:rFonts w:ascii="Times New Roman" w:hAnsi="Times New Roman" w:cs="Times New Roman"/>
              </w:rPr>
              <w:t>304</w:t>
            </w:r>
          </w:p>
        </w:tc>
        <w:tc>
          <w:tcPr>
            <w:tcW w:w="0" w:type="auto"/>
            <w:vAlign w:val="center"/>
            <w:hideMark/>
          </w:tcPr>
          <w:p w14:paraId="01E60FF4" w14:textId="77777777" w:rsidR="002A2890" w:rsidRPr="007245B0" w:rsidRDefault="002A2890" w:rsidP="00A351F7">
            <w:pPr>
              <w:pStyle w:val="NoSpacing"/>
              <w:jc w:val="center"/>
              <w:rPr>
                <w:rFonts w:ascii="Times New Roman" w:hAnsi="Times New Roman" w:cs="Times New Roman"/>
              </w:rPr>
            </w:pPr>
            <w:r w:rsidRPr="007245B0">
              <w:rPr>
                <w:rFonts w:ascii="Times New Roman" w:hAnsi="Times New Roman" w:cs="Times New Roman"/>
              </w:rPr>
              <w:t>9.39</w:t>
            </w:r>
          </w:p>
        </w:tc>
        <w:tc>
          <w:tcPr>
            <w:tcW w:w="0" w:type="auto"/>
            <w:vAlign w:val="center"/>
            <w:hideMark/>
          </w:tcPr>
          <w:p w14:paraId="71FEBD68" w14:textId="77777777" w:rsidR="002A2890" w:rsidRPr="007245B0" w:rsidRDefault="002A2890" w:rsidP="00A351F7">
            <w:pPr>
              <w:pStyle w:val="NoSpacing"/>
              <w:jc w:val="center"/>
              <w:rPr>
                <w:rFonts w:ascii="Times New Roman" w:hAnsi="Times New Roman" w:cs="Times New Roman"/>
              </w:rPr>
            </w:pPr>
            <w:r w:rsidRPr="007245B0">
              <w:rPr>
                <w:rFonts w:ascii="Times New Roman" w:hAnsi="Times New Roman" w:cs="Times New Roman"/>
              </w:rPr>
              <w:t>1826</w:t>
            </w:r>
          </w:p>
        </w:tc>
        <w:tc>
          <w:tcPr>
            <w:tcW w:w="0" w:type="auto"/>
            <w:vAlign w:val="center"/>
            <w:hideMark/>
          </w:tcPr>
          <w:p w14:paraId="54B540B5" w14:textId="77777777" w:rsidR="002A2890" w:rsidRPr="007245B0" w:rsidRDefault="002A2890" w:rsidP="00A351F7">
            <w:pPr>
              <w:pStyle w:val="NoSpacing"/>
              <w:jc w:val="center"/>
              <w:rPr>
                <w:rFonts w:ascii="Times New Roman" w:hAnsi="Times New Roman" w:cs="Times New Roman"/>
              </w:rPr>
            </w:pPr>
            <w:r w:rsidRPr="007245B0">
              <w:rPr>
                <w:rFonts w:ascii="Times New Roman" w:hAnsi="Times New Roman" w:cs="Times New Roman"/>
              </w:rPr>
              <w:t>2.5</w:t>
            </w:r>
          </w:p>
        </w:tc>
      </w:tr>
      <w:tr w:rsidR="002A2890" w:rsidRPr="007245B0" w14:paraId="6BEA2515" w14:textId="77777777" w:rsidTr="00A351F7">
        <w:trPr>
          <w:trHeight w:val="359"/>
        </w:trPr>
        <w:tc>
          <w:tcPr>
            <w:tcW w:w="0" w:type="auto"/>
            <w:hideMark/>
          </w:tcPr>
          <w:p w14:paraId="7D6FE862" w14:textId="2386C9C7" w:rsidR="002A2890" w:rsidRPr="007245B0" w:rsidRDefault="002A2890" w:rsidP="002A2890">
            <w:pPr>
              <w:pStyle w:val="NoSpacing"/>
              <w:rPr>
                <w:rFonts w:ascii="Times New Roman" w:hAnsi="Times New Roman" w:cs="Times New Roman"/>
              </w:rPr>
            </w:pPr>
            <w:r>
              <w:rPr>
                <w:rFonts w:ascii="Times New Roman" w:hAnsi="Times New Roman" w:cs="Times New Roman"/>
              </w:rPr>
              <w:t xml:space="preserve">Over </w:t>
            </w:r>
            <w:r w:rsidRPr="007245B0">
              <w:rPr>
                <w:rFonts w:ascii="Times New Roman" w:hAnsi="Times New Roman" w:cs="Times New Roman"/>
              </w:rPr>
              <w:t>2</w:t>
            </w:r>
            <w:r>
              <w:rPr>
                <w:rFonts w:ascii="Times New Roman" w:hAnsi="Times New Roman" w:cs="Times New Roman"/>
              </w:rPr>
              <w:t>0</w:t>
            </w:r>
            <w:r w:rsidRPr="007245B0">
              <w:rPr>
                <w:rFonts w:ascii="Times New Roman" w:hAnsi="Times New Roman" w:cs="Times New Roman"/>
              </w:rPr>
              <w:t xml:space="preserve"> </w:t>
            </w:r>
            <w:r>
              <w:rPr>
                <w:rFonts w:ascii="Times New Roman" w:hAnsi="Times New Roman" w:cs="Times New Roman"/>
              </w:rPr>
              <w:t>but no exceeding</w:t>
            </w:r>
            <w:r w:rsidRPr="007245B0">
              <w:rPr>
                <w:rFonts w:ascii="Times New Roman" w:hAnsi="Times New Roman" w:cs="Times New Roman"/>
              </w:rPr>
              <w:t xml:space="preserve"> </w:t>
            </w:r>
            <w:r>
              <w:rPr>
                <w:rFonts w:ascii="Times New Roman" w:hAnsi="Times New Roman" w:cs="Times New Roman"/>
              </w:rPr>
              <w:t>2</w:t>
            </w:r>
            <w:r w:rsidRPr="007245B0">
              <w:rPr>
                <w:rFonts w:ascii="Times New Roman" w:hAnsi="Times New Roman" w:cs="Times New Roman"/>
              </w:rPr>
              <w:t>5 acres</w:t>
            </w:r>
          </w:p>
        </w:tc>
        <w:tc>
          <w:tcPr>
            <w:tcW w:w="0" w:type="auto"/>
            <w:vAlign w:val="center"/>
            <w:hideMark/>
          </w:tcPr>
          <w:p w14:paraId="4932F182" w14:textId="77777777" w:rsidR="002A2890" w:rsidRPr="007245B0" w:rsidRDefault="002A2890" w:rsidP="00A351F7">
            <w:pPr>
              <w:pStyle w:val="NoSpacing"/>
              <w:jc w:val="center"/>
              <w:rPr>
                <w:rFonts w:ascii="Times New Roman" w:hAnsi="Times New Roman" w:cs="Times New Roman"/>
              </w:rPr>
            </w:pPr>
            <w:r w:rsidRPr="007245B0">
              <w:rPr>
                <w:rFonts w:ascii="Times New Roman" w:hAnsi="Times New Roman" w:cs="Times New Roman"/>
              </w:rPr>
              <w:t>232</w:t>
            </w:r>
          </w:p>
        </w:tc>
        <w:tc>
          <w:tcPr>
            <w:tcW w:w="0" w:type="auto"/>
            <w:vAlign w:val="center"/>
            <w:hideMark/>
          </w:tcPr>
          <w:p w14:paraId="4267F672" w14:textId="77777777" w:rsidR="002A2890" w:rsidRPr="007245B0" w:rsidRDefault="002A2890" w:rsidP="00A351F7">
            <w:pPr>
              <w:pStyle w:val="NoSpacing"/>
              <w:jc w:val="center"/>
              <w:rPr>
                <w:rFonts w:ascii="Times New Roman" w:hAnsi="Times New Roman" w:cs="Times New Roman"/>
              </w:rPr>
            </w:pPr>
            <w:r w:rsidRPr="007245B0">
              <w:rPr>
                <w:rFonts w:ascii="Times New Roman" w:hAnsi="Times New Roman" w:cs="Times New Roman"/>
              </w:rPr>
              <w:t>7.17</w:t>
            </w:r>
          </w:p>
        </w:tc>
        <w:tc>
          <w:tcPr>
            <w:tcW w:w="0" w:type="auto"/>
            <w:vAlign w:val="center"/>
            <w:hideMark/>
          </w:tcPr>
          <w:p w14:paraId="296654AC" w14:textId="77777777" w:rsidR="002A2890" w:rsidRPr="007245B0" w:rsidRDefault="002A2890" w:rsidP="00A351F7">
            <w:pPr>
              <w:pStyle w:val="NoSpacing"/>
              <w:jc w:val="center"/>
              <w:rPr>
                <w:rFonts w:ascii="Times New Roman" w:hAnsi="Times New Roman" w:cs="Times New Roman"/>
              </w:rPr>
            </w:pPr>
            <w:r w:rsidRPr="007245B0">
              <w:rPr>
                <w:rFonts w:ascii="Times New Roman" w:hAnsi="Times New Roman" w:cs="Times New Roman"/>
              </w:rPr>
              <w:t>1088</w:t>
            </w:r>
          </w:p>
        </w:tc>
        <w:tc>
          <w:tcPr>
            <w:tcW w:w="0" w:type="auto"/>
            <w:vAlign w:val="center"/>
            <w:hideMark/>
          </w:tcPr>
          <w:p w14:paraId="55CB1B7B" w14:textId="77777777" w:rsidR="002A2890" w:rsidRPr="007245B0" w:rsidRDefault="002A2890" w:rsidP="00A351F7">
            <w:pPr>
              <w:pStyle w:val="NoSpacing"/>
              <w:jc w:val="center"/>
              <w:rPr>
                <w:rFonts w:ascii="Times New Roman" w:hAnsi="Times New Roman" w:cs="Times New Roman"/>
              </w:rPr>
            </w:pPr>
            <w:r w:rsidRPr="007245B0">
              <w:rPr>
                <w:rFonts w:ascii="Times New Roman" w:hAnsi="Times New Roman" w:cs="Times New Roman"/>
              </w:rPr>
              <w:t>1.5</w:t>
            </w:r>
          </w:p>
        </w:tc>
      </w:tr>
      <w:tr w:rsidR="00424B7B" w:rsidRPr="007245B0" w14:paraId="75B6E7A7" w14:textId="77777777" w:rsidTr="00A351F7">
        <w:trPr>
          <w:trHeight w:val="359"/>
        </w:trPr>
        <w:tc>
          <w:tcPr>
            <w:tcW w:w="0" w:type="auto"/>
            <w:hideMark/>
          </w:tcPr>
          <w:p w14:paraId="109D89F2" w14:textId="77777777" w:rsidR="00424B7B" w:rsidRPr="007245B0" w:rsidRDefault="00424B7B" w:rsidP="00B77C0B">
            <w:pPr>
              <w:pStyle w:val="NoSpacing"/>
              <w:rPr>
                <w:rFonts w:ascii="Times New Roman" w:hAnsi="Times New Roman" w:cs="Times New Roman"/>
              </w:rPr>
            </w:pPr>
            <w:r w:rsidRPr="007245B0">
              <w:rPr>
                <w:rFonts w:ascii="Times New Roman" w:hAnsi="Times New Roman" w:cs="Times New Roman"/>
              </w:rPr>
              <w:t>Over 25 acres</w:t>
            </w:r>
          </w:p>
        </w:tc>
        <w:tc>
          <w:tcPr>
            <w:tcW w:w="0" w:type="auto"/>
            <w:vAlign w:val="center"/>
            <w:hideMark/>
          </w:tcPr>
          <w:p w14:paraId="06C1D160" w14:textId="77777777" w:rsidR="00424B7B" w:rsidRPr="007245B0" w:rsidRDefault="00424B7B" w:rsidP="00A351F7">
            <w:pPr>
              <w:pStyle w:val="NoSpacing"/>
              <w:jc w:val="center"/>
              <w:rPr>
                <w:rFonts w:ascii="Times New Roman" w:hAnsi="Times New Roman" w:cs="Times New Roman"/>
              </w:rPr>
            </w:pPr>
            <w:r w:rsidRPr="007245B0">
              <w:rPr>
                <w:rFonts w:ascii="Times New Roman" w:hAnsi="Times New Roman" w:cs="Times New Roman"/>
              </w:rPr>
              <w:t>1003</w:t>
            </w:r>
          </w:p>
        </w:tc>
        <w:tc>
          <w:tcPr>
            <w:tcW w:w="0" w:type="auto"/>
            <w:vAlign w:val="center"/>
            <w:hideMark/>
          </w:tcPr>
          <w:p w14:paraId="5489F5CA" w14:textId="77777777" w:rsidR="00424B7B" w:rsidRPr="007245B0" w:rsidRDefault="00424B7B" w:rsidP="00A351F7">
            <w:pPr>
              <w:pStyle w:val="NoSpacing"/>
              <w:jc w:val="center"/>
              <w:rPr>
                <w:rFonts w:ascii="Times New Roman" w:hAnsi="Times New Roman" w:cs="Times New Roman"/>
              </w:rPr>
            </w:pPr>
            <w:r w:rsidRPr="007245B0">
              <w:rPr>
                <w:rFonts w:ascii="Times New Roman" w:hAnsi="Times New Roman" w:cs="Times New Roman"/>
              </w:rPr>
              <w:t>30.97</w:t>
            </w:r>
          </w:p>
        </w:tc>
        <w:tc>
          <w:tcPr>
            <w:tcW w:w="0" w:type="auto"/>
            <w:vAlign w:val="center"/>
            <w:hideMark/>
          </w:tcPr>
          <w:p w14:paraId="4BA71CC6" w14:textId="77777777" w:rsidR="00424B7B" w:rsidRPr="007245B0" w:rsidRDefault="00424B7B" w:rsidP="00A351F7">
            <w:pPr>
              <w:pStyle w:val="NoSpacing"/>
              <w:jc w:val="center"/>
              <w:rPr>
                <w:rFonts w:ascii="Times New Roman" w:hAnsi="Times New Roman" w:cs="Times New Roman"/>
              </w:rPr>
            </w:pPr>
            <w:r w:rsidRPr="007245B0">
              <w:rPr>
                <w:rFonts w:ascii="Times New Roman" w:hAnsi="Times New Roman" w:cs="Times New Roman"/>
              </w:rPr>
              <w:t>2143</w:t>
            </w:r>
          </w:p>
        </w:tc>
        <w:tc>
          <w:tcPr>
            <w:tcW w:w="0" w:type="auto"/>
            <w:vAlign w:val="center"/>
            <w:hideMark/>
          </w:tcPr>
          <w:p w14:paraId="6507C253" w14:textId="77777777" w:rsidR="00424B7B" w:rsidRPr="007245B0" w:rsidRDefault="00424B7B" w:rsidP="00A351F7">
            <w:pPr>
              <w:pStyle w:val="NoSpacing"/>
              <w:jc w:val="center"/>
              <w:rPr>
                <w:rFonts w:ascii="Times New Roman" w:hAnsi="Times New Roman" w:cs="Times New Roman"/>
              </w:rPr>
            </w:pPr>
            <w:r w:rsidRPr="007245B0">
              <w:rPr>
                <w:rFonts w:ascii="Times New Roman" w:hAnsi="Times New Roman" w:cs="Times New Roman"/>
              </w:rPr>
              <w:t>3.0</w:t>
            </w:r>
          </w:p>
        </w:tc>
      </w:tr>
      <w:tr w:rsidR="00424B7B" w:rsidRPr="007245B0" w14:paraId="2944667B" w14:textId="77777777" w:rsidTr="00A351F7">
        <w:trPr>
          <w:trHeight w:val="359"/>
        </w:trPr>
        <w:tc>
          <w:tcPr>
            <w:tcW w:w="0" w:type="auto"/>
            <w:hideMark/>
          </w:tcPr>
          <w:p w14:paraId="04E1FB64" w14:textId="77777777" w:rsidR="00424B7B" w:rsidRPr="007245B0" w:rsidRDefault="00424B7B" w:rsidP="00B77C0B">
            <w:pPr>
              <w:pStyle w:val="NoSpacing"/>
              <w:rPr>
                <w:rFonts w:ascii="Times New Roman" w:hAnsi="Times New Roman" w:cs="Times New Roman"/>
              </w:rPr>
            </w:pPr>
            <w:r w:rsidRPr="007245B0">
              <w:rPr>
                <w:rFonts w:ascii="Times New Roman" w:hAnsi="Times New Roman" w:cs="Times New Roman"/>
              </w:rPr>
              <w:t>TOTAL</w:t>
            </w:r>
          </w:p>
        </w:tc>
        <w:tc>
          <w:tcPr>
            <w:tcW w:w="0" w:type="auto"/>
            <w:vAlign w:val="center"/>
            <w:hideMark/>
          </w:tcPr>
          <w:p w14:paraId="6C75D968" w14:textId="77777777" w:rsidR="00424B7B" w:rsidRPr="007245B0" w:rsidRDefault="00424B7B" w:rsidP="00A351F7">
            <w:pPr>
              <w:pStyle w:val="NoSpacing"/>
              <w:jc w:val="center"/>
              <w:rPr>
                <w:rFonts w:ascii="Times New Roman" w:hAnsi="Times New Roman" w:cs="Times New Roman"/>
              </w:rPr>
            </w:pPr>
            <w:r w:rsidRPr="007245B0">
              <w:rPr>
                <w:rFonts w:ascii="Times New Roman" w:hAnsi="Times New Roman" w:cs="Times New Roman"/>
              </w:rPr>
              <w:t>3238</w:t>
            </w:r>
          </w:p>
        </w:tc>
        <w:tc>
          <w:tcPr>
            <w:tcW w:w="0" w:type="auto"/>
            <w:vAlign w:val="center"/>
            <w:hideMark/>
          </w:tcPr>
          <w:p w14:paraId="00225FD3" w14:textId="77777777" w:rsidR="00424B7B" w:rsidRPr="007245B0" w:rsidRDefault="00424B7B" w:rsidP="00A351F7">
            <w:pPr>
              <w:pStyle w:val="NoSpacing"/>
              <w:jc w:val="center"/>
              <w:rPr>
                <w:rFonts w:ascii="Times New Roman" w:hAnsi="Times New Roman" w:cs="Times New Roman"/>
              </w:rPr>
            </w:pPr>
            <w:r w:rsidRPr="007245B0">
              <w:rPr>
                <w:rFonts w:ascii="Times New Roman" w:hAnsi="Times New Roman" w:cs="Times New Roman"/>
              </w:rPr>
              <w:t>100.00</w:t>
            </w:r>
          </w:p>
        </w:tc>
        <w:tc>
          <w:tcPr>
            <w:tcW w:w="0" w:type="auto"/>
            <w:vAlign w:val="center"/>
            <w:hideMark/>
          </w:tcPr>
          <w:p w14:paraId="41C2CAA3" w14:textId="77777777" w:rsidR="00424B7B" w:rsidRPr="007245B0" w:rsidRDefault="00424B7B" w:rsidP="00A351F7">
            <w:pPr>
              <w:pStyle w:val="NoSpacing"/>
              <w:jc w:val="center"/>
              <w:rPr>
                <w:rFonts w:ascii="Times New Roman" w:hAnsi="Times New Roman" w:cs="Times New Roman"/>
              </w:rPr>
            </w:pPr>
            <w:r w:rsidRPr="007245B0">
              <w:rPr>
                <w:rFonts w:ascii="Times New Roman" w:hAnsi="Times New Roman" w:cs="Times New Roman"/>
              </w:rPr>
              <w:t>72052</w:t>
            </w:r>
          </w:p>
        </w:tc>
        <w:tc>
          <w:tcPr>
            <w:tcW w:w="0" w:type="auto"/>
            <w:vAlign w:val="center"/>
            <w:hideMark/>
          </w:tcPr>
          <w:p w14:paraId="68E4B6C4" w14:textId="77777777" w:rsidR="00424B7B" w:rsidRPr="007245B0" w:rsidRDefault="00424B7B" w:rsidP="00A351F7">
            <w:pPr>
              <w:pStyle w:val="NoSpacing"/>
              <w:jc w:val="center"/>
              <w:rPr>
                <w:rFonts w:ascii="Times New Roman" w:hAnsi="Times New Roman" w:cs="Times New Roman"/>
              </w:rPr>
            </w:pPr>
            <w:r w:rsidRPr="007245B0">
              <w:rPr>
                <w:rFonts w:ascii="Times New Roman" w:hAnsi="Times New Roman" w:cs="Times New Roman"/>
              </w:rPr>
              <w:t>100.00</w:t>
            </w:r>
          </w:p>
        </w:tc>
      </w:tr>
    </w:tbl>
    <w:p w14:paraId="71FD1095" w14:textId="287F7DDE" w:rsidR="00424B7B" w:rsidRPr="00A351F7" w:rsidRDefault="00424B7B" w:rsidP="00A351F7">
      <w:pPr>
        <w:rPr>
          <w:rFonts w:ascii="Times New Roman" w:hAnsi="Times New Roman" w:cs="Times New Roman"/>
          <w:sz w:val="20"/>
          <w:szCs w:val="18"/>
        </w:rPr>
      </w:pPr>
      <w:r w:rsidRPr="00A351F7">
        <w:rPr>
          <w:rFonts w:ascii="Times New Roman" w:hAnsi="Times New Roman" w:cs="Times New Roman"/>
          <w:sz w:val="20"/>
          <w:szCs w:val="18"/>
        </w:rPr>
        <w:t>N.B.  (i) Area operated represents all lands used wholly or partly for agricultural production and operated by the persons, alone or with the assistance of</w:t>
      </w:r>
      <w:r w:rsidR="00FF555E" w:rsidRPr="00A351F7">
        <w:rPr>
          <w:rFonts w:ascii="Times New Roman" w:hAnsi="Times New Roman" w:cs="Times New Roman"/>
          <w:sz w:val="20"/>
          <w:szCs w:val="18"/>
        </w:rPr>
        <w:t xml:space="preserve"> </w:t>
      </w:r>
      <w:r w:rsidRPr="00A351F7">
        <w:rPr>
          <w:rFonts w:ascii="Times New Roman" w:hAnsi="Times New Roman" w:cs="Times New Roman"/>
          <w:sz w:val="20"/>
          <w:szCs w:val="18"/>
        </w:rPr>
        <w:t>others, without regard to title, size, or location.</w:t>
      </w:r>
    </w:p>
    <w:p w14:paraId="147219B2" w14:textId="3E0C64DF" w:rsidR="00424B7B" w:rsidRPr="00A351F7" w:rsidRDefault="00424B7B" w:rsidP="00A351F7">
      <w:pPr>
        <w:rPr>
          <w:rFonts w:ascii="Times New Roman" w:hAnsi="Times New Roman" w:cs="Times New Roman"/>
          <w:sz w:val="20"/>
          <w:szCs w:val="18"/>
        </w:rPr>
      </w:pPr>
      <w:r w:rsidRPr="00A351F7">
        <w:rPr>
          <w:rFonts w:ascii="Times New Roman" w:hAnsi="Times New Roman" w:cs="Times New Roman"/>
          <w:sz w:val="20"/>
          <w:szCs w:val="18"/>
        </w:rPr>
        <w:t>(ii) A house-hold is a group of persons who usually live together and take their    meals from a common kitchen.</w:t>
      </w:r>
    </w:p>
    <w:p w14:paraId="785074FD" w14:textId="77777777" w:rsidR="00424B7B" w:rsidRPr="00A351F7" w:rsidRDefault="00424B7B" w:rsidP="00424B7B">
      <w:pPr>
        <w:rPr>
          <w:rFonts w:ascii="Times New Roman" w:hAnsi="Times New Roman" w:cs="Times New Roman"/>
          <w:sz w:val="20"/>
          <w:szCs w:val="18"/>
        </w:rPr>
      </w:pPr>
      <w:r w:rsidRPr="00A351F7">
        <w:rPr>
          <w:rFonts w:ascii="Times New Roman" w:hAnsi="Times New Roman" w:cs="Times New Roman"/>
          <w:sz w:val="20"/>
          <w:szCs w:val="18"/>
        </w:rPr>
        <w:t>Source: National Sample survey, 17th Round.</w:t>
      </w:r>
    </w:p>
    <w:p w14:paraId="0E23D3D9" w14:textId="77777777" w:rsidR="00424B7B" w:rsidRPr="007245B0" w:rsidRDefault="00424B7B" w:rsidP="00424B7B">
      <w:pPr>
        <w:rPr>
          <w:rFonts w:ascii="Times New Roman" w:hAnsi="Times New Roman" w:cs="Times New Roman"/>
        </w:rPr>
      </w:pPr>
    </w:p>
    <w:p w14:paraId="4E76ED06" w14:textId="77777777" w:rsidR="00424B7B" w:rsidRPr="007245B0" w:rsidRDefault="00424B7B" w:rsidP="00424B7B">
      <w:pPr>
        <w:rPr>
          <w:rFonts w:ascii="Times New Roman" w:hAnsi="Times New Roman" w:cs="Times New Roman"/>
        </w:rPr>
      </w:pPr>
    </w:p>
    <w:p w14:paraId="370D4DA9" w14:textId="77777777" w:rsidR="00424B7B" w:rsidRPr="007245B0" w:rsidRDefault="00424B7B" w:rsidP="00424B7B">
      <w:pPr>
        <w:rPr>
          <w:rFonts w:ascii="Times New Roman" w:hAnsi="Times New Roman" w:cs="Times New Roman"/>
        </w:rPr>
      </w:pPr>
    </w:p>
    <w:p w14:paraId="1D4387A2" w14:textId="77777777" w:rsidR="00424B7B" w:rsidRPr="007245B0" w:rsidRDefault="00424B7B" w:rsidP="00424B7B">
      <w:pPr>
        <w:rPr>
          <w:rFonts w:ascii="Times New Roman" w:hAnsi="Times New Roman" w:cs="Times New Roman"/>
        </w:rPr>
      </w:pPr>
    </w:p>
    <w:p w14:paraId="025FB8AD" w14:textId="77777777" w:rsidR="00424B7B" w:rsidRPr="007245B0" w:rsidRDefault="00424B7B" w:rsidP="00424B7B">
      <w:pPr>
        <w:rPr>
          <w:rFonts w:ascii="Times New Roman" w:hAnsi="Times New Roman" w:cs="Times New Roman"/>
        </w:rPr>
      </w:pPr>
    </w:p>
    <w:p w14:paraId="0157370F" w14:textId="77777777" w:rsidR="00424B7B" w:rsidRPr="007245B0" w:rsidRDefault="00424B7B" w:rsidP="00424B7B">
      <w:pPr>
        <w:rPr>
          <w:rFonts w:ascii="Times New Roman" w:hAnsi="Times New Roman" w:cs="Times New Roman"/>
        </w:rPr>
      </w:pPr>
    </w:p>
    <w:p w14:paraId="20D917B2" w14:textId="77777777" w:rsidR="00424B7B" w:rsidRPr="007245B0" w:rsidRDefault="00424B7B" w:rsidP="00424B7B">
      <w:pPr>
        <w:rPr>
          <w:rFonts w:ascii="Times New Roman" w:hAnsi="Times New Roman" w:cs="Times New Roman"/>
        </w:rPr>
      </w:pPr>
    </w:p>
    <w:p w14:paraId="0E14A764" w14:textId="77777777" w:rsidR="00424B7B" w:rsidRPr="007245B0" w:rsidRDefault="00424B7B" w:rsidP="00424B7B">
      <w:pPr>
        <w:rPr>
          <w:rFonts w:ascii="Times New Roman" w:hAnsi="Times New Roman" w:cs="Times New Roman"/>
        </w:rPr>
      </w:pPr>
    </w:p>
    <w:p w14:paraId="7696C3ED" w14:textId="77777777" w:rsidR="00424B7B" w:rsidRPr="007245B0" w:rsidRDefault="00424B7B" w:rsidP="00424B7B">
      <w:pPr>
        <w:rPr>
          <w:rFonts w:ascii="Times New Roman" w:hAnsi="Times New Roman" w:cs="Times New Roman"/>
        </w:rPr>
      </w:pPr>
    </w:p>
    <w:p w14:paraId="17A07F8C" w14:textId="77777777" w:rsidR="00424B7B" w:rsidRPr="007245B0" w:rsidRDefault="00424B7B" w:rsidP="00424B7B">
      <w:pPr>
        <w:rPr>
          <w:rFonts w:ascii="Times New Roman" w:hAnsi="Times New Roman" w:cs="Times New Roman"/>
        </w:rPr>
      </w:pPr>
    </w:p>
    <w:p w14:paraId="41F94187" w14:textId="77777777" w:rsidR="00424B7B" w:rsidRPr="007245B0" w:rsidRDefault="00424B7B" w:rsidP="007D2EE4">
      <w:pPr>
        <w:pStyle w:val="Heading4"/>
      </w:pPr>
    </w:p>
    <w:p w14:paraId="59AACDC7" w14:textId="2A27B6ED" w:rsidR="00645889" w:rsidRPr="007245B0" w:rsidRDefault="00574BCE" w:rsidP="007D2EE4">
      <w:pPr>
        <w:pStyle w:val="Heading4"/>
      </w:pPr>
      <w:bookmarkStart w:id="213" w:name="_Toc220949741"/>
      <w:bookmarkStart w:id="214" w:name="_Toc221114341"/>
      <w:bookmarkStart w:id="215" w:name="_Toc221115364"/>
      <w:r>
        <w:t>Table</w:t>
      </w:r>
      <w:r w:rsidR="00645889" w:rsidRPr="007245B0">
        <w:t xml:space="preserve"> 60: Estimated Additional Revenue from Irrigation on the basis of </w:t>
      </w:r>
      <w:r w:rsidR="00360A8F">
        <w:t>water rates</w:t>
      </w:r>
      <w:r w:rsidR="00645889" w:rsidRPr="007245B0">
        <w:t xml:space="preserve"> at 12</w:t>
      </w:r>
      <w:r w:rsidR="00A351F7">
        <w:t xml:space="preserve"> </w:t>
      </w:r>
      <w:r w:rsidR="00645889" w:rsidRPr="007245B0">
        <w:t>per cent of gross income.</w:t>
      </w:r>
      <w:bookmarkEnd w:id="213"/>
      <w:bookmarkEnd w:id="214"/>
      <w:bookmarkEnd w:id="215"/>
    </w:p>
    <w:p w14:paraId="6EEF1577" w14:textId="5558DBC5" w:rsidR="00645889" w:rsidRPr="00A351F7" w:rsidRDefault="00645889" w:rsidP="00645889">
      <w:pPr>
        <w:jc w:val="right"/>
        <w:rPr>
          <w:rFonts w:ascii="Times New Roman" w:hAnsi="Times New Roman" w:cs="Times New Roman"/>
          <w:i/>
          <w:iCs/>
        </w:rPr>
      </w:pPr>
      <w:r w:rsidRPr="00A351F7">
        <w:rPr>
          <w:rFonts w:ascii="Times New Roman" w:hAnsi="Times New Roman" w:cs="Times New Roman"/>
          <w:i/>
          <w:iCs/>
        </w:rPr>
        <w:t>(Rs. Lakhs)</w:t>
      </w:r>
    </w:p>
    <w:tbl>
      <w:tblPr>
        <w:tblStyle w:val="TableGrid"/>
        <w:tblW w:w="11216" w:type="dxa"/>
        <w:tblInd w:w="-1161" w:type="dxa"/>
        <w:tblLook w:val="04A0" w:firstRow="1" w:lastRow="0" w:firstColumn="1" w:lastColumn="0" w:noHBand="0" w:noVBand="1"/>
      </w:tblPr>
      <w:tblGrid>
        <w:gridCol w:w="1795"/>
        <w:gridCol w:w="776"/>
        <w:gridCol w:w="1010"/>
        <w:gridCol w:w="1638"/>
        <w:gridCol w:w="1142"/>
        <w:gridCol w:w="2655"/>
        <w:gridCol w:w="2200"/>
      </w:tblGrid>
      <w:tr w:rsidR="00645889" w:rsidRPr="00A351F7" w14:paraId="1AAB9EF8" w14:textId="77777777" w:rsidTr="00886EB4">
        <w:trPr>
          <w:trHeight w:val="1445"/>
        </w:trPr>
        <w:tc>
          <w:tcPr>
            <w:tcW w:w="0" w:type="auto"/>
            <w:vAlign w:val="center"/>
          </w:tcPr>
          <w:p w14:paraId="08A529B5" w14:textId="77777777" w:rsidR="00645889" w:rsidRPr="00A351F7" w:rsidRDefault="00645889" w:rsidP="00A351F7">
            <w:pPr>
              <w:pStyle w:val="NoSpacing"/>
              <w:jc w:val="center"/>
              <w:rPr>
                <w:rFonts w:ascii="Times New Roman" w:hAnsi="Times New Roman" w:cs="Times New Roman"/>
                <w:b/>
                <w:bCs/>
                <w:sz w:val="28"/>
                <w:szCs w:val="22"/>
              </w:rPr>
            </w:pPr>
          </w:p>
        </w:tc>
        <w:tc>
          <w:tcPr>
            <w:tcW w:w="4566" w:type="dxa"/>
            <w:gridSpan w:val="4"/>
            <w:vAlign w:val="center"/>
          </w:tcPr>
          <w:p w14:paraId="433DB322" w14:textId="77777777" w:rsidR="00645889" w:rsidRPr="00A351F7" w:rsidRDefault="00645889" w:rsidP="00A351F7">
            <w:pPr>
              <w:pStyle w:val="NoSpacing"/>
              <w:jc w:val="center"/>
              <w:rPr>
                <w:rFonts w:ascii="Times New Roman" w:hAnsi="Times New Roman" w:cs="Times New Roman"/>
                <w:b/>
                <w:bCs/>
                <w:sz w:val="28"/>
                <w:szCs w:val="22"/>
              </w:rPr>
            </w:pPr>
            <w:r w:rsidRPr="00A351F7">
              <w:rPr>
                <w:rFonts w:ascii="Times New Roman" w:hAnsi="Times New Roman" w:cs="Times New Roman"/>
                <w:b/>
                <w:bCs/>
                <w:sz w:val="28"/>
                <w:szCs w:val="22"/>
              </w:rPr>
              <w:t>Total Revenue from Irrigated Land</w:t>
            </w:r>
          </w:p>
        </w:tc>
        <w:tc>
          <w:tcPr>
            <w:tcW w:w="2655" w:type="dxa"/>
            <w:vMerge w:val="restart"/>
            <w:vAlign w:val="center"/>
          </w:tcPr>
          <w:p w14:paraId="310E09E7" w14:textId="7B037995" w:rsidR="00645889" w:rsidRPr="00A351F7" w:rsidRDefault="00645889" w:rsidP="00A351F7">
            <w:pPr>
              <w:pStyle w:val="NoSpacing"/>
              <w:jc w:val="center"/>
              <w:rPr>
                <w:rFonts w:ascii="Times New Roman" w:hAnsi="Times New Roman" w:cs="Times New Roman"/>
                <w:b/>
                <w:bCs/>
                <w:sz w:val="28"/>
                <w:szCs w:val="22"/>
              </w:rPr>
            </w:pPr>
            <w:r w:rsidRPr="00A351F7">
              <w:rPr>
                <w:rFonts w:ascii="Times New Roman" w:hAnsi="Times New Roman" w:cs="Times New Roman"/>
                <w:b/>
                <w:bCs/>
                <w:sz w:val="28"/>
                <w:szCs w:val="22"/>
              </w:rPr>
              <w:t xml:space="preserve">Existing </w:t>
            </w:r>
            <w:r w:rsidR="00DC115D" w:rsidRPr="00A351F7">
              <w:rPr>
                <w:rFonts w:ascii="Times New Roman" w:hAnsi="Times New Roman" w:cs="Times New Roman"/>
                <w:b/>
                <w:bCs/>
                <w:sz w:val="28"/>
                <w:szCs w:val="22"/>
              </w:rPr>
              <w:t>Revenue from</w:t>
            </w:r>
            <w:r w:rsidRPr="00A351F7">
              <w:rPr>
                <w:rFonts w:ascii="Times New Roman" w:hAnsi="Times New Roman" w:cs="Times New Roman"/>
                <w:b/>
                <w:bCs/>
                <w:sz w:val="28"/>
                <w:szCs w:val="22"/>
              </w:rPr>
              <w:t xml:space="preserve"> water rates from all crops </w:t>
            </w:r>
            <w:r w:rsidRPr="00A351F7">
              <w:rPr>
                <w:rFonts w:ascii="Times New Roman" w:hAnsi="Times New Roman" w:cs="Times New Roman"/>
                <w:b/>
                <w:bCs/>
                <w:sz w:val="28"/>
                <w:szCs w:val="22"/>
              </w:rPr>
              <w:br/>
              <w:t>(1968-69)</w:t>
            </w:r>
          </w:p>
        </w:tc>
        <w:tc>
          <w:tcPr>
            <w:tcW w:w="0" w:type="auto"/>
            <w:vMerge w:val="restart"/>
            <w:vAlign w:val="center"/>
          </w:tcPr>
          <w:p w14:paraId="029EA1A3" w14:textId="77777777" w:rsidR="00645889" w:rsidRPr="00A351F7" w:rsidRDefault="00645889" w:rsidP="00A351F7">
            <w:pPr>
              <w:pStyle w:val="NoSpacing"/>
              <w:jc w:val="center"/>
              <w:rPr>
                <w:rFonts w:ascii="Times New Roman" w:hAnsi="Times New Roman" w:cs="Times New Roman"/>
                <w:b/>
                <w:bCs/>
                <w:sz w:val="28"/>
                <w:szCs w:val="22"/>
              </w:rPr>
            </w:pPr>
            <w:r w:rsidRPr="00A351F7">
              <w:rPr>
                <w:rFonts w:ascii="Times New Roman" w:hAnsi="Times New Roman" w:cs="Times New Roman"/>
                <w:b/>
                <w:bCs/>
                <w:sz w:val="28"/>
                <w:szCs w:val="22"/>
              </w:rPr>
              <w:t>Additional Revenue Expected (5-6)</w:t>
            </w:r>
          </w:p>
        </w:tc>
      </w:tr>
      <w:tr w:rsidR="00645889" w:rsidRPr="00A351F7" w14:paraId="7DEF0AAA" w14:textId="77777777" w:rsidTr="00886EB4">
        <w:trPr>
          <w:trHeight w:val="1445"/>
        </w:trPr>
        <w:tc>
          <w:tcPr>
            <w:tcW w:w="0" w:type="auto"/>
            <w:hideMark/>
          </w:tcPr>
          <w:p w14:paraId="44FE3EC7" w14:textId="77777777" w:rsidR="00645889" w:rsidRPr="00A351F7" w:rsidRDefault="00645889" w:rsidP="00B77C0B">
            <w:pPr>
              <w:pStyle w:val="NoSpacing"/>
              <w:rPr>
                <w:rFonts w:ascii="Times New Roman" w:hAnsi="Times New Roman" w:cs="Times New Roman"/>
                <w:sz w:val="28"/>
                <w:szCs w:val="22"/>
              </w:rPr>
            </w:pPr>
            <w:r w:rsidRPr="00A351F7">
              <w:rPr>
                <w:rFonts w:ascii="Times New Roman" w:hAnsi="Times New Roman" w:cs="Times New Roman"/>
                <w:sz w:val="28"/>
                <w:szCs w:val="22"/>
              </w:rPr>
              <w:t>State</w:t>
            </w:r>
          </w:p>
        </w:tc>
        <w:tc>
          <w:tcPr>
            <w:tcW w:w="0" w:type="auto"/>
            <w:vAlign w:val="center"/>
            <w:hideMark/>
          </w:tcPr>
          <w:p w14:paraId="68BB28FD" w14:textId="7442EA53" w:rsidR="00645889" w:rsidRPr="00A351F7" w:rsidRDefault="00645889" w:rsidP="00A351F7">
            <w:pPr>
              <w:pStyle w:val="NoSpacing"/>
              <w:jc w:val="center"/>
              <w:rPr>
                <w:rFonts w:ascii="Times New Roman" w:hAnsi="Times New Roman" w:cs="Times New Roman"/>
                <w:b/>
                <w:bCs/>
                <w:sz w:val="28"/>
                <w:szCs w:val="22"/>
              </w:rPr>
            </w:pPr>
            <w:r w:rsidRPr="00A351F7">
              <w:rPr>
                <w:rFonts w:ascii="Times New Roman" w:hAnsi="Times New Roman" w:cs="Times New Roman"/>
                <w:b/>
                <w:bCs/>
                <w:sz w:val="28"/>
                <w:szCs w:val="22"/>
              </w:rPr>
              <w:t>Rice</w:t>
            </w:r>
          </w:p>
        </w:tc>
        <w:tc>
          <w:tcPr>
            <w:tcW w:w="0" w:type="auto"/>
            <w:vAlign w:val="center"/>
            <w:hideMark/>
          </w:tcPr>
          <w:p w14:paraId="6F2063CC" w14:textId="7F523E15" w:rsidR="00645889" w:rsidRPr="00A351F7" w:rsidRDefault="00645889" w:rsidP="00A351F7">
            <w:pPr>
              <w:pStyle w:val="NoSpacing"/>
              <w:jc w:val="center"/>
              <w:rPr>
                <w:rFonts w:ascii="Times New Roman" w:hAnsi="Times New Roman" w:cs="Times New Roman"/>
                <w:b/>
                <w:bCs/>
                <w:sz w:val="28"/>
                <w:szCs w:val="22"/>
              </w:rPr>
            </w:pPr>
            <w:r w:rsidRPr="00A351F7">
              <w:rPr>
                <w:rFonts w:ascii="Times New Roman" w:hAnsi="Times New Roman" w:cs="Times New Roman"/>
                <w:b/>
                <w:bCs/>
                <w:sz w:val="28"/>
                <w:szCs w:val="22"/>
              </w:rPr>
              <w:t>Wheat</w:t>
            </w:r>
          </w:p>
        </w:tc>
        <w:tc>
          <w:tcPr>
            <w:tcW w:w="1638" w:type="dxa"/>
            <w:vAlign w:val="center"/>
            <w:hideMark/>
          </w:tcPr>
          <w:p w14:paraId="48A18CE8" w14:textId="43B9208B" w:rsidR="00645889" w:rsidRPr="00A351F7" w:rsidRDefault="00DC115D" w:rsidP="00A351F7">
            <w:pPr>
              <w:pStyle w:val="NoSpacing"/>
              <w:jc w:val="center"/>
              <w:rPr>
                <w:rFonts w:ascii="Times New Roman" w:hAnsi="Times New Roman" w:cs="Times New Roman"/>
                <w:b/>
                <w:bCs/>
                <w:sz w:val="28"/>
                <w:szCs w:val="22"/>
              </w:rPr>
            </w:pPr>
            <w:r w:rsidRPr="00A351F7">
              <w:rPr>
                <w:rFonts w:ascii="Times New Roman" w:hAnsi="Times New Roman" w:cs="Times New Roman"/>
                <w:b/>
                <w:bCs/>
                <w:sz w:val="28"/>
                <w:szCs w:val="22"/>
              </w:rPr>
              <w:t>Sugarcane</w:t>
            </w:r>
          </w:p>
        </w:tc>
        <w:tc>
          <w:tcPr>
            <w:tcW w:w="1142" w:type="dxa"/>
            <w:vAlign w:val="center"/>
            <w:hideMark/>
          </w:tcPr>
          <w:p w14:paraId="78A78D99" w14:textId="2C7AC991" w:rsidR="00645889" w:rsidRPr="00A351F7" w:rsidRDefault="00645889" w:rsidP="00A351F7">
            <w:pPr>
              <w:pStyle w:val="NoSpacing"/>
              <w:jc w:val="center"/>
              <w:rPr>
                <w:rFonts w:ascii="Times New Roman" w:hAnsi="Times New Roman" w:cs="Times New Roman"/>
                <w:b/>
                <w:bCs/>
                <w:sz w:val="28"/>
                <w:szCs w:val="22"/>
              </w:rPr>
            </w:pPr>
            <w:r w:rsidRPr="00A351F7">
              <w:rPr>
                <w:rFonts w:ascii="Times New Roman" w:hAnsi="Times New Roman" w:cs="Times New Roman"/>
                <w:b/>
                <w:bCs/>
                <w:sz w:val="28"/>
                <w:szCs w:val="22"/>
              </w:rPr>
              <w:t>Total</w:t>
            </w:r>
            <w:r w:rsidR="00DC115D" w:rsidRPr="00A351F7">
              <w:rPr>
                <w:rFonts w:ascii="Times New Roman" w:hAnsi="Times New Roman" w:cs="Times New Roman"/>
                <w:b/>
                <w:bCs/>
                <w:sz w:val="28"/>
                <w:szCs w:val="22"/>
              </w:rPr>
              <w:br/>
              <w:t>(2+3+4)</w:t>
            </w:r>
          </w:p>
        </w:tc>
        <w:tc>
          <w:tcPr>
            <w:tcW w:w="2655" w:type="dxa"/>
            <w:vMerge/>
            <w:hideMark/>
          </w:tcPr>
          <w:p w14:paraId="4EF0274F" w14:textId="77777777" w:rsidR="00645889" w:rsidRPr="00A351F7" w:rsidRDefault="00645889" w:rsidP="00B77C0B">
            <w:pPr>
              <w:pStyle w:val="NoSpacing"/>
              <w:rPr>
                <w:rFonts w:ascii="Times New Roman" w:hAnsi="Times New Roman" w:cs="Times New Roman"/>
                <w:sz w:val="28"/>
                <w:szCs w:val="22"/>
              </w:rPr>
            </w:pPr>
          </w:p>
        </w:tc>
        <w:tc>
          <w:tcPr>
            <w:tcW w:w="0" w:type="auto"/>
            <w:vMerge/>
            <w:hideMark/>
          </w:tcPr>
          <w:p w14:paraId="6E20DDEF" w14:textId="77777777" w:rsidR="00645889" w:rsidRPr="00A351F7" w:rsidRDefault="00645889" w:rsidP="00B77C0B">
            <w:pPr>
              <w:pStyle w:val="NoSpacing"/>
              <w:rPr>
                <w:rFonts w:ascii="Times New Roman" w:hAnsi="Times New Roman" w:cs="Times New Roman"/>
                <w:sz w:val="28"/>
                <w:szCs w:val="22"/>
              </w:rPr>
            </w:pPr>
          </w:p>
        </w:tc>
      </w:tr>
      <w:tr w:rsidR="00886EB4" w:rsidRPr="00A351F7" w14:paraId="08341A4D" w14:textId="77777777" w:rsidTr="00886EB4">
        <w:trPr>
          <w:trHeight w:val="567"/>
        </w:trPr>
        <w:tc>
          <w:tcPr>
            <w:tcW w:w="0" w:type="auto"/>
          </w:tcPr>
          <w:p w14:paraId="194EF56F" w14:textId="51E1AF4C" w:rsidR="00886EB4" w:rsidRPr="00A351F7" w:rsidRDefault="00886EB4" w:rsidP="00B77C0B">
            <w:pPr>
              <w:pStyle w:val="NoSpacing"/>
              <w:rPr>
                <w:rFonts w:ascii="Times New Roman" w:hAnsi="Times New Roman" w:cs="Times New Roman"/>
                <w:sz w:val="28"/>
                <w:szCs w:val="22"/>
              </w:rPr>
            </w:pPr>
            <w:r>
              <w:rPr>
                <w:rFonts w:ascii="Times New Roman" w:hAnsi="Times New Roman" w:cs="Times New Roman"/>
                <w:sz w:val="28"/>
                <w:szCs w:val="22"/>
              </w:rPr>
              <w:t>1</w:t>
            </w:r>
          </w:p>
        </w:tc>
        <w:tc>
          <w:tcPr>
            <w:tcW w:w="0" w:type="auto"/>
            <w:vAlign w:val="center"/>
          </w:tcPr>
          <w:p w14:paraId="052A5AB3" w14:textId="5A0EE0B5" w:rsidR="00886EB4" w:rsidRPr="00A351F7" w:rsidRDefault="00886EB4" w:rsidP="00A351F7">
            <w:pPr>
              <w:pStyle w:val="NoSpacing"/>
              <w:jc w:val="center"/>
              <w:rPr>
                <w:rFonts w:ascii="Times New Roman" w:hAnsi="Times New Roman" w:cs="Times New Roman"/>
                <w:sz w:val="28"/>
                <w:szCs w:val="22"/>
              </w:rPr>
            </w:pPr>
            <w:r>
              <w:rPr>
                <w:rFonts w:ascii="Times New Roman" w:hAnsi="Times New Roman" w:cs="Times New Roman"/>
                <w:sz w:val="28"/>
                <w:szCs w:val="22"/>
              </w:rPr>
              <w:t>2</w:t>
            </w:r>
          </w:p>
        </w:tc>
        <w:tc>
          <w:tcPr>
            <w:tcW w:w="0" w:type="auto"/>
            <w:vAlign w:val="center"/>
          </w:tcPr>
          <w:p w14:paraId="44E6416B" w14:textId="07CF6164" w:rsidR="00886EB4" w:rsidRPr="00A351F7" w:rsidRDefault="00886EB4" w:rsidP="00A351F7">
            <w:pPr>
              <w:pStyle w:val="NoSpacing"/>
              <w:jc w:val="center"/>
              <w:rPr>
                <w:rFonts w:ascii="Times New Roman" w:hAnsi="Times New Roman" w:cs="Times New Roman"/>
                <w:sz w:val="28"/>
                <w:szCs w:val="22"/>
              </w:rPr>
            </w:pPr>
            <w:r>
              <w:rPr>
                <w:rFonts w:ascii="Times New Roman" w:hAnsi="Times New Roman" w:cs="Times New Roman"/>
                <w:sz w:val="28"/>
                <w:szCs w:val="22"/>
              </w:rPr>
              <w:t>3</w:t>
            </w:r>
          </w:p>
        </w:tc>
        <w:tc>
          <w:tcPr>
            <w:tcW w:w="1638" w:type="dxa"/>
            <w:vAlign w:val="center"/>
          </w:tcPr>
          <w:p w14:paraId="50688F25" w14:textId="39D7E071" w:rsidR="00886EB4" w:rsidRPr="00A351F7" w:rsidRDefault="00886EB4" w:rsidP="00A351F7">
            <w:pPr>
              <w:pStyle w:val="NoSpacing"/>
              <w:jc w:val="center"/>
              <w:rPr>
                <w:rFonts w:ascii="Times New Roman" w:hAnsi="Times New Roman" w:cs="Times New Roman"/>
                <w:sz w:val="28"/>
                <w:szCs w:val="22"/>
              </w:rPr>
            </w:pPr>
            <w:r>
              <w:rPr>
                <w:rFonts w:ascii="Times New Roman" w:hAnsi="Times New Roman" w:cs="Times New Roman"/>
                <w:sz w:val="28"/>
                <w:szCs w:val="22"/>
              </w:rPr>
              <w:t>4</w:t>
            </w:r>
          </w:p>
        </w:tc>
        <w:tc>
          <w:tcPr>
            <w:tcW w:w="1142" w:type="dxa"/>
            <w:vAlign w:val="center"/>
          </w:tcPr>
          <w:p w14:paraId="56486026" w14:textId="29CA21D9" w:rsidR="00886EB4" w:rsidRPr="00A351F7" w:rsidRDefault="00886EB4" w:rsidP="00A351F7">
            <w:pPr>
              <w:pStyle w:val="NoSpacing"/>
              <w:jc w:val="center"/>
              <w:rPr>
                <w:rFonts w:ascii="Times New Roman" w:hAnsi="Times New Roman" w:cs="Times New Roman"/>
                <w:sz w:val="28"/>
                <w:szCs w:val="22"/>
              </w:rPr>
            </w:pPr>
            <w:r>
              <w:rPr>
                <w:rFonts w:ascii="Times New Roman" w:hAnsi="Times New Roman" w:cs="Times New Roman"/>
                <w:sz w:val="28"/>
                <w:szCs w:val="22"/>
              </w:rPr>
              <w:t>5</w:t>
            </w:r>
          </w:p>
        </w:tc>
        <w:tc>
          <w:tcPr>
            <w:tcW w:w="2655" w:type="dxa"/>
            <w:vAlign w:val="center"/>
          </w:tcPr>
          <w:p w14:paraId="319D6640" w14:textId="4A8150A8" w:rsidR="00886EB4" w:rsidRPr="00A351F7" w:rsidRDefault="00886EB4" w:rsidP="00A351F7">
            <w:pPr>
              <w:pStyle w:val="NoSpacing"/>
              <w:jc w:val="center"/>
              <w:rPr>
                <w:rFonts w:ascii="Times New Roman" w:hAnsi="Times New Roman" w:cs="Times New Roman"/>
                <w:sz w:val="28"/>
                <w:szCs w:val="22"/>
              </w:rPr>
            </w:pPr>
            <w:r>
              <w:rPr>
                <w:rFonts w:ascii="Times New Roman" w:hAnsi="Times New Roman" w:cs="Times New Roman"/>
                <w:sz w:val="28"/>
                <w:szCs w:val="22"/>
              </w:rPr>
              <w:t>6</w:t>
            </w:r>
          </w:p>
        </w:tc>
        <w:tc>
          <w:tcPr>
            <w:tcW w:w="0" w:type="auto"/>
            <w:vAlign w:val="center"/>
          </w:tcPr>
          <w:p w14:paraId="7E6873EC" w14:textId="5E001A2A" w:rsidR="00886EB4" w:rsidRPr="00A351F7" w:rsidRDefault="00886EB4" w:rsidP="00A351F7">
            <w:pPr>
              <w:pStyle w:val="NoSpacing"/>
              <w:jc w:val="center"/>
              <w:rPr>
                <w:rFonts w:ascii="Times New Roman" w:hAnsi="Times New Roman" w:cs="Times New Roman"/>
                <w:sz w:val="28"/>
                <w:szCs w:val="22"/>
              </w:rPr>
            </w:pPr>
            <w:r>
              <w:rPr>
                <w:rFonts w:ascii="Times New Roman" w:hAnsi="Times New Roman" w:cs="Times New Roman"/>
                <w:sz w:val="28"/>
                <w:szCs w:val="22"/>
              </w:rPr>
              <w:t>7</w:t>
            </w:r>
          </w:p>
        </w:tc>
      </w:tr>
      <w:tr w:rsidR="00645889" w:rsidRPr="00A351F7" w14:paraId="60E0CF02" w14:textId="77777777" w:rsidTr="00886EB4">
        <w:trPr>
          <w:trHeight w:val="567"/>
        </w:trPr>
        <w:tc>
          <w:tcPr>
            <w:tcW w:w="0" w:type="auto"/>
            <w:hideMark/>
          </w:tcPr>
          <w:p w14:paraId="56790AE0" w14:textId="77777777" w:rsidR="00645889" w:rsidRPr="00A351F7" w:rsidRDefault="00645889" w:rsidP="00B77C0B">
            <w:pPr>
              <w:pStyle w:val="NoSpacing"/>
              <w:rPr>
                <w:rFonts w:ascii="Times New Roman" w:hAnsi="Times New Roman" w:cs="Times New Roman"/>
                <w:sz w:val="28"/>
                <w:szCs w:val="22"/>
              </w:rPr>
            </w:pPr>
            <w:r w:rsidRPr="00A351F7">
              <w:rPr>
                <w:rFonts w:ascii="Times New Roman" w:hAnsi="Times New Roman" w:cs="Times New Roman"/>
                <w:sz w:val="28"/>
                <w:szCs w:val="22"/>
              </w:rPr>
              <w:t>Andhra Pradesh</w:t>
            </w:r>
          </w:p>
        </w:tc>
        <w:tc>
          <w:tcPr>
            <w:tcW w:w="0" w:type="auto"/>
            <w:vAlign w:val="center"/>
            <w:hideMark/>
          </w:tcPr>
          <w:p w14:paraId="7CA31B99" w14:textId="77777777" w:rsidR="00645889" w:rsidRPr="00A351F7" w:rsidRDefault="00645889" w:rsidP="00A351F7">
            <w:pPr>
              <w:pStyle w:val="NoSpacing"/>
              <w:jc w:val="center"/>
              <w:rPr>
                <w:rFonts w:ascii="Times New Roman" w:hAnsi="Times New Roman" w:cs="Times New Roman"/>
                <w:sz w:val="28"/>
                <w:szCs w:val="22"/>
              </w:rPr>
            </w:pPr>
            <w:r w:rsidRPr="00A351F7">
              <w:rPr>
                <w:rFonts w:ascii="Times New Roman" w:hAnsi="Times New Roman" w:cs="Times New Roman"/>
                <w:sz w:val="28"/>
                <w:szCs w:val="22"/>
              </w:rPr>
              <w:t>3440</w:t>
            </w:r>
          </w:p>
        </w:tc>
        <w:tc>
          <w:tcPr>
            <w:tcW w:w="0" w:type="auto"/>
            <w:vAlign w:val="center"/>
            <w:hideMark/>
          </w:tcPr>
          <w:p w14:paraId="1866AFD3" w14:textId="77777777" w:rsidR="00645889" w:rsidRPr="00A351F7" w:rsidRDefault="00645889" w:rsidP="00A351F7">
            <w:pPr>
              <w:pStyle w:val="NoSpacing"/>
              <w:jc w:val="center"/>
              <w:rPr>
                <w:rFonts w:ascii="Times New Roman" w:hAnsi="Times New Roman" w:cs="Times New Roman"/>
                <w:sz w:val="28"/>
                <w:szCs w:val="22"/>
              </w:rPr>
            </w:pPr>
            <w:r w:rsidRPr="00A351F7">
              <w:rPr>
                <w:rFonts w:ascii="Times New Roman" w:hAnsi="Times New Roman" w:cs="Times New Roman"/>
                <w:sz w:val="28"/>
                <w:szCs w:val="22"/>
              </w:rPr>
              <w:t>N.A.</w:t>
            </w:r>
          </w:p>
        </w:tc>
        <w:tc>
          <w:tcPr>
            <w:tcW w:w="1638" w:type="dxa"/>
            <w:vAlign w:val="center"/>
            <w:hideMark/>
          </w:tcPr>
          <w:p w14:paraId="3673F337" w14:textId="77777777" w:rsidR="00645889" w:rsidRPr="00A351F7" w:rsidRDefault="00645889" w:rsidP="00A351F7">
            <w:pPr>
              <w:pStyle w:val="NoSpacing"/>
              <w:jc w:val="center"/>
              <w:rPr>
                <w:rFonts w:ascii="Times New Roman" w:hAnsi="Times New Roman" w:cs="Times New Roman"/>
                <w:sz w:val="28"/>
                <w:szCs w:val="22"/>
              </w:rPr>
            </w:pPr>
            <w:r w:rsidRPr="00A351F7">
              <w:rPr>
                <w:rFonts w:ascii="Times New Roman" w:hAnsi="Times New Roman" w:cs="Times New Roman"/>
                <w:sz w:val="28"/>
                <w:szCs w:val="22"/>
              </w:rPr>
              <w:t>795</w:t>
            </w:r>
          </w:p>
        </w:tc>
        <w:tc>
          <w:tcPr>
            <w:tcW w:w="1142" w:type="dxa"/>
            <w:vAlign w:val="center"/>
            <w:hideMark/>
          </w:tcPr>
          <w:p w14:paraId="19465C59" w14:textId="77777777" w:rsidR="00645889" w:rsidRPr="00A351F7" w:rsidRDefault="00645889" w:rsidP="00A351F7">
            <w:pPr>
              <w:pStyle w:val="NoSpacing"/>
              <w:jc w:val="center"/>
              <w:rPr>
                <w:rFonts w:ascii="Times New Roman" w:hAnsi="Times New Roman" w:cs="Times New Roman"/>
                <w:sz w:val="28"/>
                <w:szCs w:val="22"/>
              </w:rPr>
            </w:pPr>
            <w:r w:rsidRPr="00A351F7">
              <w:rPr>
                <w:rFonts w:ascii="Times New Roman" w:hAnsi="Times New Roman" w:cs="Times New Roman"/>
                <w:sz w:val="28"/>
                <w:szCs w:val="22"/>
              </w:rPr>
              <w:t>4235</w:t>
            </w:r>
          </w:p>
        </w:tc>
        <w:tc>
          <w:tcPr>
            <w:tcW w:w="2655" w:type="dxa"/>
            <w:vAlign w:val="center"/>
            <w:hideMark/>
          </w:tcPr>
          <w:p w14:paraId="3B51943B" w14:textId="77777777" w:rsidR="00645889" w:rsidRPr="00A351F7" w:rsidRDefault="00645889" w:rsidP="00A351F7">
            <w:pPr>
              <w:pStyle w:val="NoSpacing"/>
              <w:jc w:val="center"/>
              <w:rPr>
                <w:rFonts w:ascii="Times New Roman" w:hAnsi="Times New Roman" w:cs="Times New Roman"/>
                <w:sz w:val="28"/>
                <w:szCs w:val="22"/>
              </w:rPr>
            </w:pPr>
            <w:r w:rsidRPr="00A351F7">
              <w:rPr>
                <w:rFonts w:ascii="Times New Roman" w:hAnsi="Times New Roman" w:cs="Times New Roman"/>
                <w:sz w:val="28"/>
                <w:szCs w:val="22"/>
              </w:rPr>
              <w:t>993</w:t>
            </w:r>
          </w:p>
        </w:tc>
        <w:tc>
          <w:tcPr>
            <w:tcW w:w="0" w:type="auto"/>
            <w:vAlign w:val="center"/>
            <w:hideMark/>
          </w:tcPr>
          <w:p w14:paraId="43B0635D" w14:textId="77777777" w:rsidR="00645889" w:rsidRPr="00A351F7" w:rsidRDefault="00645889" w:rsidP="00A351F7">
            <w:pPr>
              <w:pStyle w:val="NoSpacing"/>
              <w:jc w:val="center"/>
              <w:rPr>
                <w:rFonts w:ascii="Times New Roman" w:hAnsi="Times New Roman" w:cs="Times New Roman"/>
                <w:sz w:val="28"/>
                <w:szCs w:val="22"/>
              </w:rPr>
            </w:pPr>
            <w:r w:rsidRPr="00A351F7">
              <w:rPr>
                <w:rFonts w:ascii="Times New Roman" w:hAnsi="Times New Roman" w:cs="Times New Roman"/>
                <w:sz w:val="28"/>
                <w:szCs w:val="22"/>
              </w:rPr>
              <w:t>3242</w:t>
            </w:r>
          </w:p>
        </w:tc>
      </w:tr>
      <w:tr w:rsidR="00645889" w:rsidRPr="00A351F7" w14:paraId="1EA9BA88" w14:textId="77777777" w:rsidTr="00886EB4">
        <w:trPr>
          <w:trHeight w:val="296"/>
        </w:trPr>
        <w:tc>
          <w:tcPr>
            <w:tcW w:w="0" w:type="auto"/>
            <w:hideMark/>
          </w:tcPr>
          <w:p w14:paraId="2B7272F8" w14:textId="77777777" w:rsidR="00645889" w:rsidRPr="00A351F7" w:rsidRDefault="00645889" w:rsidP="00B77C0B">
            <w:pPr>
              <w:pStyle w:val="NoSpacing"/>
              <w:rPr>
                <w:rFonts w:ascii="Times New Roman" w:hAnsi="Times New Roman" w:cs="Times New Roman"/>
                <w:sz w:val="28"/>
                <w:szCs w:val="22"/>
              </w:rPr>
            </w:pPr>
            <w:r w:rsidRPr="00A351F7">
              <w:rPr>
                <w:rFonts w:ascii="Times New Roman" w:hAnsi="Times New Roman" w:cs="Times New Roman"/>
                <w:sz w:val="28"/>
                <w:szCs w:val="22"/>
              </w:rPr>
              <w:t>Assam</w:t>
            </w:r>
          </w:p>
        </w:tc>
        <w:tc>
          <w:tcPr>
            <w:tcW w:w="0" w:type="auto"/>
            <w:vAlign w:val="center"/>
            <w:hideMark/>
          </w:tcPr>
          <w:p w14:paraId="60B15581" w14:textId="77777777" w:rsidR="00645889" w:rsidRPr="00A351F7" w:rsidRDefault="00645889" w:rsidP="00A351F7">
            <w:pPr>
              <w:pStyle w:val="NoSpacing"/>
              <w:jc w:val="center"/>
              <w:rPr>
                <w:rFonts w:ascii="Times New Roman" w:hAnsi="Times New Roman" w:cs="Times New Roman"/>
                <w:sz w:val="28"/>
                <w:szCs w:val="22"/>
              </w:rPr>
            </w:pPr>
            <w:r w:rsidRPr="00A351F7">
              <w:rPr>
                <w:rFonts w:ascii="Times New Roman" w:hAnsi="Times New Roman" w:cs="Times New Roman"/>
                <w:sz w:val="28"/>
                <w:szCs w:val="22"/>
              </w:rPr>
              <w:t>N.A.</w:t>
            </w:r>
          </w:p>
        </w:tc>
        <w:tc>
          <w:tcPr>
            <w:tcW w:w="0" w:type="auto"/>
            <w:vAlign w:val="center"/>
            <w:hideMark/>
          </w:tcPr>
          <w:p w14:paraId="0E2A25A9" w14:textId="77777777" w:rsidR="00645889" w:rsidRPr="00A351F7" w:rsidRDefault="00645889" w:rsidP="00A351F7">
            <w:pPr>
              <w:pStyle w:val="NoSpacing"/>
              <w:jc w:val="center"/>
              <w:rPr>
                <w:rFonts w:ascii="Times New Roman" w:hAnsi="Times New Roman" w:cs="Times New Roman"/>
                <w:sz w:val="28"/>
                <w:szCs w:val="22"/>
              </w:rPr>
            </w:pPr>
            <w:r w:rsidRPr="00A351F7">
              <w:rPr>
                <w:rFonts w:ascii="Times New Roman" w:hAnsi="Times New Roman" w:cs="Times New Roman"/>
                <w:sz w:val="28"/>
                <w:szCs w:val="22"/>
              </w:rPr>
              <w:t>..</w:t>
            </w:r>
          </w:p>
        </w:tc>
        <w:tc>
          <w:tcPr>
            <w:tcW w:w="1638" w:type="dxa"/>
            <w:vAlign w:val="center"/>
            <w:hideMark/>
          </w:tcPr>
          <w:p w14:paraId="01F3782D" w14:textId="77777777" w:rsidR="00645889" w:rsidRPr="00A351F7" w:rsidRDefault="00645889" w:rsidP="00A351F7">
            <w:pPr>
              <w:pStyle w:val="NoSpacing"/>
              <w:jc w:val="center"/>
              <w:rPr>
                <w:rFonts w:ascii="Times New Roman" w:hAnsi="Times New Roman" w:cs="Times New Roman"/>
                <w:sz w:val="28"/>
                <w:szCs w:val="22"/>
              </w:rPr>
            </w:pPr>
            <w:r w:rsidRPr="00A351F7">
              <w:rPr>
                <w:rFonts w:ascii="Times New Roman" w:hAnsi="Times New Roman" w:cs="Times New Roman"/>
                <w:sz w:val="28"/>
                <w:szCs w:val="22"/>
              </w:rPr>
              <w:t>..</w:t>
            </w:r>
          </w:p>
        </w:tc>
        <w:tc>
          <w:tcPr>
            <w:tcW w:w="1142" w:type="dxa"/>
            <w:vAlign w:val="center"/>
            <w:hideMark/>
          </w:tcPr>
          <w:p w14:paraId="7455F72A" w14:textId="77777777" w:rsidR="00645889" w:rsidRPr="00A351F7" w:rsidRDefault="00645889" w:rsidP="00A351F7">
            <w:pPr>
              <w:pStyle w:val="NoSpacing"/>
              <w:jc w:val="center"/>
              <w:rPr>
                <w:rFonts w:ascii="Times New Roman" w:hAnsi="Times New Roman" w:cs="Times New Roman"/>
                <w:sz w:val="28"/>
                <w:szCs w:val="22"/>
              </w:rPr>
            </w:pPr>
            <w:r w:rsidRPr="00A351F7">
              <w:rPr>
                <w:rFonts w:ascii="Times New Roman" w:hAnsi="Times New Roman" w:cs="Times New Roman"/>
                <w:sz w:val="28"/>
                <w:szCs w:val="22"/>
              </w:rPr>
              <w:t>..</w:t>
            </w:r>
          </w:p>
        </w:tc>
        <w:tc>
          <w:tcPr>
            <w:tcW w:w="2655" w:type="dxa"/>
            <w:vAlign w:val="center"/>
            <w:hideMark/>
          </w:tcPr>
          <w:p w14:paraId="20F7F588" w14:textId="77777777" w:rsidR="00645889" w:rsidRPr="00A351F7" w:rsidRDefault="00645889" w:rsidP="00A351F7">
            <w:pPr>
              <w:pStyle w:val="NoSpacing"/>
              <w:jc w:val="center"/>
              <w:rPr>
                <w:rFonts w:ascii="Times New Roman" w:hAnsi="Times New Roman" w:cs="Times New Roman"/>
                <w:sz w:val="28"/>
                <w:szCs w:val="22"/>
              </w:rPr>
            </w:pPr>
            <w:r w:rsidRPr="00A351F7">
              <w:rPr>
                <w:rFonts w:ascii="Times New Roman" w:hAnsi="Times New Roman" w:cs="Times New Roman"/>
                <w:sz w:val="28"/>
                <w:szCs w:val="22"/>
              </w:rPr>
              <w:t>4</w:t>
            </w:r>
          </w:p>
        </w:tc>
        <w:tc>
          <w:tcPr>
            <w:tcW w:w="0" w:type="auto"/>
            <w:vAlign w:val="center"/>
            <w:hideMark/>
          </w:tcPr>
          <w:p w14:paraId="639322C5" w14:textId="77777777" w:rsidR="00645889" w:rsidRPr="00A351F7" w:rsidRDefault="00645889" w:rsidP="00A351F7">
            <w:pPr>
              <w:pStyle w:val="NoSpacing"/>
              <w:jc w:val="center"/>
              <w:rPr>
                <w:rFonts w:ascii="Times New Roman" w:hAnsi="Times New Roman" w:cs="Times New Roman"/>
                <w:sz w:val="28"/>
                <w:szCs w:val="22"/>
              </w:rPr>
            </w:pPr>
            <w:r w:rsidRPr="00A351F7">
              <w:rPr>
                <w:rFonts w:ascii="Times New Roman" w:hAnsi="Times New Roman" w:cs="Times New Roman"/>
                <w:sz w:val="28"/>
                <w:szCs w:val="22"/>
              </w:rPr>
              <w:t>..</w:t>
            </w:r>
          </w:p>
        </w:tc>
      </w:tr>
      <w:tr w:rsidR="00645889" w:rsidRPr="00A351F7" w14:paraId="5417FFB0" w14:textId="77777777" w:rsidTr="00886EB4">
        <w:trPr>
          <w:trHeight w:val="283"/>
        </w:trPr>
        <w:tc>
          <w:tcPr>
            <w:tcW w:w="0" w:type="auto"/>
            <w:hideMark/>
          </w:tcPr>
          <w:p w14:paraId="7065BA83" w14:textId="77777777" w:rsidR="00645889" w:rsidRPr="00A351F7" w:rsidRDefault="00645889" w:rsidP="00B77C0B">
            <w:pPr>
              <w:pStyle w:val="NoSpacing"/>
              <w:rPr>
                <w:rFonts w:ascii="Times New Roman" w:hAnsi="Times New Roman" w:cs="Times New Roman"/>
                <w:sz w:val="28"/>
                <w:szCs w:val="22"/>
              </w:rPr>
            </w:pPr>
            <w:r w:rsidRPr="00A351F7">
              <w:rPr>
                <w:rFonts w:ascii="Times New Roman" w:hAnsi="Times New Roman" w:cs="Times New Roman"/>
                <w:sz w:val="28"/>
                <w:szCs w:val="22"/>
              </w:rPr>
              <w:t>Bihar</w:t>
            </w:r>
          </w:p>
        </w:tc>
        <w:tc>
          <w:tcPr>
            <w:tcW w:w="0" w:type="auto"/>
            <w:vAlign w:val="center"/>
            <w:hideMark/>
          </w:tcPr>
          <w:p w14:paraId="09B11BE5" w14:textId="77777777" w:rsidR="00645889" w:rsidRPr="00A351F7" w:rsidRDefault="00645889" w:rsidP="00A351F7">
            <w:pPr>
              <w:pStyle w:val="NoSpacing"/>
              <w:jc w:val="center"/>
              <w:rPr>
                <w:rFonts w:ascii="Times New Roman" w:hAnsi="Times New Roman" w:cs="Times New Roman"/>
                <w:sz w:val="28"/>
                <w:szCs w:val="22"/>
              </w:rPr>
            </w:pPr>
            <w:r w:rsidRPr="00A351F7">
              <w:rPr>
                <w:rFonts w:ascii="Times New Roman" w:hAnsi="Times New Roman" w:cs="Times New Roman"/>
                <w:sz w:val="28"/>
                <w:szCs w:val="22"/>
              </w:rPr>
              <w:t>500</w:t>
            </w:r>
          </w:p>
        </w:tc>
        <w:tc>
          <w:tcPr>
            <w:tcW w:w="0" w:type="auto"/>
            <w:vAlign w:val="center"/>
            <w:hideMark/>
          </w:tcPr>
          <w:p w14:paraId="6A87CDAC" w14:textId="77777777" w:rsidR="00645889" w:rsidRPr="00A351F7" w:rsidRDefault="00645889" w:rsidP="00A351F7">
            <w:pPr>
              <w:pStyle w:val="NoSpacing"/>
              <w:jc w:val="center"/>
              <w:rPr>
                <w:rFonts w:ascii="Times New Roman" w:hAnsi="Times New Roman" w:cs="Times New Roman"/>
                <w:sz w:val="28"/>
                <w:szCs w:val="22"/>
              </w:rPr>
            </w:pPr>
            <w:r w:rsidRPr="00A351F7">
              <w:rPr>
                <w:rFonts w:ascii="Times New Roman" w:hAnsi="Times New Roman" w:cs="Times New Roman"/>
                <w:sz w:val="28"/>
                <w:szCs w:val="22"/>
              </w:rPr>
              <w:t>75</w:t>
            </w:r>
          </w:p>
        </w:tc>
        <w:tc>
          <w:tcPr>
            <w:tcW w:w="1638" w:type="dxa"/>
            <w:vAlign w:val="center"/>
            <w:hideMark/>
          </w:tcPr>
          <w:p w14:paraId="76EA2323" w14:textId="77777777" w:rsidR="00645889" w:rsidRPr="00A351F7" w:rsidRDefault="00645889" w:rsidP="00A351F7">
            <w:pPr>
              <w:pStyle w:val="NoSpacing"/>
              <w:jc w:val="center"/>
              <w:rPr>
                <w:rFonts w:ascii="Times New Roman" w:hAnsi="Times New Roman" w:cs="Times New Roman"/>
                <w:sz w:val="28"/>
                <w:szCs w:val="22"/>
              </w:rPr>
            </w:pPr>
            <w:r w:rsidRPr="00A351F7">
              <w:rPr>
                <w:rFonts w:ascii="Times New Roman" w:hAnsi="Times New Roman" w:cs="Times New Roman"/>
                <w:sz w:val="28"/>
                <w:szCs w:val="22"/>
              </w:rPr>
              <w:t>N.A.</w:t>
            </w:r>
          </w:p>
        </w:tc>
        <w:tc>
          <w:tcPr>
            <w:tcW w:w="1142" w:type="dxa"/>
            <w:vAlign w:val="center"/>
            <w:hideMark/>
          </w:tcPr>
          <w:p w14:paraId="0F52E5E3" w14:textId="77777777" w:rsidR="00645889" w:rsidRPr="00A351F7" w:rsidRDefault="00645889" w:rsidP="00A351F7">
            <w:pPr>
              <w:pStyle w:val="NoSpacing"/>
              <w:jc w:val="center"/>
              <w:rPr>
                <w:rFonts w:ascii="Times New Roman" w:hAnsi="Times New Roman" w:cs="Times New Roman"/>
                <w:sz w:val="28"/>
                <w:szCs w:val="22"/>
              </w:rPr>
            </w:pPr>
            <w:r w:rsidRPr="00A351F7">
              <w:rPr>
                <w:rFonts w:ascii="Times New Roman" w:hAnsi="Times New Roman" w:cs="Times New Roman"/>
                <w:sz w:val="28"/>
                <w:szCs w:val="22"/>
              </w:rPr>
              <w:t>575</w:t>
            </w:r>
          </w:p>
        </w:tc>
        <w:tc>
          <w:tcPr>
            <w:tcW w:w="2655" w:type="dxa"/>
            <w:vAlign w:val="center"/>
            <w:hideMark/>
          </w:tcPr>
          <w:p w14:paraId="7A49E5CA" w14:textId="77777777" w:rsidR="00645889" w:rsidRPr="00A351F7" w:rsidRDefault="00645889" w:rsidP="00A351F7">
            <w:pPr>
              <w:pStyle w:val="NoSpacing"/>
              <w:jc w:val="center"/>
              <w:rPr>
                <w:rFonts w:ascii="Times New Roman" w:hAnsi="Times New Roman" w:cs="Times New Roman"/>
                <w:sz w:val="28"/>
                <w:szCs w:val="22"/>
              </w:rPr>
            </w:pPr>
            <w:r w:rsidRPr="00A351F7">
              <w:rPr>
                <w:rFonts w:ascii="Times New Roman" w:hAnsi="Times New Roman" w:cs="Times New Roman"/>
                <w:sz w:val="28"/>
                <w:szCs w:val="22"/>
              </w:rPr>
              <w:t>306</w:t>
            </w:r>
          </w:p>
        </w:tc>
        <w:tc>
          <w:tcPr>
            <w:tcW w:w="0" w:type="auto"/>
            <w:vAlign w:val="center"/>
            <w:hideMark/>
          </w:tcPr>
          <w:p w14:paraId="00017CA9" w14:textId="77777777" w:rsidR="00645889" w:rsidRPr="00A351F7" w:rsidRDefault="00645889" w:rsidP="00A351F7">
            <w:pPr>
              <w:pStyle w:val="NoSpacing"/>
              <w:jc w:val="center"/>
              <w:rPr>
                <w:rFonts w:ascii="Times New Roman" w:hAnsi="Times New Roman" w:cs="Times New Roman"/>
                <w:sz w:val="28"/>
                <w:szCs w:val="22"/>
              </w:rPr>
            </w:pPr>
            <w:r w:rsidRPr="00A351F7">
              <w:rPr>
                <w:rFonts w:ascii="Times New Roman" w:hAnsi="Times New Roman" w:cs="Times New Roman"/>
                <w:sz w:val="28"/>
                <w:szCs w:val="22"/>
              </w:rPr>
              <w:t>269</w:t>
            </w:r>
          </w:p>
        </w:tc>
      </w:tr>
      <w:tr w:rsidR="00645889" w:rsidRPr="00A351F7" w14:paraId="2ED02446" w14:textId="77777777" w:rsidTr="00886EB4">
        <w:trPr>
          <w:trHeight w:val="283"/>
        </w:trPr>
        <w:tc>
          <w:tcPr>
            <w:tcW w:w="0" w:type="auto"/>
            <w:hideMark/>
          </w:tcPr>
          <w:p w14:paraId="37B8E7CB" w14:textId="77777777" w:rsidR="00645889" w:rsidRPr="00A351F7" w:rsidRDefault="00645889" w:rsidP="00B77C0B">
            <w:pPr>
              <w:pStyle w:val="NoSpacing"/>
              <w:rPr>
                <w:rFonts w:ascii="Times New Roman" w:hAnsi="Times New Roman" w:cs="Times New Roman"/>
                <w:sz w:val="28"/>
                <w:szCs w:val="22"/>
              </w:rPr>
            </w:pPr>
            <w:r w:rsidRPr="00A351F7">
              <w:rPr>
                <w:rFonts w:ascii="Times New Roman" w:hAnsi="Times New Roman" w:cs="Times New Roman"/>
                <w:sz w:val="28"/>
                <w:szCs w:val="22"/>
              </w:rPr>
              <w:t>Gujarat</w:t>
            </w:r>
          </w:p>
        </w:tc>
        <w:tc>
          <w:tcPr>
            <w:tcW w:w="0" w:type="auto"/>
            <w:vAlign w:val="center"/>
            <w:hideMark/>
          </w:tcPr>
          <w:p w14:paraId="4BA12AD1" w14:textId="77777777" w:rsidR="00645889" w:rsidRPr="00A351F7" w:rsidRDefault="00645889" w:rsidP="00A351F7">
            <w:pPr>
              <w:pStyle w:val="NoSpacing"/>
              <w:jc w:val="center"/>
              <w:rPr>
                <w:rFonts w:ascii="Times New Roman" w:hAnsi="Times New Roman" w:cs="Times New Roman"/>
                <w:sz w:val="28"/>
                <w:szCs w:val="22"/>
              </w:rPr>
            </w:pPr>
            <w:r w:rsidRPr="00A351F7">
              <w:rPr>
                <w:rFonts w:ascii="Times New Roman" w:hAnsi="Times New Roman" w:cs="Times New Roman"/>
                <w:sz w:val="28"/>
                <w:szCs w:val="22"/>
              </w:rPr>
              <w:t>34</w:t>
            </w:r>
          </w:p>
        </w:tc>
        <w:tc>
          <w:tcPr>
            <w:tcW w:w="0" w:type="auto"/>
            <w:vAlign w:val="center"/>
            <w:hideMark/>
          </w:tcPr>
          <w:p w14:paraId="00F46620" w14:textId="77777777" w:rsidR="00645889" w:rsidRPr="00A351F7" w:rsidRDefault="00645889" w:rsidP="00A351F7">
            <w:pPr>
              <w:pStyle w:val="NoSpacing"/>
              <w:jc w:val="center"/>
              <w:rPr>
                <w:rFonts w:ascii="Times New Roman" w:hAnsi="Times New Roman" w:cs="Times New Roman"/>
                <w:sz w:val="28"/>
                <w:szCs w:val="22"/>
              </w:rPr>
            </w:pPr>
            <w:r w:rsidRPr="00A351F7">
              <w:rPr>
                <w:rFonts w:ascii="Times New Roman" w:hAnsi="Times New Roman" w:cs="Times New Roman"/>
                <w:sz w:val="28"/>
                <w:szCs w:val="22"/>
              </w:rPr>
              <w:t>175</w:t>
            </w:r>
          </w:p>
        </w:tc>
        <w:tc>
          <w:tcPr>
            <w:tcW w:w="1638" w:type="dxa"/>
            <w:vAlign w:val="center"/>
            <w:hideMark/>
          </w:tcPr>
          <w:p w14:paraId="3AFE9711" w14:textId="77777777" w:rsidR="00645889" w:rsidRPr="00A351F7" w:rsidRDefault="00645889" w:rsidP="00A351F7">
            <w:pPr>
              <w:pStyle w:val="NoSpacing"/>
              <w:jc w:val="center"/>
              <w:rPr>
                <w:rFonts w:ascii="Times New Roman" w:hAnsi="Times New Roman" w:cs="Times New Roman"/>
                <w:sz w:val="28"/>
                <w:szCs w:val="22"/>
              </w:rPr>
            </w:pPr>
            <w:r w:rsidRPr="00A351F7">
              <w:rPr>
                <w:rFonts w:ascii="Times New Roman" w:hAnsi="Times New Roman" w:cs="Times New Roman"/>
                <w:sz w:val="28"/>
                <w:szCs w:val="22"/>
              </w:rPr>
              <w:t>N.A.</w:t>
            </w:r>
          </w:p>
        </w:tc>
        <w:tc>
          <w:tcPr>
            <w:tcW w:w="1142" w:type="dxa"/>
            <w:vAlign w:val="center"/>
            <w:hideMark/>
          </w:tcPr>
          <w:p w14:paraId="53F63EEB" w14:textId="77777777" w:rsidR="00645889" w:rsidRPr="00A351F7" w:rsidRDefault="00645889" w:rsidP="00A351F7">
            <w:pPr>
              <w:pStyle w:val="NoSpacing"/>
              <w:jc w:val="center"/>
              <w:rPr>
                <w:rFonts w:ascii="Times New Roman" w:hAnsi="Times New Roman" w:cs="Times New Roman"/>
                <w:sz w:val="28"/>
                <w:szCs w:val="22"/>
              </w:rPr>
            </w:pPr>
            <w:r w:rsidRPr="00A351F7">
              <w:rPr>
                <w:rFonts w:ascii="Times New Roman" w:hAnsi="Times New Roman" w:cs="Times New Roman"/>
                <w:sz w:val="28"/>
                <w:szCs w:val="22"/>
              </w:rPr>
              <w:t>209</w:t>
            </w:r>
          </w:p>
        </w:tc>
        <w:tc>
          <w:tcPr>
            <w:tcW w:w="2655" w:type="dxa"/>
            <w:vAlign w:val="center"/>
            <w:hideMark/>
          </w:tcPr>
          <w:p w14:paraId="28D89736" w14:textId="77777777" w:rsidR="00645889" w:rsidRPr="00A351F7" w:rsidRDefault="00645889" w:rsidP="00A351F7">
            <w:pPr>
              <w:pStyle w:val="NoSpacing"/>
              <w:jc w:val="center"/>
              <w:rPr>
                <w:rFonts w:ascii="Times New Roman" w:hAnsi="Times New Roman" w:cs="Times New Roman"/>
                <w:sz w:val="28"/>
                <w:szCs w:val="22"/>
              </w:rPr>
            </w:pPr>
            <w:r w:rsidRPr="00A351F7">
              <w:rPr>
                <w:rFonts w:ascii="Times New Roman" w:hAnsi="Times New Roman" w:cs="Times New Roman"/>
                <w:sz w:val="28"/>
                <w:szCs w:val="22"/>
              </w:rPr>
              <w:t>107</w:t>
            </w:r>
          </w:p>
        </w:tc>
        <w:tc>
          <w:tcPr>
            <w:tcW w:w="0" w:type="auto"/>
            <w:vAlign w:val="center"/>
            <w:hideMark/>
          </w:tcPr>
          <w:p w14:paraId="182DC44B" w14:textId="77777777" w:rsidR="00645889" w:rsidRPr="00A351F7" w:rsidRDefault="00645889" w:rsidP="00A351F7">
            <w:pPr>
              <w:pStyle w:val="NoSpacing"/>
              <w:jc w:val="center"/>
              <w:rPr>
                <w:rFonts w:ascii="Times New Roman" w:hAnsi="Times New Roman" w:cs="Times New Roman"/>
                <w:sz w:val="28"/>
                <w:szCs w:val="22"/>
              </w:rPr>
            </w:pPr>
            <w:r w:rsidRPr="00A351F7">
              <w:rPr>
                <w:rFonts w:ascii="Times New Roman" w:hAnsi="Times New Roman" w:cs="Times New Roman"/>
                <w:sz w:val="28"/>
                <w:szCs w:val="22"/>
              </w:rPr>
              <w:t>102</w:t>
            </w:r>
          </w:p>
        </w:tc>
      </w:tr>
      <w:tr w:rsidR="00645889" w:rsidRPr="00A351F7" w14:paraId="09F3D845" w14:textId="77777777" w:rsidTr="00886EB4">
        <w:trPr>
          <w:trHeight w:val="580"/>
        </w:trPr>
        <w:tc>
          <w:tcPr>
            <w:tcW w:w="0" w:type="auto"/>
            <w:hideMark/>
          </w:tcPr>
          <w:p w14:paraId="020C5FA9" w14:textId="77777777" w:rsidR="00645889" w:rsidRPr="00A351F7" w:rsidRDefault="00645889" w:rsidP="00B77C0B">
            <w:pPr>
              <w:pStyle w:val="NoSpacing"/>
              <w:rPr>
                <w:rFonts w:ascii="Times New Roman" w:hAnsi="Times New Roman" w:cs="Times New Roman"/>
                <w:sz w:val="28"/>
                <w:szCs w:val="22"/>
              </w:rPr>
            </w:pPr>
            <w:r w:rsidRPr="00A351F7">
              <w:rPr>
                <w:rFonts w:ascii="Times New Roman" w:hAnsi="Times New Roman" w:cs="Times New Roman"/>
                <w:sz w:val="28"/>
                <w:szCs w:val="22"/>
              </w:rPr>
              <w:t>Jammu &amp; Kashmir</w:t>
            </w:r>
          </w:p>
        </w:tc>
        <w:tc>
          <w:tcPr>
            <w:tcW w:w="0" w:type="auto"/>
            <w:vAlign w:val="center"/>
            <w:hideMark/>
          </w:tcPr>
          <w:p w14:paraId="2FBE7BC9" w14:textId="77777777" w:rsidR="00645889" w:rsidRPr="00A351F7" w:rsidRDefault="00645889" w:rsidP="00A351F7">
            <w:pPr>
              <w:pStyle w:val="NoSpacing"/>
              <w:jc w:val="center"/>
              <w:rPr>
                <w:rFonts w:ascii="Times New Roman" w:hAnsi="Times New Roman" w:cs="Times New Roman"/>
                <w:sz w:val="28"/>
                <w:szCs w:val="22"/>
              </w:rPr>
            </w:pPr>
            <w:r w:rsidRPr="00A351F7">
              <w:rPr>
                <w:rFonts w:ascii="Times New Roman" w:hAnsi="Times New Roman" w:cs="Times New Roman"/>
                <w:sz w:val="28"/>
                <w:szCs w:val="22"/>
              </w:rPr>
              <w:t>N.A.</w:t>
            </w:r>
          </w:p>
        </w:tc>
        <w:tc>
          <w:tcPr>
            <w:tcW w:w="0" w:type="auto"/>
            <w:vAlign w:val="center"/>
            <w:hideMark/>
          </w:tcPr>
          <w:p w14:paraId="399F9A00" w14:textId="77777777" w:rsidR="00645889" w:rsidRPr="00A351F7" w:rsidRDefault="00645889" w:rsidP="00A351F7">
            <w:pPr>
              <w:pStyle w:val="NoSpacing"/>
              <w:jc w:val="center"/>
              <w:rPr>
                <w:rFonts w:ascii="Times New Roman" w:hAnsi="Times New Roman" w:cs="Times New Roman"/>
                <w:sz w:val="28"/>
                <w:szCs w:val="22"/>
              </w:rPr>
            </w:pPr>
            <w:r w:rsidRPr="00A351F7">
              <w:rPr>
                <w:rFonts w:ascii="Times New Roman" w:hAnsi="Times New Roman" w:cs="Times New Roman"/>
                <w:sz w:val="28"/>
                <w:szCs w:val="22"/>
              </w:rPr>
              <w:t>N.A.</w:t>
            </w:r>
          </w:p>
        </w:tc>
        <w:tc>
          <w:tcPr>
            <w:tcW w:w="1638" w:type="dxa"/>
            <w:vAlign w:val="center"/>
            <w:hideMark/>
          </w:tcPr>
          <w:p w14:paraId="3AE3C386" w14:textId="77777777" w:rsidR="00645889" w:rsidRPr="00A351F7" w:rsidRDefault="00645889" w:rsidP="00A351F7">
            <w:pPr>
              <w:pStyle w:val="NoSpacing"/>
              <w:jc w:val="center"/>
              <w:rPr>
                <w:rFonts w:ascii="Times New Roman" w:hAnsi="Times New Roman" w:cs="Times New Roman"/>
                <w:sz w:val="28"/>
                <w:szCs w:val="22"/>
              </w:rPr>
            </w:pPr>
            <w:r w:rsidRPr="00A351F7">
              <w:rPr>
                <w:rFonts w:ascii="Times New Roman" w:hAnsi="Times New Roman" w:cs="Times New Roman"/>
                <w:sz w:val="28"/>
                <w:szCs w:val="22"/>
              </w:rPr>
              <w:t>Neg.</w:t>
            </w:r>
          </w:p>
        </w:tc>
        <w:tc>
          <w:tcPr>
            <w:tcW w:w="1142" w:type="dxa"/>
            <w:vAlign w:val="center"/>
            <w:hideMark/>
          </w:tcPr>
          <w:p w14:paraId="4ED0B722" w14:textId="77777777" w:rsidR="00645889" w:rsidRPr="00A351F7" w:rsidRDefault="00645889" w:rsidP="00A351F7">
            <w:pPr>
              <w:pStyle w:val="NoSpacing"/>
              <w:jc w:val="center"/>
              <w:rPr>
                <w:rFonts w:ascii="Times New Roman" w:hAnsi="Times New Roman" w:cs="Times New Roman"/>
                <w:sz w:val="28"/>
                <w:szCs w:val="22"/>
              </w:rPr>
            </w:pPr>
            <w:r w:rsidRPr="00A351F7">
              <w:rPr>
                <w:rFonts w:ascii="Times New Roman" w:hAnsi="Times New Roman" w:cs="Times New Roman"/>
                <w:sz w:val="28"/>
                <w:szCs w:val="22"/>
              </w:rPr>
              <w:t>..</w:t>
            </w:r>
          </w:p>
        </w:tc>
        <w:tc>
          <w:tcPr>
            <w:tcW w:w="2655" w:type="dxa"/>
            <w:vAlign w:val="center"/>
            <w:hideMark/>
          </w:tcPr>
          <w:p w14:paraId="380E69D2" w14:textId="77777777" w:rsidR="00645889" w:rsidRPr="00A351F7" w:rsidRDefault="00645889" w:rsidP="00A351F7">
            <w:pPr>
              <w:pStyle w:val="NoSpacing"/>
              <w:jc w:val="center"/>
              <w:rPr>
                <w:rFonts w:ascii="Times New Roman" w:hAnsi="Times New Roman" w:cs="Times New Roman"/>
                <w:sz w:val="28"/>
                <w:szCs w:val="22"/>
              </w:rPr>
            </w:pPr>
            <w:r w:rsidRPr="00A351F7">
              <w:rPr>
                <w:rFonts w:ascii="Times New Roman" w:hAnsi="Times New Roman" w:cs="Times New Roman"/>
                <w:sz w:val="28"/>
                <w:szCs w:val="22"/>
              </w:rPr>
              <w:t>13</w:t>
            </w:r>
          </w:p>
        </w:tc>
        <w:tc>
          <w:tcPr>
            <w:tcW w:w="0" w:type="auto"/>
            <w:vAlign w:val="center"/>
            <w:hideMark/>
          </w:tcPr>
          <w:p w14:paraId="1BFE684B" w14:textId="77777777" w:rsidR="00645889" w:rsidRPr="00A351F7" w:rsidRDefault="00645889" w:rsidP="00A351F7">
            <w:pPr>
              <w:pStyle w:val="NoSpacing"/>
              <w:jc w:val="center"/>
              <w:rPr>
                <w:rFonts w:ascii="Times New Roman" w:hAnsi="Times New Roman" w:cs="Times New Roman"/>
                <w:sz w:val="28"/>
                <w:szCs w:val="22"/>
              </w:rPr>
            </w:pPr>
            <w:r w:rsidRPr="00A351F7">
              <w:rPr>
                <w:rFonts w:ascii="Times New Roman" w:hAnsi="Times New Roman" w:cs="Times New Roman"/>
                <w:sz w:val="28"/>
                <w:szCs w:val="22"/>
              </w:rPr>
              <w:t>..</w:t>
            </w:r>
          </w:p>
        </w:tc>
      </w:tr>
      <w:tr w:rsidR="00645889" w:rsidRPr="00A351F7" w14:paraId="07B769F5" w14:textId="77777777" w:rsidTr="00886EB4">
        <w:trPr>
          <w:trHeight w:val="283"/>
        </w:trPr>
        <w:tc>
          <w:tcPr>
            <w:tcW w:w="0" w:type="auto"/>
            <w:hideMark/>
          </w:tcPr>
          <w:p w14:paraId="6ABC8C6E" w14:textId="77777777" w:rsidR="00645889" w:rsidRPr="00A351F7" w:rsidRDefault="00645889" w:rsidP="00B77C0B">
            <w:pPr>
              <w:pStyle w:val="NoSpacing"/>
              <w:rPr>
                <w:rFonts w:ascii="Times New Roman" w:hAnsi="Times New Roman" w:cs="Times New Roman"/>
                <w:sz w:val="28"/>
                <w:szCs w:val="22"/>
              </w:rPr>
            </w:pPr>
            <w:r w:rsidRPr="00A351F7">
              <w:rPr>
                <w:rFonts w:ascii="Times New Roman" w:hAnsi="Times New Roman" w:cs="Times New Roman"/>
                <w:sz w:val="28"/>
                <w:szCs w:val="22"/>
              </w:rPr>
              <w:t>Kerala</w:t>
            </w:r>
          </w:p>
        </w:tc>
        <w:tc>
          <w:tcPr>
            <w:tcW w:w="0" w:type="auto"/>
            <w:vAlign w:val="center"/>
            <w:hideMark/>
          </w:tcPr>
          <w:p w14:paraId="5E644F18" w14:textId="77777777" w:rsidR="00645889" w:rsidRPr="00A351F7" w:rsidRDefault="00645889" w:rsidP="00A351F7">
            <w:pPr>
              <w:pStyle w:val="NoSpacing"/>
              <w:jc w:val="center"/>
              <w:rPr>
                <w:rFonts w:ascii="Times New Roman" w:hAnsi="Times New Roman" w:cs="Times New Roman"/>
                <w:sz w:val="28"/>
                <w:szCs w:val="22"/>
              </w:rPr>
            </w:pPr>
            <w:r w:rsidRPr="00A351F7">
              <w:rPr>
                <w:rFonts w:ascii="Times New Roman" w:hAnsi="Times New Roman" w:cs="Times New Roman"/>
                <w:sz w:val="28"/>
                <w:szCs w:val="22"/>
              </w:rPr>
              <w:t>288</w:t>
            </w:r>
          </w:p>
        </w:tc>
        <w:tc>
          <w:tcPr>
            <w:tcW w:w="0" w:type="auto"/>
            <w:vAlign w:val="center"/>
            <w:hideMark/>
          </w:tcPr>
          <w:p w14:paraId="493B4494" w14:textId="77777777" w:rsidR="00645889" w:rsidRPr="00A351F7" w:rsidRDefault="00645889" w:rsidP="00A351F7">
            <w:pPr>
              <w:pStyle w:val="NoSpacing"/>
              <w:jc w:val="center"/>
              <w:rPr>
                <w:rFonts w:ascii="Times New Roman" w:hAnsi="Times New Roman" w:cs="Times New Roman"/>
                <w:sz w:val="28"/>
                <w:szCs w:val="22"/>
              </w:rPr>
            </w:pPr>
            <w:r w:rsidRPr="00A351F7">
              <w:rPr>
                <w:rFonts w:ascii="Times New Roman" w:hAnsi="Times New Roman" w:cs="Times New Roman"/>
                <w:sz w:val="28"/>
                <w:szCs w:val="22"/>
              </w:rPr>
              <w:t>..</w:t>
            </w:r>
          </w:p>
        </w:tc>
        <w:tc>
          <w:tcPr>
            <w:tcW w:w="1638" w:type="dxa"/>
            <w:vAlign w:val="center"/>
            <w:hideMark/>
          </w:tcPr>
          <w:p w14:paraId="01C2BB16" w14:textId="77777777" w:rsidR="00645889" w:rsidRPr="00A351F7" w:rsidRDefault="00645889" w:rsidP="00A351F7">
            <w:pPr>
              <w:pStyle w:val="NoSpacing"/>
              <w:jc w:val="center"/>
              <w:rPr>
                <w:rFonts w:ascii="Times New Roman" w:hAnsi="Times New Roman" w:cs="Times New Roman"/>
                <w:sz w:val="28"/>
                <w:szCs w:val="22"/>
              </w:rPr>
            </w:pPr>
            <w:r w:rsidRPr="00A351F7">
              <w:rPr>
                <w:rFonts w:ascii="Times New Roman" w:hAnsi="Times New Roman" w:cs="Times New Roman"/>
                <w:sz w:val="28"/>
                <w:szCs w:val="22"/>
              </w:rPr>
              <w:t>Neg.</w:t>
            </w:r>
          </w:p>
        </w:tc>
        <w:tc>
          <w:tcPr>
            <w:tcW w:w="1142" w:type="dxa"/>
            <w:vAlign w:val="center"/>
            <w:hideMark/>
          </w:tcPr>
          <w:p w14:paraId="268FDBE3" w14:textId="77777777" w:rsidR="00645889" w:rsidRPr="00A351F7" w:rsidRDefault="00645889" w:rsidP="00A351F7">
            <w:pPr>
              <w:pStyle w:val="NoSpacing"/>
              <w:jc w:val="center"/>
              <w:rPr>
                <w:rFonts w:ascii="Times New Roman" w:hAnsi="Times New Roman" w:cs="Times New Roman"/>
                <w:sz w:val="28"/>
                <w:szCs w:val="22"/>
              </w:rPr>
            </w:pPr>
            <w:r w:rsidRPr="00A351F7">
              <w:rPr>
                <w:rFonts w:ascii="Times New Roman" w:hAnsi="Times New Roman" w:cs="Times New Roman"/>
                <w:sz w:val="28"/>
                <w:szCs w:val="22"/>
              </w:rPr>
              <w:t>288</w:t>
            </w:r>
          </w:p>
        </w:tc>
        <w:tc>
          <w:tcPr>
            <w:tcW w:w="2655" w:type="dxa"/>
            <w:vAlign w:val="center"/>
            <w:hideMark/>
          </w:tcPr>
          <w:p w14:paraId="77F36356" w14:textId="77777777" w:rsidR="00645889" w:rsidRPr="00A351F7" w:rsidRDefault="00645889" w:rsidP="00A351F7">
            <w:pPr>
              <w:pStyle w:val="NoSpacing"/>
              <w:jc w:val="center"/>
              <w:rPr>
                <w:rFonts w:ascii="Times New Roman" w:hAnsi="Times New Roman" w:cs="Times New Roman"/>
                <w:sz w:val="28"/>
                <w:szCs w:val="22"/>
              </w:rPr>
            </w:pPr>
            <w:r w:rsidRPr="00A351F7">
              <w:rPr>
                <w:rFonts w:ascii="Times New Roman" w:hAnsi="Times New Roman" w:cs="Times New Roman"/>
                <w:sz w:val="28"/>
                <w:szCs w:val="22"/>
              </w:rPr>
              <w:t>3</w:t>
            </w:r>
          </w:p>
        </w:tc>
        <w:tc>
          <w:tcPr>
            <w:tcW w:w="0" w:type="auto"/>
            <w:vAlign w:val="center"/>
            <w:hideMark/>
          </w:tcPr>
          <w:p w14:paraId="4F36E336" w14:textId="77777777" w:rsidR="00645889" w:rsidRPr="00A351F7" w:rsidRDefault="00645889" w:rsidP="00A351F7">
            <w:pPr>
              <w:pStyle w:val="NoSpacing"/>
              <w:jc w:val="center"/>
              <w:rPr>
                <w:rFonts w:ascii="Times New Roman" w:hAnsi="Times New Roman" w:cs="Times New Roman"/>
                <w:sz w:val="28"/>
                <w:szCs w:val="22"/>
              </w:rPr>
            </w:pPr>
            <w:r w:rsidRPr="00A351F7">
              <w:rPr>
                <w:rFonts w:ascii="Times New Roman" w:hAnsi="Times New Roman" w:cs="Times New Roman"/>
                <w:sz w:val="28"/>
                <w:szCs w:val="22"/>
              </w:rPr>
              <w:t>285</w:t>
            </w:r>
          </w:p>
        </w:tc>
      </w:tr>
      <w:tr w:rsidR="00645889" w:rsidRPr="00A351F7" w14:paraId="4801F5BE" w14:textId="77777777" w:rsidTr="00886EB4">
        <w:trPr>
          <w:trHeight w:val="567"/>
        </w:trPr>
        <w:tc>
          <w:tcPr>
            <w:tcW w:w="0" w:type="auto"/>
            <w:hideMark/>
          </w:tcPr>
          <w:p w14:paraId="22689F97" w14:textId="77777777" w:rsidR="00645889" w:rsidRPr="00A351F7" w:rsidRDefault="00645889" w:rsidP="00B77C0B">
            <w:pPr>
              <w:pStyle w:val="NoSpacing"/>
              <w:rPr>
                <w:rFonts w:ascii="Times New Roman" w:hAnsi="Times New Roman" w:cs="Times New Roman"/>
                <w:sz w:val="28"/>
                <w:szCs w:val="22"/>
              </w:rPr>
            </w:pPr>
            <w:r w:rsidRPr="00A351F7">
              <w:rPr>
                <w:rFonts w:ascii="Times New Roman" w:hAnsi="Times New Roman" w:cs="Times New Roman"/>
                <w:sz w:val="28"/>
                <w:szCs w:val="22"/>
              </w:rPr>
              <w:t>Madhya Pradesh</w:t>
            </w:r>
          </w:p>
        </w:tc>
        <w:tc>
          <w:tcPr>
            <w:tcW w:w="0" w:type="auto"/>
            <w:vAlign w:val="center"/>
            <w:hideMark/>
          </w:tcPr>
          <w:p w14:paraId="22BF378D" w14:textId="77777777" w:rsidR="00645889" w:rsidRPr="00A351F7" w:rsidRDefault="00645889" w:rsidP="00A351F7">
            <w:pPr>
              <w:pStyle w:val="NoSpacing"/>
              <w:jc w:val="center"/>
              <w:rPr>
                <w:rFonts w:ascii="Times New Roman" w:hAnsi="Times New Roman" w:cs="Times New Roman"/>
                <w:sz w:val="28"/>
                <w:szCs w:val="22"/>
              </w:rPr>
            </w:pPr>
            <w:r w:rsidRPr="00A351F7">
              <w:rPr>
                <w:rFonts w:ascii="Times New Roman" w:hAnsi="Times New Roman" w:cs="Times New Roman"/>
                <w:sz w:val="28"/>
                <w:szCs w:val="22"/>
              </w:rPr>
              <w:t>236</w:t>
            </w:r>
          </w:p>
        </w:tc>
        <w:tc>
          <w:tcPr>
            <w:tcW w:w="0" w:type="auto"/>
            <w:vAlign w:val="center"/>
            <w:hideMark/>
          </w:tcPr>
          <w:p w14:paraId="1CC2F1F1" w14:textId="77777777" w:rsidR="00645889" w:rsidRPr="00A351F7" w:rsidRDefault="00645889" w:rsidP="00A351F7">
            <w:pPr>
              <w:pStyle w:val="NoSpacing"/>
              <w:jc w:val="center"/>
              <w:rPr>
                <w:rFonts w:ascii="Times New Roman" w:hAnsi="Times New Roman" w:cs="Times New Roman"/>
                <w:sz w:val="28"/>
                <w:szCs w:val="22"/>
              </w:rPr>
            </w:pPr>
            <w:r w:rsidRPr="00A351F7">
              <w:rPr>
                <w:rFonts w:ascii="Times New Roman" w:hAnsi="Times New Roman" w:cs="Times New Roman"/>
                <w:sz w:val="28"/>
                <w:szCs w:val="22"/>
              </w:rPr>
              <w:t>78</w:t>
            </w:r>
          </w:p>
        </w:tc>
        <w:tc>
          <w:tcPr>
            <w:tcW w:w="1638" w:type="dxa"/>
            <w:vAlign w:val="center"/>
            <w:hideMark/>
          </w:tcPr>
          <w:p w14:paraId="7DC87C98" w14:textId="77777777" w:rsidR="00645889" w:rsidRPr="00A351F7" w:rsidRDefault="00645889" w:rsidP="00A351F7">
            <w:pPr>
              <w:pStyle w:val="NoSpacing"/>
              <w:jc w:val="center"/>
              <w:rPr>
                <w:rFonts w:ascii="Times New Roman" w:hAnsi="Times New Roman" w:cs="Times New Roman"/>
                <w:sz w:val="28"/>
                <w:szCs w:val="22"/>
              </w:rPr>
            </w:pPr>
            <w:r w:rsidRPr="00A351F7">
              <w:rPr>
                <w:rFonts w:ascii="Times New Roman" w:hAnsi="Times New Roman" w:cs="Times New Roman"/>
                <w:sz w:val="28"/>
                <w:szCs w:val="22"/>
              </w:rPr>
              <w:t>N.A.</w:t>
            </w:r>
          </w:p>
        </w:tc>
        <w:tc>
          <w:tcPr>
            <w:tcW w:w="1142" w:type="dxa"/>
            <w:vAlign w:val="center"/>
            <w:hideMark/>
          </w:tcPr>
          <w:p w14:paraId="0F60CF74" w14:textId="77777777" w:rsidR="00645889" w:rsidRPr="00A351F7" w:rsidRDefault="00645889" w:rsidP="00A351F7">
            <w:pPr>
              <w:pStyle w:val="NoSpacing"/>
              <w:jc w:val="center"/>
              <w:rPr>
                <w:rFonts w:ascii="Times New Roman" w:hAnsi="Times New Roman" w:cs="Times New Roman"/>
                <w:sz w:val="28"/>
                <w:szCs w:val="22"/>
              </w:rPr>
            </w:pPr>
            <w:r w:rsidRPr="00A351F7">
              <w:rPr>
                <w:rFonts w:ascii="Times New Roman" w:hAnsi="Times New Roman" w:cs="Times New Roman"/>
                <w:sz w:val="28"/>
                <w:szCs w:val="22"/>
              </w:rPr>
              <w:t>314</w:t>
            </w:r>
          </w:p>
        </w:tc>
        <w:tc>
          <w:tcPr>
            <w:tcW w:w="2655" w:type="dxa"/>
            <w:vAlign w:val="center"/>
            <w:hideMark/>
          </w:tcPr>
          <w:p w14:paraId="10034EEA" w14:textId="77777777" w:rsidR="00645889" w:rsidRPr="00A351F7" w:rsidRDefault="00645889" w:rsidP="00A351F7">
            <w:pPr>
              <w:pStyle w:val="NoSpacing"/>
              <w:jc w:val="center"/>
              <w:rPr>
                <w:rFonts w:ascii="Times New Roman" w:hAnsi="Times New Roman" w:cs="Times New Roman"/>
                <w:sz w:val="28"/>
                <w:szCs w:val="22"/>
              </w:rPr>
            </w:pPr>
            <w:r w:rsidRPr="00A351F7">
              <w:rPr>
                <w:rFonts w:ascii="Times New Roman" w:hAnsi="Times New Roman" w:cs="Times New Roman"/>
                <w:sz w:val="28"/>
                <w:szCs w:val="22"/>
              </w:rPr>
              <w:t>110</w:t>
            </w:r>
          </w:p>
        </w:tc>
        <w:tc>
          <w:tcPr>
            <w:tcW w:w="0" w:type="auto"/>
            <w:vAlign w:val="center"/>
            <w:hideMark/>
          </w:tcPr>
          <w:p w14:paraId="69F71C34" w14:textId="77777777" w:rsidR="00645889" w:rsidRPr="00A351F7" w:rsidRDefault="00645889" w:rsidP="00A351F7">
            <w:pPr>
              <w:pStyle w:val="NoSpacing"/>
              <w:jc w:val="center"/>
              <w:rPr>
                <w:rFonts w:ascii="Times New Roman" w:hAnsi="Times New Roman" w:cs="Times New Roman"/>
                <w:sz w:val="28"/>
                <w:szCs w:val="22"/>
              </w:rPr>
            </w:pPr>
            <w:r w:rsidRPr="00A351F7">
              <w:rPr>
                <w:rFonts w:ascii="Times New Roman" w:hAnsi="Times New Roman" w:cs="Times New Roman"/>
                <w:sz w:val="28"/>
                <w:szCs w:val="22"/>
              </w:rPr>
              <w:t>204</w:t>
            </w:r>
          </w:p>
        </w:tc>
      </w:tr>
      <w:tr w:rsidR="00645889" w:rsidRPr="00A351F7" w14:paraId="78962206" w14:textId="77777777" w:rsidTr="00886EB4">
        <w:trPr>
          <w:trHeight w:val="296"/>
        </w:trPr>
        <w:tc>
          <w:tcPr>
            <w:tcW w:w="0" w:type="auto"/>
            <w:hideMark/>
          </w:tcPr>
          <w:p w14:paraId="0E3D67B9" w14:textId="77777777" w:rsidR="00645889" w:rsidRPr="00A351F7" w:rsidRDefault="00645889" w:rsidP="00B77C0B">
            <w:pPr>
              <w:pStyle w:val="NoSpacing"/>
              <w:rPr>
                <w:rFonts w:ascii="Times New Roman" w:hAnsi="Times New Roman" w:cs="Times New Roman"/>
                <w:sz w:val="28"/>
                <w:szCs w:val="22"/>
              </w:rPr>
            </w:pPr>
            <w:r w:rsidRPr="00A351F7">
              <w:rPr>
                <w:rFonts w:ascii="Times New Roman" w:hAnsi="Times New Roman" w:cs="Times New Roman"/>
                <w:sz w:val="28"/>
                <w:szCs w:val="22"/>
              </w:rPr>
              <w:t>Maharashtra</w:t>
            </w:r>
          </w:p>
        </w:tc>
        <w:tc>
          <w:tcPr>
            <w:tcW w:w="0" w:type="auto"/>
            <w:vAlign w:val="center"/>
            <w:hideMark/>
          </w:tcPr>
          <w:p w14:paraId="64C0D4AF" w14:textId="77777777" w:rsidR="00645889" w:rsidRPr="00A351F7" w:rsidRDefault="00645889" w:rsidP="00A351F7">
            <w:pPr>
              <w:pStyle w:val="NoSpacing"/>
              <w:jc w:val="center"/>
              <w:rPr>
                <w:rFonts w:ascii="Times New Roman" w:hAnsi="Times New Roman" w:cs="Times New Roman"/>
                <w:sz w:val="28"/>
                <w:szCs w:val="22"/>
              </w:rPr>
            </w:pPr>
            <w:r w:rsidRPr="00A351F7">
              <w:rPr>
                <w:rFonts w:ascii="Times New Roman" w:hAnsi="Times New Roman" w:cs="Times New Roman"/>
                <w:sz w:val="28"/>
                <w:szCs w:val="22"/>
              </w:rPr>
              <w:t>141</w:t>
            </w:r>
          </w:p>
        </w:tc>
        <w:tc>
          <w:tcPr>
            <w:tcW w:w="0" w:type="auto"/>
            <w:vAlign w:val="center"/>
            <w:hideMark/>
          </w:tcPr>
          <w:p w14:paraId="54AC2B6B" w14:textId="77777777" w:rsidR="00645889" w:rsidRPr="00A351F7" w:rsidRDefault="00645889" w:rsidP="00A351F7">
            <w:pPr>
              <w:pStyle w:val="NoSpacing"/>
              <w:jc w:val="center"/>
              <w:rPr>
                <w:rFonts w:ascii="Times New Roman" w:hAnsi="Times New Roman" w:cs="Times New Roman"/>
                <w:sz w:val="28"/>
                <w:szCs w:val="22"/>
              </w:rPr>
            </w:pPr>
            <w:r w:rsidRPr="00A351F7">
              <w:rPr>
                <w:rFonts w:ascii="Times New Roman" w:hAnsi="Times New Roman" w:cs="Times New Roman"/>
                <w:sz w:val="28"/>
                <w:szCs w:val="22"/>
              </w:rPr>
              <w:t>40</w:t>
            </w:r>
          </w:p>
        </w:tc>
        <w:tc>
          <w:tcPr>
            <w:tcW w:w="1638" w:type="dxa"/>
            <w:vAlign w:val="center"/>
            <w:hideMark/>
          </w:tcPr>
          <w:p w14:paraId="6C0A8CA6" w14:textId="77777777" w:rsidR="00645889" w:rsidRPr="00A351F7" w:rsidRDefault="00645889" w:rsidP="00A351F7">
            <w:pPr>
              <w:pStyle w:val="NoSpacing"/>
              <w:jc w:val="center"/>
              <w:rPr>
                <w:rFonts w:ascii="Times New Roman" w:hAnsi="Times New Roman" w:cs="Times New Roman"/>
                <w:sz w:val="28"/>
                <w:szCs w:val="22"/>
              </w:rPr>
            </w:pPr>
            <w:r w:rsidRPr="00A351F7">
              <w:rPr>
                <w:rFonts w:ascii="Times New Roman" w:hAnsi="Times New Roman" w:cs="Times New Roman"/>
                <w:sz w:val="28"/>
                <w:szCs w:val="22"/>
              </w:rPr>
              <w:t>650</w:t>
            </w:r>
          </w:p>
        </w:tc>
        <w:tc>
          <w:tcPr>
            <w:tcW w:w="1142" w:type="dxa"/>
            <w:vAlign w:val="center"/>
            <w:hideMark/>
          </w:tcPr>
          <w:p w14:paraId="6BC2A1E8" w14:textId="77777777" w:rsidR="00645889" w:rsidRPr="00A351F7" w:rsidRDefault="00645889" w:rsidP="00A351F7">
            <w:pPr>
              <w:pStyle w:val="NoSpacing"/>
              <w:jc w:val="center"/>
              <w:rPr>
                <w:rFonts w:ascii="Times New Roman" w:hAnsi="Times New Roman" w:cs="Times New Roman"/>
                <w:sz w:val="28"/>
                <w:szCs w:val="22"/>
              </w:rPr>
            </w:pPr>
            <w:r w:rsidRPr="00A351F7">
              <w:rPr>
                <w:rFonts w:ascii="Times New Roman" w:hAnsi="Times New Roman" w:cs="Times New Roman"/>
                <w:sz w:val="28"/>
                <w:szCs w:val="22"/>
              </w:rPr>
              <w:t>831</w:t>
            </w:r>
          </w:p>
        </w:tc>
        <w:tc>
          <w:tcPr>
            <w:tcW w:w="2655" w:type="dxa"/>
            <w:vAlign w:val="center"/>
            <w:hideMark/>
          </w:tcPr>
          <w:p w14:paraId="24CA26D0" w14:textId="77777777" w:rsidR="00645889" w:rsidRPr="00A351F7" w:rsidRDefault="00645889" w:rsidP="00A351F7">
            <w:pPr>
              <w:pStyle w:val="NoSpacing"/>
              <w:jc w:val="center"/>
              <w:rPr>
                <w:rFonts w:ascii="Times New Roman" w:hAnsi="Times New Roman" w:cs="Times New Roman"/>
                <w:sz w:val="28"/>
                <w:szCs w:val="22"/>
              </w:rPr>
            </w:pPr>
            <w:r w:rsidRPr="00A351F7">
              <w:rPr>
                <w:rFonts w:ascii="Times New Roman" w:hAnsi="Times New Roman" w:cs="Times New Roman"/>
                <w:sz w:val="28"/>
                <w:szCs w:val="22"/>
              </w:rPr>
              <w:t>242</w:t>
            </w:r>
          </w:p>
        </w:tc>
        <w:tc>
          <w:tcPr>
            <w:tcW w:w="0" w:type="auto"/>
            <w:vAlign w:val="center"/>
            <w:hideMark/>
          </w:tcPr>
          <w:p w14:paraId="7A3FB1D5" w14:textId="77777777" w:rsidR="00645889" w:rsidRPr="00A351F7" w:rsidRDefault="00645889" w:rsidP="00A351F7">
            <w:pPr>
              <w:pStyle w:val="NoSpacing"/>
              <w:jc w:val="center"/>
              <w:rPr>
                <w:rFonts w:ascii="Times New Roman" w:hAnsi="Times New Roman" w:cs="Times New Roman"/>
                <w:sz w:val="28"/>
                <w:szCs w:val="22"/>
              </w:rPr>
            </w:pPr>
            <w:r w:rsidRPr="00A351F7">
              <w:rPr>
                <w:rFonts w:ascii="Times New Roman" w:hAnsi="Times New Roman" w:cs="Times New Roman"/>
                <w:sz w:val="28"/>
                <w:szCs w:val="22"/>
              </w:rPr>
              <w:t>589</w:t>
            </w:r>
          </w:p>
        </w:tc>
      </w:tr>
      <w:tr w:rsidR="00645889" w:rsidRPr="00A351F7" w14:paraId="2A7B174D" w14:textId="77777777" w:rsidTr="00886EB4">
        <w:trPr>
          <w:trHeight w:val="283"/>
        </w:trPr>
        <w:tc>
          <w:tcPr>
            <w:tcW w:w="0" w:type="auto"/>
            <w:hideMark/>
          </w:tcPr>
          <w:p w14:paraId="32A444E1" w14:textId="77777777" w:rsidR="00645889" w:rsidRPr="00A351F7" w:rsidRDefault="00645889" w:rsidP="00B77C0B">
            <w:pPr>
              <w:pStyle w:val="NoSpacing"/>
              <w:rPr>
                <w:rFonts w:ascii="Times New Roman" w:hAnsi="Times New Roman" w:cs="Times New Roman"/>
                <w:sz w:val="28"/>
                <w:szCs w:val="22"/>
              </w:rPr>
            </w:pPr>
            <w:r w:rsidRPr="00A351F7">
              <w:rPr>
                <w:rFonts w:ascii="Times New Roman" w:hAnsi="Times New Roman" w:cs="Times New Roman"/>
                <w:sz w:val="28"/>
                <w:szCs w:val="22"/>
              </w:rPr>
              <w:t>Mysore</w:t>
            </w:r>
          </w:p>
        </w:tc>
        <w:tc>
          <w:tcPr>
            <w:tcW w:w="0" w:type="auto"/>
            <w:vAlign w:val="center"/>
            <w:hideMark/>
          </w:tcPr>
          <w:p w14:paraId="62F33996" w14:textId="77777777" w:rsidR="00645889" w:rsidRPr="00A351F7" w:rsidRDefault="00645889" w:rsidP="00A351F7">
            <w:pPr>
              <w:pStyle w:val="NoSpacing"/>
              <w:jc w:val="center"/>
              <w:rPr>
                <w:rFonts w:ascii="Times New Roman" w:hAnsi="Times New Roman" w:cs="Times New Roman"/>
                <w:sz w:val="28"/>
                <w:szCs w:val="22"/>
              </w:rPr>
            </w:pPr>
            <w:r w:rsidRPr="00A351F7">
              <w:rPr>
                <w:rFonts w:ascii="Times New Roman" w:hAnsi="Times New Roman" w:cs="Times New Roman"/>
                <w:sz w:val="28"/>
                <w:szCs w:val="22"/>
              </w:rPr>
              <w:t>445</w:t>
            </w:r>
          </w:p>
        </w:tc>
        <w:tc>
          <w:tcPr>
            <w:tcW w:w="0" w:type="auto"/>
            <w:vAlign w:val="center"/>
            <w:hideMark/>
          </w:tcPr>
          <w:p w14:paraId="27F52522" w14:textId="77777777" w:rsidR="00645889" w:rsidRPr="00A351F7" w:rsidRDefault="00645889" w:rsidP="00A351F7">
            <w:pPr>
              <w:pStyle w:val="NoSpacing"/>
              <w:jc w:val="center"/>
              <w:rPr>
                <w:rFonts w:ascii="Times New Roman" w:hAnsi="Times New Roman" w:cs="Times New Roman"/>
                <w:sz w:val="28"/>
                <w:szCs w:val="22"/>
              </w:rPr>
            </w:pPr>
            <w:r w:rsidRPr="00A351F7">
              <w:rPr>
                <w:rFonts w:ascii="Times New Roman" w:hAnsi="Times New Roman" w:cs="Times New Roman"/>
                <w:sz w:val="28"/>
                <w:szCs w:val="22"/>
              </w:rPr>
              <w:t>3</w:t>
            </w:r>
          </w:p>
        </w:tc>
        <w:tc>
          <w:tcPr>
            <w:tcW w:w="1638" w:type="dxa"/>
            <w:vAlign w:val="center"/>
            <w:hideMark/>
          </w:tcPr>
          <w:p w14:paraId="029E4393" w14:textId="77777777" w:rsidR="00645889" w:rsidRPr="00A351F7" w:rsidRDefault="00645889" w:rsidP="00A351F7">
            <w:pPr>
              <w:pStyle w:val="NoSpacing"/>
              <w:jc w:val="center"/>
              <w:rPr>
                <w:rFonts w:ascii="Times New Roman" w:hAnsi="Times New Roman" w:cs="Times New Roman"/>
                <w:sz w:val="28"/>
                <w:szCs w:val="22"/>
              </w:rPr>
            </w:pPr>
            <w:r w:rsidRPr="00A351F7">
              <w:rPr>
                <w:rFonts w:ascii="Times New Roman" w:hAnsi="Times New Roman" w:cs="Times New Roman"/>
                <w:sz w:val="28"/>
                <w:szCs w:val="22"/>
              </w:rPr>
              <w:t>427</w:t>
            </w:r>
          </w:p>
        </w:tc>
        <w:tc>
          <w:tcPr>
            <w:tcW w:w="1142" w:type="dxa"/>
            <w:vAlign w:val="center"/>
            <w:hideMark/>
          </w:tcPr>
          <w:p w14:paraId="0C93170D" w14:textId="77777777" w:rsidR="00645889" w:rsidRPr="00A351F7" w:rsidRDefault="00645889" w:rsidP="00A351F7">
            <w:pPr>
              <w:pStyle w:val="NoSpacing"/>
              <w:jc w:val="center"/>
              <w:rPr>
                <w:rFonts w:ascii="Times New Roman" w:hAnsi="Times New Roman" w:cs="Times New Roman"/>
                <w:sz w:val="28"/>
                <w:szCs w:val="22"/>
              </w:rPr>
            </w:pPr>
            <w:r w:rsidRPr="00A351F7">
              <w:rPr>
                <w:rFonts w:ascii="Times New Roman" w:hAnsi="Times New Roman" w:cs="Times New Roman"/>
                <w:sz w:val="28"/>
                <w:szCs w:val="22"/>
              </w:rPr>
              <w:t>875</w:t>
            </w:r>
          </w:p>
        </w:tc>
        <w:tc>
          <w:tcPr>
            <w:tcW w:w="2655" w:type="dxa"/>
            <w:vAlign w:val="center"/>
            <w:hideMark/>
          </w:tcPr>
          <w:p w14:paraId="01E80D7E" w14:textId="77777777" w:rsidR="00645889" w:rsidRPr="00A351F7" w:rsidRDefault="00645889" w:rsidP="00A351F7">
            <w:pPr>
              <w:pStyle w:val="NoSpacing"/>
              <w:jc w:val="center"/>
              <w:rPr>
                <w:rFonts w:ascii="Times New Roman" w:hAnsi="Times New Roman" w:cs="Times New Roman"/>
                <w:sz w:val="28"/>
                <w:szCs w:val="22"/>
              </w:rPr>
            </w:pPr>
            <w:r w:rsidRPr="00A351F7">
              <w:rPr>
                <w:rFonts w:ascii="Times New Roman" w:hAnsi="Times New Roman" w:cs="Times New Roman"/>
                <w:sz w:val="28"/>
                <w:szCs w:val="22"/>
              </w:rPr>
              <w:t>175</w:t>
            </w:r>
          </w:p>
        </w:tc>
        <w:tc>
          <w:tcPr>
            <w:tcW w:w="0" w:type="auto"/>
            <w:vAlign w:val="center"/>
            <w:hideMark/>
          </w:tcPr>
          <w:p w14:paraId="3E5A54FC" w14:textId="77777777" w:rsidR="00645889" w:rsidRPr="00A351F7" w:rsidRDefault="00645889" w:rsidP="00A351F7">
            <w:pPr>
              <w:pStyle w:val="NoSpacing"/>
              <w:jc w:val="center"/>
              <w:rPr>
                <w:rFonts w:ascii="Times New Roman" w:hAnsi="Times New Roman" w:cs="Times New Roman"/>
                <w:sz w:val="28"/>
                <w:szCs w:val="22"/>
              </w:rPr>
            </w:pPr>
            <w:r w:rsidRPr="00A351F7">
              <w:rPr>
                <w:rFonts w:ascii="Times New Roman" w:hAnsi="Times New Roman" w:cs="Times New Roman"/>
                <w:sz w:val="28"/>
                <w:szCs w:val="22"/>
              </w:rPr>
              <w:t>700</w:t>
            </w:r>
          </w:p>
        </w:tc>
      </w:tr>
      <w:tr w:rsidR="00645889" w:rsidRPr="00A351F7" w14:paraId="36061F88" w14:textId="77777777" w:rsidTr="00886EB4">
        <w:trPr>
          <w:trHeight w:val="283"/>
        </w:trPr>
        <w:tc>
          <w:tcPr>
            <w:tcW w:w="0" w:type="auto"/>
            <w:hideMark/>
          </w:tcPr>
          <w:p w14:paraId="4F39C10F" w14:textId="77777777" w:rsidR="00645889" w:rsidRPr="00A351F7" w:rsidRDefault="00645889" w:rsidP="00B77C0B">
            <w:pPr>
              <w:pStyle w:val="NoSpacing"/>
              <w:rPr>
                <w:rFonts w:ascii="Times New Roman" w:hAnsi="Times New Roman" w:cs="Times New Roman"/>
                <w:sz w:val="28"/>
                <w:szCs w:val="22"/>
              </w:rPr>
            </w:pPr>
            <w:r w:rsidRPr="00A351F7">
              <w:rPr>
                <w:rFonts w:ascii="Times New Roman" w:hAnsi="Times New Roman" w:cs="Times New Roman"/>
                <w:sz w:val="28"/>
                <w:szCs w:val="22"/>
              </w:rPr>
              <w:t>Orissa</w:t>
            </w:r>
          </w:p>
        </w:tc>
        <w:tc>
          <w:tcPr>
            <w:tcW w:w="0" w:type="auto"/>
            <w:vAlign w:val="center"/>
            <w:hideMark/>
          </w:tcPr>
          <w:p w14:paraId="75B03F5A" w14:textId="77777777" w:rsidR="00645889" w:rsidRPr="00A351F7" w:rsidRDefault="00645889" w:rsidP="00A351F7">
            <w:pPr>
              <w:pStyle w:val="NoSpacing"/>
              <w:jc w:val="center"/>
              <w:rPr>
                <w:rFonts w:ascii="Times New Roman" w:hAnsi="Times New Roman" w:cs="Times New Roman"/>
                <w:sz w:val="28"/>
                <w:szCs w:val="22"/>
              </w:rPr>
            </w:pPr>
            <w:r w:rsidRPr="00A351F7">
              <w:rPr>
                <w:rFonts w:ascii="Times New Roman" w:hAnsi="Times New Roman" w:cs="Times New Roman"/>
                <w:sz w:val="28"/>
                <w:szCs w:val="22"/>
              </w:rPr>
              <w:t>726</w:t>
            </w:r>
          </w:p>
        </w:tc>
        <w:tc>
          <w:tcPr>
            <w:tcW w:w="0" w:type="auto"/>
            <w:vAlign w:val="center"/>
            <w:hideMark/>
          </w:tcPr>
          <w:p w14:paraId="057B56E9" w14:textId="77777777" w:rsidR="00645889" w:rsidRPr="00A351F7" w:rsidRDefault="00645889" w:rsidP="00A351F7">
            <w:pPr>
              <w:pStyle w:val="NoSpacing"/>
              <w:jc w:val="center"/>
              <w:rPr>
                <w:rFonts w:ascii="Times New Roman" w:hAnsi="Times New Roman" w:cs="Times New Roman"/>
                <w:sz w:val="28"/>
                <w:szCs w:val="22"/>
              </w:rPr>
            </w:pPr>
            <w:r w:rsidRPr="00A351F7">
              <w:rPr>
                <w:rFonts w:ascii="Times New Roman" w:hAnsi="Times New Roman" w:cs="Times New Roman"/>
                <w:sz w:val="28"/>
                <w:szCs w:val="22"/>
              </w:rPr>
              <w:t>N.A.</w:t>
            </w:r>
          </w:p>
        </w:tc>
        <w:tc>
          <w:tcPr>
            <w:tcW w:w="1638" w:type="dxa"/>
            <w:vAlign w:val="center"/>
            <w:hideMark/>
          </w:tcPr>
          <w:p w14:paraId="67C1DBD2" w14:textId="77777777" w:rsidR="00645889" w:rsidRPr="00A351F7" w:rsidRDefault="00645889" w:rsidP="00A351F7">
            <w:pPr>
              <w:pStyle w:val="NoSpacing"/>
              <w:jc w:val="center"/>
              <w:rPr>
                <w:rFonts w:ascii="Times New Roman" w:hAnsi="Times New Roman" w:cs="Times New Roman"/>
                <w:sz w:val="28"/>
                <w:szCs w:val="22"/>
              </w:rPr>
            </w:pPr>
            <w:r w:rsidRPr="00A351F7">
              <w:rPr>
                <w:rFonts w:ascii="Times New Roman" w:hAnsi="Times New Roman" w:cs="Times New Roman"/>
                <w:sz w:val="28"/>
                <w:szCs w:val="22"/>
              </w:rPr>
              <w:t>N.A.</w:t>
            </w:r>
          </w:p>
        </w:tc>
        <w:tc>
          <w:tcPr>
            <w:tcW w:w="1142" w:type="dxa"/>
            <w:vAlign w:val="center"/>
            <w:hideMark/>
          </w:tcPr>
          <w:p w14:paraId="131AE374" w14:textId="77777777" w:rsidR="00645889" w:rsidRPr="00A351F7" w:rsidRDefault="00645889" w:rsidP="00A351F7">
            <w:pPr>
              <w:pStyle w:val="NoSpacing"/>
              <w:jc w:val="center"/>
              <w:rPr>
                <w:rFonts w:ascii="Times New Roman" w:hAnsi="Times New Roman" w:cs="Times New Roman"/>
                <w:sz w:val="28"/>
                <w:szCs w:val="22"/>
              </w:rPr>
            </w:pPr>
            <w:r w:rsidRPr="00A351F7">
              <w:rPr>
                <w:rFonts w:ascii="Times New Roman" w:hAnsi="Times New Roman" w:cs="Times New Roman"/>
                <w:sz w:val="28"/>
                <w:szCs w:val="22"/>
              </w:rPr>
              <w:t>726</w:t>
            </w:r>
          </w:p>
        </w:tc>
        <w:tc>
          <w:tcPr>
            <w:tcW w:w="2655" w:type="dxa"/>
            <w:vAlign w:val="center"/>
            <w:hideMark/>
          </w:tcPr>
          <w:p w14:paraId="09949CA8" w14:textId="77777777" w:rsidR="00645889" w:rsidRPr="00A351F7" w:rsidRDefault="00645889" w:rsidP="00A351F7">
            <w:pPr>
              <w:pStyle w:val="NoSpacing"/>
              <w:jc w:val="center"/>
              <w:rPr>
                <w:rFonts w:ascii="Times New Roman" w:hAnsi="Times New Roman" w:cs="Times New Roman"/>
                <w:sz w:val="28"/>
                <w:szCs w:val="22"/>
              </w:rPr>
            </w:pPr>
            <w:r w:rsidRPr="00A351F7">
              <w:rPr>
                <w:rFonts w:ascii="Times New Roman" w:hAnsi="Times New Roman" w:cs="Times New Roman"/>
                <w:sz w:val="28"/>
                <w:szCs w:val="22"/>
              </w:rPr>
              <w:t>31</w:t>
            </w:r>
          </w:p>
        </w:tc>
        <w:tc>
          <w:tcPr>
            <w:tcW w:w="0" w:type="auto"/>
            <w:vAlign w:val="center"/>
            <w:hideMark/>
          </w:tcPr>
          <w:p w14:paraId="254A7F66" w14:textId="77777777" w:rsidR="00645889" w:rsidRPr="00A351F7" w:rsidRDefault="00645889" w:rsidP="00A351F7">
            <w:pPr>
              <w:pStyle w:val="NoSpacing"/>
              <w:jc w:val="center"/>
              <w:rPr>
                <w:rFonts w:ascii="Times New Roman" w:hAnsi="Times New Roman" w:cs="Times New Roman"/>
                <w:sz w:val="28"/>
                <w:szCs w:val="22"/>
              </w:rPr>
            </w:pPr>
            <w:r w:rsidRPr="00A351F7">
              <w:rPr>
                <w:rFonts w:ascii="Times New Roman" w:hAnsi="Times New Roman" w:cs="Times New Roman"/>
                <w:sz w:val="28"/>
                <w:szCs w:val="22"/>
              </w:rPr>
              <w:t>695</w:t>
            </w:r>
          </w:p>
        </w:tc>
      </w:tr>
      <w:tr w:rsidR="00645889" w:rsidRPr="00A351F7" w14:paraId="00C758F6" w14:textId="77777777" w:rsidTr="00886EB4">
        <w:trPr>
          <w:trHeight w:val="580"/>
        </w:trPr>
        <w:tc>
          <w:tcPr>
            <w:tcW w:w="0" w:type="auto"/>
            <w:hideMark/>
          </w:tcPr>
          <w:p w14:paraId="23F47615" w14:textId="77777777" w:rsidR="00645889" w:rsidRPr="00A351F7" w:rsidRDefault="00645889" w:rsidP="00B77C0B">
            <w:pPr>
              <w:pStyle w:val="NoSpacing"/>
              <w:rPr>
                <w:rFonts w:ascii="Times New Roman" w:hAnsi="Times New Roman" w:cs="Times New Roman"/>
                <w:sz w:val="28"/>
                <w:szCs w:val="22"/>
              </w:rPr>
            </w:pPr>
            <w:r w:rsidRPr="00A351F7">
              <w:rPr>
                <w:rFonts w:ascii="Times New Roman" w:hAnsi="Times New Roman" w:cs="Times New Roman"/>
                <w:sz w:val="28"/>
                <w:szCs w:val="22"/>
              </w:rPr>
              <w:t>Punjab &amp; Haryana</w:t>
            </w:r>
          </w:p>
        </w:tc>
        <w:tc>
          <w:tcPr>
            <w:tcW w:w="0" w:type="auto"/>
            <w:vAlign w:val="center"/>
            <w:hideMark/>
          </w:tcPr>
          <w:p w14:paraId="7462B6A7" w14:textId="77777777" w:rsidR="00645889" w:rsidRPr="00A351F7" w:rsidRDefault="00645889" w:rsidP="00A351F7">
            <w:pPr>
              <w:pStyle w:val="NoSpacing"/>
              <w:jc w:val="center"/>
              <w:rPr>
                <w:rFonts w:ascii="Times New Roman" w:hAnsi="Times New Roman" w:cs="Times New Roman"/>
                <w:sz w:val="28"/>
                <w:szCs w:val="22"/>
              </w:rPr>
            </w:pPr>
            <w:r w:rsidRPr="00A351F7">
              <w:rPr>
                <w:rFonts w:ascii="Times New Roman" w:hAnsi="Times New Roman" w:cs="Times New Roman"/>
                <w:sz w:val="28"/>
                <w:szCs w:val="22"/>
              </w:rPr>
              <w:t>180</w:t>
            </w:r>
          </w:p>
        </w:tc>
        <w:tc>
          <w:tcPr>
            <w:tcW w:w="0" w:type="auto"/>
            <w:vAlign w:val="center"/>
            <w:hideMark/>
          </w:tcPr>
          <w:p w14:paraId="0A061943" w14:textId="77777777" w:rsidR="00645889" w:rsidRPr="00A351F7" w:rsidRDefault="00645889" w:rsidP="00A351F7">
            <w:pPr>
              <w:pStyle w:val="NoSpacing"/>
              <w:jc w:val="center"/>
              <w:rPr>
                <w:rFonts w:ascii="Times New Roman" w:hAnsi="Times New Roman" w:cs="Times New Roman"/>
                <w:sz w:val="28"/>
                <w:szCs w:val="22"/>
              </w:rPr>
            </w:pPr>
            <w:r w:rsidRPr="00A351F7">
              <w:rPr>
                <w:rFonts w:ascii="Times New Roman" w:hAnsi="Times New Roman" w:cs="Times New Roman"/>
                <w:sz w:val="28"/>
                <w:szCs w:val="22"/>
              </w:rPr>
              <w:t>935</w:t>
            </w:r>
          </w:p>
        </w:tc>
        <w:tc>
          <w:tcPr>
            <w:tcW w:w="1638" w:type="dxa"/>
            <w:vAlign w:val="center"/>
            <w:hideMark/>
          </w:tcPr>
          <w:p w14:paraId="2703C4BB" w14:textId="77777777" w:rsidR="00645889" w:rsidRPr="00A351F7" w:rsidRDefault="00645889" w:rsidP="00A351F7">
            <w:pPr>
              <w:pStyle w:val="NoSpacing"/>
              <w:jc w:val="center"/>
              <w:rPr>
                <w:rFonts w:ascii="Times New Roman" w:hAnsi="Times New Roman" w:cs="Times New Roman"/>
                <w:sz w:val="28"/>
                <w:szCs w:val="22"/>
              </w:rPr>
            </w:pPr>
            <w:r w:rsidRPr="00A351F7">
              <w:rPr>
                <w:rFonts w:ascii="Times New Roman" w:hAnsi="Times New Roman" w:cs="Times New Roman"/>
                <w:sz w:val="28"/>
                <w:szCs w:val="22"/>
              </w:rPr>
              <w:t>1080</w:t>
            </w:r>
          </w:p>
        </w:tc>
        <w:tc>
          <w:tcPr>
            <w:tcW w:w="1142" w:type="dxa"/>
            <w:vAlign w:val="center"/>
            <w:hideMark/>
          </w:tcPr>
          <w:p w14:paraId="569F05E9" w14:textId="77777777" w:rsidR="00645889" w:rsidRPr="00A351F7" w:rsidRDefault="00645889" w:rsidP="00A351F7">
            <w:pPr>
              <w:pStyle w:val="NoSpacing"/>
              <w:jc w:val="center"/>
              <w:rPr>
                <w:rFonts w:ascii="Times New Roman" w:hAnsi="Times New Roman" w:cs="Times New Roman"/>
                <w:sz w:val="28"/>
                <w:szCs w:val="22"/>
              </w:rPr>
            </w:pPr>
            <w:r w:rsidRPr="00A351F7">
              <w:rPr>
                <w:rFonts w:ascii="Times New Roman" w:hAnsi="Times New Roman" w:cs="Times New Roman"/>
                <w:sz w:val="28"/>
                <w:szCs w:val="22"/>
              </w:rPr>
              <w:t>2195</w:t>
            </w:r>
          </w:p>
        </w:tc>
        <w:tc>
          <w:tcPr>
            <w:tcW w:w="2655" w:type="dxa"/>
            <w:vAlign w:val="center"/>
            <w:hideMark/>
          </w:tcPr>
          <w:p w14:paraId="2DB29C87" w14:textId="77777777" w:rsidR="00645889" w:rsidRPr="00A351F7" w:rsidRDefault="00645889" w:rsidP="00A351F7">
            <w:pPr>
              <w:pStyle w:val="NoSpacing"/>
              <w:jc w:val="center"/>
              <w:rPr>
                <w:rFonts w:ascii="Times New Roman" w:hAnsi="Times New Roman" w:cs="Times New Roman"/>
                <w:sz w:val="28"/>
                <w:szCs w:val="22"/>
              </w:rPr>
            </w:pPr>
            <w:r w:rsidRPr="00A351F7">
              <w:rPr>
                <w:rFonts w:ascii="Times New Roman" w:hAnsi="Times New Roman" w:cs="Times New Roman"/>
                <w:sz w:val="28"/>
                <w:szCs w:val="22"/>
              </w:rPr>
              <w:t>680</w:t>
            </w:r>
          </w:p>
        </w:tc>
        <w:tc>
          <w:tcPr>
            <w:tcW w:w="0" w:type="auto"/>
            <w:vAlign w:val="center"/>
            <w:hideMark/>
          </w:tcPr>
          <w:p w14:paraId="382BBB90" w14:textId="77777777" w:rsidR="00645889" w:rsidRPr="00A351F7" w:rsidRDefault="00645889" w:rsidP="00A351F7">
            <w:pPr>
              <w:pStyle w:val="NoSpacing"/>
              <w:jc w:val="center"/>
              <w:rPr>
                <w:rFonts w:ascii="Times New Roman" w:hAnsi="Times New Roman" w:cs="Times New Roman"/>
                <w:sz w:val="28"/>
                <w:szCs w:val="22"/>
              </w:rPr>
            </w:pPr>
            <w:r w:rsidRPr="00A351F7">
              <w:rPr>
                <w:rFonts w:ascii="Times New Roman" w:hAnsi="Times New Roman" w:cs="Times New Roman"/>
                <w:sz w:val="28"/>
                <w:szCs w:val="22"/>
              </w:rPr>
              <w:t>1515</w:t>
            </w:r>
          </w:p>
        </w:tc>
      </w:tr>
      <w:tr w:rsidR="00645889" w:rsidRPr="00A351F7" w14:paraId="45C5202D" w14:textId="77777777" w:rsidTr="00886EB4">
        <w:trPr>
          <w:trHeight w:val="283"/>
        </w:trPr>
        <w:tc>
          <w:tcPr>
            <w:tcW w:w="0" w:type="auto"/>
            <w:hideMark/>
          </w:tcPr>
          <w:p w14:paraId="7AAC7A14" w14:textId="77777777" w:rsidR="00645889" w:rsidRPr="00A351F7" w:rsidRDefault="00645889" w:rsidP="00B77C0B">
            <w:pPr>
              <w:pStyle w:val="NoSpacing"/>
              <w:rPr>
                <w:rFonts w:ascii="Times New Roman" w:hAnsi="Times New Roman" w:cs="Times New Roman"/>
                <w:sz w:val="28"/>
                <w:szCs w:val="22"/>
              </w:rPr>
            </w:pPr>
            <w:r w:rsidRPr="00A351F7">
              <w:rPr>
                <w:rFonts w:ascii="Times New Roman" w:hAnsi="Times New Roman" w:cs="Times New Roman"/>
                <w:sz w:val="28"/>
                <w:szCs w:val="22"/>
              </w:rPr>
              <w:t>Rajasthan</w:t>
            </w:r>
          </w:p>
        </w:tc>
        <w:tc>
          <w:tcPr>
            <w:tcW w:w="0" w:type="auto"/>
            <w:vAlign w:val="center"/>
            <w:hideMark/>
          </w:tcPr>
          <w:p w14:paraId="45D4519E" w14:textId="77777777" w:rsidR="00645889" w:rsidRPr="00A351F7" w:rsidRDefault="00645889" w:rsidP="00A351F7">
            <w:pPr>
              <w:pStyle w:val="NoSpacing"/>
              <w:jc w:val="center"/>
              <w:rPr>
                <w:rFonts w:ascii="Times New Roman" w:hAnsi="Times New Roman" w:cs="Times New Roman"/>
                <w:sz w:val="28"/>
                <w:szCs w:val="22"/>
              </w:rPr>
            </w:pPr>
            <w:r w:rsidRPr="00A351F7">
              <w:rPr>
                <w:rFonts w:ascii="Times New Roman" w:hAnsi="Times New Roman" w:cs="Times New Roman"/>
                <w:sz w:val="28"/>
                <w:szCs w:val="22"/>
              </w:rPr>
              <w:t>13</w:t>
            </w:r>
          </w:p>
        </w:tc>
        <w:tc>
          <w:tcPr>
            <w:tcW w:w="0" w:type="auto"/>
            <w:vAlign w:val="center"/>
            <w:hideMark/>
          </w:tcPr>
          <w:p w14:paraId="7D4C059E" w14:textId="77777777" w:rsidR="00645889" w:rsidRPr="00A351F7" w:rsidRDefault="00645889" w:rsidP="00A351F7">
            <w:pPr>
              <w:pStyle w:val="NoSpacing"/>
              <w:jc w:val="center"/>
              <w:rPr>
                <w:rFonts w:ascii="Times New Roman" w:hAnsi="Times New Roman" w:cs="Times New Roman"/>
                <w:sz w:val="28"/>
                <w:szCs w:val="22"/>
              </w:rPr>
            </w:pPr>
            <w:r w:rsidRPr="00A351F7">
              <w:rPr>
                <w:rFonts w:ascii="Times New Roman" w:hAnsi="Times New Roman" w:cs="Times New Roman"/>
                <w:sz w:val="28"/>
                <w:szCs w:val="22"/>
              </w:rPr>
              <w:t>335</w:t>
            </w:r>
          </w:p>
        </w:tc>
        <w:tc>
          <w:tcPr>
            <w:tcW w:w="1638" w:type="dxa"/>
            <w:vAlign w:val="center"/>
            <w:hideMark/>
          </w:tcPr>
          <w:p w14:paraId="68807BD4" w14:textId="77777777" w:rsidR="00645889" w:rsidRPr="00A351F7" w:rsidRDefault="00645889" w:rsidP="00A351F7">
            <w:pPr>
              <w:pStyle w:val="NoSpacing"/>
              <w:jc w:val="center"/>
              <w:rPr>
                <w:rFonts w:ascii="Times New Roman" w:hAnsi="Times New Roman" w:cs="Times New Roman"/>
                <w:sz w:val="28"/>
                <w:szCs w:val="22"/>
              </w:rPr>
            </w:pPr>
            <w:r w:rsidRPr="00A351F7">
              <w:rPr>
                <w:rFonts w:ascii="Times New Roman" w:hAnsi="Times New Roman" w:cs="Times New Roman"/>
                <w:sz w:val="28"/>
                <w:szCs w:val="22"/>
              </w:rPr>
              <w:t>70</w:t>
            </w:r>
          </w:p>
        </w:tc>
        <w:tc>
          <w:tcPr>
            <w:tcW w:w="1142" w:type="dxa"/>
            <w:vAlign w:val="center"/>
            <w:hideMark/>
          </w:tcPr>
          <w:p w14:paraId="241B508E" w14:textId="77777777" w:rsidR="00645889" w:rsidRPr="00A351F7" w:rsidRDefault="00645889" w:rsidP="00A351F7">
            <w:pPr>
              <w:pStyle w:val="NoSpacing"/>
              <w:jc w:val="center"/>
              <w:rPr>
                <w:rFonts w:ascii="Times New Roman" w:hAnsi="Times New Roman" w:cs="Times New Roman"/>
                <w:sz w:val="28"/>
                <w:szCs w:val="22"/>
              </w:rPr>
            </w:pPr>
            <w:r w:rsidRPr="00A351F7">
              <w:rPr>
                <w:rFonts w:ascii="Times New Roman" w:hAnsi="Times New Roman" w:cs="Times New Roman"/>
                <w:sz w:val="28"/>
                <w:szCs w:val="22"/>
              </w:rPr>
              <w:t>418</w:t>
            </w:r>
          </w:p>
        </w:tc>
        <w:tc>
          <w:tcPr>
            <w:tcW w:w="2655" w:type="dxa"/>
            <w:vAlign w:val="center"/>
            <w:hideMark/>
          </w:tcPr>
          <w:p w14:paraId="46EE1793" w14:textId="77777777" w:rsidR="00645889" w:rsidRPr="00A351F7" w:rsidRDefault="00645889" w:rsidP="00A351F7">
            <w:pPr>
              <w:pStyle w:val="NoSpacing"/>
              <w:jc w:val="center"/>
              <w:rPr>
                <w:rFonts w:ascii="Times New Roman" w:hAnsi="Times New Roman" w:cs="Times New Roman"/>
                <w:sz w:val="28"/>
                <w:szCs w:val="22"/>
              </w:rPr>
            </w:pPr>
            <w:r w:rsidRPr="00A351F7">
              <w:rPr>
                <w:rFonts w:ascii="Times New Roman" w:hAnsi="Times New Roman" w:cs="Times New Roman"/>
                <w:sz w:val="28"/>
                <w:szCs w:val="22"/>
              </w:rPr>
              <w:t>188</w:t>
            </w:r>
          </w:p>
        </w:tc>
        <w:tc>
          <w:tcPr>
            <w:tcW w:w="0" w:type="auto"/>
            <w:vAlign w:val="center"/>
            <w:hideMark/>
          </w:tcPr>
          <w:p w14:paraId="370B40E3" w14:textId="77777777" w:rsidR="00645889" w:rsidRPr="00A351F7" w:rsidRDefault="00645889" w:rsidP="00A351F7">
            <w:pPr>
              <w:pStyle w:val="NoSpacing"/>
              <w:jc w:val="center"/>
              <w:rPr>
                <w:rFonts w:ascii="Times New Roman" w:hAnsi="Times New Roman" w:cs="Times New Roman"/>
                <w:sz w:val="28"/>
                <w:szCs w:val="22"/>
              </w:rPr>
            </w:pPr>
            <w:r w:rsidRPr="00A351F7">
              <w:rPr>
                <w:rFonts w:ascii="Times New Roman" w:hAnsi="Times New Roman" w:cs="Times New Roman"/>
                <w:sz w:val="28"/>
                <w:szCs w:val="22"/>
              </w:rPr>
              <w:t>230</w:t>
            </w:r>
          </w:p>
        </w:tc>
      </w:tr>
      <w:tr w:rsidR="00645889" w:rsidRPr="00A351F7" w14:paraId="7CC5146C" w14:textId="77777777" w:rsidTr="00886EB4">
        <w:trPr>
          <w:trHeight w:val="283"/>
        </w:trPr>
        <w:tc>
          <w:tcPr>
            <w:tcW w:w="0" w:type="auto"/>
            <w:hideMark/>
          </w:tcPr>
          <w:p w14:paraId="367044C7" w14:textId="77777777" w:rsidR="00645889" w:rsidRPr="00A351F7" w:rsidRDefault="00645889" w:rsidP="00B77C0B">
            <w:pPr>
              <w:pStyle w:val="NoSpacing"/>
              <w:rPr>
                <w:rFonts w:ascii="Times New Roman" w:hAnsi="Times New Roman" w:cs="Times New Roman"/>
                <w:sz w:val="28"/>
                <w:szCs w:val="22"/>
              </w:rPr>
            </w:pPr>
            <w:r w:rsidRPr="00A351F7">
              <w:rPr>
                <w:rFonts w:ascii="Times New Roman" w:hAnsi="Times New Roman" w:cs="Times New Roman"/>
                <w:sz w:val="28"/>
                <w:szCs w:val="22"/>
              </w:rPr>
              <w:t>Tamil Nadu</w:t>
            </w:r>
          </w:p>
        </w:tc>
        <w:tc>
          <w:tcPr>
            <w:tcW w:w="0" w:type="auto"/>
            <w:vAlign w:val="center"/>
            <w:hideMark/>
          </w:tcPr>
          <w:p w14:paraId="0C0B4563" w14:textId="77777777" w:rsidR="00645889" w:rsidRPr="00A351F7" w:rsidRDefault="00645889" w:rsidP="00A351F7">
            <w:pPr>
              <w:pStyle w:val="NoSpacing"/>
              <w:jc w:val="center"/>
              <w:rPr>
                <w:rFonts w:ascii="Times New Roman" w:hAnsi="Times New Roman" w:cs="Times New Roman"/>
                <w:sz w:val="28"/>
                <w:szCs w:val="22"/>
              </w:rPr>
            </w:pPr>
            <w:r w:rsidRPr="00A351F7">
              <w:rPr>
                <w:rFonts w:ascii="Times New Roman" w:hAnsi="Times New Roman" w:cs="Times New Roman"/>
                <w:sz w:val="28"/>
                <w:szCs w:val="22"/>
              </w:rPr>
              <w:t>2260</w:t>
            </w:r>
          </w:p>
        </w:tc>
        <w:tc>
          <w:tcPr>
            <w:tcW w:w="0" w:type="auto"/>
            <w:vAlign w:val="center"/>
            <w:hideMark/>
          </w:tcPr>
          <w:p w14:paraId="27719832" w14:textId="77777777" w:rsidR="00645889" w:rsidRPr="00A351F7" w:rsidRDefault="00645889" w:rsidP="00A351F7">
            <w:pPr>
              <w:pStyle w:val="NoSpacing"/>
              <w:jc w:val="center"/>
              <w:rPr>
                <w:rFonts w:ascii="Times New Roman" w:hAnsi="Times New Roman" w:cs="Times New Roman"/>
                <w:sz w:val="28"/>
                <w:szCs w:val="22"/>
              </w:rPr>
            </w:pPr>
            <w:r w:rsidRPr="00A351F7">
              <w:rPr>
                <w:rFonts w:ascii="Times New Roman" w:hAnsi="Times New Roman" w:cs="Times New Roman"/>
                <w:sz w:val="28"/>
                <w:szCs w:val="22"/>
              </w:rPr>
              <w:t>..</w:t>
            </w:r>
          </w:p>
        </w:tc>
        <w:tc>
          <w:tcPr>
            <w:tcW w:w="1638" w:type="dxa"/>
            <w:vAlign w:val="center"/>
            <w:hideMark/>
          </w:tcPr>
          <w:p w14:paraId="4BE8769A" w14:textId="77777777" w:rsidR="00645889" w:rsidRPr="00A351F7" w:rsidRDefault="00645889" w:rsidP="00A351F7">
            <w:pPr>
              <w:pStyle w:val="NoSpacing"/>
              <w:jc w:val="center"/>
              <w:rPr>
                <w:rFonts w:ascii="Times New Roman" w:hAnsi="Times New Roman" w:cs="Times New Roman"/>
                <w:sz w:val="28"/>
                <w:szCs w:val="22"/>
              </w:rPr>
            </w:pPr>
            <w:r w:rsidRPr="00A351F7">
              <w:rPr>
                <w:rFonts w:ascii="Times New Roman" w:hAnsi="Times New Roman" w:cs="Times New Roman"/>
                <w:sz w:val="28"/>
                <w:szCs w:val="22"/>
              </w:rPr>
              <w:t>N.A.</w:t>
            </w:r>
          </w:p>
        </w:tc>
        <w:tc>
          <w:tcPr>
            <w:tcW w:w="1142" w:type="dxa"/>
            <w:vAlign w:val="center"/>
            <w:hideMark/>
          </w:tcPr>
          <w:p w14:paraId="301AD3E1" w14:textId="77777777" w:rsidR="00645889" w:rsidRPr="00A351F7" w:rsidRDefault="00645889" w:rsidP="00A351F7">
            <w:pPr>
              <w:pStyle w:val="NoSpacing"/>
              <w:jc w:val="center"/>
              <w:rPr>
                <w:rFonts w:ascii="Times New Roman" w:hAnsi="Times New Roman" w:cs="Times New Roman"/>
                <w:sz w:val="28"/>
                <w:szCs w:val="22"/>
              </w:rPr>
            </w:pPr>
            <w:r w:rsidRPr="00A351F7">
              <w:rPr>
                <w:rFonts w:ascii="Times New Roman" w:hAnsi="Times New Roman" w:cs="Times New Roman"/>
                <w:sz w:val="28"/>
                <w:szCs w:val="22"/>
              </w:rPr>
              <w:t>2260</w:t>
            </w:r>
          </w:p>
        </w:tc>
        <w:tc>
          <w:tcPr>
            <w:tcW w:w="2655" w:type="dxa"/>
            <w:vAlign w:val="center"/>
            <w:hideMark/>
          </w:tcPr>
          <w:p w14:paraId="103F21BA" w14:textId="77777777" w:rsidR="00645889" w:rsidRPr="00A351F7" w:rsidRDefault="00645889" w:rsidP="00A351F7">
            <w:pPr>
              <w:pStyle w:val="NoSpacing"/>
              <w:jc w:val="center"/>
              <w:rPr>
                <w:rFonts w:ascii="Times New Roman" w:hAnsi="Times New Roman" w:cs="Times New Roman"/>
                <w:sz w:val="28"/>
                <w:szCs w:val="22"/>
              </w:rPr>
            </w:pPr>
            <w:r w:rsidRPr="00A351F7">
              <w:rPr>
                <w:rFonts w:ascii="Times New Roman" w:hAnsi="Times New Roman" w:cs="Times New Roman"/>
                <w:sz w:val="28"/>
                <w:szCs w:val="22"/>
              </w:rPr>
              <w:t>285</w:t>
            </w:r>
          </w:p>
        </w:tc>
        <w:tc>
          <w:tcPr>
            <w:tcW w:w="0" w:type="auto"/>
            <w:vAlign w:val="center"/>
            <w:hideMark/>
          </w:tcPr>
          <w:p w14:paraId="60FD9EE1" w14:textId="77777777" w:rsidR="00645889" w:rsidRPr="00A351F7" w:rsidRDefault="00645889" w:rsidP="00A351F7">
            <w:pPr>
              <w:pStyle w:val="NoSpacing"/>
              <w:jc w:val="center"/>
              <w:rPr>
                <w:rFonts w:ascii="Times New Roman" w:hAnsi="Times New Roman" w:cs="Times New Roman"/>
                <w:sz w:val="28"/>
                <w:szCs w:val="22"/>
              </w:rPr>
            </w:pPr>
            <w:r w:rsidRPr="00A351F7">
              <w:rPr>
                <w:rFonts w:ascii="Times New Roman" w:hAnsi="Times New Roman" w:cs="Times New Roman"/>
                <w:sz w:val="28"/>
                <w:szCs w:val="22"/>
              </w:rPr>
              <w:t>1975</w:t>
            </w:r>
          </w:p>
        </w:tc>
      </w:tr>
      <w:tr w:rsidR="00645889" w:rsidRPr="00A351F7" w14:paraId="340DB0D2" w14:textId="77777777" w:rsidTr="00886EB4">
        <w:trPr>
          <w:trHeight w:val="580"/>
        </w:trPr>
        <w:tc>
          <w:tcPr>
            <w:tcW w:w="0" w:type="auto"/>
            <w:hideMark/>
          </w:tcPr>
          <w:p w14:paraId="2FAD68A6" w14:textId="77777777" w:rsidR="00645889" w:rsidRPr="00A351F7" w:rsidRDefault="00645889" w:rsidP="00B77C0B">
            <w:pPr>
              <w:pStyle w:val="NoSpacing"/>
              <w:rPr>
                <w:rFonts w:ascii="Times New Roman" w:hAnsi="Times New Roman" w:cs="Times New Roman"/>
                <w:sz w:val="28"/>
                <w:szCs w:val="22"/>
              </w:rPr>
            </w:pPr>
            <w:r w:rsidRPr="00A351F7">
              <w:rPr>
                <w:rFonts w:ascii="Times New Roman" w:hAnsi="Times New Roman" w:cs="Times New Roman"/>
                <w:sz w:val="28"/>
                <w:szCs w:val="22"/>
              </w:rPr>
              <w:t>Uttar Pradesh</w:t>
            </w:r>
          </w:p>
        </w:tc>
        <w:tc>
          <w:tcPr>
            <w:tcW w:w="0" w:type="auto"/>
            <w:vAlign w:val="center"/>
            <w:hideMark/>
          </w:tcPr>
          <w:p w14:paraId="2A94740F" w14:textId="77777777" w:rsidR="00645889" w:rsidRPr="00A351F7" w:rsidRDefault="00645889" w:rsidP="00A351F7">
            <w:pPr>
              <w:pStyle w:val="NoSpacing"/>
              <w:jc w:val="center"/>
              <w:rPr>
                <w:rFonts w:ascii="Times New Roman" w:hAnsi="Times New Roman" w:cs="Times New Roman"/>
                <w:sz w:val="28"/>
                <w:szCs w:val="22"/>
              </w:rPr>
            </w:pPr>
            <w:r w:rsidRPr="00A351F7">
              <w:rPr>
                <w:rFonts w:ascii="Times New Roman" w:hAnsi="Times New Roman" w:cs="Times New Roman"/>
                <w:sz w:val="28"/>
                <w:szCs w:val="22"/>
              </w:rPr>
              <w:t>125</w:t>
            </w:r>
          </w:p>
        </w:tc>
        <w:tc>
          <w:tcPr>
            <w:tcW w:w="0" w:type="auto"/>
            <w:vAlign w:val="center"/>
            <w:hideMark/>
          </w:tcPr>
          <w:p w14:paraId="1C352F6E" w14:textId="77777777" w:rsidR="00645889" w:rsidRPr="00A351F7" w:rsidRDefault="00645889" w:rsidP="00A351F7">
            <w:pPr>
              <w:pStyle w:val="NoSpacing"/>
              <w:jc w:val="center"/>
              <w:rPr>
                <w:rFonts w:ascii="Times New Roman" w:hAnsi="Times New Roman" w:cs="Times New Roman"/>
                <w:sz w:val="28"/>
                <w:szCs w:val="22"/>
              </w:rPr>
            </w:pPr>
            <w:r w:rsidRPr="00A351F7">
              <w:rPr>
                <w:rFonts w:ascii="Times New Roman" w:hAnsi="Times New Roman" w:cs="Times New Roman"/>
                <w:sz w:val="28"/>
                <w:szCs w:val="22"/>
              </w:rPr>
              <w:t>960</w:t>
            </w:r>
          </w:p>
        </w:tc>
        <w:tc>
          <w:tcPr>
            <w:tcW w:w="1638" w:type="dxa"/>
            <w:vAlign w:val="center"/>
            <w:hideMark/>
          </w:tcPr>
          <w:p w14:paraId="3F69497B" w14:textId="77777777" w:rsidR="00645889" w:rsidRPr="00A351F7" w:rsidRDefault="00645889" w:rsidP="00A351F7">
            <w:pPr>
              <w:pStyle w:val="NoSpacing"/>
              <w:jc w:val="center"/>
              <w:rPr>
                <w:rFonts w:ascii="Times New Roman" w:hAnsi="Times New Roman" w:cs="Times New Roman"/>
                <w:sz w:val="28"/>
                <w:szCs w:val="22"/>
              </w:rPr>
            </w:pPr>
            <w:r w:rsidRPr="00A351F7">
              <w:rPr>
                <w:rFonts w:ascii="Times New Roman" w:hAnsi="Times New Roman" w:cs="Times New Roman"/>
                <w:sz w:val="28"/>
                <w:szCs w:val="22"/>
              </w:rPr>
              <w:t>3530</w:t>
            </w:r>
          </w:p>
        </w:tc>
        <w:tc>
          <w:tcPr>
            <w:tcW w:w="1142" w:type="dxa"/>
            <w:vAlign w:val="center"/>
            <w:hideMark/>
          </w:tcPr>
          <w:p w14:paraId="4534C834" w14:textId="77777777" w:rsidR="00645889" w:rsidRPr="00A351F7" w:rsidRDefault="00645889" w:rsidP="00A351F7">
            <w:pPr>
              <w:pStyle w:val="NoSpacing"/>
              <w:jc w:val="center"/>
              <w:rPr>
                <w:rFonts w:ascii="Times New Roman" w:hAnsi="Times New Roman" w:cs="Times New Roman"/>
                <w:sz w:val="28"/>
                <w:szCs w:val="22"/>
              </w:rPr>
            </w:pPr>
            <w:r w:rsidRPr="00A351F7">
              <w:rPr>
                <w:rFonts w:ascii="Times New Roman" w:hAnsi="Times New Roman" w:cs="Times New Roman"/>
                <w:sz w:val="28"/>
                <w:szCs w:val="22"/>
              </w:rPr>
              <w:t>4615</w:t>
            </w:r>
          </w:p>
        </w:tc>
        <w:tc>
          <w:tcPr>
            <w:tcW w:w="2655" w:type="dxa"/>
            <w:vAlign w:val="center"/>
            <w:hideMark/>
          </w:tcPr>
          <w:p w14:paraId="14F14889" w14:textId="77777777" w:rsidR="00645889" w:rsidRPr="00A351F7" w:rsidRDefault="00645889" w:rsidP="00A351F7">
            <w:pPr>
              <w:pStyle w:val="NoSpacing"/>
              <w:jc w:val="center"/>
              <w:rPr>
                <w:rFonts w:ascii="Times New Roman" w:hAnsi="Times New Roman" w:cs="Times New Roman"/>
                <w:sz w:val="28"/>
                <w:szCs w:val="22"/>
              </w:rPr>
            </w:pPr>
            <w:r w:rsidRPr="00A351F7">
              <w:rPr>
                <w:rFonts w:ascii="Times New Roman" w:hAnsi="Times New Roman" w:cs="Times New Roman"/>
                <w:sz w:val="28"/>
                <w:szCs w:val="22"/>
              </w:rPr>
              <w:t>1638</w:t>
            </w:r>
          </w:p>
        </w:tc>
        <w:tc>
          <w:tcPr>
            <w:tcW w:w="0" w:type="auto"/>
            <w:vAlign w:val="center"/>
            <w:hideMark/>
          </w:tcPr>
          <w:p w14:paraId="07787ADA" w14:textId="77777777" w:rsidR="00645889" w:rsidRPr="00A351F7" w:rsidRDefault="00645889" w:rsidP="00A351F7">
            <w:pPr>
              <w:pStyle w:val="NoSpacing"/>
              <w:jc w:val="center"/>
              <w:rPr>
                <w:rFonts w:ascii="Times New Roman" w:hAnsi="Times New Roman" w:cs="Times New Roman"/>
                <w:sz w:val="28"/>
                <w:szCs w:val="22"/>
              </w:rPr>
            </w:pPr>
            <w:r w:rsidRPr="00A351F7">
              <w:rPr>
                <w:rFonts w:ascii="Times New Roman" w:hAnsi="Times New Roman" w:cs="Times New Roman"/>
                <w:sz w:val="28"/>
                <w:szCs w:val="22"/>
              </w:rPr>
              <w:t>2977</w:t>
            </w:r>
          </w:p>
        </w:tc>
      </w:tr>
      <w:tr w:rsidR="00645889" w:rsidRPr="00A351F7" w14:paraId="2840AC10" w14:textId="77777777" w:rsidTr="00886EB4">
        <w:trPr>
          <w:trHeight w:val="283"/>
        </w:trPr>
        <w:tc>
          <w:tcPr>
            <w:tcW w:w="0" w:type="auto"/>
            <w:hideMark/>
          </w:tcPr>
          <w:p w14:paraId="0C4547E7" w14:textId="77777777" w:rsidR="00645889" w:rsidRPr="00A351F7" w:rsidRDefault="00645889" w:rsidP="00B77C0B">
            <w:pPr>
              <w:pStyle w:val="NoSpacing"/>
              <w:rPr>
                <w:rFonts w:ascii="Times New Roman" w:hAnsi="Times New Roman" w:cs="Times New Roman"/>
                <w:sz w:val="28"/>
                <w:szCs w:val="22"/>
              </w:rPr>
            </w:pPr>
            <w:r w:rsidRPr="00A351F7">
              <w:rPr>
                <w:rFonts w:ascii="Times New Roman" w:hAnsi="Times New Roman" w:cs="Times New Roman"/>
                <w:sz w:val="28"/>
                <w:szCs w:val="22"/>
              </w:rPr>
              <w:t>West Bengal</w:t>
            </w:r>
          </w:p>
        </w:tc>
        <w:tc>
          <w:tcPr>
            <w:tcW w:w="0" w:type="auto"/>
            <w:vAlign w:val="center"/>
            <w:hideMark/>
          </w:tcPr>
          <w:p w14:paraId="58E413B3" w14:textId="77777777" w:rsidR="00645889" w:rsidRPr="00A351F7" w:rsidRDefault="00645889" w:rsidP="00A351F7">
            <w:pPr>
              <w:pStyle w:val="NoSpacing"/>
              <w:jc w:val="center"/>
              <w:rPr>
                <w:rFonts w:ascii="Times New Roman" w:hAnsi="Times New Roman" w:cs="Times New Roman"/>
                <w:sz w:val="28"/>
                <w:szCs w:val="22"/>
              </w:rPr>
            </w:pPr>
            <w:r w:rsidRPr="00A351F7">
              <w:rPr>
                <w:rFonts w:ascii="Times New Roman" w:hAnsi="Times New Roman" w:cs="Times New Roman"/>
                <w:sz w:val="28"/>
                <w:szCs w:val="22"/>
              </w:rPr>
              <w:t>1120</w:t>
            </w:r>
          </w:p>
        </w:tc>
        <w:tc>
          <w:tcPr>
            <w:tcW w:w="0" w:type="auto"/>
            <w:vAlign w:val="center"/>
            <w:hideMark/>
          </w:tcPr>
          <w:p w14:paraId="40D4AF5E" w14:textId="77777777" w:rsidR="00645889" w:rsidRPr="00A351F7" w:rsidRDefault="00645889" w:rsidP="00A351F7">
            <w:pPr>
              <w:pStyle w:val="NoSpacing"/>
              <w:jc w:val="center"/>
              <w:rPr>
                <w:rFonts w:ascii="Times New Roman" w:hAnsi="Times New Roman" w:cs="Times New Roman"/>
                <w:sz w:val="28"/>
                <w:szCs w:val="22"/>
              </w:rPr>
            </w:pPr>
            <w:r w:rsidRPr="00A351F7">
              <w:rPr>
                <w:rFonts w:ascii="Times New Roman" w:hAnsi="Times New Roman" w:cs="Times New Roman"/>
                <w:sz w:val="28"/>
                <w:szCs w:val="22"/>
              </w:rPr>
              <w:t>11</w:t>
            </w:r>
          </w:p>
        </w:tc>
        <w:tc>
          <w:tcPr>
            <w:tcW w:w="1638" w:type="dxa"/>
            <w:vAlign w:val="center"/>
            <w:hideMark/>
          </w:tcPr>
          <w:p w14:paraId="3A586DDC" w14:textId="77777777" w:rsidR="00645889" w:rsidRPr="00A351F7" w:rsidRDefault="00645889" w:rsidP="00A351F7">
            <w:pPr>
              <w:pStyle w:val="NoSpacing"/>
              <w:jc w:val="center"/>
              <w:rPr>
                <w:rFonts w:ascii="Times New Roman" w:hAnsi="Times New Roman" w:cs="Times New Roman"/>
                <w:sz w:val="28"/>
                <w:szCs w:val="22"/>
              </w:rPr>
            </w:pPr>
            <w:r w:rsidRPr="00A351F7">
              <w:rPr>
                <w:rFonts w:ascii="Times New Roman" w:hAnsi="Times New Roman" w:cs="Times New Roman"/>
                <w:sz w:val="28"/>
                <w:szCs w:val="22"/>
              </w:rPr>
              <w:t>N.A.</w:t>
            </w:r>
          </w:p>
        </w:tc>
        <w:tc>
          <w:tcPr>
            <w:tcW w:w="1142" w:type="dxa"/>
            <w:vAlign w:val="center"/>
            <w:hideMark/>
          </w:tcPr>
          <w:p w14:paraId="6D7B5A0D" w14:textId="77777777" w:rsidR="00645889" w:rsidRPr="00A351F7" w:rsidRDefault="00645889" w:rsidP="00A351F7">
            <w:pPr>
              <w:pStyle w:val="NoSpacing"/>
              <w:jc w:val="center"/>
              <w:rPr>
                <w:rFonts w:ascii="Times New Roman" w:hAnsi="Times New Roman" w:cs="Times New Roman"/>
                <w:sz w:val="28"/>
                <w:szCs w:val="22"/>
              </w:rPr>
            </w:pPr>
            <w:r w:rsidRPr="00A351F7">
              <w:rPr>
                <w:rFonts w:ascii="Times New Roman" w:hAnsi="Times New Roman" w:cs="Times New Roman"/>
                <w:sz w:val="28"/>
                <w:szCs w:val="22"/>
              </w:rPr>
              <w:t>1131</w:t>
            </w:r>
          </w:p>
        </w:tc>
        <w:tc>
          <w:tcPr>
            <w:tcW w:w="2655" w:type="dxa"/>
            <w:vAlign w:val="center"/>
            <w:hideMark/>
          </w:tcPr>
          <w:p w14:paraId="303A895A" w14:textId="77777777" w:rsidR="00645889" w:rsidRPr="00A351F7" w:rsidRDefault="00645889" w:rsidP="00A351F7">
            <w:pPr>
              <w:pStyle w:val="NoSpacing"/>
              <w:jc w:val="center"/>
              <w:rPr>
                <w:rFonts w:ascii="Times New Roman" w:hAnsi="Times New Roman" w:cs="Times New Roman"/>
                <w:sz w:val="28"/>
                <w:szCs w:val="22"/>
              </w:rPr>
            </w:pPr>
            <w:r w:rsidRPr="00A351F7">
              <w:rPr>
                <w:rFonts w:ascii="Times New Roman" w:hAnsi="Times New Roman" w:cs="Times New Roman"/>
                <w:sz w:val="28"/>
                <w:szCs w:val="22"/>
              </w:rPr>
              <w:t>83</w:t>
            </w:r>
          </w:p>
        </w:tc>
        <w:tc>
          <w:tcPr>
            <w:tcW w:w="0" w:type="auto"/>
            <w:vAlign w:val="center"/>
            <w:hideMark/>
          </w:tcPr>
          <w:p w14:paraId="50B41970" w14:textId="77777777" w:rsidR="00645889" w:rsidRPr="00A351F7" w:rsidRDefault="00645889" w:rsidP="00A351F7">
            <w:pPr>
              <w:pStyle w:val="NoSpacing"/>
              <w:jc w:val="center"/>
              <w:rPr>
                <w:rFonts w:ascii="Times New Roman" w:hAnsi="Times New Roman" w:cs="Times New Roman"/>
                <w:sz w:val="28"/>
                <w:szCs w:val="22"/>
              </w:rPr>
            </w:pPr>
            <w:r w:rsidRPr="00A351F7">
              <w:rPr>
                <w:rFonts w:ascii="Times New Roman" w:hAnsi="Times New Roman" w:cs="Times New Roman"/>
                <w:sz w:val="28"/>
                <w:szCs w:val="22"/>
              </w:rPr>
              <w:t>1048</w:t>
            </w:r>
          </w:p>
        </w:tc>
      </w:tr>
      <w:tr w:rsidR="00645889" w:rsidRPr="00A351F7" w14:paraId="5F482B26" w14:textId="77777777" w:rsidTr="00886EB4">
        <w:trPr>
          <w:trHeight w:val="283"/>
        </w:trPr>
        <w:tc>
          <w:tcPr>
            <w:tcW w:w="0" w:type="auto"/>
            <w:hideMark/>
          </w:tcPr>
          <w:p w14:paraId="5415BB80" w14:textId="77777777" w:rsidR="00645889" w:rsidRPr="00A351F7" w:rsidRDefault="00645889" w:rsidP="00B77C0B">
            <w:pPr>
              <w:pStyle w:val="NoSpacing"/>
              <w:rPr>
                <w:rFonts w:ascii="Times New Roman" w:hAnsi="Times New Roman" w:cs="Times New Roman"/>
                <w:sz w:val="28"/>
                <w:szCs w:val="22"/>
              </w:rPr>
            </w:pPr>
            <w:r w:rsidRPr="00A351F7">
              <w:rPr>
                <w:rFonts w:ascii="Times New Roman" w:hAnsi="Times New Roman" w:cs="Times New Roman"/>
                <w:sz w:val="28"/>
                <w:szCs w:val="22"/>
              </w:rPr>
              <w:t>TOTAL</w:t>
            </w:r>
          </w:p>
        </w:tc>
        <w:tc>
          <w:tcPr>
            <w:tcW w:w="0" w:type="auto"/>
            <w:vAlign w:val="center"/>
            <w:hideMark/>
          </w:tcPr>
          <w:p w14:paraId="60C70799" w14:textId="77777777" w:rsidR="00645889" w:rsidRPr="00A351F7" w:rsidRDefault="00645889" w:rsidP="00A351F7">
            <w:pPr>
              <w:pStyle w:val="NoSpacing"/>
              <w:jc w:val="center"/>
              <w:rPr>
                <w:rFonts w:ascii="Times New Roman" w:hAnsi="Times New Roman" w:cs="Times New Roman"/>
                <w:sz w:val="28"/>
                <w:szCs w:val="22"/>
              </w:rPr>
            </w:pPr>
            <w:r w:rsidRPr="00A351F7">
              <w:rPr>
                <w:rFonts w:ascii="Times New Roman" w:hAnsi="Times New Roman" w:cs="Times New Roman"/>
                <w:sz w:val="28"/>
                <w:szCs w:val="22"/>
              </w:rPr>
              <w:t>9508</w:t>
            </w:r>
          </w:p>
        </w:tc>
        <w:tc>
          <w:tcPr>
            <w:tcW w:w="0" w:type="auto"/>
            <w:vAlign w:val="center"/>
            <w:hideMark/>
          </w:tcPr>
          <w:p w14:paraId="4E7B5A37" w14:textId="77777777" w:rsidR="00645889" w:rsidRPr="00A351F7" w:rsidRDefault="00645889" w:rsidP="00A351F7">
            <w:pPr>
              <w:pStyle w:val="NoSpacing"/>
              <w:jc w:val="center"/>
              <w:rPr>
                <w:rFonts w:ascii="Times New Roman" w:hAnsi="Times New Roman" w:cs="Times New Roman"/>
                <w:sz w:val="28"/>
                <w:szCs w:val="22"/>
              </w:rPr>
            </w:pPr>
            <w:r w:rsidRPr="00A351F7">
              <w:rPr>
                <w:rFonts w:ascii="Times New Roman" w:hAnsi="Times New Roman" w:cs="Times New Roman"/>
                <w:sz w:val="28"/>
                <w:szCs w:val="22"/>
              </w:rPr>
              <w:t>2612</w:t>
            </w:r>
          </w:p>
        </w:tc>
        <w:tc>
          <w:tcPr>
            <w:tcW w:w="1638" w:type="dxa"/>
            <w:vAlign w:val="center"/>
            <w:hideMark/>
          </w:tcPr>
          <w:p w14:paraId="6D40BD74" w14:textId="77777777" w:rsidR="00645889" w:rsidRPr="00A351F7" w:rsidRDefault="00645889" w:rsidP="00A351F7">
            <w:pPr>
              <w:pStyle w:val="NoSpacing"/>
              <w:jc w:val="center"/>
              <w:rPr>
                <w:rFonts w:ascii="Times New Roman" w:hAnsi="Times New Roman" w:cs="Times New Roman"/>
                <w:sz w:val="28"/>
                <w:szCs w:val="22"/>
              </w:rPr>
            </w:pPr>
            <w:r w:rsidRPr="00A351F7">
              <w:rPr>
                <w:rFonts w:ascii="Times New Roman" w:hAnsi="Times New Roman" w:cs="Times New Roman"/>
                <w:sz w:val="28"/>
                <w:szCs w:val="22"/>
              </w:rPr>
              <w:t>6552</w:t>
            </w:r>
          </w:p>
        </w:tc>
        <w:tc>
          <w:tcPr>
            <w:tcW w:w="1142" w:type="dxa"/>
            <w:vAlign w:val="center"/>
            <w:hideMark/>
          </w:tcPr>
          <w:p w14:paraId="67B1044C" w14:textId="77777777" w:rsidR="00645889" w:rsidRPr="00A351F7" w:rsidRDefault="00645889" w:rsidP="00A351F7">
            <w:pPr>
              <w:pStyle w:val="NoSpacing"/>
              <w:jc w:val="center"/>
              <w:rPr>
                <w:rFonts w:ascii="Times New Roman" w:hAnsi="Times New Roman" w:cs="Times New Roman"/>
                <w:sz w:val="28"/>
                <w:szCs w:val="22"/>
              </w:rPr>
            </w:pPr>
            <w:r w:rsidRPr="00A351F7">
              <w:rPr>
                <w:rFonts w:ascii="Times New Roman" w:hAnsi="Times New Roman" w:cs="Times New Roman"/>
                <w:sz w:val="28"/>
                <w:szCs w:val="22"/>
              </w:rPr>
              <w:t>18672</w:t>
            </w:r>
          </w:p>
        </w:tc>
        <w:tc>
          <w:tcPr>
            <w:tcW w:w="2655" w:type="dxa"/>
            <w:vAlign w:val="center"/>
            <w:hideMark/>
          </w:tcPr>
          <w:p w14:paraId="0CFECCE0" w14:textId="44F8B4FE" w:rsidR="00645889" w:rsidRPr="00A351F7" w:rsidRDefault="00645889" w:rsidP="00A351F7">
            <w:pPr>
              <w:pStyle w:val="NoSpacing"/>
              <w:jc w:val="center"/>
              <w:rPr>
                <w:rFonts w:ascii="Times New Roman" w:hAnsi="Times New Roman" w:cs="Times New Roman"/>
                <w:sz w:val="28"/>
                <w:szCs w:val="22"/>
              </w:rPr>
            </w:pPr>
            <w:r w:rsidRPr="00A351F7">
              <w:rPr>
                <w:rFonts w:ascii="Times New Roman" w:hAnsi="Times New Roman" w:cs="Times New Roman"/>
                <w:sz w:val="28"/>
                <w:szCs w:val="22"/>
              </w:rPr>
              <w:t>4841</w:t>
            </w:r>
            <w:r w:rsidR="00886EB4">
              <w:rPr>
                <w:rFonts w:ascii="Times New Roman" w:hAnsi="Times New Roman" w:cs="Times New Roman"/>
                <w:sz w:val="28"/>
                <w:szCs w:val="22"/>
              </w:rPr>
              <w:t>*</w:t>
            </w:r>
          </w:p>
        </w:tc>
        <w:tc>
          <w:tcPr>
            <w:tcW w:w="0" w:type="auto"/>
            <w:vAlign w:val="center"/>
            <w:hideMark/>
          </w:tcPr>
          <w:p w14:paraId="26066B1E" w14:textId="14445828" w:rsidR="00645889" w:rsidRPr="00A351F7" w:rsidRDefault="00645889" w:rsidP="00A351F7">
            <w:pPr>
              <w:pStyle w:val="NoSpacing"/>
              <w:jc w:val="center"/>
              <w:rPr>
                <w:rFonts w:ascii="Times New Roman" w:hAnsi="Times New Roman" w:cs="Times New Roman"/>
                <w:sz w:val="28"/>
                <w:szCs w:val="22"/>
              </w:rPr>
            </w:pPr>
            <w:r w:rsidRPr="00A351F7">
              <w:rPr>
                <w:rFonts w:ascii="Times New Roman" w:hAnsi="Times New Roman" w:cs="Times New Roman"/>
                <w:sz w:val="28"/>
                <w:szCs w:val="22"/>
              </w:rPr>
              <w:t>13831</w:t>
            </w:r>
          </w:p>
        </w:tc>
      </w:tr>
    </w:tbl>
    <w:p w14:paraId="6EAC350E" w14:textId="77777777" w:rsidR="00645889" w:rsidRPr="00A351F7" w:rsidRDefault="00645889" w:rsidP="00A351F7">
      <w:pPr>
        <w:spacing w:after="0"/>
        <w:rPr>
          <w:rFonts w:ascii="Times New Roman" w:hAnsi="Times New Roman" w:cs="Times New Roman"/>
          <w:sz w:val="20"/>
          <w:szCs w:val="18"/>
        </w:rPr>
      </w:pPr>
      <w:r w:rsidRPr="00A351F7">
        <w:rPr>
          <w:rFonts w:ascii="Times New Roman" w:hAnsi="Times New Roman" w:cs="Times New Roman"/>
          <w:sz w:val="20"/>
          <w:szCs w:val="18"/>
        </w:rPr>
        <w:t>*Excluding Assam and Jammu and Kashmir.</w:t>
      </w:r>
    </w:p>
    <w:p w14:paraId="5F7C5BA3" w14:textId="77777777" w:rsidR="00645889" w:rsidRPr="00A351F7" w:rsidRDefault="00645889" w:rsidP="00A351F7">
      <w:pPr>
        <w:spacing w:after="0"/>
        <w:rPr>
          <w:rFonts w:ascii="Times New Roman" w:hAnsi="Times New Roman" w:cs="Times New Roman"/>
          <w:sz w:val="20"/>
          <w:szCs w:val="18"/>
        </w:rPr>
      </w:pPr>
      <w:r w:rsidRPr="00A351F7">
        <w:rPr>
          <w:rFonts w:ascii="Times New Roman" w:hAnsi="Times New Roman" w:cs="Times New Roman"/>
          <w:sz w:val="20"/>
          <w:szCs w:val="18"/>
        </w:rPr>
        <w:t>N. A.-Not available.</w:t>
      </w:r>
    </w:p>
    <w:p w14:paraId="40D4584D" w14:textId="77777777" w:rsidR="00645889" w:rsidRPr="00A351F7" w:rsidRDefault="00645889" w:rsidP="00A351F7">
      <w:pPr>
        <w:spacing w:after="0"/>
        <w:rPr>
          <w:rFonts w:ascii="Times New Roman" w:hAnsi="Times New Roman" w:cs="Times New Roman"/>
          <w:sz w:val="20"/>
          <w:szCs w:val="18"/>
        </w:rPr>
      </w:pPr>
      <w:r w:rsidRPr="00A351F7">
        <w:rPr>
          <w:rFonts w:ascii="Times New Roman" w:hAnsi="Times New Roman" w:cs="Times New Roman"/>
          <w:sz w:val="20"/>
          <w:szCs w:val="18"/>
        </w:rPr>
        <w:t>Neg.-Negligible.</w:t>
      </w:r>
    </w:p>
    <w:p w14:paraId="2D4C64E1" w14:textId="29706301" w:rsidR="00645889" w:rsidRPr="00A351F7" w:rsidRDefault="00645889" w:rsidP="00A351F7">
      <w:pPr>
        <w:spacing w:after="0"/>
        <w:rPr>
          <w:rFonts w:ascii="Times New Roman" w:hAnsi="Times New Roman" w:cs="Times New Roman"/>
          <w:sz w:val="20"/>
          <w:szCs w:val="18"/>
        </w:rPr>
      </w:pPr>
      <w:r w:rsidRPr="00A351F7">
        <w:rPr>
          <w:rFonts w:ascii="Times New Roman" w:hAnsi="Times New Roman" w:cs="Times New Roman"/>
          <w:i/>
          <w:iCs/>
          <w:sz w:val="20"/>
          <w:szCs w:val="18"/>
        </w:rPr>
        <w:t>Source:</w:t>
      </w:r>
      <w:r w:rsidRPr="00A351F7">
        <w:rPr>
          <w:rFonts w:ascii="Times New Roman" w:hAnsi="Times New Roman" w:cs="Times New Roman"/>
          <w:sz w:val="20"/>
          <w:szCs w:val="18"/>
        </w:rPr>
        <w:t xml:space="preserve"> Ministry of Irrigation and Power except Col, 6 which has been taken from</w:t>
      </w:r>
    </w:p>
    <w:p w14:paraId="66C6DC95" w14:textId="3ACF26D3" w:rsidR="00645889" w:rsidRPr="00A351F7" w:rsidRDefault="00645889" w:rsidP="00A351F7">
      <w:pPr>
        <w:spacing w:after="0"/>
        <w:rPr>
          <w:rFonts w:ascii="Times New Roman" w:hAnsi="Times New Roman" w:cs="Times New Roman"/>
          <w:sz w:val="20"/>
          <w:szCs w:val="18"/>
        </w:rPr>
      </w:pPr>
      <w:r w:rsidRPr="00A351F7">
        <w:rPr>
          <w:rFonts w:ascii="Times New Roman" w:hAnsi="Times New Roman" w:cs="Times New Roman"/>
          <w:sz w:val="20"/>
          <w:szCs w:val="18"/>
        </w:rPr>
        <w:lastRenderedPageBreak/>
        <w:t>State budgets for 1969-70.</w:t>
      </w:r>
    </w:p>
    <w:p w14:paraId="2365714F" w14:textId="639F5AE5" w:rsidR="00DF5B04" w:rsidRDefault="00574BCE" w:rsidP="007D2EE4">
      <w:pPr>
        <w:pStyle w:val="Heading4"/>
      </w:pPr>
      <w:bookmarkStart w:id="216" w:name="_Toc220949742"/>
      <w:bookmarkStart w:id="217" w:name="_Toc221114342"/>
      <w:bookmarkStart w:id="218" w:name="_Toc221115365"/>
      <w:r>
        <w:t>Table</w:t>
      </w:r>
      <w:r w:rsidR="00DF5B04" w:rsidRPr="007245B0">
        <w:t xml:space="preserve"> 61: Number of factory </w:t>
      </w:r>
      <w:r w:rsidR="00DC115D" w:rsidRPr="007245B0">
        <w:t>worker,</w:t>
      </w:r>
      <w:r w:rsidR="00DF5B04" w:rsidRPr="007245B0">
        <w:t xml:space="preserve"> in different States and their percentage to</w:t>
      </w:r>
      <w:r w:rsidR="007D2EE4">
        <w:t xml:space="preserve"> </w:t>
      </w:r>
      <w:r w:rsidR="00DF5B04" w:rsidRPr="007245B0">
        <w:t>Population</w:t>
      </w:r>
      <w:bookmarkEnd w:id="216"/>
      <w:bookmarkEnd w:id="217"/>
      <w:bookmarkEnd w:id="218"/>
    </w:p>
    <w:p w14:paraId="04F0E84F" w14:textId="77777777" w:rsidR="00A351F7" w:rsidRPr="00A351F7" w:rsidRDefault="00A351F7" w:rsidP="00A351F7"/>
    <w:tbl>
      <w:tblPr>
        <w:tblStyle w:val="TableGrid"/>
        <w:tblW w:w="10910" w:type="dxa"/>
        <w:tblInd w:w="-1060" w:type="dxa"/>
        <w:tblLook w:val="04A0" w:firstRow="1" w:lastRow="0" w:firstColumn="1" w:lastColumn="0" w:noHBand="0" w:noVBand="1"/>
      </w:tblPr>
      <w:tblGrid>
        <w:gridCol w:w="2574"/>
        <w:gridCol w:w="2065"/>
        <w:gridCol w:w="2066"/>
        <w:gridCol w:w="4205"/>
      </w:tblGrid>
      <w:tr w:rsidR="00DF5B04" w:rsidRPr="00A63E7C" w14:paraId="29CCADE2" w14:textId="77777777" w:rsidTr="00A351F7">
        <w:trPr>
          <w:trHeight w:val="600"/>
        </w:trPr>
        <w:tc>
          <w:tcPr>
            <w:tcW w:w="2574" w:type="dxa"/>
            <w:vAlign w:val="center"/>
            <w:hideMark/>
          </w:tcPr>
          <w:p w14:paraId="05B8966E" w14:textId="77777777" w:rsidR="00DF5B04" w:rsidRPr="00A63E7C" w:rsidRDefault="00DF5B04" w:rsidP="00A351F7">
            <w:pPr>
              <w:pStyle w:val="NoSpacing"/>
              <w:jc w:val="center"/>
              <w:rPr>
                <w:rFonts w:ascii="Times New Roman" w:hAnsi="Times New Roman" w:cs="Times New Roman"/>
                <w:b/>
                <w:bCs/>
                <w:sz w:val="28"/>
                <w:szCs w:val="22"/>
              </w:rPr>
            </w:pPr>
            <w:r w:rsidRPr="00A63E7C">
              <w:rPr>
                <w:rFonts w:ascii="Times New Roman" w:hAnsi="Times New Roman" w:cs="Times New Roman"/>
                <w:b/>
                <w:bCs/>
                <w:sz w:val="28"/>
                <w:szCs w:val="22"/>
              </w:rPr>
              <w:t>State</w:t>
            </w:r>
          </w:p>
        </w:tc>
        <w:tc>
          <w:tcPr>
            <w:tcW w:w="2065" w:type="dxa"/>
            <w:vAlign w:val="center"/>
            <w:hideMark/>
          </w:tcPr>
          <w:p w14:paraId="156FAC51" w14:textId="77777777" w:rsidR="00DF5B04" w:rsidRPr="00A63E7C" w:rsidRDefault="00DF5B04" w:rsidP="00A351F7">
            <w:pPr>
              <w:pStyle w:val="NoSpacing"/>
              <w:jc w:val="center"/>
              <w:rPr>
                <w:rFonts w:ascii="Times New Roman" w:hAnsi="Times New Roman" w:cs="Times New Roman"/>
                <w:b/>
                <w:bCs/>
                <w:sz w:val="28"/>
                <w:szCs w:val="22"/>
              </w:rPr>
            </w:pPr>
            <w:r w:rsidRPr="00A63E7C">
              <w:rPr>
                <w:rFonts w:ascii="Times New Roman" w:hAnsi="Times New Roman" w:cs="Times New Roman"/>
                <w:b/>
                <w:bCs/>
                <w:sz w:val="28"/>
                <w:szCs w:val="22"/>
              </w:rPr>
              <w:t>Population</w:t>
            </w:r>
            <w:r w:rsidRPr="00A63E7C">
              <w:rPr>
                <w:rFonts w:ascii="Times New Roman" w:hAnsi="Times New Roman" w:cs="Times New Roman"/>
                <w:b/>
                <w:bCs/>
                <w:sz w:val="28"/>
                <w:szCs w:val="22"/>
              </w:rPr>
              <w:br/>
              <w:t>(as on 1-7-1966)</w:t>
            </w:r>
          </w:p>
          <w:p w14:paraId="7832554C" w14:textId="77777777" w:rsidR="00DF5B04" w:rsidRPr="00A63E7C" w:rsidRDefault="00DF5B04" w:rsidP="00A351F7">
            <w:pPr>
              <w:pStyle w:val="NoSpacing"/>
              <w:jc w:val="center"/>
              <w:rPr>
                <w:rFonts w:ascii="Times New Roman" w:hAnsi="Times New Roman" w:cs="Times New Roman"/>
                <w:b/>
                <w:bCs/>
                <w:sz w:val="28"/>
                <w:szCs w:val="22"/>
              </w:rPr>
            </w:pPr>
            <w:r w:rsidRPr="00A63E7C">
              <w:rPr>
                <w:rFonts w:ascii="Times New Roman" w:hAnsi="Times New Roman" w:cs="Times New Roman"/>
                <w:b/>
                <w:bCs/>
                <w:sz w:val="28"/>
                <w:szCs w:val="22"/>
              </w:rPr>
              <w:t>(000’)</w:t>
            </w:r>
          </w:p>
        </w:tc>
        <w:tc>
          <w:tcPr>
            <w:tcW w:w="2066" w:type="dxa"/>
            <w:vAlign w:val="center"/>
            <w:hideMark/>
          </w:tcPr>
          <w:p w14:paraId="3DFF3574" w14:textId="77777777" w:rsidR="00DF5B04" w:rsidRPr="00A63E7C" w:rsidRDefault="00DF5B04" w:rsidP="00A351F7">
            <w:pPr>
              <w:pStyle w:val="NoSpacing"/>
              <w:jc w:val="center"/>
              <w:rPr>
                <w:rFonts w:ascii="Times New Roman" w:hAnsi="Times New Roman" w:cs="Times New Roman"/>
                <w:b/>
                <w:bCs/>
                <w:sz w:val="28"/>
                <w:szCs w:val="22"/>
              </w:rPr>
            </w:pPr>
            <w:r w:rsidRPr="00A63E7C">
              <w:rPr>
                <w:rFonts w:ascii="Times New Roman" w:hAnsi="Times New Roman" w:cs="Times New Roman"/>
                <w:b/>
                <w:bCs/>
                <w:sz w:val="28"/>
                <w:szCs w:val="22"/>
              </w:rPr>
              <w:t>Factory Workers</w:t>
            </w:r>
            <w:r w:rsidRPr="00A63E7C">
              <w:rPr>
                <w:rFonts w:ascii="Times New Roman" w:hAnsi="Times New Roman" w:cs="Times New Roman"/>
                <w:b/>
                <w:bCs/>
                <w:sz w:val="28"/>
                <w:szCs w:val="22"/>
              </w:rPr>
              <w:br/>
              <w:t>(1966)</w:t>
            </w:r>
          </w:p>
          <w:p w14:paraId="02B26BE6" w14:textId="77777777" w:rsidR="00DF5B04" w:rsidRPr="00A63E7C" w:rsidRDefault="00DF5B04" w:rsidP="00A351F7">
            <w:pPr>
              <w:pStyle w:val="NoSpacing"/>
              <w:jc w:val="center"/>
              <w:rPr>
                <w:rFonts w:ascii="Times New Roman" w:hAnsi="Times New Roman" w:cs="Times New Roman"/>
                <w:b/>
                <w:bCs/>
                <w:sz w:val="28"/>
                <w:szCs w:val="22"/>
              </w:rPr>
            </w:pPr>
            <w:r w:rsidRPr="00A63E7C">
              <w:rPr>
                <w:rFonts w:ascii="Times New Roman" w:hAnsi="Times New Roman" w:cs="Times New Roman"/>
                <w:b/>
                <w:bCs/>
                <w:sz w:val="28"/>
                <w:szCs w:val="22"/>
              </w:rPr>
              <w:t>(000’)</w:t>
            </w:r>
          </w:p>
        </w:tc>
        <w:tc>
          <w:tcPr>
            <w:tcW w:w="4205" w:type="dxa"/>
            <w:vAlign w:val="center"/>
            <w:hideMark/>
          </w:tcPr>
          <w:p w14:paraId="11E21858" w14:textId="22AB5080" w:rsidR="00DF5B04" w:rsidRPr="00A63E7C" w:rsidRDefault="00DF5B04" w:rsidP="00A351F7">
            <w:pPr>
              <w:pStyle w:val="NoSpacing"/>
              <w:jc w:val="center"/>
              <w:rPr>
                <w:rFonts w:ascii="Times New Roman" w:hAnsi="Times New Roman" w:cs="Times New Roman"/>
                <w:b/>
                <w:bCs/>
                <w:sz w:val="28"/>
                <w:szCs w:val="22"/>
              </w:rPr>
            </w:pPr>
            <w:r w:rsidRPr="00A63E7C">
              <w:rPr>
                <w:rFonts w:ascii="Times New Roman" w:hAnsi="Times New Roman" w:cs="Times New Roman"/>
                <w:b/>
                <w:bCs/>
                <w:sz w:val="28"/>
                <w:szCs w:val="22"/>
              </w:rPr>
              <w:t>Percentage of factory Workers to States Population</w:t>
            </w:r>
          </w:p>
        </w:tc>
      </w:tr>
      <w:tr w:rsidR="00DC115D" w:rsidRPr="00A63E7C" w14:paraId="7B446091" w14:textId="77777777" w:rsidTr="00A351F7">
        <w:trPr>
          <w:trHeight w:val="292"/>
        </w:trPr>
        <w:tc>
          <w:tcPr>
            <w:tcW w:w="2574" w:type="dxa"/>
            <w:vAlign w:val="center"/>
          </w:tcPr>
          <w:p w14:paraId="70FF221F" w14:textId="09398587" w:rsidR="00DC115D" w:rsidRPr="00A63E7C" w:rsidRDefault="00DC115D" w:rsidP="00A351F7">
            <w:pPr>
              <w:pStyle w:val="NoSpacing"/>
              <w:jc w:val="center"/>
              <w:rPr>
                <w:rFonts w:ascii="Times New Roman" w:hAnsi="Times New Roman" w:cs="Times New Roman"/>
                <w:b/>
                <w:bCs/>
                <w:sz w:val="28"/>
                <w:szCs w:val="22"/>
              </w:rPr>
            </w:pPr>
            <w:r w:rsidRPr="00A63E7C">
              <w:rPr>
                <w:rFonts w:ascii="Times New Roman" w:hAnsi="Times New Roman" w:cs="Times New Roman"/>
                <w:b/>
                <w:bCs/>
                <w:sz w:val="28"/>
                <w:szCs w:val="22"/>
              </w:rPr>
              <w:t>1</w:t>
            </w:r>
          </w:p>
        </w:tc>
        <w:tc>
          <w:tcPr>
            <w:tcW w:w="2065" w:type="dxa"/>
            <w:vAlign w:val="center"/>
          </w:tcPr>
          <w:p w14:paraId="06CCE9E3" w14:textId="7EC4406A" w:rsidR="00DC115D" w:rsidRPr="00A63E7C" w:rsidRDefault="00DC115D" w:rsidP="00A351F7">
            <w:pPr>
              <w:pStyle w:val="NoSpacing"/>
              <w:jc w:val="center"/>
              <w:rPr>
                <w:rFonts w:ascii="Times New Roman" w:hAnsi="Times New Roman" w:cs="Times New Roman"/>
                <w:b/>
                <w:bCs/>
                <w:sz w:val="28"/>
                <w:szCs w:val="22"/>
              </w:rPr>
            </w:pPr>
            <w:r w:rsidRPr="00A63E7C">
              <w:rPr>
                <w:rFonts w:ascii="Times New Roman" w:hAnsi="Times New Roman" w:cs="Times New Roman"/>
                <w:b/>
                <w:bCs/>
                <w:sz w:val="28"/>
                <w:szCs w:val="22"/>
              </w:rPr>
              <w:t>2</w:t>
            </w:r>
          </w:p>
        </w:tc>
        <w:tc>
          <w:tcPr>
            <w:tcW w:w="2066" w:type="dxa"/>
            <w:vAlign w:val="center"/>
          </w:tcPr>
          <w:p w14:paraId="7E356F38" w14:textId="49E82170" w:rsidR="00DC115D" w:rsidRPr="00A63E7C" w:rsidRDefault="00DC115D" w:rsidP="00A351F7">
            <w:pPr>
              <w:pStyle w:val="NoSpacing"/>
              <w:jc w:val="center"/>
              <w:rPr>
                <w:rFonts w:ascii="Times New Roman" w:hAnsi="Times New Roman" w:cs="Times New Roman"/>
                <w:b/>
                <w:bCs/>
                <w:sz w:val="28"/>
                <w:szCs w:val="22"/>
              </w:rPr>
            </w:pPr>
            <w:r w:rsidRPr="00A63E7C">
              <w:rPr>
                <w:rFonts w:ascii="Times New Roman" w:hAnsi="Times New Roman" w:cs="Times New Roman"/>
                <w:b/>
                <w:bCs/>
                <w:sz w:val="28"/>
                <w:szCs w:val="22"/>
              </w:rPr>
              <w:t>3</w:t>
            </w:r>
          </w:p>
        </w:tc>
        <w:tc>
          <w:tcPr>
            <w:tcW w:w="4205" w:type="dxa"/>
            <w:vAlign w:val="center"/>
          </w:tcPr>
          <w:p w14:paraId="62F8BBAA" w14:textId="69579423" w:rsidR="00DC115D" w:rsidRPr="00A63E7C" w:rsidRDefault="00DC115D" w:rsidP="00A351F7">
            <w:pPr>
              <w:pStyle w:val="NoSpacing"/>
              <w:jc w:val="center"/>
              <w:rPr>
                <w:rFonts w:ascii="Times New Roman" w:hAnsi="Times New Roman" w:cs="Times New Roman"/>
                <w:b/>
                <w:bCs/>
                <w:sz w:val="28"/>
                <w:szCs w:val="22"/>
              </w:rPr>
            </w:pPr>
            <w:r w:rsidRPr="00A63E7C">
              <w:rPr>
                <w:rFonts w:ascii="Times New Roman" w:hAnsi="Times New Roman" w:cs="Times New Roman"/>
                <w:b/>
                <w:bCs/>
                <w:sz w:val="28"/>
                <w:szCs w:val="22"/>
              </w:rPr>
              <w:t>4</w:t>
            </w:r>
          </w:p>
        </w:tc>
      </w:tr>
      <w:tr w:rsidR="00DF5B04" w:rsidRPr="00A63E7C" w14:paraId="709226CF" w14:textId="77777777" w:rsidTr="00DF5B04">
        <w:trPr>
          <w:trHeight w:val="292"/>
        </w:trPr>
        <w:tc>
          <w:tcPr>
            <w:tcW w:w="2574" w:type="dxa"/>
            <w:hideMark/>
          </w:tcPr>
          <w:p w14:paraId="2C376D47" w14:textId="77777777" w:rsidR="00DF5B04" w:rsidRPr="00A63E7C" w:rsidRDefault="00DF5B04" w:rsidP="00B77C0B">
            <w:pPr>
              <w:pStyle w:val="NoSpacing"/>
              <w:rPr>
                <w:rFonts w:ascii="Times New Roman" w:hAnsi="Times New Roman" w:cs="Times New Roman"/>
                <w:sz w:val="28"/>
                <w:szCs w:val="22"/>
              </w:rPr>
            </w:pPr>
            <w:r w:rsidRPr="00A63E7C">
              <w:rPr>
                <w:rFonts w:ascii="Times New Roman" w:hAnsi="Times New Roman" w:cs="Times New Roman"/>
                <w:sz w:val="28"/>
                <w:szCs w:val="22"/>
              </w:rPr>
              <w:t>Andhra Pradesh</w:t>
            </w:r>
          </w:p>
        </w:tc>
        <w:tc>
          <w:tcPr>
            <w:tcW w:w="2065" w:type="dxa"/>
            <w:hideMark/>
          </w:tcPr>
          <w:p w14:paraId="6567FCC8" w14:textId="77777777" w:rsidR="00DF5B04" w:rsidRPr="00A63E7C" w:rsidRDefault="00DF5B04" w:rsidP="00A63E7C">
            <w:pPr>
              <w:pStyle w:val="NoSpacing"/>
              <w:jc w:val="center"/>
              <w:rPr>
                <w:rFonts w:ascii="Times New Roman" w:hAnsi="Times New Roman" w:cs="Times New Roman"/>
                <w:sz w:val="28"/>
                <w:szCs w:val="22"/>
              </w:rPr>
            </w:pPr>
            <w:r w:rsidRPr="00A63E7C">
              <w:rPr>
                <w:rFonts w:ascii="Times New Roman" w:hAnsi="Times New Roman" w:cs="Times New Roman"/>
                <w:sz w:val="28"/>
                <w:szCs w:val="22"/>
              </w:rPr>
              <w:t>39876</w:t>
            </w:r>
          </w:p>
        </w:tc>
        <w:tc>
          <w:tcPr>
            <w:tcW w:w="2066" w:type="dxa"/>
            <w:hideMark/>
          </w:tcPr>
          <w:p w14:paraId="61596324" w14:textId="77777777" w:rsidR="00DF5B04" w:rsidRPr="00A63E7C" w:rsidRDefault="00DF5B04" w:rsidP="00A63E7C">
            <w:pPr>
              <w:pStyle w:val="NoSpacing"/>
              <w:jc w:val="center"/>
              <w:rPr>
                <w:rFonts w:ascii="Times New Roman" w:hAnsi="Times New Roman" w:cs="Times New Roman"/>
                <w:sz w:val="28"/>
                <w:szCs w:val="22"/>
              </w:rPr>
            </w:pPr>
            <w:r w:rsidRPr="00A63E7C">
              <w:rPr>
                <w:rFonts w:ascii="Times New Roman" w:hAnsi="Times New Roman" w:cs="Times New Roman"/>
                <w:sz w:val="28"/>
                <w:szCs w:val="22"/>
              </w:rPr>
              <w:t>255</w:t>
            </w:r>
          </w:p>
        </w:tc>
        <w:tc>
          <w:tcPr>
            <w:tcW w:w="4205" w:type="dxa"/>
            <w:hideMark/>
          </w:tcPr>
          <w:p w14:paraId="3D3D37CA" w14:textId="77777777" w:rsidR="00DF5B04" w:rsidRPr="00A63E7C" w:rsidRDefault="00DF5B04" w:rsidP="00A63E7C">
            <w:pPr>
              <w:pStyle w:val="NoSpacing"/>
              <w:jc w:val="center"/>
              <w:rPr>
                <w:rFonts w:ascii="Times New Roman" w:hAnsi="Times New Roman" w:cs="Times New Roman"/>
                <w:sz w:val="28"/>
                <w:szCs w:val="22"/>
              </w:rPr>
            </w:pPr>
            <w:r w:rsidRPr="00A63E7C">
              <w:rPr>
                <w:rFonts w:ascii="Times New Roman" w:hAnsi="Times New Roman" w:cs="Times New Roman"/>
                <w:sz w:val="28"/>
                <w:szCs w:val="22"/>
              </w:rPr>
              <w:t>0.64</w:t>
            </w:r>
          </w:p>
        </w:tc>
      </w:tr>
      <w:tr w:rsidR="00DF5B04" w:rsidRPr="00A63E7C" w14:paraId="3552A076" w14:textId="77777777" w:rsidTr="00DF5B04">
        <w:trPr>
          <w:trHeight w:val="292"/>
        </w:trPr>
        <w:tc>
          <w:tcPr>
            <w:tcW w:w="2574" w:type="dxa"/>
            <w:hideMark/>
          </w:tcPr>
          <w:p w14:paraId="31E7B8A7" w14:textId="77777777" w:rsidR="00DF5B04" w:rsidRPr="00A63E7C" w:rsidRDefault="00DF5B04" w:rsidP="00B77C0B">
            <w:pPr>
              <w:pStyle w:val="NoSpacing"/>
              <w:rPr>
                <w:rFonts w:ascii="Times New Roman" w:hAnsi="Times New Roman" w:cs="Times New Roman"/>
                <w:sz w:val="28"/>
                <w:szCs w:val="22"/>
              </w:rPr>
            </w:pPr>
            <w:r w:rsidRPr="00A63E7C">
              <w:rPr>
                <w:rFonts w:ascii="Times New Roman" w:hAnsi="Times New Roman" w:cs="Times New Roman"/>
                <w:sz w:val="28"/>
                <w:szCs w:val="22"/>
              </w:rPr>
              <w:t>Assam</w:t>
            </w:r>
          </w:p>
        </w:tc>
        <w:tc>
          <w:tcPr>
            <w:tcW w:w="2065" w:type="dxa"/>
            <w:hideMark/>
          </w:tcPr>
          <w:p w14:paraId="21A3B669" w14:textId="77777777" w:rsidR="00DF5B04" w:rsidRPr="00A63E7C" w:rsidRDefault="00DF5B04" w:rsidP="00A63E7C">
            <w:pPr>
              <w:pStyle w:val="NoSpacing"/>
              <w:jc w:val="center"/>
              <w:rPr>
                <w:rFonts w:ascii="Times New Roman" w:hAnsi="Times New Roman" w:cs="Times New Roman"/>
                <w:sz w:val="28"/>
                <w:szCs w:val="22"/>
              </w:rPr>
            </w:pPr>
            <w:r w:rsidRPr="00A63E7C">
              <w:rPr>
                <w:rFonts w:ascii="Times New Roman" w:hAnsi="Times New Roman" w:cs="Times New Roman"/>
                <w:sz w:val="28"/>
                <w:szCs w:val="22"/>
              </w:rPr>
              <w:t>13855</w:t>
            </w:r>
          </w:p>
        </w:tc>
        <w:tc>
          <w:tcPr>
            <w:tcW w:w="2066" w:type="dxa"/>
            <w:hideMark/>
          </w:tcPr>
          <w:p w14:paraId="2099A886" w14:textId="77777777" w:rsidR="00DF5B04" w:rsidRPr="00A63E7C" w:rsidRDefault="00DF5B04" w:rsidP="00A63E7C">
            <w:pPr>
              <w:pStyle w:val="NoSpacing"/>
              <w:jc w:val="center"/>
              <w:rPr>
                <w:rFonts w:ascii="Times New Roman" w:hAnsi="Times New Roman" w:cs="Times New Roman"/>
                <w:sz w:val="28"/>
                <w:szCs w:val="22"/>
              </w:rPr>
            </w:pPr>
            <w:r w:rsidRPr="00A63E7C">
              <w:rPr>
                <w:rFonts w:ascii="Times New Roman" w:hAnsi="Times New Roman" w:cs="Times New Roman"/>
                <w:sz w:val="28"/>
                <w:szCs w:val="22"/>
              </w:rPr>
              <w:t>81</w:t>
            </w:r>
          </w:p>
        </w:tc>
        <w:tc>
          <w:tcPr>
            <w:tcW w:w="4205" w:type="dxa"/>
            <w:hideMark/>
          </w:tcPr>
          <w:p w14:paraId="41E2D001" w14:textId="77777777" w:rsidR="00DF5B04" w:rsidRPr="00A63E7C" w:rsidRDefault="00DF5B04" w:rsidP="00A63E7C">
            <w:pPr>
              <w:pStyle w:val="NoSpacing"/>
              <w:jc w:val="center"/>
              <w:rPr>
                <w:rFonts w:ascii="Times New Roman" w:hAnsi="Times New Roman" w:cs="Times New Roman"/>
                <w:sz w:val="28"/>
                <w:szCs w:val="22"/>
              </w:rPr>
            </w:pPr>
            <w:r w:rsidRPr="00A63E7C">
              <w:rPr>
                <w:rFonts w:ascii="Times New Roman" w:hAnsi="Times New Roman" w:cs="Times New Roman"/>
                <w:sz w:val="28"/>
                <w:szCs w:val="22"/>
              </w:rPr>
              <w:t>0.59</w:t>
            </w:r>
          </w:p>
        </w:tc>
      </w:tr>
      <w:tr w:rsidR="00DF5B04" w:rsidRPr="00A63E7C" w14:paraId="72B85BD7" w14:textId="77777777" w:rsidTr="00DF5B04">
        <w:trPr>
          <w:trHeight w:val="292"/>
        </w:trPr>
        <w:tc>
          <w:tcPr>
            <w:tcW w:w="2574" w:type="dxa"/>
            <w:hideMark/>
          </w:tcPr>
          <w:p w14:paraId="3DE2B080" w14:textId="77777777" w:rsidR="00DF5B04" w:rsidRPr="00A63E7C" w:rsidRDefault="00DF5B04" w:rsidP="00B77C0B">
            <w:pPr>
              <w:pStyle w:val="NoSpacing"/>
              <w:rPr>
                <w:rFonts w:ascii="Times New Roman" w:hAnsi="Times New Roman" w:cs="Times New Roman"/>
                <w:sz w:val="28"/>
                <w:szCs w:val="22"/>
              </w:rPr>
            </w:pPr>
            <w:r w:rsidRPr="00A63E7C">
              <w:rPr>
                <w:rFonts w:ascii="Times New Roman" w:hAnsi="Times New Roman" w:cs="Times New Roman"/>
                <w:sz w:val="28"/>
                <w:szCs w:val="22"/>
              </w:rPr>
              <w:t>Bihar</w:t>
            </w:r>
          </w:p>
        </w:tc>
        <w:tc>
          <w:tcPr>
            <w:tcW w:w="2065" w:type="dxa"/>
            <w:hideMark/>
          </w:tcPr>
          <w:p w14:paraId="3C99EBFA" w14:textId="77777777" w:rsidR="00DF5B04" w:rsidRPr="00A63E7C" w:rsidRDefault="00DF5B04" w:rsidP="00A63E7C">
            <w:pPr>
              <w:pStyle w:val="NoSpacing"/>
              <w:jc w:val="center"/>
              <w:rPr>
                <w:rFonts w:ascii="Times New Roman" w:hAnsi="Times New Roman" w:cs="Times New Roman"/>
                <w:sz w:val="28"/>
                <w:szCs w:val="22"/>
              </w:rPr>
            </w:pPr>
            <w:r w:rsidRPr="00A63E7C">
              <w:rPr>
                <w:rFonts w:ascii="Times New Roman" w:hAnsi="Times New Roman" w:cs="Times New Roman"/>
                <w:sz w:val="28"/>
                <w:szCs w:val="22"/>
              </w:rPr>
              <w:t>52487</w:t>
            </w:r>
          </w:p>
        </w:tc>
        <w:tc>
          <w:tcPr>
            <w:tcW w:w="2066" w:type="dxa"/>
            <w:hideMark/>
          </w:tcPr>
          <w:p w14:paraId="77FEA89D" w14:textId="77777777" w:rsidR="00DF5B04" w:rsidRPr="00A63E7C" w:rsidRDefault="00DF5B04" w:rsidP="00A63E7C">
            <w:pPr>
              <w:pStyle w:val="NoSpacing"/>
              <w:jc w:val="center"/>
              <w:rPr>
                <w:rFonts w:ascii="Times New Roman" w:hAnsi="Times New Roman" w:cs="Times New Roman"/>
                <w:sz w:val="28"/>
                <w:szCs w:val="22"/>
              </w:rPr>
            </w:pPr>
            <w:r w:rsidRPr="00A63E7C">
              <w:rPr>
                <w:rFonts w:ascii="Times New Roman" w:hAnsi="Times New Roman" w:cs="Times New Roman"/>
                <w:sz w:val="28"/>
                <w:szCs w:val="22"/>
              </w:rPr>
              <w:t>238</w:t>
            </w:r>
          </w:p>
        </w:tc>
        <w:tc>
          <w:tcPr>
            <w:tcW w:w="4205" w:type="dxa"/>
            <w:hideMark/>
          </w:tcPr>
          <w:p w14:paraId="7F978438" w14:textId="77777777" w:rsidR="00DF5B04" w:rsidRPr="00A63E7C" w:rsidRDefault="00DF5B04" w:rsidP="00A63E7C">
            <w:pPr>
              <w:pStyle w:val="NoSpacing"/>
              <w:jc w:val="center"/>
              <w:rPr>
                <w:rFonts w:ascii="Times New Roman" w:hAnsi="Times New Roman" w:cs="Times New Roman"/>
                <w:sz w:val="28"/>
                <w:szCs w:val="22"/>
              </w:rPr>
            </w:pPr>
            <w:r w:rsidRPr="00A63E7C">
              <w:rPr>
                <w:rFonts w:ascii="Times New Roman" w:hAnsi="Times New Roman" w:cs="Times New Roman"/>
                <w:sz w:val="28"/>
                <w:szCs w:val="22"/>
              </w:rPr>
              <w:t>0.45</w:t>
            </w:r>
          </w:p>
        </w:tc>
      </w:tr>
      <w:tr w:rsidR="00DF5B04" w:rsidRPr="00A63E7C" w14:paraId="29B56612" w14:textId="77777777" w:rsidTr="00DF5B04">
        <w:trPr>
          <w:trHeight w:val="292"/>
        </w:trPr>
        <w:tc>
          <w:tcPr>
            <w:tcW w:w="2574" w:type="dxa"/>
            <w:hideMark/>
          </w:tcPr>
          <w:p w14:paraId="25A83EEB" w14:textId="77777777" w:rsidR="00DF5B04" w:rsidRPr="00A63E7C" w:rsidRDefault="00DF5B04" w:rsidP="00B77C0B">
            <w:pPr>
              <w:pStyle w:val="NoSpacing"/>
              <w:rPr>
                <w:rFonts w:ascii="Times New Roman" w:hAnsi="Times New Roman" w:cs="Times New Roman"/>
                <w:sz w:val="28"/>
                <w:szCs w:val="22"/>
              </w:rPr>
            </w:pPr>
            <w:r w:rsidRPr="00A63E7C">
              <w:rPr>
                <w:rFonts w:ascii="Times New Roman" w:hAnsi="Times New Roman" w:cs="Times New Roman"/>
                <w:sz w:val="28"/>
                <w:szCs w:val="22"/>
              </w:rPr>
              <w:t>Gujarat</w:t>
            </w:r>
          </w:p>
        </w:tc>
        <w:tc>
          <w:tcPr>
            <w:tcW w:w="2065" w:type="dxa"/>
            <w:hideMark/>
          </w:tcPr>
          <w:p w14:paraId="428281EE" w14:textId="77777777" w:rsidR="00DF5B04" w:rsidRPr="00A63E7C" w:rsidRDefault="00DF5B04" w:rsidP="00A63E7C">
            <w:pPr>
              <w:pStyle w:val="NoSpacing"/>
              <w:jc w:val="center"/>
              <w:rPr>
                <w:rFonts w:ascii="Times New Roman" w:hAnsi="Times New Roman" w:cs="Times New Roman"/>
                <w:sz w:val="28"/>
                <w:szCs w:val="22"/>
              </w:rPr>
            </w:pPr>
            <w:r w:rsidRPr="00A63E7C">
              <w:rPr>
                <w:rFonts w:ascii="Times New Roman" w:hAnsi="Times New Roman" w:cs="Times New Roman"/>
                <w:sz w:val="28"/>
                <w:szCs w:val="22"/>
              </w:rPr>
              <w:t>23838</w:t>
            </w:r>
          </w:p>
        </w:tc>
        <w:tc>
          <w:tcPr>
            <w:tcW w:w="2066" w:type="dxa"/>
            <w:hideMark/>
          </w:tcPr>
          <w:p w14:paraId="23BF6905" w14:textId="77777777" w:rsidR="00DF5B04" w:rsidRPr="00A63E7C" w:rsidRDefault="00DF5B04" w:rsidP="00A63E7C">
            <w:pPr>
              <w:pStyle w:val="NoSpacing"/>
              <w:jc w:val="center"/>
              <w:rPr>
                <w:rFonts w:ascii="Times New Roman" w:hAnsi="Times New Roman" w:cs="Times New Roman"/>
                <w:sz w:val="28"/>
                <w:szCs w:val="22"/>
              </w:rPr>
            </w:pPr>
            <w:r w:rsidRPr="00A63E7C">
              <w:rPr>
                <w:rFonts w:ascii="Times New Roman" w:hAnsi="Times New Roman" w:cs="Times New Roman"/>
                <w:sz w:val="28"/>
                <w:szCs w:val="22"/>
              </w:rPr>
              <w:t>413</w:t>
            </w:r>
          </w:p>
        </w:tc>
        <w:tc>
          <w:tcPr>
            <w:tcW w:w="4205" w:type="dxa"/>
            <w:hideMark/>
          </w:tcPr>
          <w:p w14:paraId="012CAB54" w14:textId="77777777" w:rsidR="00DF5B04" w:rsidRPr="00A63E7C" w:rsidRDefault="00DF5B04" w:rsidP="00A63E7C">
            <w:pPr>
              <w:pStyle w:val="NoSpacing"/>
              <w:jc w:val="center"/>
              <w:rPr>
                <w:rFonts w:ascii="Times New Roman" w:hAnsi="Times New Roman" w:cs="Times New Roman"/>
                <w:sz w:val="28"/>
                <w:szCs w:val="22"/>
              </w:rPr>
            </w:pPr>
            <w:r w:rsidRPr="00A63E7C">
              <w:rPr>
                <w:rFonts w:ascii="Times New Roman" w:hAnsi="Times New Roman" w:cs="Times New Roman"/>
                <w:sz w:val="28"/>
                <w:szCs w:val="22"/>
              </w:rPr>
              <w:t>1.73</w:t>
            </w:r>
          </w:p>
        </w:tc>
      </w:tr>
      <w:tr w:rsidR="00DF5B04" w:rsidRPr="00A63E7C" w14:paraId="40BAACE4" w14:textId="77777777" w:rsidTr="00DF5B04">
        <w:trPr>
          <w:trHeight w:val="306"/>
        </w:trPr>
        <w:tc>
          <w:tcPr>
            <w:tcW w:w="2574" w:type="dxa"/>
            <w:hideMark/>
          </w:tcPr>
          <w:p w14:paraId="2F198EFE" w14:textId="77777777" w:rsidR="00DF5B04" w:rsidRPr="00A63E7C" w:rsidRDefault="00DF5B04" w:rsidP="00B77C0B">
            <w:pPr>
              <w:pStyle w:val="NoSpacing"/>
              <w:rPr>
                <w:rFonts w:ascii="Times New Roman" w:hAnsi="Times New Roman" w:cs="Times New Roman"/>
                <w:sz w:val="28"/>
                <w:szCs w:val="22"/>
              </w:rPr>
            </w:pPr>
            <w:r w:rsidRPr="00A63E7C">
              <w:rPr>
                <w:rFonts w:ascii="Times New Roman" w:hAnsi="Times New Roman" w:cs="Times New Roman"/>
                <w:sz w:val="28"/>
                <w:szCs w:val="22"/>
              </w:rPr>
              <w:t>Haryana</w:t>
            </w:r>
          </w:p>
        </w:tc>
        <w:tc>
          <w:tcPr>
            <w:tcW w:w="2065" w:type="dxa"/>
            <w:hideMark/>
          </w:tcPr>
          <w:p w14:paraId="028F6C13" w14:textId="77777777" w:rsidR="00DF5B04" w:rsidRPr="00A63E7C" w:rsidRDefault="00DF5B04" w:rsidP="00A63E7C">
            <w:pPr>
              <w:pStyle w:val="NoSpacing"/>
              <w:jc w:val="center"/>
              <w:rPr>
                <w:rFonts w:ascii="Times New Roman" w:hAnsi="Times New Roman" w:cs="Times New Roman"/>
                <w:sz w:val="28"/>
                <w:szCs w:val="22"/>
              </w:rPr>
            </w:pPr>
            <w:r w:rsidRPr="00A63E7C">
              <w:rPr>
                <w:rFonts w:ascii="Times New Roman" w:hAnsi="Times New Roman" w:cs="Times New Roman"/>
                <w:sz w:val="28"/>
                <w:szCs w:val="22"/>
              </w:rPr>
              <w:t>8931</w:t>
            </w:r>
          </w:p>
        </w:tc>
        <w:tc>
          <w:tcPr>
            <w:tcW w:w="2066" w:type="dxa"/>
            <w:hideMark/>
          </w:tcPr>
          <w:p w14:paraId="5331BCCD" w14:textId="77777777" w:rsidR="00DF5B04" w:rsidRPr="00A63E7C" w:rsidRDefault="00DF5B04" w:rsidP="00A63E7C">
            <w:pPr>
              <w:pStyle w:val="NoSpacing"/>
              <w:jc w:val="center"/>
              <w:rPr>
                <w:rFonts w:ascii="Times New Roman" w:hAnsi="Times New Roman" w:cs="Times New Roman"/>
                <w:sz w:val="28"/>
                <w:szCs w:val="22"/>
              </w:rPr>
            </w:pPr>
            <w:r w:rsidRPr="00A63E7C">
              <w:rPr>
                <w:rFonts w:ascii="Times New Roman" w:hAnsi="Times New Roman" w:cs="Times New Roman"/>
                <w:sz w:val="28"/>
                <w:szCs w:val="22"/>
              </w:rPr>
              <w:t>72</w:t>
            </w:r>
          </w:p>
        </w:tc>
        <w:tc>
          <w:tcPr>
            <w:tcW w:w="4205" w:type="dxa"/>
            <w:hideMark/>
          </w:tcPr>
          <w:p w14:paraId="3624E6E5" w14:textId="77777777" w:rsidR="00DF5B04" w:rsidRPr="00A63E7C" w:rsidRDefault="00DF5B04" w:rsidP="00A63E7C">
            <w:pPr>
              <w:pStyle w:val="NoSpacing"/>
              <w:jc w:val="center"/>
              <w:rPr>
                <w:rFonts w:ascii="Times New Roman" w:hAnsi="Times New Roman" w:cs="Times New Roman"/>
                <w:sz w:val="28"/>
                <w:szCs w:val="22"/>
              </w:rPr>
            </w:pPr>
            <w:r w:rsidRPr="00A63E7C">
              <w:rPr>
                <w:rFonts w:ascii="Times New Roman" w:hAnsi="Times New Roman" w:cs="Times New Roman"/>
                <w:sz w:val="28"/>
                <w:szCs w:val="22"/>
              </w:rPr>
              <w:t>0.81</w:t>
            </w:r>
          </w:p>
        </w:tc>
      </w:tr>
      <w:tr w:rsidR="00DF5B04" w:rsidRPr="00A63E7C" w14:paraId="64DA8A4F" w14:textId="77777777" w:rsidTr="00DF5B04">
        <w:trPr>
          <w:trHeight w:val="292"/>
        </w:trPr>
        <w:tc>
          <w:tcPr>
            <w:tcW w:w="2574" w:type="dxa"/>
            <w:hideMark/>
          </w:tcPr>
          <w:p w14:paraId="54878E87" w14:textId="77777777" w:rsidR="00DF5B04" w:rsidRPr="00A63E7C" w:rsidRDefault="00DF5B04" w:rsidP="00B77C0B">
            <w:pPr>
              <w:pStyle w:val="NoSpacing"/>
              <w:rPr>
                <w:rFonts w:ascii="Times New Roman" w:hAnsi="Times New Roman" w:cs="Times New Roman"/>
                <w:sz w:val="28"/>
                <w:szCs w:val="22"/>
              </w:rPr>
            </w:pPr>
            <w:r w:rsidRPr="00A63E7C">
              <w:rPr>
                <w:rFonts w:ascii="Times New Roman" w:hAnsi="Times New Roman" w:cs="Times New Roman"/>
                <w:sz w:val="28"/>
                <w:szCs w:val="22"/>
              </w:rPr>
              <w:t>Jammu &amp; Kashmir</w:t>
            </w:r>
          </w:p>
        </w:tc>
        <w:tc>
          <w:tcPr>
            <w:tcW w:w="2065" w:type="dxa"/>
            <w:hideMark/>
          </w:tcPr>
          <w:p w14:paraId="6F73B9DD" w14:textId="77777777" w:rsidR="00DF5B04" w:rsidRPr="00A63E7C" w:rsidRDefault="00DF5B04" w:rsidP="00A63E7C">
            <w:pPr>
              <w:pStyle w:val="NoSpacing"/>
              <w:jc w:val="center"/>
              <w:rPr>
                <w:rFonts w:ascii="Times New Roman" w:hAnsi="Times New Roman" w:cs="Times New Roman"/>
                <w:sz w:val="28"/>
                <w:szCs w:val="22"/>
              </w:rPr>
            </w:pPr>
            <w:r w:rsidRPr="00A63E7C">
              <w:rPr>
                <w:rFonts w:ascii="Times New Roman" w:hAnsi="Times New Roman" w:cs="Times New Roman"/>
                <w:sz w:val="28"/>
                <w:szCs w:val="22"/>
              </w:rPr>
              <w:t>3833</w:t>
            </w:r>
          </w:p>
        </w:tc>
        <w:tc>
          <w:tcPr>
            <w:tcW w:w="2066" w:type="dxa"/>
            <w:hideMark/>
          </w:tcPr>
          <w:p w14:paraId="45AE57E9" w14:textId="77777777" w:rsidR="00DF5B04" w:rsidRPr="00A63E7C" w:rsidRDefault="00DF5B04" w:rsidP="00A63E7C">
            <w:pPr>
              <w:pStyle w:val="NoSpacing"/>
              <w:jc w:val="center"/>
              <w:rPr>
                <w:rFonts w:ascii="Times New Roman" w:hAnsi="Times New Roman" w:cs="Times New Roman"/>
                <w:sz w:val="28"/>
                <w:szCs w:val="22"/>
              </w:rPr>
            </w:pPr>
            <w:r w:rsidRPr="00A63E7C">
              <w:rPr>
                <w:rFonts w:ascii="Times New Roman" w:hAnsi="Times New Roman" w:cs="Times New Roman"/>
                <w:sz w:val="28"/>
                <w:szCs w:val="22"/>
              </w:rPr>
              <w:t>9</w:t>
            </w:r>
          </w:p>
        </w:tc>
        <w:tc>
          <w:tcPr>
            <w:tcW w:w="4205" w:type="dxa"/>
            <w:hideMark/>
          </w:tcPr>
          <w:p w14:paraId="4C6F4C9A" w14:textId="77777777" w:rsidR="00DF5B04" w:rsidRPr="00A63E7C" w:rsidRDefault="00DF5B04" w:rsidP="00A63E7C">
            <w:pPr>
              <w:pStyle w:val="NoSpacing"/>
              <w:jc w:val="center"/>
              <w:rPr>
                <w:rFonts w:ascii="Times New Roman" w:hAnsi="Times New Roman" w:cs="Times New Roman"/>
                <w:sz w:val="28"/>
                <w:szCs w:val="22"/>
              </w:rPr>
            </w:pPr>
            <w:r w:rsidRPr="00A63E7C">
              <w:rPr>
                <w:rFonts w:ascii="Times New Roman" w:hAnsi="Times New Roman" w:cs="Times New Roman"/>
                <w:sz w:val="28"/>
                <w:szCs w:val="22"/>
              </w:rPr>
              <w:t>0.24</w:t>
            </w:r>
          </w:p>
        </w:tc>
      </w:tr>
      <w:tr w:rsidR="00DF5B04" w:rsidRPr="00A63E7C" w14:paraId="6346F46E" w14:textId="77777777" w:rsidTr="00DF5B04">
        <w:trPr>
          <w:trHeight w:val="292"/>
        </w:trPr>
        <w:tc>
          <w:tcPr>
            <w:tcW w:w="2574" w:type="dxa"/>
            <w:hideMark/>
          </w:tcPr>
          <w:p w14:paraId="2EF8D4CA" w14:textId="77777777" w:rsidR="00DF5B04" w:rsidRPr="00A63E7C" w:rsidRDefault="00DF5B04" w:rsidP="00B77C0B">
            <w:pPr>
              <w:pStyle w:val="NoSpacing"/>
              <w:rPr>
                <w:rFonts w:ascii="Times New Roman" w:hAnsi="Times New Roman" w:cs="Times New Roman"/>
                <w:sz w:val="28"/>
                <w:szCs w:val="22"/>
              </w:rPr>
            </w:pPr>
            <w:r w:rsidRPr="00A63E7C">
              <w:rPr>
                <w:rFonts w:ascii="Times New Roman" w:hAnsi="Times New Roman" w:cs="Times New Roman"/>
                <w:sz w:val="28"/>
                <w:szCs w:val="22"/>
              </w:rPr>
              <w:t>Kerala</w:t>
            </w:r>
          </w:p>
        </w:tc>
        <w:tc>
          <w:tcPr>
            <w:tcW w:w="2065" w:type="dxa"/>
            <w:hideMark/>
          </w:tcPr>
          <w:p w14:paraId="1B0805ED" w14:textId="77777777" w:rsidR="00DF5B04" w:rsidRPr="00A63E7C" w:rsidRDefault="00DF5B04" w:rsidP="00A63E7C">
            <w:pPr>
              <w:pStyle w:val="NoSpacing"/>
              <w:jc w:val="center"/>
              <w:rPr>
                <w:rFonts w:ascii="Times New Roman" w:hAnsi="Times New Roman" w:cs="Times New Roman"/>
                <w:sz w:val="28"/>
                <w:szCs w:val="22"/>
              </w:rPr>
            </w:pPr>
            <w:r w:rsidRPr="00A63E7C">
              <w:rPr>
                <w:rFonts w:ascii="Times New Roman" w:hAnsi="Times New Roman" w:cs="Times New Roman"/>
                <w:sz w:val="28"/>
                <w:szCs w:val="22"/>
              </w:rPr>
              <w:t>19299</w:t>
            </w:r>
          </w:p>
        </w:tc>
        <w:tc>
          <w:tcPr>
            <w:tcW w:w="2066" w:type="dxa"/>
            <w:hideMark/>
          </w:tcPr>
          <w:p w14:paraId="1DD825F3" w14:textId="77777777" w:rsidR="00DF5B04" w:rsidRPr="00A63E7C" w:rsidRDefault="00DF5B04" w:rsidP="00A63E7C">
            <w:pPr>
              <w:pStyle w:val="NoSpacing"/>
              <w:jc w:val="center"/>
              <w:rPr>
                <w:rFonts w:ascii="Times New Roman" w:hAnsi="Times New Roman" w:cs="Times New Roman"/>
                <w:sz w:val="28"/>
                <w:szCs w:val="22"/>
              </w:rPr>
            </w:pPr>
            <w:r w:rsidRPr="00A63E7C">
              <w:rPr>
                <w:rFonts w:ascii="Times New Roman" w:hAnsi="Times New Roman" w:cs="Times New Roman"/>
                <w:sz w:val="28"/>
                <w:szCs w:val="22"/>
              </w:rPr>
              <w:t>200</w:t>
            </w:r>
          </w:p>
        </w:tc>
        <w:tc>
          <w:tcPr>
            <w:tcW w:w="4205" w:type="dxa"/>
            <w:hideMark/>
          </w:tcPr>
          <w:p w14:paraId="08348E62" w14:textId="77777777" w:rsidR="00DF5B04" w:rsidRPr="00A63E7C" w:rsidRDefault="00DF5B04" w:rsidP="00A63E7C">
            <w:pPr>
              <w:pStyle w:val="NoSpacing"/>
              <w:jc w:val="center"/>
              <w:rPr>
                <w:rFonts w:ascii="Times New Roman" w:hAnsi="Times New Roman" w:cs="Times New Roman"/>
                <w:sz w:val="28"/>
                <w:szCs w:val="22"/>
              </w:rPr>
            </w:pPr>
            <w:r w:rsidRPr="00A63E7C">
              <w:rPr>
                <w:rFonts w:ascii="Times New Roman" w:hAnsi="Times New Roman" w:cs="Times New Roman"/>
                <w:sz w:val="28"/>
                <w:szCs w:val="22"/>
              </w:rPr>
              <w:t>1.04</w:t>
            </w:r>
          </w:p>
        </w:tc>
      </w:tr>
      <w:tr w:rsidR="00DF5B04" w:rsidRPr="00A63E7C" w14:paraId="3BCF0852" w14:textId="77777777" w:rsidTr="00DF5B04">
        <w:trPr>
          <w:trHeight w:val="292"/>
        </w:trPr>
        <w:tc>
          <w:tcPr>
            <w:tcW w:w="2574" w:type="dxa"/>
            <w:hideMark/>
          </w:tcPr>
          <w:p w14:paraId="341C0DF5" w14:textId="77777777" w:rsidR="00DF5B04" w:rsidRPr="00A63E7C" w:rsidRDefault="00DF5B04" w:rsidP="00B77C0B">
            <w:pPr>
              <w:pStyle w:val="NoSpacing"/>
              <w:rPr>
                <w:rFonts w:ascii="Times New Roman" w:hAnsi="Times New Roman" w:cs="Times New Roman"/>
                <w:sz w:val="28"/>
                <w:szCs w:val="22"/>
              </w:rPr>
            </w:pPr>
            <w:r w:rsidRPr="00A63E7C">
              <w:rPr>
                <w:rFonts w:ascii="Times New Roman" w:hAnsi="Times New Roman" w:cs="Times New Roman"/>
                <w:sz w:val="28"/>
                <w:szCs w:val="22"/>
              </w:rPr>
              <w:t>Madhya Pradesh</w:t>
            </w:r>
          </w:p>
        </w:tc>
        <w:tc>
          <w:tcPr>
            <w:tcW w:w="2065" w:type="dxa"/>
            <w:hideMark/>
          </w:tcPr>
          <w:p w14:paraId="33503C5B" w14:textId="77777777" w:rsidR="00DF5B04" w:rsidRPr="00A63E7C" w:rsidRDefault="00DF5B04" w:rsidP="00A63E7C">
            <w:pPr>
              <w:pStyle w:val="NoSpacing"/>
              <w:jc w:val="center"/>
              <w:rPr>
                <w:rFonts w:ascii="Times New Roman" w:hAnsi="Times New Roman" w:cs="Times New Roman"/>
                <w:sz w:val="28"/>
                <w:szCs w:val="22"/>
              </w:rPr>
            </w:pPr>
            <w:r w:rsidRPr="00A63E7C">
              <w:rPr>
                <w:rFonts w:ascii="Times New Roman" w:hAnsi="Times New Roman" w:cs="Times New Roman"/>
                <w:sz w:val="28"/>
                <w:szCs w:val="22"/>
              </w:rPr>
              <w:t>36931</w:t>
            </w:r>
          </w:p>
        </w:tc>
        <w:tc>
          <w:tcPr>
            <w:tcW w:w="2066" w:type="dxa"/>
            <w:hideMark/>
          </w:tcPr>
          <w:p w14:paraId="28284C6C" w14:textId="77777777" w:rsidR="00DF5B04" w:rsidRPr="00A63E7C" w:rsidRDefault="00DF5B04" w:rsidP="00A63E7C">
            <w:pPr>
              <w:pStyle w:val="NoSpacing"/>
              <w:jc w:val="center"/>
              <w:rPr>
                <w:rFonts w:ascii="Times New Roman" w:hAnsi="Times New Roman" w:cs="Times New Roman"/>
                <w:sz w:val="28"/>
                <w:szCs w:val="22"/>
              </w:rPr>
            </w:pPr>
            <w:r w:rsidRPr="00A63E7C">
              <w:rPr>
                <w:rFonts w:ascii="Times New Roman" w:hAnsi="Times New Roman" w:cs="Times New Roman"/>
                <w:sz w:val="28"/>
                <w:szCs w:val="22"/>
              </w:rPr>
              <w:t>212</w:t>
            </w:r>
          </w:p>
        </w:tc>
        <w:tc>
          <w:tcPr>
            <w:tcW w:w="4205" w:type="dxa"/>
            <w:hideMark/>
          </w:tcPr>
          <w:p w14:paraId="2D088B26" w14:textId="77777777" w:rsidR="00DF5B04" w:rsidRPr="00A63E7C" w:rsidRDefault="00DF5B04" w:rsidP="00A63E7C">
            <w:pPr>
              <w:pStyle w:val="NoSpacing"/>
              <w:jc w:val="center"/>
              <w:rPr>
                <w:rFonts w:ascii="Times New Roman" w:hAnsi="Times New Roman" w:cs="Times New Roman"/>
                <w:sz w:val="28"/>
                <w:szCs w:val="22"/>
              </w:rPr>
            </w:pPr>
            <w:r w:rsidRPr="00A63E7C">
              <w:rPr>
                <w:rFonts w:ascii="Times New Roman" w:hAnsi="Times New Roman" w:cs="Times New Roman"/>
                <w:sz w:val="28"/>
                <w:szCs w:val="22"/>
              </w:rPr>
              <w:t>0.57</w:t>
            </w:r>
          </w:p>
        </w:tc>
      </w:tr>
      <w:tr w:rsidR="00DF5B04" w:rsidRPr="00A63E7C" w14:paraId="24A0C188" w14:textId="77777777" w:rsidTr="00DF5B04">
        <w:trPr>
          <w:trHeight w:val="292"/>
        </w:trPr>
        <w:tc>
          <w:tcPr>
            <w:tcW w:w="2574" w:type="dxa"/>
            <w:hideMark/>
          </w:tcPr>
          <w:p w14:paraId="107F11A0" w14:textId="77777777" w:rsidR="00DF5B04" w:rsidRPr="00A63E7C" w:rsidRDefault="00DF5B04" w:rsidP="00B77C0B">
            <w:pPr>
              <w:pStyle w:val="NoSpacing"/>
              <w:rPr>
                <w:rFonts w:ascii="Times New Roman" w:hAnsi="Times New Roman" w:cs="Times New Roman"/>
                <w:sz w:val="28"/>
                <w:szCs w:val="22"/>
              </w:rPr>
            </w:pPr>
            <w:r w:rsidRPr="00A63E7C">
              <w:rPr>
                <w:rFonts w:ascii="Times New Roman" w:hAnsi="Times New Roman" w:cs="Times New Roman"/>
                <w:sz w:val="28"/>
                <w:szCs w:val="22"/>
              </w:rPr>
              <w:t>Maharashtra</w:t>
            </w:r>
          </w:p>
        </w:tc>
        <w:tc>
          <w:tcPr>
            <w:tcW w:w="2065" w:type="dxa"/>
            <w:hideMark/>
          </w:tcPr>
          <w:p w14:paraId="75D3E6D0" w14:textId="77777777" w:rsidR="00DF5B04" w:rsidRPr="00A63E7C" w:rsidRDefault="00DF5B04" w:rsidP="00A63E7C">
            <w:pPr>
              <w:pStyle w:val="NoSpacing"/>
              <w:jc w:val="center"/>
              <w:rPr>
                <w:rFonts w:ascii="Times New Roman" w:hAnsi="Times New Roman" w:cs="Times New Roman"/>
                <w:sz w:val="28"/>
                <w:szCs w:val="22"/>
              </w:rPr>
            </w:pPr>
            <w:r w:rsidRPr="00A63E7C">
              <w:rPr>
                <w:rFonts w:ascii="Times New Roman" w:hAnsi="Times New Roman" w:cs="Times New Roman"/>
                <w:sz w:val="28"/>
                <w:szCs w:val="22"/>
              </w:rPr>
              <w:t>45315</w:t>
            </w:r>
          </w:p>
        </w:tc>
        <w:tc>
          <w:tcPr>
            <w:tcW w:w="2066" w:type="dxa"/>
            <w:hideMark/>
          </w:tcPr>
          <w:p w14:paraId="5D4AA289" w14:textId="77777777" w:rsidR="00DF5B04" w:rsidRPr="00A63E7C" w:rsidRDefault="00DF5B04" w:rsidP="00A63E7C">
            <w:pPr>
              <w:pStyle w:val="NoSpacing"/>
              <w:jc w:val="center"/>
              <w:rPr>
                <w:rFonts w:ascii="Times New Roman" w:hAnsi="Times New Roman" w:cs="Times New Roman"/>
                <w:sz w:val="28"/>
                <w:szCs w:val="22"/>
              </w:rPr>
            </w:pPr>
            <w:r w:rsidRPr="00A63E7C">
              <w:rPr>
                <w:rFonts w:ascii="Times New Roman" w:hAnsi="Times New Roman" w:cs="Times New Roman"/>
                <w:sz w:val="28"/>
                <w:szCs w:val="22"/>
              </w:rPr>
              <w:t>937</w:t>
            </w:r>
          </w:p>
        </w:tc>
        <w:tc>
          <w:tcPr>
            <w:tcW w:w="4205" w:type="dxa"/>
            <w:hideMark/>
          </w:tcPr>
          <w:p w14:paraId="134A4E0B" w14:textId="77777777" w:rsidR="00DF5B04" w:rsidRPr="00A63E7C" w:rsidRDefault="00DF5B04" w:rsidP="00A63E7C">
            <w:pPr>
              <w:pStyle w:val="NoSpacing"/>
              <w:jc w:val="center"/>
              <w:rPr>
                <w:rFonts w:ascii="Times New Roman" w:hAnsi="Times New Roman" w:cs="Times New Roman"/>
                <w:sz w:val="28"/>
                <w:szCs w:val="22"/>
              </w:rPr>
            </w:pPr>
            <w:r w:rsidRPr="00A63E7C">
              <w:rPr>
                <w:rFonts w:ascii="Times New Roman" w:hAnsi="Times New Roman" w:cs="Times New Roman"/>
                <w:sz w:val="28"/>
                <w:szCs w:val="22"/>
              </w:rPr>
              <w:t>2.07</w:t>
            </w:r>
          </w:p>
        </w:tc>
      </w:tr>
      <w:tr w:rsidR="00DF5B04" w:rsidRPr="00A63E7C" w14:paraId="6C7E4079" w14:textId="77777777" w:rsidTr="00DF5B04">
        <w:trPr>
          <w:trHeight w:val="306"/>
        </w:trPr>
        <w:tc>
          <w:tcPr>
            <w:tcW w:w="2574" w:type="dxa"/>
            <w:hideMark/>
          </w:tcPr>
          <w:p w14:paraId="462D4776" w14:textId="77777777" w:rsidR="00DF5B04" w:rsidRPr="00A63E7C" w:rsidRDefault="00DF5B04" w:rsidP="00B77C0B">
            <w:pPr>
              <w:pStyle w:val="NoSpacing"/>
              <w:rPr>
                <w:rFonts w:ascii="Times New Roman" w:hAnsi="Times New Roman" w:cs="Times New Roman"/>
                <w:sz w:val="28"/>
                <w:szCs w:val="22"/>
              </w:rPr>
            </w:pPr>
            <w:r w:rsidRPr="00A63E7C">
              <w:rPr>
                <w:rFonts w:ascii="Times New Roman" w:hAnsi="Times New Roman" w:cs="Times New Roman"/>
                <w:sz w:val="28"/>
                <w:szCs w:val="22"/>
              </w:rPr>
              <w:t>Mysore</w:t>
            </w:r>
          </w:p>
        </w:tc>
        <w:tc>
          <w:tcPr>
            <w:tcW w:w="2065" w:type="dxa"/>
            <w:hideMark/>
          </w:tcPr>
          <w:p w14:paraId="521B5787" w14:textId="77777777" w:rsidR="00DF5B04" w:rsidRPr="00A63E7C" w:rsidRDefault="00DF5B04" w:rsidP="00A63E7C">
            <w:pPr>
              <w:pStyle w:val="NoSpacing"/>
              <w:jc w:val="center"/>
              <w:rPr>
                <w:rFonts w:ascii="Times New Roman" w:hAnsi="Times New Roman" w:cs="Times New Roman"/>
                <w:sz w:val="28"/>
                <w:szCs w:val="22"/>
              </w:rPr>
            </w:pPr>
            <w:r w:rsidRPr="00A63E7C">
              <w:rPr>
                <w:rFonts w:ascii="Times New Roman" w:hAnsi="Times New Roman" w:cs="Times New Roman"/>
                <w:sz w:val="28"/>
                <w:szCs w:val="22"/>
              </w:rPr>
              <w:t>26677</w:t>
            </w:r>
          </w:p>
        </w:tc>
        <w:tc>
          <w:tcPr>
            <w:tcW w:w="2066" w:type="dxa"/>
            <w:hideMark/>
          </w:tcPr>
          <w:p w14:paraId="7DF9B1D4" w14:textId="77777777" w:rsidR="00DF5B04" w:rsidRPr="00A63E7C" w:rsidRDefault="00DF5B04" w:rsidP="00A63E7C">
            <w:pPr>
              <w:pStyle w:val="NoSpacing"/>
              <w:jc w:val="center"/>
              <w:rPr>
                <w:rFonts w:ascii="Times New Roman" w:hAnsi="Times New Roman" w:cs="Times New Roman"/>
                <w:sz w:val="28"/>
                <w:szCs w:val="22"/>
              </w:rPr>
            </w:pPr>
            <w:r w:rsidRPr="00A63E7C">
              <w:rPr>
                <w:rFonts w:ascii="Times New Roman" w:hAnsi="Times New Roman" w:cs="Times New Roman"/>
                <w:sz w:val="28"/>
                <w:szCs w:val="22"/>
              </w:rPr>
              <w:t>240</w:t>
            </w:r>
          </w:p>
        </w:tc>
        <w:tc>
          <w:tcPr>
            <w:tcW w:w="4205" w:type="dxa"/>
            <w:hideMark/>
          </w:tcPr>
          <w:p w14:paraId="6F27FF69" w14:textId="77777777" w:rsidR="00DF5B04" w:rsidRPr="00A63E7C" w:rsidRDefault="00DF5B04" w:rsidP="00A63E7C">
            <w:pPr>
              <w:pStyle w:val="NoSpacing"/>
              <w:jc w:val="center"/>
              <w:rPr>
                <w:rFonts w:ascii="Times New Roman" w:hAnsi="Times New Roman" w:cs="Times New Roman"/>
                <w:sz w:val="28"/>
                <w:szCs w:val="22"/>
              </w:rPr>
            </w:pPr>
            <w:r w:rsidRPr="00A63E7C">
              <w:rPr>
                <w:rFonts w:ascii="Times New Roman" w:hAnsi="Times New Roman" w:cs="Times New Roman"/>
                <w:sz w:val="28"/>
                <w:szCs w:val="22"/>
              </w:rPr>
              <w:t>0.90</w:t>
            </w:r>
          </w:p>
        </w:tc>
      </w:tr>
      <w:tr w:rsidR="00DF5B04" w:rsidRPr="00A63E7C" w14:paraId="09371085" w14:textId="77777777" w:rsidTr="00DF5B04">
        <w:trPr>
          <w:trHeight w:val="292"/>
        </w:trPr>
        <w:tc>
          <w:tcPr>
            <w:tcW w:w="2574" w:type="dxa"/>
            <w:hideMark/>
          </w:tcPr>
          <w:p w14:paraId="427C605C" w14:textId="77777777" w:rsidR="00DF5B04" w:rsidRPr="00A63E7C" w:rsidRDefault="00DF5B04" w:rsidP="00B77C0B">
            <w:pPr>
              <w:pStyle w:val="NoSpacing"/>
              <w:rPr>
                <w:rFonts w:ascii="Times New Roman" w:hAnsi="Times New Roman" w:cs="Times New Roman"/>
                <w:sz w:val="28"/>
                <w:szCs w:val="22"/>
              </w:rPr>
            </w:pPr>
            <w:r w:rsidRPr="00A63E7C">
              <w:rPr>
                <w:rFonts w:ascii="Times New Roman" w:hAnsi="Times New Roman" w:cs="Times New Roman"/>
                <w:sz w:val="28"/>
                <w:szCs w:val="22"/>
              </w:rPr>
              <w:t>Nagaland</w:t>
            </w:r>
          </w:p>
        </w:tc>
        <w:tc>
          <w:tcPr>
            <w:tcW w:w="2065" w:type="dxa"/>
            <w:hideMark/>
          </w:tcPr>
          <w:p w14:paraId="388993BF" w14:textId="77777777" w:rsidR="00DF5B04" w:rsidRPr="00A63E7C" w:rsidRDefault="00DF5B04" w:rsidP="00A63E7C">
            <w:pPr>
              <w:pStyle w:val="NoSpacing"/>
              <w:jc w:val="center"/>
              <w:rPr>
                <w:rFonts w:ascii="Times New Roman" w:hAnsi="Times New Roman" w:cs="Times New Roman"/>
                <w:sz w:val="28"/>
                <w:szCs w:val="22"/>
              </w:rPr>
            </w:pPr>
            <w:r w:rsidRPr="00A63E7C">
              <w:rPr>
                <w:rFonts w:ascii="Times New Roman" w:hAnsi="Times New Roman" w:cs="Times New Roman"/>
                <w:sz w:val="28"/>
                <w:szCs w:val="22"/>
              </w:rPr>
              <w:t>..</w:t>
            </w:r>
          </w:p>
        </w:tc>
        <w:tc>
          <w:tcPr>
            <w:tcW w:w="2066" w:type="dxa"/>
            <w:hideMark/>
          </w:tcPr>
          <w:p w14:paraId="10F5D690" w14:textId="77777777" w:rsidR="00DF5B04" w:rsidRPr="00A63E7C" w:rsidRDefault="00DF5B04" w:rsidP="00A63E7C">
            <w:pPr>
              <w:pStyle w:val="NoSpacing"/>
              <w:jc w:val="center"/>
              <w:rPr>
                <w:rFonts w:ascii="Times New Roman" w:hAnsi="Times New Roman" w:cs="Times New Roman"/>
                <w:sz w:val="28"/>
                <w:szCs w:val="22"/>
              </w:rPr>
            </w:pPr>
            <w:r w:rsidRPr="00A63E7C">
              <w:rPr>
                <w:rFonts w:ascii="Times New Roman" w:hAnsi="Times New Roman" w:cs="Times New Roman"/>
                <w:sz w:val="28"/>
                <w:szCs w:val="22"/>
              </w:rPr>
              <w:t>N.A.</w:t>
            </w:r>
          </w:p>
        </w:tc>
        <w:tc>
          <w:tcPr>
            <w:tcW w:w="4205" w:type="dxa"/>
            <w:hideMark/>
          </w:tcPr>
          <w:p w14:paraId="4235136D" w14:textId="77777777" w:rsidR="00DF5B04" w:rsidRPr="00A63E7C" w:rsidRDefault="00DF5B04" w:rsidP="00A63E7C">
            <w:pPr>
              <w:pStyle w:val="NoSpacing"/>
              <w:jc w:val="center"/>
              <w:rPr>
                <w:rFonts w:ascii="Times New Roman" w:hAnsi="Times New Roman" w:cs="Times New Roman"/>
                <w:sz w:val="28"/>
                <w:szCs w:val="22"/>
              </w:rPr>
            </w:pPr>
            <w:r w:rsidRPr="00A63E7C">
              <w:rPr>
                <w:rFonts w:ascii="Times New Roman" w:hAnsi="Times New Roman" w:cs="Times New Roman"/>
                <w:sz w:val="28"/>
                <w:szCs w:val="22"/>
              </w:rPr>
              <w:t>N.A.</w:t>
            </w:r>
          </w:p>
        </w:tc>
      </w:tr>
      <w:tr w:rsidR="00DF5B04" w:rsidRPr="00A63E7C" w14:paraId="32675516" w14:textId="77777777" w:rsidTr="00DF5B04">
        <w:trPr>
          <w:trHeight w:val="292"/>
        </w:trPr>
        <w:tc>
          <w:tcPr>
            <w:tcW w:w="2574" w:type="dxa"/>
            <w:hideMark/>
          </w:tcPr>
          <w:p w14:paraId="20818294" w14:textId="77777777" w:rsidR="00DF5B04" w:rsidRPr="00A63E7C" w:rsidRDefault="00DF5B04" w:rsidP="00B77C0B">
            <w:pPr>
              <w:pStyle w:val="NoSpacing"/>
              <w:rPr>
                <w:rFonts w:ascii="Times New Roman" w:hAnsi="Times New Roman" w:cs="Times New Roman"/>
                <w:sz w:val="28"/>
                <w:szCs w:val="22"/>
              </w:rPr>
            </w:pPr>
            <w:r w:rsidRPr="00A63E7C">
              <w:rPr>
                <w:rFonts w:ascii="Times New Roman" w:hAnsi="Times New Roman" w:cs="Times New Roman"/>
                <w:sz w:val="28"/>
                <w:szCs w:val="22"/>
              </w:rPr>
              <w:t>Orissa</w:t>
            </w:r>
          </w:p>
        </w:tc>
        <w:tc>
          <w:tcPr>
            <w:tcW w:w="2065" w:type="dxa"/>
            <w:hideMark/>
          </w:tcPr>
          <w:p w14:paraId="237B2D73" w14:textId="77777777" w:rsidR="00DF5B04" w:rsidRPr="00A63E7C" w:rsidRDefault="00DF5B04" w:rsidP="00A63E7C">
            <w:pPr>
              <w:pStyle w:val="NoSpacing"/>
              <w:jc w:val="center"/>
              <w:rPr>
                <w:rFonts w:ascii="Times New Roman" w:hAnsi="Times New Roman" w:cs="Times New Roman"/>
                <w:sz w:val="28"/>
                <w:szCs w:val="22"/>
              </w:rPr>
            </w:pPr>
            <w:r w:rsidRPr="00A63E7C">
              <w:rPr>
                <w:rFonts w:ascii="Times New Roman" w:hAnsi="Times New Roman" w:cs="Times New Roman"/>
                <w:sz w:val="28"/>
                <w:szCs w:val="22"/>
              </w:rPr>
              <w:t>19739</w:t>
            </w:r>
          </w:p>
        </w:tc>
        <w:tc>
          <w:tcPr>
            <w:tcW w:w="2066" w:type="dxa"/>
            <w:hideMark/>
          </w:tcPr>
          <w:p w14:paraId="478B6BC5" w14:textId="77777777" w:rsidR="00DF5B04" w:rsidRPr="00A63E7C" w:rsidRDefault="00DF5B04" w:rsidP="00A63E7C">
            <w:pPr>
              <w:pStyle w:val="NoSpacing"/>
              <w:jc w:val="center"/>
              <w:rPr>
                <w:rFonts w:ascii="Times New Roman" w:hAnsi="Times New Roman" w:cs="Times New Roman"/>
                <w:sz w:val="28"/>
                <w:szCs w:val="22"/>
              </w:rPr>
            </w:pPr>
            <w:r w:rsidRPr="00A63E7C">
              <w:rPr>
                <w:rFonts w:ascii="Times New Roman" w:hAnsi="Times New Roman" w:cs="Times New Roman"/>
                <w:sz w:val="28"/>
                <w:szCs w:val="22"/>
              </w:rPr>
              <w:t>68</w:t>
            </w:r>
          </w:p>
        </w:tc>
        <w:tc>
          <w:tcPr>
            <w:tcW w:w="4205" w:type="dxa"/>
            <w:hideMark/>
          </w:tcPr>
          <w:p w14:paraId="4AB239FC" w14:textId="77777777" w:rsidR="00DF5B04" w:rsidRPr="00A63E7C" w:rsidRDefault="00DF5B04" w:rsidP="00A63E7C">
            <w:pPr>
              <w:pStyle w:val="NoSpacing"/>
              <w:jc w:val="center"/>
              <w:rPr>
                <w:rFonts w:ascii="Times New Roman" w:hAnsi="Times New Roman" w:cs="Times New Roman"/>
                <w:sz w:val="28"/>
                <w:szCs w:val="22"/>
              </w:rPr>
            </w:pPr>
            <w:r w:rsidRPr="00A63E7C">
              <w:rPr>
                <w:rFonts w:ascii="Times New Roman" w:hAnsi="Times New Roman" w:cs="Times New Roman"/>
                <w:sz w:val="28"/>
                <w:szCs w:val="22"/>
              </w:rPr>
              <w:t>0.34</w:t>
            </w:r>
          </w:p>
        </w:tc>
      </w:tr>
      <w:tr w:rsidR="00DF5B04" w:rsidRPr="00A63E7C" w14:paraId="382F574A" w14:textId="77777777" w:rsidTr="00DF5B04">
        <w:trPr>
          <w:trHeight w:val="292"/>
        </w:trPr>
        <w:tc>
          <w:tcPr>
            <w:tcW w:w="2574" w:type="dxa"/>
            <w:hideMark/>
          </w:tcPr>
          <w:p w14:paraId="4137ECFB" w14:textId="77777777" w:rsidR="00DF5B04" w:rsidRPr="00A63E7C" w:rsidRDefault="00DF5B04" w:rsidP="00B77C0B">
            <w:pPr>
              <w:pStyle w:val="NoSpacing"/>
              <w:rPr>
                <w:rFonts w:ascii="Times New Roman" w:hAnsi="Times New Roman" w:cs="Times New Roman"/>
                <w:sz w:val="28"/>
                <w:szCs w:val="22"/>
              </w:rPr>
            </w:pPr>
            <w:r w:rsidRPr="00A63E7C">
              <w:rPr>
                <w:rFonts w:ascii="Times New Roman" w:hAnsi="Times New Roman" w:cs="Times New Roman"/>
                <w:sz w:val="28"/>
                <w:szCs w:val="22"/>
              </w:rPr>
              <w:t>Punjab</w:t>
            </w:r>
          </w:p>
        </w:tc>
        <w:tc>
          <w:tcPr>
            <w:tcW w:w="2065" w:type="dxa"/>
            <w:hideMark/>
          </w:tcPr>
          <w:p w14:paraId="198B37AC" w14:textId="77777777" w:rsidR="00DF5B04" w:rsidRPr="00A63E7C" w:rsidRDefault="00DF5B04" w:rsidP="00A63E7C">
            <w:pPr>
              <w:pStyle w:val="NoSpacing"/>
              <w:jc w:val="center"/>
              <w:rPr>
                <w:rFonts w:ascii="Times New Roman" w:hAnsi="Times New Roman" w:cs="Times New Roman"/>
                <w:sz w:val="28"/>
                <w:szCs w:val="22"/>
              </w:rPr>
            </w:pPr>
            <w:r w:rsidRPr="00A63E7C">
              <w:rPr>
                <w:rFonts w:ascii="Times New Roman" w:hAnsi="Times New Roman" w:cs="Times New Roman"/>
                <w:sz w:val="28"/>
                <w:szCs w:val="22"/>
              </w:rPr>
              <w:t>13102</w:t>
            </w:r>
          </w:p>
        </w:tc>
        <w:tc>
          <w:tcPr>
            <w:tcW w:w="2066" w:type="dxa"/>
            <w:hideMark/>
          </w:tcPr>
          <w:p w14:paraId="0CE376D6" w14:textId="77777777" w:rsidR="00DF5B04" w:rsidRPr="00A63E7C" w:rsidRDefault="00DF5B04" w:rsidP="00A63E7C">
            <w:pPr>
              <w:pStyle w:val="NoSpacing"/>
              <w:jc w:val="center"/>
              <w:rPr>
                <w:rFonts w:ascii="Times New Roman" w:hAnsi="Times New Roman" w:cs="Times New Roman"/>
                <w:sz w:val="28"/>
                <w:szCs w:val="22"/>
              </w:rPr>
            </w:pPr>
            <w:r w:rsidRPr="00A63E7C">
              <w:rPr>
                <w:rFonts w:ascii="Times New Roman" w:hAnsi="Times New Roman" w:cs="Times New Roman"/>
                <w:sz w:val="28"/>
                <w:szCs w:val="22"/>
              </w:rPr>
              <w:t>104</w:t>
            </w:r>
          </w:p>
        </w:tc>
        <w:tc>
          <w:tcPr>
            <w:tcW w:w="4205" w:type="dxa"/>
            <w:hideMark/>
          </w:tcPr>
          <w:p w14:paraId="0D52AFCF" w14:textId="77777777" w:rsidR="00DF5B04" w:rsidRPr="00A63E7C" w:rsidRDefault="00DF5B04" w:rsidP="00A63E7C">
            <w:pPr>
              <w:pStyle w:val="NoSpacing"/>
              <w:jc w:val="center"/>
              <w:rPr>
                <w:rFonts w:ascii="Times New Roman" w:hAnsi="Times New Roman" w:cs="Times New Roman"/>
                <w:sz w:val="28"/>
                <w:szCs w:val="22"/>
              </w:rPr>
            </w:pPr>
            <w:r w:rsidRPr="00A63E7C">
              <w:rPr>
                <w:rFonts w:ascii="Times New Roman" w:hAnsi="Times New Roman" w:cs="Times New Roman"/>
                <w:sz w:val="28"/>
                <w:szCs w:val="22"/>
              </w:rPr>
              <w:t>0.79</w:t>
            </w:r>
          </w:p>
        </w:tc>
      </w:tr>
      <w:tr w:rsidR="00DF5B04" w:rsidRPr="00A63E7C" w14:paraId="4F3B7288" w14:textId="77777777" w:rsidTr="00DF5B04">
        <w:trPr>
          <w:trHeight w:val="292"/>
        </w:trPr>
        <w:tc>
          <w:tcPr>
            <w:tcW w:w="2574" w:type="dxa"/>
            <w:hideMark/>
          </w:tcPr>
          <w:p w14:paraId="0B34897A" w14:textId="77777777" w:rsidR="00DF5B04" w:rsidRPr="00A63E7C" w:rsidRDefault="00DF5B04" w:rsidP="00B77C0B">
            <w:pPr>
              <w:pStyle w:val="NoSpacing"/>
              <w:rPr>
                <w:rFonts w:ascii="Times New Roman" w:hAnsi="Times New Roman" w:cs="Times New Roman"/>
                <w:sz w:val="28"/>
                <w:szCs w:val="22"/>
              </w:rPr>
            </w:pPr>
            <w:r w:rsidRPr="00A63E7C">
              <w:rPr>
                <w:rFonts w:ascii="Times New Roman" w:hAnsi="Times New Roman" w:cs="Times New Roman"/>
                <w:sz w:val="28"/>
                <w:szCs w:val="22"/>
              </w:rPr>
              <w:t>Rajasthan</w:t>
            </w:r>
          </w:p>
        </w:tc>
        <w:tc>
          <w:tcPr>
            <w:tcW w:w="2065" w:type="dxa"/>
            <w:hideMark/>
          </w:tcPr>
          <w:p w14:paraId="798ACDC1" w14:textId="77777777" w:rsidR="00DF5B04" w:rsidRPr="00A63E7C" w:rsidRDefault="00DF5B04" w:rsidP="00A63E7C">
            <w:pPr>
              <w:pStyle w:val="NoSpacing"/>
              <w:jc w:val="center"/>
              <w:rPr>
                <w:rFonts w:ascii="Times New Roman" w:hAnsi="Times New Roman" w:cs="Times New Roman"/>
                <w:sz w:val="28"/>
                <w:szCs w:val="22"/>
              </w:rPr>
            </w:pPr>
            <w:r w:rsidRPr="00A63E7C">
              <w:rPr>
                <w:rFonts w:ascii="Times New Roman" w:hAnsi="Times New Roman" w:cs="Times New Roman"/>
                <w:sz w:val="28"/>
                <w:szCs w:val="22"/>
              </w:rPr>
              <w:t>23482</w:t>
            </w:r>
          </w:p>
        </w:tc>
        <w:tc>
          <w:tcPr>
            <w:tcW w:w="2066" w:type="dxa"/>
            <w:hideMark/>
          </w:tcPr>
          <w:p w14:paraId="5D046D68" w14:textId="77777777" w:rsidR="00DF5B04" w:rsidRPr="00A63E7C" w:rsidRDefault="00DF5B04" w:rsidP="00A63E7C">
            <w:pPr>
              <w:pStyle w:val="NoSpacing"/>
              <w:jc w:val="center"/>
              <w:rPr>
                <w:rFonts w:ascii="Times New Roman" w:hAnsi="Times New Roman" w:cs="Times New Roman"/>
                <w:sz w:val="28"/>
                <w:szCs w:val="22"/>
              </w:rPr>
            </w:pPr>
            <w:r w:rsidRPr="00A63E7C">
              <w:rPr>
                <w:rFonts w:ascii="Times New Roman" w:hAnsi="Times New Roman" w:cs="Times New Roman"/>
                <w:sz w:val="28"/>
                <w:szCs w:val="22"/>
              </w:rPr>
              <w:t>77</w:t>
            </w:r>
          </w:p>
        </w:tc>
        <w:tc>
          <w:tcPr>
            <w:tcW w:w="4205" w:type="dxa"/>
            <w:hideMark/>
          </w:tcPr>
          <w:p w14:paraId="0DE61835" w14:textId="77777777" w:rsidR="00DF5B04" w:rsidRPr="00A63E7C" w:rsidRDefault="00DF5B04" w:rsidP="00A63E7C">
            <w:pPr>
              <w:pStyle w:val="NoSpacing"/>
              <w:jc w:val="center"/>
              <w:rPr>
                <w:rFonts w:ascii="Times New Roman" w:hAnsi="Times New Roman" w:cs="Times New Roman"/>
                <w:sz w:val="28"/>
                <w:szCs w:val="22"/>
              </w:rPr>
            </w:pPr>
            <w:r w:rsidRPr="00A63E7C">
              <w:rPr>
                <w:rFonts w:ascii="Times New Roman" w:hAnsi="Times New Roman" w:cs="Times New Roman"/>
                <w:sz w:val="28"/>
                <w:szCs w:val="22"/>
              </w:rPr>
              <w:t>0.33</w:t>
            </w:r>
          </w:p>
        </w:tc>
      </w:tr>
      <w:tr w:rsidR="00DF5B04" w:rsidRPr="00A63E7C" w14:paraId="1DC22FE7" w14:textId="77777777" w:rsidTr="00DF5B04">
        <w:trPr>
          <w:trHeight w:val="306"/>
        </w:trPr>
        <w:tc>
          <w:tcPr>
            <w:tcW w:w="2574" w:type="dxa"/>
            <w:hideMark/>
          </w:tcPr>
          <w:p w14:paraId="36A5BDF9" w14:textId="77777777" w:rsidR="00DF5B04" w:rsidRPr="00A63E7C" w:rsidRDefault="00DF5B04" w:rsidP="00B77C0B">
            <w:pPr>
              <w:pStyle w:val="NoSpacing"/>
              <w:rPr>
                <w:rFonts w:ascii="Times New Roman" w:hAnsi="Times New Roman" w:cs="Times New Roman"/>
                <w:sz w:val="28"/>
                <w:szCs w:val="22"/>
              </w:rPr>
            </w:pPr>
            <w:r w:rsidRPr="00A63E7C">
              <w:rPr>
                <w:rFonts w:ascii="Times New Roman" w:hAnsi="Times New Roman" w:cs="Times New Roman"/>
                <w:sz w:val="28"/>
                <w:szCs w:val="22"/>
              </w:rPr>
              <w:t>Tamil Nadu</w:t>
            </w:r>
          </w:p>
        </w:tc>
        <w:tc>
          <w:tcPr>
            <w:tcW w:w="2065" w:type="dxa"/>
            <w:hideMark/>
          </w:tcPr>
          <w:p w14:paraId="0F75C8E2" w14:textId="77777777" w:rsidR="00DF5B04" w:rsidRPr="00A63E7C" w:rsidRDefault="00DF5B04" w:rsidP="00A63E7C">
            <w:pPr>
              <w:pStyle w:val="NoSpacing"/>
              <w:jc w:val="center"/>
              <w:rPr>
                <w:rFonts w:ascii="Times New Roman" w:hAnsi="Times New Roman" w:cs="Times New Roman"/>
                <w:sz w:val="28"/>
                <w:szCs w:val="22"/>
              </w:rPr>
            </w:pPr>
            <w:r w:rsidRPr="00A63E7C">
              <w:rPr>
                <w:rFonts w:ascii="Times New Roman" w:hAnsi="Times New Roman" w:cs="Times New Roman"/>
                <w:sz w:val="28"/>
                <w:szCs w:val="22"/>
              </w:rPr>
              <w:t>36855</w:t>
            </w:r>
          </w:p>
        </w:tc>
        <w:tc>
          <w:tcPr>
            <w:tcW w:w="2066" w:type="dxa"/>
            <w:hideMark/>
          </w:tcPr>
          <w:p w14:paraId="34A84E42" w14:textId="77777777" w:rsidR="00DF5B04" w:rsidRPr="00A63E7C" w:rsidRDefault="00DF5B04" w:rsidP="00A63E7C">
            <w:pPr>
              <w:pStyle w:val="NoSpacing"/>
              <w:jc w:val="center"/>
              <w:rPr>
                <w:rFonts w:ascii="Times New Roman" w:hAnsi="Times New Roman" w:cs="Times New Roman"/>
                <w:sz w:val="28"/>
                <w:szCs w:val="22"/>
              </w:rPr>
            </w:pPr>
            <w:r w:rsidRPr="00A63E7C">
              <w:rPr>
                <w:rFonts w:ascii="Times New Roman" w:hAnsi="Times New Roman" w:cs="Times New Roman"/>
                <w:sz w:val="28"/>
                <w:szCs w:val="22"/>
              </w:rPr>
              <w:t>405</w:t>
            </w:r>
          </w:p>
        </w:tc>
        <w:tc>
          <w:tcPr>
            <w:tcW w:w="4205" w:type="dxa"/>
            <w:hideMark/>
          </w:tcPr>
          <w:p w14:paraId="37CF10BF" w14:textId="77777777" w:rsidR="00DF5B04" w:rsidRPr="00A63E7C" w:rsidRDefault="00DF5B04" w:rsidP="00A63E7C">
            <w:pPr>
              <w:pStyle w:val="NoSpacing"/>
              <w:jc w:val="center"/>
              <w:rPr>
                <w:rFonts w:ascii="Times New Roman" w:hAnsi="Times New Roman" w:cs="Times New Roman"/>
                <w:sz w:val="28"/>
                <w:szCs w:val="22"/>
              </w:rPr>
            </w:pPr>
            <w:r w:rsidRPr="00A63E7C">
              <w:rPr>
                <w:rFonts w:ascii="Times New Roman" w:hAnsi="Times New Roman" w:cs="Times New Roman"/>
                <w:sz w:val="28"/>
                <w:szCs w:val="22"/>
              </w:rPr>
              <w:t>1.10</w:t>
            </w:r>
          </w:p>
        </w:tc>
      </w:tr>
      <w:tr w:rsidR="00DF5B04" w:rsidRPr="00A63E7C" w14:paraId="00680167" w14:textId="77777777" w:rsidTr="00DF5B04">
        <w:trPr>
          <w:trHeight w:val="292"/>
        </w:trPr>
        <w:tc>
          <w:tcPr>
            <w:tcW w:w="2574" w:type="dxa"/>
            <w:hideMark/>
          </w:tcPr>
          <w:p w14:paraId="3DB47374" w14:textId="77777777" w:rsidR="00DF5B04" w:rsidRPr="00A63E7C" w:rsidRDefault="00DF5B04" w:rsidP="00B77C0B">
            <w:pPr>
              <w:pStyle w:val="NoSpacing"/>
              <w:rPr>
                <w:rFonts w:ascii="Times New Roman" w:hAnsi="Times New Roman" w:cs="Times New Roman"/>
                <w:sz w:val="28"/>
                <w:szCs w:val="22"/>
              </w:rPr>
            </w:pPr>
            <w:r w:rsidRPr="00A63E7C">
              <w:rPr>
                <w:rFonts w:ascii="Times New Roman" w:hAnsi="Times New Roman" w:cs="Times New Roman"/>
                <w:sz w:val="28"/>
                <w:szCs w:val="22"/>
              </w:rPr>
              <w:t>Uttar Pradesh</w:t>
            </w:r>
          </w:p>
        </w:tc>
        <w:tc>
          <w:tcPr>
            <w:tcW w:w="2065" w:type="dxa"/>
            <w:hideMark/>
          </w:tcPr>
          <w:p w14:paraId="4EBE0E5E" w14:textId="77777777" w:rsidR="00DF5B04" w:rsidRPr="00A63E7C" w:rsidRDefault="00DF5B04" w:rsidP="00A63E7C">
            <w:pPr>
              <w:pStyle w:val="NoSpacing"/>
              <w:jc w:val="center"/>
              <w:rPr>
                <w:rFonts w:ascii="Times New Roman" w:hAnsi="Times New Roman" w:cs="Times New Roman"/>
                <w:sz w:val="28"/>
                <w:szCs w:val="22"/>
              </w:rPr>
            </w:pPr>
            <w:r w:rsidRPr="00A63E7C">
              <w:rPr>
                <w:rFonts w:ascii="Times New Roman" w:hAnsi="Times New Roman" w:cs="Times New Roman"/>
                <w:sz w:val="28"/>
                <w:szCs w:val="22"/>
              </w:rPr>
              <w:t>82998</w:t>
            </w:r>
          </w:p>
        </w:tc>
        <w:tc>
          <w:tcPr>
            <w:tcW w:w="2066" w:type="dxa"/>
            <w:hideMark/>
          </w:tcPr>
          <w:p w14:paraId="6C3A1532" w14:textId="77777777" w:rsidR="00DF5B04" w:rsidRPr="00A63E7C" w:rsidRDefault="00DF5B04" w:rsidP="00A63E7C">
            <w:pPr>
              <w:pStyle w:val="NoSpacing"/>
              <w:jc w:val="center"/>
              <w:rPr>
                <w:rFonts w:ascii="Times New Roman" w:hAnsi="Times New Roman" w:cs="Times New Roman"/>
                <w:sz w:val="28"/>
                <w:szCs w:val="22"/>
              </w:rPr>
            </w:pPr>
            <w:r w:rsidRPr="00A63E7C">
              <w:rPr>
                <w:rFonts w:ascii="Times New Roman" w:hAnsi="Times New Roman" w:cs="Times New Roman"/>
                <w:sz w:val="28"/>
                <w:szCs w:val="22"/>
              </w:rPr>
              <w:t>415</w:t>
            </w:r>
          </w:p>
        </w:tc>
        <w:tc>
          <w:tcPr>
            <w:tcW w:w="4205" w:type="dxa"/>
            <w:hideMark/>
          </w:tcPr>
          <w:p w14:paraId="0B4C1255" w14:textId="77777777" w:rsidR="00DF5B04" w:rsidRPr="00A63E7C" w:rsidRDefault="00DF5B04" w:rsidP="00A63E7C">
            <w:pPr>
              <w:pStyle w:val="NoSpacing"/>
              <w:jc w:val="center"/>
              <w:rPr>
                <w:rFonts w:ascii="Times New Roman" w:hAnsi="Times New Roman" w:cs="Times New Roman"/>
                <w:sz w:val="28"/>
                <w:szCs w:val="22"/>
              </w:rPr>
            </w:pPr>
            <w:r w:rsidRPr="00A63E7C">
              <w:rPr>
                <w:rFonts w:ascii="Times New Roman" w:hAnsi="Times New Roman" w:cs="Times New Roman"/>
                <w:sz w:val="28"/>
                <w:szCs w:val="22"/>
              </w:rPr>
              <w:t>0.50</w:t>
            </w:r>
          </w:p>
        </w:tc>
      </w:tr>
      <w:tr w:rsidR="00DF5B04" w:rsidRPr="00A63E7C" w14:paraId="28B54B35" w14:textId="77777777" w:rsidTr="00DF5B04">
        <w:trPr>
          <w:trHeight w:val="292"/>
        </w:trPr>
        <w:tc>
          <w:tcPr>
            <w:tcW w:w="2574" w:type="dxa"/>
            <w:hideMark/>
          </w:tcPr>
          <w:p w14:paraId="310A7A93" w14:textId="77777777" w:rsidR="00DF5B04" w:rsidRPr="00A63E7C" w:rsidRDefault="00DF5B04" w:rsidP="00B77C0B">
            <w:pPr>
              <w:pStyle w:val="NoSpacing"/>
              <w:rPr>
                <w:rFonts w:ascii="Times New Roman" w:hAnsi="Times New Roman" w:cs="Times New Roman"/>
                <w:sz w:val="28"/>
                <w:szCs w:val="22"/>
              </w:rPr>
            </w:pPr>
            <w:r w:rsidRPr="00A63E7C">
              <w:rPr>
                <w:rFonts w:ascii="Times New Roman" w:hAnsi="Times New Roman" w:cs="Times New Roman"/>
                <w:sz w:val="28"/>
                <w:szCs w:val="22"/>
              </w:rPr>
              <w:t>West Bengal</w:t>
            </w:r>
          </w:p>
        </w:tc>
        <w:tc>
          <w:tcPr>
            <w:tcW w:w="2065" w:type="dxa"/>
            <w:hideMark/>
          </w:tcPr>
          <w:p w14:paraId="7A0D2F0B" w14:textId="77777777" w:rsidR="00DF5B04" w:rsidRPr="00A63E7C" w:rsidRDefault="00DF5B04" w:rsidP="00A63E7C">
            <w:pPr>
              <w:pStyle w:val="NoSpacing"/>
              <w:jc w:val="center"/>
              <w:rPr>
                <w:rFonts w:ascii="Times New Roman" w:hAnsi="Times New Roman" w:cs="Times New Roman"/>
                <w:sz w:val="28"/>
                <w:szCs w:val="22"/>
              </w:rPr>
            </w:pPr>
            <w:r w:rsidRPr="00A63E7C">
              <w:rPr>
                <w:rFonts w:ascii="Times New Roman" w:hAnsi="Times New Roman" w:cs="Times New Roman"/>
                <w:sz w:val="28"/>
                <w:szCs w:val="22"/>
              </w:rPr>
              <w:t>40316</w:t>
            </w:r>
          </w:p>
        </w:tc>
        <w:tc>
          <w:tcPr>
            <w:tcW w:w="2066" w:type="dxa"/>
            <w:hideMark/>
          </w:tcPr>
          <w:p w14:paraId="66D2B8D2" w14:textId="77777777" w:rsidR="00DF5B04" w:rsidRPr="00A63E7C" w:rsidRDefault="00DF5B04" w:rsidP="00A63E7C">
            <w:pPr>
              <w:pStyle w:val="NoSpacing"/>
              <w:jc w:val="center"/>
              <w:rPr>
                <w:rFonts w:ascii="Times New Roman" w:hAnsi="Times New Roman" w:cs="Times New Roman"/>
                <w:sz w:val="28"/>
                <w:szCs w:val="22"/>
              </w:rPr>
            </w:pPr>
            <w:r w:rsidRPr="00A63E7C">
              <w:rPr>
                <w:rFonts w:ascii="Times New Roman" w:hAnsi="Times New Roman" w:cs="Times New Roman"/>
                <w:sz w:val="28"/>
                <w:szCs w:val="22"/>
              </w:rPr>
              <w:t>873</w:t>
            </w:r>
          </w:p>
        </w:tc>
        <w:tc>
          <w:tcPr>
            <w:tcW w:w="4205" w:type="dxa"/>
            <w:hideMark/>
          </w:tcPr>
          <w:p w14:paraId="3D094BFF" w14:textId="77777777" w:rsidR="00DF5B04" w:rsidRPr="00A63E7C" w:rsidRDefault="00DF5B04" w:rsidP="00A63E7C">
            <w:pPr>
              <w:pStyle w:val="NoSpacing"/>
              <w:jc w:val="center"/>
              <w:rPr>
                <w:rFonts w:ascii="Times New Roman" w:hAnsi="Times New Roman" w:cs="Times New Roman"/>
                <w:sz w:val="28"/>
                <w:szCs w:val="22"/>
              </w:rPr>
            </w:pPr>
            <w:r w:rsidRPr="00A63E7C">
              <w:rPr>
                <w:rFonts w:ascii="Times New Roman" w:hAnsi="Times New Roman" w:cs="Times New Roman"/>
                <w:sz w:val="28"/>
                <w:szCs w:val="22"/>
              </w:rPr>
              <w:t>2.17</w:t>
            </w:r>
          </w:p>
        </w:tc>
      </w:tr>
      <w:tr w:rsidR="00DF5B04" w:rsidRPr="00A63E7C" w14:paraId="10DE226F" w14:textId="77777777" w:rsidTr="00DF5B04">
        <w:trPr>
          <w:trHeight w:val="292"/>
        </w:trPr>
        <w:tc>
          <w:tcPr>
            <w:tcW w:w="2574" w:type="dxa"/>
            <w:hideMark/>
          </w:tcPr>
          <w:p w14:paraId="4E12F45D" w14:textId="77777777" w:rsidR="00DF5B04" w:rsidRPr="00A63E7C" w:rsidRDefault="00DF5B04" w:rsidP="00B77C0B">
            <w:pPr>
              <w:pStyle w:val="NoSpacing"/>
              <w:rPr>
                <w:rFonts w:ascii="Times New Roman" w:hAnsi="Times New Roman" w:cs="Times New Roman"/>
                <w:sz w:val="28"/>
                <w:szCs w:val="22"/>
              </w:rPr>
            </w:pPr>
            <w:r w:rsidRPr="00A63E7C">
              <w:rPr>
                <w:rFonts w:ascii="Times New Roman" w:hAnsi="Times New Roman" w:cs="Times New Roman"/>
                <w:sz w:val="28"/>
                <w:szCs w:val="22"/>
              </w:rPr>
              <w:t xml:space="preserve">TOTAL </w:t>
            </w:r>
          </w:p>
          <w:p w14:paraId="483571E5" w14:textId="77777777" w:rsidR="00DF5B04" w:rsidRPr="00A63E7C" w:rsidRDefault="00DF5B04" w:rsidP="00B77C0B">
            <w:pPr>
              <w:pStyle w:val="NoSpacing"/>
              <w:rPr>
                <w:rFonts w:ascii="Times New Roman" w:hAnsi="Times New Roman" w:cs="Times New Roman"/>
                <w:sz w:val="28"/>
                <w:szCs w:val="22"/>
              </w:rPr>
            </w:pPr>
            <w:r w:rsidRPr="00A63E7C">
              <w:rPr>
                <w:rFonts w:ascii="Times New Roman" w:hAnsi="Times New Roman" w:cs="Times New Roman"/>
                <w:sz w:val="28"/>
                <w:szCs w:val="22"/>
              </w:rPr>
              <w:t>(excluding Nagaland)</w:t>
            </w:r>
          </w:p>
        </w:tc>
        <w:tc>
          <w:tcPr>
            <w:tcW w:w="2065" w:type="dxa"/>
            <w:hideMark/>
          </w:tcPr>
          <w:p w14:paraId="455F3D6D" w14:textId="77777777" w:rsidR="00DF5B04" w:rsidRPr="00A63E7C" w:rsidRDefault="00DF5B04" w:rsidP="00A63E7C">
            <w:pPr>
              <w:pStyle w:val="NoSpacing"/>
              <w:jc w:val="center"/>
              <w:rPr>
                <w:rFonts w:ascii="Times New Roman" w:hAnsi="Times New Roman" w:cs="Times New Roman"/>
                <w:sz w:val="28"/>
                <w:szCs w:val="22"/>
              </w:rPr>
            </w:pPr>
            <w:r w:rsidRPr="00A63E7C">
              <w:rPr>
                <w:rFonts w:ascii="Times New Roman" w:hAnsi="Times New Roman" w:cs="Times New Roman"/>
                <w:sz w:val="28"/>
                <w:szCs w:val="22"/>
              </w:rPr>
              <w:t>487534</w:t>
            </w:r>
          </w:p>
        </w:tc>
        <w:tc>
          <w:tcPr>
            <w:tcW w:w="2066" w:type="dxa"/>
            <w:hideMark/>
          </w:tcPr>
          <w:p w14:paraId="71C45344" w14:textId="77777777" w:rsidR="00DF5B04" w:rsidRPr="00A63E7C" w:rsidRDefault="00DF5B04" w:rsidP="00A63E7C">
            <w:pPr>
              <w:pStyle w:val="NoSpacing"/>
              <w:jc w:val="center"/>
              <w:rPr>
                <w:rFonts w:ascii="Times New Roman" w:hAnsi="Times New Roman" w:cs="Times New Roman"/>
                <w:sz w:val="28"/>
                <w:szCs w:val="22"/>
              </w:rPr>
            </w:pPr>
            <w:r w:rsidRPr="00A63E7C">
              <w:rPr>
                <w:rFonts w:ascii="Times New Roman" w:hAnsi="Times New Roman" w:cs="Times New Roman"/>
                <w:sz w:val="28"/>
                <w:szCs w:val="22"/>
              </w:rPr>
              <w:t>4599</w:t>
            </w:r>
          </w:p>
        </w:tc>
        <w:tc>
          <w:tcPr>
            <w:tcW w:w="4205" w:type="dxa"/>
            <w:hideMark/>
          </w:tcPr>
          <w:p w14:paraId="13BB3B49" w14:textId="77777777" w:rsidR="00DF5B04" w:rsidRPr="00A63E7C" w:rsidRDefault="00DF5B04" w:rsidP="00A63E7C">
            <w:pPr>
              <w:pStyle w:val="NoSpacing"/>
              <w:jc w:val="center"/>
              <w:rPr>
                <w:rFonts w:ascii="Times New Roman" w:hAnsi="Times New Roman" w:cs="Times New Roman"/>
                <w:sz w:val="28"/>
                <w:szCs w:val="22"/>
              </w:rPr>
            </w:pPr>
            <w:r w:rsidRPr="00A63E7C">
              <w:rPr>
                <w:rFonts w:ascii="Times New Roman" w:hAnsi="Times New Roman" w:cs="Times New Roman"/>
                <w:sz w:val="28"/>
                <w:szCs w:val="22"/>
              </w:rPr>
              <w:t>0.94</w:t>
            </w:r>
          </w:p>
        </w:tc>
      </w:tr>
    </w:tbl>
    <w:p w14:paraId="6C21EF90" w14:textId="332D9570" w:rsidR="00DF5B04" w:rsidRPr="00A63E7C" w:rsidRDefault="00DF5B04" w:rsidP="00DF5B04">
      <w:pPr>
        <w:rPr>
          <w:rFonts w:ascii="Times New Roman" w:hAnsi="Times New Roman" w:cs="Times New Roman"/>
          <w:sz w:val="20"/>
          <w:szCs w:val="18"/>
        </w:rPr>
      </w:pPr>
      <w:r w:rsidRPr="00A63E7C">
        <w:rPr>
          <w:rFonts w:ascii="Times New Roman" w:hAnsi="Times New Roman" w:cs="Times New Roman"/>
          <w:i/>
          <w:iCs/>
          <w:sz w:val="20"/>
          <w:szCs w:val="18"/>
        </w:rPr>
        <w:t>Source:</w:t>
      </w:r>
      <w:r w:rsidRPr="00A63E7C">
        <w:rPr>
          <w:rFonts w:ascii="Times New Roman" w:hAnsi="Times New Roman" w:cs="Times New Roman"/>
          <w:sz w:val="20"/>
          <w:szCs w:val="18"/>
        </w:rPr>
        <w:t xml:space="preserve"> Col. 2.-Pocket Book of Labour Statistics (1968), Labour Bureau, Department</w:t>
      </w:r>
      <w:r w:rsidR="00A63E7C" w:rsidRPr="00A63E7C">
        <w:rPr>
          <w:rFonts w:ascii="Times New Roman" w:hAnsi="Times New Roman" w:cs="Times New Roman"/>
          <w:sz w:val="20"/>
          <w:szCs w:val="18"/>
        </w:rPr>
        <w:t xml:space="preserve"> </w:t>
      </w:r>
      <w:r w:rsidRPr="00A63E7C">
        <w:rPr>
          <w:rFonts w:ascii="Times New Roman" w:hAnsi="Times New Roman" w:cs="Times New Roman"/>
          <w:sz w:val="20"/>
          <w:szCs w:val="18"/>
        </w:rPr>
        <w:t>of Labour and Employment.</w:t>
      </w:r>
    </w:p>
    <w:p w14:paraId="6CF05C59" w14:textId="77777777" w:rsidR="00DF5B04" w:rsidRPr="007245B0" w:rsidRDefault="00DF5B04" w:rsidP="00DF5B04">
      <w:pPr>
        <w:rPr>
          <w:rFonts w:ascii="Times New Roman" w:hAnsi="Times New Roman" w:cs="Times New Roman"/>
        </w:rPr>
      </w:pPr>
    </w:p>
    <w:p w14:paraId="2DF089E4" w14:textId="13B07624" w:rsidR="00DF5B04" w:rsidRPr="007245B0" w:rsidRDefault="00DF5B04">
      <w:pPr>
        <w:rPr>
          <w:rFonts w:ascii="Times New Roman" w:hAnsi="Times New Roman" w:cs="Times New Roman"/>
        </w:rPr>
      </w:pPr>
      <w:r w:rsidRPr="007245B0">
        <w:rPr>
          <w:rFonts w:ascii="Times New Roman" w:hAnsi="Times New Roman" w:cs="Times New Roman"/>
        </w:rPr>
        <w:br w:type="page"/>
      </w:r>
    </w:p>
    <w:p w14:paraId="73B10AB5" w14:textId="4100388D" w:rsidR="00424B7B" w:rsidRPr="007245B0" w:rsidRDefault="00574BCE" w:rsidP="007D2EE4">
      <w:pPr>
        <w:pStyle w:val="Heading4"/>
      </w:pPr>
      <w:bookmarkStart w:id="219" w:name="_Toc220949743"/>
      <w:bookmarkStart w:id="220" w:name="_Toc221114343"/>
      <w:bookmarkStart w:id="221" w:name="_Toc221115366"/>
      <w:r>
        <w:lastRenderedPageBreak/>
        <w:t>Table</w:t>
      </w:r>
      <w:r w:rsidR="00DF5B04" w:rsidRPr="007245B0">
        <w:t xml:space="preserve"> 62: Number of passengers carried by Indian Airlines embarking and disembarking in </w:t>
      </w:r>
      <w:r w:rsidR="00963460" w:rsidRPr="007245B0">
        <w:t>January,</w:t>
      </w:r>
      <w:r w:rsidR="00DF5B04" w:rsidRPr="007245B0">
        <w:t xml:space="preserve"> 1969</w:t>
      </w:r>
      <w:bookmarkEnd w:id="219"/>
      <w:bookmarkEnd w:id="220"/>
      <w:bookmarkEnd w:id="221"/>
    </w:p>
    <w:tbl>
      <w:tblPr>
        <w:tblStyle w:val="TableGrid"/>
        <w:tblpPr w:leftFromText="180" w:rightFromText="180" w:vertAnchor="page" w:horzAnchor="margin" w:tblpXSpec="center" w:tblpY="2355"/>
        <w:tblW w:w="9997" w:type="dxa"/>
        <w:tblLook w:val="04A0" w:firstRow="1" w:lastRow="0" w:firstColumn="1" w:lastColumn="0" w:noHBand="0" w:noVBand="1"/>
      </w:tblPr>
      <w:tblGrid>
        <w:gridCol w:w="3117"/>
        <w:gridCol w:w="3262"/>
        <w:gridCol w:w="3618"/>
      </w:tblGrid>
      <w:tr w:rsidR="00DF5B04" w:rsidRPr="007245B0" w14:paraId="40EF73DB" w14:textId="77777777" w:rsidTr="00B77C0B">
        <w:trPr>
          <w:trHeight w:val="284"/>
        </w:trPr>
        <w:tc>
          <w:tcPr>
            <w:tcW w:w="0" w:type="auto"/>
            <w:vMerge w:val="restart"/>
          </w:tcPr>
          <w:p w14:paraId="4B237EE8" w14:textId="76CAB763" w:rsidR="00DF5B04" w:rsidRPr="00A63E7C" w:rsidRDefault="00DF5B04" w:rsidP="00A63E7C">
            <w:pPr>
              <w:pStyle w:val="NoSpacing"/>
              <w:jc w:val="center"/>
              <w:rPr>
                <w:rFonts w:ascii="Times New Roman" w:hAnsi="Times New Roman" w:cs="Times New Roman"/>
                <w:b/>
                <w:bCs/>
              </w:rPr>
            </w:pPr>
            <w:r w:rsidRPr="00A63E7C">
              <w:rPr>
                <w:rFonts w:ascii="Times New Roman" w:hAnsi="Times New Roman" w:cs="Times New Roman"/>
                <w:b/>
                <w:bCs/>
              </w:rPr>
              <w:t>State / City Territory</w:t>
            </w:r>
          </w:p>
        </w:tc>
        <w:tc>
          <w:tcPr>
            <w:tcW w:w="0" w:type="auto"/>
            <w:gridSpan w:val="2"/>
          </w:tcPr>
          <w:p w14:paraId="2BC85EF4" w14:textId="77777777" w:rsidR="00DF5B04" w:rsidRPr="00A63E7C" w:rsidRDefault="00DF5B04" w:rsidP="00A63E7C">
            <w:pPr>
              <w:pStyle w:val="NoSpacing"/>
              <w:jc w:val="center"/>
              <w:rPr>
                <w:rFonts w:ascii="Times New Roman" w:hAnsi="Times New Roman" w:cs="Times New Roman"/>
                <w:b/>
                <w:bCs/>
              </w:rPr>
            </w:pPr>
            <w:r w:rsidRPr="00A63E7C">
              <w:rPr>
                <w:rFonts w:ascii="Times New Roman" w:hAnsi="Times New Roman" w:cs="Times New Roman"/>
                <w:b/>
                <w:bCs/>
              </w:rPr>
              <w:t>Number of passengers</w:t>
            </w:r>
          </w:p>
        </w:tc>
      </w:tr>
      <w:tr w:rsidR="00DF5B04" w:rsidRPr="007245B0" w14:paraId="77E96128" w14:textId="77777777" w:rsidTr="00B77C0B">
        <w:trPr>
          <w:trHeight w:val="284"/>
        </w:trPr>
        <w:tc>
          <w:tcPr>
            <w:tcW w:w="0" w:type="auto"/>
            <w:vMerge/>
            <w:hideMark/>
          </w:tcPr>
          <w:p w14:paraId="3D3C81C2" w14:textId="77777777" w:rsidR="00DF5B04" w:rsidRPr="00A63E7C" w:rsidRDefault="00DF5B04" w:rsidP="00A63E7C">
            <w:pPr>
              <w:pStyle w:val="NoSpacing"/>
              <w:jc w:val="center"/>
              <w:rPr>
                <w:rFonts w:ascii="Times New Roman" w:hAnsi="Times New Roman" w:cs="Times New Roman"/>
                <w:b/>
                <w:bCs/>
              </w:rPr>
            </w:pPr>
          </w:p>
        </w:tc>
        <w:tc>
          <w:tcPr>
            <w:tcW w:w="0" w:type="auto"/>
            <w:hideMark/>
          </w:tcPr>
          <w:p w14:paraId="554ACA37" w14:textId="77777777" w:rsidR="00DF5B04" w:rsidRPr="00A63E7C" w:rsidRDefault="00DF5B04" w:rsidP="00A63E7C">
            <w:pPr>
              <w:pStyle w:val="NoSpacing"/>
              <w:jc w:val="center"/>
              <w:rPr>
                <w:rFonts w:ascii="Times New Roman" w:hAnsi="Times New Roman" w:cs="Times New Roman"/>
                <w:b/>
                <w:bCs/>
              </w:rPr>
            </w:pPr>
            <w:r w:rsidRPr="00A63E7C">
              <w:rPr>
                <w:rFonts w:ascii="Times New Roman" w:hAnsi="Times New Roman" w:cs="Times New Roman"/>
                <w:b/>
                <w:bCs/>
              </w:rPr>
              <w:t>Embarking Passengers</w:t>
            </w:r>
          </w:p>
        </w:tc>
        <w:tc>
          <w:tcPr>
            <w:tcW w:w="0" w:type="auto"/>
            <w:hideMark/>
          </w:tcPr>
          <w:p w14:paraId="313C788C" w14:textId="77777777" w:rsidR="00DF5B04" w:rsidRPr="00A63E7C" w:rsidRDefault="00DF5B04" w:rsidP="00A63E7C">
            <w:pPr>
              <w:pStyle w:val="NoSpacing"/>
              <w:jc w:val="center"/>
              <w:rPr>
                <w:rFonts w:ascii="Times New Roman" w:hAnsi="Times New Roman" w:cs="Times New Roman"/>
                <w:b/>
                <w:bCs/>
              </w:rPr>
            </w:pPr>
            <w:r w:rsidRPr="00A63E7C">
              <w:rPr>
                <w:rFonts w:ascii="Times New Roman" w:hAnsi="Times New Roman" w:cs="Times New Roman"/>
                <w:b/>
                <w:bCs/>
              </w:rPr>
              <w:t>Disembarking Passengers</w:t>
            </w:r>
          </w:p>
        </w:tc>
      </w:tr>
      <w:tr w:rsidR="00DF5B04" w:rsidRPr="007245B0" w14:paraId="2BC08303" w14:textId="77777777" w:rsidTr="001E634B">
        <w:trPr>
          <w:trHeight w:val="284"/>
        </w:trPr>
        <w:tc>
          <w:tcPr>
            <w:tcW w:w="0" w:type="auto"/>
            <w:hideMark/>
          </w:tcPr>
          <w:p w14:paraId="4F41349D" w14:textId="77777777" w:rsidR="00DF5B04" w:rsidRPr="00CE207C" w:rsidRDefault="00DF5B04" w:rsidP="00B77C0B">
            <w:pPr>
              <w:pStyle w:val="NoSpacing"/>
              <w:rPr>
                <w:rFonts w:ascii="Times New Roman" w:hAnsi="Times New Roman" w:cs="Times New Roman"/>
                <w:b/>
                <w:bCs/>
              </w:rPr>
            </w:pPr>
            <w:r w:rsidRPr="00CE207C">
              <w:rPr>
                <w:rFonts w:ascii="Times New Roman" w:hAnsi="Times New Roman" w:cs="Times New Roman"/>
                <w:b/>
                <w:bCs/>
              </w:rPr>
              <w:t>1. Andhra Pradesh</w:t>
            </w:r>
          </w:p>
        </w:tc>
        <w:tc>
          <w:tcPr>
            <w:tcW w:w="0" w:type="auto"/>
          </w:tcPr>
          <w:p w14:paraId="138C5942" w14:textId="11CB75D3" w:rsidR="00DF5B04" w:rsidRPr="007245B0" w:rsidRDefault="00DF5B04" w:rsidP="00B77C0B">
            <w:pPr>
              <w:pStyle w:val="NoSpacing"/>
              <w:rPr>
                <w:rFonts w:ascii="Times New Roman" w:hAnsi="Times New Roman" w:cs="Times New Roman"/>
              </w:rPr>
            </w:pPr>
          </w:p>
        </w:tc>
        <w:tc>
          <w:tcPr>
            <w:tcW w:w="0" w:type="auto"/>
          </w:tcPr>
          <w:p w14:paraId="0A48F3E0" w14:textId="4FA5416B" w:rsidR="00DF5B04" w:rsidRPr="007245B0" w:rsidRDefault="00DF5B04" w:rsidP="00B77C0B">
            <w:pPr>
              <w:pStyle w:val="NoSpacing"/>
              <w:rPr>
                <w:rFonts w:ascii="Times New Roman" w:hAnsi="Times New Roman" w:cs="Times New Roman"/>
              </w:rPr>
            </w:pPr>
          </w:p>
        </w:tc>
      </w:tr>
      <w:tr w:rsidR="00DF5B04" w:rsidRPr="007245B0" w14:paraId="1AE7EC23" w14:textId="77777777" w:rsidTr="00CE207C">
        <w:trPr>
          <w:trHeight w:val="297"/>
        </w:trPr>
        <w:tc>
          <w:tcPr>
            <w:tcW w:w="0" w:type="auto"/>
            <w:hideMark/>
          </w:tcPr>
          <w:p w14:paraId="136ECB21" w14:textId="77777777" w:rsidR="00DF5B04" w:rsidRPr="007245B0" w:rsidRDefault="00DF5B04" w:rsidP="00B77C0B">
            <w:pPr>
              <w:pStyle w:val="NoSpacing"/>
              <w:rPr>
                <w:rFonts w:ascii="Times New Roman" w:hAnsi="Times New Roman" w:cs="Times New Roman"/>
              </w:rPr>
            </w:pPr>
            <w:r w:rsidRPr="007245B0">
              <w:rPr>
                <w:rFonts w:ascii="Times New Roman" w:hAnsi="Times New Roman" w:cs="Times New Roman"/>
              </w:rPr>
              <w:t>Hyderabad</w:t>
            </w:r>
          </w:p>
        </w:tc>
        <w:tc>
          <w:tcPr>
            <w:tcW w:w="0" w:type="auto"/>
            <w:vAlign w:val="center"/>
            <w:hideMark/>
          </w:tcPr>
          <w:p w14:paraId="1C737DF1" w14:textId="77777777" w:rsidR="00DF5B04" w:rsidRPr="007245B0" w:rsidRDefault="00DF5B04" w:rsidP="00CE207C">
            <w:pPr>
              <w:pStyle w:val="NoSpacing"/>
              <w:jc w:val="center"/>
              <w:rPr>
                <w:rFonts w:ascii="Times New Roman" w:hAnsi="Times New Roman" w:cs="Times New Roman"/>
              </w:rPr>
            </w:pPr>
            <w:r w:rsidRPr="007245B0">
              <w:rPr>
                <w:rFonts w:ascii="Times New Roman" w:hAnsi="Times New Roman" w:cs="Times New Roman"/>
              </w:rPr>
              <w:t>6,346</w:t>
            </w:r>
          </w:p>
        </w:tc>
        <w:tc>
          <w:tcPr>
            <w:tcW w:w="0" w:type="auto"/>
            <w:vAlign w:val="center"/>
            <w:hideMark/>
          </w:tcPr>
          <w:p w14:paraId="15B34EEF" w14:textId="77777777" w:rsidR="00DF5B04" w:rsidRPr="007245B0" w:rsidRDefault="00DF5B04" w:rsidP="00CE207C">
            <w:pPr>
              <w:pStyle w:val="NoSpacing"/>
              <w:jc w:val="center"/>
              <w:rPr>
                <w:rFonts w:ascii="Times New Roman" w:hAnsi="Times New Roman" w:cs="Times New Roman"/>
              </w:rPr>
            </w:pPr>
            <w:r w:rsidRPr="007245B0">
              <w:rPr>
                <w:rFonts w:ascii="Times New Roman" w:hAnsi="Times New Roman" w:cs="Times New Roman"/>
              </w:rPr>
              <w:t>6,692</w:t>
            </w:r>
          </w:p>
        </w:tc>
      </w:tr>
      <w:tr w:rsidR="00DF5B04" w:rsidRPr="007245B0" w14:paraId="321ABC62" w14:textId="77777777" w:rsidTr="00CE207C">
        <w:trPr>
          <w:trHeight w:val="284"/>
        </w:trPr>
        <w:tc>
          <w:tcPr>
            <w:tcW w:w="0" w:type="auto"/>
            <w:hideMark/>
          </w:tcPr>
          <w:p w14:paraId="4E5AAEDD" w14:textId="77777777" w:rsidR="00DF5B04" w:rsidRPr="007245B0" w:rsidRDefault="00DF5B04" w:rsidP="00B77C0B">
            <w:pPr>
              <w:pStyle w:val="NoSpacing"/>
              <w:rPr>
                <w:rFonts w:ascii="Times New Roman" w:hAnsi="Times New Roman" w:cs="Times New Roman"/>
              </w:rPr>
            </w:pPr>
            <w:r w:rsidRPr="007245B0">
              <w:rPr>
                <w:rFonts w:ascii="Times New Roman" w:hAnsi="Times New Roman" w:cs="Times New Roman"/>
              </w:rPr>
              <w:t>Vijayawada</w:t>
            </w:r>
          </w:p>
        </w:tc>
        <w:tc>
          <w:tcPr>
            <w:tcW w:w="0" w:type="auto"/>
            <w:vAlign w:val="center"/>
            <w:hideMark/>
          </w:tcPr>
          <w:p w14:paraId="07F33E50" w14:textId="77777777" w:rsidR="00DF5B04" w:rsidRPr="007245B0" w:rsidRDefault="00DF5B04" w:rsidP="00CE207C">
            <w:pPr>
              <w:pStyle w:val="NoSpacing"/>
              <w:jc w:val="center"/>
              <w:rPr>
                <w:rFonts w:ascii="Times New Roman" w:hAnsi="Times New Roman" w:cs="Times New Roman"/>
              </w:rPr>
            </w:pPr>
            <w:r w:rsidRPr="007245B0">
              <w:rPr>
                <w:rFonts w:ascii="Times New Roman" w:hAnsi="Times New Roman" w:cs="Times New Roman"/>
              </w:rPr>
              <w:t>259</w:t>
            </w:r>
          </w:p>
        </w:tc>
        <w:tc>
          <w:tcPr>
            <w:tcW w:w="0" w:type="auto"/>
            <w:vAlign w:val="center"/>
            <w:hideMark/>
          </w:tcPr>
          <w:p w14:paraId="19AA375D" w14:textId="77777777" w:rsidR="00DF5B04" w:rsidRPr="007245B0" w:rsidRDefault="00DF5B04" w:rsidP="00CE207C">
            <w:pPr>
              <w:pStyle w:val="NoSpacing"/>
              <w:jc w:val="center"/>
              <w:rPr>
                <w:rFonts w:ascii="Times New Roman" w:hAnsi="Times New Roman" w:cs="Times New Roman"/>
              </w:rPr>
            </w:pPr>
            <w:r w:rsidRPr="007245B0">
              <w:rPr>
                <w:rFonts w:ascii="Times New Roman" w:hAnsi="Times New Roman" w:cs="Times New Roman"/>
              </w:rPr>
              <w:t>227</w:t>
            </w:r>
          </w:p>
        </w:tc>
      </w:tr>
      <w:tr w:rsidR="00DF5B04" w:rsidRPr="007245B0" w14:paraId="582EAABB" w14:textId="77777777" w:rsidTr="00CE207C">
        <w:trPr>
          <w:trHeight w:val="284"/>
        </w:trPr>
        <w:tc>
          <w:tcPr>
            <w:tcW w:w="0" w:type="auto"/>
            <w:hideMark/>
          </w:tcPr>
          <w:p w14:paraId="46B9CE06" w14:textId="77777777" w:rsidR="00DF5B04" w:rsidRPr="007245B0" w:rsidRDefault="00DF5B04" w:rsidP="00B77C0B">
            <w:pPr>
              <w:pStyle w:val="NoSpacing"/>
              <w:rPr>
                <w:rFonts w:ascii="Times New Roman" w:hAnsi="Times New Roman" w:cs="Times New Roman"/>
              </w:rPr>
            </w:pPr>
            <w:r w:rsidRPr="007245B0">
              <w:rPr>
                <w:rFonts w:ascii="Times New Roman" w:hAnsi="Times New Roman" w:cs="Times New Roman"/>
              </w:rPr>
              <w:t>Visakhapatnam</w:t>
            </w:r>
          </w:p>
        </w:tc>
        <w:tc>
          <w:tcPr>
            <w:tcW w:w="0" w:type="auto"/>
            <w:vAlign w:val="center"/>
            <w:hideMark/>
          </w:tcPr>
          <w:p w14:paraId="61218E86" w14:textId="77777777" w:rsidR="00DF5B04" w:rsidRPr="007245B0" w:rsidRDefault="00DF5B04" w:rsidP="00CE207C">
            <w:pPr>
              <w:pStyle w:val="NoSpacing"/>
              <w:jc w:val="center"/>
              <w:rPr>
                <w:rFonts w:ascii="Times New Roman" w:hAnsi="Times New Roman" w:cs="Times New Roman"/>
              </w:rPr>
            </w:pPr>
            <w:r w:rsidRPr="007245B0">
              <w:rPr>
                <w:rFonts w:ascii="Times New Roman" w:hAnsi="Times New Roman" w:cs="Times New Roman"/>
              </w:rPr>
              <w:t>1,009</w:t>
            </w:r>
          </w:p>
        </w:tc>
        <w:tc>
          <w:tcPr>
            <w:tcW w:w="0" w:type="auto"/>
            <w:vAlign w:val="center"/>
            <w:hideMark/>
          </w:tcPr>
          <w:p w14:paraId="5F659C6B" w14:textId="77777777" w:rsidR="00DF5B04" w:rsidRPr="007245B0" w:rsidRDefault="00DF5B04" w:rsidP="00CE207C">
            <w:pPr>
              <w:pStyle w:val="NoSpacing"/>
              <w:jc w:val="center"/>
              <w:rPr>
                <w:rFonts w:ascii="Times New Roman" w:hAnsi="Times New Roman" w:cs="Times New Roman"/>
              </w:rPr>
            </w:pPr>
            <w:r w:rsidRPr="007245B0">
              <w:rPr>
                <w:rFonts w:ascii="Times New Roman" w:hAnsi="Times New Roman" w:cs="Times New Roman"/>
              </w:rPr>
              <w:t>994</w:t>
            </w:r>
          </w:p>
        </w:tc>
      </w:tr>
      <w:tr w:rsidR="001E634B" w:rsidRPr="007245B0" w14:paraId="7A00D425" w14:textId="77777777" w:rsidTr="00CE207C">
        <w:trPr>
          <w:trHeight w:val="284"/>
        </w:trPr>
        <w:tc>
          <w:tcPr>
            <w:tcW w:w="0" w:type="auto"/>
            <w:vAlign w:val="center"/>
          </w:tcPr>
          <w:p w14:paraId="1228748B" w14:textId="3BCC8E5F" w:rsidR="001E634B" w:rsidRPr="007245B0" w:rsidRDefault="00CE207C" w:rsidP="00CE207C">
            <w:pPr>
              <w:pStyle w:val="NoSpacing"/>
              <w:jc w:val="right"/>
              <w:rPr>
                <w:rFonts w:ascii="Times New Roman" w:hAnsi="Times New Roman" w:cs="Times New Roman"/>
              </w:rPr>
            </w:pPr>
            <w:r>
              <w:rPr>
                <w:rFonts w:ascii="Times New Roman" w:hAnsi="Times New Roman" w:cs="Times New Roman"/>
              </w:rPr>
              <w:t>Total</w:t>
            </w:r>
          </w:p>
        </w:tc>
        <w:tc>
          <w:tcPr>
            <w:tcW w:w="0" w:type="auto"/>
            <w:vAlign w:val="center"/>
          </w:tcPr>
          <w:p w14:paraId="350BC646" w14:textId="752B5C15" w:rsidR="001E634B" w:rsidRPr="00CE207C" w:rsidRDefault="001E634B" w:rsidP="00CE207C">
            <w:pPr>
              <w:pStyle w:val="NoSpacing"/>
              <w:jc w:val="center"/>
              <w:rPr>
                <w:rFonts w:ascii="Times New Roman" w:hAnsi="Times New Roman" w:cs="Times New Roman"/>
              </w:rPr>
            </w:pPr>
            <w:r w:rsidRPr="00CE207C">
              <w:rPr>
                <w:rFonts w:ascii="Times New Roman" w:hAnsi="Times New Roman" w:cs="Times New Roman"/>
              </w:rPr>
              <w:t>7,614</w:t>
            </w:r>
          </w:p>
        </w:tc>
        <w:tc>
          <w:tcPr>
            <w:tcW w:w="0" w:type="auto"/>
            <w:vAlign w:val="center"/>
          </w:tcPr>
          <w:p w14:paraId="1FC23F3D" w14:textId="1B78889E" w:rsidR="001E634B" w:rsidRPr="00CE207C" w:rsidRDefault="001E634B" w:rsidP="00CE207C">
            <w:pPr>
              <w:pStyle w:val="NoSpacing"/>
              <w:jc w:val="center"/>
              <w:rPr>
                <w:rFonts w:ascii="Times New Roman" w:hAnsi="Times New Roman" w:cs="Times New Roman"/>
              </w:rPr>
            </w:pPr>
            <w:r w:rsidRPr="00CE207C">
              <w:rPr>
                <w:rFonts w:ascii="Times New Roman" w:hAnsi="Times New Roman" w:cs="Times New Roman"/>
              </w:rPr>
              <w:t>7,913</w:t>
            </w:r>
          </w:p>
        </w:tc>
      </w:tr>
      <w:tr w:rsidR="00DF5B04" w:rsidRPr="007245B0" w14:paraId="4A7CAF4A" w14:textId="77777777" w:rsidTr="00CE207C">
        <w:trPr>
          <w:trHeight w:val="284"/>
        </w:trPr>
        <w:tc>
          <w:tcPr>
            <w:tcW w:w="0" w:type="auto"/>
            <w:hideMark/>
          </w:tcPr>
          <w:p w14:paraId="1158BD6D" w14:textId="77777777" w:rsidR="00DF5B04" w:rsidRPr="00CE207C" w:rsidRDefault="00DF5B04" w:rsidP="00B77C0B">
            <w:pPr>
              <w:pStyle w:val="NoSpacing"/>
              <w:rPr>
                <w:rFonts w:ascii="Times New Roman" w:hAnsi="Times New Roman" w:cs="Times New Roman"/>
                <w:b/>
                <w:bCs/>
              </w:rPr>
            </w:pPr>
            <w:r w:rsidRPr="00CE207C">
              <w:rPr>
                <w:rFonts w:ascii="Times New Roman" w:hAnsi="Times New Roman" w:cs="Times New Roman"/>
                <w:b/>
                <w:bCs/>
              </w:rPr>
              <w:t>2. Assam</w:t>
            </w:r>
          </w:p>
        </w:tc>
        <w:tc>
          <w:tcPr>
            <w:tcW w:w="0" w:type="auto"/>
            <w:vAlign w:val="center"/>
          </w:tcPr>
          <w:p w14:paraId="1467AAE2" w14:textId="345FA388" w:rsidR="00DF5B04" w:rsidRPr="007245B0" w:rsidRDefault="00DF5B04" w:rsidP="00CE207C">
            <w:pPr>
              <w:pStyle w:val="NoSpacing"/>
              <w:jc w:val="center"/>
              <w:rPr>
                <w:rFonts w:ascii="Times New Roman" w:hAnsi="Times New Roman" w:cs="Times New Roman"/>
              </w:rPr>
            </w:pPr>
          </w:p>
        </w:tc>
        <w:tc>
          <w:tcPr>
            <w:tcW w:w="0" w:type="auto"/>
            <w:vAlign w:val="center"/>
          </w:tcPr>
          <w:p w14:paraId="681360FD" w14:textId="1E44117D" w:rsidR="00DF5B04" w:rsidRPr="007245B0" w:rsidRDefault="00DF5B04" w:rsidP="00CE207C">
            <w:pPr>
              <w:pStyle w:val="NoSpacing"/>
              <w:jc w:val="center"/>
              <w:rPr>
                <w:rFonts w:ascii="Times New Roman" w:hAnsi="Times New Roman" w:cs="Times New Roman"/>
              </w:rPr>
            </w:pPr>
          </w:p>
        </w:tc>
      </w:tr>
      <w:tr w:rsidR="00DF5B04" w:rsidRPr="007245B0" w14:paraId="6AB9CD45" w14:textId="77777777" w:rsidTr="00CE207C">
        <w:trPr>
          <w:trHeight w:val="284"/>
        </w:trPr>
        <w:tc>
          <w:tcPr>
            <w:tcW w:w="0" w:type="auto"/>
            <w:hideMark/>
          </w:tcPr>
          <w:p w14:paraId="2C5D7A82" w14:textId="77777777" w:rsidR="00DF5B04" w:rsidRPr="007245B0" w:rsidRDefault="00DF5B04" w:rsidP="00B77C0B">
            <w:pPr>
              <w:pStyle w:val="NoSpacing"/>
              <w:rPr>
                <w:rFonts w:ascii="Times New Roman" w:hAnsi="Times New Roman" w:cs="Times New Roman"/>
              </w:rPr>
            </w:pPr>
            <w:r w:rsidRPr="007245B0">
              <w:rPr>
                <w:rFonts w:ascii="Times New Roman" w:hAnsi="Times New Roman" w:cs="Times New Roman"/>
              </w:rPr>
              <w:t>Dibrugarh</w:t>
            </w:r>
          </w:p>
        </w:tc>
        <w:tc>
          <w:tcPr>
            <w:tcW w:w="0" w:type="auto"/>
            <w:vAlign w:val="center"/>
            <w:hideMark/>
          </w:tcPr>
          <w:p w14:paraId="193191CA" w14:textId="77777777" w:rsidR="00DF5B04" w:rsidRPr="007245B0" w:rsidRDefault="00DF5B04" w:rsidP="00CE207C">
            <w:pPr>
              <w:pStyle w:val="NoSpacing"/>
              <w:jc w:val="center"/>
              <w:rPr>
                <w:rFonts w:ascii="Times New Roman" w:hAnsi="Times New Roman" w:cs="Times New Roman"/>
              </w:rPr>
            </w:pPr>
            <w:r w:rsidRPr="007245B0">
              <w:rPr>
                <w:rFonts w:ascii="Times New Roman" w:hAnsi="Times New Roman" w:cs="Times New Roman"/>
              </w:rPr>
              <w:t>1,639</w:t>
            </w:r>
          </w:p>
        </w:tc>
        <w:tc>
          <w:tcPr>
            <w:tcW w:w="0" w:type="auto"/>
            <w:vAlign w:val="center"/>
            <w:hideMark/>
          </w:tcPr>
          <w:p w14:paraId="1DB2AD94" w14:textId="77777777" w:rsidR="00DF5B04" w:rsidRPr="007245B0" w:rsidRDefault="00DF5B04" w:rsidP="00CE207C">
            <w:pPr>
              <w:pStyle w:val="NoSpacing"/>
              <w:jc w:val="center"/>
              <w:rPr>
                <w:rFonts w:ascii="Times New Roman" w:hAnsi="Times New Roman" w:cs="Times New Roman"/>
              </w:rPr>
            </w:pPr>
            <w:r w:rsidRPr="007245B0">
              <w:rPr>
                <w:rFonts w:ascii="Times New Roman" w:hAnsi="Times New Roman" w:cs="Times New Roman"/>
              </w:rPr>
              <w:t>1,634</w:t>
            </w:r>
          </w:p>
        </w:tc>
      </w:tr>
      <w:tr w:rsidR="00DF5B04" w:rsidRPr="007245B0" w14:paraId="463CDCE9" w14:textId="77777777" w:rsidTr="00CE207C">
        <w:trPr>
          <w:trHeight w:val="297"/>
        </w:trPr>
        <w:tc>
          <w:tcPr>
            <w:tcW w:w="0" w:type="auto"/>
            <w:hideMark/>
          </w:tcPr>
          <w:p w14:paraId="7504CD58" w14:textId="77777777" w:rsidR="00DF5B04" w:rsidRPr="007245B0" w:rsidRDefault="00DF5B04" w:rsidP="00B77C0B">
            <w:pPr>
              <w:pStyle w:val="NoSpacing"/>
              <w:rPr>
                <w:rFonts w:ascii="Times New Roman" w:hAnsi="Times New Roman" w:cs="Times New Roman"/>
              </w:rPr>
            </w:pPr>
            <w:r w:rsidRPr="007245B0">
              <w:rPr>
                <w:rFonts w:ascii="Times New Roman" w:hAnsi="Times New Roman" w:cs="Times New Roman"/>
              </w:rPr>
              <w:t>Gauhati</w:t>
            </w:r>
          </w:p>
        </w:tc>
        <w:tc>
          <w:tcPr>
            <w:tcW w:w="0" w:type="auto"/>
            <w:vAlign w:val="center"/>
            <w:hideMark/>
          </w:tcPr>
          <w:p w14:paraId="54469DC8" w14:textId="77777777" w:rsidR="00DF5B04" w:rsidRPr="007245B0" w:rsidRDefault="00DF5B04" w:rsidP="00CE207C">
            <w:pPr>
              <w:pStyle w:val="NoSpacing"/>
              <w:jc w:val="center"/>
              <w:rPr>
                <w:rFonts w:ascii="Times New Roman" w:hAnsi="Times New Roman" w:cs="Times New Roman"/>
              </w:rPr>
            </w:pPr>
            <w:r w:rsidRPr="007245B0">
              <w:rPr>
                <w:rFonts w:ascii="Times New Roman" w:hAnsi="Times New Roman" w:cs="Times New Roman"/>
              </w:rPr>
              <w:t>4,989</w:t>
            </w:r>
          </w:p>
        </w:tc>
        <w:tc>
          <w:tcPr>
            <w:tcW w:w="0" w:type="auto"/>
            <w:vAlign w:val="center"/>
            <w:hideMark/>
          </w:tcPr>
          <w:p w14:paraId="341FE264" w14:textId="77777777" w:rsidR="00DF5B04" w:rsidRPr="007245B0" w:rsidRDefault="00DF5B04" w:rsidP="00CE207C">
            <w:pPr>
              <w:pStyle w:val="NoSpacing"/>
              <w:jc w:val="center"/>
              <w:rPr>
                <w:rFonts w:ascii="Times New Roman" w:hAnsi="Times New Roman" w:cs="Times New Roman"/>
              </w:rPr>
            </w:pPr>
            <w:r w:rsidRPr="007245B0">
              <w:rPr>
                <w:rFonts w:ascii="Times New Roman" w:hAnsi="Times New Roman" w:cs="Times New Roman"/>
              </w:rPr>
              <w:t>4,577</w:t>
            </w:r>
          </w:p>
        </w:tc>
      </w:tr>
      <w:tr w:rsidR="00DF5B04" w:rsidRPr="007245B0" w14:paraId="781D78F8" w14:textId="77777777" w:rsidTr="00CE207C">
        <w:trPr>
          <w:trHeight w:val="284"/>
        </w:trPr>
        <w:tc>
          <w:tcPr>
            <w:tcW w:w="0" w:type="auto"/>
            <w:hideMark/>
          </w:tcPr>
          <w:p w14:paraId="27F3B488" w14:textId="77777777" w:rsidR="00DF5B04" w:rsidRPr="007245B0" w:rsidRDefault="00DF5B04" w:rsidP="00B77C0B">
            <w:pPr>
              <w:pStyle w:val="NoSpacing"/>
              <w:rPr>
                <w:rFonts w:ascii="Times New Roman" w:hAnsi="Times New Roman" w:cs="Times New Roman"/>
              </w:rPr>
            </w:pPr>
            <w:r w:rsidRPr="007245B0">
              <w:rPr>
                <w:rFonts w:ascii="Times New Roman" w:hAnsi="Times New Roman" w:cs="Times New Roman"/>
              </w:rPr>
              <w:t>Jorhat</w:t>
            </w:r>
          </w:p>
        </w:tc>
        <w:tc>
          <w:tcPr>
            <w:tcW w:w="0" w:type="auto"/>
            <w:vAlign w:val="center"/>
            <w:hideMark/>
          </w:tcPr>
          <w:p w14:paraId="4B618FBC" w14:textId="77777777" w:rsidR="00DF5B04" w:rsidRPr="007245B0" w:rsidRDefault="00DF5B04" w:rsidP="00CE207C">
            <w:pPr>
              <w:pStyle w:val="NoSpacing"/>
              <w:jc w:val="center"/>
              <w:rPr>
                <w:rFonts w:ascii="Times New Roman" w:hAnsi="Times New Roman" w:cs="Times New Roman"/>
              </w:rPr>
            </w:pPr>
            <w:r w:rsidRPr="007245B0">
              <w:rPr>
                <w:rFonts w:ascii="Times New Roman" w:hAnsi="Times New Roman" w:cs="Times New Roman"/>
              </w:rPr>
              <w:t>1,373</w:t>
            </w:r>
          </w:p>
        </w:tc>
        <w:tc>
          <w:tcPr>
            <w:tcW w:w="0" w:type="auto"/>
            <w:vAlign w:val="center"/>
            <w:hideMark/>
          </w:tcPr>
          <w:p w14:paraId="78D40053" w14:textId="77777777" w:rsidR="00DF5B04" w:rsidRPr="007245B0" w:rsidRDefault="00DF5B04" w:rsidP="00CE207C">
            <w:pPr>
              <w:pStyle w:val="NoSpacing"/>
              <w:jc w:val="center"/>
              <w:rPr>
                <w:rFonts w:ascii="Times New Roman" w:hAnsi="Times New Roman" w:cs="Times New Roman"/>
              </w:rPr>
            </w:pPr>
            <w:r w:rsidRPr="007245B0">
              <w:rPr>
                <w:rFonts w:ascii="Times New Roman" w:hAnsi="Times New Roman" w:cs="Times New Roman"/>
              </w:rPr>
              <w:t>1,362</w:t>
            </w:r>
          </w:p>
        </w:tc>
      </w:tr>
      <w:tr w:rsidR="00DF5B04" w:rsidRPr="007245B0" w14:paraId="38916FB9" w14:textId="77777777" w:rsidTr="00CE207C">
        <w:trPr>
          <w:trHeight w:val="284"/>
        </w:trPr>
        <w:tc>
          <w:tcPr>
            <w:tcW w:w="0" w:type="auto"/>
            <w:hideMark/>
          </w:tcPr>
          <w:p w14:paraId="1DB6B603" w14:textId="77777777" w:rsidR="00DF5B04" w:rsidRPr="007245B0" w:rsidRDefault="00DF5B04" w:rsidP="00B77C0B">
            <w:pPr>
              <w:pStyle w:val="NoSpacing"/>
              <w:rPr>
                <w:rFonts w:ascii="Times New Roman" w:hAnsi="Times New Roman" w:cs="Times New Roman"/>
              </w:rPr>
            </w:pPr>
            <w:r w:rsidRPr="007245B0">
              <w:rPr>
                <w:rFonts w:ascii="Times New Roman" w:hAnsi="Times New Roman" w:cs="Times New Roman"/>
              </w:rPr>
              <w:t>Kamalpur</w:t>
            </w:r>
          </w:p>
        </w:tc>
        <w:tc>
          <w:tcPr>
            <w:tcW w:w="0" w:type="auto"/>
            <w:vAlign w:val="center"/>
            <w:hideMark/>
          </w:tcPr>
          <w:p w14:paraId="05714492" w14:textId="77777777" w:rsidR="00DF5B04" w:rsidRPr="007245B0" w:rsidRDefault="00DF5B04" w:rsidP="00CE207C">
            <w:pPr>
              <w:pStyle w:val="NoSpacing"/>
              <w:jc w:val="center"/>
              <w:rPr>
                <w:rFonts w:ascii="Times New Roman" w:hAnsi="Times New Roman" w:cs="Times New Roman"/>
              </w:rPr>
            </w:pPr>
            <w:r w:rsidRPr="007245B0">
              <w:rPr>
                <w:rFonts w:ascii="Times New Roman" w:hAnsi="Times New Roman" w:cs="Times New Roman"/>
              </w:rPr>
              <w:t>373</w:t>
            </w:r>
          </w:p>
        </w:tc>
        <w:tc>
          <w:tcPr>
            <w:tcW w:w="0" w:type="auto"/>
            <w:vAlign w:val="center"/>
            <w:hideMark/>
          </w:tcPr>
          <w:p w14:paraId="65604058" w14:textId="77777777" w:rsidR="00DF5B04" w:rsidRPr="007245B0" w:rsidRDefault="00DF5B04" w:rsidP="00CE207C">
            <w:pPr>
              <w:pStyle w:val="NoSpacing"/>
              <w:jc w:val="center"/>
              <w:rPr>
                <w:rFonts w:ascii="Times New Roman" w:hAnsi="Times New Roman" w:cs="Times New Roman"/>
              </w:rPr>
            </w:pPr>
            <w:r w:rsidRPr="007245B0">
              <w:rPr>
                <w:rFonts w:ascii="Times New Roman" w:hAnsi="Times New Roman" w:cs="Times New Roman"/>
              </w:rPr>
              <w:t>334</w:t>
            </w:r>
          </w:p>
        </w:tc>
      </w:tr>
      <w:tr w:rsidR="00DF5B04" w:rsidRPr="007245B0" w14:paraId="66ED8A67" w14:textId="77777777" w:rsidTr="00CE207C">
        <w:trPr>
          <w:trHeight w:val="284"/>
        </w:trPr>
        <w:tc>
          <w:tcPr>
            <w:tcW w:w="0" w:type="auto"/>
            <w:hideMark/>
          </w:tcPr>
          <w:p w14:paraId="3E77DA6F" w14:textId="77777777" w:rsidR="00DF5B04" w:rsidRPr="007245B0" w:rsidRDefault="00DF5B04" w:rsidP="00B77C0B">
            <w:pPr>
              <w:pStyle w:val="NoSpacing"/>
              <w:rPr>
                <w:rFonts w:ascii="Times New Roman" w:hAnsi="Times New Roman" w:cs="Times New Roman"/>
              </w:rPr>
            </w:pPr>
            <w:r w:rsidRPr="007245B0">
              <w:rPr>
                <w:rFonts w:ascii="Times New Roman" w:hAnsi="Times New Roman" w:cs="Times New Roman"/>
              </w:rPr>
              <w:t>Lilabari</w:t>
            </w:r>
          </w:p>
        </w:tc>
        <w:tc>
          <w:tcPr>
            <w:tcW w:w="0" w:type="auto"/>
            <w:vAlign w:val="center"/>
            <w:hideMark/>
          </w:tcPr>
          <w:p w14:paraId="1703A014" w14:textId="77777777" w:rsidR="00DF5B04" w:rsidRPr="007245B0" w:rsidRDefault="00DF5B04" w:rsidP="00CE207C">
            <w:pPr>
              <w:pStyle w:val="NoSpacing"/>
              <w:jc w:val="center"/>
              <w:rPr>
                <w:rFonts w:ascii="Times New Roman" w:hAnsi="Times New Roman" w:cs="Times New Roman"/>
              </w:rPr>
            </w:pPr>
            <w:r w:rsidRPr="007245B0">
              <w:rPr>
                <w:rFonts w:ascii="Times New Roman" w:hAnsi="Times New Roman" w:cs="Times New Roman"/>
              </w:rPr>
              <w:t>1,095</w:t>
            </w:r>
          </w:p>
        </w:tc>
        <w:tc>
          <w:tcPr>
            <w:tcW w:w="0" w:type="auto"/>
            <w:vAlign w:val="center"/>
            <w:hideMark/>
          </w:tcPr>
          <w:p w14:paraId="0120EB3F" w14:textId="77777777" w:rsidR="00DF5B04" w:rsidRPr="007245B0" w:rsidRDefault="00DF5B04" w:rsidP="00CE207C">
            <w:pPr>
              <w:pStyle w:val="NoSpacing"/>
              <w:jc w:val="center"/>
              <w:rPr>
                <w:rFonts w:ascii="Times New Roman" w:hAnsi="Times New Roman" w:cs="Times New Roman"/>
              </w:rPr>
            </w:pPr>
            <w:r w:rsidRPr="007245B0">
              <w:rPr>
                <w:rFonts w:ascii="Times New Roman" w:hAnsi="Times New Roman" w:cs="Times New Roman"/>
              </w:rPr>
              <w:t>817</w:t>
            </w:r>
          </w:p>
        </w:tc>
      </w:tr>
      <w:tr w:rsidR="00DF5B04" w:rsidRPr="007245B0" w14:paraId="615B5694" w14:textId="77777777" w:rsidTr="00CE207C">
        <w:trPr>
          <w:trHeight w:val="284"/>
        </w:trPr>
        <w:tc>
          <w:tcPr>
            <w:tcW w:w="0" w:type="auto"/>
            <w:hideMark/>
          </w:tcPr>
          <w:p w14:paraId="41E38C4D" w14:textId="77777777" w:rsidR="00DF5B04" w:rsidRPr="007245B0" w:rsidRDefault="00DF5B04" w:rsidP="00B77C0B">
            <w:pPr>
              <w:pStyle w:val="NoSpacing"/>
              <w:rPr>
                <w:rFonts w:ascii="Times New Roman" w:hAnsi="Times New Roman" w:cs="Times New Roman"/>
              </w:rPr>
            </w:pPr>
            <w:r w:rsidRPr="007245B0">
              <w:rPr>
                <w:rFonts w:ascii="Times New Roman" w:hAnsi="Times New Roman" w:cs="Times New Roman"/>
              </w:rPr>
              <w:t>Silchar</w:t>
            </w:r>
          </w:p>
        </w:tc>
        <w:tc>
          <w:tcPr>
            <w:tcW w:w="0" w:type="auto"/>
            <w:vAlign w:val="center"/>
            <w:hideMark/>
          </w:tcPr>
          <w:p w14:paraId="518A4714" w14:textId="77777777" w:rsidR="00DF5B04" w:rsidRPr="007245B0" w:rsidRDefault="00DF5B04" w:rsidP="00CE207C">
            <w:pPr>
              <w:pStyle w:val="NoSpacing"/>
              <w:jc w:val="center"/>
              <w:rPr>
                <w:rFonts w:ascii="Times New Roman" w:hAnsi="Times New Roman" w:cs="Times New Roman"/>
              </w:rPr>
            </w:pPr>
            <w:r w:rsidRPr="007245B0">
              <w:rPr>
                <w:rFonts w:ascii="Times New Roman" w:hAnsi="Times New Roman" w:cs="Times New Roman"/>
              </w:rPr>
              <w:t>2,578</w:t>
            </w:r>
          </w:p>
        </w:tc>
        <w:tc>
          <w:tcPr>
            <w:tcW w:w="0" w:type="auto"/>
            <w:vAlign w:val="center"/>
            <w:hideMark/>
          </w:tcPr>
          <w:p w14:paraId="40D5B3B1" w14:textId="77777777" w:rsidR="00DF5B04" w:rsidRPr="007245B0" w:rsidRDefault="00DF5B04" w:rsidP="00CE207C">
            <w:pPr>
              <w:pStyle w:val="NoSpacing"/>
              <w:jc w:val="center"/>
              <w:rPr>
                <w:rFonts w:ascii="Times New Roman" w:hAnsi="Times New Roman" w:cs="Times New Roman"/>
              </w:rPr>
            </w:pPr>
            <w:r w:rsidRPr="007245B0">
              <w:rPr>
                <w:rFonts w:ascii="Times New Roman" w:hAnsi="Times New Roman" w:cs="Times New Roman"/>
              </w:rPr>
              <w:t>2,486</w:t>
            </w:r>
          </w:p>
        </w:tc>
      </w:tr>
      <w:tr w:rsidR="00DF5B04" w:rsidRPr="007245B0" w14:paraId="0019128B" w14:textId="77777777" w:rsidTr="00CE207C">
        <w:trPr>
          <w:trHeight w:val="297"/>
        </w:trPr>
        <w:tc>
          <w:tcPr>
            <w:tcW w:w="0" w:type="auto"/>
            <w:hideMark/>
          </w:tcPr>
          <w:p w14:paraId="08155E56" w14:textId="77777777" w:rsidR="00DF5B04" w:rsidRPr="007245B0" w:rsidRDefault="00DF5B04" w:rsidP="00B77C0B">
            <w:pPr>
              <w:pStyle w:val="NoSpacing"/>
              <w:rPr>
                <w:rFonts w:ascii="Times New Roman" w:hAnsi="Times New Roman" w:cs="Times New Roman"/>
              </w:rPr>
            </w:pPr>
            <w:r w:rsidRPr="007245B0">
              <w:rPr>
                <w:rFonts w:ascii="Times New Roman" w:hAnsi="Times New Roman" w:cs="Times New Roman"/>
              </w:rPr>
              <w:t>Tezpur</w:t>
            </w:r>
          </w:p>
        </w:tc>
        <w:tc>
          <w:tcPr>
            <w:tcW w:w="0" w:type="auto"/>
            <w:vAlign w:val="center"/>
            <w:hideMark/>
          </w:tcPr>
          <w:p w14:paraId="36D0B24E" w14:textId="77777777" w:rsidR="00DF5B04" w:rsidRPr="007245B0" w:rsidRDefault="00DF5B04" w:rsidP="00CE207C">
            <w:pPr>
              <w:pStyle w:val="NoSpacing"/>
              <w:jc w:val="center"/>
              <w:rPr>
                <w:rFonts w:ascii="Times New Roman" w:hAnsi="Times New Roman" w:cs="Times New Roman"/>
              </w:rPr>
            </w:pPr>
            <w:r w:rsidRPr="007245B0">
              <w:rPr>
                <w:rFonts w:ascii="Times New Roman" w:hAnsi="Times New Roman" w:cs="Times New Roman"/>
              </w:rPr>
              <w:t>708</w:t>
            </w:r>
          </w:p>
        </w:tc>
        <w:tc>
          <w:tcPr>
            <w:tcW w:w="0" w:type="auto"/>
            <w:vAlign w:val="center"/>
            <w:hideMark/>
          </w:tcPr>
          <w:p w14:paraId="7F55227D" w14:textId="77777777" w:rsidR="00DF5B04" w:rsidRPr="007245B0" w:rsidRDefault="00DF5B04" w:rsidP="00CE207C">
            <w:pPr>
              <w:pStyle w:val="NoSpacing"/>
              <w:jc w:val="center"/>
              <w:rPr>
                <w:rFonts w:ascii="Times New Roman" w:hAnsi="Times New Roman" w:cs="Times New Roman"/>
              </w:rPr>
            </w:pPr>
            <w:r w:rsidRPr="007245B0">
              <w:rPr>
                <w:rFonts w:ascii="Times New Roman" w:hAnsi="Times New Roman" w:cs="Times New Roman"/>
              </w:rPr>
              <w:t>537</w:t>
            </w:r>
          </w:p>
        </w:tc>
      </w:tr>
      <w:tr w:rsidR="00CE207C" w:rsidRPr="007245B0" w14:paraId="050AAE75" w14:textId="77777777" w:rsidTr="00CE207C">
        <w:trPr>
          <w:trHeight w:val="297"/>
        </w:trPr>
        <w:tc>
          <w:tcPr>
            <w:tcW w:w="0" w:type="auto"/>
            <w:vAlign w:val="center"/>
          </w:tcPr>
          <w:p w14:paraId="6A3C56C0" w14:textId="6F4DA692" w:rsidR="00CE207C" w:rsidRPr="00CE207C" w:rsidRDefault="00CE207C" w:rsidP="00CE207C">
            <w:pPr>
              <w:pStyle w:val="NoSpacing"/>
              <w:jc w:val="right"/>
              <w:rPr>
                <w:rFonts w:ascii="Times New Roman" w:hAnsi="Times New Roman" w:cs="Times New Roman"/>
                <w:b/>
                <w:bCs/>
              </w:rPr>
            </w:pPr>
            <w:r>
              <w:rPr>
                <w:rFonts w:ascii="Times New Roman" w:hAnsi="Times New Roman" w:cs="Times New Roman"/>
              </w:rPr>
              <w:t>Total</w:t>
            </w:r>
          </w:p>
        </w:tc>
        <w:tc>
          <w:tcPr>
            <w:tcW w:w="0" w:type="auto"/>
            <w:vAlign w:val="center"/>
          </w:tcPr>
          <w:p w14:paraId="27D8E7DB" w14:textId="7FB9718B" w:rsidR="00CE207C" w:rsidRPr="007245B0" w:rsidRDefault="00CE207C" w:rsidP="00CE207C">
            <w:pPr>
              <w:pStyle w:val="NoSpacing"/>
              <w:jc w:val="center"/>
              <w:rPr>
                <w:rFonts w:ascii="Times New Roman" w:hAnsi="Times New Roman" w:cs="Times New Roman"/>
              </w:rPr>
            </w:pPr>
            <w:r w:rsidRPr="007245B0">
              <w:rPr>
                <w:rFonts w:ascii="Times New Roman" w:hAnsi="Times New Roman" w:cs="Times New Roman"/>
              </w:rPr>
              <w:t>12,755</w:t>
            </w:r>
          </w:p>
        </w:tc>
        <w:tc>
          <w:tcPr>
            <w:tcW w:w="0" w:type="auto"/>
            <w:vAlign w:val="center"/>
          </w:tcPr>
          <w:p w14:paraId="474389CF" w14:textId="0845D890" w:rsidR="00CE207C" w:rsidRPr="007245B0" w:rsidRDefault="00CE207C" w:rsidP="00CE207C">
            <w:pPr>
              <w:pStyle w:val="NoSpacing"/>
              <w:jc w:val="center"/>
              <w:rPr>
                <w:rFonts w:ascii="Times New Roman" w:hAnsi="Times New Roman" w:cs="Times New Roman"/>
              </w:rPr>
            </w:pPr>
            <w:r w:rsidRPr="007245B0">
              <w:rPr>
                <w:rFonts w:ascii="Times New Roman" w:hAnsi="Times New Roman" w:cs="Times New Roman"/>
              </w:rPr>
              <w:t>11,747</w:t>
            </w:r>
          </w:p>
        </w:tc>
      </w:tr>
      <w:tr w:rsidR="00CE207C" w:rsidRPr="007245B0" w14:paraId="7F8269AF" w14:textId="77777777" w:rsidTr="00CE207C">
        <w:trPr>
          <w:trHeight w:val="284"/>
        </w:trPr>
        <w:tc>
          <w:tcPr>
            <w:tcW w:w="0" w:type="auto"/>
            <w:hideMark/>
          </w:tcPr>
          <w:p w14:paraId="5CE91F28" w14:textId="77777777" w:rsidR="00CE207C" w:rsidRPr="00CE207C" w:rsidRDefault="00CE207C" w:rsidP="00CE207C">
            <w:pPr>
              <w:pStyle w:val="NoSpacing"/>
              <w:rPr>
                <w:rFonts w:ascii="Times New Roman" w:hAnsi="Times New Roman" w:cs="Times New Roman"/>
                <w:b/>
                <w:bCs/>
              </w:rPr>
            </w:pPr>
            <w:r w:rsidRPr="00CE207C">
              <w:rPr>
                <w:rFonts w:ascii="Times New Roman" w:hAnsi="Times New Roman" w:cs="Times New Roman"/>
                <w:b/>
                <w:bCs/>
              </w:rPr>
              <w:t>3. Bihar</w:t>
            </w:r>
          </w:p>
        </w:tc>
        <w:tc>
          <w:tcPr>
            <w:tcW w:w="0" w:type="auto"/>
            <w:vAlign w:val="center"/>
          </w:tcPr>
          <w:p w14:paraId="765D385E" w14:textId="488932CA" w:rsidR="00CE207C" w:rsidRPr="007245B0" w:rsidRDefault="00CE207C" w:rsidP="00CE207C">
            <w:pPr>
              <w:pStyle w:val="NoSpacing"/>
              <w:jc w:val="center"/>
              <w:rPr>
                <w:rFonts w:ascii="Times New Roman" w:hAnsi="Times New Roman" w:cs="Times New Roman"/>
              </w:rPr>
            </w:pPr>
          </w:p>
        </w:tc>
        <w:tc>
          <w:tcPr>
            <w:tcW w:w="0" w:type="auto"/>
            <w:vAlign w:val="center"/>
          </w:tcPr>
          <w:p w14:paraId="714858C5" w14:textId="385C5081" w:rsidR="00CE207C" w:rsidRPr="007245B0" w:rsidRDefault="00CE207C" w:rsidP="00CE207C">
            <w:pPr>
              <w:pStyle w:val="NoSpacing"/>
              <w:jc w:val="center"/>
              <w:rPr>
                <w:rFonts w:ascii="Times New Roman" w:hAnsi="Times New Roman" w:cs="Times New Roman"/>
              </w:rPr>
            </w:pPr>
          </w:p>
        </w:tc>
      </w:tr>
      <w:tr w:rsidR="00CE207C" w:rsidRPr="007245B0" w14:paraId="4EC882BB" w14:textId="77777777" w:rsidTr="00CE207C">
        <w:trPr>
          <w:trHeight w:val="284"/>
        </w:trPr>
        <w:tc>
          <w:tcPr>
            <w:tcW w:w="0" w:type="auto"/>
            <w:hideMark/>
          </w:tcPr>
          <w:p w14:paraId="491D62F9" w14:textId="77777777" w:rsidR="00CE207C" w:rsidRPr="007245B0" w:rsidRDefault="00CE207C" w:rsidP="00CE207C">
            <w:pPr>
              <w:pStyle w:val="NoSpacing"/>
              <w:rPr>
                <w:rFonts w:ascii="Times New Roman" w:hAnsi="Times New Roman" w:cs="Times New Roman"/>
              </w:rPr>
            </w:pPr>
            <w:r w:rsidRPr="007245B0">
              <w:rPr>
                <w:rFonts w:ascii="Times New Roman" w:hAnsi="Times New Roman" w:cs="Times New Roman"/>
              </w:rPr>
              <w:t>Jamshedpur</w:t>
            </w:r>
          </w:p>
        </w:tc>
        <w:tc>
          <w:tcPr>
            <w:tcW w:w="0" w:type="auto"/>
            <w:vAlign w:val="center"/>
            <w:hideMark/>
          </w:tcPr>
          <w:p w14:paraId="076AC2CD" w14:textId="77777777" w:rsidR="00CE207C" w:rsidRPr="007245B0" w:rsidRDefault="00CE207C" w:rsidP="00CE207C">
            <w:pPr>
              <w:pStyle w:val="NoSpacing"/>
              <w:jc w:val="center"/>
              <w:rPr>
                <w:rFonts w:ascii="Times New Roman" w:hAnsi="Times New Roman" w:cs="Times New Roman"/>
              </w:rPr>
            </w:pPr>
            <w:r w:rsidRPr="007245B0">
              <w:rPr>
                <w:rFonts w:ascii="Times New Roman" w:hAnsi="Times New Roman" w:cs="Times New Roman"/>
              </w:rPr>
              <w:t>265</w:t>
            </w:r>
          </w:p>
        </w:tc>
        <w:tc>
          <w:tcPr>
            <w:tcW w:w="0" w:type="auto"/>
            <w:vAlign w:val="center"/>
            <w:hideMark/>
          </w:tcPr>
          <w:p w14:paraId="25BFEBDF" w14:textId="77777777" w:rsidR="00CE207C" w:rsidRPr="007245B0" w:rsidRDefault="00CE207C" w:rsidP="00CE207C">
            <w:pPr>
              <w:pStyle w:val="NoSpacing"/>
              <w:jc w:val="center"/>
              <w:rPr>
                <w:rFonts w:ascii="Times New Roman" w:hAnsi="Times New Roman" w:cs="Times New Roman"/>
              </w:rPr>
            </w:pPr>
            <w:r w:rsidRPr="007245B0">
              <w:rPr>
                <w:rFonts w:ascii="Times New Roman" w:hAnsi="Times New Roman" w:cs="Times New Roman"/>
              </w:rPr>
              <w:t>252</w:t>
            </w:r>
          </w:p>
        </w:tc>
      </w:tr>
      <w:tr w:rsidR="00CE207C" w:rsidRPr="007245B0" w14:paraId="129DD087" w14:textId="77777777" w:rsidTr="00CE207C">
        <w:trPr>
          <w:trHeight w:val="284"/>
        </w:trPr>
        <w:tc>
          <w:tcPr>
            <w:tcW w:w="0" w:type="auto"/>
            <w:hideMark/>
          </w:tcPr>
          <w:p w14:paraId="7D4C2D07" w14:textId="77777777" w:rsidR="00CE207C" w:rsidRPr="007245B0" w:rsidRDefault="00CE207C" w:rsidP="00CE207C">
            <w:pPr>
              <w:pStyle w:val="NoSpacing"/>
              <w:rPr>
                <w:rFonts w:ascii="Times New Roman" w:hAnsi="Times New Roman" w:cs="Times New Roman"/>
              </w:rPr>
            </w:pPr>
            <w:r w:rsidRPr="007245B0">
              <w:rPr>
                <w:rFonts w:ascii="Times New Roman" w:hAnsi="Times New Roman" w:cs="Times New Roman"/>
              </w:rPr>
              <w:t>Patna</w:t>
            </w:r>
          </w:p>
        </w:tc>
        <w:tc>
          <w:tcPr>
            <w:tcW w:w="0" w:type="auto"/>
            <w:vAlign w:val="center"/>
            <w:hideMark/>
          </w:tcPr>
          <w:p w14:paraId="6E68515D" w14:textId="77777777" w:rsidR="00CE207C" w:rsidRPr="007245B0" w:rsidRDefault="00CE207C" w:rsidP="00CE207C">
            <w:pPr>
              <w:pStyle w:val="NoSpacing"/>
              <w:jc w:val="center"/>
              <w:rPr>
                <w:rFonts w:ascii="Times New Roman" w:hAnsi="Times New Roman" w:cs="Times New Roman"/>
              </w:rPr>
            </w:pPr>
            <w:r w:rsidRPr="007245B0">
              <w:rPr>
                <w:rFonts w:ascii="Times New Roman" w:hAnsi="Times New Roman" w:cs="Times New Roman"/>
              </w:rPr>
              <w:t>1,606</w:t>
            </w:r>
          </w:p>
        </w:tc>
        <w:tc>
          <w:tcPr>
            <w:tcW w:w="0" w:type="auto"/>
            <w:vAlign w:val="center"/>
            <w:hideMark/>
          </w:tcPr>
          <w:p w14:paraId="33064550" w14:textId="77777777" w:rsidR="00CE207C" w:rsidRPr="007245B0" w:rsidRDefault="00CE207C" w:rsidP="00CE207C">
            <w:pPr>
              <w:pStyle w:val="NoSpacing"/>
              <w:jc w:val="center"/>
              <w:rPr>
                <w:rFonts w:ascii="Times New Roman" w:hAnsi="Times New Roman" w:cs="Times New Roman"/>
              </w:rPr>
            </w:pPr>
            <w:r w:rsidRPr="007245B0">
              <w:rPr>
                <w:rFonts w:ascii="Times New Roman" w:hAnsi="Times New Roman" w:cs="Times New Roman"/>
              </w:rPr>
              <w:t>1,779</w:t>
            </w:r>
          </w:p>
        </w:tc>
      </w:tr>
      <w:tr w:rsidR="00CE207C" w:rsidRPr="007245B0" w14:paraId="5FE61829" w14:textId="77777777" w:rsidTr="00CE207C">
        <w:trPr>
          <w:trHeight w:val="284"/>
        </w:trPr>
        <w:tc>
          <w:tcPr>
            <w:tcW w:w="0" w:type="auto"/>
            <w:hideMark/>
          </w:tcPr>
          <w:p w14:paraId="4B5582F0" w14:textId="77777777" w:rsidR="00CE207C" w:rsidRPr="007245B0" w:rsidRDefault="00CE207C" w:rsidP="00CE207C">
            <w:pPr>
              <w:pStyle w:val="NoSpacing"/>
              <w:rPr>
                <w:rFonts w:ascii="Times New Roman" w:hAnsi="Times New Roman" w:cs="Times New Roman"/>
              </w:rPr>
            </w:pPr>
            <w:r w:rsidRPr="007245B0">
              <w:rPr>
                <w:rFonts w:ascii="Times New Roman" w:hAnsi="Times New Roman" w:cs="Times New Roman"/>
              </w:rPr>
              <w:t>Ranchi</w:t>
            </w:r>
          </w:p>
        </w:tc>
        <w:tc>
          <w:tcPr>
            <w:tcW w:w="0" w:type="auto"/>
            <w:vAlign w:val="center"/>
            <w:hideMark/>
          </w:tcPr>
          <w:p w14:paraId="2A8D1E5C" w14:textId="77777777" w:rsidR="00CE207C" w:rsidRPr="007245B0" w:rsidRDefault="00CE207C" w:rsidP="00CE207C">
            <w:pPr>
              <w:pStyle w:val="NoSpacing"/>
              <w:jc w:val="center"/>
              <w:rPr>
                <w:rFonts w:ascii="Times New Roman" w:hAnsi="Times New Roman" w:cs="Times New Roman"/>
              </w:rPr>
            </w:pPr>
            <w:r w:rsidRPr="007245B0">
              <w:rPr>
                <w:rFonts w:ascii="Times New Roman" w:hAnsi="Times New Roman" w:cs="Times New Roman"/>
              </w:rPr>
              <w:t>551</w:t>
            </w:r>
          </w:p>
        </w:tc>
        <w:tc>
          <w:tcPr>
            <w:tcW w:w="0" w:type="auto"/>
            <w:vAlign w:val="center"/>
            <w:hideMark/>
          </w:tcPr>
          <w:p w14:paraId="02D27BDA" w14:textId="77777777" w:rsidR="00CE207C" w:rsidRPr="007245B0" w:rsidRDefault="00CE207C" w:rsidP="00CE207C">
            <w:pPr>
              <w:pStyle w:val="NoSpacing"/>
              <w:jc w:val="center"/>
              <w:rPr>
                <w:rFonts w:ascii="Times New Roman" w:hAnsi="Times New Roman" w:cs="Times New Roman"/>
              </w:rPr>
            </w:pPr>
            <w:r w:rsidRPr="007245B0">
              <w:rPr>
                <w:rFonts w:ascii="Times New Roman" w:hAnsi="Times New Roman" w:cs="Times New Roman"/>
              </w:rPr>
              <w:t>499</w:t>
            </w:r>
          </w:p>
        </w:tc>
      </w:tr>
      <w:tr w:rsidR="00CE207C" w:rsidRPr="007245B0" w14:paraId="6CF19C89" w14:textId="77777777" w:rsidTr="00CE207C">
        <w:trPr>
          <w:trHeight w:val="284"/>
        </w:trPr>
        <w:tc>
          <w:tcPr>
            <w:tcW w:w="0" w:type="auto"/>
            <w:vAlign w:val="center"/>
          </w:tcPr>
          <w:p w14:paraId="15993128" w14:textId="2D46A0A5" w:rsidR="00CE207C" w:rsidRPr="007245B0" w:rsidRDefault="00CE207C" w:rsidP="00CE207C">
            <w:pPr>
              <w:pStyle w:val="NoSpacing"/>
              <w:jc w:val="right"/>
              <w:rPr>
                <w:rFonts w:ascii="Times New Roman" w:hAnsi="Times New Roman" w:cs="Times New Roman"/>
              </w:rPr>
            </w:pPr>
            <w:r>
              <w:rPr>
                <w:rFonts w:ascii="Times New Roman" w:hAnsi="Times New Roman" w:cs="Times New Roman"/>
              </w:rPr>
              <w:t>Total</w:t>
            </w:r>
          </w:p>
        </w:tc>
        <w:tc>
          <w:tcPr>
            <w:tcW w:w="0" w:type="auto"/>
            <w:vAlign w:val="center"/>
          </w:tcPr>
          <w:p w14:paraId="30FF7E42" w14:textId="246C1251" w:rsidR="00CE207C" w:rsidRPr="007245B0" w:rsidRDefault="00CE207C" w:rsidP="00CE207C">
            <w:pPr>
              <w:pStyle w:val="NoSpacing"/>
              <w:jc w:val="center"/>
              <w:rPr>
                <w:rFonts w:ascii="Times New Roman" w:hAnsi="Times New Roman" w:cs="Times New Roman"/>
              </w:rPr>
            </w:pPr>
            <w:r w:rsidRPr="007245B0">
              <w:rPr>
                <w:rFonts w:ascii="Times New Roman" w:hAnsi="Times New Roman" w:cs="Times New Roman"/>
              </w:rPr>
              <w:t>2,422</w:t>
            </w:r>
          </w:p>
        </w:tc>
        <w:tc>
          <w:tcPr>
            <w:tcW w:w="0" w:type="auto"/>
            <w:vAlign w:val="center"/>
          </w:tcPr>
          <w:p w14:paraId="549B82B1" w14:textId="61078517" w:rsidR="00CE207C" w:rsidRPr="007245B0" w:rsidRDefault="00CE207C" w:rsidP="00CE207C">
            <w:pPr>
              <w:pStyle w:val="NoSpacing"/>
              <w:jc w:val="center"/>
              <w:rPr>
                <w:rFonts w:ascii="Times New Roman" w:hAnsi="Times New Roman" w:cs="Times New Roman"/>
              </w:rPr>
            </w:pPr>
            <w:r w:rsidRPr="007245B0">
              <w:rPr>
                <w:rFonts w:ascii="Times New Roman" w:hAnsi="Times New Roman" w:cs="Times New Roman"/>
              </w:rPr>
              <w:t>2,530</w:t>
            </w:r>
          </w:p>
        </w:tc>
      </w:tr>
      <w:tr w:rsidR="00CE207C" w:rsidRPr="007245B0" w14:paraId="048C7037" w14:textId="77777777" w:rsidTr="00CE207C">
        <w:trPr>
          <w:trHeight w:val="297"/>
        </w:trPr>
        <w:tc>
          <w:tcPr>
            <w:tcW w:w="0" w:type="auto"/>
            <w:hideMark/>
          </w:tcPr>
          <w:p w14:paraId="1939BF0E" w14:textId="77777777" w:rsidR="00CE207C" w:rsidRPr="00CE207C" w:rsidRDefault="00CE207C" w:rsidP="00CE207C">
            <w:pPr>
              <w:pStyle w:val="NoSpacing"/>
              <w:rPr>
                <w:rFonts w:ascii="Times New Roman" w:hAnsi="Times New Roman" w:cs="Times New Roman"/>
                <w:b/>
                <w:bCs/>
              </w:rPr>
            </w:pPr>
            <w:r w:rsidRPr="00CE207C">
              <w:rPr>
                <w:rFonts w:ascii="Times New Roman" w:hAnsi="Times New Roman" w:cs="Times New Roman"/>
                <w:b/>
                <w:bCs/>
              </w:rPr>
              <w:t>4. Gujarat</w:t>
            </w:r>
          </w:p>
        </w:tc>
        <w:tc>
          <w:tcPr>
            <w:tcW w:w="0" w:type="auto"/>
            <w:vAlign w:val="center"/>
          </w:tcPr>
          <w:p w14:paraId="5763449E" w14:textId="4870B968" w:rsidR="00CE207C" w:rsidRPr="007245B0" w:rsidRDefault="00CE207C" w:rsidP="00CE207C">
            <w:pPr>
              <w:pStyle w:val="NoSpacing"/>
              <w:jc w:val="center"/>
              <w:rPr>
                <w:rFonts w:ascii="Times New Roman" w:hAnsi="Times New Roman" w:cs="Times New Roman"/>
              </w:rPr>
            </w:pPr>
          </w:p>
        </w:tc>
        <w:tc>
          <w:tcPr>
            <w:tcW w:w="0" w:type="auto"/>
            <w:vAlign w:val="center"/>
          </w:tcPr>
          <w:p w14:paraId="164C34A6" w14:textId="394C8AAC" w:rsidR="00CE207C" w:rsidRPr="007245B0" w:rsidRDefault="00CE207C" w:rsidP="00CE207C">
            <w:pPr>
              <w:pStyle w:val="NoSpacing"/>
              <w:jc w:val="center"/>
              <w:rPr>
                <w:rFonts w:ascii="Times New Roman" w:hAnsi="Times New Roman" w:cs="Times New Roman"/>
              </w:rPr>
            </w:pPr>
          </w:p>
        </w:tc>
      </w:tr>
      <w:tr w:rsidR="00CE207C" w:rsidRPr="007245B0" w14:paraId="5ABE98B6" w14:textId="77777777" w:rsidTr="00CE207C">
        <w:trPr>
          <w:trHeight w:val="284"/>
        </w:trPr>
        <w:tc>
          <w:tcPr>
            <w:tcW w:w="0" w:type="auto"/>
            <w:hideMark/>
          </w:tcPr>
          <w:p w14:paraId="1AB9B265" w14:textId="77777777" w:rsidR="00CE207C" w:rsidRPr="007245B0" w:rsidRDefault="00CE207C" w:rsidP="00CE207C">
            <w:pPr>
              <w:pStyle w:val="NoSpacing"/>
              <w:rPr>
                <w:rFonts w:ascii="Times New Roman" w:hAnsi="Times New Roman" w:cs="Times New Roman"/>
              </w:rPr>
            </w:pPr>
            <w:r w:rsidRPr="007245B0">
              <w:rPr>
                <w:rFonts w:ascii="Times New Roman" w:hAnsi="Times New Roman" w:cs="Times New Roman"/>
              </w:rPr>
              <w:t>Ahmedabad</w:t>
            </w:r>
          </w:p>
        </w:tc>
        <w:tc>
          <w:tcPr>
            <w:tcW w:w="0" w:type="auto"/>
            <w:vAlign w:val="center"/>
            <w:hideMark/>
          </w:tcPr>
          <w:p w14:paraId="60FD79F2" w14:textId="77777777" w:rsidR="00CE207C" w:rsidRPr="007245B0" w:rsidRDefault="00CE207C" w:rsidP="00CE207C">
            <w:pPr>
              <w:pStyle w:val="NoSpacing"/>
              <w:jc w:val="center"/>
              <w:rPr>
                <w:rFonts w:ascii="Times New Roman" w:hAnsi="Times New Roman" w:cs="Times New Roman"/>
              </w:rPr>
            </w:pPr>
            <w:r w:rsidRPr="007245B0">
              <w:rPr>
                <w:rFonts w:ascii="Times New Roman" w:hAnsi="Times New Roman" w:cs="Times New Roman"/>
              </w:rPr>
              <w:t>2,773</w:t>
            </w:r>
          </w:p>
        </w:tc>
        <w:tc>
          <w:tcPr>
            <w:tcW w:w="0" w:type="auto"/>
            <w:vAlign w:val="center"/>
            <w:hideMark/>
          </w:tcPr>
          <w:p w14:paraId="773C2E06" w14:textId="77777777" w:rsidR="00CE207C" w:rsidRPr="007245B0" w:rsidRDefault="00CE207C" w:rsidP="00CE207C">
            <w:pPr>
              <w:pStyle w:val="NoSpacing"/>
              <w:jc w:val="center"/>
              <w:rPr>
                <w:rFonts w:ascii="Times New Roman" w:hAnsi="Times New Roman" w:cs="Times New Roman"/>
              </w:rPr>
            </w:pPr>
            <w:r w:rsidRPr="007245B0">
              <w:rPr>
                <w:rFonts w:ascii="Times New Roman" w:hAnsi="Times New Roman" w:cs="Times New Roman"/>
              </w:rPr>
              <w:t>2,447</w:t>
            </w:r>
          </w:p>
        </w:tc>
      </w:tr>
      <w:tr w:rsidR="00CE207C" w:rsidRPr="007245B0" w14:paraId="15ECD009" w14:textId="77777777" w:rsidTr="00CE207C">
        <w:trPr>
          <w:trHeight w:val="284"/>
        </w:trPr>
        <w:tc>
          <w:tcPr>
            <w:tcW w:w="0" w:type="auto"/>
            <w:hideMark/>
          </w:tcPr>
          <w:p w14:paraId="5CF553C2" w14:textId="77777777" w:rsidR="00CE207C" w:rsidRPr="007245B0" w:rsidRDefault="00CE207C" w:rsidP="00CE207C">
            <w:pPr>
              <w:pStyle w:val="NoSpacing"/>
              <w:rPr>
                <w:rFonts w:ascii="Times New Roman" w:hAnsi="Times New Roman" w:cs="Times New Roman"/>
              </w:rPr>
            </w:pPr>
            <w:r w:rsidRPr="007245B0">
              <w:rPr>
                <w:rFonts w:ascii="Times New Roman" w:hAnsi="Times New Roman" w:cs="Times New Roman"/>
              </w:rPr>
              <w:t>Baroda</w:t>
            </w:r>
          </w:p>
        </w:tc>
        <w:tc>
          <w:tcPr>
            <w:tcW w:w="0" w:type="auto"/>
            <w:vAlign w:val="center"/>
            <w:hideMark/>
          </w:tcPr>
          <w:p w14:paraId="4A9B2AEB" w14:textId="77777777" w:rsidR="00CE207C" w:rsidRPr="007245B0" w:rsidRDefault="00CE207C" w:rsidP="00CE207C">
            <w:pPr>
              <w:pStyle w:val="NoSpacing"/>
              <w:jc w:val="center"/>
              <w:rPr>
                <w:rFonts w:ascii="Times New Roman" w:hAnsi="Times New Roman" w:cs="Times New Roman"/>
              </w:rPr>
            </w:pPr>
            <w:r w:rsidRPr="007245B0">
              <w:rPr>
                <w:rFonts w:ascii="Times New Roman" w:hAnsi="Times New Roman" w:cs="Times New Roman"/>
              </w:rPr>
              <w:t>..</w:t>
            </w:r>
          </w:p>
        </w:tc>
        <w:tc>
          <w:tcPr>
            <w:tcW w:w="0" w:type="auto"/>
            <w:vAlign w:val="center"/>
            <w:hideMark/>
          </w:tcPr>
          <w:p w14:paraId="3DCA535C" w14:textId="77777777" w:rsidR="00CE207C" w:rsidRPr="007245B0" w:rsidRDefault="00CE207C" w:rsidP="00CE207C">
            <w:pPr>
              <w:pStyle w:val="NoSpacing"/>
              <w:jc w:val="center"/>
              <w:rPr>
                <w:rFonts w:ascii="Times New Roman" w:hAnsi="Times New Roman" w:cs="Times New Roman"/>
              </w:rPr>
            </w:pPr>
            <w:r w:rsidRPr="007245B0">
              <w:rPr>
                <w:rFonts w:ascii="Times New Roman" w:hAnsi="Times New Roman" w:cs="Times New Roman"/>
              </w:rPr>
              <w:t>..</w:t>
            </w:r>
          </w:p>
        </w:tc>
      </w:tr>
      <w:tr w:rsidR="00CE207C" w:rsidRPr="007245B0" w14:paraId="7C472BCE" w14:textId="77777777" w:rsidTr="00CE207C">
        <w:trPr>
          <w:trHeight w:val="284"/>
        </w:trPr>
        <w:tc>
          <w:tcPr>
            <w:tcW w:w="0" w:type="auto"/>
            <w:hideMark/>
          </w:tcPr>
          <w:p w14:paraId="38F5940E" w14:textId="77777777" w:rsidR="00CE207C" w:rsidRPr="007245B0" w:rsidRDefault="00CE207C" w:rsidP="00CE207C">
            <w:pPr>
              <w:pStyle w:val="NoSpacing"/>
              <w:rPr>
                <w:rFonts w:ascii="Times New Roman" w:hAnsi="Times New Roman" w:cs="Times New Roman"/>
              </w:rPr>
            </w:pPr>
            <w:r w:rsidRPr="007245B0">
              <w:rPr>
                <w:rFonts w:ascii="Times New Roman" w:hAnsi="Times New Roman" w:cs="Times New Roman"/>
              </w:rPr>
              <w:t>Bhavnagar</w:t>
            </w:r>
          </w:p>
        </w:tc>
        <w:tc>
          <w:tcPr>
            <w:tcW w:w="0" w:type="auto"/>
            <w:vAlign w:val="center"/>
            <w:hideMark/>
          </w:tcPr>
          <w:p w14:paraId="403DAC10" w14:textId="77777777" w:rsidR="00CE207C" w:rsidRPr="007245B0" w:rsidRDefault="00CE207C" w:rsidP="00CE207C">
            <w:pPr>
              <w:pStyle w:val="NoSpacing"/>
              <w:jc w:val="center"/>
              <w:rPr>
                <w:rFonts w:ascii="Times New Roman" w:hAnsi="Times New Roman" w:cs="Times New Roman"/>
              </w:rPr>
            </w:pPr>
            <w:r w:rsidRPr="007245B0">
              <w:rPr>
                <w:rFonts w:ascii="Times New Roman" w:hAnsi="Times New Roman" w:cs="Times New Roman"/>
              </w:rPr>
              <w:t>1,058</w:t>
            </w:r>
          </w:p>
        </w:tc>
        <w:tc>
          <w:tcPr>
            <w:tcW w:w="0" w:type="auto"/>
            <w:vAlign w:val="center"/>
            <w:hideMark/>
          </w:tcPr>
          <w:p w14:paraId="18FEA686" w14:textId="77777777" w:rsidR="00CE207C" w:rsidRPr="007245B0" w:rsidRDefault="00CE207C" w:rsidP="00CE207C">
            <w:pPr>
              <w:pStyle w:val="NoSpacing"/>
              <w:jc w:val="center"/>
              <w:rPr>
                <w:rFonts w:ascii="Times New Roman" w:hAnsi="Times New Roman" w:cs="Times New Roman"/>
              </w:rPr>
            </w:pPr>
            <w:r w:rsidRPr="007245B0">
              <w:rPr>
                <w:rFonts w:ascii="Times New Roman" w:hAnsi="Times New Roman" w:cs="Times New Roman"/>
              </w:rPr>
              <w:t>1,023</w:t>
            </w:r>
          </w:p>
        </w:tc>
      </w:tr>
      <w:tr w:rsidR="00CE207C" w:rsidRPr="007245B0" w14:paraId="332108E3" w14:textId="77777777" w:rsidTr="00CE207C">
        <w:trPr>
          <w:trHeight w:val="284"/>
        </w:trPr>
        <w:tc>
          <w:tcPr>
            <w:tcW w:w="0" w:type="auto"/>
            <w:hideMark/>
          </w:tcPr>
          <w:p w14:paraId="516888D4" w14:textId="77777777" w:rsidR="00CE207C" w:rsidRPr="007245B0" w:rsidRDefault="00CE207C" w:rsidP="00CE207C">
            <w:pPr>
              <w:pStyle w:val="NoSpacing"/>
              <w:rPr>
                <w:rFonts w:ascii="Times New Roman" w:hAnsi="Times New Roman" w:cs="Times New Roman"/>
              </w:rPr>
            </w:pPr>
            <w:r w:rsidRPr="007245B0">
              <w:rPr>
                <w:rFonts w:ascii="Times New Roman" w:hAnsi="Times New Roman" w:cs="Times New Roman"/>
              </w:rPr>
              <w:t>Bhuj</w:t>
            </w:r>
          </w:p>
        </w:tc>
        <w:tc>
          <w:tcPr>
            <w:tcW w:w="0" w:type="auto"/>
            <w:vAlign w:val="center"/>
            <w:hideMark/>
          </w:tcPr>
          <w:p w14:paraId="325604C2" w14:textId="77777777" w:rsidR="00CE207C" w:rsidRPr="007245B0" w:rsidRDefault="00CE207C" w:rsidP="00CE207C">
            <w:pPr>
              <w:pStyle w:val="NoSpacing"/>
              <w:jc w:val="center"/>
              <w:rPr>
                <w:rFonts w:ascii="Times New Roman" w:hAnsi="Times New Roman" w:cs="Times New Roman"/>
              </w:rPr>
            </w:pPr>
            <w:r w:rsidRPr="007245B0">
              <w:rPr>
                <w:rFonts w:ascii="Times New Roman" w:hAnsi="Times New Roman" w:cs="Times New Roman"/>
              </w:rPr>
              <w:t>629</w:t>
            </w:r>
          </w:p>
        </w:tc>
        <w:tc>
          <w:tcPr>
            <w:tcW w:w="0" w:type="auto"/>
            <w:vAlign w:val="center"/>
            <w:hideMark/>
          </w:tcPr>
          <w:p w14:paraId="290154DA" w14:textId="77777777" w:rsidR="00CE207C" w:rsidRPr="007245B0" w:rsidRDefault="00CE207C" w:rsidP="00CE207C">
            <w:pPr>
              <w:pStyle w:val="NoSpacing"/>
              <w:jc w:val="center"/>
              <w:rPr>
                <w:rFonts w:ascii="Times New Roman" w:hAnsi="Times New Roman" w:cs="Times New Roman"/>
              </w:rPr>
            </w:pPr>
            <w:r w:rsidRPr="007245B0">
              <w:rPr>
                <w:rFonts w:ascii="Times New Roman" w:hAnsi="Times New Roman" w:cs="Times New Roman"/>
              </w:rPr>
              <w:t>640</w:t>
            </w:r>
          </w:p>
        </w:tc>
      </w:tr>
      <w:tr w:rsidR="00CE207C" w:rsidRPr="007245B0" w14:paraId="194D9F76" w14:textId="77777777" w:rsidTr="00CE207C">
        <w:trPr>
          <w:trHeight w:val="284"/>
        </w:trPr>
        <w:tc>
          <w:tcPr>
            <w:tcW w:w="0" w:type="auto"/>
            <w:hideMark/>
          </w:tcPr>
          <w:p w14:paraId="155EB034" w14:textId="77777777" w:rsidR="00CE207C" w:rsidRPr="007245B0" w:rsidRDefault="00CE207C" w:rsidP="00CE207C">
            <w:pPr>
              <w:pStyle w:val="NoSpacing"/>
              <w:rPr>
                <w:rFonts w:ascii="Times New Roman" w:hAnsi="Times New Roman" w:cs="Times New Roman"/>
              </w:rPr>
            </w:pPr>
            <w:r w:rsidRPr="007245B0">
              <w:rPr>
                <w:rFonts w:ascii="Times New Roman" w:hAnsi="Times New Roman" w:cs="Times New Roman"/>
              </w:rPr>
              <w:t>Jamnagar</w:t>
            </w:r>
          </w:p>
        </w:tc>
        <w:tc>
          <w:tcPr>
            <w:tcW w:w="0" w:type="auto"/>
            <w:vAlign w:val="center"/>
            <w:hideMark/>
          </w:tcPr>
          <w:p w14:paraId="6C9A7628" w14:textId="77777777" w:rsidR="00CE207C" w:rsidRPr="007245B0" w:rsidRDefault="00CE207C" w:rsidP="00CE207C">
            <w:pPr>
              <w:pStyle w:val="NoSpacing"/>
              <w:jc w:val="center"/>
              <w:rPr>
                <w:rFonts w:ascii="Times New Roman" w:hAnsi="Times New Roman" w:cs="Times New Roman"/>
              </w:rPr>
            </w:pPr>
            <w:r w:rsidRPr="007245B0">
              <w:rPr>
                <w:rFonts w:ascii="Times New Roman" w:hAnsi="Times New Roman" w:cs="Times New Roman"/>
              </w:rPr>
              <w:t>1,012</w:t>
            </w:r>
          </w:p>
        </w:tc>
        <w:tc>
          <w:tcPr>
            <w:tcW w:w="0" w:type="auto"/>
            <w:vAlign w:val="center"/>
            <w:hideMark/>
          </w:tcPr>
          <w:p w14:paraId="7CB3D05E" w14:textId="77777777" w:rsidR="00CE207C" w:rsidRPr="007245B0" w:rsidRDefault="00CE207C" w:rsidP="00CE207C">
            <w:pPr>
              <w:pStyle w:val="NoSpacing"/>
              <w:jc w:val="center"/>
              <w:rPr>
                <w:rFonts w:ascii="Times New Roman" w:hAnsi="Times New Roman" w:cs="Times New Roman"/>
              </w:rPr>
            </w:pPr>
            <w:r w:rsidRPr="007245B0">
              <w:rPr>
                <w:rFonts w:ascii="Times New Roman" w:hAnsi="Times New Roman" w:cs="Times New Roman"/>
              </w:rPr>
              <w:t>1,012</w:t>
            </w:r>
          </w:p>
        </w:tc>
      </w:tr>
      <w:tr w:rsidR="00CE207C" w:rsidRPr="007245B0" w14:paraId="10663E6F" w14:textId="77777777" w:rsidTr="00CE207C">
        <w:trPr>
          <w:trHeight w:val="297"/>
        </w:trPr>
        <w:tc>
          <w:tcPr>
            <w:tcW w:w="0" w:type="auto"/>
            <w:hideMark/>
          </w:tcPr>
          <w:p w14:paraId="51EB2857" w14:textId="77777777" w:rsidR="00CE207C" w:rsidRPr="007245B0" w:rsidRDefault="00CE207C" w:rsidP="00CE207C">
            <w:pPr>
              <w:pStyle w:val="NoSpacing"/>
              <w:rPr>
                <w:rFonts w:ascii="Times New Roman" w:hAnsi="Times New Roman" w:cs="Times New Roman"/>
              </w:rPr>
            </w:pPr>
            <w:r w:rsidRPr="007245B0">
              <w:rPr>
                <w:rFonts w:ascii="Times New Roman" w:hAnsi="Times New Roman" w:cs="Times New Roman"/>
              </w:rPr>
              <w:t>Kandla</w:t>
            </w:r>
          </w:p>
        </w:tc>
        <w:tc>
          <w:tcPr>
            <w:tcW w:w="0" w:type="auto"/>
            <w:vAlign w:val="center"/>
            <w:hideMark/>
          </w:tcPr>
          <w:p w14:paraId="45776D78" w14:textId="77777777" w:rsidR="00CE207C" w:rsidRPr="007245B0" w:rsidRDefault="00CE207C" w:rsidP="00CE207C">
            <w:pPr>
              <w:pStyle w:val="NoSpacing"/>
              <w:jc w:val="center"/>
              <w:rPr>
                <w:rFonts w:ascii="Times New Roman" w:hAnsi="Times New Roman" w:cs="Times New Roman"/>
              </w:rPr>
            </w:pPr>
            <w:r w:rsidRPr="007245B0">
              <w:rPr>
                <w:rFonts w:ascii="Times New Roman" w:hAnsi="Times New Roman" w:cs="Times New Roman"/>
              </w:rPr>
              <w:t>364</w:t>
            </w:r>
          </w:p>
        </w:tc>
        <w:tc>
          <w:tcPr>
            <w:tcW w:w="0" w:type="auto"/>
            <w:vAlign w:val="center"/>
            <w:hideMark/>
          </w:tcPr>
          <w:p w14:paraId="11AF6299" w14:textId="77777777" w:rsidR="00CE207C" w:rsidRPr="007245B0" w:rsidRDefault="00CE207C" w:rsidP="00CE207C">
            <w:pPr>
              <w:pStyle w:val="NoSpacing"/>
              <w:jc w:val="center"/>
              <w:rPr>
                <w:rFonts w:ascii="Times New Roman" w:hAnsi="Times New Roman" w:cs="Times New Roman"/>
              </w:rPr>
            </w:pPr>
            <w:r w:rsidRPr="007245B0">
              <w:rPr>
                <w:rFonts w:ascii="Times New Roman" w:hAnsi="Times New Roman" w:cs="Times New Roman"/>
              </w:rPr>
              <w:t>398</w:t>
            </w:r>
          </w:p>
        </w:tc>
      </w:tr>
      <w:tr w:rsidR="00CE207C" w:rsidRPr="007245B0" w14:paraId="21336AA0" w14:textId="77777777" w:rsidTr="00CE207C">
        <w:trPr>
          <w:trHeight w:val="284"/>
        </w:trPr>
        <w:tc>
          <w:tcPr>
            <w:tcW w:w="0" w:type="auto"/>
            <w:hideMark/>
          </w:tcPr>
          <w:p w14:paraId="3D75DA4D" w14:textId="77777777" w:rsidR="00CE207C" w:rsidRPr="007245B0" w:rsidRDefault="00CE207C" w:rsidP="00CE207C">
            <w:pPr>
              <w:pStyle w:val="NoSpacing"/>
              <w:rPr>
                <w:rFonts w:ascii="Times New Roman" w:hAnsi="Times New Roman" w:cs="Times New Roman"/>
              </w:rPr>
            </w:pPr>
            <w:r w:rsidRPr="007245B0">
              <w:rPr>
                <w:rFonts w:ascii="Times New Roman" w:hAnsi="Times New Roman" w:cs="Times New Roman"/>
              </w:rPr>
              <w:t>Keshod</w:t>
            </w:r>
          </w:p>
        </w:tc>
        <w:tc>
          <w:tcPr>
            <w:tcW w:w="0" w:type="auto"/>
            <w:vAlign w:val="center"/>
            <w:hideMark/>
          </w:tcPr>
          <w:p w14:paraId="6D449BBB" w14:textId="77777777" w:rsidR="00CE207C" w:rsidRPr="007245B0" w:rsidRDefault="00CE207C" w:rsidP="00CE207C">
            <w:pPr>
              <w:pStyle w:val="NoSpacing"/>
              <w:jc w:val="center"/>
              <w:rPr>
                <w:rFonts w:ascii="Times New Roman" w:hAnsi="Times New Roman" w:cs="Times New Roman"/>
              </w:rPr>
            </w:pPr>
            <w:r w:rsidRPr="007245B0">
              <w:rPr>
                <w:rFonts w:ascii="Times New Roman" w:hAnsi="Times New Roman" w:cs="Times New Roman"/>
              </w:rPr>
              <w:t>368</w:t>
            </w:r>
          </w:p>
        </w:tc>
        <w:tc>
          <w:tcPr>
            <w:tcW w:w="0" w:type="auto"/>
            <w:vAlign w:val="center"/>
            <w:hideMark/>
          </w:tcPr>
          <w:p w14:paraId="7C173404" w14:textId="77777777" w:rsidR="00CE207C" w:rsidRPr="007245B0" w:rsidRDefault="00CE207C" w:rsidP="00CE207C">
            <w:pPr>
              <w:pStyle w:val="NoSpacing"/>
              <w:jc w:val="center"/>
              <w:rPr>
                <w:rFonts w:ascii="Times New Roman" w:hAnsi="Times New Roman" w:cs="Times New Roman"/>
              </w:rPr>
            </w:pPr>
            <w:r w:rsidRPr="007245B0">
              <w:rPr>
                <w:rFonts w:ascii="Times New Roman" w:hAnsi="Times New Roman" w:cs="Times New Roman"/>
              </w:rPr>
              <w:t>328</w:t>
            </w:r>
          </w:p>
        </w:tc>
      </w:tr>
      <w:tr w:rsidR="00CE207C" w:rsidRPr="007245B0" w14:paraId="2BA31D55" w14:textId="77777777" w:rsidTr="00CE207C">
        <w:trPr>
          <w:trHeight w:val="284"/>
        </w:trPr>
        <w:tc>
          <w:tcPr>
            <w:tcW w:w="0" w:type="auto"/>
            <w:hideMark/>
          </w:tcPr>
          <w:p w14:paraId="4C8E48A0" w14:textId="77777777" w:rsidR="00CE207C" w:rsidRPr="007245B0" w:rsidRDefault="00CE207C" w:rsidP="00CE207C">
            <w:pPr>
              <w:pStyle w:val="NoSpacing"/>
              <w:rPr>
                <w:rFonts w:ascii="Times New Roman" w:hAnsi="Times New Roman" w:cs="Times New Roman"/>
              </w:rPr>
            </w:pPr>
            <w:r w:rsidRPr="007245B0">
              <w:rPr>
                <w:rFonts w:ascii="Times New Roman" w:hAnsi="Times New Roman" w:cs="Times New Roman"/>
              </w:rPr>
              <w:t>Porbundur</w:t>
            </w:r>
          </w:p>
        </w:tc>
        <w:tc>
          <w:tcPr>
            <w:tcW w:w="0" w:type="auto"/>
            <w:vAlign w:val="center"/>
            <w:hideMark/>
          </w:tcPr>
          <w:p w14:paraId="09850D6D" w14:textId="77777777" w:rsidR="00CE207C" w:rsidRPr="007245B0" w:rsidRDefault="00CE207C" w:rsidP="00CE207C">
            <w:pPr>
              <w:pStyle w:val="NoSpacing"/>
              <w:jc w:val="center"/>
              <w:rPr>
                <w:rFonts w:ascii="Times New Roman" w:hAnsi="Times New Roman" w:cs="Times New Roman"/>
              </w:rPr>
            </w:pPr>
            <w:r w:rsidRPr="007245B0">
              <w:rPr>
                <w:rFonts w:ascii="Times New Roman" w:hAnsi="Times New Roman" w:cs="Times New Roman"/>
              </w:rPr>
              <w:t>299</w:t>
            </w:r>
          </w:p>
        </w:tc>
        <w:tc>
          <w:tcPr>
            <w:tcW w:w="0" w:type="auto"/>
            <w:vAlign w:val="center"/>
            <w:hideMark/>
          </w:tcPr>
          <w:p w14:paraId="5060C645" w14:textId="77777777" w:rsidR="00CE207C" w:rsidRPr="007245B0" w:rsidRDefault="00CE207C" w:rsidP="00CE207C">
            <w:pPr>
              <w:pStyle w:val="NoSpacing"/>
              <w:jc w:val="center"/>
              <w:rPr>
                <w:rFonts w:ascii="Times New Roman" w:hAnsi="Times New Roman" w:cs="Times New Roman"/>
              </w:rPr>
            </w:pPr>
            <w:r w:rsidRPr="007245B0">
              <w:rPr>
                <w:rFonts w:ascii="Times New Roman" w:hAnsi="Times New Roman" w:cs="Times New Roman"/>
              </w:rPr>
              <w:t>298</w:t>
            </w:r>
          </w:p>
        </w:tc>
      </w:tr>
      <w:tr w:rsidR="00CE207C" w:rsidRPr="007245B0" w14:paraId="67BE375A" w14:textId="77777777" w:rsidTr="00CE207C">
        <w:trPr>
          <w:trHeight w:val="284"/>
        </w:trPr>
        <w:tc>
          <w:tcPr>
            <w:tcW w:w="0" w:type="auto"/>
            <w:hideMark/>
          </w:tcPr>
          <w:p w14:paraId="2BA91EAC" w14:textId="77777777" w:rsidR="00CE207C" w:rsidRPr="007245B0" w:rsidRDefault="00CE207C" w:rsidP="00CE207C">
            <w:pPr>
              <w:pStyle w:val="NoSpacing"/>
              <w:rPr>
                <w:rFonts w:ascii="Times New Roman" w:hAnsi="Times New Roman" w:cs="Times New Roman"/>
              </w:rPr>
            </w:pPr>
            <w:r w:rsidRPr="007245B0">
              <w:rPr>
                <w:rFonts w:ascii="Times New Roman" w:hAnsi="Times New Roman" w:cs="Times New Roman"/>
              </w:rPr>
              <w:t>Rajkot</w:t>
            </w:r>
          </w:p>
        </w:tc>
        <w:tc>
          <w:tcPr>
            <w:tcW w:w="0" w:type="auto"/>
            <w:vAlign w:val="center"/>
            <w:hideMark/>
          </w:tcPr>
          <w:p w14:paraId="120A6954" w14:textId="77777777" w:rsidR="00CE207C" w:rsidRPr="007245B0" w:rsidRDefault="00CE207C" w:rsidP="00CE207C">
            <w:pPr>
              <w:pStyle w:val="NoSpacing"/>
              <w:jc w:val="center"/>
              <w:rPr>
                <w:rFonts w:ascii="Times New Roman" w:hAnsi="Times New Roman" w:cs="Times New Roman"/>
              </w:rPr>
            </w:pPr>
            <w:r w:rsidRPr="007245B0">
              <w:rPr>
                <w:rFonts w:ascii="Times New Roman" w:hAnsi="Times New Roman" w:cs="Times New Roman"/>
              </w:rPr>
              <w:t>976</w:t>
            </w:r>
          </w:p>
        </w:tc>
        <w:tc>
          <w:tcPr>
            <w:tcW w:w="0" w:type="auto"/>
            <w:vAlign w:val="center"/>
            <w:hideMark/>
          </w:tcPr>
          <w:p w14:paraId="347781E0" w14:textId="77777777" w:rsidR="00CE207C" w:rsidRPr="007245B0" w:rsidRDefault="00CE207C" w:rsidP="00CE207C">
            <w:pPr>
              <w:pStyle w:val="NoSpacing"/>
              <w:jc w:val="center"/>
              <w:rPr>
                <w:rFonts w:ascii="Times New Roman" w:hAnsi="Times New Roman" w:cs="Times New Roman"/>
              </w:rPr>
            </w:pPr>
            <w:r w:rsidRPr="007245B0">
              <w:rPr>
                <w:rFonts w:ascii="Times New Roman" w:hAnsi="Times New Roman" w:cs="Times New Roman"/>
              </w:rPr>
              <w:t>956</w:t>
            </w:r>
          </w:p>
        </w:tc>
      </w:tr>
      <w:tr w:rsidR="00CE207C" w:rsidRPr="007245B0" w14:paraId="211511B7" w14:textId="77777777" w:rsidTr="00CE207C">
        <w:trPr>
          <w:trHeight w:val="284"/>
        </w:trPr>
        <w:tc>
          <w:tcPr>
            <w:tcW w:w="0" w:type="auto"/>
            <w:vAlign w:val="center"/>
          </w:tcPr>
          <w:p w14:paraId="2DBF61AE" w14:textId="6B045D2C" w:rsidR="00CE207C" w:rsidRPr="007245B0" w:rsidRDefault="00CE207C" w:rsidP="00CE207C">
            <w:pPr>
              <w:pStyle w:val="NoSpacing"/>
              <w:jc w:val="right"/>
              <w:rPr>
                <w:rFonts w:ascii="Times New Roman" w:hAnsi="Times New Roman" w:cs="Times New Roman"/>
              </w:rPr>
            </w:pPr>
            <w:r>
              <w:rPr>
                <w:rFonts w:ascii="Times New Roman" w:hAnsi="Times New Roman" w:cs="Times New Roman"/>
              </w:rPr>
              <w:t>Total</w:t>
            </w:r>
          </w:p>
        </w:tc>
        <w:tc>
          <w:tcPr>
            <w:tcW w:w="0" w:type="auto"/>
            <w:vAlign w:val="center"/>
          </w:tcPr>
          <w:p w14:paraId="221315BF" w14:textId="683372A1" w:rsidR="00CE207C" w:rsidRPr="007245B0" w:rsidRDefault="00CE207C" w:rsidP="00CE207C">
            <w:pPr>
              <w:pStyle w:val="NoSpacing"/>
              <w:jc w:val="center"/>
              <w:rPr>
                <w:rFonts w:ascii="Times New Roman" w:hAnsi="Times New Roman" w:cs="Times New Roman"/>
              </w:rPr>
            </w:pPr>
            <w:r w:rsidRPr="007245B0">
              <w:rPr>
                <w:rFonts w:ascii="Times New Roman" w:hAnsi="Times New Roman" w:cs="Times New Roman"/>
              </w:rPr>
              <w:t>7,479</w:t>
            </w:r>
          </w:p>
        </w:tc>
        <w:tc>
          <w:tcPr>
            <w:tcW w:w="0" w:type="auto"/>
            <w:vAlign w:val="center"/>
          </w:tcPr>
          <w:p w14:paraId="51360971" w14:textId="18C16827" w:rsidR="00CE207C" w:rsidRPr="007245B0" w:rsidRDefault="00CE207C" w:rsidP="00CE207C">
            <w:pPr>
              <w:pStyle w:val="NoSpacing"/>
              <w:jc w:val="center"/>
              <w:rPr>
                <w:rFonts w:ascii="Times New Roman" w:hAnsi="Times New Roman" w:cs="Times New Roman"/>
              </w:rPr>
            </w:pPr>
            <w:r w:rsidRPr="007245B0">
              <w:rPr>
                <w:rFonts w:ascii="Times New Roman" w:hAnsi="Times New Roman" w:cs="Times New Roman"/>
              </w:rPr>
              <w:t>7,102</w:t>
            </w:r>
          </w:p>
        </w:tc>
      </w:tr>
      <w:tr w:rsidR="00CE207C" w:rsidRPr="007245B0" w14:paraId="58BE1A93" w14:textId="77777777" w:rsidTr="00CE207C">
        <w:trPr>
          <w:trHeight w:val="284"/>
        </w:trPr>
        <w:tc>
          <w:tcPr>
            <w:tcW w:w="0" w:type="auto"/>
            <w:hideMark/>
          </w:tcPr>
          <w:p w14:paraId="075E74C1" w14:textId="77777777" w:rsidR="00CE207C" w:rsidRPr="00CE207C" w:rsidRDefault="00CE207C" w:rsidP="00CE207C">
            <w:pPr>
              <w:pStyle w:val="NoSpacing"/>
              <w:rPr>
                <w:rFonts w:ascii="Times New Roman" w:hAnsi="Times New Roman" w:cs="Times New Roman"/>
                <w:b/>
                <w:bCs/>
              </w:rPr>
            </w:pPr>
            <w:r w:rsidRPr="00CE207C">
              <w:rPr>
                <w:rFonts w:ascii="Times New Roman" w:hAnsi="Times New Roman" w:cs="Times New Roman"/>
                <w:b/>
                <w:bCs/>
              </w:rPr>
              <w:t>5. Haryana</w:t>
            </w:r>
          </w:p>
        </w:tc>
        <w:tc>
          <w:tcPr>
            <w:tcW w:w="0" w:type="auto"/>
            <w:vAlign w:val="center"/>
            <w:hideMark/>
          </w:tcPr>
          <w:p w14:paraId="4DB1C9A8" w14:textId="77777777" w:rsidR="00CE207C" w:rsidRPr="007245B0" w:rsidRDefault="00CE207C" w:rsidP="00CE207C">
            <w:pPr>
              <w:pStyle w:val="NoSpacing"/>
              <w:jc w:val="center"/>
              <w:rPr>
                <w:rFonts w:ascii="Times New Roman" w:hAnsi="Times New Roman" w:cs="Times New Roman"/>
              </w:rPr>
            </w:pPr>
            <w:r w:rsidRPr="007245B0">
              <w:rPr>
                <w:rFonts w:ascii="Times New Roman" w:hAnsi="Times New Roman" w:cs="Times New Roman"/>
              </w:rPr>
              <w:t>..</w:t>
            </w:r>
          </w:p>
        </w:tc>
        <w:tc>
          <w:tcPr>
            <w:tcW w:w="0" w:type="auto"/>
            <w:vAlign w:val="center"/>
            <w:hideMark/>
          </w:tcPr>
          <w:p w14:paraId="38921F0D" w14:textId="77777777" w:rsidR="00CE207C" w:rsidRPr="007245B0" w:rsidRDefault="00CE207C" w:rsidP="00CE207C">
            <w:pPr>
              <w:pStyle w:val="NoSpacing"/>
              <w:jc w:val="center"/>
              <w:rPr>
                <w:rFonts w:ascii="Times New Roman" w:hAnsi="Times New Roman" w:cs="Times New Roman"/>
              </w:rPr>
            </w:pPr>
            <w:r w:rsidRPr="007245B0">
              <w:rPr>
                <w:rFonts w:ascii="Times New Roman" w:hAnsi="Times New Roman" w:cs="Times New Roman"/>
              </w:rPr>
              <w:t>..</w:t>
            </w:r>
          </w:p>
        </w:tc>
      </w:tr>
      <w:tr w:rsidR="00CE207C" w:rsidRPr="007245B0" w14:paraId="7A16000E" w14:textId="77777777" w:rsidTr="00CE207C">
        <w:trPr>
          <w:trHeight w:val="284"/>
        </w:trPr>
        <w:tc>
          <w:tcPr>
            <w:tcW w:w="0" w:type="auto"/>
          </w:tcPr>
          <w:p w14:paraId="7BA649A7" w14:textId="77777777" w:rsidR="00CE207C" w:rsidRPr="007245B0" w:rsidRDefault="00CE207C" w:rsidP="00CE207C">
            <w:pPr>
              <w:pStyle w:val="NoSpacing"/>
              <w:rPr>
                <w:rFonts w:ascii="Times New Roman" w:hAnsi="Times New Roman" w:cs="Times New Roman"/>
              </w:rPr>
            </w:pPr>
          </w:p>
        </w:tc>
        <w:tc>
          <w:tcPr>
            <w:tcW w:w="0" w:type="auto"/>
            <w:vAlign w:val="center"/>
          </w:tcPr>
          <w:p w14:paraId="35649550" w14:textId="2E9968E3" w:rsidR="00CE207C" w:rsidRPr="007245B0" w:rsidRDefault="00CE207C" w:rsidP="00CE207C">
            <w:pPr>
              <w:pStyle w:val="NoSpacing"/>
              <w:jc w:val="center"/>
              <w:rPr>
                <w:rFonts w:ascii="Times New Roman" w:hAnsi="Times New Roman" w:cs="Times New Roman"/>
              </w:rPr>
            </w:pPr>
            <w:r w:rsidRPr="007245B0">
              <w:rPr>
                <w:rFonts w:ascii="Times New Roman" w:hAnsi="Times New Roman" w:cs="Times New Roman"/>
              </w:rPr>
              <w:t>..</w:t>
            </w:r>
          </w:p>
        </w:tc>
        <w:tc>
          <w:tcPr>
            <w:tcW w:w="0" w:type="auto"/>
            <w:vAlign w:val="center"/>
          </w:tcPr>
          <w:p w14:paraId="6EC0EB76" w14:textId="4E59ABB3" w:rsidR="00CE207C" w:rsidRPr="007245B0" w:rsidRDefault="00CE207C" w:rsidP="00CE207C">
            <w:pPr>
              <w:pStyle w:val="NoSpacing"/>
              <w:jc w:val="center"/>
              <w:rPr>
                <w:rFonts w:ascii="Times New Roman" w:hAnsi="Times New Roman" w:cs="Times New Roman"/>
              </w:rPr>
            </w:pPr>
            <w:r w:rsidRPr="007245B0">
              <w:rPr>
                <w:rFonts w:ascii="Times New Roman" w:hAnsi="Times New Roman" w:cs="Times New Roman"/>
              </w:rPr>
              <w:t>..</w:t>
            </w:r>
          </w:p>
        </w:tc>
      </w:tr>
      <w:tr w:rsidR="00CE207C" w:rsidRPr="007245B0" w14:paraId="141D9E81" w14:textId="77777777" w:rsidTr="00CE207C">
        <w:trPr>
          <w:trHeight w:val="297"/>
        </w:trPr>
        <w:tc>
          <w:tcPr>
            <w:tcW w:w="0" w:type="auto"/>
            <w:hideMark/>
          </w:tcPr>
          <w:p w14:paraId="100E65FA" w14:textId="77777777" w:rsidR="00CE207C" w:rsidRPr="00CE207C" w:rsidRDefault="00CE207C" w:rsidP="00CE207C">
            <w:pPr>
              <w:pStyle w:val="NoSpacing"/>
              <w:rPr>
                <w:rFonts w:ascii="Times New Roman" w:hAnsi="Times New Roman" w:cs="Times New Roman"/>
                <w:b/>
                <w:bCs/>
              </w:rPr>
            </w:pPr>
            <w:r w:rsidRPr="00CE207C">
              <w:rPr>
                <w:rFonts w:ascii="Times New Roman" w:hAnsi="Times New Roman" w:cs="Times New Roman"/>
                <w:b/>
                <w:bCs/>
              </w:rPr>
              <w:t>6. Jammu &amp; Kashmir</w:t>
            </w:r>
          </w:p>
        </w:tc>
        <w:tc>
          <w:tcPr>
            <w:tcW w:w="0" w:type="auto"/>
            <w:vAlign w:val="center"/>
          </w:tcPr>
          <w:p w14:paraId="136AE2DE" w14:textId="560FB0FC" w:rsidR="00CE207C" w:rsidRPr="007245B0" w:rsidRDefault="00CE207C" w:rsidP="00CE207C">
            <w:pPr>
              <w:pStyle w:val="NoSpacing"/>
              <w:jc w:val="center"/>
              <w:rPr>
                <w:rFonts w:ascii="Times New Roman" w:hAnsi="Times New Roman" w:cs="Times New Roman"/>
              </w:rPr>
            </w:pPr>
          </w:p>
        </w:tc>
        <w:tc>
          <w:tcPr>
            <w:tcW w:w="0" w:type="auto"/>
            <w:vAlign w:val="center"/>
          </w:tcPr>
          <w:p w14:paraId="068E1739" w14:textId="7043047A" w:rsidR="00CE207C" w:rsidRPr="007245B0" w:rsidRDefault="00CE207C" w:rsidP="00CE207C">
            <w:pPr>
              <w:pStyle w:val="NoSpacing"/>
              <w:jc w:val="center"/>
              <w:rPr>
                <w:rFonts w:ascii="Times New Roman" w:hAnsi="Times New Roman" w:cs="Times New Roman"/>
              </w:rPr>
            </w:pPr>
          </w:p>
        </w:tc>
      </w:tr>
      <w:tr w:rsidR="00CE207C" w:rsidRPr="007245B0" w14:paraId="711C0244" w14:textId="77777777" w:rsidTr="00CE207C">
        <w:trPr>
          <w:trHeight w:val="284"/>
        </w:trPr>
        <w:tc>
          <w:tcPr>
            <w:tcW w:w="0" w:type="auto"/>
            <w:hideMark/>
          </w:tcPr>
          <w:p w14:paraId="4F568890" w14:textId="77777777" w:rsidR="00CE207C" w:rsidRPr="007245B0" w:rsidRDefault="00CE207C" w:rsidP="00CE207C">
            <w:pPr>
              <w:pStyle w:val="NoSpacing"/>
              <w:rPr>
                <w:rFonts w:ascii="Times New Roman" w:hAnsi="Times New Roman" w:cs="Times New Roman"/>
              </w:rPr>
            </w:pPr>
            <w:r w:rsidRPr="007245B0">
              <w:rPr>
                <w:rFonts w:ascii="Times New Roman" w:hAnsi="Times New Roman" w:cs="Times New Roman"/>
              </w:rPr>
              <w:t>Jammu</w:t>
            </w:r>
          </w:p>
        </w:tc>
        <w:tc>
          <w:tcPr>
            <w:tcW w:w="0" w:type="auto"/>
            <w:vAlign w:val="center"/>
            <w:hideMark/>
          </w:tcPr>
          <w:p w14:paraId="45C1E403" w14:textId="77777777" w:rsidR="00CE207C" w:rsidRPr="007245B0" w:rsidRDefault="00CE207C" w:rsidP="00CE207C">
            <w:pPr>
              <w:pStyle w:val="NoSpacing"/>
              <w:jc w:val="center"/>
              <w:rPr>
                <w:rFonts w:ascii="Times New Roman" w:hAnsi="Times New Roman" w:cs="Times New Roman"/>
              </w:rPr>
            </w:pPr>
            <w:r w:rsidRPr="007245B0">
              <w:rPr>
                <w:rFonts w:ascii="Times New Roman" w:hAnsi="Times New Roman" w:cs="Times New Roman"/>
              </w:rPr>
              <w:t>1,118</w:t>
            </w:r>
          </w:p>
        </w:tc>
        <w:tc>
          <w:tcPr>
            <w:tcW w:w="0" w:type="auto"/>
            <w:vAlign w:val="center"/>
            <w:hideMark/>
          </w:tcPr>
          <w:p w14:paraId="3A552FEA" w14:textId="77777777" w:rsidR="00CE207C" w:rsidRPr="007245B0" w:rsidRDefault="00CE207C" w:rsidP="00CE207C">
            <w:pPr>
              <w:pStyle w:val="NoSpacing"/>
              <w:jc w:val="center"/>
              <w:rPr>
                <w:rFonts w:ascii="Times New Roman" w:hAnsi="Times New Roman" w:cs="Times New Roman"/>
              </w:rPr>
            </w:pPr>
            <w:r w:rsidRPr="007245B0">
              <w:rPr>
                <w:rFonts w:ascii="Times New Roman" w:hAnsi="Times New Roman" w:cs="Times New Roman"/>
              </w:rPr>
              <w:t>1,563</w:t>
            </w:r>
          </w:p>
        </w:tc>
      </w:tr>
      <w:tr w:rsidR="00CE207C" w:rsidRPr="007245B0" w14:paraId="3048E885" w14:textId="77777777" w:rsidTr="00CE207C">
        <w:trPr>
          <w:trHeight w:val="284"/>
        </w:trPr>
        <w:tc>
          <w:tcPr>
            <w:tcW w:w="0" w:type="auto"/>
            <w:hideMark/>
          </w:tcPr>
          <w:p w14:paraId="5A8FD7DF" w14:textId="77777777" w:rsidR="00CE207C" w:rsidRPr="007245B0" w:rsidRDefault="00CE207C" w:rsidP="00CE207C">
            <w:pPr>
              <w:pStyle w:val="NoSpacing"/>
              <w:rPr>
                <w:rFonts w:ascii="Times New Roman" w:hAnsi="Times New Roman" w:cs="Times New Roman"/>
              </w:rPr>
            </w:pPr>
            <w:r w:rsidRPr="007245B0">
              <w:rPr>
                <w:rFonts w:ascii="Times New Roman" w:hAnsi="Times New Roman" w:cs="Times New Roman"/>
              </w:rPr>
              <w:t>Srinagar</w:t>
            </w:r>
          </w:p>
        </w:tc>
        <w:tc>
          <w:tcPr>
            <w:tcW w:w="0" w:type="auto"/>
            <w:vAlign w:val="center"/>
            <w:hideMark/>
          </w:tcPr>
          <w:p w14:paraId="5B5978E0" w14:textId="77777777" w:rsidR="00CE207C" w:rsidRPr="007245B0" w:rsidRDefault="00CE207C" w:rsidP="00CE207C">
            <w:pPr>
              <w:pStyle w:val="NoSpacing"/>
              <w:jc w:val="center"/>
              <w:rPr>
                <w:rFonts w:ascii="Times New Roman" w:hAnsi="Times New Roman" w:cs="Times New Roman"/>
              </w:rPr>
            </w:pPr>
            <w:r w:rsidRPr="007245B0">
              <w:rPr>
                <w:rFonts w:ascii="Times New Roman" w:hAnsi="Times New Roman" w:cs="Times New Roman"/>
              </w:rPr>
              <w:t>2,028</w:t>
            </w:r>
          </w:p>
        </w:tc>
        <w:tc>
          <w:tcPr>
            <w:tcW w:w="0" w:type="auto"/>
            <w:vAlign w:val="center"/>
            <w:hideMark/>
          </w:tcPr>
          <w:p w14:paraId="127F14AD" w14:textId="77777777" w:rsidR="00CE207C" w:rsidRPr="007245B0" w:rsidRDefault="00CE207C" w:rsidP="00CE207C">
            <w:pPr>
              <w:pStyle w:val="NoSpacing"/>
              <w:jc w:val="center"/>
              <w:rPr>
                <w:rFonts w:ascii="Times New Roman" w:hAnsi="Times New Roman" w:cs="Times New Roman"/>
              </w:rPr>
            </w:pPr>
            <w:r w:rsidRPr="007245B0">
              <w:rPr>
                <w:rFonts w:ascii="Times New Roman" w:hAnsi="Times New Roman" w:cs="Times New Roman"/>
              </w:rPr>
              <w:t>1,359</w:t>
            </w:r>
          </w:p>
        </w:tc>
      </w:tr>
      <w:tr w:rsidR="00CE207C" w:rsidRPr="007245B0" w14:paraId="79503F0E" w14:textId="77777777" w:rsidTr="00CE207C">
        <w:trPr>
          <w:trHeight w:val="284"/>
        </w:trPr>
        <w:tc>
          <w:tcPr>
            <w:tcW w:w="0" w:type="auto"/>
            <w:vAlign w:val="center"/>
          </w:tcPr>
          <w:p w14:paraId="3E082148" w14:textId="56D407DF" w:rsidR="00CE207C" w:rsidRPr="007245B0" w:rsidRDefault="00CE207C" w:rsidP="00CE207C">
            <w:pPr>
              <w:pStyle w:val="NoSpacing"/>
              <w:jc w:val="right"/>
              <w:rPr>
                <w:rFonts w:ascii="Times New Roman" w:hAnsi="Times New Roman" w:cs="Times New Roman"/>
              </w:rPr>
            </w:pPr>
            <w:r>
              <w:rPr>
                <w:rFonts w:ascii="Times New Roman" w:hAnsi="Times New Roman" w:cs="Times New Roman"/>
              </w:rPr>
              <w:t>Total</w:t>
            </w:r>
          </w:p>
        </w:tc>
        <w:tc>
          <w:tcPr>
            <w:tcW w:w="0" w:type="auto"/>
            <w:vAlign w:val="center"/>
          </w:tcPr>
          <w:p w14:paraId="58F1A471" w14:textId="3529F0F7" w:rsidR="00CE207C" w:rsidRPr="007245B0" w:rsidRDefault="00CE207C" w:rsidP="00CE207C">
            <w:pPr>
              <w:pStyle w:val="NoSpacing"/>
              <w:jc w:val="center"/>
              <w:rPr>
                <w:rFonts w:ascii="Times New Roman" w:hAnsi="Times New Roman" w:cs="Times New Roman"/>
              </w:rPr>
            </w:pPr>
            <w:r w:rsidRPr="007245B0">
              <w:rPr>
                <w:rFonts w:ascii="Times New Roman" w:hAnsi="Times New Roman" w:cs="Times New Roman"/>
              </w:rPr>
              <w:t>3,146</w:t>
            </w:r>
          </w:p>
        </w:tc>
        <w:tc>
          <w:tcPr>
            <w:tcW w:w="0" w:type="auto"/>
            <w:vAlign w:val="center"/>
          </w:tcPr>
          <w:p w14:paraId="493E625C" w14:textId="250E1464" w:rsidR="00CE207C" w:rsidRPr="007245B0" w:rsidRDefault="00CE207C" w:rsidP="00CE207C">
            <w:pPr>
              <w:pStyle w:val="NoSpacing"/>
              <w:jc w:val="center"/>
              <w:rPr>
                <w:rFonts w:ascii="Times New Roman" w:hAnsi="Times New Roman" w:cs="Times New Roman"/>
              </w:rPr>
            </w:pPr>
            <w:r w:rsidRPr="007245B0">
              <w:rPr>
                <w:rFonts w:ascii="Times New Roman" w:hAnsi="Times New Roman" w:cs="Times New Roman"/>
              </w:rPr>
              <w:t>2,922</w:t>
            </w:r>
          </w:p>
        </w:tc>
      </w:tr>
    </w:tbl>
    <w:p w14:paraId="1D67891A" w14:textId="355912B4" w:rsidR="00EB2363" w:rsidRPr="007245B0" w:rsidRDefault="00EB2363" w:rsidP="00DF5B04">
      <w:pPr>
        <w:tabs>
          <w:tab w:val="left" w:pos="3143"/>
        </w:tabs>
        <w:rPr>
          <w:rFonts w:ascii="Times New Roman" w:hAnsi="Times New Roman" w:cs="Times New Roman"/>
          <w:i/>
          <w:iCs/>
        </w:rPr>
      </w:pPr>
    </w:p>
    <w:p w14:paraId="352F658C" w14:textId="77777777" w:rsidR="00EB2363" w:rsidRPr="007245B0" w:rsidRDefault="00EB2363">
      <w:pPr>
        <w:rPr>
          <w:rFonts w:ascii="Times New Roman" w:hAnsi="Times New Roman" w:cs="Times New Roman"/>
          <w:i/>
          <w:iCs/>
        </w:rPr>
      </w:pPr>
      <w:r w:rsidRPr="007245B0">
        <w:rPr>
          <w:rFonts w:ascii="Times New Roman" w:hAnsi="Times New Roman" w:cs="Times New Roman"/>
          <w:i/>
          <w:iCs/>
        </w:rPr>
        <w:br w:type="page"/>
      </w:r>
    </w:p>
    <w:p w14:paraId="2B5E650B" w14:textId="6868FE7D" w:rsidR="00EB2363" w:rsidRDefault="00574BCE" w:rsidP="001E634B">
      <w:pPr>
        <w:pStyle w:val="NoSpacing"/>
        <w:jc w:val="center"/>
        <w:rPr>
          <w:rFonts w:ascii="Times New Roman" w:hAnsi="Times New Roman" w:cs="Times New Roman"/>
          <w:b/>
          <w:bCs/>
        </w:rPr>
      </w:pPr>
      <w:r>
        <w:rPr>
          <w:rFonts w:ascii="Times New Roman" w:hAnsi="Times New Roman" w:cs="Times New Roman"/>
          <w:b/>
          <w:bCs/>
        </w:rPr>
        <w:lastRenderedPageBreak/>
        <w:t>Table</w:t>
      </w:r>
      <w:r w:rsidR="00EB2363" w:rsidRPr="00CE207C">
        <w:rPr>
          <w:rFonts w:ascii="Times New Roman" w:hAnsi="Times New Roman" w:cs="Times New Roman"/>
          <w:b/>
          <w:bCs/>
        </w:rPr>
        <w:t xml:space="preserve"> 62: Number of passengers carried by Indian Airlines embarking and disembarking in January 1969-contd.</w:t>
      </w:r>
    </w:p>
    <w:p w14:paraId="130176D4" w14:textId="77777777" w:rsidR="00CE207C" w:rsidRPr="00CE207C" w:rsidRDefault="00CE207C" w:rsidP="001E634B">
      <w:pPr>
        <w:pStyle w:val="NoSpacing"/>
        <w:jc w:val="center"/>
        <w:rPr>
          <w:rFonts w:ascii="Times New Roman" w:hAnsi="Times New Roman" w:cs="Times New Roman"/>
          <w:b/>
          <w:bCs/>
        </w:rPr>
      </w:pPr>
    </w:p>
    <w:tbl>
      <w:tblPr>
        <w:tblStyle w:val="TableGrid"/>
        <w:tblpPr w:leftFromText="180" w:rightFromText="180" w:vertAnchor="text" w:horzAnchor="margin" w:tblpXSpec="center" w:tblpY="3"/>
        <w:tblW w:w="11100" w:type="dxa"/>
        <w:tblLook w:val="04A0" w:firstRow="1" w:lastRow="0" w:firstColumn="1" w:lastColumn="0" w:noHBand="0" w:noVBand="1"/>
      </w:tblPr>
      <w:tblGrid>
        <w:gridCol w:w="3209"/>
        <w:gridCol w:w="3739"/>
        <w:gridCol w:w="4152"/>
      </w:tblGrid>
      <w:tr w:rsidR="001E634B" w:rsidRPr="00CE207C" w14:paraId="2AA607C4" w14:textId="77777777" w:rsidTr="00CE207C">
        <w:trPr>
          <w:trHeight w:val="113"/>
        </w:trPr>
        <w:tc>
          <w:tcPr>
            <w:tcW w:w="0" w:type="auto"/>
            <w:vMerge w:val="restart"/>
            <w:vAlign w:val="center"/>
          </w:tcPr>
          <w:p w14:paraId="5FD89C7B" w14:textId="77777777" w:rsidR="001E634B" w:rsidRPr="00CE207C" w:rsidRDefault="001E634B" w:rsidP="00CE207C">
            <w:pPr>
              <w:pStyle w:val="NoSpacing"/>
              <w:jc w:val="center"/>
              <w:rPr>
                <w:rFonts w:ascii="Times New Roman" w:hAnsi="Times New Roman" w:cs="Times New Roman"/>
                <w:b/>
                <w:bCs/>
                <w:sz w:val="28"/>
                <w:szCs w:val="22"/>
              </w:rPr>
            </w:pPr>
            <w:r w:rsidRPr="00CE207C">
              <w:rPr>
                <w:rFonts w:ascii="Times New Roman" w:hAnsi="Times New Roman" w:cs="Times New Roman"/>
                <w:b/>
                <w:bCs/>
                <w:sz w:val="28"/>
                <w:szCs w:val="22"/>
              </w:rPr>
              <w:t>State / City</w:t>
            </w:r>
          </w:p>
        </w:tc>
        <w:tc>
          <w:tcPr>
            <w:tcW w:w="0" w:type="auto"/>
            <w:gridSpan w:val="2"/>
            <w:vAlign w:val="center"/>
          </w:tcPr>
          <w:p w14:paraId="13F7F606" w14:textId="77777777" w:rsidR="001E634B" w:rsidRPr="00CE207C" w:rsidRDefault="001E634B" w:rsidP="00CE207C">
            <w:pPr>
              <w:pStyle w:val="NoSpacing"/>
              <w:jc w:val="center"/>
              <w:rPr>
                <w:rFonts w:ascii="Times New Roman" w:hAnsi="Times New Roman" w:cs="Times New Roman"/>
                <w:b/>
                <w:bCs/>
                <w:sz w:val="28"/>
                <w:szCs w:val="22"/>
              </w:rPr>
            </w:pPr>
            <w:r w:rsidRPr="00CE207C">
              <w:rPr>
                <w:rFonts w:ascii="Times New Roman" w:hAnsi="Times New Roman" w:cs="Times New Roman"/>
                <w:b/>
                <w:bCs/>
                <w:sz w:val="28"/>
                <w:szCs w:val="22"/>
              </w:rPr>
              <w:t>Number of passengers</w:t>
            </w:r>
          </w:p>
        </w:tc>
      </w:tr>
      <w:tr w:rsidR="001E634B" w:rsidRPr="00CE207C" w14:paraId="528CF730" w14:textId="77777777" w:rsidTr="00CE207C">
        <w:trPr>
          <w:trHeight w:val="113"/>
        </w:trPr>
        <w:tc>
          <w:tcPr>
            <w:tcW w:w="0" w:type="auto"/>
            <w:vMerge/>
            <w:vAlign w:val="center"/>
            <w:hideMark/>
          </w:tcPr>
          <w:p w14:paraId="3E84BDE6" w14:textId="77777777" w:rsidR="001E634B" w:rsidRPr="00CE207C" w:rsidRDefault="001E634B" w:rsidP="00CE207C">
            <w:pPr>
              <w:pStyle w:val="NoSpacing"/>
              <w:jc w:val="center"/>
              <w:rPr>
                <w:rFonts w:ascii="Times New Roman" w:hAnsi="Times New Roman" w:cs="Times New Roman"/>
                <w:b/>
                <w:bCs/>
                <w:sz w:val="28"/>
                <w:szCs w:val="22"/>
              </w:rPr>
            </w:pPr>
          </w:p>
        </w:tc>
        <w:tc>
          <w:tcPr>
            <w:tcW w:w="0" w:type="auto"/>
            <w:vAlign w:val="center"/>
            <w:hideMark/>
          </w:tcPr>
          <w:p w14:paraId="0575F647" w14:textId="77777777" w:rsidR="001E634B" w:rsidRPr="00CE207C" w:rsidRDefault="001E634B" w:rsidP="00CE207C">
            <w:pPr>
              <w:pStyle w:val="NoSpacing"/>
              <w:jc w:val="center"/>
              <w:rPr>
                <w:rFonts w:ascii="Times New Roman" w:hAnsi="Times New Roman" w:cs="Times New Roman"/>
                <w:b/>
                <w:bCs/>
                <w:sz w:val="28"/>
                <w:szCs w:val="22"/>
              </w:rPr>
            </w:pPr>
            <w:r w:rsidRPr="00CE207C">
              <w:rPr>
                <w:rFonts w:ascii="Times New Roman" w:hAnsi="Times New Roman" w:cs="Times New Roman"/>
                <w:b/>
                <w:bCs/>
                <w:sz w:val="28"/>
                <w:szCs w:val="22"/>
              </w:rPr>
              <w:t>Embarking Passengers</w:t>
            </w:r>
          </w:p>
        </w:tc>
        <w:tc>
          <w:tcPr>
            <w:tcW w:w="0" w:type="auto"/>
            <w:vAlign w:val="center"/>
            <w:hideMark/>
          </w:tcPr>
          <w:p w14:paraId="1975AD7B" w14:textId="77777777" w:rsidR="001E634B" w:rsidRPr="00CE207C" w:rsidRDefault="001E634B" w:rsidP="00CE207C">
            <w:pPr>
              <w:pStyle w:val="NoSpacing"/>
              <w:jc w:val="center"/>
              <w:rPr>
                <w:rFonts w:ascii="Times New Roman" w:hAnsi="Times New Roman" w:cs="Times New Roman"/>
                <w:b/>
                <w:bCs/>
                <w:sz w:val="28"/>
                <w:szCs w:val="22"/>
              </w:rPr>
            </w:pPr>
            <w:r w:rsidRPr="00CE207C">
              <w:rPr>
                <w:rFonts w:ascii="Times New Roman" w:hAnsi="Times New Roman" w:cs="Times New Roman"/>
                <w:b/>
                <w:bCs/>
                <w:sz w:val="28"/>
                <w:szCs w:val="22"/>
              </w:rPr>
              <w:t>Disembarking Passengers</w:t>
            </w:r>
          </w:p>
        </w:tc>
      </w:tr>
      <w:tr w:rsidR="001E634B" w:rsidRPr="00CE207C" w14:paraId="30CE439D" w14:textId="77777777" w:rsidTr="001E634B">
        <w:trPr>
          <w:trHeight w:val="113"/>
        </w:trPr>
        <w:tc>
          <w:tcPr>
            <w:tcW w:w="0" w:type="auto"/>
            <w:hideMark/>
          </w:tcPr>
          <w:p w14:paraId="04F3CC6D" w14:textId="77777777" w:rsidR="001E634B" w:rsidRPr="00CE207C" w:rsidRDefault="001E634B" w:rsidP="001E634B">
            <w:pPr>
              <w:pStyle w:val="NoSpacing"/>
              <w:rPr>
                <w:rFonts w:ascii="Times New Roman" w:hAnsi="Times New Roman" w:cs="Times New Roman"/>
                <w:b/>
                <w:bCs/>
                <w:sz w:val="28"/>
                <w:szCs w:val="22"/>
              </w:rPr>
            </w:pPr>
            <w:r w:rsidRPr="00CE207C">
              <w:rPr>
                <w:rFonts w:ascii="Times New Roman" w:hAnsi="Times New Roman" w:cs="Times New Roman"/>
                <w:b/>
                <w:bCs/>
                <w:sz w:val="28"/>
                <w:szCs w:val="22"/>
              </w:rPr>
              <w:t>7. Kerala</w:t>
            </w:r>
          </w:p>
        </w:tc>
        <w:tc>
          <w:tcPr>
            <w:tcW w:w="0" w:type="auto"/>
          </w:tcPr>
          <w:p w14:paraId="17F618DD" w14:textId="48B9B373" w:rsidR="001E634B" w:rsidRPr="00CE207C" w:rsidRDefault="001E634B" w:rsidP="001E634B">
            <w:pPr>
              <w:pStyle w:val="NoSpacing"/>
              <w:rPr>
                <w:rFonts w:ascii="Times New Roman" w:hAnsi="Times New Roman" w:cs="Times New Roman"/>
                <w:sz w:val="28"/>
                <w:szCs w:val="22"/>
              </w:rPr>
            </w:pPr>
          </w:p>
        </w:tc>
        <w:tc>
          <w:tcPr>
            <w:tcW w:w="0" w:type="auto"/>
          </w:tcPr>
          <w:p w14:paraId="572490A7" w14:textId="04EE6588" w:rsidR="001E634B" w:rsidRPr="00CE207C" w:rsidRDefault="001E634B" w:rsidP="001E634B">
            <w:pPr>
              <w:pStyle w:val="NoSpacing"/>
              <w:rPr>
                <w:rFonts w:ascii="Times New Roman" w:hAnsi="Times New Roman" w:cs="Times New Roman"/>
                <w:sz w:val="28"/>
                <w:szCs w:val="22"/>
              </w:rPr>
            </w:pPr>
          </w:p>
        </w:tc>
      </w:tr>
      <w:tr w:rsidR="001E634B" w:rsidRPr="00CE207C" w14:paraId="09A4BE01" w14:textId="77777777" w:rsidTr="00CE207C">
        <w:trPr>
          <w:trHeight w:val="113"/>
        </w:trPr>
        <w:tc>
          <w:tcPr>
            <w:tcW w:w="0" w:type="auto"/>
            <w:hideMark/>
          </w:tcPr>
          <w:p w14:paraId="7404BBEB" w14:textId="77777777" w:rsidR="001E634B" w:rsidRPr="00CE207C" w:rsidRDefault="001E634B" w:rsidP="001E634B">
            <w:pPr>
              <w:pStyle w:val="NoSpacing"/>
              <w:rPr>
                <w:rFonts w:ascii="Times New Roman" w:hAnsi="Times New Roman" w:cs="Times New Roman"/>
                <w:sz w:val="28"/>
                <w:szCs w:val="22"/>
              </w:rPr>
            </w:pPr>
            <w:r w:rsidRPr="00CE207C">
              <w:rPr>
                <w:rFonts w:ascii="Times New Roman" w:hAnsi="Times New Roman" w:cs="Times New Roman"/>
                <w:sz w:val="28"/>
                <w:szCs w:val="22"/>
              </w:rPr>
              <w:t>Cochin</w:t>
            </w:r>
          </w:p>
        </w:tc>
        <w:tc>
          <w:tcPr>
            <w:tcW w:w="0" w:type="auto"/>
            <w:vAlign w:val="center"/>
            <w:hideMark/>
          </w:tcPr>
          <w:p w14:paraId="74AA170F" w14:textId="77777777" w:rsidR="001E634B" w:rsidRPr="00CE207C" w:rsidRDefault="001E634B" w:rsidP="00CE207C">
            <w:pPr>
              <w:pStyle w:val="NoSpacing"/>
              <w:jc w:val="center"/>
              <w:rPr>
                <w:rFonts w:ascii="Times New Roman" w:hAnsi="Times New Roman" w:cs="Times New Roman"/>
                <w:sz w:val="28"/>
                <w:szCs w:val="22"/>
              </w:rPr>
            </w:pPr>
            <w:r w:rsidRPr="00CE207C">
              <w:rPr>
                <w:rFonts w:ascii="Times New Roman" w:hAnsi="Times New Roman" w:cs="Times New Roman"/>
                <w:sz w:val="28"/>
                <w:szCs w:val="22"/>
              </w:rPr>
              <w:t>4,760</w:t>
            </w:r>
          </w:p>
        </w:tc>
        <w:tc>
          <w:tcPr>
            <w:tcW w:w="0" w:type="auto"/>
            <w:vAlign w:val="center"/>
            <w:hideMark/>
          </w:tcPr>
          <w:p w14:paraId="3C43A1D8" w14:textId="77777777" w:rsidR="001E634B" w:rsidRPr="00CE207C" w:rsidRDefault="001E634B" w:rsidP="00CE207C">
            <w:pPr>
              <w:pStyle w:val="NoSpacing"/>
              <w:jc w:val="center"/>
              <w:rPr>
                <w:rFonts w:ascii="Times New Roman" w:hAnsi="Times New Roman" w:cs="Times New Roman"/>
                <w:sz w:val="28"/>
                <w:szCs w:val="22"/>
              </w:rPr>
            </w:pPr>
            <w:r w:rsidRPr="00CE207C">
              <w:rPr>
                <w:rFonts w:ascii="Times New Roman" w:hAnsi="Times New Roman" w:cs="Times New Roman"/>
                <w:sz w:val="28"/>
                <w:szCs w:val="22"/>
              </w:rPr>
              <w:t>4,519</w:t>
            </w:r>
          </w:p>
        </w:tc>
      </w:tr>
      <w:tr w:rsidR="001E634B" w:rsidRPr="00CE207C" w14:paraId="7F00B3FE" w14:textId="77777777" w:rsidTr="00CE207C">
        <w:trPr>
          <w:trHeight w:val="113"/>
        </w:trPr>
        <w:tc>
          <w:tcPr>
            <w:tcW w:w="0" w:type="auto"/>
            <w:hideMark/>
          </w:tcPr>
          <w:p w14:paraId="1019DA5F" w14:textId="77777777" w:rsidR="001E634B" w:rsidRPr="00CE207C" w:rsidRDefault="001E634B" w:rsidP="001E634B">
            <w:pPr>
              <w:pStyle w:val="NoSpacing"/>
              <w:rPr>
                <w:rFonts w:ascii="Times New Roman" w:hAnsi="Times New Roman" w:cs="Times New Roman"/>
                <w:sz w:val="28"/>
                <w:szCs w:val="22"/>
              </w:rPr>
            </w:pPr>
            <w:r w:rsidRPr="00CE207C">
              <w:rPr>
                <w:rFonts w:ascii="Times New Roman" w:hAnsi="Times New Roman" w:cs="Times New Roman"/>
                <w:sz w:val="28"/>
                <w:szCs w:val="22"/>
              </w:rPr>
              <w:t>Trivandrum</w:t>
            </w:r>
          </w:p>
        </w:tc>
        <w:tc>
          <w:tcPr>
            <w:tcW w:w="0" w:type="auto"/>
            <w:vAlign w:val="center"/>
            <w:hideMark/>
          </w:tcPr>
          <w:p w14:paraId="4ADB3638" w14:textId="77777777" w:rsidR="001E634B" w:rsidRPr="00CE207C" w:rsidRDefault="001E634B" w:rsidP="00CE207C">
            <w:pPr>
              <w:pStyle w:val="NoSpacing"/>
              <w:jc w:val="center"/>
              <w:rPr>
                <w:rFonts w:ascii="Times New Roman" w:hAnsi="Times New Roman" w:cs="Times New Roman"/>
                <w:sz w:val="28"/>
                <w:szCs w:val="22"/>
              </w:rPr>
            </w:pPr>
            <w:r w:rsidRPr="00CE207C">
              <w:rPr>
                <w:rFonts w:ascii="Times New Roman" w:hAnsi="Times New Roman" w:cs="Times New Roman"/>
                <w:sz w:val="28"/>
                <w:szCs w:val="22"/>
              </w:rPr>
              <w:t>1,688</w:t>
            </w:r>
          </w:p>
        </w:tc>
        <w:tc>
          <w:tcPr>
            <w:tcW w:w="0" w:type="auto"/>
            <w:vAlign w:val="center"/>
            <w:hideMark/>
          </w:tcPr>
          <w:p w14:paraId="56BBD5AA" w14:textId="77777777" w:rsidR="001E634B" w:rsidRPr="00CE207C" w:rsidRDefault="001E634B" w:rsidP="00CE207C">
            <w:pPr>
              <w:pStyle w:val="NoSpacing"/>
              <w:jc w:val="center"/>
              <w:rPr>
                <w:rFonts w:ascii="Times New Roman" w:hAnsi="Times New Roman" w:cs="Times New Roman"/>
                <w:sz w:val="28"/>
                <w:szCs w:val="22"/>
              </w:rPr>
            </w:pPr>
            <w:r w:rsidRPr="00CE207C">
              <w:rPr>
                <w:rFonts w:ascii="Times New Roman" w:hAnsi="Times New Roman" w:cs="Times New Roman"/>
                <w:sz w:val="28"/>
                <w:szCs w:val="22"/>
              </w:rPr>
              <w:t>1,563</w:t>
            </w:r>
          </w:p>
        </w:tc>
      </w:tr>
      <w:tr w:rsidR="00CE207C" w:rsidRPr="00CE207C" w14:paraId="77B7676F" w14:textId="77777777" w:rsidTr="00CE207C">
        <w:trPr>
          <w:trHeight w:val="113"/>
        </w:trPr>
        <w:tc>
          <w:tcPr>
            <w:tcW w:w="0" w:type="auto"/>
            <w:vAlign w:val="center"/>
          </w:tcPr>
          <w:p w14:paraId="5906244A" w14:textId="35B1A77A" w:rsidR="00CE207C" w:rsidRPr="00CE207C" w:rsidRDefault="00CE207C" w:rsidP="00CE207C">
            <w:pPr>
              <w:pStyle w:val="NoSpacing"/>
              <w:jc w:val="right"/>
              <w:rPr>
                <w:rFonts w:ascii="Times New Roman" w:hAnsi="Times New Roman" w:cs="Times New Roman"/>
                <w:sz w:val="28"/>
                <w:szCs w:val="22"/>
              </w:rPr>
            </w:pPr>
            <w:r w:rsidRPr="00CE207C">
              <w:rPr>
                <w:rFonts w:ascii="Times New Roman" w:hAnsi="Times New Roman" w:cs="Times New Roman"/>
                <w:sz w:val="28"/>
                <w:szCs w:val="22"/>
              </w:rPr>
              <w:t>Total</w:t>
            </w:r>
          </w:p>
        </w:tc>
        <w:tc>
          <w:tcPr>
            <w:tcW w:w="0" w:type="auto"/>
            <w:vAlign w:val="center"/>
          </w:tcPr>
          <w:p w14:paraId="5BAAFF07" w14:textId="339810F8" w:rsidR="00CE207C" w:rsidRPr="00CE207C" w:rsidRDefault="00CE207C" w:rsidP="00CE207C">
            <w:pPr>
              <w:pStyle w:val="NoSpacing"/>
              <w:jc w:val="center"/>
              <w:rPr>
                <w:rFonts w:ascii="Times New Roman" w:hAnsi="Times New Roman" w:cs="Times New Roman"/>
                <w:sz w:val="28"/>
                <w:szCs w:val="22"/>
              </w:rPr>
            </w:pPr>
            <w:r w:rsidRPr="00CE207C">
              <w:rPr>
                <w:rFonts w:ascii="Times New Roman" w:hAnsi="Times New Roman" w:cs="Times New Roman"/>
                <w:sz w:val="28"/>
                <w:szCs w:val="22"/>
              </w:rPr>
              <w:t>6,448</w:t>
            </w:r>
          </w:p>
        </w:tc>
        <w:tc>
          <w:tcPr>
            <w:tcW w:w="0" w:type="auto"/>
            <w:vAlign w:val="center"/>
          </w:tcPr>
          <w:p w14:paraId="4A0688B5" w14:textId="6BCFC339" w:rsidR="00CE207C" w:rsidRPr="00CE207C" w:rsidRDefault="00CE207C" w:rsidP="00CE207C">
            <w:pPr>
              <w:pStyle w:val="NoSpacing"/>
              <w:jc w:val="center"/>
              <w:rPr>
                <w:rFonts w:ascii="Times New Roman" w:hAnsi="Times New Roman" w:cs="Times New Roman"/>
                <w:sz w:val="28"/>
                <w:szCs w:val="22"/>
              </w:rPr>
            </w:pPr>
            <w:r w:rsidRPr="00CE207C">
              <w:rPr>
                <w:rFonts w:ascii="Times New Roman" w:hAnsi="Times New Roman" w:cs="Times New Roman"/>
                <w:sz w:val="28"/>
                <w:szCs w:val="22"/>
              </w:rPr>
              <w:t>6,082</w:t>
            </w:r>
          </w:p>
        </w:tc>
      </w:tr>
      <w:tr w:rsidR="00CE207C" w:rsidRPr="00CE207C" w14:paraId="6950C292" w14:textId="77777777" w:rsidTr="00CE207C">
        <w:trPr>
          <w:trHeight w:val="113"/>
        </w:trPr>
        <w:tc>
          <w:tcPr>
            <w:tcW w:w="0" w:type="auto"/>
            <w:hideMark/>
          </w:tcPr>
          <w:p w14:paraId="52080BCD" w14:textId="77777777" w:rsidR="00CE207C" w:rsidRPr="00CE207C" w:rsidRDefault="00CE207C" w:rsidP="00CE207C">
            <w:pPr>
              <w:pStyle w:val="NoSpacing"/>
              <w:rPr>
                <w:rFonts w:ascii="Times New Roman" w:hAnsi="Times New Roman" w:cs="Times New Roman"/>
                <w:b/>
                <w:bCs/>
                <w:sz w:val="28"/>
                <w:szCs w:val="22"/>
              </w:rPr>
            </w:pPr>
            <w:r w:rsidRPr="00CE207C">
              <w:rPr>
                <w:rFonts w:ascii="Times New Roman" w:hAnsi="Times New Roman" w:cs="Times New Roman"/>
                <w:b/>
                <w:bCs/>
                <w:sz w:val="28"/>
                <w:szCs w:val="22"/>
              </w:rPr>
              <w:t>8. Madhya Pradesh</w:t>
            </w:r>
          </w:p>
        </w:tc>
        <w:tc>
          <w:tcPr>
            <w:tcW w:w="0" w:type="auto"/>
            <w:vAlign w:val="center"/>
          </w:tcPr>
          <w:p w14:paraId="19B9A8B1" w14:textId="6E095F82" w:rsidR="00CE207C" w:rsidRPr="00CE207C" w:rsidRDefault="00CE207C" w:rsidP="00CE207C">
            <w:pPr>
              <w:pStyle w:val="NoSpacing"/>
              <w:jc w:val="center"/>
              <w:rPr>
                <w:rFonts w:ascii="Times New Roman" w:hAnsi="Times New Roman" w:cs="Times New Roman"/>
                <w:sz w:val="28"/>
                <w:szCs w:val="22"/>
              </w:rPr>
            </w:pPr>
          </w:p>
        </w:tc>
        <w:tc>
          <w:tcPr>
            <w:tcW w:w="0" w:type="auto"/>
            <w:vAlign w:val="center"/>
          </w:tcPr>
          <w:p w14:paraId="02895364" w14:textId="7A10B554" w:rsidR="00CE207C" w:rsidRPr="00CE207C" w:rsidRDefault="00CE207C" w:rsidP="00CE207C">
            <w:pPr>
              <w:pStyle w:val="NoSpacing"/>
              <w:jc w:val="center"/>
              <w:rPr>
                <w:rFonts w:ascii="Times New Roman" w:hAnsi="Times New Roman" w:cs="Times New Roman"/>
                <w:sz w:val="28"/>
                <w:szCs w:val="22"/>
              </w:rPr>
            </w:pPr>
          </w:p>
        </w:tc>
      </w:tr>
      <w:tr w:rsidR="00CE207C" w:rsidRPr="00CE207C" w14:paraId="734E65AE" w14:textId="77777777" w:rsidTr="00CE207C">
        <w:trPr>
          <w:trHeight w:val="113"/>
        </w:trPr>
        <w:tc>
          <w:tcPr>
            <w:tcW w:w="0" w:type="auto"/>
            <w:hideMark/>
          </w:tcPr>
          <w:p w14:paraId="5A45516D" w14:textId="77777777" w:rsidR="00CE207C" w:rsidRPr="00CE207C" w:rsidRDefault="00CE207C" w:rsidP="00CE207C">
            <w:pPr>
              <w:pStyle w:val="NoSpacing"/>
              <w:rPr>
                <w:rFonts w:ascii="Times New Roman" w:hAnsi="Times New Roman" w:cs="Times New Roman"/>
                <w:sz w:val="28"/>
                <w:szCs w:val="22"/>
              </w:rPr>
            </w:pPr>
            <w:r w:rsidRPr="00CE207C">
              <w:rPr>
                <w:rFonts w:ascii="Times New Roman" w:hAnsi="Times New Roman" w:cs="Times New Roman"/>
                <w:sz w:val="28"/>
                <w:szCs w:val="22"/>
              </w:rPr>
              <w:t>Bhopal</w:t>
            </w:r>
          </w:p>
        </w:tc>
        <w:tc>
          <w:tcPr>
            <w:tcW w:w="0" w:type="auto"/>
            <w:vAlign w:val="center"/>
            <w:hideMark/>
          </w:tcPr>
          <w:p w14:paraId="3051B324" w14:textId="77777777" w:rsidR="00CE207C" w:rsidRPr="00CE207C" w:rsidRDefault="00CE207C" w:rsidP="00CE207C">
            <w:pPr>
              <w:pStyle w:val="NoSpacing"/>
              <w:jc w:val="center"/>
              <w:rPr>
                <w:rFonts w:ascii="Times New Roman" w:hAnsi="Times New Roman" w:cs="Times New Roman"/>
                <w:sz w:val="28"/>
                <w:szCs w:val="22"/>
              </w:rPr>
            </w:pPr>
            <w:r w:rsidRPr="00CE207C">
              <w:rPr>
                <w:rFonts w:ascii="Times New Roman" w:hAnsi="Times New Roman" w:cs="Times New Roman"/>
                <w:sz w:val="28"/>
                <w:szCs w:val="22"/>
              </w:rPr>
              <w:t>590</w:t>
            </w:r>
          </w:p>
        </w:tc>
        <w:tc>
          <w:tcPr>
            <w:tcW w:w="0" w:type="auto"/>
            <w:vAlign w:val="center"/>
            <w:hideMark/>
          </w:tcPr>
          <w:p w14:paraId="49523F2C" w14:textId="77777777" w:rsidR="00CE207C" w:rsidRPr="00CE207C" w:rsidRDefault="00CE207C" w:rsidP="00CE207C">
            <w:pPr>
              <w:pStyle w:val="NoSpacing"/>
              <w:jc w:val="center"/>
              <w:rPr>
                <w:rFonts w:ascii="Times New Roman" w:hAnsi="Times New Roman" w:cs="Times New Roman"/>
                <w:sz w:val="28"/>
                <w:szCs w:val="22"/>
              </w:rPr>
            </w:pPr>
            <w:r w:rsidRPr="00CE207C">
              <w:rPr>
                <w:rFonts w:ascii="Times New Roman" w:hAnsi="Times New Roman" w:cs="Times New Roman"/>
                <w:sz w:val="28"/>
                <w:szCs w:val="22"/>
              </w:rPr>
              <w:t>556</w:t>
            </w:r>
          </w:p>
        </w:tc>
      </w:tr>
      <w:tr w:rsidR="00CE207C" w:rsidRPr="00CE207C" w14:paraId="54EC27E0" w14:textId="77777777" w:rsidTr="00CE207C">
        <w:trPr>
          <w:trHeight w:val="113"/>
        </w:trPr>
        <w:tc>
          <w:tcPr>
            <w:tcW w:w="0" w:type="auto"/>
            <w:hideMark/>
          </w:tcPr>
          <w:p w14:paraId="219FB73A" w14:textId="77777777" w:rsidR="00CE207C" w:rsidRPr="00CE207C" w:rsidRDefault="00CE207C" w:rsidP="00CE207C">
            <w:pPr>
              <w:pStyle w:val="NoSpacing"/>
              <w:rPr>
                <w:rFonts w:ascii="Times New Roman" w:hAnsi="Times New Roman" w:cs="Times New Roman"/>
                <w:sz w:val="28"/>
                <w:szCs w:val="22"/>
              </w:rPr>
            </w:pPr>
            <w:r w:rsidRPr="00CE207C">
              <w:rPr>
                <w:rFonts w:ascii="Times New Roman" w:hAnsi="Times New Roman" w:cs="Times New Roman"/>
                <w:sz w:val="28"/>
                <w:szCs w:val="22"/>
              </w:rPr>
              <w:t>Indore</w:t>
            </w:r>
          </w:p>
        </w:tc>
        <w:tc>
          <w:tcPr>
            <w:tcW w:w="0" w:type="auto"/>
            <w:vAlign w:val="center"/>
            <w:hideMark/>
          </w:tcPr>
          <w:p w14:paraId="0744FF05" w14:textId="77777777" w:rsidR="00CE207C" w:rsidRPr="00CE207C" w:rsidRDefault="00CE207C" w:rsidP="00CE207C">
            <w:pPr>
              <w:pStyle w:val="NoSpacing"/>
              <w:jc w:val="center"/>
              <w:rPr>
                <w:rFonts w:ascii="Times New Roman" w:hAnsi="Times New Roman" w:cs="Times New Roman"/>
                <w:sz w:val="28"/>
                <w:szCs w:val="22"/>
              </w:rPr>
            </w:pPr>
            <w:r w:rsidRPr="00CE207C">
              <w:rPr>
                <w:rFonts w:ascii="Times New Roman" w:hAnsi="Times New Roman" w:cs="Times New Roman"/>
                <w:sz w:val="28"/>
                <w:szCs w:val="22"/>
              </w:rPr>
              <w:t>875</w:t>
            </w:r>
          </w:p>
        </w:tc>
        <w:tc>
          <w:tcPr>
            <w:tcW w:w="0" w:type="auto"/>
            <w:vAlign w:val="center"/>
            <w:hideMark/>
          </w:tcPr>
          <w:p w14:paraId="7CF81936" w14:textId="77777777" w:rsidR="00CE207C" w:rsidRPr="00CE207C" w:rsidRDefault="00CE207C" w:rsidP="00CE207C">
            <w:pPr>
              <w:pStyle w:val="NoSpacing"/>
              <w:jc w:val="center"/>
              <w:rPr>
                <w:rFonts w:ascii="Times New Roman" w:hAnsi="Times New Roman" w:cs="Times New Roman"/>
                <w:sz w:val="28"/>
                <w:szCs w:val="22"/>
              </w:rPr>
            </w:pPr>
            <w:r w:rsidRPr="00CE207C">
              <w:rPr>
                <w:rFonts w:ascii="Times New Roman" w:hAnsi="Times New Roman" w:cs="Times New Roman"/>
                <w:sz w:val="28"/>
                <w:szCs w:val="22"/>
              </w:rPr>
              <w:t>800</w:t>
            </w:r>
          </w:p>
        </w:tc>
      </w:tr>
      <w:tr w:rsidR="00CE207C" w:rsidRPr="00CE207C" w14:paraId="7C4244FE" w14:textId="77777777" w:rsidTr="00CE207C">
        <w:trPr>
          <w:trHeight w:val="113"/>
        </w:trPr>
        <w:tc>
          <w:tcPr>
            <w:tcW w:w="0" w:type="auto"/>
            <w:hideMark/>
          </w:tcPr>
          <w:p w14:paraId="02C28E93" w14:textId="77777777" w:rsidR="00CE207C" w:rsidRPr="00CE207C" w:rsidRDefault="00CE207C" w:rsidP="00CE207C">
            <w:pPr>
              <w:pStyle w:val="NoSpacing"/>
              <w:rPr>
                <w:rFonts w:ascii="Times New Roman" w:hAnsi="Times New Roman" w:cs="Times New Roman"/>
                <w:sz w:val="28"/>
                <w:szCs w:val="22"/>
              </w:rPr>
            </w:pPr>
            <w:r w:rsidRPr="00CE207C">
              <w:rPr>
                <w:rFonts w:ascii="Times New Roman" w:hAnsi="Times New Roman" w:cs="Times New Roman"/>
                <w:sz w:val="28"/>
                <w:szCs w:val="22"/>
              </w:rPr>
              <w:t>Khajuraho</w:t>
            </w:r>
          </w:p>
        </w:tc>
        <w:tc>
          <w:tcPr>
            <w:tcW w:w="0" w:type="auto"/>
            <w:vAlign w:val="center"/>
            <w:hideMark/>
          </w:tcPr>
          <w:p w14:paraId="7CE45AD7" w14:textId="77777777" w:rsidR="00CE207C" w:rsidRPr="00CE207C" w:rsidRDefault="00CE207C" w:rsidP="00CE207C">
            <w:pPr>
              <w:pStyle w:val="NoSpacing"/>
              <w:jc w:val="center"/>
              <w:rPr>
                <w:rFonts w:ascii="Times New Roman" w:hAnsi="Times New Roman" w:cs="Times New Roman"/>
                <w:sz w:val="28"/>
                <w:szCs w:val="22"/>
              </w:rPr>
            </w:pPr>
            <w:r w:rsidRPr="00CE207C">
              <w:rPr>
                <w:rFonts w:ascii="Times New Roman" w:hAnsi="Times New Roman" w:cs="Times New Roman"/>
                <w:sz w:val="28"/>
                <w:szCs w:val="22"/>
              </w:rPr>
              <w:t>344</w:t>
            </w:r>
          </w:p>
        </w:tc>
        <w:tc>
          <w:tcPr>
            <w:tcW w:w="0" w:type="auto"/>
            <w:vAlign w:val="center"/>
            <w:hideMark/>
          </w:tcPr>
          <w:p w14:paraId="5F7DE836" w14:textId="77777777" w:rsidR="00CE207C" w:rsidRPr="00CE207C" w:rsidRDefault="00CE207C" w:rsidP="00CE207C">
            <w:pPr>
              <w:pStyle w:val="NoSpacing"/>
              <w:jc w:val="center"/>
              <w:rPr>
                <w:rFonts w:ascii="Times New Roman" w:hAnsi="Times New Roman" w:cs="Times New Roman"/>
                <w:sz w:val="28"/>
                <w:szCs w:val="22"/>
              </w:rPr>
            </w:pPr>
            <w:r w:rsidRPr="00CE207C">
              <w:rPr>
                <w:rFonts w:ascii="Times New Roman" w:hAnsi="Times New Roman" w:cs="Times New Roman"/>
                <w:sz w:val="28"/>
                <w:szCs w:val="22"/>
              </w:rPr>
              <w:t>338</w:t>
            </w:r>
          </w:p>
        </w:tc>
      </w:tr>
      <w:tr w:rsidR="00CE207C" w:rsidRPr="00CE207C" w14:paraId="1564D90C" w14:textId="77777777" w:rsidTr="00CE207C">
        <w:trPr>
          <w:trHeight w:val="113"/>
        </w:trPr>
        <w:tc>
          <w:tcPr>
            <w:tcW w:w="0" w:type="auto"/>
            <w:vAlign w:val="center"/>
          </w:tcPr>
          <w:p w14:paraId="155DBB43" w14:textId="75966371" w:rsidR="00CE207C" w:rsidRPr="00CE207C" w:rsidRDefault="00CE207C" w:rsidP="00CE207C">
            <w:pPr>
              <w:pStyle w:val="NoSpacing"/>
              <w:jc w:val="right"/>
              <w:rPr>
                <w:rFonts w:ascii="Times New Roman" w:hAnsi="Times New Roman" w:cs="Times New Roman"/>
                <w:sz w:val="28"/>
                <w:szCs w:val="22"/>
              </w:rPr>
            </w:pPr>
            <w:r w:rsidRPr="00CE207C">
              <w:rPr>
                <w:rFonts w:ascii="Times New Roman" w:hAnsi="Times New Roman" w:cs="Times New Roman"/>
                <w:sz w:val="28"/>
                <w:szCs w:val="22"/>
              </w:rPr>
              <w:t>Total</w:t>
            </w:r>
          </w:p>
        </w:tc>
        <w:tc>
          <w:tcPr>
            <w:tcW w:w="0" w:type="auto"/>
            <w:vAlign w:val="center"/>
          </w:tcPr>
          <w:p w14:paraId="47E5BDE6" w14:textId="3DD0F80F" w:rsidR="00CE207C" w:rsidRPr="00CE207C" w:rsidRDefault="00CE207C" w:rsidP="00CE207C">
            <w:pPr>
              <w:pStyle w:val="NoSpacing"/>
              <w:jc w:val="center"/>
              <w:rPr>
                <w:rFonts w:ascii="Times New Roman" w:hAnsi="Times New Roman" w:cs="Times New Roman"/>
                <w:sz w:val="28"/>
                <w:szCs w:val="22"/>
              </w:rPr>
            </w:pPr>
            <w:r w:rsidRPr="00CE207C">
              <w:rPr>
                <w:rFonts w:ascii="Times New Roman" w:hAnsi="Times New Roman" w:cs="Times New Roman"/>
                <w:sz w:val="28"/>
                <w:szCs w:val="22"/>
              </w:rPr>
              <w:t>1,809</w:t>
            </w:r>
          </w:p>
        </w:tc>
        <w:tc>
          <w:tcPr>
            <w:tcW w:w="0" w:type="auto"/>
            <w:vAlign w:val="center"/>
          </w:tcPr>
          <w:p w14:paraId="53B3021C" w14:textId="14C9235B" w:rsidR="00CE207C" w:rsidRPr="00CE207C" w:rsidRDefault="00CE207C" w:rsidP="00CE207C">
            <w:pPr>
              <w:pStyle w:val="NoSpacing"/>
              <w:jc w:val="center"/>
              <w:rPr>
                <w:rFonts w:ascii="Times New Roman" w:hAnsi="Times New Roman" w:cs="Times New Roman"/>
                <w:sz w:val="28"/>
                <w:szCs w:val="22"/>
              </w:rPr>
            </w:pPr>
            <w:r w:rsidRPr="00CE207C">
              <w:rPr>
                <w:rFonts w:ascii="Times New Roman" w:hAnsi="Times New Roman" w:cs="Times New Roman"/>
                <w:sz w:val="28"/>
                <w:szCs w:val="22"/>
              </w:rPr>
              <w:t>1,694</w:t>
            </w:r>
          </w:p>
        </w:tc>
      </w:tr>
      <w:tr w:rsidR="00CE207C" w:rsidRPr="00CE207C" w14:paraId="40BADBDF" w14:textId="77777777" w:rsidTr="00CE207C">
        <w:trPr>
          <w:trHeight w:val="113"/>
        </w:trPr>
        <w:tc>
          <w:tcPr>
            <w:tcW w:w="0" w:type="auto"/>
            <w:hideMark/>
          </w:tcPr>
          <w:p w14:paraId="58E751E9" w14:textId="77777777" w:rsidR="00CE207C" w:rsidRPr="00CE207C" w:rsidRDefault="00CE207C" w:rsidP="00CE207C">
            <w:pPr>
              <w:pStyle w:val="NoSpacing"/>
              <w:rPr>
                <w:rFonts w:ascii="Times New Roman" w:hAnsi="Times New Roman" w:cs="Times New Roman"/>
                <w:b/>
                <w:bCs/>
                <w:sz w:val="28"/>
                <w:szCs w:val="22"/>
              </w:rPr>
            </w:pPr>
            <w:r w:rsidRPr="00CE207C">
              <w:rPr>
                <w:rFonts w:ascii="Times New Roman" w:hAnsi="Times New Roman" w:cs="Times New Roman"/>
                <w:b/>
                <w:bCs/>
                <w:sz w:val="28"/>
                <w:szCs w:val="22"/>
              </w:rPr>
              <w:t>9. Maharashtra</w:t>
            </w:r>
          </w:p>
        </w:tc>
        <w:tc>
          <w:tcPr>
            <w:tcW w:w="0" w:type="auto"/>
            <w:vAlign w:val="center"/>
          </w:tcPr>
          <w:p w14:paraId="3D3E4C75" w14:textId="51E35BBE" w:rsidR="00CE207C" w:rsidRPr="00CE207C" w:rsidRDefault="00CE207C" w:rsidP="00CE207C">
            <w:pPr>
              <w:pStyle w:val="NoSpacing"/>
              <w:jc w:val="center"/>
              <w:rPr>
                <w:rFonts w:ascii="Times New Roman" w:hAnsi="Times New Roman" w:cs="Times New Roman"/>
                <w:sz w:val="28"/>
                <w:szCs w:val="22"/>
              </w:rPr>
            </w:pPr>
          </w:p>
        </w:tc>
        <w:tc>
          <w:tcPr>
            <w:tcW w:w="0" w:type="auto"/>
            <w:vAlign w:val="center"/>
          </w:tcPr>
          <w:p w14:paraId="1A08052A" w14:textId="0BD051EB" w:rsidR="00CE207C" w:rsidRPr="00CE207C" w:rsidRDefault="00CE207C" w:rsidP="00CE207C">
            <w:pPr>
              <w:pStyle w:val="NoSpacing"/>
              <w:jc w:val="center"/>
              <w:rPr>
                <w:rFonts w:ascii="Times New Roman" w:hAnsi="Times New Roman" w:cs="Times New Roman"/>
                <w:sz w:val="28"/>
                <w:szCs w:val="22"/>
              </w:rPr>
            </w:pPr>
          </w:p>
        </w:tc>
      </w:tr>
      <w:tr w:rsidR="00CE207C" w:rsidRPr="00CE207C" w14:paraId="49B4D4F6" w14:textId="77777777" w:rsidTr="00CE207C">
        <w:trPr>
          <w:trHeight w:val="113"/>
        </w:trPr>
        <w:tc>
          <w:tcPr>
            <w:tcW w:w="0" w:type="auto"/>
            <w:hideMark/>
          </w:tcPr>
          <w:p w14:paraId="5B91DC04" w14:textId="77777777" w:rsidR="00CE207C" w:rsidRPr="00CE207C" w:rsidRDefault="00CE207C" w:rsidP="00CE207C">
            <w:pPr>
              <w:pStyle w:val="NoSpacing"/>
              <w:rPr>
                <w:rFonts w:ascii="Times New Roman" w:hAnsi="Times New Roman" w:cs="Times New Roman"/>
                <w:sz w:val="28"/>
                <w:szCs w:val="22"/>
              </w:rPr>
            </w:pPr>
            <w:r w:rsidRPr="00CE207C">
              <w:rPr>
                <w:rFonts w:ascii="Times New Roman" w:hAnsi="Times New Roman" w:cs="Times New Roman"/>
                <w:sz w:val="28"/>
                <w:szCs w:val="22"/>
              </w:rPr>
              <w:t>Aurangabad</w:t>
            </w:r>
          </w:p>
        </w:tc>
        <w:tc>
          <w:tcPr>
            <w:tcW w:w="0" w:type="auto"/>
            <w:vAlign w:val="center"/>
            <w:hideMark/>
          </w:tcPr>
          <w:p w14:paraId="05B275C6" w14:textId="77777777" w:rsidR="00CE207C" w:rsidRPr="00CE207C" w:rsidRDefault="00CE207C" w:rsidP="00CE207C">
            <w:pPr>
              <w:pStyle w:val="NoSpacing"/>
              <w:jc w:val="center"/>
              <w:rPr>
                <w:rFonts w:ascii="Times New Roman" w:hAnsi="Times New Roman" w:cs="Times New Roman"/>
                <w:sz w:val="28"/>
                <w:szCs w:val="22"/>
              </w:rPr>
            </w:pPr>
            <w:r w:rsidRPr="00CE207C">
              <w:rPr>
                <w:rFonts w:ascii="Times New Roman" w:hAnsi="Times New Roman" w:cs="Times New Roman"/>
                <w:sz w:val="28"/>
                <w:szCs w:val="22"/>
              </w:rPr>
              <w:t>1,056</w:t>
            </w:r>
          </w:p>
        </w:tc>
        <w:tc>
          <w:tcPr>
            <w:tcW w:w="0" w:type="auto"/>
            <w:vAlign w:val="center"/>
            <w:hideMark/>
          </w:tcPr>
          <w:p w14:paraId="2A5CEB1F" w14:textId="77777777" w:rsidR="00CE207C" w:rsidRPr="00CE207C" w:rsidRDefault="00CE207C" w:rsidP="00CE207C">
            <w:pPr>
              <w:pStyle w:val="NoSpacing"/>
              <w:jc w:val="center"/>
              <w:rPr>
                <w:rFonts w:ascii="Times New Roman" w:hAnsi="Times New Roman" w:cs="Times New Roman"/>
                <w:sz w:val="28"/>
                <w:szCs w:val="22"/>
              </w:rPr>
            </w:pPr>
            <w:r w:rsidRPr="00CE207C">
              <w:rPr>
                <w:rFonts w:ascii="Times New Roman" w:hAnsi="Times New Roman" w:cs="Times New Roman"/>
                <w:sz w:val="28"/>
                <w:szCs w:val="22"/>
              </w:rPr>
              <w:t>1,045</w:t>
            </w:r>
          </w:p>
        </w:tc>
      </w:tr>
      <w:tr w:rsidR="00CE207C" w:rsidRPr="00CE207C" w14:paraId="29F374E9" w14:textId="77777777" w:rsidTr="00CE207C">
        <w:trPr>
          <w:trHeight w:val="113"/>
        </w:trPr>
        <w:tc>
          <w:tcPr>
            <w:tcW w:w="0" w:type="auto"/>
            <w:hideMark/>
          </w:tcPr>
          <w:p w14:paraId="395AACE5" w14:textId="77777777" w:rsidR="00CE207C" w:rsidRPr="00CE207C" w:rsidRDefault="00CE207C" w:rsidP="00CE207C">
            <w:pPr>
              <w:pStyle w:val="NoSpacing"/>
              <w:rPr>
                <w:rFonts w:ascii="Times New Roman" w:hAnsi="Times New Roman" w:cs="Times New Roman"/>
                <w:sz w:val="28"/>
                <w:szCs w:val="22"/>
              </w:rPr>
            </w:pPr>
            <w:r w:rsidRPr="00CE207C">
              <w:rPr>
                <w:rFonts w:ascii="Times New Roman" w:hAnsi="Times New Roman" w:cs="Times New Roman"/>
                <w:sz w:val="28"/>
                <w:szCs w:val="22"/>
              </w:rPr>
              <w:t>Bombay</w:t>
            </w:r>
          </w:p>
        </w:tc>
        <w:tc>
          <w:tcPr>
            <w:tcW w:w="0" w:type="auto"/>
            <w:vAlign w:val="center"/>
            <w:hideMark/>
          </w:tcPr>
          <w:p w14:paraId="66A7AAA0" w14:textId="77777777" w:rsidR="00CE207C" w:rsidRPr="00CE207C" w:rsidRDefault="00CE207C" w:rsidP="00CE207C">
            <w:pPr>
              <w:pStyle w:val="NoSpacing"/>
              <w:jc w:val="center"/>
              <w:rPr>
                <w:rFonts w:ascii="Times New Roman" w:hAnsi="Times New Roman" w:cs="Times New Roman"/>
                <w:sz w:val="28"/>
                <w:szCs w:val="22"/>
              </w:rPr>
            </w:pPr>
            <w:r w:rsidRPr="00CE207C">
              <w:rPr>
                <w:rFonts w:ascii="Times New Roman" w:hAnsi="Times New Roman" w:cs="Times New Roman"/>
                <w:sz w:val="28"/>
                <w:szCs w:val="22"/>
              </w:rPr>
              <w:t>35,955</w:t>
            </w:r>
          </w:p>
        </w:tc>
        <w:tc>
          <w:tcPr>
            <w:tcW w:w="0" w:type="auto"/>
            <w:vAlign w:val="center"/>
            <w:hideMark/>
          </w:tcPr>
          <w:p w14:paraId="4949A95F" w14:textId="77777777" w:rsidR="00CE207C" w:rsidRPr="00CE207C" w:rsidRDefault="00CE207C" w:rsidP="00CE207C">
            <w:pPr>
              <w:pStyle w:val="NoSpacing"/>
              <w:jc w:val="center"/>
              <w:rPr>
                <w:rFonts w:ascii="Times New Roman" w:hAnsi="Times New Roman" w:cs="Times New Roman"/>
                <w:sz w:val="28"/>
                <w:szCs w:val="22"/>
              </w:rPr>
            </w:pPr>
            <w:r w:rsidRPr="00CE207C">
              <w:rPr>
                <w:rFonts w:ascii="Times New Roman" w:hAnsi="Times New Roman" w:cs="Times New Roman"/>
                <w:sz w:val="28"/>
                <w:szCs w:val="22"/>
              </w:rPr>
              <w:t>36,275</w:t>
            </w:r>
          </w:p>
        </w:tc>
      </w:tr>
      <w:tr w:rsidR="00CE207C" w:rsidRPr="00CE207C" w14:paraId="24F7BF50" w14:textId="77777777" w:rsidTr="00CE207C">
        <w:trPr>
          <w:trHeight w:val="113"/>
        </w:trPr>
        <w:tc>
          <w:tcPr>
            <w:tcW w:w="0" w:type="auto"/>
            <w:hideMark/>
          </w:tcPr>
          <w:p w14:paraId="7BD8C87C" w14:textId="77777777" w:rsidR="00CE207C" w:rsidRPr="00CE207C" w:rsidRDefault="00CE207C" w:rsidP="00CE207C">
            <w:pPr>
              <w:pStyle w:val="NoSpacing"/>
              <w:rPr>
                <w:rFonts w:ascii="Times New Roman" w:hAnsi="Times New Roman" w:cs="Times New Roman"/>
                <w:sz w:val="28"/>
                <w:szCs w:val="22"/>
              </w:rPr>
            </w:pPr>
            <w:r w:rsidRPr="00CE207C">
              <w:rPr>
                <w:rFonts w:ascii="Times New Roman" w:hAnsi="Times New Roman" w:cs="Times New Roman"/>
                <w:sz w:val="28"/>
                <w:szCs w:val="22"/>
              </w:rPr>
              <w:t>Nagpur</w:t>
            </w:r>
          </w:p>
        </w:tc>
        <w:tc>
          <w:tcPr>
            <w:tcW w:w="0" w:type="auto"/>
            <w:vAlign w:val="center"/>
            <w:hideMark/>
          </w:tcPr>
          <w:p w14:paraId="469045F1" w14:textId="77777777" w:rsidR="00CE207C" w:rsidRPr="00CE207C" w:rsidRDefault="00CE207C" w:rsidP="00CE207C">
            <w:pPr>
              <w:pStyle w:val="NoSpacing"/>
              <w:jc w:val="center"/>
              <w:rPr>
                <w:rFonts w:ascii="Times New Roman" w:hAnsi="Times New Roman" w:cs="Times New Roman"/>
                <w:sz w:val="28"/>
                <w:szCs w:val="22"/>
              </w:rPr>
            </w:pPr>
            <w:r w:rsidRPr="00CE207C">
              <w:rPr>
                <w:rFonts w:ascii="Times New Roman" w:hAnsi="Times New Roman" w:cs="Times New Roman"/>
                <w:sz w:val="28"/>
                <w:szCs w:val="22"/>
              </w:rPr>
              <w:t>932</w:t>
            </w:r>
          </w:p>
        </w:tc>
        <w:tc>
          <w:tcPr>
            <w:tcW w:w="0" w:type="auto"/>
            <w:vAlign w:val="center"/>
            <w:hideMark/>
          </w:tcPr>
          <w:p w14:paraId="27D802FF" w14:textId="77777777" w:rsidR="00CE207C" w:rsidRPr="00CE207C" w:rsidRDefault="00CE207C" w:rsidP="00CE207C">
            <w:pPr>
              <w:pStyle w:val="NoSpacing"/>
              <w:jc w:val="center"/>
              <w:rPr>
                <w:rFonts w:ascii="Times New Roman" w:hAnsi="Times New Roman" w:cs="Times New Roman"/>
                <w:sz w:val="28"/>
                <w:szCs w:val="22"/>
              </w:rPr>
            </w:pPr>
            <w:r w:rsidRPr="00CE207C">
              <w:rPr>
                <w:rFonts w:ascii="Times New Roman" w:hAnsi="Times New Roman" w:cs="Times New Roman"/>
                <w:sz w:val="28"/>
                <w:szCs w:val="22"/>
              </w:rPr>
              <w:t>825</w:t>
            </w:r>
          </w:p>
        </w:tc>
      </w:tr>
      <w:tr w:rsidR="00CE207C" w:rsidRPr="00CE207C" w14:paraId="21BA5852" w14:textId="77777777" w:rsidTr="00CE207C">
        <w:trPr>
          <w:trHeight w:val="113"/>
        </w:trPr>
        <w:tc>
          <w:tcPr>
            <w:tcW w:w="0" w:type="auto"/>
            <w:hideMark/>
          </w:tcPr>
          <w:p w14:paraId="4F732F43" w14:textId="77777777" w:rsidR="00CE207C" w:rsidRPr="00CE207C" w:rsidRDefault="00CE207C" w:rsidP="00CE207C">
            <w:pPr>
              <w:pStyle w:val="NoSpacing"/>
              <w:rPr>
                <w:rFonts w:ascii="Times New Roman" w:hAnsi="Times New Roman" w:cs="Times New Roman"/>
                <w:sz w:val="28"/>
                <w:szCs w:val="22"/>
              </w:rPr>
            </w:pPr>
            <w:r w:rsidRPr="00CE207C">
              <w:rPr>
                <w:rFonts w:ascii="Times New Roman" w:hAnsi="Times New Roman" w:cs="Times New Roman"/>
                <w:sz w:val="28"/>
                <w:szCs w:val="22"/>
              </w:rPr>
              <w:t>Poona</w:t>
            </w:r>
          </w:p>
        </w:tc>
        <w:tc>
          <w:tcPr>
            <w:tcW w:w="0" w:type="auto"/>
            <w:vAlign w:val="center"/>
            <w:hideMark/>
          </w:tcPr>
          <w:p w14:paraId="10E8F6F5" w14:textId="77777777" w:rsidR="00CE207C" w:rsidRPr="00CE207C" w:rsidRDefault="00CE207C" w:rsidP="00CE207C">
            <w:pPr>
              <w:pStyle w:val="NoSpacing"/>
              <w:jc w:val="center"/>
              <w:rPr>
                <w:rFonts w:ascii="Times New Roman" w:hAnsi="Times New Roman" w:cs="Times New Roman"/>
                <w:sz w:val="28"/>
                <w:szCs w:val="22"/>
              </w:rPr>
            </w:pPr>
            <w:r w:rsidRPr="00CE207C">
              <w:rPr>
                <w:rFonts w:ascii="Times New Roman" w:hAnsi="Times New Roman" w:cs="Times New Roman"/>
                <w:sz w:val="28"/>
                <w:szCs w:val="22"/>
              </w:rPr>
              <w:t>1,912</w:t>
            </w:r>
          </w:p>
        </w:tc>
        <w:tc>
          <w:tcPr>
            <w:tcW w:w="0" w:type="auto"/>
            <w:vAlign w:val="center"/>
            <w:hideMark/>
          </w:tcPr>
          <w:p w14:paraId="5456D1C5" w14:textId="77777777" w:rsidR="00CE207C" w:rsidRPr="00CE207C" w:rsidRDefault="00CE207C" w:rsidP="00CE207C">
            <w:pPr>
              <w:pStyle w:val="NoSpacing"/>
              <w:jc w:val="center"/>
              <w:rPr>
                <w:rFonts w:ascii="Times New Roman" w:hAnsi="Times New Roman" w:cs="Times New Roman"/>
                <w:sz w:val="28"/>
                <w:szCs w:val="22"/>
              </w:rPr>
            </w:pPr>
            <w:r w:rsidRPr="00CE207C">
              <w:rPr>
                <w:rFonts w:ascii="Times New Roman" w:hAnsi="Times New Roman" w:cs="Times New Roman"/>
                <w:sz w:val="28"/>
                <w:szCs w:val="22"/>
              </w:rPr>
              <w:t>1,880</w:t>
            </w:r>
          </w:p>
        </w:tc>
      </w:tr>
      <w:tr w:rsidR="00CE207C" w:rsidRPr="00CE207C" w14:paraId="3D104B46" w14:textId="77777777" w:rsidTr="00CE207C">
        <w:trPr>
          <w:trHeight w:val="113"/>
        </w:trPr>
        <w:tc>
          <w:tcPr>
            <w:tcW w:w="0" w:type="auto"/>
            <w:vAlign w:val="center"/>
          </w:tcPr>
          <w:p w14:paraId="04DB0EE5" w14:textId="1B56AF2E" w:rsidR="00CE207C" w:rsidRPr="00CE207C" w:rsidRDefault="00CE207C" w:rsidP="00CE207C">
            <w:pPr>
              <w:pStyle w:val="NoSpacing"/>
              <w:jc w:val="right"/>
              <w:rPr>
                <w:rFonts w:ascii="Times New Roman" w:hAnsi="Times New Roman" w:cs="Times New Roman"/>
                <w:sz w:val="28"/>
                <w:szCs w:val="22"/>
              </w:rPr>
            </w:pPr>
            <w:r w:rsidRPr="00CE207C">
              <w:rPr>
                <w:rFonts w:ascii="Times New Roman" w:hAnsi="Times New Roman" w:cs="Times New Roman"/>
                <w:sz w:val="28"/>
                <w:szCs w:val="22"/>
              </w:rPr>
              <w:t>Total</w:t>
            </w:r>
          </w:p>
        </w:tc>
        <w:tc>
          <w:tcPr>
            <w:tcW w:w="0" w:type="auto"/>
            <w:vAlign w:val="center"/>
          </w:tcPr>
          <w:p w14:paraId="62D71725" w14:textId="4292F971" w:rsidR="00CE207C" w:rsidRPr="00CE207C" w:rsidRDefault="00CE207C" w:rsidP="00CE207C">
            <w:pPr>
              <w:pStyle w:val="NoSpacing"/>
              <w:jc w:val="center"/>
              <w:rPr>
                <w:rFonts w:ascii="Times New Roman" w:hAnsi="Times New Roman" w:cs="Times New Roman"/>
                <w:sz w:val="28"/>
                <w:szCs w:val="22"/>
              </w:rPr>
            </w:pPr>
            <w:r w:rsidRPr="00CE207C">
              <w:rPr>
                <w:rFonts w:ascii="Times New Roman" w:hAnsi="Times New Roman" w:cs="Times New Roman"/>
                <w:sz w:val="28"/>
                <w:szCs w:val="22"/>
              </w:rPr>
              <w:t>39,855</w:t>
            </w:r>
          </w:p>
        </w:tc>
        <w:tc>
          <w:tcPr>
            <w:tcW w:w="0" w:type="auto"/>
            <w:vAlign w:val="center"/>
          </w:tcPr>
          <w:p w14:paraId="709FC9DE" w14:textId="1B78422A" w:rsidR="00CE207C" w:rsidRPr="00CE207C" w:rsidRDefault="00CE207C" w:rsidP="00CE207C">
            <w:pPr>
              <w:pStyle w:val="NoSpacing"/>
              <w:jc w:val="center"/>
              <w:rPr>
                <w:rFonts w:ascii="Times New Roman" w:hAnsi="Times New Roman" w:cs="Times New Roman"/>
                <w:sz w:val="28"/>
                <w:szCs w:val="22"/>
              </w:rPr>
            </w:pPr>
            <w:r w:rsidRPr="00CE207C">
              <w:rPr>
                <w:rFonts w:ascii="Times New Roman" w:hAnsi="Times New Roman" w:cs="Times New Roman"/>
                <w:sz w:val="28"/>
                <w:szCs w:val="22"/>
              </w:rPr>
              <w:t>40,025</w:t>
            </w:r>
          </w:p>
        </w:tc>
      </w:tr>
      <w:tr w:rsidR="00CE207C" w:rsidRPr="00CE207C" w14:paraId="251FEC18" w14:textId="77777777" w:rsidTr="00CE207C">
        <w:trPr>
          <w:trHeight w:val="113"/>
        </w:trPr>
        <w:tc>
          <w:tcPr>
            <w:tcW w:w="0" w:type="auto"/>
            <w:hideMark/>
          </w:tcPr>
          <w:p w14:paraId="35249F90" w14:textId="77777777" w:rsidR="00CE207C" w:rsidRPr="00CE207C" w:rsidRDefault="00CE207C" w:rsidP="00CE207C">
            <w:pPr>
              <w:pStyle w:val="NoSpacing"/>
              <w:rPr>
                <w:rFonts w:ascii="Times New Roman" w:hAnsi="Times New Roman" w:cs="Times New Roman"/>
                <w:b/>
                <w:bCs/>
                <w:sz w:val="28"/>
                <w:szCs w:val="22"/>
              </w:rPr>
            </w:pPr>
            <w:r w:rsidRPr="00CE207C">
              <w:rPr>
                <w:rFonts w:ascii="Times New Roman" w:hAnsi="Times New Roman" w:cs="Times New Roman"/>
                <w:b/>
                <w:bCs/>
                <w:sz w:val="28"/>
                <w:szCs w:val="22"/>
              </w:rPr>
              <w:t>10. Mysore</w:t>
            </w:r>
          </w:p>
        </w:tc>
        <w:tc>
          <w:tcPr>
            <w:tcW w:w="0" w:type="auto"/>
            <w:vAlign w:val="center"/>
          </w:tcPr>
          <w:p w14:paraId="590A16B3" w14:textId="5285BCCB" w:rsidR="00CE207C" w:rsidRPr="00CE207C" w:rsidRDefault="00CE207C" w:rsidP="00CE207C">
            <w:pPr>
              <w:pStyle w:val="NoSpacing"/>
              <w:jc w:val="center"/>
              <w:rPr>
                <w:rFonts w:ascii="Times New Roman" w:hAnsi="Times New Roman" w:cs="Times New Roman"/>
                <w:sz w:val="28"/>
                <w:szCs w:val="22"/>
              </w:rPr>
            </w:pPr>
          </w:p>
        </w:tc>
        <w:tc>
          <w:tcPr>
            <w:tcW w:w="0" w:type="auto"/>
            <w:vAlign w:val="center"/>
          </w:tcPr>
          <w:p w14:paraId="7315C47D" w14:textId="096A6A89" w:rsidR="00CE207C" w:rsidRPr="00CE207C" w:rsidRDefault="00CE207C" w:rsidP="00CE207C">
            <w:pPr>
              <w:pStyle w:val="NoSpacing"/>
              <w:jc w:val="center"/>
              <w:rPr>
                <w:rFonts w:ascii="Times New Roman" w:hAnsi="Times New Roman" w:cs="Times New Roman"/>
                <w:sz w:val="28"/>
                <w:szCs w:val="22"/>
              </w:rPr>
            </w:pPr>
          </w:p>
        </w:tc>
      </w:tr>
      <w:tr w:rsidR="00CE207C" w:rsidRPr="00CE207C" w14:paraId="0B678E89" w14:textId="77777777" w:rsidTr="00CE207C">
        <w:trPr>
          <w:trHeight w:val="113"/>
        </w:trPr>
        <w:tc>
          <w:tcPr>
            <w:tcW w:w="0" w:type="auto"/>
            <w:hideMark/>
          </w:tcPr>
          <w:p w14:paraId="54B111C9" w14:textId="77777777" w:rsidR="00CE207C" w:rsidRPr="00CE207C" w:rsidRDefault="00CE207C" w:rsidP="00CE207C">
            <w:pPr>
              <w:pStyle w:val="NoSpacing"/>
              <w:rPr>
                <w:rFonts w:ascii="Times New Roman" w:hAnsi="Times New Roman" w:cs="Times New Roman"/>
                <w:sz w:val="28"/>
                <w:szCs w:val="22"/>
              </w:rPr>
            </w:pPr>
            <w:r w:rsidRPr="00CE207C">
              <w:rPr>
                <w:rFonts w:ascii="Times New Roman" w:hAnsi="Times New Roman" w:cs="Times New Roman"/>
                <w:sz w:val="28"/>
                <w:szCs w:val="22"/>
              </w:rPr>
              <w:t>Bangalore</w:t>
            </w:r>
          </w:p>
        </w:tc>
        <w:tc>
          <w:tcPr>
            <w:tcW w:w="0" w:type="auto"/>
            <w:vAlign w:val="center"/>
            <w:hideMark/>
          </w:tcPr>
          <w:p w14:paraId="28042749" w14:textId="77777777" w:rsidR="00CE207C" w:rsidRPr="00CE207C" w:rsidRDefault="00CE207C" w:rsidP="00CE207C">
            <w:pPr>
              <w:pStyle w:val="NoSpacing"/>
              <w:jc w:val="center"/>
              <w:rPr>
                <w:rFonts w:ascii="Times New Roman" w:hAnsi="Times New Roman" w:cs="Times New Roman"/>
                <w:sz w:val="28"/>
                <w:szCs w:val="22"/>
              </w:rPr>
            </w:pPr>
            <w:r w:rsidRPr="00CE207C">
              <w:rPr>
                <w:rFonts w:ascii="Times New Roman" w:hAnsi="Times New Roman" w:cs="Times New Roman"/>
                <w:sz w:val="28"/>
                <w:szCs w:val="22"/>
              </w:rPr>
              <w:t>7,248</w:t>
            </w:r>
          </w:p>
        </w:tc>
        <w:tc>
          <w:tcPr>
            <w:tcW w:w="0" w:type="auto"/>
            <w:vAlign w:val="center"/>
            <w:hideMark/>
          </w:tcPr>
          <w:p w14:paraId="4263D823" w14:textId="77777777" w:rsidR="00CE207C" w:rsidRPr="00CE207C" w:rsidRDefault="00CE207C" w:rsidP="00CE207C">
            <w:pPr>
              <w:pStyle w:val="NoSpacing"/>
              <w:jc w:val="center"/>
              <w:rPr>
                <w:rFonts w:ascii="Times New Roman" w:hAnsi="Times New Roman" w:cs="Times New Roman"/>
                <w:sz w:val="28"/>
                <w:szCs w:val="22"/>
              </w:rPr>
            </w:pPr>
            <w:r w:rsidRPr="00CE207C">
              <w:rPr>
                <w:rFonts w:ascii="Times New Roman" w:hAnsi="Times New Roman" w:cs="Times New Roman"/>
                <w:sz w:val="28"/>
                <w:szCs w:val="22"/>
              </w:rPr>
              <w:t>7,117</w:t>
            </w:r>
          </w:p>
        </w:tc>
      </w:tr>
      <w:tr w:rsidR="00CE207C" w:rsidRPr="00CE207C" w14:paraId="10D3BDAB" w14:textId="77777777" w:rsidTr="00CE207C">
        <w:trPr>
          <w:trHeight w:val="113"/>
        </w:trPr>
        <w:tc>
          <w:tcPr>
            <w:tcW w:w="0" w:type="auto"/>
            <w:hideMark/>
          </w:tcPr>
          <w:p w14:paraId="1ED3CCC0" w14:textId="77777777" w:rsidR="00CE207C" w:rsidRPr="00CE207C" w:rsidRDefault="00CE207C" w:rsidP="00CE207C">
            <w:pPr>
              <w:pStyle w:val="NoSpacing"/>
              <w:rPr>
                <w:rFonts w:ascii="Times New Roman" w:hAnsi="Times New Roman" w:cs="Times New Roman"/>
                <w:sz w:val="28"/>
                <w:szCs w:val="22"/>
              </w:rPr>
            </w:pPr>
            <w:r w:rsidRPr="00CE207C">
              <w:rPr>
                <w:rFonts w:ascii="Times New Roman" w:hAnsi="Times New Roman" w:cs="Times New Roman"/>
                <w:sz w:val="28"/>
                <w:szCs w:val="22"/>
              </w:rPr>
              <w:t>Belgaum</w:t>
            </w:r>
          </w:p>
        </w:tc>
        <w:tc>
          <w:tcPr>
            <w:tcW w:w="0" w:type="auto"/>
            <w:vAlign w:val="center"/>
            <w:hideMark/>
          </w:tcPr>
          <w:p w14:paraId="3E62B752" w14:textId="77777777" w:rsidR="00CE207C" w:rsidRPr="00CE207C" w:rsidRDefault="00CE207C" w:rsidP="00CE207C">
            <w:pPr>
              <w:pStyle w:val="NoSpacing"/>
              <w:jc w:val="center"/>
              <w:rPr>
                <w:rFonts w:ascii="Times New Roman" w:hAnsi="Times New Roman" w:cs="Times New Roman"/>
                <w:sz w:val="28"/>
                <w:szCs w:val="22"/>
              </w:rPr>
            </w:pPr>
            <w:r w:rsidRPr="00CE207C">
              <w:rPr>
                <w:rFonts w:ascii="Times New Roman" w:hAnsi="Times New Roman" w:cs="Times New Roman"/>
                <w:sz w:val="28"/>
                <w:szCs w:val="22"/>
              </w:rPr>
              <w:t>635</w:t>
            </w:r>
          </w:p>
        </w:tc>
        <w:tc>
          <w:tcPr>
            <w:tcW w:w="0" w:type="auto"/>
            <w:vAlign w:val="center"/>
            <w:hideMark/>
          </w:tcPr>
          <w:p w14:paraId="6C1F88E6" w14:textId="77777777" w:rsidR="00CE207C" w:rsidRPr="00CE207C" w:rsidRDefault="00CE207C" w:rsidP="00CE207C">
            <w:pPr>
              <w:pStyle w:val="NoSpacing"/>
              <w:jc w:val="center"/>
              <w:rPr>
                <w:rFonts w:ascii="Times New Roman" w:hAnsi="Times New Roman" w:cs="Times New Roman"/>
                <w:sz w:val="28"/>
                <w:szCs w:val="22"/>
              </w:rPr>
            </w:pPr>
            <w:r w:rsidRPr="00CE207C">
              <w:rPr>
                <w:rFonts w:ascii="Times New Roman" w:hAnsi="Times New Roman" w:cs="Times New Roman"/>
                <w:sz w:val="28"/>
                <w:szCs w:val="22"/>
              </w:rPr>
              <w:t>581</w:t>
            </w:r>
          </w:p>
        </w:tc>
      </w:tr>
      <w:tr w:rsidR="00CE207C" w:rsidRPr="00CE207C" w14:paraId="5DB64130" w14:textId="77777777" w:rsidTr="00CE207C">
        <w:trPr>
          <w:trHeight w:val="113"/>
        </w:trPr>
        <w:tc>
          <w:tcPr>
            <w:tcW w:w="0" w:type="auto"/>
            <w:hideMark/>
          </w:tcPr>
          <w:p w14:paraId="262001FE" w14:textId="77777777" w:rsidR="00CE207C" w:rsidRPr="00CE207C" w:rsidRDefault="00CE207C" w:rsidP="00CE207C">
            <w:pPr>
              <w:pStyle w:val="NoSpacing"/>
              <w:rPr>
                <w:rFonts w:ascii="Times New Roman" w:hAnsi="Times New Roman" w:cs="Times New Roman"/>
                <w:sz w:val="28"/>
                <w:szCs w:val="22"/>
              </w:rPr>
            </w:pPr>
            <w:r w:rsidRPr="00CE207C">
              <w:rPr>
                <w:rFonts w:ascii="Times New Roman" w:hAnsi="Times New Roman" w:cs="Times New Roman"/>
                <w:sz w:val="28"/>
                <w:szCs w:val="22"/>
              </w:rPr>
              <w:t>Mangalore</w:t>
            </w:r>
          </w:p>
        </w:tc>
        <w:tc>
          <w:tcPr>
            <w:tcW w:w="0" w:type="auto"/>
            <w:vAlign w:val="center"/>
            <w:hideMark/>
          </w:tcPr>
          <w:p w14:paraId="34F941F2" w14:textId="77777777" w:rsidR="00CE207C" w:rsidRPr="00CE207C" w:rsidRDefault="00CE207C" w:rsidP="00CE207C">
            <w:pPr>
              <w:pStyle w:val="NoSpacing"/>
              <w:jc w:val="center"/>
              <w:rPr>
                <w:rFonts w:ascii="Times New Roman" w:hAnsi="Times New Roman" w:cs="Times New Roman"/>
                <w:sz w:val="28"/>
                <w:szCs w:val="22"/>
              </w:rPr>
            </w:pPr>
            <w:r w:rsidRPr="00CE207C">
              <w:rPr>
                <w:rFonts w:ascii="Times New Roman" w:hAnsi="Times New Roman" w:cs="Times New Roman"/>
                <w:sz w:val="28"/>
                <w:szCs w:val="22"/>
              </w:rPr>
              <w:t>678</w:t>
            </w:r>
          </w:p>
        </w:tc>
        <w:tc>
          <w:tcPr>
            <w:tcW w:w="0" w:type="auto"/>
            <w:vAlign w:val="center"/>
            <w:hideMark/>
          </w:tcPr>
          <w:p w14:paraId="59639E21" w14:textId="77777777" w:rsidR="00CE207C" w:rsidRPr="00CE207C" w:rsidRDefault="00CE207C" w:rsidP="00CE207C">
            <w:pPr>
              <w:pStyle w:val="NoSpacing"/>
              <w:jc w:val="center"/>
              <w:rPr>
                <w:rFonts w:ascii="Times New Roman" w:hAnsi="Times New Roman" w:cs="Times New Roman"/>
                <w:sz w:val="28"/>
                <w:szCs w:val="22"/>
              </w:rPr>
            </w:pPr>
            <w:r w:rsidRPr="00CE207C">
              <w:rPr>
                <w:rFonts w:ascii="Times New Roman" w:hAnsi="Times New Roman" w:cs="Times New Roman"/>
                <w:sz w:val="28"/>
                <w:szCs w:val="22"/>
              </w:rPr>
              <w:t>688</w:t>
            </w:r>
          </w:p>
        </w:tc>
      </w:tr>
      <w:tr w:rsidR="00CE207C" w:rsidRPr="00CE207C" w14:paraId="436BBF6C" w14:textId="77777777" w:rsidTr="00CE207C">
        <w:trPr>
          <w:trHeight w:val="113"/>
        </w:trPr>
        <w:tc>
          <w:tcPr>
            <w:tcW w:w="0" w:type="auto"/>
            <w:vAlign w:val="center"/>
          </w:tcPr>
          <w:p w14:paraId="33EFA92D" w14:textId="32B1E6D3" w:rsidR="00CE207C" w:rsidRPr="00CE207C" w:rsidRDefault="00CE207C" w:rsidP="00CE207C">
            <w:pPr>
              <w:pStyle w:val="NoSpacing"/>
              <w:jc w:val="right"/>
              <w:rPr>
                <w:rFonts w:ascii="Times New Roman" w:hAnsi="Times New Roman" w:cs="Times New Roman"/>
                <w:sz w:val="28"/>
                <w:szCs w:val="22"/>
              </w:rPr>
            </w:pPr>
            <w:r w:rsidRPr="00CE207C">
              <w:rPr>
                <w:rFonts w:ascii="Times New Roman" w:hAnsi="Times New Roman" w:cs="Times New Roman"/>
                <w:sz w:val="28"/>
                <w:szCs w:val="22"/>
              </w:rPr>
              <w:t>Total</w:t>
            </w:r>
          </w:p>
        </w:tc>
        <w:tc>
          <w:tcPr>
            <w:tcW w:w="0" w:type="auto"/>
            <w:vAlign w:val="center"/>
          </w:tcPr>
          <w:p w14:paraId="0C39FBEB" w14:textId="1DAC19BE" w:rsidR="00CE207C" w:rsidRPr="00CE207C" w:rsidRDefault="00CE207C" w:rsidP="00CE207C">
            <w:pPr>
              <w:pStyle w:val="NoSpacing"/>
              <w:jc w:val="center"/>
              <w:rPr>
                <w:rFonts w:ascii="Times New Roman" w:hAnsi="Times New Roman" w:cs="Times New Roman"/>
                <w:sz w:val="28"/>
                <w:szCs w:val="22"/>
              </w:rPr>
            </w:pPr>
            <w:r w:rsidRPr="00CE207C">
              <w:rPr>
                <w:rFonts w:ascii="Times New Roman" w:hAnsi="Times New Roman" w:cs="Times New Roman"/>
                <w:sz w:val="28"/>
                <w:szCs w:val="22"/>
              </w:rPr>
              <w:t>8,561</w:t>
            </w:r>
          </w:p>
        </w:tc>
        <w:tc>
          <w:tcPr>
            <w:tcW w:w="0" w:type="auto"/>
            <w:vAlign w:val="center"/>
          </w:tcPr>
          <w:p w14:paraId="27820E4F" w14:textId="6E644D8F" w:rsidR="00CE207C" w:rsidRPr="00CE207C" w:rsidRDefault="00CE207C" w:rsidP="00CE207C">
            <w:pPr>
              <w:pStyle w:val="NoSpacing"/>
              <w:jc w:val="center"/>
              <w:rPr>
                <w:rFonts w:ascii="Times New Roman" w:hAnsi="Times New Roman" w:cs="Times New Roman"/>
                <w:sz w:val="28"/>
                <w:szCs w:val="22"/>
              </w:rPr>
            </w:pPr>
            <w:r w:rsidRPr="00CE207C">
              <w:rPr>
                <w:rFonts w:ascii="Times New Roman" w:hAnsi="Times New Roman" w:cs="Times New Roman"/>
                <w:sz w:val="28"/>
                <w:szCs w:val="22"/>
              </w:rPr>
              <w:t>8,386</w:t>
            </w:r>
          </w:p>
        </w:tc>
      </w:tr>
      <w:tr w:rsidR="00CE207C" w:rsidRPr="00CE207C" w14:paraId="18C2FF4F" w14:textId="77777777" w:rsidTr="00CE207C">
        <w:trPr>
          <w:trHeight w:val="113"/>
        </w:trPr>
        <w:tc>
          <w:tcPr>
            <w:tcW w:w="0" w:type="auto"/>
            <w:hideMark/>
          </w:tcPr>
          <w:p w14:paraId="179B5A18" w14:textId="77777777" w:rsidR="00CE207C" w:rsidRPr="00CE207C" w:rsidRDefault="00CE207C" w:rsidP="00CE207C">
            <w:pPr>
              <w:pStyle w:val="NoSpacing"/>
              <w:rPr>
                <w:rFonts w:ascii="Times New Roman" w:hAnsi="Times New Roman" w:cs="Times New Roman"/>
                <w:b/>
                <w:bCs/>
                <w:sz w:val="28"/>
                <w:szCs w:val="22"/>
              </w:rPr>
            </w:pPr>
            <w:r w:rsidRPr="00CE207C">
              <w:rPr>
                <w:rFonts w:ascii="Times New Roman" w:hAnsi="Times New Roman" w:cs="Times New Roman"/>
                <w:b/>
                <w:bCs/>
                <w:sz w:val="28"/>
                <w:szCs w:val="22"/>
              </w:rPr>
              <w:t>11. Nagaland</w:t>
            </w:r>
          </w:p>
        </w:tc>
        <w:tc>
          <w:tcPr>
            <w:tcW w:w="0" w:type="auto"/>
            <w:vAlign w:val="center"/>
            <w:hideMark/>
          </w:tcPr>
          <w:p w14:paraId="3DDC059D" w14:textId="77777777" w:rsidR="00CE207C" w:rsidRPr="00CE207C" w:rsidRDefault="00CE207C" w:rsidP="00CE207C">
            <w:pPr>
              <w:pStyle w:val="NoSpacing"/>
              <w:jc w:val="center"/>
              <w:rPr>
                <w:rFonts w:ascii="Times New Roman" w:hAnsi="Times New Roman" w:cs="Times New Roman"/>
                <w:sz w:val="28"/>
                <w:szCs w:val="22"/>
              </w:rPr>
            </w:pPr>
            <w:r w:rsidRPr="00CE207C">
              <w:rPr>
                <w:rFonts w:ascii="Times New Roman" w:hAnsi="Times New Roman" w:cs="Times New Roman"/>
                <w:sz w:val="28"/>
                <w:szCs w:val="22"/>
              </w:rPr>
              <w:t>..</w:t>
            </w:r>
          </w:p>
        </w:tc>
        <w:tc>
          <w:tcPr>
            <w:tcW w:w="0" w:type="auto"/>
            <w:vAlign w:val="center"/>
            <w:hideMark/>
          </w:tcPr>
          <w:p w14:paraId="3CD02908" w14:textId="77777777" w:rsidR="00CE207C" w:rsidRPr="00CE207C" w:rsidRDefault="00CE207C" w:rsidP="00CE207C">
            <w:pPr>
              <w:pStyle w:val="NoSpacing"/>
              <w:jc w:val="center"/>
              <w:rPr>
                <w:rFonts w:ascii="Times New Roman" w:hAnsi="Times New Roman" w:cs="Times New Roman"/>
                <w:sz w:val="28"/>
                <w:szCs w:val="22"/>
              </w:rPr>
            </w:pPr>
            <w:r w:rsidRPr="00CE207C">
              <w:rPr>
                <w:rFonts w:ascii="Times New Roman" w:hAnsi="Times New Roman" w:cs="Times New Roman"/>
                <w:sz w:val="28"/>
                <w:szCs w:val="22"/>
              </w:rPr>
              <w:t>..</w:t>
            </w:r>
          </w:p>
        </w:tc>
      </w:tr>
      <w:tr w:rsidR="00CE207C" w:rsidRPr="00CE207C" w14:paraId="75D7CA6B" w14:textId="77777777" w:rsidTr="00CE207C">
        <w:trPr>
          <w:trHeight w:val="113"/>
        </w:trPr>
        <w:tc>
          <w:tcPr>
            <w:tcW w:w="0" w:type="auto"/>
            <w:vAlign w:val="center"/>
          </w:tcPr>
          <w:p w14:paraId="0BC946A7" w14:textId="0E584618" w:rsidR="00CE207C" w:rsidRPr="00CE207C" w:rsidRDefault="00CE207C" w:rsidP="00CE207C">
            <w:pPr>
              <w:pStyle w:val="NoSpacing"/>
              <w:jc w:val="right"/>
              <w:rPr>
                <w:rFonts w:ascii="Times New Roman" w:hAnsi="Times New Roman" w:cs="Times New Roman"/>
                <w:sz w:val="28"/>
                <w:szCs w:val="22"/>
              </w:rPr>
            </w:pPr>
            <w:r w:rsidRPr="00CE207C">
              <w:rPr>
                <w:rFonts w:ascii="Times New Roman" w:hAnsi="Times New Roman" w:cs="Times New Roman"/>
                <w:sz w:val="28"/>
                <w:szCs w:val="22"/>
              </w:rPr>
              <w:t>Total</w:t>
            </w:r>
          </w:p>
        </w:tc>
        <w:tc>
          <w:tcPr>
            <w:tcW w:w="0" w:type="auto"/>
            <w:vAlign w:val="center"/>
          </w:tcPr>
          <w:p w14:paraId="43A83D0C" w14:textId="7E8E0A65" w:rsidR="00CE207C" w:rsidRPr="00CE207C" w:rsidRDefault="00CE207C" w:rsidP="00CE207C">
            <w:pPr>
              <w:pStyle w:val="NoSpacing"/>
              <w:jc w:val="center"/>
              <w:rPr>
                <w:rFonts w:ascii="Times New Roman" w:hAnsi="Times New Roman" w:cs="Times New Roman"/>
                <w:sz w:val="28"/>
                <w:szCs w:val="22"/>
              </w:rPr>
            </w:pPr>
            <w:r w:rsidRPr="00CE207C">
              <w:rPr>
                <w:rFonts w:ascii="Times New Roman" w:hAnsi="Times New Roman" w:cs="Times New Roman"/>
                <w:sz w:val="28"/>
                <w:szCs w:val="22"/>
              </w:rPr>
              <w:t>..</w:t>
            </w:r>
          </w:p>
        </w:tc>
        <w:tc>
          <w:tcPr>
            <w:tcW w:w="0" w:type="auto"/>
            <w:vAlign w:val="center"/>
          </w:tcPr>
          <w:p w14:paraId="283AE108" w14:textId="2A31C9D7" w:rsidR="00CE207C" w:rsidRPr="00CE207C" w:rsidRDefault="00CE207C" w:rsidP="00CE207C">
            <w:pPr>
              <w:pStyle w:val="NoSpacing"/>
              <w:jc w:val="center"/>
              <w:rPr>
                <w:rFonts w:ascii="Times New Roman" w:hAnsi="Times New Roman" w:cs="Times New Roman"/>
                <w:sz w:val="28"/>
                <w:szCs w:val="22"/>
              </w:rPr>
            </w:pPr>
            <w:r w:rsidRPr="00CE207C">
              <w:rPr>
                <w:rFonts w:ascii="Times New Roman" w:hAnsi="Times New Roman" w:cs="Times New Roman"/>
                <w:sz w:val="28"/>
                <w:szCs w:val="22"/>
              </w:rPr>
              <w:t>..</w:t>
            </w:r>
          </w:p>
        </w:tc>
      </w:tr>
      <w:tr w:rsidR="00CE207C" w:rsidRPr="00CE207C" w14:paraId="50FCB8B7" w14:textId="77777777" w:rsidTr="00CE207C">
        <w:trPr>
          <w:trHeight w:val="113"/>
        </w:trPr>
        <w:tc>
          <w:tcPr>
            <w:tcW w:w="0" w:type="auto"/>
            <w:hideMark/>
          </w:tcPr>
          <w:p w14:paraId="727D54E4" w14:textId="77777777" w:rsidR="00CE207C" w:rsidRPr="00CE207C" w:rsidRDefault="00CE207C" w:rsidP="00CE207C">
            <w:pPr>
              <w:pStyle w:val="NoSpacing"/>
              <w:rPr>
                <w:rFonts w:ascii="Times New Roman" w:hAnsi="Times New Roman" w:cs="Times New Roman"/>
                <w:b/>
                <w:bCs/>
                <w:sz w:val="28"/>
                <w:szCs w:val="22"/>
              </w:rPr>
            </w:pPr>
            <w:r w:rsidRPr="00CE207C">
              <w:rPr>
                <w:rFonts w:ascii="Times New Roman" w:hAnsi="Times New Roman" w:cs="Times New Roman"/>
                <w:b/>
                <w:bCs/>
                <w:sz w:val="28"/>
                <w:szCs w:val="22"/>
              </w:rPr>
              <w:t>12. Orissa</w:t>
            </w:r>
          </w:p>
        </w:tc>
        <w:tc>
          <w:tcPr>
            <w:tcW w:w="0" w:type="auto"/>
            <w:vAlign w:val="center"/>
          </w:tcPr>
          <w:p w14:paraId="4D2EAFEE" w14:textId="08D49803" w:rsidR="00CE207C" w:rsidRPr="00CE207C" w:rsidRDefault="00CE207C" w:rsidP="00CE207C">
            <w:pPr>
              <w:pStyle w:val="NoSpacing"/>
              <w:jc w:val="center"/>
              <w:rPr>
                <w:rFonts w:ascii="Times New Roman" w:hAnsi="Times New Roman" w:cs="Times New Roman"/>
                <w:sz w:val="28"/>
                <w:szCs w:val="22"/>
              </w:rPr>
            </w:pPr>
          </w:p>
        </w:tc>
        <w:tc>
          <w:tcPr>
            <w:tcW w:w="0" w:type="auto"/>
            <w:vAlign w:val="center"/>
          </w:tcPr>
          <w:p w14:paraId="1320161B" w14:textId="23AB9735" w:rsidR="00CE207C" w:rsidRPr="00CE207C" w:rsidRDefault="00CE207C" w:rsidP="00CE207C">
            <w:pPr>
              <w:pStyle w:val="NoSpacing"/>
              <w:jc w:val="center"/>
              <w:rPr>
                <w:rFonts w:ascii="Times New Roman" w:hAnsi="Times New Roman" w:cs="Times New Roman"/>
                <w:sz w:val="28"/>
                <w:szCs w:val="22"/>
              </w:rPr>
            </w:pPr>
          </w:p>
        </w:tc>
      </w:tr>
      <w:tr w:rsidR="00CE207C" w:rsidRPr="00CE207C" w14:paraId="001FE4CA" w14:textId="77777777" w:rsidTr="00CE207C">
        <w:trPr>
          <w:trHeight w:val="113"/>
        </w:trPr>
        <w:tc>
          <w:tcPr>
            <w:tcW w:w="0" w:type="auto"/>
            <w:hideMark/>
          </w:tcPr>
          <w:p w14:paraId="0A471315" w14:textId="77777777" w:rsidR="00CE207C" w:rsidRPr="00CE207C" w:rsidRDefault="00CE207C" w:rsidP="00CE207C">
            <w:pPr>
              <w:pStyle w:val="NoSpacing"/>
              <w:rPr>
                <w:rFonts w:ascii="Times New Roman" w:hAnsi="Times New Roman" w:cs="Times New Roman"/>
                <w:sz w:val="28"/>
                <w:szCs w:val="22"/>
              </w:rPr>
            </w:pPr>
            <w:r w:rsidRPr="00CE207C">
              <w:rPr>
                <w:rFonts w:ascii="Times New Roman" w:hAnsi="Times New Roman" w:cs="Times New Roman"/>
                <w:sz w:val="28"/>
                <w:szCs w:val="22"/>
              </w:rPr>
              <w:t>Bhubaneswar</w:t>
            </w:r>
          </w:p>
        </w:tc>
        <w:tc>
          <w:tcPr>
            <w:tcW w:w="0" w:type="auto"/>
            <w:vAlign w:val="center"/>
            <w:hideMark/>
          </w:tcPr>
          <w:p w14:paraId="63B3D4DC" w14:textId="77777777" w:rsidR="00CE207C" w:rsidRPr="00CE207C" w:rsidRDefault="00CE207C" w:rsidP="00CE207C">
            <w:pPr>
              <w:pStyle w:val="NoSpacing"/>
              <w:jc w:val="center"/>
              <w:rPr>
                <w:rFonts w:ascii="Times New Roman" w:hAnsi="Times New Roman" w:cs="Times New Roman"/>
                <w:sz w:val="28"/>
                <w:szCs w:val="22"/>
              </w:rPr>
            </w:pPr>
            <w:r w:rsidRPr="00CE207C">
              <w:rPr>
                <w:rFonts w:ascii="Times New Roman" w:hAnsi="Times New Roman" w:cs="Times New Roman"/>
                <w:sz w:val="28"/>
                <w:szCs w:val="22"/>
              </w:rPr>
              <w:t>647</w:t>
            </w:r>
          </w:p>
        </w:tc>
        <w:tc>
          <w:tcPr>
            <w:tcW w:w="0" w:type="auto"/>
            <w:vAlign w:val="center"/>
            <w:hideMark/>
          </w:tcPr>
          <w:p w14:paraId="04F9D9A9" w14:textId="77777777" w:rsidR="00CE207C" w:rsidRPr="00CE207C" w:rsidRDefault="00CE207C" w:rsidP="00CE207C">
            <w:pPr>
              <w:pStyle w:val="NoSpacing"/>
              <w:jc w:val="center"/>
              <w:rPr>
                <w:rFonts w:ascii="Times New Roman" w:hAnsi="Times New Roman" w:cs="Times New Roman"/>
                <w:sz w:val="28"/>
                <w:szCs w:val="22"/>
              </w:rPr>
            </w:pPr>
            <w:r w:rsidRPr="00CE207C">
              <w:rPr>
                <w:rFonts w:ascii="Times New Roman" w:hAnsi="Times New Roman" w:cs="Times New Roman"/>
                <w:sz w:val="28"/>
                <w:szCs w:val="22"/>
              </w:rPr>
              <w:t>619</w:t>
            </w:r>
          </w:p>
        </w:tc>
      </w:tr>
      <w:tr w:rsidR="00CE207C" w:rsidRPr="00CE207C" w14:paraId="76198CD5" w14:textId="77777777" w:rsidTr="00CE207C">
        <w:trPr>
          <w:trHeight w:val="113"/>
        </w:trPr>
        <w:tc>
          <w:tcPr>
            <w:tcW w:w="0" w:type="auto"/>
            <w:hideMark/>
          </w:tcPr>
          <w:p w14:paraId="6298DC4B" w14:textId="77777777" w:rsidR="00CE207C" w:rsidRPr="00CE207C" w:rsidRDefault="00CE207C" w:rsidP="00CE207C">
            <w:pPr>
              <w:pStyle w:val="NoSpacing"/>
              <w:rPr>
                <w:rFonts w:ascii="Times New Roman" w:hAnsi="Times New Roman" w:cs="Times New Roman"/>
                <w:sz w:val="28"/>
                <w:szCs w:val="22"/>
              </w:rPr>
            </w:pPr>
            <w:r w:rsidRPr="00CE207C">
              <w:rPr>
                <w:rFonts w:ascii="Times New Roman" w:hAnsi="Times New Roman" w:cs="Times New Roman"/>
                <w:sz w:val="28"/>
                <w:szCs w:val="22"/>
              </w:rPr>
              <w:t>Rourkela</w:t>
            </w:r>
          </w:p>
        </w:tc>
        <w:tc>
          <w:tcPr>
            <w:tcW w:w="0" w:type="auto"/>
            <w:vAlign w:val="center"/>
            <w:hideMark/>
          </w:tcPr>
          <w:p w14:paraId="1D480AF5" w14:textId="77777777" w:rsidR="00CE207C" w:rsidRPr="00CE207C" w:rsidRDefault="00CE207C" w:rsidP="00CE207C">
            <w:pPr>
              <w:pStyle w:val="NoSpacing"/>
              <w:jc w:val="center"/>
              <w:rPr>
                <w:rFonts w:ascii="Times New Roman" w:hAnsi="Times New Roman" w:cs="Times New Roman"/>
                <w:sz w:val="28"/>
                <w:szCs w:val="22"/>
              </w:rPr>
            </w:pPr>
            <w:r w:rsidRPr="00CE207C">
              <w:rPr>
                <w:rFonts w:ascii="Times New Roman" w:hAnsi="Times New Roman" w:cs="Times New Roman"/>
                <w:sz w:val="28"/>
                <w:szCs w:val="22"/>
              </w:rPr>
              <w:t>67</w:t>
            </w:r>
          </w:p>
        </w:tc>
        <w:tc>
          <w:tcPr>
            <w:tcW w:w="0" w:type="auto"/>
            <w:vAlign w:val="center"/>
            <w:hideMark/>
          </w:tcPr>
          <w:p w14:paraId="6FD91578" w14:textId="77777777" w:rsidR="00CE207C" w:rsidRPr="00CE207C" w:rsidRDefault="00CE207C" w:rsidP="00CE207C">
            <w:pPr>
              <w:pStyle w:val="NoSpacing"/>
              <w:jc w:val="center"/>
              <w:rPr>
                <w:rFonts w:ascii="Times New Roman" w:hAnsi="Times New Roman" w:cs="Times New Roman"/>
                <w:sz w:val="28"/>
                <w:szCs w:val="22"/>
              </w:rPr>
            </w:pPr>
            <w:r w:rsidRPr="00CE207C">
              <w:rPr>
                <w:rFonts w:ascii="Times New Roman" w:hAnsi="Times New Roman" w:cs="Times New Roman"/>
                <w:sz w:val="28"/>
                <w:szCs w:val="22"/>
              </w:rPr>
              <w:t>54</w:t>
            </w:r>
          </w:p>
        </w:tc>
      </w:tr>
      <w:tr w:rsidR="00CE207C" w:rsidRPr="00CE207C" w14:paraId="69DF3DF1" w14:textId="77777777" w:rsidTr="00CE207C">
        <w:trPr>
          <w:trHeight w:val="113"/>
        </w:trPr>
        <w:tc>
          <w:tcPr>
            <w:tcW w:w="0" w:type="auto"/>
            <w:vAlign w:val="center"/>
          </w:tcPr>
          <w:p w14:paraId="4D3CCB7A" w14:textId="7D015940" w:rsidR="00CE207C" w:rsidRPr="00CE207C" w:rsidRDefault="00CE207C" w:rsidP="00CE207C">
            <w:pPr>
              <w:pStyle w:val="NoSpacing"/>
              <w:jc w:val="right"/>
              <w:rPr>
                <w:rFonts w:ascii="Times New Roman" w:hAnsi="Times New Roman" w:cs="Times New Roman"/>
                <w:sz w:val="28"/>
                <w:szCs w:val="22"/>
              </w:rPr>
            </w:pPr>
            <w:r w:rsidRPr="00CE207C">
              <w:rPr>
                <w:rFonts w:ascii="Times New Roman" w:hAnsi="Times New Roman" w:cs="Times New Roman"/>
                <w:sz w:val="28"/>
                <w:szCs w:val="22"/>
              </w:rPr>
              <w:t>Total</w:t>
            </w:r>
          </w:p>
        </w:tc>
        <w:tc>
          <w:tcPr>
            <w:tcW w:w="0" w:type="auto"/>
            <w:vAlign w:val="center"/>
          </w:tcPr>
          <w:p w14:paraId="3056EA27" w14:textId="782F8517" w:rsidR="00CE207C" w:rsidRPr="00CE207C" w:rsidRDefault="00CE207C" w:rsidP="00CE207C">
            <w:pPr>
              <w:pStyle w:val="NoSpacing"/>
              <w:jc w:val="center"/>
              <w:rPr>
                <w:rFonts w:ascii="Times New Roman" w:hAnsi="Times New Roman" w:cs="Times New Roman"/>
                <w:sz w:val="28"/>
                <w:szCs w:val="22"/>
              </w:rPr>
            </w:pPr>
            <w:r w:rsidRPr="00CE207C">
              <w:rPr>
                <w:rFonts w:ascii="Times New Roman" w:hAnsi="Times New Roman" w:cs="Times New Roman"/>
                <w:sz w:val="28"/>
                <w:szCs w:val="22"/>
              </w:rPr>
              <w:t>714</w:t>
            </w:r>
          </w:p>
        </w:tc>
        <w:tc>
          <w:tcPr>
            <w:tcW w:w="0" w:type="auto"/>
            <w:vAlign w:val="center"/>
          </w:tcPr>
          <w:p w14:paraId="1161A40D" w14:textId="5211B565" w:rsidR="00CE207C" w:rsidRPr="00CE207C" w:rsidRDefault="00CE207C" w:rsidP="00CE207C">
            <w:pPr>
              <w:pStyle w:val="NoSpacing"/>
              <w:jc w:val="center"/>
              <w:rPr>
                <w:rFonts w:ascii="Times New Roman" w:hAnsi="Times New Roman" w:cs="Times New Roman"/>
                <w:sz w:val="28"/>
                <w:szCs w:val="22"/>
              </w:rPr>
            </w:pPr>
            <w:r w:rsidRPr="00CE207C">
              <w:rPr>
                <w:rFonts w:ascii="Times New Roman" w:hAnsi="Times New Roman" w:cs="Times New Roman"/>
                <w:sz w:val="28"/>
                <w:szCs w:val="22"/>
              </w:rPr>
              <w:t>673</w:t>
            </w:r>
          </w:p>
        </w:tc>
      </w:tr>
      <w:tr w:rsidR="00CE207C" w:rsidRPr="00CE207C" w14:paraId="534767C9" w14:textId="77777777" w:rsidTr="00CE207C">
        <w:trPr>
          <w:trHeight w:val="113"/>
        </w:trPr>
        <w:tc>
          <w:tcPr>
            <w:tcW w:w="0" w:type="auto"/>
            <w:hideMark/>
          </w:tcPr>
          <w:p w14:paraId="345841BC" w14:textId="77777777" w:rsidR="00CE207C" w:rsidRPr="00CE207C" w:rsidRDefault="00CE207C" w:rsidP="00CE207C">
            <w:pPr>
              <w:pStyle w:val="NoSpacing"/>
              <w:rPr>
                <w:rFonts w:ascii="Times New Roman" w:hAnsi="Times New Roman" w:cs="Times New Roman"/>
                <w:b/>
                <w:bCs/>
                <w:sz w:val="28"/>
                <w:szCs w:val="22"/>
              </w:rPr>
            </w:pPr>
            <w:r w:rsidRPr="00CE207C">
              <w:rPr>
                <w:rFonts w:ascii="Times New Roman" w:hAnsi="Times New Roman" w:cs="Times New Roman"/>
                <w:b/>
                <w:bCs/>
                <w:sz w:val="28"/>
                <w:szCs w:val="22"/>
              </w:rPr>
              <w:t>13. Punjab</w:t>
            </w:r>
          </w:p>
        </w:tc>
        <w:tc>
          <w:tcPr>
            <w:tcW w:w="0" w:type="auto"/>
            <w:vAlign w:val="center"/>
          </w:tcPr>
          <w:p w14:paraId="38DE9473" w14:textId="5E38F9D4" w:rsidR="00CE207C" w:rsidRPr="00CE207C" w:rsidRDefault="00CE207C" w:rsidP="00CE207C">
            <w:pPr>
              <w:pStyle w:val="NoSpacing"/>
              <w:jc w:val="center"/>
              <w:rPr>
                <w:rFonts w:ascii="Times New Roman" w:hAnsi="Times New Roman" w:cs="Times New Roman"/>
                <w:sz w:val="28"/>
                <w:szCs w:val="22"/>
              </w:rPr>
            </w:pPr>
          </w:p>
        </w:tc>
        <w:tc>
          <w:tcPr>
            <w:tcW w:w="0" w:type="auto"/>
            <w:vAlign w:val="center"/>
          </w:tcPr>
          <w:p w14:paraId="4DF1E0BC" w14:textId="375F4DD0" w:rsidR="00CE207C" w:rsidRPr="00CE207C" w:rsidRDefault="00CE207C" w:rsidP="00CE207C">
            <w:pPr>
              <w:pStyle w:val="NoSpacing"/>
              <w:jc w:val="center"/>
              <w:rPr>
                <w:rFonts w:ascii="Times New Roman" w:hAnsi="Times New Roman" w:cs="Times New Roman"/>
                <w:sz w:val="28"/>
                <w:szCs w:val="22"/>
              </w:rPr>
            </w:pPr>
          </w:p>
        </w:tc>
      </w:tr>
      <w:tr w:rsidR="00CE207C" w:rsidRPr="00CE207C" w14:paraId="076C2844" w14:textId="77777777" w:rsidTr="00CE207C">
        <w:trPr>
          <w:trHeight w:val="113"/>
        </w:trPr>
        <w:tc>
          <w:tcPr>
            <w:tcW w:w="0" w:type="auto"/>
            <w:hideMark/>
          </w:tcPr>
          <w:p w14:paraId="75655B8A" w14:textId="77777777" w:rsidR="00CE207C" w:rsidRPr="00CE207C" w:rsidRDefault="00CE207C" w:rsidP="00CE207C">
            <w:pPr>
              <w:pStyle w:val="NoSpacing"/>
              <w:rPr>
                <w:rFonts w:ascii="Times New Roman" w:hAnsi="Times New Roman" w:cs="Times New Roman"/>
                <w:sz w:val="28"/>
                <w:szCs w:val="22"/>
              </w:rPr>
            </w:pPr>
            <w:r w:rsidRPr="00CE207C">
              <w:rPr>
                <w:rFonts w:ascii="Times New Roman" w:hAnsi="Times New Roman" w:cs="Times New Roman"/>
                <w:sz w:val="28"/>
                <w:szCs w:val="22"/>
              </w:rPr>
              <w:t>Amritsar</w:t>
            </w:r>
          </w:p>
        </w:tc>
        <w:tc>
          <w:tcPr>
            <w:tcW w:w="0" w:type="auto"/>
            <w:vAlign w:val="center"/>
            <w:hideMark/>
          </w:tcPr>
          <w:p w14:paraId="4C75AEF3" w14:textId="77777777" w:rsidR="00CE207C" w:rsidRPr="00CE207C" w:rsidRDefault="00CE207C" w:rsidP="00CE207C">
            <w:pPr>
              <w:pStyle w:val="NoSpacing"/>
              <w:jc w:val="center"/>
              <w:rPr>
                <w:rFonts w:ascii="Times New Roman" w:hAnsi="Times New Roman" w:cs="Times New Roman"/>
                <w:sz w:val="28"/>
                <w:szCs w:val="22"/>
              </w:rPr>
            </w:pPr>
            <w:r w:rsidRPr="00CE207C">
              <w:rPr>
                <w:rFonts w:ascii="Times New Roman" w:hAnsi="Times New Roman" w:cs="Times New Roman"/>
                <w:sz w:val="28"/>
                <w:szCs w:val="22"/>
              </w:rPr>
              <w:t>385</w:t>
            </w:r>
          </w:p>
        </w:tc>
        <w:tc>
          <w:tcPr>
            <w:tcW w:w="0" w:type="auto"/>
            <w:vAlign w:val="center"/>
            <w:hideMark/>
          </w:tcPr>
          <w:p w14:paraId="59C576D1" w14:textId="77777777" w:rsidR="00CE207C" w:rsidRPr="00CE207C" w:rsidRDefault="00CE207C" w:rsidP="00CE207C">
            <w:pPr>
              <w:pStyle w:val="NoSpacing"/>
              <w:jc w:val="center"/>
              <w:rPr>
                <w:rFonts w:ascii="Times New Roman" w:hAnsi="Times New Roman" w:cs="Times New Roman"/>
                <w:sz w:val="28"/>
                <w:szCs w:val="22"/>
              </w:rPr>
            </w:pPr>
            <w:r w:rsidRPr="00CE207C">
              <w:rPr>
                <w:rFonts w:ascii="Times New Roman" w:hAnsi="Times New Roman" w:cs="Times New Roman"/>
                <w:sz w:val="28"/>
                <w:szCs w:val="22"/>
              </w:rPr>
              <w:t>421</w:t>
            </w:r>
          </w:p>
        </w:tc>
      </w:tr>
      <w:tr w:rsidR="00CE207C" w:rsidRPr="00CE207C" w14:paraId="2BAC8AE5" w14:textId="77777777" w:rsidTr="00CE207C">
        <w:trPr>
          <w:trHeight w:val="113"/>
        </w:trPr>
        <w:tc>
          <w:tcPr>
            <w:tcW w:w="0" w:type="auto"/>
            <w:vAlign w:val="center"/>
          </w:tcPr>
          <w:p w14:paraId="5B51613D" w14:textId="2AD028E2" w:rsidR="00CE207C" w:rsidRPr="00CE207C" w:rsidRDefault="00CE207C" w:rsidP="00CE207C">
            <w:pPr>
              <w:pStyle w:val="NoSpacing"/>
              <w:jc w:val="right"/>
              <w:rPr>
                <w:rFonts w:ascii="Times New Roman" w:hAnsi="Times New Roman" w:cs="Times New Roman"/>
                <w:sz w:val="28"/>
                <w:szCs w:val="22"/>
              </w:rPr>
            </w:pPr>
            <w:r w:rsidRPr="00CE207C">
              <w:rPr>
                <w:rFonts w:ascii="Times New Roman" w:hAnsi="Times New Roman" w:cs="Times New Roman"/>
                <w:sz w:val="28"/>
                <w:szCs w:val="22"/>
              </w:rPr>
              <w:t>Total</w:t>
            </w:r>
          </w:p>
        </w:tc>
        <w:tc>
          <w:tcPr>
            <w:tcW w:w="0" w:type="auto"/>
            <w:vAlign w:val="center"/>
          </w:tcPr>
          <w:p w14:paraId="5C0C4543" w14:textId="7554163E" w:rsidR="00CE207C" w:rsidRPr="00CE207C" w:rsidRDefault="00CE207C" w:rsidP="00CE207C">
            <w:pPr>
              <w:pStyle w:val="NoSpacing"/>
              <w:jc w:val="center"/>
              <w:rPr>
                <w:rFonts w:ascii="Times New Roman" w:hAnsi="Times New Roman" w:cs="Times New Roman"/>
                <w:sz w:val="28"/>
                <w:szCs w:val="22"/>
              </w:rPr>
            </w:pPr>
            <w:r w:rsidRPr="00CE207C">
              <w:rPr>
                <w:rFonts w:ascii="Times New Roman" w:hAnsi="Times New Roman" w:cs="Times New Roman"/>
                <w:sz w:val="28"/>
                <w:szCs w:val="22"/>
              </w:rPr>
              <w:t>385</w:t>
            </w:r>
          </w:p>
        </w:tc>
        <w:tc>
          <w:tcPr>
            <w:tcW w:w="0" w:type="auto"/>
            <w:vAlign w:val="center"/>
          </w:tcPr>
          <w:p w14:paraId="5DCA0EF4" w14:textId="35E635D8" w:rsidR="00CE207C" w:rsidRPr="00CE207C" w:rsidRDefault="00CE207C" w:rsidP="00CE207C">
            <w:pPr>
              <w:pStyle w:val="NoSpacing"/>
              <w:jc w:val="center"/>
              <w:rPr>
                <w:rFonts w:ascii="Times New Roman" w:hAnsi="Times New Roman" w:cs="Times New Roman"/>
                <w:sz w:val="28"/>
                <w:szCs w:val="22"/>
              </w:rPr>
            </w:pPr>
            <w:r w:rsidRPr="00CE207C">
              <w:rPr>
                <w:rFonts w:ascii="Times New Roman" w:hAnsi="Times New Roman" w:cs="Times New Roman"/>
                <w:sz w:val="28"/>
                <w:szCs w:val="22"/>
              </w:rPr>
              <w:t>421</w:t>
            </w:r>
          </w:p>
        </w:tc>
      </w:tr>
      <w:tr w:rsidR="00CE207C" w:rsidRPr="00CE207C" w14:paraId="1E0FA069" w14:textId="77777777" w:rsidTr="00CE207C">
        <w:trPr>
          <w:trHeight w:val="113"/>
        </w:trPr>
        <w:tc>
          <w:tcPr>
            <w:tcW w:w="0" w:type="auto"/>
            <w:hideMark/>
          </w:tcPr>
          <w:p w14:paraId="15594E62" w14:textId="77777777" w:rsidR="00CE207C" w:rsidRPr="00CE207C" w:rsidRDefault="00CE207C" w:rsidP="00CE207C">
            <w:pPr>
              <w:pStyle w:val="NoSpacing"/>
              <w:rPr>
                <w:rFonts w:ascii="Times New Roman" w:hAnsi="Times New Roman" w:cs="Times New Roman"/>
                <w:b/>
                <w:bCs/>
                <w:sz w:val="28"/>
                <w:szCs w:val="22"/>
              </w:rPr>
            </w:pPr>
            <w:r w:rsidRPr="00CE207C">
              <w:rPr>
                <w:rFonts w:ascii="Times New Roman" w:hAnsi="Times New Roman" w:cs="Times New Roman"/>
                <w:b/>
                <w:bCs/>
                <w:sz w:val="28"/>
                <w:szCs w:val="22"/>
              </w:rPr>
              <w:t>14. Rajasthan</w:t>
            </w:r>
          </w:p>
        </w:tc>
        <w:tc>
          <w:tcPr>
            <w:tcW w:w="0" w:type="auto"/>
            <w:vAlign w:val="center"/>
          </w:tcPr>
          <w:p w14:paraId="1E20BB41" w14:textId="2E74D6B1" w:rsidR="00CE207C" w:rsidRPr="00CE207C" w:rsidRDefault="00CE207C" w:rsidP="00CE207C">
            <w:pPr>
              <w:pStyle w:val="NoSpacing"/>
              <w:jc w:val="center"/>
              <w:rPr>
                <w:rFonts w:ascii="Times New Roman" w:hAnsi="Times New Roman" w:cs="Times New Roman"/>
                <w:sz w:val="28"/>
                <w:szCs w:val="22"/>
              </w:rPr>
            </w:pPr>
          </w:p>
        </w:tc>
        <w:tc>
          <w:tcPr>
            <w:tcW w:w="0" w:type="auto"/>
            <w:vAlign w:val="center"/>
          </w:tcPr>
          <w:p w14:paraId="68BC622F" w14:textId="4B58F326" w:rsidR="00CE207C" w:rsidRPr="00CE207C" w:rsidRDefault="00CE207C" w:rsidP="00CE207C">
            <w:pPr>
              <w:pStyle w:val="NoSpacing"/>
              <w:jc w:val="center"/>
              <w:rPr>
                <w:rFonts w:ascii="Times New Roman" w:hAnsi="Times New Roman" w:cs="Times New Roman"/>
                <w:sz w:val="28"/>
                <w:szCs w:val="22"/>
              </w:rPr>
            </w:pPr>
          </w:p>
        </w:tc>
      </w:tr>
      <w:tr w:rsidR="00CE207C" w:rsidRPr="00CE207C" w14:paraId="3C231FAE" w14:textId="77777777" w:rsidTr="00CE207C">
        <w:trPr>
          <w:trHeight w:val="113"/>
        </w:trPr>
        <w:tc>
          <w:tcPr>
            <w:tcW w:w="0" w:type="auto"/>
            <w:hideMark/>
          </w:tcPr>
          <w:p w14:paraId="58898EDF" w14:textId="77777777" w:rsidR="00CE207C" w:rsidRPr="00CE207C" w:rsidRDefault="00CE207C" w:rsidP="00CE207C">
            <w:pPr>
              <w:pStyle w:val="NoSpacing"/>
              <w:rPr>
                <w:rFonts w:ascii="Times New Roman" w:hAnsi="Times New Roman" w:cs="Times New Roman"/>
                <w:sz w:val="28"/>
                <w:szCs w:val="22"/>
              </w:rPr>
            </w:pPr>
            <w:r w:rsidRPr="00CE207C">
              <w:rPr>
                <w:rFonts w:ascii="Times New Roman" w:hAnsi="Times New Roman" w:cs="Times New Roman"/>
                <w:sz w:val="28"/>
                <w:szCs w:val="22"/>
              </w:rPr>
              <w:t>Jaipur</w:t>
            </w:r>
          </w:p>
        </w:tc>
        <w:tc>
          <w:tcPr>
            <w:tcW w:w="0" w:type="auto"/>
            <w:vAlign w:val="center"/>
            <w:hideMark/>
          </w:tcPr>
          <w:p w14:paraId="303AD9BA" w14:textId="77777777" w:rsidR="00CE207C" w:rsidRPr="00CE207C" w:rsidRDefault="00CE207C" w:rsidP="00CE207C">
            <w:pPr>
              <w:pStyle w:val="NoSpacing"/>
              <w:jc w:val="center"/>
              <w:rPr>
                <w:rFonts w:ascii="Times New Roman" w:hAnsi="Times New Roman" w:cs="Times New Roman"/>
                <w:sz w:val="28"/>
                <w:szCs w:val="22"/>
              </w:rPr>
            </w:pPr>
            <w:r w:rsidRPr="00CE207C">
              <w:rPr>
                <w:rFonts w:ascii="Times New Roman" w:hAnsi="Times New Roman" w:cs="Times New Roman"/>
                <w:sz w:val="28"/>
                <w:szCs w:val="22"/>
              </w:rPr>
              <w:t>2,469</w:t>
            </w:r>
          </w:p>
        </w:tc>
        <w:tc>
          <w:tcPr>
            <w:tcW w:w="0" w:type="auto"/>
            <w:vAlign w:val="center"/>
            <w:hideMark/>
          </w:tcPr>
          <w:p w14:paraId="5CBF90CE" w14:textId="77777777" w:rsidR="00CE207C" w:rsidRPr="00CE207C" w:rsidRDefault="00CE207C" w:rsidP="00CE207C">
            <w:pPr>
              <w:pStyle w:val="NoSpacing"/>
              <w:jc w:val="center"/>
              <w:rPr>
                <w:rFonts w:ascii="Times New Roman" w:hAnsi="Times New Roman" w:cs="Times New Roman"/>
                <w:sz w:val="28"/>
                <w:szCs w:val="22"/>
              </w:rPr>
            </w:pPr>
            <w:r w:rsidRPr="00CE207C">
              <w:rPr>
                <w:rFonts w:ascii="Times New Roman" w:hAnsi="Times New Roman" w:cs="Times New Roman"/>
                <w:sz w:val="28"/>
                <w:szCs w:val="22"/>
              </w:rPr>
              <w:t>2,553</w:t>
            </w:r>
          </w:p>
        </w:tc>
      </w:tr>
      <w:tr w:rsidR="00CE207C" w:rsidRPr="00CE207C" w14:paraId="686E4538" w14:textId="77777777" w:rsidTr="00CE207C">
        <w:trPr>
          <w:trHeight w:val="113"/>
        </w:trPr>
        <w:tc>
          <w:tcPr>
            <w:tcW w:w="0" w:type="auto"/>
            <w:hideMark/>
          </w:tcPr>
          <w:p w14:paraId="2A831ED1" w14:textId="77777777" w:rsidR="00CE207C" w:rsidRPr="00CE207C" w:rsidRDefault="00CE207C" w:rsidP="00CE207C">
            <w:pPr>
              <w:pStyle w:val="NoSpacing"/>
              <w:rPr>
                <w:rFonts w:ascii="Times New Roman" w:hAnsi="Times New Roman" w:cs="Times New Roman"/>
                <w:sz w:val="28"/>
                <w:szCs w:val="22"/>
              </w:rPr>
            </w:pPr>
            <w:r w:rsidRPr="00CE207C">
              <w:rPr>
                <w:rFonts w:ascii="Times New Roman" w:hAnsi="Times New Roman" w:cs="Times New Roman"/>
                <w:sz w:val="28"/>
                <w:szCs w:val="22"/>
              </w:rPr>
              <w:t>Udaipur</w:t>
            </w:r>
          </w:p>
        </w:tc>
        <w:tc>
          <w:tcPr>
            <w:tcW w:w="0" w:type="auto"/>
            <w:vAlign w:val="center"/>
            <w:hideMark/>
          </w:tcPr>
          <w:p w14:paraId="03421225" w14:textId="77777777" w:rsidR="00CE207C" w:rsidRPr="00CE207C" w:rsidRDefault="00CE207C" w:rsidP="00CE207C">
            <w:pPr>
              <w:pStyle w:val="NoSpacing"/>
              <w:jc w:val="center"/>
              <w:rPr>
                <w:rFonts w:ascii="Times New Roman" w:hAnsi="Times New Roman" w:cs="Times New Roman"/>
                <w:sz w:val="28"/>
                <w:szCs w:val="22"/>
              </w:rPr>
            </w:pPr>
            <w:r w:rsidRPr="00CE207C">
              <w:rPr>
                <w:rFonts w:ascii="Times New Roman" w:hAnsi="Times New Roman" w:cs="Times New Roman"/>
                <w:sz w:val="28"/>
                <w:szCs w:val="22"/>
              </w:rPr>
              <w:t>1,088</w:t>
            </w:r>
          </w:p>
        </w:tc>
        <w:tc>
          <w:tcPr>
            <w:tcW w:w="0" w:type="auto"/>
            <w:vAlign w:val="center"/>
            <w:hideMark/>
          </w:tcPr>
          <w:p w14:paraId="18BEBD3B" w14:textId="77777777" w:rsidR="00CE207C" w:rsidRPr="00CE207C" w:rsidRDefault="00CE207C" w:rsidP="00CE207C">
            <w:pPr>
              <w:pStyle w:val="NoSpacing"/>
              <w:jc w:val="center"/>
              <w:rPr>
                <w:rFonts w:ascii="Times New Roman" w:hAnsi="Times New Roman" w:cs="Times New Roman"/>
                <w:sz w:val="28"/>
                <w:szCs w:val="22"/>
              </w:rPr>
            </w:pPr>
            <w:r w:rsidRPr="00CE207C">
              <w:rPr>
                <w:rFonts w:ascii="Times New Roman" w:hAnsi="Times New Roman" w:cs="Times New Roman"/>
                <w:sz w:val="28"/>
                <w:szCs w:val="22"/>
              </w:rPr>
              <w:t>1,117</w:t>
            </w:r>
          </w:p>
        </w:tc>
      </w:tr>
      <w:tr w:rsidR="00CE207C" w:rsidRPr="00CE207C" w14:paraId="7275F38E" w14:textId="77777777" w:rsidTr="00CE207C">
        <w:trPr>
          <w:trHeight w:val="113"/>
        </w:trPr>
        <w:tc>
          <w:tcPr>
            <w:tcW w:w="0" w:type="auto"/>
            <w:vAlign w:val="center"/>
          </w:tcPr>
          <w:p w14:paraId="69625C71" w14:textId="5203B4DC" w:rsidR="00CE207C" w:rsidRPr="00CE207C" w:rsidRDefault="00CE207C" w:rsidP="00CE207C">
            <w:pPr>
              <w:pStyle w:val="NoSpacing"/>
              <w:jc w:val="right"/>
              <w:rPr>
                <w:rFonts w:ascii="Times New Roman" w:hAnsi="Times New Roman" w:cs="Times New Roman"/>
                <w:sz w:val="28"/>
                <w:szCs w:val="22"/>
              </w:rPr>
            </w:pPr>
            <w:r w:rsidRPr="00CE207C">
              <w:rPr>
                <w:rFonts w:ascii="Times New Roman" w:hAnsi="Times New Roman" w:cs="Times New Roman"/>
                <w:sz w:val="28"/>
                <w:szCs w:val="22"/>
              </w:rPr>
              <w:t>Total</w:t>
            </w:r>
          </w:p>
        </w:tc>
        <w:tc>
          <w:tcPr>
            <w:tcW w:w="0" w:type="auto"/>
            <w:vAlign w:val="center"/>
          </w:tcPr>
          <w:p w14:paraId="7D8158DA" w14:textId="12286E1A" w:rsidR="00CE207C" w:rsidRPr="00CE207C" w:rsidRDefault="00CE207C" w:rsidP="00CE207C">
            <w:pPr>
              <w:pStyle w:val="NoSpacing"/>
              <w:jc w:val="center"/>
              <w:rPr>
                <w:rFonts w:ascii="Times New Roman" w:hAnsi="Times New Roman" w:cs="Times New Roman"/>
                <w:sz w:val="28"/>
                <w:szCs w:val="22"/>
              </w:rPr>
            </w:pPr>
            <w:r w:rsidRPr="00CE207C">
              <w:rPr>
                <w:rFonts w:ascii="Times New Roman" w:hAnsi="Times New Roman" w:cs="Times New Roman"/>
                <w:sz w:val="28"/>
                <w:szCs w:val="22"/>
              </w:rPr>
              <w:t>3,557</w:t>
            </w:r>
          </w:p>
        </w:tc>
        <w:tc>
          <w:tcPr>
            <w:tcW w:w="0" w:type="auto"/>
            <w:vAlign w:val="center"/>
          </w:tcPr>
          <w:p w14:paraId="663AA26C" w14:textId="34148BB3" w:rsidR="00CE207C" w:rsidRPr="00CE207C" w:rsidRDefault="00CE207C" w:rsidP="00CE207C">
            <w:pPr>
              <w:pStyle w:val="NoSpacing"/>
              <w:jc w:val="center"/>
              <w:rPr>
                <w:rFonts w:ascii="Times New Roman" w:hAnsi="Times New Roman" w:cs="Times New Roman"/>
                <w:sz w:val="28"/>
                <w:szCs w:val="22"/>
              </w:rPr>
            </w:pPr>
            <w:r w:rsidRPr="00CE207C">
              <w:rPr>
                <w:rFonts w:ascii="Times New Roman" w:hAnsi="Times New Roman" w:cs="Times New Roman"/>
                <w:sz w:val="28"/>
                <w:szCs w:val="22"/>
              </w:rPr>
              <w:t>3,670</w:t>
            </w:r>
          </w:p>
        </w:tc>
      </w:tr>
    </w:tbl>
    <w:p w14:paraId="5F5713FC" w14:textId="77777777" w:rsidR="00EB2363" w:rsidRPr="007245B0" w:rsidRDefault="00EB2363" w:rsidP="00EB2363">
      <w:pPr>
        <w:rPr>
          <w:rFonts w:ascii="Times New Roman" w:hAnsi="Times New Roman" w:cs="Times New Roman"/>
          <w:i/>
          <w:iCs/>
        </w:rPr>
      </w:pPr>
    </w:p>
    <w:p w14:paraId="6BC0D8E8" w14:textId="73A49875" w:rsidR="002152D6" w:rsidRPr="00574BCE" w:rsidRDefault="00574BCE" w:rsidP="001E634B">
      <w:pPr>
        <w:jc w:val="center"/>
        <w:rPr>
          <w:rFonts w:ascii="Times New Roman" w:hAnsi="Times New Roman" w:cs="Times New Roman"/>
          <w:b/>
          <w:bCs/>
        </w:rPr>
      </w:pPr>
      <w:r w:rsidRPr="00574BCE">
        <w:rPr>
          <w:rFonts w:ascii="Times New Roman" w:hAnsi="Times New Roman" w:cs="Times New Roman"/>
          <w:b/>
          <w:bCs/>
        </w:rPr>
        <w:lastRenderedPageBreak/>
        <w:t>Table</w:t>
      </w:r>
      <w:r w:rsidR="002152D6" w:rsidRPr="00574BCE">
        <w:rPr>
          <w:rFonts w:ascii="Times New Roman" w:hAnsi="Times New Roman" w:cs="Times New Roman"/>
          <w:b/>
          <w:bCs/>
        </w:rPr>
        <w:t xml:space="preserve"> 62: Number of passengers carried by Indian Airlines embarking and disembarking in January 1969-contd.</w:t>
      </w:r>
    </w:p>
    <w:tbl>
      <w:tblPr>
        <w:tblW w:w="9882" w:type="dxa"/>
        <w:tblLook w:val="04A0" w:firstRow="1" w:lastRow="0" w:firstColumn="1" w:lastColumn="0" w:noHBand="0" w:noVBand="1"/>
      </w:tblPr>
      <w:tblGrid>
        <w:gridCol w:w="3397"/>
        <w:gridCol w:w="2946"/>
        <w:gridCol w:w="3539"/>
      </w:tblGrid>
      <w:tr w:rsidR="00CE207C" w:rsidRPr="00CE207C" w14:paraId="2CEDEEBC" w14:textId="77777777" w:rsidTr="00CE207C">
        <w:trPr>
          <w:trHeight w:val="20"/>
        </w:trPr>
        <w:tc>
          <w:tcPr>
            <w:tcW w:w="3397" w:type="dxa"/>
            <w:vMerge w:val="restart"/>
            <w:tcBorders>
              <w:top w:val="single" w:sz="4" w:space="0" w:color="auto"/>
              <w:left w:val="single" w:sz="4" w:space="0" w:color="auto"/>
              <w:bottom w:val="single" w:sz="4" w:space="0" w:color="auto"/>
              <w:right w:val="single" w:sz="4" w:space="0" w:color="auto"/>
            </w:tcBorders>
            <w:vAlign w:val="center"/>
            <w:hideMark/>
          </w:tcPr>
          <w:p w14:paraId="7DAB2E99" w14:textId="77777777" w:rsidR="00CE207C" w:rsidRPr="00CE207C" w:rsidRDefault="00CE207C" w:rsidP="00CE207C">
            <w:pPr>
              <w:spacing w:after="0" w:line="240" w:lineRule="auto"/>
              <w:jc w:val="center"/>
              <w:rPr>
                <w:rFonts w:ascii="Times New Roman" w:eastAsia="Times New Roman" w:hAnsi="Times New Roman" w:cs="Times New Roman"/>
                <w:b/>
                <w:bCs/>
                <w:color w:val="000000"/>
                <w:kern w:val="0"/>
                <w:sz w:val="26"/>
                <w:szCs w:val="26"/>
                <w:lang w:eastAsia="en-IN"/>
                <w14:ligatures w14:val="none"/>
              </w:rPr>
            </w:pPr>
            <w:r w:rsidRPr="00CE207C">
              <w:rPr>
                <w:rFonts w:ascii="Times New Roman" w:eastAsia="Times New Roman" w:hAnsi="Times New Roman" w:cs="Times New Roman"/>
                <w:b/>
                <w:bCs/>
                <w:color w:val="000000"/>
                <w:kern w:val="0"/>
                <w:sz w:val="26"/>
                <w:szCs w:val="26"/>
                <w:lang w:eastAsia="en-IN"/>
                <w14:ligatures w14:val="none"/>
              </w:rPr>
              <w:t>State / City</w:t>
            </w:r>
          </w:p>
        </w:tc>
        <w:tc>
          <w:tcPr>
            <w:tcW w:w="6485" w:type="dxa"/>
            <w:gridSpan w:val="2"/>
            <w:tcBorders>
              <w:top w:val="single" w:sz="4" w:space="0" w:color="auto"/>
              <w:left w:val="nil"/>
              <w:bottom w:val="single" w:sz="4" w:space="0" w:color="auto"/>
              <w:right w:val="single" w:sz="4" w:space="0" w:color="auto"/>
            </w:tcBorders>
            <w:vAlign w:val="center"/>
            <w:hideMark/>
          </w:tcPr>
          <w:p w14:paraId="2B27B23F" w14:textId="77777777" w:rsidR="00CE207C" w:rsidRPr="00CE207C" w:rsidRDefault="00CE207C" w:rsidP="00CE207C">
            <w:pPr>
              <w:spacing w:after="0" w:line="240" w:lineRule="auto"/>
              <w:jc w:val="center"/>
              <w:rPr>
                <w:rFonts w:ascii="Times New Roman" w:eastAsia="Times New Roman" w:hAnsi="Times New Roman" w:cs="Times New Roman"/>
                <w:b/>
                <w:bCs/>
                <w:color w:val="000000"/>
                <w:kern w:val="0"/>
                <w:sz w:val="26"/>
                <w:szCs w:val="26"/>
                <w:lang w:eastAsia="en-IN"/>
                <w14:ligatures w14:val="none"/>
              </w:rPr>
            </w:pPr>
            <w:r w:rsidRPr="00CE207C">
              <w:rPr>
                <w:rFonts w:ascii="Times New Roman" w:eastAsia="Times New Roman" w:hAnsi="Times New Roman" w:cs="Times New Roman"/>
                <w:b/>
                <w:bCs/>
                <w:color w:val="000000"/>
                <w:kern w:val="0"/>
                <w:sz w:val="26"/>
                <w:szCs w:val="26"/>
                <w:lang w:eastAsia="en-IN"/>
                <w14:ligatures w14:val="none"/>
              </w:rPr>
              <w:t>Number of passengers</w:t>
            </w:r>
          </w:p>
        </w:tc>
      </w:tr>
      <w:tr w:rsidR="00CE207C" w:rsidRPr="00CE207C" w14:paraId="5E0CA307" w14:textId="77777777" w:rsidTr="00CE207C">
        <w:trPr>
          <w:trHeight w:val="20"/>
        </w:trPr>
        <w:tc>
          <w:tcPr>
            <w:tcW w:w="3397" w:type="dxa"/>
            <w:vMerge/>
            <w:tcBorders>
              <w:top w:val="single" w:sz="4" w:space="0" w:color="auto"/>
              <w:left w:val="single" w:sz="4" w:space="0" w:color="auto"/>
              <w:bottom w:val="single" w:sz="4" w:space="0" w:color="auto"/>
              <w:right w:val="single" w:sz="4" w:space="0" w:color="auto"/>
            </w:tcBorders>
            <w:vAlign w:val="center"/>
            <w:hideMark/>
          </w:tcPr>
          <w:p w14:paraId="3EEC5F97" w14:textId="77777777" w:rsidR="00CE207C" w:rsidRPr="00CE207C" w:rsidRDefault="00CE207C" w:rsidP="00CE207C">
            <w:pPr>
              <w:spacing w:after="0" w:line="240" w:lineRule="auto"/>
              <w:jc w:val="center"/>
              <w:rPr>
                <w:rFonts w:ascii="Times New Roman" w:eastAsia="Times New Roman" w:hAnsi="Times New Roman" w:cs="Times New Roman"/>
                <w:b/>
                <w:bCs/>
                <w:color w:val="000000"/>
                <w:kern w:val="0"/>
                <w:sz w:val="26"/>
                <w:szCs w:val="26"/>
                <w:lang w:eastAsia="en-IN"/>
                <w14:ligatures w14:val="none"/>
              </w:rPr>
            </w:pPr>
          </w:p>
        </w:tc>
        <w:tc>
          <w:tcPr>
            <w:tcW w:w="2946" w:type="dxa"/>
            <w:tcBorders>
              <w:top w:val="nil"/>
              <w:left w:val="nil"/>
              <w:bottom w:val="single" w:sz="4" w:space="0" w:color="auto"/>
              <w:right w:val="single" w:sz="4" w:space="0" w:color="auto"/>
            </w:tcBorders>
            <w:vAlign w:val="center"/>
            <w:hideMark/>
          </w:tcPr>
          <w:p w14:paraId="0D1BEDAA" w14:textId="77777777" w:rsidR="00CE207C" w:rsidRPr="00CE207C" w:rsidRDefault="00CE207C" w:rsidP="00CE207C">
            <w:pPr>
              <w:spacing w:after="0" w:line="240" w:lineRule="auto"/>
              <w:jc w:val="center"/>
              <w:rPr>
                <w:rFonts w:ascii="Times New Roman" w:eastAsia="Times New Roman" w:hAnsi="Times New Roman" w:cs="Times New Roman"/>
                <w:b/>
                <w:bCs/>
                <w:color w:val="000000"/>
                <w:kern w:val="0"/>
                <w:sz w:val="26"/>
                <w:szCs w:val="26"/>
                <w:lang w:eastAsia="en-IN"/>
                <w14:ligatures w14:val="none"/>
              </w:rPr>
            </w:pPr>
            <w:r w:rsidRPr="00CE207C">
              <w:rPr>
                <w:rFonts w:ascii="Times New Roman" w:eastAsia="Times New Roman" w:hAnsi="Times New Roman" w:cs="Times New Roman"/>
                <w:b/>
                <w:bCs/>
                <w:color w:val="000000"/>
                <w:kern w:val="0"/>
                <w:sz w:val="26"/>
                <w:szCs w:val="26"/>
                <w:lang w:eastAsia="en-IN"/>
                <w14:ligatures w14:val="none"/>
              </w:rPr>
              <w:t>Embarking Passengers</w:t>
            </w:r>
          </w:p>
        </w:tc>
        <w:tc>
          <w:tcPr>
            <w:tcW w:w="3539" w:type="dxa"/>
            <w:tcBorders>
              <w:top w:val="nil"/>
              <w:left w:val="nil"/>
              <w:bottom w:val="single" w:sz="4" w:space="0" w:color="auto"/>
              <w:right w:val="single" w:sz="4" w:space="0" w:color="auto"/>
            </w:tcBorders>
            <w:vAlign w:val="center"/>
            <w:hideMark/>
          </w:tcPr>
          <w:p w14:paraId="03794304" w14:textId="77777777" w:rsidR="00CE207C" w:rsidRPr="00CE207C" w:rsidRDefault="00CE207C" w:rsidP="00CE207C">
            <w:pPr>
              <w:spacing w:after="0" w:line="240" w:lineRule="auto"/>
              <w:jc w:val="center"/>
              <w:rPr>
                <w:rFonts w:ascii="Times New Roman" w:eastAsia="Times New Roman" w:hAnsi="Times New Roman" w:cs="Times New Roman"/>
                <w:b/>
                <w:bCs/>
                <w:color w:val="000000"/>
                <w:kern w:val="0"/>
                <w:sz w:val="26"/>
                <w:szCs w:val="26"/>
                <w:lang w:eastAsia="en-IN"/>
                <w14:ligatures w14:val="none"/>
              </w:rPr>
            </w:pPr>
            <w:r w:rsidRPr="00CE207C">
              <w:rPr>
                <w:rFonts w:ascii="Times New Roman" w:eastAsia="Times New Roman" w:hAnsi="Times New Roman" w:cs="Times New Roman"/>
                <w:b/>
                <w:bCs/>
                <w:color w:val="000000"/>
                <w:kern w:val="0"/>
                <w:sz w:val="26"/>
                <w:szCs w:val="26"/>
                <w:lang w:eastAsia="en-IN"/>
                <w14:ligatures w14:val="none"/>
              </w:rPr>
              <w:t>Disembarking Passengers</w:t>
            </w:r>
          </w:p>
        </w:tc>
      </w:tr>
      <w:tr w:rsidR="00CE207C" w:rsidRPr="00CE207C" w14:paraId="73D0CD92" w14:textId="77777777" w:rsidTr="00CE207C">
        <w:trPr>
          <w:trHeight w:val="20"/>
        </w:trPr>
        <w:tc>
          <w:tcPr>
            <w:tcW w:w="3397" w:type="dxa"/>
            <w:tcBorders>
              <w:top w:val="nil"/>
              <w:left w:val="single" w:sz="4" w:space="0" w:color="auto"/>
              <w:bottom w:val="single" w:sz="4" w:space="0" w:color="auto"/>
              <w:right w:val="single" w:sz="4" w:space="0" w:color="auto"/>
            </w:tcBorders>
            <w:vAlign w:val="center"/>
            <w:hideMark/>
          </w:tcPr>
          <w:p w14:paraId="25D734B0" w14:textId="77777777" w:rsidR="00CE207C" w:rsidRPr="00CE207C" w:rsidRDefault="00CE207C" w:rsidP="00CE207C">
            <w:pPr>
              <w:spacing w:after="0" w:line="240" w:lineRule="auto"/>
              <w:rPr>
                <w:rFonts w:ascii="Times New Roman" w:eastAsia="Times New Roman" w:hAnsi="Times New Roman" w:cs="Times New Roman"/>
                <w:b/>
                <w:bCs/>
                <w:color w:val="000000"/>
                <w:kern w:val="0"/>
                <w:sz w:val="26"/>
                <w:szCs w:val="26"/>
                <w:lang w:eastAsia="en-IN"/>
                <w14:ligatures w14:val="none"/>
              </w:rPr>
            </w:pPr>
            <w:r w:rsidRPr="00CE207C">
              <w:rPr>
                <w:rFonts w:ascii="Times New Roman" w:eastAsia="Times New Roman" w:hAnsi="Times New Roman" w:cs="Times New Roman"/>
                <w:b/>
                <w:bCs/>
                <w:color w:val="000000"/>
                <w:kern w:val="0"/>
                <w:sz w:val="26"/>
                <w:szCs w:val="26"/>
                <w:lang w:eastAsia="en-IN"/>
                <w14:ligatures w14:val="none"/>
              </w:rPr>
              <w:t>15. Tamil Nadu</w:t>
            </w:r>
          </w:p>
        </w:tc>
        <w:tc>
          <w:tcPr>
            <w:tcW w:w="2946" w:type="dxa"/>
            <w:tcBorders>
              <w:top w:val="nil"/>
              <w:left w:val="nil"/>
              <w:bottom w:val="single" w:sz="4" w:space="0" w:color="auto"/>
              <w:right w:val="single" w:sz="4" w:space="0" w:color="auto"/>
            </w:tcBorders>
            <w:vAlign w:val="center"/>
            <w:hideMark/>
          </w:tcPr>
          <w:p w14:paraId="4C0D020D" w14:textId="77777777" w:rsidR="00CE207C" w:rsidRPr="00CE207C" w:rsidRDefault="00CE207C" w:rsidP="00CE207C">
            <w:pPr>
              <w:spacing w:after="0" w:line="240" w:lineRule="auto"/>
              <w:rPr>
                <w:rFonts w:ascii="Times New Roman" w:eastAsia="Times New Roman" w:hAnsi="Times New Roman" w:cs="Times New Roman"/>
                <w:color w:val="000000"/>
                <w:kern w:val="0"/>
                <w:sz w:val="26"/>
                <w:szCs w:val="26"/>
                <w:lang w:eastAsia="en-IN"/>
                <w14:ligatures w14:val="none"/>
              </w:rPr>
            </w:pPr>
            <w:r w:rsidRPr="00CE207C">
              <w:rPr>
                <w:rFonts w:ascii="Times New Roman" w:eastAsia="Times New Roman" w:hAnsi="Times New Roman" w:cs="Times New Roman"/>
                <w:color w:val="000000"/>
                <w:kern w:val="0"/>
                <w:sz w:val="26"/>
                <w:szCs w:val="26"/>
                <w:lang w:eastAsia="en-IN"/>
                <w14:ligatures w14:val="none"/>
              </w:rPr>
              <w:t> </w:t>
            </w:r>
          </w:p>
        </w:tc>
        <w:tc>
          <w:tcPr>
            <w:tcW w:w="3539" w:type="dxa"/>
            <w:tcBorders>
              <w:top w:val="nil"/>
              <w:left w:val="nil"/>
              <w:bottom w:val="single" w:sz="4" w:space="0" w:color="auto"/>
              <w:right w:val="single" w:sz="4" w:space="0" w:color="auto"/>
            </w:tcBorders>
            <w:vAlign w:val="center"/>
            <w:hideMark/>
          </w:tcPr>
          <w:p w14:paraId="2A149CD1" w14:textId="77777777" w:rsidR="00CE207C" w:rsidRPr="00CE207C" w:rsidRDefault="00CE207C" w:rsidP="00CE207C">
            <w:pPr>
              <w:spacing w:after="0" w:line="240" w:lineRule="auto"/>
              <w:rPr>
                <w:rFonts w:ascii="Times New Roman" w:eastAsia="Times New Roman" w:hAnsi="Times New Roman" w:cs="Times New Roman"/>
                <w:color w:val="000000"/>
                <w:kern w:val="0"/>
                <w:sz w:val="26"/>
                <w:szCs w:val="26"/>
                <w:lang w:eastAsia="en-IN"/>
                <w14:ligatures w14:val="none"/>
              </w:rPr>
            </w:pPr>
            <w:r w:rsidRPr="00CE207C">
              <w:rPr>
                <w:rFonts w:ascii="Times New Roman" w:eastAsia="Times New Roman" w:hAnsi="Times New Roman" w:cs="Times New Roman"/>
                <w:color w:val="000000"/>
                <w:kern w:val="0"/>
                <w:sz w:val="26"/>
                <w:szCs w:val="26"/>
                <w:lang w:eastAsia="en-IN"/>
                <w14:ligatures w14:val="none"/>
              </w:rPr>
              <w:t> </w:t>
            </w:r>
          </w:p>
        </w:tc>
      </w:tr>
      <w:tr w:rsidR="00CE207C" w:rsidRPr="00CE207C" w14:paraId="463EBB50" w14:textId="77777777" w:rsidTr="00CE207C">
        <w:trPr>
          <w:trHeight w:val="20"/>
        </w:trPr>
        <w:tc>
          <w:tcPr>
            <w:tcW w:w="3397" w:type="dxa"/>
            <w:tcBorders>
              <w:top w:val="nil"/>
              <w:left w:val="single" w:sz="4" w:space="0" w:color="auto"/>
              <w:bottom w:val="single" w:sz="4" w:space="0" w:color="auto"/>
              <w:right w:val="single" w:sz="4" w:space="0" w:color="auto"/>
            </w:tcBorders>
            <w:vAlign w:val="center"/>
            <w:hideMark/>
          </w:tcPr>
          <w:p w14:paraId="2C6B5D77" w14:textId="77777777" w:rsidR="00CE207C" w:rsidRPr="00CE207C" w:rsidRDefault="00CE207C" w:rsidP="00CE207C">
            <w:pPr>
              <w:spacing w:after="0" w:line="240" w:lineRule="auto"/>
              <w:rPr>
                <w:rFonts w:ascii="Times New Roman" w:eastAsia="Times New Roman" w:hAnsi="Times New Roman" w:cs="Times New Roman"/>
                <w:color w:val="000000"/>
                <w:kern w:val="0"/>
                <w:sz w:val="26"/>
                <w:szCs w:val="26"/>
                <w:lang w:eastAsia="en-IN"/>
                <w14:ligatures w14:val="none"/>
              </w:rPr>
            </w:pPr>
            <w:r w:rsidRPr="00CE207C">
              <w:rPr>
                <w:rFonts w:ascii="Times New Roman" w:eastAsia="Times New Roman" w:hAnsi="Times New Roman" w:cs="Times New Roman"/>
                <w:color w:val="000000"/>
                <w:kern w:val="0"/>
                <w:sz w:val="26"/>
                <w:szCs w:val="26"/>
                <w:lang w:eastAsia="en-IN"/>
                <w14:ligatures w14:val="none"/>
              </w:rPr>
              <w:t>Coimbatore</w:t>
            </w:r>
          </w:p>
        </w:tc>
        <w:tc>
          <w:tcPr>
            <w:tcW w:w="2946" w:type="dxa"/>
            <w:tcBorders>
              <w:top w:val="nil"/>
              <w:left w:val="nil"/>
              <w:bottom w:val="single" w:sz="4" w:space="0" w:color="auto"/>
              <w:right w:val="single" w:sz="4" w:space="0" w:color="auto"/>
            </w:tcBorders>
            <w:vAlign w:val="center"/>
            <w:hideMark/>
          </w:tcPr>
          <w:p w14:paraId="2DED68C9" w14:textId="77777777" w:rsidR="00CE207C" w:rsidRPr="00CE207C" w:rsidRDefault="00CE207C" w:rsidP="00CE207C">
            <w:pPr>
              <w:spacing w:after="0" w:line="240" w:lineRule="auto"/>
              <w:jc w:val="center"/>
              <w:rPr>
                <w:rFonts w:ascii="Times New Roman" w:eastAsia="Times New Roman" w:hAnsi="Times New Roman" w:cs="Times New Roman"/>
                <w:color w:val="000000"/>
                <w:kern w:val="0"/>
                <w:sz w:val="26"/>
                <w:szCs w:val="26"/>
                <w:lang w:eastAsia="en-IN"/>
                <w14:ligatures w14:val="none"/>
              </w:rPr>
            </w:pPr>
            <w:r w:rsidRPr="00CE207C">
              <w:rPr>
                <w:rFonts w:ascii="Times New Roman" w:eastAsia="Times New Roman" w:hAnsi="Times New Roman" w:cs="Times New Roman"/>
                <w:color w:val="000000"/>
                <w:kern w:val="0"/>
                <w:sz w:val="26"/>
                <w:szCs w:val="26"/>
                <w:lang w:eastAsia="en-IN"/>
                <w14:ligatures w14:val="none"/>
              </w:rPr>
              <w:t>977</w:t>
            </w:r>
          </w:p>
        </w:tc>
        <w:tc>
          <w:tcPr>
            <w:tcW w:w="3539" w:type="dxa"/>
            <w:tcBorders>
              <w:top w:val="nil"/>
              <w:left w:val="nil"/>
              <w:bottom w:val="single" w:sz="4" w:space="0" w:color="auto"/>
              <w:right w:val="single" w:sz="4" w:space="0" w:color="auto"/>
            </w:tcBorders>
            <w:vAlign w:val="center"/>
            <w:hideMark/>
          </w:tcPr>
          <w:p w14:paraId="07D9B699" w14:textId="77777777" w:rsidR="00CE207C" w:rsidRPr="00CE207C" w:rsidRDefault="00CE207C" w:rsidP="00CE207C">
            <w:pPr>
              <w:spacing w:after="0" w:line="240" w:lineRule="auto"/>
              <w:jc w:val="center"/>
              <w:rPr>
                <w:rFonts w:ascii="Times New Roman" w:eastAsia="Times New Roman" w:hAnsi="Times New Roman" w:cs="Times New Roman"/>
                <w:color w:val="000000"/>
                <w:kern w:val="0"/>
                <w:sz w:val="26"/>
                <w:szCs w:val="26"/>
                <w:lang w:eastAsia="en-IN"/>
                <w14:ligatures w14:val="none"/>
              </w:rPr>
            </w:pPr>
            <w:r w:rsidRPr="00CE207C">
              <w:rPr>
                <w:rFonts w:ascii="Times New Roman" w:eastAsia="Times New Roman" w:hAnsi="Times New Roman" w:cs="Times New Roman"/>
                <w:color w:val="000000"/>
                <w:kern w:val="0"/>
                <w:sz w:val="26"/>
                <w:szCs w:val="26"/>
                <w:lang w:eastAsia="en-IN"/>
                <w14:ligatures w14:val="none"/>
              </w:rPr>
              <w:t>1,021</w:t>
            </w:r>
          </w:p>
        </w:tc>
      </w:tr>
      <w:tr w:rsidR="00CE207C" w:rsidRPr="00CE207C" w14:paraId="3E66225D" w14:textId="77777777" w:rsidTr="00CE207C">
        <w:trPr>
          <w:trHeight w:val="20"/>
        </w:trPr>
        <w:tc>
          <w:tcPr>
            <w:tcW w:w="3397" w:type="dxa"/>
            <w:tcBorders>
              <w:top w:val="nil"/>
              <w:left w:val="single" w:sz="4" w:space="0" w:color="auto"/>
              <w:bottom w:val="single" w:sz="4" w:space="0" w:color="auto"/>
              <w:right w:val="single" w:sz="4" w:space="0" w:color="auto"/>
            </w:tcBorders>
            <w:vAlign w:val="center"/>
            <w:hideMark/>
          </w:tcPr>
          <w:p w14:paraId="6FA4BA96" w14:textId="77777777" w:rsidR="00CE207C" w:rsidRPr="00CE207C" w:rsidRDefault="00CE207C" w:rsidP="00CE207C">
            <w:pPr>
              <w:spacing w:after="0" w:line="240" w:lineRule="auto"/>
              <w:rPr>
                <w:rFonts w:ascii="Times New Roman" w:eastAsia="Times New Roman" w:hAnsi="Times New Roman" w:cs="Times New Roman"/>
                <w:color w:val="000000"/>
                <w:kern w:val="0"/>
                <w:sz w:val="26"/>
                <w:szCs w:val="26"/>
                <w:lang w:eastAsia="en-IN"/>
                <w14:ligatures w14:val="none"/>
              </w:rPr>
            </w:pPr>
            <w:r w:rsidRPr="00CE207C">
              <w:rPr>
                <w:rFonts w:ascii="Times New Roman" w:eastAsia="Times New Roman" w:hAnsi="Times New Roman" w:cs="Times New Roman"/>
                <w:color w:val="000000"/>
                <w:kern w:val="0"/>
                <w:sz w:val="26"/>
                <w:szCs w:val="26"/>
                <w:lang w:eastAsia="en-IN"/>
                <w14:ligatures w14:val="none"/>
              </w:rPr>
              <w:t>Madras</w:t>
            </w:r>
          </w:p>
        </w:tc>
        <w:tc>
          <w:tcPr>
            <w:tcW w:w="2946" w:type="dxa"/>
            <w:tcBorders>
              <w:top w:val="nil"/>
              <w:left w:val="nil"/>
              <w:bottom w:val="single" w:sz="4" w:space="0" w:color="auto"/>
              <w:right w:val="single" w:sz="4" w:space="0" w:color="auto"/>
            </w:tcBorders>
            <w:vAlign w:val="center"/>
            <w:hideMark/>
          </w:tcPr>
          <w:p w14:paraId="1D96F41F" w14:textId="77777777" w:rsidR="00CE207C" w:rsidRPr="00CE207C" w:rsidRDefault="00CE207C" w:rsidP="00CE207C">
            <w:pPr>
              <w:spacing w:after="0" w:line="240" w:lineRule="auto"/>
              <w:jc w:val="center"/>
              <w:rPr>
                <w:rFonts w:ascii="Times New Roman" w:eastAsia="Times New Roman" w:hAnsi="Times New Roman" w:cs="Times New Roman"/>
                <w:color w:val="000000"/>
                <w:kern w:val="0"/>
                <w:sz w:val="26"/>
                <w:szCs w:val="26"/>
                <w:lang w:eastAsia="en-IN"/>
                <w14:ligatures w14:val="none"/>
              </w:rPr>
            </w:pPr>
            <w:r w:rsidRPr="00CE207C">
              <w:rPr>
                <w:rFonts w:ascii="Times New Roman" w:eastAsia="Times New Roman" w:hAnsi="Times New Roman" w:cs="Times New Roman"/>
                <w:color w:val="000000"/>
                <w:kern w:val="0"/>
                <w:sz w:val="26"/>
                <w:szCs w:val="26"/>
                <w:lang w:eastAsia="en-IN"/>
                <w14:ligatures w14:val="none"/>
              </w:rPr>
              <w:t>13,964</w:t>
            </w:r>
          </w:p>
        </w:tc>
        <w:tc>
          <w:tcPr>
            <w:tcW w:w="3539" w:type="dxa"/>
            <w:tcBorders>
              <w:top w:val="nil"/>
              <w:left w:val="nil"/>
              <w:bottom w:val="single" w:sz="4" w:space="0" w:color="auto"/>
              <w:right w:val="single" w:sz="4" w:space="0" w:color="auto"/>
            </w:tcBorders>
            <w:vAlign w:val="center"/>
            <w:hideMark/>
          </w:tcPr>
          <w:p w14:paraId="432004D4" w14:textId="77777777" w:rsidR="00CE207C" w:rsidRPr="00CE207C" w:rsidRDefault="00CE207C" w:rsidP="00CE207C">
            <w:pPr>
              <w:spacing w:after="0" w:line="240" w:lineRule="auto"/>
              <w:jc w:val="center"/>
              <w:rPr>
                <w:rFonts w:ascii="Times New Roman" w:eastAsia="Times New Roman" w:hAnsi="Times New Roman" w:cs="Times New Roman"/>
                <w:color w:val="000000"/>
                <w:kern w:val="0"/>
                <w:sz w:val="26"/>
                <w:szCs w:val="26"/>
                <w:lang w:eastAsia="en-IN"/>
                <w14:ligatures w14:val="none"/>
              </w:rPr>
            </w:pPr>
            <w:r w:rsidRPr="00CE207C">
              <w:rPr>
                <w:rFonts w:ascii="Times New Roman" w:eastAsia="Times New Roman" w:hAnsi="Times New Roman" w:cs="Times New Roman"/>
                <w:color w:val="000000"/>
                <w:kern w:val="0"/>
                <w:sz w:val="26"/>
                <w:szCs w:val="26"/>
                <w:lang w:eastAsia="en-IN"/>
                <w14:ligatures w14:val="none"/>
              </w:rPr>
              <w:t>13,684</w:t>
            </w:r>
          </w:p>
        </w:tc>
      </w:tr>
      <w:tr w:rsidR="00CE207C" w:rsidRPr="00CE207C" w14:paraId="502DF5DF" w14:textId="77777777" w:rsidTr="00CE207C">
        <w:trPr>
          <w:trHeight w:val="20"/>
        </w:trPr>
        <w:tc>
          <w:tcPr>
            <w:tcW w:w="3397" w:type="dxa"/>
            <w:tcBorders>
              <w:top w:val="nil"/>
              <w:left w:val="single" w:sz="4" w:space="0" w:color="auto"/>
              <w:bottom w:val="single" w:sz="4" w:space="0" w:color="auto"/>
              <w:right w:val="single" w:sz="4" w:space="0" w:color="auto"/>
            </w:tcBorders>
            <w:vAlign w:val="center"/>
            <w:hideMark/>
          </w:tcPr>
          <w:p w14:paraId="6F413275" w14:textId="77777777" w:rsidR="00CE207C" w:rsidRPr="00CE207C" w:rsidRDefault="00CE207C" w:rsidP="00CE207C">
            <w:pPr>
              <w:spacing w:after="0" w:line="240" w:lineRule="auto"/>
              <w:rPr>
                <w:rFonts w:ascii="Times New Roman" w:eastAsia="Times New Roman" w:hAnsi="Times New Roman" w:cs="Times New Roman"/>
                <w:color w:val="000000"/>
                <w:kern w:val="0"/>
                <w:sz w:val="26"/>
                <w:szCs w:val="26"/>
                <w:lang w:eastAsia="en-IN"/>
                <w14:ligatures w14:val="none"/>
              </w:rPr>
            </w:pPr>
            <w:r w:rsidRPr="00CE207C">
              <w:rPr>
                <w:rFonts w:ascii="Times New Roman" w:eastAsia="Times New Roman" w:hAnsi="Times New Roman" w:cs="Times New Roman"/>
                <w:color w:val="000000"/>
                <w:kern w:val="0"/>
                <w:sz w:val="26"/>
                <w:szCs w:val="26"/>
                <w:lang w:eastAsia="en-IN"/>
                <w14:ligatures w14:val="none"/>
              </w:rPr>
              <w:t>Madurai</w:t>
            </w:r>
          </w:p>
        </w:tc>
        <w:tc>
          <w:tcPr>
            <w:tcW w:w="2946" w:type="dxa"/>
            <w:tcBorders>
              <w:top w:val="nil"/>
              <w:left w:val="nil"/>
              <w:bottom w:val="single" w:sz="4" w:space="0" w:color="auto"/>
              <w:right w:val="single" w:sz="4" w:space="0" w:color="auto"/>
            </w:tcBorders>
            <w:vAlign w:val="center"/>
            <w:hideMark/>
          </w:tcPr>
          <w:p w14:paraId="3339A931" w14:textId="77777777" w:rsidR="00CE207C" w:rsidRPr="00CE207C" w:rsidRDefault="00CE207C" w:rsidP="00CE207C">
            <w:pPr>
              <w:spacing w:after="0" w:line="240" w:lineRule="auto"/>
              <w:jc w:val="center"/>
              <w:rPr>
                <w:rFonts w:ascii="Times New Roman" w:eastAsia="Times New Roman" w:hAnsi="Times New Roman" w:cs="Times New Roman"/>
                <w:color w:val="000000"/>
                <w:kern w:val="0"/>
                <w:sz w:val="26"/>
                <w:szCs w:val="26"/>
                <w:lang w:eastAsia="en-IN"/>
                <w14:ligatures w14:val="none"/>
              </w:rPr>
            </w:pPr>
            <w:r w:rsidRPr="00CE207C">
              <w:rPr>
                <w:rFonts w:ascii="Times New Roman" w:eastAsia="Times New Roman" w:hAnsi="Times New Roman" w:cs="Times New Roman"/>
                <w:color w:val="000000"/>
                <w:kern w:val="0"/>
                <w:sz w:val="26"/>
                <w:szCs w:val="26"/>
                <w:lang w:eastAsia="en-IN"/>
                <w14:ligatures w14:val="none"/>
              </w:rPr>
              <w:t>852</w:t>
            </w:r>
          </w:p>
        </w:tc>
        <w:tc>
          <w:tcPr>
            <w:tcW w:w="3539" w:type="dxa"/>
            <w:tcBorders>
              <w:top w:val="nil"/>
              <w:left w:val="nil"/>
              <w:bottom w:val="single" w:sz="4" w:space="0" w:color="auto"/>
              <w:right w:val="single" w:sz="4" w:space="0" w:color="auto"/>
            </w:tcBorders>
            <w:vAlign w:val="center"/>
            <w:hideMark/>
          </w:tcPr>
          <w:p w14:paraId="461C8BDA" w14:textId="77777777" w:rsidR="00CE207C" w:rsidRPr="00CE207C" w:rsidRDefault="00CE207C" w:rsidP="00CE207C">
            <w:pPr>
              <w:spacing w:after="0" w:line="240" w:lineRule="auto"/>
              <w:jc w:val="center"/>
              <w:rPr>
                <w:rFonts w:ascii="Times New Roman" w:eastAsia="Times New Roman" w:hAnsi="Times New Roman" w:cs="Times New Roman"/>
                <w:color w:val="000000"/>
                <w:kern w:val="0"/>
                <w:sz w:val="26"/>
                <w:szCs w:val="26"/>
                <w:lang w:eastAsia="en-IN"/>
                <w14:ligatures w14:val="none"/>
              </w:rPr>
            </w:pPr>
            <w:r w:rsidRPr="00CE207C">
              <w:rPr>
                <w:rFonts w:ascii="Times New Roman" w:eastAsia="Times New Roman" w:hAnsi="Times New Roman" w:cs="Times New Roman"/>
                <w:color w:val="000000"/>
                <w:kern w:val="0"/>
                <w:sz w:val="26"/>
                <w:szCs w:val="26"/>
                <w:lang w:eastAsia="en-IN"/>
                <w14:ligatures w14:val="none"/>
              </w:rPr>
              <w:t>910</w:t>
            </w:r>
          </w:p>
        </w:tc>
      </w:tr>
      <w:tr w:rsidR="00CE207C" w:rsidRPr="00CE207C" w14:paraId="1266384F" w14:textId="77777777" w:rsidTr="00CE207C">
        <w:trPr>
          <w:trHeight w:val="20"/>
        </w:trPr>
        <w:tc>
          <w:tcPr>
            <w:tcW w:w="3397" w:type="dxa"/>
            <w:tcBorders>
              <w:top w:val="nil"/>
              <w:left w:val="single" w:sz="4" w:space="0" w:color="auto"/>
              <w:bottom w:val="single" w:sz="4" w:space="0" w:color="auto"/>
              <w:right w:val="single" w:sz="4" w:space="0" w:color="auto"/>
            </w:tcBorders>
            <w:vAlign w:val="center"/>
            <w:hideMark/>
          </w:tcPr>
          <w:p w14:paraId="0E3E5763" w14:textId="77777777" w:rsidR="00CE207C" w:rsidRPr="00CE207C" w:rsidRDefault="00CE207C" w:rsidP="00CE207C">
            <w:pPr>
              <w:spacing w:after="0" w:line="240" w:lineRule="auto"/>
              <w:rPr>
                <w:rFonts w:ascii="Times New Roman" w:eastAsia="Times New Roman" w:hAnsi="Times New Roman" w:cs="Times New Roman"/>
                <w:color w:val="000000"/>
                <w:kern w:val="0"/>
                <w:sz w:val="26"/>
                <w:szCs w:val="26"/>
                <w:lang w:eastAsia="en-IN"/>
                <w14:ligatures w14:val="none"/>
              </w:rPr>
            </w:pPr>
            <w:r w:rsidRPr="00CE207C">
              <w:rPr>
                <w:rFonts w:ascii="Times New Roman" w:eastAsia="Times New Roman" w:hAnsi="Times New Roman" w:cs="Times New Roman"/>
                <w:color w:val="000000"/>
                <w:kern w:val="0"/>
                <w:sz w:val="26"/>
                <w:szCs w:val="26"/>
                <w:lang w:eastAsia="en-IN"/>
                <w14:ligatures w14:val="none"/>
              </w:rPr>
              <w:t>Trichurapalli</w:t>
            </w:r>
          </w:p>
        </w:tc>
        <w:tc>
          <w:tcPr>
            <w:tcW w:w="2946" w:type="dxa"/>
            <w:tcBorders>
              <w:top w:val="nil"/>
              <w:left w:val="nil"/>
              <w:bottom w:val="single" w:sz="4" w:space="0" w:color="auto"/>
              <w:right w:val="single" w:sz="4" w:space="0" w:color="auto"/>
            </w:tcBorders>
            <w:vAlign w:val="center"/>
            <w:hideMark/>
          </w:tcPr>
          <w:p w14:paraId="08AB2F9C" w14:textId="77777777" w:rsidR="00CE207C" w:rsidRPr="00CE207C" w:rsidRDefault="00CE207C" w:rsidP="00CE207C">
            <w:pPr>
              <w:spacing w:after="0" w:line="240" w:lineRule="auto"/>
              <w:jc w:val="center"/>
              <w:rPr>
                <w:rFonts w:ascii="Times New Roman" w:eastAsia="Times New Roman" w:hAnsi="Times New Roman" w:cs="Times New Roman"/>
                <w:color w:val="000000"/>
                <w:kern w:val="0"/>
                <w:sz w:val="26"/>
                <w:szCs w:val="26"/>
                <w:lang w:eastAsia="en-IN"/>
                <w14:ligatures w14:val="none"/>
              </w:rPr>
            </w:pPr>
            <w:r w:rsidRPr="00CE207C">
              <w:rPr>
                <w:rFonts w:ascii="Times New Roman" w:eastAsia="Times New Roman" w:hAnsi="Times New Roman" w:cs="Times New Roman"/>
                <w:color w:val="000000"/>
                <w:kern w:val="0"/>
                <w:sz w:val="26"/>
                <w:szCs w:val="26"/>
                <w:lang w:eastAsia="en-IN"/>
                <w14:ligatures w14:val="none"/>
              </w:rPr>
              <w:t>976</w:t>
            </w:r>
          </w:p>
        </w:tc>
        <w:tc>
          <w:tcPr>
            <w:tcW w:w="3539" w:type="dxa"/>
            <w:tcBorders>
              <w:top w:val="nil"/>
              <w:left w:val="nil"/>
              <w:bottom w:val="single" w:sz="4" w:space="0" w:color="auto"/>
              <w:right w:val="single" w:sz="4" w:space="0" w:color="auto"/>
            </w:tcBorders>
            <w:vAlign w:val="center"/>
            <w:hideMark/>
          </w:tcPr>
          <w:p w14:paraId="2A4E2174" w14:textId="77777777" w:rsidR="00CE207C" w:rsidRPr="00CE207C" w:rsidRDefault="00CE207C" w:rsidP="00CE207C">
            <w:pPr>
              <w:spacing w:after="0" w:line="240" w:lineRule="auto"/>
              <w:jc w:val="center"/>
              <w:rPr>
                <w:rFonts w:ascii="Times New Roman" w:eastAsia="Times New Roman" w:hAnsi="Times New Roman" w:cs="Times New Roman"/>
                <w:color w:val="000000"/>
                <w:kern w:val="0"/>
                <w:sz w:val="26"/>
                <w:szCs w:val="26"/>
                <w:lang w:eastAsia="en-IN"/>
                <w14:ligatures w14:val="none"/>
              </w:rPr>
            </w:pPr>
            <w:r w:rsidRPr="00CE207C">
              <w:rPr>
                <w:rFonts w:ascii="Times New Roman" w:eastAsia="Times New Roman" w:hAnsi="Times New Roman" w:cs="Times New Roman"/>
                <w:color w:val="000000"/>
                <w:kern w:val="0"/>
                <w:sz w:val="26"/>
                <w:szCs w:val="26"/>
                <w:lang w:eastAsia="en-IN"/>
                <w14:ligatures w14:val="none"/>
              </w:rPr>
              <w:t>1,018</w:t>
            </w:r>
          </w:p>
        </w:tc>
      </w:tr>
      <w:tr w:rsidR="00CE207C" w:rsidRPr="00CE207C" w14:paraId="2FEE3E4C" w14:textId="77777777" w:rsidTr="00CE207C">
        <w:trPr>
          <w:trHeight w:val="20"/>
        </w:trPr>
        <w:tc>
          <w:tcPr>
            <w:tcW w:w="3397" w:type="dxa"/>
            <w:tcBorders>
              <w:top w:val="nil"/>
              <w:left w:val="single" w:sz="4" w:space="0" w:color="auto"/>
              <w:bottom w:val="single" w:sz="4" w:space="0" w:color="auto"/>
              <w:right w:val="single" w:sz="4" w:space="0" w:color="auto"/>
            </w:tcBorders>
            <w:vAlign w:val="center"/>
            <w:hideMark/>
          </w:tcPr>
          <w:p w14:paraId="768AE804" w14:textId="1A62D214" w:rsidR="00CE207C" w:rsidRPr="00CE207C" w:rsidRDefault="00CE207C" w:rsidP="00CE207C">
            <w:pPr>
              <w:spacing w:after="0" w:line="240" w:lineRule="auto"/>
              <w:jc w:val="right"/>
              <w:rPr>
                <w:rFonts w:ascii="Times New Roman" w:eastAsia="Times New Roman" w:hAnsi="Times New Roman" w:cs="Times New Roman"/>
                <w:color w:val="000000"/>
                <w:kern w:val="0"/>
                <w:sz w:val="26"/>
                <w:szCs w:val="26"/>
                <w:lang w:eastAsia="en-IN"/>
                <w14:ligatures w14:val="none"/>
              </w:rPr>
            </w:pPr>
            <w:r w:rsidRPr="00CE207C">
              <w:rPr>
                <w:rFonts w:ascii="Times New Roman" w:hAnsi="Times New Roman" w:cs="Times New Roman"/>
                <w:sz w:val="26"/>
                <w:szCs w:val="26"/>
              </w:rPr>
              <w:t>Total</w:t>
            </w:r>
          </w:p>
        </w:tc>
        <w:tc>
          <w:tcPr>
            <w:tcW w:w="2946" w:type="dxa"/>
            <w:tcBorders>
              <w:top w:val="nil"/>
              <w:left w:val="nil"/>
              <w:bottom w:val="single" w:sz="4" w:space="0" w:color="auto"/>
              <w:right w:val="single" w:sz="4" w:space="0" w:color="auto"/>
            </w:tcBorders>
            <w:vAlign w:val="center"/>
            <w:hideMark/>
          </w:tcPr>
          <w:p w14:paraId="49F3DFEF" w14:textId="77777777" w:rsidR="00CE207C" w:rsidRPr="00CE207C" w:rsidRDefault="00CE207C" w:rsidP="00CE207C">
            <w:pPr>
              <w:spacing w:after="0" w:line="240" w:lineRule="auto"/>
              <w:jc w:val="center"/>
              <w:rPr>
                <w:rFonts w:ascii="Times New Roman" w:eastAsia="Times New Roman" w:hAnsi="Times New Roman" w:cs="Times New Roman"/>
                <w:color w:val="000000"/>
                <w:kern w:val="0"/>
                <w:sz w:val="26"/>
                <w:szCs w:val="26"/>
                <w:lang w:eastAsia="en-IN"/>
                <w14:ligatures w14:val="none"/>
              </w:rPr>
            </w:pPr>
            <w:r w:rsidRPr="00CE207C">
              <w:rPr>
                <w:rFonts w:ascii="Times New Roman" w:eastAsia="Times New Roman" w:hAnsi="Times New Roman" w:cs="Times New Roman"/>
                <w:color w:val="000000"/>
                <w:kern w:val="0"/>
                <w:sz w:val="26"/>
                <w:szCs w:val="26"/>
                <w:lang w:eastAsia="en-IN"/>
                <w14:ligatures w14:val="none"/>
              </w:rPr>
              <w:t>16,769</w:t>
            </w:r>
          </w:p>
        </w:tc>
        <w:tc>
          <w:tcPr>
            <w:tcW w:w="3539" w:type="dxa"/>
            <w:tcBorders>
              <w:top w:val="nil"/>
              <w:left w:val="nil"/>
              <w:bottom w:val="single" w:sz="4" w:space="0" w:color="auto"/>
              <w:right w:val="single" w:sz="4" w:space="0" w:color="auto"/>
            </w:tcBorders>
            <w:vAlign w:val="center"/>
            <w:hideMark/>
          </w:tcPr>
          <w:p w14:paraId="2BE29EAE" w14:textId="77777777" w:rsidR="00CE207C" w:rsidRPr="00CE207C" w:rsidRDefault="00CE207C" w:rsidP="00CE207C">
            <w:pPr>
              <w:spacing w:after="0" w:line="240" w:lineRule="auto"/>
              <w:jc w:val="center"/>
              <w:rPr>
                <w:rFonts w:ascii="Times New Roman" w:eastAsia="Times New Roman" w:hAnsi="Times New Roman" w:cs="Times New Roman"/>
                <w:color w:val="000000"/>
                <w:kern w:val="0"/>
                <w:sz w:val="26"/>
                <w:szCs w:val="26"/>
                <w:lang w:eastAsia="en-IN"/>
                <w14:ligatures w14:val="none"/>
              </w:rPr>
            </w:pPr>
            <w:r w:rsidRPr="00CE207C">
              <w:rPr>
                <w:rFonts w:ascii="Times New Roman" w:eastAsia="Times New Roman" w:hAnsi="Times New Roman" w:cs="Times New Roman"/>
                <w:color w:val="000000"/>
                <w:kern w:val="0"/>
                <w:sz w:val="26"/>
                <w:szCs w:val="26"/>
                <w:lang w:eastAsia="en-IN"/>
                <w14:ligatures w14:val="none"/>
              </w:rPr>
              <w:t>16,633</w:t>
            </w:r>
          </w:p>
        </w:tc>
      </w:tr>
      <w:tr w:rsidR="00CE207C" w:rsidRPr="00CE207C" w14:paraId="19674E1A" w14:textId="77777777" w:rsidTr="00CE207C">
        <w:trPr>
          <w:trHeight w:val="20"/>
        </w:trPr>
        <w:tc>
          <w:tcPr>
            <w:tcW w:w="3397" w:type="dxa"/>
            <w:tcBorders>
              <w:top w:val="nil"/>
              <w:left w:val="single" w:sz="4" w:space="0" w:color="auto"/>
              <w:bottom w:val="single" w:sz="4" w:space="0" w:color="auto"/>
              <w:right w:val="single" w:sz="4" w:space="0" w:color="auto"/>
            </w:tcBorders>
            <w:vAlign w:val="center"/>
            <w:hideMark/>
          </w:tcPr>
          <w:p w14:paraId="61D8AF37" w14:textId="77777777" w:rsidR="00CE207C" w:rsidRPr="00CE207C" w:rsidRDefault="00CE207C" w:rsidP="00CE207C">
            <w:pPr>
              <w:spacing w:after="0" w:line="240" w:lineRule="auto"/>
              <w:rPr>
                <w:rFonts w:ascii="Times New Roman" w:eastAsia="Times New Roman" w:hAnsi="Times New Roman" w:cs="Times New Roman"/>
                <w:b/>
                <w:bCs/>
                <w:color w:val="000000"/>
                <w:kern w:val="0"/>
                <w:sz w:val="26"/>
                <w:szCs w:val="26"/>
                <w:lang w:eastAsia="en-IN"/>
                <w14:ligatures w14:val="none"/>
              </w:rPr>
            </w:pPr>
            <w:r w:rsidRPr="00CE207C">
              <w:rPr>
                <w:rFonts w:ascii="Times New Roman" w:eastAsia="Times New Roman" w:hAnsi="Times New Roman" w:cs="Times New Roman"/>
                <w:b/>
                <w:bCs/>
                <w:color w:val="000000"/>
                <w:kern w:val="0"/>
                <w:sz w:val="26"/>
                <w:szCs w:val="26"/>
                <w:lang w:eastAsia="en-IN"/>
                <w14:ligatures w14:val="none"/>
              </w:rPr>
              <w:t>16. Uttar Pradesh</w:t>
            </w:r>
          </w:p>
        </w:tc>
        <w:tc>
          <w:tcPr>
            <w:tcW w:w="2946" w:type="dxa"/>
            <w:tcBorders>
              <w:top w:val="nil"/>
              <w:left w:val="nil"/>
              <w:bottom w:val="single" w:sz="4" w:space="0" w:color="auto"/>
              <w:right w:val="single" w:sz="4" w:space="0" w:color="auto"/>
            </w:tcBorders>
            <w:vAlign w:val="center"/>
            <w:hideMark/>
          </w:tcPr>
          <w:p w14:paraId="50C6C75E" w14:textId="75096D0B" w:rsidR="00CE207C" w:rsidRPr="00CE207C" w:rsidRDefault="00CE207C" w:rsidP="00CE207C">
            <w:pPr>
              <w:spacing w:after="0" w:line="240" w:lineRule="auto"/>
              <w:jc w:val="center"/>
              <w:rPr>
                <w:rFonts w:ascii="Times New Roman" w:eastAsia="Times New Roman" w:hAnsi="Times New Roman" w:cs="Times New Roman"/>
                <w:color w:val="000000"/>
                <w:kern w:val="0"/>
                <w:sz w:val="26"/>
                <w:szCs w:val="26"/>
                <w:lang w:eastAsia="en-IN"/>
                <w14:ligatures w14:val="none"/>
              </w:rPr>
            </w:pPr>
          </w:p>
        </w:tc>
        <w:tc>
          <w:tcPr>
            <w:tcW w:w="3539" w:type="dxa"/>
            <w:tcBorders>
              <w:top w:val="nil"/>
              <w:left w:val="nil"/>
              <w:bottom w:val="single" w:sz="4" w:space="0" w:color="auto"/>
              <w:right w:val="single" w:sz="4" w:space="0" w:color="auto"/>
            </w:tcBorders>
            <w:vAlign w:val="center"/>
            <w:hideMark/>
          </w:tcPr>
          <w:p w14:paraId="74DB3AAF" w14:textId="05A9481E" w:rsidR="00CE207C" w:rsidRPr="00CE207C" w:rsidRDefault="00CE207C" w:rsidP="00CE207C">
            <w:pPr>
              <w:spacing w:after="0" w:line="240" w:lineRule="auto"/>
              <w:jc w:val="center"/>
              <w:rPr>
                <w:rFonts w:ascii="Times New Roman" w:eastAsia="Times New Roman" w:hAnsi="Times New Roman" w:cs="Times New Roman"/>
                <w:color w:val="000000"/>
                <w:kern w:val="0"/>
                <w:sz w:val="26"/>
                <w:szCs w:val="26"/>
                <w:lang w:eastAsia="en-IN"/>
                <w14:ligatures w14:val="none"/>
              </w:rPr>
            </w:pPr>
          </w:p>
        </w:tc>
      </w:tr>
      <w:tr w:rsidR="00CE207C" w:rsidRPr="00CE207C" w14:paraId="4598F202" w14:textId="77777777" w:rsidTr="00CE207C">
        <w:trPr>
          <w:trHeight w:val="20"/>
        </w:trPr>
        <w:tc>
          <w:tcPr>
            <w:tcW w:w="3397" w:type="dxa"/>
            <w:tcBorders>
              <w:top w:val="nil"/>
              <w:left w:val="single" w:sz="4" w:space="0" w:color="auto"/>
              <w:bottom w:val="single" w:sz="4" w:space="0" w:color="auto"/>
              <w:right w:val="single" w:sz="4" w:space="0" w:color="auto"/>
            </w:tcBorders>
            <w:vAlign w:val="center"/>
            <w:hideMark/>
          </w:tcPr>
          <w:p w14:paraId="2B2BFF1B" w14:textId="77777777" w:rsidR="00CE207C" w:rsidRPr="00CE207C" w:rsidRDefault="00CE207C" w:rsidP="00CE207C">
            <w:pPr>
              <w:spacing w:after="0" w:line="240" w:lineRule="auto"/>
              <w:rPr>
                <w:rFonts w:ascii="Times New Roman" w:eastAsia="Times New Roman" w:hAnsi="Times New Roman" w:cs="Times New Roman"/>
                <w:color w:val="000000"/>
                <w:kern w:val="0"/>
                <w:sz w:val="26"/>
                <w:szCs w:val="26"/>
                <w:lang w:eastAsia="en-IN"/>
                <w14:ligatures w14:val="none"/>
              </w:rPr>
            </w:pPr>
            <w:r w:rsidRPr="00CE207C">
              <w:rPr>
                <w:rFonts w:ascii="Times New Roman" w:eastAsia="Times New Roman" w:hAnsi="Times New Roman" w:cs="Times New Roman"/>
                <w:color w:val="000000"/>
                <w:kern w:val="0"/>
                <w:sz w:val="26"/>
                <w:szCs w:val="26"/>
                <w:lang w:eastAsia="en-IN"/>
                <w14:ligatures w14:val="none"/>
              </w:rPr>
              <w:t>Agra</w:t>
            </w:r>
          </w:p>
        </w:tc>
        <w:tc>
          <w:tcPr>
            <w:tcW w:w="2946" w:type="dxa"/>
            <w:tcBorders>
              <w:top w:val="nil"/>
              <w:left w:val="nil"/>
              <w:bottom w:val="single" w:sz="4" w:space="0" w:color="auto"/>
              <w:right w:val="single" w:sz="4" w:space="0" w:color="auto"/>
            </w:tcBorders>
            <w:vAlign w:val="center"/>
            <w:hideMark/>
          </w:tcPr>
          <w:p w14:paraId="51E68979" w14:textId="77777777" w:rsidR="00CE207C" w:rsidRPr="00CE207C" w:rsidRDefault="00CE207C" w:rsidP="00CE207C">
            <w:pPr>
              <w:spacing w:after="0" w:line="240" w:lineRule="auto"/>
              <w:jc w:val="center"/>
              <w:rPr>
                <w:rFonts w:ascii="Times New Roman" w:eastAsia="Times New Roman" w:hAnsi="Times New Roman" w:cs="Times New Roman"/>
                <w:color w:val="000000"/>
                <w:kern w:val="0"/>
                <w:sz w:val="26"/>
                <w:szCs w:val="26"/>
                <w:lang w:eastAsia="en-IN"/>
                <w14:ligatures w14:val="none"/>
              </w:rPr>
            </w:pPr>
            <w:r w:rsidRPr="00CE207C">
              <w:rPr>
                <w:rFonts w:ascii="Times New Roman" w:eastAsia="Times New Roman" w:hAnsi="Times New Roman" w:cs="Times New Roman"/>
                <w:color w:val="000000"/>
                <w:kern w:val="0"/>
                <w:sz w:val="26"/>
                <w:szCs w:val="26"/>
                <w:lang w:eastAsia="en-IN"/>
                <w14:ligatures w14:val="none"/>
              </w:rPr>
              <w:t>2,316</w:t>
            </w:r>
          </w:p>
        </w:tc>
        <w:tc>
          <w:tcPr>
            <w:tcW w:w="3539" w:type="dxa"/>
            <w:tcBorders>
              <w:top w:val="nil"/>
              <w:left w:val="nil"/>
              <w:bottom w:val="single" w:sz="4" w:space="0" w:color="auto"/>
              <w:right w:val="single" w:sz="4" w:space="0" w:color="auto"/>
            </w:tcBorders>
            <w:vAlign w:val="center"/>
            <w:hideMark/>
          </w:tcPr>
          <w:p w14:paraId="1434B88F" w14:textId="77777777" w:rsidR="00CE207C" w:rsidRPr="00CE207C" w:rsidRDefault="00CE207C" w:rsidP="00CE207C">
            <w:pPr>
              <w:spacing w:after="0" w:line="240" w:lineRule="auto"/>
              <w:jc w:val="center"/>
              <w:rPr>
                <w:rFonts w:ascii="Times New Roman" w:eastAsia="Times New Roman" w:hAnsi="Times New Roman" w:cs="Times New Roman"/>
                <w:color w:val="000000"/>
                <w:kern w:val="0"/>
                <w:sz w:val="26"/>
                <w:szCs w:val="26"/>
                <w:lang w:eastAsia="en-IN"/>
                <w14:ligatures w14:val="none"/>
              </w:rPr>
            </w:pPr>
            <w:r w:rsidRPr="00CE207C">
              <w:rPr>
                <w:rFonts w:ascii="Times New Roman" w:eastAsia="Times New Roman" w:hAnsi="Times New Roman" w:cs="Times New Roman"/>
                <w:color w:val="000000"/>
                <w:kern w:val="0"/>
                <w:sz w:val="26"/>
                <w:szCs w:val="26"/>
                <w:lang w:eastAsia="en-IN"/>
                <w14:ligatures w14:val="none"/>
              </w:rPr>
              <w:t>2,257</w:t>
            </w:r>
          </w:p>
        </w:tc>
      </w:tr>
      <w:tr w:rsidR="00CE207C" w:rsidRPr="00CE207C" w14:paraId="0A7F823C" w14:textId="77777777" w:rsidTr="00CE207C">
        <w:trPr>
          <w:trHeight w:val="20"/>
        </w:trPr>
        <w:tc>
          <w:tcPr>
            <w:tcW w:w="3397" w:type="dxa"/>
            <w:tcBorders>
              <w:top w:val="nil"/>
              <w:left w:val="single" w:sz="4" w:space="0" w:color="auto"/>
              <w:bottom w:val="single" w:sz="4" w:space="0" w:color="auto"/>
              <w:right w:val="single" w:sz="4" w:space="0" w:color="auto"/>
            </w:tcBorders>
            <w:vAlign w:val="center"/>
            <w:hideMark/>
          </w:tcPr>
          <w:p w14:paraId="17890913" w14:textId="77777777" w:rsidR="00CE207C" w:rsidRPr="00CE207C" w:rsidRDefault="00CE207C" w:rsidP="00CE207C">
            <w:pPr>
              <w:spacing w:after="0" w:line="240" w:lineRule="auto"/>
              <w:rPr>
                <w:rFonts w:ascii="Times New Roman" w:eastAsia="Times New Roman" w:hAnsi="Times New Roman" w:cs="Times New Roman"/>
                <w:color w:val="000000"/>
                <w:kern w:val="0"/>
                <w:sz w:val="26"/>
                <w:szCs w:val="26"/>
                <w:lang w:eastAsia="en-IN"/>
                <w14:ligatures w14:val="none"/>
              </w:rPr>
            </w:pPr>
            <w:r w:rsidRPr="00CE207C">
              <w:rPr>
                <w:rFonts w:ascii="Times New Roman" w:eastAsia="Times New Roman" w:hAnsi="Times New Roman" w:cs="Times New Roman"/>
                <w:color w:val="000000"/>
                <w:kern w:val="0"/>
                <w:sz w:val="26"/>
                <w:szCs w:val="26"/>
                <w:lang w:eastAsia="en-IN"/>
                <w14:ligatures w14:val="none"/>
              </w:rPr>
              <w:t>Allahabad</w:t>
            </w:r>
          </w:p>
        </w:tc>
        <w:tc>
          <w:tcPr>
            <w:tcW w:w="2946" w:type="dxa"/>
            <w:tcBorders>
              <w:top w:val="nil"/>
              <w:left w:val="nil"/>
              <w:bottom w:val="single" w:sz="4" w:space="0" w:color="auto"/>
              <w:right w:val="single" w:sz="4" w:space="0" w:color="auto"/>
            </w:tcBorders>
            <w:vAlign w:val="center"/>
            <w:hideMark/>
          </w:tcPr>
          <w:p w14:paraId="7F2DE947" w14:textId="77777777" w:rsidR="00CE207C" w:rsidRPr="00CE207C" w:rsidRDefault="00CE207C" w:rsidP="00CE207C">
            <w:pPr>
              <w:spacing w:after="0" w:line="240" w:lineRule="auto"/>
              <w:jc w:val="center"/>
              <w:rPr>
                <w:rFonts w:ascii="Times New Roman" w:eastAsia="Times New Roman" w:hAnsi="Times New Roman" w:cs="Times New Roman"/>
                <w:color w:val="000000"/>
                <w:kern w:val="0"/>
                <w:sz w:val="26"/>
                <w:szCs w:val="26"/>
                <w:lang w:eastAsia="en-IN"/>
                <w14:ligatures w14:val="none"/>
              </w:rPr>
            </w:pPr>
            <w:r w:rsidRPr="00CE207C">
              <w:rPr>
                <w:rFonts w:ascii="Times New Roman" w:eastAsia="Times New Roman" w:hAnsi="Times New Roman" w:cs="Times New Roman"/>
                <w:color w:val="000000"/>
                <w:kern w:val="0"/>
                <w:sz w:val="26"/>
                <w:szCs w:val="26"/>
                <w:lang w:eastAsia="en-IN"/>
                <w14:ligatures w14:val="none"/>
              </w:rPr>
              <w:t>86</w:t>
            </w:r>
          </w:p>
        </w:tc>
        <w:tc>
          <w:tcPr>
            <w:tcW w:w="3539" w:type="dxa"/>
            <w:tcBorders>
              <w:top w:val="nil"/>
              <w:left w:val="nil"/>
              <w:bottom w:val="single" w:sz="4" w:space="0" w:color="auto"/>
              <w:right w:val="single" w:sz="4" w:space="0" w:color="auto"/>
            </w:tcBorders>
            <w:vAlign w:val="center"/>
            <w:hideMark/>
          </w:tcPr>
          <w:p w14:paraId="1F5B3EA8" w14:textId="77777777" w:rsidR="00CE207C" w:rsidRPr="00CE207C" w:rsidRDefault="00CE207C" w:rsidP="00CE207C">
            <w:pPr>
              <w:spacing w:after="0" w:line="240" w:lineRule="auto"/>
              <w:jc w:val="center"/>
              <w:rPr>
                <w:rFonts w:ascii="Times New Roman" w:eastAsia="Times New Roman" w:hAnsi="Times New Roman" w:cs="Times New Roman"/>
                <w:color w:val="000000"/>
                <w:kern w:val="0"/>
                <w:sz w:val="26"/>
                <w:szCs w:val="26"/>
                <w:lang w:eastAsia="en-IN"/>
                <w14:ligatures w14:val="none"/>
              </w:rPr>
            </w:pPr>
            <w:r w:rsidRPr="00CE207C">
              <w:rPr>
                <w:rFonts w:ascii="Times New Roman" w:eastAsia="Times New Roman" w:hAnsi="Times New Roman" w:cs="Times New Roman"/>
                <w:color w:val="000000"/>
                <w:kern w:val="0"/>
                <w:sz w:val="26"/>
                <w:szCs w:val="26"/>
                <w:lang w:eastAsia="en-IN"/>
                <w14:ligatures w14:val="none"/>
              </w:rPr>
              <w:t>118</w:t>
            </w:r>
          </w:p>
        </w:tc>
      </w:tr>
      <w:tr w:rsidR="00CE207C" w:rsidRPr="00CE207C" w14:paraId="4A4C935C" w14:textId="77777777" w:rsidTr="00CE207C">
        <w:trPr>
          <w:trHeight w:val="20"/>
        </w:trPr>
        <w:tc>
          <w:tcPr>
            <w:tcW w:w="3397" w:type="dxa"/>
            <w:tcBorders>
              <w:top w:val="nil"/>
              <w:left w:val="single" w:sz="4" w:space="0" w:color="auto"/>
              <w:bottom w:val="single" w:sz="4" w:space="0" w:color="auto"/>
              <w:right w:val="single" w:sz="4" w:space="0" w:color="auto"/>
            </w:tcBorders>
            <w:vAlign w:val="center"/>
            <w:hideMark/>
          </w:tcPr>
          <w:p w14:paraId="58B3EB0C" w14:textId="77777777" w:rsidR="00CE207C" w:rsidRPr="00CE207C" w:rsidRDefault="00CE207C" w:rsidP="00CE207C">
            <w:pPr>
              <w:spacing w:after="0" w:line="240" w:lineRule="auto"/>
              <w:rPr>
                <w:rFonts w:ascii="Times New Roman" w:eastAsia="Times New Roman" w:hAnsi="Times New Roman" w:cs="Times New Roman"/>
                <w:color w:val="000000"/>
                <w:kern w:val="0"/>
                <w:sz w:val="26"/>
                <w:szCs w:val="26"/>
                <w:lang w:eastAsia="en-IN"/>
                <w14:ligatures w14:val="none"/>
              </w:rPr>
            </w:pPr>
            <w:r w:rsidRPr="00CE207C">
              <w:rPr>
                <w:rFonts w:ascii="Times New Roman" w:eastAsia="Times New Roman" w:hAnsi="Times New Roman" w:cs="Times New Roman"/>
                <w:color w:val="000000"/>
                <w:kern w:val="0"/>
                <w:sz w:val="26"/>
                <w:szCs w:val="26"/>
                <w:lang w:eastAsia="en-IN"/>
                <w14:ligatures w14:val="none"/>
              </w:rPr>
              <w:t>Banaras</w:t>
            </w:r>
          </w:p>
        </w:tc>
        <w:tc>
          <w:tcPr>
            <w:tcW w:w="2946" w:type="dxa"/>
            <w:tcBorders>
              <w:top w:val="nil"/>
              <w:left w:val="nil"/>
              <w:bottom w:val="single" w:sz="4" w:space="0" w:color="auto"/>
              <w:right w:val="single" w:sz="4" w:space="0" w:color="auto"/>
            </w:tcBorders>
            <w:vAlign w:val="center"/>
            <w:hideMark/>
          </w:tcPr>
          <w:p w14:paraId="094D0E7E" w14:textId="77777777" w:rsidR="00CE207C" w:rsidRPr="00CE207C" w:rsidRDefault="00CE207C" w:rsidP="00CE207C">
            <w:pPr>
              <w:spacing w:after="0" w:line="240" w:lineRule="auto"/>
              <w:jc w:val="center"/>
              <w:rPr>
                <w:rFonts w:ascii="Times New Roman" w:eastAsia="Times New Roman" w:hAnsi="Times New Roman" w:cs="Times New Roman"/>
                <w:color w:val="000000"/>
                <w:kern w:val="0"/>
                <w:sz w:val="26"/>
                <w:szCs w:val="26"/>
                <w:lang w:eastAsia="en-IN"/>
                <w14:ligatures w14:val="none"/>
              </w:rPr>
            </w:pPr>
            <w:r w:rsidRPr="00CE207C">
              <w:rPr>
                <w:rFonts w:ascii="Times New Roman" w:eastAsia="Times New Roman" w:hAnsi="Times New Roman" w:cs="Times New Roman"/>
                <w:color w:val="000000"/>
                <w:kern w:val="0"/>
                <w:sz w:val="26"/>
                <w:szCs w:val="26"/>
                <w:lang w:eastAsia="en-IN"/>
                <w14:ligatures w14:val="none"/>
              </w:rPr>
              <w:t>1,868</w:t>
            </w:r>
          </w:p>
        </w:tc>
        <w:tc>
          <w:tcPr>
            <w:tcW w:w="3539" w:type="dxa"/>
            <w:tcBorders>
              <w:top w:val="nil"/>
              <w:left w:val="nil"/>
              <w:bottom w:val="single" w:sz="4" w:space="0" w:color="auto"/>
              <w:right w:val="single" w:sz="4" w:space="0" w:color="auto"/>
            </w:tcBorders>
            <w:vAlign w:val="center"/>
            <w:hideMark/>
          </w:tcPr>
          <w:p w14:paraId="6C31B729" w14:textId="77777777" w:rsidR="00CE207C" w:rsidRPr="00CE207C" w:rsidRDefault="00CE207C" w:rsidP="00CE207C">
            <w:pPr>
              <w:spacing w:after="0" w:line="240" w:lineRule="auto"/>
              <w:jc w:val="center"/>
              <w:rPr>
                <w:rFonts w:ascii="Times New Roman" w:eastAsia="Times New Roman" w:hAnsi="Times New Roman" w:cs="Times New Roman"/>
                <w:color w:val="000000"/>
                <w:kern w:val="0"/>
                <w:sz w:val="26"/>
                <w:szCs w:val="26"/>
                <w:lang w:eastAsia="en-IN"/>
                <w14:ligatures w14:val="none"/>
              </w:rPr>
            </w:pPr>
            <w:r w:rsidRPr="00CE207C">
              <w:rPr>
                <w:rFonts w:ascii="Times New Roman" w:eastAsia="Times New Roman" w:hAnsi="Times New Roman" w:cs="Times New Roman"/>
                <w:color w:val="000000"/>
                <w:kern w:val="0"/>
                <w:sz w:val="26"/>
                <w:szCs w:val="26"/>
                <w:lang w:eastAsia="en-IN"/>
                <w14:ligatures w14:val="none"/>
              </w:rPr>
              <w:t>1,703</w:t>
            </w:r>
          </w:p>
        </w:tc>
      </w:tr>
      <w:tr w:rsidR="00CE207C" w:rsidRPr="00CE207C" w14:paraId="216A5DA9" w14:textId="77777777" w:rsidTr="00CE207C">
        <w:trPr>
          <w:trHeight w:val="20"/>
        </w:trPr>
        <w:tc>
          <w:tcPr>
            <w:tcW w:w="3397" w:type="dxa"/>
            <w:tcBorders>
              <w:top w:val="nil"/>
              <w:left w:val="single" w:sz="4" w:space="0" w:color="auto"/>
              <w:bottom w:val="single" w:sz="4" w:space="0" w:color="auto"/>
              <w:right w:val="single" w:sz="4" w:space="0" w:color="auto"/>
            </w:tcBorders>
            <w:vAlign w:val="center"/>
            <w:hideMark/>
          </w:tcPr>
          <w:p w14:paraId="76BE06D0" w14:textId="77777777" w:rsidR="00CE207C" w:rsidRPr="00CE207C" w:rsidRDefault="00CE207C" w:rsidP="00CE207C">
            <w:pPr>
              <w:spacing w:after="0" w:line="240" w:lineRule="auto"/>
              <w:rPr>
                <w:rFonts w:ascii="Times New Roman" w:eastAsia="Times New Roman" w:hAnsi="Times New Roman" w:cs="Times New Roman"/>
                <w:color w:val="000000"/>
                <w:kern w:val="0"/>
                <w:sz w:val="26"/>
                <w:szCs w:val="26"/>
                <w:lang w:eastAsia="en-IN"/>
                <w14:ligatures w14:val="none"/>
              </w:rPr>
            </w:pPr>
            <w:r w:rsidRPr="00CE207C">
              <w:rPr>
                <w:rFonts w:ascii="Times New Roman" w:eastAsia="Times New Roman" w:hAnsi="Times New Roman" w:cs="Times New Roman"/>
                <w:color w:val="000000"/>
                <w:kern w:val="0"/>
                <w:sz w:val="26"/>
                <w:szCs w:val="26"/>
                <w:lang w:eastAsia="en-IN"/>
                <w14:ligatures w14:val="none"/>
              </w:rPr>
              <w:t>Kanpur</w:t>
            </w:r>
          </w:p>
        </w:tc>
        <w:tc>
          <w:tcPr>
            <w:tcW w:w="2946" w:type="dxa"/>
            <w:tcBorders>
              <w:top w:val="nil"/>
              <w:left w:val="nil"/>
              <w:bottom w:val="single" w:sz="4" w:space="0" w:color="auto"/>
              <w:right w:val="single" w:sz="4" w:space="0" w:color="auto"/>
            </w:tcBorders>
            <w:vAlign w:val="center"/>
            <w:hideMark/>
          </w:tcPr>
          <w:p w14:paraId="731843F5" w14:textId="77777777" w:rsidR="00CE207C" w:rsidRPr="00CE207C" w:rsidRDefault="00CE207C" w:rsidP="00CE207C">
            <w:pPr>
              <w:spacing w:after="0" w:line="240" w:lineRule="auto"/>
              <w:jc w:val="center"/>
              <w:rPr>
                <w:rFonts w:ascii="Times New Roman" w:eastAsia="Times New Roman" w:hAnsi="Times New Roman" w:cs="Times New Roman"/>
                <w:color w:val="000000"/>
                <w:kern w:val="0"/>
                <w:sz w:val="26"/>
                <w:szCs w:val="26"/>
                <w:lang w:eastAsia="en-IN"/>
                <w14:ligatures w14:val="none"/>
              </w:rPr>
            </w:pPr>
            <w:r w:rsidRPr="00CE207C">
              <w:rPr>
                <w:rFonts w:ascii="Times New Roman" w:eastAsia="Times New Roman" w:hAnsi="Times New Roman" w:cs="Times New Roman"/>
                <w:color w:val="000000"/>
                <w:kern w:val="0"/>
                <w:sz w:val="26"/>
                <w:szCs w:val="26"/>
                <w:lang w:eastAsia="en-IN"/>
                <w14:ligatures w14:val="none"/>
              </w:rPr>
              <w:t>853</w:t>
            </w:r>
          </w:p>
        </w:tc>
        <w:tc>
          <w:tcPr>
            <w:tcW w:w="3539" w:type="dxa"/>
            <w:tcBorders>
              <w:top w:val="nil"/>
              <w:left w:val="nil"/>
              <w:bottom w:val="single" w:sz="4" w:space="0" w:color="auto"/>
              <w:right w:val="single" w:sz="4" w:space="0" w:color="auto"/>
            </w:tcBorders>
            <w:vAlign w:val="center"/>
            <w:hideMark/>
          </w:tcPr>
          <w:p w14:paraId="04F40B83" w14:textId="77777777" w:rsidR="00CE207C" w:rsidRPr="00CE207C" w:rsidRDefault="00CE207C" w:rsidP="00CE207C">
            <w:pPr>
              <w:spacing w:after="0" w:line="240" w:lineRule="auto"/>
              <w:jc w:val="center"/>
              <w:rPr>
                <w:rFonts w:ascii="Times New Roman" w:eastAsia="Times New Roman" w:hAnsi="Times New Roman" w:cs="Times New Roman"/>
                <w:color w:val="000000"/>
                <w:kern w:val="0"/>
                <w:sz w:val="26"/>
                <w:szCs w:val="26"/>
                <w:lang w:eastAsia="en-IN"/>
                <w14:ligatures w14:val="none"/>
              </w:rPr>
            </w:pPr>
            <w:r w:rsidRPr="00CE207C">
              <w:rPr>
                <w:rFonts w:ascii="Times New Roman" w:eastAsia="Times New Roman" w:hAnsi="Times New Roman" w:cs="Times New Roman"/>
                <w:color w:val="000000"/>
                <w:kern w:val="0"/>
                <w:sz w:val="26"/>
                <w:szCs w:val="26"/>
                <w:lang w:eastAsia="en-IN"/>
                <w14:ligatures w14:val="none"/>
              </w:rPr>
              <w:t>785</w:t>
            </w:r>
          </w:p>
        </w:tc>
      </w:tr>
      <w:tr w:rsidR="00CE207C" w:rsidRPr="00CE207C" w14:paraId="230176CF" w14:textId="77777777" w:rsidTr="00CE207C">
        <w:trPr>
          <w:trHeight w:val="20"/>
        </w:trPr>
        <w:tc>
          <w:tcPr>
            <w:tcW w:w="3397" w:type="dxa"/>
            <w:tcBorders>
              <w:top w:val="nil"/>
              <w:left w:val="single" w:sz="4" w:space="0" w:color="auto"/>
              <w:bottom w:val="single" w:sz="4" w:space="0" w:color="auto"/>
              <w:right w:val="single" w:sz="4" w:space="0" w:color="auto"/>
            </w:tcBorders>
            <w:vAlign w:val="center"/>
            <w:hideMark/>
          </w:tcPr>
          <w:p w14:paraId="0897D14C" w14:textId="77777777" w:rsidR="00CE207C" w:rsidRPr="00CE207C" w:rsidRDefault="00CE207C" w:rsidP="00CE207C">
            <w:pPr>
              <w:spacing w:after="0" w:line="240" w:lineRule="auto"/>
              <w:rPr>
                <w:rFonts w:ascii="Times New Roman" w:eastAsia="Times New Roman" w:hAnsi="Times New Roman" w:cs="Times New Roman"/>
                <w:color w:val="000000"/>
                <w:kern w:val="0"/>
                <w:sz w:val="26"/>
                <w:szCs w:val="26"/>
                <w:lang w:eastAsia="en-IN"/>
                <w14:ligatures w14:val="none"/>
              </w:rPr>
            </w:pPr>
            <w:r w:rsidRPr="00CE207C">
              <w:rPr>
                <w:rFonts w:ascii="Times New Roman" w:eastAsia="Times New Roman" w:hAnsi="Times New Roman" w:cs="Times New Roman"/>
                <w:color w:val="000000"/>
                <w:kern w:val="0"/>
                <w:sz w:val="26"/>
                <w:szCs w:val="26"/>
                <w:lang w:eastAsia="en-IN"/>
                <w14:ligatures w14:val="none"/>
              </w:rPr>
              <w:t>Lucknow</w:t>
            </w:r>
          </w:p>
        </w:tc>
        <w:tc>
          <w:tcPr>
            <w:tcW w:w="2946" w:type="dxa"/>
            <w:tcBorders>
              <w:top w:val="nil"/>
              <w:left w:val="nil"/>
              <w:bottom w:val="single" w:sz="4" w:space="0" w:color="auto"/>
              <w:right w:val="single" w:sz="4" w:space="0" w:color="auto"/>
            </w:tcBorders>
            <w:vAlign w:val="center"/>
            <w:hideMark/>
          </w:tcPr>
          <w:p w14:paraId="43450D3A" w14:textId="77777777" w:rsidR="00CE207C" w:rsidRPr="00CE207C" w:rsidRDefault="00CE207C" w:rsidP="00CE207C">
            <w:pPr>
              <w:spacing w:after="0" w:line="240" w:lineRule="auto"/>
              <w:jc w:val="center"/>
              <w:rPr>
                <w:rFonts w:ascii="Times New Roman" w:eastAsia="Times New Roman" w:hAnsi="Times New Roman" w:cs="Times New Roman"/>
                <w:color w:val="000000"/>
                <w:kern w:val="0"/>
                <w:sz w:val="26"/>
                <w:szCs w:val="26"/>
                <w:lang w:eastAsia="en-IN"/>
                <w14:ligatures w14:val="none"/>
              </w:rPr>
            </w:pPr>
            <w:r w:rsidRPr="00CE207C">
              <w:rPr>
                <w:rFonts w:ascii="Times New Roman" w:eastAsia="Times New Roman" w:hAnsi="Times New Roman" w:cs="Times New Roman"/>
                <w:color w:val="000000"/>
                <w:kern w:val="0"/>
                <w:sz w:val="26"/>
                <w:szCs w:val="26"/>
                <w:lang w:eastAsia="en-IN"/>
                <w14:ligatures w14:val="none"/>
              </w:rPr>
              <w:t>1,063</w:t>
            </w:r>
          </w:p>
        </w:tc>
        <w:tc>
          <w:tcPr>
            <w:tcW w:w="3539" w:type="dxa"/>
            <w:tcBorders>
              <w:top w:val="nil"/>
              <w:left w:val="nil"/>
              <w:bottom w:val="single" w:sz="4" w:space="0" w:color="auto"/>
              <w:right w:val="single" w:sz="4" w:space="0" w:color="auto"/>
            </w:tcBorders>
            <w:vAlign w:val="center"/>
            <w:hideMark/>
          </w:tcPr>
          <w:p w14:paraId="4B1941E3" w14:textId="77777777" w:rsidR="00CE207C" w:rsidRPr="00CE207C" w:rsidRDefault="00CE207C" w:rsidP="00CE207C">
            <w:pPr>
              <w:spacing w:after="0" w:line="240" w:lineRule="auto"/>
              <w:jc w:val="center"/>
              <w:rPr>
                <w:rFonts w:ascii="Times New Roman" w:eastAsia="Times New Roman" w:hAnsi="Times New Roman" w:cs="Times New Roman"/>
                <w:color w:val="000000"/>
                <w:kern w:val="0"/>
                <w:sz w:val="26"/>
                <w:szCs w:val="26"/>
                <w:lang w:eastAsia="en-IN"/>
                <w14:ligatures w14:val="none"/>
              </w:rPr>
            </w:pPr>
            <w:r w:rsidRPr="00CE207C">
              <w:rPr>
                <w:rFonts w:ascii="Times New Roman" w:eastAsia="Times New Roman" w:hAnsi="Times New Roman" w:cs="Times New Roman"/>
                <w:color w:val="000000"/>
                <w:kern w:val="0"/>
                <w:sz w:val="26"/>
                <w:szCs w:val="26"/>
                <w:lang w:eastAsia="en-IN"/>
                <w14:ligatures w14:val="none"/>
              </w:rPr>
              <w:t>1,360</w:t>
            </w:r>
          </w:p>
        </w:tc>
      </w:tr>
      <w:tr w:rsidR="00CE207C" w:rsidRPr="00CE207C" w14:paraId="2033E13D" w14:textId="77777777" w:rsidTr="00CE207C">
        <w:trPr>
          <w:trHeight w:val="20"/>
        </w:trPr>
        <w:tc>
          <w:tcPr>
            <w:tcW w:w="3397" w:type="dxa"/>
            <w:tcBorders>
              <w:top w:val="nil"/>
              <w:left w:val="single" w:sz="4" w:space="0" w:color="auto"/>
              <w:bottom w:val="single" w:sz="4" w:space="0" w:color="auto"/>
              <w:right w:val="single" w:sz="4" w:space="0" w:color="auto"/>
            </w:tcBorders>
            <w:vAlign w:val="center"/>
            <w:hideMark/>
          </w:tcPr>
          <w:p w14:paraId="0A37B8C5" w14:textId="478ECE5B" w:rsidR="00CE207C" w:rsidRPr="00CE207C" w:rsidRDefault="00CE207C" w:rsidP="00CE207C">
            <w:pPr>
              <w:spacing w:after="0" w:line="240" w:lineRule="auto"/>
              <w:jc w:val="right"/>
              <w:rPr>
                <w:rFonts w:ascii="Times New Roman" w:eastAsia="Times New Roman" w:hAnsi="Times New Roman" w:cs="Times New Roman"/>
                <w:color w:val="000000"/>
                <w:kern w:val="0"/>
                <w:sz w:val="26"/>
                <w:szCs w:val="26"/>
                <w:lang w:eastAsia="en-IN"/>
                <w14:ligatures w14:val="none"/>
              </w:rPr>
            </w:pPr>
            <w:r w:rsidRPr="00CE207C">
              <w:rPr>
                <w:rFonts w:ascii="Times New Roman" w:hAnsi="Times New Roman" w:cs="Times New Roman"/>
                <w:sz w:val="26"/>
                <w:szCs w:val="26"/>
              </w:rPr>
              <w:t>Total</w:t>
            </w:r>
          </w:p>
        </w:tc>
        <w:tc>
          <w:tcPr>
            <w:tcW w:w="2946" w:type="dxa"/>
            <w:tcBorders>
              <w:top w:val="nil"/>
              <w:left w:val="nil"/>
              <w:bottom w:val="single" w:sz="4" w:space="0" w:color="auto"/>
              <w:right w:val="single" w:sz="4" w:space="0" w:color="auto"/>
            </w:tcBorders>
            <w:vAlign w:val="center"/>
            <w:hideMark/>
          </w:tcPr>
          <w:p w14:paraId="16B821AE" w14:textId="77777777" w:rsidR="00CE207C" w:rsidRPr="00CE207C" w:rsidRDefault="00CE207C" w:rsidP="00CE207C">
            <w:pPr>
              <w:spacing w:after="0" w:line="240" w:lineRule="auto"/>
              <w:jc w:val="center"/>
              <w:rPr>
                <w:rFonts w:ascii="Times New Roman" w:eastAsia="Times New Roman" w:hAnsi="Times New Roman" w:cs="Times New Roman"/>
                <w:color w:val="000000"/>
                <w:kern w:val="0"/>
                <w:sz w:val="26"/>
                <w:szCs w:val="26"/>
                <w:lang w:eastAsia="en-IN"/>
                <w14:ligatures w14:val="none"/>
              </w:rPr>
            </w:pPr>
            <w:r w:rsidRPr="00CE207C">
              <w:rPr>
                <w:rFonts w:ascii="Times New Roman" w:eastAsia="Times New Roman" w:hAnsi="Times New Roman" w:cs="Times New Roman"/>
                <w:color w:val="000000"/>
                <w:kern w:val="0"/>
                <w:sz w:val="26"/>
                <w:szCs w:val="26"/>
                <w:lang w:eastAsia="en-IN"/>
                <w14:ligatures w14:val="none"/>
              </w:rPr>
              <w:t>6,186</w:t>
            </w:r>
          </w:p>
        </w:tc>
        <w:tc>
          <w:tcPr>
            <w:tcW w:w="3539" w:type="dxa"/>
            <w:tcBorders>
              <w:top w:val="nil"/>
              <w:left w:val="nil"/>
              <w:bottom w:val="single" w:sz="4" w:space="0" w:color="auto"/>
              <w:right w:val="single" w:sz="4" w:space="0" w:color="auto"/>
            </w:tcBorders>
            <w:vAlign w:val="center"/>
            <w:hideMark/>
          </w:tcPr>
          <w:p w14:paraId="30F0C7F5" w14:textId="77777777" w:rsidR="00CE207C" w:rsidRPr="00CE207C" w:rsidRDefault="00CE207C" w:rsidP="00CE207C">
            <w:pPr>
              <w:spacing w:after="0" w:line="240" w:lineRule="auto"/>
              <w:jc w:val="center"/>
              <w:rPr>
                <w:rFonts w:ascii="Times New Roman" w:eastAsia="Times New Roman" w:hAnsi="Times New Roman" w:cs="Times New Roman"/>
                <w:color w:val="000000"/>
                <w:kern w:val="0"/>
                <w:sz w:val="26"/>
                <w:szCs w:val="26"/>
                <w:lang w:eastAsia="en-IN"/>
                <w14:ligatures w14:val="none"/>
              </w:rPr>
            </w:pPr>
            <w:r w:rsidRPr="00CE207C">
              <w:rPr>
                <w:rFonts w:ascii="Times New Roman" w:eastAsia="Times New Roman" w:hAnsi="Times New Roman" w:cs="Times New Roman"/>
                <w:color w:val="000000"/>
                <w:kern w:val="0"/>
                <w:sz w:val="26"/>
                <w:szCs w:val="26"/>
                <w:lang w:eastAsia="en-IN"/>
                <w14:ligatures w14:val="none"/>
              </w:rPr>
              <w:t>6,223</w:t>
            </w:r>
          </w:p>
        </w:tc>
      </w:tr>
      <w:tr w:rsidR="00CE207C" w:rsidRPr="00CE207C" w14:paraId="4C5B501C" w14:textId="77777777" w:rsidTr="00CE207C">
        <w:trPr>
          <w:trHeight w:val="20"/>
        </w:trPr>
        <w:tc>
          <w:tcPr>
            <w:tcW w:w="3397" w:type="dxa"/>
            <w:tcBorders>
              <w:top w:val="nil"/>
              <w:left w:val="single" w:sz="4" w:space="0" w:color="auto"/>
              <w:bottom w:val="single" w:sz="4" w:space="0" w:color="auto"/>
              <w:right w:val="single" w:sz="4" w:space="0" w:color="auto"/>
            </w:tcBorders>
            <w:vAlign w:val="center"/>
            <w:hideMark/>
          </w:tcPr>
          <w:p w14:paraId="0154B5D5" w14:textId="77777777" w:rsidR="00CE207C" w:rsidRPr="00CE207C" w:rsidRDefault="00CE207C" w:rsidP="00CE207C">
            <w:pPr>
              <w:spacing w:after="0" w:line="240" w:lineRule="auto"/>
              <w:rPr>
                <w:rFonts w:ascii="Times New Roman" w:eastAsia="Times New Roman" w:hAnsi="Times New Roman" w:cs="Times New Roman"/>
                <w:b/>
                <w:bCs/>
                <w:color w:val="000000"/>
                <w:kern w:val="0"/>
                <w:sz w:val="26"/>
                <w:szCs w:val="26"/>
                <w:lang w:eastAsia="en-IN"/>
                <w14:ligatures w14:val="none"/>
              </w:rPr>
            </w:pPr>
            <w:r w:rsidRPr="00CE207C">
              <w:rPr>
                <w:rFonts w:ascii="Times New Roman" w:eastAsia="Times New Roman" w:hAnsi="Times New Roman" w:cs="Times New Roman"/>
                <w:b/>
                <w:bCs/>
                <w:color w:val="000000"/>
                <w:kern w:val="0"/>
                <w:sz w:val="26"/>
                <w:szCs w:val="26"/>
                <w:lang w:eastAsia="en-IN"/>
                <w14:ligatures w14:val="none"/>
              </w:rPr>
              <w:t>17. West Bengal</w:t>
            </w:r>
          </w:p>
        </w:tc>
        <w:tc>
          <w:tcPr>
            <w:tcW w:w="2946" w:type="dxa"/>
            <w:tcBorders>
              <w:top w:val="nil"/>
              <w:left w:val="nil"/>
              <w:bottom w:val="single" w:sz="4" w:space="0" w:color="auto"/>
              <w:right w:val="single" w:sz="4" w:space="0" w:color="auto"/>
            </w:tcBorders>
            <w:vAlign w:val="center"/>
            <w:hideMark/>
          </w:tcPr>
          <w:p w14:paraId="29D06999" w14:textId="4A4069F5" w:rsidR="00CE207C" w:rsidRPr="00CE207C" w:rsidRDefault="00CE207C" w:rsidP="00CE207C">
            <w:pPr>
              <w:spacing w:after="0" w:line="240" w:lineRule="auto"/>
              <w:jc w:val="center"/>
              <w:rPr>
                <w:rFonts w:ascii="Times New Roman" w:eastAsia="Times New Roman" w:hAnsi="Times New Roman" w:cs="Times New Roman"/>
                <w:color w:val="000000"/>
                <w:kern w:val="0"/>
                <w:sz w:val="26"/>
                <w:szCs w:val="26"/>
                <w:lang w:eastAsia="en-IN"/>
                <w14:ligatures w14:val="none"/>
              </w:rPr>
            </w:pPr>
          </w:p>
        </w:tc>
        <w:tc>
          <w:tcPr>
            <w:tcW w:w="3539" w:type="dxa"/>
            <w:tcBorders>
              <w:top w:val="nil"/>
              <w:left w:val="nil"/>
              <w:bottom w:val="single" w:sz="4" w:space="0" w:color="auto"/>
              <w:right w:val="single" w:sz="4" w:space="0" w:color="auto"/>
            </w:tcBorders>
            <w:vAlign w:val="center"/>
            <w:hideMark/>
          </w:tcPr>
          <w:p w14:paraId="3B6FD56B" w14:textId="242DCBA6" w:rsidR="00CE207C" w:rsidRPr="00CE207C" w:rsidRDefault="00CE207C" w:rsidP="00CE207C">
            <w:pPr>
              <w:spacing w:after="0" w:line="240" w:lineRule="auto"/>
              <w:jc w:val="center"/>
              <w:rPr>
                <w:rFonts w:ascii="Times New Roman" w:eastAsia="Times New Roman" w:hAnsi="Times New Roman" w:cs="Times New Roman"/>
                <w:color w:val="000000"/>
                <w:kern w:val="0"/>
                <w:sz w:val="26"/>
                <w:szCs w:val="26"/>
                <w:lang w:eastAsia="en-IN"/>
                <w14:ligatures w14:val="none"/>
              </w:rPr>
            </w:pPr>
          </w:p>
        </w:tc>
      </w:tr>
      <w:tr w:rsidR="00CE207C" w:rsidRPr="00CE207C" w14:paraId="1B7633F5" w14:textId="77777777" w:rsidTr="00CE207C">
        <w:trPr>
          <w:trHeight w:val="20"/>
        </w:trPr>
        <w:tc>
          <w:tcPr>
            <w:tcW w:w="3397" w:type="dxa"/>
            <w:tcBorders>
              <w:top w:val="nil"/>
              <w:left w:val="single" w:sz="4" w:space="0" w:color="auto"/>
              <w:bottom w:val="single" w:sz="4" w:space="0" w:color="auto"/>
              <w:right w:val="single" w:sz="4" w:space="0" w:color="auto"/>
            </w:tcBorders>
            <w:vAlign w:val="center"/>
            <w:hideMark/>
          </w:tcPr>
          <w:p w14:paraId="661D296C" w14:textId="77777777" w:rsidR="00CE207C" w:rsidRPr="00CE207C" w:rsidRDefault="00CE207C" w:rsidP="00CE207C">
            <w:pPr>
              <w:spacing w:after="0" w:line="240" w:lineRule="auto"/>
              <w:rPr>
                <w:rFonts w:ascii="Times New Roman" w:eastAsia="Times New Roman" w:hAnsi="Times New Roman" w:cs="Times New Roman"/>
                <w:color w:val="000000"/>
                <w:kern w:val="0"/>
                <w:sz w:val="26"/>
                <w:szCs w:val="26"/>
                <w:lang w:eastAsia="en-IN"/>
                <w14:ligatures w14:val="none"/>
              </w:rPr>
            </w:pPr>
            <w:r w:rsidRPr="00CE207C">
              <w:rPr>
                <w:rFonts w:ascii="Times New Roman" w:eastAsia="Times New Roman" w:hAnsi="Times New Roman" w:cs="Times New Roman"/>
                <w:color w:val="000000"/>
                <w:kern w:val="0"/>
                <w:sz w:val="26"/>
                <w:szCs w:val="26"/>
                <w:lang w:eastAsia="en-IN"/>
                <w14:ligatures w14:val="none"/>
              </w:rPr>
              <w:t>Calcutta</w:t>
            </w:r>
          </w:p>
        </w:tc>
        <w:tc>
          <w:tcPr>
            <w:tcW w:w="2946" w:type="dxa"/>
            <w:tcBorders>
              <w:top w:val="nil"/>
              <w:left w:val="nil"/>
              <w:bottom w:val="single" w:sz="4" w:space="0" w:color="auto"/>
              <w:right w:val="single" w:sz="4" w:space="0" w:color="auto"/>
            </w:tcBorders>
            <w:vAlign w:val="center"/>
            <w:hideMark/>
          </w:tcPr>
          <w:p w14:paraId="07CAF99E" w14:textId="77777777" w:rsidR="00CE207C" w:rsidRPr="00CE207C" w:rsidRDefault="00CE207C" w:rsidP="00CE207C">
            <w:pPr>
              <w:spacing w:after="0" w:line="240" w:lineRule="auto"/>
              <w:jc w:val="center"/>
              <w:rPr>
                <w:rFonts w:ascii="Times New Roman" w:eastAsia="Times New Roman" w:hAnsi="Times New Roman" w:cs="Times New Roman"/>
                <w:color w:val="000000"/>
                <w:kern w:val="0"/>
                <w:sz w:val="26"/>
                <w:szCs w:val="26"/>
                <w:lang w:eastAsia="en-IN"/>
                <w14:ligatures w14:val="none"/>
              </w:rPr>
            </w:pPr>
            <w:r w:rsidRPr="00CE207C">
              <w:rPr>
                <w:rFonts w:ascii="Times New Roman" w:eastAsia="Times New Roman" w:hAnsi="Times New Roman" w:cs="Times New Roman"/>
                <w:color w:val="000000"/>
                <w:kern w:val="0"/>
                <w:sz w:val="26"/>
                <w:szCs w:val="26"/>
                <w:lang w:eastAsia="en-IN"/>
                <w14:ligatures w14:val="none"/>
              </w:rPr>
              <w:t>23,244</w:t>
            </w:r>
          </w:p>
        </w:tc>
        <w:tc>
          <w:tcPr>
            <w:tcW w:w="3539" w:type="dxa"/>
            <w:tcBorders>
              <w:top w:val="nil"/>
              <w:left w:val="nil"/>
              <w:bottom w:val="single" w:sz="4" w:space="0" w:color="auto"/>
              <w:right w:val="single" w:sz="4" w:space="0" w:color="auto"/>
            </w:tcBorders>
            <w:vAlign w:val="center"/>
            <w:hideMark/>
          </w:tcPr>
          <w:p w14:paraId="10D6CCA9" w14:textId="10626557" w:rsidR="00CE207C" w:rsidRPr="00CE207C" w:rsidRDefault="00CE207C" w:rsidP="00CE207C">
            <w:pPr>
              <w:spacing w:after="0" w:line="240" w:lineRule="auto"/>
              <w:jc w:val="center"/>
              <w:rPr>
                <w:rFonts w:ascii="Times New Roman" w:eastAsia="Times New Roman" w:hAnsi="Times New Roman" w:cs="Times New Roman"/>
                <w:color w:val="000000"/>
                <w:kern w:val="0"/>
                <w:sz w:val="26"/>
                <w:szCs w:val="26"/>
                <w:lang w:eastAsia="en-IN"/>
                <w14:ligatures w14:val="none"/>
              </w:rPr>
            </w:pPr>
            <w:r w:rsidRPr="00CE207C">
              <w:rPr>
                <w:rFonts w:ascii="Times New Roman" w:eastAsia="Times New Roman" w:hAnsi="Times New Roman" w:cs="Times New Roman"/>
                <w:color w:val="000000"/>
                <w:kern w:val="0"/>
                <w:sz w:val="26"/>
                <w:szCs w:val="26"/>
                <w:lang w:eastAsia="en-IN"/>
                <w14:ligatures w14:val="none"/>
              </w:rPr>
              <w:t>25,75</w:t>
            </w:r>
            <w:r w:rsidR="00886EB4">
              <w:rPr>
                <w:rFonts w:ascii="Times New Roman" w:eastAsia="Times New Roman" w:hAnsi="Times New Roman" w:cs="Times New Roman"/>
                <w:color w:val="000000"/>
                <w:kern w:val="0"/>
                <w:sz w:val="26"/>
                <w:szCs w:val="26"/>
                <w:lang w:eastAsia="en-IN"/>
                <w14:ligatures w14:val="none"/>
              </w:rPr>
              <w:t>3</w:t>
            </w:r>
          </w:p>
        </w:tc>
      </w:tr>
      <w:tr w:rsidR="00CE207C" w:rsidRPr="00CE207C" w14:paraId="2E6E4FE4" w14:textId="77777777" w:rsidTr="00CE207C">
        <w:trPr>
          <w:trHeight w:val="20"/>
        </w:trPr>
        <w:tc>
          <w:tcPr>
            <w:tcW w:w="3397" w:type="dxa"/>
            <w:tcBorders>
              <w:top w:val="nil"/>
              <w:left w:val="single" w:sz="4" w:space="0" w:color="auto"/>
              <w:bottom w:val="single" w:sz="4" w:space="0" w:color="auto"/>
              <w:right w:val="single" w:sz="4" w:space="0" w:color="auto"/>
            </w:tcBorders>
            <w:vAlign w:val="center"/>
            <w:hideMark/>
          </w:tcPr>
          <w:p w14:paraId="20B3F933" w14:textId="77777777" w:rsidR="00CE207C" w:rsidRPr="00CE207C" w:rsidRDefault="00CE207C" w:rsidP="00CE207C">
            <w:pPr>
              <w:spacing w:after="0" w:line="240" w:lineRule="auto"/>
              <w:rPr>
                <w:rFonts w:ascii="Times New Roman" w:eastAsia="Times New Roman" w:hAnsi="Times New Roman" w:cs="Times New Roman"/>
                <w:color w:val="000000"/>
                <w:kern w:val="0"/>
                <w:sz w:val="26"/>
                <w:szCs w:val="26"/>
                <w:lang w:eastAsia="en-IN"/>
                <w14:ligatures w14:val="none"/>
              </w:rPr>
            </w:pPr>
            <w:r w:rsidRPr="00CE207C">
              <w:rPr>
                <w:rFonts w:ascii="Times New Roman" w:eastAsia="Times New Roman" w:hAnsi="Times New Roman" w:cs="Times New Roman"/>
                <w:color w:val="000000"/>
                <w:kern w:val="0"/>
                <w:sz w:val="26"/>
                <w:szCs w:val="26"/>
                <w:lang w:eastAsia="en-IN"/>
                <w14:ligatures w14:val="none"/>
              </w:rPr>
              <w:t>Cooch Behar</w:t>
            </w:r>
          </w:p>
        </w:tc>
        <w:tc>
          <w:tcPr>
            <w:tcW w:w="2946" w:type="dxa"/>
            <w:tcBorders>
              <w:top w:val="nil"/>
              <w:left w:val="nil"/>
              <w:bottom w:val="single" w:sz="4" w:space="0" w:color="auto"/>
              <w:right w:val="single" w:sz="4" w:space="0" w:color="auto"/>
            </w:tcBorders>
            <w:vAlign w:val="center"/>
            <w:hideMark/>
          </w:tcPr>
          <w:p w14:paraId="336BE009" w14:textId="77777777" w:rsidR="00CE207C" w:rsidRPr="00CE207C" w:rsidRDefault="00CE207C" w:rsidP="00CE207C">
            <w:pPr>
              <w:spacing w:after="0" w:line="240" w:lineRule="auto"/>
              <w:jc w:val="center"/>
              <w:rPr>
                <w:rFonts w:ascii="Times New Roman" w:eastAsia="Times New Roman" w:hAnsi="Times New Roman" w:cs="Times New Roman"/>
                <w:color w:val="000000"/>
                <w:kern w:val="0"/>
                <w:sz w:val="26"/>
                <w:szCs w:val="26"/>
                <w:lang w:eastAsia="en-IN"/>
                <w14:ligatures w14:val="none"/>
              </w:rPr>
            </w:pPr>
            <w:r w:rsidRPr="00CE207C">
              <w:rPr>
                <w:rFonts w:ascii="Times New Roman" w:eastAsia="Times New Roman" w:hAnsi="Times New Roman" w:cs="Times New Roman"/>
                <w:color w:val="000000"/>
                <w:kern w:val="0"/>
                <w:sz w:val="26"/>
                <w:szCs w:val="26"/>
                <w:lang w:eastAsia="en-IN"/>
                <w14:ligatures w14:val="none"/>
              </w:rPr>
              <w:t>221</w:t>
            </w:r>
          </w:p>
        </w:tc>
        <w:tc>
          <w:tcPr>
            <w:tcW w:w="3539" w:type="dxa"/>
            <w:tcBorders>
              <w:top w:val="nil"/>
              <w:left w:val="nil"/>
              <w:bottom w:val="single" w:sz="4" w:space="0" w:color="auto"/>
              <w:right w:val="single" w:sz="4" w:space="0" w:color="auto"/>
            </w:tcBorders>
            <w:vAlign w:val="center"/>
            <w:hideMark/>
          </w:tcPr>
          <w:p w14:paraId="4C7E9030" w14:textId="77777777" w:rsidR="00CE207C" w:rsidRPr="00CE207C" w:rsidRDefault="00CE207C" w:rsidP="00CE207C">
            <w:pPr>
              <w:spacing w:after="0" w:line="240" w:lineRule="auto"/>
              <w:jc w:val="center"/>
              <w:rPr>
                <w:rFonts w:ascii="Times New Roman" w:eastAsia="Times New Roman" w:hAnsi="Times New Roman" w:cs="Times New Roman"/>
                <w:color w:val="000000"/>
                <w:kern w:val="0"/>
                <w:sz w:val="26"/>
                <w:szCs w:val="26"/>
                <w:lang w:eastAsia="en-IN"/>
                <w14:ligatures w14:val="none"/>
              </w:rPr>
            </w:pPr>
            <w:r w:rsidRPr="00CE207C">
              <w:rPr>
                <w:rFonts w:ascii="Times New Roman" w:eastAsia="Times New Roman" w:hAnsi="Times New Roman" w:cs="Times New Roman"/>
                <w:color w:val="000000"/>
                <w:kern w:val="0"/>
                <w:sz w:val="26"/>
                <w:szCs w:val="26"/>
                <w:lang w:eastAsia="en-IN"/>
                <w14:ligatures w14:val="none"/>
              </w:rPr>
              <w:t>204</w:t>
            </w:r>
          </w:p>
        </w:tc>
      </w:tr>
      <w:tr w:rsidR="00CE207C" w:rsidRPr="00CE207C" w14:paraId="34068494" w14:textId="77777777" w:rsidTr="00CE207C">
        <w:trPr>
          <w:trHeight w:val="20"/>
        </w:trPr>
        <w:tc>
          <w:tcPr>
            <w:tcW w:w="3397" w:type="dxa"/>
            <w:tcBorders>
              <w:top w:val="nil"/>
              <w:left w:val="single" w:sz="4" w:space="0" w:color="auto"/>
              <w:bottom w:val="single" w:sz="4" w:space="0" w:color="auto"/>
              <w:right w:val="single" w:sz="4" w:space="0" w:color="auto"/>
            </w:tcBorders>
            <w:vAlign w:val="center"/>
            <w:hideMark/>
          </w:tcPr>
          <w:p w14:paraId="58FB981F" w14:textId="77777777" w:rsidR="00CE207C" w:rsidRPr="00CE207C" w:rsidRDefault="00CE207C" w:rsidP="00CE207C">
            <w:pPr>
              <w:spacing w:after="0" w:line="240" w:lineRule="auto"/>
              <w:rPr>
                <w:rFonts w:ascii="Times New Roman" w:eastAsia="Times New Roman" w:hAnsi="Times New Roman" w:cs="Times New Roman"/>
                <w:color w:val="000000"/>
                <w:kern w:val="0"/>
                <w:sz w:val="26"/>
                <w:szCs w:val="26"/>
                <w:lang w:eastAsia="en-IN"/>
                <w14:ligatures w14:val="none"/>
              </w:rPr>
            </w:pPr>
            <w:r w:rsidRPr="00CE207C">
              <w:rPr>
                <w:rFonts w:ascii="Times New Roman" w:eastAsia="Times New Roman" w:hAnsi="Times New Roman" w:cs="Times New Roman"/>
                <w:color w:val="000000"/>
                <w:kern w:val="0"/>
                <w:sz w:val="26"/>
                <w:szCs w:val="26"/>
                <w:lang w:eastAsia="en-IN"/>
                <w14:ligatures w14:val="none"/>
              </w:rPr>
              <w:t>Siliguri</w:t>
            </w:r>
          </w:p>
        </w:tc>
        <w:tc>
          <w:tcPr>
            <w:tcW w:w="2946" w:type="dxa"/>
            <w:tcBorders>
              <w:top w:val="nil"/>
              <w:left w:val="nil"/>
              <w:bottom w:val="single" w:sz="4" w:space="0" w:color="auto"/>
              <w:right w:val="single" w:sz="4" w:space="0" w:color="auto"/>
            </w:tcBorders>
            <w:vAlign w:val="center"/>
            <w:hideMark/>
          </w:tcPr>
          <w:p w14:paraId="4707C33D" w14:textId="77777777" w:rsidR="00CE207C" w:rsidRPr="00CE207C" w:rsidRDefault="00CE207C" w:rsidP="00CE207C">
            <w:pPr>
              <w:spacing w:after="0" w:line="240" w:lineRule="auto"/>
              <w:jc w:val="center"/>
              <w:rPr>
                <w:rFonts w:ascii="Times New Roman" w:eastAsia="Times New Roman" w:hAnsi="Times New Roman" w:cs="Times New Roman"/>
                <w:color w:val="000000"/>
                <w:kern w:val="0"/>
                <w:sz w:val="26"/>
                <w:szCs w:val="26"/>
                <w:lang w:eastAsia="en-IN"/>
                <w14:ligatures w14:val="none"/>
              </w:rPr>
            </w:pPr>
            <w:r w:rsidRPr="00CE207C">
              <w:rPr>
                <w:rFonts w:ascii="Times New Roman" w:eastAsia="Times New Roman" w:hAnsi="Times New Roman" w:cs="Times New Roman"/>
                <w:color w:val="000000"/>
                <w:kern w:val="0"/>
                <w:sz w:val="26"/>
                <w:szCs w:val="26"/>
                <w:lang w:eastAsia="en-IN"/>
                <w14:ligatures w14:val="none"/>
              </w:rPr>
              <w:t>1,258</w:t>
            </w:r>
          </w:p>
        </w:tc>
        <w:tc>
          <w:tcPr>
            <w:tcW w:w="3539" w:type="dxa"/>
            <w:tcBorders>
              <w:top w:val="nil"/>
              <w:left w:val="nil"/>
              <w:bottom w:val="single" w:sz="4" w:space="0" w:color="auto"/>
              <w:right w:val="single" w:sz="4" w:space="0" w:color="auto"/>
            </w:tcBorders>
            <w:vAlign w:val="center"/>
            <w:hideMark/>
          </w:tcPr>
          <w:p w14:paraId="0FD9DD2B" w14:textId="155A0C7C" w:rsidR="00CE207C" w:rsidRPr="00CE207C" w:rsidRDefault="00CE207C" w:rsidP="00CE207C">
            <w:pPr>
              <w:spacing w:after="0" w:line="240" w:lineRule="auto"/>
              <w:jc w:val="center"/>
              <w:rPr>
                <w:rFonts w:ascii="Times New Roman" w:eastAsia="Times New Roman" w:hAnsi="Times New Roman" w:cs="Times New Roman"/>
                <w:color w:val="000000"/>
                <w:kern w:val="0"/>
                <w:sz w:val="26"/>
                <w:szCs w:val="26"/>
                <w:lang w:eastAsia="en-IN"/>
                <w14:ligatures w14:val="none"/>
              </w:rPr>
            </w:pPr>
            <w:r w:rsidRPr="00CE207C">
              <w:rPr>
                <w:rFonts w:ascii="Times New Roman" w:eastAsia="Times New Roman" w:hAnsi="Times New Roman" w:cs="Times New Roman"/>
                <w:color w:val="000000"/>
                <w:kern w:val="0"/>
                <w:sz w:val="26"/>
                <w:szCs w:val="26"/>
                <w:lang w:eastAsia="en-IN"/>
                <w14:ligatures w14:val="none"/>
              </w:rPr>
              <w:t>1,05</w:t>
            </w:r>
            <w:r w:rsidR="00886EB4">
              <w:rPr>
                <w:rFonts w:ascii="Times New Roman" w:eastAsia="Times New Roman" w:hAnsi="Times New Roman" w:cs="Times New Roman"/>
                <w:color w:val="000000"/>
                <w:kern w:val="0"/>
                <w:sz w:val="26"/>
                <w:szCs w:val="26"/>
                <w:lang w:eastAsia="en-IN"/>
                <w14:ligatures w14:val="none"/>
              </w:rPr>
              <w:t>9</w:t>
            </w:r>
          </w:p>
        </w:tc>
      </w:tr>
      <w:tr w:rsidR="00CE207C" w:rsidRPr="00CE207C" w14:paraId="1BFF82AE" w14:textId="77777777" w:rsidTr="00CE207C">
        <w:trPr>
          <w:trHeight w:val="20"/>
        </w:trPr>
        <w:tc>
          <w:tcPr>
            <w:tcW w:w="3397" w:type="dxa"/>
            <w:tcBorders>
              <w:top w:val="nil"/>
              <w:left w:val="single" w:sz="4" w:space="0" w:color="auto"/>
              <w:bottom w:val="single" w:sz="4" w:space="0" w:color="auto"/>
              <w:right w:val="single" w:sz="4" w:space="0" w:color="auto"/>
            </w:tcBorders>
            <w:vAlign w:val="center"/>
            <w:hideMark/>
          </w:tcPr>
          <w:p w14:paraId="7918DFF4" w14:textId="1909CDBD" w:rsidR="00CE207C" w:rsidRPr="00CE207C" w:rsidRDefault="00CE207C" w:rsidP="00CE207C">
            <w:pPr>
              <w:spacing w:after="0" w:line="240" w:lineRule="auto"/>
              <w:jc w:val="right"/>
              <w:rPr>
                <w:rFonts w:ascii="Times New Roman" w:eastAsia="Times New Roman" w:hAnsi="Times New Roman" w:cs="Times New Roman"/>
                <w:color w:val="000000"/>
                <w:kern w:val="0"/>
                <w:sz w:val="26"/>
                <w:szCs w:val="26"/>
                <w:lang w:eastAsia="en-IN"/>
                <w14:ligatures w14:val="none"/>
              </w:rPr>
            </w:pPr>
            <w:r w:rsidRPr="00CE207C">
              <w:rPr>
                <w:rFonts w:ascii="Times New Roman" w:hAnsi="Times New Roman" w:cs="Times New Roman"/>
                <w:sz w:val="26"/>
                <w:szCs w:val="26"/>
              </w:rPr>
              <w:t>Total</w:t>
            </w:r>
          </w:p>
        </w:tc>
        <w:tc>
          <w:tcPr>
            <w:tcW w:w="2946" w:type="dxa"/>
            <w:tcBorders>
              <w:top w:val="nil"/>
              <w:left w:val="nil"/>
              <w:bottom w:val="single" w:sz="4" w:space="0" w:color="auto"/>
              <w:right w:val="single" w:sz="4" w:space="0" w:color="auto"/>
            </w:tcBorders>
            <w:vAlign w:val="center"/>
            <w:hideMark/>
          </w:tcPr>
          <w:p w14:paraId="4A548AB4" w14:textId="77777777" w:rsidR="00CE207C" w:rsidRPr="00CE207C" w:rsidRDefault="00CE207C" w:rsidP="00CE207C">
            <w:pPr>
              <w:spacing w:after="0" w:line="240" w:lineRule="auto"/>
              <w:jc w:val="center"/>
              <w:rPr>
                <w:rFonts w:ascii="Times New Roman" w:eastAsia="Times New Roman" w:hAnsi="Times New Roman" w:cs="Times New Roman"/>
                <w:color w:val="000000"/>
                <w:kern w:val="0"/>
                <w:sz w:val="26"/>
                <w:szCs w:val="26"/>
                <w:lang w:eastAsia="en-IN"/>
                <w14:ligatures w14:val="none"/>
              </w:rPr>
            </w:pPr>
            <w:r w:rsidRPr="00CE207C">
              <w:rPr>
                <w:rFonts w:ascii="Times New Roman" w:eastAsia="Times New Roman" w:hAnsi="Times New Roman" w:cs="Times New Roman"/>
                <w:color w:val="000000"/>
                <w:kern w:val="0"/>
                <w:sz w:val="26"/>
                <w:szCs w:val="26"/>
                <w:lang w:eastAsia="en-IN"/>
                <w14:ligatures w14:val="none"/>
              </w:rPr>
              <w:t>24,723</w:t>
            </w:r>
          </w:p>
        </w:tc>
        <w:tc>
          <w:tcPr>
            <w:tcW w:w="3539" w:type="dxa"/>
            <w:tcBorders>
              <w:top w:val="nil"/>
              <w:left w:val="nil"/>
              <w:bottom w:val="single" w:sz="4" w:space="0" w:color="auto"/>
              <w:right w:val="single" w:sz="4" w:space="0" w:color="auto"/>
            </w:tcBorders>
            <w:vAlign w:val="center"/>
            <w:hideMark/>
          </w:tcPr>
          <w:p w14:paraId="2859E6FF" w14:textId="77777777" w:rsidR="00CE207C" w:rsidRPr="00CE207C" w:rsidRDefault="00CE207C" w:rsidP="00CE207C">
            <w:pPr>
              <w:spacing w:after="0" w:line="240" w:lineRule="auto"/>
              <w:jc w:val="center"/>
              <w:rPr>
                <w:rFonts w:ascii="Times New Roman" w:eastAsia="Times New Roman" w:hAnsi="Times New Roman" w:cs="Times New Roman"/>
                <w:color w:val="000000"/>
                <w:kern w:val="0"/>
                <w:sz w:val="26"/>
                <w:szCs w:val="26"/>
                <w:lang w:eastAsia="en-IN"/>
                <w14:ligatures w14:val="none"/>
              </w:rPr>
            </w:pPr>
            <w:r w:rsidRPr="00CE207C">
              <w:rPr>
                <w:rFonts w:ascii="Times New Roman" w:eastAsia="Times New Roman" w:hAnsi="Times New Roman" w:cs="Times New Roman"/>
                <w:color w:val="000000"/>
                <w:kern w:val="0"/>
                <w:sz w:val="26"/>
                <w:szCs w:val="26"/>
                <w:lang w:eastAsia="en-IN"/>
                <w14:ligatures w14:val="none"/>
              </w:rPr>
              <w:t>27,016</w:t>
            </w:r>
          </w:p>
        </w:tc>
      </w:tr>
      <w:tr w:rsidR="00CE207C" w:rsidRPr="00CE207C" w14:paraId="35EFA867" w14:textId="77777777" w:rsidTr="00CE207C">
        <w:trPr>
          <w:trHeight w:val="20"/>
        </w:trPr>
        <w:tc>
          <w:tcPr>
            <w:tcW w:w="3397" w:type="dxa"/>
            <w:tcBorders>
              <w:top w:val="nil"/>
              <w:left w:val="single" w:sz="4" w:space="0" w:color="auto"/>
              <w:bottom w:val="single" w:sz="4" w:space="0" w:color="auto"/>
              <w:right w:val="single" w:sz="4" w:space="0" w:color="auto"/>
            </w:tcBorders>
            <w:vAlign w:val="center"/>
            <w:hideMark/>
          </w:tcPr>
          <w:p w14:paraId="34450FF9" w14:textId="77777777" w:rsidR="00CE207C" w:rsidRPr="00CE207C" w:rsidRDefault="00CE207C" w:rsidP="00CE207C">
            <w:pPr>
              <w:spacing w:after="0" w:line="240" w:lineRule="auto"/>
              <w:rPr>
                <w:rFonts w:ascii="Times New Roman" w:eastAsia="Times New Roman" w:hAnsi="Times New Roman" w:cs="Times New Roman"/>
                <w:color w:val="000000"/>
                <w:kern w:val="0"/>
                <w:sz w:val="26"/>
                <w:szCs w:val="26"/>
                <w:lang w:eastAsia="en-IN"/>
                <w14:ligatures w14:val="none"/>
              </w:rPr>
            </w:pPr>
            <w:r w:rsidRPr="00CE207C">
              <w:rPr>
                <w:rFonts w:ascii="Times New Roman" w:eastAsia="Times New Roman" w:hAnsi="Times New Roman" w:cs="Times New Roman"/>
                <w:color w:val="000000"/>
                <w:kern w:val="0"/>
                <w:sz w:val="26"/>
                <w:szCs w:val="26"/>
                <w:lang w:eastAsia="en-IN"/>
                <w14:ligatures w14:val="none"/>
              </w:rPr>
              <w:t>TOTAL (All States)</w:t>
            </w:r>
          </w:p>
        </w:tc>
        <w:tc>
          <w:tcPr>
            <w:tcW w:w="2946" w:type="dxa"/>
            <w:tcBorders>
              <w:top w:val="nil"/>
              <w:left w:val="nil"/>
              <w:bottom w:val="single" w:sz="4" w:space="0" w:color="auto"/>
              <w:right w:val="single" w:sz="4" w:space="0" w:color="auto"/>
            </w:tcBorders>
            <w:vAlign w:val="center"/>
            <w:hideMark/>
          </w:tcPr>
          <w:p w14:paraId="5882973A" w14:textId="77777777" w:rsidR="00CE207C" w:rsidRPr="00CE207C" w:rsidRDefault="00CE207C" w:rsidP="00CE207C">
            <w:pPr>
              <w:spacing w:after="0" w:line="240" w:lineRule="auto"/>
              <w:jc w:val="center"/>
              <w:rPr>
                <w:rFonts w:ascii="Times New Roman" w:eastAsia="Times New Roman" w:hAnsi="Times New Roman" w:cs="Times New Roman"/>
                <w:color w:val="000000"/>
                <w:kern w:val="0"/>
                <w:sz w:val="26"/>
                <w:szCs w:val="26"/>
                <w:lang w:eastAsia="en-IN"/>
                <w14:ligatures w14:val="none"/>
              </w:rPr>
            </w:pPr>
            <w:r w:rsidRPr="00CE207C">
              <w:rPr>
                <w:rFonts w:ascii="Times New Roman" w:eastAsia="Times New Roman" w:hAnsi="Times New Roman" w:cs="Times New Roman"/>
                <w:color w:val="000000"/>
                <w:kern w:val="0"/>
                <w:sz w:val="26"/>
                <w:szCs w:val="26"/>
                <w:lang w:eastAsia="en-IN"/>
                <w14:ligatures w14:val="none"/>
              </w:rPr>
              <w:t>1,42,423</w:t>
            </w:r>
          </w:p>
        </w:tc>
        <w:tc>
          <w:tcPr>
            <w:tcW w:w="3539" w:type="dxa"/>
            <w:tcBorders>
              <w:top w:val="nil"/>
              <w:left w:val="nil"/>
              <w:bottom w:val="single" w:sz="4" w:space="0" w:color="auto"/>
              <w:right w:val="single" w:sz="4" w:space="0" w:color="auto"/>
            </w:tcBorders>
            <w:vAlign w:val="center"/>
            <w:hideMark/>
          </w:tcPr>
          <w:p w14:paraId="24F068C2" w14:textId="77777777" w:rsidR="00CE207C" w:rsidRPr="00CE207C" w:rsidRDefault="00CE207C" w:rsidP="00CE207C">
            <w:pPr>
              <w:spacing w:after="0" w:line="240" w:lineRule="auto"/>
              <w:jc w:val="center"/>
              <w:rPr>
                <w:rFonts w:ascii="Times New Roman" w:eastAsia="Times New Roman" w:hAnsi="Times New Roman" w:cs="Times New Roman"/>
                <w:color w:val="000000"/>
                <w:kern w:val="0"/>
                <w:sz w:val="26"/>
                <w:szCs w:val="26"/>
                <w:lang w:eastAsia="en-IN"/>
                <w14:ligatures w14:val="none"/>
              </w:rPr>
            </w:pPr>
            <w:r w:rsidRPr="00CE207C">
              <w:rPr>
                <w:rFonts w:ascii="Times New Roman" w:eastAsia="Times New Roman" w:hAnsi="Times New Roman" w:cs="Times New Roman"/>
                <w:color w:val="000000"/>
                <w:kern w:val="0"/>
                <w:sz w:val="26"/>
                <w:szCs w:val="26"/>
                <w:lang w:eastAsia="en-IN"/>
                <w14:ligatures w14:val="none"/>
              </w:rPr>
              <w:t>1,43,037</w:t>
            </w:r>
          </w:p>
        </w:tc>
      </w:tr>
      <w:tr w:rsidR="00CE207C" w:rsidRPr="00CE207C" w14:paraId="474D5828" w14:textId="77777777" w:rsidTr="00CE207C">
        <w:trPr>
          <w:trHeight w:val="20"/>
        </w:trPr>
        <w:tc>
          <w:tcPr>
            <w:tcW w:w="3397" w:type="dxa"/>
            <w:tcBorders>
              <w:top w:val="nil"/>
              <w:left w:val="single" w:sz="4" w:space="0" w:color="auto"/>
              <w:bottom w:val="single" w:sz="4" w:space="0" w:color="auto"/>
              <w:right w:val="single" w:sz="4" w:space="0" w:color="auto"/>
            </w:tcBorders>
            <w:vAlign w:val="center"/>
            <w:hideMark/>
          </w:tcPr>
          <w:p w14:paraId="461C4DA9" w14:textId="77777777" w:rsidR="00CE207C" w:rsidRPr="00CE207C" w:rsidRDefault="00CE207C" w:rsidP="00CE207C">
            <w:pPr>
              <w:spacing w:after="0" w:line="240" w:lineRule="auto"/>
              <w:rPr>
                <w:rFonts w:ascii="Times New Roman" w:eastAsia="Times New Roman" w:hAnsi="Times New Roman" w:cs="Times New Roman"/>
                <w:color w:val="000000"/>
                <w:kern w:val="0"/>
                <w:sz w:val="26"/>
                <w:szCs w:val="26"/>
                <w:lang w:eastAsia="en-IN"/>
                <w14:ligatures w14:val="none"/>
              </w:rPr>
            </w:pPr>
            <w:r w:rsidRPr="00CE207C">
              <w:rPr>
                <w:rFonts w:ascii="Times New Roman" w:eastAsia="Times New Roman" w:hAnsi="Times New Roman" w:cs="Times New Roman"/>
                <w:color w:val="000000"/>
                <w:kern w:val="0"/>
                <w:sz w:val="26"/>
                <w:szCs w:val="26"/>
                <w:lang w:eastAsia="en-IN"/>
                <w14:ligatures w14:val="none"/>
              </w:rPr>
              <w:t>18. Union Territories</w:t>
            </w:r>
          </w:p>
        </w:tc>
        <w:tc>
          <w:tcPr>
            <w:tcW w:w="2946" w:type="dxa"/>
            <w:tcBorders>
              <w:top w:val="nil"/>
              <w:left w:val="nil"/>
              <w:bottom w:val="single" w:sz="4" w:space="0" w:color="auto"/>
              <w:right w:val="single" w:sz="4" w:space="0" w:color="auto"/>
            </w:tcBorders>
            <w:vAlign w:val="center"/>
            <w:hideMark/>
          </w:tcPr>
          <w:p w14:paraId="46DC28DB" w14:textId="0BEA6B83" w:rsidR="00CE207C" w:rsidRPr="00CE207C" w:rsidRDefault="00CE207C" w:rsidP="00CE207C">
            <w:pPr>
              <w:spacing w:after="0" w:line="240" w:lineRule="auto"/>
              <w:jc w:val="center"/>
              <w:rPr>
                <w:rFonts w:ascii="Aptos" w:eastAsia="Times New Roman" w:hAnsi="Aptos" w:cs="Times New Roman"/>
                <w:color w:val="000000"/>
                <w:kern w:val="0"/>
                <w:sz w:val="26"/>
                <w:szCs w:val="26"/>
                <w:lang w:eastAsia="en-IN"/>
                <w14:ligatures w14:val="none"/>
              </w:rPr>
            </w:pPr>
          </w:p>
        </w:tc>
        <w:tc>
          <w:tcPr>
            <w:tcW w:w="3539" w:type="dxa"/>
            <w:tcBorders>
              <w:top w:val="nil"/>
              <w:left w:val="nil"/>
              <w:bottom w:val="single" w:sz="4" w:space="0" w:color="auto"/>
              <w:right w:val="single" w:sz="4" w:space="0" w:color="auto"/>
            </w:tcBorders>
            <w:vAlign w:val="center"/>
            <w:hideMark/>
          </w:tcPr>
          <w:p w14:paraId="071838F2" w14:textId="3B2B29A7" w:rsidR="00CE207C" w:rsidRPr="00CE207C" w:rsidRDefault="00CE207C" w:rsidP="00CE207C">
            <w:pPr>
              <w:spacing w:after="0" w:line="240" w:lineRule="auto"/>
              <w:jc w:val="center"/>
              <w:rPr>
                <w:rFonts w:ascii="Aptos" w:eastAsia="Times New Roman" w:hAnsi="Aptos" w:cs="Times New Roman"/>
                <w:color w:val="000000"/>
                <w:kern w:val="0"/>
                <w:sz w:val="26"/>
                <w:szCs w:val="26"/>
                <w:lang w:eastAsia="en-IN"/>
                <w14:ligatures w14:val="none"/>
              </w:rPr>
            </w:pPr>
          </w:p>
        </w:tc>
      </w:tr>
      <w:tr w:rsidR="00CE207C" w:rsidRPr="00CE207C" w14:paraId="776B8953" w14:textId="77777777" w:rsidTr="00CE207C">
        <w:trPr>
          <w:trHeight w:val="20"/>
        </w:trPr>
        <w:tc>
          <w:tcPr>
            <w:tcW w:w="3397" w:type="dxa"/>
            <w:tcBorders>
              <w:top w:val="nil"/>
              <w:left w:val="single" w:sz="4" w:space="0" w:color="auto"/>
              <w:bottom w:val="single" w:sz="4" w:space="0" w:color="auto"/>
              <w:right w:val="single" w:sz="4" w:space="0" w:color="auto"/>
            </w:tcBorders>
            <w:vAlign w:val="center"/>
            <w:hideMark/>
          </w:tcPr>
          <w:p w14:paraId="7D3BD1DE" w14:textId="77777777" w:rsidR="00CE207C" w:rsidRPr="00CE207C" w:rsidRDefault="00CE207C" w:rsidP="00CE207C">
            <w:pPr>
              <w:spacing w:after="0" w:line="240" w:lineRule="auto"/>
              <w:rPr>
                <w:rFonts w:ascii="Times New Roman" w:eastAsia="Times New Roman" w:hAnsi="Times New Roman" w:cs="Times New Roman"/>
                <w:color w:val="000000"/>
                <w:kern w:val="0"/>
                <w:sz w:val="26"/>
                <w:szCs w:val="26"/>
                <w:lang w:eastAsia="en-IN"/>
                <w14:ligatures w14:val="none"/>
              </w:rPr>
            </w:pPr>
            <w:r w:rsidRPr="00CE207C">
              <w:rPr>
                <w:rFonts w:ascii="Times New Roman" w:eastAsia="Times New Roman" w:hAnsi="Times New Roman" w:cs="Times New Roman"/>
                <w:color w:val="000000"/>
                <w:kern w:val="0"/>
                <w:sz w:val="26"/>
                <w:szCs w:val="26"/>
                <w:lang w:eastAsia="en-IN"/>
                <w14:ligatures w14:val="none"/>
              </w:rPr>
              <w:t>(i) Andaman and Nicobar Islands (Port Blair)</w:t>
            </w:r>
          </w:p>
        </w:tc>
        <w:tc>
          <w:tcPr>
            <w:tcW w:w="2946" w:type="dxa"/>
            <w:tcBorders>
              <w:top w:val="nil"/>
              <w:left w:val="nil"/>
              <w:bottom w:val="single" w:sz="4" w:space="0" w:color="auto"/>
              <w:right w:val="single" w:sz="4" w:space="0" w:color="auto"/>
            </w:tcBorders>
            <w:vAlign w:val="center"/>
            <w:hideMark/>
          </w:tcPr>
          <w:p w14:paraId="7AEF1B98" w14:textId="77777777" w:rsidR="00CE207C" w:rsidRPr="00CE207C" w:rsidRDefault="00CE207C" w:rsidP="00CE207C">
            <w:pPr>
              <w:spacing w:after="0" w:line="240" w:lineRule="auto"/>
              <w:jc w:val="center"/>
              <w:rPr>
                <w:rFonts w:ascii="Times New Roman" w:eastAsia="Times New Roman" w:hAnsi="Times New Roman" w:cs="Times New Roman"/>
                <w:color w:val="000000"/>
                <w:kern w:val="0"/>
                <w:sz w:val="26"/>
                <w:szCs w:val="26"/>
                <w:lang w:eastAsia="en-IN"/>
                <w14:ligatures w14:val="none"/>
              </w:rPr>
            </w:pPr>
            <w:r w:rsidRPr="00CE207C">
              <w:rPr>
                <w:rFonts w:ascii="Times New Roman" w:eastAsia="Times New Roman" w:hAnsi="Times New Roman" w:cs="Times New Roman"/>
                <w:color w:val="000000"/>
                <w:kern w:val="0"/>
                <w:sz w:val="26"/>
                <w:szCs w:val="26"/>
                <w:lang w:eastAsia="en-IN"/>
                <w14:ligatures w14:val="none"/>
              </w:rPr>
              <w:t>219</w:t>
            </w:r>
          </w:p>
        </w:tc>
        <w:tc>
          <w:tcPr>
            <w:tcW w:w="3539" w:type="dxa"/>
            <w:tcBorders>
              <w:top w:val="nil"/>
              <w:left w:val="nil"/>
              <w:bottom w:val="single" w:sz="4" w:space="0" w:color="auto"/>
              <w:right w:val="single" w:sz="4" w:space="0" w:color="auto"/>
            </w:tcBorders>
            <w:vAlign w:val="center"/>
            <w:hideMark/>
          </w:tcPr>
          <w:p w14:paraId="4202906D" w14:textId="77777777" w:rsidR="00CE207C" w:rsidRPr="00CE207C" w:rsidRDefault="00CE207C" w:rsidP="00CE207C">
            <w:pPr>
              <w:spacing w:after="0" w:line="240" w:lineRule="auto"/>
              <w:jc w:val="center"/>
              <w:rPr>
                <w:rFonts w:ascii="Times New Roman" w:eastAsia="Times New Roman" w:hAnsi="Times New Roman" w:cs="Times New Roman"/>
                <w:color w:val="000000"/>
                <w:kern w:val="0"/>
                <w:sz w:val="26"/>
                <w:szCs w:val="26"/>
                <w:lang w:eastAsia="en-IN"/>
                <w14:ligatures w14:val="none"/>
              </w:rPr>
            </w:pPr>
            <w:r w:rsidRPr="00CE207C">
              <w:rPr>
                <w:rFonts w:ascii="Times New Roman" w:eastAsia="Times New Roman" w:hAnsi="Times New Roman" w:cs="Times New Roman"/>
                <w:color w:val="000000"/>
                <w:kern w:val="0"/>
                <w:sz w:val="26"/>
                <w:szCs w:val="26"/>
                <w:lang w:eastAsia="en-IN"/>
                <w14:ligatures w14:val="none"/>
              </w:rPr>
              <w:t>160</w:t>
            </w:r>
          </w:p>
        </w:tc>
      </w:tr>
      <w:tr w:rsidR="00CE207C" w:rsidRPr="00CE207C" w14:paraId="4CDC297F" w14:textId="77777777" w:rsidTr="00CE207C">
        <w:trPr>
          <w:trHeight w:val="20"/>
        </w:trPr>
        <w:tc>
          <w:tcPr>
            <w:tcW w:w="3397" w:type="dxa"/>
            <w:tcBorders>
              <w:top w:val="nil"/>
              <w:left w:val="single" w:sz="4" w:space="0" w:color="auto"/>
              <w:bottom w:val="single" w:sz="4" w:space="0" w:color="auto"/>
              <w:right w:val="single" w:sz="4" w:space="0" w:color="auto"/>
            </w:tcBorders>
            <w:vAlign w:val="center"/>
            <w:hideMark/>
          </w:tcPr>
          <w:p w14:paraId="73802C49" w14:textId="77777777" w:rsidR="00CE207C" w:rsidRPr="00CE207C" w:rsidRDefault="00CE207C" w:rsidP="00CE207C">
            <w:pPr>
              <w:spacing w:after="0" w:line="240" w:lineRule="auto"/>
              <w:rPr>
                <w:rFonts w:ascii="Times New Roman" w:eastAsia="Times New Roman" w:hAnsi="Times New Roman" w:cs="Times New Roman"/>
                <w:color w:val="000000"/>
                <w:kern w:val="0"/>
                <w:sz w:val="26"/>
                <w:szCs w:val="26"/>
                <w:lang w:eastAsia="en-IN"/>
                <w14:ligatures w14:val="none"/>
              </w:rPr>
            </w:pPr>
            <w:r w:rsidRPr="00CE207C">
              <w:rPr>
                <w:rFonts w:ascii="Times New Roman" w:eastAsia="Times New Roman" w:hAnsi="Times New Roman" w:cs="Times New Roman"/>
                <w:color w:val="000000"/>
                <w:kern w:val="0"/>
                <w:sz w:val="26"/>
                <w:szCs w:val="26"/>
                <w:lang w:eastAsia="en-IN"/>
                <w14:ligatures w14:val="none"/>
              </w:rPr>
              <w:t>(ii) Chandigarh</w:t>
            </w:r>
          </w:p>
        </w:tc>
        <w:tc>
          <w:tcPr>
            <w:tcW w:w="2946" w:type="dxa"/>
            <w:tcBorders>
              <w:top w:val="nil"/>
              <w:left w:val="nil"/>
              <w:bottom w:val="single" w:sz="4" w:space="0" w:color="auto"/>
              <w:right w:val="single" w:sz="4" w:space="0" w:color="auto"/>
            </w:tcBorders>
            <w:vAlign w:val="center"/>
            <w:hideMark/>
          </w:tcPr>
          <w:p w14:paraId="172FE588" w14:textId="77777777" w:rsidR="00CE207C" w:rsidRPr="00CE207C" w:rsidRDefault="00CE207C" w:rsidP="00CE207C">
            <w:pPr>
              <w:spacing w:after="0" w:line="240" w:lineRule="auto"/>
              <w:jc w:val="center"/>
              <w:rPr>
                <w:rFonts w:ascii="Times New Roman" w:eastAsia="Times New Roman" w:hAnsi="Times New Roman" w:cs="Times New Roman"/>
                <w:color w:val="000000"/>
                <w:kern w:val="0"/>
                <w:sz w:val="26"/>
                <w:szCs w:val="26"/>
                <w:lang w:eastAsia="en-IN"/>
                <w14:ligatures w14:val="none"/>
              </w:rPr>
            </w:pPr>
            <w:r w:rsidRPr="00CE207C">
              <w:rPr>
                <w:rFonts w:ascii="Times New Roman" w:eastAsia="Times New Roman" w:hAnsi="Times New Roman" w:cs="Times New Roman"/>
                <w:color w:val="000000"/>
                <w:kern w:val="0"/>
                <w:sz w:val="26"/>
                <w:szCs w:val="26"/>
                <w:lang w:eastAsia="en-IN"/>
                <w14:ligatures w14:val="none"/>
              </w:rPr>
              <w:t>525</w:t>
            </w:r>
          </w:p>
        </w:tc>
        <w:tc>
          <w:tcPr>
            <w:tcW w:w="3539" w:type="dxa"/>
            <w:tcBorders>
              <w:top w:val="nil"/>
              <w:left w:val="nil"/>
              <w:bottom w:val="single" w:sz="4" w:space="0" w:color="auto"/>
              <w:right w:val="single" w:sz="4" w:space="0" w:color="auto"/>
            </w:tcBorders>
            <w:vAlign w:val="center"/>
            <w:hideMark/>
          </w:tcPr>
          <w:p w14:paraId="2385535F" w14:textId="77777777" w:rsidR="00CE207C" w:rsidRPr="00CE207C" w:rsidRDefault="00CE207C" w:rsidP="00CE207C">
            <w:pPr>
              <w:spacing w:after="0" w:line="240" w:lineRule="auto"/>
              <w:jc w:val="center"/>
              <w:rPr>
                <w:rFonts w:ascii="Times New Roman" w:eastAsia="Times New Roman" w:hAnsi="Times New Roman" w:cs="Times New Roman"/>
                <w:color w:val="000000"/>
                <w:kern w:val="0"/>
                <w:sz w:val="26"/>
                <w:szCs w:val="26"/>
                <w:lang w:eastAsia="en-IN"/>
                <w14:ligatures w14:val="none"/>
              </w:rPr>
            </w:pPr>
            <w:r w:rsidRPr="00CE207C">
              <w:rPr>
                <w:rFonts w:ascii="Times New Roman" w:eastAsia="Times New Roman" w:hAnsi="Times New Roman" w:cs="Times New Roman"/>
                <w:color w:val="000000"/>
                <w:kern w:val="0"/>
                <w:sz w:val="26"/>
                <w:szCs w:val="26"/>
                <w:lang w:eastAsia="en-IN"/>
                <w14:ligatures w14:val="none"/>
              </w:rPr>
              <w:t>544</w:t>
            </w:r>
          </w:p>
        </w:tc>
      </w:tr>
      <w:tr w:rsidR="00CE207C" w:rsidRPr="00CE207C" w14:paraId="6892AA63" w14:textId="77777777" w:rsidTr="00CE207C">
        <w:trPr>
          <w:trHeight w:val="20"/>
        </w:trPr>
        <w:tc>
          <w:tcPr>
            <w:tcW w:w="3397" w:type="dxa"/>
            <w:tcBorders>
              <w:top w:val="nil"/>
              <w:left w:val="single" w:sz="4" w:space="0" w:color="auto"/>
              <w:bottom w:val="single" w:sz="4" w:space="0" w:color="auto"/>
              <w:right w:val="single" w:sz="4" w:space="0" w:color="auto"/>
            </w:tcBorders>
            <w:vAlign w:val="center"/>
            <w:hideMark/>
          </w:tcPr>
          <w:p w14:paraId="3530B9A4" w14:textId="77777777" w:rsidR="00CE207C" w:rsidRPr="00CE207C" w:rsidRDefault="00CE207C" w:rsidP="00CE207C">
            <w:pPr>
              <w:spacing w:after="0" w:line="240" w:lineRule="auto"/>
              <w:rPr>
                <w:rFonts w:ascii="Times New Roman" w:eastAsia="Times New Roman" w:hAnsi="Times New Roman" w:cs="Times New Roman"/>
                <w:color w:val="000000"/>
                <w:kern w:val="0"/>
                <w:sz w:val="26"/>
                <w:szCs w:val="26"/>
                <w:lang w:eastAsia="en-IN"/>
                <w14:ligatures w14:val="none"/>
              </w:rPr>
            </w:pPr>
            <w:r w:rsidRPr="00CE207C">
              <w:rPr>
                <w:rFonts w:ascii="Times New Roman" w:eastAsia="Times New Roman" w:hAnsi="Times New Roman" w:cs="Times New Roman"/>
                <w:color w:val="000000"/>
                <w:kern w:val="0"/>
                <w:sz w:val="26"/>
                <w:szCs w:val="26"/>
                <w:lang w:eastAsia="en-IN"/>
                <w14:ligatures w14:val="none"/>
              </w:rPr>
              <w:t>(iii) Delhi</w:t>
            </w:r>
          </w:p>
        </w:tc>
        <w:tc>
          <w:tcPr>
            <w:tcW w:w="2946" w:type="dxa"/>
            <w:tcBorders>
              <w:top w:val="nil"/>
              <w:left w:val="nil"/>
              <w:bottom w:val="single" w:sz="4" w:space="0" w:color="auto"/>
              <w:right w:val="single" w:sz="4" w:space="0" w:color="auto"/>
            </w:tcBorders>
            <w:vAlign w:val="center"/>
            <w:hideMark/>
          </w:tcPr>
          <w:p w14:paraId="294E8D84" w14:textId="77777777" w:rsidR="00CE207C" w:rsidRPr="00CE207C" w:rsidRDefault="00CE207C" w:rsidP="00CE207C">
            <w:pPr>
              <w:spacing w:after="0" w:line="240" w:lineRule="auto"/>
              <w:jc w:val="center"/>
              <w:rPr>
                <w:rFonts w:ascii="Times New Roman" w:eastAsia="Times New Roman" w:hAnsi="Times New Roman" w:cs="Times New Roman"/>
                <w:color w:val="000000"/>
                <w:kern w:val="0"/>
                <w:sz w:val="26"/>
                <w:szCs w:val="26"/>
                <w:lang w:eastAsia="en-IN"/>
                <w14:ligatures w14:val="none"/>
              </w:rPr>
            </w:pPr>
            <w:r w:rsidRPr="00CE207C">
              <w:rPr>
                <w:rFonts w:ascii="Times New Roman" w:eastAsia="Times New Roman" w:hAnsi="Times New Roman" w:cs="Times New Roman"/>
                <w:color w:val="000000"/>
                <w:kern w:val="0"/>
                <w:sz w:val="26"/>
                <w:szCs w:val="26"/>
                <w:lang w:eastAsia="en-IN"/>
                <w14:ligatures w14:val="none"/>
              </w:rPr>
              <w:t>24,449</w:t>
            </w:r>
          </w:p>
        </w:tc>
        <w:tc>
          <w:tcPr>
            <w:tcW w:w="3539" w:type="dxa"/>
            <w:tcBorders>
              <w:top w:val="nil"/>
              <w:left w:val="nil"/>
              <w:bottom w:val="single" w:sz="4" w:space="0" w:color="auto"/>
              <w:right w:val="single" w:sz="4" w:space="0" w:color="auto"/>
            </w:tcBorders>
            <w:vAlign w:val="center"/>
            <w:hideMark/>
          </w:tcPr>
          <w:p w14:paraId="4597B8A0" w14:textId="77777777" w:rsidR="00CE207C" w:rsidRPr="00CE207C" w:rsidRDefault="00CE207C" w:rsidP="00CE207C">
            <w:pPr>
              <w:spacing w:after="0" w:line="240" w:lineRule="auto"/>
              <w:jc w:val="center"/>
              <w:rPr>
                <w:rFonts w:ascii="Times New Roman" w:eastAsia="Times New Roman" w:hAnsi="Times New Roman" w:cs="Times New Roman"/>
                <w:color w:val="000000"/>
                <w:kern w:val="0"/>
                <w:sz w:val="26"/>
                <w:szCs w:val="26"/>
                <w:lang w:eastAsia="en-IN"/>
                <w14:ligatures w14:val="none"/>
              </w:rPr>
            </w:pPr>
            <w:r w:rsidRPr="00CE207C">
              <w:rPr>
                <w:rFonts w:ascii="Times New Roman" w:eastAsia="Times New Roman" w:hAnsi="Times New Roman" w:cs="Times New Roman"/>
                <w:color w:val="000000"/>
                <w:kern w:val="0"/>
                <w:sz w:val="26"/>
                <w:szCs w:val="26"/>
                <w:lang w:eastAsia="en-IN"/>
                <w14:ligatures w14:val="none"/>
              </w:rPr>
              <w:t>25,243</w:t>
            </w:r>
          </w:p>
        </w:tc>
      </w:tr>
      <w:tr w:rsidR="00CE207C" w:rsidRPr="00CE207C" w14:paraId="1A71699B" w14:textId="77777777" w:rsidTr="00CE207C">
        <w:trPr>
          <w:trHeight w:val="20"/>
        </w:trPr>
        <w:tc>
          <w:tcPr>
            <w:tcW w:w="3397" w:type="dxa"/>
            <w:tcBorders>
              <w:top w:val="nil"/>
              <w:left w:val="single" w:sz="4" w:space="0" w:color="auto"/>
              <w:bottom w:val="single" w:sz="4" w:space="0" w:color="auto"/>
              <w:right w:val="single" w:sz="4" w:space="0" w:color="auto"/>
            </w:tcBorders>
            <w:vAlign w:val="center"/>
            <w:hideMark/>
          </w:tcPr>
          <w:p w14:paraId="5D9F971E" w14:textId="77777777" w:rsidR="00CE207C" w:rsidRPr="00CE207C" w:rsidRDefault="00CE207C" w:rsidP="00CE207C">
            <w:pPr>
              <w:spacing w:after="0" w:line="240" w:lineRule="auto"/>
              <w:rPr>
                <w:rFonts w:ascii="Times New Roman" w:eastAsia="Times New Roman" w:hAnsi="Times New Roman" w:cs="Times New Roman"/>
                <w:color w:val="000000"/>
                <w:kern w:val="0"/>
                <w:sz w:val="26"/>
                <w:szCs w:val="26"/>
                <w:lang w:eastAsia="en-IN"/>
                <w14:ligatures w14:val="none"/>
              </w:rPr>
            </w:pPr>
            <w:r w:rsidRPr="00CE207C">
              <w:rPr>
                <w:rFonts w:ascii="Times New Roman" w:eastAsia="Times New Roman" w:hAnsi="Times New Roman" w:cs="Times New Roman"/>
                <w:color w:val="000000"/>
                <w:kern w:val="0"/>
                <w:sz w:val="26"/>
                <w:szCs w:val="26"/>
                <w:lang w:eastAsia="en-IN"/>
                <w14:ligatures w14:val="none"/>
              </w:rPr>
              <w:t>(iv) Goa (Dabolim)</w:t>
            </w:r>
          </w:p>
        </w:tc>
        <w:tc>
          <w:tcPr>
            <w:tcW w:w="2946" w:type="dxa"/>
            <w:tcBorders>
              <w:top w:val="nil"/>
              <w:left w:val="nil"/>
              <w:bottom w:val="single" w:sz="4" w:space="0" w:color="auto"/>
              <w:right w:val="single" w:sz="4" w:space="0" w:color="auto"/>
            </w:tcBorders>
            <w:vAlign w:val="center"/>
            <w:hideMark/>
          </w:tcPr>
          <w:p w14:paraId="4E753D1A" w14:textId="77777777" w:rsidR="00CE207C" w:rsidRPr="00CE207C" w:rsidRDefault="00CE207C" w:rsidP="00CE207C">
            <w:pPr>
              <w:spacing w:after="0" w:line="240" w:lineRule="auto"/>
              <w:jc w:val="center"/>
              <w:rPr>
                <w:rFonts w:ascii="Times New Roman" w:eastAsia="Times New Roman" w:hAnsi="Times New Roman" w:cs="Times New Roman"/>
                <w:color w:val="000000"/>
                <w:kern w:val="0"/>
                <w:sz w:val="26"/>
                <w:szCs w:val="26"/>
                <w:lang w:eastAsia="en-IN"/>
                <w14:ligatures w14:val="none"/>
              </w:rPr>
            </w:pPr>
            <w:r w:rsidRPr="00CE207C">
              <w:rPr>
                <w:rFonts w:ascii="Times New Roman" w:eastAsia="Times New Roman" w:hAnsi="Times New Roman" w:cs="Times New Roman"/>
                <w:color w:val="000000"/>
                <w:kern w:val="0"/>
                <w:sz w:val="26"/>
                <w:szCs w:val="26"/>
                <w:lang w:eastAsia="en-IN"/>
                <w14:ligatures w14:val="none"/>
              </w:rPr>
              <w:t>1,994</w:t>
            </w:r>
          </w:p>
        </w:tc>
        <w:tc>
          <w:tcPr>
            <w:tcW w:w="3539" w:type="dxa"/>
            <w:tcBorders>
              <w:top w:val="nil"/>
              <w:left w:val="nil"/>
              <w:bottom w:val="single" w:sz="4" w:space="0" w:color="auto"/>
              <w:right w:val="single" w:sz="4" w:space="0" w:color="auto"/>
            </w:tcBorders>
            <w:vAlign w:val="center"/>
            <w:hideMark/>
          </w:tcPr>
          <w:p w14:paraId="02B5FB2C" w14:textId="77777777" w:rsidR="00CE207C" w:rsidRPr="00CE207C" w:rsidRDefault="00CE207C" w:rsidP="00CE207C">
            <w:pPr>
              <w:spacing w:after="0" w:line="240" w:lineRule="auto"/>
              <w:jc w:val="center"/>
              <w:rPr>
                <w:rFonts w:ascii="Times New Roman" w:eastAsia="Times New Roman" w:hAnsi="Times New Roman" w:cs="Times New Roman"/>
                <w:color w:val="000000"/>
                <w:kern w:val="0"/>
                <w:sz w:val="26"/>
                <w:szCs w:val="26"/>
                <w:lang w:eastAsia="en-IN"/>
                <w14:ligatures w14:val="none"/>
              </w:rPr>
            </w:pPr>
            <w:r w:rsidRPr="00CE207C">
              <w:rPr>
                <w:rFonts w:ascii="Times New Roman" w:eastAsia="Times New Roman" w:hAnsi="Times New Roman" w:cs="Times New Roman"/>
                <w:color w:val="000000"/>
                <w:kern w:val="0"/>
                <w:sz w:val="26"/>
                <w:szCs w:val="26"/>
                <w:lang w:eastAsia="en-IN"/>
                <w14:ligatures w14:val="none"/>
              </w:rPr>
              <w:t>1,893</w:t>
            </w:r>
          </w:p>
        </w:tc>
      </w:tr>
      <w:tr w:rsidR="00CE207C" w:rsidRPr="00CE207C" w14:paraId="64127571" w14:textId="77777777" w:rsidTr="00CE207C">
        <w:trPr>
          <w:trHeight w:val="20"/>
        </w:trPr>
        <w:tc>
          <w:tcPr>
            <w:tcW w:w="3397" w:type="dxa"/>
            <w:tcBorders>
              <w:top w:val="nil"/>
              <w:left w:val="single" w:sz="4" w:space="0" w:color="auto"/>
              <w:bottom w:val="single" w:sz="4" w:space="0" w:color="auto"/>
              <w:right w:val="single" w:sz="4" w:space="0" w:color="auto"/>
            </w:tcBorders>
            <w:vAlign w:val="center"/>
            <w:hideMark/>
          </w:tcPr>
          <w:p w14:paraId="0BED0FA5" w14:textId="77777777" w:rsidR="00CE207C" w:rsidRPr="00CE207C" w:rsidRDefault="00CE207C" w:rsidP="00CE207C">
            <w:pPr>
              <w:spacing w:after="0" w:line="240" w:lineRule="auto"/>
              <w:rPr>
                <w:rFonts w:ascii="Times New Roman" w:eastAsia="Times New Roman" w:hAnsi="Times New Roman" w:cs="Times New Roman"/>
                <w:color w:val="000000"/>
                <w:kern w:val="0"/>
                <w:sz w:val="26"/>
                <w:szCs w:val="26"/>
                <w:lang w:eastAsia="en-IN"/>
                <w14:ligatures w14:val="none"/>
              </w:rPr>
            </w:pPr>
            <w:r w:rsidRPr="00CE207C">
              <w:rPr>
                <w:rFonts w:ascii="Times New Roman" w:eastAsia="Times New Roman" w:hAnsi="Times New Roman" w:cs="Times New Roman"/>
                <w:color w:val="000000"/>
                <w:kern w:val="0"/>
                <w:sz w:val="26"/>
                <w:szCs w:val="26"/>
                <w:lang w:eastAsia="en-IN"/>
                <w14:ligatures w14:val="none"/>
              </w:rPr>
              <w:t>(v) Manipur (Imphal)</w:t>
            </w:r>
          </w:p>
        </w:tc>
        <w:tc>
          <w:tcPr>
            <w:tcW w:w="2946" w:type="dxa"/>
            <w:tcBorders>
              <w:top w:val="nil"/>
              <w:left w:val="nil"/>
              <w:bottom w:val="single" w:sz="4" w:space="0" w:color="auto"/>
              <w:right w:val="single" w:sz="4" w:space="0" w:color="auto"/>
            </w:tcBorders>
            <w:vAlign w:val="center"/>
            <w:hideMark/>
          </w:tcPr>
          <w:p w14:paraId="207DD721" w14:textId="77777777" w:rsidR="00CE207C" w:rsidRPr="00CE207C" w:rsidRDefault="00CE207C" w:rsidP="00CE207C">
            <w:pPr>
              <w:spacing w:after="0" w:line="240" w:lineRule="auto"/>
              <w:jc w:val="center"/>
              <w:rPr>
                <w:rFonts w:ascii="Times New Roman" w:eastAsia="Times New Roman" w:hAnsi="Times New Roman" w:cs="Times New Roman"/>
                <w:color w:val="000000"/>
                <w:kern w:val="0"/>
                <w:sz w:val="26"/>
                <w:szCs w:val="26"/>
                <w:lang w:eastAsia="en-IN"/>
                <w14:ligatures w14:val="none"/>
              </w:rPr>
            </w:pPr>
            <w:r w:rsidRPr="00CE207C">
              <w:rPr>
                <w:rFonts w:ascii="Times New Roman" w:eastAsia="Times New Roman" w:hAnsi="Times New Roman" w:cs="Times New Roman"/>
                <w:color w:val="000000"/>
                <w:kern w:val="0"/>
                <w:sz w:val="26"/>
                <w:szCs w:val="26"/>
                <w:lang w:eastAsia="en-IN"/>
                <w14:ligatures w14:val="none"/>
              </w:rPr>
              <w:t>1,586</w:t>
            </w:r>
          </w:p>
        </w:tc>
        <w:tc>
          <w:tcPr>
            <w:tcW w:w="3539" w:type="dxa"/>
            <w:tcBorders>
              <w:top w:val="nil"/>
              <w:left w:val="nil"/>
              <w:bottom w:val="single" w:sz="4" w:space="0" w:color="auto"/>
              <w:right w:val="single" w:sz="4" w:space="0" w:color="auto"/>
            </w:tcBorders>
            <w:vAlign w:val="center"/>
            <w:hideMark/>
          </w:tcPr>
          <w:p w14:paraId="16B2CA95" w14:textId="77777777" w:rsidR="00CE207C" w:rsidRPr="00CE207C" w:rsidRDefault="00CE207C" w:rsidP="00CE207C">
            <w:pPr>
              <w:spacing w:after="0" w:line="240" w:lineRule="auto"/>
              <w:jc w:val="center"/>
              <w:rPr>
                <w:rFonts w:ascii="Times New Roman" w:eastAsia="Times New Roman" w:hAnsi="Times New Roman" w:cs="Times New Roman"/>
                <w:color w:val="000000"/>
                <w:kern w:val="0"/>
                <w:sz w:val="26"/>
                <w:szCs w:val="26"/>
                <w:lang w:eastAsia="en-IN"/>
                <w14:ligatures w14:val="none"/>
              </w:rPr>
            </w:pPr>
            <w:r w:rsidRPr="00CE207C">
              <w:rPr>
                <w:rFonts w:ascii="Times New Roman" w:eastAsia="Times New Roman" w:hAnsi="Times New Roman" w:cs="Times New Roman"/>
                <w:color w:val="000000"/>
                <w:kern w:val="0"/>
                <w:sz w:val="26"/>
                <w:szCs w:val="26"/>
                <w:lang w:eastAsia="en-IN"/>
                <w14:ligatures w14:val="none"/>
              </w:rPr>
              <w:t>1,372</w:t>
            </w:r>
          </w:p>
        </w:tc>
      </w:tr>
      <w:tr w:rsidR="00CE207C" w:rsidRPr="00CE207C" w14:paraId="5BFECF8A" w14:textId="77777777" w:rsidTr="00CE207C">
        <w:trPr>
          <w:trHeight w:val="20"/>
        </w:trPr>
        <w:tc>
          <w:tcPr>
            <w:tcW w:w="3397" w:type="dxa"/>
            <w:tcBorders>
              <w:top w:val="nil"/>
              <w:left w:val="single" w:sz="4" w:space="0" w:color="auto"/>
              <w:bottom w:val="single" w:sz="4" w:space="0" w:color="auto"/>
              <w:right w:val="single" w:sz="4" w:space="0" w:color="auto"/>
            </w:tcBorders>
            <w:vAlign w:val="center"/>
            <w:hideMark/>
          </w:tcPr>
          <w:p w14:paraId="33305C8C" w14:textId="77777777" w:rsidR="00CE207C" w:rsidRPr="00CE207C" w:rsidRDefault="00CE207C" w:rsidP="00CE207C">
            <w:pPr>
              <w:spacing w:after="0" w:line="240" w:lineRule="auto"/>
              <w:rPr>
                <w:rFonts w:ascii="Times New Roman" w:eastAsia="Times New Roman" w:hAnsi="Times New Roman" w:cs="Times New Roman"/>
                <w:color w:val="000000"/>
                <w:kern w:val="0"/>
                <w:sz w:val="26"/>
                <w:szCs w:val="26"/>
                <w:lang w:eastAsia="en-IN"/>
                <w14:ligatures w14:val="none"/>
              </w:rPr>
            </w:pPr>
            <w:r w:rsidRPr="00CE207C">
              <w:rPr>
                <w:rFonts w:ascii="Times New Roman" w:eastAsia="Times New Roman" w:hAnsi="Times New Roman" w:cs="Times New Roman"/>
                <w:color w:val="000000"/>
                <w:kern w:val="0"/>
                <w:sz w:val="26"/>
                <w:szCs w:val="26"/>
                <w:lang w:eastAsia="en-IN"/>
                <w14:ligatures w14:val="none"/>
              </w:rPr>
              <w:t>(vi) Tripura</w:t>
            </w:r>
          </w:p>
        </w:tc>
        <w:tc>
          <w:tcPr>
            <w:tcW w:w="2946" w:type="dxa"/>
            <w:tcBorders>
              <w:top w:val="nil"/>
              <w:left w:val="nil"/>
              <w:bottom w:val="single" w:sz="4" w:space="0" w:color="auto"/>
              <w:right w:val="single" w:sz="4" w:space="0" w:color="auto"/>
            </w:tcBorders>
            <w:vAlign w:val="center"/>
            <w:hideMark/>
          </w:tcPr>
          <w:p w14:paraId="615B414C" w14:textId="77777777" w:rsidR="00CE207C" w:rsidRPr="00CE207C" w:rsidRDefault="00CE207C" w:rsidP="00CE207C">
            <w:pPr>
              <w:spacing w:after="0" w:line="240" w:lineRule="auto"/>
              <w:jc w:val="center"/>
              <w:rPr>
                <w:rFonts w:ascii="Times New Roman" w:eastAsia="Times New Roman" w:hAnsi="Times New Roman" w:cs="Times New Roman"/>
                <w:color w:val="000000"/>
                <w:kern w:val="0"/>
                <w:sz w:val="26"/>
                <w:szCs w:val="26"/>
                <w:lang w:eastAsia="en-IN"/>
                <w14:ligatures w14:val="none"/>
              </w:rPr>
            </w:pPr>
            <w:r w:rsidRPr="00CE207C">
              <w:rPr>
                <w:rFonts w:ascii="Times New Roman" w:eastAsia="Times New Roman" w:hAnsi="Times New Roman" w:cs="Times New Roman"/>
                <w:color w:val="000000"/>
                <w:kern w:val="0"/>
                <w:sz w:val="26"/>
                <w:szCs w:val="26"/>
                <w:lang w:eastAsia="en-IN"/>
                <w14:ligatures w14:val="none"/>
              </w:rPr>
              <w:t>5,041</w:t>
            </w:r>
          </w:p>
        </w:tc>
        <w:tc>
          <w:tcPr>
            <w:tcW w:w="3539" w:type="dxa"/>
            <w:tcBorders>
              <w:top w:val="nil"/>
              <w:left w:val="nil"/>
              <w:bottom w:val="single" w:sz="4" w:space="0" w:color="auto"/>
              <w:right w:val="single" w:sz="4" w:space="0" w:color="auto"/>
            </w:tcBorders>
            <w:vAlign w:val="center"/>
            <w:hideMark/>
          </w:tcPr>
          <w:p w14:paraId="04E4E3AB" w14:textId="77777777" w:rsidR="00CE207C" w:rsidRPr="00CE207C" w:rsidRDefault="00CE207C" w:rsidP="00CE207C">
            <w:pPr>
              <w:spacing w:after="0" w:line="240" w:lineRule="auto"/>
              <w:jc w:val="center"/>
              <w:rPr>
                <w:rFonts w:ascii="Times New Roman" w:eastAsia="Times New Roman" w:hAnsi="Times New Roman" w:cs="Times New Roman"/>
                <w:color w:val="000000"/>
                <w:kern w:val="0"/>
                <w:sz w:val="26"/>
                <w:szCs w:val="26"/>
                <w:lang w:eastAsia="en-IN"/>
                <w14:ligatures w14:val="none"/>
              </w:rPr>
            </w:pPr>
            <w:r w:rsidRPr="00CE207C">
              <w:rPr>
                <w:rFonts w:ascii="Times New Roman" w:eastAsia="Times New Roman" w:hAnsi="Times New Roman" w:cs="Times New Roman"/>
                <w:color w:val="000000"/>
                <w:kern w:val="0"/>
                <w:sz w:val="26"/>
                <w:szCs w:val="26"/>
                <w:lang w:eastAsia="en-IN"/>
                <w14:ligatures w14:val="none"/>
              </w:rPr>
              <w:t>4,191</w:t>
            </w:r>
          </w:p>
        </w:tc>
      </w:tr>
      <w:tr w:rsidR="00CE207C" w:rsidRPr="00CE207C" w14:paraId="6BF2CAF6" w14:textId="77777777" w:rsidTr="00CE207C">
        <w:trPr>
          <w:trHeight w:val="20"/>
        </w:trPr>
        <w:tc>
          <w:tcPr>
            <w:tcW w:w="3397" w:type="dxa"/>
            <w:tcBorders>
              <w:top w:val="nil"/>
              <w:left w:val="single" w:sz="4" w:space="0" w:color="auto"/>
              <w:bottom w:val="single" w:sz="4" w:space="0" w:color="auto"/>
              <w:right w:val="single" w:sz="4" w:space="0" w:color="auto"/>
            </w:tcBorders>
            <w:vAlign w:val="center"/>
            <w:hideMark/>
          </w:tcPr>
          <w:p w14:paraId="596CD8B8" w14:textId="77777777" w:rsidR="00CE207C" w:rsidRPr="00CE207C" w:rsidRDefault="00CE207C" w:rsidP="00CE207C">
            <w:pPr>
              <w:spacing w:after="0" w:line="240" w:lineRule="auto"/>
              <w:rPr>
                <w:rFonts w:ascii="Times New Roman" w:eastAsia="Times New Roman" w:hAnsi="Times New Roman" w:cs="Times New Roman"/>
                <w:color w:val="000000"/>
                <w:kern w:val="0"/>
                <w:sz w:val="26"/>
                <w:szCs w:val="26"/>
                <w:lang w:eastAsia="en-IN"/>
                <w14:ligatures w14:val="none"/>
              </w:rPr>
            </w:pPr>
            <w:r w:rsidRPr="00CE207C">
              <w:rPr>
                <w:rFonts w:ascii="Times New Roman" w:eastAsia="Times New Roman" w:hAnsi="Times New Roman" w:cs="Times New Roman"/>
                <w:color w:val="000000"/>
                <w:kern w:val="0"/>
                <w:sz w:val="26"/>
                <w:szCs w:val="26"/>
                <w:lang w:eastAsia="en-IN"/>
                <w14:ligatures w14:val="none"/>
              </w:rPr>
              <w:t>    Agartala</w:t>
            </w:r>
          </w:p>
        </w:tc>
        <w:tc>
          <w:tcPr>
            <w:tcW w:w="2946" w:type="dxa"/>
            <w:tcBorders>
              <w:top w:val="nil"/>
              <w:left w:val="nil"/>
              <w:bottom w:val="single" w:sz="4" w:space="0" w:color="auto"/>
              <w:right w:val="single" w:sz="4" w:space="0" w:color="auto"/>
            </w:tcBorders>
            <w:vAlign w:val="center"/>
            <w:hideMark/>
          </w:tcPr>
          <w:p w14:paraId="3FC2E0C9" w14:textId="77777777" w:rsidR="00CE207C" w:rsidRPr="00CE207C" w:rsidRDefault="00CE207C" w:rsidP="00CE207C">
            <w:pPr>
              <w:spacing w:after="0" w:line="240" w:lineRule="auto"/>
              <w:jc w:val="center"/>
              <w:rPr>
                <w:rFonts w:ascii="Times New Roman" w:eastAsia="Times New Roman" w:hAnsi="Times New Roman" w:cs="Times New Roman"/>
                <w:color w:val="000000"/>
                <w:kern w:val="0"/>
                <w:sz w:val="26"/>
                <w:szCs w:val="26"/>
                <w:lang w:eastAsia="en-IN"/>
                <w14:ligatures w14:val="none"/>
              </w:rPr>
            </w:pPr>
            <w:r w:rsidRPr="00CE207C">
              <w:rPr>
                <w:rFonts w:ascii="Times New Roman" w:eastAsia="Times New Roman" w:hAnsi="Times New Roman" w:cs="Times New Roman"/>
                <w:color w:val="000000"/>
                <w:kern w:val="0"/>
                <w:sz w:val="26"/>
                <w:szCs w:val="26"/>
                <w:lang w:eastAsia="en-IN"/>
                <w14:ligatures w14:val="none"/>
              </w:rPr>
              <w:t>3,996</w:t>
            </w:r>
          </w:p>
        </w:tc>
        <w:tc>
          <w:tcPr>
            <w:tcW w:w="3539" w:type="dxa"/>
            <w:tcBorders>
              <w:top w:val="nil"/>
              <w:left w:val="nil"/>
              <w:bottom w:val="single" w:sz="4" w:space="0" w:color="auto"/>
              <w:right w:val="single" w:sz="4" w:space="0" w:color="auto"/>
            </w:tcBorders>
            <w:vAlign w:val="center"/>
            <w:hideMark/>
          </w:tcPr>
          <w:p w14:paraId="323665F9" w14:textId="77777777" w:rsidR="00CE207C" w:rsidRPr="00CE207C" w:rsidRDefault="00CE207C" w:rsidP="00CE207C">
            <w:pPr>
              <w:spacing w:after="0" w:line="240" w:lineRule="auto"/>
              <w:jc w:val="center"/>
              <w:rPr>
                <w:rFonts w:ascii="Times New Roman" w:eastAsia="Times New Roman" w:hAnsi="Times New Roman" w:cs="Times New Roman"/>
                <w:color w:val="000000"/>
                <w:kern w:val="0"/>
                <w:sz w:val="26"/>
                <w:szCs w:val="26"/>
                <w:lang w:eastAsia="en-IN"/>
                <w14:ligatures w14:val="none"/>
              </w:rPr>
            </w:pPr>
            <w:r w:rsidRPr="00CE207C">
              <w:rPr>
                <w:rFonts w:ascii="Times New Roman" w:eastAsia="Times New Roman" w:hAnsi="Times New Roman" w:cs="Times New Roman"/>
                <w:color w:val="000000"/>
                <w:kern w:val="0"/>
                <w:sz w:val="26"/>
                <w:szCs w:val="26"/>
                <w:lang w:eastAsia="en-IN"/>
                <w14:ligatures w14:val="none"/>
              </w:rPr>
              <w:t>3,313</w:t>
            </w:r>
          </w:p>
        </w:tc>
      </w:tr>
      <w:tr w:rsidR="00CE207C" w:rsidRPr="00CE207C" w14:paraId="025D854F" w14:textId="77777777" w:rsidTr="00CE207C">
        <w:trPr>
          <w:trHeight w:val="20"/>
        </w:trPr>
        <w:tc>
          <w:tcPr>
            <w:tcW w:w="3397" w:type="dxa"/>
            <w:tcBorders>
              <w:top w:val="nil"/>
              <w:left w:val="single" w:sz="4" w:space="0" w:color="auto"/>
              <w:bottom w:val="single" w:sz="4" w:space="0" w:color="auto"/>
              <w:right w:val="single" w:sz="4" w:space="0" w:color="auto"/>
            </w:tcBorders>
            <w:vAlign w:val="center"/>
            <w:hideMark/>
          </w:tcPr>
          <w:p w14:paraId="5C612079" w14:textId="77777777" w:rsidR="00CE207C" w:rsidRPr="00CE207C" w:rsidRDefault="00CE207C" w:rsidP="00CE207C">
            <w:pPr>
              <w:spacing w:after="0" w:line="240" w:lineRule="auto"/>
              <w:rPr>
                <w:rFonts w:ascii="Times New Roman" w:eastAsia="Times New Roman" w:hAnsi="Times New Roman" w:cs="Times New Roman"/>
                <w:color w:val="000000"/>
                <w:kern w:val="0"/>
                <w:sz w:val="26"/>
                <w:szCs w:val="26"/>
                <w:lang w:eastAsia="en-IN"/>
                <w14:ligatures w14:val="none"/>
              </w:rPr>
            </w:pPr>
            <w:r w:rsidRPr="00CE207C">
              <w:rPr>
                <w:rFonts w:ascii="Times New Roman" w:eastAsia="Times New Roman" w:hAnsi="Times New Roman" w:cs="Times New Roman"/>
                <w:color w:val="000000"/>
                <w:kern w:val="0"/>
                <w:sz w:val="26"/>
                <w:szCs w:val="26"/>
                <w:lang w:eastAsia="en-IN"/>
                <w14:ligatures w14:val="none"/>
              </w:rPr>
              <w:t>    Kailashahar</w:t>
            </w:r>
          </w:p>
        </w:tc>
        <w:tc>
          <w:tcPr>
            <w:tcW w:w="2946" w:type="dxa"/>
            <w:tcBorders>
              <w:top w:val="nil"/>
              <w:left w:val="nil"/>
              <w:bottom w:val="single" w:sz="4" w:space="0" w:color="auto"/>
              <w:right w:val="single" w:sz="4" w:space="0" w:color="auto"/>
            </w:tcBorders>
            <w:vAlign w:val="center"/>
            <w:hideMark/>
          </w:tcPr>
          <w:p w14:paraId="1527AB62" w14:textId="77777777" w:rsidR="00CE207C" w:rsidRPr="00CE207C" w:rsidRDefault="00CE207C" w:rsidP="00CE207C">
            <w:pPr>
              <w:spacing w:after="0" w:line="240" w:lineRule="auto"/>
              <w:jc w:val="center"/>
              <w:rPr>
                <w:rFonts w:ascii="Times New Roman" w:eastAsia="Times New Roman" w:hAnsi="Times New Roman" w:cs="Times New Roman"/>
                <w:color w:val="000000"/>
                <w:kern w:val="0"/>
                <w:sz w:val="26"/>
                <w:szCs w:val="26"/>
                <w:lang w:eastAsia="en-IN"/>
                <w14:ligatures w14:val="none"/>
              </w:rPr>
            </w:pPr>
            <w:r w:rsidRPr="00CE207C">
              <w:rPr>
                <w:rFonts w:ascii="Times New Roman" w:eastAsia="Times New Roman" w:hAnsi="Times New Roman" w:cs="Times New Roman"/>
                <w:color w:val="000000"/>
                <w:kern w:val="0"/>
                <w:sz w:val="26"/>
                <w:szCs w:val="26"/>
                <w:lang w:eastAsia="en-IN"/>
                <w14:ligatures w14:val="none"/>
              </w:rPr>
              <w:t>714</w:t>
            </w:r>
          </w:p>
        </w:tc>
        <w:tc>
          <w:tcPr>
            <w:tcW w:w="3539" w:type="dxa"/>
            <w:tcBorders>
              <w:top w:val="nil"/>
              <w:left w:val="nil"/>
              <w:bottom w:val="single" w:sz="4" w:space="0" w:color="auto"/>
              <w:right w:val="single" w:sz="4" w:space="0" w:color="auto"/>
            </w:tcBorders>
            <w:vAlign w:val="center"/>
            <w:hideMark/>
          </w:tcPr>
          <w:p w14:paraId="2DE697E2" w14:textId="77777777" w:rsidR="00CE207C" w:rsidRPr="00CE207C" w:rsidRDefault="00CE207C" w:rsidP="00CE207C">
            <w:pPr>
              <w:spacing w:after="0" w:line="240" w:lineRule="auto"/>
              <w:jc w:val="center"/>
              <w:rPr>
                <w:rFonts w:ascii="Times New Roman" w:eastAsia="Times New Roman" w:hAnsi="Times New Roman" w:cs="Times New Roman"/>
                <w:color w:val="000000"/>
                <w:kern w:val="0"/>
                <w:sz w:val="26"/>
                <w:szCs w:val="26"/>
                <w:lang w:eastAsia="en-IN"/>
                <w14:ligatures w14:val="none"/>
              </w:rPr>
            </w:pPr>
            <w:r w:rsidRPr="00CE207C">
              <w:rPr>
                <w:rFonts w:ascii="Times New Roman" w:eastAsia="Times New Roman" w:hAnsi="Times New Roman" w:cs="Times New Roman"/>
                <w:color w:val="000000"/>
                <w:kern w:val="0"/>
                <w:sz w:val="26"/>
                <w:szCs w:val="26"/>
                <w:lang w:eastAsia="en-IN"/>
                <w14:ligatures w14:val="none"/>
              </w:rPr>
              <w:t>691</w:t>
            </w:r>
          </w:p>
        </w:tc>
      </w:tr>
      <w:tr w:rsidR="00CE207C" w:rsidRPr="00CE207C" w14:paraId="70919797" w14:textId="77777777" w:rsidTr="00CE207C">
        <w:trPr>
          <w:trHeight w:val="20"/>
        </w:trPr>
        <w:tc>
          <w:tcPr>
            <w:tcW w:w="3397" w:type="dxa"/>
            <w:tcBorders>
              <w:top w:val="nil"/>
              <w:left w:val="single" w:sz="4" w:space="0" w:color="auto"/>
              <w:bottom w:val="single" w:sz="4" w:space="0" w:color="auto"/>
              <w:right w:val="single" w:sz="4" w:space="0" w:color="auto"/>
            </w:tcBorders>
            <w:vAlign w:val="center"/>
            <w:hideMark/>
          </w:tcPr>
          <w:p w14:paraId="58CFD0C2" w14:textId="77777777" w:rsidR="00CE207C" w:rsidRPr="00CE207C" w:rsidRDefault="00CE207C" w:rsidP="00CE207C">
            <w:pPr>
              <w:spacing w:after="0" w:line="240" w:lineRule="auto"/>
              <w:rPr>
                <w:rFonts w:ascii="Times New Roman" w:eastAsia="Times New Roman" w:hAnsi="Times New Roman" w:cs="Times New Roman"/>
                <w:color w:val="000000"/>
                <w:kern w:val="0"/>
                <w:sz w:val="26"/>
                <w:szCs w:val="26"/>
                <w:lang w:eastAsia="en-IN"/>
                <w14:ligatures w14:val="none"/>
              </w:rPr>
            </w:pPr>
            <w:r w:rsidRPr="00CE207C">
              <w:rPr>
                <w:rFonts w:ascii="Times New Roman" w:eastAsia="Times New Roman" w:hAnsi="Times New Roman" w:cs="Times New Roman"/>
                <w:color w:val="000000"/>
                <w:kern w:val="0"/>
                <w:sz w:val="26"/>
                <w:szCs w:val="26"/>
                <w:lang w:eastAsia="en-IN"/>
                <w14:ligatures w14:val="none"/>
              </w:rPr>
              <w:t>    Khowai</w:t>
            </w:r>
          </w:p>
        </w:tc>
        <w:tc>
          <w:tcPr>
            <w:tcW w:w="2946" w:type="dxa"/>
            <w:tcBorders>
              <w:top w:val="nil"/>
              <w:left w:val="nil"/>
              <w:bottom w:val="single" w:sz="4" w:space="0" w:color="auto"/>
              <w:right w:val="single" w:sz="4" w:space="0" w:color="auto"/>
            </w:tcBorders>
            <w:vAlign w:val="center"/>
            <w:hideMark/>
          </w:tcPr>
          <w:p w14:paraId="37889100" w14:textId="77777777" w:rsidR="00CE207C" w:rsidRPr="00CE207C" w:rsidRDefault="00CE207C" w:rsidP="00CE207C">
            <w:pPr>
              <w:spacing w:after="0" w:line="240" w:lineRule="auto"/>
              <w:jc w:val="center"/>
              <w:rPr>
                <w:rFonts w:ascii="Times New Roman" w:eastAsia="Times New Roman" w:hAnsi="Times New Roman" w:cs="Times New Roman"/>
                <w:color w:val="000000"/>
                <w:kern w:val="0"/>
                <w:sz w:val="26"/>
                <w:szCs w:val="26"/>
                <w:lang w:eastAsia="en-IN"/>
                <w14:ligatures w14:val="none"/>
              </w:rPr>
            </w:pPr>
            <w:r w:rsidRPr="00CE207C">
              <w:rPr>
                <w:rFonts w:ascii="Times New Roman" w:eastAsia="Times New Roman" w:hAnsi="Times New Roman" w:cs="Times New Roman"/>
                <w:color w:val="000000"/>
                <w:kern w:val="0"/>
                <w:sz w:val="26"/>
                <w:szCs w:val="26"/>
                <w:lang w:eastAsia="en-IN"/>
                <w14:ligatures w14:val="none"/>
              </w:rPr>
              <w:t>331</w:t>
            </w:r>
          </w:p>
        </w:tc>
        <w:tc>
          <w:tcPr>
            <w:tcW w:w="3539" w:type="dxa"/>
            <w:tcBorders>
              <w:top w:val="nil"/>
              <w:left w:val="nil"/>
              <w:bottom w:val="single" w:sz="4" w:space="0" w:color="auto"/>
              <w:right w:val="single" w:sz="4" w:space="0" w:color="auto"/>
            </w:tcBorders>
            <w:vAlign w:val="center"/>
            <w:hideMark/>
          </w:tcPr>
          <w:p w14:paraId="0D2F7469" w14:textId="77777777" w:rsidR="00CE207C" w:rsidRPr="00CE207C" w:rsidRDefault="00CE207C" w:rsidP="00CE207C">
            <w:pPr>
              <w:spacing w:after="0" w:line="240" w:lineRule="auto"/>
              <w:jc w:val="center"/>
              <w:rPr>
                <w:rFonts w:ascii="Times New Roman" w:eastAsia="Times New Roman" w:hAnsi="Times New Roman" w:cs="Times New Roman"/>
                <w:color w:val="000000"/>
                <w:kern w:val="0"/>
                <w:sz w:val="26"/>
                <w:szCs w:val="26"/>
                <w:lang w:eastAsia="en-IN"/>
                <w14:ligatures w14:val="none"/>
              </w:rPr>
            </w:pPr>
            <w:r w:rsidRPr="00CE207C">
              <w:rPr>
                <w:rFonts w:ascii="Times New Roman" w:eastAsia="Times New Roman" w:hAnsi="Times New Roman" w:cs="Times New Roman"/>
                <w:color w:val="000000"/>
                <w:kern w:val="0"/>
                <w:sz w:val="26"/>
                <w:szCs w:val="26"/>
                <w:lang w:eastAsia="en-IN"/>
                <w14:ligatures w14:val="none"/>
              </w:rPr>
              <w:t>187</w:t>
            </w:r>
          </w:p>
        </w:tc>
      </w:tr>
      <w:tr w:rsidR="00CE207C" w:rsidRPr="00CE207C" w14:paraId="1285CCF5" w14:textId="77777777" w:rsidTr="00CE207C">
        <w:trPr>
          <w:trHeight w:val="20"/>
        </w:trPr>
        <w:tc>
          <w:tcPr>
            <w:tcW w:w="3397" w:type="dxa"/>
            <w:tcBorders>
              <w:top w:val="nil"/>
              <w:left w:val="single" w:sz="4" w:space="0" w:color="auto"/>
              <w:bottom w:val="single" w:sz="4" w:space="0" w:color="auto"/>
              <w:right w:val="single" w:sz="4" w:space="0" w:color="auto"/>
            </w:tcBorders>
            <w:vAlign w:val="center"/>
            <w:hideMark/>
          </w:tcPr>
          <w:p w14:paraId="1C716595" w14:textId="77777777" w:rsidR="00CE207C" w:rsidRPr="00CE207C" w:rsidRDefault="00CE207C" w:rsidP="00CE207C">
            <w:pPr>
              <w:spacing w:after="0" w:line="240" w:lineRule="auto"/>
              <w:rPr>
                <w:rFonts w:ascii="Times New Roman" w:eastAsia="Times New Roman" w:hAnsi="Times New Roman" w:cs="Times New Roman"/>
                <w:color w:val="000000"/>
                <w:kern w:val="0"/>
                <w:sz w:val="26"/>
                <w:szCs w:val="26"/>
                <w:lang w:eastAsia="en-IN"/>
                <w14:ligatures w14:val="none"/>
              </w:rPr>
            </w:pPr>
            <w:r w:rsidRPr="00CE207C">
              <w:rPr>
                <w:rFonts w:ascii="Times New Roman" w:eastAsia="Times New Roman" w:hAnsi="Times New Roman" w:cs="Times New Roman"/>
                <w:color w:val="000000"/>
                <w:kern w:val="0"/>
                <w:sz w:val="26"/>
                <w:szCs w:val="26"/>
                <w:lang w:eastAsia="en-IN"/>
                <w14:ligatures w14:val="none"/>
              </w:rPr>
              <w:t>TOTAL (Union Territories)</w:t>
            </w:r>
          </w:p>
        </w:tc>
        <w:tc>
          <w:tcPr>
            <w:tcW w:w="2946" w:type="dxa"/>
            <w:tcBorders>
              <w:top w:val="nil"/>
              <w:left w:val="nil"/>
              <w:bottom w:val="single" w:sz="4" w:space="0" w:color="auto"/>
              <w:right w:val="single" w:sz="4" w:space="0" w:color="auto"/>
            </w:tcBorders>
            <w:vAlign w:val="center"/>
            <w:hideMark/>
          </w:tcPr>
          <w:p w14:paraId="4552C3FE" w14:textId="77777777" w:rsidR="00CE207C" w:rsidRPr="00CE207C" w:rsidRDefault="00CE207C" w:rsidP="00CE207C">
            <w:pPr>
              <w:spacing w:after="0" w:line="240" w:lineRule="auto"/>
              <w:jc w:val="center"/>
              <w:rPr>
                <w:rFonts w:ascii="Times New Roman" w:eastAsia="Times New Roman" w:hAnsi="Times New Roman" w:cs="Times New Roman"/>
                <w:color w:val="000000"/>
                <w:kern w:val="0"/>
                <w:sz w:val="26"/>
                <w:szCs w:val="26"/>
                <w:lang w:eastAsia="en-IN"/>
                <w14:ligatures w14:val="none"/>
              </w:rPr>
            </w:pPr>
            <w:r w:rsidRPr="00CE207C">
              <w:rPr>
                <w:rFonts w:ascii="Times New Roman" w:eastAsia="Times New Roman" w:hAnsi="Times New Roman" w:cs="Times New Roman"/>
                <w:color w:val="000000"/>
                <w:kern w:val="0"/>
                <w:sz w:val="26"/>
                <w:szCs w:val="26"/>
                <w:lang w:eastAsia="en-IN"/>
                <w14:ligatures w14:val="none"/>
              </w:rPr>
              <w:t>33,814</w:t>
            </w:r>
          </w:p>
        </w:tc>
        <w:tc>
          <w:tcPr>
            <w:tcW w:w="3539" w:type="dxa"/>
            <w:tcBorders>
              <w:top w:val="nil"/>
              <w:left w:val="nil"/>
              <w:bottom w:val="single" w:sz="4" w:space="0" w:color="auto"/>
              <w:right w:val="single" w:sz="4" w:space="0" w:color="auto"/>
            </w:tcBorders>
            <w:vAlign w:val="center"/>
            <w:hideMark/>
          </w:tcPr>
          <w:p w14:paraId="1335D053" w14:textId="77777777" w:rsidR="00CE207C" w:rsidRPr="00CE207C" w:rsidRDefault="00CE207C" w:rsidP="00CE207C">
            <w:pPr>
              <w:spacing w:after="0" w:line="240" w:lineRule="auto"/>
              <w:jc w:val="center"/>
              <w:rPr>
                <w:rFonts w:ascii="Times New Roman" w:eastAsia="Times New Roman" w:hAnsi="Times New Roman" w:cs="Times New Roman"/>
                <w:color w:val="000000"/>
                <w:kern w:val="0"/>
                <w:sz w:val="26"/>
                <w:szCs w:val="26"/>
                <w:lang w:eastAsia="en-IN"/>
                <w14:ligatures w14:val="none"/>
              </w:rPr>
            </w:pPr>
            <w:r w:rsidRPr="00CE207C">
              <w:rPr>
                <w:rFonts w:ascii="Times New Roman" w:eastAsia="Times New Roman" w:hAnsi="Times New Roman" w:cs="Times New Roman"/>
                <w:color w:val="000000"/>
                <w:kern w:val="0"/>
                <w:sz w:val="26"/>
                <w:szCs w:val="26"/>
                <w:lang w:eastAsia="en-IN"/>
                <w14:ligatures w14:val="none"/>
              </w:rPr>
              <w:t>33,403</w:t>
            </w:r>
          </w:p>
        </w:tc>
      </w:tr>
      <w:tr w:rsidR="00CE207C" w:rsidRPr="00CE207C" w14:paraId="27BE16DD" w14:textId="77777777" w:rsidTr="00CE207C">
        <w:trPr>
          <w:trHeight w:val="20"/>
        </w:trPr>
        <w:tc>
          <w:tcPr>
            <w:tcW w:w="3397" w:type="dxa"/>
            <w:tcBorders>
              <w:top w:val="nil"/>
              <w:left w:val="single" w:sz="4" w:space="0" w:color="auto"/>
              <w:bottom w:val="single" w:sz="4" w:space="0" w:color="auto"/>
              <w:right w:val="single" w:sz="4" w:space="0" w:color="auto"/>
            </w:tcBorders>
            <w:vAlign w:val="center"/>
            <w:hideMark/>
          </w:tcPr>
          <w:p w14:paraId="32148D73" w14:textId="77777777" w:rsidR="00CE207C" w:rsidRPr="00CE207C" w:rsidRDefault="00CE207C" w:rsidP="00CE207C">
            <w:pPr>
              <w:spacing w:after="0" w:line="240" w:lineRule="auto"/>
              <w:rPr>
                <w:rFonts w:ascii="Times New Roman" w:eastAsia="Times New Roman" w:hAnsi="Times New Roman" w:cs="Times New Roman"/>
                <w:color w:val="000000"/>
                <w:kern w:val="0"/>
                <w:sz w:val="26"/>
                <w:szCs w:val="26"/>
                <w:lang w:eastAsia="en-IN"/>
                <w14:ligatures w14:val="none"/>
              </w:rPr>
            </w:pPr>
            <w:r w:rsidRPr="00CE207C">
              <w:rPr>
                <w:rFonts w:ascii="Times New Roman" w:eastAsia="Times New Roman" w:hAnsi="Times New Roman" w:cs="Times New Roman"/>
                <w:color w:val="000000"/>
                <w:kern w:val="0"/>
                <w:sz w:val="26"/>
                <w:szCs w:val="26"/>
                <w:lang w:eastAsia="en-IN"/>
                <w14:ligatures w14:val="none"/>
              </w:rPr>
              <w:t>ALL INDIA TOTAL</w:t>
            </w:r>
          </w:p>
        </w:tc>
        <w:tc>
          <w:tcPr>
            <w:tcW w:w="2946" w:type="dxa"/>
            <w:tcBorders>
              <w:top w:val="nil"/>
              <w:left w:val="nil"/>
              <w:bottom w:val="single" w:sz="4" w:space="0" w:color="auto"/>
              <w:right w:val="single" w:sz="4" w:space="0" w:color="auto"/>
            </w:tcBorders>
            <w:vAlign w:val="center"/>
            <w:hideMark/>
          </w:tcPr>
          <w:p w14:paraId="59834254" w14:textId="77777777" w:rsidR="00CE207C" w:rsidRPr="00CE207C" w:rsidRDefault="00CE207C" w:rsidP="00CE207C">
            <w:pPr>
              <w:spacing w:after="0" w:line="240" w:lineRule="auto"/>
              <w:jc w:val="center"/>
              <w:rPr>
                <w:rFonts w:ascii="Times New Roman" w:eastAsia="Times New Roman" w:hAnsi="Times New Roman" w:cs="Times New Roman"/>
                <w:color w:val="000000"/>
                <w:kern w:val="0"/>
                <w:sz w:val="26"/>
                <w:szCs w:val="26"/>
                <w:lang w:eastAsia="en-IN"/>
                <w14:ligatures w14:val="none"/>
              </w:rPr>
            </w:pPr>
            <w:r w:rsidRPr="00CE207C">
              <w:rPr>
                <w:rFonts w:ascii="Times New Roman" w:eastAsia="Times New Roman" w:hAnsi="Times New Roman" w:cs="Times New Roman"/>
                <w:color w:val="000000"/>
                <w:kern w:val="0"/>
                <w:sz w:val="26"/>
                <w:szCs w:val="26"/>
                <w:lang w:eastAsia="en-IN"/>
                <w14:ligatures w14:val="none"/>
              </w:rPr>
              <w:t>1,76,237</w:t>
            </w:r>
          </w:p>
        </w:tc>
        <w:tc>
          <w:tcPr>
            <w:tcW w:w="3539" w:type="dxa"/>
            <w:tcBorders>
              <w:top w:val="nil"/>
              <w:left w:val="nil"/>
              <w:bottom w:val="single" w:sz="4" w:space="0" w:color="auto"/>
              <w:right w:val="single" w:sz="4" w:space="0" w:color="auto"/>
            </w:tcBorders>
            <w:vAlign w:val="center"/>
            <w:hideMark/>
          </w:tcPr>
          <w:p w14:paraId="1B946A48" w14:textId="77777777" w:rsidR="00CE207C" w:rsidRPr="00CE207C" w:rsidRDefault="00CE207C" w:rsidP="00CE207C">
            <w:pPr>
              <w:spacing w:after="0" w:line="240" w:lineRule="auto"/>
              <w:jc w:val="center"/>
              <w:rPr>
                <w:rFonts w:ascii="Times New Roman" w:eastAsia="Times New Roman" w:hAnsi="Times New Roman" w:cs="Times New Roman"/>
                <w:color w:val="000000"/>
                <w:kern w:val="0"/>
                <w:sz w:val="26"/>
                <w:szCs w:val="26"/>
                <w:lang w:eastAsia="en-IN"/>
                <w14:ligatures w14:val="none"/>
              </w:rPr>
            </w:pPr>
            <w:r w:rsidRPr="00CE207C">
              <w:rPr>
                <w:rFonts w:ascii="Times New Roman" w:eastAsia="Times New Roman" w:hAnsi="Times New Roman" w:cs="Times New Roman"/>
                <w:color w:val="000000"/>
                <w:kern w:val="0"/>
                <w:sz w:val="26"/>
                <w:szCs w:val="26"/>
                <w:lang w:eastAsia="en-IN"/>
                <w14:ligatures w14:val="none"/>
              </w:rPr>
              <w:t>1,76,440</w:t>
            </w:r>
          </w:p>
        </w:tc>
      </w:tr>
    </w:tbl>
    <w:p w14:paraId="3A70A387" w14:textId="194A43DA" w:rsidR="002152D6" w:rsidRPr="00CE207C" w:rsidRDefault="002152D6" w:rsidP="002152D6">
      <w:pPr>
        <w:rPr>
          <w:rFonts w:ascii="Times New Roman" w:hAnsi="Times New Roman" w:cs="Times New Roman"/>
          <w:sz w:val="20"/>
          <w:szCs w:val="18"/>
        </w:rPr>
      </w:pPr>
      <w:r w:rsidRPr="00CE207C">
        <w:rPr>
          <w:rFonts w:ascii="Times New Roman" w:hAnsi="Times New Roman" w:cs="Times New Roman"/>
          <w:sz w:val="20"/>
          <w:szCs w:val="18"/>
        </w:rPr>
        <w:t>Source : Indian Airlines.</w:t>
      </w:r>
    </w:p>
    <w:p w14:paraId="68556E78" w14:textId="77777777" w:rsidR="00CE207C" w:rsidRDefault="00CE207C">
      <w:pPr>
        <w:rPr>
          <w:rFonts w:ascii="Times New Roman" w:eastAsiaTheme="majorEastAsia" w:hAnsi="Times New Roman" w:cs="Times New Roman"/>
          <w:b/>
          <w:bCs/>
        </w:rPr>
      </w:pPr>
      <w:r>
        <w:br w:type="page"/>
      </w:r>
    </w:p>
    <w:p w14:paraId="0E3E47D7" w14:textId="7D4CD18C" w:rsidR="002152D6" w:rsidRPr="007245B0" w:rsidRDefault="00574BCE" w:rsidP="007D2EE4">
      <w:pPr>
        <w:pStyle w:val="Heading4"/>
      </w:pPr>
      <w:bookmarkStart w:id="222" w:name="_Toc220949744"/>
      <w:bookmarkStart w:id="223" w:name="_Toc221114344"/>
      <w:bookmarkStart w:id="224" w:name="_Toc221115367"/>
      <w:r>
        <w:lastRenderedPageBreak/>
        <w:t>Table</w:t>
      </w:r>
      <w:r w:rsidR="002152D6" w:rsidRPr="007245B0">
        <w:t xml:space="preserve"> 63 Commodity-wise freight earnings of Railways on goods carried during</w:t>
      </w:r>
      <w:bookmarkEnd w:id="222"/>
      <w:bookmarkEnd w:id="223"/>
      <w:bookmarkEnd w:id="224"/>
    </w:p>
    <w:p w14:paraId="0656B5C3" w14:textId="77777777" w:rsidR="002152D6" w:rsidRPr="007245B0" w:rsidRDefault="002152D6" w:rsidP="007D2EE4">
      <w:pPr>
        <w:pStyle w:val="Heading4"/>
      </w:pPr>
      <w:bookmarkStart w:id="225" w:name="_Toc220949745"/>
      <w:bookmarkStart w:id="226" w:name="_Toc221114345"/>
      <w:bookmarkStart w:id="227" w:name="_Toc221115368"/>
      <w:r w:rsidRPr="007245B0">
        <w:t>1965-66 to 1967-68</w:t>
      </w:r>
      <w:bookmarkEnd w:id="225"/>
      <w:bookmarkEnd w:id="226"/>
      <w:bookmarkEnd w:id="227"/>
    </w:p>
    <w:p w14:paraId="4787A539" w14:textId="77777777" w:rsidR="002152D6" w:rsidRPr="007245B0" w:rsidRDefault="002152D6" w:rsidP="002152D6">
      <w:pPr>
        <w:jc w:val="right"/>
        <w:rPr>
          <w:rFonts w:ascii="Times New Roman" w:hAnsi="Times New Roman" w:cs="Times New Roman"/>
          <w:i/>
          <w:iCs/>
        </w:rPr>
      </w:pPr>
      <w:r w:rsidRPr="007245B0">
        <w:rPr>
          <w:rFonts w:ascii="Times New Roman" w:hAnsi="Times New Roman" w:cs="Times New Roman"/>
          <w:i/>
          <w:iCs/>
        </w:rPr>
        <w:t>(Rs. crores)</w:t>
      </w:r>
    </w:p>
    <w:tbl>
      <w:tblPr>
        <w:tblStyle w:val="TableGrid"/>
        <w:tblW w:w="10234" w:type="dxa"/>
        <w:tblInd w:w="-414" w:type="dxa"/>
        <w:tblLook w:val="04A0" w:firstRow="1" w:lastRow="0" w:firstColumn="1" w:lastColumn="0" w:noHBand="0" w:noVBand="1"/>
      </w:tblPr>
      <w:tblGrid>
        <w:gridCol w:w="6343"/>
        <w:gridCol w:w="1297"/>
        <w:gridCol w:w="1297"/>
        <w:gridCol w:w="1297"/>
      </w:tblGrid>
      <w:tr w:rsidR="002152D6" w:rsidRPr="00CE207C" w14:paraId="0C28AB2D" w14:textId="77777777" w:rsidTr="00CE207C">
        <w:trPr>
          <w:trHeight w:val="286"/>
        </w:trPr>
        <w:tc>
          <w:tcPr>
            <w:tcW w:w="0" w:type="auto"/>
            <w:vAlign w:val="center"/>
            <w:hideMark/>
          </w:tcPr>
          <w:p w14:paraId="39DA5C11" w14:textId="77777777" w:rsidR="002152D6" w:rsidRPr="00CE207C" w:rsidRDefault="002152D6" w:rsidP="00CE207C">
            <w:pPr>
              <w:pStyle w:val="NoSpacing"/>
              <w:jc w:val="center"/>
              <w:rPr>
                <w:rFonts w:ascii="Times New Roman" w:hAnsi="Times New Roman" w:cs="Times New Roman"/>
                <w:b/>
                <w:bCs/>
                <w:sz w:val="32"/>
                <w:szCs w:val="24"/>
              </w:rPr>
            </w:pPr>
            <w:r w:rsidRPr="00CE207C">
              <w:rPr>
                <w:rFonts w:ascii="Times New Roman" w:hAnsi="Times New Roman" w:cs="Times New Roman"/>
                <w:b/>
                <w:bCs/>
                <w:sz w:val="32"/>
                <w:szCs w:val="24"/>
              </w:rPr>
              <w:t>Commodity</w:t>
            </w:r>
          </w:p>
        </w:tc>
        <w:tc>
          <w:tcPr>
            <w:tcW w:w="0" w:type="auto"/>
            <w:vAlign w:val="center"/>
            <w:hideMark/>
          </w:tcPr>
          <w:p w14:paraId="090AC249" w14:textId="77777777" w:rsidR="002152D6" w:rsidRPr="00CE207C" w:rsidRDefault="002152D6" w:rsidP="00CE207C">
            <w:pPr>
              <w:pStyle w:val="NoSpacing"/>
              <w:jc w:val="center"/>
              <w:rPr>
                <w:rFonts w:ascii="Times New Roman" w:hAnsi="Times New Roman" w:cs="Times New Roman"/>
                <w:b/>
                <w:bCs/>
                <w:sz w:val="32"/>
                <w:szCs w:val="24"/>
              </w:rPr>
            </w:pPr>
            <w:r w:rsidRPr="00CE207C">
              <w:rPr>
                <w:rFonts w:ascii="Times New Roman" w:hAnsi="Times New Roman" w:cs="Times New Roman"/>
                <w:b/>
                <w:bCs/>
                <w:sz w:val="32"/>
                <w:szCs w:val="24"/>
              </w:rPr>
              <w:t>1965-66</w:t>
            </w:r>
          </w:p>
        </w:tc>
        <w:tc>
          <w:tcPr>
            <w:tcW w:w="0" w:type="auto"/>
            <w:vAlign w:val="center"/>
            <w:hideMark/>
          </w:tcPr>
          <w:p w14:paraId="7CCC1048" w14:textId="77777777" w:rsidR="002152D6" w:rsidRPr="00CE207C" w:rsidRDefault="002152D6" w:rsidP="00CE207C">
            <w:pPr>
              <w:pStyle w:val="NoSpacing"/>
              <w:jc w:val="center"/>
              <w:rPr>
                <w:rFonts w:ascii="Times New Roman" w:hAnsi="Times New Roman" w:cs="Times New Roman"/>
                <w:b/>
                <w:bCs/>
                <w:sz w:val="32"/>
                <w:szCs w:val="24"/>
              </w:rPr>
            </w:pPr>
            <w:r w:rsidRPr="00CE207C">
              <w:rPr>
                <w:rFonts w:ascii="Times New Roman" w:hAnsi="Times New Roman" w:cs="Times New Roman"/>
                <w:b/>
                <w:bCs/>
                <w:sz w:val="32"/>
                <w:szCs w:val="24"/>
              </w:rPr>
              <w:t>1966-67</w:t>
            </w:r>
          </w:p>
        </w:tc>
        <w:tc>
          <w:tcPr>
            <w:tcW w:w="0" w:type="auto"/>
            <w:vAlign w:val="center"/>
            <w:hideMark/>
          </w:tcPr>
          <w:p w14:paraId="3B9988FA" w14:textId="77777777" w:rsidR="002152D6" w:rsidRPr="00CE207C" w:rsidRDefault="002152D6" w:rsidP="00CE207C">
            <w:pPr>
              <w:pStyle w:val="NoSpacing"/>
              <w:jc w:val="center"/>
              <w:rPr>
                <w:rFonts w:ascii="Times New Roman" w:hAnsi="Times New Roman" w:cs="Times New Roman"/>
                <w:b/>
                <w:bCs/>
                <w:sz w:val="32"/>
                <w:szCs w:val="24"/>
              </w:rPr>
            </w:pPr>
            <w:r w:rsidRPr="00CE207C">
              <w:rPr>
                <w:rFonts w:ascii="Times New Roman" w:hAnsi="Times New Roman" w:cs="Times New Roman"/>
                <w:b/>
                <w:bCs/>
                <w:sz w:val="32"/>
                <w:szCs w:val="24"/>
              </w:rPr>
              <w:t>1967-68</w:t>
            </w:r>
          </w:p>
        </w:tc>
      </w:tr>
      <w:tr w:rsidR="002152D6" w:rsidRPr="00CE207C" w14:paraId="0AA1FA4E" w14:textId="77777777" w:rsidTr="00CE207C">
        <w:trPr>
          <w:trHeight w:val="286"/>
        </w:trPr>
        <w:tc>
          <w:tcPr>
            <w:tcW w:w="0" w:type="auto"/>
            <w:hideMark/>
          </w:tcPr>
          <w:p w14:paraId="0F3B9459" w14:textId="77777777" w:rsidR="002152D6" w:rsidRPr="00CE207C" w:rsidRDefault="002152D6" w:rsidP="00B77C0B">
            <w:pPr>
              <w:pStyle w:val="NoSpacing"/>
              <w:rPr>
                <w:rFonts w:ascii="Times New Roman" w:hAnsi="Times New Roman" w:cs="Times New Roman"/>
                <w:sz w:val="32"/>
                <w:szCs w:val="24"/>
              </w:rPr>
            </w:pPr>
            <w:r w:rsidRPr="00CE207C">
              <w:rPr>
                <w:rFonts w:ascii="Times New Roman" w:hAnsi="Times New Roman" w:cs="Times New Roman"/>
                <w:sz w:val="32"/>
                <w:szCs w:val="24"/>
              </w:rPr>
              <w:t>1. Food grains</w:t>
            </w:r>
          </w:p>
        </w:tc>
        <w:tc>
          <w:tcPr>
            <w:tcW w:w="0" w:type="auto"/>
            <w:vAlign w:val="center"/>
            <w:hideMark/>
          </w:tcPr>
          <w:p w14:paraId="7BB6DA3E" w14:textId="77777777" w:rsidR="002152D6" w:rsidRPr="00CE207C" w:rsidRDefault="002152D6" w:rsidP="00CE207C">
            <w:pPr>
              <w:pStyle w:val="NoSpacing"/>
              <w:jc w:val="center"/>
              <w:rPr>
                <w:rFonts w:ascii="Times New Roman" w:hAnsi="Times New Roman" w:cs="Times New Roman"/>
                <w:sz w:val="32"/>
                <w:szCs w:val="24"/>
              </w:rPr>
            </w:pPr>
            <w:r w:rsidRPr="00CE207C">
              <w:rPr>
                <w:rFonts w:ascii="Times New Roman" w:hAnsi="Times New Roman" w:cs="Times New Roman"/>
                <w:sz w:val="32"/>
                <w:szCs w:val="24"/>
              </w:rPr>
              <w:t>39.93</w:t>
            </w:r>
          </w:p>
        </w:tc>
        <w:tc>
          <w:tcPr>
            <w:tcW w:w="0" w:type="auto"/>
            <w:vAlign w:val="center"/>
            <w:hideMark/>
          </w:tcPr>
          <w:p w14:paraId="30DF7A67" w14:textId="77777777" w:rsidR="002152D6" w:rsidRPr="00CE207C" w:rsidRDefault="002152D6" w:rsidP="00CE207C">
            <w:pPr>
              <w:pStyle w:val="NoSpacing"/>
              <w:jc w:val="center"/>
              <w:rPr>
                <w:rFonts w:ascii="Times New Roman" w:hAnsi="Times New Roman" w:cs="Times New Roman"/>
                <w:sz w:val="32"/>
                <w:szCs w:val="24"/>
              </w:rPr>
            </w:pPr>
            <w:r w:rsidRPr="00CE207C">
              <w:rPr>
                <w:rFonts w:ascii="Times New Roman" w:hAnsi="Times New Roman" w:cs="Times New Roman"/>
                <w:sz w:val="32"/>
                <w:szCs w:val="24"/>
              </w:rPr>
              <w:t>45.45</w:t>
            </w:r>
          </w:p>
        </w:tc>
        <w:tc>
          <w:tcPr>
            <w:tcW w:w="0" w:type="auto"/>
            <w:vAlign w:val="center"/>
            <w:hideMark/>
          </w:tcPr>
          <w:p w14:paraId="0867A141" w14:textId="77777777" w:rsidR="002152D6" w:rsidRPr="00CE207C" w:rsidRDefault="002152D6" w:rsidP="00CE207C">
            <w:pPr>
              <w:pStyle w:val="NoSpacing"/>
              <w:jc w:val="center"/>
              <w:rPr>
                <w:rFonts w:ascii="Times New Roman" w:hAnsi="Times New Roman" w:cs="Times New Roman"/>
                <w:sz w:val="32"/>
                <w:szCs w:val="24"/>
              </w:rPr>
            </w:pPr>
            <w:r w:rsidRPr="00CE207C">
              <w:rPr>
                <w:rFonts w:ascii="Times New Roman" w:hAnsi="Times New Roman" w:cs="Times New Roman"/>
                <w:sz w:val="32"/>
                <w:szCs w:val="24"/>
              </w:rPr>
              <w:t>45.52</w:t>
            </w:r>
          </w:p>
        </w:tc>
      </w:tr>
      <w:tr w:rsidR="002152D6" w:rsidRPr="00CE207C" w14:paraId="674EFA68" w14:textId="77777777" w:rsidTr="00CE207C">
        <w:trPr>
          <w:trHeight w:val="299"/>
        </w:trPr>
        <w:tc>
          <w:tcPr>
            <w:tcW w:w="0" w:type="auto"/>
            <w:hideMark/>
          </w:tcPr>
          <w:p w14:paraId="030C44F4" w14:textId="77777777" w:rsidR="002152D6" w:rsidRPr="00CE207C" w:rsidRDefault="002152D6" w:rsidP="00B77C0B">
            <w:pPr>
              <w:pStyle w:val="NoSpacing"/>
              <w:rPr>
                <w:rFonts w:ascii="Times New Roman" w:hAnsi="Times New Roman" w:cs="Times New Roman"/>
                <w:sz w:val="32"/>
                <w:szCs w:val="24"/>
              </w:rPr>
            </w:pPr>
            <w:r w:rsidRPr="00CE207C">
              <w:rPr>
                <w:rFonts w:ascii="Times New Roman" w:hAnsi="Times New Roman" w:cs="Times New Roman"/>
                <w:sz w:val="32"/>
                <w:szCs w:val="24"/>
              </w:rPr>
              <w:t>2. Coal and Coke</w:t>
            </w:r>
          </w:p>
        </w:tc>
        <w:tc>
          <w:tcPr>
            <w:tcW w:w="0" w:type="auto"/>
            <w:vAlign w:val="center"/>
            <w:hideMark/>
          </w:tcPr>
          <w:p w14:paraId="08BDE41D" w14:textId="77777777" w:rsidR="002152D6" w:rsidRPr="00CE207C" w:rsidRDefault="002152D6" w:rsidP="00CE207C">
            <w:pPr>
              <w:pStyle w:val="NoSpacing"/>
              <w:jc w:val="center"/>
              <w:rPr>
                <w:rFonts w:ascii="Times New Roman" w:hAnsi="Times New Roman" w:cs="Times New Roman"/>
                <w:sz w:val="32"/>
                <w:szCs w:val="24"/>
              </w:rPr>
            </w:pPr>
            <w:r w:rsidRPr="00CE207C">
              <w:rPr>
                <w:rFonts w:ascii="Times New Roman" w:hAnsi="Times New Roman" w:cs="Times New Roman"/>
                <w:sz w:val="32"/>
                <w:szCs w:val="24"/>
              </w:rPr>
              <w:t>78.79</w:t>
            </w:r>
          </w:p>
        </w:tc>
        <w:tc>
          <w:tcPr>
            <w:tcW w:w="0" w:type="auto"/>
            <w:vAlign w:val="center"/>
            <w:hideMark/>
          </w:tcPr>
          <w:p w14:paraId="77E4EB19" w14:textId="77777777" w:rsidR="002152D6" w:rsidRPr="00CE207C" w:rsidRDefault="002152D6" w:rsidP="00CE207C">
            <w:pPr>
              <w:pStyle w:val="NoSpacing"/>
              <w:jc w:val="center"/>
              <w:rPr>
                <w:rFonts w:ascii="Times New Roman" w:hAnsi="Times New Roman" w:cs="Times New Roman"/>
                <w:sz w:val="32"/>
                <w:szCs w:val="24"/>
              </w:rPr>
            </w:pPr>
            <w:r w:rsidRPr="00CE207C">
              <w:rPr>
                <w:rFonts w:ascii="Times New Roman" w:hAnsi="Times New Roman" w:cs="Times New Roman"/>
                <w:sz w:val="32"/>
                <w:szCs w:val="24"/>
              </w:rPr>
              <w:t>77.99</w:t>
            </w:r>
          </w:p>
        </w:tc>
        <w:tc>
          <w:tcPr>
            <w:tcW w:w="0" w:type="auto"/>
            <w:vAlign w:val="center"/>
            <w:hideMark/>
          </w:tcPr>
          <w:p w14:paraId="241C289E" w14:textId="77777777" w:rsidR="002152D6" w:rsidRPr="00CE207C" w:rsidRDefault="002152D6" w:rsidP="00CE207C">
            <w:pPr>
              <w:pStyle w:val="NoSpacing"/>
              <w:jc w:val="center"/>
              <w:rPr>
                <w:rFonts w:ascii="Times New Roman" w:hAnsi="Times New Roman" w:cs="Times New Roman"/>
                <w:sz w:val="32"/>
                <w:szCs w:val="24"/>
              </w:rPr>
            </w:pPr>
            <w:r w:rsidRPr="00CE207C">
              <w:rPr>
                <w:rFonts w:ascii="Times New Roman" w:hAnsi="Times New Roman" w:cs="Times New Roman"/>
                <w:sz w:val="32"/>
                <w:szCs w:val="24"/>
              </w:rPr>
              <w:t>89.19</w:t>
            </w:r>
          </w:p>
        </w:tc>
      </w:tr>
      <w:tr w:rsidR="002152D6" w:rsidRPr="00CE207C" w14:paraId="4A273490" w14:textId="77777777" w:rsidTr="00CE207C">
        <w:trPr>
          <w:trHeight w:val="286"/>
        </w:trPr>
        <w:tc>
          <w:tcPr>
            <w:tcW w:w="0" w:type="auto"/>
            <w:hideMark/>
          </w:tcPr>
          <w:p w14:paraId="5BE94CC9" w14:textId="77777777" w:rsidR="002152D6" w:rsidRPr="00CE207C" w:rsidRDefault="002152D6" w:rsidP="00B77C0B">
            <w:pPr>
              <w:pStyle w:val="NoSpacing"/>
              <w:rPr>
                <w:rFonts w:ascii="Times New Roman" w:hAnsi="Times New Roman" w:cs="Times New Roman"/>
                <w:sz w:val="32"/>
                <w:szCs w:val="24"/>
              </w:rPr>
            </w:pPr>
            <w:r w:rsidRPr="00CE207C">
              <w:rPr>
                <w:rFonts w:ascii="Times New Roman" w:hAnsi="Times New Roman" w:cs="Times New Roman"/>
                <w:sz w:val="32"/>
                <w:szCs w:val="24"/>
              </w:rPr>
              <w:t>3. Bamboo and other wood</w:t>
            </w:r>
          </w:p>
        </w:tc>
        <w:tc>
          <w:tcPr>
            <w:tcW w:w="0" w:type="auto"/>
            <w:vAlign w:val="center"/>
            <w:hideMark/>
          </w:tcPr>
          <w:p w14:paraId="20338F2B" w14:textId="77777777" w:rsidR="002152D6" w:rsidRPr="00CE207C" w:rsidRDefault="002152D6" w:rsidP="00CE207C">
            <w:pPr>
              <w:pStyle w:val="NoSpacing"/>
              <w:jc w:val="center"/>
              <w:rPr>
                <w:rFonts w:ascii="Times New Roman" w:hAnsi="Times New Roman" w:cs="Times New Roman"/>
                <w:sz w:val="32"/>
                <w:szCs w:val="24"/>
              </w:rPr>
            </w:pPr>
            <w:r w:rsidRPr="00CE207C">
              <w:rPr>
                <w:rFonts w:ascii="Times New Roman" w:hAnsi="Times New Roman" w:cs="Times New Roman"/>
                <w:sz w:val="32"/>
                <w:szCs w:val="24"/>
              </w:rPr>
              <w:t>10.84</w:t>
            </w:r>
          </w:p>
        </w:tc>
        <w:tc>
          <w:tcPr>
            <w:tcW w:w="0" w:type="auto"/>
            <w:vAlign w:val="center"/>
            <w:hideMark/>
          </w:tcPr>
          <w:p w14:paraId="7508176B" w14:textId="77777777" w:rsidR="002152D6" w:rsidRPr="00CE207C" w:rsidRDefault="002152D6" w:rsidP="00CE207C">
            <w:pPr>
              <w:pStyle w:val="NoSpacing"/>
              <w:jc w:val="center"/>
              <w:rPr>
                <w:rFonts w:ascii="Times New Roman" w:hAnsi="Times New Roman" w:cs="Times New Roman"/>
                <w:sz w:val="32"/>
                <w:szCs w:val="24"/>
              </w:rPr>
            </w:pPr>
            <w:r w:rsidRPr="00CE207C">
              <w:rPr>
                <w:rFonts w:ascii="Times New Roman" w:hAnsi="Times New Roman" w:cs="Times New Roman"/>
                <w:sz w:val="32"/>
                <w:szCs w:val="24"/>
              </w:rPr>
              <w:t>11.37</w:t>
            </w:r>
          </w:p>
        </w:tc>
        <w:tc>
          <w:tcPr>
            <w:tcW w:w="0" w:type="auto"/>
            <w:vAlign w:val="center"/>
            <w:hideMark/>
          </w:tcPr>
          <w:p w14:paraId="527769EB" w14:textId="77777777" w:rsidR="002152D6" w:rsidRPr="00CE207C" w:rsidRDefault="002152D6" w:rsidP="00CE207C">
            <w:pPr>
              <w:pStyle w:val="NoSpacing"/>
              <w:jc w:val="center"/>
              <w:rPr>
                <w:rFonts w:ascii="Times New Roman" w:hAnsi="Times New Roman" w:cs="Times New Roman"/>
                <w:sz w:val="32"/>
                <w:szCs w:val="24"/>
              </w:rPr>
            </w:pPr>
            <w:r w:rsidRPr="00CE207C">
              <w:rPr>
                <w:rFonts w:ascii="Times New Roman" w:hAnsi="Times New Roman" w:cs="Times New Roman"/>
                <w:sz w:val="32"/>
                <w:szCs w:val="24"/>
              </w:rPr>
              <w:t>11.68</w:t>
            </w:r>
          </w:p>
        </w:tc>
      </w:tr>
      <w:tr w:rsidR="002152D6" w:rsidRPr="00CE207C" w14:paraId="25630D0F" w14:textId="77777777" w:rsidTr="00CE207C">
        <w:trPr>
          <w:trHeight w:val="286"/>
        </w:trPr>
        <w:tc>
          <w:tcPr>
            <w:tcW w:w="0" w:type="auto"/>
            <w:hideMark/>
          </w:tcPr>
          <w:p w14:paraId="5D184A22" w14:textId="77777777" w:rsidR="002152D6" w:rsidRPr="00CE207C" w:rsidRDefault="002152D6" w:rsidP="00B77C0B">
            <w:pPr>
              <w:pStyle w:val="NoSpacing"/>
              <w:rPr>
                <w:rFonts w:ascii="Times New Roman" w:hAnsi="Times New Roman" w:cs="Times New Roman"/>
                <w:sz w:val="32"/>
                <w:szCs w:val="24"/>
              </w:rPr>
            </w:pPr>
            <w:r w:rsidRPr="00CE207C">
              <w:rPr>
                <w:rFonts w:ascii="Times New Roman" w:hAnsi="Times New Roman" w:cs="Times New Roman"/>
                <w:sz w:val="32"/>
                <w:szCs w:val="24"/>
              </w:rPr>
              <w:t>4. Fruits and Vegetables fresh</w:t>
            </w:r>
          </w:p>
        </w:tc>
        <w:tc>
          <w:tcPr>
            <w:tcW w:w="0" w:type="auto"/>
            <w:vAlign w:val="center"/>
            <w:hideMark/>
          </w:tcPr>
          <w:p w14:paraId="07E0E1AE" w14:textId="77777777" w:rsidR="002152D6" w:rsidRPr="00CE207C" w:rsidRDefault="002152D6" w:rsidP="00CE207C">
            <w:pPr>
              <w:pStyle w:val="NoSpacing"/>
              <w:jc w:val="center"/>
              <w:rPr>
                <w:rFonts w:ascii="Times New Roman" w:hAnsi="Times New Roman" w:cs="Times New Roman"/>
                <w:sz w:val="32"/>
                <w:szCs w:val="24"/>
              </w:rPr>
            </w:pPr>
            <w:r w:rsidRPr="00CE207C">
              <w:rPr>
                <w:rFonts w:ascii="Times New Roman" w:hAnsi="Times New Roman" w:cs="Times New Roman"/>
                <w:sz w:val="32"/>
                <w:szCs w:val="24"/>
              </w:rPr>
              <w:t>3.12</w:t>
            </w:r>
          </w:p>
        </w:tc>
        <w:tc>
          <w:tcPr>
            <w:tcW w:w="0" w:type="auto"/>
            <w:vAlign w:val="center"/>
            <w:hideMark/>
          </w:tcPr>
          <w:p w14:paraId="593E9631" w14:textId="77777777" w:rsidR="002152D6" w:rsidRPr="00CE207C" w:rsidRDefault="002152D6" w:rsidP="00CE207C">
            <w:pPr>
              <w:pStyle w:val="NoSpacing"/>
              <w:jc w:val="center"/>
              <w:rPr>
                <w:rFonts w:ascii="Times New Roman" w:hAnsi="Times New Roman" w:cs="Times New Roman"/>
                <w:sz w:val="32"/>
                <w:szCs w:val="24"/>
              </w:rPr>
            </w:pPr>
            <w:r w:rsidRPr="00CE207C">
              <w:rPr>
                <w:rFonts w:ascii="Times New Roman" w:hAnsi="Times New Roman" w:cs="Times New Roman"/>
                <w:sz w:val="32"/>
                <w:szCs w:val="24"/>
              </w:rPr>
              <w:t>3.72</w:t>
            </w:r>
          </w:p>
        </w:tc>
        <w:tc>
          <w:tcPr>
            <w:tcW w:w="0" w:type="auto"/>
            <w:vAlign w:val="center"/>
            <w:hideMark/>
          </w:tcPr>
          <w:p w14:paraId="5114C8AA" w14:textId="77777777" w:rsidR="002152D6" w:rsidRPr="00CE207C" w:rsidRDefault="002152D6" w:rsidP="00CE207C">
            <w:pPr>
              <w:pStyle w:val="NoSpacing"/>
              <w:jc w:val="center"/>
              <w:rPr>
                <w:rFonts w:ascii="Times New Roman" w:hAnsi="Times New Roman" w:cs="Times New Roman"/>
                <w:sz w:val="32"/>
                <w:szCs w:val="24"/>
              </w:rPr>
            </w:pPr>
            <w:r w:rsidRPr="00CE207C">
              <w:rPr>
                <w:rFonts w:ascii="Times New Roman" w:hAnsi="Times New Roman" w:cs="Times New Roman"/>
                <w:sz w:val="32"/>
                <w:szCs w:val="24"/>
              </w:rPr>
              <w:t>3.82</w:t>
            </w:r>
          </w:p>
        </w:tc>
      </w:tr>
      <w:tr w:rsidR="002152D6" w:rsidRPr="00CE207C" w14:paraId="6AD422D9" w14:textId="77777777" w:rsidTr="00CE207C">
        <w:trPr>
          <w:trHeight w:val="286"/>
        </w:trPr>
        <w:tc>
          <w:tcPr>
            <w:tcW w:w="0" w:type="auto"/>
            <w:hideMark/>
          </w:tcPr>
          <w:p w14:paraId="63F8B01E" w14:textId="77777777" w:rsidR="002152D6" w:rsidRPr="00CE207C" w:rsidRDefault="002152D6" w:rsidP="00B77C0B">
            <w:pPr>
              <w:pStyle w:val="NoSpacing"/>
              <w:rPr>
                <w:rFonts w:ascii="Times New Roman" w:hAnsi="Times New Roman" w:cs="Times New Roman"/>
                <w:sz w:val="32"/>
                <w:szCs w:val="24"/>
              </w:rPr>
            </w:pPr>
            <w:r w:rsidRPr="00CE207C">
              <w:rPr>
                <w:rFonts w:ascii="Times New Roman" w:hAnsi="Times New Roman" w:cs="Times New Roman"/>
                <w:sz w:val="32"/>
                <w:szCs w:val="24"/>
              </w:rPr>
              <w:t>5. Sugar including candy and Glucose</w:t>
            </w:r>
          </w:p>
        </w:tc>
        <w:tc>
          <w:tcPr>
            <w:tcW w:w="0" w:type="auto"/>
            <w:vAlign w:val="center"/>
            <w:hideMark/>
          </w:tcPr>
          <w:p w14:paraId="56896D87" w14:textId="77777777" w:rsidR="002152D6" w:rsidRPr="00CE207C" w:rsidRDefault="002152D6" w:rsidP="00CE207C">
            <w:pPr>
              <w:pStyle w:val="NoSpacing"/>
              <w:jc w:val="center"/>
              <w:rPr>
                <w:rFonts w:ascii="Times New Roman" w:hAnsi="Times New Roman" w:cs="Times New Roman"/>
                <w:sz w:val="32"/>
                <w:szCs w:val="24"/>
              </w:rPr>
            </w:pPr>
            <w:r w:rsidRPr="00CE207C">
              <w:rPr>
                <w:rFonts w:ascii="Times New Roman" w:hAnsi="Times New Roman" w:cs="Times New Roman"/>
                <w:sz w:val="32"/>
                <w:szCs w:val="24"/>
              </w:rPr>
              <w:t>7.78</w:t>
            </w:r>
          </w:p>
        </w:tc>
        <w:tc>
          <w:tcPr>
            <w:tcW w:w="0" w:type="auto"/>
            <w:vAlign w:val="center"/>
            <w:hideMark/>
          </w:tcPr>
          <w:p w14:paraId="713BACD5" w14:textId="77777777" w:rsidR="002152D6" w:rsidRPr="00CE207C" w:rsidRDefault="002152D6" w:rsidP="00CE207C">
            <w:pPr>
              <w:pStyle w:val="NoSpacing"/>
              <w:jc w:val="center"/>
              <w:rPr>
                <w:rFonts w:ascii="Times New Roman" w:hAnsi="Times New Roman" w:cs="Times New Roman"/>
                <w:sz w:val="32"/>
                <w:szCs w:val="24"/>
              </w:rPr>
            </w:pPr>
            <w:r w:rsidRPr="00CE207C">
              <w:rPr>
                <w:rFonts w:ascii="Times New Roman" w:hAnsi="Times New Roman" w:cs="Times New Roman"/>
                <w:sz w:val="32"/>
                <w:szCs w:val="24"/>
              </w:rPr>
              <w:t>7.98</w:t>
            </w:r>
          </w:p>
        </w:tc>
        <w:tc>
          <w:tcPr>
            <w:tcW w:w="0" w:type="auto"/>
            <w:vAlign w:val="center"/>
            <w:hideMark/>
          </w:tcPr>
          <w:p w14:paraId="19624A96" w14:textId="77777777" w:rsidR="002152D6" w:rsidRPr="00CE207C" w:rsidRDefault="002152D6" w:rsidP="00CE207C">
            <w:pPr>
              <w:pStyle w:val="NoSpacing"/>
              <w:jc w:val="center"/>
              <w:rPr>
                <w:rFonts w:ascii="Times New Roman" w:hAnsi="Times New Roman" w:cs="Times New Roman"/>
                <w:sz w:val="32"/>
                <w:szCs w:val="24"/>
              </w:rPr>
            </w:pPr>
            <w:r w:rsidRPr="00CE207C">
              <w:rPr>
                <w:rFonts w:ascii="Times New Roman" w:hAnsi="Times New Roman" w:cs="Times New Roman"/>
                <w:sz w:val="32"/>
                <w:szCs w:val="24"/>
              </w:rPr>
              <w:t>6.08</w:t>
            </w:r>
          </w:p>
        </w:tc>
      </w:tr>
      <w:tr w:rsidR="002152D6" w:rsidRPr="00CE207C" w14:paraId="1D3B5A6E" w14:textId="77777777" w:rsidTr="00CE207C">
        <w:trPr>
          <w:trHeight w:val="286"/>
        </w:trPr>
        <w:tc>
          <w:tcPr>
            <w:tcW w:w="0" w:type="auto"/>
            <w:hideMark/>
          </w:tcPr>
          <w:p w14:paraId="6749CE2C" w14:textId="77777777" w:rsidR="002152D6" w:rsidRPr="00CE207C" w:rsidRDefault="002152D6" w:rsidP="00B77C0B">
            <w:pPr>
              <w:pStyle w:val="NoSpacing"/>
              <w:rPr>
                <w:rFonts w:ascii="Times New Roman" w:hAnsi="Times New Roman" w:cs="Times New Roman"/>
                <w:sz w:val="32"/>
                <w:szCs w:val="24"/>
              </w:rPr>
            </w:pPr>
            <w:r w:rsidRPr="00CE207C">
              <w:rPr>
                <w:rFonts w:ascii="Times New Roman" w:hAnsi="Times New Roman" w:cs="Times New Roman"/>
                <w:sz w:val="32"/>
                <w:szCs w:val="24"/>
              </w:rPr>
              <w:t>6. Salt</w:t>
            </w:r>
          </w:p>
        </w:tc>
        <w:tc>
          <w:tcPr>
            <w:tcW w:w="0" w:type="auto"/>
            <w:vAlign w:val="center"/>
            <w:hideMark/>
          </w:tcPr>
          <w:p w14:paraId="15776B31" w14:textId="77777777" w:rsidR="002152D6" w:rsidRPr="00CE207C" w:rsidRDefault="002152D6" w:rsidP="00CE207C">
            <w:pPr>
              <w:pStyle w:val="NoSpacing"/>
              <w:jc w:val="center"/>
              <w:rPr>
                <w:rFonts w:ascii="Times New Roman" w:hAnsi="Times New Roman" w:cs="Times New Roman"/>
                <w:sz w:val="32"/>
                <w:szCs w:val="24"/>
              </w:rPr>
            </w:pPr>
            <w:r w:rsidRPr="00CE207C">
              <w:rPr>
                <w:rFonts w:ascii="Times New Roman" w:hAnsi="Times New Roman" w:cs="Times New Roman"/>
                <w:sz w:val="32"/>
                <w:szCs w:val="24"/>
              </w:rPr>
              <w:t>9.38</w:t>
            </w:r>
          </w:p>
        </w:tc>
        <w:tc>
          <w:tcPr>
            <w:tcW w:w="0" w:type="auto"/>
            <w:vAlign w:val="center"/>
            <w:hideMark/>
          </w:tcPr>
          <w:p w14:paraId="2157FE49" w14:textId="77777777" w:rsidR="002152D6" w:rsidRPr="00CE207C" w:rsidRDefault="002152D6" w:rsidP="00CE207C">
            <w:pPr>
              <w:pStyle w:val="NoSpacing"/>
              <w:jc w:val="center"/>
              <w:rPr>
                <w:rFonts w:ascii="Times New Roman" w:hAnsi="Times New Roman" w:cs="Times New Roman"/>
                <w:sz w:val="32"/>
                <w:szCs w:val="24"/>
              </w:rPr>
            </w:pPr>
            <w:r w:rsidRPr="00CE207C">
              <w:rPr>
                <w:rFonts w:ascii="Times New Roman" w:hAnsi="Times New Roman" w:cs="Times New Roman"/>
                <w:sz w:val="32"/>
                <w:szCs w:val="24"/>
              </w:rPr>
              <w:t>9.09</w:t>
            </w:r>
          </w:p>
        </w:tc>
        <w:tc>
          <w:tcPr>
            <w:tcW w:w="0" w:type="auto"/>
            <w:vAlign w:val="center"/>
            <w:hideMark/>
          </w:tcPr>
          <w:p w14:paraId="47C2F4EF" w14:textId="77777777" w:rsidR="002152D6" w:rsidRPr="00CE207C" w:rsidRDefault="002152D6" w:rsidP="00CE207C">
            <w:pPr>
              <w:pStyle w:val="NoSpacing"/>
              <w:jc w:val="center"/>
              <w:rPr>
                <w:rFonts w:ascii="Times New Roman" w:hAnsi="Times New Roman" w:cs="Times New Roman"/>
                <w:sz w:val="32"/>
                <w:szCs w:val="24"/>
              </w:rPr>
            </w:pPr>
            <w:r w:rsidRPr="00CE207C">
              <w:rPr>
                <w:rFonts w:ascii="Times New Roman" w:hAnsi="Times New Roman" w:cs="Times New Roman"/>
                <w:sz w:val="32"/>
                <w:szCs w:val="24"/>
              </w:rPr>
              <w:t>11.87</w:t>
            </w:r>
          </w:p>
        </w:tc>
      </w:tr>
      <w:tr w:rsidR="002152D6" w:rsidRPr="00CE207C" w14:paraId="034BA8B4" w14:textId="77777777" w:rsidTr="00CE207C">
        <w:trPr>
          <w:trHeight w:val="299"/>
        </w:trPr>
        <w:tc>
          <w:tcPr>
            <w:tcW w:w="0" w:type="auto"/>
            <w:hideMark/>
          </w:tcPr>
          <w:p w14:paraId="0908ED21" w14:textId="77777777" w:rsidR="002152D6" w:rsidRPr="00CE207C" w:rsidRDefault="002152D6" w:rsidP="00B77C0B">
            <w:pPr>
              <w:pStyle w:val="NoSpacing"/>
              <w:rPr>
                <w:rFonts w:ascii="Times New Roman" w:hAnsi="Times New Roman" w:cs="Times New Roman"/>
                <w:sz w:val="32"/>
                <w:szCs w:val="24"/>
              </w:rPr>
            </w:pPr>
            <w:r w:rsidRPr="00CE207C">
              <w:rPr>
                <w:rFonts w:ascii="Times New Roman" w:hAnsi="Times New Roman" w:cs="Times New Roman"/>
                <w:sz w:val="32"/>
                <w:szCs w:val="24"/>
              </w:rPr>
              <w:t>7. Paper</w:t>
            </w:r>
          </w:p>
        </w:tc>
        <w:tc>
          <w:tcPr>
            <w:tcW w:w="0" w:type="auto"/>
            <w:vAlign w:val="center"/>
            <w:hideMark/>
          </w:tcPr>
          <w:p w14:paraId="367DC32F" w14:textId="77777777" w:rsidR="002152D6" w:rsidRPr="00CE207C" w:rsidRDefault="002152D6" w:rsidP="00CE207C">
            <w:pPr>
              <w:pStyle w:val="NoSpacing"/>
              <w:jc w:val="center"/>
              <w:rPr>
                <w:rFonts w:ascii="Times New Roman" w:hAnsi="Times New Roman" w:cs="Times New Roman"/>
                <w:sz w:val="32"/>
                <w:szCs w:val="24"/>
              </w:rPr>
            </w:pPr>
            <w:r w:rsidRPr="00CE207C">
              <w:rPr>
                <w:rFonts w:ascii="Times New Roman" w:hAnsi="Times New Roman" w:cs="Times New Roman"/>
                <w:sz w:val="32"/>
                <w:szCs w:val="24"/>
              </w:rPr>
              <w:t>4.69</w:t>
            </w:r>
          </w:p>
        </w:tc>
        <w:tc>
          <w:tcPr>
            <w:tcW w:w="0" w:type="auto"/>
            <w:vAlign w:val="center"/>
            <w:hideMark/>
          </w:tcPr>
          <w:p w14:paraId="11B5C4C2" w14:textId="77777777" w:rsidR="002152D6" w:rsidRPr="00CE207C" w:rsidRDefault="002152D6" w:rsidP="00CE207C">
            <w:pPr>
              <w:pStyle w:val="NoSpacing"/>
              <w:jc w:val="center"/>
              <w:rPr>
                <w:rFonts w:ascii="Times New Roman" w:hAnsi="Times New Roman" w:cs="Times New Roman"/>
                <w:sz w:val="32"/>
                <w:szCs w:val="24"/>
              </w:rPr>
            </w:pPr>
            <w:r w:rsidRPr="00CE207C">
              <w:rPr>
                <w:rFonts w:ascii="Times New Roman" w:hAnsi="Times New Roman" w:cs="Times New Roman"/>
                <w:sz w:val="32"/>
                <w:szCs w:val="24"/>
              </w:rPr>
              <w:t>5.15</w:t>
            </w:r>
          </w:p>
        </w:tc>
        <w:tc>
          <w:tcPr>
            <w:tcW w:w="0" w:type="auto"/>
            <w:vAlign w:val="center"/>
            <w:hideMark/>
          </w:tcPr>
          <w:p w14:paraId="054A026C" w14:textId="77777777" w:rsidR="002152D6" w:rsidRPr="00CE207C" w:rsidRDefault="002152D6" w:rsidP="00CE207C">
            <w:pPr>
              <w:pStyle w:val="NoSpacing"/>
              <w:jc w:val="center"/>
              <w:rPr>
                <w:rFonts w:ascii="Times New Roman" w:hAnsi="Times New Roman" w:cs="Times New Roman"/>
                <w:sz w:val="32"/>
                <w:szCs w:val="24"/>
              </w:rPr>
            </w:pPr>
            <w:r w:rsidRPr="00CE207C">
              <w:rPr>
                <w:rFonts w:ascii="Times New Roman" w:hAnsi="Times New Roman" w:cs="Times New Roman"/>
                <w:sz w:val="32"/>
                <w:szCs w:val="24"/>
              </w:rPr>
              <w:t>5.51</w:t>
            </w:r>
          </w:p>
        </w:tc>
      </w:tr>
      <w:tr w:rsidR="002152D6" w:rsidRPr="00CE207C" w14:paraId="1BB80DC0" w14:textId="77777777" w:rsidTr="00CE207C">
        <w:trPr>
          <w:trHeight w:val="286"/>
        </w:trPr>
        <w:tc>
          <w:tcPr>
            <w:tcW w:w="0" w:type="auto"/>
            <w:hideMark/>
          </w:tcPr>
          <w:p w14:paraId="0893AF1A" w14:textId="77777777" w:rsidR="002152D6" w:rsidRPr="00CE207C" w:rsidRDefault="002152D6" w:rsidP="00B77C0B">
            <w:pPr>
              <w:pStyle w:val="NoSpacing"/>
              <w:rPr>
                <w:rFonts w:ascii="Times New Roman" w:hAnsi="Times New Roman" w:cs="Times New Roman"/>
                <w:sz w:val="32"/>
                <w:szCs w:val="24"/>
              </w:rPr>
            </w:pPr>
            <w:r w:rsidRPr="00CE207C">
              <w:rPr>
                <w:rFonts w:ascii="Times New Roman" w:hAnsi="Times New Roman" w:cs="Times New Roman"/>
                <w:sz w:val="32"/>
                <w:szCs w:val="24"/>
              </w:rPr>
              <w:t>8. Oil seeds</w:t>
            </w:r>
          </w:p>
        </w:tc>
        <w:tc>
          <w:tcPr>
            <w:tcW w:w="0" w:type="auto"/>
            <w:vAlign w:val="center"/>
            <w:hideMark/>
          </w:tcPr>
          <w:p w14:paraId="24B12448" w14:textId="77777777" w:rsidR="002152D6" w:rsidRPr="00CE207C" w:rsidRDefault="002152D6" w:rsidP="00CE207C">
            <w:pPr>
              <w:pStyle w:val="NoSpacing"/>
              <w:jc w:val="center"/>
              <w:rPr>
                <w:rFonts w:ascii="Times New Roman" w:hAnsi="Times New Roman" w:cs="Times New Roman"/>
                <w:sz w:val="32"/>
                <w:szCs w:val="24"/>
              </w:rPr>
            </w:pPr>
            <w:r w:rsidRPr="00CE207C">
              <w:rPr>
                <w:rFonts w:ascii="Times New Roman" w:hAnsi="Times New Roman" w:cs="Times New Roman"/>
                <w:sz w:val="32"/>
                <w:szCs w:val="24"/>
              </w:rPr>
              <w:t>6.37</w:t>
            </w:r>
          </w:p>
        </w:tc>
        <w:tc>
          <w:tcPr>
            <w:tcW w:w="0" w:type="auto"/>
            <w:vAlign w:val="center"/>
            <w:hideMark/>
          </w:tcPr>
          <w:p w14:paraId="3AC9B297" w14:textId="77777777" w:rsidR="002152D6" w:rsidRPr="00CE207C" w:rsidRDefault="002152D6" w:rsidP="00CE207C">
            <w:pPr>
              <w:pStyle w:val="NoSpacing"/>
              <w:jc w:val="center"/>
              <w:rPr>
                <w:rFonts w:ascii="Times New Roman" w:hAnsi="Times New Roman" w:cs="Times New Roman"/>
                <w:sz w:val="32"/>
                <w:szCs w:val="24"/>
              </w:rPr>
            </w:pPr>
            <w:r w:rsidRPr="00CE207C">
              <w:rPr>
                <w:rFonts w:ascii="Times New Roman" w:hAnsi="Times New Roman" w:cs="Times New Roman"/>
                <w:sz w:val="32"/>
                <w:szCs w:val="24"/>
              </w:rPr>
              <w:t>6.17</w:t>
            </w:r>
          </w:p>
        </w:tc>
        <w:tc>
          <w:tcPr>
            <w:tcW w:w="0" w:type="auto"/>
            <w:vAlign w:val="center"/>
            <w:hideMark/>
          </w:tcPr>
          <w:p w14:paraId="66D530A5" w14:textId="77777777" w:rsidR="002152D6" w:rsidRPr="00CE207C" w:rsidRDefault="002152D6" w:rsidP="00CE207C">
            <w:pPr>
              <w:pStyle w:val="NoSpacing"/>
              <w:jc w:val="center"/>
              <w:rPr>
                <w:rFonts w:ascii="Times New Roman" w:hAnsi="Times New Roman" w:cs="Times New Roman"/>
                <w:sz w:val="32"/>
                <w:szCs w:val="24"/>
              </w:rPr>
            </w:pPr>
            <w:r w:rsidRPr="00CE207C">
              <w:rPr>
                <w:rFonts w:ascii="Times New Roman" w:hAnsi="Times New Roman" w:cs="Times New Roman"/>
                <w:sz w:val="32"/>
                <w:szCs w:val="24"/>
              </w:rPr>
              <w:t>5.99</w:t>
            </w:r>
          </w:p>
        </w:tc>
      </w:tr>
      <w:tr w:rsidR="002152D6" w:rsidRPr="00CE207C" w14:paraId="7D1ECB5E" w14:textId="77777777" w:rsidTr="00CE207C">
        <w:trPr>
          <w:trHeight w:val="286"/>
        </w:trPr>
        <w:tc>
          <w:tcPr>
            <w:tcW w:w="0" w:type="auto"/>
            <w:hideMark/>
          </w:tcPr>
          <w:p w14:paraId="7EF43020" w14:textId="77777777" w:rsidR="002152D6" w:rsidRPr="00CE207C" w:rsidRDefault="002152D6" w:rsidP="00B77C0B">
            <w:pPr>
              <w:pStyle w:val="NoSpacing"/>
              <w:rPr>
                <w:rFonts w:ascii="Times New Roman" w:hAnsi="Times New Roman" w:cs="Times New Roman"/>
                <w:sz w:val="32"/>
                <w:szCs w:val="24"/>
              </w:rPr>
            </w:pPr>
            <w:r w:rsidRPr="00CE207C">
              <w:rPr>
                <w:rFonts w:ascii="Times New Roman" w:hAnsi="Times New Roman" w:cs="Times New Roman"/>
                <w:sz w:val="32"/>
                <w:szCs w:val="24"/>
              </w:rPr>
              <w:t>9. Cotton raw (pressed and unpressed)</w:t>
            </w:r>
          </w:p>
        </w:tc>
        <w:tc>
          <w:tcPr>
            <w:tcW w:w="0" w:type="auto"/>
            <w:vAlign w:val="center"/>
            <w:hideMark/>
          </w:tcPr>
          <w:p w14:paraId="78E7305C" w14:textId="77777777" w:rsidR="002152D6" w:rsidRPr="00CE207C" w:rsidRDefault="002152D6" w:rsidP="00CE207C">
            <w:pPr>
              <w:pStyle w:val="NoSpacing"/>
              <w:jc w:val="center"/>
              <w:rPr>
                <w:rFonts w:ascii="Times New Roman" w:hAnsi="Times New Roman" w:cs="Times New Roman"/>
                <w:sz w:val="32"/>
                <w:szCs w:val="24"/>
              </w:rPr>
            </w:pPr>
            <w:r w:rsidRPr="00CE207C">
              <w:rPr>
                <w:rFonts w:ascii="Times New Roman" w:hAnsi="Times New Roman" w:cs="Times New Roman"/>
                <w:sz w:val="32"/>
                <w:szCs w:val="24"/>
              </w:rPr>
              <w:t>4.80</w:t>
            </w:r>
          </w:p>
        </w:tc>
        <w:tc>
          <w:tcPr>
            <w:tcW w:w="0" w:type="auto"/>
            <w:vAlign w:val="center"/>
            <w:hideMark/>
          </w:tcPr>
          <w:p w14:paraId="5837399F" w14:textId="77777777" w:rsidR="002152D6" w:rsidRPr="00CE207C" w:rsidRDefault="002152D6" w:rsidP="00CE207C">
            <w:pPr>
              <w:pStyle w:val="NoSpacing"/>
              <w:jc w:val="center"/>
              <w:rPr>
                <w:rFonts w:ascii="Times New Roman" w:hAnsi="Times New Roman" w:cs="Times New Roman"/>
                <w:sz w:val="32"/>
                <w:szCs w:val="24"/>
              </w:rPr>
            </w:pPr>
            <w:r w:rsidRPr="00CE207C">
              <w:rPr>
                <w:rFonts w:ascii="Times New Roman" w:hAnsi="Times New Roman" w:cs="Times New Roman"/>
                <w:sz w:val="32"/>
                <w:szCs w:val="24"/>
              </w:rPr>
              <w:t>4.64</w:t>
            </w:r>
          </w:p>
        </w:tc>
        <w:tc>
          <w:tcPr>
            <w:tcW w:w="0" w:type="auto"/>
            <w:vAlign w:val="center"/>
            <w:hideMark/>
          </w:tcPr>
          <w:p w14:paraId="59AA80DF" w14:textId="77777777" w:rsidR="002152D6" w:rsidRPr="00CE207C" w:rsidRDefault="002152D6" w:rsidP="00CE207C">
            <w:pPr>
              <w:pStyle w:val="NoSpacing"/>
              <w:jc w:val="center"/>
              <w:rPr>
                <w:rFonts w:ascii="Times New Roman" w:hAnsi="Times New Roman" w:cs="Times New Roman"/>
                <w:sz w:val="32"/>
                <w:szCs w:val="24"/>
              </w:rPr>
            </w:pPr>
            <w:r w:rsidRPr="00CE207C">
              <w:rPr>
                <w:rFonts w:ascii="Times New Roman" w:hAnsi="Times New Roman" w:cs="Times New Roman"/>
                <w:sz w:val="32"/>
                <w:szCs w:val="24"/>
              </w:rPr>
              <w:t>5.47</w:t>
            </w:r>
          </w:p>
        </w:tc>
      </w:tr>
      <w:tr w:rsidR="002152D6" w:rsidRPr="00CE207C" w14:paraId="0FA157E4" w14:textId="77777777" w:rsidTr="00CE207C">
        <w:trPr>
          <w:trHeight w:val="286"/>
        </w:trPr>
        <w:tc>
          <w:tcPr>
            <w:tcW w:w="0" w:type="auto"/>
            <w:hideMark/>
          </w:tcPr>
          <w:p w14:paraId="216CC59E" w14:textId="77777777" w:rsidR="002152D6" w:rsidRPr="00CE207C" w:rsidRDefault="002152D6" w:rsidP="00B77C0B">
            <w:pPr>
              <w:pStyle w:val="NoSpacing"/>
              <w:rPr>
                <w:rFonts w:ascii="Times New Roman" w:hAnsi="Times New Roman" w:cs="Times New Roman"/>
                <w:sz w:val="32"/>
                <w:szCs w:val="24"/>
              </w:rPr>
            </w:pPr>
            <w:r w:rsidRPr="00CE207C">
              <w:rPr>
                <w:rFonts w:ascii="Times New Roman" w:hAnsi="Times New Roman" w:cs="Times New Roman"/>
                <w:sz w:val="32"/>
                <w:szCs w:val="24"/>
              </w:rPr>
              <w:t>10. Jute raw (pressed and unpressed)</w:t>
            </w:r>
          </w:p>
        </w:tc>
        <w:tc>
          <w:tcPr>
            <w:tcW w:w="0" w:type="auto"/>
            <w:vAlign w:val="center"/>
            <w:hideMark/>
          </w:tcPr>
          <w:p w14:paraId="64E60A99" w14:textId="77777777" w:rsidR="002152D6" w:rsidRPr="00CE207C" w:rsidRDefault="002152D6" w:rsidP="00CE207C">
            <w:pPr>
              <w:pStyle w:val="NoSpacing"/>
              <w:jc w:val="center"/>
              <w:rPr>
                <w:rFonts w:ascii="Times New Roman" w:hAnsi="Times New Roman" w:cs="Times New Roman"/>
                <w:sz w:val="32"/>
                <w:szCs w:val="24"/>
              </w:rPr>
            </w:pPr>
            <w:r w:rsidRPr="00CE207C">
              <w:rPr>
                <w:rFonts w:ascii="Times New Roman" w:hAnsi="Times New Roman" w:cs="Times New Roman"/>
                <w:sz w:val="32"/>
                <w:szCs w:val="24"/>
              </w:rPr>
              <w:t>4.47</w:t>
            </w:r>
          </w:p>
        </w:tc>
        <w:tc>
          <w:tcPr>
            <w:tcW w:w="0" w:type="auto"/>
            <w:vAlign w:val="center"/>
            <w:hideMark/>
          </w:tcPr>
          <w:p w14:paraId="6831855E" w14:textId="77777777" w:rsidR="002152D6" w:rsidRPr="00CE207C" w:rsidRDefault="002152D6" w:rsidP="00CE207C">
            <w:pPr>
              <w:pStyle w:val="NoSpacing"/>
              <w:jc w:val="center"/>
              <w:rPr>
                <w:rFonts w:ascii="Times New Roman" w:hAnsi="Times New Roman" w:cs="Times New Roman"/>
                <w:sz w:val="32"/>
                <w:szCs w:val="24"/>
              </w:rPr>
            </w:pPr>
            <w:r w:rsidRPr="00CE207C">
              <w:rPr>
                <w:rFonts w:ascii="Times New Roman" w:hAnsi="Times New Roman" w:cs="Times New Roman"/>
                <w:sz w:val="32"/>
                <w:szCs w:val="24"/>
              </w:rPr>
              <w:t>5.04</w:t>
            </w:r>
          </w:p>
        </w:tc>
        <w:tc>
          <w:tcPr>
            <w:tcW w:w="0" w:type="auto"/>
            <w:vAlign w:val="center"/>
            <w:hideMark/>
          </w:tcPr>
          <w:p w14:paraId="4ED655AB" w14:textId="77777777" w:rsidR="002152D6" w:rsidRPr="00CE207C" w:rsidRDefault="002152D6" w:rsidP="00CE207C">
            <w:pPr>
              <w:pStyle w:val="NoSpacing"/>
              <w:jc w:val="center"/>
              <w:rPr>
                <w:rFonts w:ascii="Times New Roman" w:hAnsi="Times New Roman" w:cs="Times New Roman"/>
                <w:sz w:val="32"/>
                <w:szCs w:val="24"/>
              </w:rPr>
            </w:pPr>
            <w:r w:rsidRPr="00CE207C">
              <w:rPr>
                <w:rFonts w:ascii="Times New Roman" w:hAnsi="Times New Roman" w:cs="Times New Roman"/>
                <w:sz w:val="32"/>
                <w:szCs w:val="24"/>
              </w:rPr>
              <w:t>6.80</w:t>
            </w:r>
          </w:p>
        </w:tc>
      </w:tr>
      <w:tr w:rsidR="002152D6" w:rsidRPr="00CE207C" w14:paraId="055D1B96" w14:textId="77777777" w:rsidTr="00CE207C">
        <w:trPr>
          <w:trHeight w:val="286"/>
        </w:trPr>
        <w:tc>
          <w:tcPr>
            <w:tcW w:w="0" w:type="auto"/>
            <w:hideMark/>
          </w:tcPr>
          <w:p w14:paraId="3BB58658" w14:textId="77777777" w:rsidR="002152D6" w:rsidRPr="00CE207C" w:rsidRDefault="002152D6" w:rsidP="00B77C0B">
            <w:pPr>
              <w:pStyle w:val="NoSpacing"/>
              <w:rPr>
                <w:rFonts w:ascii="Times New Roman" w:hAnsi="Times New Roman" w:cs="Times New Roman"/>
                <w:sz w:val="32"/>
                <w:szCs w:val="24"/>
              </w:rPr>
            </w:pPr>
            <w:r w:rsidRPr="00CE207C">
              <w:rPr>
                <w:rFonts w:ascii="Times New Roman" w:hAnsi="Times New Roman" w:cs="Times New Roman"/>
                <w:sz w:val="32"/>
                <w:szCs w:val="24"/>
              </w:rPr>
              <w:t>11. Cotton manufactured and other piece goods</w:t>
            </w:r>
          </w:p>
        </w:tc>
        <w:tc>
          <w:tcPr>
            <w:tcW w:w="0" w:type="auto"/>
            <w:vAlign w:val="center"/>
            <w:hideMark/>
          </w:tcPr>
          <w:p w14:paraId="3DEFA081" w14:textId="77777777" w:rsidR="002152D6" w:rsidRPr="00CE207C" w:rsidRDefault="002152D6" w:rsidP="00CE207C">
            <w:pPr>
              <w:pStyle w:val="NoSpacing"/>
              <w:jc w:val="center"/>
              <w:rPr>
                <w:rFonts w:ascii="Times New Roman" w:hAnsi="Times New Roman" w:cs="Times New Roman"/>
                <w:sz w:val="32"/>
                <w:szCs w:val="24"/>
              </w:rPr>
            </w:pPr>
            <w:r w:rsidRPr="00CE207C">
              <w:rPr>
                <w:rFonts w:ascii="Times New Roman" w:hAnsi="Times New Roman" w:cs="Times New Roman"/>
                <w:sz w:val="32"/>
                <w:szCs w:val="24"/>
              </w:rPr>
              <w:t>4.78</w:t>
            </w:r>
          </w:p>
        </w:tc>
        <w:tc>
          <w:tcPr>
            <w:tcW w:w="0" w:type="auto"/>
            <w:vAlign w:val="center"/>
            <w:hideMark/>
          </w:tcPr>
          <w:p w14:paraId="2CED5A18" w14:textId="77777777" w:rsidR="002152D6" w:rsidRPr="00CE207C" w:rsidRDefault="002152D6" w:rsidP="00CE207C">
            <w:pPr>
              <w:pStyle w:val="NoSpacing"/>
              <w:jc w:val="center"/>
              <w:rPr>
                <w:rFonts w:ascii="Times New Roman" w:hAnsi="Times New Roman" w:cs="Times New Roman"/>
                <w:sz w:val="32"/>
                <w:szCs w:val="24"/>
              </w:rPr>
            </w:pPr>
            <w:r w:rsidRPr="00CE207C">
              <w:rPr>
                <w:rFonts w:ascii="Times New Roman" w:hAnsi="Times New Roman" w:cs="Times New Roman"/>
                <w:sz w:val="32"/>
                <w:szCs w:val="24"/>
              </w:rPr>
              <w:t>4.08</w:t>
            </w:r>
          </w:p>
        </w:tc>
        <w:tc>
          <w:tcPr>
            <w:tcW w:w="0" w:type="auto"/>
            <w:vAlign w:val="center"/>
            <w:hideMark/>
          </w:tcPr>
          <w:p w14:paraId="28A60D68" w14:textId="77777777" w:rsidR="002152D6" w:rsidRPr="00CE207C" w:rsidRDefault="002152D6" w:rsidP="00CE207C">
            <w:pPr>
              <w:pStyle w:val="NoSpacing"/>
              <w:jc w:val="center"/>
              <w:rPr>
                <w:rFonts w:ascii="Times New Roman" w:hAnsi="Times New Roman" w:cs="Times New Roman"/>
                <w:sz w:val="32"/>
                <w:szCs w:val="24"/>
              </w:rPr>
            </w:pPr>
            <w:r w:rsidRPr="00CE207C">
              <w:rPr>
                <w:rFonts w:ascii="Times New Roman" w:hAnsi="Times New Roman" w:cs="Times New Roman"/>
                <w:sz w:val="32"/>
                <w:szCs w:val="24"/>
              </w:rPr>
              <w:t>4.41</w:t>
            </w:r>
          </w:p>
        </w:tc>
      </w:tr>
      <w:tr w:rsidR="002152D6" w:rsidRPr="00CE207C" w14:paraId="03FFDA7D" w14:textId="77777777" w:rsidTr="00CE207C">
        <w:trPr>
          <w:trHeight w:val="299"/>
        </w:trPr>
        <w:tc>
          <w:tcPr>
            <w:tcW w:w="0" w:type="auto"/>
            <w:hideMark/>
          </w:tcPr>
          <w:p w14:paraId="5FF803EF" w14:textId="77777777" w:rsidR="002152D6" w:rsidRPr="00CE207C" w:rsidRDefault="002152D6" w:rsidP="00B77C0B">
            <w:pPr>
              <w:pStyle w:val="NoSpacing"/>
              <w:rPr>
                <w:rFonts w:ascii="Times New Roman" w:hAnsi="Times New Roman" w:cs="Times New Roman"/>
                <w:sz w:val="32"/>
                <w:szCs w:val="24"/>
              </w:rPr>
            </w:pPr>
            <w:r w:rsidRPr="00CE207C">
              <w:rPr>
                <w:rFonts w:ascii="Times New Roman" w:hAnsi="Times New Roman" w:cs="Times New Roman"/>
                <w:sz w:val="32"/>
                <w:szCs w:val="24"/>
              </w:rPr>
              <w:t>12. Provisions</w:t>
            </w:r>
          </w:p>
        </w:tc>
        <w:tc>
          <w:tcPr>
            <w:tcW w:w="0" w:type="auto"/>
            <w:vAlign w:val="center"/>
            <w:hideMark/>
          </w:tcPr>
          <w:p w14:paraId="48BBDBBD" w14:textId="77777777" w:rsidR="002152D6" w:rsidRPr="00CE207C" w:rsidRDefault="002152D6" w:rsidP="00CE207C">
            <w:pPr>
              <w:pStyle w:val="NoSpacing"/>
              <w:jc w:val="center"/>
              <w:rPr>
                <w:rFonts w:ascii="Times New Roman" w:hAnsi="Times New Roman" w:cs="Times New Roman"/>
                <w:sz w:val="32"/>
                <w:szCs w:val="24"/>
              </w:rPr>
            </w:pPr>
            <w:r w:rsidRPr="00CE207C">
              <w:rPr>
                <w:rFonts w:ascii="Times New Roman" w:hAnsi="Times New Roman" w:cs="Times New Roman"/>
                <w:sz w:val="32"/>
                <w:szCs w:val="24"/>
              </w:rPr>
              <w:t>7.60</w:t>
            </w:r>
          </w:p>
        </w:tc>
        <w:tc>
          <w:tcPr>
            <w:tcW w:w="0" w:type="auto"/>
            <w:vAlign w:val="center"/>
            <w:hideMark/>
          </w:tcPr>
          <w:p w14:paraId="69E9BB6C" w14:textId="77777777" w:rsidR="002152D6" w:rsidRPr="00CE207C" w:rsidRDefault="002152D6" w:rsidP="00CE207C">
            <w:pPr>
              <w:pStyle w:val="NoSpacing"/>
              <w:jc w:val="center"/>
              <w:rPr>
                <w:rFonts w:ascii="Times New Roman" w:hAnsi="Times New Roman" w:cs="Times New Roman"/>
                <w:sz w:val="32"/>
                <w:szCs w:val="24"/>
              </w:rPr>
            </w:pPr>
            <w:r w:rsidRPr="00CE207C">
              <w:rPr>
                <w:rFonts w:ascii="Times New Roman" w:hAnsi="Times New Roman" w:cs="Times New Roman"/>
                <w:sz w:val="32"/>
                <w:szCs w:val="24"/>
              </w:rPr>
              <w:t>11.19</w:t>
            </w:r>
          </w:p>
        </w:tc>
        <w:tc>
          <w:tcPr>
            <w:tcW w:w="0" w:type="auto"/>
            <w:vAlign w:val="center"/>
            <w:hideMark/>
          </w:tcPr>
          <w:p w14:paraId="46C80F4D" w14:textId="77777777" w:rsidR="002152D6" w:rsidRPr="00CE207C" w:rsidRDefault="002152D6" w:rsidP="00CE207C">
            <w:pPr>
              <w:pStyle w:val="NoSpacing"/>
              <w:jc w:val="center"/>
              <w:rPr>
                <w:rFonts w:ascii="Times New Roman" w:hAnsi="Times New Roman" w:cs="Times New Roman"/>
                <w:sz w:val="32"/>
                <w:szCs w:val="24"/>
              </w:rPr>
            </w:pPr>
            <w:r w:rsidRPr="00CE207C">
              <w:rPr>
                <w:rFonts w:ascii="Times New Roman" w:hAnsi="Times New Roman" w:cs="Times New Roman"/>
                <w:sz w:val="32"/>
                <w:szCs w:val="24"/>
              </w:rPr>
              <w:t>15.70</w:t>
            </w:r>
          </w:p>
        </w:tc>
      </w:tr>
      <w:tr w:rsidR="002152D6" w:rsidRPr="00CE207C" w14:paraId="1FE961FC" w14:textId="77777777" w:rsidTr="00CE207C">
        <w:trPr>
          <w:trHeight w:val="286"/>
        </w:trPr>
        <w:tc>
          <w:tcPr>
            <w:tcW w:w="0" w:type="auto"/>
            <w:hideMark/>
          </w:tcPr>
          <w:p w14:paraId="096D94E7" w14:textId="77777777" w:rsidR="002152D6" w:rsidRPr="00CE207C" w:rsidRDefault="002152D6" w:rsidP="00B77C0B">
            <w:pPr>
              <w:pStyle w:val="NoSpacing"/>
              <w:rPr>
                <w:rFonts w:ascii="Times New Roman" w:hAnsi="Times New Roman" w:cs="Times New Roman"/>
                <w:sz w:val="32"/>
                <w:szCs w:val="24"/>
              </w:rPr>
            </w:pPr>
            <w:r w:rsidRPr="00CE207C">
              <w:rPr>
                <w:rFonts w:ascii="Times New Roman" w:hAnsi="Times New Roman" w:cs="Times New Roman"/>
                <w:sz w:val="32"/>
                <w:szCs w:val="24"/>
              </w:rPr>
              <w:t>13. Electrical goods</w:t>
            </w:r>
          </w:p>
        </w:tc>
        <w:tc>
          <w:tcPr>
            <w:tcW w:w="0" w:type="auto"/>
            <w:vAlign w:val="center"/>
            <w:hideMark/>
          </w:tcPr>
          <w:p w14:paraId="4BF60AD4" w14:textId="77777777" w:rsidR="002152D6" w:rsidRPr="00CE207C" w:rsidRDefault="002152D6" w:rsidP="00CE207C">
            <w:pPr>
              <w:pStyle w:val="NoSpacing"/>
              <w:jc w:val="center"/>
              <w:rPr>
                <w:rFonts w:ascii="Times New Roman" w:hAnsi="Times New Roman" w:cs="Times New Roman"/>
                <w:sz w:val="32"/>
                <w:szCs w:val="24"/>
              </w:rPr>
            </w:pPr>
            <w:r w:rsidRPr="00CE207C">
              <w:rPr>
                <w:rFonts w:ascii="Times New Roman" w:hAnsi="Times New Roman" w:cs="Times New Roman"/>
                <w:sz w:val="32"/>
                <w:szCs w:val="24"/>
              </w:rPr>
              <w:t>3.91</w:t>
            </w:r>
          </w:p>
        </w:tc>
        <w:tc>
          <w:tcPr>
            <w:tcW w:w="0" w:type="auto"/>
            <w:vAlign w:val="center"/>
            <w:hideMark/>
          </w:tcPr>
          <w:p w14:paraId="390A4799" w14:textId="77777777" w:rsidR="002152D6" w:rsidRPr="00CE207C" w:rsidRDefault="002152D6" w:rsidP="00CE207C">
            <w:pPr>
              <w:pStyle w:val="NoSpacing"/>
              <w:jc w:val="center"/>
              <w:rPr>
                <w:rFonts w:ascii="Times New Roman" w:hAnsi="Times New Roman" w:cs="Times New Roman"/>
                <w:sz w:val="32"/>
                <w:szCs w:val="24"/>
              </w:rPr>
            </w:pPr>
            <w:r w:rsidRPr="00CE207C">
              <w:rPr>
                <w:rFonts w:ascii="Times New Roman" w:hAnsi="Times New Roman" w:cs="Times New Roman"/>
                <w:sz w:val="32"/>
                <w:szCs w:val="24"/>
              </w:rPr>
              <w:t>3.62</w:t>
            </w:r>
          </w:p>
        </w:tc>
        <w:tc>
          <w:tcPr>
            <w:tcW w:w="0" w:type="auto"/>
            <w:vAlign w:val="center"/>
            <w:hideMark/>
          </w:tcPr>
          <w:p w14:paraId="5A699797" w14:textId="77777777" w:rsidR="002152D6" w:rsidRPr="00CE207C" w:rsidRDefault="002152D6" w:rsidP="00CE207C">
            <w:pPr>
              <w:pStyle w:val="NoSpacing"/>
              <w:jc w:val="center"/>
              <w:rPr>
                <w:rFonts w:ascii="Times New Roman" w:hAnsi="Times New Roman" w:cs="Times New Roman"/>
                <w:sz w:val="32"/>
                <w:szCs w:val="24"/>
              </w:rPr>
            </w:pPr>
            <w:r w:rsidRPr="00CE207C">
              <w:rPr>
                <w:rFonts w:ascii="Times New Roman" w:hAnsi="Times New Roman" w:cs="Times New Roman"/>
                <w:sz w:val="32"/>
                <w:szCs w:val="24"/>
              </w:rPr>
              <w:t>4.14</w:t>
            </w:r>
          </w:p>
        </w:tc>
      </w:tr>
      <w:tr w:rsidR="002152D6" w:rsidRPr="00CE207C" w14:paraId="15CDDF74" w14:textId="77777777" w:rsidTr="00CE207C">
        <w:trPr>
          <w:trHeight w:val="286"/>
        </w:trPr>
        <w:tc>
          <w:tcPr>
            <w:tcW w:w="0" w:type="auto"/>
            <w:hideMark/>
          </w:tcPr>
          <w:p w14:paraId="5760CA20" w14:textId="77777777" w:rsidR="002152D6" w:rsidRPr="00CE207C" w:rsidRDefault="002152D6" w:rsidP="00B77C0B">
            <w:pPr>
              <w:pStyle w:val="NoSpacing"/>
              <w:rPr>
                <w:rFonts w:ascii="Times New Roman" w:hAnsi="Times New Roman" w:cs="Times New Roman"/>
                <w:sz w:val="32"/>
                <w:szCs w:val="24"/>
              </w:rPr>
            </w:pPr>
            <w:r w:rsidRPr="00CE207C">
              <w:rPr>
                <w:rFonts w:ascii="Times New Roman" w:hAnsi="Times New Roman" w:cs="Times New Roman"/>
                <w:sz w:val="32"/>
                <w:szCs w:val="24"/>
              </w:rPr>
              <w:t>14. Cement</w:t>
            </w:r>
          </w:p>
        </w:tc>
        <w:tc>
          <w:tcPr>
            <w:tcW w:w="0" w:type="auto"/>
            <w:vAlign w:val="center"/>
            <w:hideMark/>
          </w:tcPr>
          <w:p w14:paraId="373715B4" w14:textId="77777777" w:rsidR="002152D6" w:rsidRPr="00CE207C" w:rsidRDefault="002152D6" w:rsidP="00CE207C">
            <w:pPr>
              <w:pStyle w:val="NoSpacing"/>
              <w:jc w:val="center"/>
              <w:rPr>
                <w:rFonts w:ascii="Times New Roman" w:hAnsi="Times New Roman" w:cs="Times New Roman"/>
                <w:sz w:val="32"/>
                <w:szCs w:val="24"/>
              </w:rPr>
            </w:pPr>
            <w:r w:rsidRPr="00CE207C">
              <w:rPr>
                <w:rFonts w:ascii="Times New Roman" w:hAnsi="Times New Roman" w:cs="Times New Roman"/>
                <w:sz w:val="32"/>
                <w:szCs w:val="24"/>
              </w:rPr>
              <w:t>20.21</w:t>
            </w:r>
          </w:p>
        </w:tc>
        <w:tc>
          <w:tcPr>
            <w:tcW w:w="0" w:type="auto"/>
            <w:vAlign w:val="center"/>
            <w:hideMark/>
          </w:tcPr>
          <w:p w14:paraId="57485954" w14:textId="77777777" w:rsidR="002152D6" w:rsidRPr="00CE207C" w:rsidRDefault="002152D6" w:rsidP="00CE207C">
            <w:pPr>
              <w:pStyle w:val="NoSpacing"/>
              <w:jc w:val="center"/>
              <w:rPr>
                <w:rFonts w:ascii="Times New Roman" w:hAnsi="Times New Roman" w:cs="Times New Roman"/>
                <w:sz w:val="32"/>
                <w:szCs w:val="24"/>
              </w:rPr>
            </w:pPr>
            <w:r w:rsidRPr="00CE207C">
              <w:rPr>
                <w:rFonts w:ascii="Times New Roman" w:hAnsi="Times New Roman" w:cs="Times New Roman"/>
                <w:sz w:val="32"/>
                <w:szCs w:val="24"/>
              </w:rPr>
              <w:t>22.58</w:t>
            </w:r>
          </w:p>
        </w:tc>
        <w:tc>
          <w:tcPr>
            <w:tcW w:w="0" w:type="auto"/>
            <w:vAlign w:val="center"/>
            <w:hideMark/>
          </w:tcPr>
          <w:p w14:paraId="0D97DB89" w14:textId="77777777" w:rsidR="002152D6" w:rsidRPr="00CE207C" w:rsidRDefault="002152D6" w:rsidP="00CE207C">
            <w:pPr>
              <w:pStyle w:val="NoSpacing"/>
              <w:jc w:val="center"/>
              <w:rPr>
                <w:rFonts w:ascii="Times New Roman" w:hAnsi="Times New Roman" w:cs="Times New Roman"/>
                <w:sz w:val="32"/>
                <w:szCs w:val="24"/>
              </w:rPr>
            </w:pPr>
            <w:r w:rsidRPr="00CE207C">
              <w:rPr>
                <w:rFonts w:ascii="Times New Roman" w:hAnsi="Times New Roman" w:cs="Times New Roman"/>
                <w:sz w:val="32"/>
                <w:szCs w:val="24"/>
              </w:rPr>
              <w:t>25.71</w:t>
            </w:r>
          </w:p>
        </w:tc>
      </w:tr>
      <w:tr w:rsidR="002152D6" w:rsidRPr="00CE207C" w14:paraId="2C446BDA" w14:textId="77777777" w:rsidTr="00CE207C">
        <w:trPr>
          <w:trHeight w:val="286"/>
        </w:trPr>
        <w:tc>
          <w:tcPr>
            <w:tcW w:w="0" w:type="auto"/>
            <w:hideMark/>
          </w:tcPr>
          <w:p w14:paraId="16021FF6" w14:textId="77777777" w:rsidR="002152D6" w:rsidRPr="00CE207C" w:rsidRDefault="002152D6" w:rsidP="00B77C0B">
            <w:pPr>
              <w:pStyle w:val="NoSpacing"/>
              <w:rPr>
                <w:rFonts w:ascii="Times New Roman" w:hAnsi="Times New Roman" w:cs="Times New Roman"/>
                <w:sz w:val="32"/>
                <w:szCs w:val="24"/>
              </w:rPr>
            </w:pPr>
            <w:r w:rsidRPr="00CE207C">
              <w:rPr>
                <w:rFonts w:ascii="Times New Roman" w:hAnsi="Times New Roman" w:cs="Times New Roman"/>
                <w:sz w:val="32"/>
                <w:szCs w:val="24"/>
              </w:rPr>
              <w:t>15. Lime Stone and Dolomite</w:t>
            </w:r>
          </w:p>
        </w:tc>
        <w:tc>
          <w:tcPr>
            <w:tcW w:w="0" w:type="auto"/>
            <w:vAlign w:val="center"/>
            <w:hideMark/>
          </w:tcPr>
          <w:p w14:paraId="6A90EA65" w14:textId="77777777" w:rsidR="002152D6" w:rsidRPr="00CE207C" w:rsidRDefault="002152D6" w:rsidP="00CE207C">
            <w:pPr>
              <w:pStyle w:val="NoSpacing"/>
              <w:jc w:val="center"/>
              <w:rPr>
                <w:rFonts w:ascii="Times New Roman" w:hAnsi="Times New Roman" w:cs="Times New Roman"/>
                <w:sz w:val="32"/>
                <w:szCs w:val="24"/>
              </w:rPr>
            </w:pPr>
            <w:r w:rsidRPr="00CE207C">
              <w:rPr>
                <w:rFonts w:ascii="Times New Roman" w:hAnsi="Times New Roman" w:cs="Times New Roman"/>
                <w:sz w:val="32"/>
                <w:szCs w:val="24"/>
              </w:rPr>
              <w:t>9.85</w:t>
            </w:r>
          </w:p>
        </w:tc>
        <w:tc>
          <w:tcPr>
            <w:tcW w:w="0" w:type="auto"/>
            <w:vAlign w:val="center"/>
            <w:hideMark/>
          </w:tcPr>
          <w:p w14:paraId="547D1036" w14:textId="77777777" w:rsidR="002152D6" w:rsidRPr="00CE207C" w:rsidRDefault="002152D6" w:rsidP="00CE207C">
            <w:pPr>
              <w:pStyle w:val="NoSpacing"/>
              <w:jc w:val="center"/>
              <w:rPr>
                <w:rFonts w:ascii="Times New Roman" w:hAnsi="Times New Roman" w:cs="Times New Roman"/>
                <w:sz w:val="32"/>
                <w:szCs w:val="24"/>
              </w:rPr>
            </w:pPr>
            <w:r w:rsidRPr="00CE207C">
              <w:rPr>
                <w:rFonts w:ascii="Times New Roman" w:hAnsi="Times New Roman" w:cs="Times New Roman"/>
                <w:sz w:val="32"/>
                <w:szCs w:val="24"/>
              </w:rPr>
              <w:t>9.46</w:t>
            </w:r>
          </w:p>
        </w:tc>
        <w:tc>
          <w:tcPr>
            <w:tcW w:w="0" w:type="auto"/>
            <w:vAlign w:val="center"/>
            <w:hideMark/>
          </w:tcPr>
          <w:p w14:paraId="5CE3DA8E" w14:textId="77777777" w:rsidR="002152D6" w:rsidRPr="00CE207C" w:rsidRDefault="002152D6" w:rsidP="00CE207C">
            <w:pPr>
              <w:pStyle w:val="NoSpacing"/>
              <w:jc w:val="center"/>
              <w:rPr>
                <w:rFonts w:ascii="Times New Roman" w:hAnsi="Times New Roman" w:cs="Times New Roman"/>
                <w:sz w:val="32"/>
                <w:szCs w:val="24"/>
              </w:rPr>
            </w:pPr>
            <w:r w:rsidRPr="00CE207C">
              <w:rPr>
                <w:rFonts w:ascii="Times New Roman" w:hAnsi="Times New Roman" w:cs="Times New Roman"/>
                <w:sz w:val="32"/>
                <w:szCs w:val="24"/>
              </w:rPr>
              <w:t>9.70</w:t>
            </w:r>
          </w:p>
        </w:tc>
      </w:tr>
      <w:tr w:rsidR="002152D6" w:rsidRPr="00CE207C" w14:paraId="1930706B" w14:textId="77777777" w:rsidTr="00CE207C">
        <w:trPr>
          <w:trHeight w:val="286"/>
        </w:trPr>
        <w:tc>
          <w:tcPr>
            <w:tcW w:w="0" w:type="auto"/>
            <w:hideMark/>
          </w:tcPr>
          <w:p w14:paraId="57EA641C" w14:textId="77777777" w:rsidR="002152D6" w:rsidRPr="00CE207C" w:rsidRDefault="002152D6" w:rsidP="00B77C0B">
            <w:pPr>
              <w:pStyle w:val="NoSpacing"/>
              <w:rPr>
                <w:rFonts w:ascii="Times New Roman" w:hAnsi="Times New Roman" w:cs="Times New Roman"/>
                <w:sz w:val="32"/>
                <w:szCs w:val="24"/>
              </w:rPr>
            </w:pPr>
            <w:r w:rsidRPr="00CE207C">
              <w:rPr>
                <w:rFonts w:ascii="Times New Roman" w:hAnsi="Times New Roman" w:cs="Times New Roman"/>
                <w:sz w:val="32"/>
                <w:szCs w:val="24"/>
              </w:rPr>
              <w:t>16. Stone other than marble and gypsum</w:t>
            </w:r>
          </w:p>
        </w:tc>
        <w:tc>
          <w:tcPr>
            <w:tcW w:w="0" w:type="auto"/>
            <w:vAlign w:val="center"/>
            <w:hideMark/>
          </w:tcPr>
          <w:p w14:paraId="560F5ED0" w14:textId="77777777" w:rsidR="002152D6" w:rsidRPr="00CE207C" w:rsidRDefault="002152D6" w:rsidP="00CE207C">
            <w:pPr>
              <w:pStyle w:val="NoSpacing"/>
              <w:jc w:val="center"/>
              <w:rPr>
                <w:rFonts w:ascii="Times New Roman" w:hAnsi="Times New Roman" w:cs="Times New Roman"/>
                <w:sz w:val="32"/>
                <w:szCs w:val="24"/>
              </w:rPr>
            </w:pPr>
            <w:r w:rsidRPr="00CE207C">
              <w:rPr>
                <w:rFonts w:ascii="Times New Roman" w:hAnsi="Times New Roman" w:cs="Times New Roman"/>
                <w:sz w:val="32"/>
                <w:szCs w:val="24"/>
              </w:rPr>
              <w:t>8.38</w:t>
            </w:r>
          </w:p>
        </w:tc>
        <w:tc>
          <w:tcPr>
            <w:tcW w:w="0" w:type="auto"/>
            <w:vAlign w:val="center"/>
            <w:hideMark/>
          </w:tcPr>
          <w:p w14:paraId="26B526D5" w14:textId="77777777" w:rsidR="002152D6" w:rsidRPr="00CE207C" w:rsidRDefault="002152D6" w:rsidP="00CE207C">
            <w:pPr>
              <w:pStyle w:val="NoSpacing"/>
              <w:jc w:val="center"/>
              <w:rPr>
                <w:rFonts w:ascii="Times New Roman" w:hAnsi="Times New Roman" w:cs="Times New Roman"/>
                <w:sz w:val="32"/>
                <w:szCs w:val="24"/>
              </w:rPr>
            </w:pPr>
            <w:r w:rsidRPr="00CE207C">
              <w:rPr>
                <w:rFonts w:ascii="Times New Roman" w:hAnsi="Times New Roman" w:cs="Times New Roman"/>
                <w:sz w:val="32"/>
                <w:szCs w:val="24"/>
              </w:rPr>
              <w:t>10.35</w:t>
            </w:r>
          </w:p>
        </w:tc>
        <w:tc>
          <w:tcPr>
            <w:tcW w:w="0" w:type="auto"/>
            <w:vAlign w:val="center"/>
            <w:hideMark/>
          </w:tcPr>
          <w:p w14:paraId="0E9F87FB" w14:textId="77777777" w:rsidR="002152D6" w:rsidRPr="00CE207C" w:rsidRDefault="002152D6" w:rsidP="00CE207C">
            <w:pPr>
              <w:pStyle w:val="NoSpacing"/>
              <w:jc w:val="center"/>
              <w:rPr>
                <w:rFonts w:ascii="Times New Roman" w:hAnsi="Times New Roman" w:cs="Times New Roman"/>
                <w:sz w:val="32"/>
                <w:szCs w:val="24"/>
              </w:rPr>
            </w:pPr>
            <w:r w:rsidRPr="00CE207C">
              <w:rPr>
                <w:rFonts w:ascii="Times New Roman" w:hAnsi="Times New Roman" w:cs="Times New Roman"/>
                <w:sz w:val="32"/>
                <w:szCs w:val="24"/>
              </w:rPr>
              <w:t>8.13</w:t>
            </w:r>
          </w:p>
        </w:tc>
      </w:tr>
      <w:tr w:rsidR="002152D6" w:rsidRPr="00CE207C" w14:paraId="1B822554" w14:textId="77777777" w:rsidTr="00CE207C">
        <w:trPr>
          <w:trHeight w:val="299"/>
        </w:trPr>
        <w:tc>
          <w:tcPr>
            <w:tcW w:w="0" w:type="auto"/>
            <w:hideMark/>
          </w:tcPr>
          <w:p w14:paraId="7255703E" w14:textId="77777777" w:rsidR="002152D6" w:rsidRPr="00CE207C" w:rsidRDefault="002152D6" w:rsidP="00B77C0B">
            <w:pPr>
              <w:pStyle w:val="NoSpacing"/>
              <w:rPr>
                <w:rFonts w:ascii="Times New Roman" w:hAnsi="Times New Roman" w:cs="Times New Roman"/>
                <w:sz w:val="32"/>
                <w:szCs w:val="24"/>
              </w:rPr>
            </w:pPr>
            <w:r w:rsidRPr="00CE207C">
              <w:rPr>
                <w:rFonts w:ascii="Times New Roman" w:hAnsi="Times New Roman" w:cs="Times New Roman"/>
                <w:sz w:val="32"/>
                <w:szCs w:val="24"/>
              </w:rPr>
              <w:t>17. Gypsum</w:t>
            </w:r>
          </w:p>
        </w:tc>
        <w:tc>
          <w:tcPr>
            <w:tcW w:w="0" w:type="auto"/>
            <w:vAlign w:val="center"/>
            <w:hideMark/>
          </w:tcPr>
          <w:p w14:paraId="52BFDD47" w14:textId="77777777" w:rsidR="002152D6" w:rsidRPr="00CE207C" w:rsidRDefault="002152D6" w:rsidP="00CE207C">
            <w:pPr>
              <w:pStyle w:val="NoSpacing"/>
              <w:jc w:val="center"/>
              <w:rPr>
                <w:rFonts w:ascii="Times New Roman" w:hAnsi="Times New Roman" w:cs="Times New Roman"/>
                <w:sz w:val="32"/>
                <w:szCs w:val="24"/>
              </w:rPr>
            </w:pPr>
            <w:r w:rsidRPr="00CE207C">
              <w:rPr>
                <w:rFonts w:ascii="Times New Roman" w:hAnsi="Times New Roman" w:cs="Times New Roman"/>
                <w:sz w:val="32"/>
                <w:szCs w:val="24"/>
              </w:rPr>
              <w:t>4.25</w:t>
            </w:r>
          </w:p>
        </w:tc>
        <w:tc>
          <w:tcPr>
            <w:tcW w:w="0" w:type="auto"/>
            <w:vAlign w:val="center"/>
            <w:hideMark/>
          </w:tcPr>
          <w:p w14:paraId="2598D638" w14:textId="77777777" w:rsidR="002152D6" w:rsidRPr="00CE207C" w:rsidRDefault="002152D6" w:rsidP="00CE207C">
            <w:pPr>
              <w:pStyle w:val="NoSpacing"/>
              <w:jc w:val="center"/>
              <w:rPr>
                <w:rFonts w:ascii="Times New Roman" w:hAnsi="Times New Roman" w:cs="Times New Roman"/>
                <w:sz w:val="32"/>
                <w:szCs w:val="24"/>
              </w:rPr>
            </w:pPr>
            <w:r w:rsidRPr="00CE207C">
              <w:rPr>
                <w:rFonts w:ascii="Times New Roman" w:hAnsi="Times New Roman" w:cs="Times New Roman"/>
                <w:sz w:val="32"/>
                <w:szCs w:val="24"/>
              </w:rPr>
              <w:t>4.36</w:t>
            </w:r>
          </w:p>
        </w:tc>
        <w:tc>
          <w:tcPr>
            <w:tcW w:w="0" w:type="auto"/>
            <w:vAlign w:val="center"/>
            <w:hideMark/>
          </w:tcPr>
          <w:p w14:paraId="735EEB9F" w14:textId="77777777" w:rsidR="002152D6" w:rsidRPr="00CE207C" w:rsidRDefault="002152D6" w:rsidP="00CE207C">
            <w:pPr>
              <w:pStyle w:val="NoSpacing"/>
              <w:jc w:val="center"/>
              <w:rPr>
                <w:rFonts w:ascii="Times New Roman" w:hAnsi="Times New Roman" w:cs="Times New Roman"/>
                <w:sz w:val="32"/>
                <w:szCs w:val="24"/>
              </w:rPr>
            </w:pPr>
            <w:r w:rsidRPr="00CE207C">
              <w:rPr>
                <w:rFonts w:ascii="Times New Roman" w:hAnsi="Times New Roman" w:cs="Times New Roman"/>
                <w:sz w:val="32"/>
                <w:szCs w:val="24"/>
              </w:rPr>
              <w:t>4.25</w:t>
            </w:r>
          </w:p>
        </w:tc>
      </w:tr>
      <w:tr w:rsidR="002152D6" w:rsidRPr="00CE207C" w14:paraId="5B21E512" w14:textId="77777777" w:rsidTr="00CE207C">
        <w:trPr>
          <w:trHeight w:val="286"/>
        </w:trPr>
        <w:tc>
          <w:tcPr>
            <w:tcW w:w="0" w:type="auto"/>
            <w:hideMark/>
          </w:tcPr>
          <w:p w14:paraId="6ADED703" w14:textId="77777777" w:rsidR="002152D6" w:rsidRPr="00CE207C" w:rsidRDefault="002152D6" w:rsidP="00B77C0B">
            <w:pPr>
              <w:pStyle w:val="NoSpacing"/>
              <w:rPr>
                <w:rFonts w:ascii="Times New Roman" w:hAnsi="Times New Roman" w:cs="Times New Roman"/>
                <w:sz w:val="32"/>
                <w:szCs w:val="24"/>
              </w:rPr>
            </w:pPr>
            <w:r w:rsidRPr="00CE207C">
              <w:rPr>
                <w:rFonts w:ascii="Times New Roman" w:hAnsi="Times New Roman" w:cs="Times New Roman"/>
                <w:sz w:val="32"/>
                <w:szCs w:val="24"/>
              </w:rPr>
              <w:t>18. Chemical manures</w:t>
            </w:r>
          </w:p>
        </w:tc>
        <w:tc>
          <w:tcPr>
            <w:tcW w:w="0" w:type="auto"/>
            <w:vAlign w:val="center"/>
            <w:hideMark/>
          </w:tcPr>
          <w:p w14:paraId="01EB8395" w14:textId="77777777" w:rsidR="002152D6" w:rsidRPr="00CE207C" w:rsidRDefault="002152D6" w:rsidP="00CE207C">
            <w:pPr>
              <w:pStyle w:val="NoSpacing"/>
              <w:jc w:val="center"/>
              <w:rPr>
                <w:rFonts w:ascii="Times New Roman" w:hAnsi="Times New Roman" w:cs="Times New Roman"/>
                <w:sz w:val="32"/>
                <w:szCs w:val="24"/>
              </w:rPr>
            </w:pPr>
            <w:r w:rsidRPr="00CE207C">
              <w:rPr>
                <w:rFonts w:ascii="Times New Roman" w:hAnsi="Times New Roman" w:cs="Times New Roman"/>
                <w:sz w:val="32"/>
                <w:szCs w:val="24"/>
              </w:rPr>
              <w:t>7.60</w:t>
            </w:r>
          </w:p>
        </w:tc>
        <w:tc>
          <w:tcPr>
            <w:tcW w:w="0" w:type="auto"/>
            <w:vAlign w:val="center"/>
            <w:hideMark/>
          </w:tcPr>
          <w:p w14:paraId="43239769" w14:textId="77777777" w:rsidR="002152D6" w:rsidRPr="00CE207C" w:rsidRDefault="002152D6" w:rsidP="00CE207C">
            <w:pPr>
              <w:pStyle w:val="NoSpacing"/>
              <w:jc w:val="center"/>
              <w:rPr>
                <w:rFonts w:ascii="Times New Roman" w:hAnsi="Times New Roman" w:cs="Times New Roman"/>
                <w:sz w:val="32"/>
                <w:szCs w:val="24"/>
              </w:rPr>
            </w:pPr>
            <w:r w:rsidRPr="00CE207C">
              <w:rPr>
                <w:rFonts w:ascii="Times New Roman" w:hAnsi="Times New Roman" w:cs="Times New Roman"/>
                <w:sz w:val="32"/>
                <w:szCs w:val="24"/>
              </w:rPr>
              <w:t>11.19</w:t>
            </w:r>
          </w:p>
        </w:tc>
        <w:tc>
          <w:tcPr>
            <w:tcW w:w="0" w:type="auto"/>
            <w:vAlign w:val="center"/>
            <w:hideMark/>
          </w:tcPr>
          <w:p w14:paraId="47747E66" w14:textId="77777777" w:rsidR="002152D6" w:rsidRPr="00CE207C" w:rsidRDefault="002152D6" w:rsidP="00CE207C">
            <w:pPr>
              <w:pStyle w:val="NoSpacing"/>
              <w:jc w:val="center"/>
              <w:rPr>
                <w:rFonts w:ascii="Times New Roman" w:hAnsi="Times New Roman" w:cs="Times New Roman"/>
                <w:sz w:val="32"/>
                <w:szCs w:val="24"/>
              </w:rPr>
            </w:pPr>
            <w:r w:rsidRPr="00CE207C">
              <w:rPr>
                <w:rFonts w:ascii="Times New Roman" w:hAnsi="Times New Roman" w:cs="Times New Roman"/>
                <w:sz w:val="32"/>
                <w:szCs w:val="24"/>
              </w:rPr>
              <w:t>15.70</w:t>
            </w:r>
          </w:p>
        </w:tc>
      </w:tr>
      <w:tr w:rsidR="002152D6" w:rsidRPr="00CE207C" w14:paraId="270F68C8" w14:textId="77777777" w:rsidTr="00CE207C">
        <w:trPr>
          <w:trHeight w:val="286"/>
        </w:trPr>
        <w:tc>
          <w:tcPr>
            <w:tcW w:w="0" w:type="auto"/>
            <w:hideMark/>
          </w:tcPr>
          <w:p w14:paraId="3E5DD176" w14:textId="77777777" w:rsidR="002152D6" w:rsidRPr="00CE207C" w:rsidRDefault="002152D6" w:rsidP="00B77C0B">
            <w:pPr>
              <w:pStyle w:val="NoSpacing"/>
              <w:rPr>
                <w:rFonts w:ascii="Times New Roman" w:hAnsi="Times New Roman" w:cs="Times New Roman"/>
                <w:sz w:val="32"/>
                <w:szCs w:val="24"/>
              </w:rPr>
            </w:pPr>
            <w:r w:rsidRPr="00CE207C">
              <w:rPr>
                <w:rFonts w:ascii="Times New Roman" w:hAnsi="Times New Roman" w:cs="Times New Roman"/>
                <w:sz w:val="32"/>
                <w:szCs w:val="24"/>
              </w:rPr>
              <w:t>19. Ores (Iron, Manganese and others)</w:t>
            </w:r>
          </w:p>
        </w:tc>
        <w:tc>
          <w:tcPr>
            <w:tcW w:w="0" w:type="auto"/>
            <w:vAlign w:val="center"/>
            <w:hideMark/>
          </w:tcPr>
          <w:p w14:paraId="30396141" w14:textId="77777777" w:rsidR="002152D6" w:rsidRPr="00CE207C" w:rsidRDefault="002152D6" w:rsidP="00CE207C">
            <w:pPr>
              <w:pStyle w:val="NoSpacing"/>
              <w:jc w:val="center"/>
              <w:rPr>
                <w:rFonts w:ascii="Times New Roman" w:hAnsi="Times New Roman" w:cs="Times New Roman"/>
                <w:sz w:val="32"/>
                <w:szCs w:val="24"/>
              </w:rPr>
            </w:pPr>
            <w:r w:rsidRPr="00CE207C">
              <w:rPr>
                <w:rFonts w:ascii="Times New Roman" w:hAnsi="Times New Roman" w:cs="Times New Roman"/>
                <w:sz w:val="32"/>
                <w:szCs w:val="24"/>
              </w:rPr>
              <w:t>29.42</w:t>
            </w:r>
          </w:p>
        </w:tc>
        <w:tc>
          <w:tcPr>
            <w:tcW w:w="0" w:type="auto"/>
            <w:vAlign w:val="center"/>
            <w:hideMark/>
          </w:tcPr>
          <w:p w14:paraId="2454B5BC" w14:textId="77777777" w:rsidR="002152D6" w:rsidRPr="00CE207C" w:rsidRDefault="002152D6" w:rsidP="00CE207C">
            <w:pPr>
              <w:pStyle w:val="NoSpacing"/>
              <w:jc w:val="center"/>
              <w:rPr>
                <w:rFonts w:ascii="Times New Roman" w:hAnsi="Times New Roman" w:cs="Times New Roman"/>
                <w:sz w:val="32"/>
                <w:szCs w:val="24"/>
              </w:rPr>
            </w:pPr>
            <w:r w:rsidRPr="00CE207C">
              <w:rPr>
                <w:rFonts w:ascii="Times New Roman" w:hAnsi="Times New Roman" w:cs="Times New Roman"/>
                <w:sz w:val="32"/>
                <w:szCs w:val="24"/>
              </w:rPr>
              <w:t>32.76</w:t>
            </w:r>
          </w:p>
        </w:tc>
        <w:tc>
          <w:tcPr>
            <w:tcW w:w="0" w:type="auto"/>
            <w:vAlign w:val="center"/>
            <w:hideMark/>
          </w:tcPr>
          <w:p w14:paraId="60CCACD6" w14:textId="77777777" w:rsidR="002152D6" w:rsidRPr="00CE207C" w:rsidRDefault="002152D6" w:rsidP="00CE207C">
            <w:pPr>
              <w:pStyle w:val="NoSpacing"/>
              <w:jc w:val="center"/>
              <w:rPr>
                <w:rFonts w:ascii="Times New Roman" w:hAnsi="Times New Roman" w:cs="Times New Roman"/>
                <w:sz w:val="32"/>
                <w:szCs w:val="24"/>
              </w:rPr>
            </w:pPr>
            <w:r w:rsidRPr="00CE207C">
              <w:rPr>
                <w:rFonts w:ascii="Times New Roman" w:hAnsi="Times New Roman" w:cs="Times New Roman"/>
                <w:sz w:val="32"/>
                <w:szCs w:val="24"/>
              </w:rPr>
              <w:t>36.44</w:t>
            </w:r>
          </w:p>
        </w:tc>
      </w:tr>
      <w:tr w:rsidR="002152D6" w:rsidRPr="00CE207C" w14:paraId="195A7474" w14:textId="77777777" w:rsidTr="00CE207C">
        <w:trPr>
          <w:trHeight w:val="286"/>
        </w:trPr>
        <w:tc>
          <w:tcPr>
            <w:tcW w:w="0" w:type="auto"/>
            <w:hideMark/>
          </w:tcPr>
          <w:p w14:paraId="15338EBC" w14:textId="77777777" w:rsidR="002152D6" w:rsidRPr="00CE207C" w:rsidRDefault="002152D6" w:rsidP="00B77C0B">
            <w:pPr>
              <w:pStyle w:val="NoSpacing"/>
              <w:rPr>
                <w:rFonts w:ascii="Times New Roman" w:hAnsi="Times New Roman" w:cs="Times New Roman"/>
                <w:sz w:val="32"/>
                <w:szCs w:val="24"/>
              </w:rPr>
            </w:pPr>
            <w:r w:rsidRPr="00CE207C">
              <w:rPr>
                <w:rFonts w:ascii="Times New Roman" w:hAnsi="Times New Roman" w:cs="Times New Roman"/>
                <w:sz w:val="32"/>
                <w:szCs w:val="24"/>
              </w:rPr>
              <w:t>20. Iron and Steel</w:t>
            </w:r>
          </w:p>
        </w:tc>
        <w:tc>
          <w:tcPr>
            <w:tcW w:w="0" w:type="auto"/>
            <w:vAlign w:val="center"/>
            <w:hideMark/>
          </w:tcPr>
          <w:p w14:paraId="75F7801C" w14:textId="77777777" w:rsidR="002152D6" w:rsidRPr="00CE207C" w:rsidRDefault="002152D6" w:rsidP="00CE207C">
            <w:pPr>
              <w:pStyle w:val="NoSpacing"/>
              <w:jc w:val="center"/>
              <w:rPr>
                <w:rFonts w:ascii="Times New Roman" w:hAnsi="Times New Roman" w:cs="Times New Roman"/>
                <w:sz w:val="32"/>
                <w:szCs w:val="24"/>
              </w:rPr>
            </w:pPr>
            <w:r w:rsidRPr="00CE207C">
              <w:rPr>
                <w:rFonts w:ascii="Times New Roman" w:hAnsi="Times New Roman" w:cs="Times New Roman"/>
                <w:sz w:val="32"/>
                <w:szCs w:val="24"/>
              </w:rPr>
              <w:t>58.98</w:t>
            </w:r>
          </w:p>
        </w:tc>
        <w:tc>
          <w:tcPr>
            <w:tcW w:w="0" w:type="auto"/>
            <w:vAlign w:val="center"/>
            <w:hideMark/>
          </w:tcPr>
          <w:p w14:paraId="32FAACC1" w14:textId="77777777" w:rsidR="002152D6" w:rsidRPr="00CE207C" w:rsidRDefault="002152D6" w:rsidP="00CE207C">
            <w:pPr>
              <w:pStyle w:val="NoSpacing"/>
              <w:jc w:val="center"/>
              <w:rPr>
                <w:rFonts w:ascii="Times New Roman" w:hAnsi="Times New Roman" w:cs="Times New Roman"/>
                <w:sz w:val="32"/>
                <w:szCs w:val="24"/>
              </w:rPr>
            </w:pPr>
            <w:r w:rsidRPr="00CE207C">
              <w:rPr>
                <w:rFonts w:ascii="Times New Roman" w:hAnsi="Times New Roman" w:cs="Times New Roman"/>
                <w:sz w:val="32"/>
                <w:szCs w:val="24"/>
              </w:rPr>
              <w:t>60.43</w:t>
            </w:r>
          </w:p>
        </w:tc>
        <w:tc>
          <w:tcPr>
            <w:tcW w:w="0" w:type="auto"/>
            <w:vAlign w:val="center"/>
            <w:hideMark/>
          </w:tcPr>
          <w:p w14:paraId="55C2483F" w14:textId="77777777" w:rsidR="002152D6" w:rsidRPr="00CE207C" w:rsidRDefault="002152D6" w:rsidP="00CE207C">
            <w:pPr>
              <w:pStyle w:val="NoSpacing"/>
              <w:jc w:val="center"/>
              <w:rPr>
                <w:rFonts w:ascii="Times New Roman" w:hAnsi="Times New Roman" w:cs="Times New Roman"/>
                <w:sz w:val="32"/>
                <w:szCs w:val="24"/>
              </w:rPr>
            </w:pPr>
            <w:r w:rsidRPr="00CE207C">
              <w:rPr>
                <w:rFonts w:ascii="Times New Roman" w:hAnsi="Times New Roman" w:cs="Times New Roman"/>
                <w:sz w:val="32"/>
                <w:szCs w:val="24"/>
              </w:rPr>
              <w:t>58.74</w:t>
            </w:r>
          </w:p>
        </w:tc>
      </w:tr>
      <w:tr w:rsidR="002152D6" w:rsidRPr="00CE207C" w14:paraId="77F4C60C" w14:textId="77777777" w:rsidTr="00CE207C">
        <w:trPr>
          <w:trHeight w:val="286"/>
        </w:trPr>
        <w:tc>
          <w:tcPr>
            <w:tcW w:w="0" w:type="auto"/>
            <w:hideMark/>
          </w:tcPr>
          <w:p w14:paraId="3E323845" w14:textId="77777777" w:rsidR="002152D6" w:rsidRPr="00CE207C" w:rsidRDefault="002152D6" w:rsidP="00B77C0B">
            <w:pPr>
              <w:pStyle w:val="NoSpacing"/>
              <w:rPr>
                <w:rFonts w:ascii="Times New Roman" w:hAnsi="Times New Roman" w:cs="Times New Roman"/>
                <w:sz w:val="32"/>
                <w:szCs w:val="24"/>
              </w:rPr>
            </w:pPr>
            <w:r w:rsidRPr="00CE207C">
              <w:rPr>
                <w:rFonts w:ascii="Times New Roman" w:hAnsi="Times New Roman" w:cs="Times New Roman"/>
                <w:sz w:val="32"/>
                <w:szCs w:val="24"/>
              </w:rPr>
              <w:t>21. Diesel oil</w:t>
            </w:r>
          </w:p>
        </w:tc>
        <w:tc>
          <w:tcPr>
            <w:tcW w:w="0" w:type="auto"/>
            <w:vAlign w:val="center"/>
            <w:hideMark/>
          </w:tcPr>
          <w:p w14:paraId="27A57666" w14:textId="77777777" w:rsidR="002152D6" w:rsidRPr="00CE207C" w:rsidRDefault="002152D6" w:rsidP="00CE207C">
            <w:pPr>
              <w:pStyle w:val="NoSpacing"/>
              <w:jc w:val="center"/>
              <w:rPr>
                <w:rFonts w:ascii="Times New Roman" w:hAnsi="Times New Roman" w:cs="Times New Roman"/>
                <w:sz w:val="32"/>
                <w:szCs w:val="24"/>
              </w:rPr>
            </w:pPr>
            <w:r w:rsidRPr="00CE207C">
              <w:rPr>
                <w:rFonts w:ascii="Times New Roman" w:hAnsi="Times New Roman" w:cs="Times New Roman"/>
                <w:sz w:val="32"/>
                <w:szCs w:val="24"/>
              </w:rPr>
              <w:t>9.52</w:t>
            </w:r>
          </w:p>
        </w:tc>
        <w:tc>
          <w:tcPr>
            <w:tcW w:w="0" w:type="auto"/>
            <w:vAlign w:val="center"/>
            <w:hideMark/>
          </w:tcPr>
          <w:p w14:paraId="11BBFDE6" w14:textId="77777777" w:rsidR="002152D6" w:rsidRPr="00CE207C" w:rsidRDefault="002152D6" w:rsidP="00CE207C">
            <w:pPr>
              <w:pStyle w:val="NoSpacing"/>
              <w:jc w:val="center"/>
              <w:rPr>
                <w:rFonts w:ascii="Times New Roman" w:hAnsi="Times New Roman" w:cs="Times New Roman"/>
                <w:sz w:val="32"/>
                <w:szCs w:val="24"/>
              </w:rPr>
            </w:pPr>
            <w:r w:rsidRPr="00CE207C">
              <w:rPr>
                <w:rFonts w:ascii="Times New Roman" w:hAnsi="Times New Roman" w:cs="Times New Roman"/>
                <w:sz w:val="32"/>
                <w:szCs w:val="24"/>
              </w:rPr>
              <w:t>10.20</w:t>
            </w:r>
          </w:p>
        </w:tc>
        <w:tc>
          <w:tcPr>
            <w:tcW w:w="0" w:type="auto"/>
            <w:vAlign w:val="center"/>
            <w:hideMark/>
          </w:tcPr>
          <w:p w14:paraId="74082809" w14:textId="77777777" w:rsidR="002152D6" w:rsidRPr="00CE207C" w:rsidRDefault="002152D6" w:rsidP="00CE207C">
            <w:pPr>
              <w:pStyle w:val="NoSpacing"/>
              <w:jc w:val="center"/>
              <w:rPr>
                <w:rFonts w:ascii="Times New Roman" w:hAnsi="Times New Roman" w:cs="Times New Roman"/>
                <w:sz w:val="32"/>
                <w:szCs w:val="24"/>
              </w:rPr>
            </w:pPr>
            <w:r w:rsidRPr="00CE207C">
              <w:rPr>
                <w:rFonts w:ascii="Times New Roman" w:hAnsi="Times New Roman" w:cs="Times New Roman"/>
                <w:sz w:val="32"/>
                <w:szCs w:val="24"/>
              </w:rPr>
              <w:t>10.38</w:t>
            </w:r>
          </w:p>
        </w:tc>
      </w:tr>
      <w:tr w:rsidR="002152D6" w:rsidRPr="00CE207C" w14:paraId="419D0DD7" w14:textId="77777777" w:rsidTr="00CE207C">
        <w:trPr>
          <w:trHeight w:val="286"/>
        </w:trPr>
        <w:tc>
          <w:tcPr>
            <w:tcW w:w="0" w:type="auto"/>
            <w:hideMark/>
          </w:tcPr>
          <w:p w14:paraId="045EA00B" w14:textId="77777777" w:rsidR="002152D6" w:rsidRPr="00CE207C" w:rsidRDefault="002152D6" w:rsidP="00B77C0B">
            <w:pPr>
              <w:pStyle w:val="NoSpacing"/>
              <w:rPr>
                <w:rFonts w:ascii="Times New Roman" w:hAnsi="Times New Roman" w:cs="Times New Roman"/>
                <w:sz w:val="32"/>
                <w:szCs w:val="24"/>
              </w:rPr>
            </w:pPr>
            <w:r w:rsidRPr="00CE207C">
              <w:rPr>
                <w:rFonts w:ascii="Times New Roman" w:hAnsi="Times New Roman" w:cs="Times New Roman"/>
                <w:sz w:val="32"/>
                <w:szCs w:val="24"/>
              </w:rPr>
              <w:t>22. Kerosene oil</w:t>
            </w:r>
          </w:p>
        </w:tc>
        <w:tc>
          <w:tcPr>
            <w:tcW w:w="0" w:type="auto"/>
            <w:vAlign w:val="center"/>
            <w:hideMark/>
          </w:tcPr>
          <w:p w14:paraId="3D2E65D7" w14:textId="77777777" w:rsidR="002152D6" w:rsidRPr="00CE207C" w:rsidRDefault="002152D6" w:rsidP="00CE207C">
            <w:pPr>
              <w:pStyle w:val="NoSpacing"/>
              <w:jc w:val="center"/>
              <w:rPr>
                <w:rFonts w:ascii="Times New Roman" w:hAnsi="Times New Roman" w:cs="Times New Roman"/>
                <w:sz w:val="32"/>
                <w:szCs w:val="24"/>
              </w:rPr>
            </w:pPr>
            <w:r w:rsidRPr="00CE207C">
              <w:rPr>
                <w:rFonts w:ascii="Times New Roman" w:hAnsi="Times New Roman" w:cs="Times New Roman"/>
                <w:sz w:val="32"/>
                <w:szCs w:val="24"/>
              </w:rPr>
              <w:t>7.75</w:t>
            </w:r>
          </w:p>
        </w:tc>
        <w:tc>
          <w:tcPr>
            <w:tcW w:w="0" w:type="auto"/>
            <w:vAlign w:val="center"/>
            <w:hideMark/>
          </w:tcPr>
          <w:p w14:paraId="3805CA83" w14:textId="77777777" w:rsidR="002152D6" w:rsidRPr="00CE207C" w:rsidRDefault="002152D6" w:rsidP="00CE207C">
            <w:pPr>
              <w:pStyle w:val="NoSpacing"/>
              <w:jc w:val="center"/>
              <w:rPr>
                <w:rFonts w:ascii="Times New Roman" w:hAnsi="Times New Roman" w:cs="Times New Roman"/>
                <w:sz w:val="32"/>
                <w:szCs w:val="24"/>
              </w:rPr>
            </w:pPr>
            <w:r w:rsidRPr="00CE207C">
              <w:rPr>
                <w:rFonts w:ascii="Times New Roman" w:hAnsi="Times New Roman" w:cs="Times New Roman"/>
                <w:sz w:val="32"/>
                <w:szCs w:val="24"/>
              </w:rPr>
              <w:t>6.02</w:t>
            </w:r>
          </w:p>
        </w:tc>
        <w:tc>
          <w:tcPr>
            <w:tcW w:w="0" w:type="auto"/>
            <w:vAlign w:val="center"/>
            <w:hideMark/>
          </w:tcPr>
          <w:p w14:paraId="5136E286" w14:textId="77777777" w:rsidR="002152D6" w:rsidRPr="00CE207C" w:rsidRDefault="002152D6" w:rsidP="00CE207C">
            <w:pPr>
              <w:pStyle w:val="NoSpacing"/>
              <w:jc w:val="center"/>
              <w:rPr>
                <w:rFonts w:ascii="Times New Roman" w:hAnsi="Times New Roman" w:cs="Times New Roman"/>
                <w:sz w:val="32"/>
                <w:szCs w:val="24"/>
              </w:rPr>
            </w:pPr>
            <w:r w:rsidRPr="00CE207C">
              <w:rPr>
                <w:rFonts w:ascii="Times New Roman" w:hAnsi="Times New Roman" w:cs="Times New Roman"/>
                <w:sz w:val="32"/>
                <w:szCs w:val="24"/>
              </w:rPr>
              <w:t>7.10</w:t>
            </w:r>
          </w:p>
        </w:tc>
      </w:tr>
      <w:tr w:rsidR="002152D6" w:rsidRPr="00CE207C" w14:paraId="11C112A5" w14:textId="77777777" w:rsidTr="00CE207C">
        <w:trPr>
          <w:trHeight w:val="299"/>
        </w:trPr>
        <w:tc>
          <w:tcPr>
            <w:tcW w:w="0" w:type="auto"/>
            <w:hideMark/>
          </w:tcPr>
          <w:p w14:paraId="4128BECE" w14:textId="77777777" w:rsidR="002152D6" w:rsidRPr="00CE207C" w:rsidRDefault="002152D6" w:rsidP="00B77C0B">
            <w:pPr>
              <w:pStyle w:val="NoSpacing"/>
              <w:rPr>
                <w:rFonts w:ascii="Times New Roman" w:hAnsi="Times New Roman" w:cs="Times New Roman"/>
                <w:sz w:val="32"/>
                <w:szCs w:val="24"/>
              </w:rPr>
            </w:pPr>
            <w:r w:rsidRPr="00CE207C">
              <w:rPr>
                <w:rFonts w:ascii="Times New Roman" w:hAnsi="Times New Roman" w:cs="Times New Roman"/>
                <w:sz w:val="32"/>
                <w:szCs w:val="24"/>
              </w:rPr>
              <w:t>23. Petrol</w:t>
            </w:r>
          </w:p>
        </w:tc>
        <w:tc>
          <w:tcPr>
            <w:tcW w:w="0" w:type="auto"/>
            <w:vAlign w:val="center"/>
            <w:hideMark/>
          </w:tcPr>
          <w:p w14:paraId="532CCC89" w14:textId="77777777" w:rsidR="002152D6" w:rsidRPr="00CE207C" w:rsidRDefault="002152D6" w:rsidP="00CE207C">
            <w:pPr>
              <w:pStyle w:val="NoSpacing"/>
              <w:jc w:val="center"/>
              <w:rPr>
                <w:rFonts w:ascii="Times New Roman" w:hAnsi="Times New Roman" w:cs="Times New Roman"/>
                <w:sz w:val="32"/>
                <w:szCs w:val="24"/>
              </w:rPr>
            </w:pPr>
            <w:r w:rsidRPr="00CE207C">
              <w:rPr>
                <w:rFonts w:ascii="Times New Roman" w:hAnsi="Times New Roman" w:cs="Times New Roman"/>
                <w:sz w:val="32"/>
                <w:szCs w:val="24"/>
              </w:rPr>
              <w:t>6.65</w:t>
            </w:r>
          </w:p>
        </w:tc>
        <w:tc>
          <w:tcPr>
            <w:tcW w:w="0" w:type="auto"/>
            <w:vAlign w:val="center"/>
            <w:hideMark/>
          </w:tcPr>
          <w:p w14:paraId="78AF8C97" w14:textId="77777777" w:rsidR="002152D6" w:rsidRPr="00CE207C" w:rsidRDefault="002152D6" w:rsidP="00CE207C">
            <w:pPr>
              <w:pStyle w:val="NoSpacing"/>
              <w:jc w:val="center"/>
              <w:rPr>
                <w:rFonts w:ascii="Times New Roman" w:hAnsi="Times New Roman" w:cs="Times New Roman"/>
                <w:sz w:val="32"/>
                <w:szCs w:val="24"/>
              </w:rPr>
            </w:pPr>
            <w:r w:rsidRPr="00CE207C">
              <w:rPr>
                <w:rFonts w:ascii="Times New Roman" w:hAnsi="Times New Roman" w:cs="Times New Roman"/>
                <w:sz w:val="32"/>
                <w:szCs w:val="24"/>
              </w:rPr>
              <w:t>6.26</w:t>
            </w:r>
          </w:p>
        </w:tc>
        <w:tc>
          <w:tcPr>
            <w:tcW w:w="0" w:type="auto"/>
            <w:vAlign w:val="center"/>
            <w:hideMark/>
          </w:tcPr>
          <w:p w14:paraId="01B1817C" w14:textId="77777777" w:rsidR="002152D6" w:rsidRPr="00CE207C" w:rsidRDefault="002152D6" w:rsidP="00CE207C">
            <w:pPr>
              <w:pStyle w:val="NoSpacing"/>
              <w:jc w:val="center"/>
              <w:rPr>
                <w:rFonts w:ascii="Times New Roman" w:hAnsi="Times New Roman" w:cs="Times New Roman"/>
                <w:sz w:val="32"/>
                <w:szCs w:val="24"/>
              </w:rPr>
            </w:pPr>
            <w:r w:rsidRPr="00CE207C">
              <w:rPr>
                <w:rFonts w:ascii="Times New Roman" w:hAnsi="Times New Roman" w:cs="Times New Roman"/>
                <w:sz w:val="32"/>
                <w:szCs w:val="24"/>
              </w:rPr>
              <w:t>6.28</w:t>
            </w:r>
          </w:p>
        </w:tc>
      </w:tr>
      <w:tr w:rsidR="002152D6" w:rsidRPr="00CE207C" w14:paraId="5BAB4BC1" w14:textId="77777777" w:rsidTr="00CE207C">
        <w:trPr>
          <w:trHeight w:val="286"/>
        </w:trPr>
        <w:tc>
          <w:tcPr>
            <w:tcW w:w="0" w:type="auto"/>
            <w:hideMark/>
          </w:tcPr>
          <w:p w14:paraId="36F4F7F2" w14:textId="77777777" w:rsidR="002152D6" w:rsidRPr="00CE207C" w:rsidRDefault="002152D6" w:rsidP="00B77C0B">
            <w:pPr>
              <w:pStyle w:val="NoSpacing"/>
              <w:rPr>
                <w:rFonts w:ascii="Times New Roman" w:hAnsi="Times New Roman" w:cs="Times New Roman"/>
                <w:sz w:val="32"/>
                <w:szCs w:val="24"/>
              </w:rPr>
            </w:pPr>
            <w:r w:rsidRPr="00CE207C">
              <w:rPr>
                <w:rFonts w:ascii="Times New Roman" w:hAnsi="Times New Roman" w:cs="Times New Roman"/>
                <w:sz w:val="32"/>
                <w:szCs w:val="24"/>
              </w:rPr>
              <w:t>24. Crude oil</w:t>
            </w:r>
          </w:p>
        </w:tc>
        <w:tc>
          <w:tcPr>
            <w:tcW w:w="0" w:type="auto"/>
            <w:vAlign w:val="center"/>
            <w:hideMark/>
          </w:tcPr>
          <w:p w14:paraId="6ED8CBA3" w14:textId="77777777" w:rsidR="002152D6" w:rsidRPr="00CE207C" w:rsidRDefault="002152D6" w:rsidP="00CE207C">
            <w:pPr>
              <w:pStyle w:val="NoSpacing"/>
              <w:jc w:val="center"/>
              <w:rPr>
                <w:rFonts w:ascii="Times New Roman" w:hAnsi="Times New Roman" w:cs="Times New Roman"/>
                <w:sz w:val="32"/>
                <w:szCs w:val="24"/>
              </w:rPr>
            </w:pPr>
            <w:r w:rsidRPr="00CE207C">
              <w:rPr>
                <w:rFonts w:ascii="Times New Roman" w:hAnsi="Times New Roman" w:cs="Times New Roman"/>
                <w:sz w:val="32"/>
                <w:szCs w:val="24"/>
              </w:rPr>
              <w:t>3.03</w:t>
            </w:r>
          </w:p>
        </w:tc>
        <w:tc>
          <w:tcPr>
            <w:tcW w:w="0" w:type="auto"/>
            <w:vAlign w:val="center"/>
            <w:hideMark/>
          </w:tcPr>
          <w:p w14:paraId="0E092C6C" w14:textId="77777777" w:rsidR="002152D6" w:rsidRPr="00CE207C" w:rsidRDefault="002152D6" w:rsidP="00CE207C">
            <w:pPr>
              <w:pStyle w:val="NoSpacing"/>
              <w:jc w:val="center"/>
              <w:rPr>
                <w:rFonts w:ascii="Times New Roman" w:hAnsi="Times New Roman" w:cs="Times New Roman"/>
                <w:sz w:val="32"/>
                <w:szCs w:val="24"/>
              </w:rPr>
            </w:pPr>
            <w:r w:rsidRPr="00CE207C">
              <w:rPr>
                <w:rFonts w:ascii="Times New Roman" w:hAnsi="Times New Roman" w:cs="Times New Roman"/>
                <w:sz w:val="32"/>
                <w:szCs w:val="24"/>
              </w:rPr>
              <w:t>4.31</w:t>
            </w:r>
          </w:p>
        </w:tc>
        <w:tc>
          <w:tcPr>
            <w:tcW w:w="0" w:type="auto"/>
            <w:vAlign w:val="center"/>
            <w:hideMark/>
          </w:tcPr>
          <w:p w14:paraId="10F9D69F" w14:textId="77777777" w:rsidR="002152D6" w:rsidRPr="00CE207C" w:rsidRDefault="002152D6" w:rsidP="00CE207C">
            <w:pPr>
              <w:pStyle w:val="NoSpacing"/>
              <w:jc w:val="center"/>
              <w:rPr>
                <w:rFonts w:ascii="Times New Roman" w:hAnsi="Times New Roman" w:cs="Times New Roman"/>
                <w:sz w:val="32"/>
                <w:szCs w:val="24"/>
              </w:rPr>
            </w:pPr>
            <w:r w:rsidRPr="00CE207C">
              <w:rPr>
                <w:rFonts w:ascii="Times New Roman" w:hAnsi="Times New Roman" w:cs="Times New Roman"/>
                <w:sz w:val="32"/>
                <w:szCs w:val="24"/>
              </w:rPr>
              <w:t>3.28</w:t>
            </w:r>
          </w:p>
        </w:tc>
      </w:tr>
      <w:tr w:rsidR="002152D6" w:rsidRPr="00CE207C" w14:paraId="28FA977D" w14:textId="77777777" w:rsidTr="00CE207C">
        <w:trPr>
          <w:trHeight w:val="286"/>
        </w:trPr>
        <w:tc>
          <w:tcPr>
            <w:tcW w:w="0" w:type="auto"/>
            <w:hideMark/>
          </w:tcPr>
          <w:p w14:paraId="55861B94" w14:textId="77777777" w:rsidR="002152D6" w:rsidRPr="00CE207C" w:rsidRDefault="002152D6" w:rsidP="00B77C0B">
            <w:pPr>
              <w:pStyle w:val="NoSpacing"/>
              <w:rPr>
                <w:rFonts w:ascii="Times New Roman" w:hAnsi="Times New Roman" w:cs="Times New Roman"/>
                <w:sz w:val="32"/>
                <w:szCs w:val="24"/>
              </w:rPr>
            </w:pPr>
            <w:r w:rsidRPr="00CE207C">
              <w:rPr>
                <w:rFonts w:ascii="Times New Roman" w:hAnsi="Times New Roman" w:cs="Times New Roman"/>
                <w:sz w:val="32"/>
                <w:szCs w:val="24"/>
              </w:rPr>
              <w:t>25. Other Commodities</w:t>
            </w:r>
          </w:p>
        </w:tc>
        <w:tc>
          <w:tcPr>
            <w:tcW w:w="0" w:type="auto"/>
            <w:vAlign w:val="center"/>
            <w:hideMark/>
          </w:tcPr>
          <w:p w14:paraId="14DCEF42" w14:textId="77777777" w:rsidR="002152D6" w:rsidRPr="00CE207C" w:rsidRDefault="002152D6" w:rsidP="00CE207C">
            <w:pPr>
              <w:pStyle w:val="NoSpacing"/>
              <w:jc w:val="center"/>
              <w:rPr>
                <w:rFonts w:ascii="Times New Roman" w:hAnsi="Times New Roman" w:cs="Times New Roman"/>
                <w:sz w:val="32"/>
                <w:szCs w:val="24"/>
              </w:rPr>
            </w:pPr>
            <w:r w:rsidRPr="00CE207C">
              <w:rPr>
                <w:rFonts w:ascii="Times New Roman" w:hAnsi="Times New Roman" w:cs="Times New Roman"/>
                <w:sz w:val="32"/>
                <w:szCs w:val="24"/>
              </w:rPr>
              <w:t>100.23</w:t>
            </w:r>
          </w:p>
        </w:tc>
        <w:tc>
          <w:tcPr>
            <w:tcW w:w="0" w:type="auto"/>
            <w:vAlign w:val="center"/>
            <w:hideMark/>
          </w:tcPr>
          <w:p w14:paraId="7AD37F6E" w14:textId="77777777" w:rsidR="002152D6" w:rsidRPr="00CE207C" w:rsidRDefault="002152D6" w:rsidP="00CE207C">
            <w:pPr>
              <w:pStyle w:val="NoSpacing"/>
              <w:jc w:val="center"/>
              <w:rPr>
                <w:rFonts w:ascii="Times New Roman" w:hAnsi="Times New Roman" w:cs="Times New Roman"/>
                <w:sz w:val="32"/>
                <w:szCs w:val="24"/>
              </w:rPr>
            </w:pPr>
            <w:r w:rsidRPr="00CE207C">
              <w:rPr>
                <w:rFonts w:ascii="Times New Roman" w:hAnsi="Times New Roman" w:cs="Times New Roman"/>
                <w:sz w:val="32"/>
                <w:szCs w:val="24"/>
              </w:rPr>
              <w:t>95.43</w:t>
            </w:r>
          </w:p>
        </w:tc>
        <w:tc>
          <w:tcPr>
            <w:tcW w:w="0" w:type="auto"/>
            <w:vAlign w:val="center"/>
            <w:hideMark/>
          </w:tcPr>
          <w:p w14:paraId="1ECC919B" w14:textId="77777777" w:rsidR="002152D6" w:rsidRPr="00CE207C" w:rsidRDefault="002152D6" w:rsidP="00CE207C">
            <w:pPr>
              <w:pStyle w:val="NoSpacing"/>
              <w:jc w:val="center"/>
              <w:rPr>
                <w:rFonts w:ascii="Times New Roman" w:hAnsi="Times New Roman" w:cs="Times New Roman"/>
                <w:sz w:val="32"/>
                <w:szCs w:val="24"/>
              </w:rPr>
            </w:pPr>
            <w:r w:rsidRPr="00CE207C">
              <w:rPr>
                <w:rFonts w:ascii="Times New Roman" w:hAnsi="Times New Roman" w:cs="Times New Roman"/>
                <w:sz w:val="32"/>
                <w:szCs w:val="24"/>
              </w:rPr>
              <w:t>88.24</w:t>
            </w:r>
          </w:p>
        </w:tc>
      </w:tr>
      <w:tr w:rsidR="002152D6" w:rsidRPr="00CE207C" w14:paraId="23135D35" w14:textId="77777777" w:rsidTr="00CE207C">
        <w:trPr>
          <w:trHeight w:val="286"/>
        </w:trPr>
        <w:tc>
          <w:tcPr>
            <w:tcW w:w="0" w:type="auto"/>
            <w:hideMark/>
          </w:tcPr>
          <w:p w14:paraId="30926862" w14:textId="77777777" w:rsidR="002152D6" w:rsidRPr="00CE207C" w:rsidRDefault="002152D6" w:rsidP="00B77C0B">
            <w:pPr>
              <w:pStyle w:val="NoSpacing"/>
              <w:rPr>
                <w:rFonts w:ascii="Times New Roman" w:hAnsi="Times New Roman" w:cs="Times New Roman"/>
                <w:sz w:val="32"/>
                <w:szCs w:val="24"/>
              </w:rPr>
            </w:pPr>
          </w:p>
        </w:tc>
        <w:tc>
          <w:tcPr>
            <w:tcW w:w="0" w:type="auto"/>
            <w:vAlign w:val="center"/>
            <w:hideMark/>
          </w:tcPr>
          <w:p w14:paraId="7BBB467F" w14:textId="77777777" w:rsidR="002152D6" w:rsidRPr="00CE207C" w:rsidRDefault="002152D6" w:rsidP="00CE207C">
            <w:pPr>
              <w:pStyle w:val="NoSpacing"/>
              <w:jc w:val="center"/>
              <w:rPr>
                <w:rFonts w:ascii="Times New Roman" w:hAnsi="Times New Roman" w:cs="Times New Roman"/>
                <w:sz w:val="32"/>
                <w:szCs w:val="24"/>
              </w:rPr>
            </w:pPr>
            <w:r w:rsidRPr="00CE207C">
              <w:rPr>
                <w:rFonts w:ascii="Times New Roman" w:hAnsi="Times New Roman" w:cs="Times New Roman"/>
                <w:sz w:val="32"/>
                <w:szCs w:val="24"/>
              </w:rPr>
              <w:t>452.33</w:t>
            </w:r>
          </w:p>
        </w:tc>
        <w:tc>
          <w:tcPr>
            <w:tcW w:w="0" w:type="auto"/>
            <w:vAlign w:val="center"/>
            <w:hideMark/>
          </w:tcPr>
          <w:p w14:paraId="5A8C809A" w14:textId="77777777" w:rsidR="002152D6" w:rsidRPr="00CE207C" w:rsidRDefault="002152D6" w:rsidP="00CE207C">
            <w:pPr>
              <w:pStyle w:val="NoSpacing"/>
              <w:jc w:val="center"/>
              <w:rPr>
                <w:rFonts w:ascii="Times New Roman" w:hAnsi="Times New Roman" w:cs="Times New Roman"/>
                <w:sz w:val="32"/>
                <w:szCs w:val="24"/>
              </w:rPr>
            </w:pPr>
            <w:r w:rsidRPr="00CE207C">
              <w:rPr>
                <w:rFonts w:ascii="Times New Roman" w:hAnsi="Times New Roman" w:cs="Times New Roman"/>
                <w:sz w:val="32"/>
                <w:szCs w:val="24"/>
              </w:rPr>
              <w:t>468.84</w:t>
            </w:r>
          </w:p>
        </w:tc>
        <w:tc>
          <w:tcPr>
            <w:tcW w:w="0" w:type="auto"/>
            <w:vAlign w:val="center"/>
            <w:hideMark/>
          </w:tcPr>
          <w:p w14:paraId="5B2E878F" w14:textId="77777777" w:rsidR="002152D6" w:rsidRPr="00CE207C" w:rsidRDefault="002152D6" w:rsidP="00CE207C">
            <w:pPr>
              <w:pStyle w:val="NoSpacing"/>
              <w:jc w:val="center"/>
              <w:rPr>
                <w:rFonts w:ascii="Times New Roman" w:hAnsi="Times New Roman" w:cs="Times New Roman"/>
                <w:sz w:val="32"/>
                <w:szCs w:val="24"/>
              </w:rPr>
            </w:pPr>
            <w:r w:rsidRPr="00CE207C">
              <w:rPr>
                <w:rFonts w:ascii="Times New Roman" w:hAnsi="Times New Roman" w:cs="Times New Roman"/>
                <w:sz w:val="32"/>
                <w:szCs w:val="24"/>
              </w:rPr>
              <w:t>490.13</w:t>
            </w:r>
          </w:p>
        </w:tc>
      </w:tr>
    </w:tbl>
    <w:p w14:paraId="3B112E47" w14:textId="77777777" w:rsidR="002152D6" w:rsidRPr="00CE207C" w:rsidRDefault="002152D6" w:rsidP="002152D6">
      <w:pPr>
        <w:rPr>
          <w:rFonts w:ascii="Times New Roman" w:hAnsi="Times New Roman" w:cs="Times New Roman"/>
          <w:sz w:val="20"/>
          <w:szCs w:val="18"/>
        </w:rPr>
      </w:pPr>
      <w:r w:rsidRPr="00CE207C">
        <w:rPr>
          <w:rFonts w:ascii="Times New Roman" w:hAnsi="Times New Roman" w:cs="Times New Roman"/>
          <w:sz w:val="20"/>
          <w:szCs w:val="18"/>
        </w:rPr>
        <w:t>Source Ministry of Railways (Railway Board).</w:t>
      </w:r>
    </w:p>
    <w:p w14:paraId="1D2935BC" w14:textId="77777777" w:rsidR="002152D6" w:rsidRPr="007245B0" w:rsidRDefault="002152D6" w:rsidP="002152D6">
      <w:pPr>
        <w:rPr>
          <w:rFonts w:ascii="Times New Roman" w:hAnsi="Times New Roman" w:cs="Times New Roman"/>
        </w:rPr>
      </w:pPr>
    </w:p>
    <w:p w14:paraId="50FF1BE7" w14:textId="77777777" w:rsidR="002152D6" w:rsidRPr="007245B0" w:rsidRDefault="002152D6" w:rsidP="002152D6">
      <w:pPr>
        <w:rPr>
          <w:rFonts w:ascii="Times New Roman" w:hAnsi="Times New Roman" w:cs="Times New Roman"/>
        </w:rPr>
      </w:pPr>
      <w:r w:rsidRPr="007245B0">
        <w:rPr>
          <w:rFonts w:ascii="Times New Roman" w:hAnsi="Times New Roman" w:cs="Times New Roman"/>
        </w:rPr>
        <w:br w:type="page"/>
      </w:r>
    </w:p>
    <w:p w14:paraId="64C3958A" w14:textId="77777777" w:rsidR="002152D6" w:rsidRPr="007245B0" w:rsidRDefault="002152D6" w:rsidP="00DF5B04">
      <w:pPr>
        <w:tabs>
          <w:tab w:val="left" w:pos="3143"/>
        </w:tabs>
        <w:rPr>
          <w:rFonts w:ascii="Times New Roman" w:hAnsi="Times New Roman" w:cs="Times New Roman"/>
          <w:i/>
          <w:iCs/>
        </w:rPr>
        <w:sectPr w:rsidR="002152D6" w:rsidRPr="007245B0" w:rsidSect="00424B7B">
          <w:pgSz w:w="12240" w:h="15840"/>
          <w:pgMar w:top="992" w:right="1440" w:bottom="1440" w:left="1440" w:header="720" w:footer="720" w:gutter="0"/>
          <w:cols w:space="720"/>
        </w:sectPr>
      </w:pPr>
    </w:p>
    <w:p w14:paraId="663DD86A" w14:textId="77777777" w:rsidR="002152D6" w:rsidRPr="007245B0" w:rsidRDefault="002152D6" w:rsidP="007D2EE4">
      <w:pPr>
        <w:pStyle w:val="Heading4"/>
      </w:pPr>
      <w:bookmarkStart w:id="228" w:name="_Toc220949746"/>
      <w:bookmarkStart w:id="229" w:name="_Toc221114346"/>
      <w:bookmarkStart w:id="230" w:name="_Toc221115369"/>
      <w:r w:rsidRPr="007245B0">
        <w:lastRenderedPageBreak/>
        <w:t>Table 64: Position of Railway Finances for the years (1964-65 to 1969-70)</w:t>
      </w:r>
      <w:bookmarkEnd w:id="228"/>
      <w:bookmarkEnd w:id="229"/>
      <w:bookmarkEnd w:id="230"/>
    </w:p>
    <w:p w14:paraId="6DA43757" w14:textId="77777777" w:rsidR="002152D6" w:rsidRPr="00CE207C" w:rsidRDefault="002152D6" w:rsidP="002152D6">
      <w:pPr>
        <w:jc w:val="right"/>
        <w:rPr>
          <w:rFonts w:ascii="Times New Roman" w:hAnsi="Times New Roman" w:cs="Times New Roman"/>
          <w:i/>
          <w:iCs/>
        </w:rPr>
      </w:pPr>
      <w:r w:rsidRPr="00CE207C">
        <w:rPr>
          <w:rFonts w:ascii="Times New Roman" w:hAnsi="Times New Roman" w:cs="Times New Roman"/>
          <w:i/>
          <w:iCs/>
        </w:rPr>
        <w:t>(Rs. crores)</w:t>
      </w:r>
    </w:p>
    <w:tbl>
      <w:tblPr>
        <w:tblStyle w:val="TableGrid"/>
        <w:tblW w:w="14872" w:type="dxa"/>
        <w:tblInd w:w="-1025" w:type="dxa"/>
        <w:tblLook w:val="04A0" w:firstRow="1" w:lastRow="0" w:firstColumn="1" w:lastColumn="0" w:noHBand="0" w:noVBand="1"/>
      </w:tblPr>
      <w:tblGrid>
        <w:gridCol w:w="1304"/>
        <w:gridCol w:w="1328"/>
        <w:gridCol w:w="1417"/>
        <w:gridCol w:w="2514"/>
        <w:gridCol w:w="1657"/>
        <w:gridCol w:w="1504"/>
        <w:gridCol w:w="1466"/>
        <w:gridCol w:w="1272"/>
        <w:gridCol w:w="986"/>
        <w:gridCol w:w="1424"/>
      </w:tblGrid>
      <w:tr w:rsidR="00DE5DAE" w:rsidRPr="00CE207C" w14:paraId="2D1C107E" w14:textId="77777777" w:rsidTr="00CE207C">
        <w:trPr>
          <w:trHeight w:val="20"/>
        </w:trPr>
        <w:tc>
          <w:tcPr>
            <w:tcW w:w="1304" w:type="dxa"/>
            <w:vMerge w:val="restart"/>
            <w:vAlign w:val="center"/>
          </w:tcPr>
          <w:p w14:paraId="4FEC06D5" w14:textId="77777777" w:rsidR="00DE5DAE" w:rsidRPr="00CE207C" w:rsidRDefault="00DE5DAE" w:rsidP="00CE207C">
            <w:pPr>
              <w:pStyle w:val="NoSpacing"/>
              <w:jc w:val="center"/>
              <w:rPr>
                <w:rFonts w:ascii="Times New Roman" w:hAnsi="Times New Roman" w:cs="Times New Roman"/>
                <w:b/>
                <w:bCs/>
                <w:sz w:val="28"/>
                <w:szCs w:val="22"/>
              </w:rPr>
            </w:pPr>
            <w:r w:rsidRPr="00CE207C">
              <w:rPr>
                <w:rFonts w:ascii="Times New Roman" w:hAnsi="Times New Roman" w:cs="Times New Roman"/>
                <w:b/>
                <w:bCs/>
                <w:sz w:val="28"/>
                <w:szCs w:val="22"/>
              </w:rPr>
              <w:t>Year</w:t>
            </w:r>
          </w:p>
        </w:tc>
        <w:tc>
          <w:tcPr>
            <w:tcW w:w="1328" w:type="dxa"/>
            <w:vMerge w:val="restart"/>
            <w:vAlign w:val="center"/>
          </w:tcPr>
          <w:p w14:paraId="2CCEE788" w14:textId="57F34710" w:rsidR="00DE5DAE" w:rsidRPr="00CE207C" w:rsidRDefault="00DE5DAE" w:rsidP="00CE207C">
            <w:pPr>
              <w:pStyle w:val="NoSpacing"/>
              <w:jc w:val="center"/>
              <w:rPr>
                <w:rFonts w:ascii="Times New Roman" w:hAnsi="Times New Roman" w:cs="Times New Roman"/>
                <w:b/>
                <w:bCs/>
                <w:sz w:val="28"/>
                <w:szCs w:val="22"/>
              </w:rPr>
            </w:pPr>
            <w:r w:rsidRPr="00CE207C">
              <w:rPr>
                <w:rFonts w:ascii="Times New Roman" w:hAnsi="Times New Roman" w:cs="Times New Roman"/>
                <w:b/>
                <w:bCs/>
                <w:sz w:val="28"/>
                <w:szCs w:val="22"/>
              </w:rPr>
              <w:br/>
            </w:r>
            <w:r w:rsidRPr="00CE207C">
              <w:rPr>
                <w:rFonts w:ascii="Times New Roman" w:hAnsi="Times New Roman" w:cs="Times New Roman"/>
                <w:b/>
                <w:bCs/>
                <w:sz w:val="28"/>
                <w:szCs w:val="22"/>
              </w:rPr>
              <w:br/>
            </w:r>
            <w:r w:rsidRPr="00CE207C">
              <w:rPr>
                <w:rFonts w:ascii="Times New Roman" w:hAnsi="Times New Roman" w:cs="Times New Roman"/>
                <w:b/>
                <w:bCs/>
                <w:sz w:val="28"/>
                <w:szCs w:val="22"/>
              </w:rPr>
              <w:br/>
            </w:r>
            <w:r w:rsidRPr="00CE207C">
              <w:rPr>
                <w:rFonts w:ascii="Times New Roman" w:hAnsi="Times New Roman" w:cs="Times New Roman"/>
                <w:b/>
                <w:bCs/>
                <w:sz w:val="28"/>
                <w:szCs w:val="22"/>
              </w:rPr>
              <w:br/>
            </w:r>
            <w:r w:rsidRPr="00CE207C">
              <w:rPr>
                <w:rFonts w:ascii="Times New Roman" w:hAnsi="Times New Roman" w:cs="Times New Roman"/>
                <w:b/>
                <w:bCs/>
                <w:sz w:val="28"/>
                <w:szCs w:val="22"/>
              </w:rPr>
              <w:br/>
            </w:r>
            <w:r w:rsidRPr="00CE207C">
              <w:rPr>
                <w:rFonts w:ascii="Times New Roman" w:hAnsi="Times New Roman" w:cs="Times New Roman"/>
                <w:b/>
                <w:bCs/>
                <w:sz w:val="28"/>
                <w:szCs w:val="22"/>
              </w:rPr>
              <w:br/>
              <w:t>Capital at charge</w:t>
            </w:r>
          </w:p>
        </w:tc>
        <w:tc>
          <w:tcPr>
            <w:tcW w:w="3931" w:type="dxa"/>
            <w:gridSpan w:val="2"/>
            <w:vAlign w:val="center"/>
          </w:tcPr>
          <w:p w14:paraId="18951131" w14:textId="77777777" w:rsidR="00DE5DAE" w:rsidRPr="00CE207C" w:rsidRDefault="00DE5DAE" w:rsidP="00CE207C">
            <w:pPr>
              <w:pStyle w:val="NoSpacing"/>
              <w:jc w:val="center"/>
              <w:rPr>
                <w:rFonts w:ascii="Times New Roman" w:hAnsi="Times New Roman" w:cs="Times New Roman"/>
                <w:b/>
                <w:bCs/>
                <w:sz w:val="28"/>
                <w:szCs w:val="22"/>
              </w:rPr>
            </w:pPr>
            <w:r w:rsidRPr="00CE207C">
              <w:rPr>
                <w:rFonts w:ascii="Times New Roman" w:hAnsi="Times New Roman" w:cs="Times New Roman"/>
                <w:b/>
                <w:bCs/>
                <w:sz w:val="28"/>
                <w:szCs w:val="22"/>
              </w:rPr>
              <w:t>Revenue</w:t>
            </w:r>
          </w:p>
        </w:tc>
        <w:tc>
          <w:tcPr>
            <w:tcW w:w="0" w:type="auto"/>
            <w:gridSpan w:val="2"/>
            <w:vAlign w:val="center"/>
          </w:tcPr>
          <w:p w14:paraId="29C154E7" w14:textId="77777777" w:rsidR="00DE5DAE" w:rsidRPr="00CE207C" w:rsidRDefault="00DE5DAE" w:rsidP="00CE207C">
            <w:pPr>
              <w:pStyle w:val="NoSpacing"/>
              <w:jc w:val="center"/>
              <w:rPr>
                <w:rFonts w:ascii="Times New Roman" w:hAnsi="Times New Roman" w:cs="Times New Roman"/>
                <w:b/>
                <w:bCs/>
                <w:sz w:val="28"/>
                <w:szCs w:val="22"/>
              </w:rPr>
            </w:pPr>
            <w:r w:rsidRPr="00CE207C">
              <w:rPr>
                <w:rFonts w:ascii="Times New Roman" w:hAnsi="Times New Roman" w:cs="Times New Roman"/>
                <w:b/>
                <w:bCs/>
                <w:sz w:val="28"/>
                <w:szCs w:val="22"/>
              </w:rPr>
              <w:t>Working Expenses</w:t>
            </w:r>
          </w:p>
        </w:tc>
        <w:tc>
          <w:tcPr>
            <w:tcW w:w="0" w:type="auto"/>
            <w:gridSpan w:val="2"/>
            <w:vAlign w:val="center"/>
          </w:tcPr>
          <w:p w14:paraId="78E2DC0F" w14:textId="77777777" w:rsidR="00DE5DAE" w:rsidRPr="00CE207C" w:rsidRDefault="00DE5DAE" w:rsidP="00CE207C">
            <w:pPr>
              <w:pStyle w:val="NoSpacing"/>
              <w:jc w:val="center"/>
              <w:rPr>
                <w:rFonts w:ascii="Times New Roman" w:hAnsi="Times New Roman" w:cs="Times New Roman"/>
                <w:b/>
                <w:bCs/>
                <w:sz w:val="28"/>
                <w:szCs w:val="22"/>
              </w:rPr>
            </w:pPr>
            <w:r w:rsidRPr="00CE207C">
              <w:rPr>
                <w:rFonts w:ascii="Times New Roman" w:hAnsi="Times New Roman" w:cs="Times New Roman"/>
                <w:b/>
                <w:bCs/>
                <w:sz w:val="28"/>
                <w:szCs w:val="22"/>
              </w:rPr>
              <w:t>Dividend Payments</w:t>
            </w:r>
          </w:p>
        </w:tc>
        <w:tc>
          <w:tcPr>
            <w:tcW w:w="0" w:type="auto"/>
            <w:vMerge w:val="restart"/>
            <w:vAlign w:val="center"/>
          </w:tcPr>
          <w:p w14:paraId="322129DB" w14:textId="1D6DF6FE" w:rsidR="00DE5DAE" w:rsidRPr="00CE207C" w:rsidRDefault="00DE5DAE" w:rsidP="00CE207C">
            <w:pPr>
              <w:pStyle w:val="NoSpacing"/>
              <w:jc w:val="center"/>
              <w:rPr>
                <w:rFonts w:ascii="Times New Roman" w:hAnsi="Times New Roman" w:cs="Times New Roman"/>
                <w:b/>
                <w:bCs/>
                <w:sz w:val="28"/>
                <w:szCs w:val="22"/>
              </w:rPr>
            </w:pPr>
            <w:r w:rsidRPr="00CE207C">
              <w:rPr>
                <w:rFonts w:ascii="Times New Roman" w:hAnsi="Times New Roman" w:cs="Times New Roman"/>
                <w:b/>
                <w:bCs/>
                <w:sz w:val="28"/>
                <w:szCs w:val="22"/>
              </w:rPr>
              <w:br/>
            </w:r>
            <w:r w:rsidRPr="00CE207C">
              <w:rPr>
                <w:rFonts w:ascii="Times New Roman" w:hAnsi="Times New Roman" w:cs="Times New Roman"/>
                <w:b/>
                <w:bCs/>
                <w:sz w:val="28"/>
                <w:szCs w:val="22"/>
              </w:rPr>
              <w:br/>
            </w:r>
            <w:r w:rsidRPr="00CE207C">
              <w:rPr>
                <w:rFonts w:ascii="Times New Roman" w:hAnsi="Times New Roman" w:cs="Times New Roman"/>
                <w:b/>
                <w:bCs/>
                <w:sz w:val="28"/>
                <w:szCs w:val="22"/>
              </w:rPr>
              <w:br/>
            </w:r>
            <w:r w:rsidRPr="00CE207C">
              <w:rPr>
                <w:rFonts w:ascii="Times New Roman" w:hAnsi="Times New Roman" w:cs="Times New Roman"/>
                <w:b/>
                <w:bCs/>
                <w:sz w:val="28"/>
                <w:szCs w:val="22"/>
              </w:rPr>
              <w:br/>
            </w:r>
            <w:r w:rsidRPr="00CE207C">
              <w:rPr>
                <w:rFonts w:ascii="Times New Roman" w:hAnsi="Times New Roman" w:cs="Times New Roman"/>
                <w:b/>
                <w:bCs/>
                <w:sz w:val="28"/>
                <w:szCs w:val="22"/>
              </w:rPr>
              <w:br/>
            </w:r>
            <w:r w:rsidRPr="00CE207C">
              <w:rPr>
                <w:rFonts w:ascii="Times New Roman" w:hAnsi="Times New Roman" w:cs="Times New Roman"/>
                <w:b/>
                <w:bCs/>
                <w:sz w:val="28"/>
                <w:szCs w:val="22"/>
              </w:rPr>
              <w:br/>
              <w:t>Total</w:t>
            </w:r>
          </w:p>
        </w:tc>
        <w:tc>
          <w:tcPr>
            <w:tcW w:w="0" w:type="auto"/>
            <w:vMerge w:val="restart"/>
            <w:vAlign w:val="center"/>
          </w:tcPr>
          <w:p w14:paraId="3D4F7A85" w14:textId="6B01B8E9" w:rsidR="00DE5DAE" w:rsidRPr="00CE207C" w:rsidRDefault="00DE5DAE" w:rsidP="00CE207C">
            <w:pPr>
              <w:pStyle w:val="NoSpacing"/>
              <w:jc w:val="center"/>
              <w:rPr>
                <w:rFonts w:ascii="Times New Roman" w:hAnsi="Times New Roman" w:cs="Times New Roman"/>
                <w:b/>
                <w:bCs/>
                <w:sz w:val="28"/>
                <w:szCs w:val="22"/>
              </w:rPr>
            </w:pPr>
            <w:r w:rsidRPr="00CE207C">
              <w:rPr>
                <w:rFonts w:ascii="Times New Roman" w:hAnsi="Times New Roman" w:cs="Times New Roman"/>
                <w:b/>
                <w:bCs/>
                <w:sz w:val="28"/>
                <w:szCs w:val="22"/>
              </w:rPr>
              <w:br/>
            </w:r>
            <w:r w:rsidRPr="00CE207C">
              <w:rPr>
                <w:rFonts w:ascii="Times New Roman" w:hAnsi="Times New Roman" w:cs="Times New Roman"/>
                <w:b/>
                <w:bCs/>
                <w:sz w:val="28"/>
                <w:szCs w:val="22"/>
              </w:rPr>
              <w:br/>
            </w:r>
            <w:r w:rsidRPr="00CE207C">
              <w:rPr>
                <w:rFonts w:ascii="Times New Roman" w:hAnsi="Times New Roman" w:cs="Times New Roman"/>
                <w:b/>
                <w:bCs/>
                <w:sz w:val="28"/>
                <w:szCs w:val="22"/>
              </w:rPr>
              <w:br/>
            </w:r>
            <w:r w:rsidRPr="00CE207C">
              <w:rPr>
                <w:rFonts w:ascii="Times New Roman" w:hAnsi="Times New Roman" w:cs="Times New Roman"/>
                <w:b/>
                <w:bCs/>
                <w:sz w:val="28"/>
                <w:szCs w:val="22"/>
              </w:rPr>
              <w:br/>
            </w:r>
            <w:r w:rsidRPr="00CE207C">
              <w:rPr>
                <w:rFonts w:ascii="Times New Roman" w:hAnsi="Times New Roman" w:cs="Times New Roman"/>
                <w:b/>
                <w:bCs/>
                <w:sz w:val="28"/>
                <w:szCs w:val="22"/>
              </w:rPr>
              <w:br/>
            </w:r>
            <w:r w:rsidRPr="00CE207C">
              <w:rPr>
                <w:rFonts w:ascii="Times New Roman" w:hAnsi="Times New Roman" w:cs="Times New Roman"/>
                <w:b/>
                <w:bCs/>
                <w:sz w:val="28"/>
                <w:szCs w:val="22"/>
              </w:rPr>
              <w:br/>
              <w:t>Surplus (+) or Deficit (-)</w:t>
            </w:r>
          </w:p>
        </w:tc>
      </w:tr>
      <w:tr w:rsidR="00DE5DAE" w:rsidRPr="00CE207C" w14:paraId="232C5984" w14:textId="77777777" w:rsidTr="00CE207C">
        <w:trPr>
          <w:trHeight w:val="20"/>
        </w:trPr>
        <w:tc>
          <w:tcPr>
            <w:tcW w:w="1304" w:type="dxa"/>
            <w:vMerge/>
            <w:hideMark/>
          </w:tcPr>
          <w:p w14:paraId="28B172E3" w14:textId="77777777" w:rsidR="00DE5DAE" w:rsidRPr="00CE207C" w:rsidRDefault="00DE5DAE" w:rsidP="00B77C0B">
            <w:pPr>
              <w:pStyle w:val="NoSpacing"/>
              <w:jc w:val="center"/>
              <w:rPr>
                <w:rFonts w:ascii="Times New Roman" w:hAnsi="Times New Roman" w:cs="Times New Roman"/>
                <w:sz w:val="28"/>
                <w:szCs w:val="22"/>
              </w:rPr>
            </w:pPr>
          </w:p>
        </w:tc>
        <w:tc>
          <w:tcPr>
            <w:tcW w:w="1328" w:type="dxa"/>
            <w:vMerge/>
            <w:hideMark/>
          </w:tcPr>
          <w:p w14:paraId="3A914263" w14:textId="136BB096" w:rsidR="00DE5DAE" w:rsidRPr="00CE207C" w:rsidRDefault="00DE5DAE" w:rsidP="00B77C0B">
            <w:pPr>
              <w:pStyle w:val="NoSpacing"/>
              <w:jc w:val="center"/>
              <w:rPr>
                <w:rFonts w:ascii="Times New Roman" w:hAnsi="Times New Roman" w:cs="Times New Roman"/>
                <w:sz w:val="28"/>
                <w:szCs w:val="22"/>
              </w:rPr>
            </w:pPr>
          </w:p>
        </w:tc>
        <w:tc>
          <w:tcPr>
            <w:tcW w:w="1417" w:type="dxa"/>
            <w:vAlign w:val="center"/>
            <w:hideMark/>
          </w:tcPr>
          <w:p w14:paraId="71AC9439" w14:textId="77777777" w:rsidR="00DE5DAE" w:rsidRPr="00CE207C" w:rsidRDefault="00DE5DAE" w:rsidP="00CE207C">
            <w:pPr>
              <w:pStyle w:val="NoSpacing"/>
              <w:jc w:val="center"/>
              <w:rPr>
                <w:rFonts w:ascii="Times New Roman" w:hAnsi="Times New Roman" w:cs="Times New Roman"/>
                <w:b/>
                <w:bCs/>
                <w:sz w:val="28"/>
                <w:szCs w:val="22"/>
              </w:rPr>
            </w:pPr>
            <w:r w:rsidRPr="00CE207C">
              <w:rPr>
                <w:rFonts w:ascii="Times New Roman" w:hAnsi="Times New Roman" w:cs="Times New Roman"/>
                <w:b/>
                <w:bCs/>
                <w:sz w:val="28"/>
                <w:szCs w:val="22"/>
              </w:rPr>
              <w:t>Passenger earnings</w:t>
            </w:r>
          </w:p>
        </w:tc>
        <w:tc>
          <w:tcPr>
            <w:tcW w:w="0" w:type="auto"/>
            <w:vAlign w:val="center"/>
            <w:hideMark/>
          </w:tcPr>
          <w:p w14:paraId="04BF3AC2" w14:textId="77777777" w:rsidR="00DE5DAE" w:rsidRPr="00CE207C" w:rsidRDefault="00DE5DAE" w:rsidP="00CE207C">
            <w:pPr>
              <w:pStyle w:val="NoSpacing"/>
              <w:jc w:val="center"/>
              <w:rPr>
                <w:rFonts w:ascii="Times New Roman" w:hAnsi="Times New Roman" w:cs="Times New Roman"/>
                <w:b/>
                <w:bCs/>
                <w:sz w:val="28"/>
                <w:szCs w:val="22"/>
              </w:rPr>
            </w:pPr>
            <w:r w:rsidRPr="00CE207C">
              <w:rPr>
                <w:rFonts w:ascii="Times New Roman" w:hAnsi="Times New Roman" w:cs="Times New Roman"/>
                <w:b/>
                <w:bCs/>
                <w:sz w:val="28"/>
                <w:szCs w:val="22"/>
              </w:rPr>
              <w:t>Total gross receipts</w:t>
            </w:r>
          </w:p>
        </w:tc>
        <w:tc>
          <w:tcPr>
            <w:tcW w:w="0" w:type="auto"/>
            <w:vAlign w:val="center"/>
            <w:hideMark/>
          </w:tcPr>
          <w:p w14:paraId="373DD541" w14:textId="77777777" w:rsidR="00DE5DAE" w:rsidRPr="00CE207C" w:rsidRDefault="00DE5DAE" w:rsidP="00CE207C">
            <w:pPr>
              <w:pStyle w:val="NoSpacing"/>
              <w:jc w:val="center"/>
              <w:rPr>
                <w:rFonts w:ascii="Times New Roman" w:hAnsi="Times New Roman" w:cs="Times New Roman"/>
                <w:b/>
                <w:bCs/>
                <w:sz w:val="28"/>
                <w:szCs w:val="22"/>
              </w:rPr>
            </w:pPr>
            <w:r w:rsidRPr="00CE207C">
              <w:rPr>
                <w:rFonts w:ascii="Times New Roman" w:hAnsi="Times New Roman" w:cs="Times New Roman"/>
                <w:b/>
                <w:bCs/>
                <w:sz w:val="28"/>
                <w:szCs w:val="22"/>
              </w:rPr>
              <w:t>Ordinary working expenses</w:t>
            </w:r>
          </w:p>
        </w:tc>
        <w:tc>
          <w:tcPr>
            <w:tcW w:w="0" w:type="auto"/>
            <w:vAlign w:val="center"/>
            <w:hideMark/>
          </w:tcPr>
          <w:p w14:paraId="5A2B01F8" w14:textId="77777777" w:rsidR="00DE5DAE" w:rsidRPr="00CE207C" w:rsidRDefault="00DE5DAE" w:rsidP="00CE207C">
            <w:pPr>
              <w:pStyle w:val="NoSpacing"/>
              <w:jc w:val="center"/>
              <w:rPr>
                <w:rFonts w:ascii="Times New Roman" w:hAnsi="Times New Roman" w:cs="Times New Roman"/>
                <w:b/>
                <w:bCs/>
                <w:sz w:val="28"/>
                <w:szCs w:val="22"/>
              </w:rPr>
            </w:pPr>
            <w:r w:rsidRPr="00CE207C">
              <w:rPr>
                <w:rFonts w:ascii="Times New Roman" w:hAnsi="Times New Roman" w:cs="Times New Roman"/>
                <w:b/>
                <w:bCs/>
                <w:sz w:val="28"/>
                <w:szCs w:val="22"/>
              </w:rPr>
              <w:t>Total working expenses</w:t>
            </w:r>
          </w:p>
        </w:tc>
        <w:tc>
          <w:tcPr>
            <w:tcW w:w="0" w:type="auto"/>
            <w:vAlign w:val="center"/>
            <w:hideMark/>
          </w:tcPr>
          <w:p w14:paraId="3EF75B63" w14:textId="77777777" w:rsidR="00DE5DAE" w:rsidRPr="00CE207C" w:rsidRDefault="00DE5DAE" w:rsidP="00CE207C">
            <w:pPr>
              <w:pStyle w:val="NoSpacing"/>
              <w:jc w:val="center"/>
              <w:rPr>
                <w:rFonts w:ascii="Times New Roman" w:hAnsi="Times New Roman" w:cs="Times New Roman"/>
                <w:b/>
                <w:bCs/>
                <w:sz w:val="28"/>
                <w:szCs w:val="22"/>
              </w:rPr>
            </w:pPr>
            <w:r w:rsidRPr="00CE207C">
              <w:rPr>
                <w:rFonts w:ascii="Times New Roman" w:hAnsi="Times New Roman" w:cs="Times New Roman"/>
                <w:b/>
                <w:bCs/>
                <w:sz w:val="28"/>
                <w:szCs w:val="22"/>
              </w:rPr>
              <w:t>To General revenues</w:t>
            </w:r>
          </w:p>
        </w:tc>
        <w:tc>
          <w:tcPr>
            <w:tcW w:w="0" w:type="auto"/>
            <w:vAlign w:val="center"/>
            <w:hideMark/>
          </w:tcPr>
          <w:p w14:paraId="3279CC11" w14:textId="77777777" w:rsidR="00DE5DAE" w:rsidRPr="00CE207C" w:rsidRDefault="00DE5DAE" w:rsidP="00CE207C">
            <w:pPr>
              <w:pStyle w:val="NoSpacing"/>
              <w:jc w:val="center"/>
              <w:rPr>
                <w:rFonts w:ascii="Times New Roman" w:hAnsi="Times New Roman" w:cs="Times New Roman"/>
                <w:b/>
                <w:bCs/>
                <w:sz w:val="28"/>
                <w:szCs w:val="22"/>
              </w:rPr>
            </w:pPr>
            <w:r w:rsidRPr="00CE207C">
              <w:rPr>
                <w:rFonts w:ascii="Times New Roman" w:hAnsi="Times New Roman" w:cs="Times New Roman"/>
                <w:b/>
                <w:bCs/>
                <w:sz w:val="28"/>
                <w:szCs w:val="22"/>
              </w:rPr>
              <w:t>To States in lieu of P.F. tax</w:t>
            </w:r>
          </w:p>
        </w:tc>
        <w:tc>
          <w:tcPr>
            <w:tcW w:w="0" w:type="auto"/>
            <w:vMerge/>
            <w:hideMark/>
          </w:tcPr>
          <w:p w14:paraId="05967F9F" w14:textId="77777777" w:rsidR="00DE5DAE" w:rsidRPr="00CE207C" w:rsidRDefault="00DE5DAE" w:rsidP="00B77C0B">
            <w:pPr>
              <w:pStyle w:val="NoSpacing"/>
              <w:jc w:val="center"/>
              <w:rPr>
                <w:rFonts w:ascii="Times New Roman" w:hAnsi="Times New Roman" w:cs="Times New Roman"/>
                <w:sz w:val="28"/>
                <w:szCs w:val="22"/>
              </w:rPr>
            </w:pPr>
          </w:p>
        </w:tc>
        <w:tc>
          <w:tcPr>
            <w:tcW w:w="0" w:type="auto"/>
            <w:vMerge/>
            <w:hideMark/>
          </w:tcPr>
          <w:p w14:paraId="79AAA943" w14:textId="77777777" w:rsidR="00DE5DAE" w:rsidRPr="00CE207C" w:rsidRDefault="00DE5DAE" w:rsidP="00B77C0B">
            <w:pPr>
              <w:pStyle w:val="NoSpacing"/>
              <w:jc w:val="center"/>
              <w:rPr>
                <w:rFonts w:ascii="Times New Roman" w:hAnsi="Times New Roman" w:cs="Times New Roman"/>
                <w:sz w:val="28"/>
                <w:szCs w:val="22"/>
              </w:rPr>
            </w:pPr>
          </w:p>
        </w:tc>
      </w:tr>
      <w:tr w:rsidR="00DE5DAE" w:rsidRPr="00CE207C" w14:paraId="3C000F60" w14:textId="77777777" w:rsidTr="00CE207C">
        <w:trPr>
          <w:trHeight w:val="20"/>
        </w:trPr>
        <w:tc>
          <w:tcPr>
            <w:tcW w:w="1304" w:type="dxa"/>
          </w:tcPr>
          <w:p w14:paraId="45D8E50F" w14:textId="695AA60C" w:rsidR="00DE5DAE" w:rsidRPr="00CE207C" w:rsidRDefault="00DE5DAE" w:rsidP="00B77C0B">
            <w:pPr>
              <w:pStyle w:val="NoSpacing"/>
              <w:jc w:val="center"/>
              <w:rPr>
                <w:rFonts w:ascii="Times New Roman" w:hAnsi="Times New Roman" w:cs="Times New Roman"/>
                <w:sz w:val="28"/>
                <w:szCs w:val="22"/>
              </w:rPr>
            </w:pPr>
            <w:r w:rsidRPr="00CE207C">
              <w:rPr>
                <w:rFonts w:ascii="Times New Roman" w:hAnsi="Times New Roman" w:cs="Times New Roman"/>
                <w:sz w:val="28"/>
                <w:szCs w:val="22"/>
              </w:rPr>
              <w:t>1</w:t>
            </w:r>
          </w:p>
        </w:tc>
        <w:tc>
          <w:tcPr>
            <w:tcW w:w="1328" w:type="dxa"/>
          </w:tcPr>
          <w:p w14:paraId="2CD85142" w14:textId="55A101D6" w:rsidR="00DE5DAE" w:rsidRPr="00CE207C" w:rsidRDefault="00DE5DAE" w:rsidP="00B77C0B">
            <w:pPr>
              <w:pStyle w:val="NoSpacing"/>
              <w:jc w:val="center"/>
              <w:rPr>
                <w:rFonts w:ascii="Times New Roman" w:hAnsi="Times New Roman" w:cs="Times New Roman"/>
                <w:sz w:val="28"/>
                <w:szCs w:val="22"/>
              </w:rPr>
            </w:pPr>
            <w:r w:rsidRPr="00CE207C">
              <w:rPr>
                <w:rFonts w:ascii="Times New Roman" w:hAnsi="Times New Roman" w:cs="Times New Roman"/>
                <w:sz w:val="28"/>
                <w:szCs w:val="22"/>
              </w:rPr>
              <w:t>2</w:t>
            </w:r>
          </w:p>
        </w:tc>
        <w:tc>
          <w:tcPr>
            <w:tcW w:w="1417" w:type="dxa"/>
          </w:tcPr>
          <w:p w14:paraId="01B21E88" w14:textId="3D16CCEF" w:rsidR="00DE5DAE" w:rsidRPr="00CE207C" w:rsidRDefault="00DE5DAE" w:rsidP="00B77C0B">
            <w:pPr>
              <w:pStyle w:val="NoSpacing"/>
              <w:jc w:val="center"/>
              <w:rPr>
                <w:rFonts w:ascii="Times New Roman" w:hAnsi="Times New Roman" w:cs="Times New Roman"/>
                <w:sz w:val="28"/>
                <w:szCs w:val="22"/>
              </w:rPr>
            </w:pPr>
            <w:r w:rsidRPr="00CE207C">
              <w:rPr>
                <w:rFonts w:ascii="Times New Roman" w:hAnsi="Times New Roman" w:cs="Times New Roman"/>
                <w:sz w:val="28"/>
                <w:szCs w:val="22"/>
              </w:rPr>
              <w:t>3 (a)</w:t>
            </w:r>
          </w:p>
        </w:tc>
        <w:tc>
          <w:tcPr>
            <w:tcW w:w="0" w:type="auto"/>
          </w:tcPr>
          <w:p w14:paraId="2949FACF" w14:textId="0986F31F" w:rsidR="00DE5DAE" w:rsidRPr="00CE207C" w:rsidRDefault="00DE5DAE" w:rsidP="00B77C0B">
            <w:pPr>
              <w:pStyle w:val="NoSpacing"/>
              <w:jc w:val="center"/>
              <w:rPr>
                <w:rFonts w:ascii="Times New Roman" w:hAnsi="Times New Roman" w:cs="Times New Roman"/>
                <w:sz w:val="28"/>
                <w:szCs w:val="22"/>
              </w:rPr>
            </w:pPr>
            <w:r w:rsidRPr="00CE207C">
              <w:rPr>
                <w:rFonts w:ascii="Times New Roman" w:hAnsi="Times New Roman" w:cs="Times New Roman"/>
                <w:sz w:val="28"/>
                <w:szCs w:val="22"/>
              </w:rPr>
              <w:t>3(b)</w:t>
            </w:r>
          </w:p>
        </w:tc>
        <w:tc>
          <w:tcPr>
            <w:tcW w:w="0" w:type="auto"/>
          </w:tcPr>
          <w:p w14:paraId="1627A1E8" w14:textId="61E381F8" w:rsidR="00DE5DAE" w:rsidRPr="00CE207C" w:rsidRDefault="00DE5DAE" w:rsidP="00B77C0B">
            <w:pPr>
              <w:pStyle w:val="NoSpacing"/>
              <w:jc w:val="center"/>
              <w:rPr>
                <w:rFonts w:ascii="Times New Roman" w:hAnsi="Times New Roman" w:cs="Times New Roman"/>
                <w:sz w:val="28"/>
                <w:szCs w:val="22"/>
              </w:rPr>
            </w:pPr>
            <w:r w:rsidRPr="00CE207C">
              <w:rPr>
                <w:rFonts w:ascii="Times New Roman" w:hAnsi="Times New Roman" w:cs="Times New Roman"/>
                <w:sz w:val="28"/>
                <w:szCs w:val="22"/>
              </w:rPr>
              <w:t>4 (a)</w:t>
            </w:r>
          </w:p>
        </w:tc>
        <w:tc>
          <w:tcPr>
            <w:tcW w:w="0" w:type="auto"/>
          </w:tcPr>
          <w:p w14:paraId="097B0F6F" w14:textId="0FD6F13B" w:rsidR="00DE5DAE" w:rsidRPr="00CE207C" w:rsidRDefault="00DE5DAE" w:rsidP="00B77C0B">
            <w:pPr>
              <w:pStyle w:val="NoSpacing"/>
              <w:jc w:val="center"/>
              <w:rPr>
                <w:rFonts w:ascii="Times New Roman" w:hAnsi="Times New Roman" w:cs="Times New Roman"/>
                <w:sz w:val="28"/>
                <w:szCs w:val="22"/>
              </w:rPr>
            </w:pPr>
            <w:r w:rsidRPr="00CE207C">
              <w:rPr>
                <w:rFonts w:ascii="Times New Roman" w:hAnsi="Times New Roman" w:cs="Times New Roman"/>
                <w:sz w:val="28"/>
                <w:szCs w:val="22"/>
              </w:rPr>
              <w:t>4(b)</w:t>
            </w:r>
          </w:p>
        </w:tc>
        <w:tc>
          <w:tcPr>
            <w:tcW w:w="0" w:type="auto"/>
          </w:tcPr>
          <w:p w14:paraId="510BDA1C" w14:textId="13B281A9" w:rsidR="00DE5DAE" w:rsidRPr="00CE207C" w:rsidRDefault="00DE5DAE" w:rsidP="00B77C0B">
            <w:pPr>
              <w:pStyle w:val="NoSpacing"/>
              <w:jc w:val="center"/>
              <w:rPr>
                <w:rFonts w:ascii="Times New Roman" w:hAnsi="Times New Roman" w:cs="Times New Roman"/>
                <w:sz w:val="28"/>
                <w:szCs w:val="22"/>
              </w:rPr>
            </w:pPr>
            <w:r w:rsidRPr="00CE207C">
              <w:rPr>
                <w:rFonts w:ascii="Times New Roman" w:hAnsi="Times New Roman" w:cs="Times New Roman"/>
                <w:sz w:val="28"/>
                <w:szCs w:val="22"/>
              </w:rPr>
              <w:t>5(a)</w:t>
            </w:r>
          </w:p>
        </w:tc>
        <w:tc>
          <w:tcPr>
            <w:tcW w:w="0" w:type="auto"/>
          </w:tcPr>
          <w:p w14:paraId="4EBB3445" w14:textId="246404FC" w:rsidR="00DE5DAE" w:rsidRPr="00CE207C" w:rsidRDefault="00DE5DAE" w:rsidP="00B77C0B">
            <w:pPr>
              <w:pStyle w:val="NoSpacing"/>
              <w:jc w:val="center"/>
              <w:rPr>
                <w:rFonts w:ascii="Times New Roman" w:hAnsi="Times New Roman" w:cs="Times New Roman"/>
                <w:sz w:val="28"/>
                <w:szCs w:val="22"/>
              </w:rPr>
            </w:pPr>
            <w:r w:rsidRPr="00CE207C">
              <w:rPr>
                <w:rFonts w:ascii="Times New Roman" w:hAnsi="Times New Roman" w:cs="Times New Roman"/>
                <w:sz w:val="28"/>
                <w:szCs w:val="22"/>
              </w:rPr>
              <w:t>5(b)</w:t>
            </w:r>
          </w:p>
        </w:tc>
        <w:tc>
          <w:tcPr>
            <w:tcW w:w="0" w:type="auto"/>
          </w:tcPr>
          <w:p w14:paraId="7ED11B92" w14:textId="5EAF053E" w:rsidR="00DE5DAE" w:rsidRPr="00CE207C" w:rsidRDefault="00DE5DAE" w:rsidP="00B77C0B">
            <w:pPr>
              <w:pStyle w:val="NoSpacing"/>
              <w:jc w:val="center"/>
              <w:rPr>
                <w:rFonts w:ascii="Times New Roman" w:hAnsi="Times New Roman" w:cs="Times New Roman"/>
                <w:sz w:val="28"/>
                <w:szCs w:val="22"/>
              </w:rPr>
            </w:pPr>
            <w:r w:rsidRPr="00CE207C">
              <w:rPr>
                <w:rFonts w:ascii="Times New Roman" w:hAnsi="Times New Roman" w:cs="Times New Roman"/>
                <w:sz w:val="28"/>
                <w:szCs w:val="22"/>
              </w:rPr>
              <w:t>5(c)</w:t>
            </w:r>
          </w:p>
        </w:tc>
        <w:tc>
          <w:tcPr>
            <w:tcW w:w="0" w:type="auto"/>
          </w:tcPr>
          <w:p w14:paraId="371BAE72" w14:textId="4B340E2A" w:rsidR="00DE5DAE" w:rsidRPr="00CE207C" w:rsidRDefault="00DE5DAE" w:rsidP="00B77C0B">
            <w:pPr>
              <w:pStyle w:val="NoSpacing"/>
              <w:jc w:val="center"/>
              <w:rPr>
                <w:rFonts w:ascii="Times New Roman" w:hAnsi="Times New Roman" w:cs="Times New Roman"/>
                <w:sz w:val="28"/>
                <w:szCs w:val="22"/>
              </w:rPr>
            </w:pPr>
            <w:r w:rsidRPr="00CE207C">
              <w:rPr>
                <w:rFonts w:ascii="Times New Roman" w:hAnsi="Times New Roman" w:cs="Times New Roman"/>
                <w:sz w:val="28"/>
                <w:szCs w:val="22"/>
              </w:rPr>
              <w:t>6</w:t>
            </w:r>
          </w:p>
        </w:tc>
      </w:tr>
      <w:tr w:rsidR="002152D6" w:rsidRPr="00CE207C" w14:paraId="0B9CE90B" w14:textId="77777777" w:rsidTr="00CE207C">
        <w:trPr>
          <w:trHeight w:val="20"/>
        </w:trPr>
        <w:tc>
          <w:tcPr>
            <w:tcW w:w="1304" w:type="dxa"/>
            <w:hideMark/>
          </w:tcPr>
          <w:p w14:paraId="7772DF43" w14:textId="77777777" w:rsidR="002152D6" w:rsidRPr="00CE207C" w:rsidRDefault="002152D6" w:rsidP="00B77C0B">
            <w:pPr>
              <w:pStyle w:val="NoSpacing"/>
              <w:jc w:val="center"/>
              <w:rPr>
                <w:rFonts w:ascii="Times New Roman" w:hAnsi="Times New Roman" w:cs="Times New Roman"/>
                <w:sz w:val="28"/>
                <w:szCs w:val="22"/>
              </w:rPr>
            </w:pPr>
            <w:r w:rsidRPr="00CE207C">
              <w:rPr>
                <w:rFonts w:ascii="Times New Roman" w:hAnsi="Times New Roman" w:cs="Times New Roman"/>
                <w:sz w:val="28"/>
                <w:szCs w:val="22"/>
              </w:rPr>
              <w:t>1964-65</w:t>
            </w:r>
          </w:p>
        </w:tc>
        <w:tc>
          <w:tcPr>
            <w:tcW w:w="1328" w:type="dxa"/>
            <w:hideMark/>
          </w:tcPr>
          <w:p w14:paraId="0CEC0408" w14:textId="77777777" w:rsidR="002152D6" w:rsidRPr="00CE207C" w:rsidRDefault="002152D6" w:rsidP="00B77C0B">
            <w:pPr>
              <w:pStyle w:val="NoSpacing"/>
              <w:jc w:val="center"/>
              <w:rPr>
                <w:rFonts w:ascii="Times New Roman" w:hAnsi="Times New Roman" w:cs="Times New Roman"/>
                <w:sz w:val="28"/>
                <w:szCs w:val="22"/>
              </w:rPr>
            </w:pPr>
            <w:r w:rsidRPr="00CE207C">
              <w:rPr>
                <w:rFonts w:ascii="Times New Roman" w:hAnsi="Times New Roman" w:cs="Times New Roman"/>
                <w:sz w:val="28"/>
                <w:szCs w:val="22"/>
              </w:rPr>
              <w:t>2435</w:t>
            </w:r>
          </w:p>
        </w:tc>
        <w:tc>
          <w:tcPr>
            <w:tcW w:w="1417" w:type="dxa"/>
            <w:hideMark/>
          </w:tcPr>
          <w:p w14:paraId="55634F97" w14:textId="77777777" w:rsidR="002152D6" w:rsidRPr="00CE207C" w:rsidRDefault="002152D6" w:rsidP="00B77C0B">
            <w:pPr>
              <w:pStyle w:val="NoSpacing"/>
              <w:jc w:val="center"/>
              <w:rPr>
                <w:rFonts w:ascii="Times New Roman" w:hAnsi="Times New Roman" w:cs="Times New Roman"/>
                <w:sz w:val="28"/>
                <w:szCs w:val="22"/>
              </w:rPr>
            </w:pPr>
            <w:r w:rsidRPr="00CE207C">
              <w:rPr>
                <w:rFonts w:ascii="Times New Roman" w:hAnsi="Times New Roman" w:cs="Times New Roman"/>
                <w:sz w:val="28"/>
                <w:szCs w:val="22"/>
              </w:rPr>
              <w:t>199.28</w:t>
            </w:r>
          </w:p>
        </w:tc>
        <w:tc>
          <w:tcPr>
            <w:tcW w:w="0" w:type="auto"/>
            <w:hideMark/>
          </w:tcPr>
          <w:p w14:paraId="5DF145E5" w14:textId="77777777" w:rsidR="002152D6" w:rsidRPr="00CE207C" w:rsidRDefault="002152D6" w:rsidP="00B77C0B">
            <w:pPr>
              <w:pStyle w:val="NoSpacing"/>
              <w:jc w:val="center"/>
              <w:rPr>
                <w:rFonts w:ascii="Times New Roman" w:hAnsi="Times New Roman" w:cs="Times New Roman"/>
                <w:sz w:val="28"/>
                <w:szCs w:val="22"/>
              </w:rPr>
            </w:pPr>
            <w:r w:rsidRPr="00CE207C">
              <w:rPr>
                <w:rFonts w:ascii="Times New Roman" w:hAnsi="Times New Roman" w:cs="Times New Roman"/>
                <w:sz w:val="28"/>
                <w:szCs w:val="22"/>
              </w:rPr>
              <w:t>661.03</w:t>
            </w:r>
          </w:p>
        </w:tc>
        <w:tc>
          <w:tcPr>
            <w:tcW w:w="0" w:type="auto"/>
            <w:hideMark/>
          </w:tcPr>
          <w:p w14:paraId="0C134D91" w14:textId="77777777" w:rsidR="002152D6" w:rsidRPr="00CE207C" w:rsidRDefault="002152D6" w:rsidP="00B77C0B">
            <w:pPr>
              <w:pStyle w:val="NoSpacing"/>
              <w:jc w:val="center"/>
              <w:rPr>
                <w:rFonts w:ascii="Times New Roman" w:hAnsi="Times New Roman" w:cs="Times New Roman"/>
                <w:sz w:val="28"/>
                <w:szCs w:val="22"/>
              </w:rPr>
            </w:pPr>
            <w:r w:rsidRPr="00CE207C">
              <w:rPr>
                <w:rFonts w:ascii="Times New Roman" w:hAnsi="Times New Roman" w:cs="Times New Roman"/>
                <w:sz w:val="28"/>
                <w:szCs w:val="22"/>
              </w:rPr>
              <w:t>433.45</w:t>
            </w:r>
          </w:p>
        </w:tc>
        <w:tc>
          <w:tcPr>
            <w:tcW w:w="0" w:type="auto"/>
            <w:hideMark/>
          </w:tcPr>
          <w:p w14:paraId="5B937251" w14:textId="77777777" w:rsidR="002152D6" w:rsidRPr="00CE207C" w:rsidRDefault="002152D6" w:rsidP="00B77C0B">
            <w:pPr>
              <w:pStyle w:val="NoSpacing"/>
              <w:jc w:val="center"/>
              <w:rPr>
                <w:rFonts w:ascii="Times New Roman" w:hAnsi="Times New Roman" w:cs="Times New Roman"/>
                <w:sz w:val="28"/>
                <w:szCs w:val="22"/>
              </w:rPr>
            </w:pPr>
            <w:r w:rsidRPr="00CE207C">
              <w:rPr>
                <w:rFonts w:ascii="Times New Roman" w:hAnsi="Times New Roman" w:cs="Times New Roman"/>
                <w:sz w:val="28"/>
                <w:szCs w:val="22"/>
              </w:rPr>
              <w:t>542.92</w:t>
            </w:r>
          </w:p>
        </w:tc>
        <w:tc>
          <w:tcPr>
            <w:tcW w:w="0" w:type="auto"/>
            <w:hideMark/>
          </w:tcPr>
          <w:p w14:paraId="42956192" w14:textId="77777777" w:rsidR="002152D6" w:rsidRPr="00CE207C" w:rsidRDefault="002152D6" w:rsidP="00B77C0B">
            <w:pPr>
              <w:pStyle w:val="NoSpacing"/>
              <w:jc w:val="center"/>
              <w:rPr>
                <w:rFonts w:ascii="Times New Roman" w:hAnsi="Times New Roman" w:cs="Times New Roman"/>
                <w:sz w:val="28"/>
                <w:szCs w:val="22"/>
              </w:rPr>
            </w:pPr>
            <w:r w:rsidRPr="00CE207C">
              <w:rPr>
                <w:rFonts w:ascii="Times New Roman" w:hAnsi="Times New Roman" w:cs="Times New Roman"/>
                <w:sz w:val="28"/>
                <w:szCs w:val="22"/>
              </w:rPr>
              <w:t>92.43</w:t>
            </w:r>
          </w:p>
        </w:tc>
        <w:tc>
          <w:tcPr>
            <w:tcW w:w="0" w:type="auto"/>
            <w:hideMark/>
          </w:tcPr>
          <w:p w14:paraId="77CCF733" w14:textId="77777777" w:rsidR="002152D6" w:rsidRPr="00CE207C" w:rsidRDefault="002152D6" w:rsidP="00B77C0B">
            <w:pPr>
              <w:pStyle w:val="NoSpacing"/>
              <w:jc w:val="center"/>
              <w:rPr>
                <w:rFonts w:ascii="Times New Roman" w:hAnsi="Times New Roman" w:cs="Times New Roman"/>
                <w:sz w:val="28"/>
                <w:szCs w:val="22"/>
              </w:rPr>
            </w:pPr>
            <w:r w:rsidRPr="00CE207C">
              <w:rPr>
                <w:rFonts w:ascii="Times New Roman" w:hAnsi="Times New Roman" w:cs="Times New Roman"/>
                <w:sz w:val="28"/>
                <w:szCs w:val="22"/>
              </w:rPr>
              <w:t>12.50</w:t>
            </w:r>
          </w:p>
        </w:tc>
        <w:tc>
          <w:tcPr>
            <w:tcW w:w="0" w:type="auto"/>
            <w:hideMark/>
          </w:tcPr>
          <w:p w14:paraId="0D346594" w14:textId="77777777" w:rsidR="002152D6" w:rsidRPr="00CE207C" w:rsidRDefault="002152D6" w:rsidP="00B77C0B">
            <w:pPr>
              <w:pStyle w:val="NoSpacing"/>
              <w:jc w:val="center"/>
              <w:rPr>
                <w:rFonts w:ascii="Times New Roman" w:hAnsi="Times New Roman" w:cs="Times New Roman"/>
                <w:sz w:val="28"/>
                <w:szCs w:val="22"/>
              </w:rPr>
            </w:pPr>
            <w:r w:rsidRPr="00CE207C">
              <w:rPr>
                <w:rFonts w:ascii="Times New Roman" w:hAnsi="Times New Roman" w:cs="Times New Roman"/>
                <w:sz w:val="28"/>
                <w:szCs w:val="22"/>
              </w:rPr>
              <w:t>104.93</w:t>
            </w:r>
          </w:p>
        </w:tc>
        <w:tc>
          <w:tcPr>
            <w:tcW w:w="0" w:type="auto"/>
            <w:hideMark/>
          </w:tcPr>
          <w:p w14:paraId="2E299098" w14:textId="77777777" w:rsidR="002152D6" w:rsidRPr="00CE207C" w:rsidRDefault="002152D6" w:rsidP="00B77C0B">
            <w:pPr>
              <w:pStyle w:val="NoSpacing"/>
              <w:jc w:val="center"/>
              <w:rPr>
                <w:rFonts w:ascii="Times New Roman" w:hAnsi="Times New Roman" w:cs="Times New Roman"/>
                <w:sz w:val="28"/>
                <w:szCs w:val="22"/>
              </w:rPr>
            </w:pPr>
            <w:r w:rsidRPr="00CE207C">
              <w:rPr>
                <w:rFonts w:ascii="Times New Roman" w:hAnsi="Times New Roman" w:cs="Times New Roman"/>
                <w:sz w:val="28"/>
                <w:szCs w:val="22"/>
              </w:rPr>
              <w:t>+13.18</w:t>
            </w:r>
          </w:p>
        </w:tc>
      </w:tr>
      <w:tr w:rsidR="002152D6" w:rsidRPr="00CE207C" w14:paraId="49CF1A92" w14:textId="77777777" w:rsidTr="00CE207C">
        <w:trPr>
          <w:trHeight w:val="20"/>
        </w:trPr>
        <w:tc>
          <w:tcPr>
            <w:tcW w:w="1304" w:type="dxa"/>
            <w:hideMark/>
          </w:tcPr>
          <w:p w14:paraId="1DA50BF6" w14:textId="77777777" w:rsidR="002152D6" w:rsidRPr="00CE207C" w:rsidRDefault="002152D6" w:rsidP="00B77C0B">
            <w:pPr>
              <w:pStyle w:val="NoSpacing"/>
              <w:jc w:val="center"/>
              <w:rPr>
                <w:rFonts w:ascii="Times New Roman" w:hAnsi="Times New Roman" w:cs="Times New Roman"/>
                <w:sz w:val="28"/>
                <w:szCs w:val="22"/>
              </w:rPr>
            </w:pPr>
            <w:r w:rsidRPr="00CE207C">
              <w:rPr>
                <w:rFonts w:ascii="Times New Roman" w:hAnsi="Times New Roman" w:cs="Times New Roman"/>
                <w:sz w:val="28"/>
                <w:szCs w:val="22"/>
              </w:rPr>
              <w:t>1965-66</w:t>
            </w:r>
          </w:p>
        </w:tc>
        <w:tc>
          <w:tcPr>
            <w:tcW w:w="1328" w:type="dxa"/>
            <w:hideMark/>
          </w:tcPr>
          <w:p w14:paraId="5FC8A259" w14:textId="77777777" w:rsidR="002152D6" w:rsidRPr="00CE207C" w:rsidRDefault="002152D6" w:rsidP="00B77C0B">
            <w:pPr>
              <w:pStyle w:val="NoSpacing"/>
              <w:jc w:val="center"/>
              <w:rPr>
                <w:rFonts w:ascii="Times New Roman" w:hAnsi="Times New Roman" w:cs="Times New Roman"/>
                <w:sz w:val="28"/>
                <w:szCs w:val="22"/>
              </w:rPr>
            </w:pPr>
            <w:r w:rsidRPr="00CE207C">
              <w:rPr>
                <w:rFonts w:ascii="Times New Roman" w:hAnsi="Times New Roman" w:cs="Times New Roman"/>
                <w:sz w:val="28"/>
                <w:szCs w:val="22"/>
              </w:rPr>
              <w:t>2680</w:t>
            </w:r>
          </w:p>
        </w:tc>
        <w:tc>
          <w:tcPr>
            <w:tcW w:w="1417" w:type="dxa"/>
            <w:hideMark/>
          </w:tcPr>
          <w:p w14:paraId="2F092333" w14:textId="77777777" w:rsidR="002152D6" w:rsidRPr="00CE207C" w:rsidRDefault="002152D6" w:rsidP="00B77C0B">
            <w:pPr>
              <w:pStyle w:val="NoSpacing"/>
              <w:jc w:val="center"/>
              <w:rPr>
                <w:rFonts w:ascii="Times New Roman" w:hAnsi="Times New Roman" w:cs="Times New Roman"/>
                <w:sz w:val="28"/>
                <w:szCs w:val="22"/>
              </w:rPr>
            </w:pPr>
            <w:r w:rsidRPr="00CE207C">
              <w:rPr>
                <w:rFonts w:ascii="Times New Roman" w:hAnsi="Times New Roman" w:cs="Times New Roman"/>
                <w:sz w:val="28"/>
                <w:szCs w:val="22"/>
              </w:rPr>
              <w:t>219.17</w:t>
            </w:r>
          </w:p>
        </w:tc>
        <w:tc>
          <w:tcPr>
            <w:tcW w:w="0" w:type="auto"/>
            <w:hideMark/>
          </w:tcPr>
          <w:p w14:paraId="0C982077" w14:textId="77777777" w:rsidR="002152D6" w:rsidRPr="00CE207C" w:rsidRDefault="002152D6" w:rsidP="00B77C0B">
            <w:pPr>
              <w:pStyle w:val="NoSpacing"/>
              <w:jc w:val="center"/>
              <w:rPr>
                <w:rFonts w:ascii="Times New Roman" w:hAnsi="Times New Roman" w:cs="Times New Roman"/>
                <w:sz w:val="28"/>
                <w:szCs w:val="22"/>
              </w:rPr>
            </w:pPr>
            <w:r w:rsidRPr="00CE207C">
              <w:rPr>
                <w:rFonts w:ascii="Times New Roman" w:hAnsi="Times New Roman" w:cs="Times New Roman"/>
                <w:sz w:val="28"/>
                <w:szCs w:val="22"/>
              </w:rPr>
              <w:t>733.76</w:t>
            </w:r>
          </w:p>
        </w:tc>
        <w:tc>
          <w:tcPr>
            <w:tcW w:w="0" w:type="auto"/>
            <w:hideMark/>
          </w:tcPr>
          <w:p w14:paraId="43222CE7" w14:textId="77777777" w:rsidR="002152D6" w:rsidRPr="00CE207C" w:rsidRDefault="002152D6" w:rsidP="00B77C0B">
            <w:pPr>
              <w:pStyle w:val="NoSpacing"/>
              <w:jc w:val="center"/>
              <w:rPr>
                <w:rFonts w:ascii="Times New Roman" w:hAnsi="Times New Roman" w:cs="Times New Roman"/>
                <w:sz w:val="28"/>
                <w:szCs w:val="22"/>
              </w:rPr>
            </w:pPr>
            <w:r w:rsidRPr="00CE207C">
              <w:rPr>
                <w:rFonts w:ascii="Times New Roman" w:hAnsi="Times New Roman" w:cs="Times New Roman"/>
                <w:sz w:val="28"/>
                <w:szCs w:val="22"/>
              </w:rPr>
              <w:t>485.35</w:t>
            </w:r>
          </w:p>
        </w:tc>
        <w:tc>
          <w:tcPr>
            <w:tcW w:w="0" w:type="auto"/>
            <w:hideMark/>
          </w:tcPr>
          <w:p w14:paraId="11217230" w14:textId="77777777" w:rsidR="002152D6" w:rsidRPr="00CE207C" w:rsidRDefault="002152D6" w:rsidP="00B77C0B">
            <w:pPr>
              <w:pStyle w:val="NoSpacing"/>
              <w:jc w:val="center"/>
              <w:rPr>
                <w:rFonts w:ascii="Times New Roman" w:hAnsi="Times New Roman" w:cs="Times New Roman"/>
                <w:sz w:val="28"/>
                <w:szCs w:val="22"/>
              </w:rPr>
            </w:pPr>
            <w:r w:rsidRPr="00CE207C">
              <w:rPr>
                <w:rFonts w:ascii="Times New Roman" w:hAnsi="Times New Roman" w:cs="Times New Roman"/>
                <w:sz w:val="28"/>
                <w:szCs w:val="22"/>
              </w:rPr>
              <w:t>598.92</w:t>
            </w:r>
          </w:p>
        </w:tc>
        <w:tc>
          <w:tcPr>
            <w:tcW w:w="0" w:type="auto"/>
            <w:hideMark/>
          </w:tcPr>
          <w:p w14:paraId="4B264DDD" w14:textId="77777777" w:rsidR="002152D6" w:rsidRPr="00CE207C" w:rsidRDefault="002152D6" w:rsidP="00B77C0B">
            <w:pPr>
              <w:pStyle w:val="NoSpacing"/>
              <w:jc w:val="center"/>
              <w:rPr>
                <w:rFonts w:ascii="Times New Roman" w:hAnsi="Times New Roman" w:cs="Times New Roman"/>
                <w:sz w:val="28"/>
                <w:szCs w:val="22"/>
              </w:rPr>
            </w:pPr>
            <w:r w:rsidRPr="00CE207C">
              <w:rPr>
                <w:rFonts w:ascii="Times New Roman" w:hAnsi="Times New Roman" w:cs="Times New Roman"/>
                <w:sz w:val="28"/>
                <w:szCs w:val="22"/>
              </w:rPr>
              <w:t>103.78</w:t>
            </w:r>
          </w:p>
        </w:tc>
        <w:tc>
          <w:tcPr>
            <w:tcW w:w="0" w:type="auto"/>
            <w:hideMark/>
          </w:tcPr>
          <w:p w14:paraId="1785FA7E" w14:textId="77777777" w:rsidR="002152D6" w:rsidRPr="00CE207C" w:rsidRDefault="002152D6" w:rsidP="00B77C0B">
            <w:pPr>
              <w:pStyle w:val="NoSpacing"/>
              <w:jc w:val="center"/>
              <w:rPr>
                <w:rFonts w:ascii="Times New Roman" w:hAnsi="Times New Roman" w:cs="Times New Roman"/>
                <w:sz w:val="28"/>
                <w:szCs w:val="22"/>
              </w:rPr>
            </w:pPr>
            <w:r w:rsidRPr="00CE207C">
              <w:rPr>
                <w:rFonts w:ascii="Times New Roman" w:hAnsi="Times New Roman" w:cs="Times New Roman"/>
                <w:sz w:val="28"/>
                <w:szCs w:val="22"/>
              </w:rPr>
              <w:t>12.50</w:t>
            </w:r>
          </w:p>
        </w:tc>
        <w:tc>
          <w:tcPr>
            <w:tcW w:w="0" w:type="auto"/>
            <w:hideMark/>
          </w:tcPr>
          <w:p w14:paraId="09E77A22" w14:textId="77777777" w:rsidR="002152D6" w:rsidRPr="00CE207C" w:rsidRDefault="002152D6" w:rsidP="00B77C0B">
            <w:pPr>
              <w:pStyle w:val="NoSpacing"/>
              <w:jc w:val="center"/>
              <w:rPr>
                <w:rFonts w:ascii="Times New Roman" w:hAnsi="Times New Roman" w:cs="Times New Roman"/>
                <w:sz w:val="28"/>
                <w:szCs w:val="22"/>
              </w:rPr>
            </w:pPr>
            <w:r w:rsidRPr="00CE207C">
              <w:rPr>
                <w:rFonts w:ascii="Times New Roman" w:hAnsi="Times New Roman" w:cs="Times New Roman"/>
                <w:sz w:val="28"/>
                <w:szCs w:val="22"/>
              </w:rPr>
              <w:t>116.28</w:t>
            </w:r>
          </w:p>
        </w:tc>
        <w:tc>
          <w:tcPr>
            <w:tcW w:w="0" w:type="auto"/>
            <w:hideMark/>
          </w:tcPr>
          <w:p w14:paraId="10453356" w14:textId="77777777" w:rsidR="002152D6" w:rsidRPr="00CE207C" w:rsidRDefault="002152D6" w:rsidP="00B77C0B">
            <w:pPr>
              <w:pStyle w:val="NoSpacing"/>
              <w:jc w:val="center"/>
              <w:rPr>
                <w:rFonts w:ascii="Times New Roman" w:hAnsi="Times New Roman" w:cs="Times New Roman"/>
                <w:sz w:val="28"/>
                <w:szCs w:val="22"/>
              </w:rPr>
            </w:pPr>
            <w:r w:rsidRPr="00CE207C">
              <w:rPr>
                <w:rFonts w:ascii="Times New Roman" w:hAnsi="Times New Roman" w:cs="Times New Roman"/>
                <w:sz w:val="28"/>
                <w:szCs w:val="22"/>
              </w:rPr>
              <w:t>+18.56</w:t>
            </w:r>
          </w:p>
        </w:tc>
      </w:tr>
      <w:tr w:rsidR="002152D6" w:rsidRPr="00CE207C" w14:paraId="55596F9E" w14:textId="77777777" w:rsidTr="00CE207C">
        <w:trPr>
          <w:trHeight w:val="20"/>
        </w:trPr>
        <w:tc>
          <w:tcPr>
            <w:tcW w:w="1304" w:type="dxa"/>
            <w:hideMark/>
          </w:tcPr>
          <w:p w14:paraId="293B32F3" w14:textId="77777777" w:rsidR="002152D6" w:rsidRPr="00CE207C" w:rsidRDefault="002152D6" w:rsidP="00B77C0B">
            <w:pPr>
              <w:pStyle w:val="NoSpacing"/>
              <w:jc w:val="center"/>
              <w:rPr>
                <w:rFonts w:ascii="Times New Roman" w:hAnsi="Times New Roman" w:cs="Times New Roman"/>
                <w:sz w:val="28"/>
                <w:szCs w:val="22"/>
              </w:rPr>
            </w:pPr>
            <w:r w:rsidRPr="00CE207C">
              <w:rPr>
                <w:rFonts w:ascii="Times New Roman" w:hAnsi="Times New Roman" w:cs="Times New Roman"/>
                <w:sz w:val="28"/>
                <w:szCs w:val="22"/>
              </w:rPr>
              <w:t>1966-67</w:t>
            </w:r>
          </w:p>
        </w:tc>
        <w:tc>
          <w:tcPr>
            <w:tcW w:w="1328" w:type="dxa"/>
            <w:hideMark/>
          </w:tcPr>
          <w:p w14:paraId="5F1E5AEF" w14:textId="77777777" w:rsidR="002152D6" w:rsidRPr="00CE207C" w:rsidRDefault="002152D6" w:rsidP="00B77C0B">
            <w:pPr>
              <w:pStyle w:val="NoSpacing"/>
              <w:jc w:val="center"/>
              <w:rPr>
                <w:rFonts w:ascii="Times New Roman" w:hAnsi="Times New Roman" w:cs="Times New Roman"/>
                <w:sz w:val="28"/>
                <w:szCs w:val="22"/>
              </w:rPr>
            </w:pPr>
            <w:r w:rsidRPr="00CE207C">
              <w:rPr>
                <w:rFonts w:ascii="Times New Roman" w:hAnsi="Times New Roman" w:cs="Times New Roman"/>
                <w:sz w:val="28"/>
                <w:szCs w:val="22"/>
              </w:rPr>
              <w:t>2842</w:t>
            </w:r>
          </w:p>
        </w:tc>
        <w:tc>
          <w:tcPr>
            <w:tcW w:w="1417" w:type="dxa"/>
            <w:hideMark/>
          </w:tcPr>
          <w:p w14:paraId="2A9367AE" w14:textId="77777777" w:rsidR="002152D6" w:rsidRPr="00CE207C" w:rsidRDefault="002152D6" w:rsidP="00B77C0B">
            <w:pPr>
              <w:pStyle w:val="NoSpacing"/>
              <w:jc w:val="center"/>
              <w:rPr>
                <w:rFonts w:ascii="Times New Roman" w:hAnsi="Times New Roman" w:cs="Times New Roman"/>
                <w:sz w:val="28"/>
                <w:szCs w:val="22"/>
              </w:rPr>
            </w:pPr>
            <w:r w:rsidRPr="00CE207C">
              <w:rPr>
                <w:rFonts w:ascii="Times New Roman" w:hAnsi="Times New Roman" w:cs="Times New Roman"/>
                <w:sz w:val="28"/>
                <w:szCs w:val="22"/>
              </w:rPr>
              <w:t>229.34</w:t>
            </w:r>
          </w:p>
        </w:tc>
        <w:tc>
          <w:tcPr>
            <w:tcW w:w="0" w:type="auto"/>
            <w:hideMark/>
          </w:tcPr>
          <w:p w14:paraId="73FD446A" w14:textId="77777777" w:rsidR="002152D6" w:rsidRPr="00CE207C" w:rsidRDefault="002152D6" w:rsidP="00B77C0B">
            <w:pPr>
              <w:pStyle w:val="NoSpacing"/>
              <w:jc w:val="center"/>
              <w:rPr>
                <w:rFonts w:ascii="Times New Roman" w:hAnsi="Times New Roman" w:cs="Times New Roman"/>
                <w:sz w:val="28"/>
                <w:szCs w:val="22"/>
              </w:rPr>
            </w:pPr>
            <w:r w:rsidRPr="00CE207C">
              <w:rPr>
                <w:rFonts w:ascii="Times New Roman" w:hAnsi="Times New Roman" w:cs="Times New Roman"/>
                <w:sz w:val="28"/>
                <w:szCs w:val="22"/>
              </w:rPr>
              <w:t>769.00</w:t>
            </w:r>
          </w:p>
        </w:tc>
        <w:tc>
          <w:tcPr>
            <w:tcW w:w="0" w:type="auto"/>
            <w:hideMark/>
          </w:tcPr>
          <w:p w14:paraId="56369E47" w14:textId="77777777" w:rsidR="002152D6" w:rsidRPr="00CE207C" w:rsidRDefault="002152D6" w:rsidP="00B77C0B">
            <w:pPr>
              <w:pStyle w:val="NoSpacing"/>
              <w:jc w:val="center"/>
              <w:rPr>
                <w:rFonts w:ascii="Times New Roman" w:hAnsi="Times New Roman" w:cs="Times New Roman"/>
                <w:sz w:val="28"/>
                <w:szCs w:val="22"/>
              </w:rPr>
            </w:pPr>
            <w:r w:rsidRPr="00CE207C">
              <w:rPr>
                <w:rFonts w:ascii="Times New Roman" w:hAnsi="Times New Roman" w:cs="Times New Roman"/>
                <w:sz w:val="28"/>
                <w:szCs w:val="22"/>
              </w:rPr>
              <w:t>525.61</w:t>
            </w:r>
          </w:p>
        </w:tc>
        <w:tc>
          <w:tcPr>
            <w:tcW w:w="0" w:type="auto"/>
            <w:hideMark/>
          </w:tcPr>
          <w:p w14:paraId="0862E8BB" w14:textId="77777777" w:rsidR="002152D6" w:rsidRPr="00CE207C" w:rsidRDefault="002152D6" w:rsidP="00B77C0B">
            <w:pPr>
              <w:pStyle w:val="NoSpacing"/>
              <w:jc w:val="center"/>
              <w:rPr>
                <w:rFonts w:ascii="Times New Roman" w:hAnsi="Times New Roman" w:cs="Times New Roman"/>
                <w:sz w:val="28"/>
                <w:szCs w:val="22"/>
              </w:rPr>
            </w:pPr>
            <w:r w:rsidRPr="00CE207C">
              <w:rPr>
                <w:rFonts w:ascii="Times New Roman" w:hAnsi="Times New Roman" w:cs="Times New Roman"/>
                <w:sz w:val="28"/>
                <w:szCs w:val="22"/>
              </w:rPr>
              <w:t>654.88</w:t>
            </w:r>
          </w:p>
        </w:tc>
        <w:tc>
          <w:tcPr>
            <w:tcW w:w="0" w:type="auto"/>
            <w:hideMark/>
          </w:tcPr>
          <w:p w14:paraId="558706BA" w14:textId="77777777" w:rsidR="002152D6" w:rsidRPr="00CE207C" w:rsidRDefault="002152D6" w:rsidP="00B77C0B">
            <w:pPr>
              <w:pStyle w:val="NoSpacing"/>
              <w:jc w:val="center"/>
              <w:rPr>
                <w:rFonts w:ascii="Times New Roman" w:hAnsi="Times New Roman" w:cs="Times New Roman"/>
                <w:sz w:val="28"/>
                <w:szCs w:val="22"/>
              </w:rPr>
            </w:pPr>
            <w:r w:rsidRPr="00CE207C">
              <w:rPr>
                <w:rFonts w:ascii="Times New Roman" w:hAnsi="Times New Roman" w:cs="Times New Roman"/>
                <w:sz w:val="28"/>
                <w:szCs w:val="22"/>
              </w:rPr>
              <w:t>114.70</w:t>
            </w:r>
          </w:p>
        </w:tc>
        <w:tc>
          <w:tcPr>
            <w:tcW w:w="0" w:type="auto"/>
            <w:hideMark/>
          </w:tcPr>
          <w:p w14:paraId="381A01A3" w14:textId="77777777" w:rsidR="002152D6" w:rsidRPr="00CE207C" w:rsidRDefault="002152D6" w:rsidP="00B77C0B">
            <w:pPr>
              <w:pStyle w:val="NoSpacing"/>
              <w:jc w:val="center"/>
              <w:rPr>
                <w:rFonts w:ascii="Times New Roman" w:hAnsi="Times New Roman" w:cs="Times New Roman"/>
                <w:sz w:val="28"/>
                <w:szCs w:val="22"/>
              </w:rPr>
            </w:pPr>
            <w:r w:rsidRPr="00CE207C">
              <w:rPr>
                <w:rFonts w:ascii="Times New Roman" w:hAnsi="Times New Roman" w:cs="Times New Roman"/>
                <w:sz w:val="28"/>
                <w:szCs w:val="22"/>
              </w:rPr>
              <w:t>17.69</w:t>
            </w:r>
          </w:p>
        </w:tc>
        <w:tc>
          <w:tcPr>
            <w:tcW w:w="0" w:type="auto"/>
            <w:hideMark/>
          </w:tcPr>
          <w:p w14:paraId="58BD8B8D" w14:textId="77777777" w:rsidR="002152D6" w:rsidRPr="00CE207C" w:rsidRDefault="002152D6" w:rsidP="00B77C0B">
            <w:pPr>
              <w:pStyle w:val="NoSpacing"/>
              <w:jc w:val="center"/>
              <w:rPr>
                <w:rFonts w:ascii="Times New Roman" w:hAnsi="Times New Roman" w:cs="Times New Roman"/>
                <w:sz w:val="28"/>
                <w:szCs w:val="22"/>
              </w:rPr>
            </w:pPr>
            <w:r w:rsidRPr="00CE207C">
              <w:rPr>
                <w:rFonts w:ascii="Times New Roman" w:hAnsi="Times New Roman" w:cs="Times New Roman"/>
                <w:sz w:val="28"/>
                <w:szCs w:val="22"/>
              </w:rPr>
              <w:t>132.39</w:t>
            </w:r>
          </w:p>
        </w:tc>
        <w:tc>
          <w:tcPr>
            <w:tcW w:w="0" w:type="auto"/>
            <w:hideMark/>
          </w:tcPr>
          <w:p w14:paraId="7A9F890B" w14:textId="77777777" w:rsidR="002152D6" w:rsidRPr="00CE207C" w:rsidRDefault="002152D6" w:rsidP="00B77C0B">
            <w:pPr>
              <w:pStyle w:val="NoSpacing"/>
              <w:jc w:val="center"/>
              <w:rPr>
                <w:rFonts w:ascii="Times New Roman" w:hAnsi="Times New Roman" w:cs="Times New Roman"/>
                <w:sz w:val="28"/>
                <w:szCs w:val="22"/>
              </w:rPr>
            </w:pPr>
            <w:r w:rsidRPr="00CE207C">
              <w:rPr>
                <w:rFonts w:ascii="Times New Roman" w:hAnsi="Times New Roman" w:cs="Times New Roman"/>
                <w:sz w:val="28"/>
                <w:szCs w:val="22"/>
              </w:rPr>
              <w:t>-18.27</w:t>
            </w:r>
          </w:p>
        </w:tc>
      </w:tr>
      <w:tr w:rsidR="002152D6" w:rsidRPr="00CE207C" w14:paraId="6428D48B" w14:textId="77777777" w:rsidTr="00CE207C">
        <w:trPr>
          <w:trHeight w:val="20"/>
        </w:trPr>
        <w:tc>
          <w:tcPr>
            <w:tcW w:w="1304" w:type="dxa"/>
            <w:hideMark/>
          </w:tcPr>
          <w:p w14:paraId="631BEDB8" w14:textId="77777777" w:rsidR="002152D6" w:rsidRPr="00CE207C" w:rsidRDefault="002152D6" w:rsidP="00B77C0B">
            <w:pPr>
              <w:pStyle w:val="NoSpacing"/>
              <w:jc w:val="center"/>
              <w:rPr>
                <w:rFonts w:ascii="Times New Roman" w:hAnsi="Times New Roman" w:cs="Times New Roman"/>
                <w:sz w:val="28"/>
                <w:szCs w:val="22"/>
              </w:rPr>
            </w:pPr>
            <w:r w:rsidRPr="00CE207C">
              <w:rPr>
                <w:rFonts w:ascii="Times New Roman" w:hAnsi="Times New Roman" w:cs="Times New Roman"/>
                <w:sz w:val="28"/>
                <w:szCs w:val="22"/>
              </w:rPr>
              <w:t>1967-68</w:t>
            </w:r>
          </w:p>
        </w:tc>
        <w:tc>
          <w:tcPr>
            <w:tcW w:w="1328" w:type="dxa"/>
            <w:hideMark/>
          </w:tcPr>
          <w:p w14:paraId="417B8635" w14:textId="77777777" w:rsidR="002152D6" w:rsidRPr="00CE207C" w:rsidRDefault="002152D6" w:rsidP="00B77C0B">
            <w:pPr>
              <w:pStyle w:val="NoSpacing"/>
              <w:jc w:val="center"/>
              <w:rPr>
                <w:rFonts w:ascii="Times New Roman" w:hAnsi="Times New Roman" w:cs="Times New Roman"/>
                <w:sz w:val="28"/>
                <w:szCs w:val="22"/>
              </w:rPr>
            </w:pPr>
            <w:r w:rsidRPr="00CE207C">
              <w:rPr>
                <w:rFonts w:ascii="Times New Roman" w:hAnsi="Times New Roman" w:cs="Times New Roman"/>
                <w:sz w:val="28"/>
                <w:szCs w:val="22"/>
              </w:rPr>
              <w:t>2978</w:t>
            </w:r>
          </w:p>
        </w:tc>
        <w:tc>
          <w:tcPr>
            <w:tcW w:w="1417" w:type="dxa"/>
            <w:hideMark/>
          </w:tcPr>
          <w:p w14:paraId="3AD87B57" w14:textId="77777777" w:rsidR="002152D6" w:rsidRPr="00CE207C" w:rsidRDefault="002152D6" w:rsidP="00B77C0B">
            <w:pPr>
              <w:pStyle w:val="NoSpacing"/>
              <w:jc w:val="center"/>
              <w:rPr>
                <w:rFonts w:ascii="Times New Roman" w:hAnsi="Times New Roman" w:cs="Times New Roman"/>
                <w:sz w:val="28"/>
                <w:szCs w:val="22"/>
              </w:rPr>
            </w:pPr>
            <w:r w:rsidRPr="00CE207C">
              <w:rPr>
                <w:rFonts w:ascii="Times New Roman" w:hAnsi="Times New Roman" w:cs="Times New Roman"/>
                <w:sz w:val="28"/>
                <w:szCs w:val="22"/>
              </w:rPr>
              <w:t>252.64</w:t>
            </w:r>
          </w:p>
        </w:tc>
        <w:tc>
          <w:tcPr>
            <w:tcW w:w="0" w:type="auto"/>
            <w:hideMark/>
          </w:tcPr>
          <w:p w14:paraId="1E009B83" w14:textId="77777777" w:rsidR="002152D6" w:rsidRPr="00CE207C" w:rsidRDefault="002152D6" w:rsidP="00B77C0B">
            <w:pPr>
              <w:pStyle w:val="NoSpacing"/>
              <w:jc w:val="center"/>
              <w:rPr>
                <w:rFonts w:ascii="Times New Roman" w:hAnsi="Times New Roman" w:cs="Times New Roman"/>
                <w:sz w:val="28"/>
                <w:szCs w:val="22"/>
              </w:rPr>
            </w:pPr>
            <w:r w:rsidRPr="00CE207C">
              <w:rPr>
                <w:rFonts w:ascii="Times New Roman" w:hAnsi="Times New Roman" w:cs="Times New Roman"/>
                <w:sz w:val="28"/>
                <w:szCs w:val="22"/>
              </w:rPr>
              <w:t>818.36</w:t>
            </w:r>
          </w:p>
        </w:tc>
        <w:tc>
          <w:tcPr>
            <w:tcW w:w="0" w:type="auto"/>
            <w:hideMark/>
          </w:tcPr>
          <w:p w14:paraId="185AC171" w14:textId="77777777" w:rsidR="002152D6" w:rsidRPr="00CE207C" w:rsidRDefault="002152D6" w:rsidP="00B77C0B">
            <w:pPr>
              <w:pStyle w:val="NoSpacing"/>
              <w:jc w:val="center"/>
              <w:rPr>
                <w:rFonts w:ascii="Times New Roman" w:hAnsi="Times New Roman" w:cs="Times New Roman"/>
                <w:sz w:val="28"/>
                <w:szCs w:val="22"/>
              </w:rPr>
            </w:pPr>
            <w:r w:rsidRPr="00CE207C">
              <w:rPr>
                <w:rFonts w:ascii="Times New Roman" w:hAnsi="Times New Roman" w:cs="Times New Roman"/>
                <w:sz w:val="28"/>
                <w:szCs w:val="22"/>
              </w:rPr>
              <w:t>588.22</w:t>
            </w:r>
          </w:p>
        </w:tc>
        <w:tc>
          <w:tcPr>
            <w:tcW w:w="0" w:type="auto"/>
            <w:hideMark/>
          </w:tcPr>
          <w:p w14:paraId="6CBBBF26" w14:textId="77777777" w:rsidR="002152D6" w:rsidRPr="00CE207C" w:rsidRDefault="002152D6" w:rsidP="00B77C0B">
            <w:pPr>
              <w:pStyle w:val="NoSpacing"/>
              <w:jc w:val="center"/>
              <w:rPr>
                <w:rFonts w:ascii="Times New Roman" w:hAnsi="Times New Roman" w:cs="Times New Roman"/>
                <w:sz w:val="28"/>
                <w:szCs w:val="22"/>
              </w:rPr>
            </w:pPr>
            <w:r w:rsidRPr="00CE207C">
              <w:rPr>
                <w:rFonts w:ascii="Times New Roman" w:hAnsi="Times New Roman" w:cs="Times New Roman"/>
                <w:sz w:val="28"/>
                <w:szCs w:val="22"/>
              </w:rPr>
              <w:t>708.36</w:t>
            </w:r>
          </w:p>
        </w:tc>
        <w:tc>
          <w:tcPr>
            <w:tcW w:w="0" w:type="auto"/>
            <w:hideMark/>
          </w:tcPr>
          <w:p w14:paraId="79A1105C" w14:textId="77777777" w:rsidR="002152D6" w:rsidRPr="00CE207C" w:rsidRDefault="002152D6" w:rsidP="00B77C0B">
            <w:pPr>
              <w:pStyle w:val="NoSpacing"/>
              <w:jc w:val="center"/>
              <w:rPr>
                <w:rFonts w:ascii="Times New Roman" w:hAnsi="Times New Roman" w:cs="Times New Roman"/>
                <w:sz w:val="28"/>
                <w:szCs w:val="22"/>
              </w:rPr>
            </w:pPr>
            <w:r w:rsidRPr="00CE207C">
              <w:rPr>
                <w:rFonts w:ascii="Times New Roman" w:hAnsi="Times New Roman" w:cs="Times New Roman"/>
                <w:sz w:val="28"/>
                <w:szCs w:val="22"/>
              </w:rPr>
              <w:t>123.80</w:t>
            </w:r>
          </w:p>
        </w:tc>
        <w:tc>
          <w:tcPr>
            <w:tcW w:w="0" w:type="auto"/>
            <w:hideMark/>
          </w:tcPr>
          <w:p w14:paraId="32FD877E" w14:textId="77777777" w:rsidR="002152D6" w:rsidRPr="00CE207C" w:rsidRDefault="002152D6" w:rsidP="00B77C0B">
            <w:pPr>
              <w:pStyle w:val="NoSpacing"/>
              <w:jc w:val="center"/>
              <w:rPr>
                <w:rFonts w:ascii="Times New Roman" w:hAnsi="Times New Roman" w:cs="Times New Roman"/>
                <w:sz w:val="28"/>
                <w:szCs w:val="22"/>
              </w:rPr>
            </w:pPr>
            <w:r w:rsidRPr="00CE207C">
              <w:rPr>
                <w:rFonts w:ascii="Times New Roman" w:hAnsi="Times New Roman" w:cs="Times New Roman"/>
                <w:sz w:val="28"/>
                <w:szCs w:val="22"/>
              </w:rPr>
              <w:t>17.73</w:t>
            </w:r>
          </w:p>
        </w:tc>
        <w:tc>
          <w:tcPr>
            <w:tcW w:w="0" w:type="auto"/>
            <w:hideMark/>
          </w:tcPr>
          <w:p w14:paraId="4343C02B" w14:textId="77777777" w:rsidR="002152D6" w:rsidRPr="00CE207C" w:rsidRDefault="002152D6" w:rsidP="00B77C0B">
            <w:pPr>
              <w:pStyle w:val="NoSpacing"/>
              <w:jc w:val="center"/>
              <w:rPr>
                <w:rFonts w:ascii="Times New Roman" w:hAnsi="Times New Roman" w:cs="Times New Roman"/>
                <w:sz w:val="28"/>
                <w:szCs w:val="22"/>
              </w:rPr>
            </w:pPr>
            <w:r w:rsidRPr="00CE207C">
              <w:rPr>
                <w:rFonts w:ascii="Times New Roman" w:hAnsi="Times New Roman" w:cs="Times New Roman"/>
                <w:sz w:val="28"/>
                <w:szCs w:val="22"/>
              </w:rPr>
              <w:t>141.53</w:t>
            </w:r>
          </w:p>
        </w:tc>
        <w:tc>
          <w:tcPr>
            <w:tcW w:w="0" w:type="auto"/>
            <w:hideMark/>
          </w:tcPr>
          <w:p w14:paraId="193011D5" w14:textId="77777777" w:rsidR="002152D6" w:rsidRPr="00CE207C" w:rsidRDefault="002152D6" w:rsidP="00B77C0B">
            <w:pPr>
              <w:pStyle w:val="NoSpacing"/>
              <w:jc w:val="center"/>
              <w:rPr>
                <w:rFonts w:ascii="Times New Roman" w:hAnsi="Times New Roman" w:cs="Times New Roman"/>
                <w:sz w:val="28"/>
                <w:szCs w:val="22"/>
              </w:rPr>
            </w:pPr>
            <w:r w:rsidRPr="00CE207C">
              <w:rPr>
                <w:rFonts w:ascii="Times New Roman" w:hAnsi="Times New Roman" w:cs="Times New Roman"/>
                <w:sz w:val="28"/>
                <w:szCs w:val="22"/>
              </w:rPr>
              <w:t>-31.53</w:t>
            </w:r>
          </w:p>
        </w:tc>
      </w:tr>
      <w:tr w:rsidR="002152D6" w:rsidRPr="00CE207C" w14:paraId="0384741D" w14:textId="77777777" w:rsidTr="00CE207C">
        <w:trPr>
          <w:trHeight w:val="20"/>
        </w:trPr>
        <w:tc>
          <w:tcPr>
            <w:tcW w:w="1304" w:type="dxa"/>
            <w:hideMark/>
          </w:tcPr>
          <w:p w14:paraId="0D6ED33B" w14:textId="77777777" w:rsidR="002152D6" w:rsidRPr="00CE207C" w:rsidRDefault="002152D6" w:rsidP="00B77C0B">
            <w:pPr>
              <w:pStyle w:val="NoSpacing"/>
              <w:jc w:val="center"/>
              <w:rPr>
                <w:rFonts w:ascii="Times New Roman" w:hAnsi="Times New Roman" w:cs="Times New Roman"/>
                <w:sz w:val="28"/>
                <w:szCs w:val="22"/>
              </w:rPr>
            </w:pPr>
            <w:r w:rsidRPr="00CE207C">
              <w:rPr>
                <w:rFonts w:ascii="Times New Roman" w:hAnsi="Times New Roman" w:cs="Times New Roman"/>
                <w:sz w:val="28"/>
                <w:szCs w:val="22"/>
              </w:rPr>
              <w:t>1968-69 (RE)</w:t>
            </w:r>
          </w:p>
        </w:tc>
        <w:tc>
          <w:tcPr>
            <w:tcW w:w="1328" w:type="dxa"/>
            <w:hideMark/>
          </w:tcPr>
          <w:p w14:paraId="6FAA4623" w14:textId="77777777" w:rsidR="002152D6" w:rsidRPr="00CE207C" w:rsidRDefault="002152D6" w:rsidP="00B77C0B">
            <w:pPr>
              <w:pStyle w:val="NoSpacing"/>
              <w:jc w:val="center"/>
              <w:rPr>
                <w:rFonts w:ascii="Times New Roman" w:hAnsi="Times New Roman" w:cs="Times New Roman"/>
                <w:sz w:val="28"/>
                <w:szCs w:val="22"/>
              </w:rPr>
            </w:pPr>
            <w:r w:rsidRPr="00CE207C">
              <w:rPr>
                <w:rFonts w:ascii="Times New Roman" w:hAnsi="Times New Roman" w:cs="Times New Roman"/>
                <w:sz w:val="28"/>
                <w:szCs w:val="22"/>
              </w:rPr>
              <w:t>3116</w:t>
            </w:r>
          </w:p>
        </w:tc>
        <w:tc>
          <w:tcPr>
            <w:tcW w:w="1417" w:type="dxa"/>
            <w:hideMark/>
          </w:tcPr>
          <w:p w14:paraId="7251A665" w14:textId="77777777" w:rsidR="002152D6" w:rsidRPr="00CE207C" w:rsidRDefault="002152D6" w:rsidP="00B77C0B">
            <w:pPr>
              <w:pStyle w:val="NoSpacing"/>
              <w:jc w:val="center"/>
              <w:rPr>
                <w:rFonts w:ascii="Times New Roman" w:hAnsi="Times New Roman" w:cs="Times New Roman"/>
                <w:sz w:val="28"/>
                <w:szCs w:val="22"/>
              </w:rPr>
            </w:pPr>
            <w:r w:rsidRPr="00CE207C">
              <w:rPr>
                <w:rFonts w:ascii="Times New Roman" w:hAnsi="Times New Roman" w:cs="Times New Roman"/>
                <w:sz w:val="28"/>
                <w:szCs w:val="22"/>
              </w:rPr>
              <w:t>266.00</w:t>
            </w:r>
          </w:p>
        </w:tc>
        <w:tc>
          <w:tcPr>
            <w:tcW w:w="0" w:type="auto"/>
            <w:hideMark/>
          </w:tcPr>
          <w:p w14:paraId="4169704B" w14:textId="77777777" w:rsidR="002152D6" w:rsidRPr="00CE207C" w:rsidRDefault="002152D6" w:rsidP="00B77C0B">
            <w:pPr>
              <w:pStyle w:val="NoSpacing"/>
              <w:jc w:val="center"/>
              <w:rPr>
                <w:rFonts w:ascii="Times New Roman" w:hAnsi="Times New Roman" w:cs="Times New Roman"/>
                <w:sz w:val="28"/>
                <w:szCs w:val="22"/>
              </w:rPr>
            </w:pPr>
            <w:r w:rsidRPr="00CE207C">
              <w:rPr>
                <w:rFonts w:ascii="Times New Roman" w:hAnsi="Times New Roman" w:cs="Times New Roman"/>
                <w:sz w:val="28"/>
                <w:szCs w:val="22"/>
              </w:rPr>
              <w:t>902.00</w:t>
            </w:r>
          </w:p>
        </w:tc>
        <w:tc>
          <w:tcPr>
            <w:tcW w:w="0" w:type="auto"/>
            <w:hideMark/>
          </w:tcPr>
          <w:p w14:paraId="0505D3FA" w14:textId="77777777" w:rsidR="002152D6" w:rsidRPr="00CE207C" w:rsidRDefault="002152D6" w:rsidP="00B77C0B">
            <w:pPr>
              <w:pStyle w:val="NoSpacing"/>
              <w:jc w:val="center"/>
              <w:rPr>
                <w:rFonts w:ascii="Times New Roman" w:hAnsi="Times New Roman" w:cs="Times New Roman"/>
                <w:sz w:val="28"/>
                <w:szCs w:val="22"/>
              </w:rPr>
            </w:pPr>
            <w:r w:rsidRPr="00CE207C">
              <w:rPr>
                <w:rFonts w:ascii="Times New Roman" w:hAnsi="Times New Roman" w:cs="Times New Roman"/>
                <w:sz w:val="28"/>
                <w:szCs w:val="22"/>
              </w:rPr>
              <w:t>640.00</w:t>
            </w:r>
          </w:p>
        </w:tc>
        <w:tc>
          <w:tcPr>
            <w:tcW w:w="0" w:type="auto"/>
            <w:hideMark/>
          </w:tcPr>
          <w:p w14:paraId="4BA1D26B" w14:textId="77777777" w:rsidR="002152D6" w:rsidRPr="00CE207C" w:rsidRDefault="002152D6" w:rsidP="00B77C0B">
            <w:pPr>
              <w:pStyle w:val="NoSpacing"/>
              <w:jc w:val="center"/>
              <w:rPr>
                <w:rFonts w:ascii="Times New Roman" w:hAnsi="Times New Roman" w:cs="Times New Roman"/>
                <w:sz w:val="28"/>
                <w:szCs w:val="22"/>
              </w:rPr>
            </w:pPr>
            <w:r w:rsidRPr="00CE207C">
              <w:rPr>
                <w:rFonts w:ascii="Times New Roman" w:hAnsi="Times New Roman" w:cs="Times New Roman"/>
                <w:sz w:val="28"/>
                <w:szCs w:val="22"/>
              </w:rPr>
              <w:t>761.14</w:t>
            </w:r>
          </w:p>
        </w:tc>
        <w:tc>
          <w:tcPr>
            <w:tcW w:w="0" w:type="auto"/>
            <w:hideMark/>
          </w:tcPr>
          <w:p w14:paraId="1A124058" w14:textId="77777777" w:rsidR="002152D6" w:rsidRPr="00CE207C" w:rsidRDefault="002152D6" w:rsidP="00B77C0B">
            <w:pPr>
              <w:pStyle w:val="NoSpacing"/>
              <w:jc w:val="center"/>
              <w:rPr>
                <w:rFonts w:ascii="Times New Roman" w:hAnsi="Times New Roman" w:cs="Times New Roman"/>
                <w:sz w:val="28"/>
                <w:szCs w:val="22"/>
              </w:rPr>
            </w:pPr>
            <w:r w:rsidRPr="00CE207C">
              <w:rPr>
                <w:rFonts w:ascii="Times New Roman" w:hAnsi="Times New Roman" w:cs="Times New Roman"/>
                <w:sz w:val="28"/>
                <w:szCs w:val="22"/>
              </w:rPr>
              <w:t>133.48</w:t>
            </w:r>
          </w:p>
        </w:tc>
        <w:tc>
          <w:tcPr>
            <w:tcW w:w="0" w:type="auto"/>
            <w:hideMark/>
          </w:tcPr>
          <w:p w14:paraId="493B31E8" w14:textId="77777777" w:rsidR="002152D6" w:rsidRPr="00CE207C" w:rsidRDefault="002152D6" w:rsidP="00B77C0B">
            <w:pPr>
              <w:pStyle w:val="NoSpacing"/>
              <w:jc w:val="center"/>
              <w:rPr>
                <w:rFonts w:ascii="Times New Roman" w:hAnsi="Times New Roman" w:cs="Times New Roman"/>
                <w:sz w:val="28"/>
                <w:szCs w:val="22"/>
              </w:rPr>
            </w:pPr>
            <w:r w:rsidRPr="00CE207C">
              <w:rPr>
                <w:rFonts w:ascii="Times New Roman" w:hAnsi="Times New Roman" w:cs="Times New Roman"/>
                <w:sz w:val="28"/>
                <w:szCs w:val="22"/>
              </w:rPr>
              <w:t>17.86</w:t>
            </w:r>
          </w:p>
        </w:tc>
        <w:tc>
          <w:tcPr>
            <w:tcW w:w="0" w:type="auto"/>
            <w:hideMark/>
          </w:tcPr>
          <w:p w14:paraId="7EF6651F" w14:textId="77777777" w:rsidR="002152D6" w:rsidRPr="00CE207C" w:rsidRDefault="002152D6" w:rsidP="00B77C0B">
            <w:pPr>
              <w:pStyle w:val="NoSpacing"/>
              <w:jc w:val="center"/>
              <w:rPr>
                <w:rFonts w:ascii="Times New Roman" w:hAnsi="Times New Roman" w:cs="Times New Roman"/>
                <w:sz w:val="28"/>
                <w:szCs w:val="22"/>
              </w:rPr>
            </w:pPr>
            <w:r w:rsidRPr="00CE207C">
              <w:rPr>
                <w:rFonts w:ascii="Times New Roman" w:hAnsi="Times New Roman" w:cs="Times New Roman"/>
                <w:sz w:val="28"/>
                <w:szCs w:val="22"/>
              </w:rPr>
              <w:t>151.34</w:t>
            </w:r>
          </w:p>
        </w:tc>
        <w:tc>
          <w:tcPr>
            <w:tcW w:w="0" w:type="auto"/>
            <w:hideMark/>
          </w:tcPr>
          <w:p w14:paraId="4D926047" w14:textId="77777777" w:rsidR="002152D6" w:rsidRPr="00CE207C" w:rsidRDefault="002152D6" w:rsidP="00B77C0B">
            <w:pPr>
              <w:pStyle w:val="NoSpacing"/>
              <w:jc w:val="center"/>
              <w:rPr>
                <w:rFonts w:ascii="Times New Roman" w:hAnsi="Times New Roman" w:cs="Times New Roman"/>
                <w:sz w:val="28"/>
                <w:szCs w:val="22"/>
              </w:rPr>
            </w:pPr>
            <w:r w:rsidRPr="00CE207C">
              <w:rPr>
                <w:rFonts w:ascii="Times New Roman" w:hAnsi="Times New Roman" w:cs="Times New Roman"/>
                <w:sz w:val="28"/>
                <w:szCs w:val="22"/>
              </w:rPr>
              <w:t>-10.01</w:t>
            </w:r>
          </w:p>
        </w:tc>
      </w:tr>
      <w:tr w:rsidR="002152D6" w:rsidRPr="00CE207C" w14:paraId="1155FBD7" w14:textId="77777777" w:rsidTr="00CE207C">
        <w:trPr>
          <w:trHeight w:val="20"/>
        </w:trPr>
        <w:tc>
          <w:tcPr>
            <w:tcW w:w="1304" w:type="dxa"/>
            <w:hideMark/>
          </w:tcPr>
          <w:p w14:paraId="0B673ABB" w14:textId="77777777" w:rsidR="002152D6" w:rsidRPr="00CE207C" w:rsidRDefault="002152D6" w:rsidP="00B77C0B">
            <w:pPr>
              <w:pStyle w:val="NoSpacing"/>
              <w:jc w:val="center"/>
              <w:rPr>
                <w:rFonts w:ascii="Times New Roman" w:hAnsi="Times New Roman" w:cs="Times New Roman"/>
                <w:sz w:val="28"/>
                <w:szCs w:val="22"/>
              </w:rPr>
            </w:pPr>
            <w:r w:rsidRPr="00CE207C">
              <w:rPr>
                <w:rFonts w:ascii="Times New Roman" w:hAnsi="Times New Roman" w:cs="Times New Roman"/>
                <w:sz w:val="28"/>
                <w:szCs w:val="22"/>
              </w:rPr>
              <w:t>1969-70 (BE)</w:t>
            </w:r>
          </w:p>
        </w:tc>
        <w:tc>
          <w:tcPr>
            <w:tcW w:w="1328" w:type="dxa"/>
            <w:hideMark/>
          </w:tcPr>
          <w:p w14:paraId="1244C245" w14:textId="77777777" w:rsidR="002152D6" w:rsidRPr="00CE207C" w:rsidRDefault="002152D6" w:rsidP="00B77C0B">
            <w:pPr>
              <w:pStyle w:val="NoSpacing"/>
              <w:jc w:val="center"/>
              <w:rPr>
                <w:rFonts w:ascii="Times New Roman" w:hAnsi="Times New Roman" w:cs="Times New Roman"/>
                <w:sz w:val="28"/>
                <w:szCs w:val="22"/>
              </w:rPr>
            </w:pPr>
            <w:r w:rsidRPr="00CE207C">
              <w:rPr>
                <w:rFonts w:ascii="Times New Roman" w:hAnsi="Times New Roman" w:cs="Times New Roman"/>
                <w:sz w:val="28"/>
                <w:szCs w:val="22"/>
              </w:rPr>
              <w:t>3248</w:t>
            </w:r>
          </w:p>
        </w:tc>
        <w:tc>
          <w:tcPr>
            <w:tcW w:w="1417" w:type="dxa"/>
            <w:hideMark/>
          </w:tcPr>
          <w:p w14:paraId="72DD9C97" w14:textId="77777777" w:rsidR="002152D6" w:rsidRPr="00CE207C" w:rsidRDefault="002152D6" w:rsidP="00B77C0B">
            <w:pPr>
              <w:pStyle w:val="NoSpacing"/>
              <w:jc w:val="center"/>
              <w:rPr>
                <w:rFonts w:ascii="Times New Roman" w:hAnsi="Times New Roman" w:cs="Times New Roman"/>
                <w:sz w:val="28"/>
                <w:szCs w:val="22"/>
              </w:rPr>
            </w:pPr>
            <w:r w:rsidRPr="00CE207C">
              <w:rPr>
                <w:rFonts w:ascii="Times New Roman" w:hAnsi="Times New Roman" w:cs="Times New Roman"/>
                <w:sz w:val="28"/>
                <w:szCs w:val="22"/>
              </w:rPr>
              <w:t>273.00</w:t>
            </w:r>
          </w:p>
        </w:tc>
        <w:tc>
          <w:tcPr>
            <w:tcW w:w="0" w:type="auto"/>
            <w:hideMark/>
          </w:tcPr>
          <w:p w14:paraId="3ACD50A8" w14:textId="77777777" w:rsidR="002152D6" w:rsidRPr="00CE207C" w:rsidRDefault="002152D6" w:rsidP="00B77C0B">
            <w:pPr>
              <w:pStyle w:val="NoSpacing"/>
              <w:jc w:val="center"/>
              <w:rPr>
                <w:rFonts w:ascii="Times New Roman" w:hAnsi="Times New Roman" w:cs="Times New Roman"/>
                <w:sz w:val="28"/>
                <w:szCs w:val="22"/>
              </w:rPr>
            </w:pPr>
            <w:r w:rsidRPr="00CE207C">
              <w:rPr>
                <w:rFonts w:ascii="Times New Roman" w:hAnsi="Times New Roman" w:cs="Times New Roman"/>
                <w:sz w:val="28"/>
                <w:szCs w:val="22"/>
              </w:rPr>
              <w:t>947.32</w:t>
            </w:r>
          </w:p>
        </w:tc>
        <w:tc>
          <w:tcPr>
            <w:tcW w:w="0" w:type="auto"/>
            <w:hideMark/>
          </w:tcPr>
          <w:p w14:paraId="719C03FC" w14:textId="77777777" w:rsidR="002152D6" w:rsidRPr="00CE207C" w:rsidRDefault="002152D6" w:rsidP="00B77C0B">
            <w:pPr>
              <w:pStyle w:val="NoSpacing"/>
              <w:jc w:val="center"/>
              <w:rPr>
                <w:rFonts w:ascii="Times New Roman" w:hAnsi="Times New Roman" w:cs="Times New Roman"/>
                <w:sz w:val="28"/>
                <w:szCs w:val="22"/>
              </w:rPr>
            </w:pPr>
            <w:r w:rsidRPr="00CE207C">
              <w:rPr>
                <w:rFonts w:ascii="Times New Roman" w:hAnsi="Times New Roman" w:cs="Times New Roman"/>
                <w:sz w:val="28"/>
                <w:szCs w:val="22"/>
              </w:rPr>
              <w:t>665.35</w:t>
            </w:r>
          </w:p>
        </w:tc>
        <w:tc>
          <w:tcPr>
            <w:tcW w:w="0" w:type="auto"/>
            <w:hideMark/>
          </w:tcPr>
          <w:p w14:paraId="0951DB47" w14:textId="77777777" w:rsidR="002152D6" w:rsidRPr="00CE207C" w:rsidRDefault="002152D6" w:rsidP="00B77C0B">
            <w:pPr>
              <w:pStyle w:val="NoSpacing"/>
              <w:jc w:val="center"/>
              <w:rPr>
                <w:rFonts w:ascii="Times New Roman" w:hAnsi="Times New Roman" w:cs="Times New Roman"/>
                <w:sz w:val="28"/>
                <w:szCs w:val="22"/>
              </w:rPr>
            </w:pPr>
            <w:r w:rsidRPr="00CE207C">
              <w:rPr>
                <w:rFonts w:ascii="Times New Roman" w:hAnsi="Times New Roman" w:cs="Times New Roman"/>
                <w:sz w:val="28"/>
                <w:szCs w:val="22"/>
              </w:rPr>
              <w:t>786.39</w:t>
            </w:r>
          </w:p>
        </w:tc>
        <w:tc>
          <w:tcPr>
            <w:tcW w:w="0" w:type="auto"/>
            <w:hideMark/>
          </w:tcPr>
          <w:p w14:paraId="2455E8AB" w14:textId="77777777" w:rsidR="002152D6" w:rsidRPr="00CE207C" w:rsidRDefault="002152D6" w:rsidP="00B77C0B">
            <w:pPr>
              <w:pStyle w:val="NoSpacing"/>
              <w:jc w:val="center"/>
              <w:rPr>
                <w:rFonts w:ascii="Times New Roman" w:hAnsi="Times New Roman" w:cs="Times New Roman"/>
                <w:sz w:val="28"/>
                <w:szCs w:val="22"/>
              </w:rPr>
            </w:pPr>
            <w:r w:rsidRPr="00CE207C">
              <w:rPr>
                <w:rFonts w:ascii="Times New Roman" w:hAnsi="Times New Roman" w:cs="Times New Roman"/>
                <w:sz w:val="28"/>
                <w:szCs w:val="22"/>
              </w:rPr>
              <w:t>140.88</w:t>
            </w:r>
          </w:p>
        </w:tc>
        <w:tc>
          <w:tcPr>
            <w:tcW w:w="0" w:type="auto"/>
            <w:hideMark/>
          </w:tcPr>
          <w:p w14:paraId="0ECBB29A" w14:textId="77777777" w:rsidR="002152D6" w:rsidRPr="00CE207C" w:rsidRDefault="002152D6" w:rsidP="00B77C0B">
            <w:pPr>
              <w:pStyle w:val="NoSpacing"/>
              <w:jc w:val="center"/>
              <w:rPr>
                <w:rFonts w:ascii="Times New Roman" w:hAnsi="Times New Roman" w:cs="Times New Roman"/>
                <w:sz w:val="28"/>
                <w:szCs w:val="22"/>
              </w:rPr>
            </w:pPr>
            <w:r w:rsidRPr="00CE207C">
              <w:rPr>
                <w:rFonts w:ascii="Times New Roman" w:hAnsi="Times New Roman" w:cs="Times New Roman"/>
                <w:sz w:val="28"/>
                <w:szCs w:val="22"/>
              </w:rPr>
              <w:t>18.13</w:t>
            </w:r>
          </w:p>
        </w:tc>
        <w:tc>
          <w:tcPr>
            <w:tcW w:w="0" w:type="auto"/>
            <w:hideMark/>
          </w:tcPr>
          <w:p w14:paraId="378F868D" w14:textId="77777777" w:rsidR="002152D6" w:rsidRPr="00CE207C" w:rsidRDefault="002152D6" w:rsidP="00B77C0B">
            <w:pPr>
              <w:pStyle w:val="NoSpacing"/>
              <w:jc w:val="center"/>
              <w:rPr>
                <w:rFonts w:ascii="Times New Roman" w:hAnsi="Times New Roman" w:cs="Times New Roman"/>
                <w:sz w:val="28"/>
                <w:szCs w:val="22"/>
              </w:rPr>
            </w:pPr>
            <w:r w:rsidRPr="00CE207C">
              <w:rPr>
                <w:rFonts w:ascii="Times New Roman" w:hAnsi="Times New Roman" w:cs="Times New Roman"/>
                <w:sz w:val="28"/>
                <w:szCs w:val="22"/>
              </w:rPr>
              <w:t>159.01</w:t>
            </w:r>
          </w:p>
        </w:tc>
        <w:tc>
          <w:tcPr>
            <w:tcW w:w="0" w:type="auto"/>
            <w:hideMark/>
          </w:tcPr>
          <w:p w14:paraId="1829A970" w14:textId="77777777" w:rsidR="002152D6" w:rsidRPr="00CE207C" w:rsidRDefault="002152D6" w:rsidP="00B77C0B">
            <w:pPr>
              <w:pStyle w:val="NoSpacing"/>
              <w:jc w:val="center"/>
              <w:rPr>
                <w:rFonts w:ascii="Times New Roman" w:hAnsi="Times New Roman" w:cs="Times New Roman"/>
                <w:sz w:val="28"/>
                <w:szCs w:val="22"/>
              </w:rPr>
            </w:pPr>
            <w:r w:rsidRPr="00CE207C">
              <w:rPr>
                <w:rFonts w:ascii="Times New Roman" w:hAnsi="Times New Roman" w:cs="Times New Roman"/>
                <w:sz w:val="28"/>
                <w:szCs w:val="22"/>
              </w:rPr>
              <w:t>+1.91</w:t>
            </w:r>
          </w:p>
        </w:tc>
      </w:tr>
    </w:tbl>
    <w:p w14:paraId="03BF99EE" w14:textId="15256889" w:rsidR="002152D6" w:rsidRPr="00CE207C" w:rsidRDefault="002152D6" w:rsidP="002152D6">
      <w:pPr>
        <w:rPr>
          <w:rFonts w:ascii="Times New Roman" w:hAnsi="Times New Roman" w:cs="Times New Roman"/>
        </w:rPr>
      </w:pPr>
      <w:r w:rsidRPr="00CE207C">
        <w:rPr>
          <w:rFonts w:ascii="Times New Roman" w:hAnsi="Times New Roman" w:cs="Times New Roman"/>
          <w:sz w:val="20"/>
          <w:szCs w:val="18"/>
        </w:rPr>
        <w:t>Source</w:t>
      </w:r>
      <w:r w:rsidR="00CE207C" w:rsidRPr="00CE207C">
        <w:rPr>
          <w:rFonts w:ascii="Times New Roman" w:hAnsi="Times New Roman" w:cs="Times New Roman"/>
          <w:sz w:val="20"/>
          <w:szCs w:val="18"/>
        </w:rPr>
        <w:t>:</w:t>
      </w:r>
      <w:r w:rsidRPr="00CE207C">
        <w:rPr>
          <w:rFonts w:ascii="Times New Roman" w:hAnsi="Times New Roman" w:cs="Times New Roman"/>
          <w:sz w:val="20"/>
          <w:szCs w:val="18"/>
        </w:rPr>
        <w:t xml:space="preserve"> Ministry of Railways. </w:t>
      </w:r>
      <w:r w:rsidRPr="00CE207C">
        <w:rPr>
          <w:rFonts w:ascii="Times New Roman" w:hAnsi="Times New Roman" w:cs="Times New Roman"/>
        </w:rPr>
        <w:br w:type="page"/>
      </w:r>
    </w:p>
    <w:p w14:paraId="6880F99A" w14:textId="5EEFE99E" w:rsidR="002152D6" w:rsidRDefault="002152D6" w:rsidP="007D2EE4">
      <w:pPr>
        <w:pStyle w:val="Heading4"/>
      </w:pPr>
      <w:bookmarkStart w:id="231" w:name="_Toc220949747"/>
      <w:bookmarkStart w:id="232" w:name="_Toc221114347"/>
      <w:bookmarkStart w:id="233" w:name="_Toc221115370"/>
      <w:r w:rsidRPr="007245B0">
        <w:lastRenderedPageBreak/>
        <w:t xml:space="preserve">Table 65: Transactions Relating to </w:t>
      </w:r>
      <w:r w:rsidRPr="00CE207C">
        <w:t>Purchase and Sale of Securities in each stock Exchange in</w:t>
      </w:r>
      <w:r w:rsidR="00CE207C">
        <w:t xml:space="preserve"> </w:t>
      </w:r>
      <w:r w:rsidRPr="00CE207C">
        <w:t>1966</w:t>
      </w:r>
      <w:r w:rsidRPr="007245B0">
        <w:t>-67 and 1967-68.</w:t>
      </w:r>
      <w:bookmarkEnd w:id="231"/>
      <w:bookmarkEnd w:id="232"/>
      <w:bookmarkEnd w:id="233"/>
    </w:p>
    <w:p w14:paraId="6AABE152" w14:textId="77777777" w:rsidR="00CE207C" w:rsidRPr="00CE207C" w:rsidRDefault="00CE207C" w:rsidP="00CE207C"/>
    <w:tbl>
      <w:tblPr>
        <w:tblStyle w:val="TableGrid"/>
        <w:tblW w:w="14648" w:type="dxa"/>
        <w:tblInd w:w="-998" w:type="dxa"/>
        <w:tblLook w:val="04A0" w:firstRow="1" w:lastRow="0" w:firstColumn="1" w:lastColumn="0" w:noHBand="0" w:noVBand="1"/>
      </w:tblPr>
      <w:tblGrid>
        <w:gridCol w:w="2108"/>
        <w:gridCol w:w="1495"/>
        <w:gridCol w:w="2325"/>
        <w:gridCol w:w="2487"/>
        <w:gridCol w:w="2799"/>
        <w:gridCol w:w="2049"/>
        <w:gridCol w:w="1385"/>
      </w:tblGrid>
      <w:tr w:rsidR="002152D6" w:rsidRPr="00CE207C" w14:paraId="5459DA60" w14:textId="77777777" w:rsidTr="00CE207C">
        <w:trPr>
          <w:trHeight w:val="659"/>
        </w:trPr>
        <w:tc>
          <w:tcPr>
            <w:tcW w:w="2108" w:type="dxa"/>
            <w:vMerge w:val="restart"/>
            <w:vAlign w:val="center"/>
          </w:tcPr>
          <w:p w14:paraId="36F4875A" w14:textId="77777777" w:rsidR="002152D6" w:rsidRPr="00CE207C" w:rsidRDefault="002152D6" w:rsidP="00CE207C">
            <w:pPr>
              <w:pStyle w:val="NoSpacing"/>
              <w:jc w:val="center"/>
              <w:rPr>
                <w:rFonts w:ascii="Times New Roman" w:hAnsi="Times New Roman" w:cs="Times New Roman"/>
                <w:b/>
                <w:bCs/>
                <w:szCs w:val="20"/>
              </w:rPr>
            </w:pPr>
            <w:r w:rsidRPr="00CE207C">
              <w:rPr>
                <w:rFonts w:ascii="Times New Roman" w:hAnsi="Times New Roman" w:cs="Times New Roman"/>
                <w:b/>
                <w:bCs/>
                <w:szCs w:val="20"/>
              </w:rPr>
              <w:t>Name of Stock Exchange (recognised)</w:t>
            </w:r>
          </w:p>
        </w:tc>
        <w:tc>
          <w:tcPr>
            <w:tcW w:w="1495" w:type="dxa"/>
            <w:vMerge w:val="restart"/>
            <w:vAlign w:val="center"/>
          </w:tcPr>
          <w:p w14:paraId="5DF94B94" w14:textId="77777777" w:rsidR="002152D6" w:rsidRPr="00CE207C" w:rsidRDefault="002152D6" w:rsidP="00CE207C">
            <w:pPr>
              <w:pStyle w:val="NoSpacing"/>
              <w:jc w:val="center"/>
              <w:rPr>
                <w:rFonts w:ascii="Times New Roman" w:hAnsi="Times New Roman" w:cs="Times New Roman"/>
                <w:b/>
                <w:bCs/>
                <w:szCs w:val="20"/>
              </w:rPr>
            </w:pPr>
            <w:r w:rsidRPr="00CE207C">
              <w:rPr>
                <w:rFonts w:ascii="Times New Roman" w:hAnsi="Times New Roman" w:cs="Times New Roman"/>
                <w:b/>
                <w:bCs/>
                <w:szCs w:val="20"/>
              </w:rPr>
              <w:t>Year</w:t>
            </w:r>
          </w:p>
        </w:tc>
        <w:tc>
          <w:tcPr>
            <w:tcW w:w="0" w:type="auto"/>
            <w:vMerge w:val="restart"/>
            <w:vAlign w:val="center"/>
          </w:tcPr>
          <w:p w14:paraId="3FD55C56" w14:textId="77777777" w:rsidR="002152D6" w:rsidRPr="00CE207C" w:rsidRDefault="002152D6" w:rsidP="00CE207C">
            <w:pPr>
              <w:pStyle w:val="NoSpacing"/>
              <w:jc w:val="center"/>
              <w:rPr>
                <w:rFonts w:ascii="Times New Roman" w:hAnsi="Times New Roman" w:cs="Times New Roman"/>
                <w:b/>
                <w:bCs/>
                <w:szCs w:val="20"/>
              </w:rPr>
            </w:pPr>
            <w:r w:rsidRPr="00CE207C">
              <w:rPr>
                <w:rFonts w:ascii="Times New Roman" w:hAnsi="Times New Roman" w:cs="Times New Roman"/>
                <w:b/>
                <w:bCs/>
                <w:szCs w:val="20"/>
              </w:rPr>
              <w:t>Cleared Securities (No. in thousands)</w:t>
            </w:r>
          </w:p>
        </w:tc>
        <w:tc>
          <w:tcPr>
            <w:tcW w:w="0" w:type="auto"/>
            <w:vMerge w:val="restart"/>
            <w:vAlign w:val="center"/>
          </w:tcPr>
          <w:p w14:paraId="77441479" w14:textId="77777777" w:rsidR="002152D6" w:rsidRPr="00CE207C" w:rsidRDefault="002152D6" w:rsidP="00CE207C">
            <w:pPr>
              <w:pStyle w:val="NoSpacing"/>
              <w:jc w:val="center"/>
              <w:rPr>
                <w:rFonts w:ascii="Times New Roman" w:hAnsi="Times New Roman" w:cs="Times New Roman"/>
                <w:b/>
                <w:bCs/>
                <w:szCs w:val="20"/>
              </w:rPr>
            </w:pPr>
            <w:r w:rsidRPr="00CE207C">
              <w:rPr>
                <w:rFonts w:ascii="Times New Roman" w:hAnsi="Times New Roman" w:cs="Times New Roman"/>
                <w:b/>
                <w:bCs/>
                <w:szCs w:val="20"/>
              </w:rPr>
              <w:t>Non-cleared Securities (No. in thousands)</w:t>
            </w:r>
          </w:p>
        </w:tc>
        <w:tc>
          <w:tcPr>
            <w:tcW w:w="0" w:type="auto"/>
            <w:vMerge w:val="restart"/>
            <w:vAlign w:val="center"/>
          </w:tcPr>
          <w:p w14:paraId="09D25FDE" w14:textId="77777777" w:rsidR="002152D6" w:rsidRPr="00CE207C" w:rsidRDefault="002152D6" w:rsidP="00CE207C">
            <w:pPr>
              <w:pStyle w:val="NoSpacing"/>
              <w:jc w:val="center"/>
              <w:rPr>
                <w:rFonts w:ascii="Times New Roman" w:hAnsi="Times New Roman" w:cs="Times New Roman"/>
                <w:b/>
                <w:bCs/>
                <w:szCs w:val="20"/>
              </w:rPr>
            </w:pPr>
            <w:r w:rsidRPr="00CE207C">
              <w:rPr>
                <w:rFonts w:ascii="Times New Roman" w:hAnsi="Times New Roman" w:cs="Times New Roman"/>
                <w:b/>
                <w:bCs/>
                <w:szCs w:val="20"/>
              </w:rPr>
              <w:t>Non-cleared Preference Shares (No. in thousands)</w:t>
            </w:r>
          </w:p>
        </w:tc>
        <w:tc>
          <w:tcPr>
            <w:tcW w:w="0" w:type="auto"/>
            <w:gridSpan w:val="2"/>
            <w:vAlign w:val="center"/>
          </w:tcPr>
          <w:p w14:paraId="66B48F81" w14:textId="34E242A4" w:rsidR="002152D6" w:rsidRPr="00CE207C" w:rsidRDefault="002152D6" w:rsidP="00CE207C">
            <w:pPr>
              <w:pStyle w:val="NoSpacing"/>
              <w:jc w:val="center"/>
              <w:rPr>
                <w:rFonts w:ascii="Times New Roman" w:hAnsi="Times New Roman" w:cs="Times New Roman"/>
                <w:b/>
                <w:bCs/>
                <w:szCs w:val="20"/>
              </w:rPr>
            </w:pPr>
            <w:r w:rsidRPr="00CE207C">
              <w:rPr>
                <w:rFonts w:ascii="Times New Roman" w:hAnsi="Times New Roman" w:cs="Times New Roman"/>
                <w:b/>
                <w:bCs/>
                <w:szCs w:val="20"/>
              </w:rPr>
              <w:t>Other Securities</w:t>
            </w:r>
          </w:p>
          <w:p w14:paraId="37F2291F" w14:textId="77777777" w:rsidR="002152D6" w:rsidRPr="00CE207C" w:rsidRDefault="002152D6" w:rsidP="00CE207C">
            <w:pPr>
              <w:pStyle w:val="NoSpacing"/>
              <w:jc w:val="center"/>
              <w:rPr>
                <w:rFonts w:ascii="Times New Roman" w:hAnsi="Times New Roman" w:cs="Times New Roman"/>
                <w:b/>
                <w:bCs/>
                <w:szCs w:val="20"/>
              </w:rPr>
            </w:pPr>
            <w:r w:rsidRPr="00CE207C">
              <w:rPr>
                <w:rFonts w:ascii="Times New Roman" w:hAnsi="Times New Roman" w:cs="Times New Roman"/>
                <w:b/>
                <w:bCs/>
                <w:szCs w:val="20"/>
              </w:rPr>
              <w:t>(Non-cleared)</w:t>
            </w:r>
          </w:p>
          <w:p w14:paraId="60205B42" w14:textId="77777777" w:rsidR="002152D6" w:rsidRPr="00CE207C" w:rsidRDefault="002152D6" w:rsidP="00CE207C">
            <w:pPr>
              <w:pStyle w:val="NoSpacing"/>
              <w:jc w:val="center"/>
              <w:rPr>
                <w:rFonts w:ascii="Times New Roman" w:hAnsi="Times New Roman" w:cs="Times New Roman"/>
                <w:b/>
                <w:bCs/>
                <w:szCs w:val="20"/>
              </w:rPr>
            </w:pPr>
            <w:r w:rsidRPr="00CE207C">
              <w:rPr>
                <w:rFonts w:ascii="Times New Roman" w:hAnsi="Times New Roman" w:cs="Times New Roman"/>
                <w:b/>
                <w:bCs/>
                <w:szCs w:val="20"/>
              </w:rPr>
              <w:t>(Rs. Crores)</w:t>
            </w:r>
          </w:p>
        </w:tc>
      </w:tr>
      <w:tr w:rsidR="002152D6" w:rsidRPr="00CE207C" w14:paraId="7CAC6545" w14:textId="77777777" w:rsidTr="00CE207C">
        <w:trPr>
          <w:trHeight w:val="659"/>
        </w:trPr>
        <w:tc>
          <w:tcPr>
            <w:tcW w:w="2108" w:type="dxa"/>
            <w:vMerge/>
            <w:vAlign w:val="center"/>
            <w:hideMark/>
          </w:tcPr>
          <w:p w14:paraId="161B8831" w14:textId="77777777" w:rsidR="002152D6" w:rsidRPr="00CE207C" w:rsidRDefault="002152D6" w:rsidP="00CE207C">
            <w:pPr>
              <w:pStyle w:val="NoSpacing"/>
              <w:jc w:val="center"/>
              <w:rPr>
                <w:rFonts w:ascii="Times New Roman" w:hAnsi="Times New Roman" w:cs="Times New Roman"/>
                <w:b/>
                <w:bCs/>
                <w:szCs w:val="20"/>
              </w:rPr>
            </w:pPr>
          </w:p>
        </w:tc>
        <w:tc>
          <w:tcPr>
            <w:tcW w:w="1495" w:type="dxa"/>
            <w:vMerge/>
            <w:vAlign w:val="center"/>
            <w:hideMark/>
          </w:tcPr>
          <w:p w14:paraId="3944882F" w14:textId="77777777" w:rsidR="002152D6" w:rsidRPr="00CE207C" w:rsidRDefault="002152D6" w:rsidP="00CE207C">
            <w:pPr>
              <w:pStyle w:val="NoSpacing"/>
              <w:jc w:val="center"/>
              <w:rPr>
                <w:rFonts w:ascii="Times New Roman" w:hAnsi="Times New Roman" w:cs="Times New Roman"/>
                <w:b/>
                <w:bCs/>
                <w:szCs w:val="20"/>
              </w:rPr>
            </w:pPr>
          </w:p>
        </w:tc>
        <w:tc>
          <w:tcPr>
            <w:tcW w:w="0" w:type="auto"/>
            <w:vMerge/>
            <w:vAlign w:val="center"/>
            <w:hideMark/>
          </w:tcPr>
          <w:p w14:paraId="15293863" w14:textId="77777777" w:rsidR="002152D6" w:rsidRPr="00CE207C" w:rsidRDefault="002152D6" w:rsidP="00CE207C">
            <w:pPr>
              <w:pStyle w:val="NoSpacing"/>
              <w:jc w:val="center"/>
              <w:rPr>
                <w:rFonts w:ascii="Times New Roman" w:hAnsi="Times New Roman" w:cs="Times New Roman"/>
                <w:b/>
                <w:bCs/>
                <w:szCs w:val="20"/>
              </w:rPr>
            </w:pPr>
          </w:p>
        </w:tc>
        <w:tc>
          <w:tcPr>
            <w:tcW w:w="0" w:type="auto"/>
            <w:vMerge/>
            <w:vAlign w:val="center"/>
            <w:hideMark/>
          </w:tcPr>
          <w:p w14:paraId="6964E21D" w14:textId="77777777" w:rsidR="002152D6" w:rsidRPr="00CE207C" w:rsidRDefault="002152D6" w:rsidP="00CE207C">
            <w:pPr>
              <w:pStyle w:val="NoSpacing"/>
              <w:jc w:val="center"/>
              <w:rPr>
                <w:rFonts w:ascii="Times New Roman" w:hAnsi="Times New Roman" w:cs="Times New Roman"/>
                <w:b/>
                <w:bCs/>
                <w:szCs w:val="20"/>
              </w:rPr>
            </w:pPr>
          </w:p>
        </w:tc>
        <w:tc>
          <w:tcPr>
            <w:tcW w:w="0" w:type="auto"/>
            <w:vMerge/>
            <w:vAlign w:val="center"/>
            <w:hideMark/>
          </w:tcPr>
          <w:p w14:paraId="5E435C8F" w14:textId="77777777" w:rsidR="002152D6" w:rsidRPr="00CE207C" w:rsidRDefault="002152D6" w:rsidP="00CE207C">
            <w:pPr>
              <w:pStyle w:val="NoSpacing"/>
              <w:jc w:val="center"/>
              <w:rPr>
                <w:rFonts w:ascii="Times New Roman" w:hAnsi="Times New Roman" w:cs="Times New Roman"/>
                <w:b/>
                <w:bCs/>
                <w:szCs w:val="20"/>
              </w:rPr>
            </w:pPr>
          </w:p>
        </w:tc>
        <w:tc>
          <w:tcPr>
            <w:tcW w:w="0" w:type="auto"/>
            <w:vAlign w:val="center"/>
            <w:hideMark/>
          </w:tcPr>
          <w:p w14:paraId="5942B49C" w14:textId="77777777" w:rsidR="002152D6" w:rsidRPr="00CE207C" w:rsidRDefault="002152D6" w:rsidP="00CE207C">
            <w:pPr>
              <w:pStyle w:val="NoSpacing"/>
              <w:jc w:val="center"/>
              <w:rPr>
                <w:rFonts w:ascii="Times New Roman" w:hAnsi="Times New Roman" w:cs="Times New Roman"/>
                <w:b/>
                <w:bCs/>
                <w:szCs w:val="20"/>
              </w:rPr>
            </w:pPr>
            <w:r w:rsidRPr="00CE207C">
              <w:rPr>
                <w:rFonts w:ascii="Times New Roman" w:hAnsi="Times New Roman" w:cs="Times New Roman"/>
                <w:b/>
                <w:bCs/>
                <w:szCs w:val="20"/>
              </w:rPr>
              <w:t>Govt Securities including bonds</w:t>
            </w:r>
          </w:p>
        </w:tc>
        <w:tc>
          <w:tcPr>
            <w:tcW w:w="0" w:type="auto"/>
            <w:vAlign w:val="center"/>
            <w:hideMark/>
          </w:tcPr>
          <w:p w14:paraId="6F17BCA1" w14:textId="67236B29" w:rsidR="002152D6" w:rsidRPr="00CE207C" w:rsidRDefault="002152D6" w:rsidP="00CE207C">
            <w:pPr>
              <w:pStyle w:val="NoSpacing"/>
              <w:jc w:val="center"/>
              <w:rPr>
                <w:rFonts w:ascii="Times New Roman" w:hAnsi="Times New Roman" w:cs="Times New Roman"/>
                <w:b/>
                <w:bCs/>
                <w:szCs w:val="20"/>
              </w:rPr>
            </w:pPr>
            <w:r w:rsidRPr="00CE207C">
              <w:rPr>
                <w:rFonts w:ascii="Times New Roman" w:hAnsi="Times New Roman" w:cs="Times New Roman"/>
                <w:b/>
                <w:bCs/>
                <w:szCs w:val="20"/>
              </w:rPr>
              <w:t>Debentures</w:t>
            </w:r>
          </w:p>
        </w:tc>
      </w:tr>
      <w:tr w:rsidR="002152D6" w:rsidRPr="00CE207C" w14:paraId="68E8742F" w14:textId="77777777" w:rsidTr="00CE207C">
        <w:trPr>
          <w:trHeight w:val="264"/>
        </w:trPr>
        <w:tc>
          <w:tcPr>
            <w:tcW w:w="2108" w:type="dxa"/>
            <w:hideMark/>
          </w:tcPr>
          <w:p w14:paraId="7CB600C6" w14:textId="77777777" w:rsidR="002152D6" w:rsidRPr="00CE207C" w:rsidRDefault="002152D6" w:rsidP="00B77C0B">
            <w:pPr>
              <w:pStyle w:val="NoSpacing"/>
              <w:rPr>
                <w:rFonts w:ascii="Times New Roman" w:hAnsi="Times New Roman" w:cs="Times New Roman"/>
                <w:szCs w:val="20"/>
              </w:rPr>
            </w:pPr>
            <w:r w:rsidRPr="00CE207C">
              <w:rPr>
                <w:rFonts w:ascii="Times New Roman" w:hAnsi="Times New Roman" w:cs="Times New Roman"/>
                <w:szCs w:val="20"/>
              </w:rPr>
              <w:t>Bombay</w:t>
            </w:r>
          </w:p>
        </w:tc>
        <w:tc>
          <w:tcPr>
            <w:tcW w:w="1495" w:type="dxa"/>
            <w:hideMark/>
          </w:tcPr>
          <w:p w14:paraId="6D489DBE" w14:textId="77777777" w:rsidR="002152D6" w:rsidRPr="00CE207C" w:rsidRDefault="002152D6" w:rsidP="00B77C0B">
            <w:pPr>
              <w:pStyle w:val="NoSpacing"/>
              <w:rPr>
                <w:rFonts w:ascii="Times New Roman" w:hAnsi="Times New Roman" w:cs="Times New Roman"/>
                <w:szCs w:val="20"/>
              </w:rPr>
            </w:pPr>
            <w:r w:rsidRPr="00CE207C">
              <w:rPr>
                <w:rFonts w:ascii="Times New Roman" w:hAnsi="Times New Roman" w:cs="Times New Roman"/>
                <w:szCs w:val="20"/>
              </w:rPr>
              <w:t>1966-67</w:t>
            </w:r>
          </w:p>
        </w:tc>
        <w:tc>
          <w:tcPr>
            <w:tcW w:w="0" w:type="auto"/>
            <w:vAlign w:val="center"/>
            <w:hideMark/>
          </w:tcPr>
          <w:p w14:paraId="15D87EEF" w14:textId="77777777" w:rsidR="002152D6" w:rsidRPr="00CE207C" w:rsidRDefault="002152D6" w:rsidP="00CE207C">
            <w:pPr>
              <w:pStyle w:val="NoSpacing"/>
              <w:jc w:val="center"/>
              <w:rPr>
                <w:rFonts w:ascii="Times New Roman" w:hAnsi="Times New Roman" w:cs="Times New Roman"/>
                <w:szCs w:val="20"/>
              </w:rPr>
            </w:pPr>
            <w:r w:rsidRPr="00CE207C">
              <w:rPr>
                <w:rFonts w:ascii="Times New Roman" w:hAnsi="Times New Roman" w:cs="Times New Roman"/>
                <w:szCs w:val="20"/>
              </w:rPr>
              <w:t>239670*</w:t>
            </w:r>
          </w:p>
        </w:tc>
        <w:tc>
          <w:tcPr>
            <w:tcW w:w="0" w:type="auto"/>
            <w:vAlign w:val="center"/>
            <w:hideMark/>
          </w:tcPr>
          <w:p w14:paraId="2D8A4282" w14:textId="77777777" w:rsidR="002152D6" w:rsidRPr="00CE207C" w:rsidRDefault="002152D6" w:rsidP="00CE207C">
            <w:pPr>
              <w:pStyle w:val="NoSpacing"/>
              <w:jc w:val="center"/>
              <w:rPr>
                <w:rFonts w:ascii="Times New Roman" w:hAnsi="Times New Roman" w:cs="Times New Roman"/>
                <w:szCs w:val="20"/>
              </w:rPr>
            </w:pPr>
            <w:r w:rsidRPr="00CE207C">
              <w:rPr>
                <w:rFonts w:ascii="Times New Roman" w:hAnsi="Times New Roman" w:cs="Times New Roman"/>
                <w:szCs w:val="20"/>
              </w:rPr>
              <w:t>3058</w:t>
            </w:r>
          </w:p>
        </w:tc>
        <w:tc>
          <w:tcPr>
            <w:tcW w:w="0" w:type="auto"/>
            <w:vAlign w:val="center"/>
            <w:hideMark/>
          </w:tcPr>
          <w:p w14:paraId="2C264B19" w14:textId="77777777" w:rsidR="002152D6" w:rsidRPr="00CE207C" w:rsidRDefault="002152D6" w:rsidP="00CE207C">
            <w:pPr>
              <w:pStyle w:val="NoSpacing"/>
              <w:jc w:val="center"/>
              <w:rPr>
                <w:rFonts w:ascii="Times New Roman" w:hAnsi="Times New Roman" w:cs="Times New Roman"/>
                <w:szCs w:val="20"/>
              </w:rPr>
            </w:pPr>
            <w:r w:rsidRPr="00CE207C">
              <w:rPr>
                <w:rFonts w:ascii="Times New Roman" w:hAnsi="Times New Roman" w:cs="Times New Roman"/>
                <w:szCs w:val="20"/>
              </w:rPr>
              <w:t>94</w:t>
            </w:r>
          </w:p>
        </w:tc>
        <w:tc>
          <w:tcPr>
            <w:tcW w:w="0" w:type="auto"/>
            <w:vAlign w:val="center"/>
            <w:hideMark/>
          </w:tcPr>
          <w:p w14:paraId="541BB7B3" w14:textId="77777777" w:rsidR="002152D6" w:rsidRPr="00CE207C" w:rsidRDefault="002152D6" w:rsidP="00CE207C">
            <w:pPr>
              <w:pStyle w:val="NoSpacing"/>
              <w:jc w:val="center"/>
              <w:rPr>
                <w:rFonts w:ascii="Times New Roman" w:hAnsi="Times New Roman" w:cs="Times New Roman"/>
                <w:szCs w:val="20"/>
              </w:rPr>
            </w:pPr>
            <w:r w:rsidRPr="00CE207C">
              <w:rPr>
                <w:rFonts w:ascii="Times New Roman" w:hAnsi="Times New Roman" w:cs="Times New Roman"/>
                <w:szCs w:val="20"/>
              </w:rPr>
              <w:t>134.10</w:t>
            </w:r>
          </w:p>
        </w:tc>
        <w:tc>
          <w:tcPr>
            <w:tcW w:w="0" w:type="auto"/>
            <w:vAlign w:val="center"/>
            <w:hideMark/>
          </w:tcPr>
          <w:p w14:paraId="46634204" w14:textId="77777777" w:rsidR="002152D6" w:rsidRPr="00CE207C" w:rsidRDefault="002152D6" w:rsidP="00CE207C">
            <w:pPr>
              <w:pStyle w:val="NoSpacing"/>
              <w:jc w:val="center"/>
              <w:rPr>
                <w:rFonts w:ascii="Times New Roman" w:hAnsi="Times New Roman" w:cs="Times New Roman"/>
                <w:szCs w:val="20"/>
              </w:rPr>
            </w:pPr>
            <w:r w:rsidRPr="00CE207C">
              <w:rPr>
                <w:rFonts w:ascii="Times New Roman" w:hAnsi="Times New Roman" w:cs="Times New Roman"/>
                <w:szCs w:val="20"/>
              </w:rPr>
              <w:t>1.48</w:t>
            </w:r>
          </w:p>
        </w:tc>
      </w:tr>
      <w:tr w:rsidR="002152D6" w:rsidRPr="00CE207C" w14:paraId="5D567A4E" w14:textId="77777777" w:rsidTr="00CE207C">
        <w:trPr>
          <w:trHeight w:val="264"/>
        </w:trPr>
        <w:tc>
          <w:tcPr>
            <w:tcW w:w="2108" w:type="dxa"/>
            <w:hideMark/>
          </w:tcPr>
          <w:p w14:paraId="38BE1C05" w14:textId="77777777" w:rsidR="002152D6" w:rsidRPr="00CE207C" w:rsidRDefault="002152D6" w:rsidP="00B77C0B">
            <w:pPr>
              <w:pStyle w:val="NoSpacing"/>
              <w:rPr>
                <w:rFonts w:ascii="Times New Roman" w:hAnsi="Times New Roman" w:cs="Times New Roman"/>
                <w:szCs w:val="20"/>
              </w:rPr>
            </w:pPr>
          </w:p>
        </w:tc>
        <w:tc>
          <w:tcPr>
            <w:tcW w:w="1495" w:type="dxa"/>
            <w:hideMark/>
          </w:tcPr>
          <w:p w14:paraId="7045C9B3" w14:textId="77777777" w:rsidR="002152D6" w:rsidRPr="00CE207C" w:rsidRDefault="002152D6" w:rsidP="00B77C0B">
            <w:pPr>
              <w:pStyle w:val="NoSpacing"/>
              <w:rPr>
                <w:rFonts w:ascii="Times New Roman" w:hAnsi="Times New Roman" w:cs="Times New Roman"/>
                <w:szCs w:val="20"/>
              </w:rPr>
            </w:pPr>
            <w:r w:rsidRPr="00CE207C">
              <w:rPr>
                <w:rFonts w:ascii="Times New Roman" w:hAnsi="Times New Roman" w:cs="Times New Roman"/>
                <w:szCs w:val="20"/>
              </w:rPr>
              <w:t>1967-68</w:t>
            </w:r>
          </w:p>
        </w:tc>
        <w:tc>
          <w:tcPr>
            <w:tcW w:w="0" w:type="auto"/>
            <w:vAlign w:val="center"/>
            <w:hideMark/>
          </w:tcPr>
          <w:p w14:paraId="4057C8B8" w14:textId="77777777" w:rsidR="002152D6" w:rsidRPr="00CE207C" w:rsidRDefault="002152D6" w:rsidP="00CE207C">
            <w:pPr>
              <w:pStyle w:val="NoSpacing"/>
              <w:jc w:val="center"/>
              <w:rPr>
                <w:rFonts w:ascii="Times New Roman" w:hAnsi="Times New Roman" w:cs="Times New Roman"/>
                <w:szCs w:val="20"/>
              </w:rPr>
            </w:pPr>
            <w:r w:rsidRPr="00CE207C">
              <w:rPr>
                <w:rFonts w:ascii="Times New Roman" w:hAnsi="Times New Roman" w:cs="Times New Roman"/>
                <w:szCs w:val="20"/>
              </w:rPr>
              <w:t>215607*</w:t>
            </w:r>
          </w:p>
        </w:tc>
        <w:tc>
          <w:tcPr>
            <w:tcW w:w="0" w:type="auto"/>
            <w:vAlign w:val="center"/>
            <w:hideMark/>
          </w:tcPr>
          <w:p w14:paraId="02BC1BE1" w14:textId="77777777" w:rsidR="002152D6" w:rsidRPr="00CE207C" w:rsidRDefault="002152D6" w:rsidP="00CE207C">
            <w:pPr>
              <w:pStyle w:val="NoSpacing"/>
              <w:jc w:val="center"/>
              <w:rPr>
                <w:rFonts w:ascii="Times New Roman" w:hAnsi="Times New Roman" w:cs="Times New Roman"/>
                <w:szCs w:val="20"/>
              </w:rPr>
            </w:pPr>
            <w:r w:rsidRPr="00CE207C">
              <w:rPr>
                <w:rFonts w:ascii="Times New Roman" w:hAnsi="Times New Roman" w:cs="Times New Roman"/>
                <w:szCs w:val="20"/>
              </w:rPr>
              <w:t>1939</w:t>
            </w:r>
          </w:p>
        </w:tc>
        <w:tc>
          <w:tcPr>
            <w:tcW w:w="0" w:type="auto"/>
            <w:vAlign w:val="center"/>
            <w:hideMark/>
          </w:tcPr>
          <w:p w14:paraId="058642D6" w14:textId="77777777" w:rsidR="002152D6" w:rsidRPr="00CE207C" w:rsidRDefault="002152D6" w:rsidP="00CE207C">
            <w:pPr>
              <w:pStyle w:val="NoSpacing"/>
              <w:jc w:val="center"/>
              <w:rPr>
                <w:rFonts w:ascii="Times New Roman" w:hAnsi="Times New Roman" w:cs="Times New Roman"/>
                <w:szCs w:val="20"/>
              </w:rPr>
            </w:pPr>
            <w:r w:rsidRPr="00CE207C">
              <w:rPr>
                <w:rFonts w:ascii="Times New Roman" w:hAnsi="Times New Roman" w:cs="Times New Roman"/>
                <w:szCs w:val="20"/>
              </w:rPr>
              <w:t>72</w:t>
            </w:r>
          </w:p>
        </w:tc>
        <w:tc>
          <w:tcPr>
            <w:tcW w:w="0" w:type="auto"/>
            <w:vAlign w:val="center"/>
            <w:hideMark/>
          </w:tcPr>
          <w:p w14:paraId="0ABEB2C9" w14:textId="77777777" w:rsidR="002152D6" w:rsidRPr="00CE207C" w:rsidRDefault="002152D6" w:rsidP="00CE207C">
            <w:pPr>
              <w:pStyle w:val="NoSpacing"/>
              <w:jc w:val="center"/>
              <w:rPr>
                <w:rFonts w:ascii="Times New Roman" w:hAnsi="Times New Roman" w:cs="Times New Roman"/>
                <w:szCs w:val="20"/>
              </w:rPr>
            </w:pPr>
            <w:r w:rsidRPr="00CE207C">
              <w:rPr>
                <w:rFonts w:ascii="Times New Roman" w:hAnsi="Times New Roman" w:cs="Times New Roman"/>
                <w:szCs w:val="20"/>
              </w:rPr>
              <w:t>116.85</w:t>
            </w:r>
          </w:p>
        </w:tc>
        <w:tc>
          <w:tcPr>
            <w:tcW w:w="0" w:type="auto"/>
            <w:vAlign w:val="center"/>
            <w:hideMark/>
          </w:tcPr>
          <w:p w14:paraId="50DD857A" w14:textId="77777777" w:rsidR="002152D6" w:rsidRPr="00CE207C" w:rsidRDefault="002152D6" w:rsidP="00CE207C">
            <w:pPr>
              <w:pStyle w:val="NoSpacing"/>
              <w:jc w:val="center"/>
              <w:rPr>
                <w:rFonts w:ascii="Times New Roman" w:hAnsi="Times New Roman" w:cs="Times New Roman"/>
                <w:szCs w:val="20"/>
              </w:rPr>
            </w:pPr>
            <w:r w:rsidRPr="00CE207C">
              <w:rPr>
                <w:rFonts w:ascii="Times New Roman" w:hAnsi="Times New Roman" w:cs="Times New Roman"/>
                <w:szCs w:val="20"/>
              </w:rPr>
              <w:t>0.83</w:t>
            </w:r>
          </w:p>
        </w:tc>
      </w:tr>
      <w:tr w:rsidR="002152D6" w:rsidRPr="00CE207C" w14:paraId="7FD2DBCA" w14:textId="77777777" w:rsidTr="00CE207C">
        <w:trPr>
          <w:trHeight w:val="264"/>
        </w:trPr>
        <w:tc>
          <w:tcPr>
            <w:tcW w:w="2108" w:type="dxa"/>
            <w:hideMark/>
          </w:tcPr>
          <w:p w14:paraId="599EE53D" w14:textId="77777777" w:rsidR="002152D6" w:rsidRPr="00CE207C" w:rsidRDefault="002152D6" w:rsidP="00B77C0B">
            <w:pPr>
              <w:pStyle w:val="NoSpacing"/>
              <w:rPr>
                <w:rFonts w:ascii="Times New Roman" w:hAnsi="Times New Roman" w:cs="Times New Roman"/>
                <w:szCs w:val="20"/>
              </w:rPr>
            </w:pPr>
            <w:r w:rsidRPr="00CE207C">
              <w:rPr>
                <w:rFonts w:ascii="Times New Roman" w:hAnsi="Times New Roman" w:cs="Times New Roman"/>
                <w:szCs w:val="20"/>
              </w:rPr>
              <w:t>Calcutta</w:t>
            </w:r>
          </w:p>
        </w:tc>
        <w:tc>
          <w:tcPr>
            <w:tcW w:w="1495" w:type="dxa"/>
            <w:hideMark/>
          </w:tcPr>
          <w:p w14:paraId="3FCD4C5F" w14:textId="77777777" w:rsidR="002152D6" w:rsidRPr="00CE207C" w:rsidRDefault="002152D6" w:rsidP="00B77C0B">
            <w:pPr>
              <w:pStyle w:val="NoSpacing"/>
              <w:rPr>
                <w:rFonts w:ascii="Times New Roman" w:hAnsi="Times New Roman" w:cs="Times New Roman"/>
                <w:szCs w:val="20"/>
              </w:rPr>
            </w:pPr>
            <w:r w:rsidRPr="00CE207C">
              <w:rPr>
                <w:rFonts w:ascii="Times New Roman" w:hAnsi="Times New Roman" w:cs="Times New Roman"/>
                <w:szCs w:val="20"/>
              </w:rPr>
              <w:t>1966-67</w:t>
            </w:r>
          </w:p>
        </w:tc>
        <w:tc>
          <w:tcPr>
            <w:tcW w:w="0" w:type="auto"/>
            <w:vAlign w:val="center"/>
            <w:hideMark/>
          </w:tcPr>
          <w:p w14:paraId="41F7B1FA" w14:textId="77777777" w:rsidR="002152D6" w:rsidRPr="00CE207C" w:rsidRDefault="002152D6" w:rsidP="00CE207C">
            <w:pPr>
              <w:pStyle w:val="NoSpacing"/>
              <w:jc w:val="center"/>
              <w:rPr>
                <w:rFonts w:ascii="Times New Roman" w:hAnsi="Times New Roman" w:cs="Times New Roman"/>
                <w:szCs w:val="20"/>
              </w:rPr>
            </w:pPr>
            <w:r w:rsidRPr="00CE207C">
              <w:rPr>
                <w:rFonts w:ascii="Times New Roman" w:hAnsi="Times New Roman" w:cs="Times New Roman"/>
                <w:szCs w:val="20"/>
              </w:rPr>
              <w:t>304484</w:t>
            </w:r>
          </w:p>
        </w:tc>
        <w:tc>
          <w:tcPr>
            <w:tcW w:w="0" w:type="auto"/>
            <w:vAlign w:val="center"/>
            <w:hideMark/>
          </w:tcPr>
          <w:p w14:paraId="56739903" w14:textId="77777777" w:rsidR="002152D6" w:rsidRPr="00CE207C" w:rsidRDefault="002152D6" w:rsidP="00CE207C">
            <w:pPr>
              <w:pStyle w:val="NoSpacing"/>
              <w:jc w:val="center"/>
              <w:rPr>
                <w:rFonts w:ascii="Times New Roman" w:hAnsi="Times New Roman" w:cs="Times New Roman"/>
                <w:szCs w:val="20"/>
              </w:rPr>
            </w:pPr>
            <w:r w:rsidRPr="00CE207C">
              <w:rPr>
                <w:rFonts w:ascii="Times New Roman" w:hAnsi="Times New Roman" w:cs="Times New Roman"/>
                <w:szCs w:val="20"/>
              </w:rPr>
              <w:t>18507</w:t>
            </w:r>
          </w:p>
        </w:tc>
        <w:tc>
          <w:tcPr>
            <w:tcW w:w="0" w:type="auto"/>
            <w:vAlign w:val="center"/>
            <w:hideMark/>
          </w:tcPr>
          <w:p w14:paraId="2BC1F616" w14:textId="77777777" w:rsidR="002152D6" w:rsidRPr="00CE207C" w:rsidRDefault="002152D6" w:rsidP="00CE207C">
            <w:pPr>
              <w:pStyle w:val="NoSpacing"/>
              <w:jc w:val="center"/>
              <w:rPr>
                <w:rFonts w:ascii="Times New Roman" w:hAnsi="Times New Roman" w:cs="Times New Roman"/>
                <w:szCs w:val="20"/>
              </w:rPr>
            </w:pPr>
            <w:r w:rsidRPr="00CE207C">
              <w:rPr>
                <w:rFonts w:ascii="Times New Roman" w:hAnsi="Times New Roman" w:cs="Times New Roman"/>
                <w:szCs w:val="20"/>
              </w:rPr>
              <w:t>254</w:t>
            </w:r>
          </w:p>
        </w:tc>
        <w:tc>
          <w:tcPr>
            <w:tcW w:w="0" w:type="auto"/>
            <w:vAlign w:val="center"/>
            <w:hideMark/>
          </w:tcPr>
          <w:p w14:paraId="4B0A7658" w14:textId="77777777" w:rsidR="002152D6" w:rsidRPr="00CE207C" w:rsidRDefault="002152D6" w:rsidP="00CE207C">
            <w:pPr>
              <w:pStyle w:val="NoSpacing"/>
              <w:jc w:val="center"/>
              <w:rPr>
                <w:rFonts w:ascii="Times New Roman" w:hAnsi="Times New Roman" w:cs="Times New Roman"/>
                <w:szCs w:val="20"/>
              </w:rPr>
            </w:pPr>
            <w:r w:rsidRPr="00CE207C">
              <w:rPr>
                <w:rFonts w:ascii="Times New Roman" w:hAnsi="Times New Roman" w:cs="Times New Roman"/>
                <w:szCs w:val="20"/>
              </w:rPr>
              <w:t>47.55</w:t>
            </w:r>
          </w:p>
        </w:tc>
        <w:tc>
          <w:tcPr>
            <w:tcW w:w="0" w:type="auto"/>
            <w:vAlign w:val="center"/>
            <w:hideMark/>
          </w:tcPr>
          <w:p w14:paraId="6B6AEB54" w14:textId="77777777" w:rsidR="002152D6" w:rsidRPr="00CE207C" w:rsidRDefault="002152D6" w:rsidP="00CE207C">
            <w:pPr>
              <w:pStyle w:val="NoSpacing"/>
              <w:jc w:val="center"/>
              <w:rPr>
                <w:rFonts w:ascii="Times New Roman" w:hAnsi="Times New Roman" w:cs="Times New Roman"/>
                <w:szCs w:val="20"/>
              </w:rPr>
            </w:pPr>
            <w:r w:rsidRPr="00CE207C">
              <w:rPr>
                <w:rFonts w:ascii="Times New Roman" w:hAnsi="Times New Roman" w:cs="Times New Roman"/>
                <w:szCs w:val="20"/>
              </w:rPr>
              <w:t>0.37</w:t>
            </w:r>
          </w:p>
        </w:tc>
      </w:tr>
      <w:tr w:rsidR="002152D6" w:rsidRPr="00CE207C" w14:paraId="5E98642C" w14:textId="77777777" w:rsidTr="00CE207C">
        <w:trPr>
          <w:trHeight w:val="257"/>
        </w:trPr>
        <w:tc>
          <w:tcPr>
            <w:tcW w:w="2108" w:type="dxa"/>
            <w:hideMark/>
          </w:tcPr>
          <w:p w14:paraId="5746D256" w14:textId="77777777" w:rsidR="002152D6" w:rsidRPr="00CE207C" w:rsidRDefault="002152D6" w:rsidP="00B77C0B">
            <w:pPr>
              <w:pStyle w:val="NoSpacing"/>
              <w:rPr>
                <w:rFonts w:ascii="Times New Roman" w:hAnsi="Times New Roman" w:cs="Times New Roman"/>
                <w:szCs w:val="20"/>
              </w:rPr>
            </w:pPr>
          </w:p>
        </w:tc>
        <w:tc>
          <w:tcPr>
            <w:tcW w:w="1495" w:type="dxa"/>
            <w:hideMark/>
          </w:tcPr>
          <w:p w14:paraId="5300141E" w14:textId="77777777" w:rsidR="002152D6" w:rsidRPr="00CE207C" w:rsidRDefault="002152D6" w:rsidP="00B77C0B">
            <w:pPr>
              <w:pStyle w:val="NoSpacing"/>
              <w:rPr>
                <w:rFonts w:ascii="Times New Roman" w:hAnsi="Times New Roman" w:cs="Times New Roman"/>
                <w:szCs w:val="20"/>
              </w:rPr>
            </w:pPr>
            <w:r w:rsidRPr="00CE207C">
              <w:rPr>
                <w:rFonts w:ascii="Times New Roman" w:hAnsi="Times New Roman" w:cs="Times New Roman"/>
                <w:szCs w:val="20"/>
              </w:rPr>
              <w:t>1967-68</w:t>
            </w:r>
          </w:p>
        </w:tc>
        <w:tc>
          <w:tcPr>
            <w:tcW w:w="0" w:type="auto"/>
            <w:vAlign w:val="center"/>
            <w:hideMark/>
          </w:tcPr>
          <w:p w14:paraId="4510ABCC" w14:textId="77777777" w:rsidR="002152D6" w:rsidRPr="00CE207C" w:rsidRDefault="002152D6" w:rsidP="00CE207C">
            <w:pPr>
              <w:pStyle w:val="NoSpacing"/>
              <w:jc w:val="center"/>
              <w:rPr>
                <w:rFonts w:ascii="Times New Roman" w:hAnsi="Times New Roman" w:cs="Times New Roman"/>
                <w:szCs w:val="20"/>
              </w:rPr>
            </w:pPr>
            <w:r w:rsidRPr="00CE207C">
              <w:rPr>
                <w:rFonts w:ascii="Times New Roman" w:hAnsi="Times New Roman" w:cs="Times New Roman"/>
                <w:szCs w:val="20"/>
              </w:rPr>
              <w:t>245362</w:t>
            </w:r>
          </w:p>
        </w:tc>
        <w:tc>
          <w:tcPr>
            <w:tcW w:w="0" w:type="auto"/>
            <w:vAlign w:val="center"/>
            <w:hideMark/>
          </w:tcPr>
          <w:p w14:paraId="2B9B9657" w14:textId="77777777" w:rsidR="002152D6" w:rsidRPr="00CE207C" w:rsidRDefault="002152D6" w:rsidP="00CE207C">
            <w:pPr>
              <w:pStyle w:val="NoSpacing"/>
              <w:jc w:val="center"/>
              <w:rPr>
                <w:rFonts w:ascii="Times New Roman" w:hAnsi="Times New Roman" w:cs="Times New Roman"/>
                <w:szCs w:val="20"/>
              </w:rPr>
            </w:pPr>
            <w:r w:rsidRPr="00CE207C">
              <w:rPr>
                <w:rFonts w:ascii="Times New Roman" w:hAnsi="Times New Roman" w:cs="Times New Roman"/>
                <w:szCs w:val="20"/>
              </w:rPr>
              <w:t>10810</w:t>
            </w:r>
          </w:p>
        </w:tc>
        <w:tc>
          <w:tcPr>
            <w:tcW w:w="0" w:type="auto"/>
            <w:vAlign w:val="center"/>
            <w:hideMark/>
          </w:tcPr>
          <w:p w14:paraId="0AE34A4C" w14:textId="77777777" w:rsidR="002152D6" w:rsidRPr="00CE207C" w:rsidRDefault="002152D6" w:rsidP="00CE207C">
            <w:pPr>
              <w:pStyle w:val="NoSpacing"/>
              <w:jc w:val="center"/>
              <w:rPr>
                <w:rFonts w:ascii="Times New Roman" w:hAnsi="Times New Roman" w:cs="Times New Roman"/>
                <w:szCs w:val="20"/>
              </w:rPr>
            </w:pPr>
            <w:r w:rsidRPr="00CE207C">
              <w:rPr>
                <w:rFonts w:ascii="Times New Roman" w:hAnsi="Times New Roman" w:cs="Times New Roman"/>
                <w:szCs w:val="20"/>
              </w:rPr>
              <w:t>175</w:t>
            </w:r>
          </w:p>
        </w:tc>
        <w:tc>
          <w:tcPr>
            <w:tcW w:w="0" w:type="auto"/>
            <w:vAlign w:val="center"/>
            <w:hideMark/>
          </w:tcPr>
          <w:p w14:paraId="4CA5EC0C" w14:textId="77777777" w:rsidR="002152D6" w:rsidRPr="00CE207C" w:rsidRDefault="002152D6" w:rsidP="00CE207C">
            <w:pPr>
              <w:pStyle w:val="NoSpacing"/>
              <w:jc w:val="center"/>
              <w:rPr>
                <w:rFonts w:ascii="Times New Roman" w:hAnsi="Times New Roman" w:cs="Times New Roman"/>
                <w:szCs w:val="20"/>
              </w:rPr>
            </w:pPr>
            <w:r w:rsidRPr="00CE207C">
              <w:rPr>
                <w:rFonts w:ascii="Times New Roman" w:hAnsi="Times New Roman" w:cs="Times New Roman"/>
                <w:szCs w:val="20"/>
              </w:rPr>
              <w:t>52.43</w:t>
            </w:r>
          </w:p>
        </w:tc>
        <w:tc>
          <w:tcPr>
            <w:tcW w:w="0" w:type="auto"/>
            <w:vAlign w:val="center"/>
            <w:hideMark/>
          </w:tcPr>
          <w:p w14:paraId="145D692B" w14:textId="77777777" w:rsidR="002152D6" w:rsidRPr="00CE207C" w:rsidRDefault="002152D6" w:rsidP="00CE207C">
            <w:pPr>
              <w:pStyle w:val="NoSpacing"/>
              <w:jc w:val="center"/>
              <w:rPr>
                <w:rFonts w:ascii="Times New Roman" w:hAnsi="Times New Roman" w:cs="Times New Roman"/>
                <w:szCs w:val="20"/>
              </w:rPr>
            </w:pPr>
            <w:r w:rsidRPr="00CE207C">
              <w:rPr>
                <w:rFonts w:ascii="Times New Roman" w:hAnsi="Times New Roman" w:cs="Times New Roman"/>
                <w:szCs w:val="20"/>
              </w:rPr>
              <w:t>0.94</w:t>
            </w:r>
          </w:p>
        </w:tc>
      </w:tr>
      <w:tr w:rsidR="002152D6" w:rsidRPr="00CE207C" w14:paraId="524FD7CA" w14:textId="77777777" w:rsidTr="00CE207C">
        <w:trPr>
          <w:trHeight w:val="264"/>
        </w:trPr>
        <w:tc>
          <w:tcPr>
            <w:tcW w:w="2108" w:type="dxa"/>
            <w:hideMark/>
          </w:tcPr>
          <w:p w14:paraId="1747C5C0" w14:textId="77777777" w:rsidR="002152D6" w:rsidRPr="00CE207C" w:rsidRDefault="002152D6" w:rsidP="00B77C0B">
            <w:pPr>
              <w:pStyle w:val="NoSpacing"/>
              <w:rPr>
                <w:rFonts w:ascii="Times New Roman" w:hAnsi="Times New Roman" w:cs="Times New Roman"/>
                <w:szCs w:val="20"/>
              </w:rPr>
            </w:pPr>
            <w:r w:rsidRPr="00CE207C">
              <w:rPr>
                <w:rFonts w:ascii="Times New Roman" w:hAnsi="Times New Roman" w:cs="Times New Roman"/>
                <w:szCs w:val="20"/>
              </w:rPr>
              <w:t>Delhi</w:t>
            </w:r>
          </w:p>
        </w:tc>
        <w:tc>
          <w:tcPr>
            <w:tcW w:w="1495" w:type="dxa"/>
            <w:hideMark/>
          </w:tcPr>
          <w:p w14:paraId="377A2174" w14:textId="77777777" w:rsidR="002152D6" w:rsidRPr="00CE207C" w:rsidRDefault="002152D6" w:rsidP="00B77C0B">
            <w:pPr>
              <w:pStyle w:val="NoSpacing"/>
              <w:rPr>
                <w:rFonts w:ascii="Times New Roman" w:hAnsi="Times New Roman" w:cs="Times New Roman"/>
                <w:szCs w:val="20"/>
              </w:rPr>
            </w:pPr>
            <w:r w:rsidRPr="00CE207C">
              <w:rPr>
                <w:rFonts w:ascii="Times New Roman" w:hAnsi="Times New Roman" w:cs="Times New Roman"/>
                <w:szCs w:val="20"/>
              </w:rPr>
              <w:t>1966-67</w:t>
            </w:r>
          </w:p>
        </w:tc>
        <w:tc>
          <w:tcPr>
            <w:tcW w:w="0" w:type="auto"/>
            <w:vAlign w:val="center"/>
            <w:hideMark/>
          </w:tcPr>
          <w:p w14:paraId="63623CA6" w14:textId="77777777" w:rsidR="002152D6" w:rsidRPr="00CE207C" w:rsidRDefault="002152D6" w:rsidP="00CE207C">
            <w:pPr>
              <w:pStyle w:val="NoSpacing"/>
              <w:jc w:val="center"/>
              <w:rPr>
                <w:rFonts w:ascii="Times New Roman" w:hAnsi="Times New Roman" w:cs="Times New Roman"/>
                <w:szCs w:val="20"/>
              </w:rPr>
            </w:pPr>
            <w:r w:rsidRPr="00CE207C">
              <w:rPr>
                <w:rFonts w:ascii="Times New Roman" w:hAnsi="Times New Roman" w:cs="Times New Roman"/>
                <w:szCs w:val="20"/>
              </w:rPr>
              <w:t>260813</w:t>
            </w:r>
          </w:p>
        </w:tc>
        <w:tc>
          <w:tcPr>
            <w:tcW w:w="0" w:type="auto"/>
            <w:vAlign w:val="center"/>
            <w:hideMark/>
          </w:tcPr>
          <w:p w14:paraId="4ABDA085" w14:textId="77777777" w:rsidR="002152D6" w:rsidRPr="00CE207C" w:rsidRDefault="002152D6" w:rsidP="00CE207C">
            <w:pPr>
              <w:pStyle w:val="NoSpacing"/>
              <w:jc w:val="center"/>
              <w:rPr>
                <w:rFonts w:ascii="Times New Roman" w:hAnsi="Times New Roman" w:cs="Times New Roman"/>
                <w:szCs w:val="20"/>
              </w:rPr>
            </w:pPr>
            <w:r w:rsidRPr="00CE207C">
              <w:rPr>
                <w:rFonts w:ascii="Times New Roman" w:hAnsi="Times New Roman" w:cs="Times New Roman"/>
                <w:szCs w:val="20"/>
              </w:rPr>
              <w:t>170</w:t>
            </w:r>
          </w:p>
        </w:tc>
        <w:tc>
          <w:tcPr>
            <w:tcW w:w="0" w:type="auto"/>
            <w:vAlign w:val="center"/>
            <w:hideMark/>
          </w:tcPr>
          <w:p w14:paraId="67C3DD97" w14:textId="77777777" w:rsidR="002152D6" w:rsidRPr="00CE207C" w:rsidRDefault="002152D6" w:rsidP="00CE207C">
            <w:pPr>
              <w:pStyle w:val="NoSpacing"/>
              <w:jc w:val="center"/>
              <w:rPr>
                <w:rFonts w:ascii="Times New Roman" w:hAnsi="Times New Roman" w:cs="Times New Roman"/>
                <w:szCs w:val="20"/>
              </w:rPr>
            </w:pPr>
            <w:r w:rsidRPr="00CE207C">
              <w:rPr>
                <w:rFonts w:ascii="Times New Roman" w:hAnsi="Times New Roman" w:cs="Times New Roman"/>
                <w:szCs w:val="20"/>
              </w:rPr>
              <w:t>3</w:t>
            </w:r>
          </w:p>
        </w:tc>
        <w:tc>
          <w:tcPr>
            <w:tcW w:w="0" w:type="auto"/>
            <w:vAlign w:val="center"/>
            <w:hideMark/>
          </w:tcPr>
          <w:p w14:paraId="6018CA70" w14:textId="77777777" w:rsidR="002152D6" w:rsidRPr="00CE207C" w:rsidRDefault="002152D6" w:rsidP="00CE207C">
            <w:pPr>
              <w:pStyle w:val="NoSpacing"/>
              <w:jc w:val="center"/>
              <w:rPr>
                <w:rFonts w:ascii="Times New Roman" w:hAnsi="Times New Roman" w:cs="Times New Roman"/>
                <w:szCs w:val="20"/>
              </w:rPr>
            </w:pPr>
            <w:r w:rsidRPr="00CE207C">
              <w:rPr>
                <w:rFonts w:ascii="Times New Roman" w:hAnsi="Times New Roman" w:cs="Times New Roman"/>
                <w:szCs w:val="20"/>
              </w:rPr>
              <w:t>0.01</w:t>
            </w:r>
          </w:p>
        </w:tc>
        <w:tc>
          <w:tcPr>
            <w:tcW w:w="0" w:type="auto"/>
            <w:vAlign w:val="center"/>
            <w:hideMark/>
          </w:tcPr>
          <w:p w14:paraId="321B09B3" w14:textId="77777777" w:rsidR="002152D6" w:rsidRPr="00CE207C" w:rsidRDefault="002152D6" w:rsidP="00CE207C">
            <w:pPr>
              <w:pStyle w:val="NoSpacing"/>
              <w:jc w:val="center"/>
              <w:rPr>
                <w:rFonts w:ascii="Times New Roman" w:hAnsi="Times New Roman" w:cs="Times New Roman"/>
                <w:szCs w:val="20"/>
              </w:rPr>
            </w:pPr>
            <w:r w:rsidRPr="00CE207C">
              <w:rPr>
                <w:rFonts w:ascii="Times New Roman" w:hAnsi="Times New Roman" w:cs="Times New Roman"/>
                <w:szCs w:val="20"/>
              </w:rPr>
              <w:t>..</w:t>
            </w:r>
          </w:p>
        </w:tc>
      </w:tr>
      <w:tr w:rsidR="002152D6" w:rsidRPr="00CE207C" w14:paraId="5CD7A32D" w14:textId="77777777" w:rsidTr="00CE207C">
        <w:trPr>
          <w:trHeight w:val="264"/>
        </w:trPr>
        <w:tc>
          <w:tcPr>
            <w:tcW w:w="2108" w:type="dxa"/>
            <w:hideMark/>
          </w:tcPr>
          <w:p w14:paraId="5C165053" w14:textId="77777777" w:rsidR="002152D6" w:rsidRPr="00CE207C" w:rsidRDefault="002152D6" w:rsidP="00B77C0B">
            <w:pPr>
              <w:pStyle w:val="NoSpacing"/>
              <w:rPr>
                <w:rFonts w:ascii="Times New Roman" w:hAnsi="Times New Roman" w:cs="Times New Roman"/>
                <w:szCs w:val="20"/>
              </w:rPr>
            </w:pPr>
          </w:p>
        </w:tc>
        <w:tc>
          <w:tcPr>
            <w:tcW w:w="1495" w:type="dxa"/>
            <w:hideMark/>
          </w:tcPr>
          <w:p w14:paraId="5F14683A" w14:textId="77777777" w:rsidR="002152D6" w:rsidRPr="00CE207C" w:rsidRDefault="002152D6" w:rsidP="00B77C0B">
            <w:pPr>
              <w:pStyle w:val="NoSpacing"/>
              <w:rPr>
                <w:rFonts w:ascii="Times New Roman" w:hAnsi="Times New Roman" w:cs="Times New Roman"/>
                <w:szCs w:val="20"/>
              </w:rPr>
            </w:pPr>
            <w:r w:rsidRPr="00CE207C">
              <w:rPr>
                <w:rFonts w:ascii="Times New Roman" w:hAnsi="Times New Roman" w:cs="Times New Roman"/>
                <w:szCs w:val="20"/>
              </w:rPr>
              <w:t>1967-68</w:t>
            </w:r>
          </w:p>
        </w:tc>
        <w:tc>
          <w:tcPr>
            <w:tcW w:w="0" w:type="auto"/>
            <w:vAlign w:val="center"/>
            <w:hideMark/>
          </w:tcPr>
          <w:p w14:paraId="2CEF5E60" w14:textId="77777777" w:rsidR="002152D6" w:rsidRPr="00CE207C" w:rsidRDefault="002152D6" w:rsidP="00CE207C">
            <w:pPr>
              <w:pStyle w:val="NoSpacing"/>
              <w:jc w:val="center"/>
              <w:rPr>
                <w:rFonts w:ascii="Times New Roman" w:hAnsi="Times New Roman" w:cs="Times New Roman"/>
                <w:szCs w:val="20"/>
              </w:rPr>
            </w:pPr>
            <w:r w:rsidRPr="00CE207C">
              <w:rPr>
                <w:rFonts w:ascii="Times New Roman" w:hAnsi="Times New Roman" w:cs="Times New Roman"/>
                <w:szCs w:val="20"/>
              </w:rPr>
              <w:t>218230</w:t>
            </w:r>
          </w:p>
        </w:tc>
        <w:tc>
          <w:tcPr>
            <w:tcW w:w="0" w:type="auto"/>
            <w:vAlign w:val="center"/>
            <w:hideMark/>
          </w:tcPr>
          <w:p w14:paraId="76045287" w14:textId="77777777" w:rsidR="002152D6" w:rsidRPr="00CE207C" w:rsidRDefault="002152D6" w:rsidP="00CE207C">
            <w:pPr>
              <w:pStyle w:val="NoSpacing"/>
              <w:jc w:val="center"/>
              <w:rPr>
                <w:rFonts w:ascii="Times New Roman" w:hAnsi="Times New Roman" w:cs="Times New Roman"/>
                <w:szCs w:val="20"/>
              </w:rPr>
            </w:pPr>
            <w:r w:rsidRPr="00CE207C">
              <w:rPr>
                <w:rFonts w:ascii="Times New Roman" w:hAnsi="Times New Roman" w:cs="Times New Roman"/>
                <w:szCs w:val="20"/>
              </w:rPr>
              <w:t>361</w:t>
            </w:r>
          </w:p>
        </w:tc>
        <w:tc>
          <w:tcPr>
            <w:tcW w:w="0" w:type="auto"/>
            <w:vAlign w:val="center"/>
            <w:hideMark/>
          </w:tcPr>
          <w:p w14:paraId="1EDEF417" w14:textId="77777777" w:rsidR="002152D6" w:rsidRPr="00CE207C" w:rsidRDefault="002152D6" w:rsidP="00CE207C">
            <w:pPr>
              <w:pStyle w:val="NoSpacing"/>
              <w:jc w:val="center"/>
              <w:rPr>
                <w:rFonts w:ascii="Times New Roman" w:hAnsi="Times New Roman" w:cs="Times New Roman"/>
                <w:szCs w:val="20"/>
              </w:rPr>
            </w:pPr>
            <w:r w:rsidRPr="00CE207C">
              <w:rPr>
                <w:rFonts w:ascii="Times New Roman" w:hAnsi="Times New Roman" w:cs="Times New Roman"/>
                <w:szCs w:val="20"/>
              </w:rPr>
              <w:t>9</w:t>
            </w:r>
          </w:p>
        </w:tc>
        <w:tc>
          <w:tcPr>
            <w:tcW w:w="0" w:type="auto"/>
            <w:vAlign w:val="center"/>
            <w:hideMark/>
          </w:tcPr>
          <w:p w14:paraId="6A46D152" w14:textId="77777777" w:rsidR="002152D6" w:rsidRPr="00CE207C" w:rsidRDefault="002152D6" w:rsidP="00CE207C">
            <w:pPr>
              <w:pStyle w:val="NoSpacing"/>
              <w:jc w:val="center"/>
              <w:rPr>
                <w:rFonts w:ascii="Times New Roman" w:hAnsi="Times New Roman" w:cs="Times New Roman"/>
                <w:szCs w:val="20"/>
              </w:rPr>
            </w:pPr>
            <w:r w:rsidRPr="00CE207C">
              <w:rPr>
                <w:rFonts w:ascii="Times New Roman" w:hAnsi="Times New Roman" w:cs="Times New Roman"/>
                <w:szCs w:val="20"/>
              </w:rPr>
              <w:t>1.30</w:t>
            </w:r>
          </w:p>
        </w:tc>
        <w:tc>
          <w:tcPr>
            <w:tcW w:w="0" w:type="auto"/>
            <w:vAlign w:val="center"/>
            <w:hideMark/>
          </w:tcPr>
          <w:p w14:paraId="39D9351E" w14:textId="77777777" w:rsidR="002152D6" w:rsidRPr="00CE207C" w:rsidRDefault="002152D6" w:rsidP="00CE207C">
            <w:pPr>
              <w:pStyle w:val="NoSpacing"/>
              <w:jc w:val="center"/>
              <w:rPr>
                <w:rFonts w:ascii="Times New Roman" w:hAnsi="Times New Roman" w:cs="Times New Roman"/>
                <w:szCs w:val="20"/>
              </w:rPr>
            </w:pPr>
            <w:r w:rsidRPr="00CE207C">
              <w:rPr>
                <w:rFonts w:ascii="Times New Roman" w:hAnsi="Times New Roman" w:cs="Times New Roman"/>
                <w:szCs w:val="20"/>
              </w:rPr>
              <w:t>0.06</w:t>
            </w:r>
          </w:p>
        </w:tc>
      </w:tr>
      <w:tr w:rsidR="002152D6" w:rsidRPr="00CE207C" w14:paraId="0EC806F8" w14:textId="77777777" w:rsidTr="00CE207C">
        <w:trPr>
          <w:trHeight w:val="257"/>
        </w:trPr>
        <w:tc>
          <w:tcPr>
            <w:tcW w:w="2108" w:type="dxa"/>
            <w:hideMark/>
          </w:tcPr>
          <w:p w14:paraId="579BE909" w14:textId="77777777" w:rsidR="002152D6" w:rsidRPr="00CE207C" w:rsidRDefault="002152D6" w:rsidP="00B77C0B">
            <w:pPr>
              <w:pStyle w:val="NoSpacing"/>
              <w:rPr>
                <w:rFonts w:ascii="Times New Roman" w:hAnsi="Times New Roman" w:cs="Times New Roman"/>
                <w:szCs w:val="20"/>
              </w:rPr>
            </w:pPr>
            <w:r w:rsidRPr="00CE207C">
              <w:rPr>
                <w:rFonts w:ascii="Times New Roman" w:hAnsi="Times New Roman" w:cs="Times New Roman"/>
                <w:szCs w:val="20"/>
              </w:rPr>
              <w:t>Ahmedabad</w:t>
            </w:r>
          </w:p>
        </w:tc>
        <w:tc>
          <w:tcPr>
            <w:tcW w:w="1495" w:type="dxa"/>
            <w:hideMark/>
          </w:tcPr>
          <w:p w14:paraId="1347E97F" w14:textId="77777777" w:rsidR="002152D6" w:rsidRPr="00CE207C" w:rsidRDefault="002152D6" w:rsidP="00B77C0B">
            <w:pPr>
              <w:pStyle w:val="NoSpacing"/>
              <w:rPr>
                <w:rFonts w:ascii="Times New Roman" w:hAnsi="Times New Roman" w:cs="Times New Roman"/>
                <w:szCs w:val="20"/>
              </w:rPr>
            </w:pPr>
            <w:r w:rsidRPr="00CE207C">
              <w:rPr>
                <w:rFonts w:ascii="Times New Roman" w:hAnsi="Times New Roman" w:cs="Times New Roman"/>
                <w:szCs w:val="20"/>
              </w:rPr>
              <w:t>1966-67</w:t>
            </w:r>
          </w:p>
        </w:tc>
        <w:tc>
          <w:tcPr>
            <w:tcW w:w="0" w:type="auto"/>
            <w:vAlign w:val="center"/>
            <w:hideMark/>
          </w:tcPr>
          <w:p w14:paraId="48D55DD7" w14:textId="77777777" w:rsidR="002152D6" w:rsidRPr="00CE207C" w:rsidRDefault="002152D6" w:rsidP="00CE207C">
            <w:pPr>
              <w:pStyle w:val="NoSpacing"/>
              <w:jc w:val="center"/>
              <w:rPr>
                <w:rFonts w:ascii="Times New Roman" w:hAnsi="Times New Roman" w:cs="Times New Roman"/>
                <w:szCs w:val="20"/>
              </w:rPr>
            </w:pPr>
            <w:r w:rsidRPr="00CE207C">
              <w:rPr>
                <w:rFonts w:ascii="Times New Roman" w:hAnsi="Times New Roman" w:cs="Times New Roman"/>
                <w:szCs w:val="20"/>
              </w:rPr>
              <w:t>10531</w:t>
            </w:r>
          </w:p>
        </w:tc>
        <w:tc>
          <w:tcPr>
            <w:tcW w:w="0" w:type="auto"/>
            <w:vAlign w:val="center"/>
            <w:hideMark/>
          </w:tcPr>
          <w:p w14:paraId="3C7DDD7E" w14:textId="77777777" w:rsidR="002152D6" w:rsidRPr="00CE207C" w:rsidRDefault="002152D6" w:rsidP="00CE207C">
            <w:pPr>
              <w:pStyle w:val="NoSpacing"/>
              <w:jc w:val="center"/>
              <w:rPr>
                <w:rFonts w:ascii="Times New Roman" w:hAnsi="Times New Roman" w:cs="Times New Roman"/>
                <w:szCs w:val="20"/>
              </w:rPr>
            </w:pPr>
            <w:r w:rsidRPr="00CE207C">
              <w:rPr>
                <w:rFonts w:ascii="Times New Roman" w:hAnsi="Times New Roman" w:cs="Times New Roman"/>
                <w:szCs w:val="20"/>
              </w:rPr>
              <w:t>34</w:t>
            </w:r>
          </w:p>
        </w:tc>
        <w:tc>
          <w:tcPr>
            <w:tcW w:w="0" w:type="auto"/>
            <w:vAlign w:val="center"/>
            <w:hideMark/>
          </w:tcPr>
          <w:p w14:paraId="43A70330" w14:textId="77777777" w:rsidR="002152D6" w:rsidRPr="00CE207C" w:rsidRDefault="002152D6" w:rsidP="00CE207C">
            <w:pPr>
              <w:pStyle w:val="NoSpacing"/>
              <w:jc w:val="center"/>
              <w:rPr>
                <w:rFonts w:ascii="Times New Roman" w:hAnsi="Times New Roman" w:cs="Times New Roman"/>
                <w:szCs w:val="20"/>
              </w:rPr>
            </w:pPr>
            <w:r w:rsidRPr="00CE207C">
              <w:rPr>
                <w:rFonts w:ascii="Times New Roman" w:hAnsi="Times New Roman" w:cs="Times New Roman"/>
                <w:szCs w:val="20"/>
              </w:rPr>
              <w:t>6</w:t>
            </w:r>
          </w:p>
        </w:tc>
        <w:tc>
          <w:tcPr>
            <w:tcW w:w="0" w:type="auto"/>
            <w:vAlign w:val="center"/>
            <w:hideMark/>
          </w:tcPr>
          <w:p w14:paraId="79322F29" w14:textId="77777777" w:rsidR="002152D6" w:rsidRPr="00CE207C" w:rsidRDefault="002152D6" w:rsidP="00CE207C">
            <w:pPr>
              <w:pStyle w:val="NoSpacing"/>
              <w:jc w:val="center"/>
              <w:rPr>
                <w:rFonts w:ascii="Times New Roman" w:hAnsi="Times New Roman" w:cs="Times New Roman"/>
                <w:szCs w:val="20"/>
              </w:rPr>
            </w:pPr>
            <w:r w:rsidRPr="00CE207C">
              <w:rPr>
                <w:rFonts w:ascii="Times New Roman" w:hAnsi="Times New Roman" w:cs="Times New Roman"/>
                <w:szCs w:val="20"/>
              </w:rPr>
              <w:t>..</w:t>
            </w:r>
          </w:p>
        </w:tc>
        <w:tc>
          <w:tcPr>
            <w:tcW w:w="0" w:type="auto"/>
            <w:vAlign w:val="center"/>
            <w:hideMark/>
          </w:tcPr>
          <w:p w14:paraId="15483939" w14:textId="77777777" w:rsidR="002152D6" w:rsidRPr="00CE207C" w:rsidRDefault="002152D6" w:rsidP="00CE207C">
            <w:pPr>
              <w:pStyle w:val="NoSpacing"/>
              <w:jc w:val="center"/>
              <w:rPr>
                <w:rFonts w:ascii="Times New Roman" w:hAnsi="Times New Roman" w:cs="Times New Roman"/>
                <w:szCs w:val="20"/>
              </w:rPr>
            </w:pPr>
            <w:r w:rsidRPr="00CE207C">
              <w:rPr>
                <w:rFonts w:ascii="Times New Roman" w:hAnsi="Times New Roman" w:cs="Times New Roman"/>
                <w:szCs w:val="20"/>
              </w:rPr>
              <w:t>..</w:t>
            </w:r>
          </w:p>
        </w:tc>
      </w:tr>
      <w:tr w:rsidR="002152D6" w:rsidRPr="00CE207C" w14:paraId="4B1E579C" w14:textId="77777777" w:rsidTr="00CE207C">
        <w:trPr>
          <w:trHeight w:val="264"/>
        </w:trPr>
        <w:tc>
          <w:tcPr>
            <w:tcW w:w="2108" w:type="dxa"/>
            <w:hideMark/>
          </w:tcPr>
          <w:p w14:paraId="2AC0019B" w14:textId="77777777" w:rsidR="002152D6" w:rsidRPr="00CE207C" w:rsidRDefault="002152D6" w:rsidP="00B77C0B">
            <w:pPr>
              <w:pStyle w:val="NoSpacing"/>
              <w:rPr>
                <w:rFonts w:ascii="Times New Roman" w:hAnsi="Times New Roman" w:cs="Times New Roman"/>
                <w:szCs w:val="20"/>
              </w:rPr>
            </w:pPr>
          </w:p>
        </w:tc>
        <w:tc>
          <w:tcPr>
            <w:tcW w:w="1495" w:type="dxa"/>
            <w:hideMark/>
          </w:tcPr>
          <w:p w14:paraId="230A62EA" w14:textId="77777777" w:rsidR="002152D6" w:rsidRPr="00CE207C" w:rsidRDefault="002152D6" w:rsidP="00B77C0B">
            <w:pPr>
              <w:pStyle w:val="NoSpacing"/>
              <w:rPr>
                <w:rFonts w:ascii="Times New Roman" w:hAnsi="Times New Roman" w:cs="Times New Roman"/>
                <w:szCs w:val="20"/>
              </w:rPr>
            </w:pPr>
            <w:r w:rsidRPr="00CE207C">
              <w:rPr>
                <w:rFonts w:ascii="Times New Roman" w:hAnsi="Times New Roman" w:cs="Times New Roman"/>
                <w:szCs w:val="20"/>
              </w:rPr>
              <w:t>1967-68</w:t>
            </w:r>
          </w:p>
        </w:tc>
        <w:tc>
          <w:tcPr>
            <w:tcW w:w="0" w:type="auto"/>
            <w:vAlign w:val="center"/>
            <w:hideMark/>
          </w:tcPr>
          <w:p w14:paraId="6081690C" w14:textId="77777777" w:rsidR="002152D6" w:rsidRPr="00CE207C" w:rsidRDefault="002152D6" w:rsidP="00CE207C">
            <w:pPr>
              <w:pStyle w:val="NoSpacing"/>
              <w:jc w:val="center"/>
              <w:rPr>
                <w:rFonts w:ascii="Times New Roman" w:hAnsi="Times New Roman" w:cs="Times New Roman"/>
                <w:szCs w:val="20"/>
              </w:rPr>
            </w:pPr>
            <w:r w:rsidRPr="00CE207C">
              <w:rPr>
                <w:rFonts w:ascii="Times New Roman" w:hAnsi="Times New Roman" w:cs="Times New Roman"/>
                <w:szCs w:val="20"/>
              </w:rPr>
              <w:t>9595</w:t>
            </w:r>
          </w:p>
        </w:tc>
        <w:tc>
          <w:tcPr>
            <w:tcW w:w="0" w:type="auto"/>
            <w:vAlign w:val="center"/>
            <w:hideMark/>
          </w:tcPr>
          <w:p w14:paraId="5FA7DA7B" w14:textId="77777777" w:rsidR="002152D6" w:rsidRPr="00CE207C" w:rsidRDefault="002152D6" w:rsidP="00CE207C">
            <w:pPr>
              <w:pStyle w:val="NoSpacing"/>
              <w:jc w:val="center"/>
              <w:rPr>
                <w:rFonts w:ascii="Times New Roman" w:hAnsi="Times New Roman" w:cs="Times New Roman"/>
                <w:szCs w:val="20"/>
              </w:rPr>
            </w:pPr>
            <w:r w:rsidRPr="00CE207C">
              <w:rPr>
                <w:rFonts w:ascii="Times New Roman" w:hAnsi="Times New Roman" w:cs="Times New Roman"/>
                <w:szCs w:val="20"/>
              </w:rPr>
              <w:t>26</w:t>
            </w:r>
          </w:p>
        </w:tc>
        <w:tc>
          <w:tcPr>
            <w:tcW w:w="0" w:type="auto"/>
            <w:vAlign w:val="center"/>
            <w:hideMark/>
          </w:tcPr>
          <w:p w14:paraId="45759AD1" w14:textId="77777777" w:rsidR="002152D6" w:rsidRPr="00CE207C" w:rsidRDefault="002152D6" w:rsidP="00CE207C">
            <w:pPr>
              <w:pStyle w:val="NoSpacing"/>
              <w:jc w:val="center"/>
              <w:rPr>
                <w:rFonts w:ascii="Times New Roman" w:hAnsi="Times New Roman" w:cs="Times New Roman"/>
                <w:szCs w:val="20"/>
              </w:rPr>
            </w:pPr>
            <w:r w:rsidRPr="00CE207C">
              <w:rPr>
                <w:rFonts w:ascii="Times New Roman" w:hAnsi="Times New Roman" w:cs="Times New Roman"/>
                <w:szCs w:val="20"/>
              </w:rPr>
              <w:t>4</w:t>
            </w:r>
          </w:p>
        </w:tc>
        <w:tc>
          <w:tcPr>
            <w:tcW w:w="0" w:type="auto"/>
            <w:vAlign w:val="center"/>
            <w:hideMark/>
          </w:tcPr>
          <w:p w14:paraId="4BC1209D" w14:textId="77777777" w:rsidR="002152D6" w:rsidRPr="00CE207C" w:rsidRDefault="002152D6" w:rsidP="00CE207C">
            <w:pPr>
              <w:pStyle w:val="NoSpacing"/>
              <w:jc w:val="center"/>
              <w:rPr>
                <w:rFonts w:ascii="Times New Roman" w:hAnsi="Times New Roman" w:cs="Times New Roman"/>
                <w:szCs w:val="20"/>
              </w:rPr>
            </w:pPr>
            <w:r w:rsidRPr="00CE207C">
              <w:rPr>
                <w:rFonts w:ascii="Times New Roman" w:hAnsi="Times New Roman" w:cs="Times New Roman"/>
                <w:szCs w:val="20"/>
              </w:rPr>
              <w:t>..</w:t>
            </w:r>
          </w:p>
        </w:tc>
        <w:tc>
          <w:tcPr>
            <w:tcW w:w="0" w:type="auto"/>
            <w:vAlign w:val="center"/>
            <w:hideMark/>
          </w:tcPr>
          <w:p w14:paraId="4B0CF4F6" w14:textId="77777777" w:rsidR="002152D6" w:rsidRPr="00CE207C" w:rsidRDefault="002152D6" w:rsidP="00CE207C">
            <w:pPr>
              <w:pStyle w:val="NoSpacing"/>
              <w:jc w:val="center"/>
              <w:rPr>
                <w:rFonts w:ascii="Times New Roman" w:hAnsi="Times New Roman" w:cs="Times New Roman"/>
                <w:szCs w:val="20"/>
              </w:rPr>
            </w:pPr>
            <w:r w:rsidRPr="00CE207C">
              <w:rPr>
                <w:rFonts w:ascii="Times New Roman" w:hAnsi="Times New Roman" w:cs="Times New Roman"/>
                <w:szCs w:val="20"/>
              </w:rPr>
              <w:t>..</w:t>
            </w:r>
          </w:p>
        </w:tc>
      </w:tr>
      <w:tr w:rsidR="002152D6" w:rsidRPr="00CE207C" w14:paraId="5818C276" w14:textId="77777777" w:rsidTr="00CE207C">
        <w:trPr>
          <w:trHeight w:val="264"/>
        </w:trPr>
        <w:tc>
          <w:tcPr>
            <w:tcW w:w="2108" w:type="dxa"/>
            <w:hideMark/>
          </w:tcPr>
          <w:p w14:paraId="6613D822" w14:textId="77777777" w:rsidR="002152D6" w:rsidRPr="00CE207C" w:rsidRDefault="002152D6" w:rsidP="00B77C0B">
            <w:pPr>
              <w:pStyle w:val="NoSpacing"/>
              <w:rPr>
                <w:rFonts w:ascii="Times New Roman" w:hAnsi="Times New Roman" w:cs="Times New Roman"/>
                <w:szCs w:val="20"/>
              </w:rPr>
            </w:pPr>
            <w:r w:rsidRPr="00CE207C">
              <w:rPr>
                <w:rFonts w:ascii="Times New Roman" w:hAnsi="Times New Roman" w:cs="Times New Roman"/>
                <w:szCs w:val="20"/>
              </w:rPr>
              <w:t>Madras</w:t>
            </w:r>
          </w:p>
        </w:tc>
        <w:tc>
          <w:tcPr>
            <w:tcW w:w="1495" w:type="dxa"/>
            <w:hideMark/>
          </w:tcPr>
          <w:p w14:paraId="22576FBD" w14:textId="77777777" w:rsidR="002152D6" w:rsidRPr="00CE207C" w:rsidRDefault="002152D6" w:rsidP="00B77C0B">
            <w:pPr>
              <w:pStyle w:val="NoSpacing"/>
              <w:rPr>
                <w:rFonts w:ascii="Times New Roman" w:hAnsi="Times New Roman" w:cs="Times New Roman"/>
                <w:szCs w:val="20"/>
              </w:rPr>
            </w:pPr>
            <w:r w:rsidRPr="00CE207C">
              <w:rPr>
                <w:rFonts w:ascii="Times New Roman" w:hAnsi="Times New Roman" w:cs="Times New Roman"/>
                <w:szCs w:val="20"/>
              </w:rPr>
              <w:t>1966-67</w:t>
            </w:r>
          </w:p>
        </w:tc>
        <w:tc>
          <w:tcPr>
            <w:tcW w:w="0" w:type="auto"/>
            <w:vAlign w:val="center"/>
            <w:hideMark/>
          </w:tcPr>
          <w:p w14:paraId="0F6661E8" w14:textId="77777777" w:rsidR="002152D6" w:rsidRPr="00CE207C" w:rsidRDefault="002152D6" w:rsidP="00CE207C">
            <w:pPr>
              <w:pStyle w:val="NoSpacing"/>
              <w:jc w:val="center"/>
              <w:rPr>
                <w:rFonts w:ascii="Times New Roman" w:hAnsi="Times New Roman" w:cs="Times New Roman"/>
                <w:szCs w:val="20"/>
              </w:rPr>
            </w:pPr>
            <w:r w:rsidRPr="00CE207C">
              <w:rPr>
                <w:rFonts w:ascii="Times New Roman" w:hAnsi="Times New Roman" w:cs="Times New Roman"/>
                <w:szCs w:val="20"/>
              </w:rPr>
              <w:t>238</w:t>
            </w:r>
          </w:p>
        </w:tc>
        <w:tc>
          <w:tcPr>
            <w:tcW w:w="0" w:type="auto"/>
            <w:vAlign w:val="center"/>
            <w:hideMark/>
          </w:tcPr>
          <w:p w14:paraId="65C6B641" w14:textId="77777777" w:rsidR="002152D6" w:rsidRPr="00CE207C" w:rsidRDefault="002152D6" w:rsidP="00CE207C">
            <w:pPr>
              <w:pStyle w:val="NoSpacing"/>
              <w:jc w:val="center"/>
              <w:rPr>
                <w:rFonts w:ascii="Times New Roman" w:hAnsi="Times New Roman" w:cs="Times New Roman"/>
                <w:szCs w:val="20"/>
              </w:rPr>
            </w:pPr>
            <w:r w:rsidRPr="00CE207C">
              <w:rPr>
                <w:rFonts w:ascii="Times New Roman" w:hAnsi="Times New Roman" w:cs="Times New Roman"/>
                <w:szCs w:val="20"/>
              </w:rPr>
              <w:t>1604</w:t>
            </w:r>
          </w:p>
        </w:tc>
        <w:tc>
          <w:tcPr>
            <w:tcW w:w="0" w:type="auto"/>
            <w:vAlign w:val="center"/>
            <w:hideMark/>
          </w:tcPr>
          <w:p w14:paraId="134AC591" w14:textId="77777777" w:rsidR="002152D6" w:rsidRPr="00CE207C" w:rsidRDefault="002152D6" w:rsidP="00CE207C">
            <w:pPr>
              <w:pStyle w:val="NoSpacing"/>
              <w:jc w:val="center"/>
              <w:rPr>
                <w:rFonts w:ascii="Times New Roman" w:hAnsi="Times New Roman" w:cs="Times New Roman"/>
                <w:szCs w:val="20"/>
              </w:rPr>
            </w:pPr>
            <w:r w:rsidRPr="00CE207C">
              <w:rPr>
                <w:rFonts w:ascii="Times New Roman" w:hAnsi="Times New Roman" w:cs="Times New Roman"/>
                <w:szCs w:val="20"/>
              </w:rPr>
              <w:t>53</w:t>
            </w:r>
          </w:p>
        </w:tc>
        <w:tc>
          <w:tcPr>
            <w:tcW w:w="0" w:type="auto"/>
            <w:vAlign w:val="center"/>
            <w:hideMark/>
          </w:tcPr>
          <w:p w14:paraId="3689F902" w14:textId="77777777" w:rsidR="002152D6" w:rsidRPr="00CE207C" w:rsidRDefault="002152D6" w:rsidP="00CE207C">
            <w:pPr>
              <w:pStyle w:val="NoSpacing"/>
              <w:jc w:val="center"/>
              <w:rPr>
                <w:rFonts w:ascii="Times New Roman" w:hAnsi="Times New Roman" w:cs="Times New Roman"/>
                <w:szCs w:val="20"/>
              </w:rPr>
            </w:pPr>
            <w:r w:rsidRPr="00CE207C">
              <w:rPr>
                <w:rFonts w:ascii="Times New Roman" w:hAnsi="Times New Roman" w:cs="Times New Roman"/>
                <w:szCs w:val="20"/>
              </w:rPr>
              <w:t>17.20</w:t>
            </w:r>
          </w:p>
        </w:tc>
        <w:tc>
          <w:tcPr>
            <w:tcW w:w="0" w:type="auto"/>
            <w:vAlign w:val="center"/>
            <w:hideMark/>
          </w:tcPr>
          <w:p w14:paraId="66229771" w14:textId="77777777" w:rsidR="002152D6" w:rsidRPr="00CE207C" w:rsidRDefault="002152D6" w:rsidP="00CE207C">
            <w:pPr>
              <w:pStyle w:val="NoSpacing"/>
              <w:jc w:val="center"/>
              <w:rPr>
                <w:rFonts w:ascii="Times New Roman" w:hAnsi="Times New Roman" w:cs="Times New Roman"/>
                <w:szCs w:val="20"/>
              </w:rPr>
            </w:pPr>
            <w:r w:rsidRPr="00CE207C">
              <w:rPr>
                <w:rFonts w:ascii="Times New Roman" w:hAnsi="Times New Roman" w:cs="Times New Roman"/>
                <w:szCs w:val="20"/>
              </w:rPr>
              <w:t>0.37</w:t>
            </w:r>
          </w:p>
        </w:tc>
      </w:tr>
      <w:tr w:rsidR="002152D6" w:rsidRPr="00CE207C" w14:paraId="0A247455" w14:textId="77777777" w:rsidTr="00CE207C">
        <w:trPr>
          <w:trHeight w:val="264"/>
        </w:trPr>
        <w:tc>
          <w:tcPr>
            <w:tcW w:w="2108" w:type="dxa"/>
            <w:hideMark/>
          </w:tcPr>
          <w:p w14:paraId="48E8FEBC" w14:textId="77777777" w:rsidR="002152D6" w:rsidRPr="00CE207C" w:rsidRDefault="002152D6" w:rsidP="00B77C0B">
            <w:pPr>
              <w:pStyle w:val="NoSpacing"/>
              <w:rPr>
                <w:rFonts w:ascii="Times New Roman" w:hAnsi="Times New Roman" w:cs="Times New Roman"/>
                <w:szCs w:val="20"/>
              </w:rPr>
            </w:pPr>
          </w:p>
        </w:tc>
        <w:tc>
          <w:tcPr>
            <w:tcW w:w="1495" w:type="dxa"/>
            <w:hideMark/>
          </w:tcPr>
          <w:p w14:paraId="2D815248" w14:textId="77777777" w:rsidR="002152D6" w:rsidRPr="00CE207C" w:rsidRDefault="002152D6" w:rsidP="00B77C0B">
            <w:pPr>
              <w:pStyle w:val="NoSpacing"/>
              <w:rPr>
                <w:rFonts w:ascii="Times New Roman" w:hAnsi="Times New Roman" w:cs="Times New Roman"/>
                <w:szCs w:val="20"/>
              </w:rPr>
            </w:pPr>
            <w:r w:rsidRPr="00CE207C">
              <w:rPr>
                <w:rFonts w:ascii="Times New Roman" w:hAnsi="Times New Roman" w:cs="Times New Roman"/>
                <w:szCs w:val="20"/>
              </w:rPr>
              <w:t>1967-68</w:t>
            </w:r>
          </w:p>
        </w:tc>
        <w:tc>
          <w:tcPr>
            <w:tcW w:w="0" w:type="auto"/>
            <w:vAlign w:val="center"/>
            <w:hideMark/>
          </w:tcPr>
          <w:p w14:paraId="553E61C8" w14:textId="77777777" w:rsidR="002152D6" w:rsidRPr="00CE207C" w:rsidRDefault="002152D6" w:rsidP="00CE207C">
            <w:pPr>
              <w:pStyle w:val="NoSpacing"/>
              <w:jc w:val="center"/>
              <w:rPr>
                <w:rFonts w:ascii="Times New Roman" w:hAnsi="Times New Roman" w:cs="Times New Roman"/>
                <w:szCs w:val="20"/>
              </w:rPr>
            </w:pPr>
            <w:r w:rsidRPr="00CE207C">
              <w:rPr>
                <w:rFonts w:ascii="Times New Roman" w:hAnsi="Times New Roman" w:cs="Times New Roman"/>
                <w:szCs w:val="20"/>
              </w:rPr>
              <w:t>225</w:t>
            </w:r>
          </w:p>
        </w:tc>
        <w:tc>
          <w:tcPr>
            <w:tcW w:w="0" w:type="auto"/>
            <w:vAlign w:val="center"/>
            <w:hideMark/>
          </w:tcPr>
          <w:p w14:paraId="553A1663" w14:textId="77777777" w:rsidR="002152D6" w:rsidRPr="00CE207C" w:rsidRDefault="002152D6" w:rsidP="00CE207C">
            <w:pPr>
              <w:pStyle w:val="NoSpacing"/>
              <w:jc w:val="center"/>
              <w:rPr>
                <w:rFonts w:ascii="Times New Roman" w:hAnsi="Times New Roman" w:cs="Times New Roman"/>
                <w:szCs w:val="20"/>
              </w:rPr>
            </w:pPr>
            <w:r w:rsidRPr="00CE207C">
              <w:rPr>
                <w:rFonts w:ascii="Times New Roman" w:hAnsi="Times New Roman" w:cs="Times New Roman"/>
                <w:szCs w:val="20"/>
              </w:rPr>
              <w:t>1447</w:t>
            </w:r>
          </w:p>
        </w:tc>
        <w:tc>
          <w:tcPr>
            <w:tcW w:w="0" w:type="auto"/>
            <w:vAlign w:val="center"/>
            <w:hideMark/>
          </w:tcPr>
          <w:p w14:paraId="3079C0E9" w14:textId="77777777" w:rsidR="002152D6" w:rsidRPr="00CE207C" w:rsidRDefault="002152D6" w:rsidP="00CE207C">
            <w:pPr>
              <w:pStyle w:val="NoSpacing"/>
              <w:jc w:val="center"/>
              <w:rPr>
                <w:rFonts w:ascii="Times New Roman" w:hAnsi="Times New Roman" w:cs="Times New Roman"/>
                <w:szCs w:val="20"/>
              </w:rPr>
            </w:pPr>
            <w:r w:rsidRPr="00CE207C">
              <w:rPr>
                <w:rFonts w:ascii="Times New Roman" w:hAnsi="Times New Roman" w:cs="Times New Roman"/>
                <w:szCs w:val="20"/>
              </w:rPr>
              <w:t>87</w:t>
            </w:r>
          </w:p>
        </w:tc>
        <w:tc>
          <w:tcPr>
            <w:tcW w:w="0" w:type="auto"/>
            <w:vAlign w:val="center"/>
            <w:hideMark/>
          </w:tcPr>
          <w:p w14:paraId="49EA8888" w14:textId="77777777" w:rsidR="002152D6" w:rsidRPr="00CE207C" w:rsidRDefault="002152D6" w:rsidP="00CE207C">
            <w:pPr>
              <w:pStyle w:val="NoSpacing"/>
              <w:jc w:val="center"/>
              <w:rPr>
                <w:rFonts w:ascii="Times New Roman" w:hAnsi="Times New Roman" w:cs="Times New Roman"/>
                <w:szCs w:val="20"/>
              </w:rPr>
            </w:pPr>
            <w:r w:rsidRPr="00CE207C">
              <w:rPr>
                <w:rFonts w:ascii="Times New Roman" w:hAnsi="Times New Roman" w:cs="Times New Roman"/>
                <w:szCs w:val="20"/>
              </w:rPr>
              <w:t>16.21</w:t>
            </w:r>
          </w:p>
        </w:tc>
        <w:tc>
          <w:tcPr>
            <w:tcW w:w="0" w:type="auto"/>
            <w:vAlign w:val="center"/>
            <w:hideMark/>
          </w:tcPr>
          <w:p w14:paraId="458493BC" w14:textId="77777777" w:rsidR="002152D6" w:rsidRPr="00CE207C" w:rsidRDefault="002152D6" w:rsidP="00CE207C">
            <w:pPr>
              <w:pStyle w:val="NoSpacing"/>
              <w:jc w:val="center"/>
              <w:rPr>
                <w:rFonts w:ascii="Times New Roman" w:hAnsi="Times New Roman" w:cs="Times New Roman"/>
                <w:szCs w:val="20"/>
              </w:rPr>
            </w:pPr>
            <w:r w:rsidRPr="00CE207C">
              <w:rPr>
                <w:rFonts w:ascii="Times New Roman" w:hAnsi="Times New Roman" w:cs="Times New Roman"/>
                <w:szCs w:val="20"/>
              </w:rPr>
              <w:t>0.04</w:t>
            </w:r>
          </w:p>
        </w:tc>
      </w:tr>
      <w:tr w:rsidR="002152D6" w:rsidRPr="00CE207C" w14:paraId="5C0A1C07" w14:textId="77777777" w:rsidTr="00CE207C">
        <w:trPr>
          <w:trHeight w:val="257"/>
        </w:trPr>
        <w:tc>
          <w:tcPr>
            <w:tcW w:w="2108" w:type="dxa"/>
            <w:hideMark/>
          </w:tcPr>
          <w:p w14:paraId="338F9CF9" w14:textId="77777777" w:rsidR="002152D6" w:rsidRPr="00CE207C" w:rsidRDefault="002152D6" w:rsidP="00B77C0B">
            <w:pPr>
              <w:pStyle w:val="NoSpacing"/>
              <w:rPr>
                <w:rFonts w:ascii="Times New Roman" w:hAnsi="Times New Roman" w:cs="Times New Roman"/>
                <w:szCs w:val="20"/>
              </w:rPr>
            </w:pPr>
            <w:r w:rsidRPr="00CE207C">
              <w:rPr>
                <w:rFonts w:ascii="Times New Roman" w:hAnsi="Times New Roman" w:cs="Times New Roman"/>
                <w:szCs w:val="20"/>
              </w:rPr>
              <w:t>Madhya Pradesh</w:t>
            </w:r>
          </w:p>
        </w:tc>
        <w:tc>
          <w:tcPr>
            <w:tcW w:w="1495" w:type="dxa"/>
            <w:hideMark/>
          </w:tcPr>
          <w:p w14:paraId="2785C9DC" w14:textId="77777777" w:rsidR="002152D6" w:rsidRPr="00CE207C" w:rsidRDefault="002152D6" w:rsidP="00B77C0B">
            <w:pPr>
              <w:pStyle w:val="NoSpacing"/>
              <w:rPr>
                <w:rFonts w:ascii="Times New Roman" w:hAnsi="Times New Roman" w:cs="Times New Roman"/>
                <w:szCs w:val="20"/>
              </w:rPr>
            </w:pPr>
            <w:r w:rsidRPr="00CE207C">
              <w:rPr>
                <w:rFonts w:ascii="Times New Roman" w:hAnsi="Times New Roman" w:cs="Times New Roman"/>
                <w:szCs w:val="20"/>
              </w:rPr>
              <w:t>1966-67</w:t>
            </w:r>
          </w:p>
        </w:tc>
        <w:tc>
          <w:tcPr>
            <w:tcW w:w="0" w:type="auto"/>
            <w:vAlign w:val="center"/>
            <w:hideMark/>
          </w:tcPr>
          <w:p w14:paraId="529DC8C0" w14:textId="77777777" w:rsidR="002152D6" w:rsidRPr="00CE207C" w:rsidRDefault="002152D6" w:rsidP="00CE207C">
            <w:pPr>
              <w:pStyle w:val="NoSpacing"/>
              <w:jc w:val="center"/>
              <w:rPr>
                <w:rFonts w:ascii="Times New Roman" w:hAnsi="Times New Roman" w:cs="Times New Roman"/>
                <w:szCs w:val="20"/>
              </w:rPr>
            </w:pPr>
            <w:r w:rsidRPr="00CE207C">
              <w:rPr>
                <w:rFonts w:ascii="Times New Roman" w:hAnsi="Times New Roman" w:cs="Times New Roman"/>
                <w:szCs w:val="20"/>
              </w:rPr>
              <w:t>18</w:t>
            </w:r>
          </w:p>
        </w:tc>
        <w:tc>
          <w:tcPr>
            <w:tcW w:w="0" w:type="auto"/>
            <w:vAlign w:val="center"/>
            <w:hideMark/>
          </w:tcPr>
          <w:p w14:paraId="0A2B40B3" w14:textId="77777777" w:rsidR="002152D6" w:rsidRPr="00CE207C" w:rsidRDefault="002152D6" w:rsidP="00CE207C">
            <w:pPr>
              <w:pStyle w:val="NoSpacing"/>
              <w:jc w:val="center"/>
              <w:rPr>
                <w:rFonts w:ascii="Times New Roman" w:hAnsi="Times New Roman" w:cs="Times New Roman"/>
                <w:szCs w:val="20"/>
              </w:rPr>
            </w:pPr>
            <w:r w:rsidRPr="00CE207C">
              <w:rPr>
                <w:rFonts w:ascii="Times New Roman" w:hAnsi="Times New Roman" w:cs="Times New Roman"/>
                <w:szCs w:val="20"/>
              </w:rPr>
              <w:t>Neg.</w:t>
            </w:r>
          </w:p>
        </w:tc>
        <w:tc>
          <w:tcPr>
            <w:tcW w:w="0" w:type="auto"/>
            <w:vAlign w:val="center"/>
            <w:hideMark/>
          </w:tcPr>
          <w:p w14:paraId="385DC96D" w14:textId="77777777" w:rsidR="002152D6" w:rsidRPr="00CE207C" w:rsidRDefault="002152D6" w:rsidP="00CE207C">
            <w:pPr>
              <w:pStyle w:val="NoSpacing"/>
              <w:jc w:val="center"/>
              <w:rPr>
                <w:rFonts w:ascii="Times New Roman" w:hAnsi="Times New Roman" w:cs="Times New Roman"/>
                <w:szCs w:val="20"/>
              </w:rPr>
            </w:pPr>
            <w:r w:rsidRPr="00CE207C">
              <w:rPr>
                <w:rFonts w:ascii="Times New Roman" w:hAnsi="Times New Roman" w:cs="Times New Roman"/>
                <w:szCs w:val="20"/>
              </w:rPr>
              <w:t>Neg.</w:t>
            </w:r>
          </w:p>
        </w:tc>
        <w:tc>
          <w:tcPr>
            <w:tcW w:w="0" w:type="auto"/>
            <w:vAlign w:val="center"/>
            <w:hideMark/>
          </w:tcPr>
          <w:p w14:paraId="01052F7F" w14:textId="77777777" w:rsidR="002152D6" w:rsidRPr="00CE207C" w:rsidRDefault="002152D6" w:rsidP="00CE207C">
            <w:pPr>
              <w:pStyle w:val="NoSpacing"/>
              <w:jc w:val="center"/>
              <w:rPr>
                <w:rFonts w:ascii="Times New Roman" w:hAnsi="Times New Roman" w:cs="Times New Roman"/>
                <w:szCs w:val="20"/>
              </w:rPr>
            </w:pPr>
            <w:r w:rsidRPr="00CE207C">
              <w:rPr>
                <w:rFonts w:ascii="Times New Roman" w:hAnsi="Times New Roman" w:cs="Times New Roman"/>
                <w:szCs w:val="20"/>
              </w:rPr>
              <w:t>..</w:t>
            </w:r>
          </w:p>
        </w:tc>
        <w:tc>
          <w:tcPr>
            <w:tcW w:w="0" w:type="auto"/>
            <w:vAlign w:val="center"/>
            <w:hideMark/>
          </w:tcPr>
          <w:p w14:paraId="3EFBC6E5" w14:textId="77777777" w:rsidR="002152D6" w:rsidRPr="00CE207C" w:rsidRDefault="002152D6" w:rsidP="00CE207C">
            <w:pPr>
              <w:pStyle w:val="NoSpacing"/>
              <w:jc w:val="center"/>
              <w:rPr>
                <w:rFonts w:ascii="Times New Roman" w:hAnsi="Times New Roman" w:cs="Times New Roman"/>
                <w:szCs w:val="20"/>
              </w:rPr>
            </w:pPr>
            <w:r w:rsidRPr="00CE207C">
              <w:rPr>
                <w:rFonts w:ascii="Times New Roman" w:hAnsi="Times New Roman" w:cs="Times New Roman"/>
                <w:szCs w:val="20"/>
              </w:rPr>
              <w:t>..</w:t>
            </w:r>
          </w:p>
        </w:tc>
      </w:tr>
      <w:tr w:rsidR="002152D6" w:rsidRPr="00CE207C" w14:paraId="2C2D839B" w14:textId="77777777" w:rsidTr="00CE207C">
        <w:trPr>
          <w:trHeight w:val="264"/>
        </w:trPr>
        <w:tc>
          <w:tcPr>
            <w:tcW w:w="2108" w:type="dxa"/>
            <w:hideMark/>
          </w:tcPr>
          <w:p w14:paraId="0AE21FDF" w14:textId="77777777" w:rsidR="002152D6" w:rsidRPr="00CE207C" w:rsidRDefault="002152D6" w:rsidP="00B77C0B">
            <w:pPr>
              <w:pStyle w:val="NoSpacing"/>
              <w:rPr>
                <w:rFonts w:ascii="Times New Roman" w:hAnsi="Times New Roman" w:cs="Times New Roman"/>
                <w:szCs w:val="20"/>
              </w:rPr>
            </w:pPr>
          </w:p>
        </w:tc>
        <w:tc>
          <w:tcPr>
            <w:tcW w:w="1495" w:type="dxa"/>
            <w:hideMark/>
          </w:tcPr>
          <w:p w14:paraId="1FED73FF" w14:textId="77777777" w:rsidR="002152D6" w:rsidRPr="00CE207C" w:rsidRDefault="002152D6" w:rsidP="00B77C0B">
            <w:pPr>
              <w:pStyle w:val="NoSpacing"/>
              <w:rPr>
                <w:rFonts w:ascii="Times New Roman" w:hAnsi="Times New Roman" w:cs="Times New Roman"/>
                <w:szCs w:val="20"/>
              </w:rPr>
            </w:pPr>
            <w:r w:rsidRPr="00CE207C">
              <w:rPr>
                <w:rFonts w:ascii="Times New Roman" w:hAnsi="Times New Roman" w:cs="Times New Roman"/>
                <w:szCs w:val="20"/>
              </w:rPr>
              <w:t>1967-68</w:t>
            </w:r>
          </w:p>
        </w:tc>
        <w:tc>
          <w:tcPr>
            <w:tcW w:w="0" w:type="auto"/>
            <w:vAlign w:val="center"/>
            <w:hideMark/>
          </w:tcPr>
          <w:p w14:paraId="7387CA23" w14:textId="77777777" w:rsidR="002152D6" w:rsidRPr="00CE207C" w:rsidRDefault="002152D6" w:rsidP="00CE207C">
            <w:pPr>
              <w:pStyle w:val="NoSpacing"/>
              <w:jc w:val="center"/>
              <w:rPr>
                <w:rFonts w:ascii="Times New Roman" w:hAnsi="Times New Roman" w:cs="Times New Roman"/>
                <w:szCs w:val="20"/>
              </w:rPr>
            </w:pPr>
            <w:r w:rsidRPr="00CE207C">
              <w:rPr>
                <w:rFonts w:ascii="Times New Roman" w:hAnsi="Times New Roman" w:cs="Times New Roman"/>
                <w:szCs w:val="20"/>
              </w:rPr>
              <w:t>9</w:t>
            </w:r>
          </w:p>
        </w:tc>
        <w:tc>
          <w:tcPr>
            <w:tcW w:w="0" w:type="auto"/>
            <w:vAlign w:val="center"/>
            <w:hideMark/>
          </w:tcPr>
          <w:p w14:paraId="3B628C03" w14:textId="77777777" w:rsidR="002152D6" w:rsidRPr="00CE207C" w:rsidRDefault="002152D6" w:rsidP="00CE207C">
            <w:pPr>
              <w:pStyle w:val="NoSpacing"/>
              <w:jc w:val="center"/>
              <w:rPr>
                <w:rFonts w:ascii="Times New Roman" w:hAnsi="Times New Roman" w:cs="Times New Roman"/>
                <w:szCs w:val="20"/>
              </w:rPr>
            </w:pPr>
            <w:r w:rsidRPr="00CE207C">
              <w:rPr>
                <w:rFonts w:ascii="Times New Roman" w:hAnsi="Times New Roman" w:cs="Times New Roman"/>
                <w:szCs w:val="20"/>
              </w:rPr>
              <w:t>2</w:t>
            </w:r>
          </w:p>
        </w:tc>
        <w:tc>
          <w:tcPr>
            <w:tcW w:w="0" w:type="auto"/>
            <w:vAlign w:val="center"/>
            <w:hideMark/>
          </w:tcPr>
          <w:p w14:paraId="4EA22D20" w14:textId="77777777" w:rsidR="002152D6" w:rsidRPr="00CE207C" w:rsidRDefault="002152D6" w:rsidP="00CE207C">
            <w:pPr>
              <w:pStyle w:val="NoSpacing"/>
              <w:jc w:val="center"/>
              <w:rPr>
                <w:rFonts w:ascii="Times New Roman" w:hAnsi="Times New Roman" w:cs="Times New Roman"/>
                <w:szCs w:val="20"/>
              </w:rPr>
            </w:pPr>
            <w:r w:rsidRPr="00CE207C">
              <w:rPr>
                <w:rFonts w:ascii="Times New Roman" w:hAnsi="Times New Roman" w:cs="Times New Roman"/>
                <w:szCs w:val="20"/>
              </w:rPr>
              <w:t>Neg.</w:t>
            </w:r>
          </w:p>
        </w:tc>
        <w:tc>
          <w:tcPr>
            <w:tcW w:w="0" w:type="auto"/>
            <w:vAlign w:val="center"/>
            <w:hideMark/>
          </w:tcPr>
          <w:p w14:paraId="3EA9FCE4" w14:textId="77777777" w:rsidR="002152D6" w:rsidRPr="00CE207C" w:rsidRDefault="002152D6" w:rsidP="00CE207C">
            <w:pPr>
              <w:pStyle w:val="NoSpacing"/>
              <w:jc w:val="center"/>
              <w:rPr>
                <w:rFonts w:ascii="Times New Roman" w:hAnsi="Times New Roman" w:cs="Times New Roman"/>
                <w:szCs w:val="20"/>
              </w:rPr>
            </w:pPr>
            <w:r w:rsidRPr="00CE207C">
              <w:rPr>
                <w:rFonts w:ascii="Times New Roman" w:hAnsi="Times New Roman" w:cs="Times New Roman"/>
                <w:szCs w:val="20"/>
              </w:rPr>
              <w:t>..</w:t>
            </w:r>
          </w:p>
        </w:tc>
        <w:tc>
          <w:tcPr>
            <w:tcW w:w="0" w:type="auto"/>
            <w:vAlign w:val="center"/>
            <w:hideMark/>
          </w:tcPr>
          <w:p w14:paraId="1A578F9F" w14:textId="77777777" w:rsidR="002152D6" w:rsidRPr="00CE207C" w:rsidRDefault="002152D6" w:rsidP="00CE207C">
            <w:pPr>
              <w:pStyle w:val="NoSpacing"/>
              <w:jc w:val="center"/>
              <w:rPr>
                <w:rFonts w:ascii="Times New Roman" w:hAnsi="Times New Roman" w:cs="Times New Roman"/>
                <w:szCs w:val="20"/>
              </w:rPr>
            </w:pPr>
            <w:r w:rsidRPr="00CE207C">
              <w:rPr>
                <w:rFonts w:ascii="Times New Roman" w:hAnsi="Times New Roman" w:cs="Times New Roman"/>
                <w:szCs w:val="20"/>
              </w:rPr>
              <w:t>..</w:t>
            </w:r>
          </w:p>
        </w:tc>
      </w:tr>
      <w:tr w:rsidR="002152D6" w:rsidRPr="00CE207C" w14:paraId="5D595184" w14:textId="77777777" w:rsidTr="00CE207C">
        <w:trPr>
          <w:trHeight w:val="257"/>
        </w:trPr>
        <w:tc>
          <w:tcPr>
            <w:tcW w:w="2108" w:type="dxa"/>
            <w:hideMark/>
          </w:tcPr>
          <w:p w14:paraId="691E97AA" w14:textId="77777777" w:rsidR="002152D6" w:rsidRPr="00CE207C" w:rsidRDefault="002152D6" w:rsidP="00B77C0B">
            <w:pPr>
              <w:pStyle w:val="NoSpacing"/>
              <w:rPr>
                <w:rFonts w:ascii="Times New Roman" w:hAnsi="Times New Roman" w:cs="Times New Roman"/>
                <w:szCs w:val="20"/>
              </w:rPr>
            </w:pPr>
            <w:r w:rsidRPr="00CE207C">
              <w:rPr>
                <w:rFonts w:ascii="Times New Roman" w:hAnsi="Times New Roman" w:cs="Times New Roman"/>
                <w:szCs w:val="20"/>
              </w:rPr>
              <w:t>Bangalore</w:t>
            </w:r>
          </w:p>
        </w:tc>
        <w:tc>
          <w:tcPr>
            <w:tcW w:w="1495" w:type="dxa"/>
            <w:hideMark/>
          </w:tcPr>
          <w:p w14:paraId="55AD441A" w14:textId="77777777" w:rsidR="002152D6" w:rsidRPr="00CE207C" w:rsidRDefault="002152D6" w:rsidP="00B77C0B">
            <w:pPr>
              <w:pStyle w:val="NoSpacing"/>
              <w:rPr>
                <w:rFonts w:ascii="Times New Roman" w:hAnsi="Times New Roman" w:cs="Times New Roman"/>
                <w:szCs w:val="20"/>
              </w:rPr>
            </w:pPr>
            <w:r w:rsidRPr="00CE207C">
              <w:rPr>
                <w:rFonts w:ascii="Times New Roman" w:hAnsi="Times New Roman" w:cs="Times New Roman"/>
                <w:szCs w:val="20"/>
              </w:rPr>
              <w:t>1966-67</w:t>
            </w:r>
          </w:p>
        </w:tc>
        <w:tc>
          <w:tcPr>
            <w:tcW w:w="0" w:type="auto"/>
            <w:vAlign w:val="center"/>
            <w:hideMark/>
          </w:tcPr>
          <w:p w14:paraId="731A7022" w14:textId="77777777" w:rsidR="002152D6" w:rsidRPr="00CE207C" w:rsidRDefault="002152D6" w:rsidP="00CE207C">
            <w:pPr>
              <w:pStyle w:val="NoSpacing"/>
              <w:jc w:val="center"/>
              <w:rPr>
                <w:rFonts w:ascii="Times New Roman" w:hAnsi="Times New Roman" w:cs="Times New Roman"/>
                <w:szCs w:val="20"/>
              </w:rPr>
            </w:pPr>
            <w:r w:rsidRPr="00CE207C">
              <w:rPr>
                <w:rFonts w:ascii="Times New Roman" w:hAnsi="Times New Roman" w:cs="Times New Roman"/>
                <w:szCs w:val="20"/>
              </w:rPr>
              <w:t>..</w:t>
            </w:r>
          </w:p>
        </w:tc>
        <w:tc>
          <w:tcPr>
            <w:tcW w:w="0" w:type="auto"/>
            <w:vAlign w:val="center"/>
            <w:hideMark/>
          </w:tcPr>
          <w:p w14:paraId="584CCE9F" w14:textId="77777777" w:rsidR="002152D6" w:rsidRPr="00CE207C" w:rsidRDefault="002152D6" w:rsidP="00CE207C">
            <w:pPr>
              <w:pStyle w:val="NoSpacing"/>
              <w:jc w:val="center"/>
              <w:rPr>
                <w:rFonts w:ascii="Times New Roman" w:hAnsi="Times New Roman" w:cs="Times New Roman"/>
                <w:szCs w:val="20"/>
              </w:rPr>
            </w:pPr>
            <w:r w:rsidRPr="00CE207C">
              <w:rPr>
                <w:rFonts w:ascii="Times New Roman" w:hAnsi="Times New Roman" w:cs="Times New Roman"/>
                <w:szCs w:val="20"/>
              </w:rPr>
              <w:t>287</w:t>
            </w:r>
          </w:p>
        </w:tc>
        <w:tc>
          <w:tcPr>
            <w:tcW w:w="0" w:type="auto"/>
            <w:vAlign w:val="center"/>
            <w:hideMark/>
          </w:tcPr>
          <w:p w14:paraId="159F96C9" w14:textId="77777777" w:rsidR="002152D6" w:rsidRPr="00CE207C" w:rsidRDefault="002152D6" w:rsidP="00CE207C">
            <w:pPr>
              <w:pStyle w:val="NoSpacing"/>
              <w:jc w:val="center"/>
              <w:rPr>
                <w:rFonts w:ascii="Times New Roman" w:hAnsi="Times New Roman" w:cs="Times New Roman"/>
                <w:szCs w:val="20"/>
              </w:rPr>
            </w:pPr>
            <w:r w:rsidRPr="00CE207C">
              <w:rPr>
                <w:rFonts w:ascii="Times New Roman" w:hAnsi="Times New Roman" w:cs="Times New Roman"/>
                <w:szCs w:val="20"/>
              </w:rPr>
              <w:t>64</w:t>
            </w:r>
          </w:p>
        </w:tc>
        <w:tc>
          <w:tcPr>
            <w:tcW w:w="0" w:type="auto"/>
            <w:vAlign w:val="center"/>
            <w:hideMark/>
          </w:tcPr>
          <w:p w14:paraId="26685B83" w14:textId="77777777" w:rsidR="002152D6" w:rsidRPr="00CE207C" w:rsidRDefault="002152D6" w:rsidP="00CE207C">
            <w:pPr>
              <w:pStyle w:val="NoSpacing"/>
              <w:jc w:val="center"/>
              <w:rPr>
                <w:rFonts w:ascii="Times New Roman" w:hAnsi="Times New Roman" w:cs="Times New Roman"/>
                <w:szCs w:val="20"/>
              </w:rPr>
            </w:pPr>
            <w:r w:rsidRPr="00CE207C">
              <w:rPr>
                <w:rFonts w:ascii="Times New Roman" w:hAnsi="Times New Roman" w:cs="Times New Roman"/>
                <w:szCs w:val="20"/>
              </w:rPr>
              <w:t>0.03</w:t>
            </w:r>
          </w:p>
        </w:tc>
        <w:tc>
          <w:tcPr>
            <w:tcW w:w="0" w:type="auto"/>
            <w:vAlign w:val="center"/>
            <w:hideMark/>
          </w:tcPr>
          <w:p w14:paraId="0C8B76CD" w14:textId="77777777" w:rsidR="002152D6" w:rsidRPr="00CE207C" w:rsidRDefault="002152D6" w:rsidP="00CE207C">
            <w:pPr>
              <w:pStyle w:val="NoSpacing"/>
              <w:jc w:val="center"/>
              <w:rPr>
                <w:rFonts w:ascii="Times New Roman" w:hAnsi="Times New Roman" w:cs="Times New Roman"/>
                <w:szCs w:val="20"/>
              </w:rPr>
            </w:pPr>
            <w:r w:rsidRPr="00CE207C">
              <w:rPr>
                <w:rFonts w:ascii="Times New Roman" w:hAnsi="Times New Roman" w:cs="Times New Roman"/>
                <w:szCs w:val="20"/>
              </w:rPr>
              <w:t>..</w:t>
            </w:r>
          </w:p>
        </w:tc>
      </w:tr>
      <w:tr w:rsidR="002152D6" w:rsidRPr="00CE207C" w14:paraId="3F59CF33" w14:textId="77777777" w:rsidTr="00CE207C">
        <w:trPr>
          <w:trHeight w:val="264"/>
        </w:trPr>
        <w:tc>
          <w:tcPr>
            <w:tcW w:w="2108" w:type="dxa"/>
            <w:hideMark/>
          </w:tcPr>
          <w:p w14:paraId="469913E3" w14:textId="77777777" w:rsidR="002152D6" w:rsidRPr="00CE207C" w:rsidRDefault="002152D6" w:rsidP="00B77C0B">
            <w:pPr>
              <w:pStyle w:val="NoSpacing"/>
              <w:rPr>
                <w:rFonts w:ascii="Times New Roman" w:hAnsi="Times New Roman" w:cs="Times New Roman"/>
                <w:szCs w:val="20"/>
              </w:rPr>
            </w:pPr>
          </w:p>
        </w:tc>
        <w:tc>
          <w:tcPr>
            <w:tcW w:w="1495" w:type="dxa"/>
            <w:hideMark/>
          </w:tcPr>
          <w:p w14:paraId="799CCA9F" w14:textId="77777777" w:rsidR="002152D6" w:rsidRPr="00CE207C" w:rsidRDefault="002152D6" w:rsidP="00B77C0B">
            <w:pPr>
              <w:pStyle w:val="NoSpacing"/>
              <w:rPr>
                <w:rFonts w:ascii="Times New Roman" w:hAnsi="Times New Roman" w:cs="Times New Roman"/>
                <w:szCs w:val="20"/>
              </w:rPr>
            </w:pPr>
            <w:r w:rsidRPr="00CE207C">
              <w:rPr>
                <w:rFonts w:ascii="Times New Roman" w:hAnsi="Times New Roman" w:cs="Times New Roman"/>
                <w:szCs w:val="20"/>
              </w:rPr>
              <w:t>1967-68</w:t>
            </w:r>
          </w:p>
        </w:tc>
        <w:tc>
          <w:tcPr>
            <w:tcW w:w="0" w:type="auto"/>
            <w:vAlign w:val="center"/>
            <w:hideMark/>
          </w:tcPr>
          <w:p w14:paraId="0F1629D4" w14:textId="77777777" w:rsidR="002152D6" w:rsidRPr="00CE207C" w:rsidRDefault="002152D6" w:rsidP="00CE207C">
            <w:pPr>
              <w:pStyle w:val="NoSpacing"/>
              <w:jc w:val="center"/>
              <w:rPr>
                <w:rFonts w:ascii="Times New Roman" w:hAnsi="Times New Roman" w:cs="Times New Roman"/>
                <w:szCs w:val="20"/>
              </w:rPr>
            </w:pPr>
            <w:r w:rsidRPr="00CE207C">
              <w:rPr>
                <w:rFonts w:ascii="Times New Roman" w:hAnsi="Times New Roman" w:cs="Times New Roman"/>
                <w:szCs w:val="20"/>
              </w:rPr>
              <w:t>..</w:t>
            </w:r>
          </w:p>
        </w:tc>
        <w:tc>
          <w:tcPr>
            <w:tcW w:w="0" w:type="auto"/>
            <w:vAlign w:val="center"/>
            <w:hideMark/>
          </w:tcPr>
          <w:p w14:paraId="604F6B6D" w14:textId="77777777" w:rsidR="002152D6" w:rsidRPr="00CE207C" w:rsidRDefault="002152D6" w:rsidP="00CE207C">
            <w:pPr>
              <w:pStyle w:val="NoSpacing"/>
              <w:jc w:val="center"/>
              <w:rPr>
                <w:rFonts w:ascii="Times New Roman" w:hAnsi="Times New Roman" w:cs="Times New Roman"/>
                <w:szCs w:val="20"/>
              </w:rPr>
            </w:pPr>
            <w:r w:rsidRPr="00CE207C">
              <w:rPr>
                <w:rFonts w:ascii="Times New Roman" w:hAnsi="Times New Roman" w:cs="Times New Roman"/>
                <w:szCs w:val="20"/>
              </w:rPr>
              <w:t>58</w:t>
            </w:r>
          </w:p>
        </w:tc>
        <w:tc>
          <w:tcPr>
            <w:tcW w:w="0" w:type="auto"/>
            <w:vAlign w:val="center"/>
            <w:hideMark/>
          </w:tcPr>
          <w:p w14:paraId="61D92464" w14:textId="77777777" w:rsidR="002152D6" w:rsidRPr="00CE207C" w:rsidRDefault="002152D6" w:rsidP="00CE207C">
            <w:pPr>
              <w:pStyle w:val="NoSpacing"/>
              <w:jc w:val="center"/>
              <w:rPr>
                <w:rFonts w:ascii="Times New Roman" w:hAnsi="Times New Roman" w:cs="Times New Roman"/>
                <w:szCs w:val="20"/>
              </w:rPr>
            </w:pPr>
            <w:r w:rsidRPr="00CE207C">
              <w:rPr>
                <w:rFonts w:ascii="Times New Roman" w:hAnsi="Times New Roman" w:cs="Times New Roman"/>
                <w:szCs w:val="20"/>
              </w:rPr>
              <w:t>74</w:t>
            </w:r>
          </w:p>
        </w:tc>
        <w:tc>
          <w:tcPr>
            <w:tcW w:w="0" w:type="auto"/>
            <w:vAlign w:val="center"/>
            <w:hideMark/>
          </w:tcPr>
          <w:p w14:paraId="6255EA77" w14:textId="77777777" w:rsidR="002152D6" w:rsidRPr="00CE207C" w:rsidRDefault="002152D6" w:rsidP="00CE207C">
            <w:pPr>
              <w:pStyle w:val="NoSpacing"/>
              <w:jc w:val="center"/>
              <w:rPr>
                <w:rFonts w:ascii="Times New Roman" w:hAnsi="Times New Roman" w:cs="Times New Roman"/>
                <w:szCs w:val="20"/>
              </w:rPr>
            </w:pPr>
            <w:r w:rsidRPr="00CE207C">
              <w:rPr>
                <w:rFonts w:ascii="Times New Roman" w:hAnsi="Times New Roman" w:cs="Times New Roman"/>
                <w:szCs w:val="20"/>
              </w:rPr>
              <w:t>..</w:t>
            </w:r>
          </w:p>
        </w:tc>
        <w:tc>
          <w:tcPr>
            <w:tcW w:w="0" w:type="auto"/>
            <w:vAlign w:val="center"/>
            <w:hideMark/>
          </w:tcPr>
          <w:p w14:paraId="1510C4C7" w14:textId="77777777" w:rsidR="002152D6" w:rsidRPr="00CE207C" w:rsidRDefault="002152D6" w:rsidP="00CE207C">
            <w:pPr>
              <w:pStyle w:val="NoSpacing"/>
              <w:jc w:val="center"/>
              <w:rPr>
                <w:rFonts w:ascii="Times New Roman" w:hAnsi="Times New Roman" w:cs="Times New Roman"/>
                <w:szCs w:val="20"/>
              </w:rPr>
            </w:pPr>
            <w:r w:rsidRPr="00CE207C">
              <w:rPr>
                <w:rFonts w:ascii="Times New Roman" w:hAnsi="Times New Roman" w:cs="Times New Roman"/>
                <w:szCs w:val="20"/>
              </w:rPr>
              <w:t>..</w:t>
            </w:r>
          </w:p>
        </w:tc>
      </w:tr>
      <w:tr w:rsidR="002152D6" w:rsidRPr="00CE207C" w14:paraId="4E10850E" w14:textId="77777777" w:rsidTr="00CE207C">
        <w:trPr>
          <w:trHeight w:val="264"/>
        </w:trPr>
        <w:tc>
          <w:tcPr>
            <w:tcW w:w="2108" w:type="dxa"/>
            <w:hideMark/>
          </w:tcPr>
          <w:p w14:paraId="736EA740" w14:textId="77777777" w:rsidR="002152D6" w:rsidRPr="00CE207C" w:rsidRDefault="002152D6" w:rsidP="00B77C0B">
            <w:pPr>
              <w:pStyle w:val="NoSpacing"/>
              <w:rPr>
                <w:rFonts w:ascii="Times New Roman" w:hAnsi="Times New Roman" w:cs="Times New Roman"/>
                <w:szCs w:val="20"/>
              </w:rPr>
            </w:pPr>
            <w:r w:rsidRPr="00CE207C">
              <w:rPr>
                <w:rFonts w:ascii="Times New Roman" w:hAnsi="Times New Roman" w:cs="Times New Roman"/>
                <w:szCs w:val="20"/>
              </w:rPr>
              <w:t>Hyderabad</w:t>
            </w:r>
          </w:p>
        </w:tc>
        <w:tc>
          <w:tcPr>
            <w:tcW w:w="1495" w:type="dxa"/>
            <w:hideMark/>
          </w:tcPr>
          <w:p w14:paraId="77132647" w14:textId="77777777" w:rsidR="002152D6" w:rsidRPr="00CE207C" w:rsidRDefault="002152D6" w:rsidP="00B77C0B">
            <w:pPr>
              <w:pStyle w:val="NoSpacing"/>
              <w:rPr>
                <w:rFonts w:ascii="Times New Roman" w:hAnsi="Times New Roman" w:cs="Times New Roman"/>
                <w:szCs w:val="20"/>
              </w:rPr>
            </w:pPr>
            <w:r w:rsidRPr="00CE207C">
              <w:rPr>
                <w:rFonts w:ascii="Times New Roman" w:hAnsi="Times New Roman" w:cs="Times New Roman"/>
                <w:szCs w:val="20"/>
              </w:rPr>
              <w:t>1966-67</w:t>
            </w:r>
          </w:p>
        </w:tc>
        <w:tc>
          <w:tcPr>
            <w:tcW w:w="0" w:type="auto"/>
            <w:vAlign w:val="center"/>
            <w:hideMark/>
          </w:tcPr>
          <w:p w14:paraId="34B05E84" w14:textId="77777777" w:rsidR="002152D6" w:rsidRPr="00CE207C" w:rsidRDefault="002152D6" w:rsidP="00CE207C">
            <w:pPr>
              <w:pStyle w:val="NoSpacing"/>
              <w:jc w:val="center"/>
              <w:rPr>
                <w:rFonts w:ascii="Times New Roman" w:hAnsi="Times New Roman" w:cs="Times New Roman"/>
                <w:szCs w:val="20"/>
              </w:rPr>
            </w:pPr>
            <w:r w:rsidRPr="00CE207C">
              <w:rPr>
                <w:rFonts w:ascii="Times New Roman" w:hAnsi="Times New Roman" w:cs="Times New Roman"/>
                <w:szCs w:val="20"/>
              </w:rPr>
              <w:t>..</w:t>
            </w:r>
          </w:p>
        </w:tc>
        <w:tc>
          <w:tcPr>
            <w:tcW w:w="0" w:type="auto"/>
            <w:vAlign w:val="center"/>
            <w:hideMark/>
          </w:tcPr>
          <w:p w14:paraId="6D26B701" w14:textId="77777777" w:rsidR="002152D6" w:rsidRPr="00CE207C" w:rsidRDefault="002152D6" w:rsidP="00CE207C">
            <w:pPr>
              <w:pStyle w:val="NoSpacing"/>
              <w:jc w:val="center"/>
              <w:rPr>
                <w:rFonts w:ascii="Times New Roman" w:hAnsi="Times New Roman" w:cs="Times New Roman"/>
                <w:szCs w:val="20"/>
              </w:rPr>
            </w:pPr>
            <w:r w:rsidRPr="00CE207C">
              <w:rPr>
                <w:rFonts w:ascii="Times New Roman" w:hAnsi="Times New Roman" w:cs="Times New Roman"/>
                <w:szCs w:val="20"/>
              </w:rPr>
              <w:t>49</w:t>
            </w:r>
          </w:p>
        </w:tc>
        <w:tc>
          <w:tcPr>
            <w:tcW w:w="0" w:type="auto"/>
            <w:vAlign w:val="center"/>
            <w:hideMark/>
          </w:tcPr>
          <w:p w14:paraId="0147A564" w14:textId="77777777" w:rsidR="002152D6" w:rsidRPr="00CE207C" w:rsidRDefault="002152D6" w:rsidP="00CE207C">
            <w:pPr>
              <w:pStyle w:val="NoSpacing"/>
              <w:jc w:val="center"/>
              <w:rPr>
                <w:rFonts w:ascii="Times New Roman" w:hAnsi="Times New Roman" w:cs="Times New Roman"/>
                <w:szCs w:val="20"/>
              </w:rPr>
            </w:pPr>
            <w:r w:rsidRPr="00CE207C">
              <w:rPr>
                <w:rFonts w:ascii="Times New Roman" w:hAnsi="Times New Roman" w:cs="Times New Roman"/>
                <w:szCs w:val="20"/>
              </w:rPr>
              <w:t>3</w:t>
            </w:r>
          </w:p>
        </w:tc>
        <w:tc>
          <w:tcPr>
            <w:tcW w:w="0" w:type="auto"/>
            <w:vAlign w:val="center"/>
            <w:hideMark/>
          </w:tcPr>
          <w:p w14:paraId="34A0A2E7" w14:textId="77777777" w:rsidR="002152D6" w:rsidRPr="00CE207C" w:rsidRDefault="002152D6" w:rsidP="00CE207C">
            <w:pPr>
              <w:pStyle w:val="NoSpacing"/>
              <w:jc w:val="center"/>
              <w:rPr>
                <w:rFonts w:ascii="Times New Roman" w:hAnsi="Times New Roman" w:cs="Times New Roman"/>
                <w:szCs w:val="20"/>
              </w:rPr>
            </w:pPr>
            <w:r w:rsidRPr="00CE207C">
              <w:rPr>
                <w:rFonts w:ascii="Times New Roman" w:hAnsi="Times New Roman" w:cs="Times New Roman"/>
                <w:szCs w:val="20"/>
              </w:rPr>
              <w:t>0.13</w:t>
            </w:r>
          </w:p>
        </w:tc>
        <w:tc>
          <w:tcPr>
            <w:tcW w:w="0" w:type="auto"/>
            <w:vAlign w:val="center"/>
            <w:hideMark/>
          </w:tcPr>
          <w:p w14:paraId="11964CE4" w14:textId="77777777" w:rsidR="002152D6" w:rsidRPr="00CE207C" w:rsidRDefault="002152D6" w:rsidP="00CE207C">
            <w:pPr>
              <w:pStyle w:val="NoSpacing"/>
              <w:jc w:val="center"/>
              <w:rPr>
                <w:rFonts w:ascii="Times New Roman" w:hAnsi="Times New Roman" w:cs="Times New Roman"/>
                <w:szCs w:val="20"/>
              </w:rPr>
            </w:pPr>
            <w:r w:rsidRPr="00CE207C">
              <w:rPr>
                <w:rFonts w:ascii="Times New Roman" w:hAnsi="Times New Roman" w:cs="Times New Roman"/>
                <w:szCs w:val="20"/>
              </w:rPr>
              <w:t>..</w:t>
            </w:r>
          </w:p>
        </w:tc>
      </w:tr>
      <w:tr w:rsidR="002152D6" w:rsidRPr="00CE207C" w14:paraId="4F3FEF64" w14:textId="77777777" w:rsidTr="00CE207C">
        <w:trPr>
          <w:trHeight w:val="264"/>
        </w:trPr>
        <w:tc>
          <w:tcPr>
            <w:tcW w:w="2108" w:type="dxa"/>
            <w:hideMark/>
          </w:tcPr>
          <w:p w14:paraId="6ACD5172" w14:textId="77777777" w:rsidR="002152D6" w:rsidRPr="00CE207C" w:rsidRDefault="002152D6" w:rsidP="00B77C0B">
            <w:pPr>
              <w:pStyle w:val="NoSpacing"/>
              <w:rPr>
                <w:rFonts w:ascii="Times New Roman" w:hAnsi="Times New Roman" w:cs="Times New Roman"/>
                <w:szCs w:val="20"/>
              </w:rPr>
            </w:pPr>
          </w:p>
        </w:tc>
        <w:tc>
          <w:tcPr>
            <w:tcW w:w="1495" w:type="dxa"/>
            <w:hideMark/>
          </w:tcPr>
          <w:p w14:paraId="61BA8563" w14:textId="77777777" w:rsidR="002152D6" w:rsidRPr="00CE207C" w:rsidRDefault="002152D6" w:rsidP="00B77C0B">
            <w:pPr>
              <w:pStyle w:val="NoSpacing"/>
              <w:rPr>
                <w:rFonts w:ascii="Times New Roman" w:hAnsi="Times New Roman" w:cs="Times New Roman"/>
                <w:szCs w:val="20"/>
              </w:rPr>
            </w:pPr>
            <w:r w:rsidRPr="00CE207C">
              <w:rPr>
                <w:rFonts w:ascii="Times New Roman" w:hAnsi="Times New Roman" w:cs="Times New Roman"/>
                <w:szCs w:val="20"/>
              </w:rPr>
              <w:t>1967-68</w:t>
            </w:r>
          </w:p>
        </w:tc>
        <w:tc>
          <w:tcPr>
            <w:tcW w:w="0" w:type="auto"/>
            <w:vAlign w:val="center"/>
            <w:hideMark/>
          </w:tcPr>
          <w:p w14:paraId="4B9C1449" w14:textId="77777777" w:rsidR="002152D6" w:rsidRPr="00CE207C" w:rsidRDefault="002152D6" w:rsidP="00CE207C">
            <w:pPr>
              <w:pStyle w:val="NoSpacing"/>
              <w:jc w:val="center"/>
              <w:rPr>
                <w:rFonts w:ascii="Times New Roman" w:hAnsi="Times New Roman" w:cs="Times New Roman"/>
                <w:szCs w:val="20"/>
              </w:rPr>
            </w:pPr>
            <w:r w:rsidRPr="00CE207C">
              <w:rPr>
                <w:rFonts w:ascii="Times New Roman" w:hAnsi="Times New Roman" w:cs="Times New Roman"/>
                <w:szCs w:val="20"/>
              </w:rPr>
              <w:t>..</w:t>
            </w:r>
          </w:p>
        </w:tc>
        <w:tc>
          <w:tcPr>
            <w:tcW w:w="0" w:type="auto"/>
            <w:vAlign w:val="center"/>
            <w:hideMark/>
          </w:tcPr>
          <w:p w14:paraId="3DC30EE2" w14:textId="77777777" w:rsidR="002152D6" w:rsidRPr="00CE207C" w:rsidRDefault="002152D6" w:rsidP="00CE207C">
            <w:pPr>
              <w:pStyle w:val="NoSpacing"/>
              <w:jc w:val="center"/>
              <w:rPr>
                <w:rFonts w:ascii="Times New Roman" w:hAnsi="Times New Roman" w:cs="Times New Roman"/>
                <w:szCs w:val="20"/>
              </w:rPr>
            </w:pPr>
            <w:r w:rsidRPr="00CE207C">
              <w:rPr>
                <w:rFonts w:ascii="Times New Roman" w:hAnsi="Times New Roman" w:cs="Times New Roman"/>
                <w:szCs w:val="20"/>
              </w:rPr>
              <w:t>218</w:t>
            </w:r>
          </w:p>
        </w:tc>
        <w:tc>
          <w:tcPr>
            <w:tcW w:w="0" w:type="auto"/>
            <w:vAlign w:val="center"/>
            <w:hideMark/>
          </w:tcPr>
          <w:p w14:paraId="7F1ED02F" w14:textId="77777777" w:rsidR="002152D6" w:rsidRPr="00CE207C" w:rsidRDefault="002152D6" w:rsidP="00CE207C">
            <w:pPr>
              <w:pStyle w:val="NoSpacing"/>
              <w:jc w:val="center"/>
              <w:rPr>
                <w:rFonts w:ascii="Times New Roman" w:hAnsi="Times New Roman" w:cs="Times New Roman"/>
                <w:szCs w:val="20"/>
              </w:rPr>
            </w:pPr>
            <w:r w:rsidRPr="00CE207C">
              <w:rPr>
                <w:rFonts w:ascii="Times New Roman" w:hAnsi="Times New Roman" w:cs="Times New Roman"/>
                <w:szCs w:val="20"/>
              </w:rPr>
              <w:t>3</w:t>
            </w:r>
          </w:p>
        </w:tc>
        <w:tc>
          <w:tcPr>
            <w:tcW w:w="0" w:type="auto"/>
            <w:vAlign w:val="center"/>
            <w:hideMark/>
          </w:tcPr>
          <w:p w14:paraId="5C25A457" w14:textId="77777777" w:rsidR="002152D6" w:rsidRPr="00CE207C" w:rsidRDefault="002152D6" w:rsidP="00CE207C">
            <w:pPr>
              <w:pStyle w:val="NoSpacing"/>
              <w:jc w:val="center"/>
              <w:rPr>
                <w:rFonts w:ascii="Times New Roman" w:hAnsi="Times New Roman" w:cs="Times New Roman"/>
                <w:szCs w:val="20"/>
              </w:rPr>
            </w:pPr>
            <w:r w:rsidRPr="00CE207C">
              <w:rPr>
                <w:rFonts w:ascii="Times New Roman" w:hAnsi="Times New Roman" w:cs="Times New Roman"/>
                <w:szCs w:val="20"/>
              </w:rPr>
              <w:t>0.05</w:t>
            </w:r>
          </w:p>
        </w:tc>
        <w:tc>
          <w:tcPr>
            <w:tcW w:w="0" w:type="auto"/>
            <w:vAlign w:val="center"/>
            <w:hideMark/>
          </w:tcPr>
          <w:p w14:paraId="2B1E94D1" w14:textId="77777777" w:rsidR="002152D6" w:rsidRPr="00CE207C" w:rsidRDefault="002152D6" w:rsidP="00CE207C">
            <w:pPr>
              <w:pStyle w:val="NoSpacing"/>
              <w:jc w:val="center"/>
              <w:rPr>
                <w:rFonts w:ascii="Times New Roman" w:hAnsi="Times New Roman" w:cs="Times New Roman"/>
                <w:szCs w:val="20"/>
              </w:rPr>
            </w:pPr>
            <w:r w:rsidRPr="00CE207C">
              <w:rPr>
                <w:rFonts w:ascii="Times New Roman" w:hAnsi="Times New Roman" w:cs="Times New Roman"/>
                <w:szCs w:val="20"/>
              </w:rPr>
              <w:t>..</w:t>
            </w:r>
          </w:p>
        </w:tc>
      </w:tr>
      <w:tr w:rsidR="002152D6" w:rsidRPr="00CE207C" w14:paraId="54E17D34" w14:textId="77777777" w:rsidTr="00CE207C">
        <w:trPr>
          <w:trHeight w:val="257"/>
        </w:trPr>
        <w:tc>
          <w:tcPr>
            <w:tcW w:w="2108" w:type="dxa"/>
            <w:hideMark/>
          </w:tcPr>
          <w:p w14:paraId="62CFA485" w14:textId="77777777" w:rsidR="002152D6" w:rsidRPr="00CE207C" w:rsidRDefault="002152D6" w:rsidP="00B77C0B">
            <w:pPr>
              <w:pStyle w:val="NoSpacing"/>
              <w:rPr>
                <w:rFonts w:ascii="Times New Roman" w:hAnsi="Times New Roman" w:cs="Times New Roman"/>
                <w:szCs w:val="20"/>
              </w:rPr>
            </w:pPr>
            <w:r w:rsidRPr="00CE207C">
              <w:rPr>
                <w:rFonts w:ascii="Times New Roman" w:hAnsi="Times New Roman" w:cs="Times New Roman"/>
                <w:szCs w:val="20"/>
              </w:rPr>
              <w:t>TOTAL</w:t>
            </w:r>
          </w:p>
        </w:tc>
        <w:tc>
          <w:tcPr>
            <w:tcW w:w="1495" w:type="dxa"/>
            <w:hideMark/>
          </w:tcPr>
          <w:p w14:paraId="52E7704F" w14:textId="77777777" w:rsidR="002152D6" w:rsidRPr="00CE207C" w:rsidRDefault="002152D6" w:rsidP="00B77C0B">
            <w:pPr>
              <w:pStyle w:val="NoSpacing"/>
              <w:rPr>
                <w:rFonts w:ascii="Times New Roman" w:hAnsi="Times New Roman" w:cs="Times New Roman"/>
                <w:szCs w:val="20"/>
              </w:rPr>
            </w:pPr>
            <w:r w:rsidRPr="00CE207C">
              <w:rPr>
                <w:rFonts w:ascii="Times New Roman" w:hAnsi="Times New Roman" w:cs="Times New Roman"/>
                <w:szCs w:val="20"/>
              </w:rPr>
              <w:t>1966-67</w:t>
            </w:r>
          </w:p>
        </w:tc>
        <w:tc>
          <w:tcPr>
            <w:tcW w:w="0" w:type="auto"/>
            <w:vAlign w:val="center"/>
            <w:hideMark/>
          </w:tcPr>
          <w:p w14:paraId="13CC796B" w14:textId="77777777" w:rsidR="002152D6" w:rsidRPr="00CE207C" w:rsidRDefault="002152D6" w:rsidP="00CE207C">
            <w:pPr>
              <w:pStyle w:val="NoSpacing"/>
              <w:jc w:val="center"/>
              <w:rPr>
                <w:rFonts w:ascii="Times New Roman" w:hAnsi="Times New Roman" w:cs="Times New Roman"/>
                <w:szCs w:val="20"/>
              </w:rPr>
            </w:pPr>
            <w:r w:rsidRPr="00CE207C">
              <w:rPr>
                <w:rFonts w:ascii="Times New Roman" w:hAnsi="Times New Roman" w:cs="Times New Roman"/>
                <w:szCs w:val="20"/>
              </w:rPr>
              <w:t>815754</w:t>
            </w:r>
          </w:p>
        </w:tc>
        <w:tc>
          <w:tcPr>
            <w:tcW w:w="0" w:type="auto"/>
            <w:vAlign w:val="center"/>
            <w:hideMark/>
          </w:tcPr>
          <w:p w14:paraId="265AB4DF" w14:textId="77777777" w:rsidR="002152D6" w:rsidRPr="00CE207C" w:rsidRDefault="002152D6" w:rsidP="00CE207C">
            <w:pPr>
              <w:pStyle w:val="NoSpacing"/>
              <w:jc w:val="center"/>
              <w:rPr>
                <w:rFonts w:ascii="Times New Roman" w:hAnsi="Times New Roman" w:cs="Times New Roman"/>
                <w:szCs w:val="20"/>
              </w:rPr>
            </w:pPr>
            <w:r w:rsidRPr="00CE207C">
              <w:rPr>
                <w:rFonts w:ascii="Times New Roman" w:hAnsi="Times New Roman" w:cs="Times New Roman"/>
                <w:szCs w:val="20"/>
              </w:rPr>
              <w:t>23709</w:t>
            </w:r>
          </w:p>
        </w:tc>
        <w:tc>
          <w:tcPr>
            <w:tcW w:w="0" w:type="auto"/>
            <w:vAlign w:val="center"/>
            <w:hideMark/>
          </w:tcPr>
          <w:p w14:paraId="00D98EEE" w14:textId="77777777" w:rsidR="002152D6" w:rsidRPr="00CE207C" w:rsidRDefault="002152D6" w:rsidP="00CE207C">
            <w:pPr>
              <w:pStyle w:val="NoSpacing"/>
              <w:jc w:val="center"/>
              <w:rPr>
                <w:rFonts w:ascii="Times New Roman" w:hAnsi="Times New Roman" w:cs="Times New Roman"/>
                <w:szCs w:val="20"/>
              </w:rPr>
            </w:pPr>
            <w:r w:rsidRPr="00CE207C">
              <w:rPr>
                <w:rFonts w:ascii="Times New Roman" w:hAnsi="Times New Roman" w:cs="Times New Roman"/>
                <w:szCs w:val="20"/>
              </w:rPr>
              <w:t>477</w:t>
            </w:r>
          </w:p>
        </w:tc>
        <w:tc>
          <w:tcPr>
            <w:tcW w:w="0" w:type="auto"/>
            <w:vAlign w:val="center"/>
            <w:hideMark/>
          </w:tcPr>
          <w:p w14:paraId="354CF19D" w14:textId="77777777" w:rsidR="002152D6" w:rsidRPr="00CE207C" w:rsidRDefault="002152D6" w:rsidP="00CE207C">
            <w:pPr>
              <w:pStyle w:val="NoSpacing"/>
              <w:jc w:val="center"/>
              <w:rPr>
                <w:rFonts w:ascii="Times New Roman" w:hAnsi="Times New Roman" w:cs="Times New Roman"/>
                <w:szCs w:val="20"/>
              </w:rPr>
            </w:pPr>
            <w:r w:rsidRPr="00CE207C">
              <w:rPr>
                <w:rFonts w:ascii="Times New Roman" w:hAnsi="Times New Roman" w:cs="Times New Roman"/>
                <w:szCs w:val="20"/>
              </w:rPr>
              <w:t>199.02</w:t>
            </w:r>
          </w:p>
        </w:tc>
        <w:tc>
          <w:tcPr>
            <w:tcW w:w="0" w:type="auto"/>
            <w:vAlign w:val="center"/>
            <w:hideMark/>
          </w:tcPr>
          <w:p w14:paraId="63DDF3DE" w14:textId="77777777" w:rsidR="002152D6" w:rsidRPr="00CE207C" w:rsidRDefault="002152D6" w:rsidP="00CE207C">
            <w:pPr>
              <w:pStyle w:val="NoSpacing"/>
              <w:jc w:val="center"/>
              <w:rPr>
                <w:rFonts w:ascii="Times New Roman" w:hAnsi="Times New Roman" w:cs="Times New Roman"/>
                <w:szCs w:val="20"/>
              </w:rPr>
            </w:pPr>
            <w:r w:rsidRPr="00CE207C">
              <w:rPr>
                <w:rFonts w:ascii="Times New Roman" w:hAnsi="Times New Roman" w:cs="Times New Roman"/>
                <w:szCs w:val="20"/>
              </w:rPr>
              <w:t>2.22</w:t>
            </w:r>
          </w:p>
        </w:tc>
      </w:tr>
      <w:tr w:rsidR="002152D6" w:rsidRPr="00CE207C" w14:paraId="223454BE" w14:textId="77777777" w:rsidTr="00CE207C">
        <w:trPr>
          <w:trHeight w:val="264"/>
        </w:trPr>
        <w:tc>
          <w:tcPr>
            <w:tcW w:w="2108" w:type="dxa"/>
            <w:hideMark/>
          </w:tcPr>
          <w:p w14:paraId="698D051C" w14:textId="77777777" w:rsidR="002152D6" w:rsidRPr="00CE207C" w:rsidRDefault="002152D6" w:rsidP="00B77C0B">
            <w:pPr>
              <w:pStyle w:val="NoSpacing"/>
              <w:rPr>
                <w:rFonts w:ascii="Times New Roman" w:hAnsi="Times New Roman" w:cs="Times New Roman"/>
                <w:szCs w:val="20"/>
              </w:rPr>
            </w:pPr>
          </w:p>
        </w:tc>
        <w:tc>
          <w:tcPr>
            <w:tcW w:w="1495" w:type="dxa"/>
            <w:hideMark/>
          </w:tcPr>
          <w:p w14:paraId="6209FF7A" w14:textId="77777777" w:rsidR="002152D6" w:rsidRPr="00CE207C" w:rsidRDefault="002152D6" w:rsidP="00B77C0B">
            <w:pPr>
              <w:pStyle w:val="NoSpacing"/>
              <w:rPr>
                <w:rFonts w:ascii="Times New Roman" w:hAnsi="Times New Roman" w:cs="Times New Roman"/>
                <w:szCs w:val="20"/>
              </w:rPr>
            </w:pPr>
            <w:r w:rsidRPr="00CE207C">
              <w:rPr>
                <w:rFonts w:ascii="Times New Roman" w:hAnsi="Times New Roman" w:cs="Times New Roman"/>
                <w:szCs w:val="20"/>
              </w:rPr>
              <w:t>1967-68</w:t>
            </w:r>
          </w:p>
        </w:tc>
        <w:tc>
          <w:tcPr>
            <w:tcW w:w="0" w:type="auto"/>
            <w:vAlign w:val="center"/>
            <w:hideMark/>
          </w:tcPr>
          <w:p w14:paraId="349AD246" w14:textId="77777777" w:rsidR="002152D6" w:rsidRPr="00CE207C" w:rsidRDefault="002152D6" w:rsidP="00CE207C">
            <w:pPr>
              <w:pStyle w:val="NoSpacing"/>
              <w:jc w:val="center"/>
              <w:rPr>
                <w:rFonts w:ascii="Times New Roman" w:hAnsi="Times New Roman" w:cs="Times New Roman"/>
                <w:szCs w:val="20"/>
              </w:rPr>
            </w:pPr>
            <w:r w:rsidRPr="00CE207C">
              <w:rPr>
                <w:rFonts w:ascii="Times New Roman" w:hAnsi="Times New Roman" w:cs="Times New Roman"/>
                <w:szCs w:val="20"/>
              </w:rPr>
              <w:t>689028</w:t>
            </w:r>
          </w:p>
        </w:tc>
        <w:tc>
          <w:tcPr>
            <w:tcW w:w="0" w:type="auto"/>
            <w:vAlign w:val="center"/>
            <w:hideMark/>
          </w:tcPr>
          <w:p w14:paraId="328190EF" w14:textId="77777777" w:rsidR="002152D6" w:rsidRPr="00CE207C" w:rsidRDefault="002152D6" w:rsidP="00CE207C">
            <w:pPr>
              <w:pStyle w:val="NoSpacing"/>
              <w:jc w:val="center"/>
              <w:rPr>
                <w:rFonts w:ascii="Times New Roman" w:hAnsi="Times New Roman" w:cs="Times New Roman"/>
                <w:szCs w:val="20"/>
              </w:rPr>
            </w:pPr>
            <w:r w:rsidRPr="00CE207C">
              <w:rPr>
                <w:rFonts w:ascii="Times New Roman" w:hAnsi="Times New Roman" w:cs="Times New Roman"/>
                <w:szCs w:val="20"/>
              </w:rPr>
              <w:t>14861</w:t>
            </w:r>
          </w:p>
        </w:tc>
        <w:tc>
          <w:tcPr>
            <w:tcW w:w="0" w:type="auto"/>
            <w:vAlign w:val="center"/>
            <w:hideMark/>
          </w:tcPr>
          <w:p w14:paraId="2FA201EF" w14:textId="77777777" w:rsidR="002152D6" w:rsidRPr="00CE207C" w:rsidRDefault="002152D6" w:rsidP="00CE207C">
            <w:pPr>
              <w:pStyle w:val="NoSpacing"/>
              <w:jc w:val="center"/>
              <w:rPr>
                <w:rFonts w:ascii="Times New Roman" w:hAnsi="Times New Roman" w:cs="Times New Roman"/>
                <w:szCs w:val="20"/>
              </w:rPr>
            </w:pPr>
            <w:r w:rsidRPr="00CE207C">
              <w:rPr>
                <w:rFonts w:ascii="Times New Roman" w:hAnsi="Times New Roman" w:cs="Times New Roman"/>
                <w:szCs w:val="20"/>
              </w:rPr>
              <w:t>424</w:t>
            </w:r>
          </w:p>
        </w:tc>
        <w:tc>
          <w:tcPr>
            <w:tcW w:w="0" w:type="auto"/>
            <w:vAlign w:val="center"/>
            <w:hideMark/>
          </w:tcPr>
          <w:p w14:paraId="7530F0E2" w14:textId="77777777" w:rsidR="002152D6" w:rsidRPr="00CE207C" w:rsidRDefault="002152D6" w:rsidP="00CE207C">
            <w:pPr>
              <w:pStyle w:val="NoSpacing"/>
              <w:jc w:val="center"/>
              <w:rPr>
                <w:rFonts w:ascii="Times New Roman" w:hAnsi="Times New Roman" w:cs="Times New Roman"/>
                <w:szCs w:val="20"/>
              </w:rPr>
            </w:pPr>
            <w:r w:rsidRPr="00CE207C">
              <w:rPr>
                <w:rFonts w:ascii="Times New Roman" w:hAnsi="Times New Roman" w:cs="Times New Roman"/>
                <w:szCs w:val="20"/>
              </w:rPr>
              <w:t>186.84</w:t>
            </w:r>
          </w:p>
        </w:tc>
        <w:tc>
          <w:tcPr>
            <w:tcW w:w="0" w:type="auto"/>
            <w:vAlign w:val="center"/>
            <w:hideMark/>
          </w:tcPr>
          <w:p w14:paraId="7195FDBE" w14:textId="77777777" w:rsidR="002152D6" w:rsidRPr="00CE207C" w:rsidRDefault="002152D6" w:rsidP="00CE207C">
            <w:pPr>
              <w:pStyle w:val="NoSpacing"/>
              <w:jc w:val="center"/>
              <w:rPr>
                <w:rFonts w:ascii="Times New Roman" w:hAnsi="Times New Roman" w:cs="Times New Roman"/>
                <w:szCs w:val="20"/>
              </w:rPr>
            </w:pPr>
            <w:r w:rsidRPr="00CE207C">
              <w:rPr>
                <w:rFonts w:ascii="Times New Roman" w:hAnsi="Times New Roman" w:cs="Times New Roman"/>
                <w:szCs w:val="20"/>
              </w:rPr>
              <w:t>1.87</w:t>
            </w:r>
          </w:p>
        </w:tc>
      </w:tr>
    </w:tbl>
    <w:p w14:paraId="4CA3B418" w14:textId="77777777" w:rsidR="002152D6" w:rsidRPr="00CE207C" w:rsidRDefault="002152D6" w:rsidP="002152D6">
      <w:pPr>
        <w:rPr>
          <w:rFonts w:ascii="Times New Roman" w:hAnsi="Times New Roman" w:cs="Times New Roman"/>
          <w:sz w:val="20"/>
          <w:szCs w:val="18"/>
        </w:rPr>
      </w:pPr>
      <w:r w:rsidRPr="00CE207C">
        <w:rPr>
          <w:rFonts w:ascii="Times New Roman" w:hAnsi="Times New Roman" w:cs="Times New Roman"/>
          <w:sz w:val="20"/>
          <w:szCs w:val="18"/>
        </w:rPr>
        <w:t>Source: Ministry of Finance, Department of Economic Affairs.</w:t>
      </w:r>
    </w:p>
    <w:p w14:paraId="3F40E9F7" w14:textId="77777777" w:rsidR="002152D6" w:rsidRPr="00CE207C" w:rsidRDefault="002152D6" w:rsidP="002152D6">
      <w:pPr>
        <w:rPr>
          <w:rFonts w:ascii="Times New Roman" w:hAnsi="Times New Roman" w:cs="Times New Roman"/>
          <w:sz w:val="20"/>
          <w:szCs w:val="18"/>
        </w:rPr>
      </w:pPr>
      <w:r w:rsidRPr="00CE207C">
        <w:rPr>
          <w:rFonts w:ascii="Times New Roman" w:hAnsi="Times New Roman" w:cs="Times New Roman"/>
          <w:sz w:val="20"/>
          <w:szCs w:val="18"/>
        </w:rPr>
        <w:t>*Includes transactions in respect of 7½ per cent Tata Steel 2nd Pref. and India United Deferred.</w:t>
      </w:r>
    </w:p>
    <w:p w14:paraId="385C7C20" w14:textId="77777777" w:rsidR="002152D6" w:rsidRPr="007245B0" w:rsidRDefault="002152D6" w:rsidP="002152D6">
      <w:pPr>
        <w:rPr>
          <w:rFonts w:ascii="Times New Roman" w:hAnsi="Times New Roman" w:cs="Times New Roman"/>
        </w:rPr>
      </w:pPr>
      <w:r w:rsidRPr="007245B0">
        <w:rPr>
          <w:rFonts w:ascii="Times New Roman" w:hAnsi="Times New Roman" w:cs="Times New Roman"/>
        </w:rPr>
        <w:br w:type="page"/>
      </w:r>
    </w:p>
    <w:p w14:paraId="10B0E704" w14:textId="3D6984B5" w:rsidR="002152D6" w:rsidRDefault="000F7213" w:rsidP="000F7213">
      <w:pPr>
        <w:pStyle w:val="Heading2"/>
      </w:pPr>
      <w:bookmarkStart w:id="234" w:name="_Toc221115371"/>
      <w:r w:rsidRPr="007245B0">
        <w:lastRenderedPageBreak/>
        <w:t>APPENDIX VI</w:t>
      </w:r>
      <w:r>
        <w:t xml:space="preserve"> </w:t>
      </w:r>
      <w:r>
        <w:br/>
      </w:r>
      <w:r w:rsidRPr="007245B0">
        <w:t>TRANSFER OF FUNDS TO STATES BY WAY OF SHARE OF TAXES &amp; DUTIES AND GRANTS UNDER ARTICLE 275</w:t>
      </w:r>
      <w:bookmarkEnd w:id="234"/>
    </w:p>
    <w:p w14:paraId="21C4274D" w14:textId="77777777" w:rsidR="000F7213" w:rsidRPr="000F7213" w:rsidRDefault="000F7213" w:rsidP="000F7213">
      <w:pPr>
        <w:spacing w:line="240" w:lineRule="auto"/>
        <w:jc w:val="center"/>
        <w:rPr>
          <w:rFonts w:ascii="Times New Roman" w:hAnsi="Times New Roman" w:cs="Times New Roman"/>
        </w:rPr>
      </w:pPr>
      <w:r w:rsidRPr="000F7213">
        <w:rPr>
          <w:rFonts w:ascii="Times New Roman" w:hAnsi="Times New Roman" w:cs="Times New Roman"/>
        </w:rPr>
        <w:t>(See paragraph 9·3)</w:t>
      </w:r>
    </w:p>
    <w:tbl>
      <w:tblPr>
        <w:tblStyle w:val="TableGrid"/>
        <w:tblW w:w="14934" w:type="dxa"/>
        <w:jc w:val="center"/>
        <w:tblLook w:val="04A0" w:firstRow="1" w:lastRow="0" w:firstColumn="1" w:lastColumn="0" w:noHBand="0" w:noVBand="1"/>
      </w:tblPr>
      <w:tblGrid>
        <w:gridCol w:w="1981"/>
        <w:gridCol w:w="2844"/>
        <w:gridCol w:w="2611"/>
        <w:gridCol w:w="1176"/>
        <w:gridCol w:w="2740"/>
        <w:gridCol w:w="2507"/>
        <w:gridCol w:w="1075"/>
      </w:tblGrid>
      <w:tr w:rsidR="002152D6" w:rsidRPr="007245B0" w14:paraId="798DDA11" w14:textId="77777777" w:rsidTr="005055EB">
        <w:trPr>
          <w:trHeight w:val="312"/>
          <w:jc w:val="center"/>
        </w:trPr>
        <w:tc>
          <w:tcPr>
            <w:tcW w:w="1981" w:type="dxa"/>
            <w:vMerge w:val="restart"/>
            <w:vAlign w:val="center"/>
          </w:tcPr>
          <w:p w14:paraId="6D9B4C28" w14:textId="77777777" w:rsidR="002152D6" w:rsidRPr="005055EB" w:rsidRDefault="002152D6" w:rsidP="005055EB">
            <w:pPr>
              <w:pStyle w:val="NoSpacing"/>
              <w:jc w:val="center"/>
              <w:rPr>
                <w:rFonts w:ascii="Times New Roman" w:hAnsi="Times New Roman" w:cs="Times New Roman"/>
                <w:b/>
                <w:bCs/>
              </w:rPr>
            </w:pPr>
            <w:r w:rsidRPr="005055EB">
              <w:rPr>
                <w:rFonts w:ascii="Times New Roman" w:hAnsi="Times New Roman" w:cs="Times New Roman"/>
                <w:b/>
                <w:bCs/>
              </w:rPr>
              <w:t>State</w:t>
            </w:r>
          </w:p>
        </w:tc>
        <w:tc>
          <w:tcPr>
            <w:tcW w:w="6631" w:type="dxa"/>
            <w:gridSpan w:val="3"/>
            <w:vAlign w:val="center"/>
          </w:tcPr>
          <w:p w14:paraId="79C59436" w14:textId="2472CA1E" w:rsidR="002152D6" w:rsidRPr="005055EB" w:rsidRDefault="002152D6" w:rsidP="005055EB">
            <w:pPr>
              <w:pStyle w:val="NoSpacing"/>
              <w:jc w:val="center"/>
              <w:rPr>
                <w:rFonts w:ascii="Times New Roman" w:hAnsi="Times New Roman" w:cs="Times New Roman"/>
                <w:b/>
                <w:bCs/>
              </w:rPr>
            </w:pPr>
            <w:r w:rsidRPr="005055EB">
              <w:rPr>
                <w:rFonts w:ascii="Times New Roman" w:hAnsi="Times New Roman" w:cs="Times New Roman"/>
                <w:b/>
                <w:bCs/>
              </w:rPr>
              <w:t xml:space="preserve">Fourth Commission’s </w:t>
            </w:r>
            <w:r w:rsidR="001351DF" w:rsidRPr="005055EB">
              <w:rPr>
                <w:rFonts w:ascii="Times New Roman" w:hAnsi="Times New Roman" w:cs="Times New Roman"/>
                <w:b/>
                <w:bCs/>
              </w:rPr>
              <w:t>recommendations (</w:t>
            </w:r>
            <w:r w:rsidRPr="005055EB">
              <w:rPr>
                <w:rFonts w:ascii="Times New Roman" w:hAnsi="Times New Roman" w:cs="Times New Roman"/>
                <w:b/>
                <w:bCs/>
              </w:rPr>
              <w:t>1966-71)</w:t>
            </w:r>
          </w:p>
        </w:tc>
        <w:tc>
          <w:tcPr>
            <w:tcW w:w="6322" w:type="dxa"/>
            <w:gridSpan w:val="3"/>
            <w:vAlign w:val="center"/>
          </w:tcPr>
          <w:p w14:paraId="2BD3DB39" w14:textId="77777777" w:rsidR="002152D6" w:rsidRPr="005055EB" w:rsidRDefault="002152D6" w:rsidP="005055EB">
            <w:pPr>
              <w:pStyle w:val="NoSpacing"/>
              <w:jc w:val="center"/>
              <w:rPr>
                <w:rFonts w:ascii="Times New Roman" w:hAnsi="Times New Roman" w:cs="Times New Roman"/>
                <w:b/>
                <w:bCs/>
              </w:rPr>
            </w:pPr>
            <w:r w:rsidRPr="005055EB">
              <w:rPr>
                <w:rFonts w:ascii="Times New Roman" w:hAnsi="Times New Roman" w:cs="Times New Roman"/>
                <w:b/>
                <w:bCs/>
              </w:rPr>
              <w:t>Fifth Commission’s recommendations (1969-74)</w:t>
            </w:r>
          </w:p>
        </w:tc>
      </w:tr>
      <w:tr w:rsidR="002152D6" w:rsidRPr="007245B0" w14:paraId="60435C84" w14:textId="77777777" w:rsidTr="005055EB">
        <w:trPr>
          <w:trHeight w:val="292"/>
          <w:jc w:val="center"/>
        </w:trPr>
        <w:tc>
          <w:tcPr>
            <w:tcW w:w="1981" w:type="dxa"/>
            <w:vMerge/>
            <w:vAlign w:val="center"/>
            <w:hideMark/>
          </w:tcPr>
          <w:p w14:paraId="51F3BF80" w14:textId="77777777" w:rsidR="002152D6" w:rsidRPr="005055EB" w:rsidRDefault="002152D6" w:rsidP="005055EB">
            <w:pPr>
              <w:pStyle w:val="NoSpacing"/>
              <w:jc w:val="center"/>
              <w:rPr>
                <w:rFonts w:ascii="Times New Roman" w:hAnsi="Times New Roman" w:cs="Times New Roman"/>
                <w:b/>
                <w:bCs/>
              </w:rPr>
            </w:pPr>
          </w:p>
        </w:tc>
        <w:tc>
          <w:tcPr>
            <w:tcW w:w="2844" w:type="dxa"/>
            <w:vAlign w:val="center"/>
            <w:hideMark/>
          </w:tcPr>
          <w:p w14:paraId="0F067F20" w14:textId="77777777" w:rsidR="002152D6" w:rsidRPr="005055EB" w:rsidRDefault="002152D6" w:rsidP="005055EB">
            <w:pPr>
              <w:pStyle w:val="NoSpacing"/>
              <w:jc w:val="center"/>
              <w:rPr>
                <w:rFonts w:ascii="Times New Roman" w:hAnsi="Times New Roman" w:cs="Times New Roman"/>
                <w:b/>
                <w:bCs/>
              </w:rPr>
            </w:pPr>
            <w:r w:rsidRPr="005055EB">
              <w:rPr>
                <w:rFonts w:ascii="Times New Roman" w:hAnsi="Times New Roman" w:cs="Times New Roman"/>
                <w:b/>
                <w:bCs/>
              </w:rPr>
              <w:t>Share of Taxes and duties*</w:t>
            </w:r>
          </w:p>
        </w:tc>
        <w:tc>
          <w:tcPr>
            <w:tcW w:w="2611" w:type="dxa"/>
            <w:vAlign w:val="center"/>
            <w:hideMark/>
          </w:tcPr>
          <w:p w14:paraId="07479824" w14:textId="77777777" w:rsidR="002152D6" w:rsidRPr="005055EB" w:rsidRDefault="002152D6" w:rsidP="005055EB">
            <w:pPr>
              <w:pStyle w:val="NoSpacing"/>
              <w:jc w:val="center"/>
              <w:rPr>
                <w:rFonts w:ascii="Times New Roman" w:hAnsi="Times New Roman" w:cs="Times New Roman"/>
                <w:b/>
                <w:bCs/>
              </w:rPr>
            </w:pPr>
            <w:r w:rsidRPr="005055EB">
              <w:rPr>
                <w:rFonts w:ascii="Times New Roman" w:hAnsi="Times New Roman" w:cs="Times New Roman"/>
                <w:b/>
                <w:bCs/>
              </w:rPr>
              <w:t>Grants under Article 275</w:t>
            </w:r>
          </w:p>
        </w:tc>
        <w:tc>
          <w:tcPr>
            <w:tcW w:w="1176" w:type="dxa"/>
            <w:vAlign w:val="center"/>
            <w:hideMark/>
          </w:tcPr>
          <w:p w14:paraId="60A44251" w14:textId="77777777" w:rsidR="002152D6" w:rsidRPr="005055EB" w:rsidRDefault="002152D6" w:rsidP="005055EB">
            <w:pPr>
              <w:pStyle w:val="NoSpacing"/>
              <w:jc w:val="center"/>
              <w:rPr>
                <w:rFonts w:ascii="Times New Roman" w:hAnsi="Times New Roman" w:cs="Times New Roman"/>
                <w:b/>
                <w:bCs/>
              </w:rPr>
            </w:pPr>
            <w:r w:rsidRPr="005055EB">
              <w:rPr>
                <w:rFonts w:ascii="Times New Roman" w:hAnsi="Times New Roman" w:cs="Times New Roman"/>
                <w:b/>
                <w:bCs/>
              </w:rPr>
              <w:t>Total</w:t>
            </w:r>
          </w:p>
        </w:tc>
        <w:tc>
          <w:tcPr>
            <w:tcW w:w="2740" w:type="dxa"/>
            <w:vAlign w:val="center"/>
            <w:hideMark/>
          </w:tcPr>
          <w:p w14:paraId="189101D5" w14:textId="77777777" w:rsidR="002152D6" w:rsidRPr="005055EB" w:rsidRDefault="002152D6" w:rsidP="005055EB">
            <w:pPr>
              <w:pStyle w:val="NoSpacing"/>
              <w:jc w:val="center"/>
              <w:rPr>
                <w:rFonts w:ascii="Times New Roman" w:hAnsi="Times New Roman" w:cs="Times New Roman"/>
                <w:b/>
                <w:bCs/>
              </w:rPr>
            </w:pPr>
            <w:r w:rsidRPr="005055EB">
              <w:rPr>
                <w:rFonts w:ascii="Times New Roman" w:hAnsi="Times New Roman" w:cs="Times New Roman"/>
                <w:b/>
                <w:bCs/>
              </w:rPr>
              <w:t>Share of Taxes and duties*</w:t>
            </w:r>
          </w:p>
        </w:tc>
        <w:tc>
          <w:tcPr>
            <w:tcW w:w="2507" w:type="dxa"/>
            <w:vAlign w:val="center"/>
            <w:hideMark/>
          </w:tcPr>
          <w:p w14:paraId="0E000B25" w14:textId="77777777" w:rsidR="002152D6" w:rsidRPr="005055EB" w:rsidRDefault="002152D6" w:rsidP="005055EB">
            <w:pPr>
              <w:pStyle w:val="NoSpacing"/>
              <w:jc w:val="center"/>
              <w:rPr>
                <w:rFonts w:ascii="Times New Roman" w:hAnsi="Times New Roman" w:cs="Times New Roman"/>
                <w:b/>
                <w:bCs/>
              </w:rPr>
            </w:pPr>
            <w:r w:rsidRPr="005055EB">
              <w:rPr>
                <w:rFonts w:ascii="Times New Roman" w:hAnsi="Times New Roman" w:cs="Times New Roman"/>
                <w:b/>
                <w:bCs/>
              </w:rPr>
              <w:t>Grants under Article 275</w:t>
            </w:r>
          </w:p>
        </w:tc>
        <w:tc>
          <w:tcPr>
            <w:tcW w:w="0" w:type="auto"/>
            <w:vAlign w:val="center"/>
            <w:hideMark/>
          </w:tcPr>
          <w:p w14:paraId="32B837D9" w14:textId="77777777" w:rsidR="002152D6" w:rsidRPr="005055EB" w:rsidRDefault="002152D6" w:rsidP="005055EB">
            <w:pPr>
              <w:pStyle w:val="NoSpacing"/>
              <w:jc w:val="center"/>
              <w:rPr>
                <w:rFonts w:ascii="Times New Roman" w:hAnsi="Times New Roman" w:cs="Times New Roman"/>
                <w:b/>
                <w:bCs/>
              </w:rPr>
            </w:pPr>
            <w:r w:rsidRPr="005055EB">
              <w:rPr>
                <w:rFonts w:ascii="Times New Roman" w:hAnsi="Times New Roman" w:cs="Times New Roman"/>
                <w:b/>
                <w:bCs/>
              </w:rPr>
              <w:t>Total</w:t>
            </w:r>
          </w:p>
        </w:tc>
      </w:tr>
      <w:tr w:rsidR="002152D6" w:rsidRPr="007245B0" w14:paraId="6AA565E9" w14:textId="77777777" w:rsidTr="005055EB">
        <w:trPr>
          <w:trHeight w:val="247"/>
          <w:jc w:val="center"/>
        </w:trPr>
        <w:tc>
          <w:tcPr>
            <w:tcW w:w="1981" w:type="dxa"/>
            <w:hideMark/>
          </w:tcPr>
          <w:p w14:paraId="1341283F" w14:textId="77777777" w:rsidR="002152D6" w:rsidRPr="007245B0" w:rsidRDefault="002152D6" w:rsidP="00B77C0B">
            <w:pPr>
              <w:pStyle w:val="NoSpacing"/>
              <w:rPr>
                <w:rFonts w:ascii="Times New Roman" w:hAnsi="Times New Roman" w:cs="Times New Roman"/>
              </w:rPr>
            </w:pPr>
            <w:r w:rsidRPr="007245B0">
              <w:rPr>
                <w:rFonts w:ascii="Times New Roman" w:hAnsi="Times New Roman" w:cs="Times New Roman"/>
              </w:rPr>
              <w:t>Andhra Pradesh</w:t>
            </w:r>
          </w:p>
        </w:tc>
        <w:tc>
          <w:tcPr>
            <w:tcW w:w="2844" w:type="dxa"/>
            <w:vAlign w:val="center"/>
            <w:hideMark/>
          </w:tcPr>
          <w:p w14:paraId="45B1A8C4" w14:textId="77777777" w:rsidR="002152D6" w:rsidRPr="007245B0" w:rsidRDefault="002152D6" w:rsidP="005055EB">
            <w:pPr>
              <w:pStyle w:val="NoSpacing"/>
              <w:jc w:val="center"/>
              <w:rPr>
                <w:rFonts w:ascii="Times New Roman" w:hAnsi="Times New Roman" w:cs="Times New Roman"/>
              </w:rPr>
            </w:pPr>
            <w:r w:rsidRPr="007245B0">
              <w:rPr>
                <w:rFonts w:ascii="Times New Roman" w:hAnsi="Times New Roman" w:cs="Times New Roman"/>
              </w:rPr>
              <w:t>166.63</w:t>
            </w:r>
          </w:p>
        </w:tc>
        <w:tc>
          <w:tcPr>
            <w:tcW w:w="2611" w:type="dxa"/>
            <w:vAlign w:val="center"/>
            <w:hideMark/>
          </w:tcPr>
          <w:p w14:paraId="4BA443AA" w14:textId="77777777" w:rsidR="002152D6" w:rsidRPr="007245B0" w:rsidRDefault="002152D6" w:rsidP="005055EB">
            <w:pPr>
              <w:pStyle w:val="NoSpacing"/>
              <w:jc w:val="center"/>
              <w:rPr>
                <w:rFonts w:ascii="Times New Roman" w:hAnsi="Times New Roman" w:cs="Times New Roman"/>
              </w:rPr>
            </w:pPr>
            <w:r w:rsidRPr="007245B0">
              <w:rPr>
                <w:rFonts w:ascii="Times New Roman" w:hAnsi="Times New Roman" w:cs="Times New Roman"/>
              </w:rPr>
              <w:t>67.55</w:t>
            </w:r>
          </w:p>
        </w:tc>
        <w:tc>
          <w:tcPr>
            <w:tcW w:w="1176" w:type="dxa"/>
            <w:vAlign w:val="center"/>
            <w:hideMark/>
          </w:tcPr>
          <w:p w14:paraId="77C4B023" w14:textId="77777777" w:rsidR="002152D6" w:rsidRPr="007245B0" w:rsidRDefault="002152D6" w:rsidP="005055EB">
            <w:pPr>
              <w:pStyle w:val="NoSpacing"/>
              <w:jc w:val="center"/>
              <w:rPr>
                <w:rFonts w:ascii="Times New Roman" w:hAnsi="Times New Roman" w:cs="Times New Roman"/>
              </w:rPr>
            </w:pPr>
            <w:r w:rsidRPr="007245B0">
              <w:rPr>
                <w:rFonts w:ascii="Times New Roman" w:hAnsi="Times New Roman" w:cs="Times New Roman"/>
              </w:rPr>
              <w:t>234.18</w:t>
            </w:r>
          </w:p>
        </w:tc>
        <w:tc>
          <w:tcPr>
            <w:tcW w:w="2740" w:type="dxa"/>
            <w:vAlign w:val="center"/>
            <w:hideMark/>
          </w:tcPr>
          <w:p w14:paraId="4FA637AF" w14:textId="77777777" w:rsidR="002152D6" w:rsidRPr="007245B0" w:rsidRDefault="002152D6" w:rsidP="005055EB">
            <w:pPr>
              <w:pStyle w:val="NoSpacing"/>
              <w:jc w:val="center"/>
              <w:rPr>
                <w:rFonts w:ascii="Times New Roman" w:hAnsi="Times New Roman" w:cs="Times New Roman"/>
              </w:rPr>
            </w:pPr>
            <w:r w:rsidRPr="007245B0">
              <w:rPr>
                <w:rFonts w:ascii="Times New Roman" w:hAnsi="Times New Roman" w:cs="Times New Roman"/>
              </w:rPr>
              <w:t>274.27</w:t>
            </w:r>
          </w:p>
        </w:tc>
        <w:tc>
          <w:tcPr>
            <w:tcW w:w="2507" w:type="dxa"/>
            <w:vAlign w:val="center"/>
            <w:hideMark/>
          </w:tcPr>
          <w:p w14:paraId="36B30FEA" w14:textId="77777777" w:rsidR="002152D6" w:rsidRPr="007245B0" w:rsidRDefault="002152D6" w:rsidP="005055EB">
            <w:pPr>
              <w:pStyle w:val="NoSpacing"/>
              <w:jc w:val="center"/>
              <w:rPr>
                <w:rFonts w:ascii="Times New Roman" w:hAnsi="Times New Roman" w:cs="Times New Roman"/>
              </w:rPr>
            </w:pPr>
            <w:r w:rsidRPr="007245B0">
              <w:rPr>
                <w:rFonts w:ascii="Times New Roman" w:hAnsi="Times New Roman" w:cs="Times New Roman"/>
              </w:rPr>
              <w:t>65.01</w:t>
            </w:r>
          </w:p>
        </w:tc>
        <w:tc>
          <w:tcPr>
            <w:tcW w:w="0" w:type="auto"/>
            <w:vAlign w:val="center"/>
            <w:hideMark/>
          </w:tcPr>
          <w:p w14:paraId="0E764799" w14:textId="77777777" w:rsidR="002152D6" w:rsidRPr="007245B0" w:rsidRDefault="002152D6" w:rsidP="005055EB">
            <w:pPr>
              <w:pStyle w:val="NoSpacing"/>
              <w:jc w:val="center"/>
              <w:rPr>
                <w:rFonts w:ascii="Times New Roman" w:hAnsi="Times New Roman" w:cs="Times New Roman"/>
              </w:rPr>
            </w:pPr>
            <w:r w:rsidRPr="007245B0">
              <w:rPr>
                <w:rFonts w:ascii="Times New Roman" w:hAnsi="Times New Roman" w:cs="Times New Roman"/>
              </w:rPr>
              <w:t>339.28</w:t>
            </w:r>
          </w:p>
        </w:tc>
      </w:tr>
      <w:tr w:rsidR="002152D6" w:rsidRPr="007245B0" w14:paraId="27B5C670" w14:textId="77777777" w:rsidTr="005055EB">
        <w:trPr>
          <w:trHeight w:val="118"/>
          <w:jc w:val="center"/>
        </w:trPr>
        <w:tc>
          <w:tcPr>
            <w:tcW w:w="1981" w:type="dxa"/>
            <w:hideMark/>
          </w:tcPr>
          <w:p w14:paraId="664397B9" w14:textId="77777777" w:rsidR="002152D6" w:rsidRPr="007245B0" w:rsidRDefault="002152D6" w:rsidP="00B77C0B">
            <w:pPr>
              <w:pStyle w:val="NoSpacing"/>
              <w:rPr>
                <w:rFonts w:ascii="Times New Roman" w:hAnsi="Times New Roman" w:cs="Times New Roman"/>
              </w:rPr>
            </w:pPr>
            <w:r w:rsidRPr="007245B0">
              <w:rPr>
                <w:rFonts w:ascii="Times New Roman" w:hAnsi="Times New Roman" w:cs="Times New Roman"/>
              </w:rPr>
              <w:t>Assam</w:t>
            </w:r>
          </w:p>
        </w:tc>
        <w:tc>
          <w:tcPr>
            <w:tcW w:w="2844" w:type="dxa"/>
            <w:vAlign w:val="center"/>
            <w:hideMark/>
          </w:tcPr>
          <w:p w14:paraId="4A208C9E" w14:textId="77777777" w:rsidR="002152D6" w:rsidRPr="007245B0" w:rsidRDefault="002152D6" w:rsidP="005055EB">
            <w:pPr>
              <w:pStyle w:val="NoSpacing"/>
              <w:jc w:val="center"/>
              <w:rPr>
                <w:rFonts w:ascii="Times New Roman" w:hAnsi="Times New Roman" w:cs="Times New Roman"/>
              </w:rPr>
            </w:pPr>
            <w:r w:rsidRPr="007245B0">
              <w:rPr>
                <w:rFonts w:ascii="Times New Roman" w:hAnsi="Times New Roman" w:cs="Times New Roman"/>
              </w:rPr>
              <w:t>62.36</w:t>
            </w:r>
          </w:p>
        </w:tc>
        <w:tc>
          <w:tcPr>
            <w:tcW w:w="2611" w:type="dxa"/>
            <w:vAlign w:val="center"/>
            <w:hideMark/>
          </w:tcPr>
          <w:p w14:paraId="5DBF5F44" w14:textId="77777777" w:rsidR="002152D6" w:rsidRPr="007245B0" w:rsidRDefault="002152D6" w:rsidP="005055EB">
            <w:pPr>
              <w:pStyle w:val="NoSpacing"/>
              <w:jc w:val="center"/>
              <w:rPr>
                <w:rFonts w:ascii="Times New Roman" w:hAnsi="Times New Roman" w:cs="Times New Roman"/>
              </w:rPr>
            </w:pPr>
            <w:r w:rsidRPr="007245B0">
              <w:rPr>
                <w:rFonts w:ascii="Times New Roman" w:hAnsi="Times New Roman" w:cs="Times New Roman"/>
              </w:rPr>
              <w:t>82.60</w:t>
            </w:r>
          </w:p>
        </w:tc>
        <w:tc>
          <w:tcPr>
            <w:tcW w:w="1176" w:type="dxa"/>
            <w:vAlign w:val="center"/>
            <w:hideMark/>
          </w:tcPr>
          <w:p w14:paraId="11B693B0" w14:textId="77777777" w:rsidR="002152D6" w:rsidRPr="007245B0" w:rsidRDefault="002152D6" w:rsidP="005055EB">
            <w:pPr>
              <w:pStyle w:val="NoSpacing"/>
              <w:jc w:val="center"/>
              <w:rPr>
                <w:rFonts w:ascii="Times New Roman" w:hAnsi="Times New Roman" w:cs="Times New Roman"/>
              </w:rPr>
            </w:pPr>
            <w:r w:rsidRPr="007245B0">
              <w:rPr>
                <w:rFonts w:ascii="Times New Roman" w:hAnsi="Times New Roman" w:cs="Times New Roman"/>
              </w:rPr>
              <w:t>144.96</w:t>
            </w:r>
          </w:p>
        </w:tc>
        <w:tc>
          <w:tcPr>
            <w:tcW w:w="2740" w:type="dxa"/>
            <w:vAlign w:val="center"/>
            <w:hideMark/>
          </w:tcPr>
          <w:p w14:paraId="244C9491" w14:textId="77777777" w:rsidR="002152D6" w:rsidRPr="007245B0" w:rsidRDefault="002152D6" w:rsidP="005055EB">
            <w:pPr>
              <w:pStyle w:val="NoSpacing"/>
              <w:jc w:val="center"/>
              <w:rPr>
                <w:rFonts w:ascii="Times New Roman" w:hAnsi="Times New Roman" w:cs="Times New Roman"/>
              </w:rPr>
            </w:pPr>
            <w:r w:rsidRPr="007245B0">
              <w:rPr>
                <w:rFonts w:ascii="Times New Roman" w:hAnsi="Times New Roman" w:cs="Times New Roman"/>
              </w:rPr>
              <w:t>93.24</w:t>
            </w:r>
          </w:p>
        </w:tc>
        <w:tc>
          <w:tcPr>
            <w:tcW w:w="2507" w:type="dxa"/>
            <w:vAlign w:val="center"/>
            <w:hideMark/>
          </w:tcPr>
          <w:p w14:paraId="28EC390C" w14:textId="77777777" w:rsidR="002152D6" w:rsidRPr="007245B0" w:rsidRDefault="002152D6" w:rsidP="005055EB">
            <w:pPr>
              <w:pStyle w:val="NoSpacing"/>
              <w:jc w:val="center"/>
              <w:rPr>
                <w:rFonts w:ascii="Times New Roman" w:hAnsi="Times New Roman" w:cs="Times New Roman"/>
              </w:rPr>
            </w:pPr>
            <w:r w:rsidRPr="007245B0">
              <w:rPr>
                <w:rFonts w:ascii="Times New Roman" w:hAnsi="Times New Roman" w:cs="Times New Roman"/>
              </w:rPr>
              <w:t>101.97</w:t>
            </w:r>
          </w:p>
        </w:tc>
        <w:tc>
          <w:tcPr>
            <w:tcW w:w="0" w:type="auto"/>
            <w:vAlign w:val="center"/>
            <w:hideMark/>
          </w:tcPr>
          <w:p w14:paraId="095547F2" w14:textId="77777777" w:rsidR="002152D6" w:rsidRPr="007245B0" w:rsidRDefault="002152D6" w:rsidP="005055EB">
            <w:pPr>
              <w:pStyle w:val="NoSpacing"/>
              <w:jc w:val="center"/>
              <w:rPr>
                <w:rFonts w:ascii="Times New Roman" w:hAnsi="Times New Roman" w:cs="Times New Roman"/>
              </w:rPr>
            </w:pPr>
            <w:r w:rsidRPr="007245B0">
              <w:rPr>
                <w:rFonts w:ascii="Times New Roman" w:hAnsi="Times New Roman" w:cs="Times New Roman"/>
              </w:rPr>
              <w:t>195.21</w:t>
            </w:r>
          </w:p>
        </w:tc>
      </w:tr>
      <w:tr w:rsidR="002152D6" w:rsidRPr="007245B0" w14:paraId="018960EC" w14:textId="77777777" w:rsidTr="005055EB">
        <w:trPr>
          <w:trHeight w:val="118"/>
          <w:jc w:val="center"/>
        </w:trPr>
        <w:tc>
          <w:tcPr>
            <w:tcW w:w="1981" w:type="dxa"/>
            <w:hideMark/>
          </w:tcPr>
          <w:p w14:paraId="038A8105" w14:textId="77777777" w:rsidR="002152D6" w:rsidRPr="007245B0" w:rsidRDefault="002152D6" w:rsidP="00B77C0B">
            <w:pPr>
              <w:pStyle w:val="NoSpacing"/>
              <w:rPr>
                <w:rFonts w:ascii="Times New Roman" w:hAnsi="Times New Roman" w:cs="Times New Roman"/>
              </w:rPr>
            </w:pPr>
            <w:r w:rsidRPr="007245B0">
              <w:rPr>
                <w:rFonts w:ascii="Times New Roman" w:hAnsi="Times New Roman" w:cs="Times New Roman"/>
              </w:rPr>
              <w:t>Bihar</w:t>
            </w:r>
          </w:p>
        </w:tc>
        <w:tc>
          <w:tcPr>
            <w:tcW w:w="2844" w:type="dxa"/>
            <w:vAlign w:val="center"/>
            <w:hideMark/>
          </w:tcPr>
          <w:p w14:paraId="7384577C" w14:textId="77777777" w:rsidR="002152D6" w:rsidRPr="007245B0" w:rsidRDefault="002152D6" w:rsidP="005055EB">
            <w:pPr>
              <w:pStyle w:val="NoSpacing"/>
              <w:jc w:val="center"/>
              <w:rPr>
                <w:rFonts w:ascii="Times New Roman" w:hAnsi="Times New Roman" w:cs="Times New Roman"/>
              </w:rPr>
            </w:pPr>
            <w:r w:rsidRPr="007245B0">
              <w:rPr>
                <w:rFonts w:ascii="Times New Roman" w:hAnsi="Times New Roman" w:cs="Times New Roman"/>
              </w:rPr>
              <w:t>197.46</w:t>
            </w:r>
          </w:p>
        </w:tc>
        <w:tc>
          <w:tcPr>
            <w:tcW w:w="2611" w:type="dxa"/>
            <w:vAlign w:val="center"/>
            <w:hideMark/>
          </w:tcPr>
          <w:p w14:paraId="371D1281" w14:textId="77777777" w:rsidR="002152D6" w:rsidRPr="007245B0" w:rsidRDefault="002152D6" w:rsidP="005055EB">
            <w:pPr>
              <w:pStyle w:val="NoSpacing"/>
              <w:jc w:val="center"/>
              <w:rPr>
                <w:rFonts w:ascii="Times New Roman" w:hAnsi="Times New Roman" w:cs="Times New Roman"/>
              </w:rPr>
            </w:pPr>
            <w:r w:rsidRPr="007245B0">
              <w:rPr>
                <w:rFonts w:ascii="Times New Roman" w:hAnsi="Times New Roman" w:cs="Times New Roman"/>
              </w:rPr>
              <w:t>..</w:t>
            </w:r>
          </w:p>
        </w:tc>
        <w:tc>
          <w:tcPr>
            <w:tcW w:w="1176" w:type="dxa"/>
            <w:vAlign w:val="center"/>
            <w:hideMark/>
          </w:tcPr>
          <w:p w14:paraId="715BAC69" w14:textId="77777777" w:rsidR="002152D6" w:rsidRPr="007245B0" w:rsidRDefault="002152D6" w:rsidP="005055EB">
            <w:pPr>
              <w:pStyle w:val="NoSpacing"/>
              <w:jc w:val="center"/>
              <w:rPr>
                <w:rFonts w:ascii="Times New Roman" w:hAnsi="Times New Roman" w:cs="Times New Roman"/>
              </w:rPr>
            </w:pPr>
            <w:r w:rsidRPr="007245B0">
              <w:rPr>
                <w:rFonts w:ascii="Times New Roman" w:hAnsi="Times New Roman" w:cs="Times New Roman"/>
              </w:rPr>
              <w:t>197.46</w:t>
            </w:r>
          </w:p>
        </w:tc>
        <w:tc>
          <w:tcPr>
            <w:tcW w:w="2740" w:type="dxa"/>
            <w:vAlign w:val="center"/>
            <w:hideMark/>
          </w:tcPr>
          <w:p w14:paraId="64F23845" w14:textId="77777777" w:rsidR="002152D6" w:rsidRPr="007245B0" w:rsidRDefault="002152D6" w:rsidP="005055EB">
            <w:pPr>
              <w:pStyle w:val="NoSpacing"/>
              <w:jc w:val="center"/>
              <w:rPr>
                <w:rFonts w:ascii="Times New Roman" w:hAnsi="Times New Roman" w:cs="Times New Roman"/>
              </w:rPr>
            </w:pPr>
            <w:r w:rsidRPr="007245B0">
              <w:rPr>
                <w:rFonts w:ascii="Times New Roman" w:hAnsi="Times New Roman" w:cs="Times New Roman"/>
              </w:rPr>
              <w:t>407.38</w:t>
            </w:r>
          </w:p>
        </w:tc>
        <w:tc>
          <w:tcPr>
            <w:tcW w:w="2507" w:type="dxa"/>
            <w:vAlign w:val="center"/>
            <w:hideMark/>
          </w:tcPr>
          <w:p w14:paraId="3B65A049" w14:textId="77777777" w:rsidR="002152D6" w:rsidRPr="007245B0" w:rsidRDefault="002152D6" w:rsidP="005055EB">
            <w:pPr>
              <w:pStyle w:val="NoSpacing"/>
              <w:jc w:val="center"/>
              <w:rPr>
                <w:rFonts w:ascii="Times New Roman" w:hAnsi="Times New Roman" w:cs="Times New Roman"/>
              </w:rPr>
            </w:pPr>
            <w:r w:rsidRPr="007245B0">
              <w:rPr>
                <w:rFonts w:ascii="Times New Roman" w:hAnsi="Times New Roman" w:cs="Times New Roman"/>
              </w:rPr>
              <w:t>..</w:t>
            </w:r>
          </w:p>
        </w:tc>
        <w:tc>
          <w:tcPr>
            <w:tcW w:w="0" w:type="auto"/>
            <w:vAlign w:val="center"/>
            <w:hideMark/>
          </w:tcPr>
          <w:p w14:paraId="44C2D59A" w14:textId="77777777" w:rsidR="002152D6" w:rsidRPr="007245B0" w:rsidRDefault="002152D6" w:rsidP="005055EB">
            <w:pPr>
              <w:pStyle w:val="NoSpacing"/>
              <w:jc w:val="center"/>
              <w:rPr>
                <w:rFonts w:ascii="Times New Roman" w:hAnsi="Times New Roman" w:cs="Times New Roman"/>
              </w:rPr>
            </w:pPr>
            <w:r w:rsidRPr="007245B0">
              <w:rPr>
                <w:rFonts w:ascii="Times New Roman" w:hAnsi="Times New Roman" w:cs="Times New Roman"/>
              </w:rPr>
              <w:t>407.38</w:t>
            </w:r>
          </w:p>
        </w:tc>
      </w:tr>
      <w:tr w:rsidR="002152D6" w:rsidRPr="007245B0" w14:paraId="56D84041" w14:textId="77777777" w:rsidTr="005055EB">
        <w:trPr>
          <w:trHeight w:val="124"/>
          <w:jc w:val="center"/>
        </w:trPr>
        <w:tc>
          <w:tcPr>
            <w:tcW w:w="1981" w:type="dxa"/>
            <w:hideMark/>
          </w:tcPr>
          <w:p w14:paraId="0E57E766" w14:textId="77777777" w:rsidR="002152D6" w:rsidRPr="007245B0" w:rsidRDefault="002152D6" w:rsidP="00B77C0B">
            <w:pPr>
              <w:pStyle w:val="NoSpacing"/>
              <w:rPr>
                <w:rFonts w:ascii="Times New Roman" w:hAnsi="Times New Roman" w:cs="Times New Roman"/>
              </w:rPr>
            </w:pPr>
            <w:r w:rsidRPr="007245B0">
              <w:rPr>
                <w:rFonts w:ascii="Times New Roman" w:hAnsi="Times New Roman" w:cs="Times New Roman"/>
              </w:rPr>
              <w:t>Gujarat</w:t>
            </w:r>
          </w:p>
        </w:tc>
        <w:tc>
          <w:tcPr>
            <w:tcW w:w="2844" w:type="dxa"/>
            <w:vAlign w:val="center"/>
            <w:hideMark/>
          </w:tcPr>
          <w:p w14:paraId="5D54E73B" w14:textId="77777777" w:rsidR="002152D6" w:rsidRPr="007245B0" w:rsidRDefault="002152D6" w:rsidP="005055EB">
            <w:pPr>
              <w:pStyle w:val="NoSpacing"/>
              <w:jc w:val="center"/>
              <w:rPr>
                <w:rFonts w:ascii="Times New Roman" w:hAnsi="Times New Roman" w:cs="Times New Roman"/>
              </w:rPr>
            </w:pPr>
            <w:r w:rsidRPr="007245B0">
              <w:rPr>
                <w:rFonts w:ascii="Times New Roman" w:hAnsi="Times New Roman" w:cs="Times New Roman"/>
              </w:rPr>
              <w:t>121.55</w:t>
            </w:r>
          </w:p>
        </w:tc>
        <w:tc>
          <w:tcPr>
            <w:tcW w:w="2611" w:type="dxa"/>
            <w:vAlign w:val="center"/>
            <w:hideMark/>
          </w:tcPr>
          <w:p w14:paraId="1D37AA19" w14:textId="77777777" w:rsidR="002152D6" w:rsidRPr="007245B0" w:rsidRDefault="002152D6" w:rsidP="005055EB">
            <w:pPr>
              <w:pStyle w:val="NoSpacing"/>
              <w:jc w:val="center"/>
              <w:rPr>
                <w:rFonts w:ascii="Times New Roman" w:hAnsi="Times New Roman" w:cs="Times New Roman"/>
              </w:rPr>
            </w:pPr>
            <w:r w:rsidRPr="007245B0">
              <w:rPr>
                <w:rFonts w:ascii="Times New Roman" w:hAnsi="Times New Roman" w:cs="Times New Roman"/>
              </w:rPr>
              <w:t>..</w:t>
            </w:r>
          </w:p>
        </w:tc>
        <w:tc>
          <w:tcPr>
            <w:tcW w:w="1176" w:type="dxa"/>
            <w:vAlign w:val="center"/>
            <w:hideMark/>
          </w:tcPr>
          <w:p w14:paraId="7B855333" w14:textId="77777777" w:rsidR="002152D6" w:rsidRPr="007245B0" w:rsidRDefault="002152D6" w:rsidP="005055EB">
            <w:pPr>
              <w:pStyle w:val="NoSpacing"/>
              <w:jc w:val="center"/>
              <w:rPr>
                <w:rFonts w:ascii="Times New Roman" w:hAnsi="Times New Roman" w:cs="Times New Roman"/>
              </w:rPr>
            </w:pPr>
            <w:r w:rsidRPr="007245B0">
              <w:rPr>
                <w:rFonts w:ascii="Times New Roman" w:hAnsi="Times New Roman" w:cs="Times New Roman"/>
              </w:rPr>
              <w:t>121.55</w:t>
            </w:r>
          </w:p>
        </w:tc>
        <w:tc>
          <w:tcPr>
            <w:tcW w:w="2740" w:type="dxa"/>
            <w:vAlign w:val="center"/>
            <w:hideMark/>
          </w:tcPr>
          <w:p w14:paraId="44D5CEBA" w14:textId="77777777" w:rsidR="002152D6" w:rsidRPr="007245B0" w:rsidRDefault="002152D6" w:rsidP="005055EB">
            <w:pPr>
              <w:pStyle w:val="NoSpacing"/>
              <w:jc w:val="center"/>
              <w:rPr>
                <w:rFonts w:ascii="Times New Roman" w:hAnsi="Times New Roman" w:cs="Times New Roman"/>
              </w:rPr>
            </w:pPr>
            <w:r w:rsidRPr="007245B0">
              <w:rPr>
                <w:rFonts w:ascii="Times New Roman" w:hAnsi="Times New Roman" w:cs="Times New Roman"/>
              </w:rPr>
              <w:t>182.75</w:t>
            </w:r>
          </w:p>
        </w:tc>
        <w:tc>
          <w:tcPr>
            <w:tcW w:w="2507" w:type="dxa"/>
            <w:vAlign w:val="center"/>
            <w:hideMark/>
          </w:tcPr>
          <w:p w14:paraId="59689182" w14:textId="77777777" w:rsidR="002152D6" w:rsidRPr="007245B0" w:rsidRDefault="002152D6" w:rsidP="005055EB">
            <w:pPr>
              <w:pStyle w:val="NoSpacing"/>
              <w:jc w:val="center"/>
              <w:rPr>
                <w:rFonts w:ascii="Times New Roman" w:hAnsi="Times New Roman" w:cs="Times New Roman"/>
              </w:rPr>
            </w:pPr>
            <w:r w:rsidRPr="007245B0">
              <w:rPr>
                <w:rFonts w:ascii="Times New Roman" w:hAnsi="Times New Roman" w:cs="Times New Roman"/>
              </w:rPr>
              <w:t>..</w:t>
            </w:r>
          </w:p>
        </w:tc>
        <w:tc>
          <w:tcPr>
            <w:tcW w:w="0" w:type="auto"/>
            <w:vAlign w:val="center"/>
            <w:hideMark/>
          </w:tcPr>
          <w:p w14:paraId="1BA2FD33" w14:textId="77777777" w:rsidR="002152D6" w:rsidRPr="007245B0" w:rsidRDefault="002152D6" w:rsidP="005055EB">
            <w:pPr>
              <w:pStyle w:val="NoSpacing"/>
              <w:jc w:val="center"/>
              <w:rPr>
                <w:rFonts w:ascii="Times New Roman" w:hAnsi="Times New Roman" w:cs="Times New Roman"/>
              </w:rPr>
            </w:pPr>
            <w:r w:rsidRPr="007245B0">
              <w:rPr>
                <w:rFonts w:ascii="Times New Roman" w:hAnsi="Times New Roman" w:cs="Times New Roman"/>
              </w:rPr>
              <w:t>182.75</w:t>
            </w:r>
          </w:p>
        </w:tc>
      </w:tr>
      <w:tr w:rsidR="002152D6" w:rsidRPr="007245B0" w14:paraId="392F3E2B" w14:textId="77777777" w:rsidTr="005055EB">
        <w:trPr>
          <w:trHeight w:val="118"/>
          <w:jc w:val="center"/>
        </w:trPr>
        <w:tc>
          <w:tcPr>
            <w:tcW w:w="1981" w:type="dxa"/>
            <w:hideMark/>
          </w:tcPr>
          <w:p w14:paraId="4125D654" w14:textId="77777777" w:rsidR="002152D6" w:rsidRPr="007245B0" w:rsidRDefault="002152D6" w:rsidP="00B77C0B">
            <w:pPr>
              <w:pStyle w:val="NoSpacing"/>
              <w:rPr>
                <w:rFonts w:ascii="Times New Roman" w:hAnsi="Times New Roman" w:cs="Times New Roman"/>
              </w:rPr>
            </w:pPr>
            <w:r w:rsidRPr="007245B0">
              <w:rPr>
                <w:rFonts w:ascii="Times New Roman" w:hAnsi="Times New Roman" w:cs="Times New Roman"/>
              </w:rPr>
              <w:t>Haryana</w:t>
            </w:r>
          </w:p>
        </w:tc>
        <w:tc>
          <w:tcPr>
            <w:tcW w:w="2844" w:type="dxa"/>
            <w:vAlign w:val="center"/>
            <w:hideMark/>
          </w:tcPr>
          <w:p w14:paraId="639C30C0" w14:textId="77777777" w:rsidR="002152D6" w:rsidRPr="007245B0" w:rsidRDefault="002152D6" w:rsidP="005055EB">
            <w:pPr>
              <w:pStyle w:val="NoSpacing"/>
              <w:jc w:val="center"/>
              <w:rPr>
                <w:rFonts w:ascii="Times New Roman" w:hAnsi="Times New Roman" w:cs="Times New Roman"/>
              </w:rPr>
            </w:pPr>
            <w:r w:rsidRPr="007245B0">
              <w:rPr>
                <w:rFonts w:ascii="Times New Roman" w:hAnsi="Times New Roman" w:cs="Times New Roman"/>
              </w:rPr>
              <w:t>39.19**</w:t>
            </w:r>
          </w:p>
        </w:tc>
        <w:tc>
          <w:tcPr>
            <w:tcW w:w="2611" w:type="dxa"/>
            <w:vAlign w:val="center"/>
            <w:hideMark/>
          </w:tcPr>
          <w:p w14:paraId="7A072697" w14:textId="77777777" w:rsidR="002152D6" w:rsidRPr="007245B0" w:rsidRDefault="002152D6" w:rsidP="005055EB">
            <w:pPr>
              <w:pStyle w:val="NoSpacing"/>
              <w:jc w:val="center"/>
              <w:rPr>
                <w:rFonts w:ascii="Times New Roman" w:hAnsi="Times New Roman" w:cs="Times New Roman"/>
              </w:rPr>
            </w:pPr>
            <w:r w:rsidRPr="007245B0">
              <w:rPr>
                <w:rFonts w:ascii="Times New Roman" w:hAnsi="Times New Roman" w:cs="Times New Roman"/>
              </w:rPr>
              <w:t>..</w:t>
            </w:r>
          </w:p>
        </w:tc>
        <w:tc>
          <w:tcPr>
            <w:tcW w:w="1176" w:type="dxa"/>
            <w:vAlign w:val="center"/>
            <w:hideMark/>
          </w:tcPr>
          <w:p w14:paraId="7F605DD2" w14:textId="1418EA66" w:rsidR="002152D6" w:rsidRPr="007245B0" w:rsidRDefault="002152D6" w:rsidP="005055EB">
            <w:pPr>
              <w:pStyle w:val="NoSpacing"/>
              <w:jc w:val="center"/>
              <w:rPr>
                <w:rFonts w:ascii="Times New Roman" w:hAnsi="Times New Roman" w:cs="Times New Roman"/>
              </w:rPr>
            </w:pPr>
            <w:r w:rsidRPr="007245B0">
              <w:rPr>
                <w:rFonts w:ascii="Times New Roman" w:hAnsi="Times New Roman" w:cs="Times New Roman"/>
              </w:rPr>
              <w:t>39.1</w:t>
            </w:r>
            <w:r w:rsidR="001351DF">
              <w:rPr>
                <w:rFonts w:ascii="Times New Roman" w:hAnsi="Times New Roman" w:cs="Times New Roman"/>
              </w:rPr>
              <w:t>9</w:t>
            </w:r>
          </w:p>
        </w:tc>
        <w:tc>
          <w:tcPr>
            <w:tcW w:w="2740" w:type="dxa"/>
            <w:vAlign w:val="center"/>
            <w:hideMark/>
          </w:tcPr>
          <w:p w14:paraId="2EFC41F1" w14:textId="77777777" w:rsidR="002152D6" w:rsidRPr="007245B0" w:rsidRDefault="002152D6" w:rsidP="005055EB">
            <w:pPr>
              <w:pStyle w:val="NoSpacing"/>
              <w:jc w:val="center"/>
              <w:rPr>
                <w:rFonts w:ascii="Times New Roman" w:hAnsi="Times New Roman" w:cs="Times New Roman"/>
              </w:rPr>
            </w:pPr>
            <w:r w:rsidRPr="007245B0">
              <w:rPr>
                <w:rFonts w:ascii="Times New Roman" w:hAnsi="Times New Roman" w:cs="Times New Roman"/>
              </w:rPr>
              <w:t>59.61</w:t>
            </w:r>
          </w:p>
        </w:tc>
        <w:tc>
          <w:tcPr>
            <w:tcW w:w="2507" w:type="dxa"/>
            <w:vAlign w:val="center"/>
            <w:hideMark/>
          </w:tcPr>
          <w:p w14:paraId="1E7A8FBF" w14:textId="77777777" w:rsidR="002152D6" w:rsidRPr="007245B0" w:rsidRDefault="002152D6" w:rsidP="005055EB">
            <w:pPr>
              <w:pStyle w:val="NoSpacing"/>
              <w:jc w:val="center"/>
              <w:rPr>
                <w:rFonts w:ascii="Times New Roman" w:hAnsi="Times New Roman" w:cs="Times New Roman"/>
              </w:rPr>
            </w:pPr>
            <w:r w:rsidRPr="007245B0">
              <w:rPr>
                <w:rFonts w:ascii="Times New Roman" w:hAnsi="Times New Roman" w:cs="Times New Roman"/>
              </w:rPr>
              <w:t>..</w:t>
            </w:r>
          </w:p>
        </w:tc>
        <w:tc>
          <w:tcPr>
            <w:tcW w:w="0" w:type="auto"/>
            <w:vAlign w:val="center"/>
            <w:hideMark/>
          </w:tcPr>
          <w:p w14:paraId="5EE95A04" w14:textId="77777777" w:rsidR="002152D6" w:rsidRPr="007245B0" w:rsidRDefault="002152D6" w:rsidP="005055EB">
            <w:pPr>
              <w:pStyle w:val="NoSpacing"/>
              <w:jc w:val="center"/>
              <w:rPr>
                <w:rFonts w:ascii="Times New Roman" w:hAnsi="Times New Roman" w:cs="Times New Roman"/>
              </w:rPr>
            </w:pPr>
            <w:r w:rsidRPr="007245B0">
              <w:rPr>
                <w:rFonts w:ascii="Times New Roman" w:hAnsi="Times New Roman" w:cs="Times New Roman"/>
              </w:rPr>
              <w:t>59.61</w:t>
            </w:r>
          </w:p>
        </w:tc>
      </w:tr>
      <w:tr w:rsidR="002152D6" w:rsidRPr="007245B0" w14:paraId="50B58578" w14:textId="77777777" w:rsidTr="005055EB">
        <w:trPr>
          <w:trHeight w:val="247"/>
          <w:jc w:val="center"/>
        </w:trPr>
        <w:tc>
          <w:tcPr>
            <w:tcW w:w="1981" w:type="dxa"/>
            <w:hideMark/>
          </w:tcPr>
          <w:p w14:paraId="6470D4FB" w14:textId="77777777" w:rsidR="002152D6" w:rsidRPr="007245B0" w:rsidRDefault="002152D6" w:rsidP="00B77C0B">
            <w:pPr>
              <w:pStyle w:val="NoSpacing"/>
              <w:rPr>
                <w:rFonts w:ascii="Times New Roman" w:hAnsi="Times New Roman" w:cs="Times New Roman"/>
              </w:rPr>
            </w:pPr>
            <w:r w:rsidRPr="007245B0">
              <w:rPr>
                <w:rFonts w:ascii="Times New Roman" w:hAnsi="Times New Roman" w:cs="Times New Roman"/>
              </w:rPr>
              <w:t>Jammu &amp; Kashmir</w:t>
            </w:r>
          </w:p>
        </w:tc>
        <w:tc>
          <w:tcPr>
            <w:tcW w:w="2844" w:type="dxa"/>
            <w:vAlign w:val="center"/>
            <w:hideMark/>
          </w:tcPr>
          <w:p w14:paraId="57A78776" w14:textId="77777777" w:rsidR="002152D6" w:rsidRPr="007245B0" w:rsidRDefault="002152D6" w:rsidP="005055EB">
            <w:pPr>
              <w:pStyle w:val="NoSpacing"/>
              <w:jc w:val="center"/>
              <w:rPr>
                <w:rFonts w:ascii="Times New Roman" w:hAnsi="Times New Roman" w:cs="Times New Roman"/>
              </w:rPr>
            </w:pPr>
            <w:r w:rsidRPr="007245B0">
              <w:rPr>
                <w:rFonts w:ascii="Times New Roman" w:hAnsi="Times New Roman" w:cs="Times New Roman"/>
              </w:rPr>
              <w:t>33.25</w:t>
            </w:r>
          </w:p>
        </w:tc>
        <w:tc>
          <w:tcPr>
            <w:tcW w:w="2611" w:type="dxa"/>
            <w:vAlign w:val="center"/>
            <w:hideMark/>
          </w:tcPr>
          <w:p w14:paraId="51049162" w14:textId="77777777" w:rsidR="002152D6" w:rsidRPr="007245B0" w:rsidRDefault="002152D6" w:rsidP="005055EB">
            <w:pPr>
              <w:pStyle w:val="NoSpacing"/>
              <w:jc w:val="center"/>
              <w:rPr>
                <w:rFonts w:ascii="Times New Roman" w:hAnsi="Times New Roman" w:cs="Times New Roman"/>
              </w:rPr>
            </w:pPr>
            <w:r w:rsidRPr="007245B0">
              <w:rPr>
                <w:rFonts w:ascii="Times New Roman" w:hAnsi="Times New Roman" w:cs="Times New Roman"/>
              </w:rPr>
              <w:t>32.85</w:t>
            </w:r>
          </w:p>
        </w:tc>
        <w:tc>
          <w:tcPr>
            <w:tcW w:w="1176" w:type="dxa"/>
            <w:vAlign w:val="center"/>
            <w:hideMark/>
          </w:tcPr>
          <w:p w14:paraId="374A3C70" w14:textId="77777777" w:rsidR="002152D6" w:rsidRPr="007245B0" w:rsidRDefault="002152D6" w:rsidP="005055EB">
            <w:pPr>
              <w:pStyle w:val="NoSpacing"/>
              <w:jc w:val="center"/>
              <w:rPr>
                <w:rFonts w:ascii="Times New Roman" w:hAnsi="Times New Roman" w:cs="Times New Roman"/>
              </w:rPr>
            </w:pPr>
            <w:r w:rsidRPr="007245B0">
              <w:rPr>
                <w:rFonts w:ascii="Times New Roman" w:hAnsi="Times New Roman" w:cs="Times New Roman"/>
              </w:rPr>
              <w:t>66.10</w:t>
            </w:r>
          </w:p>
        </w:tc>
        <w:tc>
          <w:tcPr>
            <w:tcW w:w="2740" w:type="dxa"/>
            <w:vAlign w:val="center"/>
            <w:hideMark/>
          </w:tcPr>
          <w:p w14:paraId="35FD5461" w14:textId="77777777" w:rsidR="002152D6" w:rsidRPr="007245B0" w:rsidRDefault="002152D6" w:rsidP="005055EB">
            <w:pPr>
              <w:pStyle w:val="NoSpacing"/>
              <w:jc w:val="center"/>
              <w:rPr>
                <w:rFonts w:ascii="Times New Roman" w:hAnsi="Times New Roman" w:cs="Times New Roman"/>
              </w:rPr>
            </w:pPr>
            <w:r w:rsidRPr="007245B0">
              <w:rPr>
                <w:rFonts w:ascii="Times New Roman" w:hAnsi="Times New Roman" w:cs="Times New Roman"/>
              </w:rPr>
              <w:t>33.16</w:t>
            </w:r>
          </w:p>
        </w:tc>
        <w:tc>
          <w:tcPr>
            <w:tcW w:w="2507" w:type="dxa"/>
            <w:vAlign w:val="center"/>
            <w:hideMark/>
          </w:tcPr>
          <w:p w14:paraId="529ACFD9" w14:textId="77777777" w:rsidR="002152D6" w:rsidRPr="007245B0" w:rsidRDefault="002152D6" w:rsidP="005055EB">
            <w:pPr>
              <w:pStyle w:val="NoSpacing"/>
              <w:jc w:val="center"/>
              <w:rPr>
                <w:rFonts w:ascii="Times New Roman" w:hAnsi="Times New Roman" w:cs="Times New Roman"/>
              </w:rPr>
            </w:pPr>
            <w:r w:rsidRPr="007245B0">
              <w:rPr>
                <w:rFonts w:ascii="Times New Roman" w:hAnsi="Times New Roman" w:cs="Times New Roman"/>
              </w:rPr>
              <w:t>73.68</w:t>
            </w:r>
          </w:p>
        </w:tc>
        <w:tc>
          <w:tcPr>
            <w:tcW w:w="0" w:type="auto"/>
            <w:vAlign w:val="center"/>
            <w:hideMark/>
          </w:tcPr>
          <w:p w14:paraId="1824A408" w14:textId="77777777" w:rsidR="002152D6" w:rsidRPr="007245B0" w:rsidRDefault="002152D6" w:rsidP="005055EB">
            <w:pPr>
              <w:pStyle w:val="NoSpacing"/>
              <w:jc w:val="center"/>
              <w:rPr>
                <w:rFonts w:ascii="Times New Roman" w:hAnsi="Times New Roman" w:cs="Times New Roman"/>
              </w:rPr>
            </w:pPr>
            <w:r w:rsidRPr="007245B0">
              <w:rPr>
                <w:rFonts w:ascii="Times New Roman" w:hAnsi="Times New Roman" w:cs="Times New Roman"/>
              </w:rPr>
              <w:t>106.84</w:t>
            </w:r>
          </w:p>
        </w:tc>
      </w:tr>
      <w:tr w:rsidR="002152D6" w:rsidRPr="007245B0" w14:paraId="4F364623" w14:textId="77777777" w:rsidTr="005055EB">
        <w:trPr>
          <w:trHeight w:val="118"/>
          <w:jc w:val="center"/>
        </w:trPr>
        <w:tc>
          <w:tcPr>
            <w:tcW w:w="1981" w:type="dxa"/>
            <w:hideMark/>
          </w:tcPr>
          <w:p w14:paraId="5ECE4022" w14:textId="77777777" w:rsidR="002152D6" w:rsidRPr="007245B0" w:rsidRDefault="002152D6" w:rsidP="00B77C0B">
            <w:pPr>
              <w:pStyle w:val="NoSpacing"/>
              <w:rPr>
                <w:rFonts w:ascii="Times New Roman" w:hAnsi="Times New Roman" w:cs="Times New Roman"/>
              </w:rPr>
            </w:pPr>
            <w:r w:rsidRPr="007245B0">
              <w:rPr>
                <w:rFonts w:ascii="Times New Roman" w:hAnsi="Times New Roman" w:cs="Times New Roman"/>
              </w:rPr>
              <w:t>Kerala</w:t>
            </w:r>
          </w:p>
        </w:tc>
        <w:tc>
          <w:tcPr>
            <w:tcW w:w="2844" w:type="dxa"/>
            <w:vAlign w:val="center"/>
            <w:hideMark/>
          </w:tcPr>
          <w:p w14:paraId="297F35A4" w14:textId="77777777" w:rsidR="002152D6" w:rsidRPr="007245B0" w:rsidRDefault="002152D6" w:rsidP="005055EB">
            <w:pPr>
              <w:pStyle w:val="NoSpacing"/>
              <w:jc w:val="center"/>
              <w:rPr>
                <w:rFonts w:ascii="Times New Roman" w:hAnsi="Times New Roman" w:cs="Times New Roman"/>
              </w:rPr>
            </w:pPr>
            <w:r w:rsidRPr="007245B0">
              <w:rPr>
                <w:rFonts w:ascii="Times New Roman" w:hAnsi="Times New Roman" w:cs="Times New Roman"/>
              </w:rPr>
              <w:t>84.51</w:t>
            </w:r>
          </w:p>
        </w:tc>
        <w:tc>
          <w:tcPr>
            <w:tcW w:w="2611" w:type="dxa"/>
            <w:vAlign w:val="center"/>
            <w:hideMark/>
          </w:tcPr>
          <w:p w14:paraId="10398D87" w14:textId="77777777" w:rsidR="002152D6" w:rsidRPr="007245B0" w:rsidRDefault="002152D6" w:rsidP="005055EB">
            <w:pPr>
              <w:pStyle w:val="NoSpacing"/>
              <w:jc w:val="center"/>
              <w:rPr>
                <w:rFonts w:ascii="Times New Roman" w:hAnsi="Times New Roman" w:cs="Times New Roman"/>
              </w:rPr>
            </w:pPr>
            <w:r w:rsidRPr="007245B0">
              <w:rPr>
                <w:rFonts w:ascii="Times New Roman" w:hAnsi="Times New Roman" w:cs="Times New Roman"/>
              </w:rPr>
              <w:t>104.10</w:t>
            </w:r>
          </w:p>
        </w:tc>
        <w:tc>
          <w:tcPr>
            <w:tcW w:w="1176" w:type="dxa"/>
            <w:vAlign w:val="center"/>
            <w:hideMark/>
          </w:tcPr>
          <w:p w14:paraId="0AF72952" w14:textId="77777777" w:rsidR="002152D6" w:rsidRPr="007245B0" w:rsidRDefault="002152D6" w:rsidP="005055EB">
            <w:pPr>
              <w:pStyle w:val="NoSpacing"/>
              <w:jc w:val="center"/>
              <w:rPr>
                <w:rFonts w:ascii="Times New Roman" w:hAnsi="Times New Roman" w:cs="Times New Roman"/>
              </w:rPr>
            </w:pPr>
            <w:r w:rsidRPr="007245B0">
              <w:rPr>
                <w:rFonts w:ascii="Times New Roman" w:hAnsi="Times New Roman" w:cs="Times New Roman"/>
              </w:rPr>
              <w:t>188.61</w:t>
            </w:r>
          </w:p>
        </w:tc>
        <w:tc>
          <w:tcPr>
            <w:tcW w:w="2740" w:type="dxa"/>
            <w:vAlign w:val="center"/>
            <w:hideMark/>
          </w:tcPr>
          <w:p w14:paraId="46F8E7E2" w14:textId="77777777" w:rsidR="002152D6" w:rsidRPr="007245B0" w:rsidRDefault="002152D6" w:rsidP="005055EB">
            <w:pPr>
              <w:pStyle w:val="NoSpacing"/>
              <w:jc w:val="center"/>
              <w:rPr>
                <w:rFonts w:ascii="Times New Roman" w:hAnsi="Times New Roman" w:cs="Times New Roman"/>
              </w:rPr>
            </w:pPr>
            <w:r w:rsidRPr="007245B0">
              <w:rPr>
                <w:rFonts w:ascii="Times New Roman" w:hAnsi="Times New Roman" w:cs="Times New Roman"/>
              </w:rPr>
              <w:t>143.78</w:t>
            </w:r>
          </w:p>
        </w:tc>
        <w:tc>
          <w:tcPr>
            <w:tcW w:w="2507" w:type="dxa"/>
            <w:vAlign w:val="center"/>
            <w:hideMark/>
          </w:tcPr>
          <w:p w14:paraId="55E4B2AD" w14:textId="77777777" w:rsidR="002152D6" w:rsidRPr="007245B0" w:rsidRDefault="002152D6" w:rsidP="005055EB">
            <w:pPr>
              <w:pStyle w:val="NoSpacing"/>
              <w:jc w:val="center"/>
              <w:rPr>
                <w:rFonts w:ascii="Times New Roman" w:hAnsi="Times New Roman" w:cs="Times New Roman"/>
              </w:rPr>
            </w:pPr>
            <w:r w:rsidRPr="007245B0">
              <w:rPr>
                <w:rFonts w:ascii="Times New Roman" w:hAnsi="Times New Roman" w:cs="Times New Roman"/>
              </w:rPr>
              <w:t>49.65</w:t>
            </w:r>
          </w:p>
        </w:tc>
        <w:tc>
          <w:tcPr>
            <w:tcW w:w="0" w:type="auto"/>
            <w:vAlign w:val="center"/>
            <w:hideMark/>
          </w:tcPr>
          <w:p w14:paraId="41A76E10" w14:textId="77777777" w:rsidR="002152D6" w:rsidRPr="007245B0" w:rsidRDefault="002152D6" w:rsidP="005055EB">
            <w:pPr>
              <w:pStyle w:val="NoSpacing"/>
              <w:jc w:val="center"/>
              <w:rPr>
                <w:rFonts w:ascii="Times New Roman" w:hAnsi="Times New Roman" w:cs="Times New Roman"/>
              </w:rPr>
            </w:pPr>
            <w:r w:rsidRPr="007245B0">
              <w:rPr>
                <w:rFonts w:ascii="Times New Roman" w:hAnsi="Times New Roman" w:cs="Times New Roman"/>
              </w:rPr>
              <w:t>193.43</w:t>
            </w:r>
          </w:p>
        </w:tc>
      </w:tr>
      <w:tr w:rsidR="002152D6" w:rsidRPr="007245B0" w14:paraId="02F892C6" w14:textId="77777777" w:rsidTr="005055EB">
        <w:trPr>
          <w:trHeight w:val="247"/>
          <w:jc w:val="center"/>
        </w:trPr>
        <w:tc>
          <w:tcPr>
            <w:tcW w:w="1981" w:type="dxa"/>
            <w:hideMark/>
          </w:tcPr>
          <w:p w14:paraId="702D7CE3" w14:textId="77777777" w:rsidR="002152D6" w:rsidRPr="007245B0" w:rsidRDefault="002152D6" w:rsidP="00B77C0B">
            <w:pPr>
              <w:pStyle w:val="NoSpacing"/>
              <w:rPr>
                <w:rFonts w:ascii="Times New Roman" w:hAnsi="Times New Roman" w:cs="Times New Roman"/>
              </w:rPr>
            </w:pPr>
            <w:r w:rsidRPr="007245B0">
              <w:rPr>
                <w:rFonts w:ascii="Times New Roman" w:hAnsi="Times New Roman" w:cs="Times New Roman"/>
              </w:rPr>
              <w:t>Madhya Pradesh</w:t>
            </w:r>
          </w:p>
        </w:tc>
        <w:tc>
          <w:tcPr>
            <w:tcW w:w="2844" w:type="dxa"/>
            <w:vAlign w:val="center"/>
            <w:hideMark/>
          </w:tcPr>
          <w:p w14:paraId="1C1CF7F1" w14:textId="77777777" w:rsidR="002152D6" w:rsidRPr="007245B0" w:rsidRDefault="002152D6" w:rsidP="005055EB">
            <w:pPr>
              <w:pStyle w:val="NoSpacing"/>
              <w:jc w:val="center"/>
              <w:rPr>
                <w:rFonts w:ascii="Times New Roman" w:hAnsi="Times New Roman" w:cs="Times New Roman"/>
              </w:rPr>
            </w:pPr>
            <w:r w:rsidRPr="007245B0">
              <w:rPr>
                <w:rFonts w:ascii="Times New Roman" w:hAnsi="Times New Roman" w:cs="Times New Roman"/>
              </w:rPr>
              <w:t>148.53</w:t>
            </w:r>
          </w:p>
        </w:tc>
        <w:tc>
          <w:tcPr>
            <w:tcW w:w="2611" w:type="dxa"/>
            <w:vAlign w:val="center"/>
            <w:hideMark/>
          </w:tcPr>
          <w:p w14:paraId="1E60AC8C" w14:textId="77777777" w:rsidR="002152D6" w:rsidRPr="007245B0" w:rsidRDefault="002152D6" w:rsidP="005055EB">
            <w:pPr>
              <w:pStyle w:val="NoSpacing"/>
              <w:jc w:val="center"/>
              <w:rPr>
                <w:rFonts w:ascii="Times New Roman" w:hAnsi="Times New Roman" w:cs="Times New Roman"/>
              </w:rPr>
            </w:pPr>
            <w:r w:rsidRPr="007245B0">
              <w:rPr>
                <w:rFonts w:ascii="Times New Roman" w:hAnsi="Times New Roman" w:cs="Times New Roman"/>
              </w:rPr>
              <w:t>13.50</w:t>
            </w:r>
          </w:p>
        </w:tc>
        <w:tc>
          <w:tcPr>
            <w:tcW w:w="1176" w:type="dxa"/>
            <w:vAlign w:val="center"/>
            <w:hideMark/>
          </w:tcPr>
          <w:p w14:paraId="7DC84215" w14:textId="77777777" w:rsidR="002152D6" w:rsidRPr="007245B0" w:rsidRDefault="002152D6" w:rsidP="005055EB">
            <w:pPr>
              <w:pStyle w:val="NoSpacing"/>
              <w:jc w:val="center"/>
              <w:rPr>
                <w:rFonts w:ascii="Times New Roman" w:hAnsi="Times New Roman" w:cs="Times New Roman"/>
              </w:rPr>
            </w:pPr>
            <w:r w:rsidRPr="007245B0">
              <w:rPr>
                <w:rFonts w:ascii="Times New Roman" w:hAnsi="Times New Roman" w:cs="Times New Roman"/>
              </w:rPr>
              <w:t>162.03</w:t>
            </w:r>
          </w:p>
        </w:tc>
        <w:tc>
          <w:tcPr>
            <w:tcW w:w="2740" w:type="dxa"/>
            <w:vAlign w:val="center"/>
            <w:hideMark/>
          </w:tcPr>
          <w:p w14:paraId="069C2DEC" w14:textId="77777777" w:rsidR="002152D6" w:rsidRPr="007245B0" w:rsidRDefault="002152D6" w:rsidP="005055EB">
            <w:pPr>
              <w:pStyle w:val="NoSpacing"/>
              <w:jc w:val="center"/>
              <w:rPr>
                <w:rFonts w:ascii="Times New Roman" w:hAnsi="Times New Roman" w:cs="Times New Roman"/>
              </w:rPr>
            </w:pPr>
            <w:r w:rsidRPr="007245B0">
              <w:rPr>
                <w:rFonts w:ascii="Times New Roman" w:hAnsi="Times New Roman" w:cs="Times New Roman"/>
              </w:rPr>
              <w:t>274.02</w:t>
            </w:r>
          </w:p>
        </w:tc>
        <w:tc>
          <w:tcPr>
            <w:tcW w:w="2507" w:type="dxa"/>
            <w:vAlign w:val="center"/>
            <w:hideMark/>
          </w:tcPr>
          <w:p w14:paraId="309A67D0" w14:textId="77777777" w:rsidR="002152D6" w:rsidRPr="007245B0" w:rsidRDefault="002152D6" w:rsidP="005055EB">
            <w:pPr>
              <w:pStyle w:val="NoSpacing"/>
              <w:jc w:val="center"/>
              <w:rPr>
                <w:rFonts w:ascii="Times New Roman" w:hAnsi="Times New Roman" w:cs="Times New Roman"/>
              </w:rPr>
            </w:pPr>
            <w:r w:rsidRPr="007245B0">
              <w:rPr>
                <w:rFonts w:ascii="Times New Roman" w:hAnsi="Times New Roman" w:cs="Times New Roman"/>
              </w:rPr>
              <w:t>..</w:t>
            </w:r>
          </w:p>
        </w:tc>
        <w:tc>
          <w:tcPr>
            <w:tcW w:w="0" w:type="auto"/>
            <w:vAlign w:val="center"/>
            <w:hideMark/>
          </w:tcPr>
          <w:p w14:paraId="2E8D6F6E" w14:textId="77777777" w:rsidR="002152D6" w:rsidRPr="007245B0" w:rsidRDefault="002152D6" w:rsidP="005055EB">
            <w:pPr>
              <w:pStyle w:val="NoSpacing"/>
              <w:jc w:val="center"/>
              <w:rPr>
                <w:rFonts w:ascii="Times New Roman" w:hAnsi="Times New Roman" w:cs="Times New Roman"/>
              </w:rPr>
            </w:pPr>
            <w:r w:rsidRPr="007245B0">
              <w:rPr>
                <w:rFonts w:ascii="Times New Roman" w:hAnsi="Times New Roman" w:cs="Times New Roman"/>
              </w:rPr>
              <w:t>274.02</w:t>
            </w:r>
          </w:p>
        </w:tc>
      </w:tr>
      <w:tr w:rsidR="002152D6" w:rsidRPr="007245B0" w14:paraId="75113910" w14:textId="77777777" w:rsidTr="005055EB">
        <w:trPr>
          <w:trHeight w:val="118"/>
          <w:jc w:val="center"/>
        </w:trPr>
        <w:tc>
          <w:tcPr>
            <w:tcW w:w="1981" w:type="dxa"/>
            <w:hideMark/>
          </w:tcPr>
          <w:p w14:paraId="1523782B" w14:textId="77777777" w:rsidR="002152D6" w:rsidRPr="007245B0" w:rsidRDefault="002152D6" w:rsidP="00B77C0B">
            <w:pPr>
              <w:pStyle w:val="NoSpacing"/>
              <w:rPr>
                <w:rFonts w:ascii="Times New Roman" w:hAnsi="Times New Roman" w:cs="Times New Roman"/>
              </w:rPr>
            </w:pPr>
            <w:r w:rsidRPr="007245B0">
              <w:rPr>
                <w:rFonts w:ascii="Times New Roman" w:hAnsi="Times New Roman" w:cs="Times New Roman"/>
              </w:rPr>
              <w:t>Maharashtra</w:t>
            </w:r>
          </w:p>
        </w:tc>
        <w:tc>
          <w:tcPr>
            <w:tcW w:w="2844" w:type="dxa"/>
            <w:vAlign w:val="center"/>
            <w:hideMark/>
          </w:tcPr>
          <w:p w14:paraId="0CC5D2FB" w14:textId="77777777" w:rsidR="002152D6" w:rsidRPr="007245B0" w:rsidRDefault="002152D6" w:rsidP="005055EB">
            <w:pPr>
              <w:pStyle w:val="NoSpacing"/>
              <w:jc w:val="center"/>
              <w:rPr>
                <w:rFonts w:ascii="Times New Roman" w:hAnsi="Times New Roman" w:cs="Times New Roman"/>
              </w:rPr>
            </w:pPr>
            <w:r w:rsidRPr="007245B0">
              <w:rPr>
                <w:rFonts w:ascii="Times New Roman" w:hAnsi="Times New Roman" w:cs="Times New Roman"/>
              </w:rPr>
              <w:t>260.38</w:t>
            </w:r>
          </w:p>
        </w:tc>
        <w:tc>
          <w:tcPr>
            <w:tcW w:w="2611" w:type="dxa"/>
            <w:vAlign w:val="center"/>
            <w:hideMark/>
          </w:tcPr>
          <w:p w14:paraId="1C3BAAFF" w14:textId="77777777" w:rsidR="002152D6" w:rsidRPr="007245B0" w:rsidRDefault="002152D6" w:rsidP="005055EB">
            <w:pPr>
              <w:pStyle w:val="NoSpacing"/>
              <w:jc w:val="center"/>
              <w:rPr>
                <w:rFonts w:ascii="Times New Roman" w:hAnsi="Times New Roman" w:cs="Times New Roman"/>
              </w:rPr>
            </w:pPr>
            <w:r w:rsidRPr="007245B0">
              <w:rPr>
                <w:rFonts w:ascii="Times New Roman" w:hAnsi="Times New Roman" w:cs="Times New Roman"/>
              </w:rPr>
              <w:t>..</w:t>
            </w:r>
          </w:p>
        </w:tc>
        <w:tc>
          <w:tcPr>
            <w:tcW w:w="1176" w:type="dxa"/>
            <w:vAlign w:val="center"/>
            <w:hideMark/>
          </w:tcPr>
          <w:p w14:paraId="381BBAE0" w14:textId="77777777" w:rsidR="002152D6" w:rsidRPr="007245B0" w:rsidRDefault="002152D6" w:rsidP="005055EB">
            <w:pPr>
              <w:pStyle w:val="NoSpacing"/>
              <w:jc w:val="center"/>
              <w:rPr>
                <w:rFonts w:ascii="Times New Roman" w:hAnsi="Times New Roman" w:cs="Times New Roman"/>
              </w:rPr>
            </w:pPr>
            <w:r w:rsidRPr="007245B0">
              <w:rPr>
                <w:rFonts w:ascii="Times New Roman" w:hAnsi="Times New Roman" w:cs="Times New Roman"/>
              </w:rPr>
              <w:t>260.38</w:t>
            </w:r>
          </w:p>
        </w:tc>
        <w:tc>
          <w:tcPr>
            <w:tcW w:w="2740" w:type="dxa"/>
            <w:vAlign w:val="center"/>
            <w:hideMark/>
          </w:tcPr>
          <w:p w14:paraId="1ADCECBB" w14:textId="77777777" w:rsidR="002152D6" w:rsidRPr="007245B0" w:rsidRDefault="002152D6" w:rsidP="005055EB">
            <w:pPr>
              <w:pStyle w:val="NoSpacing"/>
              <w:jc w:val="center"/>
              <w:rPr>
                <w:rFonts w:ascii="Times New Roman" w:hAnsi="Times New Roman" w:cs="Times New Roman"/>
              </w:rPr>
            </w:pPr>
            <w:r w:rsidRPr="007245B0">
              <w:rPr>
                <w:rFonts w:ascii="Times New Roman" w:hAnsi="Times New Roman" w:cs="Times New Roman"/>
              </w:rPr>
              <w:t>383.66</w:t>
            </w:r>
          </w:p>
        </w:tc>
        <w:tc>
          <w:tcPr>
            <w:tcW w:w="2507" w:type="dxa"/>
            <w:vAlign w:val="center"/>
            <w:hideMark/>
          </w:tcPr>
          <w:p w14:paraId="2872951B" w14:textId="77777777" w:rsidR="002152D6" w:rsidRPr="007245B0" w:rsidRDefault="002152D6" w:rsidP="005055EB">
            <w:pPr>
              <w:pStyle w:val="NoSpacing"/>
              <w:jc w:val="center"/>
              <w:rPr>
                <w:rFonts w:ascii="Times New Roman" w:hAnsi="Times New Roman" w:cs="Times New Roman"/>
              </w:rPr>
            </w:pPr>
            <w:r w:rsidRPr="007245B0">
              <w:rPr>
                <w:rFonts w:ascii="Times New Roman" w:hAnsi="Times New Roman" w:cs="Times New Roman"/>
              </w:rPr>
              <w:t>..</w:t>
            </w:r>
          </w:p>
        </w:tc>
        <w:tc>
          <w:tcPr>
            <w:tcW w:w="0" w:type="auto"/>
            <w:vAlign w:val="center"/>
            <w:hideMark/>
          </w:tcPr>
          <w:p w14:paraId="4ECEF81C" w14:textId="77777777" w:rsidR="002152D6" w:rsidRPr="007245B0" w:rsidRDefault="002152D6" w:rsidP="005055EB">
            <w:pPr>
              <w:pStyle w:val="NoSpacing"/>
              <w:jc w:val="center"/>
              <w:rPr>
                <w:rFonts w:ascii="Times New Roman" w:hAnsi="Times New Roman" w:cs="Times New Roman"/>
              </w:rPr>
            </w:pPr>
            <w:r w:rsidRPr="007245B0">
              <w:rPr>
                <w:rFonts w:ascii="Times New Roman" w:hAnsi="Times New Roman" w:cs="Times New Roman"/>
              </w:rPr>
              <w:t>383.66</w:t>
            </w:r>
          </w:p>
        </w:tc>
      </w:tr>
      <w:tr w:rsidR="002152D6" w:rsidRPr="007245B0" w14:paraId="22993FDC" w14:textId="77777777" w:rsidTr="005055EB">
        <w:trPr>
          <w:trHeight w:val="118"/>
          <w:jc w:val="center"/>
        </w:trPr>
        <w:tc>
          <w:tcPr>
            <w:tcW w:w="1981" w:type="dxa"/>
            <w:hideMark/>
          </w:tcPr>
          <w:p w14:paraId="30C7146C" w14:textId="77777777" w:rsidR="002152D6" w:rsidRPr="007245B0" w:rsidRDefault="002152D6" w:rsidP="00B77C0B">
            <w:pPr>
              <w:pStyle w:val="NoSpacing"/>
              <w:rPr>
                <w:rFonts w:ascii="Times New Roman" w:hAnsi="Times New Roman" w:cs="Times New Roman"/>
              </w:rPr>
            </w:pPr>
            <w:r w:rsidRPr="007245B0">
              <w:rPr>
                <w:rFonts w:ascii="Times New Roman" w:hAnsi="Times New Roman" w:cs="Times New Roman"/>
              </w:rPr>
              <w:t>Mysore</w:t>
            </w:r>
          </w:p>
        </w:tc>
        <w:tc>
          <w:tcPr>
            <w:tcW w:w="2844" w:type="dxa"/>
            <w:vAlign w:val="center"/>
            <w:hideMark/>
          </w:tcPr>
          <w:p w14:paraId="60674594" w14:textId="77777777" w:rsidR="002152D6" w:rsidRPr="007245B0" w:rsidRDefault="002152D6" w:rsidP="005055EB">
            <w:pPr>
              <w:pStyle w:val="NoSpacing"/>
              <w:jc w:val="center"/>
              <w:rPr>
                <w:rFonts w:ascii="Times New Roman" w:hAnsi="Times New Roman" w:cs="Times New Roman"/>
              </w:rPr>
            </w:pPr>
            <w:r w:rsidRPr="007245B0">
              <w:rPr>
                <w:rFonts w:ascii="Times New Roman" w:hAnsi="Times New Roman" w:cs="Times New Roman"/>
              </w:rPr>
              <w:t>111.32</w:t>
            </w:r>
          </w:p>
        </w:tc>
        <w:tc>
          <w:tcPr>
            <w:tcW w:w="2611" w:type="dxa"/>
            <w:vAlign w:val="center"/>
            <w:hideMark/>
          </w:tcPr>
          <w:p w14:paraId="74E53081" w14:textId="77777777" w:rsidR="002152D6" w:rsidRPr="007245B0" w:rsidRDefault="002152D6" w:rsidP="005055EB">
            <w:pPr>
              <w:pStyle w:val="NoSpacing"/>
              <w:jc w:val="center"/>
              <w:rPr>
                <w:rFonts w:ascii="Times New Roman" w:hAnsi="Times New Roman" w:cs="Times New Roman"/>
              </w:rPr>
            </w:pPr>
            <w:r w:rsidRPr="007245B0">
              <w:rPr>
                <w:rFonts w:ascii="Times New Roman" w:hAnsi="Times New Roman" w:cs="Times New Roman"/>
              </w:rPr>
              <w:t>104.10</w:t>
            </w:r>
          </w:p>
        </w:tc>
        <w:tc>
          <w:tcPr>
            <w:tcW w:w="1176" w:type="dxa"/>
            <w:vAlign w:val="center"/>
            <w:hideMark/>
          </w:tcPr>
          <w:p w14:paraId="1782BABA" w14:textId="77777777" w:rsidR="002152D6" w:rsidRPr="007245B0" w:rsidRDefault="002152D6" w:rsidP="005055EB">
            <w:pPr>
              <w:pStyle w:val="NoSpacing"/>
              <w:jc w:val="center"/>
              <w:rPr>
                <w:rFonts w:ascii="Times New Roman" w:hAnsi="Times New Roman" w:cs="Times New Roman"/>
              </w:rPr>
            </w:pPr>
            <w:r w:rsidRPr="007245B0">
              <w:rPr>
                <w:rFonts w:ascii="Times New Roman" w:hAnsi="Times New Roman" w:cs="Times New Roman"/>
              </w:rPr>
              <w:t>215.42</w:t>
            </w:r>
          </w:p>
        </w:tc>
        <w:tc>
          <w:tcPr>
            <w:tcW w:w="2740" w:type="dxa"/>
            <w:vAlign w:val="center"/>
            <w:hideMark/>
          </w:tcPr>
          <w:p w14:paraId="0D4240C6" w14:textId="77777777" w:rsidR="002152D6" w:rsidRPr="007245B0" w:rsidRDefault="002152D6" w:rsidP="005055EB">
            <w:pPr>
              <w:pStyle w:val="NoSpacing"/>
              <w:jc w:val="center"/>
              <w:rPr>
                <w:rFonts w:ascii="Times New Roman" w:hAnsi="Times New Roman" w:cs="Times New Roman"/>
              </w:rPr>
            </w:pPr>
            <w:r w:rsidRPr="007245B0">
              <w:rPr>
                <w:rFonts w:ascii="Times New Roman" w:hAnsi="Times New Roman" w:cs="Times New Roman"/>
              </w:rPr>
              <w:t>179.43</w:t>
            </w:r>
          </w:p>
        </w:tc>
        <w:tc>
          <w:tcPr>
            <w:tcW w:w="2507" w:type="dxa"/>
            <w:vAlign w:val="center"/>
            <w:hideMark/>
          </w:tcPr>
          <w:p w14:paraId="41BB9F2E" w14:textId="77777777" w:rsidR="002152D6" w:rsidRPr="007245B0" w:rsidRDefault="002152D6" w:rsidP="005055EB">
            <w:pPr>
              <w:pStyle w:val="NoSpacing"/>
              <w:jc w:val="center"/>
              <w:rPr>
                <w:rFonts w:ascii="Times New Roman" w:hAnsi="Times New Roman" w:cs="Times New Roman"/>
              </w:rPr>
            </w:pPr>
            <w:r w:rsidRPr="007245B0">
              <w:rPr>
                <w:rFonts w:ascii="Times New Roman" w:hAnsi="Times New Roman" w:cs="Times New Roman"/>
              </w:rPr>
              <w:t>17.99</w:t>
            </w:r>
          </w:p>
        </w:tc>
        <w:tc>
          <w:tcPr>
            <w:tcW w:w="0" w:type="auto"/>
            <w:vAlign w:val="center"/>
            <w:hideMark/>
          </w:tcPr>
          <w:p w14:paraId="55D68AD7" w14:textId="77777777" w:rsidR="002152D6" w:rsidRPr="007245B0" w:rsidRDefault="002152D6" w:rsidP="005055EB">
            <w:pPr>
              <w:pStyle w:val="NoSpacing"/>
              <w:jc w:val="center"/>
              <w:rPr>
                <w:rFonts w:ascii="Times New Roman" w:hAnsi="Times New Roman" w:cs="Times New Roman"/>
              </w:rPr>
            </w:pPr>
            <w:r w:rsidRPr="007245B0">
              <w:rPr>
                <w:rFonts w:ascii="Times New Roman" w:hAnsi="Times New Roman" w:cs="Times New Roman"/>
              </w:rPr>
              <w:t>197.42</w:t>
            </w:r>
          </w:p>
        </w:tc>
      </w:tr>
      <w:tr w:rsidR="002152D6" w:rsidRPr="007245B0" w14:paraId="730D5979" w14:textId="77777777" w:rsidTr="005055EB">
        <w:trPr>
          <w:trHeight w:val="118"/>
          <w:jc w:val="center"/>
        </w:trPr>
        <w:tc>
          <w:tcPr>
            <w:tcW w:w="1981" w:type="dxa"/>
            <w:hideMark/>
          </w:tcPr>
          <w:p w14:paraId="6C33A805" w14:textId="77777777" w:rsidR="002152D6" w:rsidRPr="007245B0" w:rsidRDefault="002152D6" w:rsidP="00B77C0B">
            <w:pPr>
              <w:pStyle w:val="NoSpacing"/>
              <w:rPr>
                <w:rFonts w:ascii="Times New Roman" w:hAnsi="Times New Roman" w:cs="Times New Roman"/>
              </w:rPr>
            </w:pPr>
            <w:r w:rsidRPr="007245B0">
              <w:rPr>
                <w:rFonts w:ascii="Times New Roman" w:hAnsi="Times New Roman" w:cs="Times New Roman"/>
              </w:rPr>
              <w:t>Nagaland</w:t>
            </w:r>
          </w:p>
        </w:tc>
        <w:tc>
          <w:tcPr>
            <w:tcW w:w="2844" w:type="dxa"/>
            <w:vAlign w:val="center"/>
            <w:hideMark/>
          </w:tcPr>
          <w:p w14:paraId="14C1C480" w14:textId="77777777" w:rsidR="002152D6" w:rsidRPr="007245B0" w:rsidRDefault="002152D6" w:rsidP="005055EB">
            <w:pPr>
              <w:pStyle w:val="NoSpacing"/>
              <w:jc w:val="center"/>
              <w:rPr>
                <w:rFonts w:ascii="Times New Roman" w:hAnsi="Times New Roman" w:cs="Times New Roman"/>
              </w:rPr>
            </w:pPr>
            <w:r w:rsidRPr="007245B0">
              <w:rPr>
                <w:rFonts w:ascii="Times New Roman" w:hAnsi="Times New Roman" w:cs="Times New Roman"/>
              </w:rPr>
              <w:t>23.11</w:t>
            </w:r>
          </w:p>
        </w:tc>
        <w:tc>
          <w:tcPr>
            <w:tcW w:w="2611" w:type="dxa"/>
            <w:vAlign w:val="center"/>
            <w:hideMark/>
          </w:tcPr>
          <w:p w14:paraId="689C1F90" w14:textId="77777777" w:rsidR="002152D6" w:rsidRPr="007245B0" w:rsidRDefault="002152D6" w:rsidP="005055EB">
            <w:pPr>
              <w:pStyle w:val="NoSpacing"/>
              <w:jc w:val="center"/>
              <w:rPr>
                <w:rFonts w:ascii="Times New Roman" w:hAnsi="Times New Roman" w:cs="Times New Roman"/>
              </w:rPr>
            </w:pPr>
            <w:r w:rsidRPr="007245B0">
              <w:rPr>
                <w:rFonts w:ascii="Times New Roman" w:hAnsi="Times New Roman" w:cs="Times New Roman"/>
              </w:rPr>
              <w:t>35.35</w:t>
            </w:r>
          </w:p>
        </w:tc>
        <w:tc>
          <w:tcPr>
            <w:tcW w:w="1176" w:type="dxa"/>
            <w:vAlign w:val="center"/>
            <w:hideMark/>
          </w:tcPr>
          <w:p w14:paraId="4873D8F0" w14:textId="77777777" w:rsidR="002152D6" w:rsidRPr="007245B0" w:rsidRDefault="002152D6" w:rsidP="005055EB">
            <w:pPr>
              <w:pStyle w:val="NoSpacing"/>
              <w:jc w:val="center"/>
              <w:rPr>
                <w:rFonts w:ascii="Times New Roman" w:hAnsi="Times New Roman" w:cs="Times New Roman"/>
              </w:rPr>
            </w:pPr>
            <w:r w:rsidRPr="007245B0">
              <w:rPr>
                <w:rFonts w:ascii="Times New Roman" w:hAnsi="Times New Roman" w:cs="Times New Roman"/>
              </w:rPr>
              <w:t>58.46</w:t>
            </w:r>
          </w:p>
        </w:tc>
        <w:tc>
          <w:tcPr>
            <w:tcW w:w="2740" w:type="dxa"/>
            <w:vAlign w:val="center"/>
            <w:hideMark/>
          </w:tcPr>
          <w:p w14:paraId="1F56522C" w14:textId="77777777" w:rsidR="002152D6" w:rsidRPr="007245B0" w:rsidRDefault="002152D6" w:rsidP="005055EB">
            <w:pPr>
              <w:pStyle w:val="NoSpacing"/>
              <w:jc w:val="center"/>
              <w:rPr>
                <w:rFonts w:ascii="Times New Roman" w:hAnsi="Times New Roman" w:cs="Times New Roman"/>
              </w:rPr>
            </w:pPr>
            <w:r w:rsidRPr="007245B0">
              <w:rPr>
                <w:rFonts w:ascii="Times New Roman" w:hAnsi="Times New Roman" w:cs="Times New Roman"/>
              </w:rPr>
              <w:t>2.77</w:t>
            </w:r>
          </w:p>
        </w:tc>
        <w:tc>
          <w:tcPr>
            <w:tcW w:w="2507" w:type="dxa"/>
            <w:vAlign w:val="center"/>
            <w:hideMark/>
          </w:tcPr>
          <w:p w14:paraId="4D9B1370" w14:textId="77777777" w:rsidR="002152D6" w:rsidRPr="007245B0" w:rsidRDefault="002152D6" w:rsidP="005055EB">
            <w:pPr>
              <w:pStyle w:val="NoSpacing"/>
              <w:jc w:val="center"/>
              <w:rPr>
                <w:rFonts w:ascii="Times New Roman" w:hAnsi="Times New Roman" w:cs="Times New Roman"/>
              </w:rPr>
            </w:pPr>
            <w:r w:rsidRPr="007245B0">
              <w:rPr>
                <w:rFonts w:ascii="Times New Roman" w:hAnsi="Times New Roman" w:cs="Times New Roman"/>
              </w:rPr>
              <w:t>77.95</w:t>
            </w:r>
          </w:p>
        </w:tc>
        <w:tc>
          <w:tcPr>
            <w:tcW w:w="0" w:type="auto"/>
            <w:vAlign w:val="center"/>
            <w:hideMark/>
          </w:tcPr>
          <w:p w14:paraId="51458508" w14:textId="77777777" w:rsidR="002152D6" w:rsidRPr="007245B0" w:rsidRDefault="002152D6" w:rsidP="005055EB">
            <w:pPr>
              <w:pStyle w:val="NoSpacing"/>
              <w:jc w:val="center"/>
              <w:rPr>
                <w:rFonts w:ascii="Times New Roman" w:hAnsi="Times New Roman" w:cs="Times New Roman"/>
              </w:rPr>
            </w:pPr>
            <w:r w:rsidRPr="007245B0">
              <w:rPr>
                <w:rFonts w:ascii="Times New Roman" w:hAnsi="Times New Roman" w:cs="Times New Roman"/>
              </w:rPr>
              <w:t>80.72</w:t>
            </w:r>
          </w:p>
        </w:tc>
      </w:tr>
      <w:tr w:rsidR="002152D6" w:rsidRPr="007245B0" w14:paraId="15C973A9" w14:textId="77777777" w:rsidTr="005055EB">
        <w:trPr>
          <w:trHeight w:val="118"/>
          <w:jc w:val="center"/>
        </w:trPr>
        <w:tc>
          <w:tcPr>
            <w:tcW w:w="1981" w:type="dxa"/>
            <w:hideMark/>
          </w:tcPr>
          <w:p w14:paraId="622E616E" w14:textId="77777777" w:rsidR="002152D6" w:rsidRPr="007245B0" w:rsidRDefault="002152D6" w:rsidP="00B77C0B">
            <w:pPr>
              <w:pStyle w:val="NoSpacing"/>
              <w:rPr>
                <w:rFonts w:ascii="Times New Roman" w:hAnsi="Times New Roman" w:cs="Times New Roman"/>
              </w:rPr>
            </w:pPr>
            <w:r w:rsidRPr="007245B0">
              <w:rPr>
                <w:rFonts w:ascii="Times New Roman" w:hAnsi="Times New Roman" w:cs="Times New Roman"/>
              </w:rPr>
              <w:t>Orissa</w:t>
            </w:r>
          </w:p>
        </w:tc>
        <w:tc>
          <w:tcPr>
            <w:tcW w:w="2844" w:type="dxa"/>
            <w:vAlign w:val="center"/>
            <w:hideMark/>
          </w:tcPr>
          <w:p w14:paraId="285C9726" w14:textId="77777777" w:rsidR="002152D6" w:rsidRPr="007245B0" w:rsidRDefault="002152D6" w:rsidP="005055EB">
            <w:pPr>
              <w:pStyle w:val="NoSpacing"/>
              <w:jc w:val="center"/>
              <w:rPr>
                <w:rFonts w:ascii="Times New Roman" w:hAnsi="Times New Roman" w:cs="Times New Roman"/>
              </w:rPr>
            </w:pPr>
            <w:r w:rsidRPr="007245B0">
              <w:rPr>
                <w:rFonts w:ascii="Times New Roman" w:hAnsi="Times New Roman" w:cs="Times New Roman"/>
              </w:rPr>
              <w:t>85.95</w:t>
            </w:r>
          </w:p>
        </w:tc>
        <w:tc>
          <w:tcPr>
            <w:tcW w:w="2611" w:type="dxa"/>
            <w:vAlign w:val="center"/>
            <w:hideMark/>
          </w:tcPr>
          <w:p w14:paraId="031F4CA6" w14:textId="77777777" w:rsidR="002152D6" w:rsidRPr="007245B0" w:rsidRDefault="002152D6" w:rsidP="005055EB">
            <w:pPr>
              <w:pStyle w:val="NoSpacing"/>
              <w:jc w:val="center"/>
              <w:rPr>
                <w:rFonts w:ascii="Times New Roman" w:hAnsi="Times New Roman" w:cs="Times New Roman"/>
              </w:rPr>
            </w:pPr>
            <w:r w:rsidRPr="007245B0">
              <w:rPr>
                <w:rFonts w:ascii="Times New Roman" w:hAnsi="Times New Roman" w:cs="Times New Roman"/>
              </w:rPr>
              <w:t>145.90</w:t>
            </w:r>
          </w:p>
        </w:tc>
        <w:tc>
          <w:tcPr>
            <w:tcW w:w="1176" w:type="dxa"/>
            <w:vAlign w:val="center"/>
            <w:hideMark/>
          </w:tcPr>
          <w:p w14:paraId="62CC267D" w14:textId="77777777" w:rsidR="002152D6" w:rsidRPr="007245B0" w:rsidRDefault="002152D6" w:rsidP="005055EB">
            <w:pPr>
              <w:pStyle w:val="NoSpacing"/>
              <w:jc w:val="center"/>
              <w:rPr>
                <w:rFonts w:ascii="Times New Roman" w:hAnsi="Times New Roman" w:cs="Times New Roman"/>
              </w:rPr>
            </w:pPr>
            <w:r w:rsidRPr="007245B0">
              <w:rPr>
                <w:rFonts w:ascii="Times New Roman" w:hAnsi="Times New Roman" w:cs="Times New Roman"/>
              </w:rPr>
              <w:t>231.85</w:t>
            </w:r>
          </w:p>
        </w:tc>
        <w:tc>
          <w:tcPr>
            <w:tcW w:w="2740" w:type="dxa"/>
            <w:vAlign w:val="center"/>
            <w:hideMark/>
          </w:tcPr>
          <w:p w14:paraId="4CED6D5E" w14:textId="77777777" w:rsidR="002152D6" w:rsidRPr="007245B0" w:rsidRDefault="002152D6" w:rsidP="005055EB">
            <w:pPr>
              <w:pStyle w:val="NoSpacing"/>
              <w:jc w:val="center"/>
              <w:rPr>
                <w:rFonts w:ascii="Times New Roman" w:hAnsi="Times New Roman" w:cs="Times New Roman"/>
              </w:rPr>
            </w:pPr>
            <w:r w:rsidRPr="007245B0">
              <w:rPr>
                <w:rFonts w:ascii="Times New Roman" w:hAnsi="Times New Roman" w:cs="Times New Roman"/>
              </w:rPr>
              <w:t>146.01</w:t>
            </w:r>
          </w:p>
        </w:tc>
        <w:tc>
          <w:tcPr>
            <w:tcW w:w="2507" w:type="dxa"/>
            <w:vAlign w:val="center"/>
            <w:hideMark/>
          </w:tcPr>
          <w:p w14:paraId="4B898577" w14:textId="77777777" w:rsidR="002152D6" w:rsidRPr="007245B0" w:rsidRDefault="002152D6" w:rsidP="005055EB">
            <w:pPr>
              <w:pStyle w:val="NoSpacing"/>
              <w:jc w:val="center"/>
              <w:rPr>
                <w:rFonts w:ascii="Times New Roman" w:hAnsi="Times New Roman" w:cs="Times New Roman"/>
              </w:rPr>
            </w:pPr>
            <w:r w:rsidRPr="007245B0">
              <w:rPr>
                <w:rFonts w:ascii="Times New Roman" w:hAnsi="Times New Roman" w:cs="Times New Roman"/>
              </w:rPr>
              <w:t>104.67</w:t>
            </w:r>
          </w:p>
        </w:tc>
        <w:tc>
          <w:tcPr>
            <w:tcW w:w="0" w:type="auto"/>
            <w:vAlign w:val="center"/>
            <w:hideMark/>
          </w:tcPr>
          <w:p w14:paraId="75D209A8" w14:textId="77777777" w:rsidR="002152D6" w:rsidRPr="007245B0" w:rsidRDefault="002152D6" w:rsidP="005055EB">
            <w:pPr>
              <w:pStyle w:val="NoSpacing"/>
              <w:jc w:val="center"/>
              <w:rPr>
                <w:rFonts w:ascii="Times New Roman" w:hAnsi="Times New Roman" w:cs="Times New Roman"/>
              </w:rPr>
            </w:pPr>
            <w:r w:rsidRPr="007245B0">
              <w:rPr>
                <w:rFonts w:ascii="Times New Roman" w:hAnsi="Times New Roman" w:cs="Times New Roman"/>
              </w:rPr>
              <w:t>250.68</w:t>
            </w:r>
          </w:p>
        </w:tc>
      </w:tr>
      <w:tr w:rsidR="002152D6" w:rsidRPr="007245B0" w14:paraId="0C84662A" w14:textId="77777777" w:rsidTr="005055EB">
        <w:trPr>
          <w:trHeight w:val="118"/>
          <w:jc w:val="center"/>
        </w:trPr>
        <w:tc>
          <w:tcPr>
            <w:tcW w:w="1981" w:type="dxa"/>
            <w:hideMark/>
          </w:tcPr>
          <w:p w14:paraId="6C66D729" w14:textId="77777777" w:rsidR="002152D6" w:rsidRPr="007245B0" w:rsidRDefault="002152D6" w:rsidP="00B77C0B">
            <w:pPr>
              <w:pStyle w:val="NoSpacing"/>
              <w:rPr>
                <w:rFonts w:ascii="Times New Roman" w:hAnsi="Times New Roman" w:cs="Times New Roman"/>
              </w:rPr>
            </w:pPr>
            <w:r w:rsidRPr="007245B0">
              <w:rPr>
                <w:rFonts w:ascii="Times New Roman" w:hAnsi="Times New Roman" w:cs="Times New Roman"/>
              </w:rPr>
              <w:t>Punjab</w:t>
            </w:r>
          </w:p>
        </w:tc>
        <w:tc>
          <w:tcPr>
            <w:tcW w:w="2844" w:type="dxa"/>
            <w:vAlign w:val="center"/>
            <w:hideMark/>
          </w:tcPr>
          <w:p w14:paraId="405925A6" w14:textId="77777777" w:rsidR="002152D6" w:rsidRPr="007245B0" w:rsidRDefault="002152D6" w:rsidP="005055EB">
            <w:pPr>
              <w:pStyle w:val="NoSpacing"/>
              <w:jc w:val="center"/>
              <w:rPr>
                <w:rFonts w:ascii="Times New Roman" w:hAnsi="Times New Roman" w:cs="Times New Roman"/>
              </w:rPr>
            </w:pPr>
            <w:r w:rsidRPr="007245B0">
              <w:rPr>
                <w:rFonts w:ascii="Times New Roman" w:hAnsi="Times New Roman" w:cs="Times New Roman"/>
              </w:rPr>
              <w:t>57.51**</w:t>
            </w:r>
          </w:p>
        </w:tc>
        <w:tc>
          <w:tcPr>
            <w:tcW w:w="2611" w:type="dxa"/>
            <w:vAlign w:val="center"/>
            <w:hideMark/>
          </w:tcPr>
          <w:p w14:paraId="37061E8E" w14:textId="77777777" w:rsidR="002152D6" w:rsidRPr="007245B0" w:rsidRDefault="002152D6" w:rsidP="005055EB">
            <w:pPr>
              <w:pStyle w:val="NoSpacing"/>
              <w:jc w:val="center"/>
              <w:rPr>
                <w:rFonts w:ascii="Times New Roman" w:hAnsi="Times New Roman" w:cs="Times New Roman"/>
              </w:rPr>
            </w:pPr>
            <w:r w:rsidRPr="007245B0">
              <w:rPr>
                <w:rFonts w:ascii="Times New Roman" w:hAnsi="Times New Roman" w:cs="Times New Roman"/>
              </w:rPr>
              <w:t>..</w:t>
            </w:r>
          </w:p>
        </w:tc>
        <w:tc>
          <w:tcPr>
            <w:tcW w:w="1176" w:type="dxa"/>
            <w:vAlign w:val="center"/>
            <w:hideMark/>
          </w:tcPr>
          <w:p w14:paraId="00CF11D8" w14:textId="616F51C3" w:rsidR="002152D6" w:rsidRPr="007245B0" w:rsidRDefault="002152D6" w:rsidP="005055EB">
            <w:pPr>
              <w:pStyle w:val="NoSpacing"/>
              <w:jc w:val="center"/>
              <w:rPr>
                <w:rFonts w:ascii="Times New Roman" w:hAnsi="Times New Roman" w:cs="Times New Roman"/>
              </w:rPr>
            </w:pPr>
            <w:r w:rsidRPr="007245B0">
              <w:rPr>
                <w:rFonts w:ascii="Times New Roman" w:hAnsi="Times New Roman" w:cs="Times New Roman"/>
              </w:rPr>
              <w:t>57.51</w:t>
            </w:r>
          </w:p>
        </w:tc>
        <w:tc>
          <w:tcPr>
            <w:tcW w:w="2740" w:type="dxa"/>
            <w:vAlign w:val="center"/>
            <w:hideMark/>
          </w:tcPr>
          <w:p w14:paraId="22EC404C" w14:textId="77777777" w:rsidR="002152D6" w:rsidRPr="007245B0" w:rsidRDefault="002152D6" w:rsidP="005055EB">
            <w:pPr>
              <w:pStyle w:val="NoSpacing"/>
              <w:jc w:val="center"/>
              <w:rPr>
                <w:rFonts w:ascii="Times New Roman" w:hAnsi="Times New Roman" w:cs="Times New Roman"/>
              </w:rPr>
            </w:pPr>
            <w:r w:rsidRPr="007245B0">
              <w:rPr>
                <w:rFonts w:ascii="Times New Roman" w:hAnsi="Times New Roman" w:cs="Times New Roman"/>
              </w:rPr>
              <w:t>89.16</w:t>
            </w:r>
          </w:p>
        </w:tc>
        <w:tc>
          <w:tcPr>
            <w:tcW w:w="2507" w:type="dxa"/>
            <w:vAlign w:val="center"/>
            <w:hideMark/>
          </w:tcPr>
          <w:p w14:paraId="5C6B5942" w14:textId="77777777" w:rsidR="002152D6" w:rsidRPr="007245B0" w:rsidRDefault="002152D6" w:rsidP="005055EB">
            <w:pPr>
              <w:pStyle w:val="NoSpacing"/>
              <w:jc w:val="center"/>
              <w:rPr>
                <w:rFonts w:ascii="Times New Roman" w:hAnsi="Times New Roman" w:cs="Times New Roman"/>
              </w:rPr>
            </w:pPr>
            <w:r w:rsidRPr="007245B0">
              <w:rPr>
                <w:rFonts w:ascii="Times New Roman" w:hAnsi="Times New Roman" w:cs="Times New Roman"/>
              </w:rPr>
              <w:t>..</w:t>
            </w:r>
          </w:p>
        </w:tc>
        <w:tc>
          <w:tcPr>
            <w:tcW w:w="0" w:type="auto"/>
            <w:vAlign w:val="center"/>
            <w:hideMark/>
          </w:tcPr>
          <w:p w14:paraId="1D4C206B" w14:textId="77777777" w:rsidR="002152D6" w:rsidRPr="007245B0" w:rsidRDefault="002152D6" w:rsidP="005055EB">
            <w:pPr>
              <w:pStyle w:val="NoSpacing"/>
              <w:jc w:val="center"/>
              <w:rPr>
                <w:rFonts w:ascii="Times New Roman" w:hAnsi="Times New Roman" w:cs="Times New Roman"/>
              </w:rPr>
            </w:pPr>
            <w:r w:rsidRPr="007245B0">
              <w:rPr>
                <w:rFonts w:ascii="Times New Roman" w:hAnsi="Times New Roman" w:cs="Times New Roman"/>
              </w:rPr>
              <w:t>89.16</w:t>
            </w:r>
          </w:p>
        </w:tc>
      </w:tr>
      <w:tr w:rsidR="002152D6" w:rsidRPr="007245B0" w14:paraId="5E9BAF7C" w14:textId="77777777" w:rsidTr="005055EB">
        <w:trPr>
          <w:trHeight w:val="124"/>
          <w:jc w:val="center"/>
        </w:trPr>
        <w:tc>
          <w:tcPr>
            <w:tcW w:w="1981" w:type="dxa"/>
            <w:hideMark/>
          </w:tcPr>
          <w:p w14:paraId="4E502310" w14:textId="77777777" w:rsidR="002152D6" w:rsidRPr="007245B0" w:rsidRDefault="002152D6" w:rsidP="00B77C0B">
            <w:pPr>
              <w:pStyle w:val="NoSpacing"/>
              <w:rPr>
                <w:rFonts w:ascii="Times New Roman" w:hAnsi="Times New Roman" w:cs="Times New Roman"/>
              </w:rPr>
            </w:pPr>
            <w:r w:rsidRPr="007245B0">
              <w:rPr>
                <w:rFonts w:ascii="Times New Roman" w:hAnsi="Times New Roman" w:cs="Times New Roman"/>
              </w:rPr>
              <w:t>Rajasthan</w:t>
            </w:r>
          </w:p>
        </w:tc>
        <w:tc>
          <w:tcPr>
            <w:tcW w:w="2844" w:type="dxa"/>
            <w:vAlign w:val="center"/>
            <w:hideMark/>
          </w:tcPr>
          <w:p w14:paraId="735DF36D" w14:textId="77777777" w:rsidR="002152D6" w:rsidRPr="007245B0" w:rsidRDefault="002152D6" w:rsidP="005055EB">
            <w:pPr>
              <w:pStyle w:val="NoSpacing"/>
              <w:jc w:val="center"/>
              <w:rPr>
                <w:rFonts w:ascii="Times New Roman" w:hAnsi="Times New Roman" w:cs="Times New Roman"/>
              </w:rPr>
            </w:pPr>
            <w:r w:rsidRPr="007245B0">
              <w:rPr>
                <w:rFonts w:ascii="Times New Roman" w:hAnsi="Times New Roman" w:cs="Times New Roman"/>
              </w:rPr>
              <w:t>96.76</w:t>
            </w:r>
          </w:p>
        </w:tc>
        <w:tc>
          <w:tcPr>
            <w:tcW w:w="2611" w:type="dxa"/>
            <w:vAlign w:val="center"/>
            <w:hideMark/>
          </w:tcPr>
          <w:p w14:paraId="76509BE6" w14:textId="77777777" w:rsidR="002152D6" w:rsidRPr="007245B0" w:rsidRDefault="002152D6" w:rsidP="005055EB">
            <w:pPr>
              <w:pStyle w:val="NoSpacing"/>
              <w:jc w:val="center"/>
              <w:rPr>
                <w:rFonts w:ascii="Times New Roman" w:hAnsi="Times New Roman" w:cs="Times New Roman"/>
              </w:rPr>
            </w:pPr>
            <w:r w:rsidRPr="007245B0">
              <w:rPr>
                <w:rFonts w:ascii="Times New Roman" w:hAnsi="Times New Roman" w:cs="Times New Roman"/>
              </w:rPr>
              <w:t>33.65</w:t>
            </w:r>
          </w:p>
        </w:tc>
        <w:tc>
          <w:tcPr>
            <w:tcW w:w="1176" w:type="dxa"/>
            <w:vAlign w:val="center"/>
            <w:hideMark/>
          </w:tcPr>
          <w:p w14:paraId="0D79B7C6" w14:textId="77777777" w:rsidR="002152D6" w:rsidRPr="007245B0" w:rsidRDefault="002152D6" w:rsidP="005055EB">
            <w:pPr>
              <w:pStyle w:val="NoSpacing"/>
              <w:jc w:val="center"/>
              <w:rPr>
                <w:rFonts w:ascii="Times New Roman" w:hAnsi="Times New Roman" w:cs="Times New Roman"/>
              </w:rPr>
            </w:pPr>
            <w:r w:rsidRPr="007245B0">
              <w:rPr>
                <w:rFonts w:ascii="Times New Roman" w:hAnsi="Times New Roman" w:cs="Times New Roman"/>
              </w:rPr>
              <w:t>130.41</w:t>
            </w:r>
          </w:p>
        </w:tc>
        <w:tc>
          <w:tcPr>
            <w:tcW w:w="2740" w:type="dxa"/>
            <w:vAlign w:val="center"/>
            <w:hideMark/>
          </w:tcPr>
          <w:p w14:paraId="118BEC17" w14:textId="77777777" w:rsidR="002152D6" w:rsidRPr="007245B0" w:rsidRDefault="002152D6" w:rsidP="005055EB">
            <w:pPr>
              <w:pStyle w:val="NoSpacing"/>
              <w:jc w:val="center"/>
              <w:rPr>
                <w:rFonts w:ascii="Times New Roman" w:hAnsi="Times New Roman" w:cs="Times New Roman"/>
              </w:rPr>
            </w:pPr>
            <w:r w:rsidRPr="007245B0">
              <w:rPr>
                <w:rFonts w:ascii="Times New Roman" w:hAnsi="Times New Roman" w:cs="Times New Roman"/>
              </w:rPr>
              <w:t>170.16</w:t>
            </w:r>
          </w:p>
        </w:tc>
        <w:tc>
          <w:tcPr>
            <w:tcW w:w="2507" w:type="dxa"/>
            <w:vAlign w:val="center"/>
            <w:hideMark/>
          </w:tcPr>
          <w:p w14:paraId="3FECFAEF" w14:textId="77777777" w:rsidR="002152D6" w:rsidRPr="007245B0" w:rsidRDefault="002152D6" w:rsidP="005055EB">
            <w:pPr>
              <w:pStyle w:val="NoSpacing"/>
              <w:jc w:val="center"/>
              <w:rPr>
                <w:rFonts w:ascii="Times New Roman" w:hAnsi="Times New Roman" w:cs="Times New Roman"/>
              </w:rPr>
            </w:pPr>
            <w:r w:rsidRPr="007245B0">
              <w:rPr>
                <w:rFonts w:ascii="Times New Roman" w:hAnsi="Times New Roman" w:cs="Times New Roman"/>
              </w:rPr>
              <w:t>51.49</w:t>
            </w:r>
          </w:p>
        </w:tc>
        <w:tc>
          <w:tcPr>
            <w:tcW w:w="0" w:type="auto"/>
            <w:vAlign w:val="center"/>
            <w:hideMark/>
          </w:tcPr>
          <w:p w14:paraId="01636EBB" w14:textId="77777777" w:rsidR="002152D6" w:rsidRPr="007245B0" w:rsidRDefault="002152D6" w:rsidP="005055EB">
            <w:pPr>
              <w:pStyle w:val="NoSpacing"/>
              <w:jc w:val="center"/>
              <w:rPr>
                <w:rFonts w:ascii="Times New Roman" w:hAnsi="Times New Roman" w:cs="Times New Roman"/>
              </w:rPr>
            </w:pPr>
            <w:r w:rsidRPr="007245B0">
              <w:rPr>
                <w:rFonts w:ascii="Times New Roman" w:hAnsi="Times New Roman" w:cs="Times New Roman"/>
              </w:rPr>
              <w:t>221.65</w:t>
            </w:r>
          </w:p>
        </w:tc>
      </w:tr>
      <w:tr w:rsidR="002152D6" w:rsidRPr="007245B0" w14:paraId="243C4AC3" w14:textId="77777777" w:rsidTr="005055EB">
        <w:trPr>
          <w:trHeight w:val="118"/>
          <w:jc w:val="center"/>
        </w:trPr>
        <w:tc>
          <w:tcPr>
            <w:tcW w:w="1981" w:type="dxa"/>
            <w:hideMark/>
          </w:tcPr>
          <w:p w14:paraId="15A800B1" w14:textId="77777777" w:rsidR="002152D6" w:rsidRPr="007245B0" w:rsidRDefault="002152D6" w:rsidP="00B77C0B">
            <w:pPr>
              <w:pStyle w:val="NoSpacing"/>
              <w:rPr>
                <w:rFonts w:ascii="Times New Roman" w:hAnsi="Times New Roman" w:cs="Times New Roman"/>
              </w:rPr>
            </w:pPr>
            <w:r w:rsidRPr="007245B0">
              <w:rPr>
                <w:rFonts w:ascii="Times New Roman" w:hAnsi="Times New Roman" w:cs="Times New Roman"/>
              </w:rPr>
              <w:t>Tamil Nadu</w:t>
            </w:r>
          </w:p>
        </w:tc>
        <w:tc>
          <w:tcPr>
            <w:tcW w:w="2844" w:type="dxa"/>
            <w:vAlign w:val="center"/>
            <w:hideMark/>
          </w:tcPr>
          <w:p w14:paraId="692F40AB" w14:textId="77777777" w:rsidR="002152D6" w:rsidRPr="007245B0" w:rsidRDefault="002152D6" w:rsidP="005055EB">
            <w:pPr>
              <w:pStyle w:val="NoSpacing"/>
              <w:jc w:val="center"/>
              <w:rPr>
                <w:rFonts w:ascii="Times New Roman" w:hAnsi="Times New Roman" w:cs="Times New Roman"/>
              </w:rPr>
            </w:pPr>
            <w:r w:rsidRPr="007245B0">
              <w:rPr>
                <w:rFonts w:ascii="Times New Roman" w:hAnsi="Times New Roman" w:cs="Times New Roman"/>
              </w:rPr>
              <w:t>173.12</w:t>
            </w:r>
          </w:p>
        </w:tc>
        <w:tc>
          <w:tcPr>
            <w:tcW w:w="2611" w:type="dxa"/>
            <w:vAlign w:val="center"/>
            <w:hideMark/>
          </w:tcPr>
          <w:p w14:paraId="54D0CD11" w14:textId="77777777" w:rsidR="002152D6" w:rsidRPr="007245B0" w:rsidRDefault="002152D6" w:rsidP="005055EB">
            <w:pPr>
              <w:pStyle w:val="NoSpacing"/>
              <w:jc w:val="center"/>
              <w:rPr>
                <w:rFonts w:ascii="Times New Roman" w:hAnsi="Times New Roman" w:cs="Times New Roman"/>
              </w:rPr>
            </w:pPr>
            <w:r w:rsidRPr="007245B0">
              <w:rPr>
                <w:rFonts w:ascii="Times New Roman" w:hAnsi="Times New Roman" w:cs="Times New Roman"/>
              </w:rPr>
              <w:t>34.20</w:t>
            </w:r>
          </w:p>
        </w:tc>
        <w:tc>
          <w:tcPr>
            <w:tcW w:w="1176" w:type="dxa"/>
            <w:vAlign w:val="center"/>
            <w:hideMark/>
          </w:tcPr>
          <w:p w14:paraId="6957E30F" w14:textId="77777777" w:rsidR="002152D6" w:rsidRPr="007245B0" w:rsidRDefault="002152D6" w:rsidP="005055EB">
            <w:pPr>
              <w:pStyle w:val="NoSpacing"/>
              <w:jc w:val="center"/>
              <w:rPr>
                <w:rFonts w:ascii="Times New Roman" w:hAnsi="Times New Roman" w:cs="Times New Roman"/>
              </w:rPr>
            </w:pPr>
            <w:r w:rsidRPr="007245B0">
              <w:rPr>
                <w:rFonts w:ascii="Times New Roman" w:hAnsi="Times New Roman" w:cs="Times New Roman"/>
              </w:rPr>
              <w:t>207.32</w:t>
            </w:r>
          </w:p>
        </w:tc>
        <w:tc>
          <w:tcPr>
            <w:tcW w:w="2740" w:type="dxa"/>
            <w:vAlign w:val="center"/>
            <w:hideMark/>
          </w:tcPr>
          <w:p w14:paraId="6BAEA724" w14:textId="77777777" w:rsidR="002152D6" w:rsidRPr="007245B0" w:rsidRDefault="002152D6" w:rsidP="005055EB">
            <w:pPr>
              <w:pStyle w:val="NoSpacing"/>
              <w:jc w:val="center"/>
              <w:rPr>
                <w:rFonts w:ascii="Times New Roman" w:hAnsi="Times New Roman" w:cs="Times New Roman"/>
              </w:rPr>
            </w:pPr>
            <w:r w:rsidRPr="007245B0">
              <w:rPr>
                <w:rFonts w:ascii="Times New Roman" w:hAnsi="Times New Roman" w:cs="Times New Roman"/>
              </w:rPr>
              <w:t>272.29</w:t>
            </w:r>
          </w:p>
        </w:tc>
        <w:tc>
          <w:tcPr>
            <w:tcW w:w="2507" w:type="dxa"/>
            <w:vAlign w:val="center"/>
            <w:hideMark/>
          </w:tcPr>
          <w:p w14:paraId="264EF11D" w14:textId="77777777" w:rsidR="002152D6" w:rsidRPr="007245B0" w:rsidRDefault="002152D6" w:rsidP="005055EB">
            <w:pPr>
              <w:pStyle w:val="NoSpacing"/>
              <w:jc w:val="center"/>
              <w:rPr>
                <w:rFonts w:ascii="Times New Roman" w:hAnsi="Times New Roman" w:cs="Times New Roman"/>
              </w:rPr>
            </w:pPr>
            <w:r w:rsidRPr="007245B0">
              <w:rPr>
                <w:rFonts w:ascii="Times New Roman" w:hAnsi="Times New Roman" w:cs="Times New Roman"/>
              </w:rPr>
              <w:t>22.82</w:t>
            </w:r>
          </w:p>
        </w:tc>
        <w:tc>
          <w:tcPr>
            <w:tcW w:w="0" w:type="auto"/>
            <w:vAlign w:val="center"/>
            <w:hideMark/>
          </w:tcPr>
          <w:p w14:paraId="3D84A1B4" w14:textId="77777777" w:rsidR="002152D6" w:rsidRPr="007245B0" w:rsidRDefault="002152D6" w:rsidP="005055EB">
            <w:pPr>
              <w:pStyle w:val="NoSpacing"/>
              <w:jc w:val="center"/>
              <w:rPr>
                <w:rFonts w:ascii="Times New Roman" w:hAnsi="Times New Roman" w:cs="Times New Roman"/>
              </w:rPr>
            </w:pPr>
            <w:r w:rsidRPr="007245B0">
              <w:rPr>
                <w:rFonts w:ascii="Times New Roman" w:hAnsi="Times New Roman" w:cs="Times New Roman"/>
              </w:rPr>
              <w:t>295.11</w:t>
            </w:r>
          </w:p>
        </w:tc>
      </w:tr>
      <w:tr w:rsidR="002152D6" w:rsidRPr="007245B0" w14:paraId="32B07A4A" w14:textId="77777777" w:rsidTr="005055EB">
        <w:trPr>
          <w:trHeight w:val="239"/>
          <w:jc w:val="center"/>
        </w:trPr>
        <w:tc>
          <w:tcPr>
            <w:tcW w:w="1981" w:type="dxa"/>
            <w:hideMark/>
          </w:tcPr>
          <w:p w14:paraId="380CE28C" w14:textId="77777777" w:rsidR="002152D6" w:rsidRPr="007245B0" w:rsidRDefault="002152D6" w:rsidP="00B77C0B">
            <w:pPr>
              <w:pStyle w:val="NoSpacing"/>
              <w:rPr>
                <w:rFonts w:ascii="Times New Roman" w:hAnsi="Times New Roman" w:cs="Times New Roman"/>
              </w:rPr>
            </w:pPr>
            <w:r w:rsidRPr="007245B0">
              <w:rPr>
                <w:rFonts w:ascii="Times New Roman" w:hAnsi="Times New Roman" w:cs="Times New Roman"/>
              </w:rPr>
              <w:t>Uttar Pradesh</w:t>
            </w:r>
          </w:p>
        </w:tc>
        <w:tc>
          <w:tcPr>
            <w:tcW w:w="2844" w:type="dxa"/>
            <w:vAlign w:val="center"/>
            <w:hideMark/>
          </w:tcPr>
          <w:p w14:paraId="615BE82E" w14:textId="77777777" w:rsidR="002152D6" w:rsidRPr="007245B0" w:rsidRDefault="002152D6" w:rsidP="005055EB">
            <w:pPr>
              <w:pStyle w:val="NoSpacing"/>
              <w:jc w:val="center"/>
              <w:rPr>
                <w:rFonts w:ascii="Times New Roman" w:hAnsi="Times New Roman" w:cs="Times New Roman"/>
              </w:rPr>
            </w:pPr>
            <w:r w:rsidRPr="007245B0">
              <w:rPr>
                <w:rFonts w:ascii="Times New Roman" w:hAnsi="Times New Roman" w:cs="Times New Roman"/>
              </w:rPr>
              <w:t>323.77</w:t>
            </w:r>
          </w:p>
        </w:tc>
        <w:tc>
          <w:tcPr>
            <w:tcW w:w="2611" w:type="dxa"/>
            <w:vAlign w:val="center"/>
            <w:hideMark/>
          </w:tcPr>
          <w:p w14:paraId="1DE705F4" w14:textId="77777777" w:rsidR="002152D6" w:rsidRPr="007245B0" w:rsidRDefault="002152D6" w:rsidP="005055EB">
            <w:pPr>
              <w:pStyle w:val="NoSpacing"/>
              <w:jc w:val="center"/>
              <w:rPr>
                <w:rFonts w:ascii="Times New Roman" w:hAnsi="Times New Roman" w:cs="Times New Roman"/>
              </w:rPr>
            </w:pPr>
            <w:r w:rsidRPr="007245B0">
              <w:rPr>
                <w:rFonts w:ascii="Times New Roman" w:hAnsi="Times New Roman" w:cs="Times New Roman"/>
              </w:rPr>
              <w:t>49.25</w:t>
            </w:r>
          </w:p>
        </w:tc>
        <w:tc>
          <w:tcPr>
            <w:tcW w:w="1176" w:type="dxa"/>
            <w:vAlign w:val="center"/>
            <w:hideMark/>
          </w:tcPr>
          <w:p w14:paraId="42DC21EE" w14:textId="77777777" w:rsidR="002152D6" w:rsidRPr="007245B0" w:rsidRDefault="002152D6" w:rsidP="005055EB">
            <w:pPr>
              <w:pStyle w:val="NoSpacing"/>
              <w:jc w:val="center"/>
              <w:rPr>
                <w:rFonts w:ascii="Times New Roman" w:hAnsi="Times New Roman" w:cs="Times New Roman"/>
              </w:rPr>
            </w:pPr>
            <w:r w:rsidRPr="007245B0">
              <w:rPr>
                <w:rFonts w:ascii="Times New Roman" w:hAnsi="Times New Roman" w:cs="Times New Roman"/>
              </w:rPr>
              <w:t>373.02</w:t>
            </w:r>
          </w:p>
        </w:tc>
        <w:tc>
          <w:tcPr>
            <w:tcW w:w="2740" w:type="dxa"/>
            <w:vAlign w:val="center"/>
            <w:hideMark/>
          </w:tcPr>
          <w:p w14:paraId="120E7B75" w14:textId="77777777" w:rsidR="002152D6" w:rsidRPr="007245B0" w:rsidRDefault="002152D6" w:rsidP="005055EB">
            <w:pPr>
              <w:pStyle w:val="NoSpacing"/>
              <w:jc w:val="center"/>
              <w:rPr>
                <w:rFonts w:ascii="Times New Roman" w:hAnsi="Times New Roman" w:cs="Times New Roman"/>
              </w:rPr>
            </w:pPr>
            <w:r w:rsidRPr="007245B0">
              <w:rPr>
                <w:rFonts w:ascii="Times New Roman" w:hAnsi="Times New Roman" w:cs="Times New Roman"/>
              </w:rPr>
              <w:t>620.12</w:t>
            </w:r>
          </w:p>
        </w:tc>
        <w:tc>
          <w:tcPr>
            <w:tcW w:w="2507" w:type="dxa"/>
            <w:vAlign w:val="center"/>
            <w:hideMark/>
          </w:tcPr>
          <w:p w14:paraId="50A302BB" w14:textId="77777777" w:rsidR="002152D6" w:rsidRPr="007245B0" w:rsidRDefault="002152D6" w:rsidP="005055EB">
            <w:pPr>
              <w:pStyle w:val="NoSpacing"/>
              <w:jc w:val="center"/>
              <w:rPr>
                <w:rFonts w:ascii="Times New Roman" w:hAnsi="Times New Roman" w:cs="Times New Roman"/>
              </w:rPr>
            </w:pPr>
            <w:r w:rsidRPr="007245B0">
              <w:rPr>
                <w:rFonts w:ascii="Times New Roman" w:hAnsi="Times New Roman" w:cs="Times New Roman"/>
              </w:rPr>
              <w:t>..</w:t>
            </w:r>
          </w:p>
        </w:tc>
        <w:tc>
          <w:tcPr>
            <w:tcW w:w="0" w:type="auto"/>
            <w:vAlign w:val="center"/>
            <w:hideMark/>
          </w:tcPr>
          <w:p w14:paraId="18ACA7DD" w14:textId="77777777" w:rsidR="002152D6" w:rsidRPr="007245B0" w:rsidRDefault="002152D6" w:rsidP="005055EB">
            <w:pPr>
              <w:pStyle w:val="NoSpacing"/>
              <w:jc w:val="center"/>
              <w:rPr>
                <w:rFonts w:ascii="Times New Roman" w:hAnsi="Times New Roman" w:cs="Times New Roman"/>
              </w:rPr>
            </w:pPr>
            <w:r w:rsidRPr="007245B0">
              <w:rPr>
                <w:rFonts w:ascii="Times New Roman" w:hAnsi="Times New Roman" w:cs="Times New Roman"/>
              </w:rPr>
              <w:t>620.12</w:t>
            </w:r>
          </w:p>
        </w:tc>
      </w:tr>
      <w:tr w:rsidR="002152D6" w:rsidRPr="007245B0" w14:paraId="7F658D9F" w14:textId="77777777" w:rsidTr="005055EB">
        <w:trPr>
          <w:trHeight w:val="118"/>
          <w:jc w:val="center"/>
        </w:trPr>
        <w:tc>
          <w:tcPr>
            <w:tcW w:w="1981" w:type="dxa"/>
            <w:hideMark/>
          </w:tcPr>
          <w:p w14:paraId="37503AC8" w14:textId="77777777" w:rsidR="002152D6" w:rsidRPr="007245B0" w:rsidRDefault="002152D6" w:rsidP="00B77C0B">
            <w:pPr>
              <w:pStyle w:val="NoSpacing"/>
              <w:rPr>
                <w:rFonts w:ascii="Times New Roman" w:hAnsi="Times New Roman" w:cs="Times New Roman"/>
              </w:rPr>
            </w:pPr>
            <w:r w:rsidRPr="007245B0">
              <w:rPr>
                <w:rFonts w:ascii="Times New Roman" w:hAnsi="Times New Roman" w:cs="Times New Roman"/>
              </w:rPr>
              <w:t>West Bengal</w:t>
            </w:r>
          </w:p>
        </w:tc>
        <w:tc>
          <w:tcPr>
            <w:tcW w:w="2844" w:type="dxa"/>
            <w:vAlign w:val="center"/>
            <w:hideMark/>
          </w:tcPr>
          <w:p w14:paraId="1BEBD297" w14:textId="77777777" w:rsidR="002152D6" w:rsidRPr="007245B0" w:rsidRDefault="002152D6" w:rsidP="005055EB">
            <w:pPr>
              <w:pStyle w:val="NoSpacing"/>
              <w:jc w:val="center"/>
              <w:rPr>
                <w:rFonts w:ascii="Times New Roman" w:hAnsi="Times New Roman" w:cs="Times New Roman"/>
              </w:rPr>
            </w:pPr>
            <w:r w:rsidRPr="007245B0">
              <w:rPr>
                <w:rFonts w:ascii="Times New Roman" w:hAnsi="Times New Roman" w:cs="Times New Roman"/>
              </w:rPr>
              <w:t>197.41</w:t>
            </w:r>
          </w:p>
        </w:tc>
        <w:tc>
          <w:tcPr>
            <w:tcW w:w="2611" w:type="dxa"/>
            <w:vAlign w:val="center"/>
            <w:hideMark/>
          </w:tcPr>
          <w:p w14:paraId="40FAACB8" w14:textId="77777777" w:rsidR="002152D6" w:rsidRPr="007245B0" w:rsidRDefault="002152D6" w:rsidP="005055EB">
            <w:pPr>
              <w:pStyle w:val="NoSpacing"/>
              <w:jc w:val="center"/>
              <w:rPr>
                <w:rFonts w:ascii="Times New Roman" w:hAnsi="Times New Roman" w:cs="Times New Roman"/>
              </w:rPr>
            </w:pPr>
            <w:r w:rsidRPr="007245B0">
              <w:rPr>
                <w:rFonts w:ascii="Times New Roman" w:hAnsi="Times New Roman" w:cs="Times New Roman"/>
              </w:rPr>
              <w:t>..</w:t>
            </w:r>
          </w:p>
        </w:tc>
        <w:tc>
          <w:tcPr>
            <w:tcW w:w="1176" w:type="dxa"/>
            <w:vAlign w:val="center"/>
            <w:hideMark/>
          </w:tcPr>
          <w:p w14:paraId="6BC0DBB8" w14:textId="77777777" w:rsidR="002152D6" w:rsidRPr="007245B0" w:rsidRDefault="002152D6" w:rsidP="005055EB">
            <w:pPr>
              <w:pStyle w:val="NoSpacing"/>
              <w:jc w:val="center"/>
              <w:rPr>
                <w:rFonts w:ascii="Times New Roman" w:hAnsi="Times New Roman" w:cs="Times New Roman"/>
              </w:rPr>
            </w:pPr>
            <w:r w:rsidRPr="007245B0">
              <w:rPr>
                <w:rFonts w:ascii="Times New Roman" w:hAnsi="Times New Roman" w:cs="Times New Roman"/>
              </w:rPr>
              <w:t>197.41</w:t>
            </w:r>
          </w:p>
        </w:tc>
        <w:tc>
          <w:tcPr>
            <w:tcW w:w="2740" w:type="dxa"/>
            <w:vAlign w:val="center"/>
            <w:hideMark/>
          </w:tcPr>
          <w:p w14:paraId="60BA099E" w14:textId="77777777" w:rsidR="002152D6" w:rsidRPr="007245B0" w:rsidRDefault="002152D6" w:rsidP="005055EB">
            <w:pPr>
              <w:pStyle w:val="NoSpacing"/>
              <w:jc w:val="center"/>
              <w:rPr>
                <w:rFonts w:ascii="Times New Roman" w:hAnsi="Times New Roman" w:cs="Times New Roman"/>
              </w:rPr>
            </w:pPr>
            <w:r w:rsidRPr="007245B0">
              <w:rPr>
                <w:rFonts w:ascii="Times New Roman" w:hAnsi="Times New Roman" w:cs="Times New Roman"/>
              </w:rPr>
              <w:t>296.64</w:t>
            </w:r>
          </w:p>
        </w:tc>
        <w:tc>
          <w:tcPr>
            <w:tcW w:w="2507" w:type="dxa"/>
            <w:vAlign w:val="center"/>
            <w:hideMark/>
          </w:tcPr>
          <w:p w14:paraId="5C0FE244" w14:textId="77777777" w:rsidR="002152D6" w:rsidRPr="007245B0" w:rsidRDefault="002152D6" w:rsidP="005055EB">
            <w:pPr>
              <w:pStyle w:val="NoSpacing"/>
              <w:jc w:val="center"/>
              <w:rPr>
                <w:rFonts w:ascii="Times New Roman" w:hAnsi="Times New Roman" w:cs="Times New Roman"/>
              </w:rPr>
            </w:pPr>
            <w:r w:rsidRPr="007245B0">
              <w:rPr>
                <w:rFonts w:ascii="Times New Roman" w:hAnsi="Times New Roman" w:cs="Times New Roman"/>
              </w:rPr>
              <w:t>72.62</w:t>
            </w:r>
          </w:p>
        </w:tc>
        <w:tc>
          <w:tcPr>
            <w:tcW w:w="0" w:type="auto"/>
            <w:vAlign w:val="center"/>
            <w:hideMark/>
          </w:tcPr>
          <w:p w14:paraId="68682BCF" w14:textId="77777777" w:rsidR="002152D6" w:rsidRPr="007245B0" w:rsidRDefault="002152D6" w:rsidP="005055EB">
            <w:pPr>
              <w:pStyle w:val="NoSpacing"/>
              <w:jc w:val="center"/>
              <w:rPr>
                <w:rFonts w:ascii="Times New Roman" w:hAnsi="Times New Roman" w:cs="Times New Roman"/>
              </w:rPr>
            </w:pPr>
            <w:r w:rsidRPr="007245B0">
              <w:rPr>
                <w:rFonts w:ascii="Times New Roman" w:hAnsi="Times New Roman" w:cs="Times New Roman"/>
              </w:rPr>
              <w:t>369.26</w:t>
            </w:r>
          </w:p>
        </w:tc>
      </w:tr>
      <w:tr w:rsidR="002152D6" w:rsidRPr="007245B0" w14:paraId="2F025BC5" w14:textId="77777777" w:rsidTr="005055EB">
        <w:trPr>
          <w:trHeight w:val="118"/>
          <w:jc w:val="center"/>
        </w:trPr>
        <w:tc>
          <w:tcPr>
            <w:tcW w:w="1981" w:type="dxa"/>
            <w:hideMark/>
          </w:tcPr>
          <w:p w14:paraId="75F6FC67" w14:textId="77777777" w:rsidR="002152D6" w:rsidRPr="007245B0" w:rsidRDefault="002152D6" w:rsidP="00B77C0B">
            <w:pPr>
              <w:pStyle w:val="NoSpacing"/>
              <w:rPr>
                <w:rFonts w:ascii="Times New Roman" w:hAnsi="Times New Roman" w:cs="Times New Roman"/>
              </w:rPr>
            </w:pPr>
            <w:r w:rsidRPr="007245B0">
              <w:rPr>
                <w:rFonts w:ascii="Times New Roman" w:hAnsi="Times New Roman" w:cs="Times New Roman"/>
              </w:rPr>
              <w:t>TOTAL</w:t>
            </w:r>
          </w:p>
        </w:tc>
        <w:tc>
          <w:tcPr>
            <w:tcW w:w="2844" w:type="dxa"/>
            <w:vAlign w:val="center"/>
            <w:hideMark/>
          </w:tcPr>
          <w:p w14:paraId="1F3DEE23" w14:textId="77777777" w:rsidR="002152D6" w:rsidRPr="007245B0" w:rsidRDefault="002152D6" w:rsidP="005055EB">
            <w:pPr>
              <w:pStyle w:val="NoSpacing"/>
              <w:jc w:val="center"/>
              <w:rPr>
                <w:rFonts w:ascii="Times New Roman" w:hAnsi="Times New Roman" w:cs="Times New Roman"/>
              </w:rPr>
            </w:pPr>
            <w:r w:rsidRPr="007245B0">
              <w:rPr>
                <w:rFonts w:ascii="Times New Roman" w:hAnsi="Times New Roman" w:cs="Times New Roman"/>
              </w:rPr>
              <w:t>2182.81</w:t>
            </w:r>
          </w:p>
        </w:tc>
        <w:tc>
          <w:tcPr>
            <w:tcW w:w="2611" w:type="dxa"/>
            <w:vAlign w:val="center"/>
            <w:hideMark/>
          </w:tcPr>
          <w:p w14:paraId="25E56BCA" w14:textId="77777777" w:rsidR="002152D6" w:rsidRPr="007245B0" w:rsidRDefault="002152D6" w:rsidP="005055EB">
            <w:pPr>
              <w:pStyle w:val="NoSpacing"/>
              <w:jc w:val="center"/>
              <w:rPr>
                <w:rFonts w:ascii="Times New Roman" w:hAnsi="Times New Roman" w:cs="Times New Roman"/>
              </w:rPr>
            </w:pPr>
            <w:r w:rsidRPr="007245B0">
              <w:rPr>
                <w:rFonts w:ascii="Times New Roman" w:hAnsi="Times New Roman" w:cs="Times New Roman"/>
              </w:rPr>
              <w:t>703.05</w:t>
            </w:r>
          </w:p>
        </w:tc>
        <w:tc>
          <w:tcPr>
            <w:tcW w:w="1176" w:type="dxa"/>
            <w:vAlign w:val="center"/>
            <w:hideMark/>
          </w:tcPr>
          <w:p w14:paraId="6D64EB43" w14:textId="77777777" w:rsidR="002152D6" w:rsidRPr="007245B0" w:rsidRDefault="002152D6" w:rsidP="005055EB">
            <w:pPr>
              <w:pStyle w:val="NoSpacing"/>
              <w:jc w:val="center"/>
              <w:rPr>
                <w:rFonts w:ascii="Times New Roman" w:hAnsi="Times New Roman" w:cs="Times New Roman"/>
              </w:rPr>
            </w:pPr>
            <w:r w:rsidRPr="007245B0">
              <w:rPr>
                <w:rFonts w:ascii="Times New Roman" w:hAnsi="Times New Roman" w:cs="Times New Roman"/>
              </w:rPr>
              <w:t>2885.86</w:t>
            </w:r>
          </w:p>
        </w:tc>
        <w:tc>
          <w:tcPr>
            <w:tcW w:w="2740" w:type="dxa"/>
            <w:vAlign w:val="center"/>
            <w:hideMark/>
          </w:tcPr>
          <w:p w14:paraId="53A26319" w14:textId="77777777" w:rsidR="002152D6" w:rsidRPr="007245B0" w:rsidRDefault="002152D6" w:rsidP="005055EB">
            <w:pPr>
              <w:pStyle w:val="NoSpacing"/>
              <w:jc w:val="center"/>
              <w:rPr>
                <w:rFonts w:ascii="Times New Roman" w:hAnsi="Times New Roman" w:cs="Times New Roman"/>
              </w:rPr>
            </w:pPr>
            <w:r w:rsidRPr="007245B0">
              <w:rPr>
                <w:rFonts w:ascii="Times New Roman" w:hAnsi="Times New Roman" w:cs="Times New Roman"/>
              </w:rPr>
              <w:t>3628.45</w:t>
            </w:r>
          </w:p>
        </w:tc>
        <w:tc>
          <w:tcPr>
            <w:tcW w:w="2507" w:type="dxa"/>
            <w:vAlign w:val="center"/>
            <w:hideMark/>
          </w:tcPr>
          <w:p w14:paraId="17C0965E" w14:textId="77777777" w:rsidR="002152D6" w:rsidRPr="007245B0" w:rsidRDefault="002152D6" w:rsidP="005055EB">
            <w:pPr>
              <w:pStyle w:val="NoSpacing"/>
              <w:jc w:val="center"/>
              <w:rPr>
                <w:rFonts w:ascii="Times New Roman" w:hAnsi="Times New Roman" w:cs="Times New Roman"/>
              </w:rPr>
            </w:pPr>
            <w:r w:rsidRPr="007245B0">
              <w:rPr>
                <w:rFonts w:ascii="Times New Roman" w:hAnsi="Times New Roman" w:cs="Times New Roman"/>
              </w:rPr>
              <w:t>637.85</w:t>
            </w:r>
          </w:p>
        </w:tc>
        <w:tc>
          <w:tcPr>
            <w:tcW w:w="0" w:type="auto"/>
            <w:vAlign w:val="center"/>
            <w:hideMark/>
          </w:tcPr>
          <w:p w14:paraId="52555749" w14:textId="77777777" w:rsidR="002152D6" w:rsidRPr="007245B0" w:rsidRDefault="002152D6" w:rsidP="005055EB">
            <w:pPr>
              <w:pStyle w:val="NoSpacing"/>
              <w:jc w:val="center"/>
              <w:rPr>
                <w:rFonts w:ascii="Times New Roman" w:hAnsi="Times New Roman" w:cs="Times New Roman"/>
              </w:rPr>
            </w:pPr>
            <w:r w:rsidRPr="007245B0">
              <w:rPr>
                <w:rFonts w:ascii="Times New Roman" w:hAnsi="Times New Roman" w:cs="Times New Roman"/>
              </w:rPr>
              <w:t>4266.30</w:t>
            </w:r>
          </w:p>
        </w:tc>
      </w:tr>
    </w:tbl>
    <w:p w14:paraId="08875CA7" w14:textId="77777777" w:rsidR="002152D6" w:rsidRPr="005055EB" w:rsidRDefault="002152D6" w:rsidP="005055EB">
      <w:pPr>
        <w:spacing w:after="0"/>
        <w:rPr>
          <w:rFonts w:ascii="Times New Roman" w:hAnsi="Times New Roman" w:cs="Times New Roman"/>
          <w:sz w:val="20"/>
          <w:szCs w:val="18"/>
        </w:rPr>
      </w:pPr>
      <w:r w:rsidRPr="005055EB">
        <w:rPr>
          <w:rFonts w:ascii="Times New Roman" w:hAnsi="Times New Roman" w:cs="Times New Roman"/>
          <w:sz w:val="20"/>
          <w:szCs w:val="18"/>
        </w:rPr>
        <w:t>•Includes share of grant in lieu of tax on railway passenger fares.</w:t>
      </w:r>
    </w:p>
    <w:p w14:paraId="5514FC71" w14:textId="607F876A" w:rsidR="002152D6" w:rsidRPr="005055EB" w:rsidRDefault="002152D6" w:rsidP="005055EB">
      <w:pPr>
        <w:spacing w:after="0"/>
        <w:rPr>
          <w:rFonts w:ascii="Times New Roman" w:hAnsi="Times New Roman" w:cs="Times New Roman"/>
          <w:sz w:val="20"/>
          <w:szCs w:val="18"/>
        </w:rPr>
      </w:pPr>
      <w:r w:rsidRPr="005055EB">
        <w:rPr>
          <w:rFonts w:ascii="Times New Roman" w:hAnsi="Times New Roman" w:cs="Times New Roman"/>
          <w:sz w:val="20"/>
          <w:szCs w:val="18"/>
        </w:rPr>
        <w:t xml:space="preserve">••The share of composite Punjab has been allocated on population basis </w:t>
      </w:r>
      <w:r w:rsidR="001351DF" w:rsidRPr="005055EB">
        <w:rPr>
          <w:rFonts w:ascii="Times New Roman" w:hAnsi="Times New Roman" w:cs="Times New Roman"/>
          <w:sz w:val="20"/>
          <w:szCs w:val="18"/>
        </w:rPr>
        <w:t>bet</w:t>
      </w:r>
      <w:r w:rsidR="00EA26A7">
        <w:rPr>
          <w:rFonts w:ascii="Times New Roman" w:hAnsi="Times New Roman" w:cs="Times New Roman"/>
          <w:sz w:val="20"/>
          <w:szCs w:val="18"/>
        </w:rPr>
        <w:t xml:space="preserve">ween </w:t>
      </w:r>
      <w:r w:rsidRPr="005055EB">
        <w:rPr>
          <w:rFonts w:ascii="Times New Roman" w:hAnsi="Times New Roman" w:cs="Times New Roman"/>
          <w:sz w:val="20"/>
          <w:szCs w:val="18"/>
        </w:rPr>
        <w:t>Punjab, Haryana and Union Territory.</w:t>
      </w:r>
    </w:p>
    <w:p w14:paraId="6A7605DC" w14:textId="77777777" w:rsidR="004E4F05" w:rsidRPr="007245B0" w:rsidRDefault="004E4F05" w:rsidP="004E4F05">
      <w:pPr>
        <w:jc w:val="center"/>
        <w:rPr>
          <w:rFonts w:ascii="Times New Roman" w:hAnsi="Times New Roman" w:cs="Times New Roman"/>
          <w:i/>
          <w:iCs/>
          <w:sz w:val="72"/>
          <w:szCs w:val="72"/>
        </w:rPr>
      </w:pPr>
    </w:p>
    <w:p w14:paraId="3E54C04D" w14:textId="77777777" w:rsidR="004E4F05" w:rsidRPr="007245B0" w:rsidRDefault="004E4F05" w:rsidP="004E4F05">
      <w:pPr>
        <w:jc w:val="center"/>
        <w:rPr>
          <w:rFonts w:ascii="Times New Roman" w:hAnsi="Times New Roman" w:cs="Times New Roman"/>
          <w:i/>
          <w:iCs/>
          <w:sz w:val="72"/>
          <w:szCs w:val="72"/>
        </w:rPr>
      </w:pPr>
    </w:p>
    <w:p w14:paraId="53807A2F" w14:textId="50CF99A3" w:rsidR="004E4F05" w:rsidRPr="007245B0" w:rsidRDefault="00EA26A7" w:rsidP="004E4F05">
      <w:pPr>
        <w:jc w:val="center"/>
        <w:rPr>
          <w:rFonts w:ascii="Times New Roman" w:hAnsi="Times New Roman" w:cs="Times New Roman"/>
          <w:i/>
          <w:iCs/>
          <w:sz w:val="72"/>
          <w:szCs w:val="72"/>
        </w:rPr>
      </w:pPr>
      <w:r>
        <w:rPr>
          <w:rFonts w:ascii="Times New Roman" w:hAnsi="Times New Roman" w:cs="Times New Roman"/>
          <w:i/>
          <w:iCs/>
          <w:sz w:val="72"/>
          <w:szCs w:val="72"/>
        </w:rPr>
        <w:t>_____________________________________</w:t>
      </w:r>
    </w:p>
    <w:p w14:paraId="2BD8FFB5" w14:textId="403AEA9A" w:rsidR="00EA26A7" w:rsidRPr="00931797" w:rsidRDefault="004E4F05" w:rsidP="00931797">
      <w:pPr>
        <w:pStyle w:val="Heading1"/>
        <w:numPr>
          <w:ilvl w:val="0"/>
          <w:numId w:val="0"/>
        </w:numPr>
        <w:rPr>
          <w:sz w:val="40"/>
          <w:szCs w:val="36"/>
        </w:rPr>
      </w:pPr>
      <w:bookmarkStart w:id="235" w:name="_Toc221115372"/>
      <w:r w:rsidRPr="00931797">
        <w:rPr>
          <w:sz w:val="40"/>
          <w:szCs w:val="36"/>
        </w:rPr>
        <w:t>A</w:t>
      </w:r>
      <w:r w:rsidR="00EA26A7" w:rsidRPr="00931797">
        <w:rPr>
          <w:sz w:val="40"/>
          <w:szCs w:val="36"/>
        </w:rPr>
        <w:t>NNEXURE</w:t>
      </w:r>
      <w:r w:rsidR="00931797" w:rsidRPr="00931797">
        <w:rPr>
          <w:sz w:val="40"/>
          <w:szCs w:val="36"/>
        </w:rPr>
        <w:t xml:space="preserve"> </w:t>
      </w:r>
      <w:r w:rsidR="00931797">
        <w:rPr>
          <w:sz w:val="40"/>
          <w:szCs w:val="36"/>
        </w:rPr>
        <w:br/>
      </w:r>
      <w:r w:rsidR="00EA26A7" w:rsidRPr="00931797">
        <w:rPr>
          <w:sz w:val="40"/>
          <w:szCs w:val="36"/>
        </w:rPr>
        <w:t>INTERIM REPORT</w:t>
      </w:r>
      <w:r w:rsidR="00931797" w:rsidRPr="00931797">
        <w:rPr>
          <w:sz w:val="40"/>
          <w:szCs w:val="36"/>
        </w:rPr>
        <w:t xml:space="preserve"> OF THE COMMISSION</w:t>
      </w:r>
      <w:bookmarkEnd w:id="235"/>
    </w:p>
    <w:p w14:paraId="6E34505D" w14:textId="041BB897" w:rsidR="00EA26A7" w:rsidRDefault="00EA26A7" w:rsidP="004E4F05">
      <w:pPr>
        <w:jc w:val="center"/>
        <w:rPr>
          <w:rFonts w:ascii="Times New Roman" w:hAnsi="Times New Roman" w:cs="Times New Roman"/>
          <w:sz w:val="56"/>
          <w:szCs w:val="56"/>
        </w:rPr>
      </w:pPr>
      <w:r w:rsidRPr="00EA26A7">
        <w:rPr>
          <w:rFonts w:ascii="Times New Roman" w:hAnsi="Times New Roman" w:cs="Times New Roman"/>
          <w:sz w:val="56"/>
          <w:szCs w:val="56"/>
        </w:rPr>
        <w:t>(October, 1968)</w:t>
      </w:r>
    </w:p>
    <w:p w14:paraId="61900ECB" w14:textId="093C4C99" w:rsidR="00EA26A7" w:rsidRPr="00EA26A7" w:rsidRDefault="00EA26A7" w:rsidP="004E4F05">
      <w:pPr>
        <w:jc w:val="center"/>
        <w:rPr>
          <w:rFonts w:ascii="Times New Roman" w:hAnsi="Times New Roman" w:cs="Times New Roman"/>
          <w:sz w:val="56"/>
          <w:szCs w:val="56"/>
        </w:rPr>
      </w:pPr>
      <w:r>
        <w:rPr>
          <w:rFonts w:ascii="Times New Roman" w:hAnsi="Times New Roman" w:cs="Times New Roman"/>
          <w:sz w:val="56"/>
          <w:szCs w:val="56"/>
        </w:rPr>
        <w:t>_______________________________________________</w:t>
      </w:r>
    </w:p>
    <w:p w14:paraId="3A9BDF05" w14:textId="77777777" w:rsidR="004E4F05" w:rsidRPr="007245B0" w:rsidRDefault="004E4F05">
      <w:pPr>
        <w:rPr>
          <w:rFonts w:ascii="Times New Roman" w:hAnsi="Times New Roman" w:cs="Times New Roman"/>
          <w:i/>
          <w:iCs/>
        </w:rPr>
      </w:pPr>
    </w:p>
    <w:p w14:paraId="60C216A2" w14:textId="674978BF" w:rsidR="004E4F05" w:rsidRPr="007245B0" w:rsidRDefault="004E4F05">
      <w:pPr>
        <w:rPr>
          <w:rFonts w:ascii="Times New Roman" w:hAnsi="Times New Roman" w:cs="Times New Roman"/>
          <w:i/>
          <w:iCs/>
        </w:rPr>
      </w:pPr>
      <w:r w:rsidRPr="007245B0">
        <w:rPr>
          <w:rFonts w:ascii="Times New Roman" w:hAnsi="Times New Roman" w:cs="Times New Roman"/>
          <w:i/>
          <w:iCs/>
        </w:rPr>
        <w:br w:type="page"/>
      </w:r>
    </w:p>
    <w:p w14:paraId="08AA3771" w14:textId="051DADCA" w:rsidR="004E4F05" w:rsidRPr="007245B0" w:rsidRDefault="004E4F05">
      <w:pPr>
        <w:rPr>
          <w:rFonts w:ascii="Times New Roman" w:hAnsi="Times New Roman" w:cs="Times New Roman"/>
          <w:i/>
          <w:iCs/>
        </w:rPr>
      </w:pPr>
      <w:r w:rsidRPr="007245B0">
        <w:rPr>
          <w:rFonts w:ascii="Times New Roman" w:hAnsi="Times New Roman" w:cs="Times New Roman"/>
          <w:i/>
          <w:iCs/>
        </w:rPr>
        <w:lastRenderedPageBreak/>
        <w:br w:type="page"/>
      </w:r>
    </w:p>
    <w:p w14:paraId="425B1BD6" w14:textId="77777777" w:rsidR="00D923FB" w:rsidRPr="007245B0" w:rsidRDefault="00D923FB" w:rsidP="004E4F05">
      <w:pPr>
        <w:tabs>
          <w:tab w:val="left" w:pos="3143"/>
        </w:tabs>
        <w:jc w:val="center"/>
        <w:rPr>
          <w:rFonts w:ascii="Times New Roman" w:hAnsi="Times New Roman" w:cs="Times New Roman"/>
          <w:i/>
          <w:iCs/>
        </w:rPr>
        <w:sectPr w:rsidR="00D923FB" w:rsidRPr="007245B0" w:rsidSect="002152D6">
          <w:pgSz w:w="15840" w:h="12240" w:orient="landscape"/>
          <w:pgMar w:top="1440" w:right="992" w:bottom="1440" w:left="1440" w:header="720" w:footer="720" w:gutter="0"/>
          <w:cols w:space="720"/>
        </w:sectPr>
      </w:pPr>
    </w:p>
    <w:p w14:paraId="097DDF43" w14:textId="0110E329" w:rsidR="008E1321" w:rsidRPr="008E1321" w:rsidRDefault="008E1321" w:rsidP="008E1321">
      <w:pPr>
        <w:pStyle w:val="TOC1"/>
        <w:tabs>
          <w:tab w:val="right" w:leader="underscore" w:pos="9350"/>
        </w:tabs>
        <w:jc w:val="center"/>
        <w:rPr>
          <w:rStyle w:val="Hyperlink"/>
          <w:rFonts w:ascii="Times New Roman" w:hAnsi="Times New Roman" w:cs="Times New Roman"/>
          <w:i w:val="0"/>
          <w:iCs w:val="0"/>
          <w:noProof/>
          <w:color w:val="auto"/>
          <w:u w:val="none"/>
        </w:rPr>
      </w:pPr>
      <w:r w:rsidRPr="008E1321">
        <w:rPr>
          <w:rStyle w:val="Hyperlink"/>
          <w:rFonts w:ascii="Times New Roman" w:hAnsi="Times New Roman" w:cs="Times New Roman"/>
          <w:i w:val="0"/>
          <w:iCs w:val="0"/>
          <w:noProof/>
          <w:color w:val="auto"/>
          <w:u w:val="none"/>
        </w:rPr>
        <w:lastRenderedPageBreak/>
        <w:t>CONTENT</w:t>
      </w:r>
      <w:r>
        <w:rPr>
          <w:rStyle w:val="Hyperlink"/>
          <w:rFonts w:ascii="Times New Roman" w:hAnsi="Times New Roman" w:cs="Times New Roman"/>
          <w:i w:val="0"/>
          <w:iCs w:val="0"/>
          <w:noProof/>
          <w:color w:val="auto"/>
          <w:u w:val="none"/>
        </w:rPr>
        <w:t>S</w:t>
      </w:r>
    </w:p>
    <w:p w14:paraId="15E558BD" w14:textId="77777777" w:rsidR="008E1321" w:rsidRPr="008E1321" w:rsidRDefault="008E1321" w:rsidP="008E1321">
      <w:pPr>
        <w:pStyle w:val="TOC1"/>
        <w:tabs>
          <w:tab w:val="right" w:leader="underscore" w:pos="9350"/>
        </w:tabs>
        <w:rPr>
          <w:rStyle w:val="Hyperlink"/>
          <w:rFonts w:ascii="Times New Roman" w:hAnsi="Times New Roman" w:cs="Times New Roman"/>
          <w:i w:val="0"/>
          <w:iCs w:val="0"/>
          <w:noProof/>
          <w:color w:val="auto"/>
          <w:u w:val="none"/>
        </w:rPr>
      </w:pPr>
    </w:p>
    <w:p w14:paraId="3AB398B7" w14:textId="77777777" w:rsidR="008E1321" w:rsidRPr="008E1321" w:rsidRDefault="008E1321" w:rsidP="008E1321">
      <w:pPr>
        <w:pStyle w:val="TOC1"/>
        <w:tabs>
          <w:tab w:val="right" w:leader="underscore" w:pos="9350"/>
        </w:tabs>
        <w:rPr>
          <w:rStyle w:val="Hyperlink"/>
          <w:rFonts w:ascii="Times New Roman" w:hAnsi="Times New Roman" w:cs="Times New Roman"/>
          <w:i w:val="0"/>
          <w:iCs w:val="0"/>
          <w:noProof/>
          <w:color w:val="auto"/>
          <w:u w:val="none"/>
        </w:rPr>
      </w:pPr>
    </w:p>
    <w:p w14:paraId="498FE203" w14:textId="18522848" w:rsidR="008E1321" w:rsidRPr="008E1321" w:rsidRDefault="008E1321" w:rsidP="008E1321">
      <w:pPr>
        <w:pStyle w:val="TOC1"/>
        <w:tabs>
          <w:tab w:val="right" w:leader="underscore" w:pos="9350"/>
        </w:tabs>
        <w:rPr>
          <w:rFonts w:ascii="Times New Roman" w:eastAsiaTheme="minorEastAsia" w:hAnsi="Times New Roman" w:cs="Times New Roman"/>
          <w:b w:val="0"/>
          <w:bCs w:val="0"/>
          <w:i w:val="0"/>
          <w:iCs w:val="0"/>
          <w:noProof/>
          <w:szCs w:val="21"/>
          <w:lang w:eastAsia="en-IN"/>
        </w:rPr>
      </w:pPr>
      <w:hyperlink w:anchor="_Toc221115372" w:history="1">
        <w:r w:rsidRPr="008E1321">
          <w:rPr>
            <w:rStyle w:val="Hyperlink"/>
            <w:rFonts w:ascii="Times New Roman" w:hAnsi="Times New Roman" w:cs="Times New Roman"/>
            <w:i w:val="0"/>
            <w:iCs w:val="0"/>
            <w:noProof/>
            <w:color w:val="auto"/>
            <w:u w:val="none"/>
          </w:rPr>
          <w:t>ANNEXURE  INTERIM REPORT OF THE COMMISSION</w:t>
        </w:r>
        <w:r w:rsidRPr="008E1321">
          <w:rPr>
            <w:rFonts w:ascii="Times New Roman" w:hAnsi="Times New Roman" w:cs="Times New Roman"/>
            <w:i w:val="0"/>
            <w:iCs w:val="0"/>
            <w:noProof/>
            <w:webHidden/>
          </w:rPr>
          <w:tab/>
        </w:r>
        <w:r w:rsidRPr="008E1321">
          <w:rPr>
            <w:rFonts w:ascii="Times New Roman" w:hAnsi="Times New Roman" w:cs="Times New Roman"/>
            <w:i w:val="0"/>
            <w:iCs w:val="0"/>
            <w:noProof/>
            <w:webHidden/>
          </w:rPr>
          <w:fldChar w:fldCharType="begin"/>
        </w:r>
        <w:r w:rsidRPr="008E1321">
          <w:rPr>
            <w:rFonts w:ascii="Times New Roman" w:hAnsi="Times New Roman" w:cs="Times New Roman"/>
            <w:i w:val="0"/>
            <w:iCs w:val="0"/>
            <w:noProof/>
            <w:webHidden/>
          </w:rPr>
          <w:instrText xml:space="preserve"> PAGEREF _Toc221115372 \h </w:instrText>
        </w:r>
        <w:r w:rsidRPr="008E1321">
          <w:rPr>
            <w:rFonts w:ascii="Times New Roman" w:hAnsi="Times New Roman" w:cs="Times New Roman"/>
            <w:i w:val="0"/>
            <w:iCs w:val="0"/>
            <w:noProof/>
            <w:webHidden/>
          </w:rPr>
        </w:r>
        <w:r w:rsidRPr="008E1321">
          <w:rPr>
            <w:rFonts w:ascii="Times New Roman" w:hAnsi="Times New Roman" w:cs="Times New Roman"/>
            <w:i w:val="0"/>
            <w:iCs w:val="0"/>
            <w:noProof/>
            <w:webHidden/>
          </w:rPr>
          <w:fldChar w:fldCharType="separate"/>
        </w:r>
        <w:r w:rsidR="00F70A97">
          <w:rPr>
            <w:rFonts w:ascii="Times New Roman" w:hAnsi="Times New Roman" w:cs="Times New Roman"/>
            <w:i w:val="0"/>
            <w:iCs w:val="0"/>
            <w:noProof/>
            <w:webHidden/>
          </w:rPr>
          <w:t>225</w:t>
        </w:r>
        <w:r w:rsidRPr="008E1321">
          <w:rPr>
            <w:rFonts w:ascii="Times New Roman" w:hAnsi="Times New Roman" w:cs="Times New Roman"/>
            <w:i w:val="0"/>
            <w:iCs w:val="0"/>
            <w:noProof/>
            <w:webHidden/>
          </w:rPr>
          <w:fldChar w:fldCharType="end"/>
        </w:r>
      </w:hyperlink>
    </w:p>
    <w:p w14:paraId="2FDE5F96" w14:textId="0B415B9E" w:rsidR="008E1321" w:rsidRPr="008E1321" w:rsidRDefault="008E1321" w:rsidP="008E1321">
      <w:pPr>
        <w:pStyle w:val="TOC1"/>
        <w:tabs>
          <w:tab w:val="left" w:pos="1440"/>
          <w:tab w:val="right" w:leader="underscore" w:pos="9350"/>
        </w:tabs>
        <w:rPr>
          <w:rFonts w:ascii="Times New Roman" w:eastAsiaTheme="minorEastAsia" w:hAnsi="Times New Roman" w:cs="Times New Roman"/>
          <w:b w:val="0"/>
          <w:bCs w:val="0"/>
          <w:i w:val="0"/>
          <w:iCs w:val="0"/>
          <w:noProof/>
          <w:szCs w:val="21"/>
          <w:lang w:eastAsia="en-IN"/>
        </w:rPr>
      </w:pPr>
      <w:hyperlink w:anchor="_Toc221115373" w:history="1">
        <w:r w:rsidRPr="008E1321">
          <w:rPr>
            <w:rStyle w:val="Hyperlink"/>
            <w:rFonts w:ascii="Times New Roman" w:hAnsi="Times New Roman" w:cs="Times New Roman"/>
            <w:i w:val="0"/>
            <w:iCs w:val="0"/>
            <w:noProof/>
            <w:color w:val="auto"/>
            <w:u w:val="none"/>
          </w:rPr>
          <w:t>Chapter 1</w:t>
        </w:r>
        <w:r w:rsidRPr="008E1321">
          <w:rPr>
            <w:rFonts w:ascii="Times New Roman" w:eastAsiaTheme="minorEastAsia" w:hAnsi="Times New Roman" w:cs="Times New Roman"/>
            <w:b w:val="0"/>
            <w:bCs w:val="0"/>
            <w:i w:val="0"/>
            <w:iCs w:val="0"/>
            <w:noProof/>
            <w:szCs w:val="21"/>
            <w:lang w:eastAsia="en-IN"/>
          </w:rPr>
          <w:tab/>
        </w:r>
        <w:r w:rsidRPr="008E1321">
          <w:rPr>
            <w:rStyle w:val="Hyperlink"/>
            <w:rFonts w:ascii="Times New Roman" w:hAnsi="Times New Roman" w:cs="Times New Roman"/>
            <w:i w:val="0"/>
            <w:iCs w:val="0"/>
            <w:noProof/>
            <w:color w:val="auto"/>
            <w:u w:val="none"/>
          </w:rPr>
          <w:t>INTRODUCTORY</w:t>
        </w:r>
        <w:r w:rsidRPr="008E1321">
          <w:rPr>
            <w:rFonts w:ascii="Times New Roman" w:hAnsi="Times New Roman" w:cs="Times New Roman"/>
            <w:i w:val="0"/>
            <w:iCs w:val="0"/>
            <w:noProof/>
            <w:webHidden/>
          </w:rPr>
          <w:tab/>
        </w:r>
        <w:r w:rsidRPr="008E1321">
          <w:rPr>
            <w:rFonts w:ascii="Times New Roman" w:hAnsi="Times New Roman" w:cs="Times New Roman"/>
            <w:i w:val="0"/>
            <w:iCs w:val="0"/>
            <w:noProof/>
            <w:webHidden/>
          </w:rPr>
          <w:fldChar w:fldCharType="begin"/>
        </w:r>
        <w:r w:rsidRPr="008E1321">
          <w:rPr>
            <w:rFonts w:ascii="Times New Roman" w:hAnsi="Times New Roman" w:cs="Times New Roman"/>
            <w:i w:val="0"/>
            <w:iCs w:val="0"/>
            <w:noProof/>
            <w:webHidden/>
          </w:rPr>
          <w:instrText xml:space="preserve"> PAGEREF _Toc221115373 \h </w:instrText>
        </w:r>
        <w:r w:rsidRPr="008E1321">
          <w:rPr>
            <w:rFonts w:ascii="Times New Roman" w:hAnsi="Times New Roman" w:cs="Times New Roman"/>
            <w:i w:val="0"/>
            <w:iCs w:val="0"/>
            <w:noProof/>
            <w:webHidden/>
          </w:rPr>
        </w:r>
        <w:r w:rsidRPr="008E1321">
          <w:rPr>
            <w:rFonts w:ascii="Times New Roman" w:hAnsi="Times New Roman" w:cs="Times New Roman"/>
            <w:i w:val="0"/>
            <w:iCs w:val="0"/>
            <w:noProof/>
            <w:webHidden/>
          </w:rPr>
          <w:fldChar w:fldCharType="separate"/>
        </w:r>
        <w:r w:rsidR="00F70A97">
          <w:rPr>
            <w:rFonts w:ascii="Times New Roman" w:hAnsi="Times New Roman" w:cs="Times New Roman"/>
            <w:i w:val="0"/>
            <w:iCs w:val="0"/>
            <w:noProof/>
            <w:webHidden/>
          </w:rPr>
          <w:t>229</w:t>
        </w:r>
        <w:r w:rsidRPr="008E1321">
          <w:rPr>
            <w:rFonts w:ascii="Times New Roman" w:hAnsi="Times New Roman" w:cs="Times New Roman"/>
            <w:i w:val="0"/>
            <w:iCs w:val="0"/>
            <w:noProof/>
            <w:webHidden/>
          </w:rPr>
          <w:fldChar w:fldCharType="end"/>
        </w:r>
      </w:hyperlink>
    </w:p>
    <w:p w14:paraId="0105D6D0" w14:textId="584D1FBF" w:rsidR="008E1321" w:rsidRPr="008E1321" w:rsidRDefault="008E1321" w:rsidP="008E1321">
      <w:pPr>
        <w:pStyle w:val="TOC1"/>
        <w:tabs>
          <w:tab w:val="left" w:pos="1440"/>
          <w:tab w:val="right" w:leader="underscore" w:pos="9350"/>
        </w:tabs>
        <w:rPr>
          <w:rFonts w:ascii="Times New Roman" w:eastAsiaTheme="minorEastAsia" w:hAnsi="Times New Roman" w:cs="Times New Roman"/>
          <w:b w:val="0"/>
          <w:bCs w:val="0"/>
          <w:i w:val="0"/>
          <w:iCs w:val="0"/>
          <w:noProof/>
          <w:szCs w:val="21"/>
          <w:lang w:eastAsia="en-IN"/>
        </w:rPr>
      </w:pPr>
      <w:hyperlink w:anchor="_Toc221115374" w:history="1">
        <w:r w:rsidRPr="008E1321">
          <w:rPr>
            <w:rStyle w:val="Hyperlink"/>
            <w:rFonts w:ascii="Times New Roman" w:hAnsi="Times New Roman" w:cs="Times New Roman"/>
            <w:i w:val="0"/>
            <w:iCs w:val="0"/>
            <w:noProof/>
            <w:color w:val="auto"/>
            <w:u w:val="none"/>
          </w:rPr>
          <w:t>Chapter 2</w:t>
        </w:r>
        <w:r w:rsidRPr="008E1321">
          <w:rPr>
            <w:rFonts w:ascii="Times New Roman" w:eastAsiaTheme="minorEastAsia" w:hAnsi="Times New Roman" w:cs="Times New Roman"/>
            <w:b w:val="0"/>
            <w:bCs w:val="0"/>
            <w:i w:val="0"/>
            <w:iCs w:val="0"/>
            <w:noProof/>
            <w:szCs w:val="21"/>
            <w:lang w:eastAsia="en-IN"/>
          </w:rPr>
          <w:tab/>
        </w:r>
        <w:r w:rsidRPr="008E1321">
          <w:rPr>
            <w:rStyle w:val="Hyperlink"/>
            <w:rFonts w:ascii="Times New Roman" w:hAnsi="Times New Roman" w:cs="Times New Roman"/>
            <w:i w:val="0"/>
            <w:iCs w:val="0"/>
            <w:noProof/>
            <w:color w:val="auto"/>
            <w:u w:val="none"/>
          </w:rPr>
          <w:t>GRANT IN LIEU OF TAX ON RAILWAY PASSENGER FARES</w:t>
        </w:r>
        <w:r w:rsidRPr="008E1321">
          <w:rPr>
            <w:rFonts w:ascii="Times New Roman" w:hAnsi="Times New Roman" w:cs="Times New Roman"/>
            <w:i w:val="0"/>
            <w:iCs w:val="0"/>
            <w:noProof/>
            <w:webHidden/>
          </w:rPr>
          <w:tab/>
        </w:r>
        <w:r w:rsidRPr="008E1321">
          <w:rPr>
            <w:rFonts w:ascii="Times New Roman" w:hAnsi="Times New Roman" w:cs="Times New Roman"/>
            <w:i w:val="0"/>
            <w:iCs w:val="0"/>
            <w:noProof/>
            <w:webHidden/>
          </w:rPr>
          <w:fldChar w:fldCharType="begin"/>
        </w:r>
        <w:r w:rsidRPr="008E1321">
          <w:rPr>
            <w:rFonts w:ascii="Times New Roman" w:hAnsi="Times New Roman" w:cs="Times New Roman"/>
            <w:i w:val="0"/>
            <w:iCs w:val="0"/>
            <w:noProof/>
            <w:webHidden/>
          </w:rPr>
          <w:instrText xml:space="preserve"> PAGEREF _Toc221115374 \h </w:instrText>
        </w:r>
        <w:r w:rsidRPr="008E1321">
          <w:rPr>
            <w:rFonts w:ascii="Times New Roman" w:hAnsi="Times New Roman" w:cs="Times New Roman"/>
            <w:i w:val="0"/>
            <w:iCs w:val="0"/>
            <w:noProof/>
            <w:webHidden/>
          </w:rPr>
        </w:r>
        <w:r w:rsidRPr="008E1321">
          <w:rPr>
            <w:rFonts w:ascii="Times New Roman" w:hAnsi="Times New Roman" w:cs="Times New Roman"/>
            <w:i w:val="0"/>
            <w:iCs w:val="0"/>
            <w:noProof/>
            <w:webHidden/>
          </w:rPr>
          <w:fldChar w:fldCharType="separate"/>
        </w:r>
        <w:r w:rsidR="00F70A97">
          <w:rPr>
            <w:rFonts w:ascii="Times New Roman" w:hAnsi="Times New Roman" w:cs="Times New Roman"/>
            <w:i w:val="0"/>
            <w:iCs w:val="0"/>
            <w:noProof/>
            <w:webHidden/>
          </w:rPr>
          <w:t>233</w:t>
        </w:r>
        <w:r w:rsidRPr="008E1321">
          <w:rPr>
            <w:rFonts w:ascii="Times New Roman" w:hAnsi="Times New Roman" w:cs="Times New Roman"/>
            <w:i w:val="0"/>
            <w:iCs w:val="0"/>
            <w:noProof/>
            <w:webHidden/>
          </w:rPr>
          <w:fldChar w:fldCharType="end"/>
        </w:r>
      </w:hyperlink>
    </w:p>
    <w:p w14:paraId="580E8A74" w14:textId="06CEEBC5" w:rsidR="008E1321" w:rsidRPr="008E1321" w:rsidRDefault="008E1321" w:rsidP="008E1321">
      <w:pPr>
        <w:pStyle w:val="TOC1"/>
        <w:tabs>
          <w:tab w:val="left" w:pos="1440"/>
          <w:tab w:val="right" w:leader="underscore" w:pos="9350"/>
        </w:tabs>
        <w:rPr>
          <w:rFonts w:ascii="Times New Roman" w:eastAsiaTheme="minorEastAsia" w:hAnsi="Times New Roman" w:cs="Times New Roman"/>
          <w:b w:val="0"/>
          <w:bCs w:val="0"/>
          <w:i w:val="0"/>
          <w:iCs w:val="0"/>
          <w:noProof/>
          <w:szCs w:val="21"/>
          <w:lang w:eastAsia="en-IN"/>
        </w:rPr>
      </w:pPr>
      <w:hyperlink w:anchor="_Toc221115375" w:history="1">
        <w:r w:rsidRPr="008E1321">
          <w:rPr>
            <w:rStyle w:val="Hyperlink"/>
            <w:rFonts w:ascii="Times New Roman" w:hAnsi="Times New Roman" w:cs="Times New Roman"/>
            <w:i w:val="0"/>
            <w:iCs w:val="0"/>
            <w:noProof/>
            <w:color w:val="auto"/>
            <w:u w:val="none"/>
          </w:rPr>
          <w:t>Chapter 3</w:t>
        </w:r>
        <w:r w:rsidRPr="008E1321">
          <w:rPr>
            <w:rFonts w:ascii="Times New Roman" w:eastAsiaTheme="minorEastAsia" w:hAnsi="Times New Roman" w:cs="Times New Roman"/>
            <w:b w:val="0"/>
            <w:bCs w:val="0"/>
            <w:i w:val="0"/>
            <w:iCs w:val="0"/>
            <w:noProof/>
            <w:szCs w:val="21"/>
            <w:lang w:eastAsia="en-IN"/>
          </w:rPr>
          <w:tab/>
        </w:r>
        <w:r w:rsidRPr="008E1321">
          <w:rPr>
            <w:rStyle w:val="Hyperlink"/>
            <w:rFonts w:ascii="Times New Roman" w:hAnsi="Times New Roman" w:cs="Times New Roman"/>
            <w:i w:val="0"/>
            <w:iCs w:val="0"/>
            <w:noProof/>
            <w:color w:val="auto"/>
            <w:u w:val="none"/>
          </w:rPr>
          <w:t>ESTATE DUTY</w:t>
        </w:r>
        <w:r w:rsidRPr="008E1321">
          <w:rPr>
            <w:rFonts w:ascii="Times New Roman" w:hAnsi="Times New Roman" w:cs="Times New Roman"/>
            <w:i w:val="0"/>
            <w:iCs w:val="0"/>
            <w:noProof/>
            <w:webHidden/>
          </w:rPr>
          <w:tab/>
        </w:r>
        <w:r w:rsidRPr="008E1321">
          <w:rPr>
            <w:rFonts w:ascii="Times New Roman" w:hAnsi="Times New Roman" w:cs="Times New Roman"/>
            <w:i w:val="0"/>
            <w:iCs w:val="0"/>
            <w:noProof/>
            <w:webHidden/>
          </w:rPr>
          <w:fldChar w:fldCharType="begin"/>
        </w:r>
        <w:r w:rsidRPr="008E1321">
          <w:rPr>
            <w:rFonts w:ascii="Times New Roman" w:hAnsi="Times New Roman" w:cs="Times New Roman"/>
            <w:i w:val="0"/>
            <w:iCs w:val="0"/>
            <w:noProof/>
            <w:webHidden/>
          </w:rPr>
          <w:instrText xml:space="preserve"> PAGEREF _Toc221115375 \h </w:instrText>
        </w:r>
        <w:r w:rsidRPr="008E1321">
          <w:rPr>
            <w:rFonts w:ascii="Times New Roman" w:hAnsi="Times New Roman" w:cs="Times New Roman"/>
            <w:i w:val="0"/>
            <w:iCs w:val="0"/>
            <w:noProof/>
            <w:webHidden/>
          </w:rPr>
        </w:r>
        <w:r w:rsidRPr="008E1321">
          <w:rPr>
            <w:rFonts w:ascii="Times New Roman" w:hAnsi="Times New Roman" w:cs="Times New Roman"/>
            <w:i w:val="0"/>
            <w:iCs w:val="0"/>
            <w:noProof/>
            <w:webHidden/>
          </w:rPr>
          <w:fldChar w:fldCharType="separate"/>
        </w:r>
        <w:r w:rsidR="00F70A97">
          <w:rPr>
            <w:rFonts w:ascii="Times New Roman" w:hAnsi="Times New Roman" w:cs="Times New Roman"/>
            <w:i w:val="0"/>
            <w:iCs w:val="0"/>
            <w:noProof/>
            <w:webHidden/>
          </w:rPr>
          <w:t>236</w:t>
        </w:r>
        <w:r w:rsidRPr="008E1321">
          <w:rPr>
            <w:rFonts w:ascii="Times New Roman" w:hAnsi="Times New Roman" w:cs="Times New Roman"/>
            <w:i w:val="0"/>
            <w:iCs w:val="0"/>
            <w:noProof/>
            <w:webHidden/>
          </w:rPr>
          <w:fldChar w:fldCharType="end"/>
        </w:r>
      </w:hyperlink>
    </w:p>
    <w:p w14:paraId="40E27A61" w14:textId="31CA6D66" w:rsidR="008E1321" w:rsidRPr="008E1321" w:rsidRDefault="008E1321" w:rsidP="008E1321">
      <w:pPr>
        <w:pStyle w:val="TOC1"/>
        <w:tabs>
          <w:tab w:val="left" w:pos="1440"/>
          <w:tab w:val="right" w:leader="underscore" w:pos="9350"/>
        </w:tabs>
        <w:rPr>
          <w:rFonts w:ascii="Times New Roman" w:eastAsiaTheme="minorEastAsia" w:hAnsi="Times New Roman" w:cs="Times New Roman"/>
          <w:b w:val="0"/>
          <w:bCs w:val="0"/>
          <w:i w:val="0"/>
          <w:iCs w:val="0"/>
          <w:noProof/>
          <w:szCs w:val="21"/>
          <w:lang w:eastAsia="en-IN"/>
        </w:rPr>
      </w:pPr>
      <w:hyperlink w:anchor="_Toc221115376" w:history="1">
        <w:r w:rsidRPr="008E1321">
          <w:rPr>
            <w:rStyle w:val="Hyperlink"/>
            <w:rFonts w:ascii="Times New Roman" w:hAnsi="Times New Roman" w:cs="Times New Roman"/>
            <w:i w:val="0"/>
            <w:iCs w:val="0"/>
            <w:noProof/>
            <w:color w:val="auto"/>
            <w:u w:val="none"/>
          </w:rPr>
          <w:t>Chapter 4</w:t>
        </w:r>
        <w:r w:rsidRPr="008E1321">
          <w:rPr>
            <w:rFonts w:ascii="Times New Roman" w:eastAsiaTheme="minorEastAsia" w:hAnsi="Times New Roman" w:cs="Times New Roman"/>
            <w:b w:val="0"/>
            <w:bCs w:val="0"/>
            <w:i w:val="0"/>
            <w:iCs w:val="0"/>
            <w:noProof/>
            <w:szCs w:val="21"/>
            <w:lang w:eastAsia="en-IN"/>
          </w:rPr>
          <w:tab/>
        </w:r>
        <w:r w:rsidRPr="008E1321">
          <w:rPr>
            <w:rStyle w:val="Hyperlink"/>
            <w:rFonts w:ascii="Times New Roman" w:hAnsi="Times New Roman" w:cs="Times New Roman"/>
            <w:i w:val="0"/>
            <w:iCs w:val="0"/>
            <w:noProof/>
            <w:color w:val="auto"/>
            <w:u w:val="none"/>
          </w:rPr>
          <w:t>UNAUTHORISED OVERDRAFTS</w:t>
        </w:r>
        <w:r w:rsidRPr="008E1321">
          <w:rPr>
            <w:rFonts w:ascii="Times New Roman" w:hAnsi="Times New Roman" w:cs="Times New Roman"/>
            <w:i w:val="0"/>
            <w:iCs w:val="0"/>
            <w:noProof/>
            <w:webHidden/>
          </w:rPr>
          <w:tab/>
        </w:r>
        <w:r w:rsidRPr="008E1321">
          <w:rPr>
            <w:rFonts w:ascii="Times New Roman" w:hAnsi="Times New Roman" w:cs="Times New Roman"/>
            <w:i w:val="0"/>
            <w:iCs w:val="0"/>
            <w:noProof/>
            <w:webHidden/>
          </w:rPr>
          <w:fldChar w:fldCharType="begin"/>
        </w:r>
        <w:r w:rsidRPr="008E1321">
          <w:rPr>
            <w:rFonts w:ascii="Times New Roman" w:hAnsi="Times New Roman" w:cs="Times New Roman"/>
            <w:i w:val="0"/>
            <w:iCs w:val="0"/>
            <w:noProof/>
            <w:webHidden/>
          </w:rPr>
          <w:instrText xml:space="preserve"> PAGEREF _Toc221115376 \h </w:instrText>
        </w:r>
        <w:r w:rsidRPr="008E1321">
          <w:rPr>
            <w:rFonts w:ascii="Times New Roman" w:hAnsi="Times New Roman" w:cs="Times New Roman"/>
            <w:i w:val="0"/>
            <w:iCs w:val="0"/>
            <w:noProof/>
            <w:webHidden/>
          </w:rPr>
        </w:r>
        <w:r w:rsidRPr="008E1321">
          <w:rPr>
            <w:rFonts w:ascii="Times New Roman" w:hAnsi="Times New Roman" w:cs="Times New Roman"/>
            <w:i w:val="0"/>
            <w:iCs w:val="0"/>
            <w:noProof/>
            <w:webHidden/>
          </w:rPr>
          <w:fldChar w:fldCharType="separate"/>
        </w:r>
        <w:r w:rsidR="00F70A97">
          <w:rPr>
            <w:rFonts w:ascii="Times New Roman" w:hAnsi="Times New Roman" w:cs="Times New Roman"/>
            <w:i w:val="0"/>
            <w:iCs w:val="0"/>
            <w:noProof/>
            <w:webHidden/>
          </w:rPr>
          <w:t>239</w:t>
        </w:r>
        <w:r w:rsidRPr="008E1321">
          <w:rPr>
            <w:rFonts w:ascii="Times New Roman" w:hAnsi="Times New Roman" w:cs="Times New Roman"/>
            <w:i w:val="0"/>
            <w:iCs w:val="0"/>
            <w:noProof/>
            <w:webHidden/>
          </w:rPr>
          <w:fldChar w:fldCharType="end"/>
        </w:r>
      </w:hyperlink>
    </w:p>
    <w:p w14:paraId="4B7DB24E" w14:textId="7C1BD18B" w:rsidR="008E1321" w:rsidRPr="008E1321" w:rsidRDefault="008E1321" w:rsidP="008E1321">
      <w:pPr>
        <w:pStyle w:val="TOC1"/>
        <w:tabs>
          <w:tab w:val="left" w:pos="1440"/>
          <w:tab w:val="right" w:leader="underscore" w:pos="9350"/>
        </w:tabs>
        <w:rPr>
          <w:rFonts w:ascii="Times New Roman" w:eastAsiaTheme="minorEastAsia" w:hAnsi="Times New Roman" w:cs="Times New Roman"/>
          <w:b w:val="0"/>
          <w:bCs w:val="0"/>
          <w:i w:val="0"/>
          <w:iCs w:val="0"/>
          <w:noProof/>
          <w:szCs w:val="21"/>
          <w:lang w:eastAsia="en-IN"/>
        </w:rPr>
      </w:pPr>
      <w:hyperlink w:anchor="_Toc221115377" w:history="1">
        <w:r w:rsidRPr="008E1321">
          <w:rPr>
            <w:rStyle w:val="Hyperlink"/>
            <w:rFonts w:ascii="Times New Roman" w:hAnsi="Times New Roman" w:cs="Times New Roman"/>
            <w:i w:val="0"/>
            <w:iCs w:val="0"/>
            <w:noProof/>
            <w:color w:val="auto"/>
            <w:u w:val="none"/>
          </w:rPr>
          <w:t>Chapter 5</w:t>
        </w:r>
        <w:r w:rsidRPr="008E1321">
          <w:rPr>
            <w:rFonts w:ascii="Times New Roman" w:eastAsiaTheme="minorEastAsia" w:hAnsi="Times New Roman" w:cs="Times New Roman"/>
            <w:b w:val="0"/>
            <w:bCs w:val="0"/>
            <w:i w:val="0"/>
            <w:iCs w:val="0"/>
            <w:noProof/>
            <w:szCs w:val="21"/>
            <w:lang w:eastAsia="en-IN"/>
          </w:rPr>
          <w:tab/>
        </w:r>
        <w:r w:rsidRPr="008E1321">
          <w:rPr>
            <w:rStyle w:val="Hyperlink"/>
            <w:rFonts w:ascii="Times New Roman" w:hAnsi="Times New Roman" w:cs="Times New Roman"/>
            <w:i w:val="0"/>
            <w:iCs w:val="0"/>
            <w:noProof/>
            <w:color w:val="auto"/>
            <w:u w:val="none"/>
          </w:rPr>
          <w:t>DEVOLUTIONS AND GRANTS FOR 1969-70</w:t>
        </w:r>
        <w:r w:rsidRPr="008E1321">
          <w:rPr>
            <w:rFonts w:ascii="Times New Roman" w:hAnsi="Times New Roman" w:cs="Times New Roman"/>
            <w:i w:val="0"/>
            <w:iCs w:val="0"/>
            <w:noProof/>
            <w:webHidden/>
          </w:rPr>
          <w:tab/>
        </w:r>
        <w:r w:rsidRPr="008E1321">
          <w:rPr>
            <w:rFonts w:ascii="Times New Roman" w:hAnsi="Times New Roman" w:cs="Times New Roman"/>
            <w:i w:val="0"/>
            <w:iCs w:val="0"/>
            <w:noProof/>
            <w:webHidden/>
          </w:rPr>
          <w:fldChar w:fldCharType="begin"/>
        </w:r>
        <w:r w:rsidRPr="008E1321">
          <w:rPr>
            <w:rFonts w:ascii="Times New Roman" w:hAnsi="Times New Roman" w:cs="Times New Roman"/>
            <w:i w:val="0"/>
            <w:iCs w:val="0"/>
            <w:noProof/>
            <w:webHidden/>
          </w:rPr>
          <w:instrText xml:space="preserve"> PAGEREF _Toc221115377 \h </w:instrText>
        </w:r>
        <w:r w:rsidRPr="008E1321">
          <w:rPr>
            <w:rFonts w:ascii="Times New Roman" w:hAnsi="Times New Roman" w:cs="Times New Roman"/>
            <w:i w:val="0"/>
            <w:iCs w:val="0"/>
            <w:noProof/>
            <w:webHidden/>
          </w:rPr>
        </w:r>
        <w:r w:rsidRPr="008E1321">
          <w:rPr>
            <w:rFonts w:ascii="Times New Roman" w:hAnsi="Times New Roman" w:cs="Times New Roman"/>
            <w:i w:val="0"/>
            <w:iCs w:val="0"/>
            <w:noProof/>
            <w:webHidden/>
          </w:rPr>
          <w:fldChar w:fldCharType="separate"/>
        </w:r>
        <w:r w:rsidR="00F70A97">
          <w:rPr>
            <w:rFonts w:ascii="Times New Roman" w:hAnsi="Times New Roman" w:cs="Times New Roman"/>
            <w:i w:val="0"/>
            <w:iCs w:val="0"/>
            <w:noProof/>
            <w:webHidden/>
          </w:rPr>
          <w:t>256</w:t>
        </w:r>
        <w:r w:rsidRPr="008E1321">
          <w:rPr>
            <w:rFonts w:ascii="Times New Roman" w:hAnsi="Times New Roman" w:cs="Times New Roman"/>
            <w:i w:val="0"/>
            <w:iCs w:val="0"/>
            <w:noProof/>
            <w:webHidden/>
          </w:rPr>
          <w:fldChar w:fldCharType="end"/>
        </w:r>
      </w:hyperlink>
    </w:p>
    <w:p w14:paraId="302E36B9" w14:textId="67D10D65" w:rsidR="008E1321" w:rsidRPr="008E1321" w:rsidRDefault="008E1321" w:rsidP="008E1321">
      <w:pPr>
        <w:pStyle w:val="TOC1"/>
        <w:tabs>
          <w:tab w:val="right" w:leader="underscore" w:pos="9350"/>
        </w:tabs>
        <w:rPr>
          <w:rFonts w:ascii="Times New Roman" w:eastAsiaTheme="minorEastAsia" w:hAnsi="Times New Roman" w:cs="Times New Roman"/>
          <w:b w:val="0"/>
          <w:bCs w:val="0"/>
          <w:i w:val="0"/>
          <w:iCs w:val="0"/>
          <w:noProof/>
          <w:szCs w:val="21"/>
          <w:lang w:eastAsia="en-IN"/>
        </w:rPr>
      </w:pPr>
      <w:hyperlink w:anchor="_Toc221115378" w:history="1">
        <w:r w:rsidRPr="008E1321">
          <w:rPr>
            <w:rStyle w:val="Hyperlink"/>
            <w:rFonts w:ascii="Times New Roman" w:hAnsi="Times New Roman" w:cs="Times New Roman"/>
            <w:i w:val="0"/>
            <w:iCs w:val="0"/>
            <w:noProof/>
            <w:color w:val="auto"/>
            <w:u w:val="none"/>
          </w:rPr>
          <w:t>APPENDICES</w:t>
        </w:r>
        <w:r w:rsidRPr="008E1321">
          <w:rPr>
            <w:rFonts w:ascii="Times New Roman" w:hAnsi="Times New Roman" w:cs="Times New Roman"/>
            <w:i w:val="0"/>
            <w:iCs w:val="0"/>
            <w:noProof/>
            <w:webHidden/>
          </w:rPr>
          <w:tab/>
        </w:r>
        <w:r w:rsidRPr="008E1321">
          <w:rPr>
            <w:rFonts w:ascii="Times New Roman" w:hAnsi="Times New Roman" w:cs="Times New Roman"/>
            <w:i w:val="0"/>
            <w:iCs w:val="0"/>
            <w:noProof/>
            <w:webHidden/>
          </w:rPr>
          <w:fldChar w:fldCharType="begin"/>
        </w:r>
        <w:r w:rsidRPr="008E1321">
          <w:rPr>
            <w:rFonts w:ascii="Times New Roman" w:hAnsi="Times New Roman" w:cs="Times New Roman"/>
            <w:i w:val="0"/>
            <w:iCs w:val="0"/>
            <w:noProof/>
            <w:webHidden/>
          </w:rPr>
          <w:instrText xml:space="preserve"> PAGEREF _Toc221115378 \h </w:instrText>
        </w:r>
        <w:r w:rsidRPr="008E1321">
          <w:rPr>
            <w:rFonts w:ascii="Times New Roman" w:hAnsi="Times New Roman" w:cs="Times New Roman"/>
            <w:i w:val="0"/>
            <w:iCs w:val="0"/>
            <w:noProof/>
            <w:webHidden/>
          </w:rPr>
        </w:r>
        <w:r w:rsidRPr="008E1321">
          <w:rPr>
            <w:rFonts w:ascii="Times New Roman" w:hAnsi="Times New Roman" w:cs="Times New Roman"/>
            <w:i w:val="0"/>
            <w:iCs w:val="0"/>
            <w:noProof/>
            <w:webHidden/>
          </w:rPr>
          <w:fldChar w:fldCharType="separate"/>
        </w:r>
        <w:r w:rsidR="00F70A97">
          <w:rPr>
            <w:rFonts w:ascii="Times New Roman" w:hAnsi="Times New Roman" w:cs="Times New Roman"/>
            <w:i w:val="0"/>
            <w:iCs w:val="0"/>
            <w:noProof/>
            <w:webHidden/>
          </w:rPr>
          <w:t>263</w:t>
        </w:r>
        <w:r w:rsidRPr="008E1321">
          <w:rPr>
            <w:rFonts w:ascii="Times New Roman" w:hAnsi="Times New Roman" w:cs="Times New Roman"/>
            <w:i w:val="0"/>
            <w:iCs w:val="0"/>
            <w:noProof/>
            <w:webHidden/>
          </w:rPr>
          <w:fldChar w:fldCharType="end"/>
        </w:r>
      </w:hyperlink>
    </w:p>
    <w:p w14:paraId="77F62F9F" w14:textId="29250BEF" w:rsidR="008E1321" w:rsidRPr="008E1321" w:rsidRDefault="008E1321" w:rsidP="008E1321">
      <w:pPr>
        <w:pStyle w:val="TOC2"/>
        <w:tabs>
          <w:tab w:val="right" w:leader="underscore" w:pos="9350"/>
        </w:tabs>
        <w:rPr>
          <w:rFonts w:ascii="Times New Roman" w:eastAsiaTheme="minorEastAsia" w:hAnsi="Times New Roman" w:cs="Times New Roman"/>
          <w:b w:val="0"/>
          <w:bCs w:val="0"/>
          <w:noProof/>
          <w:sz w:val="24"/>
          <w:szCs w:val="21"/>
          <w:lang w:eastAsia="en-IN"/>
        </w:rPr>
      </w:pPr>
      <w:hyperlink w:anchor="_Toc221115379" w:history="1">
        <w:r w:rsidRPr="008E1321">
          <w:rPr>
            <w:rStyle w:val="Hyperlink"/>
            <w:rFonts w:ascii="Times New Roman" w:hAnsi="Times New Roman" w:cs="Times New Roman"/>
            <w:noProof/>
            <w:color w:val="auto"/>
            <w:u w:val="none"/>
          </w:rPr>
          <w:t>APPENDIX I (a):  DATES OF DISCUSSIONS WITH STATE GOVERNMENTS</w:t>
        </w:r>
        <w:r w:rsidRPr="008E1321">
          <w:rPr>
            <w:rFonts w:ascii="Times New Roman" w:hAnsi="Times New Roman" w:cs="Times New Roman"/>
            <w:noProof/>
            <w:webHidden/>
          </w:rPr>
          <w:tab/>
        </w:r>
        <w:r w:rsidRPr="008E1321">
          <w:rPr>
            <w:rFonts w:ascii="Times New Roman" w:hAnsi="Times New Roman" w:cs="Times New Roman"/>
            <w:noProof/>
            <w:webHidden/>
          </w:rPr>
          <w:fldChar w:fldCharType="begin"/>
        </w:r>
        <w:r w:rsidRPr="008E1321">
          <w:rPr>
            <w:rFonts w:ascii="Times New Roman" w:hAnsi="Times New Roman" w:cs="Times New Roman"/>
            <w:noProof/>
            <w:webHidden/>
          </w:rPr>
          <w:instrText xml:space="preserve"> PAGEREF _Toc221115379 \h </w:instrText>
        </w:r>
        <w:r w:rsidRPr="008E1321">
          <w:rPr>
            <w:rFonts w:ascii="Times New Roman" w:hAnsi="Times New Roman" w:cs="Times New Roman"/>
            <w:noProof/>
            <w:webHidden/>
          </w:rPr>
        </w:r>
        <w:r w:rsidRPr="008E1321">
          <w:rPr>
            <w:rFonts w:ascii="Times New Roman" w:hAnsi="Times New Roman" w:cs="Times New Roman"/>
            <w:noProof/>
            <w:webHidden/>
          </w:rPr>
          <w:fldChar w:fldCharType="separate"/>
        </w:r>
        <w:r w:rsidR="00F70A97">
          <w:rPr>
            <w:rFonts w:ascii="Times New Roman" w:hAnsi="Times New Roman" w:cs="Times New Roman"/>
            <w:noProof/>
            <w:webHidden/>
          </w:rPr>
          <w:t>265</w:t>
        </w:r>
        <w:r w:rsidRPr="008E1321">
          <w:rPr>
            <w:rFonts w:ascii="Times New Roman" w:hAnsi="Times New Roman" w:cs="Times New Roman"/>
            <w:noProof/>
            <w:webHidden/>
          </w:rPr>
          <w:fldChar w:fldCharType="end"/>
        </w:r>
      </w:hyperlink>
    </w:p>
    <w:p w14:paraId="3A8DCD7D" w14:textId="0CC9C409" w:rsidR="008E1321" w:rsidRPr="008E1321" w:rsidRDefault="008E1321" w:rsidP="008E1321">
      <w:pPr>
        <w:pStyle w:val="TOC2"/>
        <w:tabs>
          <w:tab w:val="right" w:leader="underscore" w:pos="9350"/>
        </w:tabs>
        <w:rPr>
          <w:rFonts w:ascii="Times New Roman" w:eastAsiaTheme="minorEastAsia" w:hAnsi="Times New Roman" w:cs="Times New Roman"/>
          <w:b w:val="0"/>
          <w:bCs w:val="0"/>
          <w:noProof/>
          <w:sz w:val="24"/>
          <w:szCs w:val="21"/>
          <w:lang w:eastAsia="en-IN"/>
        </w:rPr>
      </w:pPr>
      <w:hyperlink w:anchor="_Toc221115380" w:history="1">
        <w:r w:rsidRPr="008E1321">
          <w:rPr>
            <w:rStyle w:val="Hyperlink"/>
            <w:rFonts w:ascii="Times New Roman" w:hAnsi="Times New Roman" w:cs="Times New Roman"/>
            <w:noProof/>
            <w:color w:val="auto"/>
            <w:u w:val="none"/>
          </w:rPr>
          <w:t>APPENDIX 1 (b):  DATES OF DISCUSSIONS WITH REPRESENTATIVES OF CENTRAL GOVERNMENT, PLANNING COMMISSION AND GOVERNOR, RESERVE BANK OF INDIA</w:t>
        </w:r>
        <w:r w:rsidRPr="008E1321">
          <w:rPr>
            <w:rFonts w:ascii="Times New Roman" w:hAnsi="Times New Roman" w:cs="Times New Roman"/>
            <w:noProof/>
            <w:webHidden/>
          </w:rPr>
          <w:tab/>
        </w:r>
        <w:r w:rsidRPr="008E1321">
          <w:rPr>
            <w:rFonts w:ascii="Times New Roman" w:hAnsi="Times New Roman" w:cs="Times New Roman"/>
            <w:noProof/>
            <w:webHidden/>
          </w:rPr>
          <w:fldChar w:fldCharType="begin"/>
        </w:r>
        <w:r w:rsidRPr="008E1321">
          <w:rPr>
            <w:rFonts w:ascii="Times New Roman" w:hAnsi="Times New Roman" w:cs="Times New Roman"/>
            <w:noProof/>
            <w:webHidden/>
          </w:rPr>
          <w:instrText xml:space="preserve"> PAGEREF _Toc221115380 \h </w:instrText>
        </w:r>
        <w:r w:rsidRPr="008E1321">
          <w:rPr>
            <w:rFonts w:ascii="Times New Roman" w:hAnsi="Times New Roman" w:cs="Times New Roman"/>
            <w:noProof/>
            <w:webHidden/>
          </w:rPr>
        </w:r>
        <w:r w:rsidRPr="008E1321">
          <w:rPr>
            <w:rFonts w:ascii="Times New Roman" w:hAnsi="Times New Roman" w:cs="Times New Roman"/>
            <w:noProof/>
            <w:webHidden/>
          </w:rPr>
          <w:fldChar w:fldCharType="separate"/>
        </w:r>
        <w:r w:rsidR="00F70A97">
          <w:rPr>
            <w:rFonts w:ascii="Times New Roman" w:hAnsi="Times New Roman" w:cs="Times New Roman"/>
            <w:noProof/>
            <w:webHidden/>
          </w:rPr>
          <w:t>266</w:t>
        </w:r>
        <w:r w:rsidRPr="008E1321">
          <w:rPr>
            <w:rFonts w:ascii="Times New Roman" w:hAnsi="Times New Roman" w:cs="Times New Roman"/>
            <w:noProof/>
            <w:webHidden/>
          </w:rPr>
          <w:fldChar w:fldCharType="end"/>
        </w:r>
      </w:hyperlink>
    </w:p>
    <w:p w14:paraId="6D110F72" w14:textId="404D5B04" w:rsidR="008E1321" w:rsidRPr="008E1321" w:rsidRDefault="008E1321" w:rsidP="008E1321">
      <w:pPr>
        <w:pStyle w:val="TOC2"/>
        <w:tabs>
          <w:tab w:val="right" w:leader="underscore" w:pos="9350"/>
        </w:tabs>
        <w:rPr>
          <w:rFonts w:ascii="Times New Roman" w:eastAsiaTheme="minorEastAsia" w:hAnsi="Times New Roman" w:cs="Times New Roman"/>
          <w:b w:val="0"/>
          <w:bCs w:val="0"/>
          <w:noProof/>
          <w:sz w:val="24"/>
          <w:szCs w:val="21"/>
          <w:lang w:eastAsia="en-IN"/>
        </w:rPr>
      </w:pPr>
      <w:hyperlink w:anchor="_Toc221115381" w:history="1">
        <w:r w:rsidRPr="008E1321">
          <w:rPr>
            <w:rStyle w:val="Hyperlink"/>
            <w:rFonts w:ascii="Times New Roman" w:hAnsi="Times New Roman" w:cs="Times New Roman"/>
            <w:noProof/>
            <w:color w:val="auto"/>
            <w:u w:val="none"/>
          </w:rPr>
          <w:t>APPENDIX II (a) RAILWAY ROUTE LENGTHS IN INDIA BY STATES AND ZONES</w:t>
        </w:r>
        <w:r w:rsidRPr="008E1321">
          <w:rPr>
            <w:rFonts w:ascii="Times New Roman" w:hAnsi="Times New Roman" w:cs="Times New Roman"/>
            <w:noProof/>
            <w:webHidden/>
          </w:rPr>
          <w:tab/>
        </w:r>
        <w:r w:rsidRPr="008E1321">
          <w:rPr>
            <w:rFonts w:ascii="Times New Roman" w:hAnsi="Times New Roman" w:cs="Times New Roman"/>
            <w:noProof/>
            <w:webHidden/>
          </w:rPr>
          <w:fldChar w:fldCharType="begin"/>
        </w:r>
        <w:r w:rsidRPr="008E1321">
          <w:rPr>
            <w:rFonts w:ascii="Times New Roman" w:hAnsi="Times New Roman" w:cs="Times New Roman"/>
            <w:noProof/>
            <w:webHidden/>
          </w:rPr>
          <w:instrText xml:space="preserve"> PAGEREF _Toc221115381 \h </w:instrText>
        </w:r>
        <w:r w:rsidRPr="008E1321">
          <w:rPr>
            <w:rFonts w:ascii="Times New Roman" w:hAnsi="Times New Roman" w:cs="Times New Roman"/>
            <w:noProof/>
            <w:webHidden/>
          </w:rPr>
        </w:r>
        <w:r w:rsidRPr="008E1321">
          <w:rPr>
            <w:rFonts w:ascii="Times New Roman" w:hAnsi="Times New Roman" w:cs="Times New Roman"/>
            <w:noProof/>
            <w:webHidden/>
          </w:rPr>
          <w:fldChar w:fldCharType="separate"/>
        </w:r>
        <w:r w:rsidR="00F70A97">
          <w:rPr>
            <w:rFonts w:ascii="Times New Roman" w:hAnsi="Times New Roman" w:cs="Times New Roman"/>
            <w:noProof/>
            <w:webHidden/>
          </w:rPr>
          <w:t>267</w:t>
        </w:r>
        <w:r w:rsidRPr="008E1321">
          <w:rPr>
            <w:rFonts w:ascii="Times New Roman" w:hAnsi="Times New Roman" w:cs="Times New Roman"/>
            <w:noProof/>
            <w:webHidden/>
          </w:rPr>
          <w:fldChar w:fldCharType="end"/>
        </w:r>
      </w:hyperlink>
    </w:p>
    <w:p w14:paraId="428A7CDA" w14:textId="6D7697B7" w:rsidR="008E1321" w:rsidRPr="008E1321" w:rsidRDefault="008E1321" w:rsidP="008E1321">
      <w:pPr>
        <w:pStyle w:val="TOC2"/>
        <w:tabs>
          <w:tab w:val="right" w:leader="underscore" w:pos="9350"/>
        </w:tabs>
        <w:rPr>
          <w:rFonts w:ascii="Times New Roman" w:eastAsiaTheme="minorEastAsia" w:hAnsi="Times New Roman" w:cs="Times New Roman"/>
          <w:b w:val="0"/>
          <w:bCs w:val="0"/>
          <w:noProof/>
          <w:sz w:val="24"/>
          <w:szCs w:val="21"/>
          <w:lang w:eastAsia="en-IN"/>
        </w:rPr>
      </w:pPr>
      <w:hyperlink w:anchor="_Toc221115382" w:history="1">
        <w:r w:rsidRPr="008E1321">
          <w:rPr>
            <w:rStyle w:val="Hyperlink"/>
            <w:rFonts w:ascii="Times New Roman" w:hAnsi="Times New Roman" w:cs="Times New Roman"/>
            <w:noProof/>
            <w:color w:val="auto"/>
            <w:u w:val="none"/>
          </w:rPr>
          <w:t>APPENDIX II (b)  RAILWAY EARNINGS FROM PASSENGERS CARRIED ON NON-SUBURBAN ROUTES DURING 1964-65 TO 1966-67</w:t>
        </w:r>
        <w:r w:rsidRPr="008E1321">
          <w:rPr>
            <w:rFonts w:ascii="Times New Roman" w:hAnsi="Times New Roman" w:cs="Times New Roman"/>
            <w:noProof/>
            <w:webHidden/>
          </w:rPr>
          <w:tab/>
        </w:r>
        <w:r w:rsidRPr="008E1321">
          <w:rPr>
            <w:rFonts w:ascii="Times New Roman" w:hAnsi="Times New Roman" w:cs="Times New Roman"/>
            <w:noProof/>
            <w:webHidden/>
          </w:rPr>
          <w:fldChar w:fldCharType="begin"/>
        </w:r>
        <w:r w:rsidRPr="008E1321">
          <w:rPr>
            <w:rFonts w:ascii="Times New Roman" w:hAnsi="Times New Roman" w:cs="Times New Roman"/>
            <w:noProof/>
            <w:webHidden/>
          </w:rPr>
          <w:instrText xml:space="preserve"> PAGEREF _Toc221115382 \h </w:instrText>
        </w:r>
        <w:r w:rsidRPr="008E1321">
          <w:rPr>
            <w:rFonts w:ascii="Times New Roman" w:hAnsi="Times New Roman" w:cs="Times New Roman"/>
            <w:noProof/>
            <w:webHidden/>
          </w:rPr>
        </w:r>
        <w:r w:rsidRPr="008E1321">
          <w:rPr>
            <w:rFonts w:ascii="Times New Roman" w:hAnsi="Times New Roman" w:cs="Times New Roman"/>
            <w:noProof/>
            <w:webHidden/>
          </w:rPr>
          <w:fldChar w:fldCharType="separate"/>
        </w:r>
        <w:r w:rsidR="00F70A97">
          <w:rPr>
            <w:rFonts w:ascii="Times New Roman" w:hAnsi="Times New Roman" w:cs="Times New Roman"/>
            <w:noProof/>
            <w:webHidden/>
          </w:rPr>
          <w:t>269</w:t>
        </w:r>
        <w:r w:rsidRPr="008E1321">
          <w:rPr>
            <w:rFonts w:ascii="Times New Roman" w:hAnsi="Times New Roman" w:cs="Times New Roman"/>
            <w:noProof/>
            <w:webHidden/>
          </w:rPr>
          <w:fldChar w:fldCharType="end"/>
        </w:r>
      </w:hyperlink>
    </w:p>
    <w:p w14:paraId="55E49B86" w14:textId="1FC0E9FB" w:rsidR="008E1321" w:rsidRPr="008E1321" w:rsidRDefault="008E1321" w:rsidP="008E1321">
      <w:pPr>
        <w:pStyle w:val="TOC2"/>
        <w:tabs>
          <w:tab w:val="right" w:leader="underscore" w:pos="9350"/>
        </w:tabs>
        <w:rPr>
          <w:rFonts w:ascii="Times New Roman" w:eastAsiaTheme="minorEastAsia" w:hAnsi="Times New Roman" w:cs="Times New Roman"/>
          <w:b w:val="0"/>
          <w:bCs w:val="0"/>
          <w:noProof/>
          <w:sz w:val="24"/>
          <w:szCs w:val="21"/>
          <w:lang w:eastAsia="en-IN"/>
        </w:rPr>
      </w:pPr>
      <w:hyperlink w:anchor="_Toc221115383" w:history="1">
        <w:r w:rsidRPr="008E1321">
          <w:rPr>
            <w:rStyle w:val="Hyperlink"/>
            <w:rFonts w:ascii="Times New Roman" w:hAnsi="Times New Roman" w:cs="Times New Roman"/>
            <w:noProof/>
            <w:color w:val="auto"/>
            <w:u w:val="none"/>
          </w:rPr>
          <w:t>APPENDIX III</w:t>
        </w:r>
        <w:r w:rsidRPr="008E1321">
          <w:rPr>
            <w:rFonts w:ascii="Times New Roman" w:hAnsi="Times New Roman" w:cs="Times New Roman"/>
            <w:noProof/>
            <w:webHidden/>
          </w:rPr>
          <w:tab/>
        </w:r>
        <w:r w:rsidRPr="008E1321">
          <w:rPr>
            <w:rFonts w:ascii="Times New Roman" w:hAnsi="Times New Roman" w:cs="Times New Roman"/>
            <w:noProof/>
            <w:webHidden/>
          </w:rPr>
          <w:fldChar w:fldCharType="begin"/>
        </w:r>
        <w:r w:rsidRPr="008E1321">
          <w:rPr>
            <w:rFonts w:ascii="Times New Roman" w:hAnsi="Times New Roman" w:cs="Times New Roman"/>
            <w:noProof/>
            <w:webHidden/>
          </w:rPr>
          <w:instrText xml:space="preserve"> PAGEREF _Toc221115383 \h </w:instrText>
        </w:r>
        <w:r w:rsidRPr="008E1321">
          <w:rPr>
            <w:rFonts w:ascii="Times New Roman" w:hAnsi="Times New Roman" w:cs="Times New Roman"/>
            <w:noProof/>
            <w:webHidden/>
          </w:rPr>
        </w:r>
        <w:r w:rsidRPr="008E1321">
          <w:rPr>
            <w:rFonts w:ascii="Times New Roman" w:hAnsi="Times New Roman" w:cs="Times New Roman"/>
            <w:noProof/>
            <w:webHidden/>
          </w:rPr>
          <w:fldChar w:fldCharType="separate"/>
        </w:r>
        <w:r w:rsidR="00F70A97">
          <w:rPr>
            <w:rFonts w:ascii="Times New Roman" w:hAnsi="Times New Roman" w:cs="Times New Roman"/>
            <w:noProof/>
            <w:webHidden/>
          </w:rPr>
          <w:t>271</w:t>
        </w:r>
        <w:r w:rsidRPr="008E1321">
          <w:rPr>
            <w:rFonts w:ascii="Times New Roman" w:hAnsi="Times New Roman" w:cs="Times New Roman"/>
            <w:noProof/>
            <w:webHidden/>
          </w:rPr>
          <w:fldChar w:fldCharType="end"/>
        </w:r>
      </w:hyperlink>
    </w:p>
    <w:p w14:paraId="3E2F45D6" w14:textId="28A904F6" w:rsidR="008E1321" w:rsidRPr="008E1321" w:rsidRDefault="008E1321" w:rsidP="008E1321">
      <w:pPr>
        <w:pStyle w:val="TOC4"/>
        <w:tabs>
          <w:tab w:val="right" w:leader="underscore" w:pos="9350"/>
        </w:tabs>
        <w:rPr>
          <w:rFonts w:ascii="Times New Roman" w:eastAsiaTheme="minorEastAsia" w:hAnsi="Times New Roman" w:cs="Times New Roman"/>
          <w:noProof/>
          <w:sz w:val="24"/>
          <w:szCs w:val="21"/>
          <w:lang w:eastAsia="en-IN"/>
        </w:rPr>
      </w:pPr>
      <w:hyperlink w:anchor="_Toc221115384" w:history="1">
        <w:r w:rsidRPr="008E1321">
          <w:rPr>
            <w:rStyle w:val="Hyperlink"/>
            <w:rFonts w:ascii="Times New Roman" w:hAnsi="Times New Roman" w:cs="Times New Roman"/>
            <w:noProof/>
            <w:color w:val="auto"/>
            <w:u w:val="none"/>
          </w:rPr>
          <w:t>Table 1: Limits of ways and means advances for different States from 1-3-1967</w:t>
        </w:r>
        <w:r w:rsidRPr="008E1321">
          <w:rPr>
            <w:rFonts w:ascii="Times New Roman" w:hAnsi="Times New Roman" w:cs="Times New Roman"/>
            <w:noProof/>
            <w:webHidden/>
          </w:rPr>
          <w:tab/>
        </w:r>
        <w:r w:rsidRPr="008E1321">
          <w:rPr>
            <w:rFonts w:ascii="Times New Roman" w:hAnsi="Times New Roman" w:cs="Times New Roman"/>
            <w:noProof/>
            <w:webHidden/>
          </w:rPr>
          <w:fldChar w:fldCharType="begin"/>
        </w:r>
        <w:r w:rsidRPr="008E1321">
          <w:rPr>
            <w:rFonts w:ascii="Times New Roman" w:hAnsi="Times New Roman" w:cs="Times New Roman"/>
            <w:noProof/>
            <w:webHidden/>
          </w:rPr>
          <w:instrText xml:space="preserve"> PAGEREF _Toc221115384 \h </w:instrText>
        </w:r>
        <w:r w:rsidRPr="008E1321">
          <w:rPr>
            <w:rFonts w:ascii="Times New Roman" w:hAnsi="Times New Roman" w:cs="Times New Roman"/>
            <w:noProof/>
            <w:webHidden/>
          </w:rPr>
        </w:r>
        <w:r w:rsidRPr="008E1321">
          <w:rPr>
            <w:rFonts w:ascii="Times New Roman" w:hAnsi="Times New Roman" w:cs="Times New Roman"/>
            <w:noProof/>
            <w:webHidden/>
          </w:rPr>
          <w:fldChar w:fldCharType="separate"/>
        </w:r>
        <w:r w:rsidR="00F70A97">
          <w:rPr>
            <w:rFonts w:ascii="Times New Roman" w:hAnsi="Times New Roman" w:cs="Times New Roman"/>
            <w:noProof/>
            <w:webHidden/>
          </w:rPr>
          <w:t>273</w:t>
        </w:r>
        <w:r w:rsidRPr="008E1321">
          <w:rPr>
            <w:rFonts w:ascii="Times New Roman" w:hAnsi="Times New Roman" w:cs="Times New Roman"/>
            <w:noProof/>
            <w:webHidden/>
          </w:rPr>
          <w:fldChar w:fldCharType="end"/>
        </w:r>
      </w:hyperlink>
    </w:p>
    <w:p w14:paraId="3696FAA2" w14:textId="0B0543D0" w:rsidR="008E1321" w:rsidRPr="008E1321" w:rsidRDefault="008E1321" w:rsidP="008E1321">
      <w:pPr>
        <w:pStyle w:val="TOC4"/>
        <w:tabs>
          <w:tab w:val="right" w:leader="underscore" w:pos="9350"/>
        </w:tabs>
        <w:rPr>
          <w:rFonts w:ascii="Times New Roman" w:eastAsiaTheme="minorEastAsia" w:hAnsi="Times New Roman" w:cs="Times New Roman"/>
          <w:noProof/>
          <w:sz w:val="24"/>
          <w:szCs w:val="21"/>
          <w:lang w:eastAsia="en-IN"/>
        </w:rPr>
      </w:pPr>
      <w:hyperlink w:anchor="_Toc221115385" w:history="1">
        <w:r w:rsidRPr="008E1321">
          <w:rPr>
            <w:rStyle w:val="Hyperlink"/>
            <w:rFonts w:ascii="Times New Roman" w:hAnsi="Times New Roman" w:cs="Times New Roman"/>
            <w:noProof/>
            <w:color w:val="auto"/>
            <w:u w:val="none"/>
          </w:rPr>
          <w:t>Table 2: Overdraft position of States (1965-66 to 1967-68)</w:t>
        </w:r>
        <w:r w:rsidRPr="008E1321">
          <w:rPr>
            <w:rFonts w:ascii="Times New Roman" w:hAnsi="Times New Roman" w:cs="Times New Roman"/>
            <w:noProof/>
            <w:webHidden/>
          </w:rPr>
          <w:tab/>
        </w:r>
        <w:r w:rsidRPr="008E1321">
          <w:rPr>
            <w:rFonts w:ascii="Times New Roman" w:hAnsi="Times New Roman" w:cs="Times New Roman"/>
            <w:noProof/>
            <w:webHidden/>
          </w:rPr>
          <w:fldChar w:fldCharType="begin"/>
        </w:r>
        <w:r w:rsidRPr="008E1321">
          <w:rPr>
            <w:rFonts w:ascii="Times New Roman" w:hAnsi="Times New Roman" w:cs="Times New Roman"/>
            <w:noProof/>
            <w:webHidden/>
          </w:rPr>
          <w:instrText xml:space="preserve"> PAGEREF _Toc221115385 \h </w:instrText>
        </w:r>
        <w:r w:rsidRPr="008E1321">
          <w:rPr>
            <w:rFonts w:ascii="Times New Roman" w:hAnsi="Times New Roman" w:cs="Times New Roman"/>
            <w:noProof/>
            <w:webHidden/>
          </w:rPr>
        </w:r>
        <w:r w:rsidRPr="008E1321">
          <w:rPr>
            <w:rFonts w:ascii="Times New Roman" w:hAnsi="Times New Roman" w:cs="Times New Roman"/>
            <w:noProof/>
            <w:webHidden/>
          </w:rPr>
          <w:fldChar w:fldCharType="separate"/>
        </w:r>
        <w:r w:rsidR="00F70A97">
          <w:rPr>
            <w:rFonts w:ascii="Times New Roman" w:hAnsi="Times New Roman" w:cs="Times New Roman"/>
            <w:noProof/>
            <w:webHidden/>
          </w:rPr>
          <w:t>274</w:t>
        </w:r>
        <w:r w:rsidRPr="008E1321">
          <w:rPr>
            <w:rFonts w:ascii="Times New Roman" w:hAnsi="Times New Roman" w:cs="Times New Roman"/>
            <w:noProof/>
            <w:webHidden/>
          </w:rPr>
          <w:fldChar w:fldCharType="end"/>
        </w:r>
      </w:hyperlink>
    </w:p>
    <w:p w14:paraId="5919F529" w14:textId="04746684" w:rsidR="008E1321" w:rsidRPr="008E1321" w:rsidRDefault="008E1321" w:rsidP="008E1321">
      <w:pPr>
        <w:pStyle w:val="TOC4"/>
        <w:tabs>
          <w:tab w:val="right" w:leader="underscore" w:pos="9350"/>
        </w:tabs>
        <w:rPr>
          <w:rFonts w:ascii="Times New Roman" w:eastAsiaTheme="minorEastAsia" w:hAnsi="Times New Roman" w:cs="Times New Roman"/>
          <w:noProof/>
          <w:sz w:val="24"/>
          <w:szCs w:val="21"/>
          <w:lang w:eastAsia="en-IN"/>
        </w:rPr>
      </w:pPr>
      <w:hyperlink w:anchor="_Toc221115386" w:history="1">
        <w:r w:rsidRPr="008E1321">
          <w:rPr>
            <w:rStyle w:val="Hyperlink"/>
            <w:rFonts w:ascii="Times New Roman" w:hAnsi="Times New Roman" w:cs="Times New Roman"/>
            <w:noProof/>
            <w:color w:val="auto"/>
            <w:u w:val="none"/>
          </w:rPr>
          <w:t>Table 3: Loan repayments and receipts of States</w:t>
        </w:r>
        <w:r w:rsidRPr="008E1321">
          <w:rPr>
            <w:rFonts w:ascii="Times New Roman" w:hAnsi="Times New Roman" w:cs="Times New Roman"/>
            <w:noProof/>
            <w:webHidden/>
          </w:rPr>
          <w:tab/>
        </w:r>
        <w:r w:rsidRPr="008E1321">
          <w:rPr>
            <w:rFonts w:ascii="Times New Roman" w:hAnsi="Times New Roman" w:cs="Times New Roman"/>
            <w:noProof/>
            <w:webHidden/>
          </w:rPr>
          <w:fldChar w:fldCharType="begin"/>
        </w:r>
        <w:r w:rsidRPr="008E1321">
          <w:rPr>
            <w:rFonts w:ascii="Times New Roman" w:hAnsi="Times New Roman" w:cs="Times New Roman"/>
            <w:noProof/>
            <w:webHidden/>
          </w:rPr>
          <w:instrText xml:space="preserve"> PAGEREF _Toc221115386 \h </w:instrText>
        </w:r>
        <w:r w:rsidRPr="008E1321">
          <w:rPr>
            <w:rFonts w:ascii="Times New Roman" w:hAnsi="Times New Roman" w:cs="Times New Roman"/>
            <w:noProof/>
            <w:webHidden/>
          </w:rPr>
        </w:r>
        <w:r w:rsidRPr="008E1321">
          <w:rPr>
            <w:rFonts w:ascii="Times New Roman" w:hAnsi="Times New Roman" w:cs="Times New Roman"/>
            <w:noProof/>
            <w:webHidden/>
          </w:rPr>
          <w:fldChar w:fldCharType="separate"/>
        </w:r>
        <w:r w:rsidR="00F70A97">
          <w:rPr>
            <w:rFonts w:ascii="Times New Roman" w:hAnsi="Times New Roman" w:cs="Times New Roman"/>
            <w:noProof/>
            <w:webHidden/>
          </w:rPr>
          <w:t>275</w:t>
        </w:r>
        <w:r w:rsidRPr="008E1321">
          <w:rPr>
            <w:rFonts w:ascii="Times New Roman" w:hAnsi="Times New Roman" w:cs="Times New Roman"/>
            <w:noProof/>
            <w:webHidden/>
          </w:rPr>
          <w:fldChar w:fldCharType="end"/>
        </w:r>
      </w:hyperlink>
    </w:p>
    <w:p w14:paraId="53DF1DB4" w14:textId="4F0C6795" w:rsidR="008E1321" w:rsidRPr="008E1321" w:rsidRDefault="008E1321" w:rsidP="008E1321">
      <w:pPr>
        <w:pStyle w:val="TOC4"/>
        <w:tabs>
          <w:tab w:val="right" w:leader="underscore" w:pos="9350"/>
        </w:tabs>
        <w:rPr>
          <w:rFonts w:ascii="Times New Roman" w:eastAsiaTheme="minorEastAsia" w:hAnsi="Times New Roman" w:cs="Times New Roman"/>
          <w:noProof/>
          <w:sz w:val="24"/>
          <w:szCs w:val="21"/>
          <w:lang w:eastAsia="en-IN"/>
        </w:rPr>
      </w:pPr>
      <w:hyperlink w:anchor="_Toc221115387" w:history="1">
        <w:r w:rsidRPr="008E1321">
          <w:rPr>
            <w:rStyle w:val="Hyperlink"/>
            <w:rFonts w:ascii="Times New Roman" w:hAnsi="Times New Roman" w:cs="Times New Roman"/>
            <w:noProof/>
            <w:color w:val="auto"/>
            <w:u w:val="none"/>
          </w:rPr>
          <w:t>Table 4: Capital receipts and disbursements (Non-Plan) of State Governments during 1967-68</w:t>
        </w:r>
        <w:r w:rsidRPr="008E1321">
          <w:rPr>
            <w:rFonts w:ascii="Times New Roman" w:hAnsi="Times New Roman" w:cs="Times New Roman"/>
            <w:noProof/>
            <w:webHidden/>
          </w:rPr>
          <w:tab/>
        </w:r>
        <w:r w:rsidRPr="008E1321">
          <w:rPr>
            <w:rFonts w:ascii="Times New Roman" w:hAnsi="Times New Roman" w:cs="Times New Roman"/>
            <w:noProof/>
            <w:webHidden/>
          </w:rPr>
          <w:fldChar w:fldCharType="begin"/>
        </w:r>
        <w:r w:rsidRPr="008E1321">
          <w:rPr>
            <w:rFonts w:ascii="Times New Roman" w:hAnsi="Times New Roman" w:cs="Times New Roman"/>
            <w:noProof/>
            <w:webHidden/>
          </w:rPr>
          <w:instrText xml:space="preserve"> PAGEREF _Toc221115387 \h </w:instrText>
        </w:r>
        <w:r w:rsidRPr="008E1321">
          <w:rPr>
            <w:rFonts w:ascii="Times New Roman" w:hAnsi="Times New Roman" w:cs="Times New Roman"/>
            <w:noProof/>
            <w:webHidden/>
          </w:rPr>
        </w:r>
        <w:r w:rsidRPr="008E1321">
          <w:rPr>
            <w:rFonts w:ascii="Times New Roman" w:hAnsi="Times New Roman" w:cs="Times New Roman"/>
            <w:noProof/>
            <w:webHidden/>
          </w:rPr>
          <w:fldChar w:fldCharType="separate"/>
        </w:r>
        <w:r w:rsidR="00F70A97">
          <w:rPr>
            <w:rFonts w:ascii="Times New Roman" w:hAnsi="Times New Roman" w:cs="Times New Roman"/>
            <w:noProof/>
            <w:webHidden/>
          </w:rPr>
          <w:t>276</w:t>
        </w:r>
        <w:r w:rsidRPr="008E1321">
          <w:rPr>
            <w:rFonts w:ascii="Times New Roman" w:hAnsi="Times New Roman" w:cs="Times New Roman"/>
            <w:noProof/>
            <w:webHidden/>
          </w:rPr>
          <w:fldChar w:fldCharType="end"/>
        </w:r>
      </w:hyperlink>
    </w:p>
    <w:p w14:paraId="31836D3D" w14:textId="43AE255D" w:rsidR="008E1321" w:rsidRPr="008E1321" w:rsidRDefault="008E1321" w:rsidP="008E1321">
      <w:pPr>
        <w:pStyle w:val="TOC4"/>
        <w:tabs>
          <w:tab w:val="right" w:leader="underscore" w:pos="9350"/>
        </w:tabs>
        <w:rPr>
          <w:rFonts w:ascii="Times New Roman" w:eastAsiaTheme="minorEastAsia" w:hAnsi="Times New Roman" w:cs="Times New Roman"/>
          <w:noProof/>
          <w:sz w:val="24"/>
          <w:szCs w:val="21"/>
          <w:lang w:eastAsia="en-IN"/>
        </w:rPr>
      </w:pPr>
      <w:hyperlink w:anchor="_Toc221115388" w:history="1">
        <w:r w:rsidRPr="008E1321">
          <w:rPr>
            <w:rStyle w:val="Hyperlink"/>
            <w:rFonts w:ascii="Times New Roman" w:hAnsi="Times New Roman" w:cs="Times New Roman"/>
            <w:noProof/>
            <w:color w:val="auto"/>
            <w:u w:val="none"/>
          </w:rPr>
          <w:t>Table 5: Monthly collections of Income-tax 1966-67 and 1967-68</w:t>
        </w:r>
        <w:r w:rsidRPr="008E1321">
          <w:rPr>
            <w:rFonts w:ascii="Times New Roman" w:hAnsi="Times New Roman" w:cs="Times New Roman"/>
            <w:noProof/>
            <w:webHidden/>
          </w:rPr>
          <w:tab/>
        </w:r>
        <w:r w:rsidRPr="008E1321">
          <w:rPr>
            <w:rFonts w:ascii="Times New Roman" w:hAnsi="Times New Roman" w:cs="Times New Roman"/>
            <w:noProof/>
            <w:webHidden/>
          </w:rPr>
          <w:fldChar w:fldCharType="begin"/>
        </w:r>
        <w:r w:rsidRPr="008E1321">
          <w:rPr>
            <w:rFonts w:ascii="Times New Roman" w:hAnsi="Times New Roman" w:cs="Times New Roman"/>
            <w:noProof/>
            <w:webHidden/>
          </w:rPr>
          <w:instrText xml:space="preserve"> PAGEREF _Toc221115388 \h </w:instrText>
        </w:r>
        <w:r w:rsidRPr="008E1321">
          <w:rPr>
            <w:rFonts w:ascii="Times New Roman" w:hAnsi="Times New Roman" w:cs="Times New Roman"/>
            <w:noProof/>
            <w:webHidden/>
          </w:rPr>
        </w:r>
        <w:r w:rsidRPr="008E1321">
          <w:rPr>
            <w:rFonts w:ascii="Times New Roman" w:hAnsi="Times New Roman" w:cs="Times New Roman"/>
            <w:noProof/>
            <w:webHidden/>
          </w:rPr>
          <w:fldChar w:fldCharType="separate"/>
        </w:r>
        <w:r w:rsidR="00F70A97">
          <w:rPr>
            <w:rFonts w:ascii="Times New Roman" w:hAnsi="Times New Roman" w:cs="Times New Roman"/>
            <w:noProof/>
            <w:webHidden/>
          </w:rPr>
          <w:t>277</w:t>
        </w:r>
        <w:r w:rsidRPr="008E1321">
          <w:rPr>
            <w:rFonts w:ascii="Times New Roman" w:hAnsi="Times New Roman" w:cs="Times New Roman"/>
            <w:noProof/>
            <w:webHidden/>
          </w:rPr>
          <w:fldChar w:fldCharType="end"/>
        </w:r>
      </w:hyperlink>
    </w:p>
    <w:p w14:paraId="1A0297C0" w14:textId="3F73EA45" w:rsidR="008E1321" w:rsidRPr="008E1321" w:rsidRDefault="008E1321" w:rsidP="008E1321">
      <w:pPr>
        <w:pStyle w:val="TOC4"/>
        <w:tabs>
          <w:tab w:val="right" w:leader="underscore" w:pos="9350"/>
        </w:tabs>
        <w:rPr>
          <w:rFonts w:ascii="Times New Roman" w:eastAsiaTheme="minorEastAsia" w:hAnsi="Times New Roman" w:cs="Times New Roman"/>
          <w:noProof/>
          <w:sz w:val="24"/>
          <w:szCs w:val="21"/>
          <w:lang w:eastAsia="en-IN"/>
        </w:rPr>
      </w:pPr>
      <w:hyperlink w:anchor="_Toc221115389" w:history="1">
        <w:r w:rsidRPr="008E1321">
          <w:rPr>
            <w:rStyle w:val="Hyperlink"/>
            <w:rFonts w:ascii="Times New Roman" w:hAnsi="Times New Roman" w:cs="Times New Roman"/>
            <w:noProof/>
            <w:color w:val="auto"/>
            <w:u w:val="none"/>
          </w:rPr>
          <w:t>Table 6: Monthly repayment of Central Government loans 1967-68</w:t>
        </w:r>
        <w:r w:rsidRPr="008E1321">
          <w:rPr>
            <w:rFonts w:ascii="Times New Roman" w:hAnsi="Times New Roman" w:cs="Times New Roman"/>
            <w:noProof/>
            <w:webHidden/>
          </w:rPr>
          <w:tab/>
        </w:r>
        <w:r w:rsidRPr="008E1321">
          <w:rPr>
            <w:rFonts w:ascii="Times New Roman" w:hAnsi="Times New Roman" w:cs="Times New Roman"/>
            <w:noProof/>
            <w:webHidden/>
          </w:rPr>
          <w:fldChar w:fldCharType="begin"/>
        </w:r>
        <w:r w:rsidRPr="008E1321">
          <w:rPr>
            <w:rFonts w:ascii="Times New Roman" w:hAnsi="Times New Roman" w:cs="Times New Roman"/>
            <w:noProof/>
            <w:webHidden/>
          </w:rPr>
          <w:instrText xml:space="preserve"> PAGEREF _Toc221115389 \h </w:instrText>
        </w:r>
        <w:r w:rsidRPr="008E1321">
          <w:rPr>
            <w:rFonts w:ascii="Times New Roman" w:hAnsi="Times New Roman" w:cs="Times New Roman"/>
            <w:noProof/>
            <w:webHidden/>
          </w:rPr>
        </w:r>
        <w:r w:rsidRPr="008E1321">
          <w:rPr>
            <w:rFonts w:ascii="Times New Roman" w:hAnsi="Times New Roman" w:cs="Times New Roman"/>
            <w:noProof/>
            <w:webHidden/>
          </w:rPr>
          <w:fldChar w:fldCharType="separate"/>
        </w:r>
        <w:r w:rsidR="00F70A97">
          <w:rPr>
            <w:rFonts w:ascii="Times New Roman" w:hAnsi="Times New Roman" w:cs="Times New Roman"/>
            <w:noProof/>
            <w:webHidden/>
          </w:rPr>
          <w:t>278</w:t>
        </w:r>
        <w:r w:rsidRPr="008E1321">
          <w:rPr>
            <w:rFonts w:ascii="Times New Roman" w:hAnsi="Times New Roman" w:cs="Times New Roman"/>
            <w:noProof/>
            <w:webHidden/>
          </w:rPr>
          <w:fldChar w:fldCharType="end"/>
        </w:r>
      </w:hyperlink>
    </w:p>
    <w:p w14:paraId="70846B60" w14:textId="5E2AAF57" w:rsidR="008E1321" w:rsidRPr="008E1321" w:rsidRDefault="008E1321" w:rsidP="008E1321">
      <w:pPr>
        <w:pStyle w:val="TOC4"/>
        <w:tabs>
          <w:tab w:val="right" w:leader="underscore" w:pos="9350"/>
        </w:tabs>
        <w:rPr>
          <w:rFonts w:ascii="Times New Roman" w:eastAsiaTheme="minorEastAsia" w:hAnsi="Times New Roman" w:cs="Times New Roman"/>
          <w:noProof/>
          <w:sz w:val="24"/>
          <w:szCs w:val="21"/>
          <w:lang w:eastAsia="en-IN"/>
        </w:rPr>
      </w:pPr>
      <w:hyperlink w:anchor="_Toc221115390" w:history="1">
        <w:r w:rsidRPr="008E1321">
          <w:rPr>
            <w:rStyle w:val="Hyperlink"/>
            <w:rFonts w:ascii="Times New Roman" w:hAnsi="Times New Roman" w:cs="Times New Roman"/>
            <w:noProof/>
            <w:color w:val="auto"/>
            <w:u w:val="none"/>
          </w:rPr>
          <w:t>Table 7: Budgetary position of the State Governments</w:t>
        </w:r>
        <w:r w:rsidRPr="008E1321">
          <w:rPr>
            <w:rFonts w:ascii="Times New Roman" w:hAnsi="Times New Roman" w:cs="Times New Roman"/>
            <w:noProof/>
            <w:webHidden/>
          </w:rPr>
          <w:tab/>
        </w:r>
        <w:r w:rsidRPr="008E1321">
          <w:rPr>
            <w:rFonts w:ascii="Times New Roman" w:hAnsi="Times New Roman" w:cs="Times New Roman"/>
            <w:noProof/>
            <w:webHidden/>
          </w:rPr>
          <w:fldChar w:fldCharType="begin"/>
        </w:r>
        <w:r w:rsidRPr="008E1321">
          <w:rPr>
            <w:rFonts w:ascii="Times New Roman" w:hAnsi="Times New Roman" w:cs="Times New Roman"/>
            <w:noProof/>
            <w:webHidden/>
          </w:rPr>
          <w:instrText xml:space="preserve"> PAGEREF _Toc221115390 \h </w:instrText>
        </w:r>
        <w:r w:rsidRPr="008E1321">
          <w:rPr>
            <w:rFonts w:ascii="Times New Roman" w:hAnsi="Times New Roman" w:cs="Times New Roman"/>
            <w:noProof/>
            <w:webHidden/>
          </w:rPr>
        </w:r>
        <w:r w:rsidRPr="008E1321">
          <w:rPr>
            <w:rFonts w:ascii="Times New Roman" w:hAnsi="Times New Roman" w:cs="Times New Roman"/>
            <w:noProof/>
            <w:webHidden/>
          </w:rPr>
          <w:fldChar w:fldCharType="separate"/>
        </w:r>
        <w:r w:rsidR="00F70A97">
          <w:rPr>
            <w:rFonts w:ascii="Times New Roman" w:hAnsi="Times New Roman" w:cs="Times New Roman"/>
            <w:noProof/>
            <w:webHidden/>
          </w:rPr>
          <w:t>279</w:t>
        </w:r>
        <w:r w:rsidRPr="008E1321">
          <w:rPr>
            <w:rFonts w:ascii="Times New Roman" w:hAnsi="Times New Roman" w:cs="Times New Roman"/>
            <w:noProof/>
            <w:webHidden/>
          </w:rPr>
          <w:fldChar w:fldCharType="end"/>
        </w:r>
      </w:hyperlink>
    </w:p>
    <w:p w14:paraId="23183EC8" w14:textId="535D3200" w:rsidR="008E1321" w:rsidRPr="008E1321" w:rsidRDefault="008E1321" w:rsidP="008E1321">
      <w:pPr>
        <w:pStyle w:val="TOC2"/>
        <w:tabs>
          <w:tab w:val="right" w:leader="underscore" w:pos="9350"/>
        </w:tabs>
        <w:rPr>
          <w:rFonts w:ascii="Times New Roman" w:eastAsiaTheme="minorEastAsia" w:hAnsi="Times New Roman" w:cs="Times New Roman"/>
          <w:b w:val="0"/>
          <w:bCs w:val="0"/>
          <w:noProof/>
          <w:sz w:val="24"/>
          <w:szCs w:val="21"/>
          <w:lang w:eastAsia="en-IN"/>
        </w:rPr>
      </w:pPr>
      <w:hyperlink w:anchor="_Toc221115391" w:history="1">
        <w:r w:rsidRPr="008E1321">
          <w:rPr>
            <w:rStyle w:val="Hyperlink"/>
            <w:rFonts w:ascii="Times New Roman" w:hAnsi="Times New Roman" w:cs="Times New Roman"/>
            <w:noProof/>
            <w:color w:val="auto"/>
            <w:u w:val="none"/>
          </w:rPr>
          <w:t>APPENDIX IV  TRANSFER OF FUNDS TO THE STATES BY WAY OF SHARE OF TAXES AND DUTIES AND GRANTS UNDER ARTICLE 275</w:t>
        </w:r>
        <w:r w:rsidRPr="008E1321">
          <w:rPr>
            <w:rFonts w:ascii="Times New Roman" w:hAnsi="Times New Roman" w:cs="Times New Roman"/>
            <w:noProof/>
            <w:webHidden/>
          </w:rPr>
          <w:tab/>
        </w:r>
        <w:r w:rsidRPr="008E1321">
          <w:rPr>
            <w:rFonts w:ascii="Times New Roman" w:hAnsi="Times New Roman" w:cs="Times New Roman"/>
            <w:noProof/>
            <w:webHidden/>
          </w:rPr>
          <w:fldChar w:fldCharType="begin"/>
        </w:r>
        <w:r w:rsidRPr="008E1321">
          <w:rPr>
            <w:rFonts w:ascii="Times New Roman" w:hAnsi="Times New Roman" w:cs="Times New Roman"/>
            <w:noProof/>
            <w:webHidden/>
          </w:rPr>
          <w:instrText xml:space="preserve"> PAGEREF _Toc221115391 \h </w:instrText>
        </w:r>
        <w:r w:rsidRPr="008E1321">
          <w:rPr>
            <w:rFonts w:ascii="Times New Roman" w:hAnsi="Times New Roman" w:cs="Times New Roman"/>
            <w:noProof/>
            <w:webHidden/>
          </w:rPr>
        </w:r>
        <w:r w:rsidRPr="008E1321">
          <w:rPr>
            <w:rFonts w:ascii="Times New Roman" w:hAnsi="Times New Roman" w:cs="Times New Roman"/>
            <w:noProof/>
            <w:webHidden/>
          </w:rPr>
          <w:fldChar w:fldCharType="separate"/>
        </w:r>
        <w:r w:rsidR="00F70A97">
          <w:rPr>
            <w:rFonts w:ascii="Times New Roman" w:hAnsi="Times New Roman" w:cs="Times New Roman"/>
            <w:noProof/>
            <w:webHidden/>
          </w:rPr>
          <w:t>282</w:t>
        </w:r>
        <w:r w:rsidRPr="008E1321">
          <w:rPr>
            <w:rFonts w:ascii="Times New Roman" w:hAnsi="Times New Roman" w:cs="Times New Roman"/>
            <w:noProof/>
            <w:webHidden/>
          </w:rPr>
          <w:fldChar w:fldCharType="end"/>
        </w:r>
      </w:hyperlink>
    </w:p>
    <w:p w14:paraId="52872420" w14:textId="77777777" w:rsidR="004C05F4" w:rsidRPr="008E1321" w:rsidRDefault="004C05F4">
      <w:pPr>
        <w:rPr>
          <w:rFonts w:ascii="Times New Roman" w:eastAsiaTheme="majorEastAsia" w:hAnsi="Times New Roman" w:cs="Times New Roman"/>
          <w:b/>
          <w:bCs/>
          <w:sz w:val="32"/>
          <w:szCs w:val="28"/>
        </w:rPr>
      </w:pPr>
      <w:r w:rsidRPr="008E1321">
        <w:br w:type="page"/>
      </w:r>
    </w:p>
    <w:p w14:paraId="3CA3197A" w14:textId="77777777" w:rsidR="003719C7" w:rsidRDefault="003719C7">
      <w:pPr>
        <w:rPr>
          <w:rFonts w:ascii="Times New Roman" w:eastAsiaTheme="majorEastAsia" w:hAnsi="Times New Roman" w:cs="Times New Roman"/>
          <w:b/>
          <w:bCs/>
          <w:sz w:val="32"/>
          <w:szCs w:val="28"/>
        </w:rPr>
      </w:pPr>
      <w:r>
        <w:lastRenderedPageBreak/>
        <w:br w:type="page"/>
      </w:r>
    </w:p>
    <w:p w14:paraId="13BCF308" w14:textId="7286E8EF" w:rsidR="00D923FB" w:rsidRPr="007245B0" w:rsidRDefault="00CF5D41" w:rsidP="00CF5D41">
      <w:pPr>
        <w:pStyle w:val="Heading1"/>
        <w:numPr>
          <w:ilvl w:val="0"/>
          <w:numId w:val="66"/>
        </w:numPr>
        <w:ind w:left="0" w:firstLine="0"/>
      </w:pPr>
      <w:r>
        <w:lastRenderedPageBreak/>
        <w:br/>
      </w:r>
      <w:bookmarkStart w:id="236" w:name="_Toc220949748"/>
      <w:bookmarkStart w:id="237" w:name="_Toc221115373"/>
      <w:r w:rsidR="00D923FB" w:rsidRPr="007245B0">
        <w:t>INTRODUCTORY</w:t>
      </w:r>
      <w:bookmarkEnd w:id="236"/>
      <w:bookmarkEnd w:id="237"/>
    </w:p>
    <w:p w14:paraId="52C44163" w14:textId="5DEEC1BF" w:rsidR="00D923FB" w:rsidRPr="00791D50" w:rsidRDefault="00D923FB" w:rsidP="00791D50">
      <w:pPr>
        <w:tabs>
          <w:tab w:val="left" w:pos="3370"/>
        </w:tabs>
        <w:spacing w:line="300" w:lineRule="exact"/>
        <w:ind w:firstLine="426"/>
        <w:jc w:val="both"/>
        <w:rPr>
          <w:rFonts w:ascii="Times New Roman" w:hAnsi="Times New Roman" w:cs="Times New Roman"/>
          <w:sz w:val="28"/>
          <w:szCs w:val="22"/>
        </w:rPr>
      </w:pPr>
      <w:r w:rsidRPr="00791D50">
        <w:rPr>
          <w:rFonts w:ascii="Times New Roman" w:hAnsi="Times New Roman" w:cs="Times New Roman"/>
          <w:sz w:val="28"/>
          <w:szCs w:val="22"/>
        </w:rPr>
        <w:t>This Finance Commission is the fifth Commission to be appointed under Article 280 of the Constitution, and was constituted by an Order of the President dated the 29</w:t>
      </w:r>
      <w:r w:rsidRPr="00965A5A">
        <w:rPr>
          <w:rFonts w:ascii="Times New Roman" w:hAnsi="Times New Roman" w:cs="Times New Roman"/>
          <w:sz w:val="28"/>
          <w:szCs w:val="22"/>
          <w:vertAlign w:val="superscript"/>
        </w:rPr>
        <w:t>th</w:t>
      </w:r>
      <w:r w:rsidR="00965A5A">
        <w:rPr>
          <w:rFonts w:ascii="Times New Roman" w:hAnsi="Times New Roman" w:cs="Times New Roman"/>
          <w:sz w:val="28"/>
          <w:szCs w:val="22"/>
        </w:rPr>
        <w:t xml:space="preserve"> </w:t>
      </w:r>
      <w:r w:rsidRPr="00791D50">
        <w:rPr>
          <w:rFonts w:ascii="Times New Roman" w:hAnsi="Times New Roman" w:cs="Times New Roman"/>
          <w:sz w:val="28"/>
          <w:szCs w:val="22"/>
        </w:rPr>
        <w:t>February, 1968, which is reproduced below. We assumed office on the 15</w:t>
      </w:r>
      <w:r w:rsidRPr="00965A5A">
        <w:rPr>
          <w:rFonts w:ascii="Times New Roman" w:hAnsi="Times New Roman" w:cs="Times New Roman"/>
          <w:sz w:val="28"/>
          <w:szCs w:val="22"/>
          <w:vertAlign w:val="superscript"/>
        </w:rPr>
        <w:t>th</w:t>
      </w:r>
      <w:r w:rsidR="00965A5A">
        <w:rPr>
          <w:rFonts w:ascii="Times New Roman" w:hAnsi="Times New Roman" w:cs="Times New Roman"/>
          <w:sz w:val="28"/>
          <w:szCs w:val="22"/>
        </w:rPr>
        <w:t xml:space="preserve"> </w:t>
      </w:r>
      <w:r w:rsidRPr="00791D50">
        <w:rPr>
          <w:rFonts w:ascii="Times New Roman" w:hAnsi="Times New Roman" w:cs="Times New Roman"/>
          <w:sz w:val="28"/>
          <w:szCs w:val="22"/>
        </w:rPr>
        <w:t>March, 1968.</w:t>
      </w:r>
    </w:p>
    <w:p w14:paraId="4E0D57BE" w14:textId="77777777" w:rsidR="00D923FB" w:rsidRPr="00791D50" w:rsidRDefault="00D923FB" w:rsidP="00BE766D">
      <w:pPr>
        <w:spacing w:line="300" w:lineRule="exact"/>
        <w:ind w:left="1134" w:hanging="567"/>
        <w:jc w:val="both"/>
        <w:rPr>
          <w:rFonts w:ascii="Times New Roman" w:hAnsi="Times New Roman" w:cs="Times New Roman"/>
          <w:sz w:val="28"/>
          <w:szCs w:val="22"/>
        </w:rPr>
      </w:pPr>
      <w:r w:rsidRPr="00791D50">
        <w:rPr>
          <w:rFonts w:ascii="Times New Roman" w:hAnsi="Times New Roman" w:cs="Times New Roman"/>
          <w:sz w:val="28"/>
          <w:szCs w:val="22"/>
        </w:rPr>
        <w:t>“In pursuance of the provisions of article 280 of the Constitution of India and of the Finance Commission (Miscellaneous Provisions) Act, 1951 (33 of 1951), the President is pleased to constitute with effect from the 15th March, 1968, a Finance Commission consisting of Shri Mahavir Tyagi, former Union Minister of Rehabilitation, as the Chairman and the following four other members, namely:</w:t>
      </w:r>
    </w:p>
    <w:p w14:paraId="70EBF9A0" w14:textId="77777777" w:rsidR="00D923FB" w:rsidRPr="00791D50" w:rsidRDefault="00D923FB" w:rsidP="00791D50">
      <w:pPr>
        <w:tabs>
          <w:tab w:val="left" w:pos="3370"/>
        </w:tabs>
        <w:spacing w:line="300" w:lineRule="exact"/>
        <w:ind w:left="1134"/>
        <w:jc w:val="both"/>
        <w:rPr>
          <w:rFonts w:ascii="Times New Roman" w:hAnsi="Times New Roman" w:cs="Times New Roman"/>
          <w:sz w:val="28"/>
          <w:szCs w:val="22"/>
        </w:rPr>
      </w:pPr>
      <w:r w:rsidRPr="00791D50">
        <w:rPr>
          <w:rFonts w:ascii="Times New Roman" w:hAnsi="Times New Roman" w:cs="Times New Roman"/>
          <w:sz w:val="28"/>
          <w:szCs w:val="22"/>
        </w:rPr>
        <w:t>(1) Shri P. C. Bhattacharyya, former Governor, Reserve Bank of India.</w:t>
      </w:r>
    </w:p>
    <w:p w14:paraId="27D454A8" w14:textId="77777777" w:rsidR="00D923FB" w:rsidRPr="00791D50" w:rsidRDefault="00D923FB" w:rsidP="00791D50">
      <w:pPr>
        <w:tabs>
          <w:tab w:val="left" w:pos="3370"/>
        </w:tabs>
        <w:spacing w:line="300" w:lineRule="exact"/>
        <w:ind w:left="1134"/>
        <w:jc w:val="both"/>
        <w:rPr>
          <w:rFonts w:ascii="Times New Roman" w:hAnsi="Times New Roman" w:cs="Times New Roman"/>
          <w:sz w:val="28"/>
          <w:szCs w:val="22"/>
        </w:rPr>
      </w:pPr>
      <w:r w:rsidRPr="00791D50">
        <w:rPr>
          <w:rFonts w:ascii="Times New Roman" w:hAnsi="Times New Roman" w:cs="Times New Roman"/>
          <w:sz w:val="28"/>
          <w:szCs w:val="22"/>
        </w:rPr>
        <w:t>(2) Shri M. Seshachalapathy, retired Judge, Andhra Pradesh High Court.</w:t>
      </w:r>
    </w:p>
    <w:p w14:paraId="17C0694E" w14:textId="77777777" w:rsidR="00D923FB" w:rsidRPr="00791D50" w:rsidRDefault="00D923FB" w:rsidP="00791D50">
      <w:pPr>
        <w:tabs>
          <w:tab w:val="left" w:pos="3370"/>
        </w:tabs>
        <w:spacing w:line="300" w:lineRule="exact"/>
        <w:ind w:left="1134"/>
        <w:jc w:val="both"/>
        <w:rPr>
          <w:rFonts w:ascii="Times New Roman" w:hAnsi="Times New Roman" w:cs="Times New Roman"/>
          <w:sz w:val="28"/>
          <w:szCs w:val="22"/>
        </w:rPr>
      </w:pPr>
      <w:r w:rsidRPr="00791D50">
        <w:rPr>
          <w:rFonts w:ascii="Times New Roman" w:hAnsi="Times New Roman" w:cs="Times New Roman"/>
          <w:sz w:val="28"/>
          <w:szCs w:val="22"/>
        </w:rPr>
        <w:t>(3) Dr. D. T. Lakdawala, Professor, Department of Economics, Bombay University.</w:t>
      </w:r>
    </w:p>
    <w:p w14:paraId="4B94989F" w14:textId="77777777" w:rsidR="00D923FB" w:rsidRPr="00791D50" w:rsidRDefault="00D923FB" w:rsidP="00791D50">
      <w:pPr>
        <w:tabs>
          <w:tab w:val="left" w:pos="3370"/>
        </w:tabs>
        <w:spacing w:line="300" w:lineRule="exact"/>
        <w:ind w:left="1134"/>
        <w:jc w:val="both"/>
        <w:rPr>
          <w:rFonts w:ascii="Times New Roman" w:hAnsi="Times New Roman" w:cs="Times New Roman"/>
          <w:sz w:val="28"/>
          <w:szCs w:val="22"/>
        </w:rPr>
      </w:pPr>
      <w:r w:rsidRPr="00791D50">
        <w:rPr>
          <w:rFonts w:ascii="Times New Roman" w:hAnsi="Times New Roman" w:cs="Times New Roman"/>
          <w:sz w:val="28"/>
          <w:szCs w:val="22"/>
        </w:rPr>
        <w:t>(4) Shri V. L. Gidwani, former Chief Secretary, Government of Gujarat, Member-Secretary.</w:t>
      </w:r>
    </w:p>
    <w:p w14:paraId="1EAFE9F3" w14:textId="77777777" w:rsidR="00D923FB" w:rsidRPr="00791D50" w:rsidRDefault="00D923FB" w:rsidP="00791D50">
      <w:pPr>
        <w:pStyle w:val="ListParagraph"/>
        <w:numPr>
          <w:ilvl w:val="0"/>
          <w:numId w:val="33"/>
        </w:numPr>
        <w:tabs>
          <w:tab w:val="left" w:pos="3370"/>
        </w:tabs>
        <w:spacing w:line="300" w:lineRule="exact"/>
        <w:jc w:val="both"/>
        <w:rPr>
          <w:rFonts w:ascii="Times New Roman" w:hAnsi="Times New Roman" w:cs="Times New Roman"/>
          <w:sz w:val="28"/>
          <w:szCs w:val="22"/>
        </w:rPr>
      </w:pPr>
      <w:r w:rsidRPr="00791D50">
        <w:rPr>
          <w:rFonts w:ascii="Times New Roman" w:hAnsi="Times New Roman" w:cs="Times New Roman"/>
          <w:sz w:val="28"/>
          <w:szCs w:val="22"/>
        </w:rPr>
        <w:t>The members of the Commission shall hold office until the 31st day of July, 1969.</w:t>
      </w:r>
    </w:p>
    <w:p w14:paraId="5DAECF1D" w14:textId="77777777" w:rsidR="00D923FB" w:rsidRPr="00791D50" w:rsidRDefault="00D923FB" w:rsidP="00791D50">
      <w:pPr>
        <w:pStyle w:val="ListParagraph"/>
        <w:numPr>
          <w:ilvl w:val="0"/>
          <w:numId w:val="33"/>
        </w:numPr>
        <w:tabs>
          <w:tab w:val="left" w:pos="3370"/>
        </w:tabs>
        <w:spacing w:line="300" w:lineRule="exact"/>
        <w:jc w:val="both"/>
        <w:rPr>
          <w:rFonts w:ascii="Times New Roman" w:hAnsi="Times New Roman" w:cs="Times New Roman"/>
          <w:sz w:val="28"/>
          <w:szCs w:val="22"/>
        </w:rPr>
      </w:pPr>
      <w:r w:rsidRPr="00791D50">
        <w:rPr>
          <w:rFonts w:ascii="Times New Roman" w:hAnsi="Times New Roman" w:cs="Times New Roman"/>
          <w:sz w:val="28"/>
          <w:szCs w:val="22"/>
        </w:rPr>
        <w:t>Shri Mahavir Tyagi shall render part-time service as Chairman of the Commission until such date as the Central Government may specify in this behalf and thereafter, he shall render whole-time service as Chairman of the Commission. Of the other members, Shri P. C. Bhattacharyya shall render part-time service as member of the Commission until such date as the Central Government may specify in this behalf and, thereafter, he shall render whole-time service as member of the Commission. The other three members will render whole-time service.</w:t>
      </w:r>
    </w:p>
    <w:p w14:paraId="164C8273" w14:textId="78F1BEEA" w:rsidR="00D923FB" w:rsidRPr="00791D50" w:rsidRDefault="00D923FB" w:rsidP="00791D50">
      <w:pPr>
        <w:numPr>
          <w:ilvl w:val="0"/>
          <w:numId w:val="33"/>
        </w:numPr>
        <w:tabs>
          <w:tab w:val="num" w:pos="720"/>
          <w:tab w:val="left" w:pos="3370"/>
        </w:tabs>
        <w:spacing w:line="300" w:lineRule="exact"/>
        <w:jc w:val="both"/>
        <w:rPr>
          <w:rFonts w:ascii="Times New Roman" w:hAnsi="Times New Roman" w:cs="Times New Roman"/>
          <w:sz w:val="28"/>
          <w:szCs w:val="22"/>
        </w:rPr>
      </w:pPr>
      <w:r w:rsidRPr="00791D50">
        <w:rPr>
          <w:rFonts w:ascii="Times New Roman" w:hAnsi="Times New Roman" w:cs="Times New Roman"/>
          <w:sz w:val="28"/>
          <w:szCs w:val="22"/>
        </w:rPr>
        <w:t>The Commission shall make recommendations as to the following matters:</w:t>
      </w:r>
      <w:r w:rsidR="00965A5A">
        <w:rPr>
          <w:rFonts w:ascii="Times New Roman" w:hAnsi="Times New Roman" w:cs="Times New Roman"/>
          <w:sz w:val="28"/>
          <w:szCs w:val="22"/>
        </w:rPr>
        <w:t>-</w:t>
      </w:r>
    </w:p>
    <w:p w14:paraId="1035335F" w14:textId="77777777" w:rsidR="00D923FB" w:rsidRPr="00791D50" w:rsidRDefault="00D923FB" w:rsidP="00BF4043">
      <w:pPr>
        <w:tabs>
          <w:tab w:val="left" w:pos="3370"/>
        </w:tabs>
        <w:spacing w:line="300" w:lineRule="exact"/>
        <w:ind w:left="1080"/>
        <w:jc w:val="both"/>
        <w:rPr>
          <w:rFonts w:ascii="Times New Roman" w:hAnsi="Times New Roman" w:cs="Times New Roman"/>
          <w:sz w:val="28"/>
          <w:szCs w:val="22"/>
        </w:rPr>
      </w:pPr>
      <w:r w:rsidRPr="00791D50">
        <w:rPr>
          <w:rFonts w:ascii="Times New Roman" w:hAnsi="Times New Roman" w:cs="Times New Roman"/>
          <w:sz w:val="28"/>
          <w:szCs w:val="22"/>
        </w:rPr>
        <w:t>(a) the distribution between the Union and the States of the net proceeds of taxes which are to be, or may be, divided between them under Chapter I of Part XII of the Constitution and the allocation between the States of the respective shares of such proceeds;</w:t>
      </w:r>
    </w:p>
    <w:p w14:paraId="79431D3D" w14:textId="626CA6F5" w:rsidR="00D923FB" w:rsidRPr="00791D50" w:rsidRDefault="00D923FB" w:rsidP="00BF4043">
      <w:pPr>
        <w:tabs>
          <w:tab w:val="left" w:pos="3370"/>
        </w:tabs>
        <w:spacing w:line="300" w:lineRule="exact"/>
        <w:ind w:left="1080"/>
        <w:jc w:val="both"/>
        <w:rPr>
          <w:rFonts w:ascii="Times New Roman" w:hAnsi="Times New Roman" w:cs="Times New Roman"/>
          <w:sz w:val="28"/>
          <w:szCs w:val="22"/>
        </w:rPr>
      </w:pPr>
      <w:r w:rsidRPr="00791D50">
        <w:rPr>
          <w:rFonts w:ascii="Times New Roman" w:hAnsi="Times New Roman" w:cs="Times New Roman"/>
          <w:sz w:val="28"/>
          <w:szCs w:val="22"/>
        </w:rPr>
        <w:t>(b) the principles which should govern the grants-in-aid of the revenues of the States out of the Consolidated Fund of India and the sums to be paid to the States</w:t>
      </w:r>
      <w:r w:rsidR="00BF4043">
        <w:rPr>
          <w:rFonts w:ascii="Times New Roman" w:hAnsi="Times New Roman" w:cs="Times New Roman"/>
          <w:sz w:val="28"/>
          <w:szCs w:val="22"/>
        </w:rPr>
        <w:t xml:space="preserve"> </w:t>
      </w:r>
      <w:r w:rsidRPr="00791D50">
        <w:rPr>
          <w:rFonts w:ascii="Times New Roman" w:hAnsi="Times New Roman" w:cs="Times New Roman"/>
          <w:sz w:val="28"/>
          <w:szCs w:val="22"/>
        </w:rPr>
        <w:t xml:space="preserve">which are in need of assistance by way of grants-in-aid of their </w:t>
      </w:r>
      <w:r w:rsidRPr="00791D50">
        <w:rPr>
          <w:rFonts w:ascii="Times New Roman" w:hAnsi="Times New Roman" w:cs="Times New Roman"/>
          <w:sz w:val="28"/>
          <w:szCs w:val="22"/>
        </w:rPr>
        <w:lastRenderedPageBreak/>
        <w:t>revenues under Article 275 for purposes other than those specified in the provisos to clause (1) of that article and other than the requirements of the Five Year Plan, having regard, among other considerations, to—</w:t>
      </w:r>
    </w:p>
    <w:p w14:paraId="1EC5B695" w14:textId="77777777" w:rsidR="00D923FB" w:rsidRPr="00791D50" w:rsidRDefault="00D923FB" w:rsidP="00BF4043">
      <w:pPr>
        <w:tabs>
          <w:tab w:val="left" w:pos="3370"/>
        </w:tabs>
        <w:spacing w:line="300" w:lineRule="exact"/>
        <w:ind w:left="1440"/>
        <w:jc w:val="both"/>
        <w:rPr>
          <w:rFonts w:ascii="Times New Roman" w:hAnsi="Times New Roman" w:cs="Times New Roman"/>
          <w:sz w:val="28"/>
          <w:szCs w:val="22"/>
        </w:rPr>
      </w:pPr>
      <w:r w:rsidRPr="00791D50">
        <w:rPr>
          <w:rFonts w:ascii="Times New Roman" w:hAnsi="Times New Roman" w:cs="Times New Roman"/>
          <w:sz w:val="28"/>
          <w:szCs w:val="22"/>
        </w:rPr>
        <w:t>(i) the revenue resources of those States for the five years ending with the financial year 1973-74 on the basis of the levels of taxation likely to be reached at the end of the financial year 1968-69;</w:t>
      </w:r>
    </w:p>
    <w:p w14:paraId="21FA41A1" w14:textId="77777777" w:rsidR="00D923FB" w:rsidRPr="00791D50" w:rsidRDefault="00D923FB" w:rsidP="00BF4043">
      <w:pPr>
        <w:tabs>
          <w:tab w:val="left" w:pos="3370"/>
        </w:tabs>
        <w:spacing w:line="300" w:lineRule="exact"/>
        <w:ind w:left="1440"/>
        <w:jc w:val="both"/>
        <w:rPr>
          <w:rFonts w:ascii="Times New Roman" w:hAnsi="Times New Roman" w:cs="Times New Roman"/>
          <w:sz w:val="28"/>
          <w:szCs w:val="22"/>
        </w:rPr>
      </w:pPr>
      <w:r w:rsidRPr="00791D50">
        <w:rPr>
          <w:rFonts w:ascii="Times New Roman" w:hAnsi="Times New Roman" w:cs="Times New Roman"/>
          <w:sz w:val="28"/>
          <w:szCs w:val="22"/>
        </w:rPr>
        <w:t>(ii) the requirements on revenue account of those States to meet the expenditure on administration, interest charges in respect of their debt, maintenance and upkeep of Plan schemes completed by the end of 1968-69, transfer of funds to local bodies and aided institutions and other committed expenditure;</w:t>
      </w:r>
    </w:p>
    <w:p w14:paraId="18B48C9E" w14:textId="77777777" w:rsidR="00D923FB" w:rsidRPr="00791D50" w:rsidRDefault="00D923FB" w:rsidP="00AD7881">
      <w:pPr>
        <w:tabs>
          <w:tab w:val="left" w:pos="3370"/>
        </w:tabs>
        <w:spacing w:line="300" w:lineRule="exact"/>
        <w:ind w:left="1080"/>
        <w:jc w:val="both"/>
        <w:rPr>
          <w:rFonts w:ascii="Times New Roman" w:hAnsi="Times New Roman" w:cs="Times New Roman"/>
          <w:sz w:val="28"/>
          <w:szCs w:val="22"/>
        </w:rPr>
      </w:pPr>
      <w:r w:rsidRPr="00791D50">
        <w:rPr>
          <w:rFonts w:ascii="Times New Roman" w:hAnsi="Times New Roman" w:cs="Times New Roman"/>
          <w:sz w:val="28"/>
          <w:szCs w:val="22"/>
        </w:rPr>
        <w:t>(iii) the scope for better fiscal management as also for economy consistent with efficiency which may be effected by the States in their administrative, maintenance, developmental and other expenditure;</w:t>
      </w:r>
    </w:p>
    <w:p w14:paraId="618335AE" w14:textId="77777777" w:rsidR="00D923FB" w:rsidRPr="00791D50" w:rsidRDefault="00D923FB" w:rsidP="00AD7881">
      <w:pPr>
        <w:tabs>
          <w:tab w:val="left" w:pos="3370"/>
        </w:tabs>
        <w:spacing w:line="300" w:lineRule="exact"/>
        <w:ind w:left="1080"/>
        <w:jc w:val="both"/>
        <w:rPr>
          <w:rFonts w:ascii="Times New Roman" w:hAnsi="Times New Roman" w:cs="Times New Roman"/>
          <w:sz w:val="28"/>
          <w:szCs w:val="22"/>
        </w:rPr>
      </w:pPr>
      <w:r w:rsidRPr="00791D50">
        <w:rPr>
          <w:rFonts w:ascii="Times New Roman" w:hAnsi="Times New Roman" w:cs="Times New Roman"/>
          <w:sz w:val="28"/>
          <w:szCs w:val="22"/>
        </w:rPr>
        <w:t>(c) the changes, if any, to be made in the principles governing the distribution amongst the States of the grant to be made available to the States in lieu of the repealed tax on railway passenger fares;</w:t>
      </w:r>
    </w:p>
    <w:p w14:paraId="01AF3B77" w14:textId="77777777" w:rsidR="00D923FB" w:rsidRPr="00791D50" w:rsidRDefault="00D923FB" w:rsidP="00AD7881">
      <w:pPr>
        <w:tabs>
          <w:tab w:val="left" w:pos="3370"/>
        </w:tabs>
        <w:spacing w:line="300" w:lineRule="exact"/>
        <w:ind w:left="1080"/>
        <w:jc w:val="both"/>
        <w:rPr>
          <w:rFonts w:ascii="Times New Roman" w:hAnsi="Times New Roman" w:cs="Times New Roman"/>
          <w:sz w:val="28"/>
          <w:szCs w:val="22"/>
        </w:rPr>
      </w:pPr>
      <w:r w:rsidRPr="00791D50">
        <w:rPr>
          <w:rFonts w:ascii="Times New Roman" w:hAnsi="Times New Roman" w:cs="Times New Roman"/>
          <w:sz w:val="28"/>
          <w:szCs w:val="22"/>
        </w:rPr>
        <w:t>(d) the changes, if any, to be made in the principles governing the distribution amongst the States under article 269 of the net proceeds in any financial year of estate duty in respect of property other than agricultural land;</w:t>
      </w:r>
    </w:p>
    <w:p w14:paraId="3A89033F" w14:textId="77777777" w:rsidR="00D923FB" w:rsidRPr="00791D50" w:rsidRDefault="00D923FB" w:rsidP="00AD7881">
      <w:pPr>
        <w:tabs>
          <w:tab w:val="left" w:pos="3370"/>
        </w:tabs>
        <w:spacing w:line="300" w:lineRule="exact"/>
        <w:ind w:left="1080"/>
        <w:jc w:val="both"/>
        <w:rPr>
          <w:rFonts w:ascii="Times New Roman" w:hAnsi="Times New Roman" w:cs="Times New Roman"/>
          <w:sz w:val="28"/>
          <w:szCs w:val="22"/>
        </w:rPr>
      </w:pPr>
      <w:r w:rsidRPr="00791D50">
        <w:rPr>
          <w:rFonts w:ascii="Times New Roman" w:hAnsi="Times New Roman" w:cs="Times New Roman"/>
          <w:sz w:val="28"/>
          <w:szCs w:val="22"/>
        </w:rPr>
        <w:t>(e) the desirability or otherwise of maintaining the existing arrangements under the Additional Duties of Excise (Goods of Special Importance) Act, 1957, in regard to the levy of additional duties of excise on sugar, textiles and tobacco in lieu of the States’ sales taxes thereon, with or without any modifications and the scope for extending such arrangements to other items or commodities;</w:t>
      </w:r>
    </w:p>
    <w:p w14:paraId="202FBB5C" w14:textId="77777777" w:rsidR="00AD7881" w:rsidRDefault="00D923FB" w:rsidP="00AD7881">
      <w:pPr>
        <w:tabs>
          <w:tab w:val="left" w:pos="3370"/>
        </w:tabs>
        <w:spacing w:line="300" w:lineRule="exact"/>
        <w:ind w:left="1080"/>
        <w:jc w:val="both"/>
        <w:rPr>
          <w:rFonts w:ascii="Times New Roman" w:hAnsi="Times New Roman" w:cs="Times New Roman"/>
          <w:sz w:val="28"/>
          <w:szCs w:val="22"/>
        </w:rPr>
      </w:pPr>
      <w:r w:rsidRPr="00791D50">
        <w:rPr>
          <w:rFonts w:ascii="Times New Roman" w:hAnsi="Times New Roman" w:cs="Times New Roman"/>
          <w:sz w:val="28"/>
          <w:szCs w:val="22"/>
        </w:rPr>
        <w:t>(f) irrespective of the recommendation made under item (e) above, the changes, if any, to be made in the principles governing the distribution of the net proceeds in any financial year of the additional excise duties leviable under the 1957 Act aforesaid on each of the following commodities, namely,</w:t>
      </w:r>
    </w:p>
    <w:p w14:paraId="0BE5D1C8" w14:textId="623376FC" w:rsidR="00BF4043" w:rsidRDefault="00D923FB" w:rsidP="00AD7881">
      <w:pPr>
        <w:tabs>
          <w:tab w:val="left" w:pos="3370"/>
        </w:tabs>
        <w:spacing w:line="300" w:lineRule="exact"/>
        <w:ind w:left="1440"/>
        <w:jc w:val="both"/>
        <w:rPr>
          <w:rFonts w:ascii="Times New Roman" w:hAnsi="Times New Roman" w:cs="Times New Roman"/>
          <w:sz w:val="28"/>
          <w:szCs w:val="22"/>
        </w:rPr>
      </w:pPr>
      <w:r w:rsidRPr="00791D50">
        <w:rPr>
          <w:rFonts w:ascii="Times New Roman" w:hAnsi="Times New Roman" w:cs="Times New Roman"/>
          <w:sz w:val="28"/>
          <w:szCs w:val="22"/>
        </w:rPr>
        <w:t>(i)</w:t>
      </w:r>
      <w:r w:rsidR="00BF4043">
        <w:rPr>
          <w:rFonts w:ascii="Times New Roman" w:hAnsi="Times New Roman" w:cs="Times New Roman"/>
          <w:sz w:val="28"/>
          <w:szCs w:val="22"/>
        </w:rPr>
        <w:t xml:space="preserve"> </w:t>
      </w:r>
      <w:r w:rsidRPr="00791D50">
        <w:rPr>
          <w:rFonts w:ascii="Times New Roman" w:hAnsi="Times New Roman" w:cs="Times New Roman"/>
          <w:sz w:val="28"/>
          <w:szCs w:val="22"/>
        </w:rPr>
        <w:t>cotton fabrics,</w:t>
      </w:r>
    </w:p>
    <w:p w14:paraId="7FB4A3B9" w14:textId="668F0EC6" w:rsidR="00BF4043" w:rsidRDefault="00D923FB" w:rsidP="00AD7881">
      <w:pPr>
        <w:tabs>
          <w:tab w:val="left" w:pos="3370"/>
        </w:tabs>
        <w:spacing w:line="300" w:lineRule="exact"/>
        <w:ind w:left="1440"/>
        <w:jc w:val="both"/>
        <w:rPr>
          <w:rFonts w:ascii="Times New Roman" w:hAnsi="Times New Roman" w:cs="Times New Roman"/>
          <w:sz w:val="28"/>
          <w:szCs w:val="22"/>
        </w:rPr>
      </w:pPr>
      <w:r w:rsidRPr="00791D50">
        <w:rPr>
          <w:rFonts w:ascii="Times New Roman" w:hAnsi="Times New Roman" w:cs="Times New Roman"/>
          <w:sz w:val="28"/>
          <w:szCs w:val="22"/>
        </w:rPr>
        <w:t>(ii)</w:t>
      </w:r>
      <w:r w:rsidR="00BF4043">
        <w:rPr>
          <w:rFonts w:ascii="Times New Roman" w:hAnsi="Times New Roman" w:cs="Times New Roman"/>
          <w:sz w:val="28"/>
          <w:szCs w:val="22"/>
        </w:rPr>
        <w:t xml:space="preserve"> </w:t>
      </w:r>
      <w:r w:rsidRPr="00791D50">
        <w:rPr>
          <w:rFonts w:ascii="Times New Roman" w:hAnsi="Times New Roman" w:cs="Times New Roman"/>
          <w:sz w:val="28"/>
          <w:szCs w:val="22"/>
        </w:rPr>
        <w:t>silk fabrics,</w:t>
      </w:r>
    </w:p>
    <w:p w14:paraId="4E0C3CCA" w14:textId="1936B685" w:rsidR="00BF4043" w:rsidRDefault="00D923FB" w:rsidP="00AD7881">
      <w:pPr>
        <w:tabs>
          <w:tab w:val="left" w:pos="3370"/>
        </w:tabs>
        <w:spacing w:line="300" w:lineRule="exact"/>
        <w:ind w:left="1440"/>
        <w:jc w:val="both"/>
        <w:rPr>
          <w:rFonts w:ascii="Times New Roman" w:hAnsi="Times New Roman" w:cs="Times New Roman"/>
          <w:sz w:val="28"/>
          <w:szCs w:val="22"/>
        </w:rPr>
      </w:pPr>
      <w:r w:rsidRPr="00791D50">
        <w:rPr>
          <w:rFonts w:ascii="Times New Roman" w:hAnsi="Times New Roman" w:cs="Times New Roman"/>
          <w:sz w:val="28"/>
          <w:szCs w:val="22"/>
        </w:rPr>
        <w:t>(iii)</w:t>
      </w:r>
      <w:r w:rsidR="00BF4043">
        <w:rPr>
          <w:rFonts w:ascii="Times New Roman" w:hAnsi="Times New Roman" w:cs="Times New Roman"/>
          <w:sz w:val="28"/>
          <w:szCs w:val="22"/>
        </w:rPr>
        <w:t xml:space="preserve"> </w:t>
      </w:r>
      <w:r w:rsidRPr="00791D50">
        <w:rPr>
          <w:rFonts w:ascii="Times New Roman" w:hAnsi="Times New Roman" w:cs="Times New Roman"/>
          <w:sz w:val="28"/>
          <w:szCs w:val="22"/>
        </w:rPr>
        <w:t>woollen fabrics,</w:t>
      </w:r>
    </w:p>
    <w:p w14:paraId="7FEFC849" w14:textId="77777777" w:rsidR="00BF4043" w:rsidRDefault="00D923FB" w:rsidP="00AD7881">
      <w:pPr>
        <w:tabs>
          <w:tab w:val="left" w:pos="3370"/>
        </w:tabs>
        <w:spacing w:line="300" w:lineRule="exact"/>
        <w:ind w:left="1440"/>
        <w:jc w:val="both"/>
        <w:rPr>
          <w:rFonts w:ascii="Times New Roman" w:hAnsi="Times New Roman" w:cs="Times New Roman"/>
          <w:sz w:val="28"/>
          <w:szCs w:val="22"/>
        </w:rPr>
      </w:pPr>
      <w:r w:rsidRPr="00791D50">
        <w:rPr>
          <w:rFonts w:ascii="Times New Roman" w:hAnsi="Times New Roman" w:cs="Times New Roman"/>
          <w:sz w:val="28"/>
          <w:szCs w:val="22"/>
        </w:rPr>
        <w:t>(iv) rayon or artificial silk fabrics,</w:t>
      </w:r>
    </w:p>
    <w:p w14:paraId="0BEAC120" w14:textId="7965B08D" w:rsidR="00BF4043" w:rsidRPr="00BF4043" w:rsidRDefault="00BF4043" w:rsidP="00AD7881">
      <w:pPr>
        <w:tabs>
          <w:tab w:val="left" w:pos="3370"/>
        </w:tabs>
        <w:spacing w:line="300" w:lineRule="exact"/>
        <w:ind w:left="1440"/>
        <w:jc w:val="both"/>
        <w:rPr>
          <w:rFonts w:ascii="Times New Roman" w:hAnsi="Times New Roman" w:cs="Times New Roman"/>
          <w:sz w:val="28"/>
          <w:szCs w:val="22"/>
        </w:rPr>
      </w:pPr>
      <w:r>
        <w:rPr>
          <w:rFonts w:ascii="Times New Roman" w:hAnsi="Times New Roman" w:cs="Times New Roman"/>
          <w:sz w:val="28"/>
          <w:szCs w:val="22"/>
        </w:rPr>
        <w:lastRenderedPageBreak/>
        <w:t xml:space="preserve">(v) </w:t>
      </w:r>
      <w:r w:rsidR="00D923FB" w:rsidRPr="00BF4043">
        <w:rPr>
          <w:rFonts w:ascii="Times New Roman" w:hAnsi="Times New Roman" w:cs="Times New Roman"/>
          <w:sz w:val="28"/>
          <w:szCs w:val="22"/>
        </w:rPr>
        <w:t>sugar, and</w:t>
      </w:r>
    </w:p>
    <w:p w14:paraId="429B18C9" w14:textId="77777777" w:rsidR="00BF4043" w:rsidRDefault="00D923FB" w:rsidP="00AD7881">
      <w:pPr>
        <w:tabs>
          <w:tab w:val="left" w:pos="3370"/>
        </w:tabs>
        <w:spacing w:line="300" w:lineRule="exact"/>
        <w:ind w:left="1440"/>
        <w:jc w:val="both"/>
        <w:rPr>
          <w:rFonts w:ascii="Times New Roman" w:hAnsi="Times New Roman" w:cs="Times New Roman"/>
          <w:sz w:val="28"/>
          <w:szCs w:val="22"/>
        </w:rPr>
      </w:pPr>
      <w:r w:rsidRPr="00BF4043">
        <w:rPr>
          <w:rFonts w:ascii="Times New Roman" w:hAnsi="Times New Roman" w:cs="Times New Roman"/>
          <w:sz w:val="28"/>
          <w:szCs w:val="22"/>
        </w:rPr>
        <w:t>(vi) tobacco including manufactured tobacco,</w:t>
      </w:r>
    </w:p>
    <w:p w14:paraId="21E931A9" w14:textId="00E3EA2B" w:rsidR="00D923FB" w:rsidRPr="00BF4043" w:rsidRDefault="00D923FB" w:rsidP="00AD7881">
      <w:pPr>
        <w:tabs>
          <w:tab w:val="left" w:pos="3370"/>
        </w:tabs>
        <w:spacing w:line="300" w:lineRule="exact"/>
        <w:ind w:left="720"/>
        <w:jc w:val="both"/>
        <w:rPr>
          <w:rFonts w:ascii="Times New Roman" w:hAnsi="Times New Roman" w:cs="Times New Roman"/>
          <w:sz w:val="28"/>
          <w:szCs w:val="22"/>
        </w:rPr>
      </w:pPr>
      <w:r w:rsidRPr="00BF4043">
        <w:rPr>
          <w:rFonts w:ascii="Times New Roman" w:hAnsi="Times New Roman" w:cs="Times New Roman"/>
          <w:sz w:val="28"/>
          <w:szCs w:val="22"/>
        </w:rPr>
        <w:t>in replacement of the States’ sales taxes formerly levied by the State Governments:</w:t>
      </w:r>
    </w:p>
    <w:p w14:paraId="0A22E7BB" w14:textId="77777777" w:rsidR="00D923FB" w:rsidRPr="00791D50" w:rsidRDefault="00D923FB" w:rsidP="00AD7881">
      <w:pPr>
        <w:tabs>
          <w:tab w:val="left" w:pos="3370"/>
        </w:tabs>
        <w:spacing w:line="300" w:lineRule="exact"/>
        <w:ind w:left="1146" w:hanging="426"/>
        <w:jc w:val="both"/>
        <w:rPr>
          <w:rFonts w:ascii="Times New Roman" w:hAnsi="Times New Roman" w:cs="Times New Roman"/>
          <w:sz w:val="28"/>
          <w:szCs w:val="22"/>
        </w:rPr>
      </w:pPr>
      <w:r w:rsidRPr="00791D50">
        <w:rPr>
          <w:rFonts w:ascii="Times New Roman" w:hAnsi="Times New Roman" w:cs="Times New Roman"/>
          <w:sz w:val="28"/>
          <w:szCs w:val="22"/>
        </w:rPr>
        <w:t>Provided that the share accruing to each State shall not be less than the revenue realised from the levy of the sales tax for the financial year 1956-57 in that State.</w:t>
      </w:r>
    </w:p>
    <w:p w14:paraId="7820A169" w14:textId="77777777" w:rsidR="00D923FB" w:rsidRPr="00791D50" w:rsidRDefault="00D923FB" w:rsidP="00AD7881">
      <w:pPr>
        <w:tabs>
          <w:tab w:val="left" w:pos="3370"/>
        </w:tabs>
        <w:spacing w:line="300" w:lineRule="exact"/>
        <w:ind w:left="1080"/>
        <w:jc w:val="both"/>
        <w:rPr>
          <w:rFonts w:ascii="Times New Roman" w:hAnsi="Times New Roman" w:cs="Times New Roman"/>
          <w:sz w:val="28"/>
          <w:szCs w:val="22"/>
        </w:rPr>
      </w:pPr>
      <w:r w:rsidRPr="00791D50">
        <w:rPr>
          <w:rFonts w:ascii="Times New Roman" w:hAnsi="Times New Roman" w:cs="Times New Roman"/>
          <w:sz w:val="28"/>
          <w:szCs w:val="22"/>
        </w:rPr>
        <w:t>(g) the principles which should govern the distribution of the net proceeds of such additional items or commodities as may be recommended under item (e) above for levy of additional excise duties in lieu of the States’ sales taxes thereon;</w:t>
      </w:r>
    </w:p>
    <w:p w14:paraId="16DD26FE" w14:textId="77777777" w:rsidR="00D923FB" w:rsidRPr="00791D50" w:rsidRDefault="00D923FB" w:rsidP="00AD7881">
      <w:pPr>
        <w:tabs>
          <w:tab w:val="left" w:pos="3370"/>
        </w:tabs>
        <w:spacing w:line="300" w:lineRule="exact"/>
        <w:ind w:left="1080"/>
        <w:jc w:val="both"/>
        <w:rPr>
          <w:rFonts w:ascii="Times New Roman" w:hAnsi="Times New Roman" w:cs="Times New Roman"/>
          <w:sz w:val="28"/>
          <w:szCs w:val="22"/>
        </w:rPr>
      </w:pPr>
      <w:r w:rsidRPr="00791D50">
        <w:rPr>
          <w:rFonts w:ascii="Times New Roman" w:hAnsi="Times New Roman" w:cs="Times New Roman"/>
          <w:sz w:val="28"/>
          <w:szCs w:val="22"/>
        </w:rPr>
        <w:t>(h) the scope for raising revenue from the taxes and duties mentioned in article 269 of the Constitution but not levied at present;</w:t>
      </w:r>
    </w:p>
    <w:p w14:paraId="3D2D9CD7" w14:textId="77777777" w:rsidR="00D923FB" w:rsidRPr="00791D50" w:rsidRDefault="00D923FB" w:rsidP="00AD7881">
      <w:pPr>
        <w:tabs>
          <w:tab w:val="left" w:pos="3370"/>
        </w:tabs>
        <w:spacing w:line="300" w:lineRule="exact"/>
        <w:ind w:left="1080"/>
        <w:jc w:val="both"/>
        <w:rPr>
          <w:rFonts w:ascii="Times New Roman" w:hAnsi="Times New Roman" w:cs="Times New Roman"/>
          <w:sz w:val="28"/>
          <w:szCs w:val="22"/>
        </w:rPr>
      </w:pPr>
      <w:r w:rsidRPr="00791D50">
        <w:rPr>
          <w:rFonts w:ascii="Times New Roman" w:hAnsi="Times New Roman" w:cs="Times New Roman"/>
          <w:sz w:val="28"/>
          <w:szCs w:val="22"/>
        </w:rPr>
        <w:t>(i) the scope for raising additional revenue by the various State Governments from the sources of revenue available to them; and</w:t>
      </w:r>
    </w:p>
    <w:p w14:paraId="19E6B149" w14:textId="77777777" w:rsidR="00D923FB" w:rsidRPr="00791D50" w:rsidRDefault="00D923FB" w:rsidP="00AD7881">
      <w:pPr>
        <w:tabs>
          <w:tab w:val="left" w:pos="3370"/>
        </w:tabs>
        <w:spacing w:line="300" w:lineRule="exact"/>
        <w:ind w:left="1080"/>
        <w:jc w:val="both"/>
        <w:rPr>
          <w:rFonts w:ascii="Times New Roman" w:hAnsi="Times New Roman" w:cs="Times New Roman"/>
          <w:sz w:val="28"/>
          <w:szCs w:val="22"/>
        </w:rPr>
      </w:pPr>
      <w:r w:rsidRPr="00791D50">
        <w:rPr>
          <w:rFonts w:ascii="Times New Roman" w:hAnsi="Times New Roman" w:cs="Times New Roman"/>
          <w:sz w:val="28"/>
          <w:szCs w:val="22"/>
        </w:rPr>
        <w:t>(j) the problem of unauthorised overdrafts of certain States with the Reserve Bank and the procedure to be observed for avoiding such overdrafts.</w:t>
      </w:r>
    </w:p>
    <w:p w14:paraId="422BF471" w14:textId="77777777" w:rsidR="00D923FB" w:rsidRPr="00791D50" w:rsidRDefault="00D923FB" w:rsidP="0032219C">
      <w:pPr>
        <w:pStyle w:val="ListParagraph"/>
        <w:numPr>
          <w:ilvl w:val="0"/>
          <w:numId w:val="33"/>
        </w:numPr>
        <w:tabs>
          <w:tab w:val="left" w:pos="3370"/>
        </w:tabs>
        <w:spacing w:line="300" w:lineRule="exact"/>
        <w:jc w:val="both"/>
        <w:rPr>
          <w:rFonts w:ascii="Times New Roman" w:hAnsi="Times New Roman" w:cs="Times New Roman"/>
          <w:sz w:val="28"/>
          <w:szCs w:val="22"/>
        </w:rPr>
      </w:pPr>
      <w:r w:rsidRPr="00791D50">
        <w:rPr>
          <w:rFonts w:ascii="Times New Roman" w:hAnsi="Times New Roman" w:cs="Times New Roman"/>
          <w:sz w:val="28"/>
          <w:szCs w:val="22"/>
        </w:rPr>
        <w:t>The Commission in making its recommendations on the various matters aforesaid shall have regard to the resources of the Central Government and the demands thereon on account of the expenditure on civil administration, defence and border security, debt servicing and other committed expenditures or liabilities.</w:t>
      </w:r>
    </w:p>
    <w:p w14:paraId="2B4D725C" w14:textId="77777777" w:rsidR="00D923FB" w:rsidRPr="00791D50" w:rsidRDefault="00D923FB" w:rsidP="0032219C">
      <w:pPr>
        <w:numPr>
          <w:ilvl w:val="0"/>
          <w:numId w:val="33"/>
        </w:numPr>
        <w:tabs>
          <w:tab w:val="left" w:pos="3370"/>
        </w:tabs>
        <w:spacing w:line="300" w:lineRule="exact"/>
        <w:jc w:val="both"/>
        <w:rPr>
          <w:rFonts w:ascii="Times New Roman" w:hAnsi="Times New Roman" w:cs="Times New Roman"/>
          <w:sz w:val="28"/>
          <w:szCs w:val="22"/>
        </w:rPr>
      </w:pPr>
      <w:r w:rsidRPr="00791D50">
        <w:rPr>
          <w:rFonts w:ascii="Times New Roman" w:hAnsi="Times New Roman" w:cs="Times New Roman"/>
          <w:sz w:val="28"/>
          <w:szCs w:val="22"/>
        </w:rPr>
        <w:t>The Commission shall make an interim Report by the 30th September, 1968 covering as many of the matters mentioned in para 4 above as possible and in particular, in respect of the financial year 1969-70; and make the final Report by the 31st July, 1969 on each of the said matters and covering a period of five years commencing from the 1st day of April, 1969, indicating in its Reports the basis on which it has arrived at its findings and making available the relevant documents.”</w:t>
      </w:r>
    </w:p>
    <w:p w14:paraId="55290F0F" w14:textId="650913B5" w:rsidR="00D923FB" w:rsidRPr="00791D50" w:rsidRDefault="00D923FB" w:rsidP="00AD7881">
      <w:pPr>
        <w:tabs>
          <w:tab w:val="left" w:pos="3370"/>
        </w:tabs>
        <w:spacing w:line="320" w:lineRule="exact"/>
        <w:jc w:val="both"/>
        <w:rPr>
          <w:rFonts w:ascii="Times New Roman" w:hAnsi="Times New Roman" w:cs="Times New Roman"/>
          <w:sz w:val="28"/>
          <w:szCs w:val="22"/>
        </w:rPr>
      </w:pPr>
      <w:r w:rsidRPr="00791D50">
        <w:rPr>
          <w:rFonts w:ascii="Times New Roman" w:hAnsi="Times New Roman" w:cs="Times New Roman"/>
          <w:sz w:val="28"/>
          <w:szCs w:val="22"/>
        </w:rPr>
        <w:t>Under paragraph 6 of the Order we were required to make an interim Report by the 30</w:t>
      </w:r>
      <w:r w:rsidRPr="00965A5A">
        <w:rPr>
          <w:rFonts w:ascii="Times New Roman" w:hAnsi="Times New Roman" w:cs="Times New Roman"/>
          <w:sz w:val="28"/>
          <w:szCs w:val="22"/>
          <w:vertAlign w:val="superscript"/>
        </w:rPr>
        <w:t>th</w:t>
      </w:r>
      <w:r w:rsidR="00965A5A">
        <w:rPr>
          <w:rFonts w:ascii="Times New Roman" w:hAnsi="Times New Roman" w:cs="Times New Roman"/>
          <w:sz w:val="28"/>
          <w:szCs w:val="22"/>
        </w:rPr>
        <w:t xml:space="preserve"> </w:t>
      </w:r>
      <w:r w:rsidRPr="00791D50">
        <w:rPr>
          <w:rFonts w:ascii="Times New Roman" w:hAnsi="Times New Roman" w:cs="Times New Roman"/>
          <w:sz w:val="28"/>
          <w:szCs w:val="22"/>
        </w:rPr>
        <w:t>September, 1968 covering as many as possible of the matters mentioned in paragraph 4 of the Order, and in particular, in respect of the financial year 1969-70. The date for submission of the interim Report was extended to 31</w:t>
      </w:r>
      <w:r w:rsidRPr="00965A5A">
        <w:rPr>
          <w:rFonts w:ascii="Times New Roman" w:hAnsi="Times New Roman" w:cs="Times New Roman"/>
          <w:sz w:val="28"/>
          <w:szCs w:val="22"/>
          <w:vertAlign w:val="superscript"/>
        </w:rPr>
        <w:t>st</w:t>
      </w:r>
      <w:r w:rsidR="00965A5A">
        <w:rPr>
          <w:rFonts w:ascii="Times New Roman" w:hAnsi="Times New Roman" w:cs="Times New Roman"/>
          <w:sz w:val="28"/>
          <w:szCs w:val="22"/>
        </w:rPr>
        <w:t xml:space="preserve"> </w:t>
      </w:r>
      <w:r w:rsidRPr="00791D50">
        <w:rPr>
          <w:rFonts w:ascii="Times New Roman" w:hAnsi="Times New Roman" w:cs="Times New Roman"/>
          <w:sz w:val="28"/>
          <w:szCs w:val="22"/>
        </w:rPr>
        <w:t>October, 1968, by the President’s subsequent Order dated 24</w:t>
      </w:r>
      <w:r w:rsidRPr="00965A5A">
        <w:rPr>
          <w:rFonts w:ascii="Times New Roman" w:hAnsi="Times New Roman" w:cs="Times New Roman"/>
          <w:sz w:val="28"/>
          <w:szCs w:val="22"/>
          <w:vertAlign w:val="superscript"/>
        </w:rPr>
        <w:t>th</w:t>
      </w:r>
      <w:r w:rsidR="00965A5A">
        <w:rPr>
          <w:rFonts w:ascii="Times New Roman" w:hAnsi="Times New Roman" w:cs="Times New Roman"/>
          <w:sz w:val="28"/>
          <w:szCs w:val="22"/>
        </w:rPr>
        <w:t xml:space="preserve"> </w:t>
      </w:r>
      <w:r w:rsidRPr="00791D50">
        <w:rPr>
          <w:rFonts w:ascii="Times New Roman" w:hAnsi="Times New Roman" w:cs="Times New Roman"/>
          <w:sz w:val="28"/>
          <w:szCs w:val="22"/>
        </w:rPr>
        <w:t>September, 1968.</w:t>
      </w:r>
    </w:p>
    <w:p w14:paraId="233391E9" w14:textId="5854E9D5" w:rsidR="00D923FB" w:rsidRPr="00791D50" w:rsidRDefault="00D923FB" w:rsidP="00AD7881">
      <w:pPr>
        <w:pStyle w:val="ListParagraph"/>
        <w:numPr>
          <w:ilvl w:val="0"/>
          <w:numId w:val="34"/>
        </w:numPr>
        <w:spacing w:line="320" w:lineRule="exact"/>
        <w:ind w:left="-142" w:firstLine="141"/>
        <w:jc w:val="both"/>
        <w:rPr>
          <w:rFonts w:ascii="Times New Roman" w:hAnsi="Times New Roman" w:cs="Times New Roman"/>
          <w:sz w:val="28"/>
          <w:szCs w:val="22"/>
        </w:rPr>
      </w:pPr>
      <w:r w:rsidRPr="00791D50">
        <w:rPr>
          <w:rFonts w:ascii="Times New Roman" w:hAnsi="Times New Roman" w:cs="Times New Roman"/>
          <w:sz w:val="28"/>
          <w:szCs w:val="22"/>
        </w:rPr>
        <w:lastRenderedPageBreak/>
        <w:t xml:space="preserve">We decided that in the interim Report we should deal with items (c), (d) and (j) of paragraph 4, and make interim recommendations in respect of the financial year 1969-70. For this purpose, we obtained from the State Governments Memoranda containing their views on those items and their forecasts of revenue receipts and expenditure for that year. We had detailed discussions with the representatives of each State Government at New Delhi during the period from June to August, 1968. The Accountants-General of the respective States were present at these discussions. We also had discussions with representatives of the Central Government in regard to the forecast for 1969-70 furnished by them, and with the Deputy Chairman, Planning Commission, and the Governor of the Reserve Bank of India. Some other persons also appeared before us at our request to explain </w:t>
      </w:r>
      <w:r w:rsidR="00AA2913">
        <w:rPr>
          <w:rFonts w:ascii="Times New Roman" w:hAnsi="Times New Roman" w:cs="Times New Roman"/>
          <w:sz w:val="28"/>
          <w:szCs w:val="22"/>
        </w:rPr>
        <w:t xml:space="preserve">and </w:t>
      </w:r>
      <w:r w:rsidRPr="00791D50">
        <w:rPr>
          <w:rFonts w:ascii="Times New Roman" w:hAnsi="Times New Roman" w:cs="Times New Roman"/>
          <w:sz w:val="28"/>
          <w:szCs w:val="22"/>
        </w:rPr>
        <w:t>elucidate their views on some of the matters in our terms of reference. The dates of discussions held with representatives of the State Governments, the Central Government and others are given in Appendix I.</w:t>
      </w:r>
    </w:p>
    <w:p w14:paraId="0C715ADC" w14:textId="77777777" w:rsidR="00D923FB" w:rsidRPr="00791D50" w:rsidRDefault="00D923FB" w:rsidP="00AD7881">
      <w:pPr>
        <w:pStyle w:val="ListParagraph"/>
        <w:numPr>
          <w:ilvl w:val="0"/>
          <w:numId w:val="34"/>
        </w:numPr>
        <w:spacing w:line="320" w:lineRule="exact"/>
        <w:ind w:left="-142" w:firstLine="141"/>
        <w:jc w:val="both"/>
        <w:rPr>
          <w:rFonts w:ascii="Times New Roman" w:hAnsi="Times New Roman" w:cs="Times New Roman"/>
          <w:sz w:val="28"/>
          <w:szCs w:val="22"/>
        </w:rPr>
      </w:pPr>
      <w:r w:rsidRPr="00791D50">
        <w:rPr>
          <w:rFonts w:ascii="Times New Roman" w:hAnsi="Times New Roman" w:cs="Times New Roman"/>
          <w:sz w:val="28"/>
          <w:szCs w:val="22"/>
        </w:rPr>
        <w:t>In Chapters 2 to 4 of this interim Report, we have made our final recommendations regarding items (c), (d) and (j) of paragraph 4 of the Presidential Order. In Chapter 5, we have made interim recommendations for the devolution of taxes and duties and for grants under Article 275 of the Constitution for the financial year 1969-70. We wish to make it clear that except so far as the distribution of the proceeds of estate duty and the grant in lieu of the tax on railway passenger fares is concerned, these recommendations for the year 1969-70 have been made provisionally on an interim basis and they are subject to such readjustment as may be necessary on the basis of our final Report. We have still to have further discussions with the State Governments and other parties and to examine carefully the material already with us and the further information and memoranda which we shall receive regarding all the items of our terms of reference. The interim recommendations in this Report should not, therefore, be regarded as indicating our final views or recommendations or as committing us in any way regarding the principles of devolution of taxes or duties, other than estate duty, or grants under Article 275 of the Constitution or any other matters referred to us under the Presidential Order.</w:t>
      </w:r>
    </w:p>
    <w:p w14:paraId="73B75AC6" w14:textId="77777777" w:rsidR="00D923FB" w:rsidRPr="00791D50" w:rsidRDefault="00D923FB" w:rsidP="00791D50">
      <w:pPr>
        <w:spacing w:line="300" w:lineRule="exact"/>
        <w:rPr>
          <w:rFonts w:ascii="Times New Roman" w:hAnsi="Times New Roman" w:cs="Times New Roman"/>
          <w:sz w:val="28"/>
          <w:szCs w:val="22"/>
        </w:rPr>
      </w:pPr>
      <w:r w:rsidRPr="00791D50">
        <w:rPr>
          <w:rFonts w:ascii="Times New Roman" w:hAnsi="Times New Roman" w:cs="Times New Roman"/>
          <w:sz w:val="28"/>
          <w:szCs w:val="22"/>
        </w:rPr>
        <w:br w:type="page"/>
      </w:r>
    </w:p>
    <w:p w14:paraId="19BD8428" w14:textId="1659F66E" w:rsidR="00D923FB" w:rsidRPr="007245B0" w:rsidRDefault="007B0D9D" w:rsidP="007B0D9D">
      <w:pPr>
        <w:pStyle w:val="Heading1"/>
      </w:pPr>
      <w:r>
        <w:lastRenderedPageBreak/>
        <w:br/>
      </w:r>
      <w:bookmarkStart w:id="238" w:name="_Toc220949749"/>
      <w:bookmarkStart w:id="239" w:name="_Toc221115374"/>
      <w:r w:rsidR="00D923FB" w:rsidRPr="007245B0">
        <w:t>GRANT IN LIEU OF TAX ON RAILWAY PASSENGER FARES</w:t>
      </w:r>
      <w:bookmarkEnd w:id="238"/>
      <w:bookmarkEnd w:id="239"/>
    </w:p>
    <w:p w14:paraId="2BD4C446" w14:textId="77777777" w:rsidR="00965A5A" w:rsidRPr="00965A5A" w:rsidRDefault="00D923FB" w:rsidP="00965A5A">
      <w:pPr>
        <w:pStyle w:val="ListParagraph"/>
        <w:numPr>
          <w:ilvl w:val="0"/>
          <w:numId w:val="34"/>
        </w:numPr>
        <w:spacing w:line="300" w:lineRule="exact"/>
        <w:ind w:left="-142" w:firstLine="142"/>
        <w:contextualSpacing w:val="0"/>
        <w:jc w:val="both"/>
        <w:rPr>
          <w:rFonts w:ascii="Times New Roman" w:hAnsi="Times New Roman" w:cs="Times New Roman"/>
          <w:sz w:val="28"/>
          <w:szCs w:val="22"/>
        </w:rPr>
      </w:pPr>
      <w:r w:rsidRPr="00965A5A">
        <w:rPr>
          <w:rFonts w:ascii="Times New Roman" w:hAnsi="Times New Roman" w:cs="Times New Roman"/>
          <w:sz w:val="28"/>
          <w:szCs w:val="28"/>
        </w:rPr>
        <w:t>Under paragraph 4(c) of the Order of the President,</w:t>
      </w:r>
      <w:r w:rsidR="00965A5A" w:rsidRPr="00965A5A">
        <w:rPr>
          <w:rFonts w:ascii="Times New Roman" w:hAnsi="Times New Roman" w:cs="Times New Roman"/>
          <w:sz w:val="28"/>
          <w:szCs w:val="28"/>
        </w:rPr>
        <w:t xml:space="preserve"> </w:t>
      </w:r>
      <w:r w:rsidRPr="00965A5A">
        <w:rPr>
          <w:rFonts w:ascii="Times New Roman" w:hAnsi="Times New Roman" w:cs="Times New Roman"/>
          <w:sz w:val="28"/>
          <w:szCs w:val="28"/>
        </w:rPr>
        <w:t>we are required to make recommendations as to the changes, if any, to be made in the principles governing the distribution amongst the States of the grant to be made available to the States in lieu</w:t>
      </w:r>
      <w:r w:rsidR="00965A5A" w:rsidRPr="00965A5A">
        <w:rPr>
          <w:rFonts w:ascii="Times New Roman" w:hAnsi="Times New Roman" w:cs="Times New Roman"/>
          <w:sz w:val="28"/>
          <w:szCs w:val="28"/>
        </w:rPr>
        <w:t xml:space="preserve"> </w:t>
      </w:r>
      <w:r w:rsidRPr="00965A5A">
        <w:rPr>
          <w:rFonts w:ascii="Times New Roman" w:hAnsi="Times New Roman" w:cs="Times New Roman"/>
          <w:sz w:val="28"/>
          <w:szCs w:val="28"/>
        </w:rPr>
        <w:t>of the repealed tax on railway passenger fares.</w:t>
      </w:r>
    </w:p>
    <w:p w14:paraId="56BA8769" w14:textId="13F8C95B" w:rsidR="00D923FB" w:rsidRPr="00965A5A" w:rsidRDefault="00D923FB" w:rsidP="00965A5A">
      <w:pPr>
        <w:pStyle w:val="ListParagraph"/>
        <w:numPr>
          <w:ilvl w:val="0"/>
          <w:numId w:val="34"/>
        </w:numPr>
        <w:spacing w:line="300" w:lineRule="exact"/>
        <w:ind w:left="-142" w:firstLine="142"/>
        <w:contextualSpacing w:val="0"/>
        <w:jc w:val="both"/>
        <w:rPr>
          <w:rFonts w:ascii="Times New Roman" w:hAnsi="Times New Roman" w:cs="Times New Roman"/>
          <w:sz w:val="28"/>
          <w:szCs w:val="22"/>
        </w:rPr>
      </w:pPr>
      <w:r w:rsidRPr="00965A5A">
        <w:rPr>
          <w:rFonts w:ascii="Times New Roman" w:hAnsi="Times New Roman" w:cs="Times New Roman"/>
          <w:sz w:val="28"/>
          <w:szCs w:val="22"/>
        </w:rPr>
        <w:t>A tax on railway passenger fares was imposed under the Railway Passenger Fares Act, 1957. This Act was repealed with effect from the 1</w:t>
      </w:r>
      <w:r w:rsidRPr="00965A5A">
        <w:rPr>
          <w:rFonts w:ascii="Times New Roman" w:hAnsi="Times New Roman" w:cs="Times New Roman"/>
          <w:sz w:val="28"/>
          <w:szCs w:val="22"/>
          <w:vertAlign w:val="superscript"/>
        </w:rPr>
        <w:t>st</w:t>
      </w:r>
      <w:r w:rsidR="00965A5A">
        <w:rPr>
          <w:rFonts w:ascii="Times New Roman" w:hAnsi="Times New Roman" w:cs="Times New Roman"/>
          <w:sz w:val="28"/>
          <w:szCs w:val="22"/>
        </w:rPr>
        <w:t xml:space="preserve"> </w:t>
      </w:r>
      <w:r w:rsidRPr="00965A5A">
        <w:rPr>
          <w:rFonts w:ascii="Times New Roman" w:hAnsi="Times New Roman" w:cs="Times New Roman"/>
          <w:sz w:val="28"/>
          <w:szCs w:val="22"/>
        </w:rPr>
        <w:t>April, 1961, and the tax was merged in the basic fares. The Government of India decided to make an ad hoc grant of Rs. 12.5 crores per annum to the States in lieu of the tax for a period of five years from 1961-62. The amount of the grant has been revised to Rs. 16.25 crores per annum from 1966-67 for a period of five years.</w:t>
      </w:r>
    </w:p>
    <w:p w14:paraId="4CE9AB2C" w14:textId="77777777" w:rsidR="00D923FB" w:rsidRPr="00965A5A" w:rsidRDefault="00D923FB" w:rsidP="00965A5A">
      <w:pPr>
        <w:pStyle w:val="ListParagraph"/>
        <w:numPr>
          <w:ilvl w:val="0"/>
          <w:numId w:val="34"/>
        </w:numPr>
        <w:spacing w:line="300" w:lineRule="exact"/>
        <w:ind w:left="-142" w:firstLine="142"/>
        <w:contextualSpacing w:val="0"/>
        <w:jc w:val="both"/>
        <w:rPr>
          <w:rFonts w:ascii="Times New Roman" w:hAnsi="Times New Roman" w:cs="Times New Roman"/>
          <w:sz w:val="28"/>
          <w:szCs w:val="22"/>
        </w:rPr>
      </w:pPr>
      <w:r w:rsidRPr="00965A5A">
        <w:rPr>
          <w:rFonts w:ascii="Times New Roman" w:hAnsi="Times New Roman" w:cs="Times New Roman"/>
          <w:sz w:val="28"/>
          <w:szCs w:val="22"/>
        </w:rPr>
        <w:t>The grant made available at present is being distributed among the States according to percentage shares recommended by the Fourth Finance Commission. These had been worked out by allocating among the States the passenger earnings of each railway zone (exclusive of earnings of suburban services) on the basis of the route length of railway located in each State separately for each gauge, on the basis of the statistics for the three years ending March, 1964.</w:t>
      </w:r>
    </w:p>
    <w:p w14:paraId="3B58A3A2" w14:textId="77777777" w:rsidR="00D923FB" w:rsidRPr="00965A5A" w:rsidRDefault="00D923FB" w:rsidP="00965A5A">
      <w:pPr>
        <w:pStyle w:val="ListParagraph"/>
        <w:numPr>
          <w:ilvl w:val="0"/>
          <w:numId w:val="34"/>
        </w:numPr>
        <w:spacing w:before="240" w:after="480" w:line="300" w:lineRule="exact"/>
        <w:ind w:left="-142" w:firstLine="142"/>
        <w:jc w:val="both"/>
        <w:rPr>
          <w:rFonts w:ascii="Times New Roman" w:hAnsi="Times New Roman" w:cs="Times New Roman"/>
          <w:sz w:val="28"/>
          <w:szCs w:val="28"/>
        </w:rPr>
      </w:pPr>
      <w:r w:rsidRPr="00965A5A">
        <w:rPr>
          <w:rFonts w:ascii="Times New Roman" w:hAnsi="Times New Roman" w:cs="Times New Roman"/>
          <w:sz w:val="28"/>
          <w:szCs w:val="22"/>
        </w:rPr>
        <w:t>We have</w:t>
      </w:r>
      <w:r w:rsidRPr="00965A5A">
        <w:rPr>
          <w:rFonts w:ascii="Times New Roman" w:hAnsi="Times New Roman" w:cs="Times New Roman"/>
          <w:sz w:val="28"/>
          <w:szCs w:val="28"/>
        </w:rPr>
        <w:t xml:space="preserve"> received various suggestions regarding the principles for distribution of the grant. These are :</w:t>
      </w:r>
    </w:p>
    <w:p w14:paraId="528A3FDD" w14:textId="77777777" w:rsidR="00D923FB" w:rsidRPr="00965A5A" w:rsidRDefault="00D923FB" w:rsidP="00965A5A">
      <w:pPr>
        <w:pStyle w:val="ListParagraph"/>
        <w:numPr>
          <w:ilvl w:val="0"/>
          <w:numId w:val="35"/>
        </w:numPr>
        <w:tabs>
          <w:tab w:val="left" w:pos="3370"/>
        </w:tabs>
        <w:spacing w:line="300" w:lineRule="exact"/>
        <w:jc w:val="both"/>
        <w:rPr>
          <w:rFonts w:ascii="Times New Roman" w:hAnsi="Times New Roman" w:cs="Times New Roman"/>
          <w:sz w:val="28"/>
          <w:szCs w:val="28"/>
        </w:rPr>
      </w:pPr>
      <w:r w:rsidRPr="00965A5A">
        <w:rPr>
          <w:rFonts w:ascii="Times New Roman" w:hAnsi="Times New Roman" w:cs="Times New Roman"/>
          <w:sz w:val="28"/>
          <w:szCs w:val="28"/>
        </w:rPr>
        <w:t>Continuance of the existing principles;</w:t>
      </w:r>
    </w:p>
    <w:p w14:paraId="1CC0DC1A" w14:textId="77777777" w:rsidR="00D923FB" w:rsidRPr="00965A5A" w:rsidRDefault="00D923FB" w:rsidP="00965A5A">
      <w:pPr>
        <w:pStyle w:val="ListParagraph"/>
        <w:numPr>
          <w:ilvl w:val="0"/>
          <w:numId w:val="35"/>
        </w:numPr>
        <w:tabs>
          <w:tab w:val="left" w:pos="3370"/>
        </w:tabs>
        <w:spacing w:line="300" w:lineRule="exact"/>
        <w:jc w:val="both"/>
        <w:rPr>
          <w:rFonts w:ascii="Times New Roman" w:hAnsi="Times New Roman" w:cs="Times New Roman"/>
          <w:sz w:val="28"/>
          <w:szCs w:val="28"/>
        </w:rPr>
      </w:pPr>
      <w:r w:rsidRPr="00965A5A">
        <w:rPr>
          <w:rFonts w:ascii="Times New Roman" w:hAnsi="Times New Roman" w:cs="Times New Roman"/>
          <w:sz w:val="28"/>
          <w:szCs w:val="28"/>
        </w:rPr>
        <w:t>Distribution on the basis of estimated collections in each State;</w:t>
      </w:r>
    </w:p>
    <w:p w14:paraId="2DC88A9E" w14:textId="77777777" w:rsidR="00D923FB" w:rsidRPr="00965A5A" w:rsidRDefault="00D923FB" w:rsidP="00965A5A">
      <w:pPr>
        <w:pStyle w:val="ListParagraph"/>
        <w:numPr>
          <w:ilvl w:val="0"/>
          <w:numId w:val="35"/>
        </w:numPr>
        <w:tabs>
          <w:tab w:val="left" w:pos="3370"/>
        </w:tabs>
        <w:spacing w:line="300" w:lineRule="exact"/>
        <w:jc w:val="both"/>
        <w:rPr>
          <w:rFonts w:ascii="Times New Roman" w:hAnsi="Times New Roman" w:cs="Times New Roman"/>
          <w:sz w:val="28"/>
          <w:szCs w:val="28"/>
        </w:rPr>
      </w:pPr>
      <w:r w:rsidRPr="00965A5A">
        <w:rPr>
          <w:rFonts w:ascii="Times New Roman" w:hAnsi="Times New Roman" w:cs="Times New Roman"/>
          <w:sz w:val="28"/>
          <w:szCs w:val="28"/>
        </w:rPr>
        <w:t>Distribution on the basis of population of each State;</w:t>
      </w:r>
    </w:p>
    <w:p w14:paraId="017A9995" w14:textId="77777777" w:rsidR="00D923FB" w:rsidRPr="00965A5A" w:rsidRDefault="00D923FB" w:rsidP="00965A5A">
      <w:pPr>
        <w:pStyle w:val="ListParagraph"/>
        <w:numPr>
          <w:ilvl w:val="0"/>
          <w:numId w:val="35"/>
        </w:numPr>
        <w:tabs>
          <w:tab w:val="left" w:pos="3370"/>
        </w:tabs>
        <w:spacing w:line="300" w:lineRule="exact"/>
        <w:jc w:val="both"/>
        <w:rPr>
          <w:rFonts w:ascii="Times New Roman" w:hAnsi="Times New Roman" w:cs="Times New Roman"/>
          <w:sz w:val="28"/>
          <w:szCs w:val="28"/>
        </w:rPr>
      </w:pPr>
      <w:r w:rsidRPr="00965A5A">
        <w:rPr>
          <w:rFonts w:ascii="Times New Roman" w:hAnsi="Times New Roman" w:cs="Times New Roman"/>
          <w:sz w:val="28"/>
          <w:szCs w:val="28"/>
        </w:rPr>
        <w:t>Distribution taking into account factors such as the volume of traffic relatable to a State having a short route length but a large number of visitors, and treating of important feeder roads as extensions of the railway for this purpose;</w:t>
      </w:r>
    </w:p>
    <w:p w14:paraId="576295DC" w14:textId="77777777" w:rsidR="00D923FB" w:rsidRPr="00965A5A" w:rsidRDefault="00D923FB" w:rsidP="00965A5A">
      <w:pPr>
        <w:pStyle w:val="ListParagraph"/>
        <w:numPr>
          <w:ilvl w:val="0"/>
          <w:numId w:val="35"/>
        </w:numPr>
        <w:tabs>
          <w:tab w:val="left" w:pos="3370"/>
        </w:tabs>
        <w:spacing w:line="300" w:lineRule="exact"/>
        <w:jc w:val="both"/>
        <w:rPr>
          <w:rFonts w:ascii="Times New Roman" w:hAnsi="Times New Roman" w:cs="Times New Roman"/>
          <w:sz w:val="28"/>
          <w:szCs w:val="28"/>
        </w:rPr>
      </w:pPr>
      <w:r w:rsidRPr="00965A5A">
        <w:rPr>
          <w:rFonts w:ascii="Times New Roman" w:hAnsi="Times New Roman" w:cs="Times New Roman"/>
          <w:sz w:val="28"/>
          <w:szCs w:val="28"/>
        </w:rPr>
        <w:t>Taking into account important railway routes likely to be opened in the next few years;</w:t>
      </w:r>
    </w:p>
    <w:p w14:paraId="7C1C039E" w14:textId="77777777" w:rsidR="00D923FB" w:rsidRPr="00965A5A" w:rsidRDefault="00D923FB" w:rsidP="00965A5A">
      <w:pPr>
        <w:pStyle w:val="ListParagraph"/>
        <w:numPr>
          <w:ilvl w:val="0"/>
          <w:numId w:val="35"/>
        </w:numPr>
        <w:tabs>
          <w:tab w:val="left" w:pos="3370"/>
        </w:tabs>
        <w:spacing w:line="300" w:lineRule="exact"/>
        <w:jc w:val="both"/>
        <w:rPr>
          <w:rFonts w:ascii="Times New Roman" w:hAnsi="Times New Roman" w:cs="Times New Roman"/>
          <w:sz w:val="28"/>
          <w:szCs w:val="28"/>
        </w:rPr>
      </w:pPr>
      <w:r w:rsidRPr="00965A5A">
        <w:rPr>
          <w:rFonts w:ascii="Times New Roman" w:hAnsi="Times New Roman" w:cs="Times New Roman"/>
          <w:sz w:val="28"/>
          <w:szCs w:val="28"/>
        </w:rPr>
        <w:t>Distribution of the grant along with the States' shares of all divisible taxes and duties, solely on the principle of relative need of each State;</w:t>
      </w:r>
    </w:p>
    <w:p w14:paraId="3FBD4E75" w14:textId="77777777" w:rsidR="00965A5A" w:rsidRDefault="00D923FB" w:rsidP="00965A5A">
      <w:pPr>
        <w:pStyle w:val="ListParagraph"/>
        <w:numPr>
          <w:ilvl w:val="0"/>
          <w:numId w:val="35"/>
        </w:numPr>
        <w:tabs>
          <w:tab w:val="left" w:pos="3370"/>
        </w:tabs>
        <w:spacing w:line="300" w:lineRule="exact"/>
        <w:jc w:val="both"/>
        <w:rPr>
          <w:rFonts w:ascii="Times New Roman" w:hAnsi="Times New Roman" w:cs="Times New Roman"/>
          <w:sz w:val="28"/>
          <w:szCs w:val="28"/>
        </w:rPr>
      </w:pPr>
      <w:r w:rsidRPr="00965A5A">
        <w:rPr>
          <w:rFonts w:ascii="Times New Roman" w:hAnsi="Times New Roman" w:cs="Times New Roman"/>
          <w:sz w:val="28"/>
          <w:szCs w:val="28"/>
        </w:rPr>
        <w:t>Taking into account intensity of traffic on particular routes within a railway zone; and</w:t>
      </w:r>
    </w:p>
    <w:p w14:paraId="4617FC97" w14:textId="46FA9D6F" w:rsidR="00D923FB" w:rsidRPr="00965A5A" w:rsidRDefault="00D923FB" w:rsidP="00965A5A">
      <w:pPr>
        <w:pStyle w:val="ListParagraph"/>
        <w:numPr>
          <w:ilvl w:val="0"/>
          <w:numId w:val="35"/>
        </w:numPr>
        <w:tabs>
          <w:tab w:val="left" w:pos="3370"/>
        </w:tabs>
        <w:spacing w:line="300" w:lineRule="exact"/>
        <w:jc w:val="both"/>
        <w:rPr>
          <w:rFonts w:ascii="Times New Roman" w:hAnsi="Times New Roman" w:cs="Times New Roman"/>
          <w:sz w:val="28"/>
          <w:szCs w:val="28"/>
        </w:rPr>
      </w:pPr>
      <w:r w:rsidRPr="00965A5A">
        <w:rPr>
          <w:rFonts w:ascii="Times New Roman" w:hAnsi="Times New Roman" w:cs="Times New Roman"/>
          <w:sz w:val="28"/>
          <w:szCs w:val="28"/>
        </w:rPr>
        <w:t>If intensity of traffic in States cannot be directly computed, distribution on the basis of route length and population in equal measure.</w:t>
      </w:r>
    </w:p>
    <w:p w14:paraId="2142184E" w14:textId="77777777" w:rsidR="00D923FB" w:rsidRPr="00965A5A" w:rsidRDefault="00D923FB" w:rsidP="00965A5A">
      <w:pPr>
        <w:pStyle w:val="ListParagraph"/>
        <w:numPr>
          <w:ilvl w:val="0"/>
          <w:numId w:val="34"/>
        </w:numPr>
        <w:spacing w:line="300" w:lineRule="exact"/>
        <w:ind w:left="-142" w:firstLine="142"/>
        <w:contextualSpacing w:val="0"/>
        <w:jc w:val="both"/>
        <w:rPr>
          <w:rFonts w:ascii="Times New Roman" w:hAnsi="Times New Roman" w:cs="Times New Roman"/>
          <w:sz w:val="28"/>
          <w:szCs w:val="28"/>
        </w:rPr>
      </w:pPr>
      <w:r w:rsidRPr="00965A5A">
        <w:rPr>
          <w:rFonts w:ascii="Times New Roman" w:hAnsi="Times New Roman" w:cs="Times New Roman"/>
          <w:sz w:val="28"/>
          <w:szCs w:val="28"/>
        </w:rPr>
        <w:t xml:space="preserve">We have carefully considered all these suggestions. We think that the present principles which are based on those enunciated by the Second Finance Commission for the distribution of the proceeds of the railway passenger fares tax are quite suitable and proper. That Commission was of the view that the principle should be such as to secure for each State, as nearly as possible, the share of the net proceeds on account </w:t>
      </w:r>
      <w:r w:rsidRPr="00965A5A">
        <w:rPr>
          <w:rFonts w:ascii="Times New Roman" w:hAnsi="Times New Roman" w:cs="Times New Roman"/>
          <w:sz w:val="28"/>
          <w:szCs w:val="28"/>
        </w:rPr>
        <w:lastRenderedPageBreak/>
        <w:t>of the actual passenger travel on railways within its limits. It considered that such proceeds may be determined with reasonable accuracy by allocating the passenger earnings for each gauge of each railway zone separately among the States covered by it according to the route length in each State. The Fourth Finance Commission applied the same principles to the distribution of the grant on the ground that it was of a compensatory character, being in lieu of the repealed tax. We think that the adoption of any other criteria, such as population or collections, would not be appropriate. The criterion of collection would give undue weight to States having important terminal stations. As passenger traffic includes a large volume of inter-State travel, it is not reasonable to adopt population as a measure of the passenger travel within a State; nor can population be taken as an indicator of relative traffic intensity. It is also not possible to assess the railway passenger traffic 'relatable' to a particular State as envisaged in the suggestion (iv) in paragraph 7; nor would it be a fair basis for distributing the grant. Further, it would not be correct to treat any road as a railway for the purpose of distribution of this grant; nor would it be possible to take into account likely changes in the railway route lengths in working out the State shares. We have also carefully considered the suggestion that this grant, along with the States' shares of all taxes, should be distributed on the uniform principle of relative need, and we think that the principle suggested cannot provide a proper basis for distribution of this grant, as it is being given specifically in lieu of the tax on railway passenger fares leviable under Article 269, and the needs of different States cannot be regarded as relevant for its distribution.</w:t>
      </w:r>
    </w:p>
    <w:p w14:paraId="7FAB2DF1" w14:textId="77777777" w:rsidR="00D923FB" w:rsidRPr="00965A5A" w:rsidRDefault="00D923FB" w:rsidP="00965A5A">
      <w:pPr>
        <w:pStyle w:val="ListParagraph"/>
        <w:numPr>
          <w:ilvl w:val="0"/>
          <w:numId w:val="34"/>
        </w:numPr>
        <w:spacing w:line="300" w:lineRule="exact"/>
        <w:ind w:left="-142" w:firstLine="142"/>
        <w:contextualSpacing w:val="0"/>
        <w:jc w:val="both"/>
        <w:rPr>
          <w:rFonts w:ascii="Times New Roman" w:hAnsi="Times New Roman" w:cs="Times New Roman"/>
          <w:sz w:val="28"/>
          <w:szCs w:val="22"/>
        </w:rPr>
      </w:pPr>
      <w:r w:rsidRPr="00965A5A">
        <w:rPr>
          <w:rFonts w:ascii="Times New Roman" w:hAnsi="Times New Roman" w:cs="Times New Roman"/>
          <w:sz w:val="28"/>
          <w:szCs w:val="22"/>
        </w:rPr>
        <w:t>As regards intensity of traffic on particular routes in different zones and gauges, we have been informed by the Railway Board that the necessary statistics for determining such intensity of traffic are not available. In view of this, it is not possible to take into account the relative traffic intensity of particular routes. The principles enunciated by the Second Finance Commission do make reasonable allowances for variations in the intensity of traffic.</w:t>
      </w:r>
    </w:p>
    <w:p w14:paraId="650E6CEF" w14:textId="77777777" w:rsidR="00D923FB" w:rsidRPr="00965A5A" w:rsidRDefault="00D923FB" w:rsidP="00965A5A">
      <w:pPr>
        <w:pStyle w:val="ListParagraph"/>
        <w:numPr>
          <w:ilvl w:val="0"/>
          <w:numId w:val="34"/>
        </w:numPr>
        <w:spacing w:line="300" w:lineRule="exact"/>
        <w:ind w:left="-142" w:firstLine="142"/>
        <w:contextualSpacing w:val="0"/>
        <w:jc w:val="both"/>
        <w:rPr>
          <w:rFonts w:ascii="Times New Roman" w:hAnsi="Times New Roman" w:cs="Times New Roman"/>
          <w:sz w:val="28"/>
          <w:szCs w:val="22"/>
        </w:rPr>
      </w:pPr>
      <w:r w:rsidRPr="00965A5A">
        <w:rPr>
          <w:rFonts w:ascii="Times New Roman" w:hAnsi="Times New Roman" w:cs="Times New Roman"/>
          <w:sz w:val="28"/>
          <w:szCs w:val="22"/>
        </w:rPr>
        <w:t>We therefore recommend that no change be made in the existing principles for distribution of the grant.</w:t>
      </w:r>
    </w:p>
    <w:p w14:paraId="09A7FD11" w14:textId="19D92001" w:rsidR="00C7477E" w:rsidRDefault="00D923FB" w:rsidP="00C7477E">
      <w:pPr>
        <w:pStyle w:val="ListParagraph"/>
        <w:numPr>
          <w:ilvl w:val="0"/>
          <w:numId w:val="34"/>
        </w:numPr>
        <w:spacing w:line="300" w:lineRule="exact"/>
        <w:ind w:left="-142" w:firstLine="142"/>
        <w:contextualSpacing w:val="0"/>
        <w:jc w:val="both"/>
        <w:rPr>
          <w:rFonts w:ascii="Times New Roman" w:hAnsi="Times New Roman" w:cs="Times New Roman"/>
          <w:sz w:val="28"/>
          <w:szCs w:val="28"/>
        </w:rPr>
      </w:pPr>
      <w:r w:rsidRPr="00965A5A">
        <w:rPr>
          <w:rFonts w:ascii="Times New Roman" w:hAnsi="Times New Roman" w:cs="Times New Roman"/>
          <w:sz w:val="28"/>
          <w:szCs w:val="22"/>
        </w:rPr>
        <w:t>We have worked out the percentage share of different States in the manner indicated in paragraph 6 on the basis of statistics of railway route lengths and actual passenger earnings from non-suburban traffic for the three years ending 1966-</w:t>
      </w:r>
      <w:r w:rsidRPr="00965A5A">
        <w:rPr>
          <w:rFonts w:ascii="Times New Roman" w:hAnsi="Times New Roman" w:cs="Times New Roman"/>
          <w:sz w:val="28"/>
          <w:szCs w:val="28"/>
        </w:rPr>
        <w:t>67 (vide Appendix II). They are as follows :—</w:t>
      </w:r>
    </w:p>
    <w:tbl>
      <w:tblPr>
        <w:tblW w:w="5305" w:type="dxa"/>
        <w:jc w:val="center"/>
        <w:tblLook w:val="04A0" w:firstRow="1" w:lastRow="0" w:firstColumn="1" w:lastColumn="0" w:noHBand="0" w:noVBand="1"/>
      </w:tblPr>
      <w:tblGrid>
        <w:gridCol w:w="2718"/>
        <w:gridCol w:w="2587"/>
      </w:tblGrid>
      <w:tr w:rsidR="00AD7881" w:rsidRPr="00AD7881" w14:paraId="5FEB4376" w14:textId="77777777" w:rsidTr="00AD7881">
        <w:trPr>
          <w:trHeight w:val="20"/>
          <w:jc w:val="center"/>
        </w:trPr>
        <w:tc>
          <w:tcPr>
            <w:tcW w:w="2718" w:type="dxa"/>
            <w:tcBorders>
              <w:top w:val="single" w:sz="4" w:space="0" w:color="auto"/>
              <w:left w:val="single" w:sz="4" w:space="0" w:color="auto"/>
              <w:bottom w:val="single" w:sz="4" w:space="0" w:color="auto"/>
              <w:right w:val="single" w:sz="4" w:space="0" w:color="auto"/>
            </w:tcBorders>
            <w:vAlign w:val="center"/>
            <w:hideMark/>
          </w:tcPr>
          <w:p w14:paraId="71C9E1A8" w14:textId="77777777" w:rsidR="00AD7881" w:rsidRPr="00AD7881" w:rsidRDefault="00AD7881" w:rsidP="00AD7881">
            <w:pPr>
              <w:spacing w:after="0" w:line="240" w:lineRule="auto"/>
              <w:jc w:val="center"/>
              <w:rPr>
                <w:rFonts w:ascii="Times New Roman" w:eastAsia="Times New Roman" w:hAnsi="Times New Roman" w:cs="Times New Roman"/>
                <w:b/>
                <w:bCs/>
                <w:color w:val="000000"/>
                <w:kern w:val="0"/>
                <w:sz w:val="28"/>
                <w:szCs w:val="28"/>
                <w:lang w:eastAsia="en-IN"/>
                <w14:ligatures w14:val="none"/>
              </w:rPr>
            </w:pPr>
            <w:r w:rsidRPr="00AD7881">
              <w:rPr>
                <w:rFonts w:ascii="Times New Roman" w:eastAsia="Times New Roman" w:hAnsi="Times New Roman" w:cs="Times New Roman"/>
                <w:b/>
                <w:bCs/>
                <w:color w:val="000000"/>
                <w:kern w:val="0"/>
                <w:sz w:val="28"/>
                <w:szCs w:val="28"/>
                <w:lang w:eastAsia="en-IN"/>
                <w14:ligatures w14:val="none"/>
              </w:rPr>
              <w:t>State</w:t>
            </w:r>
          </w:p>
        </w:tc>
        <w:tc>
          <w:tcPr>
            <w:tcW w:w="2587" w:type="dxa"/>
            <w:tcBorders>
              <w:top w:val="single" w:sz="4" w:space="0" w:color="auto"/>
              <w:left w:val="nil"/>
              <w:bottom w:val="single" w:sz="4" w:space="0" w:color="auto"/>
              <w:right w:val="single" w:sz="4" w:space="0" w:color="auto"/>
            </w:tcBorders>
            <w:vAlign w:val="center"/>
            <w:hideMark/>
          </w:tcPr>
          <w:p w14:paraId="68E2CD4F" w14:textId="77777777" w:rsidR="00AD7881" w:rsidRPr="00AD7881" w:rsidRDefault="00AD7881" w:rsidP="00AD7881">
            <w:pPr>
              <w:spacing w:after="0" w:line="240" w:lineRule="auto"/>
              <w:jc w:val="center"/>
              <w:rPr>
                <w:rFonts w:ascii="Times New Roman" w:eastAsia="Times New Roman" w:hAnsi="Times New Roman" w:cs="Times New Roman"/>
                <w:b/>
                <w:bCs/>
                <w:color w:val="000000"/>
                <w:kern w:val="0"/>
                <w:sz w:val="28"/>
                <w:szCs w:val="28"/>
                <w:lang w:eastAsia="en-IN"/>
                <w14:ligatures w14:val="none"/>
              </w:rPr>
            </w:pPr>
            <w:r w:rsidRPr="00AD7881">
              <w:rPr>
                <w:rFonts w:ascii="Times New Roman" w:eastAsia="Times New Roman" w:hAnsi="Times New Roman" w:cs="Times New Roman"/>
                <w:b/>
                <w:bCs/>
                <w:color w:val="000000"/>
                <w:kern w:val="0"/>
                <w:sz w:val="28"/>
                <w:szCs w:val="28"/>
                <w:lang w:eastAsia="en-IN"/>
                <w14:ligatures w14:val="none"/>
              </w:rPr>
              <w:t>Percentage share</w:t>
            </w:r>
          </w:p>
        </w:tc>
      </w:tr>
      <w:tr w:rsidR="00AD7881" w:rsidRPr="00AD7881" w14:paraId="181B4175" w14:textId="77777777" w:rsidTr="00AD7881">
        <w:trPr>
          <w:trHeight w:val="20"/>
          <w:jc w:val="center"/>
        </w:trPr>
        <w:tc>
          <w:tcPr>
            <w:tcW w:w="2718" w:type="dxa"/>
            <w:tcBorders>
              <w:top w:val="nil"/>
              <w:left w:val="single" w:sz="4" w:space="0" w:color="auto"/>
              <w:bottom w:val="single" w:sz="4" w:space="0" w:color="auto"/>
              <w:right w:val="single" w:sz="4" w:space="0" w:color="auto"/>
            </w:tcBorders>
            <w:vAlign w:val="center"/>
            <w:hideMark/>
          </w:tcPr>
          <w:p w14:paraId="5F87F80E" w14:textId="77777777" w:rsidR="00AD7881" w:rsidRPr="00AD7881" w:rsidRDefault="00AD7881" w:rsidP="00AD7881">
            <w:pPr>
              <w:spacing w:after="0" w:line="240" w:lineRule="auto"/>
              <w:jc w:val="center"/>
              <w:rPr>
                <w:rFonts w:ascii="Times New Roman" w:eastAsia="Times New Roman" w:hAnsi="Times New Roman" w:cs="Times New Roman"/>
                <w:color w:val="000000"/>
                <w:kern w:val="0"/>
                <w:sz w:val="28"/>
                <w:szCs w:val="28"/>
                <w:lang w:eastAsia="en-IN"/>
                <w14:ligatures w14:val="none"/>
              </w:rPr>
            </w:pPr>
            <w:r w:rsidRPr="00AD7881">
              <w:rPr>
                <w:rFonts w:ascii="Times New Roman" w:eastAsia="Times New Roman" w:hAnsi="Times New Roman" w:cs="Times New Roman"/>
                <w:color w:val="000000"/>
                <w:kern w:val="0"/>
                <w:sz w:val="28"/>
                <w:szCs w:val="28"/>
                <w:lang w:eastAsia="en-IN"/>
                <w14:ligatures w14:val="none"/>
              </w:rPr>
              <w:t>Andhra Pradesh</w:t>
            </w:r>
          </w:p>
        </w:tc>
        <w:tc>
          <w:tcPr>
            <w:tcW w:w="2587" w:type="dxa"/>
            <w:tcBorders>
              <w:top w:val="nil"/>
              <w:left w:val="nil"/>
              <w:bottom w:val="single" w:sz="4" w:space="0" w:color="auto"/>
              <w:right w:val="single" w:sz="4" w:space="0" w:color="auto"/>
            </w:tcBorders>
            <w:vAlign w:val="center"/>
            <w:hideMark/>
          </w:tcPr>
          <w:p w14:paraId="7E442A64" w14:textId="77777777" w:rsidR="00AD7881" w:rsidRPr="00AD7881" w:rsidRDefault="00AD7881" w:rsidP="00AD7881">
            <w:pPr>
              <w:spacing w:after="0" w:line="240" w:lineRule="auto"/>
              <w:jc w:val="center"/>
              <w:rPr>
                <w:rFonts w:ascii="Times New Roman" w:eastAsia="Times New Roman" w:hAnsi="Times New Roman" w:cs="Times New Roman"/>
                <w:color w:val="000000"/>
                <w:kern w:val="0"/>
                <w:sz w:val="28"/>
                <w:szCs w:val="28"/>
                <w:lang w:eastAsia="en-IN"/>
                <w14:ligatures w14:val="none"/>
              </w:rPr>
            </w:pPr>
            <w:r w:rsidRPr="00AD7881">
              <w:rPr>
                <w:rFonts w:ascii="Times New Roman" w:eastAsia="Times New Roman" w:hAnsi="Times New Roman" w:cs="Times New Roman"/>
                <w:color w:val="000000"/>
                <w:kern w:val="0"/>
                <w:sz w:val="28"/>
                <w:szCs w:val="28"/>
                <w:lang w:eastAsia="en-IN"/>
                <w14:ligatures w14:val="none"/>
              </w:rPr>
              <w:t>8.56</w:t>
            </w:r>
          </w:p>
        </w:tc>
      </w:tr>
      <w:tr w:rsidR="00AD7881" w:rsidRPr="00AD7881" w14:paraId="5ED4BFF2" w14:textId="77777777" w:rsidTr="00AD7881">
        <w:trPr>
          <w:trHeight w:val="20"/>
          <w:jc w:val="center"/>
        </w:trPr>
        <w:tc>
          <w:tcPr>
            <w:tcW w:w="2718" w:type="dxa"/>
            <w:tcBorders>
              <w:top w:val="nil"/>
              <w:left w:val="single" w:sz="4" w:space="0" w:color="auto"/>
              <w:bottom w:val="single" w:sz="4" w:space="0" w:color="auto"/>
              <w:right w:val="single" w:sz="4" w:space="0" w:color="auto"/>
            </w:tcBorders>
            <w:vAlign w:val="center"/>
            <w:hideMark/>
          </w:tcPr>
          <w:p w14:paraId="68AAD42F" w14:textId="77777777" w:rsidR="00AD7881" w:rsidRPr="00AD7881" w:rsidRDefault="00AD7881" w:rsidP="00AD7881">
            <w:pPr>
              <w:spacing w:after="0" w:line="240" w:lineRule="auto"/>
              <w:jc w:val="center"/>
              <w:rPr>
                <w:rFonts w:ascii="Times New Roman" w:eastAsia="Times New Roman" w:hAnsi="Times New Roman" w:cs="Times New Roman"/>
                <w:color w:val="000000"/>
                <w:kern w:val="0"/>
                <w:sz w:val="28"/>
                <w:szCs w:val="28"/>
                <w:lang w:eastAsia="en-IN"/>
                <w14:ligatures w14:val="none"/>
              </w:rPr>
            </w:pPr>
            <w:r w:rsidRPr="00AD7881">
              <w:rPr>
                <w:rFonts w:ascii="Times New Roman" w:eastAsia="Times New Roman" w:hAnsi="Times New Roman" w:cs="Times New Roman"/>
                <w:color w:val="000000"/>
                <w:kern w:val="0"/>
                <w:sz w:val="28"/>
                <w:szCs w:val="28"/>
                <w:lang w:eastAsia="en-IN"/>
                <w14:ligatures w14:val="none"/>
              </w:rPr>
              <w:t>Assam</w:t>
            </w:r>
          </w:p>
        </w:tc>
        <w:tc>
          <w:tcPr>
            <w:tcW w:w="2587" w:type="dxa"/>
            <w:tcBorders>
              <w:top w:val="nil"/>
              <w:left w:val="nil"/>
              <w:bottom w:val="single" w:sz="4" w:space="0" w:color="auto"/>
              <w:right w:val="single" w:sz="4" w:space="0" w:color="auto"/>
            </w:tcBorders>
            <w:vAlign w:val="center"/>
            <w:hideMark/>
          </w:tcPr>
          <w:p w14:paraId="7C9AEF21" w14:textId="77777777" w:rsidR="00AD7881" w:rsidRPr="00AD7881" w:rsidRDefault="00AD7881" w:rsidP="00AD7881">
            <w:pPr>
              <w:spacing w:after="0" w:line="240" w:lineRule="auto"/>
              <w:jc w:val="center"/>
              <w:rPr>
                <w:rFonts w:ascii="Times New Roman" w:eastAsia="Times New Roman" w:hAnsi="Times New Roman" w:cs="Times New Roman"/>
                <w:color w:val="000000"/>
                <w:kern w:val="0"/>
                <w:sz w:val="28"/>
                <w:szCs w:val="28"/>
                <w:lang w:eastAsia="en-IN"/>
                <w14:ligatures w14:val="none"/>
              </w:rPr>
            </w:pPr>
            <w:r w:rsidRPr="00AD7881">
              <w:rPr>
                <w:rFonts w:ascii="Times New Roman" w:eastAsia="Times New Roman" w:hAnsi="Times New Roman" w:cs="Times New Roman"/>
                <w:color w:val="000000"/>
                <w:kern w:val="0"/>
                <w:sz w:val="28"/>
                <w:szCs w:val="28"/>
                <w:lang w:eastAsia="en-IN"/>
                <w14:ligatures w14:val="none"/>
              </w:rPr>
              <w:t>2.88</w:t>
            </w:r>
          </w:p>
        </w:tc>
      </w:tr>
      <w:tr w:rsidR="00AD7881" w:rsidRPr="00AD7881" w14:paraId="452ED941" w14:textId="77777777" w:rsidTr="00AD7881">
        <w:trPr>
          <w:trHeight w:val="20"/>
          <w:jc w:val="center"/>
        </w:trPr>
        <w:tc>
          <w:tcPr>
            <w:tcW w:w="2718" w:type="dxa"/>
            <w:tcBorders>
              <w:top w:val="nil"/>
              <w:left w:val="single" w:sz="4" w:space="0" w:color="auto"/>
              <w:bottom w:val="single" w:sz="4" w:space="0" w:color="auto"/>
              <w:right w:val="single" w:sz="4" w:space="0" w:color="auto"/>
            </w:tcBorders>
            <w:vAlign w:val="center"/>
            <w:hideMark/>
          </w:tcPr>
          <w:p w14:paraId="22D4839A" w14:textId="77777777" w:rsidR="00AD7881" w:rsidRPr="00AD7881" w:rsidRDefault="00AD7881" w:rsidP="00AD7881">
            <w:pPr>
              <w:spacing w:after="0" w:line="240" w:lineRule="auto"/>
              <w:jc w:val="center"/>
              <w:rPr>
                <w:rFonts w:ascii="Times New Roman" w:eastAsia="Times New Roman" w:hAnsi="Times New Roman" w:cs="Times New Roman"/>
                <w:color w:val="000000"/>
                <w:kern w:val="0"/>
                <w:sz w:val="28"/>
                <w:szCs w:val="28"/>
                <w:lang w:eastAsia="en-IN"/>
                <w14:ligatures w14:val="none"/>
              </w:rPr>
            </w:pPr>
            <w:r w:rsidRPr="00AD7881">
              <w:rPr>
                <w:rFonts w:ascii="Times New Roman" w:eastAsia="Times New Roman" w:hAnsi="Times New Roman" w:cs="Times New Roman"/>
                <w:color w:val="000000"/>
                <w:kern w:val="0"/>
                <w:sz w:val="28"/>
                <w:szCs w:val="28"/>
                <w:lang w:eastAsia="en-IN"/>
                <w14:ligatures w14:val="none"/>
              </w:rPr>
              <w:t>Bihar</w:t>
            </w:r>
          </w:p>
        </w:tc>
        <w:tc>
          <w:tcPr>
            <w:tcW w:w="2587" w:type="dxa"/>
            <w:tcBorders>
              <w:top w:val="nil"/>
              <w:left w:val="nil"/>
              <w:bottom w:val="single" w:sz="4" w:space="0" w:color="auto"/>
              <w:right w:val="single" w:sz="4" w:space="0" w:color="auto"/>
            </w:tcBorders>
            <w:vAlign w:val="center"/>
            <w:hideMark/>
          </w:tcPr>
          <w:p w14:paraId="4DC978DF" w14:textId="77777777" w:rsidR="00AD7881" w:rsidRPr="00AD7881" w:rsidRDefault="00AD7881" w:rsidP="00AD7881">
            <w:pPr>
              <w:spacing w:after="0" w:line="240" w:lineRule="auto"/>
              <w:jc w:val="center"/>
              <w:rPr>
                <w:rFonts w:ascii="Times New Roman" w:eastAsia="Times New Roman" w:hAnsi="Times New Roman" w:cs="Times New Roman"/>
                <w:color w:val="000000"/>
                <w:kern w:val="0"/>
                <w:sz w:val="28"/>
                <w:szCs w:val="28"/>
                <w:lang w:eastAsia="en-IN"/>
                <w14:ligatures w14:val="none"/>
              </w:rPr>
            </w:pPr>
            <w:r w:rsidRPr="00AD7881">
              <w:rPr>
                <w:rFonts w:ascii="Times New Roman" w:eastAsia="Times New Roman" w:hAnsi="Times New Roman" w:cs="Times New Roman"/>
                <w:color w:val="000000"/>
                <w:kern w:val="0"/>
                <w:sz w:val="28"/>
                <w:szCs w:val="28"/>
                <w:lang w:eastAsia="en-IN"/>
                <w14:ligatures w14:val="none"/>
              </w:rPr>
              <w:t>10.86</w:t>
            </w:r>
          </w:p>
        </w:tc>
      </w:tr>
      <w:tr w:rsidR="00AD7881" w:rsidRPr="00AD7881" w14:paraId="6E00D21F" w14:textId="77777777" w:rsidTr="00AD7881">
        <w:trPr>
          <w:trHeight w:val="20"/>
          <w:jc w:val="center"/>
        </w:trPr>
        <w:tc>
          <w:tcPr>
            <w:tcW w:w="2718" w:type="dxa"/>
            <w:tcBorders>
              <w:top w:val="nil"/>
              <w:left w:val="single" w:sz="4" w:space="0" w:color="auto"/>
              <w:bottom w:val="single" w:sz="4" w:space="0" w:color="auto"/>
              <w:right w:val="single" w:sz="4" w:space="0" w:color="auto"/>
            </w:tcBorders>
            <w:vAlign w:val="center"/>
            <w:hideMark/>
          </w:tcPr>
          <w:p w14:paraId="31516F13" w14:textId="77777777" w:rsidR="00AD7881" w:rsidRPr="00AD7881" w:rsidRDefault="00AD7881" w:rsidP="00AD7881">
            <w:pPr>
              <w:spacing w:after="0" w:line="240" w:lineRule="auto"/>
              <w:jc w:val="center"/>
              <w:rPr>
                <w:rFonts w:ascii="Times New Roman" w:eastAsia="Times New Roman" w:hAnsi="Times New Roman" w:cs="Times New Roman"/>
                <w:color w:val="000000"/>
                <w:kern w:val="0"/>
                <w:sz w:val="28"/>
                <w:szCs w:val="28"/>
                <w:lang w:eastAsia="en-IN"/>
                <w14:ligatures w14:val="none"/>
              </w:rPr>
            </w:pPr>
            <w:r w:rsidRPr="00AD7881">
              <w:rPr>
                <w:rFonts w:ascii="Times New Roman" w:eastAsia="Times New Roman" w:hAnsi="Times New Roman" w:cs="Times New Roman"/>
                <w:color w:val="000000"/>
                <w:kern w:val="0"/>
                <w:sz w:val="28"/>
                <w:szCs w:val="28"/>
                <w:lang w:eastAsia="en-IN"/>
                <w14:ligatures w14:val="none"/>
              </w:rPr>
              <w:t>Gujarat</w:t>
            </w:r>
          </w:p>
        </w:tc>
        <w:tc>
          <w:tcPr>
            <w:tcW w:w="2587" w:type="dxa"/>
            <w:tcBorders>
              <w:top w:val="nil"/>
              <w:left w:val="nil"/>
              <w:bottom w:val="single" w:sz="4" w:space="0" w:color="auto"/>
              <w:right w:val="single" w:sz="4" w:space="0" w:color="auto"/>
            </w:tcBorders>
            <w:vAlign w:val="center"/>
            <w:hideMark/>
          </w:tcPr>
          <w:p w14:paraId="1C1F0B4A" w14:textId="77777777" w:rsidR="00AD7881" w:rsidRPr="00AD7881" w:rsidRDefault="00AD7881" w:rsidP="00AD7881">
            <w:pPr>
              <w:spacing w:after="0" w:line="240" w:lineRule="auto"/>
              <w:jc w:val="center"/>
              <w:rPr>
                <w:rFonts w:ascii="Times New Roman" w:eastAsia="Times New Roman" w:hAnsi="Times New Roman" w:cs="Times New Roman"/>
                <w:color w:val="000000"/>
                <w:kern w:val="0"/>
                <w:sz w:val="28"/>
                <w:szCs w:val="28"/>
                <w:lang w:eastAsia="en-IN"/>
                <w14:ligatures w14:val="none"/>
              </w:rPr>
            </w:pPr>
            <w:r w:rsidRPr="00AD7881">
              <w:rPr>
                <w:rFonts w:ascii="Times New Roman" w:eastAsia="Times New Roman" w:hAnsi="Times New Roman" w:cs="Times New Roman"/>
                <w:color w:val="000000"/>
                <w:kern w:val="0"/>
                <w:sz w:val="28"/>
                <w:szCs w:val="28"/>
                <w:lang w:eastAsia="en-IN"/>
                <w14:ligatures w14:val="none"/>
              </w:rPr>
              <w:t>6.91</w:t>
            </w:r>
          </w:p>
        </w:tc>
      </w:tr>
      <w:tr w:rsidR="00AD7881" w:rsidRPr="00AD7881" w14:paraId="623891FD" w14:textId="77777777" w:rsidTr="00AD7881">
        <w:trPr>
          <w:trHeight w:val="20"/>
          <w:jc w:val="center"/>
        </w:trPr>
        <w:tc>
          <w:tcPr>
            <w:tcW w:w="2718" w:type="dxa"/>
            <w:tcBorders>
              <w:top w:val="nil"/>
              <w:left w:val="single" w:sz="4" w:space="0" w:color="auto"/>
              <w:bottom w:val="single" w:sz="4" w:space="0" w:color="auto"/>
              <w:right w:val="single" w:sz="4" w:space="0" w:color="auto"/>
            </w:tcBorders>
            <w:vAlign w:val="center"/>
            <w:hideMark/>
          </w:tcPr>
          <w:p w14:paraId="3089F0F7" w14:textId="77777777" w:rsidR="00AD7881" w:rsidRPr="00AD7881" w:rsidRDefault="00AD7881" w:rsidP="00AD7881">
            <w:pPr>
              <w:spacing w:after="0" w:line="240" w:lineRule="auto"/>
              <w:jc w:val="center"/>
              <w:rPr>
                <w:rFonts w:ascii="Times New Roman" w:eastAsia="Times New Roman" w:hAnsi="Times New Roman" w:cs="Times New Roman"/>
                <w:color w:val="000000"/>
                <w:kern w:val="0"/>
                <w:sz w:val="28"/>
                <w:szCs w:val="28"/>
                <w:lang w:eastAsia="en-IN"/>
                <w14:ligatures w14:val="none"/>
              </w:rPr>
            </w:pPr>
            <w:r w:rsidRPr="00AD7881">
              <w:rPr>
                <w:rFonts w:ascii="Times New Roman" w:eastAsia="Times New Roman" w:hAnsi="Times New Roman" w:cs="Times New Roman"/>
                <w:color w:val="000000"/>
                <w:kern w:val="0"/>
                <w:sz w:val="28"/>
                <w:szCs w:val="28"/>
                <w:lang w:eastAsia="en-IN"/>
                <w14:ligatures w14:val="none"/>
              </w:rPr>
              <w:t>Haryana</w:t>
            </w:r>
          </w:p>
        </w:tc>
        <w:tc>
          <w:tcPr>
            <w:tcW w:w="2587" w:type="dxa"/>
            <w:tcBorders>
              <w:top w:val="nil"/>
              <w:left w:val="nil"/>
              <w:bottom w:val="single" w:sz="4" w:space="0" w:color="auto"/>
              <w:right w:val="single" w:sz="4" w:space="0" w:color="auto"/>
            </w:tcBorders>
            <w:vAlign w:val="center"/>
            <w:hideMark/>
          </w:tcPr>
          <w:p w14:paraId="36EDF764" w14:textId="77777777" w:rsidR="00AD7881" w:rsidRPr="00AD7881" w:rsidRDefault="00AD7881" w:rsidP="00AD7881">
            <w:pPr>
              <w:spacing w:after="0" w:line="240" w:lineRule="auto"/>
              <w:jc w:val="center"/>
              <w:rPr>
                <w:rFonts w:ascii="Times New Roman" w:eastAsia="Times New Roman" w:hAnsi="Times New Roman" w:cs="Times New Roman"/>
                <w:color w:val="000000"/>
                <w:kern w:val="0"/>
                <w:sz w:val="28"/>
                <w:szCs w:val="28"/>
                <w:lang w:eastAsia="en-IN"/>
                <w14:ligatures w14:val="none"/>
              </w:rPr>
            </w:pPr>
            <w:r w:rsidRPr="00AD7881">
              <w:rPr>
                <w:rFonts w:ascii="Times New Roman" w:eastAsia="Times New Roman" w:hAnsi="Times New Roman" w:cs="Times New Roman"/>
                <w:color w:val="000000"/>
                <w:kern w:val="0"/>
                <w:sz w:val="28"/>
                <w:szCs w:val="28"/>
                <w:lang w:eastAsia="en-IN"/>
                <w14:ligatures w14:val="none"/>
              </w:rPr>
              <w:t>2.46</w:t>
            </w:r>
          </w:p>
        </w:tc>
      </w:tr>
      <w:tr w:rsidR="00AD7881" w:rsidRPr="00AD7881" w14:paraId="416A1BAC" w14:textId="77777777" w:rsidTr="00AD7881">
        <w:trPr>
          <w:trHeight w:val="20"/>
          <w:jc w:val="center"/>
        </w:trPr>
        <w:tc>
          <w:tcPr>
            <w:tcW w:w="2718" w:type="dxa"/>
            <w:tcBorders>
              <w:top w:val="nil"/>
              <w:left w:val="single" w:sz="4" w:space="0" w:color="auto"/>
              <w:bottom w:val="single" w:sz="4" w:space="0" w:color="auto"/>
              <w:right w:val="single" w:sz="4" w:space="0" w:color="auto"/>
            </w:tcBorders>
            <w:vAlign w:val="center"/>
            <w:hideMark/>
          </w:tcPr>
          <w:p w14:paraId="2F458EDF" w14:textId="77777777" w:rsidR="00AD7881" w:rsidRPr="00AD7881" w:rsidRDefault="00AD7881" w:rsidP="00AD7881">
            <w:pPr>
              <w:spacing w:after="0" w:line="240" w:lineRule="auto"/>
              <w:jc w:val="center"/>
              <w:rPr>
                <w:rFonts w:ascii="Times New Roman" w:eastAsia="Times New Roman" w:hAnsi="Times New Roman" w:cs="Times New Roman"/>
                <w:color w:val="000000"/>
                <w:kern w:val="0"/>
                <w:sz w:val="28"/>
                <w:szCs w:val="28"/>
                <w:lang w:eastAsia="en-IN"/>
                <w14:ligatures w14:val="none"/>
              </w:rPr>
            </w:pPr>
            <w:r w:rsidRPr="00AD7881">
              <w:rPr>
                <w:rFonts w:ascii="Times New Roman" w:eastAsia="Times New Roman" w:hAnsi="Times New Roman" w:cs="Times New Roman"/>
                <w:color w:val="000000"/>
                <w:kern w:val="0"/>
                <w:sz w:val="28"/>
                <w:szCs w:val="28"/>
                <w:lang w:eastAsia="en-IN"/>
                <w14:ligatures w14:val="none"/>
              </w:rPr>
              <w:lastRenderedPageBreak/>
              <w:t>Jammu and Kashmir</w:t>
            </w:r>
          </w:p>
        </w:tc>
        <w:tc>
          <w:tcPr>
            <w:tcW w:w="2587" w:type="dxa"/>
            <w:tcBorders>
              <w:top w:val="nil"/>
              <w:left w:val="nil"/>
              <w:bottom w:val="single" w:sz="4" w:space="0" w:color="auto"/>
              <w:right w:val="single" w:sz="4" w:space="0" w:color="auto"/>
            </w:tcBorders>
            <w:vAlign w:val="center"/>
            <w:hideMark/>
          </w:tcPr>
          <w:p w14:paraId="1A86D36F" w14:textId="77777777" w:rsidR="00AD7881" w:rsidRPr="00AD7881" w:rsidRDefault="00AD7881" w:rsidP="00AD7881">
            <w:pPr>
              <w:spacing w:after="0" w:line="240" w:lineRule="auto"/>
              <w:jc w:val="center"/>
              <w:rPr>
                <w:rFonts w:ascii="Times New Roman" w:eastAsia="Times New Roman" w:hAnsi="Times New Roman" w:cs="Times New Roman"/>
                <w:color w:val="000000"/>
                <w:kern w:val="0"/>
                <w:sz w:val="28"/>
                <w:szCs w:val="28"/>
                <w:lang w:eastAsia="en-IN"/>
                <w14:ligatures w14:val="none"/>
              </w:rPr>
            </w:pPr>
            <w:r w:rsidRPr="00AD7881">
              <w:rPr>
                <w:rFonts w:ascii="Times New Roman" w:eastAsia="Times New Roman" w:hAnsi="Times New Roman" w:cs="Times New Roman"/>
                <w:color w:val="000000"/>
                <w:kern w:val="0"/>
                <w:sz w:val="28"/>
                <w:szCs w:val="28"/>
                <w:lang w:eastAsia="en-IN"/>
                <w14:ligatures w14:val="none"/>
              </w:rPr>
              <w:t>0.01</w:t>
            </w:r>
          </w:p>
        </w:tc>
      </w:tr>
      <w:tr w:rsidR="00AD7881" w:rsidRPr="00AD7881" w14:paraId="32876725" w14:textId="77777777" w:rsidTr="00AD7881">
        <w:trPr>
          <w:trHeight w:val="20"/>
          <w:jc w:val="center"/>
        </w:trPr>
        <w:tc>
          <w:tcPr>
            <w:tcW w:w="2718" w:type="dxa"/>
            <w:tcBorders>
              <w:top w:val="nil"/>
              <w:left w:val="single" w:sz="4" w:space="0" w:color="auto"/>
              <w:bottom w:val="single" w:sz="4" w:space="0" w:color="auto"/>
              <w:right w:val="single" w:sz="4" w:space="0" w:color="auto"/>
            </w:tcBorders>
            <w:vAlign w:val="center"/>
            <w:hideMark/>
          </w:tcPr>
          <w:p w14:paraId="1EB460DD" w14:textId="77777777" w:rsidR="00AD7881" w:rsidRPr="00AD7881" w:rsidRDefault="00AD7881" w:rsidP="00AD7881">
            <w:pPr>
              <w:spacing w:after="0" w:line="240" w:lineRule="auto"/>
              <w:jc w:val="center"/>
              <w:rPr>
                <w:rFonts w:ascii="Times New Roman" w:eastAsia="Times New Roman" w:hAnsi="Times New Roman" w:cs="Times New Roman"/>
                <w:color w:val="000000"/>
                <w:kern w:val="0"/>
                <w:sz w:val="28"/>
                <w:szCs w:val="28"/>
                <w:lang w:eastAsia="en-IN"/>
                <w14:ligatures w14:val="none"/>
              </w:rPr>
            </w:pPr>
            <w:r w:rsidRPr="00AD7881">
              <w:rPr>
                <w:rFonts w:ascii="Times New Roman" w:eastAsia="Times New Roman" w:hAnsi="Times New Roman" w:cs="Times New Roman"/>
                <w:color w:val="000000"/>
                <w:kern w:val="0"/>
                <w:sz w:val="28"/>
                <w:szCs w:val="28"/>
                <w:lang w:eastAsia="en-IN"/>
                <w14:ligatures w14:val="none"/>
              </w:rPr>
              <w:t>Kerala</w:t>
            </w:r>
          </w:p>
        </w:tc>
        <w:tc>
          <w:tcPr>
            <w:tcW w:w="2587" w:type="dxa"/>
            <w:tcBorders>
              <w:top w:val="nil"/>
              <w:left w:val="nil"/>
              <w:bottom w:val="single" w:sz="4" w:space="0" w:color="auto"/>
              <w:right w:val="single" w:sz="4" w:space="0" w:color="auto"/>
            </w:tcBorders>
            <w:vAlign w:val="center"/>
            <w:hideMark/>
          </w:tcPr>
          <w:p w14:paraId="08F4CDCA" w14:textId="77777777" w:rsidR="00AD7881" w:rsidRPr="00AD7881" w:rsidRDefault="00AD7881" w:rsidP="00AD7881">
            <w:pPr>
              <w:spacing w:after="0" w:line="240" w:lineRule="auto"/>
              <w:jc w:val="center"/>
              <w:rPr>
                <w:rFonts w:ascii="Times New Roman" w:eastAsia="Times New Roman" w:hAnsi="Times New Roman" w:cs="Times New Roman"/>
                <w:color w:val="000000"/>
                <w:kern w:val="0"/>
                <w:sz w:val="28"/>
                <w:szCs w:val="28"/>
                <w:lang w:eastAsia="en-IN"/>
                <w14:ligatures w14:val="none"/>
              </w:rPr>
            </w:pPr>
            <w:r w:rsidRPr="00AD7881">
              <w:rPr>
                <w:rFonts w:ascii="Times New Roman" w:eastAsia="Times New Roman" w:hAnsi="Times New Roman" w:cs="Times New Roman"/>
                <w:color w:val="000000"/>
                <w:kern w:val="0"/>
                <w:sz w:val="28"/>
                <w:szCs w:val="28"/>
                <w:lang w:eastAsia="en-IN"/>
                <w14:ligatures w14:val="none"/>
              </w:rPr>
              <w:t>1.78</w:t>
            </w:r>
          </w:p>
        </w:tc>
      </w:tr>
      <w:tr w:rsidR="00AD7881" w:rsidRPr="00AD7881" w14:paraId="747987E6" w14:textId="77777777" w:rsidTr="00AD7881">
        <w:trPr>
          <w:trHeight w:val="20"/>
          <w:jc w:val="center"/>
        </w:trPr>
        <w:tc>
          <w:tcPr>
            <w:tcW w:w="2718" w:type="dxa"/>
            <w:tcBorders>
              <w:top w:val="nil"/>
              <w:left w:val="single" w:sz="4" w:space="0" w:color="auto"/>
              <w:bottom w:val="single" w:sz="4" w:space="0" w:color="auto"/>
              <w:right w:val="single" w:sz="4" w:space="0" w:color="auto"/>
            </w:tcBorders>
            <w:vAlign w:val="center"/>
            <w:hideMark/>
          </w:tcPr>
          <w:p w14:paraId="0F8CC917" w14:textId="77777777" w:rsidR="00AD7881" w:rsidRPr="00AD7881" w:rsidRDefault="00AD7881" w:rsidP="00AD7881">
            <w:pPr>
              <w:spacing w:after="0" w:line="240" w:lineRule="auto"/>
              <w:jc w:val="center"/>
              <w:rPr>
                <w:rFonts w:ascii="Times New Roman" w:eastAsia="Times New Roman" w:hAnsi="Times New Roman" w:cs="Times New Roman"/>
                <w:color w:val="000000"/>
                <w:kern w:val="0"/>
                <w:sz w:val="28"/>
                <w:szCs w:val="28"/>
                <w:lang w:eastAsia="en-IN"/>
                <w14:ligatures w14:val="none"/>
              </w:rPr>
            </w:pPr>
            <w:r w:rsidRPr="00AD7881">
              <w:rPr>
                <w:rFonts w:ascii="Times New Roman" w:eastAsia="Times New Roman" w:hAnsi="Times New Roman" w:cs="Times New Roman"/>
                <w:color w:val="000000"/>
                <w:kern w:val="0"/>
                <w:sz w:val="28"/>
                <w:szCs w:val="28"/>
                <w:lang w:eastAsia="en-IN"/>
                <w14:ligatures w14:val="none"/>
              </w:rPr>
              <w:t>Madhya Pradesh</w:t>
            </w:r>
          </w:p>
        </w:tc>
        <w:tc>
          <w:tcPr>
            <w:tcW w:w="2587" w:type="dxa"/>
            <w:tcBorders>
              <w:top w:val="nil"/>
              <w:left w:val="nil"/>
              <w:bottom w:val="single" w:sz="4" w:space="0" w:color="auto"/>
              <w:right w:val="single" w:sz="4" w:space="0" w:color="auto"/>
            </w:tcBorders>
            <w:vAlign w:val="center"/>
            <w:hideMark/>
          </w:tcPr>
          <w:p w14:paraId="270B383F" w14:textId="77777777" w:rsidR="00AD7881" w:rsidRPr="00AD7881" w:rsidRDefault="00AD7881" w:rsidP="00AD7881">
            <w:pPr>
              <w:spacing w:after="0" w:line="240" w:lineRule="auto"/>
              <w:jc w:val="center"/>
              <w:rPr>
                <w:rFonts w:ascii="Times New Roman" w:eastAsia="Times New Roman" w:hAnsi="Times New Roman" w:cs="Times New Roman"/>
                <w:color w:val="000000"/>
                <w:kern w:val="0"/>
                <w:sz w:val="28"/>
                <w:szCs w:val="28"/>
                <w:lang w:eastAsia="en-IN"/>
                <w14:ligatures w14:val="none"/>
              </w:rPr>
            </w:pPr>
            <w:r w:rsidRPr="00AD7881">
              <w:rPr>
                <w:rFonts w:ascii="Times New Roman" w:eastAsia="Times New Roman" w:hAnsi="Times New Roman" w:cs="Times New Roman"/>
                <w:color w:val="000000"/>
                <w:kern w:val="0"/>
                <w:sz w:val="28"/>
                <w:szCs w:val="28"/>
                <w:lang w:eastAsia="en-IN"/>
                <w14:ligatures w14:val="none"/>
              </w:rPr>
              <w:t>9.92</w:t>
            </w:r>
          </w:p>
        </w:tc>
      </w:tr>
      <w:tr w:rsidR="00AD7881" w:rsidRPr="00AD7881" w14:paraId="5E4490B7" w14:textId="77777777" w:rsidTr="00AD7881">
        <w:trPr>
          <w:trHeight w:val="20"/>
          <w:jc w:val="center"/>
        </w:trPr>
        <w:tc>
          <w:tcPr>
            <w:tcW w:w="2718" w:type="dxa"/>
            <w:tcBorders>
              <w:top w:val="nil"/>
              <w:left w:val="single" w:sz="4" w:space="0" w:color="auto"/>
              <w:bottom w:val="single" w:sz="4" w:space="0" w:color="auto"/>
              <w:right w:val="single" w:sz="4" w:space="0" w:color="auto"/>
            </w:tcBorders>
            <w:vAlign w:val="center"/>
            <w:hideMark/>
          </w:tcPr>
          <w:p w14:paraId="755F798A" w14:textId="77777777" w:rsidR="00AD7881" w:rsidRPr="00AD7881" w:rsidRDefault="00AD7881" w:rsidP="00AD7881">
            <w:pPr>
              <w:spacing w:after="0" w:line="240" w:lineRule="auto"/>
              <w:jc w:val="center"/>
              <w:rPr>
                <w:rFonts w:ascii="Times New Roman" w:eastAsia="Times New Roman" w:hAnsi="Times New Roman" w:cs="Times New Roman"/>
                <w:color w:val="000000"/>
                <w:kern w:val="0"/>
                <w:sz w:val="28"/>
                <w:szCs w:val="28"/>
                <w:lang w:eastAsia="en-IN"/>
                <w14:ligatures w14:val="none"/>
              </w:rPr>
            </w:pPr>
            <w:r w:rsidRPr="00AD7881">
              <w:rPr>
                <w:rFonts w:ascii="Times New Roman" w:eastAsia="Times New Roman" w:hAnsi="Times New Roman" w:cs="Times New Roman"/>
                <w:color w:val="000000"/>
                <w:kern w:val="0"/>
                <w:sz w:val="28"/>
                <w:szCs w:val="28"/>
                <w:lang w:eastAsia="en-IN"/>
                <w14:ligatures w14:val="none"/>
              </w:rPr>
              <w:t>Madras</w:t>
            </w:r>
          </w:p>
        </w:tc>
        <w:tc>
          <w:tcPr>
            <w:tcW w:w="2587" w:type="dxa"/>
            <w:tcBorders>
              <w:top w:val="nil"/>
              <w:left w:val="nil"/>
              <w:bottom w:val="single" w:sz="4" w:space="0" w:color="auto"/>
              <w:right w:val="single" w:sz="4" w:space="0" w:color="auto"/>
            </w:tcBorders>
            <w:vAlign w:val="center"/>
            <w:hideMark/>
          </w:tcPr>
          <w:p w14:paraId="6AC68E0E" w14:textId="77777777" w:rsidR="00AD7881" w:rsidRPr="00AD7881" w:rsidRDefault="00AD7881" w:rsidP="00AD7881">
            <w:pPr>
              <w:spacing w:after="0" w:line="240" w:lineRule="auto"/>
              <w:jc w:val="center"/>
              <w:rPr>
                <w:rFonts w:ascii="Times New Roman" w:eastAsia="Times New Roman" w:hAnsi="Times New Roman" w:cs="Times New Roman"/>
                <w:color w:val="000000"/>
                <w:kern w:val="0"/>
                <w:sz w:val="28"/>
                <w:szCs w:val="28"/>
                <w:lang w:eastAsia="en-IN"/>
                <w14:ligatures w14:val="none"/>
              </w:rPr>
            </w:pPr>
            <w:r w:rsidRPr="00AD7881">
              <w:rPr>
                <w:rFonts w:ascii="Times New Roman" w:eastAsia="Times New Roman" w:hAnsi="Times New Roman" w:cs="Times New Roman"/>
                <w:color w:val="000000"/>
                <w:kern w:val="0"/>
                <w:sz w:val="28"/>
                <w:szCs w:val="28"/>
                <w:lang w:eastAsia="en-IN"/>
                <w14:ligatures w14:val="none"/>
              </w:rPr>
              <w:t>5.54</w:t>
            </w:r>
          </w:p>
        </w:tc>
      </w:tr>
      <w:tr w:rsidR="00AD7881" w:rsidRPr="00AD7881" w14:paraId="751B0F34" w14:textId="77777777" w:rsidTr="00AD7881">
        <w:trPr>
          <w:trHeight w:val="20"/>
          <w:jc w:val="center"/>
        </w:trPr>
        <w:tc>
          <w:tcPr>
            <w:tcW w:w="2718" w:type="dxa"/>
            <w:tcBorders>
              <w:top w:val="nil"/>
              <w:left w:val="single" w:sz="4" w:space="0" w:color="auto"/>
              <w:bottom w:val="single" w:sz="4" w:space="0" w:color="auto"/>
              <w:right w:val="single" w:sz="4" w:space="0" w:color="auto"/>
            </w:tcBorders>
            <w:vAlign w:val="center"/>
            <w:hideMark/>
          </w:tcPr>
          <w:p w14:paraId="0770B066" w14:textId="77777777" w:rsidR="00AD7881" w:rsidRPr="00AD7881" w:rsidRDefault="00AD7881" w:rsidP="00AD7881">
            <w:pPr>
              <w:spacing w:after="0" w:line="240" w:lineRule="auto"/>
              <w:jc w:val="center"/>
              <w:rPr>
                <w:rFonts w:ascii="Times New Roman" w:eastAsia="Times New Roman" w:hAnsi="Times New Roman" w:cs="Times New Roman"/>
                <w:color w:val="000000"/>
                <w:kern w:val="0"/>
                <w:sz w:val="28"/>
                <w:szCs w:val="28"/>
                <w:lang w:eastAsia="en-IN"/>
                <w14:ligatures w14:val="none"/>
              </w:rPr>
            </w:pPr>
            <w:r w:rsidRPr="00AD7881">
              <w:rPr>
                <w:rFonts w:ascii="Times New Roman" w:eastAsia="Times New Roman" w:hAnsi="Times New Roman" w:cs="Times New Roman"/>
                <w:color w:val="000000"/>
                <w:kern w:val="0"/>
                <w:sz w:val="28"/>
                <w:szCs w:val="28"/>
                <w:lang w:eastAsia="en-IN"/>
                <w14:ligatures w14:val="none"/>
              </w:rPr>
              <w:t>Maharashtra</w:t>
            </w:r>
          </w:p>
        </w:tc>
        <w:tc>
          <w:tcPr>
            <w:tcW w:w="2587" w:type="dxa"/>
            <w:tcBorders>
              <w:top w:val="nil"/>
              <w:left w:val="nil"/>
              <w:bottom w:val="single" w:sz="4" w:space="0" w:color="auto"/>
              <w:right w:val="single" w:sz="4" w:space="0" w:color="auto"/>
            </w:tcBorders>
            <w:vAlign w:val="center"/>
            <w:hideMark/>
          </w:tcPr>
          <w:p w14:paraId="092BEC76" w14:textId="77777777" w:rsidR="00AD7881" w:rsidRPr="00AD7881" w:rsidRDefault="00AD7881" w:rsidP="00AD7881">
            <w:pPr>
              <w:spacing w:after="0" w:line="240" w:lineRule="auto"/>
              <w:jc w:val="center"/>
              <w:rPr>
                <w:rFonts w:ascii="Times New Roman" w:eastAsia="Times New Roman" w:hAnsi="Times New Roman" w:cs="Times New Roman"/>
                <w:color w:val="000000"/>
                <w:kern w:val="0"/>
                <w:sz w:val="28"/>
                <w:szCs w:val="28"/>
                <w:lang w:eastAsia="en-IN"/>
                <w14:ligatures w14:val="none"/>
              </w:rPr>
            </w:pPr>
            <w:r w:rsidRPr="00AD7881">
              <w:rPr>
                <w:rFonts w:ascii="Times New Roman" w:eastAsia="Times New Roman" w:hAnsi="Times New Roman" w:cs="Times New Roman"/>
                <w:color w:val="000000"/>
                <w:kern w:val="0"/>
                <w:sz w:val="28"/>
                <w:szCs w:val="28"/>
                <w:lang w:eastAsia="en-IN"/>
                <w14:ligatures w14:val="none"/>
              </w:rPr>
              <w:t>9.12</w:t>
            </w:r>
          </w:p>
        </w:tc>
      </w:tr>
      <w:tr w:rsidR="00AD7881" w:rsidRPr="00AD7881" w14:paraId="57BA4A5C" w14:textId="77777777" w:rsidTr="00AD7881">
        <w:trPr>
          <w:trHeight w:val="20"/>
          <w:jc w:val="center"/>
        </w:trPr>
        <w:tc>
          <w:tcPr>
            <w:tcW w:w="2718" w:type="dxa"/>
            <w:tcBorders>
              <w:top w:val="nil"/>
              <w:left w:val="single" w:sz="4" w:space="0" w:color="auto"/>
              <w:bottom w:val="single" w:sz="4" w:space="0" w:color="auto"/>
              <w:right w:val="single" w:sz="4" w:space="0" w:color="auto"/>
            </w:tcBorders>
            <w:vAlign w:val="center"/>
            <w:hideMark/>
          </w:tcPr>
          <w:p w14:paraId="2A2341C4" w14:textId="77777777" w:rsidR="00AD7881" w:rsidRPr="00AD7881" w:rsidRDefault="00AD7881" w:rsidP="00AD7881">
            <w:pPr>
              <w:spacing w:after="0" w:line="240" w:lineRule="auto"/>
              <w:jc w:val="center"/>
              <w:rPr>
                <w:rFonts w:ascii="Times New Roman" w:eastAsia="Times New Roman" w:hAnsi="Times New Roman" w:cs="Times New Roman"/>
                <w:color w:val="000000"/>
                <w:kern w:val="0"/>
                <w:sz w:val="28"/>
                <w:szCs w:val="28"/>
                <w:lang w:eastAsia="en-IN"/>
                <w14:ligatures w14:val="none"/>
              </w:rPr>
            </w:pPr>
            <w:r w:rsidRPr="00AD7881">
              <w:rPr>
                <w:rFonts w:ascii="Times New Roman" w:eastAsia="Times New Roman" w:hAnsi="Times New Roman" w:cs="Times New Roman"/>
                <w:color w:val="000000"/>
                <w:kern w:val="0"/>
                <w:sz w:val="28"/>
                <w:szCs w:val="28"/>
                <w:lang w:eastAsia="en-IN"/>
                <w14:ligatures w14:val="none"/>
              </w:rPr>
              <w:t>Mysore</w:t>
            </w:r>
          </w:p>
        </w:tc>
        <w:tc>
          <w:tcPr>
            <w:tcW w:w="2587" w:type="dxa"/>
            <w:tcBorders>
              <w:top w:val="nil"/>
              <w:left w:val="nil"/>
              <w:bottom w:val="single" w:sz="4" w:space="0" w:color="auto"/>
              <w:right w:val="single" w:sz="4" w:space="0" w:color="auto"/>
            </w:tcBorders>
            <w:vAlign w:val="center"/>
            <w:hideMark/>
          </w:tcPr>
          <w:p w14:paraId="259ECA0E" w14:textId="77777777" w:rsidR="00AD7881" w:rsidRPr="00AD7881" w:rsidRDefault="00AD7881" w:rsidP="00AD7881">
            <w:pPr>
              <w:spacing w:after="0" w:line="240" w:lineRule="auto"/>
              <w:jc w:val="center"/>
              <w:rPr>
                <w:rFonts w:ascii="Times New Roman" w:eastAsia="Times New Roman" w:hAnsi="Times New Roman" w:cs="Times New Roman"/>
                <w:color w:val="000000"/>
                <w:kern w:val="0"/>
                <w:sz w:val="28"/>
                <w:szCs w:val="28"/>
                <w:lang w:eastAsia="en-IN"/>
                <w14:ligatures w14:val="none"/>
              </w:rPr>
            </w:pPr>
            <w:r w:rsidRPr="00AD7881">
              <w:rPr>
                <w:rFonts w:ascii="Times New Roman" w:eastAsia="Times New Roman" w:hAnsi="Times New Roman" w:cs="Times New Roman"/>
                <w:color w:val="000000"/>
                <w:kern w:val="0"/>
                <w:sz w:val="28"/>
                <w:szCs w:val="28"/>
                <w:lang w:eastAsia="en-IN"/>
                <w14:ligatures w14:val="none"/>
              </w:rPr>
              <w:t>3.83</w:t>
            </w:r>
          </w:p>
        </w:tc>
      </w:tr>
      <w:tr w:rsidR="00AD7881" w:rsidRPr="00AD7881" w14:paraId="6978DFA3" w14:textId="77777777" w:rsidTr="00AD7881">
        <w:trPr>
          <w:trHeight w:val="20"/>
          <w:jc w:val="center"/>
        </w:trPr>
        <w:tc>
          <w:tcPr>
            <w:tcW w:w="2718" w:type="dxa"/>
            <w:tcBorders>
              <w:top w:val="nil"/>
              <w:left w:val="single" w:sz="4" w:space="0" w:color="auto"/>
              <w:bottom w:val="single" w:sz="4" w:space="0" w:color="auto"/>
              <w:right w:val="single" w:sz="4" w:space="0" w:color="auto"/>
            </w:tcBorders>
            <w:vAlign w:val="center"/>
            <w:hideMark/>
          </w:tcPr>
          <w:p w14:paraId="20C38C02" w14:textId="77777777" w:rsidR="00AD7881" w:rsidRPr="00AD7881" w:rsidRDefault="00AD7881" w:rsidP="00AD7881">
            <w:pPr>
              <w:spacing w:after="0" w:line="240" w:lineRule="auto"/>
              <w:jc w:val="center"/>
              <w:rPr>
                <w:rFonts w:ascii="Times New Roman" w:eastAsia="Times New Roman" w:hAnsi="Times New Roman" w:cs="Times New Roman"/>
                <w:color w:val="000000"/>
                <w:kern w:val="0"/>
                <w:sz w:val="28"/>
                <w:szCs w:val="28"/>
                <w:lang w:eastAsia="en-IN"/>
                <w14:ligatures w14:val="none"/>
              </w:rPr>
            </w:pPr>
            <w:r w:rsidRPr="00AD7881">
              <w:rPr>
                <w:rFonts w:ascii="Times New Roman" w:eastAsia="Times New Roman" w:hAnsi="Times New Roman" w:cs="Times New Roman"/>
                <w:color w:val="000000"/>
                <w:kern w:val="0"/>
                <w:sz w:val="28"/>
                <w:szCs w:val="28"/>
                <w:lang w:eastAsia="en-IN"/>
                <w14:ligatures w14:val="none"/>
              </w:rPr>
              <w:t>Nagaland</w:t>
            </w:r>
          </w:p>
        </w:tc>
        <w:tc>
          <w:tcPr>
            <w:tcW w:w="2587" w:type="dxa"/>
            <w:tcBorders>
              <w:top w:val="nil"/>
              <w:left w:val="nil"/>
              <w:bottom w:val="single" w:sz="4" w:space="0" w:color="auto"/>
              <w:right w:val="single" w:sz="4" w:space="0" w:color="auto"/>
            </w:tcBorders>
            <w:vAlign w:val="center"/>
            <w:hideMark/>
          </w:tcPr>
          <w:p w14:paraId="08DEE160" w14:textId="77777777" w:rsidR="00AD7881" w:rsidRPr="00AD7881" w:rsidRDefault="00AD7881" w:rsidP="00AD7881">
            <w:pPr>
              <w:spacing w:after="0" w:line="240" w:lineRule="auto"/>
              <w:jc w:val="center"/>
              <w:rPr>
                <w:rFonts w:ascii="Times New Roman" w:eastAsia="Times New Roman" w:hAnsi="Times New Roman" w:cs="Times New Roman"/>
                <w:color w:val="000000"/>
                <w:kern w:val="0"/>
                <w:sz w:val="28"/>
                <w:szCs w:val="28"/>
                <w:lang w:eastAsia="en-IN"/>
                <w14:ligatures w14:val="none"/>
              </w:rPr>
            </w:pPr>
            <w:r w:rsidRPr="00AD7881">
              <w:rPr>
                <w:rFonts w:ascii="Times New Roman" w:eastAsia="Times New Roman" w:hAnsi="Times New Roman" w:cs="Times New Roman"/>
                <w:color w:val="000000"/>
                <w:kern w:val="0"/>
                <w:sz w:val="28"/>
                <w:szCs w:val="28"/>
                <w:lang w:eastAsia="en-IN"/>
                <w14:ligatures w14:val="none"/>
              </w:rPr>
              <w:t>0.01</w:t>
            </w:r>
          </w:p>
        </w:tc>
      </w:tr>
      <w:tr w:rsidR="00AD7881" w:rsidRPr="00AD7881" w14:paraId="52B90D9C" w14:textId="77777777" w:rsidTr="00AD7881">
        <w:trPr>
          <w:trHeight w:val="20"/>
          <w:jc w:val="center"/>
        </w:trPr>
        <w:tc>
          <w:tcPr>
            <w:tcW w:w="2718" w:type="dxa"/>
            <w:tcBorders>
              <w:top w:val="nil"/>
              <w:left w:val="single" w:sz="4" w:space="0" w:color="auto"/>
              <w:bottom w:val="single" w:sz="4" w:space="0" w:color="auto"/>
              <w:right w:val="single" w:sz="4" w:space="0" w:color="auto"/>
            </w:tcBorders>
            <w:vAlign w:val="center"/>
            <w:hideMark/>
          </w:tcPr>
          <w:p w14:paraId="5D286028" w14:textId="77777777" w:rsidR="00AD7881" w:rsidRPr="00AD7881" w:rsidRDefault="00AD7881" w:rsidP="00AD7881">
            <w:pPr>
              <w:spacing w:after="0" w:line="240" w:lineRule="auto"/>
              <w:jc w:val="center"/>
              <w:rPr>
                <w:rFonts w:ascii="Times New Roman" w:eastAsia="Times New Roman" w:hAnsi="Times New Roman" w:cs="Times New Roman"/>
                <w:color w:val="000000"/>
                <w:kern w:val="0"/>
                <w:sz w:val="28"/>
                <w:szCs w:val="28"/>
                <w:lang w:eastAsia="en-IN"/>
                <w14:ligatures w14:val="none"/>
              </w:rPr>
            </w:pPr>
            <w:r w:rsidRPr="00AD7881">
              <w:rPr>
                <w:rFonts w:ascii="Times New Roman" w:eastAsia="Times New Roman" w:hAnsi="Times New Roman" w:cs="Times New Roman"/>
                <w:color w:val="000000"/>
                <w:kern w:val="0"/>
                <w:sz w:val="28"/>
                <w:szCs w:val="28"/>
                <w:lang w:eastAsia="en-IN"/>
                <w14:ligatures w14:val="none"/>
              </w:rPr>
              <w:t>Orissa</w:t>
            </w:r>
          </w:p>
        </w:tc>
        <w:tc>
          <w:tcPr>
            <w:tcW w:w="2587" w:type="dxa"/>
            <w:tcBorders>
              <w:top w:val="nil"/>
              <w:left w:val="nil"/>
              <w:bottom w:val="single" w:sz="4" w:space="0" w:color="auto"/>
              <w:right w:val="single" w:sz="4" w:space="0" w:color="auto"/>
            </w:tcBorders>
            <w:vAlign w:val="center"/>
            <w:hideMark/>
          </w:tcPr>
          <w:p w14:paraId="70FDC69B" w14:textId="77777777" w:rsidR="00AD7881" w:rsidRPr="00AD7881" w:rsidRDefault="00AD7881" w:rsidP="00AD7881">
            <w:pPr>
              <w:spacing w:after="0" w:line="240" w:lineRule="auto"/>
              <w:jc w:val="center"/>
              <w:rPr>
                <w:rFonts w:ascii="Times New Roman" w:eastAsia="Times New Roman" w:hAnsi="Times New Roman" w:cs="Times New Roman"/>
                <w:color w:val="000000"/>
                <w:kern w:val="0"/>
                <w:sz w:val="28"/>
                <w:szCs w:val="28"/>
                <w:lang w:eastAsia="en-IN"/>
                <w14:ligatures w14:val="none"/>
              </w:rPr>
            </w:pPr>
            <w:r w:rsidRPr="00AD7881">
              <w:rPr>
                <w:rFonts w:ascii="Times New Roman" w:eastAsia="Times New Roman" w:hAnsi="Times New Roman" w:cs="Times New Roman"/>
                <w:color w:val="000000"/>
                <w:kern w:val="0"/>
                <w:sz w:val="28"/>
                <w:szCs w:val="28"/>
                <w:lang w:eastAsia="en-IN"/>
                <w14:ligatures w14:val="none"/>
              </w:rPr>
              <w:t>2.36</w:t>
            </w:r>
          </w:p>
        </w:tc>
      </w:tr>
      <w:tr w:rsidR="00AD7881" w:rsidRPr="00AD7881" w14:paraId="0365E55F" w14:textId="77777777" w:rsidTr="00AD7881">
        <w:trPr>
          <w:trHeight w:val="20"/>
          <w:jc w:val="center"/>
        </w:trPr>
        <w:tc>
          <w:tcPr>
            <w:tcW w:w="2718" w:type="dxa"/>
            <w:tcBorders>
              <w:top w:val="nil"/>
              <w:left w:val="single" w:sz="4" w:space="0" w:color="auto"/>
              <w:bottom w:val="single" w:sz="4" w:space="0" w:color="auto"/>
              <w:right w:val="single" w:sz="4" w:space="0" w:color="auto"/>
            </w:tcBorders>
            <w:vAlign w:val="center"/>
            <w:hideMark/>
          </w:tcPr>
          <w:p w14:paraId="204C09B1" w14:textId="77777777" w:rsidR="00AD7881" w:rsidRPr="00AD7881" w:rsidRDefault="00AD7881" w:rsidP="00AD7881">
            <w:pPr>
              <w:spacing w:after="0" w:line="240" w:lineRule="auto"/>
              <w:jc w:val="center"/>
              <w:rPr>
                <w:rFonts w:ascii="Times New Roman" w:eastAsia="Times New Roman" w:hAnsi="Times New Roman" w:cs="Times New Roman"/>
                <w:color w:val="000000"/>
                <w:kern w:val="0"/>
                <w:sz w:val="28"/>
                <w:szCs w:val="28"/>
                <w:lang w:eastAsia="en-IN"/>
                <w14:ligatures w14:val="none"/>
              </w:rPr>
            </w:pPr>
            <w:r w:rsidRPr="00AD7881">
              <w:rPr>
                <w:rFonts w:ascii="Times New Roman" w:eastAsia="Times New Roman" w:hAnsi="Times New Roman" w:cs="Times New Roman"/>
                <w:color w:val="000000"/>
                <w:kern w:val="0"/>
                <w:sz w:val="28"/>
                <w:szCs w:val="28"/>
                <w:lang w:eastAsia="en-IN"/>
                <w14:ligatures w14:val="none"/>
              </w:rPr>
              <w:t>Punjab</w:t>
            </w:r>
          </w:p>
        </w:tc>
        <w:tc>
          <w:tcPr>
            <w:tcW w:w="2587" w:type="dxa"/>
            <w:tcBorders>
              <w:top w:val="nil"/>
              <w:left w:val="nil"/>
              <w:bottom w:val="single" w:sz="4" w:space="0" w:color="auto"/>
              <w:right w:val="single" w:sz="4" w:space="0" w:color="auto"/>
            </w:tcBorders>
            <w:vAlign w:val="center"/>
            <w:hideMark/>
          </w:tcPr>
          <w:p w14:paraId="201C93FC" w14:textId="77777777" w:rsidR="00AD7881" w:rsidRPr="00AD7881" w:rsidRDefault="00AD7881" w:rsidP="00AD7881">
            <w:pPr>
              <w:spacing w:after="0" w:line="240" w:lineRule="auto"/>
              <w:jc w:val="center"/>
              <w:rPr>
                <w:rFonts w:ascii="Times New Roman" w:eastAsia="Times New Roman" w:hAnsi="Times New Roman" w:cs="Times New Roman"/>
                <w:color w:val="000000"/>
                <w:kern w:val="0"/>
                <w:sz w:val="28"/>
                <w:szCs w:val="28"/>
                <w:lang w:eastAsia="en-IN"/>
                <w14:ligatures w14:val="none"/>
              </w:rPr>
            </w:pPr>
            <w:r w:rsidRPr="00AD7881">
              <w:rPr>
                <w:rFonts w:ascii="Times New Roman" w:eastAsia="Times New Roman" w:hAnsi="Times New Roman" w:cs="Times New Roman"/>
                <w:color w:val="000000"/>
                <w:kern w:val="0"/>
                <w:sz w:val="28"/>
                <w:szCs w:val="28"/>
                <w:lang w:eastAsia="en-IN"/>
                <w14:ligatures w14:val="none"/>
              </w:rPr>
              <w:t>4.76</w:t>
            </w:r>
          </w:p>
        </w:tc>
      </w:tr>
      <w:tr w:rsidR="00AD7881" w:rsidRPr="00AD7881" w14:paraId="06C7F5AB" w14:textId="77777777" w:rsidTr="00AD7881">
        <w:trPr>
          <w:trHeight w:val="20"/>
          <w:jc w:val="center"/>
        </w:trPr>
        <w:tc>
          <w:tcPr>
            <w:tcW w:w="2718" w:type="dxa"/>
            <w:tcBorders>
              <w:top w:val="nil"/>
              <w:left w:val="single" w:sz="4" w:space="0" w:color="auto"/>
              <w:bottom w:val="single" w:sz="4" w:space="0" w:color="auto"/>
              <w:right w:val="single" w:sz="4" w:space="0" w:color="auto"/>
            </w:tcBorders>
            <w:vAlign w:val="center"/>
            <w:hideMark/>
          </w:tcPr>
          <w:p w14:paraId="771D112D" w14:textId="77777777" w:rsidR="00AD7881" w:rsidRPr="00AD7881" w:rsidRDefault="00AD7881" w:rsidP="00AD7881">
            <w:pPr>
              <w:spacing w:after="0" w:line="240" w:lineRule="auto"/>
              <w:jc w:val="center"/>
              <w:rPr>
                <w:rFonts w:ascii="Times New Roman" w:eastAsia="Times New Roman" w:hAnsi="Times New Roman" w:cs="Times New Roman"/>
                <w:color w:val="000000"/>
                <w:kern w:val="0"/>
                <w:sz w:val="28"/>
                <w:szCs w:val="28"/>
                <w:lang w:eastAsia="en-IN"/>
                <w14:ligatures w14:val="none"/>
              </w:rPr>
            </w:pPr>
            <w:r w:rsidRPr="00AD7881">
              <w:rPr>
                <w:rFonts w:ascii="Times New Roman" w:eastAsia="Times New Roman" w:hAnsi="Times New Roman" w:cs="Times New Roman"/>
                <w:color w:val="000000"/>
                <w:kern w:val="0"/>
                <w:sz w:val="28"/>
                <w:szCs w:val="28"/>
                <w:lang w:eastAsia="en-IN"/>
                <w14:ligatures w14:val="none"/>
              </w:rPr>
              <w:t>Rajasthan</w:t>
            </w:r>
          </w:p>
        </w:tc>
        <w:tc>
          <w:tcPr>
            <w:tcW w:w="2587" w:type="dxa"/>
            <w:tcBorders>
              <w:top w:val="nil"/>
              <w:left w:val="nil"/>
              <w:bottom w:val="single" w:sz="4" w:space="0" w:color="auto"/>
              <w:right w:val="single" w:sz="4" w:space="0" w:color="auto"/>
            </w:tcBorders>
            <w:vAlign w:val="center"/>
            <w:hideMark/>
          </w:tcPr>
          <w:p w14:paraId="3128D6DF" w14:textId="77777777" w:rsidR="00AD7881" w:rsidRPr="00AD7881" w:rsidRDefault="00AD7881" w:rsidP="00AD7881">
            <w:pPr>
              <w:spacing w:after="0" w:line="240" w:lineRule="auto"/>
              <w:jc w:val="center"/>
              <w:rPr>
                <w:rFonts w:ascii="Times New Roman" w:eastAsia="Times New Roman" w:hAnsi="Times New Roman" w:cs="Times New Roman"/>
                <w:color w:val="000000"/>
                <w:kern w:val="0"/>
                <w:sz w:val="28"/>
                <w:szCs w:val="28"/>
                <w:lang w:eastAsia="en-IN"/>
                <w14:ligatures w14:val="none"/>
              </w:rPr>
            </w:pPr>
            <w:r w:rsidRPr="00AD7881">
              <w:rPr>
                <w:rFonts w:ascii="Times New Roman" w:eastAsia="Times New Roman" w:hAnsi="Times New Roman" w:cs="Times New Roman"/>
                <w:color w:val="000000"/>
                <w:kern w:val="0"/>
                <w:sz w:val="28"/>
                <w:szCs w:val="28"/>
                <w:lang w:eastAsia="en-IN"/>
                <w14:ligatures w14:val="none"/>
              </w:rPr>
              <w:t>6.43</w:t>
            </w:r>
          </w:p>
        </w:tc>
      </w:tr>
      <w:tr w:rsidR="00AD7881" w:rsidRPr="00AD7881" w14:paraId="0786762D" w14:textId="77777777" w:rsidTr="00AD7881">
        <w:trPr>
          <w:trHeight w:val="20"/>
          <w:jc w:val="center"/>
        </w:trPr>
        <w:tc>
          <w:tcPr>
            <w:tcW w:w="2718" w:type="dxa"/>
            <w:tcBorders>
              <w:top w:val="nil"/>
              <w:left w:val="single" w:sz="4" w:space="0" w:color="auto"/>
              <w:bottom w:val="single" w:sz="4" w:space="0" w:color="auto"/>
              <w:right w:val="single" w:sz="4" w:space="0" w:color="auto"/>
            </w:tcBorders>
            <w:vAlign w:val="center"/>
            <w:hideMark/>
          </w:tcPr>
          <w:p w14:paraId="40284DA1" w14:textId="77777777" w:rsidR="00AD7881" w:rsidRPr="00AD7881" w:rsidRDefault="00AD7881" w:rsidP="00AD7881">
            <w:pPr>
              <w:spacing w:after="0" w:line="240" w:lineRule="auto"/>
              <w:jc w:val="center"/>
              <w:rPr>
                <w:rFonts w:ascii="Times New Roman" w:eastAsia="Times New Roman" w:hAnsi="Times New Roman" w:cs="Times New Roman"/>
                <w:color w:val="000000"/>
                <w:kern w:val="0"/>
                <w:sz w:val="28"/>
                <w:szCs w:val="28"/>
                <w:lang w:eastAsia="en-IN"/>
                <w14:ligatures w14:val="none"/>
              </w:rPr>
            </w:pPr>
            <w:r w:rsidRPr="00AD7881">
              <w:rPr>
                <w:rFonts w:ascii="Times New Roman" w:eastAsia="Times New Roman" w:hAnsi="Times New Roman" w:cs="Times New Roman"/>
                <w:color w:val="000000"/>
                <w:kern w:val="0"/>
                <w:sz w:val="28"/>
                <w:szCs w:val="28"/>
                <w:lang w:eastAsia="en-IN"/>
                <w14:ligatures w14:val="none"/>
              </w:rPr>
              <w:t>Uttar Pradesh</w:t>
            </w:r>
          </w:p>
        </w:tc>
        <w:tc>
          <w:tcPr>
            <w:tcW w:w="2587" w:type="dxa"/>
            <w:tcBorders>
              <w:top w:val="nil"/>
              <w:left w:val="nil"/>
              <w:bottom w:val="single" w:sz="4" w:space="0" w:color="auto"/>
              <w:right w:val="single" w:sz="4" w:space="0" w:color="auto"/>
            </w:tcBorders>
            <w:vAlign w:val="center"/>
            <w:hideMark/>
          </w:tcPr>
          <w:p w14:paraId="6536EF47" w14:textId="77777777" w:rsidR="00AD7881" w:rsidRPr="00AD7881" w:rsidRDefault="00AD7881" w:rsidP="00AD7881">
            <w:pPr>
              <w:spacing w:after="0" w:line="240" w:lineRule="auto"/>
              <w:jc w:val="center"/>
              <w:rPr>
                <w:rFonts w:ascii="Times New Roman" w:eastAsia="Times New Roman" w:hAnsi="Times New Roman" w:cs="Times New Roman"/>
                <w:color w:val="000000"/>
                <w:kern w:val="0"/>
                <w:sz w:val="28"/>
                <w:szCs w:val="28"/>
                <w:lang w:eastAsia="en-IN"/>
                <w14:ligatures w14:val="none"/>
              </w:rPr>
            </w:pPr>
            <w:r w:rsidRPr="00AD7881">
              <w:rPr>
                <w:rFonts w:ascii="Times New Roman" w:eastAsia="Times New Roman" w:hAnsi="Times New Roman" w:cs="Times New Roman"/>
                <w:color w:val="000000"/>
                <w:kern w:val="0"/>
                <w:sz w:val="28"/>
                <w:szCs w:val="28"/>
                <w:lang w:eastAsia="en-IN"/>
                <w14:ligatures w14:val="none"/>
              </w:rPr>
              <w:t>19.06</w:t>
            </w:r>
          </w:p>
        </w:tc>
      </w:tr>
      <w:tr w:rsidR="00AD7881" w:rsidRPr="00AD7881" w14:paraId="6CAA5459" w14:textId="77777777" w:rsidTr="00AD7881">
        <w:trPr>
          <w:trHeight w:val="20"/>
          <w:jc w:val="center"/>
        </w:trPr>
        <w:tc>
          <w:tcPr>
            <w:tcW w:w="2718" w:type="dxa"/>
            <w:tcBorders>
              <w:top w:val="nil"/>
              <w:left w:val="single" w:sz="4" w:space="0" w:color="auto"/>
              <w:bottom w:val="single" w:sz="4" w:space="0" w:color="auto"/>
              <w:right w:val="single" w:sz="4" w:space="0" w:color="auto"/>
            </w:tcBorders>
            <w:vAlign w:val="center"/>
            <w:hideMark/>
          </w:tcPr>
          <w:p w14:paraId="4C7047BB" w14:textId="77777777" w:rsidR="00AD7881" w:rsidRPr="00AD7881" w:rsidRDefault="00AD7881" w:rsidP="00AD7881">
            <w:pPr>
              <w:spacing w:after="0" w:line="240" w:lineRule="auto"/>
              <w:jc w:val="center"/>
              <w:rPr>
                <w:rFonts w:ascii="Times New Roman" w:eastAsia="Times New Roman" w:hAnsi="Times New Roman" w:cs="Times New Roman"/>
                <w:color w:val="000000"/>
                <w:kern w:val="0"/>
                <w:sz w:val="28"/>
                <w:szCs w:val="28"/>
                <w:lang w:eastAsia="en-IN"/>
                <w14:ligatures w14:val="none"/>
              </w:rPr>
            </w:pPr>
            <w:r w:rsidRPr="00AD7881">
              <w:rPr>
                <w:rFonts w:ascii="Times New Roman" w:eastAsia="Times New Roman" w:hAnsi="Times New Roman" w:cs="Times New Roman"/>
                <w:color w:val="000000"/>
                <w:kern w:val="0"/>
                <w:sz w:val="28"/>
                <w:szCs w:val="28"/>
                <w:lang w:eastAsia="en-IN"/>
                <w14:ligatures w14:val="none"/>
              </w:rPr>
              <w:t>West Bengal</w:t>
            </w:r>
          </w:p>
        </w:tc>
        <w:tc>
          <w:tcPr>
            <w:tcW w:w="2587" w:type="dxa"/>
            <w:tcBorders>
              <w:top w:val="nil"/>
              <w:left w:val="nil"/>
              <w:bottom w:val="single" w:sz="4" w:space="0" w:color="auto"/>
              <w:right w:val="single" w:sz="4" w:space="0" w:color="auto"/>
            </w:tcBorders>
            <w:vAlign w:val="center"/>
            <w:hideMark/>
          </w:tcPr>
          <w:p w14:paraId="0A7CB14C" w14:textId="77777777" w:rsidR="00AD7881" w:rsidRPr="00AD7881" w:rsidRDefault="00AD7881" w:rsidP="00AD7881">
            <w:pPr>
              <w:spacing w:after="0" w:line="240" w:lineRule="auto"/>
              <w:jc w:val="center"/>
              <w:rPr>
                <w:rFonts w:ascii="Times New Roman" w:eastAsia="Times New Roman" w:hAnsi="Times New Roman" w:cs="Times New Roman"/>
                <w:color w:val="000000"/>
                <w:kern w:val="0"/>
                <w:sz w:val="28"/>
                <w:szCs w:val="28"/>
                <w:lang w:eastAsia="en-IN"/>
                <w14:ligatures w14:val="none"/>
              </w:rPr>
            </w:pPr>
            <w:r w:rsidRPr="00AD7881">
              <w:rPr>
                <w:rFonts w:ascii="Times New Roman" w:eastAsia="Times New Roman" w:hAnsi="Times New Roman" w:cs="Times New Roman"/>
                <w:color w:val="000000"/>
                <w:kern w:val="0"/>
                <w:sz w:val="28"/>
                <w:szCs w:val="28"/>
                <w:lang w:eastAsia="en-IN"/>
                <w14:ligatures w14:val="none"/>
              </w:rPr>
              <w:t>5.51</w:t>
            </w:r>
          </w:p>
        </w:tc>
      </w:tr>
      <w:tr w:rsidR="00AD7881" w:rsidRPr="00AD7881" w14:paraId="653A9572" w14:textId="77777777" w:rsidTr="00AD7881">
        <w:trPr>
          <w:trHeight w:val="20"/>
          <w:jc w:val="center"/>
        </w:trPr>
        <w:tc>
          <w:tcPr>
            <w:tcW w:w="2718" w:type="dxa"/>
            <w:tcBorders>
              <w:top w:val="nil"/>
              <w:left w:val="single" w:sz="4" w:space="0" w:color="auto"/>
              <w:bottom w:val="single" w:sz="4" w:space="0" w:color="auto"/>
              <w:right w:val="single" w:sz="4" w:space="0" w:color="auto"/>
            </w:tcBorders>
            <w:vAlign w:val="center"/>
            <w:hideMark/>
          </w:tcPr>
          <w:p w14:paraId="5D72CCD2" w14:textId="77777777" w:rsidR="00AD7881" w:rsidRPr="00AD7881" w:rsidRDefault="00AD7881" w:rsidP="00AD7881">
            <w:pPr>
              <w:spacing w:after="0" w:line="240" w:lineRule="auto"/>
              <w:jc w:val="center"/>
              <w:rPr>
                <w:rFonts w:ascii="Times New Roman" w:eastAsia="Times New Roman" w:hAnsi="Times New Roman" w:cs="Times New Roman"/>
                <w:b/>
                <w:bCs/>
                <w:color w:val="000000"/>
                <w:kern w:val="0"/>
                <w:sz w:val="28"/>
                <w:szCs w:val="28"/>
                <w:lang w:eastAsia="en-IN"/>
                <w14:ligatures w14:val="none"/>
              </w:rPr>
            </w:pPr>
            <w:r w:rsidRPr="00AD7881">
              <w:rPr>
                <w:rFonts w:ascii="Times New Roman" w:eastAsia="Times New Roman" w:hAnsi="Times New Roman" w:cs="Times New Roman"/>
                <w:b/>
                <w:bCs/>
                <w:color w:val="000000"/>
                <w:kern w:val="0"/>
                <w:sz w:val="28"/>
                <w:szCs w:val="28"/>
                <w:lang w:eastAsia="en-IN"/>
                <w14:ligatures w14:val="none"/>
              </w:rPr>
              <w:t>Total</w:t>
            </w:r>
          </w:p>
        </w:tc>
        <w:tc>
          <w:tcPr>
            <w:tcW w:w="2587" w:type="dxa"/>
            <w:tcBorders>
              <w:top w:val="nil"/>
              <w:left w:val="nil"/>
              <w:bottom w:val="single" w:sz="4" w:space="0" w:color="auto"/>
              <w:right w:val="single" w:sz="4" w:space="0" w:color="auto"/>
            </w:tcBorders>
            <w:vAlign w:val="center"/>
            <w:hideMark/>
          </w:tcPr>
          <w:p w14:paraId="1828831C" w14:textId="77777777" w:rsidR="00AD7881" w:rsidRPr="00AD7881" w:rsidRDefault="00AD7881" w:rsidP="00AD7881">
            <w:pPr>
              <w:spacing w:after="0" w:line="240" w:lineRule="auto"/>
              <w:jc w:val="center"/>
              <w:rPr>
                <w:rFonts w:ascii="Times New Roman" w:eastAsia="Times New Roman" w:hAnsi="Times New Roman" w:cs="Times New Roman"/>
                <w:b/>
                <w:bCs/>
                <w:color w:val="000000"/>
                <w:kern w:val="0"/>
                <w:sz w:val="28"/>
                <w:szCs w:val="28"/>
                <w:lang w:eastAsia="en-IN"/>
                <w14:ligatures w14:val="none"/>
              </w:rPr>
            </w:pPr>
            <w:r w:rsidRPr="00AD7881">
              <w:rPr>
                <w:rFonts w:ascii="Times New Roman" w:eastAsia="Times New Roman" w:hAnsi="Times New Roman" w:cs="Times New Roman"/>
                <w:b/>
                <w:bCs/>
                <w:color w:val="000000"/>
                <w:kern w:val="0"/>
                <w:sz w:val="28"/>
                <w:szCs w:val="28"/>
                <w:lang w:eastAsia="en-IN"/>
                <w14:ligatures w14:val="none"/>
              </w:rPr>
              <w:t>100</w:t>
            </w:r>
          </w:p>
        </w:tc>
      </w:tr>
    </w:tbl>
    <w:p w14:paraId="2EEB5E90" w14:textId="77777777" w:rsidR="00D923FB" w:rsidRPr="00965A5A" w:rsidRDefault="00D923FB" w:rsidP="00965A5A">
      <w:pPr>
        <w:spacing w:line="300" w:lineRule="exact"/>
        <w:jc w:val="both"/>
        <w:rPr>
          <w:rFonts w:ascii="Times New Roman" w:hAnsi="Times New Roman" w:cs="Times New Roman"/>
          <w:sz w:val="28"/>
          <w:szCs w:val="28"/>
        </w:rPr>
      </w:pPr>
    </w:p>
    <w:p w14:paraId="169796A1" w14:textId="597FFF2A" w:rsidR="00D923FB" w:rsidRPr="00965A5A" w:rsidRDefault="00D923FB" w:rsidP="00965A5A">
      <w:pPr>
        <w:spacing w:line="300" w:lineRule="exact"/>
        <w:jc w:val="both"/>
        <w:rPr>
          <w:rFonts w:ascii="Times New Roman" w:hAnsi="Times New Roman" w:cs="Times New Roman"/>
          <w:sz w:val="28"/>
          <w:szCs w:val="28"/>
        </w:rPr>
      </w:pPr>
      <w:r w:rsidRPr="00965A5A">
        <w:rPr>
          <w:rFonts w:ascii="Times New Roman" w:hAnsi="Times New Roman" w:cs="Times New Roman"/>
          <w:sz w:val="28"/>
          <w:szCs w:val="28"/>
        </w:rPr>
        <w:t>We recommend that the grant to be made available to the States in lieu of the repealed tax on railway passenger fares be distributed in accordance with these percentages.</w:t>
      </w:r>
    </w:p>
    <w:p w14:paraId="507A4992" w14:textId="77777777" w:rsidR="00D923FB" w:rsidRPr="00965A5A" w:rsidRDefault="00D923FB" w:rsidP="0032219C">
      <w:pPr>
        <w:pStyle w:val="ListParagraph"/>
        <w:numPr>
          <w:ilvl w:val="0"/>
          <w:numId w:val="34"/>
        </w:numPr>
        <w:spacing w:line="300" w:lineRule="exact"/>
        <w:ind w:left="-142" w:firstLine="142"/>
        <w:contextualSpacing w:val="0"/>
        <w:jc w:val="both"/>
        <w:rPr>
          <w:rFonts w:ascii="Times New Roman" w:hAnsi="Times New Roman" w:cs="Times New Roman"/>
          <w:sz w:val="28"/>
          <w:szCs w:val="28"/>
        </w:rPr>
      </w:pPr>
      <w:r w:rsidRPr="00965A5A">
        <w:rPr>
          <w:rFonts w:ascii="Times New Roman" w:hAnsi="Times New Roman" w:cs="Times New Roman"/>
          <w:sz w:val="28"/>
          <w:szCs w:val="28"/>
        </w:rPr>
        <w:t>Practically all the States have represented to us, as they did to the Fourth Finance Commission, that the system of a fixed annual grant has deprived them of a potentially elastic source of revenue and they have urged that the quantum of the grant should be suitably increased each year having regard to the growth in railway earnings from passenger fares. Some States have suggested, as an alternative, that the tax should be re-introduced. These suggestions go beyond the scope of item (c) of our terms of reference, with which we are dealing at present. We propose to consider them in our final Report when dealing with item (h) of paragraph 4 of the President's Order, relating to the scope for raising revenue from taxes and duties mentioned in Article 269 of the Constitution.</w:t>
      </w:r>
    </w:p>
    <w:p w14:paraId="4EB553B6" w14:textId="77777777" w:rsidR="00D923FB" w:rsidRPr="007245B0" w:rsidRDefault="00D923FB" w:rsidP="00D923FB">
      <w:pPr>
        <w:jc w:val="center"/>
        <w:rPr>
          <w:rFonts w:ascii="Times New Roman" w:hAnsi="Times New Roman" w:cs="Times New Roman"/>
          <w:b/>
          <w:bCs/>
          <w:sz w:val="28"/>
          <w:szCs w:val="22"/>
        </w:rPr>
      </w:pPr>
    </w:p>
    <w:p w14:paraId="03DBE400" w14:textId="77777777" w:rsidR="00D923FB" w:rsidRPr="007245B0" w:rsidRDefault="00D923FB" w:rsidP="00D923FB">
      <w:pPr>
        <w:jc w:val="center"/>
        <w:rPr>
          <w:rFonts w:ascii="Times New Roman" w:hAnsi="Times New Roman" w:cs="Times New Roman"/>
          <w:b/>
          <w:bCs/>
          <w:sz w:val="28"/>
          <w:szCs w:val="22"/>
        </w:rPr>
      </w:pPr>
    </w:p>
    <w:p w14:paraId="54D58150" w14:textId="77777777" w:rsidR="00B9252F" w:rsidRDefault="00B9252F" w:rsidP="00D923FB">
      <w:pPr>
        <w:jc w:val="center"/>
        <w:rPr>
          <w:rFonts w:ascii="Times New Roman" w:hAnsi="Times New Roman" w:cs="Times New Roman"/>
          <w:b/>
          <w:bCs/>
          <w:sz w:val="28"/>
          <w:szCs w:val="22"/>
        </w:rPr>
      </w:pPr>
    </w:p>
    <w:p w14:paraId="1D8DB9F4" w14:textId="77777777" w:rsidR="00B9252F" w:rsidRDefault="00B9252F" w:rsidP="00D923FB">
      <w:pPr>
        <w:jc w:val="center"/>
        <w:rPr>
          <w:rFonts w:ascii="Times New Roman" w:hAnsi="Times New Roman" w:cs="Times New Roman"/>
          <w:b/>
          <w:bCs/>
          <w:sz w:val="28"/>
          <w:szCs w:val="22"/>
        </w:rPr>
      </w:pPr>
    </w:p>
    <w:p w14:paraId="247366E5" w14:textId="77777777" w:rsidR="00AD7881" w:rsidRDefault="00AD7881">
      <w:pPr>
        <w:rPr>
          <w:rFonts w:ascii="Times New Roman" w:eastAsiaTheme="majorEastAsia" w:hAnsi="Times New Roman" w:cs="Times New Roman"/>
          <w:b/>
          <w:bCs/>
          <w:sz w:val="32"/>
          <w:szCs w:val="28"/>
        </w:rPr>
      </w:pPr>
      <w:r>
        <w:br w:type="page"/>
      </w:r>
    </w:p>
    <w:p w14:paraId="0FDCEF0E" w14:textId="302F5F9A" w:rsidR="00D923FB" w:rsidRPr="007245B0" w:rsidRDefault="0032219C" w:rsidP="0032219C">
      <w:pPr>
        <w:pStyle w:val="Heading1"/>
      </w:pPr>
      <w:r>
        <w:lastRenderedPageBreak/>
        <w:br/>
      </w:r>
      <w:bookmarkStart w:id="240" w:name="_Toc220949750"/>
      <w:bookmarkStart w:id="241" w:name="_Toc221115375"/>
      <w:r w:rsidR="00D923FB" w:rsidRPr="007245B0">
        <w:t>ESTATE DUTY</w:t>
      </w:r>
      <w:bookmarkEnd w:id="240"/>
      <w:bookmarkEnd w:id="241"/>
    </w:p>
    <w:p w14:paraId="29CBB6CB" w14:textId="77777777" w:rsidR="00D923FB" w:rsidRPr="0032219C" w:rsidRDefault="00D923FB" w:rsidP="0032219C">
      <w:pPr>
        <w:pStyle w:val="ListParagraph"/>
        <w:numPr>
          <w:ilvl w:val="0"/>
          <w:numId w:val="34"/>
        </w:numPr>
        <w:spacing w:line="300" w:lineRule="exact"/>
        <w:ind w:left="-142" w:firstLine="142"/>
        <w:contextualSpacing w:val="0"/>
        <w:jc w:val="both"/>
        <w:rPr>
          <w:rFonts w:ascii="Times New Roman" w:hAnsi="Times New Roman" w:cs="Times New Roman"/>
          <w:sz w:val="28"/>
          <w:szCs w:val="28"/>
        </w:rPr>
      </w:pPr>
      <w:r w:rsidRPr="0032219C">
        <w:rPr>
          <w:rFonts w:ascii="Times New Roman" w:hAnsi="Times New Roman" w:cs="Times New Roman"/>
          <w:sz w:val="28"/>
          <w:szCs w:val="28"/>
        </w:rPr>
        <w:t>Paragraph 4(d) of the Order of the President requires us to make recommendations as to the changes, if any, to be made in the principles governing the distribution among the States, under Article 269 of the Constitution, of the net proceeds in any financial year of estate duty in respect of property other than agricultural land.</w:t>
      </w:r>
    </w:p>
    <w:p w14:paraId="073040E6" w14:textId="77777777" w:rsidR="00D923FB" w:rsidRPr="0032219C" w:rsidRDefault="00D923FB" w:rsidP="0032219C">
      <w:pPr>
        <w:pStyle w:val="ListParagraph"/>
        <w:numPr>
          <w:ilvl w:val="0"/>
          <w:numId w:val="34"/>
        </w:numPr>
        <w:spacing w:line="300" w:lineRule="exact"/>
        <w:ind w:left="-142" w:firstLine="142"/>
        <w:contextualSpacing w:val="0"/>
        <w:jc w:val="both"/>
        <w:rPr>
          <w:rFonts w:ascii="Times New Roman" w:hAnsi="Times New Roman" w:cs="Times New Roman"/>
          <w:sz w:val="28"/>
          <w:szCs w:val="28"/>
        </w:rPr>
      </w:pPr>
      <w:r w:rsidRPr="0032219C">
        <w:rPr>
          <w:rFonts w:ascii="Times New Roman" w:hAnsi="Times New Roman" w:cs="Times New Roman"/>
          <w:sz w:val="28"/>
          <w:szCs w:val="28"/>
        </w:rPr>
        <w:t>Article 269 provides that the net proceeds of estate duty, except in so far as they represent proceeds attributable to Union territories, are to be assigned to the States and distributed among them in accordance with the principles formulated by Parliament by law.</w:t>
      </w:r>
    </w:p>
    <w:p w14:paraId="61365F0A" w14:textId="77777777" w:rsidR="00D923FB" w:rsidRPr="007245B0" w:rsidRDefault="00D923FB" w:rsidP="0032219C">
      <w:pPr>
        <w:pStyle w:val="ListParagraph"/>
        <w:numPr>
          <w:ilvl w:val="0"/>
          <w:numId w:val="34"/>
        </w:numPr>
        <w:spacing w:line="300" w:lineRule="exact"/>
        <w:ind w:left="-142" w:firstLine="142"/>
        <w:contextualSpacing w:val="0"/>
        <w:jc w:val="both"/>
        <w:rPr>
          <w:rFonts w:ascii="Times New Roman" w:hAnsi="Times New Roman" w:cs="Times New Roman"/>
          <w:sz w:val="28"/>
          <w:szCs w:val="22"/>
        </w:rPr>
      </w:pPr>
      <w:r w:rsidRPr="0032219C">
        <w:rPr>
          <w:rFonts w:ascii="Times New Roman" w:hAnsi="Times New Roman" w:cs="Times New Roman"/>
          <w:sz w:val="28"/>
          <w:szCs w:val="28"/>
        </w:rPr>
        <w:t>The existing scheme</w:t>
      </w:r>
      <w:r w:rsidRPr="007245B0">
        <w:rPr>
          <w:rFonts w:ascii="Times New Roman" w:hAnsi="Times New Roman" w:cs="Times New Roman"/>
          <w:sz w:val="28"/>
          <w:szCs w:val="22"/>
        </w:rPr>
        <w:t xml:space="preserve"> of distribution is as follows:—</w:t>
      </w:r>
    </w:p>
    <w:p w14:paraId="7DE8F844" w14:textId="77777777" w:rsidR="00D923FB" w:rsidRPr="007245B0" w:rsidRDefault="00D923FB" w:rsidP="0032219C">
      <w:pPr>
        <w:spacing w:after="0" w:line="300" w:lineRule="exact"/>
        <w:ind w:left="1440"/>
        <w:jc w:val="both"/>
        <w:rPr>
          <w:rFonts w:ascii="Times New Roman" w:hAnsi="Times New Roman" w:cs="Times New Roman"/>
          <w:sz w:val="28"/>
          <w:szCs w:val="22"/>
        </w:rPr>
      </w:pPr>
      <w:r w:rsidRPr="007245B0">
        <w:rPr>
          <w:rFonts w:ascii="Times New Roman" w:hAnsi="Times New Roman" w:cs="Times New Roman"/>
          <w:sz w:val="28"/>
          <w:szCs w:val="22"/>
        </w:rPr>
        <w:t>(i) Out of the net proceeds of the duty in each financial year, a sum equal to two per cent is retained by the Union as proceeds attributable to Union territories;</w:t>
      </w:r>
    </w:p>
    <w:p w14:paraId="6D894FA6" w14:textId="77777777" w:rsidR="00D923FB" w:rsidRPr="007245B0" w:rsidRDefault="00D923FB" w:rsidP="0032219C">
      <w:pPr>
        <w:spacing w:after="0" w:line="300" w:lineRule="exact"/>
        <w:ind w:left="1440"/>
        <w:jc w:val="both"/>
        <w:rPr>
          <w:rFonts w:ascii="Times New Roman" w:hAnsi="Times New Roman" w:cs="Times New Roman"/>
          <w:sz w:val="28"/>
          <w:szCs w:val="22"/>
        </w:rPr>
      </w:pPr>
      <w:r w:rsidRPr="007245B0">
        <w:rPr>
          <w:rFonts w:ascii="Times New Roman" w:hAnsi="Times New Roman" w:cs="Times New Roman"/>
          <w:sz w:val="28"/>
          <w:szCs w:val="22"/>
        </w:rPr>
        <w:t>(ii) The balance is apportioned between immovable property and other property in the ratio of the gross value of all such properties brought into assessment in that year;</w:t>
      </w:r>
    </w:p>
    <w:p w14:paraId="47C17263" w14:textId="77777777" w:rsidR="00D923FB" w:rsidRPr="007245B0" w:rsidRDefault="00D923FB" w:rsidP="0032219C">
      <w:pPr>
        <w:spacing w:after="0" w:line="300" w:lineRule="exact"/>
        <w:ind w:left="1440"/>
        <w:jc w:val="both"/>
        <w:rPr>
          <w:rFonts w:ascii="Times New Roman" w:hAnsi="Times New Roman" w:cs="Times New Roman"/>
          <w:sz w:val="28"/>
          <w:szCs w:val="22"/>
        </w:rPr>
      </w:pPr>
      <w:r w:rsidRPr="007245B0">
        <w:rPr>
          <w:rFonts w:ascii="Times New Roman" w:hAnsi="Times New Roman" w:cs="Times New Roman"/>
          <w:sz w:val="28"/>
          <w:szCs w:val="22"/>
        </w:rPr>
        <w:t>(iii) The sum thus apportioned to immovable property is distributed among the States in proportion to the gross value of the immovable property located in each State; and</w:t>
      </w:r>
    </w:p>
    <w:p w14:paraId="634E2D22" w14:textId="77777777" w:rsidR="00D923FB" w:rsidRPr="007245B0" w:rsidRDefault="00D923FB" w:rsidP="0032219C">
      <w:pPr>
        <w:spacing w:after="0" w:line="300" w:lineRule="exact"/>
        <w:ind w:left="1440"/>
        <w:jc w:val="both"/>
        <w:rPr>
          <w:rFonts w:ascii="Times New Roman" w:hAnsi="Times New Roman" w:cs="Times New Roman"/>
          <w:sz w:val="28"/>
          <w:szCs w:val="22"/>
        </w:rPr>
      </w:pPr>
      <w:r w:rsidRPr="007245B0">
        <w:rPr>
          <w:rFonts w:ascii="Times New Roman" w:hAnsi="Times New Roman" w:cs="Times New Roman"/>
          <w:sz w:val="28"/>
          <w:szCs w:val="22"/>
        </w:rPr>
        <w:t>(iv) The sum apportioned to property other than immovable property is distributed among the States in proportion to their population.</w:t>
      </w:r>
    </w:p>
    <w:p w14:paraId="49266424" w14:textId="3B048B93" w:rsidR="00D923FB" w:rsidRPr="007245B0" w:rsidRDefault="00D923FB" w:rsidP="0032219C">
      <w:pPr>
        <w:pStyle w:val="ListParagraph"/>
        <w:numPr>
          <w:ilvl w:val="0"/>
          <w:numId w:val="34"/>
        </w:numPr>
        <w:spacing w:line="300" w:lineRule="exact"/>
        <w:ind w:left="-142" w:firstLine="142"/>
        <w:contextualSpacing w:val="0"/>
        <w:jc w:val="both"/>
        <w:rPr>
          <w:rFonts w:ascii="Times New Roman" w:hAnsi="Times New Roman" w:cs="Times New Roman"/>
          <w:sz w:val="28"/>
          <w:szCs w:val="22"/>
        </w:rPr>
      </w:pPr>
      <w:r w:rsidRPr="007245B0">
        <w:rPr>
          <w:rFonts w:ascii="Times New Roman" w:hAnsi="Times New Roman" w:cs="Times New Roman"/>
          <w:sz w:val="28"/>
          <w:szCs w:val="22"/>
        </w:rPr>
        <w:t>Most of the States have suggested the continuance of the presen</w:t>
      </w:r>
      <w:r w:rsidR="0032219C">
        <w:rPr>
          <w:rFonts w:ascii="Times New Roman" w:hAnsi="Times New Roman" w:cs="Times New Roman"/>
          <w:sz w:val="28"/>
          <w:szCs w:val="22"/>
        </w:rPr>
        <w:t>t</w:t>
      </w:r>
      <w:r w:rsidRPr="007245B0">
        <w:rPr>
          <w:rFonts w:ascii="Times New Roman" w:hAnsi="Times New Roman" w:cs="Times New Roman"/>
          <w:sz w:val="28"/>
          <w:szCs w:val="22"/>
        </w:rPr>
        <w:t xml:space="preserve"> scheme</w:t>
      </w:r>
      <w:r w:rsidR="0032219C">
        <w:rPr>
          <w:rFonts w:ascii="Times New Roman" w:hAnsi="Times New Roman" w:cs="Times New Roman"/>
          <w:sz w:val="28"/>
          <w:szCs w:val="22"/>
        </w:rPr>
        <w:t xml:space="preserve"> </w:t>
      </w:r>
      <w:r w:rsidRPr="007245B0">
        <w:rPr>
          <w:rFonts w:ascii="Times New Roman" w:hAnsi="Times New Roman" w:cs="Times New Roman"/>
          <w:sz w:val="28"/>
          <w:szCs w:val="22"/>
        </w:rPr>
        <w:t>of distribution. Suggestions made by some other States are—</w:t>
      </w:r>
    </w:p>
    <w:p w14:paraId="60DC9D68" w14:textId="77777777" w:rsidR="00D923FB" w:rsidRPr="007245B0" w:rsidRDefault="00D923FB" w:rsidP="0032219C">
      <w:pPr>
        <w:spacing w:after="0"/>
        <w:ind w:left="1418"/>
        <w:jc w:val="both"/>
        <w:rPr>
          <w:rFonts w:ascii="Times New Roman" w:hAnsi="Times New Roman" w:cs="Times New Roman"/>
          <w:sz w:val="28"/>
          <w:szCs w:val="22"/>
        </w:rPr>
      </w:pPr>
      <w:r w:rsidRPr="007245B0">
        <w:rPr>
          <w:rFonts w:ascii="Times New Roman" w:hAnsi="Times New Roman" w:cs="Times New Roman"/>
          <w:sz w:val="28"/>
          <w:szCs w:val="22"/>
        </w:rPr>
        <w:t>(i) Distribution of the entire net proceeds of estate duty, along with the States’ shares of all other divisible taxes and duties, solely on the basis of needs of each State;</w:t>
      </w:r>
    </w:p>
    <w:p w14:paraId="0A8F80F1" w14:textId="77777777" w:rsidR="00D923FB" w:rsidRPr="007245B0" w:rsidRDefault="00D923FB" w:rsidP="0032219C">
      <w:pPr>
        <w:spacing w:after="0"/>
        <w:ind w:left="1440"/>
        <w:jc w:val="both"/>
        <w:rPr>
          <w:rFonts w:ascii="Times New Roman" w:hAnsi="Times New Roman" w:cs="Times New Roman"/>
          <w:sz w:val="28"/>
          <w:szCs w:val="22"/>
        </w:rPr>
      </w:pPr>
      <w:r w:rsidRPr="007245B0">
        <w:rPr>
          <w:rFonts w:ascii="Times New Roman" w:hAnsi="Times New Roman" w:cs="Times New Roman"/>
          <w:sz w:val="28"/>
          <w:szCs w:val="22"/>
        </w:rPr>
        <w:t>(ii) Distribution of the entire net proceeds on the basis of population; and</w:t>
      </w:r>
    </w:p>
    <w:p w14:paraId="3E524F14" w14:textId="77777777" w:rsidR="00D923FB" w:rsidRPr="007245B0" w:rsidRDefault="00D923FB" w:rsidP="0032219C">
      <w:pPr>
        <w:spacing w:after="0"/>
        <w:ind w:left="1440"/>
        <w:jc w:val="both"/>
        <w:rPr>
          <w:rFonts w:ascii="Times New Roman" w:hAnsi="Times New Roman" w:cs="Times New Roman"/>
          <w:sz w:val="28"/>
          <w:szCs w:val="22"/>
        </w:rPr>
      </w:pPr>
      <w:r w:rsidRPr="007245B0">
        <w:rPr>
          <w:rFonts w:ascii="Times New Roman" w:hAnsi="Times New Roman" w:cs="Times New Roman"/>
          <w:sz w:val="28"/>
          <w:szCs w:val="22"/>
        </w:rPr>
        <w:t>(iii) Distribution of the entire net proceeds on the basis of collection.</w:t>
      </w:r>
    </w:p>
    <w:p w14:paraId="76B08E93" w14:textId="6359C3F7" w:rsidR="00D923FB" w:rsidRPr="007245B0" w:rsidRDefault="00D923FB" w:rsidP="0032219C">
      <w:pPr>
        <w:pStyle w:val="ListParagraph"/>
        <w:numPr>
          <w:ilvl w:val="0"/>
          <w:numId w:val="34"/>
        </w:numPr>
        <w:spacing w:line="300" w:lineRule="exact"/>
        <w:ind w:left="-142" w:firstLine="142"/>
        <w:contextualSpacing w:val="0"/>
        <w:jc w:val="both"/>
        <w:rPr>
          <w:rFonts w:ascii="Times New Roman" w:hAnsi="Times New Roman" w:cs="Times New Roman"/>
          <w:sz w:val="28"/>
          <w:szCs w:val="22"/>
        </w:rPr>
      </w:pPr>
      <w:r w:rsidRPr="007245B0">
        <w:rPr>
          <w:rFonts w:ascii="Times New Roman" w:hAnsi="Times New Roman" w:cs="Times New Roman"/>
          <w:sz w:val="28"/>
          <w:szCs w:val="22"/>
        </w:rPr>
        <w:t xml:space="preserve">The existing principles of distribution were enunciated by the Second Finance Commission, and they were fully endorsed by the subsequent Commissions, with only a minor change in respect of the portion attributable to Union territories. These Commissions were of the view that the levy and collection of the taxes and duties specified in Article 269 of the Constitution had been placed under the Union Government so as to ensure uniformity of taxation and convenience of collection. They considered that although that Article did not rule out any principle of </w:t>
      </w:r>
      <w:r w:rsidRPr="007245B0">
        <w:rPr>
          <w:rFonts w:ascii="Times New Roman" w:hAnsi="Times New Roman" w:cs="Times New Roman"/>
          <w:sz w:val="28"/>
          <w:szCs w:val="22"/>
        </w:rPr>
        <w:lastRenderedPageBreak/>
        <w:t>distribution, the principles to be laid down should be such as to secure for each State, as nearly as possible, the amounts which it would have itself collected if it had the power to levy and collect such tax or duty. The basis of location of the property subject to estate duty was considered by them to be the most appropriate principle of distribution. However, as this basis of location could not be applied to movable property, they felt it necessary to have some general principle of distribution for the part of proceeds of the duty relating to such property; and for this purpose they adopted the basis of population.</w:t>
      </w:r>
    </w:p>
    <w:p w14:paraId="6E5A9536" w14:textId="440C907C" w:rsidR="00D923FB" w:rsidRPr="007245B0" w:rsidRDefault="00D923FB" w:rsidP="0032219C">
      <w:pPr>
        <w:pStyle w:val="ListParagraph"/>
        <w:numPr>
          <w:ilvl w:val="0"/>
          <w:numId w:val="34"/>
        </w:numPr>
        <w:spacing w:line="300" w:lineRule="exact"/>
        <w:ind w:left="-142" w:firstLine="142"/>
        <w:contextualSpacing w:val="0"/>
        <w:jc w:val="both"/>
        <w:rPr>
          <w:rFonts w:ascii="Times New Roman" w:hAnsi="Times New Roman" w:cs="Times New Roman"/>
          <w:sz w:val="28"/>
          <w:szCs w:val="22"/>
        </w:rPr>
      </w:pPr>
      <w:r w:rsidRPr="007245B0">
        <w:rPr>
          <w:rFonts w:ascii="Times New Roman" w:hAnsi="Times New Roman" w:cs="Times New Roman"/>
          <w:sz w:val="28"/>
          <w:szCs w:val="22"/>
        </w:rPr>
        <w:t>We have carefully considered the various suggestions made by the State Governments. We are of opinion that the view taken by the earlier Commissions is reasonable and sound. The proceeds of taxes and duties specified in Article 269 are wholly assigned to the States in which they are levied, unlike the proceeds of income-tax and excise duties which are divisible between the Centre and the States under Articles 270 and 272. It would not, therefore, be appropriate to treat the taxes under Article 269 as part of a common pool of resources to be distributed on a uniform principle, such as relative needs of States. We also think that the factor of location of immovable property cannot be disregarded in distributing the part of the duty relating to such property. Nor can the collection of duty in a State be taken as a general basis to indicate what the State would have realised on such property as it could have taxed if it had the power to do so.</w:t>
      </w:r>
    </w:p>
    <w:p w14:paraId="241B238B" w14:textId="77777777" w:rsidR="00D923FB" w:rsidRPr="007245B0" w:rsidRDefault="00D923FB" w:rsidP="0032219C">
      <w:pPr>
        <w:pStyle w:val="ListParagraph"/>
        <w:numPr>
          <w:ilvl w:val="0"/>
          <w:numId w:val="34"/>
        </w:numPr>
        <w:spacing w:line="300" w:lineRule="exact"/>
        <w:ind w:left="-142" w:firstLine="142"/>
        <w:contextualSpacing w:val="0"/>
        <w:jc w:val="both"/>
        <w:rPr>
          <w:rFonts w:ascii="Times New Roman" w:hAnsi="Times New Roman" w:cs="Times New Roman"/>
          <w:sz w:val="28"/>
          <w:szCs w:val="22"/>
        </w:rPr>
      </w:pPr>
      <w:r w:rsidRPr="007245B0">
        <w:rPr>
          <w:rFonts w:ascii="Times New Roman" w:hAnsi="Times New Roman" w:cs="Times New Roman"/>
          <w:sz w:val="28"/>
          <w:szCs w:val="22"/>
        </w:rPr>
        <w:t>We also considered a suggestion that the </w:t>
      </w:r>
      <w:r w:rsidRPr="0032219C">
        <w:rPr>
          <w:rFonts w:ascii="Times New Roman" w:hAnsi="Times New Roman" w:cs="Times New Roman"/>
          <w:sz w:val="28"/>
          <w:szCs w:val="22"/>
        </w:rPr>
        <w:t>pro rata</w:t>
      </w:r>
      <w:r w:rsidRPr="007245B0">
        <w:rPr>
          <w:rFonts w:ascii="Times New Roman" w:hAnsi="Times New Roman" w:cs="Times New Roman"/>
          <w:sz w:val="28"/>
          <w:szCs w:val="22"/>
        </w:rPr>
        <w:t> share of immovable property in the estate duty assessed under each estate, should be initially apportioned to the States where such property is located. This would take into account the large variations in rates of duty assessed on estates of different sizes, distributed unevenly among the States. We do not, however, think it correct to accept this procedure, as the net proceeds of the duty in any year are not strictly relatable to the particular properties which may be brought into assessment in that year, the amount of duty assessed being payable in instalments over a number of years. The Central Board of Direct Taxes have also pointed out certain practical difficulties in the acceptance of this suggestion.</w:t>
      </w:r>
    </w:p>
    <w:p w14:paraId="402F46C4" w14:textId="77777777" w:rsidR="00D923FB" w:rsidRPr="007245B0" w:rsidRDefault="00D923FB" w:rsidP="0032219C">
      <w:pPr>
        <w:pStyle w:val="ListParagraph"/>
        <w:numPr>
          <w:ilvl w:val="0"/>
          <w:numId w:val="34"/>
        </w:numPr>
        <w:spacing w:line="300" w:lineRule="exact"/>
        <w:ind w:left="-142" w:firstLine="142"/>
        <w:contextualSpacing w:val="0"/>
        <w:jc w:val="both"/>
        <w:rPr>
          <w:rFonts w:ascii="Times New Roman" w:hAnsi="Times New Roman" w:cs="Times New Roman"/>
          <w:sz w:val="28"/>
          <w:szCs w:val="22"/>
        </w:rPr>
      </w:pPr>
      <w:r w:rsidRPr="007245B0">
        <w:rPr>
          <w:rFonts w:ascii="Times New Roman" w:hAnsi="Times New Roman" w:cs="Times New Roman"/>
          <w:sz w:val="28"/>
          <w:szCs w:val="22"/>
        </w:rPr>
        <w:t>In view of the foregoing considerations, we have come to the conclusion that no change is called for in the existing principles governing the distribution of the duty among the States.</w:t>
      </w:r>
    </w:p>
    <w:p w14:paraId="60259706" w14:textId="3336C3EB" w:rsidR="00D923FB" w:rsidRPr="0032219C" w:rsidRDefault="00D923FB" w:rsidP="0032219C">
      <w:pPr>
        <w:pStyle w:val="ListParagraph"/>
        <w:numPr>
          <w:ilvl w:val="0"/>
          <w:numId w:val="34"/>
        </w:numPr>
        <w:spacing w:line="300" w:lineRule="exact"/>
        <w:ind w:left="-142" w:firstLine="142"/>
        <w:contextualSpacing w:val="0"/>
        <w:jc w:val="both"/>
        <w:rPr>
          <w:rFonts w:ascii="Times New Roman" w:hAnsi="Times New Roman" w:cs="Times New Roman"/>
          <w:sz w:val="28"/>
          <w:szCs w:val="22"/>
        </w:rPr>
      </w:pPr>
      <w:r w:rsidRPr="007245B0">
        <w:rPr>
          <w:rFonts w:ascii="Times New Roman" w:hAnsi="Times New Roman" w:cs="Times New Roman"/>
          <w:sz w:val="28"/>
          <w:szCs w:val="22"/>
        </w:rPr>
        <w:t>The principles of distribution to be formulated under clause (2) of Article 269 relate to the distribution of the net proceeds remaining after excluding proceeds attributable to the Union territories. The determination of the proceeds attributable to the Union territories is thus a necessary step preceding the application of the principles of distribution formulated for the purpose of distribution among the States. The Fourth Finance Commission had recommended that a sum equal to two per cent. of the net proceeds be retained by the Union as attributable to the Union territories. Taking into account the population of the Union territories as now constituted following the changes under the Punjab Reorganisation Act, 1966,</w:t>
      </w:r>
      <w:r w:rsidR="0032219C">
        <w:rPr>
          <w:rFonts w:ascii="Times New Roman" w:hAnsi="Times New Roman" w:cs="Times New Roman"/>
          <w:sz w:val="28"/>
          <w:szCs w:val="22"/>
        </w:rPr>
        <w:t xml:space="preserve"> </w:t>
      </w:r>
      <w:r w:rsidRPr="007245B0">
        <w:rPr>
          <w:rFonts w:ascii="Times New Roman" w:hAnsi="Times New Roman" w:cs="Times New Roman"/>
          <w:sz w:val="28"/>
          <w:szCs w:val="22"/>
        </w:rPr>
        <w:t xml:space="preserve">and the gross values of </w:t>
      </w:r>
      <w:r w:rsidRPr="007245B0">
        <w:rPr>
          <w:rFonts w:ascii="Times New Roman" w:hAnsi="Times New Roman" w:cs="Times New Roman"/>
          <w:sz w:val="28"/>
          <w:szCs w:val="22"/>
        </w:rPr>
        <w:lastRenderedPageBreak/>
        <w:t>immovable property located therein and brought into assessment in the five years ending with 1966-67, we consider that a sum equal to three per cent. of the net proceeds should be determined as the proceeds attributable to the Union territories.</w:t>
      </w:r>
    </w:p>
    <w:p w14:paraId="41CCD802" w14:textId="7271BF19" w:rsidR="00D923FB" w:rsidRPr="007245B0" w:rsidRDefault="00D923FB" w:rsidP="0032219C">
      <w:pPr>
        <w:pStyle w:val="ListParagraph"/>
        <w:numPr>
          <w:ilvl w:val="0"/>
          <w:numId w:val="34"/>
        </w:numPr>
        <w:spacing w:line="300" w:lineRule="exact"/>
        <w:ind w:left="-142" w:firstLine="142"/>
        <w:contextualSpacing w:val="0"/>
        <w:jc w:val="both"/>
        <w:rPr>
          <w:rFonts w:ascii="Times New Roman" w:hAnsi="Times New Roman" w:cs="Times New Roman"/>
          <w:sz w:val="28"/>
          <w:szCs w:val="22"/>
        </w:rPr>
      </w:pPr>
      <w:r w:rsidRPr="007245B0">
        <w:rPr>
          <w:rFonts w:ascii="Times New Roman" w:hAnsi="Times New Roman" w:cs="Times New Roman"/>
          <w:sz w:val="28"/>
          <w:szCs w:val="22"/>
        </w:rPr>
        <w:t>Accordingly, we recommend that</w:t>
      </w:r>
      <w:r w:rsidR="0032219C">
        <w:rPr>
          <w:rFonts w:ascii="Times New Roman" w:hAnsi="Times New Roman" w:cs="Times New Roman"/>
          <w:sz w:val="28"/>
          <w:szCs w:val="22"/>
        </w:rPr>
        <w:t>-</w:t>
      </w:r>
    </w:p>
    <w:p w14:paraId="6A8793A0" w14:textId="77777777" w:rsidR="00D923FB" w:rsidRPr="007245B0" w:rsidRDefault="00D923FB" w:rsidP="0032219C">
      <w:pPr>
        <w:spacing w:after="0" w:line="300" w:lineRule="exact"/>
        <w:ind w:left="735"/>
        <w:jc w:val="both"/>
        <w:rPr>
          <w:rFonts w:ascii="Times New Roman" w:hAnsi="Times New Roman" w:cs="Times New Roman"/>
          <w:sz w:val="28"/>
          <w:szCs w:val="22"/>
        </w:rPr>
      </w:pPr>
      <w:r w:rsidRPr="007245B0">
        <w:rPr>
          <w:rFonts w:ascii="Times New Roman" w:hAnsi="Times New Roman" w:cs="Times New Roman"/>
          <w:sz w:val="28"/>
          <w:szCs w:val="22"/>
        </w:rPr>
        <w:t>(1) Out of the net proceeds of the estate duty in each financial year, a sum equal to three per cent. thereof be retained by the Union as being the proceeds attributable to Union territories; and</w:t>
      </w:r>
    </w:p>
    <w:p w14:paraId="6E37453A" w14:textId="12B7B10B" w:rsidR="00D923FB" w:rsidRPr="007245B0" w:rsidRDefault="00D923FB" w:rsidP="0032219C">
      <w:pPr>
        <w:spacing w:after="0" w:line="300" w:lineRule="exact"/>
        <w:ind w:left="735"/>
        <w:jc w:val="both"/>
        <w:rPr>
          <w:rFonts w:ascii="Times New Roman" w:hAnsi="Times New Roman" w:cs="Times New Roman"/>
          <w:sz w:val="28"/>
          <w:szCs w:val="22"/>
        </w:rPr>
      </w:pPr>
      <w:r w:rsidRPr="007245B0">
        <w:rPr>
          <w:rFonts w:ascii="Times New Roman" w:hAnsi="Times New Roman" w:cs="Times New Roman"/>
          <w:sz w:val="28"/>
          <w:szCs w:val="22"/>
        </w:rPr>
        <w:t>(2) The balance of net proceeds be distributed among the States in accordance with the following principles :</w:t>
      </w:r>
      <w:r w:rsidR="0032219C">
        <w:rPr>
          <w:rFonts w:ascii="Times New Roman" w:hAnsi="Times New Roman" w:cs="Times New Roman"/>
          <w:sz w:val="28"/>
          <w:szCs w:val="22"/>
        </w:rPr>
        <w:t>-</w:t>
      </w:r>
    </w:p>
    <w:p w14:paraId="5967B5AF" w14:textId="77777777" w:rsidR="00D923FB" w:rsidRPr="007245B0" w:rsidRDefault="00D923FB" w:rsidP="0032219C">
      <w:pPr>
        <w:spacing w:after="0" w:line="300" w:lineRule="exact"/>
        <w:ind w:left="1440"/>
        <w:jc w:val="both"/>
        <w:rPr>
          <w:rFonts w:ascii="Times New Roman" w:hAnsi="Times New Roman" w:cs="Times New Roman"/>
          <w:sz w:val="28"/>
          <w:szCs w:val="22"/>
        </w:rPr>
      </w:pPr>
      <w:r w:rsidRPr="007245B0">
        <w:rPr>
          <w:rFonts w:ascii="Times New Roman" w:hAnsi="Times New Roman" w:cs="Times New Roman"/>
          <w:sz w:val="28"/>
          <w:szCs w:val="22"/>
        </w:rPr>
        <w:t>(a) Such balance be first apportioned between immovable property and other property in the ratio of the gross value of all such properties brought into assessment in that year;</w:t>
      </w:r>
    </w:p>
    <w:p w14:paraId="7AB1DEE6" w14:textId="77777777" w:rsidR="00D923FB" w:rsidRPr="007245B0" w:rsidRDefault="00D923FB" w:rsidP="0032219C">
      <w:pPr>
        <w:spacing w:after="0" w:line="300" w:lineRule="exact"/>
        <w:ind w:left="1440"/>
        <w:jc w:val="both"/>
        <w:rPr>
          <w:rFonts w:ascii="Times New Roman" w:hAnsi="Times New Roman" w:cs="Times New Roman"/>
          <w:sz w:val="28"/>
          <w:szCs w:val="22"/>
        </w:rPr>
      </w:pPr>
      <w:r w:rsidRPr="007245B0">
        <w:rPr>
          <w:rFonts w:ascii="Times New Roman" w:hAnsi="Times New Roman" w:cs="Times New Roman"/>
          <w:sz w:val="28"/>
          <w:szCs w:val="22"/>
        </w:rPr>
        <w:t>(b) The sum thus apportioned to immovable property be distributed among the States in proportion to the gross value of the immovable property located in each State and brought into assessment in that year; and</w:t>
      </w:r>
    </w:p>
    <w:p w14:paraId="14C12614" w14:textId="77777777" w:rsidR="00D923FB" w:rsidRPr="007245B0" w:rsidRDefault="00D923FB" w:rsidP="0032219C">
      <w:pPr>
        <w:spacing w:after="0" w:line="300" w:lineRule="exact"/>
        <w:ind w:left="1440"/>
        <w:jc w:val="both"/>
        <w:rPr>
          <w:rFonts w:ascii="Times New Roman" w:hAnsi="Times New Roman" w:cs="Times New Roman"/>
          <w:sz w:val="28"/>
          <w:szCs w:val="22"/>
        </w:rPr>
      </w:pPr>
      <w:r w:rsidRPr="007245B0">
        <w:rPr>
          <w:rFonts w:ascii="Times New Roman" w:hAnsi="Times New Roman" w:cs="Times New Roman"/>
          <w:sz w:val="28"/>
          <w:szCs w:val="22"/>
        </w:rPr>
        <w:t>(c) The sum apportioned to property other than immovable property be distributed among the States in proportion to the population of each State.</w:t>
      </w:r>
    </w:p>
    <w:p w14:paraId="50DE7EF1" w14:textId="77777777" w:rsidR="00D923FB" w:rsidRPr="007245B0" w:rsidRDefault="00D923FB" w:rsidP="0032219C">
      <w:pPr>
        <w:pStyle w:val="ListParagraph"/>
        <w:numPr>
          <w:ilvl w:val="0"/>
          <w:numId w:val="34"/>
        </w:numPr>
        <w:spacing w:line="300" w:lineRule="exact"/>
        <w:ind w:left="-142" w:firstLine="142"/>
        <w:contextualSpacing w:val="0"/>
        <w:jc w:val="both"/>
        <w:rPr>
          <w:rFonts w:ascii="Times New Roman" w:hAnsi="Times New Roman" w:cs="Times New Roman"/>
          <w:sz w:val="28"/>
          <w:szCs w:val="22"/>
        </w:rPr>
      </w:pPr>
      <w:r w:rsidRPr="007245B0">
        <w:rPr>
          <w:rFonts w:ascii="Times New Roman" w:hAnsi="Times New Roman" w:cs="Times New Roman"/>
          <w:sz w:val="28"/>
          <w:szCs w:val="22"/>
        </w:rPr>
        <w:t>On the basis of figures of population according to the 1961 Census the percentage shares of the States for the purpose of Clause (2)(c) of para 22 will be as under:—</w:t>
      </w:r>
    </w:p>
    <w:tbl>
      <w:tblPr>
        <w:tblStyle w:val="TableGrid"/>
        <w:tblW w:w="5178" w:type="dxa"/>
        <w:jc w:val="center"/>
        <w:tblLook w:val="04A0" w:firstRow="1" w:lastRow="0" w:firstColumn="1" w:lastColumn="0" w:noHBand="0" w:noVBand="1"/>
      </w:tblPr>
      <w:tblGrid>
        <w:gridCol w:w="3221"/>
        <w:gridCol w:w="1957"/>
      </w:tblGrid>
      <w:tr w:rsidR="00D923FB" w:rsidRPr="0032219C" w14:paraId="748CAA72" w14:textId="77777777" w:rsidTr="0032219C">
        <w:trPr>
          <w:trHeight w:val="20"/>
          <w:jc w:val="center"/>
        </w:trPr>
        <w:tc>
          <w:tcPr>
            <w:tcW w:w="0" w:type="auto"/>
            <w:vAlign w:val="center"/>
            <w:hideMark/>
          </w:tcPr>
          <w:p w14:paraId="02B8CDCE" w14:textId="77777777" w:rsidR="00D923FB" w:rsidRPr="0032219C" w:rsidRDefault="00D923FB" w:rsidP="0032219C">
            <w:pPr>
              <w:pStyle w:val="NoSpacing"/>
              <w:jc w:val="center"/>
              <w:rPr>
                <w:rFonts w:ascii="Times New Roman" w:hAnsi="Times New Roman" w:cs="Times New Roman"/>
                <w:b/>
                <w:bCs/>
                <w:sz w:val="26"/>
                <w:szCs w:val="26"/>
              </w:rPr>
            </w:pPr>
            <w:r w:rsidRPr="0032219C">
              <w:rPr>
                <w:rFonts w:ascii="Times New Roman" w:hAnsi="Times New Roman" w:cs="Times New Roman"/>
                <w:b/>
                <w:bCs/>
                <w:sz w:val="26"/>
                <w:szCs w:val="26"/>
              </w:rPr>
              <w:t>States</w:t>
            </w:r>
          </w:p>
        </w:tc>
        <w:tc>
          <w:tcPr>
            <w:tcW w:w="0" w:type="auto"/>
            <w:vAlign w:val="center"/>
            <w:hideMark/>
          </w:tcPr>
          <w:p w14:paraId="06BBFAAE" w14:textId="77777777" w:rsidR="00D923FB" w:rsidRPr="0032219C" w:rsidRDefault="00D923FB" w:rsidP="0032219C">
            <w:pPr>
              <w:pStyle w:val="NoSpacing"/>
              <w:jc w:val="center"/>
              <w:rPr>
                <w:rFonts w:ascii="Times New Roman" w:hAnsi="Times New Roman" w:cs="Times New Roman"/>
                <w:b/>
                <w:bCs/>
                <w:sz w:val="26"/>
                <w:szCs w:val="26"/>
              </w:rPr>
            </w:pPr>
            <w:r w:rsidRPr="0032219C">
              <w:rPr>
                <w:rFonts w:ascii="Times New Roman" w:hAnsi="Times New Roman" w:cs="Times New Roman"/>
                <w:b/>
                <w:bCs/>
                <w:sz w:val="26"/>
                <w:szCs w:val="26"/>
              </w:rPr>
              <w:t>Percentage</w:t>
            </w:r>
          </w:p>
        </w:tc>
      </w:tr>
      <w:tr w:rsidR="00D923FB" w:rsidRPr="0032219C" w14:paraId="4B98D214" w14:textId="77777777" w:rsidTr="0032219C">
        <w:trPr>
          <w:trHeight w:val="20"/>
          <w:jc w:val="center"/>
        </w:trPr>
        <w:tc>
          <w:tcPr>
            <w:tcW w:w="0" w:type="auto"/>
            <w:vAlign w:val="center"/>
            <w:hideMark/>
          </w:tcPr>
          <w:p w14:paraId="5373C1F4" w14:textId="77777777" w:rsidR="00D923FB" w:rsidRPr="0032219C" w:rsidRDefault="00D923FB" w:rsidP="0032219C">
            <w:pPr>
              <w:pStyle w:val="NoSpacing"/>
              <w:rPr>
                <w:rFonts w:ascii="Times New Roman" w:hAnsi="Times New Roman" w:cs="Times New Roman"/>
                <w:sz w:val="26"/>
                <w:szCs w:val="26"/>
              </w:rPr>
            </w:pPr>
            <w:r w:rsidRPr="0032219C">
              <w:rPr>
                <w:rFonts w:ascii="Times New Roman" w:hAnsi="Times New Roman" w:cs="Times New Roman"/>
                <w:sz w:val="26"/>
                <w:szCs w:val="26"/>
              </w:rPr>
              <w:t>Andhra Pradesh</w:t>
            </w:r>
          </w:p>
        </w:tc>
        <w:tc>
          <w:tcPr>
            <w:tcW w:w="0" w:type="auto"/>
            <w:vAlign w:val="center"/>
            <w:hideMark/>
          </w:tcPr>
          <w:p w14:paraId="1AE48396" w14:textId="77777777" w:rsidR="00D923FB" w:rsidRPr="0032219C" w:rsidRDefault="00D923FB" w:rsidP="0032219C">
            <w:pPr>
              <w:pStyle w:val="NoSpacing"/>
              <w:jc w:val="center"/>
              <w:rPr>
                <w:rFonts w:ascii="Times New Roman" w:hAnsi="Times New Roman" w:cs="Times New Roman"/>
                <w:sz w:val="26"/>
                <w:szCs w:val="26"/>
              </w:rPr>
            </w:pPr>
            <w:r w:rsidRPr="0032219C">
              <w:rPr>
                <w:rFonts w:ascii="Times New Roman" w:hAnsi="Times New Roman" w:cs="Times New Roman"/>
                <w:sz w:val="26"/>
                <w:szCs w:val="26"/>
              </w:rPr>
              <w:t>8.37</w:t>
            </w:r>
          </w:p>
        </w:tc>
      </w:tr>
      <w:tr w:rsidR="00D923FB" w:rsidRPr="0032219C" w14:paraId="639DA7ED" w14:textId="77777777" w:rsidTr="0032219C">
        <w:trPr>
          <w:trHeight w:val="20"/>
          <w:jc w:val="center"/>
        </w:trPr>
        <w:tc>
          <w:tcPr>
            <w:tcW w:w="0" w:type="auto"/>
            <w:vAlign w:val="center"/>
            <w:hideMark/>
          </w:tcPr>
          <w:p w14:paraId="40C03922" w14:textId="77777777" w:rsidR="00D923FB" w:rsidRPr="0032219C" w:rsidRDefault="00D923FB" w:rsidP="0032219C">
            <w:pPr>
              <w:pStyle w:val="NoSpacing"/>
              <w:rPr>
                <w:rFonts w:ascii="Times New Roman" w:hAnsi="Times New Roman" w:cs="Times New Roman"/>
                <w:sz w:val="26"/>
                <w:szCs w:val="26"/>
              </w:rPr>
            </w:pPr>
            <w:r w:rsidRPr="0032219C">
              <w:rPr>
                <w:rFonts w:ascii="Times New Roman" w:hAnsi="Times New Roman" w:cs="Times New Roman"/>
                <w:sz w:val="26"/>
                <w:szCs w:val="26"/>
              </w:rPr>
              <w:t>Assam</w:t>
            </w:r>
          </w:p>
        </w:tc>
        <w:tc>
          <w:tcPr>
            <w:tcW w:w="0" w:type="auto"/>
            <w:vAlign w:val="center"/>
            <w:hideMark/>
          </w:tcPr>
          <w:p w14:paraId="295CAE76" w14:textId="77777777" w:rsidR="00D923FB" w:rsidRPr="0032219C" w:rsidRDefault="00D923FB" w:rsidP="0032219C">
            <w:pPr>
              <w:pStyle w:val="NoSpacing"/>
              <w:jc w:val="center"/>
              <w:rPr>
                <w:rFonts w:ascii="Times New Roman" w:hAnsi="Times New Roman" w:cs="Times New Roman"/>
                <w:sz w:val="26"/>
                <w:szCs w:val="26"/>
              </w:rPr>
            </w:pPr>
            <w:r w:rsidRPr="0032219C">
              <w:rPr>
                <w:rFonts w:ascii="Times New Roman" w:hAnsi="Times New Roman" w:cs="Times New Roman"/>
                <w:sz w:val="26"/>
                <w:szCs w:val="26"/>
              </w:rPr>
              <w:t>2.76</w:t>
            </w:r>
          </w:p>
        </w:tc>
      </w:tr>
      <w:tr w:rsidR="00D923FB" w:rsidRPr="0032219C" w14:paraId="45CF1F7F" w14:textId="77777777" w:rsidTr="0032219C">
        <w:trPr>
          <w:trHeight w:val="20"/>
          <w:jc w:val="center"/>
        </w:trPr>
        <w:tc>
          <w:tcPr>
            <w:tcW w:w="0" w:type="auto"/>
            <w:vAlign w:val="center"/>
            <w:hideMark/>
          </w:tcPr>
          <w:p w14:paraId="32401EBE" w14:textId="77777777" w:rsidR="00D923FB" w:rsidRPr="0032219C" w:rsidRDefault="00D923FB" w:rsidP="0032219C">
            <w:pPr>
              <w:pStyle w:val="NoSpacing"/>
              <w:rPr>
                <w:rFonts w:ascii="Times New Roman" w:hAnsi="Times New Roman" w:cs="Times New Roman"/>
                <w:sz w:val="26"/>
                <w:szCs w:val="26"/>
              </w:rPr>
            </w:pPr>
            <w:r w:rsidRPr="0032219C">
              <w:rPr>
                <w:rFonts w:ascii="Times New Roman" w:hAnsi="Times New Roman" w:cs="Times New Roman"/>
                <w:sz w:val="26"/>
                <w:szCs w:val="26"/>
              </w:rPr>
              <w:t>Bihar</w:t>
            </w:r>
          </w:p>
        </w:tc>
        <w:tc>
          <w:tcPr>
            <w:tcW w:w="0" w:type="auto"/>
            <w:vAlign w:val="center"/>
            <w:hideMark/>
          </w:tcPr>
          <w:p w14:paraId="60E82B39" w14:textId="77777777" w:rsidR="00D923FB" w:rsidRPr="0032219C" w:rsidRDefault="00D923FB" w:rsidP="0032219C">
            <w:pPr>
              <w:pStyle w:val="NoSpacing"/>
              <w:jc w:val="center"/>
              <w:rPr>
                <w:rFonts w:ascii="Times New Roman" w:hAnsi="Times New Roman" w:cs="Times New Roman"/>
                <w:sz w:val="26"/>
                <w:szCs w:val="26"/>
              </w:rPr>
            </w:pPr>
            <w:r w:rsidRPr="0032219C">
              <w:rPr>
                <w:rFonts w:ascii="Times New Roman" w:hAnsi="Times New Roman" w:cs="Times New Roman"/>
                <w:sz w:val="26"/>
                <w:szCs w:val="26"/>
              </w:rPr>
              <w:t>10.80</w:t>
            </w:r>
          </w:p>
        </w:tc>
      </w:tr>
      <w:tr w:rsidR="00D923FB" w:rsidRPr="0032219C" w14:paraId="389288F8" w14:textId="77777777" w:rsidTr="0032219C">
        <w:trPr>
          <w:trHeight w:val="20"/>
          <w:jc w:val="center"/>
        </w:trPr>
        <w:tc>
          <w:tcPr>
            <w:tcW w:w="0" w:type="auto"/>
            <w:vAlign w:val="center"/>
            <w:hideMark/>
          </w:tcPr>
          <w:p w14:paraId="35F8134B" w14:textId="77777777" w:rsidR="00D923FB" w:rsidRPr="0032219C" w:rsidRDefault="00D923FB" w:rsidP="0032219C">
            <w:pPr>
              <w:pStyle w:val="NoSpacing"/>
              <w:rPr>
                <w:rFonts w:ascii="Times New Roman" w:hAnsi="Times New Roman" w:cs="Times New Roman"/>
                <w:sz w:val="26"/>
                <w:szCs w:val="26"/>
              </w:rPr>
            </w:pPr>
            <w:r w:rsidRPr="0032219C">
              <w:rPr>
                <w:rFonts w:ascii="Times New Roman" w:hAnsi="Times New Roman" w:cs="Times New Roman"/>
                <w:sz w:val="26"/>
                <w:szCs w:val="26"/>
              </w:rPr>
              <w:t>Gujarat</w:t>
            </w:r>
          </w:p>
        </w:tc>
        <w:tc>
          <w:tcPr>
            <w:tcW w:w="0" w:type="auto"/>
            <w:vAlign w:val="center"/>
            <w:hideMark/>
          </w:tcPr>
          <w:p w14:paraId="0908FB04" w14:textId="77777777" w:rsidR="00D923FB" w:rsidRPr="0032219C" w:rsidRDefault="00D923FB" w:rsidP="0032219C">
            <w:pPr>
              <w:pStyle w:val="NoSpacing"/>
              <w:jc w:val="center"/>
              <w:rPr>
                <w:rFonts w:ascii="Times New Roman" w:hAnsi="Times New Roman" w:cs="Times New Roman"/>
                <w:sz w:val="26"/>
                <w:szCs w:val="26"/>
              </w:rPr>
            </w:pPr>
            <w:r w:rsidRPr="0032219C">
              <w:rPr>
                <w:rFonts w:ascii="Times New Roman" w:hAnsi="Times New Roman" w:cs="Times New Roman"/>
                <w:sz w:val="26"/>
                <w:szCs w:val="26"/>
              </w:rPr>
              <w:t>4.80</w:t>
            </w:r>
          </w:p>
        </w:tc>
      </w:tr>
      <w:tr w:rsidR="00D923FB" w:rsidRPr="0032219C" w14:paraId="6CE41A87" w14:textId="77777777" w:rsidTr="0032219C">
        <w:trPr>
          <w:trHeight w:val="20"/>
          <w:jc w:val="center"/>
        </w:trPr>
        <w:tc>
          <w:tcPr>
            <w:tcW w:w="0" w:type="auto"/>
            <w:vAlign w:val="center"/>
            <w:hideMark/>
          </w:tcPr>
          <w:p w14:paraId="689D54A1" w14:textId="77777777" w:rsidR="00D923FB" w:rsidRPr="0032219C" w:rsidRDefault="00D923FB" w:rsidP="0032219C">
            <w:pPr>
              <w:pStyle w:val="NoSpacing"/>
              <w:rPr>
                <w:rFonts w:ascii="Times New Roman" w:hAnsi="Times New Roman" w:cs="Times New Roman"/>
                <w:sz w:val="26"/>
                <w:szCs w:val="26"/>
              </w:rPr>
            </w:pPr>
            <w:r w:rsidRPr="0032219C">
              <w:rPr>
                <w:rFonts w:ascii="Times New Roman" w:hAnsi="Times New Roman" w:cs="Times New Roman"/>
                <w:sz w:val="26"/>
                <w:szCs w:val="26"/>
              </w:rPr>
              <w:t>Haryana</w:t>
            </w:r>
          </w:p>
        </w:tc>
        <w:tc>
          <w:tcPr>
            <w:tcW w:w="0" w:type="auto"/>
            <w:vAlign w:val="center"/>
            <w:hideMark/>
          </w:tcPr>
          <w:p w14:paraId="76C489B7" w14:textId="77777777" w:rsidR="00D923FB" w:rsidRPr="0032219C" w:rsidRDefault="00D923FB" w:rsidP="0032219C">
            <w:pPr>
              <w:pStyle w:val="NoSpacing"/>
              <w:jc w:val="center"/>
              <w:rPr>
                <w:rFonts w:ascii="Times New Roman" w:hAnsi="Times New Roman" w:cs="Times New Roman"/>
                <w:sz w:val="26"/>
                <w:szCs w:val="26"/>
              </w:rPr>
            </w:pPr>
            <w:r w:rsidRPr="0032219C">
              <w:rPr>
                <w:rFonts w:ascii="Times New Roman" w:hAnsi="Times New Roman" w:cs="Times New Roman"/>
                <w:sz w:val="26"/>
                <w:szCs w:val="26"/>
              </w:rPr>
              <w:t>1.76</w:t>
            </w:r>
          </w:p>
        </w:tc>
      </w:tr>
      <w:tr w:rsidR="00D923FB" w:rsidRPr="0032219C" w14:paraId="4622D104" w14:textId="77777777" w:rsidTr="0032219C">
        <w:trPr>
          <w:trHeight w:val="20"/>
          <w:jc w:val="center"/>
        </w:trPr>
        <w:tc>
          <w:tcPr>
            <w:tcW w:w="0" w:type="auto"/>
            <w:vAlign w:val="center"/>
            <w:hideMark/>
          </w:tcPr>
          <w:p w14:paraId="05DAA05D" w14:textId="77777777" w:rsidR="00D923FB" w:rsidRPr="0032219C" w:rsidRDefault="00D923FB" w:rsidP="0032219C">
            <w:pPr>
              <w:pStyle w:val="NoSpacing"/>
              <w:rPr>
                <w:rFonts w:ascii="Times New Roman" w:hAnsi="Times New Roman" w:cs="Times New Roman"/>
                <w:sz w:val="26"/>
                <w:szCs w:val="26"/>
              </w:rPr>
            </w:pPr>
            <w:r w:rsidRPr="0032219C">
              <w:rPr>
                <w:rFonts w:ascii="Times New Roman" w:hAnsi="Times New Roman" w:cs="Times New Roman"/>
                <w:sz w:val="26"/>
                <w:szCs w:val="26"/>
              </w:rPr>
              <w:t>Jammu and Kashmir</w:t>
            </w:r>
          </w:p>
        </w:tc>
        <w:tc>
          <w:tcPr>
            <w:tcW w:w="0" w:type="auto"/>
            <w:vAlign w:val="center"/>
            <w:hideMark/>
          </w:tcPr>
          <w:p w14:paraId="2F46B1E1" w14:textId="77777777" w:rsidR="00D923FB" w:rsidRPr="0032219C" w:rsidRDefault="00D923FB" w:rsidP="0032219C">
            <w:pPr>
              <w:pStyle w:val="NoSpacing"/>
              <w:jc w:val="center"/>
              <w:rPr>
                <w:rFonts w:ascii="Times New Roman" w:hAnsi="Times New Roman" w:cs="Times New Roman"/>
                <w:sz w:val="26"/>
                <w:szCs w:val="26"/>
              </w:rPr>
            </w:pPr>
            <w:r w:rsidRPr="0032219C">
              <w:rPr>
                <w:rFonts w:ascii="Times New Roman" w:hAnsi="Times New Roman" w:cs="Times New Roman"/>
                <w:sz w:val="26"/>
                <w:szCs w:val="26"/>
              </w:rPr>
              <w:t>0.83</w:t>
            </w:r>
          </w:p>
        </w:tc>
      </w:tr>
      <w:tr w:rsidR="00D923FB" w:rsidRPr="0032219C" w14:paraId="01C67FCB" w14:textId="77777777" w:rsidTr="0032219C">
        <w:trPr>
          <w:trHeight w:val="20"/>
          <w:jc w:val="center"/>
        </w:trPr>
        <w:tc>
          <w:tcPr>
            <w:tcW w:w="0" w:type="auto"/>
            <w:vAlign w:val="center"/>
            <w:hideMark/>
          </w:tcPr>
          <w:p w14:paraId="40B95CD9" w14:textId="77777777" w:rsidR="00D923FB" w:rsidRPr="0032219C" w:rsidRDefault="00D923FB" w:rsidP="0032219C">
            <w:pPr>
              <w:pStyle w:val="NoSpacing"/>
              <w:rPr>
                <w:rFonts w:ascii="Times New Roman" w:hAnsi="Times New Roman" w:cs="Times New Roman"/>
                <w:sz w:val="26"/>
                <w:szCs w:val="26"/>
              </w:rPr>
            </w:pPr>
            <w:r w:rsidRPr="0032219C">
              <w:rPr>
                <w:rFonts w:ascii="Times New Roman" w:hAnsi="Times New Roman" w:cs="Times New Roman"/>
                <w:sz w:val="26"/>
                <w:szCs w:val="26"/>
              </w:rPr>
              <w:t>Kerala</w:t>
            </w:r>
          </w:p>
        </w:tc>
        <w:tc>
          <w:tcPr>
            <w:tcW w:w="0" w:type="auto"/>
            <w:vAlign w:val="center"/>
            <w:hideMark/>
          </w:tcPr>
          <w:p w14:paraId="222BB4DE" w14:textId="77777777" w:rsidR="00D923FB" w:rsidRPr="0032219C" w:rsidRDefault="00D923FB" w:rsidP="0032219C">
            <w:pPr>
              <w:pStyle w:val="NoSpacing"/>
              <w:jc w:val="center"/>
              <w:rPr>
                <w:rFonts w:ascii="Times New Roman" w:hAnsi="Times New Roman" w:cs="Times New Roman"/>
                <w:sz w:val="26"/>
                <w:szCs w:val="26"/>
              </w:rPr>
            </w:pPr>
            <w:r w:rsidRPr="0032219C">
              <w:rPr>
                <w:rFonts w:ascii="Times New Roman" w:hAnsi="Times New Roman" w:cs="Times New Roman"/>
                <w:sz w:val="26"/>
                <w:szCs w:val="26"/>
              </w:rPr>
              <w:t>3.93</w:t>
            </w:r>
          </w:p>
        </w:tc>
      </w:tr>
      <w:tr w:rsidR="00D923FB" w:rsidRPr="0032219C" w14:paraId="674B3FBE" w14:textId="77777777" w:rsidTr="0032219C">
        <w:trPr>
          <w:trHeight w:val="20"/>
          <w:jc w:val="center"/>
        </w:trPr>
        <w:tc>
          <w:tcPr>
            <w:tcW w:w="0" w:type="auto"/>
            <w:vAlign w:val="center"/>
            <w:hideMark/>
          </w:tcPr>
          <w:p w14:paraId="37214BBD" w14:textId="77777777" w:rsidR="00D923FB" w:rsidRPr="0032219C" w:rsidRDefault="00D923FB" w:rsidP="0032219C">
            <w:pPr>
              <w:pStyle w:val="NoSpacing"/>
              <w:rPr>
                <w:rFonts w:ascii="Times New Roman" w:hAnsi="Times New Roman" w:cs="Times New Roman"/>
                <w:sz w:val="26"/>
                <w:szCs w:val="26"/>
              </w:rPr>
            </w:pPr>
            <w:r w:rsidRPr="0032219C">
              <w:rPr>
                <w:rFonts w:ascii="Times New Roman" w:hAnsi="Times New Roman" w:cs="Times New Roman"/>
                <w:sz w:val="26"/>
                <w:szCs w:val="26"/>
              </w:rPr>
              <w:t>Madhya Pradesh</w:t>
            </w:r>
          </w:p>
        </w:tc>
        <w:tc>
          <w:tcPr>
            <w:tcW w:w="0" w:type="auto"/>
            <w:vAlign w:val="center"/>
            <w:hideMark/>
          </w:tcPr>
          <w:p w14:paraId="136365F6" w14:textId="77777777" w:rsidR="00D923FB" w:rsidRPr="0032219C" w:rsidRDefault="00D923FB" w:rsidP="0032219C">
            <w:pPr>
              <w:pStyle w:val="NoSpacing"/>
              <w:jc w:val="center"/>
              <w:rPr>
                <w:rFonts w:ascii="Times New Roman" w:hAnsi="Times New Roman" w:cs="Times New Roman"/>
                <w:sz w:val="26"/>
                <w:szCs w:val="26"/>
              </w:rPr>
            </w:pPr>
            <w:r w:rsidRPr="0032219C">
              <w:rPr>
                <w:rFonts w:ascii="Times New Roman" w:hAnsi="Times New Roman" w:cs="Times New Roman"/>
                <w:sz w:val="26"/>
                <w:szCs w:val="26"/>
              </w:rPr>
              <w:t>7.53</w:t>
            </w:r>
          </w:p>
        </w:tc>
      </w:tr>
      <w:tr w:rsidR="00D923FB" w:rsidRPr="0032219C" w14:paraId="2EC57F25" w14:textId="77777777" w:rsidTr="0032219C">
        <w:trPr>
          <w:trHeight w:val="20"/>
          <w:jc w:val="center"/>
        </w:trPr>
        <w:tc>
          <w:tcPr>
            <w:tcW w:w="0" w:type="auto"/>
            <w:vAlign w:val="center"/>
            <w:hideMark/>
          </w:tcPr>
          <w:p w14:paraId="4CD950C3" w14:textId="77777777" w:rsidR="00D923FB" w:rsidRPr="0032219C" w:rsidRDefault="00D923FB" w:rsidP="0032219C">
            <w:pPr>
              <w:pStyle w:val="NoSpacing"/>
              <w:rPr>
                <w:rFonts w:ascii="Times New Roman" w:hAnsi="Times New Roman" w:cs="Times New Roman"/>
                <w:sz w:val="26"/>
                <w:szCs w:val="26"/>
              </w:rPr>
            </w:pPr>
            <w:r w:rsidRPr="0032219C">
              <w:rPr>
                <w:rFonts w:ascii="Times New Roman" w:hAnsi="Times New Roman" w:cs="Times New Roman"/>
                <w:sz w:val="26"/>
                <w:szCs w:val="26"/>
              </w:rPr>
              <w:t>Madras</w:t>
            </w:r>
          </w:p>
        </w:tc>
        <w:tc>
          <w:tcPr>
            <w:tcW w:w="0" w:type="auto"/>
            <w:vAlign w:val="center"/>
            <w:hideMark/>
          </w:tcPr>
          <w:p w14:paraId="47FC2287" w14:textId="77777777" w:rsidR="00D923FB" w:rsidRPr="0032219C" w:rsidRDefault="00D923FB" w:rsidP="0032219C">
            <w:pPr>
              <w:pStyle w:val="NoSpacing"/>
              <w:jc w:val="center"/>
              <w:rPr>
                <w:rFonts w:ascii="Times New Roman" w:hAnsi="Times New Roman" w:cs="Times New Roman"/>
                <w:sz w:val="26"/>
                <w:szCs w:val="26"/>
              </w:rPr>
            </w:pPr>
            <w:r w:rsidRPr="0032219C">
              <w:rPr>
                <w:rFonts w:ascii="Times New Roman" w:hAnsi="Times New Roman" w:cs="Times New Roman"/>
                <w:sz w:val="26"/>
                <w:szCs w:val="26"/>
              </w:rPr>
              <w:t>7.83</w:t>
            </w:r>
          </w:p>
        </w:tc>
      </w:tr>
      <w:tr w:rsidR="00D923FB" w:rsidRPr="0032219C" w14:paraId="469EF204" w14:textId="77777777" w:rsidTr="0032219C">
        <w:trPr>
          <w:trHeight w:val="20"/>
          <w:jc w:val="center"/>
        </w:trPr>
        <w:tc>
          <w:tcPr>
            <w:tcW w:w="0" w:type="auto"/>
            <w:vAlign w:val="center"/>
            <w:hideMark/>
          </w:tcPr>
          <w:p w14:paraId="69AB69B5" w14:textId="77777777" w:rsidR="00D923FB" w:rsidRPr="0032219C" w:rsidRDefault="00D923FB" w:rsidP="0032219C">
            <w:pPr>
              <w:pStyle w:val="NoSpacing"/>
              <w:rPr>
                <w:rFonts w:ascii="Times New Roman" w:hAnsi="Times New Roman" w:cs="Times New Roman"/>
                <w:sz w:val="26"/>
                <w:szCs w:val="26"/>
              </w:rPr>
            </w:pPr>
            <w:r w:rsidRPr="0032219C">
              <w:rPr>
                <w:rFonts w:ascii="Times New Roman" w:hAnsi="Times New Roman" w:cs="Times New Roman"/>
                <w:sz w:val="26"/>
                <w:szCs w:val="26"/>
              </w:rPr>
              <w:t>Maharashtra</w:t>
            </w:r>
          </w:p>
        </w:tc>
        <w:tc>
          <w:tcPr>
            <w:tcW w:w="0" w:type="auto"/>
            <w:vAlign w:val="center"/>
            <w:hideMark/>
          </w:tcPr>
          <w:p w14:paraId="70033897" w14:textId="77777777" w:rsidR="00D923FB" w:rsidRPr="0032219C" w:rsidRDefault="00D923FB" w:rsidP="0032219C">
            <w:pPr>
              <w:pStyle w:val="NoSpacing"/>
              <w:jc w:val="center"/>
              <w:rPr>
                <w:rFonts w:ascii="Times New Roman" w:hAnsi="Times New Roman" w:cs="Times New Roman"/>
                <w:sz w:val="26"/>
                <w:szCs w:val="26"/>
              </w:rPr>
            </w:pPr>
            <w:r w:rsidRPr="0032219C">
              <w:rPr>
                <w:rFonts w:ascii="Times New Roman" w:hAnsi="Times New Roman" w:cs="Times New Roman"/>
                <w:sz w:val="26"/>
                <w:szCs w:val="26"/>
              </w:rPr>
              <w:t>9.20</w:t>
            </w:r>
          </w:p>
        </w:tc>
      </w:tr>
      <w:tr w:rsidR="00D923FB" w:rsidRPr="0032219C" w14:paraId="1D79C7BA" w14:textId="77777777" w:rsidTr="0032219C">
        <w:trPr>
          <w:trHeight w:val="20"/>
          <w:jc w:val="center"/>
        </w:trPr>
        <w:tc>
          <w:tcPr>
            <w:tcW w:w="0" w:type="auto"/>
            <w:vAlign w:val="center"/>
            <w:hideMark/>
          </w:tcPr>
          <w:p w14:paraId="5AB7525A" w14:textId="77777777" w:rsidR="00D923FB" w:rsidRPr="0032219C" w:rsidRDefault="00D923FB" w:rsidP="0032219C">
            <w:pPr>
              <w:pStyle w:val="NoSpacing"/>
              <w:rPr>
                <w:rFonts w:ascii="Times New Roman" w:hAnsi="Times New Roman" w:cs="Times New Roman"/>
                <w:sz w:val="26"/>
                <w:szCs w:val="26"/>
              </w:rPr>
            </w:pPr>
            <w:r w:rsidRPr="0032219C">
              <w:rPr>
                <w:rFonts w:ascii="Times New Roman" w:hAnsi="Times New Roman" w:cs="Times New Roman"/>
                <w:sz w:val="26"/>
                <w:szCs w:val="26"/>
              </w:rPr>
              <w:t>Mysore</w:t>
            </w:r>
          </w:p>
        </w:tc>
        <w:tc>
          <w:tcPr>
            <w:tcW w:w="0" w:type="auto"/>
            <w:vAlign w:val="center"/>
            <w:hideMark/>
          </w:tcPr>
          <w:p w14:paraId="45DF2ACD" w14:textId="77777777" w:rsidR="00D923FB" w:rsidRPr="0032219C" w:rsidRDefault="00D923FB" w:rsidP="0032219C">
            <w:pPr>
              <w:pStyle w:val="NoSpacing"/>
              <w:jc w:val="center"/>
              <w:rPr>
                <w:rFonts w:ascii="Times New Roman" w:hAnsi="Times New Roman" w:cs="Times New Roman"/>
                <w:sz w:val="26"/>
                <w:szCs w:val="26"/>
              </w:rPr>
            </w:pPr>
            <w:r w:rsidRPr="0032219C">
              <w:rPr>
                <w:rFonts w:ascii="Times New Roman" w:hAnsi="Times New Roman" w:cs="Times New Roman"/>
                <w:sz w:val="26"/>
                <w:szCs w:val="26"/>
              </w:rPr>
              <w:t>5.48</w:t>
            </w:r>
          </w:p>
        </w:tc>
      </w:tr>
      <w:tr w:rsidR="00D923FB" w:rsidRPr="0032219C" w14:paraId="2B483F19" w14:textId="77777777" w:rsidTr="0032219C">
        <w:trPr>
          <w:trHeight w:val="20"/>
          <w:jc w:val="center"/>
        </w:trPr>
        <w:tc>
          <w:tcPr>
            <w:tcW w:w="0" w:type="auto"/>
            <w:vAlign w:val="center"/>
            <w:hideMark/>
          </w:tcPr>
          <w:p w14:paraId="63EFE876" w14:textId="77777777" w:rsidR="00D923FB" w:rsidRPr="0032219C" w:rsidRDefault="00D923FB" w:rsidP="0032219C">
            <w:pPr>
              <w:pStyle w:val="NoSpacing"/>
              <w:rPr>
                <w:rFonts w:ascii="Times New Roman" w:hAnsi="Times New Roman" w:cs="Times New Roman"/>
                <w:sz w:val="26"/>
                <w:szCs w:val="26"/>
              </w:rPr>
            </w:pPr>
            <w:r w:rsidRPr="0032219C">
              <w:rPr>
                <w:rFonts w:ascii="Times New Roman" w:hAnsi="Times New Roman" w:cs="Times New Roman"/>
                <w:sz w:val="26"/>
                <w:szCs w:val="26"/>
              </w:rPr>
              <w:t>Nagaland</w:t>
            </w:r>
          </w:p>
        </w:tc>
        <w:tc>
          <w:tcPr>
            <w:tcW w:w="0" w:type="auto"/>
            <w:vAlign w:val="center"/>
            <w:hideMark/>
          </w:tcPr>
          <w:p w14:paraId="05B5D20F" w14:textId="77777777" w:rsidR="00D923FB" w:rsidRPr="0032219C" w:rsidRDefault="00D923FB" w:rsidP="0032219C">
            <w:pPr>
              <w:pStyle w:val="NoSpacing"/>
              <w:jc w:val="center"/>
              <w:rPr>
                <w:rFonts w:ascii="Times New Roman" w:hAnsi="Times New Roman" w:cs="Times New Roman"/>
                <w:sz w:val="26"/>
                <w:szCs w:val="26"/>
              </w:rPr>
            </w:pPr>
            <w:r w:rsidRPr="0032219C">
              <w:rPr>
                <w:rFonts w:ascii="Times New Roman" w:hAnsi="Times New Roman" w:cs="Times New Roman"/>
                <w:sz w:val="26"/>
                <w:szCs w:val="26"/>
              </w:rPr>
              <w:t>0.09</w:t>
            </w:r>
          </w:p>
        </w:tc>
      </w:tr>
      <w:tr w:rsidR="00D923FB" w:rsidRPr="0032219C" w14:paraId="512BAA1C" w14:textId="77777777" w:rsidTr="0032219C">
        <w:trPr>
          <w:trHeight w:val="20"/>
          <w:jc w:val="center"/>
        </w:trPr>
        <w:tc>
          <w:tcPr>
            <w:tcW w:w="0" w:type="auto"/>
            <w:vAlign w:val="center"/>
            <w:hideMark/>
          </w:tcPr>
          <w:p w14:paraId="0DA97E06" w14:textId="77777777" w:rsidR="00D923FB" w:rsidRPr="0032219C" w:rsidRDefault="00D923FB" w:rsidP="0032219C">
            <w:pPr>
              <w:pStyle w:val="NoSpacing"/>
              <w:rPr>
                <w:rFonts w:ascii="Times New Roman" w:hAnsi="Times New Roman" w:cs="Times New Roman"/>
                <w:sz w:val="26"/>
                <w:szCs w:val="26"/>
              </w:rPr>
            </w:pPr>
            <w:r w:rsidRPr="0032219C">
              <w:rPr>
                <w:rFonts w:ascii="Times New Roman" w:hAnsi="Times New Roman" w:cs="Times New Roman"/>
                <w:sz w:val="26"/>
                <w:szCs w:val="26"/>
              </w:rPr>
              <w:t>Orissa</w:t>
            </w:r>
          </w:p>
        </w:tc>
        <w:tc>
          <w:tcPr>
            <w:tcW w:w="0" w:type="auto"/>
            <w:vAlign w:val="center"/>
            <w:hideMark/>
          </w:tcPr>
          <w:p w14:paraId="3A545AC9" w14:textId="77777777" w:rsidR="00D923FB" w:rsidRPr="0032219C" w:rsidRDefault="00D923FB" w:rsidP="0032219C">
            <w:pPr>
              <w:pStyle w:val="NoSpacing"/>
              <w:jc w:val="center"/>
              <w:rPr>
                <w:rFonts w:ascii="Times New Roman" w:hAnsi="Times New Roman" w:cs="Times New Roman"/>
                <w:sz w:val="26"/>
                <w:szCs w:val="26"/>
              </w:rPr>
            </w:pPr>
            <w:r w:rsidRPr="0032219C">
              <w:rPr>
                <w:rFonts w:ascii="Times New Roman" w:hAnsi="Times New Roman" w:cs="Times New Roman"/>
                <w:sz w:val="26"/>
                <w:szCs w:val="26"/>
              </w:rPr>
              <w:t>4.08</w:t>
            </w:r>
          </w:p>
        </w:tc>
      </w:tr>
      <w:tr w:rsidR="00D923FB" w:rsidRPr="0032219C" w14:paraId="0BDC4FDF" w14:textId="77777777" w:rsidTr="0032219C">
        <w:trPr>
          <w:trHeight w:val="20"/>
          <w:jc w:val="center"/>
        </w:trPr>
        <w:tc>
          <w:tcPr>
            <w:tcW w:w="0" w:type="auto"/>
            <w:vAlign w:val="center"/>
            <w:hideMark/>
          </w:tcPr>
          <w:p w14:paraId="1329CCE4" w14:textId="77777777" w:rsidR="00D923FB" w:rsidRPr="0032219C" w:rsidRDefault="00D923FB" w:rsidP="0032219C">
            <w:pPr>
              <w:pStyle w:val="NoSpacing"/>
              <w:rPr>
                <w:rFonts w:ascii="Times New Roman" w:hAnsi="Times New Roman" w:cs="Times New Roman"/>
                <w:sz w:val="26"/>
                <w:szCs w:val="26"/>
              </w:rPr>
            </w:pPr>
            <w:r w:rsidRPr="0032219C">
              <w:rPr>
                <w:rFonts w:ascii="Times New Roman" w:hAnsi="Times New Roman" w:cs="Times New Roman"/>
                <w:sz w:val="26"/>
                <w:szCs w:val="26"/>
              </w:rPr>
              <w:t>Punjab</w:t>
            </w:r>
          </w:p>
        </w:tc>
        <w:tc>
          <w:tcPr>
            <w:tcW w:w="0" w:type="auto"/>
            <w:vAlign w:val="center"/>
            <w:hideMark/>
          </w:tcPr>
          <w:p w14:paraId="45A5FCB4" w14:textId="77777777" w:rsidR="00D923FB" w:rsidRPr="0032219C" w:rsidRDefault="00D923FB" w:rsidP="0032219C">
            <w:pPr>
              <w:pStyle w:val="NoSpacing"/>
              <w:jc w:val="center"/>
              <w:rPr>
                <w:rFonts w:ascii="Times New Roman" w:hAnsi="Times New Roman" w:cs="Times New Roman"/>
                <w:sz w:val="26"/>
                <w:szCs w:val="26"/>
              </w:rPr>
            </w:pPr>
            <w:r w:rsidRPr="0032219C">
              <w:rPr>
                <w:rFonts w:ascii="Times New Roman" w:hAnsi="Times New Roman" w:cs="Times New Roman"/>
                <w:sz w:val="26"/>
                <w:szCs w:val="26"/>
              </w:rPr>
              <w:t>2.59</w:t>
            </w:r>
          </w:p>
        </w:tc>
      </w:tr>
      <w:tr w:rsidR="00D923FB" w:rsidRPr="0032219C" w14:paraId="5965F62F" w14:textId="77777777" w:rsidTr="0032219C">
        <w:trPr>
          <w:trHeight w:val="20"/>
          <w:jc w:val="center"/>
        </w:trPr>
        <w:tc>
          <w:tcPr>
            <w:tcW w:w="0" w:type="auto"/>
            <w:vAlign w:val="center"/>
            <w:hideMark/>
          </w:tcPr>
          <w:p w14:paraId="1DF0E69F" w14:textId="77777777" w:rsidR="00D923FB" w:rsidRPr="0032219C" w:rsidRDefault="00D923FB" w:rsidP="0032219C">
            <w:pPr>
              <w:pStyle w:val="NoSpacing"/>
              <w:rPr>
                <w:rFonts w:ascii="Times New Roman" w:hAnsi="Times New Roman" w:cs="Times New Roman"/>
                <w:sz w:val="26"/>
                <w:szCs w:val="26"/>
              </w:rPr>
            </w:pPr>
            <w:r w:rsidRPr="0032219C">
              <w:rPr>
                <w:rFonts w:ascii="Times New Roman" w:hAnsi="Times New Roman" w:cs="Times New Roman"/>
                <w:sz w:val="26"/>
                <w:szCs w:val="26"/>
              </w:rPr>
              <w:t>Rajasthan</w:t>
            </w:r>
          </w:p>
        </w:tc>
        <w:tc>
          <w:tcPr>
            <w:tcW w:w="0" w:type="auto"/>
            <w:vAlign w:val="center"/>
            <w:hideMark/>
          </w:tcPr>
          <w:p w14:paraId="3DCC159D" w14:textId="77777777" w:rsidR="00D923FB" w:rsidRPr="0032219C" w:rsidRDefault="00D923FB" w:rsidP="0032219C">
            <w:pPr>
              <w:pStyle w:val="NoSpacing"/>
              <w:jc w:val="center"/>
              <w:rPr>
                <w:rFonts w:ascii="Times New Roman" w:hAnsi="Times New Roman" w:cs="Times New Roman"/>
                <w:sz w:val="26"/>
                <w:szCs w:val="26"/>
              </w:rPr>
            </w:pPr>
            <w:r w:rsidRPr="0032219C">
              <w:rPr>
                <w:rFonts w:ascii="Times New Roman" w:hAnsi="Times New Roman" w:cs="Times New Roman"/>
                <w:sz w:val="26"/>
                <w:szCs w:val="26"/>
              </w:rPr>
              <w:t>4.68</w:t>
            </w:r>
          </w:p>
        </w:tc>
      </w:tr>
      <w:tr w:rsidR="00D923FB" w:rsidRPr="0032219C" w14:paraId="4FC16558" w14:textId="77777777" w:rsidTr="0032219C">
        <w:trPr>
          <w:trHeight w:val="20"/>
          <w:jc w:val="center"/>
        </w:trPr>
        <w:tc>
          <w:tcPr>
            <w:tcW w:w="0" w:type="auto"/>
            <w:vAlign w:val="center"/>
            <w:hideMark/>
          </w:tcPr>
          <w:p w14:paraId="37A25439" w14:textId="77777777" w:rsidR="00D923FB" w:rsidRPr="0032219C" w:rsidRDefault="00D923FB" w:rsidP="0032219C">
            <w:pPr>
              <w:pStyle w:val="NoSpacing"/>
              <w:rPr>
                <w:rFonts w:ascii="Times New Roman" w:hAnsi="Times New Roman" w:cs="Times New Roman"/>
                <w:sz w:val="26"/>
                <w:szCs w:val="26"/>
              </w:rPr>
            </w:pPr>
            <w:r w:rsidRPr="0032219C">
              <w:rPr>
                <w:rFonts w:ascii="Times New Roman" w:hAnsi="Times New Roman" w:cs="Times New Roman"/>
                <w:sz w:val="26"/>
                <w:szCs w:val="26"/>
              </w:rPr>
              <w:t>Uttar Pradesh</w:t>
            </w:r>
          </w:p>
        </w:tc>
        <w:tc>
          <w:tcPr>
            <w:tcW w:w="0" w:type="auto"/>
            <w:vAlign w:val="center"/>
            <w:hideMark/>
          </w:tcPr>
          <w:p w14:paraId="6985DECE" w14:textId="77777777" w:rsidR="00D923FB" w:rsidRPr="0032219C" w:rsidRDefault="00D923FB" w:rsidP="0032219C">
            <w:pPr>
              <w:pStyle w:val="NoSpacing"/>
              <w:jc w:val="center"/>
              <w:rPr>
                <w:rFonts w:ascii="Times New Roman" w:hAnsi="Times New Roman" w:cs="Times New Roman"/>
                <w:sz w:val="26"/>
                <w:szCs w:val="26"/>
              </w:rPr>
            </w:pPr>
            <w:r w:rsidRPr="0032219C">
              <w:rPr>
                <w:rFonts w:ascii="Times New Roman" w:hAnsi="Times New Roman" w:cs="Times New Roman"/>
                <w:sz w:val="26"/>
                <w:szCs w:val="26"/>
              </w:rPr>
              <w:t>17.15</w:t>
            </w:r>
          </w:p>
        </w:tc>
      </w:tr>
      <w:tr w:rsidR="00D923FB" w:rsidRPr="0032219C" w14:paraId="410A1F07" w14:textId="77777777" w:rsidTr="0032219C">
        <w:trPr>
          <w:trHeight w:val="20"/>
          <w:jc w:val="center"/>
        </w:trPr>
        <w:tc>
          <w:tcPr>
            <w:tcW w:w="0" w:type="auto"/>
            <w:vAlign w:val="center"/>
            <w:hideMark/>
          </w:tcPr>
          <w:p w14:paraId="4959B902" w14:textId="77777777" w:rsidR="00D923FB" w:rsidRPr="0032219C" w:rsidRDefault="00D923FB" w:rsidP="0032219C">
            <w:pPr>
              <w:pStyle w:val="NoSpacing"/>
              <w:rPr>
                <w:rFonts w:ascii="Times New Roman" w:hAnsi="Times New Roman" w:cs="Times New Roman"/>
                <w:sz w:val="26"/>
                <w:szCs w:val="26"/>
              </w:rPr>
            </w:pPr>
            <w:r w:rsidRPr="0032219C">
              <w:rPr>
                <w:rFonts w:ascii="Times New Roman" w:hAnsi="Times New Roman" w:cs="Times New Roman"/>
                <w:sz w:val="26"/>
                <w:szCs w:val="26"/>
              </w:rPr>
              <w:t>West Bengal</w:t>
            </w:r>
          </w:p>
        </w:tc>
        <w:tc>
          <w:tcPr>
            <w:tcW w:w="0" w:type="auto"/>
            <w:vAlign w:val="center"/>
            <w:hideMark/>
          </w:tcPr>
          <w:p w14:paraId="121B6BFA" w14:textId="77777777" w:rsidR="00D923FB" w:rsidRPr="0032219C" w:rsidRDefault="00D923FB" w:rsidP="0032219C">
            <w:pPr>
              <w:pStyle w:val="NoSpacing"/>
              <w:jc w:val="center"/>
              <w:rPr>
                <w:rFonts w:ascii="Times New Roman" w:hAnsi="Times New Roman" w:cs="Times New Roman"/>
                <w:sz w:val="26"/>
                <w:szCs w:val="26"/>
              </w:rPr>
            </w:pPr>
            <w:r w:rsidRPr="0032219C">
              <w:rPr>
                <w:rFonts w:ascii="Times New Roman" w:hAnsi="Times New Roman" w:cs="Times New Roman"/>
                <w:sz w:val="26"/>
                <w:szCs w:val="26"/>
              </w:rPr>
              <w:t>8.12</w:t>
            </w:r>
          </w:p>
        </w:tc>
      </w:tr>
      <w:tr w:rsidR="00D923FB" w:rsidRPr="0032219C" w14:paraId="68B9A4E2" w14:textId="77777777" w:rsidTr="0032219C">
        <w:trPr>
          <w:trHeight w:val="20"/>
          <w:jc w:val="center"/>
        </w:trPr>
        <w:tc>
          <w:tcPr>
            <w:tcW w:w="0" w:type="auto"/>
            <w:vAlign w:val="center"/>
            <w:hideMark/>
          </w:tcPr>
          <w:p w14:paraId="3C5514C7" w14:textId="77777777" w:rsidR="00D923FB" w:rsidRPr="0032219C" w:rsidRDefault="00D923FB" w:rsidP="0032219C">
            <w:pPr>
              <w:pStyle w:val="NoSpacing"/>
              <w:rPr>
                <w:rFonts w:ascii="Times New Roman" w:hAnsi="Times New Roman" w:cs="Times New Roman"/>
                <w:sz w:val="26"/>
                <w:szCs w:val="26"/>
              </w:rPr>
            </w:pPr>
            <w:r w:rsidRPr="0032219C">
              <w:rPr>
                <w:rFonts w:ascii="Times New Roman" w:hAnsi="Times New Roman" w:cs="Times New Roman"/>
                <w:sz w:val="26"/>
                <w:szCs w:val="26"/>
              </w:rPr>
              <w:t>TOTAL</w:t>
            </w:r>
          </w:p>
        </w:tc>
        <w:tc>
          <w:tcPr>
            <w:tcW w:w="0" w:type="auto"/>
            <w:vAlign w:val="center"/>
            <w:hideMark/>
          </w:tcPr>
          <w:p w14:paraId="270AE9D7" w14:textId="77777777" w:rsidR="00D923FB" w:rsidRPr="0032219C" w:rsidRDefault="00D923FB" w:rsidP="0032219C">
            <w:pPr>
              <w:pStyle w:val="NoSpacing"/>
              <w:jc w:val="center"/>
              <w:rPr>
                <w:rFonts w:ascii="Times New Roman" w:hAnsi="Times New Roman" w:cs="Times New Roman"/>
                <w:sz w:val="26"/>
                <w:szCs w:val="26"/>
              </w:rPr>
            </w:pPr>
            <w:r w:rsidRPr="0032219C">
              <w:rPr>
                <w:rFonts w:ascii="Times New Roman" w:hAnsi="Times New Roman" w:cs="Times New Roman"/>
                <w:sz w:val="26"/>
                <w:szCs w:val="26"/>
              </w:rPr>
              <w:t>100.00</w:t>
            </w:r>
          </w:p>
        </w:tc>
      </w:tr>
    </w:tbl>
    <w:p w14:paraId="490741F0" w14:textId="33A9E52A" w:rsidR="00D923FB" w:rsidRPr="007245B0" w:rsidRDefault="0032219C" w:rsidP="0032219C">
      <w:pPr>
        <w:pStyle w:val="Heading1"/>
      </w:pPr>
      <w:r>
        <w:lastRenderedPageBreak/>
        <w:br/>
      </w:r>
      <w:bookmarkStart w:id="242" w:name="_Toc220949751"/>
      <w:bookmarkStart w:id="243" w:name="_Toc221115376"/>
      <w:r w:rsidR="00D923FB" w:rsidRPr="007245B0">
        <w:t>UNAUTHORISED OVERDRAFTS</w:t>
      </w:r>
      <w:bookmarkEnd w:id="242"/>
      <w:bookmarkEnd w:id="243"/>
    </w:p>
    <w:p w14:paraId="36796E07" w14:textId="77777777" w:rsidR="00D923FB" w:rsidRPr="0032219C" w:rsidRDefault="00D923FB" w:rsidP="0032219C">
      <w:pPr>
        <w:pStyle w:val="ListParagraph"/>
        <w:numPr>
          <w:ilvl w:val="0"/>
          <w:numId w:val="34"/>
        </w:numPr>
        <w:spacing w:line="300" w:lineRule="exact"/>
        <w:ind w:left="-142" w:firstLine="142"/>
        <w:contextualSpacing w:val="0"/>
        <w:jc w:val="both"/>
        <w:rPr>
          <w:rFonts w:ascii="Times New Roman" w:hAnsi="Times New Roman" w:cs="Times New Roman"/>
          <w:sz w:val="32"/>
          <w:szCs w:val="24"/>
        </w:rPr>
      </w:pPr>
      <w:r w:rsidRPr="0032219C">
        <w:rPr>
          <w:rFonts w:ascii="Times New Roman" w:hAnsi="Times New Roman" w:cs="Times New Roman"/>
          <w:sz w:val="28"/>
          <w:szCs w:val="22"/>
        </w:rPr>
        <w:t>Paragraph 4(j) of the Order of the President requires us to make recommendations regarding the problem of unauthorised overdrafts of certain States with the Reserve Bank of India and the procedure to be observed for avoiding such overdrafts.</w:t>
      </w:r>
    </w:p>
    <w:p w14:paraId="6B7ED436" w14:textId="77777777" w:rsidR="00D923FB" w:rsidRPr="0032219C" w:rsidRDefault="00D923FB" w:rsidP="0032219C">
      <w:pPr>
        <w:rPr>
          <w:rFonts w:ascii="Times New Roman" w:hAnsi="Times New Roman" w:cs="Times New Roman"/>
          <w:sz w:val="28"/>
          <w:szCs w:val="28"/>
        </w:rPr>
      </w:pPr>
      <w:r w:rsidRPr="0032219C">
        <w:rPr>
          <w:rFonts w:ascii="Times New Roman" w:hAnsi="Times New Roman" w:cs="Times New Roman"/>
          <w:b/>
          <w:bCs/>
          <w:sz w:val="28"/>
          <w:szCs w:val="28"/>
        </w:rPr>
        <w:t>Nature and magnitude of the problem</w:t>
      </w:r>
    </w:p>
    <w:p w14:paraId="7BA01B5E" w14:textId="555C7374" w:rsidR="00D923FB" w:rsidRPr="0032219C" w:rsidRDefault="00D923FB" w:rsidP="0032219C">
      <w:pPr>
        <w:pStyle w:val="ListParagraph"/>
        <w:numPr>
          <w:ilvl w:val="0"/>
          <w:numId w:val="34"/>
        </w:numPr>
        <w:spacing w:line="300" w:lineRule="exact"/>
        <w:ind w:left="-142" w:firstLine="142"/>
        <w:contextualSpacing w:val="0"/>
        <w:jc w:val="both"/>
        <w:rPr>
          <w:rFonts w:ascii="Times New Roman" w:hAnsi="Times New Roman" w:cs="Times New Roman"/>
          <w:sz w:val="28"/>
          <w:szCs w:val="22"/>
        </w:rPr>
      </w:pPr>
      <w:r w:rsidRPr="0032219C">
        <w:rPr>
          <w:rFonts w:ascii="Times New Roman" w:hAnsi="Times New Roman" w:cs="Times New Roman"/>
          <w:sz w:val="28"/>
          <w:szCs w:val="22"/>
        </w:rPr>
        <w:t>We shall first set out the present arrangements between the State Governments and the Reserve Bank of India and indicate how unauthorised overdrafts arise. All the States except Jammu and Kashmir have entered into agreements with the Bank under Section 21-A of the Reserve Bank of India Act to enable it to handle their monetary transactions. Section 17(5) of the Act provides that the Reserve Bank may make advances to State Governments repayable in each case not later than three months from the date of the advance. The limits of such advances are specified in the letters exchanged in pursuance of the agreements. Upto 1953, the limits laid down were equal to the minimum cash balances that the State Governments were required to maintain with the Reserve Bank, and since then they have been fixed as a multiple of such balances. Besides the normal ways and means advances for which no cover is necessary, the Reserve Bank gives special advances to the State Governments against Central Government securities. Table 1 gives the position regarding the limits as obtaining since the 1</w:t>
      </w:r>
      <w:r w:rsidRPr="0032219C">
        <w:rPr>
          <w:rFonts w:ascii="Times New Roman" w:hAnsi="Times New Roman" w:cs="Times New Roman"/>
          <w:sz w:val="28"/>
          <w:szCs w:val="22"/>
          <w:vertAlign w:val="superscript"/>
        </w:rPr>
        <w:t>st</w:t>
      </w:r>
      <w:r w:rsidR="0032219C">
        <w:rPr>
          <w:rFonts w:ascii="Times New Roman" w:hAnsi="Times New Roman" w:cs="Times New Roman"/>
          <w:sz w:val="28"/>
          <w:szCs w:val="22"/>
        </w:rPr>
        <w:t xml:space="preserve"> </w:t>
      </w:r>
      <w:r w:rsidRPr="0032219C">
        <w:rPr>
          <w:rFonts w:ascii="Times New Roman" w:hAnsi="Times New Roman" w:cs="Times New Roman"/>
          <w:sz w:val="28"/>
          <w:szCs w:val="22"/>
        </w:rPr>
        <w:t>March, 1967, under which the States can obtain normal ways and means advances upto Rs. 18.75 crores in all and special advances of a further amount of Rs. 37.5 crores. The Reserve Bank also sanctioned additional ad hoc limits for secured advances. Such limits as on the 10</w:t>
      </w:r>
      <w:r w:rsidRPr="0032219C">
        <w:rPr>
          <w:rFonts w:ascii="Times New Roman" w:hAnsi="Times New Roman" w:cs="Times New Roman"/>
          <w:sz w:val="28"/>
          <w:szCs w:val="22"/>
          <w:vertAlign w:val="superscript"/>
        </w:rPr>
        <w:t>th</w:t>
      </w:r>
      <w:r w:rsidR="0032219C">
        <w:rPr>
          <w:rFonts w:ascii="Times New Roman" w:hAnsi="Times New Roman" w:cs="Times New Roman"/>
          <w:sz w:val="28"/>
          <w:szCs w:val="22"/>
        </w:rPr>
        <w:t xml:space="preserve"> </w:t>
      </w:r>
      <w:r w:rsidRPr="0032219C">
        <w:rPr>
          <w:rFonts w:ascii="Times New Roman" w:hAnsi="Times New Roman" w:cs="Times New Roman"/>
          <w:sz w:val="28"/>
          <w:szCs w:val="22"/>
        </w:rPr>
        <w:t>August, 1968 stood at Rs. 12.7 crores. "Unauthorised overdrafts" arise either because the limits agreed to between the States and the Reserve Bank are exceeded or because the overdrafts are not repaid within the period of three months.</w:t>
      </w:r>
    </w:p>
    <w:p w14:paraId="4846D9D0" w14:textId="3074D739" w:rsidR="00D923FB" w:rsidRPr="0032219C" w:rsidRDefault="00D923FB" w:rsidP="0032219C">
      <w:pPr>
        <w:pStyle w:val="ListParagraph"/>
        <w:numPr>
          <w:ilvl w:val="0"/>
          <w:numId w:val="34"/>
        </w:numPr>
        <w:spacing w:line="300" w:lineRule="exact"/>
        <w:ind w:left="-142" w:firstLine="142"/>
        <w:contextualSpacing w:val="0"/>
        <w:jc w:val="both"/>
        <w:rPr>
          <w:rFonts w:ascii="Times New Roman" w:hAnsi="Times New Roman" w:cs="Times New Roman"/>
          <w:sz w:val="28"/>
          <w:szCs w:val="22"/>
        </w:rPr>
      </w:pPr>
      <w:r w:rsidRPr="0032219C">
        <w:rPr>
          <w:rFonts w:ascii="Times New Roman" w:hAnsi="Times New Roman" w:cs="Times New Roman"/>
          <w:sz w:val="28"/>
          <w:szCs w:val="22"/>
        </w:rPr>
        <w:t xml:space="preserve">The monetary transactions of State Governments go on simultaneously at over 2,000 treasuries, sub-treasuries and banks. Owing to this large number of places it is not possible for the Bank to ensure beforehand that payments on behalf of a State Government do not exceed the balance held by it by more than the limit specifically agreed to. The Government transactions </w:t>
      </w:r>
      <w:r w:rsidR="00A36232" w:rsidRPr="0032219C">
        <w:rPr>
          <w:rFonts w:ascii="Times New Roman" w:hAnsi="Times New Roman" w:cs="Times New Roman"/>
          <w:sz w:val="28"/>
          <w:szCs w:val="22"/>
        </w:rPr>
        <w:t>occurring</w:t>
      </w:r>
      <w:r w:rsidRPr="0032219C">
        <w:rPr>
          <w:rFonts w:ascii="Times New Roman" w:hAnsi="Times New Roman" w:cs="Times New Roman"/>
          <w:sz w:val="28"/>
          <w:szCs w:val="22"/>
        </w:rPr>
        <w:t xml:space="preserve"> at all such places are allowed to proceed without any reference to the actual position of a State Government's cash balance, the accounts of which are maintained only at the Central Accounts Section of the Reserve Bank. The agency Banks transfer the net amount of debit or credit to the State's cash balance account every day. The non-Banking treasuries have separate balances belonging to the State Governments outside the cash balances maintained with the Reserve Bank. Such treasuries are permitted to draw on currency chests kept with them by the Reserve Bank as a resource for making payments whenever the State's own balance at the treasury gets depleted, as well as to deposit surplus receipts </w:t>
      </w:r>
      <w:r w:rsidRPr="0032219C">
        <w:rPr>
          <w:rFonts w:ascii="Times New Roman" w:hAnsi="Times New Roman" w:cs="Times New Roman"/>
          <w:sz w:val="28"/>
          <w:szCs w:val="22"/>
        </w:rPr>
        <w:lastRenderedPageBreak/>
        <w:t>in the currency chests from time to time. The net transfers of funds to or from the currency chests are taken to the credit or debit of the cash balances of the States. When on the compilation of accounts each day it is found that the debit against a State Government exceeds the limit of the ways and means advance, an unauthorised overdraft results. This happens unobtrusively and the Reserve Bank comes to know of it only after the event. At that point the agreement entered into by the State Government under the Reserve Bank of India Act is contravened. Further, in view of the fact that all the State Governments are indebted to the Centre, there is also a contravention of Article 293(3) of the Constitution, which provides that a State Government may not, except with the consent of the Government of India, raise any loan if there is outstanding any part of a loan to the State by the Government of India or a loan guaranteed by it. When the fact of an unauthorised overdraft comes to the knowledge of the Reserve Bank, it issues a notice to the State to make arrangements to clear the overdraft within three weeks with a warning that in case of default the Bank will consider itself free to stop payments without any further notice. Some State Governments have taken these notices seriously and have complied with their requirements, mostly with the help of the Central Government. Others have just ignored them. Where the overdraft is not cleared, it is open to the Reserve Bank to refuse to honour any further cheques of the State Government. It is, perhaps, incumbent on it to do so, as a body constituted for securing monetary stability. The Reserve Bank has, however, desisted from this course in the past, in view of the extremely adverse effect that such action may have on the credit and financial stability of the State Government with all its serious implications including the possible emergence of a situation envisaged in Article 360 of the Constitution. To avert such a crisis, the Central Government has been giving ad hoc loans or other form of assistance to the State Governments to enable them to clear their unauthorised overdrafts before the end of the year.</w:t>
      </w:r>
    </w:p>
    <w:p w14:paraId="774784A0" w14:textId="79C016F3" w:rsidR="00D923FB" w:rsidRPr="0032219C" w:rsidRDefault="00D923FB" w:rsidP="0032219C">
      <w:pPr>
        <w:pStyle w:val="ListParagraph"/>
        <w:numPr>
          <w:ilvl w:val="0"/>
          <w:numId w:val="34"/>
        </w:numPr>
        <w:spacing w:line="300" w:lineRule="exact"/>
        <w:ind w:left="-142" w:firstLine="142"/>
        <w:contextualSpacing w:val="0"/>
        <w:jc w:val="both"/>
        <w:rPr>
          <w:rFonts w:ascii="Times New Roman" w:hAnsi="Times New Roman" w:cs="Times New Roman"/>
          <w:sz w:val="28"/>
          <w:szCs w:val="22"/>
        </w:rPr>
      </w:pPr>
      <w:r w:rsidRPr="0032219C">
        <w:rPr>
          <w:rFonts w:ascii="Times New Roman" w:hAnsi="Times New Roman" w:cs="Times New Roman"/>
          <w:sz w:val="28"/>
          <w:szCs w:val="22"/>
        </w:rPr>
        <w:t>The prevalance and magnitude of these overdrafts have become serious in recent years. Upto about 1950, the State Governments were able to manage their financial transactions within the specified limits of their ways and means advances. The first overdraft of an appreciable size arose in that year. In April, 1953, in order to meet the increasing requirements of the States, the Reserve Bank increased the limits of ways and means advances for all the States from Rs. 1.85 crores to Rs. 7.88 crores in all. Special ways and means advances of Rs. 2 crores for each State were also permitted against Government of India securities. In spite of these increased limits, the Government of India had to provide during the Second Plan period ad hoc loan assistance aggregating to Rs. 128 crores to seven State Governments to clear their unauthorised overdrafts. Eleven States had to be given such assistance amounting to Rs. 286 crores during the Third Plan period. The problem has become even more serious since the end of the Third Plan period. During 1966-67, the Central Government had to sanction ad hoc loans amounting</w:t>
      </w:r>
      <w:r w:rsidR="00286730" w:rsidRPr="0032219C">
        <w:rPr>
          <w:rFonts w:ascii="Times New Roman" w:hAnsi="Times New Roman" w:cs="Times New Roman"/>
          <w:sz w:val="28"/>
          <w:szCs w:val="22"/>
        </w:rPr>
        <w:t xml:space="preserve"> </w:t>
      </w:r>
      <w:r w:rsidRPr="0032219C">
        <w:rPr>
          <w:rFonts w:ascii="Times New Roman" w:hAnsi="Times New Roman" w:cs="Times New Roman"/>
          <w:sz w:val="28"/>
          <w:szCs w:val="22"/>
        </w:rPr>
        <w:t xml:space="preserve">to Rs. 149 crores. Although there was a further upward revision in the limits of ways and means advances in March, </w:t>
      </w:r>
      <w:r w:rsidRPr="0032219C">
        <w:rPr>
          <w:rFonts w:ascii="Times New Roman" w:hAnsi="Times New Roman" w:cs="Times New Roman"/>
          <w:sz w:val="28"/>
          <w:szCs w:val="22"/>
        </w:rPr>
        <w:lastRenderedPageBreak/>
        <w:t>1967, ad hoc loans amounting to Rs. 128 crores had to be given during 1967-68 (vide Table 2).</w:t>
      </w:r>
    </w:p>
    <w:p w14:paraId="0DB7D8FA" w14:textId="77777777" w:rsidR="00D923FB" w:rsidRPr="0032219C" w:rsidRDefault="00D923FB" w:rsidP="0032219C">
      <w:pPr>
        <w:pStyle w:val="ListParagraph"/>
        <w:numPr>
          <w:ilvl w:val="0"/>
          <w:numId w:val="34"/>
        </w:numPr>
        <w:spacing w:line="300" w:lineRule="exact"/>
        <w:ind w:left="-142" w:firstLine="142"/>
        <w:contextualSpacing w:val="0"/>
        <w:jc w:val="both"/>
        <w:rPr>
          <w:rFonts w:ascii="Times New Roman" w:hAnsi="Times New Roman" w:cs="Times New Roman"/>
          <w:sz w:val="28"/>
          <w:szCs w:val="22"/>
        </w:rPr>
      </w:pPr>
      <w:r w:rsidRPr="0032219C">
        <w:rPr>
          <w:rFonts w:ascii="Times New Roman" w:hAnsi="Times New Roman" w:cs="Times New Roman"/>
          <w:sz w:val="28"/>
          <w:szCs w:val="22"/>
        </w:rPr>
        <w:t>Of the seventeen States, six or seven States have been having persistent unauthorised overdrafts. As ranked by the per capita incomes of their inhabitants, such States were not those with the lowest ranks. Some of the less prosperous States did not get into unauthorised overdrafts while some relatively better-off States had done so.</w:t>
      </w:r>
    </w:p>
    <w:p w14:paraId="610BA332" w14:textId="77777777" w:rsidR="00D923FB" w:rsidRPr="00A83649" w:rsidRDefault="00D923FB" w:rsidP="00A83649">
      <w:pPr>
        <w:rPr>
          <w:rFonts w:ascii="Times New Roman" w:hAnsi="Times New Roman" w:cs="Times New Roman"/>
          <w:b/>
          <w:bCs/>
          <w:sz w:val="28"/>
          <w:szCs w:val="28"/>
        </w:rPr>
      </w:pPr>
      <w:r w:rsidRPr="00A83649">
        <w:rPr>
          <w:rFonts w:ascii="Times New Roman" w:hAnsi="Times New Roman" w:cs="Times New Roman"/>
          <w:b/>
          <w:bCs/>
          <w:sz w:val="28"/>
          <w:szCs w:val="28"/>
        </w:rPr>
        <w:t>Consequences</w:t>
      </w:r>
    </w:p>
    <w:p w14:paraId="16808DBB" w14:textId="77777777" w:rsidR="00D923FB" w:rsidRPr="00A83649" w:rsidRDefault="00D923FB" w:rsidP="00A83649">
      <w:pPr>
        <w:pStyle w:val="ListParagraph"/>
        <w:numPr>
          <w:ilvl w:val="0"/>
          <w:numId w:val="34"/>
        </w:numPr>
        <w:spacing w:line="300" w:lineRule="exact"/>
        <w:ind w:left="-142" w:firstLine="142"/>
        <w:contextualSpacing w:val="0"/>
        <w:jc w:val="both"/>
        <w:rPr>
          <w:rFonts w:ascii="Times New Roman" w:hAnsi="Times New Roman" w:cs="Times New Roman"/>
          <w:sz w:val="28"/>
          <w:szCs w:val="22"/>
        </w:rPr>
      </w:pPr>
      <w:r w:rsidRPr="00A83649">
        <w:rPr>
          <w:rFonts w:ascii="Times New Roman" w:hAnsi="Times New Roman" w:cs="Times New Roman"/>
          <w:sz w:val="28"/>
          <w:szCs w:val="22"/>
        </w:rPr>
        <w:t>The persistence and large size of unauthorised overdrafts are a matter of very serious concern. Apart from the contravention of Article 293(3) of the Constitution and the agreements entered into under Section 21-A of the Reserve Bank of India Act, the occurrence of such overdrafts and their practically automatic clearance by the Centre through ad hoc loans have grave effects on the national economy. In all federations, it is the sole responsibility of the Central Government to take decisions regarding the need for and the extent of deficit financing in the context of overall economic considerations. No country with a unified currency system can afford to have more than one independent authority taking measures which result in increase of money supply. Unauthorised overdrafts violate this fundamental principle of sound monetary management. The benefits of this violation go to a few States which draw on the national resources at their own will without any scrutiny of their needs at the national level, while the burdens are borne by all, including the States which are less prosperous. There is a serious danger that the example of having recourse to such unauthorised overdrafts by certain States, followed by their almost routine clearance by the Centre, may prove infectious. The States which have avoided such overdrafts by prudent fiscal management are very critical of this practice. They strongly represented to us that this extremely undesirable state of affairs should be immediately ended.</w:t>
      </w:r>
    </w:p>
    <w:p w14:paraId="5CCA0D3B" w14:textId="77777777" w:rsidR="00D923FB" w:rsidRPr="00A83649" w:rsidRDefault="00D923FB" w:rsidP="00A83649">
      <w:pPr>
        <w:pStyle w:val="ListParagraph"/>
        <w:numPr>
          <w:ilvl w:val="0"/>
          <w:numId w:val="34"/>
        </w:numPr>
        <w:spacing w:line="300" w:lineRule="exact"/>
        <w:ind w:left="-142" w:firstLine="142"/>
        <w:contextualSpacing w:val="0"/>
        <w:jc w:val="both"/>
        <w:rPr>
          <w:rFonts w:ascii="Times New Roman" w:hAnsi="Times New Roman" w:cs="Times New Roman"/>
          <w:sz w:val="28"/>
          <w:szCs w:val="22"/>
        </w:rPr>
      </w:pPr>
      <w:r w:rsidRPr="00A83649">
        <w:rPr>
          <w:rFonts w:ascii="Times New Roman" w:hAnsi="Times New Roman" w:cs="Times New Roman"/>
          <w:sz w:val="28"/>
          <w:szCs w:val="22"/>
        </w:rPr>
        <w:t>In our discussions with the State Governments we found that all of them, including those which had got into unauthorised overdrafts, were agreed that such overdrafts are untenable in principle and undesirable in practice and that there is an urgent need of stopping them. There is thus general unanimity that the practice of unauthorised overdrafts is harmful and undesirable, and that effective measures should be taken to put an end to it in the interest of national economy. The Commission agrees with this view.</w:t>
      </w:r>
    </w:p>
    <w:p w14:paraId="4E6A8984" w14:textId="77777777" w:rsidR="00D923FB" w:rsidRPr="00A83649" w:rsidRDefault="00D923FB" w:rsidP="00A83649">
      <w:pPr>
        <w:rPr>
          <w:rFonts w:ascii="Times New Roman" w:hAnsi="Times New Roman" w:cs="Times New Roman"/>
          <w:b/>
          <w:bCs/>
          <w:sz w:val="28"/>
          <w:szCs w:val="28"/>
        </w:rPr>
      </w:pPr>
      <w:r w:rsidRPr="00A83649">
        <w:rPr>
          <w:rFonts w:ascii="Times New Roman" w:hAnsi="Times New Roman" w:cs="Times New Roman"/>
          <w:b/>
          <w:bCs/>
          <w:sz w:val="28"/>
          <w:szCs w:val="28"/>
        </w:rPr>
        <w:t>States’ difficulties</w:t>
      </w:r>
    </w:p>
    <w:p w14:paraId="682A7B2C" w14:textId="77777777" w:rsidR="00D923FB" w:rsidRPr="00A83649" w:rsidRDefault="00D923FB" w:rsidP="00A83649">
      <w:pPr>
        <w:pStyle w:val="ListParagraph"/>
        <w:numPr>
          <w:ilvl w:val="0"/>
          <w:numId w:val="34"/>
        </w:numPr>
        <w:spacing w:line="300" w:lineRule="exact"/>
        <w:ind w:left="-142" w:firstLine="142"/>
        <w:contextualSpacing w:val="0"/>
        <w:jc w:val="both"/>
        <w:rPr>
          <w:rFonts w:ascii="Times New Roman" w:hAnsi="Times New Roman" w:cs="Times New Roman"/>
          <w:sz w:val="28"/>
          <w:szCs w:val="22"/>
        </w:rPr>
      </w:pPr>
      <w:r w:rsidRPr="00A83649">
        <w:rPr>
          <w:rFonts w:ascii="Times New Roman" w:hAnsi="Times New Roman" w:cs="Times New Roman"/>
          <w:sz w:val="28"/>
          <w:szCs w:val="22"/>
        </w:rPr>
        <w:t xml:space="preserve">We shall now examine the reasons given by the States for the emergence of unauthorised overdrafts. The State Governments which have had persistent overdrafts have explained to us that they have been forced to have recourse to them due to various difficulties which they have to face. The State Governments have to strive to </w:t>
      </w:r>
      <w:r w:rsidRPr="00A83649">
        <w:rPr>
          <w:rFonts w:ascii="Times New Roman" w:hAnsi="Times New Roman" w:cs="Times New Roman"/>
          <w:sz w:val="28"/>
          <w:szCs w:val="22"/>
        </w:rPr>
        <w:lastRenderedPageBreak/>
        <w:t>meet the ever growing needs of the people in a welfare State, particularly for social and economic development, and many of them have special problems and difficult situations to deal with. The steep rise in prices in the last few years has also added considerably to their financial difficulties. If the problem is to be tackled at its source, these difficulties must be considered in their proper context and, to the extent they are genuine, removed.</w:t>
      </w:r>
    </w:p>
    <w:p w14:paraId="40C4283E" w14:textId="77777777" w:rsidR="00D923FB" w:rsidRPr="00A83649" w:rsidRDefault="00D923FB" w:rsidP="00A83649">
      <w:pPr>
        <w:pStyle w:val="ListParagraph"/>
        <w:numPr>
          <w:ilvl w:val="0"/>
          <w:numId w:val="34"/>
        </w:numPr>
        <w:spacing w:line="300" w:lineRule="exact"/>
        <w:ind w:left="-142" w:firstLine="142"/>
        <w:contextualSpacing w:val="0"/>
        <w:jc w:val="both"/>
        <w:rPr>
          <w:rFonts w:ascii="Times New Roman" w:hAnsi="Times New Roman" w:cs="Times New Roman"/>
          <w:sz w:val="28"/>
          <w:szCs w:val="22"/>
        </w:rPr>
      </w:pPr>
      <w:r w:rsidRPr="00A83649">
        <w:rPr>
          <w:rFonts w:ascii="Times New Roman" w:hAnsi="Times New Roman" w:cs="Times New Roman"/>
          <w:sz w:val="28"/>
          <w:szCs w:val="22"/>
        </w:rPr>
        <w:t>We may classify the difficulties explained by the States into two groups according to their nature:</w:t>
      </w:r>
    </w:p>
    <w:p w14:paraId="4048A385" w14:textId="77777777" w:rsidR="00D923FB" w:rsidRPr="00A83649" w:rsidRDefault="00D923FB" w:rsidP="00A83649">
      <w:pPr>
        <w:pStyle w:val="ListParagraph"/>
        <w:spacing w:line="300" w:lineRule="exact"/>
        <w:ind w:firstLine="720"/>
        <w:contextualSpacing w:val="0"/>
        <w:jc w:val="both"/>
        <w:rPr>
          <w:rFonts w:ascii="Times New Roman" w:hAnsi="Times New Roman" w:cs="Times New Roman"/>
          <w:sz w:val="28"/>
          <w:szCs w:val="22"/>
        </w:rPr>
      </w:pPr>
      <w:r w:rsidRPr="00A83649">
        <w:rPr>
          <w:rFonts w:ascii="Times New Roman" w:hAnsi="Times New Roman" w:cs="Times New Roman"/>
          <w:sz w:val="28"/>
          <w:szCs w:val="22"/>
        </w:rPr>
        <w:t>(a) Temporary difficulties arising from the uneven flow of receipts or expenditure and the inadequacy of limits of ways and means advances with which they could be met; and</w:t>
      </w:r>
    </w:p>
    <w:p w14:paraId="3DB60CB8" w14:textId="77777777" w:rsidR="00D923FB" w:rsidRPr="00A83649" w:rsidRDefault="00D923FB" w:rsidP="00A83649">
      <w:pPr>
        <w:pStyle w:val="ListParagraph"/>
        <w:spacing w:line="300" w:lineRule="exact"/>
        <w:ind w:firstLine="720"/>
        <w:contextualSpacing w:val="0"/>
        <w:jc w:val="both"/>
        <w:rPr>
          <w:rFonts w:ascii="Times New Roman" w:hAnsi="Times New Roman" w:cs="Times New Roman"/>
          <w:sz w:val="28"/>
          <w:szCs w:val="22"/>
        </w:rPr>
      </w:pPr>
      <w:r w:rsidRPr="00A83649">
        <w:rPr>
          <w:rFonts w:ascii="Times New Roman" w:hAnsi="Times New Roman" w:cs="Times New Roman"/>
          <w:sz w:val="28"/>
          <w:szCs w:val="22"/>
        </w:rPr>
        <w:t>(b) Relatively more chronic imbalances between their resources and functions, inadequate devolution and the absence of suitable mechanism to deal with unforeseen difficulties.</w:t>
      </w:r>
    </w:p>
    <w:p w14:paraId="0C12BBCC" w14:textId="77777777" w:rsidR="00D923FB" w:rsidRPr="00A83649" w:rsidRDefault="00D923FB" w:rsidP="00A83649">
      <w:pPr>
        <w:pStyle w:val="ListParagraph"/>
        <w:spacing w:line="300" w:lineRule="exact"/>
        <w:contextualSpacing w:val="0"/>
        <w:jc w:val="both"/>
        <w:rPr>
          <w:rFonts w:ascii="Times New Roman" w:hAnsi="Times New Roman" w:cs="Times New Roman"/>
          <w:sz w:val="28"/>
          <w:szCs w:val="22"/>
        </w:rPr>
      </w:pPr>
      <w:r w:rsidRPr="00A83649">
        <w:rPr>
          <w:rFonts w:ascii="Times New Roman" w:hAnsi="Times New Roman" w:cs="Times New Roman"/>
          <w:sz w:val="28"/>
          <w:szCs w:val="22"/>
        </w:rPr>
        <w:t>The first group can only explain temporary unauthorised overdrafts which should get cleared as soon as progressive receipts reach up to progressive expenditure. The second group of difficulties can lead to persistent unauthorised overdrafts. It is the latter which we shall consider first.</w:t>
      </w:r>
    </w:p>
    <w:p w14:paraId="3CFF2C15" w14:textId="77777777" w:rsidR="00D923FB" w:rsidRPr="00A83649" w:rsidRDefault="00D923FB" w:rsidP="00A83649">
      <w:pPr>
        <w:rPr>
          <w:rFonts w:ascii="Times New Roman" w:hAnsi="Times New Roman" w:cs="Times New Roman"/>
          <w:b/>
          <w:bCs/>
          <w:sz w:val="28"/>
          <w:szCs w:val="28"/>
        </w:rPr>
      </w:pPr>
      <w:r w:rsidRPr="00A83649">
        <w:rPr>
          <w:rFonts w:ascii="Times New Roman" w:hAnsi="Times New Roman" w:cs="Times New Roman"/>
          <w:b/>
          <w:bCs/>
          <w:sz w:val="28"/>
          <w:szCs w:val="28"/>
        </w:rPr>
        <w:t>Imbalance between resources and functions</w:t>
      </w:r>
    </w:p>
    <w:p w14:paraId="6BB7DB19" w14:textId="77777777" w:rsidR="00D923FB" w:rsidRPr="00A83649" w:rsidRDefault="00D923FB" w:rsidP="00A83649">
      <w:pPr>
        <w:pStyle w:val="ListParagraph"/>
        <w:numPr>
          <w:ilvl w:val="0"/>
          <w:numId w:val="34"/>
        </w:numPr>
        <w:spacing w:line="300" w:lineRule="exact"/>
        <w:ind w:left="-142" w:firstLine="142"/>
        <w:contextualSpacing w:val="0"/>
        <w:jc w:val="both"/>
        <w:rPr>
          <w:rFonts w:ascii="Times New Roman" w:hAnsi="Times New Roman" w:cs="Times New Roman"/>
          <w:sz w:val="28"/>
          <w:szCs w:val="22"/>
        </w:rPr>
      </w:pPr>
      <w:r w:rsidRPr="00A83649">
        <w:rPr>
          <w:rFonts w:ascii="Times New Roman" w:hAnsi="Times New Roman" w:cs="Times New Roman"/>
          <w:sz w:val="28"/>
          <w:szCs w:val="22"/>
        </w:rPr>
        <w:t xml:space="preserve">The States have complained of the great disparity between their resources and functions under the Constitution. The distribution of resources and functions between Central and State Governments varies from one federal Constitution to another. Recent technical and economic developments leading to integration of the national economy have, however, resulted in an effective centralisation of a number of more productive taxes. A growing degree of imbalance between the revenues of State Governments and the expenditure needed for the efficient discharge of their functions has, therefore, proved to be inescapable in most federations. The Indian Constitution, drawing upon the experience of the working of other federations and recognising the need of the times, has given the Central Government the exclusive power to levy and collect some important direct taxes. On the other hand, it has left a considerable field of direct taxation, such as land revenue, taxes on agricultural income and duties in respect of succession to agricultural land, entirely to the States. The power to levy taxes on commodities, excluding customs duties, is divided between the Centre and the States. Besides, the Constitution has assigned to the States the entire proceeds of some taxes levied and collected by the Central Government under Article 269 and a share in the proceeds of income tax under Article 270. The proceeds of Union Excise duties may also be shared under Article 272. Article 275 provides for grants-in-aid of the revenues of States which may be in need of assistance. The shares of these taxes and the amount of grants are decided on the recommendations of the Finance </w:t>
      </w:r>
      <w:r w:rsidRPr="00A83649">
        <w:rPr>
          <w:rFonts w:ascii="Times New Roman" w:hAnsi="Times New Roman" w:cs="Times New Roman"/>
          <w:sz w:val="28"/>
          <w:szCs w:val="22"/>
        </w:rPr>
        <w:lastRenderedPageBreak/>
        <w:t>Commissions which are appointed at least every fifth year. The recommendations of the Finance Commissions have been making provision for the requirements of States for non-Plan revenue expenditure. Revenue grants as well as loan assistance for the Plan are disbursed by the Central Government on the recommendation of the Planning Commission. The Central Government generally accepts the recommendations of these Commissions and large and increasing amounts are being transferred to the States accordingly. The State Governments have a full opportunity to state their cases and explain their requirements to the two Commissions. In the nature of things it cannot be expected that the States will be fully satisfied with the decisions. However, once the decisions are taken, it is the duty of the States to manage their affairs within the resources available to them including the devolution and assistance from the Centre. They must regard it as a matter of necessary fiscal discipline to balance their budgets, and to take in their stride the normal vicissitudes in their financial position.</w:t>
      </w:r>
    </w:p>
    <w:p w14:paraId="075D4F1D" w14:textId="77777777" w:rsidR="00D923FB" w:rsidRPr="00A83649" w:rsidRDefault="00D923FB" w:rsidP="00A83649">
      <w:pPr>
        <w:rPr>
          <w:rFonts w:ascii="Times New Roman" w:hAnsi="Times New Roman" w:cs="Times New Roman"/>
          <w:b/>
          <w:bCs/>
          <w:sz w:val="28"/>
          <w:szCs w:val="28"/>
        </w:rPr>
      </w:pPr>
      <w:r w:rsidRPr="00A83649">
        <w:rPr>
          <w:rFonts w:ascii="Times New Roman" w:hAnsi="Times New Roman" w:cs="Times New Roman"/>
          <w:b/>
          <w:bCs/>
          <w:sz w:val="28"/>
          <w:szCs w:val="28"/>
        </w:rPr>
        <w:t>Difficulties due to changed circumstances</w:t>
      </w:r>
    </w:p>
    <w:p w14:paraId="21B0B6EC" w14:textId="77777777" w:rsidR="00D923FB" w:rsidRPr="00A83649" w:rsidRDefault="00D923FB" w:rsidP="00A83649">
      <w:pPr>
        <w:pStyle w:val="ListParagraph"/>
        <w:numPr>
          <w:ilvl w:val="0"/>
          <w:numId w:val="34"/>
        </w:numPr>
        <w:spacing w:line="300" w:lineRule="exact"/>
        <w:ind w:left="-142" w:firstLine="142"/>
        <w:contextualSpacing w:val="0"/>
        <w:jc w:val="both"/>
        <w:rPr>
          <w:rFonts w:ascii="Times New Roman" w:hAnsi="Times New Roman" w:cs="Times New Roman"/>
          <w:sz w:val="28"/>
          <w:szCs w:val="22"/>
        </w:rPr>
      </w:pPr>
      <w:r w:rsidRPr="00A83649">
        <w:rPr>
          <w:rFonts w:ascii="Times New Roman" w:hAnsi="Times New Roman" w:cs="Times New Roman"/>
          <w:sz w:val="28"/>
          <w:szCs w:val="22"/>
        </w:rPr>
        <w:t>Many states have drawn our attention to the fact that while the size of State Plans and Central Plan assistance are reviewed and revised from year to year, the recommendations of Finance Commissions remain in force for longer periods without any such review. If due to changed circumstances, such as increase in prices requiring provision for dearness allowance to their employees, the States have to incur substantially larger non-Plan expenditure there is no machinery at present for providing increased devolution of resources to them. They have represented to us that it is necessary to have some reviewing agency like a permanent Finance Commission which could look into their difficulties on such occasions and recommend suitable additional assistance. We have given very careful thought to the demand of the States for such a mechanism. We are, however, of opinion that it would not be very useful to set up any standing arrangements for this purpose. We think that the case for a permanent Finance Commission has to be judged on grounds much wider than the occasional need for providing additional non-Plan assistance to States during the period covered by the existing devolution arrangements. Having regard to the nature of its functions it would be inappropriate to require a Finance Commission to look only into the requirements arising from some isolated causes affecting the States’ revenue or expenditure, or to look into the financial needs of a few States only. In considering any modification of the scheme of devolution of resources from the Centre to the States or their distribution among the States, the Finance Commission would have to take into account the overall needs and resources of the Central and State Governments in the changed circumstances, including the commitments already made on the basis of the existing scheme of devolution. Such a review would not be practicable for the purpose of dealing only with the additional needs of States due to particular reasons.</w:t>
      </w:r>
    </w:p>
    <w:p w14:paraId="136635BB" w14:textId="41F91B33" w:rsidR="00D923FB" w:rsidRPr="00A83649" w:rsidRDefault="00D923FB" w:rsidP="00A83649">
      <w:pPr>
        <w:pStyle w:val="ListParagraph"/>
        <w:numPr>
          <w:ilvl w:val="0"/>
          <w:numId w:val="34"/>
        </w:numPr>
        <w:spacing w:line="300" w:lineRule="exact"/>
        <w:ind w:left="-142" w:firstLine="142"/>
        <w:contextualSpacing w:val="0"/>
        <w:jc w:val="both"/>
        <w:rPr>
          <w:rFonts w:ascii="Times New Roman" w:hAnsi="Times New Roman" w:cs="Times New Roman"/>
          <w:sz w:val="28"/>
          <w:szCs w:val="22"/>
        </w:rPr>
      </w:pPr>
      <w:r w:rsidRPr="00A83649">
        <w:rPr>
          <w:rFonts w:ascii="Times New Roman" w:hAnsi="Times New Roman" w:cs="Times New Roman"/>
          <w:sz w:val="28"/>
          <w:szCs w:val="22"/>
        </w:rPr>
        <w:t xml:space="preserve">When a State Government finds itself unable to balance its budget having regard to its existing resources including the proceeds of additional taxation </w:t>
      </w:r>
      <w:r w:rsidRPr="00A83649">
        <w:rPr>
          <w:rFonts w:ascii="Times New Roman" w:hAnsi="Times New Roman" w:cs="Times New Roman"/>
          <w:sz w:val="28"/>
          <w:szCs w:val="22"/>
        </w:rPr>
        <w:lastRenderedPageBreak/>
        <w:t>undertaken after the last Plan period, its difficulties may be either due to circumstances beyond its control, such as natural calamitie</w:t>
      </w:r>
      <w:r w:rsidR="00A83649">
        <w:rPr>
          <w:rFonts w:ascii="Times New Roman" w:hAnsi="Times New Roman" w:cs="Times New Roman"/>
          <w:sz w:val="28"/>
          <w:szCs w:val="22"/>
        </w:rPr>
        <w:t>s</w:t>
      </w:r>
      <w:r w:rsidRPr="00A83649">
        <w:rPr>
          <w:rFonts w:ascii="Times New Roman" w:hAnsi="Times New Roman" w:cs="Times New Roman"/>
          <w:sz w:val="28"/>
          <w:szCs w:val="22"/>
        </w:rPr>
        <w:t>, or due to other new developments necessitating substantial additional expenditure. We note that the Central Government already has a scheme for assistance</w:t>
      </w:r>
      <w:r w:rsidR="00A36232" w:rsidRPr="00A83649">
        <w:rPr>
          <w:rFonts w:ascii="Times New Roman" w:hAnsi="Times New Roman" w:cs="Times New Roman"/>
          <w:sz w:val="28"/>
          <w:szCs w:val="22"/>
        </w:rPr>
        <w:t xml:space="preserve"> </w:t>
      </w:r>
      <w:r w:rsidRPr="00A83649">
        <w:rPr>
          <w:rFonts w:ascii="Times New Roman" w:hAnsi="Times New Roman" w:cs="Times New Roman"/>
          <w:sz w:val="28"/>
          <w:szCs w:val="22"/>
        </w:rPr>
        <w:t>to States in case of</w:t>
      </w:r>
      <w:r w:rsidR="00A36232" w:rsidRPr="00A83649">
        <w:rPr>
          <w:rFonts w:ascii="Times New Roman" w:hAnsi="Times New Roman" w:cs="Times New Roman"/>
          <w:sz w:val="28"/>
          <w:szCs w:val="22"/>
        </w:rPr>
        <w:t xml:space="preserve"> </w:t>
      </w:r>
      <w:r w:rsidRPr="00A83649">
        <w:rPr>
          <w:rFonts w:ascii="Times New Roman" w:hAnsi="Times New Roman" w:cs="Times New Roman"/>
          <w:sz w:val="28"/>
          <w:szCs w:val="22"/>
        </w:rPr>
        <w:t>natural calamities under which, after obtaining the report of a team</w:t>
      </w:r>
      <w:r w:rsidR="00A36232" w:rsidRPr="00A83649">
        <w:rPr>
          <w:rFonts w:ascii="Times New Roman" w:hAnsi="Times New Roman" w:cs="Times New Roman"/>
          <w:sz w:val="28"/>
          <w:szCs w:val="22"/>
        </w:rPr>
        <w:t xml:space="preserve"> </w:t>
      </w:r>
      <w:r w:rsidRPr="00A83649">
        <w:rPr>
          <w:rFonts w:ascii="Times New Roman" w:hAnsi="Times New Roman" w:cs="Times New Roman"/>
          <w:sz w:val="28"/>
          <w:szCs w:val="22"/>
        </w:rPr>
        <w:t>of Central officers, it provides assistance by way of grants and loans</w:t>
      </w:r>
      <w:r w:rsidR="00A83649">
        <w:rPr>
          <w:rFonts w:ascii="Times New Roman" w:hAnsi="Times New Roman" w:cs="Times New Roman"/>
          <w:sz w:val="28"/>
          <w:szCs w:val="22"/>
        </w:rPr>
        <w:t xml:space="preserve"> </w:t>
      </w:r>
      <w:r w:rsidRPr="00A83649">
        <w:rPr>
          <w:rFonts w:ascii="Times New Roman" w:hAnsi="Times New Roman" w:cs="Times New Roman"/>
          <w:sz w:val="28"/>
          <w:szCs w:val="22"/>
        </w:rPr>
        <w:t>as well as necessary ways and means advances to cover the entire.</w:t>
      </w:r>
      <w:r w:rsidR="00A36232" w:rsidRPr="00A83649">
        <w:rPr>
          <w:rFonts w:ascii="Times New Roman" w:hAnsi="Times New Roman" w:cs="Times New Roman"/>
          <w:sz w:val="28"/>
          <w:szCs w:val="22"/>
        </w:rPr>
        <w:t xml:space="preserve"> </w:t>
      </w:r>
      <w:r w:rsidRPr="00A83649">
        <w:rPr>
          <w:rFonts w:ascii="Times New Roman" w:hAnsi="Times New Roman" w:cs="Times New Roman"/>
          <w:sz w:val="28"/>
          <w:szCs w:val="22"/>
        </w:rPr>
        <w:t>approved expenditure required to meet such calamities. We consider that in all cases where a State Government experiences difficulties due to unforeseen developments, it should make serious efforts</w:t>
      </w:r>
      <w:r w:rsidR="00A83649">
        <w:rPr>
          <w:rFonts w:ascii="Times New Roman" w:hAnsi="Times New Roman" w:cs="Times New Roman"/>
          <w:sz w:val="28"/>
          <w:szCs w:val="22"/>
        </w:rPr>
        <w:t xml:space="preserve"> </w:t>
      </w:r>
      <w:r w:rsidRPr="00A83649">
        <w:rPr>
          <w:rFonts w:ascii="Times New Roman" w:hAnsi="Times New Roman" w:cs="Times New Roman"/>
          <w:sz w:val="28"/>
          <w:szCs w:val="22"/>
        </w:rPr>
        <w:t xml:space="preserve">to raise further resources or to reduce its expenditure as far as </w:t>
      </w:r>
      <w:r w:rsidR="00A36232" w:rsidRPr="00A83649">
        <w:rPr>
          <w:rFonts w:ascii="Times New Roman" w:hAnsi="Times New Roman" w:cs="Times New Roman"/>
          <w:sz w:val="28"/>
          <w:szCs w:val="22"/>
        </w:rPr>
        <w:t>possible</w:t>
      </w:r>
      <w:r w:rsidRPr="00A83649">
        <w:rPr>
          <w:rFonts w:ascii="Times New Roman" w:hAnsi="Times New Roman" w:cs="Times New Roman"/>
          <w:sz w:val="28"/>
          <w:szCs w:val="22"/>
        </w:rPr>
        <w:t xml:space="preserve"> instead of incurring unauthorised</w:t>
      </w:r>
      <w:r w:rsidR="00A36232" w:rsidRPr="00A83649">
        <w:rPr>
          <w:rFonts w:ascii="Times New Roman" w:hAnsi="Times New Roman" w:cs="Times New Roman"/>
          <w:sz w:val="28"/>
          <w:szCs w:val="22"/>
        </w:rPr>
        <w:t xml:space="preserve"> </w:t>
      </w:r>
      <w:r w:rsidRPr="00A83649">
        <w:rPr>
          <w:rFonts w:ascii="Times New Roman" w:hAnsi="Times New Roman" w:cs="Times New Roman"/>
          <w:sz w:val="28"/>
          <w:szCs w:val="22"/>
        </w:rPr>
        <w:t>overdrafts.</w:t>
      </w:r>
      <w:r w:rsidR="00A36232" w:rsidRPr="00A83649">
        <w:rPr>
          <w:rFonts w:ascii="Times New Roman" w:hAnsi="Times New Roman" w:cs="Times New Roman"/>
          <w:sz w:val="28"/>
          <w:szCs w:val="22"/>
        </w:rPr>
        <w:t xml:space="preserve"> </w:t>
      </w:r>
      <w:r w:rsidRPr="00A83649">
        <w:rPr>
          <w:rFonts w:ascii="Times New Roman" w:hAnsi="Times New Roman" w:cs="Times New Roman"/>
          <w:sz w:val="28"/>
          <w:szCs w:val="22"/>
        </w:rPr>
        <w:t>If, in spite of all</w:t>
      </w:r>
      <w:r w:rsidR="00A36232" w:rsidRPr="00A83649">
        <w:rPr>
          <w:rFonts w:ascii="Times New Roman" w:hAnsi="Times New Roman" w:cs="Times New Roman"/>
          <w:sz w:val="28"/>
          <w:szCs w:val="22"/>
        </w:rPr>
        <w:t xml:space="preserve"> </w:t>
      </w:r>
      <w:r w:rsidRPr="00A83649">
        <w:rPr>
          <w:rFonts w:ascii="Times New Roman" w:hAnsi="Times New Roman" w:cs="Times New Roman"/>
          <w:sz w:val="28"/>
          <w:szCs w:val="22"/>
        </w:rPr>
        <w:t>possible measures, the State finds itself unable to meet the additional</w:t>
      </w:r>
      <w:r w:rsidR="00A36232" w:rsidRPr="00A83649">
        <w:rPr>
          <w:rFonts w:ascii="Times New Roman" w:hAnsi="Times New Roman" w:cs="Times New Roman"/>
          <w:sz w:val="28"/>
          <w:szCs w:val="22"/>
        </w:rPr>
        <w:t xml:space="preserve"> </w:t>
      </w:r>
      <w:r w:rsidRPr="00A83649">
        <w:rPr>
          <w:rFonts w:ascii="Times New Roman" w:hAnsi="Times New Roman" w:cs="Times New Roman"/>
          <w:sz w:val="28"/>
          <w:szCs w:val="22"/>
        </w:rPr>
        <w:t>expenditure which is immediately necessary, it may apply to the</w:t>
      </w:r>
      <w:r w:rsidRPr="00A83649">
        <w:rPr>
          <w:rFonts w:ascii="Times New Roman" w:hAnsi="Times New Roman" w:cs="Times New Roman"/>
          <w:sz w:val="28"/>
          <w:szCs w:val="22"/>
        </w:rPr>
        <w:br/>
        <w:t xml:space="preserve">Centre for temporary assistance to tide over the difficulty by a short-term loan on suitable terms. We recommend that in such cases </w:t>
      </w:r>
      <w:r w:rsidR="00A36232" w:rsidRPr="00A83649">
        <w:rPr>
          <w:rFonts w:ascii="Times New Roman" w:hAnsi="Times New Roman" w:cs="Times New Roman"/>
          <w:sz w:val="28"/>
          <w:szCs w:val="22"/>
        </w:rPr>
        <w:t xml:space="preserve">the </w:t>
      </w:r>
      <w:r w:rsidRPr="00A83649">
        <w:rPr>
          <w:rFonts w:ascii="Times New Roman" w:hAnsi="Times New Roman" w:cs="Times New Roman"/>
          <w:sz w:val="28"/>
          <w:szCs w:val="22"/>
        </w:rPr>
        <w:t>Central Government should provide necessary assistance to the State</w:t>
      </w:r>
      <w:r w:rsidR="00A36232" w:rsidRPr="00A83649">
        <w:rPr>
          <w:rFonts w:ascii="Times New Roman" w:hAnsi="Times New Roman" w:cs="Times New Roman"/>
          <w:sz w:val="28"/>
          <w:szCs w:val="22"/>
        </w:rPr>
        <w:t xml:space="preserve"> </w:t>
      </w:r>
      <w:r w:rsidRPr="00A83649">
        <w:rPr>
          <w:rFonts w:ascii="Times New Roman" w:hAnsi="Times New Roman" w:cs="Times New Roman"/>
          <w:sz w:val="28"/>
          <w:szCs w:val="22"/>
        </w:rPr>
        <w:t>after satisfying itself regarding the need of the State, the efforts made</w:t>
      </w:r>
      <w:r w:rsidR="00A83649">
        <w:rPr>
          <w:rFonts w:ascii="Times New Roman" w:hAnsi="Times New Roman" w:cs="Times New Roman"/>
          <w:sz w:val="28"/>
          <w:szCs w:val="22"/>
        </w:rPr>
        <w:t xml:space="preserve"> </w:t>
      </w:r>
      <w:r w:rsidRPr="00A83649">
        <w:rPr>
          <w:rFonts w:ascii="Times New Roman" w:hAnsi="Times New Roman" w:cs="Times New Roman"/>
          <w:sz w:val="28"/>
          <w:szCs w:val="22"/>
        </w:rPr>
        <w:t>by it to adjust its resources and expenditure and the steps it is prepared to take to provide for repayment of the loan.</w:t>
      </w:r>
    </w:p>
    <w:p w14:paraId="53281109" w14:textId="58A02B7B" w:rsidR="00D923FB" w:rsidRPr="00A83649" w:rsidRDefault="00D923FB" w:rsidP="00A83649">
      <w:pPr>
        <w:pStyle w:val="ListParagraph"/>
        <w:numPr>
          <w:ilvl w:val="0"/>
          <w:numId w:val="34"/>
        </w:numPr>
        <w:spacing w:line="300" w:lineRule="exact"/>
        <w:ind w:left="-142" w:firstLine="142"/>
        <w:contextualSpacing w:val="0"/>
        <w:jc w:val="both"/>
        <w:rPr>
          <w:rFonts w:ascii="Times New Roman" w:hAnsi="Times New Roman" w:cs="Times New Roman"/>
          <w:sz w:val="28"/>
          <w:szCs w:val="22"/>
        </w:rPr>
      </w:pPr>
      <w:r w:rsidRPr="00A83649">
        <w:rPr>
          <w:rFonts w:ascii="Times New Roman" w:hAnsi="Times New Roman" w:cs="Times New Roman"/>
          <w:sz w:val="28"/>
          <w:szCs w:val="22"/>
        </w:rPr>
        <w:t>After the immediate requirements have been provided for in</w:t>
      </w:r>
      <w:r w:rsidR="00A83649">
        <w:rPr>
          <w:rFonts w:ascii="Times New Roman" w:hAnsi="Times New Roman" w:cs="Times New Roman"/>
          <w:sz w:val="28"/>
          <w:szCs w:val="22"/>
        </w:rPr>
        <w:t xml:space="preserve"> </w:t>
      </w:r>
      <w:r w:rsidRPr="00A83649">
        <w:rPr>
          <w:rFonts w:ascii="Times New Roman" w:hAnsi="Times New Roman" w:cs="Times New Roman"/>
          <w:sz w:val="28"/>
          <w:szCs w:val="22"/>
        </w:rPr>
        <w:t>this manner, the State should be able to devise suitable measures for</w:t>
      </w:r>
      <w:r w:rsidR="00A83649">
        <w:rPr>
          <w:rFonts w:ascii="Times New Roman" w:hAnsi="Times New Roman" w:cs="Times New Roman"/>
          <w:sz w:val="28"/>
          <w:szCs w:val="22"/>
        </w:rPr>
        <w:t xml:space="preserve"> </w:t>
      </w:r>
      <w:r w:rsidRPr="00A83649">
        <w:rPr>
          <w:rFonts w:ascii="Times New Roman" w:hAnsi="Times New Roman" w:cs="Times New Roman"/>
          <w:sz w:val="28"/>
          <w:szCs w:val="22"/>
        </w:rPr>
        <w:t>balancing its budget in the succeeding year. The Planning Commission which annually reviews the estimated</w:t>
      </w:r>
      <w:r w:rsidR="00A83649">
        <w:rPr>
          <w:rFonts w:ascii="Times New Roman" w:hAnsi="Times New Roman" w:cs="Times New Roman"/>
          <w:sz w:val="28"/>
          <w:szCs w:val="22"/>
        </w:rPr>
        <w:t xml:space="preserve"> </w:t>
      </w:r>
      <w:r w:rsidRPr="00A83649">
        <w:rPr>
          <w:rFonts w:ascii="Times New Roman" w:hAnsi="Times New Roman" w:cs="Times New Roman"/>
          <w:sz w:val="28"/>
          <w:szCs w:val="22"/>
        </w:rPr>
        <w:t>non-Plan receipts and</w:t>
      </w:r>
      <w:r w:rsidR="00A83649">
        <w:rPr>
          <w:rFonts w:ascii="Times New Roman" w:hAnsi="Times New Roman" w:cs="Times New Roman"/>
          <w:sz w:val="28"/>
          <w:szCs w:val="22"/>
        </w:rPr>
        <w:t xml:space="preserve"> </w:t>
      </w:r>
      <w:r w:rsidRPr="00A83649">
        <w:rPr>
          <w:rFonts w:ascii="Times New Roman" w:hAnsi="Times New Roman" w:cs="Times New Roman"/>
          <w:sz w:val="28"/>
          <w:szCs w:val="22"/>
        </w:rPr>
        <w:t xml:space="preserve">expenditure of the States, should take into account the adverse </w:t>
      </w:r>
      <w:r w:rsidR="00A83649" w:rsidRPr="00A83649">
        <w:rPr>
          <w:rFonts w:ascii="Times New Roman" w:hAnsi="Times New Roman" w:cs="Times New Roman"/>
          <w:sz w:val="28"/>
          <w:szCs w:val="22"/>
        </w:rPr>
        <w:t>effect</w:t>
      </w:r>
      <w:r w:rsidR="00A83649">
        <w:rPr>
          <w:rFonts w:ascii="Times New Roman" w:hAnsi="Times New Roman" w:cs="Times New Roman"/>
          <w:sz w:val="28"/>
          <w:szCs w:val="22"/>
        </w:rPr>
        <w:t xml:space="preserve"> </w:t>
      </w:r>
      <w:r w:rsidRPr="00A83649">
        <w:rPr>
          <w:rFonts w:ascii="Times New Roman" w:hAnsi="Times New Roman" w:cs="Times New Roman"/>
          <w:sz w:val="28"/>
          <w:szCs w:val="22"/>
        </w:rPr>
        <w:t>of the new developments, and if necessarey, modify the size of the</w:t>
      </w:r>
      <w:r w:rsidR="00A83649">
        <w:rPr>
          <w:rFonts w:ascii="Times New Roman" w:hAnsi="Times New Roman" w:cs="Times New Roman"/>
          <w:sz w:val="28"/>
          <w:szCs w:val="22"/>
        </w:rPr>
        <w:t xml:space="preserve"> </w:t>
      </w:r>
      <w:r w:rsidRPr="00A83649">
        <w:rPr>
          <w:rFonts w:ascii="Times New Roman" w:hAnsi="Times New Roman" w:cs="Times New Roman"/>
          <w:sz w:val="28"/>
          <w:szCs w:val="22"/>
        </w:rPr>
        <w:t>annual Plan of the State concerned. This mav result in some States</w:t>
      </w:r>
      <w:r w:rsidR="00A83649">
        <w:rPr>
          <w:rFonts w:ascii="Times New Roman" w:hAnsi="Times New Roman" w:cs="Times New Roman"/>
          <w:sz w:val="28"/>
          <w:szCs w:val="22"/>
        </w:rPr>
        <w:t xml:space="preserve"> </w:t>
      </w:r>
      <w:r w:rsidRPr="00A83649">
        <w:rPr>
          <w:rFonts w:ascii="Times New Roman" w:hAnsi="Times New Roman" w:cs="Times New Roman"/>
          <w:sz w:val="28"/>
          <w:szCs w:val="22"/>
        </w:rPr>
        <w:t>having to curtail their annual Plans, but we think that proper fiscal</w:t>
      </w:r>
      <w:r w:rsidR="00A83649">
        <w:rPr>
          <w:rFonts w:ascii="Times New Roman" w:hAnsi="Times New Roman" w:cs="Times New Roman"/>
          <w:sz w:val="28"/>
          <w:szCs w:val="22"/>
        </w:rPr>
        <w:t xml:space="preserve"> </w:t>
      </w:r>
      <w:r w:rsidRPr="00A83649">
        <w:rPr>
          <w:rFonts w:ascii="Times New Roman" w:hAnsi="Times New Roman" w:cs="Times New Roman"/>
          <w:sz w:val="28"/>
          <w:szCs w:val="22"/>
        </w:rPr>
        <w:t>discipline requires that they should make such necessary adjustments</w:t>
      </w:r>
      <w:r w:rsidR="00A83649">
        <w:rPr>
          <w:rFonts w:ascii="Times New Roman" w:hAnsi="Times New Roman" w:cs="Times New Roman"/>
          <w:sz w:val="28"/>
          <w:szCs w:val="22"/>
        </w:rPr>
        <w:t xml:space="preserve"> </w:t>
      </w:r>
      <w:r w:rsidRPr="00A83649">
        <w:rPr>
          <w:rFonts w:ascii="Times New Roman" w:hAnsi="Times New Roman" w:cs="Times New Roman"/>
          <w:sz w:val="28"/>
          <w:szCs w:val="22"/>
        </w:rPr>
        <w:t>in their Plan programmes until the whole question of devolution is</w:t>
      </w:r>
      <w:r w:rsidR="00A83649">
        <w:rPr>
          <w:rFonts w:ascii="Times New Roman" w:hAnsi="Times New Roman" w:cs="Times New Roman"/>
          <w:sz w:val="28"/>
          <w:szCs w:val="22"/>
        </w:rPr>
        <w:t xml:space="preserve"> </w:t>
      </w:r>
      <w:r w:rsidRPr="00A83649">
        <w:rPr>
          <w:rFonts w:ascii="Times New Roman" w:hAnsi="Times New Roman" w:cs="Times New Roman"/>
          <w:sz w:val="28"/>
          <w:szCs w:val="22"/>
        </w:rPr>
        <w:t>reviewed by the next Finance Commission.</w:t>
      </w:r>
    </w:p>
    <w:p w14:paraId="432278C3" w14:textId="77777777" w:rsidR="00D923FB" w:rsidRPr="007245B0" w:rsidRDefault="00D923FB" w:rsidP="00A83649">
      <w:pPr>
        <w:rPr>
          <w:rFonts w:ascii="Times New Roman" w:hAnsi="Times New Roman" w:cs="Times New Roman"/>
          <w:b/>
          <w:bCs/>
        </w:rPr>
      </w:pPr>
      <w:r w:rsidRPr="00A83649">
        <w:rPr>
          <w:rFonts w:ascii="Times New Roman" w:hAnsi="Times New Roman" w:cs="Times New Roman"/>
          <w:b/>
          <w:bCs/>
          <w:sz w:val="28"/>
          <w:szCs w:val="28"/>
        </w:rPr>
        <w:t>Plan finance</w:t>
      </w:r>
    </w:p>
    <w:p w14:paraId="1C7F994C" w14:textId="7D486463" w:rsidR="00D923FB" w:rsidRPr="00A83649" w:rsidRDefault="00D923FB" w:rsidP="00A83649">
      <w:pPr>
        <w:pStyle w:val="ListParagraph"/>
        <w:numPr>
          <w:ilvl w:val="0"/>
          <w:numId w:val="34"/>
        </w:numPr>
        <w:spacing w:line="300" w:lineRule="exact"/>
        <w:ind w:left="-142" w:firstLine="142"/>
        <w:contextualSpacing w:val="0"/>
        <w:jc w:val="both"/>
        <w:rPr>
          <w:rFonts w:ascii="Times New Roman" w:hAnsi="Times New Roman" w:cs="Times New Roman"/>
          <w:sz w:val="28"/>
          <w:szCs w:val="22"/>
        </w:rPr>
      </w:pPr>
      <w:r w:rsidRPr="00A83649">
        <w:rPr>
          <w:rFonts w:ascii="Times New Roman" w:hAnsi="Times New Roman" w:cs="Times New Roman"/>
          <w:sz w:val="28"/>
          <w:szCs w:val="22"/>
        </w:rPr>
        <w:t>Some State Governments have represented to us that they</w:t>
      </w:r>
      <w:r w:rsidR="00A83649">
        <w:rPr>
          <w:rFonts w:ascii="Times New Roman" w:hAnsi="Times New Roman" w:cs="Times New Roman"/>
          <w:sz w:val="28"/>
          <w:szCs w:val="22"/>
        </w:rPr>
        <w:t xml:space="preserve"> </w:t>
      </w:r>
      <w:r w:rsidRPr="00A83649">
        <w:rPr>
          <w:rFonts w:ascii="Times New Roman" w:hAnsi="Times New Roman" w:cs="Times New Roman"/>
          <w:sz w:val="28"/>
          <w:szCs w:val="22"/>
        </w:rPr>
        <w:t>have been led to overestimate their resources and underestimate</w:t>
      </w:r>
      <w:r w:rsidR="00A83649">
        <w:rPr>
          <w:rFonts w:ascii="Times New Roman" w:hAnsi="Times New Roman" w:cs="Times New Roman"/>
          <w:sz w:val="28"/>
          <w:szCs w:val="22"/>
        </w:rPr>
        <w:t xml:space="preserve"> </w:t>
      </w:r>
      <w:r w:rsidRPr="00A83649">
        <w:rPr>
          <w:rFonts w:ascii="Times New Roman" w:hAnsi="Times New Roman" w:cs="Times New Roman"/>
          <w:sz w:val="28"/>
          <w:szCs w:val="22"/>
        </w:rPr>
        <w:t>their non-Plan expenditure in their eagerness to have larger Plans</w:t>
      </w:r>
      <w:r w:rsidR="00A83649">
        <w:rPr>
          <w:rFonts w:ascii="Times New Roman" w:hAnsi="Times New Roman" w:cs="Times New Roman"/>
          <w:sz w:val="28"/>
          <w:szCs w:val="22"/>
        </w:rPr>
        <w:t xml:space="preserve"> </w:t>
      </w:r>
      <w:r w:rsidRPr="00A83649">
        <w:rPr>
          <w:rFonts w:ascii="Times New Roman" w:hAnsi="Times New Roman" w:cs="Times New Roman"/>
          <w:sz w:val="28"/>
          <w:szCs w:val="22"/>
        </w:rPr>
        <w:t>and to secure greater Plan assistance which has been allocated on a</w:t>
      </w:r>
      <w:r w:rsidR="00A83649">
        <w:rPr>
          <w:rFonts w:ascii="Times New Roman" w:hAnsi="Times New Roman" w:cs="Times New Roman"/>
          <w:sz w:val="28"/>
          <w:szCs w:val="22"/>
        </w:rPr>
        <w:t xml:space="preserve"> </w:t>
      </w:r>
      <w:r w:rsidRPr="00A83649">
        <w:rPr>
          <w:rFonts w:ascii="Times New Roman" w:hAnsi="Times New Roman" w:cs="Times New Roman"/>
          <w:sz w:val="28"/>
          <w:szCs w:val="22"/>
        </w:rPr>
        <w:t>basis of matching resources. We consider that both resources and</w:t>
      </w:r>
      <w:r w:rsidRPr="00A83649">
        <w:rPr>
          <w:rFonts w:ascii="Times New Roman" w:hAnsi="Times New Roman" w:cs="Times New Roman"/>
          <w:sz w:val="28"/>
          <w:szCs w:val="22"/>
        </w:rPr>
        <w:br/>
        <w:t>expenditure should be estimated in a realistic manner. At the same</w:t>
      </w:r>
      <w:r w:rsidR="00A83649">
        <w:rPr>
          <w:rFonts w:ascii="Times New Roman" w:hAnsi="Times New Roman" w:cs="Times New Roman"/>
          <w:sz w:val="28"/>
          <w:szCs w:val="22"/>
        </w:rPr>
        <w:t xml:space="preserve"> </w:t>
      </w:r>
      <w:r w:rsidRPr="00A83649">
        <w:rPr>
          <w:rFonts w:ascii="Times New Roman" w:hAnsi="Times New Roman" w:cs="Times New Roman"/>
          <w:sz w:val="28"/>
          <w:szCs w:val="22"/>
        </w:rPr>
        <w:t>time we recognise that to some extent the States have to be prevailed</w:t>
      </w:r>
      <w:r w:rsidR="00A83649">
        <w:rPr>
          <w:rFonts w:ascii="Times New Roman" w:hAnsi="Times New Roman" w:cs="Times New Roman"/>
          <w:sz w:val="28"/>
          <w:szCs w:val="22"/>
        </w:rPr>
        <w:t xml:space="preserve"> </w:t>
      </w:r>
      <w:r w:rsidRPr="00A83649">
        <w:rPr>
          <w:rFonts w:ascii="Times New Roman" w:hAnsi="Times New Roman" w:cs="Times New Roman"/>
          <w:sz w:val="28"/>
          <w:szCs w:val="22"/>
        </w:rPr>
        <w:t>upon to maximise their resources and to economise on non-essential</w:t>
      </w:r>
      <w:r w:rsidR="00A83649">
        <w:rPr>
          <w:rFonts w:ascii="Times New Roman" w:hAnsi="Times New Roman" w:cs="Times New Roman"/>
          <w:sz w:val="28"/>
          <w:szCs w:val="22"/>
        </w:rPr>
        <w:t xml:space="preserve"> </w:t>
      </w:r>
      <w:r w:rsidRPr="00A83649">
        <w:rPr>
          <w:rFonts w:ascii="Times New Roman" w:hAnsi="Times New Roman" w:cs="Times New Roman"/>
          <w:sz w:val="28"/>
          <w:szCs w:val="22"/>
        </w:rPr>
        <w:t>expenditure. We understand that the Planning Commission is engaged in revising the principles for distribution of Plan assistance in</w:t>
      </w:r>
      <w:r w:rsidR="00A83649">
        <w:rPr>
          <w:rFonts w:ascii="Times New Roman" w:hAnsi="Times New Roman" w:cs="Times New Roman"/>
          <w:sz w:val="28"/>
          <w:szCs w:val="22"/>
        </w:rPr>
        <w:t xml:space="preserve"> </w:t>
      </w:r>
      <w:r w:rsidRPr="00A83649">
        <w:rPr>
          <w:rFonts w:ascii="Times New Roman" w:hAnsi="Times New Roman" w:cs="Times New Roman"/>
          <w:sz w:val="28"/>
          <w:szCs w:val="22"/>
        </w:rPr>
        <w:t>future, and that it is likely to give less importance to the basis of</w:t>
      </w:r>
      <w:r w:rsidR="00A83649">
        <w:rPr>
          <w:rFonts w:ascii="Times New Roman" w:hAnsi="Times New Roman" w:cs="Times New Roman"/>
          <w:sz w:val="28"/>
          <w:szCs w:val="22"/>
        </w:rPr>
        <w:t xml:space="preserve"> </w:t>
      </w:r>
      <w:r w:rsidRPr="00A83649">
        <w:rPr>
          <w:rFonts w:ascii="Times New Roman" w:hAnsi="Times New Roman" w:cs="Times New Roman"/>
          <w:sz w:val="28"/>
          <w:szCs w:val="22"/>
        </w:rPr>
        <w:t>matching resources. We consider it fundamental that there should</w:t>
      </w:r>
      <w:r w:rsidR="00A83649">
        <w:rPr>
          <w:rFonts w:ascii="Times New Roman" w:hAnsi="Times New Roman" w:cs="Times New Roman"/>
          <w:sz w:val="28"/>
          <w:szCs w:val="22"/>
        </w:rPr>
        <w:t xml:space="preserve"> </w:t>
      </w:r>
      <w:r w:rsidRPr="00A83649">
        <w:rPr>
          <w:rFonts w:ascii="Times New Roman" w:hAnsi="Times New Roman" w:cs="Times New Roman"/>
          <w:sz w:val="28"/>
          <w:szCs w:val="22"/>
        </w:rPr>
        <w:t>be no deficit financing at the State level, and that the size of the State</w:t>
      </w:r>
      <w:r w:rsidR="00A83649">
        <w:rPr>
          <w:rFonts w:ascii="Times New Roman" w:hAnsi="Times New Roman" w:cs="Times New Roman"/>
          <w:sz w:val="28"/>
          <w:szCs w:val="22"/>
        </w:rPr>
        <w:t xml:space="preserve"> </w:t>
      </w:r>
      <w:r w:rsidRPr="00A83649">
        <w:rPr>
          <w:rFonts w:ascii="Times New Roman" w:hAnsi="Times New Roman" w:cs="Times New Roman"/>
          <w:sz w:val="28"/>
          <w:szCs w:val="22"/>
        </w:rPr>
        <w:t>Plans should be regulated strictly within the States' own resources</w:t>
      </w:r>
      <w:r w:rsidR="00A83649">
        <w:rPr>
          <w:rFonts w:ascii="Times New Roman" w:hAnsi="Times New Roman" w:cs="Times New Roman"/>
          <w:sz w:val="28"/>
          <w:szCs w:val="22"/>
        </w:rPr>
        <w:t xml:space="preserve"> </w:t>
      </w:r>
      <w:r w:rsidRPr="00A83649">
        <w:rPr>
          <w:rFonts w:ascii="Times New Roman" w:hAnsi="Times New Roman" w:cs="Times New Roman"/>
          <w:sz w:val="28"/>
          <w:szCs w:val="22"/>
        </w:rPr>
        <w:t>and such Central assistance as may be available. For this purpose,</w:t>
      </w:r>
      <w:r w:rsidR="00A83649">
        <w:rPr>
          <w:rFonts w:ascii="Times New Roman" w:hAnsi="Times New Roman" w:cs="Times New Roman"/>
          <w:sz w:val="28"/>
          <w:szCs w:val="22"/>
        </w:rPr>
        <w:t xml:space="preserve"> </w:t>
      </w:r>
      <w:r w:rsidRPr="00A83649">
        <w:rPr>
          <w:rFonts w:ascii="Times New Roman" w:hAnsi="Times New Roman" w:cs="Times New Roman"/>
          <w:sz w:val="28"/>
          <w:szCs w:val="22"/>
        </w:rPr>
        <w:t>ways and means advances should not be considered as a resource.</w:t>
      </w:r>
    </w:p>
    <w:p w14:paraId="6628C4E2" w14:textId="77777777" w:rsidR="00D923FB" w:rsidRPr="00A83649" w:rsidRDefault="00D923FB" w:rsidP="00A83649">
      <w:pPr>
        <w:rPr>
          <w:rFonts w:ascii="Times New Roman" w:hAnsi="Times New Roman" w:cs="Times New Roman"/>
          <w:b/>
          <w:bCs/>
          <w:sz w:val="28"/>
          <w:szCs w:val="28"/>
        </w:rPr>
      </w:pPr>
      <w:r w:rsidRPr="00A83649">
        <w:rPr>
          <w:rFonts w:ascii="Times New Roman" w:hAnsi="Times New Roman" w:cs="Times New Roman"/>
          <w:b/>
          <w:bCs/>
          <w:sz w:val="28"/>
          <w:szCs w:val="28"/>
        </w:rPr>
        <w:lastRenderedPageBreak/>
        <w:t>Repayment of Central loans</w:t>
      </w:r>
    </w:p>
    <w:p w14:paraId="45160EDB" w14:textId="2DBD33FC" w:rsidR="00D923FB" w:rsidRPr="005575C9" w:rsidRDefault="00D923FB" w:rsidP="005575C9">
      <w:pPr>
        <w:pStyle w:val="ListParagraph"/>
        <w:numPr>
          <w:ilvl w:val="0"/>
          <w:numId w:val="34"/>
        </w:numPr>
        <w:spacing w:line="300" w:lineRule="exact"/>
        <w:ind w:left="-142" w:firstLine="142"/>
        <w:contextualSpacing w:val="0"/>
        <w:jc w:val="both"/>
        <w:rPr>
          <w:rFonts w:ascii="Times New Roman" w:hAnsi="Times New Roman" w:cs="Times New Roman"/>
          <w:sz w:val="28"/>
          <w:szCs w:val="22"/>
        </w:rPr>
      </w:pPr>
      <w:r w:rsidRPr="005575C9">
        <w:rPr>
          <w:rFonts w:ascii="Times New Roman" w:hAnsi="Times New Roman" w:cs="Times New Roman"/>
          <w:sz w:val="28"/>
          <w:szCs w:val="22"/>
        </w:rPr>
        <w:t>Besides the requirements of unforeseen circumstances which</w:t>
      </w:r>
      <w:r w:rsidR="005575C9" w:rsidRPr="005575C9">
        <w:rPr>
          <w:rFonts w:ascii="Times New Roman" w:hAnsi="Times New Roman" w:cs="Times New Roman"/>
          <w:sz w:val="28"/>
          <w:szCs w:val="22"/>
        </w:rPr>
        <w:t xml:space="preserve"> </w:t>
      </w:r>
      <w:r w:rsidRPr="005575C9">
        <w:rPr>
          <w:rFonts w:ascii="Times New Roman" w:hAnsi="Times New Roman" w:cs="Times New Roman"/>
          <w:sz w:val="28"/>
          <w:szCs w:val="22"/>
        </w:rPr>
        <w:t xml:space="preserve">have led to difficulties in the States' revenue budgets, the volume of repayment of loans has in recent years resulted in a considerable strain on the capital side. In this respect there is a serious lacuna in the present arrangements for fiscal assistance to States to which we would like to draw the attention of the Central Government. The repayments of loans by States have been growing very steeply (vide </w:t>
      </w:r>
      <w:r w:rsidR="004505D6" w:rsidRPr="005575C9">
        <w:rPr>
          <w:rFonts w:ascii="Times New Roman" w:hAnsi="Times New Roman" w:cs="Times New Roman"/>
          <w:sz w:val="28"/>
          <w:szCs w:val="22"/>
        </w:rPr>
        <w:t>t</w:t>
      </w:r>
      <w:r w:rsidRPr="005575C9">
        <w:rPr>
          <w:rFonts w:ascii="Times New Roman" w:hAnsi="Times New Roman" w:cs="Times New Roman"/>
          <w:sz w:val="28"/>
          <w:szCs w:val="22"/>
        </w:rPr>
        <w:t xml:space="preserve">able 3) while non-Plan capital receipts have not shown any such growth. It has not been possible for us to consider the various items of capital receipts and expenditure individually, but taken together they have resulted in substantial non-Plan capital deficits (vide Table 4) which have been largely responsible for unauthorised overdrafts in several States. At present, there is no arrangement for dealing with the problem of these capital deficits. In order that unauthorised overdrafts are avoided, we suggest that whenever such deficit is anticipated, the State Government should carefully </w:t>
      </w:r>
      <w:r w:rsidR="007C0B5D" w:rsidRPr="005575C9">
        <w:rPr>
          <w:rFonts w:ascii="Times New Roman" w:hAnsi="Times New Roman" w:cs="Times New Roman"/>
          <w:sz w:val="28"/>
          <w:szCs w:val="22"/>
        </w:rPr>
        <w:t>consider</w:t>
      </w:r>
      <w:r w:rsidRPr="005575C9">
        <w:rPr>
          <w:rFonts w:ascii="Times New Roman" w:hAnsi="Times New Roman" w:cs="Times New Roman"/>
          <w:sz w:val="28"/>
          <w:szCs w:val="22"/>
        </w:rPr>
        <w:t xml:space="preserve"> how far its non-Plan capital expenditure can be reduced, and also make efforts to increase its capital receipts including better recovery of loans given by it. If in spite of such efforts, the capital budget for the year cannot be balanced, the State may represent its case to the Central </w:t>
      </w:r>
      <w:r w:rsidR="004505D6" w:rsidRPr="005575C9">
        <w:rPr>
          <w:rFonts w:ascii="Times New Roman" w:hAnsi="Times New Roman" w:cs="Times New Roman"/>
          <w:sz w:val="28"/>
          <w:szCs w:val="22"/>
        </w:rPr>
        <w:t>Government</w:t>
      </w:r>
      <w:r w:rsidRPr="005575C9">
        <w:rPr>
          <w:rFonts w:ascii="Times New Roman" w:hAnsi="Times New Roman" w:cs="Times New Roman"/>
          <w:sz w:val="28"/>
          <w:szCs w:val="22"/>
        </w:rPr>
        <w:t xml:space="preserve"> which may, if satisfied that the </w:t>
      </w:r>
      <w:r w:rsidR="004505D6" w:rsidRPr="005575C9">
        <w:rPr>
          <w:rFonts w:ascii="Times New Roman" w:hAnsi="Times New Roman" w:cs="Times New Roman"/>
          <w:sz w:val="28"/>
          <w:szCs w:val="22"/>
        </w:rPr>
        <w:t>State</w:t>
      </w:r>
      <w:r w:rsidRPr="005575C9">
        <w:rPr>
          <w:rFonts w:ascii="Times New Roman" w:hAnsi="Times New Roman" w:cs="Times New Roman"/>
          <w:sz w:val="28"/>
          <w:szCs w:val="22"/>
        </w:rPr>
        <w:t xml:space="preserve"> needs relief in order to avoid unauthorised overdrafts, consider deferring the repayment of Central loans falling due during the year to t</w:t>
      </w:r>
      <w:r w:rsidR="004505D6" w:rsidRPr="005575C9">
        <w:rPr>
          <w:rFonts w:ascii="Times New Roman" w:hAnsi="Times New Roman" w:cs="Times New Roman"/>
          <w:sz w:val="28"/>
          <w:szCs w:val="22"/>
        </w:rPr>
        <w:t>h</w:t>
      </w:r>
      <w:r w:rsidRPr="005575C9">
        <w:rPr>
          <w:rFonts w:ascii="Times New Roman" w:hAnsi="Times New Roman" w:cs="Times New Roman"/>
          <w:sz w:val="28"/>
          <w:szCs w:val="22"/>
        </w:rPr>
        <w:t>e necessary extent.</w:t>
      </w:r>
    </w:p>
    <w:p w14:paraId="7A44D1F4" w14:textId="77777777" w:rsidR="00D923FB" w:rsidRPr="00A83649" w:rsidRDefault="00D923FB" w:rsidP="00A83649">
      <w:pPr>
        <w:rPr>
          <w:rFonts w:ascii="Times New Roman" w:hAnsi="Times New Roman" w:cs="Times New Roman"/>
          <w:b/>
          <w:bCs/>
          <w:sz w:val="28"/>
          <w:szCs w:val="28"/>
        </w:rPr>
      </w:pPr>
      <w:r w:rsidRPr="00A83649">
        <w:rPr>
          <w:rFonts w:ascii="Times New Roman" w:hAnsi="Times New Roman" w:cs="Times New Roman"/>
          <w:b/>
          <w:bCs/>
          <w:sz w:val="28"/>
          <w:szCs w:val="28"/>
        </w:rPr>
        <w:t xml:space="preserve">Deprivation of States' share of taxes </w:t>
      </w:r>
    </w:p>
    <w:p w14:paraId="3D377B25" w14:textId="72CAE021" w:rsidR="00D923FB" w:rsidRPr="005575C9" w:rsidRDefault="00D923FB" w:rsidP="005575C9">
      <w:pPr>
        <w:pStyle w:val="ListParagraph"/>
        <w:numPr>
          <w:ilvl w:val="0"/>
          <w:numId w:val="34"/>
        </w:numPr>
        <w:spacing w:line="300" w:lineRule="exact"/>
        <w:ind w:left="-142" w:firstLine="142"/>
        <w:contextualSpacing w:val="0"/>
        <w:jc w:val="both"/>
        <w:rPr>
          <w:rFonts w:ascii="Times New Roman" w:hAnsi="Times New Roman" w:cs="Times New Roman"/>
          <w:sz w:val="28"/>
          <w:szCs w:val="22"/>
        </w:rPr>
      </w:pPr>
      <w:r w:rsidRPr="005575C9">
        <w:rPr>
          <w:rFonts w:ascii="Times New Roman" w:hAnsi="Times New Roman" w:cs="Times New Roman"/>
          <w:sz w:val="28"/>
          <w:szCs w:val="22"/>
        </w:rPr>
        <w:t>Some of the State Governments have 1epresented to us that the inadequacy of their resources has been accentuated by the unit lateral actions taken by the Central Government which have deprived them of their le</w:t>
      </w:r>
      <w:r w:rsidR="009E30AC" w:rsidRPr="005575C9">
        <w:rPr>
          <w:rFonts w:ascii="Times New Roman" w:hAnsi="Times New Roman" w:cs="Times New Roman"/>
          <w:sz w:val="28"/>
          <w:szCs w:val="22"/>
        </w:rPr>
        <w:t>gi</w:t>
      </w:r>
      <w:r w:rsidRPr="005575C9">
        <w:rPr>
          <w:rFonts w:ascii="Times New Roman" w:hAnsi="Times New Roman" w:cs="Times New Roman"/>
          <w:sz w:val="28"/>
          <w:szCs w:val="22"/>
        </w:rPr>
        <w:t>timate shares out of proceeds from advance collection of income-tax, income-tax on companies and tax on railway passenger fares. We may point out that while the Constitution gives the Sta</w:t>
      </w:r>
      <w:r w:rsidR="009E30AC" w:rsidRPr="005575C9">
        <w:rPr>
          <w:rFonts w:ascii="Times New Roman" w:hAnsi="Times New Roman" w:cs="Times New Roman"/>
          <w:sz w:val="28"/>
          <w:szCs w:val="22"/>
        </w:rPr>
        <w:t>t</w:t>
      </w:r>
      <w:r w:rsidRPr="005575C9">
        <w:rPr>
          <w:rFonts w:ascii="Times New Roman" w:hAnsi="Times New Roman" w:cs="Times New Roman"/>
          <w:sz w:val="28"/>
          <w:szCs w:val="22"/>
        </w:rPr>
        <w:t>es a right to share in certain taxes when they are levied by the Centre, it is the responsibility of the Central Government decide what taxes are to be levied as well a</w:t>
      </w:r>
      <w:r w:rsidR="007C0B5D">
        <w:rPr>
          <w:rFonts w:ascii="Times New Roman" w:hAnsi="Times New Roman" w:cs="Times New Roman"/>
          <w:sz w:val="28"/>
          <w:szCs w:val="22"/>
        </w:rPr>
        <w:t>s</w:t>
      </w:r>
      <w:r w:rsidRPr="005575C9">
        <w:rPr>
          <w:rFonts w:ascii="Times New Roman" w:hAnsi="Times New Roman" w:cs="Times New Roman"/>
          <w:sz w:val="28"/>
          <w:szCs w:val="22"/>
        </w:rPr>
        <w:t xml:space="preserve"> the manner in which and the rates at which they should be levied. The machinery of Finance Commissions has b</w:t>
      </w:r>
      <w:r w:rsidR="009E30AC" w:rsidRPr="005575C9">
        <w:rPr>
          <w:rFonts w:ascii="Times New Roman" w:hAnsi="Times New Roman" w:cs="Times New Roman"/>
          <w:sz w:val="28"/>
          <w:szCs w:val="22"/>
        </w:rPr>
        <w:t>e</w:t>
      </w:r>
      <w:r w:rsidRPr="005575C9">
        <w:rPr>
          <w:rFonts w:ascii="Times New Roman" w:hAnsi="Times New Roman" w:cs="Times New Roman"/>
          <w:sz w:val="28"/>
          <w:szCs w:val="22"/>
        </w:rPr>
        <w:t xml:space="preserve">en provided to ensure that the States receive an equitable share of the proceeds of divisible taxes and duties after periodical review. A cause for complaint regarding deprivation of the States' due share can therefore arise </w:t>
      </w:r>
      <w:r w:rsidR="009E30AC" w:rsidRPr="005575C9">
        <w:rPr>
          <w:rFonts w:ascii="Times New Roman" w:hAnsi="Times New Roman" w:cs="Times New Roman"/>
          <w:sz w:val="28"/>
          <w:szCs w:val="22"/>
        </w:rPr>
        <w:t>only</w:t>
      </w:r>
      <w:r w:rsidRPr="005575C9">
        <w:rPr>
          <w:rFonts w:ascii="Times New Roman" w:hAnsi="Times New Roman" w:cs="Times New Roman"/>
          <w:sz w:val="28"/>
          <w:szCs w:val="22"/>
        </w:rPr>
        <w:t xml:space="preserve"> if the Central Government made a change </w:t>
      </w:r>
      <w:r w:rsidR="009E30AC" w:rsidRPr="005575C9">
        <w:rPr>
          <w:rFonts w:ascii="Times New Roman" w:hAnsi="Times New Roman" w:cs="Times New Roman"/>
          <w:sz w:val="28"/>
          <w:szCs w:val="22"/>
        </w:rPr>
        <w:t>adversely</w:t>
      </w:r>
      <w:r w:rsidRPr="005575C9">
        <w:rPr>
          <w:rFonts w:ascii="Times New Roman" w:hAnsi="Times New Roman" w:cs="Times New Roman"/>
          <w:sz w:val="28"/>
          <w:szCs w:val="22"/>
        </w:rPr>
        <w:t xml:space="preserve"> affecting the States without providing for suitable compensation during the period </w:t>
      </w:r>
      <w:r w:rsidR="009E30AC" w:rsidRPr="005575C9">
        <w:rPr>
          <w:rFonts w:ascii="Times New Roman" w:hAnsi="Times New Roman" w:cs="Times New Roman"/>
          <w:sz w:val="28"/>
          <w:szCs w:val="22"/>
        </w:rPr>
        <w:t>between</w:t>
      </w:r>
      <w:r w:rsidRPr="005575C9">
        <w:rPr>
          <w:rFonts w:ascii="Times New Roman" w:hAnsi="Times New Roman" w:cs="Times New Roman"/>
          <w:sz w:val="28"/>
          <w:szCs w:val="22"/>
        </w:rPr>
        <w:t xml:space="preserve"> two Finance </w:t>
      </w:r>
      <w:r w:rsidR="009E30AC" w:rsidRPr="005575C9">
        <w:rPr>
          <w:rFonts w:ascii="Times New Roman" w:hAnsi="Times New Roman" w:cs="Times New Roman"/>
          <w:sz w:val="28"/>
          <w:szCs w:val="22"/>
        </w:rPr>
        <w:t>Commissions</w:t>
      </w:r>
      <w:r w:rsidRPr="005575C9">
        <w:rPr>
          <w:rFonts w:ascii="Times New Roman" w:hAnsi="Times New Roman" w:cs="Times New Roman"/>
          <w:sz w:val="28"/>
          <w:szCs w:val="22"/>
        </w:rPr>
        <w:t xml:space="preserve">. Such has not been the position in any of </w:t>
      </w:r>
      <w:r w:rsidR="009E30AC" w:rsidRPr="005575C9">
        <w:rPr>
          <w:rFonts w:ascii="Times New Roman" w:hAnsi="Times New Roman" w:cs="Times New Roman"/>
          <w:sz w:val="28"/>
          <w:szCs w:val="22"/>
        </w:rPr>
        <w:t>the</w:t>
      </w:r>
      <w:r w:rsidRPr="005575C9">
        <w:rPr>
          <w:rFonts w:ascii="Times New Roman" w:hAnsi="Times New Roman" w:cs="Times New Roman"/>
          <w:sz w:val="28"/>
          <w:szCs w:val="22"/>
        </w:rPr>
        <w:t xml:space="preserve"> cases mentioned by the States in this connection. </w:t>
      </w:r>
      <w:r w:rsidR="009E30AC" w:rsidRPr="005575C9">
        <w:rPr>
          <w:rFonts w:ascii="Times New Roman" w:hAnsi="Times New Roman" w:cs="Times New Roman"/>
          <w:sz w:val="28"/>
          <w:szCs w:val="22"/>
        </w:rPr>
        <w:t>Whatever</w:t>
      </w:r>
      <w:r w:rsidRPr="005575C9">
        <w:rPr>
          <w:rFonts w:ascii="Times New Roman" w:hAnsi="Times New Roman" w:cs="Times New Roman"/>
          <w:sz w:val="28"/>
          <w:szCs w:val="22"/>
        </w:rPr>
        <w:t xml:space="preserve"> view might be taken as to th</w:t>
      </w:r>
      <w:r w:rsidR="009E30AC" w:rsidRPr="005575C9">
        <w:rPr>
          <w:rFonts w:ascii="Times New Roman" w:hAnsi="Times New Roman" w:cs="Times New Roman"/>
          <w:sz w:val="28"/>
          <w:szCs w:val="22"/>
        </w:rPr>
        <w:t>e</w:t>
      </w:r>
      <w:r w:rsidRPr="005575C9">
        <w:rPr>
          <w:rFonts w:ascii="Times New Roman" w:hAnsi="Times New Roman" w:cs="Times New Roman"/>
          <w:sz w:val="28"/>
          <w:szCs w:val="22"/>
        </w:rPr>
        <w:t xml:space="preserve"> correctness of the procedure for determining the net proceeds of income-tax, the fact is that the pre sent practice of excluding advance </w:t>
      </w:r>
      <w:r w:rsidR="009E30AC" w:rsidRPr="005575C9">
        <w:rPr>
          <w:rFonts w:ascii="Times New Roman" w:hAnsi="Times New Roman" w:cs="Times New Roman"/>
          <w:sz w:val="28"/>
          <w:szCs w:val="22"/>
        </w:rPr>
        <w:t>collection</w:t>
      </w:r>
      <w:r w:rsidRPr="005575C9">
        <w:rPr>
          <w:rFonts w:ascii="Times New Roman" w:hAnsi="Times New Roman" w:cs="Times New Roman"/>
          <w:sz w:val="28"/>
          <w:szCs w:val="22"/>
        </w:rPr>
        <w:t xml:space="preserve"> of income-tax from the divisible pool pending finalisation of assessments has been in existence since a time prior to the appointment of the first </w:t>
      </w:r>
      <w:r w:rsidR="009E30AC" w:rsidRPr="005575C9">
        <w:rPr>
          <w:rFonts w:ascii="Times New Roman" w:hAnsi="Times New Roman" w:cs="Times New Roman"/>
          <w:sz w:val="28"/>
          <w:szCs w:val="22"/>
        </w:rPr>
        <w:t>Finance</w:t>
      </w:r>
      <w:r w:rsidRPr="005575C9">
        <w:rPr>
          <w:rFonts w:ascii="Times New Roman" w:hAnsi="Times New Roman" w:cs="Times New Roman"/>
          <w:sz w:val="28"/>
          <w:szCs w:val="22"/>
        </w:rPr>
        <w:t xml:space="preserve"> </w:t>
      </w:r>
      <w:r w:rsidR="009E30AC" w:rsidRPr="005575C9">
        <w:rPr>
          <w:rFonts w:ascii="Times New Roman" w:hAnsi="Times New Roman" w:cs="Times New Roman"/>
          <w:sz w:val="28"/>
          <w:szCs w:val="22"/>
        </w:rPr>
        <w:t>Commission</w:t>
      </w:r>
      <w:r w:rsidRPr="005575C9">
        <w:rPr>
          <w:rFonts w:ascii="Times New Roman" w:hAnsi="Times New Roman" w:cs="Times New Roman"/>
          <w:sz w:val="28"/>
          <w:szCs w:val="22"/>
        </w:rPr>
        <w:t xml:space="preserve"> and even before the commencement of the Constitution. All the Finance Commissions have framed their recommendations </w:t>
      </w:r>
      <w:r w:rsidRPr="005575C9">
        <w:rPr>
          <w:rFonts w:ascii="Times New Roman" w:hAnsi="Times New Roman" w:cs="Times New Roman"/>
          <w:sz w:val="28"/>
          <w:szCs w:val="22"/>
        </w:rPr>
        <w:lastRenderedPageBreak/>
        <w:t>regarding devolution of taxes and grants after having due regard to the size of the divisible p</w:t>
      </w:r>
      <w:r w:rsidR="009E30AC" w:rsidRPr="005575C9">
        <w:rPr>
          <w:rFonts w:ascii="Times New Roman" w:hAnsi="Times New Roman" w:cs="Times New Roman"/>
          <w:sz w:val="28"/>
          <w:szCs w:val="22"/>
        </w:rPr>
        <w:t>o</w:t>
      </w:r>
      <w:r w:rsidRPr="005575C9">
        <w:rPr>
          <w:rFonts w:ascii="Times New Roman" w:hAnsi="Times New Roman" w:cs="Times New Roman"/>
          <w:sz w:val="28"/>
          <w:szCs w:val="22"/>
        </w:rPr>
        <w:t>ol of income-tax estimated on the basis of the existing procedure. The change in the Income-tax Act whereby the income-tax paid by companies was brought into the category of Corporation taxes was made in 1959. This resulted in contraction of the divisible pool immediately, but the Central Government gave the States a compensatory grant to make good the loss. When this matter was dealt with by the Third Finance Commission, it pointed out that there were other measures available for taking account of the shrinkage in the divisible pool. On this and other considerations it increased the States’ share in the proceeds of income-tax to 66</w:t>
      </w:r>
      <w:r w:rsidR="009E30AC" w:rsidRPr="005575C9">
        <w:rPr>
          <w:rFonts w:ascii="Times New Roman" w:hAnsi="Times New Roman" w:cs="Times New Roman"/>
          <w:sz w:val="28"/>
          <w:szCs w:val="22"/>
        </w:rPr>
        <w:t>-</w:t>
      </w:r>
      <w:r w:rsidRPr="005575C9">
        <w:rPr>
          <w:rFonts w:ascii="Times New Roman" w:hAnsi="Times New Roman" w:cs="Times New Roman"/>
          <w:sz w:val="28"/>
          <w:szCs w:val="22"/>
        </w:rPr>
        <w:t>⅔ per cent and also made other recommendations to increase the volume of devolution. The Fourth Finance Commission also took due note of the States’ representations in this regard and eventually increased the States’ share of income-tax to 75 per cent. An ad hoc grant was provided by the Centre in lieu of the repealed tax on railway passenger fares. We do not therefore consider that the contention of some States that these measures have led to unauthorised overdrafts is justified.</w:t>
      </w:r>
    </w:p>
    <w:p w14:paraId="7892CF45" w14:textId="0D0A3ED1" w:rsidR="00D923FB" w:rsidRPr="00A83649" w:rsidRDefault="00D923FB" w:rsidP="00A83649">
      <w:pPr>
        <w:rPr>
          <w:rFonts w:ascii="Times New Roman" w:hAnsi="Times New Roman" w:cs="Times New Roman"/>
          <w:b/>
          <w:bCs/>
          <w:sz w:val="28"/>
          <w:szCs w:val="28"/>
        </w:rPr>
      </w:pPr>
      <w:r w:rsidRPr="00A83649">
        <w:rPr>
          <w:rFonts w:ascii="Times New Roman" w:hAnsi="Times New Roman" w:cs="Times New Roman"/>
          <w:b/>
          <w:bCs/>
          <w:sz w:val="28"/>
          <w:szCs w:val="28"/>
        </w:rPr>
        <w:t>Delays in receipt of devolution and Plan assistance</w:t>
      </w:r>
    </w:p>
    <w:p w14:paraId="33269369" w14:textId="77777777" w:rsidR="00D923FB" w:rsidRPr="005575C9" w:rsidRDefault="00D923FB" w:rsidP="005575C9">
      <w:pPr>
        <w:pStyle w:val="ListParagraph"/>
        <w:numPr>
          <w:ilvl w:val="0"/>
          <w:numId w:val="34"/>
        </w:numPr>
        <w:spacing w:line="300" w:lineRule="exact"/>
        <w:ind w:left="-142" w:firstLine="142"/>
        <w:contextualSpacing w:val="0"/>
        <w:jc w:val="both"/>
        <w:rPr>
          <w:rFonts w:ascii="Times New Roman" w:hAnsi="Times New Roman" w:cs="Times New Roman"/>
          <w:sz w:val="28"/>
          <w:szCs w:val="22"/>
        </w:rPr>
      </w:pPr>
      <w:r w:rsidRPr="005575C9">
        <w:rPr>
          <w:rFonts w:ascii="Times New Roman" w:hAnsi="Times New Roman" w:cs="Times New Roman"/>
          <w:sz w:val="28"/>
          <w:szCs w:val="22"/>
        </w:rPr>
        <w:t xml:space="preserve"> We now come to temporary difficulties arising from fluctuations in the flow of receipts and expenditure. In this connection the States have complained of delays in the receipt of their shares of tax devolution, statutory grants and Plan assistance. We have gone into this question in some detail. We find that the States’ shares of the Union Excise and Additional Excise Duties are paid to them in monthly instalments and grants under Article 275 are disbursed quarterly in advance. The States’ share of income-tax is paid quarterly—10 per cent in July, 20 per cent in October, 25 per cent in January and the rest in March. It is seen that the income-tax collections follow the same pattern (vide Table 5), and obviously the Central Government cannot be expected to pay the States’ share in advance. Since, however, large portions of this share involving considerable sums are at present being paid to the States in January and March, we suggest that the Central Government may consider whether the releases could be made more frequently during the last two quarters.</w:t>
      </w:r>
    </w:p>
    <w:p w14:paraId="03386496" w14:textId="04C1CFEE" w:rsidR="00D923FB" w:rsidRPr="005575C9" w:rsidRDefault="00D923FB" w:rsidP="005575C9">
      <w:pPr>
        <w:pStyle w:val="ListParagraph"/>
        <w:numPr>
          <w:ilvl w:val="0"/>
          <w:numId w:val="34"/>
        </w:numPr>
        <w:spacing w:line="300" w:lineRule="exact"/>
        <w:ind w:left="-142" w:firstLine="142"/>
        <w:contextualSpacing w:val="0"/>
        <w:jc w:val="both"/>
        <w:rPr>
          <w:rFonts w:ascii="Times New Roman" w:hAnsi="Times New Roman" w:cs="Times New Roman"/>
          <w:sz w:val="28"/>
          <w:szCs w:val="22"/>
        </w:rPr>
      </w:pPr>
      <w:r w:rsidRPr="005575C9">
        <w:rPr>
          <w:rFonts w:ascii="Times New Roman" w:hAnsi="Times New Roman" w:cs="Times New Roman"/>
          <w:sz w:val="28"/>
          <w:szCs w:val="22"/>
        </w:rPr>
        <w:t xml:space="preserve"> Under the existing arrangement for release of Plan assistance, except for expenditure on multi-purpose river projects where quarterly payments are made on the basis of estimated expenditure, monthly ways and means advances are made to State Governments during the first ten months of the year on the basis of annual budget estimates and the residual amount is released in March on the basis of departmental figures of actuals for nine months and departmental estimates of expenditure for the last quarter. The Plan assistance actually due for the year is finally adjusted on the basis of audited figures which generally become available long after the close of the year. This procedure, we understand, follows a recommendation of the Central Public Accounts Committee. We think that the delay in the final adjustment of Plan assistance should not normally result in any ways and means difficulty, unless there have been large increase</w:t>
      </w:r>
      <w:r w:rsidR="00AA2913">
        <w:rPr>
          <w:rFonts w:ascii="Times New Roman" w:hAnsi="Times New Roman" w:cs="Times New Roman"/>
          <w:sz w:val="28"/>
          <w:szCs w:val="22"/>
        </w:rPr>
        <w:t>s</w:t>
      </w:r>
      <w:r w:rsidRPr="005575C9">
        <w:rPr>
          <w:rFonts w:ascii="Times New Roman" w:hAnsi="Times New Roman" w:cs="Times New Roman"/>
          <w:sz w:val="28"/>
          <w:szCs w:val="22"/>
        </w:rPr>
        <w:t xml:space="preserve"> in Plan expenditure actually incurred </w:t>
      </w:r>
      <w:r w:rsidRPr="005575C9">
        <w:rPr>
          <w:rFonts w:ascii="Times New Roman" w:hAnsi="Times New Roman" w:cs="Times New Roman"/>
          <w:sz w:val="28"/>
          <w:szCs w:val="22"/>
        </w:rPr>
        <w:lastRenderedPageBreak/>
        <w:t>as compared with the departmental actuals for nine months and estimated expenditure for the last quarter. The disparity between the two could be substantially narrowed down if the State Governments arrange for</w:t>
      </w:r>
      <w:r w:rsidR="0065152D" w:rsidRPr="005575C9">
        <w:rPr>
          <w:rFonts w:ascii="Times New Roman" w:hAnsi="Times New Roman" w:cs="Times New Roman"/>
          <w:sz w:val="28"/>
          <w:szCs w:val="22"/>
        </w:rPr>
        <w:t xml:space="preserve"> </w:t>
      </w:r>
      <w:r w:rsidRPr="005575C9">
        <w:rPr>
          <w:rFonts w:ascii="Times New Roman" w:hAnsi="Times New Roman" w:cs="Times New Roman"/>
          <w:sz w:val="28"/>
          <w:szCs w:val="22"/>
        </w:rPr>
        <w:t>speedy reconciliation of departmental actuals with the accounts maintained by the Accountants-General during the course of the year. Efforts should also be made to reduce the time taken for completion of audit.</w:t>
      </w:r>
    </w:p>
    <w:p w14:paraId="25777994" w14:textId="77777777" w:rsidR="00D923FB" w:rsidRPr="00A83649" w:rsidRDefault="00D923FB" w:rsidP="00A83649">
      <w:pPr>
        <w:rPr>
          <w:rFonts w:ascii="Times New Roman" w:hAnsi="Times New Roman" w:cs="Times New Roman"/>
          <w:b/>
          <w:bCs/>
          <w:sz w:val="28"/>
          <w:szCs w:val="28"/>
        </w:rPr>
      </w:pPr>
      <w:r w:rsidRPr="00A83649">
        <w:rPr>
          <w:rFonts w:ascii="Times New Roman" w:hAnsi="Times New Roman" w:cs="Times New Roman"/>
          <w:b/>
          <w:bCs/>
          <w:sz w:val="28"/>
          <w:szCs w:val="28"/>
        </w:rPr>
        <w:t>Payments on behalf of Central and other State Governments</w:t>
      </w:r>
    </w:p>
    <w:p w14:paraId="737FE740" w14:textId="77777777" w:rsidR="00D923FB" w:rsidRPr="005575C9" w:rsidRDefault="00D923FB" w:rsidP="005575C9">
      <w:pPr>
        <w:pStyle w:val="ListParagraph"/>
        <w:numPr>
          <w:ilvl w:val="0"/>
          <w:numId w:val="34"/>
        </w:numPr>
        <w:spacing w:line="300" w:lineRule="exact"/>
        <w:ind w:left="-142" w:firstLine="142"/>
        <w:contextualSpacing w:val="0"/>
        <w:jc w:val="both"/>
        <w:rPr>
          <w:rFonts w:ascii="Times New Roman" w:hAnsi="Times New Roman" w:cs="Times New Roman"/>
          <w:sz w:val="28"/>
          <w:szCs w:val="22"/>
        </w:rPr>
      </w:pPr>
      <w:r w:rsidRPr="005575C9">
        <w:rPr>
          <w:rFonts w:ascii="Times New Roman" w:hAnsi="Times New Roman" w:cs="Times New Roman"/>
          <w:sz w:val="28"/>
          <w:szCs w:val="22"/>
        </w:rPr>
        <w:t>Some State Governments have suggested a change in the existing accounting arrangements for transactions in a State on behalf of the Central Government and other State Governments which are initially met from State balances. The Central Government transactions at banking treasuries and sub-treasuries do not affect the cash balance of a State as they are met directly from the Central Government's cash balance. Central transactions at non-banking treasuries are initially met from the State's own balances. but they are adjusted on a weekly basis. Transactions of other State Governments at all treasuries and banks are met from the cash balance of the State where they occur and they are settled monthly. Their effect on the ways and means position of most States is, however, small and the States have also the benefit of their own transactions in other States being met from the balances of those States. We therefore think that no change in the present arrangements is called for.</w:t>
      </w:r>
    </w:p>
    <w:p w14:paraId="0CD773D8" w14:textId="77777777" w:rsidR="00D923FB" w:rsidRPr="00A83649" w:rsidRDefault="00D923FB" w:rsidP="00A83649">
      <w:pPr>
        <w:rPr>
          <w:rFonts w:ascii="Times New Roman" w:hAnsi="Times New Roman" w:cs="Times New Roman"/>
          <w:b/>
          <w:bCs/>
          <w:sz w:val="28"/>
          <w:szCs w:val="28"/>
        </w:rPr>
      </w:pPr>
      <w:r w:rsidRPr="00A83649">
        <w:rPr>
          <w:rFonts w:ascii="Times New Roman" w:hAnsi="Times New Roman" w:cs="Times New Roman"/>
          <w:b/>
          <w:bCs/>
          <w:sz w:val="28"/>
          <w:szCs w:val="28"/>
        </w:rPr>
        <w:t>Consolidation of Plan loans</w:t>
      </w:r>
    </w:p>
    <w:p w14:paraId="4083E708" w14:textId="77777777" w:rsidR="00D923FB" w:rsidRPr="005575C9" w:rsidRDefault="00D923FB" w:rsidP="005575C9">
      <w:pPr>
        <w:pStyle w:val="ListParagraph"/>
        <w:numPr>
          <w:ilvl w:val="0"/>
          <w:numId w:val="34"/>
        </w:numPr>
        <w:spacing w:line="300" w:lineRule="exact"/>
        <w:ind w:left="-142" w:firstLine="142"/>
        <w:contextualSpacing w:val="0"/>
        <w:jc w:val="both"/>
        <w:rPr>
          <w:rFonts w:ascii="Times New Roman" w:hAnsi="Times New Roman" w:cs="Times New Roman"/>
          <w:sz w:val="28"/>
          <w:szCs w:val="22"/>
        </w:rPr>
      </w:pPr>
      <w:r w:rsidRPr="005575C9">
        <w:rPr>
          <w:rFonts w:ascii="Times New Roman" w:hAnsi="Times New Roman" w:cs="Times New Roman"/>
          <w:sz w:val="28"/>
          <w:szCs w:val="22"/>
        </w:rPr>
        <w:t>According to existing arrangements large repayments of Central loans have to be made by the States in the month of October. This results in ways and means difficulties for some States during that month and the succeeding few months. It has been represented to us that the repayments falling due in October may be evenly spread over the last six months of the financial year. We think that such modification would not be helpful since in most cases the repayments due in March are also substantial (vide Table 6). In view, however, of the difficulties experienced by the States, we suggest that the Central Government may consider the possibility of suitably modifying the procedure for consolidation of loans to States so that their repayment may be in instalments which correspond generally with release of Central funds to the States and the usual time of flotation of their market loans.</w:t>
      </w:r>
    </w:p>
    <w:p w14:paraId="1F42F546" w14:textId="77777777" w:rsidR="00D923FB" w:rsidRPr="005575C9" w:rsidRDefault="00D923FB" w:rsidP="005575C9">
      <w:pPr>
        <w:rPr>
          <w:rFonts w:ascii="Times New Roman" w:hAnsi="Times New Roman" w:cs="Times New Roman"/>
          <w:b/>
          <w:bCs/>
          <w:sz w:val="28"/>
          <w:szCs w:val="28"/>
        </w:rPr>
      </w:pPr>
      <w:r w:rsidRPr="005575C9">
        <w:rPr>
          <w:rFonts w:ascii="Times New Roman" w:hAnsi="Times New Roman" w:cs="Times New Roman"/>
          <w:b/>
          <w:bCs/>
          <w:sz w:val="28"/>
          <w:szCs w:val="28"/>
        </w:rPr>
        <w:t>Inadequacy of limits of advances</w:t>
      </w:r>
    </w:p>
    <w:p w14:paraId="66C85053" w14:textId="77777777" w:rsidR="00D923FB" w:rsidRPr="005575C9" w:rsidRDefault="00D923FB" w:rsidP="005575C9">
      <w:pPr>
        <w:pStyle w:val="ListParagraph"/>
        <w:numPr>
          <w:ilvl w:val="0"/>
          <w:numId w:val="34"/>
        </w:numPr>
        <w:spacing w:line="300" w:lineRule="exact"/>
        <w:ind w:left="-142" w:firstLine="142"/>
        <w:contextualSpacing w:val="0"/>
        <w:jc w:val="both"/>
        <w:rPr>
          <w:rFonts w:ascii="Times New Roman" w:hAnsi="Times New Roman" w:cs="Times New Roman"/>
          <w:sz w:val="28"/>
          <w:szCs w:val="22"/>
        </w:rPr>
      </w:pPr>
      <w:r w:rsidRPr="005575C9">
        <w:rPr>
          <w:rFonts w:ascii="Times New Roman" w:hAnsi="Times New Roman" w:cs="Times New Roman"/>
          <w:sz w:val="28"/>
          <w:szCs w:val="22"/>
        </w:rPr>
        <w:t xml:space="preserve">Several State Governments represented to us that in view of large increases in their revenue receipts and expenditure in recent years, the limits of ways and means advances allowed to them are no longer sufficient and they should be suitably increased. At this stage, we wish specially to emphasise that the facility of ways and means advances from the Reserve Bank is intended only for enabling the States to meet their temporary day to day requirements and it is not meant to be used as a resource for financing their general budgetary needs. It is vitally important that this </w:t>
      </w:r>
      <w:r w:rsidRPr="005575C9">
        <w:rPr>
          <w:rFonts w:ascii="Times New Roman" w:hAnsi="Times New Roman" w:cs="Times New Roman"/>
          <w:sz w:val="28"/>
          <w:szCs w:val="22"/>
        </w:rPr>
        <w:lastRenderedPageBreak/>
        <w:t>basic position is accepted. Difficulties have often arisen because some States have been taking advantage of this facility to incur expenditure beyond their resources with the result that such advances are no longer available to them as a cushion for meeting temporary imbalances.</w:t>
      </w:r>
    </w:p>
    <w:p w14:paraId="2DBE6E73" w14:textId="77777777" w:rsidR="00D923FB" w:rsidRPr="005575C9" w:rsidRDefault="00D923FB" w:rsidP="005575C9">
      <w:pPr>
        <w:pStyle w:val="ListParagraph"/>
        <w:numPr>
          <w:ilvl w:val="0"/>
          <w:numId w:val="34"/>
        </w:numPr>
        <w:spacing w:line="300" w:lineRule="exact"/>
        <w:ind w:left="-142" w:firstLine="142"/>
        <w:contextualSpacing w:val="0"/>
        <w:jc w:val="both"/>
        <w:rPr>
          <w:rFonts w:ascii="Times New Roman" w:hAnsi="Times New Roman" w:cs="Times New Roman"/>
          <w:sz w:val="28"/>
          <w:szCs w:val="22"/>
        </w:rPr>
      </w:pPr>
      <w:r w:rsidRPr="005575C9">
        <w:rPr>
          <w:rFonts w:ascii="Times New Roman" w:hAnsi="Times New Roman" w:cs="Times New Roman"/>
          <w:sz w:val="28"/>
          <w:szCs w:val="22"/>
        </w:rPr>
        <w:t>As an authority responsible for monetary management the Reserve Bank has to determine the overall limits of ways and means advances for the States having regard to the prospect of timely repayment and their general effect on monetary expansion. The limits have been revised recently in March 1967 when they were substantially enhanced. Besides, the States are authorised to meet their requirements on account of trading schemes, such as purchase of foodgrains and fertilizers, by taking separate advances from the State Bank of India and other commercial banks. The adequacy of the limits of ways and means advances from the Reserve Bank can be judged only with reference to the seasonal disparities between the inflow of revenue receipts and outflow of revenue expenditure, assuming that the budget for the year as a whole is balanced. The States have not been able to show that the temporary disparity between their revenue receipts and expenditure, with balanced budgets, could not have been covered by the size of advances allowed to them. The Reserve Bank has assured us that it is always prepared to agree to an additional limit to meet any special difficulties of a State Government, provided that the Bank is satisfied that resources would be available for clearing the advance within the statutory period of three months. The State Governments can avail of this facility, and if need be, the Central Government can also be approached for temporary ways and means advances. We are, therefore, of the view that the present position regarding the limits of advances does not call for any immediate change. The Reserve Bank has stated that a periodical re-examination of the position will be possible. Having regard to the likely rapid development in the fiscal situation, we suggest that such periodical reviews should be made.</w:t>
      </w:r>
    </w:p>
    <w:p w14:paraId="7D9FF3A3" w14:textId="3F0659EB" w:rsidR="00D923FB" w:rsidRPr="005575C9" w:rsidRDefault="00D923FB" w:rsidP="005575C9">
      <w:pPr>
        <w:pStyle w:val="ListParagraph"/>
        <w:numPr>
          <w:ilvl w:val="0"/>
          <w:numId w:val="34"/>
        </w:numPr>
        <w:spacing w:line="300" w:lineRule="exact"/>
        <w:ind w:left="-142" w:firstLine="142"/>
        <w:contextualSpacing w:val="0"/>
        <w:jc w:val="both"/>
        <w:rPr>
          <w:rFonts w:ascii="Times New Roman" w:hAnsi="Times New Roman" w:cs="Times New Roman"/>
          <w:sz w:val="28"/>
          <w:szCs w:val="22"/>
        </w:rPr>
      </w:pPr>
      <w:r w:rsidRPr="005575C9">
        <w:rPr>
          <w:rFonts w:ascii="Times New Roman" w:hAnsi="Times New Roman" w:cs="Times New Roman"/>
          <w:sz w:val="28"/>
          <w:szCs w:val="22"/>
        </w:rPr>
        <w:t xml:space="preserve">Some States have referred to the difficulty which they experience in fully availing of special advances from the Reserve Bank due to their not having sufficient Central Government securities. They have stated that their ways and means position would be eased if securities of other State Governments held by them could also be accepted by the Reserve Bank as cover for special advances. The Bank has stated that under the Reserve Bank of India Act, securities of only the Central Government can be reckoned as an asset in its Issue Department. Such special treatment of Central Government securities is inherent in any federal system. The position of such securities is therefore totally different from that of State Government securities. Further, we understand that in the last few years a practice has grown among the States of subscribing to one another's securities on a reciprocal basis. Securities created in this manner do not reflect any net investment, and they cannot afford satisfactory cover to the Reserve Bank for advances to State Governments. Their acceptance for such purpose is also likely to encourage this financially unsound practice. Besides, from the viewpoint of meeting the needs of the State Governments, what is more </w:t>
      </w:r>
      <w:r w:rsidRPr="005575C9">
        <w:rPr>
          <w:rFonts w:ascii="Times New Roman" w:hAnsi="Times New Roman" w:cs="Times New Roman"/>
          <w:sz w:val="28"/>
          <w:szCs w:val="22"/>
        </w:rPr>
        <w:lastRenderedPageBreak/>
        <w:t>important is the adequacy of the limits of advances rather than the cover against which they can be obtained. Section 17(5) of the Reserve Bank of India Act does not require any cover to be taken against advances to the States, and even now clean ways and means advances are given to them upto specified limits. While the</w:t>
      </w:r>
      <w:r w:rsidR="0065152D" w:rsidRPr="005575C9">
        <w:rPr>
          <w:rFonts w:ascii="Times New Roman" w:hAnsi="Times New Roman" w:cs="Times New Roman"/>
          <w:sz w:val="28"/>
          <w:szCs w:val="22"/>
        </w:rPr>
        <w:t xml:space="preserve"> Reserve</w:t>
      </w:r>
      <w:r w:rsidRPr="005575C9">
        <w:rPr>
          <w:rFonts w:ascii="Times New Roman" w:hAnsi="Times New Roman" w:cs="Times New Roman"/>
          <w:sz w:val="28"/>
          <w:szCs w:val="22"/>
        </w:rPr>
        <w:t xml:space="preserve"> Bank normally requires Central Government securities as cover against special advances, the Governor of the Bank told us that he did not see any difficulty in providing additional accommodation to States in special difficulties whenever necessary, by allowing further clean advances in cases where they did not have sufficient Central Government securities, subject to the Bank's being satisfied about repayment of the advances in time. We suggest that the State Governments may avail themselves of this facility which should meet their requirements.</w:t>
      </w:r>
    </w:p>
    <w:p w14:paraId="09EEF512" w14:textId="77777777" w:rsidR="00D923FB" w:rsidRPr="005575C9" w:rsidRDefault="00D923FB" w:rsidP="005575C9">
      <w:pPr>
        <w:rPr>
          <w:rFonts w:ascii="Times New Roman" w:hAnsi="Times New Roman" w:cs="Times New Roman"/>
          <w:b/>
          <w:bCs/>
          <w:sz w:val="28"/>
          <w:szCs w:val="28"/>
        </w:rPr>
      </w:pPr>
      <w:r w:rsidRPr="005575C9">
        <w:rPr>
          <w:rFonts w:ascii="Times New Roman" w:hAnsi="Times New Roman" w:cs="Times New Roman"/>
          <w:b/>
          <w:bCs/>
          <w:sz w:val="28"/>
          <w:szCs w:val="28"/>
        </w:rPr>
        <w:t>Advances continuing beyond three months</w:t>
      </w:r>
    </w:p>
    <w:p w14:paraId="2F3C649E" w14:textId="6C054CF1" w:rsidR="00D923FB" w:rsidRPr="005575C9" w:rsidRDefault="00D923FB" w:rsidP="005575C9">
      <w:pPr>
        <w:pStyle w:val="ListParagraph"/>
        <w:numPr>
          <w:ilvl w:val="0"/>
          <w:numId w:val="34"/>
        </w:numPr>
        <w:spacing w:line="300" w:lineRule="exact"/>
        <w:ind w:left="-142" w:firstLine="142"/>
        <w:contextualSpacing w:val="0"/>
        <w:jc w:val="both"/>
        <w:rPr>
          <w:rFonts w:ascii="Times New Roman" w:hAnsi="Times New Roman" w:cs="Times New Roman"/>
          <w:sz w:val="28"/>
          <w:szCs w:val="22"/>
        </w:rPr>
      </w:pPr>
      <w:r w:rsidRPr="005575C9">
        <w:rPr>
          <w:rFonts w:ascii="Times New Roman" w:hAnsi="Times New Roman" w:cs="Times New Roman"/>
          <w:sz w:val="28"/>
          <w:szCs w:val="22"/>
        </w:rPr>
        <w:t xml:space="preserve">In the preceding paragraphs we have examined the various difficulties explained by the State Governments and have made some suggestions which should help in removing these difficulties. We shall now proceed to consider more fully the question as to the measures which are necessary for avoiding unauthorised overdrafts and for dealing with such cases of overdrafts as may arise </w:t>
      </w:r>
      <w:r w:rsidR="0065152D" w:rsidRPr="005575C9">
        <w:rPr>
          <w:rFonts w:ascii="Times New Roman" w:hAnsi="Times New Roman" w:cs="Times New Roman"/>
          <w:sz w:val="28"/>
          <w:szCs w:val="22"/>
        </w:rPr>
        <w:t>inspite</w:t>
      </w:r>
      <w:r w:rsidRPr="005575C9">
        <w:rPr>
          <w:rFonts w:ascii="Times New Roman" w:hAnsi="Times New Roman" w:cs="Times New Roman"/>
          <w:sz w:val="28"/>
          <w:szCs w:val="22"/>
        </w:rPr>
        <w:t xml:space="preserve"> of the measures we have suggested.</w:t>
      </w:r>
    </w:p>
    <w:p w14:paraId="3AECDA44" w14:textId="01483EE8" w:rsidR="00D923FB" w:rsidRPr="005575C9" w:rsidRDefault="00D923FB" w:rsidP="005575C9">
      <w:pPr>
        <w:pStyle w:val="ListParagraph"/>
        <w:numPr>
          <w:ilvl w:val="0"/>
          <w:numId w:val="34"/>
        </w:numPr>
        <w:spacing w:line="300" w:lineRule="exact"/>
        <w:ind w:left="-142" w:firstLine="142"/>
        <w:contextualSpacing w:val="0"/>
        <w:jc w:val="both"/>
        <w:rPr>
          <w:rFonts w:ascii="Times New Roman" w:hAnsi="Times New Roman" w:cs="Times New Roman"/>
          <w:sz w:val="28"/>
          <w:szCs w:val="22"/>
        </w:rPr>
      </w:pPr>
      <w:r w:rsidRPr="005575C9">
        <w:rPr>
          <w:rFonts w:ascii="Times New Roman" w:hAnsi="Times New Roman" w:cs="Times New Roman"/>
          <w:sz w:val="28"/>
          <w:szCs w:val="22"/>
        </w:rPr>
        <w:t xml:space="preserve">We may first consider the overdrafts which continue beyond the period of three months specified in section 17(5) of the Reserve Bank of India Act. We find that in fact a number of States have been having this type of overdrafts. The prolonged continuance of substantial ways and means advances is likely to result in their exceeding the permissible limits when there is a small time-lag in the inflow of receipts or unanticipated increase in expenditure. The Reserve Bank has been allowing such advances to continue beyond three months without renewal and without calling for their repayment on the view that the continuance of advances in this manner does not contravene section 17(5) of the Reserve Bank of India Act. We think that it is necessary to review such advances instead of allowing them to continue automatically. We suggest that the Reserve Bank should keep a continuous watch over the ways and means position of each State, and whenever any advance is found to continue beyond the period of three months, the Bank should examine whether it is due to a long-term imbalance in the State's budgetary position or any temporary reasons. Where the continuance of the advance is not due to a long term imbalance, it should be formally renewed by the Bank and treated as a fresh advance. In other </w:t>
      </w:r>
      <w:r w:rsidR="0065152D" w:rsidRPr="005575C9">
        <w:rPr>
          <w:rFonts w:ascii="Times New Roman" w:hAnsi="Times New Roman" w:cs="Times New Roman"/>
          <w:sz w:val="28"/>
          <w:szCs w:val="22"/>
        </w:rPr>
        <w:t>cases,</w:t>
      </w:r>
      <w:r w:rsidRPr="005575C9">
        <w:rPr>
          <w:rFonts w:ascii="Times New Roman" w:hAnsi="Times New Roman" w:cs="Times New Roman"/>
          <w:sz w:val="28"/>
          <w:szCs w:val="22"/>
        </w:rPr>
        <w:t xml:space="preserve"> the Bank should call upon the State Government to repay the advance, and in case of default, it should be dealt with as an unauthorised overdraft.</w:t>
      </w:r>
    </w:p>
    <w:p w14:paraId="2B7E2684" w14:textId="77777777" w:rsidR="00D923FB" w:rsidRPr="005575C9" w:rsidRDefault="00D923FB" w:rsidP="005575C9">
      <w:pPr>
        <w:rPr>
          <w:rFonts w:ascii="Times New Roman" w:hAnsi="Times New Roman" w:cs="Times New Roman"/>
          <w:b/>
          <w:bCs/>
          <w:sz w:val="28"/>
          <w:szCs w:val="28"/>
        </w:rPr>
      </w:pPr>
      <w:r w:rsidRPr="005575C9">
        <w:rPr>
          <w:rFonts w:ascii="Times New Roman" w:hAnsi="Times New Roman" w:cs="Times New Roman"/>
          <w:b/>
          <w:bCs/>
          <w:sz w:val="28"/>
          <w:szCs w:val="28"/>
        </w:rPr>
        <w:t>Balanced budgets and expenditure control</w:t>
      </w:r>
    </w:p>
    <w:p w14:paraId="21985831" w14:textId="1DFBB665" w:rsidR="00D923FB" w:rsidRPr="005575C9" w:rsidRDefault="00D923FB" w:rsidP="005575C9">
      <w:pPr>
        <w:pStyle w:val="ListParagraph"/>
        <w:numPr>
          <w:ilvl w:val="0"/>
          <w:numId w:val="34"/>
        </w:numPr>
        <w:spacing w:line="300" w:lineRule="exact"/>
        <w:ind w:left="-142" w:firstLine="142"/>
        <w:contextualSpacing w:val="0"/>
        <w:jc w:val="both"/>
        <w:rPr>
          <w:rFonts w:ascii="Times New Roman" w:hAnsi="Times New Roman" w:cs="Times New Roman"/>
          <w:sz w:val="28"/>
          <w:szCs w:val="22"/>
        </w:rPr>
      </w:pPr>
      <w:r w:rsidRPr="005575C9">
        <w:rPr>
          <w:rFonts w:ascii="Times New Roman" w:hAnsi="Times New Roman" w:cs="Times New Roman"/>
          <w:sz w:val="28"/>
          <w:szCs w:val="22"/>
        </w:rPr>
        <w:t xml:space="preserve">In the context of over-all shortage of financial resources available to the Central and State Governments and rising demands for expenditure in a welfare State, it is inevitable that the State Governments, even after receiving all possible devolution </w:t>
      </w:r>
      <w:r w:rsidRPr="005575C9">
        <w:rPr>
          <w:rFonts w:ascii="Times New Roman" w:hAnsi="Times New Roman" w:cs="Times New Roman"/>
          <w:sz w:val="28"/>
          <w:szCs w:val="22"/>
        </w:rPr>
        <w:lastRenderedPageBreak/>
        <w:t>of tax shares and grants as well as Plan assistance from the Centre, will not find themselves in a position to meet their needs in full. If the evil consequences of unauthorised overdrafts are to be avoided, it is a matter of vital importance that, in</w:t>
      </w:r>
      <w:r w:rsidR="0065152D" w:rsidRPr="005575C9">
        <w:rPr>
          <w:rFonts w:ascii="Times New Roman" w:hAnsi="Times New Roman" w:cs="Times New Roman"/>
          <w:sz w:val="28"/>
          <w:szCs w:val="22"/>
        </w:rPr>
        <w:t xml:space="preserve"> </w:t>
      </w:r>
      <w:r w:rsidRPr="005575C9">
        <w:rPr>
          <w:rFonts w:ascii="Times New Roman" w:hAnsi="Times New Roman" w:cs="Times New Roman"/>
          <w:sz w:val="28"/>
          <w:szCs w:val="22"/>
        </w:rPr>
        <w:t>spite of the relative inadequacy of their resources, the State Governments must have balanced</w:t>
      </w:r>
      <w:r w:rsidR="0065152D" w:rsidRPr="005575C9">
        <w:rPr>
          <w:rFonts w:ascii="Times New Roman" w:hAnsi="Times New Roman" w:cs="Times New Roman"/>
          <w:sz w:val="28"/>
          <w:szCs w:val="22"/>
        </w:rPr>
        <w:t xml:space="preserve"> </w:t>
      </w:r>
      <w:r w:rsidRPr="005575C9">
        <w:rPr>
          <w:rFonts w:ascii="Times New Roman" w:hAnsi="Times New Roman" w:cs="Times New Roman"/>
          <w:sz w:val="28"/>
          <w:szCs w:val="22"/>
        </w:rPr>
        <w:t>budgets and they should not embark upon any expenditure in excess of their available resources. Where, after the adoption of a balanced budget, there are fresh developments likely to result in lower receipts or higher expenditure, the responsibility for restoring the budgetary balance must necessarily lie on the State Government and it should take timely steps to mobilise sufficient additional resources or curtail its expenditure to the necessary extent. Table 7 gives the overall budgetary position of the States for the years 1965-66 to 1968-69. It shows that several States had substantial deficits at the initial stage of budget estimates and in many cases the deficits continued even at the time of revised estimates. In some cases, though the budgets had been balanced initially, the revised estimates showed considerable deficits. This practice of unbalanced budgets has inevitably led to persistent overdrafts. We therefore recommend that every State should adopt the policy of having overall balanced budgets both at the beginning of the year and at the time of revised estimates.</w:t>
      </w:r>
    </w:p>
    <w:p w14:paraId="6C7C1927" w14:textId="42B4279C" w:rsidR="00D923FB" w:rsidRPr="005575C9" w:rsidRDefault="00D923FB" w:rsidP="005575C9">
      <w:pPr>
        <w:pStyle w:val="ListParagraph"/>
        <w:numPr>
          <w:ilvl w:val="0"/>
          <w:numId w:val="34"/>
        </w:numPr>
        <w:spacing w:line="300" w:lineRule="exact"/>
        <w:ind w:left="-142" w:firstLine="142"/>
        <w:contextualSpacing w:val="0"/>
        <w:jc w:val="both"/>
        <w:rPr>
          <w:rFonts w:ascii="Times New Roman" w:hAnsi="Times New Roman" w:cs="Times New Roman"/>
          <w:sz w:val="28"/>
          <w:szCs w:val="22"/>
        </w:rPr>
      </w:pPr>
      <w:r w:rsidRPr="005575C9">
        <w:rPr>
          <w:rFonts w:ascii="Times New Roman" w:hAnsi="Times New Roman" w:cs="Times New Roman"/>
          <w:sz w:val="28"/>
          <w:szCs w:val="22"/>
        </w:rPr>
        <w:t xml:space="preserve">Even when there is a balanced budget, it is necessary that a careful watch is maintained on the flow of receipts and expenditure throughout the year. We consider it an indispensable ingredient of sound financial administration that every State should have an </w:t>
      </w:r>
      <w:r w:rsidR="0065152D" w:rsidRPr="005575C9">
        <w:rPr>
          <w:rFonts w:ascii="Times New Roman" w:hAnsi="Times New Roman" w:cs="Times New Roman"/>
          <w:sz w:val="28"/>
          <w:szCs w:val="22"/>
        </w:rPr>
        <w:t>effective way</w:t>
      </w:r>
      <w:r w:rsidRPr="005575C9">
        <w:rPr>
          <w:rFonts w:ascii="Times New Roman" w:hAnsi="Times New Roman" w:cs="Times New Roman"/>
          <w:sz w:val="28"/>
          <w:szCs w:val="22"/>
        </w:rPr>
        <w:t xml:space="preserve"> and means section in its Finance Department. Such sections already exist in several States, and we recommend that all States should have them. They should evolve a system of preparing every month a forecast of the ways and means position for at least three months ahead. On the basis of such forecasts, corrective measures should be taken where necessary and suitable directions issued to controlling officers for restricting expenditure, so as to ensure that the total disbursements do not exceed anticipated resources during each period. The States may also consider the introduction of a system in the nature of "letters of credit" in the case of major spending departments, such as Public Works, Irrigation, Electricity, Forests, etc., which generally draw money by cheques on the treasuries and banks. The monetary limit upto which each disbursing officer can incur expenditure may be fixed periodically and any withdrawal in excess of such limit should be refused by the treasury or bank. We understand that a system on these lines has been introduced in one State and has led to a definite improvement in its overdrafts position. This system may be adopted by other States with advantage.</w:t>
      </w:r>
    </w:p>
    <w:p w14:paraId="6FDDE6B3" w14:textId="77777777" w:rsidR="00D923FB" w:rsidRPr="005575C9" w:rsidRDefault="00D923FB" w:rsidP="005575C9">
      <w:pPr>
        <w:pStyle w:val="ListParagraph"/>
        <w:numPr>
          <w:ilvl w:val="0"/>
          <w:numId w:val="34"/>
        </w:numPr>
        <w:spacing w:line="300" w:lineRule="exact"/>
        <w:ind w:left="-142" w:firstLine="142"/>
        <w:contextualSpacing w:val="0"/>
        <w:jc w:val="both"/>
        <w:rPr>
          <w:rFonts w:ascii="Times New Roman" w:hAnsi="Times New Roman" w:cs="Times New Roman"/>
          <w:sz w:val="28"/>
          <w:szCs w:val="22"/>
        </w:rPr>
      </w:pPr>
      <w:r w:rsidRPr="005575C9">
        <w:rPr>
          <w:rFonts w:ascii="Times New Roman" w:hAnsi="Times New Roman" w:cs="Times New Roman"/>
          <w:sz w:val="28"/>
          <w:szCs w:val="22"/>
        </w:rPr>
        <w:t xml:space="preserve">With the adoption of balanced budgets and an effective system of control over expenditure, the States should be able to avoid any difficulties in their ways and means position. We have already dealt with the question of unforeseen developments requiring heavy expenditure or reduction of revenues, while considering the question of imbalance between the States' resources and functions. We consider that if the suggestions we have made in that regard are properly followed, the States should be </w:t>
      </w:r>
      <w:r w:rsidRPr="005575C9">
        <w:rPr>
          <w:rFonts w:ascii="Times New Roman" w:hAnsi="Times New Roman" w:cs="Times New Roman"/>
          <w:sz w:val="28"/>
          <w:szCs w:val="22"/>
        </w:rPr>
        <w:lastRenderedPageBreak/>
        <w:t>able to arrange for meeting the essential expenditure on such occasions. Where necessary, they should represent their case to the Central Government in good time for obtaining suitable assistance. We have no doubt that the Central Government would give careful consideration to the difficulties experienced by the States due to unforeseen circumstances and would give them such assistance as is possible, instead of allowing them to get into unauthorised overdrafts and having to clear them later.</w:t>
      </w:r>
    </w:p>
    <w:p w14:paraId="2EE852D8" w14:textId="77777777" w:rsidR="00D923FB" w:rsidRPr="005575C9" w:rsidRDefault="00D923FB" w:rsidP="005575C9">
      <w:pPr>
        <w:rPr>
          <w:rFonts w:ascii="Times New Roman" w:hAnsi="Times New Roman" w:cs="Times New Roman"/>
          <w:b/>
          <w:bCs/>
          <w:sz w:val="28"/>
          <w:szCs w:val="28"/>
        </w:rPr>
      </w:pPr>
      <w:r w:rsidRPr="005575C9">
        <w:rPr>
          <w:rFonts w:ascii="Times New Roman" w:hAnsi="Times New Roman" w:cs="Times New Roman"/>
          <w:b/>
          <w:bCs/>
          <w:sz w:val="28"/>
          <w:szCs w:val="28"/>
        </w:rPr>
        <w:t>Procedure for dealing with unauthorised overdrafts</w:t>
      </w:r>
    </w:p>
    <w:p w14:paraId="21BEFF03" w14:textId="77777777" w:rsidR="00D923FB" w:rsidRPr="005575C9" w:rsidRDefault="00D923FB" w:rsidP="005575C9">
      <w:pPr>
        <w:pStyle w:val="ListParagraph"/>
        <w:numPr>
          <w:ilvl w:val="0"/>
          <w:numId w:val="34"/>
        </w:numPr>
        <w:spacing w:line="300" w:lineRule="exact"/>
        <w:ind w:left="-142" w:firstLine="142"/>
        <w:contextualSpacing w:val="0"/>
        <w:jc w:val="both"/>
        <w:rPr>
          <w:rFonts w:ascii="Times New Roman" w:hAnsi="Times New Roman" w:cs="Times New Roman"/>
          <w:sz w:val="28"/>
          <w:szCs w:val="22"/>
        </w:rPr>
      </w:pPr>
      <w:r w:rsidRPr="005575C9">
        <w:rPr>
          <w:rFonts w:ascii="Times New Roman" w:hAnsi="Times New Roman" w:cs="Times New Roman"/>
          <w:sz w:val="28"/>
          <w:szCs w:val="22"/>
        </w:rPr>
        <w:t>If the arrangements envisaged in the preceding paragraphs are implemented and worked in their proper spirit, there should not be any occasion for a State to run into an unauthorised overdraft. If, however, any such overdraft still occurs, it could only be due to lack of fiscal discipline on the part of the State. We consider that it would not be proper for the Reserve Bank to treat its notice to a State Government for clearing its overdraft as a routine measure. It should be the duty of the State Government to take all possible steps for clearing the overdraft, failing which the Reserve Bank must proceed to stop payment of the State's cheques.</w:t>
      </w:r>
    </w:p>
    <w:p w14:paraId="3749E810" w14:textId="77777777" w:rsidR="00D923FB" w:rsidRPr="005575C9" w:rsidRDefault="00D923FB" w:rsidP="005575C9">
      <w:pPr>
        <w:pStyle w:val="ListParagraph"/>
        <w:numPr>
          <w:ilvl w:val="0"/>
          <w:numId w:val="34"/>
        </w:numPr>
        <w:spacing w:line="300" w:lineRule="exact"/>
        <w:ind w:left="-142" w:firstLine="142"/>
        <w:contextualSpacing w:val="0"/>
        <w:jc w:val="both"/>
        <w:rPr>
          <w:rFonts w:ascii="Times New Roman" w:hAnsi="Times New Roman" w:cs="Times New Roman"/>
          <w:sz w:val="28"/>
          <w:szCs w:val="22"/>
        </w:rPr>
      </w:pPr>
      <w:r w:rsidRPr="005575C9">
        <w:rPr>
          <w:rFonts w:ascii="Times New Roman" w:hAnsi="Times New Roman" w:cs="Times New Roman"/>
          <w:sz w:val="28"/>
          <w:szCs w:val="22"/>
        </w:rPr>
        <w:t>In view of the serious consequences which would ensue from the stoppage of payment of a State’s cheques, we are of opinion that in such a situation it is the duty of the Central Government to help the State to regain a position of budgetary balance and to achieve fiscal discipline. To do so, it would be necessary for the Central Government to assist the State to clear its overdraft. It must, however, be recognised that this would be possible only where the State does not persistently follow policies resulting in financial difficulties and that the Central Government cannot be expected to clear unauthorised overdrafts of the State Government repeatedly. The Central Government would therefore have to consider, whenever an unauthorised overdraft occurs, whether the situation resulting from stoppage of cheques should be allowed to take place or whether the State should be given necessary assistance to clear the overdraft. For this purpose we suggest that the Reserve Bank, whenever it issues a notice to the State Government, should also bring the matter to the attention of the Central Government. The Central Government should take up the matter with the State Government and ascertain what steps it proposes to take to clear the overdraft. If the State Government is not in a position to do so, it should urgently approach the Central Government for special assistance. The Central Government should, where it decides to assist the State, release as a matter of urgency so much of the share of devolution or Plan assistance payable to the State during the remaining part of the year as may be needed for covering the portion of the overdraft which the State Government is not able to clear by itself. If the amount due to the State during the year is not sufficient for this purpose, the Central Government should provide further assistance to the State by giving an ad hoc loan to be adjusted against its share of devolution or Plan assistance falling due during the next year.</w:t>
      </w:r>
    </w:p>
    <w:p w14:paraId="29587CB7" w14:textId="77777777" w:rsidR="00D923FB" w:rsidRPr="005575C9" w:rsidRDefault="00D923FB" w:rsidP="005575C9">
      <w:pPr>
        <w:pStyle w:val="ListParagraph"/>
        <w:numPr>
          <w:ilvl w:val="0"/>
          <w:numId w:val="34"/>
        </w:numPr>
        <w:spacing w:line="300" w:lineRule="exact"/>
        <w:ind w:left="-142" w:firstLine="142"/>
        <w:contextualSpacing w:val="0"/>
        <w:jc w:val="both"/>
        <w:rPr>
          <w:rFonts w:ascii="Times New Roman" w:hAnsi="Times New Roman" w:cs="Times New Roman"/>
          <w:sz w:val="28"/>
          <w:szCs w:val="22"/>
        </w:rPr>
      </w:pPr>
      <w:r w:rsidRPr="005575C9">
        <w:rPr>
          <w:rFonts w:ascii="Times New Roman" w:hAnsi="Times New Roman" w:cs="Times New Roman"/>
          <w:sz w:val="28"/>
          <w:szCs w:val="22"/>
        </w:rPr>
        <w:lastRenderedPageBreak/>
        <w:t>The Central Government should at the same time initiate necessary consultations with the State Government with a view to finding out the causes responsible for its difficulties and the measures necessary to ensure that a similar situation does not recur. The Central Government should for this purpose depute a team of its officers, including a nominee of the Planning Commission, to visit the State for assessing the situation and to make suitable recommendations, after consulting the State Government, regarding the measures necessary for removing the disparity between the State's resources and expenditure, and for ensuring an effective system of control over expenditure. The team may also examine whether any further temporary loan assistance would be required by the State for tiding over its immediate difficulties. The Central Government should, after considering the recommendations of the team of officers, call upon the State to adopt such measures as the Central Government may deem necessary. In this connection it should be open to the Central Government to arrange for the association, to ensure beforehand that payments on behalf of a State Government in an advisory capacity, of an officer nominated by it with the Finance Department of the State, to secure effective control over expenditure so as to keep it within actual receipts. The State Government should comply with these requirements as they are part of the arrangements for getting special assistance from the Centre. We have carefully considered whether such requirements could be regarded as an infringement of the State's autonomy. We consider that in view of the fact that such measures would be required only for the purpose of giving assistance to the State for clearing its unauthorised overdraft, they cannot be regarded as in any way affecting the State's autonomy. We discussed this point with the State Governments and many of them expressed agreement with this view. In fact, some of them stated that such action would be nothing more than the fulfilment of the Centre's responsibility.</w:t>
      </w:r>
    </w:p>
    <w:p w14:paraId="42B53639" w14:textId="77777777" w:rsidR="00D923FB" w:rsidRPr="005575C9" w:rsidRDefault="00D923FB" w:rsidP="005575C9">
      <w:pPr>
        <w:pStyle w:val="ListParagraph"/>
        <w:numPr>
          <w:ilvl w:val="0"/>
          <w:numId w:val="34"/>
        </w:numPr>
        <w:spacing w:line="300" w:lineRule="exact"/>
        <w:ind w:left="-142" w:firstLine="142"/>
        <w:contextualSpacing w:val="0"/>
        <w:jc w:val="both"/>
        <w:rPr>
          <w:rFonts w:ascii="Times New Roman" w:hAnsi="Times New Roman" w:cs="Times New Roman"/>
          <w:sz w:val="28"/>
          <w:szCs w:val="22"/>
        </w:rPr>
      </w:pPr>
      <w:r w:rsidRPr="005575C9">
        <w:rPr>
          <w:rFonts w:ascii="Times New Roman" w:hAnsi="Times New Roman" w:cs="Times New Roman"/>
          <w:sz w:val="28"/>
          <w:szCs w:val="22"/>
        </w:rPr>
        <w:t>If a State Government persists in incurring an unauthorised overdraft, we are of opinion that it would not be proper that the Central Government should clear it. The consequences of the State's failure to clear the overdraft will then have to be faced. If a persistent overdraft occurs, or if it is not found possible to clear an overdraft in accordance with the procedure that we have suggested, the Central Government would have to take a view within the period of notice given by the Reserve Bank whether the crisis resulting from the stoppage of payments of the State's cheques should be allowed to develop or it would be expedient to forestall it by the invocation of its Constitutional powers. It is obvious that such an important decision would be taken by the Central Government only after full consideration of all the facts and circumstances of a particular situation. It would not be proper for us to make any suggestion in this regard.</w:t>
      </w:r>
    </w:p>
    <w:p w14:paraId="3CEDF5F5" w14:textId="77777777" w:rsidR="00D923FB" w:rsidRPr="005575C9" w:rsidRDefault="00D923FB" w:rsidP="005575C9">
      <w:pPr>
        <w:rPr>
          <w:rFonts w:ascii="Times New Roman" w:hAnsi="Times New Roman" w:cs="Times New Roman"/>
          <w:b/>
          <w:bCs/>
          <w:sz w:val="28"/>
          <w:szCs w:val="28"/>
        </w:rPr>
      </w:pPr>
      <w:r w:rsidRPr="005575C9">
        <w:rPr>
          <w:rFonts w:ascii="Times New Roman" w:hAnsi="Times New Roman" w:cs="Times New Roman"/>
          <w:b/>
          <w:bCs/>
          <w:sz w:val="28"/>
          <w:szCs w:val="28"/>
        </w:rPr>
        <w:t>Summary of recommendations</w:t>
      </w:r>
    </w:p>
    <w:p w14:paraId="10019C43" w14:textId="77777777" w:rsidR="00D923FB" w:rsidRPr="00C3160D" w:rsidRDefault="00D923FB" w:rsidP="00C3160D">
      <w:pPr>
        <w:pStyle w:val="ListParagraph"/>
        <w:numPr>
          <w:ilvl w:val="0"/>
          <w:numId w:val="34"/>
        </w:numPr>
        <w:spacing w:line="300" w:lineRule="exact"/>
        <w:ind w:left="-142" w:firstLine="142"/>
        <w:contextualSpacing w:val="0"/>
        <w:jc w:val="both"/>
        <w:rPr>
          <w:rFonts w:ascii="Times New Roman" w:hAnsi="Times New Roman" w:cs="Times New Roman"/>
          <w:sz w:val="28"/>
          <w:szCs w:val="22"/>
        </w:rPr>
      </w:pPr>
      <w:r w:rsidRPr="00C3160D">
        <w:rPr>
          <w:rFonts w:ascii="Times New Roman" w:hAnsi="Times New Roman" w:cs="Times New Roman"/>
          <w:sz w:val="28"/>
          <w:szCs w:val="22"/>
        </w:rPr>
        <w:t>We therefore recommend the following measures for avoiding unauthorised overdrafts:</w:t>
      </w:r>
    </w:p>
    <w:p w14:paraId="28D46B2B" w14:textId="7C17FF10" w:rsidR="00D923FB" w:rsidRPr="00C3160D" w:rsidRDefault="00D923FB" w:rsidP="00C3160D">
      <w:pPr>
        <w:tabs>
          <w:tab w:val="left" w:pos="3370"/>
        </w:tabs>
        <w:spacing w:line="300" w:lineRule="exact"/>
        <w:jc w:val="both"/>
        <w:rPr>
          <w:rFonts w:ascii="Times New Roman" w:hAnsi="Times New Roman" w:cs="Times New Roman"/>
          <w:sz w:val="28"/>
          <w:szCs w:val="22"/>
        </w:rPr>
      </w:pPr>
      <w:r w:rsidRPr="00C3160D">
        <w:rPr>
          <w:rFonts w:ascii="Times New Roman" w:hAnsi="Times New Roman" w:cs="Times New Roman"/>
          <w:sz w:val="28"/>
          <w:szCs w:val="22"/>
        </w:rPr>
        <w:lastRenderedPageBreak/>
        <w:t>(1).  The State Governments must accept the basic position that the facility of ways and means advances is meant only for meeting temporary requirements and not for financing general budgetary needs.</w:t>
      </w:r>
      <w:r w:rsidR="0065152D" w:rsidRPr="00C3160D">
        <w:rPr>
          <w:rFonts w:ascii="Times New Roman" w:hAnsi="Times New Roman" w:cs="Times New Roman"/>
          <w:sz w:val="28"/>
          <w:szCs w:val="22"/>
        </w:rPr>
        <w:t xml:space="preserve"> </w:t>
      </w:r>
      <w:r w:rsidR="007C0B5D">
        <w:rPr>
          <w:rFonts w:ascii="Times New Roman" w:hAnsi="Times New Roman" w:cs="Times New Roman"/>
          <w:sz w:val="28"/>
          <w:szCs w:val="22"/>
        </w:rPr>
        <w:tab/>
      </w:r>
      <w:r w:rsidR="007C0B5D">
        <w:rPr>
          <w:rFonts w:ascii="Times New Roman" w:hAnsi="Times New Roman" w:cs="Times New Roman"/>
          <w:sz w:val="28"/>
          <w:szCs w:val="22"/>
        </w:rPr>
        <w:tab/>
      </w:r>
      <w:r w:rsidR="007C0B5D">
        <w:rPr>
          <w:rFonts w:ascii="Times New Roman" w:hAnsi="Times New Roman" w:cs="Times New Roman"/>
          <w:sz w:val="28"/>
          <w:szCs w:val="22"/>
        </w:rPr>
        <w:tab/>
      </w:r>
      <w:r w:rsidR="007C0B5D">
        <w:rPr>
          <w:rFonts w:ascii="Times New Roman" w:hAnsi="Times New Roman" w:cs="Times New Roman"/>
          <w:sz w:val="28"/>
          <w:szCs w:val="22"/>
        </w:rPr>
        <w:tab/>
      </w:r>
      <w:r w:rsidR="007C0B5D">
        <w:rPr>
          <w:rFonts w:ascii="Times New Roman" w:hAnsi="Times New Roman" w:cs="Times New Roman"/>
          <w:sz w:val="28"/>
          <w:szCs w:val="22"/>
        </w:rPr>
        <w:tab/>
      </w:r>
      <w:r w:rsidR="007C0B5D">
        <w:rPr>
          <w:rFonts w:ascii="Times New Roman" w:hAnsi="Times New Roman" w:cs="Times New Roman"/>
          <w:sz w:val="28"/>
          <w:szCs w:val="22"/>
        </w:rPr>
        <w:tab/>
        <w:t xml:space="preserve">    </w:t>
      </w:r>
      <w:r w:rsidRPr="00C3160D">
        <w:rPr>
          <w:rFonts w:ascii="Times New Roman" w:hAnsi="Times New Roman" w:cs="Times New Roman"/>
          <w:sz w:val="28"/>
          <w:szCs w:val="22"/>
        </w:rPr>
        <w:t>(Para. 44)</w:t>
      </w:r>
    </w:p>
    <w:p w14:paraId="78200644" w14:textId="112C2621" w:rsidR="00D923FB" w:rsidRPr="00C3160D" w:rsidRDefault="00D923FB" w:rsidP="00C3160D">
      <w:pPr>
        <w:tabs>
          <w:tab w:val="left" w:pos="3370"/>
        </w:tabs>
        <w:spacing w:line="300" w:lineRule="exact"/>
        <w:jc w:val="both"/>
        <w:rPr>
          <w:rFonts w:ascii="Times New Roman" w:hAnsi="Times New Roman" w:cs="Times New Roman"/>
          <w:sz w:val="28"/>
          <w:szCs w:val="22"/>
        </w:rPr>
      </w:pPr>
      <w:r w:rsidRPr="00C3160D">
        <w:rPr>
          <w:rFonts w:ascii="Times New Roman" w:hAnsi="Times New Roman" w:cs="Times New Roman"/>
          <w:sz w:val="28"/>
          <w:szCs w:val="22"/>
        </w:rPr>
        <w:t>(2). The States should, as a matter of necessary fiscal discipline, balance their budgets and manage their affairs within the resources available to them. They should adopt the policy of having overall balanced budgets both at the beginning of the year and at a time of revised estimates.</w:t>
      </w:r>
      <w:r w:rsidR="007C0B5D">
        <w:rPr>
          <w:rFonts w:ascii="Times New Roman" w:hAnsi="Times New Roman" w:cs="Times New Roman"/>
          <w:sz w:val="28"/>
          <w:szCs w:val="22"/>
        </w:rPr>
        <w:t xml:space="preserve"> </w:t>
      </w:r>
      <w:r w:rsidR="007C0B5D">
        <w:rPr>
          <w:rFonts w:ascii="Times New Roman" w:hAnsi="Times New Roman" w:cs="Times New Roman"/>
          <w:sz w:val="28"/>
          <w:szCs w:val="22"/>
        </w:rPr>
        <w:tab/>
      </w:r>
      <w:r w:rsidR="007C0B5D">
        <w:rPr>
          <w:rFonts w:ascii="Times New Roman" w:hAnsi="Times New Roman" w:cs="Times New Roman"/>
          <w:sz w:val="28"/>
          <w:szCs w:val="22"/>
        </w:rPr>
        <w:tab/>
      </w:r>
      <w:r w:rsidR="007C0B5D">
        <w:rPr>
          <w:rFonts w:ascii="Times New Roman" w:hAnsi="Times New Roman" w:cs="Times New Roman"/>
          <w:sz w:val="28"/>
          <w:szCs w:val="22"/>
        </w:rPr>
        <w:tab/>
      </w:r>
      <w:r w:rsidR="007C0B5D">
        <w:rPr>
          <w:rFonts w:ascii="Times New Roman" w:hAnsi="Times New Roman" w:cs="Times New Roman"/>
          <w:sz w:val="28"/>
          <w:szCs w:val="22"/>
        </w:rPr>
        <w:tab/>
      </w:r>
      <w:r w:rsidR="007C0B5D">
        <w:rPr>
          <w:rFonts w:ascii="Times New Roman" w:hAnsi="Times New Roman" w:cs="Times New Roman"/>
          <w:sz w:val="28"/>
          <w:szCs w:val="22"/>
        </w:rPr>
        <w:tab/>
        <w:t xml:space="preserve">   (Paras 33 and 49)</w:t>
      </w:r>
    </w:p>
    <w:p w14:paraId="4843FDD3" w14:textId="77777777" w:rsidR="007C0B5D" w:rsidRDefault="00D923FB" w:rsidP="007C0B5D">
      <w:pPr>
        <w:tabs>
          <w:tab w:val="left" w:pos="3370"/>
        </w:tabs>
        <w:spacing w:after="0" w:line="300" w:lineRule="exact"/>
        <w:jc w:val="both"/>
        <w:rPr>
          <w:rFonts w:ascii="Times New Roman" w:hAnsi="Times New Roman" w:cs="Times New Roman"/>
          <w:sz w:val="28"/>
          <w:szCs w:val="22"/>
        </w:rPr>
      </w:pPr>
      <w:r w:rsidRPr="00C3160D">
        <w:rPr>
          <w:rFonts w:ascii="Times New Roman" w:hAnsi="Times New Roman" w:cs="Times New Roman"/>
          <w:sz w:val="28"/>
          <w:szCs w:val="22"/>
        </w:rPr>
        <w:t>(3). There should be no deficit financing at the State level and the size of the State Plans should be regulated strictly within the States' own resources and available Central assistance. Ways and means advances should not be considered as a resource.</w:t>
      </w:r>
    </w:p>
    <w:p w14:paraId="7F9D6100" w14:textId="1FDDAF1E" w:rsidR="00D923FB" w:rsidRPr="00C3160D" w:rsidRDefault="007C0B5D" w:rsidP="00C3160D">
      <w:pPr>
        <w:tabs>
          <w:tab w:val="left" w:pos="3370"/>
        </w:tabs>
        <w:spacing w:line="300" w:lineRule="exact"/>
        <w:jc w:val="both"/>
        <w:rPr>
          <w:rFonts w:ascii="Times New Roman" w:hAnsi="Times New Roman" w:cs="Times New Roman"/>
          <w:sz w:val="28"/>
          <w:szCs w:val="22"/>
        </w:rPr>
      </w:pPr>
      <w:r>
        <w:rPr>
          <w:rFonts w:ascii="Times New Roman" w:hAnsi="Times New Roman" w:cs="Times New Roman"/>
          <w:sz w:val="28"/>
          <w:szCs w:val="22"/>
        </w:rPr>
        <w:tab/>
      </w:r>
      <w:r>
        <w:rPr>
          <w:rFonts w:ascii="Times New Roman" w:hAnsi="Times New Roman" w:cs="Times New Roman"/>
          <w:sz w:val="28"/>
          <w:szCs w:val="22"/>
        </w:rPr>
        <w:tab/>
      </w:r>
      <w:r>
        <w:rPr>
          <w:rFonts w:ascii="Times New Roman" w:hAnsi="Times New Roman" w:cs="Times New Roman"/>
          <w:sz w:val="28"/>
          <w:szCs w:val="22"/>
        </w:rPr>
        <w:tab/>
      </w:r>
      <w:r>
        <w:rPr>
          <w:rFonts w:ascii="Times New Roman" w:hAnsi="Times New Roman" w:cs="Times New Roman"/>
          <w:sz w:val="28"/>
          <w:szCs w:val="22"/>
        </w:rPr>
        <w:tab/>
      </w:r>
      <w:r>
        <w:rPr>
          <w:rFonts w:ascii="Times New Roman" w:hAnsi="Times New Roman" w:cs="Times New Roman"/>
          <w:sz w:val="28"/>
          <w:szCs w:val="22"/>
        </w:rPr>
        <w:tab/>
      </w:r>
      <w:r>
        <w:rPr>
          <w:rFonts w:ascii="Times New Roman" w:hAnsi="Times New Roman" w:cs="Times New Roman"/>
          <w:sz w:val="28"/>
          <w:szCs w:val="22"/>
        </w:rPr>
        <w:tab/>
      </w:r>
      <w:r>
        <w:rPr>
          <w:rFonts w:ascii="Times New Roman" w:hAnsi="Times New Roman" w:cs="Times New Roman"/>
          <w:sz w:val="28"/>
          <w:szCs w:val="22"/>
        </w:rPr>
        <w:tab/>
      </w:r>
      <w:r>
        <w:rPr>
          <w:rFonts w:ascii="Times New Roman" w:hAnsi="Times New Roman" w:cs="Times New Roman"/>
          <w:sz w:val="28"/>
          <w:szCs w:val="22"/>
        </w:rPr>
        <w:tab/>
        <w:t xml:space="preserve">      </w:t>
      </w:r>
      <w:r w:rsidR="00D923FB" w:rsidRPr="00C3160D">
        <w:rPr>
          <w:rFonts w:ascii="Times New Roman" w:hAnsi="Times New Roman" w:cs="Times New Roman"/>
          <w:sz w:val="28"/>
          <w:szCs w:val="22"/>
        </w:rPr>
        <w:t>(Para 37)</w:t>
      </w:r>
    </w:p>
    <w:p w14:paraId="539F3868" w14:textId="4C4F2B8A" w:rsidR="00D923FB" w:rsidRPr="00C3160D" w:rsidRDefault="00D923FB" w:rsidP="00C3160D">
      <w:pPr>
        <w:tabs>
          <w:tab w:val="left" w:pos="3370"/>
        </w:tabs>
        <w:spacing w:line="300" w:lineRule="exact"/>
        <w:jc w:val="both"/>
        <w:rPr>
          <w:rFonts w:ascii="Times New Roman" w:hAnsi="Times New Roman" w:cs="Times New Roman"/>
          <w:sz w:val="28"/>
          <w:szCs w:val="22"/>
        </w:rPr>
      </w:pPr>
      <w:r w:rsidRPr="00C3160D">
        <w:rPr>
          <w:rFonts w:ascii="Times New Roman" w:hAnsi="Times New Roman" w:cs="Times New Roman"/>
          <w:sz w:val="28"/>
          <w:szCs w:val="22"/>
        </w:rPr>
        <w:t>(4). While the present position regarding limits of ways and means advances does not call for any immediate change, periodical reviews of the limits should be made by the Reserve Bank.</w:t>
      </w:r>
      <w:r w:rsidR="0065152D" w:rsidRPr="00C3160D">
        <w:rPr>
          <w:rFonts w:ascii="Times New Roman" w:hAnsi="Times New Roman" w:cs="Times New Roman"/>
          <w:sz w:val="28"/>
          <w:szCs w:val="22"/>
        </w:rPr>
        <w:t xml:space="preserve"> </w:t>
      </w:r>
      <w:r w:rsidR="007C0B5D">
        <w:rPr>
          <w:rFonts w:ascii="Times New Roman" w:hAnsi="Times New Roman" w:cs="Times New Roman"/>
          <w:sz w:val="28"/>
          <w:szCs w:val="22"/>
        </w:rPr>
        <w:tab/>
      </w:r>
      <w:r w:rsidR="007C0B5D">
        <w:rPr>
          <w:rFonts w:ascii="Times New Roman" w:hAnsi="Times New Roman" w:cs="Times New Roman"/>
          <w:sz w:val="28"/>
          <w:szCs w:val="22"/>
        </w:rPr>
        <w:tab/>
      </w:r>
      <w:r w:rsidR="007C0B5D">
        <w:rPr>
          <w:rFonts w:ascii="Times New Roman" w:hAnsi="Times New Roman" w:cs="Times New Roman"/>
          <w:sz w:val="28"/>
          <w:szCs w:val="22"/>
        </w:rPr>
        <w:tab/>
      </w:r>
      <w:r w:rsidR="007C0B5D">
        <w:rPr>
          <w:rFonts w:ascii="Times New Roman" w:hAnsi="Times New Roman" w:cs="Times New Roman"/>
          <w:sz w:val="28"/>
          <w:szCs w:val="22"/>
        </w:rPr>
        <w:tab/>
      </w:r>
      <w:r w:rsidR="007C0B5D">
        <w:rPr>
          <w:rFonts w:ascii="Times New Roman" w:hAnsi="Times New Roman" w:cs="Times New Roman"/>
          <w:sz w:val="28"/>
          <w:szCs w:val="22"/>
        </w:rPr>
        <w:tab/>
      </w:r>
      <w:r w:rsidR="007C0B5D">
        <w:rPr>
          <w:rFonts w:ascii="Times New Roman" w:hAnsi="Times New Roman" w:cs="Times New Roman"/>
          <w:sz w:val="28"/>
          <w:szCs w:val="22"/>
        </w:rPr>
        <w:tab/>
      </w:r>
      <w:r w:rsidR="007C0B5D">
        <w:rPr>
          <w:rFonts w:ascii="Times New Roman" w:hAnsi="Times New Roman" w:cs="Times New Roman"/>
          <w:sz w:val="28"/>
          <w:szCs w:val="22"/>
        </w:rPr>
        <w:tab/>
      </w:r>
      <w:r w:rsidR="007C0B5D">
        <w:rPr>
          <w:rFonts w:ascii="Times New Roman" w:hAnsi="Times New Roman" w:cs="Times New Roman"/>
          <w:sz w:val="28"/>
          <w:szCs w:val="22"/>
        </w:rPr>
        <w:tab/>
        <w:t xml:space="preserve">     </w:t>
      </w:r>
      <w:r w:rsidRPr="00C3160D">
        <w:rPr>
          <w:rFonts w:ascii="Times New Roman" w:hAnsi="Times New Roman" w:cs="Times New Roman"/>
          <w:sz w:val="28"/>
          <w:szCs w:val="22"/>
        </w:rPr>
        <w:t>(Para 45)</w:t>
      </w:r>
    </w:p>
    <w:p w14:paraId="60B122E1" w14:textId="77777777" w:rsidR="007C0B5D" w:rsidRDefault="00D923FB" w:rsidP="007C0B5D">
      <w:pPr>
        <w:tabs>
          <w:tab w:val="left" w:pos="3370"/>
        </w:tabs>
        <w:spacing w:after="0" w:line="300" w:lineRule="exact"/>
        <w:jc w:val="both"/>
        <w:rPr>
          <w:rFonts w:ascii="Times New Roman" w:hAnsi="Times New Roman" w:cs="Times New Roman"/>
          <w:sz w:val="28"/>
          <w:szCs w:val="22"/>
        </w:rPr>
      </w:pPr>
      <w:r w:rsidRPr="00C3160D">
        <w:rPr>
          <w:rFonts w:ascii="Times New Roman" w:hAnsi="Times New Roman" w:cs="Times New Roman"/>
          <w:sz w:val="28"/>
          <w:szCs w:val="22"/>
        </w:rPr>
        <w:t>(5). The State Governments which do not have sufficient Central Government securities may, in special difficulties, avail themselves of such further clean advances as the Reserve Bank can allow subject to being satisfied about repayment in time.</w:t>
      </w:r>
      <w:r w:rsidR="0065152D" w:rsidRPr="00C3160D">
        <w:rPr>
          <w:rFonts w:ascii="Times New Roman" w:hAnsi="Times New Roman" w:cs="Times New Roman"/>
          <w:sz w:val="28"/>
          <w:szCs w:val="22"/>
        </w:rPr>
        <w:t xml:space="preserve"> </w:t>
      </w:r>
    </w:p>
    <w:p w14:paraId="1E43CDEB" w14:textId="4D01A6DB" w:rsidR="00D923FB" w:rsidRPr="00C3160D" w:rsidRDefault="007C0B5D" w:rsidP="00C3160D">
      <w:pPr>
        <w:tabs>
          <w:tab w:val="left" w:pos="3370"/>
        </w:tabs>
        <w:spacing w:line="300" w:lineRule="exact"/>
        <w:jc w:val="both"/>
        <w:rPr>
          <w:rFonts w:ascii="Times New Roman" w:hAnsi="Times New Roman" w:cs="Times New Roman"/>
          <w:sz w:val="28"/>
          <w:szCs w:val="22"/>
        </w:rPr>
      </w:pPr>
      <w:r>
        <w:rPr>
          <w:rFonts w:ascii="Times New Roman" w:hAnsi="Times New Roman" w:cs="Times New Roman"/>
          <w:sz w:val="28"/>
          <w:szCs w:val="22"/>
        </w:rPr>
        <w:tab/>
      </w:r>
      <w:r>
        <w:rPr>
          <w:rFonts w:ascii="Times New Roman" w:hAnsi="Times New Roman" w:cs="Times New Roman"/>
          <w:sz w:val="28"/>
          <w:szCs w:val="22"/>
        </w:rPr>
        <w:tab/>
      </w:r>
      <w:r>
        <w:rPr>
          <w:rFonts w:ascii="Times New Roman" w:hAnsi="Times New Roman" w:cs="Times New Roman"/>
          <w:sz w:val="28"/>
          <w:szCs w:val="22"/>
        </w:rPr>
        <w:tab/>
      </w:r>
      <w:r>
        <w:rPr>
          <w:rFonts w:ascii="Times New Roman" w:hAnsi="Times New Roman" w:cs="Times New Roman"/>
          <w:sz w:val="28"/>
          <w:szCs w:val="22"/>
        </w:rPr>
        <w:tab/>
      </w:r>
      <w:r>
        <w:rPr>
          <w:rFonts w:ascii="Times New Roman" w:hAnsi="Times New Roman" w:cs="Times New Roman"/>
          <w:sz w:val="28"/>
          <w:szCs w:val="22"/>
        </w:rPr>
        <w:tab/>
      </w:r>
      <w:r>
        <w:rPr>
          <w:rFonts w:ascii="Times New Roman" w:hAnsi="Times New Roman" w:cs="Times New Roman"/>
          <w:sz w:val="28"/>
          <w:szCs w:val="22"/>
        </w:rPr>
        <w:tab/>
      </w:r>
      <w:r>
        <w:rPr>
          <w:rFonts w:ascii="Times New Roman" w:hAnsi="Times New Roman" w:cs="Times New Roman"/>
          <w:sz w:val="28"/>
          <w:szCs w:val="22"/>
        </w:rPr>
        <w:tab/>
      </w:r>
      <w:r>
        <w:rPr>
          <w:rFonts w:ascii="Times New Roman" w:hAnsi="Times New Roman" w:cs="Times New Roman"/>
          <w:sz w:val="28"/>
          <w:szCs w:val="22"/>
        </w:rPr>
        <w:tab/>
        <w:t xml:space="preserve">      </w:t>
      </w:r>
      <w:r w:rsidR="00D923FB" w:rsidRPr="00C3160D">
        <w:rPr>
          <w:rFonts w:ascii="Times New Roman" w:hAnsi="Times New Roman" w:cs="Times New Roman"/>
          <w:sz w:val="28"/>
          <w:szCs w:val="22"/>
        </w:rPr>
        <w:t>(Para 46)</w:t>
      </w:r>
    </w:p>
    <w:p w14:paraId="2A3F6592" w14:textId="1F42FD56" w:rsidR="00D923FB" w:rsidRPr="00C3160D" w:rsidRDefault="00D923FB" w:rsidP="00C3160D">
      <w:pPr>
        <w:tabs>
          <w:tab w:val="left" w:pos="3370"/>
        </w:tabs>
        <w:spacing w:line="300" w:lineRule="exact"/>
        <w:jc w:val="both"/>
        <w:rPr>
          <w:rFonts w:ascii="Times New Roman" w:hAnsi="Times New Roman" w:cs="Times New Roman"/>
          <w:sz w:val="28"/>
          <w:szCs w:val="22"/>
        </w:rPr>
      </w:pPr>
      <w:r w:rsidRPr="00C3160D">
        <w:rPr>
          <w:rFonts w:ascii="Times New Roman" w:hAnsi="Times New Roman" w:cs="Times New Roman"/>
          <w:sz w:val="28"/>
          <w:szCs w:val="22"/>
        </w:rPr>
        <w:t>(6). The Central Government may consider more frequent releases of the States' share of income tax during the last two quarters.</w:t>
      </w:r>
      <w:r w:rsidR="0065152D" w:rsidRPr="00C3160D">
        <w:rPr>
          <w:rFonts w:ascii="Times New Roman" w:hAnsi="Times New Roman" w:cs="Times New Roman"/>
          <w:sz w:val="28"/>
          <w:szCs w:val="22"/>
        </w:rPr>
        <w:t xml:space="preserve"> </w:t>
      </w:r>
      <w:r w:rsidR="007C0B5D">
        <w:rPr>
          <w:rFonts w:ascii="Times New Roman" w:hAnsi="Times New Roman" w:cs="Times New Roman"/>
          <w:sz w:val="28"/>
          <w:szCs w:val="22"/>
        </w:rPr>
        <w:tab/>
      </w:r>
      <w:r w:rsidR="007C0B5D">
        <w:rPr>
          <w:rFonts w:ascii="Times New Roman" w:hAnsi="Times New Roman" w:cs="Times New Roman"/>
          <w:sz w:val="28"/>
          <w:szCs w:val="22"/>
        </w:rPr>
        <w:tab/>
      </w:r>
      <w:r w:rsidR="007C0B5D">
        <w:rPr>
          <w:rFonts w:ascii="Times New Roman" w:hAnsi="Times New Roman" w:cs="Times New Roman"/>
          <w:sz w:val="28"/>
          <w:szCs w:val="22"/>
        </w:rPr>
        <w:tab/>
      </w:r>
      <w:r w:rsidR="007C0B5D">
        <w:rPr>
          <w:rFonts w:ascii="Times New Roman" w:hAnsi="Times New Roman" w:cs="Times New Roman"/>
          <w:sz w:val="28"/>
          <w:szCs w:val="22"/>
        </w:rPr>
        <w:tab/>
        <w:t xml:space="preserve">      </w:t>
      </w:r>
      <w:r w:rsidRPr="00C3160D">
        <w:rPr>
          <w:rFonts w:ascii="Times New Roman" w:hAnsi="Times New Roman" w:cs="Times New Roman"/>
          <w:sz w:val="28"/>
          <w:szCs w:val="22"/>
        </w:rPr>
        <w:t>(Para 40)</w:t>
      </w:r>
    </w:p>
    <w:p w14:paraId="5D286A87" w14:textId="093360C1" w:rsidR="00D923FB" w:rsidRPr="00C3160D" w:rsidRDefault="00D923FB" w:rsidP="00C3160D">
      <w:pPr>
        <w:tabs>
          <w:tab w:val="left" w:pos="3370"/>
        </w:tabs>
        <w:spacing w:line="300" w:lineRule="exact"/>
        <w:jc w:val="both"/>
        <w:rPr>
          <w:rFonts w:ascii="Times New Roman" w:hAnsi="Times New Roman" w:cs="Times New Roman"/>
          <w:sz w:val="28"/>
          <w:szCs w:val="22"/>
        </w:rPr>
      </w:pPr>
      <w:r w:rsidRPr="00C3160D">
        <w:rPr>
          <w:rFonts w:ascii="Times New Roman" w:hAnsi="Times New Roman" w:cs="Times New Roman"/>
          <w:sz w:val="28"/>
          <w:szCs w:val="22"/>
        </w:rPr>
        <w:t>(7). To avoid ways and means difficulty due to delay in the final adjustment of Plan assistance, the State Governments should arrange for speedy reconciliation of departmental actuals with the accounts maintained by the Accountants General during the course of the year. Efforts should also be made to expedite completion of audit.</w:t>
      </w:r>
      <w:r w:rsidR="0065152D" w:rsidRPr="00C3160D">
        <w:rPr>
          <w:rFonts w:ascii="Times New Roman" w:hAnsi="Times New Roman" w:cs="Times New Roman"/>
          <w:sz w:val="28"/>
          <w:szCs w:val="22"/>
        </w:rPr>
        <w:t xml:space="preserve"> </w:t>
      </w:r>
      <w:r w:rsidR="007C0B5D">
        <w:rPr>
          <w:rFonts w:ascii="Times New Roman" w:hAnsi="Times New Roman" w:cs="Times New Roman"/>
          <w:sz w:val="28"/>
          <w:szCs w:val="22"/>
        </w:rPr>
        <w:tab/>
      </w:r>
      <w:r w:rsidR="007C0B5D">
        <w:rPr>
          <w:rFonts w:ascii="Times New Roman" w:hAnsi="Times New Roman" w:cs="Times New Roman"/>
          <w:sz w:val="28"/>
          <w:szCs w:val="22"/>
        </w:rPr>
        <w:tab/>
      </w:r>
      <w:r w:rsidR="007C0B5D">
        <w:rPr>
          <w:rFonts w:ascii="Times New Roman" w:hAnsi="Times New Roman" w:cs="Times New Roman"/>
          <w:sz w:val="28"/>
          <w:szCs w:val="22"/>
        </w:rPr>
        <w:tab/>
      </w:r>
      <w:r w:rsidR="007C0B5D">
        <w:rPr>
          <w:rFonts w:ascii="Times New Roman" w:hAnsi="Times New Roman" w:cs="Times New Roman"/>
          <w:sz w:val="28"/>
          <w:szCs w:val="22"/>
        </w:rPr>
        <w:tab/>
      </w:r>
      <w:r w:rsidR="007C0B5D">
        <w:rPr>
          <w:rFonts w:ascii="Times New Roman" w:hAnsi="Times New Roman" w:cs="Times New Roman"/>
          <w:sz w:val="28"/>
          <w:szCs w:val="22"/>
        </w:rPr>
        <w:tab/>
      </w:r>
      <w:r w:rsidR="007C0B5D">
        <w:rPr>
          <w:rFonts w:ascii="Times New Roman" w:hAnsi="Times New Roman" w:cs="Times New Roman"/>
          <w:sz w:val="28"/>
          <w:szCs w:val="22"/>
        </w:rPr>
        <w:tab/>
      </w:r>
      <w:r w:rsidR="007C0B5D">
        <w:rPr>
          <w:rFonts w:ascii="Times New Roman" w:hAnsi="Times New Roman" w:cs="Times New Roman"/>
          <w:sz w:val="28"/>
          <w:szCs w:val="22"/>
        </w:rPr>
        <w:tab/>
      </w:r>
      <w:r w:rsidR="007C0B5D">
        <w:rPr>
          <w:rFonts w:ascii="Times New Roman" w:hAnsi="Times New Roman" w:cs="Times New Roman"/>
          <w:sz w:val="28"/>
          <w:szCs w:val="22"/>
        </w:rPr>
        <w:tab/>
        <w:t xml:space="preserve">      </w:t>
      </w:r>
      <w:r w:rsidRPr="00C3160D">
        <w:rPr>
          <w:rFonts w:ascii="Times New Roman" w:hAnsi="Times New Roman" w:cs="Times New Roman"/>
          <w:sz w:val="28"/>
          <w:szCs w:val="22"/>
        </w:rPr>
        <w:t>(Para 41)</w:t>
      </w:r>
    </w:p>
    <w:p w14:paraId="728BAABC" w14:textId="356DC619" w:rsidR="00D923FB" w:rsidRPr="00C3160D" w:rsidRDefault="00D923FB" w:rsidP="00C3160D">
      <w:pPr>
        <w:tabs>
          <w:tab w:val="left" w:pos="3370"/>
        </w:tabs>
        <w:spacing w:line="300" w:lineRule="exact"/>
        <w:jc w:val="both"/>
        <w:rPr>
          <w:rFonts w:ascii="Times New Roman" w:hAnsi="Times New Roman" w:cs="Times New Roman"/>
          <w:sz w:val="28"/>
          <w:szCs w:val="22"/>
        </w:rPr>
      </w:pPr>
      <w:r w:rsidRPr="00C3160D">
        <w:rPr>
          <w:rFonts w:ascii="Times New Roman" w:hAnsi="Times New Roman" w:cs="Times New Roman"/>
          <w:sz w:val="28"/>
          <w:szCs w:val="22"/>
        </w:rPr>
        <w:t>(8). The Central Government may consider suitably modifying the procedure for consolidation of loans to States so that their repayment in instalments may correspond with release of Central funds to States and the usual time of floatation of their market loans.</w:t>
      </w:r>
      <w:r w:rsidR="0065152D" w:rsidRPr="00C3160D">
        <w:rPr>
          <w:rFonts w:ascii="Times New Roman" w:hAnsi="Times New Roman" w:cs="Times New Roman"/>
          <w:sz w:val="28"/>
          <w:szCs w:val="22"/>
        </w:rPr>
        <w:t xml:space="preserve"> </w:t>
      </w:r>
      <w:r w:rsidR="007C0B5D">
        <w:rPr>
          <w:rFonts w:ascii="Times New Roman" w:hAnsi="Times New Roman" w:cs="Times New Roman"/>
          <w:sz w:val="28"/>
          <w:szCs w:val="22"/>
        </w:rPr>
        <w:tab/>
      </w:r>
      <w:r w:rsidR="007C0B5D">
        <w:rPr>
          <w:rFonts w:ascii="Times New Roman" w:hAnsi="Times New Roman" w:cs="Times New Roman"/>
          <w:sz w:val="28"/>
          <w:szCs w:val="22"/>
        </w:rPr>
        <w:tab/>
      </w:r>
      <w:r w:rsidR="007C0B5D">
        <w:rPr>
          <w:rFonts w:ascii="Times New Roman" w:hAnsi="Times New Roman" w:cs="Times New Roman"/>
          <w:sz w:val="28"/>
          <w:szCs w:val="22"/>
        </w:rPr>
        <w:tab/>
      </w:r>
      <w:r w:rsidR="007C0B5D">
        <w:rPr>
          <w:rFonts w:ascii="Times New Roman" w:hAnsi="Times New Roman" w:cs="Times New Roman"/>
          <w:sz w:val="28"/>
          <w:szCs w:val="22"/>
        </w:rPr>
        <w:tab/>
      </w:r>
      <w:r w:rsidR="007C0B5D">
        <w:rPr>
          <w:rFonts w:ascii="Times New Roman" w:hAnsi="Times New Roman" w:cs="Times New Roman"/>
          <w:sz w:val="28"/>
          <w:szCs w:val="22"/>
        </w:rPr>
        <w:tab/>
      </w:r>
      <w:r w:rsidR="007C0B5D">
        <w:rPr>
          <w:rFonts w:ascii="Times New Roman" w:hAnsi="Times New Roman" w:cs="Times New Roman"/>
          <w:sz w:val="28"/>
          <w:szCs w:val="22"/>
        </w:rPr>
        <w:tab/>
      </w:r>
      <w:r w:rsidR="007C0B5D">
        <w:rPr>
          <w:rFonts w:ascii="Times New Roman" w:hAnsi="Times New Roman" w:cs="Times New Roman"/>
          <w:sz w:val="28"/>
          <w:szCs w:val="22"/>
        </w:rPr>
        <w:tab/>
      </w:r>
      <w:r w:rsidR="007C0B5D">
        <w:rPr>
          <w:rFonts w:ascii="Times New Roman" w:hAnsi="Times New Roman" w:cs="Times New Roman"/>
          <w:sz w:val="28"/>
          <w:szCs w:val="22"/>
        </w:rPr>
        <w:tab/>
        <w:t xml:space="preserve">      </w:t>
      </w:r>
      <w:r w:rsidRPr="00C3160D">
        <w:rPr>
          <w:rFonts w:ascii="Times New Roman" w:hAnsi="Times New Roman" w:cs="Times New Roman"/>
          <w:sz w:val="28"/>
          <w:szCs w:val="22"/>
        </w:rPr>
        <w:t>(Para 43)</w:t>
      </w:r>
    </w:p>
    <w:p w14:paraId="7321EB80" w14:textId="198DD841" w:rsidR="00D923FB" w:rsidRPr="00C3160D" w:rsidRDefault="00D923FB" w:rsidP="00C3160D">
      <w:pPr>
        <w:tabs>
          <w:tab w:val="left" w:pos="3370"/>
        </w:tabs>
        <w:spacing w:line="300" w:lineRule="exact"/>
        <w:jc w:val="both"/>
        <w:rPr>
          <w:rFonts w:ascii="Times New Roman" w:hAnsi="Times New Roman" w:cs="Times New Roman"/>
          <w:sz w:val="28"/>
          <w:szCs w:val="22"/>
        </w:rPr>
      </w:pPr>
      <w:r w:rsidRPr="00C3160D">
        <w:rPr>
          <w:rFonts w:ascii="Times New Roman" w:hAnsi="Times New Roman" w:cs="Times New Roman"/>
          <w:sz w:val="28"/>
          <w:szCs w:val="22"/>
        </w:rPr>
        <w:t>(9). Where a State Government experiences difficulties due to unforeseen developments, it should make efforts to raise further resources or to reduce expenditure, instead of incurring unauthorised overdrafts. If in spite of all possible measures it cannot meet the additional expenditure which is immediately necessary, it may apply to the Central Government for a short-term loan to tide over the difficulty. The Central Government should in such cases provide the necessary assistance to the States.</w:t>
      </w:r>
      <w:r w:rsidR="007C0B5D">
        <w:rPr>
          <w:rFonts w:ascii="Times New Roman" w:hAnsi="Times New Roman" w:cs="Times New Roman"/>
          <w:sz w:val="28"/>
          <w:szCs w:val="22"/>
        </w:rPr>
        <w:t xml:space="preserve"> </w:t>
      </w:r>
      <w:r w:rsidR="007C0B5D">
        <w:rPr>
          <w:rFonts w:ascii="Times New Roman" w:hAnsi="Times New Roman" w:cs="Times New Roman"/>
          <w:sz w:val="28"/>
          <w:szCs w:val="22"/>
        </w:rPr>
        <w:tab/>
      </w:r>
      <w:r w:rsidR="007C0B5D">
        <w:rPr>
          <w:rFonts w:ascii="Times New Roman" w:hAnsi="Times New Roman" w:cs="Times New Roman"/>
          <w:sz w:val="28"/>
          <w:szCs w:val="22"/>
        </w:rPr>
        <w:tab/>
      </w:r>
      <w:r w:rsidR="007C0B5D">
        <w:rPr>
          <w:rFonts w:ascii="Times New Roman" w:hAnsi="Times New Roman" w:cs="Times New Roman"/>
          <w:sz w:val="28"/>
          <w:szCs w:val="22"/>
        </w:rPr>
        <w:tab/>
      </w:r>
      <w:r w:rsidR="007C0B5D">
        <w:rPr>
          <w:rFonts w:ascii="Times New Roman" w:hAnsi="Times New Roman" w:cs="Times New Roman"/>
          <w:sz w:val="28"/>
          <w:szCs w:val="22"/>
        </w:rPr>
        <w:tab/>
      </w:r>
      <w:r w:rsidR="007C0B5D">
        <w:rPr>
          <w:rFonts w:ascii="Times New Roman" w:hAnsi="Times New Roman" w:cs="Times New Roman"/>
          <w:sz w:val="28"/>
          <w:szCs w:val="22"/>
        </w:rPr>
        <w:tab/>
      </w:r>
      <w:r w:rsidR="007C0B5D">
        <w:rPr>
          <w:rFonts w:ascii="Times New Roman" w:hAnsi="Times New Roman" w:cs="Times New Roman"/>
          <w:sz w:val="28"/>
          <w:szCs w:val="22"/>
        </w:rPr>
        <w:tab/>
      </w:r>
      <w:r w:rsidR="007C0B5D">
        <w:rPr>
          <w:rFonts w:ascii="Times New Roman" w:hAnsi="Times New Roman" w:cs="Times New Roman"/>
          <w:sz w:val="28"/>
          <w:szCs w:val="22"/>
        </w:rPr>
        <w:tab/>
      </w:r>
      <w:r w:rsidR="007C0B5D">
        <w:rPr>
          <w:rFonts w:ascii="Times New Roman" w:hAnsi="Times New Roman" w:cs="Times New Roman"/>
          <w:sz w:val="28"/>
          <w:szCs w:val="22"/>
        </w:rPr>
        <w:tab/>
        <w:t xml:space="preserve">      (Para 35)</w:t>
      </w:r>
    </w:p>
    <w:p w14:paraId="7F0FA3B0" w14:textId="48274AB2" w:rsidR="00D923FB" w:rsidRPr="00C3160D" w:rsidRDefault="00D923FB" w:rsidP="007C0B5D">
      <w:pPr>
        <w:spacing w:line="300" w:lineRule="exact"/>
        <w:jc w:val="both"/>
        <w:rPr>
          <w:rFonts w:ascii="Times New Roman" w:hAnsi="Times New Roman" w:cs="Times New Roman"/>
          <w:sz w:val="28"/>
          <w:szCs w:val="22"/>
        </w:rPr>
      </w:pPr>
      <w:r w:rsidRPr="00C3160D">
        <w:rPr>
          <w:rFonts w:ascii="Times New Roman" w:hAnsi="Times New Roman" w:cs="Times New Roman"/>
          <w:sz w:val="28"/>
          <w:szCs w:val="22"/>
        </w:rPr>
        <w:lastRenderedPageBreak/>
        <w:t>(10).  The Planning Commission should, in their annual Plan review, take into account the adverse effect of the new developments and if necessary modify the size of the annual Plan of the State concerned.</w:t>
      </w:r>
      <w:r w:rsidR="0065152D" w:rsidRPr="00C3160D">
        <w:rPr>
          <w:rFonts w:ascii="Times New Roman" w:hAnsi="Times New Roman" w:cs="Times New Roman"/>
          <w:sz w:val="28"/>
          <w:szCs w:val="22"/>
        </w:rPr>
        <w:t xml:space="preserve"> </w:t>
      </w:r>
      <w:r w:rsidR="007C0B5D">
        <w:rPr>
          <w:rFonts w:ascii="Times New Roman" w:hAnsi="Times New Roman" w:cs="Times New Roman"/>
          <w:sz w:val="28"/>
          <w:szCs w:val="22"/>
        </w:rPr>
        <w:tab/>
      </w:r>
      <w:r w:rsidR="007C0B5D">
        <w:rPr>
          <w:rFonts w:ascii="Times New Roman" w:hAnsi="Times New Roman" w:cs="Times New Roman"/>
          <w:sz w:val="28"/>
          <w:szCs w:val="22"/>
        </w:rPr>
        <w:tab/>
      </w:r>
      <w:r w:rsidR="007C0B5D">
        <w:rPr>
          <w:rFonts w:ascii="Times New Roman" w:hAnsi="Times New Roman" w:cs="Times New Roman"/>
          <w:sz w:val="28"/>
          <w:szCs w:val="22"/>
        </w:rPr>
        <w:tab/>
      </w:r>
      <w:r w:rsidR="007C0B5D">
        <w:rPr>
          <w:rFonts w:ascii="Times New Roman" w:hAnsi="Times New Roman" w:cs="Times New Roman"/>
          <w:sz w:val="28"/>
          <w:szCs w:val="22"/>
        </w:rPr>
        <w:tab/>
        <w:t xml:space="preserve">     </w:t>
      </w:r>
      <w:r w:rsidR="007C0B5D">
        <w:rPr>
          <w:rFonts w:ascii="Times New Roman" w:hAnsi="Times New Roman" w:cs="Times New Roman"/>
          <w:sz w:val="28"/>
          <w:szCs w:val="22"/>
        </w:rPr>
        <w:tab/>
        <w:t xml:space="preserve">      </w:t>
      </w:r>
      <w:r w:rsidRPr="00C3160D">
        <w:rPr>
          <w:rFonts w:ascii="Times New Roman" w:hAnsi="Times New Roman" w:cs="Times New Roman"/>
          <w:sz w:val="28"/>
          <w:szCs w:val="22"/>
        </w:rPr>
        <w:t>(Para 36)</w:t>
      </w:r>
    </w:p>
    <w:p w14:paraId="1607A5D4" w14:textId="1E792954" w:rsidR="00D923FB" w:rsidRPr="00C3160D" w:rsidRDefault="00D923FB" w:rsidP="00C3160D">
      <w:pPr>
        <w:tabs>
          <w:tab w:val="left" w:pos="3370"/>
        </w:tabs>
        <w:spacing w:line="300" w:lineRule="exact"/>
        <w:jc w:val="both"/>
        <w:rPr>
          <w:rFonts w:ascii="Times New Roman" w:hAnsi="Times New Roman" w:cs="Times New Roman"/>
          <w:sz w:val="28"/>
          <w:szCs w:val="22"/>
        </w:rPr>
      </w:pPr>
      <w:r w:rsidRPr="00C3160D">
        <w:rPr>
          <w:rFonts w:ascii="Times New Roman" w:hAnsi="Times New Roman" w:cs="Times New Roman"/>
          <w:sz w:val="28"/>
          <w:szCs w:val="22"/>
        </w:rPr>
        <w:t>(11). Whenever a deficit on non-Plan capital account is anticipated, the State Government should consider reducing its non-Plan capital expenditure and make efforts to increase its capital receipts including better recovery of loans. If the capital budget cannot be balanced in spite of such efforts, the Central Government may consider deferring the repayment of Central loans falling due during the year to the necessary extent.</w:t>
      </w:r>
      <w:r w:rsidR="0065152D" w:rsidRPr="00C3160D">
        <w:rPr>
          <w:rFonts w:ascii="Times New Roman" w:hAnsi="Times New Roman" w:cs="Times New Roman"/>
          <w:sz w:val="28"/>
          <w:szCs w:val="22"/>
        </w:rPr>
        <w:t xml:space="preserve"> </w:t>
      </w:r>
      <w:r w:rsidR="007C0B5D">
        <w:rPr>
          <w:rFonts w:ascii="Times New Roman" w:hAnsi="Times New Roman" w:cs="Times New Roman"/>
          <w:sz w:val="28"/>
          <w:szCs w:val="22"/>
        </w:rPr>
        <w:tab/>
      </w:r>
      <w:r w:rsidR="007C0B5D">
        <w:rPr>
          <w:rFonts w:ascii="Times New Roman" w:hAnsi="Times New Roman" w:cs="Times New Roman"/>
          <w:sz w:val="28"/>
          <w:szCs w:val="22"/>
        </w:rPr>
        <w:tab/>
      </w:r>
      <w:r w:rsidR="007C0B5D">
        <w:rPr>
          <w:rFonts w:ascii="Times New Roman" w:hAnsi="Times New Roman" w:cs="Times New Roman"/>
          <w:sz w:val="28"/>
          <w:szCs w:val="22"/>
        </w:rPr>
        <w:tab/>
      </w:r>
      <w:r w:rsidR="007C0B5D">
        <w:rPr>
          <w:rFonts w:ascii="Times New Roman" w:hAnsi="Times New Roman" w:cs="Times New Roman"/>
          <w:sz w:val="28"/>
          <w:szCs w:val="22"/>
        </w:rPr>
        <w:tab/>
      </w:r>
      <w:r w:rsidR="007C0B5D">
        <w:rPr>
          <w:rFonts w:ascii="Times New Roman" w:hAnsi="Times New Roman" w:cs="Times New Roman"/>
          <w:sz w:val="28"/>
          <w:szCs w:val="22"/>
        </w:rPr>
        <w:tab/>
      </w:r>
      <w:r w:rsidR="007C0B5D">
        <w:rPr>
          <w:rFonts w:ascii="Times New Roman" w:hAnsi="Times New Roman" w:cs="Times New Roman"/>
          <w:sz w:val="28"/>
          <w:szCs w:val="22"/>
        </w:rPr>
        <w:tab/>
      </w:r>
      <w:r w:rsidR="007C0B5D">
        <w:rPr>
          <w:rFonts w:ascii="Times New Roman" w:hAnsi="Times New Roman" w:cs="Times New Roman"/>
          <w:sz w:val="28"/>
          <w:szCs w:val="22"/>
        </w:rPr>
        <w:tab/>
      </w:r>
      <w:r w:rsidR="007C0B5D">
        <w:rPr>
          <w:rFonts w:ascii="Times New Roman" w:hAnsi="Times New Roman" w:cs="Times New Roman"/>
          <w:sz w:val="28"/>
          <w:szCs w:val="22"/>
        </w:rPr>
        <w:tab/>
        <w:t xml:space="preserve">      </w:t>
      </w:r>
      <w:r w:rsidRPr="00C3160D">
        <w:rPr>
          <w:rFonts w:ascii="Times New Roman" w:hAnsi="Times New Roman" w:cs="Times New Roman"/>
          <w:sz w:val="28"/>
          <w:szCs w:val="22"/>
        </w:rPr>
        <w:t>(Para 38)</w:t>
      </w:r>
    </w:p>
    <w:p w14:paraId="3E71787A" w14:textId="7A3C14AA" w:rsidR="00D923FB" w:rsidRPr="00C3160D" w:rsidRDefault="00D923FB" w:rsidP="00C3160D">
      <w:pPr>
        <w:tabs>
          <w:tab w:val="left" w:pos="3370"/>
        </w:tabs>
        <w:spacing w:line="300" w:lineRule="exact"/>
        <w:jc w:val="both"/>
        <w:rPr>
          <w:rFonts w:ascii="Times New Roman" w:hAnsi="Times New Roman" w:cs="Times New Roman"/>
          <w:sz w:val="28"/>
          <w:szCs w:val="22"/>
        </w:rPr>
      </w:pPr>
      <w:r w:rsidRPr="00C3160D">
        <w:rPr>
          <w:rFonts w:ascii="Times New Roman" w:hAnsi="Times New Roman" w:cs="Times New Roman"/>
          <w:sz w:val="28"/>
          <w:szCs w:val="22"/>
        </w:rPr>
        <w:t>(12). Every State should have an effective ways and means section in its Finance Department. Forecasts of the ways and means position should be prepared, on the basis of which necessary corrective measures should be taken.</w:t>
      </w:r>
      <w:r w:rsidR="0065152D" w:rsidRPr="00C3160D">
        <w:rPr>
          <w:rFonts w:ascii="Times New Roman" w:hAnsi="Times New Roman" w:cs="Times New Roman"/>
          <w:sz w:val="28"/>
          <w:szCs w:val="22"/>
        </w:rPr>
        <w:t xml:space="preserve"> </w:t>
      </w:r>
      <w:r w:rsidR="007C0B5D">
        <w:rPr>
          <w:rFonts w:ascii="Times New Roman" w:hAnsi="Times New Roman" w:cs="Times New Roman"/>
          <w:sz w:val="28"/>
          <w:szCs w:val="22"/>
        </w:rPr>
        <w:tab/>
      </w:r>
      <w:r w:rsidR="007C0B5D">
        <w:rPr>
          <w:rFonts w:ascii="Times New Roman" w:hAnsi="Times New Roman" w:cs="Times New Roman"/>
          <w:sz w:val="28"/>
          <w:szCs w:val="22"/>
        </w:rPr>
        <w:tab/>
        <w:t xml:space="preserve">      </w:t>
      </w:r>
      <w:r w:rsidRPr="00C3160D">
        <w:rPr>
          <w:rFonts w:ascii="Times New Roman" w:hAnsi="Times New Roman" w:cs="Times New Roman"/>
          <w:sz w:val="28"/>
          <w:szCs w:val="22"/>
        </w:rPr>
        <w:t>(Para 50)</w:t>
      </w:r>
    </w:p>
    <w:p w14:paraId="2227BE95" w14:textId="0A6AD4AF" w:rsidR="00D923FB" w:rsidRPr="00C3160D" w:rsidRDefault="00D923FB" w:rsidP="00C3160D">
      <w:pPr>
        <w:tabs>
          <w:tab w:val="left" w:pos="3370"/>
        </w:tabs>
        <w:spacing w:line="300" w:lineRule="exact"/>
        <w:jc w:val="both"/>
        <w:rPr>
          <w:rFonts w:ascii="Times New Roman" w:hAnsi="Times New Roman" w:cs="Times New Roman"/>
          <w:sz w:val="28"/>
          <w:szCs w:val="22"/>
        </w:rPr>
      </w:pPr>
      <w:r w:rsidRPr="00C3160D">
        <w:rPr>
          <w:rFonts w:ascii="Times New Roman" w:hAnsi="Times New Roman" w:cs="Times New Roman"/>
          <w:sz w:val="28"/>
          <w:szCs w:val="22"/>
        </w:rPr>
        <w:t>(13). The States may consider the introduction of a system in the nature of 'letters of credit' in the case of major spending departments and a monetary limit of expenditure may be fixed for each disbursing officer.</w:t>
      </w:r>
      <w:r w:rsidR="0065152D" w:rsidRPr="00C3160D">
        <w:rPr>
          <w:rFonts w:ascii="Times New Roman" w:hAnsi="Times New Roman" w:cs="Times New Roman"/>
          <w:sz w:val="28"/>
          <w:szCs w:val="22"/>
        </w:rPr>
        <w:t xml:space="preserve"> </w:t>
      </w:r>
      <w:r w:rsidR="007C0B5D">
        <w:rPr>
          <w:rFonts w:ascii="Times New Roman" w:hAnsi="Times New Roman" w:cs="Times New Roman"/>
          <w:sz w:val="28"/>
          <w:szCs w:val="22"/>
        </w:rPr>
        <w:tab/>
      </w:r>
      <w:r w:rsidR="007C0B5D">
        <w:rPr>
          <w:rFonts w:ascii="Times New Roman" w:hAnsi="Times New Roman" w:cs="Times New Roman"/>
          <w:sz w:val="28"/>
          <w:szCs w:val="22"/>
        </w:rPr>
        <w:tab/>
      </w:r>
      <w:r w:rsidR="007C0B5D">
        <w:rPr>
          <w:rFonts w:ascii="Times New Roman" w:hAnsi="Times New Roman" w:cs="Times New Roman"/>
          <w:sz w:val="28"/>
          <w:szCs w:val="22"/>
        </w:rPr>
        <w:tab/>
      </w:r>
      <w:r w:rsidR="007C0B5D">
        <w:rPr>
          <w:rFonts w:ascii="Times New Roman" w:hAnsi="Times New Roman" w:cs="Times New Roman"/>
          <w:sz w:val="28"/>
          <w:szCs w:val="22"/>
        </w:rPr>
        <w:tab/>
      </w:r>
      <w:r w:rsidR="007C0B5D">
        <w:rPr>
          <w:rFonts w:ascii="Times New Roman" w:hAnsi="Times New Roman" w:cs="Times New Roman"/>
          <w:sz w:val="28"/>
          <w:szCs w:val="22"/>
        </w:rPr>
        <w:tab/>
        <w:t xml:space="preserve">      </w:t>
      </w:r>
      <w:r w:rsidRPr="00C3160D">
        <w:rPr>
          <w:rFonts w:ascii="Times New Roman" w:hAnsi="Times New Roman" w:cs="Times New Roman"/>
          <w:sz w:val="28"/>
          <w:szCs w:val="22"/>
        </w:rPr>
        <w:t>(Para 50)</w:t>
      </w:r>
    </w:p>
    <w:p w14:paraId="69C720EF" w14:textId="28476F27" w:rsidR="00D923FB" w:rsidRPr="00C3160D" w:rsidRDefault="00D923FB" w:rsidP="00C3160D">
      <w:pPr>
        <w:tabs>
          <w:tab w:val="left" w:pos="3370"/>
        </w:tabs>
        <w:spacing w:line="300" w:lineRule="exact"/>
        <w:jc w:val="both"/>
        <w:rPr>
          <w:rFonts w:ascii="Times New Roman" w:hAnsi="Times New Roman" w:cs="Times New Roman"/>
          <w:sz w:val="28"/>
          <w:szCs w:val="22"/>
        </w:rPr>
      </w:pPr>
      <w:r w:rsidRPr="00C3160D">
        <w:rPr>
          <w:rFonts w:ascii="Times New Roman" w:hAnsi="Times New Roman" w:cs="Times New Roman"/>
          <w:sz w:val="28"/>
          <w:szCs w:val="22"/>
        </w:rPr>
        <w:t>(14).  The Reserve Bank should keep a continuous watch over the ways and means position of each State and the ways and means advances should not be allowed to continue beyond three months automatically. The Bank should formally renew an advance only where it is satisfied that its continuance is not due to a long-term imbalance in the State's budgetary position. In other cases the State should be called upon to repay the advance and in case of default it should be dealt with as an unauthorised overdraft.</w:t>
      </w:r>
      <w:r w:rsidR="0065152D" w:rsidRPr="00C3160D">
        <w:rPr>
          <w:rFonts w:ascii="Times New Roman" w:hAnsi="Times New Roman" w:cs="Times New Roman"/>
          <w:sz w:val="28"/>
          <w:szCs w:val="22"/>
        </w:rPr>
        <w:t xml:space="preserve"> </w:t>
      </w:r>
      <w:r w:rsidR="007C0B5D">
        <w:rPr>
          <w:rFonts w:ascii="Times New Roman" w:hAnsi="Times New Roman" w:cs="Times New Roman"/>
          <w:sz w:val="28"/>
          <w:szCs w:val="22"/>
        </w:rPr>
        <w:tab/>
      </w:r>
      <w:r w:rsidR="007C0B5D">
        <w:rPr>
          <w:rFonts w:ascii="Times New Roman" w:hAnsi="Times New Roman" w:cs="Times New Roman"/>
          <w:sz w:val="28"/>
          <w:szCs w:val="22"/>
        </w:rPr>
        <w:tab/>
      </w:r>
      <w:r w:rsidR="007C0B5D">
        <w:rPr>
          <w:rFonts w:ascii="Times New Roman" w:hAnsi="Times New Roman" w:cs="Times New Roman"/>
          <w:sz w:val="28"/>
          <w:szCs w:val="22"/>
        </w:rPr>
        <w:tab/>
      </w:r>
      <w:r w:rsidR="007C0B5D">
        <w:rPr>
          <w:rFonts w:ascii="Times New Roman" w:hAnsi="Times New Roman" w:cs="Times New Roman"/>
          <w:sz w:val="28"/>
          <w:szCs w:val="22"/>
        </w:rPr>
        <w:tab/>
      </w:r>
      <w:r w:rsidR="007C0B5D">
        <w:rPr>
          <w:rFonts w:ascii="Times New Roman" w:hAnsi="Times New Roman" w:cs="Times New Roman"/>
          <w:sz w:val="28"/>
          <w:szCs w:val="22"/>
        </w:rPr>
        <w:tab/>
      </w:r>
      <w:r w:rsidR="007C0B5D">
        <w:rPr>
          <w:rFonts w:ascii="Times New Roman" w:hAnsi="Times New Roman" w:cs="Times New Roman"/>
          <w:sz w:val="28"/>
          <w:szCs w:val="22"/>
        </w:rPr>
        <w:tab/>
      </w:r>
      <w:r w:rsidR="007C0B5D">
        <w:rPr>
          <w:rFonts w:ascii="Times New Roman" w:hAnsi="Times New Roman" w:cs="Times New Roman"/>
          <w:sz w:val="28"/>
          <w:szCs w:val="22"/>
        </w:rPr>
        <w:tab/>
      </w:r>
      <w:r w:rsidR="007C0B5D">
        <w:rPr>
          <w:rFonts w:ascii="Times New Roman" w:hAnsi="Times New Roman" w:cs="Times New Roman"/>
          <w:sz w:val="28"/>
          <w:szCs w:val="22"/>
        </w:rPr>
        <w:tab/>
        <w:t xml:space="preserve">      </w:t>
      </w:r>
      <w:r w:rsidRPr="00C3160D">
        <w:rPr>
          <w:rFonts w:ascii="Times New Roman" w:hAnsi="Times New Roman" w:cs="Times New Roman"/>
          <w:sz w:val="28"/>
          <w:szCs w:val="22"/>
        </w:rPr>
        <w:t>(Para 48)</w:t>
      </w:r>
    </w:p>
    <w:p w14:paraId="1747639E" w14:textId="45AA413D" w:rsidR="00D923FB" w:rsidRPr="00C3160D" w:rsidRDefault="00D923FB" w:rsidP="00C3160D">
      <w:pPr>
        <w:tabs>
          <w:tab w:val="left" w:pos="3370"/>
        </w:tabs>
        <w:spacing w:line="300" w:lineRule="exact"/>
        <w:jc w:val="both"/>
        <w:rPr>
          <w:rFonts w:ascii="Times New Roman" w:hAnsi="Times New Roman" w:cs="Times New Roman"/>
          <w:sz w:val="28"/>
          <w:szCs w:val="22"/>
        </w:rPr>
      </w:pPr>
      <w:r w:rsidRPr="00C3160D">
        <w:rPr>
          <w:rFonts w:ascii="Times New Roman" w:hAnsi="Times New Roman" w:cs="Times New Roman"/>
          <w:sz w:val="28"/>
          <w:szCs w:val="22"/>
        </w:rPr>
        <w:t>(15).  Where an unauthorised overdraft takes place, the Reserve Bank should issue a notice to the State Government as at present, and at the same time inform the Government of India. It should be the duty of the State Government to take immediate steps for clearing the overdraft within the notice period, failing which the Reserve Bank must proceed to stop payments.</w:t>
      </w:r>
      <w:r w:rsidR="0065152D" w:rsidRPr="00C3160D">
        <w:rPr>
          <w:rFonts w:ascii="Times New Roman" w:hAnsi="Times New Roman" w:cs="Times New Roman"/>
          <w:sz w:val="28"/>
          <w:szCs w:val="22"/>
        </w:rPr>
        <w:t xml:space="preserve"> </w:t>
      </w:r>
      <w:r w:rsidR="007C0DCF">
        <w:rPr>
          <w:rFonts w:ascii="Times New Roman" w:hAnsi="Times New Roman" w:cs="Times New Roman"/>
          <w:sz w:val="28"/>
          <w:szCs w:val="22"/>
        </w:rPr>
        <w:tab/>
      </w:r>
      <w:r w:rsidR="007C0DCF">
        <w:rPr>
          <w:rFonts w:ascii="Times New Roman" w:hAnsi="Times New Roman" w:cs="Times New Roman"/>
          <w:sz w:val="28"/>
          <w:szCs w:val="22"/>
        </w:rPr>
        <w:tab/>
      </w:r>
      <w:r w:rsidR="007C0DCF">
        <w:rPr>
          <w:rFonts w:ascii="Times New Roman" w:hAnsi="Times New Roman" w:cs="Times New Roman"/>
          <w:sz w:val="28"/>
          <w:szCs w:val="22"/>
        </w:rPr>
        <w:tab/>
        <w:t xml:space="preserve">   </w:t>
      </w:r>
      <w:r w:rsidRPr="00C3160D">
        <w:rPr>
          <w:rFonts w:ascii="Times New Roman" w:hAnsi="Times New Roman" w:cs="Times New Roman"/>
          <w:sz w:val="28"/>
          <w:szCs w:val="22"/>
        </w:rPr>
        <w:t>(Paras 52 and 53)</w:t>
      </w:r>
    </w:p>
    <w:p w14:paraId="1917A44C" w14:textId="77777777" w:rsidR="007C0DCF" w:rsidRDefault="00D923FB" w:rsidP="007C0DCF">
      <w:pPr>
        <w:tabs>
          <w:tab w:val="left" w:pos="3370"/>
        </w:tabs>
        <w:spacing w:after="0" w:line="300" w:lineRule="exact"/>
        <w:jc w:val="both"/>
        <w:rPr>
          <w:rFonts w:ascii="Times New Roman" w:hAnsi="Times New Roman" w:cs="Times New Roman"/>
          <w:sz w:val="28"/>
          <w:szCs w:val="22"/>
        </w:rPr>
      </w:pPr>
      <w:r w:rsidRPr="00C3160D">
        <w:rPr>
          <w:rFonts w:ascii="Times New Roman" w:hAnsi="Times New Roman" w:cs="Times New Roman"/>
          <w:sz w:val="28"/>
          <w:szCs w:val="22"/>
        </w:rPr>
        <w:t>(16). In view of the serious consequences which would ensue from stoppage of payments, the Government of India should help the State to regain a position of budgetary balance and to achieve fiscal discipline. To do so it should assist the State to clear the overdraft. It must be clearly recognised that this would be possible only where the State does not persistently follow policies resulting in financial difficulties and that the Central Government cannot clear unauthorised</w:t>
      </w:r>
      <w:r w:rsidR="0065152D" w:rsidRPr="00C3160D">
        <w:rPr>
          <w:rFonts w:ascii="Times New Roman" w:hAnsi="Times New Roman" w:cs="Times New Roman"/>
          <w:sz w:val="28"/>
          <w:szCs w:val="22"/>
        </w:rPr>
        <w:t xml:space="preserve"> </w:t>
      </w:r>
      <w:r w:rsidRPr="00C3160D">
        <w:rPr>
          <w:rFonts w:ascii="Times New Roman" w:hAnsi="Times New Roman" w:cs="Times New Roman"/>
          <w:sz w:val="28"/>
          <w:szCs w:val="22"/>
        </w:rPr>
        <w:t>overdrafts repeatedly.</w:t>
      </w:r>
      <w:r w:rsidR="0065152D" w:rsidRPr="00C3160D">
        <w:rPr>
          <w:rFonts w:ascii="Times New Roman" w:hAnsi="Times New Roman" w:cs="Times New Roman"/>
          <w:sz w:val="28"/>
          <w:szCs w:val="22"/>
        </w:rPr>
        <w:t xml:space="preserve"> </w:t>
      </w:r>
    </w:p>
    <w:p w14:paraId="28C5625E" w14:textId="3E1C370A" w:rsidR="00D923FB" w:rsidRPr="00C3160D" w:rsidRDefault="007C0DCF" w:rsidP="00C3160D">
      <w:pPr>
        <w:tabs>
          <w:tab w:val="left" w:pos="3370"/>
        </w:tabs>
        <w:spacing w:line="300" w:lineRule="exact"/>
        <w:jc w:val="both"/>
        <w:rPr>
          <w:rFonts w:ascii="Times New Roman" w:hAnsi="Times New Roman" w:cs="Times New Roman"/>
          <w:sz w:val="28"/>
          <w:szCs w:val="22"/>
        </w:rPr>
      </w:pPr>
      <w:r>
        <w:rPr>
          <w:rFonts w:ascii="Times New Roman" w:hAnsi="Times New Roman" w:cs="Times New Roman"/>
          <w:sz w:val="28"/>
          <w:szCs w:val="22"/>
        </w:rPr>
        <w:tab/>
      </w:r>
      <w:r>
        <w:rPr>
          <w:rFonts w:ascii="Times New Roman" w:hAnsi="Times New Roman" w:cs="Times New Roman"/>
          <w:sz w:val="28"/>
          <w:szCs w:val="22"/>
        </w:rPr>
        <w:tab/>
      </w:r>
      <w:r>
        <w:rPr>
          <w:rFonts w:ascii="Times New Roman" w:hAnsi="Times New Roman" w:cs="Times New Roman"/>
          <w:sz w:val="28"/>
          <w:szCs w:val="22"/>
        </w:rPr>
        <w:tab/>
      </w:r>
      <w:r>
        <w:rPr>
          <w:rFonts w:ascii="Times New Roman" w:hAnsi="Times New Roman" w:cs="Times New Roman"/>
          <w:sz w:val="28"/>
          <w:szCs w:val="22"/>
        </w:rPr>
        <w:tab/>
      </w:r>
      <w:r>
        <w:rPr>
          <w:rFonts w:ascii="Times New Roman" w:hAnsi="Times New Roman" w:cs="Times New Roman"/>
          <w:sz w:val="28"/>
          <w:szCs w:val="22"/>
        </w:rPr>
        <w:tab/>
      </w:r>
      <w:r>
        <w:rPr>
          <w:rFonts w:ascii="Times New Roman" w:hAnsi="Times New Roman" w:cs="Times New Roman"/>
          <w:sz w:val="28"/>
          <w:szCs w:val="22"/>
        </w:rPr>
        <w:tab/>
      </w:r>
      <w:r>
        <w:rPr>
          <w:rFonts w:ascii="Times New Roman" w:hAnsi="Times New Roman" w:cs="Times New Roman"/>
          <w:sz w:val="28"/>
          <w:szCs w:val="22"/>
        </w:rPr>
        <w:tab/>
      </w:r>
      <w:r>
        <w:rPr>
          <w:rFonts w:ascii="Times New Roman" w:hAnsi="Times New Roman" w:cs="Times New Roman"/>
          <w:sz w:val="28"/>
          <w:szCs w:val="22"/>
        </w:rPr>
        <w:tab/>
        <w:t xml:space="preserve">      </w:t>
      </w:r>
      <w:r w:rsidR="00D923FB" w:rsidRPr="00C3160D">
        <w:rPr>
          <w:rFonts w:ascii="Times New Roman" w:hAnsi="Times New Roman" w:cs="Times New Roman"/>
          <w:sz w:val="28"/>
          <w:szCs w:val="22"/>
        </w:rPr>
        <w:t>(Para 53)</w:t>
      </w:r>
    </w:p>
    <w:p w14:paraId="375B6BF1" w14:textId="7D83C4E4" w:rsidR="00D923FB" w:rsidRPr="00C3160D" w:rsidRDefault="00D923FB" w:rsidP="00C3160D">
      <w:pPr>
        <w:tabs>
          <w:tab w:val="left" w:pos="3370"/>
        </w:tabs>
        <w:spacing w:line="300" w:lineRule="exact"/>
        <w:jc w:val="both"/>
        <w:rPr>
          <w:rFonts w:ascii="Times New Roman" w:hAnsi="Times New Roman" w:cs="Times New Roman"/>
          <w:sz w:val="28"/>
          <w:szCs w:val="22"/>
        </w:rPr>
      </w:pPr>
      <w:r w:rsidRPr="00C3160D">
        <w:rPr>
          <w:rFonts w:ascii="Times New Roman" w:hAnsi="Times New Roman" w:cs="Times New Roman"/>
          <w:sz w:val="28"/>
          <w:szCs w:val="22"/>
        </w:rPr>
        <w:t xml:space="preserve">(17). For this purpose the Government of India should, as soon as it is informed by the Reserve Bank about issue of notice to the State, ascertain from the State what steps it proposes to take to clear the overdraft. If the State Government is not in a position to clear the overdraft it should urgently approach the Central Government for special assistance. The Central Government should, where it decides to assist the </w:t>
      </w:r>
      <w:r w:rsidRPr="00C3160D">
        <w:rPr>
          <w:rFonts w:ascii="Times New Roman" w:hAnsi="Times New Roman" w:cs="Times New Roman"/>
          <w:sz w:val="28"/>
          <w:szCs w:val="22"/>
        </w:rPr>
        <w:lastRenderedPageBreak/>
        <w:t>State, release in advance the State's share of devolution or Plan assistance payable during the year. When the amount due to the State during the year is not sufficient for the purpose, further assistance should be given as an ad hoc loan to be adjusted against the devolution or Plan assistance falling due during the next year.</w:t>
      </w:r>
      <w:r w:rsidR="0065152D" w:rsidRPr="00C3160D">
        <w:rPr>
          <w:rFonts w:ascii="Times New Roman" w:hAnsi="Times New Roman" w:cs="Times New Roman"/>
          <w:sz w:val="28"/>
          <w:szCs w:val="22"/>
        </w:rPr>
        <w:t xml:space="preserve"> </w:t>
      </w:r>
      <w:r w:rsidR="007C0DCF">
        <w:rPr>
          <w:rFonts w:ascii="Times New Roman" w:hAnsi="Times New Roman" w:cs="Times New Roman"/>
          <w:sz w:val="28"/>
          <w:szCs w:val="22"/>
        </w:rPr>
        <w:t xml:space="preserve">  </w:t>
      </w:r>
      <w:r w:rsidRPr="00C3160D">
        <w:rPr>
          <w:rFonts w:ascii="Times New Roman" w:hAnsi="Times New Roman" w:cs="Times New Roman"/>
          <w:sz w:val="28"/>
          <w:szCs w:val="22"/>
        </w:rPr>
        <w:t>(Para 53)</w:t>
      </w:r>
    </w:p>
    <w:p w14:paraId="33502BFE" w14:textId="77777777" w:rsidR="007C0DCF" w:rsidRDefault="00D923FB" w:rsidP="007C0DCF">
      <w:pPr>
        <w:tabs>
          <w:tab w:val="left" w:pos="3370"/>
        </w:tabs>
        <w:spacing w:after="0" w:line="300" w:lineRule="exact"/>
        <w:jc w:val="both"/>
        <w:rPr>
          <w:rFonts w:ascii="Times New Roman" w:hAnsi="Times New Roman" w:cs="Times New Roman"/>
          <w:sz w:val="28"/>
          <w:szCs w:val="22"/>
        </w:rPr>
      </w:pPr>
      <w:r w:rsidRPr="00C3160D">
        <w:rPr>
          <w:rFonts w:ascii="Times New Roman" w:hAnsi="Times New Roman" w:cs="Times New Roman"/>
          <w:sz w:val="28"/>
          <w:szCs w:val="22"/>
        </w:rPr>
        <w:t>(18). The Central Government should also have consultations with the State Government to ascertain the causes of its difficulties and to ensure that the situation does not recur. It should depute a team of its officers, including a nominee of the Planning Commission, to visit the State for assessing the situation and recommending remedial action, and also considering whether any further temporary loan assistance is necessary for tiding over the immediate difficulties of the</w:t>
      </w:r>
      <w:r w:rsidR="0065152D" w:rsidRPr="00C3160D">
        <w:rPr>
          <w:rFonts w:ascii="Times New Roman" w:hAnsi="Times New Roman" w:cs="Times New Roman"/>
          <w:sz w:val="28"/>
          <w:szCs w:val="22"/>
        </w:rPr>
        <w:t xml:space="preserve"> </w:t>
      </w:r>
      <w:r w:rsidRPr="00C3160D">
        <w:rPr>
          <w:rFonts w:ascii="Times New Roman" w:hAnsi="Times New Roman" w:cs="Times New Roman"/>
          <w:sz w:val="28"/>
          <w:szCs w:val="22"/>
        </w:rPr>
        <w:t>State.</w:t>
      </w:r>
      <w:r w:rsidR="0065152D" w:rsidRPr="00C3160D">
        <w:rPr>
          <w:rFonts w:ascii="Times New Roman" w:hAnsi="Times New Roman" w:cs="Times New Roman"/>
          <w:sz w:val="28"/>
          <w:szCs w:val="22"/>
        </w:rPr>
        <w:t xml:space="preserve"> </w:t>
      </w:r>
    </w:p>
    <w:p w14:paraId="4948D471" w14:textId="30D1DC35" w:rsidR="00D923FB" w:rsidRPr="00C3160D" w:rsidRDefault="007C0DCF" w:rsidP="00C3160D">
      <w:pPr>
        <w:tabs>
          <w:tab w:val="left" w:pos="3370"/>
        </w:tabs>
        <w:spacing w:line="300" w:lineRule="exact"/>
        <w:jc w:val="both"/>
        <w:rPr>
          <w:rFonts w:ascii="Times New Roman" w:hAnsi="Times New Roman" w:cs="Times New Roman"/>
          <w:sz w:val="28"/>
          <w:szCs w:val="22"/>
        </w:rPr>
      </w:pPr>
      <w:r>
        <w:rPr>
          <w:rFonts w:ascii="Times New Roman" w:hAnsi="Times New Roman" w:cs="Times New Roman"/>
          <w:sz w:val="28"/>
          <w:szCs w:val="22"/>
        </w:rPr>
        <w:tab/>
      </w:r>
      <w:r>
        <w:rPr>
          <w:rFonts w:ascii="Times New Roman" w:hAnsi="Times New Roman" w:cs="Times New Roman"/>
          <w:sz w:val="28"/>
          <w:szCs w:val="22"/>
        </w:rPr>
        <w:tab/>
      </w:r>
      <w:r>
        <w:rPr>
          <w:rFonts w:ascii="Times New Roman" w:hAnsi="Times New Roman" w:cs="Times New Roman"/>
          <w:sz w:val="28"/>
          <w:szCs w:val="22"/>
        </w:rPr>
        <w:tab/>
      </w:r>
      <w:r>
        <w:rPr>
          <w:rFonts w:ascii="Times New Roman" w:hAnsi="Times New Roman" w:cs="Times New Roman"/>
          <w:sz w:val="28"/>
          <w:szCs w:val="22"/>
        </w:rPr>
        <w:tab/>
      </w:r>
      <w:r>
        <w:rPr>
          <w:rFonts w:ascii="Times New Roman" w:hAnsi="Times New Roman" w:cs="Times New Roman"/>
          <w:sz w:val="28"/>
          <w:szCs w:val="22"/>
        </w:rPr>
        <w:tab/>
      </w:r>
      <w:r>
        <w:rPr>
          <w:rFonts w:ascii="Times New Roman" w:hAnsi="Times New Roman" w:cs="Times New Roman"/>
          <w:sz w:val="28"/>
          <w:szCs w:val="22"/>
        </w:rPr>
        <w:tab/>
      </w:r>
      <w:r>
        <w:rPr>
          <w:rFonts w:ascii="Times New Roman" w:hAnsi="Times New Roman" w:cs="Times New Roman"/>
          <w:sz w:val="28"/>
          <w:szCs w:val="22"/>
        </w:rPr>
        <w:tab/>
      </w:r>
      <w:r>
        <w:rPr>
          <w:rFonts w:ascii="Times New Roman" w:hAnsi="Times New Roman" w:cs="Times New Roman"/>
          <w:sz w:val="28"/>
          <w:szCs w:val="22"/>
        </w:rPr>
        <w:tab/>
        <w:t xml:space="preserve">      </w:t>
      </w:r>
      <w:r w:rsidR="00D923FB" w:rsidRPr="00C3160D">
        <w:rPr>
          <w:rFonts w:ascii="Times New Roman" w:hAnsi="Times New Roman" w:cs="Times New Roman"/>
          <w:sz w:val="28"/>
          <w:szCs w:val="22"/>
        </w:rPr>
        <w:t>(Para 54)</w:t>
      </w:r>
    </w:p>
    <w:p w14:paraId="0A0ACF5E" w14:textId="75D73A11" w:rsidR="00D923FB" w:rsidRPr="00C3160D" w:rsidRDefault="00D923FB" w:rsidP="00C3160D">
      <w:pPr>
        <w:tabs>
          <w:tab w:val="left" w:pos="3370"/>
        </w:tabs>
        <w:spacing w:line="300" w:lineRule="exact"/>
        <w:jc w:val="both"/>
        <w:rPr>
          <w:rFonts w:ascii="Times New Roman" w:hAnsi="Times New Roman" w:cs="Times New Roman"/>
          <w:sz w:val="28"/>
          <w:szCs w:val="22"/>
        </w:rPr>
      </w:pPr>
      <w:r w:rsidRPr="00C3160D">
        <w:rPr>
          <w:rFonts w:ascii="Times New Roman" w:hAnsi="Times New Roman" w:cs="Times New Roman"/>
          <w:sz w:val="28"/>
          <w:szCs w:val="22"/>
        </w:rPr>
        <w:t>(19). The Central Government should call upon the State to adopt such measures as it may deem necessary. For the purpose of securing effective control over expenditure so as to keep it within actual receipts, it should be open to the Central Government to nominate an officer to be associated with the Finance Department of the State. The State Government should comply with these requirements.</w:t>
      </w:r>
      <w:r w:rsidR="0065152D" w:rsidRPr="00C3160D">
        <w:rPr>
          <w:rFonts w:ascii="Times New Roman" w:hAnsi="Times New Roman" w:cs="Times New Roman"/>
          <w:sz w:val="28"/>
          <w:szCs w:val="22"/>
        </w:rPr>
        <w:t xml:space="preserve"> </w:t>
      </w:r>
      <w:r w:rsidRPr="00C3160D">
        <w:rPr>
          <w:rFonts w:ascii="Times New Roman" w:hAnsi="Times New Roman" w:cs="Times New Roman"/>
          <w:sz w:val="28"/>
          <w:szCs w:val="22"/>
        </w:rPr>
        <w:t>(Para 54)</w:t>
      </w:r>
    </w:p>
    <w:p w14:paraId="5BC1F43B" w14:textId="22BE2D3F" w:rsidR="00D923FB" w:rsidRPr="00C3160D" w:rsidRDefault="00D923FB" w:rsidP="00C3160D">
      <w:pPr>
        <w:tabs>
          <w:tab w:val="left" w:pos="3370"/>
        </w:tabs>
        <w:spacing w:line="300" w:lineRule="exact"/>
        <w:jc w:val="both"/>
        <w:rPr>
          <w:rFonts w:ascii="Times New Roman" w:hAnsi="Times New Roman" w:cs="Times New Roman"/>
          <w:sz w:val="28"/>
          <w:szCs w:val="22"/>
        </w:rPr>
      </w:pPr>
      <w:r w:rsidRPr="00C3160D">
        <w:rPr>
          <w:rFonts w:ascii="Times New Roman" w:hAnsi="Times New Roman" w:cs="Times New Roman"/>
          <w:sz w:val="28"/>
          <w:szCs w:val="22"/>
        </w:rPr>
        <w:t>(20). If a State Government persists in incurring an unauthorised overdraft it would not be proper that the Central Government should clear it and the consequences of failure to clear it will have to be faced. In such a case, or where an overdraft cannot be cleared in accordance with the procedure we have suggested, the Central Government would have to take a view whether the crisis resulting from stoppage of payments of the States' cheques should be allowed to develop or it would be expedient to forestall it by invoking its Constitutional powers.</w:t>
      </w:r>
      <w:r w:rsidR="0065152D" w:rsidRPr="00C3160D">
        <w:rPr>
          <w:rFonts w:ascii="Times New Roman" w:hAnsi="Times New Roman" w:cs="Times New Roman"/>
          <w:sz w:val="28"/>
          <w:szCs w:val="22"/>
        </w:rPr>
        <w:t xml:space="preserve"> </w:t>
      </w:r>
      <w:r w:rsidR="007C0DCF">
        <w:rPr>
          <w:rFonts w:ascii="Times New Roman" w:hAnsi="Times New Roman" w:cs="Times New Roman"/>
          <w:sz w:val="28"/>
          <w:szCs w:val="22"/>
        </w:rPr>
        <w:tab/>
      </w:r>
      <w:r w:rsidR="007C0DCF">
        <w:rPr>
          <w:rFonts w:ascii="Times New Roman" w:hAnsi="Times New Roman" w:cs="Times New Roman"/>
          <w:sz w:val="28"/>
          <w:szCs w:val="22"/>
        </w:rPr>
        <w:tab/>
        <w:t xml:space="preserve">      </w:t>
      </w:r>
      <w:r w:rsidRPr="00C3160D">
        <w:rPr>
          <w:rFonts w:ascii="Times New Roman" w:hAnsi="Times New Roman" w:cs="Times New Roman"/>
          <w:sz w:val="28"/>
          <w:szCs w:val="22"/>
        </w:rPr>
        <w:t>(Para 55)</w:t>
      </w:r>
    </w:p>
    <w:p w14:paraId="3AC36648" w14:textId="77777777" w:rsidR="00D923FB" w:rsidRPr="007245B0" w:rsidRDefault="00D923FB" w:rsidP="00D923FB">
      <w:pPr>
        <w:rPr>
          <w:rFonts w:ascii="Times New Roman" w:hAnsi="Times New Roman" w:cs="Times New Roman"/>
        </w:rPr>
      </w:pPr>
      <w:r w:rsidRPr="007245B0">
        <w:rPr>
          <w:rFonts w:ascii="Times New Roman" w:hAnsi="Times New Roman" w:cs="Times New Roman"/>
        </w:rPr>
        <w:br w:type="page"/>
      </w:r>
    </w:p>
    <w:p w14:paraId="60CE2AEB" w14:textId="109DD3C2" w:rsidR="00566222" w:rsidRPr="007245B0" w:rsidRDefault="00C3160D" w:rsidP="00C3160D">
      <w:pPr>
        <w:pStyle w:val="Heading1"/>
      </w:pPr>
      <w:r>
        <w:lastRenderedPageBreak/>
        <w:br/>
      </w:r>
      <w:bookmarkStart w:id="244" w:name="_Toc220949752"/>
      <w:bookmarkStart w:id="245" w:name="_Toc221115377"/>
      <w:r w:rsidR="00566222" w:rsidRPr="007245B0">
        <w:t>DEVOLUTIONS AND GRANTS FOR 1969-70</w:t>
      </w:r>
      <w:bookmarkEnd w:id="244"/>
      <w:bookmarkEnd w:id="245"/>
    </w:p>
    <w:p w14:paraId="60517454" w14:textId="77777777" w:rsidR="00566222" w:rsidRPr="00C3160D" w:rsidRDefault="00566222" w:rsidP="00C3160D">
      <w:pPr>
        <w:pStyle w:val="ListParagraph"/>
        <w:numPr>
          <w:ilvl w:val="0"/>
          <w:numId w:val="34"/>
        </w:numPr>
        <w:spacing w:line="300" w:lineRule="exact"/>
        <w:ind w:left="-142" w:firstLine="142"/>
        <w:contextualSpacing w:val="0"/>
        <w:jc w:val="both"/>
        <w:rPr>
          <w:rFonts w:ascii="Times New Roman" w:hAnsi="Times New Roman" w:cs="Times New Roman"/>
          <w:sz w:val="28"/>
          <w:szCs w:val="22"/>
        </w:rPr>
      </w:pPr>
      <w:r w:rsidRPr="00C3160D">
        <w:rPr>
          <w:rFonts w:ascii="Times New Roman" w:hAnsi="Times New Roman" w:cs="Times New Roman"/>
          <w:sz w:val="28"/>
          <w:szCs w:val="22"/>
        </w:rPr>
        <w:t>The Commission has been asked in paragraph 6 of the Presidential Order to make an interim Report, in particular in respect of the financial year 1969-70. In that connection, we obtained from the State Governments forecasts of their revenue receipts and expenditure for that year. We requested them to furnish particulars of their revenue receipts on the basis of the levels of taxation likely to be reached at the end of 1968-69, exclusive of devolutions of taxes and grants. On the expenditure side, we requested them to furnish details of their expenditure on revenue account including the maintenance of Plan schemes completed by the end of 1968-69, but exclusive of the requirements of the Fourth Five-Year Plan.</w:t>
      </w:r>
    </w:p>
    <w:p w14:paraId="2FE89721" w14:textId="77777777" w:rsidR="00566222" w:rsidRPr="00C3160D" w:rsidRDefault="00566222" w:rsidP="00C3160D">
      <w:pPr>
        <w:pStyle w:val="ListParagraph"/>
        <w:numPr>
          <w:ilvl w:val="0"/>
          <w:numId w:val="34"/>
        </w:numPr>
        <w:spacing w:line="300" w:lineRule="exact"/>
        <w:ind w:left="-142" w:firstLine="142"/>
        <w:contextualSpacing w:val="0"/>
        <w:jc w:val="both"/>
        <w:rPr>
          <w:rFonts w:ascii="Times New Roman" w:hAnsi="Times New Roman" w:cs="Times New Roman"/>
          <w:sz w:val="28"/>
          <w:szCs w:val="22"/>
        </w:rPr>
      </w:pPr>
      <w:r w:rsidRPr="00C3160D">
        <w:rPr>
          <w:rFonts w:ascii="Times New Roman" w:hAnsi="Times New Roman" w:cs="Times New Roman"/>
          <w:sz w:val="28"/>
          <w:szCs w:val="22"/>
        </w:rPr>
        <w:t>After a preliminary scrutiny of the forecasts furnished by the State Governments, we had discussions with their representatives on various dates from the 17th June to the 23rd August, 1968. These discussions revealed the necessity for obtaining additional information on a number of points, which the representatives of the State Governments were asked to furnish. We have not yet received complete information on these points from all the States.</w:t>
      </w:r>
    </w:p>
    <w:p w14:paraId="08FA93F3" w14:textId="77777777" w:rsidR="00566222" w:rsidRPr="00C3160D" w:rsidRDefault="00566222" w:rsidP="00C3160D">
      <w:pPr>
        <w:pStyle w:val="ListParagraph"/>
        <w:numPr>
          <w:ilvl w:val="0"/>
          <w:numId w:val="34"/>
        </w:numPr>
        <w:spacing w:line="300" w:lineRule="exact"/>
        <w:ind w:left="-142" w:firstLine="142"/>
        <w:contextualSpacing w:val="0"/>
        <w:jc w:val="both"/>
        <w:rPr>
          <w:rFonts w:ascii="Times New Roman" w:hAnsi="Times New Roman" w:cs="Times New Roman"/>
          <w:sz w:val="28"/>
          <w:szCs w:val="22"/>
        </w:rPr>
      </w:pPr>
      <w:r w:rsidRPr="00C3160D">
        <w:rPr>
          <w:rFonts w:ascii="Times New Roman" w:hAnsi="Times New Roman" w:cs="Times New Roman"/>
          <w:sz w:val="28"/>
          <w:szCs w:val="22"/>
        </w:rPr>
        <w:t>In respect of devolutions of taxes and duties, we decided that for the purpose of the interim Report we would take up, for making final recommendations, only the distribution of the net proceeds of estate duty and the grant in lieu of the repealed tax on railway passenger fares. Our discussions with the States in regard to distribution of taxes and duties were confined to these two matters. Our recommendations on them are given in Chapters 2 and 3 of this Report and they cover the period from 1969-70 to 1973-74.</w:t>
      </w:r>
    </w:p>
    <w:p w14:paraId="100A8548" w14:textId="77777777" w:rsidR="00566222" w:rsidRPr="00C3160D" w:rsidRDefault="00566222" w:rsidP="00C3160D">
      <w:pPr>
        <w:pStyle w:val="ListParagraph"/>
        <w:numPr>
          <w:ilvl w:val="0"/>
          <w:numId w:val="34"/>
        </w:numPr>
        <w:spacing w:line="300" w:lineRule="exact"/>
        <w:ind w:left="-142" w:firstLine="142"/>
        <w:contextualSpacing w:val="0"/>
        <w:jc w:val="both"/>
        <w:rPr>
          <w:rFonts w:ascii="Times New Roman" w:hAnsi="Times New Roman" w:cs="Times New Roman"/>
          <w:sz w:val="28"/>
          <w:szCs w:val="22"/>
        </w:rPr>
      </w:pPr>
      <w:r w:rsidRPr="00C3160D">
        <w:rPr>
          <w:rFonts w:ascii="Times New Roman" w:hAnsi="Times New Roman" w:cs="Times New Roman"/>
          <w:sz w:val="28"/>
          <w:szCs w:val="22"/>
        </w:rPr>
        <w:t>In their forecasts for the year 1969-70 the States have shown that on the basis of their own revenue receipts, they would have revenue deficits aggregating to Rs. 1,283·69 crores. If the transfer of funds to the States by way of devolutions of taxes and duties and grants under Article 275 (1) of the Constitution are continued during 1969-70 on the existing basis, the States would still have uncovered deficits of about Rs. 650 crores, and every State would continue to have a deficit. Obviously, it is not possible to make additional transfers of funds of this magnitude to the States. It is, therefore, necessary to examine the forecasts furnished by the State Governments very carefully in order to assess their reasonable requirements.</w:t>
      </w:r>
    </w:p>
    <w:p w14:paraId="5A58A4A9" w14:textId="3C620C9B" w:rsidR="00566222" w:rsidRPr="00C3160D" w:rsidRDefault="00566222" w:rsidP="00C3160D">
      <w:pPr>
        <w:pStyle w:val="ListParagraph"/>
        <w:numPr>
          <w:ilvl w:val="0"/>
          <w:numId w:val="34"/>
        </w:numPr>
        <w:spacing w:line="300" w:lineRule="exact"/>
        <w:ind w:left="-142" w:firstLine="142"/>
        <w:contextualSpacing w:val="0"/>
        <w:jc w:val="both"/>
        <w:rPr>
          <w:rFonts w:ascii="Times New Roman" w:hAnsi="Times New Roman" w:cs="Times New Roman"/>
          <w:sz w:val="28"/>
          <w:szCs w:val="22"/>
        </w:rPr>
      </w:pPr>
      <w:r w:rsidRPr="00C3160D">
        <w:rPr>
          <w:rFonts w:ascii="Times New Roman" w:hAnsi="Times New Roman" w:cs="Times New Roman"/>
          <w:sz w:val="28"/>
          <w:szCs w:val="22"/>
        </w:rPr>
        <w:t>The States' forecasts vary considerably in the methods and patterns adopted in regard to matters like reduction or avoidance of debt, earmarking of funds for special purposes, treatment of items like trading profits or losses, and classification between non-Plan and Plan expenditure and between revenue and</w:t>
      </w:r>
      <w:r w:rsidR="002918B2" w:rsidRPr="00C3160D">
        <w:rPr>
          <w:rFonts w:ascii="Times New Roman" w:hAnsi="Times New Roman" w:cs="Times New Roman"/>
          <w:sz w:val="28"/>
          <w:szCs w:val="22"/>
        </w:rPr>
        <w:t xml:space="preserve"> </w:t>
      </w:r>
      <w:r w:rsidRPr="00C3160D">
        <w:rPr>
          <w:rFonts w:ascii="Times New Roman" w:hAnsi="Times New Roman" w:cs="Times New Roman"/>
          <w:sz w:val="28"/>
          <w:szCs w:val="22"/>
        </w:rPr>
        <w:t xml:space="preserve">capital accounts. These forecasts, therefore, require to be suitably adjusted so as to put them on a comparable basis. Our terms of reference also require us to have regard to the scope for better fiscal management and for economy consistent with efficiency in State </w:t>
      </w:r>
      <w:r w:rsidRPr="00C3160D">
        <w:rPr>
          <w:rFonts w:ascii="Times New Roman" w:hAnsi="Times New Roman" w:cs="Times New Roman"/>
          <w:sz w:val="28"/>
          <w:szCs w:val="22"/>
        </w:rPr>
        <w:lastRenderedPageBreak/>
        <w:t>expenditure. Several States represented to us that it would be highly inequitable to disallow items of fresh expenditure, only on the ground that the relevant decisions were not made before a particular date. Some States have urged that their tax efforts and measures adopted for effecting economy should be given due consideration by the Commission in framing its recommendations. Some of them have represented that they should not be made to suffer in comparison with other States which have shown larger deficits due to adoption of policies resulting in reduction of their revenues or large increases in their non-Plan expenditure. They have, therefore, urged that some suitable norms should be evolved regarding tax effort, administrative expenditure, levels of services and the economic working of commercial undertakings. Some States have, on the other hand, suggested that the Commission should take into account the actual levels of taxation in 1968-69 and should give due consideration to all their commitments of expenditure as well as their requirements for fresh expenditure, in determining their need for assistance. These questions require careful consideration before a proper assessment of the needs of the States can be attempted.</w:t>
      </w:r>
    </w:p>
    <w:p w14:paraId="15B1C3A2" w14:textId="77777777" w:rsidR="00566222" w:rsidRPr="00C3160D" w:rsidRDefault="00566222" w:rsidP="00C3160D">
      <w:pPr>
        <w:pStyle w:val="ListParagraph"/>
        <w:numPr>
          <w:ilvl w:val="0"/>
          <w:numId w:val="34"/>
        </w:numPr>
        <w:spacing w:line="300" w:lineRule="exact"/>
        <w:ind w:left="-142" w:firstLine="142"/>
        <w:contextualSpacing w:val="0"/>
        <w:jc w:val="both"/>
        <w:rPr>
          <w:rFonts w:ascii="Times New Roman" w:hAnsi="Times New Roman" w:cs="Times New Roman"/>
          <w:sz w:val="28"/>
          <w:szCs w:val="22"/>
        </w:rPr>
      </w:pPr>
      <w:r w:rsidRPr="00C3160D">
        <w:rPr>
          <w:rFonts w:ascii="Times New Roman" w:hAnsi="Times New Roman" w:cs="Times New Roman"/>
          <w:sz w:val="28"/>
          <w:szCs w:val="22"/>
        </w:rPr>
        <w:t>The Fourth Finance Commission had, in their assessment of revenue expenditure, included provision for amortisation of market loans in the extent to which various States were actually making such provision in their annual budgets. This resulted in varying benefits to the States, as they were not making such provisions on a uniform basis. We understand that a proposal to provide additional assistance to such States as were not making adequate provision to amortise their market borrowings, is under the consideration of the Government of India in order to place all the States on a uniform basis. From the material furnished to us it appears that the sums provided for amortisation in the States' budgets were in many cases not being kept invested in a suitable form so as to be available for meeting the repayment of the loans, but were being utilised for other expenditure. The State Governments have, in their forecasts for 1969-70, included larger provisions under amortisation of market borrowings and loans from the Central Government than what they have been making in their budgets hitherto. The question regarding the basis on which amortisation of different types of loans should be made and the extent to which it should be provided for in the revenue budget, requires detailed examination.</w:t>
      </w:r>
    </w:p>
    <w:p w14:paraId="5FAAE854" w14:textId="77777777" w:rsidR="00566222" w:rsidRPr="00C3160D" w:rsidRDefault="00566222" w:rsidP="00C3160D">
      <w:pPr>
        <w:pStyle w:val="ListParagraph"/>
        <w:numPr>
          <w:ilvl w:val="0"/>
          <w:numId w:val="34"/>
        </w:numPr>
        <w:spacing w:line="300" w:lineRule="exact"/>
        <w:ind w:left="-142" w:firstLine="142"/>
        <w:contextualSpacing w:val="0"/>
        <w:jc w:val="both"/>
        <w:rPr>
          <w:rFonts w:ascii="Times New Roman" w:hAnsi="Times New Roman" w:cs="Times New Roman"/>
          <w:sz w:val="28"/>
          <w:szCs w:val="22"/>
        </w:rPr>
      </w:pPr>
      <w:r w:rsidRPr="00C3160D">
        <w:rPr>
          <w:rFonts w:ascii="Times New Roman" w:hAnsi="Times New Roman" w:cs="Times New Roman"/>
          <w:sz w:val="28"/>
          <w:szCs w:val="22"/>
        </w:rPr>
        <w:t xml:space="preserve">The Fourth Finance Commission had assessed the needs of the States after disallowing losses from enterprises managed departmentally by the State Governments and assuming full receipt of interest on loans to autonomous corporations. Some State Governments represented to us that the costs of generation and distribution of electricity were so high that it was not practicable to put on the working of their State Electricity Boards economic on the basis of any reasonable tariffs. Further, they stated that rural electrification schemes could not be expected to be self-supporting for a number of years and they had to be subsidized meanwhile. It was also stated that in view of the low priority assigned to payment of interest on loans from the State Government under the provisions of the Electricity (Supply) Act, 1948, substantial amounts of investment made on power schemes could not bring </w:t>
      </w:r>
      <w:r w:rsidRPr="00C3160D">
        <w:rPr>
          <w:rFonts w:ascii="Times New Roman" w:hAnsi="Times New Roman" w:cs="Times New Roman"/>
          <w:sz w:val="28"/>
          <w:szCs w:val="22"/>
        </w:rPr>
        <w:lastRenderedPageBreak/>
        <w:t>actual receipts of interest to the States for a long time. The State Governments, therefore, criticised the assumptions made by the Fourth Finance Commission in this regard as being unrealistic and unfair to them. Further, there is the question of returns from irrigation projects and investments in other commercial enterprises. These matters have an important bearing on the finances of the States, and have to be carefully considered.</w:t>
      </w:r>
    </w:p>
    <w:p w14:paraId="3A9FCD7C" w14:textId="77777777" w:rsidR="00566222" w:rsidRPr="00C3160D" w:rsidRDefault="00566222" w:rsidP="00C3160D">
      <w:pPr>
        <w:pStyle w:val="ListParagraph"/>
        <w:numPr>
          <w:ilvl w:val="0"/>
          <w:numId w:val="34"/>
        </w:numPr>
        <w:spacing w:line="300" w:lineRule="exact"/>
        <w:ind w:left="-142" w:firstLine="142"/>
        <w:contextualSpacing w:val="0"/>
        <w:jc w:val="both"/>
        <w:rPr>
          <w:rFonts w:ascii="Times New Roman" w:hAnsi="Times New Roman" w:cs="Times New Roman"/>
          <w:sz w:val="28"/>
          <w:szCs w:val="22"/>
        </w:rPr>
      </w:pPr>
      <w:r w:rsidRPr="00C3160D">
        <w:rPr>
          <w:rFonts w:ascii="Times New Roman" w:hAnsi="Times New Roman" w:cs="Times New Roman"/>
          <w:sz w:val="28"/>
          <w:szCs w:val="22"/>
        </w:rPr>
        <w:t>Under the Presidential Order, we have been asked to have due regard to the resources of the Central Government and demands thereon on account of expenditure on civil administration, defence and border security, debt servicing and other committed expenditure and liabilities. For this purpose, we asked the Ministry of Finance to send us the forecast of the Central Government's receipts and expenditure on revenue account for the year 1969-70. We find that the estimated surplus on revenue account falls very much short of the total estimated deficits of the States on non-Plan revenue account.</w:t>
      </w:r>
    </w:p>
    <w:p w14:paraId="1F9AE843" w14:textId="77777777" w:rsidR="00566222" w:rsidRPr="00C3160D" w:rsidRDefault="00566222" w:rsidP="00C3160D">
      <w:pPr>
        <w:pStyle w:val="ListParagraph"/>
        <w:numPr>
          <w:ilvl w:val="0"/>
          <w:numId w:val="34"/>
        </w:numPr>
        <w:spacing w:line="300" w:lineRule="exact"/>
        <w:ind w:left="-142" w:firstLine="142"/>
        <w:contextualSpacing w:val="0"/>
        <w:jc w:val="both"/>
        <w:rPr>
          <w:rFonts w:ascii="Times New Roman" w:hAnsi="Times New Roman" w:cs="Times New Roman"/>
          <w:sz w:val="28"/>
          <w:szCs w:val="22"/>
        </w:rPr>
      </w:pPr>
      <w:r w:rsidRPr="00C3160D">
        <w:rPr>
          <w:rFonts w:ascii="Times New Roman" w:hAnsi="Times New Roman" w:cs="Times New Roman"/>
          <w:sz w:val="28"/>
          <w:szCs w:val="22"/>
        </w:rPr>
        <w:t>In view of the overall inadequacy of the total revenue resources in relation to the aggregate requirements of expenditure of the States as well as the Centre, as estimated by them, the question of determining the size of total transfer of funds from the Centre to the States as well as the assessment of the needs of the States on a reasonable and equitable basis, become matters of great importance. We consider that it would not be proper to take any final view on these matters on the basis of forecasts for the year 1969-70 only. Any view taken on such matters for that year will inevitably have far-reaching effects on the assessments relating to subsequent years regarding which we have to make recommendations.</w:t>
      </w:r>
    </w:p>
    <w:p w14:paraId="14CD207E" w14:textId="77777777" w:rsidR="00566222" w:rsidRPr="00C3160D" w:rsidRDefault="00566222" w:rsidP="00C3160D">
      <w:pPr>
        <w:pStyle w:val="ListParagraph"/>
        <w:numPr>
          <w:ilvl w:val="0"/>
          <w:numId w:val="34"/>
        </w:numPr>
        <w:spacing w:line="300" w:lineRule="exact"/>
        <w:ind w:left="-142" w:firstLine="142"/>
        <w:contextualSpacing w:val="0"/>
        <w:jc w:val="both"/>
        <w:rPr>
          <w:rFonts w:ascii="Times New Roman" w:hAnsi="Times New Roman" w:cs="Times New Roman"/>
          <w:sz w:val="28"/>
          <w:szCs w:val="22"/>
        </w:rPr>
      </w:pPr>
      <w:r w:rsidRPr="00C3160D">
        <w:rPr>
          <w:rFonts w:ascii="Times New Roman" w:hAnsi="Times New Roman" w:cs="Times New Roman"/>
          <w:sz w:val="28"/>
          <w:szCs w:val="22"/>
        </w:rPr>
        <w:t>We have not received the forecasts for the period of five years from all the States or from the Centre. We have also not yet taken up for detailed consideration the question of sharing of proceeds of income-tax and Union excise duties between the Centre and the States, or the principles of distribution of the States' shares of these taxes as well as proceeds of additional excise duties. We can, therefore, for the present only make interim recommendations for meeting the immediate requirements of the States for 1969-70 on a provisional basis.</w:t>
      </w:r>
    </w:p>
    <w:p w14:paraId="1C64468F" w14:textId="77777777" w:rsidR="00566222" w:rsidRPr="00C3160D" w:rsidRDefault="00566222" w:rsidP="00C3160D">
      <w:pPr>
        <w:pStyle w:val="ListParagraph"/>
        <w:numPr>
          <w:ilvl w:val="0"/>
          <w:numId w:val="34"/>
        </w:numPr>
        <w:spacing w:line="300" w:lineRule="exact"/>
        <w:ind w:left="-142" w:firstLine="142"/>
        <w:contextualSpacing w:val="0"/>
        <w:jc w:val="both"/>
        <w:rPr>
          <w:rFonts w:ascii="Times New Roman" w:hAnsi="Times New Roman" w:cs="Times New Roman"/>
          <w:sz w:val="28"/>
          <w:szCs w:val="22"/>
        </w:rPr>
      </w:pPr>
      <w:r w:rsidRPr="00C3160D">
        <w:rPr>
          <w:rFonts w:ascii="Times New Roman" w:hAnsi="Times New Roman" w:cs="Times New Roman"/>
          <w:sz w:val="28"/>
          <w:szCs w:val="22"/>
        </w:rPr>
        <w:t>In any interim recommendations to be made for the year 1969-70, pending the final assessment of the States' requirements, it would be necessary to continue provisionally the devolutions of taxes and duties as well as the grants under Article 275 on the existing basis. The estimated amount of transfer of funds to the States on this basis would exceed the amount included in their budget estimates for 1968-69 by about Rs. 55 crores. We proceeded to examine whether the immediate requirements of all the States would be met thereby.</w:t>
      </w:r>
    </w:p>
    <w:p w14:paraId="4DF3AC0C" w14:textId="77777777" w:rsidR="00566222" w:rsidRPr="00C3160D" w:rsidRDefault="00566222" w:rsidP="00C3160D">
      <w:pPr>
        <w:pStyle w:val="ListParagraph"/>
        <w:numPr>
          <w:ilvl w:val="0"/>
          <w:numId w:val="34"/>
        </w:numPr>
        <w:spacing w:line="300" w:lineRule="exact"/>
        <w:ind w:left="-142" w:firstLine="142"/>
        <w:contextualSpacing w:val="0"/>
        <w:jc w:val="both"/>
        <w:rPr>
          <w:rFonts w:ascii="Times New Roman" w:hAnsi="Times New Roman" w:cs="Times New Roman"/>
          <w:sz w:val="28"/>
          <w:szCs w:val="22"/>
        </w:rPr>
      </w:pPr>
      <w:r w:rsidRPr="00C3160D">
        <w:rPr>
          <w:rFonts w:ascii="Times New Roman" w:hAnsi="Times New Roman" w:cs="Times New Roman"/>
          <w:sz w:val="28"/>
          <w:szCs w:val="22"/>
        </w:rPr>
        <w:t>We find that the States have to meet substantial additional expenditure on account of certain factors which have arisen during the last three years. The grants given by the Central Government for Plan schemes completed during the years 1966-</w:t>
      </w:r>
      <w:r w:rsidRPr="00C3160D">
        <w:rPr>
          <w:rFonts w:ascii="Times New Roman" w:hAnsi="Times New Roman" w:cs="Times New Roman"/>
          <w:sz w:val="28"/>
          <w:szCs w:val="22"/>
        </w:rPr>
        <w:lastRenderedPageBreak/>
        <w:t>67 to 1968-69 will cease with effect from the 1st April, 1969. But large amounts will have to be provided by the States as 'committed' expenditure for the continuance of such schemes as well as the maintenance of capital works completed under the Plan during these three years. Further, the increases in dearness allowance which the States have had to give to their employees during this period have placed substantial burdens on their revenue budgets. The interest charges have also increased more than anticipated.</w:t>
      </w:r>
    </w:p>
    <w:p w14:paraId="181C28DF" w14:textId="77777777" w:rsidR="00566222" w:rsidRPr="00C3160D" w:rsidRDefault="00566222" w:rsidP="00C3160D">
      <w:pPr>
        <w:pStyle w:val="ListParagraph"/>
        <w:numPr>
          <w:ilvl w:val="0"/>
          <w:numId w:val="34"/>
        </w:numPr>
        <w:spacing w:line="300" w:lineRule="exact"/>
        <w:ind w:left="-142" w:firstLine="142"/>
        <w:contextualSpacing w:val="0"/>
        <w:jc w:val="both"/>
        <w:rPr>
          <w:rFonts w:ascii="Times New Roman" w:hAnsi="Times New Roman" w:cs="Times New Roman"/>
          <w:sz w:val="28"/>
          <w:szCs w:val="22"/>
        </w:rPr>
      </w:pPr>
      <w:r w:rsidRPr="00C3160D">
        <w:rPr>
          <w:rFonts w:ascii="Times New Roman" w:hAnsi="Times New Roman" w:cs="Times New Roman"/>
          <w:sz w:val="28"/>
          <w:szCs w:val="22"/>
        </w:rPr>
        <w:t>We considered carefully the basis on which we could proceed to determine the immediate requirements of the States for the year 1969-70. The basis that we decided to adopt was the assessment of the States' requirements for cash expenditure on revenue account. The only exception made in this regard was to allow for provision for expenditure relating to natural calamities, to the same extent as was allowed by the Fourth Finance Commission. We then made a preliminary examination of the States' forecasts for 1969-70 and compared them with the budget estimates for 1968-69. For this purpose, the forecasts for 1969-70 as well as the budget estimates for 1968-69 were first adjusted by excluding certain non-comparable items. After making these adjustments we found that the remaining non-Plan revenue expenditure provided for in the States' forecasts exceeded the corresponding expenditure in the budget estimates for 1968-69 by about 14 per cent for all the States taken together. On the other hand, in regard to the revenue receipts, after adjustment on a comparable basis, the States' forecasts for 1969-70 were lower than the corresponding receipts shown in their budget estimates for 1968-69 by about 3 per cent. In view of this position, we considered that the budget estimates for 1968-69 with suitable adjustments would provide a more appropriate basis for making our assessment of the States' cash requirements on revenue account during 1969-70.</w:t>
      </w:r>
    </w:p>
    <w:p w14:paraId="0B58A4B1" w14:textId="0DE5B252" w:rsidR="00566222" w:rsidRPr="00C3160D" w:rsidRDefault="00566222" w:rsidP="00C3160D">
      <w:pPr>
        <w:pStyle w:val="ListParagraph"/>
        <w:numPr>
          <w:ilvl w:val="0"/>
          <w:numId w:val="34"/>
        </w:numPr>
        <w:spacing w:line="300" w:lineRule="exact"/>
        <w:ind w:left="-142" w:firstLine="142"/>
        <w:contextualSpacing w:val="0"/>
        <w:jc w:val="both"/>
        <w:rPr>
          <w:rFonts w:ascii="Times New Roman" w:hAnsi="Times New Roman" w:cs="Times New Roman"/>
          <w:sz w:val="28"/>
          <w:szCs w:val="22"/>
        </w:rPr>
      </w:pPr>
      <w:r w:rsidRPr="00C3160D">
        <w:rPr>
          <w:rFonts w:ascii="Times New Roman" w:hAnsi="Times New Roman" w:cs="Times New Roman"/>
          <w:sz w:val="28"/>
          <w:szCs w:val="22"/>
        </w:rPr>
        <w:t>The States' budget estimates for 1968-69 required suitable adjustments before they could be adopted as the basis for projection for the purpose of arriving at the assessed estimates for 1969-70. On the expenditure side, we decided to make an addition to the budget estimates of an amount of 5 per cent of the provision for expenditure of a standing nature. The remaining provisions which were not of a standing nature were dealt with separately. For this purpose the provisions for Plan schemes were deducted and the estimates were reduced to cash basis by excluding the provisions for amortisation of debt assumed by the State Governments. The estimated expenditure on natural calamities was also reduced to the level assumed by the Fourth Finance Commission. In the case of certain items where provision had been made in the budget estimates for 1968-69 and where the expenditure has been or is likely to be discontinued during the current year, such provision was excluded. Suitable provisions were added in respect of committed expenditure, additional liability for interest on public debt including the interest on likely fresh public borrowings during 1</w:t>
      </w:r>
      <w:r w:rsidR="00A93D97">
        <w:rPr>
          <w:rFonts w:ascii="Times New Roman" w:hAnsi="Times New Roman" w:cs="Times New Roman"/>
          <w:sz w:val="28"/>
          <w:szCs w:val="22"/>
        </w:rPr>
        <w:t>9</w:t>
      </w:r>
      <w:r w:rsidRPr="00C3160D">
        <w:rPr>
          <w:rFonts w:ascii="Times New Roman" w:hAnsi="Times New Roman" w:cs="Times New Roman"/>
          <w:sz w:val="28"/>
          <w:szCs w:val="22"/>
        </w:rPr>
        <w:t>69-70, and increases in dearness allowance over the levels provided for in the budget estimates for 1968-69.</w:t>
      </w:r>
    </w:p>
    <w:p w14:paraId="62B2DE2F" w14:textId="77777777" w:rsidR="00566222" w:rsidRPr="00C3160D" w:rsidRDefault="00566222" w:rsidP="00C3160D">
      <w:pPr>
        <w:pStyle w:val="ListParagraph"/>
        <w:numPr>
          <w:ilvl w:val="0"/>
          <w:numId w:val="34"/>
        </w:numPr>
        <w:spacing w:line="300" w:lineRule="exact"/>
        <w:ind w:left="-142" w:firstLine="142"/>
        <w:contextualSpacing w:val="0"/>
        <w:jc w:val="both"/>
        <w:rPr>
          <w:rFonts w:ascii="Times New Roman" w:hAnsi="Times New Roman" w:cs="Times New Roman"/>
          <w:sz w:val="28"/>
          <w:szCs w:val="22"/>
        </w:rPr>
      </w:pPr>
      <w:r w:rsidRPr="00C3160D">
        <w:rPr>
          <w:rFonts w:ascii="Times New Roman" w:hAnsi="Times New Roman" w:cs="Times New Roman"/>
          <w:sz w:val="28"/>
          <w:szCs w:val="22"/>
        </w:rPr>
        <w:lastRenderedPageBreak/>
        <w:t>In regard to the committed expenditure, the forecasts given by the States were adopted as the basis. But where the State's forecast of such expenditure in 1969-70 worked out to a higher percentage of the revenue Plan outlay for 1968-69 than the percentage of the committed expenditure in 1966-67 to the revenue Plan outlay in 1965-66, the provision was limited to the latter percentage after increasing it by 20 per cent thereof. This increase was provided to cover any variations in the pattern of completed Plan schemes. The States' forecasts in respect of interest on loans advanced by the Central Government were adjusted to correspond to the estimates furnished by the Central Government. In regard to interest on other loans, we adopted the estimates in the States' forecasts.</w:t>
      </w:r>
    </w:p>
    <w:p w14:paraId="0302A0A6" w14:textId="77777777" w:rsidR="00566222" w:rsidRPr="00C3160D" w:rsidRDefault="00566222" w:rsidP="00C3160D">
      <w:pPr>
        <w:pStyle w:val="ListParagraph"/>
        <w:numPr>
          <w:ilvl w:val="0"/>
          <w:numId w:val="34"/>
        </w:numPr>
        <w:spacing w:line="300" w:lineRule="exact"/>
        <w:ind w:left="-142" w:firstLine="142"/>
        <w:contextualSpacing w:val="0"/>
        <w:jc w:val="both"/>
        <w:rPr>
          <w:rFonts w:ascii="Times New Roman" w:hAnsi="Times New Roman" w:cs="Times New Roman"/>
          <w:sz w:val="28"/>
          <w:szCs w:val="22"/>
        </w:rPr>
      </w:pPr>
      <w:r w:rsidRPr="00C3160D">
        <w:rPr>
          <w:rFonts w:ascii="Times New Roman" w:hAnsi="Times New Roman" w:cs="Times New Roman"/>
          <w:sz w:val="28"/>
          <w:szCs w:val="22"/>
        </w:rPr>
        <w:t>On the receipts side, the States' budget estimates for 1968-69 were first adjusted by deducting the estimates of the States' shares of taxes and duties, grant in lieu of the tax on railway passenger fares, grants under Article 275 and Plan grants. In the case of States which had proposed taxation measures during 1968-69 but had not included the estimated receipts in the budget estimates, we added the estimated annual yield from such measures on the basis of the latest information furnished by the States. We also added 5 per cent of the receipts from the States' own resources for the purpose of projecting the estimates to the year 1969-70. The projected estimates of the States' own resources together with non-Plan grants at the same level as in 1968-69 were taken as the assessed revenue receipts for 1969-70.</w:t>
      </w:r>
    </w:p>
    <w:p w14:paraId="16D99F2E" w14:textId="77777777" w:rsidR="00566222" w:rsidRPr="00C3160D" w:rsidRDefault="00566222" w:rsidP="00C3160D">
      <w:pPr>
        <w:pStyle w:val="ListParagraph"/>
        <w:numPr>
          <w:ilvl w:val="0"/>
          <w:numId w:val="34"/>
        </w:numPr>
        <w:spacing w:line="300" w:lineRule="exact"/>
        <w:ind w:left="-142" w:firstLine="142"/>
        <w:contextualSpacing w:val="0"/>
        <w:jc w:val="both"/>
        <w:rPr>
          <w:rFonts w:ascii="Times New Roman" w:hAnsi="Times New Roman" w:cs="Times New Roman"/>
          <w:sz w:val="28"/>
          <w:szCs w:val="22"/>
        </w:rPr>
      </w:pPr>
      <w:r w:rsidRPr="00C3160D">
        <w:rPr>
          <w:rFonts w:ascii="Times New Roman" w:hAnsi="Times New Roman" w:cs="Times New Roman"/>
          <w:sz w:val="28"/>
          <w:szCs w:val="22"/>
        </w:rPr>
        <w:t>While making our provisional assessment of the revenue receipts as well as expenditure for 1969-70, we have projected the estimated figures for 1968-69 by adding 5 per cent in each case after excluding certain non-comparable items. We wish to make it clear that this rate has been adopted only as a reasonable working basis for making the provisional projection for 1969-70 and it does not represent our final view regarding the rates of growth which may be appropriate for different categories of receipts or expenditure.</w:t>
      </w:r>
    </w:p>
    <w:p w14:paraId="35BC54E5" w14:textId="77777777" w:rsidR="00566222" w:rsidRPr="00C3160D" w:rsidRDefault="00566222" w:rsidP="00C3160D">
      <w:pPr>
        <w:pStyle w:val="ListParagraph"/>
        <w:numPr>
          <w:ilvl w:val="0"/>
          <w:numId w:val="34"/>
        </w:numPr>
        <w:spacing w:line="300" w:lineRule="exact"/>
        <w:ind w:left="-142" w:firstLine="142"/>
        <w:contextualSpacing w:val="0"/>
        <w:jc w:val="both"/>
        <w:rPr>
          <w:rFonts w:ascii="Times New Roman" w:hAnsi="Times New Roman" w:cs="Times New Roman"/>
          <w:sz w:val="28"/>
          <w:szCs w:val="22"/>
        </w:rPr>
      </w:pPr>
      <w:r w:rsidRPr="00C3160D">
        <w:rPr>
          <w:rFonts w:ascii="Times New Roman" w:hAnsi="Times New Roman" w:cs="Times New Roman"/>
          <w:sz w:val="28"/>
          <w:szCs w:val="22"/>
        </w:rPr>
        <w:t xml:space="preserve">In their forecasts for 1969-70, the States have included provisions for incurring fresh expenditure on several items like increase in pay and allowances of their employees due to general schemes of pay revision, strengthening their administrative machinery including the Police, improvement of educational and medical facilities and better maintenance of roads, buildings and other public works. We appreciate that many of these requirements for increased expenditure are prima facie reasonable, and all the States may not be able to provide for them from their existing resources. However, the nature of these requirements and their magnitude show considerable variations as between different States and they have to be examined from the view-point of existing levels of expenditure in different States, for which further discussions with the States are necessary. They have further to be considered in the perspective of the requirements of the whole period of five years, having regard to the limited overall resources available on the present basis and the scope for additional efforts by the States themselves to increase their resources. We </w:t>
      </w:r>
      <w:r w:rsidRPr="00C3160D">
        <w:rPr>
          <w:rFonts w:ascii="Times New Roman" w:hAnsi="Times New Roman" w:cs="Times New Roman"/>
          <w:sz w:val="28"/>
          <w:szCs w:val="22"/>
        </w:rPr>
        <w:lastRenderedPageBreak/>
        <w:t>have not therefore, at this stage taken into account any proposals for fresh expenditure, except additional requirements for dearness allowance and interest on market loans to be raised in 1969-70.</w:t>
      </w:r>
    </w:p>
    <w:p w14:paraId="69B9A619" w14:textId="254FE677" w:rsidR="00097251" w:rsidRPr="00C3160D" w:rsidRDefault="00566222" w:rsidP="00C3160D">
      <w:pPr>
        <w:pStyle w:val="ListParagraph"/>
        <w:numPr>
          <w:ilvl w:val="0"/>
          <w:numId w:val="34"/>
        </w:numPr>
        <w:spacing w:line="300" w:lineRule="exact"/>
        <w:ind w:left="-142" w:firstLine="142"/>
        <w:contextualSpacing w:val="0"/>
        <w:jc w:val="both"/>
        <w:rPr>
          <w:rFonts w:ascii="Times New Roman" w:hAnsi="Times New Roman" w:cs="Times New Roman"/>
          <w:sz w:val="28"/>
          <w:szCs w:val="22"/>
        </w:rPr>
      </w:pPr>
      <w:r w:rsidRPr="00C3160D">
        <w:rPr>
          <w:rFonts w:ascii="Times New Roman" w:hAnsi="Times New Roman" w:cs="Times New Roman"/>
          <w:sz w:val="28"/>
          <w:szCs w:val="22"/>
        </w:rPr>
        <w:t>On this basis we find that after taking into account the States' own resources as well as the estimated transfer of funds to them in accordance with our recommendations in Chapters 2 and 3, and the continuance of devolutions of taxes and duties and the grants under Article 275 on the existing basis, some of the States will still be in need of further assistance in the year 1969-70. In making our recommendations regarding the sums to be provided as grants-in-aid of the revenues of the States under Article 275(1), we have taken into consideration the needs of such States for further assistance.</w:t>
      </w:r>
    </w:p>
    <w:p w14:paraId="0D889424" w14:textId="4EE54BBF" w:rsidR="00566222" w:rsidRPr="00C3160D" w:rsidRDefault="00566222" w:rsidP="00C3160D">
      <w:pPr>
        <w:pStyle w:val="ListParagraph"/>
        <w:numPr>
          <w:ilvl w:val="0"/>
          <w:numId w:val="34"/>
        </w:numPr>
        <w:spacing w:line="300" w:lineRule="exact"/>
        <w:ind w:left="-142" w:firstLine="142"/>
        <w:contextualSpacing w:val="0"/>
        <w:jc w:val="both"/>
        <w:rPr>
          <w:rFonts w:ascii="Times New Roman" w:hAnsi="Times New Roman" w:cs="Times New Roman"/>
          <w:sz w:val="28"/>
          <w:szCs w:val="28"/>
        </w:rPr>
      </w:pPr>
      <w:r w:rsidRPr="00C3160D">
        <w:rPr>
          <w:rFonts w:ascii="Times New Roman" w:hAnsi="Times New Roman" w:cs="Times New Roman"/>
          <w:sz w:val="28"/>
          <w:szCs w:val="22"/>
        </w:rPr>
        <w:t xml:space="preserve">Accordingly, we make the following recommendations in respect of the </w:t>
      </w:r>
      <w:r w:rsidRPr="00C3160D">
        <w:rPr>
          <w:rFonts w:ascii="Times New Roman" w:hAnsi="Times New Roman" w:cs="Times New Roman"/>
          <w:sz w:val="28"/>
          <w:szCs w:val="28"/>
        </w:rPr>
        <w:t>financial year 1969-70:</w:t>
      </w:r>
      <w:r w:rsidR="00097251" w:rsidRPr="00C3160D">
        <w:rPr>
          <w:rFonts w:ascii="Times New Roman" w:hAnsi="Times New Roman" w:cs="Times New Roman"/>
          <w:sz w:val="28"/>
          <w:szCs w:val="28"/>
        </w:rPr>
        <w:t>-</w:t>
      </w:r>
    </w:p>
    <w:p w14:paraId="4BA7F295" w14:textId="77777777" w:rsidR="00566222" w:rsidRPr="00C3160D" w:rsidRDefault="00566222" w:rsidP="00C3160D">
      <w:pPr>
        <w:tabs>
          <w:tab w:val="left" w:pos="3370"/>
        </w:tabs>
        <w:spacing w:after="0" w:line="300" w:lineRule="exact"/>
        <w:ind w:left="426" w:hanging="426"/>
        <w:jc w:val="both"/>
        <w:rPr>
          <w:rFonts w:ascii="Times New Roman" w:hAnsi="Times New Roman" w:cs="Times New Roman"/>
          <w:sz w:val="28"/>
          <w:szCs w:val="28"/>
        </w:rPr>
      </w:pPr>
      <w:r w:rsidRPr="00C3160D">
        <w:rPr>
          <w:rFonts w:ascii="Times New Roman" w:hAnsi="Times New Roman" w:cs="Times New Roman"/>
          <w:sz w:val="28"/>
          <w:szCs w:val="28"/>
        </w:rPr>
        <w:tab/>
        <w:t>(a)  The percentage of the net proceeds of income-tax assigned to the States as prescribed at present be continued in that year and be distributed among the States in the same manner as at present;</w:t>
      </w:r>
    </w:p>
    <w:p w14:paraId="23452A39" w14:textId="5FC2F85B" w:rsidR="00566222" w:rsidRPr="00C3160D" w:rsidRDefault="00566222" w:rsidP="00C3160D">
      <w:pPr>
        <w:tabs>
          <w:tab w:val="left" w:pos="3370"/>
        </w:tabs>
        <w:spacing w:after="0" w:line="300" w:lineRule="exact"/>
        <w:ind w:left="426" w:hanging="426"/>
        <w:jc w:val="both"/>
        <w:rPr>
          <w:rFonts w:ascii="Times New Roman" w:hAnsi="Times New Roman" w:cs="Times New Roman"/>
          <w:sz w:val="28"/>
          <w:szCs w:val="28"/>
        </w:rPr>
      </w:pPr>
      <w:r w:rsidRPr="00C3160D">
        <w:rPr>
          <w:rFonts w:ascii="Times New Roman" w:hAnsi="Times New Roman" w:cs="Times New Roman"/>
          <w:sz w:val="28"/>
          <w:szCs w:val="28"/>
        </w:rPr>
        <w:tab/>
        <w:t>(b)  The sums payable to the States in respect of their shares of the net proceeds of Union duties of excise be determined in the same manner as at present and be distributed among the States in accordance with the existing law;</w:t>
      </w:r>
    </w:p>
    <w:p w14:paraId="2F7195FD" w14:textId="77777777" w:rsidR="00566222" w:rsidRPr="00C3160D" w:rsidRDefault="00566222" w:rsidP="00C3160D">
      <w:pPr>
        <w:tabs>
          <w:tab w:val="left" w:pos="3370"/>
        </w:tabs>
        <w:spacing w:after="0" w:line="300" w:lineRule="exact"/>
        <w:ind w:left="426" w:hanging="426"/>
        <w:jc w:val="both"/>
        <w:rPr>
          <w:rFonts w:ascii="Times New Roman" w:hAnsi="Times New Roman" w:cs="Times New Roman"/>
          <w:sz w:val="28"/>
          <w:szCs w:val="28"/>
        </w:rPr>
      </w:pPr>
      <w:r w:rsidRPr="00C3160D">
        <w:rPr>
          <w:rFonts w:ascii="Times New Roman" w:hAnsi="Times New Roman" w:cs="Times New Roman"/>
          <w:sz w:val="28"/>
          <w:szCs w:val="28"/>
        </w:rPr>
        <w:tab/>
        <w:t>(c) The net proceeds of additional excise duties leviable under the Additional Duties of Excise (Goods of Special Importance) Act, 1957, on the following commodities be distributed among the States in accordance with the existing law:-</w:t>
      </w:r>
    </w:p>
    <w:p w14:paraId="4883B1CD" w14:textId="77777777" w:rsidR="00097251" w:rsidRPr="00C3160D" w:rsidRDefault="00097251" w:rsidP="00A93D97">
      <w:pPr>
        <w:tabs>
          <w:tab w:val="left" w:pos="3370"/>
        </w:tabs>
        <w:spacing w:after="0" w:line="300" w:lineRule="exact"/>
        <w:ind w:left="720"/>
        <w:rPr>
          <w:rFonts w:ascii="Times New Roman" w:hAnsi="Times New Roman" w:cs="Times New Roman"/>
          <w:sz w:val="28"/>
          <w:szCs w:val="28"/>
        </w:rPr>
      </w:pPr>
      <w:r w:rsidRPr="00C3160D">
        <w:rPr>
          <w:rFonts w:ascii="Times New Roman" w:hAnsi="Times New Roman" w:cs="Times New Roman"/>
          <w:sz w:val="28"/>
          <w:szCs w:val="28"/>
        </w:rPr>
        <w:t>(i) cotton fabrics</w:t>
      </w:r>
    </w:p>
    <w:p w14:paraId="7F48EAFF" w14:textId="77777777" w:rsidR="00097251" w:rsidRPr="00C3160D" w:rsidRDefault="00097251" w:rsidP="00A93D97">
      <w:pPr>
        <w:tabs>
          <w:tab w:val="left" w:pos="3370"/>
        </w:tabs>
        <w:spacing w:after="0" w:line="300" w:lineRule="exact"/>
        <w:ind w:left="720"/>
        <w:rPr>
          <w:rFonts w:ascii="Times New Roman" w:hAnsi="Times New Roman" w:cs="Times New Roman"/>
          <w:sz w:val="28"/>
          <w:szCs w:val="28"/>
        </w:rPr>
      </w:pPr>
      <w:r w:rsidRPr="00C3160D">
        <w:rPr>
          <w:rFonts w:ascii="Times New Roman" w:hAnsi="Times New Roman" w:cs="Times New Roman"/>
          <w:sz w:val="28"/>
          <w:szCs w:val="28"/>
        </w:rPr>
        <w:t>(ii) silk fabrics</w:t>
      </w:r>
    </w:p>
    <w:p w14:paraId="2B6C3D90" w14:textId="77777777" w:rsidR="00097251" w:rsidRPr="00C3160D" w:rsidRDefault="00097251" w:rsidP="00A93D97">
      <w:pPr>
        <w:tabs>
          <w:tab w:val="left" w:pos="3370"/>
        </w:tabs>
        <w:spacing w:after="0" w:line="300" w:lineRule="exact"/>
        <w:ind w:left="720"/>
        <w:rPr>
          <w:rFonts w:ascii="Times New Roman" w:hAnsi="Times New Roman" w:cs="Times New Roman"/>
          <w:sz w:val="28"/>
          <w:szCs w:val="28"/>
        </w:rPr>
      </w:pPr>
      <w:r w:rsidRPr="00C3160D">
        <w:rPr>
          <w:rFonts w:ascii="Times New Roman" w:hAnsi="Times New Roman" w:cs="Times New Roman"/>
          <w:sz w:val="28"/>
          <w:szCs w:val="28"/>
        </w:rPr>
        <w:t>(iii) woollen fabrics</w:t>
      </w:r>
    </w:p>
    <w:p w14:paraId="728279C7" w14:textId="77777777" w:rsidR="00097251" w:rsidRPr="00C3160D" w:rsidRDefault="00097251" w:rsidP="00A93D97">
      <w:pPr>
        <w:tabs>
          <w:tab w:val="left" w:pos="3370"/>
        </w:tabs>
        <w:spacing w:after="0" w:line="300" w:lineRule="exact"/>
        <w:ind w:left="720"/>
        <w:rPr>
          <w:rFonts w:ascii="Times New Roman" w:hAnsi="Times New Roman" w:cs="Times New Roman"/>
          <w:sz w:val="28"/>
          <w:szCs w:val="28"/>
        </w:rPr>
      </w:pPr>
      <w:r w:rsidRPr="00C3160D">
        <w:rPr>
          <w:rFonts w:ascii="Times New Roman" w:hAnsi="Times New Roman" w:cs="Times New Roman"/>
          <w:sz w:val="28"/>
          <w:szCs w:val="28"/>
        </w:rPr>
        <w:t>(iv) rayon or artificial silk fabrics</w:t>
      </w:r>
    </w:p>
    <w:p w14:paraId="1286B78A" w14:textId="77777777" w:rsidR="00097251" w:rsidRPr="00C3160D" w:rsidRDefault="00097251" w:rsidP="00A93D97">
      <w:pPr>
        <w:tabs>
          <w:tab w:val="left" w:pos="3370"/>
        </w:tabs>
        <w:spacing w:after="0" w:line="300" w:lineRule="exact"/>
        <w:ind w:left="720"/>
        <w:rPr>
          <w:rFonts w:ascii="Times New Roman" w:hAnsi="Times New Roman" w:cs="Times New Roman"/>
          <w:sz w:val="28"/>
          <w:szCs w:val="28"/>
        </w:rPr>
      </w:pPr>
      <w:r w:rsidRPr="00C3160D">
        <w:rPr>
          <w:rFonts w:ascii="Times New Roman" w:hAnsi="Times New Roman" w:cs="Times New Roman"/>
          <w:sz w:val="28"/>
          <w:szCs w:val="28"/>
        </w:rPr>
        <w:t>(v) sugar, and</w:t>
      </w:r>
    </w:p>
    <w:p w14:paraId="553BE081" w14:textId="77777777" w:rsidR="00097251" w:rsidRPr="00C3160D" w:rsidRDefault="00097251" w:rsidP="00A93D97">
      <w:pPr>
        <w:tabs>
          <w:tab w:val="left" w:pos="3370"/>
        </w:tabs>
        <w:spacing w:after="0" w:line="300" w:lineRule="exact"/>
        <w:ind w:left="720"/>
        <w:rPr>
          <w:rFonts w:ascii="Times New Roman" w:hAnsi="Times New Roman" w:cs="Times New Roman"/>
          <w:sz w:val="28"/>
          <w:szCs w:val="28"/>
        </w:rPr>
      </w:pPr>
      <w:r w:rsidRPr="00C3160D">
        <w:rPr>
          <w:rFonts w:ascii="Times New Roman" w:hAnsi="Times New Roman" w:cs="Times New Roman"/>
          <w:sz w:val="28"/>
          <w:szCs w:val="28"/>
        </w:rPr>
        <w:t>(vi) tobacco including manufactured tobacco.</w:t>
      </w:r>
    </w:p>
    <w:p w14:paraId="7520979E" w14:textId="77777777" w:rsidR="00097251" w:rsidRPr="00C3160D" w:rsidRDefault="00097251" w:rsidP="00C3160D">
      <w:pPr>
        <w:tabs>
          <w:tab w:val="left" w:pos="3370"/>
        </w:tabs>
        <w:spacing w:after="0" w:line="300" w:lineRule="exact"/>
        <w:jc w:val="both"/>
        <w:rPr>
          <w:rFonts w:ascii="Times New Roman" w:hAnsi="Times New Roman" w:cs="Times New Roman"/>
          <w:sz w:val="28"/>
          <w:szCs w:val="28"/>
        </w:rPr>
      </w:pPr>
    </w:p>
    <w:p w14:paraId="7E6571AB" w14:textId="7BFC987F" w:rsidR="00097251" w:rsidRDefault="00C3160D" w:rsidP="00C3160D">
      <w:pPr>
        <w:tabs>
          <w:tab w:val="left" w:pos="3370"/>
        </w:tabs>
        <w:spacing w:after="0" w:line="300" w:lineRule="exact"/>
        <w:ind w:left="426" w:hanging="426"/>
        <w:jc w:val="both"/>
        <w:rPr>
          <w:rFonts w:ascii="Times New Roman" w:hAnsi="Times New Roman" w:cs="Times New Roman"/>
          <w:sz w:val="28"/>
          <w:szCs w:val="28"/>
        </w:rPr>
      </w:pPr>
      <w:r>
        <w:rPr>
          <w:rFonts w:ascii="Times New Roman" w:hAnsi="Times New Roman" w:cs="Times New Roman"/>
          <w:sz w:val="28"/>
          <w:szCs w:val="28"/>
        </w:rPr>
        <w:tab/>
      </w:r>
      <w:r w:rsidR="00097251" w:rsidRPr="00C3160D">
        <w:rPr>
          <w:rFonts w:ascii="Times New Roman" w:hAnsi="Times New Roman" w:cs="Times New Roman"/>
          <w:sz w:val="28"/>
          <w:szCs w:val="28"/>
        </w:rPr>
        <w:t>(d) The sums specified below be paid in that year as grants-in-aid of the revenues of the following States under Article 275(1) of the Constitution:-</w:t>
      </w:r>
    </w:p>
    <w:p w14:paraId="11951289" w14:textId="77777777" w:rsidR="00C3160D" w:rsidRDefault="00C3160D" w:rsidP="00C3160D">
      <w:pPr>
        <w:tabs>
          <w:tab w:val="left" w:pos="3370"/>
        </w:tabs>
        <w:spacing w:after="0" w:line="300" w:lineRule="exact"/>
        <w:ind w:left="426" w:hanging="426"/>
        <w:jc w:val="both"/>
        <w:rPr>
          <w:rFonts w:ascii="Times New Roman" w:hAnsi="Times New Roman" w:cs="Times New Roman"/>
          <w:sz w:val="28"/>
          <w:szCs w:val="28"/>
        </w:rPr>
      </w:pPr>
    </w:p>
    <w:tbl>
      <w:tblPr>
        <w:tblW w:w="6184" w:type="dxa"/>
        <w:jc w:val="center"/>
        <w:tblLook w:val="04A0" w:firstRow="1" w:lastRow="0" w:firstColumn="1" w:lastColumn="0" w:noHBand="0" w:noVBand="1"/>
      </w:tblPr>
      <w:tblGrid>
        <w:gridCol w:w="2689"/>
        <w:gridCol w:w="3495"/>
      </w:tblGrid>
      <w:tr w:rsidR="00C3160D" w:rsidRPr="00C3160D" w14:paraId="57FCA71E" w14:textId="77777777" w:rsidTr="00A93D97">
        <w:trPr>
          <w:trHeight w:val="57"/>
          <w:jc w:val="center"/>
        </w:trPr>
        <w:tc>
          <w:tcPr>
            <w:tcW w:w="2689" w:type="dxa"/>
            <w:tcBorders>
              <w:top w:val="single" w:sz="4" w:space="0" w:color="auto"/>
              <w:left w:val="single" w:sz="4" w:space="0" w:color="auto"/>
              <w:bottom w:val="single" w:sz="4" w:space="0" w:color="auto"/>
              <w:right w:val="single" w:sz="4" w:space="0" w:color="auto"/>
            </w:tcBorders>
            <w:noWrap/>
            <w:vAlign w:val="center"/>
            <w:hideMark/>
          </w:tcPr>
          <w:p w14:paraId="420DA209" w14:textId="77777777" w:rsidR="00C3160D" w:rsidRPr="00A93D97" w:rsidRDefault="00C3160D" w:rsidP="00C3160D">
            <w:pPr>
              <w:spacing w:after="0" w:line="240" w:lineRule="auto"/>
              <w:rPr>
                <w:rFonts w:ascii="Times New Roman" w:eastAsia="Times New Roman" w:hAnsi="Times New Roman" w:cs="Times New Roman"/>
                <w:b/>
                <w:bCs/>
                <w:color w:val="000000"/>
                <w:kern w:val="0"/>
                <w:sz w:val="28"/>
                <w:szCs w:val="28"/>
                <w:lang w:eastAsia="en-IN"/>
                <w14:ligatures w14:val="none"/>
              </w:rPr>
            </w:pPr>
            <w:r w:rsidRPr="00A93D97">
              <w:rPr>
                <w:rFonts w:ascii="Times New Roman" w:eastAsia="Times New Roman" w:hAnsi="Times New Roman" w:cs="Times New Roman"/>
                <w:b/>
                <w:bCs/>
                <w:color w:val="000000"/>
                <w:kern w:val="0"/>
                <w:sz w:val="28"/>
                <w:szCs w:val="28"/>
                <w:lang w:eastAsia="en-IN"/>
                <w14:ligatures w14:val="none"/>
              </w:rPr>
              <w:t>State</w:t>
            </w:r>
          </w:p>
        </w:tc>
        <w:tc>
          <w:tcPr>
            <w:tcW w:w="3495" w:type="dxa"/>
            <w:tcBorders>
              <w:top w:val="single" w:sz="4" w:space="0" w:color="auto"/>
              <w:left w:val="nil"/>
              <w:bottom w:val="single" w:sz="4" w:space="0" w:color="auto"/>
              <w:right w:val="single" w:sz="4" w:space="0" w:color="auto"/>
            </w:tcBorders>
            <w:noWrap/>
            <w:vAlign w:val="center"/>
            <w:hideMark/>
          </w:tcPr>
          <w:p w14:paraId="200E19B3" w14:textId="77777777" w:rsidR="00C3160D" w:rsidRPr="00A93D97" w:rsidRDefault="00C3160D" w:rsidP="00C3160D">
            <w:pPr>
              <w:spacing w:after="0" w:line="240" w:lineRule="auto"/>
              <w:jc w:val="center"/>
              <w:rPr>
                <w:rFonts w:ascii="Times New Roman" w:eastAsia="Times New Roman" w:hAnsi="Times New Roman" w:cs="Times New Roman"/>
                <w:b/>
                <w:bCs/>
                <w:color w:val="000000"/>
                <w:kern w:val="0"/>
                <w:sz w:val="28"/>
                <w:szCs w:val="28"/>
                <w:lang w:eastAsia="en-IN"/>
                <w14:ligatures w14:val="none"/>
              </w:rPr>
            </w:pPr>
            <w:r w:rsidRPr="00A93D97">
              <w:rPr>
                <w:rFonts w:ascii="Times New Roman" w:eastAsia="Times New Roman" w:hAnsi="Times New Roman" w:cs="Times New Roman"/>
                <w:b/>
                <w:bCs/>
                <w:color w:val="000000"/>
                <w:kern w:val="0"/>
                <w:sz w:val="28"/>
                <w:szCs w:val="28"/>
                <w:lang w:eastAsia="en-IN"/>
                <w14:ligatures w14:val="none"/>
              </w:rPr>
              <w:t>Sum to be paid as grant-in-aid (Rs. crores)</w:t>
            </w:r>
          </w:p>
        </w:tc>
      </w:tr>
      <w:tr w:rsidR="00C3160D" w:rsidRPr="00C3160D" w14:paraId="1E209C8D" w14:textId="77777777" w:rsidTr="00A93D97">
        <w:trPr>
          <w:trHeight w:val="57"/>
          <w:jc w:val="center"/>
        </w:trPr>
        <w:tc>
          <w:tcPr>
            <w:tcW w:w="2689" w:type="dxa"/>
            <w:tcBorders>
              <w:top w:val="nil"/>
              <w:left w:val="single" w:sz="4" w:space="0" w:color="auto"/>
              <w:bottom w:val="single" w:sz="4" w:space="0" w:color="auto"/>
              <w:right w:val="single" w:sz="4" w:space="0" w:color="auto"/>
            </w:tcBorders>
            <w:noWrap/>
            <w:vAlign w:val="center"/>
            <w:hideMark/>
          </w:tcPr>
          <w:p w14:paraId="12A4017E" w14:textId="77777777" w:rsidR="00C3160D" w:rsidRPr="00C3160D" w:rsidRDefault="00C3160D" w:rsidP="00C3160D">
            <w:pPr>
              <w:spacing w:after="0" w:line="240" w:lineRule="auto"/>
              <w:rPr>
                <w:rFonts w:ascii="Times New Roman" w:eastAsia="Times New Roman" w:hAnsi="Times New Roman" w:cs="Times New Roman"/>
                <w:color w:val="000000"/>
                <w:kern w:val="0"/>
                <w:sz w:val="28"/>
                <w:szCs w:val="28"/>
                <w:lang w:eastAsia="en-IN"/>
                <w14:ligatures w14:val="none"/>
              </w:rPr>
            </w:pPr>
            <w:r w:rsidRPr="00C3160D">
              <w:rPr>
                <w:rFonts w:ascii="Times New Roman" w:eastAsia="Times New Roman" w:hAnsi="Times New Roman" w:cs="Times New Roman"/>
                <w:color w:val="000000"/>
                <w:kern w:val="0"/>
                <w:sz w:val="28"/>
                <w:szCs w:val="28"/>
                <w:lang w:eastAsia="en-IN"/>
                <w14:ligatures w14:val="none"/>
              </w:rPr>
              <w:t>Andhra Pradesh</w:t>
            </w:r>
          </w:p>
        </w:tc>
        <w:tc>
          <w:tcPr>
            <w:tcW w:w="3495" w:type="dxa"/>
            <w:tcBorders>
              <w:top w:val="nil"/>
              <w:left w:val="nil"/>
              <w:bottom w:val="single" w:sz="4" w:space="0" w:color="auto"/>
              <w:right w:val="single" w:sz="4" w:space="0" w:color="auto"/>
            </w:tcBorders>
            <w:noWrap/>
            <w:vAlign w:val="center"/>
            <w:hideMark/>
          </w:tcPr>
          <w:p w14:paraId="38D9FF36" w14:textId="77777777" w:rsidR="00C3160D" w:rsidRPr="00C3160D" w:rsidRDefault="00C3160D" w:rsidP="00C3160D">
            <w:pPr>
              <w:spacing w:after="0" w:line="240" w:lineRule="auto"/>
              <w:jc w:val="center"/>
              <w:rPr>
                <w:rFonts w:ascii="Times New Roman" w:eastAsia="Times New Roman" w:hAnsi="Times New Roman" w:cs="Times New Roman"/>
                <w:color w:val="000000"/>
                <w:kern w:val="0"/>
                <w:sz w:val="28"/>
                <w:szCs w:val="28"/>
                <w:lang w:eastAsia="en-IN"/>
                <w14:ligatures w14:val="none"/>
              </w:rPr>
            </w:pPr>
            <w:r w:rsidRPr="00C3160D">
              <w:rPr>
                <w:rFonts w:ascii="Times New Roman" w:eastAsia="Times New Roman" w:hAnsi="Times New Roman" w:cs="Times New Roman"/>
                <w:color w:val="000000"/>
                <w:kern w:val="0"/>
                <w:sz w:val="28"/>
                <w:szCs w:val="28"/>
                <w:lang w:eastAsia="en-IN"/>
                <w14:ligatures w14:val="none"/>
              </w:rPr>
              <w:t>16·81</w:t>
            </w:r>
          </w:p>
        </w:tc>
      </w:tr>
      <w:tr w:rsidR="00C3160D" w:rsidRPr="00C3160D" w14:paraId="1D6C5FC9" w14:textId="77777777" w:rsidTr="00A93D97">
        <w:trPr>
          <w:trHeight w:val="57"/>
          <w:jc w:val="center"/>
        </w:trPr>
        <w:tc>
          <w:tcPr>
            <w:tcW w:w="2689" w:type="dxa"/>
            <w:tcBorders>
              <w:top w:val="nil"/>
              <w:left w:val="single" w:sz="4" w:space="0" w:color="auto"/>
              <w:bottom w:val="single" w:sz="4" w:space="0" w:color="auto"/>
              <w:right w:val="single" w:sz="4" w:space="0" w:color="auto"/>
            </w:tcBorders>
            <w:noWrap/>
            <w:vAlign w:val="center"/>
            <w:hideMark/>
          </w:tcPr>
          <w:p w14:paraId="64229035" w14:textId="77777777" w:rsidR="00C3160D" w:rsidRPr="00C3160D" w:rsidRDefault="00C3160D" w:rsidP="00C3160D">
            <w:pPr>
              <w:spacing w:after="0" w:line="240" w:lineRule="auto"/>
              <w:rPr>
                <w:rFonts w:ascii="Times New Roman" w:eastAsia="Times New Roman" w:hAnsi="Times New Roman" w:cs="Times New Roman"/>
                <w:color w:val="000000"/>
                <w:kern w:val="0"/>
                <w:sz w:val="28"/>
                <w:szCs w:val="28"/>
                <w:lang w:eastAsia="en-IN"/>
                <w14:ligatures w14:val="none"/>
              </w:rPr>
            </w:pPr>
            <w:r w:rsidRPr="00C3160D">
              <w:rPr>
                <w:rFonts w:ascii="Times New Roman" w:eastAsia="Times New Roman" w:hAnsi="Times New Roman" w:cs="Times New Roman"/>
                <w:color w:val="000000"/>
                <w:kern w:val="0"/>
                <w:sz w:val="28"/>
                <w:szCs w:val="28"/>
                <w:lang w:eastAsia="en-IN"/>
                <w14:ligatures w14:val="none"/>
              </w:rPr>
              <w:t>Assam</w:t>
            </w:r>
          </w:p>
        </w:tc>
        <w:tc>
          <w:tcPr>
            <w:tcW w:w="3495" w:type="dxa"/>
            <w:tcBorders>
              <w:top w:val="nil"/>
              <w:left w:val="nil"/>
              <w:bottom w:val="single" w:sz="4" w:space="0" w:color="auto"/>
              <w:right w:val="single" w:sz="4" w:space="0" w:color="auto"/>
            </w:tcBorders>
            <w:noWrap/>
            <w:vAlign w:val="center"/>
            <w:hideMark/>
          </w:tcPr>
          <w:p w14:paraId="1D0329EE" w14:textId="70DB2054" w:rsidR="00C3160D" w:rsidRPr="00C3160D" w:rsidRDefault="00C3160D" w:rsidP="00C3160D">
            <w:pPr>
              <w:spacing w:after="0" w:line="240" w:lineRule="auto"/>
              <w:jc w:val="center"/>
              <w:rPr>
                <w:rFonts w:ascii="Times New Roman" w:eastAsia="Times New Roman" w:hAnsi="Times New Roman" w:cs="Times New Roman"/>
                <w:color w:val="000000"/>
                <w:kern w:val="0"/>
                <w:sz w:val="28"/>
                <w:szCs w:val="28"/>
                <w:lang w:eastAsia="en-IN"/>
                <w14:ligatures w14:val="none"/>
              </w:rPr>
            </w:pPr>
            <w:r w:rsidRPr="00C3160D">
              <w:rPr>
                <w:rFonts w:ascii="Times New Roman" w:eastAsia="Times New Roman" w:hAnsi="Times New Roman" w:cs="Times New Roman"/>
                <w:color w:val="000000"/>
                <w:kern w:val="0"/>
                <w:sz w:val="28"/>
                <w:szCs w:val="28"/>
                <w:lang w:eastAsia="en-IN"/>
                <w14:ligatures w14:val="none"/>
              </w:rPr>
              <w:t>19.9</w:t>
            </w:r>
            <w:r w:rsidR="00A93D97">
              <w:rPr>
                <w:rFonts w:ascii="Times New Roman" w:eastAsia="Times New Roman" w:hAnsi="Times New Roman" w:cs="Times New Roman"/>
                <w:color w:val="000000"/>
                <w:kern w:val="0"/>
                <w:sz w:val="28"/>
                <w:szCs w:val="28"/>
                <w:lang w:eastAsia="en-IN"/>
                <w14:ligatures w14:val="none"/>
              </w:rPr>
              <w:t>0</w:t>
            </w:r>
          </w:p>
        </w:tc>
      </w:tr>
      <w:tr w:rsidR="00C3160D" w:rsidRPr="00C3160D" w14:paraId="5F2AA85A" w14:textId="77777777" w:rsidTr="00A93D97">
        <w:trPr>
          <w:trHeight w:val="57"/>
          <w:jc w:val="center"/>
        </w:trPr>
        <w:tc>
          <w:tcPr>
            <w:tcW w:w="2689" w:type="dxa"/>
            <w:tcBorders>
              <w:top w:val="nil"/>
              <w:left w:val="single" w:sz="4" w:space="0" w:color="auto"/>
              <w:bottom w:val="single" w:sz="4" w:space="0" w:color="auto"/>
              <w:right w:val="single" w:sz="4" w:space="0" w:color="auto"/>
            </w:tcBorders>
            <w:noWrap/>
            <w:vAlign w:val="center"/>
            <w:hideMark/>
          </w:tcPr>
          <w:p w14:paraId="61A37111" w14:textId="77777777" w:rsidR="00C3160D" w:rsidRPr="00C3160D" w:rsidRDefault="00C3160D" w:rsidP="00C3160D">
            <w:pPr>
              <w:spacing w:after="0" w:line="240" w:lineRule="auto"/>
              <w:rPr>
                <w:rFonts w:ascii="Times New Roman" w:eastAsia="Times New Roman" w:hAnsi="Times New Roman" w:cs="Times New Roman"/>
                <w:color w:val="000000"/>
                <w:kern w:val="0"/>
                <w:sz w:val="28"/>
                <w:szCs w:val="28"/>
                <w:lang w:eastAsia="en-IN"/>
                <w14:ligatures w14:val="none"/>
              </w:rPr>
            </w:pPr>
            <w:r w:rsidRPr="00C3160D">
              <w:rPr>
                <w:rFonts w:ascii="Times New Roman" w:eastAsia="Times New Roman" w:hAnsi="Times New Roman" w:cs="Times New Roman"/>
                <w:color w:val="000000"/>
                <w:kern w:val="0"/>
                <w:sz w:val="28"/>
                <w:szCs w:val="28"/>
                <w:lang w:eastAsia="en-IN"/>
                <w14:ligatures w14:val="none"/>
              </w:rPr>
              <w:t>Bihar</w:t>
            </w:r>
          </w:p>
        </w:tc>
        <w:tc>
          <w:tcPr>
            <w:tcW w:w="3495" w:type="dxa"/>
            <w:tcBorders>
              <w:top w:val="nil"/>
              <w:left w:val="nil"/>
              <w:bottom w:val="single" w:sz="4" w:space="0" w:color="auto"/>
              <w:right w:val="single" w:sz="4" w:space="0" w:color="auto"/>
            </w:tcBorders>
            <w:noWrap/>
            <w:vAlign w:val="center"/>
            <w:hideMark/>
          </w:tcPr>
          <w:p w14:paraId="56358B37" w14:textId="77777777" w:rsidR="00C3160D" w:rsidRPr="00C3160D" w:rsidRDefault="00C3160D" w:rsidP="00C3160D">
            <w:pPr>
              <w:spacing w:after="0" w:line="240" w:lineRule="auto"/>
              <w:jc w:val="center"/>
              <w:rPr>
                <w:rFonts w:ascii="Times New Roman" w:eastAsia="Times New Roman" w:hAnsi="Times New Roman" w:cs="Times New Roman"/>
                <w:color w:val="000000"/>
                <w:kern w:val="0"/>
                <w:sz w:val="28"/>
                <w:szCs w:val="28"/>
                <w:lang w:eastAsia="en-IN"/>
                <w14:ligatures w14:val="none"/>
              </w:rPr>
            </w:pPr>
            <w:r w:rsidRPr="00C3160D">
              <w:rPr>
                <w:rFonts w:ascii="Times New Roman" w:eastAsia="Times New Roman" w:hAnsi="Times New Roman" w:cs="Times New Roman"/>
                <w:color w:val="000000"/>
                <w:kern w:val="0"/>
                <w:sz w:val="28"/>
                <w:szCs w:val="28"/>
                <w:lang w:eastAsia="en-IN"/>
                <w14:ligatures w14:val="none"/>
              </w:rPr>
              <w:t>3.42</w:t>
            </w:r>
          </w:p>
        </w:tc>
      </w:tr>
      <w:tr w:rsidR="00C3160D" w:rsidRPr="00C3160D" w14:paraId="22AD8D27" w14:textId="77777777" w:rsidTr="00A93D97">
        <w:trPr>
          <w:trHeight w:val="57"/>
          <w:jc w:val="center"/>
        </w:trPr>
        <w:tc>
          <w:tcPr>
            <w:tcW w:w="2689" w:type="dxa"/>
            <w:tcBorders>
              <w:top w:val="nil"/>
              <w:left w:val="single" w:sz="4" w:space="0" w:color="auto"/>
              <w:bottom w:val="single" w:sz="4" w:space="0" w:color="auto"/>
              <w:right w:val="single" w:sz="4" w:space="0" w:color="auto"/>
            </w:tcBorders>
            <w:noWrap/>
            <w:vAlign w:val="center"/>
            <w:hideMark/>
          </w:tcPr>
          <w:p w14:paraId="028969B4" w14:textId="77777777" w:rsidR="00C3160D" w:rsidRPr="00C3160D" w:rsidRDefault="00C3160D" w:rsidP="00C3160D">
            <w:pPr>
              <w:spacing w:after="0" w:line="240" w:lineRule="auto"/>
              <w:rPr>
                <w:rFonts w:ascii="Times New Roman" w:eastAsia="Times New Roman" w:hAnsi="Times New Roman" w:cs="Times New Roman"/>
                <w:color w:val="000000"/>
                <w:kern w:val="0"/>
                <w:sz w:val="28"/>
                <w:szCs w:val="28"/>
                <w:lang w:eastAsia="en-IN"/>
                <w14:ligatures w14:val="none"/>
              </w:rPr>
            </w:pPr>
            <w:r w:rsidRPr="00C3160D">
              <w:rPr>
                <w:rFonts w:ascii="Times New Roman" w:eastAsia="Times New Roman" w:hAnsi="Times New Roman" w:cs="Times New Roman"/>
                <w:color w:val="000000"/>
                <w:kern w:val="0"/>
                <w:sz w:val="28"/>
                <w:szCs w:val="28"/>
                <w:lang w:eastAsia="en-IN"/>
                <w14:ligatures w14:val="none"/>
              </w:rPr>
              <w:t>Jammu &amp; Kashmir</w:t>
            </w:r>
          </w:p>
        </w:tc>
        <w:tc>
          <w:tcPr>
            <w:tcW w:w="3495" w:type="dxa"/>
            <w:tcBorders>
              <w:top w:val="nil"/>
              <w:left w:val="nil"/>
              <w:bottom w:val="single" w:sz="4" w:space="0" w:color="auto"/>
              <w:right w:val="single" w:sz="4" w:space="0" w:color="auto"/>
            </w:tcBorders>
            <w:noWrap/>
            <w:vAlign w:val="center"/>
            <w:hideMark/>
          </w:tcPr>
          <w:p w14:paraId="6CA8CC2B" w14:textId="77777777" w:rsidR="00C3160D" w:rsidRPr="00C3160D" w:rsidRDefault="00C3160D" w:rsidP="00C3160D">
            <w:pPr>
              <w:spacing w:after="0" w:line="240" w:lineRule="auto"/>
              <w:jc w:val="center"/>
              <w:rPr>
                <w:rFonts w:ascii="Times New Roman" w:eastAsia="Times New Roman" w:hAnsi="Times New Roman" w:cs="Times New Roman"/>
                <w:color w:val="000000"/>
                <w:kern w:val="0"/>
                <w:sz w:val="28"/>
                <w:szCs w:val="28"/>
                <w:lang w:eastAsia="en-IN"/>
                <w14:ligatures w14:val="none"/>
              </w:rPr>
            </w:pPr>
            <w:r w:rsidRPr="00C3160D">
              <w:rPr>
                <w:rFonts w:ascii="Times New Roman" w:eastAsia="Times New Roman" w:hAnsi="Times New Roman" w:cs="Times New Roman"/>
                <w:color w:val="000000"/>
                <w:kern w:val="0"/>
                <w:sz w:val="28"/>
                <w:szCs w:val="28"/>
                <w:lang w:eastAsia="en-IN"/>
                <w14:ligatures w14:val="none"/>
              </w:rPr>
              <w:t>12.02</w:t>
            </w:r>
          </w:p>
        </w:tc>
      </w:tr>
      <w:tr w:rsidR="00C3160D" w:rsidRPr="00C3160D" w14:paraId="724F6D38" w14:textId="77777777" w:rsidTr="00A93D97">
        <w:trPr>
          <w:trHeight w:val="57"/>
          <w:jc w:val="center"/>
        </w:trPr>
        <w:tc>
          <w:tcPr>
            <w:tcW w:w="2689" w:type="dxa"/>
            <w:tcBorders>
              <w:top w:val="nil"/>
              <w:left w:val="single" w:sz="4" w:space="0" w:color="auto"/>
              <w:bottom w:val="single" w:sz="4" w:space="0" w:color="auto"/>
              <w:right w:val="single" w:sz="4" w:space="0" w:color="auto"/>
            </w:tcBorders>
            <w:noWrap/>
            <w:vAlign w:val="center"/>
            <w:hideMark/>
          </w:tcPr>
          <w:p w14:paraId="770CE190" w14:textId="77777777" w:rsidR="00C3160D" w:rsidRPr="00C3160D" w:rsidRDefault="00C3160D" w:rsidP="00C3160D">
            <w:pPr>
              <w:spacing w:after="0" w:line="240" w:lineRule="auto"/>
              <w:rPr>
                <w:rFonts w:ascii="Times New Roman" w:eastAsia="Times New Roman" w:hAnsi="Times New Roman" w:cs="Times New Roman"/>
                <w:color w:val="000000"/>
                <w:kern w:val="0"/>
                <w:sz w:val="28"/>
                <w:szCs w:val="28"/>
                <w:lang w:eastAsia="en-IN"/>
                <w14:ligatures w14:val="none"/>
              </w:rPr>
            </w:pPr>
            <w:r w:rsidRPr="00C3160D">
              <w:rPr>
                <w:rFonts w:ascii="Times New Roman" w:eastAsia="Times New Roman" w:hAnsi="Times New Roman" w:cs="Times New Roman"/>
                <w:color w:val="000000"/>
                <w:kern w:val="0"/>
                <w:sz w:val="28"/>
                <w:szCs w:val="28"/>
                <w:lang w:eastAsia="en-IN"/>
                <w14:ligatures w14:val="none"/>
              </w:rPr>
              <w:t>Kerala</w:t>
            </w:r>
          </w:p>
        </w:tc>
        <w:tc>
          <w:tcPr>
            <w:tcW w:w="3495" w:type="dxa"/>
            <w:tcBorders>
              <w:top w:val="nil"/>
              <w:left w:val="nil"/>
              <w:bottom w:val="single" w:sz="4" w:space="0" w:color="auto"/>
              <w:right w:val="single" w:sz="4" w:space="0" w:color="auto"/>
            </w:tcBorders>
            <w:noWrap/>
            <w:vAlign w:val="center"/>
            <w:hideMark/>
          </w:tcPr>
          <w:p w14:paraId="44364DB2" w14:textId="77777777" w:rsidR="00C3160D" w:rsidRPr="00C3160D" w:rsidRDefault="00C3160D" w:rsidP="00C3160D">
            <w:pPr>
              <w:spacing w:after="0" w:line="240" w:lineRule="auto"/>
              <w:jc w:val="center"/>
              <w:rPr>
                <w:rFonts w:ascii="Times New Roman" w:eastAsia="Times New Roman" w:hAnsi="Times New Roman" w:cs="Times New Roman"/>
                <w:color w:val="000000"/>
                <w:kern w:val="0"/>
                <w:sz w:val="28"/>
                <w:szCs w:val="28"/>
                <w:lang w:eastAsia="en-IN"/>
                <w14:ligatures w14:val="none"/>
              </w:rPr>
            </w:pPr>
            <w:r w:rsidRPr="00C3160D">
              <w:rPr>
                <w:rFonts w:ascii="Times New Roman" w:eastAsia="Times New Roman" w:hAnsi="Times New Roman" w:cs="Times New Roman"/>
                <w:color w:val="000000"/>
                <w:kern w:val="0"/>
                <w:sz w:val="28"/>
                <w:szCs w:val="28"/>
                <w:lang w:eastAsia="en-IN"/>
                <w14:ligatures w14:val="none"/>
              </w:rPr>
              <w:t>20.82</w:t>
            </w:r>
          </w:p>
        </w:tc>
      </w:tr>
      <w:tr w:rsidR="00C3160D" w:rsidRPr="00C3160D" w14:paraId="2BF3CF76" w14:textId="77777777" w:rsidTr="00A93D97">
        <w:trPr>
          <w:trHeight w:val="57"/>
          <w:jc w:val="center"/>
        </w:trPr>
        <w:tc>
          <w:tcPr>
            <w:tcW w:w="2689" w:type="dxa"/>
            <w:tcBorders>
              <w:top w:val="nil"/>
              <w:left w:val="single" w:sz="4" w:space="0" w:color="auto"/>
              <w:bottom w:val="single" w:sz="4" w:space="0" w:color="auto"/>
              <w:right w:val="single" w:sz="4" w:space="0" w:color="auto"/>
            </w:tcBorders>
            <w:vAlign w:val="center"/>
            <w:hideMark/>
          </w:tcPr>
          <w:p w14:paraId="6C1DE917" w14:textId="77777777" w:rsidR="00C3160D" w:rsidRPr="00C3160D" w:rsidRDefault="00C3160D" w:rsidP="00C3160D">
            <w:pPr>
              <w:spacing w:after="0" w:line="240" w:lineRule="auto"/>
              <w:rPr>
                <w:rFonts w:ascii="Times New Roman" w:eastAsia="Times New Roman" w:hAnsi="Times New Roman" w:cs="Times New Roman"/>
                <w:color w:val="000000"/>
                <w:kern w:val="0"/>
                <w:sz w:val="28"/>
                <w:szCs w:val="28"/>
                <w:lang w:eastAsia="en-IN"/>
                <w14:ligatures w14:val="none"/>
              </w:rPr>
            </w:pPr>
            <w:r w:rsidRPr="00C3160D">
              <w:rPr>
                <w:rFonts w:ascii="Times New Roman" w:eastAsia="Times New Roman" w:hAnsi="Times New Roman" w:cs="Times New Roman"/>
                <w:color w:val="000000"/>
                <w:kern w:val="0"/>
                <w:sz w:val="28"/>
                <w:szCs w:val="28"/>
                <w:lang w:eastAsia="en-IN"/>
                <w14:ligatures w14:val="none"/>
              </w:rPr>
              <w:lastRenderedPageBreak/>
              <w:t>Madhya Pradesh</w:t>
            </w:r>
          </w:p>
        </w:tc>
        <w:tc>
          <w:tcPr>
            <w:tcW w:w="3495" w:type="dxa"/>
            <w:tcBorders>
              <w:top w:val="nil"/>
              <w:left w:val="nil"/>
              <w:bottom w:val="single" w:sz="4" w:space="0" w:color="auto"/>
              <w:right w:val="single" w:sz="4" w:space="0" w:color="auto"/>
            </w:tcBorders>
            <w:vAlign w:val="center"/>
            <w:hideMark/>
          </w:tcPr>
          <w:p w14:paraId="5283F8FC" w14:textId="77777777" w:rsidR="00C3160D" w:rsidRPr="00C3160D" w:rsidRDefault="00C3160D" w:rsidP="00C3160D">
            <w:pPr>
              <w:spacing w:after="0" w:line="240" w:lineRule="auto"/>
              <w:jc w:val="center"/>
              <w:rPr>
                <w:rFonts w:ascii="Times New Roman" w:eastAsia="Times New Roman" w:hAnsi="Times New Roman" w:cs="Times New Roman"/>
                <w:color w:val="000000"/>
                <w:kern w:val="0"/>
                <w:sz w:val="28"/>
                <w:szCs w:val="28"/>
                <w:lang w:eastAsia="en-IN"/>
                <w14:ligatures w14:val="none"/>
              </w:rPr>
            </w:pPr>
            <w:r w:rsidRPr="00C3160D">
              <w:rPr>
                <w:rFonts w:ascii="Times New Roman" w:eastAsia="Times New Roman" w:hAnsi="Times New Roman" w:cs="Times New Roman"/>
                <w:color w:val="000000"/>
                <w:kern w:val="0"/>
                <w:sz w:val="28"/>
                <w:szCs w:val="28"/>
                <w:lang w:eastAsia="en-IN"/>
                <w14:ligatures w14:val="none"/>
              </w:rPr>
              <w:t>9·36</w:t>
            </w:r>
          </w:p>
        </w:tc>
      </w:tr>
      <w:tr w:rsidR="00C3160D" w:rsidRPr="00C3160D" w14:paraId="37FB2519" w14:textId="77777777" w:rsidTr="00A93D97">
        <w:trPr>
          <w:trHeight w:val="57"/>
          <w:jc w:val="center"/>
        </w:trPr>
        <w:tc>
          <w:tcPr>
            <w:tcW w:w="2689" w:type="dxa"/>
            <w:tcBorders>
              <w:top w:val="nil"/>
              <w:left w:val="single" w:sz="4" w:space="0" w:color="auto"/>
              <w:bottom w:val="single" w:sz="4" w:space="0" w:color="auto"/>
              <w:right w:val="single" w:sz="4" w:space="0" w:color="auto"/>
            </w:tcBorders>
            <w:vAlign w:val="center"/>
            <w:hideMark/>
          </w:tcPr>
          <w:p w14:paraId="436ABBA2" w14:textId="77777777" w:rsidR="00C3160D" w:rsidRPr="00C3160D" w:rsidRDefault="00C3160D" w:rsidP="00C3160D">
            <w:pPr>
              <w:spacing w:after="0" w:line="240" w:lineRule="auto"/>
              <w:rPr>
                <w:rFonts w:ascii="Times New Roman" w:eastAsia="Times New Roman" w:hAnsi="Times New Roman" w:cs="Times New Roman"/>
                <w:color w:val="000000"/>
                <w:kern w:val="0"/>
                <w:sz w:val="28"/>
                <w:szCs w:val="28"/>
                <w:lang w:eastAsia="en-IN"/>
                <w14:ligatures w14:val="none"/>
              </w:rPr>
            </w:pPr>
            <w:r w:rsidRPr="00C3160D">
              <w:rPr>
                <w:rFonts w:ascii="Times New Roman" w:eastAsia="Times New Roman" w:hAnsi="Times New Roman" w:cs="Times New Roman"/>
                <w:color w:val="000000"/>
                <w:kern w:val="0"/>
                <w:sz w:val="28"/>
                <w:szCs w:val="28"/>
                <w:lang w:eastAsia="en-IN"/>
                <w14:ligatures w14:val="none"/>
              </w:rPr>
              <w:t>Madras</w:t>
            </w:r>
          </w:p>
        </w:tc>
        <w:tc>
          <w:tcPr>
            <w:tcW w:w="3495" w:type="dxa"/>
            <w:tcBorders>
              <w:top w:val="nil"/>
              <w:left w:val="nil"/>
              <w:bottom w:val="single" w:sz="4" w:space="0" w:color="auto"/>
              <w:right w:val="single" w:sz="4" w:space="0" w:color="auto"/>
            </w:tcBorders>
            <w:vAlign w:val="center"/>
            <w:hideMark/>
          </w:tcPr>
          <w:p w14:paraId="70AD008D" w14:textId="77777777" w:rsidR="00C3160D" w:rsidRPr="00C3160D" w:rsidRDefault="00C3160D" w:rsidP="00C3160D">
            <w:pPr>
              <w:spacing w:after="0" w:line="240" w:lineRule="auto"/>
              <w:jc w:val="center"/>
              <w:rPr>
                <w:rFonts w:ascii="Times New Roman" w:eastAsia="Times New Roman" w:hAnsi="Times New Roman" w:cs="Times New Roman"/>
                <w:color w:val="000000"/>
                <w:kern w:val="0"/>
                <w:sz w:val="28"/>
                <w:szCs w:val="28"/>
                <w:lang w:eastAsia="en-IN"/>
                <w14:ligatures w14:val="none"/>
              </w:rPr>
            </w:pPr>
            <w:r w:rsidRPr="00C3160D">
              <w:rPr>
                <w:rFonts w:ascii="Times New Roman" w:eastAsia="Times New Roman" w:hAnsi="Times New Roman" w:cs="Times New Roman"/>
                <w:color w:val="000000"/>
                <w:kern w:val="0"/>
                <w:sz w:val="28"/>
                <w:szCs w:val="28"/>
                <w:lang w:eastAsia="en-IN"/>
                <w14:ligatures w14:val="none"/>
              </w:rPr>
              <w:t>6·84</w:t>
            </w:r>
          </w:p>
        </w:tc>
      </w:tr>
      <w:tr w:rsidR="00C3160D" w:rsidRPr="00C3160D" w14:paraId="6AA464AA" w14:textId="77777777" w:rsidTr="00A93D97">
        <w:trPr>
          <w:trHeight w:val="57"/>
          <w:jc w:val="center"/>
        </w:trPr>
        <w:tc>
          <w:tcPr>
            <w:tcW w:w="2689" w:type="dxa"/>
            <w:tcBorders>
              <w:top w:val="nil"/>
              <w:left w:val="single" w:sz="4" w:space="0" w:color="auto"/>
              <w:bottom w:val="single" w:sz="4" w:space="0" w:color="auto"/>
              <w:right w:val="single" w:sz="4" w:space="0" w:color="auto"/>
            </w:tcBorders>
            <w:vAlign w:val="center"/>
            <w:hideMark/>
          </w:tcPr>
          <w:p w14:paraId="38CAFDEF" w14:textId="77777777" w:rsidR="00C3160D" w:rsidRPr="00C3160D" w:rsidRDefault="00C3160D" w:rsidP="00C3160D">
            <w:pPr>
              <w:spacing w:after="0" w:line="240" w:lineRule="auto"/>
              <w:rPr>
                <w:rFonts w:ascii="Times New Roman" w:eastAsia="Times New Roman" w:hAnsi="Times New Roman" w:cs="Times New Roman"/>
                <w:color w:val="000000"/>
                <w:kern w:val="0"/>
                <w:sz w:val="28"/>
                <w:szCs w:val="28"/>
                <w:lang w:eastAsia="en-IN"/>
                <w14:ligatures w14:val="none"/>
              </w:rPr>
            </w:pPr>
            <w:r w:rsidRPr="00C3160D">
              <w:rPr>
                <w:rFonts w:ascii="Times New Roman" w:eastAsia="Times New Roman" w:hAnsi="Times New Roman" w:cs="Times New Roman"/>
                <w:color w:val="000000"/>
                <w:kern w:val="0"/>
                <w:sz w:val="28"/>
                <w:szCs w:val="28"/>
                <w:lang w:eastAsia="en-IN"/>
                <w14:ligatures w14:val="none"/>
              </w:rPr>
              <w:t>Mysore</w:t>
            </w:r>
          </w:p>
        </w:tc>
        <w:tc>
          <w:tcPr>
            <w:tcW w:w="3495" w:type="dxa"/>
            <w:tcBorders>
              <w:top w:val="nil"/>
              <w:left w:val="nil"/>
              <w:bottom w:val="single" w:sz="4" w:space="0" w:color="auto"/>
              <w:right w:val="single" w:sz="4" w:space="0" w:color="auto"/>
            </w:tcBorders>
            <w:vAlign w:val="center"/>
            <w:hideMark/>
          </w:tcPr>
          <w:p w14:paraId="5E7C8919" w14:textId="77777777" w:rsidR="00C3160D" w:rsidRPr="00C3160D" w:rsidRDefault="00C3160D" w:rsidP="00C3160D">
            <w:pPr>
              <w:spacing w:after="0" w:line="240" w:lineRule="auto"/>
              <w:jc w:val="center"/>
              <w:rPr>
                <w:rFonts w:ascii="Times New Roman" w:eastAsia="Times New Roman" w:hAnsi="Times New Roman" w:cs="Times New Roman"/>
                <w:color w:val="000000"/>
                <w:kern w:val="0"/>
                <w:sz w:val="28"/>
                <w:szCs w:val="28"/>
                <w:lang w:eastAsia="en-IN"/>
                <w14:ligatures w14:val="none"/>
              </w:rPr>
            </w:pPr>
            <w:r w:rsidRPr="00C3160D">
              <w:rPr>
                <w:rFonts w:ascii="Times New Roman" w:eastAsia="Times New Roman" w:hAnsi="Times New Roman" w:cs="Times New Roman"/>
                <w:color w:val="000000"/>
                <w:kern w:val="0"/>
                <w:sz w:val="28"/>
                <w:szCs w:val="28"/>
                <w:lang w:eastAsia="en-IN"/>
                <w14:ligatures w14:val="none"/>
              </w:rPr>
              <w:t>20·82</w:t>
            </w:r>
          </w:p>
        </w:tc>
      </w:tr>
      <w:tr w:rsidR="00C3160D" w:rsidRPr="00C3160D" w14:paraId="771BA375" w14:textId="77777777" w:rsidTr="00A93D97">
        <w:trPr>
          <w:trHeight w:val="57"/>
          <w:jc w:val="center"/>
        </w:trPr>
        <w:tc>
          <w:tcPr>
            <w:tcW w:w="2689" w:type="dxa"/>
            <w:tcBorders>
              <w:top w:val="nil"/>
              <w:left w:val="single" w:sz="4" w:space="0" w:color="auto"/>
              <w:bottom w:val="single" w:sz="4" w:space="0" w:color="auto"/>
              <w:right w:val="single" w:sz="4" w:space="0" w:color="auto"/>
            </w:tcBorders>
            <w:vAlign w:val="center"/>
            <w:hideMark/>
          </w:tcPr>
          <w:p w14:paraId="3FB6ACC4" w14:textId="77777777" w:rsidR="00C3160D" w:rsidRPr="00C3160D" w:rsidRDefault="00C3160D" w:rsidP="00C3160D">
            <w:pPr>
              <w:spacing w:after="0" w:line="240" w:lineRule="auto"/>
              <w:rPr>
                <w:rFonts w:ascii="Times New Roman" w:eastAsia="Times New Roman" w:hAnsi="Times New Roman" w:cs="Times New Roman"/>
                <w:color w:val="000000"/>
                <w:kern w:val="0"/>
                <w:sz w:val="28"/>
                <w:szCs w:val="28"/>
                <w:lang w:eastAsia="en-IN"/>
                <w14:ligatures w14:val="none"/>
              </w:rPr>
            </w:pPr>
            <w:r w:rsidRPr="00C3160D">
              <w:rPr>
                <w:rFonts w:ascii="Times New Roman" w:eastAsia="Times New Roman" w:hAnsi="Times New Roman" w:cs="Times New Roman"/>
                <w:color w:val="000000"/>
                <w:kern w:val="0"/>
                <w:sz w:val="28"/>
                <w:szCs w:val="28"/>
                <w:lang w:eastAsia="en-IN"/>
                <w14:ligatures w14:val="none"/>
              </w:rPr>
              <w:t>Nagaland</w:t>
            </w:r>
          </w:p>
        </w:tc>
        <w:tc>
          <w:tcPr>
            <w:tcW w:w="3495" w:type="dxa"/>
            <w:tcBorders>
              <w:top w:val="nil"/>
              <w:left w:val="nil"/>
              <w:bottom w:val="single" w:sz="4" w:space="0" w:color="auto"/>
              <w:right w:val="single" w:sz="4" w:space="0" w:color="auto"/>
            </w:tcBorders>
            <w:vAlign w:val="center"/>
            <w:hideMark/>
          </w:tcPr>
          <w:p w14:paraId="5E0EC154" w14:textId="77777777" w:rsidR="00C3160D" w:rsidRPr="00C3160D" w:rsidRDefault="00C3160D" w:rsidP="00C3160D">
            <w:pPr>
              <w:spacing w:after="0" w:line="240" w:lineRule="auto"/>
              <w:jc w:val="center"/>
              <w:rPr>
                <w:rFonts w:ascii="Times New Roman" w:eastAsia="Times New Roman" w:hAnsi="Times New Roman" w:cs="Times New Roman"/>
                <w:color w:val="000000"/>
                <w:kern w:val="0"/>
                <w:sz w:val="28"/>
                <w:szCs w:val="28"/>
                <w:lang w:eastAsia="en-IN"/>
                <w14:ligatures w14:val="none"/>
              </w:rPr>
            </w:pPr>
            <w:r w:rsidRPr="00C3160D">
              <w:rPr>
                <w:rFonts w:ascii="Times New Roman" w:eastAsia="Times New Roman" w:hAnsi="Times New Roman" w:cs="Times New Roman"/>
                <w:color w:val="000000"/>
                <w:kern w:val="0"/>
                <w:sz w:val="28"/>
                <w:szCs w:val="28"/>
                <w:lang w:eastAsia="en-IN"/>
                <w14:ligatures w14:val="none"/>
              </w:rPr>
              <w:t>10·88</w:t>
            </w:r>
          </w:p>
        </w:tc>
      </w:tr>
      <w:tr w:rsidR="00C3160D" w:rsidRPr="00C3160D" w14:paraId="431A6224" w14:textId="77777777" w:rsidTr="00A93D97">
        <w:trPr>
          <w:trHeight w:val="57"/>
          <w:jc w:val="center"/>
        </w:trPr>
        <w:tc>
          <w:tcPr>
            <w:tcW w:w="2689" w:type="dxa"/>
            <w:tcBorders>
              <w:top w:val="nil"/>
              <w:left w:val="single" w:sz="4" w:space="0" w:color="auto"/>
              <w:bottom w:val="single" w:sz="4" w:space="0" w:color="auto"/>
              <w:right w:val="single" w:sz="4" w:space="0" w:color="auto"/>
            </w:tcBorders>
            <w:vAlign w:val="center"/>
            <w:hideMark/>
          </w:tcPr>
          <w:p w14:paraId="7A5AA793" w14:textId="77777777" w:rsidR="00C3160D" w:rsidRPr="00C3160D" w:rsidRDefault="00C3160D" w:rsidP="00C3160D">
            <w:pPr>
              <w:spacing w:after="0" w:line="240" w:lineRule="auto"/>
              <w:rPr>
                <w:rFonts w:ascii="Times New Roman" w:eastAsia="Times New Roman" w:hAnsi="Times New Roman" w:cs="Times New Roman"/>
                <w:color w:val="000000"/>
                <w:kern w:val="0"/>
                <w:sz w:val="28"/>
                <w:szCs w:val="28"/>
                <w:lang w:eastAsia="en-IN"/>
                <w14:ligatures w14:val="none"/>
              </w:rPr>
            </w:pPr>
            <w:r w:rsidRPr="00C3160D">
              <w:rPr>
                <w:rFonts w:ascii="Times New Roman" w:eastAsia="Times New Roman" w:hAnsi="Times New Roman" w:cs="Times New Roman"/>
                <w:color w:val="000000"/>
                <w:kern w:val="0"/>
                <w:sz w:val="28"/>
                <w:szCs w:val="28"/>
                <w:lang w:eastAsia="en-IN"/>
                <w14:ligatures w14:val="none"/>
              </w:rPr>
              <w:t>Orissa</w:t>
            </w:r>
          </w:p>
        </w:tc>
        <w:tc>
          <w:tcPr>
            <w:tcW w:w="3495" w:type="dxa"/>
            <w:tcBorders>
              <w:top w:val="nil"/>
              <w:left w:val="nil"/>
              <w:bottom w:val="single" w:sz="4" w:space="0" w:color="auto"/>
              <w:right w:val="single" w:sz="4" w:space="0" w:color="auto"/>
            </w:tcBorders>
            <w:vAlign w:val="center"/>
            <w:hideMark/>
          </w:tcPr>
          <w:p w14:paraId="02DBBE26" w14:textId="77777777" w:rsidR="00C3160D" w:rsidRPr="00C3160D" w:rsidRDefault="00C3160D" w:rsidP="00C3160D">
            <w:pPr>
              <w:spacing w:after="0" w:line="240" w:lineRule="auto"/>
              <w:jc w:val="center"/>
              <w:rPr>
                <w:rFonts w:ascii="Times New Roman" w:eastAsia="Times New Roman" w:hAnsi="Times New Roman" w:cs="Times New Roman"/>
                <w:color w:val="000000"/>
                <w:kern w:val="0"/>
                <w:sz w:val="28"/>
                <w:szCs w:val="28"/>
                <w:lang w:eastAsia="en-IN"/>
                <w14:ligatures w14:val="none"/>
              </w:rPr>
            </w:pPr>
            <w:r w:rsidRPr="00C3160D">
              <w:rPr>
                <w:rFonts w:ascii="Times New Roman" w:eastAsia="Times New Roman" w:hAnsi="Times New Roman" w:cs="Times New Roman"/>
                <w:color w:val="000000"/>
                <w:kern w:val="0"/>
                <w:sz w:val="28"/>
                <w:szCs w:val="28"/>
                <w:lang w:eastAsia="en-IN"/>
                <w14:ligatures w14:val="none"/>
              </w:rPr>
              <w:t>29·18</w:t>
            </w:r>
          </w:p>
        </w:tc>
      </w:tr>
      <w:tr w:rsidR="00C3160D" w:rsidRPr="00C3160D" w14:paraId="06EDD392" w14:textId="77777777" w:rsidTr="00A93D97">
        <w:trPr>
          <w:trHeight w:val="57"/>
          <w:jc w:val="center"/>
        </w:trPr>
        <w:tc>
          <w:tcPr>
            <w:tcW w:w="2689" w:type="dxa"/>
            <w:tcBorders>
              <w:top w:val="nil"/>
              <w:left w:val="single" w:sz="4" w:space="0" w:color="auto"/>
              <w:bottom w:val="single" w:sz="4" w:space="0" w:color="auto"/>
              <w:right w:val="single" w:sz="4" w:space="0" w:color="auto"/>
            </w:tcBorders>
            <w:vAlign w:val="center"/>
            <w:hideMark/>
          </w:tcPr>
          <w:p w14:paraId="6633CA9B" w14:textId="77777777" w:rsidR="00C3160D" w:rsidRPr="00C3160D" w:rsidRDefault="00C3160D" w:rsidP="00C3160D">
            <w:pPr>
              <w:spacing w:after="0" w:line="240" w:lineRule="auto"/>
              <w:rPr>
                <w:rFonts w:ascii="Times New Roman" w:eastAsia="Times New Roman" w:hAnsi="Times New Roman" w:cs="Times New Roman"/>
                <w:color w:val="000000"/>
                <w:kern w:val="0"/>
                <w:sz w:val="28"/>
                <w:szCs w:val="28"/>
                <w:lang w:eastAsia="en-IN"/>
                <w14:ligatures w14:val="none"/>
              </w:rPr>
            </w:pPr>
            <w:r w:rsidRPr="00C3160D">
              <w:rPr>
                <w:rFonts w:ascii="Times New Roman" w:eastAsia="Times New Roman" w:hAnsi="Times New Roman" w:cs="Times New Roman"/>
                <w:color w:val="000000"/>
                <w:kern w:val="0"/>
                <w:sz w:val="28"/>
                <w:szCs w:val="28"/>
                <w:lang w:eastAsia="en-IN"/>
                <w14:ligatures w14:val="none"/>
              </w:rPr>
              <w:t>Rajasthan</w:t>
            </w:r>
          </w:p>
        </w:tc>
        <w:tc>
          <w:tcPr>
            <w:tcW w:w="3495" w:type="dxa"/>
            <w:tcBorders>
              <w:top w:val="nil"/>
              <w:left w:val="nil"/>
              <w:bottom w:val="single" w:sz="4" w:space="0" w:color="auto"/>
              <w:right w:val="single" w:sz="4" w:space="0" w:color="auto"/>
            </w:tcBorders>
            <w:vAlign w:val="center"/>
            <w:hideMark/>
          </w:tcPr>
          <w:p w14:paraId="6BF090BF" w14:textId="77777777" w:rsidR="00C3160D" w:rsidRPr="00C3160D" w:rsidRDefault="00C3160D" w:rsidP="00C3160D">
            <w:pPr>
              <w:spacing w:after="0" w:line="240" w:lineRule="auto"/>
              <w:jc w:val="center"/>
              <w:rPr>
                <w:rFonts w:ascii="Times New Roman" w:eastAsia="Times New Roman" w:hAnsi="Times New Roman" w:cs="Times New Roman"/>
                <w:color w:val="000000"/>
                <w:kern w:val="0"/>
                <w:sz w:val="28"/>
                <w:szCs w:val="28"/>
                <w:lang w:eastAsia="en-IN"/>
                <w14:ligatures w14:val="none"/>
              </w:rPr>
            </w:pPr>
            <w:r w:rsidRPr="00C3160D">
              <w:rPr>
                <w:rFonts w:ascii="Times New Roman" w:eastAsia="Times New Roman" w:hAnsi="Times New Roman" w:cs="Times New Roman"/>
                <w:color w:val="000000"/>
                <w:kern w:val="0"/>
                <w:sz w:val="28"/>
                <w:szCs w:val="28"/>
                <w:lang w:eastAsia="en-IN"/>
                <w14:ligatures w14:val="none"/>
              </w:rPr>
              <w:t>9·67</w:t>
            </w:r>
          </w:p>
        </w:tc>
      </w:tr>
      <w:tr w:rsidR="00C3160D" w:rsidRPr="00C3160D" w14:paraId="063F1F9C" w14:textId="77777777" w:rsidTr="00A93D97">
        <w:trPr>
          <w:trHeight w:val="57"/>
          <w:jc w:val="center"/>
        </w:trPr>
        <w:tc>
          <w:tcPr>
            <w:tcW w:w="2689" w:type="dxa"/>
            <w:tcBorders>
              <w:top w:val="nil"/>
              <w:left w:val="single" w:sz="4" w:space="0" w:color="auto"/>
              <w:bottom w:val="single" w:sz="4" w:space="0" w:color="auto"/>
              <w:right w:val="single" w:sz="4" w:space="0" w:color="auto"/>
            </w:tcBorders>
            <w:vAlign w:val="center"/>
            <w:hideMark/>
          </w:tcPr>
          <w:p w14:paraId="6CDA35F8" w14:textId="77777777" w:rsidR="00C3160D" w:rsidRPr="00C3160D" w:rsidRDefault="00C3160D" w:rsidP="00C3160D">
            <w:pPr>
              <w:spacing w:after="0" w:line="240" w:lineRule="auto"/>
              <w:rPr>
                <w:rFonts w:ascii="Times New Roman" w:eastAsia="Times New Roman" w:hAnsi="Times New Roman" w:cs="Times New Roman"/>
                <w:color w:val="000000"/>
                <w:kern w:val="0"/>
                <w:sz w:val="28"/>
                <w:szCs w:val="28"/>
                <w:lang w:eastAsia="en-IN"/>
                <w14:ligatures w14:val="none"/>
              </w:rPr>
            </w:pPr>
            <w:r w:rsidRPr="00C3160D">
              <w:rPr>
                <w:rFonts w:ascii="Times New Roman" w:eastAsia="Times New Roman" w:hAnsi="Times New Roman" w:cs="Times New Roman"/>
                <w:color w:val="000000"/>
                <w:kern w:val="0"/>
                <w:sz w:val="28"/>
                <w:szCs w:val="28"/>
                <w:lang w:eastAsia="en-IN"/>
                <w14:ligatures w14:val="none"/>
              </w:rPr>
              <w:t>Uttar Pradesh</w:t>
            </w:r>
          </w:p>
        </w:tc>
        <w:tc>
          <w:tcPr>
            <w:tcW w:w="3495" w:type="dxa"/>
            <w:tcBorders>
              <w:top w:val="nil"/>
              <w:left w:val="nil"/>
              <w:bottom w:val="single" w:sz="4" w:space="0" w:color="auto"/>
              <w:right w:val="single" w:sz="4" w:space="0" w:color="auto"/>
            </w:tcBorders>
            <w:vAlign w:val="center"/>
            <w:hideMark/>
          </w:tcPr>
          <w:p w14:paraId="0A555233" w14:textId="77777777" w:rsidR="00C3160D" w:rsidRPr="00C3160D" w:rsidRDefault="00C3160D" w:rsidP="00C3160D">
            <w:pPr>
              <w:spacing w:after="0" w:line="240" w:lineRule="auto"/>
              <w:jc w:val="center"/>
              <w:rPr>
                <w:rFonts w:ascii="Times New Roman" w:eastAsia="Times New Roman" w:hAnsi="Times New Roman" w:cs="Times New Roman"/>
                <w:color w:val="000000"/>
                <w:kern w:val="0"/>
                <w:sz w:val="28"/>
                <w:szCs w:val="28"/>
                <w:lang w:eastAsia="en-IN"/>
                <w14:ligatures w14:val="none"/>
              </w:rPr>
            </w:pPr>
            <w:r w:rsidRPr="00C3160D">
              <w:rPr>
                <w:rFonts w:ascii="Times New Roman" w:eastAsia="Times New Roman" w:hAnsi="Times New Roman" w:cs="Times New Roman"/>
                <w:color w:val="000000"/>
                <w:kern w:val="0"/>
                <w:sz w:val="28"/>
                <w:szCs w:val="28"/>
                <w:lang w:eastAsia="en-IN"/>
                <w14:ligatures w14:val="none"/>
              </w:rPr>
              <w:t>9·85</w:t>
            </w:r>
          </w:p>
        </w:tc>
      </w:tr>
      <w:tr w:rsidR="00C3160D" w:rsidRPr="00C3160D" w14:paraId="7142A721" w14:textId="77777777" w:rsidTr="00A93D97">
        <w:trPr>
          <w:trHeight w:val="57"/>
          <w:jc w:val="center"/>
        </w:trPr>
        <w:tc>
          <w:tcPr>
            <w:tcW w:w="2689" w:type="dxa"/>
            <w:tcBorders>
              <w:top w:val="nil"/>
              <w:left w:val="single" w:sz="4" w:space="0" w:color="auto"/>
              <w:bottom w:val="single" w:sz="4" w:space="0" w:color="auto"/>
              <w:right w:val="single" w:sz="4" w:space="0" w:color="auto"/>
            </w:tcBorders>
            <w:vAlign w:val="center"/>
            <w:hideMark/>
          </w:tcPr>
          <w:p w14:paraId="3EAC562D" w14:textId="77777777" w:rsidR="00C3160D" w:rsidRPr="00C3160D" w:rsidRDefault="00C3160D" w:rsidP="00C3160D">
            <w:pPr>
              <w:spacing w:after="0" w:line="240" w:lineRule="auto"/>
              <w:rPr>
                <w:rFonts w:ascii="Times New Roman" w:eastAsia="Times New Roman" w:hAnsi="Times New Roman" w:cs="Times New Roman"/>
                <w:color w:val="000000"/>
                <w:kern w:val="0"/>
                <w:sz w:val="28"/>
                <w:szCs w:val="28"/>
                <w:lang w:eastAsia="en-IN"/>
                <w14:ligatures w14:val="none"/>
              </w:rPr>
            </w:pPr>
            <w:r w:rsidRPr="00C3160D">
              <w:rPr>
                <w:rFonts w:ascii="Times New Roman" w:eastAsia="Times New Roman" w:hAnsi="Times New Roman" w:cs="Times New Roman"/>
                <w:color w:val="000000"/>
                <w:kern w:val="0"/>
                <w:sz w:val="28"/>
                <w:szCs w:val="28"/>
                <w:lang w:eastAsia="en-IN"/>
                <w14:ligatures w14:val="none"/>
              </w:rPr>
              <w:t>West Bengal</w:t>
            </w:r>
          </w:p>
        </w:tc>
        <w:tc>
          <w:tcPr>
            <w:tcW w:w="3495" w:type="dxa"/>
            <w:tcBorders>
              <w:top w:val="nil"/>
              <w:left w:val="nil"/>
              <w:bottom w:val="single" w:sz="4" w:space="0" w:color="auto"/>
              <w:right w:val="single" w:sz="4" w:space="0" w:color="auto"/>
            </w:tcBorders>
            <w:vAlign w:val="center"/>
            <w:hideMark/>
          </w:tcPr>
          <w:p w14:paraId="7472C028" w14:textId="77777777" w:rsidR="00C3160D" w:rsidRPr="00C3160D" w:rsidRDefault="00C3160D" w:rsidP="00C3160D">
            <w:pPr>
              <w:spacing w:after="0" w:line="240" w:lineRule="auto"/>
              <w:jc w:val="center"/>
              <w:rPr>
                <w:rFonts w:ascii="Times New Roman" w:eastAsia="Times New Roman" w:hAnsi="Times New Roman" w:cs="Times New Roman"/>
                <w:color w:val="000000"/>
                <w:kern w:val="0"/>
                <w:sz w:val="28"/>
                <w:szCs w:val="28"/>
                <w:lang w:eastAsia="en-IN"/>
                <w14:ligatures w14:val="none"/>
              </w:rPr>
            </w:pPr>
            <w:r w:rsidRPr="00C3160D">
              <w:rPr>
                <w:rFonts w:ascii="Times New Roman" w:eastAsia="Times New Roman" w:hAnsi="Times New Roman" w:cs="Times New Roman"/>
                <w:color w:val="000000"/>
                <w:kern w:val="0"/>
                <w:sz w:val="28"/>
                <w:szCs w:val="28"/>
                <w:lang w:eastAsia="en-IN"/>
                <w14:ligatures w14:val="none"/>
              </w:rPr>
              <w:t>7·24</w:t>
            </w:r>
          </w:p>
        </w:tc>
      </w:tr>
      <w:tr w:rsidR="00C3160D" w:rsidRPr="00C3160D" w14:paraId="278E0546" w14:textId="77777777" w:rsidTr="00A93D97">
        <w:trPr>
          <w:trHeight w:val="57"/>
          <w:jc w:val="center"/>
        </w:trPr>
        <w:tc>
          <w:tcPr>
            <w:tcW w:w="2689" w:type="dxa"/>
            <w:tcBorders>
              <w:top w:val="nil"/>
              <w:left w:val="single" w:sz="4" w:space="0" w:color="auto"/>
              <w:bottom w:val="single" w:sz="4" w:space="0" w:color="auto"/>
              <w:right w:val="single" w:sz="4" w:space="0" w:color="auto"/>
            </w:tcBorders>
            <w:vAlign w:val="center"/>
            <w:hideMark/>
          </w:tcPr>
          <w:p w14:paraId="25128CB5" w14:textId="77777777" w:rsidR="00C3160D" w:rsidRPr="00C3160D" w:rsidRDefault="00C3160D" w:rsidP="00C3160D">
            <w:pPr>
              <w:spacing w:after="0" w:line="240" w:lineRule="auto"/>
              <w:rPr>
                <w:rFonts w:ascii="Times New Roman" w:eastAsia="Times New Roman" w:hAnsi="Times New Roman" w:cs="Times New Roman"/>
                <w:color w:val="000000"/>
                <w:kern w:val="0"/>
                <w:sz w:val="28"/>
                <w:szCs w:val="28"/>
                <w:lang w:eastAsia="en-IN"/>
                <w14:ligatures w14:val="none"/>
              </w:rPr>
            </w:pPr>
            <w:r w:rsidRPr="00C3160D">
              <w:rPr>
                <w:rFonts w:ascii="Times New Roman" w:eastAsia="Times New Roman" w:hAnsi="Times New Roman" w:cs="Times New Roman"/>
                <w:color w:val="000000"/>
                <w:kern w:val="0"/>
                <w:sz w:val="28"/>
                <w:szCs w:val="28"/>
                <w:lang w:eastAsia="en-IN"/>
                <w14:ligatures w14:val="none"/>
              </w:rPr>
              <w:t>TOTAL</w:t>
            </w:r>
          </w:p>
        </w:tc>
        <w:tc>
          <w:tcPr>
            <w:tcW w:w="3495" w:type="dxa"/>
            <w:tcBorders>
              <w:top w:val="nil"/>
              <w:left w:val="nil"/>
              <w:bottom w:val="single" w:sz="4" w:space="0" w:color="auto"/>
              <w:right w:val="single" w:sz="4" w:space="0" w:color="auto"/>
            </w:tcBorders>
            <w:vAlign w:val="center"/>
            <w:hideMark/>
          </w:tcPr>
          <w:p w14:paraId="53ACCF00" w14:textId="77777777" w:rsidR="00C3160D" w:rsidRPr="00C3160D" w:rsidRDefault="00C3160D" w:rsidP="00C3160D">
            <w:pPr>
              <w:spacing w:after="0" w:line="240" w:lineRule="auto"/>
              <w:jc w:val="center"/>
              <w:rPr>
                <w:rFonts w:ascii="Times New Roman" w:eastAsia="Times New Roman" w:hAnsi="Times New Roman" w:cs="Times New Roman"/>
                <w:color w:val="000000"/>
                <w:kern w:val="0"/>
                <w:sz w:val="28"/>
                <w:szCs w:val="28"/>
                <w:lang w:eastAsia="en-IN"/>
                <w14:ligatures w14:val="none"/>
              </w:rPr>
            </w:pPr>
            <w:r w:rsidRPr="00C3160D">
              <w:rPr>
                <w:rFonts w:ascii="Times New Roman" w:eastAsia="Times New Roman" w:hAnsi="Times New Roman" w:cs="Times New Roman"/>
                <w:color w:val="000000"/>
                <w:kern w:val="0"/>
                <w:sz w:val="28"/>
                <w:szCs w:val="28"/>
                <w:lang w:eastAsia="en-IN"/>
                <w14:ligatures w14:val="none"/>
              </w:rPr>
              <w:t>176·81</w:t>
            </w:r>
          </w:p>
        </w:tc>
      </w:tr>
    </w:tbl>
    <w:p w14:paraId="07CDE125" w14:textId="77777777" w:rsidR="00C3160D" w:rsidRDefault="00C3160D" w:rsidP="00C3160D">
      <w:pPr>
        <w:tabs>
          <w:tab w:val="left" w:pos="3370"/>
        </w:tabs>
        <w:spacing w:after="0" w:line="300" w:lineRule="exact"/>
        <w:ind w:left="426" w:hanging="426"/>
        <w:jc w:val="both"/>
        <w:rPr>
          <w:rFonts w:ascii="Times New Roman" w:hAnsi="Times New Roman" w:cs="Times New Roman"/>
          <w:sz w:val="28"/>
          <w:szCs w:val="28"/>
        </w:rPr>
      </w:pPr>
    </w:p>
    <w:p w14:paraId="4B7F46B5" w14:textId="7A730961" w:rsidR="00097251" w:rsidRPr="00C3160D" w:rsidRDefault="00097251" w:rsidP="00C3160D">
      <w:pPr>
        <w:tabs>
          <w:tab w:val="left" w:pos="3370"/>
        </w:tabs>
        <w:spacing w:line="300" w:lineRule="exact"/>
        <w:ind w:left="425" w:hanging="425"/>
        <w:jc w:val="both"/>
        <w:rPr>
          <w:rFonts w:ascii="Times New Roman" w:hAnsi="Times New Roman" w:cs="Times New Roman"/>
          <w:sz w:val="28"/>
          <w:szCs w:val="22"/>
        </w:rPr>
      </w:pPr>
      <w:r w:rsidRPr="00C3160D">
        <w:rPr>
          <w:rFonts w:ascii="Times New Roman" w:hAnsi="Times New Roman" w:cs="Times New Roman"/>
          <w:sz w:val="28"/>
          <w:szCs w:val="22"/>
        </w:rPr>
        <w:t>and (e) The amounts payable to the States in accordance with the recommendations contained in clauses (a) to (d) of this paragraph be treated as provisional and subject to re-adjustment on the basis of such recommendations as may be made in our final Report.</w:t>
      </w:r>
    </w:p>
    <w:p w14:paraId="6CC87BAC" w14:textId="77777777" w:rsidR="00097251" w:rsidRPr="00C3160D" w:rsidRDefault="00097251" w:rsidP="00C3160D">
      <w:pPr>
        <w:pStyle w:val="ListParagraph"/>
        <w:numPr>
          <w:ilvl w:val="0"/>
          <w:numId w:val="34"/>
        </w:numPr>
        <w:spacing w:line="240" w:lineRule="auto"/>
        <w:ind w:left="-142" w:firstLine="142"/>
        <w:contextualSpacing w:val="0"/>
        <w:jc w:val="both"/>
        <w:rPr>
          <w:rFonts w:ascii="Times New Roman" w:hAnsi="Times New Roman" w:cs="Times New Roman"/>
          <w:sz w:val="32"/>
          <w:szCs w:val="24"/>
        </w:rPr>
      </w:pPr>
      <w:r w:rsidRPr="00C3160D">
        <w:rPr>
          <w:rFonts w:ascii="Times New Roman" w:hAnsi="Times New Roman" w:cs="Times New Roman"/>
          <w:sz w:val="28"/>
          <w:szCs w:val="22"/>
        </w:rPr>
        <w:t>The position regarding the estimated amounts of transfer of funds to the States by way of their share of taxes and duties and grants under Article 275 (1) in the year 1969-70 in accordance with the recommendations made in this Report, as compared with the amounts of such transfers in 1968-69 based on the State Governments' budget estimates, is shown in Appendix IV.</w:t>
      </w:r>
    </w:p>
    <w:p w14:paraId="623D613B" w14:textId="77777777" w:rsidR="00097251" w:rsidRPr="00C3160D" w:rsidRDefault="00097251" w:rsidP="00C3160D">
      <w:pPr>
        <w:tabs>
          <w:tab w:val="left" w:pos="3370"/>
        </w:tabs>
        <w:spacing w:line="240" w:lineRule="auto"/>
        <w:jc w:val="right"/>
        <w:rPr>
          <w:rFonts w:ascii="Times New Roman" w:hAnsi="Times New Roman" w:cs="Times New Roman"/>
          <w:sz w:val="28"/>
          <w:szCs w:val="22"/>
        </w:rPr>
      </w:pPr>
      <w:r w:rsidRPr="00C3160D">
        <w:rPr>
          <w:rFonts w:ascii="Times New Roman" w:hAnsi="Times New Roman" w:cs="Times New Roman"/>
          <w:sz w:val="28"/>
          <w:szCs w:val="22"/>
        </w:rPr>
        <w:t>MAHAVIR TYAGI,</w:t>
      </w:r>
    </w:p>
    <w:p w14:paraId="67C7F610" w14:textId="77777777" w:rsidR="00097251" w:rsidRPr="00C3160D" w:rsidRDefault="00097251" w:rsidP="00C3160D">
      <w:pPr>
        <w:tabs>
          <w:tab w:val="left" w:pos="3370"/>
        </w:tabs>
        <w:spacing w:line="240" w:lineRule="auto"/>
        <w:jc w:val="right"/>
        <w:rPr>
          <w:rFonts w:ascii="Times New Roman" w:hAnsi="Times New Roman" w:cs="Times New Roman"/>
          <w:i/>
          <w:iCs/>
          <w:sz w:val="28"/>
          <w:szCs w:val="22"/>
        </w:rPr>
      </w:pPr>
      <w:r w:rsidRPr="00C3160D">
        <w:rPr>
          <w:rFonts w:ascii="Times New Roman" w:hAnsi="Times New Roman" w:cs="Times New Roman"/>
          <w:i/>
          <w:iCs/>
          <w:sz w:val="28"/>
          <w:szCs w:val="22"/>
        </w:rPr>
        <w:t>Chairman.</w:t>
      </w:r>
    </w:p>
    <w:p w14:paraId="5D8D5476" w14:textId="77777777" w:rsidR="00097251" w:rsidRPr="00C3160D" w:rsidRDefault="00097251" w:rsidP="00C3160D">
      <w:pPr>
        <w:tabs>
          <w:tab w:val="left" w:pos="3370"/>
        </w:tabs>
        <w:spacing w:line="240" w:lineRule="auto"/>
        <w:jc w:val="right"/>
        <w:rPr>
          <w:rFonts w:ascii="Times New Roman" w:hAnsi="Times New Roman" w:cs="Times New Roman"/>
          <w:sz w:val="28"/>
          <w:szCs w:val="22"/>
        </w:rPr>
      </w:pPr>
      <w:r w:rsidRPr="00C3160D">
        <w:rPr>
          <w:rFonts w:ascii="Times New Roman" w:hAnsi="Times New Roman" w:cs="Times New Roman"/>
          <w:sz w:val="28"/>
          <w:szCs w:val="22"/>
        </w:rPr>
        <w:t>P. C. BHATTACHARYYA,</w:t>
      </w:r>
    </w:p>
    <w:p w14:paraId="11EE2822" w14:textId="77777777" w:rsidR="00097251" w:rsidRPr="00C3160D" w:rsidRDefault="00097251" w:rsidP="00C3160D">
      <w:pPr>
        <w:tabs>
          <w:tab w:val="left" w:pos="3370"/>
        </w:tabs>
        <w:spacing w:line="240" w:lineRule="auto"/>
        <w:jc w:val="right"/>
        <w:rPr>
          <w:rFonts w:ascii="Times New Roman" w:hAnsi="Times New Roman" w:cs="Times New Roman"/>
          <w:i/>
          <w:iCs/>
          <w:sz w:val="28"/>
          <w:szCs w:val="22"/>
        </w:rPr>
      </w:pPr>
      <w:r w:rsidRPr="00C3160D">
        <w:rPr>
          <w:rFonts w:ascii="Times New Roman" w:hAnsi="Times New Roman" w:cs="Times New Roman"/>
          <w:i/>
          <w:iCs/>
          <w:sz w:val="28"/>
          <w:szCs w:val="22"/>
        </w:rPr>
        <w:t>Member.</w:t>
      </w:r>
    </w:p>
    <w:p w14:paraId="55D48BF8" w14:textId="77777777" w:rsidR="00097251" w:rsidRPr="00C3160D" w:rsidRDefault="00097251" w:rsidP="00C3160D">
      <w:pPr>
        <w:tabs>
          <w:tab w:val="left" w:pos="3370"/>
        </w:tabs>
        <w:spacing w:line="240" w:lineRule="auto"/>
        <w:jc w:val="right"/>
        <w:rPr>
          <w:rFonts w:ascii="Times New Roman" w:hAnsi="Times New Roman" w:cs="Times New Roman"/>
          <w:sz w:val="28"/>
          <w:szCs w:val="22"/>
        </w:rPr>
      </w:pPr>
      <w:r w:rsidRPr="00C3160D">
        <w:rPr>
          <w:rFonts w:ascii="Times New Roman" w:hAnsi="Times New Roman" w:cs="Times New Roman"/>
          <w:sz w:val="28"/>
          <w:szCs w:val="22"/>
        </w:rPr>
        <w:t>M. SESHACHELAPATI,</w:t>
      </w:r>
    </w:p>
    <w:p w14:paraId="560A8D6C" w14:textId="77777777" w:rsidR="00097251" w:rsidRPr="00C3160D" w:rsidRDefault="00097251" w:rsidP="00C3160D">
      <w:pPr>
        <w:tabs>
          <w:tab w:val="left" w:pos="3370"/>
        </w:tabs>
        <w:spacing w:line="240" w:lineRule="auto"/>
        <w:jc w:val="right"/>
        <w:rPr>
          <w:rFonts w:ascii="Times New Roman" w:hAnsi="Times New Roman" w:cs="Times New Roman"/>
          <w:i/>
          <w:iCs/>
          <w:sz w:val="28"/>
          <w:szCs w:val="22"/>
        </w:rPr>
      </w:pPr>
      <w:r w:rsidRPr="00C3160D">
        <w:rPr>
          <w:rFonts w:ascii="Times New Roman" w:hAnsi="Times New Roman" w:cs="Times New Roman"/>
          <w:i/>
          <w:iCs/>
          <w:sz w:val="28"/>
          <w:szCs w:val="22"/>
        </w:rPr>
        <w:t>Member.</w:t>
      </w:r>
    </w:p>
    <w:p w14:paraId="5092B638" w14:textId="77777777" w:rsidR="00097251" w:rsidRPr="00C3160D" w:rsidRDefault="00097251" w:rsidP="00C3160D">
      <w:pPr>
        <w:tabs>
          <w:tab w:val="left" w:pos="3370"/>
        </w:tabs>
        <w:spacing w:line="240" w:lineRule="auto"/>
        <w:jc w:val="right"/>
        <w:rPr>
          <w:rFonts w:ascii="Times New Roman" w:hAnsi="Times New Roman" w:cs="Times New Roman"/>
          <w:sz w:val="28"/>
          <w:szCs w:val="22"/>
        </w:rPr>
      </w:pPr>
      <w:r w:rsidRPr="00C3160D">
        <w:rPr>
          <w:rFonts w:ascii="Times New Roman" w:hAnsi="Times New Roman" w:cs="Times New Roman"/>
          <w:sz w:val="28"/>
          <w:szCs w:val="22"/>
        </w:rPr>
        <w:t>D. T. LAKDAWALA,</w:t>
      </w:r>
    </w:p>
    <w:p w14:paraId="27655EBB" w14:textId="77777777" w:rsidR="00097251" w:rsidRPr="00C3160D" w:rsidRDefault="00097251" w:rsidP="00C3160D">
      <w:pPr>
        <w:tabs>
          <w:tab w:val="left" w:pos="3370"/>
        </w:tabs>
        <w:spacing w:line="240" w:lineRule="auto"/>
        <w:jc w:val="right"/>
        <w:rPr>
          <w:rFonts w:ascii="Times New Roman" w:hAnsi="Times New Roman" w:cs="Times New Roman"/>
          <w:i/>
          <w:iCs/>
          <w:sz w:val="28"/>
          <w:szCs w:val="22"/>
        </w:rPr>
      </w:pPr>
      <w:r w:rsidRPr="00C3160D">
        <w:rPr>
          <w:rFonts w:ascii="Times New Roman" w:hAnsi="Times New Roman" w:cs="Times New Roman"/>
          <w:i/>
          <w:iCs/>
          <w:sz w:val="28"/>
          <w:szCs w:val="22"/>
        </w:rPr>
        <w:t>Member.</w:t>
      </w:r>
    </w:p>
    <w:p w14:paraId="70E3B10E" w14:textId="77777777" w:rsidR="00097251" w:rsidRPr="00C3160D" w:rsidRDefault="00097251" w:rsidP="00C3160D">
      <w:pPr>
        <w:tabs>
          <w:tab w:val="left" w:pos="3370"/>
        </w:tabs>
        <w:spacing w:line="240" w:lineRule="auto"/>
        <w:jc w:val="right"/>
        <w:rPr>
          <w:rFonts w:ascii="Times New Roman" w:hAnsi="Times New Roman" w:cs="Times New Roman"/>
          <w:sz w:val="28"/>
          <w:szCs w:val="22"/>
        </w:rPr>
      </w:pPr>
      <w:r w:rsidRPr="00C3160D">
        <w:rPr>
          <w:rFonts w:ascii="Times New Roman" w:hAnsi="Times New Roman" w:cs="Times New Roman"/>
          <w:sz w:val="28"/>
          <w:szCs w:val="22"/>
        </w:rPr>
        <w:t>V. L. GIDWANI,</w:t>
      </w:r>
    </w:p>
    <w:p w14:paraId="6A0C677C" w14:textId="77777777" w:rsidR="00097251" w:rsidRPr="00C3160D" w:rsidRDefault="00097251" w:rsidP="00C3160D">
      <w:pPr>
        <w:tabs>
          <w:tab w:val="left" w:pos="3370"/>
        </w:tabs>
        <w:spacing w:line="240" w:lineRule="auto"/>
        <w:jc w:val="right"/>
        <w:rPr>
          <w:rFonts w:ascii="Times New Roman" w:hAnsi="Times New Roman" w:cs="Times New Roman"/>
          <w:i/>
          <w:iCs/>
          <w:sz w:val="28"/>
          <w:szCs w:val="22"/>
        </w:rPr>
      </w:pPr>
      <w:r w:rsidRPr="00C3160D">
        <w:rPr>
          <w:rFonts w:ascii="Times New Roman" w:hAnsi="Times New Roman" w:cs="Times New Roman"/>
          <w:i/>
          <w:iCs/>
          <w:sz w:val="28"/>
          <w:szCs w:val="22"/>
        </w:rPr>
        <w:t>Member-Secretary.</w:t>
      </w:r>
    </w:p>
    <w:p w14:paraId="78EAF48F" w14:textId="77777777" w:rsidR="00097251" w:rsidRPr="00C3160D" w:rsidRDefault="00097251" w:rsidP="00C3160D">
      <w:pPr>
        <w:tabs>
          <w:tab w:val="left" w:pos="3370"/>
        </w:tabs>
        <w:spacing w:line="240" w:lineRule="auto"/>
        <w:rPr>
          <w:rFonts w:ascii="Times New Roman" w:hAnsi="Times New Roman" w:cs="Times New Roman"/>
          <w:sz w:val="28"/>
          <w:szCs w:val="22"/>
        </w:rPr>
      </w:pPr>
      <w:r w:rsidRPr="00C3160D">
        <w:rPr>
          <w:rFonts w:ascii="Times New Roman" w:hAnsi="Times New Roman" w:cs="Times New Roman"/>
          <w:sz w:val="28"/>
          <w:szCs w:val="22"/>
        </w:rPr>
        <w:t>NEW DELHI,</w:t>
      </w:r>
    </w:p>
    <w:p w14:paraId="68B4FD18" w14:textId="77777777" w:rsidR="00097251" w:rsidRPr="00C3160D" w:rsidRDefault="00097251" w:rsidP="00C3160D">
      <w:pPr>
        <w:tabs>
          <w:tab w:val="left" w:pos="3370"/>
        </w:tabs>
        <w:spacing w:line="240" w:lineRule="auto"/>
        <w:jc w:val="both"/>
        <w:rPr>
          <w:rFonts w:ascii="Times New Roman" w:hAnsi="Times New Roman" w:cs="Times New Roman"/>
          <w:i/>
          <w:iCs/>
          <w:sz w:val="28"/>
          <w:szCs w:val="22"/>
        </w:rPr>
      </w:pPr>
      <w:r w:rsidRPr="00C3160D">
        <w:rPr>
          <w:rFonts w:ascii="Times New Roman" w:hAnsi="Times New Roman" w:cs="Times New Roman"/>
          <w:i/>
          <w:iCs/>
          <w:sz w:val="28"/>
          <w:szCs w:val="22"/>
        </w:rPr>
        <w:t>October 31, 1968.</w:t>
      </w:r>
    </w:p>
    <w:p w14:paraId="7C2DFE1F" w14:textId="32C102D5" w:rsidR="00777994" w:rsidRDefault="00777994" w:rsidP="00C3160D">
      <w:pPr>
        <w:rPr>
          <w:rFonts w:ascii="Times New Roman" w:hAnsi="Times New Roman" w:cs="Times New Roman"/>
          <w:sz w:val="96"/>
          <w:szCs w:val="96"/>
        </w:rPr>
      </w:pPr>
    </w:p>
    <w:p w14:paraId="7605B43A" w14:textId="0E20C6EE" w:rsidR="00C3160D" w:rsidRPr="007245B0" w:rsidRDefault="00C3160D" w:rsidP="00C3160D">
      <w:pPr>
        <w:rPr>
          <w:rFonts w:ascii="Times New Roman" w:hAnsi="Times New Roman" w:cs="Times New Roman"/>
          <w:sz w:val="96"/>
          <w:szCs w:val="96"/>
        </w:rPr>
      </w:pPr>
      <w:r>
        <w:rPr>
          <w:rFonts w:ascii="Times New Roman" w:hAnsi="Times New Roman" w:cs="Times New Roman"/>
          <w:sz w:val="96"/>
          <w:szCs w:val="96"/>
        </w:rPr>
        <w:t>___________________</w:t>
      </w:r>
    </w:p>
    <w:p w14:paraId="66FC51DE" w14:textId="3AF5A0FE" w:rsidR="00777994" w:rsidRDefault="00777994" w:rsidP="00D43584">
      <w:pPr>
        <w:pStyle w:val="Heading1"/>
        <w:numPr>
          <w:ilvl w:val="0"/>
          <w:numId w:val="0"/>
        </w:numPr>
      </w:pPr>
      <w:bookmarkStart w:id="246" w:name="_Toc220949753"/>
      <w:bookmarkStart w:id="247" w:name="_Toc221115378"/>
      <w:r w:rsidRPr="007245B0">
        <w:t>APPENDICES</w:t>
      </w:r>
      <w:bookmarkEnd w:id="246"/>
      <w:bookmarkEnd w:id="247"/>
    </w:p>
    <w:p w14:paraId="2BDEFA5B" w14:textId="3257515B" w:rsidR="00C3160D" w:rsidRPr="007245B0" w:rsidRDefault="00C3160D" w:rsidP="00777994">
      <w:pPr>
        <w:tabs>
          <w:tab w:val="left" w:pos="3370"/>
        </w:tabs>
        <w:jc w:val="center"/>
        <w:rPr>
          <w:rFonts w:ascii="Times New Roman" w:hAnsi="Times New Roman" w:cs="Times New Roman"/>
          <w:sz w:val="96"/>
          <w:szCs w:val="96"/>
        </w:rPr>
      </w:pPr>
      <w:r>
        <w:rPr>
          <w:rFonts w:ascii="Times New Roman" w:hAnsi="Times New Roman" w:cs="Times New Roman"/>
          <w:sz w:val="96"/>
          <w:szCs w:val="96"/>
        </w:rPr>
        <w:t>___________________</w:t>
      </w:r>
    </w:p>
    <w:p w14:paraId="326A7B17" w14:textId="77777777" w:rsidR="004E4F05" w:rsidRPr="007245B0" w:rsidRDefault="004E4F05" w:rsidP="00566222">
      <w:pPr>
        <w:tabs>
          <w:tab w:val="left" w:pos="3143"/>
        </w:tabs>
        <w:rPr>
          <w:rFonts w:ascii="Times New Roman" w:hAnsi="Times New Roman" w:cs="Times New Roman"/>
          <w:i/>
          <w:iCs/>
          <w:szCs w:val="24"/>
        </w:rPr>
      </w:pPr>
    </w:p>
    <w:p w14:paraId="0412B84B" w14:textId="77777777" w:rsidR="00777994" w:rsidRPr="007245B0" w:rsidRDefault="00777994" w:rsidP="00777994">
      <w:pPr>
        <w:rPr>
          <w:rFonts w:ascii="Times New Roman" w:hAnsi="Times New Roman" w:cs="Times New Roman"/>
          <w:szCs w:val="24"/>
        </w:rPr>
      </w:pPr>
    </w:p>
    <w:p w14:paraId="4A22741E" w14:textId="77777777" w:rsidR="00777994" w:rsidRPr="007245B0" w:rsidRDefault="00777994" w:rsidP="00777994">
      <w:pPr>
        <w:rPr>
          <w:rFonts w:ascii="Times New Roman" w:hAnsi="Times New Roman" w:cs="Times New Roman"/>
          <w:szCs w:val="24"/>
        </w:rPr>
      </w:pPr>
    </w:p>
    <w:p w14:paraId="31E42B1B" w14:textId="77777777" w:rsidR="00777994" w:rsidRPr="007245B0" w:rsidRDefault="00777994" w:rsidP="00777994">
      <w:pPr>
        <w:rPr>
          <w:rFonts w:ascii="Times New Roman" w:hAnsi="Times New Roman" w:cs="Times New Roman"/>
          <w:szCs w:val="24"/>
        </w:rPr>
      </w:pPr>
    </w:p>
    <w:p w14:paraId="22B67952" w14:textId="77777777" w:rsidR="00777994" w:rsidRPr="007245B0" w:rsidRDefault="00777994" w:rsidP="00777994">
      <w:pPr>
        <w:rPr>
          <w:rFonts w:ascii="Times New Roman" w:hAnsi="Times New Roman" w:cs="Times New Roman"/>
          <w:szCs w:val="24"/>
        </w:rPr>
      </w:pPr>
    </w:p>
    <w:p w14:paraId="6BF92257" w14:textId="77777777" w:rsidR="00777994" w:rsidRPr="007245B0" w:rsidRDefault="00777994" w:rsidP="00777994">
      <w:pPr>
        <w:rPr>
          <w:rFonts w:ascii="Times New Roman" w:hAnsi="Times New Roman" w:cs="Times New Roman"/>
          <w:szCs w:val="24"/>
        </w:rPr>
      </w:pPr>
    </w:p>
    <w:p w14:paraId="641CE8FA" w14:textId="77777777" w:rsidR="00777994" w:rsidRPr="007245B0" w:rsidRDefault="00777994" w:rsidP="00777994">
      <w:pPr>
        <w:rPr>
          <w:rFonts w:ascii="Times New Roman" w:hAnsi="Times New Roman" w:cs="Times New Roman"/>
          <w:szCs w:val="24"/>
        </w:rPr>
      </w:pPr>
    </w:p>
    <w:p w14:paraId="7F35F254" w14:textId="77777777" w:rsidR="00777994" w:rsidRPr="007245B0" w:rsidRDefault="00777994" w:rsidP="00777994">
      <w:pPr>
        <w:rPr>
          <w:rFonts w:ascii="Times New Roman" w:hAnsi="Times New Roman" w:cs="Times New Roman"/>
          <w:i/>
          <w:iCs/>
          <w:szCs w:val="24"/>
        </w:rPr>
      </w:pPr>
    </w:p>
    <w:p w14:paraId="03273FBC" w14:textId="5CEA6342" w:rsidR="00777994" w:rsidRPr="007245B0" w:rsidRDefault="00777994" w:rsidP="00777994">
      <w:pPr>
        <w:tabs>
          <w:tab w:val="left" w:pos="2816"/>
        </w:tabs>
        <w:rPr>
          <w:rFonts w:ascii="Times New Roman" w:hAnsi="Times New Roman" w:cs="Times New Roman"/>
          <w:szCs w:val="24"/>
        </w:rPr>
      </w:pPr>
      <w:r w:rsidRPr="007245B0">
        <w:rPr>
          <w:rFonts w:ascii="Times New Roman" w:hAnsi="Times New Roman" w:cs="Times New Roman"/>
          <w:szCs w:val="24"/>
        </w:rPr>
        <w:tab/>
      </w:r>
    </w:p>
    <w:p w14:paraId="26EEBC3C" w14:textId="77777777" w:rsidR="00777994" w:rsidRPr="007245B0" w:rsidRDefault="00777994">
      <w:pPr>
        <w:rPr>
          <w:rFonts w:ascii="Times New Roman" w:hAnsi="Times New Roman" w:cs="Times New Roman"/>
          <w:szCs w:val="24"/>
        </w:rPr>
      </w:pPr>
      <w:r w:rsidRPr="007245B0">
        <w:rPr>
          <w:rFonts w:ascii="Times New Roman" w:hAnsi="Times New Roman" w:cs="Times New Roman"/>
          <w:szCs w:val="24"/>
        </w:rPr>
        <w:br w:type="page"/>
      </w:r>
    </w:p>
    <w:p w14:paraId="52C4A492" w14:textId="54106C9A" w:rsidR="006E5AB0" w:rsidRPr="007245B0" w:rsidRDefault="006E5AB0">
      <w:pPr>
        <w:rPr>
          <w:rFonts w:ascii="Times New Roman" w:hAnsi="Times New Roman" w:cs="Times New Roman"/>
          <w:szCs w:val="24"/>
        </w:rPr>
      </w:pPr>
      <w:r w:rsidRPr="007245B0">
        <w:rPr>
          <w:rFonts w:ascii="Times New Roman" w:hAnsi="Times New Roman" w:cs="Times New Roman"/>
          <w:szCs w:val="24"/>
        </w:rPr>
        <w:lastRenderedPageBreak/>
        <w:br w:type="page"/>
      </w:r>
    </w:p>
    <w:p w14:paraId="72BBB53A" w14:textId="58E20775" w:rsidR="006E5AB0" w:rsidRDefault="006E5AB0" w:rsidP="00D43584">
      <w:pPr>
        <w:pStyle w:val="Heading2"/>
      </w:pPr>
      <w:bookmarkStart w:id="248" w:name="_Toc220949754"/>
      <w:bookmarkStart w:id="249" w:name="_Toc221115379"/>
      <w:r w:rsidRPr="00D43584">
        <w:lastRenderedPageBreak/>
        <w:t>APPENDIX</w:t>
      </w:r>
      <w:r w:rsidR="00D43584">
        <w:t xml:space="preserve"> I (a): </w:t>
      </w:r>
      <w:r w:rsidR="00D43584">
        <w:br/>
      </w:r>
      <w:r w:rsidRPr="00D43584">
        <w:t>DATES OF DISCUSSIONS WITH STATE GOVERNMENTS</w:t>
      </w:r>
      <w:bookmarkEnd w:id="248"/>
      <w:bookmarkEnd w:id="249"/>
    </w:p>
    <w:p w14:paraId="7BBD522F" w14:textId="77777777" w:rsidR="00D43584" w:rsidRPr="00D43584" w:rsidRDefault="00D43584" w:rsidP="00D43584">
      <w:pPr>
        <w:jc w:val="center"/>
        <w:rPr>
          <w:rFonts w:ascii="Times New Roman" w:hAnsi="Times New Roman" w:cs="Times New Roman"/>
          <w:b/>
          <w:bCs/>
          <w:szCs w:val="24"/>
        </w:rPr>
      </w:pPr>
      <w:r w:rsidRPr="00D43584">
        <w:rPr>
          <w:rFonts w:ascii="Times New Roman" w:hAnsi="Times New Roman" w:cs="Times New Roman"/>
          <w:b/>
          <w:bCs/>
          <w:szCs w:val="24"/>
        </w:rPr>
        <w:t>(See Paragraph 2)</w:t>
      </w:r>
    </w:p>
    <w:p w14:paraId="63ACEAEC" w14:textId="77777777" w:rsidR="00D43584" w:rsidRPr="00D43584" w:rsidRDefault="00D43584" w:rsidP="006E5AB0">
      <w:pPr>
        <w:jc w:val="center"/>
        <w:rPr>
          <w:rFonts w:ascii="Times New Roman" w:hAnsi="Times New Roman" w:cs="Times New Roman"/>
          <w:b/>
          <w:bCs/>
          <w:szCs w:val="24"/>
        </w:rPr>
      </w:pPr>
    </w:p>
    <w:tbl>
      <w:tblPr>
        <w:tblStyle w:val="TableGrid"/>
        <w:tblW w:w="7505" w:type="dxa"/>
        <w:jc w:val="center"/>
        <w:tblLook w:val="04A0" w:firstRow="1" w:lastRow="0" w:firstColumn="1" w:lastColumn="0" w:noHBand="0" w:noVBand="1"/>
      </w:tblPr>
      <w:tblGrid>
        <w:gridCol w:w="3367"/>
        <w:gridCol w:w="4138"/>
      </w:tblGrid>
      <w:tr w:rsidR="006E5AB0" w:rsidRPr="00D43584" w14:paraId="1831665C" w14:textId="77777777" w:rsidTr="00D43584">
        <w:trPr>
          <w:trHeight w:val="505"/>
          <w:jc w:val="center"/>
        </w:trPr>
        <w:tc>
          <w:tcPr>
            <w:tcW w:w="0" w:type="auto"/>
            <w:hideMark/>
          </w:tcPr>
          <w:p w14:paraId="2624683C" w14:textId="77777777" w:rsidR="006E5AB0" w:rsidRPr="00D43584" w:rsidRDefault="006E5AB0" w:rsidP="00B77C0B">
            <w:pPr>
              <w:spacing w:after="160" w:line="278" w:lineRule="auto"/>
              <w:rPr>
                <w:rFonts w:ascii="Times New Roman" w:hAnsi="Times New Roman" w:cs="Times New Roman"/>
                <w:b/>
                <w:bCs/>
                <w:szCs w:val="24"/>
              </w:rPr>
            </w:pPr>
            <w:r w:rsidRPr="00D43584">
              <w:rPr>
                <w:rFonts w:ascii="Times New Roman" w:hAnsi="Times New Roman" w:cs="Times New Roman"/>
                <w:b/>
                <w:bCs/>
                <w:szCs w:val="24"/>
              </w:rPr>
              <w:t>States</w:t>
            </w:r>
          </w:p>
        </w:tc>
        <w:tc>
          <w:tcPr>
            <w:tcW w:w="0" w:type="auto"/>
            <w:vAlign w:val="center"/>
            <w:hideMark/>
          </w:tcPr>
          <w:p w14:paraId="5DBF8A81" w14:textId="77777777" w:rsidR="006E5AB0" w:rsidRPr="00D43584" w:rsidRDefault="006E5AB0" w:rsidP="00D43584">
            <w:pPr>
              <w:spacing w:after="160" w:line="278" w:lineRule="auto"/>
              <w:jc w:val="center"/>
              <w:rPr>
                <w:rFonts w:ascii="Times New Roman" w:hAnsi="Times New Roman" w:cs="Times New Roman"/>
                <w:b/>
                <w:bCs/>
                <w:szCs w:val="24"/>
              </w:rPr>
            </w:pPr>
            <w:r w:rsidRPr="00D43584">
              <w:rPr>
                <w:rFonts w:ascii="Times New Roman" w:hAnsi="Times New Roman" w:cs="Times New Roman"/>
                <w:b/>
                <w:bCs/>
                <w:szCs w:val="24"/>
              </w:rPr>
              <w:t>Dates of Discussions</w:t>
            </w:r>
          </w:p>
        </w:tc>
      </w:tr>
      <w:tr w:rsidR="006E5AB0" w:rsidRPr="00D43584" w14:paraId="03B2F9B8" w14:textId="77777777" w:rsidTr="00D43584">
        <w:trPr>
          <w:trHeight w:val="491"/>
          <w:jc w:val="center"/>
        </w:trPr>
        <w:tc>
          <w:tcPr>
            <w:tcW w:w="0" w:type="auto"/>
            <w:hideMark/>
          </w:tcPr>
          <w:p w14:paraId="3A3095B0" w14:textId="77777777" w:rsidR="006E5AB0" w:rsidRPr="00D43584" w:rsidRDefault="006E5AB0" w:rsidP="00B77C0B">
            <w:pPr>
              <w:spacing w:after="160" w:line="278" w:lineRule="auto"/>
              <w:rPr>
                <w:rFonts w:ascii="Times New Roman" w:hAnsi="Times New Roman" w:cs="Times New Roman"/>
                <w:szCs w:val="24"/>
              </w:rPr>
            </w:pPr>
            <w:r w:rsidRPr="00D43584">
              <w:rPr>
                <w:rFonts w:ascii="Times New Roman" w:hAnsi="Times New Roman" w:cs="Times New Roman"/>
                <w:szCs w:val="24"/>
              </w:rPr>
              <w:t>1. Andhra Pradesh</w:t>
            </w:r>
          </w:p>
        </w:tc>
        <w:tc>
          <w:tcPr>
            <w:tcW w:w="0" w:type="auto"/>
            <w:vAlign w:val="center"/>
            <w:hideMark/>
          </w:tcPr>
          <w:p w14:paraId="74EB589A" w14:textId="77777777" w:rsidR="006E5AB0" w:rsidRPr="00D43584" w:rsidRDefault="006E5AB0" w:rsidP="00D43584">
            <w:pPr>
              <w:spacing w:after="160" w:line="278" w:lineRule="auto"/>
              <w:jc w:val="center"/>
              <w:rPr>
                <w:rFonts w:ascii="Times New Roman" w:hAnsi="Times New Roman" w:cs="Times New Roman"/>
                <w:szCs w:val="24"/>
              </w:rPr>
            </w:pPr>
            <w:r w:rsidRPr="00D43584">
              <w:rPr>
                <w:rFonts w:ascii="Times New Roman" w:hAnsi="Times New Roman" w:cs="Times New Roman"/>
                <w:szCs w:val="24"/>
              </w:rPr>
              <w:t>17th and 18th June, 1968.</w:t>
            </w:r>
          </w:p>
        </w:tc>
      </w:tr>
      <w:tr w:rsidR="006E5AB0" w:rsidRPr="00D43584" w14:paraId="586D805A" w14:textId="77777777" w:rsidTr="00D43584">
        <w:trPr>
          <w:trHeight w:val="505"/>
          <w:jc w:val="center"/>
        </w:trPr>
        <w:tc>
          <w:tcPr>
            <w:tcW w:w="0" w:type="auto"/>
            <w:hideMark/>
          </w:tcPr>
          <w:p w14:paraId="0422BF5F" w14:textId="77777777" w:rsidR="006E5AB0" w:rsidRPr="00D43584" w:rsidRDefault="006E5AB0" w:rsidP="00B77C0B">
            <w:pPr>
              <w:spacing w:after="160" w:line="278" w:lineRule="auto"/>
              <w:rPr>
                <w:rFonts w:ascii="Times New Roman" w:hAnsi="Times New Roman" w:cs="Times New Roman"/>
                <w:szCs w:val="24"/>
              </w:rPr>
            </w:pPr>
            <w:r w:rsidRPr="00D43584">
              <w:rPr>
                <w:rFonts w:ascii="Times New Roman" w:hAnsi="Times New Roman" w:cs="Times New Roman"/>
                <w:szCs w:val="24"/>
              </w:rPr>
              <w:t>2. Assam</w:t>
            </w:r>
          </w:p>
        </w:tc>
        <w:tc>
          <w:tcPr>
            <w:tcW w:w="0" w:type="auto"/>
            <w:vAlign w:val="center"/>
            <w:hideMark/>
          </w:tcPr>
          <w:p w14:paraId="4414437A" w14:textId="77777777" w:rsidR="006E5AB0" w:rsidRPr="00D43584" w:rsidRDefault="006E5AB0" w:rsidP="00D43584">
            <w:pPr>
              <w:spacing w:after="160" w:line="278" w:lineRule="auto"/>
              <w:jc w:val="center"/>
              <w:rPr>
                <w:rFonts w:ascii="Times New Roman" w:hAnsi="Times New Roman" w:cs="Times New Roman"/>
                <w:szCs w:val="24"/>
              </w:rPr>
            </w:pPr>
            <w:r w:rsidRPr="00D43584">
              <w:rPr>
                <w:rFonts w:ascii="Times New Roman" w:hAnsi="Times New Roman" w:cs="Times New Roman"/>
                <w:szCs w:val="24"/>
              </w:rPr>
              <w:t>24th and 25th June, 1968.</w:t>
            </w:r>
          </w:p>
        </w:tc>
      </w:tr>
      <w:tr w:rsidR="006E5AB0" w:rsidRPr="00D43584" w14:paraId="1C61B4F2" w14:textId="77777777" w:rsidTr="00D43584">
        <w:trPr>
          <w:trHeight w:val="505"/>
          <w:jc w:val="center"/>
        </w:trPr>
        <w:tc>
          <w:tcPr>
            <w:tcW w:w="0" w:type="auto"/>
            <w:hideMark/>
          </w:tcPr>
          <w:p w14:paraId="7BE1DF26" w14:textId="77777777" w:rsidR="006E5AB0" w:rsidRPr="00D43584" w:rsidRDefault="006E5AB0" w:rsidP="00B77C0B">
            <w:pPr>
              <w:spacing w:after="160" w:line="278" w:lineRule="auto"/>
              <w:rPr>
                <w:rFonts w:ascii="Times New Roman" w:hAnsi="Times New Roman" w:cs="Times New Roman"/>
                <w:szCs w:val="24"/>
              </w:rPr>
            </w:pPr>
            <w:r w:rsidRPr="00D43584">
              <w:rPr>
                <w:rFonts w:ascii="Times New Roman" w:hAnsi="Times New Roman" w:cs="Times New Roman"/>
                <w:szCs w:val="24"/>
              </w:rPr>
              <w:t>3. Jammu and Kashmir</w:t>
            </w:r>
          </w:p>
        </w:tc>
        <w:tc>
          <w:tcPr>
            <w:tcW w:w="0" w:type="auto"/>
            <w:vAlign w:val="center"/>
            <w:hideMark/>
          </w:tcPr>
          <w:p w14:paraId="233AA892" w14:textId="77777777" w:rsidR="006E5AB0" w:rsidRPr="00D43584" w:rsidRDefault="006E5AB0" w:rsidP="00D43584">
            <w:pPr>
              <w:spacing w:after="160" w:line="278" w:lineRule="auto"/>
              <w:jc w:val="center"/>
              <w:rPr>
                <w:rFonts w:ascii="Times New Roman" w:hAnsi="Times New Roman" w:cs="Times New Roman"/>
                <w:szCs w:val="24"/>
              </w:rPr>
            </w:pPr>
            <w:r w:rsidRPr="00D43584">
              <w:rPr>
                <w:rFonts w:ascii="Times New Roman" w:hAnsi="Times New Roman" w:cs="Times New Roman"/>
                <w:szCs w:val="24"/>
              </w:rPr>
              <w:t>1st July, 1968*</w:t>
            </w:r>
          </w:p>
        </w:tc>
      </w:tr>
      <w:tr w:rsidR="006E5AB0" w:rsidRPr="00D43584" w14:paraId="0A568C5C" w14:textId="77777777" w:rsidTr="00D43584">
        <w:trPr>
          <w:trHeight w:val="491"/>
          <w:jc w:val="center"/>
        </w:trPr>
        <w:tc>
          <w:tcPr>
            <w:tcW w:w="0" w:type="auto"/>
            <w:hideMark/>
          </w:tcPr>
          <w:p w14:paraId="6B675B76" w14:textId="77777777" w:rsidR="006E5AB0" w:rsidRPr="00D43584" w:rsidRDefault="006E5AB0" w:rsidP="00B77C0B">
            <w:pPr>
              <w:spacing w:after="160" w:line="278" w:lineRule="auto"/>
              <w:rPr>
                <w:rFonts w:ascii="Times New Roman" w:hAnsi="Times New Roman" w:cs="Times New Roman"/>
                <w:szCs w:val="24"/>
              </w:rPr>
            </w:pPr>
            <w:r w:rsidRPr="00D43584">
              <w:rPr>
                <w:rFonts w:ascii="Times New Roman" w:hAnsi="Times New Roman" w:cs="Times New Roman"/>
                <w:szCs w:val="24"/>
              </w:rPr>
              <w:t>4. Kerala</w:t>
            </w:r>
          </w:p>
        </w:tc>
        <w:tc>
          <w:tcPr>
            <w:tcW w:w="0" w:type="auto"/>
            <w:vAlign w:val="center"/>
            <w:hideMark/>
          </w:tcPr>
          <w:p w14:paraId="772CBCDE" w14:textId="77777777" w:rsidR="006E5AB0" w:rsidRPr="00D43584" w:rsidRDefault="006E5AB0" w:rsidP="00D43584">
            <w:pPr>
              <w:spacing w:after="160" w:line="278" w:lineRule="auto"/>
              <w:jc w:val="center"/>
              <w:rPr>
                <w:rFonts w:ascii="Times New Roman" w:hAnsi="Times New Roman" w:cs="Times New Roman"/>
                <w:szCs w:val="24"/>
              </w:rPr>
            </w:pPr>
            <w:r w:rsidRPr="00D43584">
              <w:rPr>
                <w:rFonts w:ascii="Times New Roman" w:hAnsi="Times New Roman" w:cs="Times New Roman"/>
                <w:szCs w:val="24"/>
              </w:rPr>
              <w:t>2nd and 3rd July, 1968.</w:t>
            </w:r>
          </w:p>
        </w:tc>
      </w:tr>
      <w:tr w:rsidR="006E5AB0" w:rsidRPr="00D43584" w14:paraId="6F19FD95" w14:textId="77777777" w:rsidTr="00D43584">
        <w:trPr>
          <w:trHeight w:val="505"/>
          <w:jc w:val="center"/>
        </w:trPr>
        <w:tc>
          <w:tcPr>
            <w:tcW w:w="0" w:type="auto"/>
            <w:hideMark/>
          </w:tcPr>
          <w:p w14:paraId="355354B4" w14:textId="77777777" w:rsidR="006E5AB0" w:rsidRPr="00D43584" w:rsidRDefault="006E5AB0" w:rsidP="00B77C0B">
            <w:pPr>
              <w:spacing w:after="160" w:line="278" w:lineRule="auto"/>
              <w:rPr>
                <w:rFonts w:ascii="Times New Roman" w:hAnsi="Times New Roman" w:cs="Times New Roman"/>
                <w:szCs w:val="24"/>
              </w:rPr>
            </w:pPr>
            <w:r w:rsidRPr="00D43584">
              <w:rPr>
                <w:rFonts w:ascii="Times New Roman" w:hAnsi="Times New Roman" w:cs="Times New Roman"/>
                <w:szCs w:val="24"/>
              </w:rPr>
              <w:t>5. Gujarat</w:t>
            </w:r>
          </w:p>
        </w:tc>
        <w:tc>
          <w:tcPr>
            <w:tcW w:w="0" w:type="auto"/>
            <w:vAlign w:val="center"/>
            <w:hideMark/>
          </w:tcPr>
          <w:p w14:paraId="58E54878" w14:textId="77777777" w:rsidR="006E5AB0" w:rsidRPr="00D43584" w:rsidRDefault="006E5AB0" w:rsidP="00D43584">
            <w:pPr>
              <w:spacing w:after="160" w:line="278" w:lineRule="auto"/>
              <w:jc w:val="center"/>
              <w:rPr>
                <w:rFonts w:ascii="Times New Roman" w:hAnsi="Times New Roman" w:cs="Times New Roman"/>
                <w:szCs w:val="24"/>
              </w:rPr>
            </w:pPr>
            <w:r w:rsidRPr="00D43584">
              <w:rPr>
                <w:rFonts w:ascii="Times New Roman" w:hAnsi="Times New Roman" w:cs="Times New Roman"/>
                <w:szCs w:val="24"/>
              </w:rPr>
              <w:t>9th and 10th July, 1968.</w:t>
            </w:r>
          </w:p>
        </w:tc>
      </w:tr>
      <w:tr w:rsidR="006E5AB0" w:rsidRPr="00D43584" w14:paraId="6CC3872C" w14:textId="77777777" w:rsidTr="00D43584">
        <w:trPr>
          <w:trHeight w:val="505"/>
          <w:jc w:val="center"/>
        </w:trPr>
        <w:tc>
          <w:tcPr>
            <w:tcW w:w="0" w:type="auto"/>
            <w:hideMark/>
          </w:tcPr>
          <w:p w14:paraId="53221CBD" w14:textId="77777777" w:rsidR="006E5AB0" w:rsidRPr="00D43584" w:rsidRDefault="006E5AB0" w:rsidP="00B77C0B">
            <w:pPr>
              <w:spacing w:after="160" w:line="278" w:lineRule="auto"/>
              <w:rPr>
                <w:rFonts w:ascii="Times New Roman" w:hAnsi="Times New Roman" w:cs="Times New Roman"/>
                <w:szCs w:val="24"/>
              </w:rPr>
            </w:pPr>
            <w:r w:rsidRPr="00D43584">
              <w:rPr>
                <w:rFonts w:ascii="Times New Roman" w:hAnsi="Times New Roman" w:cs="Times New Roman"/>
                <w:szCs w:val="24"/>
              </w:rPr>
              <w:t>6. Madhya Pradesh</w:t>
            </w:r>
          </w:p>
        </w:tc>
        <w:tc>
          <w:tcPr>
            <w:tcW w:w="0" w:type="auto"/>
            <w:vAlign w:val="center"/>
            <w:hideMark/>
          </w:tcPr>
          <w:p w14:paraId="5EB54FCE" w14:textId="77777777" w:rsidR="006E5AB0" w:rsidRPr="00D43584" w:rsidRDefault="006E5AB0" w:rsidP="00D43584">
            <w:pPr>
              <w:spacing w:after="160" w:line="278" w:lineRule="auto"/>
              <w:jc w:val="center"/>
              <w:rPr>
                <w:rFonts w:ascii="Times New Roman" w:hAnsi="Times New Roman" w:cs="Times New Roman"/>
                <w:szCs w:val="24"/>
              </w:rPr>
            </w:pPr>
            <w:r w:rsidRPr="00D43584">
              <w:rPr>
                <w:rFonts w:ascii="Times New Roman" w:hAnsi="Times New Roman" w:cs="Times New Roman"/>
                <w:szCs w:val="24"/>
              </w:rPr>
              <w:t>12th and 13th July, 1968.</w:t>
            </w:r>
          </w:p>
        </w:tc>
      </w:tr>
      <w:tr w:rsidR="006E5AB0" w:rsidRPr="00D43584" w14:paraId="381E5844" w14:textId="77777777" w:rsidTr="00D43584">
        <w:trPr>
          <w:trHeight w:val="491"/>
          <w:jc w:val="center"/>
        </w:trPr>
        <w:tc>
          <w:tcPr>
            <w:tcW w:w="0" w:type="auto"/>
            <w:hideMark/>
          </w:tcPr>
          <w:p w14:paraId="24258E0F" w14:textId="77777777" w:rsidR="006E5AB0" w:rsidRPr="00D43584" w:rsidRDefault="006E5AB0" w:rsidP="00B77C0B">
            <w:pPr>
              <w:spacing w:after="160" w:line="278" w:lineRule="auto"/>
              <w:rPr>
                <w:rFonts w:ascii="Times New Roman" w:hAnsi="Times New Roman" w:cs="Times New Roman"/>
                <w:szCs w:val="24"/>
              </w:rPr>
            </w:pPr>
            <w:r w:rsidRPr="00D43584">
              <w:rPr>
                <w:rFonts w:ascii="Times New Roman" w:hAnsi="Times New Roman" w:cs="Times New Roman"/>
                <w:szCs w:val="24"/>
              </w:rPr>
              <w:t>7. Madras</w:t>
            </w:r>
          </w:p>
        </w:tc>
        <w:tc>
          <w:tcPr>
            <w:tcW w:w="0" w:type="auto"/>
            <w:vAlign w:val="center"/>
            <w:hideMark/>
          </w:tcPr>
          <w:p w14:paraId="4FC79EA7" w14:textId="77777777" w:rsidR="006E5AB0" w:rsidRPr="00D43584" w:rsidRDefault="006E5AB0" w:rsidP="00D43584">
            <w:pPr>
              <w:spacing w:after="160" w:line="278" w:lineRule="auto"/>
              <w:jc w:val="center"/>
              <w:rPr>
                <w:rFonts w:ascii="Times New Roman" w:hAnsi="Times New Roman" w:cs="Times New Roman"/>
                <w:szCs w:val="24"/>
              </w:rPr>
            </w:pPr>
            <w:r w:rsidRPr="00D43584">
              <w:rPr>
                <w:rFonts w:ascii="Times New Roman" w:hAnsi="Times New Roman" w:cs="Times New Roman"/>
                <w:szCs w:val="24"/>
              </w:rPr>
              <w:t>18th and 19th July, 1968.</w:t>
            </w:r>
          </w:p>
        </w:tc>
      </w:tr>
      <w:tr w:rsidR="006E5AB0" w:rsidRPr="00D43584" w14:paraId="58A66C58" w14:textId="77777777" w:rsidTr="00D43584">
        <w:trPr>
          <w:trHeight w:val="505"/>
          <w:jc w:val="center"/>
        </w:trPr>
        <w:tc>
          <w:tcPr>
            <w:tcW w:w="0" w:type="auto"/>
            <w:hideMark/>
          </w:tcPr>
          <w:p w14:paraId="7F2CFC3F" w14:textId="77777777" w:rsidR="006E5AB0" w:rsidRPr="00D43584" w:rsidRDefault="006E5AB0" w:rsidP="00B77C0B">
            <w:pPr>
              <w:spacing w:after="160" w:line="278" w:lineRule="auto"/>
              <w:rPr>
                <w:rFonts w:ascii="Times New Roman" w:hAnsi="Times New Roman" w:cs="Times New Roman"/>
                <w:szCs w:val="24"/>
              </w:rPr>
            </w:pPr>
            <w:r w:rsidRPr="00D43584">
              <w:rPr>
                <w:rFonts w:ascii="Times New Roman" w:hAnsi="Times New Roman" w:cs="Times New Roman"/>
                <w:szCs w:val="24"/>
              </w:rPr>
              <w:t>8. Mysore</w:t>
            </w:r>
          </w:p>
        </w:tc>
        <w:tc>
          <w:tcPr>
            <w:tcW w:w="0" w:type="auto"/>
            <w:vAlign w:val="center"/>
            <w:hideMark/>
          </w:tcPr>
          <w:p w14:paraId="7BD5EB07" w14:textId="77777777" w:rsidR="006E5AB0" w:rsidRPr="00D43584" w:rsidRDefault="006E5AB0" w:rsidP="00D43584">
            <w:pPr>
              <w:spacing w:after="160" w:line="278" w:lineRule="auto"/>
              <w:jc w:val="center"/>
              <w:rPr>
                <w:rFonts w:ascii="Times New Roman" w:hAnsi="Times New Roman" w:cs="Times New Roman"/>
                <w:szCs w:val="24"/>
              </w:rPr>
            </w:pPr>
            <w:r w:rsidRPr="00D43584">
              <w:rPr>
                <w:rFonts w:ascii="Times New Roman" w:hAnsi="Times New Roman" w:cs="Times New Roman"/>
                <w:szCs w:val="24"/>
              </w:rPr>
              <w:t>22nd and 23rd July, 1968.</w:t>
            </w:r>
          </w:p>
        </w:tc>
      </w:tr>
      <w:tr w:rsidR="006E5AB0" w:rsidRPr="00D43584" w14:paraId="60B079D7" w14:textId="77777777" w:rsidTr="00D43584">
        <w:trPr>
          <w:trHeight w:val="505"/>
          <w:jc w:val="center"/>
        </w:trPr>
        <w:tc>
          <w:tcPr>
            <w:tcW w:w="0" w:type="auto"/>
            <w:hideMark/>
          </w:tcPr>
          <w:p w14:paraId="03974F1A" w14:textId="77777777" w:rsidR="006E5AB0" w:rsidRPr="00D43584" w:rsidRDefault="006E5AB0" w:rsidP="00B77C0B">
            <w:pPr>
              <w:spacing w:after="160" w:line="278" w:lineRule="auto"/>
              <w:rPr>
                <w:rFonts w:ascii="Times New Roman" w:hAnsi="Times New Roman" w:cs="Times New Roman"/>
                <w:szCs w:val="24"/>
              </w:rPr>
            </w:pPr>
            <w:r w:rsidRPr="00D43584">
              <w:rPr>
                <w:rFonts w:ascii="Times New Roman" w:hAnsi="Times New Roman" w:cs="Times New Roman"/>
                <w:szCs w:val="24"/>
              </w:rPr>
              <w:t>9. Nagaland</w:t>
            </w:r>
          </w:p>
        </w:tc>
        <w:tc>
          <w:tcPr>
            <w:tcW w:w="0" w:type="auto"/>
            <w:vAlign w:val="center"/>
            <w:hideMark/>
          </w:tcPr>
          <w:p w14:paraId="5EC257D5" w14:textId="77777777" w:rsidR="006E5AB0" w:rsidRPr="00D43584" w:rsidRDefault="006E5AB0" w:rsidP="00D43584">
            <w:pPr>
              <w:spacing w:after="160" w:line="278" w:lineRule="auto"/>
              <w:jc w:val="center"/>
              <w:rPr>
                <w:rFonts w:ascii="Times New Roman" w:hAnsi="Times New Roman" w:cs="Times New Roman"/>
                <w:szCs w:val="24"/>
              </w:rPr>
            </w:pPr>
            <w:r w:rsidRPr="00D43584">
              <w:rPr>
                <w:rFonts w:ascii="Times New Roman" w:hAnsi="Times New Roman" w:cs="Times New Roman"/>
                <w:szCs w:val="24"/>
              </w:rPr>
              <w:t>25th July, 1968.</w:t>
            </w:r>
          </w:p>
        </w:tc>
      </w:tr>
      <w:tr w:rsidR="006E5AB0" w:rsidRPr="00D43584" w14:paraId="5AE6021D" w14:textId="77777777" w:rsidTr="00D43584">
        <w:trPr>
          <w:trHeight w:val="491"/>
          <w:jc w:val="center"/>
        </w:trPr>
        <w:tc>
          <w:tcPr>
            <w:tcW w:w="0" w:type="auto"/>
            <w:hideMark/>
          </w:tcPr>
          <w:p w14:paraId="6D3F29C9" w14:textId="77777777" w:rsidR="006E5AB0" w:rsidRPr="00D43584" w:rsidRDefault="006E5AB0" w:rsidP="00B77C0B">
            <w:pPr>
              <w:spacing w:after="160" w:line="278" w:lineRule="auto"/>
              <w:rPr>
                <w:rFonts w:ascii="Times New Roman" w:hAnsi="Times New Roman" w:cs="Times New Roman"/>
                <w:szCs w:val="24"/>
              </w:rPr>
            </w:pPr>
            <w:r w:rsidRPr="00D43584">
              <w:rPr>
                <w:rFonts w:ascii="Times New Roman" w:hAnsi="Times New Roman" w:cs="Times New Roman"/>
                <w:szCs w:val="24"/>
              </w:rPr>
              <w:t>10. Orissa</w:t>
            </w:r>
          </w:p>
        </w:tc>
        <w:tc>
          <w:tcPr>
            <w:tcW w:w="0" w:type="auto"/>
            <w:vAlign w:val="center"/>
            <w:hideMark/>
          </w:tcPr>
          <w:p w14:paraId="2B32E773" w14:textId="77777777" w:rsidR="006E5AB0" w:rsidRPr="00D43584" w:rsidRDefault="006E5AB0" w:rsidP="00D43584">
            <w:pPr>
              <w:spacing w:after="160" w:line="278" w:lineRule="auto"/>
              <w:jc w:val="center"/>
              <w:rPr>
                <w:rFonts w:ascii="Times New Roman" w:hAnsi="Times New Roman" w:cs="Times New Roman"/>
                <w:szCs w:val="24"/>
              </w:rPr>
            </w:pPr>
            <w:r w:rsidRPr="00D43584">
              <w:rPr>
                <w:rFonts w:ascii="Times New Roman" w:hAnsi="Times New Roman" w:cs="Times New Roman"/>
                <w:szCs w:val="24"/>
              </w:rPr>
              <w:t>29th and 30th July, 1968.</w:t>
            </w:r>
          </w:p>
        </w:tc>
      </w:tr>
      <w:tr w:rsidR="006E5AB0" w:rsidRPr="00D43584" w14:paraId="7956F2BD" w14:textId="77777777" w:rsidTr="00D43584">
        <w:trPr>
          <w:trHeight w:val="505"/>
          <w:jc w:val="center"/>
        </w:trPr>
        <w:tc>
          <w:tcPr>
            <w:tcW w:w="0" w:type="auto"/>
            <w:hideMark/>
          </w:tcPr>
          <w:p w14:paraId="44EBFC7C" w14:textId="77777777" w:rsidR="006E5AB0" w:rsidRPr="00D43584" w:rsidRDefault="006E5AB0" w:rsidP="00B77C0B">
            <w:pPr>
              <w:spacing w:after="160" w:line="278" w:lineRule="auto"/>
              <w:rPr>
                <w:rFonts w:ascii="Times New Roman" w:hAnsi="Times New Roman" w:cs="Times New Roman"/>
                <w:szCs w:val="24"/>
              </w:rPr>
            </w:pPr>
            <w:r w:rsidRPr="00D43584">
              <w:rPr>
                <w:rFonts w:ascii="Times New Roman" w:hAnsi="Times New Roman" w:cs="Times New Roman"/>
                <w:szCs w:val="24"/>
              </w:rPr>
              <w:t>11. Punjab</w:t>
            </w:r>
          </w:p>
        </w:tc>
        <w:tc>
          <w:tcPr>
            <w:tcW w:w="0" w:type="auto"/>
            <w:vAlign w:val="center"/>
            <w:hideMark/>
          </w:tcPr>
          <w:p w14:paraId="2C41F4BE" w14:textId="77777777" w:rsidR="006E5AB0" w:rsidRPr="00D43584" w:rsidRDefault="006E5AB0" w:rsidP="00D43584">
            <w:pPr>
              <w:spacing w:after="160" w:line="278" w:lineRule="auto"/>
              <w:jc w:val="center"/>
              <w:rPr>
                <w:rFonts w:ascii="Times New Roman" w:hAnsi="Times New Roman" w:cs="Times New Roman"/>
                <w:szCs w:val="24"/>
              </w:rPr>
            </w:pPr>
            <w:r w:rsidRPr="00D43584">
              <w:rPr>
                <w:rFonts w:ascii="Times New Roman" w:hAnsi="Times New Roman" w:cs="Times New Roman"/>
                <w:szCs w:val="24"/>
              </w:rPr>
              <w:t>1st and 2nd August, 1968.</w:t>
            </w:r>
          </w:p>
        </w:tc>
      </w:tr>
      <w:tr w:rsidR="006E5AB0" w:rsidRPr="00D43584" w14:paraId="44815AA3" w14:textId="77777777" w:rsidTr="00D43584">
        <w:trPr>
          <w:trHeight w:val="505"/>
          <w:jc w:val="center"/>
        </w:trPr>
        <w:tc>
          <w:tcPr>
            <w:tcW w:w="0" w:type="auto"/>
            <w:hideMark/>
          </w:tcPr>
          <w:p w14:paraId="17AB3513" w14:textId="77777777" w:rsidR="006E5AB0" w:rsidRPr="00D43584" w:rsidRDefault="006E5AB0" w:rsidP="00B77C0B">
            <w:pPr>
              <w:spacing w:after="160" w:line="278" w:lineRule="auto"/>
              <w:rPr>
                <w:rFonts w:ascii="Times New Roman" w:hAnsi="Times New Roman" w:cs="Times New Roman"/>
                <w:szCs w:val="24"/>
              </w:rPr>
            </w:pPr>
            <w:r w:rsidRPr="00D43584">
              <w:rPr>
                <w:rFonts w:ascii="Times New Roman" w:hAnsi="Times New Roman" w:cs="Times New Roman"/>
                <w:szCs w:val="24"/>
              </w:rPr>
              <w:t>12. Haryana</w:t>
            </w:r>
          </w:p>
        </w:tc>
        <w:tc>
          <w:tcPr>
            <w:tcW w:w="0" w:type="auto"/>
            <w:vAlign w:val="center"/>
            <w:hideMark/>
          </w:tcPr>
          <w:p w14:paraId="1E1FC97C" w14:textId="77777777" w:rsidR="006E5AB0" w:rsidRPr="00D43584" w:rsidRDefault="006E5AB0" w:rsidP="00D43584">
            <w:pPr>
              <w:spacing w:after="160" w:line="278" w:lineRule="auto"/>
              <w:jc w:val="center"/>
              <w:rPr>
                <w:rFonts w:ascii="Times New Roman" w:hAnsi="Times New Roman" w:cs="Times New Roman"/>
                <w:szCs w:val="24"/>
              </w:rPr>
            </w:pPr>
            <w:r w:rsidRPr="00D43584">
              <w:rPr>
                <w:rFonts w:ascii="Times New Roman" w:hAnsi="Times New Roman" w:cs="Times New Roman"/>
                <w:szCs w:val="24"/>
              </w:rPr>
              <w:t>5th and 6th August, 1968.</w:t>
            </w:r>
          </w:p>
        </w:tc>
      </w:tr>
      <w:tr w:rsidR="006E5AB0" w:rsidRPr="00D43584" w14:paraId="1FE142B4" w14:textId="77777777" w:rsidTr="00D43584">
        <w:trPr>
          <w:trHeight w:val="491"/>
          <w:jc w:val="center"/>
        </w:trPr>
        <w:tc>
          <w:tcPr>
            <w:tcW w:w="0" w:type="auto"/>
            <w:hideMark/>
          </w:tcPr>
          <w:p w14:paraId="317EE8B9" w14:textId="77777777" w:rsidR="006E5AB0" w:rsidRPr="00D43584" w:rsidRDefault="006E5AB0" w:rsidP="00B77C0B">
            <w:pPr>
              <w:spacing w:after="160" w:line="278" w:lineRule="auto"/>
              <w:rPr>
                <w:rFonts w:ascii="Times New Roman" w:hAnsi="Times New Roman" w:cs="Times New Roman"/>
                <w:szCs w:val="24"/>
              </w:rPr>
            </w:pPr>
            <w:r w:rsidRPr="00D43584">
              <w:rPr>
                <w:rFonts w:ascii="Times New Roman" w:hAnsi="Times New Roman" w:cs="Times New Roman"/>
                <w:szCs w:val="24"/>
              </w:rPr>
              <w:t>13. Uttar Pradesh</w:t>
            </w:r>
          </w:p>
        </w:tc>
        <w:tc>
          <w:tcPr>
            <w:tcW w:w="0" w:type="auto"/>
            <w:vAlign w:val="center"/>
            <w:hideMark/>
          </w:tcPr>
          <w:p w14:paraId="6CB2BBF3" w14:textId="77777777" w:rsidR="006E5AB0" w:rsidRPr="00D43584" w:rsidRDefault="006E5AB0" w:rsidP="00D43584">
            <w:pPr>
              <w:spacing w:after="160" w:line="278" w:lineRule="auto"/>
              <w:jc w:val="center"/>
              <w:rPr>
                <w:rFonts w:ascii="Times New Roman" w:hAnsi="Times New Roman" w:cs="Times New Roman"/>
                <w:szCs w:val="24"/>
              </w:rPr>
            </w:pPr>
            <w:r w:rsidRPr="00D43584">
              <w:rPr>
                <w:rFonts w:ascii="Times New Roman" w:hAnsi="Times New Roman" w:cs="Times New Roman"/>
                <w:szCs w:val="24"/>
              </w:rPr>
              <w:t>8th and 9th August, 1968.</w:t>
            </w:r>
          </w:p>
        </w:tc>
      </w:tr>
      <w:tr w:rsidR="006E5AB0" w:rsidRPr="00D43584" w14:paraId="0B843F41" w14:textId="77777777" w:rsidTr="00D43584">
        <w:trPr>
          <w:trHeight w:val="505"/>
          <w:jc w:val="center"/>
        </w:trPr>
        <w:tc>
          <w:tcPr>
            <w:tcW w:w="0" w:type="auto"/>
            <w:hideMark/>
          </w:tcPr>
          <w:p w14:paraId="1FC8BCBF" w14:textId="77777777" w:rsidR="006E5AB0" w:rsidRPr="00D43584" w:rsidRDefault="006E5AB0" w:rsidP="00B77C0B">
            <w:pPr>
              <w:spacing w:after="160" w:line="278" w:lineRule="auto"/>
              <w:rPr>
                <w:rFonts w:ascii="Times New Roman" w:hAnsi="Times New Roman" w:cs="Times New Roman"/>
                <w:szCs w:val="24"/>
              </w:rPr>
            </w:pPr>
            <w:r w:rsidRPr="00D43584">
              <w:rPr>
                <w:rFonts w:ascii="Times New Roman" w:hAnsi="Times New Roman" w:cs="Times New Roman"/>
                <w:szCs w:val="24"/>
              </w:rPr>
              <w:t>14. West Bengal</w:t>
            </w:r>
          </w:p>
        </w:tc>
        <w:tc>
          <w:tcPr>
            <w:tcW w:w="0" w:type="auto"/>
            <w:vAlign w:val="center"/>
            <w:hideMark/>
          </w:tcPr>
          <w:p w14:paraId="72FDBE8E" w14:textId="77777777" w:rsidR="006E5AB0" w:rsidRPr="00D43584" w:rsidRDefault="006E5AB0" w:rsidP="00D43584">
            <w:pPr>
              <w:spacing w:after="160" w:line="278" w:lineRule="auto"/>
              <w:jc w:val="center"/>
              <w:rPr>
                <w:rFonts w:ascii="Times New Roman" w:hAnsi="Times New Roman" w:cs="Times New Roman"/>
                <w:szCs w:val="24"/>
              </w:rPr>
            </w:pPr>
            <w:r w:rsidRPr="00D43584">
              <w:rPr>
                <w:rFonts w:ascii="Times New Roman" w:hAnsi="Times New Roman" w:cs="Times New Roman"/>
                <w:szCs w:val="24"/>
              </w:rPr>
              <w:t>12th and 13th August, 1968.</w:t>
            </w:r>
          </w:p>
        </w:tc>
      </w:tr>
      <w:tr w:rsidR="006E5AB0" w:rsidRPr="00D43584" w14:paraId="70783319" w14:textId="77777777" w:rsidTr="00D43584">
        <w:trPr>
          <w:trHeight w:val="505"/>
          <w:jc w:val="center"/>
        </w:trPr>
        <w:tc>
          <w:tcPr>
            <w:tcW w:w="0" w:type="auto"/>
            <w:hideMark/>
          </w:tcPr>
          <w:p w14:paraId="6B7B6937" w14:textId="77777777" w:rsidR="006E5AB0" w:rsidRPr="00D43584" w:rsidRDefault="006E5AB0" w:rsidP="00B77C0B">
            <w:pPr>
              <w:spacing w:after="160" w:line="278" w:lineRule="auto"/>
              <w:rPr>
                <w:rFonts w:ascii="Times New Roman" w:hAnsi="Times New Roman" w:cs="Times New Roman"/>
                <w:szCs w:val="24"/>
              </w:rPr>
            </w:pPr>
            <w:r w:rsidRPr="00D43584">
              <w:rPr>
                <w:rFonts w:ascii="Times New Roman" w:hAnsi="Times New Roman" w:cs="Times New Roman"/>
                <w:szCs w:val="24"/>
              </w:rPr>
              <w:t>15. Bihar</w:t>
            </w:r>
          </w:p>
        </w:tc>
        <w:tc>
          <w:tcPr>
            <w:tcW w:w="0" w:type="auto"/>
            <w:vAlign w:val="center"/>
            <w:hideMark/>
          </w:tcPr>
          <w:p w14:paraId="7880638E" w14:textId="77777777" w:rsidR="006E5AB0" w:rsidRPr="00D43584" w:rsidRDefault="006E5AB0" w:rsidP="00D43584">
            <w:pPr>
              <w:spacing w:after="160" w:line="278" w:lineRule="auto"/>
              <w:jc w:val="center"/>
              <w:rPr>
                <w:rFonts w:ascii="Times New Roman" w:hAnsi="Times New Roman" w:cs="Times New Roman"/>
                <w:szCs w:val="24"/>
              </w:rPr>
            </w:pPr>
            <w:r w:rsidRPr="00D43584">
              <w:rPr>
                <w:rFonts w:ascii="Times New Roman" w:hAnsi="Times New Roman" w:cs="Times New Roman"/>
                <w:szCs w:val="24"/>
              </w:rPr>
              <w:t>16th and 17th August, 1968.</w:t>
            </w:r>
          </w:p>
        </w:tc>
      </w:tr>
      <w:tr w:rsidR="006E5AB0" w:rsidRPr="00D43584" w14:paraId="1DDAAFAD" w14:textId="77777777" w:rsidTr="00D43584">
        <w:trPr>
          <w:trHeight w:val="505"/>
          <w:jc w:val="center"/>
        </w:trPr>
        <w:tc>
          <w:tcPr>
            <w:tcW w:w="0" w:type="auto"/>
            <w:hideMark/>
          </w:tcPr>
          <w:p w14:paraId="4E4D314E" w14:textId="77777777" w:rsidR="006E5AB0" w:rsidRPr="00D43584" w:rsidRDefault="006E5AB0" w:rsidP="00B77C0B">
            <w:pPr>
              <w:spacing w:after="160" w:line="278" w:lineRule="auto"/>
              <w:rPr>
                <w:rFonts w:ascii="Times New Roman" w:hAnsi="Times New Roman" w:cs="Times New Roman"/>
                <w:szCs w:val="24"/>
              </w:rPr>
            </w:pPr>
            <w:r w:rsidRPr="00D43584">
              <w:rPr>
                <w:rFonts w:ascii="Times New Roman" w:hAnsi="Times New Roman" w:cs="Times New Roman"/>
                <w:szCs w:val="24"/>
              </w:rPr>
              <w:t>16. Maharashtra</w:t>
            </w:r>
          </w:p>
        </w:tc>
        <w:tc>
          <w:tcPr>
            <w:tcW w:w="0" w:type="auto"/>
            <w:vAlign w:val="center"/>
            <w:hideMark/>
          </w:tcPr>
          <w:p w14:paraId="0269547B" w14:textId="77777777" w:rsidR="006E5AB0" w:rsidRPr="00D43584" w:rsidRDefault="006E5AB0" w:rsidP="00D43584">
            <w:pPr>
              <w:spacing w:after="160" w:line="278" w:lineRule="auto"/>
              <w:jc w:val="center"/>
              <w:rPr>
                <w:rFonts w:ascii="Times New Roman" w:hAnsi="Times New Roman" w:cs="Times New Roman"/>
                <w:szCs w:val="24"/>
              </w:rPr>
            </w:pPr>
            <w:r w:rsidRPr="00D43584">
              <w:rPr>
                <w:rFonts w:ascii="Times New Roman" w:hAnsi="Times New Roman" w:cs="Times New Roman"/>
                <w:szCs w:val="24"/>
              </w:rPr>
              <w:t>19th and 20th August, 1968.</w:t>
            </w:r>
          </w:p>
        </w:tc>
      </w:tr>
      <w:tr w:rsidR="006E5AB0" w:rsidRPr="00D43584" w14:paraId="435BC473" w14:textId="77777777" w:rsidTr="00D43584">
        <w:trPr>
          <w:trHeight w:val="491"/>
          <w:jc w:val="center"/>
        </w:trPr>
        <w:tc>
          <w:tcPr>
            <w:tcW w:w="0" w:type="auto"/>
            <w:hideMark/>
          </w:tcPr>
          <w:p w14:paraId="69925424" w14:textId="77777777" w:rsidR="006E5AB0" w:rsidRPr="00D43584" w:rsidRDefault="006E5AB0" w:rsidP="00B77C0B">
            <w:pPr>
              <w:spacing w:after="160" w:line="278" w:lineRule="auto"/>
              <w:rPr>
                <w:rFonts w:ascii="Times New Roman" w:hAnsi="Times New Roman" w:cs="Times New Roman"/>
                <w:szCs w:val="24"/>
              </w:rPr>
            </w:pPr>
            <w:r w:rsidRPr="00D43584">
              <w:rPr>
                <w:rFonts w:ascii="Times New Roman" w:hAnsi="Times New Roman" w:cs="Times New Roman"/>
                <w:szCs w:val="24"/>
              </w:rPr>
              <w:t>17. Rajasthan</w:t>
            </w:r>
          </w:p>
        </w:tc>
        <w:tc>
          <w:tcPr>
            <w:tcW w:w="0" w:type="auto"/>
            <w:vAlign w:val="center"/>
            <w:hideMark/>
          </w:tcPr>
          <w:p w14:paraId="2DB2E72F" w14:textId="77777777" w:rsidR="006E5AB0" w:rsidRPr="00D43584" w:rsidRDefault="006E5AB0" w:rsidP="00D43584">
            <w:pPr>
              <w:spacing w:after="160" w:line="278" w:lineRule="auto"/>
              <w:jc w:val="center"/>
              <w:rPr>
                <w:rFonts w:ascii="Times New Roman" w:hAnsi="Times New Roman" w:cs="Times New Roman"/>
                <w:szCs w:val="24"/>
              </w:rPr>
            </w:pPr>
            <w:r w:rsidRPr="00D43584">
              <w:rPr>
                <w:rFonts w:ascii="Times New Roman" w:hAnsi="Times New Roman" w:cs="Times New Roman"/>
                <w:szCs w:val="24"/>
              </w:rPr>
              <w:t>22nd and 23rd August, 1968.</w:t>
            </w:r>
          </w:p>
        </w:tc>
      </w:tr>
    </w:tbl>
    <w:p w14:paraId="328C4978" w14:textId="4BA2B85E" w:rsidR="006E5AB0" w:rsidRPr="00D43584" w:rsidRDefault="006E5AB0" w:rsidP="00A93D97">
      <w:pPr>
        <w:ind w:left="720"/>
        <w:rPr>
          <w:rFonts w:ascii="Times New Roman" w:hAnsi="Times New Roman" w:cs="Times New Roman"/>
          <w:sz w:val="20"/>
          <w:szCs w:val="20"/>
        </w:rPr>
      </w:pPr>
      <w:r w:rsidRPr="00D43584">
        <w:rPr>
          <w:rFonts w:ascii="Times New Roman" w:hAnsi="Times New Roman" w:cs="Times New Roman"/>
          <w:sz w:val="20"/>
          <w:szCs w:val="20"/>
        </w:rPr>
        <w:t>*The discussion with the Chief Minister of Jammu and Kashmir was held on 11</w:t>
      </w:r>
      <w:r w:rsidRPr="00D43584">
        <w:rPr>
          <w:rFonts w:ascii="Times New Roman" w:hAnsi="Times New Roman" w:cs="Times New Roman"/>
          <w:sz w:val="20"/>
          <w:szCs w:val="20"/>
          <w:vertAlign w:val="superscript"/>
        </w:rPr>
        <w:t>th</w:t>
      </w:r>
      <w:r w:rsidR="00D43584">
        <w:rPr>
          <w:rFonts w:ascii="Times New Roman" w:hAnsi="Times New Roman" w:cs="Times New Roman"/>
          <w:sz w:val="20"/>
          <w:szCs w:val="20"/>
        </w:rPr>
        <w:t xml:space="preserve"> </w:t>
      </w:r>
      <w:r w:rsidRPr="00D43584">
        <w:rPr>
          <w:rFonts w:ascii="Times New Roman" w:hAnsi="Times New Roman" w:cs="Times New Roman"/>
          <w:sz w:val="20"/>
          <w:szCs w:val="20"/>
        </w:rPr>
        <w:t>July, 1968.</w:t>
      </w:r>
    </w:p>
    <w:p w14:paraId="4AEB4454" w14:textId="77777777" w:rsidR="006E5AB0" w:rsidRPr="00D43584" w:rsidRDefault="006E5AB0" w:rsidP="006E5AB0">
      <w:pPr>
        <w:rPr>
          <w:rFonts w:ascii="Times New Roman" w:hAnsi="Times New Roman" w:cs="Times New Roman"/>
          <w:szCs w:val="24"/>
        </w:rPr>
      </w:pPr>
      <w:r w:rsidRPr="00D43584">
        <w:rPr>
          <w:rFonts w:ascii="Times New Roman" w:hAnsi="Times New Roman" w:cs="Times New Roman"/>
          <w:szCs w:val="24"/>
        </w:rPr>
        <w:br w:type="page"/>
      </w:r>
    </w:p>
    <w:p w14:paraId="335549CA" w14:textId="77777777" w:rsidR="006E5AB0" w:rsidRPr="00D43584" w:rsidRDefault="006E5AB0" w:rsidP="006E5AB0">
      <w:pPr>
        <w:jc w:val="center"/>
        <w:rPr>
          <w:rFonts w:ascii="Times New Roman" w:hAnsi="Times New Roman" w:cs="Times New Roman"/>
          <w:szCs w:val="24"/>
        </w:rPr>
      </w:pPr>
    </w:p>
    <w:p w14:paraId="640B9126" w14:textId="0AA08F0E" w:rsidR="006E5AB0" w:rsidRPr="00D43584" w:rsidRDefault="00D43584" w:rsidP="007B1BAC">
      <w:pPr>
        <w:pStyle w:val="Heading2"/>
      </w:pPr>
      <w:bookmarkStart w:id="250" w:name="_Toc220949755"/>
      <w:bookmarkStart w:id="251" w:name="_Toc221115380"/>
      <w:r>
        <w:t xml:space="preserve">APPENDIX 1 </w:t>
      </w:r>
      <w:r w:rsidR="006E5AB0" w:rsidRPr="00D43584">
        <w:t>(b)</w:t>
      </w:r>
      <w:r>
        <w:t>:</w:t>
      </w:r>
      <w:r w:rsidR="006E5AB0" w:rsidRPr="00D43584">
        <w:t xml:space="preserve"> </w:t>
      </w:r>
      <w:r w:rsidR="007B1BAC">
        <w:br/>
      </w:r>
      <w:r w:rsidR="006E5AB0" w:rsidRPr="00D43584">
        <w:t>DATES OF DISCUSSIONS WITH REPRESENTATIVES OF CENTRAL GOVERNMENT, PLANNING COMMISSION AND GOVERNOR, RESERVE BANK OF INDIA</w:t>
      </w:r>
      <w:bookmarkEnd w:id="250"/>
      <w:bookmarkEnd w:id="251"/>
    </w:p>
    <w:p w14:paraId="04A2E0A5" w14:textId="77777777" w:rsidR="006E5AB0" w:rsidRPr="00D43584" w:rsidRDefault="006E5AB0" w:rsidP="006E5AB0">
      <w:pPr>
        <w:jc w:val="right"/>
        <w:rPr>
          <w:rFonts w:ascii="Times New Roman" w:hAnsi="Times New Roman" w:cs="Times New Roman"/>
          <w:szCs w:val="24"/>
        </w:rPr>
      </w:pPr>
    </w:p>
    <w:p w14:paraId="2ACC587D" w14:textId="6F5E02EB" w:rsidR="006E5AB0" w:rsidRPr="007B1BAC" w:rsidRDefault="006E5AB0" w:rsidP="007B1BAC">
      <w:pPr>
        <w:jc w:val="right"/>
        <w:rPr>
          <w:rFonts w:ascii="Times New Roman" w:hAnsi="Times New Roman" w:cs="Times New Roman"/>
          <w:i/>
          <w:iCs/>
          <w:sz w:val="28"/>
          <w:szCs w:val="28"/>
        </w:rPr>
      </w:pPr>
      <w:r w:rsidRPr="007B1BAC">
        <w:rPr>
          <w:rFonts w:ascii="Times New Roman" w:hAnsi="Times New Roman" w:cs="Times New Roman"/>
          <w:i/>
          <w:iCs/>
          <w:sz w:val="28"/>
          <w:szCs w:val="28"/>
        </w:rPr>
        <w:t>Dates of Discussion</w:t>
      </w:r>
    </w:p>
    <w:p w14:paraId="68624A24" w14:textId="77777777" w:rsidR="0072755E" w:rsidRDefault="006E5AB0" w:rsidP="0072755E">
      <w:pPr>
        <w:spacing w:after="0" w:line="240" w:lineRule="auto"/>
        <w:jc w:val="both"/>
        <w:rPr>
          <w:rFonts w:ascii="Times New Roman" w:hAnsi="Times New Roman" w:cs="Times New Roman"/>
          <w:sz w:val="28"/>
          <w:szCs w:val="28"/>
        </w:rPr>
      </w:pPr>
      <w:r w:rsidRPr="007B1BAC">
        <w:rPr>
          <w:rFonts w:ascii="Times New Roman" w:hAnsi="Times New Roman" w:cs="Times New Roman"/>
          <w:sz w:val="28"/>
          <w:szCs w:val="28"/>
        </w:rPr>
        <w:t xml:space="preserve">Finance Secretary, Secretary, Department </w:t>
      </w:r>
    </w:p>
    <w:p w14:paraId="64BE076B" w14:textId="77777777" w:rsidR="0072755E" w:rsidRDefault="006E5AB0" w:rsidP="0072755E">
      <w:pPr>
        <w:spacing w:after="0" w:line="240" w:lineRule="auto"/>
        <w:jc w:val="both"/>
        <w:rPr>
          <w:rFonts w:ascii="Times New Roman" w:hAnsi="Times New Roman" w:cs="Times New Roman"/>
          <w:sz w:val="28"/>
          <w:szCs w:val="28"/>
        </w:rPr>
      </w:pPr>
      <w:r w:rsidRPr="007B1BAC">
        <w:rPr>
          <w:rFonts w:ascii="Times New Roman" w:hAnsi="Times New Roman" w:cs="Times New Roman"/>
          <w:sz w:val="28"/>
          <w:szCs w:val="28"/>
        </w:rPr>
        <w:t xml:space="preserve">of Expenditure and other officers of the </w:t>
      </w:r>
    </w:p>
    <w:p w14:paraId="7C6B8CA5" w14:textId="1DC33467" w:rsidR="006E5AB0" w:rsidRDefault="006E5AB0" w:rsidP="0072755E">
      <w:pPr>
        <w:spacing w:after="0" w:line="240" w:lineRule="auto"/>
        <w:jc w:val="both"/>
        <w:rPr>
          <w:rFonts w:ascii="Times New Roman" w:hAnsi="Times New Roman" w:cs="Times New Roman"/>
          <w:sz w:val="28"/>
          <w:szCs w:val="28"/>
        </w:rPr>
      </w:pPr>
      <w:r w:rsidRPr="007B1BAC">
        <w:rPr>
          <w:rFonts w:ascii="Times New Roman" w:hAnsi="Times New Roman" w:cs="Times New Roman"/>
          <w:sz w:val="28"/>
          <w:szCs w:val="28"/>
        </w:rPr>
        <w:t>Ministry of Finance .</w:t>
      </w:r>
      <w:r w:rsidR="007B1BAC" w:rsidRPr="007B1BAC">
        <w:rPr>
          <w:rFonts w:ascii="Times New Roman" w:hAnsi="Times New Roman" w:cs="Times New Roman"/>
          <w:sz w:val="28"/>
          <w:szCs w:val="28"/>
        </w:rPr>
        <w:tab/>
      </w:r>
      <w:r w:rsidRPr="007B1BAC">
        <w:rPr>
          <w:rFonts w:ascii="Times New Roman" w:hAnsi="Times New Roman" w:cs="Times New Roman"/>
          <w:sz w:val="28"/>
          <w:szCs w:val="28"/>
        </w:rPr>
        <w:t xml:space="preserve"> .</w:t>
      </w:r>
      <w:r w:rsidR="007B1BAC" w:rsidRPr="007B1BAC">
        <w:rPr>
          <w:rFonts w:ascii="Times New Roman" w:hAnsi="Times New Roman" w:cs="Times New Roman"/>
          <w:sz w:val="28"/>
          <w:szCs w:val="28"/>
        </w:rPr>
        <w:tab/>
      </w:r>
      <w:r w:rsidRPr="007B1BAC">
        <w:rPr>
          <w:rFonts w:ascii="Times New Roman" w:hAnsi="Times New Roman" w:cs="Times New Roman"/>
          <w:sz w:val="28"/>
          <w:szCs w:val="28"/>
        </w:rPr>
        <w:t xml:space="preserve"> .</w:t>
      </w:r>
      <w:r w:rsidR="007B1BAC" w:rsidRPr="007B1BAC">
        <w:rPr>
          <w:rFonts w:ascii="Times New Roman" w:hAnsi="Times New Roman" w:cs="Times New Roman"/>
          <w:sz w:val="28"/>
          <w:szCs w:val="28"/>
        </w:rPr>
        <w:tab/>
      </w:r>
      <w:r w:rsidRPr="007B1BAC">
        <w:rPr>
          <w:rFonts w:ascii="Times New Roman" w:hAnsi="Times New Roman" w:cs="Times New Roman"/>
          <w:sz w:val="28"/>
          <w:szCs w:val="28"/>
        </w:rPr>
        <w:t xml:space="preserve"> . </w:t>
      </w:r>
      <w:r w:rsidR="007B1BAC" w:rsidRPr="007B1BAC">
        <w:rPr>
          <w:rFonts w:ascii="Times New Roman" w:hAnsi="Times New Roman" w:cs="Times New Roman"/>
          <w:sz w:val="28"/>
          <w:szCs w:val="28"/>
        </w:rPr>
        <w:tab/>
      </w:r>
      <w:r w:rsidRPr="007B1BAC">
        <w:rPr>
          <w:rFonts w:ascii="Times New Roman" w:hAnsi="Times New Roman" w:cs="Times New Roman"/>
          <w:sz w:val="28"/>
          <w:szCs w:val="28"/>
        </w:rPr>
        <w:t>26th August and 10th September, 1968</w:t>
      </w:r>
    </w:p>
    <w:p w14:paraId="7DE92126" w14:textId="77777777" w:rsidR="007B1BAC" w:rsidRPr="007B1BAC" w:rsidRDefault="007B1BAC" w:rsidP="007B1BAC">
      <w:pPr>
        <w:jc w:val="both"/>
        <w:rPr>
          <w:rFonts w:ascii="Times New Roman" w:hAnsi="Times New Roman" w:cs="Times New Roman"/>
          <w:sz w:val="28"/>
          <w:szCs w:val="28"/>
        </w:rPr>
      </w:pPr>
    </w:p>
    <w:p w14:paraId="44FFA2F5" w14:textId="1FC22A16" w:rsidR="006E5AB0" w:rsidRPr="007B1BAC" w:rsidRDefault="006E5AB0" w:rsidP="007B1BAC">
      <w:pPr>
        <w:jc w:val="both"/>
        <w:rPr>
          <w:rFonts w:ascii="Times New Roman" w:hAnsi="Times New Roman" w:cs="Times New Roman"/>
          <w:sz w:val="28"/>
          <w:szCs w:val="28"/>
        </w:rPr>
      </w:pPr>
      <w:r w:rsidRPr="007B1BAC">
        <w:rPr>
          <w:rFonts w:ascii="Times New Roman" w:hAnsi="Times New Roman" w:cs="Times New Roman"/>
          <w:sz w:val="28"/>
          <w:szCs w:val="28"/>
        </w:rPr>
        <w:t>Governor, Reserve Bank of India</w:t>
      </w:r>
      <w:r w:rsidR="007B1BAC" w:rsidRPr="007B1BAC">
        <w:rPr>
          <w:rFonts w:ascii="Times New Roman" w:hAnsi="Times New Roman" w:cs="Times New Roman"/>
          <w:sz w:val="28"/>
          <w:szCs w:val="28"/>
        </w:rPr>
        <w:tab/>
      </w:r>
      <w:r w:rsidRPr="007B1BAC">
        <w:rPr>
          <w:rFonts w:ascii="Times New Roman" w:hAnsi="Times New Roman" w:cs="Times New Roman"/>
          <w:sz w:val="28"/>
          <w:szCs w:val="28"/>
        </w:rPr>
        <w:t xml:space="preserve"> . </w:t>
      </w:r>
      <w:r w:rsidR="007B1BAC" w:rsidRPr="007B1BAC">
        <w:rPr>
          <w:rFonts w:ascii="Times New Roman" w:hAnsi="Times New Roman" w:cs="Times New Roman"/>
          <w:sz w:val="28"/>
          <w:szCs w:val="28"/>
        </w:rPr>
        <w:tab/>
      </w:r>
      <w:r w:rsidR="007B1BAC">
        <w:rPr>
          <w:rFonts w:ascii="Times New Roman" w:hAnsi="Times New Roman" w:cs="Times New Roman"/>
          <w:sz w:val="28"/>
          <w:szCs w:val="28"/>
        </w:rPr>
        <w:t xml:space="preserve"> </w:t>
      </w:r>
      <w:r w:rsidRPr="007B1BAC">
        <w:rPr>
          <w:rFonts w:ascii="Times New Roman" w:hAnsi="Times New Roman" w:cs="Times New Roman"/>
          <w:sz w:val="28"/>
          <w:szCs w:val="28"/>
        </w:rPr>
        <w:t>27th August, 1968</w:t>
      </w:r>
    </w:p>
    <w:p w14:paraId="00DB2A78" w14:textId="77777777" w:rsidR="007B1BAC" w:rsidRDefault="007B1BAC" w:rsidP="007B1BAC">
      <w:pPr>
        <w:jc w:val="both"/>
        <w:rPr>
          <w:rFonts w:ascii="Times New Roman" w:hAnsi="Times New Roman" w:cs="Times New Roman"/>
          <w:sz w:val="28"/>
          <w:szCs w:val="28"/>
        </w:rPr>
      </w:pPr>
    </w:p>
    <w:p w14:paraId="721FFD84" w14:textId="77777777" w:rsidR="0072755E" w:rsidRDefault="006E5AB0" w:rsidP="0072755E">
      <w:pPr>
        <w:spacing w:after="0" w:line="240" w:lineRule="auto"/>
        <w:jc w:val="both"/>
        <w:rPr>
          <w:rFonts w:ascii="Times New Roman" w:hAnsi="Times New Roman" w:cs="Times New Roman"/>
          <w:sz w:val="28"/>
          <w:szCs w:val="28"/>
        </w:rPr>
      </w:pPr>
      <w:r w:rsidRPr="007B1BAC">
        <w:rPr>
          <w:rFonts w:ascii="Times New Roman" w:hAnsi="Times New Roman" w:cs="Times New Roman"/>
          <w:sz w:val="28"/>
          <w:szCs w:val="28"/>
        </w:rPr>
        <w:t xml:space="preserve">Deputy Chairman and officers of the </w:t>
      </w:r>
    </w:p>
    <w:p w14:paraId="1E1B6527" w14:textId="579DB58F" w:rsidR="006E5AB0" w:rsidRPr="007B1BAC" w:rsidRDefault="006E5AB0" w:rsidP="0072755E">
      <w:pPr>
        <w:spacing w:after="0" w:line="240" w:lineRule="auto"/>
        <w:jc w:val="both"/>
        <w:rPr>
          <w:rFonts w:ascii="Times New Roman" w:hAnsi="Times New Roman" w:cs="Times New Roman"/>
          <w:sz w:val="28"/>
          <w:szCs w:val="28"/>
        </w:rPr>
      </w:pPr>
      <w:r w:rsidRPr="007B1BAC">
        <w:rPr>
          <w:rFonts w:ascii="Times New Roman" w:hAnsi="Times New Roman" w:cs="Times New Roman"/>
          <w:sz w:val="28"/>
          <w:szCs w:val="28"/>
        </w:rPr>
        <w:t>Planning Commission .</w:t>
      </w:r>
      <w:r w:rsidR="0072755E">
        <w:rPr>
          <w:rFonts w:ascii="Times New Roman" w:hAnsi="Times New Roman" w:cs="Times New Roman"/>
          <w:sz w:val="28"/>
          <w:szCs w:val="28"/>
        </w:rPr>
        <w:tab/>
      </w:r>
      <w:r w:rsidRPr="007B1BAC">
        <w:rPr>
          <w:rFonts w:ascii="Times New Roman" w:hAnsi="Times New Roman" w:cs="Times New Roman"/>
          <w:sz w:val="28"/>
          <w:szCs w:val="28"/>
        </w:rPr>
        <w:t xml:space="preserve"> .</w:t>
      </w:r>
      <w:r w:rsidR="0072755E">
        <w:rPr>
          <w:rFonts w:ascii="Times New Roman" w:hAnsi="Times New Roman" w:cs="Times New Roman"/>
          <w:sz w:val="28"/>
          <w:szCs w:val="28"/>
        </w:rPr>
        <w:tab/>
      </w:r>
      <w:r w:rsidRPr="007B1BAC">
        <w:rPr>
          <w:rFonts w:ascii="Times New Roman" w:hAnsi="Times New Roman" w:cs="Times New Roman"/>
          <w:sz w:val="28"/>
          <w:szCs w:val="28"/>
        </w:rPr>
        <w:t xml:space="preserve"> . </w:t>
      </w:r>
      <w:r w:rsidR="0072755E">
        <w:rPr>
          <w:rFonts w:ascii="Times New Roman" w:hAnsi="Times New Roman" w:cs="Times New Roman"/>
          <w:sz w:val="28"/>
          <w:szCs w:val="28"/>
        </w:rPr>
        <w:tab/>
      </w:r>
      <w:r w:rsidRPr="007B1BAC">
        <w:rPr>
          <w:rFonts w:ascii="Times New Roman" w:hAnsi="Times New Roman" w:cs="Times New Roman"/>
          <w:sz w:val="28"/>
          <w:szCs w:val="28"/>
        </w:rPr>
        <w:t xml:space="preserve">. </w:t>
      </w:r>
      <w:r w:rsidR="0072755E">
        <w:rPr>
          <w:rFonts w:ascii="Times New Roman" w:hAnsi="Times New Roman" w:cs="Times New Roman"/>
          <w:sz w:val="28"/>
          <w:szCs w:val="28"/>
        </w:rPr>
        <w:tab/>
      </w:r>
      <w:r w:rsidRPr="007B1BAC">
        <w:rPr>
          <w:rFonts w:ascii="Times New Roman" w:hAnsi="Times New Roman" w:cs="Times New Roman"/>
          <w:sz w:val="28"/>
          <w:szCs w:val="28"/>
        </w:rPr>
        <w:t>. 29th August, 1968</w:t>
      </w:r>
    </w:p>
    <w:p w14:paraId="4CAF13E0" w14:textId="77777777" w:rsidR="007B1BAC" w:rsidRDefault="007B1BAC" w:rsidP="007B1BAC">
      <w:pPr>
        <w:spacing w:after="0" w:line="260" w:lineRule="exact"/>
        <w:jc w:val="both"/>
        <w:rPr>
          <w:rFonts w:ascii="Times New Roman" w:hAnsi="Times New Roman" w:cs="Times New Roman"/>
          <w:sz w:val="28"/>
          <w:szCs w:val="28"/>
        </w:rPr>
      </w:pPr>
    </w:p>
    <w:p w14:paraId="589D1C70" w14:textId="73A99B13" w:rsidR="007B1BAC" w:rsidRDefault="006E5AB0" w:rsidP="007B1BAC">
      <w:pPr>
        <w:spacing w:after="0" w:line="260" w:lineRule="exact"/>
        <w:jc w:val="both"/>
        <w:rPr>
          <w:rFonts w:ascii="Times New Roman" w:hAnsi="Times New Roman" w:cs="Times New Roman"/>
          <w:sz w:val="28"/>
          <w:szCs w:val="28"/>
        </w:rPr>
      </w:pPr>
      <w:r w:rsidRPr="007B1BAC">
        <w:rPr>
          <w:rFonts w:ascii="Times New Roman" w:hAnsi="Times New Roman" w:cs="Times New Roman"/>
          <w:sz w:val="28"/>
          <w:szCs w:val="28"/>
        </w:rPr>
        <w:t xml:space="preserve">Chairman and other officers of the Central </w:t>
      </w:r>
    </w:p>
    <w:p w14:paraId="1C043BF9" w14:textId="37349A44" w:rsidR="006E5AB0" w:rsidRPr="007B1BAC" w:rsidRDefault="006E5AB0" w:rsidP="007B1BAC">
      <w:pPr>
        <w:spacing w:line="260" w:lineRule="exact"/>
        <w:jc w:val="both"/>
        <w:rPr>
          <w:rFonts w:ascii="Times New Roman" w:hAnsi="Times New Roman" w:cs="Times New Roman"/>
          <w:sz w:val="28"/>
          <w:szCs w:val="28"/>
        </w:rPr>
      </w:pPr>
      <w:r w:rsidRPr="007B1BAC">
        <w:rPr>
          <w:rFonts w:ascii="Times New Roman" w:hAnsi="Times New Roman" w:cs="Times New Roman"/>
          <w:sz w:val="28"/>
          <w:szCs w:val="28"/>
        </w:rPr>
        <w:t xml:space="preserve">Board of Direct Taxes . </w:t>
      </w:r>
      <w:r w:rsidR="007B1BAC">
        <w:rPr>
          <w:rFonts w:ascii="Times New Roman" w:hAnsi="Times New Roman" w:cs="Times New Roman"/>
          <w:sz w:val="28"/>
          <w:szCs w:val="28"/>
        </w:rPr>
        <w:tab/>
      </w:r>
      <w:r w:rsidRPr="007B1BAC">
        <w:rPr>
          <w:rFonts w:ascii="Times New Roman" w:hAnsi="Times New Roman" w:cs="Times New Roman"/>
          <w:sz w:val="28"/>
          <w:szCs w:val="28"/>
        </w:rPr>
        <w:t xml:space="preserve">. </w:t>
      </w:r>
      <w:r w:rsidR="007B1BAC">
        <w:rPr>
          <w:rFonts w:ascii="Times New Roman" w:hAnsi="Times New Roman" w:cs="Times New Roman"/>
          <w:sz w:val="28"/>
          <w:szCs w:val="28"/>
        </w:rPr>
        <w:tab/>
      </w:r>
      <w:r w:rsidRPr="007B1BAC">
        <w:rPr>
          <w:rFonts w:ascii="Times New Roman" w:hAnsi="Times New Roman" w:cs="Times New Roman"/>
          <w:sz w:val="28"/>
          <w:szCs w:val="28"/>
        </w:rPr>
        <w:t xml:space="preserve">. </w:t>
      </w:r>
      <w:r w:rsidR="007B1BAC">
        <w:rPr>
          <w:rFonts w:ascii="Times New Roman" w:hAnsi="Times New Roman" w:cs="Times New Roman"/>
          <w:sz w:val="28"/>
          <w:szCs w:val="28"/>
        </w:rPr>
        <w:tab/>
      </w:r>
      <w:r w:rsidRPr="007B1BAC">
        <w:rPr>
          <w:rFonts w:ascii="Times New Roman" w:hAnsi="Times New Roman" w:cs="Times New Roman"/>
          <w:sz w:val="28"/>
          <w:szCs w:val="28"/>
        </w:rPr>
        <w:t xml:space="preserve">. </w:t>
      </w:r>
      <w:r w:rsidR="007B1BAC">
        <w:rPr>
          <w:rFonts w:ascii="Times New Roman" w:hAnsi="Times New Roman" w:cs="Times New Roman"/>
          <w:sz w:val="28"/>
          <w:szCs w:val="28"/>
        </w:rPr>
        <w:tab/>
      </w:r>
      <w:r w:rsidRPr="007B1BAC">
        <w:rPr>
          <w:rFonts w:ascii="Times New Roman" w:hAnsi="Times New Roman" w:cs="Times New Roman"/>
          <w:sz w:val="28"/>
          <w:szCs w:val="28"/>
        </w:rPr>
        <w:t xml:space="preserve">. </w:t>
      </w:r>
      <w:r w:rsidR="0072755E">
        <w:rPr>
          <w:rFonts w:ascii="Times New Roman" w:hAnsi="Times New Roman" w:cs="Times New Roman"/>
          <w:sz w:val="28"/>
          <w:szCs w:val="28"/>
        </w:rPr>
        <w:t xml:space="preserve"> </w:t>
      </w:r>
      <w:r w:rsidRPr="007B1BAC">
        <w:rPr>
          <w:rFonts w:ascii="Times New Roman" w:hAnsi="Times New Roman" w:cs="Times New Roman"/>
          <w:sz w:val="28"/>
          <w:szCs w:val="28"/>
        </w:rPr>
        <w:t>6th September, 1968</w:t>
      </w:r>
    </w:p>
    <w:p w14:paraId="359B204A" w14:textId="77777777" w:rsidR="007B1BAC" w:rsidRDefault="007B1BAC" w:rsidP="007B1BAC">
      <w:pPr>
        <w:jc w:val="both"/>
        <w:rPr>
          <w:rFonts w:ascii="Times New Roman" w:hAnsi="Times New Roman" w:cs="Times New Roman"/>
          <w:sz w:val="28"/>
          <w:szCs w:val="28"/>
        </w:rPr>
      </w:pPr>
    </w:p>
    <w:p w14:paraId="4DC9282B" w14:textId="77777777" w:rsidR="007B1BAC" w:rsidRDefault="007B1BAC" w:rsidP="007B1BAC">
      <w:pPr>
        <w:jc w:val="center"/>
        <w:rPr>
          <w:rFonts w:ascii="Times New Roman" w:hAnsi="Times New Roman" w:cs="Times New Roman"/>
          <w:sz w:val="28"/>
          <w:szCs w:val="28"/>
        </w:rPr>
      </w:pPr>
    </w:p>
    <w:p w14:paraId="697D78C6" w14:textId="45183C2B" w:rsidR="006E5AB0" w:rsidRPr="007B1BAC" w:rsidRDefault="006E5AB0" w:rsidP="007B1BAC">
      <w:pPr>
        <w:jc w:val="center"/>
        <w:rPr>
          <w:rFonts w:ascii="Times New Roman" w:hAnsi="Times New Roman" w:cs="Times New Roman"/>
          <w:sz w:val="28"/>
          <w:szCs w:val="28"/>
        </w:rPr>
      </w:pPr>
      <w:r w:rsidRPr="007B1BAC">
        <w:rPr>
          <w:rFonts w:ascii="Times New Roman" w:hAnsi="Times New Roman" w:cs="Times New Roman"/>
          <w:sz w:val="28"/>
          <w:szCs w:val="28"/>
        </w:rPr>
        <w:t>(c) INDIVIDUALS WHO APPEARED BEFORE THE COMMISSION AND GAVE ORAL EVIDENCE</w:t>
      </w:r>
    </w:p>
    <w:p w14:paraId="0D8F4269" w14:textId="0AE6ED83" w:rsidR="006E5AB0" w:rsidRPr="007B1BAC" w:rsidRDefault="006E5AB0" w:rsidP="007B1BAC">
      <w:pPr>
        <w:jc w:val="right"/>
        <w:rPr>
          <w:rFonts w:ascii="Times New Roman" w:hAnsi="Times New Roman" w:cs="Times New Roman"/>
          <w:i/>
          <w:iCs/>
          <w:sz w:val="28"/>
          <w:szCs w:val="28"/>
        </w:rPr>
      </w:pPr>
      <w:r w:rsidRPr="007B1BAC">
        <w:rPr>
          <w:rFonts w:ascii="Times New Roman" w:hAnsi="Times New Roman" w:cs="Times New Roman"/>
          <w:i/>
          <w:iCs/>
          <w:sz w:val="28"/>
          <w:szCs w:val="28"/>
        </w:rPr>
        <w:t>Dates of Discussion</w:t>
      </w:r>
    </w:p>
    <w:p w14:paraId="7A210654" w14:textId="77777777" w:rsidR="007B1BAC" w:rsidRDefault="006E5AB0" w:rsidP="007B1BAC">
      <w:pPr>
        <w:spacing w:after="0"/>
        <w:jc w:val="both"/>
        <w:rPr>
          <w:rFonts w:ascii="Times New Roman" w:hAnsi="Times New Roman" w:cs="Times New Roman"/>
          <w:sz w:val="28"/>
          <w:szCs w:val="28"/>
        </w:rPr>
      </w:pPr>
      <w:r w:rsidRPr="007B1BAC">
        <w:rPr>
          <w:rFonts w:ascii="Times New Roman" w:hAnsi="Times New Roman" w:cs="Times New Roman"/>
          <w:sz w:val="28"/>
          <w:szCs w:val="28"/>
        </w:rPr>
        <w:t xml:space="preserve">Shri K. Santhanam, ex-Chairman of the Second </w:t>
      </w:r>
    </w:p>
    <w:p w14:paraId="4BF380FF" w14:textId="0F5E5D7F" w:rsidR="006E5AB0" w:rsidRPr="007B1BAC" w:rsidRDefault="006E5AB0" w:rsidP="007B1BAC">
      <w:pPr>
        <w:jc w:val="both"/>
        <w:rPr>
          <w:rFonts w:ascii="Times New Roman" w:hAnsi="Times New Roman" w:cs="Times New Roman"/>
          <w:sz w:val="28"/>
          <w:szCs w:val="28"/>
        </w:rPr>
      </w:pPr>
      <w:r w:rsidRPr="007B1BAC">
        <w:rPr>
          <w:rFonts w:ascii="Times New Roman" w:hAnsi="Times New Roman" w:cs="Times New Roman"/>
          <w:sz w:val="28"/>
          <w:szCs w:val="28"/>
        </w:rPr>
        <w:t xml:space="preserve">Finance Commission </w:t>
      </w:r>
      <w:r w:rsidR="007B1BAC">
        <w:rPr>
          <w:rFonts w:ascii="Times New Roman" w:hAnsi="Times New Roman" w:cs="Times New Roman"/>
          <w:sz w:val="28"/>
          <w:szCs w:val="28"/>
        </w:rPr>
        <w:tab/>
      </w:r>
      <w:r w:rsidRPr="007B1BAC">
        <w:rPr>
          <w:rFonts w:ascii="Times New Roman" w:hAnsi="Times New Roman" w:cs="Times New Roman"/>
          <w:sz w:val="28"/>
          <w:szCs w:val="28"/>
        </w:rPr>
        <w:t xml:space="preserve">. </w:t>
      </w:r>
      <w:r w:rsidR="007B1BAC">
        <w:rPr>
          <w:rFonts w:ascii="Times New Roman" w:hAnsi="Times New Roman" w:cs="Times New Roman"/>
          <w:sz w:val="28"/>
          <w:szCs w:val="28"/>
        </w:rPr>
        <w:tab/>
      </w:r>
      <w:r w:rsidRPr="007B1BAC">
        <w:rPr>
          <w:rFonts w:ascii="Times New Roman" w:hAnsi="Times New Roman" w:cs="Times New Roman"/>
          <w:sz w:val="28"/>
          <w:szCs w:val="28"/>
        </w:rPr>
        <w:t xml:space="preserve">. </w:t>
      </w:r>
      <w:r w:rsidR="007B1BAC">
        <w:rPr>
          <w:rFonts w:ascii="Times New Roman" w:hAnsi="Times New Roman" w:cs="Times New Roman"/>
          <w:sz w:val="28"/>
          <w:szCs w:val="28"/>
        </w:rPr>
        <w:tab/>
      </w:r>
      <w:r w:rsidRPr="007B1BAC">
        <w:rPr>
          <w:rFonts w:ascii="Times New Roman" w:hAnsi="Times New Roman" w:cs="Times New Roman"/>
          <w:sz w:val="28"/>
          <w:szCs w:val="28"/>
        </w:rPr>
        <w:t xml:space="preserve">. </w:t>
      </w:r>
      <w:r w:rsidR="007B1BAC">
        <w:rPr>
          <w:rFonts w:ascii="Times New Roman" w:hAnsi="Times New Roman" w:cs="Times New Roman"/>
          <w:sz w:val="28"/>
          <w:szCs w:val="28"/>
        </w:rPr>
        <w:tab/>
      </w:r>
      <w:r w:rsidRPr="007B1BAC">
        <w:rPr>
          <w:rFonts w:ascii="Times New Roman" w:hAnsi="Times New Roman" w:cs="Times New Roman"/>
          <w:sz w:val="28"/>
          <w:szCs w:val="28"/>
        </w:rPr>
        <w:t xml:space="preserve">. </w:t>
      </w:r>
      <w:r w:rsidR="007B1BAC">
        <w:rPr>
          <w:rFonts w:ascii="Times New Roman" w:hAnsi="Times New Roman" w:cs="Times New Roman"/>
          <w:sz w:val="28"/>
          <w:szCs w:val="28"/>
        </w:rPr>
        <w:tab/>
      </w:r>
      <w:r w:rsidRPr="007B1BAC">
        <w:rPr>
          <w:rFonts w:ascii="Times New Roman" w:hAnsi="Times New Roman" w:cs="Times New Roman"/>
          <w:sz w:val="28"/>
          <w:szCs w:val="28"/>
        </w:rPr>
        <w:t xml:space="preserve">. </w:t>
      </w:r>
      <w:r w:rsidR="007B1BAC">
        <w:rPr>
          <w:rFonts w:ascii="Times New Roman" w:hAnsi="Times New Roman" w:cs="Times New Roman"/>
          <w:sz w:val="28"/>
          <w:szCs w:val="28"/>
        </w:rPr>
        <w:tab/>
      </w:r>
      <w:r w:rsidR="007B1BAC">
        <w:rPr>
          <w:rFonts w:ascii="Times New Roman" w:hAnsi="Times New Roman" w:cs="Times New Roman"/>
          <w:sz w:val="28"/>
          <w:szCs w:val="28"/>
        </w:rPr>
        <w:tab/>
        <w:t xml:space="preserve">   </w:t>
      </w:r>
      <w:r w:rsidRPr="007B1BAC">
        <w:rPr>
          <w:rFonts w:ascii="Times New Roman" w:hAnsi="Times New Roman" w:cs="Times New Roman"/>
          <w:sz w:val="28"/>
          <w:szCs w:val="28"/>
        </w:rPr>
        <w:t>7th August, 1968</w:t>
      </w:r>
    </w:p>
    <w:p w14:paraId="53001451" w14:textId="77777777" w:rsidR="007B1BAC" w:rsidRDefault="007B1BAC" w:rsidP="007B1BAC">
      <w:pPr>
        <w:spacing w:after="0"/>
        <w:jc w:val="both"/>
        <w:rPr>
          <w:rFonts w:ascii="Times New Roman" w:hAnsi="Times New Roman" w:cs="Times New Roman"/>
          <w:sz w:val="28"/>
          <w:szCs w:val="28"/>
        </w:rPr>
      </w:pPr>
    </w:p>
    <w:p w14:paraId="48B79D85" w14:textId="72F8EF45" w:rsidR="007B1BAC" w:rsidRDefault="006E5AB0" w:rsidP="007B1BAC">
      <w:pPr>
        <w:spacing w:after="0"/>
        <w:jc w:val="both"/>
        <w:rPr>
          <w:rFonts w:ascii="Times New Roman" w:hAnsi="Times New Roman" w:cs="Times New Roman"/>
          <w:sz w:val="28"/>
          <w:szCs w:val="28"/>
        </w:rPr>
      </w:pPr>
      <w:r w:rsidRPr="007B1BAC">
        <w:rPr>
          <w:rFonts w:ascii="Times New Roman" w:hAnsi="Times New Roman" w:cs="Times New Roman"/>
          <w:sz w:val="28"/>
          <w:szCs w:val="28"/>
        </w:rPr>
        <w:t xml:space="preserve">Mr. W. Prest, Professor of Economics, </w:t>
      </w:r>
    </w:p>
    <w:p w14:paraId="57A8A215" w14:textId="519C836F" w:rsidR="006E5AB0" w:rsidRPr="007B1BAC" w:rsidRDefault="006E5AB0" w:rsidP="007B1BAC">
      <w:pPr>
        <w:jc w:val="both"/>
        <w:rPr>
          <w:rFonts w:ascii="Times New Roman" w:hAnsi="Times New Roman" w:cs="Times New Roman"/>
          <w:sz w:val="28"/>
          <w:szCs w:val="28"/>
        </w:rPr>
      </w:pPr>
      <w:r w:rsidRPr="007B1BAC">
        <w:rPr>
          <w:rFonts w:ascii="Times New Roman" w:hAnsi="Times New Roman" w:cs="Times New Roman"/>
          <w:sz w:val="28"/>
          <w:szCs w:val="28"/>
        </w:rPr>
        <w:t xml:space="preserve">University of Melbourne, Australia </w:t>
      </w:r>
      <w:r w:rsidR="007B1BAC">
        <w:rPr>
          <w:rFonts w:ascii="Times New Roman" w:hAnsi="Times New Roman" w:cs="Times New Roman"/>
          <w:sz w:val="28"/>
          <w:szCs w:val="28"/>
        </w:rPr>
        <w:tab/>
      </w:r>
      <w:r w:rsidRPr="007B1BAC">
        <w:rPr>
          <w:rFonts w:ascii="Times New Roman" w:hAnsi="Times New Roman" w:cs="Times New Roman"/>
          <w:sz w:val="28"/>
          <w:szCs w:val="28"/>
        </w:rPr>
        <w:t xml:space="preserve">. </w:t>
      </w:r>
      <w:r w:rsidR="007B1BAC">
        <w:rPr>
          <w:rFonts w:ascii="Times New Roman" w:hAnsi="Times New Roman" w:cs="Times New Roman"/>
          <w:sz w:val="28"/>
          <w:szCs w:val="28"/>
        </w:rPr>
        <w:tab/>
      </w:r>
      <w:r w:rsidRPr="007B1BAC">
        <w:rPr>
          <w:rFonts w:ascii="Times New Roman" w:hAnsi="Times New Roman" w:cs="Times New Roman"/>
          <w:sz w:val="28"/>
          <w:szCs w:val="28"/>
        </w:rPr>
        <w:t xml:space="preserve">. </w:t>
      </w:r>
      <w:r w:rsidR="007B1BAC">
        <w:rPr>
          <w:rFonts w:ascii="Times New Roman" w:hAnsi="Times New Roman" w:cs="Times New Roman"/>
          <w:sz w:val="28"/>
          <w:szCs w:val="28"/>
        </w:rPr>
        <w:tab/>
      </w:r>
      <w:r w:rsidRPr="007B1BAC">
        <w:rPr>
          <w:rFonts w:ascii="Times New Roman" w:hAnsi="Times New Roman" w:cs="Times New Roman"/>
          <w:sz w:val="28"/>
          <w:szCs w:val="28"/>
        </w:rPr>
        <w:t>.</w:t>
      </w:r>
      <w:r w:rsidR="007B1BAC">
        <w:rPr>
          <w:rFonts w:ascii="Times New Roman" w:hAnsi="Times New Roman" w:cs="Times New Roman"/>
          <w:sz w:val="28"/>
          <w:szCs w:val="28"/>
        </w:rPr>
        <w:tab/>
      </w:r>
      <w:r w:rsidRPr="007B1BAC">
        <w:rPr>
          <w:rFonts w:ascii="Times New Roman" w:hAnsi="Times New Roman" w:cs="Times New Roman"/>
          <w:sz w:val="28"/>
          <w:szCs w:val="28"/>
        </w:rPr>
        <w:t xml:space="preserve"> . </w:t>
      </w:r>
      <w:r w:rsidR="007B1BAC">
        <w:rPr>
          <w:rFonts w:ascii="Times New Roman" w:hAnsi="Times New Roman" w:cs="Times New Roman"/>
          <w:sz w:val="28"/>
          <w:szCs w:val="28"/>
        </w:rPr>
        <w:tab/>
      </w:r>
      <w:r w:rsidRPr="007B1BAC">
        <w:rPr>
          <w:rFonts w:ascii="Times New Roman" w:hAnsi="Times New Roman" w:cs="Times New Roman"/>
          <w:sz w:val="28"/>
          <w:szCs w:val="28"/>
        </w:rPr>
        <w:t>. 21st August, 1968</w:t>
      </w:r>
    </w:p>
    <w:p w14:paraId="7B5EEB99" w14:textId="77777777" w:rsidR="006E5AB0" w:rsidRPr="00D43584" w:rsidRDefault="006E5AB0" w:rsidP="006E5AB0">
      <w:pPr>
        <w:rPr>
          <w:rFonts w:ascii="Times New Roman" w:hAnsi="Times New Roman" w:cs="Times New Roman"/>
          <w:szCs w:val="24"/>
        </w:rPr>
      </w:pPr>
    </w:p>
    <w:p w14:paraId="038142F9" w14:textId="77777777" w:rsidR="006E5AB0" w:rsidRPr="00D43584" w:rsidRDefault="006E5AB0" w:rsidP="006E5AB0">
      <w:pPr>
        <w:rPr>
          <w:rFonts w:ascii="Times New Roman" w:hAnsi="Times New Roman" w:cs="Times New Roman"/>
          <w:szCs w:val="24"/>
        </w:rPr>
      </w:pPr>
    </w:p>
    <w:p w14:paraId="3D6A5424" w14:textId="77777777" w:rsidR="007B1BAC" w:rsidRDefault="007B1BAC" w:rsidP="000C42F0">
      <w:pPr>
        <w:tabs>
          <w:tab w:val="left" w:pos="2816"/>
        </w:tabs>
        <w:spacing w:line="240" w:lineRule="auto"/>
        <w:jc w:val="center"/>
        <w:rPr>
          <w:rFonts w:ascii="Times New Roman" w:hAnsi="Times New Roman" w:cs="Times New Roman"/>
          <w:b/>
          <w:bCs/>
          <w:szCs w:val="24"/>
        </w:rPr>
        <w:sectPr w:rsidR="007B1BAC" w:rsidSect="00965A5A">
          <w:pgSz w:w="12240" w:h="15840"/>
          <w:pgMar w:top="1418" w:right="1440" w:bottom="1440" w:left="1440" w:header="720" w:footer="720" w:gutter="0"/>
          <w:cols w:space="720"/>
        </w:sectPr>
      </w:pPr>
    </w:p>
    <w:p w14:paraId="4D5425F0" w14:textId="1A4FF837" w:rsidR="007B1BAC" w:rsidRDefault="00701BE2" w:rsidP="007B1BAC">
      <w:pPr>
        <w:pStyle w:val="Heading2"/>
      </w:pPr>
      <w:bookmarkStart w:id="252" w:name="_Toc220949756"/>
      <w:bookmarkStart w:id="253" w:name="_Toc221115381"/>
      <w:r w:rsidRPr="00D43584">
        <w:lastRenderedPageBreak/>
        <w:t>APPENDIX II (a)</w:t>
      </w:r>
      <w:r w:rsidR="007B1BAC">
        <w:t xml:space="preserve"> </w:t>
      </w:r>
      <w:r w:rsidRPr="00D43584">
        <w:t>RAILWAY ROUTE LENGTHS IN INDIA BY STATES AND ZONES</w:t>
      </w:r>
      <w:bookmarkEnd w:id="252"/>
      <w:bookmarkEnd w:id="253"/>
    </w:p>
    <w:p w14:paraId="2920DF4E" w14:textId="16E79537" w:rsidR="00701BE2" w:rsidRPr="00D43584" w:rsidRDefault="00701BE2" w:rsidP="00801A36">
      <w:pPr>
        <w:tabs>
          <w:tab w:val="left" w:pos="2816"/>
        </w:tabs>
        <w:spacing w:after="0" w:line="240" w:lineRule="auto"/>
        <w:jc w:val="center"/>
        <w:rPr>
          <w:rFonts w:ascii="Times New Roman" w:hAnsi="Times New Roman" w:cs="Times New Roman"/>
          <w:szCs w:val="24"/>
        </w:rPr>
      </w:pPr>
      <w:r w:rsidRPr="00D43584">
        <w:rPr>
          <w:rFonts w:ascii="Times New Roman" w:hAnsi="Times New Roman" w:cs="Times New Roman"/>
          <w:b/>
          <w:bCs/>
          <w:szCs w:val="24"/>
        </w:rPr>
        <w:t>(Non-Suburban)</w:t>
      </w:r>
      <w:r w:rsidRPr="00D43584">
        <w:rPr>
          <w:rFonts w:ascii="Times New Roman" w:hAnsi="Times New Roman" w:cs="Times New Roman"/>
          <w:szCs w:val="24"/>
        </w:rPr>
        <w:br/>
      </w:r>
      <w:r w:rsidRPr="00D43584">
        <w:rPr>
          <w:rFonts w:ascii="Times New Roman" w:hAnsi="Times New Roman" w:cs="Times New Roman"/>
          <w:i/>
          <w:iCs/>
          <w:szCs w:val="24"/>
        </w:rPr>
        <w:t>(See paragraph 11)</w:t>
      </w:r>
    </w:p>
    <w:p w14:paraId="6D2375CB" w14:textId="77777777" w:rsidR="00701BE2" w:rsidRDefault="00701BE2" w:rsidP="00801A36">
      <w:pPr>
        <w:tabs>
          <w:tab w:val="left" w:pos="2816"/>
        </w:tabs>
        <w:spacing w:after="0" w:line="240" w:lineRule="auto"/>
        <w:jc w:val="right"/>
        <w:rPr>
          <w:rFonts w:ascii="Times New Roman" w:hAnsi="Times New Roman" w:cs="Times New Roman"/>
          <w:i/>
          <w:iCs/>
          <w:szCs w:val="24"/>
        </w:rPr>
      </w:pPr>
      <w:r w:rsidRPr="00D43584">
        <w:rPr>
          <w:rFonts w:ascii="Times New Roman" w:hAnsi="Times New Roman" w:cs="Times New Roman"/>
          <w:i/>
          <w:iCs/>
          <w:szCs w:val="24"/>
        </w:rPr>
        <w:t>(In kilometres)</w:t>
      </w:r>
    </w:p>
    <w:tbl>
      <w:tblPr>
        <w:tblW w:w="15306" w:type="dxa"/>
        <w:jc w:val="center"/>
        <w:tblLook w:val="04A0" w:firstRow="1" w:lastRow="0" w:firstColumn="1" w:lastColumn="0" w:noHBand="0" w:noVBand="1"/>
      </w:tblPr>
      <w:tblGrid>
        <w:gridCol w:w="618"/>
        <w:gridCol w:w="1680"/>
        <w:gridCol w:w="1084"/>
        <w:gridCol w:w="1070"/>
        <w:gridCol w:w="1196"/>
        <w:gridCol w:w="986"/>
        <w:gridCol w:w="1084"/>
        <w:gridCol w:w="1070"/>
        <w:gridCol w:w="1196"/>
        <w:gridCol w:w="986"/>
        <w:gridCol w:w="1084"/>
        <w:gridCol w:w="1070"/>
        <w:gridCol w:w="1196"/>
        <w:gridCol w:w="986"/>
      </w:tblGrid>
      <w:tr w:rsidR="00801A36" w:rsidRPr="00801A36" w14:paraId="3F7F1102" w14:textId="77777777" w:rsidTr="00801A36">
        <w:trPr>
          <w:trHeight w:val="20"/>
          <w:jc w:val="center"/>
        </w:trPr>
        <w:tc>
          <w:tcPr>
            <w:tcW w:w="618" w:type="dxa"/>
            <w:tcBorders>
              <w:top w:val="single" w:sz="4" w:space="0" w:color="auto"/>
              <w:left w:val="single" w:sz="4" w:space="0" w:color="auto"/>
              <w:bottom w:val="single" w:sz="4" w:space="0" w:color="auto"/>
              <w:right w:val="single" w:sz="4" w:space="0" w:color="auto"/>
            </w:tcBorders>
            <w:noWrap/>
            <w:vAlign w:val="center"/>
            <w:hideMark/>
          </w:tcPr>
          <w:p w14:paraId="1F72AF86" w14:textId="77777777" w:rsidR="00801A36" w:rsidRPr="00801A36" w:rsidRDefault="00801A36" w:rsidP="007B1BAC">
            <w:pPr>
              <w:spacing w:after="0" w:line="240" w:lineRule="auto"/>
              <w:jc w:val="center"/>
              <w:rPr>
                <w:rFonts w:ascii="Times New Roman" w:eastAsia="Times New Roman" w:hAnsi="Times New Roman" w:cs="Times New Roman"/>
                <w:b/>
                <w:bCs/>
                <w:color w:val="000000"/>
                <w:kern w:val="0"/>
                <w:sz w:val="19"/>
                <w:szCs w:val="19"/>
                <w:lang w:eastAsia="en-IN"/>
                <w14:ligatures w14:val="none"/>
              </w:rPr>
            </w:pPr>
            <w:r w:rsidRPr="00801A36">
              <w:rPr>
                <w:rFonts w:ascii="Times New Roman" w:eastAsia="Times New Roman" w:hAnsi="Times New Roman" w:cs="Times New Roman"/>
                <w:b/>
                <w:bCs/>
                <w:color w:val="000000"/>
                <w:kern w:val="0"/>
                <w:sz w:val="19"/>
                <w:szCs w:val="19"/>
                <w:lang w:eastAsia="en-IN"/>
                <w14:ligatures w14:val="none"/>
              </w:rPr>
              <w:t>Sl. No.</w:t>
            </w:r>
          </w:p>
        </w:tc>
        <w:tc>
          <w:tcPr>
            <w:tcW w:w="1680" w:type="dxa"/>
            <w:tcBorders>
              <w:top w:val="single" w:sz="4" w:space="0" w:color="auto"/>
              <w:left w:val="nil"/>
              <w:bottom w:val="single" w:sz="4" w:space="0" w:color="auto"/>
              <w:right w:val="single" w:sz="4" w:space="0" w:color="auto"/>
            </w:tcBorders>
            <w:noWrap/>
            <w:vAlign w:val="center"/>
            <w:hideMark/>
          </w:tcPr>
          <w:p w14:paraId="0DC47B14" w14:textId="77777777" w:rsidR="00801A36" w:rsidRPr="00801A36" w:rsidRDefault="00801A36" w:rsidP="007B1BAC">
            <w:pPr>
              <w:spacing w:after="0" w:line="240" w:lineRule="auto"/>
              <w:jc w:val="center"/>
              <w:rPr>
                <w:rFonts w:ascii="Times New Roman" w:eastAsia="Times New Roman" w:hAnsi="Times New Roman" w:cs="Times New Roman"/>
                <w:b/>
                <w:bCs/>
                <w:color w:val="000000"/>
                <w:kern w:val="0"/>
                <w:sz w:val="19"/>
                <w:szCs w:val="19"/>
                <w:lang w:eastAsia="en-IN"/>
                <w14:ligatures w14:val="none"/>
              </w:rPr>
            </w:pPr>
            <w:r w:rsidRPr="00801A36">
              <w:rPr>
                <w:rFonts w:ascii="Times New Roman" w:eastAsia="Times New Roman" w:hAnsi="Times New Roman" w:cs="Times New Roman"/>
                <w:b/>
                <w:bCs/>
                <w:color w:val="000000"/>
                <w:kern w:val="0"/>
                <w:sz w:val="19"/>
                <w:szCs w:val="19"/>
                <w:lang w:eastAsia="en-IN"/>
                <w14:ligatures w14:val="none"/>
              </w:rPr>
              <w:t>States and Railway Zones</w:t>
            </w:r>
          </w:p>
        </w:tc>
        <w:tc>
          <w:tcPr>
            <w:tcW w:w="4336" w:type="dxa"/>
            <w:gridSpan w:val="4"/>
            <w:tcBorders>
              <w:top w:val="single" w:sz="4" w:space="0" w:color="auto"/>
              <w:left w:val="nil"/>
              <w:bottom w:val="single" w:sz="4" w:space="0" w:color="auto"/>
              <w:right w:val="single" w:sz="4" w:space="0" w:color="auto"/>
            </w:tcBorders>
            <w:noWrap/>
            <w:vAlign w:val="center"/>
            <w:hideMark/>
          </w:tcPr>
          <w:p w14:paraId="1EF6358C" w14:textId="19E31BB2" w:rsidR="00801A36" w:rsidRPr="00801A36" w:rsidRDefault="00801A36" w:rsidP="007B1BAC">
            <w:pPr>
              <w:spacing w:after="0" w:line="240" w:lineRule="auto"/>
              <w:jc w:val="center"/>
              <w:rPr>
                <w:rFonts w:ascii="Times New Roman" w:eastAsia="Times New Roman" w:hAnsi="Times New Roman" w:cs="Times New Roman"/>
                <w:b/>
                <w:bCs/>
                <w:color w:val="000000"/>
                <w:kern w:val="0"/>
                <w:sz w:val="19"/>
                <w:szCs w:val="19"/>
                <w:lang w:eastAsia="en-IN"/>
                <w14:ligatures w14:val="none"/>
              </w:rPr>
            </w:pPr>
            <w:r w:rsidRPr="00801A36">
              <w:rPr>
                <w:rFonts w:ascii="Times New Roman" w:eastAsia="Times New Roman" w:hAnsi="Times New Roman" w:cs="Times New Roman"/>
                <w:b/>
                <w:bCs/>
                <w:color w:val="000000"/>
                <w:kern w:val="0"/>
                <w:sz w:val="19"/>
                <w:szCs w:val="19"/>
                <w:lang w:eastAsia="en-IN"/>
                <w14:ligatures w14:val="none"/>
              </w:rPr>
              <w:t>As on 31st March, 1965</w:t>
            </w:r>
          </w:p>
        </w:tc>
        <w:tc>
          <w:tcPr>
            <w:tcW w:w="4336" w:type="dxa"/>
            <w:gridSpan w:val="4"/>
            <w:tcBorders>
              <w:top w:val="single" w:sz="4" w:space="0" w:color="auto"/>
              <w:left w:val="nil"/>
              <w:bottom w:val="single" w:sz="4" w:space="0" w:color="auto"/>
              <w:right w:val="single" w:sz="4" w:space="0" w:color="auto"/>
            </w:tcBorders>
            <w:noWrap/>
            <w:vAlign w:val="center"/>
            <w:hideMark/>
          </w:tcPr>
          <w:p w14:paraId="762A2C9B" w14:textId="095F1570" w:rsidR="00801A36" w:rsidRPr="00801A36" w:rsidRDefault="00801A36" w:rsidP="007B1BAC">
            <w:pPr>
              <w:spacing w:after="0" w:line="240" w:lineRule="auto"/>
              <w:jc w:val="center"/>
              <w:rPr>
                <w:rFonts w:ascii="Times New Roman" w:eastAsia="Times New Roman" w:hAnsi="Times New Roman" w:cs="Times New Roman"/>
                <w:b/>
                <w:bCs/>
                <w:color w:val="000000"/>
                <w:kern w:val="0"/>
                <w:sz w:val="19"/>
                <w:szCs w:val="19"/>
                <w:lang w:eastAsia="en-IN"/>
                <w14:ligatures w14:val="none"/>
              </w:rPr>
            </w:pPr>
            <w:r w:rsidRPr="00801A36">
              <w:rPr>
                <w:rFonts w:ascii="Times New Roman" w:eastAsia="Times New Roman" w:hAnsi="Times New Roman" w:cs="Times New Roman"/>
                <w:b/>
                <w:bCs/>
                <w:color w:val="000000"/>
                <w:kern w:val="0"/>
                <w:sz w:val="19"/>
                <w:szCs w:val="19"/>
                <w:lang w:eastAsia="en-IN"/>
                <w14:ligatures w14:val="none"/>
              </w:rPr>
              <w:t>As on 31st March, 1966</w:t>
            </w:r>
          </w:p>
        </w:tc>
        <w:tc>
          <w:tcPr>
            <w:tcW w:w="4336" w:type="dxa"/>
            <w:gridSpan w:val="4"/>
            <w:tcBorders>
              <w:top w:val="single" w:sz="4" w:space="0" w:color="auto"/>
              <w:left w:val="nil"/>
              <w:bottom w:val="single" w:sz="4" w:space="0" w:color="auto"/>
              <w:right w:val="single" w:sz="4" w:space="0" w:color="auto"/>
            </w:tcBorders>
            <w:noWrap/>
            <w:vAlign w:val="center"/>
            <w:hideMark/>
          </w:tcPr>
          <w:p w14:paraId="0BCC810A" w14:textId="1D65A5B8" w:rsidR="00801A36" w:rsidRPr="00801A36" w:rsidRDefault="00801A36" w:rsidP="007B1BAC">
            <w:pPr>
              <w:spacing w:after="0" w:line="240" w:lineRule="auto"/>
              <w:jc w:val="center"/>
              <w:rPr>
                <w:rFonts w:ascii="Times New Roman" w:eastAsia="Times New Roman" w:hAnsi="Times New Roman" w:cs="Times New Roman"/>
                <w:b/>
                <w:bCs/>
                <w:color w:val="000000"/>
                <w:kern w:val="0"/>
                <w:sz w:val="19"/>
                <w:szCs w:val="19"/>
                <w:lang w:eastAsia="en-IN"/>
                <w14:ligatures w14:val="none"/>
              </w:rPr>
            </w:pPr>
            <w:r w:rsidRPr="00801A36">
              <w:rPr>
                <w:rFonts w:ascii="Times New Roman" w:eastAsia="Times New Roman" w:hAnsi="Times New Roman" w:cs="Times New Roman"/>
                <w:b/>
                <w:bCs/>
                <w:color w:val="000000"/>
                <w:kern w:val="0"/>
                <w:sz w:val="19"/>
                <w:szCs w:val="19"/>
                <w:lang w:eastAsia="en-IN"/>
                <w14:ligatures w14:val="none"/>
              </w:rPr>
              <w:t>As on 31st March, 1967</w:t>
            </w:r>
          </w:p>
        </w:tc>
      </w:tr>
      <w:tr w:rsidR="007B1BAC" w:rsidRPr="00801A36" w14:paraId="6C88720C" w14:textId="77777777" w:rsidTr="00801A36">
        <w:trPr>
          <w:trHeight w:val="20"/>
          <w:jc w:val="center"/>
        </w:trPr>
        <w:tc>
          <w:tcPr>
            <w:tcW w:w="618" w:type="dxa"/>
            <w:tcBorders>
              <w:top w:val="nil"/>
              <w:left w:val="single" w:sz="4" w:space="0" w:color="auto"/>
              <w:bottom w:val="single" w:sz="4" w:space="0" w:color="auto"/>
              <w:right w:val="single" w:sz="4" w:space="0" w:color="auto"/>
            </w:tcBorders>
            <w:noWrap/>
            <w:vAlign w:val="center"/>
            <w:hideMark/>
          </w:tcPr>
          <w:p w14:paraId="08BC524C" w14:textId="1BC037D3" w:rsidR="007B1BAC" w:rsidRPr="00801A36" w:rsidRDefault="007B1BAC" w:rsidP="007B1BAC">
            <w:pPr>
              <w:spacing w:after="0" w:line="240" w:lineRule="auto"/>
              <w:jc w:val="center"/>
              <w:rPr>
                <w:rFonts w:ascii="Times New Roman" w:eastAsia="Times New Roman" w:hAnsi="Times New Roman" w:cs="Times New Roman"/>
                <w:b/>
                <w:bCs/>
                <w:color w:val="000000"/>
                <w:kern w:val="0"/>
                <w:sz w:val="19"/>
                <w:szCs w:val="19"/>
                <w:lang w:eastAsia="en-IN"/>
                <w14:ligatures w14:val="none"/>
              </w:rPr>
            </w:pPr>
          </w:p>
        </w:tc>
        <w:tc>
          <w:tcPr>
            <w:tcW w:w="1680" w:type="dxa"/>
            <w:tcBorders>
              <w:top w:val="nil"/>
              <w:left w:val="nil"/>
              <w:bottom w:val="single" w:sz="4" w:space="0" w:color="auto"/>
              <w:right w:val="single" w:sz="4" w:space="0" w:color="auto"/>
            </w:tcBorders>
            <w:noWrap/>
            <w:vAlign w:val="center"/>
            <w:hideMark/>
          </w:tcPr>
          <w:p w14:paraId="3BADD58C" w14:textId="382A4FE7" w:rsidR="007B1BAC" w:rsidRPr="00801A36" w:rsidRDefault="007B1BAC" w:rsidP="007B1BAC">
            <w:pPr>
              <w:spacing w:after="0" w:line="240" w:lineRule="auto"/>
              <w:jc w:val="center"/>
              <w:rPr>
                <w:rFonts w:ascii="Times New Roman" w:eastAsia="Times New Roman" w:hAnsi="Times New Roman" w:cs="Times New Roman"/>
                <w:b/>
                <w:bCs/>
                <w:color w:val="000000"/>
                <w:kern w:val="0"/>
                <w:sz w:val="19"/>
                <w:szCs w:val="19"/>
                <w:lang w:eastAsia="en-IN"/>
                <w14:ligatures w14:val="none"/>
              </w:rPr>
            </w:pPr>
          </w:p>
        </w:tc>
        <w:tc>
          <w:tcPr>
            <w:tcW w:w="1084" w:type="dxa"/>
            <w:tcBorders>
              <w:top w:val="nil"/>
              <w:left w:val="nil"/>
              <w:bottom w:val="single" w:sz="4" w:space="0" w:color="auto"/>
              <w:right w:val="single" w:sz="4" w:space="0" w:color="auto"/>
            </w:tcBorders>
            <w:noWrap/>
            <w:vAlign w:val="center"/>
            <w:hideMark/>
          </w:tcPr>
          <w:p w14:paraId="16E62E95" w14:textId="77777777" w:rsidR="007B1BAC" w:rsidRPr="00801A36" w:rsidRDefault="007B1BAC" w:rsidP="007B1BAC">
            <w:pPr>
              <w:spacing w:after="0" w:line="240" w:lineRule="auto"/>
              <w:jc w:val="center"/>
              <w:rPr>
                <w:rFonts w:ascii="Times New Roman" w:eastAsia="Times New Roman" w:hAnsi="Times New Roman" w:cs="Times New Roman"/>
                <w:b/>
                <w:bCs/>
                <w:color w:val="000000"/>
                <w:kern w:val="0"/>
                <w:sz w:val="19"/>
                <w:szCs w:val="19"/>
                <w:lang w:eastAsia="en-IN"/>
                <w14:ligatures w14:val="none"/>
              </w:rPr>
            </w:pPr>
            <w:r w:rsidRPr="00801A36">
              <w:rPr>
                <w:rFonts w:ascii="Times New Roman" w:eastAsia="Times New Roman" w:hAnsi="Times New Roman" w:cs="Times New Roman"/>
                <w:b/>
                <w:bCs/>
                <w:color w:val="000000"/>
                <w:kern w:val="0"/>
                <w:sz w:val="19"/>
                <w:szCs w:val="19"/>
                <w:lang w:eastAsia="en-IN"/>
                <w14:ligatures w14:val="none"/>
              </w:rPr>
              <w:t>Broad Gauge</w:t>
            </w:r>
          </w:p>
        </w:tc>
        <w:tc>
          <w:tcPr>
            <w:tcW w:w="1070" w:type="dxa"/>
            <w:tcBorders>
              <w:top w:val="nil"/>
              <w:left w:val="nil"/>
              <w:bottom w:val="single" w:sz="4" w:space="0" w:color="auto"/>
              <w:right w:val="single" w:sz="4" w:space="0" w:color="auto"/>
            </w:tcBorders>
            <w:noWrap/>
            <w:vAlign w:val="center"/>
            <w:hideMark/>
          </w:tcPr>
          <w:p w14:paraId="1795D1FD" w14:textId="77777777" w:rsidR="007B1BAC" w:rsidRPr="00801A36" w:rsidRDefault="007B1BAC" w:rsidP="007B1BAC">
            <w:pPr>
              <w:spacing w:after="0" w:line="240" w:lineRule="auto"/>
              <w:jc w:val="center"/>
              <w:rPr>
                <w:rFonts w:ascii="Times New Roman" w:eastAsia="Times New Roman" w:hAnsi="Times New Roman" w:cs="Times New Roman"/>
                <w:b/>
                <w:bCs/>
                <w:color w:val="000000"/>
                <w:kern w:val="0"/>
                <w:sz w:val="19"/>
                <w:szCs w:val="19"/>
                <w:lang w:eastAsia="en-IN"/>
                <w14:ligatures w14:val="none"/>
              </w:rPr>
            </w:pPr>
            <w:r w:rsidRPr="00801A36">
              <w:rPr>
                <w:rFonts w:ascii="Times New Roman" w:eastAsia="Times New Roman" w:hAnsi="Times New Roman" w:cs="Times New Roman"/>
                <w:b/>
                <w:bCs/>
                <w:color w:val="000000"/>
                <w:kern w:val="0"/>
                <w:sz w:val="19"/>
                <w:szCs w:val="19"/>
                <w:lang w:eastAsia="en-IN"/>
                <w14:ligatures w14:val="none"/>
              </w:rPr>
              <w:t>Metre Gauge</w:t>
            </w:r>
          </w:p>
        </w:tc>
        <w:tc>
          <w:tcPr>
            <w:tcW w:w="1196" w:type="dxa"/>
            <w:tcBorders>
              <w:top w:val="nil"/>
              <w:left w:val="nil"/>
              <w:bottom w:val="single" w:sz="4" w:space="0" w:color="auto"/>
              <w:right w:val="single" w:sz="4" w:space="0" w:color="auto"/>
            </w:tcBorders>
            <w:noWrap/>
            <w:vAlign w:val="center"/>
            <w:hideMark/>
          </w:tcPr>
          <w:p w14:paraId="69A591CD" w14:textId="77777777" w:rsidR="007B1BAC" w:rsidRPr="00801A36" w:rsidRDefault="007B1BAC" w:rsidP="007B1BAC">
            <w:pPr>
              <w:spacing w:after="0" w:line="240" w:lineRule="auto"/>
              <w:jc w:val="center"/>
              <w:rPr>
                <w:rFonts w:ascii="Times New Roman" w:eastAsia="Times New Roman" w:hAnsi="Times New Roman" w:cs="Times New Roman"/>
                <w:b/>
                <w:bCs/>
                <w:color w:val="000000"/>
                <w:kern w:val="0"/>
                <w:sz w:val="19"/>
                <w:szCs w:val="19"/>
                <w:lang w:eastAsia="en-IN"/>
                <w14:ligatures w14:val="none"/>
              </w:rPr>
            </w:pPr>
            <w:r w:rsidRPr="00801A36">
              <w:rPr>
                <w:rFonts w:ascii="Times New Roman" w:eastAsia="Times New Roman" w:hAnsi="Times New Roman" w:cs="Times New Roman"/>
                <w:b/>
                <w:bCs/>
                <w:color w:val="000000"/>
                <w:kern w:val="0"/>
                <w:sz w:val="19"/>
                <w:szCs w:val="19"/>
                <w:lang w:eastAsia="en-IN"/>
                <w14:ligatures w14:val="none"/>
              </w:rPr>
              <w:t>Narrow Gauge</w:t>
            </w:r>
          </w:p>
        </w:tc>
        <w:tc>
          <w:tcPr>
            <w:tcW w:w="986" w:type="dxa"/>
            <w:tcBorders>
              <w:top w:val="nil"/>
              <w:left w:val="nil"/>
              <w:bottom w:val="single" w:sz="4" w:space="0" w:color="auto"/>
              <w:right w:val="single" w:sz="4" w:space="0" w:color="auto"/>
            </w:tcBorders>
            <w:noWrap/>
            <w:vAlign w:val="center"/>
            <w:hideMark/>
          </w:tcPr>
          <w:p w14:paraId="0FD75CD6" w14:textId="77777777" w:rsidR="007B1BAC" w:rsidRPr="00801A36" w:rsidRDefault="007B1BAC" w:rsidP="007B1BAC">
            <w:pPr>
              <w:spacing w:after="0" w:line="240" w:lineRule="auto"/>
              <w:jc w:val="center"/>
              <w:rPr>
                <w:rFonts w:ascii="Times New Roman" w:eastAsia="Times New Roman" w:hAnsi="Times New Roman" w:cs="Times New Roman"/>
                <w:b/>
                <w:bCs/>
                <w:color w:val="000000"/>
                <w:kern w:val="0"/>
                <w:sz w:val="19"/>
                <w:szCs w:val="19"/>
                <w:lang w:eastAsia="en-IN"/>
                <w14:ligatures w14:val="none"/>
              </w:rPr>
            </w:pPr>
            <w:r w:rsidRPr="00801A36">
              <w:rPr>
                <w:rFonts w:ascii="Times New Roman" w:eastAsia="Times New Roman" w:hAnsi="Times New Roman" w:cs="Times New Roman"/>
                <w:b/>
                <w:bCs/>
                <w:color w:val="000000"/>
                <w:kern w:val="0"/>
                <w:sz w:val="19"/>
                <w:szCs w:val="19"/>
                <w:lang w:eastAsia="en-IN"/>
                <w14:ligatures w14:val="none"/>
              </w:rPr>
              <w:t>Total</w:t>
            </w:r>
          </w:p>
        </w:tc>
        <w:tc>
          <w:tcPr>
            <w:tcW w:w="1084" w:type="dxa"/>
            <w:tcBorders>
              <w:top w:val="nil"/>
              <w:left w:val="nil"/>
              <w:bottom w:val="single" w:sz="4" w:space="0" w:color="auto"/>
              <w:right w:val="single" w:sz="4" w:space="0" w:color="auto"/>
            </w:tcBorders>
            <w:noWrap/>
            <w:vAlign w:val="center"/>
            <w:hideMark/>
          </w:tcPr>
          <w:p w14:paraId="54113EC7" w14:textId="77777777" w:rsidR="007B1BAC" w:rsidRPr="00801A36" w:rsidRDefault="007B1BAC" w:rsidP="007B1BAC">
            <w:pPr>
              <w:spacing w:after="0" w:line="240" w:lineRule="auto"/>
              <w:jc w:val="center"/>
              <w:rPr>
                <w:rFonts w:ascii="Times New Roman" w:eastAsia="Times New Roman" w:hAnsi="Times New Roman" w:cs="Times New Roman"/>
                <w:b/>
                <w:bCs/>
                <w:color w:val="000000"/>
                <w:kern w:val="0"/>
                <w:sz w:val="19"/>
                <w:szCs w:val="19"/>
                <w:lang w:eastAsia="en-IN"/>
                <w14:ligatures w14:val="none"/>
              </w:rPr>
            </w:pPr>
            <w:r w:rsidRPr="00801A36">
              <w:rPr>
                <w:rFonts w:ascii="Times New Roman" w:eastAsia="Times New Roman" w:hAnsi="Times New Roman" w:cs="Times New Roman"/>
                <w:b/>
                <w:bCs/>
                <w:color w:val="000000"/>
                <w:kern w:val="0"/>
                <w:sz w:val="19"/>
                <w:szCs w:val="19"/>
                <w:lang w:eastAsia="en-IN"/>
                <w14:ligatures w14:val="none"/>
              </w:rPr>
              <w:t>Broad Gauge</w:t>
            </w:r>
          </w:p>
        </w:tc>
        <w:tc>
          <w:tcPr>
            <w:tcW w:w="1070" w:type="dxa"/>
            <w:tcBorders>
              <w:top w:val="nil"/>
              <w:left w:val="nil"/>
              <w:bottom w:val="single" w:sz="4" w:space="0" w:color="auto"/>
              <w:right w:val="single" w:sz="4" w:space="0" w:color="auto"/>
            </w:tcBorders>
            <w:noWrap/>
            <w:vAlign w:val="center"/>
            <w:hideMark/>
          </w:tcPr>
          <w:p w14:paraId="34A24B9C" w14:textId="77777777" w:rsidR="007B1BAC" w:rsidRPr="00801A36" w:rsidRDefault="007B1BAC" w:rsidP="007B1BAC">
            <w:pPr>
              <w:spacing w:after="0" w:line="240" w:lineRule="auto"/>
              <w:jc w:val="center"/>
              <w:rPr>
                <w:rFonts w:ascii="Times New Roman" w:eastAsia="Times New Roman" w:hAnsi="Times New Roman" w:cs="Times New Roman"/>
                <w:b/>
                <w:bCs/>
                <w:color w:val="000000"/>
                <w:kern w:val="0"/>
                <w:sz w:val="19"/>
                <w:szCs w:val="19"/>
                <w:lang w:eastAsia="en-IN"/>
                <w14:ligatures w14:val="none"/>
              </w:rPr>
            </w:pPr>
            <w:r w:rsidRPr="00801A36">
              <w:rPr>
                <w:rFonts w:ascii="Times New Roman" w:eastAsia="Times New Roman" w:hAnsi="Times New Roman" w:cs="Times New Roman"/>
                <w:b/>
                <w:bCs/>
                <w:color w:val="000000"/>
                <w:kern w:val="0"/>
                <w:sz w:val="19"/>
                <w:szCs w:val="19"/>
                <w:lang w:eastAsia="en-IN"/>
                <w14:ligatures w14:val="none"/>
              </w:rPr>
              <w:t>Metre Gauge</w:t>
            </w:r>
          </w:p>
        </w:tc>
        <w:tc>
          <w:tcPr>
            <w:tcW w:w="1196" w:type="dxa"/>
            <w:tcBorders>
              <w:top w:val="nil"/>
              <w:left w:val="nil"/>
              <w:bottom w:val="single" w:sz="4" w:space="0" w:color="auto"/>
              <w:right w:val="single" w:sz="4" w:space="0" w:color="auto"/>
            </w:tcBorders>
            <w:noWrap/>
            <w:vAlign w:val="center"/>
            <w:hideMark/>
          </w:tcPr>
          <w:p w14:paraId="513B680D" w14:textId="77777777" w:rsidR="007B1BAC" w:rsidRPr="00801A36" w:rsidRDefault="007B1BAC" w:rsidP="007B1BAC">
            <w:pPr>
              <w:spacing w:after="0" w:line="240" w:lineRule="auto"/>
              <w:jc w:val="center"/>
              <w:rPr>
                <w:rFonts w:ascii="Times New Roman" w:eastAsia="Times New Roman" w:hAnsi="Times New Roman" w:cs="Times New Roman"/>
                <w:b/>
                <w:bCs/>
                <w:color w:val="000000"/>
                <w:kern w:val="0"/>
                <w:sz w:val="19"/>
                <w:szCs w:val="19"/>
                <w:lang w:eastAsia="en-IN"/>
                <w14:ligatures w14:val="none"/>
              </w:rPr>
            </w:pPr>
            <w:r w:rsidRPr="00801A36">
              <w:rPr>
                <w:rFonts w:ascii="Times New Roman" w:eastAsia="Times New Roman" w:hAnsi="Times New Roman" w:cs="Times New Roman"/>
                <w:b/>
                <w:bCs/>
                <w:color w:val="000000"/>
                <w:kern w:val="0"/>
                <w:sz w:val="19"/>
                <w:szCs w:val="19"/>
                <w:lang w:eastAsia="en-IN"/>
                <w14:ligatures w14:val="none"/>
              </w:rPr>
              <w:t>Narrow Gauge</w:t>
            </w:r>
          </w:p>
        </w:tc>
        <w:tc>
          <w:tcPr>
            <w:tcW w:w="986" w:type="dxa"/>
            <w:tcBorders>
              <w:top w:val="nil"/>
              <w:left w:val="nil"/>
              <w:bottom w:val="single" w:sz="4" w:space="0" w:color="auto"/>
              <w:right w:val="single" w:sz="4" w:space="0" w:color="auto"/>
            </w:tcBorders>
            <w:noWrap/>
            <w:vAlign w:val="center"/>
            <w:hideMark/>
          </w:tcPr>
          <w:p w14:paraId="6F13A664" w14:textId="77777777" w:rsidR="007B1BAC" w:rsidRPr="00801A36" w:rsidRDefault="007B1BAC" w:rsidP="007B1BAC">
            <w:pPr>
              <w:spacing w:after="0" w:line="240" w:lineRule="auto"/>
              <w:jc w:val="center"/>
              <w:rPr>
                <w:rFonts w:ascii="Times New Roman" w:eastAsia="Times New Roman" w:hAnsi="Times New Roman" w:cs="Times New Roman"/>
                <w:b/>
                <w:bCs/>
                <w:color w:val="000000"/>
                <w:kern w:val="0"/>
                <w:sz w:val="19"/>
                <w:szCs w:val="19"/>
                <w:lang w:eastAsia="en-IN"/>
                <w14:ligatures w14:val="none"/>
              </w:rPr>
            </w:pPr>
            <w:r w:rsidRPr="00801A36">
              <w:rPr>
                <w:rFonts w:ascii="Times New Roman" w:eastAsia="Times New Roman" w:hAnsi="Times New Roman" w:cs="Times New Roman"/>
                <w:b/>
                <w:bCs/>
                <w:color w:val="000000"/>
                <w:kern w:val="0"/>
                <w:sz w:val="19"/>
                <w:szCs w:val="19"/>
                <w:lang w:eastAsia="en-IN"/>
                <w14:ligatures w14:val="none"/>
              </w:rPr>
              <w:t>Total</w:t>
            </w:r>
          </w:p>
        </w:tc>
        <w:tc>
          <w:tcPr>
            <w:tcW w:w="1084" w:type="dxa"/>
            <w:tcBorders>
              <w:top w:val="nil"/>
              <w:left w:val="nil"/>
              <w:bottom w:val="single" w:sz="4" w:space="0" w:color="auto"/>
              <w:right w:val="single" w:sz="4" w:space="0" w:color="auto"/>
            </w:tcBorders>
            <w:noWrap/>
            <w:vAlign w:val="center"/>
            <w:hideMark/>
          </w:tcPr>
          <w:p w14:paraId="5FE34B34" w14:textId="77777777" w:rsidR="007B1BAC" w:rsidRPr="00801A36" w:rsidRDefault="007B1BAC" w:rsidP="007B1BAC">
            <w:pPr>
              <w:spacing w:after="0" w:line="240" w:lineRule="auto"/>
              <w:jc w:val="center"/>
              <w:rPr>
                <w:rFonts w:ascii="Times New Roman" w:eastAsia="Times New Roman" w:hAnsi="Times New Roman" w:cs="Times New Roman"/>
                <w:b/>
                <w:bCs/>
                <w:color w:val="000000"/>
                <w:kern w:val="0"/>
                <w:sz w:val="19"/>
                <w:szCs w:val="19"/>
                <w:lang w:eastAsia="en-IN"/>
                <w14:ligatures w14:val="none"/>
              </w:rPr>
            </w:pPr>
            <w:r w:rsidRPr="00801A36">
              <w:rPr>
                <w:rFonts w:ascii="Times New Roman" w:eastAsia="Times New Roman" w:hAnsi="Times New Roman" w:cs="Times New Roman"/>
                <w:b/>
                <w:bCs/>
                <w:color w:val="000000"/>
                <w:kern w:val="0"/>
                <w:sz w:val="19"/>
                <w:szCs w:val="19"/>
                <w:lang w:eastAsia="en-IN"/>
                <w14:ligatures w14:val="none"/>
              </w:rPr>
              <w:t>Broad Gauge</w:t>
            </w:r>
          </w:p>
        </w:tc>
        <w:tc>
          <w:tcPr>
            <w:tcW w:w="1070" w:type="dxa"/>
            <w:tcBorders>
              <w:top w:val="nil"/>
              <w:left w:val="nil"/>
              <w:bottom w:val="single" w:sz="4" w:space="0" w:color="auto"/>
              <w:right w:val="single" w:sz="4" w:space="0" w:color="auto"/>
            </w:tcBorders>
            <w:noWrap/>
            <w:vAlign w:val="center"/>
            <w:hideMark/>
          </w:tcPr>
          <w:p w14:paraId="2DC8F3EA" w14:textId="77777777" w:rsidR="007B1BAC" w:rsidRPr="00801A36" w:rsidRDefault="007B1BAC" w:rsidP="007B1BAC">
            <w:pPr>
              <w:spacing w:after="0" w:line="240" w:lineRule="auto"/>
              <w:jc w:val="center"/>
              <w:rPr>
                <w:rFonts w:ascii="Times New Roman" w:eastAsia="Times New Roman" w:hAnsi="Times New Roman" w:cs="Times New Roman"/>
                <w:b/>
                <w:bCs/>
                <w:color w:val="000000"/>
                <w:kern w:val="0"/>
                <w:sz w:val="19"/>
                <w:szCs w:val="19"/>
                <w:lang w:eastAsia="en-IN"/>
                <w14:ligatures w14:val="none"/>
              </w:rPr>
            </w:pPr>
            <w:r w:rsidRPr="00801A36">
              <w:rPr>
                <w:rFonts w:ascii="Times New Roman" w:eastAsia="Times New Roman" w:hAnsi="Times New Roman" w:cs="Times New Roman"/>
                <w:b/>
                <w:bCs/>
                <w:color w:val="000000"/>
                <w:kern w:val="0"/>
                <w:sz w:val="19"/>
                <w:szCs w:val="19"/>
                <w:lang w:eastAsia="en-IN"/>
                <w14:ligatures w14:val="none"/>
              </w:rPr>
              <w:t>Metre Gauge</w:t>
            </w:r>
          </w:p>
        </w:tc>
        <w:tc>
          <w:tcPr>
            <w:tcW w:w="1196" w:type="dxa"/>
            <w:tcBorders>
              <w:top w:val="nil"/>
              <w:left w:val="nil"/>
              <w:bottom w:val="single" w:sz="4" w:space="0" w:color="auto"/>
              <w:right w:val="single" w:sz="4" w:space="0" w:color="auto"/>
            </w:tcBorders>
            <w:noWrap/>
            <w:vAlign w:val="center"/>
            <w:hideMark/>
          </w:tcPr>
          <w:p w14:paraId="114232AD" w14:textId="77777777" w:rsidR="007B1BAC" w:rsidRPr="00801A36" w:rsidRDefault="007B1BAC" w:rsidP="007B1BAC">
            <w:pPr>
              <w:spacing w:after="0" w:line="240" w:lineRule="auto"/>
              <w:jc w:val="center"/>
              <w:rPr>
                <w:rFonts w:ascii="Times New Roman" w:eastAsia="Times New Roman" w:hAnsi="Times New Roman" w:cs="Times New Roman"/>
                <w:b/>
                <w:bCs/>
                <w:color w:val="000000"/>
                <w:kern w:val="0"/>
                <w:sz w:val="19"/>
                <w:szCs w:val="19"/>
                <w:lang w:eastAsia="en-IN"/>
                <w14:ligatures w14:val="none"/>
              </w:rPr>
            </w:pPr>
            <w:r w:rsidRPr="00801A36">
              <w:rPr>
                <w:rFonts w:ascii="Times New Roman" w:eastAsia="Times New Roman" w:hAnsi="Times New Roman" w:cs="Times New Roman"/>
                <w:b/>
                <w:bCs/>
                <w:color w:val="000000"/>
                <w:kern w:val="0"/>
                <w:sz w:val="19"/>
                <w:szCs w:val="19"/>
                <w:lang w:eastAsia="en-IN"/>
                <w14:ligatures w14:val="none"/>
              </w:rPr>
              <w:t>Narrow Gauge</w:t>
            </w:r>
          </w:p>
        </w:tc>
        <w:tc>
          <w:tcPr>
            <w:tcW w:w="986" w:type="dxa"/>
            <w:tcBorders>
              <w:top w:val="nil"/>
              <w:left w:val="nil"/>
              <w:bottom w:val="single" w:sz="4" w:space="0" w:color="auto"/>
              <w:right w:val="single" w:sz="4" w:space="0" w:color="auto"/>
            </w:tcBorders>
            <w:noWrap/>
            <w:vAlign w:val="center"/>
            <w:hideMark/>
          </w:tcPr>
          <w:p w14:paraId="339EC215" w14:textId="77777777" w:rsidR="007B1BAC" w:rsidRPr="00801A36" w:rsidRDefault="007B1BAC" w:rsidP="007B1BAC">
            <w:pPr>
              <w:spacing w:after="0" w:line="240" w:lineRule="auto"/>
              <w:jc w:val="center"/>
              <w:rPr>
                <w:rFonts w:ascii="Times New Roman" w:eastAsia="Times New Roman" w:hAnsi="Times New Roman" w:cs="Times New Roman"/>
                <w:b/>
                <w:bCs/>
                <w:color w:val="000000"/>
                <w:kern w:val="0"/>
                <w:sz w:val="19"/>
                <w:szCs w:val="19"/>
                <w:lang w:eastAsia="en-IN"/>
                <w14:ligatures w14:val="none"/>
              </w:rPr>
            </w:pPr>
            <w:r w:rsidRPr="00801A36">
              <w:rPr>
                <w:rFonts w:ascii="Times New Roman" w:eastAsia="Times New Roman" w:hAnsi="Times New Roman" w:cs="Times New Roman"/>
                <w:b/>
                <w:bCs/>
                <w:color w:val="000000"/>
                <w:kern w:val="0"/>
                <w:sz w:val="19"/>
                <w:szCs w:val="19"/>
                <w:lang w:eastAsia="en-IN"/>
                <w14:ligatures w14:val="none"/>
              </w:rPr>
              <w:t>Total</w:t>
            </w:r>
          </w:p>
        </w:tc>
      </w:tr>
      <w:tr w:rsidR="007B1BAC" w:rsidRPr="00801A36" w14:paraId="6450D579" w14:textId="77777777" w:rsidTr="00801A36">
        <w:trPr>
          <w:trHeight w:val="20"/>
          <w:jc w:val="center"/>
        </w:trPr>
        <w:tc>
          <w:tcPr>
            <w:tcW w:w="618" w:type="dxa"/>
            <w:tcBorders>
              <w:top w:val="nil"/>
              <w:left w:val="single" w:sz="4" w:space="0" w:color="auto"/>
              <w:bottom w:val="single" w:sz="4" w:space="0" w:color="auto"/>
              <w:right w:val="single" w:sz="4" w:space="0" w:color="auto"/>
            </w:tcBorders>
            <w:noWrap/>
            <w:vAlign w:val="center"/>
            <w:hideMark/>
          </w:tcPr>
          <w:p w14:paraId="498C2F12" w14:textId="1FF2E514" w:rsidR="007B1BAC" w:rsidRPr="00801A36" w:rsidRDefault="007B1BAC" w:rsidP="007B1BAC">
            <w:pPr>
              <w:spacing w:after="0" w:line="240" w:lineRule="auto"/>
              <w:jc w:val="center"/>
              <w:rPr>
                <w:rFonts w:ascii="Times New Roman" w:eastAsia="Times New Roman" w:hAnsi="Times New Roman" w:cs="Times New Roman"/>
                <w:b/>
                <w:bCs/>
                <w:color w:val="000000"/>
                <w:kern w:val="0"/>
                <w:sz w:val="19"/>
                <w:szCs w:val="19"/>
                <w:lang w:eastAsia="en-IN"/>
                <w14:ligatures w14:val="none"/>
              </w:rPr>
            </w:pPr>
            <w:r w:rsidRPr="00801A36">
              <w:rPr>
                <w:rFonts w:ascii="Times New Roman" w:eastAsia="Times New Roman" w:hAnsi="Times New Roman" w:cs="Times New Roman"/>
                <w:b/>
                <w:bCs/>
                <w:color w:val="000000"/>
                <w:kern w:val="0"/>
                <w:sz w:val="19"/>
                <w:szCs w:val="19"/>
                <w:lang w:eastAsia="en-IN"/>
                <w14:ligatures w14:val="none"/>
              </w:rPr>
              <w:t>1</w:t>
            </w:r>
          </w:p>
        </w:tc>
        <w:tc>
          <w:tcPr>
            <w:tcW w:w="1680" w:type="dxa"/>
            <w:tcBorders>
              <w:top w:val="nil"/>
              <w:left w:val="nil"/>
              <w:bottom w:val="single" w:sz="4" w:space="0" w:color="auto"/>
              <w:right w:val="single" w:sz="4" w:space="0" w:color="auto"/>
            </w:tcBorders>
            <w:noWrap/>
            <w:vAlign w:val="center"/>
            <w:hideMark/>
          </w:tcPr>
          <w:p w14:paraId="21F690FE" w14:textId="444AF533" w:rsidR="007B1BAC" w:rsidRPr="00801A36" w:rsidRDefault="007B1BAC" w:rsidP="007B1BAC">
            <w:pPr>
              <w:spacing w:after="0" w:line="240" w:lineRule="auto"/>
              <w:jc w:val="center"/>
              <w:rPr>
                <w:rFonts w:ascii="Times New Roman" w:eastAsia="Times New Roman" w:hAnsi="Times New Roman" w:cs="Times New Roman"/>
                <w:b/>
                <w:bCs/>
                <w:color w:val="000000"/>
                <w:kern w:val="0"/>
                <w:sz w:val="19"/>
                <w:szCs w:val="19"/>
                <w:lang w:eastAsia="en-IN"/>
                <w14:ligatures w14:val="none"/>
              </w:rPr>
            </w:pPr>
            <w:r w:rsidRPr="00801A36">
              <w:rPr>
                <w:rFonts w:ascii="Times New Roman" w:eastAsia="Times New Roman" w:hAnsi="Times New Roman" w:cs="Times New Roman"/>
                <w:b/>
                <w:bCs/>
                <w:color w:val="000000"/>
                <w:kern w:val="0"/>
                <w:sz w:val="19"/>
                <w:szCs w:val="19"/>
                <w:lang w:eastAsia="en-IN"/>
                <w14:ligatures w14:val="none"/>
              </w:rPr>
              <w:t>2</w:t>
            </w:r>
          </w:p>
        </w:tc>
        <w:tc>
          <w:tcPr>
            <w:tcW w:w="1084" w:type="dxa"/>
            <w:tcBorders>
              <w:top w:val="nil"/>
              <w:left w:val="nil"/>
              <w:bottom w:val="single" w:sz="4" w:space="0" w:color="auto"/>
              <w:right w:val="single" w:sz="4" w:space="0" w:color="auto"/>
            </w:tcBorders>
            <w:noWrap/>
            <w:vAlign w:val="center"/>
            <w:hideMark/>
          </w:tcPr>
          <w:p w14:paraId="0B2536BF" w14:textId="0AAD8391" w:rsidR="007B1BAC" w:rsidRPr="00801A36" w:rsidRDefault="007B1BAC" w:rsidP="007B1BAC">
            <w:pPr>
              <w:spacing w:after="0" w:line="240" w:lineRule="auto"/>
              <w:jc w:val="center"/>
              <w:rPr>
                <w:rFonts w:ascii="Times New Roman" w:eastAsia="Times New Roman" w:hAnsi="Times New Roman" w:cs="Times New Roman"/>
                <w:b/>
                <w:bCs/>
                <w:color w:val="000000"/>
                <w:kern w:val="0"/>
                <w:sz w:val="19"/>
                <w:szCs w:val="19"/>
                <w:lang w:eastAsia="en-IN"/>
                <w14:ligatures w14:val="none"/>
              </w:rPr>
            </w:pPr>
            <w:r w:rsidRPr="00801A36">
              <w:rPr>
                <w:rFonts w:ascii="Times New Roman" w:eastAsia="Times New Roman" w:hAnsi="Times New Roman" w:cs="Times New Roman"/>
                <w:b/>
                <w:bCs/>
                <w:color w:val="000000"/>
                <w:kern w:val="0"/>
                <w:sz w:val="19"/>
                <w:szCs w:val="19"/>
                <w:lang w:eastAsia="en-IN"/>
                <w14:ligatures w14:val="none"/>
              </w:rPr>
              <w:t>3</w:t>
            </w:r>
          </w:p>
        </w:tc>
        <w:tc>
          <w:tcPr>
            <w:tcW w:w="1070" w:type="dxa"/>
            <w:tcBorders>
              <w:top w:val="nil"/>
              <w:left w:val="nil"/>
              <w:bottom w:val="single" w:sz="4" w:space="0" w:color="auto"/>
              <w:right w:val="single" w:sz="4" w:space="0" w:color="auto"/>
            </w:tcBorders>
            <w:noWrap/>
            <w:vAlign w:val="center"/>
            <w:hideMark/>
          </w:tcPr>
          <w:p w14:paraId="2DB1E207" w14:textId="3D9D0394" w:rsidR="007B1BAC" w:rsidRPr="00801A36" w:rsidRDefault="007B1BAC" w:rsidP="007B1BAC">
            <w:pPr>
              <w:spacing w:after="0" w:line="240" w:lineRule="auto"/>
              <w:jc w:val="center"/>
              <w:rPr>
                <w:rFonts w:ascii="Times New Roman" w:eastAsia="Times New Roman" w:hAnsi="Times New Roman" w:cs="Times New Roman"/>
                <w:b/>
                <w:bCs/>
                <w:color w:val="000000"/>
                <w:kern w:val="0"/>
                <w:sz w:val="19"/>
                <w:szCs w:val="19"/>
                <w:lang w:eastAsia="en-IN"/>
                <w14:ligatures w14:val="none"/>
              </w:rPr>
            </w:pPr>
            <w:r w:rsidRPr="00801A36">
              <w:rPr>
                <w:rFonts w:ascii="Times New Roman" w:eastAsia="Times New Roman" w:hAnsi="Times New Roman" w:cs="Times New Roman"/>
                <w:b/>
                <w:bCs/>
                <w:color w:val="000000"/>
                <w:kern w:val="0"/>
                <w:sz w:val="19"/>
                <w:szCs w:val="19"/>
                <w:lang w:eastAsia="en-IN"/>
                <w14:ligatures w14:val="none"/>
              </w:rPr>
              <w:t>4</w:t>
            </w:r>
          </w:p>
        </w:tc>
        <w:tc>
          <w:tcPr>
            <w:tcW w:w="1196" w:type="dxa"/>
            <w:tcBorders>
              <w:top w:val="nil"/>
              <w:left w:val="nil"/>
              <w:bottom w:val="single" w:sz="4" w:space="0" w:color="auto"/>
              <w:right w:val="single" w:sz="4" w:space="0" w:color="auto"/>
            </w:tcBorders>
            <w:noWrap/>
            <w:vAlign w:val="center"/>
            <w:hideMark/>
          </w:tcPr>
          <w:p w14:paraId="1C38F991" w14:textId="4B9F1D8E" w:rsidR="007B1BAC" w:rsidRPr="00801A36" w:rsidRDefault="007B1BAC" w:rsidP="007B1BAC">
            <w:pPr>
              <w:spacing w:after="0" w:line="240" w:lineRule="auto"/>
              <w:jc w:val="center"/>
              <w:rPr>
                <w:rFonts w:ascii="Times New Roman" w:eastAsia="Times New Roman" w:hAnsi="Times New Roman" w:cs="Times New Roman"/>
                <w:b/>
                <w:bCs/>
                <w:color w:val="000000"/>
                <w:kern w:val="0"/>
                <w:sz w:val="19"/>
                <w:szCs w:val="19"/>
                <w:lang w:eastAsia="en-IN"/>
                <w14:ligatures w14:val="none"/>
              </w:rPr>
            </w:pPr>
            <w:r w:rsidRPr="00801A36">
              <w:rPr>
                <w:rFonts w:ascii="Times New Roman" w:eastAsia="Times New Roman" w:hAnsi="Times New Roman" w:cs="Times New Roman"/>
                <w:b/>
                <w:bCs/>
                <w:color w:val="000000"/>
                <w:kern w:val="0"/>
                <w:sz w:val="19"/>
                <w:szCs w:val="19"/>
                <w:lang w:eastAsia="en-IN"/>
                <w14:ligatures w14:val="none"/>
              </w:rPr>
              <w:t>5</w:t>
            </w:r>
          </w:p>
        </w:tc>
        <w:tc>
          <w:tcPr>
            <w:tcW w:w="986" w:type="dxa"/>
            <w:tcBorders>
              <w:top w:val="nil"/>
              <w:left w:val="nil"/>
              <w:bottom w:val="single" w:sz="4" w:space="0" w:color="auto"/>
              <w:right w:val="single" w:sz="4" w:space="0" w:color="auto"/>
            </w:tcBorders>
            <w:noWrap/>
            <w:vAlign w:val="center"/>
            <w:hideMark/>
          </w:tcPr>
          <w:p w14:paraId="50CAED0B" w14:textId="323DB3CB" w:rsidR="007B1BAC" w:rsidRPr="00801A36" w:rsidRDefault="007B1BAC" w:rsidP="007B1BAC">
            <w:pPr>
              <w:spacing w:after="0" w:line="240" w:lineRule="auto"/>
              <w:jc w:val="center"/>
              <w:rPr>
                <w:rFonts w:ascii="Times New Roman" w:eastAsia="Times New Roman" w:hAnsi="Times New Roman" w:cs="Times New Roman"/>
                <w:b/>
                <w:bCs/>
                <w:color w:val="000000"/>
                <w:kern w:val="0"/>
                <w:sz w:val="19"/>
                <w:szCs w:val="19"/>
                <w:lang w:eastAsia="en-IN"/>
                <w14:ligatures w14:val="none"/>
              </w:rPr>
            </w:pPr>
            <w:r w:rsidRPr="00801A36">
              <w:rPr>
                <w:rFonts w:ascii="Times New Roman" w:eastAsia="Times New Roman" w:hAnsi="Times New Roman" w:cs="Times New Roman"/>
                <w:b/>
                <w:bCs/>
                <w:color w:val="000000"/>
                <w:kern w:val="0"/>
                <w:sz w:val="19"/>
                <w:szCs w:val="19"/>
                <w:lang w:eastAsia="en-IN"/>
                <w14:ligatures w14:val="none"/>
              </w:rPr>
              <w:t>6</w:t>
            </w:r>
          </w:p>
        </w:tc>
        <w:tc>
          <w:tcPr>
            <w:tcW w:w="1084" w:type="dxa"/>
            <w:tcBorders>
              <w:top w:val="nil"/>
              <w:left w:val="nil"/>
              <w:bottom w:val="single" w:sz="4" w:space="0" w:color="auto"/>
              <w:right w:val="single" w:sz="4" w:space="0" w:color="auto"/>
            </w:tcBorders>
            <w:noWrap/>
            <w:vAlign w:val="center"/>
            <w:hideMark/>
          </w:tcPr>
          <w:p w14:paraId="13F48FC6" w14:textId="0427391C" w:rsidR="007B1BAC" w:rsidRPr="00801A36" w:rsidRDefault="007B1BAC" w:rsidP="007B1BAC">
            <w:pPr>
              <w:spacing w:after="0" w:line="240" w:lineRule="auto"/>
              <w:jc w:val="center"/>
              <w:rPr>
                <w:rFonts w:ascii="Times New Roman" w:eastAsia="Times New Roman" w:hAnsi="Times New Roman" w:cs="Times New Roman"/>
                <w:b/>
                <w:bCs/>
                <w:color w:val="000000"/>
                <w:kern w:val="0"/>
                <w:sz w:val="19"/>
                <w:szCs w:val="19"/>
                <w:lang w:eastAsia="en-IN"/>
                <w14:ligatures w14:val="none"/>
              </w:rPr>
            </w:pPr>
            <w:r w:rsidRPr="00801A36">
              <w:rPr>
                <w:rFonts w:ascii="Times New Roman" w:eastAsia="Times New Roman" w:hAnsi="Times New Roman" w:cs="Times New Roman"/>
                <w:b/>
                <w:bCs/>
                <w:color w:val="000000"/>
                <w:kern w:val="0"/>
                <w:sz w:val="19"/>
                <w:szCs w:val="19"/>
                <w:lang w:eastAsia="en-IN"/>
                <w14:ligatures w14:val="none"/>
              </w:rPr>
              <w:t>7</w:t>
            </w:r>
          </w:p>
        </w:tc>
        <w:tc>
          <w:tcPr>
            <w:tcW w:w="1070" w:type="dxa"/>
            <w:tcBorders>
              <w:top w:val="nil"/>
              <w:left w:val="nil"/>
              <w:bottom w:val="single" w:sz="4" w:space="0" w:color="auto"/>
              <w:right w:val="single" w:sz="4" w:space="0" w:color="auto"/>
            </w:tcBorders>
            <w:noWrap/>
            <w:vAlign w:val="center"/>
            <w:hideMark/>
          </w:tcPr>
          <w:p w14:paraId="283C4B10" w14:textId="6FC689C9" w:rsidR="007B1BAC" w:rsidRPr="00801A36" w:rsidRDefault="007B1BAC" w:rsidP="007B1BAC">
            <w:pPr>
              <w:spacing w:after="0" w:line="240" w:lineRule="auto"/>
              <w:jc w:val="center"/>
              <w:rPr>
                <w:rFonts w:ascii="Times New Roman" w:eastAsia="Times New Roman" w:hAnsi="Times New Roman" w:cs="Times New Roman"/>
                <w:b/>
                <w:bCs/>
                <w:color w:val="000000"/>
                <w:kern w:val="0"/>
                <w:sz w:val="19"/>
                <w:szCs w:val="19"/>
                <w:lang w:eastAsia="en-IN"/>
                <w14:ligatures w14:val="none"/>
              </w:rPr>
            </w:pPr>
            <w:r w:rsidRPr="00801A36">
              <w:rPr>
                <w:rFonts w:ascii="Times New Roman" w:eastAsia="Times New Roman" w:hAnsi="Times New Roman" w:cs="Times New Roman"/>
                <w:b/>
                <w:bCs/>
                <w:color w:val="000000"/>
                <w:kern w:val="0"/>
                <w:sz w:val="19"/>
                <w:szCs w:val="19"/>
                <w:lang w:eastAsia="en-IN"/>
                <w14:ligatures w14:val="none"/>
              </w:rPr>
              <w:t>8</w:t>
            </w:r>
          </w:p>
        </w:tc>
        <w:tc>
          <w:tcPr>
            <w:tcW w:w="1196" w:type="dxa"/>
            <w:tcBorders>
              <w:top w:val="nil"/>
              <w:left w:val="nil"/>
              <w:bottom w:val="single" w:sz="4" w:space="0" w:color="auto"/>
              <w:right w:val="single" w:sz="4" w:space="0" w:color="auto"/>
            </w:tcBorders>
            <w:noWrap/>
            <w:vAlign w:val="center"/>
            <w:hideMark/>
          </w:tcPr>
          <w:p w14:paraId="2C187E21" w14:textId="2EA0E114" w:rsidR="007B1BAC" w:rsidRPr="00801A36" w:rsidRDefault="007B1BAC" w:rsidP="007B1BAC">
            <w:pPr>
              <w:spacing w:after="0" w:line="240" w:lineRule="auto"/>
              <w:jc w:val="center"/>
              <w:rPr>
                <w:rFonts w:ascii="Times New Roman" w:eastAsia="Times New Roman" w:hAnsi="Times New Roman" w:cs="Times New Roman"/>
                <w:b/>
                <w:bCs/>
                <w:color w:val="000000"/>
                <w:kern w:val="0"/>
                <w:sz w:val="19"/>
                <w:szCs w:val="19"/>
                <w:lang w:eastAsia="en-IN"/>
                <w14:ligatures w14:val="none"/>
              </w:rPr>
            </w:pPr>
            <w:r w:rsidRPr="00801A36">
              <w:rPr>
                <w:rFonts w:ascii="Times New Roman" w:eastAsia="Times New Roman" w:hAnsi="Times New Roman" w:cs="Times New Roman"/>
                <w:b/>
                <w:bCs/>
                <w:color w:val="000000"/>
                <w:kern w:val="0"/>
                <w:sz w:val="19"/>
                <w:szCs w:val="19"/>
                <w:lang w:eastAsia="en-IN"/>
                <w14:ligatures w14:val="none"/>
              </w:rPr>
              <w:t>9</w:t>
            </w:r>
          </w:p>
        </w:tc>
        <w:tc>
          <w:tcPr>
            <w:tcW w:w="986" w:type="dxa"/>
            <w:tcBorders>
              <w:top w:val="nil"/>
              <w:left w:val="nil"/>
              <w:bottom w:val="single" w:sz="4" w:space="0" w:color="auto"/>
              <w:right w:val="single" w:sz="4" w:space="0" w:color="auto"/>
            </w:tcBorders>
            <w:noWrap/>
            <w:vAlign w:val="center"/>
            <w:hideMark/>
          </w:tcPr>
          <w:p w14:paraId="42AB7F3F" w14:textId="6CE775E2" w:rsidR="007B1BAC" w:rsidRPr="00801A36" w:rsidRDefault="007B1BAC" w:rsidP="007B1BAC">
            <w:pPr>
              <w:spacing w:after="0" w:line="240" w:lineRule="auto"/>
              <w:jc w:val="center"/>
              <w:rPr>
                <w:rFonts w:ascii="Times New Roman" w:eastAsia="Times New Roman" w:hAnsi="Times New Roman" w:cs="Times New Roman"/>
                <w:b/>
                <w:bCs/>
                <w:color w:val="000000"/>
                <w:kern w:val="0"/>
                <w:sz w:val="19"/>
                <w:szCs w:val="19"/>
                <w:lang w:eastAsia="en-IN"/>
                <w14:ligatures w14:val="none"/>
              </w:rPr>
            </w:pPr>
            <w:r w:rsidRPr="00801A36">
              <w:rPr>
                <w:rFonts w:ascii="Times New Roman" w:eastAsia="Times New Roman" w:hAnsi="Times New Roman" w:cs="Times New Roman"/>
                <w:b/>
                <w:bCs/>
                <w:color w:val="000000"/>
                <w:kern w:val="0"/>
                <w:sz w:val="19"/>
                <w:szCs w:val="19"/>
                <w:lang w:eastAsia="en-IN"/>
                <w14:ligatures w14:val="none"/>
              </w:rPr>
              <w:t>10</w:t>
            </w:r>
          </w:p>
        </w:tc>
        <w:tc>
          <w:tcPr>
            <w:tcW w:w="1084" w:type="dxa"/>
            <w:tcBorders>
              <w:top w:val="nil"/>
              <w:left w:val="nil"/>
              <w:bottom w:val="single" w:sz="4" w:space="0" w:color="auto"/>
              <w:right w:val="single" w:sz="4" w:space="0" w:color="auto"/>
            </w:tcBorders>
            <w:noWrap/>
            <w:vAlign w:val="center"/>
            <w:hideMark/>
          </w:tcPr>
          <w:p w14:paraId="483D63C3" w14:textId="06A25318" w:rsidR="007B1BAC" w:rsidRPr="00801A36" w:rsidRDefault="007B1BAC" w:rsidP="007B1BAC">
            <w:pPr>
              <w:spacing w:after="0" w:line="240" w:lineRule="auto"/>
              <w:jc w:val="center"/>
              <w:rPr>
                <w:rFonts w:ascii="Times New Roman" w:eastAsia="Times New Roman" w:hAnsi="Times New Roman" w:cs="Times New Roman"/>
                <w:b/>
                <w:bCs/>
                <w:color w:val="000000"/>
                <w:kern w:val="0"/>
                <w:sz w:val="19"/>
                <w:szCs w:val="19"/>
                <w:lang w:eastAsia="en-IN"/>
                <w14:ligatures w14:val="none"/>
              </w:rPr>
            </w:pPr>
            <w:r w:rsidRPr="00801A36">
              <w:rPr>
                <w:rFonts w:ascii="Times New Roman" w:eastAsia="Times New Roman" w:hAnsi="Times New Roman" w:cs="Times New Roman"/>
                <w:b/>
                <w:bCs/>
                <w:color w:val="000000"/>
                <w:kern w:val="0"/>
                <w:sz w:val="19"/>
                <w:szCs w:val="19"/>
                <w:lang w:eastAsia="en-IN"/>
                <w14:ligatures w14:val="none"/>
              </w:rPr>
              <w:t>11</w:t>
            </w:r>
          </w:p>
        </w:tc>
        <w:tc>
          <w:tcPr>
            <w:tcW w:w="1070" w:type="dxa"/>
            <w:tcBorders>
              <w:top w:val="nil"/>
              <w:left w:val="nil"/>
              <w:bottom w:val="single" w:sz="4" w:space="0" w:color="auto"/>
              <w:right w:val="single" w:sz="4" w:space="0" w:color="auto"/>
            </w:tcBorders>
            <w:noWrap/>
            <w:vAlign w:val="center"/>
            <w:hideMark/>
          </w:tcPr>
          <w:p w14:paraId="7628FB71" w14:textId="1C5A7A17" w:rsidR="007B1BAC" w:rsidRPr="00801A36" w:rsidRDefault="007B1BAC" w:rsidP="007B1BAC">
            <w:pPr>
              <w:spacing w:after="0" w:line="240" w:lineRule="auto"/>
              <w:jc w:val="center"/>
              <w:rPr>
                <w:rFonts w:ascii="Times New Roman" w:eastAsia="Times New Roman" w:hAnsi="Times New Roman" w:cs="Times New Roman"/>
                <w:b/>
                <w:bCs/>
                <w:color w:val="000000"/>
                <w:kern w:val="0"/>
                <w:sz w:val="19"/>
                <w:szCs w:val="19"/>
                <w:lang w:eastAsia="en-IN"/>
                <w14:ligatures w14:val="none"/>
              </w:rPr>
            </w:pPr>
            <w:r w:rsidRPr="00801A36">
              <w:rPr>
                <w:rFonts w:ascii="Times New Roman" w:eastAsia="Times New Roman" w:hAnsi="Times New Roman" w:cs="Times New Roman"/>
                <w:b/>
                <w:bCs/>
                <w:color w:val="000000"/>
                <w:kern w:val="0"/>
                <w:sz w:val="19"/>
                <w:szCs w:val="19"/>
                <w:lang w:eastAsia="en-IN"/>
                <w14:ligatures w14:val="none"/>
              </w:rPr>
              <w:t>12</w:t>
            </w:r>
          </w:p>
        </w:tc>
        <w:tc>
          <w:tcPr>
            <w:tcW w:w="1196" w:type="dxa"/>
            <w:tcBorders>
              <w:top w:val="nil"/>
              <w:left w:val="nil"/>
              <w:bottom w:val="single" w:sz="4" w:space="0" w:color="auto"/>
              <w:right w:val="single" w:sz="4" w:space="0" w:color="auto"/>
            </w:tcBorders>
            <w:noWrap/>
            <w:vAlign w:val="center"/>
            <w:hideMark/>
          </w:tcPr>
          <w:p w14:paraId="1D430275" w14:textId="560A8AF0" w:rsidR="007B1BAC" w:rsidRPr="00801A36" w:rsidRDefault="007B1BAC" w:rsidP="007B1BAC">
            <w:pPr>
              <w:spacing w:after="0" w:line="240" w:lineRule="auto"/>
              <w:jc w:val="center"/>
              <w:rPr>
                <w:rFonts w:ascii="Times New Roman" w:eastAsia="Times New Roman" w:hAnsi="Times New Roman" w:cs="Times New Roman"/>
                <w:b/>
                <w:bCs/>
                <w:color w:val="000000"/>
                <w:kern w:val="0"/>
                <w:sz w:val="19"/>
                <w:szCs w:val="19"/>
                <w:lang w:eastAsia="en-IN"/>
                <w14:ligatures w14:val="none"/>
              </w:rPr>
            </w:pPr>
            <w:r w:rsidRPr="00801A36">
              <w:rPr>
                <w:rFonts w:ascii="Times New Roman" w:eastAsia="Times New Roman" w:hAnsi="Times New Roman" w:cs="Times New Roman"/>
                <w:b/>
                <w:bCs/>
                <w:color w:val="000000"/>
                <w:kern w:val="0"/>
                <w:sz w:val="19"/>
                <w:szCs w:val="19"/>
                <w:lang w:eastAsia="en-IN"/>
                <w14:ligatures w14:val="none"/>
              </w:rPr>
              <w:t>13</w:t>
            </w:r>
          </w:p>
        </w:tc>
        <w:tc>
          <w:tcPr>
            <w:tcW w:w="986" w:type="dxa"/>
            <w:tcBorders>
              <w:top w:val="nil"/>
              <w:left w:val="nil"/>
              <w:bottom w:val="single" w:sz="4" w:space="0" w:color="auto"/>
              <w:right w:val="single" w:sz="4" w:space="0" w:color="auto"/>
            </w:tcBorders>
            <w:noWrap/>
            <w:vAlign w:val="center"/>
            <w:hideMark/>
          </w:tcPr>
          <w:p w14:paraId="2EC20544" w14:textId="6D80F712" w:rsidR="007B1BAC" w:rsidRPr="00801A36" w:rsidRDefault="007B1BAC" w:rsidP="007B1BAC">
            <w:pPr>
              <w:spacing w:after="0" w:line="240" w:lineRule="auto"/>
              <w:jc w:val="center"/>
              <w:rPr>
                <w:rFonts w:ascii="Times New Roman" w:eastAsia="Times New Roman" w:hAnsi="Times New Roman" w:cs="Times New Roman"/>
                <w:b/>
                <w:bCs/>
                <w:color w:val="000000"/>
                <w:kern w:val="0"/>
                <w:sz w:val="19"/>
                <w:szCs w:val="19"/>
                <w:lang w:eastAsia="en-IN"/>
                <w14:ligatures w14:val="none"/>
              </w:rPr>
            </w:pPr>
            <w:r w:rsidRPr="00801A36">
              <w:rPr>
                <w:rFonts w:ascii="Times New Roman" w:eastAsia="Times New Roman" w:hAnsi="Times New Roman" w:cs="Times New Roman"/>
                <w:b/>
                <w:bCs/>
                <w:color w:val="000000"/>
                <w:kern w:val="0"/>
                <w:sz w:val="19"/>
                <w:szCs w:val="19"/>
                <w:lang w:eastAsia="en-IN"/>
                <w14:ligatures w14:val="none"/>
              </w:rPr>
              <w:t>14</w:t>
            </w:r>
          </w:p>
        </w:tc>
      </w:tr>
      <w:tr w:rsidR="007B1BAC" w:rsidRPr="00801A36" w14:paraId="5CCEEC7C" w14:textId="77777777" w:rsidTr="00801A36">
        <w:trPr>
          <w:trHeight w:val="20"/>
          <w:jc w:val="center"/>
        </w:trPr>
        <w:tc>
          <w:tcPr>
            <w:tcW w:w="618" w:type="dxa"/>
            <w:tcBorders>
              <w:top w:val="nil"/>
              <w:left w:val="single" w:sz="4" w:space="0" w:color="auto"/>
              <w:bottom w:val="single" w:sz="4" w:space="0" w:color="auto"/>
              <w:right w:val="single" w:sz="4" w:space="0" w:color="auto"/>
            </w:tcBorders>
            <w:noWrap/>
            <w:vAlign w:val="bottom"/>
            <w:hideMark/>
          </w:tcPr>
          <w:p w14:paraId="0C1A5FA6" w14:textId="77777777" w:rsidR="007B1BAC" w:rsidRPr="00801A36" w:rsidRDefault="007B1BAC" w:rsidP="007B1BAC">
            <w:pPr>
              <w:spacing w:after="0" w:line="240" w:lineRule="auto"/>
              <w:jc w:val="right"/>
              <w:rPr>
                <w:rFonts w:ascii="Times New Roman" w:eastAsia="Times New Roman" w:hAnsi="Times New Roman" w:cs="Times New Roman"/>
                <w:color w:val="000000"/>
                <w:kern w:val="0"/>
                <w:sz w:val="19"/>
                <w:szCs w:val="19"/>
                <w:lang w:eastAsia="en-IN"/>
                <w14:ligatures w14:val="none"/>
              </w:rPr>
            </w:pPr>
            <w:r w:rsidRPr="00801A36">
              <w:rPr>
                <w:rFonts w:ascii="Times New Roman" w:eastAsia="Times New Roman" w:hAnsi="Times New Roman" w:cs="Times New Roman"/>
                <w:color w:val="000000"/>
                <w:kern w:val="0"/>
                <w:sz w:val="19"/>
                <w:szCs w:val="19"/>
                <w:lang w:eastAsia="en-IN"/>
                <w14:ligatures w14:val="none"/>
              </w:rPr>
              <w:t>1</w:t>
            </w:r>
          </w:p>
        </w:tc>
        <w:tc>
          <w:tcPr>
            <w:tcW w:w="1680" w:type="dxa"/>
            <w:tcBorders>
              <w:top w:val="nil"/>
              <w:left w:val="nil"/>
              <w:bottom w:val="single" w:sz="4" w:space="0" w:color="auto"/>
              <w:right w:val="single" w:sz="4" w:space="0" w:color="auto"/>
            </w:tcBorders>
            <w:noWrap/>
            <w:vAlign w:val="bottom"/>
            <w:hideMark/>
          </w:tcPr>
          <w:p w14:paraId="6AD40ADD" w14:textId="77777777" w:rsidR="007B1BAC" w:rsidRPr="00801A36" w:rsidRDefault="007B1BAC" w:rsidP="007B1BAC">
            <w:pPr>
              <w:spacing w:after="0" w:line="240" w:lineRule="auto"/>
              <w:rPr>
                <w:rFonts w:ascii="Times New Roman" w:eastAsia="Times New Roman" w:hAnsi="Times New Roman" w:cs="Times New Roman"/>
                <w:color w:val="000000"/>
                <w:kern w:val="0"/>
                <w:sz w:val="19"/>
                <w:szCs w:val="19"/>
                <w:lang w:eastAsia="en-IN"/>
                <w14:ligatures w14:val="none"/>
              </w:rPr>
            </w:pPr>
            <w:r w:rsidRPr="00801A36">
              <w:rPr>
                <w:rFonts w:ascii="Times New Roman" w:eastAsia="Times New Roman" w:hAnsi="Times New Roman" w:cs="Times New Roman"/>
                <w:color w:val="000000"/>
                <w:kern w:val="0"/>
                <w:sz w:val="19"/>
                <w:szCs w:val="19"/>
                <w:lang w:eastAsia="en-IN"/>
                <w14:ligatures w14:val="none"/>
              </w:rPr>
              <w:t>Andhra Pradesh</w:t>
            </w:r>
          </w:p>
        </w:tc>
        <w:tc>
          <w:tcPr>
            <w:tcW w:w="1084" w:type="dxa"/>
            <w:tcBorders>
              <w:top w:val="nil"/>
              <w:left w:val="nil"/>
              <w:bottom w:val="single" w:sz="4" w:space="0" w:color="auto"/>
              <w:right w:val="single" w:sz="4" w:space="0" w:color="auto"/>
            </w:tcBorders>
            <w:noWrap/>
            <w:vAlign w:val="center"/>
            <w:hideMark/>
          </w:tcPr>
          <w:p w14:paraId="63B1BCE4" w14:textId="4F775CDC" w:rsidR="007B1BAC" w:rsidRPr="00801A36" w:rsidRDefault="007B1BAC" w:rsidP="00801A36">
            <w:pPr>
              <w:spacing w:after="0" w:line="240" w:lineRule="auto"/>
              <w:jc w:val="center"/>
              <w:rPr>
                <w:rFonts w:ascii="Times New Roman" w:eastAsia="Times New Roman" w:hAnsi="Times New Roman" w:cs="Times New Roman"/>
                <w:color w:val="000000"/>
                <w:kern w:val="0"/>
                <w:sz w:val="19"/>
                <w:szCs w:val="19"/>
                <w:lang w:eastAsia="en-IN"/>
                <w14:ligatures w14:val="none"/>
              </w:rPr>
            </w:pPr>
          </w:p>
        </w:tc>
        <w:tc>
          <w:tcPr>
            <w:tcW w:w="1070" w:type="dxa"/>
            <w:tcBorders>
              <w:top w:val="nil"/>
              <w:left w:val="nil"/>
              <w:bottom w:val="single" w:sz="4" w:space="0" w:color="auto"/>
              <w:right w:val="single" w:sz="4" w:space="0" w:color="auto"/>
            </w:tcBorders>
            <w:noWrap/>
            <w:vAlign w:val="center"/>
            <w:hideMark/>
          </w:tcPr>
          <w:p w14:paraId="34A8535E" w14:textId="31323B70" w:rsidR="007B1BAC" w:rsidRPr="00801A36" w:rsidRDefault="007B1BAC" w:rsidP="00801A36">
            <w:pPr>
              <w:spacing w:after="0" w:line="240" w:lineRule="auto"/>
              <w:jc w:val="center"/>
              <w:rPr>
                <w:rFonts w:ascii="Times New Roman" w:eastAsia="Times New Roman" w:hAnsi="Times New Roman" w:cs="Times New Roman"/>
                <w:color w:val="000000"/>
                <w:kern w:val="0"/>
                <w:sz w:val="19"/>
                <w:szCs w:val="19"/>
                <w:lang w:eastAsia="en-IN"/>
                <w14:ligatures w14:val="none"/>
              </w:rPr>
            </w:pPr>
          </w:p>
        </w:tc>
        <w:tc>
          <w:tcPr>
            <w:tcW w:w="1196" w:type="dxa"/>
            <w:tcBorders>
              <w:top w:val="nil"/>
              <w:left w:val="nil"/>
              <w:bottom w:val="single" w:sz="4" w:space="0" w:color="auto"/>
              <w:right w:val="single" w:sz="4" w:space="0" w:color="auto"/>
            </w:tcBorders>
            <w:noWrap/>
            <w:vAlign w:val="center"/>
            <w:hideMark/>
          </w:tcPr>
          <w:p w14:paraId="3892FD23" w14:textId="6F1F1785" w:rsidR="007B1BAC" w:rsidRPr="00801A36" w:rsidRDefault="007B1BAC" w:rsidP="00801A36">
            <w:pPr>
              <w:spacing w:after="0" w:line="240" w:lineRule="auto"/>
              <w:jc w:val="center"/>
              <w:rPr>
                <w:rFonts w:ascii="Times New Roman" w:eastAsia="Times New Roman" w:hAnsi="Times New Roman" w:cs="Times New Roman"/>
                <w:color w:val="000000"/>
                <w:kern w:val="0"/>
                <w:sz w:val="19"/>
                <w:szCs w:val="19"/>
                <w:lang w:eastAsia="en-IN"/>
                <w14:ligatures w14:val="none"/>
              </w:rPr>
            </w:pPr>
          </w:p>
        </w:tc>
        <w:tc>
          <w:tcPr>
            <w:tcW w:w="986" w:type="dxa"/>
            <w:tcBorders>
              <w:top w:val="nil"/>
              <w:left w:val="nil"/>
              <w:bottom w:val="single" w:sz="4" w:space="0" w:color="auto"/>
              <w:right w:val="single" w:sz="4" w:space="0" w:color="auto"/>
            </w:tcBorders>
            <w:noWrap/>
            <w:vAlign w:val="center"/>
            <w:hideMark/>
          </w:tcPr>
          <w:p w14:paraId="7A060632" w14:textId="16D62F5F" w:rsidR="007B1BAC" w:rsidRPr="00801A36" w:rsidRDefault="007B1BAC" w:rsidP="00801A36">
            <w:pPr>
              <w:spacing w:after="0" w:line="240" w:lineRule="auto"/>
              <w:jc w:val="center"/>
              <w:rPr>
                <w:rFonts w:ascii="Times New Roman" w:eastAsia="Times New Roman" w:hAnsi="Times New Roman" w:cs="Times New Roman"/>
                <w:color w:val="000000"/>
                <w:kern w:val="0"/>
                <w:sz w:val="19"/>
                <w:szCs w:val="19"/>
                <w:lang w:eastAsia="en-IN"/>
                <w14:ligatures w14:val="none"/>
              </w:rPr>
            </w:pPr>
          </w:p>
        </w:tc>
        <w:tc>
          <w:tcPr>
            <w:tcW w:w="1084" w:type="dxa"/>
            <w:tcBorders>
              <w:top w:val="nil"/>
              <w:left w:val="nil"/>
              <w:bottom w:val="single" w:sz="4" w:space="0" w:color="auto"/>
              <w:right w:val="single" w:sz="4" w:space="0" w:color="auto"/>
            </w:tcBorders>
            <w:noWrap/>
            <w:vAlign w:val="center"/>
            <w:hideMark/>
          </w:tcPr>
          <w:p w14:paraId="5428AE3D" w14:textId="31E41246" w:rsidR="007B1BAC" w:rsidRPr="00801A36" w:rsidRDefault="007B1BAC" w:rsidP="00801A36">
            <w:pPr>
              <w:spacing w:after="0" w:line="240" w:lineRule="auto"/>
              <w:jc w:val="center"/>
              <w:rPr>
                <w:rFonts w:ascii="Times New Roman" w:eastAsia="Times New Roman" w:hAnsi="Times New Roman" w:cs="Times New Roman"/>
                <w:color w:val="000000"/>
                <w:kern w:val="0"/>
                <w:sz w:val="19"/>
                <w:szCs w:val="19"/>
                <w:lang w:eastAsia="en-IN"/>
                <w14:ligatures w14:val="none"/>
              </w:rPr>
            </w:pPr>
          </w:p>
        </w:tc>
        <w:tc>
          <w:tcPr>
            <w:tcW w:w="1070" w:type="dxa"/>
            <w:tcBorders>
              <w:top w:val="nil"/>
              <w:left w:val="nil"/>
              <w:bottom w:val="single" w:sz="4" w:space="0" w:color="auto"/>
              <w:right w:val="single" w:sz="4" w:space="0" w:color="auto"/>
            </w:tcBorders>
            <w:noWrap/>
            <w:vAlign w:val="center"/>
            <w:hideMark/>
          </w:tcPr>
          <w:p w14:paraId="37B14097" w14:textId="159DDB34" w:rsidR="007B1BAC" w:rsidRPr="00801A36" w:rsidRDefault="007B1BAC" w:rsidP="00801A36">
            <w:pPr>
              <w:spacing w:after="0" w:line="240" w:lineRule="auto"/>
              <w:jc w:val="center"/>
              <w:rPr>
                <w:rFonts w:ascii="Times New Roman" w:eastAsia="Times New Roman" w:hAnsi="Times New Roman" w:cs="Times New Roman"/>
                <w:color w:val="000000"/>
                <w:kern w:val="0"/>
                <w:sz w:val="19"/>
                <w:szCs w:val="19"/>
                <w:lang w:eastAsia="en-IN"/>
                <w14:ligatures w14:val="none"/>
              </w:rPr>
            </w:pPr>
          </w:p>
        </w:tc>
        <w:tc>
          <w:tcPr>
            <w:tcW w:w="1196" w:type="dxa"/>
            <w:tcBorders>
              <w:top w:val="nil"/>
              <w:left w:val="nil"/>
              <w:bottom w:val="single" w:sz="4" w:space="0" w:color="auto"/>
              <w:right w:val="single" w:sz="4" w:space="0" w:color="auto"/>
            </w:tcBorders>
            <w:noWrap/>
            <w:vAlign w:val="center"/>
            <w:hideMark/>
          </w:tcPr>
          <w:p w14:paraId="26079FF2" w14:textId="63EF1036" w:rsidR="007B1BAC" w:rsidRPr="00801A36" w:rsidRDefault="007B1BAC" w:rsidP="00801A36">
            <w:pPr>
              <w:spacing w:after="0" w:line="240" w:lineRule="auto"/>
              <w:jc w:val="center"/>
              <w:rPr>
                <w:rFonts w:ascii="Times New Roman" w:eastAsia="Times New Roman" w:hAnsi="Times New Roman" w:cs="Times New Roman"/>
                <w:color w:val="000000"/>
                <w:kern w:val="0"/>
                <w:sz w:val="19"/>
                <w:szCs w:val="19"/>
                <w:lang w:eastAsia="en-IN"/>
                <w14:ligatures w14:val="none"/>
              </w:rPr>
            </w:pPr>
          </w:p>
        </w:tc>
        <w:tc>
          <w:tcPr>
            <w:tcW w:w="986" w:type="dxa"/>
            <w:tcBorders>
              <w:top w:val="nil"/>
              <w:left w:val="nil"/>
              <w:bottom w:val="single" w:sz="4" w:space="0" w:color="auto"/>
              <w:right w:val="single" w:sz="4" w:space="0" w:color="auto"/>
            </w:tcBorders>
            <w:noWrap/>
            <w:vAlign w:val="center"/>
            <w:hideMark/>
          </w:tcPr>
          <w:p w14:paraId="0D8FDE82" w14:textId="654DDBE7" w:rsidR="007B1BAC" w:rsidRPr="00801A36" w:rsidRDefault="007B1BAC" w:rsidP="00801A36">
            <w:pPr>
              <w:spacing w:after="0" w:line="240" w:lineRule="auto"/>
              <w:jc w:val="center"/>
              <w:rPr>
                <w:rFonts w:ascii="Times New Roman" w:eastAsia="Times New Roman" w:hAnsi="Times New Roman" w:cs="Times New Roman"/>
                <w:color w:val="000000"/>
                <w:kern w:val="0"/>
                <w:sz w:val="19"/>
                <w:szCs w:val="19"/>
                <w:lang w:eastAsia="en-IN"/>
                <w14:ligatures w14:val="none"/>
              </w:rPr>
            </w:pPr>
          </w:p>
        </w:tc>
        <w:tc>
          <w:tcPr>
            <w:tcW w:w="1084" w:type="dxa"/>
            <w:tcBorders>
              <w:top w:val="nil"/>
              <w:left w:val="nil"/>
              <w:bottom w:val="single" w:sz="4" w:space="0" w:color="auto"/>
              <w:right w:val="single" w:sz="4" w:space="0" w:color="auto"/>
            </w:tcBorders>
            <w:noWrap/>
            <w:vAlign w:val="center"/>
            <w:hideMark/>
          </w:tcPr>
          <w:p w14:paraId="6357E1AA" w14:textId="76FA2985" w:rsidR="007B1BAC" w:rsidRPr="00801A36" w:rsidRDefault="007B1BAC" w:rsidP="00801A36">
            <w:pPr>
              <w:spacing w:after="0" w:line="240" w:lineRule="auto"/>
              <w:jc w:val="center"/>
              <w:rPr>
                <w:rFonts w:ascii="Times New Roman" w:eastAsia="Times New Roman" w:hAnsi="Times New Roman" w:cs="Times New Roman"/>
                <w:color w:val="000000"/>
                <w:kern w:val="0"/>
                <w:sz w:val="19"/>
                <w:szCs w:val="19"/>
                <w:lang w:eastAsia="en-IN"/>
                <w14:ligatures w14:val="none"/>
              </w:rPr>
            </w:pPr>
          </w:p>
        </w:tc>
        <w:tc>
          <w:tcPr>
            <w:tcW w:w="1070" w:type="dxa"/>
            <w:tcBorders>
              <w:top w:val="nil"/>
              <w:left w:val="nil"/>
              <w:bottom w:val="single" w:sz="4" w:space="0" w:color="auto"/>
              <w:right w:val="single" w:sz="4" w:space="0" w:color="auto"/>
            </w:tcBorders>
            <w:noWrap/>
            <w:vAlign w:val="center"/>
            <w:hideMark/>
          </w:tcPr>
          <w:p w14:paraId="3D7918B1" w14:textId="7617D623" w:rsidR="007B1BAC" w:rsidRPr="00801A36" w:rsidRDefault="007B1BAC" w:rsidP="00801A36">
            <w:pPr>
              <w:spacing w:after="0" w:line="240" w:lineRule="auto"/>
              <w:jc w:val="center"/>
              <w:rPr>
                <w:rFonts w:ascii="Times New Roman" w:eastAsia="Times New Roman" w:hAnsi="Times New Roman" w:cs="Times New Roman"/>
                <w:color w:val="000000"/>
                <w:kern w:val="0"/>
                <w:sz w:val="19"/>
                <w:szCs w:val="19"/>
                <w:lang w:eastAsia="en-IN"/>
                <w14:ligatures w14:val="none"/>
              </w:rPr>
            </w:pPr>
          </w:p>
        </w:tc>
        <w:tc>
          <w:tcPr>
            <w:tcW w:w="1196" w:type="dxa"/>
            <w:tcBorders>
              <w:top w:val="nil"/>
              <w:left w:val="nil"/>
              <w:bottom w:val="single" w:sz="4" w:space="0" w:color="auto"/>
              <w:right w:val="single" w:sz="4" w:space="0" w:color="auto"/>
            </w:tcBorders>
            <w:noWrap/>
            <w:vAlign w:val="center"/>
            <w:hideMark/>
          </w:tcPr>
          <w:p w14:paraId="69B50149" w14:textId="0B7F029E" w:rsidR="007B1BAC" w:rsidRPr="00801A36" w:rsidRDefault="007B1BAC" w:rsidP="00801A36">
            <w:pPr>
              <w:spacing w:after="0" w:line="240" w:lineRule="auto"/>
              <w:jc w:val="center"/>
              <w:rPr>
                <w:rFonts w:ascii="Times New Roman" w:eastAsia="Times New Roman" w:hAnsi="Times New Roman" w:cs="Times New Roman"/>
                <w:color w:val="000000"/>
                <w:kern w:val="0"/>
                <w:sz w:val="19"/>
                <w:szCs w:val="19"/>
                <w:lang w:eastAsia="en-IN"/>
                <w14:ligatures w14:val="none"/>
              </w:rPr>
            </w:pPr>
          </w:p>
        </w:tc>
        <w:tc>
          <w:tcPr>
            <w:tcW w:w="986" w:type="dxa"/>
            <w:tcBorders>
              <w:top w:val="nil"/>
              <w:left w:val="nil"/>
              <w:bottom w:val="single" w:sz="4" w:space="0" w:color="auto"/>
              <w:right w:val="single" w:sz="4" w:space="0" w:color="auto"/>
            </w:tcBorders>
            <w:noWrap/>
            <w:vAlign w:val="center"/>
            <w:hideMark/>
          </w:tcPr>
          <w:p w14:paraId="5FFF3631" w14:textId="22940B4B" w:rsidR="007B1BAC" w:rsidRPr="00801A36" w:rsidRDefault="007B1BAC" w:rsidP="00801A36">
            <w:pPr>
              <w:spacing w:after="0" w:line="240" w:lineRule="auto"/>
              <w:jc w:val="center"/>
              <w:rPr>
                <w:rFonts w:ascii="Times New Roman" w:eastAsia="Times New Roman" w:hAnsi="Times New Roman" w:cs="Times New Roman"/>
                <w:color w:val="000000"/>
                <w:kern w:val="0"/>
                <w:sz w:val="19"/>
                <w:szCs w:val="19"/>
                <w:lang w:eastAsia="en-IN"/>
                <w14:ligatures w14:val="none"/>
              </w:rPr>
            </w:pPr>
          </w:p>
        </w:tc>
      </w:tr>
      <w:tr w:rsidR="007B1BAC" w:rsidRPr="00801A36" w14:paraId="44C793A5" w14:textId="77777777" w:rsidTr="00801A36">
        <w:trPr>
          <w:trHeight w:val="20"/>
          <w:jc w:val="center"/>
        </w:trPr>
        <w:tc>
          <w:tcPr>
            <w:tcW w:w="618" w:type="dxa"/>
            <w:tcBorders>
              <w:top w:val="nil"/>
              <w:left w:val="single" w:sz="4" w:space="0" w:color="auto"/>
              <w:bottom w:val="single" w:sz="4" w:space="0" w:color="auto"/>
              <w:right w:val="single" w:sz="4" w:space="0" w:color="auto"/>
            </w:tcBorders>
            <w:noWrap/>
            <w:vAlign w:val="bottom"/>
            <w:hideMark/>
          </w:tcPr>
          <w:p w14:paraId="09534677" w14:textId="77777777" w:rsidR="007B1BAC" w:rsidRPr="00801A36" w:rsidRDefault="007B1BAC" w:rsidP="007B1BAC">
            <w:pPr>
              <w:spacing w:after="0" w:line="240" w:lineRule="auto"/>
              <w:rPr>
                <w:rFonts w:ascii="Times New Roman" w:eastAsia="Times New Roman" w:hAnsi="Times New Roman" w:cs="Times New Roman"/>
                <w:color w:val="000000"/>
                <w:kern w:val="0"/>
                <w:sz w:val="19"/>
                <w:szCs w:val="19"/>
                <w:lang w:eastAsia="en-IN"/>
                <w14:ligatures w14:val="none"/>
              </w:rPr>
            </w:pPr>
            <w:r w:rsidRPr="00801A36">
              <w:rPr>
                <w:rFonts w:ascii="Times New Roman" w:eastAsia="Times New Roman" w:hAnsi="Times New Roman" w:cs="Times New Roman"/>
                <w:color w:val="000000"/>
                <w:kern w:val="0"/>
                <w:sz w:val="19"/>
                <w:szCs w:val="19"/>
                <w:lang w:eastAsia="en-IN"/>
                <w14:ligatures w14:val="none"/>
              </w:rPr>
              <w:t> </w:t>
            </w:r>
          </w:p>
        </w:tc>
        <w:tc>
          <w:tcPr>
            <w:tcW w:w="1680" w:type="dxa"/>
            <w:tcBorders>
              <w:top w:val="nil"/>
              <w:left w:val="nil"/>
              <w:bottom w:val="single" w:sz="4" w:space="0" w:color="auto"/>
              <w:right w:val="single" w:sz="4" w:space="0" w:color="auto"/>
            </w:tcBorders>
            <w:noWrap/>
            <w:vAlign w:val="bottom"/>
            <w:hideMark/>
          </w:tcPr>
          <w:p w14:paraId="5AC2E88B" w14:textId="77777777" w:rsidR="007B1BAC" w:rsidRPr="00801A36" w:rsidRDefault="007B1BAC" w:rsidP="007B1BAC">
            <w:pPr>
              <w:spacing w:after="0" w:line="240" w:lineRule="auto"/>
              <w:rPr>
                <w:rFonts w:ascii="Times New Roman" w:eastAsia="Times New Roman" w:hAnsi="Times New Roman" w:cs="Times New Roman"/>
                <w:color w:val="000000"/>
                <w:kern w:val="0"/>
                <w:sz w:val="19"/>
                <w:szCs w:val="19"/>
                <w:lang w:eastAsia="en-IN"/>
                <w14:ligatures w14:val="none"/>
              </w:rPr>
            </w:pPr>
            <w:r w:rsidRPr="00801A36">
              <w:rPr>
                <w:rFonts w:ascii="Times New Roman" w:eastAsia="Times New Roman" w:hAnsi="Times New Roman" w:cs="Times New Roman"/>
                <w:color w:val="000000"/>
                <w:kern w:val="0"/>
                <w:sz w:val="19"/>
                <w:szCs w:val="19"/>
                <w:lang w:eastAsia="en-IN"/>
                <w14:ligatures w14:val="none"/>
              </w:rPr>
              <w:t>Central</w:t>
            </w:r>
          </w:p>
        </w:tc>
        <w:tc>
          <w:tcPr>
            <w:tcW w:w="1084" w:type="dxa"/>
            <w:tcBorders>
              <w:top w:val="nil"/>
              <w:left w:val="nil"/>
              <w:bottom w:val="single" w:sz="4" w:space="0" w:color="auto"/>
              <w:right w:val="single" w:sz="4" w:space="0" w:color="auto"/>
            </w:tcBorders>
            <w:noWrap/>
            <w:vAlign w:val="center"/>
            <w:hideMark/>
          </w:tcPr>
          <w:p w14:paraId="026007DF" w14:textId="77777777" w:rsidR="007B1BAC" w:rsidRPr="00801A36" w:rsidRDefault="007B1BAC" w:rsidP="00801A36">
            <w:pPr>
              <w:spacing w:after="0" w:line="240" w:lineRule="auto"/>
              <w:jc w:val="center"/>
              <w:rPr>
                <w:rFonts w:ascii="Times New Roman" w:eastAsia="Times New Roman" w:hAnsi="Times New Roman" w:cs="Times New Roman"/>
                <w:color w:val="000000"/>
                <w:kern w:val="0"/>
                <w:sz w:val="19"/>
                <w:szCs w:val="19"/>
                <w:lang w:eastAsia="en-IN"/>
                <w14:ligatures w14:val="none"/>
              </w:rPr>
            </w:pPr>
            <w:r w:rsidRPr="00801A36">
              <w:rPr>
                <w:rFonts w:ascii="Times New Roman" w:eastAsia="Times New Roman" w:hAnsi="Times New Roman" w:cs="Times New Roman"/>
                <w:color w:val="000000"/>
                <w:kern w:val="0"/>
                <w:sz w:val="19"/>
                <w:szCs w:val="19"/>
                <w:lang w:eastAsia="en-IN"/>
                <w14:ligatures w14:val="none"/>
              </w:rPr>
              <w:t>836.91</w:t>
            </w:r>
          </w:p>
        </w:tc>
        <w:tc>
          <w:tcPr>
            <w:tcW w:w="1070" w:type="dxa"/>
            <w:tcBorders>
              <w:top w:val="nil"/>
              <w:left w:val="nil"/>
              <w:bottom w:val="single" w:sz="4" w:space="0" w:color="auto"/>
              <w:right w:val="single" w:sz="4" w:space="0" w:color="auto"/>
            </w:tcBorders>
            <w:noWrap/>
            <w:vAlign w:val="center"/>
            <w:hideMark/>
          </w:tcPr>
          <w:p w14:paraId="391AB4A7" w14:textId="77777777" w:rsidR="007B1BAC" w:rsidRPr="00801A36" w:rsidRDefault="007B1BAC" w:rsidP="00801A36">
            <w:pPr>
              <w:spacing w:after="0" w:line="240" w:lineRule="auto"/>
              <w:jc w:val="center"/>
              <w:rPr>
                <w:rFonts w:ascii="Times New Roman" w:eastAsia="Times New Roman" w:hAnsi="Times New Roman" w:cs="Times New Roman"/>
                <w:color w:val="000000"/>
                <w:kern w:val="0"/>
                <w:sz w:val="19"/>
                <w:szCs w:val="19"/>
                <w:lang w:eastAsia="en-IN"/>
                <w14:ligatures w14:val="none"/>
              </w:rPr>
            </w:pPr>
            <w:r w:rsidRPr="00801A36">
              <w:rPr>
                <w:rFonts w:ascii="Times New Roman" w:eastAsia="Times New Roman" w:hAnsi="Times New Roman" w:cs="Times New Roman"/>
                <w:color w:val="000000"/>
                <w:kern w:val="0"/>
                <w:sz w:val="19"/>
                <w:szCs w:val="19"/>
                <w:lang w:eastAsia="en-IN"/>
                <w14:ligatures w14:val="none"/>
              </w:rPr>
              <w:t>539.98</w:t>
            </w:r>
          </w:p>
        </w:tc>
        <w:tc>
          <w:tcPr>
            <w:tcW w:w="1196" w:type="dxa"/>
            <w:tcBorders>
              <w:top w:val="nil"/>
              <w:left w:val="nil"/>
              <w:bottom w:val="single" w:sz="4" w:space="0" w:color="auto"/>
              <w:right w:val="single" w:sz="4" w:space="0" w:color="auto"/>
            </w:tcBorders>
            <w:noWrap/>
            <w:vAlign w:val="center"/>
            <w:hideMark/>
          </w:tcPr>
          <w:p w14:paraId="50913ED0" w14:textId="77777777" w:rsidR="007B1BAC" w:rsidRPr="00801A36" w:rsidRDefault="007B1BAC" w:rsidP="00801A36">
            <w:pPr>
              <w:spacing w:after="0" w:line="240" w:lineRule="auto"/>
              <w:jc w:val="center"/>
              <w:rPr>
                <w:rFonts w:ascii="Times New Roman" w:eastAsia="Times New Roman" w:hAnsi="Times New Roman" w:cs="Times New Roman"/>
                <w:color w:val="000000"/>
                <w:kern w:val="0"/>
                <w:sz w:val="19"/>
                <w:szCs w:val="19"/>
                <w:lang w:eastAsia="en-IN"/>
                <w14:ligatures w14:val="none"/>
              </w:rPr>
            </w:pPr>
            <w:r w:rsidRPr="00801A36">
              <w:rPr>
                <w:rFonts w:ascii="Times New Roman" w:eastAsia="Times New Roman" w:hAnsi="Times New Roman" w:cs="Times New Roman"/>
                <w:color w:val="000000"/>
                <w:kern w:val="0"/>
                <w:sz w:val="19"/>
                <w:szCs w:val="19"/>
                <w:lang w:eastAsia="en-IN"/>
                <w14:ligatures w14:val="none"/>
              </w:rPr>
              <w:t>..</w:t>
            </w:r>
          </w:p>
        </w:tc>
        <w:tc>
          <w:tcPr>
            <w:tcW w:w="986" w:type="dxa"/>
            <w:tcBorders>
              <w:top w:val="nil"/>
              <w:left w:val="nil"/>
              <w:bottom w:val="single" w:sz="4" w:space="0" w:color="auto"/>
              <w:right w:val="single" w:sz="4" w:space="0" w:color="auto"/>
            </w:tcBorders>
            <w:noWrap/>
            <w:vAlign w:val="center"/>
            <w:hideMark/>
          </w:tcPr>
          <w:p w14:paraId="6F23A1BA" w14:textId="77777777" w:rsidR="007B1BAC" w:rsidRPr="00801A36" w:rsidRDefault="007B1BAC" w:rsidP="00801A36">
            <w:pPr>
              <w:spacing w:after="0" w:line="240" w:lineRule="auto"/>
              <w:jc w:val="center"/>
              <w:rPr>
                <w:rFonts w:ascii="Times New Roman" w:eastAsia="Times New Roman" w:hAnsi="Times New Roman" w:cs="Times New Roman"/>
                <w:color w:val="000000"/>
                <w:kern w:val="0"/>
                <w:sz w:val="19"/>
                <w:szCs w:val="19"/>
                <w:lang w:eastAsia="en-IN"/>
                <w14:ligatures w14:val="none"/>
              </w:rPr>
            </w:pPr>
            <w:r w:rsidRPr="00801A36">
              <w:rPr>
                <w:rFonts w:ascii="Times New Roman" w:eastAsia="Times New Roman" w:hAnsi="Times New Roman" w:cs="Times New Roman"/>
                <w:color w:val="000000"/>
                <w:kern w:val="0"/>
                <w:sz w:val="19"/>
                <w:szCs w:val="19"/>
                <w:lang w:eastAsia="en-IN"/>
                <w14:ligatures w14:val="none"/>
              </w:rPr>
              <w:t>1,376.89</w:t>
            </w:r>
          </w:p>
        </w:tc>
        <w:tc>
          <w:tcPr>
            <w:tcW w:w="1084" w:type="dxa"/>
            <w:tcBorders>
              <w:top w:val="nil"/>
              <w:left w:val="nil"/>
              <w:bottom w:val="single" w:sz="4" w:space="0" w:color="auto"/>
              <w:right w:val="single" w:sz="4" w:space="0" w:color="auto"/>
            </w:tcBorders>
            <w:noWrap/>
            <w:vAlign w:val="center"/>
            <w:hideMark/>
          </w:tcPr>
          <w:p w14:paraId="4500598D" w14:textId="77777777" w:rsidR="007B1BAC" w:rsidRPr="00801A36" w:rsidRDefault="007B1BAC" w:rsidP="00801A36">
            <w:pPr>
              <w:spacing w:after="0" w:line="240" w:lineRule="auto"/>
              <w:jc w:val="center"/>
              <w:rPr>
                <w:rFonts w:ascii="Times New Roman" w:eastAsia="Times New Roman" w:hAnsi="Times New Roman" w:cs="Times New Roman"/>
                <w:color w:val="000000"/>
                <w:kern w:val="0"/>
                <w:sz w:val="19"/>
                <w:szCs w:val="19"/>
                <w:lang w:eastAsia="en-IN"/>
                <w14:ligatures w14:val="none"/>
              </w:rPr>
            </w:pPr>
            <w:r w:rsidRPr="00801A36">
              <w:rPr>
                <w:rFonts w:ascii="Times New Roman" w:eastAsia="Times New Roman" w:hAnsi="Times New Roman" w:cs="Times New Roman"/>
                <w:color w:val="000000"/>
                <w:kern w:val="0"/>
                <w:sz w:val="19"/>
                <w:szCs w:val="19"/>
                <w:lang w:eastAsia="en-IN"/>
                <w14:ligatures w14:val="none"/>
              </w:rPr>
              <w:t>836.91</w:t>
            </w:r>
          </w:p>
        </w:tc>
        <w:tc>
          <w:tcPr>
            <w:tcW w:w="1070" w:type="dxa"/>
            <w:tcBorders>
              <w:top w:val="nil"/>
              <w:left w:val="nil"/>
              <w:bottom w:val="single" w:sz="4" w:space="0" w:color="auto"/>
              <w:right w:val="single" w:sz="4" w:space="0" w:color="auto"/>
            </w:tcBorders>
            <w:noWrap/>
            <w:vAlign w:val="center"/>
            <w:hideMark/>
          </w:tcPr>
          <w:p w14:paraId="39784F2A" w14:textId="77777777" w:rsidR="007B1BAC" w:rsidRPr="00801A36" w:rsidRDefault="007B1BAC" w:rsidP="00801A36">
            <w:pPr>
              <w:spacing w:after="0" w:line="240" w:lineRule="auto"/>
              <w:jc w:val="center"/>
              <w:rPr>
                <w:rFonts w:ascii="Times New Roman" w:eastAsia="Times New Roman" w:hAnsi="Times New Roman" w:cs="Times New Roman"/>
                <w:color w:val="000000"/>
                <w:kern w:val="0"/>
                <w:sz w:val="19"/>
                <w:szCs w:val="19"/>
                <w:lang w:eastAsia="en-IN"/>
                <w14:ligatures w14:val="none"/>
              </w:rPr>
            </w:pPr>
            <w:r w:rsidRPr="00801A36">
              <w:rPr>
                <w:rFonts w:ascii="Times New Roman" w:eastAsia="Times New Roman" w:hAnsi="Times New Roman" w:cs="Times New Roman"/>
                <w:color w:val="000000"/>
                <w:kern w:val="0"/>
                <w:sz w:val="19"/>
                <w:szCs w:val="19"/>
                <w:lang w:eastAsia="en-IN"/>
                <w14:ligatures w14:val="none"/>
              </w:rPr>
              <w:t>539.98</w:t>
            </w:r>
          </w:p>
        </w:tc>
        <w:tc>
          <w:tcPr>
            <w:tcW w:w="1196" w:type="dxa"/>
            <w:tcBorders>
              <w:top w:val="nil"/>
              <w:left w:val="nil"/>
              <w:bottom w:val="single" w:sz="4" w:space="0" w:color="auto"/>
              <w:right w:val="single" w:sz="4" w:space="0" w:color="auto"/>
            </w:tcBorders>
            <w:noWrap/>
            <w:vAlign w:val="center"/>
            <w:hideMark/>
          </w:tcPr>
          <w:p w14:paraId="5781C909" w14:textId="77777777" w:rsidR="007B1BAC" w:rsidRPr="00801A36" w:rsidRDefault="007B1BAC" w:rsidP="00801A36">
            <w:pPr>
              <w:spacing w:after="0" w:line="240" w:lineRule="auto"/>
              <w:jc w:val="center"/>
              <w:rPr>
                <w:rFonts w:ascii="Times New Roman" w:eastAsia="Times New Roman" w:hAnsi="Times New Roman" w:cs="Times New Roman"/>
                <w:color w:val="000000"/>
                <w:kern w:val="0"/>
                <w:sz w:val="19"/>
                <w:szCs w:val="19"/>
                <w:lang w:eastAsia="en-IN"/>
                <w14:ligatures w14:val="none"/>
              </w:rPr>
            </w:pPr>
            <w:r w:rsidRPr="00801A36">
              <w:rPr>
                <w:rFonts w:ascii="Times New Roman" w:eastAsia="Times New Roman" w:hAnsi="Times New Roman" w:cs="Times New Roman"/>
                <w:color w:val="000000"/>
                <w:kern w:val="0"/>
                <w:sz w:val="19"/>
                <w:szCs w:val="19"/>
                <w:lang w:eastAsia="en-IN"/>
                <w14:ligatures w14:val="none"/>
              </w:rPr>
              <w:t>..</w:t>
            </w:r>
          </w:p>
        </w:tc>
        <w:tc>
          <w:tcPr>
            <w:tcW w:w="986" w:type="dxa"/>
            <w:tcBorders>
              <w:top w:val="nil"/>
              <w:left w:val="nil"/>
              <w:bottom w:val="single" w:sz="4" w:space="0" w:color="auto"/>
              <w:right w:val="single" w:sz="4" w:space="0" w:color="auto"/>
            </w:tcBorders>
            <w:noWrap/>
            <w:vAlign w:val="center"/>
            <w:hideMark/>
          </w:tcPr>
          <w:p w14:paraId="290A42C0" w14:textId="77777777" w:rsidR="007B1BAC" w:rsidRPr="00801A36" w:rsidRDefault="007B1BAC" w:rsidP="00801A36">
            <w:pPr>
              <w:spacing w:after="0" w:line="240" w:lineRule="auto"/>
              <w:jc w:val="center"/>
              <w:rPr>
                <w:rFonts w:ascii="Times New Roman" w:eastAsia="Times New Roman" w:hAnsi="Times New Roman" w:cs="Times New Roman"/>
                <w:color w:val="000000"/>
                <w:kern w:val="0"/>
                <w:sz w:val="19"/>
                <w:szCs w:val="19"/>
                <w:lang w:eastAsia="en-IN"/>
                <w14:ligatures w14:val="none"/>
              </w:rPr>
            </w:pPr>
            <w:r w:rsidRPr="00801A36">
              <w:rPr>
                <w:rFonts w:ascii="Times New Roman" w:eastAsia="Times New Roman" w:hAnsi="Times New Roman" w:cs="Times New Roman"/>
                <w:color w:val="000000"/>
                <w:kern w:val="0"/>
                <w:sz w:val="19"/>
                <w:szCs w:val="19"/>
                <w:lang w:eastAsia="en-IN"/>
                <w14:ligatures w14:val="none"/>
              </w:rPr>
              <w:t>1,376.89</w:t>
            </w:r>
          </w:p>
        </w:tc>
        <w:tc>
          <w:tcPr>
            <w:tcW w:w="1084" w:type="dxa"/>
            <w:tcBorders>
              <w:top w:val="nil"/>
              <w:left w:val="nil"/>
              <w:bottom w:val="single" w:sz="4" w:space="0" w:color="auto"/>
              <w:right w:val="single" w:sz="4" w:space="0" w:color="auto"/>
            </w:tcBorders>
            <w:noWrap/>
            <w:vAlign w:val="center"/>
            <w:hideMark/>
          </w:tcPr>
          <w:p w14:paraId="09AF897C" w14:textId="77777777" w:rsidR="007B1BAC" w:rsidRPr="00801A36" w:rsidRDefault="007B1BAC" w:rsidP="00801A36">
            <w:pPr>
              <w:spacing w:after="0" w:line="240" w:lineRule="auto"/>
              <w:jc w:val="center"/>
              <w:rPr>
                <w:rFonts w:ascii="Times New Roman" w:eastAsia="Times New Roman" w:hAnsi="Times New Roman" w:cs="Times New Roman"/>
                <w:color w:val="000000"/>
                <w:kern w:val="0"/>
                <w:sz w:val="19"/>
                <w:szCs w:val="19"/>
                <w:lang w:eastAsia="en-IN"/>
                <w14:ligatures w14:val="none"/>
              </w:rPr>
            </w:pPr>
            <w:r w:rsidRPr="00801A36">
              <w:rPr>
                <w:rFonts w:ascii="Times New Roman" w:eastAsia="Times New Roman" w:hAnsi="Times New Roman" w:cs="Times New Roman"/>
                <w:color w:val="000000"/>
                <w:kern w:val="0"/>
                <w:sz w:val="19"/>
                <w:szCs w:val="19"/>
                <w:lang w:eastAsia="en-IN"/>
                <w14:ligatures w14:val="none"/>
              </w:rPr>
              <w:t>...</w:t>
            </w:r>
          </w:p>
        </w:tc>
        <w:tc>
          <w:tcPr>
            <w:tcW w:w="1070" w:type="dxa"/>
            <w:tcBorders>
              <w:top w:val="nil"/>
              <w:left w:val="nil"/>
              <w:bottom w:val="single" w:sz="4" w:space="0" w:color="auto"/>
              <w:right w:val="single" w:sz="4" w:space="0" w:color="auto"/>
            </w:tcBorders>
            <w:noWrap/>
            <w:vAlign w:val="center"/>
            <w:hideMark/>
          </w:tcPr>
          <w:p w14:paraId="2E3A0355" w14:textId="77777777" w:rsidR="007B1BAC" w:rsidRPr="00801A36" w:rsidRDefault="007B1BAC" w:rsidP="00801A36">
            <w:pPr>
              <w:spacing w:after="0" w:line="240" w:lineRule="auto"/>
              <w:jc w:val="center"/>
              <w:rPr>
                <w:rFonts w:ascii="Times New Roman" w:eastAsia="Times New Roman" w:hAnsi="Times New Roman" w:cs="Times New Roman"/>
                <w:color w:val="000000"/>
                <w:kern w:val="0"/>
                <w:sz w:val="19"/>
                <w:szCs w:val="19"/>
                <w:lang w:eastAsia="en-IN"/>
                <w14:ligatures w14:val="none"/>
              </w:rPr>
            </w:pPr>
            <w:r w:rsidRPr="00801A36">
              <w:rPr>
                <w:rFonts w:ascii="Times New Roman" w:eastAsia="Times New Roman" w:hAnsi="Times New Roman" w:cs="Times New Roman"/>
                <w:color w:val="000000"/>
                <w:kern w:val="0"/>
                <w:sz w:val="19"/>
                <w:szCs w:val="19"/>
                <w:lang w:eastAsia="en-IN"/>
                <w14:ligatures w14:val="none"/>
              </w:rPr>
              <w:t>..</w:t>
            </w:r>
          </w:p>
        </w:tc>
        <w:tc>
          <w:tcPr>
            <w:tcW w:w="1196" w:type="dxa"/>
            <w:tcBorders>
              <w:top w:val="nil"/>
              <w:left w:val="nil"/>
              <w:bottom w:val="single" w:sz="4" w:space="0" w:color="auto"/>
              <w:right w:val="single" w:sz="4" w:space="0" w:color="auto"/>
            </w:tcBorders>
            <w:noWrap/>
            <w:vAlign w:val="center"/>
            <w:hideMark/>
          </w:tcPr>
          <w:p w14:paraId="029EB0F2" w14:textId="77777777" w:rsidR="007B1BAC" w:rsidRPr="00801A36" w:rsidRDefault="007B1BAC" w:rsidP="00801A36">
            <w:pPr>
              <w:spacing w:after="0" w:line="240" w:lineRule="auto"/>
              <w:jc w:val="center"/>
              <w:rPr>
                <w:rFonts w:ascii="Times New Roman" w:eastAsia="Times New Roman" w:hAnsi="Times New Roman" w:cs="Times New Roman"/>
                <w:color w:val="000000"/>
                <w:kern w:val="0"/>
                <w:sz w:val="19"/>
                <w:szCs w:val="19"/>
                <w:lang w:eastAsia="en-IN"/>
                <w14:ligatures w14:val="none"/>
              </w:rPr>
            </w:pPr>
            <w:r w:rsidRPr="00801A36">
              <w:rPr>
                <w:rFonts w:ascii="Times New Roman" w:eastAsia="Times New Roman" w:hAnsi="Times New Roman" w:cs="Times New Roman"/>
                <w:color w:val="000000"/>
                <w:kern w:val="0"/>
                <w:sz w:val="19"/>
                <w:szCs w:val="19"/>
                <w:lang w:eastAsia="en-IN"/>
                <w14:ligatures w14:val="none"/>
              </w:rPr>
              <w:t>..</w:t>
            </w:r>
          </w:p>
        </w:tc>
        <w:tc>
          <w:tcPr>
            <w:tcW w:w="986" w:type="dxa"/>
            <w:tcBorders>
              <w:top w:val="nil"/>
              <w:left w:val="nil"/>
              <w:bottom w:val="single" w:sz="4" w:space="0" w:color="auto"/>
              <w:right w:val="single" w:sz="4" w:space="0" w:color="auto"/>
            </w:tcBorders>
            <w:noWrap/>
            <w:vAlign w:val="center"/>
            <w:hideMark/>
          </w:tcPr>
          <w:p w14:paraId="1CF6D7F5" w14:textId="77777777" w:rsidR="007B1BAC" w:rsidRPr="00801A36" w:rsidRDefault="007B1BAC" w:rsidP="00801A36">
            <w:pPr>
              <w:spacing w:after="0" w:line="240" w:lineRule="auto"/>
              <w:jc w:val="center"/>
              <w:rPr>
                <w:rFonts w:ascii="Times New Roman" w:eastAsia="Times New Roman" w:hAnsi="Times New Roman" w:cs="Times New Roman"/>
                <w:color w:val="000000"/>
                <w:kern w:val="0"/>
                <w:sz w:val="19"/>
                <w:szCs w:val="19"/>
                <w:lang w:eastAsia="en-IN"/>
                <w14:ligatures w14:val="none"/>
              </w:rPr>
            </w:pPr>
            <w:r w:rsidRPr="00801A36">
              <w:rPr>
                <w:rFonts w:ascii="Times New Roman" w:eastAsia="Times New Roman" w:hAnsi="Times New Roman" w:cs="Times New Roman"/>
                <w:color w:val="000000"/>
                <w:kern w:val="0"/>
                <w:sz w:val="19"/>
                <w:szCs w:val="19"/>
                <w:lang w:eastAsia="en-IN"/>
                <w14:ligatures w14:val="none"/>
              </w:rPr>
              <w:t>...</w:t>
            </w:r>
          </w:p>
        </w:tc>
      </w:tr>
      <w:tr w:rsidR="007B1BAC" w:rsidRPr="00801A36" w14:paraId="52D4228B" w14:textId="77777777" w:rsidTr="00801A36">
        <w:trPr>
          <w:trHeight w:val="20"/>
          <w:jc w:val="center"/>
        </w:trPr>
        <w:tc>
          <w:tcPr>
            <w:tcW w:w="618" w:type="dxa"/>
            <w:tcBorders>
              <w:top w:val="nil"/>
              <w:left w:val="single" w:sz="4" w:space="0" w:color="auto"/>
              <w:bottom w:val="single" w:sz="4" w:space="0" w:color="auto"/>
              <w:right w:val="single" w:sz="4" w:space="0" w:color="auto"/>
            </w:tcBorders>
            <w:noWrap/>
            <w:vAlign w:val="bottom"/>
            <w:hideMark/>
          </w:tcPr>
          <w:p w14:paraId="3777EFEB" w14:textId="77777777" w:rsidR="007B1BAC" w:rsidRPr="00801A36" w:rsidRDefault="007B1BAC" w:rsidP="007B1BAC">
            <w:pPr>
              <w:spacing w:after="0" w:line="240" w:lineRule="auto"/>
              <w:rPr>
                <w:rFonts w:ascii="Times New Roman" w:eastAsia="Times New Roman" w:hAnsi="Times New Roman" w:cs="Times New Roman"/>
                <w:color w:val="000000"/>
                <w:kern w:val="0"/>
                <w:sz w:val="19"/>
                <w:szCs w:val="19"/>
                <w:lang w:eastAsia="en-IN"/>
                <w14:ligatures w14:val="none"/>
              </w:rPr>
            </w:pPr>
            <w:r w:rsidRPr="00801A36">
              <w:rPr>
                <w:rFonts w:ascii="Times New Roman" w:eastAsia="Times New Roman" w:hAnsi="Times New Roman" w:cs="Times New Roman"/>
                <w:color w:val="000000"/>
                <w:kern w:val="0"/>
                <w:sz w:val="19"/>
                <w:szCs w:val="19"/>
                <w:lang w:eastAsia="en-IN"/>
                <w14:ligatures w14:val="none"/>
              </w:rPr>
              <w:t> </w:t>
            </w:r>
          </w:p>
        </w:tc>
        <w:tc>
          <w:tcPr>
            <w:tcW w:w="1680" w:type="dxa"/>
            <w:tcBorders>
              <w:top w:val="nil"/>
              <w:left w:val="nil"/>
              <w:bottom w:val="single" w:sz="4" w:space="0" w:color="auto"/>
              <w:right w:val="single" w:sz="4" w:space="0" w:color="auto"/>
            </w:tcBorders>
            <w:noWrap/>
            <w:vAlign w:val="bottom"/>
            <w:hideMark/>
          </w:tcPr>
          <w:p w14:paraId="0F3BCF15" w14:textId="77777777" w:rsidR="007B1BAC" w:rsidRPr="00801A36" w:rsidRDefault="007B1BAC" w:rsidP="007B1BAC">
            <w:pPr>
              <w:spacing w:after="0" w:line="240" w:lineRule="auto"/>
              <w:rPr>
                <w:rFonts w:ascii="Times New Roman" w:eastAsia="Times New Roman" w:hAnsi="Times New Roman" w:cs="Times New Roman"/>
                <w:color w:val="000000"/>
                <w:kern w:val="0"/>
                <w:sz w:val="19"/>
                <w:szCs w:val="19"/>
                <w:lang w:eastAsia="en-IN"/>
                <w14:ligatures w14:val="none"/>
              </w:rPr>
            </w:pPr>
            <w:r w:rsidRPr="00801A36">
              <w:rPr>
                <w:rFonts w:ascii="Times New Roman" w:eastAsia="Times New Roman" w:hAnsi="Times New Roman" w:cs="Times New Roman"/>
                <w:color w:val="000000"/>
                <w:kern w:val="0"/>
                <w:sz w:val="19"/>
                <w:szCs w:val="19"/>
                <w:lang w:eastAsia="en-IN"/>
                <w14:ligatures w14:val="none"/>
              </w:rPr>
              <w:t>Southern</w:t>
            </w:r>
          </w:p>
        </w:tc>
        <w:tc>
          <w:tcPr>
            <w:tcW w:w="1084" w:type="dxa"/>
            <w:tcBorders>
              <w:top w:val="nil"/>
              <w:left w:val="nil"/>
              <w:bottom w:val="single" w:sz="4" w:space="0" w:color="auto"/>
              <w:right w:val="single" w:sz="4" w:space="0" w:color="auto"/>
            </w:tcBorders>
            <w:noWrap/>
            <w:vAlign w:val="center"/>
            <w:hideMark/>
          </w:tcPr>
          <w:p w14:paraId="048421C3" w14:textId="77777777" w:rsidR="007B1BAC" w:rsidRPr="00801A36" w:rsidRDefault="007B1BAC" w:rsidP="00801A36">
            <w:pPr>
              <w:spacing w:after="0" w:line="240" w:lineRule="auto"/>
              <w:jc w:val="center"/>
              <w:rPr>
                <w:rFonts w:ascii="Times New Roman" w:eastAsia="Times New Roman" w:hAnsi="Times New Roman" w:cs="Times New Roman"/>
                <w:color w:val="000000"/>
                <w:kern w:val="0"/>
                <w:sz w:val="19"/>
                <w:szCs w:val="19"/>
                <w:lang w:eastAsia="en-IN"/>
                <w14:ligatures w14:val="none"/>
              </w:rPr>
            </w:pPr>
            <w:r w:rsidRPr="00801A36">
              <w:rPr>
                <w:rFonts w:ascii="Times New Roman" w:eastAsia="Times New Roman" w:hAnsi="Times New Roman" w:cs="Times New Roman"/>
                <w:color w:val="000000"/>
                <w:kern w:val="0"/>
                <w:sz w:val="19"/>
                <w:szCs w:val="19"/>
                <w:lang w:eastAsia="en-IN"/>
                <w14:ligatures w14:val="none"/>
              </w:rPr>
              <w:t>1,640.48</w:t>
            </w:r>
          </w:p>
        </w:tc>
        <w:tc>
          <w:tcPr>
            <w:tcW w:w="1070" w:type="dxa"/>
            <w:tcBorders>
              <w:top w:val="nil"/>
              <w:left w:val="nil"/>
              <w:bottom w:val="single" w:sz="4" w:space="0" w:color="auto"/>
              <w:right w:val="single" w:sz="4" w:space="0" w:color="auto"/>
            </w:tcBorders>
            <w:noWrap/>
            <w:vAlign w:val="center"/>
            <w:hideMark/>
          </w:tcPr>
          <w:p w14:paraId="5C0FF41B" w14:textId="77777777" w:rsidR="007B1BAC" w:rsidRPr="00801A36" w:rsidRDefault="007B1BAC" w:rsidP="00801A36">
            <w:pPr>
              <w:spacing w:after="0" w:line="240" w:lineRule="auto"/>
              <w:jc w:val="center"/>
              <w:rPr>
                <w:rFonts w:ascii="Times New Roman" w:eastAsia="Times New Roman" w:hAnsi="Times New Roman" w:cs="Times New Roman"/>
                <w:color w:val="000000"/>
                <w:kern w:val="0"/>
                <w:sz w:val="19"/>
                <w:szCs w:val="19"/>
                <w:lang w:eastAsia="en-IN"/>
                <w14:ligatures w14:val="none"/>
              </w:rPr>
            </w:pPr>
            <w:r w:rsidRPr="00801A36">
              <w:rPr>
                <w:rFonts w:ascii="Times New Roman" w:eastAsia="Times New Roman" w:hAnsi="Times New Roman" w:cs="Times New Roman"/>
                <w:color w:val="000000"/>
                <w:kern w:val="0"/>
                <w:sz w:val="19"/>
                <w:szCs w:val="19"/>
                <w:lang w:eastAsia="en-IN"/>
                <w14:ligatures w14:val="none"/>
              </w:rPr>
              <w:t>1,166.43</w:t>
            </w:r>
          </w:p>
        </w:tc>
        <w:tc>
          <w:tcPr>
            <w:tcW w:w="1196" w:type="dxa"/>
            <w:tcBorders>
              <w:top w:val="nil"/>
              <w:left w:val="nil"/>
              <w:bottom w:val="single" w:sz="4" w:space="0" w:color="auto"/>
              <w:right w:val="single" w:sz="4" w:space="0" w:color="auto"/>
            </w:tcBorders>
            <w:noWrap/>
            <w:vAlign w:val="center"/>
            <w:hideMark/>
          </w:tcPr>
          <w:p w14:paraId="6B148779" w14:textId="77777777" w:rsidR="007B1BAC" w:rsidRPr="00801A36" w:rsidRDefault="007B1BAC" w:rsidP="00801A36">
            <w:pPr>
              <w:spacing w:after="0" w:line="240" w:lineRule="auto"/>
              <w:jc w:val="center"/>
              <w:rPr>
                <w:rFonts w:ascii="Times New Roman" w:eastAsia="Times New Roman" w:hAnsi="Times New Roman" w:cs="Times New Roman"/>
                <w:color w:val="000000"/>
                <w:kern w:val="0"/>
                <w:sz w:val="19"/>
                <w:szCs w:val="19"/>
                <w:lang w:eastAsia="en-IN"/>
                <w14:ligatures w14:val="none"/>
              </w:rPr>
            </w:pPr>
            <w:r w:rsidRPr="00801A36">
              <w:rPr>
                <w:rFonts w:ascii="Times New Roman" w:eastAsia="Times New Roman" w:hAnsi="Times New Roman" w:cs="Times New Roman"/>
                <w:color w:val="000000"/>
                <w:kern w:val="0"/>
                <w:sz w:val="19"/>
                <w:szCs w:val="19"/>
                <w:lang w:eastAsia="en-IN"/>
                <w14:ligatures w14:val="none"/>
              </w:rPr>
              <w:t>..</w:t>
            </w:r>
          </w:p>
        </w:tc>
        <w:tc>
          <w:tcPr>
            <w:tcW w:w="986" w:type="dxa"/>
            <w:tcBorders>
              <w:top w:val="nil"/>
              <w:left w:val="nil"/>
              <w:bottom w:val="single" w:sz="4" w:space="0" w:color="auto"/>
              <w:right w:val="single" w:sz="4" w:space="0" w:color="auto"/>
            </w:tcBorders>
            <w:noWrap/>
            <w:vAlign w:val="center"/>
            <w:hideMark/>
          </w:tcPr>
          <w:p w14:paraId="0D9E1ABB" w14:textId="77777777" w:rsidR="007B1BAC" w:rsidRPr="00801A36" w:rsidRDefault="007B1BAC" w:rsidP="00801A36">
            <w:pPr>
              <w:spacing w:after="0" w:line="240" w:lineRule="auto"/>
              <w:jc w:val="center"/>
              <w:rPr>
                <w:rFonts w:ascii="Times New Roman" w:eastAsia="Times New Roman" w:hAnsi="Times New Roman" w:cs="Times New Roman"/>
                <w:color w:val="000000"/>
                <w:kern w:val="0"/>
                <w:sz w:val="19"/>
                <w:szCs w:val="19"/>
                <w:lang w:eastAsia="en-IN"/>
                <w14:ligatures w14:val="none"/>
              </w:rPr>
            </w:pPr>
            <w:r w:rsidRPr="00801A36">
              <w:rPr>
                <w:rFonts w:ascii="Times New Roman" w:eastAsia="Times New Roman" w:hAnsi="Times New Roman" w:cs="Times New Roman"/>
                <w:color w:val="000000"/>
                <w:kern w:val="0"/>
                <w:sz w:val="19"/>
                <w:szCs w:val="19"/>
                <w:lang w:eastAsia="en-IN"/>
                <w14:ligatures w14:val="none"/>
              </w:rPr>
              <w:t>2,812.91</w:t>
            </w:r>
          </w:p>
        </w:tc>
        <w:tc>
          <w:tcPr>
            <w:tcW w:w="1084" w:type="dxa"/>
            <w:tcBorders>
              <w:top w:val="nil"/>
              <w:left w:val="nil"/>
              <w:bottom w:val="single" w:sz="4" w:space="0" w:color="auto"/>
              <w:right w:val="single" w:sz="4" w:space="0" w:color="auto"/>
            </w:tcBorders>
            <w:noWrap/>
            <w:vAlign w:val="center"/>
            <w:hideMark/>
          </w:tcPr>
          <w:p w14:paraId="05742F76" w14:textId="77777777" w:rsidR="007B1BAC" w:rsidRPr="00801A36" w:rsidRDefault="007B1BAC" w:rsidP="00801A36">
            <w:pPr>
              <w:spacing w:after="0" w:line="240" w:lineRule="auto"/>
              <w:jc w:val="center"/>
              <w:rPr>
                <w:rFonts w:ascii="Times New Roman" w:eastAsia="Times New Roman" w:hAnsi="Times New Roman" w:cs="Times New Roman"/>
                <w:color w:val="000000"/>
                <w:kern w:val="0"/>
                <w:sz w:val="19"/>
                <w:szCs w:val="19"/>
                <w:lang w:eastAsia="en-IN"/>
                <w14:ligatures w14:val="none"/>
              </w:rPr>
            </w:pPr>
            <w:r w:rsidRPr="00801A36">
              <w:rPr>
                <w:rFonts w:ascii="Times New Roman" w:eastAsia="Times New Roman" w:hAnsi="Times New Roman" w:cs="Times New Roman"/>
                <w:color w:val="000000"/>
                <w:kern w:val="0"/>
                <w:sz w:val="19"/>
                <w:szCs w:val="19"/>
                <w:lang w:eastAsia="en-IN"/>
                <w14:ligatures w14:val="none"/>
              </w:rPr>
              <w:t>1,637.55</w:t>
            </w:r>
          </w:p>
        </w:tc>
        <w:tc>
          <w:tcPr>
            <w:tcW w:w="1070" w:type="dxa"/>
            <w:tcBorders>
              <w:top w:val="nil"/>
              <w:left w:val="nil"/>
              <w:bottom w:val="single" w:sz="4" w:space="0" w:color="auto"/>
              <w:right w:val="single" w:sz="4" w:space="0" w:color="auto"/>
            </w:tcBorders>
            <w:noWrap/>
            <w:vAlign w:val="center"/>
            <w:hideMark/>
          </w:tcPr>
          <w:p w14:paraId="554D65D5" w14:textId="77777777" w:rsidR="007B1BAC" w:rsidRPr="00801A36" w:rsidRDefault="007B1BAC" w:rsidP="00801A36">
            <w:pPr>
              <w:spacing w:after="0" w:line="240" w:lineRule="auto"/>
              <w:jc w:val="center"/>
              <w:rPr>
                <w:rFonts w:ascii="Times New Roman" w:eastAsia="Times New Roman" w:hAnsi="Times New Roman" w:cs="Times New Roman"/>
                <w:color w:val="000000"/>
                <w:kern w:val="0"/>
                <w:sz w:val="19"/>
                <w:szCs w:val="19"/>
                <w:lang w:eastAsia="en-IN"/>
                <w14:ligatures w14:val="none"/>
              </w:rPr>
            </w:pPr>
            <w:r w:rsidRPr="00801A36">
              <w:rPr>
                <w:rFonts w:ascii="Times New Roman" w:eastAsia="Times New Roman" w:hAnsi="Times New Roman" w:cs="Times New Roman"/>
                <w:color w:val="000000"/>
                <w:kern w:val="0"/>
                <w:sz w:val="19"/>
                <w:szCs w:val="19"/>
                <w:lang w:eastAsia="en-IN"/>
                <w14:ligatures w14:val="none"/>
              </w:rPr>
              <w:t>1,166.43</w:t>
            </w:r>
          </w:p>
        </w:tc>
        <w:tc>
          <w:tcPr>
            <w:tcW w:w="1196" w:type="dxa"/>
            <w:tcBorders>
              <w:top w:val="nil"/>
              <w:left w:val="nil"/>
              <w:bottom w:val="single" w:sz="4" w:space="0" w:color="auto"/>
              <w:right w:val="single" w:sz="4" w:space="0" w:color="auto"/>
            </w:tcBorders>
            <w:noWrap/>
            <w:vAlign w:val="center"/>
            <w:hideMark/>
          </w:tcPr>
          <w:p w14:paraId="15487D6A" w14:textId="77777777" w:rsidR="007B1BAC" w:rsidRPr="00801A36" w:rsidRDefault="007B1BAC" w:rsidP="00801A36">
            <w:pPr>
              <w:spacing w:after="0" w:line="240" w:lineRule="auto"/>
              <w:jc w:val="center"/>
              <w:rPr>
                <w:rFonts w:ascii="Times New Roman" w:eastAsia="Times New Roman" w:hAnsi="Times New Roman" w:cs="Times New Roman"/>
                <w:color w:val="000000"/>
                <w:kern w:val="0"/>
                <w:sz w:val="19"/>
                <w:szCs w:val="19"/>
                <w:lang w:eastAsia="en-IN"/>
                <w14:ligatures w14:val="none"/>
              </w:rPr>
            </w:pPr>
            <w:r w:rsidRPr="00801A36">
              <w:rPr>
                <w:rFonts w:ascii="Times New Roman" w:eastAsia="Times New Roman" w:hAnsi="Times New Roman" w:cs="Times New Roman"/>
                <w:color w:val="000000"/>
                <w:kern w:val="0"/>
                <w:sz w:val="19"/>
                <w:szCs w:val="19"/>
                <w:lang w:eastAsia="en-IN"/>
                <w14:ligatures w14:val="none"/>
              </w:rPr>
              <w:t>..</w:t>
            </w:r>
          </w:p>
        </w:tc>
        <w:tc>
          <w:tcPr>
            <w:tcW w:w="986" w:type="dxa"/>
            <w:tcBorders>
              <w:top w:val="nil"/>
              <w:left w:val="nil"/>
              <w:bottom w:val="single" w:sz="4" w:space="0" w:color="auto"/>
              <w:right w:val="single" w:sz="4" w:space="0" w:color="auto"/>
            </w:tcBorders>
            <w:noWrap/>
            <w:vAlign w:val="center"/>
            <w:hideMark/>
          </w:tcPr>
          <w:p w14:paraId="1900079A" w14:textId="77777777" w:rsidR="007B1BAC" w:rsidRPr="00801A36" w:rsidRDefault="007B1BAC" w:rsidP="00801A36">
            <w:pPr>
              <w:spacing w:after="0" w:line="240" w:lineRule="auto"/>
              <w:jc w:val="center"/>
              <w:rPr>
                <w:rFonts w:ascii="Times New Roman" w:eastAsia="Times New Roman" w:hAnsi="Times New Roman" w:cs="Times New Roman"/>
                <w:color w:val="000000"/>
                <w:kern w:val="0"/>
                <w:sz w:val="19"/>
                <w:szCs w:val="19"/>
                <w:lang w:eastAsia="en-IN"/>
                <w14:ligatures w14:val="none"/>
              </w:rPr>
            </w:pPr>
            <w:r w:rsidRPr="00801A36">
              <w:rPr>
                <w:rFonts w:ascii="Times New Roman" w:eastAsia="Times New Roman" w:hAnsi="Times New Roman" w:cs="Times New Roman"/>
                <w:color w:val="000000"/>
                <w:kern w:val="0"/>
                <w:sz w:val="19"/>
                <w:szCs w:val="19"/>
                <w:lang w:eastAsia="en-IN"/>
                <w14:ligatures w14:val="none"/>
              </w:rPr>
              <w:t>2,803.98</w:t>
            </w:r>
          </w:p>
        </w:tc>
        <w:tc>
          <w:tcPr>
            <w:tcW w:w="1084" w:type="dxa"/>
            <w:tcBorders>
              <w:top w:val="nil"/>
              <w:left w:val="nil"/>
              <w:bottom w:val="single" w:sz="4" w:space="0" w:color="auto"/>
              <w:right w:val="single" w:sz="4" w:space="0" w:color="auto"/>
            </w:tcBorders>
            <w:noWrap/>
            <w:vAlign w:val="center"/>
            <w:hideMark/>
          </w:tcPr>
          <w:p w14:paraId="31306C59" w14:textId="77777777" w:rsidR="007B1BAC" w:rsidRPr="00801A36" w:rsidRDefault="007B1BAC" w:rsidP="00801A36">
            <w:pPr>
              <w:spacing w:after="0" w:line="240" w:lineRule="auto"/>
              <w:jc w:val="center"/>
              <w:rPr>
                <w:rFonts w:ascii="Times New Roman" w:eastAsia="Times New Roman" w:hAnsi="Times New Roman" w:cs="Times New Roman"/>
                <w:color w:val="000000"/>
                <w:kern w:val="0"/>
                <w:sz w:val="19"/>
                <w:szCs w:val="19"/>
                <w:lang w:eastAsia="en-IN"/>
                <w14:ligatures w14:val="none"/>
              </w:rPr>
            </w:pPr>
            <w:r w:rsidRPr="00801A36">
              <w:rPr>
                <w:rFonts w:ascii="Times New Roman" w:eastAsia="Times New Roman" w:hAnsi="Times New Roman" w:cs="Times New Roman"/>
                <w:color w:val="000000"/>
                <w:kern w:val="0"/>
                <w:sz w:val="19"/>
                <w:szCs w:val="19"/>
                <w:lang w:eastAsia="en-IN"/>
                <w14:ligatures w14:val="none"/>
              </w:rPr>
              <w:t>660.96</w:t>
            </w:r>
          </w:p>
        </w:tc>
        <w:tc>
          <w:tcPr>
            <w:tcW w:w="1070" w:type="dxa"/>
            <w:tcBorders>
              <w:top w:val="nil"/>
              <w:left w:val="nil"/>
              <w:bottom w:val="single" w:sz="4" w:space="0" w:color="auto"/>
              <w:right w:val="single" w:sz="4" w:space="0" w:color="auto"/>
            </w:tcBorders>
            <w:noWrap/>
            <w:vAlign w:val="center"/>
            <w:hideMark/>
          </w:tcPr>
          <w:p w14:paraId="29B95E29" w14:textId="77777777" w:rsidR="007B1BAC" w:rsidRPr="00801A36" w:rsidRDefault="007B1BAC" w:rsidP="00801A36">
            <w:pPr>
              <w:spacing w:after="0" w:line="240" w:lineRule="auto"/>
              <w:jc w:val="center"/>
              <w:rPr>
                <w:rFonts w:ascii="Times New Roman" w:eastAsia="Times New Roman" w:hAnsi="Times New Roman" w:cs="Times New Roman"/>
                <w:color w:val="000000"/>
                <w:kern w:val="0"/>
                <w:sz w:val="19"/>
                <w:szCs w:val="19"/>
                <w:lang w:eastAsia="en-IN"/>
                <w14:ligatures w14:val="none"/>
              </w:rPr>
            </w:pPr>
            <w:r w:rsidRPr="00801A36">
              <w:rPr>
                <w:rFonts w:ascii="Times New Roman" w:eastAsia="Times New Roman" w:hAnsi="Times New Roman" w:cs="Times New Roman"/>
                <w:color w:val="000000"/>
                <w:kern w:val="0"/>
                <w:sz w:val="19"/>
                <w:szCs w:val="19"/>
                <w:lang w:eastAsia="en-IN"/>
                <w14:ligatures w14:val="none"/>
              </w:rPr>
              <w:t>531.4</w:t>
            </w:r>
          </w:p>
        </w:tc>
        <w:tc>
          <w:tcPr>
            <w:tcW w:w="1196" w:type="dxa"/>
            <w:tcBorders>
              <w:top w:val="nil"/>
              <w:left w:val="nil"/>
              <w:bottom w:val="single" w:sz="4" w:space="0" w:color="auto"/>
              <w:right w:val="single" w:sz="4" w:space="0" w:color="auto"/>
            </w:tcBorders>
            <w:noWrap/>
            <w:vAlign w:val="center"/>
            <w:hideMark/>
          </w:tcPr>
          <w:p w14:paraId="475E1DD7" w14:textId="77777777" w:rsidR="007B1BAC" w:rsidRPr="00801A36" w:rsidRDefault="007B1BAC" w:rsidP="00801A36">
            <w:pPr>
              <w:spacing w:after="0" w:line="240" w:lineRule="auto"/>
              <w:jc w:val="center"/>
              <w:rPr>
                <w:rFonts w:ascii="Times New Roman" w:eastAsia="Times New Roman" w:hAnsi="Times New Roman" w:cs="Times New Roman"/>
                <w:color w:val="000000"/>
                <w:kern w:val="0"/>
                <w:sz w:val="19"/>
                <w:szCs w:val="19"/>
                <w:lang w:eastAsia="en-IN"/>
                <w14:ligatures w14:val="none"/>
              </w:rPr>
            </w:pPr>
            <w:r w:rsidRPr="00801A36">
              <w:rPr>
                <w:rFonts w:ascii="Times New Roman" w:eastAsia="Times New Roman" w:hAnsi="Times New Roman" w:cs="Times New Roman"/>
                <w:color w:val="000000"/>
                <w:kern w:val="0"/>
                <w:sz w:val="19"/>
                <w:szCs w:val="19"/>
                <w:lang w:eastAsia="en-IN"/>
                <w14:ligatures w14:val="none"/>
              </w:rPr>
              <w:t>..</w:t>
            </w:r>
          </w:p>
        </w:tc>
        <w:tc>
          <w:tcPr>
            <w:tcW w:w="986" w:type="dxa"/>
            <w:tcBorders>
              <w:top w:val="nil"/>
              <w:left w:val="nil"/>
              <w:bottom w:val="single" w:sz="4" w:space="0" w:color="auto"/>
              <w:right w:val="single" w:sz="4" w:space="0" w:color="auto"/>
            </w:tcBorders>
            <w:noWrap/>
            <w:vAlign w:val="center"/>
            <w:hideMark/>
          </w:tcPr>
          <w:p w14:paraId="00AB9DDF" w14:textId="77777777" w:rsidR="007B1BAC" w:rsidRPr="00801A36" w:rsidRDefault="007B1BAC" w:rsidP="00801A36">
            <w:pPr>
              <w:spacing w:after="0" w:line="240" w:lineRule="auto"/>
              <w:jc w:val="center"/>
              <w:rPr>
                <w:rFonts w:ascii="Times New Roman" w:eastAsia="Times New Roman" w:hAnsi="Times New Roman" w:cs="Times New Roman"/>
                <w:color w:val="000000"/>
                <w:kern w:val="0"/>
                <w:sz w:val="19"/>
                <w:szCs w:val="19"/>
                <w:lang w:eastAsia="en-IN"/>
                <w14:ligatures w14:val="none"/>
              </w:rPr>
            </w:pPr>
            <w:r w:rsidRPr="00801A36">
              <w:rPr>
                <w:rFonts w:ascii="Times New Roman" w:eastAsia="Times New Roman" w:hAnsi="Times New Roman" w:cs="Times New Roman"/>
                <w:color w:val="000000"/>
                <w:kern w:val="0"/>
                <w:sz w:val="19"/>
                <w:szCs w:val="19"/>
                <w:lang w:eastAsia="en-IN"/>
                <w14:ligatures w14:val="none"/>
              </w:rPr>
              <w:t>1192.36</w:t>
            </w:r>
          </w:p>
        </w:tc>
      </w:tr>
      <w:tr w:rsidR="007B1BAC" w:rsidRPr="00801A36" w14:paraId="384583C7" w14:textId="77777777" w:rsidTr="00801A36">
        <w:trPr>
          <w:trHeight w:val="20"/>
          <w:jc w:val="center"/>
        </w:trPr>
        <w:tc>
          <w:tcPr>
            <w:tcW w:w="618" w:type="dxa"/>
            <w:tcBorders>
              <w:top w:val="nil"/>
              <w:left w:val="single" w:sz="4" w:space="0" w:color="auto"/>
              <w:bottom w:val="single" w:sz="4" w:space="0" w:color="auto"/>
              <w:right w:val="single" w:sz="4" w:space="0" w:color="auto"/>
            </w:tcBorders>
            <w:noWrap/>
            <w:vAlign w:val="bottom"/>
            <w:hideMark/>
          </w:tcPr>
          <w:p w14:paraId="2F3E009F" w14:textId="77777777" w:rsidR="007B1BAC" w:rsidRPr="00801A36" w:rsidRDefault="007B1BAC" w:rsidP="007B1BAC">
            <w:pPr>
              <w:spacing w:after="0" w:line="240" w:lineRule="auto"/>
              <w:rPr>
                <w:rFonts w:ascii="Times New Roman" w:eastAsia="Times New Roman" w:hAnsi="Times New Roman" w:cs="Times New Roman"/>
                <w:color w:val="000000"/>
                <w:kern w:val="0"/>
                <w:sz w:val="19"/>
                <w:szCs w:val="19"/>
                <w:lang w:eastAsia="en-IN"/>
                <w14:ligatures w14:val="none"/>
              </w:rPr>
            </w:pPr>
            <w:r w:rsidRPr="00801A36">
              <w:rPr>
                <w:rFonts w:ascii="Times New Roman" w:eastAsia="Times New Roman" w:hAnsi="Times New Roman" w:cs="Times New Roman"/>
                <w:color w:val="000000"/>
                <w:kern w:val="0"/>
                <w:sz w:val="19"/>
                <w:szCs w:val="19"/>
                <w:lang w:eastAsia="en-IN"/>
                <w14:ligatures w14:val="none"/>
              </w:rPr>
              <w:t> </w:t>
            </w:r>
          </w:p>
        </w:tc>
        <w:tc>
          <w:tcPr>
            <w:tcW w:w="1680" w:type="dxa"/>
            <w:tcBorders>
              <w:top w:val="nil"/>
              <w:left w:val="nil"/>
              <w:bottom w:val="single" w:sz="4" w:space="0" w:color="auto"/>
              <w:right w:val="single" w:sz="4" w:space="0" w:color="auto"/>
            </w:tcBorders>
            <w:noWrap/>
            <w:vAlign w:val="bottom"/>
            <w:hideMark/>
          </w:tcPr>
          <w:p w14:paraId="78AA95B2" w14:textId="77777777" w:rsidR="007B1BAC" w:rsidRPr="00801A36" w:rsidRDefault="007B1BAC" w:rsidP="007B1BAC">
            <w:pPr>
              <w:spacing w:after="0" w:line="240" w:lineRule="auto"/>
              <w:rPr>
                <w:rFonts w:ascii="Times New Roman" w:eastAsia="Times New Roman" w:hAnsi="Times New Roman" w:cs="Times New Roman"/>
                <w:color w:val="000000"/>
                <w:kern w:val="0"/>
                <w:sz w:val="19"/>
                <w:szCs w:val="19"/>
                <w:lang w:eastAsia="en-IN"/>
                <w14:ligatures w14:val="none"/>
              </w:rPr>
            </w:pPr>
            <w:r w:rsidRPr="00801A36">
              <w:rPr>
                <w:rFonts w:ascii="Times New Roman" w:eastAsia="Times New Roman" w:hAnsi="Times New Roman" w:cs="Times New Roman"/>
                <w:color w:val="000000"/>
                <w:kern w:val="0"/>
                <w:sz w:val="19"/>
                <w:szCs w:val="19"/>
                <w:lang w:eastAsia="en-IN"/>
                <w14:ligatures w14:val="none"/>
              </w:rPr>
              <w:t>South Central</w:t>
            </w:r>
          </w:p>
        </w:tc>
        <w:tc>
          <w:tcPr>
            <w:tcW w:w="1084" w:type="dxa"/>
            <w:tcBorders>
              <w:top w:val="nil"/>
              <w:left w:val="nil"/>
              <w:bottom w:val="single" w:sz="4" w:space="0" w:color="auto"/>
              <w:right w:val="single" w:sz="4" w:space="0" w:color="auto"/>
            </w:tcBorders>
            <w:noWrap/>
            <w:vAlign w:val="center"/>
            <w:hideMark/>
          </w:tcPr>
          <w:p w14:paraId="433DC7DF" w14:textId="77777777" w:rsidR="007B1BAC" w:rsidRPr="00801A36" w:rsidRDefault="007B1BAC" w:rsidP="00801A36">
            <w:pPr>
              <w:spacing w:after="0" w:line="240" w:lineRule="auto"/>
              <w:jc w:val="center"/>
              <w:rPr>
                <w:rFonts w:ascii="Times New Roman" w:eastAsia="Times New Roman" w:hAnsi="Times New Roman" w:cs="Times New Roman"/>
                <w:color w:val="000000"/>
                <w:kern w:val="0"/>
                <w:sz w:val="19"/>
                <w:szCs w:val="19"/>
                <w:lang w:eastAsia="en-IN"/>
                <w14:ligatures w14:val="none"/>
              </w:rPr>
            </w:pPr>
            <w:r w:rsidRPr="00801A36">
              <w:rPr>
                <w:rFonts w:ascii="Times New Roman" w:eastAsia="Times New Roman" w:hAnsi="Times New Roman" w:cs="Times New Roman"/>
                <w:color w:val="000000"/>
                <w:kern w:val="0"/>
                <w:sz w:val="19"/>
                <w:szCs w:val="19"/>
                <w:lang w:eastAsia="en-IN"/>
                <w14:ligatures w14:val="none"/>
              </w:rPr>
              <w:t>..</w:t>
            </w:r>
          </w:p>
        </w:tc>
        <w:tc>
          <w:tcPr>
            <w:tcW w:w="1070" w:type="dxa"/>
            <w:tcBorders>
              <w:top w:val="nil"/>
              <w:left w:val="nil"/>
              <w:bottom w:val="single" w:sz="4" w:space="0" w:color="auto"/>
              <w:right w:val="single" w:sz="4" w:space="0" w:color="auto"/>
            </w:tcBorders>
            <w:noWrap/>
            <w:vAlign w:val="center"/>
            <w:hideMark/>
          </w:tcPr>
          <w:p w14:paraId="342999BE" w14:textId="77777777" w:rsidR="007B1BAC" w:rsidRPr="00801A36" w:rsidRDefault="007B1BAC" w:rsidP="00801A36">
            <w:pPr>
              <w:spacing w:after="0" w:line="240" w:lineRule="auto"/>
              <w:jc w:val="center"/>
              <w:rPr>
                <w:rFonts w:ascii="Times New Roman" w:eastAsia="Times New Roman" w:hAnsi="Times New Roman" w:cs="Times New Roman"/>
                <w:color w:val="000000"/>
                <w:kern w:val="0"/>
                <w:sz w:val="19"/>
                <w:szCs w:val="19"/>
                <w:lang w:eastAsia="en-IN"/>
                <w14:ligatures w14:val="none"/>
              </w:rPr>
            </w:pPr>
            <w:r w:rsidRPr="00801A36">
              <w:rPr>
                <w:rFonts w:ascii="Times New Roman" w:eastAsia="Times New Roman" w:hAnsi="Times New Roman" w:cs="Times New Roman"/>
                <w:color w:val="000000"/>
                <w:kern w:val="0"/>
                <w:sz w:val="19"/>
                <w:szCs w:val="19"/>
                <w:lang w:eastAsia="en-IN"/>
                <w14:ligatures w14:val="none"/>
              </w:rPr>
              <w:t>..</w:t>
            </w:r>
          </w:p>
        </w:tc>
        <w:tc>
          <w:tcPr>
            <w:tcW w:w="1196" w:type="dxa"/>
            <w:tcBorders>
              <w:top w:val="nil"/>
              <w:left w:val="nil"/>
              <w:bottom w:val="single" w:sz="4" w:space="0" w:color="auto"/>
              <w:right w:val="single" w:sz="4" w:space="0" w:color="auto"/>
            </w:tcBorders>
            <w:noWrap/>
            <w:vAlign w:val="center"/>
            <w:hideMark/>
          </w:tcPr>
          <w:p w14:paraId="3AFBDECC" w14:textId="77777777" w:rsidR="007B1BAC" w:rsidRPr="00801A36" w:rsidRDefault="007B1BAC" w:rsidP="00801A36">
            <w:pPr>
              <w:spacing w:after="0" w:line="240" w:lineRule="auto"/>
              <w:jc w:val="center"/>
              <w:rPr>
                <w:rFonts w:ascii="Times New Roman" w:eastAsia="Times New Roman" w:hAnsi="Times New Roman" w:cs="Times New Roman"/>
                <w:color w:val="000000"/>
                <w:kern w:val="0"/>
                <w:sz w:val="19"/>
                <w:szCs w:val="19"/>
                <w:lang w:eastAsia="en-IN"/>
                <w14:ligatures w14:val="none"/>
              </w:rPr>
            </w:pPr>
            <w:r w:rsidRPr="00801A36">
              <w:rPr>
                <w:rFonts w:ascii="Times New Roman" w:eastAsia="Times New Roman" w:hAnsi="Times New Roman" w:cs="Times New Roman"/>
                <w:color w:val="000000"/>
                <w:kern w:val="0"/>
                <w:sz w:val="19"/>
                <w:szCs w:val="19"/>
                <w:lang w:eastAsia="en-IN"/>
                <w14:ligatures w14:val="none"/>
              </w:rPr>
              <w:t>..</w:t>
            </w:r>
          </w:p>
        </w:tc>
        <w:tc>
          <w:tcPr>
            <w:tcW w:w="986" w:type="dxa"/>
            <w:tcBorders>
              <w:top w:val="nil"/>
              <w:left w:val="nil"/>
              <w:bottom w:val="single" w:sz="4" w:space="0" w:color="auto"/>
              <w:right w:val="single" w:sz="4" w:space="0" w:color="auto"/>
            </w:tcBorders>
            <w:noWrap/>
            <w:vAlign w:val="center"/>
            <w:hideMark/>
          </w:tcPr>
          <w:p w14:paraId="6B9F0A9A" w14:textId="77777777" w:rsidR="007B1BAC" w:rsidRPr="00801A36" w:rsidRDefault="007B1BAC" w:rsidP="00801A36">
            <w:pPr>
              <w:spacing w:after="0" w:line="240" w:lineRule="auto"/>
              <w:jc w:val="center"/>
              <w:rPr>
                <w:rFonts w:ascii="Times New Roman" w:eastAsia="Times New Roman" w:hAnsi="Times New Roman" w:cs="Times New Roman"/>
                <w:color w:val="000000"/>
                <w:kern w:val="0"/>
                <w:sz w:val="19"/>
                <w:szCs w:val="19"/>
                <w:lang w:eastAsia="en-IN"/>
                <w14:ligatures w14:val="none"/>
              </w:rPr>
            </w:pPr>
            <w:r w:rsidRPr="00801A36">
              <w:rPr>
                <w:rFonts w:ascii="Times New Roman" w:eastAsia="Times New Roman" w:hAnsi="Times New Roman" w:cs="Times New Roman"/>
                <w:color w:val="000000"/>
                <w:kern w:val="0"/>
                <w:sz w:val="19"/>
                <w:szCs w:val="19"/>
                <w:lang w:eastAsia="en-IN"/>
                <w14:ligatures w14:val="none"/>
              </w:rPr>
              <w:t>..</w:t>
            </w:r>
          </w:p>
        </w:tc>
        <w:tc>
          <w:tcPr>
            <w:tcW w:w="1084" w:type="dxa"/>
            <w:tcBorders>
              <w:top w:val="nil"/>
              <w:left w:val="nil"/>
              <w:bottom w:val="single" w:sz="4" w:space="0" w:color="auto"/>
              <w:right w:val="single" w:sz="4" w:space="0" w:color="auto"/>
            </w:tcBorders>
            <w:noWrap/>
            <w:vAlign w:val="center"/>
            <w:hideMark/>
          </w:tcPr>
          <w:p w14:paraId="4F66B59F" w14:textId="77777777" w:rsidR="007B1BAC" w:rsidRPr="00801A36" w:rsidRDefault="007B1BAC" w:rsidP="00801A36">
            <w:pPr>
              <w:spacing w:after="0" w:line="240" w:lineRule="auto"/>
              <w:jc w:val="center"/>
              <w:rPr>
                <w:rFonts w:ascii="Times New Roman" w:eastAsia="Times New Roman" w:hAnsi="Times New Roman" w:cs="Times New Roman"/>
                <w:color w:val="000000"/>
                <w:kern w:val="0"/>
                <w:sz w:val="19"/>
                <w:szCs w:val="19"/>
                <w:lang w:eastAsia="en-IN"/>
                <w14:ligatures w14:val="none"/>
              </w:rPr>
            </w:pPr>
            <w:r w:rsidRPr="00801A36">
              <w:rPr>
                <w:rFonts w:ascii="Times New Roman" w:eastAsia="Times New Roman" w:hAnsi="Times New Roman" w:cs="Times New Roman"/>
                <w:color w:val="000000"/>
                <w:kern w:val="0"/>
                <w:sz w:val="19"/>
                <w:szCs w:val="19"/>
                <w:lang w:eastAsia="en-IN"/>
                <w14:ligatures w14:val="none"/>
              </w:rPr>
              <w:t>..</w:t>
            </w:r>
          </w:p>
        </w:tc>
        <w:tc>
          <w:tcPr>
            <w:tcW w:w="1070" w:type="dxa"/>
            <w:tcBorders>
              <w:top w:val="nil"/>
              <w:left w:val="nil"/>
              <w:bottom w:val="single" w:sz="4" w:space="0" w:color="auto"/>
              <w:right w:val="single" w:sz="4" w:space="0" w:color="auto"/>
            </w:tcBorders>
            <w:noWrap/>
            <w:vAlign w:val="center"/>
            <w:hideMark/>
          </w:tcPr>
          <w:p w14:paraId="32528262" w14:textId="77777777" w:rsidR="007B1BAC" w:rsidRPr="00801A36" w:rsidRDefault="007B1BAC" w:rsidP="00801A36">
            <w:pPr>
              <w:spacing w:after="0" w:line="240" w:lineRule="auto"/>
              <w:jc w:val="center"/>
              <w:rPr>
                <w:rFonts w:ascii="Times New Roman" w:eastAsia="Times New Roman" w:hAnsi="Times New Roman" w:cs="Times New Roman"/>
                <w:color w:val="000000"/>
                <w:kern w:val="0"/>
                <w:sz w:val="19"/>
                <w:szCs w:val="19"/>
                <w:lang w:eastAsia="en-IN"/>
                <w14:ligatures w14:val="none"/>
              </w:rPr>
            </w:pPr>
            <w:r w:rsidRPr="00801A36">
              <w:rPr>
                <w:rFonts w:ascii="Times New Roman" w:eastAsia="Times New Roman" w:hAnsi="Times New Roman" w:cs="Times New Roman"/>
                <w:color w:val="000000"/>
                <w:kern w:val="0"/>
                <w:sz w:val="19"/>
                <w:szCs w:val="19"/>
                <w:lang w:eastAsia="en-IN"/>
                <w14:ligatures w14:val="none"/>
              </w:rPr>
              <w:t>..</w:t>
            </w:r>
          </w:p>
        </w:tc>
        <w:tc>
          <w:tcPr>
            <w:tcW w:w="1196" w:type="dxa"/>
            <w:tcBorders>
              <w:top w:val="nil"/>
              <w:left w:val="nil"/>
              <w:bottom w:val="single" w:sz="4" w:space="0" w:color="auto"/>
              <w:right w:val="single" w:sz="4" w:space="0" w:color="auto"/>
            </w:tcBorders>
            <w:noWrap/>
            <w:vAlign w:val="center"/>
            <w:hideMark/>
          </w:tcPr>
          <w:p w14:paraId="2260B97A" w14:textId="77777777" w:rsidR="007B1BAC" w:rsidRPr="00801A36" w:rsidRDefault="007B1BAC" w:rsidP="00801A36">
            <w:pPr>
              <w:spacing w:after="0" w:line="240" w:lineRule="auto"/>
              <w:jc w:val="center"/>
              <w:rPr>
                <w:rFonts w:ascii="Times New Roman" w:eastAsia="Times New Roman" w:hAnsi="Times New Roman" w:cs="Times New Roman"/>
                <w:color w:val="000000"/>
                <w:kern w:val="0"/>
                <w:sz w:val="19"/>
                <w:szCs w:val="19"/>
                <w:lang w:eastAsia="en-IN"/>
                <w14:ligatures w14:val="none"/>
              </w:rPr>
            </w:pPr>
            <w:r w:rsidRPr="00801A36">
              <w:rPr>
                <w:rFonts w:ascii="Times New Roman" w:eastAsia="Times New Roman" w:hAnsi="Times New Roman" w:cs="Times New Roman"/>
                <w:color w:val="000000"/>
                <w:kern w:val="0"/>
                <w:sz w:val="19"/>
                <w:szCs w:val="19"/>
                <w:lang w:eastAsia="en-IN"/>
                <w14:ligatures w14:val="none"/>
              </w:rPr>
              <w:t>..</w:t>
            </w:r>
          </w:p>
        </w:tc>
        <w:tc>
          <w:tcPr>
            <w:tcW w:w="986" w:type="dxa"/>
            <w:tcBorders>
              <w:top w:val="nil"/>
              <w:left w:val="nil"/>
              <w:bottom w:val="single" w:sz="4" w:space="0" w:color="auto"/>
              <w:right w:val="single" w:sz="4" w:space="0" w:color="auto"/>
            </w:tcBorders>
            <w:noWrap/>
            <w:vAlign w:val="center"/>
            <w:hideMark/>
          </w:tcPr>
          <w:p w14:paraId="73B848EC" w14:textId="77777777" w:rsidR="007B1BAC" w:rsidRPr="00801A36" w:rsidRDefault="007B1BAC" w:rsidP="00801A36">
            <w:pPr>
              <w:spacing w:after="0" w:line="240" w:lineRule="auto"/>
              <w:jc w:val="center"/>
              <w:rPr>
                <w:rFonts w:ascii="Times New Roman" w:eastAsia="Times New Roman" w:hAnsi="Times New Roman" w:cs="Times New Roman"/>
                <w:color w:val="000000"/>
                <w:kern w:val="0"/>
                <w:sz w:val="19"/>
                <w:szCs w:val="19"/>
                <w:lang w:eastAsia="en-IN"/>
                <w14:ligatures w14:val="none"/>
              </w:rPr>
            </w:pPr>
            <w:r w:rsidRPr="00801A36">
              <w:rPr>
                <w:rFonts w:ascii="Times New Roman" w:eastAsia="Times New Roman" w:hAnsi="Times New Roman" w:cs="Times New Roman"/>
                <w:color w:val="000000"/>
                <w:kern w:val="0"/>
                <w:sz w:val="19"/>
                <w:szCs w:val="19"/>
                <w:lang w:eastAsia="en-IN"/>
                <w14:ligatures w14:val="none"/>
              </w:rPr>
              <w:t>..</w:t>
            </w:r>
          </w:p>
        </w:tc>
        <w:tc>
          <w:tcPr>
            <w:tcW w:w="1084" w:type="dxa"/>
            <w:tcBorders>
              <w:top w:val="nil"/>
              <w:left w:val="nil"/>
              <w:bottom w:val="single" w:sz="4" w:space="0" w:color="auto"/>
              <w:right w:val="single" w:sz="4" w:space="0" w:color="auto"/>
            </w:tcBorders>
            <w:noWrap/>
            <w:vAlign w:val="center"/>
            <w:hideMark/>
          </w:tcPr>
          <w:p w14:paraId="7FD26A22" w14:textId="77777777" w:rsidR="007B1BAC" w:rsidRPr="00801A36" w:rsidRDefault="007B1BAC" w:rsidP="00801A36">
            <w:pPr>
              <w:spacing w:after="0" w:line="240" w:lineRule="auto"/>
              <w:jc w:val="center"/>
              <w:rPr>
                <w:rFonts w:ascii="Times New Roman" w:eastAsia="Times New Roman" w:hAnsi="Times New Roman" w:cs="Times New Roman"/>
                <w:color w:val="000000"/>
                <w:kern w:val="0"/>
                <w:sz w:val="19"/>
                <w:szCs w:val="19"/>
                <w:lang w:eastAsia="en-IN"/>
                <w14:ligatures w14:val="none"/>
              </w:rPr>
            </w:pPr>
            <w:r w:rsidRPr="00801A36">
              <w:rPr>
                <w:rFonts w:ascii="Times New Roman" w:eastAsia="Times New Roman" w:hAnsi="Times New Roman" w:cs="Times New Roman"/>
                <w:color w:val="000000"/>
                <w:kern w:val="0"/>
                <w:sz w:val="19"/>
                <w:szCs w:val="19"/>
                <w:lang w:eastAsia="en-IN"/>
                <w14:ligatures w14:val="none"/>
              </w:rPr>
              <w:t>1818.32</w:t>
            </w:r>
          </w:p>
        </w:tc>
        <w:tc>
          <w:tcPr>
            <w:tcW w:w="1070" w:type="dxa"/>
            <w:tcBorders>
              <w:top w:val="nil"/>
              <w:left w:val="nil"/>
              <w:bottom w:val="single" w:sz="4" w:space="0" w:color="auto"/>
              <w:right w:val="single" w:sz="4" w:space="0" w:color="auto"/>
            </w:tcBorders>
            <w:noWrap/>
            <w:vAlign w:val="center"/>
            <w:hideMark/>
          </w:tcPr>
          <w:p w14:paraId="463EA9D7" w14:textId="77777777" w:rsidR="007B1BAC" w:rsidRPr="00801A36" w:rsidRDefault="007B1BAC" w:rsidP="00801A36">
            <w:pPr>
              <w:spacing w:after="0" w:line="240" w:lineRule="auto"/>
              <w:jc w:val="center"/>
              <w:rPr>
                <w:rFonts w:ascii="Times New Roman" w:eastAsia="Times New Roman" w:hAnsi="Times New Roman" w:cs="Times New Roman"/>
                <w:color w:val="000000"/>
                <w:kern w:val="0"/>
                <w:sz w:val="19"/>
                <w:szCs w:val="19"/>
                <w:lang w:eastAsia="en-IN"/>
                <w14:ligatures w14:val="none"/>
              </w:rPr>
            </w:pPr>
            <w:r w:rsidRPr="00801A36">
              <w:rPr>
                <w:rFonts w:ascii="Times New Roman" w:eastAsia="Times New Roman" w:hAnsi="Times New Roman" w:cs="Times New Roman"/>
                <w:color w:val="000000"/>
                <w:kern w:val="0"/>
                <w:sz w:val="19"/>
                <w:szCs w:val="19"/>
                <w:lang w:eastAsia="en-IN"/>
                <w14:ligatures w14:val="none"/>
              </w:rPr>
              <w:t>1187.02</w:t>
            </w:r>
          </w:p>
        </w:tc>
        <w:tc>
          <w:tcPr>
            <w:tcW w:w="1196" w:type="dxa"/>
            <w:tcBorders>
              <w:top w:val="nil"/>
              <w:left w:val="nil"/>
              <w:bottom w:val="single" w:sz="4" w:space="0" w:color="auto"/>
              <w:right w:val="single" w:sz="4" w:space="0" w:color="auto"/>
            </w:tcBorders>
            <w:noWrap/>
            <w:vAlign w:val="center"/>
            <w:hideMark/>
          </w:tcPr>
          <w:p w14:paraId="6D0670F3" w14:textId="77777777" w:rsidR="007B1BAC" w:rsidRPr="00801A36" w:rsidRDefault="007B1BAC" w:rsidP="00801A36">
            <w:pPr>
              <w:spacing w:after="0" w:line="240" w:lineRule="auto"/>
              <w:jc w:val="center"/>
              <w:rPr>
                <w:rFonts w:ascii="Times New Roman" w:eastAsia="Times New Roman" w:hAnsi="Times New Roman" w:cs="Times New Roman"/>
                <w:color w:val="000000"/>
                <w:kern w:val="0"/>
                <w:sz w:val="19"/>
                <w:szCs w:val="19"/>
                <w:lang w:eastAsia="en-IN"/>
                <w14:ligatures w14:val="none"/>
              </w:rPr>
            </w:pPr>
            <w:r w:rsidRPr="00801A36">
              <w:rPr>
                <w:rFonts w:ascii="Times New Roman" w:eastAsia="Times New Roman" w:hAnsi="Times New Roman" w:cs="Times New Roman"/>
                <w:color w:val="000000"/>
                <w:kern w:val="0"/>
                <w:sz w:val="19"/>
                <w:szCs w:val="19"/>
                <w:lang w:eastAsia="en-IN"/>
                <w14:ligatures w14:val="none"/>
              </w:rPr>
              <w:t>..</w:t>
            </w:r>
          </w:p>
        </w:tc>
        <w:tc>
          <w:tcPr>
            <w:tcW w:w="986" w:type="dxa"/>
            <w:tcBorders>
              <w:top w:val="nil"/>
              <w:left w:val="nil"/>
              <w:bottom w:val="single" w:sz="4" w:space="0" w:color="auto"/>
              <w:right w:val="single" w:sz="4" w:space="0" w:color="auto"/>
            </w:tcBorders>
            <w:noWrap/>
            <w:vAlign w:val="center"/>
            <w:hideMark/>
          </w:tcPr>
          <w:p w14:paraId="2B27FDEF" w14:textId="77777777" w:rsidR="007B1BAC" w:rsidRPr="00801A36" w:rsidRDefault="007B1BAC" w:rsidP="00801A36">
            <w:pPr>
              <w:spacing w:after="0" w:line="240" w:lineRule="auto"/>
              <w:jc w:val="center"/>
              <w:rPr>
                <w:rFonts w:ascii="Times New Roman" w:eastAsia="Times New Roman" w:hAnsi="Times New Roman" w:cs="Times New Roman"/>
                <w:color w:val="000000"/>
                <w:kern w:val="0"/>
                <w:sz w:val="19"/>
                <w:szCs w:val="19"/>
                <w:lang w:eastAsia="en-IN"/>
                <w14:ligatures w14:val="none"/>
              </w:rPr>
            </w:pPr>
            <w:r w:rsidRPr="00801A36">
              <w:rPr>
                <w:rFonts w:ascii="Times New Roman" w:eastAsia="Times New Roman" w:hAnsi="Times New Roman" w:cs="Times New Roman"/>
                <w:color w:val="000000"/>
                <w:kern w:val="0"/>
                <w:sz w:val="19"/>
                <w:szCs w:val="19"/>
                <w:lang w:eastAsia="en-IN"/>
                <w14:ligatures w14:val="none"/>
              </w:rPr>
              <w:t>3005.34</w:t>
            </w:r>
          </w:p>
        </w:tc>
      </w:tr>
      <w:tr w:rsidR="007B1BAC" w:rsidRPr="00801A36" w14:paraId="6E47870A" w14:textId="77777777" w:rsidTr="00801A36">
        <w:trPr>
          <w:trHeight w:val="20"/>
          <w:jc w:val="center"/>
        </w:trPr>
        <w:tc>
          <w:tcPr>
            <w:tcW w:w="618" w:type="dxa"/>
            <w:tcBorders>
              <w:top w:val="nil"/>
              <w:left w:val="single" w:sz="4" w:space="0" w:color="auto"/>
              <w:bottom w:val="single" w:sz="4" w:space="0" w:color="auto"/>
              <w:right w:val="single" w:sz="4" w:space="0" w:color="auto"/>
            </w:tcBorders>
            <w:noWrap/>
            <w:vAlign w:val="bottom"/>
            <w:hideMark/>
          </w:tcPr>
          <w:p w14:paraId="5DDD4DD8" w14:textId="77777777" w:rsidR="007B1BAC" w:rsidRPr="00801A36" w:rsidRDefault="007B1BAC" w:rsidP="007B1BAC">
            <w:pPr>
              <w:spacing w:after="0" w:line="240" w:lineRule="auto"/>
              <w:rPr>
                <w:rFonts w:ascii="Times New Roman" w:eastAsia="Times New Roman" w:hAnsi="Times New Roman" w:cs="Times New Roman"/>
                <w:color w:val="000000"/>
                <w:kern w:val="0"/>
                <w:sz w:val="19"/>
                <w:szCs w:val="19"/>
                <w:lang w:eastAsia="en-IN"/>
                <w14:ligatures w14:val="none"/>
              </w:rPr>
            </w:pPr>
            <w:r w:rsidRPr="00801A36">
              <w:rPr>
                <w:rFonts w:ascii="Times New Roman" w:eastAsia="Times New Roman" w:hAnsi="Times New Roman" w:cs="Times New Roman"/>
                <w:color w:val="000000"/>
                <w:kern w:val="0"/>
                <w:sz w:val="19"/>
                <w:szCs w:val="19"/>
                <w:lang w:eastAsia="en-IN"/>
                <w14:ligatures w14:val="none"/>
              </w:rPr>
              <w:t> </w:t>
            </w:r>
          </w:p>
        </w:tc>
        <w:tc>
          <w:tcPr>
            <w:tcW w:w="1680" w:type="dxa"/>
            <w:tcBorders>
              <w:top w:val="nil"/>
              <w:left w:val="nil"/>
              <w:bottom w:val="single" w:sz="4" w:space="0" w:color="auto"/>
              <w:right w:val="single" w:sz="4" w:space="0" w:color="auto"/>
            </w:tcBorders>
            <w:noWrap/>
            <w:vAlign w:val="bottom"/>
            <w:hideMark/>
          </w:tcPr>
          <w:p w14:paraId="0E004E88" w14:textId="77777777" w:rsidR="007B1BAC" w:rsidRPr="00801A36" w:rsidRDefault="007B1BAC" w:rsidP="007B1BAC">
            <w:pPr>
              <w:spacing w:after="0" w:line="240" w:lineRule="auto"/>
              <w:rPr>
                <w:rFonts w:ascii="Times New Roman" w:eastAsia="Times New Roman" w:hAnsi="Times New Roman" w:cs="Times New Roman"/>
                <w:color w:val="000000"/>
                <w:kern w:val="0"/>
                <w:sz w:val="19"/>
                <w:szCs w:val="19"/>
                <w:lang w:eastAsia="en-IN"/>
                <w14:ligatures w14:val="none"/>
              </w:rPr>
            </w:pPr>
            <w:r w:rsidRPr="00801A36">
              <w:rPr>
                <w:rFonts w:ascii="Times New Roman" w:eastAsia="Times New Roman" w:hAnsi="Times New Roman" w:cs="Times New Roman"/>
                <w:color w:val="000000"/>
                <w:kern w:val="0"/>
                <w:sz w:val="19"/>
                <w:szCs w:val="19"/>
                <w:lang w:eastAsia="en-IN"/>
                <w14:ligatures w14:val="none"/>
              </w:rPr>
              <w:t>South Eastern</w:t>
            </w:r>
          </w:p>
        </w:tc>
        <w:tc>
          <w:tcPr>
            <w:tcW w:w="1084" w:type="dxa"/>
            <w:tcBorders>
              <w:top w:val="nil"/>
              <w:left w:val="nil"/>
              <w:bottom w:val="single" w:sz="4" w:space="0" w:color="auto"/>
              <w:right w:val="single" w:sz="4" w:space="0" w:color="auto"/>
            </w:tcBorders>
            <w:noWrap/>
            <w:vAlign w:val="center"/>
            <w:hideMark/>
          </w:tcPr>
          <w:p w14:paraId="3CD182EF" w14:textId="77777777" w:rsidR="007B1BAC" w:rsidRPr="00801A36" w:rsidRDefault="007B1BAC" w:rsidP="00801A36">
            <w:pPr>
              <w:spacing w:after="0" w:line="240" w:lineRule="auto"/>
              <w:jc w:val="center"/>
              <w:rPr>
                <w:rFonts w:ascii="Times New Roman" w:eastAsia="Times New Roman" w:hAnsi="Times New Roman" w:cs="Times New Roman"/>
                <w:color w:val="000000"/>
                <w:kern w:val="0"/>
                <w:sz w:val="19"/>
                <w:szCs w:val="19"/>
                <w:lang w:eastAsia="en-IN"/>
                <w14:ligatures w14:val="none"/>
              </w:rPr>
            </w:pPr>
            <w:r w:rsidRPr="00801A36">
              <w:rPr>
                <w:rFonts w:ascii="Times New Roman" w:eastAsia="Times New Roman" w:hAnsi="Times New Roman" w:cs="Times New Roman"/>
                <w:color w:val="000000"/>
                <w:kern w:val="0"/>
                <w:sz w:val="19"/>
                <w:szCs w:val="19"/>
                <w:lang w:eastAsia="en-IN"/>
                <w14:ligatures w14:val="none"/>
              </w:rPr>
              <w:t>377.74</w:t>
            </w:r>
          </w:p>
        </w:tc>
        <w:tc>
          <w:tcPr>
            <w:tcW w:w="1070" w:type="dxa"/>
            <w:tcBorders>
              <w:top w:val="nil"/>
              <w:left w:val="nil"/>
              <w:bottom w:val="single" w:sz="4" w:space="0" w:color="auto"/>
              <w:right w:val="single" w:sz="4" w:space="0" w:color="auto"/>
            </w:tcBorders>
            <w:noWrap/>
            <w:vAlign w:val="center"/>
            <w:hideMark/>
          </w:tcPr>
          <w:p w14:paraId="4C98E842" w14:textId="77777777" w:rsidR="007B1BAC" w:rsidRPr="00801A36" w:rsidRDefault="007B1BAC" w:rsidP="00801A36">
            <w:pPr>
              <w:spacing w:after="0" w:line="240" w:lineRule="auto"/>
              <w:jc w:val="center"/>
              <w:rPr>
                <w:rFonts w:ascii="Times New Roman" w:eastAsia="Times New Roman" w:hAnsi="Times New Roman" w:cs="Times New Roman"/>
                <w:color w:val="000000"/>
                <w:kern w:val="0"/>
                <w:sz w:val="19"/>
                <w:szCs w:val="19"/>
                <w:lang w:eastAsia="en-IN"/>
                <w14:ligatures w14:val="none"/>
              </w:rPr>
            </w:pPr>
            <w:r w:rsidRPr="00801A36">
              <w:rPr>
                <w:rFonts w:ascii="Times New Roman" w:eastAsia="Times New Roman" w:hAnsi="Times New Roman" w:cs="Times New Roman"/>
                <w:color w:val="000000"/>
                <w:kern w:val="0"/>
                <w:sz w:val="19"/>
                <w:szCs w:val="19"/>
                <w:lang w:eastAsia="en-IN"/>
                <w14:ligatures w14:val="none"/>
              </w:rPr>
              <w:t>..</w:t>
            </w:r>
          </w:p>
        </w:tc>
        <w:tc>
          <w:tcPr>
            <w:tcW w:w="1196" w:type="dxa"/>
            <w:tcBorders>
              <w:top w:val="nil"/>
              <w:left w:val="nil"/>
              <w:bottom w:val="single" w:sz="4" w:space="0" w:color="auto"/>
              <w:right w:val="single" w:sz="4" w:space="0" w:color="auto"/>
            </w:tcBorders>
            <w:noWrap/>
            <w:vAlign w:val="center"/>
            <w:hideMark/>
          </w:tcPr>
          <w:p w14:paraId="21131939" w14:textId="77777777" w:rsidR="007B1BAC" w:rsidRPr="00801A36" w:rsidRDefault="007B1BAC" w:rsidP="00801A36">
            <w:pPr>
              <w:spacing w:after="0" w:line="240" w:lineRule="auto"/>
              <w:jc w:val="center"/>
              <w:rPr>
                <w:rFonts w:ascii="Times New Roman" w:eastAsia="Times New Roman" w:hAnsi="Times New Roman" w:cs="Times New Roman"/>
                <w:color w:val="000000"/>
                <w:kern w:val="0"/>
                <w:sz w:val="19"/>
                <w:szCs w:val="19"/>
                <w:lang w:eastAsia="en-IN"/>
                <w14:ligatures w14:val="none"/>
              </w:rPr>
            </w:pPr>
            <w:r w:rsidRPr="00801A36">
              <w:rPr>
                <w:rFonts w:ascii="Times New Roman" w:eastAsia="Times New Roman" w:hAnsi="Times New Roman" w:cs="Times New Roman"/>
                <w:color w:val="000000"/>
                <w:kern w:val="0"/>
                <w:sz w:val="19"/>
                <w:szCs w:val="19"/>
                <w:lang w:eastAsia="en-IN"/>
                <w14:ligatures w14:val="none"/>
              </w:rPr>
              <w:t>36.93</w:t>
            </w:r>
          </w:p>
        </w:tc>
        <w:tc>
          <w:tcPr>
            <w:tcW w:w="986" w:type="dxa"/>
            <w:tcBorders>
              <w:top w:val="nil"/>
              <w:left w:val="nil"/>
              <w:bottom w:val="single" w:sz="4" w:space="0" w:color="auto"/>
              <w:right w:val="single" w:sz="4" w:space="0" w:color="auto"/>
            </w:tcBorders>
            <w:noWrap/>
            <w:vAlign w:val="center"/>
            <w:hideMark/>
          </w:tcPr>
          <w:p w14:paraId="74BB7319" w14:textId="77777777" w:rsidR="007B1BAC" w:rsidRPr="00801A36" w:rsidRDefault="007B1BAC" w:rsidP="00801A36">
            <w:pPr>
              <w:spacing w:after="0" w:line="240" w:lineRule="auto"/>
              <w:jc w:val="center"/>
              <w:rPr>
                <w:rFonts w:ascii="Times New Roman" w:eastAsia="Times New Roman" w:hAnsi="Times New Roman" w:cs="Times New Roman"/>
                <w:color w:val="000000"/>
                <w:kern w:val="0"/>
                <w:sz w:val="19"/>
                <w:szCs w:val="19"/>
                <w:lang w:eastAsia="en-IN"/>
                <w14:ligatures w14:val="none"/>
              </w:rPr>
            </w:pPr>
            <w:r w:rsidRPr="00801A36">
              <w:rPr>
                <w:rFonts w:ascii="Times New Roman" w:eastAsia="Times New Roman" w:hAnsi="Times New Roman" w:cs="Times New Roman"/>
                <w:color w:val="000000"/>
                <w:kern w:val="0"/>
                <w:sz w:val="19"/>
                <w:szCs w:val="19"/>
                <w:lang w:eastAsia="en-IN"/>
                <w14:ligatures w14:val="none"/>
              </w:rPr>
              <w:t>414.67</w:t>
            </w:r>
          </w:p>
        </w:tc>
        <w:tc>
          <w:tcPr>
            <w:tcW w:w="1084" w:type="dxa"/>
            <w:tcBorders>
              <w:top w:val="nil"/>
              <w:left w:val="nil"/>
              <w:bottom w:val="single" w:sz="4" w:space="0" w:color="auto"/>
              <w:right w:val="single" w:sz="4" w:space="0" w:color="auto"/>
            </w:tcBorders>
            <w:noWrap/>
            <w:vAlign w:val="center"/>
            <w:hideMark/>
          </w:tcPr>
          <w:p w14:paraId="563B8CA7" w14:textId="77777777" w:rsidR="007B1BAC" w:rsidRPr="00801A36" w:rsidRDefault="007B1BAC" w:rsidP="00801A36">
            <w:pPr>
              <w:spacing w:after="0" w:line="240" w:lineRule="auto"/>
              <w:jc w:val="center"/>
              <w:rPr>
                <w:rFonts w:ascii="Times New Roman" w:eastAsia="Times New Roman" w:hAnsi="Times New Roman" w:cs="Times New Roman"/>
                <w:color w:val="000000"/>
                <w:kern w:val="0"/>
                <w:sz w:val="19"/>
                <w:szCs w:val="19"/>
                <w:lang w:eastAsia="en-IN"/>
                <w14:ligatures w14:val="none"/>
              </w:rPr>
            </w:pPr>
            <w:r w:rsidRPr="00801A36">
              <w:rPr>
                <w:rFonts w:ascii="Times New Roman" w:eastAsia="Times New Roman" w:hAnsi="Times New Roman" w:cs="Times New Roman"/>
                <w:color w:val="000000"/>
                <w:kern w:val="0"/>
                <w:sz w:val="19"/>
                <w:szCs w:val="19"/>
                <w:lang w:eastAsia="en-IN"/>
                <w14:ligatures w14:val="none"/>
              </w:rPr>
              <w:t>377.77</w:t>
            </w:r>
          </w:p>
        </w:tc>
        <w:tc>
          <w:tcPr>
            <w:tcW w:w="1070" w:type="dxa"/>
            <w:tcBorders>
              <w:top w:val="nil"/>
              <w:left w:val="nil"/>
              <w:bottom w:val="single" w:sz="4" w:space="0" w:color="auto"/>
              <w:right w:val="single" w:sz="4" w:space="0" w:color="auto"/>
            </w:tcBorders>
            <w:noWrap/>
            <w:vAlign w:val="center"/>
            <w:hideMark/>
          </w:tcPr>
          <w:p w14:paraId="458FC533" w14:textId="77777777" w:rsidR="007B1BAC" w:rsidRPr="00801A36" w:rsidRDefault="007B1BAC" w:rsidP="00801A36">
            <w:pPr>
              <w:spacing w:after="0" w:line="240" w:lineRule="auto"/>
              <w:jc w:val="center"/>
              <w:rPr>
                <w:rFonts w:ascii="Times New Roman" w:eastAsia="Times New Roman" w:hAnsi="Times New Roman" w:cs="Times New Roman"/>
                <w:color w:val="000000"/>
                <w:kern w:val="0"/>
                <w:sz w:val="19"/>
                <w:szCs w:val="19"/>
                <w:lang w:eastAsia="en-IN"/>
                <w14:ligatures w14:val="none"/>
              </w:rPr>
            </w:pPr>
            <w:r w:rsidRPr="00801A36">
              <w:rPr>
                <w:rFonts w:ascii="Times New Roman" w:eastAsia="Times New Roman" w:hAnsi="Times New Roman" w:cs="Times New Roman"/>
                <w:color w:val="000000"/>
                <w:kern w:val="0"/>
                <w:sz w:val="19"/>
                <w:szCs w:val="19"/>
                <w:lang w:eastAsia="en-IN"/>
                <w14:ligatures w14:val="none"/>
              </w:rPr>
              <w:t>..</w:t>
            </w:r>
          </w:p>
        </w:tc>
        <w:tc>
          <w:tcPr>
            <w:tcW w:w="1196" w:type="dxa"/>
            <w:tcBorders>
              <w:top w:val="nil"/>
              <w:left w:val="nil"/>
              <w:bottom w:val="single" w:sz="4" w:space="0" w:color="auto"/>
              <w:right w:val="single" w:sz="4" w:space="0" w:color="auto"/>
            </w:tcBorders>
            <w:noWrap/>
            <w:vAlign w:val="center"/>
            <w:hideMark/>
          </w:tcPr>
          <w:p w14:paraId="378D09E6" w14:textId="77777777" w:rsidR="007B1BAC" w:rsidRPr="00801A36" w:rsidRDefault="007B1BAC" w:rsidP="00801A36">
            <w:pPr>
              <w:spacing w:after="0" w:line="240" w:lineRule="auto"/>
              <w:jc w:val="center"/>
              <w:rPr>
                <w:rFonts w:ascii="Times New Roman" w:eastAsia="Times New Roman" w:hAnsi="Times New Roman" w:cs="Times New Roman"/>
                <w:color w:val="000000"/>
                <w:kern w:val="0"/>
                <w:sz w:val="19"/>
                <w:szCs w:val="19"/>
                <w:lang w:eastAsia="en-IN"/>
                <w14:ligatures w14:val="none"/>
              </w:rPr>
            </w:pPr>
            <w:r w:rsidRPr="00801A36">
              <w:rPr>
                <w:rFonts w:ascii="Times New Roman" w:eastAsia="Times New Roman" w:hAnsi="Times New Roman" w:cs="Times New Roman"/>
                <w:color w:val="000000"/>
                <w:kern w:val="0"/>
                <w:sz w:val="19"/>
                <w:szCs w:val="19"/>
                <w:lang w:eastAsia="en-IN"/>
                <w14:ligatures w14:val="none"/>
              </w:rPr>
              <w:t>36.94</w:t>
            </w:r>
          </w:p>
        </w:tc>
        <w:tc>
          <w:tcPr>
            <w:tcW w:w="986" w:type="dxa"/>
            <w:tcBorders>
              <w:top w:val="nil"/>
              <w:left w:val="nil"/>
              <w:bottom w:val="single" w:sz="4" w:space="0" w:color="auto"/>
              <w:right w:val="single" w:sz="4" w:space="0" w:color="auto"/>
            </w:tcBorders>
            <w:noWrap/>
            <w:vAlign w:val="center"/>
            <w:hideMark/>
          </w:tcPr>
          <w:p w14:paraId="38C18443" w14:textId="77777777" w:rsidR="007B1BAC" w:rsidRPr="00801A36" w:rsidRDefault="007B1BAC" w:rsidP="00801A36">
            <w:pPr>
              <w:spacing w:after="0" w:line="240" w:lineRule="auto"/>
              <w:jc w:val="center"/>
              <w:rPr>
                <w:rFonts w:ascii="Times New Roman" w:eastAsia="Times New Roman" w:hAnsi="Times New Roman" w:cs="Times New Roman"/>
                <w:color w:val="000000"/>
                <w:kern w:val="0"/>
                <w:sz w:val="19"/>
                <w:szCs w:val="19"/>
                <w:lang w:eastAsia="en-IN"/>
                <w14:ligatures w14:val="none"/>
              </w:rPr>
            </w:pPr>
            <w:r w:rsidRPr="00801A36">
              <w:rPr>
                <w:rFonts w:ascii="Times New Roman" w:eastAsia="Times New Roman" w:hAnsi="Times New Roman" w:cs="Times New Roman"/>
                <w:color w:val="000000"/>
                <w:kern w:val="0"/>
                <w:sz w:val="19"/>
                <w:szCs w:val="19"/>
                <w:lang w:eastAsia="en-IN"/>
                <w14:ligatures w14:val="none"/>
              </w:rPr>
              <w:t>414.71</w:t>
            </w:r>
          </w:p>
        </w:tc>
        <w:tc>
          <w:tcPr>
            <w:tcW w:w="1084" w:type="dxa"/>
            <w:tcBorders>
              <w:top w:val="nil"/>
              <w:left w:val="nil"/>
              <w:bottom w:val="single" w:sz="4" w:space="0" w:color="auto"/>
              <w:right w:val="single" w:sz="4" w:space="0" w:color="auto"/>
            </w:tcBorders>
            <w:noWrap/>
            <w:vAlign w:val="center"/>
            <w:hideMark/>
          </w:tcPr>
          <w:p w14:paraId="72FBD1A8" w14:textId="77777777" w:rsidR="007B1BAC" w:rsidRPr="00801A36" w:rsidRDefault="007B1BAC" w:rsidP="00801A36">
            <w:pPr>
              <w:spacing w:after="0" w:line="240" w:lineRule="auto"/>
              <w:jc w:val="center"/>
              <w:rPr>
                <w:rFonts w:ascii="Times New Roman" w:eastAsia="Times New Roman" w:hAnsi="Times New Roman" w:cs="Times New Roman"/>
                <w:color w:val="000000"/>
                <w:kern w:val="0"/>
                <w:sz w:val="19"/>
                <w:szCs w:val="19"/>
                <w:lang w:eastAsia="en-IN"/>
                <w14:ligatures w14:val="none"/>
              </w:rPr>
            </w:pPr>
            <w:r w:rsidRPr="00801A36">
              <w:rPr>
                <w:rFonts w:ascii="Times New Roman" w:eastAsia="Times New Roman" w:hAnsi="Times New Roman" w:cs="Times New Roman"/>
                <w:color w:val="000000"/>
                <w:kern w:val="0"/>
                <w:sz w:val="19"/>
                <w:szCs w:val="19"/>
                <w:lang w:eastAsia="en-IN"/>
                <w14:ligatures w14:val="none"/>
              </w:rPr>
              <w:t>377.76</w:t>
            </w:r>
          </w:p>
        </w:tc>
        <w:tc>
          <w:tcPr>
            <w:tcW w:w="1070" w:type="dxa"/>
            <w:tcBorders>
              <w:top w:val="nil"/>
              <w:left w:val="nil"/>
              <w:bottom w:val="single" w:sz="4" w:space="0" w:color="auto"/>
              <w:right w:val="single" w:sz="4" w:space="0" w:color="auto"/>
            </w:tcBorders>
            <w:noWrap/>
            <w:vAlign w:val="center"/>
            <w:hideMark/>
          </w:tcPr>
          <w:p w14:paraId="41A719A2" w14:textId="77777777" w:rsidR="007B1BAC" w:rsidRPr="00801A36" w:rsidRDefault="007B1BAC" w:rsidP="00801A36">
            <w:pPr>
              <w:spacing w:after="0" w:line="240" w:lineRule="auto"/>
              <w:jc w:val="center"/>
              <w:rPr>
                <w:rFonts w:ascii="Times New Roman" w:eastAsia="Times New Roman" w:hAnsi="Times New Roman" w:cs="Times New Roman"/>
                <w:color w:val="000000"/>
                <w:kern w:val="0"/>
                <w:sz w:val="19"/>
                <w:szCs w:val="19"/>
                <w:lang w:eastAsia="en-IN"/>
                <w14:ligatures w14:val="none"/>
              </w:rPr>
            </w:pPr>
            <w:r w:rsidRPr="00801A36">
              <w:rPr>
                <w:rFonts w:ascii="Times New Roman" w:eastAsia="Times New Roman" w:hAnsi="Times New Roman" w:cs="Times New Roman"/>
                <w:color w:val="000000"/>
                <w:kern w:val="0"/>
                <w:sz w:val="19"/>
                <w:szCs w:val="19"/>
                <w:lang w:eastAsia="en-IN"/>
                <w14:ligatures w14:val="none"/>
              </w:rPr>
              <w:t>..</w:t>
            </w:r>
          </w:p>
        </w:tc>
        <w:tc>
          <w:tcPr>
            <w:tcW w:w="1196" w:type="dxa"/>
            <w:tcBorders>
              <w:top w:val="nil"/>
              <w:left w:val="nil"/>
              <w:bottom w:val="single" w:sz="4" w:space="0" w:color="auto"/>
              <w:right w:val="single" w:sz="4" w:space="0" w:color="auto"/>
            </w:tcBorders>
            <w:noWrap/>
            <w:vAlign w:val="center"/>
            <w:hideMark/>
          </w:tcPr>
          <w:p w14:paraId="428F4294" w14:textId="77777777" w:rsidR="007B1BAC" w:rsidRPr="00801A36" w:rsidRDefault="007B1BAC" w:rsidP="00801A36">
            <w:pPr>
              <w:spacing w:after="0" w:line="240" w:lineRule="auto"/>
              <w:jc w:val="center"/>
              <w:rPr>
                <w:rFonts w:ascii="Times New Roman" w:eastAsia="Times New Roman" w:hAnsi="Times New Roman" w:cs="Times New Roman"/>
                <w:color w:val="000000"/>
                <w:kern w:val="0"/>
                <w:sz w:val="19"/>
                <w:szCs w:val="19"/>
                <w:lang w:eastAsia="en-IN"/>
                <w14:ligatures w14:val="none"/>
              </w:rPr>
            </w:pPr>
            <w:r w:rsidRPr="00801A36">
              <w:rPr>
                <w:rFonts w:ascii="Times New Roman" w:eastAsia="Times New Roman" w:hAnsi="Times New Roman" w:cs="Times New Roman"/>
                <w:color w:val="000000"/>
                <w:kern w:val="0"/>
                <w:sz w:val="19"/>
                <w:szCs w:val="19"/>
                <w:lang w:eastAsia="en-IN"/>
                <w14:ligatures w14:val="none"/>
              </w:rPr>
              <w:t>36.94</w:t>
            </w:r>
          </w:p>
        </w:tc>
        <w:tc>
          <w:tcPr>
            <w:tcW w:w="986" w:type="dxa"/>
            <w:tcBorders>
              <w:top w:val="nil"/>
              <w:left w:val="nil"/>
              <w:bottom w:val="single" w:sz="4" w:space="0" w:color="auto"/>
              <w:right w:val="single" w:sz="4" w:space="0" w:color="auto"/>
            </w:tcBorders>
            <w:noWrap/>
            <w:vAlign w:val="center"/>
            <w:hideMark/>
          </w:tcPr>
          <w:p w14:paraId="0CFA02BB" w14:textId="77777777" w:rsidR="007B1BAC" w:rsidRPr="00801A36" w:rsidRDefault="007B1BAC" w:rsidP="00801A36">
            <w:pPr>
              <w:spacing w:after="0" w:line="240" w:lineRule="auto"/>
              <w:jc w:val="center"/>
              <w:rPr>
                <w:rFonts w:ascii="Times New Roman" w:eastAsia="Times New Roman" w:hAnsi="Times New Roman" w:cs="Times New Roman"/>
                <w:color w:val="000000"/>
                <w:kern w:val="0"/>
                <w:sz w:val="19"/>
                <w:szCs w:val="19"/>
                <w:lang w:eastAsia="en-IN"/>
                <w14:ligatures w14:val="none"/>
              </w:rPr>
            </w:pPr>
            <w:r w:rsidRPr="00801A36">
              <w:rPr>
                <w:rFonts w:ascii="Times New Roman" w:eastAsia="Times New Roman" w:hAnsi="Times New Roman" w:cs="Times New Roman"/>
                <w:color w:val="000000"/>
                <w:kern w:val="0"/>
                <w:sz w:val="19"/>
                <w:szCs w:val="19"/>
                <w:lang w:eastAsia="en-IN"/>
                <w14:ligatures w14:val="none"/>
              </w:rPr>
              <w:t>414.7</w:t>
            </w:r>
          </w:p>
        </w:tc>
      </w:tr>
      <w:tr w:rsidR="007B1BAC" w:rsidRPr="00801A36" w14:paraId="51FD295E" w14:textId="77777777" w:rsidTr="00801A36">
        <w:trPr>
          <w:trHeight w:val="20"/>
          <w:jc w:val="center"/>
        </w:trPr>
        <w:tc>
          <w:tcPr>
            <w:tcW w:w="618" w:type="dxa"/>
            <w:tcBorders>
              <w:top w:val="nil"/>
              <w:left w:val="single" w:sz="4" w:space="0" w:color="auto"/>
              <w:bottom w:val="single" w:sz="4" w:space="0" w:color="auto"/>
              <w:right w:val="single" w:sz="4" w:space="0" w:color="auto"/>
            </w:tcBorders>
            <w:noWrap/>
            <w:vAlign w:val="bottom"/>
            <w:hideMark/>
          </w:tcPr>
          <w:p w14:paraId="491472EF" w14:textId="77777777" w:rsidR="007B1BAC" w:rsidRPr="00801A36" w:rsidRDefault="007B1BAC" w:rsidP="007B1BAC">
            <w:pPr>
              <w:spacing w:after="0" w:line="240" w:lineRule="auto"/>
              <w:jc w:val="right"/>
              <w:rPr>
                <w:rFonts w:ascii="Times New Roman" w:eastAsia="Times New Roman" w:hAnsi="Times New Roman" w:cs="Times New Roman"/>
                <w:color w:val="000000"/>
                <w:kern w:val="0"/>
                <w:sz w:val="19"/>
                <w:szCs w:val="19"/>
                <w:lang w:eastAsia="en-IN"/>
                <w14:ligatures w14:val="none"/>
              </w:rPr>
            </w:pPr>
            <w:r w:rsidRPr="00801A36">
              <w:rPr>
                <w:rFonts w:ascii="Times New Roman" w:eastAsia="Times New Roman" w:hAnsi="Times New Roman" w:cs="Times New Roman"/>
                <w:color w:val="000000"/>
                <w:kern w:val="0"/>
                <w:sz w:val="19"/>
                <w:szCs w:val="19"/>
                <w:lang w:eastAsia="en-IN"/>
                <w14:ligatures w14:val="none"/>
              </w:rPr>
              <w:t>2</w:t>
            </w:r>
          </w:p>
        </w:tc>
        <w:tc>
          <w:tcPr>
            <w:tcW w:w="1680" w:type="dxa"/>
            <w:tcBorders>
              <w:top w:val="nil"/>
              <w:left w:val="nil"/>
              <w:bottom w:val="single" w:sz="4" w:space="0" w:color="auto"/>
              <w:right w:val="single" w:sz="4" w:space="0" w:color="auto"/>
            </w:tcBorders>
            <w:noWrap/>
            <w:vAlign w:val="bottom"/>
            <w:hideMark/>
          </w:tcPr>
          <w:p w14:paraId="308A0EAC" w14:textId="77777777" w:rsidR="007B1BAC" w:rsidRPr="00801A36" w:rsidRDefault="007B1BAC" w:rsidP="007B1BAC">
            <w:pPr>
              <w:spacing w:after="0" w:line="240" w:lineRule="auto"/>
              <w:rPr>
                <w:rFonts w:ascii="Times New Roman" w:eastAsia="Times New Roman" w:hAnsi="Times New Roman" w:cs="Times New Roman"/>
                <w:color w:val="000000"/>
                <w:kern w:val="0"/>
                <w:sz w:val="19"/>
                <w:szCs w:val="19"/>
                <w:lang w:eastAsia="en-IN"/>
                <w14:ligatures w14:val="none"/>
              </w:rPr>
            </w:pPr>
            <w:r w:rsidRPr="00801A36">
              <w:rPr>
                <w:rFonts w:ascii="Times New Roman" w:eastAsia="Times New Roman" w:hAnsi="Times New Roman" w:cs="Times New Roman"/>
                <w:color w:val="000000"/>
                <w:kern w:val="0"/>
                <w:sz w:val="19"/>
                <w:szCs w:val="19"/>
                <w:lang w:eastAsia="en-IN"/>
                <w14:ligatures w14:val="none"/>
              </w:rPr>
              <w:t>Assam</w:t>
            </w:r>
          </w:p>
        </w:tc>
        <w:tc>
          <w:tcPr>
            <w:tcW w:w="1084" w:type="dxa"/>
            <w:tcBorders>
              <w:top w:val="nil"/>
              <w:left w:val="nil"/>
              <w:bottom w:val="single" w:sz="4" w:space="0" w:color="auto"/>
              <w:right w:val="single" w:sz="4" w:space="0" w:color="auto"/>
            </w:tcBorders>
            <w:noWrap/>
            <w:vAlign w:val="center"/>
            <w:hideMark/>
          </w:tcPr>
          <w:p w14:paraId="3B6199C7" w14:textId="2481EFF3" w:rsidR="007B1BAC" w:rsidRPr="00801A36" w:rsidRDefault="007B1BAC" w:rsidP="00801A36">
            <w:pPr>
              <w:spacing w:after="0" w:line="240" w:lineRule="auto"/>
              <w:jc w:val="center"/>
              <w:rPr>
                <w:rFonts w:ascii="Times New Roman" w:eastAsia="Times New Roman" w:hAnsi="Times New Roman" w:cs="Times New Roman"/>
                <w:color w:val="000000"/>
                <w:kern w:val="0"/>
                <w:sz w:val="19"/>
                <w:szCs w:val="19"/>
                <w:lang w:eastAsia="en-IN"/>
                <w14:ligatures w14:val="none"/>
              </w:rPr>
            </w:pPr>
          </w:p>
        </w:tc>
        <w:tc>
          <w:tcPr>
            <w:tcW w:w="1070" w:type="dxa"/>
            <w:tcBorders>
              <w:top w:val="nil"/>
              <w:left w:val="nil"/>
              <w:bottom w:val="single" w:sz="4" w:space="0" w:color="auto"/>
              <w:right w:val="single" w:sz="4" w:space="0" w:color="auto"/>
            </w:tcBorders>
            <w:noWrap/>
            <w:vAlign w:val="center"/>
            <w:hideMark/>
          </w:tcPr>
          <w:p w14:paraId="2A553119" w14:textId="27DEFD7E" w:rsidR="007B1BAC" w:rsidRPr="00801A36" w:rsidRDefault="007B1BAC" w:rsidP="00801A36">
            <w:pPr>
              <w:spacing w:after="0" w:line="240" w:lineRule="auto"/>
              <w:jc w:val="center"/>
              <w:rPr>
                <w:rFonts w:ascii="Times New Roman" w:eastAsia="Times New Roman" w:hAnsi="Times New Roman" w:cs="Times New Roman"/>
                <w:color w:val="000000"/>
                <w:kern w:val="0"/>
                <w:sz w:val="19"/>
                <w:szCs w:val="19"/>
                <w:lang w:eastAsia="en-IN"/>
                <w14:ligatures w14:val="none"/>
              </w:rPr>
            </w:pPr>
          </w:p>
        </w:tc>
        <w:tc>
          <w:tcPr>
            <w:tcW w:w="1196" w:type="dxa"/>
            <w:tcBorders>
              <w:top w:val="nil"/>
              <w:left w:val="nil"/>
              <w:bottom w:val="single" w:sz="4" w:space="0" w:color="auto"/>
              <w:right w:val="single" w:sz="4" w:space="0" w:color="auto"/>
            </w:tcBorders>
            <w:noWrap/>
            <w:vAlign w:val="center"/>
            <w:hideMark/>
          </w:tcPr>
          <w:p w14:paraId="214962B4" w14:textId="30AF97CD" w:rsidR="007B1BAC" w:rsidRPr="00801A36" w:rsidRDefault="007B1BAC" w:rsidP="00801A36">
            <w:pPr>
              <w:spacing w:after="0" w:line="240" w:lineRule="auto"/>
              <w:jc w:val="center"/>
              <w:rPr>
                <w:rFonts w:ascii="Times New Roman" w:eastAsia="Times New Roman" w:hAnsi="Times New Roman" w:cs="Times New Roman"/>
                <w:color w:val="000000"/>
                <w:kern w:val="0"/>
                <w:sz w:val="19"/>
                <w:szCs w:val="19"/>
                <w:lang w:eastAsia="en-IN"/>
                <w14:ligatures w14:val="none"/>
              </w:rPr>
            </w:pPr>
          </w:p>
        </w:tc>
        <w:tc>
          <w:tcPr>
            <w:tcW w:w="986" w:type="dxa"/>
            <w:tcBorders>
              <w:top w:val="nil"/>
              <w:left w:val="nil"/>
              <w:bottom w:val="single" w:sz="4" w:space="0" w:color="auto"/>
              <w:right w:val="single" w:sz="4" w:space="0" w:color="auto"/>
            </w:tcBorders>
            <w:noWrap/>
            <w:vAlign w:val="center"/>
            <w:hideMark/>
          </w:tcPr>
          <w:p w14:paraId="175C45F8" w14:textId="5B5F62D2" w:rsidR="007B1BAC" w:rsidRPr="00801A36" w:rsidRDefault="007B1BAC" w:rsidP="00801A36">
            <w:pPr>
              <w:spacing w:after="0" w:line="240" w:lineRule="auto"/>
              <w:jc w:val="center"/>
              <w:rPr>
                <w:rFonts w:ascii="Times New Roman" w:eastAsia="Times New Roman" w:hAnsi="Times New Roman" w:cs="Times New Roman"/>
                <w:color w:val="000000"/>
                <w:kern w:val="0"/>
                <w:sz w:val="19"/>
                <w:szCs w:val="19"/>
                <w:lang w:eastAsia="en-IN"/>
                <w14:ligatures w14:val="none"/>
              </w:rPr>
            </w:pPr>
          </w:p>
        </w:tc>
        <w:tc>
          <w:tcPr>
            <w:tcW w:w="1084" w:type="dxa"/>
            <w:tcBorders>
              <w:top w:val="nil"/>
              <w:left w:val="nil"/>
              <w:bottom w:val="single" w:sz="4" w:space="0" w:color="auto"/>
              <w:right w:val="single" w:sz="4" w:space="0" w:color="auto"/>
            </w:tcBorders>
            <w:noWrap/>
            <w:vAlign w:val="center"/>
            <w:hideMark/>
          </w:tcPr>
          <w:p w14:paraId="49F505DF" w14:textId="755EF9D6" w:rsidR="007B1BAC" w:rsidRPr="00801A36" w:rsidRDefault="007B1BAC" w:rsidP="00801A36">
            <w:pPr>
              <w:spacing w:after="0" w:line="240" w:lineRule="auto"/>
              <w:jc w:val="center"/>
              <w:rPr>
                <w:rFonts w:ascii="Times New Roman" w:eastAsia="Times New Roman" w:hAnsi="Times New Roman" w:cs="Times New Roman"/>
                <w:color w:val="000000"/>
                <w:kern w:val="0"/>
                <w:sz w:val="19"/>
                <w:szCs w:val="19"/>
                <w:lang w:eastAsia="en-IN"/>
                <w14:ligatures w14:val="none"/>
              </w:rPr>
            </w:pPr>
          </w:p>
        </w:tc>
        <w:tc>
          <w:tcPr>
            <w:tcW w:w="1070" w:type="dxa"/>
            <w:tcBorders>
              <w:top w:val="nil"/>
              <w:left w:val="nil"/>
              <w:bottom w:val="single" w:sz="4" w:space="0" w:color="auto"/>
              <w:right w:val="single" w:sz="4" w:space="0" w:color="auto"/>
            </w:tcBorders>
            <w:noWrap/>
            <w:vAlign w:val="center"/>
            <w:hideMark/>
          </w:tcPr>
          <w:p w14:paraId="57EF207D" w14:textId="57A387FE" w:rsidR="007B1BAC" w:rsidRPr="00801A36" w:rsidRDefault="007B1BAC" w:rsidP="00801A36">
            <w:pPr>
              <w:spacing w:after="0" w:line="240" w:lineRule="auto"/>
              <w:jc w:val="center"/>
              <w:rPr>
                <w:rFonts w:ascii="Times New Roman" w:eastAsia="Times New Roman" w:hAnsi="Times New Roman" w:cs="Times New Roman"/>
                <w:color w:val="000000"/>
                <w:kern w:val="0"/>
                <w:sz w:val="19"/>
                <w:szCs w:val="19"/>
                <w:lang w:eastAsia="en-IN"/>
                <w14:ligatures w14:val="none"/>
              </w:rPr>
            </w:pPr>
          </w:p>
        </w:tc>
        <w:tc>
          <w:tcPr>
            <w:tcW w:w="1196" w:type="dxa"/>
            <w:tcBorders>
              <w:top w:val="nil"/>
              <w:left w:val="nil"/>
              <w:bottom w:val="single" w:sz="4" w:space="0" w:color="auto"/>
              <w:right w:val="single" w:sz="4" w:space="0" w:color="auto"/>
            </w:tcBorders>
            <w:noWrap/>
            <w:vAlign w:val="center"/>
            <w:hideMark/>
          </w:tcPr>
          <w:p w14:paraId="0BBE4B82" w14:textId="37A501DA" w:rsidR="007B1BAC" w:rsidRPr="00801A36" w:rsidRDefault="007B1BAC" w:rsidP="00801A36">
            <w:pPr>
              <w:spacing w:after="0" w:line="240" w:lineRule="auto"/>
              <w:jc w:val="center"/>
              <w:rPr>
                <w:rFonts w:ascii="Times New Roman" w:eastAsia="Times New Roman" w:hAnsi="Times New Roman" w:cs="Times New Roman"/>
                <w:color w:val="000000"/>
                <w:kern w:val="0"/>
                <w:sz w:val="19"/>
                <w:szCs w:val="19"/>
                <w:lang w:eastAsia="en-IN"/>
                <w14:ligatures w14:val="none"/>
              </w:rPr>
            </w:pPr>
          </w:p>
        </w:tc>
        <w:tc>
          <w:tcPr>
            <w:tcW w:w="986" w:type="dxa"/>
            <w:tcBorders>
              <w:top w:val="nil"/>
              <w:left w:val="nil"/>
              <w:bottom w:val="single" w:sz="4" w:space="0" w:color="auto"/>
              <w:right w:val="single" w:sz="4" w:space="0" w:color="auto"/>
            </w:tcBorders>
            <w:noWrap/>
            <w:vAlign w:val="center"/>
            <w:hideMark/>
          </w:tcPr>
          <w:p w14:paraId="1E636384" w14:textId="5044D539" w:rsidR="007B1BAC" w:rsidRPr="00801A36" w:rsidRDefault="007B1BAC" w:rsidP="00801A36">
            <w:pPr>
              <w:spacing w:after="0" w:line="240" w:lineRule="auto"/>
              <w:jc w:val="center"/>
              <w:rPr>
                <w:rFonts w:ascii="Times New Roman" w:eastAsia="Times New Roman" w:hAnsi="Times New Roman" w:cs="Times New Roman"/>
                <w:color w:val="000000"/>
                <w:kern w:val="0"/>
                <w:sz w:val="19"/>
                <w:szCs w:val="19"/>
                <w:lang w:eastAsia="en-IN"/>
                <w14:ligatures w14:val="none"/>
              </w:rPr>
            </w:pPr>
          </w:p>
        </w:tc>
        <w:tc>
          <w:tcPr>
            <w:tcW w:w="1084" w:type="dxa"/>
            <w:tcBorders>
              <w:top w:val="nil"/>
              <w:left w:val="nil"/>
              <w:bottom w:val="single" w:sz="4" w:space="0" w:color="auto"/>
              <w:right w:val="single" w:sz="4" w:space="0" w:color="auto"/>
            </w:tcBorders>
            <w:noWrap/>
            <w:vAlign w:val="center"/>
            <w:hideMark/>
          </w:tcPr>
          <w:p w14:paraId="65ED75A6" w14:textId="7BB4BB0E" w:rsidR="007B1BAC" w:rsidRPr="00801A36" w:rsidRDefault="007B1BAC" w:rsidP="00801A36">
            <w:pPr>
              <w:spacing w:after="0" w:line="240" w:lineRule="auto"/>
              <w:jc w:val="center"/>
              <w:rPr>
                <w:rFonts w:ascii="Times New Roman" w:eastAsia="Times New Roman" w:hAnsi="Times New Roman" w:cs="Times New Roman"/>
                <w:color w:val="000000"/>
                <w:kern w:val="0"/>
                <w:sz w:val="19"/>
                <w:szCs w:val="19"/>
                <w:lang w:eastAsia="en-IN"/>
                <w14:ligatures w14:val="none"/>
              </w:rPr>
            </w:pPr>
          </w:p>
        </w:tc>
        <w:tc>
          <w:tcPr>
            <w:tcW w:w="1070" w:type="dxa"/>
            <w:tcBorders>
              <w:top w:val="nil"/>
              <w:left w:val="nil"/>
              <w:bottom w:val="single" w:sz="4" w:space="0" w:color="auto"/>
              <w:right w:val="single" w:sz="4" w:space="0" w:color="auto"/>
            </w:tcBorders>
            <w:noWrap/>
            <w:vAlign w:val="center"/>
            <w:hideMark/>
          </w:tcPr>
          <w:p w14:paraId="61C75212" w14:textId="5F78EFA3" w:rsidR="007B1BAC" w:rsidRPr="00801A36" w:rsidRDefault="007B1BAC" w:rsidP="00801A36">
            <w:pPr>
              <w:spacing w:after="0" w:line="240" w:lineRule="auto"/>
              <w:jc w:val="center"/>
              <w:rPr>
                <w:rFonts w:ascii="Times New Roman" w:eastAsia="Times New Roman" w:hAnsi="Times New Roman" w:cs="Times New Roman"/>
                <w:color w:val="000000"/>
                <w:kern w:val="0"/>
                <w:sz w:val="19"/>
                <w:szCs w:val="19"/>
                <w:lang w:eastAsia="en-IN"/>
                <w14:ligatures w14:val="none"/>
              </w:rPr>
            </w:pPr>
          </w:p>
        </w:tc>
        <w:tc>
          <w:tcPr>
            <w:tcW w:w="1196" w:type="dxa"/>
            <w:tcBorders>
              <w:top w:val="nil"/>
              <w:left w:val="nil"/>
              <w:bottom w:val="single" w:sz="4" w:space="0" w:color="auto"/>
              <w:right w:val="single" w:sz="4" w:space="0" w:color="auto"/>
            </w:tcBorders>
            <w:noWrap/>
            <w:vAlign w:val="center"/>
            <w:hideMark/>
          </w:tcPr>
          <w:p w14:paraId="36A4648A" w14:textId="3D8E1B41" w:rsidR="007B1BAC" w:rsidRPr="00801A36" w:rsidRDefault="007B1BAC" w:rsidP="00801A36">
            <w:pPr>
              <w:spacing w:after="0" w:line="240" w:lineRule="auto"/>
              <w:jc w:val="center"/>
              <w:rPr>
                <w:rFonts w:ascii="Times New Roman" w:eastAsia="Times New Roman" w:hAnsi="Times New Roman" w:cs="Times New Roman"/>
                <w:color w:val="000000"/>
                <w:kern w:val="0"/>
                <w:sz w:val="19"/>
                <w:szCs w:val="19"/>
                <w:lang w:eastAsia="en-IN"/>
                <w14:ligatures w14:val="none"/>
              </w:rPr>
            </w:pPr>
          </w:p>
        </w:tc>
        <w:tc>
          <w:tcPr>
            <w:tcW w:w="986" w:type="dxa"/>
            <w:tcBorders>
              <w:top w:val="nil"/>
              <w:left w:val="nil"/>
              <w:bottom w:val="single" w:sz="4" w:space="0" w:color="auto"/>
              <w:right w:val="single" w:sz="4" w:space="0" w:color="auto"/>
            </w:tcBorders>
            <w:noWrap/>
            <w:vAlign w:val="center"/>
            <w:hideMark/>
          </w:tcPr>
          <w:p w14:paraId="5BB1E077" w14:textId="0FB85AB1" w:rsidR="007B1BAC" w:rsidRPr="00801A36" w:rsidRDefault="007B1BAC" w:rsidP="00801A36">
            <w:pPr>
              <w:spacing w:after="0" w:line="240" w:lineRule="auto"/>
              <w:jc w:val="center"/>
              <w:rPr>
                <w:rFonts w:ascii="Times New Roman" w:eastAsia="Times New Roman" w:hAnsi="Times New Roman" w:cs="Times New Roman"/>
                <w:color w:val="000000"/>
                <w:kern w:val="0"/>
                <w:sz w:val="19"/>
                <w:szCs w:val="19"/>
                <w:lang w:eastAsia="en-IN"/>
                <w14:ligatures w14:val="none"/>
              </w:rPr>
            </w:pPr>
          </w:p>
        </w:tc>
      </w:tr>
      <w:tr w:rsidR="007B1BAC" w:rsidRPr="00801A36" w14:paraId="664FA610" w14:textId="77777777" w:rsidTr="00801A36">
        <w:trPr>
          <w:trHeight w:val="20"/>
          <w:jc w:val="center"/>
        </w:trPr>
        <w:tc>
          <w:tcPr>
            <w:tcW w:w="618" w:type="dxa"/>
            <w:tcBorders>
              <w:top w:val="nil"/>
              <w:left w:val="single" w:sz="4" w:space="0" w:color="auto"/>
              <w:bottom w:val="single" w:sz="4" w:space="0" w:color="auto"/>
              <w:right w:val="single" w:sz="4" w:space="0" w:color="auto"/>
            </w:tcBorders>
            <w:noWrap/>
            <w:vAlign w:val="bottom"/>
            <w:hideMark/>
          </w:tcPr>
          <w:p w14:paraId="7828E9D0" w14:textId="77777777" w:rsidR="007B1BAC" w:rsidRPr="00801A36" w:rsidRDefault="007B1BAC" w:rsidP="007B1BAC">
            <w:pPr>
              <w:spacing w:after="0" w:line="240" w:lineRule="auto"/>
              <w:rPr>
                <w:rFonts w:ascii="Times New Roman" w:eastAsia="Times New Roman" w:hAnsi="Times New Roman" w:cs="Times New Roman"/>
                <w:color w:val="000000"/>
                <w:kern w:val="0"/>
                <w:sz w:val="19"/>
                <w:szCs w:val="19"/>
                <w:lang w:eastAsia="en-IN"/>
                <w14:ligatures w14:val="none"/>
              </w:rPr>
            </w:pPr>
            <w:r w:rsidRPr="00801A36">
              <w:rPr>
                <w:rFonts w:ascii="Times New Roman" w:eastAsia="Times New Roman" w:hAnsi="Times New Roman" w:cs="Times New Roman"/>
                <w:color w:val="000000"/>
                <w:kern w:val="0"/>
                <w:sz w:val="19"/>
                <w:szCs w:val="19"/>
                <w:lang w:eastAsia="en-IN"/>
                <w14:ligatures w14:val="none"/>
              </w:rPr>
              <w:t> </w:t>
            </w:r>
          </w:p>
        </w:tc>
        <w:tc>
          <w:tcPr>
            <w:tcW w:w="1680" w:type="dxa"/>
            <w:tcBorders>
              <w:top w:val="nil"/>
              <w:left w:val="nil"/>
              <w:bottom w:val="single" w:sz="4" w:space="0" w:color="auto"/>
              <w:right w:val="single" w:sz="4" w:space="0" w:color="auto"/>
            </w:tcBorders>
            <w:noWrap/>
            <w:vAlign w:val="bottom"/>
            <w:hideMark/>
          </w:tcPr>
          <w:p w14:paraId="549EDBA1" w14:textId="77777777" w:rsidR="007B1BAC" w:rsidRPr="00801A36" w:rsidRDefault="007B1BAC" w:rsidP="007B1BAC">
            <w:pPr>
              <w:spacing w:after="0" w:line="240" w:lineRule="auto"/>
              <w:rPr>
                <w:rFonts w:ascii="Times New Roman" w:eastAsia="Times New Roman" w:hAnsi="Times New Roman" w:cs="Times New Roman"/>
                <w:color w:val="000000"/>
                <w:kern w:val="0"/>
                <w:sz w:val="19"/>
                <w:szCs w:val="19"/>
                <w:lang w:eastAsia="en-IN"/>
                <w14:ligatures w14:val="none"/>
              </w:rPr>
            </w:pPr>
            <w:r w:rsidRPr="00801A36">
              <w:rPr>
                <w:rFonts w:ascii="Times New Roman" w:eastAsia="Times New Roman" w:hAnsi="Times New Roman" w:cs="Times New Roman"/>
                <w:color w:val="000000"/>
                <w:kern w:val="0"/>
                <w:sz w:val="19"/>
                <w:szCs w:val="19"/>
                <w:lang w:eastAsia="en-IN"/>
                <w14:ligatures w14:val="none"/>
              </w:rPr>
              <w:t>Northeast Frontier</w:t>
            </w:r>
          </w:p>
        </w:tc>
        <w:tc>
          <w:tcPr>
            <w:tcW w:w="1084" w:type="dxa"/>
            <w:tcBorders>
              <w:top w:val="nil"/>
              <w:left w:val="nil"/>
              <w:bottom w:val="single" w:sz="4" w:space="0" w:color="auto"/>
              <w:right w:val="single" w:sz="4" w:space="0" w:color="auto"/>
            </w:tcBorders>
            <w:noWrap/>
            <w:vAlign w:val="center"/>
            <w:hideMark/>
          </w:tcPr>
          <w:p w14:paraId="6D5C8E1F" w14:textId="77777777" w:rsidR="007B1BAC" w:rsidRPr="00801A36" w:rsidRDefault="007B1BAC" w:rsidP="00801A36">
            <w:pPr>
              <w:spacing w:after="0" w:line="240" w:lineRule="auto"/>
              <w:jc w:val="center"/>
              <w:rPr>
                <w:rFonts w:ascii="Times New Roman" w:eastAsia="Times New Roman" w:hAnsi="Times New Roman" w:cs="Times New Roman"/>
                <w:color w:val="000000"/>
                <w:kern w:val="0"/>
                <w:sz w:val="19"/>
                <w:szCs w:val="19"/>
                <w:lang w:eastAsia="en-IN"/>
                <w14:ligatures w14:val="none"/>
              </w:rPr>
            </w:pPr>
            <w:r w:rsidRPr="00801A36">
              <w:rPr>
                <w:rFonts w:ascii="Times New Roman" w:eastAsia="Times New Roman" w:hAnsi="Times New Roman" w:cs="Times New Roman"/>
                <w:color w:val="000000"/>
                <w:kern w:val="0"/>
                <w:sz w:val="19"/>
                <w:szCs w:val="19"/>
                <w:lang w:eastAsia="en-IN"/>
                <w14:ligatures w14:val="none"/>
              </w:rPr>
              <w:t>..</w:t>
            </w:r>
          </w:p>
        </w:tc>
        <w:tc>
          <w:tcPr>
            <w:tcW w:w="1070" w:type="dxa"/>
            <w:tcBorders>
              <w:top w:val="nil"/>
              <w:left w:val="nil"/>
              <w:bottom w:val="single" w:sz="4" w:space="0" w:color="auto"/>
              <w:right w:val="single" w:sz="4" w:space="0" w:color="auto"/>
            </w:tcBorders>
            <w:noWrap/>
            <w:vAlign w:val="center"/>
            <w:hideMark/>
          </w:tcPr>
          <w:p w14:paraId="12C524EA" w14:textId="77777777" w:rsidR="007B1BAC" w:rsidRPr="00801A36" w:rsidRDefault="007B1BAC" w:rsidP="00801A36">
            <w:pPr>
              <w:spacing w:after="0" w:line="240" w:lineRule="auto"/>
              <w:jc w:val="center"/>
              <w:rPr>
                <w:rFonts w:ascii="Times New Roman" w:eastAsia="Times New Roman" w:hAnsi="Times New Roman" w:cs="Times New Roman"/>
                <w:color w:val="000000"/>
                <w:kern w:val="0"/>
                <w:sz w:val="19"/>
                <w:szCs w:val="19"/>
                <w:lang w:eastAsia="en-IN"/>
                <w14:ligatures w14:val="none"/>
              </w:rPr>
            </w:pPr>
            <w:r w:rsidRPr="00801A36">
              <w:rPr>
                <w:rFonts w:ascii="Times New Roman" w:eastAsia="Times New Roman" w:hAnsi="Times New Roman" w:cs="Times New Roman"/>
                <w:color w:val="000000"/>
                <w:kern w:val="0"/>
                <w:sz w:val="19"/>
                <w:szCs w:val="19"/>
                <w:lang w:eastAsia="en-IN"/>
                <w14:ligatures w14:val="none"/>
              </w:rPr>
              <w:t>1,931.38</w:t>
            </w:r>
          </w:p>
        </w:tc>
        <w:tc>
          <w:tcPr>
            <w:tcW w:w="1196" w:type="dxa"/>
            <w:tcBorders>
              <w:top w:val="nil"/>
              <w:left w:val="nil"/>
              <w:bottom w:val="single" w:sz="4" w:space="0" w:color="auto"/>
              <w:right w:val="single" w:sz="4" w:space="0" w:color="auto"/>
            </w:tcBorders>
            <w:noWrap/>
            <w:vAlign w:val="center"/>
            <w:hideMark/>
          </w:tcPr>
          <w:p w14:paraId="3025DCFB" w14:textId="77777777" w:rsidR="007B1BAC" w:rsidRPr="00801A36" w:rsidRDefault="007B1BAC" w:rsidP="00801A36">
            <w:pPr>
              <w:spacing w:after="0" w:line="240" w:lineRule="auto"/>
              <w:jc w:val="center"/>
              <w:rPr>
                <w:rFonts w:ascii="Times New Roman" w:eastAsia="Times New Roman" w:hAnsi="Times New Roman" w:cs="Times New Roman"/>
                <w:color w:val="000000"/>
                <w:kern w:val="0"/>
                <w:sz w:val="19"/>
                <w:szCs w:val="19"/>
                <w:lang w:eastAsia="en-IN"/>
                <w14:ligatures w14:val="none"/>
              </w:rPr>
            </w:pPr>
            <w:r w:rsidRPr="00801A36">
              <w:rPr>
                <w:rFonts w:ascii="Times New Roman" w:eastAsia="Times New Roman" w:hAnsi="Times New Roman" w:cs="Times New Roman"/>
                <w:color w:val="000000"/>
                <w:kern w:val="0"/>
                <w:sz w:val="19"/>
                <w:szCs w:val="19"/>
                <w:lang w:eastAsia="en-IN"/>
                <w14:ligatures w14:val="none"/>
              </w:rPr>
              <w:t>..</w:t>
            </w:r>
          </w:p>
        </w:tc>
        <w:tc>
          <w:tcPr>
            <w:tcW w:w="986" w:type="dxa"/>
            <w:tcBorders>
              <w:top w:val="nil"/>
              <w:left w:val="nil"/>
              <w:bottom w:val="single" w:sz="4" w:space="0" w:color="auto"/>
              <w:right w:val="single" w:sz="4" w:space="0" w:color="auto"/>
            </w:tcBorders>
            <w:noWrap/>
            <w:vAlign w:val="center"/>
            <w:hideMark/>
          </w:tcPr>
          <w:p w14:paraId="379B56F6" w14:textId="77777777" w:rsidR="007B1BAC" w:rsidRPr="00801A36" w:rsidRDefault="007B1BAC" w:rsidP="00801A36">
            <w:pPr>
              <w:spacing w:after="0" w:line="240" w:lineRule="auto"/>
              <w:jc w:val="center"/>
              <w:rPr>
                <w:rFonts w:ascii="Times New Roman" w:eastAsia="Times New Roman" w:hAnsi="Times New Roman" w:cs="Times New Roman"/>
                <w:color w:val="000000"/>
                <w:kern w:val="0"/>
                <w:sz w:val="19"/>
                <w:szCs w:val="19"/>
                <w:lang w:eastAsia="en-IN"/>
                <w14:ligatures w14:val="none"/>
              </w:rPr>
            </w:pPr>
            <w:r w:rsidRPr="00801A36">
              <w:rPr>
                <w:rFonts w:ascii="Times New Roman" w:eastAsia="Times New Roman" w:hAnsi="Times New Roman" w:cs="Times New Roman"/>
                <w:color w:val="000000"/>
                <w:kern w:val="0"/>
                <w:sz w:val="19"/>
                <w:szCs w:val="19"/>
                <w:lang w:eastAsia="en-IN"/>
                <w14:ligatures w14:val="none"/>
              </w:rPr>
              <w:t>1,931.38</w:t>
            </w:r>
          </w:p>
        </w:tc>
        <w:tc>
          <w:tcPr>
            <w:tcW w:w="1084" w:type="dxa"/>
            <w:tcBorders>
              <w:top w:val="nil"/>
              <w:left w:val="nil"/>
              <w:bottom w:val="single" w:sz="4" w:space="0" w:color="auto"/>
              <w:right w:val="single" w:sz="4" w:space="0" w:color="auto"/>
            </w:tcBorders>
            <w:noWrap/>
            <w:vAlign w:val="center"/>
            <w:hideMark/>
          </w:tcPr>
          <w:p w14:paraId="5D63E3AC" w14:textId="77777777" w:rsidR="007B1BAC" w:rsidRPr="00801A36" w:rsidRDefault="007B1BAC" w:rsidP="00801A36">
            <w:pPr>
              <w:spacing w:after="0" w:line="240" w:lineRule="auto"/>
              <w:jc w:val="center"/>
              <w:rPr>
                <w:rFonts w:ascii="Times New Roman" w:eastAsia="Times New Roman" w:hAnsi="Times New Roman" w:cs="Times New Roman"/>
                <w:color w:val="000000"/>
                <w:kern w:val="0"/>
                <w:sz w:val="19"/>
                <w:szCs w:val="19"/>
                <w:lang w:eastAsia="en-IN"/>
                <w14:ligatures w14:val="none"/>
              </w:rPr>
            </w:pPr>
            <w:r w:rsidRPr="00801A36">
              <w:rPr>
                <w:rFonts w:ascii="Times New Roman" w:eastAsia="Times New Roman" w:hAnsi="Times New Roman" w:cs="Times New Roman"/>
                <w:color w:val="000000"/>
                <w:kern w:val="0"/>
                <w:sz w:val="19"/>
                <w:szCs w:val="19"/>
                <w:lang w:eastAsia="en-IN"/>
                <w14:ligatures w14:val="none"/>
              </w:rPr>
              <w:t>105.22</w:t>
            </w:r>
          </w:p>
        </w:tc>
        <w:tc>
          <w:tcPr>
            <w:tcW w:w="1070" w:type="dxa"/>
            <w:tcBorders>
              <w:top w:val="nil"/>
              <w:left w:val="nil"/>
              <w:bottom w:val="single" w:sz="4" w:space="0" w:color="auto"/>
              <w:right w:val="single" w:sz="4" w:space="0" w:color="auto"/>
            </w:tcBorders>
            <w:noWrap/>
            <w:vAlign w:val="center"/>
            <w:hideMark/>
          </w:tcPr>
          <w:p w14:paraId="5C222230" w14:textId="77777777" w:rsidR="007B1BAC" w:rsidRPr="00801A36" w:rsidRDefault="007B1BAC" w:rsidP="00801A36">
            <w:pPr>
              <w:spacing w:after="0" w:line="240" w:lineRule="auto"/>
              <w:jc w:val="center"/>
              <w:rPr>
                <w:rFonts w:ascii="Times New Roman" w:eastAsia="Times New Roman" w:hAnsi="Times New Roman" w:cs="Times New Roman"/>
                <w:color w:val="000000"/>
                <w:kern w:val="0"/>
                <w:sz w:val="19"/>
                <w:szCs w:val="19"/>
                <w:lang w:eastAsia="en-IN"/>
                <w14:ligatures w14:val="none"/>
              </w:rPr>
            </w:pPr>
            <w:r w:rsidRPr="00801A36">
              <w:rPr>
                <w:rFonts w:ascii="Times New Roman" w:eastAsia="Times New Roman" w:hAnsi="Times New Roman" w:cs="Times New Roman"/>
                <w:color w:val="000000"/>
                <w:kern w:val="0"/>
                <w:sz w:val="19"/>
                <w:szCs w:val="19"/>
                <w:lang w:eastAsia="en-IN"/>
                <w14:ligatures w14:val="none"/>
              </w:rPr>
              <w:t>2,085.21</w:t>
            </w:r>
          </w:p>
        </w:tc>
        <w:tc>
          <w:tcPr>
            <w:tcW w:w="1196" w:type="dxa"/>
            <w:tcBorders>
              <w:top w:val="nil"/>
              <w:left w:val="nil"/>
              <w:bottom w:val="single" w:sz="4" w:space="0" w:color="auto"/>
              <w:right w:val="single" w:sz="4" w:space="0" w:color="auto"/>
            </w:tcBorders>
            <w:noWrap/>
            <w:vAlign w:val="center"/>
            <w:hideMark/>
          </w:tcPr>
          <w:p w14:paraId="24866A13" w14:textId="77777777" w:rsidR="007B1BAC" w:rsidRPr="00801A36" w:rsidRDefault="007B1BAC" w:rsidP="00801A36">
            <w:pPr>
              <w:spacing w:after="0" w:line="240" w:lineRule="auto"/>
              <w:jc w:val="center"/>
              <w:rPr>
                <w:rFonts w:ascii="Times New Roman" w:eastAsia="Times New Roman" w:hAnsi="Times New Roman" w:cs="Times New Roman"/>
                <w:color w:val="000000"/>
                <w:kern w:val="0"/>
                <w:sz w:val="19"/>
                <w:szCs w:val="19"/>
                <w:lang w:eastAsia="en-IN"/>
                <w14:ligatures w14:val="none"/>
              </w:rPr>
            </w:pPr>
            <w:r w:rsidRPr="00801A36">
              <w:rPr>
                <w:rFonts w:ascii="Times New Roman" w:eastAsia="Times New Roman" w:hAnsi="Times New Roman" w:cs="Times New Roman"/>
                <w:color w:val="000000"/>
                <w:kern w:val="0"/>
                <w:sz w:val="19"/>
                <w:szCs w:val="19"/>
                <w:lang w:eastAsia="en-IN"/>
                <w14:ligatures w14:val="none"/>
              </w:rPr>
              <w:t>..</w:t>
            </w:r>
          </w:p>
        </w:tc>
        <w:tc>
          <w:tcPr>
            <w:tcW w:w="986" w:type="dxa"/>
            <w:tcBorders>
              <w:top w:val="nil"/>
              <w:left w:val="nil"/>
              <w:bottom w:val="single" w:sz="4" w:space="0" w:color="auto"/>
              <w:right w:val="single" w:sz="4" w:space="0" w:color="auto"/>
            </w:tcBorders>
            <w:noWrap/>
            <w:vAlign w:val="center"/>
            <w:hideMark/>
          </w:tcPr>
          <w:p w14:paraId="53A01E30" w14:textId="77777777" w:rsidR="007B1BAC" w:rsidRPr="00801A36" w:rsidRDefault="007B1BAC" w:rsidP="00801A36">
            <w:pPr>
              <w:spacing w:after="0" w:line="240" w:lineRule="auto"/>
              <w:jc w:val="center"/>
              <w:rPr>
                <w:rFonts w:ascii="Times New Roman" w:eastAsia="Times New Roman" w:hAnsi="Times New Roman" w:cs="Times New Roman"/>
                <w:color w:val="000000"/>
                <w:kern w:val="0"/>
                <w:sz w:val="19"/>
                <w:szCs w:val="19"/>
                <w:lang w:eastAsia="en-IN"/>
                <w14:ligatures w14:val="none"/>
              </w:rPr>
            </w:pPr>
            <w:r w:rsidRPr="00801A36">
              <w:rPr>
                <w:rFonts w:ascii="Times New Roman" w:eastAsia="Times New Roman" w:hAnsi="Times New Roman" w:cs="Times New Roman"/>
                <w:color w:val="000000"/>
                <w:kern w:val="0"/>
                <w:sz w:val="19"/>
                <w:szCs w:val="19"/>
                <w:lang w:eastAsia="en-IN"/>
                <w14:ligatures w14:val="none"/>
              </w:rPr>
              <w:t>2,193.43</w:t>
            </w:r>
          </w:p>
        </w:tc>
        <w:tc>
          <w:tcPr>
            <w:tcW w:w="1084" w:type="dxa"/>
            <w:tcBorders>
              <w:top w:val="nil"/>
              <w:left w:val="nil"/>
              <w:bottom w:val="single" w:sz="4" w:space="0" w:color="auto"/>
              <w:right w:val="single" w:sz="4" w:space="0" w:color="auto"/>
            </w:tcBorders>
            <w:noWrap/>
            <w:vAlign w:val="center"/>
            <w:hideMark/>
          </w:tcPr>
          <w:p w14:paraId="40B2F59F" w14:textId="77777777" w:rsidR="007B1BAC" w:rsidRPr="00801A36" w:rsidRDefault="007B1BAC" w:rsidP="00801A36">
            <w:pPr>
              <w:spacing w:after="0" w:line="240" w:lineRule="auto"/>
              <w:jc w:val="center"/>
              <w:rPr>
                <w:rFonts w:ascii="Times New Roman" w:eastAsia="Times New Roman" w:hAnsi="Times New Roman" w:cs="Times New Roman"/>
                <w:color w:val="000000"/>
                <w:kern w:val="0"/>
                <w:sz w:val="19"/>
                <w:szCs w:val="19"/>
                <w:lang w:eastAsia="en-IN"/>
                <w14:ligatures w14:val="none"/>
              </w:rPr>
            </w:pPr>
            <w:r w:rsidRPr="00801A36">
              <w:rPr>
                <w:rFonts w:ascii="Times New Roman" w:eastAsia="Times New Roman" w:hAnsi="Times New Roman" w:cs="Times New Roman"/>
                <w:color w:val="000000"/>
                <w:kern w:val="0"/>
                <w:sz w:val="19"/>
                <w:szCs w:val="19"/>
                <w:lang w:eastAsia="en-IN"/>
                <w14:ligatures w14:val="none"/>
              </w:rPr>
              <w:t>105.22</w:t>
            </w:r>
          </w:p>
        </w:tc>
        <w:tc>
          <w:tcPr>
            <w:tcW w:w="1070" w:type="dxa"/>
            <w:tcBorders>
              <w:top w:val="nil"/>
              <w:left w:val="nil"/>
              <w:bottom w:val="single" w:sz="4" w:space="0" w:color="auto"/>
              <w:right w:val="single" w:sz="4" w:space="0" w:color="auto"/>
            </w:tcBorders>
            <w:noWrap/>
            <w:vAlign w:val="center"/>
            <w:hideMark/>
          </w:tcPr>
          <w:p w14:paraId="2C85BAF7" w14:textId="77777777" w:rsidR="007B1BAC" w:rsidRPr="00801A36" w:rsidRDefault="007B1BAC" w:rsidP="00801A36">
            <w:pPr>
              <w:spacing w:after="0" w:line="240" w:lineRule="auto"/>
              <w:jc w:val="center"/>
              <w:rPr>
                <w:rFonts w:ascii="Times New Roman" w:eastAsia="Times New Roman" w:hAnsi="Times New Roman" w:cs="Times New Roman"/>
                <w:color w:val="000000"/>
                <w:kern w:val="0"/>
                <w:sz w:val="19"/>
                <w:szCs w:val="19"/>
                <w:lang w:eastAsia="en-IN"/>
                <w14:ligatures w14:val="none"/>
              </w:rPr>
            </w:pPr>
            <w:r w:rsidRPr="00801A36">
              <w:rPr>
                <w:rFonts w:ascii="Times New Roman" w:eastAsia="Times New Roman" w:hAnsi="Times New Roman" w:cs="Times New Roman"/>
                <w:color w:val="000000"/>
                <w:kern w:val="0"/>
                <w:sz w:val="19"/>
                <w:szCs w:val="19"/>
                <w:lang w:eastAsia="en-IN"/>
                <w14:ligatures w14:val="none"/>
              </w:rPr>
              <w:t>2,088.58</w:t>
            </w:r>
          </w:p>
        </w:tc>
        <w:tc>
          <w:tcPr>
            <w:tcW w:w="1196" w:type="dxa"/>
            <w:tcBorders>
              <w:top w:val="nil"/>
              <w:left w:val="nil"/>
              <w:bottom w:val="single" w:sz="4" w:space="0" w:color="auto"/>
              <w:right w:val="single" w:sz="4" w:space="0" w:color="auto"/>
            </w:tcBorders>
            <w:noWrap/>
            <w:vAlign w:val="center"/>
            <w:hideMark/>
          </w:tcPr>
          <w:p w14:paraId="21626648" w14:textId="77777777" w:rsidR="007B1BAC" w:rsidRPr="00801A36" w:rsidRDefault="007B1BAC" w:rsidP="00801A36">
            <w:pPr>
              <w:spacing w:after="0" w:line="240" w:lineRule="auto"/>
              <w:jc w:val="center"/>
              <w:rPr>
                <w:rFonts w:ascii="Times New Roman" w:eastAsia="Times New Roman" w:hAnsi="Times New Roman" w:cs="Times New Roman"/>
                <w:color w:val="000000"/>
                <w:kern w:val="0"/>
                <w:sz w:val="19"/>
                <w:szCs w:val="19"/>
                <w:lang w:eastAsia="en-IN"/>
                <w14:ligatures w14:val="none"/>
              </w:rPr>
            </w:pPr>
            <w:r w:rsidRPr="00801A36">
              <w:rPr>
                <w:rFonts w:ascii="Times New Roman" w:eastAsia="Times New Roman" w:hAnsi="Times New Roman" w:cs="Times New Roman"/>
                <w:color w:val="000000"/>
                <w:kern w:val="0"/>
                <w:sz w:val="19"/>
                <w:szCs w:val="19"/>
                <w:lang w:eastAsia="en-IN"/>
                <w14:ligatures w14:val="none"/>
              </w:rPr>
              <w:t>..</w:t>
            </w:r>
          </w:p>
        </w:tc>
        <w:tc>
          <w:tcPr>
            <w:tcW w:w="986" w:type="dxa"/>
            <w:tcBorders>
              <w:top w:val="nil"/>
              <w:left w:val="nil"/>
              <w:bottom w:val="single" w:sz="4" w:space="0" w:color="auto"/>
              <w:right w:val="single" w:sz="4" w:space="0" w:color="auto"/>
            </w:tcBorders>
            <w:noWrap/>
            <w:vAlign w:val="center"/>
            <w:hideMark/>
          </w:tcPr>
          <w:p w14:paraId="56FA95BF" w14:textId="77777777" w:rsidR="007B1BAC" w:rsidRPr="00801A36" w:rsidRDefault="007B1BAC" w:rsidP="00801A36">
            <w:pPr>
              <w:spacing w:after="0" w:line="240" w:lineRule="auto"/>
              <w:jc w:val="center"/>
              <w:rPr>
                <w:rFonts w:ascii="Times New Roman" w:eastAsia="Times New Roman" w:hAnsi="Times New Roman" w:cs="Times New Roman"/>
                <w:color w:val="000000"/>
                <w:kern w:val="0"/>
                <w:sz w:val="19"/>
                <w:szCs w:val="19"/>
                <w:lang w:eastAsia="en-IN"/>
                <w14:ligatures w14:val="none"/>
              </w:rPr>
            </w:pPr>
            <w:r w:rsidRPr="00801A36">
              <w:rPr>
                <w:rFonts w:ascii="Times New Roman" w:eastAsia="Times New Roman" w:hAnsi="Times New Roman" w:cs="Times New Roman"/>
                <w:color w:val="000000"/>
                <w:kern w:val="0"/>
                <w:sz w:val="19"/>
                <w:szCs w:val="19"/>
                <w:lang w:eastAsia="en-IN"/>
                <w14:ligatures w14:val="none"/>
              </w:rPr>
              <w:t>2,193.80</w:t>
            </w:r>
          </w:p>
        </w:tc>
      </w:tr>
      <w:tr w:rsidR="007B1BAC" w:rsidRPr="00801A36" w14:paraId="6B2A7A52" w14:textId="77777777" w:rsidTr="00801A36">
        <w:trPr>
          <w:trHeight w:val="20"/>
          <w:jc w:val="center"/>
        </w:trPr>
        <w:tc>
          <w:tcPr>
            <w:tcW w:w="618" w:type="dxa"/>
            <w:tcBorders>
              <w:top w:val="nil"/>
              <w:left w:val="single" w:sz="4" w:space="0" w:color="auto"/>
              <w:bottom w:val="single" w:sz="4" w:space="0" w:color="auto"/>
              <w:right w:val="single" w:sz="4" w:space="0" w:color="auto"/>
            </w:tcBorders>
            <w:noWrap/>
            <w:vAlign w:val="bottom"/>
            <w:hideMark/>
          </w:tcPr>
          <w:p w14:paraId="18A2A050" w14:textId="77777777" w:rsidR="007B1BAC" w:rsidRPr="00801A36" w:rsidRDefault="007B1BAC" w:rsidP="007B1BAC">
            <w:pPr>
              <w:spacing w:after="0" w:line="240" w:lineRule="auto"/>
              <w:jc w:val="right"/>
              <w:rPr>
                <w:rFonts w:ascii="Times New Roman" w:eastAsia="Times New Roman" w:hAnsi="Times New Roman" w:cs="Times New Roman"/>
                <w:color w:val="000000"/>
                <w:kern w:val="0"/>
                <w:sz w:val="19"/>
                <w:szCs w:val="19"/>
                <w:lang w:eastAsia="en-IN"/>
                <w14:ligatures w14:val="none"/>
              </w:rPr>
            </w:pPr>
            <w:r w:rsidRPr="00801A36">
              <w:rPr>
                <w:rFonts w:ascii="Times New Roman" w:eastAsia="Times New Roman" w:hAnsi="Times New Roman" w:cs="Times New Roman"/>
                <w:color w:val="000000"/>
                <w:kern w:val="0"/>
                <w:sz w:val="19"/>
                <w:szCs w:val="19"/>
                <w:lang w:eastAsia="en-IN"/>
                <w14:ligatures w14:val="none"/>
              </w:rPr>
              <w:t>3</w:t>
            </w:r>
          </w:p>
        </w:tc>
        <w:tc>
          <w:tcPr>
            <w:tcW w:w="1680" w:type="dxa"/>
            <w:tcBorders>
              <w:top w:val="nil"/>
              <w:left w:val="nil"/>
              <w:bottom w:val="single" w:sz="4" w:space="0" w:color="auto"/>
              <w:right w:val="single" w:sz="4" w:space="0" w:color="auto"/>
            </w:tcBorders>
            <w:noWrap/>
            <w:vAlign w:val="bottom"/>
            <w:hideMark/>
          </w:tcPr>
          <w:p w14:paraId="31ECD124" w14:textId="77777777" w:rsidR="007B1BAC" w:rsidRPr="00801A36" w:rsidRDefault="007B1BAC" w:rsidP="007B1BAC">
            <w:pPr>
              <w:spacing w:after="0" w:line="240" w:lineRule="auto"/>
              <w:rPr>
                <w:rFonts w:ascii="Times New Roman" w:eastAsia="Times New Roman" w:hAnsi="Times New Roman" w:cs="Times New Roman"/>
                <w:color w:val="000000"/>
                <w:kern w:val="0"/>
                <w:sz w:val="19"/>
                <w:szCs w:val="19"/>
                <w:lang w:eastAsia="en-IN"/>
                <w14:ligatures w14:val="none"/>
              </w:rPr>
            </w:pPr>
            <w:r w:rsidRPr="00801A36">
              <w:rPr>
                <w:rFonts w:ascii="Times New Roman" w:eastAsia="Times New Roman" w:hAnsi="Times New Roman" w:cs="Times New Roman"/>
                <w:color w:val="000000"/>
                <w:kern w:val="0"/>
                <w:sz w:val="19"/>
                <w:szCs w:val="19"/>
                <w:lang w:eastAsia="en-IN"/>
                <w14:ligatures w14:val="none"/>
              </w:rPr>
              <w:t>Bihar</w:t>
            </w:r>
          </w:p>
        </w:tc>
        <w:tc>
          <w:tcPr>
            <w:tcW w:w="1084" w:type="dxa"/>
            <w:tcBorders>
              <w:top w:val="nil"/>
              <w:left w:val="nil"/>
              <w:bottom w:val="single" w:sz="4" w:space="0" w:color="auto"/>
              <w:right w:val="single" w:sz="4" w:space="0" w:color="auto"/>
            </w:tcBorders>
            <w:noWrap/>
            <w:vAlign w:val="center"/>
            <w:hideMark/>
          </w:tcPr>
          <w:p w14:paraId="65200EC5" w14:textId="2E7BF61E" w:rsidR="007B1BAC" w:rsidRPr="00801A36" w:rsidRDefault="007B1BAC" w:rsidP="00801A36">
            <w:pPr>
              <w:spacing w:after="0" w:line="240" w:lineRule="auto"/>
              <w:jc w:val="center"/>
              <w:rPr>
                <w:rFonts w:ascii="Times New Roman" w:eastAsia="Times New Roman" w:hAnsi="Times New Roman" w:cs="Times New Roman"/>
                <w:color w:val="000000"/>
                <w:kern w:val="0"/>
                <w:sz w:val="19"/>
                <w:szCs w:val="19"/>
                <w:lang w:eastAsia="en-IN"/>
                <w14:ligatures w14:val="none"/>
              </w:rPr>
            </w:pPr>
          </w:p>
        </w:tc>
        <w:tc>
          <w:tcPr>
            <w:tcW w:w="1070" w:type="dxa"/>
            <w:tcBorders>
              <w:top w:val="nil"/>
              <w:left w:val="nil"/>
              <w:bottom w:val="single" w:sz="4" w:space="0" w:color="auto"/>
              <w:right w:val="single" w:sz="4" w:space="0" w:color="auto"/>
            </w:tcBorders>
            <w:noWrap/>
            <w:vAlign w:val="center"/>
            <w:hideMark/>
          </w:tcPr>
          <w:p w14:paraId="19E37A5A" w14:textId="649DB11E" w:rsidR="007B1BAC" w:rsidRPr="00801A36" w:rsidRDefault="007B1BAC" w:rsidP="00801A36">
            <w:pPr>
              <w:spacing w:after="0" w:line="240" w:lineRule="auto"/>
              <w:jc w:val="center"/>
              <w:rPr>
                <w:rFonts w:ascii="Times New Roman" w:eastAsia="Times New Roman" w:hAnsi="Times New Roman" w:cs="Times New Roman"/>
                <w:color w:val="000000"/>
                <w:kern w:val="0"/>
                <w:sz w:val="19"/>
                <w:szCs w:val="19"/>
                <w:lang w:eastAsia="en-IN"/>
                <w14:ligatures w14:val="none"/>
              </w:rPr>
            </w:pPr>
          </w:p>
        </w:tc>
        <w:tc>
          <w:tcPr>
            <w:tcW w:w="1196" w:type="dxa"/>
            <w:tcBorders>
              <w:top w:val="nil"/>
              <w:left w:val="nil"/>
              <w:bottom w:val="single" w:sz="4" w:space="0" w:color="auto"/>
              <w:right w:val="single" w:sz="4" w:space="0" w:color="auto"/>
            </w:tcBorders>
            <w:noWrap/>
            <w:vAlign w:val="center"/>
            <w:hideMark/>
          </w:tcPr>
          <w:p w14:paraId="46D99FEB" w14:textId="10A0AC09" w:rsidR="007B1BAC" w:rsidRPr="00801A36" w:rsidRDefault="007B1BAC" w:rsidP="00801A36">
            <w:pPr>
              <w:spacing w:after="0" w:line="240" w:lineRule="auto"/>
              <w:jc w:val="center"/>
              <w:rPr>
                <w:rFonts w:ascii="Times New Roman" w:eastAsia="Times New Roman" w:hAnsi="Times New Roman" w:cs="Times New Roman"/>
                <w:color w:val="000000"/>
                <w:kern w:val="0"/>
                <w:sz w:val="19"/>
                <w:szCs w:val="19"/>
                <w:lang w:eastAsia="en-IN"/>
                <w14:ligatures w14:val="none"/>
              </w:rPr>
            </w:pPr>
          </w:p>
        </w:tc>
        <w:tc>
          <w:tcPr>
            <w:tcW w:w="986" w:type="dxa"/>
            <w:tcBorders>
              <w:top w:val="nil"/>
              <w:left w:val="nil"/>
              <w:bottom w:val="single" w:sz="4" w:space="0" w:color="auto"/>
              <w:right w:val="single" w:sz="4" w:space="0" w:color="auto"/>
            </w:tcBorders>
            <w:noWrap/>
            <w:vAlign w:val="center"/>
            <w:hideMark/>
          </w:tcPr>
          <w:p w14:paraId="25D8D051" w14:textId="7EF48A77" w:rsidR="007B1BAC" w:rsidRPr="00801A36" w:rsidRDefault="007B1BAC" w:rsidP="00801A36">
            <w:pPr>
              <w:spacing w:after="0" w:line="240" w:lineRule="auto"/>
              <w:jc w:val="center"/>
              <w:rPr>
                <w:rFonts w:ascii="Times New Roman" w:eastAsia="Times New Roman" w:hAnsi="Times New Roman" w:cs="Times New Roman"/>
                <w:color w:val="000000"/>
                <w:kern w:val="0"/>
                <w:sz w:val="19"/>
                <w:szCs w:val="19"/>
                <w:lang w:eastAsia="en-IN"/>
                <w14:ligatures w14:val="none"/>
              </w:rPr>
            </w:pPr>
          </w:p>
        </w:tc>
        <w:tc>
          <w:tcPr>
            <w:tcW w:w="1084" w:type="dxa"/>
            <w:tcBorders>
              <w:top w:val="nil"/>
              <w:left w:val="nil"/>
              <w:bottom w:val="single" w:sz="4" w:space="0" w:color="auto"/>
              <w:right w:val="single" w:sz="4" w:space="0" w:color="auto"/>
            </w:tcBorders>
            <w:noWrap/>
            <w:vAlign w:val="center"/>
            <w:hideMark/>
          </w:tcPr>
          <w:p w14:paraId="09BC7405" w14:textId="0670F617" w:rsidR="007B1BAC" w:rsidRPr="00801A36" w:rsidRDefault="007B1BAC" w:rsidP="00801A36">
            <w:pPr>
              <w:spacing w:after="0" w:line="240" w:lineRule="auto"/>
              <w:jc w:val="center"/>
              <w:rPr>
                <w:rFonts w:ascii="Times New Roman" w:eastAsia="Times New Roman" w:hAnsi="Times New Roman" w:cs="Times New Roman"/>
                <w:color w:val="000000"/>
                <w:kern w:val="0"/>
                <w:sz w:val="19"/>
                <w:szCs w:val="19"/>
                <w:lang w:eastAsia="en-IN"/>
                <w14:ligatures w14:val="none"/>
              </w:rPr>
            </w:pPr>
          </w:p>
        </w:tc>
        <w:tc>
          <w:tcPr>
            <w:tcW w:w="1070" w:type="dxa"/>
            <w:tcBorders>
              <w:top w:val="nil"/>
              <w:left w:val="nil"/>
              <w:bottom w:val="single" w:sz="4" w:space="0" w:color="auto"/>
              <w:right w:val="single" w:sz="4" w:space="0" w:color="auto"/>
            </w:tcBorders>
            <w:noWrap/>
            <w:vAlign w:val="center"/>
            <w:hideMark/>
          </w:tcPr>
          <w:p w14:paraId="1DBB86F6" w14:textId="369D7166" w:rsidR="007B1BAC" w:rsidRPr="00801A36" w:rsidRDefault="007B1BAC" w:rsidP="00801A36">
            <w:pPr>
              <w:spacing w:after="0" w:line="240" w:lineRule="auto"/>
              <w:jc w:val="center"/>
              <w:rPr>
                <w:rFonts w:ascii="Times New Roman" w:eastAsia="Times New Roman" w:hAnsi="Times New Roman" w:cs="Times New Roman"/>
                <w:color w:val="000000"/>
                <w:kern w:val="0"/>
                <w:sz w:val="19"/>
                <w:szCs w:val="19"/>
                <w:lang w:eastAsia="en-IN"/>
                <w14:ligatures w14:val="none"/>
              </w:rPr>
            </w:pPr>
          </w:p>
        </w:tc>
        <w:tc>
          <w:tcPr>
            <w:tcW w:w="1196" w:type="dxa"/>
            <w:tcBorders>
              <w:top w:val="nil"/>
              <w:left w:val="nil"/>
              <w:bottom w:val="single" w:sz="4" w:space="0" w:color="auto"/>
              <w:right w:val="single" w:sz="4" w:space="0" w:color="auto"/>
            </w:tcBorders>
            <w:noWrap/>
            <w:vAlign w:val="center"/>
            <w:hideMark/>
          </w:tcPr>
          <w:p w14:paraId="3E35461D" w14:textId="511433DD" w:rsidR="007B1BAC" w:rsidRPr="00801A36" w:rsidRDefault="007B1BAC" w:rsidP="00801A36">
            <w:pPr>
              <w:spacing w:after="0" w:line="240" w:lineRule="auto"/>
              <w:jc w:val="center"/>
              <w:rPr>
                <w:rFonts w:ascii="Times New Roman" w:eastAsia="Times New Roman" w:hAnsi="Times New Roman" w:cs="Times New Roman"/>
                <w:color w:val="000000"/>
                <w:kern w:val="0"/>
                <w:sz w:val="19"/>
                <w:szCs w:val="19"/>
                <w:lang w:eastAsia="en-IN"/>
                <w14:ligatures w14:val="none"/>
              </w:rPr>
            </w:pPr>
          </w:p>
        </w:tc>
        <w:tc>
          <w:tcPr>
            <w:tcW w:w="986" w:type="dxa"/>
            <w:tcBorders>
              <w:top w:val="nil"/>
              <w:left w:val="nil"/>
              <w:bottom w:val="single" w:sz="4" w:space="0" w:color="auto"/>
              <w:right w:val="single" w:sz="4" w:space="0" w:color="auto"/>
            </w:tcBorders>
            <w:noWrap/>
            <w:vAlign w:val="center"/>
            <w:hideMark/>
          </w:tcPr>
          <w:p w14:paraId="1CCF8999" w14:textId="0F168F03" w:rsidR="007B1BAC" w:rsidRPr="00801A36" w:rsidRDefault="007B1BAC" w:rsidP="00801A36">
            <w:pPr>
              <w:spacing w:after="0" w:line="240" w:lineRule="auto"/>
              <w:jc w:val="center"/>
              <w:rPr>
                <w:rFonts w:ascii="Times New Roman" w:eastAsia="Times New Roman" w:hAnsi="Times New Roman" w:cs="Times New Roman"/>
                <w:color w:val="000000"/>
                <w:kern w:val="0"/>
                <w:sz w:val="19"/>
                <w:szCs w:val="19"/>
                <w:lang w:eastAsia="en-IN"/>
                <w14:ligatures w14:val="none"/>
              </w:rPr>
            </w:pPr>
          </w:p>
        </w:tc>
        <w:tc>
          <w:tcPr>
            <w:tcW w:w="1084" w:type="dxa"/>
            <w:tcBorders>
              <w:top w:val="nil"/>
              <w:left w:val="nil"/>
              <w:bottom w:val="single" w:sz="4" w:space="0" w:color="auto"/>
              <w:right w:val="single" w:sz="4" w:space="0" w:color="auto"/>
            </w:tcBorders>
            <w:noWrap/>
            <w:vAlign w:val="center"/>
            <w:hideMark/>
          </w:tcPr>
          <w:p w14:paraId="60DE7BDC" w14:textId="6F7924E1" w:rsidR="007B1BAC" w:rsidRPr="00801A36" w:rsidRDefault="007B1BAC" w:rsidP="00801A36">
            <w:pPr>
              <w:spacing w:after="0" w:line="240" w:lineRule="auto"/>
              <w:jc w:val="center"/>
              <w:rPr>
                <w:rFonts w:ascii="Times New Roman" w:eastAsia="Times New Roman" w:hAnsi="Times New Roman" w:cs="Times New Roman"/>
                <w:color w:val="000000"/>
                <w:kern w:val="0"/>
                <w:sz w:val="19"/>
                <w:szCs w:val="19"/>
                <w:lang w:eastAsia="en-IN"/>
                <w14:ligatures w14:val="none"/>
              </w:rPr>
            </w:pPr>
          </w:p>
        </w:tc>
        <w:tc>
          <w:tcPr>
            <w:tcW w:w="1070" w:type="dxa"/>
            <w:tcBorders>
              <w:top w:val="nil"/>
              <w:left w:val="nil"/>
              <w:bottom w:val="single" w:sz="4" w:space="0" w:color="auto"/>
              <w:right w:val="single" w:sz="4" w:space="0" w:color="auto"/>
            </w:tcBorders>
            <w:noWrap/>
            <w:vAlign w:val="center"/>
            <w:hideMark/>
          </w:tcPr>
          <w:p w14:paraId="5242997D" w14:textId="1588ADD3" w:rsidR="007B1BAC" w:rsidRPr="00801A36" w:rsidRDefault="007B1BAC" w:rsidP="00801A36">
            <w:pPr>
              <w:spacing w:after="0" w:line="240" w:lineRule="auto"/>
              <w:jc w:val="center"/>
              <w:rPr>
                <w:rFonts w:ascii="Times New Roman" w:eastAsia="Times New Roman" w:hAnsi="Times New Roman" w:cs="Times New Roman"/>
                <w:color w:val="000000"/>
                <w:kern w:val="0"/>
                <w:sz w:val="19"/>
                <w:szCs w:val="19"/>
                <w:lang w:eastAsia="en-IN"/>
                <w14:ligatures w14:val="none"/>
              </w:rPr>
            </w:pPr>
          </w:p>
        </w:tc>
        <w:tc>
          <w:tcPr>
            <w:tcW w:w="1196" w:type="dxa"/>
            <w:tcBorders>
              <w:top w:val="nil"/>
              <w:left w:val="nil"/>
              <w:bottom w:val="single" w:sz="4" w:space="0" w:color="auto"/>
              <w:right w:val="single" w:sz="4" w:space="0" w:color="auto"/>
            </w:tcBorders>
            <w:noWrap/>
            <w:vAlign w:val="center"/>
            <w:hideMark/>
          </w:tcPr>
          <w:p w14:paraId="60071FD5" w14:textId="3781224A" w:rsidR="007B1BAC" w:rsidRPr="00801A36" w:rsidRDefault="007B1BAC" w:rsidP="00801A36">
            <w:pPr>
              <w:spacing w:after="0" w:line="240" w:lineRule="auto"/>
              <w:jc w:val="center"/>
              <w:rPr>
                <w:rFonts w:ascii="Times New Roman" w:eastAsia="Times New Roman" w:hAnsi="Times New Roman" w:cs="Times New Roman"/>
                <w:color w:val="000000"/>
                <w:kern w:val="0"/>
                <w:sz w:val="19"/>
                <w:szCs w:val="19"/>
                <w:lang w:eastAsia="en-IN"/>
                <w14:ligatures w14:val="none"/>
              </w:rPr>
            </w:pPr>
          </w:p>
        </w:tc>
        <w:tc>
          <w:tcPr>
            <w:tcW w:w="986" w:type="dxa"/>
            <w:tcBorders>
              <w:top w:val="nil"/>
              <w:left w:val="nil"/>
              <w:bottom w:val="single" w:sz="4" w:space="0" w:color="auto"/>
              <w:right w:val="single" w:sz="4" w:space="0" w:color="auto"/>
            </w:tcBorders>
            <w:noWrap/>
            <w:vAlign w:val="center"/>
            <w:hideMark/>
          </w:tcPr>
          <w:p w14:paraId="0C5D1CE7" w14:textId="700D31EB" w:rsidR="007B1BAC" w:rsidRPr="00801A36" w:rsidRDefault="007B1BAC" w:rsidP="00801A36">
            <w:pPr>
              <w:spacing w:after="0" w:line="240" w:lineRule="auto"/>
              <w:jc w:val="center"/>
              <w:rPr>
                <w:rFonts w:ascii="Times New Roman" w:eastAsia="Times New Roman" w:hAnsi="Times New Roman" w:cs="Times New Roman"/>
                <w:color w:val="000000"/>
                <w:kern w:val="0"/>
                <w:sz w:val="19"/>
                <w:szCs w:val="19"/>
                <w:lang w:eastAsia="en-IN"/>
                <w14:ligatures w14:val="none"/>
              </w:rPr>
            </w:pPr>
          </w:p>
        </w:tc>
      </w:tr>
      <w:tr w:rsidR="007B1BAC" w:rsidRPr="00801A36" w14:paraId="095B1EE7" w14:textId="77777777" w:rsidTr="00801A36">
        <w:trPr>
          <w:trHeight w:val="20"/>
          <w:jc w:val="center"/>
        </w:trPr>
        <w:tc>
          <w:tcPr>
            <w:tcW w:w="618" w:type="dxa"/>
            <w:tcBorders>
              <w:top w:val="nil"/>
              <w:left w:val="single" w:sz="4" w:space="0" w:color="auto"/>
              <w:bottom w:val="single" w:sz="4" w:space="0" w:color="auto"/>
              <w:right w:val="single" w:sz="4" w:space="0" w:color="auto"/>
            </w:tcBorders>
            <w:noWrap/>
            <w:vAlign w:val="bottom"/>
            <w:hideMark/>
          </w:tcPr>
          <w:p w14:paraId="57A382AA" w14:textId="77777777" w:rsidR="007B1BAC" w:rsidRPr="00801A36" w:rsidRDefault="007B1BAC" w:rsidP="007B1BAC">
            <w:pPr>
              <w:spacing w:after="0" w:line="240" w:lineRule="auto"/>
              <w:rPr>
                <w:rFonts w:ascii="Times New Roman" w:eastAsia="Times New Roman" w:hAnsi="Times New Roman" w:cs="Times New Roman"/>
                <w:color w:val="000000"/>
                <w:kern w:val="0"/>
                <w:sz w:val="19"/>
                <w:szCs w:val="19"/>
                <w:lang w:eastAsia="en-IN"/>
                <w14:ligatures w14:val="none"/>
              </w:rPr>
            </w:pPr>
            <w:r w:rsidRPr="00801A36">
              <w:rPr>
                <w:rFonts w:ascii="Times New Roman" w:eastAsia="Times New Roman" w:hAnsi="Times New Roman" w:cs="Times New Roman"/>
                <w:color w:val="000000"/>
                <w:kern w:val="0"/>
                <w:sz w:val="19"/>
                <w:szCs w:val="19"/>
                <w:lang w:eastAsia="en-IN"/>
                <w14:ligatures w14:val="none"/>
              </w:rPr>
              <w:t> </w:t>
            </w:r>
          </w:p>
        </w:tc>
        <w:tc>
          <w:tcPr>
            <w:tcW w:w="1680" w:type="dxa"/>
            <w:tcBorders>
              <w:top w:val="nil"/>
              <w:left w:val="nil"/>
              <w:bottom w:val="single" w:sz="4" w:space="0" w:color="auto"/>
              <w:right w:val="single" w:sz="4" w:space="0" w:color="auto"/>
            </w:tcBorders>
            <w:noWrap/>
            <w:vAlign w:val="bottom"/>
            <w:hideMark/>
          </w:tcPr>
          <w:p w14:paraId="36D89CBC" w14:textId="77777777" w:rsidR="007B1BAC" w:rsidRPr="00801A36" w:rsidRDefault="007B1BAC" w:rsidP="007B1BAC">
            <w:pPr>
              <w:spacing w:after="0" w:line="240" w:lineRule="auto"/>
              <w:rPr>
                <w:rFonts w:ascii="Times New Roman" w:eastAsia="Times New Roman" w:hAnsi="Times New Roman" w:cs="Times New Roman"/>
                <w:color w:val="000000"/>
                <w:kern w:val="0"/>
                <w:sz w:val="19"/>
                <w:szCs w:val="19"/>
                <w:lang w:eastAsia="en-IN"/>
                <w14:ligatures w14:val="none"/>
              </w:rPr>
            </w:pPr>
            <w:r w:rsidRPr="00801A36">
              <w:rPr>
                <w:rFonts w:ascii="Times New Roman" w:eastAsia="Times New Roman" w:hAnsi="Times New Roman" w:cs="Times New Roman"/>
                <w:color w:val="000000"/>
                <w:kern w:val="0"/>
                <w:sz w:val="19"/>
                <w:szCs w:val="19"/>
                <w:lang w:eastAsia="en-IN"/>
                <w14:ligatures w14:val="none"/>
              </w:rPr>
              <w:t>Eastern</w:t>
            </w:r>
          </w:p>
        </w:tc>
        <w:tc>
          <w:tcPr>
            <w:tcW w:w="1084" w:type="dxa"/>
            <w:tcBorders>
              <w:top w:val="nil"/>
              <w:left w:val="nil"/>
              <w:bottom w:val="single" w:sz="4" w:space="0" w:color="auto"/>
              <w:right w:val="single" w:sz="4" w:space="0" w:color="auto"/>
            </w:tcBorders>
            <w:noWrap/>
            <w:vAlign w:val="center"/>
            <w:hideMark/>
          </w:tcPr>
          <w:p w14:paraId="2F019E22" w14:textId="77777777" w:rsidR="007B1BAC" w:rsidRPr="00801A36" w:rsidRDefault="007B1BAC" w:rsidP="00801A36">
            <w:pPr>
              <w:spacing w:after="0" w:line="240" w:lineRule="auto"/>
              <w:jc w:val="center"/>
              <w:rPr>
                <w:rFonts w:ascii="Times New Roman" w:eastAsia="Times New Roman" w:hAnsi="Times New Roman" w:cs="Times New Roman"/>
                <w:color w:val="000000"/>
                <w:kern w:val="0"/>
                <w:sz w:val="19"/>
                <w:szCs w:val="19"/>
                <w:lang w:eastAsia="en-IN"/>
                <w14:ligatures w14:val="none"/>
              </w:rPr>
            </w:pPr>
            <w:r w:rsidRPr="00801A36">
              <w:rPr>
                <w:rFonts w:ascii="Times New Roman" w:eastAsia="Times New Roman" w:hAnsi="Times New Roman" w:cs="Times New Roman"/>
                <w:color w:val="000000"/>
                <w:kern w:val="0"/>
                <w:sz w:val="19"/>
                <w:szCs w:val="19"/>
                <w:lang w:eastAsia="en-IN"/>
                <w14:ligatures w14:val="none"/>
              </w:rPr>
              <w:t>2,132.49</w:t>
            </w:r>
          </w:p>
        </w:tc>
        <w:tc>
          <w:tcPr>
            <w:tcW w:w="1070" w:type="dxa"/>
            <w:tcBorders>
              <w:top w:val="nil"/>
              <w:left w:val="nil"/>
              <w:bottom w:val="single" w:sz="4" w:space="0" w:color="auto"/>
              <w:right w:val="single" w:sz="4" w:space="0" w:color="auto"/>
            </w:tcBorders>
            <w:noWrap/>
            <w:vAlign w:val="center"/>
            <w:hideMark/>
          </w:tcPr>
          <w:p w14:paraId="6C1C3CEA" w14:textId="77777777" w:rsidR="007B1BAC" w:rsidRPr="00801A36" w:rsidRDefault="007B1BAC" w:rsidP="00801A36">
            <w:pPr>
              <w:spacing w:after="0" w:line="240" w:lineRule="auto"/>
              <w:jc w:val="center"/>
              <w:rPr>
                <w:rFonts w:ascii="Times New Roman" w:eastAsia="Times New Roman" w:hAnsi="Times New Roman" w:cs="Times New Roman"/>
                <w:color w:val="000000"/>
                <w:kern w:val="0"/>
                <w:sz w:val="19"/>
                <w:szCs w:val="19"/>
                <w:lang w:eastAsia="en-IN"/>
                <w14:ligatures w14:val="none"/>
              </w:rPr>
            </w:pPr>
            <w:r w:rsidRPr="00801A36">
              <w:rPr>
                <w:rFonts w:ascii="Times New Roman" w:eastAsia="Times New Roman" w:hAnsi="Times New Roman" w:cs="Times New Roman"/>
                <w:color w:val="000000"/>
                <w:kern w:val="0"/>
                <w:sz w:val="19"/>
                <w:szCs w:val="19"/>
                <w:lang w:eastAsia="en-IN"/>
                <w14:ligatures w14:val="none"/>
              </w:rPr>
              <w:t>..</w:t>
            </w:r>
          </w:p>
        </w:tc>
        <w:tc>
          <w:tcPr>
            <w:tcW w:w="1196" w:type="dxa"/>
            <w:tcBorders>
              <w:top w:val="nil"/>
              <w:left w:val="nil"/>
              <w:bottom w:val="single" w:sz="4" w:space="0" w:color="auto"/>
              <w:right w:val="single" w:sz="4" w:space="0" w:color="auto"/>
            </w:tcBorders>
            <w:noWrap/>
            <w:vAlign w:val="center"/>
            <w:hideMark/>
          </w:tcPr>
          <w:p w14:paraId="1259D08D" w14:textId="77777777" w:rsidR="007B1BAC" w:rsidRPr="00801A36" w:rsidRDefault="007B1BAC" w:rsidP="00801A36">
            <w:pPr>
              <w:spacing w:after="0" w:line="240" w:lineRule="auto"/>
              <w:jc w:val="center"/>
              <w:rPr>
                <w:rFonts w:ascii="Times New Roman" w:eastAsia="Times New Roman" w:hAnsi="Times New Roman" w:cs="Times New Roman"/>
                <w:color w:val="000000"/>
                <w:kern w:val="0"/>
                <w:sz w:val="19"/>
                <w:szCs w:val="19"/>
                <w:lang w:eastAsia="en-IN"/>
                <w14:ligatures w14:val="none"/>
              </w:rPr>
            </w:pPr>
            <w:r w:rsidRPr="00801A36">
              <w:rPr>
                <w:rFonts w:ascii="Times New Roman" w:eastAsia="Times New Roman" w:hAnsi="Times New Roman" w:cs="Times New Roman"/>
                <w:color w:val="000000"/>
                <w:kern w:val="0"/>
                <w:sz w:val="19"/>
                <w:szCs w:val="19"/>
                <w:lang w:eastAsia="en-IN"/>
                <w14:ligatures w14:val="none"/>
              </w:rPr>
              <w:t>..</w:t>
            </w:r>
          </w:p>
        </w:tc>
        <w:tc>
          <w:tcPr>
            <w:tcW w:w="986" w:type="dxa"/>
            <w:tcBorders>
              <w:top w:val="nil"/>
              <w:left w:val="nil"/>
              <w:bottom w:val="single" w:sz="4" w:space="0" w:color="auto"/>
              <w:right w:val="single" w:sz="4" w:space="0" w:color="auto"/>
            </w:tcBorders>
            <w:noWrap/>
            <w:vAlign w:val="center"/>
            <w:hideMark/>
          </w:tcPr>
          <w:p w14:paraId="1AA2684C" w14:textId="77777777" w:rsidR="007B1BAC" w:rsidRPr="00801A36" w:rsidRDefault="007B1BAC" w:rsidP="00801A36">
            <w:pPr>
              <w:spacing w:after="0" w:line="240" w:lineRule="auto"/>
              <w:jc w:val="center"/>
              <w:rPr>
                <w:rFonts w:ascii="Times New Roman" w:eastAsia="Times New Roman" w:hAnsi="Times New Roman" w:cs="Times New Roman"/>
                <w:color w:val="000000"/>
                <w:kern w:val="0"/>
                <w:sz w:val="19"/>
                <w:szCs w:val="19"/>
                <w:lang w:eastAsia="en-IN"/>
                <w14:ligatures w14:val="none"/>
              </w:rPr>
            </w:pPr>
            <w:r w:rsidRPr="00801A36">
              <w:rPr>
                <w:rFonts w:ascii="Times New Roman" w:eastAsia="Times New Roman" w:hAnsi="Times New Roman" w:cs="Times New Roman"/>
                <w:color w:val="000000"/>
                <w:kern w:val="0"/>
                <w:sz w:val="19"/>
                <w:szCs w:val="19"/>
                <w:lang w:eastAsia="en-IN"/>
                <w14:ligatures w14:val="none"/>
              </w:rPr>
              <w:t>2,132.49</w:t>
            </w:r>
          </w:p>
        </w:tc>
        <w:tc>
          <w:tcPr>
            <w:tcW w:w="1084" w:type="dxa"/>
            <w:tcBorders>
              <w:top w:val="nil"/>
              <w:left w:val="nil"/>
              <w:bottom w:val="single" w:sz="4" w:space="0" w:color="auto"/>
              <w:right w:val="single" w:sz="4" w:space="0" w:color="auto"/>
            </w:tcBorders>
            <w:noWrap/>
            <w:vAlign w:val="center"/>
            <w:hideMark/>
          </w:tcPr>
          <w:p w14:paraId="6387F27D" w14:textId="77777777" w:rsidR="007B1BAC" w:rsidRPr="00801A36" w:rsidRDefault="007B1BAC" w:rsidP="00801A36">
            <w:pPr>
              <w:spacing w:after="0" w:line="240" w:lineRule="auto"/>
              <w:jc w:val="center"/>
              <w:rPr>
                <w:rFonts w:ascii="Times New Roman" w:eastAsia="Times New Roman" w:hAnsi="Times New Roman" w:cs="Times New Roman"/>
                <w:color w:val="000000"/>
                <w:kern w:val="0"/>
                <w:sz w:val="19"/>
                <w:szCs w:val="19"/>
                <w:lang w:eastAsia="en-IN"/>
                <w14:ligatures w14:val="none"/>
              </w:rPr>
            </w:pPr>
            <w:r w:rsidRPr="00801A36">
              <w:rPr>
                <w:rFonts w:ascii="Times New Roman" w:eastAsia="Times New Roman" w:hAnsi="Times New Roman" w:cs="Times New Roman"/>
                <w:color w:val="000000"/>
                <w:kern w:val="0"/>
                <w:sz w:val="19"/>
                <w:szCs w:val="19"/>
                <w:lang w:eastAsia="en-IN"/>
                <w14:ligatures w14:val="none"/>
              </w:rPr>
              <w:t>2,132.49</w:t>
            </w:r>
          </w:p>
        </w:tc>
        <w:tc>
          <w:tcPr>
            <w:tcW w:w="1070" w:type="dxa"/>
            <w:tcBorders>
              <w:top w:val="nil"/>
              <w:left w:val="nil"/>
              <w:bottom w:val="single" w:sz="4" w:space="0" w:color="auto"/>
              <w:right w:val="single" w:sz="4" w:space="0" w:color="auto"/>
            </w:tcBorders>
            <w:noWrap/>
            <w:vAlign w:val="center"/>
            <w:hideMark/>
          </w:tcPr>
          <w:p w14:paraId="716E9F2A" w14:textId="77777777" w:rsidR="007B1BAC" w:rsidRPr="00801A36" w:rsidRDefault="007B1BAC" w:rsidP="00801A36">
            <w:pPr>
              <w:spacing w:after="0" w:line="240" w:lineRule="auto"/>
              <w:jc w:val="center"/>
              <w:rPr>
                <w:rFonts w:ascii="Times New Roman" w:eastAsia="Times New Roman" w:hAnsi="Times New Roman" w:cs="Times New Roman"/>
                <w:color w:val="000000"/>
                <w:kern w:val="0"/>
                <w:sz w:val="19"/>
                <w:szCs w:val="19"/>
                <w:lang w:eastAsia="en-IN"/>
                <w14:ligatures w14:val="none"/>
              </w:rPr>
            </w:pPr>
            <w:r w:rsidRPr="00801A36">
              <w:rPr>
                <w:rFonts w:ascii="Times New Roman" w:eastAsia="Times New Roman" w:hAnsi="Times New Roman" w:cs="Times New Roman"/>
                <w:color w:val="000000"/>
                <w:kern w:val="0"/>
                <w:sz w:val="19"/>
                <w:szCs w:val="19"/>
                <w:lang w:eastAsia="en-IN"/>
                <w14:ligatures w14:val="none"/>
              </w:rPr>
              <w:t>..</w:t>
            </w:r>
          </w:p>
        </w:tc>
        <w:tc>
          <w:tcPr>
            <w:tcW w:w="1196" w:type="dxa"/>
            <w:tcBorders>
              <w:top w:val="nil"/>
              <w:left w:val="nil"/>
              <w:bottom w:val="single" w:sz="4" w:space="0" w:color="auto"/>
              <w:right w:val="single" w:sz="4" w:space="0" w:color="auto"/>
            </w:tcBorders>
            <w:noWrap/>
            <w:vAlign w:val="center"/>
            <w:hideMark/>
          </w:tcPr>
          <w:p w14:paraId="3BDD14D4" w14:textId="77777777" w:rsidR="007B1BAC" w:rsidRPr="00801A36" w:rsidRDefault="007B1BAC" w:rsidP="00801A36">
            <w:pPr>
              <w:spacing w:after="0" w:line="240" w:lineRule="auto"/>
              <w:jc w:val="center"/>
              <w:rPr>
                <w:rFonts w:ascii="Times New Roman" w:eastAsia="Times New Roman" w:hAnsi="Times New Roman" w:cs="Times New Roman"/>
                <w:color w:val="000000"/>
                <w:kern w:val="0"/>
                <w:sz w:val="19"/>
                <w:szCs w:val="19"/>
                <w:lang w:eastAsia="en-IN"/>
                <w14:ligatures w14:val="none"/>
              </w:rPr>
            </w:pPr>
            <w:r w:rsidRPr="00801A36">
              <w:rPr>
                <w:rFonts w:ascii="Times New Roman" w:eastAsia="Times New Roman" w:hAnsi="Times New Roman" w:cs="Times New Roman"/>
                <w:color w:val="000000"/>
                <w:kern w:val="0"/>
                <w:sz w:val="19"/>
                <w:szCs w:val="19"/>
                <w:lang w:eastAsia="en-IN"/>
                <w14:ligatures w14:val="none"/>
              </w:rPr>
              <w:t>..</w:t>
            </w:r>
          </w:p>
        </w:tc>
        <w:tc>
          <w:tcPr>
            <w:tcW w:w="986" w:type="dxa"/>
            <w:tcBorders>
              <w:top w:val="nil"/>
              <w:left w:val="nil"/>
              <w:bottom w:val="single" w:sz="4" w:space="0" w:color="auto"/>
              <w:right w:val="single" w:sz="4" w:space="0" w:color="auto"/>
            </w:tcBorders>
            <w:noWrap/>
            <w:vAlign w:val="center"/>
            <w:hideMark/>
          </w:tcPr>
          <w:p w14:paraId="2B74EB8C" w14:textId="77777777" w:rsidR="007B1BAC" w:rsidRPr="00801A36" w:rsidRDefault="007B1BAC" w:rsidP="00801A36">
            <w:pPr>
              <w:spacing w:after="0" w:line="240" w:lineRule="auto"/>
              <w:jc w:val="center"/>
              <w:rPr>
                <w:rFonts w:ascii="Times New Roman" w:eastAsia="Times New Roman" w:hAnsi="Times New Roman" w:cs="Times New Roman"/>
                <w:color w:val="000000"/>
                <w:kern w:val="0"/>
                <w:sz w:val="19"/>
                <w:szCs w:val="19"/>
                <w:lang w:eastAsia="en-IN"/>
                <w14:ligatures w14:val="none"/>
              </w:rPr>
            </w:pPr>
            <w:r w:rsidRPr="00801A36">
              <w:rPr>
                <w:rFonts w:ascii="Times New Roman" w:eastAsia="Times New Roman" w:hAnsi="Times New Roman" w:cs="Times New Roman"/>
                <w:color w:val="000000"/>
                <w:kern w:val="0"/>
                <w:sz w:val="19"/>
                <w:szCs w:val="19"/>
                <w:lang w:eastAsia="en-IN"/>
                <w14:ligatures w14:val="none"/>
              </w:rPr>
              <w:t>2,132.49</w:t>
            </w:r>
          </w:p>
        </w:tc>
        <w:tc>
          <w:tcPr>
            <w:tcW w:w="1084" w:type="dxa"/>
            <w:tcBorders>
              <w:top w:val="nil"/>
              <w:left w:val="nil"/>
              <w:bottom w:val="single" w:sz="4" w:space="0" w:color="auto"/>
              <w:right w:val="single" w:sz="4" w:space="0" w:color="auto"/>
            </w:tcBorders>
            <w:noWrap/>
            <w:vAlign w:val="center"/>
            <w:hideMark/>
          </w:tcPr>
          <w:p w14:paraId="3F7D2E3B" w14:textId="77777777" w:rsidR="007B1BAC" w:rsidRPr="00801A36" w:rsidRDefault="007B1BAC" w:rsidP="00801A36">
            <w:pPr>
              <w:spacing w:after="0" w:line="240" w:lineRule="auto"/>
              <w:jc w:val="center"/>
              <w:rPr>
                <w:rFonts w:ascii="Times New Roman" w:eastAsia="Times New Roman" w:hAnsi="Times New Roman" w:cs="Times New Roman"/>
                <w:color w:val="000000"/>
                <w:kern w:val="0"/>
                <w:sz w:val="19"/>
                <w:szCs w:val="19"/>
                <w:lang w:eastAsia="en-IN"/>
                <w14:ligatures w14:val="none"/>
              </w:rPr>
            </w:pPr>
            <w:r w:rsidRPr="00801A36">
              <w:rPr>
                <w:rFonts w:ascii="Times New Roman" w:eastAsia="Times New Roman" w:hAnsi="Times New Roman" w:cs="Times New Roman"/>
                <w:color w:val="000000"/>
                <w:kern w:val="0"/>
                <w:sz w:val="19"/>
                <w:szCs w:val="19"/>
                <w:lang w:eastAsia="en-IN"/>
                <w14:ligatures w14:val="none"/>
              </w:rPr>
              <w:t>2,132.49</w:t>
            </w:r>
          </w:p>
        </w:tc>
        <w:tc>
          <w:tcPr>
            <w:tcW w:w="1070" w:type="dxa"/>
            <w:tcBorders>
              <w:top w:val="nil"/>
              <w:left w:val="nil"/>
              <w:bottom w:val="single" w:sz="4" w:space="0" w:color="auto"/>
              <w:right w:val="single" w:sz="4" w:space="0" w:color="auto"/>
            </w:tcBorders>
            <w:noWrap/>
            <w:vAlign w:val="center"/>
            <w:hideMark/>
          </w:tcPr>
          <w:p w14:paraId="40635524" w14:textId="77777777" w:rsidR="007B1BAC" w:rsidRPr="00801A36" w:rsidRDefault="007B1BAC" w:rsidP="00801A36">
            <w:pPr>
              <w:spacing w:after="0" w:line="240" w:lineRule="auto"/>
              <w:jc w:val="center"/>
              <w:rPr>
                <w:rFonts w:ascii="Times New Roman" w:eastAsia="Times New Roman" w:hAnsi="Times New Roman" w:cs="Times New Roman"/>
                <w:color w:val="000000"/>
                <w:kern w:val="0"/>
                <w:sz w:val="19"/>
                <w:szCs w:val="19"/>
                <w:lang w:eastAsia="en-IN"/>
                <w14:ligatures w14:val="none"/>
              </w:rPr>
            </w:pPr>
            <w:r w:rsidRPr="00801A36">
              <w:rPr>
                <w:rFonts w:ascii="Times New Roman" w:eastAsia="Times New Roman" w:hAnsi="Times New Roman" w:cs="Times New Roman"/>
                <w:color w:val="000000"/>
                <w:kern w:val="0"/>
                <w:sz w:val="19"/>
                <w:szCs w:val="19"/>
                <w:lang w:eastAsia="en-IN"/>
                <w14:ligatures w14:val="none"/>
              </w:rPr>
              <w:t>..</w:t>
            </w:r>
          </w:p>
        </w:tc>
        <w:tc>
          <w:tcPr>
            <w:tcW w:w="1196" w:type="dxa"/>
            <w:tcBorders>
              <w:top w:val="nil"/>
              <w:left w:val="nil"/>
              <w:bottom w:val="single" w:sz="4" w:space="0" w:color="auto"/>
              <w:right w:val="single" w:sz="4" w:space="0" w:color="auto"/>
            </w:tcBorders>
            <w:noWrap/>
            <w:vAlign w:val="center"/>
            <w:hideMark/>
          </w:tcPr>
          <w:p w14:paraId="3DC61966" w14:textId="77777777" w:rsidR="007B1BAC" w:rsidRPr="00801A36" w:rsidRDefault="007B1BAC" w:rsidP="00801A36">
            <w:pPr>
              <w:spacing w:after="0" w:line="240" w:lineRule="auto"/>
              <w:jc w:val="center"/>
              <w:rPr>
                <w:rFonts w:ascii="Times New Roman" w:eastAsia="Times New Roman" w:hAnsi="Times New Roman" w:cs="Times New Roman"/>
                <w:color w:val="000000"/>
                <w:kern w:val="0"/>
                <w:sz w:val="19"/>
                <w:szCs w:val="19"/>
                <w:lang w:eastAsia="en-IN"/>
                <w14:ligatures w14:val="none"/>
              </w:rPr>
            </w:pPr>
            <w:r w:rsidRPr="00801A36">
              <w:rPr>
                <w:rFonts w:ascii="Times New Roman" w:eastAsia="Times New Roman" w:hAnsi="Times New Roman" w:cs="Times New Roman"/>
                <w:color w:val="000000"/>
                <w:kern w:val="0"/>
                <w:sz w:val="19"/>
                <w:szCs w:val="19"/>
                <w:lang w:eastAsia="en-IN"/>
                <w14:ligatures w14:val="none"/>
              </w:rPr>
              <w:t>..</w:t>
            </w:r>
          </w:p>
        </w:tc>
        <w:tc>
          <w:tcPr>
            <w:tcW w:w="986" w:type="dxa"/>
            <w:tcBorders>
              <w:top w:val="nil"/>
              <w:left w:val="nil"/>
              <w:bottom w:val="single" w:sz="4" w:space="0" w:color="auto"/>
              <w:right w:val="single" w:sz="4" w:space="0" w:color="auto"/>
            </w:tcBorders>
            <w:noWrap/>
            <w:vAlign w:val="center"/>
            <w:hideMark/>
          </w:tcPr>
          <w:p w14:paraId="73C9374B" w14:textId="77777777" w:rsidR="007B1BAC" w:rsidRPr="00801A36" w:rsidRDefault="007B1BAC" w:rsidP="00801A36">
            <w:pPr>
              <w:spacing w:after="0" w:line="240" w:lineRule="auto"/>
              <w:jc w:val="center"/>
              <w:rPr>
                <w:rFonts w:ascii="Times New Roman" w:eastAsia="Times New Roman" w:hAnsi="Times New Roman" w:cs="Times New Roman"/>
                <w:color w:val="000000"/>
                <w:kern w:val="0"/>
                <w:sz w:val="19"/>
                <w:szCs w:val="19"/>
                <w:lang w:eastAsia="en-IN"/>
                <w14:ligatures w14:val="none"/>
              </w:rPr>
            </w:pPr>
            <w:r w:rsidRPr="00801A36">
              <w:rPr>
                <w:rFonts w:ascii="Times New Roman" w:eastAsia="Times New Roman" w:hAnsi="Times New Roman" w:cs="Times New Roman"/>
                <w:color w:val="000000"/>
                <w:kern w:val="0"/>
                <w:sz w:val="19"/>
                <w:szCs w:val="19"/>
                <w:lang w:eastAsia="en-IN"/>
                <w14:ligatures w14:val="none"/>
              </w:rPr>
              <w:t>2,132.49</w:t>
            </w:r>
          </w:p>
        </w:tc>
      </w:tr>
      <w:tr w:rsidR="007B1BAC" w:rsidRPr="00801A36" w14:paraId="2AF2E4F3" w14:textId="77777777" w:rsidTr="00801A36">
        <w:trPr>
          <w:trHeight w:val="20"/>
          <w:jc w:val="center"/>
        </w:trPr>
        <w:tc>
          <w:tcPr>
            <w:tcW w:w="618" w:type="dxa"/>
            <w:tcBorders>
              <w:top w:val="nil"/>
              <w:left w:val="single" w:sz="4" w:space="0" w:color="auto"/>
              <w:bottom w:val="single" w:sz="4" w:space="0" w:color="auto"/>
              <w:right w:val="single" w:sz="4" w:space="0" w:color="auto"/>
            </w:tcBorders>
            <w:noWrap/>
            <w:vAlign w:val="bottom"/>
            <w:hideMark/>
          </w:tcPr>
          <w:p w14:paraId="07BD31B4" w14:textId="77777777" w:rsidR="007B1BAC" w:rsidRPr="00801A36" w:rsidRDefault="007B1BAC" w:rsidP="007B1BAC">
            <w:pPr>
              <w:spacing w:after="0" w:line="240" w:lineRule="auto"/>
              <w:rPr>
                <w:rFonts w:ascii="Times New Roman" w:eastAsia="Times New Roman" w:hAnsi="Times New Roman" w:cs="Times New Roman"/>
                <w:color w:val="000000"/>
                <w:kern w:val="0"/>
                <w:sz w:val="19"/>
                <w:szCs w:val="19"/>
                <w:lang w:eastAsia="en-IN"/>
                <w14:ligatures w14:val="none"/>
              </w:rPr>
            </w:pPr>
            <w:r w:rsidRPr="00801A36">
              <w:rPr>
                <w:rFonts w:ascii="Times New Roman" w:eastAsia="Times New Roman" w:hAnsi="Times New Roman" w:cs="Times New Roman"/>
                <w:color w:val="000000"/>
                <w:kern w:val="0"/>
                <w:sz w:val="19"/>
                <w:szCs w:val="19"/>
                <w:lang w:eastAsia="en-IN"/>
                <w14:ligatures w14:val="none"/>
              </w:rPr>
              <w:t> </w:t>
            </w:r>
          </w:p>
        </w:tc>
        <w:tc>
          <w:tcPr>
            <w:tcW w:w="1680" w:type="dxa"/>
            <w:tcBorders>
              <w:top w:val="nil"/>
              <w:left w:val="nil"/>
              <w:bottom w:val="single" w:sz="4" w:space="0" w:color="auto"/>
              <w:right w:val="single" w:sz="4" w:space="0" w:color="auto"/>
            </w:tcBorders>
            <w:noWrap/>
            <w:vAlign w:val="bottom"/>
            <w:hideMark/>
          </w:tcPr>
          <w:p w14:paraId="00287932" w14:textId="77777777" w:rsidR="007B1BAC" w:rsidRPr="00801A36" w:rsidRDefault="007B1BAC" w:rsidP="007B1BAC">
            <w:pPr>
              <w:spacing w:after="0" w:line="240" w:lineRule="auto"/>
              <w:rPr>
                <w:rFonts w:ascii="Times New Roman" w:eastAsia="Times New Roman" w:hAnsi="Times New Roman" w:cs="Times New Roman"/>
                <w:color w:val="000000"/>
                <w:kern w:val="0"/>
                <w:sz w:val="19"/>
                <w:szCs w:val="19"/>
                <w:lang w:eastAsia="en-IN"/>
                <w14:ligatures w14:val="none"/>
              </w:rPr>
            </w:pPr>
            <w:r w:rsidRPr="00801A36">
              <w:rPr>
                <w:rFonts w:ascii="Times New Roman" w:eastAsia="Times New Roman" w:hAnsi="Times New Roman" w:cs="Times New Roman"/>
                <w:color w:val="000000"/>
                <w:kern w:val="0"/>
                <w:sz w:val="19"/>
                <w:szCs w:val="19"/>
                <w:lang w:eastAsia="en-IN"/>
                <w14:ligatures w14:val="none"/>
              </w:rPr>
              <w:t>North Eastern</w:t>
            </w:r>
          </w:p>
        </w:tc>
        <w:tc>
          <w:tcPr>
            <w:tcW w:w="1084" w:type="dxa"/>
            <w:tcBorders>
              <w:top w:val="nil"/>
              <w:left w:val="nil"/>
              <w:bottom w:val="single" w:sz="4" w:space="0" w:color="auto"/>
              <w:right w:val="single" w:sz="4" w:space="0" w:color="auto"/>
            </w:tcBorders>
            <w:noWrap/>
            <w:vAlign w:val="center"/>
            <w:hideMark/>
          </w:tcPr>
          <w:p w14:paraId="2BBE2C7C" w14:textId="77777777" w:rsidR="007B1BAC" w:rsidRPr="00801A36" w:rsidRDefault="007B1BAC" w:rsidP="00801A36">
            <w:pPr>
              <w:spacing w:after="0" w:line="240" w:lineRule="auto"/>
              <w:jc w:val="center"/>
              <w:rPr>
                <w:rFonts w:ascii="Times New Roman" w:eastAsia="Times New Roman" w:hAnsi="Times New Roman" w:cs="Times New Roman"/>
                <w:color w:val="000000"/>
                <w:kern w:val="0"/>
                <w:sz w:val="19"/>
                <w:szCs w:val="19"/>
                <w:lang w:eastAsia="en-IN"/>
                <w14:ligatures w14:val="none"/>
              </w:rPr>
            </w:pPr>
            <w:r w:rsidRPr="00801A36">
              <w:rPr>
                <w:rFonts w:ascii="Times New Roman" w:eastAsia="Times New Roman" w:hAnsi="Times New Roman" w:cs="Times New Roman"/>
                <w:color w:val="000000"/>
                <w:kern w:val="0"/>
                <w:sz w:val="19"/>
                <w:szCs w:val="19"/>
                <w:lang w:eastAsia="en-IN"/>
                <w14:ligatures w14:val="none"/>
              </w:rPr>
              <w:t>53.47</w:t>
            </w:r>
          </w:p>
        </w:tc>
        <w:tc>
          <w:tcPr>
            <w:tcW w:w="1070" w:type="dxa"/>
            <w:tcBorders>
              <w:top w:val="nil"/>
              <w:left w:val="nil"/>
              <w:bottom w:val="single" w:sz="4" w:space="0" w:color="auto"/>
              <w:right w:val="single" w:sz="4" w:space="0" w:color="auto"/>
            </w:tcBorders>
            <w:noWrap/>
            <w:vAlign w:val="center"/>
            <w:hideMark/>
          </w:tcPr>
          <w:p w14:paraId="39BD692A" w14:textId="77777777" w:rsidR="007B1BAC" w:rsidRPr="00801A36" w:rsidRDefault="007B1BAC" w:rsidP="00801A36">
            <w:pPr>
              <w:spacing w:after="0" w:line="240" w:lineRule="auto"/>
              <w:jc w:val="center"/>
              <w:rPr>
                <w:rFonts w:ascii="Times New Roman" w:eastAsia="Times New Roman" w:hAnsi="Times New Roman" w:cs="Times New Roman"/>
                <w:color w:val="000000"/>
                <w:kern w:val="0"/>
                <w:sz w:val="19"/>
                <w:szCs w:val="19"/>
                <w:lang w:eastAsia="en-IN"/>
                <w14:ligatures w14:val="none"/>
              </w:rPr>
            </w:pPr>
            <w:r w:rsidRPr="00801A36">
              <w:rPr>
                <w:rFonts w:ascii="Times New Roman" w:eastAsia="Times New Roman" w:hAnsi="Times New Roman" w:cs="Times New Roman"/>
                <w:color w:val="000000"/>
                <w:kern w:val="0"/>
                <w:sz w:val="19"/>
                <w:szCs w:val="19"/>
                <w:lang w:eastAsia="en-IN"/>
                <w14:ligatures w14:val="none"/>
              </w:rPr>
              <w:t>1,685.38</w:t>
            </w:r>
          </w:p>
        </w:tc>
        <w:tc>
          <w:tcPr>
            <w:tcW w:w="1196" w:type="dxa"/>
            <w:tcBorders>
              <w:top w:val="nil"/>
              <w:left w:val="nil"/>
              <w:bottom w:val="single" w:sz="4" w:space="0" w:color="auto"/>
              <w:right w:val="single" w:sz="4" w:space="0" w:color="auto"/>
            </w:tcBorders>
            <w:noWrap/>
            <w:vAlign w:val="center"/>
            <w:hideMark/>
          </w:tcPr>
          <w:p w14:paraId="32784980" w14:textId="77777777" w:rsidR="007B1BAC" w:rsidRPr="00801A36" w:rsidRDefault="007B1BAC" w:rsidP="00801A36">
            <w:pPr>
              <w:spacing w:after="0" w:line="240" w:lineRule="auto"/>
              <w:jc w:val="center"/>
              <w:rPr>
                <w:rFonts w:ascii="Times New Roman" w:eastAsia="Times New Roman" w:hAnsi="Times New Roman" w:cs="Times New Roman"/>
                <w:color w:val="000000"/>
                <w:kern w:val="0"/>
                <w:sz w:val="19"/>
                <w:szCs w:val="19"/>
                <w:lang w:eastAsia="en-IN"/>
                <w14:ligatures w14:val="none"/>
              </w:rPr>
            </w:pPr>
            <w:r w:rsidRPr="00801A36">
              <w:rPr>
                <w:rFonts w:ascii="Times New Roman" w:eastAsia="Times New Roman" w:hAnsi="Times New Roman" w:cs="Times New Roman"/>
                <w:color w:val="000000"/>
                <w:kern w:val="0"/>
                <w:sz w:val="19"/>
                <w:szCs w:val="19"/>
                <w:lang w:eastAsia="en-IN"/>
                <w14:ligatures w14:val="none"/>
              </w:rPr>
              <w:t>..</w:t>
            </w:r>
          </w:p>
        </w:tc>
        <w:tc>
          <w:tcPr>
            <w:tcW w:w="986" w:type="dxa"/>
            <w:tcBorders>
              <w:top w:val="nil"/>
              <w:left w:val="nil"/>
              <w:bottom w:val="single" w:sz="4" w:space="0" w:color="auto"/>
              <w:right w:val="single" w:sz="4" w:space="0" w:color="auto"/>
            </w:tcBorders>
            <w:noWrap/>
            <w:vAlign w:val="center"/>
            <w:hideMark/>
          </w:tcPr>
          <w:p w14:paraId="4BA873CA" w14:textId="77777777" w:rsidR="007B1BAC" w:rsidRPr="00801A36" w:rsidRDefault="007B1BAC" w:rsidP="00801A36">
            <w:pPr>
              <w:spacing w:after="0" w:line="240" w:lineRule="auto"/>
              <w:jc w:val="center"/>
              <w:rPr>
                <w:rFonts w:ascii="Times New Roman" w:eastAsia="Times New Roman" w:hAnsi="Times New Roman" w:cs="Times New Roman"/>
                <w:color w:val="000000"/>
                <w:kern w:val="0"/>
                <w:sz w:val="19"/>
                <w:szCs w:val="19"/>
                <w:lang w:eastAsia="en-IN"/>
                <w14:ligatures w14:val="none"/>
              </w:rPr>
            </w:pPr>
            <w:r w:rsidRPr="00801A36">
              <w:rPr>
                <w:rFonts w:ascii="Times New Roman" w:eastAsia="Times New Roman" w:hAnsi="Times New Roman" w:cs="Times New Roman"/>
                <w:color w:val="000000"/>
                <w:kern w:val="0"/>
                <w:sz w:val="19"/>
                <w:szCs w:val="19"/>
                <w:lang w:eastAsia="en-IN"/>
                <w14:ligatures w14:val="none"/>
              </w:rPr>
              <w:t>1,737.85</w:t>
            </w:r>
          </w:p>
        </w:tc>
        <w:tc>
          <w:tcPr>
            <w:tcW w:w="1084" w:type="dxa"/>
            <w:tcBorders>
              <w:top w:val="nil"/>
              <w:left w:val="nil"/>
              <w:bottom w:val="single" w:sz="4" w:space="0" w:color="auto"/>
              <w:right w:val="single" w:sz="4" w:space="0" w:color="auto"/>
            </w:tcBorders>
            <w:noWrap/>
            <w:vAlign w:val="center"/>
            <w:hideMark/>
          </w:tcPr>
          <w:p w14:paraId="186EE061" w14:textId="77777777" w:rsidR="007B1BAC" w:rsidRPr="00801A36" w:rsidRDefault="007B1BAC" w:rsidP="00801A36">
            <w:pPr>
              <w:spacing w:after="0" w:line="240" w:lineRule="auto"/>
              <w:jc w:val="center"/>
              <w:rPr>
                <w:rFonts w:ascii="Times New Roman" w:eastAsia="Times New Roman" w:hAnsi="Times New Roman" w:cs="Times New Roman"/>
                <w:color w:val="000000"/>
                <w:kern w:val="0"/>
                <w:sz w:val="19"/>
                <w:szCs w:val="19"/>
                <w:lang w:eastAsia="en-IN"/>
                <w14:ligatures w14:val="none"/>
              </w:rPr>
            </w:pPr>
            <w:r w:rsidRPr="00801A36">
              <w:rPr>
                <w:rFonts w:ascii="Times New Roman" w:eastAsia="Times New Roman" w:hAnsi="Times New Roman" w:cs="Times New Roman"/>
                <w:color w:val="000000"/>
                <w:kern w:val="0"/>
                <w:sz w:val="19"/>
                <w:szCs w:val="19"/>
                <w:lang w:eastAsia="en-IN"/>
                <w14:ligatures w14:val="none"/>
              </w:rPr>
              <w:t>54.08</w:t>
            </w:r>
          </w:p>
        </w:tc>
        <w:tc>
          <w:tcPr>
            <w:tcW w:w="1070" w:type="dxa"/>
            <w:tcBorders>
              <w:top w:val="nil"/>
              <w:left w:val="nil"/>
              <w:bottom w:val="single" w:sz="4" w:space="0" w:color="auto"/>
              <w:right w:val="single" w:sz="4" w:space="0" w:color="auto"/>
            </w:tcBorders>
            <w:noWrap/>
            <w:vAlign w:val="center"/>
            <w:hideMark/>
          </w:tcPr>
          <w:p w14:paraId="70A2B477" w14:textId="77777777" w:rsidR="007B1BAC" w:rsidRPr="00801A36" w:rsidRDefault="007B1BAC" w:rsidP="00801A36">
            <w:pPr>
              <w:spacing w:after="0" w:line="240" w:lineRule="auto"/>
              <w:jc w:val="center"/>
              <w:rPr>
                <w:rFonts w:ascii="Times New Roman" w:eastAsia="Times New Roman" w:hAnsi="Times New Roman" w:cs="Times New Roman"/>
                <w:color w:val="000000"/>
                <w:kern w:val="0"/>
                <w:sz w:val="19"/>
                <w:szCs w:val="19"/>
                <w:lang w:eastAsia="en-IN"/>
                <w14:ligatures w14:val="none"/>
              </w:rPr>
            </w:pPr>
            <w:r w:rsidRPr="00801A36">
              <w:rPr>
                <w:rFonts w:ascii="Times New Roman" w:eastAsia="Times New Roman" w:hAnsi="Times New Roman" w:cs="Times New Roman"/>
                <w:color w:val="000000"/>
                <w:kern w:val="0"/>
                <w:sz w:val="19"/>
                <w:szCs w:val="19"/>
                <w:lang w:eastAsia="en-IN"/>
                <w14:ligatures w14:val="none"/>
              </w:rPr>
              <w:t>1,686.41</w:t>
            </w:r>
          </w:p>
        </w:tc>
        <w:tc>
          <w:tcPr>
            <w:tcW w:w="1196" w:type="dxa"/>
            <w:tcBorders>
              <w:top w:val="nil"/>
              <w:left w:val="nil"/>
              <w:bottom w:val="single" w:sz="4" w:space="0" w:color="auto"/>
              <w:right w:val="single" w:sz="4" w:space="0" w:color="auto"/>
            </w:tcBorders>
            <w:noWrap/>
            <w:vAlign w:val="center"/>
            <w:hideMark/>
          </w:tcPr>
          <w:p w14:paraId="2CF22128" w14:textId="77777777" w:rsidR="007B1BAC" w:rsidRPr="00801A36" w:rsidRDefault="007B1BAC" w:rsidP="00801A36">
            <w:pPr>
              <w:spacing w:after="0" w:line="240" w:lineRule="auto"/>
              <w:jc w:val="center"/>
              <w:rPr>
                <w:rFonts w:ascii="Times New Roman" w:eastAsia="Times New Roman" w:hAnsi="Times New Roman" w:cs="Times New Roman"/>
                <w:color w:val="000000"/>
                <w:kern w:val="0"/>
                <w:sz w:val="19"/>
                <w:szCs w:val="19"/>
                <w:lang w:eastAsia="en-IN"/>
                <w14:ligatures w14:val="none"/>
              </w:rPr>
            </w:pPr>
            <w:r w:rsidRPr="00801A36">
              <w:rPr>
                <w:rFonts w:ascii="Times New Roman" w:eastAsia="Times New Roman" w:hAnsi="Times New Roman" w:cs="Times New Roman"/>
                <w:color w:val="000000"/>
                <w:kern w:val="0"/>
                <w:sz w:val="19"/>
                <w:szCs w:val="19"/>
                <w:lang w:eastAsia="en-IN"/>
                <w14:ligatures w14:val="none"/>
              </w:rPr>
              <w:t>..</w:t>
            </w:r>
          </w:p>
        </w:tc>
        <w:tc>
          <w:tcPr>
            <w:tcW w:w="986" w:type="dxa"/>
            <w:tcBorders>
              <w:top w:val="nil"/>
              <w:left w:val="nil"/>
              <w:bottom w:val="single" w:sz="4" w:space="0" w:color="auto"/>
              <w:right w:val="single" w:sz="4" w:space="0" w:color="auto"/>
            </w:tcBorders>
            <w:noWrap/>
            <w:vAlign w:val="center"/>
            <w:hideMark/>
          </w:tcPr>
          <w:p w14:paraId="5FEED2F9" w14:textId="77777777" w:rsidR="007B1BAC" w:rsidRPr="00801A36" w:rsidRDefault="007B1BAC" w:rsidP="00801A36">
            <w:pPr>
              <w:spacing w:after="0" w:line="240" w:lineRule="auto"/>
              <w:jc w:val="center"/>
              <w:rPr>
                <w:rFonts w:ascii="Times New Roman" w:eastAsia="Times New Roman" w:hAnsi="Times New Roman" w:cs="Times New Roman"/>
                <w:color w:val="000000"/>
                <w:kern w:val="0"/>
                <w:sz w:val="19"/>
                <w:szCs w:val="19"/>
                <w:lang w:eastAsia="en-IN"/>
                <w14:ligatures w14:val="none"/>
              </w:rPr>
            </w:pPr>
            <w:r w:rsidRPr="00801A36">
              <w:rPr>
                <w:rFonts w:ascii="Times New Roman" w:eastAsia="Times New Roman" w:hAnsi="Times New Roman" w:cs="Times New Roman"/>
                <w:color w:val="000000"/>
                <w:kern w:val="0"/>
                <w:sz w:val="19"/>
                <w:szCs w:val="19"/>
                <w:lang w:eastAsia="en-IN"/>
                <w14:ligatures w14:val="none"/>
              </w:rPr>
              <w:t>1,740.49</w:t>
            </w:r>
          </w:p>
        </w:tc>
        <w:tc>
          <w:tcPr>
            <w:tcW w:w="1084" w:type="dxa"/>
            <w:tcBorders>
              <w:top w:val="nil"/>
              <w:left w:val="nil"/>
              <w:bottom w:val="single" w:sz="4" w:space="0" w:color="auto"/>
              <w:right w:val="single" w:sz="4" w:space="0" w:color="auto"/>
            </w:tcBorders>
            <w:noWrap/>
            <w:vAlign w:val="center"/>
            <w:hideMark/>
          </w:tcPr>
          <w:p w14:paraId="68207352" w14:textId="77777777" w:rsidR="007B1BAC" w:rsidRPr="00801A36" w:rsidRDefault="007B1BAC" w:rsidP="00801A36">
            <w:pPr>
              <w:spacing w:after="0" w:line="240" w:lineRule="auto"/>
              <w:jc w:val="center"/>
              <w:rPr>
                <w:rFonts w:ascii="Times New Roman" w:eastAsia="Times New Roman" w:hAnsi="Times New Roman" w:cs="Times New Roman"/>
                <w:color w:val="000000"/>
                <w:kern w:val="0"/>
                <w:sz w:val="19"/>
                <w:szCs w:val="19"/>
                <w:lang w:eastAsia="en-IN"/>
                <w14:ligatures w14:val="none"/>
              </w:rPr>
            </w:pPr>
            <w:r w:rsidRPr="00801A36">
              <w:rPr>
                <w:rFonts w:ascii="Times New Roman" w:eastAsia="Times New Roman" w:hAnsi="Times New Roman" w:cs="Times New Roman"/>
                <w:color w:val="000000"/>
                <w:kern w:val="0"/>
                <w:sz w:val="19"/>
                <w:szCs w:val="19"/>
                <w:lang w:eastAsia="en-IN"/>
                <w14:ligatures w14:val="none"/>
              </w:rPr>
              <w:t>52.47</w:t>
            </w:r>
          </w:p>
        </w:tc>
        <w:tc>
          <w:tcPr>
            <w:tcW w:w="1070" w:type="dxa"/>
            <w:tcBorders>
              <w:top w:val="nil"/>
              <w:left w:val="nil"/>
              <w:bottom w:val="single" w:sz="4" w:space="0" w:color="auto"/>
              <w:right w:val="single" w:sz="4" w:space="0" w:color="auto"/>
            </w:tcBorders>
            <w:noWrap/>
            <w:vAlign w:val="center"/>
            <w:hideMark/>
          </w:tcPr>
          <w:p w14:paraId="3FF4FAF6" w14:textId="77777777" w:rsidR="007B1BAC" w:rsidRPr="00801A36" w:rsidRDefault="007B1BAC" w:rsidP="00801A36">
            <w:pPr>
              <w:spacing w:after="0" w:line="240" w:lineRule="auto"/>
              <w:jc w:val="center"/>
              <w:rPr>
                <w:rFonts w:ascii="Times New Roman" w:eastAsia="Times New Roman" w:hAnsi="Times New Roman" w:cs="Times New Roman"/>
                <w:color w:val="000000"/>
                <w:kern w:val="0"/>
                <w:sz w:val="19"/>
                <w:szCs w:val="19"/>
                <w:lang w:eastAsia="en-IN"/>
                <w14:ligatures w14:val="none"/>
              </w:rPr>
            </w:pPr>
            <w:r w:rsidRPr="00801A36">
              <w:rPr>
                <w:rFonts w:ascii="Times New Roman" w:eastAsia="Times New Roman" w:hAnsi="Times New Roman" w:cs="Times New Roman"/>
                <w:color w:val="000000"/>
                <w:kern w:val="0"/>
                <w:sz w:val="19"/>
                <w:szCs w:val="19"/>
                <w:lang w:eastAsia="en-IN"/>
                <w14:ligatures w14:val="none"/>
              </w:rPr>
              <w:t>1,679.46</w:t>
            </w:r>
          </w:p>
        </w:tc>
        <w:tc>
          <w:tcPr>
            <w:tcW w:w="1196" w:type="dxa"/>
            <w:tcBorders>
              <w:top w:val="nil"/>
              <w:left w:val="nil"/>
              <w:bottom w:val="single" w:sz="4" w:space="0" w:color="auto"/>
              <w:right w:val="single" w:sz="4" w:space="0" w:color="auto"/>
            </w:tcBorders>
            <w:noWrap/>
            <w:vAlign w:val="center"/>
            <w:hideMark/>
          </w:tcPr>
          <w:p w14:paraId="344C97F8" w14:textId="77777777" w:rsidR="007B1BAC" w:rsidRPr="00801A36" w:rsidRDefault="007B1BAC" w:rsidP="00801A36">
            <w:pPr>
              <w:spacing w:after="0" w:line="240" w:lineRule="auto"/>
              <w:jc w:val="center"/>
              <w:rPr>
                <w:rFonts w:ascii="Times New Roman" w:eastAsia="Times New Roman" w:hAnsi="Times New Roman" w:cs="Times New Roman"/>
                <w:color w:val="000000"/>
                <w:kern w:val="0"/>
                <w:sz w:val="19"/>
                <w:szCs w:val="19"/>
                <w:lang w:eastAsia="en-IN"/>
                <w14:ligatures w14:val="none"/>
              </w:rPr>
            </w:pPr>
            <w:r w:rsidRPr="00801A36">
              <w:rPr>
                <w:rFonts w:ascii="Times New Roman" w:eastAsia="Times New Roman" w:hAnsi="Times New Roman" w:cs="Times New Roman"/>
                <w:color w:val="000000"/>
                <w:kern w:val="0"/>
                <w:sz w:val="19"/>
                <w:szCs w:val="19"/>
                <w:lang w:eastAsia="en-IN"/>
                <w14:ligatures w14:val="none"/>
              </w:rPr>
              <w:t>..</w:t>
            </w:r>
          </w:p>
        </w:tc>
        <w:tc>
          <w:tcPr>
            <w:tcW w:w="986" w:type="dxa"/>
            <w:tcBorders>
              <w:top w:val="nil"/>
              <w:left w:val="nil"/>
              <w:bottom w:val="single" w:sz="4" w:space="0" w:color="auto"/>
              <w:right w:val="single" w:sz="4" w:space="0" w:color="auto"/>
            </w:tcBorders>
            <w:noWrap/>
            <w:vAlign w:val="center"/>
            <w:hideMark/>
          </w:tcPr>
          <w:p w14:paraId="796ECE72" w14:textId="77777777" w:rsidR="007B1BAC" w:rsidRPr="00801A36" w:rsidRDefault="007B1BAC" w:rsidP="00801A36">
            <w:pPr>
              <w:spacing w:after="0" w:line="240" w:lineRule="auto"/>
              <w:jc w:val="center"/>
              <w:rPr>
                <w:rFonts w:ascii="Times New Roman" w:eastAsia="Times New Roman" w:hAnsi="Times New Roman" w:cs="Times New Roman"/>
                <w:color w:val="000000"/>
                <w:kern w:val="0"/>
                <w:sz w:val="19"/>
                <w:szCs w:val="19"/>
                <w:lang w:eastAsia="en-IN"/>
                <w14:ligatures w14:val="none"/>
              </w:rPr>
            </w:pPr>
            <w:r w:rsidRPr="00801A36">
              <w:rPr>
                <w:rFonts w:ascii="Times New Roman" w:eastAsia="Times New Roman" w:hAnsi="Times New Roman" w:cs="Times New Roman"/>
                <w:color w:val="000000"/>
                <w:kern w:val="0"/>
                <w:sz w:val="19"/>
                <w:szCs w:val="19"/>
                <w:lang w:eastAsia="en-IN"/>
                <w14:ligatures w14:val="none"/>
              </w:rPr>
              <w:t>1,731.93</w:t>
            </w:r>
          </w:p>
        </w:tc>
      </w:tr>
      <w:tr w:rsidR="007B1BAC" w:rsidRPr="00801A36" w14:paraId="1C5D8C8C" w14:textId="77777777" w:rsidTr="00801A36">
        <w:trPr>
          <w:trHeight w:val="20"/>
          <w:jc w:val="center"/>
        </w:trPr>
        <w:tc>
          <w:tcPr>
            <w:tcW w:w="618" w:type="dxa"/>
            <w:tcBorders>
              <w:top w:val="nil"/>
              <w:left w:val="single" w:sz="4" w:space="0" w:color="auto"/>
              <w:bottom w:val="single" w:sz="4" w:space="0" w:color="auto"/>
              <w:right w:val="single" w:sz="4" w:space="0" w:color="auto"/>
            </w:tcBorders>
            <w:noWrap/>
            <w:vAlign w:val="bottom"/>
            <w:hideMark/>
          </w:tcPr>
          <w:p w14:paraId="434609BB" w14:textId="77777777" w:rsidR="007B1BAC" w:rsidRPr="00801A36" w:rsidRDefault="007B1BAC" w:rsidP="007B1BAC">
            <w:pPr>
              <w:spacing w:after="0" w:line="240" w:lineRule="auto"/>
              <w:rPr>
                <w:rFonts w:ascii="Times New Roman" w:eastAsia="Times New Roman" w:hAnsi="Times New Roman" w:cs="Times New Roman"/>
                <w:color w:val="000000"/>
                <w:kern w:val="0"/>
                <w:sz w:val="19"/>
                <w:szCs w:val="19"/>
                <w:lang w:eastAsia="en-IN"/>
                <w14:ligatures w14:val="none"/>
              </w:rPr>
            </w:pPr>
            <w:r w:rsidRPr="00801A36">
              <w:rPr>
                <w:rFonts w:ascii="Times New Roman" w:eastAsia="Times New Roman" w:hAnsi="Times New Roman" w:cs="Times New Roman"/>
                <w:color w:val="000000"/>
                <w:kern w:val="0"/>
                <w:sz w:val="19"/>
                <w:szCs w:val="19"/>
                <w:lang w:eastAsia="en-IN"/>
                <w14:ligatures w14:val="none"/>
              </w:rPr>
              <w:t> </w:t>
            </w:r>
          </w:p>
        </w:tc>
        <w:tc>
          <w:tcPr>
            <w:tcW w:w="1680" w:type="dxa"/>
            <w:tcBorders>
              <w:top w:val="nil"/>
              <w:left w:val="nil"/>
              <w:bottom w:val="single" w:sz="4" w:space="0" w:color="auto"/>
              <w:right w:val="single" w:sz="4" w:space="0" w:color="auto"/>
            </w:tcBorders>
            <w:noWrap/>
            <w:vAlign w:val="bottom"/>
            <w:hideMark/>
          </w:tcPr>
          <w:p w14:paraId="70F02166" w14:textId="77777777" w:rsidR="007B1BAC" w:rsidRPr="00801A36" w:rsidRDefault="007B1BAC" w:rsidP="007B1BAC">
            <w:pPr>
              <w:spacing w:after="0" w:line="240" w:lineRule="auto"/>
              <w:rPr>
                <w:rFonts w:ascii="Times New Roman" w:eastAsia="Times New Roman" w:hAnsi="Times New Roman" w:cs="Times New Roman"/>
                <w:color w:val="000000"/>
                <w:kern w:val="0"/>
                <w:sz w:val="19"/>
                <w:szCs w:val="19"/>
                <w:lang w:eastAsia="en-IN"/>
                <w14:ligatures w14:val="none"/>
              </w:rPr>
            </w:pPr>
            <w:r w:rsidRPr="00801A36">
              <w:rPr>
                <w:rFonts w:ascii="Times New Roman" w:eastAsia="Times New Roman" w:hAnsi="Times New Roman" w:cs="Times New Roman"/>
                <w:color w:val="000000"/>
                <w:kern w:val="0"/>
                <w:sz w:val="19"/>
                <w:szCs w:val="19"/>
                <w:lang w:eastAsia="en-IN"/>
                <w14:ligatures w14:val="none"/>
              </w:rPr>
              <w:t>Northeast Frontier</w:t>
            </w:r>
          </w:p>
        </w:tc>
        <w:tc>
          <w:tcPr>
            <w:tcW w:w="1084" w:type="dxa"/>
            <w:tcBorders>
              <w:top w:val="nil"/>
              <w:left w:val="nil"/>
              <w:bottom w:val="single" w:sz="4" w:space="0" w:color="auto"/>
              <w:right w:val="single" w:sz="4" w:space="0" w:color="auto"/>
            </w:tcBorders>
            <w:noWrap/>
            <w:vAlign w:val="center"/>
            <w:hideMark/>
          </w:tcPr>
          <w:p w14:paraId="473E376C" w14:textId="77777777" w:rsidR="007B1BAC" w:rsidRPr="00801A36" w:rsidRDefault="007B1BAC" w:rsidP="00801A36">
            <w:pPr>
              <w:spacing w:after="0" w:line="240" w:lineRule="auto"/>
              <w:jc w:val="center"/>
              <w:rPr>
                <w:rFonts w:ascii="Times New Roman" w:eastAsia="Times New Roman" w:hAnsi="Times New Roman" w:cs="Times New Roman"/>
                <w:color w:val="000000"/>
                <w:kern w:val="0"/>
                <w:sz w:val="19"/>
                <w:szCs w:val="19"/>
                <w:lang w:eastAsia="en-IN"/>
                <w14:ligatures w14:val="none"/>
              </w:rPr>
            </w:pPr>
            <w:r w:rsidRPr="00801A36">
              <w:rPr>
                <w:rFonts w:ascii="Times New Roman" w:eastAsia="Times New Roman" w:hAnsi="Times New Roman" w:cs="Times New Roman"/>
                <w:color w:val="000000"/>
                <w:kern w:val="0"/>
                <w:sz w:val="19"/>
                <w:szCs w:val="19"/>
                <w:lang w:eastAsia="en-IN"/>
                <w14:ligatures w14:val="none"/>
              </w:rPr>
              <w:t>101.96</w:t>
            </w:r>
          </w:p>
        </w:tc>
        <w:tc>
          <w:tcPr>
            <w:tcW w:w="1070" w:type="dxa"/>
            <w:tcBorders>
              <w:top w:val="nil"/>
              <w:left w:val="nil"/>
              <w:bottom w:val="single" w:sz="4" w:space="0" w:color="auto"/>
              <w:right w:val="single" w:sz="4" w:space="0" w:color="auto"/>
            </w:tcBorders>
            <w:noWrap/>
            <w:vAlign w:val="center"/>
            <w:hideMark/>
          </w:tcPr>
          <w:p w14:paraId="38E0FD55" w14:textId="77777777" w:rsidR="007B1BAC" w:rsidRPr="00801A36" w:rsidRDefault="007B1BAC" w:rsidP="00801A36">
            <w:pPr>
              <w:spacing w:after="0" w:line="240" w:lineRule="auto"/>
              <w:jc w:val="center"/>
              <w:rPr>
                <w:rFonts w:ascii="Times New Roman" w:eastAsia="Times New Roman" w:hAnsi="Times New Roman" w:cs="Times New Roman"/>
                <w:color w:val="000000"/>
                <w:kern w:val="0"/>
                <w:sz w:val="19"/>
                <w:szCs w:val="19"/>
                <w:lang w:eastAsia="en-IN"/>
                <w14:ligatures w14:val="none"/>
              </w:rPr>
            </w:pPr>
            <w:r w:rsidRPr="00801A36">
              <w:rPr>
                <w:rFonts w:ascii="Times New Roman" w:eastAsia="Times New Roman" w:hAnsi="Times New Roman" w:cs="Times New Roman"/>
                <w:color w:val="000000"/>
                <w:kern w:val="0"/>
                <w:sz w:val="19"/>
                <w:szCs w:val="19"/>
                <w:lang w:eastAsia="en-IN"/>
                <w14:ligatures w14:val="none"/>
              </w:rPr>
              <w:t>263.04</w:t>
            </w:r>
          </w:p>
        </w:tc>
        <w:tc>
          <w:tcPr>
            <w:tcW w:w="1196" w:type="dxa"/>
            <w:tcBorders>
              <w:top w:val="nil"/>
              <w:left w:val="nil"/>
              <w:bottom w:val="single" w:sz="4" w:space="0" w:color="auto"/>
              <w:right w:val="single" w:sz="4" w:space="0" w:color="auto"/>
            </w:tcBorders>
            <w:noWrap/>
            <w:vAlign w:val="center"/>
            <w:hideMark/>
          </w:tcPr>
          <w:p w14:paraId="2A636A37" w14:textId="77777777" w:rsidR="007B1BAC" w:rsidRPr="00801A36" w:rsidRDefault="007B1BAC" w:rsidP="00801A36">
            <w:pPr>
              <w:spacing w:after="0" w:line="240" w:lineRule="auto"/>
              <w:jc w:val="center"/>
              <w:rPr>
                <w:rFonts w:ascii="Times New Roman" w:eastAsia="Times New Roman" w:hAnsi="Times New Roman" w:cs="Times New Roman"/>
                <w:color w:val="000000"/>
                <w:kern w:val="0"/>
                <w:sz w:val="19"/>
                <w:szCs w:val="19"/>
                <w:lang w:eastAsia="en-IN"/>
                <w14:ligatures w14:val="none"/>
              </w:rPr>
            </w:pPr>
            <w:r w:rsidRPr="00801A36">
              <w:rPr>
                <w:rFonts w:ascii="Times New Roman" w:eastAsia="Times New Roman" w:hAnsi="Times New Roman" w:cs="Times New Roman"/>
                <w:color w:val="000000"/>
                <w:kern w:val="0"/>
                <w:sz w:val="19"/>
                <w:szCs w:val="19"/>
                <w:lang w:eastAsia="en-IN"/>
                <w14:ligatures w14:val="none"/>
              </w:rPr>
              <w:t>..</w:t>
            </w:r>
          </w:p>
        </w:tc>
        <w:tc>
          <w:tcPr>
            <w:tcW w:w="986" w:type="dxa"/>
            <w:tcBorders>
              <w:top w:val="nil"/>
              <w:left w:val="nil"/>
              <w:bottom w:val="single" w:sz="4" w:space="0" w:color="auto"/>
              <w:right w:val="single" w:sz="4" w:space="0" w:color="auto"/>
            </w:tcBorders>
            <w:noWrap/>
            <w:vAlign w:val="center"/>
            <w:hideMark/>
          </w:tcPr>
          <w:p w14:paraId="42EE8CA2" w14:textId="77777777" w:rsidR="007B1BAC" w:rsidRPr="00801A36" w:rsidRDefault="007B1BAC" w:rsidP="00801A36">
            <w:pPr>
              <w:spacing w:after="0" w:line="240" w:lineRule="auto"/>
              <w:jc w:val="center"/>
              <w:rPr>
                <w:rFonts w:ascii="Times New Roman" w:eastAsia="Times New Roman" w:hAnsi="Times New Roman" w:cs="Times New Roman"/>
                <w:color w:val="000000"/>
                <w:kern w:val="0"/>
                <w:sz w:val="19"/>
                <w:szCs w:val="19"/>
                <w:lang w:eastAsia="en-IN"/>
                <w14:ligatures w14:val="none"/>
              </w:rPr>
            </w:pPr>
            <w:r w:rsidRPr="00801A36">
              <w:rPr>
                <w:rFonts w:ascii="Times New Roman" w:eastAsia="Times New Roman" w:hAnsi="Times New Roman" w:cs="Times New Roman"/>
                <w:color w:val="000000"/>
                <w:kern w:val="0"/>
                <w:sz w:val="19"/>
                <w:szCs w:val="19"/>
                <w:lang w:eastAsia="en-IN"/>
                <w14:ligatures w14:val="none"/>
              </w:rPr>
              <w:t>365</w:t>
            </w:r>
          </w:p>
        </w:tc>
        <w:tc>
          <w:tcPr>
            <w:tcW w:w="1084" w:type="dxa"/>
            <w:tcBorders>
              <w:top w:val="nil"/>
              <w:left w:val="nil"/>
              <w:bottom w:val="single" w:sz="4" w:space="0" w:color="auto"/>
              <w:right w:val="single" w:sz="4" w:space="0" w:color="auto"/>
            </w:tcBorders>
            <w:noWrap/>
            <w:vAlign w:val="center"/>
            <w:hideMark/>
          </w:tcPr>
          <w:p w14:paraId="5495F5B9" w14:textId="77777777" w:rsidR="007B1BAC" w:rsidRPr="00801A36" w:rsidRDefault="007B1BAC" w:rsidP="00801A36">
            <w:pPr>
              <w:spacing w:after="0" w:line="240" w:lineRule="auto"/>
              <w:jc w:val="center"/>
              <w:rPr>
                <w:rFonts w:ascii="Times New Roman" w:eastAsia="Times New Roman" w:hAnsi="Times New Roman" w:cs="Times New Roman"/>
                <w:color w:val="000000"/>
                <w:kern w:val="0"/>
                <w:sz w:val="19"/>
                <w:szCs w:val="19"/>
                <w:lang w:eastAsia="en-IN"/>
                <w14:ligatures w14:val="none"/>
              </w:rPr>
            </w:pPr>
            <w:r w:rsidRPr="00801A36">
              <w:rPr>
                <w:rFonts w:ascii="Times New Roman" w:eastAsia="Times New Roman" w:hAnsi="Times New Roman" w:cs="Times New Roman"/>
                <w:color w:val="000000"/>
                <w:kern w:val="0"/>
                <w:sz w:val="19"/>
                <w:szCs w:val="19"/>
                <w:lang w:eastAsia="en-IN"/>
                <w14:ligatures w14:val="none"/>
              </w:rPr>
              <w:t>101.96</w:t>
            </w:r>
          </w:p>
        </w:tc>
        <w:tc>
          <w:tcPr>
            <w:tcW w:w="1070" w:type="dxa"/>
            <w:tcBorders>
              <w:top w:val="nil"/>
              <w:left w:val="nil"/>
              <w:bottom w:val="single" w:sz="4" w:space="0" w:color="auto"/>
              <w:right w:val="single" w:sz="4" w:space="0" w:color="auto"/>
            </w:tcBorders>
            <w:noWrap/>
            <w:vAlign w:val="center"/>
            <w:hideMark/>
          </w:tcPr>
          <w:p w14:paraId="18009001" w14:textId="77777777" w:rsidR="007B1BAC" w:rsidRPr="00801A36" w:rsidRDefault="007B1BAC" w:rsidP="00801A36">
            <w:pPr>
              <w:spacing w:after="0" w:line="240" w:lineRule="auto"/>
              <w:jc w:val="center"/>
              <w:rPr>
                <w:rFonts w:ascii="Times New Roman" w:eastAsia="Times New Roman" w:hAnsi="Times New Roman" w:cs="Times New Roman"/>
                <w:color w:val="000000"/>
                <w:kern w:val="0"/>
                <w:sz w:val="19"/>
                <w:szCs w:val="19"/>
                <w:lang w:eastAsia="en-IN"/>
                <w14:ligatures w14:val="none"/>
              </w:rPr>
            </w:pPr>
            <w:r w:rsidRPr="00801A36">
              <w:rPr>
                <w:rFonts w:ascii="Times New Roman" w:eastAsia="Times New Roman" w:hAnsi="Times New Roman" w:cs="Times New Roman"/>
                <w:color w:val="000000"/>
                <w:kern w:val="0"/>
                <w:sz w:val="19"/>
                <w:szCs w:val="19"/>
                <w:lang w:eastAsia="en-IN"/>
                <w14:ligatures w14:val="none"/>
              </w:rPr>
              <w:t>263.04</w:t>
            </w:r>
          </w:p>
        </w:tc>
        <w:tc>
          <w:tcPr>
            <w:tcW w:w="1196" w:type="dxa"/>
            <w:tcBorders>
              <w:top w:val="nil"/>
              <w:left w:val="nil"/>
              <w:bottom w:val="single" w:sz="4" w:space="0" w:color="auto"/>
              <w:right w:val="single" w:sz="4" w:space="0" w:color="auto"/>
            </w:tcBorders>
            <w:noWrap/>
            <w:vAlign w:val="center"/>
            <w:hideMark/>
          </w:tcPr>
          <w:p w14:paraId="68A12903" w14:textId="77777777" w:rsidR="007B1BAC" w:rsidRPr="00801A36" w:rsidRDefault="007B1BAC" w:rsidP="00801A36">
            <w:pPr>
              <w:spacing w:after="0" w:line="240" w:lineRule="auto"/>
              <w:jc w:val="center"/>
              <w:rPr>
                <w:rFonts w:ascii="Times New Roman" w:eastAsia="Times New Roman" w:hAnsi="Times New Roman" w:cs="Times New Roman"/>
                <w:color w:val="000000"/>
                <w:kern w:val="0"/>
                <w:sz w:val="19"/>
                <w:szCs w:val="19"/>
                <w:lang w:eastAsia="en-IN"/>
                <w14:ligatures w14:val="none"/>
              </w:rPr>
            </w:pPr>
            <w:r w:rsidRPr="00801A36">
              <w:rPr>
                <w:rFonts w:ascii="Times New Roman" w:eastAsia="Times New Roman" w:hAnsi="Times New Roman" w:cs="Times New Roman"/>
                <w:color w:val="000000"/>
                <w:kern w:val="0"/>
                <w:sz w:val="19"/>
                <w:szCs w:val="19"/>
                <w:lang w:eastAsia="en-IN"/>
                <w14:ligatures w14:val="none"/>
              </w:rPr>
              <w:t>..</w:t>
            </w:r>
          </w:p>
        </w:tc>
        <w:tc>
          <w:tcPr>
            <w:tcW w:w="986" w:type="dxa"/>
            <w:tcBorders>
              <w:top w:val="nil"/>
              <w:left w:val="nil"/>
              <w:bottom w:val="single" w:sz="4" w:space="0" w:color="auto"/>
              <w:right w:val="single" w:sz="4" w:space="0" w:color="auto"/>
            </w:tcBorders>
            <w:noWrap/>
            <w:vAlign w:val="center"/>
            <w:hideMark/>
          </w:tcPr>
          <w:p w14:paraId="09AF5034" w14:textId="77777777" w:rsidR="007B1BAC" w:rsidRPr="00801A36" w:rsidRDefault="007B1BAC" w:rsidP="00801A36">
            <w:pPr>
              <w:spacing w:after="0" w:line="240" w:lineRule="auto"/>
              <w:jc w:val="center"/>
              <w:rPr>
                <w:rFonts w:ascii="Times New Roman" w:eastAsia="Times New Roman" w:hAnsi="Times New Roman" w:cs="Times New Roman"/>
                <w:color w:val="000000"/>
                <w:kern w:val="0"/>
                <w:sz w:val="19"/>
                <w:szCs w:val="19"/>
                <w:lang w:eastAsia="en-IN"/>
                <w14:ligatures w14:val="none"/>
              </w:rPr>
            </w:pPr>
            <w:r w:rsidRPr="00801A36">
              <w:rPr>
                <w:rFonts w:ascii="Times New Roman" w:eastAsia="Times New Roman" w:hAnsi="Times New Roman" w:cs="Times New Roman"/>
                <w:color w:val="000000"/>
                <w:kern w:val="0"/>
                <w:sz w:val="19"/>
                <w:szCs w:val="19"/>
                <w:lang w:eastAsia="en-IN"/>
                <w14:ligatures w14:val="none"/>
              </w:rPr>
              <w:t>365</w:t>
            </w:r>
          </w:p>
        </w:tc>
        <w:tc>
          <w:tcPr>
            <w:tcW w:w="1084" w:type="dxa"/>
            <w:tcBorders>
              <w:top w:val="nil"/>
              <w:left w:val="nil"/>
              <w:bottom w:val="single" w:sz="4" w:space="0" w:color="auto"/>
              <w:right w:val="single" w:sz="4" w:space="0" w:color="auto"/>
            </w:tcBorders>
            <w:noWrap/>
            <w:vAlign w:val="center"/>
            <w:hideMark/>
          </w:tcPr>
          <w:p w14:paraId="25A494E3" w14:textId="77777777" w:rsidR="007B1BAC" w:rsidRPr="00801A36" w:rsidRDefault="007B1BAC" w:rsidP="00801A36">
            <w:pPr>
              <w:spacing w:after="0" w:line="240" w:lineRule="auto"/>
              <w:jc w:val="center"/>
              <w:rPr>
                <w:rFonts w:ascii="Times New Roman" w:eastAsia="Times New Roman" w:hAnsi="Times New Roman" w:cs="Times New Roman"/>
                <w:color w:val="000000"/>
                <w:kern w:val="0"/>
                <w:sz w:val="19"/>
                <w:szCs w:val="19"/>
                <w:lang w:eastAsia="en-IN"/>
                <w14:ligatures w14:val="none"/>
              </w:rPr>
            </w:pPr>
            <w:r w:rsidRPr="00801A36">
              <w:rPr>
                <w:rFonts w:ascii="Times New Roman" w:eastAsia="Times New Roman" w:hAnsi="Times New Roman" w:cs="Times New Roman"/>
                <w:color w:val="000000"/>
                <w:kern w:val="0"/>
                <w:sz w:val="19"/>
                <w:szCs w:val="19"/>
                <w:lang w:eastAsia="en-IN"/>
                <w14:ligatures w14:val="none"/>
              </w:rPr>
              <w:t>101.96</w:t>
            </w:r>
          </w:p>
        </w:tc>
        <w:tc>
          <w:tcPr>
            <w:tcW w:w="1070" w:type="dxa"/>
            <w:tcBorders>
              <w:top w:val="nil"/>
              <w:left w:val="nil"/>
              <w:bottom w:val="single" w:sz="4" w:space="0" w:color="auto"/>
              <w:right w:val="single" w:sz="4" w:space="0" w:color="auto"/>
            </w:tcBorders>
            <w:noWrap/>
            <w:vAlign w:val="center"/>
            <w:hideMark/>
          </w:tcPr>
          <w:p w14:paraId="35F09292" w14:textId="77777777" w:rsidR="007B1BAC" w:rsidRPr="00801A36" w:rsidRDefault="007B1BAC" w:rsidP="00801A36">
            <w:pPr>
              <w:spacing w:after="0" w:line="240" w:lineRule="auto"/>
              <w:jc w:val="center"/>
              <w:rPr>
                <w:rFonts w:ascii="Times New Roman" w:eastAsia="Times New Roman" w:hAnsi="Times New Roman" w:cs="Times New Roman"/>
                <w:color w:val="000000"/>
                <w:kern w:val="0"/>
                <w:sz w:val="19"/>
                <w:szCs w:val="19"/>
                <w:lang w:eastAsia="en-IN"/>
                <w14:ligatures w14:val="none"/>
              </w:rPr>
            </w:pPr>
            <w:r w:rsidRPr="00801A36">
              <w:rPr>
                <w:rFonts w:ascii="Times New Roman" w:eastAsia="Times New Roman" w:hAnsi="Times New Roman" w:cs="Times New Roman"/>
                <w:color w:val="000000"/>
                <w:kern w:val="0"/>
                <w:sz w:val="19"/>
                <w:szCs w:val="19"/>
                <w:lang w:eastAsia="en-IN"/>
                <w14:ligatures w14:val="none"/>
              </w:rPr>
              <w:t>263.04</w:t>
            </w:r>
          </w:p>
        </w:tc>
        <w:tc>
          <w:tcPr>
            <w:tcW w:w="1196" w:type="dxa"/>
            <w:tcBorders>
              <w:top w:val="nil"/>
              <w:left w:val="nil"/>
              <w:bottom w:val="single" w:sz="4" w:space="0" w:color="auto"/>
              <w:right w:val="single" w:sz="4" w:space="0" w:color="auto"/>
            </w:tcBorders>
            <w:noWrap/>
            <w:vAlign w:val="center"/>
            <w:hideMark/>
          </w:tcPr>
          <w:p w14:paraId="6933B72A" w14:textId="77777777" w:rsidR="007B1BAC" w:rsidRPr="00801A36" w:rsidRDefault="007B1BAC" w:rsidP="00801A36">
            <w:pPr>
              <w:spacing w:after="0" w:line="240" w:lineRule="auto"/>
              <w:jc w:val="center"/>
              <w:rPr>
                <w:rFonts w:ascii="Times New Roman" w:eastAsia="Times New Roman" w:hAnsi="Times New Roman" w:cs="Times New Roman"/>
                <w:color w:val="000000"/>
                <w:kern w:val="0"/>
                <w:sz w:val="19"/>
                <w:szCs w:val="19"/>
                <w:lang w:eastAsia="en-IN"/>
                <w14:ligatures w14:val="none"/>
              </w:rPr>
            </w:pPr>
            <w:r w:rsidRPr="00801A36">
              <w:rPr>
                <w:rFonts w:ascii="Times New Roman" w:eastAsia="Times New Roman" w:hAnsi="Times New Roman" w:cs="Times New Roman"/>
                <w:color w:val="000000"/>
                <w:kern w:val="0"/>
                <w:sz w:val="19"/>
                <w:szCs w:val="19"/>
                <w:lang w:eastAsia="en-IN"/>
                <w14:ligatures w14:val="none"/>
              </w:rPr>
              <w:t>..</w:t>
            </w:r>
          </w:p>
        </w:tc>
        <w:tc>
          <w:tcPr>
            <w:tcW w:w="986" w:type="dxa"/>
            <w:tcBorders>
              <w:top w:val="nil"/>
              <w:left w:val="nil"/>
              <w:bottom w:val="single" w:sz="4" w:space="0" w:color="auto"/>
              <w:right w:val="single" w:sz="4" w:space="0" w:color="auto"/>
            </w:tcBorders>
            <w:noWrap/>
            <w:vAlign w:val="center"/>
            <w:hideMark/>
          </w:tcPr>
          <w:p w14:paraId="0006B515" w14:textId="77777777" w:rsidR="007B1BAC" w:rsidRPr="00801A36" w:rsidRDefault="007B1BAC" w:rsidP="00801A36">
            <w:pPr>
              <w:spacing w:after="0" w:line="240" w:lineRule="auto"/>
              <w:jc w:val="center"/>
              <w:rPr>
                <w:rFonts w:ascii="Times New Roman" w:eastAsia="Times New Roman" w:hAnsi="Times New Roman" w:cs="Times New Roman"/>
                <w:color w:val="000000"/>
                <w:kern w:val="0"/>
                <w:sz w:val="19"/>
                <w:szCs w:val="19"/>
                <w:lang w:eastAsia="en-IN"/>
                <w14:ligatures w14:val="none"/>
              </w:rPr>
            </w:pPr>
            <w:r w:rsidRPr="00801A36">
              <w:rPr>
                <w:rFonts w:ascii="Times New Roman" w:eastAsia="Times New Roman" w:hAnsi="Times New Roman" w:cs="Times New Roman"/>
                <w:color w:val="000000"/>
                <w:kern w:val="0"/>
                <w:sz w:val="19"/>
                <w:szCs w:val="19"/>
                <w:lang w:eastAsia="en-IN"/>
                <w14:ligatures w14:val="none"/>
              </w:rPr>
              <w:t>365</w:t>
            </w:r>
          </w:p>
        </w:tc>
      </w:tr>
      <w:tr w:rsidR="007B1BAC" w:rsidRPr="00801A36" w14:paraId="37888D0E" w14:textId="77777777" w:rsidTr="00801A36">
        <w:trPr>
          <w:trHeight w:val="20"/>
          <w:jc w:val="center"/>
        </w:trPr>
        <w:tc>
          <w:tcPr>
            <w:tcW w:w="618" w:type="dxa"/>
            <w:tcBorders>
              <w:top w:val="nil"/>
              <w:left w:val="single" w:sz="4" w:space="0" w:color="auto"/>
              <w:bottom w:val="single" w:sz="4" w:space="0" w:color="auto"/>
              <w:right w:val="single" w:sz="4" w:space="0" w:color="auto"/>
            </w:tcBorders>
            <w:noWrap/>
            <w:vAlign w:val="bottom"/>
            <w:hideMark/>
          </w:tcPr>
          <w:p w14:paraId="4BE586E4" w14:textId="77777777" w:rsidR="007B1BAC" w:rsidRPr="00801A36" w:rsidRDefault="007B1BAC" w:rsidP="007B1BAC">
            <w:pPr>
              <w:spacing w:after="0" w:line="240" w:lineRule="auto"/>
              <w:rPr>
                <w:rFonts w:ascii="Times New Roman" w:eastAsia="Times New Roman" w:hAnsi="Times New Roman" w:cs="Times New Roman"/>
                <w:color w:val="000000"/>
                <w:kern w:val="0"/>
                <w:sz w:val="19"/>
                <w:szCs w:val="19"/>
                <w:lang w:eastAsia="en-IN"/>
                <w14:ligatures w14:val="none"/>
              </w:rPr>
            </w:pPr>
            <w:r w:rsidRPr="00801A36">
              <w:rPr>
                <w:rFonts w:ascii="Times New Roman" w:eastAsia="Times New Roman" w:hAnsi="Times New Roman" w:cs="Times New Roman"/>
                <w:color w:val="000000"/>
                <w:kern w:val="0"/>
                <w:sz w:val="19"/>
                <w:szCs w:val="19"/>
                <w:lang w:eastAsia="en-IN"/>
                <w14:ligatures w14:val="none"/>
              </w:rPr>
              <w:t> </w:t>
            </w:r>
          </w:p>
        </w:tc>
        <w:tc>
          <w:tcPr>
            <w:tcW w:w="1680" w:type="dxa"/>
            <w:tcBorders>
              <w:top w:val="nil"/>
              <w:left w:val="nil"/>
              <w:bottom w:val="single" w:sz="4" w:space="0" w:color="auto"/>
              <w:right w:val="single" w:sz="4" w:space="0" w:color="auto"/>
            </w:tcBorders>
            <w:noWrap/>
            <w:vAlign w:val="bottom"/>
            <w:hideMark/>
          </w:tcPr>
          <w:p w14:paraId="3F74AA80" w14:textId="77777777" w:rsidR="007B1BAC" w:rsidRPr="00801A36" w:rsidRDefault="007B1BAC" w:rsidP="007B1BAC">
            <w:pPr>
              <w:spacing w:after="0" w:line="240" w:lineRule="auto"/>
              <w:rPr>
                <w:rFonts w:ascii="Times New Roman" w:eastAsia="Times New Roman" w:hAnsi="Times New Roman" w:cs="Times New Roman"/>
                <w:color w:val="000000"/>
                <w:kern w:val="0"/>
                <w:sz w:val="19"/>
                <w:szCs w:val="19"/>
                <w:lang w:eastAsia="en-IN"/>
                <w14:ligatures w14:val="none"/>
              </w:rPr>
            </w:pPr>
            <w:r w:rsidRPr="00801A36">
              <w:rPr>
                <w:rFonts w:ascii="Times New Roman" w:eastAsia="Times New Roman" w:hAnsi="Times New Roman" w:cs="Times New Roman"/>
                <w:color w:val="000000"/>
                <w:kern w:val="0"/>
                <w:sz w:val="19"/>
                <w:szCs w:val="19"/>
                <w:lang w:eastAsia="en-IN"/>
                <w14:ligatures w14:val="none"/>
              </w:rPr>
              <w:t>South Eastern</w:t>
            </w:r>
          </w:p>
        </w:tc>
        <w:tc>
          <w:tcPr>
            <w:tcW w:w="1084" w:type="dxa"/>
            <w:tcBorders>
              <w:top w:val="nil"/>
              <w:left w:val="nil"/>
              <w:bottom w:val="single" w:sz="4" w:space="0" w:color="auto"/>
              <w:right w:val="single" w:sz="4" w:space="0" w:color="auto"/>
            </w:tcBorders>
            <w:noWrap/>
            <w:vAlign w:val="center"/>
            <w:hideMark/>
          </w:tcPr>
          <w:p w14:paraId="79BDC9E3" w14:textId="77777777" w:rsidR="007B1BAC" w:rsidRPr="00801A36" w:rsidRDefault="007B1BAC" w:rsidP="00801A36">
            <w:pPr>
              <w:spacing w:after="0" w:line="240" w:lineRule="auto"/>
              <w:jc w:val="center"/>
              <w:rPr>
                <w:rFonts w:ascii="Times New Roman" w:eastAsia="Times New Roman" w:hAnsi="Times New Roman" w:cs="Times New Roman"/>
                <w:color w:val="000000"/>
                <w:kern w:val="0"/>
                <w:sz w:val="19"/>
                <w:szCs w:val="19"/>
                <w:lang w:eastAsia="en-IN"/>
                <w14:ligatures w14:val="none"/>
              </w:rPr>
            </w:pPr>
            <w:r w:rsidRPr="00801A36">
              <w:rPr>
                <w:rFonts w:ascii="Times New Roman" w:eastAsia="Times New Roman" w:hAnsi="Times New Roman" w:cs="Times New Roman"/>
                <w:color w:val="000000"/>
                <w:kern w:val="0"/>
                <w:sz w:val="19"/>
                <w:szCs w:val="19"/>
                <w:lang w:eastAsia="en-IN"/>
                <w14:ligatures w14:val="none"/>
              </w:rPr>
              <w:t>900.76</w:t>
            </w:r>
          </w:p>
        </w:tc>
        <w:tc>
          <w:tcPr>
            <w:tcW w:w="1070" w:type="dxa"/>
            <w:tcBorders>
              <w:top w:val="nil"/>
              <w:left w:val="nil"/>
              <w:bottom w:val="single" w:sz="4" w:space="0" w:color="auto"/>
              <w:right w:val="single" w:sz="4" w:space="0" w:color="auto"/>
            </w:tcBorders>
            <w:noWrap/>
            <w:vAlign w:val="center"/>
            <w:hideMark/>
          </w:tcPr>
          <w:p w14:paraId="00F6FE0F" w14:textId="77777777" w:rsidR="007B1BAC" w:rsidRPr="00801A36" w:rsidRDefault="007B1BAC" w:rsidP="00801A36">
            <w:pPr>
              <w:spacing w:after="0" w:line="240" w:lineRule="auto"/>
              <w:jc w:val="center"/>
              <w:rPr>
                <w:rFonts w:ascii="Times New Roman" w:eastAsia="Times New Roman" w:hAnsi="Times New Roman" w:cs="Times New Roman"/>
                <w:color w:val="000000"/>
                <w:kern w:val="0"/>
                <w:sz w:val="19"/>
                <w:szCs w:val="19"/>
                <w:lang w:eastAsia="en-IN"/>
                <w14:ligatures w14:val="none"/>
              </w:rPr>
            </w:pPr>
            <w:r w:rsidRPr="00801A36">
              <w:rPr>
                <w:rFonts w:ascii="Times New Roman" w:eastAsia="Times New Roman" w:hAnsi="Times New Roman" w:cs="Times New Roman"/>
                <w:color w:val="000000"/>
                <w:kern w:val="0"/>
                <w:sz w:val="19"/>
                <w:szCs w:val="19"/>
                <w:lang w:eastAsia="en-IN"/>
                <w14:ligatures w14:val="none"/>
              </w:rPr>
              <w:t>..</w:t>
            </w:r>
          </w:p>
        </w:tc>
        <w:tc>
          <w:tcPr>
            <w:tcW w:w="1196" w:type="dxa"/>
            <w:tcBorders>
              <w:top w:val="nil"/>
              <w:left w:val="nil"/>
              <w:bottom w:val="single" w:sz="4" w:space="0" w:color="auto"/>
              <w:right w:val="single" w:sz="4" w:space="0" w:color="auto"/>
            </w:tcBorders>
            <w:noWrap/>
            <w:vAlign w:val="center"/>
            <w:hideMark/>
          </w:tcPr>
          <w:p w14:paraId="1E7D2AD7" w14:textId="77777777" w:rsidR="007B1BAC" w:rsidRPr="00801A36" w:rsidRDefault="007B1BAC" w:rsidP="00801A36">
            <w:pPr>
              <w:spacing w:after="0" w:line="240" w:lineRule="auto"/>
              <w:jc w:val="center"/>
              <w:rPr>
                <w:rFonts w:ascii="Times New Roman" w:eastAsia="Times New Roman" w:hAnsi="Times New Roman" w:cs="Times New Roman"/>
                <w:color w:val="000000"/>
                <w:kern w:val="0"/>
                <w:sz w:val="19"/>
                <w:szCs w:val="19"/>
                <w:lang w:eastAsia="en-IN"/>
                <w14:ligatures w14:val="none"/>
              </w:rPr>
            </w:pPr>
            <w:r w:rsidRPr="00801A36">
              <w:rPr>
                <w:rFonts w:ascii="Times New Roman" w:eastAsia="Times New Roman" w:hAnsi="Times New Roman" w:cs="Times New Roman"/>
                <w:color w:val="000000"/>
                <w:kern w:val="0"/>
                <w:sz w:val="19"/>
                <w:szCs w:val="19"/>
                <w:lang w:eastAsia="en-IN"/>
                <w14:ligatures w14:val="none"/>
              </w:rPr>
              <w:t>69.23</w:t>
            </w:r>
          </w:p>
        </w:tc>
        <w:tc>
          <w:tcPr>
            <w:tcW w:w="986" w:type="dxa"/>
            <w:tcBorders>
              <w:top w:val="nil"/>
              <w:left w:val="nil"/>
              <w:bottom w:val="single" w:sz="4" w:space="0" w:color="auto"/>
              <w:right w:val="single" w:sz="4" w:space="0" w:color="auto"/>
            </w:tcBorders>
            <w:noWrap/>
            <w:vAlign w:val="center"/>
            <w:hideMark/>
          </w:tcPr>
          <w:p w14:paraId="42E14616" w14:textId="77777777" w:rsidR="007B1BAC" w:rsidRPr="00801A36" w:rsidRDefault="007B1BAC" w:rsidP="00801A36">
            <w:pPr>
              <w:spacing w:after="0" w:line="240" w:lineRule="auto"/>
              <w:jc w:val="center"/>
              <w:rPr>
                <w:rFonts w:ascii="Times New Roman" w:eastAsia="Times New Roman" w:hAnsi="Times New Roman" w:cs="Times New Roman"/>
                <w:color w:val="000000"/>
                <w:kern w:val="0"/>
                <w:sz w:val="19"/>
                <w:szCs w:val="19"/>
                <w:lang w:eastAsia="en-IN"/>
                <w14:ligatures w14:val="none"/>
              </w:rPr>
            </w:pPr>
            <w:r w:rsidRPr="00801A36">
              <w:rPr>
                <w:rFonts w:ascii="Times New Roman" w:eastAsia="Times New Roman" w:hAnsi="Times New Roman" w:cs="Times New Roman"/>
                <w:color w:val="000000"/>
                <w:kern w:val="0"/>
                <w:sz w:val="19"/>
                <w:szCs w:val="19"/>
                <w:lang w:eastAsia="en-IN"/>
                <w14:ligatures w14:val="none"/>
              </w:rPr>
              <w:t>969.99</w:t>
            </w:r>
          </w:p>
        </w:tc>
        <w:tc>
          <w:tcPr>
            <w:tcW w:w="1084" w:type="dxa"/>
            <w:tcBorders>
              <w:top w:val="nil"/>
              <w:left w:val="nil"/>
              <w:bottom w:val="single" w:sz="4" w:space="0" w:color="auto"/>
              <w:right w:val="single" w:sz="4" w:space="0" w:color="auto"/>
            </w:tcBorders>
            <w:noWrap/>
            <w:vAlign w:val="center"/>
            <w:hideMark/>
          </w:tcPr>
          <w:p w14:paraId="574A8003" w14:textId="77777777" w:rsidR="007B1BAC" w:rsidRPr="00801A36" w:rsidRDefault="007B1BAC" w:rsidP="00801A36">
            <w:pPr>
              <w:spacing w:after="0" w:line="240" w:lineRule="auto"/>
              <w:jc w:val="center"/>
              <w:rPr>
                <w:rFonts w:ascii="Times New Roman" w:eastAsia="Times New Roman" w:hAnsi="Times New Roman" w:cs="Times New Roman"/>
                <w:color w:val="000000"/>
                <w:kern w:val="0"/>
                <w:sz w:val="19"/>
                <w:szCs w:val="19"/>
                <w:lang w:eastAsia="en-IN"/>
                <w14:ligatures w14:val="none"/>
              </w:rPr>
            </w:pPr>
            <w:r w:rsidRPr="00801A36">
              <w:rPr>
                <w:rFonts w:ascii="Times New Roman" w:eastAsia="Times New Roman" w:hAnsi="Times New Roman" w:cs="Times New Roman"/>
                <w:color w:val="000000"/>
                <w:kern w:val="0"/>
                <w:sz w:val="19"/>
                <w:szCs w:val="19"/>
                <w:lang w:eastAsia="en-IN"/>
                <w14:ligatures w14:val="none"/>
              </w:rPr>
              <w:t>898.66</w:t>
            </w:r>
          </w:p>
        </w:tc>
        <w:tc>
          <w:tcPr>
            <w:tcW w:w="1070" w:type="dxa"/>
            <w:tcBorders>
              <w:top w:val="nil"/>
              <w:left w:val="nil"/>
              <w:bottom w:val="single" w:sz="4" w:space="0" w:color="auto"/>
              <w:right w:val="single" w:sz="4" w:space="0" w:color="auto"/>
            </w:tcBorders>
            <w:noWrap/>
            <w:vAlign w:val="center"/>
            <w:hideMark/>
          </w:tcPr>
          <w:p w14:paraId="601DD64B" w14:textId="77777777" w:rsidR="007B1BAC" w:rsidRPr="00801A36" w:rsidRDefault="007B1BAC" w:rsidP="00801A36">
            <w:pPr>
              <w:spacing w:after="0" w:line="240" w:lineRule="auto"/>
              <w:jc w:val="center"/>
              <w:rPr>
                <w:rFonts w:ascii="Times New Roman" w:eastAsia="Times New Roman" w:hAnsi="Times New Roman" w:cs="Times New Roman"/>
                <w:color w:val="000000"/>
                <w:kern w:val="0"/>
                <w:sz w:val="19"/>
                <w:szCs w:val="19"/>
                <w:lang w:eastAsia="en-IN"/>
                <w14:ligatures w14:val="none"/>
              </w:rPr>
            </w:pPr>
            <w:r w:rsidRPr="00801A36">
              <w:rPr>
                <w:rFonts w:ascii="Times New Roman" w:eastAsia="Times New Roman" w:hAnsi="Times New Roman" w:cs="Times New Roman"/>
                <w:color w:val="000000"/>
                <w:kern w:val="0"/>
                <w:sz w:val="19"/>
                <w:szCs w:val="19"/>
                <w:lang w:eastAsia="en-IN"/>
                <w14:ligatures w14:val="none"/>
              </w:rPr>
              <w:t>..</w:t>
            </w:r>
          </w:p>
        </w:tc>
        <w:tc>
          <w:tcPr>
            <w:tcW w:w="1196" w:type="dxa"/>
            <w:tcBorders>
              <w:top w:val="nil"/>
              <w:left w:val="nil"/>
              <w:bottom w:val="single" w:sz="4" w:space="0" w:color="auto"/>
              <w:right w:val="single" w:sz="4" w:space="0" w:color="auto"/>
            </w:tcBorders>
            <w:noWrap/>
            <w:vAlign w:val="center"/>
            <w:hideMark/>
          </w:tcPr>
          <w:p w14:paraId="73B2E7F7" w14:textId="77777777" w:rsidR="007B1BAC" w:rsidRPr="00801A36" w:rsidRDefault="007B1BAC" w:rsidP="00801A36">
            <w:pPr>
              <w:spacing w:after="0" w:line="240" w:lineRule="auto"/>
              <w:jc w:val="center"/>
              <w:rPr>
                <w:rFonts w:ascii="Times New Roman" w:eastAsia="Times New Roman" w:hAnsi="Times New Roman" w:cs="Times New Roman"/>
                <w:color w:val="000000"/>
                <w:kern w:val="0"/>
                <w:sz w:val="19"/>
                <w:szCs w:val="19"/>
                <w:lang w:eastAsia="en-IN"/>
                <w14:ligatures w14:val="none"/>
              </w:rPr>
            </w:pPr>
            <w:r w:rsidRPr="00801A36">
              <w:rPr>
                <w:rFonts w:ascii="Times New Roman" w:eastAsia="Times New Roman" w:hAnsi="Times New Roman" w:cs="Times New Roman"/>
                <w:color w:val="000000"/>
                <w:kern w:val="0"/>
                <w:sz w:val="19"/>
                <w:szCs w:val="19"/>
                <w:lang w:eastAsia="en-IN"/>
                <w14:ligatures w14:val="none"/>
              </w:rPr>
              <w:t>69.23</w:t>
            </w:r>
          </w:p>
        </w:tc>
        <w:tc>
          <w:tcPr>
            <w:tcW w:w="986" w:type="dxa"/>
            <w:tcBorders>
              <w:top w:val="nil"/>
              <w:left w:val="nil"/>
              <w:bottom w:val="single" w:sz="4" w:space="0" w:color="auto"/>
              <w:right w:val="single" w:sz="4" w:space="0" w:color="auto"/>
            </w:tcBorders>
            <w:noWrap/>
            <w:vAlign w:val="center"/>
            <w:hideMark/>
          </w:tcPr>
          <w:p w14:paraId="3179DE13" w14:textId="77777777" w:rsidR="007B1BAC" w:rsidRPr="00801A36" w:rsidRDefault="007B1BAC" w:rsidP="00801A36">
            <w:pPr>
              <w:spacing w:after="0" w:line="240" w:lineRule="auto"/>
              <w:jc w:val="center"/>
              <w:rPr>
                <w:rFonts w:ascii="Times New Roman" w:eastAsia="Times New Roman" w:hAnsi="Times New Roman" w:cs="Times New Roman"/>
                <w:color w:val="000000"/>
                <w:kern w:val="0"/>
                <w:sz w:val="19"/>
                <w:szCs w:val="19"/>
                <w:lang w:eastAsia="en-IN"/>
                <w14:ligatures w14:val="none"/>
              </w:rPr>
            </w:pPr>
            <w:r w:rsidRPr="00801A36">
              <w:rPr>
                <w:rFonts w:ascii="Times New Roman" w:eastAsia="Times New Roman" w:hAnsi="Times New Roman" w:cs="Times New Roman"/>
                <w:color w:val="000000"/>
                <w:kern w:val="0"/>
                <w:sz w:val="19"/>
                <w:szCs w:val="19"/>
                <w:lang w:eastAsia="en-IN"/>
                <w14:ligatures w14:val="none"/>
              </w:rPr>
              <w:t>967.89</w:t>
            </w:r>
          </w:p>
        </w:tc>
        <w:tc>
          <w:tcPr>
            <w:tcW w:w="1084" w:type="dxa"/>
            <w:tcBorders>
              <w:top w:val="nil"/>
              <w:left w:val="nil"/>
              <w:bottom w:val="single" w:sz="4" w:space="0" w:color="auto"/>
              <w:right w:val="single" w:sz="4" w:space="0" w:color="auto"/>
            </w:tcBorders>
            <w:noWrap/>
            <w:vAlign w:val="center"/>
            <w:hideMark/>
          </w:tcPr>
          <w:p w14:paraId="2B4955BF" w14:textId="77777777" w:rsidR="007B1BAC" w:rsidRPr="00801A36" w:rsidRDefault="007B1BAC" w:rsidP="00801A36">
            <w:pPr>
              <w:spacing w:after="0" w:line="240" w:lineRule="auto"/>
              <w:jc w:val="center"/>
              <w:rPr>
                <w:rFonts w:ascii="Times New Roman" w:eastAsia="Times New Roman" w:hAnsi="Times New Roman" w:cs="Times New Roman"/>
                <w:color w:val="000000"/>
                <w:kern w:val="0"/>
                <w:sz w:val="19"/>
                <w:szCs w:val="19"/>
                <w:lang w:eastAsia="en-IN"/>
                <w14:ligatures w14:val="none"/>
              </w:rPr>
            </w:pPr>
            <w:r w:rsidRPr="00801A36">
              <w:rPr>
                <w:rFonts w:ascii="Times New Roman" w:eastAsia="Times New Roman" w:hAnsi="Times New Roman" w:cs="Times New Roman"/>
                <w:color w:val="000000"/>
                <w:kern w:val="0"/>
                <w:sz w:val="19"/>
                <w:szCs w:val="19"/>
                <w:lang w:eastAsia="en-IN"/>
                <w14:ligatures w14:val="none"/>
              </w:rPr>
              <w:t>902.76</w:t>
            </w:r>
          </w:p>
        </w:tc>
        <w:tc>
          <w:tcPr>
            <w:tcW w:w="1070" w:type="dxa"/>
            <w:tcBorders>
              <w:top w:val="nil"/>
              <w:left w:val="nil"/>
              <w:bottom w:val="single" w:sz="4" w:space="0" w:color="auto"/>
              <w:right w:val="single" w:sz="4" w:space="0" w:color="auto"/>
            </w:tcBorders>
            <w:noWrap/>
            <w:vAlign w:val="center"/>
            <w:hideMark/>
          </w:tcPr>
          <w:p w14:paraId="376B47DF" w14:textId="77777777" w:rsidR="007B1BAC" w:rsidRPr="00801A36" w:rsidRDefault="007B1BAC" w:rsidP="00801A36">
            <w:pPr>
              <w:spacing w:after="0" w:line="240" w:lineRule="auto"/>
              <w:jc w:val="center"/>
              <w:rPr>
                <w:rFonts w:ascii="Times New Roman" w:eastAsia="Times New Roman" w:hAnsi="Times New Roman" w:cs="Times New Roman"/>
                <w:color w:val="000000"/>
                <w:kern w:val="0"/>
                <w:sz w:val="19"/>
                <w:szCs w:val="19"/>
                <w:lang w:eastAsia="en-IN"/>
                <w14:ligatures w14:val="none"/>
              </w:rPr>
            </w:pPr>
            <w:r w:rsidRPr="00801A36">
              <w:rPr>
                <w:rFonts w:ascii="Times New Roman" w:eastAsia="Times New Roman" w:hAnsi="Times New Roman" w:cs="Times New Roman"/>
                <w:color w:val="000000"/>
                <w:kern w:val="0"/>
                <w:sz w:val="19"/>
                <w:szCs w:val="19"/>
                <w:lang w:eastAsia="en-IN"/>
                <w14:ligatures w14:val="none"/>
              </w:rPr>
              <w:t>..</w:t>
            </w:r>
          </w:p>
        </w:tc>
        <w:tc>
          <w:tcPr>
            <w:tcW w:w="1196" w:type="dxa"/>
            <w:tcBorders>
              <w:top w:val="nil"/>
              <w:left w:val="nil"/>
              <w:bottom w:val="single" w:sz="4" w:space="0" w:color="auto"/>
              <w:right w:val="single" w:sz="4" w:space="0" w:color="auto"/>
            </w:tcBorders>
            <w:noWrap/>
            <w:vAlign w:val="center"/>
            <w:hideMark/>
          </w:tcPr>
          <w:p w14:paraId="29B0F46E" w14:textId="77777777" w:rsidR="007B1BAC" w:rsidRPr="00801A36" w:rsidRDefault="007B1BAC" w:rsidP="00801A36">
            <w:pPr>
              <w:spacing w:after="0" w:line="240" w:lineRule="auto"/>
              <w:jc w:val="center"/>
              <w:rPr>
                <w:rFonts w:ascii="Times New Roman" w:eastAsia="Times New Roman" w:hAnsi="Times New Roman" w:cs="Times New Roman"/>
                <w:color w:val="000000"/>
                <w:kern w:val="0"/>
                <w:sz w:val="19"/>
                <w:szCs w:val="19"/>
                <w:lang w:eastAsia="en-IN"/>
                <w14:ligatures w14:val="none"/>
              </w:rPr>
            </w:pPr>
            <w:r w:rsidRPr="00801A36">
              <w:rPr>
                <w:rFonts w:ascii="Times New Roman" w:eastAsia="Times New Roman" w:hAnsi="Times New Roman" w:cs="Times New Roman"/>
                <w:color w:val="000000"/>
                <w:kern w:val="0"/>
                <w:sz w:val="19"/>
                <w:szCs w:val="19"/>
                <w:lang w:eastAsia="en-IN"/>
                <w14:ligatures w14:val="none"/>
              </w:rPr>
              <w:t>69.23</w:t>
            </w:r>
          </w:p>
        </w:tc>
        <w:tc>
          <w:tcPr>
            <w:tcW w:w="986" w:type="dxa"/>
            <w:tcBorders>
              <w:top w:val="nil"/>
              <w:left w:val="nil"/>
              <w:bottom w:val="single" w:sz="4" w:space="0" w:color="auto"/>
              <w:right w:val="single" w:sz="4" w:space="0" w:color="auto"/>
            </w:tcBorders>
            <w:noWrap/>
            <w:vAlign w:val="center"/>
            <w:hideMark/>
          </w:tcPr>
          <w:p w14:paraId="049DDF34" w14:textId="77777777" w:rsidR="007B1BAC" w:rsidRPr="00801A36" w:rsidRDefault="007B1BAC" w:rsidP="00801A36">
            <w:pPr>
              <w:spacing w:after="0" w:line="240" w:lineRule="auto"/>
              <w:jc w:val="center"/>
              <w:rPr>
                <w:rFonts w:ascii="Times New Roman" w:eastAsia="Times New Roman" w:hAnsi="Times New Roman" w:cs="Times New Roman"/>
                <w:color w:val="000000"/>
                <w:kern w:val="0"/>
                <w:sz w:val="19"/>
                <w:szCs w:val="19"/>
                <w:lang w:eastAsia="en-IN"/>
                <w14:ligatures w14:val="none"/>
              </w:rPr>
            </w:pPr>
            <w:r w:rsidRPr="00801A36">
              <w:rPr>
                <w:rFonts w:ascii="Times New Roman" w:eastAsia="Times New Roman" w:hAnsi="Times New Roman" w:cs="Times New Roman"/>
                <w:color w:val="000000"/>
                <w:kern w:val="0"/>
                <w:sz w:val="19"/>
                <w:szCs w:val="19"/>
                <w:lang w:eastAsia="en-IN"/>
                <w14:ligatures w14:val="none"/>
              </w:rPr>
              <w:t>971.99</w:t>
            </w:r>
          </w:p>
        </w:tc>
      </w:tr>
      <w:tr w:rsidR="007B1BAC" w:rsidRPr="00801A36" w14:paraId="1A3E4483" w14:textId="77777777" w:rsidTr="00801A36">
        <w:trPr>
          <w:trHeight w:val="20"/>
          <w:jc w:val="center"/>
        </w:trPr>
        <w:tc>
          <w:tcPr>
            <w:tcW w:w="618" w:type="dxa"/>
            <w:tcBorders>
              <w:top w:val="nil"/>
              <w:left w:val="single" w:sz="4" w:space="0" w:color="auto"/>
              <w:bottom w:val="single" w:sz="4" w:space="0" w:color="auto"/>
              <w:right w:val="single" w:sz="4" w:space="0" w:color="auto"/>
            </w:tcBorders>
            <w:noWrap/>
            <w:vAlign w:val="bottom"/>
            <w:hideMark/>
          </w:tcPr>
          <w:p w14:paraId="0C9830A6" w14:textId="77777777" w:rsidR="007B1BAC" w:rsidRPr="00801A36" w:rsidRDefault="007B1BAC" w:rsidP="007B1BAC">
            <w:pPr>
              <w:spacing w:after="0" w:line="240" w:lineRule="auto"/>
              <w:jc w:val="right"/>
              <w:rPr>
                <w:rFonts w:ascii="Times New Roman" w:eastAsia="Times New Roman" w:hAnsi="Times New Roman" w:cs="Times New Roman"/>
                <w:color w:val="000000"/>
                <w:kern w:val="0"/>
                <w:sz w:val="19"/>
                <w:szCs w:val="19"/>
                <w:lang w:eastAsia="en-IN"/>
                <w14:ligatures w14:val="none"/>
              </w:rPr>
            </w:pPr>
            <w:r w:rsidRPr="00801A36">
              <w:rPr>
                <w:rFonts w:ascii="Times New Roman" w:eastAsia="Times New Roman" w:hAnsi="Times New Roman" w:cs="Times New Roman"/>
                <w:color w:val="000000"/>
                <w:kern w:val="0"/>
                <w:sz w:val="19"/>
                <w:szCs w:val="19"/>
                <w:lang w:eastAsia="en-IN"/>
                <w14:ligatures w14:val="none"/>
              </w:rPr>
              <w:t>4</w:t>
            </w:r>
          </w:p>
        </w:tc>
        <w:tc>
          <w:tcPr>
            <w:tcW w:w="1680" w:type="dxa"/>
            <w:tcBorders>
              <w:top w:val="nil"/>
              <w:left w:val="nil"/>
              <w:bottom w:val="single" w:sz="4" w:space="0" w:color="auto"/>
              <w:right w:val="single" w:sz="4" w:space="0" w:color="auto"/>
            </w:tcBorders>
            <w:noWrap/>
            <w:vAlign w:val="bottom"/>
            <w:hideMark/>
          </w:tcPr>
          <w:p w14:paraId="458F0C9F" w14:textId="77777777" w:rsidR="007B1BAC" w:rsidRPr="00801A36" w:rsidRDefault="007B1BAC" w:rsidP="007B1BAC">
            <w:pPr>
              <w:spacing w:after="0" w:line="240" w:lineRule="auto"/>
              <w:rPr>
                <w:rFonts w:ascii="Times New Roman" w:eastAsia="Times New Roman" w:hAnsi="Times New Roman" w:cs="Times New Roman"/>
                <w:color w:val="000000"/>
                <w:kern w:val="0"/>
                <w:sz w:val="19"/>
                <w:szCs w:val="19"/>
                <w:lang w:eastAsia="en-IN"/>
                <w14:ligatures w14:val="none"/>
              </w:rPr>
            </w:pPr>
            <w:r w:rsidRPr="00801A36">
              <w:rPr>
                <w:rFonts w:ascii="Times New Roman" w:eastAsia="Times New Roman" w:hAnsi="Times New Roman" w:cs="Times New Roman"/>
                <w:color w:val="000000"/>
                <w:kern w:val="0"/>
                <w:sz w:val="19"/>
                <w:szCs w:val="19"/>
                <w:lang w:eastAsia="en-IN"/>
                <w14:ligatures w14:val="none"/>
              </w:rPr>
              <w:t>Gujarat</w:t>
            </w:r>
          </w:p>
        </w:tc>
        <w:tc>
          <w:tcPr>
            <w:tcW w:w="1084" w:type="dxa"/>
            <w:tcBorders>
              <w:top w:val="nil"/>
              <w:left w:val="nil"/>
              <w:bottom w:val="single" w:sz="4" w:space="0" w:color="auto"/>
              <w:right w:val="single" w:sz="4" w:space="0" w:color="auto"/>
            </w:tcBorders>
            <w:noWrap/>
            <w:vAlign w:val="center"/>
            <w:hideMark/>
          </w:tcPr>
          <w:p w14:paraId="1BE41212" w14:textId="4540F7B0" w:rsidR="007B1BAC" w:rsidRPr="00801A36" w:rsidRDefault="007B1BAC" w:rsidP="00801A36">
            <w:pPr>
              <w:spacing w:after="0" w:line="240" w:lineRule="auto"/>
              <w:jc w:val="center"/>
              <w:rPr>
                <w:rFonts w:ascii="Times New Roman" w:eastAsia="Times New Roman" w:hAnsi="Times New Roman" w:cs="Times New Roman"/>
                <w:color w:val="000000"/>
                <w:kern w:val="0"/>
                <w:sz w:val="19"/>
                <w:szCs w:val="19"/>
                <w:lang w:eastAsia="en-IN"/>
                <w14:ligatures w14:val="none"/>
              </w:rPr>
            </w:pPr>
          </w:p>
        </w:tc>
        <w:tc>
          <w:tcPr>
            <w:tcW w:w="1070" w:type="dxa"/>
            <w:tcBorders>
              <w:top w:val="nil"/>
              <w:left w:val="nil"/>
              <w:bottom w:val="single" w:sz="4" w:space="0" w:color="auto"/>
              <w:right w:val="single" w:sz="4" w:space="0" w:color="auto"/>
            </w:tcBorders>
            <w:noWrap/>
            <w:vAlign w:val="center"/>
            <w:hideMark/>
          </w:tcPr>
          <w:p w14:paraId="1795FC02" w14:textId="686AE364" w:rsidR="007B1BAC" w:rsidRPr="00801A36" w:rsidRDefault="007B1BAC" w:rsidP="00801A36">
            <w:pPr>
              <w:spacing w:after="0" w:line="240" w:lineRule="auto"/>
              <w:jc w:val="center"/>
              <w:rPr>
                <w:rFonts w:ascii="Times New Roman" w:eastAsia="Times New Roman" w:hAnsi="Times New Roman" w:cs="Times New Roman"/>
                <w:color w:val="000000"/>
                <w:kern w:val="0"/>
                <w:sz w:val="19"/>
                <w:szCs w:val="19"/>
                <w:lang w:eastAsia="en-IN"/>
                <w14:ligatures w14:val="none"/>
              </w:rPr>
            </w:pPr>
          </w:p>
        </w:tc>
        <w:tc>
          <w:tcPr>
            <w:tcW w:w="1196" w:type="dxa"/>
            <w:tcBorders>
              <w:top w:val="nil"/>
              <w:left w:val="nil"/>
              <w:bottom w:val="single" w:sz="4" w:space="0" w:color="auto"/>
              <w:right w:val="single" w:sz="4" w:space="0" w:color="auto"/>
            </w:tcBorders>
            <w:noWrap/>
            <w:vAlign w:val="center"/>
            <w:hideMark/>
          </w:tcPr>
          <w:p w14:paraId="6FF1866E" w14:textId="67A265F7" w:rsidR="007B1BAC" w:rsidRPr="00801A36" w:rsidRDefault="007B1BAC" w:rsidP="00801A36">
            <w:pPr>
              <w:spacing w:after="0" w:line="240" w:lineRule="auto"/>
              <w:jc w:val="center"/>
              <w:rPr>
                <w:rFonts w:ascii="Times New Roman" w:eastAsia="Times New Roman" w:hAnsi="Times New Roman" w:cs="Times New Roman"/>
                <w:color w:val="000000"/>
                <w:kern w:val="0"/>
                <w:sz w:val="19"/>
                <w:szCs w:val="19"/>
                <w:lang w:eastAsia="en-IN"/>
                <w14:ligatures w14:val="none"/>
              </w:rPr>
            </w:pPr>
          </w:p>
        </w:tc>
        <w:tc>
          <w:tcPr>
            <w:tcW w:w="986" w:type="dxa"/>
            <w:tcBorders>
              <w:top w:val="nil"/>
              <w:left w:val="nil"/>
              <w:bottom w:val="single" w:sz="4" w:space="0" w:color="auto"/>
              <w:right w:val="single" w:sz="4" w:space="0" w:color="auto"/>
            </w:tcBorders>
            <w:noWrap/>
            <w:vAlign w:val="center"/>
            <w:hideMark/>
          </w:tcPr>
          <w:p w14:paraId="1FBF2286" w14:textId="5C2EB17C" w:rsidR="007B1BAC" w:rsidRPr="00801A36" w:rsidRDefault="007B1BAC" w:rsidP="00801A36">
            <w:pPr>
              <w:spacing w:after="0" w:line="240" w:lineRule="auto"/>
              <w:jc w:val="center"/>
              <w:rPr>
                <w:rFonts w:ascii="Times New Roman" w:eastAsia="Times New Roman" w:hAnsi="Times New Roman" w:cs="Times New Roman"/>
                <w:color w:val="000000"/>
                <w:kern w:val="0"/>
                <w:sz w:val="19"/>
                <w:szCs w:val="19"/>
                <w:lang w:eastAsia="en-IN"/>
                <w14:ligatures w14:val="none"/>
              </w:rPr>
            </w:pPr>
          </w:p>
        </w:tc>
        <w:tc>
          <w:tcPr>
            <w:tcW w:w="1084" w:type="dxa"/>
            <w:tcBorders>
              <w:top w:val="nil"/>
              <w:left w:val="nil"/>
              <w:bottom w:val="single" w:sz="4" w:space="0" w:color="auto"/>
              <w:right w:val="single" w:sz="4" w:space="0" w:color="auto"/>
            </w:tcBorders>
            <w:noWrap/>
            <w:vAlign w:val="center"/>
            <w:hideMark/>
          </w:tcPr>
          <w:p w14:paraId="029C2C33" w14:textId="065BCC73" w:rsidR="007B1BAC" w:rsidRPr="00801A36" w:rsidRDefault="007B1BAC" w:rsidP="00801A36">
            <w:pPr>
              <w:spacing w:after="0" w:line="240" w:lineRule="auto"/>
              <w:jc w:val="center"/>
              <w:rPr>
                <w:rFonts w:ascii="Times New Roman" w:eastAsia="Times New Roman" w:hAnsi="Times New Roman" w:cs="Times New Roman"/>
                <w:color w:val="000000"/>
                <w:kern w:val="0"/>
                <w:sz w:val="19"/>
                <w:szCs w:val="19"/>
                <w:lang w:eastAsia="en-IN"/>
                <w14:ligatures w14:val="none"/>
              </w:rPr>
            </w:pPr>
          </w:p>
        </w:tc>
        <w:tc>
          <w:tcPr>
            <w:tcW w:w="1070" w:type="dxa"/>
            <w:tcBorders>
              <w:top w:val="nil"/>
              <w:left w:val="nil"/>
              <w:bottom w:val="single" w:sz="4" w:space="0" w:color="auto"/>
              <w:right w:val="single" w:sz="4" w:space="0" w:color="auto"/>
            </w:tcBorders>
            <w:noWrap/>
            <w:vAlign w:val="center"/>
            <w:hideMark/>
          </w:tcPr>
          <w:p w14:paraId="3C5858E0" w14:textId="0ABF088F" w:rsidR="007B1BAC" w:rsidRPr="00801A36" w:rsidRDefault="007B1BAC" w:rsidP="00801A36">
            <w:pPr>
              <w:spacing w:after="0" w:line="240" w:lineRule="auto"/>
              <w:jc w:val="center"/>
              <w:rPr>
                <w:rFonts w:ascii="Times New Roman" w:eastAsia="Times New Roman" w:hAnsi="Times New Roman" w:cs="Times New Roman"/>
                <w:color w:val="000000"/>
                <w:kern w:val="0"/>
                <w:sz w:val="19"/>
                <w:szCs w:val="19"/>
                <w:lang w:eastAsia="en-IN"/>
                <w14:ligatures w14:val="none"/>
              </w:rPr>
            </w:pPr>
          </w:p>
        </w:tc>
        <w:tc>
          <w:tcPr>
            <w:tcW w:w="1196" w:type="dxa"/>
            <w:tcBorders>
              <w:top w:val="nil"/>
              <w:left w:val="nil"/>
              <w:bottom w:val="single" w:sz="4" w:space="0" w:color="auto"/>
              <w:right w:val="single" w:sz="4" w:space="0" w:color="auto"/>
            </w:tcBorders>
            <w:noWrap/>
            <w:vAlign w:val="center"/>
            <w:hideMark/>
          </w:tcPr>
          <w:p w14:paraId="245653A2" w14:textId="5DB812F0" w:rsidR="007B1BAC" w:rsidRPr="00801A36" w:rsidRDefault="007B1BAC" w:rsidP="00801A36">
            <w:pPr>
              <w:spacing w:after="0" w:line="240" w:lineRule="auto"/>
              <w:jc w:val="center"/>
              <w:rPr>
                <w:rFonts w:ascii="Times New Roman" w:eastAsia="Times New Roman" w:hAnsi="Times New Roman" w:cs="Times New Roman"/>
                <w:color w:val="000000"/>
                <w:kern w:val="0"/>
                <w:sz w:val="19"/>
                <w:szCs w:val="19"/>
                <w:lang w:eastAsia="en-IN"/>
                <w14:ligatures w14:val="none"/>
              </w:rPr>
            </w:pPr>
          </w:p>
        </w:tc>
        <w:tc>
          <w:tcPr>
            <w:tcW w:w="986" w:type="dxa"/>
            <w:tcBorders>
              <w:top w:val="nil"/>
              <w:left w:val="nil"/>
              <w:bottom w:val="single" w:sz="4" w:space="0" w:color="auto"/>
              <w:right w:val="single" w:sz="4" w:space="0" w:color="auto"/>
            </w:tcBorders>
            <w:noWrap/>
            <w:vAlign w:val="center"/>
            <w:hideMark/>
          </w:tcPr>
          <w:p w14:paraId="1ED3388F" w14:textId="79BB7BD8" w:rsidR="007B1BAC" w:rsidRPr="00801A36" w:rsidRDefault="007B1BAC" w:rsidP="00801A36">
            <w:pPr>
              <w:spacing w:after="0" w:line="240" w:lineRule="auto"/>
              <w:jc w:val="center"/>
              <w:rPr>
                <w:rFonts w:ascii="Times New Roman" w:eastAsia="Times New Roman" w:hAnsi="Times New Roman" w:cs="Times New Roman"/>
                <w:color w:val="000000"/>
                <w:kern w:val="0"/>
                <w:sz w:val="19"/>
                <w:szCs w:val="19"/>
                <w:lang w:eastAsia="en-IN"/>
                <w14:ligatures w14:val="none"/>
              </w:rPr>
            </w:pPr>
          </w:p>
        </w:tc>
        <w:tc>
          <w:tcPr>
            <w:tcW w:w="1084" w:type="dxa"/>
            <w:tcBorders>
              <w:top w:val="nil"/>
              <w:left w:val="nil"/>
              <w:bottom w:val="single" w:sz="4" w:space="0" w:color="auto"/>
              <w:right w:val="single" w:sz="4" w:space="0" w:color="auto"/>
            </w:tcBorders>
            <w:noWrap/>
            <w:vAlign w:val="center"/>
            <w:hideMark/>
          </w:tcPr>
          <w:p w14:paraId="282D7D19" w14:textId="288AF492" w:rsidR="007B1BAC" w:rsidRPr="00801A36" w:rsidRDefault="007B1BAC" w:rsidP="00801A36">
            <w:pPr>
              <w:spacing w:after="0" w:line="240" w:lineRule="auto"/>
              <w:jc w:val="center"/>
              <w:rPr>
                <w:rFonts w:ascii="Times New Roman" w:eastAsia="Times New Roman" w:hAnsi="Times New Roman" w:cs="Times New Roman"/>
                <w:color w:val="000000"/>
                <w:kern w:val="0"/>
                <w:sz w:val="19"/>
                <w:szCs w:val="19"/>
                <w:lang w:eastAsia="en-IN"/>
                <w14:ligatures w14:val="none"/>
              </w:rPr>
            </w:pPr>
          </w:p>
        </w:tc>
        <w:tc>
          <w:tcPr>
            <w:tcW w:w="1070" w:type="dxa"/>
            <w:tcBorders>
              <w:top w:val="nil"/>
              <w:left w:val="nil"/>
              <w:bottom w:val="single" w:sz="4" w:space="0" w:color="auto"/>
              <w:right w:val="single" w:sz="4" w:space="0" w:color="auto"/>
            </w:tcBorders>
            <w:noWrap/>
            <w:vAlign w:val="center"/>
            <w:hideMark/>
          </w:tcPr>
          <w:p w14:paraId="7424F5EE" w14:textId="75D55C7A" w:rsidR="007B1BAC" w:rsidRPr="00801A36" w:rsidRDefault="007B1BAC" w:rsidP="00801A36">
            <w:pPr>
              <w:spacing w:after="0" w:line="240" w:lineRule="auto"/>
              <w:jc w:val="center"/>
              <w:rPr>
                <w:rFonts w:ascii="Times New Roman" w:eastAsia="Times New Roman" w:hAnsi="Times New Roman" w:cs="Times New Roman"/>
                <w:color w:val="000000"/>
                <w:kern w:val="0"/>
                <w:sz w:val="19"/>
                <w:szCs w:val="19"/>
                <w:lang w:eastAsia="en-IN"/>
                <w14:ligatures w14:val="none"/>
              </w:rPr>
            </w:pPr>
          </w:p>
        </w:tc>
        <w:tc>
          <w:tcPr>
            <w:tcW w:w="1196" w:type="dxa"/>
            <w:tcBorders>
              <w:top w:val="nil"/>
              <w:left w:val="nil"/>
              <w:bottom w:val="single" w:sz="4" w:space="0" w:color="auto"/>
              <w:right w:val="single" w:sz="4" w:space="0" w:color="auto"/>
            </w:tcBorders>
            <w:noWrap/>
            <w:vAlign w:val="center"/>
            <w:hideMark/>
          </w:tcPr>
          <w:p w14:paraId="48FBA119" w14:textId="1549B38D" w:rsidR="007B1BAC" w:rsidRPr="00801A36" w:rsidRDefault="007B1BAC" w:rsidP="00801A36">
            <w:pPr>
              <w:spacing w:after="0" w:line="240" w:lineRule="auto"/>
              <w:jc w:val="center"/>
              <w:rPr>
                <w:rFonts w:ascii="Times New Roman" w:eastAsia="Times New Roman" w:hAnsi="Times New Roman" w:cs="Times New Roman"/>
                <w:color w:val="000000"/>
                <w:kern w:val="0"/>
                <w:sz w:val="19"/>
                <w:szCs w:val="19"/>
                <w:lang w:eastAsia="en-IN"/>
                <w14:ligatures w14:val="none"/>
              </w:rPr>
            </w:pPr>
          </w:p>
        </w:tc>
        <w:tc>
          <w:tcPr>
            <w:tcW w:w="986" w:type="dxa"/>
            <w:tcBorders>
              <w:top w:val="nil"/>
              <w:left w:val="nil"/>
              <w:bottom w:val="single" w:sz="4" w:space="0" w:color="auto"/>
              <w:right w:val="single" w:sz="4" w:space="0" w:color="auto"/>
            </w:tcBorders>
            <w:noWrap/>
            <w:vAlign w:val="center"/>
            <w:hideMark/>
          </w:tcPr>
          <w:p w14:paraId="78601CD0" w14:textId="4779EC2F" w:rsidR="007B1BAC" w:rsidRPr="00801A36" w:rsidRDefault="007B1BAC" w:rsidP="00801A36">
            <w:pPr>
              <w:spacing w:after="0" w:line="240" w:lineRule="auto"/>
              <w:jc w:val="center"/>
              <w:rPr>
                <w:rFonts w:ascii="Times New Roman" w:eastAsia="Times New Roman" w:hAnsi="Times New Roman" w:cs="Times New Roman"/>
                <w:color w:val="000000"/>
                <w:kern w:val="0"/>
                <w:sz w:val="19"/>
                <w:szCs w:val="19"/>
                <w:lang w:eastAsia="en-IN"/>
                <w14:ligatures w14:val="none"/>
              </w:rPr>
            </w:pPr>
          </w:p>
        </w:tc>
      </w:tr>
      <w:tr w:rsidR="007B1BAC" w:rsidRPr="00801A36" w14:paraId="0902E710" w14:textId="77777777" w:rsidTr="00801A36">
        <w:trPr>
          <w:trHeight w:val="20"/>
          <w:jc w:val="center"/>
        </w:trPr>
        <w:tc>
          <w:tcPr>
            <w:tcW w:w="618" w:type="dxa"/>
            <w:tcBorders>
              <w:top w:val="nil"/>
              <w:left w:val="single" w:sz="4" w:space="0" w:color="auto"/>
              <w:bottom w:val="single" w:sz="4" w:space="0" w:color="auto"/>
              <w:right w:val="single" w:sz="4" w:space="0" w:color="auto"/>
            </w:tcBorders>
            <w:noWrap/>
            <w:vAlign w:val="bottom"/>
            <w:hideMark/>
          </w:tcPr>
          <w:p w14:paraId="61D70D43" w14:textId="77777777" w:rsidR="007B1BAC" w:rsidRPr="00801A36" w:rsidRDefault="007B1BAC" w:rsidP="007B1BAC">
            <w:pPr>
              <w:spacing w:after="0" w:line="240" w:lineRule="auto"/>
              <w:rPr>
                <w:rFonts w:ascii="Times New Roman" w:eastAsia="Times New Roman" w:hAnsi="Times New Roman" w:cs="Times New Roman"/>
                <w:color w:val="000000"/>
                <w:kern w:val="0"/>
                <w:sz w:val="19"/>
                <w:szCs w:val="19"/>
                <w:lang w:eastAsia="en-IN"/>
                <w14:ligatures w14:val="none"/>
              </w:rPr>
            </w:pPr>
            <w:r w:rsidRPr="00801A36">
              <w:rPr>
                <w:rFonts w:ascii="Times New Roman" w:eastAsia="Times New Roman" w:hAnsi="Times New Roman" w:cs="Times New Roman"/>
                <w:color w:val="000000"/>
                <w:kern w:val="0"/>
                <w:sz w:val="19"/>
                <w:szCs w:val="19"/>
                <w:lang w:eastAsia="en-IN"/>
                <w14:ligatures w14:val="none"/>
              </w:rPr>
              <w:t> </w:t>
            </w:r>
          </w:p>
        </w:tc>
        <w:tc>
          <w:tcPr>
            <w:tcW w:w="1680" w:type="dxa"/>
            <w:tcBorders>
              <w:top w:val="nil"/>
              <w:left w:val="nil"/>
              <w:bottom w:val="single" w:sz="4" w:space="0" w:color="auto"/>
              <w:right w:val="single" w:sz="4" w:space="0" w:color="auto"/>
            </w:tcBorders>
            <w:noWrap/>
            <w:vAlign w:val="bottom"/>
            <w:hideMark/>
          </w:tcPr>
          <w:p w14:paraId="12249B9C" w14:textId="77777777" w:rsidR="007B1BAC" w:rsidRPr="00801A36" w:rsidRDefault="007B1BAC" w:rsidP="007B1BAC">
            <w:pPr>
              <w:spacing w:after="0" w:line="240" w:lineRule="auto"/>
              <w:rPr>
                <w:rFonts w:ascii="Times New Roman" w:eastAsia="Times New Roman" w:hAnsi="Times New Roman" w:cs="Times New Roman"/>
                <w:color w:val="000000"/>
                <w:kern w:val="0"/>
                <w:sz w:val="19"/>
                <w:szCs w:val="19"/>
                <w:lang w:eastAsia="en-IN"/>
                <w14:ligatures w14:val="none"/>
              </w:rPr>
            </w:pPr>
            <w:r w:rsidRPr="00801A36">
              <w:rPr>
                <w:rFonts w:ascii="Times New Roman" w:eastAsia="Times New Roman" w:hAnsi="Times New Roman" w:cs="Times New Roman"/>
                <w:color w:val="000000"/>
                <w:kern w:val="0"/>
                <w:sz w:val="19"/>
                <w:szCs w:val="19"/>
                <w:lang w:eastAsia="en-IN"/>
                <w14:ligatures w14:val="none"/>
              </w:rPr>
              <w:t>Northern</w:t>
            </w:r>
          </w:p>
        </w:tc>
        <w:tc>
          <w:tcPr>
            <w:tcW w:w="1084" w:type="dxa"/>
            <w:tcBorders>
              <w:top w:val="nil"/>
              <w:left w:val="nil"/>
              <w:bottom w:val="single" w:sz="4" w:space="0" w:color="auto"/>
              <w:right w:val="single" w:sz="4" w:space="0" w:color="auto"/>
            </w:tcBorders>
            <w:noWrap/>
            <w:vAlign w:val="center"/>
            <w:hideMark/>
          </w:tcPr>
          <w:p w14:paraId="2172621A" w14:textId="77777777" w:rsidR="007B1BAC" w:rsidRPr="00801A36" w:rsidRDefault="007B1BAC" w:rsidP="00801A36">
            <w:pPr>
              <w:spacing w:after="0" w:line="240" w:lineRule="auto"/>
              <w:jc w:val="center"/>
              <w:rPr>
                <w:rFonts w:ascii="Times New Roman" w:eastAsia="Times New Roman" w:hAnsi="Times New Roman" w:cs="Times New Roman"/>
                <w:color w:val="000000"/>
                <w:kern w:val="0"/>
                <w:sz w:val="19"/>
                <w:szCs w:val="19"/>
                <w:lang w:eastAsia="en-IN"/>
                <w14:ligatures w14:val="none"/>
              </w:rPr>
            </w:pPr>
            <w:r w:rsidRPr="00801A36">
              <w:rPr>
                <w:rFonts w:ascii="Times New Roman" w:eastAsia="Times New Roman" w:hAnsi="Times New Roman" w:cs="Times New Roman"/>
                <w:color w:val="000000"/>
                <w:kern w:val="0"/>
                <w:sz w:val="19"/>
                <w:szCs w:val="19"/>
                <w:lang w:eastAsia="en-IN"/>
                <w14:ligatures w14:val="none"/>
              </w:rPr>
              <w:t>..</w:t>
            </w:r>
          </w:p>
        </w:tc>
        <w:tc>
          <w:tcPr>
            <w:tcW w:w="1070" w:type="dxa"/>
            <w:tcBorders>
              <w:top w:val="nil"/>
              <w:left w:val="nil"/>
              <w:bottom w:val="single" w:sz="4" w:space="0" w:color="auto"/>
              <w:right w:val="single" w:sz="4" w:space="0" w:color="auto"/>
            </w:tcBorders>
            <w:noWrap/>
            <w:vAlign w:val="center"/>
            <w:hideMark/>
          </w:tcPr>
          <w:p w14:paraId="3C2A3C4A" w14:textId="77777777" w:rsidR="007B1BAC" w:rsidRPr="00801A36" w:rsidRDefault="007B1BAC" w:rsidP="00801A36">
            <w:pPr>
              <w:spacing w:after="0" w:line="240" w:lineRule="auto"/>
              <w:jc w:val="center"/>
              <w:rPr>
                <w:rFonts w:ascii="Times New Roman" w:eastAsia="Times New Roman" w:hAnsi="Times New Roman" w:cs="Times New Roman"/>
                <w:color w:val="000000"/>
                <w:kern w:val="0"/>
                <w:sz w:val="19"/>
                <w:szCs w:val="19"/>
                <w:lang w:eastAsia="en-IN"/>
                <w14:ligatures w14:val="none"/>
              </w:rPr>
            </w:pPr>
            <w:r w:rsidRPr="00801A36">
              <w:rPr>
                <w:rFonts w:ascii="Times New Roman" w:eastAsia="Times New Roman" w:hAnsi="Times New Roman" w:cs="Times New Roman"/>
                <w:color w:val="000000"/>
                <w:kern w:val="0"/>
                <w:sz w:val="19"/>
                <w:szCs w:val="19"/>
                <w:lang w:eastAsia="en-IN"/>
                <w14:ligatures w14:val="none"/>
              </w:rPr>
              <w:t>58.92</w:t>
            </w:r>
          </w:p>
        </w:tc>
        <w:tc>
          <w:tcPr>
            <w:tcW w:w="1196" w:type="dxa"/>
            <w:tcBorders>
              <w:top w:val="nil"/>
              <w:left w:val="nil"/>
              <w:bottom w:val="single" w:sz="4" w:space="0" w:color="auto"/>
              <w:right w:val="single" w:sz="4" w:space="0" w:color="auto"/>
            </w:tcBorders>
            <w:noWrap/>
            <w:vAlign w:val="center"/>
            <w:hideMark/>
          </w:tcPr>
          <w:p w14:paraId="3B57A93E" w14:textId="77777777" w:rsidR="007B1BAC" w:rsidRPr="00801A36" w:rsidRDefault="007B1BAC" w:rsidP="00801A36">
            <w:pPr>
              <w:spacing w:after="0" w:line="240" w:lineRule="auto"/>
              <w:jc w:val="center"/>
              <w:rPr>
                <w:rFonts w:ascii="Times New Roman" w:eastAsia="Times New Roman" w:hAnsi="Times New Roman" w:cs="Times New Roman"/>
                <w:color w:val="000000"/>
                <w:kern w:val="0"/>
                <w:sz w:val="19"/>
                <w:szCs w:val="19"/>
                <w:lang w:eastAsia="en-IN"/>
                <w14:ligatures w14:val="none"/>
              </w:rPr>
            </w:pPr>
            <w:r w:rsidRPr="00801A36">
              <w:rPr>
                <w:rFonts w:ascii="Times New Roman" w:eastAsia="Times New Roman" w:hAnsi="Times New Roman" w:cs="Times New Roman"/>
                <w:color w:val="000000"/>
                <w:kern w:val="0"/>
                <w:sz w:val="19"/>
                <w:szCs w:val="19"/>
                <w:lang w:eastAsia="en-IN"/>
                <w14:ligatures w14:val="none"/>
              </w:rPr>
              <w:t>..</w:t>
            </w:r>
          </w:p>
        </w:tc>
        <w:tc>
          <w:tcPr>
            <w:tcW w:w="986" w:type="dxa"/>
            <w:tcBorders>
              <w:top w:val="nil"/>
              <w:left w:val="nil"/>
              <w:bottom w:val="single" w:sz="4" w:space="0" w:color="auto"/>
              <w:right w:val="single" w:sz="4" w:space="0" w:color="auto"/>
            </w:tcBorders>
            <w:noWrap/>
            <w:vAlign w:val="center"/>
            <w:hideMark/>
          </w:tcPr>
          <w:p w14:paraId="2D047881" w14:textId="77777777" w:rsidR="007B1BAC" w:rsidRPr="00801A36" w:rsidRDefault="007B1BAC" w:rsidP="00801A36">
            <w:pPr>
              <w:spacing w:after="0" w:line="240" w:lineRule="auto"/>
              <w:jc w:val="center"/>
              <w:rPr>
                <w:rFonts w:ascii="Times New Roman" w:eastAsia="Times New Roman" w:hAnsi="Times New Roman" w:cs="Times New Roman"/>
                <w:color w:val="000000"/>
                <w:kern w:val="0"/>
                <w:sz w:val="19"/>
                <w:szCs w:val="19"/>
                <w:lang w:eastAsia="en-IN"/>
                <w14:ligatures w14:val="none"/>
              </w:rPr>
            </w:pPr>
            <w:r w:rsidRPr="00801A36">
              <w:rPr>
                <w:rFonts w:ascii="Times New Roman" w:eastAsia="Times New Roman" w:hAnsi="Times New Roman" w:cs="Times New Roman"/>
                <w:color w:val="000000"/>
                <w:kern w:val="0"/>
                <w:sz w:val="19"/>
                <w:szCs w:val="19"/>
                <w:lang w:eastAsia="en-IN"/>
                <w14:ligatures w14:val="none"/>
              </w:rPr>
              <w:t>58.92</w:t>
            </w:r>
          </w:p>
        </w:tc>
        <w:tc>
          <w:tcPr>
            <w:tcW w:w="1084" w:type="dxa"/>
            <w:tcBorders>
              <w:top w:val="nil"/>
              <w:left w:val="nil"/>
              <w:bottom w:val="single" w:sz="4" w:space="0" w:color="auto"/>
              <w:right w:val="single" w:sz="4" w:space="0" w:color="auto"/>
            </w:tcBorders>
            <w:noWrap/>
            <w:vAlign w:val="center"/>
            <w:hideMark/>
          </w:tcPr>
          <w:p w14:paraId="1F8FC38F" w14:textId="77777777" w:rsidR="007B1BAC" w:rsidRPr="00801A36" w:rsidRDefault="007B1BAC" w:rsidP="00801A36">
            <w:pPr>
              <w:spacing w:after="0" w:line="240" w:lineRule="auto"/>
              <w:jc w:val="center"/>
              <w:rPr>
                <w:rFonts w:ascii="Times New Roman" w:eastAsia="Times New Roman" w:hAnsi="Times New Roman" w:cs="Times New Roman"/>
                <w:color w:val="000000"/>
                <w:kern w:val="0"/>
                <w:sz w:val="19"/>
                <w:szCs w:val="19"/>
                <w:lang w:eastAsia="en-IN"/>
                <w14:ligatures w14:val="none"/>
              </w:rPr>
            </w:pPr>
            <w:r w:rsidRPr="00801A36">
              <w:rPr>
                <w:rFonts w:ascii="Times New Roman" w:eastAsia="Times New Roman" w:hAnsi="Times New Roman" w:cs="Times New Roman"/>
                <w:color w:val="000000"/>
                <w:kern w:val="0"/>
                <w:sz w:val="19"/>
                <w:szCs w:val="19"/>
                <w:lang w:eastAsia="en-IN"/>
                <w14:ligatures w14:val="none"/>
              </w:rPr>
              <w:t>..</w:t>
            </w:r>
          </w:p>
        </w:tc>
        <w:tc>
          <w:tcPr>
            <w:tcW w:w="1070" w:type="dxa"/>
            <w:tcBorders>
              <w:top w:val="nil"/>
              <w:left w:val="nil"/>
              <w:bottom w:val="single" w:sz="4" w:space="0" w:color="auto"/>
              <w:right w:val="single" w:sz="4" w:space="0" w:color="auto"/>
            </w:tcBorders>
            <w:noWrap/>
            <w:vAlign w:val="center"/>
            <w:hideMark/>
          </w:tcPr>
          <w:p w14:paraId="694DFE7E" w14:textId="77777777" w:rsidR="007B1BAC" w:rsidRPr="00801A36" w:rsidRDefault="007B1BAC" w:rsidP="00801A36">
            <w:pPr>
              <w:spacing w:after="0" w:line="240" w:lineRule="auto"/>
              <w:jc w:val="center"/>
              <w:rPr>
                <w:rFonts w:ascii="Times New Roman" w:eastAsia="Times New Roman" w:hAnsi="Times New Roman" w:cs="Times New Roman"/>
                <w:color w:val="000000"/>
                <w:kern w:val="0"/>
                <w:sz w:val="19"/>
                <w:szCs w:val="19"/>
                <w:lang w:eastAsia="en-IN"/>
                <w14:ligatures w14:val="none"/>
              </w:rPr>
            </w:pPr>
            <w:r w:rsidRPr="00801A36">
              <w:rPr>
                <w:rFonts w:ascii="Times New Roman" w:eastAsia="Times New Roman" w:hAnsi="Times New Roman" w:cs="Times New Roman"/>
                <w:color w:val="000000"/>
                <w:kern w:val="0"/>
                <w:sz w:val="19"/>
                <w:szCs w:val="19"/>
                <w:lang w:eastAsia="en-IN"/>
                <w14:ligatures w14:val="none"/>
              </w:rPr>
              <w:t>58.92</w:t>
            </w:r>
          </w:p>
        </w:tc>
        <w:tc>
          <w:tcPr>
            <w:tcW w:w="1196" w:type="dxa"/>
            <w:tcBorders>
              <w:top w:val="nil"/>
              <w:left w:val="nil"/>
              <w:bottom w:val="single" w:sz="4" w:space="0" w:color="auto"/>
              <w:right w:val="single" w:sz="4" w:space="0" w:color="auto"/>
            </w:tcBorders>
            <w:noWrap/>
            <w:vAlign w:val="center"/>
            <w:hideMark/>
          </w:tcPr>
          <w:p w14:paraId="702914CB" w14:textId="77777777" w:rsidR="007B1BAC" w:rsidRPr="00801A36" w:rsidRDefault="007B1BAC" w:rsidP="00801A36">
            <w:pPr>
              <w:spacing w:after="0" w:line="240" w:lineRule="auto"/>
              <w:jc w:val="center"/>
              <w:rPr>
                <w:rFonts w:ascii="Times New Roman" w:eastAsia="Times New Roman" w:hAnsi="Times New Roman" w:cs="Times New Roman"/>
                <w:color w:val="000000"/>
                <w:kern w:val="0"/>
                <w:sz w:val="19"/>
                <w:szCs w:val="19"/>
                <w:lang w:eastAsia="en-IN"/>
                <w14:ligatures w14:val="none"/>
              </w:rPr>
            </w:pPr>
            <w:r w:rsidRPr="00801A36">
              <w:rPr>
                <w:rFonts w:ascii="Times New Roman" w:eastAsia="Times New Roman" w:hAnsi="Times New Roman" w:cs="Times New Roman"/>
                <w:color w:val="000000"/>
                <w:kern w:val="0"/>
                <w:sz w:val="19"/>
                <w:szCs w:val="19"/>
                <w:lang w:eastAsia="en-IN"/>
                <w14:ligatures w14:val="none"/>
              </w:rPr>
              <w:t>..</w:t>
            </w:r>
          </w:p>
        </w:tc>
        <w:tc>
          <w:tcPr>
            <w:tcW w:w="986" w:type="dxa"/>
            <w:tcBorders>
              <w:top w:val="nil"/>
              <w:left w:val="nil"/>
              <w:bottom w:val="single" w:sz="4" w:space="0" w:color="auto"/>
              <w:right w:val="single" w:sz="4" w:space="0" w:color="auto"/>
            </w:tcBorders>
            <w:noWrap/>
            <w:vAlign w:val="center"/>
            <w:hideMark/>
          </w:tcPr>
          <w:p w14:paraId="730F9499" w14:textId="77777777" w:rsidR="007B1BAC" w:rsidRPr="00801A36" w:rsidRDefault="007B1BAC" w:rsidP="00801A36">
            <w:pPr>
              <w:spacing w:after="0" w:line="240" w:lineRule="auto"/>
              <w:jc w:val="center"/>
              <w:rPr>
                <w:rFonts w:ascii="Times New Roman" w:eastAsia="Times New Roman" w:hAnsi="Times New Roman" w:cs="Times New Roman"/>
                <w:color w:val="000000"/>
                <w:kern w:val="0"/>
                <w:sz w:val="19"/>
                <w:szCs w:val="19"/>
                <w:lang w:eastAsia="en-IN"/>
                <w14:ligatures w14:val="none"/>
              </w:rPr>
            </w:pPr>
            <w:r w:rsidRPr="00801A36">
              <w:rPr>
                <w:rFonts w:ascii="Times New Roman" w:eastAsia="Times New Roman" w:hAnsi="Times New Roman" w:cs="Times New Roman"/>
                <w:color w:val="000000"/>
                <w:kern w:val="0"/>
                <w:sz w:val="19"/>
                <w:szCs w:val="19"/>
                <w:lang w:eastAsia="en-IN"/>
                <w14:ligatures w14:val="none"/>
              </w:rPr>
              <w:t>58.92</w:t>
            </w:r>
          </w:p>
        </w:tc>
        <w:tc>
          <w:tcPr>
            <w:tcW w:w="1084" w:type="dxa"/>
            <w:tcBorders>
              <w:top w:val="nil"/>
              <w:left w:val="nil"/>
              <w:bottom w:val="single" w:sz="4" w:space="0" w:color="auto"/>
              <w:right w:val="single" w:sz="4" w:space="0" w:color="auto"/>
            </w:tcBorders>
            <w:noWrap/>
            <w:vAlign w:val="center"/>
            <w:hideMark/>
          </w:tcPr>
          <w:p w14:paraId="37C49E4E" w14:textId="77777777" w:rsidR="007B1BAC" w:rsidRPr="00801A36" w:rsidRDefault="007B1BAC" w:rsidP="00801A36">
            <w:pPr>
              <w:spacing w:after="0" w:line="240" w:lineRule="auto"/>
              <w:jc w:val="center"/>
              <w:rPr>
                <w:rFonts w:ascii="Times New Roman" w:eastAsia="Times New Roman" w:hAnsi="Times New Roman" w:cs="Times New Roman"/>
                <w:color w:val="000000"/>
                <w:kern w:val="0"/>
                <w:sz w:val="19"/>
                <w:szCs w:val="19"/>
                <w:lang w:eastAsia="en-IN"/>
                <w14:ligatures w14:val="none"/>
              </w:rPr>
            </w:pPr>
            <w:r w:rsidRPr="00801A36">
              <w:rPr>
                <w:rFonts w:ascii="Times New Roman" w:eastAsia="Times New Roman" w:hAnsi="Times New Roman" w:cs="Times New Roman"/>
                <w:color w:val="000000"/>
                <w:kern w:val="0"/>
                <w:sz w:val="19"/>
                <w:szCs w:val="19"/>
                <w:lang w:eastAsia="en-IN"/>
                <w14:ligatures w14:val="none"/>
              </w:rPr>
              <w:t>..</w:t>
            </w:r>
          </w:p>
        </w:tc>
        <w:tc>
          <w:tcPr>
            <w:tcW w:w="1070" w:type="dxa"/>
            <w:tcBorders>
              <w:top w:val="nil"/>
              <w:left w:val="nil"/>
              <w:bottom w:val="single" w:sz="4" w:space="0" w:color="auto"/>
              <w:right w:val="single" w:sz="4" w:space="0" w:color="auto"/>
            </w:tcBorders>
            <w:noWrap/>
            <w:vAlign w:val="center"/>
            <w:hideMark/>
          </w:tcPr>
          <w:p w14:paraId="0CF9DF65" w14:textId="77777777" w:rsidR="007B1BAC" w:rsidRPr="00801A36" w:rsidRDefault="007B1BAC" w:rsidP="00801A36">
            <w:pPr>
              <w:spacing w:after="0" w:line="240" w:lineRule="auto"/>
              <w:jc w:val="center"/>
              <w:rPr>
                <w:rFonts w:ascii="Times New Roman" w:eastAsia="Times New Roman" w:hAnsi="Times New Roman" w:cs="Times New Roman"/>
                <w:color w:val="000000"/>
                <w:kern w:val="0"/>
                <w:sz w:val="19"/>
                <w:szCs w:val="19"/>
                <w:lang w:eastAsia="en-IN"/>
                <w14:ligatures w14:val="none"/>
              </w:rPr>
            </w:pPr>
            <w:r w:rsidRPr="00801A36">
              <w:rPr>
                <w:rFonts w:ascii="Times New Roman" w:eastAsia="Times New Roman" w:hAnsi="Times New Roman" w:cs="Times New Roman"/>
                <w:color w:val="000000"/>
                <w:kern w:val="0"/>
                <w:sz w:val="19"/>
                <w:szCs w:val="19"/>
                <w:lang w:eastAsia="en-IN"/>
                <w14:ligatures w14:val="none"/>
              </w:rPr>
              <w:t>53.63</w:t>
            </w:r>
          </w:p>
        </w:tc>
        <w:tc>
          <w:tcPr>
            <w:tcW w:w="1196" w:type="dxa"/>
            <w:tcBorders>
              <w:top w:val="nil"/>
              <w:left w:val="nil"/>
              <w:bottom w:val="single" w:sz="4" w:space="0" w:color="auto"/>
              <w:right w:val="single" w:sz="4" w:space="0" w:color="auto"/>
            </w:tcBorders>
            <w:noWrap/>
            <w:vAlign w:val="center"/>
            <w:hideMark/>
          </w:tcPr>
          <w:p w14:paraId="68FBDCFC" w14:textId="77777777" w:rsidR="007B1BAC" w:rsidRPr="00801A36" w:rsidRDefault="007B1BAC" w:rsidP="00801A36">
            <w:pPr>
              <w:spacing w:after="0" w:line="240" w:lineRule="auto"/>
              <w:jc w:val="center"/>
              <w:rPr>
                <w:rFonts w:ascii="Times New Roman" w:eastAsia="Times New Roman" w:hAnsi="Times New Roman" w:cs="Times New Roman"/>
                <w:color w:val="000000"/>
                <w:kern w:val="0"/>
                <w:sz w:val="19"/>
                <w:szCs w:val="19"/>
                <w:lang w:eastAsia="en-IN"/>
                <w14:ligatures w14:val="none"/>
              </w:rPr>
            </w:pPr>
            <w:r w:rsidRPr="00801A36">
              <w:rPr>
                <w:rFonts w:ascii="Times New Roman" w:eastAsia="Times New Roman" w:hAnsi="Times New Roman" w:cs="Times New Roman"/>
                <w:color w:val="000000"/>
                <w:kern w:val="0"/>
                <w:sz w:val="19"/>
                <w:szCs w:val="19"/>
                <w:lang w:eastAsia="en-IN"/>
                <w14:ligatures w14:val="none"/>
              </w:rPr>
              <w:t>..</w:t>
            </w:r>
          </w:p>
        </w:tc>
        <w:tc>
          <w:tcPr>
            <w:tcW w:w="986" w:type="dxa"/>
            <w:tcBorders>
              <w:top w:val="nil"/>
              <w:left w:val="nil"/>
              <w:bottom w:val="single" w:sz="4" w:space="0" w:color="auto"/>
              <w:right w:val="single" w:sz="4" w:space="0" w:color="auto"/>
            </w:tcBorders>
            <w:noWrap/>
            <w:vAlign w:val="center"/>
            <w:hideMark/>
          </w:tcPr>
          <w:p w14:paraId="2159B1B3" w14:textId="77777777" w:rsidR="007B1BAC" w:rsidRPr="00801A36" w:rsidRDefault="007B1BAC" w:rsidP="00801A36">
            <w:pPr>
              <w:spacing w:after="0" w:line="240" w:lineRule="auto"/>
              <w:jc w:val="center"/>
              <w:rPr>
                <w:rFonts w:ascii="Times New Roman" w:eastAsia="Times New Roman" w:hAnsi="Times New Roman" w:cs="Times New Roman"/>
                <w:color w:val="000000"/>
                <w:kern w:val="0"/>
                <w:sz w:val="19"/>
                <w:szCs w:val="19"/>
                <w:lang w:eastAsia="en-IN"/>
                <w14:ligatures w14:val="none"/>
              </w:rPr>
            </w:pPr>
            <w:r w:rsidRPr="00801A36">
              <w:rPr>
                <w:rFonts w:ascii="Times New Roman" w:eastAsia="Times New Roman" w:hAnsi="Times New Roman" w:cs="Times New Roman"/>
                <w:color w:val="000000"/>
                <w:kern w:val="0"/>
                <w:sz w:val="19"/>
                <w:szCs w:val="19"/>
                <w:lang w:eastAsia="en-IN"/>
                <w14:ligatures w14:val="none"/>
              </w:rPr>
              <w:t>53.63</w:t>
            </w:r>
          </w:p>
        </w:tc>
      </w:tr>
      <w:tr w:rsidR="007B1BAC" w:rsidRPr="00801A36" w14:paraId="20974288" w14:textId="77777777" w:rsidTr="00801A36">
        <w:trPr>
          <w:trHeight w:val="20"/>
          <w:jc w:val="center"/>
        </w:trPr>
        <w:tc>
          <w:tcPr>
            <w:tcW w:w="618" w:type="dxa"/>
            <w:tcBorders>
              <w:top w:val="nil"/>
              <w:left w:val="single" w:sz="4" w:space="0" w:color="auto"/>
              <w:bottom w:val="single" w:sz="4" w:space="0" w:color="auto"/>
              <w:right w:val="single" w:sz="4" w:space="0" w:color="auto"/>
            </w:tcBorders>
            <w:noWrap/>
            <w:vAlign w:val="bottom"/>
            <w:hideMark/>
          </w:tcPr>
          <w:p w14:paraId="4F670BC8" w14:textId="77777777" w:rsidR="007B1BAC" w:rsidRPr="00801A36" w:rsidRDefault="007B1BAC" w:rsidP="007B1BAC">
            <w:pPr>
              <w:spacing w:after="0" w:line="240" w:lineRule="auto"/>
              <w:rPr>
                <w:rFonts w:ascii="Times New Roman" w:eastAsia="Times New Roman" w:hAnsi="Times New Roman" w:cs="Times New Roman"/>
                <w:color w:val="000000"/>
                <w:kern w:val="0"/>
                <w:sz w:val="19"/>
                <w:szCs w:val="19"/>
                <w:lang w:eastAsia="en-IN"/>
                <w14:ligatures w14:val="none"/>
              </w:rPr>
            </w:pPr>
            <w:r w:rsidRPr="00801A36">
              <w:rPr>
                <w:rFonts w:ascii="Times New Roman" w:eastAsia="Times New Roman" w:hAnsi="Times New Roman" w:cs="Times New Roman"/>
                <w:color w:val="000000"/>
                <w:kern w:val="0"/>
                <w:sz w:val="19"/>
                <w:szCs w:val="19"/>
                <w:lang w:eastAsia="en-IN"/>
                <w14:ligatures w14:val="none"/>
              </w:rPr>
              <w:t> </w:t>
            </w:r>
          </w:p>
        </w:tc>
        <w:tc>
          <w:tcPr>
            <w:tcW w:w="1680" w:type="dxa"/>
            <w:tcBorders>
              <w:top w:val="nil"/>
              <w:left w:val="nil"/>
              <w:bottom w:val="single" w:sz="4" w:space="0" w:color="auto"/>
              <w:right w:val="single" w:sz="4" w:space="0" w:color="auto"/>
            </w:tcBorders>
            <w:noWrap/>
            <w:vAlign w:val="bottom"/>
            <w:hideMark/>
          </w:tcPr>
          <w:p w14:paraId="3F3BCF9F" w14:textId="77777777" w:rsidR="007B1BAC" w:rsidRPr="00801A36" w:rsidRDefault="007B1BAC" w:rsidP="007B1BAC">
            <w:pPr>
              <w:spacing w:after="0" w:line="240" w:lineRule="auto"/>
              <w:rPr>
                <w:rFonts w:ascii="Times New Roman" w:eastAsia="Times New Roman" w:hAnsi="Times New Roman" w:cs="Times New Roman"/>
                <w:color w:val="000000"/>
                <w:kern w:val="0"/>
                <w:sz w:val="19"/>
                <w:szCs w:val="19"/>
                <w:lang w:eastAsia="en-IN"/>
                <w14:ligatures w14:val="none"/>
              </w:rPr>
            </w:pPr>
            <w:r w:rsidRPr="00801A36">
              <w:rPr>
                <w:rFonts w:ascii="Times New Roman" w:eastAsia="Times New Roman" w:hAnsi="Times New Roman" w:cs="Times New Roman"/>
                <w:color w:val="000000"/>
                <w:kern w:val="0"/>
                <w:sz w:val="19"/>
                <w:szCs w:val="19"/>
                <w:lang w:eastAsia="en-IN"/>
                <w14:ligatures w14:val="none"/>
              </w:rPr>
              <w:t>Western</w:t>
            </w:r>
          </w:p>
        </w:tc>
        <w:tc>
          <w:tcPr>
            <w:tcW w:w="1084" w:type="dxa"/>
            <w:tcBorders>
              <w:top w:val="nil"/>
              <w:left w:val="nil"/>
              <w:bottom w:val="single" w:sz="4" w:space="0" w:color="auto"/>
              <w:right w:val="single" w:sz="4" w:space="0" w:color="auto"/>
            </w:tcBorders>
            <w:noWrap/>
            <w:vAlign w:val="center"/>
            <w:hideMark/>
          </w:tcPr>
          <w:p w14:paraId="7498EA0A" w14:textId="77777777" w:rsidR="007B1BAC" w:rsidRPr="00801A36" w:rsidRDefault="007B1BAC" w:rsidP="00801A36">
            <w:pPr>
              <w:spacing w:after="0" w:line="240" w:lineRule="auto"/>
              <w:jc w:val="center"/>
              <w:rPr>
                <w:rFonts w:ascii="Times New Roman" w:eastAsia="Times New Roman" w:hAnsi="Times New Roman" w:cs="Times New Roman"/>
                <w:color w:val="000000"/>
                <w:kern w:val="0"/>
                <w:sz w:val="19"/>
                <w:szCs w:val="19"/>
                <w:lang w:eastAsia="en-IN"/>
                <w14:ligatures w14:val="none"/>
              </w:rPr>
            </w:pPr>
            <w:r w:rsidRPr="00801A36">
              <w:rPr>
                <w:rFonts w:ascii="Times New Roman" w:eastAsia="Times New Roman" w:hAnsi="Times New Roman" w:cs="Times New Roman"/>
                <w:color w:val="000000"/>
                <w:kern w:val="0"/>
                <w:sz w:val="19"/>
                <w:szCs w:val="19"/>
                <w:lang w:eastAsia="en-IN"/>
                <w14:ligatures w14:val="none"/>
              </w:rPr>
              <w:t>903.18</w:t>
            </w:r>
          </w:p>
        </w:tc>
        <w:tc>
          <w:tcPr>
            <w:tcW w:w="1070" w:type="dxa"/>
            <w:tcBorders>
              <w:top w:val="nil"/>
              <w:left w:val="nil"/>
              <w:bottom w:val="single" w:sz="4" w:space="0" w:color="auto"/>
              <w:right w:val="single" w:sz="4" w:space="0" w:color="auto"/>
            </w:tcBorders>
            <w:noWrap/>
            <w:vAlign w:val="center"/>
            <w:hideMark/>
          </w:tcPr>
          <w:p w14:paraId="29577553" w14:textId="77777777" w:rsidR="007B1BAC" w:rsidRPr="00801A36" w:rsidRDefault="007B1BAC" w:rsidP="00801A36">
            <w:pPr>
              <w:spacing w:after="0" w:line="240" w:lineRule="auto"/>
              <w:jc w:val="center"/>
              <w:rPr>
                <w:rFonts w:ascii="Times New Roman" w:eastAsia="Times New Roman" w:hAnsi="Times New Roman" w:cs="Times New Roman"/>
                <w:color w:val="000000"/>
                <w:kern w:val="0"/>
                <w:sz w:val="19"/>
                <w:szCs w:val="19"/>
                <w:lang w:eastAsia="en-IN"/>
                <w14:ligatures w14:val="none"/>
              </w:rPr>
            </w:pPr>
            <w:r w:rsidRPr="00801A36">
              <w:rPr>
                <w:rFonts w:ascii="Times New Roman" w:eastAsia="Times New Roman" w:hAnsi="Times New Roman" w:cs="Times New Roman"/>
                <w:color w:val="000000"/>
                <w:kern w:val="0"/>
                <w:sz w:val="19"/>
                <w:szCs w:val="19"/>
                <w:lang w:eastAsia="en-IN"/>
                <w14:ligatures w14:val="none"/>
              </w:rPr>
              <w:t>3,267.58</w:t>
            </w:r>
          </w:p>
        </w:tc>
        <w:tc>
          <w:tcPr>
            <w:tcW w:w="1196" w:type="dxa"/>
            <w:tcBorders>
              <w:top w:val="nil"/>
              <w:left w:val="nil"/>
              <w:bottom w:val="single" w:sz="4" w:space="0" w:color="auto"/>
              <w:right w:val="single" w:sz="4" w:space="0" w:color="auto"/>
            </w:tcBorders>
            <w:noWrap/>
            <w:vAlign w:val="center"/>
            <w:hideMark/>
          </w:tcPr>
          <w:p w14:paraId="1B3CB604" w14:textId="77777777" w:rsidR="007B1BAC" w:rsidRPr="00801A36" w:rsidRDefault="007B1BAC" w:rsidP="00801A36">
            <w:pPr>
              <w:spacing w:after="0" w:line="240" w:lineRule="auto"/>
              <w:jc w:val="center"/>
              <w:rPr>
                <w:rFonts w:ascii="Times New Roman" w:eastAsia="Times New Roman" w:hAnsi="Times New Roman" w:cs="Times New Roman"/>
                <w:color w:val="000000"/>
                <w:kern w:val="0"/>
                <w:sz w:val="19"/>
                <w:szCs w:val="19"/>
                <w:lang w:eastAsia="en-IN"/>
                <w14:ligatures w14:val="none"/>
              </w:rPr>
            </w:pPr>
            <w:r w:rsidRPr="00801A36">
              <w:rPr>
                <w:rFonts w:ascii="Times New Roman" w:eastAsia="Times New Roman" w:hAnsi="Times New Roman" w:cs="Times New Roman"/>
                <w:color w:val="000000"/>
                <w:kern w:val="0"/>
                <w:sz w:val="19"/>
                <w:szCs w:val="19"/>
                <w:lang w:eastAsia="en-IN"/>
                <w14:ligatures w14:val="none"/>
              </w:rPr>
              <w:t>1,155.82</w:t>
            </w:r>
          </w:p>
        </w:tc>
        <w:tc>
          <w:tcPr>
            <w:tcW w:w="986" w:type="dxa"/>
            <w:tcBorders>
              <w:top w:val="nil"/>
              <w:left w:val="nil"/>
              <w:bottom w:val="single" w:sz="4" w:space="0" w:color="auto"/>
              <w:right w:val="single" w:sz="4" w:space="0" w:color="auto"/>
            </w:tcBorders>
            <w:noWrap/>
            <w:vAlign w:val="center"/>
            <w:hideMark/>
          </w:tcPr>
          <w:p w14:paraId="031F6829" w14:textId="77777777" w:rsidR="007B1BAC" w:rsidRPr="00801A36" w:rsidRDefault="007B1BAC" w:rsidP="00801A36">
            <w:pPr>
              <w:spacing w:after="0" w:line="240" w:lineRule="auto"/>
              <w:jc w:val="center"/>
              <w:rPr>
                <w:rFonts w:ascii="Times New Roman" w:eastAsia="Times New Roman" w:hAnsi="Times New Roman" w:cs="Times New Roman"/>
                <w:color w:val="000000"/>
                <w:kern w:val="0"/>
                <w:sz w:val="19"/>
                <w:szCs w:val="19"/>
                <w:lang w:eastAsia="en-IN"/>
                <w14:ligatures w14:val="none"/>
              </w:rPr>
            </w:pPr>
            <w:r w:rsidRPr="00801A36">
              <w:rPr>
                <w:rFonts w:ascii="Times New Roman" w:eastAsia="Times New Roman" w:hAnsi="Times New Roman" w:cs="Times New Roman"/>
                <w:color w:val="000000"/>
                <w:kern w:val="0"/>
                <w:sz w:val="19"/>
                <w:szCs w:val="19"/>
                <w:lang w:eastAsia="en-IN"/>
                <w14:ligatures w14:val="none"/>
              </w:rPr>
              <w:t>5,326.58</w:t>
            </w:r>
          </w:p>
        </w:tc>
        <w:tc>
          <w:tcPr>
            <w:tcW w:w="1084" w:type="dxa"/>
            <w:tcBorders>
              <w:top w:val="nil"/>
              <w:left w:val="nil"/>
              <w:bottom w:val="single" w:sz="4" w:space="0" w:color="auto"/>
              <w:right w:val="single" w:sz="4" w:space="0" w:color="auto"/>
            </w:tcBorders>
            <w:noWrap/>
            <w:vAlign w:val="center"/>
            <w:hideMark/>
          </w:tcPr>
          <w:p w14:paraId="66EBA2EA" w14:textId="77777777" w:rsidR="007B1BAC" w:rsidRPr="00801A36" w:rsidRDefault="007B1BAC" w:rsidP="00801A36">
            <w:pPr>
              <w:spacing w:after="0" w:line="240" w:lineRule="auto"/>
              <w:jc w:val="center"/>
              <w:rPr>
                <w:rFonts w:ascii="Times New Roman" w:eastAsia="Times New Roman" w:hAnsi="Times New Roman" w:cs="Times New Roman"/>
                <w:color w:val="000000"/>
                <w:kern w:val="0"/>
                <w:sz w:val="19"/>
                <w:szCs w:val="19"/>
                <w:lang w:eastAsia="en-IN"/>
                <w14:ligatures w14:val="none"/>
              </w:rPr>
            </w:pPr>
            <w:r w:rsidRPr="00801A36">
              <w:rPr>
                <w:rFonts w:ascii="Times New Roman" w:eastAsia="Times New Roman" w:hAnsi="Times New Roman" w:cs="Times New Roman"/>
                <w:color w:val="000000"/>
                <w:kern w:val="0"/>
                <w:sz w:val="19"/>
                <w:szCs w:val="19"/>
                <w:lang w:eastAsia="en-IN"/>
                <w14:ligatures w14:val="none"/>
              </w:rPr>
              <w:t>903.18</w:t>
            </w:r>
          </w:p>
        </w:tc>
        <w:tc>
          <w:tcPr>
            <w:tcW w:w="1070" w:type="dxa"/>
            <w:tcBorders>
              <w:top w:val="nil"/>
              <w:left w:val="nil"/>
              <w:bottom w:val="single" w:sz="4" w:space="0" w:color="auto"/>
              <w:right w:val="single" w:sz="4" w:space="0" w:color="auto"/>
            </w:tcBorders>
            <w:noWrap/>
            <w:vAlign w:val="center"/>
            <w:hideMark/>
          </w:tcPr>
          <w:p w14:paraId="78D5E9C9" w14:textId="77777777" w:rsidR="007B1BAC" w:rsidRPr="00801A36" w:rsidRDefault="007B1BAC" w:rsidP="00801A36">
            <w:pPr>
              <w:spacing w:after="0" w:line="240" w:lineRule="auto"/>
              <w:jc w:val="center"/>
              <w:rPr>
                <w:rFonts w:ascii="Times New Roman" w:eastAsia="Times New Roman" w:hAnsi="Times New Roman" w:cs="Times New Roman"/>
                <w:color w:val="000000"/>
                <w:kern w:val="0"/>
                <w:sz w:val="19"/>
                <w:szCs w:val="19"/>
                <w:lang w:eastAsia="en-IN"/>
                <w14:ligatures w14:val="none"/>
              </w:rPr>
            </w:pPr>
            <w:r w:rsidRPr="00801A36">
              <w:rPr>
                <w:rFonts w:ascii="Times New Roman" w:eastAsia="Times New Roman" w:hAnsi="Times New Roman" w:cs="Times New Roman"/>
                <w:color w:val="000000"/>
                <w:kern w:val="0"/>
                <w:sz w:val="19"/>
                <w:szCs w:val="19"/>
                <w:lang w:eastAsia="en-IN"/>
                <w14:ligatures w14:val="none"/>
              </w:rPr>
              <w:t>3,327.67</w:t>
            </w:r>
          </w:p>
        </w:tc>
        <w:tc>
          <w:tcPr>
            <w:tcW w:w="1196" w:type="dxa"/>
            <w:tcBorders>
              <w:top w:val="nil"/>
              <w:left w:val="nil"/>
              <w:bottom w:val="single" w:sz="4" w:space="0" w:color="auto"/>
              <w:right w:val="single" w:sz="4" w:space="0" w:color="auto"/>
            </w:tcBorders>
            <w:noWrap/>
            <w:vAlign w:val="center"/>
            <w:hideMark/>
          </w:tcPr>
          <w:p w14:paraId="4176C1C0" w14:textId="77777777" w:rsidR="007B1BAC" w:rsidRPr="00801A36" w:rsidRDefault="007B1BAC" w:rsidP="00801A36">
            <w:pPr>
              <w:spacing w:after="0" w:line="240" w:lineRule="auto"/>
              <w:jc w:val="center"/>
              <w:rPr>
                <w:rFonts w:ascii="Times New Roman" w:eastAsia="Times New Roman" w:hAnsi="Times New Roman" w:cs="Times New Roman"/>
                <w:color w:val="000000"/>
                <w:kern w:val="0"/>
                <w:sz w:val="19"/>
                <w:szCs w:val="19"/>
                <w:lang w:eastAsia="en-IN"/>
                <w14:ligatures w14:val="none"/>
              </w:rPr>
            </w:pPr>
            <w:r w:rsidRPr="00801A36">
              <w:rPr>
                <w:rFonts w:ascii="Times New Roman" w:eastAsia="Times New Roman" w:hAnsi="Times New Roman" w:cs="Times New Roman"/>
                <w:color w:val="000000"/>
                <w:kern w:val="0"/>
                <w:sz w:val="19"/>
                <w:szCs w:val="19"/>
                <w:lang w:eastAsia="en-IN"/>
                <w14:ligatures w14:val="none"/>
              </w:rPr>
              <w:t>1,134.82</w:t>
            </w:r>
          </w:p>
        </w:tc>
        <w:tc>
          <w:tcPr>
            <w:tcW w:w="986" w:type="dxa"/>
            <w:tcBorders>
              <w:top w:val="nil"/>
              <w:left w:val="nil"/>
              <w:bottom w:val="single" w:sz="4" w:space="0" w:color="auto"/>
              <w:right w:val="single" w:sz="4" w:space="0" w:color="auto"/>
            </w:tcBorders>
            <w:noWrap/>
            <w:vAlign w:val="center"/>
            <w:hideMark/>
          </w:tcPr>
          <w:p w14:paraId="03F3B4CD" w14:textId="77777777" w:rsidR="007B1BAC" w:rsidRPr="00801A36" w:rsidRDefault="007B1BAC" w:rsidP="00801A36">
            <w:pPr>
              <w:spacing w:after="0" w:line="240" w:lineRule="auto"/>
              <w:jc w:val="center"/>
              <w:rPr>
                <w:rFonts w:ascii="Times New Roman" w:eastAsia="Times New Roman" w:hAnsi="Times New Roman" w:cs="Times New Roman"/>
                <w:color w:val="000000"/>
                <w:kern w:val="0"/>
                <w:sz w:val="19"/>
                <w:szCs w:val="19"/>
                <w:lang w:eastAsia="en-IN"/>
                <w14:ligatures w14:val="none"/>
              </w:rPr>
            </w:pPr>
            <w:r w:rsidRPr="00801A36">
              <w:rPr>
                <w:rFonts w:ascii="Times New Roman" w:eastAsia="Times New Roman" w:hAnsi="Times New Roman" w:cs="Times New Roman"/>
                <w:color w:val="000000"/>
                <w:kern w:val="0"/>
                <w:sz w:val="19"/>
                <w:szCs w:val="19"/>
                <w:lang w:eastAsia="en-IN"/>
                <w14:ligatures w14:val="none"/>
              </w:rPr>
              <w:t>5,305.67</w:t>
            </w:r>
          </w:p>
        </w:tc>
        <w:tc>
          <w:tcPr>
            <w:tcW w:w="1084" w:type="dxa"/>
            <w:tcBorders>
              <w:top w:val="nil"/>
              <w:left w:val="nil"/>
              <w:bottom w:val="single" w:sz="4" w:space="0" w:color="auto"/>
              <w:right w:val="single" w:sz="4" w:space="0" w:color="auto"/>
            </w:tcBorders>
            <w:noWrap/>
            <w:vAlign w:val="center"/>
            <w:hideMark/>
          </w:tcPr>
          <w:p w14:paraId="376BCBFA" w14:textId="77777777" w:rsidR="007B1BAC" w:rsidRPr="00801A36" w:rsidRDefault="007B1BAC" w:rsidP="00801A36">
            <w:pPr>
              <w:spacing w:after="0" w:line="240" w:lineRule="auto"/>
              <w:jc w:val="center"/>
              <w:rPr>
                <w:rFonts w:ascii="Times New Roman" w:eastAsia="Times New Roman" w:hAnsi="Times New Roman" w:cs="Times New Roman"/>
                <w:color w:val="000000"/>
                <w:kern w:val="0"/>
                <w:sz w:val="19"/>
                <w:szCs w:val="19"/>
                <w:lang w:eastAsia="en-IN"/>
                <w14:ligatures w14:val="none"/>
              </w:rPr>
            </w:pPr>
            <w:r w:rsidRPr="00801A36">
              <w:rPr>
                <w:rFonts w:ascii="Times New Roman" w:eastAsia="Times New Roman" w:hAnsi="Times New Roman" w:cs="Times New Roman"/>
                <w:color w:val="000000"/>
                <w:kern w:val="0"/>
                <w:sz w:val="19"/>
                <w:szCs w:val="19"/>
                <w:lang w:eastAsia="en-IN"/>
                <w14:ligatures w14:val="none"/>
              </w:rPr>
              <w:t>895.86</w:t>
            </w:r>
          </w:p>
        </w:tc>
        <w:tc>
          <w:tcPr>
            <w:tcW w:w="1070" w:type="dxa"/>
            <w:tcBorders>
              <w:top w:val="nil"/>
              <w:left w:val="nil"/>
              <w:bottom w:val="single" w:sz="4" w:space="0" w:color="auto"/>
              <w:right w:val="single" w:sz="4" w:space="0" w:color="auto"/>
            </w:tcBorders>
            <w:noWrap/>
            <w:vAlign w:val="center"/>
            <w:hideMark/>
          </w:tcPr>
          <w:p w14:paraId="3D7D15CE" w14:textId="77777777" w:rsidR="007B1BAC" w:rsidRPr="00801A36" w:rsidRDefault="007B1BAC" w:rsidP="00801A36">
            <w:pPr>
              <w:spacing w:after="0" w:line="240" w:lineRule="auto"/>
              <w:jc w:val="center"/>
              <w:rPr>
                <w:rFonts w:ascii="Times New Roman" w:eastAsia="Times New Roman" w:hAnsi="Times New Roman" w:cs="Times New Roman"/>
                <w:color w:val="000000"/>
                <w:kern w:val="0"/>
                <w:sz w:val="19"/>
                <w:szCs w:val="19"/>
                <w:lang w:eastAsia="en-IN"/>
                <w14:ligatures w14:val="none"/>
              </w:rPr>
            </w:pPr>
            <w:r w:rsidRPr="00801A36">
              <w:rPr>
                <w:rFonts w:ascii="Times New Roman" w:eastAsia="Times New Roman" w:hAnsi="Times New Roman" w:cs="Times New Roman"/>
                <w:color w:val="000000"/>
                <w:kern w:val="0"/>
                <w:sz w:val="19"/>
                <w:szCs w:val="19"/>
                <w:lang w:eastAsia="en-IN"/>
                <w14:ligatures w14:val="none"/>
              </w:rPr>
              <w:t>3,347.11</w:t>
            </w:r>
          </w:p>
        </w:tc>
        <w:tc>
          <w:tcPr>
            <w:tcW w:w="1196" w:type="dxa"/>
            <w:tcBorders>
              <w:top w:val="nil"/>
              <w:left w:val="nil"/>
              <w:bottom w:val="single" w:sz="4" w:space="0" w:color="auto"/>
              <w:right w:val="single" w:sz="4" w:space="0" w:color="auto"/>
            </w:tcBorders>
            <w:noWrap/>
            <w:vAlign w:val="center"/>
            <w:hideMark/>
          </w:tcPr>
          <w:p w14:paraId="02BA4D77" w14:textId="77777777" w:rsidR="007B1BAC" w:rsidRPr="00801A36" w:rsidRDefault="007B1BAC" w:rsidP="00801A36">
            <w:pPr>
              <w:spacing w:after="0" w:line="240" w:lineRule="auto"/>
              <w:jc w:val="center"/>
              <w:rPr>
                <w:rFonts w:ascii="Times New Roman" w:eastAsia="Times New Roman" w:hAnsi="Times New Roman" w:cs="Times New Roman"/>
                <w:color w:val="000000"/>
                <w:kern w:val="0"/>
                <w:sz w:val="19"/>
                <w:szCs w:val="19"/>
                <w:lang w:eastAsia="en-IN"/>
                <w14:ligatures w14:val="none"/>
              </w:rPr>
            </w:pPr>
            <w:r w:rsidRPr="00801A36">
              <w:rPr>
                <w:rFonts w:ascii="Times New Roman" w:eastAsia="Times New Roman" w:hAnsi="Times New Roman" w:cs="Times New Roman"/>
                <w:color w:val="000000"/>
                <w:kern w:val="0"/>
                <w:sz w:val="19"/>
                <w:szCs w:val="19"/>
                <w:lang w:eastAsia="en-IN"/>
                <w14:ligatures w14:val="none"/>
              </w:rPr>
              <w:t>1,134.82</w:t>
            </w:r>
          </w:p>
        </w:tc>
        <w:tc>
          <w:tcPr>
            <w:tcW w:w="986" w:type="dxa"/>
            <w:tcBorders>
              <w:top w:val="nil"/>
              <w:left w:val="nil"/>
              <w:bottom w:val="single" w:sz="4" w:space="0" w:color="auto"/>
              <w:right w:val="single" w:sz="4" w:space="0" w:color="auto"/>
            </w:tcBorders>
            <w:noWrap/>
            <w:vAlign w:val="center"/>
            <w:hideMark/>
          </w:tcPr>
          <w:p w14:paraId="403A889A" w14:textId="77777777" w:rsidR="007B1BAC" w:rsidRPr="00801A36" w:rsidRDefault="007B1BAC" w:rsidP="00801A36">
            <w:pPr>
              <w:spacing w:after="0" w:line="240" w:lineRule="auto"/>
              <w:jc w:val="center"/>
              <w:rPr>
                <w:rFonts w:ascii="Times New Roman" w:eastAsia="Times New Roman" w:hAnsi="Times New Roman" w:cs="Times New Roman"/>
                <w:color w:val="000000"/>
                <w:kern w:val="0"/>
                <w:sz w:val="19"/>
                <w:szCs w:val="19"/>
                <w:lang w:eastAsia="en-IN"/>
                <w14:ligatures w14:val="none"/>
              </w:rPr>
            </w:pPr>
            <w:r w:rsidRPr="00801A36">
              <w:rPr>
                <w:rFonts w:ascii="Times New Roman" w:eastAsia="Times New Roman" w:hAnsi="Times New Roman" w:cs="Times New Roman"/>
                <w:color w:val="000000"/>
                <w:kern w:val="0"/>
                <w:sz w:val="19"/>
                <w:szCs w:val="19"/>
                <w:lang w:eastAsia="en-IN"/>
                <w14:ligatures w14:val="none"/>
              </w:rPr>
              <w:t>5,377.79</w:t>
            </w:r>
          </w:p>
        </w:tc>
      </w:tr>
      <w:tr w:rsidR="007B1BAC" w:rsidRPr="00801A36" w14:paraId="08D9CF88" w14:textId="77777777" w:rsidTr="00801A36">
        <w:trPr>
          <w:trHeight w:val="20"/>
          <w:jc w:val="center"/>
        </w:trPr>
        <w:tc>
          <w:tcPr>
            <w:tcW w:w="618" w:type="dxa"/>
            <w:tcBorders>
              <w:top w:val="nil"/>
              <w:left w:val="single" w:sz="4" w:space="0" w:color="auto"/>
              <w:bottom w:val="single" w:sz="4" w:space="0" w:color="auto"/>
              <w:right w:val="single" w:sz="4" w:space="0" w:color="auto"/>
            </w:tcBorders>
            <w:noWrap/>
            <w:vAlign w:val="bottom"/>
            <w:hideMark/>
          </w:tcPr>
          <w:p w14:paraId="65E029EE" w14:textId="77777777" w:rsidR="007B1BAC" w:rsidRPr="00801A36" w:rsidRDefault="007B1BAC" w:rsidP="007B1BAC">
            <w:pPr>
              <w:spacing w:after="0" w:line="240" w:lineRule="auto"/>
              <w:jc w:val="right"/>
              <w:rPr>
                <w:rFonts w:ascii="Times New Roman" w:eastAsia="Times New Roman" w:hAnsi="Times New Roman" w:cs="Times New Roman"/>
                <w:color w:val="000000"/>
                <w:kern w:val="0"/>
                <w:sz w:val="19"/>
                <w:szCs w:val="19"/>
                <w:lang w:eastAsia="en-IN"/>
                <w14:ligatures w14:val="none"/>
              </w:rPr>
            </w:pPr>
            <w:r w:rsidRPr="00801A36">
              <w:rPr>
                <w:rFonts w:ascii="Times New Roman" w:eastAsia="Times New Roman" w:hAnsi="Times New Roman" w:cs="Times New Roman"/>
                <w:color w:val="000000"/>
                <w:kern w:val="0"/>
                <w:sz w:val="19"/>
                <w:szCs w:val="19"/>
                <w:lang w:eastAsia="en-IN"/>
                <w14:ligatures w14:val="none"/>
              </w:rPr>
              <w:t>5</w:t>
            </w:r>
          </w:p>
        </w:tc>
        <w:tc>
          <w:tcPr>
            <w:tcW w:w="1680" w:type="dxa"/>
            <w:tcBorders>
              <w:top w:val="nil"/>
              <w:left w:val="nil"/>
              <w:bottom w:val="single" w:sz="4" w:space="0" w:color="auto"/>
              <w:right w:val="single" w:sz="4" w:space="0" w:color="auto"/>
            </w:tcBorders>
            <w:noWrap/>
            <w:vAlign w:val="bottom"/>
            <w:hideMark/>
          </w:tcPr>
          <w:p w14:paraId="63B57716" w14:textId="77777777" w:rsidR="007B1BAC" w:rsidRPr="00801A36" w:rsidRDefault="007B1BAC" w:rsidP="007B1BAC">
            <w:pPr>
              <w:spacing w:after="0" w:line="240" w:lineRule="auto"/>
              <w:rPr>
                <w:rFonts w:ascii="Times New Roman" w:eastAsia="Times New Roman" w:hAnsi="Times New Roman" w:cs="Times New Roman"/>
                <w:color w:val="000000"/>
                <w:kern w:val="0"/>
                <w:sz w:val="19"/>
                <w:szCs w:val="19"/>
                <w:lang w:eastAsia="en-IN"/>
                <w14:ligatures w14:val="none"/>
              </w:rPr>
            </w:pPr>
            <w:r w:rsidRPr="00801A36">
              <w:rPr>
                <w:rFonts w:ascii="Times New Roman" w:eastAsia="Times New Roman" w:hAnsi="Times New Roman" w:cs="Times New Roman"/>
                <w:color w:val="000000"/>
                <w:kern w:val="0"/>
                <w:sz w:val="19"/>
                <w:szCs w:val="19"/>
                <w:lang w:eastAsia="en-IN"/>
                <w14:ligatures w14:val="none"/>
              </w:rPr>
              <w:t>Haryana</w:t>
            </w:r>
          </w:p>
        </w:tc>
        <w:tc>
          <w:tcPr>
            <w:tcW w:w="1084" w:type="dxa"/>
            <w:tcBorders>
              <w:top w:val="nil"/>
              <w:left w:val="nil"/>
              <w:bottom w:val="single" w:sz="4" w:space="0" w:color="auto"/>
              <w:right w:val="single" w:sz="4" w:space="0" w:color="auto"/>
            </w:tcBorders>
            <w:noWrap/>
            <w:vAlign w:val="center"/>
            <w:hideMark/>
          </w:tcPr>
          <w:p w14:paraId="43A668D9" w14:textId="2B669740" w:rsidR="007B1BAC" w:rsidRPr="00801A36" w:rsidRDefault="007B1BAC" w:rsidP="00801A36">
            <w:pPr>
              <w:spacing w:after="0" w:line="240" w:lineRule="auto"/>
              <w:jc w:val="center"/>
              <w:rPr>
                <w:rFonts w:ascii="Times New Roman" w:eastAsia="Times New Roman" w:hAnsi="Times New Roman" w:cs="Times New Roman"/>
                <w:color w:val="000000"/>
                <w:kern w:val="0"/>
                <w:sz w:val="19"/>
                <w:szCs w:val="19"/>
                <w:lang w:eastAsia="en-IN"/>
                <w14:ligatures w14:val="none"/>
              </w:rPr>
            </w:pPr>
          </w:p>
        </w:tc>
        <w:tc>
          <w:tcPr>
            <w:tcW w:w="1070" w:type="dxa"/>
            <w:tcBorders>
              <w:top w:val="nil"/>
              <w:left w:val="nil"/>
              <w:bottom w:val="single" w:sz="4" w:space="0" w:color="auto"/>
              <w:right w:val="single" w:sz="4" w:space="0" w:color="auto"/>
            </w:tcBorders>
            <w:noWrap/>
            <w:vAlign w:val="center"/>
            <w:hideMark/>
          </w:tcPr>
          <w:p w14:paraId="62112F36" w14:textId="19C5335E" w:rsidR="007B1BAC" w:rsidRPr="00801A36" w:rsidRDefault="007B1BAC" w:rsidP="00801A36">
            <w:pPr>
              <w:spacing w:after="0" w:line="240" w:lineRule="auto"/>
              <w:jc w:val="center"/>
              <w:rPr>
                <w:rFonts w:ascii="Times New Roman" w:eastAsia="Times New Roman" w:hAnsi="Times New Roman" w:cs="Times New Roman"/>
                <w:color w:val="000000"/>
                <w:kern w:val="0"/>
                <w:sz w:val="19"/>
                <w:szCs w:val="19"/>
                <w:lang w:eastAsia="en-IN"/>
                <w14:ligatures w14:val="none"/>
              </w:rPr>
            </w:pPr>
          </w:p>
        </w:tc>
        <w:tc>
          <w:tcPr>
            <w:tcW w:w="1196" w:type="dxa"/>
            <w:tcBorders>
              <w:top w:val="nil"/>
              <w:left w:val="nil"/>
              <w:bottom w:val="single" w:sz="4" w:space="0" w:color="auto"/>
              <w:right w:val="single" w:sz="4" w:space="0" w:color="auto"/>
            </w:tcBorders>
            <w:noWrap/>
            <w:vAlign w:val="center"/>
            <w:hideMark/>
          </w:tcPr>
          <w:p w14:paraId="484D176A" w14:textId="3D504AB5" w:rsidR="007B1BAC" w:rsidRPr="00801A36" w:rsidRDefault="007B1BAC" w:rsidP="00801A36">
            <w:pPr>
              <w:spacing w:after="0" w:line="240" w:lineRule="auto"/>
              <w:jc w:val="center"/>
              <w:rPr>
                <w:rFonts w:ascii="Times New Roman" w:eastAsia="Times New Roman" w:hAnsi="Times New Roman" w:cs="Times New Roman"/>
                <w:color w:val="000000"/>
                <w:kern w:val="0"/>
                <w:sz w:val="19"/>
                <w:szCs w:val="19"/>
                <w:lang w:eastAsia="en-IN"/>
                <w14:ligatures w14:val="none"/>
              </w:rPr>
            </w:pPr>
          </w:p>
        </w:tc>
        <w:tc>
          <w:tcPr>
            <w:tcW w:w="986" w:type="dxa"/>
            <w:tcBorders>
              <w:top w:val="nil"/>
              <w:left w:val="nil"/>
              <w:bottom w:val="single" w:sz="4" w:space="0" w:color="auto"/>
              <w:right w:val="single" w:sz="4" w:space="0" w:color="auto"/>
            </w:tcBorders>
            <w:noWrap/>
            <w:vAlign w:val="center"/>
            <w:hideMark/>
          </w:tcPr>
          <w:p w14:paraId="50880D75" w14:textId="4C4EC603" w:rsidR="007B1BAC" w:rsidRPr="00801A36" w:rsidRDefault="007B1BAC" w:rsidP="00801A36">
            <w:pPr>
              <w:spacing w:after="0" w:line="240" w:lineRule="auto"/>
              <w:jc w:val="center"/>
              <w:rPr>
                <w:rFonts w:ascii="Times New Roman" w:eastAsia="Times New Roman" w:hAnsi="Times New Roman" w:cs="Times New Roman"/>
                <w:color w:val="000000"/>
                <w:kern w:val="0"/>
                <w:sz w:val="19"/>
                <w:szCs w:val="19"/>
                <w:lang w:eastAsia="en-IN"/>
                <w14:ligatures w14:val="none"/>
              </w:rPr>
            </w:pPr>
          </w:p>
        </w:tc>
        <w:tc>
          <w:tcPr>
            <w:tcW w:w="1084" w:type="dxa"/>
            <w:tcBorders>
              <w:top w:val="nil"/>
              <w:left w:val="nil"/>
              <w:bottom w:val="single" w:sz="4" w:space="0" w:color="auto"/>
              <w:right w:val="single" w:sz="4" w:space="0" w:color="auto"/>
            </w:tcBorders>
            <w:noWrap/>
            <w:vAlign w:val="center"/>
            <w:hideMark/>
          </w:tcPr>
          <w:p w14:paraId="0E791414" w14:textId="050F4D24" w:rsidR="007B1BAC" w:rsidRPr="00801A36" w:rsidRDefault="007B1BAC" w:rsidP="00801A36">
            <w:pPr>
              <w:spacing w:after="0" w:line="240" w:lineRule="auto"/>
              <w:jc w:val="center"/>
              <w:rPr>
                <w:rFonts w:ascii="Times New Roman" w:eastAsia="Times New Roman" w:hAnsi="Times New Roman" w:cs="Times New Roman"/>
                <w:color w:val="000000"/>
                <w:kern w:val="0"/>
                <w:sz w:val="19"/>
                <w:szCs w:val="19"/>
                <w:lang w:eastAsia="en-IN"/>
                <w14:ligatures w14:val="none"/>
              </w:rPr>
            </w:pPr>
          </w:p>
        </w:tc>
        <w:tc>
          <w:tcPr>
            <w:tcW w:w="1070" w:type="dxa"/>
            <w:tcBorders>
              <w:top w:val="nil"/>
              <w:left w:val="nil"/>
              <w:bottom w:val="single" w:sz="4" w:space="0" w:color="auto"/>
              <w:right w:val="single" w:sz="4" w:space="0" w:color="auto"/>
            </w:tcBorders>
            <w:noWrap/>
            <w:vAlign w:val="center"/>
            <w:hideMark/>
          </w:tcPr>
          <w:p w14:paraId="5603FD2F" w14:textId="370F0EB5" w:rsidR="007B1BAC" w:rsidRPr="00801A36" w:rsidRDefault="007B1BAC" w:rsidP="00801A36">
            <w:pPr>
              <w:spacing w:after="0" w:line="240" w:lineRule="auto"/>
              <w:jc w:val="center"/>
              <w:rPr>
                <w:rFonts w:ascii="Times New Roman" w:eastAsia="Times New Roman" w:hAnsi="Times New Roman" w:cs="Times New Roman"/>
                <w:color w:val="000000"/>
                <w:kern w:val="0"/>
                <w:sz w:val="19"/>
                <w:szCs w:val="19"/>
                <w:lang w:eastAsia="en-IN"/>
                <w14:ligatures w14:val="none"/>
              </w:rPr>
            </w:pPr>
          </w:p>
        </w:tc>
        <w:tc>
          <w:tcPr>
            <w:tcW w:w="1196" w:type="dxa"/>
            <w:tcBorders>
              <w:top w:val="nil"/>
              <w:left w:val="nil"/>
              <w:bottom w:val="single" w:sz="4" w:space="0" w:color="auto"/>
              <w:right w:val="single" w:sz="4" w:space="0" w:color="auto"/>
            </w:tcBorders>
            <w:noWrap/>
            <w:vAlign w:val="center"/>
            <w:hideMark/>
          </w:tcPr>
          <w:p w14:paraId="7214DD92" w14:textId="57B40B2C" w:rsidR="007B1BAC" w:rsidRPr="00801A36" w:rsidRDefault="007B1BAC" w:rsidP="00801A36">
            <w:pPr>
              <w:spacing w:after="0" w:line="240" w:lineRule="auto"/>
              <w:jc w:val="center"/>
              <w:rPr>
                <w:rFonts w:ascii="Times New Roman" w:eastAsia="Times New Roman" w:hAnsi="Times New Roman" w:cs="Times New Roman"/>
                <w:color w:val="000000"/>
                <w:kern w:val="0"/>
                <w:sz w:val="19"/>
                <w:szCs w:val="19"/>
                <w:lang w:eastAsia="en-IN"/>
                <w14:ligatures w14:val="none"/>
              </w:rPr>
            </w:pPr>
          </w:p>
        </w:tc>
        <w:tc>
          <w:tcPr>
            <w:tcW w:w="986" w:type="dxa"/>
            <w:tcBorders>
              <w:top w:val="nil"/>
              <w:left w:val="nil"/>
              <w:bottom w:val="single" w:sz="4" w:space="0" w:color="auto"/>
              <w:right w:val="single" w:sz="4" w:space="0" w:color="auto"/>
            </w:tcBorders>
            <w:noWrap/>
            <w:vAlign w:val="center"/>
            <w:hideMark/>
          </w:tcPr>
          <w:p w14:paraId="258520A7" w14:textId="311D7386" w:rsidR="007B1BAC" w:rsidRPr="00801A36" w:rsidRDefault="007B1BAC" w:rsidP="00801A36">
            <w:pPr>
              <w:spacing w:after="0" w:line="240" w:lineRule="auto"/>
              <w:jc w:val="center"/>
              <w:rPr>
                <w:rFonts w:ascii="Times New Roman" w:eastAsia="Times New Roman" w:hAnsi="Times New Roman" w:cs="Times New Roman"/>
                <w:color w:val="000000"/>
                <w:kern w:val="0"/>
                <w:sz w:val="19"/>
                <w:szCs w:val="19"/>
                <w:lang w:eastAsia="en-IN"/>
                <w14:ligatures w14:val="none"/>
              </w:rPr>
            </w:pPr>
          </w:p>
        </w:tc>
        <w:tc>
          <w:tcPr>
            <w:tcW w:w="1084" w:type="dxa"/>
            <w:tcBorders>
              <w:top w:val="nil"/>
              <w:left w:val="nil"/>
              <w:bottom w:val="single" w:sz="4" w:space="0" w:color="auto"/>
              <w:right w:val="single" w:sz="4" w:space="0" w:color="auto"/>
            </w:tcBorders>
            <w:noWrap/>
            <w:vAlign w:val="center"/>
            <w:hideMark/>
          </w:tcPr>
          <w:p w14:paraId="7F426ED2" w14:textId="51E59BAB" w:rsidR="007B1BAC" w:rsidRPr="00801A36" w:rsidRDefault="007B1BAC" w:rsidP="00801A36">
            <w:pPr>
              <w:spacing w:after="0" w:line="240" w:lineRule="auto"/>
              <w:jc w:val="center"/>
              <w:rPr>
                <w:rFonts w:ascii="Times New Roman" w:eastAsia="Times New Roman" w:hAnsi="Times New Roman" w:cs="Times New Roman"/>
                <w:color w:val="000000"/>
                <w:kern w:val="0"/>
                <w:sz w:val="19"/>
                <w:szCs w:val="19"/>
                <w:lang w:eastAsia="en-IN"/>
                <w14:ligatures w14:val="none"/>
              </w:rPr>
            </w:pPr>
          </w:p>
        </w:tc>
        <w:tc>
          <w:tcPr>
            <w:tcW w:w="1070" w:type="dxa"/>
            <w:tcBorders>
              <w:top w:val="nil"/>
              <w:left w:val="nil"/>
              <w:bottom w:val="single" w:sz="4" w:space="0" w:color="auto"/>
              <w:right w:val="single" w:sz="4" w:space="0" w:color="auto"/>
            </w:tcBorders>
            <w:noWrap/>
            <w:vAlign w:val="center"/>
            <w:hideMark/>
          </w:tcPr>
          <w:p w14:paraId="32A26B6C" w14:textId="7091CD9A" w:rsidR="007B1BAC" w:rsidRPr="00801A36" w:rsidRDefault="007B1BAC" w:rsidP="00801A36">
            <w:pPr>
              <w:spacing w:after="0" w:line="240" w:lineRule="auto"/>
              <w:jc w:val="center"/>
              <w:rPr>
                <w:rFonts w:ascii="Times New Roman" w:eastAsia="Times New Roman" w:hAnsi="Times New Roman" w:cs="Times New Roman"/>
                <w:color w:val="000000"/>
                <w:kern w:val="0"/>
                <w:sz w:val="19"/>
                <w:szCs w:val="19"/>
                <w:lang w:eastAsia="en-IN"/>
                <w14:ligatures w14:val="none"/>
              </w:rPr>
            </w:pPr>
          </w:p>
        </w:tc>
        <w:tc>
          <w:tcPr>
            <w:tcW w:w="1196" w:type="dxa"/>
            <w:tcBorders>
              <w:top w:val="nil"/>
              <w:left w:val="nil"/>
              <w:bottom w:val="single" w:sz="4" w:space="0" w:color="auto"/>
              <w:right w:val="single" w:sz="4" w:space="0" w:color="auto"/>
            </w:tcBorders>
            <w:noWrap/>
            <w:vAlign w:val="center"/>
            <w:hideMark/>
          </w:tcPr>
          <w:p w14:paraId="1BFFCEE6" w14:textId="24898F06" w:rsidR="007B1BAC" w:rsidRPr="00801A36" w:rsidRDefault="007B1BAC" w:rsidP="00801A36">
            <w:pPr>
              <w:spacing w:after="0" w:line="240" w:lineRule="auto"/>
              <w:jc w:val="center"/>
              <w:rPr>
                <w:rFonts w:ascii="Times New Roman" w:eastAsia="Times New Roman" w:hAnsi="Times New Roman" w:cs="Times New Roman"/>
                <w:color w:val="000000"/>
                <w:kern w:val="0"/>
                <w:sz w:val="19"/>
                <w:szCs w:val="19"/>
                <w:lang w:eastAsia="en-IN"/>
                <w14:ligatures w14:val="none"/>
              </w:rPr>
            </w:pPr>
          </w:p>
        </w:tc>
        <w:tc>
          <w:tcPr>
            <w:tcW w:w="986" w:type="dxa"/>
            <w:tcBorders>
              <w:top w:val="nil"/>
              <w:left w:val="nil"/>
              <w:bottom w:val="single" w:sz="4" w:space="0" w:color="auto"/>
              <w:right w:val="single" w:sz="4" w:space="0" w:color="auto"/>
            </w:tcBorders>
            <w:noWrap/>
            <w:vAlign w:val="center"/>
            <w:hideMark/>
          </w:tcPr>
          <w:p w14:paraId="3FB11E07" w14:textId="4C40993E" w:rsidR="007B1BAC" w:rsidRPr="00801A36" w:rsidRDefault="007B1BAC" w:rsidP="00801A36">
            <w:pPr>
              <w:spacing w:after="0" w:line="240" w:lineRule="auto"/>
              <w:jc w:val="center"/>
              <w:rPr>
                <w:rFonts w:ascii="Times New Roman" w:eastAsia="Times New Roman" w:hAnsi="Times New Roman" w:cs="Times New Roman"/>
                <w:color w:val="000000"/>
                <w:kern w:val="0"/>
                <w:sz w:val="19"/>
                <w:szCs w:val="19"/>
                <w:lang w:eastAsia="en-IN"/>
                <w14:ligatures w14:val="none"/>
              </w:rPr>
            </w:pPr>
          </w:p>
        </w:tc>
      </w:tr>
      <w:tr w:rsidR="007B1BAC" w:rsidRPr="00801A36" w14:paraId="48706DFE" w14:textId="77777777" w:rsidTr="00801A36">
        <w:trPr>
          <w:trHeight w:val="20"/>
          <w:jc w:val="center"/>
        </w:trPr>
        <w:tc>
          <w:tcPr>
            <w:tcW w:w="618" w:type="dxa"/>
            <w:tcBorders>
              <w:top w:val="nil"/>
              <w:left w:val="single" w:sz="4" w:space="0" w:color="auto"/>
              <w:bottom w:val="single" w:sz="4" w:space="0" w:color="auto"/>
              <w:right w:val="single" w:sz="4" w:space="0" w:color="auto"/>
            </w:tcBorders>
            <w:noWrap/>
            <w:vAlign w:val="bottom"/>
            <w:hideMark/>
          </w:tcPr>
          <w:p w14:paraId="26FB57D8" w14:textId="77777777" w:rsidR="007B1BAC" w:rsidRPr="00801A36" w:rsidRDefault="007B1BAC" w:rsidP="007B1BAC">
            <w:pPr>
              <w:spacing w:after="0" w:line="240" w:lineRule="auto"/>
              <w:rPr>
                <w:rFonts w:ascii="Times New Roman" w:eastAsia="Times New Roman" w:hAnsi="Times New Roman" w:cs="Times New Roman"/>
                <w:color w:val="000000"/>
                <w:kern w:val="0"/>
                <w:sz w:val="19"/>
                <w:szCs w:val="19"/>
                <w:lang w:eastAsia="en-IN"/>
                <w14:ligatures w14:val="none"/>
              </w:rPr>
            </w:pPr>
            <w:r w:rsidRPr="00801A36">
              <w:rPr>
                <w:rFonts w:ascii="Times New Roman" w:eastAsia="Times New Roman" w:hAnsi="Times New Roman" w:cs="Times New Roman"/>
                <w:color w:val="000000"/>
                <w:kern w:val="0"/>
                <w:sz w:val="19"/>
                <w:szCs w:val="19"/>
                <w:lang w:eastAsia="en-IN"/>
                <w14:ligatures w14:val="none"/>
              </w:rPr>
              <w:t> </w:t>
            </w:r>
          </w:p>
        </w:tc>
        <w:tc>
          <w:tcPr>
            <w:tcW w:w="1680" w:type="dxa"/>
            <w:tcBorders>
              <w:top w:val="nil"/>
              <w:left w:val="nil"/>
              <w:bottom w:val="single" w:sz="4" w:space="0" w:color="auto"/>
              <w:right w:val="single" w:sz="4" w:space="0" w:color="auto"/>
            </w:tcBorders>
            <w:noWrap/>
            <w:vAlign w:val="bottom"/>
            <w:hideMark/>
          </w:tcPr>
          <w:p w14:paraId="1365BF3B" w14:textId="77777777" w:rsidR="007B1BAC" w:rsidRPr="00801A36" w:rsidRDefault="007B1BAC" w:rsidP="007B1BAC">
            <w:pPr>
              <w:spacing w:after="0" w:line="240" w:lineRule="auto"/>
              <w:rPr>
                <w:rFonts w:ascii="Times New Roman" w:eastAsia="Times New Roman" w:hAnsi="Times New Roman" w:cs="Times New Roman"/>
                <w:color w:val="000000"/>
                <w:kern w:val="0"/>
                <w:sz w:val="19"/>
                <w:szCs w:val="19"/>
                <w:lang w:eastAsia="en-IN"/>
                <w14:ligatures w14:val="none"/>
              </w:rPr>
            </w:pPr>
            <w:r w:rsidRPr="00801A36">
              <w:rPr>
                <w:rFonts w:ascii="Times New Roman" w:eastAsia="Times New Roman" w:hAnsi="Times New Roman" w:cs="Times New Roman"/>
                <w:color w:val="000000"/>
                <w:kern w:val="0"/>
                <w:sz w:val="19"/>
                <w:szCs w:val="19"/>
                <w:lang w:eastAsia="en-IN"/>
                <w14:ligatures w14:val="none"/>
              </w:rPr>
              <w:t>Central</w:t>
            </w:r>
          </w:p>
        </w:tc>
        <w:tc>
          <w:tcPr>
            <w:tcW w:w="1084" w:type="dxa"/>
            <w:tcBorders>
              <w:top w:val="nil"/>
              <w:left w:val="nil"/>
              <w:bottom w:val="single" w:sz="4" w:space="0" w:color="auto"/>
              <w:right w:val="single" w:sz="4" w:space="0" w:color="auto"/>
            </w:tcBorders>
            <w:noWrap/>
            <w:vAlign w:val="center"/>
            <w:hideMark/>
          </w:tcPr>
          <w:p w14:paraId="4165F208" w14:textId="77777777" w:rsidR="007B1BAC" w:rsidRPr="00801A36" w:rsidRDefault="007B1BAC" w:rsidP="00801A36">
            <w:pPr>
              <w:spacing w:after="0" w:line="240" w:lineRule="auto"/>
              <w:jc w:val="center"/>
              <w:rPr>
                <w:rFonts w:ascii="Times New Roman" w:eastAsia="Times New Roman" w:hAnsi="Times New Roman" w:cs="Times New Roman"/>
                <w:color w:val="000000"/>
                <w:kern w:val="0"/>
                <w:sz w:val="19"/>
                <w:szCs w:val="19"/>
                <w:lang w:eastAsia="en-IN"/>
                <w14:ligatures w14:val="none"/>
              </w:rPr>
            </w:pPr>
            <w:r w:rsidRPr="00801A36">
              <w:rPr>
                <w:rFonts w:ascii="Times New Roman" w:eastAsia="Times New Roman" w:hAnsi="Times New Roman" w:cs="Times New Roman"/>
                <w:color w:val="000000"/>
                <w:kern w:val="0"/>
                <w:sz w:val="19"/>
                <w:szCs w:val="19"/>
                <w:lang w:eastAsia="en-IN"/>
                <w14:ligatures w14:val="none"/>
              </w:rPr>
              <w:t>..</w:t>
            </w:r>
          </w:p>
        </w:tc>
        <w:tc>
          <w:tcPr>
            <w:tcW w:w="1070" w:type="dxa"/>
            <w:tcBorders>
              <w:top w:val="nil"/>
              <w:left w:val="nil"/>
              <w:bottom w:val="single" w:sz="4" w:space="0" w:color="auto"/>
              <w:right w:val="single" w:sz="4" w:space="0" w:color="auto"/>
            </w:tcBorders>
            <w:noWrap/>
            <w:vAlign w:val="center"/>
            <w:hideMark/>
          </w:tcPr>
          <w:p w14:paraId="7F02EE33" w14:textId="77777777" w:rsidR="007B1BAC" w:rsidRPr="00801A36" w:rsidRDefault="007B1BAC" w:rsidP="00801A36">
            <w:pPr>
              <w:spacing w:after="0" w:line="240" w:lineRule="auto"/>
              <w:jc w:val="center"/>
              <w:rPr>
                <w:rFonts w:ascii="Times New Roman" w:eastAsia="Times New Roman" w:hAnsi="Times New Roman" w:cs="Times New Roman"/>
                <w:color w:val="000000"/>
                <w:kern w:val="0"/>
                <w:sz w:val="19"/>
                <w:szCs w:val="19"/>
                <w:lang w:eastAsia="en-IN"/>
                <w14:ligatures w14:val="none"/>
              </w:rPr>
            </w:pPr>
            <w:r w:rsidRPr="00801A36">
              <w:rPr>
                <w:rFonts w:ascii="Times New Roman" w:eastAsia="Times New Roman" w:hAnsi="Times New Roman" w:cs="Times New Roman"/>
                <w:color w:val="000000"/>
                <w:kern w:val="0"/>
                <w:sz w:val="19"/>
                <w:szCs w:val="19"/>
                <w:lang w:eastAsia="en-IN"/>
                <w14:ligatures w14:val="none"/>
              </w:rPr>
              <w:t>..</w:t>
            </w:r>
          </w:p>
        </w:tc>
        <w:tc>
          <w:tcPr>
            <w:tcW w:w="1196" w:type="dxa"/>
            <w:tcBorders>
              <w:top w:val="nil"/>
              <w:left w:val="nil"/>
              <w:bottom w:val="single" w:sz="4" w:space="0" w:color="auto"/>
              <w:right w:val="single" w:sz="4" w:space="0" w:color="auto"/>
            </w:tcBorders>
            <w:noWrap/>
            <w:vAlign w:val="center"/>
            <w:hideMark/>
          </w:tcPr>
          <w:p w14:paraId="2E791DCE" w14:textId="77777777" w:rsidR="007B1BAC" w:rsidRPr="00801A36" w:rsidRDefault="007B1BAC" w:rsidP="00801A36">
            <w:pPr>
              <w:spacing w:after="0" w:line="240" w:lineRule="auto"/>
              <w:jc w:val="center"/>
              <w:rPr>
                <w:rFonts w:ascii="Times New Roman" w:eastAsia="Times New Roman" w:hAnsi="Times New Roman" w:cs="Times New Roman"/>
                <w:color w:val="000000"/>
                <w:kern w:val="0"/>
                <w:sz w:val="19"/>
                <w:szCs w:val="19"/>
                <w:lang w:eastAsia="en-IN"/>
                <w14:ligatures w14:val="none"/>
              </w:rPr>
            </w:pPr>
            <w:r w:rsidRPr="00801A36">
              <w:rPr>
                <w:rFonts w:ascii="Times New Roman" w:eastAsia="Times New Roman" w:hAnsi="Times New Roman" w:cs="Times New Roman"/>
                <w:color w:val="000000"/>
                <w:kern w:val="0"/>
                <w:sz w:val="19"/>
                <w:szCs w:val="19"/>
                <w:lang w:eastAsia="en-IN"/>
                <w14:ligatures w14:val="none"/>
              </w:rPr>
              <w:t>..</w:t>
            </w:r>
          </w:p>
        </w:tc>
        <w:tc>
          <w:tcPr>
            <w:tcW w:w="986" w:type="dxa"/>
            <w:tcBorders>
              <w:top w:val="nil"/>
              <w:left w:val="nil"/>
              <w:bottom w:val="single" w:sz="4" w:space="0" w:color="auto"/>
              <w:right w:val="single" w:sz="4" w:space="0" w:color="auto"/>
            </w:tcBorders>
            <w:noWrap/>
            <w:vAlign w:val="center"/>
            <w:hideMark/>
          </w:tcPr>
          <w:p w14:paraId="7779244D" w14:textId="77777777" w:rsidR="007B1BAC" w:rsidRPr="00801A36" w:rsidRDefault="007B1BAC" w:rsidP="00801A36">
            <w:pPr>
              <w:spacing w:after="0" w:line="240" w:lineRule="auto"/>
              <w:jc w:val="center"/>
              <w:rPr>
                <w:rFonts w:ascii="Times New Roman" w:eastAsia="Times New Roman" w:hAnsi="Times New Roman" w:cs="Times New Roman"/>
                <w:color w:val="000000"/>
                <w:kern w:val="0"/>
                <w:sz w:val="19"/>
                <w:szCs w:val="19"/>
                <w:lang w:eastAsia="en-IN"/>
                <w14:ligatures w14:val="none"/>
              </w:rPr>
            </w:pPr>
            <w:r w:rsidRPr="00801A36">
              <w:rPr>
                <w:rFonts w:ascii="Times New Roman" w:eastAsia="Times New Roman" w:hAnsi="Times New Roman" w:cs="Times New Roman"/>
                <w:color w:val="000000"/>
                <w:kern w:val="0"/>
                <w:sz w:val="19"/>
                <w:szCs w:val="19"/>
                <w:lang w:eastAsia="en-IN"/>
                <w14:ligatures w14:val="none"/>
              </w:rPr>
              <w:t>..</w:t>
            </w:r>
          </w:p>
        </w:tc>
        <w:tc>
          <w:tcPr>
            <w:tcW w:w="1084" w:type="dxa"/>
            <w:tcBorders>
              <w:top w:val="nil"/>
              <w:left w:val="nil"/>
              <w:bottom w:val="single" w:sz="4" w:space="0" w:color="auto"/>
              <w:right w:val="single" w:sz="4" w:space="0" w:color="auto"/>
            </w:tcBorders>
            <w:noWrap/>
            <w:vAlign w:val="center"/>
            <w:hideMark/>
          </w:tcPr>
          <w:p w14:paraId="7D728E36" w14:textId="77777777" w:rsidR="007B1BAC" w:rsidRPr="00801A36" w:rsidRDefault="007B1BAC" w:rsidP="00801A36">
            <w:pPr>
              <w:spacing w:after="0" w:line="240" w:lineRule="auto"/>
              <w:jc w:val="center"/>
              <w:rPr>
                <w:rFonts w:ascii="Times New Roman" w:eastAsia="Times New Roman" w:hAnsi="Times New Roman" w:cs="Times New Roman"/>
                <w:color w:val="000000"/>
                <w:kern w:val="0"/>
                <w:sz w:val="19"/>
                <w:szCs w:val="19"/>
                <w:lang w:eastAsia="en-IN"/>
                <w14:ligatures w14:val="none"/>
              </w:rPr>
            </w:pPr>
            <w:r w:rsidRPr="00801A36">
              <w:rPr>
                <w:rFonts w:ascii="Times New Roman" w:eastAsia="Times New Roman" w:hAnsi="Times New Roman" w:cs="Times New Roman"/>
                <w:color w:val="000000"/>
                <w:kern w:val="0"/>
                <w:sz w:val="19"/>
                <w:szCs w:val="19"/>
                <w:lang w:eastAsia="en-IN"/>
                <w14:ligatures w14:val="none"/>
              </w:rPr>
              <w:t>..</w:t>
            </w:r>
          </w:p>
        </w:tc>
        <w:tc>
          <w:tcPr>
            <w:tcW w:w="1070" w:type="dxa"/>
            <w:tcBorders>
              <w:top w:val="nil"/>
              <w:left w:val="nil"/>
              <w:bottom w:val="single" w:sz="4" w:space="0" w:color="auto"/>
              <w:right w:val="single" w:sz="4" w:space="0" w:color="auto"/>
            </w:tcBorders>
            <w:noWrap/>
            <w:vAlign w:val="center"/>
            <w:hideMark/>
          </w:tcPr>
          <w:p w14:paraId="2EC6B1B8" w14:textId="77777777" w:rsidR="007B1BAC" w:rsidRPr="00801A36" w:rsidRDefault="007B1BAC" w:rsidP="00801A36">
            <w:pPr>
              <w:spacing w:after="0" w:line="240" w:lineRule="auto"/>
              <w:jc w:val="center"/>
              <w:rPr>
                <w:rFonts w:ascii="Times New Roman" w:eastAsia="Times New Roman" w:hAnsi="Times New Roman" w:cs="Times New Roman"/>
                <w:color w:val="000000"/>
                <w:kern w:val="0"/>
                <w:sz w:val="19"/>
                <w:szCs w:val="19"/>
                <w:lang w:eastAsia="en-IN"/>
                <w14:ligatures w14:val="none"/>
              </w:rPr>
            </w:pPr>
            <w:r w:rsidRPr="00801A36">
              <w:rPr>
                <w:rFonts w:ascii="Times New Roman" w:eastAsia="Times New Roman" w:hAnsi="Times New Roman" w:cs="Times New Roman"/>
                <w:color w:val="000000"/>
                <w:kern w:val="0"/>
                <w:sz w:val="19"/>
                <w:szCs w:val="19"/>
                <w:lang w:eastAsia="en-IN"/>
                <w14:ligatures w14:val="none"/>
              </w:rPr>
              <w:t>..</w:t>
            </w:r>
          </w:p>
        </w:tc>
        <w:tc>
          <w:tcPr>
            <w:tcW w:w="1196" w:type="dxa"/>
            <w:tcBorders>
              <w:top w:val="nil"/>
              <w:left w:val="nil"/>
              <w:bottom w:val="single" w:sz="4" w:space="0" w:color="auto"/>
              <w:right w:val="single" w:sz="4" w:space="0" w:color="auto"/>
            </w:tcBorders>
            <w:noWrap/>
            <w:vAlign w:val="center"/>
            <w:hideMark/>
          </w:tcPr>
          <w:p w14:paraId="179C9C50" w14:textId="77777777" w:rsidR="007B1BAC" w:rsidRPr="00801A36" w:rsidRDefault="007B1BAC" w:rsidP="00801A36">
            <w:pPr>
              <w:spacing w:after="0" w:line="240" w:lineRule="auto"/>
              <w:jc w:val="center"/>
              <w:rPr>
                <w:rFonts w:ascii="Times New Roman" w:eastAsia="Times New Roman" w:hAnsi="Times New Roman" w:cs="Times New Roman"/>
                <w:color w:val="000000"/>
                <w:kern w:val="0"/>
                <w:sz w:val="19"/>
                <w:szCs w:val="19"/>
                <w:lang w:eastAsia="en-IN"/>
                <w14:ligatures w14:val="none"/>
              </w:rPr>
            </w:pPr>
            <w:r w:rsidRPr="00801A36">
              <w:rPr>
                <w:rFonts w:ascii="Times New Roman" w:eastAsia="Times New Roman" w:hAnsi="Times New Roman" w:cs="Times New Roman"/>
                <w:color w:val="000000"/>
                <w:kern w:val="0"/>
                <w:sz w:val="19"/>
                <w:szCs w:val="19"/>
                <w:lang w:eastAsia="en-IN"/>
                <w14:ligatures w14:val="none"/>
              </w:rPr>
              <w:t>..</w:t>
            </w:r>
          </w:p>
        </w:tc>
        <w:tc>
          <w:tcPr>
            <w:tcW w:w="986" w:type="dxa"/>
            <w:tcBorders>
              <w:top w:val="nil"/>
              <w:left w:val="nil"/>
              <w:bottom w:val="single" w:sz="4" w:space="0" w:color="auto"/>
              <w:right w:val="single" w:sz="4" w:space="0" w:color="auto"/>
            </w:tcBorders>
            <w:noWrap/>
            <w:vAlign w:val="center"/>
            <w:hideMark/>
          </w:tcPr>
          <w:p w14:paraId="6E2572F0" w14:textId="77777777" w:rsidR="007B1BAC" w:rsidRPr="00801A36" w:rsidRDefault="007B1BAC" w:rsidP="00801A36">
            <w:pPr>
              <w:spacing w:after="0" w:line="240" w:lineRule="auto"/>
              <w:jc w:val="center"/>
              <w:rPr>
                <w:rFonts w:ascii="Times New Roman" w:eastAsia="Times New Roman" w:hAnsi="Times New Roman" w:cs="Times New Roman"/>
                <w:color w:val="000000"/>
                <w:kern w:val="0"/>
                <w:sz w:val="19"/>
                <w:szCs w:val="19"/>
                <w:lang w:eastAsia="en-IN"/>
                <w14:ligatures w14:val="none"/>
              </w:rPr>
            </w:pPr>
            <w:r w:rsidRPr="00801A36">
              <w:rPr>
                <w:rFonts w:ascii="Times New Roman" w:eastAsia="Times New Roman" w:hAnsi="Times New Roman" w:cs="Times New Roman"/>
                <w:color w:val="000000"/>
                <w:kern w:val="0"/>
                <w:sz w:val="19"/>
                <w:szCs w:val="19"/>
                <w:lang w:eastAsia="en-IN"/>
                <w14:ligatures w14:val="none"/>
              </w:rPr>
              <w:t>..</w:t>
            </w:r>
          </w:p>
        </w:tc>
        <w:tc>
          <w:tcPr>
            <w:tcW w:w="1084" w:type="dxa"/>
            <w:tcBorders>
              <w:top w:val="nil"/>
              <w:left w:val="nil"/>
              <w:bottom w:val="single" w:sz="4" w:space="0" w:color="auto"/>
              <w:right w:val="single" w:sz="4" w:space="0" w:color="auto"/>
            </w:tcBorders>
            <w:noWrap/>
            <w:vAlign w:val="center"/>
            <w:hideMark/>
          </w:tcPr>
          <w:p w14:paraId="2DB76523" w14:textId="77777777" w:rsidR="007B1BAC" w:rsidRPr="00801A36" w:rsidRDefault="007B1BAC" w:rsidP="00801A36">
            <w:pPr>
              <w:spacing w:after="0" w:line="240" w:lineRule="auto"/>
              <w:jc w:val="center"/>
              <w:rPr>
                <w:rFonts w:ascii="Times New Roman" w:eastAsia="Times New Roman" w:hAnsi="Times New Roman" w:cs="Times New Roman"/>
                <w:color w:val="000000"/>
                <w:kern w:val="0"/>
                <w:sz w:val="19"/>
                <w:szCs w:val="19"/>
                <w:lang w:eastAsia="en-IN"/>
                <w14:ligatures w14:val="none"/>
              </w:rPr>
            </w:pPr>
            <w:r w:rsidRPr="00801A36">
              <w:rPr>
                <w:rFonts w:ascii="Times New Roman" w:eastAsia="Times New Roman" w:hAnsi="Times New Roman" w:cs="Times New Roman"/>
                <w:color w:val="000000"/>
                <w:kern w:val="0"/>
                <w:sz w:val="19"/>
                <w:szCs w:val="19"/>
                <w:lang w:eastAsia="en-IN"/>
                <w14:ligatures w14:val="none"/>
              </w:rPr>
              <w:t>72.21</w:t>
            </w:r>
          </w:p>
        </w:tc>
        <w:tc>
          <w:tcPr>
            <w:tcW w:w="1070" w:type="dxa"/>
            <w:tcBorders>
              <w:top w:val="nil"/>
              <w:left w:val="nil"/>
              <w:bottom w:val="single" w:sz="4" w:space="0" w:color="auto"/>
              <w:right w:val="single" w:sz="4" w:space="0" w:color="auto"/>
            </w:tcBorders>
            <w:noWrap/>
            <w:vAlign w:val="center"/>
            <w:hideMark/>
          </w:tcPr>
          <w:p w14:paraId="6FAFC49B" w14:textId="77777777" w:rsidR="007B1BAC" w:rsidRPr="00801A36" w:rsidRDefault="007B1BAC" w:rsidP="00801A36">
            <w:pPr>
              <w:spacing w:after="0" w:line="240" w:lineRule="auto"/>
              <w:jc w:val="center"/>
              <w:rPr>
                <w:rFonts w:ascii="Times New Roman" w:eastAsia="Times New Roman" w:hAnsi="Times New Roman" w:cs="Times New Roman"/>
                <w:color w:val="000000"/>
                <w:kern w:val="0"/>
                <w:sz w:val="19"/>
                <w:szCs w:val="19"/>
                <w:lang w:eastAsia="en-IN"/>
                <w14:ligatures w14:val="none"/>
              </w:rPr>
            </w:pPr>
            <w:r w:rsidRPr="00801A36">
              <w:rPr>
                <w:rFonts w:ascii="Times New Roman" w:eastAsia="Times New Roman" w:hAnsi="Times New Roman" w:cs="Times New Roman"/>
                <w:color w:val="000000"/>
                <w:kern w:val="0"/>
                <w:sz w:val="19"/>
                <w:szCs w:val="19"/>
                <w:lang w:eastAsia="en-IN"/>
                <w14:ligatures w14:val="none"/>
              </w:rPr>
              <w:t>..</w:t>
            </w:r>
          </w:p>
        </w:tc>
        <w:tc>
          <w:tcPr>
            <w:tcW w:w="1196" w:type="dxa"/>
            <w:tcBorders>
              <w:top w:val="nil"/>
              <w:left w:val="nil"/>
              <w:bottom w:val="single" w:sz="4" w:space="0" w:color="auto"/>
              <w:right w:val="single" w:sz="4" w:space="0" w:color="auto"/>
            </w:tcBorders>
            <w:noWrap/>
            <w:vAlign w:val="center"/>
            <w:hideMark/>
          </w:tcPr>
          <w:p w14:paraId="451666CB" w14:textId="77777777" w:rsidR="007B1BAC" w:rsidRPr="00801A36" w:rsidRDefault="007B1BAC" w:rsidP="00801A36">
            <w:pPr>
              <w:spacing w:after="0" w:line="240" w:lineRule="auto"/>
              <w:jc w:val="center"/>
              <w:rPr>
                <w:rFonts w:ascii="Times New Roman" w:eastAsia="Times New Roman" w:hAnsi="Times New Roman" w:cs="Times New Roman"/>
                <w:color w:val="000000"/>
                <w:kern w:val="0"/>
                <w:sz w:val="19"/>
                <w:szCs w:val="19"/>
                <w:lang w:eastAsia="en-IN"/>
                <w14:ligatures w14:val="none"/>
              </w:rPr>
            </w:pPr>
            <w:r w:rsidRPr="00801A36">
              <w:rPr>
                <w:rFonts w:ascii="Times New Roman" w:eastAsia="Times New Roman" w:hAnsi="Times New Roman" w:cs="Times New Roman"/>
                <w:color w:val="000000"/>
                <w:kern w:val="0"/>
                <w:sz w:val="19"/>
                <w:szCs w:val="19"/>
                <w:lang w:eastAsia="en-IN"/>
                <w14:ligatures w14:val="none"/>
              </w:rPr>
              <w:t>..</w:t>
            </w:r>
          </w:p>
        </w:tc>
        <w:tc>
          <w:tcPr>
            <w:tcW w:w="986" w:type="dxa"/>
            <w:tcBorders>
              <w:top w:val="nil"/>
              <w:left w:val="nil"/>
              <w:bottom w:val="single" w:sz="4" w:space="0" w:color="auto"/>
              <w:right w:val="single" w:sz="4" w:space="0" w:color="auto"/>
            </w:tcBorders>
            <w:noWrap/>
            <w:vAlign w:val="center"/>
            <w:hideMark/>
          </w:tcPr>
          <w:p w14:paraId="07725696" w14:textId="77777777" w:rsidR="007B1BAC" w:rsidRPr="00801A36" w:rsidRDefault="007B1BAC" w:rsidP="00801A36">
            <w:pPr>
              <w:spacing w:after="0" w:line="240" w:lineRule="auto"/>
              <w:jc w:val="center"/>
              <w:rPr>
                <w:rFonts w:ascii="Times New Roman" w:eastAsia="Times New Roman" w:hAnsi="Times New Roman" w:cs="Times New Roman"/>
                <w:color w:val="000000"/>
                <w:kern w:val="0"/>
                <w:sz w:val="19"/>
                <w:szCs w:val="19"/>
                <w:lang w:eastAsia="en-IN"/>
                <w14:ligatures w14:val="none"/>
              </w:rPr>
            </w:pPr>
            <w:r w:rsidRPr="00801A36">
              <w:rPr>
                <w:rFonts w:ascii="Times New Roman" w:eastAsia="Times New Roman" w:hAnsi="Times New Roman" w:cs="Times New Roman"/>
                <w:color w:val="000000"/>
                <w:kern w:val="0"/>
                <w:sz w:val="19"/>
                <w:szCs w:val="19"/>
                <w:lang w:eastAsia="en-IN"/>
                <w14:ligatures w14:val="none"/>
              </w:rPr>
              <w:t>72.21</w:t>
            </w:r>
          </w:p>
        </w:tc>
      </w:tr>
      <w:tr w:rsidR="007B1BAC" w:rsidRPr="00801A36" w14:paraId="377848A5" w14:textId="77777777" w:rsidTr="00801A36">
        <w:trPr>
          <w:trHeight w:val="20"/>
          <w:jc w:val="center"/>
        </w:trPr>
        <w:tc>
          <w:tcPr>
            <w:tcW w:w="618" w:type="dxa"/>
            <w:tcBorders>
              <w:top w:val="nil"/>
              <w:left w:val="single" w:sz="4" w:space="0" w:color="auto"/>
              <w:bottom w:val="single" w:sz="4" w:space="0" w:color="auto"/>
              <w:right w:val="single" w:sz="4" w:space="0" w:color="auto"/>
            </w:tcBorders>
            <w:noWrap/>
            <w:vAlign w:val="bottom"/>
            <w:hideMark/>
          </w:tcPr>
          <w:p w14:paraId="1C387747" w14:textId="77777777" w:rsidR="007B1BAC" w:rsidRPr="00801A36" w:rsidRDefault="007B1BAC" w:rsidP="007B1BAC">
            <w:pPr>
              <w:spacing w:after="0" w:line="240" w:lineRule="auto"/>
              <w:rPr>
                <w:rFonts w:ascii="Times New Roman" w:eastAsia="Times New Roman" w:hAnsi="Times New Roman" w:cs="Times New Roman"/>
                <w:color w:val="000000"/>
                <w:kern w:val="0"/>
                <w:sz w:val="19"/>
                <w:szCs w:val="19"/>
                <w:lang w:eastAsia="en-IN"/>
                <w14:ligatures w14:val="none"/>
              </w:rPr>
            </w:pPr>
            <w:r w:rsidRPr="00801A36">
              <w:rPr>
                <w:rFonts w:ascii="Times New Roman" w:eastAsia="Times New Roman" w:hAnsi="Times New Roman" w:cs="Times New Roman"/>
                <w:color w:val="000000"/>
                <w:kern w:val="0"/>
                <w:sz w:val="19"/>
                <w:szCs w:val="19"/>
                <w:lang w:eastAsia="en-IN"/>
                <w14:ligatures w14:val="none"/>
              </w:rPr>
              <w:t> </w:t>
            </w:r>
          </w:p>
        </w:tc>
        <w:tc>
          <w:tcPr>
            <w:tcW w:w="1680" w:type="dxa"/>
            <w:tcBorders>
              <w:top w:val="nil"/>
              <w:left w:val="nil"/>
              <w:bottom w:val="single" w:sz="4" w:space="0" w:color="auto"/>
              <w:right w:val="single" w:sz="4" w:space="0" w:color="auto"/>
            </w:tcBorders>
            <w:noWrap/>
            <w:vAlign w:val="bottom"/>
            <w:hideMark/>
          </w:tcPr>
          <w:p w14:paraId="3D4495A4" w14:textId="77777777" w:rsidR="007B1BAC" w:rsidRPr="00801A36" w:rsidRDefault="007B1BAC" w:rsidP="007B1BAC">
            <w:pPr>
              <w:spacing w:after="0" w:line="240" w:lineRule="auto"/>
              <w:rPr>
                <w:rFonts w:ascii="Times New Roman" w:eastAsia="Times New Roman" w:hAnsi="Times New Roman" w:cs="Times New Roman"/>
                <w:color w:val="000000"/>
                <w:kern w:val="0"/>
                <w:sz w:val="19"/>
                <w:szCs w:val="19"/>
                <w:lang w:eastAsia="en-IN"/>
                <w14:ligatures w14:val="none"/>
              </w:rPr>
            </w:pPr>
            <w:r w:rsidRPr="00801A36">
              <w:rPr>
                <w:rFonts w:ascii="Times New Roman" w:eastAsia="Times New Roman" w:hAnsi="Times New Roman" w:cs="Times New Roman"/>
                <w:color w:val="000000"/>
                <w:kern w:val="0"/>
                <w:sz w:val="19"/>
                <w:szCs w:val="19"/>
                <w:lang w:eastAsia="en-IN"/>
                <w14:ligatures w14:val="none"/>
              </w:rPr>
              <w:t>Northern</w:t>
            </w:r>
          </w:p>
        </w:tc>
        <w:tc>
          <w:tcPr>
            <w:tcW w:w="1084" w:type="dxa"/>
            <w:tcBorders>
              <w:top w:val="nil"/>
              <w:left w:val="nil"/>
              <w:bottom w:val="single" w:sz="4" w:space="0" w:color="auto"/>
              <w:right w:val="single" w:sz="4" w:space="0" w:color="auto"/>
            </w:tcBorders>
            <w:noWrap/>
            <w:vAlign w:val="center"/>
            <w:hideMark/>
          </w:tcPr>
          <w:p w14:paraId="0B2D8CEC" w14:textId="77777777" w:rsidR="007B1BAC" w:rsidRPr="00801A36" w:rsidRDefault="007B1BAC" w:rsidP="00801A36">
            <w:pPr>
              <w:spacing w:after="0" w:line="240" w:lineRule="auto"/>
              <w:jc w:val="center"/>
              <w:rPr>
                <w:rFonts w:ascii="Times New Roman" w:eastAsia="Times New Roman" w:hAnsi="Times New Roman" w:cs="Times New Roman"/>
                <w:color w:val="000000"/>
                <w:kern w:val="0"/>
                <w:sz w:val="19"/>
                <w:szCs w:val="19"/>
                <w:lang w:eastAsia="en-IN"/>
                <w14:ligatures w14:val="none"/>
              </w:rPr>
            </w:pPr>
            <w:r w:rsidRPr="00801A36">
              <w:rPr>
                <w:rFonts w:ascii="Times New Roman" w:eastAsia="Times New Roman" w:hAnsi="Times New Roman" w:cs="Times New Roman"/>
                <w:color w:val="000000"/>
                <w:kern w:val="0"/>
                <w:sz w:val="19"/>
                <w:szCs w:val="19"/>
                <w:lang w:eastAsia="en-IN"/>
                <w14:ligatures w14:val="none"/>
              </w:rPr>
              <w:t>..</w:t>
            </w:r>
          </w:p>
        </w:tc>
        <w:tc>
          <w:tcPr>
            <w:tcW w:w="1070" w:type="dxa"/>
            <w:tcBorders>
              <w:top w:val="nil"/>
              <w:left w:val="nil"/>
              <w:bottom w:val="single" w:sz="4" w:space="0" w:color="auto"/>
              <w:right w:val="single" w:sz="4" w:space="0" w:color="auto"/>
            </w:tcBorders>
            <w:noWrap/>
            <w:vAlign w:val="center"/>
            <w:hideMark/>
          </w:tcPr>
          <w:p w14:paraId="6D83F321" w14:textId="77777777" w:rsidR="007B1BAC" w:rsidRPr="00801A36" w:rsidRDefault="007B1BAC" w:rsidP="00801A36">
            <w:pPr>
              <w:spacing w:after="0" w:line="240" w:lineRule="auto"/>
              <w:jc w:val="center"/>
              <w:rPr>
                <w:rFonts w:ascii="Times New Roman" w:eastAsia="Times New Roman" w:hAnsi="Times New Roman" w:cs="Times New Roman"/>
                <w:color w:val="000000"/>
                <w:kern w:val="0"/>
                <w:sz w:val="19"/>
                <w:szCs w:val="19"/>
                <w:lang w:eastAsia="en-IN"/>
                <w14:ligatures w14:val="none"/>
              </w:rPr>
            </w:pPr>
            <w:r w:rsidRPr="00801A36">
              <w:rPr>
                <w:rFonts w:ascii="Times New Roman" w:eastAsia="Times New Roman" w:hAnsi="Times New Roman" w:cs="Times New Roman"/>
                <w:color w:val="000000"/>
                <w:kern w:val="0"/>
                <w:sz w:val="19"/>
                <w:szCs w:val="19"/>
                <w:lang w:eastAsia="en-IN"/>
                <w14:ligatures w14:val="none"/>
              </w:rPr>
              <w:t>..</w:t>
            </w:r>
          </w:p>
        </w:tc>
        <w:tc>
          <w:tcPr>
            <w:tcW w:w="1196" w:type="dxa"/>
            <w:tcBorders>
              <w:top w:val="nil"/>
              <w:left w:val="nil"/>
              <w:bottom w:val="single" w:sz="4" w:space="0" w:color="auto"/>
              <w:right w:val="single" w:sz="4" w:space="0" w:color="auto"/>
            </w:tcBorders>
            <w:noWrap/>
            <w:vAlign w:val="center"/>
            <w:hideMark/>
          </w:tcPr>
          <w:p w14:paraId="7A131812" w14:textId="77777777" w:rsidR="007B1BAC" w:rsidRPr="00801A36" w:rsidRDefault="007B1BAC" w:rsidP="00801A36">
            <w:pPr>
              <w:spacing w:after="0" w:line="240" w:lineRule="auto"/>
              <w:jc w:val="center"/>
              <w:rPr>
                <w:rFonts w:ascii="Times New Roman" w:eastAsia="Times New Roman" w:hAnsi="Times New Roman" w:cs="Times New Roman"/>
                <w:color w:val="000000"/>
                <w:kern w:val="0"/>
                <w:sz w:val="19"/>
                <w:szCs w:val="19"/>
                <w:lang w:eastAsia="en-IN"/>
                <w14:ligatures w14:val="none"/>
              </w:rPr>
            </w:pPr>
            <w:r w:rsidRPr="00801A36">
              <w:rPr>
                <w:rFonts w:ascii="Times New Roman" w:eastAsia="Times New Roman" w:hAnsi="Times New Roman" w:cs="Times New Roman"/>
                <w:color w:val="000000"/>
                <w:kern w:val="0"/>
                <w:sz w:val="19"/>
                <w:szCs w:val="19"/>
                <w:lang w:eastAsia="en-IN"/>
                <w14:ligatures w14:val="none"/>
              </w:rPr>
              <w:t>..</w:t>
            </w:r>
          </w:p>
        </w:tc>
        <w:tc>
          <w:tcPr>
            <w:tcW w:w="986" w:type="dxa"/>
            <w:tcBorders>
              <w:top w:val="nil"/>
              <w:left w:val="nil"/>
              <w:bottom w:val="single" w:sz="4" w:space="0" w:color="auto"/>
              <w:right w:val="single" w:sz="4" w:space="0" w:color="auto"/>
            </w:tcBorders>
            <w:noWrap/>
            <w:vAlign w:val="center"/>
            <w:hideMark/>
          </w:tcPr>
          <w:p w14:paraId="498F57B6" w14:textId="77777777" w:rsidR="007B1BAC" w:rsidRPr="00801A36" w:rsidRDefault="007B1BAC" w:rsidP="00801A36">
            <w:pPr>
              <w:spacing w:after="0" w:line="240" w:lineRule="auto"/>
              <w:jc w:val="center"/>
              <w:rPr>
                <w:rFonts w:ascii="Times New Roman" w:eastAsia="Times New Roman" w:hAnsi="Times New Roman" w:cs="Times New Roman"/>
                <w:color w:val="000000"/>
                <w:kern w:val="0"/>
                <w:sz w:val="19"/>
                <w:szCs w:val="19"/>
                <w:lang w:eastAsia="en-IN"/>
                <w14:ligatures w14:val="none"/>
              </w:rPr>
            </w:pPr>
            <w:r w:rsidRPr="00801A36">
              <w:rPr>
                <w:rFonts w:ascii="Times New Roman" w:eastAsia="Times New Roman" w:hAnsi="Times New Roman" w:cs="Times New Roman"/>
                <w:color w:val="000000"/>
                <w:kern w:val="0"/>
                <w:sz w:val="19"/>
                <w:szCs w:val="19"/>
                <w:lang w:eastAsia="en-IN"/>
                <w14:ligatures w14:val="none"/>
              </w:rPr>
              <w:t>..</w:t>
            </w:r>
          </w:p>
        </w:tc>
        <w:tc>
          <w:tcPr>
            <w:tcW w:w="1084" w:type="dxa"/>
            <w:tcBorders>
              <w:top w:val="nil"/>
              <w:left w:val="nil"/>
              <w:bottom w:val="single" w:sz="4" w:space="0" w:color="auto"/>
              <w:right w:val="single" w:sz="4" w:space="0" w:color="auto"/>
            </w:tcBorders>
            <w:noWrap/>
            <w:vAlign w:val="center"/>
            <w:hideMark/>
          </w:tcPr>
          <w:p w14:paraId="1B24AD9F" w14:textId="77777777" w:rsidR="007B1BAC" w:rsidRPr="00801A36" w:rsidRDefault="007B1BAC" w:rsidP="00801A36">
            <w:pPr>
              <w:spacing w:after="0" w:line="240" w:lineRule="auto"/>
              <w:jc w:val="center"/>
              <w:rPr>
                <w:rFonts w:ascii="Times New Roman" w:eastAsia="Times New Roman" w:hAnsi="Times New Roman" w:cs="Times New Roman"/>
                <w:color w:val="000000"/>
                <w:kern w:val="0"/>
                <w:sz w:val="19"/>
                <w:szCs w:val="19"/>
                <w:lang w:eastAsia="en-IN"/>
                <w14:ligatures w14:val="none"/>
              </w:rPr>
            </w:pPr>
            <w:r w:rsidRPr="00801A36">
              <w:rPr>
                <w:rFonts w:ascii="Times New Roman" w:eastAsia="Times New Roman" w:hAnsi="Times New Roman" w:cs="Times New Roman"/>
                <w:color w:val="000000"/>
                <w:kern w:val="0"/>
                <w:sz w:val="19"/>
                <w:szCs w:val="19"/>
                <w:lang w:eastAsia="en-IN"/>
                <w14:ligatures w14:val="none"/>
              </w:rPr>
              <w:t>..</w:t>
            </w:r>
          </w:p>
        </w:tc>
        <w:tc>
          <w:tcPr>
            <w:tcW w:w="1070" w:type="dxa"/>
            <w:tcBorders>
              <w:top w:val="nil"/>
              <w:left w:val="nil"/>
              <w:bottom w:val="single" w:sz="4" w:space="0" w:color="auto"/>
              <w:right w:val="single" w:sz="4" w:space="0" w:color="auto"/>
            </w:tcBorders>
            <w:noWrap/>
            <w:vAlign w:val="center"/>
            <w:hideMark/>
          </w:tcPr>
          <w:p w14:paraId="692571B2" w14:textId="77777777" w:rsidR="007B1BAC" w:rsidRPr="00801A36" w:rsidRDefault="007B1BAC" w:rsidP="00801A36">
            <w:pPr>
              <w:spacing w:after="0" w:line="240" w:lineRule="auto"/>
              <w:jc w:val="center"/>
              <w:rPr>
                <w:rFonts w:ascii="Times New Roman" w:eastAsia="Times New Roman" w:hAnsi="Times New Roman" w:cs="Times New Roman"/>
                <w:color w:val="000000"/>
                <w:kern w:val="0"/>
                <w:sz w:val="19"/>
                <w:szCs w:val="19"/>
                <w:lang w:eastAsia="en-IN"/>
                <w14:ligatures w14:val="none"/>
              </w:rPr>
            </w:pPr>
            <w:r w:rsidRPr="00801A36">
              <w:rPr>
                <w:rFonts w:ascii="Times New Roman" w:eastAsia="Times New Roman" w:hAnsi="Times New Roman" w:cs="Times New Roman"/>
                <w:color w:val="000000"/>
                <w:kern w:val="0"/>
                <w:sz w:val="19"/>
                <w:szCs w:val="19"/>
                <w:lang w:eastAsia="en-IN"/>
                <w14:ligatures w14:val="none"/>
              </w:rPr>
              <w:t>..</w:t>
            </w:r>
          </w:p>
        </w:tc>
        <w:tc>
          <w:tcPr>
            <w:tcW w:w="1196" w:type="dxa"/>
            <w:tcBorders>
              <w:top w:val="nil"/>
              <w:left w:val="nil"/>
              <w:bottom w:val="single" w:sz="4" w:space="0" w:color="auto"/>
              <w:right w:val="single" w:sz="4" w:space="0" w:color="auto"/>
            </w:tcBorders>
            <w:noWrap/>
            <w:vAlign w:val="center"/>
            <w:hideMark/>
          </w:tcPr>
          <w:p w14:paraId="5C8797B3" w14:textId="77777777" w:rsidR="007B1BAC" w:rsidRPr="00801A36" w:rsidRDefault="007B1BAC" w:rsidP="00801A36">
            <w:pPr>
              <w:spacing w:after="0" w:line="240" w:lineRule="auto"/>
              <w:jc w:val="center"/>
              <w:rPr>
                <w:rFonts w:ascii="Times New Roman" w:eastAsia="Times New Roman" w:hAnsi="Times New Roman" w:cs="Times New Roman"/>
                <w:color w:val="000000"/>
                <w:kern w:val="0"/>
                <w:sz w:val="19"/>
                <w:szCs w:val="19"/>
                <w:lang w:eastAsia="en-IN"/>
                <w14:ligatures w14:val="none"/>
              </w:rPr>
            </w:pPr>
            <w:r w:rsidRPr="00801A36">
              <w:rPr>
                <w:rFonts w:ascii="Times New Roman" w:eastAsia="Times New Roman" w:hAnsi="Times New Roman" w:cs="Times New Roman"/>
                <w:color w:val="000000"/>
                <w:kern w:val="0"/>
                <w:sz w:val="19"/>
                <w:szCs w:val="19"/>
                <w:lang w:eastAsia="en-IN"/>
                <w14:ligatures w14:val="none"/>
              </w:rPr>
              <w:t>..</w:t>
            </w:r>
          </w:p>
        </w:tc>
        <w:tc>
          <w:tcPr>
            <w:tcW w:w="986" w:type="dxa"/>
            <w:tcBorders>
              <w:top w:val="nil"/>
              <w:left w:val="nil"/>
              <w:bottom w:val="single" w:sz="4" w:space="0" w:color="auto"/>
              <w:right w:val="single" w:sz="4" w:space="0" w:color="auto"/>
            </w:tcBorders>
            <w:noWrap/>
            <w:vAlign w:val="center"/>
            <w:hideMark/>
          </w:tcPr>
          <w:p w14:paraId="58D3864B" w14:textId="77777777" w:rsidR="007B1BAC" w:rsidRPr="00801A36" w:rsidRDefault="007B1BAC" w:rsidP="00801A36">
            <w:pPr>
              <w:spacing w:after="0" w:line="240" w:lineRule="auto"/>
              <w:jc w:val="center"/>
              <w:rPr>
                <w:rFonts w:ascii="Times New Roman" w:eastAsia="Times New Roman" w:hAnsi="Times New Roman" w:cs="Times New Roman"/>
                <w:color w:val="000000"/>
                <w:kern w:val="0"/>
                <w:sz w:val="19"/>
                <w:szCs w:val="19"/>
                <w:lang w:eastAsia="en-IN"/>
                <w14:ligatures w14:val="none"/>
              </w:rPr>
            </w:pPr>
            <w:r w:rsidRPr="00801A36">
              <w:rPr>
                <w:rFonts w:ascii="Times New Roman" w:eastAsia="Times New Roman" w:hAnsi="Times New Roman" w:cs="Times New Roman"/>
                <w:color w:val="000000"/>
                <w:kern w:val="0"/>
                <w:sz w:val="19"/>
                <w:szCs w:val="19"/>
                <w:lang w:eastAsia="en-IN"/>
                <w14:ligatures w14:val="none"/>
              </w:rPr>
              <w:t>..</w:t>
            </w:r>
          </w:p>
        </w:tc>
        <w:tc>
          <w:tcPr>
            <w:tcW w:w="1084" w:type="dxa"/>
            <w:tcBorders>
              <w:top w:val="nil"/>
              <w:left w:val="nil"/>
              <w:bottom w:val="single" w:sz="4" w:space="0" w:color="auto"/>
              <w:right w:val="single" w:sz="4" w:space="0" w:color="auto"/>
            </w:tcBorders>
            <w:noWrap/>
            <w:vAlign w:val="center"/>
            <w:hideMark/>
          </w:tcPr>
          <w:p w14:paraId="45D3C409" w14:textId="77777777" w:rsidR="007B1BAC" w:rsidRPr="00801A36" w:rsidRDefault="007B1BAC" w:rsidP="00801A36">
            <w:pPr>
              <w:spacing w:after="0" w:line="240" w:lineRule="auto"/>
              <w:jc w:val="center"/>
              <w:rPr>
                <w:rFonts w:ascii="Times New Roman" w:eastAsia="Times New Roman" w:hAnsi="Times New Roman" w:cs="Times New Roman"/>
                <w:color w:val="000000"/>
                <w:kern w:val="0"/>
                <w:sz w:val="19"/>
                <w:szCs w:val="19"/>
                <w:lang w:eastAsia="en-IN"/>
                <w14:ligatures w14:val="none"/>
              </w:rPr>
            </w:pPr>
            <w:r w:rsidRPr="00801A36">
              <w:rPr>
                <w:rFonts w:ascii="Times New Roman" w:eastAsia="Times New Roman" w:hAnsi="Times New Roman" w:cs="Times New Roman"/>
                <w:color w:val="000000"/>
                <w:kern w:val="0"/>
                <w:sz w:val="19"/>
                <w:szCs w:val="19"/>
                <w:lang w:eastAsia="en-IN"/>
                <w14:ligatures w14:val="none"/>
              </w:rPr>
              <w:t>714.7</w:t>
            </w:r>
          </w:p>
        </w:tc>
        <w:tc>
          <w:tcPr>
            <w:tcW w:w="1070" w:type="dxa"/>
            <w:tcBorders>
              <w:top w:val="nil"/>
              <w:left w:val="nil"/>
              <w:bottom w:val="single" w:sz="4" w:space="0" w:color="auto"/>
              <w:right w:val="single" w:sz="4" w:space="0" w:color="auto"/>
            </w:tcBorders>
            <w:noWrap/>
            <w:vAlign w:val="center"/>
            <w:hideMark/>
          </w:tcPr>
          <w:p w14:paraId="68147079" w14:textId="77777777" w:rsidR="007B1BAC" w:rsidRPr="00801A36" w:rsidRDefault="007B1BAC" w:rsidP="00801A36">
            <w:pPr>
              <w:spacing w:after="0" w:line="240" w:lineRule="auto"/>
              <w:jc w:val="center"/>
              <w:rPr>
                <w:rFonts w:ascii="Times New Roman" w:eastAsia="Times New Roman" w:hAnsi="Times New Roman" w:cs="Times New Roman"/>
                <w:color w:val="000000"/>
                <w:kern w:val="0"/>
                <w:sz w:val="19"/>
                <w:szCs w:val="19"/>
                <w:lang w:eastAsia="en-IN"/>
                <w14:ligatures w14:val="none"/>
              </w:rPr>
            </w:pPr>
            <w:r w:rsidRPr="00801A36">
              <w:rPr>
                <w:rFonts w:ascii="Times New Roman" w:eastAsia="Times New Roman" w:hAnsi="Times New Roman" w:cs="Times New Roman"/>
                <w:color w:val="000000"/>
                <w:kern w:val="0"/>
                <w:sz w:val="19"/>
                <w:szCs w:val="19"/>
                <w:lang w:eastAsia="en-IN"/>
                <w14:ligatures w14:val="none"/>
              </w:rPr>
              <w:t>527.87</w:t>
            </w:r>
          </w:p>
        </w:tc>
        <w:tc>
          <w:tcPr>
            <w:tcW w:w="1196" w:type="dxa"/>
            <w:tcBorders>
              <w:top w:val="nil"/>
              <w:left w:val="nil"/>
              <w:bottom w:val="single" w:sz="4" w:space="0" w:color="auto"/>
              <w:right w:val="single" w:sz="4" w:space="0" w:color="auto"/>
            </w:tcBorders>
            <w:noWrap/>
            <w:vAlign w:val="center"/>
            <w:hideMark/>
          </w:tcPr>
          <w:p w14:paraId="732BBEAD" w14:textId="77777777" w:rsidR="007B1BAC" w:rsidRPr="00801A36" w:rsidRDefault="007B1BAC" w:rsidP="00801A36">
            <w:pPr>
              <w:spacing w:after="0" w:line="240" w:lineRule="auto"/>
              <w:jc w:val="center"/>
              <w:rPr>
                <w:rFonts w:ascii="Times New Roman" w:eastAsia="Times New Roman" w:hAnsi="Times New Roman" w:cs="Times New Roman"/>
                <w:color w:val="000000"/>
                <w:kern w:val="0"/>
                <w:sz w:val="19"/>
                <w:szCs w:val="19"/>
                <w:lang w:eastAsia="en-IN"/>
                <w14:ligatures w14:val="none"/>
              </w:rPr>
            </w:pPr>
            <w:r w:rsidRPr="00801A36">
              <w:rPr>
                <w:rFonts w:ascii="Times New Roman" w:eastAsia="Times New Roman" w:hAnsi="Times New Roman" w:cs="Times New Roman"/>
                <w:color w:val="000000"/>
                <w:kern w:val="0"/>
                <w:sz w:val="19"/>
                <w:szCs w:val="19"/>
                <w:lang w:eastAsia="en-IN"/>
                <w14:ligatures w14:val="none"/>
              </w:rPr>
              <w:t>3.38</w:t>
            </w:r>
          </w:p>
        </w:tc>
        <w:tc>
          <w:tcPr>
            <w:tcW w:w="986" w:type="dxa"/>
            <w:tcBorders>
              <w:top w:val="nil"/>
              <w:left w:val="nil"/>
              <w:bottom w:val="single" w:sz="4" w:space="0" w:color="auto"/>
              <w:right w:val="single" w:sz="4" w:space="0" w:color="auto"/>
            </w:tcBorders>
            <w:noWrap/>
            <w:vAlign w:val="center"/>
            <w:hideMark/>
          </w:tcPr>
          <w:p w14:paraId="703EE230" w14:textId="77777777" w:rsidR="007B1BAC" w:rsidRPr="00801A36" w:rsidRDefault="007B1BAC" w:rsidP="00801A36">
            <w:pPr>
              <w:spacing w:after="0" w:line="240" w:lineRule="auto"/>
              <w:jc w:val="center"/>
              <w:rPr>
                <w:rFonts w:ascii="Times New Roman" w:eastAsia="Times New Roman" w:hAnsi="Times New Roman" w:cs="Times New Roman"/>
                <w:color w:val="000000"/>
                <w:kern w:val="0"/>
                <w:sz w:val="19"/>
                <w:szCs w:val="19"/>
                <w:lang w:eastAsia="en-IN"/>
                <w14:ligatures w14:val="none"/>
              </w:rPr>
            </w:pPr>
            <w:r w:rsidRPr="00801A36">
              <w:rPr>
                <w:rFonts w:ascii="Times New Roman" w:eastAsia="Times New Roman" w:hAnsi="Times New Roman" w:cs="Times New Roman"/>
                <w:color w:val="000000"/>
                <w:kern w:val="0"/>
                <w:sz w:val="19"/>
                <w:szCs w:val="19"/>
                <w:lang w:eastAsia="en-IN"/>
                <w14:ligatures w14:val="none"/>
              </w:rPr>
              <w:t>1245.95</w:t>
            </w:r>
          </w:p>
        </w:tc>
      </w:tr>
      <w:tr w:rsidR="007B1BAC" w:rsidRPr="00801A36" w14:paraId="105FB7E6" w14:textId="77777777" w:rsidTr="00801A36">
        <w:trPr>
          <w:trHeight w:val="20"/>
          <w:jc w:val="center"/>
        </w:trPr>
        <w:tc>
          <w:tcPr>
            <w:tcW w:w="618" w:type="dxa"/>
            <w:tcBorders>
              <w:top w:val="nil"/>
              <w:left w:val="single" w:sz="4" w:space="0" w:color="auto"/>
              <w:bottom w:val="single" w:sz="4" w:space="0" w:color="auto"/>
              <w:right w:val="single" w:sz="4" w:space="0" w:color="auto"/>
            </w:tcBorders>
            <w:noWrap/>
            <w:vAlign w:val="bottom"/>
            <w:hideMark/>
          </w:tcPr>
          <w:p w14:paraId="1C87A980" w14:textId="77777777" w:rsidR="007B1BAC" w:rsidRPr="00801A36" w:rsidRDefault="007B1BAC" w:rsidP="007B1BAC">
            <w:pPr>
              <w:spacing w:after="0" w:line="240" w:lineRule="auto"/>
              <w:rPr>
                <w:rFonts w:ascii="Times New Roman" w:eastAsia="Times New Roman" w:hAnsi="Times New Roman" w:cs="Times New Roman"/>
                <w:color w:val="000000"/>
                <w:kern w:val="0"/>
                <w:sz w:val="19"/>
                <w:szCs w:val="19"/>
                <w:lang w:eastAsia="en-IN"/>
                <w14:ligatures w14:val="none"/>
              </w:rPr>
            </w:pPr>
            <w:r w:rsidRPr="00801A36">
              <w:rPr>
                <w:rFonts w:ascii="Times New Roman" w:eastAsia="Times New Roman" w:hAnsi="Times New Roman" w:cs="Times New Roman"/>
                <w:color w:val="000000"/>
                <w:kern w:val="0"/>
                <w:sz w:val="19"/>
                <w:szCs w:val="19"/>
                <w:lang w:eastAsia="en-IN"/>
                <w14:ligatures w14:val="none"/>
              </w:rPr>
              <w:t> </w:t>
            </w:r>
          </w:p>
        </w:tc>
        <w:tc>
          <w:tcPr>
            <w:tcW w:w="1680" w:type="dxa"/>
            <w:tcBorders>
              <w:top w:val="nil"/>
              <w:left w:val="nil"/>
              <w:bottom w:val="single" w:sz="4" w:space="0" w:color="auto"/>
              <w:right w:val="single" w:sz="4" w:space="0" w:color="auto"/>
            </w:tcBorders>
            <w:noWrap/>
            <w:vAlign w:val="bottom"/>
            <w:hideMark/>
          </w:tcPr>
          <w:p w14:paraId="1B7E58E3" w14:textId="77777777" w:rsidR="007B1BAC" w:rsidRPr="00801A36" w:rsidRDefault="007B1BAC" w:rsidP="007B1BAC">
            <w:pPr>
              <w:spacing w:after="0" w:line="240" w:lineRule="auto"/>
              <w:rPr>
                <w:rFonts w:ascii="Times New Roman" w:eastAsia="Times New Roman" w:hAnsi="Times New Roman" w:cs="Times New Roman"/>
                <w:color w:val="000000"/>
                <w:kern w:val="0"/>
                <w:sz w:val="19"/>
                <w:szCs w:val="19"/>
                <w:lang w:eastAsia="en-IN"/>
                <w14:ligatures w14:val="none"/>
              </w:rPr>
            </w:pPr>
            <w:r w:rsidRPr="00801A36">
              <w:rPr>
                <w:rFonts w:ascii="Times New Roman" w:eastAsia="Times New Roman" w:hAnsi="Times New Roman" w:cs="Times New Roman"/>
                <w:color w:val="000000"/>
                <w:kern w:val="0"/>
                <w:sz w:val="19"/>
                <w:szCs w:val="19"/>
                <w:lang w:eastAsia="en-IN"/>
                <w14:ligatures w14:val="none"/>
              </w:rPr>
              <w:t>Western</w:t>
            </w:r>
          </w:p>
        </w:tc>
        <w:tc>
          <w:tcPr>
            <w:tcW w:w="1084" w:type="dxa"/>
            <w:tcBorders>
              <w:top w:val="nil"/>
              <w:left w:val="nil"/>
              <w:bottom w:val="single" w:sz="4" w:space="0" w:color="auto"/>
              <w:right w:val="single" w:sz="4" w:space="0" w:color="auto"/>
            </w:tcBorders>
            <w:noWrap/>
            <w:vAlign w:val="center"/>
            <w:hideMark/>
          </w:tcPr>
          <w:p w14:paraId="5924B795" w14:textId="77777777" w:rsidR="007B1BAC" w:rsidRPr="00801A36" w:rsidRDefault="007B1BAC" w:rsidP="00801A36">
            <w:pPr>
              <w:spacing w:after="0" w:line="240" w:lineRule="auto"/>
              <w:jc w:val="center"/>
              <w:rPr>
                <w:rFonts w:ascii="Times New Roman" w:eastAsia="Times New Roman" w:hAnsi="Times New Roman" w:cs="Times New Roman"/>
                <w:color w:val="000000"/>
                <w:kern w:val="0"/>
                <w:sz w:val="19"/>
                <w:szCs w:val="19"/>
                <w:lang w:eastAsia="en-IN"/>
                <w14:ligatures w14:val="none"/>
              </w:rPr>
            </w:pPr>
            <w:r w:rsidRPr="00801A36">
              <w:rPr>
                <w:rFonts w:ascii="Times New Roman" w:eastAsia="Times New Roman" w:hAnsi="Times New Roman" w:cs="Times New Roman"/>
                <w:color w:val="000000"/>
                <w:kern w:val="0"/>
                <w:sz w:val="19"/>
                <w:szCs w:val="19"/>
                <w:lang w:eastAsia="en-IN"/>
                <w14:ligatures w14:val="none"/>
              </w:rPr>
              <w:t>..</w:t>
            </w:r>
          </w:p>
        </w:tc>
        <w:tc>
          <w:tcPr>
            <w:tcW w:w="1070" w:type="dxa"/>
            <w:tcBorders>
              <w:top w:val="nil"/>
              <w:left w:val="nil"/>
              <w:bottom w:val="single" w:sz="4" w:space="0" w:color="auto"/>
              <w:right w:val="single" w:sz="4" w:space="0" w:color="auto"/>
            </w:tcBorders>
            <w:noWrap/>
            <w:vAlign w:val="center"/>
            <w:hideMark/>
          </w:tcPr>
          <w:p w14:paraId="70A3B507" w14:textId="77777777" w:rsidR="007B1BAC" w:rsidRPr="00801A36" w:rsidRDefault="007B1BAC" w:rsidP="00801A36">
            <w:pPr>
              <w:spacing w:after="0" w:line="240" w:lineRule="auto"/>
              <w:jc w:val="center"/>
              <w:rPr>
                <w:rFonts w:ascii="Times New Roman" w:eastAsia="Times New Roman" w:hAnsi="Times New Roman" w:cs="Times New Roman"/>
                <w:color w:val="000000"/>
                <w:kern w:val="0"/>
                <w:sz w:val="19"/>
                <w:szCs w:val="19"/>
                <w:lang w:eastAsia="en-IN"/>
                <w14:ligatures w14:val="none"/>
              </w:rPr>
            </w:pPr>
            <w:r w:rsidRPr="00801A36">
              <w:rPr>
                <w:rFonts w:ascii="Times New Roman" w:eastAsia="Times New Roman" w:hAnsi="Times New Roman" w:cs="Times New Roman"/>
                <w:color w:val="000000"/>
                <w:kern w:val="0"/>
                <w:sz w:val="19"/>
                <w:szCs w:val="19"/>
                <w:lang w:eastAsia="en-IN"/>
                <w14:ligatures w14:val="none"/>
              </w:rPr>
              <w:t>..</w:t>
            </w:r>
          </w:p>
        </w:tc>
        <w:tc>
          <w:tcPr>
            <w:tcW w:w="1196" w:type="dxa"/>
            <w:tcBorders>
              <w:top w:val="nil"/>
              <w:left w:val="nil"/>
              <w:bottom w:val="single" w:sz="4" w:space="0" w:color="auto"/>
              <w:right w:val="single" w:sz="4" w:space="0" w:color="auto"/>
            </w:tcBorders>
            <w:noWrap/>
            <w:vAlign w:val="center"/>
            <w:hideMark/>
          </w:tcPr>
          <w:p w14:paraId="5364CEF1" w14:textId="77777777" w:rsidR="007B1BAC" w:rsidRPr="00801A36" w:rsidRDefault="007B1BAC" w:rsidP="00801A36">
            <w:pPr>
              <w:spacing w:after="0" w:line="240" w:lineRule="auto"/>
              <w:jc w:val="center"/>
              <w:rPr>
                <w:rFonts w:ascii="Times New Roman" w:eastAsia="Times New Roman" w:hAnsi="Times New Roman" w:cs="Times New Roman"/>
                <w:color w:val="000000"/>
                <w:kern w:val="0"/>
                <w:sz w:val="19"/>
                <w:szCs w:val="19"/>
                <w:lang w:eastAsia="en-IN"/>
                <w14:ligatures w14:val="none"/>
              </w:rPr>
            </w:pPr>
            <w:r w:rsidRPr="00801A36">
              <w:rPr>
                <w:rFonts w:ascii="Times New Roman" w:eastAsia="Times New Roman" w:hAnsi="Times New Roman" w:cs="Times New Roman"/>
                <w:color w:val="000000"/>
                <w:kern w:val="0"/>
                <w:sz w:val="19"/>
                <w:szCs w:val="19"/>
                <w:lang w:eastAsia="en-IN"/>
                <w14:ligatures w14:val="none"/>
              </w:rPr>
              <w:t>..</w:t>
            </w:r>
          </w:p>
        </w:tc>
        <w:tc>
          <w:tcPr>
            <w:tcW w:w="986" w:type="dxa"/>
            <w:tcBorders>
              <w:top w:val="nil"/>
              <w:left w:val="nil"/>
              <w:bottom w:val="single" w:sz="4" w:space="0" w:color="auto"/>
              <w:right w:val="single" w:sz="4" w:space="0" w:color="auto"/>
            </w:tcBorders>
            <w:noWrap/>
            <w:vAlign w:val="center"/>
            <w:hideMark/>
          </w:tcPr>
          <w:p w14:paraId="5D63E810" w14:textId="77777777" w:rsidR="007B1BAC" w:rsidRPr="00801A36" w:rsidRDefault="007B1BAC" w:rsidP="00801A36">
            <w:pPr>
              <w:spacing w:after="0" w:line="240" w:lineRule="auto"/>
              <w:jc w:val="center"/>
              <w:rPr>
                <w:rFonts w:ascii="Times New Roman" w:eastAsia="Times New Roman" w:hAnsi="Times New Roman" w:cs="Times New Roman"/>
                <w:color w:val="000000"/>
                <w:kern w:val="0"/>
                <w:sz w:val="19"/>
                <w:szCs w:val="19"/>
                <w:lang w:eastAsia="en-IN"/>
                <w14:ligatures w14:val="none"/>
              </w:rPr>
            </w:pPr>
            <w:r w:rsidRPr="00801A36">
              <w:rPr>
                <w:rFonts w:ascii="Times New Roman" w:eastAsia="Times New Roman" w:hAnsi="Times New Roman" w:cs="Times New Roman"/>
                <w:color w:val="000000"/>
                <w:kern w:val="0"/>
                <w:sz w:val="19"/>
                <w:szCs w:val="19"/>
                <w:lang w:eastAsia="en-IN"/>
                <w14:ligatures w14:val="none"/>
              </w:rPr>
              <w:t>..</w:t>
            </w:r>
          </w:p>
        </w:tc>
        <w:tc>
          <w:tcPr>
            <w:tcW w:w="1084" w:type="dxa"/>
            <w:tcBorders>
              <w:top w:val="nil"/>
              <w:left w:val="nil"/>
              <w:bottom w:val="single" w:sz="4" w:space="0" w:color="auto"/>
              <w:right w:val="single" w:sz="4" w:space="0" w:color="auto"/>
            </w:tcBorders>
            <w:noWrap/>
            <w:vAlign w:val="center"/>
            <w:hideMark/>
          </w:tcPr>
          <w:p w14:paraId="5CCA98F5" w14:textId="77777777" w:rsidR="007B1BAC" w:rsidRPr="00801A36" w:rsidRDefault="007B1BAC" w:rsidP="00801A36">
            <w:pPr>
              <w:spacing w:after="0" w:line="240" w:lineRule="auto"/>
              <w:jc w:val="center"/>
              <w:rPr>
                <w:rFonts w:ascii="Times New Roman" w:eastAsia="Times New Roman" w:hAnsi="Times New Roman" w:cs="Times New Roman"/>
                <w:color w:val="000000"/>
                <w:kern w:val="0"/>
                <w:sz w:val="19"/>
                <w:szCs w:val="19"/>
                <w:lang w:eastAsia="en-IN"/>
                <w14:ligatures w14:val="none"/>
              </w:rPr>
            </w:pPr>
            <w:r w:rsidRPr="00801A36">
              <w:rPr>
                <w:rFonts w:ascii="Times New Roman" w:eastAsia="Times New Roman" w:hAnsi="Times New Roman" w:cs="Times New Roman"/>
                <w:color w:val="000000"/>
                <w:kern w:val="0"/>
                <w:sz w:val="19"/>
                <w:szCs w:val="19"/>
                <w:lang w:eastAsia="en-IN"/>
                <w14:ligatures w14:val="none"/>
              </w:rPr>
              <w:t>..</w:t>
            </w:r>
          </w:p>
        </w:tc>
        <w:tc>
          <w:tcPr>
            <w:tcW w:w="1070" w:type="dxa"/>
            <w:tcBorders>
              <w:top w:val="nil"/>
              <w:left w:val="nil"/>
              <w:bottom w:val="single" w:sz="4" w:space="0" w:color="auto"/>
              <w:right w:val="single" w:sz="4" w:space="0" w:color="auto"/>
            </w:tcBorders>
            <w:noWrap/>
            <w:vAlign w:val="center"/>
            <w:hideMark/>
          </w:tcPr>
          <w:p w14:paraId="635AE577" w14:textId="77777777" w:rsidR="007B1BAC" w:rsidRPr="00801A36" w:rsidRDefault="007B1BAC" w:rsidP="00801A36">
            <w:pPr>
              <w:spacing w:after="0" w:line="240" w:lineRule="auto"/>
              <w:jc w:val="center"/>
              <w:rPr>
                <w:rFonts w:ascii="Times New Roman" w:eastAsia="Times New Roman" w:hAnsi="Times New Roman" w:cs="Times New Roman"/>
                <w:color w:val="000000"/>
                <w:kern w:val="0"/>
                <w:sz w:val="19"/>
                <w:szCs w:val="19"/>
                <w:lang w:eastAsia="en-IN"/>
                <w14:ligatures w14:val="none"/>
              </w:rPr>
            </w:pPr>
            <w:r w:rsidRPr="00801A36">
              <w:rPr>
                <w:rFonts w:ascii="Times New Roman" w:eastAsia="Times New Roman" w:hAnsi="Times New Roman" w:cs="Times New Roman"/>
                <w:color w:val="000000"/>
                <w:kern w:val="0"/>
                <w:sz w:val="19"/>
                <w:szCs w:val="19"/>
                <w:lang w:eastAsia="en-IN"/>
                <w14:ligatures w14:val="none"/>
              </w:rPr>
              <w:t>..</w:t>
            </w:r>
          </w:p>
        </w:tc>
        <w:tc>
          <w:tcPr>
            <w:tcW w:w="1196" w:type="dxa"/>
            <w:tcBorders>
              <w:top w:val="nil"/>
              <w:left w:val="nil"/>
              <w:bottom w:val="single" w:sz="4" w:space="0" w:color="auto"/>
              <w:right w:val="single" w:sz="4" w:space="0" w:color="auto"/>
            </w:tcBorders>
            <w:noWrap/>
            <w:vAlign w:val="center"/>
            <w:hideMark/>
          </w:tcPr>
          <w:p w14:paraId="3121E6BD" w14:textId="77777777" w:rsidR="007B1BAC" w:rsidRPr="00801A36" w:rsidRDefault="007B1BAC" w:rsidP="00801A36">
            <w:pPr>
              <w:spacing w:after="0" w:line="240" w:lineRule="auto"/>
              <w:jc w:val="center"/>
              <w:rPr>
                <w:rFonts w:ascii="Times New Roman" w:eastAsia="Times New Roman" w:hAnsi="Times New Roman" w:cs="Times New Roman"/>
                <w:color w:val="000000"/>
                <w:kern w:val="0"/>
                <w:sz w:val="19"/>
                <w:szCs w:val="19"/>
                <w:lang w:eastAsia="en-IN"/>
                <w14:ligatures w14:val="none"/>
              </w:rPr>
            </w:pPr>
            <w:r w:rsidRPr="00801A36">
              <w:rPr>
                <w:rFonts w:ascii="Times New Roman" w:eastAsia="Times New Roman" w:hAnsi="Times New Roman" w:cs="Times New Roman"/>
                <w:color w:val="000000"/>
                <w:kern w:val="0"/>
                <w:sz w:val="19"/>
                <w:szCs w:val="19"/>
                <w:lang w:eastAsia="en-IN"/>
                <w14:ligatures w14:val="none"/>
              </w:rPr>
              <w:t>..</w:t>
            </w:r>
          </w:p>
        </w:tc>
        <w:tc>
          <w:tcPr>
            <w:tcW w:w="986" w:type="dxa"/>
            <w:tcBorders>
              <w:top w:val="nil"/>
              <w:left w:val="nil"/>
              <w:bottom w:val="single" w:sz="4" w:space="0" w:color="auto"/>
              <w:right w:val="single" w:sz="4" w:space="0" w:color="auto"/>
            </w:tcBorders>
            <w:noWrap/>
            <w:vAlign w:val="center"/>
            <w:hideMark/>
          </w:tcPr>
          <w:p w14:paraId="7C9DB8B3" w14:textId="77777777" w:rsidR="007B1BAC" w:rsidRPr="00801A36" w:rsidRDefault="007B1BAC" w:rsidP="00801A36">
            <w:pPr>
              <w:spacing w:after="0" w:line="240" w:lineRule="auto"/>
              <w:jc w:val="center"/>
              <w:rPr>
                <w:rFonts w:ascii="Times New Roman" w:eastAsia="Times New Roman" w:hAnsi="Times New Roman" w:cs="Times New Roman"/>
                <w:color w:val="000000"/>
                <w:kern w:val="0"/>
                <w:sz w:val="19"/>
                <w:szCs w:val="19"/>
                <w:lang w:eastAsia="en-IN"/>
                <w14:ligatures w14:val="none"/>
              </w:rPr>
            </w:pPr>
            <w:r w:rsidRPr="00801A36">
              <w:rPr>
                <w:rFonts w:ascii="Times New Roman" w:eastAsia="Times New Roman" w:hAnsi="Times New Roman" w:cs="Times New Roman"/>
                <w:color w:val="000000"/>
                <w:kern w:val="0"/>
                <w:sz w:val="19"/>
                <w:szCs w:val="19"/>
                <w:lang w:eastAsia="en-IN"/>
                <w14:ligatures w14:val="none"/>
              </w:rPr>
              <w:t>..</w:t>
            </w:r>
          </w:p>
        </w:tc>
        <w:tc>
          <w:tcPr>
            <w:tcW w:w="1084" w:type="dxa"/>
            <w:tcBorders>
              <w:top w:val="nil"/>
              <w:left w:val="nil"/>
              <w:bottom w:val="single" w:sz="4" w:space="0" w:color="auto"/>
              <w:right w:val="single" w:sz="4" w:space="0" w:color="auto"/>
            </w:tcBorders>
            <w:noWrap/>
            <w:vAlign w:val="center"/>
            <w:hideMark/>
          </w:tcPr>
          <w:p w14:paraId="49C39547" w14:textId="77777777" w:rsidR="007B1BAC" w:rsidRPr="00801A36" w:rsidRDefault="007B1BAC" w:rsidP="00801A36">
            <w:pPr>
              <w:spacing w:after="0" w:line="240" w:lineRule="auto"/>
              <w:jc w:val="center"/>
              <w:rPr>
                <w:rFonts w:ascii="Times New Roman" w:eastAsia="Times New Roman" w:hAnsi="Times New Roman" w:cs="Times New Roman"/>
                <w:color w:val="000000"/>
                <w:kern w:val="0"/>
                <w:sz w:val="19"/>
                <w:szCs w:val="19"/>
                <w:lang w:eastAsia="en-IN"/>
                <w14:ligatures w14:val="none"/>
              </w:rPr>
            </w:pPr>
            <w:r w:rsidRPr="00801A36">
              <w:rPr>
                <w:rFonts w:ascii="Times New Roman" w:eastAsia="Times New Roman" w:hAnsi="Times New Roman" w:cs="Times New Roman"/>
                <w:color w:val="000000"/>
                <w:kern w:val="0"/>
                <w:sz w:val="19"/>
                <w:szCs w:val="19"/>
                <w:lang w:eastAsia="en-IN"/>
                <w14:ligatures w14:val="none"/>
              </w:rPr>
              <w:t>..</w:t>
            </w:r>
          </w:p>
        </w:tc>
        <w:tc>
          <w:tcPr>
            <w:tcW w:w="1070" w:type="dxa"/>
            <w:tcBorders>
              <w:top w:val="nil"/>
              <w:left w:val="nil"/>
              <w:bottom w:val="single" w:sz="4" w:space="0" w:color="auto"/>
              <w:right w:val="single" w:sz="4" w:space="0" w:color="auto"/>
            </w:tcBorders>
            <w:noWrap/>
            <w:vAlign w:val="center"/>
            <w:hideMark/>
          </w:tcPr>
          <w:p w14:paraId="6F428E25" w14:textId="77777777" w:rsidR="007B1BAC" w:rsidRPr="00801A36" w:rsidRDefault="007B1BAC" w:rsidP="00801A36">
            <w:pPr>
              <w:spacing w:after="0" w:line="240" w:lineRule="auto"/>
              <w:jc w:val="center"/>
              <w:rPr>
                <w:rFonts w:ascii="Times New Roman" w:eastAsia="Times New Roman" w:hAnsi="Times New Roman" w:cs="Times New Roman"/>
                <w:color w:val="000000"/>
                <w:kern w:val="0"/>
                <w:sz w:val="19"/>
                <w:szCs w:val="19"/>
                <w:lang w:eastAsia="en-IN"/>
                <w14:ligatures w14:val="none"/>
              </w:rPr>
            </w:pPr>
            <w:r w:rsidRPr="00801A36">
              <w:rPr>
                <w:rFonts w:ascii="Times New Roman" w:eastAsia="Times New Roman" w:hAnsi="Times New Roman" w:cs="Times New Roman"/>
                <w:color w:val="000000"/>
                <w:kern w:val="0"/>
                <w:sz w:val="19"/>
                <w:szCs w:val="19"/>
                <w:lang w:eastAsia="en-IN"/>
                <w14:ligatures w14:val="none"/>
              </w:rPr>
              <w:t>98.97</w:t>
            </w:r>
          </w:p>
        </w:tc>
        <w:tc>
          <w:tcPr>
            <w:tcW w:w="1196" w:type="dxa"/>
            <w:tcBorders>
              <w:top w:val="nil"/>
              <w:left w:val="nil"/>
              <w:bottom w:val="single" w:sz="4" w:space="0" w:color="auto"/>
              <w:right w:val="single" w:sz="4" w:space="0" w:color="auto"/>
            </w:tcBorders>
            <w:noWrap/>
            <w:vAlign w:val="center"/>
            <w:hideMark/>
          </w:tcPr>
          <w:p w14:paraId="67541AF9" w14:textId="77777777" w:rsidR="007B1BAC" w:rsidRPr="00801A36" w:rsidRDefault="007B1BAC" w:rsidP="00801A36">
            <w:pPr>
              <w:spacing w:after="0" w:line="240" w:lineRule="auto"/>
              <w:jc w:val="center"/>
              <w:rPr>
                <w:rFonts w:ascii="Times New Roman" w:eastAsia="Times New Roman" w:hAnsi="Times New Roman" w:cs="Times New Roman"/>
                <w:color w:val="000000"/>
                <w:kern w:val="0"/>
                <w:sz w:val="19"/>
                <w:szCs w:val="19"/>
                <w:lang w:eastAsia="en-IN"/>
                <w14:ligatures w14:val="none"/>
              </w:rPr>
            </w:pPr>
            <w:r w:rsidRPr="00801A36">
              <w:rPr>
                <w:rFonts w:ascii="Times New Roman" w:eastAsia="Times New Roman" w:hAnsi="Times New Roman" w:cs="Times New Roman"/>
                <w:color w:val="000000"/>
                <w:kern w:val="0"/>
                <w:sz w:val="19"/>
                <w:szCs w:val="19"/>
                <w:lang w:eastAsia="en-IN"/>
                <w14:ligatures w14:val="none"/>
              </w:rPr>
              <w:t>..</w:t>
            </w:r>
          </w:p>
        </w:tc>
        <w:tc>
          <w:tcPr>
            <w:tcW w:w="986" w:type="dxa"/>
            <w:tcBorders>
              <w:top w:val="nil"/>
              <w:left w:val="nil"/>
              <w:bottom w:val="single" w:sz="4" w:space="0" w:color="auto"/>
              <w:right w:val="single" w:sz="4" w:space="0" w:color="auto"/>
            </w:tcBorders>
            <w:noWrap/>
            <w:vAlign w:val="center"/>
            <w:hideMark/>
          </w:tcPr>
          <w:p w14:paraId="209BB446" w14:textId="77777777" w:rsidR="007B1BAC" w:rsidRPr="00801A36" w:rsidRDefault="007B1BAC" w:rsidP="00801A36">
            <w:pPr>
              <w:spacing w:after="0" w:line="240" w:lineRule="auto"/>
              <w:jc w:val="center"/>
              <w:rPr>
                <w:rFonts w:ascii="Times New Roman" w:eastAsia="Times New Roman" w:hAnsi="Times New Roman" w:cs="Times New Roman"/>
                <w:color w:val="000000"/>
                <w:kern w:val="0"/>
                <w:sz w:val="19"/>
                <w:szCs w:val="19"/>
                <w:lang w:eastAsia="en-IN"/>
                <w14:ligatures w14:val="none"/>
              </w:rPr>
            </w:pPr>
            <w:r w:rsidRPr="00801A36">
              <w:rPr>
                <w:rFonts w:ascii="Times New Roman" w:eastAsia="Times New Roman" w:hAnsi="Times New Roman" w:cs="Times New Roman"/>
                <w:color w:val="000000"/>
                <w:kern w:val="0"/>
                <w:sz w:val="19"/>
                <w:szCs w:val="19"/>
                <w:lang w:eastAsia="en-IN"/>
                <w14:ligatures w14:val="none"/>
              </w:rPr>
              <w:t>98.97</w:t>
            </w:r>
          </w:p>
        </w:tc>
      </w:tr>
      <w:tr w:rsidR="007B1BAC" w:rsidRPr="00801A36" w14:paraId="667B4C2F" w14:textId="77777777" w:rsidTr="00801A36">
        <w:trPr>
          <w:trHeight w:val="20"/>
          <w:jc w:val="center"/>
        </w:trPr>
        <w:tc>
          <w:tcPr>
            <w:tcW w:w="618" w:type="dxa"/>
            <w:tcBorders>
              <w:top w:val="nil"/>
              <w:left w:val="single" w:sz="4" w:space="0" w:color="auto"/>
              <w:bottom w:val="single" w:sz="4" w:space="0" w:color="auto"/>
              <w:right w:val="single" w:sz="4" w:space="0" w:color="auto"/>
            </w:tcBorders>
            <w:noWrap/>
            <w:vAlign w:val="bottom"/>
            <w:hideMark/>
          </w:tcPr>
          <w:p w14:paraId="431EBD8F" w14:textId="77777777" w:rsidR="007B1BAC" w:rsidRPr="00801A36" w:rsidRDefault="007B1BAC" w:rsidP="007B1BAC">
            <w:pPr>
              <w:spacing w:after="0" w:line="240" w:lineRule="auto"/>
              <w:jc w:val="right"/>
              <w:rPr>
                <w:rFonts w:ascii="Times New Roman" w:eastAsia="Times New Roman" w:hAnsi="Times New Roman" w:cs="Times New Roman"/>
                <w:color w:val="000000"/>
                <w:kern w:val="0"/>
                <w:sz w:val="19"/>
                <w:szCs w:val="19"/>
                <w:lang w:eastAsia="en-IN"/>
                <w14:ligatures w14:val="none"/>
              </w:rPr>
            </w:pPr>
            <w:r w:rsidRPr="00801A36">
              <w:rPr>
                <w:rFonts w:ascii="Times New Roman" w:eastAsia="Times New Roman" w:hAnsi="Times New Roman" w:cs="Times New Roman"/>
                <w:color w:val="000000"/>
                <w:kern w:val="0"/>
                <w:sz w:val="19"/>
                <w:szCs w:val="19"/>
                <w:lang w:eastAsia="en-IN"/>
                <w14:ligatures w14:val="none"/>
              </w:rPr>
              <w:t>6</w:t>
            </w:r>
          </w:p>
        </w:tc>
        <w:tc>
          <w:tcPr>
            <w:tcW w:w="1680" w:type="dxa"/>
            <w:tcBorders>
              <w:top w:val="nil"/>
              <w:left w:val="nil"/>
              <w:bottom w:val="single" w:sz="4" w:space="0" w:color="auto"/>
              <w:right w:val="single" w:sz="4" w:space="0" w:color="auto"/>
            </w:tcBorders>
            <w:noWrap/>
            <w:vAlign w:val="bottom"/>
            <w:hideMark/>
          </w:tcPr>
          <w:p w14:paraId="0D5AE9F9" w14:textId="77777777" w:rsidR="007B1BAC" w:rsidRPr="00801A36" w:rsidRDefault="007B1BAC" w:rsidP="007B1BAC">
            <w:pPr>
              <w:spacing w:after="0" w:line="240" w:lineRule="auto"/>
              <w:rPr>
                <w:rFonts w:ascii="Times New Roman" w:eastAsia="Times New Roman" w:hAnsi="Times New Roman" w:cs="Times New Roman"/>
                <w:color w:val="000000"/>
                <w:kern w:val="0"/>
                <w:sz w:val="19"/>
                <w:szCs w:val="19"/>
                <w:lang w:eastAsia="en-IN"/>
                <w14:ligatures w14:val="none"/>
              </w:rPr>
            </w:pPr>
            <w:r w:rsidRPr="00801A36">
              <w:rPr>
                <w:rFonts w:ascii="Times New Roman" w:eastAsia="Times New Roman" w:hAnsi="Times New Roman" w:cs="Times New Roman"/>
                <w:color w:val="000000"/>
                <w:kern w:val="0"/>
                <w:sz w:val="19"/>
                <w:szCs w:val="19"/>
                <w:lang w:eastAsia="en-IN"/>
                <w14:ligatures w14:val="none"/>
              </w:rPr>
              <w:t>Jammu and Kashmir</w:t>
            </w:r>
          </w:p>
        </w:tc>
        <w:tc>
          <w:tcPr>
            <w:tcW w:w="1084" w:type="dxa"/>
            <w:tcBorders>
              <w:top w:val="nil"/>
              <w:left w:val="nil"/>
              <w:bottom w:val="single" w:sz="4" w:space="0" w:color="auto"/>
              <w:right w:val="single" w:sz="4" w:space="0" w:color="auto"/>
            </w:tcBorders>
            <w:noWrap/>
            <w:vAlign w:val="center"/>
            <w:hideMark/>
          </w:tcPr>
          <w:p w14:paraId="73CEB2D2" w14:textId="6543C4F9" w:rsidR="007B1BAC" w:rsidRPr="00801A36" w:rsidRDefault="007B1BAC" w:rsidP="00801A36">
            <w:pPr>
              <w:spacing w:after="0" w:line="240" w:lineRule="auto"/>
              <w:jc w:val="center"/>
              <w:rPr>
                <w:rFonts w:ascii="Times New Roman" w:eastAsia="Times New Roman" w:hAnsi="Times New Roman" w:cs="Times New Roman"/>
                <w:color w:val="000000"/>
                <w:kern w:val="0"/>
                <w:sz w:val="19"/>
                <w:szCs w:val="19"/>
                <w:lang w:eastAsia="en-IN"/>
                <w14:ligatures w14:val="none"/>
              </w:rPr>
            </w:pPr>
          </w:p>
        </w:tc>
        <w:tc>
          <w:tcPr>
            <w:tcW w:w="1070" w:type="dxa"/>
            <w:tcBorders>
              <w:top w:val="nil"/>
              <w:left w:val="nil"/>
              <w:bottom w:val="single" w:sz="4" w:space="0" w:color="auto"/>
              <w:right w:val="single" w:sz="4" w:space="0" w:color="auto"/>
            </w:tcBorders>
            <w:noWrap/>
            <w:vAlign w:val="center"/>
            <w:hideMark/>
          </w:tcPr>
          <w:p w14:paraId="5BAF196C" w14:textId="73E88269" w:rsidR="007B1BAC" w:rsidRPr="00801A36" w:rsidRDefault="007B1BAC" w:rsidP="00801A36">
            <w:pPr>
              <w:spacing w:after="0" w:line="240" w:lineRule="auto"/>
              <w:jc w:val="center"/>
              <w:rPr>
                <w:rFonts w:ascii="Times New Roman" w:eastAsia="Times New Roman" w:hAnsi="Times New Roman" w:cs="Times New Roman"/>
                <w:color w:val="000000"/>
                <w:kern w:val="0"/>
                <w:sz w:val="19"/>
                <w:szCs w:val="19"/>
                <w:lang w:eastAsia="en-IN"/>
                <w14:ligatures w14:val="none"/>
              </w:rPr>
            </w:pPr>
          </w:p>
        </w:tc>
        <w:tc>
          <w:tcPr>
            <w:tcW w:w="1196" w:type="dxa"/>
            <w:tcBorders>
              <w:top w:val="nil"/>
              <w:left w:val="nil"/>
              <w:bottom w:val="single" w:sz="4" w:space="0" w:color="auto"/>
              <w:right w:val="single" w:sz="4" w:space="0" w:color="auto"/>
            </w:tcBorders>
            <w:noWrap/>
            <w:vAlign w:val="center"/>
            <w:hideMark/>
          </w:tcPr>
          <w:p w14:paraId="676F3D3E" w14:textId="39DFDCF2" w:rsidR="007B1BAC" w:rsidRPr="00801A36" w:rsidRDefault="007B1BAC" w:rsidP="00801A36">
            <w:pPr>
              <w:spacing w:after="0" w:line="240" w:lineRule="auto"/>
              <w:jc w:val="center"/>
              <w:rPr>
                <w:rFonts w:ascii="Times New Roman" w:eastAsia="Times New Roman" w:hAnsi="Times New Roman" w:cs="Times New Roman"/>
                <w:color w:val="000000"/>
                <w:kern w:val="0"/>
                <w:sz w:val="19"/>
                <w:szCs w:val="19"/>
                <w:lang w:eastAsia="en-IN"/>
                <w14:ligatures w14:val="none"/>
              </w:rPr>
            </w:pPr>
          </w:p>
        </w:tc>
        <w:tc>
          <w:tcPr>
            <w:tcW w:w="986" w:type="dxa"/>
            <w:tcBorders>
              <w:top w:val="nil"/>
              <w:left w:val="nil"/>
              <w:bottom w:val="single" w:sz="4" w:space="0" w:color="auto"/>
              <w:right w:val="single" w:sz="4" w:space="0" w:color="auto"/>
            </w:tcBorders>
            <w:noWrap/>
            <w:vAlign w:val="center"/>
            <w:hideMark/>
          </w:tcPr>
          <w:p w14:paraId="318D5AC7" w14:textId="5C2C11D8" w:rsidR="007B1BAC" w:rsidRPr="00801A36" w:rsidRDefault="007B1BAC" w:rsidP="00801A36">
            <w:pPr>
              <w:spacing w:after="0" w:line="240" w:lineRule="auto"/>
              <w:jc w:val="center"/>
              <w:rPr>
                <w:rFonts w:ascii="Times New Roman" w:eastAsia="Times New Roman" w:hAnsi="Times New Roman" w:cs="Times New Roman"/>
                <w:color w:val="000000"/>
                <w:kern w:val="0"/>
                <w:sz w:val="19"/>
                <w:szCs w:val="19"/>
                <w:lang w:eastAsia="en-IN"/>
                <w14:ligatures w14:val="none"/>
              </w:rPr>
            </w:pPr>
          </w:p>
        </w:tc>
        <w:tc>
          <w:tcPr>
            <w:tcW w:w="1084" w:type="dxa"/>
            <w:tcBorders>
              <w:top w:val="nil"/>
              <w:left w:val="nil"/>
              <w:bottom w:val="single" w:sz="4" w:space="0" w:color="auto"/>
              <w:right w:val="single" w:sz="4" w:space="0" w:color="auto"/>
            </w:tcBorders>
            <w:noWrap/>
            <w:vAlign w:val="center"/>
            <w:hideMark/>
          </w:tcPr>
          <w:p w14:paraId="16E0434F" w14:textId="21B574D2" w:rsidR="007B1BAC" w:rsidRPr="00801A36" w:rsidRDefault="007B1BAC" w:rsidP="00801A36">
            <w:pPr>
              <w:spacing w:after="0" w:line="240" w:lineRule="auto"/>
              <w:jc w:val="center"/>
              <w:rPr>
                <w:rFonts w:ascii="Times New Roman" w:eastAsia="Times New Roman" w:hAnsi="Times New Roman" w:cs="Times New Roman"/>
                <w:color w:val="000000"/>
                <w:kern w:val="0"/>
                <w:sz w:val="19"/>
                <w:szCs w:val="19"/>
                <w:lang w:eastAsia="en-IN"/>
                <w14:ligatures w14:val="none"/>
              </w:rPr>
            </w:pPr>
          </w:p>
        </w:tc>
        <w:tc>
          <w:tcPr>
            <w:tcW w:w="1070" w:type="dxa"/>
            <w:tcBorders>
              <w:top w:val="nil"/>
              <w:left w:val="nil"/>
              <w:bottom w:val="single" w:sz="4" w:space="0" w:color="auto"/>
              <w:right w:val="single" w:sz="4" w:space="0" w:color="auto"/>
            </w:tcBorders>
            <w:noWrap/>
            <w:vAlign w:val="center"/>
            <w:hideMark/>
          </w:tcPr>
          <w:p w14:paraId="3482FE53" w14:textId="494F5E9A" w:rsidR="007B1BAC" w:rsidRPr="00801A36" w:rsidRDefault="007B1BAC" w:rsidP="00801A36">
            <w:pPr>
              <w:spacing w:after="0" w:line="240" w:lineRule="auto"/>
              <w:jc w:val="center"/>
              <w:rPr>
                <w:rFonts w:ascii="Times New Roman" w:eastAsia="Times New Roman" w:hAnsi="Times New Roman" w:cs="Times New Roman"/>
                <w:color w:val="000000"/>
                <w:kern w:val="0"/>
                <w:sz w:val="19"/>
                <w:szCs w:val="19"/>
                <w:lang w:eastAsia="en-IN"/>
                <w14:ligatures w14:val="none"/>
              </w:rPr>
            </w:pPr>
          </w:p>
        </w:tc>
        <w:tc>
          <w:tcPr>
            <w:tcW w:w="1196" w:type="dxa"/>
            <w:tcBorders>
              <w:top w:val="nil"/>
              <w:left w:val="nil"/>
              <w:bottom w:val="single" w:sz="4" w:space="0" w:color="auto"/>
              <w:right w:val="single" w:sz="4" w:space="0" w:color="auto"/>
            </w:tcBorders>
            <w:noWrap/>
            <w:vAlign w:val="center"/>
            <w:hideMark/>
          </w:tcPr>
          <w:p w14:paraId="20637AB7" w14:textId="04ED0A46" w:rsidR="007B1BAC" w:rsidRPr="00801A36" w:rsidRDefault="007B1BAC" w:rsidP="00801A36">
            <w:pPr>
              <w:spacing w:after="0" w:line="240" w:lineRule="auto"/>
              <w:jc w:val="center"/>
              <w:rPr>
                <w:rFonts w:ascii="Times New Roman" w:eastAsia="Times New Roman" w:hAnsi="Times New Roman" w:cs="Times New Roman"/>
                <w:color w:val="000000"/>
                <w:kern w:val="0"/>
                <w:sz w:val="19"/>
                <w:szCs w:val="19"/>
                <w:lang w:eastAsia="en-IN"/>
                <w14:ligatures w14:val="none"/>
              </w:rPr>
            </w:pPr>
          </w:p>
        </w:tc>
        <w:tc>
          <w:tcPr>
            <w:tcW w:w="986" w:type="dxa"/>
            <w:tcBorders>
              <w:top w:val="nil"/>
              <w:left w:val="nil"/>
              <w:bottom w:val="single" w:sz="4" w:space="0" w:color="auto"/>
              <w:right w:val="single" w:sz="4" w:space="0" w:color="auto"/>
            </w:tcBorders>
            <w:noWrap/>
            <w:vAlign w:val="center"/>
            <w:hideMark/>
          </w:tcPr>
          <w:p w14:paraId="236779AD" w14:textId="14AFC81E" w:rsidR="007B1BAC" w:rsidRPr="00801A36" w:rsidRDefault="007B1BAC" w:rsidP="00801A36">
            <w:pPr>
              <w:spacing w:after="0" w:line="240" w:lineRule="auto"/>
              <w:jc w:val="center"/>
              <w:rPr>
                <w:rFonts w:ascii="Times New Roman" w:eastAsia="Times New Roman" w:hAnsi="Times New Roman" w:cs="Times New Roman"/>
                <w:color w:val="000000"/>
                <w:kern w:val="0"/>
                <w:sz w:val="19"/>
                <w:szCs w:val="19"/>
                <w:lang w:eastAsia="en-IN"/>
                <w14:ligatures w14:val="none"/>
              </w:rPr>
            </w:pPr>
          </w:p>
        </w:tc>
        <w:tc>
          <w:tcPr>
            <w:tcW w:w="1084" w:type="dxa"/>
            <w:tcBorders>
              <w:top w:val="nil"/>
              <w:left w:val="nil"/>
              <w:bottom w:val="single" w:sz="4" w:space="0" w:color="auto"/>
              <w:right w:val="single" w:sz="4" w:space="0" w:color="auto"/>
            </w:tcBorders>
            <w:noWrap/>
            <w:vAlign w:val="center"/>
            <w:hideMark/>
          </w:tcPr>
          <w:p w14:paraId="53B3A85B" w14:textId="369CF294" w:rsidR="007B1BAC" w:rsidRPr="00801A36" w:rsidRDefault="007B1BAC" w:rsidP="00801A36">
            <w:pPr>
              <w:spacing w:after="0" w:line="240" w:lineRule="auto"/>
              <w:jc w:val="center"/>
              <w:rPr>
                <w:rFonts w:ascii="Times New Roman" w:eastAsia="Times New Roman" w:hAnsi="Times New Roman" w:cs="Times New Roman"/>
                <w:color w:val="000000"/>
                <w:kern w:val="0"/>
                <w:sz w:val="19"/>
                <w:szCs w:val="19"/>
                <w:lang w:eastAsia="en-IN"/>
                <w14:ligatures w14:val="none"/>
              </w:rPr>
            </w:pPr>
          </w:p>
        </w:tc>
        <w:tc>
          <w:tcPr>
            <w:tcW w:w="1070" w:type="dxa"/>
            <w:tcBorders>
              <w:top w:val="nil"/>
              <w:left w:val="nil"/>
              <w:bottom w:val="single" w:sz="4" w:space="0" w:color="auto"/>
              <w:right w:val="single" w:sz="4" w:space="0" w:color="auto"/>
            </w:tcBorders>
            <w:noWrap/>
            <w:vAlign w:val="center"/>
            <w:hideMark/>
          </w:tcPr>
          <w:p w14:paraId="2E4E81FA" w14:textId="3E12DCC6" w:rsidR="007B1BAC" w:rsidRPr="00801A36" w:rsidRDefault="007B1BAC" w:rsidP="00801A36">
            <w:pPr>
              <w:spacing w:after="0" w:line="240" w:lineRule="auto"/>
              <w:jc w:val="center"/>
              <w:rPr>
                <w:rFonts w:ascii="Times New Roman" w:eastAsia="Times New Roman" w:hAnsi="Times New Roman" w:cs="Times New Roman"/>
                <w:color w:val="000000"/>
                <w:kern w:val="0"/>
                <w:sz w:val="19"/>
                <w:szCs w:val="19"/>
                <w:lang w:eastAsia="en-IN"/>
                <w14:ligatures w14:val="none"/>
              </w:rPr>
            </w:pPr>
          </w:p>
        </w:tc>
        <w:tc>
          <w:tcPr>
            <w:tcW w:w="1196" w:type="dxa"/>
            <w:tcBorders>
              <w:top w:val="nil"/>
              <w:left w:val="nil"/>
              <w:bottom w:val="single" w:sz="4" w:space="0" w:color="auto"/>
              <w:right w:val="single" w:sz="4" w:space="0" w:color="auto"/>
            </w:tcBorders>
            <w:noWrap/>
            <w:vAlign w:val="center"/>
            <w:hideMark/>
          </w:tcPr>
          <w:p w14:paraId="14DD2246" w14:textId="74AC7CEE" w:rsidR="007B1BAC" w:rsidRPr="00801A36" w:rsidRDefault="007B1BAC" w:rsidP="00801A36">
            <w:pPr>
              <w:spacing w:after="0" w:line="240" w:lineRule="auto"/>
              <w:jc w:val="center"/>
              <w:rPr>
                <w:rFonts w:ascii="Times New Roman" w:eastAsia="Times New Roman" w:hAnsi="Times New Roman" w:cs="Times New Roman"/>
                <w:color w:val="000000"/>
                <w:kern w:val="0"/>
                <w:sz w:val="19"/>
                <w:szCs w:val="19"/>
                <w:lang w:eastAsia="en-IN"/>
                <w14:ligatures w14:val="none"/>
              </w:rPr>
            </w:pPr>
          </w:p>
        </w:tc>
        <w:tc>
          <w:tcPr>
            <w:tcW w:w="986" w:type="dxa"/>
            <w:tcBorders>
              <w:top w:val="nil"/>
              <w:left w:val="nil"/>
              <w:bottom w:val="single" w:sz="4" w:space="0" w:color="auto"/>
              <w:right w:val="single" w:sz="4" w:space="0" w:color="auto"/>
            </w:tcBorders>
            <w:noWrap/>
            <w:vAlign w:val="center"/>
            <w:hideMark/>
          </w:tcPr>
          <w:p w14:paraId="027891BA" w14:textId="1841B0F9" w:rsidR="007B1BAC" w:rsidRPr="00801A36" w:rsidRDefault="007B1BAC" w:rsidP="00801A36">
            <w:pPr>
              <w:spacing w:after="0" w:line="240" w:lineRule="auto"/>
              <w:jc w:val="center"/>
              <w:rPr>
                <w:rFonts w:ascii="Times New Roman" w:eastAsia="Times New Roman" w:hAnsi="Times New Roman" w:cs="Times New Roman"/>
                <w:color w:val="000000"/>
                <w:kern w:val="0"/>
                <w:sz w:val="19"/>
                <w:szCs w:val="19"/>
                <w:lang w:eastAsia="en-IN"/>
                <w14:ligatures w14:val="none"/>
              </w:rPr>
            </w:pPr>
          </w:p>
        </w:tc>
      </w:tr>
      <w:tr w:rsidR="007B1BAC" w:rsidRPr="00801A36" w14:paraId="4636D124" w14:textId="77777777" w:rsidTr="00801A36">
        <w:trPr>
          <w:trHeight w:val="20"/>
          <w:jc w:val="center"/>
        </w:trPr>
        <w:tc>
          <w:tcPr>
            <w:tcW w:w="618" w:type="dxa"/>
            <w:tcBorders>
              <w:top w:val="nil"/>
              <w:left w:val="single" w:sz="4" w:space="0" w:color="auto"/>
              <w:bottom w:val="single" w:sz="4" w:space="0" w:color="auto"/>
              <w:right w:val="single" w:sz="4" w:space="0" w:color="auto"/>
            </w:tcBorders>
            <w:noWrap/>
            <w:vAlign w:val="bottom"/>
            <w:hideMark/>
          </w:tcPr>
          <w:p w14:paraId="23268916" w14:textId="77777777" w:rsidR="007B1BAC" w:rsidRPr="00801A36" w:rsidRDefault="007B1BAC" w:rsidP="007B1BAC">
            <w:pPr>
              <w:spacing w:after="0" w:line="240" w:lineRule="auto"/>
              <w:rPr>
                <w:rFonts w:ascii="Times New Roman" w:eastAsia="Times New Roman" w:hAnsi="Times New Roman" w:cs="Times New Roman"/>
                <w:color w:val="000000"/>
                <w:kern w:val="0"/>
                <w:sz w:val="19"/>
                <w:szCs w:val="19"/>
                <w:lang w:eastAsia="en-IN"/>
                <w14:ligatures w14:val="none"/>
              </w:rPr>
            </w:pPr>
            <w:r w:rsidRPr="00801A36">
              <w:rPr>
                <w:rFonts w:ascii="Times New Roman" w:eastAsia="Times New Roman" w:hAnsi="Times New Roman" w:cs="Times New Roman"/>
                <w:color w:val="000000"/>
                <w:kern w:val="0"/>
                <w:sz w:val="19"/>
                <w:szCs w:val="19"/>
                <w:lang w:eastAsia="en-IN"/>
                <w14:ligatures w14:val="none"/>
              </w:rPr>
              <w:t> </w:t>
            </w:r>
          </w:p>
        </w:tc>
        <w:tc>
          <w:tcPr>
            <w:tcW w:w="1680" w:type="dxa"/>
            <w:tcBorders>
              <w:top w:val="nil"/>
              <w:left w:val="nil"/>
              <w:bottom w:val="single" w:sz="4" w:space="0" w:color="auto"/>
              <w:right w:val="single" w:sz="4" w:space="0" w:color="auto"/>
            </w:tcBorders>
            <w:noWrap/>
            <w:vAlign w:val="bottom"/>
            <w:hideMark/>
          </w:tcPr>
          <w:p w14:paraId="1865CB97" w14:textId="77777777" w:rsidR="007B1BAC" w:rsidRPr="00801A36" w:rsidRDefault="007B1BAC" w:rsidP="007B1BAC">
            <w:pPr>
              <w:spacing w:after="0" w:line="240" w:lineRule="auto"/>
              <w:rPr>
                <w:rFonts w:ascii="Times New Roman" w:eastAsia="Times New Roman" w:hAnsi="Times New Roman" w:cs="Times New Roman"/>
                <w:color w:val="000000"/>
                <w:kern w:val="0"/>
                <w:sz w:val="19"/>
                <w:szCs w:val="19"/>
                <w:lang w:eastAsia="en-IN"/>
                <w14:ligatures w14:val="none"/>
              </w:rPr>
            </w:pPr>
            <w:r w:rsidRPr="00801A36">
              <w:rPr>
                <w:rFonts w:ascii="Times New Roman" w:eastAsia="Times New Roman" w:hAnsi="Times New Roman" w:cs="Times New Roman"/>
                <w:color w:val="000000"/>
                <w:kern w:val="0"/>
                <w:sz w:val="19"/>
                <w:szCs w:val="19"/>
                <w:lang w:eastAsia="en-IN"/>
                <w14:ligatures w14:val="none"/>
              </w:rPr>
              <w:t>Northern</w:t>
            </w:r>
          </w:p>
        </w:tc>
        <w:tc>
          <w:tcPr>
            <w:tcW w:w="1084" w:type="dxa"/>
            <w:tcBorders>
              <w:top w:val="nil"/>
              <w:left w:val="nil"/>
              <w:bottom w:val="single" w:sz="4" w:space="0" w:color="auto"/>
              <w:right w:val="single" w:sz="4" w:space="0" w:color="auto"/>
            </w:tcBorders>
            <w:noWrap/>
            <w:vAlign w:val="center"/>
            <w:hideMark/>
          </w:tcPr>
          <w:p w14:paraId="144014FC" w14:textId="77777777" w:rsidR="007B1BAC" w:rsidRPr="00801A36" w:rsidRDefault="007B1BAC" w:rsidP="00801A36">
            <w:pPr>
              <w:spacing w:after="0" w:line="240" w:lineRule="auto"/>
              <w:jc w:val="center"/>
              <w:rPr>
                <w:rFonts w:ascii="Times New Roman" w:eastAsia="Times New Roman" w:hAnsi="Times New Roman" w:cs="Times New Roman"/>
                <w:color w:val="000000"/>
                <w:kern w:val="0"/>
                <w:sz w:val="19"/>
                <w:szCs w:val="19"/>
                <w:lang w:eastAsia="en-IN"/>
                <w14:ligatures w14:val="none"/>
              </w:rPr>
            </w:pPr>
            <w:r w:rsidRPr="00801A36">
              <w:rPr>
                <w:rFonts w:ascii="Times New Roman" w:eastAsia="Times New Roman" w:hAnsi="Times New Roman" w:cs="Times New Roman"/>
                <w:color w:val="000000"/>
                <w:kern w:val="0"/>
                <w:sz w:val="19"/>
                <w:szCs w:val="19"/>
                <w:lang w:eastAsia="en-IN"/>
                <w14:ligatures w14:val="none"/>
              </w:rPr>
              <w:t>..</w:t>
            </w:r>
          </w:p>
        </w:tc>
        <w:tc>
          <w:tcPr>
            <w:tcW w:w="1070" w:type="dxa"/>
            <w:tcBorders>
              <w:top w:val="nil"/>
              <w:left w:val="nil"/>
              <w:bottom w:val="single" w:sz="4" w:space="0" w:color="auto"/>
              <w:right w:val="single" w:sz="4" w:space="0" w:color="auto"/>
            </w:tcBorders>
            <w:noWrap/>
            <w:vAlign w:val="center"/>
            <w:hideMark/>
          </w:tcPr>
          <w:p w14:paraId="7971B2B4" w14:textId="77777777" w:rsidR="007B1BAC" w:rsidRPr="00801A36" w:rsidRDefault="007B1BAC" w:rsidP="00801A36">
            <w:pPr>
              <w:spacing w:after="0" w:line="240" w:lineRule="auto"/>
              <w:jc w:val="center"/>
              <w:rPr>
                <w:rFonts w:ascii="Times New Roman" w:eastAsia="Times New Roman" w:hAnsi="Times New Roman" w:cs="Times New Roman"/>
                <w:color w:val="000000"/>
                <w:kern w:val="0"/>
                <w:sz w:val="19"/>
                <w:szCs w:val="19"/>
                <w:lang w:eastAsia="en-IN"/>
                <w14:ligatures w14:val="none"/>
              </w:rPr>
            </w:pPr>
            <w:r w:rsidRPr="00801A36">
              <w:rPr>
                <w:rFonts w:ascii="Times New Roman" w:eastAsia="Times New Roman" w:hAnsi="Times New Roman" w:cs="Times New Roman"/>
                <w:color w:val="000000"/>
                <w:kern w:val="0"/>
                <w:sz w:val="19"/>
                <w:szCs w:val="19"/>
                <w:lang w:eastAsia="en-IN"/>
                <w14:ligatures w14:val="none"/>
              </w:rPr>
              <w:t>..</w:t>
            </w:r>
          </w:p>
        </w:tc>
        <w:tc>
          <w:tcPr>
            <w:tcW w:w="1196" w:type="dxa"/>
            <w:tcBorders>
              <w:top w:val="nil"/>
              <w:left w:val="nil"/>
              <w:bottom w:val="single" w:sz="4" w:space="0" w:color="auto"/>
              <w:right w:val="single" w:sz="4" w:space="0" w:color="auto"/>
            </w:tcBorders>
            <w:noWrap/>
            <w:vAlign w:val="center"/>
            <w:hideMark/>
          </w:tcPr>
          <w:p w14:paraId="19E19536" w14:textId="77777777" w:rsidR="007B1BAC" w:rsidRPr="00801A36" w:rsidRDefault="007B1BAC" w:rsidP="00801A36">
            <w:pPr>
              <w:spacing w:after="0" w:line="240" w:lineRule="auto"/>
              <w:jc w:val="center"/>
              <w:rPr>
                <w:rFonts w:ascii="Times New Roman" w:eastAsia="Times New Roman" w:hAnsi="Times New Roman" w:cs="Times New Roman"/>
                <w:color w:val="000000"/>
                <w:kern w:val="0"/>
                <w:sz w:val="19"/>
                <w:szCs w:val="19"/>
                <w:lang w:eastAsia="en-IN"/>
                <w14:ligatures w14:val="none"/>
              </w:rPr>
            </w:pPr>
            <w:r w:rsidRPr="00801A36">
              <w:rPr>
                <w:rFonts w:ascii="Times New Roman" w:eastAsia="Times New Roman" w:hAnsi="Times New Roman" w:cs="Times New Roman"/>
                <w:color w:val="000000"/>
                <w:kern w:val="0"/>
                <w:sz w:val="19"/>
                <w:szCs w:val="19"/>
                <w:lang w:eastAsia="en-IN"/>
                <w14:ligatures w14:val="none"/>
              </w:rPr>
              <w:t>..</w:t>
            </w:r>
          </w:p>
        </w:tc>
        <w:tc>
          <w:tcPr>
            <w:tcW w:w="986" w:type="dxa"/>
            <w:tcBorders>
              <w:top w:val="nil"/>
              <w:left w:val="nil"/>
              <w:bottom w:val="single" w:sz="4" w:space="0" w:color="auto"/>
              <w:right w:val="single" w:sz="4" w:space="0" w:color="auto"/>
            </w:tcBorders>
            <w:noWrap/>
            <w:vAlign w:val="center"/>
            <w:hideMark/>
          </w:tcPr>
          <w:p w14:paraId="7E25E8CB" w14:textId="77777777" w:rsidR="007B1BAC" w:rsidRPr="00801A36" w:rsidRDefault="007B1BAC" w:rsidP="00801A36">
            <w:pPr>
              <w:spacing w:after="0" w:line="240" w:lineRule="auto"/>
              <w:jc w:val="center"/>
              <w:rPr>
                <w:rFonts w:ascii="Times New Roman" w:eastAsia="Times New Roman" w:hAnsi="Times New Roman" w:cs="Times New Roman"/>
                <w:color w:val="000000"/>
                <w:kern w:val="0"/>
                <w:sz w:val="19"/>
                <w:szCs w:val="19"/>
                <w:lang w:eastAsia="en-IN"/>
                <w14:ligatures w14:val="none"/>
              </w:rPr>
            </w:pPr>
            <w:r w:rsidRPr="00801A36">
              <w:rPr>
                <w:rFonts w:ascii="Times New Roman" w:eastAsia="Times New Roman" w:hAnsi="Times New Roman" w:cs="Times New Roman"/>
                <w:color w:val="000000"/>
                <w:kern w:val="0"/>
                <w:sz w:val="19"/>
                <w:szCs w:val="19"/>
                <w:lang w:eastAsia="en-IN"/>
                <w14:ligatures w14:val="none"/>
              </w:rPr>
              <w:t>..</w:t>
            </w:r>
          </w:p>
        </w:tc>
        <w:tc>
          <w:tcPr>
            <w:tcW w:w="1084" w:type="dxa"/>
            <w:tcBorders>
              <w:top w:val="nil"/>
              <w:left w:val="nil"/>
              <w:bottom w:val="single" w:sz="4" w:space="0" w:color="auto"/>
              <w:right w:val="single" w:sz="4" w:space="0" w:color="auto"/>
            </w:tcBorders>
            <w:noWrap/>
            <w:vAlign w:val="center"/>
            <w:hideMark/>
          </w:tcPr>
          <w:p w14:paraId="0F60AC16" w14:textId="77777777" w:rsidR="007B1BAC" w:rsidRPr="00801A36" w:rsidRDefault="007B1BAC" w:rsidP="00801A36">
            <w:pPr>
              <w:spacing w:after="0" w:line="240" w:lineRule="auto"/>
              <w:jc w:val="center"/>
              <w:rPr>
                <w:rFonts w:ascii="Times New Roman" w:eastAsia="Times New Roman" w:hAnsi="Times New Roman" w:cs="Times New Roman"/>
                <w:color w:val="000000"/>
                <w:kern w:val="0"/>
                <w:sz w:val="19"/>
                <w:szCs w:val="19"/>
                <w:lang w:eastAsia="en-IN"/>
                <w14:ligatures w14:val="none"/>
              </w:rPr>
            </w:pPr>
            <w:r w:rsidRPr="00801A36">
              <w:rPr>
                <w:rFonts w:ascii="Times New Roman" w:eastAsia="Times New Roman" w:hAnsi="Times New Roman" w:cs="Times New Roman"/>
                <w:color w:val="000000"/>
                <w:kern w:val="0"/>
                <w:sz w:val="19"/>
                <w:szCs w:val="19"/>
                <w:lang w:eastAsia="en-IN"/>
                <w14:ligatures w14:val="none"/>
              </w:rPr>
              <w:t>6.2</w:t>
            </w:r>
          </w:p>
        </w:tc>
        <w:tc>
          <w:tcPr>
            <w:tcW w:w="1070" w:type="dxa"/>
            <w:tcBorders>
              <w:top w:val="nil"/>
              <w:left w:val="nil"/>
              <w:bottom w:val="single" w:sz="4" w:space="0" w:color="auto"/>
              <w:right w:val="single" w:sz="4" w:space="0" w:color="auto"/>
            </w:tcBorders>
            <w:noWrap/>
            <w:vAlign w:val="center"/>
            <w:hideMark/>
          </w:tcPr>
          <w:p w14:paraId="0AB670AF" w14:textId="77777777" w:rsidR="007B1BAC" w:rsidRPr="00801A36" w:rsidRDefault="007B1BAC" w:rsidP="00801A36">
            <w:pPr>
              <w:spacing w:after="0" w:line="240" w:lineRule="auto"/>
              <w:jc w:val="center"/>
              <w:rPr>
                <w:rFonts w:ascii="Times New Roman" w:eastAsia="Times New Roman" w:hAnsi="Times New Roman" w:cs="Times New Roman"/>
                <w:color w:val="000000"/>
                <w:kern w:val="0"/>
                <w:sz w:val="19"/>
                <w:szCs w:val="19"/>
                <w:lang w:eastAsia="en-IN"/>
                <w14:ligatures w14:val="none"/>
              </w:rPr>
            </w:pPr>
            <w:r w:rsidRPr="00801A36">
              <w:rPr>
                <w:rFonts w:ascii="Times New Roman" w:eastAsia="Times New Roman" w:hAnsi="Times New Roman" w:cs="Times New Roman"/>
                <w:color w:val="000000"/>
                <w:kern w:val="0"/>
                <w:sz w:val="19"/>
                <w:szCs w:val="19"/>
                <w:lang w:eastAsia="en-IN"/>
                <w14:ligatures w14:val="none"/>
              </w:rPr>
              <w:t>..</w:t>
            </w:r>
          </w:p>
        </w:tc>
        <w:tc>
          <w:tcPr>
            <w:tcW w:w="1196" w:type="dxa"/>
            <w:tcBorders>
              <w:top w:val="nil"/>
              <w:left w:val="nil"/>
              <w:bottom w:val="single" w:sz="4" w:space="0" w:color="auto"/>
              <w:right w:val="single" w:sz="4" w:space="0" w:color="auto"/>
            </w:tcBorders>
            <w:noWrap/>
            <w:vAlign w:val="center"/>
            <w:hideMark/>
          </w:tcPr>
          <w:p w14:paraId="140D8EE4" w14:textId="77777777" w:rsidR="007B1BAC" w:rsidRPr="00801A36" w:rsidRDefault="007B1BAC" w:rsidP="00801A36">
            <w:pPr>
              <w:spacing w:after="0" w:line="240" w:lineRule="auto"/>
              <w:jc w:val="center"/>
              <w:rPr>
                <w:rFonts w:ascii="Times New Roman" w:eastAsia="Times New Roman" w:hAnsi="Times New Roman" w:cs="Times New Roman"/>
                <w:color w:val="000000"/>
                <w:kern w:val="0"/>
                <w:sz w:val="19"/>
                <w:szCs w:val="19"/>
                <w:lang w:eastAsia="en-IN"/>
                <w14:ligatures w14:val="none"/>
              </w:rPr>
            </w:pPr>
            <w:r w:rsidRPr="00801A36">
              <w:rPr>
                <w:rFonts w:ascii="Times New Roman" w:eastAsia="Times New Roman" w:hAnsi="Times New Roman" w:cs="Times New Roman"/>
                <w:color w:val="000000"/>
                <w:kern w:val="0"/>
                <w:sz w:val="19"/>
                <w:szCs w:val="19"/>
                <w:lang w:eastAsia="en-IN"/>
                <w14:ligatures w14:val="none"/>
              </w:rPr>
              <w:t>..</w:t>
            </w:r>
          </w:p>
        </w:tc>
        <w:tc>
          <w:tcPr>
            <w:tcW w:w="986" w:type="dxa"/>
            <w:tcBorders>
              <w:top w:val="nil"/>
              <w:left w:val="nil"/>
              <w:bottom w:val="single" w:sz="4" w:space="0" w:color="auto"/>
              <w:right w:val="single" w:sz="4" w:space="0" w:color="auto"/>
            </w:tcBorders>
            <w:noWrap/>
            <w:vAlign w:val="center"/>
            <w:hideMark/>
          </w:tcPr>
          <w:p w14:paraId="672F85D6" w14:textId="77777777" w:rsidR="007B1BAC" w:rsidRPr="00801A36" w:rsidRDefault="007B1BAC" w:rsidP="00801A36">
            <w:pPr>
              <w:spacing w:after="0" w:line="240" w:lineRule="auto"/>
              <w:jc w:val="center"/>
              <w:rPr>
                <w:rFonts w:ascii="Times New Roman" w:eastAsia="Times New Roman" w:hAnsi="Times New Roman" w:cs="Times New Roman"/>
                <w:color w:val="000000"/>
                <w:kern w:val="0"/>
                <w:sz w:val="19"/>
                <w:szCs w:val="19"/>
                <w:lang w:eastAsia="en-IN"/>
                <w14:ligatures w14:val="none"/>
              </w:rPr>
            </w:pPr>
            <w:r w:rsidRPr="00801A36">
              <w:rPr>
                <w:rFonts w:ascii="Times New Roman" w:eastAsia="Times New Roman" w:hAnsi="Times New Roman" w:cs="Times New Roman"/>
                <w:color w:val="000000"/>
                <w:kern w:val="0"/>
                <w:sz w:val="19"/>
                <w:szCs w:val="19"/>
                <w:lang w:eastAsia="en-IN"/>
                <w14:ligatures w14:val="none"/>
              </w:rPr>
              <w:t>6.2</w:t>
            </w:r>
          </w:p>
        </w:tc>
        <w:tc>
          <w:tcPr>
            <w:tcW w:w="1084" w:type="dxa"/>
            <w:tcBorders>
              <w:top w:val="nil"/>
              <w:left w:val="nil"/>
              <w:bottom w:val="single" w:sz="4" w:space="0" w:color="auto"/>
              <w:right w:val="single" w:sz="4" w:space="0" w:color="auto"/>
            </w:tcBorders>
            <w:noWrap/>
            <w:vAlign w:val="center"/>
            <w:hideMark/>
          </w:tcPr>
          <w:p w14:paraId="252E47BF" w14:textId="77777777" w:rsidR="007B1BAC" w:rsidRPr="00801A36" w:rsidRDefault="007B1BAC" w:rsidP="00801A36">
            <w:pPr>
              <w:spacing w:after="0" w:line="240" w:lineRule="auto"/>
              <w:jc w:val="center"/>
              <w:rPr>
                <w:rFonts w:ascii="Times New Roman" w:eastAsia="Times New Roman" w:hAnsi="Times New Roman" w:cs="Times New Roman"/>
                <w:color w:val="000000"/>
                <w:kern w:val="0"/>
                <w:sz w:val="19"/>
                <w:szCs w:val="19"/>
                <w:lang w:eastAsia="en-IN"/>
                <w14:ligatures w14:val="none"/>
              </w:rPr>
            </w:pPr>
            <w:r w:rsidRPr="00801A36">
              <w:rPr>
                <w:rFonts w:ascii="Times New Roman" w:eastAsia="Times New Roman" w:hAnsi="Times New Roman" w:cs="Times New Roman"/>
                <w:color w:val="000000"/>
                <w:kern w:val="0"/>
                <w:sz w:val="19"/>
                <w:szCs w:val="19"/>
                <w:lang w:eastAsia="en-IN"/>
                <w14:ligatures w14:val="none"/>
              </w:rPr>
              <w:t>6.2</w:t>
            </w:r>
          </w:p>
        </w:tc>
        <w:tc>
          <w:tcPr>
            <w:tcW w:w="1070" w:type="dxa"/>
            <w:tcBorders>
              <w:top w:val="nil"/>
              <w:left w:val="nil"/>
              <w:bottom w:val="single" w:sz="4" w:space="0" w:color="auto"/>
              <w:right w:val="single" w:sz="4" w:space="0" w:color="auto"/>
            </w:tcBorders>
            <w:noWrap/>
            <w:vAlign w:val="center"/>
            <w:hideMark/>
          </w:tcPr>
          <w:p w14:paraId="7B833E87" w14:textId="77777777" w:rsidR="007B1BAC" w:rsidRPr="00801A36" w:rsidRDefault="007B1BAC" w:rsidP="00801A36">
            <w:pPr>
              <w:spacing w:after="0" w:line="240" w:lineRule="auto"/>
              <w:jc w:val="center"/>
              <w:rPr>
                <w:rFonts w:ascii="Times New Roman" w:eastAsia="Times New Roman" w:hAnsi="Times New Roman" w:cs="Times New Roman"/>
                <w:color w:val="000000"/>
                <w:kern w:val="0"/>
                <w:sz w:val="19"/>
                <w:szCs w:val="19"/>
                <w:lang w:eastAsia="en-IN"/>
                <w14:ligatures w14:val="none"/>
              </w:rPr>
            </w:pPr>
            <w:r w:rsidRPr="00801A36">
              <w:rPr>
                <w:rFonts w:ascii="Times New Roman" w:eastAsia="Times New Roman" w:hAnsi="Times New Roman" w:cs="Times New Roman"/>
                <w:color w:val="000000"/>
                <w:kern w:val="0"/>
                <w:sz w:val="19"/>
                <w:szCs w:val="19"/>
                <w:lang w:eastAsia="en-IN"/>
                <w14:ligatures w14:val="none"/>
              </w:rPr>
              <w:t>..</w:t>
            </w:r>
          </w:p>
        </w:tc>
        <w:tc>
          <w:tcPr>
            <w:tcW w:w="1196" w:type="dxa"/>
            <w:tcBorders>
              <w:top w:val="nil"/>
              <w:left w:val="nil"/>
              <w:bottom w:val="single" w:sz="4" w:space="0" w:color="auto"/>
              <w:right w:val="single" w:sz="4" w:space="0" w:color="auto"/>
            </w:tcBorders>
            <w:noWrap/>
            <w:vAlign w:val="center"/>
            <w:hideMark/>
          </w:tcPr>
          <w:p w14:paraId="7502C091" w14:textId="77777777" w:rsidR="007B1BAC" w:rsidRPr="00801A36" w:rsidRDefault="007B1BAC" w:rsidP="00801A36">
            <w:pPr>
              <w:spacing w:after="0" w:line="240" w:lineRule="auto"/>
              <w:jc w:val="center"/>
              <w:rPr>
                <w:rFonts w:ascii="Times New Roman" w:eastAsia="Times New Roman" w:hAnsi="Times New Roman" w:cs="Times New Roman"/>
                <w:color w:val="000000"/>
                <w:kern w:val="0"/>
                <w:sz w:val="19"/>
                <w:szCs w:val="19"/>
                <w:lang w:eastAsia="en-IN"/>
                <w14:ligatures w14:val="none"/>
              </w:rPr>
            </w:pPr>
            <w:r w:rsidRPr="00801A36">
              <w:rPr>
                <w:rFonts w:ascii="Times New Roman" w:eastAsia="Times New Roman" w:hAnsi="Times New Roman" w:cs="Times New Roman"/>
                <w:color w:val="000000"/>
                <w:kern w:val="0"/>
                <w:sz w:val="19"/>
                <w:szCs w:val="19"/>
                <w:lang w:eastAsia="en-IN"/>
                <w14:ligatures w14:val="none"/>
              </w:rPr>
              <w:t>..</w:t>
            </w:r>
          </w:p>
        </w:tc>
        <w:tc>
          <w:tcPr>
            <w:tcW w:w="986" w:type="dxa"/>
            <w:tcBorders>
              <w:top w:val="nil"/>
              <w:left w:val="nil"/>
              <w:bottom w:val="single" w:sz="4" w:space="0" w:color="auto"/>
              <w:right w:val="single" w:sz="4" w:space="0" w:color="auto"/>
            </w:tcBorders>
            <w:noWrap/>
            <w:vAlign w:val="center"/>
            <w:hideMark/>
          </w:tcPr>
          <w:p w14:paraId="05A280E0" w14:textId="77777777" w:rsidR="007B1BAC" w:rsidRPr="00801A36" w:rsidRDefault="007B1BAC" w:rsidP="00801A36">
            <w:pPr>
              <w:spacing w:after="0" w:line="240" w:lineRule="auto"/>
              <w:jc w:val="center"/>
              <w:rPr>
                <w:rFonts w:ascii="Times New Roman" w:eastAsia="Times New Roman" w:hAnsi="Times New Roman" w:cs="Times New Roman"/>
                <w:color w:val="000000"/>
                <w:kern w:val="0"/>
                <w:sz w:val="19"/>
                <w:szCs w:val="19"/>
                <w:lang w:eastAsia="en-IN"/>
                <w14:ligatures w14:val="none"/>
              </w:rPr>
            </w:pPr>
            <w:r w:rsidRPr="00801A36">
              <w:rPr>
                <w:rFonts w:ascii="Times New Roman" w:eastAsia="Times New Roman" w:hAnsi="Times New Roman" w:cs="Times New Roman"/>
                <w:color w:val="000000"/>
                <w:kern w:val="0"/>
                <w:sz w:val="19"/>
                <w:szCs w:val="19"/>
                <w:lang w:eastAsia="en-IN"/>
                <w14:ligatures w14:val="none"/>
              </w:rPr>
              <w:t>6.2</w:t>
            </w:r>
          </w:p>
        </w:tc>
      </w:tr>
      <w:tr w:rsidR="007B1BAC" w:rsidRPr="00801A36" w14:paraId="36FE0DF2" w14:textId="77777777" w:rsidTr="00801A36">
        <w:trPr>
          <w:trHeight w:val="20"/>
          <w:jc w:val="center"/>
        </w:trPr>
        <w:tc>
          <w:tcPr>
            <w:tcW w:w="618" w:type="dxa"/>
            <w:tcBorders>
              <w:top w:val="nil"/>
              <w:left w:val="single" w:sz="4" w:space="0" w:color="auto"/>
              <w:bottom w:val="single" w:sz="4" w:space="0" w:color="auto"/>
              <w:right w:val="single" w:sz="4" w:space="0" w:color="auto"/>
            </w:tcBorders>
            <w:noWrap/>
            <w:vAlign w:val="bottom"/>
            <w:hideMark/>
          </w:tcPr>
          <w:p w14:paraId="40021BA8" w14:textId="77777777" w:rsidR="007B1BAC" w:rsidRPr="00801A36" w:rsidRDefault="007B1BAC" w:rsidP="007B1BAC">
            <w:pPr>
              <w:spacing w:after="0" w:line="240" w:lineRule="auto"/>
              <w:jc w:val="right"/>
              <w:rPr>
                <w:rFonts w:ascii="Times New Roman" w:eastAsia="Times New Roman" w:hAnsi="Times New Roman" w:cs="Times New Roman"/>
                <w:color w:val="000000"/>
                <w:kern w:val="0"/>
                <w:sz w:val="19"/>
                <w:szCs w:val="19"/>
                <w:lang w:eastAsia="en-IN"/>
                <w14:ligatures w14:val="none"/>
              </w:rPr>
            </w:pPr>
            <w:r w:rsidRPr="00801A36">
              <w:rPr>
                <w:rFonts w:ascii="Times New Roman" w:eastAsia="Times New Roman" w:hAnsi="Times New Roman" w:cs="Times New Roman"/>
                <w:color w:val="000000"/>
                <w:kern w:val="0"/>
                <w:sz w:val="19"/>
                <w:szCs w:val="19"/>
                <w:lang w:eastAsia="en-IN"/>
                <w14:ligatures w14:val="none"/>
              </w:rPr>
              <w:t>7</w:t>
            </w:r>
          </w:p>
        </w:tc>
        <w:tc>
          <w:tcPr>
            <w:tcW w:w="1680" w:type="dxa"/>
            <w:tcBorders>
              <w:top w:val="nil"/>
              <w:left w:val="nil"/>
              <w:bottom w:val="single" w:sz="4" w:space="0" w:color="auto"/>
              <w:right w:val="single" w:sz="4" w:space="0" w:color="auto"/>
            </w:tcBorders>
            <w:noWrap/>
            <w:vAlign w:val="bottom"/>
            <w:hideMark/>
          </w:tcPr>
          <w:p w14:paraId="2BEBE41C" w14:textId="77777777" w:rsidR="007B1BAC" w:rsidRPr="00801A36" w:rsidRDefault="007B1BAC" w:rsidP="007B1BAC">
            <w:pPr>
              <w:spacing w:after="0" w:line="240" w:lineRule="auto"/>
              <w:rPr>
                <w:rFonts w:ascii="Times New Roman" w:eastAsia="Times New Roman" w:hAnsi="Times New Roman" w:cs="Times New Roman"/>
                <w:color w:val="000000"/>
                <w:kern w:val="0"/>
                <w:sz w:val="19"/>
                <w:szCs w:val="19"/>
                <w:lang w:eastAsia="en-IN"/>
                <w14:ligatures w14:val="none"/>
              </w:rPr>
            </w:pPr>
            <w:r w:rsidRPr="00801A36">
              <w:rPr>
                <w:rFonts w:ascii="Times New Roman" w:eastAsia="Times New Roman" w:hAnsi="Times New Roman" w:cs="Times New Roman"/>
                <w:color w:val="000000"/>
                <w:kern w:val="0"/>
                <w:sz w:val="19"/>
                <w:szCs w:val="19"/>
                <w:lang w:eastAsia="en-IN"/>
                <w14:ligatures w14:val="none"/>
              </w:rPr>
              <w:t>Kerala</w:t>
            </w:r>
          </w:p>
        </w:tc>
        <w:tc>
          <w:tcPr>
            <w:tcW w:w="1084" w:type="dxa"/>
            <w:tcBorders>
              <w:top w:val="nil"/>
              <w:left w:val="nil"/>
              <w:bottom w:val="single" w:sz="4" w:space="0" w:color="auto"/>
              <w:right w:val="single" w:sz="4" w:space="0" w:color="auto"/>
            </w:tcBorders>
            <w:noWrap/>
            <w:vAlign w:val="center"/>
            <w:hideMark/>
          </w:tcPr>
          <w:p w14:paraId="139AC51D" w14:textId="2B2EF356" w:rsidR="007B1BAC" w:rsidRPr="00801A36" w:rsidRDefault="007B1BAC" w:rsidP="00801A36">
            <w:pPr>
              <w:spacing w:after="0" w:line="240" w:lineRule="auto"/>
              <w:jc w:val="center"/>
              <w:rPr>
                <w:rFonts w:ascii="Times New Roman" w:eastAsia="Times New Roman" w:hAnsi="Times New Roman" w:cs="Times New Roman"/>
                <w:color w:val="000000"/>
                <w:kern w:val="0"/>
                <w:sz w:val="19"/>
                <w:szCs w:val="19"/>
                <w:lang w:eastAsia="en-IN"/>
                <w14:ligatures w14:val="none"/>
              </w:rPr>
            </w:pPr>
          </w:p>
        </w:tc>
        <w:tc>
          <w:tcPr>
            <w:tcW w:w="1070" w:type="dxa"/>
            <w:tcBorders>
              <w:top w:val="nil"/>
              <w:left w:val="nil"/>
              <w:bottom w:val="single" w:sz="4" w:space="0" w:color="auto"/>
              <w:right w:val="single" w:sz="4" w:space="0" w:color="auto"/>
            </w:tcBorders>
            <w:noWrap/>
            <w:vAlign w:val="center"/>
            <w:hideMark/>
          </w:tcPr>
          <w:p w14:paraId="3388B331" w14:textId="4339EA88" w:rsidR="007B1BAC" w:rsidRPr="00801A36" w:rsidRDefault="007B1BAC" w:rsidP="00801A36">
            <w:pPr>
              <w:spacing w:after="0" w:line="240" w:lineRule="auto"/>
              <w:jc w:val="center"/>
              <w:rPr>
                <w:rFonts w:ascii="Times New Roman" w:eastAsia="Times New Roman" w:hAnsi="Times New Roman" w:cs="Times New Roman"/>
                <w:color w:val="000000"/>
                <w:kern w:val="0"/>
                <w:sz w:val="19"/>
                <w:szCs w:val="19"/>
                <w:lang w:eastAsia="en-IN"/>
                <w14:ligatures w14:val="none"/>
              </w:rPr>
            </w:pPr>
          </w:p>
        </w:tc>
        <w:tc>
          <w:tcPr>
            <w:tcW w:w="1196" w:type="dxa"/>
            <w:tcBorders>
              <w:top w:val="nil"/>
              <w:left w:val="nil"/>
              <w:bottom w:val="single" w:sz="4" w:space="0" w:color="auto"/>
              <w:right w:val="single" w:sz="4" w:space="0" w:color="auto"/>
            </w:tcBorders>
            <w:noWrap/>
            <w:vAlign w:val="center"/>
            <w:hideMark/>
          </w:tcPr>
          <w:p w14:paraId="1E4F277C" w14:textId="1FE73767" w:rsidR="007B1BAC" w:rsidRPr="00801A36" w:rsidRDefault="007B1BAC" w:rsidP="00801A36">
            <w:pPr>
              <w:spacing w:after="0" w:line="240" w:lineRule="auto"/>
              <w:jc w:val="center"/>
              <w:rPr>
                <w:rFonts w:ascii="Times New Roman" w:eastAsia="Times New Roman" w:hAnsi="Times New Roman" w:cs="Times New Roman"/>
                <w:color w:val="000000"/>
                <w:kern w:val="0"/>
                <w:sz w:val="19"/>
                <w:szCs w:val="19"/>
                <w:lang w:eastAsia="en-IN"/>
                <w14:ligatures w14:val="none"/>
              </w:rPr>
            </w:pPr>
          </w:p>
        </w:tc>
        <w:tc>
          <w:tcPr>
            <w:tcW w:w="986" w:type="dxa"/>
            <w:tcBorders>
              <w:top w:val="nil"/>
              <w:left w:val="nil"/>
              <w:bottom w:val="single" w:sz="4" w:space="0" w:color="auto"/>
              <w:right w:val="single" w:sz="4" w:space="0" w:color="auto"/>
            </w:tcBorders>
            <w:noWrap/>
            <w:vAlign w:val="center"/>
            <w:hideMark/>
          </w:tcPr>
          <w:p w14:paraId="5DAA7ADD" w14:textId="044535A6" w:rsidR="007B1BAC" w:rsidRPr="00801A36" w:rsidRDefault="007B1BAC" w:rsidP="00801A36">
            <w:pPr>
              <w:spacing w:after="0" w:line="240" w:lineRule="auto"/>
              <w:jc w:val="center"/>
              <w:rPr>
                <w:rFonts w:ascii="Times New Roman" w:eastAsia="Times New Roman" w:hAnsi="Times New Roman" w:cs="Times New Roman"/>
                <w:color w:val="000000"/>
                <w:kern w:val="0"/>
                <w:sz w:val="19"/>
                <w:szCs w:val="19"/>
                <w:lang w:eastAsia="en-IN"/>
                <w14:ligatures w14:val="none"/>
              </w:rPr>
            </w:pPr>
          </w:p>
        </w:tc>
        <w:tc>
          <w:tcPr>
            <w:tcW w:w="1084" w:type="dxa"/>
            <w:tcBorders>
              <w:top w:val="nil"/>
              <w:left w:val="nil"/>
              <w:bottom w:val="single" w:sz="4" w:space="0" w:color="auto"/>
              <w:right w:val="single" w:sz="4" w:space="0" w:color="auto"/>
            </w:tcBorders>
            <w:noWrap/>
            <w:vAlign w:val="center"/>
            <w:hideMark/>
          </w:tcPr>
          <w:p w14:paraId="703860AD" w14:textId="6E27E2DD" w:rsidR="007B1BAC" w:rsidRPr="00801A36" w:rsidRDefault="007B1BAC" w:rsidP="00801A36">
            <w:pPr>
              <w:spacing w:after="0" w:line="240" w:lineRule="auto"/>
              <w:jc w:val="center"/>
              <w:rPr>
                <w:rFonts w:ascii="Times New Roman" w:eastAsia="Times New Roman" w:hAnsi="Times New Roman" w:cs="Times New Roman"/>
                <w:color w:val="000000"/>
                <w:kern w:val="0"/>
                <w:sz w:val="19"/>
                <w:szCs w:val="19"/>
                <w:lang w:eastAsia="en-IN"/>
                <w14:ligatures w14:val="none"/>
              </w:rPr>
            </w:pPr>
          </w:p>
        </w:tc>
        <w:tc>
          <w:tcPr>
            <w:tcW w:w="1070" w:type="dxa"/>
            <w:tcBorders>
              <w:top w:val="nil"/>
              <w:left w:val="nil"/>
              <w:bottom w:val="single" w:sz="4" w:space="0" w:color="auto"/>
              <w:right w:val="single" w:sz="4" w:space="0" w:color="auto"/>
            </w:tcBorders>
            <w:noWrap/>
            <w:vAlign w:val="center"/>
            <w:hideMark/>
          </w:tcPr>
          <w:p w14:paraId="3DE1B85F" w14:textId="0B373605" w:rsidR="007B1BAC" w:rsidRPr="00801A36" w:rsidRDefault="007B1BAC" w:rsidP="00801A36">
            <w:pPr>
              <w:spacing w:after="0" w:line="240" w:lineRule="auto"/>
              <w:jc w:val="center"/>
              <w:rPr>
                <w:rFonts w:ascii="Times New Roman" w:eastAsia="Times New Roman" w:hAnsi="Times New Roman" w:cs="Times New Roman"/>
                <w:color w:val="000000"/>
                <w:kern w:val="0"/>
                <w:sz w:val="19"/>
                <w:szCs w:val="19"/>
                <w:lang w:eastAsia="en-IN"/>
                <w14:ligatures w14:val="none"/>
              </w:rPr>
            </w:pPr>
          </w:p>
        </w:tc>
        <w:tc>
          <w:tcPr>
            <w:tcW w:w="1196" w:type="dxa"/>
            <w:tcBorders>
              <w:top w:val="nil"/>
              <w:left w:val="nil"/>
              <w:bottom w:val="single" w:sz="4" w:space="0" w:color="auto"/>
              <w:right w:val="single" w:sz="4" w:space="0" w:color="auto"/>
            </w:tcBorders>
            <w:noWrap/>
            <w:vAlign w:val="center"/>
            <w:hideMark/>
          </w:tcPr>
          <w:p w14:paraId="176AE12B" w14:textId="6020097F" w:rsidR="007B1BAC" w:rsidRPr="00801A36" w:rsidRDefault="007B1BAC" w:rsidP="00801A36">
            <w:pPr>
              <w:spacing w:after="0" w:line="240" w:lineRule="auto"/>
              <w:jc w:val="center"/>
              <w:rPr>
                <w:rFonts w:ascii="Times New Roman" w:eastAsia="Times New Roman" w:hAnsi="Times New Roman" w:cs="Times New Roman"/>
                <w:color w:val="000000"/>
                <w:kern w:val="0"/>
                <w:sz w:val="19"/>
                <w:szCs w:val="19"/>
                <w:lang w:eastAsia="en-IN"/>
                <w14:ligatures w14:val="none"/>
              </w:rPr>
            </w:pPr>
          </w:p>
        </w:tc>
        <w:tc>
          <w:tcPr>
            <w:tcW w:w="986" w:type="dxa"/>
            <w:tcBorders>
              <w:top w:val="nil"/>
              <w:left w:val="nil"/>
              <w:bottom w:val="single" w:sz="4" w:space="0" w:color="auto"/>
              <w:right w:val="single" w:sz="4" w:space="0" w:color="auto"/>
            </w:tcBorders>
            <w:noWrap/>
            <w:vAlign w:val="center"/>
            <w:hideMark/>
          </w:tcPr>
          <w:p w14:paraId="7A4CDB20" w14:textId="4819495E" w:rsidR="007B1BAC" w:rsidRPr="00801A36" w:rsidRDefault="007B1BAC" w:rsidP="00801A36">
            <w:pPr>
              <w:spacing w:after="0" w:line="240" w:lineRule="auto"/>
              <w:jc w:val="center"/>
              <w:rPr>
                <w:rFonts w:ascii="Times New Roman" w:eastAsia="Times New Roman" w:hAnsi="Times New Roman" w:cs="Times New Roman"/>
                <w:color w:val="000000"/>
                <w:kern w:val="0"/>
                <w:sz w:val="19"/>
                <w:szCs w:val="19"/>
                <w:lang w:eastAsia="en-IN"/>
                <w14:ligatures w14:val="none"/>
              </w:rPr>
            </w:pPr>
          </w:p>
        </w:tc>
        <w:tc>
          <w:tcPr>
            <w:tcW w:w="1084" w:type="dxa"/>
            <w:tcBorders>
              <w:top w:val="nil"/>
              <w:left w:val="nil"/>
              <w:bottom w:val="single" w:sz="4" w:space="0" w:color="auto"/>
              <w:right w:val="single" w:sz="4" w:space="0" w:color="auto"/>
            </w:tcBorders>
            <w:noWrap/>
            <w:vAlign w:val="center"/>
            <w:hideMark/>
          </w:tcPr>
          <w:p w14:paraId="717F56C7" w14:textId="0D207B23" w:rsidR="007B1BAC" w:rsidRPr="00801A36" w:rsidRDefault="007B1BAC" w:rsidP="00801A36">
            <w:pPr>
              <w:spacing w:after="0" w:line="240" w:lineRule="auto"/>
              <w:jc w:val="center"/>
              <w:rPr>
                <w:rFonts w:ascii="Times New Roman" w:eastAsia="Times New Roman" w:hAnsi="Times New Roman" w:cs="Times New Roman"/>
                <w:color w:val="000000"/>
                <w:kern w:val="0"/>
                <w:sz w:val="19"/>
                <w:szCs w:val="19"/>
                <w:lang w:eastAsia="en-IN"/>
                <w14:ligatures w14:val="none"/>
              </w:rPr>
            </w:pPr>
          </w:p>
        </w:tc>
        <w:tc>
          <w:tcPr>
            <w:tcW w:w="1070" w:type="dxa"/>
            <w:tcBorders>
              <w:top w:val="nil"/>
              <w:left w:val="nil"/>
              <w:bottom w:val="single" w:sz="4" w:space="0" w:color="auto"/>
              <w:right w:val="single" w:sz="4" w:space="0" w:color="auto"/>
            </w:tcBorders>
            <w:noWrap/>
            <w:vAlign w:val="center"/>
            <w:hideMark/>
          </w:tcPr>
          <w:p w14:paraId="3D310FBF" w14:textId="322094FA" w:rsidR="007B1BAC" w:rsidRPr="00801A36" w:rsidRDefault="007B1BAC" w:rsidP="00801A36">
            <w:pPr>
              <w:spacing w:after="0" w:line="240" w:lineRule="auto"/>
              <w:jc w:val="center"/>
              <w:rPr>
                <w:rFonts w:ascii="Times New Roman" w:eastAsia="Times New Roman" w:hAnsi="Times New Roman" w:cs="Times New Roman"/>
                <w:color w:val="000000"/>
                <w:kern w:val="0"/>
                <w:sz w:val="19"/>
                <w:szCs w:val="19"/>
                <w:lang w:eastAsia="en-IN"/>
                <w14:ligatures w14:val="none"/>
              </w:rPr>
            </w:pPr>
          </w:p>
        </w:tc>
        <w:tc>
          <w:tcPr>
            <w:tcW w:w="1196" w:type="dxa"/>
            <w:tcBorders>
              <w:top w:val="nil"/>
              <w:left w:val="nil"/>
              <w:bottom w:val="single" w:sz="4" w:space="0" w:color="auto"/>
              <w:right w:val="single" w:sz="4" w:space="0" w:color="auto"/>
            </w:tcBorders>
            <w:noWrap/>
            <w:vAlign w:val="center"/>
            <w:hideMark/>
          </w:tcPr>
          <w:p w14:paraId="1E35EB2E" w14:textId="27001B8E" w:rsidR="007B1BAC" w:rsidRPr="00801A36" w:rsidRDefault="007B1BAC" w:rsidP="00801A36">
            <w:pPr>
              <w:spacing w:after="0" w:line="240" w:lineRule="auto"/>
              <w:jc w:val="center"/>
              <w:rPr>
                <w:rFonts w:ascii="Times New Roman" w:eastAsia="Times New Roman" w:hAnsi="Times New Roman" w:cs="Times New Roman"/>
                <w:color w:val="000000"/>
                <w:kern w:val="0"/>
                <w:sz w:val="19"/>
                <w:szCs w:val="19"/>
                <w:lang w:eastAsia="en-IN"/>
                <w14:ligatures w14:val="none"/>
              </w:rPr>
            </w:pPr>
          </w:p>
        </w:tc>
        <w:tc>
          <w:tcPr>
            <w:tcW w:w="986" w:type="dxa"/>
            <w:tcBorders>
              <w:top w:val="nil"/>
              <w:left w:val="nil"/>
              <w:bottom w:val="single" w:sz="4" w:space="0" w:color="auto"/>
              <w:right w:val="single" w:sz="4" w:space="0" w:color="auto"/>
            </w:tcBorders>
            <w:noWrap/>
            <w:vAlign w:val="center"/>
            <w:hideMark/>
          </w:tcPr>
          <w:p w14:paraId="158C008E" w14:textId="4A2DDD2B" w:rsidR="007B1BAC" w:rsidRPr="00801A36" w:rsidRDefault="007B1BAC" w:rsidP="00801A36">
            <w:pPr>
              <w:spacing w:after="0" w:line="240" w:lineRule="auto"/>
              <w:jc w:val="center"/>
              <w:rPr>
                <w:rFonts w:ascii="Times New Roman" w:eastAsia="Times New Roman" w:hAnsi="Times New Roman" w:cs="Times New Roman"/>
                <w:color w:val="000000"/>
                <w:kern w:val="0"/>
                <w:sz w:val="19"/>
                <w:szCs w:val="19"/>
                <w:lang w:eastAsia="en-IN"/>
                <w14:ligatures w14:val="none"/>
              </w:rPr>
            </w:pPr>
          </w:p>
        </w:tc>
      </w:tr>
      <w:tr w:rsidR="007B1BAC" w:rsidRPr="00801A36" w14:paraId="1F9CA088" w14:textId="77777777" w:rsidTr="00801A36">
        <w:trPr>
          <w:trHeight w:val="20"/>
          <w:jc w:val="center"/>
        </w:trPr>
        <w:tc>
          <w:tcPr>
            <w:tcW w:w="618" w:type="dxa"/>
            <w:tcBorders>
              <w:top w:val="nil"/>
              <w:left w:val="single" w:sz="4" w:space="0" w:color="auto"/>
              <w:bottom w:val="single" w:sz="4" w:space="0" w:color="auto"/>
              <w:right w:val="single" w:sz="4" w:space="0" w:color="auto"/>
            </w:tcBorders>
            <w:noWrap/>
            <w:vAlign w:val="bottom"/>
            <w:hideMark/>
          </w:tcPr>
          <w:p w14:paraId="4B69C5E5" w14:textId="77777777" w:rsidR="007B1BAC" w:rsidRPr="00801A36" w:rsidRDefault="007B1BAC" w:rsidP="007B1BAC">
            <w:pPr>
              <w:spacing w:after="0" w:line="240" w:lineRule="auto"/>
              <w:rPr>
                <w:rFonts w:ascii="Times New Roman" w:eastAsia="Times New Roman" w:hAnsi="Times New Roman" w:cs="Times New Roman"/>
                <w:color w:val="000000"/>
                <w:kern w:val="0"/>
                <w:sz w:val="19"/>
                <w:szCs w:val="19"/>
                <w:lang w:eastAsia="en-IN"/>
                <w14:ligatures w14:val="none"/>
              </w:rPr>
            </w:pPr>
            <w:r w:rsidRPr="00801A36">
              <w:rPr>
                <w:rFonts w:ascii="Times New Roman" w:eastAsia="Times New Roman" w:hAnsi="Times New Roman" w:cs="Times New Roman"/>
                <w:color w:val="000000"/>
                <w:kern w:val="0"/>
                <w:sz w:val="19"/>
                <w:szCs w:val="19"/>
                <w:lang w:eastAsia="en-IN"/>
                <w14:ligatures w14:val="none"/>
              </w:rPr>
              <w:t> </w:t>
            </w:r>
          </w:p>
        </w:tc>
        <w:tc>
          <w:tcPr>
            <w:tcW w:w="1680" w:type="dxa"/>
            <w:tcBorders>
              <w:top w:val="nil"/>
              <w:left w:val="nil"/>
              <w:bottom w:val="single" w:sz="4" w:space="0" w:color="auto"/>
              <w:right w:val="single" w:sz="4" w:space="0" w:color="auto"/>
            </w:tcBorders>
            <w:noWrap/>
            <w:vAlign w:val="bottom"/>
            <w:hideMark/>
          </w:tcPr>
          <w:p w14:paraId="33D9B8E2" w14:textId="77777777" w:rsidR="007B1BAC" w:rsidRPr="00801A36" w:rsidRDefault="007B1BAC" w:rsidP="007B1BAC">
            <w:pPr>
              <w:spacing w:after="0" w:line="240" w:lineRule="auto"/>
              <w:rPr>
                <w:rFonts w:ascii="Times New Roman" w:eastAsia="Times New Roman" w:hAnsi="Times New Roman" w:cs="Times New Roman"/>
                <w:color w:val="000000"/>
                <w:kern w:val="0"/>
                <w:sz w:val="19"/>
                <w:szCs w:val="19"/>
                <w:lang w:eastAsia="en-IN"/>
                <w14:ligatures w14:val="none"/>
              </w:rPr>
            </w:pPr>
            <w:r w:rsidRPr="00801A36">
              <w:rPr>
                <w:rFonts w:ascii="Times New Roman" w:eastAsia="Times New Roman" w:hAnsi="Times New Roman" w:cs="Times New Roman"/>
                <w:color w:val="000000"/>
                <w:kern w:val="0"/>
                <w:sz w:val="19"/>
                <w:szCs w:val="19"/>
                <w:lang w:eastAsia="en-IN"/>
                <w14:ligatures w14:val="none"/>
              </w:rPr>
              <w:t>Southern</w:t>
            </w:r>
          </w:p>
        </w:tc>
        <w:tc>
          <w:tcPr>
            <w:tcW w:w="1084" w:type="dxa"/>
            <w:tcBorders>
              <w:top w:val="nil"/>
              <w:left w:val="nil"/>
              <w:bottom w:val="single" w:sz="4" w:space="0" w:color="auto"/>
              <w:right w:val="single" w:sz="4" w:space="0" w:color="auto"/>
            </w:tcBorders>
            <w:noWrap/>
            <w:vAlign w:val="center"/>
            <w:hideMark/>
          </w:tcPr>
          <w:p w14:paraId="42969603" w14:textId="77777777" w:rsidR="007B1BAC" w:rsidRPr="00801A36" w:rsidRDefault="007B1BAC" w:rsidP="00801A36">
            <w:pPr>
              <w:spacing w:after="0" w:line="240" w:lineRule="auto"/>
              <w:jc w:val="center"/>
              <w:rPr>
                <w:rFonts w:ascii="Times New Roman" w:eastAsia="Times New Roman" w:hAnsi="Times New Roman" w:cs="Times New Roman"/>
                <w:color w:val="000000"/>
                <w:kern w:val="0"/>
                <w:sz w:val="19"/>
                <w:szCs w:val="19"/>
                <w:lang w:eastAsia="en-IN"/>
                <w14:ligatures w14:val="none"/>
              </w:rPr>
            </w:pPr>
            <w:r w:rsidRPr="00801A36">
              <w:rPr>
                <w:rFonts w:ascii="Times New Roman" w:eastAsia="Times New Roman" w:hAnsi="Times New Roman" w:cs="Times New Roman"/>
                <w:color w:val="000000"/>
                <w:kern w:val="0"/>
                <w:sz w:val="19"/>
                <w:szCs w:val="19"/>
                <w:lang w:eastAsia="en-IN"/>
                <w14:ligatures w14:val="none"/>
              </w:rPr>
              <w:t>553.26</w:t>
            </w:r>
          </w:p>
        </w:tc>
        <w:tc>
          <w:tcPr>
            <w:tcW w:w="1070" w:type="dxa"/>
            <w:tcBorders>
              <w:top w:val="nil"/>
              <w:left w:val="nil"/>
              <w:bottom w:val="single" w:sz="4" w:space="0" w:color="auto"/>
              <w:right w:val="single" w:sz="4" w:space="0" w:color="auto"/>
            </w:tcBorders>
            <w:noWrap/>
            <w:vAlign w:val="center"/>
            <w:hideMark/>
          </w:tcPr>
          <w:p w14:paraId="2605B7C0" w14:textId="77777777" w:rsidR="007B1BAC" w:rsidRPr="00801A36" w:rsidRDefault="007B1BAC" w:rsidP="00801A36">
            <w:pPr>
              <w:spacing w:after="0" w:line="240" w:lineRule="auto"/>
              <w:jc w:val="center"/>
              <w:rPr>
                <w:rFonts w:ascii="Times New Roman" w:eastAsia="Times New Roman" w:hAnsi="Times New Roman" w:cs="Times New Roman"/>
                <w:color w:val="000000"/>
                <w:kern w:val="0"/>
                <w:sz w:val="19"/>
                <w:szCs w:val="19"/>
                <w:lang w:eastAsia="en-IN"/>
                <w14:ligatures w14:val="none"/>
              </w:rPr>
            </w:pPr>
            <w:r w:rsidRPr="00801A36">
              <w:rPr>
                <w:rFonts w:ascii="Times New Roman" w:eastAsia="Times New Roman" w:hAnsi="Times New Roman" w:cs="Times New Roman"/>
                <w:color w:val="000000"/>
                <w:kern w:val="0"/>
                <w:sz w:val="19"/>
                <w:szCs w:val="19"/>
                <w:lang w:eastAsia="en-IN"/>
                <w14:ligatures w14:val="none"/>
              </w:rPr>
              <w:t>333.47</w:t>
            </w:r>
          </w:p>
        </w:tc>
        <w:tc>
          <w:tcPr>
            <w:tcW w:w="1196" w:type="dxa"/>
            <w:tcBorders>
              <w:top w:val="nil"/>
              <w:left w:val="nil"/>
              <w:bottom w:val="single" w:sz="4" w:space="0" w:color="auto"/>
              <w:right w:val="single" w:sz="4" w:space="0" w:color="auto"/>
            </w:tcBorders>
            <w:noWrap/>
            <w:vAlign w:val="center"/>
            <w:hideMark/>
          </w:tcPr>
          <w:p w14:paraId="4466FF3E" w14:textId="77777777" w:rsidR="007B1BAC" w:rsidRPr="00801A36" w:rsidRDefault="007B1BAC" w:rsidP="00801A36">
            <w:pPr>
              <w:spacing w:after="0" w:line="240" w:lineRule="auto"/>
              <w:jc w:val="center"/>
              <w:rPr>
                <w:rFonts w:ascii="Times New Roman" w:eastAsia="Times New Roman" w:hAnsi="Times New Roman" w:cs="Times New Roman"/>
                <w:color w:val="000000"/>
                <w:kern w:val="0"/>
                <w:sz w:val="19"/>
                <w:szCs w:val="19"/>
                <w:lang w:eastAsia="en-IN"/>
                <w14:ligatures w14:val="none"/>
              </w:rPr>
            </w:pPr>
            <w:r w:rsidRPr="00801A36">
              <w:rPr>
                <w:rFonts w:ascii="Times New Roman" w:eastAsia="Times New Roman" w:hAnsi="Times New Roman" w:cs="Times New Roman"/>
                <w:color w:val="000000"/>
                <w:kern w:val="0"/>
                <w:sz w:val="19"/>
                <w:szCs w:val="19"/>
                <w:lang w:eastAsia="en-IN"/>
                <w14:ligatures w14:val="none"/>
              </w:rPr>
              <w:t>..</w:t>
            </w:r>
          </w:p>
        </w:tc>
        <w:tc>
          <w:tcPr>
            <w:tcW w:w="986" w:type="dxa"/>
            <w:tcBorders>
              <w:top w:val="nil"/>
              <w:left w:val="nil"/>
              <w:bottom w:val="single" w:sz="4" w:space="0" w:color="auto"/>
              <w:right w:val="single" w:sz="4" w:space="0" w:color="auto"/>
            </w:tcBorders>
            <w:noWrap/>
            <w:vAlign w:val="center"/>
            <w:hideMark/>
          </w:tcPr>
          <w:p w14:paraId="3E5AB3BB" w14:textId="77777777" w:rsidR="007B1BAC" w:rsidRPr="00801A36" w:rsidRDefault="007B1BAC" w:rsidP="00801A36">
            <w:pPr>
              <w:spacing w:after="0" w:line="240" w:lineRule="auto"/>
              <w:jc w:val="center"/>
              <w:rPr>
                <w:rFonts w:ascii="Times New Roman" w:eastAsia="Times New Roman" w:hAnsi="Times New Roman" w:cs="Times New Roman"/>
                <w:color w:val="000000"/>
                <w:kern w:val="0"/>
                <w:sz w:val="19"/>
                <w:szCs w:val="19"/>
                <w:lang w:eastAsia="en-IN"/>
                <w14:ligatures w14:val="none"/>
              </w:rPr>
            </w:pPr>
            <w:r w:rsidRPr="00801A36">
              <w:rPr>
                <w:rFonts w:ascii="Times New Roman" w:eastAsia="Times New Roman" w:hAnsi="Times New Roman" w:cs="Times New Roman"/>
                <w:color w:val="000000"/>
                <w:kern w:val="0"/>
                <w:sz w:val="19"/>
                <w:szCs w:val="19"/>
                <w:lang w:eastAsia="en-IN"/>
                <w14:ligatures w14:val="none"/>
              </w:rPr>
              <w:t>886.73</w:t>
            </w:r>
          </w:p>
        </w:tc>
        <w:tc>
          <w:tcPr>
            <w:tcW w:w="1084" w:type="dxa"/>
            <w:tcBorders>
              <w:top w:val="nil"/>
              <w:left w:val="nil"/>
              <w:bottom w:val="single" w:sz="4" w:space="0" w:color="auto"/>
              <w:right w:val="single" w:sz="4" w:space="0" w:color="auto"/>
            </w:tcBorders>
            <w:noWrap/>
            <w:vAlign w:val="center"/>
            <w:hideMark/>
          </w:tcPr>
          <w:p w14:paraId="38ADEE57" w14:textId="77777777" w:rsidR="007B1BAC" w:rsidRPr="00801A36" w:rsidRDefault="007B1BAC" w:rsidP="00801A36">
            <w:pPr>
              <w:spacing w:after="0" w:line="240" w:lineRule="auto"/>
              <w:jc w:val="center"/>
              <w:rPr>
                <w:rFonts w:ascii="Times New Roman" w:eastAsia="Times New Roman" w:hAnsi="Times New Roman" w:cs="Times New Roman"/>
                <w:color w:val="000000"/>
                <w:kern w:val="0"/>
                <w:sz w:val="19"/>
                <w:szCs w:val="19"/>
                <w:lang w:eastAsia="en-IN"/>
                <w14:ligatures w14:val="none"/>
              </w:rPr>
            </w:pPr>
            <w:r w:rsidRPr="00801A36">
              <w:rPr>
                <w:rFonts w:ascii="Times New Roman" w:eastAsia="Times New Roman" w:hAnsi="Times New Roman" w:cs="Times New Roman"/>
                <w:color w:val="000000"/>
                <w:kern w:val="0"/>
                <w:sz w:val="19"/>
                <w:szCs w:val="19"/>
                <w:lang w:eastAsia="en-IN"/>
                <w14:ligatures w14:val="none"/>
              </w:rPr>
              <w:t>553.26</w:t>
            </w:r>
          </w:p>
        </w:tc>
        <w:tc>
          <w:tcPr>
            <w:tcW w:w="1070" w:type="dxa"/>
            <w:tcBorders>
              <w:top w:val="nil"/>
              <w:left w:val="nil"/>
              <w:bottom w:val="single" w:sz="4" w:space="0" w:color="auto"/>
              <w:right w:val="single" w:sz="4" w:space="0" w:color="auto"/>
            </w:tcBorders>
            <w:noWrap/>
            <w:vAlign w:val="center"/>
            <w:hideMark/>
          </w:tcPr>
          <w:p w14:paraId="039D5E8B" w14:textId="77777777" w:rsidR="007B1BAC" w:rsidRPr="00801A36" w:rsidRDefault="007B1BAC" w:rsidP="00801A36">
            <w:pPr>
              <w:spacing w:after="0" w:line="240" w:lineRule="auto"/>
              <w:jc w:val="center"/>
              <w:rPr>
                <w:rFonts w:ascii="Times New Roman" w:eastAsia="Times New Roman" w:hAnsi="Times New Roman" w:cs="Times New Roman"/>
                <w:color w:val="000000"/>
                <w:kern w:val="0"/>
                <w:sz w:val="19"/>
                <w:szCs w:val="19"/>
                <w:lang w:eastAsia="en-IN"/>
                <w14:ligatures w14:val="none"/>
              </w:rPr>
            </w:pPr>
            <w:r w:rsidRPr="00801A36">
              <w:rPr>
                <w:rFonts w:ascii="Times New Roman" w:eastAsia="Times New Roman" w:hAnsi="Times New Roman" w:cs="Times New Roman"/>
                <w:color w:val="000000"/>
                <w:kern w:val="0"/>
                <w:sz w:val="19"/>
                <w:szCs w:val="19"/>
                <w:lang w:eastAsia="en-IN"/>
                <w14:ligatures w14:val="none"/>
              </w:rPr>
              <w:t>333.47</w:t>
            </w:r>
          </w:p>
        </w:tc>
        <w:tc>
          <w:tcPr>
            <w:tcW w:w="1196" w:type="dxa"/>
            <w:tcBorders>
              <w:top w:val="nil"/>
              <w:left w:val="nil"/>
              <w:bottom w:val="single" w:sz="4" w:space="0" w:color="auto"/>
              <w:right w:val="single" w:sz="4" w:space="0" w:color="auto"/>
            </w:tcBorders>
            <w:noWrap/>
            <w:vAlign w:val="center"/>
            <w:hideMark/>
          </w:tcPr>
          <w:p w14:paraId="4740B34B" w14:textId="77777777" w:rsidR="007B1BAC" w:rsidRPr="00801A36" w:rsidRDefault="007B1BAC" w:rsidP="00801A36">
            <w:pPr>
              <w:spacing w:after="0" w:line="240" w:lineRule="auto"/>
              <w:jc w:val="center"/>
              <w:rPr>
                <w:rFonts w:ascii="Times New Roman" w:eastAsia="Times New Roman" w:hAnsi="Times New Roman" w:cs="Times New Roman"/>
                <w:color w:val="000000"/>
                <w:kern w:val="0"/>
                <w:sz w:val="19"/>
                <w:szCs w:val="19"/>
                <w:lang w:eastAsia="en-IN"/>
                <w14:ligatures w14:val="none"/>
              </w:rPr>
            </w:pPr>
            <w:r w:rsidRPr="00801A36">
              <w:rPr>
                <w:rFonts w:ascii="Times New Roman" w:eastAsia="Times New Roman" w:hAnsi="Times New Roman" w:cs="Times New Roman"/>
                <w:color w:val="000000"/>
                <w:kern w:val="0"/>
                <w:sz w:val="19"/>
                <w:szCs w:val="19"/>
                <w:lang w:eastAsia="en-IN"/>
                <w14:ligatures w14:val="none"/>
              </w:rPr>
              <w:t>..</w:t>
            </w:r>
          </w:p>
        </w:tc>
        <w:tc>
          <w:tcPr>
            <w:tcW w:w="986" w:type="dxa"/>
            <w:tcBorders>
              <w:top w:val="nil"/>
              <w:left w:val="nil"/>
              <w:bottom w:val="single" w:sz="4" w:space="0" w:color="auto"/>
              <w:right w:val="single" w:sz="4" w:space="0" w:color="auto"/>
            </w:tcBorders>
            <w:noWrap/>
            <w:vAlign w:val="center"/>
            <w:hideMark/>
          </w:tcPr>
          <w:p w14:paraId="182B11F3" w14:textId="77777777" w:rsidR="007B1BAC" w:rsidRPr="00801A36" w:rsidRDefault="007B1BAC" w:rsidP="00801A36">
            <w:pPr>
              <w:spacing w:after="0" w:line="240" w:lineRule="auto"/>
              <w:jc w:val="center"/>
              <w:rPr>
                <w:rFonts w:ascii="Times New Roman" w:eastAsia="Times New Roman" w:hAnsi="Times New Roman" w:cs="Times New Roman"/>
                <w:color w:val="000000"/>
                <w:kern w:val="0"/>
                <w:sz w:val="19"/>
                <w:szCs w:val="19"/>
                <w:lang w:eastAsia="en-IN"/>
                <w14:ligatures w14:val="none"/>
              </w:rPr>
            </w:pPr>
            <w:r w:rsidRPr="00801A36">
              <w:rPr>
                <w:rFonts w:ascii="Times New Roman" w:eastAsia="Times New Roman" w:hAnsi="Times New Roman" w:cs="Times New Roman"/>
                <w:color w:val="000000"/>
                <w:kern w:val="0"/>
                <w:sz w:val="19"/>
                <w:szCs w:val="19"/>
                <w:lang w:eastAsia="en-IN"/>
                <w14:ligatures w14:val="none"/>
              </w:rPr>
              <w:t>886.73</w:t>
            </w:r>
          </w:p>
        </w:tc>
        <w:tc>
          <w:tcPr>
            <w:tcW w:w="1084" w:type="dxa"/>
            <w:tcBorders>
              <w:top w:val="nil"/>
              <w:left w:val="nil"/>
              <w:bottom w:val="single" w:sz="4" w:space="0" w:color="auto"/>
              <w:right w:val="single" w:sz="4" w:space="0" w:color="auto"/>
            </w:tcBorders>
            <w:noWrap/>
            <w:vAlign w:val="center"/>
            <w:hideMark/>
          </w:tcPr>
          <w:p w14:paraId="475C589D" w14:textId="77777777" w:rsidR="007B1BAC" w:rsidRPr="00801A36" w:rsidRDefault="007B1BAC" w:rsidP="00801A36">
            <w:pPr>
              <w:spacing w:after="0" w:line="240" w:lineRule="auto"/>
              <w:jc w:val="center"/>
              <w:rPr>
                <w:rFonts w:ascii="Times New Roman" w:eastAsia="Times New Roman" w:hAnsi="Times New Roman" w:cs="Times New Roman"/>
                <w:color w:val="000000"/>
                <w:kern w:val="0"/>
                <w:sz w:val="19"/>
                <w:szCs w:val="19"/>
                <w:lang w:eastAsia="en-IN"/>
                <w14:ligatures w14:val="none"/>
              </w:rPr>
            </w:pPr>
            <w:r w:rsidRPr="00801A36">
              <w:rPr>
                <w:rFonts w:ascii="Times New Roman" w:eastAsia="Times New Roman" w:hAnsi="Times New Roman" w:cs="Times New Roman"/>
                <w:color w:val="000000"/>
                <w:kern w:val="0"/>
                <w:sz w:val="19"/>
                <w:szCs w:val="19"/>
                <w:lang w:eastAsia="en-IN"/>
                <w14:ligatures w14:val="none"/>
              </w:rPr>
              <w:t>553.39</w:t>
            </w:r>
          </w:p>
        </w:tc>
        <w:tc>
          <w:tcPr>
            <w:tcW w:w="1070" w:type="dxa"/>
            <w:tcBorders>
              <w:top w:val="nil"/>
              <w:left w:val="nil"/>
              <w:bottom w:val="single" w:sz="4" w:space="0" w:color="auto"/>
              <w:right w:val="single" w:sz="4" w:space="0" w:color="auto"/>
            </w:tcBorders>
            <w:noWrap/>
            <w:vAlign w:val="center"/>
            <w:hideMark/>
          </w:tcPr>
          <w:p w14:paraId="3CC067DC" w14:textId="77777777" w:rsidR="007B1BAC" w:rsidRPr="00801A36" w:rsidRDefault="007B1BAC" w:rsidP="00801A36">
            <w:pPr>
              <w:spacing w:after="0" w:line="240" w:lineRule="auto"/>
              <w:jc w:val="center"/>
              <w:rPr>
                <w:rFonts w:ascii="Times New Roman" w:eastAsia="Times New Roman" w:hAnsi="Times New Roman" w:cs="Times New Roman"/>
                <w:color w:val="000000"/>
                <w:kern w:val="0"/>
                <w:sz w:val="19"/>
                <w:szCs w:val="19"/>
                <w:lang w:eastAsia="en-IN"/>
                <w14:ligatures w14:val="none"/>
              </w:rPr>
            </w:pPr>
            <w:r w:rsidRPr="00801A36">
              <w:rPr>
                <w:rFonts w:ascii="Times New Roman" w:eastAsia="Times New Roman" w:hAnsi="Times New Roman" w:cs="Times New Roman"/>
                <w:color w:val="000000"/>
                <w:kern w:val="0"/>
                <w:sz w:val="19"/>
                <w:szCs w:val="19"/>
                <w:lang w:eastAsia="en-IN"/>
                <w14:ligatures w14:val="none"/>
              </w:rPr>
              <w:t>336.54</w:t>
            </w:r>
          </w:p>
        </w:tc>
        <w:tc>
          <w:tcPr>
            <w:tcW w:w="1196" w:type="dxa"/>
            <w:tcBorders>
              <w:top w:val="nil"/>
              <w:left w:val="nil"/>
              <w:bottom w:val="single" w:sz="4" w:space="0" w:color="auto"/>
              <w:right w:val="single" w:sz="4" w:space="0" w:color="auto"/>
            </w:tcBorders>
            <w:noWrap/>
            <w:vAlign w:val="center"/>
            <w:hideMark/>
          </w:tcPr>
          <w:p w14:paraId="3C5D412F" w14:textId="77777777" w:rsidR="007B1BAC" w:rsidRPr="00801A36" w:rsidRDefault="007B1BAC" w:rsidP="00801A36">
            <w:pPr>
              <w:spacing w:after="0" w:line="240" w:lineRule="auto"/>
              <w:jc w:val="center"/>
              <w:rPr>
                <w:rFonts w:ascii="Times New Roman" w:eastAsia="Times New Roman" w:hAnsi="Times New Roman" w:cs="Times New Roman"/>
                <w:color w:val="000000"/>
                <w:kern w:val="0"/>
                <w:sz w:val="19"/>
                <w:szCs w:val="19"/>
                <w:lang w:eastAsia="en-IN"/>
                <w14:ligatures w14:val="none"/>
              </w:rPr>
            </w:pPr>
            <w:r w:rsidRPr="00801A36">
              <w:rPr>
                <w:rFonts w:ascii="Times New Roman" w:eastAsia="Times New Roman" w:hAnsi="Times New Roman" w:cs="Times New Roman"/>
                <w:color w:val="000000"/>
                <w:kern w:val="0"/>
                <w:sz w:val="19"/>
                <w:szCs w:val="19"/>
                <w:lang w:eastAsia="en-IN"/>
                <w14:ligatures w14:val="none"/>
              </w:rPr>
              <w:t>..</w:t>
            </w:r>
          </w:p>
        </w:tc>
        <w:tc>
          <w:tcPr>
            <w:tcW w:w="986" w:type="dxa"/>
            <w:tcBorders>
              <w:top w:val="nil"/>
              <w:left w:val="nil"/>
              <w:bottom w:val="single" w:sz="4" w:space="0" w:color="auto"/>
              <w:right w:val="single" w:sz="4" w:space="0" w:color="auto"/>
            </w:tcBorders>
            <w:noWrap/>
            <w:vAlign w:val="center"/>
            <w:hideMark/>
          </w:tcPr>
          <w:p w14:paraId="609A6EE1" w14:textId="77777777" w:rsidR="007B1BAC" w:rsidRPr="00801A36" w:rsidRDefault="007B1BAC" w:rsidP="00801A36">
            <w:pPr>
              <w:spacing w:after="0" w:line="240" w:lineRule="auto"/>
              <w:jc w:val="center"/>
              <w:rPr>
                <w:rFonts w:ascii="Times New Roman" w:eastAsia="Times New Roman" w:hAnsi="Times New Roman" w:cs="Times New Roman"/>
                <w:color w:val="000000"/>
                <w:kern w:val="0"/>
                <w:sz w:val="19"/>
                <w:szCs w:val="19"/>
                <w:lang w:eastAsia="en-IN"/>
                <w14:ligatures w14:val="none"/>
              </w:rPr>
            </w:pPr>
            <w:r w:rsidRPr="00801A36">
              <w:rPr>
                <w:rFonts w:ascii="Times New Roman" w:eastAsia="Times New Roman" w:hAnsi="Times New Roman" w:cs="Times New Roman"/>
                <w:color w:val="000000"/>
                <w:kern w:val="0"/>
                <w:sz w:val="19"/>
                <w:szCs w:val="19"/>
                <w:lang w:eastAsia="en-IN"/>
                <w14:ligatures w14:val="none"/>
              </w:rPr>
              <w:t>886.93</w:t>
            </w:r>
          </w:p>
        </w:tc>
      </w:tr>
      <w:tr w:rsidR="007B1BAC" w:rsidRPr="00801A36" w14:paraId="5B3F1B98" w14:textId="77777777" w:rsidTr="00801A36">
        <w:trPr>
          <w:trHeight w:val="20"/>
          <w:jc w:val="center"/>
        </w:trPr>
        <w:tc>
          <w:tcPr>
            <w:tcW w:w="618" w:type="dxa"/>
            <w:tcBorders>
              <w:top w:val="nil"/>
              <w:left w:val="single" w:sz="4" w:space="0" w:color="auto"/>
              <w:bottom w:val="single" w:sz="4" w:space="0" w:color="auto"/>
              <w:right w:val="single" w:sz="4" w:space="0" w:color="auto"/>
            </w:tcBorders>
            <w:noWrap/>
            <w:vAlign w:val="bottom"/>
            <w:hideMark/>
          </w:tcPr>
          <w:p w14:paraId="56C73F5F" w14:textId="77777777" w:rsidR="007B1BAC" w:rsidRPr="00801A36" w:rsidRDefault="007B1BAC" w:rsidP="007B1BAC">
            <w:pPr>
              <w:spacing w:after="0" w:line="240" w:lineRule="auto"/>
              <w:jc w:val="right"/>
              <w:rPr>
                <w:rFonts w:ascii="Times New Roman" w:eastAsia="Times New Roman" w:hAnsi="Times New Roman" w:cs="Times New Roman"/>
                <w:color w:val="000000"/>
                <w:kern w:val="0"/>
                <w:sz w:val="19"/>
                <w:szCs w:val="19"/>
                <w:lang w:eastAsia="en-IN"/>
                <w14:ligatures w14:val="none"/>
              </w:rPr>
            </w:pPr>
            <w:r w:rsidRPr="00801A36">
              <w:rPr>
                <w:rFonts w:ascii="Times New Roman" w:eastAsia="Times New Roman" w:hAnsi="Times New Roman" w:cs="Times New Roman"/>
                <w:color w:val="000000"/>
                <w:kern w:val="0"/>
                <w:sz w:val="19"/>
                <w:szCs w:val="19"/>
                <w:lang w:eastAsia="en-IN"/>
                <w14:ligatures w14:val="none"/>
              </w:rPr>
              <w:t>8</w:t>
            </w:r>
          </w:p>
        </w:tc>
        <w:tc>
          <w:tcPr>
            <w:tcW w:w="1680" w:type="dxa"/>
            <w:tcBorders>
              <w:top w:val="nil"/>
              <w:left w:val="nil"/>
              <w:bottom w:val="single" w:sz="4" w:space="0" w:color="auto"/>
              <w:right w:val="single" w:sz="4" w:space="0" w:color="auto"/>
            </w:tcBorders>
            <w:noWrap/>
            <w:vAlign w:val="bottom"/>
            <w:hideMark/>
          </w:tcPr>
          <w:p w14:paraId="34D701AB" w14:textId="77777777" w:rsidR="007B1BAC" w:rsidRPr="00801A36" w:rsidRDefault="007B1BAC" w:rsidP="007B1BAC">
            <w:pPr>
              <w:spacing w:after="0" w:line="240" w:lineRule="auto"/>
              <w:rPr>
                <w:rFonts w:ascii="Times New Roman" w:eastAsia="Times New Roman" w:hAnsi="Times New Roman" w:cs="Times New Roman"/>
                <w:color w:val="000000"/>
                <w:kern w:val="0"/>
                <w:sz w:val="19"/>
                <w:szCs w:val="19"/>
                <w:lang w:eastAsia="en-IN"/>
                <w14:ligatures w14:val="none"/>
              </w:rPr>
            </w:pPr>
            <w:r w:rsidRPr="00801A36">
              <w:rPr>
                <w:rFonts w:ascii="Times New Roman" w:eastAsia="Times New Roman" w:hAnsi="Times New Roman" w:cs="Times New Roman"/>
                <w:color w:val="000000"/>
                <w:kern w:val="0"/>
                <w:sz w:val="19"/>
                <w:szCs w:val="19"/>
                <w:lang w:eastAsia="en-IN"/>
                <w14:ligatures w14:val="none"/>
              </w:rPr>
              <w:t>Madhya Pradesh</w:t>
            </w:r>
          </w:p>
        </w:tc>
        <w:tc>
          <w:tcPr>
            <w:tcW w:w="1084" w:type="dxa"/>
            <w:tcBorders>
              <w:top w:val="nil"/>
              <w:left w:val="nil"/>
              <w:bottom w:val="single" w:sz="4" w:space="0" w:color="auto"/>
              <w:right w:val="single" w:sz="4" w:space="0" w:color="auto"/>
            </w:tcBorders>
            <w:noWrap/>
            <w:vAlign w:val="center"/>
            <w:hideMark/>
          </w:tcPr>
          <w:p w14:paraId="3767D503" w14:textId="5C8A9881" w:rsidR="007B1BAC" w:rsidRPr="00801A36" w:rsidRDefault="007B1BAC" w:rsidP="00801A36">
            <w:pPr>
              <w:spacing w:after="0" w:line="240" w:lineRule="auto"/>
              <w:jc w:val="center"/>
              <w:rPr>
                <w:rFonts w:ascii="Times New Roman" w:eastAsia="Times New Roman" w:hAnsi="Times New Roman" w:cs="Times New Roman"/>
                <w:color w:val="000000"/>
                <w:kern w:val="0"/>
                <w:sz w:val="19"/>
                <w:szCs w:val="19"/>
                <w:lang w:eastAsia="en-IN"/>
                <w14:ligatures w14:val="none"/>
              </w:rPr>
            </w:pPr>
          </w:p>
        </w:tc>
        <w:tc>
          <w:tcPr>
            <w:tcW w:w="1070" w:type="dxa"/>
            <w:tcBorders>
              <w:top w:val="nil"/>
              <w:left w:val="nil"/>
              <w:bottom w:val="single" w:sz="4" w:space="0" w:color="auto"/>
              <w:right w:val="single" w:sz="4" w:space="0" w:color="auto"/>
            </w:tcBorders>
            <w:noWrap/>
            <w:vAlign w:val="center"/>
            <w:hideMark/>
          </w:tcPr>
          <w:p w14:paraId="2563B067" w14:textId="4C097D8E" w:rsidR="007B1BAC" w:rsidRPr="00801A36" w:rsidRDefault="007B1BAC" w:rsidP="00801A36">
            <w:pPr>
              <w:spacing w:after="0" w:line="240" w:lineRule="auto"/>
              <w:jc w:val="center"/>
              <w:rPr>
                <w:rFonts w:ascii="Times New Roman" w:eastAsia="Times New Roman" w:hAnsi="Times New Roman" w:cs="Times New Roman"/>
                <w:color w:val="000000"/>
                <w:kern w:val="0"/>
                <w:sz w:val="19"/>
                <w:szCs w:val="19"/>
                <w:lang w:eastAsia="en-IN"/>
                <w14:ligatures w14:val="none"/>
              </w:rPr>
            </w:pPr>
          </w:p>
        </w:tc>
        <w:tc>
          <w:tcPr>
            <w:tcW w:w="1196" w:type="dxa"/>
            <w:tcBorders>
              <w:top w:val="nil"/>
              <w:left w:val="nil"/>
              <w:bottom w:val="single" w:sz="4" w:space="0" w:color="auto"/>
              <w:right w:val="single" w:sz="4" w:space="0" w:color="auto"/>
            </w:tcBorders>
            <w:noWrap/>
            <w:vAlign w:val="center"/>
            <w:hideMark/>
          </w:tcPr>
          <w:p w14:paraId="7C7330DD" w14:textId="2322919F" w:rsidR="007B1BAC" w:rsidRPr="00801A36" w:rsidRDefault="007B1BAC" w:rsidP="00801A36">
            <w:pPr>
              <w:spacing w:after="0" w:line="240" w:lineRule="auto"/>
              <w:jc w:val="center"/>
              <w:rPr>
                <w:rFonts w:ascii="Times New Roman" w:eastAsia="Times New Roman" w:hAnsi="Times New Roman" w:cs="Times New Roman"/>
                <w:color w:val="000000"/>
                <w:kern w:val="0"/>
                <w:sz w:val="19"/>
                <w:szCs w:val="19"/>
                <w:lang w:eastAsia="en-IN"/>
                <w14:ligatures w14:val="none"/>
              </w:rPr>
            </w:pPr>
          </w:p>
        </w:tc>
        <w:tc>
          <w:tcPr>
            <w:tcW w:w="986" w:type="dxa"/>
            <w:tcBorders>
              <w:top w:val="nil"/>
              <w:left w:val="nil"/>
              <w:bottom w:val="single" w:sz="4" w:space="0" w:color="auto"/>
              <w:right w:val="single" w:sz="4" w:space="0" w:color="auto"/>
            </w:tcBorders>
            <w:noWrap/>
            <w:vAlign w:val="center"/>
            <w:hideMark/>
          </w:tcPr>
          <w:p w14:paraId="6A267921" w14:textId="00393CDC" w:rsidR="007B1BAC" w:rsidRPr="00801A36" w:rsidRDefault="007B1BAC" w:rsidP="00801A36">
            <w:pPr>
              <w:spacing w:after="0" w:line="240" w:lineRule="auto"/>
              <w:jc w:val="center"/>
              <w:rPr>
                <w:rFonts w:ascii="Times New Roman" w:eastAsia="Times New Roman" w:hAnsi="Times New Roman" w:cs="Times New Roman"/>
                <w:color w:val="000000"/>
                <w:kern w:val="0"/>
                <w:sz w:val="19"/>
                <w:szCs w:val="19"/>
                <w:lang w:eastAsia="en-IN"/>
                <w14:ligatures w14:val="none"/>
              </w:rPr>
            </w:pPr>
          </w:p>
        </w:tc>
        <w:tc>
          <w:tcPr>
            <w:tcW w:w="1084" w:type="dxa"/>
            <w:tcBorders>
              <w:top w:val="nil"/>
              <w:left w:val="nil"/>
              <w:bottom w:val="single" w:sz="4" w:space="0" w:color="auto"/>
              <w:right w:val="single" w:sz="4" w:space="0" w:color="auto"/>
            </w:tcBorders>
            <w:noWrap/>
            <w:vAlign w:val="center"/>
            <w:hideMark/>
          </w:tcPr>
          <w:p w14:paraId="6101E817" w14:textId="2EE06AF6" w:rsidR="007B1BAC" w:rsidRPr="00801A36" w:rsidRDefault="007B1BAC" w:rsidP="00801A36">
            <w:pPr>
              <w:spacing w:after="0" w:line="240" w:lineRule="auto"/>
              <w:jc w:val="center"/>
              <w:rPr>
                <w:rFonts w:ascii="Times New Roman" w:eastAsia="Times New Roman" w:hAnsi="Times New Roman" w:cs="Times New Roman"/>
                <w:color w:val="000000"/>
                <w:kern w:val="0"/>
                <w:sz w:val="19"/>
                <w:szCs w:val="19"/>
                <w:lang w:eastAsia="en-IN"/>
                <w14:ligatures w14:val="none"/>
              </w:rPr>
            </w:pPr>
          </w:p>
        </w:tc>
        <w:tc>
          <w:tcPr>
            <w:tcW w:w="1070" w:type="dxa"/>
            <w:tcBorders>
              <w:top w:val="nil"/>
              <w:left w:val="nil"/>
              <w:bottom w:val="single" w:sz="4" w:space="0" w:color="auto"/>
              <w:right w:val="single" w:sz="4" w:space="0" w:color="auto"/>
            </w:tcBorders>
            <w:noWrap/>
            <w:vAlign w:val="center"/>
            <w:hideMark/>
          </w:tcPr>
          <w:p w14:paraId="213192EC" w14:textId="72742B31" w:rsidR="007B1BAC" w:rsidRPr="00801A36" w:rsidRDefault="007B1BAC" w:rsidP="00801A36">
            <w:pPr>
              <w:spacing w:after="0" w:line="240" w:lineRule="auto"/>
              <w:jc w:val="center"/>
              <w:rPr>
                <w:rFonts w:ascii="Times New Roman" w:eastAsia="Times New Roman" w:hAnsi="Times New Roman" w:cs="Times New Roman"/>
                <w:color w:val="000000"/>
                <w:kern w:val="0"/>
                <w:sz w:val="19"/>
                <w:szCs w:val="19"/>
                <w:lang w:eastAsia="en-IN"/>
                <w14:ligatures w14:val="none"/>
              </w:rPr>
            </w:pPr>
          </w:p>
        </w:tc>
        <w:tc>
          <w:tcPr>
            <w:tcW w:w="1196" w:type="dxa"/>
            <w:tcBorders>
              <w:top w:val="nil"/>
              <w:left w:val="nil"/>
              <w:bottom w:val="single" w:sz="4" w:space="0" w:color="auto"/>
              <w:right w:val="single" w:sz="4" w:space="0" w:color="auto"/>
            </w:tcBorders>
            <w:noWrap/>
            <w:vAlign w:val="center"/>
            <w:hideMark/>
          </w:tcPr>
          <w:p w14:paraId="05DE360A" w14:textId="6DA9FE7E" w:rsidR="007B1BAC" w:rsidRPr="00801A36" w:rsidRDefault="007B1BAC" w:rsidP="00801A36">
            <w:pPr>
              <w:spacing w:after="0" w:line="240" w:lineRule="auto"/>
              <w:jc w:val="center"/>
              <w:rPr>
                <w:rFonts w:ascii="Times New Roman" w:eastAsia="Times New Roman" w:hAnsi="Times New Roman" w:cs="Times New Roman"/>
                <w:color w:val="000000"/>
                <w:kern w:val="0"/>
                <w:sz w:val="19"/>
                <w:szCs w:val="19"/>
                <w:lang w:eastAsia="en-IN"/>
                <w14:ligatures w14:val="none"/>
              </w:rPr>
            </w:pPr>
          </w:p>
        </w:tc>
        <w:tc>
          <w:tcPr>
            <w:tcW w:w="986" w:type="dxa"/>
            <w:tcBorders>
              <w:top w:val="nil"/>
              <w:left w:val="nil"/>
              <w:bottom w:val="single" w:sz="4" w:space="0" w:color="auto"/>
              <w:right w:val="single" w:sz="4" w:space="0" w:color="auto"/>
            </w:tcBorders>
            <w:noWrap/>
            <w:vAlign w:val="center"/>
            <w:hideMark/>
          </w:tcPr>
          <w:p w14:paraId="38CBC9FE" w14:textId="2D95262E" w:rsidR="007B1BAC" w:rsidRPr="00801A36" w:rsidRDefault="007B1BAC" w:rsidP="00801A36">
            <w:pPr>
              <w:spacing w:after="0" w:line="240" w:lineRule="auto"/>
              <w:jc w:val="center"/>
              <w:rPr>
                <w:rFonts w:ascii="Times New Roman" w:eastAsia="Times New Roman" w:hAnsi="Times New Roman" w:cs="Times New Roman"/>
                <w:color w:val="000000"/>
                <w:kern w:val="0"/>
                <w:sz w:val="19"/>
                <w:szCs w:val="19"/>
                <w:lang w:eastAsia="en-IN"/>
                <w14:ligatures w14:val="none"/>
              </w:rPr>
            </w:pPr>
          </w:p>
        </w:tc>
        <w:tc>
          <w:tcPr>
            <w:tcW w:w="1084" w:type="dxa"/>
            <w:tcBorders>
              <w:top w:val="nil"/>
              <w:left w:val="nil"/>
              <w:bottom w:val="single" w:sz="4" w:space="0" w:color="auto"/>
              <w:right w:val="single" w:sz="4" w:space="0" w:color="auto"/>
            </w:tcBorders>
            <w:noWrap/>
            <w:vAlign w:val="center"/>
            <w:hideMark/>
          </w:tcPr>
          <w:p w14:paraId="7D10DD20" w14:textId="4DE676AC" w:rsidR="007B1BAC" w:rsidRPr="00801A36" w:rsidRDefault="007B1BAC" w:rsidP="00801A36">
            <w:pPr>
              <w:spacing w:after="0" w:line="240" w:lineRule="auto"/>
              <w:jc w:val="center"/>
              <w:rPr>
                <w:rFonts w:ascii="Times New Roman" w:eastAsia="Times New Roman" w:hAnsi="Times New Roman" w:cs="Times New Roman"/>
                <w:color w:val="000000"/>
                <w:kern w:val="0"/>
                <w:sz w:val="19"/>
                <w:szCs w:val="19"/>
                <w:lang w:eastAsia="en-IN"/>
                <w14:ligatures w14:val="none"/>
              </w:rPr>
            </w:pPr>
          </w:p>
        </w:tc>
        <w:tc>
          <w:tcPr>
            <w:tcW w:w="1070" w:type="dxa"/>
            <w:tcBorders>
              <w:top w:val="nil"/>
              <w:left w:val="nil"/>
              <w:bottom w:val="single" w:sz="4" w:space="0" w:color="auto"/>
              <w:right w:val="single" w:sz="4" w:space="0" w:color="auto"/>
            </w:tcBorders>
            <w:noWrap/>
            <w:vAlign w:val="center"/>
            <w:hideMark/>
          </w:tcPr>
          <w:p w14:paraId="0B001C40" w14:textId="1D6374A9" w:rsidR="007B1BAC" w:rsidRPr="00801A36" w:rsidRDefault="007B1BAC" w:rsidP="00801A36">
            <w:pPr>
              <w:spacing w:after="0" w:line="240" w:lineRule="auto"/>
              <w:jc w:val="center"/>
              <w:rPr>
                <w:rFonts w:ascii="Times New Roman" w:eastAsia="Times New Roman" w:hAnsi="Times New Roman" w:cs="Times New Roman"/>
                <w:color w:val="000000"/>
                <w:kern w:val="0"/>
                <w:sz w:val="19"/>
                <w:szCs w:val="19"/>
                <w:lang w:eastAsia="en-IN"/>
                <w14:ligatures w14:val="none"/>
              </w:rPr>
            </w:pPr>
          </w:p>
        </w:tc>
        <w:tc>
          <w:tcPr>
            <w:tcW w:w="1196" w:type="dxa"/>
            <w:tcBorders>
              <w:top w:val="nil"/>
              <w:left w:val="nil"/>
              <w:bottom w:val="single" w:sz="4" w:space="0" w:color="auto"/>
              <w:right w:val="single" w:sz="4" w:space="0" w:color="auto"/>
            </w:tcBorders>
            <w:noWrap/>
            <w:vAlign w:val="center"/>
            <w:hideMark/>
          </w:tcPr>
          <w:p w14:paraId="1E486E09" w14:textId="0B7F3883" w:rsidR="007B1BAC" w:rsidRPr="00801A36" w:rsidRDefault="007B1BAC" w:rsidP="00801A36">
            <w:pPr>
              <w:spacing w:after="0" w:line="240" w:lineRule="auto"/>
              <w:jc w:val="center"/>
              <w:rPr>
                <w:rFonts w:ascii="Times New Roman" w:eastAsia="Times New Roman" w:hAnsi="Times New Roman" w:cs="Times New Roman"/>
                <w:color w:val="000000"/>
                <w:kern w:val="0"/>
                <w:sz w:val="19"/>
                <w:szCs w:val="19"/>
                <w:lang w:eastAsia="en-IN"/>
                <w14:ligatures w14:val="none"/>
              </w:rPr>
            </w:pPr>
          </w:p>
        </w:tc>
        <w:tc>
          <w:tcPr>
            <w:tcW w:w="986" w:type="dxa"/>
            <w:tcBorders>
              <w:top w:val="nil"/>
              <w:left w:val="nil"/>
              <w:bottom w:val="single" w:sz="4" w:space="0" w:color="auto"/>
              <w:right w:val="single" w:sz="4" w:space="0" w:color="auto"/>
            </w:tcBorders>
            <w:noWrap/>
            <w:vAlign w:val="center"/>
            <w:hideMark/>
          </w:tcPr>
          <w:p w14:paraId="5BB21E3E" w14:textId="2AA7A726" w:rsidR="007B1BAC" w:rsidRPr="00801A36" w:rsidRDefault="007B1BAC" w:rsidP="00801A36">
            <w:pPr>
              <w:spacing w:after="0" w:line="240" w:lineRule="auto"/>
              <w:jc w:val="center"/>
              <w:rPr>
                <w:rFonts w:ascii="Times New Roman" w:eastAsia="Times New Roman" w:hAnsi="Times New Roman" w:cs="Times New Roman"/>
                <w:color w:val="000000"/>
                <w:kern w:val="0"/>
                <w:sz w:val="19"/>
                <w:szCs w:val="19"/>
                <w:lang w:eastAsia="en-IN"/>
                <w14:ligatures w14:val="none"/>
              </w:rPr>
            </w:pPr>
          </w:p>
        </w:tc>
      </w:tr>
      <w:tr w:rsidR="007B1BAC" w:rsidRPr="00801A36" w14:paraId="265038B5" w14:textId="77777777" w:rsidTr="00801A36">
        <w:trPr>
          <w:trHeight w:val="20"/>
          <w:jc w:val="center"/>
        </w:trPr>
        <w:tc>
          <w:tcPr>
            <w:tcW w:w="618" w:type="dxa"/>
            <w:tcBorders>
              <w:top w:val="nil"/>
              <w:left w:val="single" w:sz="4" w:space="0" w:color="auto"/>
              <w:bottom w:val="single" w:sz="4" w:space="0" w:color="auto"/>
              <w:right w:val="single" w:sz="4" w:space="0" w:color="auto"/>
            </w:tcBorders>
            <w:noWrap/>
            <w:vAlign w:val="bottom"/>
            <w:hideMark/>
          </w:tcPr>
          <w:p w14:paraId="1F1285B7" w14:textId="77777777" w:rsidR="007B1BAC" w:rsidRPr="00801A36" w:rsidRDefault="007B1BAC" w:rsidP="007B1BAC">
            <w:pPr>
              <w:spacing w:after="0" w:line="240" w:lineRule="auto"/>
              <w:rPr>
                <w:rFonts w:ascii="Times New Roman" w:eastAsia="Times New Roman" w:hAnsi="Times New Roman" w:cs="Times New Roman"/>
                <w:color w:val="000000"/>
                <w:kern w:val="0"/>
                <w:sz w:val="19"/>
                <w:szCs w:val="19"/>
                <w:lang w:eastAsia="en-IN"/>
                <w14:ligatures w14:val="none"/>
              </w:rPr>
            </w:pPr>
            <w:r w:rsidRPr="00801A36">
              <w:rPr>
                <w:rFonts w:ascii="Times New Roman" w:eastAsia="Times New Roman" w:hAnsi="Times New Roman" w:cs="Times New Roman"/>
                <w:color w:val="000000"/>
                <w:kern w:val="0"/>
                <w:sz w:val="19"/>
                <w:szCs w:val="19"/>
                <w:lang w:eastAsia="en-IN"/>
                <w14:ligatures w14:val="none"/>
              </w:rPr>
              <w:t> </w:t>
            </w:r>
          </w:p>
        </w:tc>
        <w:tc>
          <w:tcPr>
            <w:tcW w:w="1680" w:type="dxa"/>
            <w:tcBorders>
              <w:top w:val="nil"/>
              <w:left w:val="nil"/>
              <w:bottom w:val="single" w:sz="4" w:space="0" w:color="auto"/>
              <w:right w:val="single" w:sz="4" w:space="0" w:color="auto"/>
            </w:tcBorders>
            <w:noWrap/>
            <w:vAlign w:val="bottom"/>
            <w:hideMark/>
          </w:tcPr>
          <w:p w14:paraId="24A07BBF" w14:textId="77777777" w:rsidR="007B1BAC" w:rsidRPr="00801A36" w:rsidRDefault="007B1BAC" w:rsidP="007B1BAC">
            <w:pPr>
              <w:spacing w:after="0" w:line="240" w:lineRule="auto"/>
              <w:rPr>
                <w:rFonts w:ascii="Times New Roman" w:eastAsia="Times New Roman" w:hAnsi="Times New Roman" w:cs="Times New Roman"/>
                <w:color w:val="000000"/>
                <w:kern w:val="0"/>
                <w:sz w:val="19"/>
                <w:szCs w:val="19"/>
                <w:lang w:eastAsia="en-IN"/>
                <w14:ligatures w14:val="none"/>
              </w:rPr>
            </w:pPr>
            <w:r w:rsidRPr="00801A36">
              <w:rPr>
                <w:rFonts w:ascii="Times New Roman" w:eastAsia="Times New Roman" w:hAnsi="Times New Roman" w:cs="Times New Roman"/>
                <w:color w:val="000000"/>
                <w:kern w:val="0"/>
                <w:sz w:val="19"/>
                <w:szCs w:val="19"/>
                <w:lang w:eastAsia="en-IN"/>
                <w14:ligatures w14:val="none"/>
              </w:rPr>
              <w:t>Central</w:t>
            </w:r>
          </w:p>
        </w:tc>
        <w:tc>
          <w:tcPr>
            <w:tcW w:w="1084" w:type="dxa"/>
            <w:tcBorders>
              <w:top w:val="nil"/>
              <w:left w:val="nil"/>
              <w:bottom w:val="single" w:sz="4" w:space="0" w:color="auto"/>
              <w:right w:val="single" w:sz="4" w:space="0" w:color="auto"/>
            </w:tcBorders>
            <w:noWrap/>
            <w:vAlign w:val="center"/>
            <w:hideMark/>
          </w:tcPr>
          <w:p w14:paraId="3BB8260E" w14:textId="77777777" w:rsidR="007B1BAC" w:rsidRPr="00801A36" w:rsidRDefault="007B1BAC" w:rsidP="00801A36">
            <w:pPr>
              <w:spacing w:after="0" w:line="240" w:lineRule="auto"/>
              <w:jc w:val="center"/>
              <w:rPr>
                <w:rFonts w:ascii="Times New Roman" w:eastAsia="Times New Roman" w:hAnsi="Times New Roman" w:cs="Times New Roman"/>
                <w:color w:val="000000"/>
                <w:kern w:val="0"/>
                <w:sz w:val="19"/>
                <w:szCs w:val="19"/>
                <w:lang w:eastAsia="en-IN"/>
                <w14:ligatures w14:val="none"/>
              </w:rPr>
            </w:pPr>
            <w:r w:rsidRPr="00801A36">
              <w:rPr>
                <w:rFonts w:ascii="Times New Roman" w:eastAsia="Times New Roman" w:hAnsi="Times New Roman" w:cs="Times New Roman"/>
                <w:color w:val="000000"/>
                <w:kern w:val="0"/>
                <w:sz w:val="19"/>
                <w:szCs w:val="19"/>
                <w:lang w:eastAsia="en-IN"/>
                <w14:ligatures w14:val="none"/>
              </w:rPr>
              <w:t>1,784.86</w:t>
            </w:r>
          </w:p>
        </w:tc>
        <w:tc>
          <w:tcPr>
            <w:tcW w:w="1070" w:type="dxa"/>
            <w:tcBorders>
              <w:top w:val="nil"/>
              <w:left w:val="nil"/>
              <w:bottom w:val="single" w:sz="4" w:space="0" w:color="auto"/>
              <w:right w:val="single" w:sz="4" w:space="0" w:color="auto"/>
            </w:tcBorders>
            <w:noWrap/>
            <w:vAlign w:val="center"/>
            <w:hideMark/>
          </w:tcPr>
          <w:p w14:paraId="2298AE7F" w14:textId="77777777" w:rsidR="007B1BAC" w:rsidRPr="00801A36" w:rsidRDefault="007B1BAC" w:rsidP="00801A36">
            <w:pPr>
              <w:spacing w:after="0" w:line="240" w:lineRule="auto"/>
              <w:jc w:val="center"/>
              <w:rPr>
                <w:rFonts w:ascii="Times New Roman" w:eastAsia="Times New Roman" w:hAnsi="Times New Roman" w:cs="Times New Roman"/>
                <w:color w:val="000000"/>
                <w:kern w:val="0"/>
                <w:sz w:val="19"/>
                <w:szCs w:val="19"/>
                <w:lang w:eastAsia="en-IN"/>
                <w14:ligatures w14:val="none"/>
              </w:rPr>
            </w:pPr>
            <w:r w:rsidRPr="00801A36">
              <w:rPr>
                <w:rFonts w:ascii="Times New Roman" w:eastAsia="Times New Roman" w:hAnsi="Times New Roman" w:cs="Times New Roman"/>
                <w:color w:val="000000"/>
                <w:kern w:val="0"/>
                <w:sz w:val="19"/>
                <w:szCs w:val="19"/>
                <w:lang w:eastAsia="en-IN"/>
                <w14:ligatures w14:val="none"/>
              </w:rPr>
              <w:t>69.8</w:t>
            </w:r>
          </w:p>
        </w:tc>
        <w:tc>
          <w:tcPr>
            <w:tcW w:w="1196" w:type="dxa"/>
            <w:tcBorders>
              <w:top w:val="nil"/>
              <w:left w:val="nil"/>
              <w:bottom w:val="single" w:sz="4" w:space="0" w:color="auto"/>
              <w:right w:val="single" w:sz="4" w:space="0" w:color="auto"/>
            </w:tcBorders>
            <w:noWrap/>
            <w:vAlign w:val="center"/>
            <w:hideMark/>
          </w:tcPr>
          <w:p w14:paraId="566AF595" w14:textId="77777777" w:rsidR="007B1BAC" w:rsidRPr="00801A36" w:rsidRDefault="007B1BAC" w:rsidP="00801A36">
            <w:pPr>
              <w:spacing w:after="0" w:line="240" w:lineRule="auto"/>
              <w:jc w:val="center"/>
              <w:rPr>
                <w:rFonts w:ascii="Times New Roman" w:eastAsia="Times New Roman" w:hAnsi="Times New Roman" w:cs="Times New Roman"/>
                <w:color w:val="000000"/>
                <w:kern w:val="0"/>
                <w:sz w:val="19"/>
                <w:szCs w:val="19"/>
                <w:lang w:eastAsia="en-IN"/>
                <w14:ligatures w14:val="none"/>
              </w:rPr>
            </w:pPr>
            <w:r w:rsidRPr="00801A36">
              <w:rPr>
                <w:rFonts w:ascii="Times New Roman" w:eastAsia="Times New Roman" w:hAnsi="Times New Roman" w:cs="Times New Roman"/>
                <w:color w:val="000000"/>
                <w:kern w:val="0"/>
                <w:sz w:val="19"/>
                <w:szCs w:val="19"/>
                <w:lang w:eastAsia="en-IN"/>
                <w14:ligatures w14:val="none"/>
              </w:rPr>
              <w:t>406.6</w:t>
            </w:r>
          </w:p>
        </w:tc>
        <w:tc>
          <w:tcPr>
            <w:tcW w:w="986" w:type="dxa"/>
            <w:tcBorders>
              <w:top w:val="nil"/>
              <w:left w:val="nil"/>
              <w:bottom w:val="single" w:sz="4" w:space="0" w:color="auto"/>
              <w:right w:val="single" w:sz="4" w:space="0" w:color="auto"/>
            </w:tcBorders>
            <w:noWrap/>
            <w:vAlign w:val="center"/>
            <w:hideMark/>
          </w:tcPr>
          <w:p w14:paraId="605C3EDA" w14:textId="77777777" w:rsidR="007B1BAC" w:rsidRPr="00801A36" w:rsidRDefault="007B1BAC" w:rsidP="00801A36">
            <w:pPr>
              <w:spacing w:after="0" w:line="240" w:lineRule="auto"/>
              <w:jc w:val="center"/>
              <w:rPr>
                <w:rFonts w:ascii="Times New Roman" w:eastAsia="Times New Roman" w:hAnsi="Times New Roman" w:cs="Times New Roman"/>
                <w:color w:val="000000"/>
                <w:kern w:val="0"/>
                <w:sz w:val="19"/>
                <w:szCs w:val="19"/>
                <w:lang w:eastAsia="en-IN"/>
                <w14:ligatures w14:val="none"/>
              </w:rPr>
            </w:pPr>
            <w:r w:rsidRPr="00801A36">
              <w:rPr>
                <w:rFonts w:ascii="Times New Roman" w:eastAsia="Times New Roman" w:hAnsi="Times New Roman" w:cs="Times New Roman"/>
                <w:color w:val="000000"/>
                <w:kern w:val="0"/>
                <w:sz w:val="19"/>
                <w:szCs w:val="19"/>
                <w:lang w:eastAsia="en-IN"/>
                <w14:ligatures w14:val="none"/>
              </w:rPr>
              <w:t>2,261.26</w:t>
            </w:r>
          </w:p>
        </w:tc>
        <w:tc>
          <w:tcPr>
            <w:tcW w:w="1084" w:type="dxa"/>
            <w:tcBorders>
              <w:top w:val="nil"/>
              <w:left w:val="nil"/>
              <w:bottom w:val="single" w:sz="4" w:space="0" w:color="auto"/>
              <w:right w:val="single" w:sz="4" w:space="0" w:color="auto"/>
            </w:tcBorders>
            <w:noWrap/>
            <w:vAlign w:val="center"/>
            <w:hideMark/>
          </w:tcPr>
          <w:p w14:paraId="4DE41659" w14:textId="77777777" w:rsidR="007B1BAC" w:rsidRPr="00801A36" w:rsidRDefault="007B1BAC" w:rsidP="00801A36">
            <w:pPr>
              <w:spacing w:after="0" w:line="240" w:lineRule="auto"/>
              <w:jc w:val="center"/>
              <w:rPr>
                <w:rFonts w:ascii="Times New Roman" w:eastAsia="Times New Roman" w:hAnsi="Times New Roman" w:cs="Times New Roman"/>
                <w:color w:val="000000"/>
                <w:kern w:val="0"/>
                <w:sz w:val="19"/>
                <w:szCs w:val="19"/>
                <w:lang w:eastAsia="en-IN"/>
                <w14:ligatures w14:val="none"/>
              </w:rPr>
            </w:pPr>
            <w:r w:rsidRPr="00801A36">
              <w:rPr>
                <w:rFonts w:ascii="Times New Roman" w:eastAsia="Times New Roman" w:hAnsi="Times New Roman" w:cs="Times New Roman"/>
                <w:color w:val="000000"/>
                <w:kern w:val="0"/>
                <w:sz w:val="19"/>
                <w:szCs w:val="19"/>
                <w:lang w:eastAsia="en-IN"/>
                <w14:ligatures w14:val="none"/>
              </w:rPr>
              <w:t>1,784.70</w:t>
            </w:r>
          </w:p>
        </w:tc>
        <w:tc>
          <w:tcPr>
            <w:tcW w:w="1070" w:type="dxa"/>
            <w:tcBorders>
              <w:top w:val="nil"/>
              <w:left w:val="nil"/>
              <w:bottom w:val="single" w:sz="4" w:space="0" w:color="auto"/>
              <w:right w:val="single" w:sz="4" w:space="0" w:color="auto"/>
            </w:tcBorders>
            <w:noWrap/>
            <w:vAlign w:val="center"/>
            <w:hideMark/>
          </w:tcPr>
          <w:p w14:paraId="423A366A" w14:textId="77777777" w:rsidR="007B1BAC" w:rsidRPr="00801A36" w:rsidRDefault="007B1BAC" w:rsidP="00801A36">
            <w:pPr>
              <w:spacing w:after="0" w:line="240" w:lineRule="auto"/>
              <w:jc w:val="center"/>
              <w:rPr>
                <w:rFonts w:ascii="Times New Roman" w:eastAsia="Times New Roman" w:hAnsi="Times New Roman" w:cs="Times New Roman"/>
                <w:color w:val="000000"/>
                <w:kern w:val="0"/>
                <w:sz w:val="19"/>
                <w:szCs w:val="19"/>
                <w:lang w:eastAsia="en-IN"/>
                <w14:ligatures w14:val="none"/>
              </w:rPr>
            </w:pPr>
            <w:r w:rsidRPr="00801A36">
              <w:rPr>
                <w:rFonts w:ascii="Times New Roman" w:eastAsia="Times New Roman" w:hAnsi="Times New Roman" w:cs="Times New Roman"/>
                <w:color w:val="000000"/>
                <w:kern w:val="0"/>
                <w:sz w:val="19"/>
                <w:szCs w:val="19"/>
                <w:lang w:eastAsia="en-IN"/>
                <w14:ligatures w14:val="none"/>
              </w:rPr>
              <w:t>69.8</w:t>
            </w:r>
          </w:p>
        </w:tc>
        <w:tc>
          <w:tcPr>
            <w:tcW w:w="1196" w:type="dxa"/>
            <w:tcBorders>
              <w:top w:val="nil"/>
              <w:left w:val="nil"/>
              <w:bottom w:val="single" w:sz="4" w:space="0" w:color="auto"/>
              <w:right w:val="single" w:sz="4" w:space="0" w:color="auto"/>
            </w:tcBorders>
            <w:noWrap/>
            <w:vAlign w:val="center"/>
            <w:hideMark/>
          </w:tcPr>
          <w:p w14:paraId="4E46516E" w14:textId="77777777" w:rsidR="007B1BAC" w:rsidRPr="00801A36" w:rsidRDefault="007B1BAC" w:rsidP="00801A36">
            <w:pPr>
              <w:spacing w:after="0" w:line="240" w:lineRule="auto"/>
              <w:jc w:val="center"/>
              <w:rPr>
                <w:rFonts w:ascii="Times New Roman" w:eastAsia="Times New Roman" w:hAnsi="Times New Roman" w:cs="Times New Roman"/>
                <w:color w:val="000000"/>
                <w:kern w:val="0"/>
                <w:sz w:val="19"/>
                <w:szCs w:val="19"/>
                <w:lang w:eastAsia="en-IN"/>
                <w14:ligatures w14:val="none"/>
              </w:rPr>
            </w:pPr>
            <w:r w:rsidRPr="00801A36">
              <w:rPr>
                <w:rFonts w:ascii="Times New Roman" w:eastAsia="Times New Roman" w:hAnsi="Times New Roman" w:cs="Times New Roman"/>
                <w:color w:val="000000"/>
                <w:kern w:val="0"/>
                <w:sz w:val="19"/>
                <w:szCs w:val="19"/>
                <w:lang w:eastAsia="en-IN"/>
                <w14:ligatures w14:val="none"/>
              </w:rPr>
              <w:t>406.6</w:t>
            </w:r>
          </w:p>
        </w:tc>
        <w:tc>
          <w:tcPr>
            <w:tcW w:w="986" w:type="dxa"/>
            <w:tcBorders>
              <w:top w:val="nil"/>
              <w:left w:val="nil"/>
              <w:bottom w:val="single" w:sz="4" w:space="0" w:color="auto"/>
              <w:right w:val="single" w:sz="4" w:space="0" w:color="auto"/>
            </w:tcBorders>
            <w:noWrap/>
            <w:vAlign w:val="center"/>
            <w:hideMark/>
          </w:tcPr>
          <w:p w14:paraId="7AAEC964" w14:textId="77777777" w:rsidR="007B1BAC" w:rsidRPr="00801A36" w:rsidRDefault="007B1BAC" w:rsidP="00801A36">
            <w:pPr>
              <w:spacing w:after="0" w:line="240" w:lineRule="auto"/>
              <w:jc w:val="center"/>
              <w:rPr>
                <w:rFonts w:ascii="Times New Roman" w:eastAsia="Times New Roman" w:hAnsi="Times New Roman" w:cs="Times New Roman"/>
                <w:color w:val="000000"/>
                <w:kern w:val="0"/>
                <w:sz w:val="19"/>
                <w:szCs w:val="19"/>
                <w:lang w:eastAsia="en-IN"/>
                <w14:ligatures w14:val="none"/>
              </w:rPr>
            </w:pPr>
            <w:r w:rsidRPr="00801A36">
              <w:rPr>
                <w:rFonts w:ascii="Times New Roman" w:eastAsia="Times New Roman" w:hAnsi="Times New Roman" w:cs="Times New Roman"/>
                <w:color w:val="000000"/>
                <w:kern w:val="0"/>
                <w:sz w:val="19"/>
                <w:szCs w:val="19"/>
                <w:lang w:eastAsia="en-IN"/>
                <w14:ligatures w14:val="none"/>
              </w:rPr>
              <w:t>2,261.10</w:t>
            </w:r>
          </w:p>
        </w:tc>
        <w:tc>
          <w:tcPr>
            <w:tcW w:w="1084" w:type="dxa"/>
            <w:tcBorders>
              <w:top w:val="nil"/>
              <w:left w:val="nil"/>
              <w:bottom w:val="single" w:sz="4" w:space="0" w:color="auto"/>
              <w:right w:val="single" w:sz="4" w:space="0" w:color="auto"/>
            </w:tcBorders>
            <w:noWrap/>
            <w:vAlign w:val="center"/>
            <w:hideMark/>
          </w:tcPr>
          <w:p w14:paraId="1E70F8C4" w14:textId="77777777" w:rsidR="007B1BAC" w:rsidRPr="00801A36" w:rsidRDefault="007B1BAC" w:rsidP="00801A36">
            <w:pPr>
              <w:spacing w:after="0" w:line="240" w:lineRule="auto"/>
              <w:jc w:val="center"/>
              <w:rPr>
                <w:rFonts w:ascii="Times New Roman" w:eastAsia="Times New Roman" w:hAnsi="Times New Roman" w:cs="Times New Roman"/>
                <w:color w:val="000000"/>
                <w:kern w:val="0"/>
                <w:sz w:val="19"/>
                <w:szCs w:val="19"/>
                <w:lang w:eastAsia="en-IN"/>
                <w14:ligatures w14:val="none"/>
              </w:rPr>
            </w:pPr>
            <w:r w:rsidRPr="00801A36">
              <w:rPr>
                <w:rFonts w:ascii="Times New Roman" w:eastAsia="Times New Roman" w:hAnsi="Times New Roman" w:cs="Times New Roman"/>
                <w:color w:val="000000"/>
                <w:kern w:val="0"/>
                <w:sz w:val="19"/>
                <w:szCs w:val="19"/>
                <w:lang w:eastAsia="en-IN"/>
                <w14:ligatures w14:val="none"/>
              </w:rPr>
              <w:t>1,785.26</w:t>
            </w:r>
          </w:p>
        </w:tc>
        <w:tc>
          <w:tcPr>
            <w:tcW w:w="1070" w:type="dxa"/>
            <w:tcBorders>
              <w:top w:val="nil"/>
              <w:left w:val="nil"/>
              <w:bottom w:val="single" w:sz="4" w:space="0" w:color="auto"/>
              <w:right w:val="single" w:sz="4" w:space="0" w:color="auto"/>
            </w:tcBorders>
            <w:noWrap/>
            <w:vAlign w:val="center"/>
            <w:hideMark/>
          </w:tcPr>
          <w:p w14:paraId="6F043F5B" w14:textId="77777777" w:rsidR="007B1BAC" w:rsidRPr="00801A36" w:rsidRDefault="007B1BAC" w:rsidP="00801A36">
            <w:pPr>
              <w:spacing w:after="0" w:line="240" w:lineRule="auto"/>
              <w:jc w:val="center"/>
              <w:rPr>
                <w:rFonts w:ascii="Times New Roman" w:eastAsia="Times New Roman" w:hAnsi="Times New Roman" w:cs="Times New Roman"/>
                <w:color w:val="000000"/>
                <w:kern w:val="0"/>
                <w:sz w:val="19"/>
                <w:szCs w:val="19"/>
                <w:lang w:eastAsia="en-IN"/>
                <w14:ligatures w14:val="none"/>
              </w:rPr>
            </w:pPr>
            <w:r w:rsidRPr="00801A36">
              <w:rPr>
                <w:rFonts w:ascii="Times New Roman" w:eastAsia="Times New Roman" w:hAnsi="Times New Roman" w:cs="Times New Roman"/>
                <w:color w:val="000000"/>
                <w:kern w:val="0"/>
                <w:sz w:val="19"/>
                <w:szCs w:val="19"/>
                <w:lang w:eastAsia="en-IN"/>
                <w14:ligatures w14:val="none"/>
              </w:rPr>
              <w:t>67.8</w:t>
            </w:r>
          </w:p>
        </w:tc>
        <w:tc>
          <w:tcPr>
            <w:tcW w:w="1196" w:type="dxa"/>
            <w:tcBorders>
              <w:top w:val="nil"/>
              <w:left w:val="nil"/>
              <w:bottom w:val="single" w:sz="4" w:space="0" w:color="auto"/>
              <w:right w:val="single" w:sz="4" w:space="0" w:color="auto"/>
            </w:tcBorders>
            <w:noWrap/>
            <w:vAlign w:val="center"/>
            <w:hideMark/>
          </w:tcPr>
          <w:p w14:paraId="10FF8331" w14:textId="77777777" w:rsidR="007B1BAC" w:rsidRPr="00801A36" w:rsidRDefault="007B1BAC" w:rsidP="00801A36">
            <w:pPr>
              <w:spacing w:after="0" w:line="240" w:lineRule="auto"/>
              <w:jc w:val="center"/>
              <w:rPr>
                <w:rFonts w:ascii="Times New Roman" w:eastAsia="Times New Roman" w:hAnsi="Times New Roman" w:cs="Times New Roman"/>
                <w:color w:val="000000"/>
                <w:kern w:val="0"/>
                <w:sz w:val="19"/>
                <w:szCs w:val="19"/>
                <w:lang w:eastAsia="en-IN"/>
                <w14:ligatures w14:val="none"/>
              </w:rPr>
            </w:pPr>
            <w:r w:rsidRPr="00801A36">
              <w:rPr>
                <w:rFonts w:ascii="Times New Roman" w:eastAsia="Times New Roman" w:hAnsi="Times New Roman" w:cs="Times New Roman"/>
                <w:color w:val="000000"/>
                <w:kern w:val="0"/>
                <w:sz w:val="19"/>
                <w:szCs w:val="19"/>
                <w:lang w:eastAsia="en-IN"/>
                <w14:ligatures w14:val="none"/>
              </w:rPr>
              <w:t>406.6</w:t>
            </w:r>
          </w:p>
        </w:tc>
        <w:tc>
          <w:tcPr>
            <w:tcW w:w="986" w:type="dxa"/>
            <w:tcBorders>
              <w:top w:val="nil"/>
              <w:left w:val="nil"/>
              <w:bottom w:val="single" w:sz="4" w:space="0" w:color="auto"/>
              <w:right w:val="single" w:sz="4" w:space="0" w:color="auto"/>
            </w:tcBorders>
            <w:noWrap/>
            <w:vAlign w:val="center"/>
            <w:hideMark/>
          </w:tcPr>
          <w:p w14:paraId="3558AF77" w14:textId="77777777" w:rsidR="007B1BAC" w:rsidRPr="00801A36" w:rsidRDefault="007B1BAC" w:rsidP="00801A36">
            <w:pPr>
              <w:spacing w:after="0" w:line="240" w:lineRule="auto"/>
              <w:jc w:val="center"/>
              <w:rPr>
                <w:rFonts w:ascii="Times New Roman" w:eastAsia="Times New Roman" w:hAnsi="Times New Roman" w:cs="Times New Roman"/>
                <w:color w:val="000000"/>
                <w:kern w:val="0"/>
                <w:sz w:val="19"/>
                <w:szCs w:val="19"/>
                <w:lang w:eastAsia="en-IN"/>
                <w14:ligatures w14:val="none"/>
              </w:rPr>
            </w:pPr>
            <w:r w:rsidRPr="00801A36">
              <w:rPr>
                <w:rFonts w:ascii="Times New Roman" w:eastAsia="Times New Roman" w:hAnsi="Times New Roman" w:cs="Times New Roman"/>
                <w:color w:val="000000"/>
                <w:kern w:val="0"/>
                <w:sz w:val="19"/>
                <w:szCs w:val="19"/>
                <w:lang w:eastAsia="en-IN"/>
                <w14:ligatures w14:val="none"/>
              </w:rPr>
              <w:t>2,261.66</w:t>
            </w:r>
          </w:p>
        </w:tc>
      </w:tr>
      <w:tr w:rsidR="007B1BAC" w:rsidRPr="00801A36" w14:paraId="727AF65E" w14:textId="77777777" w:rsidTr="00801A36">
        <w:trPr>
          <w:trHeight w:val="20"/>
          <w:jc w:val="center"/>
        </w:trPr>
        <w:tc>
          <w:tcPr>
            <w:tcW w:w="618" w:type="dxa"/>
            <w:tcBorders>
              <w:top w:val="nil"/>
              <w:left w:val="single" w:sz="4" w:space="0" w:color="auto"/>
              <w:bottom w:val="single" w:sz="4" w:space="0" w:color="auto"/>
              <w:right w:val="single" w:sz="4" w:space="0" w:color="auto"/>
            </w:tcBorders>
            <w:noWrap/>
            <w:vAlign w:val="bottom"/>
            <w:hideMark/>
          </w:tcPr>
          <w:p w14:paraId="6E9C2E60" w14:textId="77777777" w:rsidR="007B1BAC" w:rsidRPr="00801A36" w:rsidRDefault="007B1BAC" w:rsidP="007B1BAC">
            <w:pPr>
              <w:spacing w:after="0" w:line="240" w:lineRule="auto"/>
              <w:rPr>
                <w:rFonts w:ascii="Times New Roman" w:eastAsia="Times New Roman" w:hAnsi="Times New Roman" w:cs="Times New Roman"/>
                <w:color w:val="000000"/>
                <w:kern w:val="0"/>
                <w:sz w:val="19"/>
                <w:szCs w:val="19"/>
                <w:lang w:eastAsia="en-IN"/>
                <w14:ligatures w14:val="none"/>
              </w:rPr>
            </w:pPr>
            <w:r w:rsidRPr="00801A36">
              <w:rPr>
                <w:rFonts w:ascii="Times New Roman" w:eastAsia="Times New Roman" w:hAnsi="Times New Roman" w:cs="Times New Roman"/>
                <w:color w:val="000000"/>
                <w:kern w:val="0"/>
                <w:sz w:val="19"/>
                <w:szCs w:val="19"/>
                <w:lang w:eastAsia="en-IN"/>
                <w14:ligatures w14:val="none"/>
              </w:rPr>
              <w:t> </w:t>
            </w:r>
          </w:p>
        </w:tc>
        <w:tc>
          <w:tcPr>
            <w:tcW w:w="1680" w:type="dxa"/>
            <w:tcBorders>
              <w:top w:val="nil"/>
              <w:left w:val="nil"/>
              <w:bottom w:val="single" w:sz="4" w:space="0" w:color="auto"/>
              <w:right w:val="single" w:sz="4" w:space="0" w:color="auto"/>
            </w:tcBorders>
            <w:noWrap/>
            <w:vAlign w:val="bottom"/>
            <w:hideMark/>
          </w:tcPr>
          <w:p w14:paraId="78AC02AC" w14:textId="77777777" w:rsidR="007B1BAC" w:rsidRPr="00801A36" w:rsidRDefault="007B1BAC" w:rsidP="007B1BAC">
            <w:pPr>
              <w:spacing w:after="0" w:line="240" w:lineRule="auto"/>
              <w:rPr>
                <w:rFonts w:ascii="Times New Roman" w:eastAsia="Times New Roman" w:hAnsi="Times New Roman" w:cs="Times New Roman"/>
                <w:color w:val="000000"/>
                <w:kern w:val="0"/>
                <w:sz w:val="19"/>
                <w:szCs w:val="19"/>
                <w:lang w:eastAsia="en-IN"/>
                <w14:ligatures w14:val="none"/>
              </w:rPr>
            </w:pPr>
            <w:r w:rsidRPr="00801A36">
              <w:rPr>
                <w:rFonts w:ascii="Times New Roman" w:eastAsia="Times New Roman" w:hAnsi="Times New Roman" w:cs="Times New Roman"/>
                <w:color w:val="000000"/>
                <w:kern w:val="0"/>
                <w:sz w:val="19"/>
                <w:szCs w:val="19"/>
                <w:lang w:eastAsia="en-IN"/>
                <w14:ligatures w14:val="none"/>
              </w:rPr>
              <w:t>South Eastern</w:t>
            </w:r>
          </w:p>
        </w:tc>
        <w:tc>
          <w:tcPr>
            <w:tcW w:w="1084" w:type="dxa"/>
            <w:tcBorders>
              <w:top w:val="nil"/>
              <w:left w:val="nil"/>
              <w:bottom w:val="single" w:sz="4" w:space="0" w:color="auto"/>
              <w:right w:val="single" w:sz="4" w:space="0" w:color="auto"/>
            </w:tcBorders>
            <w:noWrap/>
            <w:vAlign w:val="center"/>
            <w:hideMark/>
          </w:tcPr>
          <w:p w14:paraId="79EF6C9A" w14:textId="77777777" w:rsidR="007B1BAC" w:rsidRPr="00801A36" w:rsidRDefault="007B1BAC" w:rsidP="00801A36">
            <w:pPr>
              <w:spacing w:after="0" w:line="240" w:lineRule="auto"/>
              <w:jc w:val="center"/>
              <w:rPr>
                <w:rFonts w:ascii="Times New Roman" w:eastAsia="Times New Roman" w:hAnsi="Times New Roman" w:cs="Times New Roman"/>
                <w:color w:val="000000"/>
                <w:kern w:val="0"/>
                <w:sz w:val="19"/>
                <w:szCs w:val="19"/>
                <w:lang w:eastAsia="en-IN"/>
                <w14:ligatures w14:val="none"/>
              </w:rPr>
            </w:pPr>
            <w:r w:rsidRPr="00801A36">
              <w:rPr>
                <w:rFonts w:ascii="Times New Roman" w:eastAsia="Times New Roman" w:hAnsi="Times New Roman" w:cs="Times New Roman"/>
                <w:color w:val="000000"/>
                <w:kern w:val="0"/>
                <w:sz w:val="19"/>
                <w:szCs w:val="19"/>
                <w:lang w:eastAsia="en-IN"/>
                <w14:ligatures w14:val="none"/>
              </w:rPr>
              <w:t>1,148.52</w:t>
            </w:r>
          </w:p>
        </w:tc>
        <w:tc>
          <w:tcPr>
            <w:tcW w:w="1070" w:type="dxa"/>
            <w:tcBorders>
              <w:top w:val="nil"/>
              <w:left w:val="nil"/>
              <w:bottom w:val="single" w:sz="4" w:space="0" w:color="auto"/>
              <w:right w:val="single" w:sz="4" w:space="0" w:color="auto"/>
            </w:tcBorders>
            <w:noWrap/>
            <w:vAlign w:val="center"/>
            <w:hideMark/>
          </w:tcPr>
          <w:p w14:paraId="71265457" w14:textId="77777777" w:rsidR="007B1BAC" w:rsidRPr="00801A36" w:rsidRDefault="007B1BAC" w:rsidP="00801A36">
            <w:pPr>
              <w:spacing w:after="0" w:line="240" w:lineRule="auto"/>
              <w:jc w:val="center"/>
              <w:rPr>
                <w:rFonts w:ascii="Times New Roman" w:eastAsia="Times New Roman" w:hAnsi="Times New Roman" w:cs="Times New Roman"/>
                <w:color w:val="000000"/>
                <w:kern w:val="0"/>
                <w:sz w:val="19"/>
                <w:szCs w:val="19"/>
                <w:lang w:eastAsia="en-IN"/>
                <w14:ligatures w14:val="none"/>
              </w:rPr>
            </w:pPr>
            <w:r w:rsidRPr="00801A36">
              <w:rPr>
                <w:rFonts w:ascii="Times New Roman" w:eastAsia="Times New Roman" w:hAnsi="Times New Roman" w:cs="Times New Roman"/>
                <w:color w:val="000000"/>
                <w:kern w:val="0"/>
                <w:sz w:val="19"/>
                <w:szCs w:val="19"/>
                <w:lang w:eastAsia="en-IN"/>
                <w14:ligatures w14:val="none"/>
              </w:rPr>
              <w:t>..</w:t>
            </w:r>
          </w:p>
        </w:tc>
        <w:tc>
          <w:tcPr>
            <w:tcW w:w="1196" w:type="dxa"/>
            <w:tcBorders>
              <w:top w:val="nil"/>
              <w:left w:val="nil"/>
              <w:bottom w:val="single" w:sz="4" w:space="0" w:color="auto"/>
              <w:right w:val="single" w:sz="4" w:space="0" w:color="auto"/>
            </w:tcBorders>
            <w:noWrap/>
            <w:vAlign w:val="center"/>
            <w:hideMark/>
          </w:tcPr>
          <w:p w14:paraId="667E8C4F" w14:textId="77777777" w:rsidR="007B1BAC" w:rsidRPr="00801A36" w:rsidRDefault="007B1BAC" w:rsidP="00801A36">
            <w:pPr>
              <w:spacing w:after="0" w:line="240" w:lineRule="auto"/>
              <w:jc w:val="center"/>
              <w:rPr>
                <w:rFonts w:ascii="Times New Roman" w:eastAsia="Times New Roman" w:hAnsi="Times New Roman" w:cs="Times New Roman"/>
                <w:color w:val="000000"/>
                <w:kern w:val="0"/>
                <w:sz w:val="19"/>
                <w:szCs w:val="19"/>
                <w:lang w:eastAsia="en-IN"/>
                <w14:ligatures w14:val="none"/>
              </w:rPr>
            </w:pPr>
            <w:r w:rsidRPr="00801A36">
              <w:rPr>
                <w:rFonts w:ascii="Times New Roman" w:eastAsia="Times New Roman" w:hAnsi="Times New Roman" w:cs="Times New Roman"/>
                <w:color w:val="000000"/>
                <w:kern w:val="0"/>
                <w:sz w:val="19"/>
                <w:szCs w:val="19"/>
                <w:lang w:eastAsia="en-IN"/>
                <w14:ligatures w14:val="none"/>
              </w:rPr>
              <w:t>643.95</w:t>
            </w:r>
          </w:p>
        </w:tc>
        <w:tc>
          <w:tcPr>
            <w:tcW w:w="986" w:type="dxa"/>
            <w:tcBorders>
              <w:top w:val="nil"/>
              <w:left w:val="nil"/>
              <w:bottom w:val="single" w:sz="4" w:space="0" w:color="auto"/>
              <w:right w:val="single" w:sz="4" w:space="0" w:color="auto"/>
            </w:tcBorders>
            <w:noWrap/>
            <w:vAlign w:val="center"/>
            <w:hideMark/>
          </w:tcPr>
          <w:p w14:paraId="1FD99289" w14:textId="77777777" w:rsidR="007B1BAC" w:rsidRPr="00801A36" w:rsidRDefault="007B1BAC" w:rsidP="00801A36">
            <w:pPr>
              <w:spacing w:after="0" w:line="240" w:lineRule="auto"/>
              <w:jc w:val="center"/>
              <w:rPr>
                <w:rFonts w:ascii="Times New Roman" w:eastAsia="Times New Roman" w:hAnsi="Times New Roman" w:cs="Times New Roman"/>
                <w:color w:val="000000"/>
                <w:kern w:val="0"/>
                <w:sz w:val="19"/>
                <w:szCs w:val="19"/>
                <w:lang w:eastAsia="en-IN"/>
                <w14:ligatures w14:val="none"/>
              </w:rPr>
            </w:pPr>
            <w:r w:rsidRPr="00801A36">
              <w:rPr>
                <w:rFonts w:ascii="Times New Roman" w:eastAsia="Times New Roman" w:hAnsi="Times New Roman" w:cs="Times New Roman"/>
                <w:color w:val="000000"/>
                <w:kern w:val="0"/>
                <w:sz w:val="19"/>
                <w:szCs w:val="19"/>
                <w:lang w:eastAsia="en-IN"/>
                <w14:ligatures w14:val="none"/>
              </w:rPr>
              <w:t>1,792.47</w:t>
            </w:r>
          </w:p>
        </w:tc>
        <w:tc>
          <w:tcPr>
            <w:tcW w:w="1084" w:type="dxa"/>
            <w:tcBorders>
              <w:top w:val="nil"/>
              <w:left w:val="nil"/>
              <w:bottom w:val="single" w:sz="4" w:space="0" w:color="auto"/>
              <w:right w:val="single" w:sz="4" w:space="0" w:color="auto"/>
            </w:tcBorders>
            <w:noWrap/>
            <w:vAlign w:val="center"/>
            <w:hideMark/>
          </w:tcPr>
          <w:p w14:paraId="78D75175" w14:textId="77777777" w:rsidR="007B1BAC" w:rsidRPr="00801A36" w:rsidRDefault="007B1BAC" w:rsidP="00801A36">
            <w:pPr>
              <w:spacing w:after="0" w:line="240" w:lineRule="auto"/>
              <w:jc w:val="center"/>
              <w:rPr>
                <w:rFonts w:ascii="Times New Roman" w:eastAsia="Times New Roman" w:hAnsi="Times New Roman" w:cs="Times New Roman"/>
                <w:color w:val="000000"/>
                <w:kern w:val="0"/>
                <w:sz w:val="19"/>
                <w:szCs w:val="19"/>
                <w:lang w:eastAsia="en-IN"/>
                <w14:ligatures w14:val="none"/>
              </w:rPr>
            </w:pPr>
            <w:r w:rsidRPr="00801A36">
              <w:rPr>
                <w:rFonts w:ascii="Times New Roman" w:eastAsia="Times New Roman" w:hAnsi="Times New Roman" w:cs="Times New Roman"/>
                <w:color w:val="000000"/>
                <w:kern w:val="0"/>
                <w:sz w:val="19"/>
                <w:szCs w:val="19"/>
                <w:lang w:eastAsia="en-IN"/>
                <w14:ligatures w14:val="none"/>
              </w:rPr>
              <w:t>1,156.94</w:t>
            </w:r>
          </w:p>
        </w:tc>
        <w:tc>
          <w:tcPr>
            <w:tcW w:w="1070" w:type="dxa"/>
            <w:tcBorders>
              <w:top w:val="nil"/>
              <w:left w:val="nil"/>
              <w:bottom w:val="single" w:sz="4" w:space="0" w:color="auto"/>
              <w:right w:val="single" w:sz="4" w:space="0" w:color="auto"/>
            </w:tcBorders>
            <w:noWrap/>
            <w:vAlign w:val="center"/>
            <w:hideMark/>
          </w:tcPr>
          <w:p w14:paraId="775CDE7A" w14:textId="77777777" w:rsidR="007B1BAC" w:rsidRPr="00801A36" w:rsidRDefault="007B1BAC" w:rsidP="00801A36">
            <w:pPr>
              <w:spacing w:after="0" w:line="240" w:lineRule="auto"/>
              <w:jc w:val="center"/>
              <w:rPr>
                <w:rFonts w:ascii="Times New Roman" w:eastAsia="Times New Roman" w:hAnsi="Times New Roman" w:cs="Times New Roman"/>
                <w:color w:val="000000"/>
                <w:kern w:val="0"/>
                <w:sz w:val="19"/>
                <w:szCs w:val="19"/>
                <w:lang w:eastAsia="en-IN"/>
                <w14:ligatures w14:val="none"/>
              </w:rPr>
            </w:pPr>
            <w:r w:rsidRPr="00801A36">
              <w:rPr>
                <w:rFonts w:ascii="Times New Roman" w:eastAsia="Times New Roman" w:hAnsi="Times New Roman" w:cs="Times New Roman"/>
                <w:color w:val="000000"/>
                <w:kern w:val="0"/>
                <w:sz w:val="19"/>
                <w:szCs w:val="19"/>
                <w:lang w:eastAsia="en-IN"/>
                <w14:ligatures w14:val="none"/>
              </w:rPr>
              <w:t>..</w:t>
            </w:r>
          </w:p>
        </w:tc>
        <w:tc>
          <w:tcPr>
            <w:tcW w:w="1196" w:type="dxa"/>
            <w:tcBorders>
              <w:top w:val="nil"/>
              <w:left w:val="nil"/>
              <w:bottom w:val="single" w:sz="4" w:space="0" w:color="auto"/>
              <w:right w:val="single" w:sz="4" w:space="0" w:color="auto"/>
            </w:tcBorders>
            <w:noWrap/>
            <w:vAlign w:val="center"/>
            <w:hideMark/>
          </w:tcPr>
          <w:p w14:paraId="40CFDA98" w14:textId="77777777" w:rsidR="007B1BAC" w:rsidRPr="00801A36" w:rsidRDefault="007B1BAC" w:rsidP="00801A36">
            <w:pPr>
              <w:spacing w:after="0" w:line="240" w:lineRule="auto"/>
              <w:jc w:val="center"/>
              <w:rPr>
                <w:rFonts w:ascii="Times New Roman" w:eastAsia="Times New Roman" w:hAnsi="Times New Roman" w:cs="Times New Roman"/>
                <w:color w:val="000000"/>
                <w:kern w:val="0"/>
                <w:sz w:val="19"/>
                <w:szCs w:val="19"/>
                <w:lang w:eastAsia="en-IN"/>
                <w14:ligatures w14:val="none"/>
              </w:rPr>
            </w:pPr>
            <w:r w:rsidRPr="00801A36">
              <w:rPr>
                <w:rFonts w:ascii="Times New Roman" w:eastAsia="Times New Roman" w:hAnsi="Times New Roman" w:cs="Times New Roman"/>
                <w:color w:val="000000"/>
                <w:kern w:val="0"/>
                <w:sz w:val="19"/>
                <w:szCs w:val="19"/>
                <w:lang w:eastAsia="en-IN"/>
                <w14:ligatures w14:val="none"/>
              </w:rPr>
              <w:t>664.22</w:t>
            </w:r>
          </w:p>
        </w:tc>
        <w:tc>
          <w:tcPr>
            <w:tcW w:w="986" w:type="dxa"/>
            <w:tcBorders>
              <w:top w:val="nil"/>
              <w:left w:val="nil"/>
              <w:bottom w:val="single" w:sz="4" w:space="0" w:color="auto"/>
              <w:right w:val="single" w:sz="4" w:space="0" w:color="auto"/>
            </w:tcBorders>
            <w:noWrap/>
            <w:vAlign w:val="center"/>
            <w:hideMark/>
          </w:tcPr>
          <w:p w14:paraId="0101BED5" w14:textId="77777777" w:rsidR="007B1BAC" w:rsidRPr="00801A36" w:rsidRDefault="007B1BAC" w:rsidP="00801A36">
            <w:pPr>
              <w:spacing w:after="0" w:line="240" w:lineRule="auto"/>
              <w:jc w:val="center"/>
              <w:rPr>
                <w:rFonts w:ascii="Times New Roman" w:eastAsia="Times New Roman" w:hAnsi="Times New Roman" w:cs="Times New Roman"/>
                <w:color w:val="000000"/>
                <w:kern w:val="0"/>
                <w:sz w:val="19"/>
                <w:szCs w:val="19"/>
                <w:lang w:eastAsia="en-IN"/>
                <w14:ligatures w14:val="none"/>
              </w:rPr>
            </w:pPr>
            <w:r w:rsidRPr="00801A36">
              <w:rPr>
                <w:rFonts w:ascii="Times New Roman" w:eastAsia="Times New Roman" w:hAnsi="Times New Roman" w:cs="Times New Roman"/>
                <w:color w:val="000000"/>
                <w:kern w:val="0"/>
                <w:sz w:val="19"/>
                <w:szCs w:val="19"/>
                <w:lang w:eastAsia="en-IN"/>
                <w14:ligatures w14:val="none"/>
              </w:rPr>
              <w:t>1,821.16</w:t>
            </w:r>
          </w:p>
        </w:tc>
        <w:tc>
          <w:tcPr>
            <w:tcW w:w="1084" w:type="dxa"/>
            <w:tcBorders>
              <w:top w:val="nil"/>
              <w:left w:val="nil"/>
              <w:bottom w:val="single" w:sz="4" w:space="0" w:color="auto"/>
              <w:right w:val="single" w:sz="4" w:space="0" w:color="auto"/>
            </w:tcBorders>
            <w:noWrap/>
            <w:vAlign w:val="center"/>
            <w:hideMark/>
          </w:tcPr>
          <w:p w14:paraId="3B029B0A" w14:textId="77777777" w:rsidR="007B1BAC" w:rsidRPr="00801A36" w:rsidRDefault="007B1BAC" w:rsidP="00801A36">
            <w:pPr>
              <w:spacing w:after="0" w:line="240" w:lineRule="auto"/>
              <w:jc w:val="center"/>
              <w:rPr>
                <w:rFonts w:ascii="Times New Roman" w:eastAsia="Times New Roman" w:hAnsi="Times New Roman" w:cs="Times New Roman"/>
                <w:color w:val="000000"/>
                <w:kern w:val="0"/>
                <w:sz w:val="19"/>
                <w:szCs w:val="19"/>
                <w:lang w:eastAsia="en-IN"/>
                <w14:ligatures w14:val="none"/>
              </w:rPr>
            </w:pPr>
            <w:r w:rsidRPr="00801A36">
              <w:rPr>
                <w:rFonts w:ascii="Times New Roman" w:eastAsia="Times New Roman" w:hAnsi="Times New Roman" w:cs="Times New Roman"/>
                <w:color w:val="000000"/>
                <w:kern w:val="0"/>
                <w:sz w:val="19"/>
                <w:szCs w:val="19"/>
                <w:lang w:eastAsia="en-IN"/>
                <w14:ligatures w14:val="none"/>
              </w:rPr>
              <w:t>1,157.80</w:t>
            </w:r>
          </w:p>
        </w:tc>
        <w:tc>
          <w:tcPr>
            <w:tcW w:w="1070" w:type="dxa"/>
            <w:tcBorders>
              <w:top w:val="nil"/>
              <w:left w:val="nil"/>
              <w:bottom w:val="single" w:sz="4" w:space="0" w:color="auto"/>
              <w:right w:val="single" w:sz="4" w:space="0" w:color="auto"/>
            </w:tcBorders>
            <w:noWrap/>
            <w:vAlign w:val="center"/>
            <w:hideMark/>
          </w:tcPr>
          <w:p w14:paraId="6E02A82C" w14:textId="77777777" w:rsidR="007B1BAC" w:rsidRPr="00801A36" w:rsidRDefault="007B1BAC" w:rsidP="00801A36">
            <w:pPr>
              <w:spacing w:after="0" w:line="240" w:lineRule="auto"/>
              <w:jc w:val="center"/>
              <w:rPr>
                <w:rFonts w:ascii="Times New Roman" w:eastAsia="Times New Roman" w:hAnsi="Times New Roman" w:cs="Times New Roman"/>
                <w:color w:val="000000"/>
                <w:kern w:val="0"/>
                <w:sz w:val="19"/>
                <w:szCs w:val="19"/>
                <w:lang w:eastAsia="en-IN"/>
                <w14:ligatures w14:val="none"/>
              </w:rPr>
            </w:pPr>
            <w:r w:rsidRPr="00801A36">
              <w:rPr>
                <w:rFonts w:ascii="Times New Roman" w:eastAsia="Times New Roman" w:hAnsi="Times New Roman" w:cs="Times New Roman"/>
                <w:color w:val="000000"/>
                <w:kern w:val="0"/>
                <w:sz w:val="19"/>
                <w:szCs w:val="19"/>
                <w:lang w:eastAsia="en-IN"/>
                <w14:ligatures w14:val="none"/>
              </w:rPr>
              <w:t>..</w:t>
            </w:r>
          </w:p>
        </w:tc>
        <w:tc>
          <w:tcPr>
            <w:tcW w:w="1196" w:type="dxa"/>
            <w:tcBorders>
              <w:top w:val="nil"/>
              <w:left w:val="nil"/>
              <w:bottom w:val="single" w:sz="4" w:space="0" w:color="auto"/>
              <w:right w:val="single" w:sz="4" w:space="0" w:color="auto"/>
            </w:tcBorders>
            <w:noWrap/>
            <w:vAlign w:val="center"/>
            <w:hideMark/>
          </w:tcPr>
          <w:p w14:paraId="76FA879B" w14:textId="77777777" w:rsidR="007B1BAC" w:rsidRPr="00801A36" w:rsidRDefault="007B1BAC" w:rsidP="00801A36">
            <w:pPr>
              <w:spacing w:after="0" w:line="240" w:lineRule="auto"/>
              <w:jc w:val="center"/>
              <w:rPr>
                <w:rFonts w:ascii="Times New Roman" w:eastAsia="Times New Roman" w:hAnsi="Times New Roman" w:cs="Times New Roman"/>
                <w:color w:val="000000"/>
                <w:kern w:val="0"/>
                <w:sz w:val="19"/>
                <w:szCs w:val="19"/>
                <w:lang w:eastAsia="en-IN"/>
                <w14:ligatures w14:val="none"/>
              </w:rPr>
            </w:pPr>
            <w:r w:rsidRPr="00801A36">
              <w:rPr>
                <w:rFonts w:ascii="Times New Roman" w:eastAsia="Times New Roman" w:hAnsi="Times New Roman" w:cs="Times New Roman"/>
                <w:color w:val="000000"/>
                <w:kern w:val="0"/>
                <w:sz w:val="19"/>
                <w:szCs w:val="19"/>
                <w:lang w:eastAsia="en-IN"/>
                <w14:ligatures w14:val="none"/>
              </w:rPr>
              <w:t>664.22</w:t>
            </w:r>
          </w:p>
        </w:tc>
        <w:tc>
          <w:tcPr>
            <w:tcW w:w="986" w:type="dxa"/>
            <w:tcBorders>
              <w:top w:val="nil"/>
              <w:left w:val="nil"/>
              <w:bottom w:val="single" w:sz="4" w:space="0" w:color="auto"/>
              <w:right w:val="single" w:sz="4" w:space="0" w:color="auto"/>
            </w:tcBorders>
            <w:noWrap/>
            <w:vAlign w:val="center"/>
            <w:hideMark/>
          </w:tcPr>
          <w:p w14:paraId="04314D9B" w14:textId="77777777" w:rsidR="007B1BAC" w:rsidRPr="00801A36" w:rsidRDefault="007B1BAC" w:rsidP="00801A36">
            <w:pPr>
              <w:spacing w:after="0" w:line="240" w:lineRule="auto"/>
              <w:jc w:val="center"/>
              <w:rPr>
                <w:rFonts w:ascii="Times New Roman" w:eastAsia="Times New Roman" w:hAnsi="Times New Roman" w:cs="Times New Roman"/>
                <w:color w:val="000000"/>
                <w:kern w:val="0"/>
                <w:sz w:val="19"/>
                <w:szCs w:val="19"/>
                <w:lang w:eastAsia="en-IN"/>
                <w14:ligatures w14:val="none"/>
              </w:rPr>
            </w:pPr>
            <w:r w:rsidRPr="00801A36">
              <w:rPr>
                <w:rFonts w:ascii="Times New Roman" w:eastAsia="Times New Roman" w:hAnsi="Times New Roman" w:cs="Times New Roman"/>
                <w:color w:val="000000"/>
                <w:kern w:val="0"/>
                <w:sz w:val="19"/>
                <w:szCs w:val="19"/>
                <w:lang w:eastAsia="en-IN"/>
                <w14:ligatures w14:val="none"/>
              </w:rPr>
              <w:t>1,822.02</w:t>
            </w:r>
          </w:p>
        </w:tc>
      </w:tr>
      <w:tr w:rsidR="007B1BAC" w:rsidRPr="00801A36" w14:paraId="5BE7BABB" w14:textId="77777777" w:rsidTr="00801A36">
        <w:trPr>
          <w:trHeight w:val="20"/>
          <w:jc w:val="center"/>
        </w:trPr>
        <w:tc>
          <w:tcPr>
            <w:tcW w:w="618" w:type="dxa"/>
            <w:tcBorders>
              <w:top w:val="nil"/>
              <w:left w:val="single" w:sz="4" w:space="0" w:color="auto"/>
              <w:bottom w:val="single" w:sz="4" w:space="0" w:color="auto"/>
              <w:right w:val="single" w:sz="4" w:space="0" w:color="auto"/>
            </w:tcBorders>
            <w:noWrap/>
            <w:vAlign w:val="bottom"/>
            <w:hideMark/>
          </w:tcPr>
          <w:p w14:paraId="724A63CA" w14:textId="77777777" w:rsidR="007B1BAC" w:rsidRPr="00801A36" w:rsidRDefault="007B1BAC" w:rsidP="007B1BAC">
            <w:pPr>
              <w:spacing w:after="0" w:line="240" w:lineRule="auto"/>
              <w:rPr>
                <w:rFonts w:ascii="Times New Roman" w:eastAsia="Times New Roman" w:hAnsi="Times New Roman" w:cs="Times New Roman"/>
                <w:color w:val="000000"/>
                <w:kern w:val="0"/>
                <w:sz w:val="19"/>
                <w:szCs w:val="19"/>
                <w:lang w:eastAsia="en-IN"/>
                <w14:ligatures w14:val="none"/>
              </w:rPr>
            </w:pPr>
            <w:r w:rsidRPr="00801A36">
              <w:rPr>
                <w:rFonts w:ascii="Times New Roman" w:eastAsia="Times New Roman" w:hAnsi="Times New Roman" w:cs="Times New Roman"/>
                <w:color w:val="000000"/>
                <w:kern w:val="0"/>
                <w:sz w:val="19"/>
                <w:szCs w:val="19"/>
                <w:lang w:eastAsia="en-IN"/>
                <w14:ligatures w14:val="none"/>
              </w:rPr>
              <w:t> </w:t>
            </w:r>
          </w:p>
        </w:tc>
        <w:tc>
          <w:tcPr>
            <w:tcW w:w="1680" w:type="dxa"/>
            <w:tcBorders>
              <w:top w:val="nil"/>
              <w:left w:val="nil"/>
              <w:bottom w:val="single" w:sz="4" w:space="0" w:color="auto"/>
              <w:right w:val="single" w:sz="4" w:space="0" w:color="auto"/>
            </w:tcBorders>
            <w:noWrap/>
            <w:vAlign w:val="bottom"/>
            <w:hideMark/>
          </w:tcPr>
          <w:p w14:paraId="2AE32F1A" w14:textId="77777777" w:rsidR="007B1BAC" w:rsidRPr="00801A36" w:rsidRDefault="007B1BAC" w:rsidP="007B1BAC">
            <w:pPr>
              <w:spacing w:after="0" w:line="240" w:lineRule="auto"/>
              <w:rPr>
                <w:rFonts w:ascii="Times New Roman" w:eastAsia="Times New Roman" w:hAnsi="Times New Roman" w:cs="Times New Roman"/>
                <w:color w:val="000000"/>
                <w:kern w:val="0"/>
                <w:sz w:val="19"/>
                <w:szCs w:val="19"/>
                <w:lang w:eastAsia="en-IN"/>
                <w14:ligatures w14:val="none"/>
              </w:rPr>
            </w:pPr>
            <w:r w:rsidRPr="00801A36">
              <w:rPr>
                <w:rFonts w:ascii="Times New Roman" w:eastAsia="Times New Roman" w:hAnsi="Times New Roman" w:cs="Times New Roman"/>
                <w:color w:val="000000"/>
                <w:kern w:val="0"/>
                <w:sz w:val="19"/>
                <w:szCs w:val="19"/>
                <w:lang w:eastAsia="en-IN"/>
                <w14:ligatures w14:val="none"/>
              </w:rPr>
              <w:t>Western</w:t>
            </w:r>
          </w:p>
        </w:tc>
        <w:tc>
          <w:tcPr>
            <w:tcW w:w="1084" w:type="dxa"/>
            <w:tcBorders>
              <w:top w:val="nil"/>
              <w:left w:val="nil"/>
              <w:bottom w:val="single" w:sz="4" w:space="0" w:color="auto"/>
              <w:right w:val="single" w:sz="4" w:space="0" w:color="auto"/>
            </w:tcBorders>
            <w:noWrap/>
            <w:vAlign w:val="center"/>
            <w:hideMark/>
          </w:tcPr>
          <w:p w14:paraId="6892AF84" w14:textId="77777777" w:rsidR="007B1BAC" w:rsidRPr="00801A36" w:rsidRDefault="007B1BAC" w:rsidP="00801A36">
            <w:pPr>
              <w:spacing w:after="0" w:line="240" w:lineRule="auto"/>
              <w:jc w:val="center"/>
              <w:rPr>
                <w:rFonts w:ascii="Times New Roman" w:eastAsia="Times New Roman" w:hAnsi="Times New Roman" w:cs="Times New Roman"/>
                <w:color w:val="000000"/>
                <w:kern w:val="0"/>
                <w:sz w:val="19"/>
                <w:szCs w:val="19"/>
                <w:lang w:eastAsia="en-IN"/>
                <w14:ligatures w14:val="none"/>
              </w:rPr>
            </w:pPr>
            <w:r w:rsidRPr="00801A36">
              <w:rPr>
                <w:rFonts w:ascii="Times New Roman" w:eastAsia="Times New Roman" w:hAnsi="Times New Roman" w:cs="Times New Roman"/>
                <w:color w:val="000000"/>
                <w:kern w:val="0"/>
                <w:sz w:val="19"/>
                <w:szCs w:val="19"/>
                <w:lang w:eastAsia="en-IN"/>
                <w14:ligatures w14:val="none"/>
              </w:rPr>
              <w:t>704.45</w:t>
            </w:r>
          </w:p>
        </w:tc>
        <w:tc>
          <w:tcPr>
            <w:tcW w:w="1070" w:type="dxa"/>
            <w:tcBorders>
              <w:top w:val="nil"/>
              <w:left w:val="nil"/>
              <w:bottom w:val="single" w:sz="4" w:space="0" w:color="auto"/>
              <w:right w:val="single" w:sz="4" w:space="0" w:color="auto"/>
            </w:tcBorders>
            <w:noWrap/>
            <w:vAlign w:val="center"/>
            <w:hideMark/>
          </w:tcPr>
          <w:p w14:paraId="5E644832" w14:textId="77777777" w:rsidR="007B1BAC" w:rsidRPr="00801A36" w:rsidRDefault="007B1BAC" w:rsidP="00801A36">
            <w:pPr>
              <w:spacing w:after="0" w:line="240" w:lineRule="auto"/>
              <w:jc w:val="center"/>
              <w:rPr>
                <w:rFonts w:ascii="Times New Roman" w:eastAsia="Times New Roman" w:hAnsi="Times New Roman" w:cs="Times New Roman"/>
                <w:color w:val="000000"/>
                <w:kern w:val="0"/>
                <w:sz w:val="19"/>
                <w:szCs w:val="19"/>
                <w:lang w:eastAsia="en-IN"/>
                <w14:ligatures w14:val="none"/>
              </w:rPr>
            </w:pPr>
            <w:r w:rsidRPr="00801A36">
              <w:rPr>
                <w:rFonts w:ascii="Times New Roman" w:eastAsia="Times New Roman" w:hAnsi="Times New Roman" w:cs="Times New Roman"/>
                <w:color w:val="000000"/>
                <w:kern w:val="0"/>
                <w:sz w:val="19"/>
                <w:szCs w:val="19"/>
                <w:lang w:eastAsia="en-IN"/>
                <w14:ligatures w14:val="none"/>
              </w:rPr>
              <w:t>427.62</w:t>
            </w:r>
          </w:p>
        </w:tc>
        <w:tc>
          <w:tcPr>
            <w:tcW w:w="1196" w:type="dxa"/>
            <w:tcBorders>
              <w:top w:val="nil"/>
              <w:left w:val="nil"/>
              <w:bottom w:val="single" w:sz="4" w:space="0" w:color="auto"/>
              <w:right w:val="single" w:sz="4" w:space="0" w:color="auto"/>
            </w:tcBorders>
            <w:noWrap/>
            <w:vAlign w:val="center"/>
            <w:hideMark/>
          </w:tcPr>
          <w:p w14:paraId="48329FEC" w14:textId="77777777" w:rsidR="007B1BAC" w:rsidRPr="00801A36" w:rsidRDefault="007B1BAC" w:rsidP="00801A36">
            <w:pPr>
              <w:spacing w:after="0" w:line="240" w:lineRule="auto"/>
              <w:jc w:val="center"/>
              <w:rPr>
                <w:rFonts w:ascii="Times New Roman" w:eastAsia="Times New Roman" w:hAnsi="Times New Roman" w:cs="Times New Roman"/>
                <w:color w:val="000000"/>
                <w:kern w:val="0"/>
                <w:sz w:val="19"/>
                <w:szCs w:val="19"/>
                <w:lang w:eastAsia="en-IN"/>
                <w14:ligatures w14:val="none"/>
              </w:rPr>
            </w:pPr>
            <w:r w:rsidRPr="00801A36">
              <w:rPr>
                <w:rFonts w:ascii="Times New Roman" w:eastAsia="Times New Roman" w:hAnsi="Times New Roman" w:cs="Times New Roman"/>
                <w:color w:val="000000"/>
                <w:kern w:val="0"/>
                <w:sz w:val="19"/>
                <w:szCs w:val="19"/>
                <w:lang w:eastAsia="en-IN"/>
                <w14:ligatures w14:val="none"/>
              </w:rPr>
              <w:t>66.92</w:t>
            </w:r>
          </w:p>
        </w:tc>
        <w:tc>
          <w:tcPr>
            <w:tcW w:w="986" w:type="dxa"/>
            <w:tcBorders>
              <w:top w:val="nil"/>
              <w:left w:val="nil"/>
              <w:bottom w:val="single" w:sz="4" w:space="0" w:color="auto"/>
              <w:right w:val="single" w:sz="4" w:space="0" w:color="auto"/>
            </w:tcBorders>
            <w:noWrap/>
            <w:vAlign w:val="center"/>
            <w:hideMark/>
          </w:tcPr>
          <w:p w14:paraId="592E00F1" w14:textId="77777777" w:rsidR="007B1BAC" w:rsidRPr="00801A36" w:rsidRDefault="007B1BAC" w:rsidP="00801A36">
            <w:pPr>
              <w:spacing w:after="0" w:line="240" w:lineRule="auto"/>
              <w:jc w:val="center"/>
              <w:rPr>
                <w:rFonts w:ascii="Times New Roman" w:eastAsia="Times New Roman" w:hAnsi="Times New Roman" w:cs="Times New Roman"/>
                <w:color w:val="000000"/>
                <w:kern w:val="0"/>
                <w:sz w:val="19"/>
                <w:szCs w:val="19"/>
                <w:lang w:eastAsia="en-IN"/>
                <w14:ligatures w14:val="none"/>
              </w:rPr>
            </w:pPr>
            <w:r w:rsidRPr="00801A36">
              <w:rPr>
                <w:rFonts w:ascii="Times New Roman" w:eastAsia="Times New Roman" w:hAnsi="Times New Roman" w:cs="Times New Roman"/>
                <w:color w:val="000000"/>
                <w:kern w:val="0"/>
                <w:sz w:val="19"/>
                <w:szCs w:val="19"/>
                <w:lang w:eastAsia="en-IN"/>
                <w14:ligatures w14:val="none"/>
              </w:rPr>
              <w:t>1,198.99</w:t>
            </w:r>
          </w:p>
        </w:tc>
        <w:tc>
          <w:tcPr>
            <w:tcW w:w="1084" w:type="dxa"/>
            <w:tcBorders>
              <w:top w:val="nil"/>
              <w:left w:val="nil"/>
              <w:bottom w:val="single" w:sz="4" w:space="0" w:color="auto"/>
              <w:right w:val="single" w:sz="4" w:space="0" w:color="auto"/>
            </w:tcBorders>
            <w:noWrap/>
            <w:vAlign w:val="center"/>
            <w:hideMark/>
          </w:tcPr>
          <w:p w14:paraId="54E70015" w14:textId="77777777" w:rsidR="007B1BAC" w:rsidRPr="00801A36" w:rsidRDefault="007B1BAC" w:rsidP="00801A36">
            <w:pPr>
              <w:spacing w:after="0" w:line="240" w:lineRule="auto"/>
              <w:jc w:val="center"/>
              <w:rPr>
                <w:rFonts w:ascii="Times New Roman" w:eastAsia="Times New Roman" w:hAnsi="Times New Roman" w:cs="Times New Roman"/>
                <w:color w:val="000000"/>
                <w:kern w:val="0"/>
                <w:sz w:val="19"/>
                <w:szCs w:val="19"/>
                <w:lang w:eastAsia="en-IN"/>
                <w14:ligatures w14:val="none"/>
              </w:rPr>
            </w:pPr>
            <w:r w:rsidRPr="00801A36">
              <w:rPr>
                <w:rFonts w:ascii="Times New Roman" w:eastAsia="Times New Roman" w:hAnsi="Times New Roman" w:cs="Times New Roman"/>
                <w:color w:val="000000"/>
                <w:kern w:val="0"/>
                <w:sz w:val="19"/>
                <w:szCs w:val="19"/>
                <w:lang w:eastAsia="en-IN"/>
                <w14:ligatures w14:val="none"/>
              </w:rPr>
              <w:t>705.57</w:t>
            </w:r>
          </w:p>
        </w:tc>
        <w:tc>
          <w:tcPr>
            <w:tcW w:w="1070" w:type="dxa"/>
            <w:tcBorders>
              <w:top w:val="nil"/>
              <w:left w:val="nil"/>
              <w:bottom w:val="single" w:sz="4" w:space="0" w:color="auto"/>
              <w:right w:val="single" w:sz="4" w:space="0" w:color="auto"/>
            </w:tcBorders>
            <w:noWrap/>
            <w:vAlign w:val="center"/>
            <w:hideMark/>
          </w:tcPr>
          <w:p w14:paraId="3CFAFA00" w14:textId="77777777" w:rsidR="007B1BAC" w:rsidRPr="00801A36" w:rsidRDefault="007B1BAC" w:rsidP="00801A36">
            <w:pPr>
              <w:spacing w:after="0" w:line="240" w:lineRule="auto"/>
              <w:jc w:val="center"/>
              <w:rPr>
                <w:rFonts w:ascii="Times New Roman" w:eastAsia="Times New Roman" w:hAnsi="Times New Roman" w:cs="Times New Roman"/>
                <w:color w:val="000000"/>
                <w:kern w:val="0"/>
                <w:sz w:val="19"/>
                <w:szCs w:val="19"/>
                <w:lang w:eastAsia="en-IN"/>
                <w14:ligatures w14:val="none"/>
              </w:rPr>
            </w:pPr>
            <w:r w:rsidRPr="00801A36">
              <w:rPr>
                <w:rFonts w:ascii="Times New Roman" w:eastAsia="Times New Roman" w:hAnsi="Times New Roman" w:cs="Times New Roman"/>
                <w:color w:val="000000"/>
                <w:kern w:val="0"/>
                <w:sz w:val="19"/>
                <w:szCs w:val="19"/>
                <w:lang w:eastAsia="en-IN"/>
                <w14:ligatures w14:val="none"/>
              </w:rPr>
              <w:t>427.62</w:t>
            </w:r>
          </w:p>
        </w:tc>
        <w:tc>
          <w:tcPr>
            <w:tcW w:w="1196" w:type="dxa"/>
            <w:tcBorders>
              <w:top w:val="nil"/>
              <w:left w:val="nil"/>
              <w:bottom w:val="single" w:sz="4" w:space="0" w:color="auto"/>
              <w:right w:val="single" w:sz="4" w:space="0" w:color="auto"/>
            </w:tcBorders>
            <w:noWrap/>
            <w:vAlign w:val="center"/>
            <w:hideMark/>
          </w:tcPr>
          <w:p w14:paraId="035599B6" w14:textId="77777777" w:rsidR="007B1BAC" w:rsidRPr="00801A36" w:rsidRDefault="007B1BAC" w:rsidP="00801A36">
            <w:pPr>
              <w:spacing w:after="0" w:line="240" w:lineRule="auto"/>
              <w:jc w:val="center"/>
              <w:rPr>
                <w:rFonts w:ascii="Times New Roman" w:eastAsia="Times New Roman" w:hAnsi="Times New Roman" w:cs="Times New Roman"/>
                <w:color w:val="000000"/>
                <w:kern w:val="0"/>
                <w:sz w:val="19"/>
                <w:szCs w:val="19"/>
                <w:lang w:eastAsia="en-IN"/>
                <w14:ligatures w14:val="none"/>
              </w:rPr>
            </w:pPr>
            <w:r w:rsidRPr="00801A36">
              <w:rPr>
                <w:rFonts w:ascii="Times New Roman" w:eastAsia="Times New Roman" w:hAnsi="Times New Roman" w:cs="Times New Roman"/>
                <w:color w:val="000000"/>
                <w:kern w:val="0"/>
                <w:sz w:val="19"/>
                <w:szCs w:val="19"/>
                <w:lang w:eastAsia="en-IN"/>
                <w14:ligatures w14:val="none"/>
              </w:rPr>
              <w:t>66.92</w:t>
            </w:r>
          </w:p>
        </w:tc>
        <w:tc>
          <w:tcPr>
            <w:tcW w:w="986" w:type="dxa"/>
            <w:tcBorders>
              <w:top w:val="nil"/>
              <w:left w:val="nil"/>
              <w:bottom w:val="single" w:sz="4" w:space="0" w:color="auto"/>
              <w:right w:val="single" w:sz="4" w:space="0" w:color="auto"/>
            </w:tcBorders>
            <w:noWrap/>
            <w:vAlign w:val="center"/>
            <w:hideMark/>
          </w:tcPr>
          <w:p w14:paraId="05F68814" w14:textId="77777777" w:rsidR="007B1BAC" w:rsidRPr="00801A36" w:rsidRDefault="007B1BAC" w:rsidP="00801A36">
            <w:pPr>
              <w:spacing w:after="0" w:line="240" w:lineRule="auto"/>
              <w:jc w:val="center"/>
              <w:rPr>
                <w:rFonts w:ascii="Times New Roman" w:eastAsia="Times New Roman" w:hAnsi="Times New Roman" w:cs="Times New Roman"/>
                <w:color w:val="000000"/>
                <w:kern w:val="0"/>
                <w:sz w:val="19"/>
                <w:szCs w:val="19"/>
                <w:lang w:eastAsia="en-IN"/>
                <w14:ligatures w14:val="none"/>
              </w:rPr>
            </w:pPr>
            <w:r w:rsidRPr="00801A36">
              <w:rPr>
                <w:rFonts w:ascii="Times New Roman" w:eastAsia="Times New Roman" w:hAnsi="Times New Roman" w:cs="Times New Roman"/>
                <w:color w:val="000000"/>
                <w:kern w:val="0"/>
                <w:sz w:val="19"/>
                <w:szCs w:val="19"/>
                <w:lang w:eastAsia="en-IN"/>
                <w14:ligatures w14:val="none"/>
              </w:rPr>
              <w:t>1,200.11</w:t>
            </w:r>
          </w:p>
        </w:tc>
        <w:tc>
          <w:tcPr>
            <w:tcW w:w="1084" w:type="dxa"/>
            <w:tcBorders>
              <w:top w:val="nil"/>
              <w:left w:val="nil"/>
              <w:bottom w:val="single" w:sz="4" w:space="0" w:color="auto"/>
              <w:right w:val="single" w:sz="4" w:space="0" w:color="auto"/>
            </w:tcBorders>
            <w:noWrap/>
            <w:vAlign w:val="center"/>
            <w:hideMark/>
          </w:tcPr>
          <w:p w14:paraId="5DCF1A24" w14:textId="77777777" w:rsidR="007B1BAC" w:rsidRPr="00801A36" w:rsidRDefault="007B1BAC" w:rsidP="00801A36">
            <w:pPr>
              <w:spacing w:after="0" w:line="240" w:lineRule="auto"/>
              <w:jc w:val="center"/>
              <w:rPr>
                <w:rFonts w:ascii="Times New Roman" w:eastAsia="Times New Roman" w:hAnsi="Times New Roman" w:cs="Times New Roman"/>
                <w:color w:val="000000"/>
                <w:kern w:val="0"/>
                <w:sz w:val="19"/>
                <w:szCs w:val="19"/>
                <w:lang w:eastAsia="en-IN"/>
                <w14:ligatures w14:val="none"/>
              </w:rPr>
            </w:pPr>
            <w:r w:rsidRPr="00801A36">
              <w:rPr>
                <w:rFonts w:ascii="Times New Roman" w:eastAsia="Times New Roman" w:hAnsi="Times New Roman" w:cs="Times New Roman"/>
                <w:color w:val="000000"/>
                <w:kern w:val="0"/>
                <w:sz w:val="19"/>
                <w:szCs w:val="19"/>
                <w:lang w:eastAsia="en-IN"/>
                <w14:ligatures w14:val="none"/>
              </w:rPr>
              <w:t>705.57</w:t>
            </w:r>
          </w:p>
        </w:tc>
        <w:tc>
          <w:tcPr>
            <w:tcW w:w="1070" w:type="dxa"/>
            <w:tcBorders>
              <w:top w:val="nil"/>
              <w:left w:val="nil"/>
              <w:bottom w:val="single" w:sz="4" w:space="0" w:color="auto"/>
              <w:right w:val="single" w:sz="4" w:space="0" w:color="auto"/>
            </w:tcBorders>
            <w:noWrap/>
            <w:vAlign w:val="center"/>
            <w:hideMark/>
          </w:tcPr>
          <w:p w14:paraId="6D2ABDBA" w14:textId="77777777" w:rsidR="007B1BAC" w:rsidRPr="00801A36" w:rsidRDefault="007B1BAC" w:rsidP="00801A36">
            <w:pPr>
              <w:spacing w:after="0" w:line="240" w:lineRule="auto"/>
              <w:jc w:val="center"/>
              <w:rPr>
                <w:rFonts w:ascii="Times New Roman" w:eastAsia="Times New Roman" w:hAnsi="Times New Roman" w:cs="Times New Roman"/>
                <w:color w:val="000000"/>
                <w:kern w:val="0"/>
                <w:sz w:val="19"/>
                <w:szCs w:val="19"/>
                <w:lang w:eastAsia="en-IN"/>
                <w14:ligatures w14:val="none"/>
              </w:rPr>
            </w:pPr>
            <w:r w:rsidRPr="00801A36">
              <w:rPr>
                <w:rFonts w:ascii="Times New Roman" w:eastAsia="Times New Roman" w:hAnsi="Times New Roman" w:cs="Times New Roman"/>
                <w:color w:val="000000"/>
                <w:kern w:val="0"/>
                <w:sz w:val="19"/>
                <w:szCs w:val="19"/>
                <w:lang w:eastAsia="en-IN"/>
                <w14:ligatures w14:val="none"/>
              </w:rPr>
              <w:t>427.62</w:t>
            </w:r>
          </w:p>
        </w:tc>
        <w:tc>
          <w:tcPr>
            <w:tcW w:w="1196" w:type="dxa"/>
            <w:tcBorders>
              <w:top w:val="nil"/>
              <w:left w:val="nil"/>
              <w:bottom w:val="single" w:sz="4" w:space="0" w:color="auto"/>
              <w:right w:val="single" w:sz="4" w:space="0" w:color="auto"/>
            </w:tcBorders>
            <w:noWrap/>
            <w:vAlign w:val="center"/>
            <w:hideMark/>
          </w:tcPr>
          <w:p w14:paraId="1BBD82EE" w14:textId="77777777" w:rsidR="007B1BAC" w:rsidRPr="00801A36" w:rsidRDefault="007B1BAC" w:rsidP="00801A36">
            <w:pPr>
              <w:spacing w:after="0" w:line="240" w:lineRule="auto"/>
              <w:jc w:val="center"/>
              <w:rPr>
                <w:rFonts w:ascii="Times New Roman" w:eastAsia="Times New Roman" w:hAnsi="Times New Roman" w:cs="Times New Roman"/>
                <w:color w:val="000000"/>
                <w:kern w:val="0"/>
                <w:sz w:val="19"/>
                <w:szCs w:val="19"/>
                <w:lang w:eastAsia="en-IN"/>
                <w14:ligatures w14:val="none"/>
              </w:rPr>
            </w:pPr>
            <w:r w:rsidRPr="00801A36">
              <w:rPr>
                <w:rFonts w:ascii="Times New Roman" w:eastAsia="Times New Roman" w:hAnsi="Times New Roman" w:cs="Times New Roman"/>
                <w:color w:val="000000"/>
                <w:kern w:val="0"/>
                <w:sz w:val="19"/>
                <w:szCs w:val="19"/>
                <w:lang w:eastAsia="en-IN"/>
                <w14:ligatures w14:val="none"/>
              </w:rPr>
              <w:t>66.92</w:t>
            </w:r>
          </w:p>
        </w:tc>
        <w:tc>
          <w:tcPr>
            <w:tcW w:w="986" w:type="dxa"/>
            <w:tcBorders>
              <w:top w:val="nil"/>
              <w:left w:val="nil"/>
              <w:bottom w:val="single" w:sz="4" w:space="0" w:color="auto"/>
              <w:right w:val="single" w:sz="4" w:space="0" w:color="auto"/>
            </w:tcBorders>
            <w:noWrap/>
            <w:vAlign w:val="center"/>
            <w:hideMark/>
          </w:tcPr>
          <w:p w14:paraId="5054AFC3" w14:textId="77777777" w:rsidR="007B1BAC" w:rsidRPr="00801A36" w:rsidRDefault="007B1BAC" w:rsidP="00801A36">
            <w:pPr>
              <w:spacing w:after="0" w:line="240" w:lineRule="auto"/>
              <w:jc w:val="center"/>
              <w:rPr>
                <w:rFonts w:ascii="Times New Roman" w:eastAsia="Times New Roman" w:hAnsi="Times New Roman" w:cs="Times New Roman"/>
                <w:color w:val="000000"/>
                <w:kern w:val="0"/>
                <w:sz w:val="19"/>
                <w:szCs w:val="19"/>
                <w:lang w:eastAsia="en-IN"/>
                <w14:ligatures w14:val="none"/>
              </w:rPr>
            </w:pPr>
            <w:r w:rsidRPr="00801A36">
              <w:rPr>
                <w:rFonts w:ascii="Times New Roman" w:eastAsia="Times New Roman" w:hAnsi="Times New Roman" w:cs="Times New Roman"/>
                <w:color w:val="000000"/>
                <w:kern w:val="0"/>
                <w:sz w:val="19"/>
                <w:szCs w:val="19"/>
                <w:lang w:eastAsia="en-IN"/>
                <w14:ligatures w14:val="none"/>
              </w:rPr>
              <w:t>1,200.11</w:t>
            </w:r>
          </w:p>
        </w:tc>
      </w:tr>
      <w:tr w:rsidR="007B1BAC" w:rsidRPr="00801A36" w14:paraId="70215612" w14:textId="77777777" w:rsidTr="00801A36">
        <w:trPr>
          <w:trHeight w:val="20"/>
          <w:jc w:val="center"/>
        </w:trPr>
        <w:tc>
          <w:tcPr>
            <w:tcW w:w="618" w:type="dxa"/>
            <w:tcBorders>
              <w:top w:val="nil"/>
              <w:left w:val="single" w:sz="4" w:space="0" w:color="auto"/>
              <w:bottom w:val="single" w:sz="4" w:space="0" w:color="auto"/>
              <w:right w:val="single" w:sz="4" w:space="0" w:color="auto"/>
            </w:tcBorders>
            <w:noWrap/>
            <w:vAlign w:val="bottom"/>
            <w:hideMark/>
          </w:tcPr>
          <w:p w14:paraId="63F3918A" w14:textId="77777777" w:rsidR="007B1BAC" w:rsidRPr="00801A36" w:rsidRDefault="007B1BAC" w:rsidP="007B1BAC">
            <w:pPr>
              <w:spacing w:after="0" w:line="240" w:lineRule="auto"/>
              <w:jc w:val="right"/>
              <w:rPr>
                <w:rFonts w:ascii="Times New Roman" w:eastAsia="Times New Roman" w:hAnsi="Times New Roman" w:cs="Times New Roman"/>
                <w:color w:val="000000"/>
                <w:kern w:val="0"/>
                <w:sz w:val="19"/>
                <w:szCs w:val="19"/>
                <w:lang w:eastAsia="en-IN"/>
                <w14:ligatures w14:val="none"/>
              </w:rPr>
            </w:pPr>
            <w:r w:rsidRPr="00801A36">
              <w:rPr>
                <w:rFonts w:ascii="Times New Roman" w:eastAsia="Times New Roman" w:hAnsi="Times New Roman" w:cs="Times New Roman"/>
                <w:color w:val="000000"/>
                <w:kern w:val="0"/>
                <w:sz w:val="19"/>
                <w:szCs w:val="19"/>
                <w:lang w:eastAsia="en-IN"/>
                <w14:ligatures w14:val="none"/>
              </w:rPr>
              <w:t>9</w:t>
            </w:r>
          </w:p>
        </w:tc>
        <w:tc>
          <w:tcPr>
            <w:tcW w:w="1680" w:type="dxa"/>
            <w:tcBorders>
              <w:top w:val="nil"/>
              <w:left w:val="nil"/>
              <w:bottom w:val="single" w:sz="4" w:space="0" w:color="auto"/>
              <w:right w:val="single" w:sz="4" w:space="0" w:color="auto"/>
            </w:tcBorders>
            <w:noWrap/>
            <w:vAlign w:val="bottom"/>
            <w:hideMark/>
          </w:tcPr>
          <w:p w14:paraId="122353C5" w14:textId="77777777" w:rsidR="007B1BAC" w:rsidRPr="00801A36" w:rsidRDefault="007B1BAC" w:rsidP="007B1BAC">
            <w:pPr>
              <w:spacing w:after="0" w:line="240" w:lineRule="auto"/>
              <w:rPr>
                <w:rFonts w:ascii="Times New Roman" w:eastAsia="Times New Roman" w:hAnsi="Times New Roman" w:cs="Times New Roman"/>
                <w:color w:val="000000"/>
                <w:kern w:val="0"/>
                <w:sz w:val="19"/>
                <w:szCs w:val="19"/>
                <w:lang w:eastAsia="en-IN"/>
                <w14:ligatures w14:val="none"/>
              </w:rPr>
            </w:pPr>
            <w:r w:rsidRPr="00801A36">
              <w:rPr>
                <w:rFonts w:ascii="Times New Roman" w:eastAsia="Times New Roman" w:hAnsi="Times New Roman" w:cs="Times New Roman"/>
                <w:color w:val="000000"/>
                <w:kern w:val="0"/>
                <w:sz w:val="19"/>
                <w:szCs w:val="19"/>
                <w:lang w:eastAsia="en-IN"/>
                <w14:ligatures w14:val="none"/>
              </w:rPr>
              <w:t>Madras</w:t>
            </w:r>
          </w:p>
        </w:tc>
        <w:tc>
          <w:tcPr>
            <w:tcW w:w="1084" w:type="dxa"/>
            <w:tcBorders>
              <w:top w:val="nil"/>
              <w:left w:val="nil"/>
              <w:bottom w:val="single" w:sz="4" w:space="0" w:color="auto"/>
              <w:right w:val="single" w:sz="4" w:space="0" w:color="auto"/>
            </w:tcBorders>
            <w:noWrap/>
            <w:vAlign w:val="center"/>
            <w:hideMark/>
          </w:tcPr>
          <w:p w14:paraId="705170F9" w14:textId="7CC42110" w:rsidR="007B1BAC" w:rsidRPr="00801A36" w:rsidRDefault="007B1BAC" w:rsidP="00801A36">
            <w:pPr>
              <w:spacing w:after="0" w:line="240" w:lineRule="auto"/>
              <w:jc w:val="center"/>
              <w:rPr>
                <w:rFonts w:ascii="Times New Roman" w:eastAsia="Times New Roman" w:hAnsi="Times New Roman" w:cs="Times New Roman"/>
                <w:color w:val="000000"/>
                <w:kern w:val="0"/>
                <w:sz w:val="19"/>
                <w:szCs w:val="19"/>
                <w:lang w:eastAsia="en-IN"/>
                <w14:ligatures w14:val="none"/>
              </w:rPr>
            </w:pPr>
          </w:p>
        </w:tc>
        <w:tc>
          <w:tcPr>
            <w:tcW w:w="1070" w:type="dxa"/>
            <w:tcBorders>
              <w:top w:val="nil"/>
              <w:left w:val="nil"/>
              <w:bottom w:val="single" w:sz="4" w:space="0" w:color="auto"/>
              <w:right w:val="single" w:sz="4" w:space="0" w:color="auto"/>
            </w:tcBorders>
            <w:noWrap/>
            <w:vAlign w:val="center"/>
            <w:hideMark/>
          </w:tcPr>
          <w:p w14:paraId="7F67FA70" w14:textId="0B354EDD" w:rsidR="007B1BAC" w:rsidRPr="00801A36" w:rsidRDefault="007B1BAC" w:rsidP="00801A36">
            <w:pPr>
              <w:spacing w:after="0" w:line="240" w:lineRule="auto"/>
              <w:jc w:val="center"/>
              <w:rPr>
                <w:rFonts w:ascii="Times New Roman" w:eastAsia="Times New Roman" w:hAnsi="Times New Roman" w:cs="Times New Roman"/>
                <w:color w:val="000000"/>
                <w:kern w:val="0"/>
                <w:sz w:val="19"/>
                <w:szCs w:val="19"/>
                <w:lang w:eastAsia="en-IN"/>
                <w14:ligatures w14:val="none"/>
              </w:rPr>
            </w:pPr>
          </w:p>
        </w:tc>
        <w:tc>
          <w:tcPr>
            <w:tcW w:w="1196" w:type="dxa"/>
            <w:tcBorders>
              <w:top w:val="nil"/>
              <w:left w:val="nil"/>
              <w:bottom w:val="single" w:sz="4" w:space="0" w:color="auto"/>
              <w:right w:val="single" w:sz="4" w:space="0" w:color="auto"/>
            </w:tcBorders>
            <w:noWrap/>
            <w:vAlign w:val="center"/>
            <w:hideMark/>
          </w:tcPr>
          <w:p w14:paraId="52FF8FCD" w14:textId="171F2511" w:rsidR="007B1BAC" w:rsidRPr="00801A36" w:rsidRDefault="007B1BAC" w:rsidP="00801A36">
            <w:pPr>
              <w:spacing w:after="0" w:line="240" w:lineRule="auto"/>
              <w:jc w:val="center"/>
              <w:rPr>
                <w:rFonts w:ascii="Times New Roman" w:eastAsia="Times New Roman" w:hAnsi="Times New Roman" w:cs="Times New Roman"/>
                <w:color w:val="000000"/>
                <w:kern w:val="0"/>
                <w:sz w:val="19"/>
                <w:szCs w:val="19"/>
                <w:lang w:eastAsia="en-IN"/>
                <w14:ligatures w14:val="none"/>
              </w:rPr>
            </w:pPr>
          </w:p>
        </w:tc>
        <w:tc>
          <w:tcPr>
            <w:tcW w:w="986" w:type="dxa"/>
            <w:tcBorders>
              <w:top w:val="nil"/>
              <w:left w:val="nil"/>
              <w:bottom w:val="single" w:sz="4" w:space="0" w:color="auto"/>
              <w:right w:val="single" w:sz="4" w:space="0" w:color="auto"/>
            </w:tcBorders>
            <w:noWrap/>
            <w:vAlign w:val="center"/>
            <w:hideMark/>
          </w:tcPr>
          <w:p w14:paraId="313C81B7" w14:textId="20DDBA2B" w:rsidR="007B1BAC" w:rsidRPr="00801A36" w:rsidRDefault="007B1BAC" w:rsidP="00801A36">
            <w:pPr>
              <w:spacing w:after="0" w:line="240" w:lineRule="auto"/>
              <w:jc w:val="center"/>
              <w:rPr>
                <w:rFonts w:ascii="Times New Roman" w:eastAsia="Times New Roman" w:hAnsi="Times New Roman" w:cs="Times New Roman"/>
                <w:color w:val="000000"/>
                <w:kern w:val="0"/>
                <w:sz w:val="19"/>
                <w:szCs w:val="19"/>
                <w:lang w:eastAsia="en-IN"/>
                <w14:ligatures w14:val="none"/>
              </w:rPr>
            </w:pPr>
          </w:p>
        </w:tc>
        <w:tc>
          <w:tcPr>
            <w:tcW w:w="1084" w:type="dxa"/>
            <w:tcBorders>
              <w:top w:val="nil"/>
              <w:left w:val="nil"/>
              <w:bottom w:val="single" w:sz="4" w:space="0" w:color="auto"/>
              <w:right w:val="single" w:sz="4" w:space="0" w:color="auto"/>
            </w:tcBorders>
            <w:noWrap/>
            <w:vAlign w:val="center"/>
            <w:hideMark/>
          </w:tcPr>
          <w:p w14:paraId="794925F0" w14:textId="753BD7EA" w:rsidR="007B1BAC" w:rsidRPr="00801A36" w:rsidRDefault="007B1BAC" w:rsidP="00801A36">
            <w:pPr>
              <w:spacing w:after="0" w:line="240" w:lineRule="auto"/>
              <w:jc w:val="center"/>
              <w:rPr>
                <w:rFonts w:ascii="Times New Roman" w:eastAsia="Times New Roman" w:hAnsi="Times New Roman" w:cs="Times New Roman"/>
                <w:color w:val="000000"/>
                <w:kern w:val="0"/>
                <w:sz w:val="19"/>
                <w:szCs w:val="19"/>
                <w:lang w:eastAsia="en-IN"/>
                <w14:ligatures w14:val="none"/>
              </w:rPr>
            </w:pPr>
          </w:p>
        </w:tc>
        <w:tc>
          <w:tcPr>
            <w:tcW w:w="1070" w:type="dxa"/>
            <w:tcBorders>
              <w:top w:val="nil"/>
              <w:left w:val="nil"/>
              <w:bottom w:val="single" w:sz="4" w:space="0" w:color="auto"/>
              <w:right w:val="single" w:sz="4" w:space="0" w:color="auto"/>
            </w:tcBorders>
            <w:noWrap/>
            <w:vAlign w:val="center"/>
            <w:hideMark/>
          </w:tcPr>
          <w:p w14:paraId="06416DF0" w14:textId="13D7131D" w:rsidR="007B1BAC" w:rsidRPr="00801A36" w:rsidRDefault="007B1BAC" w:rsidP="00801A36">
            <w:pPr>
              <w:spacing w:after="0" w:line="240" w:lineRule="auto"/>
              <w:jc w:val="center"/>
              <w:rPr>
                <w:rFonts w:ascii="Times New Roman" w:eastAsia="Times New Roman" w:hAnsi="Times New Roman" w:cs="Times New Roman"/>
                <w:color w:val="000000"/>
                <w:kern w:val="0"/>
                <w:sz w:val="19"/>
                <w:szCs w:val="19"/>
                <w:lang w:eastAsia="en-IN"/>
                <w14:ligatures w14:val="none"/>
              </w:rPr>
            </w:pPr>
          </w:p>
        </w:tc>
        <w:tc>
          <w:tcPr>
            <w:tcW w:w="1196" w:type="dxa"/>
            <w:tcBorders>
              <w:top w:val="nil"/>
              <w:left w:val="nil"/>
              <w:bottom w:val="single" w:sz="4" w:space="0" w:color="auto"/>
              <w:right w:val="single" w:sz="4" w:space="0" w:color="auto"/>
            </w:tcBorders>
            <w:noWrap/>
            <w:vAlign w:val="center"/>
            <w:hideMark/>
          </w:tcPr>
          <w:p w14:paraId="17234C82" w14:textId="3D04F09D" w:rsidR="007B1BAC" w:rsidRPr="00801A36" w:rsidRDefault="007B1BAC" w:rsidP="00801A36">
            <w:pPr>
              <w:spacing w:after="0" w:line="240" w:lineRule="auto"/>
              <w:jc w:val="center"/>
              <w:rPr>
                <w:rFonts w:ascii="Times New Roman" w:eastAsia="Times New Roman" w:hAnsi="Times New Roman" w:cs="Times New Roman"/>
                <w:color w:val="000000"/>
                <w:kern w:val="0"/>
                <w:sz w:val="19"/>
                <w:szCs w:val="19"/>
                <w:lang w:eastAsia="en-IN"/>
                <w14:ligatures w14:val="none"/>
              </w:rPr>
            </w:pPr>
          </w:p>
        </w:tc>
        <w:tc>
          <w:tcPr>
            <w:tcW w:w="986" w:type="dxa"/>
            <w:tcBorders>
              <w:top w:val="nil"/>
              <w:left w:val="nil"/>
              <w:bottom w:val="single" w:sz="4" w:space="0" w:color="auto"/>
              <w:right w:val="single" w:sz="4" w:space="0" w:color="auto"/>
            </w:tcBorders>
            <w:noWrap/>
            <w:vAlign w:val="center"/>
            <w:hideMark/>
          </w:tcPr>
          <w:p w14:paraId="403AD32B" w14:textId="018F8FE7" w:rsidR="007B1BAC" w:rsidRPr="00801A36" w:rsidRDefault="007B1BAC" w:rsidP="00801A36">
            <w:pPr>
              <w:spacing w:after="0" w:line="240" w:lineRule="auto"/>
              <w:jc w:val="center"/>
              <w:rPr>
                <w:rFonts w:ascii="Times New Roman" w:eastAsia="Times New Roman" w:hAnsi="Times New Roman" w:cs="Times New Roman"/>
                <w:color w:val="000000"/>
                <w:kern w:val="0"/>
                <w:sz w:val="19"/>
                <w:szCs w:val="19"/>
                <w:lang w:eastAsia="en-IN"/>
                <w14:ligatures w14:val="none"/>
              </w:rPr>
            </w:pPr>
          </w:p>
        </w:tc>
        <w:tc>
          <w:tcPr>
            <w:tcW w:w="1084" w:type="dxa"/>
            <w:tcBorders>
              <w:top w:val="nil"/>
              <w:left w:val="nil"/>
              <w:bottom w:val="single" w:sz="4" w:space="0" w:color="auto"/>
              <w:right w:val="single" w:sz="4" w:space="0" w:color="auto"/>
            </w:tcBorders>
            <w:noWrap/>
            <w:vAlign w:val="center"/>
            <w:hideMark/>
          </w:tcPr>
          <w:p w14:paraId="2BC3FE73" w14:textId="7B9054BA" w:rsidR="007B1BAC" w:rsidRPr="00801A36" w:rsidRDefault="007B1BAC" w:rsidP="00801A36">
            <w:pPr>
              <w:spacing w:after="0" w:line="240" w:lineRule="auto"/>
              <w:jc w:val="center"/>
              <w:rPr>
                <w:rFonts w:ascii="Times New Roman" w:eastAsia="Times New Roman" w:hAnsi="Times New Roman" w:cs="Times New Roman"/>
                <w:color w:val="000000"/>
                <w:kern w:val="0"/>
                <w:sz w:val="19"/>
                <w:szCs w:val="19"/>
                <w:lang w:eastAsia="en-IN"/>
                <w14:ligatures w14:val="none"/>
              </w:rPr>
            </w:pPr>
          </w:p>
        </w:tc>
        <w:tc>
          <w:tcPr>
            <w:tcW w:w="1070" w:type="dxa"/>
            <w:tcBorders>
              <w:top w:val="nil"/>
              <w:left w:val="nil"/>
              <w:bottom w:val="single" w:sz="4" w:space="0" w:color="auto"/>
              <w:right w:val="single" w:sz="4" w:space="0" w:color="auto"/>
            </w:tcBorders>
            <w:noWrap/>
            <w:vAlign w:val="center"/>
            <w:hideMark/>
          </w:tcPr>
          <w:p w14:paraId="190555D9" w14:textId="6B0F4C2B" w:rsidR="007B1BAC" w:rsidRPr="00801A36" w:rsidRDefault="007B1BAC" w:rsidP="00801A36">
            <w:pPr>
              <w:spacing w:after="0" w:line="240" w:lineRule="auto"/>
              <w:jc w:val="center"/>
              <w:rPr>
                <w:rFonts w:ascii="Times New Roman" w:eastAsia="Times New Roman" w:hAnsi="Times New Roman" w:cs="Times New Roman"/>
                <w:color w:val="000000"/>
                <w:kern w:val="0"/>
                <w:sz w:val="19"/>
                <w:szCs w:val="19"/>
                <w:lang w:eastAsia="en-IN"/>
                <w14:ligatures w14:val="none"/>
              </w:rPr>
            </w:pPr>
          </w:p>
        </w:tc>
        <w:tc>
          <w:tcPr>
            <w:tcW w:w="1196" w:type="dxa"/>
            <w:tcBorders>
              <w:top w:val="nil"/>
              <w:left w:val="nil"/>
              <w:bottom w:val="single" w:sz="4" w:space="0" w:color="auto"/>
              <w:right w:val="single" w:sz="4" w:space="0" w:color="auto"/>
            </w:tcBorders>
            <w:noWrap/>
            <w:vAlign w:val="center"/>
            <w:hideMark/>
          </w:tcPr>
          <w:p w14:paraId="7CBB3806" w14:textId="44EA08E1" w:rsidR="007B1BAC" w:rsidRPr="00801A36" w:rsidRDefault="007B1BAC" w:rsidP="00801A36">
            <w:pPr>
              <w:spacing w:after="0" w:line="240" w:lineRule="auto"/>
              <w:jc w:val="center"/>
              <w:rPr>
                <w:rFonts w:ascii="Times New Roman" w:eastAsia="Times New Roman" w:hAnsi="Times New Roman" w:cs="Times New Roman"/>
                <w:color w:val="000000"/>
                <w:kern w:val="0"/>
                <w:sz w:val="19"/>
                <w:szCs w:val="19"/>
                <w:lang w:eastAsia="en-IN"/>
                <w14:ligatures w14:val="none"/>
              </w:rPr>
            </w:pPr>
          </w:p>
        </w:tc>
        <w:tc>
          <w:tcPr>
            <w:tcW w:w="986" w:type="dxa"/>
            <w:tcBorders>
              <w:top w:val="nil"/>
              <w:left w:val="nil"/>
              <w:bottom w:val="single" w:sz="4" w:space="0" w:color="auto"/>
              <w:right w:val="single" w:sz="4" w:space="0" w:color="auto"/>
            </w:tcBorders>
            <w:noWrap/>
            <w:vAlign w:val="center"/>
            <w:hideMark/>
          </w:tcPr>
          <w:p w14:paraId="35614859" w14:textId="616371EF" w:rsidR="007B1BAC" w:rsidRPr="00801A36" w:rsidRDefault="007B1BAC" w:rsidP="00801A36">
            <w:pPr>
              <w:spacing w:after="0" w:line="240" w:lineRule="auto"/>
              <w:jc w:val="center"/>
              <w:rPr>
                <w:rFonts w:ascii="Times New Roman" w:eastAsia="Times New Roman" w:hAnsi="Times New Roman" w:cs="Times New Roman"/>
                <w:color w:val="000000"/>
                <w:kern w:val="0"/>
                <w:sz w:val="19"/>
                <w:szCs w:val="19"/>
                <w:lang w:eastAsia="en-IN"/>
                <w14:ligatures w14:val="none"/>
              </w:rPr>
            </w:pPr>
          </w:p>
        </w:tc>
      </w:tr>
      <w:tr w:rsidR="007B1BAC" w:rsidRPr="00801A36" w14:paraId="0A960728" w14:textId="77777777" w:rsidTr="00801A36">
        <w:trPr>
          <w:trHeight w:val="20"/>
          <w:jc w:val="center"/>
        </w:trPr>
        <w:tc>
          <w:tcPr>
            <w:tcW w:w="618" w:type="dxa"/>
            <w:tcBorders>
              <w:top w:val="nil"/>
              <w:left w:val="single" w:sz="4" w:space="0" w:color="auto"/>
              <w:bottom w:val="single" w:sz="4" w:space="0" w:color="auto"/>
              <w:right w:val="single" w:sz="4" w:space="0" w:color="auto"/>
            </w:tcBorders>
            <w:noWrap/>
            <w:vAlign w:val="bottom"/>
            <w:hideMark/>
          </w:tcPr>
          <w:p w14:paraId="49EFE547" w14:textId="77777777" w:rsidR="007B1BAC" w:rsidRPr="00801A36" w:rsidRDefault="007B1BAC" w:rsidP="007B1BAC">
            <w:pPr>
              <w:spacing w:after="0" w:line="240" w:lineRule="auto"/>
              <w:rPr>
                <w:rFonts w:ascii="Times New Roman" w:eastAsia="Times New Roman" w:hAnsi="Times New Roman" w:cs="Times New Roman"/>
                <w:color w:val="000000"/>
                <w:kern w:val="0"/>
                <w:sz w:val="19"/>
                <w:szCs w:val="19"/>
                <w:lang w:eastAsia="en-IN"/>
                <w14:ligatures w14:val="none"/>
              </w:rPr>
            </w:pPr>
            <w:r w:rsidRPr="00801A36">
              <w:rPr>
                <w:rFonts w:ascii="Times New Roman" w:eastAsia="Times New Roman" w:hAnsi="Times New Roman" w:cs="Times New Roman"/>
                <w:color w:val="000000"/>
                <w:kern w:val="0"/>
                <w:sz w:val="19"/>
                <w:szCs w:val="19"/>
                <w:lang w:eastAsia="en-IN"/>
                <w14:ligatures w14:val="none"/>
              </w:rPr>
              <w:t> </w:t>
            </w:r>
          </w:p>
        </w:tc>
        <w:tc>
          <w:tcPr>
            <w:tcW w:w="1680" w:type="dxa"/>
            <w:tcBorders>
              <w:top w:val="nil"/>
              <w:left w:val="nil"/>
              <w:bottom w:val="single" w:sz="4" w:space="0" w:color="auto"/>
              <w:right w:val="single" w:sz="4" w:space="0" w:color="auto"/>
            </w:tcBorders>
            <w:noWrap/>
            <w:vAlign w:val="bottom"/>
            <w:hideMark/>
          </w:tcPr>
          <w:p w14:paraId="133BAEA3" w14:textId="77777777" w:rsidR="007B1BAC" w:rsidRPr="00801A36" w:rsidRDefault="007B1BAC" w:rsidP="007B1BAC">
            <w:pPr>
              <w:spacing w:after="0" w:line="240" w:lineRule="auto"/>
              <w:rPr>
                <w:rFonts w:ascii="Times New Roman" w:eastAsia="Times New Roman" w:hAnsi="Times New Roman" w:cs="Times New Roman"/>
                <w:color w:val="000000"/>
                <w:kern w:val="0"/>
                <w:sz w:val="19"/>
                <w:szCs w:val="19"/>
                <w:lang w:eastAsia="en-IN"/>
                <w14:ligatures w14:val="none"/>
              </w:rPr>
            </w:pPr>
            <w:r w:rsidRPr="00801A36">
              <w:rPr>
                <w:rFonts w:ascii="Times New Roman" w:eastAsia="Times New Roman" w:hAnsi="Times New Roman" w:cs="Times New Roman"/>
                <w:color w:val="000000"/>
                <w:kern w:val="0"/>
                <w:sz w:val="19"/>
                <w:szCs w:val="19"/>
                <w:lang w:eastAsia="en-IN"/>
                <w14:ligatures w14:val="none"/>
              </w:rPr>
              <w:t>Southern</w:t>
            </w:r>
          </w:p>
        </w:tc>
        <w:tc>
          <w:tcPr>
            <w:tcW w:w="1084" w:type="dxa"/>
            <w:tcBorders>
              <w:top w:val="nil"/>
              <w:left w:val="nil"/>
              <w:bottom w:val="single" w:sz="4" w:space="0" w:color="auto"/>
              <w:right w:val="single" w:sz="4" w:space="0" w:color="auto"/>
            </w:tcBorders>
            <w:noWrap/>
            <w:vAlign w:val="center"/>
            <w:hideMark/>
          </w:tcPr>
          <w:p w14:paraId="73A74E85" w14:textId="77777777" w:rsidR="007B1BAC" w:rsidRPr="00801A36" w:rsidRDefault="007B1BAC" w:rsidP="00801A36">
            <w:pPr>
              <w:spacing w:after="0" w:line="240" w:lineRule="auto"/>
              <w:jc w:val="center"/>
              <w:rPr>
                <w:rFonts w:ascii="Times New Roman" w:eastAsia="Times New Roman" w:hAnsi="Times New Roman" w:cs="Times New Roman"/>
                <w:color w:val="000000"/>
                <w:kern w:val="0"/>
                <w:sz w:val="19"/>
                <w:szCs w:val="19"/>
                <w:lang w:eastAsia="en-IN"/>
                <w14:ligatures w14:val="none"/>
              </w:rPr>
            </w:pPr>
            <w:r w:rsidRPr="00801A36">
              <w:rPr>
                <w:rFonts w:ascii="Times New Roman" w:eastAsia="Times New Roman" w:hAnsi="Times New Roman" w:cs="Times New Roman"/>
                <w:color w:val="000000"/>
                <w:kern w:val="0"/>
                <w:sz w:val="19"/>
                <w:szCs w:val="19"/>
                <w:lang w:eastAsia="en-IN"/>
                <w14:ligatures w14:val="none"/>
              </w:rPr>
              <w:t>858.24</w:t>
            </w:r>
          </w:p>
        </w:tc>
        <w:tc>
          <w:tcPr>
            <w:tcW w:w="1070" w:type="dxa"/>
            <w:tcBorders>
              <w:top w:val="nil"/>
              <w:left w:val="nil"/>
              <w:bottom w:val="single" w:sz="4" w:space="0" w:color="auto"/>
              <w:right w:val="single" w:sz="4" w:space="0" w:color="auto"/>
            </w:tcBorders>
            <w:noWrap/>
            <w:vAlign w:val="center"/>
            <w:hideMark/>
          </w:tcPr>
          <w:p w14:paraId="747C4411" w14:textId="77777777" w:rsidR="007B1BAC" w:rsidRPr="00801A36" w:rsidRDefault="007B1BAC" w:rsidP="00801A36">
            <w:pPr>
              <w:spacing w:after="0" w:line="240" w:lineRule="auto"/>
              <w:jc w:val="center"/>
              <w:rPr>
                <w:rFonts w:ascii="Times New Roman" w:eastAsia="Times New Roman" w:hAnsi="Times New Roman" w:cs="Times New Roman"/>
                <w:color w:val="000000"/>
                <w:kern w:val="0"/>
                <w:sz w:val="19"/>
                <w:szCs w:val="19"/>
                <w:lang w:eastAsia="en-IN"/>
                <w14:ligatures w14:val="none"/>
              </w:rPr>
            </w:pPr>
            <w:r w:rsidRPr="00801A36">
              <w:rPr>
                <w:rFonts w:ascii="Times New Roman" w:eastAsia="Times New Roman" w:hAnsi="Times New Roman" w:cs="Times New Roman"/>
                <w:color w:val="000000"/>
                <w:kern w:val="0"/>
                <w:sz w:val="19"/>
                <w:szCs w:val="19"/>
                <w:lang w:eastAsia="en-IN"/>
                <w14:ligatures w14:val="none"/>
              </w:rPr>
              <w:t>2,737.52</w:t>
            </w:r>
          </w:p>
        </w:tc>
        <w:tc>
          <w:tcPr>
            <w:tcW w:w="1196" w:type="dxa"/>
            <w:tcBorders>
              <w:top w:val="nil"/>
              <w:left w:val="nil"/>
              <w:bottom w:val="single" w:sz="4" w:space="0" w:color="auto"/>
              <w:right w:val="single" w:sz="4" w:space="0" w:color="auto"/>
            </w:tcBorders>
            <w:noWrap/>
            <w:vAlign w:val="center"/>
            <w:hideMark/>
          </w:tcPr>
          <w:p w14:paraId="5E4C34D6" w14:textId="77777777" w:rsidR="007B1BAC" w:rsidRPr="00801A36" w:rsidRDefault="007B1BAC" w:rsidP="00801A36">
            <w:pPr>
              <w:spacing w:after="0" w:line="240" w:lineRule="auto"/>
              <w:jc w:val="center"/>
              <w:rPr>
                <w:rFonts w:ascii="Times New Roman" w:eastAsia="Times New Roman" w:hAnsi="Times New Roman" w:cs="Times New Roman"/>
                <w:color w:val="000000"/>
                <w:kern w:val="0"/>
                <w:sz w:val="19"/>
                <w:szCs w:val="19"/>
                <w:lang w:eastAsia="en-IN"/>
                <w14:ligatures w14:val="none"/>
              </w:rPr>
            </w:pPr>
            <w:r w:rsidRPr="00801A36">
              <w:rPr>
                <w:rFonts w:ascii="Times New Roman" w:eastAsia="Times New Roman" w:hAnsi="Times New Roman" w:cs="Times New Roman"/>
                <w:color w:val="000000"/>
                <w:kern w:val="0"/>
                <w:sz w:val="19"/>
                <w:szCs w:val="19"/>
                <w:lang w:eastAsia="en-IN"/>
                <w14:ligatures w14:val="none"/>
              </w:rPr>
              <w:t>..</w:t>
            </w:r>
          </w:p>
        </w:tc>
        <w:tc>
          <w:tcPr>
            <w:tcW w:w="986" w:type="dxa"/>
            <w:tcBorders>
              <w:top w:val="nil"/>
              <w:left w:val="nil"/>
              <w:bottom w:val="single" w:sz="4" w:space="0" w:color="auto"/>
              <w:right w:val="single" w:sz="4" w:space="0" w:color="auto"/>
            </w:tcBorders>
            <w:noWrap/>
            <w:vAlign w:val="center"/>
            <w:hideMark/>
          </w:tcPr>
          <w:p w14:paraId="2C93EEE7" w14:textId="77777777" w:rsidR="007B1BAC" w:rsidRPr="00801A36" w:rsidRDefault="007B1BAC" w:rsidP="00801A36">
            <w:pPr>
              <w:spacing w:after="0" w:line="240" w:lineRule="auto"/>
              <w:jc w:val="center"/>
              <w:rPr>
                <w:rFonts w:ascii="Times New Roman" w:eastAsia="Times New Roman" w:hAnsi="Times New Roman" w:cs="Times New Roman"/>
                <w:color w:val="000000"/>
                <w:kern w:val="0"/>
                <w:sz w:val="19"/>
                <w:szCs w:val="19"/>
                <w:lang w:eastAsia="en-IN"/>
                <w14:ligatures w14:val="none"/>
              </w:rPr>
            </w:pPr>
            <w:r w:rsidRPr="00801A36">
              <w:rPr>
                <w:rFonts w:ascii="Times New Roman" w:eastAsia="Times New Roman" w:hAnsi="Times New Roman" w:cs="Times New Roman"/>
                <w:color w:val="000000"/>
                <w:kern w:val="0"/>
                <w:sz w:val="19"/>
                <w:szCs w:val="19"/>
                <w:lang w:eastAsia="en-IN"/>
                <w14:ligatures w14:val="none"/>
              </w:rPr>
              <w:t>3,595.76</w:t>
            </w:r>
          </w:p>
        </w:tc>
        <w:tc>
          <w:tcPr>
            <w:tcW w:w="1084" w:type="dxa"/>
            <w:tcBorders>
              <w:top w:val="nil"/>
              <w:left w:val="nil"/>
              <w:bottom w:val="single" w:sz="4" w:space="0" w:color="auto"/>
              <w:right w:val="single" w:sz="4" w:space="0" w:color="auto"/>
            </w:tcBorders>
            <w:noWrap/>
            <w:vAlign w:val="center"/>
            <w:hideMark/>
          </w:tcPr>
          <w:p w14:paraId="4240E2BE" w14:textId="77777777" w:rsidR="007B1BAC" w:rsidRPr="00801A36" w:rsidRDefault="007B1BAC" w:rsidP="00801A36">
            <w:pPr>
              <w:spacing w:after="0" w:line="240" w:lineRule="auto"/>
              <w:jc w:val="center"/>
              <w:rPr>
                <w:rFonts w:ascii="Times New Roman" w:eastAsia="Times New Roman" w:hAnsi="Times New Roman" w:cs="Times New Roman"/>
                <w:color w:val="000000"/>
                <w:kern w:val="0"/>
                <w:sz w:val="19"/>
                <w:szCs w:val="19"/>
                <w:lang w:eastAsia="en-IN"/>
                <w14:ligatures w14:val="none"/>
              </w:rPr>
            </w:pPr>
            <w:r w:rsidRPr="00801A36">
              <w:rPr>
                <w:rFonts w:ascii="Times New Roman" w:eastAsia="Times New Roman" w:hAnsi="Times New Roman" w:cs="Times New Roman"/>
                <w:color w:val="000000"/>
                <w:kern w:val="0"/>
                <w:sz w:val="19"/>
                <w:szCs w:val="19"/>
                <w:lang w:eastAsia="en-IN"/>
                <w14:ligatures w14:val="none"/>
              </w:rPr>
              <w:t>867.17</w:t>
            </w:r>
          </w:p>
        </w:tc>
        <w:tc>
          <w:tcPr>
            <w:tcW w:w="1070" w:type="dxa"/>
            <w:tcBorders>
              <w:top w:val="nil"/>
              <w:left w:val="nil"/>
              <w:bottom w:val="single" w:sz="4" w:space="0" w:color="auto"/>
              <w:right w:val="single" w:sz="4" w:space="0" w:color="auto"/>
            </w:tcBorders>
            <w:noWrap/>
            <w:vAlign w:val="center"/>
            <w:hideMark/>
          </w:tcPr>
          <w:p w14:paraId="4E477029" w14:textId="77777777" w:rsidR="007B1BAC" w:rsidRPr="00801A36" w:rsidRDefault="007B1BAC" w:rsidP="00801A36">
            <w:pPr>
              <w:spacing w:after="0" w:line="240" w:lineRule="auto"/>
              <w:jc w:val="center"/>
              <w:rPr>
                <w:rFonts w:ascii="Times New Roman" w:eastAsia="Times New Roman" w:hAnsi="Times New Roman" w:cs="Times New Roman"/>
                <w:color w:val="000000"/>
                <w:kern w:val="0"/>
                <w:sz w:val="19"/>
                <w:szCs w:val="19"/>
                <w:lang w:eastAsia="en-IN"/>
                <w14:ligatures w14:val="none"/>
              </w:rPr>
            </w:pPr>
            <w:r w:rsidRPr="00801A36">
              <w:rPr>
                <w:rFonts w:ascii="Times New Roman" w:eastAsia="Times New Roman" w:hAnsi="Times New Roman" w:cs="Times New Roman"/>
                <w:color w:val="000000"/>
                <w:kern w:val="0"/>
                <w:sz w:val="19"/>
                <w:szCs w:val="19"/>
                <w:lang w:eastAsia="en-IN"/>
                <w14:ligatures w14:val="none"/>
              </w:rPr>
              <w:t>2,726.10</w:t>
            </w:r>
          </w:p>
        </w:tc>
        <w:tc>
          <w:tcPr>
            <w:tcW w:w="1196" w:type="dxa"/>
            <w:tcBorders>
              <w:top w:val="nil"/>
              <w:left w:val="nil"/>
              <w:bottom w:val="single" w:sz="4" w:space="0" w:color="auto"/>
              <w:right w:val="single" w:sz="4" w:space="0" w:color="auto"/>
            </w:tcBorders>
            <w:noWrap/>
            <w:vAlign w:val="center"/>
            <w:hideMark/>
          </w:tcPr>
          <w:p w14:paraId="25A6A645" w14:textId="77777777" w:rsidR="007B1BAC" w:rsidRPr="00801A36" w:rsidRDefault="007B1BAC" w:rsidP="00801A36">
            <w:pPr>
              <w:spacing w:after="0" w:line="240" w:lineRule="auto"/>
              <w:jc w:val="center"/>
              <w:rPr>
                <w:rFonts w:ascii="Times New Roman" w:eastAsia="Times New Roman" w:hAnsi="Times New Roman" w:cs="Times New Roman"/>
                <w:color w:val="000000"/>
                <w:kern w:val="0"/>
                <w:sz w:val="19"/>
                <w:szCs w:val="19"/>
                <w:lang w:eastAsia="en-IN"/>
                <w14:ligatures w14:val="none"/>
              </w:rPr>
            </w:pPr>
            <w:r w:rsidRPr="00801A36">
              <w:rPr>
                <w:rFonts w:ascii="Times New Roman" w:eastAsia="Times New Roman" w:hAnsi="Times New Roman" w:cs="Times New Roman"/>
                <w:color w:val="000000"/>
                <w:kern w:val="0"/>
                <w:sz w:val="19"/>
                <w:szCs w:val="19"/>
                <w:lang w:eastAsia="en-IN"/>
                <w14:ligatures w14:val="none"/>
              </w:rPr>
              <w:t>..</w:t>
            </w:r>
          </w:p>
        </w:tc>
        <w:tc>
          <w:tcPr>
            <w:tcW w:w="986" w:type="dxa"/>
            <w:tcBorders>
              <w:top w:val="nil"/>
              <w:left w:val="nil"/>
              <w:bottom w:val="single" w:sz="4" w:space="0" w:color="auto"/>
              <w:right w:val="single" w:sz="4" w:space="0" w:color="auto"/>
            </w:tcBorders>
            <w:noWrap/>
            <w:vAlign w:val="center"/>
            <w:hideMark/>
          </w:tcPr>
          <w:p w14:paraId="05456296" w14:textId="77777777" w:rsidR="007B1BAC" w:rsidRPr="00801A36" w:rsidRDefault="007B1BAC" w:rsidP="00801A36">
            <w:pPr>
              <w:spacing w:after="0" w:line="240" w:lineRule="auto"/>
              <w:jc w:val="center"/>
              <w:rPr>
                <w:rFonts w:ascii="Times New Roman" w:eastAsia="Times New Roman" w:hAnsi="Times New Roman" w:cs="Times New Roman"/>
                <w:color w:val="000000"/>
                <w:kern w:val="0"/>
                <w:sz w:val="19"/>
                <w:szCs w:val="19"/>
                <w:lang w:eastAsia="en-IN"/>
                <w14:ligatures w14:val="none"/>
              </w:rPr>
            </w:pPr>
            <w:r w:rsidRPr="00801A36">
              <w:rPr>
                <w:rFonts w:ascii="Times New Roman" w:eastAsia="Times New Roman" w:hAnsi="Times New Roman" w:cs="Times New Roman"/>
                <w:color w:val="000000"/>
                <w:kern w:val="0"/>
                <w:sz w:val="19"/>
                <w:szCs w:val="19"/>
                <w:lang w:eastAsia="en-IN"/>
                <w14:ligatures w14:val="none"/>
              </w:rPr>
              <w:t>3,593.27</w:t>
            </w:r>
          </w:p>
        </w:tc>
        <w:tc>
          <w:tcPr>
            <w:tcW w:w="1084" w:type="dxa"/>
            <w:tcBorders>
              <w:top w:val="nil"/>
              <w:left w:val="nil"/>
              <w:bottom w:val="single" w:sz="4" w:space="0" w:color="auto"/>
              <w:right w:val="single" w:sz="4" w:space="0" w:color="auto"/>
            </w:tcBorders>
            <w:noWrap/>
            <w:vAlign w:val="center"/>
            <w:hideMark/>
          </w:tcPr>
          <w:p w14:paraId="51E3CCD6" w14:textId="77777777" w:rsidR="007B1BAC" w:rsidRPr="00801A36" w:rsidRDefault="007B1BAC" w:rsidP="00801A36">
            <w:pPr>
              <w:spacing w:after="0" w:line="240" w:lineRule="auto"/>
              <w:jc w:val="center"/>
              <w:rPr>
                <w:rFonts w:ascii="Times New Roman" w:eastAsia="Times New Roman" w:hAnsi="Times New Roman" w:cs="Times New Roman"/>
                <w:color w:val="000000"/>
                <w:kern w:val="0"/>
                <w:sz w:val="19"/>
                <w:szCs w:val="19"/>
                <w:lang w:eastAsia="en-IN"/>
                <w14:ligatures w14:val="none"/>
              </w:rPr>
            </w:pPr>
            <w:r w:rsidRPr="00801A36">
              <w:rPr>
                <w:rFonts w:ascii="Times New Roman" w:eastAsia="Times New Roman" w:hAnsi="Times New Roman" w:cs="Times New Roman"/>
                <w:color w:val="000000"/>
                <w:kern w:val="0"/>
                <w:sz w:val="19"/>
                <w:szCs w:val="19"/>
                <w:lang w:eastAsia="en-IN"/>
                <w14:ligatures w14:val="none"/>
              </w:rPr>
              <w:t>863.49</w:t>
            </w:r>
          </w:p>
        </w:tc>
        <w:tc>
          <w:tcPr>
            <w:tcW w:w="1070" w:type="dxa"/>
            <w:tcBorders>
              <w:top w:val="nil"/>
              <w:left w:val="nil"/>
              <w:bottom w:val="single" w:sz="4" w:space="0" w:color="auto"/>
              <w:right w:val="single" w:sz="4" w:space="0" w:color="auto"/>
            </w:tcBorders>
            <w:noWrap/>
            <w:vAlign w:val="center"/>
            <w:hideMark/>
          </w:tcPr>
          <w:p w14:paraId="2B361E5C" w14:textId="77777777" w:rsidR="007B1BAC" w:rsidRPr="00801A36" w:rsidRDefault="007B1BAC" w:rsidP="00801A36">
            <w:pPr>
              <w:spacing w:after="0" w:line="240" w:lineRule="auto"/>
              <w:jc w:val="center"/>
              <w:rPr>
                <w:rFonts w:ascii="Times New Roman" w:eastAsia="Times New Roman" w:hAnsi="Times New Roman" w:cs="Times New Roman"/>
                <w:color w:val="000000"/>
                <w:kern w:val="0"/>
                <w:sz w:val="19"/>
                <w:szCs w:val="19"/>
                <w:lang w:eastAsia="en-IN"/>
                <w14:ligatures w14:val="none"/>
              </w:rPr>
            </w:pPr>
            <w:r w:rsidRPr="00801A36">
              <w:rPr>
                <w:rFonts w:ascii="Times New Roman" w:eastAsia="Times New Roman" w:hAnsi="Times New Roman" w:cs="Times New Roman"/>
                <w:color w:val="000000"/>
                <w:kern w:val="0"/>
                <w:sz w:val="19"/>
                <w:szCs w:val="19"/>
                <w:lang w:eastAsia="en-IN"/>
                <w14:ligatures w14:val="none"/>
              </w:rPr>
              <w:t>2,722.07</w:t>
            </w:r>
          </w:p>
        </w:tc>
        <w:tc>
          <w:tcPr>
            <w:tcW w:w="1196" w:type="dxa"/>
            <w:tcBorders>
              <w:top w:val="nil"/>
              <w:left w:val="nil"/>
              <w:bottom w:val="single" w:sz="4" w:space="0" w:color="auto"/>
              <w:right w:val="single" w:sz="4" w:space="0" w:color="auto"/>
            </w:tcBorders>
            <w:noWrap/>
            <w:vAlign w:val="center"/>
            <w:hideMark/>
          </w:tcPr>
          <w:p w14:paraId="5637897C" w14:textId="77777777" w:rsidR="007B1BAC" w:rsidRPr="00801A36" w:rsidRDefault="007B1BAC" w:rsidP="00801A36">
            <w:pPr>
              <w:spacing w:after="0" w:line="240" w:lineRule="auto"/>
              <w:jc w:val="center"/>
              <w:rPr>
                <w:rFonts w:ascii="Times New Roman" w:eastAsia="Times New Roman" w:hAnsi="Times New Roman" w:cs="Times New Roman"/>
                <w:color w:val="000000"/>
                <w:kern w:val="0"/>
                <w:sz w:val="19"/>
                <w:szCs w:val="19"/>
                <w:lang w:eastAsia="en-IN"/>
                <w14:ligatures w14:val="none"/>
              </w:rPr>
            </w:pPr>
            <w:r w:rsidRPr="00801A36">
              <w:rPr>
                <w:rFonts w:ascii="Times New Roman" w:eastAsia="Times New Roman" w:hAnsi="Times New Roman" w:cs="Times New Roman"/>
                <w:color w:val="000000"/>
                <w:kern w:val="0"/>
                <w:sz w:val="19"/>
                <w:szCs w:val="19"/>
                <w:lang w:eastAsia="en-IN"/>
                <w14:ligatures w14:val="none"/>
              </w:rPr>
              <w:t>..</w:t>
            </w:r>
          </w:p>
        </w:tc>
        <w:tc>
          <w:tcPr>
            <w:tcW w:w="986" w:type="dxa"/>
            <w:tcBorders>
              <w:top w:val="nil"/>
              <w:left w:val="nil"/>
              <w:bottom w:val="single" w:sz="4" w:space="0" w:color="auto"/>
              <w:right w:val="single" w:sz="4" w:space="0" w:color="auto"/>
            </w:tcBorders>
            <w:noWrap/>
            <w:vAlign w:val="center"/>
            <w:hideMark/>
          </w:tcPr>
          <w:p w14:paraId="2BA240A0" w14:textId="77777777" w:rsidR="007B1BAC" w:rsidRPr="00801A36" w:rsidRDefault="007B1BAC" w:rsidP="00801A36">
            <w:pPr>
              <w:spacing w:after="0" w:line="240" w:lineRule="auto"/>
              <w:jc w:val="center"/>
              <w:rPr>
                <w:rFonts w:ascii="Times New Roman" w:eastAsia="Times New Roman" w:hAnsi="Times New Roman" w:cs="Times New Roman"/>
                <w:color w:val="000000"/>
                <w:kern w:val="0"/>
                <w:sz w:val="19"/>
                <w:szCs w:val="19"/>
                <w:lang w:eastAsia="en-IN"/>
                <w14:ligatures w14:val="none"/>
              </w:rPr>
            </w:pPr>
            <w:r w:rsidRPr="00801A36">
              <w:rPr>
                <w:rFonts w:ascii="Times New Roman" w:eastAsia="Times New Roman" w:hAnsi="Times New Roman" w:cs="Times New Roman"/>
                <w:color w:val="000000"/>
                <w:kern w:val="0"/>
                <w:sz w:val="19"/>
                <w:szCs w:val="19"/>
                <w:lang w:eastAsia="en-IN"/>
                <w14:ligatures w14:val="none"/>
              </w:rPr>
              <w:t>3,585.56</w:t>
            </w:r>
          </w:p>
        </w:tc>
      </w:tr>
      <w:tr w:rsidR="007B1BAC" w:rsidRPr="00801A36" w14:paraId="28B50059" w14:textId="77777777" w:rsidTr="00801A36">
        <w:trPr>
          <w:trHeight w:val="20"/>
          <w:jc w:val="center"/>
        </w:trPr>
        <w:tc>
          <w:tcPr>
            <w:tcW w:w="618" w:type="dxa"/>
            <w:tcBorders>
              <w:top w:val="nil"/>
              <w:left w:val="single" w:sz="4" w:space="0" w:color="auto"/>
              <w:bottom w:val="single" w:sz="4" w:space="0" w:color="auto"/>
              <w:right w:val="single" w:sz="4" w:space="0" w:color="auto"/>
            </w:tcBorders>
            <w:noWrap/>
            <w:vAlign w:val="bottom"/>
            <w:hideMark/>
          </w:tcPr>
          <w:p w14:paraId="389D3285" w14:textId="77777777" w:rsidR="007B1BAC" w:rsidRPr="00801A36" w:rsidRDefault="007B1BAC" w:rsidP="007B1BAC">
            <w:pPr>
              <w:spacing w:after="0" w:line="240" w:lineRule="auto"/>
              <w:jc w:val="right"/>
              <w:rPr>
                <w:rFonts w:ascii="Times New Roman" w:eastAsia="Times New Roman" w:hAnsi="Times New Roman" w:cs="Times New Roman"/>
                <w:color w:val="000000"/>
                <w:kern w:val="0"/>
                <w:sz w:val="19"/>
                <w:szCs w:val="19"/>
                <w:lang w:eastAsia="en-IN"/>
                <w14:ligatures w14:val="none"/>
              </w:rPr>
            </w:pPr>
            <w:r w:rsidRPr="00801A36">
              <w:rPr>
                <w:rFonts w:ascii="Times New Roman" w:eastAsia="Times New Roman" w:hAnsi="Times New Roman" w:cs="Times New Roman"/>
                <w:color w:val="000000"/>
                <w:kern w:val="0"/>
                <w:sz w:val="19"/>
                <w:szCs w:val="19"/>
                <w:lang w:eastAsia="en-IN"/>
                <w14:ligatures w14:val="none"/>
              </w:rPr>
              <w:lastRenderedPageBreak/>
              <w:t>10</w:t>
            </w:r>
          </w:p>
        </w:tc>
        <w:tc>
          <w:tcPr>
            <w:tcW w:w="1680" w:type="dxa"/>
            <w:tcBorders>
              <w:top w:val="nil"/>
              <w:left w:val="nil"/>
              <w:bottom w:val="single" w:sz="4" w:space="0" w:color="auto"/>
              <w:right w:val="single" w:sz="4" w:space="0" w:color="auto"/>
            </w:tcBorders>
            <w:noWrap/>
            <w:vAlign w:val="bottom"/>
            <w:hideMark/>
          </w:tcPr>
          <w:p w14:paraId="01A7D982" w14:textId="77777777" w:rsidR="007B1BAC" w:rsidRPr="00801A36" w:rsidRDefault="007B1BAC" w:rsidP="007B1BAC">
            <w:pPr>
              <w:spacing w:after="0" w:line="240" w:lineRule="auto"/>
              <w:rPr>
                <w:rFonts w:ascii="Times New Roman" w:eastAsia="Times New Roman" w:hAnsi="Times New Roman" w:cs="Times New Roman"/>
                <w:color w:val="000000"/>
                <w:kern w:val="0"/>
                <w:sz w:val="19"/>
                <w:szCs w:val="19"/>
                <w:lang w:eastAsia="en-IN"/>
                <w14:ligatures w14:val="none"/>
              </w:rPr>
            </w:pPr>
            <w:r w:rsidRPr="00801A36">
              <w:rPr>
                <w:rFonts w:ascii="Times New Roman" w:eastAsia="Times New Roman" w:hAnsi="Times New Roman" w:cs="Times New Roman"/>
                <w:color w:val="000000"/>
                <w:kern w:val="0"/>
                <w:sz w:val="19"/>
                <w:szCs w:val="19"/>
                <w:lang w:eastAsia="en-IN"/>
                <w14:ligatures w14:val="none"/>
              </w:rPr>
              <w:t>Maharashtra</w:t>
            </w:r>
          </w:p>
        </w:tc>
        <w:tc>
          <w:tcPr>
            <w:tcW w:w="1084" w:type="dxa"/>
            <w:tcBorders>
              <w:top w:val="nil"/>
              <w:left w:val="nil"/>
              <w:bottom w:val="single" w:sz="4" w:space="0" w:color="auto"/>
              <w:right w:val="single" w:sz="4" w:space="0" w:color="auto"/>
            </w:tcBorders>
            <w:noWrap/>
            <w:vAlign w:val="center"/>
            <w:hideMark/>
          </w:tcPr>
          <w:p w14:paraId="1F5004C1" w14:textId="3F16C1A1" w:rsidR="007B1BAC" w:rsidRPr="00801A36" w:rsidRDefault="007B1BAC" w:rsidP="00801A36">
            <w:pPr>
              <w:spacing w:after="0" w:line="240" w:lineRule="auto"/>
              <w:jc w:val="center"/>
              <w:rPr>
                <w:rFonts w:ascii="Times New Roman" w:eastAsia="Times New Roman" w:hAnsi="Times New Roman" w:cs="Times New Roman"/>
                <w:color w:val="000000"/>
                <w:kern w:val="0"/>
                <w:sz w:val="19"/>
                <w:szCs w:val="19"/>
                <w:lang w:eastAsia="en-IN"/>
                <w14:ligatures w14:val="none"/>
              </w:rPr>
            </w:pPr>
          </w:p>
        </w:tc>
        <w:tc>
          <w:tcPr>
            <w:tcW w:w="1070" w:type="dxa"/>
            <w:tcBorders>
              <w:top w:val="nil"/>
              <w:left w:val="nil"/>
              <w:bottom w:val="single" w:sz="4" w:space="0" w:color="auto"/>
              <w:right w:val="single" w:sz="4" w:space="0" w:color="auto"/>
            </w:tcBorders>
            <w:noWrap/>
            <w:vAlign w:val="center"/>
            <w:hideMark/>
          </w:tcPr>
          <w:p w14:paraId="5BD32040" w14:textId="670F153A" w:rsidR="007B1BAC" w:rsidRPr="00801A36" w:rsidRDefault="007B1BAC" w:rsidP="00801A36">
            <w:pPr>
              <w:spacing w:after="0" w:line="240" w:lineRule="auto"/>
              <w:jc w:val="center"/>
              <w:rPr>
                <w:rFonts w:ascii="Times New Roman" w:eastAsia="Times New Roman" w:hAnsi="Times New Roman" w:cs="Times New Roman"/>
                <w:color w:val="000000"/>
                <w:kern w:val="0"/>
                <w:sz w:val="19"/>
                <w:szCs w:val="19"/>
                <w:lang w:eastAsia="en-IN"/>
                <w14:ligatures w14:val="none"/>
              </w:rPr>
            </w:pPr>
          </w:p>
        </w:tc>
        <w:tc>
          <w:tcPr>
            <w:tcW w:w="1196" w:type="dxa"/>
            <w:tcBorders>
              <w:top w:val="nil"/>
              <w:left w:val="nil"/>
              <w:bottom w:val="single" w:sz="4" w:space="0" w:color="auto"/>
              <w:right w:val="single" w:sz="4" w:space="0" w:color="auto"/>
            </w:tcBorders>
            <w:noWrap/>
            <w:vAlign w:val="center"/>
            <w:hideMark/>
          </w:tcPr>
          <w:p w14:paraId="4D892F2C" w14:textId="48AE46CF" w:rsidR="007B1BAC" w:rsidRPr="00801A36" w:rsidRDefault="007B1BAC" w:rsidP="00801A36">
            <w:pPr>
              <w:spacing w:after="0" w:line="240" w:lineRule="auto"/>
              <w:jc w:val="center"/>
              <w:rPr>
                <w:rFonts w:ascii="Times New Roman" w:eastAsia="Times New Roman" w:hAnsi="Times New Roman" w:cs="Times New Roman"/>
                <w:color w:val="000000"/>
                <w:kern w:val="0"/>
                <w:sz w:val="19"/>
                <w:szCs w:val="19"/>
                <w:lang w:eastAsia="en-IN"/>
                <w14:ligatures w14:val="none"/>
              </w:rPr>
            </w:pPr>
          </w:p>
        </w:tc>
        <w:tc>
          <w:tcPr>
            <w:tcW w:w="986" w:type="dxa"/>
            <w:tcBorders>
              <w:top w:val="nil"/>
              <w:left w:val="nil"/>
              <w:bottom w:val="single" w:sz="4" w:space="0" w:color="auto"/>
              <w:right w:val="single" w:sz="4" w:space="0" w:color="auto"/>
            </w:tcBorders>
            <w:noWrap/>
            <w:vAlign w:val="center"/>
            <w:hideMark/>
          </w:tcPr>
          <w:p w14:paraId="22E38D24" w14:textId="60DF4CE3" w:rsidR="007B1BAC" w:rsidRPr="00801A36" w:rsidRDefault="007B1BAC" w:rsidP="00801A36">
            <w:pPr>
              <w:spacing w:after="0" w:line="240" w:lineRule="auto"/>
              <w:jc w:val="center"/>
              <w:rPr>
                <w:rFonts w:ascii="Times New Roman" w:eastAsia="Times New Roman" w:hAnsi="Times New Roman" w:cs="Times New Roman"/>
                <w:color w:val="000000"/>
                <w:kern w:val="0"/>
                <w:sz w:val="19"/>
                <w:szCs w:val="19"/>
                <w:lang w:eastAsia="en-IN"/>
                <w14:ligatures w14:val="none"/>
              </w:rPr>
            </w:pPr>
          </w:p>
        </w:tc>
        <w:tc>
          <w:tcPr>
            <w:tcW w:w="1084" w:type="dxa"/>
            <w:tcBorders>
              <w:top w:val="nil"/>
              <w:left w:val="nil"/>
              <w:bottom w:val="single" w:sz="4" w:space="0" w:color="auto"/>
              <w:right w:val="single" w:sz="4" w:space="0" w:color="auto"/>
            </w:tcBorders>
            <w:noWrap/>
            <w:vAlign w:val="center"/>
            <w:hideMark/>
          </w:tcPr>
          <w:p w14:paraId="0EAA75F9" w14:textId="71958A90" w:rsidR="007B1BAC" w:rsidRPr="00801A36" w:rsidRDefault="007B1BAC" w:rsidP="00801A36">
            <w:pPr>
              <w:spacing w:after="0" w:line="240" w:lineRule="auto"/>
              <w:jc w:val="center"/>
              <w:rPr>
                <w:rFonts w:ascii="Times New Roman" w:eastAsia="Times New Roman" w:hAnsi="Times New Roman" w:cs="Times New Roman"/>
                <w:color w:val="000000"/>
                <w:kern w:val="0"/>
                <w:sz w:val="19"/>
                <w:szCs w:val="19"/>
                <w:lang w:eastAsia="en-IN"/>
                <w14:ligatures w14:val="none"/>
              </w:rPr>
            </w:pPr>
          </w:p>
        </w:tc>
        <w:tc>
          <w:tcPr>
            <w:tcW w:w="1070" w:type="dxa"/>
            <w:tcBorders>
              <w:top w:val="nil"/>
              <w:left w:val="nil"/>
              <w:bottom w:val="single" w:sz="4" w:space="0" w:color="auto"/>
              <w:right w:val="single" w:sz="4" w:space="0" w:color="auto"/>
            </w:tcBorders>
            <w:noWrap/>
            <w:vAlign w:val="center"/>
            <w:hideMark/>
          </w:tcPr>
          <w:p w14:paraId="3C7C8768" w14:textId="10F197F3" w:rsidR="007B1BAC" w:rsidRPr="00801A36" w:rsidRDefault="007B1BAC" w:rsidP="00801A36">
            <w:pPr>
              <w:spacing w:after="0" w:line="240" w:lineRule="auto"/>
              <w:jc w:val="center"/>
              <w:rPr>
                <w:rFonts w:ascii="Times New Roman" w:eastAsia="Times New Roman" w:hAnsi="Times New Roman" w:cs="Times New Roman"/>
                <w:color w:val="000000"/>
                <w:kern w:val="0"/>
                <w:sz w:val="19"/>
                <w:szCs w:val="19"/>
                <w:lang w:eastAsia="en-IN"/>
                <w14:ligatures w14:val="none"/>
              </w:rPr>
            </w:pPr>
          </w:p>
        </w:tc>
        <w:tc>
          <w:tcPr>
            <w:tcW w:w="1196" w:type="dxa"/>
            <w:tcBorders>
              <w:top w:val="nil"/>
              <w:left w:val="nil"/>
              <w:bottom w:val="single" w:sz="4" w:space="0" w:color="auto"/>
              <w:right w:val="single" w:sz="4" w:space="0" w:color="auto"/>
            </w:tcBorders>
            <w:noWrap/>
            <w:vAlign w:val="center"/>
            <w:hideMark/>
          </w:tcPr>
          <w:p w14:paraId="1063723B" w14:textId="1F5EEC78" w:rsidR="007B1BAC" w:rsidRPr="00801A36" w:rsidRDefault="007B1BAC" w:rsidP="00801A36">
            <w:pPr>
              <w:spacing w:after="0" w:line="240" w:lineRule="auto"/>
              <w:jc w:val="center"/>
              <w:rPr>
                <w:rFonts w:ascii="Times New Roman" w:eastAsia="Times New Roman" w:hAnsi="Times New Roman" w:cs="Times New Roman"/>
                <w:color w:val="000000"/>
                <w:kern w:val="0"/>
                <w:sz w:val="19"/>
                <w:szCs w:val="19"/>
                <w:lang w:eastAsia="en-IN"/>
                <w14:ligatures w14:val="none"/>
              </w:rPr>
            </w:pPr>
          </w:p>
        </w:tc>
        <w:tc>
          <w:tcPr>
            <w:tcW w:w="986" w:type="dxa"/>
            <w:tcBorders>
              <w:top w:val="nil"/>
              <w:left w:val="nil"/>
              <w:bottom w:val="single" w:sz="4" w:space="0" w:color="auto"/>
              <w:right w:val="single" w:sz="4" w:space="0" w:color="auto"/>
            </w:tcBorders>
            <w:noWrap/>
            <w:vAlign w:val="center"/>
            <w:hideMark/>
          </w:tcPr>
          <w:p w14:paraId="522205EB" w14:textId="17A26AFF" w:rsidR="007B1BAC" w:rsidRPr="00801A36" w:rsidRDefault="007B1BAC" w:rsidP="00801A36">
            <w:pPr>
              <w:spacing w:after="0" w:line="240" w:lineRule="auto"/>
              <w:jc w:val="center"/>
              <w:rPr>
                <w:rFonts w:ascii="Times New Roman" w:eastAsia="Times New Roman" w:hAnsi="Times New Roman" w:cs="Times New Roman"/>
                <w:color w:val="000000"/>
                <w:kern w:val="0"/>
                <w:sz w:val="19"/>
                <w:szCs w:val="19"/>
                <w:lang w:eastAsia="en-IN"/>
                <w14:ligatures w14:val="none"/>
              </w:rPr>
            </w:pPr>
          </w:p>
        </w:tc>
        <w:tc>
          <w:tcPr>
            <w:tcW w:w="1084" w:type="dxa"/>
            <w:tcBorders>
              <w:top w:val="nil"/>
              <w:left w:val="nil"/>
              <w:bottom w:val="single" w:sz="4" w:space="0" w:color="auto"/>
              <w:right w:val="single" w:sz="4" w:space="0" w:color="auto"/>
            </w:tcBorders>
            <w:noWrap/>
            <w:vAlign w:val="center"/>
            <w:hideMark/>
          </w:tcPr>
          <w:p w14:paraId="7E49E2F5" w14:textId="4CEF8357" w:rsidR="007B1BAC" w:rsidRPr="00801A36" w:rsidRDefault="007B1BAC" w:rsidP="00801A36">
            <w:pPr>
              <w:spacing w:after="0" w:line="240" w:lineRule="auto"/>
              <w:jc w:val="center"/>
              <w:rPr>
                <w:rFonts w:ascii="Times New Roman" w:eastAsia="Times New Roman" w:hAnsi="Times New Roman" w:cs="Times New Roman"/>
                <w:color w:val="000000"/>
                <w:kern w:val="0"/>
                <w:sz w:val="19"/>
                <w:szCs w:val="19"/>
                <w:lang w:eastAsia="en-IN"/>
                <w14:ligatures w14:val="none"/>
              </w:rPr>
            </w:pPr>
          </w:p>
        </w:tc>
        <w:tc>
          <w:tcPr>
            <w:tcW w:w="1070" w:type="dxa"/>
            <w:tcBorders>
              <w:top w:val="nil"/>
              <w:left w:val="nil"/>
              <w:bottom w:val="single" w:sz="4" w:space="0" w:color="auto"/>
              <w:right w:val="single" w:sz="4" w:space="0" w:color="auto"/>
            </w:tcBorders>
            <w:noWrap/>
            <w:vAlign w:val="center"/>
            <w:hideMark/>
          </w:tcPr>
          <w:p w14:paraId="7394C1FE" w14:textId="1B8E7E1E" w:rsidR="007B1BAC" w:rsidRPr="00801A36" w:rsidRDefault="007B1BAC" w:rsidP="00801A36">
            <w:pPr>
              <w:spacing w:after="0" w:line="240" w:lineRule="auto"/>
              <w:jc w:val="center"/>
              <w:rPr>
                <w:rFonts w:ascii="Times New Roman" w:eastAsia="Times New Roman" w:hAnsi="Times New Roman" w:cs="Times New Roman"/>
                <w:color w:val="000000"/>
                <w:kern w:val="0"/>
                <w:sz w:val="19"/>
                <w:szCs w:val="19"/>
                <w:lang w:eastAsia="en-IN"/>
                <w14:ligatures w14:val="none"/>
              </w:rPr>
            </w:pPr>
          </w:p>
        </w:tc>
        <w:tc>
          <w:tcPr>
            <w:tcW w:w="1196" w:type="dxa"/>
            <w:tcBorders>
              <w:top w:val="nil"/>
              <w:left w:val="nil"/>
              <w:bottom w:val="single" w:sz="4" w:space="0" w:color="auto"/>
              <w:right w:val="single" w:sz="4" w:space="0" w:color="auto"/>
            </w:tcBorders>
            <w:noWrap/>
            <w:vAlign w:val="center"/>
            <w:hideMark/>
          </w:tcPr>
          <w:p w14:paraId="2CE32A2E" w14:textId="448912C0" w:rsidR="007B1BAC" w:rsidRPr="00801A36" w:rsidRDefault="007B1BAC" w:rsidP="00801A36">
            <w:pPr>
              <w:spacing w:after="0" w:line="240" w:lineRule="auto"/>
              <w:jc w:val="center"/>
              <w:rPr>
                <w:rFonts w:ascii="Times New Roman" w:eastAsia="Times New Roman" w:hAnsi="Times New Roman" w:cs="Times New Roman"/>
                <w:color w:val="000000"/>
                <w:kern w:val="0"/>
                <w:sz w:val="19"/>
                <w:szCs w:val="19"/>
                <w:lang w:eastAsia="en-IN"/>
                <w14:ligatures w14:val="none"/>
              </w:rPr>
            </w:pPr>
          </w:p>
        </w:tc>
        <w:tc>
          <w:tcPr>
            <w:tcW w:w="986" w:type="dxa"/>
            <w:tcBorders>
              <w:top w:val="nil"/>
              <w:left w:val="nil"/>
              <w:bottom w:val="single" w:sz="4" w:space="0" w:color="auto"/>
              <w:right w:val="single" w:sz="4" w:space="0" w:color="auto"/>
            </w:tcBorders>
            <w:noWrap/>
            <w:vAlign w:val="center"/>
            <w:hideMark/>
          </w:tcPr>
          <w:p w14:paraId="21D5F8C2" w14:textId="59A11F06" w:rsidR="007B1BAC" w:rsidRPr="00801A36" w:rsidRDefault="007B1BAC" w:rsidP="00801A36">
            <w:pPr>
              <w:spacing w:after="0" w:line="240" w:lineRule="auto"/>
              <w:jc w:val="center"/>
              <w:rPr>
                <w:rFonts w:ascii="Times New Roman" w:eastAsia="Times New Roman" w:hAnsi="Times New Roman" w:cs="Times New Roman"/>
                <w:color w:val="000000"/>
                <w:kern w:val="0"/>
                <w:sz w:val="19"/>
                <w:szCs w:val="19"/>
                <w:lang w:eastAsia="en-IN"/>
                <w14:ligatures w14:val="none"/>
              </w:rPr>
            </w:pPr>
          </w:p>
        </w:tc>
      </w:tr>
      <w:tr w:rsidR="007B1BAC" w:rsidRPr="00801A36" w14:paraId="56212153" w14:textId="77777777" w:rsidTr="00801A36">
        <w:trPr>
          <w:trHeight w:val="20"/>
          <w:jc w:val="center"/>
        </w:trPr>
        <w:tc>
          <w:tcPr>
            <w:tcW w:w="618" w:type="dxa"/>
            <w:tcBorders>
              <w:top w:val="nil"/>
              <w:left w:val="single" w:sz="4" w:space="0" w:color="auto"/>
              <w:bottom w:val="single" w:sz="4" w:space="0" w:color="auto"/>
              <w:right w:val="single" w:sz="4" w:space="0" w:color="auto"/>
            </w:tcBorders>
            <w:noWrap/>
            <w:vAlign w:val="bottom"/>
            <w:hideMark/>
          </w:tcPr>
          <w:p w14:paraId="42DB0FF4" w14:textId="77777777" w:rsidR="007B1BAC" w:rsidRPr="00801A36" w:rsidRDefault="007B1BAC" w:rsidP="007B1BAC">
            <w:pPr>
              <w:spacing w:after="0" w:line="240" w:lineRule="auto"/>
              <w:rPr>
                <w:rFonts w:ascii="Times New Roman" w:eastAsia="Times New Roman" w:hAnsi="Times New Roman" w:cs="Times New Roman"/>
                <w:color w:val="000000"/>
                <w:kern w:val="0"/>
                <w:sz w:val="19"/>
                <w:szCs w:val="19"/>
                <w:lang w:eastAsia="en-IN"/>
                <w14:ligatures w14:val="none"/>
              </w:rPr>
            </w:pPr>
            <w:r w:rsidRPr="00801A36">
              <w:rPr>
                <w:rFonts w:ascii="Times New Roman" w:eastAsia="Times New Roman" w:hAnsi="Times New Roman" w:cs="Times New Roman"/>
                <w:color w:val="000000"/>
                <w:kern w:val="0"/>
                <w:sz w:val="19"/>
                <w:szCs w:val="19"/>
                <w:lang w:eastAsia="en-IN"/>
                <w14:ligatures w14:val="none"/>
              </w:rPr>
              <w:t> </w:t>
            </w:r>
          </w:p>
        </w:tc>
        <w:tc>
          <w:tcPr>
            <w:tcW w:w="1680" w:type="dxa"/>
            <w:tcBorders>
              <w:top w:val="nil"/>
              <w:left w:val="nil"/>
              <w:bottom w:val="single" w:sz="4" w:space="0" w:color="auto"/>
              <w:right w:val="single" w:sz="4" w:space="0" w:color="auto"/>
            </w:tcBorders>
            <w:noWrap/>
            <w:vAlign w:val="bottom"/>
            <w:hideMark/>
          </w:tcPr>
          <w:p w14:paraId="68FFD144" w14:textId="77777777" w:rsidR="007B1BAC" w:rsidRPr="00801A36" w:rsidRDefault="007B1BAC" w:rsidP="007B1BAC">
            <w:pPr>
              <w:spacing w:after="0" w:line="240" w:lineRule="auto"/>
              <w:rPr>
                <w:rFonts w:ascii="Times New Roman" w:eastAsia="Times New Roman" w:hAnsi="Times New Roman" w:cs="Times New Roman"/>
                <w:color w:val="000000"/>
                <w:kern w:val="0"/>
                <w:sz w:val="19"/>
                <w:szCs w:val="19"/>
                <w:lang w:eastAsia="en-IN"/>
                <w14:ligatures w14:val="none"/>
              </w:rPr>
            </w:pPr>
            <w:r w:rsidRPr="00801A36">
              <w:rPr>
                <w:rFonts w:ascii="Times New Roman" w:eastAsia="Times New Roman" w:hAnsi="Times New Roman" w:cs="Times New Roman"/>
                <w:color w:val="000000"/>
                <w:kern w:val="0"/>
                <w:sz w:val="19"/>
                <w:szCs w:val="19"/>
                <w:lang w:eastAsia="en-IN"/>
                <w14:ligatures w14:val="none"/>
              </w:rPr>
              <w:t>Central</w:t>
            </w:r>
          </w:p>
        </w:tc>
        <w:tc>
          <w:tcPr>
            <w:tcW w:w="1084" w:type="dxa"/>
            <w:tcBorders>
              <w:top w:val="nil"/>
              <w:left w:val="nil"/>
              <w:bottom w:val="single" w:sz="4" w:space="0" w:color="auto"/>
              <w:right w:val="single" w:sz="4" w:space="0" w:color="auto"/>
            </w:tcBorders>
            <w:noWrap/>
            <w:vAlign w:val="center"/>
            <w:hideMark/>
          </w:tcPr>
          <w:p w14:paraId="390BFE70" w14:textId="77777777" w:rsidR="007B1BAC" w:rsidRPr="00801A36" w:rsidRDefault="007B1BAC" w:rsidP="00801A36">
            <w:pPr>
              <w:spacing w:after="0" w:line="240" w:lineRule="auto"/>
              <w:jc w:val="center"/>
              <w:rPr>
                <w:rFonts w:ascii="Times New Roman" w:eastAsia="Times New Roman" w:hAnsi="Times New Roman" w:cs="Times New Roman"/>
                <w:color w:val="000000"/>
                <w:kern w:val="0"/>
                <w:sz w:val="19"/>
                <w:szCs w:val="19"/>
                <w:lang w:eastAsia="en-IN"/>
                <w14:ligatures w14:val="none"/>
              </w:rPr>
            </w:pPr>
            <w:r w:rsidRPr="00801A36">
              <w:rPr>
                <w:rFonts w:ascii="Times New Roman" w:eastAsia="Times New Roman" w:hAnsi="Times New Roman" w:cs="Times New Roman"/>
                <w:color w:val="000000"/>
                <w:kern w:val="0"/>
                <w:sz w:val="19"/>
                <w:szCs w:val="19"/>
                <w:lang w:eastAsia="en-IN"/>
                <w14:ligatures w14:val="none"/>
              </w:rPr>
              <w:t>2,116.14</w:t>
            </w:r>
          </w:p>
        </w:tc>
        <w:tc>
          <w:tcPr>
            <w:tcW w:w="1070" w:type="dxa"/>
            <w:tcBorders>
              <w:top w:val="nil"/>
              <w:left w:val="nil"/>
              <w:bottom w:val="single" w:sz="4" w:space="0" w:color="auto"/>
              <w:right w:val="single" w:sz="4" w:space="0" w:color="auto"/>
            </w:tcBorders>
            <w:noWrap/>
            <w:vAlign w:val="center"/>
            <w:hideMark/>
          </w:tcPr>
          <w:p w14:paraId="1C2CD546" w14:textId="77777777" w:rsidR="007B1BAC" w:rsidRPr="00801A36" w:rsidRDefault="007B1BAC" w:rsidP="00801A36">
            <w:pPr>
              <w:spacing w:after="0" w:line="240" w:lineRule="auto"/>
              <w:jc w:val="center"/>
              <w:rPr>
                <w:rFonts w:ascii="Times New Roman" w:eastAsia="Times New Roman" w:hAnsi="Times New Roman" w:cs="Times New Roman"/>
                <w:color w:val="000000"/>
                <w:kern w:val="0"/>
                <w:sz w:val="19"/>
                <w:szCs w:val="19"/>
                <w:lang w:eastAsia="en-IN"/>
                <w14:ligatures w14:val="none"/>
              </w:rPr>
            </w:pPr>
            <w:r w:rsidRPr="00801A36">
              <w:rPr>
                <w:rFonts w:ascii="Times New Roman" w:eastAsia="Times New Roman" w:hAnsi="Times New Roman" w:cs="Times New Roman"/>
                <w:color w:val="000000"/>
                <w:kern w:val="0"/>
                <w:sz w:val="19"/>
                <w:szCs w:val="19"/>
                <w:lang w:eastAsia="en-IN"/>
                <w14:ligatures w14:val="none"/>
              </w:rPr>
              <w:t>935.75</w:t>
            </w:r>
          </w:p>
        </w:tc>
        <w:tc>
          <w:tcPr>
            <w:tcW w:w="1196" w:type="dxa"/>
            <w:tcBorders>
              <w:top w:val="nil"/>
              <w:left w:val="nil"/>
              <w:bottom w:val="single" w:sz="4" w:space="0" w:color="auto"/>
              <w:right w:val="single" w:sz="4" w:space="0" w:color="auto"/>
            </w:tcBorders>
            <w:noWrap/>
            <w:vAlign w:val="center"/>
            <w:hideMark/>
          </w:tcPr>
          <w:p w14:paraId="7EFE95F3" w14:textId="77777777" w:rsidR="007B1BAC" w:rsidRPr="00801A36" w:rsidRDefault="007B1BAC" w:rsidP="00801A36">
            <w:pPr>
              <w:spacing w:after="0" w:line="240" w:lineRule="auto"/>
              <w:jc w:val="center"/>
              <w:rPr>
                <w:rFonts w:ascii="Times New Roman" w:eastAsia="Times New Roman" w:hAnsi="Times New Roman" w:cs="Times New Roman"/>
                <w:color w:val="000000"/>
                <w:kern w:val="0"/>
                <w:sz w:val="19"/>
                <w:szCs w:val="19"/>
                <w:lang w:eastAsia="en-IN"/>
                <w14:ligatures w14:val="none"/>
              </w:rPr>
            </w:pPr>
            <w:r w:rsidRPr="00801A36">
              <w:rPr>
                <w:rFonts w:ascii="Times New Roman" w:eastAsia="Times New Roman" w:hAnsi="Times New Roman" w:cs="Times New Roman"/>
                <w:color w:val="000000"/>
                <w:kern w:val="0"/>
                <w:sz w:val="19"/>
                <w:szCs w:val="19"/>
                <w:lang w:eastAsia="en-IN"/>
                <w14:ligatures w14:val="none"/>
              </w:rPr>
              <w:t>670.92</w:t>
            </w:r>
          </w:p>
        </w:tc>
        <w:tc>
          <w:tcPr>
            <w:tcW w:w="986" w:type="dxa"/>
            <w:tcBorders>
              <w:top w:val="nil"/>
              <w:left w:val="nil"/>
              <w:bottom w:val="single" w:sz="4" w:space="0" w:color="auto"/>
              <w:right w:val="single" w:sz="4" w:space="0" w:color="auto"/>
            </w:tcBorders>
            <w:noWrap/>
            <w:vAlign w:val="center"/>
            <w:hideMark/>
          </w:tcPr>
          <w:p w14:paraId="07CB7BF9" w14:textId="77777777" w:rsidR="007B1BAC" w:rsidRPr="00801A36" w:rsidRDefault="007B1BAC" w:rsidP="00801A36">
            <w:pPr>
              <w:spacing w:after="0" w:line="240" w:lineRule="auto"/>
              <w:jc w:val="center"/>
              <w:rPr>
                <w:rFonts w:ascii="Times New Roman" w:eastAsia="Times New Roman" w:hAnsi="Times New Roman" w:cs="Times New Roman"/>
                <w:color w:val="000000"/>
                <w:kern w:val="0"/>
                <w:sz w:val="19"/>
                <w:szCs w:val="19"/>
                <w:lang w:eastAsia="en-IN"/>
                <w14:ligatures w14:val="none"/>
              </w:rPr>
            </w:pPr>
            <w:r w:rsidRPr="00801A36">
              <w:rPr>
                <w:rFonts w:ascii="Times New Roman" w:eastAsia="Times New Roman" w:hAnsi="Times New Roman" w:cs="Times New Roman"/>
                <w:color w:val="000000"/>
                <w:kern w:val="0"/>
                <w:sz w:val="19"/>
                <w:szCs w:val="19"/>
                <w:lang w:eastAsia="en-IN"/>
                <w14:ligatures w14:val="none"/>
              </w:rPr>
              <w:t>3,722.81</w:t>
            </w:r>
          </w:p>
        </w:tc>
        <w:tc>
          <w:tcPr>
            <w:tcW w:w="1084" w:type="dxa"/>
            <w:tcBorders>
              <w:top w:val="nil"/>
              <w:left w:val="nil"/>
              <w:bottom w:val="single" w:sz="4" w:space="0" w:color="auto"/>
              <w:right w:val="single" w:sz="4" w:space="0" w:color="auto"/>
            </w:tcBorders>
            <w:noWrap/>
            <w:vAlign w:val="center"/>
            <w:hideMark/>
          </w:tcPr>
          <w:p w14:paraId="245FBA21" w14:textId="77777777" w:rsidR="007B1BAC" w:rsidRPr="00801A36" w:rsidRDefault="007B1BAC" w:rsidP="00801A36">
            <w:pPr>
              <w:spacing w:after="0" w:line="240" w:lineRule="auto"/>
              <w:jc w:val="center"/>
              <w:rPr>
                <w:rFonts w:ascii="Times New Roman" w:eastAsia="Times New Roman" w:hAnsi="Times New Roman" w:cs="Times New Roman"/>
                <w:color w:val="000000"/>
                <w:kern w:val="0"/>
                <w:sz w:val="19"/>
                <w:szCs w:val="19"/>
                <w:lang w:eastAsia="en-IN"/>
                <w14:ligatures w14:val="none"/>
              </w:rPr>
            </w:pPr>
            <w:r w:rsidRPr="00801A36">
              <w:rPr>
                <w:rFonts w:ascii="Times New Roman" w:eastAsia="Times New Roman" w:hAnsi="Times New Roman" w:cs="Times New Roman"/>
                <w:color w:val="000000"/>
                <w:kern w:val="0"/>
                <w:sz w:val="19"/>
                <w:szCs w:val="19"/>
                <w:lang w:eastAsia="en-IN"/>
                <w14:ligatures w14:val="none"/>
              </w:rPr>
              <w:t>2,176.75</w:t>
            </w:r>
          </w:p>
        </w:tc>
        <w:tc>
          <w:tcPr>
            <w:tcW w:w="1070" w:type="dxa"/>
            <w:tcBorders>
              <w:top w:val="nil"/>
              <w:left w:val="nil"/>
              <w:bottom w:val="single" w:sz="4" w:space="0" w:color="auto"/>
              <w:right w:val="single" w:sz="4" w:space="0" w:color="auto"/>
            </w:tcBorders>
            <w:noWrap/>
            <w:vAlign w:val="center"/>
            <w:hideMark/>
          </w:tcPr>
          <w:p w14:paraId="07744016" w14:textId="77777777" w:rsidR="007B1BAC" w:rsidRPr="00801A36" w:rsidRDefault="007B1BAC" w:rsidP="00801A36">
            <w:pPr>
              <w:spacing w:after="0" w:line="240" w:lineRule="auto"/>
              <w:jc w:val="center"/>
              <w:rPr>
                <w:rFonts w:ascii="Times New Roman" w:eastAsia="Times New Roman" w:hAnsi="Times New Roman" w:cs="Times New Roman"/>
                <w:color w:val="000000"/>
                <w:kern w:val="0"/>
                <w:sz w:val="19"/>
                <w:szCs w:val="19"/>
                <w:lang w:eastAsia="en-IN"/>
                <w14:ligatures w14:val="none"/>
              </w:rPr>
            </w:pPr>
            <w:r w:rsidRPr="00801A36">
              <w:rPr>
                <w:rFonts w:ascii="Times New Roman" w:eastAsia="Times New Roman" w:hAnsi="Times New Roman" w:cs="Times New Roman"/>
                <w:color w:val="000000"/>
                <w:kern w:val="0"/>
                <w:sz w:val="19"/>
                <w:szCs w:val="19"/>
                <w:lang w:eastAsia="en-IN"/>
                <w14:ligatures w14:val="none"/>
              </w:rPr>
              <w:t>935.75</w:t>
            </w:r>
          </w:p>
        </w:tc>
        <w:tc>
          <w:tcPr>
            <w:tcW w:w="1196" w:type="dxa"/>
            <w:tcBorders>
              <w:top w:val="nil"/>
              <w:left w:val="nil"/>
              <w:bottom w:val="single" w:sz="4" w:space="0" w:color="auto"/>
              <w:right w:val="single" w:sz="4" w:space="0" w:color="auto"/>
            </w:tcBorders>
            <w:noWrap/>
            <w:vAlign w:val="center"/>
            <w:hideMark/>
          </w:tcPr>
          <w:p w14:paraId="11CB3308" w14:textId="77777777" w:rsidR="007B1BAC" w:rsidRPr="00801A36" w:rsidRDefault="007B1BAC" w:rsidP="00801A36">
            <w:pPr>
              <w:spacing w:after="0" w:line="240" w:lineRule="auto"/>
              <w:jc w:val="center"/>
              <w:rPr>
                <w:rFonts w:ascii="Times New Roman" w:eastAsia="Times New Roman" w:hAnsi="Times New Roman" w:cs="Times New Roman"/>
                <w:color w:val="000000"/>
                <w:kern w:val="0"/>
                <w:sz w:val="19"/>
                <w:szCs w:val="19"/>
                <w:lang w:eastAsia="en-IN"/>
                <w14:ligatures w14:val="none"/>
              </w:rPr>
            </w:pPr>
            <w:r w:rsidRPr="00801A36">
              <w:rPr>
                <w:rFonts w:ascii="Times New Roman" w:eastAsia="Times New Roman" w:hAnsi="Times New Roman" w:cs="Times New Roman"/>
                <w:color w:val="000000"/>
                <w:kern w:val="0"/>
                <w:sz w:val="19"/>
                <w:szCs w:val="19"/>
                <w:lang w:eastAsia="en-IN"/>
                <w14:ligatures w14:val="none"/>
              </w:rPr>
              <w:t>670.92</w:t>
            </w:r>
          </w:p>
        </w:tc>
        <w:tc>
          <w:tcPr>
            <w:tcW w:w="986" w:type="dxa"/>
            <w:tcBorders>
              <w:top w:val="nil"/>
              <w:left w:val="nil"/>
              <w:bottom w:val="single" w:sz="4" w:space="0" w:color="auto"/>
              <w:right w:val="single" w:sz="4" w:space="0" w:color="auto"/>
            </w:tcBorders>
            <w:noWrap/>
            <w:vAlign w:val="center"/>
            <w:hideMark/>
          </w:tcPr>
          <w:p w14:paraId="3B7185BC" w14:textId="77777777" w:rsidR="007B1BAC" w:rsidRPr="00801A36" w:rsidRDefault="007B1BAC" w:rsidP="00801A36">
            <w:pPr>
              <w:spacing w:after="0" w:line="240" w:lineRule="auto"/>
              <w:jc w:val="center"/>
              <w:rPr>
                <w:rFonts w:ascii="Times New Roman" w:eastAsia="Times New Roman" w:hAnsi="Times New Roman" w:cs="Times New Roman"/>
                <w:color w:val="000000"/>
                <w:kern w:val="0"/>
                <w:sz w:val="19"/>
                <w:szCs w:val="19"/>
                <w:lang w:eastAsia="en-IN"/>
                <w14:ligatures w14:val="none"/>
              </w:rPr>
            </w:pPr>
            <w:r w:rsidRPr="00801A36">
              <w:rPr>
                <w:rFonts w:ascii="Times New Roman" w:eastAsia="Times New Roman" w:hAnsi="Times New Roman" w:cs="Times New Roman"/>
                <w:color w:val="000000"/>
                <w:kern w:val="0"/>
                <w:sz w:val="19"/>
                <w:szCs w:val="19"/>
                <w:lang w:eastAsia="en-IN"/>
                <w14:ligatures w14:val="none"/>
              </w:rPr>
              <w:t>3,783.42</w:t>
            </w:r>
          </w:p>
        </w:tc>
        <w:tc>
          <w:tcPr>
            <w:tcW w:w="1084" w:type="dxa"/>
            <w:tcBorders>
              <w:top w:val="nil"/>
              <w:left w:val="nil"/>
              <w:bottom w:val="single" w:sz="4" w:space="0" w:color="auto"/>
              <w:right w:val="single" w:sz="4" w:space="0" w:color="auto"/>
            </w:tcBorders>
            <w:noWrap/>
            <w:vAlign w:val="center"/>
            <w:hideMark/>
          </w:tcPr>
          <w:p w14:paraId="0D24503F" w14:textId="77777777" w:rsidR="007B1BAC" w:rsidRPr="00801A36" w:rsidRDefault="007B1BAC" w:rsidP="00801A36">
            <w:pPr>
              <w:spacing w:after="0" w:line="240" w:lineRule="auto"/>
              <w:jc w:val="center"/>
              <w:rPr>
                <w:rFonts w:ascii="Times New Roman" w:eastAsia="Times New Roman" w:hAnsi="Times New Roman" w:cs="Times New Roman"/>
                <w:color w:val="000000"/>
                <w:kern w:val="0"/>
                <w:sz w:val="19"/>
                <w:szCs w:val="19"/>
                <w:lang w:eastAsia="en-IN"/>
                <w14:ligatures w14:val="none"/>
              </w:rPr>
            </w:pPr>
            <w:r w:rsidRPr="00801A36">
              <w:rPr>
                <w:rFonts w:ascii="Times New Roman" w:eastAsia="Times New Roman" w:hAnsi="Times New Roman" w:cs="Times New Roman"/>
                <w:color w:val="000000"/>
                <w:kern w:val="0"/>
                <w:sz w:val="19"/>
                <w:szCs w:val="19"/>
                <w:lang w:eastAsia="en-IN"/>
                <w14:ligatures w14:val="none"/>
              </w:rPr>
              <w:t>1,782.25</w:t>
            </w:r>
          </w:p>
        </w:tc>
        <w:tc>
          <w:tcPr>
            <w:tcW w:w="1070" w:type="dxa"/>
            <w:tcBorders>
              <w:top w:val="nil"/>
              <w:left w:val="nil"/>
              <w:bottom w:val="single" w:sz="4" w:space="0" w:color="auto"/>
              <w:right w:val="single" w:sz="4" w:space="0" w:color="auto"/>
            </w:tcBorders>
            <w:noWrap/>
            <w:vAlign w:val="center"/>
            <w:hideMark/>
          </w:tcPr>
          <w:p w14:paraId="45273749" w14:textId="77777777" w:rsidR="007B1BAC" w:rsidRPr="00801A36" w:rsidRDefault="007B1BAC" w:rsidP="00801A36">
            <w:pPr>
              <w:spacing w:after="0" w:line="240" w:lineRule="auto"/>
              <w:jc w:val="center"/>
              <w:rPr>
                <w:rFonts w:ascii="Times New Roman" w:eastAsia="Times New Roman" w:hAnsi="Times New Roman" w:cs="Times New Roman"/>
                <w:color w:val="000000"/>
                <w:kern w:val="0"/>
                <w:sz w:val="19"/>
                <w:szCs w:val="19"/>
                <w:lang w:eastAsia="en-IN"/>
                <w14:ligatures w14:val="none"/>
              </w:rPr>
            </w:pPr>
            <w:r w:rsidRPr="00801A36">
              <w:rPr>
                <w:rFonts w:ascii="Times New Roman" w:eastAsia="Times New Roman" w:hAnsi="Times New Roman" w:cs="Times New Roman"/>
                <w:color w:val="000000"/>
                <w:kern w:val="0"/>
                <w:sz w:val="19"/>
                <w:szCs w:val="19"/>
                <w:lang w:eastAsia="en-IN"/>
                <w14:ligatures w14:val="none"/>
              </w:rPr>
              <w:t>312.87</w:t>
            </w:r>
          </w:p>
        </w:tc>
        <w:tc>
          <w:tcPr>
            <w:tcW w:w="1196" w:type="dxa"/>
            <w:tcBorders>
              <w:top w:val="nil"/>
              <w:left w:val="nil"/>
              <w:bottom w:val="single" w:sz="4" w:space="0" w:color="auto"/>
              <w:right w:val="single" w:sz="4" w:space="0" w:color="auto"/>
            </w:tcBorders>
            <w:noWrap/>
            <w:vAlign w:val="center"/>
            <w:hideMark/>
          </w:tcPr>
          <w:p w14:paraId="0C80C06B" w14:textId="77777777" w:rsidR="007B1BAC" w:rsidRPr="00801A36" w:rsidRDefault="007B1BAC" w:rsidP="00801A36">
            <w:pPr>
              <w:spacing w:after="0" w:line="240" w:lineRule="auto"/>
              <w:jc w:val="center"/>
              <w:rPr>
                <w:rFonts w:ascii="Times New Roman" w:eastAsia="Times New Roman" w:hAnsi="Times New Roman" w:cs="Times New Roman"/>
                <w:color w:val="000000"/>
                <w:kern w:val="0"/>
                <w:sz w:val="19"/>
                <w:szCs w:val="19"/>
                <w:lang w:eastAsia="en-IN"/>
                <w14:ligatures w14:val="none"/>
              </w:rPr>
            </w:pPr>
            <w:r w:rsidRPr="00801A36">
              <w:rPr>
                <w:rFonts w:ascii="Times New Roman" w:eastAsia="Times New Roman" w:hAnsi="Times New Roman" w:cs="Times New Roman"/>
                <w:color w:val="000000"/>
                <w:kern w:val="0"/>
                <w:sz w:val="19"/>
                <w:szCs w:val="19"/>
                <w:lang w:eastAsia="en-IN"/>
                <w14:ligatures w14:val="none"/>
              </w:rPr>
              <w:t>300.74</w:t>
            </w:r>
          </w:p>
        </w:tc>
        <w:tc>
          <w:tcPr>
            <w:tcW w:w="986" w:type="dxa"/>
            <w:tcBorders>
              <w:top w:val="nil"/>
              <w:left w:val="nil"/>
              <w:bottom w:val="single" w:sz="4" w:space="0" w:color="auto"/>
              <w:right w:val="single" w:sz="4" w:space="0" w:color="auto"/>
            </w:tcBorders>
            <w:noWrap/>
            <w:vAlign w:val="center"/>
            <w:hideMark/>
          </w:tcPr>
          <w:p w14:paraId="426274A1" w14:textId="77777777" w:rsidR="007B1BAC" w:rsidRPr="00801A36" w:rsidRDefault="007B1BAC" w:rsidP="00801A36">
            <w:pPr>
              <w:spacing w:after="0" w:line="240" w:lineRule="auto"/>
              <w:jc w:val="center"/>
              <w:rPr>
                <w:rFonts w:ascii="Times New Roman" w:eastAsia="Times New Roman" w:hAnsi="Times New Roman" w:cs="Times New Roman"/>
                <w:color w:val="000000"/>
                <w:kern w:val="0"/>
                <w:sz w:val="19"/>
                <w:szCs w:val="19"/>
                <w:lang w:eastAsia="en-IN"/>
                <w14:ligatures w14:val="none"/>
              </w:rPr>
            </w:pPr>
            <w:r w:rsidRPr="00801A36">
              <w:rPr>
                <w:rFonts w:ascii="Times New Roman" w:eastAsia="Times New Roman" w:hAnsi="Times New Roman" w:cs="Times New Roman"/>
                <w:color w:val="000000"/>
                <w:kern w:val="0"/>
                <w:sz w:val="19"/>
                <w:szCs w:val="19"/>
                <w:lang w:eastAsia="en-IN"/>
                <w14:ligatures w14:val="none"/>
              </w:rPr>
              <w:t>2,395.86</w:t>
            </w:r>
          </w:p>
        </w:tc>
      </w:tr>
      <w:tr w:rsidR="007B1BAC" w:rsidRPr="00801A36" w14:paraId="348520F6" w14:textId="77777777" w:rsidTr="00801A36">
        <w:trPr>
          <w:trHeight w:val="20"/>
          <w:jc w:val="center"/>
        </w:trPr>
        <w:tc>
          <w:tcPr>
            <w:tcW w:w="618" w:type="dxa"/>
            <w:tcBorders>
              <w:top w:val="nil"/>
              <w:left w:val="single" w:sz="4" w:space="0" w:color="auto"/>
              <w:bottom w:val="single" w:sz="4" w:space="0" w:color="auto"/>
              <w:right w:val="single" w:sz="4" w:space="0" w:color="auto"/>
            </w:tcBorders>
            <w:noWrap/>
            <w:vAlign w:val="bottom"/>
            <w:hideMark/>
          </w:tcPr>
          <w:p w14:paraId="50084904" w14:textId="77777777" w:rsidR="007B1BAC" w:rsidRPr="00801A36" w:rsidRDefault="007B1BAC" w:rsidP="007B1BAC">
            <w:pPr>
              <w:spacing w:after="0" w:line="240" w:lineRule="auto"/>
              <w:rPr>
                <w:rFonts w:ascii="Times New Roman" w:eastAsia="Times New Roman" w:hAnsi="Times New Roman" w:cs="Times New Roman"/>
                <w:color w:val="000000"/>
                <w:kern w:val="0"/>
                <w:sz w:val="19"/>
                <w:szCs w:val="19"/>
                <w:lang w:eastAsia="en-IN"/>
                <w14:ligatures w14:val="none"/>
              </w:rPr>
            </w:pPr>
            <w:r w:rsidRPr="00801A36">
              <w:rPr>
                <w:rFonts w:ascii="Times New Roman" w:eastAsia="Times New Roman" w:hAnsi="Times New Roman" w:cs="Times New Roman"/>
                <w:color w:val="000000"/>
                <w:kern w:val="0"/>
                <w:sz w:val="19"/>
                <w:szCs w:val="19"/>
                <w:lang w:eastAsia="en-IN"/>
                <w14:ligatures w14:val="none"/>
              </w:rPr>
              <w:t> </w:t>
            </w:r>
          </w:p>
        </w:tc>
        <w:tc>
          <w:tcPr>
            <w:tcW w:w="1680" w:type="dxa"/>
            <w:tcBorders>
              <w:top w:val="nil"/>
              <w:left w:val="nil"/>
              <w:bottom w:val="single" w:sz="4" w:space="0" w:color="auto"/>
              <w:right w:val="single" w:sz="4" w:space="0" w:color="auto"/>
            </w:tcBorders>
            <w:noWrap/>
            <w:vAlign w:val="bottom"/>
            <w:hideMark/>
          </w:tcPr>
          <w:p w14:paraId="68E5EC74" w14:textId="77777777" w:rsidR="007B1BAC" w:rsidRPr="00801A36" w:rsidRDefault="007B1BAC" w:rsidP="007B1BAC">
            <w:pPr>
              <w:spacing w:after="0" w:line="240" w:lineRule="auto"/>
              <w:rPr>
                <w:rFonts w:ascii="Times New Roman" w:eastAsia="Times New Roman" w:hAnsi="Times New Roman" w:cs="Times New Roman"/>
                <w:color w:val="000000"/>
                <w:kern w:val="0"/>
                <w:sz w:val="19"/>
                <w:szCs w:val="19"/>
                <w:lang w:eastAsia="en-IN"/>
                <w14:ligatures w14:val="none"/>
              </w:rPr>
            </w:pPr>
            <w:r w:rsidRPr="00801A36">
              <w:rPr>
                <w:rFonts w:ascii="Times New Roman" w:eastAsia="Times New Roman" w:hAnsi="Times New Roman" w:cs="Times New Roman"/>
                <w:color w:val="000000"/>
                <w:kern w:val="0"/>
                <w:sz w:val="19"/>
                <w:szCs w:val="19"/>
                <w:lang w:eastAsia="en-IN"/>
                <w14:ligatures w14:val="none"/>
              </w:rPr>
              <w:t>Southern</w:t>
            </w:r>
          </w:p>
        </w:tc>
        <w:tc>
          <w:tcPr>
            <w:tcW w:w="1084" w:type="dxa"/>
            <w:tcBorders>
              <w:top w:val="nil"/>
              <w:left w:val="nil"/>
              <w:bottom w:val="single" w:sz="4" w:space="0" w:color="auto"/>
              <w:right w:val="single" w:sz="4" w:space="0" w:color="auto"/>
            </w:tcBorders>
            <w:noWrap/>
            <w:vAlign w:val="center"/>
            <w:hideMark/>
          </w:tcPr>
          <w:p w14:paraId="57ACFB5A" w14:textId="77777777" w:rsidR="007B1BAC" w:rsidRPr="00801A36" w:rsidRDefault="007B1BAC" w:rsidP="00801A36">
            <w:pPr>
              <w:spacing w:after="0" w:line="240" w:lineRule="auto"/>
              <w:jc w:val="center"/>
              <w:rPr>
                <w:rFonts w:ascii="Times New Roman" w:eastAsia="Times New Roman" w:hAnsi="Times New Roman" w:cs="Times New Roman"/>
                <w:color w:val="000000"/>
                <w:kern w:val="0"/>
                <w:sz w:val="19"/>
                <w:szCs w:val="19"/>
                <w:lang w:eastAsia="en-IN"/>
                <w14:ligatures w14:val="none"/>
              </w:rPr>
            </w:pPr>
            <w:r w:rsidRPr="00801A36">
              <w:rPr>
                <w:rFonts w:ascii="Times New Roman" w:eastAsia="Times New Roman" w:hAnsi="Times New Roman" w:cs="Times New Roman"/>
                <w:color w:val="000000"/>
                <w:kern w:val="0"/>
                <w:sz w:val="19"/>
                <w:szCs w:val="19"/>
                <w:lang w:eastAsia="en-IN"/>
                <w14:ligatures w14:val="none"/>
              </w:rPr>
              <w:t>..</w:t>
            </w:r>
          </w:p>
        </w:tc>
        <w:tc>
          <w:tcPr>
            <w:tcW w:w="1070" w:type="dxa"/>
            <w:tcBorders>
              <w:top w:val="nil"/>
              <w:left w:val="nil"/>
              <w:bottom w:val="single" w:sz="4" w:space="0" w:color="auto"/>
              <w:right w:val="single" w:sz="4" w:space="0" w:color="auto"/>
            </w:tcBorders>
            <w:noWrap/>
            <w:vAlign w:val="center"/>
            <w:hideMark/>
          </w:tcPr>
          <w:p w14:paraId="2233840A" w14:textId="77777777" w:rsidR="007B1BAC" w:rsidRPr="00801A36" w:rsidRDefault="007B1BAC" w:rsidP="00801A36">
            <w:pPr>
              <w:spacing w:after="0" w:line="240" w:lineRule="auto"/>
              <w:jc w:val="center"/>
              <w:rPr>
                <w:rFonts w:ascii="Times New Roman" w:eastAsia="Times New Roman" w:hAnsi="Times New Roman" w:cs="Times New Roman"/>
                <w:color w:val="000000"/>
                <w:kern w:val="0"/>
                <w:sz w:val="19"/>
                <w:szCs w:val="19"/>
                <w:lang w:eastAsia="en-IN"/>
                <w14:ligatures w14:val="none"/>
              </w:rPr>
            </w:pPr>
            <w:r w:rsidRPr="00801A36">
              <w:rPr>
                <w:rFonts w:ascii="Times New Roman" w:eastAsia="Times New Roman" w:hAnsi="Times New Roman" w:cs="Times New Roman"/>
                <w:color w:val="000000"/>
                <w:kern w:val="0"/>
                <w:sz w:val="19"/>
                <w:szCs w:val="19"/>
                <w:lang w:eastAsia="en-IN"/>
                <w14:ligatures w14:val="none"/>
              </w:rPr>
              <w:t>369.85</w:t>
            </w:r>
          </w:p>
        </w:tc>
        <w:tc>
          <w:tcPr>
            <w:tcW w:w="1196" w:type="dxa"/>
            <w:tcBorders>
              <w:top w:val="nil"/>
              <w:left w:val="nil"/>
              <w:bottom w:val="single" w:sz="4" w:space="0" w:color="auto"/>
              <w:right w:val="single" w:sz="4" w:space="0" w:color="auto"/>
            </w:tcBorders>
            <w:noWrap/>
            <w:vAlign w:val="center"/>
            <w:hideMark/>
          </w:tcPr>
          <w:p w14:paraId="2D5D2D08" w14:textId="77777777" w:rsidR="007B1BAC" w:rsidRPr="00801A36" w:rsidRDefault="007B1BAC" w:rsidP="00801A36">
            <w:pPr>
              <w:spacing w:after="0" w:line="240" w:lineRule="auto"/>
              <w:jc w:val="center"/>
              <w:rPr>
                <w:rFonts w:ascii="Times New Roman" w:eastAsia="Times New Roman" w:hAnsi="Times New Roman" w:cs="Times New Roman"/>
                <w:color w:val="000000"/>
                <w:kern w:val="0"/>
                <w:sz w:val="19"/>
                <w:szCs w:val="19"/>
                <w:lang w:eastAsia="en-IN"/>
                <w14:ligatures w14:val="none"/>
              </w:rPr>
            </w:pPr>
            <w:r w:rsidRPr="00801A36">
              <w:rPr>
                <w:rFonts w:ascii="Times New Roman" w:eastAsia="Times New Roman" w:hAnsi="Times New Roman" w:cs="Times New Roman"/>
                <w:color w:val="000000"/>
                <w:kern w:val="0"/>
                <w:sz w:val="19"/>
                <w:szCs w:val="19"/>
                <w:lang w:eastAsia="en-IN"/>
                <w14:ligatures w14:val="none"/>
              </w:rPr>
              <w:t>..</w:t>
            </w:r>
          </w:p>
        </w:tc>
        <w:tc>
          <w:tcPr>
            <w:tcW w:w="986" w:type="dxa"/>
            <w:tcBorders>
              <w:top w:val="nil"/>
              <w:left w:val="nil"/>
              <w:bottom w:val="single" w:sz="4" w:space="0" w:color="auto"/>
              <w:right w:val="single" w:sz="4" w:space="0" w:color="auto"/>
            </w:tcBorders>
            <w:noWrap/>
            <w:vAlign w:val="center"/>
            <w:hideMark/>
          </w:tcPr>
          <w:p w14:paraId="6A9544A0" w14:textId="77777777" w:rsidR="007B1BAC" w:rsidRPr="00801A36" w:rsidRDefault="007B1BAC" w:rsidP="00801A36">
            <w:pPr>
              <w:spacing w:after="0" w:line="240" w:lineRule="auto"/>
              <w:jc w:val="center"/>
              <w:rPr>
                <w:rFonts w:ascii="Times New Roman" w:eastAsia="Times New Roman" w:hAnsi="Times New Roman" w:cs="Times New Roman"/>
                <w:color w:val="000000"/>
                <w:kern w:val="0"/>
                <w:sz w:val="19"/>
                <w:szCs w:val="19"/>
                <w:lang w:eastAsia="en-IN"/>
                <w14:ligatures w14:val="none"/>
              </w:rPr>
            </w:pPr>
            <w:r w:rsidRPr="00801A36">
              <w:rPr>
                <w:rFonts w:ascii="Times New Roman" w:eastAsia="Times New Roman" w:hAnsi="Times New Roman" w:cs="Times New Roman"/>
                <w:color w:val="000000"/>
                <w:kern w:val="0"/>
                <w:sz w:val="19"/>
                <w:szCs w:val="19"/>
                <w:lang w:eastAsia="en-IN"/>
                <w14:ligatures w14:val="none"/>
              </w:rPr>
              <w:t>369.85</w:t>
            </w:r>
          </w:p>
        </w:tc>
        <w:tc>
          <w:tcPr>
            <w:tcW w:w="1084" w:type="dxa"/>
            <w:tcBorders>
              <w:top w:val="nil"/>
              <w:left w:val="nil"/>
              <w:bottom w:val="single" w:sz="4" w:space="0" w:color="auto"/>
              <w:right w:val="single" w:sz="4" w:space="0" w:color="auto"/>
            </w:tcBorders>
            <w:noWrap/>
            <w:vAlign w:val="center"/>
            <w:hideMark/>
          </w:tcPr>
          <w:p w14:paraId="7B769B38" w14:textId="77777777" w:rsidR="007B1BAC" w:rsidRPr="00801A36" w:rsidRDefault="007B1BAC" w:rsidP="00801A36">
            <w:pPr>
              <w:spacing w:after="0" w:line="240" w:lineRule="auto"/>
              <w:jc w:val="center"/>
              <w:rPr>
                <w:rFonts w:ascii="Times New Roman" w:eastAsia="Times New Roman" w:hAnsi="Times New Roman" w:cs="Times New Roman"/>
                <w:color w:val="000000"/>
                <w:kern w:val="0"/>
                <w:sz w:val="19"/>
                <w:szCs w:val="19"/>
                <w:lang w:eastAsia="en-IN"/>
                <w14:ligatures w14:val="none"/>
              </w:rPr>
            </w:pPr>
            <w:r w:rsidRPr="00801A36">
              <w:rPr>
                <w:rFonts w:ascii="Times New Roman" w:eastAsia="Times New Roman" w:hAnsi="Times New Roman" w:cs="Times New Roman"/>
                <w:color w:val="000000"/>
                <w:kern w:val="0"/>
                <w:sz w:val="19"/>
                <w:szCs w:val="19"/>
                <w:lang w:eastAsia="en-IN"/>
                <w14:ligatures w14:val="none"/>
              </w:rPr>
              <w:t>..</w:t>
            </w:r>
          </w:p>
        </w:tc>
        <w:tc>
          <w:tcPr>
            <w:tcW w:w="1070" w:type="dxa"/>
            <w:tcBorders>
              <w:top w:val="nil"/>
              <w:left w:val="nil"/>
              <w:bottom w:val="single" w:sz="4" w:space="0" w:color="auto"/>
              <w:right w:val="single" w:sz="4" w:space="0" w:color="auto"/>
            </w:tcBorders>
            <w:noWrap/>
            <w:vAlign w:val="center"/>
            <w:hideMark/>
          </w:tcPr>
          <w:p w14:paraId="102D9F2B" w14:textId="77777777" w:rsidR="007B1BAC" w:rsidRPr="00801A36" w:rsidRDefault="007B1BAC" w:rsidP="00801A36">
            <w:pPr>
              <w:spacing w:after="0" w:line="240" w:lineRule="auto"/>
              <w:jc w:val="center"/>
              <w:rPr>
                <w:rFonts w:ascii="Times New Roman" w:eastAsia="Times New Roman" w:hAnsi="Times New Roman" w:cs="Times New Roman"/>
                <w:color w:val="000000"/>
                <w:kern w:val="0"/>
                <w:sz w:val="19"/>
                <w:szCs w:val="19"/>
                <w:lang w:eastAsia="en-IN"/>
                <w14:ligatures w14:val="none"/>
              </w:rPr>
            </w:pPr>
            <w:r w:rsidRPr="00801A36">
              <w:rPr>
                <w:rFonts w:ascii="Times New Roman" w:eastAsia="Times New Roman" w:hAnsi="Times New Roman" w:cs="Times New Roman"/>
                <w:color w:val="000000"/>
                <w:kern w:val="0"/>
                <w:sz w:val="19"/>
                <w:szCs w:val="19"/>
                <w:lang w:eastAsia="en-IN"/>
                <w14:ligatures w14:val="none"/>
              </w:rPr>
              <w:t>369.85</w:t>
            </w:r>
          </w:p>
        </w:tc>
        <w:tc>
          <w:tcPr>
            <w:tcW w:w="1196" w:type="dxa"/>
            <w:tcBorders>
              <w:top w:val="nil"/>
              <w:left w:val="nil"/>
              <w:bottom w:val="single" w:sz="4" w:space="0" w:color="auto"/>
              <w:right w:val="single" w:sz="4" w:space="0" w:color="auto"/>
            </w:tcBorders>
            <w:noWrap/>
            <w:vAlign w:val="center"/>
            <w:hideMark/>
          </w:tcPr>
          <w:p w14:paraId="413FF6C8" w14:textId="77777777" w:rsidR="007B1BAC" w:rsidRPr="00801A36" w:rsidRDefault="007B1BAC" w:rsidP="00801A36">
            <w:pPr>
              <w:spacing w:after="0" w:line="240" w:lineRule="auto"/>
              <w:jc w:val="center"/>
              <w:rPr>
                <w:rFonts w:ascii="Times New Roman" w:eastAsia="Times New Roman" w:hAnsi="Times New Roman" w:cs="Times New Roman"/>
                <w:color w:val="000000"/>
                <w:kern w:val="0"/>
                <w:sz w:val="19"/>
                <w:szCs w:val="19"/>
                <w:lang w:eastAsia="en-IN"/>
                <w14:ligatures w14:val="none"/>
              </w:rPr>
            </w:pPr>
            <w:r w:rsidRPr="00801A36">
              <w:rPr>
                <w:rFonts w:ascii="Times New Roman" w:eastAsia="Times New Roman" w:hAnsi="Times New Roman" w:cs="Times New Roman"/>
                <w:color w:val="000000"/>
                <w:kern w:val="0"/>
                <w:sz w:val="19"/>
                <w:szCs w:val="19"/>
                <w:lang w:eastAsia="en-IN"/>
                <w14:ligatures w14:val="none"/>
              </w:rPr>
              <w:t>..</w:t>
            </w:r>
          </w:p>
        </w:tc>
        <w:tc>
          <w:tcPr>
            <w:tcW w:w="986" w:type="dxa"/>
            <w:tcBorders>
              <w:top w:val="nil"/>
              <w:left w:val="nil"/>
              <w:bottom w:val="single" w:sz="4" w:space="0" w:color="auto"/>
              <w:right w:val="single" w:sz="4" w:space="0" w:color="auto"/>
            </w:tcBorders>
            <w:noWrap/>
            <w:vAlign w:val="center"/>
            <w:hideMark/>
          </w:tcPr>
          <w:p w14:paraId="4DEB3F68" w14:textId="77777777" w:rsidR="007B1BAC" w:rsidRPr="00801A36" w:rsidRDefault="007B1BAC" w:rsidP="00801A36">
            <w:pPr>
              <w:spacing w:after="0" w:line="240" w:lineRule="auto"/>
              <w:jc w:val="center"/>
              <w:rPr>
                <w:rFonts w:ascii="Times New Roman" w:eastAsia="Times New Roman" w:hAnsi="Times New Roman" w:cs="Times New Roman"/>
                <w:color w:val="000000"/>
                <w:kern w:val="0"/>
                <w:sz w:val="19"/>
                <w:szCs w:val="19"/>
                <w:lang w:eastAsia="en-IN"/>
                <w14:ligatures w14:val="none"/>
              </w:rPr>
            </w:pPr>
            <w:r w:rsidRPr="00801A36">
              <w:rPr>
                <w:rFonts w:ascii="Times New Roman" w:eastAsia="Times New Roman" w:hAnsi="Times New Roman" w:cs="Times New Roman"/>
                <w:color w:val="000000"/>
                <w:kern w:val="0"/>
                <w:sz w:val="19"/>
                <w:szCs w:val="19"/>
                <w:lang w:eastAsia="en-IN"/>
                <w14:ligatures w14:val="none"/>
              </w:rPr>
              <w:t>369.85</w:t>
            </w:r>
          </w:p>
        </w:tc>
        <w:tc>
          <w:tcPr>
            <w:tcW w:w="1084" w:type="dxa"/>
            <w:tcBorders>
              <w:top w:val="nil"/>
              <w:left w:val="nil"/>
              <w:bottom w:val="single" w:sz="4" w:space="0" w:color="auto"/>
              <w:right w:val="single" w:sz="4" w:space="0" w:color="auto"/>
            </w:tcBorders>
            <w:noWrap/>
            <w:vAlign w:val="center"/>
            <w:hideMark/>
          </w:tcPr>
          <w:p w14:paraId="54EC5012" w14:textId="77777777" w:rsidR="007B1BAC" w:rsidRPr="00801A36" w:rsidRDefault="007B1BAC" w:rsidP="00801A36">
            <w:pPr>
              <w:spacing w:after="0" w:line="240" w:lineRule="auto"/>
              <w:jc w:val="center"/>
              <w:rPr>
                <w:rFonts w:ascii="Times New Roman" w:eastAsia="Times New Roman" w:hAnsi="Times New Roman" w:cs="Times New Roman"/>
                <w:color w:val="000000"/>
                <w:kern w:val="0"/>
                <w:sz w:val="19"/>
                <w:szCs w:val="19"/>
                <w:lang w:eastAsia="en-IN"/>
                <w14:ligatures w14:val="none"/>
              </w:rPr>
            </w:pPr>
            <w:r w:rsidRPr="00801A36">
              <w:rPr>
                <w:rFonts w:ascii="Times New Roman" w:eastAsia="Times New Roman" w:hAnsi="Times New Roman" w:cs="Times New Roman"/>
                <w:color w:val="000000"/>
                <w:kern w:val="0"/>
                <w:sz w:val="19"/>
                <w:szCs w:val="19"/>
                <w:lang w:eastAsia="en-IN"/>
                <w14:ligatures w14:val="none"/>
              </w:rPr>
              <w:t>..</w:t>
            </w:r>
          </w:p>
        </w:tc>
        <w:tc>
          <w:tcPr>
            <w:tcW w:w="1070" w:type="dxa"/>
            <w:tcBorders>
              <w:top w:val="nil"/>
              <w:left w:val="nil"/>
              <w:bottom w:val="single" w:sz="4" w:space="0" w:color="auto"/>
              <w:right w:val="single" w:sz="4" w:space="0" w:color="auto"/>
            </w:tcBorders>
            <w:noWrap/>
            <w:vAlign w:val="center"/>
            <w:hideMark/>
          </w:tcPr>
          <w:p w14:paraId="08C8B3D6" w14:textId="77777777" w:rsidR="007B1BAC" w:rsidRPr="00801A36" w:rsidRDefault="007B1BAC" w:rsidP="00801A36">
            <w:pPr>
              <w:spacing w:after="0" w:line="240" w:lineRule="auto"/>
              <w:jc w:val="center"/>
              <w:rPr>
                <w:rFonts w:ascii="Times New Roman" w:eastAsia="Times New Roman" w:hAnsi="Times New Roman" w:cs="Times New Roman"/>
                <w:color w:val="000000"/>
                <w:kern w:val="0"/>
                <w:sz w:val="19"/>
                <w:szCs w:val="19"/>
                <w:lang w:eastAsia="en-IN"/>
                <w14:ligatures w14:val="none"/>
              </w:rPr>
            </w:pPr>
            <w:r w:rsidRPr="00801A36">
              <w:rPr>
                <w:rFonts w:ascii="Times New Roman" w:eastAsia="Times New Roman" w:hAnsi="Times New Roman" w:cs="Times New Roman"/>
                <w:color w:val="000000"/>
                <w:kern w:val="0"/>
                <w:sz w:val="19"/>
                <w:szCs w:val="19"/>
                <w:lang w:eastAsia="en-IN"/>
                <w14:ligatures w14:val="none"/>
              </w:rPr>
              <w:t>..</w:t>
            </w:r>
          </w:p>
        </w:tc>
        <w:tc>
          <w:tcPr>
            <w:tcW w:w="1196" w:type="dxa"/>
            <w:tcBorders>
              <w:top w:val="nil"/>
              <w:left w:val="nil"/>
              <w:bottom w:val="single" w:sz="4" w:space="0" w:color="auto"/>
              <w:right w:val="single" w:sz="4" w:space="0" w:color="auto"/>
            </w:tcBorders>
            <w:noWrap/>
            <w:vAlign w:val="center"/>
            <w:hideMark/>
          </w:tcPr>
          <w:p w14:paraId="16A7BE6F" w14:textId="77777777" w:rsidR="007B1BAC" w:rsidRPr="00801A36" w:rsidRDefault="007B1BAC" w:rsidP="00801A36">
            <w:pPr>
              <w:spacing w:after="0" w:line="240" w:lineRule="auto"/>
              <w:jc w:val="center"/>
              <w:rPr>
                <w:rFonts w:ascii="Times New Roman" w:eastAsia="Times New Roman" w:hAnsi="Times New Roman" w:cs="Times New Roman"/>
                <w:color w:val="000000"/>
                <w:kern w:val="0"/>
                <w:sz w:val="19"/>
                <w:szCs w:val="19"/>
                <w:lang w:eastAsia="en-IN"/>
                <w14:ligatures w14:val="none"/>
              </w:rPr>
            </w:pPr>
            <w:r w:rsidRPr="00801A36">
              <w:rPr>
                <w:rFonts w:ascii="Times New Roman" w:eastAsia="Times New Roman" w:hAnsi="Times New Roman" w:cs="Times New Roman"/>
                <w:color w:val="000000"/>
                <w:kern w:val="0"/>
                <w:sz w:val="19"/>
                <w:szCs w:val="19"/>
                <w:lang w:eastAsia="en-IN"/>
                <w14:ligatures w14:val="none"/>
              </w:rPr>
              <w:t>..</w:t>
            </w:r>
          </w:p>
        </w:tc>
        <w:tc>
          <w:tcPr>
            <w:tcW w:w="986" w:type="dxa"/>
            <w:tcBorders>
              <w:top w:val="nil"/>
              <w:left w:val="nil"/>
              <w:bottom w:val="single" w:sz="4" w:space="0" w:color="auto"/>
              <w:right w:val="single" w:sz="4" w:space="0" w:color="auto"/>
            </w:tcBorders>
            <w:noWrap/>
            <w:vAlign w:val="center"/>
            <w:hideMark/>
          </w:tcPr>
          <w:p w14:paraId="3C4169D0" w14:textId="77777777" w:rsidR="007B1BAC" w:rsidRPr="00801A36" w:rsidRDefault="007B1BAC" w:rsidP="00801A36">
            <w:pPr>
              <w:spacing w:after="0" w:line="240" w:lineRule="auto"/>
              <w:jc w:val="center"/>
              <w:rPr>
                <w:rFonts w:ascii="Times New Roman" w:eastAsia="Times New Roman" w:hAnsi="Times New Roman" w:cs="Times New Roman"/>
                <w:color w:val="000000"/>
                <w:kern w:val="0"/>
                <w:sz w:val="19"/>
                <w:szCs w:val="19"/>
                <w:lang w:eastAsia="en-IN"/>
                <w14:ligatures w14:val="none"/>
              </w:rPr>
            </w:pPr>
            <w:r w:rsidRPr="00801A36">
              <w:rPr>
                <w:rFonts w:ascii="Times New Roman" w:eastAsia="Times New Roman" w:hAnsi="Times New Roman" w:cs="Times New Roman"/>
                <w:color w:val="000000"/>
                <w:kern w:val="0"/>
                <w:sz w:val="19"/>
                <w:szCs w:val="19"/>
                <w:lang w:eastAsia="en-IN"/>
                <w14:ligatures w14:val="none"/>
              </w:rPr>
              <w:t>..</w:t>
            </w:r>
          </w:p>
        </w:tc>
      </w:tr>
      <w:tr w:rsidR="007B1BAC" w:rsidRPr="00801A36" w14:paraId="7D8EB537" w14:textId="77777777" w:rsidTr="00801A36">
        <w:trPr>
          <w:trHeight w:val="20"/>
          <w:jc w:val="center"/>
        </w:trPr>
        <w:tc>
          <w:tcPr>
            <w:tcW w:w="618" w:type="dxa"/>
            <w:tcBorders>
              <w:top w:val="nil"/>
              <w:left w:val="single" w:sz="4" w:space="0" w:color="auto"/>
              <w:bottom w:val="single" w:sz="4" w:space="0" w:color="auto"/>
              <w:right w:val="single" w:sz="4" w:space="0" w:color="auto"/>
            </w:tcBorders>
            <w:noWrap/>
            <w:vAlign w:val="bottom"/>
            <w:hideMark/>
          </w:tcPr>
          <w:p w14:paraId="724E5362" w14:textId="77777777" w:rsidR="007B1BAC" w:rsidRPr="00801A36" w:rsidRDefault="007B1BAC" w:rsidP="007B1BAC">
            <w:pPr>
              <w:spacing w:after="0" w:line="240" w:lineRule="auto"/>
              <w:rPr>
                <w:rFonts w:ascii="Times New Roman" w:eastAsia="Times New Roman" w:hAnsi="Times New Roman" w:cs="Times New Roman"/>
                <w:color w:val="000000"/>
                <w:kern w:val="0"/>
                <w:sz w:val="19"/>
                <w:szCs w:val="19"/>
                <w:lang w:eastAsia="en-IN"/>
                <w14:ligatures w14:val="none"/>
              </w:rPr>
            </w:pPr>
            <w:r w:rsidRPr="00801A36">
              <w:rPr>
                <w:rFonts w:ascii="Times New Roman" w:eastAsia="Times New Roman" w:hAnsi="Times New Roman" w:cs="Times New Roman"/>
                <w:color w:val="000000"/>
                <w:kern w:val="0"/>
                <w:sz w:val="19"/>
                <w:szCs w:val="19"/>
                <w:lang w:eastAsia="en-IN"/>
                <w14:ligatures w14:val="none"/>
              </w:rPr>
              <w:t> </w:t>
            </w:r>
          </w:p>
        </w:tc>
        <w:tc>
          <w:tcPr>
            <w:tcW w:w="1680" w:type="dxa"/>
            <w:tcBorders>
              <w:top w:val="nil"/>
              <w:left w:val="nil"/>
              <w:bottom w:val="single" w:sz="4" w:space="0" w:color="auto"/>
              <w:right w:val="single" w:sz="4" w:space="0" w:color="auto"/>
            </w:tcBorders>
            <w:noWrap/>
            <w:vAlign w:val="bottom"/>
            <w:hideMark/>
          </w:tcPr>
          <w:p w14:paraId="41E1C486" w14:textId="77777777" w:rsidR="007B1BAC" w:rsidRPr="00801A36" w:rsidRDefault="007B1BAC" w:rsidP="007B1BAC">
            <w:pPr>
              <w:spacing w:after="0" w:line="240" w:lineRule="auto"/>
              <w:rPr>
                <w:rFonts w:ascii="Times New Roman" w:eastAsia="Times New Roman" w:hAnsi="Times New Roman" w:cs="Times New Roman"/>
                <w:color w:val="000000"/>
                <w:kern w:val="0"/>
                <w:sz w:val="19"/>
                <w:szCs w:val="19"/>
                <w:lang w:eastAsia="en-IN"/>
                <w14:ligatures w14:val="none"/>
              </w:rPr>
            </w:pPr>
            <w:r w:rsidRPr="00801A36">
              <w:rPr>
                <w:rFonts w:ascii="Times New Roman" w:eastAsia="Times New Roman" w:hAnsi="Times New Roman" w:cs="Times New Roman"/>
                <w:color w:val="000000"/>
                <w:kern w:val="0"/>
                <w:sz w:val="19"/>
                <w:szCs w:val="19"/>
                <w:lang w:eastAsia="en-IN"/>
                <w14:ligatures w14:val="none"/>
              </w:rPr>
              <w:t>South Central</w:t>
            </w:r>
          </w:p>
        </w:tc>
        <w:tc>
          <w:tcPr>
            <w:tcW w:w="1084" w:type="dxa"/>
            <w:tcBorders>
              <w:top w:val="nil"/>
              <w:left w:val="nil"/>
              <w:bottom w:val="single" w:sz="4" w:space="0" w:color="auto"/>
              <w:right w:val="single" w:sz="4" w:space="0" w:color="auto"/>
            </w:tcBorders>
            <w:noWrap/>
            <w:vAlign w:val="center"/>
            <w:hideMark/>
          </w:tcPr>
          <w:p w14:paraId="0D3D0E24" w14:textId="77777777" w:rsidR="007B1BAC" w:rsidRPr="00801A36" w:rsidRDefault="007B1BAC" w:rsidP="00801A36">
            <w:pPr>
              <w:spacing w:after="0" w:line="240" w:lineRule="auto"/>
              <w:jc w:val="center"/>
              <w:rPr>
                <w:rFonts w:ascii="Times New Roman" w:eastAsia="Times New Roman" w:hAnsi="Times New Roman" w:cs="Times New Roman"/>
                <w:color w:val="000000"/>
                <w:kern w:val="0"/>
                <w:sz w:val="19"/>
                <w:szCs w:val="19"/>
                <w:lang w:eastAsia="en-IN"/>
                <w14:ligatures w14:val="none"/>
              </w:rPr>
            </w:pPr>
            <w:r w:rsidRPr="00801A36">
              <w:rPr>
                <w:rFonts w:ascii="Times New Roman" w:eastAsia="Times New Roman" w:hAnsi="Times New Roman" w:cs="Times New Roman"/>
                <w:color w:val="000000"/>
                <w:kern w:val="0"/>
                <w:sz w:val="19"/>
                <w:szCs w:val="19"/>
                <w:lang w:eastAsia="en-IN"/>
                <w14:ligatures w14:val="none"/>
              </w:rPr>
              <w:t>..</w:t>
            </w:r>
          </w:p>
        </w:tc>
        <w:tc>
          <w:tcPr>
            <w:tcW w:w="1070" w:type="dxa"/>
            <w:tcBorders>
              <w:top w:val="nil"/>
              <w:left w:val="nil"/>
              <w:bottom w:val="single" w:sz="4" w:space="0" w:color="auto"/>
              <w:right w:val="single" w:sz="4" w:space="0" w:color="auto"/>
            </w:tcBorders>
            <w:noWrap/>
            <w:vAlign w:val="center"/>
            <w:hideMark/>
          </w:tcPr>
          <w:p w14:paraId="7A543D29" w14:textId="77777777" w:rsidR="007B1BAC" w:rsidRPr="00801A36" w:rsidRDefault="007B1BAC" w:rsidP="00801A36">
            <w:pPr>
              <w:spacing w:after="0" w:line="240" w:lineRule="auto"/>
              <w:jc w:val="center"/>
              <w:rPr>
                <w:rFonts w:ascii="Times New Roman" w:eastAsia="Times New Roman" w:hAnsi="Times New Roman" w:cs="Times New Roman"/>
                <w:color w:val="000000"/>
                <w:kern w:val="0"/>
                <w:sz w:val="19"/>
                <w:szCs w:val="19"/>
                <w:lang w:eastAsia="en-IN"/>
                <w14:ligatures w14:val="none"/>
              </w:rPr>
            </w:pPr>
            <w:r w:rsidRPr="00801A36">
              <w:rPr>
                <w:rFonts w:ascii="Times New Roman" w:eastAsia="Times New Roman" w:hAnsi="Times New Roman" w:cs="Times New Roman"/>
                <w:color w:val="000000"/>
                <w:kern w:val="0"/>
                <w:sz w:val="19"/>
                <w:szCs w:val="19"/>
                <w:lang w:eastAsia="en-IN"/>
                <w14:ligatures w14:val="none"/>
              </w:rPr>
              <w:t>..</w:t>
            </w:r>
          </w:p>
        </w:tc>
        <w:tc>
          <w:tcPr>
            <w:tcW w:w="1196" w:type="dxa"/>
            <w:tcBorders>
              <w:top w:val="nil"/>
              <w:left w:val="nil"/>
              <w:bottom w:val="single" w:sz="4" w:space="0" w:color="auto"/>
              <w:right w:val="single" w:sz="4" w:space="0" w:color="auto"/>
            </w:tcBorders>
            <w:noWrap/>
            <w:vAlign w:val="center"/>
            <w:hideMark/>
          </w:tcPr>
          <w:p w14:paraId="0CBB560B" w14:textId="77777777" w:rsidR="007B1BAC" w:rsidRPr="00801A36" w:rsidRDefault="007B1BAC" w:rsidP="00801A36">
            <w:pPr>
              <w:spacing w:after="0" w:line="240" w:lineRule="auto"/>
              <w:jc w:val="center"/>
              <w:rPr>
                <w:rFonts w:ascii="Times New Roman" w:eastAsia="Times New Roman" w:hAnsi="Times New Roman" w:cs="Times New Roman"/>
                <w:color w:val="000000"/>
                <w:kern w:val="0"/>
                <w:sz w:val="19"/>
                <w:szCs w:val="19"/>
                <w:lang w:eastAsia="en-IN"/>
                <w14:ligatures w14:val="none"/>
              </w:rPr>
            </w:pPr>
            <w:r w:rsidRPr="00801A36">
              <w:rPr>
                <w:rFonts w:ascii="Times New Roman" w:eastAsia="Times New Roman" w:hAnsi="Times New Roman" w:cs="Times New Roman"/>
                <w:color w:val="000000"/>
                <w:kern w:val="0"/>
                <w:sz w:val="19"/>
                <w:szCs w:val="19"/>
                <w:lang w:eastAsia="en-IN"/>
                <w14:ligatures w14:val="none"/>
              </w:rPr>
              <w:t>..</w:t>
            </w:r>
          </w:p>
        </w:tc>
        <w:tc>
          <w:tcPr>
            <w:tcW w:w="986" w:type="dxa"/>
            <w:tcBorders>
              <w:top w:val="nil"/>
              <w:left w:val="nil"/>
              <w:bottom w:val="single" w:sz="4" w:space="0" w:color="auto"/>
              <w:right w:val="single" w:sz="4" w:space="0" w:color="auto"/>
            </w:tcBorders>
            <w:noWrap/>
            <w:vAlign w:val="center"/>
            <w:hideMark/>
          </w:tcPr>
          <w:p w14:paraId="09E09920" w14:textId="77777777" w:rsidR="007B1BAC" w:rsidRPr="00801A36" w:rsidRDefault="007B1BAC" w:rsidP="00801A36">
            <w:pPr>
              <w:spacing w:after="0" w:line="240" w:lineRule="auto"/>
              <w:jc w:val="center"/>
              <w:rPr>
                <w:rFonts w:ascii="Times New Roman" w:eastAsia="Times New Roman" w:hAnsi="Times New Roman" w:cs="Times New Roman"/>
                <w:color w:val="000000"/>
                <w:kern w:val="0"/>
                <w:sz w:val="19"/>
                <w:szCs w:val="19"/>
                <w:lang w:eastAsia="en-IN"/>
                <w14:ligatures w14:val="none"/>
              </w:rPr>
            </w:pPr>
            <w:r w:rsidRPr="00801A36">
              <w:rPr>
                <w:rFonts w:ascii="Times New Roman" w:eastAsia="Times New Roman" w:hAnsi="Times New Roman" w:cs="Times New Roman"/>
                <w:color w:val="000000"/>
                <w:kern w:val="0"/>
                <w:sz w:val="19"/>
                <w:szCs w:val="19"/>
                <w:lang w:eastAsia="en-IN"/>
                <w14:ligatures w14:val="none"/>
              </w:rPr>
              <w:t>..</w:t>
            </w:r>
          </w:p>
        </w:tc>
        <w:tc>
          <w:tcPr>
            <w:tcW w:w="1084" w:type="dxa"/>
            <w:tcBorders>
              <w:top w:val="nil"/>
              <w:left w:val="nil"/>
              <w:bottom w:val="single" w:sz="4" w:space="0" w:color="auto"/>
              <w:right w:val="single" w:sz="4" w:space="0" w:color="auto"/>
            </w:tcBorders>
            <w:noWrap/>
            <w:vAlign w:val="center"/>
            <w:hideMark/>
          </w:tcPr>
          <w:p w14:paraId="085F0BCA" w14:textId="77777777" w:rsidR="007B1BAC" w:rsidRPr="00801A36" w:rsidRDefault="007B1BAC" w:rsidP="00801A36">
            <w:pPr>
              <w:spacing w:after="0" w:line="240" w:lineRule="auto"/>
              <w:jc w:val="center"/>
              <w:rPr>
                <w:rFonts w:ascii="Times New Roman" w:eastAsia="Times New Roman" w:hAnsi="Times New Roman" w:cs="Times New Roman"/>
                <w:color w:val="000000"/>
                <w:kern w:val="0"/>
                <w:sz w:val="19"/>
                <w:szCs w:val="19"/>
                <w:lang w:eastAsia="en-IN"/>
                <w14:ligatures w14:val="none"/>
              </w:rPr>
            </w:pPr>
            <w:r w:rsidRPr="00801A36">
              <w:rPr>
                <w:rFonts w:ascii="Times New Roman" w:eastAsia="Times New Roman" w:hAnsi="Times New Roman" w:cs="Times New Roman"/>
                <w:color w:val="000000"/>
                <w:kern w:val="0"/>
                <w:sz w:val="19"/>
                <w:szCs w:val="19"/>
                <w:lang w:eastAsia="en-IN"/>
                <w14:ligatures w14:val="none"/>
              </w:rPr>
              <w:t>..</w:t>
            </w:r>
          </w:p>
        </w:tc>
        <w:tc>
          <w:tcPr>
            <w:tcW w:w="1070" w:type="dxa"/>
            <w:tcBorders>
              <w:top w:val="nil"/>
              <w:left w:val="nil"/>
              <w:bottom w:val="single" w:sz="4" w:space="0" w:color="auto"/>
              <w:right w:val="single" w:sz="4" w:space="0" w:color="auto"/>
            </w:tcBorders>
            <w:noWrap/>
            <w:vAlign w:val="center"/>
            <w:hideMark/>
          </w:tcPr>
          <w:p w14:paraId="4153E979" w14:textId="77777777" w:rsidR="007B1BAC" w:rsidRPr="00801A36" w:rsidRDefault="007B1BAC" w:rsidP="00801A36">
            <w:pPr>
              <w:spacing w:after="0" w:line="240" w:lineRule="auto"/>
              <w:jc w:val="center"/>
              <w:rPr>
                <w:rFonts w:ascii="Times New Roman" w:eastAsia="Times New Roman" w:hAnsi="Times New Roman" w:cs="Times New Roman"/>
                <w:color w:val="000000"/>
                <w:kern w:val="0"/>
                <w:sz w:val="19"/>
                <w:szCs w:val="19"/>
                <w:lang w:eastAsia="en-IN"/>
                <w14:ligatures w14:val="none"/>
              </w:rPr>
            </w:pPr>
            <w:r w:rsidRPr="00801A36">
              <w:rPr>
                <w:rFonts w:ascii="Times New Roman" w:eastAsia="Times New Roman" w:hAnsi="Times New Roman" w:cs="Times New Roman"/>
                <w:color w:val="000000"/>
                <w:kern w:val="0"/>
                <w:sz w:val="19"/>
                <w:szCs w:val="19"/>
                <w:lang w:eastAsia="en-IN"/>
                <w14:ligatures w14:val="none"/>
              </w:rPr>
              <w:t>..</w:t>
            </w:r>
          </w:p>
        </w:tc>
        <w:tc>
          <w:tcPr>
            <w:tcW w:w="1196" w:type="dxa"/>
            <w:tcBorders>
              <w:top w:val="nil"/>
              <w:left w:val="nil"/>
              <w:bottom w:val="single" w:sz="4" w:space="0" w:color="auto"/>
              <w:right w:val="single" w:sz="4" w:space="0" w:color="auto"/>
            </w:tcBorders>
            <w:noWrap/>
            <w:vAlign w:val="center"/>
            <w:hideMark/>
          </w:tcPr>
          <w:p w14:paraId="4B309D6D" w14:textId="77777777" w:rsidR="007B1BAC" w:rsidRPr="00801A36" w:rsidRDefault="007B1BAC" w:rsidP="00801A36">
            <w:pPr>
              <w:spacing w:after="0" w:line="240" w:lineRule="auto"/>
              <w:jc w:val="center"/>
              <w:rPr>
                <w:rFonts w:ascii="Times New Roman" w:eastAsia="Times New Roman" w:hAnsi="Times New Roman" w:cs="Times New Roman"/>
                <w:color w:val="000000"/>
                <w:kern w:val="0"/>
                <w:sz w:val="19"/>
                <w:szCs w:val="19"/>
                <w:lang w:eastAsia="en-IN"/>
                <w14:ligatures w14:val="none"/>
              </w:rPr>
            </w:pPr>
            <w:r w:rsidRPr="00801A36">
              <w:rPr>
                <w:rFonts w:ascii="Times New Roman" w:eastAsia="Times New Roman" w:hAnsi="Times New Roman" w:cs="Times New Roman"/>
                <w:color w:val="000000"/>
                <w:kern w:val="0"/>
                <w:sz w:val="19"/>
                <w:szCs w:val="19"/>
                <w:lang w:eastAsia="en-IN"/>
                <w14:ligatures w14:val="none"/>
              </w:rPr>
              <w:t>..</w:t>
            </w:r>
          </w:p>
        </w:tc>
        <w:tc>
          <w:tcPr>
            <w:tcW w:w="986" w:type="dxa"/>
            <w:tcBorders>
              <w:top w:val="nil"/>
              <w:left w:val="nil"/>
              <w:bottom w:val="single" w:sz="4" w:space="0" w:color="auto"/>
              <w:right w:val="single" w:sz="4" w:space="0" w:color="auto"/>
            </w:tcBorders>
            <w:noWrap/>
            <w:vAlign w:val="center"/>
            <w:hideMark/>
          </w:tcPr>
          <w:p w14:paraId="2314299A" w14:textId="77777777" w:rsidR="007B1BAC" w:rsidRPr="00801A36" w:rsidRDefault="007B1BAC" w:rsidP="00801A36">
            <w:pPr>
              <w:spacing w:after="0" w:line="240" w:lineRule="auto"/>
              <w:jc w:val="center"/>
              <w:rPr>
                <w:rFonts w:ascii="Times New Roman" w:eastAsia="Times New Roman" w:hAnsi="Times New Roman" w:cs="Times New Roman"/>
                <w:color w:val="000000"/>
                <w:kern w:val="0"/>
                <w:sz w:val="19"/>
                <w:szCs w:val="19"/>
                <w:lang w:eastAsia="en-IN"/>
                <w14:ligatures w14:val="none"/>
              </w:rPr>
            </w:pPr>
            <w:r w:rsidRPr="00801A36">
              <w:rPr>
                <w:rFonts w:ascii="Times New Roman" w:eastAsia="Times New Roman" w:hAnsi="Times New Roman" w:cs="Times New Roman"/>
                <w:color w:val="000000"/>
                <w:kern w:val="0"/>
                <w:sz w:val="19"/>
                <w:szCs w:val="19"/>
                <w:lang w:eastAsia="en-IN"/>
                <w14:ligatures w14:val="none"/>
              </w:rPr>
              <w:t>..</w:t>
            </w:r>
          </w:p>
        </w:tc>
        <w:tc>
          <w:tcPr>
            <w:tcW w:w="1084" w:type="dxa"/>
            <w:tcBorders>
              <w:top w:val="nil"/>
              <w:left w:val="nil"/>
              <w:bottom w:val="single" w:sz="4" w:space="0" w:color="auto"/>
              <w:right w:val="single" w:sz="4" w:space="0" w:color="auto"/>
            </w:tcBorders>
            <w:noWrap/>
            <w:vAlign w:val="center"/>
            <w:hideMark/>
          </w:tcPr>
          <w:p w14:paraId="578CCBF7" w14:textId="77777777" w:rsidR="007B1BAC" w:rsidRPr="00801A36" w:rsidRDefault="007B1BAC" w:rsidP="00801A36">
            <w:pPr>
              <w:spacing w:after="0" w:line="240" w:lineRule="auto"/>
              <w:jc w:val="center"/>
              <w:rPr>
                <w:rFonts w:ascii="Times New Roman" w:eastAsia="Times New Roman" w:hAnsi="Times New Roman" w:cs="Times New Roman"/>
                <w:color w:val="000000"/>
                <w:kern w:val="0"/>
                <w:sz w:val="19"/>
                <w:szCs w:val="19"/>
                <w:lang w:eastAsia="en-IN"/>
                <w14:ligatures w14:val="none"/>
              </w:rPr>
            </w:pPr>
            <w:r w:rsidRPr="00801A36">
              <w:rPr>
                <w:rFonts w:ascii="Times New Roman" w:eastAsia="Times New Roman" w:hAnsi="Times New Roman" w:cs="Times New Roman"/>
                <w:color w:val="000000"/>
                <w:kern w:val="0"/>
                <w:sz w:val="19"/>
                <w:szCs w:val="19"/>
                <w:lang w:eastAsia="en-IN"/>
                <w14:ligatures w14:val="none"/>
              </w:rPr>
              <w:t>409.47</w:t>
            </w:r>
          </w:p>
        </w:tc>
        <w:tc>
          <w:tcPr>
            <w:tcW w:w="1070" w:type="dxa"/>
            <w:tcBorders>
              <w:top w:val="nil"/>
              <w:left w:val="nil"/>
              <w:bottom w:val="single" w:sz="4" w:space="0" w:color="auto"/>
              <w:right w:val="single" w:sz="4" w:space="0" w:color="auto"/>
            </w:tcBorders>
            <w:noWrap/>
            <w:vAlign w:val="center"/>
            <w:hideMark/>
          </w:tcPr>
          <w:p w14:paraId="4F79A676" w14:textId="3A05EC3E" w:rsidR="007B1BAC" w:rsidRPr="00801A36" w:rsidRDefault="007B1BAC" w:rsidP="00801A36">
            <w:pPr>
              <w:spacing w:after="0" w:line="240" w:lineRule="auto"/>
              <w:jc w:val="center"/>
              <w:rPr>
                <w:rFonts w:ascii="Times New Roman" w:eastAsia="Times New Roman" w:hAnsi="Times New Roman" w:cs="Times New Roman"/>
                <w:color w:val="000000"/>
                <w:kern w:val="0"/>
                <w:sz w:val="19"/>
                <w:szCs w:val="19"/>
                <w:lang w:eastAsia="en-IN"/>
                <w14:ligatures w14:val="none"/>
              </w:rPr>
            </w:pPr>
            <w:r w:rsidRPr="00801A36">
              <w:rPr>
                <w:rFonts w:ascii="Times New Roman" w:eastAsia="Times New Roman" w:hAnsi="Times New Roman" w:cs="Times New Roman"/>
                <w:color w:val="000000"/>
                <w:kern w:val="0"/>
                <w:sz w:val="19"/>
                <w:szCs w:val="19"/>
                <w:lang w:eastAsia="en-IN"/>
                <w14:ligatures w14:val="none"/>
              </w:rPr>
              <w:t>994.6</w:t>
            </w:r>
            <w:r w:rsidR="00F0435A">
              <w:rPr>
                <w:rFonts w:ascii="Times New Roman" w:eastAsia="Times New Roman" w:hAnsi="Times New Roman" w:cs="Times New Roman"/>
                <w:color w:val="000000"/>
                <w:kern w:val="0"/>
                <w:sz w:val="19"/>
                <w:szCs w:val="19"/>
                <w:lang w:eastAsia="en-IN"/>
                <w14:ligatures w14:val="none"/>
              </w:rPr>
              <w:t>4</w:t>
            </w:r>
          </w:p>
        </w:tc>
        <w:tc>
          <w:tcPr>
            <w:tcW w:w="1196" w:type="dxa"/>
            <w:tcBorders>
              <w:top w:val="nil"/>
              <w:left w:val="nil"/>
              <w:bottom w:val="single" w:sz="4" w:space="0" w:color="auto"/>
              <w:right w:val="single" w:sz="4" w:space="0" w:color="auto"/>
            </w:tcBorders>
            <w:noWrap/>
            <w:vAlign w:val="center"/>
            <w:hideMark/>
          </w:tcPr>
          <w:p w14:paraId="08F3CDA5" w14:textId="77777777" w:rsidR="007B1BAC" w:rsidRPr="00801A36" w:rsidRDefault="007B1BAC" w:rsidP="00801A36">
            <w:pPr>
              <w:spacing w:after="0" w:line="240" w:lineRule="auto"/>
              <w:jc w:val="center"/>
              <w:rPr>
                <w:rFonts w:ascii="Times New Roman" w:eastAsia="Times New Roman" w:hAnsi="Times New Roman" w:cs="Times New Roman"/>
                <w:color w:val="000000"/>
                <w:kern w:val="0"/>
                <w:sz w:val="19"/>
                <w:szCs w:val="19"/>
                <w:lang w:eastAsia="en-IN"/>
                <w14:ligatures w14:val="none"/>
              </w:rPr>
            </w:pPr>
            <w:r w:rsidRPr="00801A36">
              <w:rPr>
                <w:rFonts w:ascii="Times New Roman" w:eastAsia="Times New Roman" w:hAnsi="Times New Roman" w:cs="Times New Roman"/>
                <w:color w:val="000000"/>
                <w:kern w:val="0"/>
                <w:sz w:val="19"/>
                <w:szCs w:val="19"/>
                <w:lang w:eastAsia="en-IN"/>
                <w14:ligatures w14:val="none"/>
              </w:rPr>
              <w:t>370.18</w:t>
            </w:r>
          </w:p>
        </w:tc>
        <w:tc>
          <w:tcPr>
            <w:tcW w:w="986" w:type="dxa"/>
            <w:tcBorders>
              <w:top w:val="nil"/>
              <w:left w:val="nil"/>
              <w:bottom w:val="single" w:sz="4" w:space="0" w:color="auto"/>
              <w:right w:val="single" w:sz="4" w:space="0" w:color="auto"/>
            </w:tcBorders>
            <w:noWrap/>
            <w:vAlign w:val="center"/>
            <w:hideMark/>
          </w:tcPr>
          <w:p w14:paraId="0C24DF14" w14:textId="77777777" w:rsidR="007B1BAC" w:rsidRPr="00801A36" w:rsidRDefault="007B1BAC" w:rsidP="00801A36">
            <w:pPr>
              <w:spacing w:after="0" w:line="240" w:lineRule="auto"/>
              <w:jc w:val="center"/>
              <w:rPr>
                <w:rFonts w:ascii="Times New Roman" w:eastAsia="Times New Roman" w:hAnsi="Times New Roman" w:cs="Times New Roman"/>
                <w:color w:val="000000"/>
                <w:kern w:val="0"/>
                <w:sz w:val="19"/>
                <w:szCs w:val="19"/>
                <w:lang w:eastAsia="en-IN"/>
                <w14:ligatures w14:val="none"/>
              </w:rPr>
            </w:pPr>
            <w:r w:rsidRPr="00801A36">
              <w:rPr>
                <w:rFonts w:ascii="Times New Roman" w:eastAsia="Times New Roman" w:hAnsi="Times New Roman" w:cs="Times New Roman"/>
                <w:color w:val="000000"/>
                <w:kern w:val="0"/>
                <w:sz w:val="19"/>
                <w:szCs w:val="19"/>
                <w:lang w:eastAsia="en-IN"/>
                <w14:ligatures w14:val="none"/>
              </w:rPr>
              <w:t>1,774.29</w:t>
            </w:r>
          </w:p>
        </w:tc>
      </w:tr>
      <w:tr w:rsidR="007B1BAC" w:rsidRPr="00801A36" w14:paraId="5ABA9315" w14:textId="77777777" w:rsidTr="00801A36">
        <w:trPr>
          <w:trHeight w:val="20"/>
          <w:jc w:val="center"/>
        </w:trPr>
        <w:tc>
          <w:tcPr>
            <w:tcW w:w="618" w:type="dxa"/>
            <w:tcBorders>
              <w:top w:val="nil"/>
              <w:left w:val="single" w:sz="4" w:space="0" w:color="auto"/>
              <w:bottom w:val="single" w:sz="4" w:space="0" w:color="auto"/>
              <w:right w:val="single" w:sz="4" w:space="0" w:color="auto"/>
            </w:tcBorders>
            <w:noWrap/>
            <w:vAlign w:val="bottom"/>
            <w:hideMark/>
          </w:tcPr>
          <w:p w14:paraId="66CAEC99" w14:textId="77777777" w:rsidR="007B1BAC" w:rsidRPr="00801A36" w:rsidRDefault="007B1BAC" w:rsidP="007B1BAC">
            <w:pPr>
              <w:spacing w:after="0" w:line="240" w:lineRule="auto"/>
              <w:rPr>
                <w:rFonts w:ascii="Times New Roman" w:eastAsia="Times New Roman" w:hAnsi="Times New Roman" w:cs="Times New Roman"/>
                <w:color w:val="000000"/>
                <w:kern w:val="0"/>
                <w:sz w:val="19"/>
                <w:szCs w:val="19"/>
                <w:lang w:eastAsia="en-IN"/>
                <w14:ligatures w14:val="none"/>
              </w:rPr>
            </w:pPr>
            <w:r w:rsidRPr="00801A36">
              <w:rPr>
                <w:rFonts w:ascii="Times New Roman" w:eastAsia="Times New Roman" w:hAnsi="Times New Roman" w:cs="Times New Roman"/>
                <w:color w:val="000000"/>
                <w:kern w:val="0"/>
                <w:sz w:val="19"/>
                <w:szCs w:val="19"/>
                <w:lang w:eastAsia="en-IN"/>
                <w14:ligatures w14:val="none"/>
              </w:rPr>
              <w:t> </w:t>
            </w:r>
          </w:p>
        </w:tc>
        <w:tc>
          <w:tcPr>
            <w:tcW w:w="1680" w:type="dxa"/>
            <w:tcBorders>
              <w:top w:val="nil"/>
              <w:left w:val="nil"/>
              <w:bottom w:val="single" w:sz="4" w:space="0" w:color="auto"/>
              <w:right w:val="single" w:sz="4" w:space="0" w:color="auto"/>
            </w:tcBorders>
            <w:noWrap/>
            <w:vAlign w:val="bottom"/>
            <w:hideMark/>
          </w:tcPr>
          <w:p w14:paraId="11E39FE6" w14:textId="77777777" w:rsidR="007B1BAC" w:rsidRPr="00801A36" w:rsidRDefault="007B1BAC" w:rsidP="007B1BAC">
            <w:pPr>
              <w:spacing w:after="0" w:line="240" w:lineRule="auto"/>
              <w:rPr>
                <w:rFonts w:ascii="Times New Roman" w:eastAsia="Times New Roman" w:hAnsi="Times New Roman" w:cs="Times New Roman"/>
                <w:color w:val="000000"/>
                <w:kern w:val="0"/>
                <w:sz w:val="19"/>
                <w:szCs w:val="19"/>
                <w:lang w:eastAsia="en-IN"/>
                <w14:ligatures w14:val="none"/>
              </w:rPr>
            </w:pPr>
            <w:r w:rsidRPr="00801A36">
              <w:rPr>
                <w:rFonts w:ascii="Times New Roman" w:eastAsia="Times New Roman" w:hAnsi="Times New Roman" w:cs="Times New Roman"/>
                <w:color w:val="000000"/>
                <w:kern w:val="0"/>
                <w:sz w:val="19"/>
                <w:szCs w:val="19"/>
                <w:lang w:eastAsia="en-IN"/>
                <w14:ligatures w14:val="none"/>
              </w:rPr>
              <w:t>South Eastern</w:t>
            </w:r>
          </w:p>
        </w:tc>
        <w:tc>
          <w:tcPr>
            <w:tcW w:w="1084" w:type="dxa"/>
            <w:tcBorders>
              <w:top w:val="nil"/>
              <w:left w:val="nil"/>
              <w:bottom w:val="single" w:sz="4" w:space="0" w:color="auto"/>
              <w:right w:val="single" w:sz="4" w:space="0" w:color="auto"/>
            </w:tcBorders>
            <w:noWrap/>
            <w:vAlign w:val="center"/>
            <w:hideMark/>
          </w:tcPr>
          <w:p w14:paraId="6479E6C3" w14:textId="77777777" w:rsidR="007B1BAC" w:rsidRPr="00801A36" w:rsidRDefault="007B1BAC" w:rsidP="00801A36">
            <w:pPr>
              <w:spacing w:after="0" w:line="240" w:lineRule="auto"/>
              <w:jc w:val="center"/>
              <w:rPr>
                <w:rFonts w:ascii="Times New Roman" w:eastAsia="Times New Roman" w:hAnsi="Times New Roman" w:cs="Times New Roman"/>
                <w:color w:val="000000"/>
                <w:kern w:val="0"/>
                <w:sz w:val="19"/>
                <w:szCs w:val="19"/>
                <w:lang w:eastAsia="en-IN"/>
                <w14:ligatures w14:val="none"/>
              </w:rPr>
            </w:pPr>
            <w:r w:rsidRPr="00801A36">
              <w:rPr>
                <w:rFonts w:ascii="Times New Roman" w:eastAsia="Times New Roman" w:hAnsi="Times New Roman" w:cs="Times New Roman"/>
                <w:color w:val="000000"/>
                <w:kern w:val="0"/>
                <w:sz w:val="19"/>
                <w:szCs w:val="19"/>
                <w:lang w:eastAsia="en-IN"/>
                <w14:ligatures w14:val="none"/>
              </w:rPr>
              <w:t>244.45</w:t>
            </w:r>
          </w:p>
        </w:tc>
        <w:tc>
          <w:tcPr>
            <w:tcW w:w="1070" w:type="dxa"/>
            <w:tcBorders>
              <w:top w:val="nil"/>
              <w:left w:val="nil"/>
              <w:bottom w:val="single" w:sz="4" w:space="0" w:color="auto"/>
              <w:right w:val="single" w:sz="4" w:space="0" w:color="auto"/>
            </w:tcBorders>
            <w:noWrap/>
            <w:vAlign w:val="center"/>
            <w:hideMark/>
          </w:tcPr>
          <w:p w14:paraId="3396A720" w14:textId="77777777" w:rsidR="007B1BAC" w:rsidRPr="00801A36" w:rsidRDefault="007B1BAC" w:rsidP="00801A36">
            <w:pPr>
              <w:spacing w:after="0" w:line="240" w:lineRule="auto"/>
              <w:jc w:val="center"/>
              <w:rPr>
                <w:rFonts w:ascii="Times New Roman" w:eastAsia="Times New Roman" w:hAnsi="Times New Roman" w:cs="Times New Roman"/>
                <w:color w:val="000000"/>
                <w:kern w:val="0"/>
                <w:sz w:val="19"/>
                <w:szCs w:val="19"/>
                <w:lang w:eastAsia="en-IN"/>
                <w14:ligatures w14:val="none"/>
              </w:rPr>
            </w:pPr>
            <w:r w:rsidRPr="00801A36">
              <w:rPr>
                <w:rFonts w:ascii="Times New Roman" w:eastAsia="Times New Roman" w:hAnsi="Times New Roman" w:cs="Times New Roman"/>
                <w:color w:val="000000"/>
                <w:kern w:val="0"/>
                <w:sz w:val="19"/>
                <w:szCs w:val="19"/>
                <w:lang w:eastAsia="en-IN"/>
                <w14:ligatures w14:val="none"/>
              </w:rPr>
              <w:t>..</w:t>
            </w:r>
          </w:p>
        </w:tc>
        <w:tc>
          <w:tcPr>
            <w:tcW w:w="1196" w:type="dxa"/>
            <w:tcBorders>
              <w:top w:val="nil"/>
              <w:left w:val="nil"/>
              <w:bottom w:val="single" w:sz="4" w:space="0" w:color="auto"/>
              <w:right w:val="single" w:sz="4" w:space="0" w:color="auto"/>
            </w:tcBorders>
            <w:noWrap/>
            <w:vAlign w:val="center"/>
            <w:hideMark/>
          </w:tcPr>
          <w:p w14:paraId="359639C3" w14:textId="77777777" w:rsidR="007B1BAC" w:rsidRPr="00801A36" w:rsidRDefault="007B1BAC" w:rsidP="00801A36">
            <w:pPr>
              <w:spacing w:after="0" w:line="240" w:lineRule="auto"/>
              <w:jc w:val="center"/>
              <w:rPr>
                <w:rFonts w:ascii="Times New Roman" w:eastAsia="Times New Roman" w:hAnsi="Times New Roman" w:cs="Times New Roman"/>
                <w:color w:val="000000"/>
                <w:kern w:val="0"/>
                <w:sz w:val="19"/>
                <w:szCs w:val="19"/>
                <w:lang w:eastAsia="en-IN"/>
                <w14:ligatures w14:val="none"/>
              </w:rPr>
            </w:pPr>
            <w:r w:rsidRPr="00801A36">
              <w:rPr>
                <w:rFonts w:ascii="Times New Roman" w:eastAsia="Times New Roman" w:hAnsi="Times New Roman" w:cs="Times New Roman"/>
                <w:color w:val="000000"/>
                <w:kern w:val="0"/>
                <w:sz w:val="19"/>
                <w:szCs w:val="19"/>
                <w:lang w:eastAsia="en-IN"/>
                <w14:ligatures w14:val="none"/>
              </w:rPr>
              <w:t>452.29</w:t>
            </w:r>
          </w:p>
        </w:tc>
        <w:tc>
          <w:tcPr>
            <w:tcW w:w="986" w:type="dxa"/>
            <w:tcBorders>
              <w:top w:val="nil"/>
              <w:left w:val="nil"/>
              <w:bottom w:val="single" w:sz="4" w:space="0" w:color="auto"/>
              <w:right w:val="single" w:sz="4" w:space="0" w:color="auto"/>
            </w:tcBorders>
            <w:noWrap/>
            <w:vAlign w:val="center"/>
            <w:hideMark/>
          </w:tcPr>
          <w:p w14:paraId="5F32BE16" w14:textId="77777777" w:rsidR="007B1BAC" w:rsidRPr="00801A36" w:rsidRDefault="007B1BAC" w:rsidP="00801A36">
            <w:pPr>
              <w:spacing w:after="0" w:line="240" w:lineRule="auto"/>
              <w:jc w:val="center"/>
              <w:rPr>
                <w:rFonts w:ascii="Times New Roman" w:eastAsia="Times New Roman" w:hAnsi="Times New Roman" w:cs="Times New Roman"/>
                <w:color w:val="000000"/>
                <w:kern w:val="0"/>
                <w:sz w:val="19"/>
                <w:szCs w:val="19"/>
                <w:lang w:eastAsia="en-IN"/>
                <w14:ligatures w14:val="none"/>
              </w:rPr>
            </w:pPr>
            <w:r w:rsidRPr="00801A36">
              <w:rPr>
                <w:rFonts w:ascii="Times New Roman" w:eastAsia="Times New Roman" w:hAnsi="Times New Roman" w:cs="Times New Roman"/>
                <w:color w:val="000000"/>
                <w:kern w:val="0"/>
                <w:sz w:val="19"/>
                <w:szCs w:val="19"/>
                <w:lang w:eastAsia="en-IN"/>
                <w14:ligatures w14:val="none"/>
              </w:rPr>
              <w:t>696.74</w:t>
            </w:r>
          </w:p>
        </w:tc>
        <w:tc>
          <w:tcPr>
            <w:tcW w:w="1084" w:type="dxa"/>
            <w:tcBorders>
              <w:top w:val="nil"/>
              <w:left w:val="nil"/>
              <w:bottom w:val="single" w:sz="4" w:space="0" w:color="auto"/>
              <w:right w:val="single" w:sz="4" w:space="0" w:color="auto"/>
            </w:tcBorders>
            <w:noWrap/>
            <w:vAlign w:val="center"/>
            <w:hideMark/>
          </w:tcPr>
          <w:p w14:paraId="38B34070" w14:textId="77777777" w:rsidR="007B1BAC" w:rsidRPr="00801A36" w:rsidRDefault="007B1BAC" w:rsidP="00801A36">
            <w:pPr>
              <w:spacing w:after="0" w:line="240" w:lineRule="auto"/>
              <w:jc w:val="center"/>
              <w:rPr>
                <w:rFonts w:ascii="Times New Roman" w:eastAsia="Times New Roman" w:hAnsi="Times New Roman" w:cs="Times New Roman"/>
                <w:color w:val="000000"/>
                <w:kern w:val="0"/>
                <w:sz w:val="19"/>
                <w:szCs w:val="19"/>
                <w:lang w:eastAsia="en-IN"/>
                <w14:ligatures w14:val="none"/>
              </w:rPr>
            </w:pPr>
            <w:r w:rsidRPr="00801A36">
              <w:rPr>
                <w:rFonts w:ascii="Times New Roman" w:eastAsia="Times New Roman" w:hAnsi="Times New Roman" w:cs="Times New Roman"/>
                <w:color w:val="000000"/>
                <w:kern w:val="0"/>
                <w:sz w:val="19"/>
                <w:szCs w:val="19"/>
                <w:lang w:eastAsia="en-IN"/>
                <w14:ligatures w14:val="none"/>
              </w:rPr>
              <w:t>245</w:t>
            </w:r>
          </w:p>
        </w:tc>
        <w:tc>
          <w:tcPr>
            <w:tcW w:w="1070" w:type="dxa"/>
            <w:tcBorders>
              <w:top w:val="nil"/>
              <w:left w:val="nil"/>
              <w:bottom w:val="single" w:sz="4" w:space="0" w:color="auto"/>
              <w:right w:val="single" w:sz="4" w:space="0" w:color="auto"/>
            </w:tcBorders>
            <w:noWrap/>
            <w:vAlign w:val="center"/>
            <w:hideMark/>
          </w:tcPr>
          <w:p w14:paraId="4FBBD87C" w14:textId="77777777" w:rsidR="007B1BAC" w:rsidRPr="00801A36" w:rsidRDefault="007B1BAC" w:rsidP="00801A36">
            <w:pPr>
              <w:spacing w:after="0" w:line="240" w:lineRule="auto"/>
              <w:jc w:val="center"/>
              <w:rPr>
                <w:rFonts w:ascii="Times New Roman" w:eastAsia="Times New Roman" w:hAnsi="Times New Roman" w:cs="Times New Roman"/>
                <w:color w:val="000000"/>
                <w:kern w:val="0"/>
                <w:sz w:val="19"/>
                <w:szCs w:val="19"/>
                <w:lang w:eastAsia="en-IN"/>
                <w14:ligatures w14:val="none"/>
              </w:rPr>
            </w:pPr>
            <w:r w:rsidRPr="00801A36">
              <w:rPr>
                <w:rFonts w:ascii="Times New Roman" w:eastAsia="Times New Roman" w:hAnsi="Times New Roman" w:cs="Times New Roman"/>
                <w:color w:val="000000"/>
                <w:kern w:val="0"/>
                <w:sz w:val="19"/>
                <w:szCs w:val="19"/>
                <w:lang w:eastAsia="en-IN"/>
                <w14:ligatures w14:val="none"/>
              </w:rPr>
              <w:t>..</w:t>
            </w:r>
          </w:p>
        </w:tc>
        <w:tc>
          <w:tcPr>
            <w:tcW w:w="1196" w:type="dxa"/>
            <w:tcBorders>
              <w:top w:val="nil"/>
              <w:left w:val="nil"/>
              <w:bottom w:val="single" w:sz="4" w:space="0" w:color="auto"/>
              <w:right w:val="single" w:sz="4" w:space="0" w:color="auto"/>
            </w:tcBorders>
            <w:noWrap/>
            <w:vAlign w:val="center"/>
            <w:hideMark/>
          </w:tcPr>
          <w:p w14:paraId="746CF80B" w14:textId="77777777" w:rsidR="007B1BAC" w:rsidRPr="00801A36" w:rsidRDefault="007B1BAC" w:rsidP="00801A36">
            <w:pPr>
              <w:spacing w:after="0" w:line="240" w:lineRule="auto"/>
              <w:jc w:val="center"/>
              <w:rPr>
                <w:rFonts w:ascii="Times New Roman" w:eastAsia="Times New Roman" w:hAnsi="Times New Roman" w:cs="Times New Roman"/>
                <w:color w:val="000000"/>
                <w:kern w:val="0"/>
                <w:sz w:val="19"/>
                <w:szCs w:val="19"/>
                <w:lang w:eastAsia="en-IN"/>
                <w14:ligatures w14:val="none"/>
              </w:rPr>
            </w:pPr>
            <w:r w:rsidRPr="00801A36">
              <w:rPr>
                <w:rFonts w:ascii="Times New Roman" w:eastAsia="Times New Roman" w:hAnsi="Times New Roman" w:cs="Times New Roman"/>
                <w:color w:val="000000"/>
                <w:kern w:val="0"/>
                <w:sz w:val="19"/>
                <w:szCs w:val="19"/>
                <w:lang w:eastAsia="en-IN"/>
                <w14:ligatures w14:val="none"/>
              </w:rPr>
              <w:t>432.02</w:t>
            </w:r>
          </w:p>
        </w:tc>
        <w:tc>
          <w:tcPr>
            <w:tcW w:w="986" w:type="dxa"/>
            <w:tcBorders>
              <w:top w:val="nil"/>
              <w:left w:val="nil"/>
              <w:bottom w:val="single" w:sz="4" w:space="0" w:color="auto"/>
              <w:right w:val="single" w:sz="4" w:space="0" w:color="auto"/>
            </w:tcBorders>
            <w:noWrap/>
            <w:vAlign w:val="center"/>
            <w:hideMark/>
          </w:tcPr>
          <w:p w14:paraId="1374A686" w14:textId="77777777" w:rsidR="007B1BAC" w:rsidRPr="00801A36" w:rsidRDefault="007B1BAC" w:rsidP="00801A36">
            <w:pPr>
              <w:spacing w:after="0" w:line="240" w:lineRule="auto"/>
              <w:jc w:val="center"/>
              <w:rPr>
                <w:rFonts w:ascii="Times New Roman" w:eastAsia="Times New Roman" w:hAnsi="Times New Roman" w:cs="Times New Roman"/>
                <w:color w:val="000000"/>
                <w:kern w:val="0"/>
                <w:sz w:val="19"/>
                <w:szCs w:val="19"/>
                <w:lang w:eastAsia="en-IN"/>
                <w14:ligatures w14:val="none"/>
              </w:rPr>
            </w:pPr>
            <w:r w:rsidRPr="00801A36">
              <w:rPr>
                <w:rFonts w:ascii="Times New Roman" w:eastAsia="Times New Roman" w:hAnsi="Times New Roman" w:cs="Times New Roman"/>
                <w:color w:val="000000"/>
                <w:kern w:val="0"/>
                <w:sz w:val="19"/>
                <w:szCs w:val="19"/>
                <w:lang w:eastAsia="en-IN"/>
                <w14:ligatures w14:val="none"/>
              </w:rPr>
              <w:t>677.02</w:t>
            </w:r>
          </w:p>
        </w:tc>
        <w:tc>
          <w:tcPr>
            <w:tcW w:w="1084" w:type="dxa"/>
            <w:tcBorders>
              <w:top w:val="nil"/>
              <w:left w:val="nil"/>
              <w:bottom w:val="single" w:sz="4" w:space="0" w:color="auto"/>
              <w:right w:val="single" w:sz="4" w:space="0" w:color="auto"/>
            </w:tcBorders>
            <w:noWrap/>
            <w:vAlign w:val="center"/>
            <w:hideMark/>
          </w:tcPr>
          <w:p w14:paraId="7D252523" w14:textId="77777777" w:rsidR="007B1BAC" w:rsidRPr="00801A36" w:rsidRDefault="007B1BAC" w:rsidP="00801A36">
            <w:pPr>
              <w:spacing w:after="0" w:line="240" w:lineRule="auto"/>
              <w:jc w:val="center"/>
              <w:rPr>
                <w:rFonts w:ascii="Times New Roman" w:eastAsia="Times New Roman" w:hAnsi="Times New Roman" w:cs="Times New Roman"/>
                <w:color w:val="000000"/>
                <w:kern w:val="0"/>
                <w:sz w:val="19"/>
                <w:szCs w:val="19"/>
                <w:lang w:eastAsia="en-IN"/>
                <w14:ligatures w14:val="none"/>
              </w:rPr>
            </w:pPr>
            <w:r w:rsidRPr="00801A36">
              <w:rPr>
                <w:rFonts w:ascii="Times New Roman" w:eastAsia="Times New Roman" w:hAnsi="Times New Roman" w:cs="Times New Roman"/>
                <w:color w:val="000000"/>
                <w:kern w:val="0"/>
                <w:sz w:val="19"/>
                <w:szCs w:val="19"/>
                <w:lang w:eastAsia="en-IN"/>
                <w14:ligatures w14:val="none"/>
              </w:rPr>
              <w:t>244.5</w:t>
            </w:r>
          </w:p>
        </w:tc>
        <w:tc>
          <w:tcPr>
            <w:tcW w:w="1070" w:type="dxa"/>
            <w:tcBorders>
              <w:top w:val="nil"/>
              <w:left w:val="nil"/>
              <w:bottom w:val="single" w:sz="4" w:space="0" w:color="auto"/>
              <w:right w:val="single" w:sz="4" w:space="0" w:color="auto"/>
            </w:tcBorders>
            <w:noWrap/>
            <w:vAlign w:val="center"/>
            <w:hideMark/>
          </w:tcPr>
          <w:p w14:paraId="150EB457" w14:textId="77777777" w:rsidR="007B1BAC" w:rsidRPr="00801A36" w:rsidRDefault="007B1BAC" w:rsidP="00801A36">
            <w:pPr>
              <w:spacing w:after="0" w:line="240" w:lineRule="auto"/>
              <w:jc w:val="center"/>
              <w:rPr>
                <w:rFonts w:ascii="Times New Roman" w:eastAsia="Times New Roman" w:hAnsi="Times New Roman" w:cs="Times New Roman"/>
                <w:color w:val="000000"/>
                <w:kern w:val="0"/>
                <w:sz w:val="19"/>
                <w:szCs w:val="19"/>
                <w:lang w:eastAsia="en-IN"/>
                <w14:ligatures w14:val="none"/>
              </w:rPr>
            </w:pPr>
            <w:r w:rsidRPr="00801A36">
              <w:rPr>
                <w:rFonts w:ascii="Times New Roman" w:eastAsia="Times New Roman" w:hAnsi="Times New Roman" w:cs="Times New Roman"/>
                <w:color w:val="000000"/>
                <w:kern w:val="0"/>
                <w:sz w:val="19"/>
                <w:szCs w:val="19"/>
                <w:lang w:eastAsia="en-IN"/>
                <w14:ligatures w14:val="none"/>
              </w:rPr>
              <w:t>..</w:t>
            </w:r>
          </w:p>
        </w:tc>
        <w:tc>
          <w:tcPr>
            <w:tcW w:w="1196" w:type="dxa"/>
            <w:tcBorders>
              <w:top w:val="nil"/>
              <w:left w:val="nil"/>
              <w:bottom w:val="single" w:sz="4" w:space="0" w:color="auto"/>
              <w:right w:val="single" w:sz="4" w:space="0" w:color="auto"/>
            </w:tcBorders>
            <w:noWrap/>
            <w:vAlign w:val="center"/>
            <w:hideMark/>
          </w:tcPr>
          <w:p w14:paraId="7029348F" w14:textId="77777777" w:rsidR="007B1BAC" w:rsidRPr="00801A36" w:rsidRDefault="007B1BAC" w:rsidP="00801A36">
            <w:pPr>
              <w:spacing w:after="0" w:line="240" w:lineRule="auto"/>
              <w:jc w:val="center"/>
              <w:rPr>
                <w:rFonts w:ascii="Times New Roman" w:eastAsia="Times New Roman" w:hAnsi="Times New Roman" w:cs="Times New Roman"/>
                <w:color w:val="000000"/>
                <w:kern w:val="0"/>
                <w:sz w:val="19"/>
                <w:szCs w:val="19"/>
                <w:lang w:eastAsia="en-IN"/>
                <w14:ligatures w14:val="none"/>
              </w:rPr>
            </w:pPr>
            <w:r w:rsidRPr="00801A36">
              <w:rPr>
                <w:rFonts w:ascii="Times New Roman" w:eastAsia="Times New Roman" w:hAnsi="Times New Roman" w:cs="Times New Roman"/>
                <w:color w:val="000000"/>
                <w:kern w:val="0"/>
                <w:sz w:val="19"/>
                <w:szCs w:val="19"/>
                <w:lang w:eastAsia="en-IN"/>
                <w14:ligatures w14:val="none"/>
              </w:rPr>
              <w:t>432.02</w:t>
            </w:r>
          </w:p>
        </w:tc>
        <w:tc>
          <w:tcPr>
            <w:tcW w:w="986" w:type="dxa"/>
            <w:tcBorders>
              <w:top w:val="nil"/>
              <w:left w:val="nil"/>
              <w:bottom w:val="single" w:sz="4" w:space="0" w:color="auto"/>
              <w:right w:val="single" w:sz="4" w:space="0" w:color="auto"/>
            </w:tcBorders>
            <w:noWrap/>
            <w:vAlign w:val="center"/>
            <w:hideMark/>
          </w:tcPr>
          <w:p w14:paraId="77D252AC" w14:textId="77777777" w:rsidR="007B1BAC" w:rsidRPr="00801A36" w:rsidRDefault="007B1BAC" w:rsidP="00801A36">
            <w:pPr>
              <w:spacing w:after="0" w:line="240" w:lineRule="auto"/>
              <w:jc w:val="center"/>
              <w:rPr>
                <w:rFonts w:ascii="Times New Roman" w:eastAsia="Times New Roman" w:hAnsi="Times New Roman" w:cs="Times New Roman"/>
                <w:color w:val="000000"/>
                <w:kern w:val="0"/>
                <w:sz w:val="19"/>
                <w:szCs w:val="19"/>
                <w:lang w:eastAsia="en-IN"/>
                <w14:ligatures w14:val="none"/>
              </w:rPr>
            </w:pPr>
            <w:r w:rsidRPr="00801A36">
              <w:rPr>
                <w:rFonts w:ascii="Times New Roman" w:eastAsia="Times New Roman" w:hAnsi="Times New Roman" w:cs="Times New Roman"/>
                <w:color w:val="000000"/>
                <w:kern w:val="0"/>
                <w:sz w:val="19"/>
                <w:szCs w:val="19"/>
                <w:lang w:eastAsia="en-IN"/>
                <w14:ligatures w14:val="none"/>
              </w:rPr>
              <w:t>676.52</w:t>
            </w:r>
          </w:p>
        </w:tc>
      </w:tr>
      <w:tr w:rsidR="007B1BAC" w:rsidRPr="00801A36" w14:paraId="270B5911" w14:textId="77777777" w:rsidTr="00801A36">
        <w:trPr>
          <w:trHeight w:val="20"/>
          <w:jc w:val="center"/>
        </w:trPr>
        <w:tc>
          <w:tcPr>
            <w:tcW w:w="618" w:type="dxa"/>
            <w:tcBorders>
              <w:top w:val="nil"/>
              <w:left w:val="single" w:sz="4" w:space="0" w:color="auto"/>
              <w:bottom w:val="single" w:sz="4" w:space="0" w:color="auto"/>
              <w:right w:val="single" w:sz="4" w:space="0" w:color="auto"/>
            </w:tcBorders>
            <w:noWrap/>
            <w:vAlign w:val="bottom"/>
            <w:hideMark/>
          </w:tcPr>
          <w:p w14:paraId="42A97D8C" w14:textId="77777777" w:rsidR="007B1BAC" w:rsidRPr="00801A36" w:rsidRDefault="007B1BAC" w:rsidP="007B1BAC">
            <w:pPr>
              <w:spacing w:after="0" w:line="240" w:lineRule="auto"/>
              <w:rPr>
                <w:rFonts w:ascii="Times New Roman" w:eastAsia="Times New Roman" w:hAnsi="Times New Roman" w:cs="Times New Roman"/>
                <w:color w:val="000000"/>
                <w:kern w:val="0"/>
                <w:sz w:val="19"/>
                <w:szCs w:val="19"/>
                <w:lang w:eastAsia="en-IN"/>
                <w14:ligatures w14:val="none"/>
              </w:rPr>
            </w:pPr>
            <w:r w:rsidRPr="00801A36">
              <w:rPr>
                <w:rFonts w:ascii="Times New Roman" w:eastAsia="Times New Roman" w:hAnsi="Times New Roman" w:cs="Times New Roman"/>
                <w:color w:val="000000"/>
                <w:kern w:val="0"/>
                <w:sz w:val="19"/>
                <w:szCs w:val="19"/>
                <w:lang w:eastAsia="en-IN"/>
                <w14:ligatures w14:val="none"/>
              </w:rPr>
              <w:t> </w:t>
            </w:r>
          </w:p>
        </w:tc>
        <w:tc>
          <w:tcPr>
            <w:tcW w:w="1680" w:type="dxa"/>
            <w:tcBorders>
              <w:top w:val="nil"/>
              <w:left w:val="nil"/>
              <w:bottom w:val="single" w:sz="4" w:space="0" w:color="auto"/>
              <w:right w:val="single" w:sz="4" w:space="0" w:color="auto"/>
            </w:tcBorders>
            <w:noWrap/>
            <w:vAlign w:val="bottom"/>
            <w:hideMark/>
          </w:tcPr>
          <w:p w14:paraId="7B42336E" w14:textId="77777777" w:rsidR="007B1BAC" w:rsidRPr="00801A36" w:rsidRDefault="007B1BAC" w:rsidP="007B1BAC">
            <w:pPr>
              <w:spacing w:after="0" w:line="240" w:lineRule="auto"/>
              <w:rPr>
                <w:rFonts w:ascii="Times New Roman" w:eastAsia="Times New Roman" w:hAnsi="Times New Roman" w:cs="Times New Roman"/>
                <w:color w:val="000000"/>
                <w:kern w:val="0"/>
                <w:sz w:val="19"/>
                <w:szCs w:val="19"/>
                <w:lang w:eastAsia="en-IN"/>
                <w14:ligatures w14:val="none"/>
              </w:rPr>
            </w:pPr>
            <w:r w:rsidRPr="00801A36">
              <w:rPr>
                <w:rFonts w:ascii="Times New Roman" w:eastAsia="Times New Roman" w:hAnsi="Times New Roman" w:cs="Times New Roman"/>
                <w:color w:val="000000"/>
                <w:kern w:val="0"/>
                <w:sz w:val="19"/>
                <w:szCs w:val="19"/>
                <w:lang w:eastAsia="en-IN"/>
                <w14:ligatures w14:val="none"/>
              </w:rPr>
              <w:t>Western</w:t>
            </w:r>
          </w:p>
        </w:tc>
        <w:tc>
          <w:tcPr>
            <w:tcW w:w="1084" w:type="dxa"/>
            <w:tcBorders>
              <w:top w:val="nil"/>
              <w:left w:val="nil"/>
              <w:bottom w:val="single" w:sz="4" w:space="0" w:color="auto"/>
              <w:right w:val="single" w:sz="4" w:space="0" w:color="auto"/>
            </w:tcBorders>
            <w:noWrap/>
            <w:vAlign w:val="center"/>
            <w:hideMark/>
          </w:tcPr>
          <w:p w14:paraId="35BBFF6B" w14:textId="77777777" w:rsidR="007B1BAC" w:rsidRPr="00801A36" w:rsidRDefault="007B1BAC" w:rsidP="00801A36">
            <w:pPr>
              <w:spacing w:after="0" w:line="240" w:lineRule="auto"/>
              <w:jc w:val="center"/>
              <w:rPr>
                <w:rFonts w:ascii="Times New Roman" w:eastAsia="Times New Roman" w:hAnsi="Times New Roman" w:cs="Times New Roman"/>
                <w:color w:val="000000"/>
                <w:kern w:val="0"/>
                <w:sz w:val="19"/>
                <w:szCs w:val="19"/>
                <w:lang w:eastAsia="en-IN"/>
                <w14:ligatures w14:val="none"/>
              </w:rPr>
            </w:pPr>
            <w:r w:rsidRPr="00801A36">
              <w:rPr>
                <w:rFonts w:ascii="Times New Roman" w:eastAsia="Times New Roman" w:hAnsi="Times New Roman" w:cs="Times New Roman"/>
                <w:color w:val="000000"/>
                <w:kern w:val="0"/>
                <w:sz w:val="19"/>
                <w:szCs w:val="19"/>
                <w:lang w:eastAsia="en-IN"/>
                <w14:ligatures w14:val="none"/>
              </w:rPr>
              <w:t>346.3</w:t>
            </w:r>
          </w:p>
        </w:tc>
        <w:tc>
          <w:tcPr>
            <w:tcW w:w="1070" w:type="dxa"/>
            <w:tcBorders>
              <w:top w:val="nil"/>
              <w:left w:val="nil"/>
              <w:bottom w:val="single" w:sz="4" w:space="0" w:color="auto"/>
              <w:right w:val="single" w:sz="4" w:space="0" w:color="auto"/>
            </w:tcBorders>
            <w:noWrap/>
            <w:vAlign w:val="center"/>
            <w:hideMark/>
          </w:tcPr>
          <w:p w14:paraId="08427A79" w14:textId="77777777" w:rsidR="007B1BAC" w:rsidRPr="00801A36" w:rsidRDefault="007B1BAC" w:rsidP="00801A36">
            <w:pPr>
              <w:spacing w:after="0" w:line="240" w:lineRule="auto"/>
              <w:jc w:val="center"/>
              <w:rPr>
                <w:rFonts w:ascii="Times New Roman" w:eastAsia="Times New Roman" w:hAnsi="Times New Roman" w:cs="Times New Roman"/>
                <w:color w:val="000000"/>
                <w:kern w:val="0"/>
                <w:sz w:val="19"/>
                <w:szCs w:val="19"/>
                <w:lang w:eastAsia="en-IN"/>
                <w14:ligatures w14:val="none"/>
              </w:rPr>
            </w:pPr>
            <w:r w:rsidRPr="00801A36">
              <w:rPr>
                <w:rFonts w:ascii="Times New Roman" w:eastAsia="Times New Roman" w:hAnsi="Times New Roman" w:cs="Times New Roman"/>
                <w:color w:val="000000"/>
                <w:kern w:val="0"/>
                <w:sz w:val="19"/>
                <w:szCs w:val="19"/>
                <w:lang w:eastAsia="en-IN"/>
                <w14:ligatures w14:val="none"/>
              </w:rPr>
              <w:t>..</w:t>
            </w:r>
          </w:p>
        </w:tc>
        <w:tc>
          <w:tcPr>
            <w:tcW w:w="1196" w:type="dxa"/>
            <w:tcBorders>
              <w:top w:val="nil"/>
              <w:left w:val="nil"/>
              <w:bottom w:val="single" w:sz="4" w:space="0" w:color="auto"/>
              <w:right w:val="single" w:sz="4" w:space="0" w:color="auto"/>
            </w:tcBorders>
            <w:noWrap/>
            <w:vAlign w:val="center"/>
            <w:hideMark/>
          </w:tcPr>
          <w:p w14:paraId="79613C2F" w14:textId="77777777" w:rsidR="007B1BAC" w:rsidRPr="00801A36" w:rsidRDefault="007B1BAC" w:rsidP="00801A36">
            <w:pPr>
              <w:spacing w:after="0" w:line="240" w:lineRule="auto"/>
              <w:jc w:val="center"/>
              <w:rPr>
                <w:rFonts w:ascii="Times New Roman" w:eastAsia="Times New Roman" w:hAnsi="Times New Roman" w:cs="Times New Roman"/>
                <w:color w:val="000000"/>
                <w:kern w:val="0"/>
                <w:sz w:val="19"/>
                <w:szCs w:val="19"/>
                <w:lang w:eastAsia="en-IN"/>
                <w14:ligatures w14:val="none"/>
              </w:rPr>
            </w:pPr>
            <w:r w:rsidRPr="00801A36">
              <w:rPr>
                <w:rFonts w:ascii="Times New Roman" w:eastAsia="Times New Roman" w:hAnsi="Times New Roman" w:cs="Times New Roman"/>
                <w:color w:val="000000"/>
                <w:kern w:val="0"/>
                <w:sz w:val="19"/>
                <w:szCs w:val="19"/>
                <w:lang w:eastAsia="en-IN"/>
                <w14:ligatures w14:val="none"/>
              </w:rPr>
              <w:t>..</w:t>
            </w:r>
          </w:p>
        </w:tc>
        <w:tc>
          <w:tcPr>
            <w:tcW w:w="986" w:type="dxa"/>
            <w:tcBorders>
              <w:top w:val="nil"/>
              <w:left w:val="nil"/>
              <w:bottom w:val="single" w:sz="4" w:space="0" w:color="auto"/>
              <w:right w:val="single" w:sz="4" w:space="0" w:color="auto"/>
            </w:tcBorders>
            <w:noWrap/>
            <w:vAlign w:val="center"/>
            <w:hideMark/>
          </w:tcPr>
          <w:p w14:paraId="224EDB2D" w14:textId="77777777" w:rsidR="007B1BAC" w:rsidRPr="00801A36" w:rsidRDefault="007B1BAC" w:rsidP="00801A36">
            <w:pPr>
              <w:spacing w:after="0" w:line="240" w:lineRule="auto"/>
              <w:jc w:val="center"/>
              <w:rPr>
                <w:rFonts w:ascii="Times New Roman" w:eastAsia="Times New Roman" w:hAnsi="Times New Roman" w:cs="Times New Roman"/>
                <w:color w:val="000000"/>
                <w:kern w:val="0"/>
                <w:sz w:val="19"/>
                <w:szCs w:val="19"/>
                <w:lang w:eastAsia="en-IN"/>
                <w14:ligatures w14:val="none"/>
              </w:rPr>
            </w:pPr>
            <w:r w:rsidRPr="00801A36">
              <w:rPr>
                <w:rFonts w:ascii="Times New Roman" w:eastAsia="Times New Roman" w:hAnsi="Times New Roman" w:cs="Times New Roman"/>
                <w:color w:val="000000"/>
                <w:kern w:val="0"/>
                <w:sz w:val="19"/>
                <w:szCs w:val="19"/>
                <w:lang w:eastAsia="en-IN"/>
                <w14:ligatures w14:val="none"/>
              </w:rPr>
              <w:t>346.3</w:t>
            </w:r>
          </w:p>
        </w:tc>
        <w:tc>
          <w:tcPr>
            <w:tcW w:w="1084" w:type="dxa"/>
            <w:tcBorders>
              <w:top w:val="nil"/>
              <w:left w:val="nil"/>
              <w:bottom w:val="single" w:sz="4" w:space="0" w:color="auto"/>
              <w:right w:val="single" w:sz="4" w:space="0" w:color="auto"/>
            </w:tcBorders>
            <w:noWrap/>
            <w:vAlign w:val="center"/>
            <w:hideMark/>
          </w:tcPr>
          <w:p w14:paraId="463B09D1" w14:textId="77777777" w:rsidR="007B1BAC" w:rsidRPr="00801A36" w:rsidRDefault="007B1BAC" w:rsidP="00801A36">
            <w:pPr>
              <w:spacing w:after="0" w:line="240" w:lineRule="auto"/>
              <w:jc w:val="center"/>
              <w:rPr>
                <w:rFonts w:ascii="Times New Roman" w:eastAsia="Times New Roman" w:hAnsi="Times New Roman" w:cs="Times New Roman"/>
                <w:color w:val="000000"/>
                <w:kern w:val="0"/>
                <w:sz w:val="19"/>
                <w:szCs w:val="19"/>
                <w:lang w:eastAsia="en-IN"/>
                <w14:ligatures w14:val="none"/>
              </w:rPr>
            </w:pPr>
            <w:r w:rsidRPr="00801A36">
              <w:rPr>
                <w:rFonts w:ascii="Times New Roman" w:eastAsia="Times New Roman" w:hAnsi="Times New Roman" w:cs="Times New Roman"/>
                <w:color w:val="000000"/>
                <w:kern w:val="0"/>
                <w:sz w:val="19"/>
                <w:szCs w:val="19"/>
                <w:lang w:eastAsia="en-IN"/>
                <w14:ligatures w14:val="none"/>
              </w:rPr>
              <w:t>346.3</w:t>
            </w:r>
          </w:p>
        </w:tc>
        <w:tc>
          <w:tcPr>
            <w:tcW w:w="1070" w:type="dxa"/>
            <w:tcBorders>
              <w:top w:val="nil"/>
              <w:left w:val="nil"/>
              <w:bottom w:val="single" w:sz="4" w:space="0" w:color="auto"/>
              <w:right w:val="single" w:sz="4" w:space="0" w:color="auto"/>
            </w:tcBorders>
            <w:noWrap/>
            <w:vAlign w:val="center"/>
            <w:hideMark/>
          </w:tcPr>
          <w:p w14:paraId="61F460CE" w14:textId="77777777" w:rsidR="007B1BAC" w:rsidRPr="00801A36" w:rsidRDefault="007B1BAC" w:rsidP="00801A36">
            <w:pPr>
              <w:spacing w:after="0" w:line="240" w:lineRule="auto"/>
              <w:jc w:val="center"/>
              <w:rPr>
                <w:rFonts w:ascii="Times New Roman" w:eastAsia="Times New Roman" w:hAnsi="Times New Roman" w:cs="Times New Roman"/>
                <w:color w:val="000000"/>
                <w:kern w:val="0"/>
                <w:sz w:val="19"/>
                <w:szCs w:val="19"/>
                <w:lang w:eastAsia="en-IN"/>
                <w14:ligatures w14:val="none"/>
              </w:rPr>
            </w:pPr>
            <w:r w:rsidRPr="00801A36">
              <w:rPr>
                <w:rFonts w:ascii="Times New Roman" w:eastAsia="Times New Roman" w:hAnsi="Times New Roman" w:cs="Times New Roman"/>
                <w:color w:val="000000"/>
                <w:kern w:val="0"/>
                <w:sz w:val="19"/>
                <w:szCs w:val="19"/>
                <w:lang w:eastAsia="en-IN"/>
                <w14:ligatures w14:val="none"/>
              </w:rPr>
              <w:t>..</w:t>
            </w:r>
          </w:p>
        </w:tc>
        <w:tc>
          <w:tcPr>
            <w:tcW w:w="1196" w:type="dxa"/>
            <w:tcBorders>
              <w:top w:val="nil"/>
              <w:left w:val="nil"/>
              <w:bottom w:val="single" w:sz="4" w:space="0" w:color="auto"/>
              <w:right w:val="single" w:sz="4" w:space="0" w:color="auto"/>
            </w:tcBorders>
            <w:noWrap/>
            <w:vAlign w:val="center"/>
            <w:hideMark/>
          </w:tcPr>
          <w:p w14:paraId="77329C6B" w14:textId="77777777" w:rsidR="007B1BAC" w:rsidRPr="00801A36" w:rsidRDefault="007B1BAC" w:rsidP="00801A36">
            <w:pPr>
              <w:spacing w:after="0" w:line="240" w:lineRule="auto"/>
              <w:jc w:val="center"/>
              <w:rPr>
                <w:rFonts w:ascii="Times New Roman" w:eastAsia="Times New Roman" w:hAnsi="Times New Roman" w:cs="Times New Roman"/>
                <w:color w:val="000000"/>
                <w:kern w:val="0"/>
                <w:sz w:val="19"/>
                <w:szCs w:val="19"/>
                <w:lang w:eastAsia="en-IN"/>
                <w14:ligatures w14:val="none"/>
              </w:rPr>
            </w:pPr>
            <w:r w:rsidRPr="00801A36">
              <w:rPr>
                <w:rFonts w:ascii="Times New Roman" w:eastAsia="Times New Roman" w:hAnsi="Times New Roman" w:cs="Times New Roman"/>
                <w:color w:val="000000"/>
                <w:kern w:val="0"/>
                <w:sz w:val="19"/>
                <w:szCs w:val="19"/>
                <w:lang w:eastAsia="en-IN"/>
                <w14:ligatures w14:val="none"/>
              </w:rPr>
              <w:t>..</w:t>
            </w:r>
          </w:p>
        </w:tc>
        <w:tc>
          <w:tcPr>
            <w:tcW w:w="986" w:type="dxa"/>
            <w:tcBorders>
              <w:top w:val="nil"/>
              <w:left w:val="nil"/>
              <w:bottom w:val="single" w:sz="4" w:space="0" w:color="auto"/>
              <w:right w:val="single" w:sz="4" w:space="0" w:color="auto"/>
            </w:tcBorders>
            <w:noWrap/>
            <w:vAlign w:val="center"/>
            <w:hideMark/>
          </w:tcPr>
          <w:p w14:paraId="6BA7B00D" w14:textId="77777777" w:rsidR="007B1BAC" w:rsidRPr="00801A36" w:rsidRDefault="007B1BAC" w:rsidP="00801A36">
            <w:pPr>
              <w:spacing w:after="0" w:line="240" w:lineRule="auto"/>
              <w:jc w:val="center"/>
              <w:rPr>
                <w:rFonts w:ascii="Times New Roman" w:eastAsia="Times New Roman" w:hAnsi="Times New Roman" w:cs="Times New Roman"/>
                <w:color w:val="000000"/>
                <w:kern w:val="0"/>
                <w:sz w:val="19"/>
                <w:szCs w:val="19"/>
                <w:lang w:eastAsia="en-IN"/>
                <w14:ligatures w14:val="none"/>
              </w:rPr>
            </w:pPr>
            <w:r w:rsidRPr="00801A36">
              <w:rPr>
                <w:rFonts w:ascii="Times New Roman" w:eastAsia="Times New Roman" w:hAnsi="Times New Roman" w:cs="Times New Roman"/>
                <w:color w:val="000000"/>
                <w:kern w:val="0"/>
                <w:sz w:val="19"/>
                <w:szCs w:val="19"/>
                <w:lang w:eastAsia="en-IN"/>
                <w14:ligatures w14:val="none"/>
              </w:rPr>
              <w:t>346.3</w:t>
            </w:r>
          </w:p>
        </w:tc>
        <w:tc>
          <w:tcPr>
            <w:tcW w:w="1084" w:type="dxa"/>
            <w:tcBorders>
              <w:top w:val="nil"/>
              <w:left w:val="nil"/>
              <w:bottom w:val="single" w:sz="4" w:space="0" w:color="auto"/>
              <w:right w:val="single" w:sz="4" w:space="0" w:color="auto"/>
            </w:tcBorders>
            <w:noWrap/>
            <w:vAlign w:val="center"/>
            <w:hideMark/>
          </w:tcPr>
          <w:p w14:paraId="1B19D43E" w14:textId="77777777" w:rsidR="007B1BAC" w:rsidRPr="00801A36" w:rsidRDefault="007B1BAC" w:rsidP="00801A36">
            <w:pPr>
              <w:spacing w:after="0" w:line="240" w:lineRule="auto"/>
              <w:jc w:val="center"/>
              <w:rPr>
                <w:rFonts w:ascii="Times New Roman" w:eastAsia="Times New Roman" w:hAnsi="Times New Roman" w:cs="Times New Roman"/>
                <w:color w:val="000000"/>
                <w:kern w:val="0"/>
                <w:sz w:val="19"/>
                <w:szCs w:val="19"/>
                <w:lang w:eastAsia="en-IN"/>
                <w14:ligatures w14:val="none"/>
              </w:rPr>
            </w:pPr>
            <w:r w:rsidRPr="00801A36">
              <w:rPr>
                <w:rFonts w:ascii="Times New Roman" w:eastAsia="Times New Roman" w:hAnsi="Times New Roman" w:cs="Times New Roman"/>
                <w:color w:val="000000"/>
                <w:kern w:val="0"/>
                <w:sz w:val="19"/>
                <w:szCs w:val="19"/>
                <w:lang w:eastAsia="en-IN"/>
                <w14:ligatures w14:val="none"/>
              </w:rPr>
              <w:t>346.3</w:t>
            </w:r>
          </w:p>
        </w:tc>
        <w:tc>
          <w:tcPr>
            <w:tcW w:w="1070" w:type="dxa"/>
            <w:tcBorders>
              <w:top w:val="nil"/>
              <w:left w:val="nil"/>
              <w:bottom w:val="single" w:sz="4" w:space="0" w:color="auto"/>
              <w:right w:val="single" w:sz="4" w:space="0" w:color="auto"/>
            </w:tcBorders>
            <w:noWrap/>
            <w:vAlign w:val="center"/>
            <w:hideMark/>
          </w:tcPr>
          <w:p w14:paraId="48F00931" w14:textId="77777777" w:rsidR="007B1BAC" w:rsidRPr="00801A36" w:rsidRDefault="007B1BAC" w:rsidP="00801A36">
            <w:pPr>
              <w:spacing w:after="0" w:line="240" w:lineRule="auto"/>
              <w:jc w:val="center"/>
              <w:rPr>
                <w:rFonts w:ascii="Times New Roman" w:eastAsia="Times New Roman" w:hAnsi="Times New Roman" w:cs="Times New Roman"/>
                <w:color w:val="000000"/>
                <w:kern w:val="0"/>
                <w:sz w:val="19"/>
                <w:szCs w:val="19"/>
                <w:lang w:eastAsia="en-IN"/>
                <w14:ligatures w14:val="none"/>
              </w:rPr>
            </w:pPr>
            <w:r w:rsidRPr="00801A36">
              <w:rPr>
                <w:rFonts w:ascii="Times New Roman" w:eastAsia="Times New Roman" w:hAnsi="Times New Roman" w:cs="Times New Roman"/>
                <w:color w:val="000000"/>
                <w:kern w:val="0"/>
                <w:sz w:val="19"/>
                <w:szCs w:val="19"/>
                <w:lang w:eastAsia="en-IN"/>
                <w14:ligatures w14:val="none"/>
              </w:rPr>
              <w:t>..</w:t>
            </w:r>
          </w:p>
        </w:tc>
        <w:tc>
          <w:tcPr>
            <w:tcW w:w="1196" w:type="dxa"/>
            <w:tcBorders>
              <w:top w:val="nil"/>
              <w:left w:val="nil"/>
              <w:bottom w:val="single" w:sz="4" w:space="0" w:color="auto"/>
              <w:right w:val="single" w:sz="4" w:space="0" w:color="auto"/>
            </w:tcBorders>
            <w:noWrap/>
            <w:vAlign w:val="center"/>
            <w:hideMark/>
          </w:tcPr>
          <w:p w14:paraId="3B9D7F42" w14:textId="77777777" w:rsidR="007B1BAC" w:rsidRPr="00801A36" w:rsidRDefault="007B1BAC" w:rsidP="00801A36">
            <w:pPr>
              <w:spacing w:after="0" w:line="240" w:lineRule="auto"/>
              <w:jc w:val="center"/>
              <w:rPr>
                <w:rFonts w:ascii="Times New Roman" w:eastAsia="Times New Roman" w:hAnsi="Times New Roman" w:cs="Times New Roman"/>
                <w:color w:val="000000"/>
                <w:kern w:val="0"/>
                <w:sz w:val="19"/>
                <w:szCs w:val="19"/>
                <w:lang w:eastAsia="en-IN"/>
                <w14:ligatures w14:val="none"/>
              </w:rPr>
            </w:pPr>
            <w:r w:rsidRPr="00801A36">
              <w:rPr>
                <w:rFonts w:ascii="Times New Roman" w:eastAsia="Times New Roman" w:hAnsi="Times New Roman" w:cs="Times New Roman"/>
                <w:color w:val="000000"/>
                <w:kern w:val="0"/>
                <w:sz w:val="19"/>
                <w:szCs w:val="19"/>
                <w:lang w:eastAsia="en-IN"/>
                <w14:ligatures w14:val="none"/>
              </w:rPr>
              <w:t>..</w:t>
            </w:r>
          </w:p>
        </w:tc>
        <w:tc>
          <w:tcPr>
            <w:tcW w:w="986" w:type="dxa"/>
            <w:tcBorders>
              <w:top w:val="nil"/>
              <w:left w:val="nil"/>
              <w:bottom w:val="single" w:sz="4" w:space="0" w:color="auto"/>
              <w:right w:val="single" w:sz="4" w:space="0" w:color="auto"/>
            </w:tcBorders>
            <w:noWrap/>
            <w:vAlign w:val="center"/>
            <w:hideMark/>
          </w:tcPr>
          <w:p w14:paraId="2427D461" w14:textId="77777777" w:rsidR="007B1BAC" w:rsidRPr="00801A36" w:rsidRDefault="007B1BAC" w:rsidP="00801A36">
            <w:pPr>
              <w:spacing w:after="0" w:line="240" w:lineRule="auto"/>
              <w:jc w:val="center"/>
              <w:rPr>
                <w:rFonts w:ascii="Times New Roman" w:eastAsia="Times New Roman" w:hAnsi="Times New Roman" w:cs="Times New Roman"/>
                <w:color w:val="000000"/>
                <w:kern w:val="0"/>
                <w:sz w:val="19"/>
                <w:szCs w:val="19"/>
                <w:lang w:eastAsia="en-IN"/>
                <w14:ligatures w14:val="none"/>
              </w:rPr>
            </w:pPr>
            <w:r w:rsidRPr="00801A36">
              <w:rPr>
                <w:rFonts w:ascii="Times New Roman" w:eastAsia="Times New Roman" w:hAnsi="Times New Roman" w:cs="Times New Roman"/>
                <w:color w:val="000000"/>
                <w:kern w:val="0"/>
                <w:sz w:val="19"/>
                <w:szCs w:val="19"/>
                <w:lang w:eastAsia="en-IN"/>
                <w14:ligatures w14:val="none"/>
              </w:rPr>
              <w:t>346.3</w:t>
            </w:r>
          </w:p>
        </w:tc>
      </w:tr>
      <w:tr w:rsidR="007B1BAC" w:rsidRPr="00801A36" w14:paraId="2246F7F0" w14:textId="77777777" w:rsidTr="00801A36">
        <w:trPr>
          <w:trHeight w:val="20"/>
          <w:jc w:val="center"/>
        </w:trPr>
        <w:tc>
          <w:tcPr>
            <w:tcW w:w="618" w:type="dxa"/>
            <w:tcBorders>
              <w:top w:val="nil"/>
              <w:left w:val="single" w:sz="4" w:space="0" w:color="auto"/>
              <w:bottom w:val="single" w:sz="4" w:space="0" w:color="auto"/>
              <w:right w:val="single" w:sz="4" w:space="0" w:color="auto"/>
            </w:tcBorders>
            <w:noWrap/>
            <w:vAlign w:val="bottom"/>
            <w:hideMark/>
          </w:tcPr>
          <w:p w14:paraId="7964B41E" w14:textId="77777777" w:rsidR="007B1BAC" w:rsidRPr="00801A36" w:rsidRDefault="007B1BAC" w:rsidP="007B1BAC">
            <w:pPr>
              <w:spacing w:after="0" w:line="240" w:lineRule="auto"/>
              <w:jc w:val="right"/>
              <w:rPr>
                <w:rFonts w:ascii="Times New Roman" w:eastAsia="Times New Roman" w:hAnsi="Times New Roman" w:cs="Times New Roman"/>
                <w:color w:val="000000"/>
                <w:kern w:val="0"/>
                <w:sz w:val="19"/>
                <w:szCs w:val="19"/>
                <w:lang w:eastAsia="en-IN"/>
                <w14:ligatures w14:val="none"/>
              </w:rPr>
            </w:pPr>
            <w:r w:rsidRPr="00801A36">
              <w:rPr>
                <w:rFonts w:ascii="Times New Roman" w:eastAsia="Times New Roman" w:hAnsi="Times New Roman" w:cs="Times New Roman"/>
                <w:color w:val="000000"/>
                <w:kern w:val="0"/>
                <w:sz w:val="19"/>
                <w:szCs w:val="19"/>
                <w:lang w:eastAsia="en-IN"/>
                <w14:ligatures w14:val="none"/>
              </w:rPr>
              <w:t>11</w:t>
            </w:r>
          </w:p>
        </w:tc>
        <w:tc>
          <w:tcPr>
            <w:tcW w:w="1680" w:type="dxa"/>
            <w:tcBorders>
              <w:top w:val="nil"/>
              <w:left w:val="nil"/>
              <w:bottom w:val="single" w:sz="4" w:space="0" w:color="auto"/>
              <w:right w:val="single" w:sz="4" w:space="0" w:color="auto"/>
            </w:tcBorders>
            <w:noWrap/>
            <w:vAlign w:val="bottom"/>
            <w:hideMark/>
          </w:tcPr>
          <w:p w14:paraId="275EE606" w14:textId="77777777" w:rsidR="007B1BAC" w:rsidRPr="00801A36" w:rsidRDefault="007B1BAC" w:rsidP="007B1BAC">
            <w:pPr>
              <w:spacing w:after="0" w:line="240" w:lineRule="auto"/>
              <w:rPr>
                <w:rFonts w:ascii="Times New Roman" w:eastAsia="Times New Roman" w:hAnsi="Times New Roman" w:cs="Times New Roman"/>
                <w:color w:val="000000"/>
                <w:kern w:val="0"/>
                <w:sz w:val="19"/>
                <w:szCs w:val="19"/>
                <w:lang w:eastAsia="en-IN"/>
                <w14:ligatures w14:val="none"/>
              </w:rPr>
            </w:pPr>
            <w:r w:rsidRPr="00801A36">
              <w:rPr>
                <w:rFonts w:ascii="Times New Roman" w:eastAsia="Times New Roman" w:hAnsi="Times New Roman" w:cs="Times New Roman"/>
                <w:color w:val="000000"/>
                <w:kern w:val="0"/>
                <w:sz w:val="19"/>
                <w:szCs w:val="19"/>
                <w:lang w:eastAsia="en-IN"/>
                <w14:ligatures w14:val="none"/>
              </w:rPr>
              <w:t>Mysore</w:t>
            </w:r>
          </w:p>
        </w:tc>
        <w:tc>
          <w:tcPr>
            <w:tcW w:w="1084" w:type="dxa"/>
            <w:tcBorders>
              <w:top w:val="nil"/>
              <w:left w:val="nil"/>
              <w:bottom w:val="single" w:sz="4" w:space="0" w:color="auto"/>
              <w:right w:val="single" w:sz="4" w:space="0" w:color="auto"/>
            </w:tcBorders>
            <w:noWrap/>
            <w:vAlign w:val="center"/>
            <w:hideMark/>
          </w:tcPr>
          <w:p w14:paraId="7EAB4938" w14:textId="153009C4" w:rsidR="007B1BAC" w:rsidRPr="00801A36" w:rsidRDefault="007B1BAC" w:rsidP="00801A36">
            <w:pPr>
              <w:spacing w:after="0" w:line="240" w:lineRule="auto"/>
              <w:jc w:val="center"/>
              <w:rPr>
                <w:rFonts w:ascii="Times New Roman" w:eastAsia="Times New Roman" w:hAnsi="Times New Roman" w:cs="Times New Roman"/>
                <w:color w:val="000000"/>
                <w:kern w:val="0"/>
                <w:sz w:val="19"/>
                <w:szCs w:val="19"/>
                <w:lang w:eastAsia="en-IN"/>
                <w14:ligatures w14:val="none"/>
              </w:rPr>
            </w:pPr>
          </w:p>
        </w:tc>
        <w:tc>
          <w:tcPr>
            <w:tcW w:w="1070" w:type="dxa"/>
            <w:tcBorders>
              <w:top w:val="nil"/>
              <w:left w:val="nil"/>
              <w:bottom w:val="single" w:sz="4" w:space="0" w:color="auto"/>
              <w:right w:val="single" w:sz="4" w:space="0" w:color="auto"/>
            </w:tcBorders>
            <w:noWrap/>
            <w:vAlign w:val="center"/>
            <w:hideMark/>
          </w:tcPr>
          <w:p w14:paraId="0C24EFC5" w14:textId="6EF35CD9" w:rsidR="007B1BAC" w:rsidRPr="00801A36" w:rsidRDefault="007B1BAC" w:rsidP="00801A36">
            <w:pPr>
              <w:spacing w:after="0" w:line="240" w:lineRule="auto"/>
              <w:jc w:val="center"/>
              <w:rPr>
                <w:rFonts w:ascii="Times New Roman" w:eastAsia="Times New Roman" w:hAnsi="Times New Roman" w:cs="Times New Roman"/>
                <w:color w:val="000000"/>
                <w:kern w:val="0"/>
                <w:sz w:val="19"/>
                <w:szCs w:val="19"/>
                <w:lang w:eastAsia="en-IN"/>
                <w14:ligatures w14:val="none"/>
              </w:rPr>
            </w:pPr>
          </w:p>
        </w:tc>
        <w:tc>
          <w:tcPr>
            <w:tcW w:w="1196" w:type="dxa"/>
            <w:tcBorders>
              <w:top w:val="nil"/>
              <w:left w:val="nil"/>
              <w:bottom w:val="single" w:sz="4" w:space="0" w:color="auto"/>
              <w:right w:val="single" w:sz="4" w:space="0" w:color="auto"/>
            </w:tcBorders>
            <w:noWrap/>
            <w:vAlign w:val="center"/>
            <w:hideMark/>
          </w:tcPr>
          <w:p w14:paraId="000F06F4" w14:textId="093DD6F7" w:rsidR="007B1BAC" w:rsidRPr="00801A36" w:rsidRDefault="007B1BAC" w:rsidP="00801A36">
            <w:pPr>
              <w:spacing w:after="0" w:line="240" w:lineRule="auto"/>
              <w:jc w:val="center"/>
              <w:rPr>
                <w:rFonts w:ascii="Times New Roman" w:eastAsia="Times New Roman" w:hAnsi="Times New Roman" w:cs="Times New Roman"/>
                <w:color w:val="000000"/>
                <w:kern w:val="0"/>
                <w:sz w:val="19"/>
                <w:szCs w:val="19"/>
                <w:lang w:eastAsia="en-IN"/>
                <w14:ligatures w14:val="none"/>
              </w:rPr>
            </w:pPr>
          </w:p>
        </w:tc>
        <w:tc>
          <w:tcPr>
            <w:tcW w:w="986" w:type="dxa"/>
            <w:tcBorders>
              <w:top w:val="nil"/>
              <w:left w:val="nil"/>
              <w:bottom w:val="single" w:sz="4" w:space="0" w:color="auto"/>
              <w:right w:val="single" w:sz="4" w:space="0" w:color="auto"/>
            </w:tcBorders>
            <w:noWrap/>
            <w:vAlign w:val="center"/>
            <w:hideMark/>
          </w:tcPr>
          <w:p w14:paraId="5B8A5C76" w14:textId="246C6506" w:rsidR="007B1BAC" w:rsidRPr="00801A36" w:rsidRDefault="007B1BAC" w:rsidP="00801A36">
            <w:pPr>
              <w:spacing w:after="0" w:line="240" w:lineRule="auto"/>
              <w:jc w:val="center"/>
              <w:rPr>
                <w:rFonts w:ascii="Times New Roman" w:eastAsia="Times New Roman" w:hAnsi="Times New Roman" w:cs="Times New Roman"/>
                <w:color w:val="000000"/>
                <w:kern w:val="0"/>
                <w:sz w:val="19"/>
                <w:szCs w:val="19"/>
                <w:lang w:eastAsia="en-IN"/>
                <w14:ligatures w14:val="none"/>
              </w:rPr>
            </w:pPr>
          </w:p>
        </w:tc>
        <w:tc>
          <w:tcPr>
            <w:tcW w:w="1084" w:type="dxa"/>
            <w:tcBorders>
              <w:top w:val="nil"/>
              <w:left w:val="nil"/>
              <w:bottom w:val="single" w:sz="4" w:space="0" w:color="auto"/>
              <w:right w:val="single" w:sz="4" w:space="0" w:color="auto"/>
            </w:tcBorders>
            <w:noWrap/>
            <w:vAlign w:val="center"/>
            <w:hideMark/>
          </w:tcPr>
          <w:p w14:paraId="6609FFF2" w14:textId="6D6C5FDC" w:rsidR="007B1BAC" w:rsidRPr="00801A36" w:rsidRDefault="007B1BAC" w:rsidP="00801A36">
            <w:pPr>
              <w:spacing w:after="0" w:line="240" w:lineRule="auto"/>
              <w:jc w:val="center"/>
              <w:rPr>
                <w:rFonts w:ascii="Times New Roman" w:eastAsia="Times New Roman" w:hAnsi="Times New Roman" w:cs="Times New Roman"/>
                <w:color w:val="000000"/>
                <w:kern w:val="0"/>
                <w:sz w:val="19"/>
                <w:szCs w:val="19"/>
                <w:lang w:eastAsia="en-IN"/>
                <w14:ligatures w14:val="none"/>
              </w:rPr>
            </w:pPr>
          </w:p>
        </w:tc>
        <w:tc>
          <w:tcPr>
            <w:tcW w:w="1070" w:type="dxa"/>
            <w:tcBorders>
              <w:top w:val="nil"/>
              <w:left w:val="nil"/>
              <w:bottom w:val="single" w:sz="4" w:space="0" w:color="auto"/>
              <w:right w:val="single" w:sz="4" w:space="0" w:color="auto"/>
            </w:tcBorders>
            <w:noWrap/>
            <w:vAlign w:val="center"/>
            <w:hideMark/>
          </w:tcPr>
          <w:p w14:paraId="28ACCFAA" w14:textId="71A65C1A" w:rsidR="007B1BAC" w:rsidRPr="00801A36" w:rsidRDefault="007B1BAC" w:rsidP="00801A36">
            <w:pPr>
              <w:spacing w:after="0" w:line="240" w:lineRule="auto"/>
              <w:jc w:val="center"/>
              <w:rPr>
                <w:rFonts w:ascii="Times New Roman" w:eastAsia="Times New Roman" w:hAnsi="Times New Roman" w:cs="Times New Roman"/>
                <w:color w:val="000000"/>
                <w:kern w:val="0"/>
                <w:sz w:val="19"/>
                <w:szCs w:val="19"/>
                <w:lang w:eastAsia="en-IN"/>
                <w14:ligatures w14:val="none"/>
              </w:rPr>
            </w:pPr>
          </w:p>
        </w:tc>
        <w:tc>
          <w:tcPr>
            <w:tcW w:w="1196" w:type="dxa"/>
            <w:tcBorders>
              <w:top w:val="nil"/>
              <w:left w:val="nil"/>
              <w:bottom w:val="single" w:sz="4" w:space="0" w:color="auto"/>
              <w:right w:val="single" w:sz="4" w:space="0" w:color="auto"/>
            </w:tcBorders>
            <w:noWrap/>
            <w:vAlign w:val="center"/>
            <w:hideMark/>
          </w:tcPr>
          <w:p w14:paraId="08A7840E" w14:textId="162841EA" w:rsidR="007B1BAC" w:rsidRPr="00801A36" w:rsidRDefault="007B1BAC" w:rsidP="00801A36">
            <w:pPr>
              <w:spacing w:after="0" w:line="240" w:lineRule="auto"/>
              <w:jc w:val="center"/>
              <w:rPr>
                <w:rFonts w:ascii="Times New Roman" w:eastAsia="Times New Roman" w:hAnsi="Times New Roman" w:cs="Times New Roman"/>
                <w:color w:val="000000"/>
                <w:kern w:val="0"/>
                <w:sz w:val="19"/>
                <w:szCs w:val="19"/>
                <w:lang w:eastAsia="en-IN"/>
                <w14:ligatures w14:val="none"/>
              </w:rPr>
            </w:pPr>
          </w:p>
        </w:tc>
        <w:tc>
          <w:tcPr>
            <w:tcW w:w="986" w:type="dxa"/>
            <w:tcBorders>
              <w:top w:val="nil"/>
              <w:left w:val="nil"/>
              <w:bottom w:val="single" w:sz="4" w:space="0" w:color="auto"/>
              <w:right w:val="single" w:sz="4" w:space="0" w:color="auto"/>
            </w:tcBorders>
            <w:noWrap/>
            <w:vAlign w:val="center"/>
            <w:hideMark/>
          </w:tcPr>
          <w:p w14:paraId="1D81B1A7" w14:textId="21757A36" w:rsidR="007B1BAC" w:rsidRPr="00801A36" w:rsidRDefault="007B1BAC" w:rsidP="00801A36">
            <w:pPr>
              <w:spacing w:after="0" w:line="240" w:lineRule="auto"/>
              <w:jc w:val="center"/>
              <w:rPr>
                <w:rFonts w:ascii="Times New Roman" w:eastAsia="Times New Roman" w:hAnsi="Times New Roman" w:cs="Times New Roman"/>
                <w:color w:val="000000"/>
                <w:kern w:val="0"/>
                <w:sz w:val="19"/>
                <w:szCs w:val="19"/>
                <w:lang w:eastAsia="en-IN"/>
                <w14:ligatures w14:val="none"/>
              </w:rPr>
            </w:pPr>
          </w:p>
        </w:tc>
        <w:tc>
          <w:tcPr>
            <w:tcW w:w="1084" w:type="dxa"/>
            <w:tcBorders>
              <w:top w:val="nil"/>
              <w:left w:val="nil"/>
              <w:bottom w:val="single" w:sz="4" w:space="0" w:color="auto"/>
              <w:right w:val="single" w:sz="4" w:space="0" w:color="auto"/>
            </w:tcBorders>
            <w:noWrap/>
            <w:vAlign w:val="center"/>
            <w:hideMark/>
          </w:tcPr>
          <w:p w14:paraId="13891FB9" w14:textId="32DE390B" w:rsidR="007B1BAC" w:rsidRPr="00801A36" w:rsidRDefault="007B1BAC" w:rsidP="00801A36">
            <w:pPr>
              <w:spacing w:after="0" w:line="240" w:lineRule="auto"/>
              <w:jc w:val="center"/>
              <w:rPr>
                <w:rFonts w:ascii="Times New Roman" w:eastAsia="Times New Roman" w:hAnsi="Times New Roman" w:cs="Times New Roman"/>
                <w:color w:val="000000"/>
                <w:kern w:val="0"/>
                <w:sz w:val="19"/>
                <w:szCs w:val="19"/>
                <w:lang w:eastAsia="en-IN"/>
                <w14:ligatures w14:val="none"/>
              </w:rPr>
            </w:pPr>
          </w:p>
        </w:tc>
        <w:tc>
          <w:tcPr>
            <w:tcW w:w="1070" w:type="dxa"/>
            <w:tcBorders>
              <w:top w:val="nil"/>
              <w:left w:val="nil"/>
              <w:bottom w:val="single" w:sz="4" w:space="0" w:color="auto"/>
              <w:right w:val="single" w:sz="4" w:space="0" w:color="auto"/>
            </w:tcBorders>
            <w:noWrap/>
            <w:vAlign w:val="center"/>
            <w:hideMark/>
          </w:tcPr>
          <w:p w14:paraId="0E92BDB3" w14:textId="123F2328" w:rsidR="007B1BAC" w:rsidRPr="00801A36" w:rsidRDefault="007B1BAC" w:rsidP="00801A36">
            <w:pPr>
              <w:spacing w:after="0" w:line="240" w:lineRule="auto"/>
              <w:jc w:val="center"/>
              <w:rPr>
                <w:rFonts w:ascii="Times New Roman" w:eastAsia="Times New Roman" w:hAnsi="Times New Roman" w:cs="Times New Roman"/>
                <w:color w:val="000000"/>
                <w:kern w:val="0"/>
                <w:sz w:val="19"/>
                <w:szCs w:val="19"/>
                <w:lang w:eastAsia="en-IN"/>
                <w14:ligatures w14:val="none"/>
              </w:rPr>
            </w:pPr>
          </w:p>
        </w:tc>
        <w:tc>
          <w:tcPr>
            <w:tcW w:w="1196" w:type="dxa"/>
            <w:tcBorders>
              <w:top w:val="nil"/>
              <w:left w:val="nil"/>
              <w:bottom w:val="single" w:sz="4" w:space="0" w:color="auto"/>
              <w:right w:val="single" w:sz="4" w:space="0" w:color="auto"/>
            </w:tcBorders>
            <w:noWrap/>
            <w:vAlign w:val="center"/>
            <w:hideMark/>
          </w:tcPr>
          <w:p w14:paraId="2E842610" w14:textId="1B3465F0" w:rsidR="007B1BAC" w:rsidRPr="00801A36" w:rsidRDefault="007B1BAC" w:rsidP="00801A36">
            <w:pPr>
              <w:spacing w:after="0" w:line="240" w:lineRule="auto"/>
              <w:jc w:val="center"/>
              <w:rPr>
                <w:rFonts w:ascii="Times New Roman" w:eastAsia="Times New Roman" w:hAnsi="Times New Roman" w:cs="Times New Roman"/>
                <w:color w:val="000000"/>
                <w:kern w:val="0"/>
                <w:sz w:val="19"/>
                <w:szCs w:val="19"/>
                <w:lang w:eastAsia="en-IN"/>
                <w14:ligatures w14:val="none"/>
              </w:rPr>
            </w:pPr>
          </w:p>
        </w:tc>
        <w:tc>
          <w:tcPr>
            <w:tcW w:w="986" w:type="dxa"/>
            <w:tcBorders>
              <w:top w:val="nil"/>
              <w:left w:val="nil"/>
              <w:bottom w:val="single" w:sz="4" w:space="0" w:color="auto"/>
              <w:right w:val="single" w:sz="4" w:space="0" w:color="auto"/>
            </w:tcBorders>
            <w:noWrap/>
            <w:vAlign w:val="center"/>
            <w:hideMark/>
          </w:tcPr>
          <w:p w14:paraId="1EB509D5" w14:textId="443768B3" w:rsidR="007B1BAC" w:rsidRPr="00801A36" w:rsidRDefault="007B1BAC" w:rsidP="00801A36">
            <w:pPr>
              <w:spacing w:after="0" w:line="240" w:lineRule="auto"/>
              <w:jc w:val="center"/>
              <w:rPr>
                <w:rFonts w:ascii="Times New Roman" w:eastAsia="Times New Roman" w:hAnsi="Times New Roman" w:cs="Times New Roman"/>
                <w:color w:val="000000"/>
                <w:kern w:val="0"/>
                <w:sz w:val="19"/>
                <w:szCs w:val="19"/>
                <w:lang w:eastAsia="en-IN"/>
                <w14:ligatures w14:val="none"/>
              </w:rPr>
            </w:pPr>
          </w:p>
        </w:tc>
      </w:tr>
      <w:tr w:rsidR="007B1BAC" w:rsidRPr="00801A36" w14:paraId="5A2A7327" w14:textId="77777777" w:rsidTr="00801A36">
        <w:trPr>
          <w:trHeight w:val="20"/>
          <w:jc w:val="center"/>
        </w:trPr>
        <w:tc>
          <w:tcPr>
            <w:tcW w:w="618" w:type="dxa"/>
            <w:tcBorders>
              <w:top w:val="nil"/>
              <w:left w:val="single" w:sz="4" w:space="0" w:color="auto"/>
              <w:bottom w:val="single" w:sz="4" w:space="0" w:color="auto"/>
              <w:right w:val="single" w:sz="4" w:space="0" w:color="auto"/>
            </w:tcBorders>
            <w:noWrap/>
            <w:vAlign w:val="bottom"/>
            <w:hideMark/>
          </w:tcPr>
          <w:p w14:paraId="17A27793" w14:textId="77777777" w:rsidR="007B1BAC" w:rsidRPr="00801A36" w:rsidRDefault="007B1BAC" w:rsidP="007B1BAC">
            <w:pPr>
              <w:spacing w:after="0" w:line="240" w:lineRule="auto"/>
              <w:rPr>
                <w:rFonts w:ascii="Times New Roman" w:eastAsia="Times New Roman" w:hAnsi="Times New Roman" w:cs="Times New Roman"/>
                <w:color w:val="000000"/>
                <w:kern w:val="0"/>
                <w:sz w:val="19"/>
                <w:szCs w:val="19"/>
                <w:lang w:eastAsia="en-IN"/>
                <w14:ligatures w14:val="none"/>
              </w:rPr>
            </w:pPr>
            <w:r w:rsidRPr="00801A36">
              <w:rPr>
                <w:rFonts w:ascii="Times New Roman" w:eastAsia="Times New Roman" w:hAnsi="Times New Roman" w:cs="Times New Roman"/>
                <w:color w:val="000000"/>
                <w:kern w:val="0"/>
                <w:sz w:val="19"/>
                <w:szCs w:val="19"/>
                <w:lang w:eastAsia="en-IN"/>
                <w14:ligatures w14:val="none"/>
              </w:rPr>
              <w:t> </w:t>
            </w:r>
          </w:p>
        </w:tc>
        <w:tc>
          <w:tcPr>
            <w:tcW w:w="1680" w:type="dxa"/>
            <w:tcBorders>
              <w:top w:val="nil"/>
              <w:left w:val="nil"/>
              <w:bottom w:val="single" w:sz="4" w:space="0" w:color="auto"/>
              <w:right w:val="single" w:sz="4" w:space="0" w:color="auto"/>
            </w:tcBorders>
            <w:noWrap/>
            <w:vAlign w:val="bottom"/>
            <w:hideMark/>
          </w:tcPr>
          <w:p w14:paraId="4ED1FD85" w14:textId="77777777" w:rsidR="007B1BAC" w:rsidRPr="00801A36" w:rsidRDefault="007B1BAC" w:rsidP="007B1BAC">
            <w:pPr>
              <w:spacing w:after="0" w:line="240" w:lineRule="auto"/>
              <w:rPr>
                <w:rFonts w:ascii="Times New Roman" w:eastAsia="Times New Roman" w:hAnsi="Times New Roman" w:cs="Times New Roman"/>
                <w:color w:val="000000"/>
                <w:kern w:val="0"/>
                <w:sz w:val="19"/>
                <w:szCs w:val="19"/>
                <w:lang w:eastAsia="en-IN"/>
                <w14:ligatures w14:val="none"/>
              </w:rPr>
            </w:pPr>
            <w:r w:rsidRPr="00801A36">
              <w:rPr>
                <w:rFonts w:ascii="Times New Roman" w:eastAsia="Times New Roman" w:hAnsi="Times New Roman" w:cs="Times New Roman"/>
                <w:color w:val="000000"/>
                <w:kern w:val="0"/>
                <w:sz w:val="19"/>
                <w:szCs w:val="19"/>
                <w:lang w:eastAsia="en-IN"/>
                <w14:ligatures w14:val="none"/>
              </w:rPr>
              <w:t>Central</w:t>
            </w:r>
          </w:p>
        </w:tc>
        <w:tc>
          <w:tcPr>
            <w:tcW w:w="1084" w:type="dxa"/>
            <w:tcBorders>
              <w:top w:val="nil"/>
              <w:left w:val="nil"/>
              <w:bottom w:val="single" w:sz="4" w:space="0" w:color="auto"/>
              <w:right w:val="single" w:sz="4" w:space="0" w:color="auto"/>
            </w:tcBorders>
            <w:noWrap/>
            <w:vAlign w:val="center"/>
            <w:hideMark/>
          </w:tcPr>
          <w:p w14:paraId="68F7BD37" w14:textId="77777777" w:rsidR="007B1BAC" w:rsidRPr="00801A36" w:rsidRDefault="007B1BAC" w:rsidP="00801A36">
            <w:pPr>
              <w:spacing w:after="0" w:line="240" w:lineRule="auto"/>
              <w:jc w:val="center"/>
              <w:rPr>
                <w:rFonts w:ascii="Times New Roman" w:eastAsia="Times New Roman" w:hAnsi="Times New Roman" w:cs="Times New Roman"/>
                <w:color w:val="000000"/>
                <w:kern w:val="0"/>
                <w:sz w:val="19"/>
                <w:szCs w:val="19"/>
                <w:lang w:eastAsia="en-IN"/>
                <w14:ligatures w14:val="none"/>
              </w:rPr>
            </w:pPr>
            <w:r w:rsidRPr="00801A36">
              <w:rPr>
                <w:rFonts w:ascii="Times New Roman" w:eastAsia="Times New Roman" w:hAnsi="Times New Roman" w:cs="Times New Roman"/>
                <w:color w:val="000000"/>
                <w:kern w:val="0"/>
                <w:sz w:val="19"/>
                <w:szCs w:val="19"/>
                <w:lang w:eastAsia="en-IN"/>
                <w14:ligatures w14:val="none"/>
              </w:rPr>
              <w:t>307.1</w:t>
            </w:r>
          </w:p>
        </w:tc>
        <w:tc>
          <w:tcPr>
            <w:tcW w:w="1070" w:type="dxa"/>
            <w:tcBorders>
              <w:top w:val="nil"/>
              <w:left w:val="nil"/>
              <w:bottom w:val="single" w:sz="4" w:space="0" w:color="auto"/>
              <w:right w:val="single" w:sz="4" w:space="0" w:color="auto"/>
            </w:tcBorders>
            <w:noWrap/>
            <w:vAlign w:val="center"/>
            <w:hideMark/>
          </w:tcPr>
          <w:p w14:paraId="0322E863" w14:textId="77777777" w:rsidR="007B1BAC" w:rsidRPr="00801A36" w:rsidRDefault="007B1BAC" w:rsidP="00801A36">
            <w:pPr>
              <w:spacing w:after="0" w:line="240" w:lineRule="auto"/>
              <w:jc w:val="center"/>
              <w:rPr>
                <w:rFonts w:ascii="Times New Roman" w:eastAsia="Times New Roman" w:hAnsi="Times New Roman" w:cs="Times New Roman"/>
                <w:color w:val="000000"/>
                <w:kern w:val="0"/>
                <w:sz w:val="19"/>
                <w:szCs w:val="19"/>
                <w:lang w:eastAsia="en-IN"/>
                <w14:ligatures w14:val="none"/>
              </w:rPr>
            </w:pPr>
            <w:r w:rsidRPr="00801A36">
              <w:rPr>
                <w:rFonts w:ascii="Times New Roman" w:eastAsia="Times New Roman" w:hAnsi="Times New Roman" w:cs="Times New Roman"/>
                <w:color w:val="000000"/>
                <w:kern w:val="0"/>
                <w:sz w:val="19"/>
                <w:szCs w:val="19"/>
                <w:lang w:eastAsia="en-IN"/>
                <w14:ligatures w14:val="none"/>
              </w:rPr>
              <w:t>..</w:t>
            </w:r>
          </w:p>
        </w:tc>
        <w:tc>
          <w:tcPr>
            <w:tcW w:w="1196" w:type="dxa"/>
            <w:tcBorders>
              <w:top w:val="nil"/>
              <w:left w:val="nil"/>
              <w:bottom w:val="single" w:sz="4" w:space="0" w:color="auto"/>
              <w:right w:val="single" w:sz="4" w:space="0" w:color="auto"/>
            </w:tcBorders>
            <w:noWrap/>
            <w:vAlign w:val="center"/>
            <w:hideMark/>
          </w:tcPr>
          <w:p w14:paraId="6D39C5AD" w14:textId="77777777" w:rsidR="007B1BAC" w:rsidRPr="00801A36" w:rsidRDefault="007B1BAC" w:rsidP="00801A36">
            <w:pPr>
              <w:spacing w:after="0" w:line="240" w:lineRule="auto"/>
              <w:jc w:val="center"/>
              <w:rPr>
                <w:rFonts w:ascii="Times New Roman" w:eastAsia="Times New Roman" w:hAnsi="Times New Roman" w:cs="Times New Roman"/>
                <w:color w:val="000000"/>
                <w:kern w:val="0"/>
                <w:sz w:val="19"/>
                <w:szCs w:val="19"/>
                <w:lang w:eastAsia="en-IN"/>
                <w14:ligatures w14:val="none"/>
              </w:rPr>
            </w:pPr>
            <w:r w:rsidRPr="00801A36">
              <w:rPr>
                <w:rFonts w:ascii="Times New Roman" w:eastAsia="Times New Roman" w:hAnsi="Times New Roman" w:cs="Times New Roman"/>
                <w:color w:val="000000"/>
                <w:kern w:val="0"/>
                <w:sz w:val="19"/>
                <w:szCs w:val="19"/>
                <w:lang w:eastAsia="en-IN"/>
                <w14:ligatures w14:val="none"/>
              </w:rPr>
              <w:t>..</w:t>
            </w:r>
          </w:p>
        </w:tc>
        <w:tc>
          <w:tcPr>
            <w:tcW w:w="986" w:type="dxa"/>
            <w:tcBorders>
              <w:top w:val="nil"/>
              <w:left w:val="nil"/>
              <w:bottom w:val="single" w:sz="4" w:space="0" w:color="auto"/>
              <w:right w:val="single" w:sz="4" w:space="0" w:color="auto"/>
            </w:tcBorders>
            <w:noWrap/>
            <w:vAlign w:val="center"/>
            <w:hideMark/>
          </w:tcPr>
          <w:p w14:paraId="5C616207" w14:textId="77777777" w:rsidR="007B1BAC" w:rsidRPr="00801A36" w:rsidRDefault="007B1BAC" w:rsidP="00801A36">
            <w:pPr>
              <w:spacing w:after="0" w:line="240" w:lineRule="auto"/>
              <w:jc w:val="center"/>
              <w:rPr>
                <w:rFonts w:ascii="Times New Roman" w:eastAsia="Times New Roman" w:hAnsi="Times New Roman" w:cs="Times New Roman"/>
                <w:color w:val="000000"/>
                <w:kern w:val="0"/>
                <w:sz w:val="19"/>
                <w:szCs w:val="19"/>
                <w:lang w:eastAsia="en-IN"/>
                <w14:ligatures w14:val="none"/>
              </w:rPr>
            </w:pPr>
            <w:r w:rsidRPr="00801A36">
              <w:rPr>
                <w:rFonts w:ascii="Times New Roman" w:eastAsia="Times New Roman" w:hAnsi="Times New Roman" w:cs="Times New Roman"/>
                <w:color w:val="000000"/>
                <w:kern w:val="0"/>
                <w:sz w:val="19"/>
                <w:szCs w:val="19"/>
                <w:lang w:eastAsia="en-IN"/>
                <w14:ligatures w14:val="none"/>
              </w:rPr>
              <w:t>307.1</w:t>
            </w:r>
          </w:p>
        </w:tc>
        <w:tc>
          <w:tcPr>
            <w:tcW w:w="1084" w:type="dxa"/>
            <w:tcBorders>
              <w:top w:val="nil"/>
              <w:left w:val="nil"/>
              <w:bottom w:val="single" w:sz="4" w:space="0" w:color="auto"/>
              <w:right w:val="single" w:sz="4" w:space="0" w:color="auto"/>
            </w:tcBorders>
            <w:noWrap/>
            <w:vAlign w:val="center"/>
            <w:hideMark/>
          </w:tcPr>
          <w:p w14:paraId="1EFA91C5" w14:textId="77777777" w:rsidR="007B1BAC" w:rsidRPr="00801A36" w:rsidRDefault="007B1BAC" w:rsidP="00801A36">
            <w:pPr>
              <w:spacing w:after="0" w:line="240" w:lineRule="auto"/>
              <w:jc w:val="center"/>
              <w:rPr>
                <w:rFonts w:ascii="Times New Roman" w:eastAsia="Times New Roman" w:hAnsi="Times New Roman" w:cs="Times New Roman"/>
                <w:color w:val="000000"/>
                <w:kern w:val="0"/>
                <w:sz w:val="19"/>
                <w:szCs w:val="19"/>
                <w:lang w:eastAsia="en-IN"/>
                <w14:ligatures w14:val="none"/>
              </w:rPr>
            </w:pPr>
            <w:r w:rsidRPr="00801A36">
              <w:rPr>
                <w:rFonts w:ascii="Times New Roman" w:eastAsia="Times New Roman" w:hAnsi="Times New Roman" w:cs="Times New Roman"/>
                <w:color w:val="000000"/>
                <w:kern w:val="0"/>
                <w:sz w:val="19"/>
                <w:szCs w:val="19"/>
                <w:lang w:eastAsia="en-IN"/>
                <w14:ligatures w14:val="none"/>
              </w:rPr>
              <w:t>307.1</w:t>
            </w:r>
          </w:p>
        </w:tc>
        <w:tc>
          <w:tcPr>
            <w:tcW w:w="1070" w:type="dxa"/>
            <w:tcBorders>
              <w:top w:val="nil"/>
              <w:left w:val="nil"/>
              <w:bottom w:val="single" w:sz="4" w:space="0" w:color="auto"/>
              <w:right w:val="single" w:sz="4" w:space="0" w:color="auto"/>
            </w:tcBorders>
            <w:noWrap/>
            <w:vAlign w:val="center"/>
            <w:hideMark/>
          </w:tcPr>
          <w:p w14:paraId="0DB6E346" w14:textId="77777777" w:rsidR="007B1BAC" w:rsidRPr="00801A36" w:rsidRDefault="007B1BAC" w:rsidP="00801A36">
            <w:pPr>
              <w:spacing w:after="0" w:line="240" w:lineRule="auto"/>
              <w:jc w:val="center"/>
              <w:rPr>
                <w:rFonts w:ascii="Times New Roman" w:eastAsia="Times New Roman" w:hAnsi="Times New Roman" w:cs="Times New Roman"/>
                <w:color w:val="000000"/>
                <w:kern w:val="0"/>
                <w:sz w:val="19"/>
                <w:szCs w:val="19"/>
                <w:lang w:eastAsia="en-IN"/>
                <w14:ligatures w14:val="none"/>
              </w:rPr>
            </w:pPr>
            <w:r w:rsidRPr="00801A36">
              <w:rPr>
                <w:rFonts w:ascii="Times New Roman" w:eastAsia="Times New Roman" w:hAnsi="Times New Roman" w:cs="Times New Roman"/>
                <w:color w:val="000000"/>
                <w:kern w:val="0"/>
                <w:sz w:val="19"/>
                <w:szCs w:val="19"/>
                <w:lang w:eastAsia="en-IN"/>
                <w14:ligatures w14:val="none"/>
              </w:rPr>
              <w:t>..</w:t>
            </w:r>
          </w:p>
        </w:tc>
        <w:tc>
          <w:tcPr>
            <w:tcW w:w="1196" w:type="dxa"/>
            <w:tcBorders>
              <w:top w:val="nil"/>
              <w:left w:val="nil"/>
              <w:bottom w:val="single" w:sz="4" w:space="0" w:color="auto"/>
              <w:right w:val="single" w:sz="4" w:space="0" w:color="auto"/>
            </w:tcBorders>
            <w:noWrap/>
            <w:vAlign w:val="center"/>
            <w:hideMark/>
          </w:tcPr>
          <w:p w14:paraId="3C39AA74" w14:textId="77777777" w:rsidR="007B1BAC" w:rsidRPr="00801A36" w:rsidRDefault="007B1BAC" w:rsidP="00801A36">
            <w:pPr>
              <w:spacing w:after="0" w:line="240" w:lineRule="auto"/>
              <w:jc w:val="center"/>
              <w:rPr>
                <w:rFonts w:ascii="Times New Roman" w:eastAsia="Times New Roman" w:hAnsi="Times New Roman" w:cs="Times New Roman"/>
                <w:color w:val="000000"/>
                <w:kern w:val="0"/>
                <w:sz w:val="19"/>
                <w:szCs w:val="19"/>
                <w:lang w:eastAsia="en-IN"/>
                <w14:ligatures w14:val="none"/>
              </w:rPr>
            </w:pPr>
            <w:r w:rsidRPr="00801A36">
              <w:rPr>
                <w:rFonts w:ascii="Times New Roman" w:eastAsia="Times New Roman" w:hAnsi="Times New Roman" w:cs="Times New Roman"/>
                <w:color w:val="000000"/>
                <w:kern w:val="0"/>
                <w:sz w:val="19"/>
                <w:szCs w:val="19"/>
                <w:lang w:eastAsia="en-IN"/>
                <w14:ligatures w14:val="none"/>
              </w:rPr>
              <w:t>..</w:t>
            </w:r>
          </w:p>
        </w:tc>
        <w:tc>
          <w:tcPr>
            <w:tcW w:w="986" w:type="dxa"/>
            <w:tcBorders>
              <w:top w:val="nil"/>
              <w:left w:val="nil"/>
              <w:bottom w:val="single" w:sz="4" w:space="0" w:color="auto"/>
              <w:right w:val="single" w:sz="4" w:space="0" w:color="auto"/>
            </w:tcBorders>
            <w:noWrap/>
            <w:vAlign w:val="center"/>
            <w:hideMark/>
          </w:tcPr>
          <w:p w14:paraId="0B4CFC8F" w14:textId="77777777" w:rsidR="007B1BAC" w:rsidRPr="00801A36" w:rsidRDefault="007B1BAC" w:rsidP="00801A36">
            <w:pPr>
              <w:spacing w:after="0" w:line="240" w:lineRule="auto"/>
              <w:jc w:val="center"/>
              <w:rPr>
                <w:rFonts w:ascii="Times New Roman" w:eastAsia="Times New Roman" w:hAnsi="Times New Roman" w:cs="Times New Roman"/>
                <w:color w:val="000000"/>
                <w:kern w:val="0"/>
                <w:sz w:val="19"/>
                <w:szCs w:val="19"/>
                <w:lang w:eastAsia="en-IN"/>
                <w14:ligatures w14:val="none"/>
              </w:rPr>
            </w:pPr>
            <w:r w:rsidRPr="00801A36">
              <w:rPr>
                <w:rFonts w:ascii="Times New Roman" w:eastAsia="Times New Roman" w:hAnsi="Times New Roman" w:cs="Times New Roman"/>
                <w:color w:val="000000"/>
                <w:kern w:val="0"/>
                <w:sz w:val="19"/>
                <w:szCs w:val="19"/>
                <w:lang w:eastAsia="en-IN"/>
                <w14:ligatures w14:val="none"/>
              </w:rPr>
              <w:t>307.1</w:t>
            </w:r>
          </w:p>
        </w:tc>
        <w:tc>
          <w:tcPr>
            <w:tcW w:w="1084" w:type="dxa"/>
            <w:tcBorders>
              <w:top w:val="nil"/>
              <w:left w:val="nil"/>
              <w:bottom w:val="single" w:sz="4" w:space="0" w:color="auto"/>
              <w:right w:val="single" w:sz="4" w:space="0" w:color="auto"/>
            </w:tcBorders>
            <w:noWrap/>
            <w:vAlign w:val="center"/>
            <w:hideMark/>
          </w:tcPr>
          <w:p w14:paraId="2381BA51" w14:textId="77777777" w:rsidR="007B1BAC" w:rsidRPr="00801A36" w:rsidRDefault="007B1BAC" w:rsidP="00801A36">
            <w:pPr>
              <w:spacing w:after="0" w:line="240" w:lineRule="auto"/>
              <w:jc w:val="center"/>
              <w:rPr>
                <w:rFonts w:ascii="Times New Roman" w:eastAsia="Times New Roman" w:hAnsi="Times New Roman" w:cs="Times New Roman"/>
                <w:color w:val="000000"/>
                <w:kern w:val="0"/>
                <w:sz w:val="19"/>
                <w:szCs w:val="19"/>
                <w:lang w:eastAsia="en-IN"/>
                <w14:ligatures w14:val="none"/>
              </w:rPr>
            </w:pPr>
            <w:r w:rsidRPr="00801A36">
              <w:rPr>
                <w:rFonts w:ascii="Times New Roman" w:eastAsia="Times New Roman" w:hAnsi="Times New Roman" w:cs="Times New Roman"/>
                <w:color w:val="000000"/>
                <w:kern w:val="0"/>
                <w:sz w:val="19"/>
                <w:szCs w:val="19"/>
                <w:lang w:eastAsia="en-IN"/>
                <w14:ligatures w14:val="none"/>
              </w:rPr>
              <w:t>..</w:t>
            </w:r>
          </w:p>
        </w:tc>
        <w:tc>
          <w:tcPr>
            <w:tcW w:w="1070" w:type="dxa"/>
            <w:tcBorders>
              <w:top w:val="nil"/>
              <w:left w:val="nil"/>
              <w:bottom w:val="single" w:sz="4" w:space="0" w:color="auto"/>
              <w:right w:val="single" w:sz="4" w:space="0" w:color="auto"/>
            </w:tcBorders>
            <w:noWrap/>
            <w:vAlign w:val="center"/>
            <w:hideMark/>
          </w:tcPr>
          <w:p w14:paraId="42D56A07" w14:textId="77777777" w:rsidR="007B1BAC" w:rsidRPr="00801A36" w:rsidRDefault="007B1BAC" w:rsidP="00801A36">
            <w:pPr>
              <w:spacing w:after="0" w:line="240" w:lineRule="auto"/>
              <w:jc w:val="center"/>
              <w:rPr>
                <w:rFonts w:ascii="Times New Roman" w:eastAsia="Times New Roman" w:hAnsi="Times New Roman" w:cs="Times New Roman"/>
                <w:color w:val="000000"/>
                <w:kern w:val="0"/>
                <w:sz w:val="19"/>
                <w:szCs w:val="19"/>
                <w:lang w:eastAsia="en-IN"/>
                <w14:ligatures w14:val="none"/>
              </w:rPr>
            </w:pPr>
            <w:r w:rsidRPr="00801A36">
              <w:rPr>
                <w:rFonts w:ascii="Times New Roman" w:eastAsia="Times New Roman" w:hAnsi="Times New Roman" w:cs="Times New Roman"/>
                <w:color w:val="000000"/>
                <w:kern w:val="0"/>
                <w:sz w:val="19"/>
                <w:szCs w:val="19"/>
                <w:lang w:eastAsia="en-IN"/>
                <w14:ligatures w14:val="none"/>
              </w:rPr>
              <w:t>..</w:t>
            </w:r>
          </w:p>
        </w:tc>
        <w:tc>
          <w:tcPr>
            <w:tcW w:w="1196" w:type="dxa"/>
            <w:tcBorders>
              <w:top w:val="nil"/>
              <w:left w:val="nil"/>
              <w:bottom w:val="single" w:sz="4" w:space="0" w:color="auto"/>
              <w:right w:val="single" w:sz="4" w:space="0" w:color="auto"/>
            </w:tcBorders>
            <w:noWrap/>
            <w:vAlign w:val="center"/>
            <w:hideMark/>
          </w:tcPr>
          <w:p w14:paraId="105155A7" w14:textId="77777777" w:rsidR="007B1BAC" w:rsidRPr="00801A36" w:rsidRDefault="007B1BAC" w:rsidP="00801A36">
            <w:pPr>
              <w:spacing w:after="0" w:line="240" w:lineRule="auto"/>
              <w:jc w:val="center"/>
              <w:rPr>
                <w:rFonts w:ascii="Times New Roman" w:eastAsia="Times New Roman" w:hAnsi="Times New Roman" w:cs="Times New Roman"/>
                <w:color w:val="000000"/>
                <w:kern w:val="0"/>
                <w:sz w:val="19"/>
                <w:szCs w:val="19"/>
                <w:lang w:eastAsia="en-IN"/>
                <w14:ligatures w14:val="none"/>
              </w:rPr>
            </w:pPr>
            <w:r w:rsidRPr="00801A36">
              <w:rPr>
                <w:rFonts w:ascii="Times New Roman" w:eastAsia="Times New Roman" w:hAnsi="Times New Roman" w:cs="Times New Roman"/>
                <w:color w:val="000000"/>
                <w:kern w:val="0"/>
                <w:sz w:val="19"/>
                <w:szCs w:val="19"/>
                <w:lang w:eastAsia="en-IN"/>
                <w14:ligatures w14:val="none"/>
              </w:rPr>
              <w:t>..</w:t>
            </w:r>
          </w:p>
        </w:tc>
        <w:tc>
          <w:tcPr>
            <w:tcW w:w="986" w:type="dxa"/>
            <w:tcBorders>
              <w:top w:val="nil"/>
              <w:left w:val="nil"/>
              <w:bottom w:val="single" w:sz="4" w:space="0" w:color="auto"/>
              <w:right w:val="single" w:sz="4" w:space="0" w:color="auto"/>
            </w:tcBorders>
            <w:noWrap/>
            <w:vAlign w:val="center"/>
            <w:hideMark/>
          </w:tcPr>
          <w:p w14:paraId="1B4FA99C" w14:textId="77777777" w:rsidR="007B1BAC" w:rsidRPr="00801A36" w:rsidRDefault="007B1BAC" w:rsidP="00801A36">
            <w:pPr>
              <w:spacing w:after="0" w:line="240" w:lineRule="auto"/>
              <w:jc w:val="center"/>
              <w:rPr>
                <w:rFonts w:ascii="Times New Roman" w:eastAsia="Times New Roman" w:hAnsi="Times New Roman" w:cs="Times New Roman"/>
                <w:color w:val="000000"/>
                <w:kern w:val="0"/>
                <w:sz w:val="19"/>
                <w:szCs w:val="19"/>
                <w:lang w:eastAsia="en-IN"/>
                <w14:ligatures w14:val="none"/>
              </w:rPr>
            </w:pPr>
            <w:r w:rsidRPr="00801A36">
              <w:rPr>
                <w:rFonts w:ascii="Times New Roman" w:eastAsia="Times New Roman" w:hAnsi="Times New Roman" w:cs="Times New Roman"/>
                <w:color w:val="000000"/>
                <w:kern w:val="0"/>
                <w:sz w:val="19"/>
                <w:szCs w:val="19"/>
                <w:lang w:eastAsia="en-IN"/>
                <w14:ligatures w14:val="none"/>
              </w:rPr>
              <w:t>..</w:t>
            </w:r>
          </w:p>
        </w:tc>
      </w:tr>
      <w:tr w:rsidR="007B1BAC" w:rsidRPr="00801A36" w14:paraId="2D912293" w14:textId="77777777" w:rsidTr="00801A36">
        <w:trPr>
          <w:trHeight w:val="20"/>
          <w:jc w:val="center"/>
        </w:trPr>
        <w:tc>
          <w:tcPr>
            <w:tcW w:w="618" w:type="dxa"/>
            <w:tcBorders>
              <w:top w:val="nil"/>
              <w:left w:val="single" w:sz="4" w:space="0" w:color="auto"/>
              <w:bottom w:val="single" w:sz="4" w:space="0" w:color="auto"/>
              <w:right w:val="single" w:sz="4" w:space="0" w:color="auto"/>
            </w:tcBorders>
            <w:noWrap/>
            <w:vAlign w:val="bottom"/>
            <w:hideMark/>
          </w:tcPr>
          <w:p w14:paraId="299082D3" w14:textId="77777777" w:rsidR="007B1BAC" w:rsidRPr="00801A36" w:rsidRDefault="007B1BAC" w:rsidP="007B1BAC">
            <w:pPr>
              <w:spacing w:after="0" w:line="240" w:lineRule="auto"/>
              <w:rPr>
                <w:rFonts w:ascii="Times New Roman" w:eastAsia="Times New Roman" w:hAnsi="Times New Roman" w:cs="Times New Roman"/>
                <w:color w:val="000000"/>
                <w:kern w:val="0"/>
                <w:sz w:val="19"/>
                <w:szCs w:val="19"/>
                <w:lang w:eastAsia="en-IN"/>
                <w14:ligatures w14:val="none"/>
              </w:rPr>
            </w:pPr>
            <w:r w:rsidRPr="00801A36">
              <w:rPr>
                <w:rFonts w:ascii="Times New Roman" w:eastAsia="Times New Roman" w:hAnsi="Times New Roman" w:cs="Times New Roman"/>
                <w:color w:val="000000"/>
                <w:kern w:val="0"/>
                <w:sz w:val="19"/>
                <w:szCs w:val="19"/>
                <w:lang w:eastAsia="en-IN"/>
                <w14:ligatures w14:val="none"/>
              </w:rPr>
              <w:t> </w:t>
            </w:r>
          </w:p>
        </w:tc>
        <w:tc>
          <w:tcPr>
            <w:tcW w:w="1680" w:type="dxa"/>
            <w:tcBorders>
              <w:top w:val="nil"/>
              <w:left w:val="nil"/>
              <w:bottom w:val="single" w:sz="4" w:space="0" w:color="auto"/>
              <w:right w:val="single" w:sz="4" w:space="0" w:color="auto"/>
            </w:tcBorders>
            <w:noWrap/>
            <w:vAlign w:val="bottom"/>
            <w:hideMark/>
          </w:tcPr>
          <w:p w14:paraId="27F7A275" w14:textId="77777777" w:rsidR="007B1BAC" w:rsidRPr="00801A36" w:rsidRDefault="007B1BAC" w:rsidP="007B1BAC">
            <w:pPr>
              <w:spacing w:after="0" w:line="240" w:lineRule="auto"/>
              <w:rPr>
                <w:rFonts w:ascii="Times New Roman" w:eastAsia="Times New Roman" w:hAnsi="Times New Roman" w:cs="Times New Roman"/>
                <w:color w:val="000000"/>
                <w:kern w:val="0"/>
                <w:sz w:val="19"/>
                <w:szCs w:val="19"/>
                <w:lang w:eastAsia="en-IN"/>
                <w14:ligatures w14:val="none"/>
              </w:rPr>
            </w:pPr>
            <w:r w:rsidRPr="00801A36">
              <w:rPr>
                <w:rFonts w:ascii="Times New Roman" w:eastAsia="Times New Roman" w:hAnsi="Times New Roman" w:cs="Times New Roman"/>
                <w:color w:val="000000"/>
                <w:kern w:val="0"/>
                <w:sz w:val="19"/>
                <w:szCs w:val="19"/>
                <w:lang w:eastAsia="en-IN"/>
                <w14:ligatures w14:val="none"/>
              </w:rPr>
              <w:t>Southern</w:t>
            </w:r>
          </w:p>
        </w:tc>
        <w:tc>
          <w:tcPr>
            <w:tcW w:w="1084" w:type="dxa"/>
            <w:tcBorders>
              <w:top w:val="nil"/>
              <w:left w:val="nil"/>
              <w:bottom w:val="single" w:sz="4" w:space="0" w:color="auto"/>
              <w:right w:val="single" w:sz="4" w:space="0" w:color="auto"/>
            </w:tcBorders>
            <w:noWrap/>
            <w:vAlign w:val="center"/>
            <w:hideMark/>
          </w:tcPr>
          <w:p w14:paraId="6220391F" w14:textId="77777777" w:rsidR="007B1BAC" w:rsidRPr="00801A36" w:rsidRDefault="007B1BAC" w:rsidP="00801A36">
            <w:pPr>
              <w:spacing w:after="0" w:line="240" w:lineRule="auto"/>
              <w:jc w:val="center"/>
              <w:rPr>
                <w:rFonts w:ascii="Times New Roman" w:eastAsia="Times New Roman" w:hAnsi="Times New Roman" w:cs="Times New Roman"/>
                <w:color w:val="000000"/>
                <w:kern w:val="0"/>
                <w:sz w:val="19"/>
                <w:szCs w:val="19"/>
                <w:lang w:eastAsia="en-IN"/>
                <w14:ligatures w14:val="none"/>
              </w:rPr>
            </w:pPr>
            <w:r w:rsidRPr="00801A36">
              <w:rPr>
                <w:rFonts w:ascii="Times New Roman" w:eastAsia="Times New Roman" w:hAnsi="Times New Roman" w:cs="Times New Roman"/>
                <w:color w:val="000000"/>
                <w:kern w:val="0"/>
                <w:sz w:val="19"/>
                <w:szCs w:val="19"/>
                <w:lang w:eastAsia="en-IN"/>
                <w14:ligatures w14:val="none"/>
              </w:rPr>
              <w:t>163.83</w:t>
            </w:r>
          </w:p>
        </w:tc>
        <w:tc>
          <w:tcPr>
            <w:tcW w:w="1070" w:type="dxa"/>
            <w:tcBorders>
              <w:top w:val="nil"/>
              <w:left w:val="nil"/>
              <w:bottom w:val="single" w:sz="4" w:space="0" w:color="auto"/>
              <w:right w:val="single" w:sz="4" w:space="0" w:color="auto"/>
            </w:tcBorders>
            <w:noWrap/>
            <w:vAlign w:val="center"/>
            <w:hideMark/>
          </w:tcPr>
          <w:p w14:paraId="093C3335" w14:textId="77777777" w:rsidR="007B1BAC" w:rsidRPr="00801A36" w:rsidRDefault="007B1BAC" w:rsidP="00801A36">
            <w:pPr>
              <w:spacing w:after="0" w:line="240" w:lineRule="auto"/>
              <w:jc w:val="center"/>
              <w:rPr>
                <w:rFonts w:ascii="Times New Roman" w:eastAsia="Times New Roman" w:hAnsi="Times New Roman" w:cs="Times New Roman"/>
                <w:color w:val="000000"/>
                <w:kern w:val="0"/>
                <w:sz w:val="19"/>
                <w:szCs w:val="19"/>
                <w:lang w:eastAsia="en-IN"/>
                <w14:ligatures w14:val="none"/>
              </w:rPr>
            </w:pPr>
            <w:r w:rsidRPr="00801A36">
              <w:rPr>
                <w:rFonts w:ascii="Times New Roman" w:eastAsia="Times New Roman" w:hAnsi="Times New Roman" w:cs="Times New Roman"/>
                <w:color w:val="000000"/>
                <w:kern w:val="0"/>
                <w:sz w:val="19"/>
                <w:szCs w:val="19"/>
                <w:lang w:eastAsia="en-IN"/>
                <w14:ligatures w14:val="none"/>
              </w:rPr>
              <w:t>2,053.45</w:t>
            </w:r>
          </w:p>
        </w:tc>
        <w:tc>
          <w:tcPr>
            <w:tcW w:w="1196" w:type="dxa"/>
            <w:tcBorders>
              <w:top w:val="nil"/>
              <w:left w:val="nil"/>
              <w:bottom w:val="single" w:sz="4" w:space="0" w:color="auto"/>
              <w:right w:val="single" w:sz="4" w:space="0" w:color="auto"/>
            </w:tcBorders>
            <w:noWrap/>
            <w:vAlign w:val="center"/>
            <w:hideMark/>
          </w:tcPr>
          <w:p w14:paraId="65851CAB" w14:textId="77777777" w:rsidR="007B1BAC" w:rsidRPr="00801A36" w:rsidRDefault="007B1BAC" w:rsidP="00801A36">
            <w:pPr>
              <w:spacing w:after="0" w:line="240" w:lineRule="auto"/>
              <w:jc w:val="center"/>
              <w:rPr>
                <w:rFonts w:ascii="Times New Roman" w:eastAsia="Times New Roman" w:hAnsi="Times New Roman" w:cs="Times New Roman"/>
                <w:color w:val="000000"/>
                <w:kern w:val="0"/>
                <w:sz w:val="19"/>
                <w:szCs w:val="19"/>
                <w:lang w:eastAsia="en-IN"/>
                <w14:ligatures w14:val="none"/>
              </w:rPr>
            </w:pPr>
            <w:r w:rsidRPr="00801A36">
              <w:rPr>
                <w:rFonts w:ascii="Times New Roman" w:eastAsia="Times New Roman" w:hAnsi="Times New Roman" w:cs="Times New Roman"/>
                <w:color w:val="000000"/>
                <w:kern w:val="0"/>
                <w:sz w:val="19"/>
                <w:szCs w:val="19"/>
                <w:lang w:eastAsia="en-IN"/>
                <w14:ligatures w14:val="none"/>
              </w:rPr>
              <w:t>156.76</w:t>
            </w:r>
          </w:p>
        </w:tc>
        <w:tc>
          <w:tcPr>
            <w:tcW w:w="986" w:type="dxa"/>
            <w:tcBorders>
              <w:top w:val="nil"/>
              <w:left w:val="nil"/>
              <w:bottom w:val="single" w:sz="4" w:space="0" w:color="auto"/>
              <w:right w:val="single" w:sz="4" w:space="0" w:color="auto"/>
            </w:tcBorders>
            <w:noWrap/>
            <w:vAlign w:val="center"/>
            <w:hideMark/>
          </w:tcPr>
          <w:p w14:paraId="3EA9B09A" w14:textId="77777777" w:rsidR="007B1BAC" w:rsidRPr="00801A36" w:rsidRDefault="007B1BAC" w:rsidP="00801A36">
            <w:pPr>
              <w:spacing w:after="0" w:line="240" w:lineRule="auto"/>
              <w:jc w:val="center"/>
              <w:rPr>
                <w:rFonts w:ascii="Times New Roman" w:eastAsia="Times New Roman" w:hAnsi="Times New Roman" w:cs="Times New Roman"/>
                <w:color w:val="000000"/>
                <w:kern w:val="0"/>
                <w:sz w:val="19"/>
                <w:szCs w:val="19"/>
                <w:lang w:eastAsia="en-IN"/>
                <w14:ligatures w14:val="none"/>
              </w:rPr>
            </w:pPr>
            <w:r w:rsidRPr="00801A36">
              <w:rPr>
                <w:rFonts w:ascii="Times New Roman" w:eastAsia="Times New Roman" w:hAnsi="Times New Roman" w:cs="Times New Roman"/>
                <w:color w:val="000000"/>
                <w:kern w:val="0"/>
                <w:sz w:val="19"/>
                <w:szCs w:val="19"/>
                <w:lang w:eastAsia="en-IN"/>
                <w14:ligatures w14:val="none"/>
              </w:rPr>
              <w:t>2,374.04</w:t>
            </w:r>
          </w:p>
        </w:tc>
        <w:tc>
          <w:tcPr>
            <w:tcW w:w="1084" w:type="dxa"/>
            <w:tcBorders>
              <w:top w:val="nil"/>
              <w:left w:val="nil"/>
              <w:bottom w:val="single" w:sz="4" w:space="0" w:color="auto"/>
              <w:right w:val="single" w:sz="4" w:space="0" w:color="auto"/>
            </w:tcBorders>
            <w:noWrap/>
            <w:vAlign w:val="center"/>
            <w:hideMark/>
          </w:tcPr>
          <w:p w14:paraId="0EE8CDAE" w14:textId="77777777" w:rsidR="007B1BAC" w:rsidRPr="00801A36" w:rsidRDefault="007B1BAC" w:rsidP="00801A36">
            <w:pPr>
              <w:spacing w:after="0" w:line="240" w:lineRule="auto"/>
              <w:jc w:val="center"/>
              <w:rPr>
                <w:rFonts w:ascii="Times New Roman" w:eastAsia="Times New Roman" w:hAnsi="Times New Roman" w:cs="Times New Roman"/>
                <w:color w:val="000000"/>
                <w:kern w:val="0"/>
                <w:sz w:val="19"/>
                <w:szCs w:val="19"/>
                <w:lang w:eastAsia="en-IN"/>
                <w14:ligatures w14:val="none"/>
              </w:rPr>
            </w:pPr>
            <w:r w:rsidRPr="00801A36">
              <w:rPr>
                <w:rFonts w:ascii="Times New Roman" w:eastAsia="Times New Roman" w:hAnsi="Times New Roman" w:cs="Times New Roman"/>
                <w:color w:val="000000"/>
                <w:kern w:val="0"/>
                <w:sz w:val="19"/>
                <w:szCs w:val="19"/>
                <w:lang w:eastAsia="en-IN"/>
                <w14:ligatures w14:val="none"/>
              </w:rPr>
              <w:t>243.09</w:t>
            </w:r>
          </w:p>
        </w:tc>
        <w:tc>
          <w:tcPr>
            <w:tcW w:w="1070" w:type="dxa"/>
            <w:tcBorders>
              <w:top w:val="nil"/>
              <w:left w:val="nil"/>
              <w:bottom w:val="single" w:sz="4" w:space="0" w:color="auto"/>
              <w:right w:val="single" w:sz="4" w:space="0" w:color="auto"/>
            </w:tcBorders>
            <w:noWrap/>
            <w:vAlign w:val="center"/>
            <w:hideMark/>
          </w:tcPr>
          <w:p w14:paraId="14273580" w14:textId="77777777" w:rsidR="007B1BAC" w:rsidRPr="00801A36" w:rsidRDefault="007B1BAC" w:rsidP="00801A36">
            <w:pPr>
              <w:spacing w:after="0" w:line="240" w:lineRule="auto"/>
              <w:jc w:val="center"/>
              <w:rPr>
                <w:rFonts w:ascii="Times New Roman" w:eastAsia="Times New Roman" w:hAnsi="Times New Roman" w:cs="Times New Roman"/>
                <w:color w:val="000000"/>
                <w:kern w:val="0"/>
                <w:sz w:val="19"/>
                <w:szCs w:val="19"/>
                <w:lang w:eastAsia="en-IN"/>
                <w14:ligatures w14:val="none"/>
              </w:rPr>
            </w:pPr>
            <w:r w:rsidRPr="00801A36">
              <w:rPr>
                <w:rFonts w:ascii="Times New Roman" w:eastAsia="Times New Roman" w:hAnsi="Times New Roman" w:cs="Times New Roman"/>
                <w:color w:val="000000"/>
                <w:kern w:val="0"/>
                <w:sz w:val="19"/>
                <w:szCs w:val="19"/>
                <w:lang w:eastAsia="en-IN"/>
                <w14:ligatures w14:val="none"/>
              </w:rPr>
              <w:t>2,053.45</w:t>
            </w:r>
          </w:p>
        </w:tc>
        <w:tc>
          <w:tcPr>
            <w:tcW w:w="1196" w:type="dxa"/>
            <w:tcBorders>
              <w:top w:val="nil"/>
              <w:left w:val="nil"/>
              <w:bottom w:val="single" w:sz="4" w:space="0" w:color="auto"/>
              <w:right w:val="single" w:sz="4" w:space="0" w:color="auto"/>
            </w:tcBorders>
            <w:noWrap/>
            <w:vAlign w:val="center"/>
            <w:hideMark/>
          </w:tcPr>
          <w:p w14:paraId="3F3C2633" w14:textId="77777777" w:rsidR="007B1BAC" w:rsidRPr="00801A36" w:rsidRDefault="007B1BAC" w:rsidP="00801A36">
            <w:pPr>
              <w:spacing w:after="0" w:line="240" w:lineRule="auto"/>
              <w:jc w:val="center"/>
              <w:rPr>
                <w:rFonts w:ascii="Times New Roman" w:eastAsia="Times New Roman" w:hAnsi="Times New Roman" w:cs="Times New Roman"/>
                <w:color w:val="000000"/>
                <w:kern w:val="0"/>
                <w:sz w:val="19"/>
                <w:szCs w:val="19"/>
                <w:lang w:eastAsia="en-IN"/>
                <w14:ligatures w14:val="none"/>
              </w:rPr>
            </w:pPr>
            <w:r w:rsidRPr="00801A36">
              <w:rPr>
                <w:rFonts w:ascii="Times New Roman" w:eastAsia="Times New Roman" w:hAnsi="Times New Roman" w:cs="Times New Roman"/>
                <w:color w:val="000000"/>
                <w:kern w:val="0"/>
                <w:sz w:val="19"/>
                <w:szCs w:val="19"/>
                <w:lang w:eastAsia="en-IN"/>
                <w14:ligatures w14:val="none"/>
              </w:rPr>
              <w:t>156.76</w:t>
            </w:r>
          </w:p>
        </w:tc>
        <w:tc>
          <w:tcPr>
            <w:tcW w:w="986" w:type="dxa"/>
            <w:tcBorders>
              <w:top w:val="nil"/>
              <w:left w:val="nil"/>
              <w:bottom w:val="single" w:sz="4" w:space="0" w:color="auto"/>
              <w:right w:val="single" w:sz="4" w:space="0" w:color="auto"/>
            </w:tcBorders>
            <w:noWrap/>
            <w:vAlign w:val="center"/>
            <w:hideMark/>
          </w:tcPr>
          <w:p w14:paraId="01923CEF" w14:textId="77777777" w:rsidR="007B1BAC" w:rsidRPr="00801A36" w:rsidRDefault="007B1BAC" w:rsidP="00801A36">
            <w:pPr>
              <w:spacing w:after="0" w:line="240" w:lineRule="auto"/>
              <w:jc w:val="center"/>
              <w:rPr>
                <w:rFonts w:ascii="Times New Roman" w:eastAsia="Times New Roman" w:hAnsi="Times New Roman" w:cs="Times New Roman"/>
                <w:color w:val="000000"/>
                <w:kern w:val="0"/>
                <w:sz w:val="19"/>
                <w:szCs w:val="19"/>
                <w:lang w:eastAsia="en-IN"/>
                <w14:ligatures w14:val="none"/>
              </w:rPr>
            </w:pPr>
            <w:r w:rsidRPr="00801A36">
              <w:rPr>
                <w:rFonts w:ascii="Times New Roman" w:eastAsia="Times New Roman" w:hAnsi="Times New Roman" w:cs="Times New Roman"/>
                <w:color w:val="000000"/>
                <w:kern w:val="0"/>
                <w:sz w:val="19"/>
                <w:szCs w:val="19"/>
                <w:lang w:eastAsia="en-IN"/>
                <w14:ligatures w14:val="none"/>
              </w:rPr>
              <w:t>2,453.30</w:t>
            </w:r>
          </w:p>
        </w:tc>
        <w:tc>
          <w:tcPr>
            <w:tcW w:w="1084" w:type="dxa"/>
            <w:tcBorders>
              <w:top w:val="nil"/>
              <w:left w:val="nil"/>
              <w:bottom w:val="single" w:sz="4" w:space="0" w:color="auto"/>
              <w:right w:val="single" w:sz="4" w:space="0" w:color="auto"/>
            </w:tcBorders>
            <w:noWrap/>
            <w:vAlign w:val="center"/>
            <w:hideMark/>
          </w:tcPr>
          <w:p w14:paraId="62385E76" w14:textId="77777777" w:rsidR="007B1BAC" w:rsidRPr="00801A36" w:rsidRDefault="007B1BAC" w:rsidP="00801A36">
            <w:pPr>
              <w:spacing w:after="0" w:line="240" w:lineRule="auto"/>
              <w:jc w:val="center"/>
              <w:rPr>
                <w:rFonts w:ascii="Times New Roman" w:eastAsia="Times New Roman" w:hAnsi="Times New Roman" w:cs="Times New Roman"/>
                <w:color w:val="000000"/>
                <w:kern w:val="0"/>
                <w:sz w:val="19"/>
                <w:szCs w:val="19"/>
                <w:lang w:eastAsia="en-IN"/>
                <w14:ligatures w14:val="none"/>
              </w:rPr>
            </w:pPr>
            <w:r w:rsidRPr="00801A36">
              <w:rPr>
                <w:rFonts w:ascii="Times New Roman" w:eastAsia="Times New Roman" w:hAnsi="Times New Roman" w:cs="Times New Roman"/>
                <w:color w:val="000000"/>
                <w:kern w:val="0"/>
                <w:sz w:val="19"/>
                <w:szCs w:val="19"/>
                <w:lang w:eastAsia="en-IN"/>
                <w14:ligatures w14:val="none"/>
              </w:rPr>
              <w:t>239.1</w:t>
            </w:r>
          </w:p>
        </w:tc>
        <w:tc>
          <w:tcPr>
            <w:tcW w:w="1070" w:type="dxa"/>
            <w:tcBorders>
              <w:top w:val="nil"/>
              <w:left w:val="nil"/>
              <w:bottom w:val="single" w:sz="4" w:space="0" w:color="auto"/>
              <w:right w:val="single" w:sz="4" w:space="0" w:color="auto"/>
            </w:tcBorders>
            <w:noWrap/>
            <w:vAlign w:val="center"/>
            <w:hideMark/>
          </w:tcPr>
          <w:p w14:paraId="278CB334" w14:textId="77777777" w:rsidR="007B1BAC" w:rsidRPr="00801A36" w:rsidRDefault="007B1BAC" w:rsidP="00801A36">
            <w:pPr>
              <w:spacing w:after="0" w:line="240" w:lineRule="auto"/>
              <w:jc w:val="center"/>
              <w:rPr>
                <w:rFonts w:ascii="Times New Roman" w:eastAsia="Times New Roman" w:hAnsi="Times New Roman" w:cs="Times New Roman"/>
                <w:color w:val="000000"/>
                <w:kern w:val="0"/>
                <w:sz w:val="19"/>
                <w:szCs w:val="19"/>
                <w:lang w:eastAsia="en-IN"/>
                <w14:ligatures w14:val="none"/>
              </w:rPr>
            </w:pPr>
            <w:r w:rsidRPr="00801A36">
              <w:rPr>
                <w:rFonts w:ascii="Times New Roman" w:eastAsia="Times New Roman" w:hAnsi="Times New Roman" w:cs="Times New Roman"/>
                <w:color w:val="000000"/>
                <w:kern w:val="0"/>
                <w:sz w:val="19"/>
                <w:szCs w:val="19"/>
                <w:lang w:eastAsia="en-IN"/>
                <w14:ligatures w14:val="none"/>
              </w:rPr>
              <w:t>1,121.63</w:t>
            </w:r>
          </w:p>
        </w:tc>
        <w:tc>
          <w:tcPr>
            <w:tcW w:w="1196" w:type="dxa"/>
            <w:tcBorders>
              <w:top w:val="nil"/>
              <w:left w:val="nil"/>
              <w:bottom w:val="single" w:sz="4" w:space="0" w:color="auto"/>
              <w:right w:val="single" w:sz="4" w:space="0" w:color="auto"/>
            </w:tcBorders>
            <w:noWrap/>
            <w:vAlign w:val="center"/>
            <w:hideMark/>
          </w:tcPr>
          <w:p w14:paraId="5BC3AB21" w14:textId="77777777" w:rsidR="007B1BAC" w:rsidRPr="00801A36" w:rsidRDefault="007B1BAC" w:rsidP="00801A36">
            <w:pPr>
              <w:spacing w:after="0" w:line="240" w:lineRule="auto"/>
              <w:jc w:val="center"/>
              <w:rPr>
                <w:rFonts w:ascii="Times New Roman" w:eastAsia="Times New Roman" w:hAnsi="Times New Roman" w:cs="Times New Roman"/>
                <w:color w:val="000000"/>
                <w:kern w:val="0"/>
                <w:sz w:val="19"/>
                <w:szCs w:val="19"/>
                <w:lang w:eastAsia="en-IN"/>
                <w14:ligatures w14:val="none"/>
              </w:rPr>
            </w:pPr>
            <w:r w:rsidRPr="00801A36">
              <w:rPr>
                <w:rFonts w:ascii="Times New Roman" w:eastAsia="Times New Roman" w:hAnsi="Times New Roman" w:cs="Times New Roman"/>
                <w:color w:val="000000"/>
                <w:kern w:val="0"/>
                <w:sz w:val="19"/>
                <w:szCs w:val="19"/>
                <w:lang w:eastAsia="en-IN"/>
                <w14:ligatures w14:val="none"/>
              </w:rPr>
              <w:t>156.76</w:t>
            </w:r>
          </w:p>
        </w:tc>
        <w:tc>
          <w:tcPr>
            <w:tcW w:w="986" w:type="dxa"/>
            <w:tcBorders>
              <w:top w:val="nil"/>
              <w:left w:val="nil"/>
              <w:bottom w:val="single" w:sz="4" w:space="0" w:color="auto"/>
              <w:right w:val="single" w:sz="4" w:space="0" w:color="auto"/>
            </w:tcBorders>
            <w:noWrap/>
            <w:vAlign w:val="center"/>
            <w:hideMark/>
          </w:tcPr>
          <w:p w14:paraId="7C88F7A3" w14:textId="77777777" w:rsidR="007B1BAC" w:rsidRPr="00801A36" w:rsidRDefault="007B1BAC" w:rsidP="00801A36">
            <w:pPr>
              <w:spacing w:after="0" w:line="240" w:lineRule="auto"/>
              <w:jc w:val="center"/>
              <w:rPr>
                <w:rFonts w:ascii="Times New Roman" w:eastAsia="Times New Roman" w:hAnsi="Times New Roman" w:cs="Times New Roman"/>
                <w:color w:val="000000"/>
                <w:kern w:val="0"/>
                <w:sz w:val="19"/>
                <w:szCs w:val="19"/>
                <w:lang w:eastAsia="en-IN"/>
                <w14:ligatures w14:val="none"/>
              </w:rPr>
            </w:pPr>
            <w:r w:rsidRPr="00801A36">
              <w:rPr>
                <w:rFonts w:ascii="Times New Roman" w:eastAsia="Times New Roman" w:hAnsi="Times New Roman" w:cs="Times New Roman"/>
                <w:color w:val="000000"/>
                <w:kern w:val="0"/>
                <w:sz w:val="19"/>
                <w:szCs w:val="19"/>
                <w:lang w:eastAsia="en-IN"/>
                <w14:ligatures w14:val="none"/>
              </w:rPr>
              <w:t>1,517.49</w:t>
            </w:r>
          </w:p>
        </w:tc>
      </w:tr>
      <w:tr w:rsidR="007B1BAC" w:rsidRPr="00801A36" w14:paraId="40E3DE67" w14:textId="77777777" w:rsidTr="00801A36">
        <w:trPr>
          <w:trHeight w:val="20"/>
          <w:jc w:val="center"/>
        </w:trPr>
        <w:tc>
          <w:tcPr>
            <w:tcW w:w="618" w:type="dxa"/>
            <w:tcBorders>
              <w:top w:val="nil"/>
              <w:left w:val="single" w:sz="4" w:space="0" w:color="auto"/>
              <w:bottom w:val="single" w:sz="4" w:space="0" w:color="auto"/>
              <w:right w:val="single" w:sz="4" w:space="0" w:color="auto"/>
            </w:tcBorders>
            <w:noWrap/>
            <w:vAlign w:val="bottom"/>
            <w:hideMark/>
          </w:tcPr>
          <w:p w14:paraId="33E82CB5" w14:textId="77777777" w:rsidR="007B1BAC" w:rsidRPr="00801A36" w:rsidRDefault="007B1BAC" w:rsidP="007B1BAC">
            <w:pPr>
              <w:spacing w:after="0" w:line="240" w:lineRule="auto"/>
              <w:rPr>
                <w:rFonts w:ascii="Times New Roman" w:eastAsia="Times New Roman" w:hAnsi="Times New Roman" w:cs="Times New Roman"/>
                <w:color w:val="000000"/>
                <w:kern w:val="0"/>
                <w:sz w:val="19"/>
                <w:szCs w:val="19"/>
                <w:lang w:eastAsia="en-IN"/>
                <w14:ligatures w14:val="none"/>
              </w:rPr>
            </w:pPr>
            <w:r w:rsidRPr="00801A36">
              <w:rPr>
                <w:rFonts w:ascii="Times New Roman" w:eastAsia="Times New Roman" w:hAnsi="Times New Roman" w:cs="Times New Roman"/>
                <w:color w:val="000000"/>
                <w:kern w:val="0"/>
                <w:sz w:val="19"/>
                <w:szCs w:val="19"/>
                <w:lang w:eastAsia="en-IN"/>
                <w14:ligatures w14:val="none"/>
              </w:rPr>
              <w:t> </w:t>
            </w:r>
          </w:p>
        </w:tc>
        <w:tc>
          <w:tcPr>
            <w:tcW w:w="1680" w:type="dxa"/>
            <w:tcBorders>
              <w:top w:val="nil"/>
              <w:left w:val="nil"/>
              <w:bottom w:val="single" w:sz="4" w:space="0" w:color="auto"/>
              <w:right w:val="single" w:sz="4" w:space="0" w:color="auto"/>
            </w:tcBorders>
            <w:noWrap/>
            <w:vAlign w:val="bottom"/>
            <w:hideMark/>
          </w:tcPr>
          <w:p w14:paraId="6D07E448" w14:textId="77777777" w:rsidR="007B1BAC" w:rsidRPr="00801A36" w:rsidRDefault="007B1BAC" w:rsidP="007B1BAC">
            <w:pPr>
              <w:spacing w:after="0" w:line="240" w:lineRule="auto"/>
              <w:rPr>
                <w:rFonts w:ascii="Times New Roman" w:eastAsia="Times New Roman" w:hAnsi="Times New Roman" w:cs="Times New Roman"/>
                <w:color w:val="000000"/>
                <w:kern w:val="0"/>
                <w:sz w:val="19"/>
                <w:szCs w:val="19"/>
                <w:lang w:eastAsia="en-IN"/>
                <w14:ligatures w14:val="none"/>
              </w:rPr>
            </w:pPr>
            <w:r w:rsidRPr="00801A36">
              <w:rPr>
                <w:rFonts w:ascii="Times New Roman" w:eastAsia="Times New Roman" w:hAnsi="Times New Roman" w:cs="Times New Roman"/>
                <w:color w:val="000000"/>
                <w:kern w:val="0"/>
                <w:sz w:val="19"/>
                <w:szCs w:val="19"/>
                <w:lang w:eastAsia="en-IN"/>
                <w14:ligatures w14:val="none"/>
              </w:rPr>
              <w:t>South Central</w:t>
            </w:r>
          </w:p>
        </w:tc>
        <w:tc>
          <w:tcPr>
            <w:tcW w:w="1084" w:type="dxa"/>
            <w:tcBorders>
              <w:top w:val="nil"/>
              <w:left w:val="nil"/>
              <w:bottom w:val="single" w:sz="4" w:space="0" w:color="auto"/>
              <w:right w:val="single" w:sz="4" w:space="0" w:color="auto"/>
            </w:tcBorders>
            <w:noWrap/>
            <w:vAlign w:val="center"/>
            <w:hideMark/>
          </w:tcPr>
          <w:p w14:paraId="62CD97C3" w14:textId="77777777" w:rsidR="007B1BAC" w:rsidRPr="00801A36" w:rsidRDefault="007B1BAC" w:rsidP="00801A36">
            <w:pPr>
              <w:spacing w:after="0" w:line="240" w:lineRule="auto"/>
              <w:jc w:val="center"/>
              <w:rPr>
                <w:rFonts w:ascii="Times New Roman" w:eastAsia="Times New Roman" w:hAnsi="Times New Roman" w:cs="Times New Roman"/>
                <w:color w:val="000000"/>
                <w:kern w:val="0"/>
                <w:sz w:val="19"/>
                <w:szCs w:val="19"/>
                <w:lang w:eastAsia="en-IN"/>
                <w14:ligatures w14:val="none"/>
              </w:rPr>
            </w:pPr>
            <w:r w:rsidRPr="00801A36">
              <w:rPr>
                <w:rFonts w:ascii="Times New Roman" w:eastAsia="Times New Roman" w:hAnsi="Times New Roman" w:cs="Times New Roman"/>
                <w:color w:val="000000"/>
                <w:kern w:val="0"/>
                <w:sz w:val="19"/>
                <w:szCs w:val="19"/>
                <w:lang w:eastAsia="en-IN"/>
                <w14:ligatures w14:val="none"/>
              </w:rPr>
              <w:t>..</w:t>
            </w:r>
          </w:p>
        </w:tc>
        <w:tc>
          <w:tcPr>
            <w:tcW w:w="1070" w:type="dxa"/>
            <w:tcBorders>
              <w:top w:val="nil"/>
              <w:left w:val="nil"/>
              <w:bottom w:val="single" w:sz="4" w:space="0" w:color="auto"/>
              <w:right w:val="single" w:sz="4" w:space="0" w:color="auto"/>
            </w:tcBorders>
            <w:noWrap/>
            <w:vAlign w:val="center"/>
            <w:hideMark/>
          </w:tcPr>
          <w:p w14:paraId="04440C8E" w14:textId="77777777" w:rsidR="007B1BAC" w:rsidRPr="00801A36" w:rsidRDefault="007B1BAC" w:rsidP="00801A36">
            <w:pPr>
              <w:spacing w:after="0" w:line="240" w:lineRule="auto"/>
              <w:jc w:val="center"/>
              <w:rPr>
                <w:rFonts w:ascii="Times New Roman" w:eastAsia="Times New Roman" w:hAnsi="Times New Roman" w:cs="Times New Roman"/>
                <w:color w:val="000000"/>
                <w:kern w:val="0"/>
                <w:sz w:val="19"/>
                <w:szCs w:val="19"/>
                <w:lang w:eastAsia="en-IN"/>
                <w14:ligatures w14:val="none"/>
              </w:rPr>
            </w:pPr>
            <w:r w:rsidRPr="00801A36">
              <w:rPr>
                <w:rFonts w:ascii="Times New Roman" w:eastAsia="Times New Roman" w:hAnsi="Times New Roman" w:cs="Times New Roman"/>
                <w:color w:val="000000"/>
                <w:kern w:val="0"/>
                <w:sz w:val="19"/>
                <w:szCs w:val="19"/>
                <w:lang w:eastAsia="en-IN"/>
                <w14:ligatures w14:val="none"/>
              </w:rPr>
              <w:t>..</w:t>
            </w:r>
          </w:p>
        </w:tc>
        <w:tc>
          <w:tcPr>
            <w:tcW w:w="1196" w:type="dxa"/>
            <w:tcBorders>
              <w:top w:val="nil"/>
              <w:left w:val="nil"/>
              <w:bottom w:val="single" w:sz="4" w:space="0" w:color="auto"/>
              <w:right w:val="single" w:sz="4" w:space="0" w:color="auto"/>
            </w:tcBorders>
            <w:noWrap/>
            <w:vAlign w:val="center"/>
            <w:hideMark/>
          </w:tcPr>
          <w:p w14:paraId="41A2489A" w14:textId="77777777" w:rsidR="007B1BAC" w:rsidRPr="00801A36" w:rsidRDefault="007B1BAC" w:rsidP="00801A36">
            <w:pPr>
              <w:spacing w:after="0" w:line="240" w:lineRule="auto"/>
              <w:jc w:val="center"/>
              <w:rPr>
                <w:rFonts w:ascii="Times New Roman" w:eastAsia="Times New Roman" w:hAnsi="Times New Roman" w:cs="Times New Roman"/>
                <w:color w:val="000000"/>
                <w:kern w:val="0"/>
                <w:sz w:val="19"/>
                <w:szCs w:val="19"/>
                <w:lang w:eastAsia="en-IN"/>
                <w14:ligatures w14:val="none"/>
              </w:rPr>
            </w:pPr>
            <w:r w:rsidRPr="00801A36">
              <w:rPr>
                <w:rFonts w:ascii="Times New Roman" w:eastAsia="Times New Roman" w:hAnsi="Times New Roman" w:cs="Times New Roman"/>
                <w:color w:val="000000"/>
                <w:kern w:val="0"/>
                <w:sz w:val="19"/>
                <w:szCs w:val="19"/>
                <w:lang w:eastAsia="en-IN"/>
                <w14:ligatures w14:val="none"/>
              </w:rPr>
              <w:t>..</w:t>
            </w:r>
          </w:p>
        </w:tc>
        <w:tc>
          <w:tcPr>
            <w:tcW w:w="986" w:type="dxa"/>
            <w:tcBorders>
              <w:top w:val="nil"/>
              <w:left w:val="nil"/>
              <w:bottom w:val="single" w:sz="4" w:space="0" w:color="auto"/>
              <w:right w:val="single" w:sz="4" w:space="0" w:color="auto"/>
            </w:tcBorders>
            <w:noWrap/>
            <w:vAlign w:val="center"/>
            <w:hideMark/>
          </w:tcPr>
          <w:p w14:paraId="09C80B73" w14:textId="77777777" w:rsidR="007B1BAC" w:rsidRPr="00801A36" w:rsidRDefault="007B1BAC" w:rsidP="00801A36">
            <w:pPr>
              <w:spacing w:after="0" w:line="240" w:lineRule="auto"/>
              <w:jc w:val="center"/>
              <w:rPr>
                <w:rFonts w:ascii="Times New Roman" w:eastAsia="Times New Roman" w:hAnsi="Times New Roman" w:cs="Times New Roman"/>
                <w:color w:val="000000"/>
                <w:kern w:val="0"/>
                <w:sz w:val="19"/>
                <w:szCs w:val="19"/>
                <w:lang w:eastAsia="en-IN"/>
                <w14:ligatures w14:val="none"/>
              </w:rPr>
            </w:pPr>
            <w:r w:rsidRPr="00801A36">
              <w:rPr>
                <w:rFonts w:ascii="Times New Roman" w:eastAsia="Times New Roman" w:hAnsi="Times New Roman" w:cs="Times New Roman"/>
                <w:color w:val="000000"/>
                <w:kern w:val="0"/>
                <w:sz w:val="19"/>
                <w:szCs w:val="19"/>
                <w:lang w:eastAsia="en-IN"/>
                <w14:ligatures w14:val="none"/>
              </w:rPr>
              <w:t>..</w:t>
            </w:r>
          </w:p>
        </w:tc>
        <w:tc>
          <w:tcPr>
            <w:tcW w:w="1084" w:type="dxa"/>
            <w:tcBorders>
              <w:top w:val="nil"/>
              <w:left w:val="nil"/>
              <w:bottom w:val="single" w:sz="4" w:space="0" w:color="auto"/>
              <w:right w:val="single" w:sz="4" w:space="0" w:color="auto"/>
            </w:tcBorders>
            <w:noWrap/>
            <w:vAlign w:val="center"/>
            <w:hideMark/>
          </w:tcPr>
          <w:p w14:paraId="5A6BE389" w14:textId="77777777" w:rsidR="007B1BAC" w:rsidRPr="00801A36" w:rsidRDefault="007B1BAC" w:rsidP="00801A36">
            <w:pPr>
              <w:spacing w:after="0" w:line="240" w:lineRule="auto"/>
              <w:jc w:val="center"/>
              <w:rPr>
                <w:rFonts w:ascii="Times New Roman" w:eastAsia="Times New Roman" w:hAnsi="Times New Roman" w:cs="Times New Roman"/>
                <w:color w:val="000000"/>
                <w:kern w:val="0"/>
                <w:sz w:val="19"/>
                <w:szCs w:val="19"/>
                <w:lang w:eastAsia="en-IN"/>
                <w14:ligatures w14:val="none"/>
              </w:rPr>
            </w:pPr>
            <w:r w:rsidRPr="00801A36">
              <w:rPr>
                <w:rFonts w:ascii="Times New Roman" w:eastAsia="Times New Roman" w:hAnsi="Times New Roman" w:cs="Times New Roman"/>
                <w:color w:val="000000"/>
                <w:kern w:val="0"/>
                <w:sz w:val="19"/>
                <w:szCs w:val="19"/>
                <w:lang w:eastAsia="en-IN"/>
                <w14:ligatures w14:val="none"/>
              </w:rPr>
              <w:t>..</w:t>
            </w:r>
          </w:p>
        </w:tc>
        <w:tc>
          <w:tcPr>
            <w:tcW w:w="1070" w:type="dxa"/>
            <w:tcBorders>
              <w:top w:val="nil"/>
              <w:left w:val="nil"/>
              <w:bottom w:val="single" w:sz="4" w:space="0" w:color="auto"/>
              <w:right w:val="single" w:sz="4" w:space="0" w:color="auto"/>
            </w:tcBorders>
            <w:noWrap/>
            <w:vAlign w:val="center"/>
            <w:hideMark/>
          </w:tcPr>
          <w:p w14:paraId="7804F7C7" w14:textId="77777777" w:rsidR="007B1BAC" w:rsidRPr="00801A36" w:rsidRDefault="007B1BAC" w:rsidP="00801A36">
            <w:pPr>
              <w:spacing w:after="0" w:line="240" w:lineRule="auto"/>
              <w:jc w:val="center"/>
              <w:rPr>
                <w:rFonts w:ascii="Times New Roman" w:eastAsia="Times New Roman" w:hAnsi="Times New Roman" w:cs="Times New Roman"/>
                <w:color w:val="000000"/>
                <w:kern w:val="0"/>
                <w:sz w:val="19"/>
                <w:szCs w:val="19"/>
                <w:lang w:eastAsia="en-IN"/>
                <w14:ligatures w14:val="none"/>
              </w:rPr>
            </w:pPr>
            <w:r w:rsidRPr="00801A36">
              <w:rPr>
                <w:rFonts w:ascii="Times New Roman" w:eastAsia="Times New Roman" w:hAnsi="Times New Roman" w:cs="Times New Roman"/>
                <w:color w:val="000000"/>
                <w:kern w:val="0"/>
                <w:sz w:val="19"/>
                <w:szCs w:val="19"/>
                <w:lang w:eastAsia="en-IN"/>
                <w14:ligatures w14:val="none"/>
              </w:rPr>
              <w:t>..</w:t>
            </w:r>
          </w:p>
        </w:tc>
        <w:tc>
          <w:tcPr>
            <w:tcW w:w="1196" w:type="dxa"/>
            <w:tcBorders>
              <w:top w:val="nil"/>
              <w:left w:val="nil"/>
              <w:bottom w:val="single" w:sz="4" w:space="0" w:color="auto"/>
              <w:right w:val="single" w:sz="4" w:space="0" w:color="auto"/>
            </w:tcBorders>
            <w:noWrap/>
            <w:vAlign w:val="center"/>
            <w:hideMark/>
          </w:tcPr>
          <w:p w14:paraId="71A2748B" w14:textId="77777777" w:rsidR="007B1BAC" w:rsidRPr="00801A36" w:rsidRDefault="007B1BAC" w:rsidP="00801A36">
            <w:pPr>
              <w:spacing w:after="0" w:line="240" w:lineRule="auto"/>
              <w:jc w:val="center"/>
              <w:rPr>
                <w:rFonts w:ascii="Times New Roman" w:eastAsia="Times New Roman" w:hAnsi="Times New Roman" w:cs="Times New Roman"/>
                <w:color w:val="000000"/>
                <w:kern w:val="0"/>
                <w:sz w:val="19"/>
                <w:szCs w:val="19"/>
                <w:lang w:eastAsia="en-IN"/>
                <w14:ligatures w14:val="none"/>
              </w:rPr>
            </w:pPr>
            <w:r w:rsidRPr="00801A36">
              <w:rPr>
                <w:rFonts w:ascii="Times New Roman" w:eastAsia="Times New Roman" w:hAnsi="Times New Roman" w:cs="Times New Roman"/>
                <w:color w:val="000000"/>
                <w:kern w:val="0"/>
                <w:sz w:val="19"/>
                <w:szCs w:val="19"/>
                <w:lang w:eastAsia="en-IN"/>
                <w14:ligatures w14:val="none"/>
              </w:rPr>
              <w:t>..</w:t>
            </w:r>
          </w:p>
        </w:tc>
        <w:tc>
          <w:tcPr>
            <w:tcW w:w="986" w:type="dxa"/>
            <w:tcBorders>
              <w:top w:val="nil"/>
              <w:left w:val="nil"/>
              <w:bottom w:val="single" w:sz="4" w:space="0" w:color="auto"/>
              <w:right w:val="single" w:sz="4" w:space="0" w:color="auto"/>
            </w:tcBorders>
            <w:noWrap/>
            <w:vAlign w:val="center"/>
            <w:hideMark/>
          </w:tcPr>
          <w:p w14:paraId="005DDE07" w14:textId="77777777" w:rsidR="007B1BAC" w:rsidRPr="00801A36" w:rsidRDefault="007B1BAC" w:rsidP="00801A36">
            <w:pPr>
              <w:spacing w:after="0" w:line="240" w:lineRule="auto"/>
              <w:jc w:val="center"/>
              <w:rPr>
                <w:rFonts w:ascii="Times New Roman" w:eastAsia="Times New Roman" w:hAnsi="Times New Roman" w:cs="Times New Roman"/>
                <w:color w:val="000000"/>
                <w:kern w:val="0"/>
                <w:sz w:val="19"/>
                <w:szCs w:val="19"/>
                <w:lang w:eastAsia="en-IN"/>
                <w14:ligatures w14:val="none"/>
              </w:rPr>
            </w:pPr>
            <w:r w:rsidRPr="00801A36">
              <w:rPr>
                <w:rFonts w:ascii="Times New Roman" w:eastAsia="Times New Roman" w:hAnsi="Times New Roman" w:cs="Times New Roman"/>
                <w:color w:val="000000"/>
                <w:kern w:val="0"/>
                <w:sz w:val="19"/>
                <w:szCs w:val="19"/>
                <w:lang w:eastAsia="en-IN"/>
                <w14:ligatures w14:val="none"/>
              </w:rPr>
              <w:t>..</w:t>
            </w:r>
          </w:p>
        </w:tc>
        <w:tc>
          <w:tcPr>
            <w:tcW w:w="1084" w:type="dxa"/>
            <w:tcBorders>
              <w:top w:val="nil"/>
              <w:left w:val="nil"/>
              <w:bottom w:val="single" w:sz="4" w:space="0" w:color="auto"/>
              <w:right w:val="single" w:sz="4" w:space="0" w:color="auto"/>
            </w:tcBorders>
            <w:noWrap/>
            <w:vAlign w:val="center"/>
            <w:hideMark/>
          </w:tcPr>
          <w:p w14:paraId="2C1B6AD1" w14:textId="77777777" w:rsidR="007B1BAC" w:rsidRPr="00801A36" w:rsidRDefault="007B1BAC" w:rsidP="00801A36">
            <w:pPr>
              <w:spacing w:after="0" w:line="240" w:lineRule="auto"/>
              <w:jc w:val="center"/>
              <w:rPr>
                <w:rFonts w:ascii="Times New Roman" w:eastAsia="Times New Roman" w:hAnsi="Times New Roman" w:cs="Times New Roman"/>
                <w:color w:val="000000"/>
                <w:kern w:val="0"/>
                <w:sz w:val="19"/>
                <w:szCs w:val="19"/>
                <w:lang w:eastAsia="en-IN"/>
                <w14:ligatures w14:val="none"/>
              </w:rPr>
            </w:pPr>
            <w:r w:rsidRPr="00801A36">
              <w:rPr>
                <w:rFonts w:ascii="Times New Roman" w:eastAsia="Times New Roman" w:hAnsi="Times New Roman" w:cs="Times New Roman"/>
                <w:color w:val="000000"/>
                <w:kern w:val="0"/>
                <w:sz w:val="19"/>
                <w:szCs w:val="19"/>
                <w:lang w:eastAsia="en-IN"/>
                <w14:ligatures w14:val="none"/>
              </w:rPr>
              <w:t>306.95</w:t>
            </w:r>
          </w:p>
        </w:tc>
        <w:tc>
          <w:tcPr>
            <w:tcW w:w="1070" w:type="dxa"/>
            <w:tcBorders>
              <w:top w:val="nil"/>
              <w:left w:val="nil"/>
              <w:bottom w:val="single" w:sz="4" w:space="0" w:color="auto"/>
              <w:right w:val="single" w:sz="4" w:space="0" w:color="auto"/>
            </w:tcBorders>
            <w:noWrap/>
            <w:vAlign w:val="center"/>
            <w:hideMark/>
          </w:tcPr>
          <w:p w14:paraId="32DD9737" w14:textId="77777777" w:rsidR="007B1BAC" w:rsidRPr="00801A36" w:rsidRDefault="007B1BAC" w:rsidP="00801A36">
            <w:pPr>
              <w:spacing w:after="0" w:line="240" w:lineRule="auto"/>
              <w:jc w:val="center"/>
              <w:rPr>
                <w:rFonts w:ascii="Times New Roman" w:eastAsia="Times New Roman" w:hAnsi="Times New Roman" w:cs="Times New Roman"/>
                <w:color w:val="000000"/>
                <w:kern w:val="0"/>
                <w:sz w:val="19"/>
                <w:szCs w:val="19"/>
                <w:lang w:eastAsia="en-IN"/>
                <w14:ligatures w14:val="none"/>
              </w:rPr>
            </w:pPr>
            <w:r w:rsidRPr="00801A36">
              <w:rPr>
                <w:rFonts w:ascii="Times New Roman" w:eastAsia="Times New Roman" w:hAnsi="Times New Roman" w:cs="Times New Roman"/>
                <w:color w:val="000000"/>
                <w:kern w:val="0"/>
                <w:sz w:val="19"/>
                <w:szCs w:val="19"/>
                <w:lang w:eastAsia="en-IN"/>
                <w14:ligatures w14:val="none"/>
              </w:rPr>
              <w:t>921.02</w:t>
            </w:r>
          </w:p>
        </w:tc>
        <w:tc>
          <w:tcPr>
            <w:tcW w:w="1196" w:type="dxa"/>
            <w:tcBorders>
              <w:top w:val="nil"/>
              <w:left w:val="nil"/>
              <w:bottom w:val="single" w:sz="4" w:space="0" w:color="auto"/>
              <w:right w:val="single" w:sz="4" w:space="0" w:color="auto"/>
            </w:tcBorders>
            <w:noWrap/>
            <w:vAlign w:val="center"/>
            <w:hideMark/>
          </w:tcPr>
          <w:p w14:paraId="79FEDF2F" w14:textId="77777777" w:rsidR="007B1BAC" w:rsidRPr="00801A36" w:rsidRDefault="007B1BAC" w:rsidP="00801A36">
            <w:pPr>
              <w:spacing w:after="0" w:line="240" w:lineRule="auto"/>
              <w:jc w:val="center"/>
              <w:rPr>
                <w:rFonts w:ascii="Times New Roman" w:eastAsia="Times New Roman" w:hAnsi="Times New Roman" w:cs="Times New Roman"/>
                <w:color w:val="000000"/>
                <w:kern w:val="0"/>
                <w:sz w:val="19"/>
                <w:szCs w:val="19"/>
                <w:lang w:eastAsia="en-IN"/>
                <w14:ligatures w14:val="none"/>
              </w:rPr>
            </w:pPr>
            <w:r w:rsidRPr="00801A36">
              <w:rPr>
                <w:rFonts w:ascii="Times New Roman" w:eastAsia="Times New Roman" w:hAnsi="Times New Roman" w:cs="Times New Roman"/>
                <w:color w:val="000000"/>
                <w:kern w:val="0"/>
                <w:sz w:val="19"/>
                <w:szCs w:val="19"/>
                <w:lang w:eastAsia="en-IN"/>
                <w14:ligatures w14:val="none"/>
              </w:rPr>
              <w:t>..</w:t>
            </w:r>
          </w:p>
        </w:tc>
        <w:tc>
          <w:tcPr>
            <w:tcW w:w="986" w:type="dxa"/>
            <w:tcBorders>
              <w:top w:val="nil"/>
              <w:left w:val="nil"/>
              <w:bottom w:val="single" w:sz="4" w:space="0" w:color="auto"/>
              <w:right w:val="single" w:sz="4" w:space="0" w:color="auto"/>
            </w:tcBorders>
            <w:noWrap/>
            <w:vAlign w:val="center"/>
            <w:hideMark/>
          </w:tcPr>
          <w:p w14:paraId="41C515D8" w14:textId="77777777" w:rsidR="007B1BAC" w:rsidRPr="00801A36" w:rsidRDefault="007B1BAC" w:rsidP="00801A36">
            <w:pPr>
              <w:spacing w:after="0" w:line="240" w:lineRule="auto"/>
              <w:jc w:val="center"/>
              <w:rPr>
                <w:rFonts w:ascii="Times New Roman" w:eastAsia="Times New Roman" w:hAnsi="Times New Roman" w:cs="Times New Roman"/>
                <w:color w:val="000000"/>
                <w:kern w:val="0"/>
                <w:sz w:val="19"/>
                <w:szCs w:val="19"/>
                <w:lang w:eastAsia="en-IN"/>
                <w14:ligatures w14:val="none"/>
              </w:rPr>
            </w:pPr>
            <w:r w:rsidRPr="00801A36">
              <w:rPr>
                <w:rFonts w:ascii="Times New Roman" w:eastAsia="Times New Roman" w:hAnsi="Times New Roman" w:cs="Times New Roman"/>
                <w:color w:val="000000"/>
                <w:kern w:val="0"/>
                <w:sz w:val="19"/>
                <w:szCs w:val="19"/>
                <w:lang w:eastAsia="en-IN"/>
                <w14:ligatures w14:val="none"/>
              </w:rPr>
              <w:t>1,227.97</w:t>
            </w:r>
          </w:p>
        </w:tc>
      </w:tr>
      <w:tr w:rsidR="007B1BAC" w:rsidRPr="00801A36" w14:paraId="261C44AF" w14:textId="77777777" w:rsidTr="00801A36">
        <w:trPr>
          <w:trHeight w:val="20"/>
          <w:jc w:val="center"/>
        </w:trPr>
        <w:tc>
          <w:tcPr>
            <w:tcW w:w="618" w:type="dxa"/>
            <w:tcBorders>
              <w:top w:val="nil"/>
              <w:left w:val="single" w:sz="4" w:space="0" w:color="auto"/>
              <w:bottom w:val="single" w:sz="4" w:space="0" w:color="auto"/>
              <w:right w:val="single" w:sz="4" w:space="0" w:color="auto"/>
            </w:tcBorders>
            <w:noWrap/>
            <w:vAlign w:val="bottom"/>
            <w:hideMark/>
          </w:tcPr>
          <w:p w14:paraId="00D7F495" w14:textId="77777777" w:rsidR="007B1BAC" w:rsidRPr="00801A36" w:rsidRDefault="007B1BAC" w:rsidP="007B1BAC">
            <w:pPr>
              <w:spacing w:after="0" w:line="240" w:lineRule="auto"/>
              <w:jc w:val="right"/>
              <w:rPr>
                <w:rFonts w:ascii="Times New Roman" w:eastAsia="Times New Roman" w:hAnsi="Times New Roman" w:cs="Times New Roman"/>
                <w:color w:val="000000"/>
                <w:kern w:val="0"/>
                <w:sz w:val="19"/>
                <w:szCs w:val="19"/>
                <w:lang w:eastAsia="en-IN"/>
                <w14:ligatures w14:val="none"/>
              </w:rPr>
            </w:pPr>
            <w:r w:rsidRPr="00801A36">
              <w:rPr>
                <w:rFonts w:ascii="Times New Roman" w:eastAsia="Times New Roman" w:hAnsi="Times New Roman" w:cs="Times New Roman"/>
                <w:color w:val="000000"/>
                <w:kern w:val="0"/>
                <w:sz w:val="19"/>
                <w:szCs w:val="19"/>
                <w:lang w:eastAsia="en-IN"/>
                <w14:ligatures w14:val="none"/>
              </w:rPr>
              <w:t>12</w:t>
            </w:r>
          </w:p>
        </w:tc>
        <w:tc>
          <w:tcPr>
            <w:tcW w:w="1680" w:type="dxa"/>
            <w:tcBorders>
              <w:top w:val="nil"/>
              <w:left w:val="nil"/>
              <w:bottom w:val="single" w:sz="4" w:space="0" w:color="auto"/>
              <w:right w:val="single" w:sz="4" w:space="0" w:color="auto"/>
            </w:tcBorders>
            <w:noWrap/>
            <w:vAlign w:val="bottom"/>
            <w:hideMark/>
          </w:tcPr>
          <w:p w14:paraId="77CE9F77" w14:textId="77777777" w:rsidR="007B1BAC" w:rsidRPr="00801A36" w:rsidRDefault="007B1BAC" w:rsidP="007B1BAC">
            <w:pPr>
              <w:spacing w:after="0" w:line="240" w:lineRule="auto"/>
              <w:rPr>
                <w:rFonts w:ascii="Times New Roman" w:eastAsia="Times New Roman" w:hAnsi="Times New Roman" w:cs="Times New Roman"/>
                <w:color w:val="000000"/>
                <w:kern w:val="0"/>
                <w:sz w:val="19"/>
                <w:szCs w:val="19"/>
                <w:lang w:eastAsia="en-IN"/>
                <w14:ligatures w14:val="none"/>
              </w:rPr>
            </w:pPr>
            <w:r w:rsidRPr="00801A36">
              <w:rPr>
                <w:rFonts w:ascii="Times New Roman" w:eastAsia="Times New Roman" w:hAnsi="Times New Roman" w:cs="Times New Roman"/>
                <w:color w:val="000000"/>
                <w:kern w:val="0"/>
                <w:sz w:val="19"/>
                <w:szCs w:val="19"/>
                <w:lang w:eastAsia="en-IN"/>
                <w14:ligatures w14:val="none"/>
              </w:rPr>
              <w:t>Nagaland</w:t>
            </w:r>
          </w:p>
        </w:tc>
        <w:tc>
          <w:tcPr>
            <w:tcW w:w="1084" w:type="dxa"/>
            <w:tcBorders>
              <w:top w:val="nil"/>
              <w:left w:val="nil"/>
              <w:bottom w:val="single" w:sz="4" w:space="0" w:color="auto"/>
              <w:right w:val="single" w:sz="4" w:space="0" w:color="auto"/>
            </w:tcBorders>
            <w:noWrap/>
            <w:vAlign w:val="center"/>
            <w:hideMark/>
          </w:tcPr>
          <w:p w14:paraId="4CC87FEF" w14:textId="1CB883EE" w:rsidR="007B1BAC" w:rsidRPr="00801A36" w:rsidRDefault="007B1BAC" w:rsidP="00801A36">
            <w:pPr>
              <w:spacing w:after="0" w:line="240" w:lineRule="auto"/>
              <w:jc w:val="center"/>
              <w:rPr>
                <w:rFonts w:ascii="Times New Roman" w:eastAsia="Times New Roman" w:hAnsi="Times New Roman" w:cs="Times New Roman"/>
                <w:color w:val="000000"/>
                <w:kern w:val="0"/>
                <w:sz w:val="19"/>
                <w:szCs w:val="19"/>
                <w:lang w:eastAsia="en-IN"/>
                <w14:ligatures w14:val="none"/>
              </w:rPr>
            </w:pPr>
          </w:p>
        </w:tc>
        <w:tc>
          <w:tcPr>
            <w:tcW w:w="1070" w:type="dxa"/>
            <w:tcBorders>
              <w:top w:val="nil"/>
              <w:left w:val="nil"/>
              <w:bottom w:val="single" w:sz="4" w:space="0" w:color="auto"/>
              <w:right w:val="single" w:sz="4" w:space="0" w:color="auto"/>
            </w:tcBorders>
            <w:noWrap/>
            <w:vAlign w:val="center"/>
            <w:hideMark/>
          </w:tcPr>
          <w:p w14:paraId="42E0C1D3" w14:textId="6DAA0053" w:rsidR="007B1BAC" w:rsidRPr="00801A36" w:rsidRDefault="007B1BAC" w:rsidP="00801A36">
            <w:pPr>
              <w:spacing w:after="0" w:line="240" w:lineRule="auto"/>
              <w:jc w:val="center"/>
              <w:rPr>
                <w:rFonts w:ascii="Times New Roman" w:eastAsia="Times New Roman" w:hAnsi="Times New Roman" w:cs="Times New Roman"/>
                <w:color w:val="000000"/>
                <w:kern w:val="0"/>
                <w:sz w:val="19"/>
                <w:szCs w:val="19"/>
                <w:lang w:eastAsia="en-IN"/>
                <w14:ligatures w14:val="none"/>
              </w:rPr>
            </w:pPr>
          </w:p>
        </w:tc>
        <w:tc>
          <w:tcPr>
            <w:tcW w:w="1196" w:type="dxa"/>
            <w:tcBorders>
              <w:top w:val="nil"/>
              <w:left w:val="nil"/>
              <w:bottom w:val="single" w:sz="4" w:space="0" w:color="auto"/>
              <w:right w:val="single" w:sz="4" w:space="0" w:color="auto"/>
            </w:tcBorders>
            <w:noWrap/>
            <w:vAlign w:val="center"/>
            <w:hideMark/>
          </w:tcPr>
          <w:p w14:paraId="437898DD" w14:textId="2DDB5934" w:rsidR="007B1BAC" w:rsidRPr="00801A36" w:rsidRDefault="007B1BAC" w:rsidP="00801A36">
            <w:pPr>
              <w:spacing w:after="0" w:line="240" w:lineRule="auto"/>
              <w:jc w:val="center"/>
              <w:rPr>
                <w:rFonts w:ascii="Times New Roman" w:eastAsia="Times New Roman" w:hAnsi="Times New Roman" w:cs="Times New Roman"/>
                <w:color w:val="000000"/>
                <w:kern w:val="0"/>
                <w:sz w:val="19"/>
                <w:szCs w:val="19"/>
                <w:lang w:eastAsia="en-IN"/>
                <w14:ligatures w14:val="none"/>
              </w:rPr>
            </w:pPr>
          </w:p>
        </w:tc>
        <w:tc>
          <w:tcPr>
            <w:tcW w:w="986" w:type="dxa"/>
            <w:tcBorders>
              <w:top w:val="nil"/>
              <w:left w:val="nil"/>
              <w:bottom w:val="single" w:sz="4" w:space="0" w:color="auto"/>
              <w:right w:val="single" w:sz="4" w:space="0" w:color="auto"/>
            </w:tcBorders>
            <w:noWrap/>
            <w:vAlign w:val="center"/>
            <w:hideMark/>
          </w:tcPr>
          <w:p w14:paraId="048D2EA1" w14:textId="52F9ECD7" w:rsidR="007B1BAC" w:rsidRPr="00801A36" w:rsidRDefault="007B1BAC" w:rsidP="00801A36">
            <w:pPr>
              <w:spacing w:after="0" w:line="240" w:lineRule="auto"/>
              <w:jc w:val="center"/>
              <w:rPr>
                <w:rFonts w:ascii="Times New Roman" w:eastAsia="Times New Roman" w:hAnsi="Times New Roman" w:cs="Times New Roman"/>
                <w:color w:val="000000"/>
                <w:kern w:val="0"/>
                <w:sz w:val="19"/>
                <w:szCs w:val="19"/>
                <w:lang w:eastAsia="en-IN"/>
                <w14:ligatures w14:val="none"/>
              </w:rPr>
            </w:pPr>
          </w:p>
        </w:tc>
        <w:tc>
          <w:tcPr>
            <w:tcW w:w="1084" w:type="dxa"/>
            <w:tcBorders>
              <w:top w:val="nil"/>
              <w:left w:val="nil"/>
              <w:bottom w:val="single" w:sz="4" w:space="0" w:color="auto"/>
              <w:right w:val="single" w:sz="4" w:space="0" w:color="auto"/>
            </w:tcBorders>
            <w:noWrap/>
            <w:vAlign w:val="center"/>
            <w:hideMark/>
          </w:tcPr>
          <w:p w14:paraId="37428FE2" w14:textId="58FFE2D9" w:rsidR="007B1BAC" w:rsidRPr="00801A36" w:rsidRDefault="007B1BAC" w:rsidP="00801A36">
            <w:pPr>
              <w:spacing w:after="0" w:line="240" w:lineRule="auto"/>
              <w:jc w:val="center"/>
              <w:rPr>
                <w:rFonts w:ascii="Times New Roman" w:eastAsia="Times New Roman" w:hAnsi="Times New Roman" w:cs="Times New Roman"/>
                <w:color w:val="000000"/>
                <w:kern w:val="0"/>
                <w:sz w:val="19"/>
                <w:szCs w:val="19"/>
                <w:lang w:eastAsia="en-IN"/>
                <w14:ligatures w14:val="none"/>
              </w:rPr>
            </w:pPr>
          </w:p>
        </w:tc>
        <w:tc>
          <w:tcPr>
            <w:tcW w:w="1070" w:type="dxa"/>
            <w:tcBorders>
              <w:top w:val="nil"/>
              <w:left w:val="nil"/>
              <w:bottom w:val="single" w:sz="4" w:space="0" w:color="auto"/>
              <w:right w:val="single" w:sz="4" w:space="0" w:color="auto"/>
            </w:tcBorders>
            <w:noWrap/>
            <w:vAlign w:val="center"/>
            <w:hideMark/>
          </w:tcPr>
          <w:p w14:paraId="0F96B030" w14:textId="6BAE8A80" w:rsidR="007B1BAC" w:rsidRPr="00801A36" w:rsidRDefault="007B1BAC" w:rsidP="00801A36">
            <w:pPr>
              <w:spacing w:after="0" w:line="240" w:lineRule="auto"/>
              <w:jc w:val="center"/>
              <w:rPr>
                <w:rFonts w:ascii="Times New Roman" w:eastAsia="Times New Roman" w:hAnsi="Times New Roman" w:cs="Times New Roman"/>
                <w:color w:val="000000"/>
                <w:kern w:val="0"/>
                <w:sz w:val="19"/>
                <w:szCs w:val="19"/>
                <w:lang w:eastAsia="en-IN"/>
                <w14:ligatures w14:val="none"/>
              </w:rPr>
            </w:pPr>
          </w:p>
        </w:tc>
        <w:tc>
          <w:tcPr>
            <w:tcW w:w="1196" w:type="dxa"/>
            <w:tcBorders>
              <w:top w:val="nil"/>
              <w:left w:val="nil"/>
              <w:bottom w:val="single" w:sz="4" w:space="0" w:color="auto"/>
              <w:right w:val="single" w:sz="4" w:space="0" w:color="auto"/>
            </w:tcBorders>
            <w:noWrap/>
            <w:vAlign w:val="center"/>
            <w:hideMark/>
          </w:tcPr>
          <w:p w14:paraId="22F1E82C" w14:textId="22045161" w:rsidR="007B1BAC" w:rsidRPr="00801A36" w:rsidRDefault="007B1BAC" w:rsidP="00801A36">
            <w:pPr>
              <w:spacing w:after="0" w:line="240" w:lineRule="auto"/>
              <w:jc w:val="center"/>
              <w:rPr>
                <w:rFonts w:ascii="Times New Roman" w:eastAsia="Times New Roman" w:hAnsi="Times New Roman" w:cs="Times New Roman"/>
                <w:color w:val="000000"/>
                <w:kern w:val="0"/>
                <w:sz w:val="19"/>
                <w:szCs w:val="19"/>
                <w:lang w:eastAsia="en-IN"/>
                <w14:ligatures w14:val="none"/>
              </w:rPr>
            </w:pPr>
          </w:p>
        </w:tc>
        <w:tc>
          <w:tcPr>
            <w:tcW w:w="986" w:type="dxa"/>
            <w:tcBorders>
              <w:top w:val="nil"/>
              <w:left w:val="nil"/>
              <w:bottom w:val="single" w:sz="4" w:space="0" w:color="auto"/>
              <w:right w:val="single" w:sz="4" w:space="0" w:color="auto"/>
            </w:tcBorders>
            <w:noWrap/>
            <w:vAlign w:val="center"/>
            <w:hideMark/>
          </w:tcPr>
          <w:p w14:paraId="3564A572" w14:textId="1AB2B9E7" w:rsidR="007B1BAC" w:rsidRPr="00801A36" w:rsidRDefault="007B1BAC" w:rsidP="00801A36">
            <w:pPr>
              <w:spacing w:after="0" w:line="240" w:lineRule="auto"/>
              <w:jc w:val="center"/>
              <w:rPr>
                <w:rFonts w:ascii="Times New Roman" w:eastAsia="Times New Roman" w:hAnsi="Times New Roman" w:cs="Times New Roman"/>
                <w:color w:val="000000"/>
                <w:kern w:val="0"/>
                <w:sz w:val="19"/>
                <w:szCs w:val="19"/>
                <w:lang w:eastAsia="en-IN"/>
                <w14:ligatures w14:val="none"/>
              </w:rPr>
            </w:pPr>
          </w:p>
        </w:tc>
        <w:tc>
          <w:tcPr>
            <w:tcW w:w="1084" w:type="dxa"/>
            <w:tcBorders>
              <w:top w:val="nil"/>
              <w:left w:val="nil"/>
              <w:bottom w:val="single" w:sz="4" w:space="0" w:color="auto"/>
              <w:right w:val="single" w:sz="4" w:space="0" w:color="auto"/>
            </w:tcBorders>
            <w:noWrap/>
            <w:vAlign w:val="center"/>
            <w:hideMark/>
          </w:tcPr>
          <w:p w14:paraId="712BC880" w14:textId="55928738" w:rsidR="007B1BAC" w:rsidRPr="00801A36" w:rsidRDefault="007B1BAC" w:rsidP="00801A36">
            <w:pPr>
              <w:spacing w:after="0" w:line="240" w:lineRule="auto"/>
              <w:jc w:val="center"/>
              <w:rPr>
                <w:rFonts w:ascii="Times New Roman" w:eastAsia="Times New Roman" w:hAnsi="Times New Roman" w:cs="Times New Roman"/>
                <w:color w:val="000000"/>
                <w:kern w:val="0"/>
                <w:sz w:val="19"/>
                <w:szCs w:val="19"/>
                <w:lang w:eastAsia="en-IN"/>
                <w14:ligatures w14:val="none"/>
              </w:rPr>
            </w:pPr>
          </w:p>
        </w:tc>
        <w:tc>
          <w:tcPr>
            <w:tcW w:w="1070" w:type="dxa"/>
            <w:tcBorders>
              <w:top w:val="nil"/>
              <w:left w:val="nil"/>
              <w:bottom w:val="single" w:sz="4" w:space="0" w:color="auto"/>
              <w:right w:val="single" w:sz="4" w:space="0" w:color="auto"/>
            </w:tcBorders>
            <w:noWrap/>
            <w:vAlign w:val="center"/>
            <w:hideMark/>
          </w:tcPr>
          <w:p w14:paraId="37B7B848" w14:textId="715A40F0" w:rsidR="007B1BAC" w:rsidRPr="00801A36" w:rsidRDefault="007B1BAC" w:rsidP="00801A36">
            <w:pPr>
              <w:spacing w:after="0" w:line="240" w:lineRule="auto"/>
              <w:jc w:val="center"/>
              <w:rPr>
                <w:rFonts w:ascii="Times New Roman" w:eastAsia="Times New Roman" w:hAnsi="Times New Roman" w:cs="Times New Roman"/>
                <w:color w:val="000000"/>
                <w:kern w:val="0"/>
                <w:sz w:val="19"/>
                <w:szCs w:val="19"/>
                <w:lang w:eastAsia="en-IN"/>
                <w14:ligatures w14:val="none"/>
              </w:rPr>
            </w:pPr>
          </w:p>
        </w:tc>
        <w:tc>
          <w:tcPr>
            <w:tcW w:w="1196" w:type="dxa"/>
            <w:tcBorders>
              <w:top w:val="nil"/>
              <w:left w:val="nil"/>
              <w:bottom w:val="single" w:sz="4" w:space="0" w:color="auto"/>
              <w:right w:val="single" w:sz="4" w:space="0" w:color="auto"/>
            </w:tcBorders>
            <w:noWrap/>
            <w:vAlign w:val="center"/>
            <w:hideMark/>
          </w:tcPr>
          <w:p w14:paraId="1E257DA5" w14:textId="2E7A2FF9" w:rsidR="007B1BAC" w:rsidRPr="00801A36" w:rsidRDefault="007B1BAC" w:rsidP="00801A36">
            <w:pPr>
              <w:spacing w:after="0" w:line="240" w:lineRule="auto"/>
              <w:jc w:val="center"/>
              <w:rPr>
                <w:rFonts w:ascii="Times New Roman" w:eastAsia="Times New Roman" w:hAnsi="Times New Roman" w:cs="Times New Roman"/>
                <w:color w:val="000000"/>
                <w:kern w:val="0"/>
                <w:sz w:val="19"/>
                <w:szCs w:val="19"/>
                <w:lang w:eastAsia="en-IN"/>
                <w14:ligatures w14:val="none"/>
              </w:rPr>
            </w:pPr>
          </w:p>
        </w:tc>
        <w:tc>
          <w:tcPr>
            <w:tcW w:w="986" w:type="dxa"/>
            <w:tcBorders>
              <w:top w:val="nil"/>
              <w:left w:val="nil"/>
              <w:bottom w:val="single" w:sz="4" w:space="0" w:color="auto"/>
              <w:right w:val="single" w:sz="4" w:space="0" w:color="auto"/>
            </w:tcBorders>
            <w:noWrap/>
            <w:vAlign w:val="center"/>
            <w:hideMark/>
          </w:tcPr>
          <w:p w14:paraId="1F51F477" w14:textId="208F35CE" w:rsidR="007B1BAC" w:rsidRPr="00801A36" w:rsidRDefault="007B1BAC" w:rsidP="00801A36">
            <w:pPr>
              <w:spacing w:after="0" w:line="240" w:lineRule="auto"/>
              <w:jc w:val="center"/>
              <w:rPr>
                <w:rFonts w:ascii="Times New Roman" w:eastAsia="Times New Roman" w:hAnsi="Times New Roman" w:cs="Times New Roman"/>
                <w:color w:val="000000"/>
                <w:kern w:val="0"/>
                <w:sz w:val="19"/>
                <w:szCs w:val="19"/>
                <w:lang w:eastAsia="en-IN"/>
                <w14:ligatures w14:val="none"/>
              </w:rPr>
            </w:pPr>
          </w:p>
        </w:tc>
      </w:tr>
      <w:tr w:rsidR="007B1BAC" w:rsidRPr="00801A36" w14:paraId="58467283" w14:textId="77777777" w:rsidTr="00801A36">
        <w:trPr>
          <w:trHeight w:val="20"/>
          <w:jc w:val="center"/>
        </w:trPr>
        <w:tc>
          <w:tcPr>
            <w:tcW w:w="618" w:type="dxa"/>
            <w:tcBorders>
              <w:top w:val="nil"/>
              <w:left w:val="single" w:sz="4" w:space="0" w:color="auto"/>
              <w:bottom w:val="single" w:sz="4" w:space="0" w:color="auto"/>
              <w:right w:val="single" w:sz="4" w:space="0" w:color="auto"/>
            </w:tcBorders>
            <w:noWrap/>
            <w:vAlign w:val="bottom"/>
            <w:hideMark/>
          </w:tcPr>
          <w:p w14:paraId="2583C40B" w14:textId="77777777" w:rsidR="007B1BAC" w:rsidRPr="00801A36" w:rsidRDefault="007B1BAC" w:rsidP="007B1BAC">
            <w:pPr>
              <w:spacing w:after="0" w:line="240" w:lineRule="auto"/>
              <w:rPr>
                <w:rFonts w:ascii="Times New Roman" w:eastAsia="Times New Roman" w:hAnsi="Times New Roman" w:cs="Times New Roman"/>
                <w:color w:val="000000"/>
                <w:kern w:val="0"/>
                <w:sz w:val="19"/>
                <w:szCs w:val="19"/>
                <w:lang w:eastAsia="en-IN"/>
                <w14:ligatures w14:val="none"/>
              </w:rPr>
            </w:pPr>
            <w:r w:rsidRPr="00801A36">
              <w:rPr>
                <w:rFonts w:ascii="Times New Roman" w:eastAsia="Times New Roman" w:hAnsi="Times New Roman" w:cs="Times New Roman"/>
                <w:color w:val="000000"/>
                <w:kern w:val="0"/>
                <w:sz w:val="19"/>
                <w:szCs w:val="19"/>
                <w:lang w:eastAsia="en-IN"/>
                <w14:ligatures w14:val="none"/>
              </w:rPr>
              <w:t> </w:t>
            </w:r>
          </w:p>
        </w:tc>
        <w:tc>
          <w:tcPr>
            <w:tcW w:w="1680" w:type="dxa"/>
            <w:tcBorders>
              <w:top w:val="nil"/>
              <w:left w:val="nil"/>
              <w:bottom w:val="single" w:sz="4" w:space="0" w:color="auto"/>
              <w:right w:val="single" w:sz="4" w:space="0" w:color="auto"/>
            </w:tcBorders>
            <w:noWrap/>
            <w:vAlign w:val="bottom"/>
            <w:hideMark/>
          </w:tcPr>
          <w:p w14:paraId="4B04A500" w14:textId="77777777" w:rsidR="007B1BAC" w:rsidRPr="00801A36" w:rsidRDefault="007B1BAC" w:rsidP="007B1BAC">
            <w:pPr>
              <w:spacing w:after="0" w:line="240" w:lineRule="auto"/>
              <w:rPr>
                <w:rFonts w:ascii="Times New Roman" w:eastAsia="Times New Roman" w:hAnsi="Times New Roman" w:cs="Times New Roman"/>
                <w:color w:val="000000"/>
                <w:kern w:val="0"/>
                <w:sz w:val="19"/>
                <w:szCs w:val="19"/>
                <w:lang w:eastAsia="en-IN"/>
                <w14:ligatures w14:val="none"/>
              </w:rPr>
            </w:pPr>
            <w:r w:rsidRPr="00801A36">
              <w:rPr>
                <w:rFonts w:ascii="Times New Roman" w:eastAsia="Times New Roman" w:hAnsi="Times New Roman" w:cs="Times New Roman"/>
                <w:color w:val="000000"/>
                <w:kern w:val="0"/>
                <w:sz w:val="19"/>
                <w:szCs w:val="19"/>
                <w:lang w:eastAsia="en-IN"/>
                <w14:ligatures w14:val="none"/>
              </w:rPr>
              <w:t>Northeast Frontier</w:t>
            </w:r>
          </w:p>
        </w:tc>
        <w:tc>
          <w:tcPr>
            <w:tcW w:w="1084" w:type="dxa"/>
            <w:tcBorders>
              <w:top w:val="nil"/>
              <w:left w:val="nil"/>
              <w:bottom w:val="single" w:sz="4" w:space="0" w:color="auto"/>
              <w:right w:val="single" w:sz="4" w:space="0" w:color="auto"/>
            </w:tcBorders>
            <w:noWrap/>
            <w:vAlign w:val="center"/>
            <w:hideMark/>
          </w:tcPr>
          <w:p w14:paraId="0C3AC406" w14:textId="77777777" w:rsidR="007B1BAC" w:rsidRPr="00801A36" w:rsidRDefault="007B1BAC" w:rsidP="00801A36">
            <w:pPr>
              <w:spacing w:after="0" w:line="240" w:lineRule="auto"/>
              <w:jc w:val="center"/>
              <w:rPr>
                <w:rFonts w:ascii="Times New Roman" w:eastAsia="Times New Roman" w:hAnsi="Times New Roman" w:cs="Times New Roman"/>
                <w:color w:val="000000"/>
                <w:kern w:val="0"/>
                <w:sz w:val="19"/>
                <w:szCs w:val="19"/>
                <w:lang w:eastAsia="en-IN"/>
                <w14:ligatures w14:val="none"/>
              </w:rPr>
            </w:pPr>
            <w:r w:rsidRPr="00801A36">
              <w:rPr>
                <w:rFonts w:ascii="Times New Roman" w:eastAsia="Times New Roman" w:hAnsi="Times New Roman" w:cs="Times New Roman"/>
                <w:color w:val="000000"/>
                <w:kern w:val="0"/>
                <w:sz w:val="19"/>
                <w:szCs w:val="19"/>
                <w:lang w:eastAsia="en-IN"/>
                <w14:ligatures w14:val="none"/>
              </w:rPr>
              <w:t>..</w:t>
            </w:r>
          </w:p>
        </w:tc>
        <w:tc>
          <w:tcPr>
            <w:tcW w:w="1070" w:type="dxa"/>
            <w:tcBorders>
              <w:top w:val="nil"/>
              <w:left w:val="nil"/>
              <w:bottom w:val="single" w:sz="4" w:space="0" w:color="auto"/>
              <w:right w:val="single" w:sz="4" w:space="0" w:color="auto"/>
            </w:tcBorders>
            <w:noWrap/>
            <w:vAlign w:val="center"/>
            <w:hideMark/>
          </w:tcPr>
          <w:p w14:paraId="457ED78C" w14:textId="77777777" w:rsidR="007B1BAC" w:rsidRPr="00801A36" w:rsidRDefault="007B1BAC" w:rsidP="00801A36">
            <w:pPr>
              <w:spacing w:after="0" w:line="240" w:lineRule="auto"/>
              <w:jc w:val="center"/>
              <w:rPr>
                <w:rFonts w:ascii="Times New Roman" w:eastAsia="Times New Roman" w:hAnsi="Times New Roman" w:cs="Times New Roman"/>
                <w:color w:val="000000"/>
                <w:kern w:val="0"/>
                <w:sz w:val="19"/>
                <w:szCs w:val="19"/>
                <w:lang w:eastAsia="en-IN"/>
                <w14:ligatures w14:val="none"/>
              </w:rPr>
            </w:pPr>
            <w:r w:rsidRPr="00801A36">
              <w:rPr>
                <w:rFonts w:ascii="Times New Roman" w:eastAsia="Times New Roman" w:hAnsi="Times New Roman" w:cs="Times New Roman"/>
                <w:color w:val="000000"/>
                <w:kern w:val="0"/>
                <w:sz w:val="19"/>
                <w:szCs w:val="19"/>
                <w:lang w:eastAsia="en-IN"/>
                <w14:ligatures w14:val="none"/>
              </w:rPr>
              <w:t>9.35</w:t>
            </w:r>
          </w:p>
        </w:tc>
        <w:tc>
          <w:tcPr>
            <w:tcW w:w="1196" w:type="dxa"/>
            <w:tcBorders>
              <w:top w:val="nil"/>
              <w:left w:val="nil"/>
              <w:bottom w:val="single" w:sz="4" w:space="0" w:color="auto"/>
              <w:right w:val="single" w:sz="4" w:space="0" w:color="auto"/>
            </w:tcBorders>
            <w:noWrap/>
            <w:vAlign w:val="center"/>
            <w:hideMark/>
          </w:tcPr>
          <w:p w14:paraId="2E1FE6A2" w14:textId="77777777" w:rsidR="007B1BAC" w:rsidRPr="00801A36" w:rsidRDefault="007B1BAC" w:rsidP="00801A36">
            <w:pPr>
              <w:spacing w:after="0" w:line="240" w:lineRule="auto"/>
              <w:jc w:val="center"/>
              <w:rPr>
                <w:rFonts w:ascii="Times New Roman" w:eastAsia="Times New Roman" w:hAnsi="Times New Roman" w:cs="Times New Roman"/>
                <w:color w:val="000000"/>
                <w:kern w:val="0"/>
                <w:sz w:val="19"/>
                <w:szCs w:val="19"/>
                <w:lang w:eastAsia="en-IN"/>
                <w14:ligatures w14:val="none"/>
              </w:rPr>
            </w:pPr>
            <w:r w:rsidRPr="00801A36">
              <w:rPr>
                <w:rFonts w:ascii="Times New Roman" w:eastAsia="Times New Roman" w:hAnsi="Times New Roman" w:cs="Times New Roman"/>
                <w:color w:val="000000"/>
                <w:kern w:val="0"/>
                <w:sz w:val="19"/>
                <w:szCs w:val="19"/>
                <w:lang w:eastAsia="en-IN"/>
                <w14:ligatures w14:val="none"/>
              </w:rPr>
              <w:t>..</w:t>
            </w:r>
          </w:p>
        </w:tc>
        <w:tc>
          <w:tcPr>
            <w:tcW w:w="986" w:type="dxa"/>
            <w:tcBorders>
              <w:top w:val="nil"/>
              <w:left w:val="nil"/>
              <w:bottom w:val="single" w:sz="4" w:space="0" w:color="auto"/>
              <w:right w:val="single" w:sz="4" w:space="0" w:color="auto"/>
            </w:tcBorders>
            <w:noWrap/>
            <w:vAlign w:val="center"/>
            <w:hideMark/>
          </w:tcPr>
          <w:p w14:paraId="18DFA75A" w14:textId="77777777" w:rsidR="007B1BAC" w:rsidRPr="00801A36" w:rsidRDefault="007B1BAC" w:rsidP="00801A36">
            <w:pPr>
              <w:spacing w:after="0" w:line="240" w:lineRule="auto"/>
              <w:jc w:val="center"/>
              <w:rPr>
                <w:rFonts w:ascii="Times New Roman" w:eastAsia="Times New Roman" w:hAnsi="Times New Roman" w:cs="Times New Roman"/>
                <w:color w:val="000000"/>
                <w:kern w:val="0"/>
                <w:sz w:val="19"/>
                <w:szCs w:val="19"/>
                <w:lang w:eastAsia="en-IN"/>
                <w14:ligatures w14:val="none"/>
              </w:rPr>
            </w:pPr>
            <w:r w:rsidRPr="00801A36">
              <w:rPr>
                <w:rFonts w:ascii="Times New Roman" w:eastAsia="Times New Roman" w:hAnsi="Times New Roman" w:cs="Times New Roman"/>
                <w:color w:val="000000"/>
                <w:kern w:val="0"/>
                <w:sz w:val="19"/>
                <w:szCs w:val="19"/>
                <w:lang w:eastAsia="en-IN"/>
                <w14:ligatures w14:val="none"/>
              </w:rPr>
              <w:t>9.35</w:t>
            </w:r>
          </w:p>
        </w:tc>
        <w:tc>
          <w:tcPr>
            <w:tcW w:w="1084" w:type="dxa"/>
            <w:tcBorders>
              <w:top w:val="nil"/>
              <w:left w:val="nil"/>
              <w:bottom w:val="single" w:sz="4" w:space="0" w:color="auto"/>
              <w:right w:val="single" w:sz="4" w:space="0" w:color="auto"/>
            </w:tcBorders>
            <w:noWrap/>
            <w:vAlign w:val="center"/>
            <w:hideMark/>
          </w:tcPr>
          <w:p w14:paraId="5723DAA5" w14:textId="77777777" w:rsidR="007B1BAC" w:rsidRPr="00801A36" w:rsidRDefault="007B1BAC" w:rsidP="00801A36">
            <w:pPr>
              <w:spacing w:after="0" w:line="240" w:lineRule="auto"/>
              <w:jc w:val="center"/>
              <w:rPr>
                <w:rFonts w:ascii="Times New Roman" w:eastAsia="Times New Roman" w:hAnsi="Times New Roman" w:cs="Times New Roman"/>
                <w:color w:val="000000"/>
                <w:kern w:val="0"/>
                <w:sz w:val="19"/>
                <w:szCs w:val="19"/>
                <w:lang w:eastAsia="en-IN"/>
                <w14:ligatures w14:val="none"/>
              </w:rPr>
            </w:pPr>
            <w:r w:rsidRPr="00801A36">
              <w:rPr>
                <w:rFonts w:ascii="Times New Roman" w:eastAsia="Times New Roman" w:hAnsi="Times New Roman" w:cs="Times New Roman"/>
                <w:color w:val="000000"/>
                <w:kern w:val="0"/>
                <w:sz w:val="19"/>
                <w:szCs w:val="19"/>
                <w:lang w:eastAsia="en-IN"/>
                <w14:ligatures w14:val="none"/>
              </w:rPr>
              <w:t>..</w:t>
            </w:r>
          </w:p>
        </w:tc>
        <w:tc>
          <w:tcPr>
            <w:tcW w:w="1070" w:type="dxa"/>
            <w:tcBorders>
              <w:top w:val="nil"/>
              <w:left w:val="nil"/>
              <w:bottom w:val="single" w:sz="4" w:space="0" w:color="auto"/>
              <w:right w:val="single" w:sz="4" w:space="0" w:color="auto"/>
            </w:tcBorders>
            <w:noWrap/>
            <w:vAlign w:val="center"/>
            <w:hideMark/>
          </w:tcPr>
          <w:p w14:paraId="1587D990" w14:textId="77777777" w:rsidR="007B1BAC" w:rsidRPr="00801A36" w:rsidRDefault="007B1BAC" w:rsidP="00801A36">
            <w:pPr>
              <w:spacing w:after="0" w:line="240" w:lineRule="auto"/>
              <w:jc w:val="center"/>
              <w:rPr>
                <w:rFonts w:ascii="Times New Roman" w:eastAsia="Times New Roman" w:hAnsi="Times New Roman" w:cs="Times New Roman"/>
                <w:color w:val="000000"/>
                <w:kern w:val="0"/>
                <w:sz w:val="19"/>
                <w:szCs w:val="19"/>
                <w:lang w:eastAsia="en-IN"/>
                <w14:ligatures w14:val="none"/>
              </w:rPr>
            </w:pPr>
            <w:r w:rsidRPr="00801A36">
              <w:rPr>
                <w:rFonts w:ascii="Times New Roman" w:eastAsia="Times New Roman" w:hAnsi="Times New Roman" w:cs="Times New Roman"/>
                <w:color w:val="000000"/>
                <w:kern w:val="0"/>
                <w:sz w:val="19"/>
                <w:szCs w:val="19"/>
                <w:lang w:eastAsia="en-IN"/>
                <w14:ligatures w14:val="none"/>
              </w:rPr>
              <w:t>9.35</w:t>
            </w:r>
          </w:p>
        </w:tc>
        <w:tc>
          <w:tcPr>
            <w:tcW w:w="1196" w:type="dxa"/>
            <w:tcBorders>
              <w:top w:val="nil"/>
              <w:left w:val="nil"/>
              <w:bottom w:val="single" w:sz="4" w:space="0" w:color="auto"/>
              <w:right w:val="single" w:sz="4" w:space="0" w:color="auto"/>
            </w:tcBorders>
            <w:noWrap/>
            <w:vAlign w:val="center"/>
            <w:hideMark/>
          </w:tcPr>
          <w:p w14:paraId="17B23930" w14:textId="77777777" w:rsidR="007B1BAC" w:rsidRPr="00801A36" w:rsidRDefault="007B1BAC" w:rsidP="00801A36">
            <w:pPr>
              <w:spacing w:after="0" w:line="240" w:lineRule="auto"/>
              <w:jc w:val="center"/>
              <w:rPr>
                <w:rFonts w:ascii="Times New Roman" w:eastAsia="Times New Roman" w:hAnsi="Times New Roman" w:cs="Times New Roman"/>
                <w:color w:val="000000"/>
                <w:kern w:val="0"/>
                <w:sz w:val="19"/>
                <w:szCs w:val="19"/>
                <w:lang w:eastAsia="en-IN"/>
                <w14:ligatures w14:val="none"/>
              </w:rPr>
            </w:pPr>
            <w:r w:rsidRPr="00801A36">
              <w:rPr>
                <w:rFonts w:ascii="Times New Roman" w:eastAsia="Times New Roman" w:hAnsi="Times New Roman" w:cs="Times New Roman"/>
                <w:color w:val="000000"/>
                <w:kern w:val="0"/>
                <w:sz w:val="19"/>
                <w:szCs w:val="19"/>
                <w:lang w:eastAsia="en-IN"/>
                <w14:ligatures w14:val="none"/>
              </w:rPr>
              <w:t>..</w:t>
            </w:r>
          </w:p>
        </w:tc>
        <w:tc>
          <w:tcPr>
            <w:tcW w:w="986" w:type="dxa"/>
            <w:tcBorders>
              <w:top w:val="nil"/>
              <w:left w:val="nil"/>
              <w:bottom w:val="single" w:sz="4" w:space="0" w:color="auto"/>
              <w:right w:val="single" w:sz="4" w:space="0" w:color="auto"/>
            </w:tcBorders>
            <w:noWrap/>
            <w:vAlign w:val="center"/>
            <w:hideMark/>
          </w:tcPr>
          <w:p w14:paraId="2B48B20B" w14:textId="77777777" w:rsidR="007B1BAC" w:rsidRPr="00801A36" w:rsidRDefault="007B1BAC" w:rsidP="00801A36">
            <w:pPr>
              <w:spacing w:after="0" w:line="240" w:lineRule="auto"/>
              <w:jc w:val="center"/>
              <w:rPr>
                <w:rFonts w:ascii="Times New Roman" w:eastAsia="Times New Roman" w:hAnsi="Times New Roman" w:cs="Times New Roman"/>
                <w:color w:val="000000"/>
                <w:kern w:val="0"/>
                <w:sz w:val="19"/>
                <w:szCs w:val="19"/>
                <w:lang w:eastAsia="en-IN"/>
                <w14:ligatures w14:val="none"/>
              </w:rPr>
            </w:pPr>
            <w:r w:rsidRPr="00801A36">
              <w:rPr>
                <w:rFonts w:ascii="Times New Roman" w:eastAsia="Times New Roman" w:hAnsi="Times New Roman" w:cs="Times New Roman"/>
                <w:color w:val="000000"/>
                <w:kern w:val="0"/>
                <w:sz w:val="19"/>
                <w:szCs w:val="19"/>
                <w:lang w:eastAsia="en-IN"/>
                <w14:ligatures w14:val="none"/>
              </w:rPr>
              <w:t>9.35</w:t>
            </w:r>
          </w:p>
        </w:tc>
        <w:tc>
          <w:tcPr>
            <w:tcW w:w="1084" w:type="dxa"/>
            <w:tcBorders>
              <w:top w:val="nil"/>
              <w:left w:val="nil"/>
              <w:bottom w:val="single" w:sz="4" w:space="0" w:color="auto"/>
              <w:right w:val="single" w:sz="4" w:space="0" w:color="auto"/>
            </w:tcBorders>
            <w:noWrap/>
            <w:vAlign w:val="center"/>
            <w:hideMark/>
          </w:tcPr>
          <w:p w14:paraId="1EE30E0A" w14:textId="77777777" w:rsidR="007B1BAC" w:rsidRPr="00801A36" w:rsidRDefault="007B1BAC" w:rsidP="00801A36">
            <w:pPr>
              <w:spacing w:after="0" w:line="240" w:lineRule="auto"/>
              <w:jc w:val="center"/>
              <w:rPr>
                <w:rFonts w:ascii="Times New Roman" w:eastAsia="Times New Roman" w:hAnsi="Times New Roman" w:cs="Times New Roman"/>
                <w:color w:val="000000"/>
                <w:kern w:val="0"/>
                <w:sz w:val="19"/>
                <w:szCs w:val="19"/>
                <w:lang w:eastAsia="en-IN"/>
                <w14:ligatures w14:val="none"/>
              </w:rPr>
            </w:pPr>
            <w:r w:rsidRPr="00801A36">
              <w:rPr>
                <w:rFonts w:ascii="Times New Roman" w:eastAsia="Times New Roman" w:hAnsi="Times New Roman" w:cs="Times New Roman"/>
                <w:color w:val="000000"/>
                <w:kern w:val="0"/>
                <w:sz w:val="19"/>
                <w:szCs w:val="19"/>
                <w:lang w:eastAsia="en-IN"/>
                <w14:ligatures w14:val="none"/>
              </w:rPr>
              <w:t>..</w:t>
            </w:r>
          </w:p>
        </w:tc>
        <w:tc>
          <w:tcPr>
            <w:tcW w:w="1070" w:type="dxa"/>
            <w:tcBorders>
              <w:top w:val="nil"/>
              <w:left w:val="nil"/>
              <w:bottom w:val="single" w:sz="4" w:space="0" w:color="auto"/>
              <w:right w:val="single" w:sz="4" w:space="0" w:color="auto"/>
            </w:tcBorders>
            <w:noWrap/>
            <w:vAlign w:val="center"/>
            <w:hideMark/>
          </w:tcPr>
          <w:p w14:paraId="079E5866" w14:textId="77777777" w:rsidR="007B1BAC" w:rsidRPr="00801A36" w:rsidRDefault="007B1BAC" w:rsidP="00801A36">
            <w:pPr>
              <w:spacing w:after="0" w:line="240" w:lineRule="auto"/>
              <w:jc w:val="center"/>
              <w:rPr>
                <w:rFonts w:ascii="Times New Roman" w:eastAsia="Times New Roman" w:hAnsi="Times New Roman" w:cs="Times New Roman"/>
                <w:color w:val="000000"/>
                <w:kern w:val="0"/>
                <w:sz w:val="19"/>
                <w:szCs w:val="19"/>
                <w:lang w:eastAsia="en-IN"/>
                <w14:ligatures w14:val="none"/>
              </w:rPr>
            </w:pPr>
            <w:r w:rsidRPr="00801A36">
              <w:rPr>
                <w:rFonts w:ascii="Times New Roman" w:eastAsia="Times New Roman" w:hAnsi="Times New Roman" w:cs="Times New Roman"/>
                <w:color w:val="000000"/>
                <w:kern w:val="0"/>
                <w:sz w:val="19"/>
                <w:szCs w:val="19"/>
                <w:lang w:eastAsia="en-IN"/>
                <w14:ligatures w14:val="none"/>
              </w:rPr>
              <w:t>9.35</w:t>
            </w:r>
          </w:p>
        </w:tc>
        <w:tc>
          <w:tcPr>
            <w:tcW w:w="1196" w:type="dxa"/>
            <w:tcBorders>
              <w:top w:val="nil"/>
              <w:left w:val="nil"/>
              <w:bottom w:val="single" w:sz="4" w:space="0" w:color="auto"/>
              <w:right w:val="single" w:sz="4" w:space="0" w:color="auto"/>
            </w:tcBorders>
            <w:noWrap/>
            <w:vAlign w:val="center"/>
            <w:hideMark/>
          </w:tcPr>
          <w:p w14:paraId="60B1EE76" w14:textId="77777777" w:rsidR="007B1BAC" w:rsidRPr="00801A36" w:rsidRDefault="007B1BAC" w:rsidP="00801A36">
            <w:pPr>
              <w:spacing w:after="0" w:line="240" w:lineRule="auto"/>
              <w:jc w:val="center"/>
              <w:rPr>
                <w:rFonts w:ascii="Times New Roman" w:eastAsia="Times New Roman" w:hAnsi="Times New Roman" w:cs="Times New Roman"/>
                <w:color w:val="000000"/>
                <w:kern w:val="0"/>
                <w:sz w:val="19"/>
                <w:szCs w:val="19"/>
                <w:lang w:eastAsia="en-IN"/>
                <w14:ligatures w14:val="none"/>
              </w:rPr>
            </w:pPr>
            <w:r w:rsidRPr="00801A36">
              <w:rPr>
                <w:rFonts w:ascii="Times New Roman" w:eastAsia="Times New Roman" w:hAnsi="Times New Roman" w:cs="Times New Roman"/>
                <w:color w:val="000000"/>
                <w:kern w:val="0"/>
                <w:sz w:val="19"/>
                <w:szCs w:val="19"/>
                <w:lang w:eastAsia="en-IN"/>
                <w14:ligatures w14:val="none"/>
              </w:rPr>
              <w:t>..</w:t>
            </w:r>
          </w:p>
        </w:tc>
        <w:tc>
          <w:tcPr>
            <w:tcW w:w="986" w:type="dxa"/>
            <w:tcBorders>
              <w:top w:val="nil"/>
              <w:left w:val="nil"/>
              <w:bottom w:val="single" w:sz="4" w:space="0" w:color="auto"/>
              <w:right w:val="single" w:sz="4" w:space="0" w:color="auto"/>
            </w:tcBorders>
            <w:noWrap/>
            <w:vAlign w:val="center"/>
            <w:hideMark/>
          </w:tcPr>
          <w:p w14:paraId="2516018E" w14:textId="77777777" w:rsidR="007B1BAC" w:rsidRPr="00801A36" w:rsidRDefault="007B1BAC" w:rsidP="00801A36">
            <w:pPr>
              <w:spacing w:after="0" w:line="240" w:lineRule="auto"/>
              <w:jc w:val="center"/>
              <w:rPr>
                <w:rFonts w:ascii="Times New Roman" w:eastAsia="Times New Roman" w:hAnsi="Times New Roman" w:cs="Times New Roman"/>
                <w:color w:val="000000"/>
                <w:kern w:val="0"/>
                <w:sz w:val="19"/>
                <w:szCs w:val="19"/>
                <w:lang w:eastAsia="en-IN"/>
                <w14:ligatures w14:val="none"/>
              </w:rPr>
            </w:pPr>
            <w:r w:rsidRPr="00801A36">
              <w:rPr>
                <w:rFonts w:ascii="Times New Roman" w:eastAsia="Times New Roman" w:hAnsi="Times New Roman" w:cs="Times New Roman"/>
                <w:color w:val="000000"/>
                <w:kern w:val="0"/>
                <w:sz w:val="19"/>
                <w:szCs w:val="19"/>
                <w:lang w:eastAsia="en-IN"/>
                <w14:ligatures w14:val="none"/>
              </w:rPr>
              <w:t>9.35</w:t>
            </w:r>
          </w:p>
        </w:tc>
      </w:tr>
      <w:tr w:rsidR="007B1BAC" w:rsidRPr="00801A36" w14:paraId="6B2D794C" w14:textId="77777777" w:rsidTr="00801A36">
        <w:trPr>
          <w:trHeight w:val="20"/>
          <w:jc w:val="center"/>
        </w:trPr>
        <w:tc>
          <w:tcPr>
            <w:tcW w:w="618" w:type="dxa"/>
            <w:tcBorders>
              <w:top w:val="nil"/>
              <w:left w:val="single" w:sz="4" w:space="0" w:color="auto"/>
              <w:bottom w:val="single" w:sz="4" w:space="0" w:color="auto"/>
              <w:right w:val="single" w:sz="4" w:space="0" w:color="auto"/>
            </w:tcBorders>
            <w:noWrap/>
            <w:vAlign w:val="bottom"/>
            <w:hideMark/>
          </w:tcPr>
          <w:p w14:paraId="21A3E1D6" w14:textId="77777777" w:rsidR="007B1BAC" w:rsidRPr="00801A36" w:rsidRDefault="007B1BAC" w:rsidP="007B1BAC">
            <w:pPr>
              <w:spacing w:after="0" w:line="240" w:lineRule="auto"/>
              <w:jc w:val="right"/>
              <w:rPr>
                <w:rFonts w:ascii="Times New Roman" w:eastAsia="Times New Roman" w:hAnsi="Times New Roman" w:cs="Times New Roman"/>
                <w:color w:val="000000"/>
                <w:kern w:val="0"/>
                <w:sz w:val="19"/>
                <w:szCs w:val="19"/>
                <w:lang w:eastAsia="en-IN"/>
                <w14:ligatures w14:val="none"/>
              </w:rPr>
            </w:pPr>
            <w:r w:rsidRPr="00801A36">
              <w:rPr>
                <w:rFonts w:ascii="Times New Roman" w:eastAsia="Times New Roman" w:hAnsi="Times New Roman" w:cs="Times New Roman"/>
                <w:color w:val="000000"/>
                <w:kern w:val="0"/>
                <w:sz w:val="19"/>
                <w:szCs w:val="19"/>
                <w:lang w:eastAsia="en-IN"/>
                <w14:ligatures w14:val="none"/>
              </w:rPr>
              <w:t>13</w:t>
            </w:r>
          </w:p>
        </w:tc>
        <w:tc>
          <w:tcPr>
            <w:tcW w:w="1680" w:type="dxa"/>
            <w:tcBorders>
              <w:top w:val="nil"/>
              <w:left w:val="nil"/>
              <w:bottom w:val="single" w:sz="4" w:space="0" w:color="auto"/>
              <w:right w:val="single" w:sz="4" w:space="0" w:color="auto"/>
            </w:tcBorders>
            <w:noWrap/>
            <w:vAlign w:val="bottom"/>
            <w:hideMark/>
          </w:tcPr>
          <w:p w14:paraId="271B84D8" w14:textId="77777777" w:rsidR="007B1BAC" w:rsidRPr="00801A36" w:rsidRDefault="007B1BAC" w:rsidP="007B1BAC">
            <w:pPr>
              <w:spacing w:after="0" w:line="240" w:lineRule="auto"/>
              <w:rPr>
                <w:rFonts w:ascii="Times New Roman" w:eastAsia="Times New Roman" w:hAnsi="Times New Roman" w:cs="Times New Roman"/>
                <w:color w:val="000000"/>
                <w:kern w:val="0"/>
                <w:sz w:val="19"/>
                <w:szCs w:val="19"/>
                <w:lang w:eastAsia="en-IN"/>
                <w14:ligatures w14:val="none"/>
              </w:rPr>
            </w:pPr>
            <w:r w:rsidRPr="00801A36">
              <w:rPr>
                <w:rFonts w:ascii="Times New Roman" w:eastAsia="Times New Roman" w:hAnsi="Times New Roman" w:cs="Times New Roman"/>
                <w:color w:val="000000"/>
                <w:kern w:val="0"/>
                <w:sz w:val="19"/>
                <w:szCs w:val="19"/>
                <w:lang w:eastAsia="en-IN"/>
                <w14:ligatures w14:val="none"/>
              </w:rPr>
              <w:t>Orissa</w:t>
            </w:r>
          </w:p>
        </w:tc>
        <w:tc>
          <w:tcPr>
            <w:tcW w:w="1084" w:type="dxa"/>
            <w:tcBorders>
              <w:top w:val="nil"/>
              <w:left w:val="nil"/>
              <w:bottom w:val="single" w:sz="4" w:space="0" w:color="auto"/>
              <w:right w:val="single" w:sz="4" w:space="0" w:color="auto"/>
            </w:tcBorders>
            <w:noWrap/>
            <w:vAlign w:val="center"/>
            <w:hideMark/>
          </w:tcPr>
          <w:p w14:paraId="65C40B7D" w14:textId="310FEB37" w:rsidR="007B1BAC" w:rsidRPr="00801A36" w:rsidRDefault="007B1BAC" w:rsidP="00801A36">
            <w:pPr>
              <w:spacing w:after="0" w:line="240" w:lineRule="auto"/>
              <w:jc w:val="center"/>
              <w:rPr>
                <w:rFonts w:ascii="Times New Roman" w:eastAsia="Times New Roman" w:hAnsi="Times New Roman" w:cs="Times New Roman"/>
                <w:color w:val="000000"/>
                <w:kern w:val="0"/>
                <w:sz w:val="19"/>
                <w:szCs w:val="19"/>
                <w:lang w:eastAsia="en-IN"/>
                <w14:ligatures w14:val="none"/>
              </w:rPr>
            </w:pPr>
          </w:p>
        </w:tc>
        <w:tc>
          <w:tcPr>
            <w:tcW w:w="1070" w:type="dxa"/>
            <w:tcBorders>
              <w:top w:val="nil"/>
              <w:left w:val="nil"/>
              <w:bottom w:val="single" w:sz="4" w:space="0" w:color="auto"/>
              <w:right w:val="single" w:sz="4" w:space="0" w:color="auto"/>
            </w:tcBorders>
            <w:noWrap/>
            <w:vAlign w:val="center"/>
            <w:hideMark/>
          </w:tcPr>
          <w:p w14:paraId="2CF99D04" w14:textId="4ABF6C7B" w:rsidR="007B1BAC" w:rsidRPr="00801A36" w:rsidRDefault="007B1BAC" w:rsidP="00801A36">
            <w:pPr>
              <w:spacing w:after="0" w:line="240" w:lineRule="auto"/>
              <w:jc w:val="center"/>
              <w:rPr>
                <w:rFonts w:ascii="Times New Roman" w:eastAsia="Times New Roman" w:hAnsi="Times New Roman" w:cs="Times New Roman"/>
                <w:color w:val="000000"/>
                <w:kern w:val="0"/>
                <w:sz w:val="19"/>
                <w:szCs w:val="19"/>
                <w:lang w:eastAsia="en-IN"/>
                <w14:ligatures w14:val="none"/>
              </w:rPr>
            </w:pPr>
          </w:p>
        </w:tc>
        <w:tc>
          <w:tcPr>
            <w:tcW w:w="1196" w:type="dxa"/>
            <w:tcBorders>
              <w:top w:val="nil"/>
              <w:left w:val="nil"/>
              <w:bottom w:val="single" w:sz="4" w:space="0" w:color="auto"/>
              <w:right w:val="single" w:sz="4" w:space="0" w:color="auto"/>
            </w:tcBorders>
            <w:noWrap/>
            <w:vAlign w:val="center"/>
            <w:hideMark/>
          </w:tcPr>
          <w:p w14:paraId="7F097DCA" w14:textId="2CB179CF" w:rsidR="007B1BAC" w:rsidRPr="00801A36" w:rsidRDefault="007B1BAC" w:rsidP="00801A36">
            <w:pPr>
              <w:spacing w:after="0" w:line="240" w:lineRule="auto"/>
              <w:jc w:val="center"/>
              <w:rPr>
                <w:rFonts w:ascii="Times New Roman" w:eastAsia="Times New Roman" w:hAnsi="Times New Roman" w:cs="Times New Roman"/>
                <w:color w:val="000000"/>
                <w:kern w:val="0"/>
                <w:sz w:val="19"/>
                <w:szCs w:val="19"/>
                <w:lang w:eastAsia="en-IN"/>
                <w14:ligatures w14:val="none"/>
              </w:rPr>
            </w:pPr>
          </w:p>
        </w:tc>
        <w:tc>
          <w:tcPr>
            <w:tcW w:w="986" w:type="dxa"/>
            <w:tcBorders>
              <w:top w:val="nil"/>
              <w:left w:val="nil"/>
              <w:bottom w:val="single" w:sz="4" w:space="0" w:color="auto"/>
              <w:right w:val="single" w:sz="4" w:space="0" w:color="auto"/>
            </w:tcBorders>
            <w:noWrap/>
            <w:vAlign w:val="center"/>
            <w:hideMark/>
          </w:tcPr>
          <w:p w14:paraId="2A2B9855" w14:textId="2F9ACCD9" w:rsidR="007B1BAC" w:rsidRPr="00801A36" w:rsidRDefault="007B1BAC" w:rsidP="00801A36">
            <w:pPr>
              <w:spacing w:after="0" w:line="240" w:lineRule="auto"/>
              <w:jc w:val="center"/>
              <w:rPr>
                <w:rFonts w:ascii="Times New Roman" w:eastAsia="Times New Roman" w:hAnsi="Times New Roman" w:cs="Times New Roman"/>
                <w:color w:val="000000"/>
                <w:kern w:val="0"/>
                <w:sz w:val="19"/>
                <w:szCs w:val="19"/>
                <w:lang w:eastAsia="en-IN"/>
                <w14:ligatures w14:val="none"/>
              </w:rPr>
            </w:pPr>
          </w:p>
        </w:tc>
        <w:tc>
          <w:tcPr>
            <w:tcW w:w="1084" w:type="dxa"/>
            <w:tcBorders>
              <w:top w:val="nil"/>
              <w:left w:val="nil"/>
              <w:bottom w:val="single" w:sz="4" w:space="0" w:color="auto"/>
              <w:right w:val="single" w:sz="4" w:space="0" w:color="auto"/>
            </w:tcBorders>
            <w:noWrap/>
            <w:vAlign w:val="center"/>
            <w:hideMark/>
          </w:tcPr>
          <w:p w14:paraId="657FC8B9" w14:textId="60B161B8" w:rsidR="007B1BAC" w:rsidRPr="00801A36" w:rsidRDefault="007B1BAC" w:rsidP="00801A36">
            <w:pPr>
              <w:spacing w:after="0" w:line="240" w:lineRule="auto"/>
              <w:jc w:val="center"/>
              <w:rPr>
                <w:rFonts w:ascii="Times New Roman" w:eastAsia="Times New Roman" w:hAnsi="Times New Roman" w:cs="Times New Roman"/>
                <w:color w:val="000000"/>
                <w:kern w:val="0"/>
                <w:sz w:val="19"/>
                <w:szCs w:val="19"/>
                <w:lang w:eastAsia="en-IN"/>
                <w14:ligatures w14:val="none"/>
              </w:rPr>
            </w:pPr>
          </w:p>
        </w:tc>
        <w:tc>
          <w:tcPr>
            <w:tcW w:w="1070" w:type="dxa"/>
            <w:tcBorders>
              <w:top w:val="nil"/>
              <w:left w:val="nil"/>
              <w:bottom w:val="single" w:sz="4" w:space="0" w:color="auto"/>
              <w:right w:val="single" w:sz="4" w:space="0" w:color="auto"/>
            </w:tcBorders>
            <w:noWrap/>
            <w:vAlign w:val="center"/>
            <w:hideMark/>
          </w:tcPr>
          <w:p w14:paraId="724444DC" w14:textId="0FFEB53A" w:rsidR="007B1BAC" w:rsidRPr="00801A36" w:rsidRDefault="007B1BAC" w:rsidP="00801A36">
            <w:pPr>
              <w:spacing w:after="0" w:line="240" w:lineRule="auto"/>
              <w:jc w:val="center"/>
              <w:rPr>
                <w:rFonts w:ascii="Times New Roman" w:eastAsia="Times New Roman" w:hAnsi="Times New Roman" w:cs="Times New Roman"/>
                <w:color w:val="000000"/>
                <w:kern w:val="0"/>
                <w:sz w:val="19"/>
                <w:szCs w:val="19"/>
                <w:lang w:eastAsia="en-IN"/>
                <w14:ligatures w14:val="none"/>
              </w:rPr>
            </w:pPr>
          </w:p>
        </w:tc>
        <w:tc>
          <w:tcPr>
            <w:tcW w:w="1196" w:type="dxa"/>
            <w:tcBorders>
              <w:top w:val="nil"/>
              <w:left w:val="nil"/>
              <w:bottom w:val="single" w:sz="4" w:space="0" w:color="auto"/>
              <w:right w:val="single" w:sz="4" w:space="0" w:color="auto"/>
            </w:tcBorders>
            <w:noWrap/>
            <w:vAlign w:val="center"/>
            <w:hideMark/>
          </w:tcPr>
          <w:p w14:paraId="40129C17" w14:textId="397B1C55" w:rsidR="007B1BAC" w:rsidRPr="00801A36" w:rsidRDefault="007B1BAC" w:rsidP="00801A36">
            <w:pPr>
              <w:spacing w:after="0" w:line="240" w:lineRule="auto"/>
              <w:jc w:val="center"/>
              <w:rPr>
                <w:rFonts w:ascii="Times New Roman" w:eastAsia="Times New Roman" w:hAnsi="Times New Roman" w:cs="Times New Roman"/>
                <w:color w:val="000000"/>
                <w:kern w:val="0"/>
                <w:sz w:val="19"/>
                <w:szCs w:val="19"/>
                <w:lang w:eastAsia="en-IN"/>
                <w14:ligatures w14:val="none"/>
              </w:rPr>
            </w:pPr>
          </w:p>
        </w:tc>
        <w:tc>
          <w:tcPr>
            <w:tcW w:w="986" w:type="dxa"/>
            <w:tcBorders>
              <w:top w:val="nil"/>
              <w:left w:val="nil"/>
              <w:bottom w:val="single" w:sz="4" w:space="0" w:color="auto"/>
              <w:right w:val="single" w:sz="4" w:space="0" w:color="auto"/>
            </w:tcBorders>
            <w:noWrap/>
            <w:vAlign w:val="center"/>
            <w:hideMark/>
          </w:tcPr>
          <w:p w14:paraId="24FAF50D" w14:textId="42FAAD70" w:rsidR="007B1BAC" w:rsidRPr="00801A36" w:rsidRDefault="007B1BAC" w:rsidP="00801A36">
            <w:pPr>
              <w:spacing w:after="0" w:line="240" w:lineRule="auto"/>
              <w:jc w:val="center"/>
              <w:rPr>
                <w:rFonts w:ascii="Times New Roman" w:eastAsia="Times New Roman" w:hAnsi="Times New Roman" w:cs="Times New Roman"/>
                <w:color w:val="000000"/>
                <w:kern w:val="0"/>
                <w:sz w:val="19"/>
                <w:szCs w:val="19"/>
                <w:lang w:eastAsia="en-IN"/>
                <w14:ligatures w14:val="none"/>
              </w:rPr>
            </w:pPr>
          </w:p>
        </w:tc>
        <w:tc>
          <w:tcPr>
            <w:tcW w:w="1084" w:type="dxa"/>
            <w:tcBorders>
              <w:top w:val="nil"/>
              <w:left w:val="nil"/>
              <w:bottom w:val="single" w:sz="4" w:space="0" w:color="auto"/>
              <w:right w:val="single" w:sz="4" w:space="0" w:color="auto"/>
            </w:tcBorders>
            <w:noWrap/>
            <w:vAlign w:val="center"/>
            <w:hideMark/>
          </w:tcPr>
          <w:p w14:paraId="4A97AD44" w14:textId="25DC833F" w:rsidR="007B1BAC" w:rsidRPr="00801A36" w:rsidRDefault="007B1BAC" w:rsidP="00801A36">
            <w:pPr>
              <w:spacing w:after="0" w:line="240" w:lineRule="auto"/>
              <w:jc w:val="center"/>
              <w:rPr>
                <w:rFonts w:ascii="Times New Roman" w:eastAsia="Times New Roman" w:hAnsi="Times New Roman" w:cs="Times New Roman"/>
                <w:color w:val="000000"/>
                <w:kern w:val="0"/>
                <w:sz w:val="19"/>
                <w:szCs w:val="19"/>
                <w:lang w:eastAsia="en-IN"/>
                <w14:ligatures w14:val="none"/>
              </w:rPr>
            </w:pPr>
          </w:p>
        </w:tc>
        <w:tc>
          <w:tcPr>
            <w:tcW w:w="1070" w:type="dxa"/>
            <w:tcBorders>
              <w:top w:val="nil"/>
              <w:left w:val="nil"/>
              <w:bottom w:val="single" w:sz="4" w:space="0" w:color="auto"/>
              <w:right w:val="single" w:sz="4" w:space="0" w:color="auto"/>
            </w:tcBorders>
            <w:noWrap/>
            <w:vAlign w:val="center"/>
            <w:hideMark/>
          </w:tcPr>
          <w:p w14:paraId="37DEF6BA" w14:textId="17A3CE66" w:rsidR="007B1BAC" w:rsidRPr="00801A36" w:rsidRDefault="007B1BAC" w:rsidP="00801A36">
            <w:pPr>
              <w:spacing w:after="0" w:line="240" w:lineRule="auto"/>
              <w:jc w:val="center"/>
              <w:rPr>
                <w:rFonts w:ascii="Times New Roman" w:eastAsia="Times New Roman" w:hAnsi="Times New Roman" w:cs="Times New Roman"/>
                <w:color w:val="000000"/>
                <w:kern w:val="0"/>
                <w:sz w:val="19"/>
                <w:szCs w:val="19"/>
                <w:lang w:eastAsia="en-IN"/>
                <w14:ligatures w14:val="none"/>
              </w:rPr>
            </w:pPr>
          </w:p>
        </w:tc>
        <w:tc>
          <w:tcPr>
            <w:tcW w:w="1196" w:type="dxa"/>
            <w:tcBorders>
              <w:top w:val="nil"/>
              <w:left w:val="nil"/>
              <w:bottom w:val="single" w:sz="4" w:space="0" w:color="auto"/>
              <w:right w:val="single" w:sz="4" w:space="0" w:color="auto"/>
            </w:tcBorders>
            <w:noWrap/>
            <w:vAlign w:val="center"/>
            <w:hideMark/>
          </w:tcPr>
          <w:p w14:paraId="7FABFC0F" w14:textId="0231CF9D" w:rsidR="007B1BAC" w:rsidRPr="00801A36" w:rsidRDefault="007B1BAC" w:rsidP="00801A36">
            <w:pPr>
              <w:spacing w:after="0" w:line="240" w:lineRule="auto"/>
              <w:jc w:val="center"/>
              <w:rPr>
                <w:rFonts w:ascii="Times New Roman" w:eastAsia="Times New Roman" w:hAnsi="Times New Roman" w:cs="Times New Roman"/>
                <w:color w:val="000000"/>
                <w:kern w:val="0"/>
                <w:sz w:val="19"/>
                <w:szCs w:val="19"/>
                <w:lang w:eastAsia="en-IN"/>
                <w14:ligatures w14:val="none"/>
              </w:rPr>
            </w:pPr>
          </w:p>
        </w:tc>
        <w:tc>
          <w:tcPr>
            <w:tcW w:w="986" w:type="dxa"/>
            <w:tcBorders>
              <w:top w:val="nil"/>
              <w:left w:val="nil"/>
              <w:bottom w:val="single" w:sz="4" w:space="0" w:color="auto"/>
              <w:right w:val="single" w:sz="4" w:space="0" w:color="auto"/>
            </w:tcBorders>
            <w:noWrap/>
            <w:vAlign w:val="center"/>
            <w:hideMark/>
          </w:tcPr>
          <w:p w14:paraId="03F1B806" w14:textId="4BF6621F" w:rsidR="007B1BAC" w:rsidRPr="00801A36" w:rsidRDefault="007B1BAC" w:rsidP="00801A36">
            <w:pPr>
              <w:spacing w:after="0" w:line="240" w:lineRule="auto"/>
              <w:jc w:val="center"/>
              <w:rPr>
                <w:rFonts w:ascii="Times New Roman" w:eastAsia="Times New Roman" w:hAnsi="Times New Roman" w:cs="Times New Roman"/>
                <w:color w:val="000000"/>
                <w:kern w:val="0"/>
                <w:sz w:val="19"/>
                <w:szCs w:val="19"/>
                <w:lang w:eastAsia="en-IN"/>
                <w14:ligatures w14:val="none"/>
              </w:rPr>
            </w:pPr>
          </w:p>
        </w:tc>
      </w:tr>
      <w:tr w:rsidR="007B1BAC" w:rsidRPr="00801A36" w14:paraId="60B91BA9" w14:textId="77777777" w:rsidTr="00801A36">
        <w:trPr>
          <w:trHeight w:val="20"/>
          <w:jc w:val="center"/>
        </w:trPr>
        <w:tc>
          <w:tcPr>
            <w:tcW w:w="618" w:type="dxa"/>
            <w:tcBorders>
              <w:top w:val="nil"/>
              <w:left w:val="single" w:sz="4" w:space="0" w:color="auto"/>
              <w:bottom w:val="single" w:sz="4" w:space="0" w:color="auto"/>
              <w:right w:val="single" w:sz="4" w:space="0" w:color="auto"/>
            </w:tcBorders>
            <w:noWrap/>
            <w:vAlign w:val="bottom"/>
            <w:hideMark/>
          </w:tcPr>
          <w:p w14:paraId="4A933E83" w14:textId="77777777" w:rsidR="007B1BAC" w:rsidRPr="00801A36" w:rsidRDefault="007B1BAC" w:rsidP="007B1BAC">
            <w:pPr>
              <w:spacing w:after="0" w:line="240" w:lineRule="auto"/>
              <w:rPr>
                <w:rFonts w:ascii="Times New Roman" w:eastAsia="Times New Roman" w:hAnsi="Times New Roman" w:cs="Times New Roman"/>
                <w:color w:val="000000"/>
                <w:kern w:val="0"/>
                <w:sz w:val="19"/>
                <w:szCs w:val="19"/>
                <w:lang w:eastAsia="en-IN"/>
                <w14:ligatures w14:val="none"/>
              </w:rPr>
            </w:pPr>
            <w:r w:rsidRPr="00801A36">
              <w:rPr>
                <w:rFonts w:ascii="Times New Roman" w:eastAsia="Times New Roman" w:hAnsi="Times New Roman" w:cs="Times New Roman"/>
                <w:color w:val="000000"/>
                <w:kern w:val="0"/>
                <w:sz w:val="19"/>
                <w:szCs w:val="19"/>
                <w:lang w:eastAsia="en-IN"/>
                <w14:ligatures w14:val="none"/>
              </w:rPr>
              <w:t> </w:t>
            </w:r>
          </w:p>
        </w:tc>
        <w:tc>
          <w:tcPr>
            <w:tcW w:w="1680" w:type="dxa"/>
            <w:tcBorders>
              <w:top w:val="nil"/>
              <w:left w:val="nil"/>
              <w:bottom w:val="single" w:sz="4" w:space="0" w:color="auto"/>
              <w:right w:val="single" w:sz="4" w:space="0" w:color="auto"/>
            </w:tcBorders>
            <w:noWrap/>
            <w:vAlign w:val="bottom"/>
            <w:hideMark/>
          </w:tcPr>
          <w:p w14:paraId="0DD202A2" w14:textId="77777777" w:rsidR="007B1BAC" w:rsidRPr="00801A36" w:rsidRDefault="007B1BAC" w:rsidP="007B1BAC">
            <w:pPr>
              <w:spacing w:after="0" w:line="240" w:lineRule="auto"/>
              <w:rPr>
                <w:rFonts w:ascii="Times New Roman" w:eastAsia="Times New Roman" w:hAnsi="Times New Roman" w:cs="Times New Roman"/>
                <w:color w:val="000000"/>
                <w:kern w:val="0"/>
                <w:sz w:val="19"/>
                <w:szCs w:val="19"/>
                <w:lang w:eastAsia="en-IN"/>
                <w14:ligatures w14:val="none"/>
              </w:rPr>
            </w:pPr>
            <w:r w:rsidRPr="00801A36">
              <w:rPr>
                <w:rFonts w:ascii="Times New Roman" w:eastAsia="Times New Roman" w:hAnsi="Times New Roman" w:cs="Times New Roman"/>
                <w:color w:val="000000"/>
                <w:kern w:val="0"/>
                <w:sz w:val="19"/>
                <w:szCs w:val="19"/>
                <w:lang w:eastAsia="en-IN"/>
                <w14:ligatures w14:val="none"/>
              </w:rPr>
              <w:t>South Eastern</w:t>
            </w:r>
          </w:p>
        </w:tc>
        <w:tc>
          <w:tcPr>
            <w:tcW w:w="1084" w:type="dxa"/>
            <w:tcBorders>
              <w:top w:val="nil"/>
              <w:left w:val="nil"/>
              <w:bottom w:val="single" w:sz="4" w:space="0" w:color="auto"/>
              <w:right w:val="single" w:sz="4" w:space="0" w:color="auto"/>
            </w:tcBorders>
            <w:noWrap/>
            <w:vAlign w:val="center"/>
            <w:hideMark/>
          </w:tcPr>
          <w:p w14:paraId="4CBBA890" w14:textId="77777777" w:rsidR="007B1BAC" w:rsidRPr="00801A36" w:rsidRDefault="007B1BAC" w:rsidP="00801A36">
            <w:pPr>
              <w:spacing w:after="0" w:line="240" w:lineRule="auto"/>
              <w:jc w:val="center"/>
              <w:rPr>
                <w:rFonts w:ascii="Times New Roman" w:eastAsia="Times New Roman" w:hAnsi="Times New Roman" w:cs="Times New Roman"/>
                <w:color w:val="000000"/>
                <w:kern w:val="0"/>
                <w:sz w:val="19"/>
                <w:szCs w:val="19"/>
                <w:lang w:eastAsia="en-IN"/>
                <w14:ligatures w14:val="none"/>
              </w:rPr>
            </w:pPr>
            <w:r w:rsidRPr="00801A36">
              <w:rPr>
                <w:rFonts w:ascii="Times New Roman" w:eastAsia="Times New Roman" w:hAnsi="Times New Roman" w:cs="Times New Roman"/>
                <w:color w:val="000000"/>
                <w:kern w:val="0"/>
                <w:sz w:val="19"/>
                <w:szCs w:val="19"/>
                <w:lang w:eastAsia="en-IN"/>
                <w14:ligatures w14:val="none"/>
              </w:rPr>
              <w:t>1,543.00</w:t>
            </w:r>
          </w:p>
        </w:tc>
        <w:tc>
          <w:tcPr>
            <w:tcW w:w="1070" w:type="dxa"/>
            <w:tcBorders>
              <w:top w:val="nil"/>
              <w:left w:val="nil"/>
              <w:bottom w:val="single" w:sz="4" w:space="0" w:color="auto"/>
              <w:right w:val="single" w:sz="4" w:space="0" w:color="auto"/>
            </w:tcBorders>
            <w:noWrap/>
            <w:vAlign w:val="center"/>
            <w:hideMark/>
          </w:tcPr>
          <w:p w14:paraId="563E807E" w14:textId="77777777" w:rsidR="007B1BAC" w:rsidRPr="00801A36" w:rsidRDefault="007B1BAC" w:rsidP="00801A36">
            <w:pPr>
              <w:spacing w:after="0" w:line="240" w:lineRule="auto"/>
              <w:jc w:val="center"/>
              <w:rPr>
                <w:rFonts w:ascii="Times New Roman" w:eastAsia="Times New Roman" w:hAnsi="Times New Roman" w:cs="Times New Roman"/>
                <w:color w:val="000000"/>
                <w:kern w:val="0"/>
                <w:sz w:val="19"/>
                <w:szCs w:val="19"/>
                <w:lang w:eastAsia="en-IN"/>
                <w14:ligatures w14:val="none"/>
              </w:rPr>
            </w:pPr>
            <w:r w:rsidRPr="00801A36">
              <w:rPr>
                <w:rFonts w:ascii="Times New Roman" w:eastAsia="Times New Roman" w:hAnsi="Times New Roman" w:cs="Times New Roman"/>
                <w:color w:val="000000"/>
                <w:kern w:val="0"/>
                <w:sz w:val="19"/>
                <w:szCs w:val="19"/>
                <w:lang w:eastAsia="en-IN"/>
                <w14:ligatures w14:val="none"/>
              </w:rPr>
              <w:t>..</w:t>
            </w:r>
          </w:p>
        </w:tc>
        <w:tc>
          <w:tcPr>
            <w:tcW w:w="1196" w:type="dxa"/>
            <w:tcBorders>
              <w:top w:val="nil"/>
              <w:left w:val="nil"/>
              <w:bottom w:val="single" w:sz="4" w:space="0" w:color="auto"/>
              <w:right w:val="single" w:sz="4" w:space="0" w:color="auto"/>
            </w:tcBorders>
            <w:noWrap/>
            <w:vAlign w:val="center"/>
            <w:hideMark/>
          </w:tcPr>
          <w:p w14:paraId="36D435FE" w14:textId="77777777" w:rsidR="007B1BAC" w:rsidRPr="00801A36" w:rsidRDefault="007B1BAC" w:rsidP="00801A36">
            <w:pPr>
              <w:spacing w:after="0" w:line="240" w:lineRule="auto"/>
              <w:jc w:val="center"/>
              <w:rPr>
                <w:rFonts w:ascii="Times New Roman" w:eastAsia="Times New Roman" w:hAnsi="Times New Roman" w:cs="Times New Roman"/>
                <w:color w:val="000000"/>
                <w:kern w:val="0"/>
                <w:sz w:val="19"/>
                <w:szCs w:val="19"/>
                <w:lang w:eastAsia="en-IN"/>
                <w14:ligatures w14:val="none"/>
              </w:rPr>
            </w:pPr>
            <w:r w:rsidRPr="00801A36">
              <w:rPr>
                <w:rFonts w:ascii="Times New Roman" w:eastAsia="Times New Roman" w:hAnsi="Times New Roman" w:cs="Times New Roman"/>
                <w:color w:val="000000"/>
                <w:kern w:val="0"/>
                <w:sz w:val="19"/>
                <w:szCs w:val="19"/>
                <w:lang w:eastAsia="en-IN"/>
                <w14:ligatures w14:val="none"/>
              </w:rPr>
              <w:t>167.36</w:t>
            </w:r>
          </w:p>
        </w:tc>
        <w:tc>
          <w:tcPr>
            <w:tcW w:w="986" w:type="dxa"/>
            <w:tcBorders>
              <w:top w:val="nil"/>
              <w:left w:val="nil"/>
              <w:bottom w:val="single" w:sz="4" w:space="0" w:color="auto"/>
              <w:right w:val="single" w:sz="4" w:space="0" w:color="auto"/>
            </w:tcBorders>
            <w:noWrap/>
            <w:vAlign w:val="center"/>
            <w:hideMark/>
          </w:tcPr>
          <w:p w14:paraId="06283169" w14:textId="77777777" w:rsidR="007B1BAC" w:rsidRPr="00801A36" w:rsidRDefault="007B1BAC" w:rsidP="00801A36">
            <w:pPr>
              <w:spacing w:after="0" w:line="240" w:lineRule="auto"/>
              <w:jc w:val="center"/>
              <w:rPr>
                <w:rFonts w:ascii="Times New Roman" w:eastAsia="Times New Roman" w:hAnsi="Times New Roman" w:cs="Times New Roman"/>
                <w:color w:val="000000"/>
                <w:kern w:val="0"/>
                <w:sz w:val="19"/>
                <w:szCs w:val="19"/>
                <w:lang w:eastAsia="en-IN"/>
                <w14:ligatures w14:val="none"/>
              </w:rPr>
            </w:pPr>
            <w:r w:rsidRPr="00801A36">
              <w:rPr>
                <w:rFonts w:ascii="Times New Roman" w:eastAsia="Times New Roman" w:hAnsi="Times New Roman" w:cs="Times New Roman"/>
                <w:color w:val="000000"/>
                <w:kern w:val="0"/>
                <w:sz w:val="19"/>
                <w:szCs w:val="19"/>
                <w:lang w:eastAsia="en-IN"/>
                <w14:ligatures w14:val="none"/>
              </w:rPr>
              <w:t>1,710.36</w:t>
            </w:r>
          </w:p>
        </w:tc>
        <w:tc>
          <w:tcPr>
            <w:tcW w:w="1084" w:type="dxa"/>
            <w:tcBorders>
              <w:top w:val="nil"/>
              <w:left w:val="nil"/>
              <w:bottom w:val="single" w:sz="4" w:space="0" w:color="auto"/>
              <w:right w:val="single" w:sz="4" w:space="0" w:color="auto"/>
            </w:tcBorders>
            <w:noWrap/>
            <w:vAlign w:val="center"/>
            <w:hideMark/>
          </w:tcPr>
          <w:p w14:paraId="4EFC3E58" w14:textId="77777777" w:rsidR="007B1BAC" w:rsidRPr="00801A36" w:rsidRDefault="007B1BAC" w:rsidP="00801A36">
            <w:pPr>
              <w:spacing w:after="0" w:line="240" w:lineRule="auto"/>
              <w:jc w:val="center"/>
              <w:rPr>
                <w:rFonts w:ascii="Times New Roman" w:eastAsia="Times New Roman" w:hAnsi="Times New Roman" w:cs="Times New Roman"/>
                <w:color w:val="000000"/>
                <w:kern w:val="0"/>
                <w:sz w:val="19"/>
                <w:szCs w:val="19"/>
                <w:lang w:eastAsia="en-IN"/>
                <w14:ligatures w14:val="none"/>
              </w:rPr>
            </w:pPr>
            <w:r w:rsidRPr="00801A36">
              <w:rPr>
                <w:rFonts w:ascii="Times New Roman" w:eastAsia="Times New Roman" w:hAnsi="Times New Roman" w:cs="Times New Roman"/>
                <w:color w:val="000000"/>
                <w:kern w:val="0"/>
                <w:sz w:val="19"/>
                <w:szCs w:val="19"/>
                <w:lang w:eastAsia="en-IN"/>
                <w14:ligatures w14:val="none"/>
              </w:rPr>
              <w:t>1,543.21</w:t>
            </w:r>
          </w:p>
        </w:tc>
        <w:tc>
          <w:tcPr>
            <w:tcW w:w="1070" w:type="dxa"/>
            <w:tcBorders>
              <w:top w:val="nil"/>
              <w:left w:val="nil"/>
              <w:bottom w:val="single" w:sz="4" w:space="0" w:color="auto"/>
              <w:right w:val="single" w:sz="4" w:space="0" w:color="auto"/>
            </w:tcBorders>
            <w:noWrap/>
            <w:vAlign w:val="center"/>
            <w:hideMark/>
          </w:tcPr>
          <w:p w14:paraId="3DF08E76" w14:textId="77777777" w:rsidR="007B1BAC" w:rsidRPr="00801A36" w:rsidRDefault="007B1BAC" w:rsidP="00801A36">
            <w:pPr>
              <w:spacing w:after="0" w:line="240" w:lineRule="auto"/>
              <w:jc w:val="center"/>
              <w:rPr>
                <w:rFonts w:ascii="Times New Roman" w:eastAsia="Times New Roman" w:hAnsi="Times New Roman" w:cs="Times New Roman"/>
                <w:color w:val="000000"/>
                <w:kern w:val="0"/>
                <w:sz w:val="19"/>
                <w:szCs w:val="19"/>
                <w:lang w:eastAsia="en-IN"/>
                <w14:ligatures w14:val="none"/>
              </w:rPr>
            </w:pPr>
            <w:r w:rsidRPr="00801A36">
              <w:rPr>
                <w:rFonts w:ascii="Times New Roman" w:eastAsia="Times New Roman" w:hAnsi="Times New Roman" w:cs="Times New Roman"/>
                <w:color w:val="000000"/>
                <w:kern w:val="0"/>
                <w:sz w:val="19"/>
                <w:szCs w:val="19"/>
                <w:lang w:eastAsia="en-IN"/>
                <w14:ligatures w14:val="none"/>
              </w:rPr>
              <w:t>..</w:t>
            </w:r>
          </w:p>
        </w:tc>
        <w:tc>
          <w:tcPr>
            <w:tcW w:w="1196" w:type="dxa"/>
            <w:tcBorders>
              <w:top w:val="nil"/>
              <w:left w:val="nil"/>
              <w:bottom w:val="single" w:sz="4" w:space="0" w:color="auto"/>
              <w:right w:val="single" w:sz="4" w:space="0" w:color="auto"/>
            </w:tcBorders>
            <w:noWrap/>
            <w:vAlign w:val="center"/>
            <w:hideMark/>
          </w:tcPr>
          <w:p w14:paraId="50960C33" w14:textId="77777777" w:rsidR="007B1BAC" w:rsidRPr="00801A36" w:rsidRDefault="007B1BAC" w:rsidP="00801A36">
            <w:pPr>
              <w:spacing w:after="0" w:line="240" w:lineRule="auto"/>
              <w:jc w:val="center"/>
              <w:rPr>
                <w:rFonts w:ascii="Times New Roman" w:eastAsia="Times New Roman" w:hAnsi="Times New Roman" w:cs="Times New Roman"/>
                <w:color w:val="000000"/>
                <w:kern w:val="0"/>
                <w:sz w:val="19"/>
                <w:szCs w:val="19"/>
                <w:lang w:eastAsia="en-IN"/>
                <w14:ligatures w14:val="none"/>
              </w:rPr>
            </w:pPr>
            <w:r w:rsidRPr="00801A36">
              <w:rPr>
                <w:rFonts w:ascii="Times New Roman" w:eastAsia="Times New Roman" w:hAnsi="Times New Roman" w:cs="Times New Roman"/>
                <w:color w:val="000000"/>
                <w:kern w:val="0"/>
                <w:sz w:val="19"/>
                <w:szCs w:val="19"/>
                <w:lang w:eastAsia="en-IN"/>
                <w14:ligatures w14:val="none"/>
              </w:rPr>
              <w:t>167.35</w:t>
            </w:r>
          </w:p>
        </w:tc>
        <w:tc>
          <w:tcPr>
            <w:tcW w:w="986" w:type="dxa"/>
            <w:tcBorders>
              <w:top w:val="nil"/>
              <w:left w:val="nil"/>
              <w:bottom w:val="single" w:sz="4" w:space="0" w:color="auto"/>
              <w:right w:val="single" w:sz="4" w:space="0" w:color="auto"/>
            </w:tcBorders>
            <w:noWrap/>
            <w:vAlign w:val="center"/>
            <w:hideMark/>
          </w:tcPr>
          <w:p w14:paraId="275ED75F" w14:textId="77777777" w:rsidR="007B1BAC" w:rsidRPr="00801A36" w:rsidRDefault="007B1BAC" w:rsidP="00801A36">
            <w:pPr>
              <w:spacing w:after="0" w:line="240" w:lineRule="auto"/>
              <w:jc w:val="center"/>
              <w:rPr>
                <w:rFonts w:ascii="Times New Roman" w:eastAsia="Times New Roman" w:hAnsi="Times New Roman" w:cs="Times New Roman"/>
                <w:color w:val="000000"/>
                <w:kern w:val="0"/>
                <w:sz w:val="19"/>
                <w:szCs w:val="19"/>
                <w:lang w:eastAsia="en-IN"/>
                <w14:ligatures w14:val="none"/>
              </w:rPr>
            </w:pPr>
            <w:r w:rsidRPr="00801A36">
              <w:rPr>
                <w:rFonts w:ascii="Times New Roman" w:eastAsia="Times New Roman" w:hAnsi="Times New Roman" w:cs="Times New Roman"/>
                <w:color w:val="000000"/>
                <w:kern w:val="0"/>
                <w:sz w:val="19"/>
                <w:szCs w:val="19"/>
                <w:lang w:eastAsia="en-IN"/>
                <w14:ligatures w14:val="none"/>
              </w:rPr>
              <w:t>1,710.56</w:t>
            </w:r>
          </w:p>
        </w:tc>
        <w:tc>
          <w:tcPr>
            <w:tcW w:w="1084" w:type="dxa"/>
            <w:tcBorders>
              <w:top w:val="nil"/>
              <w:left w:val="nil"/>
              <w:bottom w:val="single" w:sz="4" w:space="0" w:color="auto"/>
              <w:right w:val="single" w:sz="4" w:space="0" w:color="auto"/>
            </w:tcBorders>
            <w:noWrap/>
            <w:vAlign w:val="center"/>
            <w:hideMark/>
          </w:tcPr>
          <w:p w14:paraId="7C791EFD" w14:textId="77777777" w:rsidR="007B1BAC" w:rsidRPr="00801A36" w:rsidRDefault="007B1BAC" w:rsidP="00801A36">
            <w:pPr>
              <w:spacing w:after="0" w:line="240" w:lineRule="auto"/>
              <w:jc w:val="center"/>
              <w:rPr>
                <w:rFonts w:ascii="Times New Roman" w:eastAsia="Times New Roman" w:hAnsi="Times New Roman" w:cs="Times New Roman"/>
                <w:color w:val="000000"/>
                <w:kern w:val="0"/>
                <w:sz w:val="19"/>
                <w:szCs w:val="19"/>
                <w:lang w:eastAsia="en-IN"/>
                <w14:ligatures w14:val="none"/>
              </w:rPr>
            </w:pPr>
            <w:r w:rsidRPr="00801A36">
              <w:rPr>
                <w:rFonts w:ascii="Times New Roman" w:eastAsia="Times New Roman" w:hAnsi="Times New Roman" w:cs="Times New Roman"/>
                <w:color w:val="000000"/>
                <w:kern w:val="0"/>
                <w:sz w:val="19"/>
                <w:szCs w:val="19"/>
                <w:lang w:eastAsia="en-IN"/>
                <w14:ligatures w14:val="none"/>
              </w:rPr>
              <w:t>1,543.75</w:t>
            </w:r>
          </w:p>
        </w:tc>
        <w:tc>
          <w:tcPr>
            <w:tcW w:w="1070" w:type="dxa"/>
            <w:tcBorders>
              <w:top w:val="nil"/>
              <w:left w:val="nil"/>
              <w:bottom w:val="single" w:sz="4" w:space="0" w:color="auto"/>
              <w:right w:val="single" w:sz="4" w:space="0" w:color="auto"/>
            </w:tcBorders>
            <w:noWrap/>
            <w:vAlign w:val="center"/>
            <w:hideMark/>
          </w:tcPr>
          <w:p w14:paraId="4DA6DB0D" w14:textId="77777777" w:rsidR="007B1BAC" w:rsidRPr="00801A36" w:rsidRDefault="007B1BAC" w:rsidP="00801A36">
            <w:pPr>
              <w:spacing w:after="0" w:line="240" w:lineRule="auto"/>
              <w:jc w:val="center"/>
              <w:rPr>
                <w:rFonts w:ascii="Times New Roman" w:eastAsia="Times New Roman" w:hAnsi="Times New Roman" w:cs="Times New Roman"/>
                <w:color w:val="000000"/>
                <w:kern w:val="0"/>
                <w:sz w:val="19"/>
                <w:szCs w:val="19"/>
                <w:lang w:eastAsia="en-IN"/>
                <w14:ligatures w14:val="none"/>
              </w:rPr>
            </w:pPr>
            <w:r w:rsidRPr="00801A36">
              <w:rPr>
                <w:rFonts w:ascii="Times New Roman" w:eastAsia="Times New Roman" w:hAnsi="Times New Roman" w:cs="Times New Roman"/>
                <w:color w:val="000000"/>
                <w:kern w:val="0"/>
                <w:sz w:val="19"/>
                <w:szCs w:val="19"/>
                <w:lang w:eastAsia="en-IN"/>
                <w14:ligatures w14:val="none"/>
              </w:rPr>
              <w:t>..</w:t>
            </w:r>
          </w:p>
        </w:tc>
        <w:tc>
          <w:tcPr>
            <w:tcW w:w="1196" w:type="dxa"/>
            <w:tcBorders>
              <w:top w:val="nil"/>
              <w:left w:val="nil"/>
              <w:bottom w:val="single" w:sz="4" w:space="0" w:color="auto"/>
              <w:right w:val="single" w:sz="4" w:space="0" w:color="auto"/>
            </w:tcBorders>
            <w:noWrap/>
            <w:vAlign w:val="center"/>
            <w:hideMark/>
          </w:tcPr>
          <w:p w14:paraId="152E6767" w14:textId="77777777" w:rsidR="007B1BAC" w:rsidRPr="00801A36" w:rsidRDefault="007B1BAC" w:rsidP="00801A36">
            <w:pPr>
              <w:spacing w:after="0" w:line="240" w:lineRule="auto"/>
              <w:jc w:val="center"/>
              <w:rPr>
                <w:rFonts w:ascii="Times New Roman" w:eastAsia="Times New Roman" w:hAnsi="Times New Roman" w:cs="Times New Roman"/>
                <w:color w:val="000000"/>
                <w:kern w:val="0"/>
                <w:sz w:val="19"/>
                <w:szCs w:val="19"/>
                <w:lang w:eastAsia="en-IN"/>
                <w14:ligatures w14:val="none"/>
              </w:rPr>
            </w:pPr>
            <w:r w:rsidRPr="00801A36">
              <w:rPr>
                <w:rFonts w:ascii="Times New Roman" w:eastAsia="Times New Roman" w:hAnsi="Times New Roman" w:cs="Times New Roman"/>
                <w:color w:val="000000"/>
                <w:kern w:val="0"/>
                <w:sz w:val="19"/>
                <w:szCs w:val="19"/>
                <w:lang w:eastAsia="en-IN"/>
                <w14:ligatures w14:val="none"/>
              </w:rPr>
              <w:t>143.03</w:t>
            </w:r>
          </w:p>
        </w:tc>
        <w:tc>
          <w:tcPr>
            <w:tcW w:w="986" w:type="dxa"/>
            <w:tcBorders>
              <w:top w:val="nil"/>
              <w:left w:val="nil"/>
              <w:bottom w:val="single" w:sz="4" w:space="0" w:color="auto"/>
              <w:right w:val="single" w:sz="4" w:space="0" w:color="auto"/>
            </w:tcBorders>
            <w:noWrap/>
            <w:vAlign w:val="center"/>
            <w:hideMark/>
          </w:tcPr>
          <w:p w14:paraId="3041A08D" w14:textId="77777777" w:rsidR="007B1BAC" w:rsidRPr="00801A36" w:rsidRDefault="007B1BAC" w:rsidP="00801A36">
            <w:pPr>
              <w:spacing w:after="0" w:line="240" w:lineRule="auto"/>
              <w:jc w:val="center"/>
              <w:rPr>
                <w:rFonts w:ascii="Times New Roman" w:eastAsia="Times New Roman" w:hAnsi="Times New Roman" w:cs="Times New Roman"/>
                <w:color w:val="000000"/>
                <w:kern w:val="0"/>
                <w:sz w:val="19"/>
                <w:szCs w:val="19"/>
                <w:lang w:eastAsia="en-IN"/>
                <w14:ligatures w14:val="none"/>
              </w:rPr>
            </w:pPr>
            <w:r w:rsidRPr="00801A36">
              <w:rPr>
                <w:rFonts w:ascii="Times New Roman" w:eastAsia="Times New Roman" w:hAnsi="Times New Roman" w:cs="Times New Roman"/>
                <w:color w:val="000000"/>
                <w:kern w:val="0"/>
                <w:sz w:val="19"/>
                <w:szCs w:val="19"/>
                <w:lang w:eastAsia="en-IN"/>
                <w14:ligatures w14:val="none"/>
              </w:rPr>
              <w:t>1,686.78</w:t>
            </w:r>
          </w:p>
        </w:tc>
      </w:tr>
      <w:tr w:rsidR="007B1BAC" w:rsidRPr="00801A36" w14:paraId="1BADCA25" w14:textId="77777777" w:rsidTr="00801A36">
        <w:trPr>
          <w:trHeight w:val="20"/>
          <w:jc w:val="center"/>
        </w:trPr>
        <w:tc>
          <w:tcPr>
            <w:tcW w:w="618" w:type="dxa"/>
            <w:tcBorders>
              <w:top w:val="nil"/>
              <w:left w:val="single" w:sz="4" w:space="0" w:color="auto"/>
              <w:bottom w:val="single" w:sz="4" w:space="0" w:color="auto"/>
              <w:right w:val="single" w:sz="4" w:space="0" w:color="auto"/>
            </w:tcBorders>
            <w:noWrap/>
            <w:vAlign w:val="bottom"/>
            <w:hideMark/>
          </w:tcPr>
          <w:p w14:paraId="38670573" w14:textId="77777777" w:rsidR="007B1BAC" w:rsidRPr="00801A36" w:rsidRDefault="007B1BAC" w:rsidP="007B1BAC">
            <w:pPr>
              <w:spacing w:after="0" w:line="240" w:lineRule="auto"/>
              <w:jc w:val="right"/>
              <w:rPr>
                <w:rFonts w:ascii="Times New Roman" w:eastAsia="Times New Roman" w:hAnsi="Times New Roman" w:cs="Times New Roman"/>
                <w:color w:val="000000"/>
                <w:kern w:val="0"/>
                <w:sz w:val="19"/>
                <w:szCs w:val="19"/>
                <w:lang w:eastAsia="en-IN"/>
                <w14:ligatures w14:val="none"/>
              </w:rPr>
            </w:pPr>
            <w:r w:rsidRPr="00801A36">
              <w:rPr>
                <w:rFonts w:ascii="Times New Roman" w:eastAsia="Times New Roman" w:hAnsi="Times New Roman" w:cs="Times New Roman"/>
                <w:color w:val="000000"/>
                <w:kern w:val="0"/>
                <w:sz w:val="19"/>
                <w:szCs w:val="19"/>
                <w:lang w:eastAsia="en-IN"/>
                <w14:ligatures w14:val="none"/>
              </w:rPr>
              <w:t>14</w:t>
            </w:r>
          </w:p>
        </w:tc>
        <w:tc>
          <w:tcPr>
            <w:tcW w:w="1680" w:type="dxa"/>
            <w:tcBorders>
              <w:top w:val="nil"/>
              <w:left w:val="nil"/>
              <w:bottom w:val="single" w:sz="4" w:space="0" w:color="auto"/>
              <w:right w:val="single" w:sz="4" w:space="0" w:color="auto"/>
            </w:tcBorders>
            <w:noWrap/>
            <w:vAlign w:val="bottom"/>
            <w:hideMark/>
          </w:tcPr>
          <w:p w14:paraId="6348EB8F" w14:textId="77777777" w:rsidR="007B1BAC" w:rsidRPr="00801A36" w:rsidRDefault="007B1BAC" w:rsidP="007B1BAC">
            <w:pPr>
              <w:spacing w:after="0" w:line="240" w:lineRule="auto"/>
              <w:rPr>
                <w:rFonts w:ascii="Times New Roman" w:eastAsia="Times New Roman" w:hAnsi="Times New Roman" w:cs="Times New Roman"/>
                <w:color w:val="000000"/>
                <w:kern w:val="0"/>
                <w:sz w:val="19"/>
                <w:szCs w:val="19"/>
                <w:lang w:eastAsia="en-IN"/>
                <w14:ligatures w14:val="none"/>
              </w:rPr>
            </w:pPr>
            <w:r w:rsidRPr="00801A36">
              <w:rPr>
                <w:rFonts w:ascii="Times New Roman" w:eastAsia="Times New Roman" w:hAnsi="Times New Roman" w:cs="Times New Roman"/>
                <w:color w:val="000000"/>
                <w:kern w:val="0"/>
                <w:sz w:val="19"/>
                <w:szCs w:val="19"/>
                <w:lang w:eastAsia="en-IN"/>
                <w14:ligatures w14:val="none"/>
              </w:rPr>
              <w:t>Punjab</w:t>
            </w:r>
          </w:p>
        </w:tc>
        <w:tc>
          <w:tcPr>
            <w:tcW w:w="1084" w:type="dxa"/>
            <w:tcBorders>
              <w:top w:val="nil"/>
              <w:left w:val="nil"/>
              <w:bottom w:val="single" w:sz="4" w:space="0" w:color="auto"/>
              <w:right w:val="single" w:sz="4" w:space="0" w:color="auto"/>
            </w:tcBorders>
            <w:noWrap/>
            <w:vAlign w:val="center"/>
            <w:hideMark/>
          </w:tcPr>
          <w:p w14:paraId="7F81C488" w14:textId="461F1FEC" w:rsidR="007B1BAC" w:rsidRPr="00801A36" w:rsidRDefault="007B1BAC" w:rsidP="00801A36">
            <w:pPr>
              <w:spacing w:after="0" w:line="240" w:lineRule="auto"/>
              <w:jc w:val="center"/>
              <w:rPr>
                <w:rFonts w:ascii="Times New Roman" w:eastAsia="Times New Roman" w:hAnsi="Times New Roman" w:cs="Times New Roman"/>
                <w:color w:val="000000"/>
                <w:kern w:val="0"/>
                <w:sz w:val="19"/>
                <w:szCs w:val="19"/>
                <w:lang w:eastAsia="en-IN"/>
                <w14:ligatures w14:val="none"/>
              </w:rPr>
            </w:pPr>
          </w:p>
        </w:tc>
        <w:tc>
          <w:tcPr>
            <w:tcW w:w="1070" w:type="dxa"/>
            <w:tcBorders>
              <w:top w:val="nil"/>
              <w:left w:val="nil"/>
              <w:bottom w:val="single" w:sz="4" w:space="0" w:color="auto"/>
              <w:right w:val="single" w:sz="4" w:space="0" w:color="auto"/>
            </w:tcBorders>
            <w:noWrap/>
            <w:vAlign w:val="center"/>
            <w:hideMark/>
          </w:tcPr>
          <w:p w14:paraId="305D91B7" w14:textId="3318775A" w:rsidR="007B1BAC" w:rsidRPr="00801A36" w:rsidRDefault="007B1BAC" w:rsidP="00801A36">
            <w:pPr>
              <w:spacing w:after="0" w:line="240" w:lineRule="auto"/>
              <w:jc w:val="center"/>
              <w:rPr>
                <w:rFonts w:ascii="Times New Roman" w:eastAsia="Times New Roman" w:hAnsi="Times New Roman" w:cs="Times New Roman"/>
                <w:color w:val="000000"/>
                <w:kern w:val="0"/>
                <w:sz w:val="19"/>
                <w:szCs w:val="19"/>
                <w:lang w:eastAsia="en-IN"/>
                <w14:ligatures w14:val="none"/>
              </w:rPr>
            </w:pPr>
          </w:p>
        </w:tc>
        <w:tc>
          <w:tcPr>
            <w:tcW w:w="1196" w:type="dxa"/>
            <w:tcBorders>
              <w:top w:val="nil"/>
              <w:left w:val="nil"/>
              <w:bottom w:val="single" w:sz="4" w:space="0" w:color="auto"/>
              <w:right w:val="single" w:sz="4" w:space="0" w:color="auto"/>
            </w:tcBorders>
            <w:noWrap/>
            <w:vAlign w:val="center"/>
            <w:hideMark/>
          </w:tcPr>
          <w:p w14:paraId="10ABDA26" w14:textId="4CA790A2" w:rsidR="007B1BAC" w:rsidRPr="00801A36" w:rsidRDefault="007B1BAC" w:rsidP="00801A36">
            <w:pPr>
              <w:spacing w:after="0" w:line="240" w:lineRule="auto"/>
              <w:jc w:val="center"/>
              <w:rPr>
                <w:rFonts w:ascii="Times New Roman" w:eastAsia="Times New Roman" w:hAnsi="Times New Roman" w:cs="Times New Roman"/>
                <w:color w:val="000000"/>
                <w:kern w:val="0"/>
                <w:sz w:val="19"/>
                <w:szCs w:val="19"/>
                <w:lang w:eastAsia="en-IN"/>
                <w14:ligatures w14:val="none"/>
              </w:rPr>
            </w:pPr>
          </w:p>
        </w:tc>
        <w:tc>
          <w:tcPr>
            <w:tcW w:w="986" w:type="dxa"/>
            <w:tcBorders>
              <w:top w:val="nil"/>
              <w:left w:val="nil"/>
              <w:bottom w:val="single" w:sz="4" w:space="0" w:color="auto"/>
              <w:right w:val="single" w:sz="4" w:space="0" w:color="auto"/>
            </w:tcBorders>
            <w:noWrap/>
            <w:vAlign w:val="center"/>
            <w:hideMark/>
          </w:tcPr>
          <w:p w14:paraId="2BDC8DEA" w14:textId="536487FE" w:rsidR="007B1BAC" w:rsidRPr="00801A36" w:rsidRDefault="007B1BAC" w:rsidP="00801A36">
            <w:pPr>
              <w:spacing w:after="0" w:line="240" w:lineRule="auto"/>
              <w:jc w:val="center"/>
              <w:rPr>
                <w:rFonts w:ascii="Times New Roman" w:eastAsia="Times New Roman" w:hAnsi="Times New Roman" w:cs="Times New Roman"/>
                <w:color w:val="000000"/>
                <w:kern w:val="0"/>
                <w:sz w:val="19"/>
                <w:szCs w:val="19"/>
                <w:lang w:eastAsia="en-IN"/>
                <w14:ligatures w14:val="none"/>
              </w:rPr>
            </w:pPr>
          </w:p>
        </w:tc>
        <w:tc>
          <w:tcPr>
            <w:tcW w:w="1084" w:type="dxa"/>
            <w:tcBorders>
              <w:top w:val="nil"/>
              <w:left w:val="nil"/>
              <w:bottom w:val="single" w:sz="4" w:space="0" w:color="auto"/>
              <w:right w:val="single" w:sz="4" w:space="0" w:color="auto"/>
            </w:tcBorders>
            <w:noWrap/>
            <w:vAlign w:val="center"/>
            <w:hideMark/>
          </w:tcPr>
          <w:p w14:paraId="473D26FE" w14:textId="52C1FFC0" w:rsidR="007B1BAC" w:rsidRPr="00801A36" w:rsidRDefault="007B1BAC" w:rsidP="00801A36">
            <w:pPr>
              <w:spacing w:after="0" w:line="240" w:lineRule="auto"/>
              <w:jc w:val="center"/>
              <w:rPr>
                <w:rFonts w:ascii="Times New Roman" w:eastAsia="Times New Roman" w:hAnsi="Times New Roman" w:cs="Times New Roman"/>
                <w:color w:val="000000"/>
                <w:kern w:val="0"/>
                <w:sz w:val="19"/>
                <w:szCs w:val="19"/>
                <w:lang w:eastAsia="en-IN"/>
                <w14:ligatures w14:val="none"/>
              </w:rPr>
            </w:pPr>
          </w:p>
        </w:tc>
        <w:tc>
          <w:tcPr>
            <w:tcW w:w="1070" w:type="dxa"/>
            <w:tcBorders>
              <w:top w:val="nil"/>
              <w:left w:val="nil"/>
              <w:bottom w:val="single" w:sz="4" w:space="0" w:color="auto"/>
              <w:right w:val="single" w:sz="4" w:space="0" w:color="auto"/>
            </w:tcBorders>
            <w:noWrap/>
            <w:vAlign w:val="center"/>
            <w:hideMark/>
          </w:tcPr>
          <w:p w14:paraId="100DC813" w14:textId="777D58D7" w:rsidR="007B1BAC" w:rsidRPr="00801A36" w:rsidRDefault="007B1BAC" w:rsidP="00801A36">
            <w:pPr>
              <w:spacing w:after="0" w:line="240" w:lineRule="auto"/>
              <w:jc w:val="center"/>
              <w:rPr>
                <w:rFonts w:ascii="Times New Roman" w:eastAsia="Times New Roman" w:hAnsi="Times New Roman" w:cs="Times New Roman"/>
                <w:color w:val="000000"/>
                <w:kern w:val="0"/>
                <w:sz w:val="19"/>
                <w:szCs w:val="19"/>
                <w:lang w:eastAsia="en-IN"/>
                <w14:ligatures w14:val="none"/>
              </w:rPr>
            </w:pPr>
          </w:p>
        </w:tc>
        <w:tc>
          <w:tcPr>
            <w:tcW w:w="1196" w:type="dxa"/>
            <w:tcBorders>
              <w:top w:val="nil"/>
              <w:left w:val="nil"/>
              <w:bottom w:val="single" w:sz="4" w:space="0" w:color="auto"/>
              <w:right w:val="single" w:sz="4" w:space="0" w:color="auto"/>
            </w:tcBorders>
            <w:noWrap/>
            <w:vAlign w:val="center"/>
            <w:hideMark/>
          </w:tcPr>
          <w:p w14:paraId="7BC146A8" w14:textId="1EC6261F" w:rsidR="007B1BAC" w:rsidRPr="00801A36" w:rsidRDefault="007B1BAC" w:rsidP="00801A36">
            <w:pPr>
              <w:spacing w:after="0" w:line="240" w:lineRule="auto"/>
              <w:jc w:val="center"/>
              <w:rPr>
                <w:rFonts w:ascii="Times New Roman" w:eastAsia="Times New Roman" w:hAnsi="Times New Roman" w:cs="Times New Roman"/>
                <w:color w:val="000000"/>
                <w:kern w:val="0"/>
                <w:sz w:val="19"/>
                <w:szCs w:val="19"/>
                <w:lang w:eastAsia="en-IN"/>
                <w14:ligatures w14:val="none"/>
              </w:rPr>
            </w:pPr>
          </w:p>
        </w:tc>
        <w:tc>
          <w:tcPr>
            <w:tcW w:w="986" w:type="dxa"/>
            <w:tcBorders>
              <w:top w:val="nil"/>
              <w:left w:val="nil"/>
              <w:bottom w:val="single" w:sz="4" w:space="0" w:color="auto"/>
              <w:right w:val="single" w:sz="4" w:space="0" w:color="auto"/>
            </w:tcBorders>
            <w:noWrap/>
            <w:vAlign w:val="center"/>
            <w:hideMark/>
          </w:tcPr>
          <w:p w14:paraId="40C09F5B" w14:textId="32B12A09" w:rsidR="007B1BAC" w:rsidRPr="00801A36" w:rsidRDefault="007B1BAC" w:rsidP="00801A36">
            <w:pPr>
              <w:spacing w:after="0" w:line="240" w:lineRule="auto"/>
              <w:jc w:val="center"/>
              <w:rPr>
                <w:rFonts w:ascii="Times New Roman" w:eastAsia="Times New Roman" w:hAnsi="Times New Roman" w:cs="Times New Roman"/>
                <w:color w:val="000000"/>
                <w:kern w:val="0"/>
                <w:sz w:val="19"/>
                <w:szCs w:val="19"/>
                <w:lang w:eastAsia="en-IN"/>
                <w14:ligatures w14:val="none"/>
              </w:rPr>
            </w:pPr>
          </w:p>
        </w:tc>
        <w:tc>
          <w:tcPr>
            <w:tcW w:w="1084" w:type="dxa"/>
            <w:tcBorders>
              <w:top w:val="nil"/>
              <w:left w:val="nil"/>
              <w:bottom w:val="single" w:sz="4" w:space="0" w:color="auto"/>
              <w:right w:val="single" w:sz="4" w:space="0" w:color="auto"/>
            </w:tcBorders>
            <w:noWrap/>
            <w:vAlign w:val="center"/>
            <w:hideMark/>
          </w:tcPr>
          <w:p w14:paraId="38AE3782" w14:textId="51A66CA4" w:rsidR="007B1BAC" w:rsidRPr="00801A36" w:rsidRDefault="007B1BAC" w:rsidP="00801A36">
            <w:pPr>
              <w:spacing w:after="0" w:line="240" w:lineRule="auto"/>
              <w:jc w:val="center"/>
              <w:rPr>
                <w:rFonts w:ascii="Times New Roman" w:eastAsia="Times New Roman" w:hAnsi="Times New Roman" w:cs="Times New Roman"/>
                <w:color w:val="000000"/>
                <w:kern w:val="0"/>
                <w:sz w:val="19"/>
                <w:szCs w:val="19"/>
                <w:lang w:eastAsia="en-IN"/>
                <w14:ligatures w14:val="none"/>
              </w:rPr>
            </w:pPr>
          </w:p>
        </w:tc>
        <w:tc>
          <w:tcPr>
            <w:tcW w:w="1070" w:type="dxa"/>
            <w:tcBorders>
              <w:top w:val="nil"/>
              <w:left w:val="nil"/>
              <w:bottom w:val="single" w:sz="4" w:space="0" w:color="auto"/>
              <w:right w:val="single" w:sz="4" w:space="0" w:color="auto"/>
            </w:tcBorders>
            <w:noWrap/>
            <w:vAlign w:val="center"/>
            <w:hideMark/>
          </w:tcPr>
          <w:p w14:paraId="0E943AB7" w14:textId="78A2B374" w:rsidR="007B1BAC" w:rsidRPr="00801A36" w:rsidRDefault="007B1BAC" w:rsidP="00801A36">
            <w:pPr>
              <w:spacing w:after="0" w:line="240" w:lineRule="auto"/>
              <w:jc w:val="center"/>
              <w:rPr>
                <w:rFonts w:ascii="Times New Roman" w:eastAsia="Times New Roman" w:hAnsi="Times New Roman" w:cs="Times New Roman"/>
                <w:color w:val="000000"/>
                <w:kern w:val="0"/>
                <w:sz w:val="19"/>
                <w:szCs w:val="19"/>
                <w:lang w:eastAsia="en-IN"/>
                <w14:ligatures w14:val="none"/>
              </w:rPr>
            </w:pPr>
          </w:p>
        </w:tc>
        <w:tc>
          <w:tcPr>
            <w:tcW w:w="1196" w:type="dxa"/>
            <w:tcBorders>
              <w:top w:val="nil"/>
              <w:left w:val="nil"/>
              <w:bottom w:val="single" w:sz="4" w:space="0" w:color="auto"/>
              <w:right w:val="single" w:sz="4" w:space="0" w:color="auto"/>
            </w:tcBorders>
            <w:noWrap/>
            <w:vAlign w:val="center"/>
            <w:hideMark/>
          </w:tcPr>
          <w:p w14:paraId="679D32B4" w14:textId="14CB6E37" w:rsidR="007B1BAC" w:rsidRPr="00801A36" w:rsidRDefault="007B1BAC" w:rsidP="00801A36">
            <w:pPr>
              <w:spacing w:after="0" w:line="240" w:lineRule="auto"/>
              <w:jc w:val="center"/>
              <w:rPr>
                <w:rFonts w:ascii="Times New Roman" w:eastAsia="Times New Roman" w:hAnsi="Times New Roman" w:cs="Times New Roman"/>
                <w:color w:val="000000"/>
                <w:kern w:val="0"/>
                <w:sz w:val="19"/>
                <w:szCs w:val="19"/>
                <w:lang w:eastAsia="en-IN"/>
                <w14:ligatures w14:val="none"/>
              </w:rPr>
            </w:pPr>
          </w:p>
        </w:tc>
        <w:tc>
          <w:tcPr>
            <w:tcW w:w="986" w:type="dxa"/>
            <w:tcBorders>
              <w:top w:val="nil"/>
              <w:left w:val="nil"/>
              <w:bottom w:val="single" w:sz="4" w:space="0" w:color="auto"/>
              <w:right w:val="single" w:sz="4" w:space="0" w:color="auto"/>
            </w:tcBorders>
            <w:noWrap/>
            <w:vAlign w:val="center"/>
            <w:hideMark/>
          </w:tcPr>
          <w:p w14:paraId="14AF1463" w14:textId="5B4FFE3C" w:rsidR="007B1BAC" w:rsidRPr="00801A36" w:rsidRDefault="007B1BAC" w:rsidP="00801A36">
            <w:pPr>
              <w:spacing w:after="0" w:line="240" w:lineRule="auto"/>
              <w:jc w:val="center"/>
              <w:rPr>
                <w:rFonts w:ascii="Times New Roman" w:eastAsia="Times New Roman" w:hAnsi="Times New Roman" w:cs="Times New Roman"/>
                <w:color w:val="000000"/>
                <w:kern w:val="0"/>
                <w:sz w:val="19"/>
                <w:szCs w:val="19"/>
                <w:lang w:eastAsia="en-IN"/>
                <w14:ligatures w14:val="none"/>
              </w:rPr>
            </w:pPr>
          </w:p>
        </w:tc>
      </w:tr>
      <w:tr w:rsidR="007B1BAC" w:rsidRPr="00801A36" w14:paraId="11273FE4" w14:textId="77777777" w:rsidTr="00801A36">
        <w:trPr>
          <w:trHeight w:val="20"/>
          <w:jc w:val="center"/>
        </w:trPr>
        <w:tc>
          <w:tcPr>
            <w:tcW w:w="618" w:type="dxa"/>
            <w:tcBorders>
              <w:top w:val="nil"/>
              <w:left w:val="single" w:sz="4" w:space="0" w:color="auto"/>
              <w:bottom w:val="single" w:sz="4" w:space="0" w:color="auto"/>
              <w:right w:val="single" w:sz="4" w:space="0" w:color="auto"/>
            </w:tcBorders>
            <w:noWrap/>
            <w:vAlign w:val="bottom"/>
            <w:hideMark/>
          </w:tcPr>
          <w:p w14:paraId="7530BF69" w14:textId="77777777" w:rsidR="007B1BAC" w:rsidRPr="00801A36" w:rsidRDefault="007B1BAC" w:rsidP="007B1BAC">
            <w:pPr>
              <w:spacing w:after="0" w:line="240" w:lineRule="auto"/>
              <w:rPr>
                <w:rFonts w:ascii="Times New Roman" w:eastAsia="Times New Roman" w:hAnsi="Times New Roman" w:cs="Times New Roman"/>
                <w:color w:val="000000"/>
                <w:kern w:val="0"/>
                <w:sz w:val="19"/>
                <w:szCs w:val="19"/>
                <w:lang w:eastAsia="en-IN"/>
                <w14:ligatures w14:val="none"/>
              </w:rPr>
            </w:pPr>
            <w:r w:rsidRPr="00801A36">
              <w:rPr>
                <w:rFonts w:ascii="Times New Roman" w:eastAsia="Times New Roman" w:hAnsi="Times New Roman" w:cs="Times New Roman"/>
                <w:color w:val="000000"/>
                <w:kern w:val="0"/>
                <w:sz w:val="19"/>
                <w:szCs w:val="19"/>
                <w:lang w:eastAsia="en-IN"/>
                <w14:ligatures w14:val="none"/>
              </w:rPr>
              <w:t> </w:t>
            </w:r>
          </w:p>
        </w:tc>
        <w:tc>
          <w:tcPr>
            <w:tcW w:w="1680" w:type="dxa"/>
            <w:tcBorders>
              <w:top w:val="nil"/>
              <w:left w:val="nil"/>
              <w:bottom w:val="single" w:sz="4" w:space="0" w:color="auto"/>
              <w:right w:val="single" w:sz="4" w:space="0" w:color="auto"/>
            </w:tcBorders>
            <w:noWrap/>
            <w:vAlign w:val="bottom"/>
            <w:hideMark/>
          </w:tcPr>
          <w:p w14:paraId="6A2C1468" w14:textId="77777777" w:rsidR="007B1BAC" w:rsidRPr="00801A36" w:rsidRDefault="007B1BAC" w:rsidP="007B1BAC">
            <w:pPr>
              <w:spacing w:after="0" w:line="240" w:lineRule="auto"/>
              <w:rPr>
                <w:rFonts w:ascii="Times New Roman" w:eastAsia="Times New Roman" w:hAnsi="Times New Roman" w:cs="Times New Roman"/>
                <w:color w:val="000000"/>
                <w:kern w:val="0"/>
                <w:sz w:val="19"/>
                <w:szCs w:val="19"/>
                <w:lang w:eastAsia="en-IN"/>
                <w14:ligatures w14:val="none"/>
              </w:rPr>
            </w:pPr>
            <w:r w:rsidRPr="00801A36">
              <w:rPr>
                <w:rFonts w:ascii="Times New Roman" w:eastAsia="Times New Roman" w:hAnsi="Times New Roman" w:cs="Times New Roman"/>
                <w:color w:val="000000"/>
                <w:kern w:val="0"/>
                <w:sz w:val="19"/>
                <w:szCs w:val="19"/>
                <w:lang w:eastAsia="en-IN"/>
                <w14:ligatures w14:val="none"/>
              </w:rPr>
              <w:t>Central</w:t>
            </w:r>
          </w:p>
        </w:tc>
        <w:tc>
          <w:tcPr>
            <w:tcW w:w="1084" w:type="dxa"/>
            <w:tcBorders>
              <w:top w:val="nil"/>
              <w:left w:val="nil"/>
              <w:bottom w:val="single" w:sz="4" w:space="0" w:color="auto"/>
              <w:right w:val="single" w:sz="4" w:space="0" w:color="auto"/>
            </w:tcBorders>
            <w:noWrap/>
            <w:vAlign w:val="center"/>
            <w:hideMark/>
          </w:tcPr>
          <w:p w14:paraId="3817BDF6" w14:textId="77777777" w:rsidR="007B1BAC" w:rsidRPr="00801A36" w:rsidRDefault="007B1BAC" w:rsidP="00801A36">
            <w:pPr>
              <w:spacing w:after="0" w:line="240" w:lineRule="auto"/>
              <w:jc w:val="center"/>
              <w:rPr>
                <w:rFonts w:ascii="Times New Roman" w:eastAsia="Times New Roman" w:hAnsi="Times New Roman" w:cs="Times New Roman"/>
                <w:color w:val="000000"/>
                <w:kern w:val="0"/>
                <w:sz w:val="19"/>
                <w:szCs w:val="19"/>
                <w:lang w:eastAsia="en-IN"/>
                <w14:ligatures w14:val="none"/>
              </w:rPr>
            </w:pPr>
            <w:r w:rsidRPr="00801A36">
              <w:rPr>
                <w:rFonts w:ascii="Times New Roman" w:eastAsia="Times New Roman" w:hAnsi="Times New Roman" w:cs="Times New Roman"/>
                <w:color w:val="000000"/>
                <w:kern w:val="0"/>
                <w:sz w:val="19"/>
                <w:szCs w:val="19"/>
                <w:lang w:eastAsia="en-IN"/>
                <w14:ligatures w14:val="none"/>
              </w:rPr>
              <w:t>72.21</w:t>
            </w:r>
          </w:p>
        </w:tc>
        <w:tc>
          <w:tcPr>
            <w:tcW w:w="1070" w:type="dxa"/>
            <w:tcBorders>
              <w:top w:val="nil"/>
              <w:left w:val="nil"/>
              <w:bottom w:val="single" w:sz="4" w:space="0" w:color="auto"/>
              <w:right w:val="single" w:sz="4" w:space="0" w:color="auto"/>
            </w:tcBorders>
            <w:noWrap/>
            <w:vAlign w:val="center"/>
            <w:hideMark/>
          </w:tcPr>
          <w:p w14:paraId="01DF5A97" w14:textId="77777777" w:rsidR="007B1BAC" w:rsidRPr="00801A36" w:rsidRDefault="007B1BAC" w:rsidP="00801A36">
            <w:pPr>
              <w:spacing w:after="0" w:line="240" w:lineRule="auto"/>
              <w:jc w:val="center"/>
              <w:rPr>
                <w:rFonts w:ascii="Times New Roman" w:eastAsia="Times New Roman" w:hAnsi="Times New Roman" w:cs="Times New Roman"/>
                <w:color w:val="000000"/>
                <w:kern w:val="0"/>
                <w:sz w:val="19"/>
                <w:szCs w:val="19"/>
                <w:lang w:eastAsia="en-IN"/>
                <w14:ligatures w14:val="none"/>
              </w:rPr>
            </w:pPr>
            <w:r w:rsidRPr="00801A36">
              <w:rPr>
                <w:rFonts w:ascii="Times New Roman" w:eastAsia="Times New Roman" w:hAnsi="Times New Roman" w:cs="Times New Roman"/>
                <w:color w:val="000000"/>
                <w:kern w:val="0"/>
                <w:sz w:val="19"/>
                <w:szCs w:val="19"/>
                <w:lang w:eastAsia="en-IN"/>
                <w14:ligatures w14:val="none"/>
              </w:rPr>
              <w:t>..</w:t>
            </w:r>
          </w:p>
        </w:tc>
        <w:tc>
          <w:tcPr>
            <w:tcW w:w="1196" w:type="dxa"/>
            <w:tcBorders>
              <w:top w:val="nil"/>
              <w:left w:val="nil"/>
              <w:bottom w:val="single" w:sz="4" w:space="0" w:color="auto"/>
              <w:right w:val="single" w:sz="4" w:space="0" w:color="auto"/>
            </w:tcBorders>
            <w:noWrap/>
            <w:vAlign w:val="center"/>
            <w:hideMark/>
          </w:tcPr>
          <w:p w14:paraId="70A30C9F" w14:textId="77777777" w:rsidR="007B1BAC" w:rsidRPr="00801A36" w:rsidRDefault="007B1BAC" w:rsidP="00801A36">
            <w:pPr>
              <w:spacing w:after="0" w:line="240" w:lineRule="auto"/>
              <w:jc w:val="center"/>
              <w:rPr>
                <w:rFonts w:ascii="Times New Roman" w:eastAsia="Times New Roman" w:hAnsi="Times New Roman" w:cs="Times New Roman"/>
                <w:color w:val="000000"/>
                <w:kern w:val="0"/>
                <w:sz w:val="19"/>
                <w:szCs w:val="19"/>
                <w:lang w:eastAsia="en-IN"/>
                <w14:ligatures w14:val="none"/>
              </w:rPr>
            </w:pPr>
            <w:r w:rsidRPr="00801A36">
              <w:rPr>
                <w:rFonts w:ascii="Times New Roman" w:eastAsia="Times New Roman" w:hAnsi="Times New Roman" w:cs="Times New Roman"/>
                <w:color w:val="000000"/>
                <w:kern w:val="0"/>
                <w:sz w:val="19"/>
                <w:szCs w:val="19"/>
                <w:lang w:eastAsia="en-IN"/>
                <w14:ligatures w14:val="none"/>
              </w:rPr>
              <w:t>..</w:t>
            </w:r>
          </w:p>
        </w:tc>
        <w:tc>
          <w:tcPr>
            <w:tcW w:w="986" w:type="dxa"/>
            <w:tcBorders>
              <w:top w:val="nil"/>
              <w:left w:val="nil"/>
              <w:bottom w:val="single" w:sz="4" w:space="0" w:color="auto"/>
              <w:right w:val="single" w:sz="4" w:space="0" w:color="auto"/>
            </w:tcBorders>
            <w:noWrap/>
            <w:vAlign w:val="center"/>
            <w:hideMark/>
          </w:tcPr>
          <w:p w14:paraId="3A2831B1" w14:textId="77777777" w:rsidR="007B1BAC" w:rsidRPr="00801A36" w:rsidRDefault="007B1BAC" w:rsidP="00801A36">
            <w:pPr>
              <w:spacing w:after="0" w:line="240" w:lineRule="auto"/>
              <w:jc w:val="center"/>
              <w:rPr>
                <w:rFonts w:ascii="Times New Roman" w:eastAsia="Times New Roman" w:hAnsi="Times New Roman" w:cs="Times New Roman"/>
                <w:color w:val="000000"/>
                <w:kern w:val="0"/>
                <w:sz w:val="19"/>
                <w:szCs w:val="19"/>
                <w:lang w:eastAsia="en-IN"/>
                <w14:ligatures w14:val="none"/>
              </w:rPr>
            </w:pPr>
            <w:r w:rsidRPr="00801A36">
              <w:rPr>
                <w:rFonts w:ascii="Times New Roman" w:eastAsia="Times New Roman" w:hAnsi="Times New Roman" w:cs="Times New Roman"/>
                <w:color w:val="000000"/>
                <w:kern w:val="0"/>
                <w:sz w:val="19"/>
                <w:szCs w:val="19"/>
                <w:lang w:eastAsia="en-IN"/>
                <w14:ligatures w14:val="none"/>
              </w:rPr>
              <w:t>72.21</w:t>
            </w:r>
          </w:p>
        </w:tc>
        <w:tc>
          <w:tcPr>
            <w:tcW w:w="1084" w:type="dxa"/>
            <w:tcBorders>
              <w:top w:val="nil"/>
              <w:left w:val="nil"/>
              <w:bottom w:val="single" w:sz="4" w:space="0" w:color="auto"/>
              <w:right w:val="single" w:sz="4" w:space="0" w:color="auto"/>
            </w:tcBorders>
            <w:noWrap/>
            <w:vAlign w:val="center"/>
            <w:hideMark/>
          </w:tcPr>
          <w:p w14:paraId="33071C82" w14:textId="77777777" w:rsidR="007B1BAC" w:rsidRPr="00801A36" w:rsidRDefault="007B1BAC" w:rsidP="00801A36">
            <w:pPr>
              <w:spacing w:after="0" w:line="240" w:lineRule="auto"/>
              <w:jc w:val="center"/>
              <w:rPr>
                <w:rFonts w:ascii="Times New Roman" w:eastAsia="Times New Roman" w:hAnsi="Times New Roman" w:cs="Times New Roman"/>
                <w:color w:val="000000"/>
                <w:kern w:val="0"/>
                <w:sz w:val="19"/>
                <w:szCs w:val="19"/>
                <w:lang w:eastAsia="en-IN"/>
                <w14:ligatures w14:val="none"/>
              </w:rPr>
            </w:pPr>
            <w:r w:rsidRPr="00801A36">
              <w:rPr>
                <w:rFonts w:ascii="Times New Roman" w:eastAsia="Times New Roman" w:hAnsi="Times New Roman" w:cs="Times New Roman"/>
                <w:color w:val="000000"/>
                <w:kern w:val="0"/>
                <w:sz w:val="19"/>
                <w:szCs w:val="19"/>
                <w:lang w:eastAsia="en-IN"/>
                <w14:ligatures w14:val="none"/>
              </w:rPr>
              <w:t>72.21</w:t>
            </w:r>
          </w:p>
        </w:tc>
        <w:tc>
          <w:tcPr>
            <w:tcW w:w="1070" w:type="dxa"/>
            <w:tcBorders>
              <w:top w:val="nil"/>
              <w:left w:val="nil"/>
              <w:bottom w:val="single" w:sz="4" w:space="0" w:color="auto"/>
              <w:right w:val="single" w:sz="4" w:space="0" w:color="auto"/>
            </w:tcBorders>
            <w:noWrap/>
            <w:vAlign w:val="center"/>
            <w:hideMark/>
          </w:tcPr>
          <w:p w14:paraId="32DD6C76" w14:textId="77777777" w:rsidR="007B1BAC" w:rsidRPr="00801A36" w:rsidRDefault="007B1BAC" w:rsidP="00801A36">
            <w:pPr>
              <w:spacing w:after="0" w:line="240" w:lineRule="auto"/>
              <w:jc w:val="center"/>
              <w:rPr>
                <w:rFonts w:ascii="Times New Roman" w:eastAsia="Times New Roman" w:hAnsi="Times New Roman" w:cs="Times New Roman"/>
                <w:color w:val="000000"/>
                <w:kern w:val="0"/>
                <w:sz w:val="19"/>
                <w:szCs w:val="19"/>
                <w:lang w:eastAsia="en-IN"/>
                <w14:ligatures w14:val="none"/>
              </w:rPr>
            </w:pPr>
            <w:r w:rsidRPr="00801A36">
              <w:rPr>
                <w:rFonts w:ascii="Times New Roman" w:eastAsia="Times New Roman" w:hAnsi="Times New Roman" w:cs="Times New Roman"/>
                <w:color w:val="000000"/>
                <w:kern w:val="0"/>
                <w:sz w:val="19"/>
                <w:szCs w:val="19"/>
                <w:lang w:eastAsia="en-IN"/>
                <w14:ligatures w14:val="none"/>
              </w:rPr>
              <w:t>..</w:t>
            </w:r>
          </w:p>
        </w:tc>
        <w:tc>
          <w:tcPr>
            <w:tcW w:w="1196" w:type="dxa"/>
            <w:tcBorders>
              <w:top w:val="nil"/>
              <w:left w:val="nil"/>
              <w:bottom w:val="single" w:sz="4" w:space="0" w:color="auto"/>
              <w:right w:val="single" w:sz="4" w:space="0" w:color="auto"/>
            </w:tcBorders>
            <w:noWrap/>
            <w:vAlign w:val="center"/>
            <w:hideMark/>
          </w:tcPr>
          <w:p w14:paraId="7396BE69" w14:textId="77777777" w:rsidR="007B1BAC" w:rsidRPr="00801A36" w:rsidRDefault="007B1BAC" w:rsidP="00801A36">
            <w:pPr>
              <w:spacing w:after="0" w:line="240" w:lineRule="auto"/>
              <w:jc w:val="center"/>
              <w:rPr>
                <w:rFonts w:ascii="Times New Roman" w:eastAsia="Times New Roman" w:hAnsi="Times New Roman" w:cs="Times New Roman"/>
                <w:color w:val="000000"/>
                <w:kern w:val="0"/>
                <w:sz w:val="19"/>
                <w:szCs w:val="19"/>
                <w:lang w:eastAsia="en-IN"/>
                <w14:ligatures w14:val="none"/>
              </w:rPr>
            </w:pPr>
            <w:r w:rsidRPr="00801A36">
              <w:rPr>
                <w:rFonts w:ascii="Times New Roman" w:eastAsia="Times New Roman" w:hAnsi="Times New Roman" w:cs="Times New Roman"/>
                <w:color w:val="000000"/>
                <w:kern w:val="0"/>
                <w:sz w:val="19"/>
                <w:szCs w:val="19"/>
                <w:lang w:eastAsia="en-IN"/>
                <w14:ligatures w14:val="none"/>
              </w:rPr>
              <w:t>..</w:t>
            </w:r>
          </w:p>
        </w:tc>
        <w:tc>
          <w:tcPr>
            <w:tcW w:w="986" w:type="dxa"/>
            <w:tcBorders>
              <w:top w:val="nil"/>
              <w:left w:val="nil"/>
              <w:bottom w:val="single" w:sz="4" w:space="0" w:color="auto"/>
              <w:right w:val="single" w:sz="4" w:space="0" w:color="auto"/>
            </w:tcBorders>
            <w:noWrap/>
            <w:vAlign w:val="center"/>
            <w:hideMark/>
          </w:tcPr>
          <w:p w14:paraId="7913B049" w14:textId="77777777" w:rsidR="007B1BAC" w:rsidRPr="00801A36" w:rsidRDefault="007B1BAC" w:rsidP="00801A36">
            <w:pPr>
              <w:spacing w:after="0" w:line="240" w:lineRule="auto"/>
              <w:jc w:val="center"/>
              <w:rPr>
                <w:rFonts w:ascii="Times New Roman" w:eastAsia="Times New Roman" w:hAnsi="Times New Roman" w:cs="Times New Roman"/>
                <w:color w:val="000000"/>
                <w:kern w:val="0"/>
                <w:sz w:val="19"/>
                <w:szCs w:val="19"/>
                <w:lang w:eastAsia="en-IN"/>
                <w14:ligatures w14:val="none"/>
              </w:rPr>
            </w:pPr>
            <w:r w:rsidRPr="00801A36">
              <w:rPr>
                <w:rFonts w:ascii="Times New Roman" w:eastAsia="Times New Roman" w:hAnsi="Times New Roman" w:cs="Times New Roman"/>
                <w:color w:val="000000"/>
                <w:kern w:val="0"/>
                <w:sz w:val="19"/>
                <w:szCs w:val="19"/>
                <w:lang w:eastAsia="en-IN"/>
                <w14:ligatures w14:val="none"/>
              </w:rPr>
              <w:t>72.21</w:t>
            </w:r>
          </w:p>
        </w:tc>
        <w:tc>
          <w:tcPr>
            <w:tcW w:w="1084" w:type="dxa"/>
            <w:tcBorders>
              <w:top w:val="nil"/>
              <w:left w:val="nil"/>
              <w:bottom w:val="single" w:sz="4" w:space="0" w:color="auto"/>
              <w:right w:val="single" w:sz="4" w:space="0" w:color="auto"/>
            </w:tcBorders>
            <w:noWrap/>
            <w:vAlign w:val="center"/>
            <w:hideMark/>
          </w:tcPr>
          <w:p w14:paraId="035EE153" w14:textId="77777777" w:rsidR="007B1BAC" w:rsidRPr="00801A36" w:rsidRDefault="007B1BAC" w:rsidP="00801A36">
            <w:pPr>
              <w:spacing w:after="0" w:line="240" w:lineRule="auto"/>
              <w:jc w:val="center"/>
              <w:rPr>
                <w:rFonts w:ascii="Times New Roman" w:eastAsia="Times New Roman" w:hAnsi="Times New Roman" w:cs="Times New Roman"/>
                <w:color w:val="000000"/>
                <w:kern w:val="0"/>
                <w:sz w:val="19"/>
                <w:szCs w:val="19"/>
                <w:lang w:eastAsia="en-IN"/>
                <w14:ligatures w14:val="none"/>
              </w:rPr>
            </w:pPr>
            <w:r w:rsidRPr="00801A36">
              <w:rPr>
                <w:rFonts w:ascii="Times New Roman" w:eastAsia="Times New Roman" w:hAnsi="Times New Roman" w:cs="Times New Roman"/>
                <w:color w:val="000000"/>
                <w:kern w:val="0"/>
                <w:sz w:val="19"/>
                <w:szCs w:val="19"/>
                <w:lang w:eastAsia="en-IN"/>
                <w14:ligatures w14:val="none"/>
              </w:rPr>
              <w:t>..</w:t>
            </w:r>
          </w:p>
        </w:tc>
        <w:tc>
          <w:tcPr>
            <w:tcW w:w="1070" w:type="dxa"/>
            <w:tcBorders>
              <w:top w:val="nil"/>
              <w:left w:val="nil"/>
              <w:bottom w:val="single" w:sz="4" w:space="0" w:color="auto"/>
              <w:right w:val="single" w:sz="4" w:space="0" w:color="auto"/>
            </w:tcBorders>
            <w:noWrap/>
            <w:vAlign w:val="center"/>
            <w:hideMark/>
          </w:tcPr>
          <w:p w14:paraId="69F6E9EB" w14:textId="77777777" w:rsidR="007B1BAC" w:rsidRPr="00801A36" w:rsidRDefault="007B1BAC" w:rsidP="00801A36">
            <w:pPr>
              <w:spacing w:after="0" w:line="240" w:lineRule="auto"/>
              <w:jc w:val="center"/>
              <w:rPr>
                <w:rFonts w:ascii="Times New Roman" w:eastAsia="Times New Roman" w:hAnsi="Times New Roman" w:cs="Times New Roman"/>
                <w:color w:val="000000"/>
                <w:kern w:val="0"/>
                <w:sz w:val="19"/>
                <w:szCs w:val="19"/>
                <w:lang w:eastAsia="en-IN"/>
                <w14:ligatures w14:val="none"/>
              </w:rPr>
            </w:pPr>
            <w:r w:rsidRPr="00801A36">
              <w:rPr>
                <w:rFonts w:ascii="Times New Roman" w:eastAsia="Times New Roman" w:hAnsi="Times New Roman" w:cs="Times New Roman"/>
                <w:color w:val="000000"/>
                <w:kern w:val="0"/>
                <w:sz w:val="19"/>
                <w:szCs w:val="19"/>
                <w:lang w:eastAsia="en-IN"/>
                <w14:ligatures w14:val="none"/>
              </w:rPr>
              <w:t>..</w:t>
            </w:r>
          </w:p>
        </w:tc>
        <w:tc>
          <w:tcPr>
            <w:tcW w:w="1196" w:type="dxa"/>
            <w:tcBorders>
              <w:top w:val="nil"/>
              <w:left w:val="nil"/>
              <w:bottom w:val="single" w:sz="4" w:space="0" w:color="auto"/>
              <w:right w:val="single" w:sz="4" w:space="0" w:color="auto"/>
            </w:tcBorders>
            <w:noWrap/>
            <w:vAlign w:val="center"/>
            <w:hideMark/>
          </w:tcPr>
          <w:p w14:paraId="4078C220" w14:textId="77777777" w:rsidR="007B1BAC" w:rsidRPr="00801A36" w:rsidRDefault="007B1BAC" w:rsidP="00801A36">
            <w:pPr>
              <w:spacing w:after="0" w:line="240" w:lineRule="auto"/>
              <w:jc w:val="center"/>
              <w:rPr>
                <w:rFonts w:ascii="Times New Roman" w:eastAsia="Times New Roman" w:hAnsi="Times New Roman" w:cs="Times New Roman"/>
                <w:color w:val="000000"/>
                <w:kern w:val="0"/>
                <w:sz w:val="19"/>
                <w:szCs w:val="19"/>
                <w:lang w:eastAsia="en-IN"/>
                <w14:ligatures w14:val="none"/>
              </w:rPr>
            </w:pPr>
            <w:r w:rsidRPr="00801A36">
              <w:rPr>
                <w:rFonts w:ascii="Times New Roman" w:eastAsia="Times New Roman" w:hAnsi="Times New Roman" w:cs="Times New Roman"/>
                <w:color w:val="000000"/>
                <w:kern w:val="0"/>
                <w:sz w:val="19"/>
                <w:szCs w:val="19"/>
                <w:lang w:eastAsia="en-IN"/>
                <w14:ligatures w14:val="none"/>
              </w:rPr>
              <w:t>..</w:t>
            </w:r>
          </w:p>
        </w:tc>
        <w:tc>
          <w:tcPr>
            <w:tcW w:w="986" w:type="dxa"/>
            <w:tcBorders>
              <w:top w:val="nil"/>
              <w:left w:val="nil"/>
              <w:bottom w:val="single" w:sz="4" w:space="0" w:color="auto"/>
              <w:right w:val="single" w:sz="4" w:space="0" w:color="auto"/>
            </w:tcBorders>
            <w:noWrap/>
            <w:vAlign w:val="center"/>
            <w:hideMark/>
          </w:tcPr>
          <w:p w14:paraId="73BC12B9" w14:textId="77777777" w:rsidR="007B1BAC" w:rsidRPr="00801A36" w:rsidRDefault="007B1BAC" w:rsidP="00801A36">
            <w:pPr>
              <w:spacing w:after="0" w:line="240" w:lineRule="auto"/>
              <w:jc w:val="center"/>
              <w:rPr>
                <w:rFonts w:ascii="Times New Roman" w:eastAsia="Times New Roman" w:hAnsi="Times New Roman" w:cs="Times New Roman"/>
                <w:color w:val="000000"/>
                <w:kern w:val="0"/>
                <w:sz w:val="19"/>
                <w:szCs w:val="19"/>
                <w:lang w:eastAsia="en-IN"/>
                <w14:ligatures w14:val="none"/>
              </w:rPr>
            </w:pPr>
            <w:r w:rsidRPr="00801A36">
              <w:rPr>
                <w:rFonts w:ascii="Times New Roman" w:eastAsia="Times New Roman" w:hAnsi="Times New Roman" w:cs="Times New Roman"/>
                <w:color w:val="000000"/>
                <w:kern w:val="0"/>
                <w:sz w:val="19"/>
                <w:szCs w:val="19"/>
                <w:lang w:eastAsia="en-IN"/>
                <w14:ligatures w14:val="none"/>
              </w:rPr>
              <w:t>..</w:t>
            </w:r>
          </w:p>
        </w:tc>
      </w:tr>
      <w:tr w:rsidR="007B1BAC" w:rsidRPr="00801A36" w14:paraId="0D9ED78C" w14:textId="77777777" w:rsidTr="00801A36">
        <w:trPr>
          <w:trHeight w:val="20"/>
          <w:jc w:val="center"/>
        </w:trPr>
        <w:tc>
          <w:tcPr>
            <w:tcW w:w="618" w:type="dxa"/>
            <w:tcBorders>
              <w:top w:val="nil"/>
              <w:left w:val="single" w:sz="4" w:space="0" w:color="auto"/>
              <w:bottom w:val="single" w:sz="4" w:space="0" w:color="auto"/>
              <w:right w:val="single" w:sz="4" w:space="0" w:color="auto"/>
            </w:tcBorders>
            <w:noWrap/>
            <w:vAlign w:val="bottom"/>
            <w:hideMark/>
          </w:tcPr>
          <w:p w14:paraId="29CACAE5" w14:textId="77777777" w:rsidR="007B1BAC" w:rsidRPr="00801A36" w:rsidRDefault="007B1BAC" w:rsidP="007B1BAC">
            <w:pPr>
              <w:spacing w:after="0" w:line="240" w:lineRule="auto"/>
              <w:rPr>
                <w:rFonts w:ascii="Times New Roman" w:eastAsia="Times New Roman" w:hAnsi="Times New Roman" w:cs="Times New Roman"/>
                <w:color w:val="000000"/>
                <w:kern w:val="0"/>
                <w:sz w:val="19"/>
                <w:szCs w:val="19"/>
                <w:lang w:eastAsia="en-IN"/>
                <w14:ligatures w14:val="none"/>
              </w:rPr>
            </w:pPr>
            <w:r w:rsidRPr="00801A36">
              <w:rPr>
                <w:rFonts w:ascii="Times New Roman" w:eastAsia="Times New Roman" w:hAnsi="Times New Roman" w:cs="Times New Roman"/>
                <w:color w:val="000000"/>
                <w:kern w:val="0"/>
                <w:sz w:val="19"/>
                <w:szCs w:val="19"/>
                <w:lang w:eastAsia="en-IN"/>
                <w14:ligatures w14:val="none"/>
              </w:rPr>
              <w:t> </w:t>
            </w:r>
          </w:p>
        </w:tc>
        <w:tc>
          <w:tcPr>
            <w:tcW w:w="1680" w:type="dxa"/>
            <w:tcBorders>
              <w:top w:val="nil"/>
              <w:left w:val="nil"/>
              <w:bottom w:val="single" w:sz="4" w:space="0" w:color="auto"/>
              <w:right w:val="single" w:sz="4" w:space="0" w:color="auto"/>
            </w:tcBorders>
            <w:noWrap/>
            <w:vAlign w:val="bottom"/>
            <w:hideMark/>
          </w:tcPr>
          <w:p w14:paraId="63D68E74" w14:textId="77777777" w:rsidR="007B1BAC" w:rsidRPr="00801A36" w:rsidRDefault="007B1BAC" w:rsidP="007B1BAC">
            <w:pPr>
              <w:spacing w:after="0" w:line="240" w:lineRule="auto"/>
              <w:rPr>
                <w:rFonts w:ascii="Times New Roman" w:eastAsia="Times New Roman" w:hAnsi="Times New Roman" w:cs="Times New Roman"/>
                <w:color w:val="000000"/>
                <w:kern w:val="0"/>
                <w:sz w:val="19"/>
                <w:szCs w:val="19"/>
                <w:lang w:eastAsia="en-IN"/>
                <w14:ligatures w14:val="none"/>
              </w:rPr>
            </w:pPr>
            <w:r w:rsidRPr="00801A36">
              <w:rPr>
                <w:rFonts w:ascii="Times New Roman" w:eastAsia="Times New Roman" w:hAnsi="Times New Roman" w:cs="Times New Roman"/>
                <w:color w:val="000000"/>
                <w:kern w:val="0"/>
                <w:sz w:val="19"/>
                <w:szCs w:val="19"/>
                <w:lang w:eastAsia="en-IN"/>
                <w14:ligatures w14:val="none"/>
              </w:rPr>
              <w:t>Northern</w:t>
            </w:r>
          </w:p>
        </w:tc>
        <w:tc>
          <w:tcPr>
            <w:tcW w:w="1084" w:type="dxa"/>
            <w:tcBorders>
              <w:top w:val="nil"/>
              <w:left w:val="nil"/>
              <w:bottom w:val="single" w:sz="4" w:space="0" w:color="auto"/>
              <w:right w:val="single" w:sz="4" w:space="0" w:color="auto"/>
            </w:tcBorders>
            <w:noWrap/>
            <w:vAlign w:val="center"/>
            <w:hideMark/>
          </w:tcPr>
          <w:p w14:paraId="3923DB1F" w14:textId="77777777" w:rsidR="007B1BAC" w:rsidRPr="00801A36" w:rsidRDefault="007B1BAC" w:rsidP="00801A36">
            <w:pPr>
              <w:spacing w:after="0" w:line="240" w:lineRule="auto"/>
              <w:jc w:val="center"/>
              <w:rPr>
                <w:rFonts w:ascii="Times New Roman" w:eastAsia="Times New Roman" w:hAnsi="Times New Roman" w:cs="Times New Roman"/>
                <w:color w:val="000000"/>
                <w:kern w:val="0"/>
                <w:sz w:val="19"/>
                <w:szCs w:val="19"/>
                <w:lang w:eastAsia="en-IN"/>
                <w14:ligatures w14:val="none"/>
              </w:rPr>
            </w:pPr>
            <w:r w:rsidRPr="00801A36">
              <w:rPr>
                <w:rFonts w:ascii="Times New Roman" w:eastAsia="Times New Roman" w:hAnsi="Times New Roman" w:cs="Times New Roman"/>
                <w:color w:val="000000"/>
                <w:kern w:val="0"/>
                <w:sz w:val="19"/>
                <w:szCs w:val="19"/>
                <w:lang w:eastAsia="en-IN"/>
                <w14:ligatures w14:val="none"/>
              </w:rPr>
              <w:t>2,623.24</w:t>
            </w:r>
          </w:p>
        </w:tc>
        <w:tc>
          <w:tcPr>
            <w:tcW w:w="1070" w:type="dxa"/>
            <w:tcBorders>
              <w:top w:val="nil"/>
              <w:left w:val="nil"/>
              <w:bottom w:val="single" w:sz="4" w:space="0" w:color="auto"/>
              <w:right w:val="single" w:sz="4" w:space="0" w:color="auto"/>
            </w:tcBorders>
            <w:noWrap/>
            <w:vAlign w:val="center"/>
            <w:hideMark/>
          </w:tcPr>
          <w:p w14:paraId="2F9A0C14" w14:textId="77777777" w:rsidR="007B1BAC" w:rsidRPr="00801A36" w:rsidRDefault="007B1BAC" w:rsidP="00801A36">
            <w:pPr>
              <w:spacing w:after="0" w:line="240" w:lineRule="auto"/>
              <w:jc w:val="center"/>
              <w:rPr>
                <w:rFonts w:ascii="Times New Roman" w:eastAsia="Times New Roman" w:hAnsi="Times New Roman" w:cs="Times New Roman"/>
                <w:color w:val="000000"/>
                <w:kern w:val="0"/>
                <w:sz w:val="19"/>
                <w:szCs w:val="19"/>
                <w:lang w:eastAsia="en-IN"/>
                <w14:ligatures w14:val="none"/>
              </w:rPr>
            </w:pPr>
            <w:r w:rsidRPr="00801A36">
              <w:rPr>
                <w:rFonts w:ascii="Times New Roman" w:eastAsia="Times New Roman" w:hAnsi="Times New Roman" w:cs="Times New Roman"/>
                <w:color w:val="000000"/>
                <w:kern w:val="0"/>
                <w:sz w:val="19"/>
                <w:szCs w:val="19"/>
                <w:lang w:eastAsia="en-IN"/>
                <w14:ligatures w14:val="none"/>
              </w:rPr>
              <w:t>723.45</w:t>
            </w:r>
          </w:p>
        </w:tc>
        <w:tc>
          <w:tcPr>
            <w:tcW w:w="1196" w:type="dxa"/>
            <w:tcBorders>
              <w:top w:val="nil"/>
              <w:left w:val="nil"/>
              <w:bottom w:val="single" w:sz="4" w:space="0" w:color="auto"/>
              <w:right w:val="single" w:sz="4" w:space="0" w:color="auto"/>
            </w:tcBorders>
            <w:noWrap/>
            <w:vAlign w:val="center"/>
            <w:hideMark/>
          </w:tcPr>
          <w:p w14:paraId="43CE309C" w14:textId="77777777" w:rsidR="007B1BAC" w:rsidRPr="00801A36" w:rsidRDefault="007B1BAC" w:rsidP="00801A36">
            <w:pPr>
              <w:spacing w:after="0" w:line="240" w:lineRule="auto"/>
              <w:jc w:val="center"/>
              <w:rPr>
                <w:rFonts w:ascii="Times New Roman" w:eastAsia="Times New Roman" w:hAnsi="Times New Roman" w:cs="Times New Roman"/>
                <w:color w:val="000000"/>
                <w:kern w:val="0"/>
                <w:sz w:val="19"/>
                <w:szCs w:val="19"/>
                <w:lang w:eastAsia="en-IN"/>
                <w14:ligatures w14:val="none"/>
              </w:rPr>
            </w:pPr>
            <w:r w:rsidRPr="00801A36">
              <w:rPr>
                <w:rFonts w:ascii="Times New Roman" w:eastAsia="Times New Roman" w:hAnsi="Times New Roman" w:cs="Times New Roman"/>
                <w:color w:val="000000"/>
                <w:kern w:val="0"/>
                <w:sz w:val="19"/>
                <w:szCs w:val="19"/>
                <w:lang w:eastAsia="en-IN"/>
                <w14:ligatures w14:val="none"/>
              </w:rPr>
              <w:t>224.99</w:t>
            </w:r>
          </w:p>
        </w:tc>
        <w:tc>
          <w:tcPr>
            <w:tcW w:w="986" w:type="dxa"/>
            <w:tcBorders>
              <w:top w:val="nil"/>
              <w:left w:val="nil"/>
              <w:bottom w:val="single" w:sz="4" w:space="0" w:color="auto"/>
              <w:right w:val="single" w:sz="4" w:space="0" w:color="auto"/>
            </w:tcBorders>
            <w:noWrap/>
            <w:vAlign w:val="center"/>
            <w:hideMark/>
          </w:tcPr>
          <w:p w14:paraId="582BA63D" w14:textId="77777777" w:rsidR="007B1BAC" w:rsidRPr="00801A36" w:rsidRDefault="007B1BAC" w:rsidP="00801A36">
            <w:pPr>
              <w:spacing w:after="0" w:line="240" w:lineRule="auto"/>
              <w:jc w:val="center"/>
              <w:rPr>
                <w:rFonts w:ascii="Times New Roman" w:eastAsia="Times New Roman" w:hAnsi="Times New Roman" w:cs="Times New Roman"/>
                <w:color w:val="000000"/>
                <w:kern w:val="0"/>
                <w:sz w:val="19"/>
                <w:szCs w:val="19"/>
                <w:lang w:eastAsia="en-IN"/>
                <w14:ligatures w14:val="none"/>
              </w:rPr>
            </w:pPr>
            <w:r w:rsidRPr="00801A36">
              <w:rPr>
                <w:rFonts w:ascii="Times New Roman" w:eastAsia="Times New Roman" w:hAnsi="Times New Roman" w:cs="Times New Roman"/>
                <w:color w:val="000000"/>
                <w:kern w:val="0"/>
                <w:sz w:val="19"/>
                <w:szCs w:val="19"/>
                <w:lang w:eastAsia="en-IN"/>
                <w14:ligatures w14:val="none"/>
              </w:rPr>
              <w:t>3,571.68</w:t>
            </w:r>
          </w:p>
        </w:tc>
        <w:tc>
          <w:tcPr>
            <w:tcW w:w="1084" w:type="dxa"/>
            <w:tcBorders>
              <w:top w:val="nil"/>
              <w:left w:val="nil"/>
              <w:bottom w:val="single" w:sz="4" w:space="0" w:color="auto"/>
              <w:right w:val="single" w:sz="4" w:space="0" w:color="auto"/>
            </w:tcBorders>
            <w:noWrap/>
            <w:vAlign w:val="center"/>
            <w:hideMark/>
          </w:tcPr>
          <w:p w14:paraId="1D955CA3" w14:textId="77777777" w:rsidR="007B1BAC" w:rsidRPr="00801A36" w:rsidRDefault="007B1BAC" w:rsidP="00801A36">
            <w:pPr>
              <w:spacing w:after="0" w:line="240" w:lineRule="auto"/>
              <w:jc w:val="center"/>
              <w:rPr>
                <w:rFonts w:ascii="Times New Roman" w:eastAsia="Times New Roman" w:hAnsi="Times New Roman" w:cs="Times New Roman"/>
                <w:color w:val="000000"/>
                <w:kern w:val="0"/>
                <w:sz w:val="19"/>
                <w:szCs w:val="19"/>
                <w:lang w:eastAsia="en-IN"/>
                <w14:ligatures w14:val="none"/>
              </w:rPr>
            </w:pPr>
            <w:r w:rsidRPr="00801A36">
              <w:rPr>
                <w:rFonts w:ascii="Times New Roman" w:eastAsia="Times New Roman" w:hAnsi="Times New Roman" w:cs="Times New Roman"/>
                <w:color w:val="000000"/>
                <w:kern w:val="0"/>
                <w:sz w:val="19"/>
                <w:szCs w:val="19"/>
                <w:lang w:eastAsia="en-IN"/>
                <w14:ligatures w14:val="none"/>
              </w:rPr>
              <w:t>2,653.97</w:t>
            </w:r>
          </w:p>
        </w:tc>
        <w:tc>
          <w:tcPr>
            <w:tcW w:w="1070" w:type="dxa"/>
            <w:tcBorders>
              <w:top w:val="nil"/>
              <w:left w:val="nil"/>
              <w:bottom w:val="single" w:sz="4" w:space="0" w:color="auto"/>
              <w:right w:val="single" w:sz="4" w:space="0" w:color="auto"/>
            </w:tcBorders>
            <w:noWrap/>
            <w:vAlign w:val="center"/>
            <w:hideMark/>
          </w:tcPr>
          <w:p w14:paraId="060F90F7" w14:textId="77777777" w:rsidR="007B1BAC" w:rsidRPr="00801A36" w:rsidRDefault="007B1BAC" w:rsidP="00801A36">
            <w:pPr>
              <w:spacing w:after="0" w:line="240" w:lineRule="auto"/>
              <w:jc w:val="center"/>
              <w:rPr>
                <w:rFonts w:ascii="Times New Roman" w:eastAsia="Times New Roman" w:hAnsi="Times New Roman" w:cs="Times New Roman"/>
                <w:color w:val="000000"/>
                <w:kern w:val="0"/>
                <w:sz w:val="19"/>
                <w:szCs w:val="19"/>
                <w:lang w:eastAsia="en-IN"/>
                <w14:ligatures w14:val="none"/>
              </w:rPr>
            </w:pPr>
            <w:r w:rsidRPr="00801A36">
              <w:rPr>
                <w:rFonts w:ascii="Times New Roman" w:eastAsia="Times New Roman" w:hAnsi="Times New Roman" w:cs="Times New Roman"/>
                <w:color w:val="000000"/>
                <w:kern w:val="0"/>
                <w:sz w:val="19"/>
                <w:szCs w:val="19"/>
                <w:lang w:eastAsia="en-IN"/>
                <w14:ligatures w14:val="none"/>
              </w:rPr>
              <w:t>723.45</w:t>
            </w:r>
          </w:p>
        </w:tc>
        <w:tc>
          <w:tcPr>
            <w:tcW w:w="1196" w:type="dxa"/>
            <w:tcBorders>
              <w:top w:val="nil"/>
              <w:left w:val="nil"/>
              <w:bottom w:val="single" w:sz="4" w:space="0" w:color="auto"/>
              <w:right w:val="single" w:sz="4" w:space="0" w:color="auto"/>
            </w:tcBorders>
            <w:noWrap/>
            <w:vAlign w:val="center"/>
            <w:hideMark/>
          </w:tcPr>
          <w:p w14:paraId="1E390C9A" w14:textId="77777777" w:rsidR="007B1BAC" w:rsidRPr="00801A36" w:rsidRDefault="007B1BAC" w:rsidP="00801A36">
            <w:pPr>
              <w:spacing w:after="0" w:line="240" w:lineRule="auto"/>
              <w:jc w:val="center"/>
              <w:rPr>
                <w:rFonts w:ascii="Times New Roman" w:eastAsia="Times New Roman" w:hAnsi="Times New Roman" w:cs="Times New Roman"/>
                <w:color w:val="000000"/>
                <w:kern w:val="0"/>
                <w:sz w:val="19"/>
                <w:szCs w:val="19"/>
                <w:lang w:eastAsia="en-IN"/>
                <w14:ligatures w14:val="none"/>
              </w:rPr>
            </w:pPr>
            <w:r w:rsidRPr="00801A36">
              <w:rPr>
                <w:rFonts w:ascii="Times New Roman" w:eastAsia="Times New Roman" w:hAnsi="Times New Roman" w:cs="Times New Roman"/>
                <w:color w:val="000000"/>
                <w:kern w:val="0"/>
                <w:sz w:val="19"/>
                <w:szCs w:val="19"/>
                <w:lang w:eastAsia="en-IN"/>
                <w14:ligatures w14:val="none"/>
              </w:rPr>
              <w:t>224.99</w:t>
            </w:r>
          </w:p>
        </w:tc>
        <w:tc>
          <w:tcPr>
            <w:tcW w:w="986" w:type="dxa"/>
            <w:tcBorders>
              <w:top w:val="nil"/>
              <w:left w:val="nil"/>
              <w:bottom w:val="single" w:sz="4" w:space="0" w:color="auto"/>
              <w:right w:val="single" w:sz="4" w:space="0" w:color="auto"/>
            </w:tcBorders>
            <w:noWrap/>
            <w:vAlign w:val="center"/>
            <w:hideMark/>
          </w:tcPr>
          <w:p w14:paraId="0DA5449E" w14:textId="77777777" w:rsidR="007B1BAC" w:rsidRPr="00801A36" w:rsidRDefault="007B1BAC" w:rsidP="00801A36">
            <w:pPr>
              <w:spacing w:after="0" w:line="240" w:lineRule="auto"/>
              <w:jc w:val="center"/>
              <w:rPr>
                <w:rFonts w:ascii="Times New Roman" w:eastAsia="Times New Roman" w:hAnsi="Times New Roman" w:cs="Times New Roman"/>
                <w:color w:val="000000"/>
                <w:kern w:val="0"/>
                <w:sz w:val="19"/>
                <w:szCs w:val="19"/>
                <w:lang w:eastAsia="en-IN"/>
                <w14:ligatures w14:val="none"/>
              </w:rPr>
            </w:pPr>
            <w:r w:rsidRPr="00801A36">
              <w:rPr>
                <w:rFonts w:ascii="Times New Roman" w:eastAsia="Times New Roman" w:hAnsi="Times New Roman" w:cs="Times New Roman"/>
                <w:color w:val="000000"/>
                <w:kern w:val="0"/>
                <w:sz w:val="19"/>
                <w:szCs w:val="19"/>
                <w:lang w:eastAsia="en-IN"/>
                <w14:ligatures w14:val="none"/>
              </w:rPr>
              <w:t>3,602.41</w:t>
            </w:r>
          </w:p>
        </w:tc>
        <w:tc>
          <w:tcPr>
            <w:tcW w:w="1084" w:type="dxa"/>
            <w:tcBorders>
              <w:top w:val="nil"/>
              <w:left w:val="nil"/>
              <w:bottom w:val="single" w:sz="4" w:space="0" w:color="auto"/>
              <w:right w:val="single" w:sz="4" w:space="0" w:color="auto"/>
            </w:tcBorders>
            <w:noWrap/>
            <w:vAlign w:val="center"/>
            <w:hideMark/>
          </w:tcPr>
          <w:p w14:paraId="18461E9E" w14:textId="77777777" w:rsidR="007B1BAC" w:rsidRPr="00801A36" w:rsidRDefault="007B1BAC" w:rsidP="00801A36">
            <w:pPr>
              <w:spacing w:after="0" w:line="240" w:lineRule="auto"/>
              <w:jc w:val="center"/>
              <w:rPr>
                <w:rFonts w:ascii="Times New Roman" w:eastAsia="Times New Roman" w:hAnsi="Times New Roman" w:cs="Times New Roman"/>
                <w:color w:val="000000"/>
                <w:kern w:val="0"/>
                <w:sz w:val="19"/>
                <w:szCs w:val="19"/>
                <w:lang w:eastAsia="en-IN"/>
                <w14:ligatures w14:val="none"/>
              </w:rPr>
            </w:pPr>
            <w:r w:rsidRPr="00801A36">
              <w:rPr>
                <w:rFonts w:ascii="Times New Roman" w:eastAsia="Times New Roman" w:hAnsi="Times New Roman" w:cs="Times New Roman"/>
                <w:color w:val="000000"/>
                <w:kern w:val="0"/>
                <w:sz w:val="19"/>
                <w:szCs w:val="19"/>
                <w:lang w:eastAsia="en-IN"/>
                <w14:ligatures w14:val="none"/>
              </w:rPr>
              <w:t>1,909.28</w:t>
            </w:r>
          </w:p>
        </w:tc>
        <w:tc>
          <w:tcPr>
            <w:tcW w:w="1070" w:type="dxa"/>
            <w:tcBorders>
              <w:top w:val="nil"/>
              <w:left w:val="nil"/>
              <w:bottom w:val="single" w:sz="4" w:space="0" w:color="auto"/>
              <w:right w:val="single" w:sz="4" w:space="0" w:color="auto"/>
            </w:tcBorders>
            <w:noWrap/>
            <w:vAlign w:val="center"/>
            <w:hideMark/>
          </w:tcPr>
          <w:p w14:paraId="5511563C" w14:textId="77777777" w:rsidR="007B1BAC" w:rsidRPr="00801A36" w:rsidRDefault="007B1BAC" w:rsidP="00801A36">
            <w:pPr>
              <w:spacing w:after="0" w:line="240" w:lineRule="auto"/>
              <w:jc w:val="center"/>
              <w:rPr>
                <w:rFonts w:ascii="Times New Roman" w:eastAsia="Times New Roman" w:hAnsi="Times New Roman" w:cs="Times New Roman"/>
                <w:color w:val="000000"/>
                <w:kern w:val="0"/>
                <w:sz w:val="19"/>
                <w:szCs w:val="19"/>
                <w:lang w:eastAsia="en-IN"/>
                <w14:ligatures w14:val="none"/>
              </w:rPr>
            </w:pPr>
            <w:r w:rsidRPr="00801A36">
              <w:rPr>
                <w:rFonts w:ascii="Times New Roman" w:eastAsia="Times New Roman" w:hAnsi="Times New Roman" w:cs="Times New Roman"/>
                <w:color w:val="000000"/>
                <w:kern w:val="0"/>
                <w:sz w:val="19"/>
                <w:szCs w:val="19"/>
                <w:lang w:eastAsia="en-IN"/>
                <w14:ligatures w14:val="none"/>
              </w:rPr>
              <w:t>194.79</w:t>
            </w:r>
          </w:p>
        </w:tc>
        <w:tc>
          <w:tcPr>
            <w:tcW w:w="1196" w:type="dxa"/>
            <w:tcBorders>
              <w:top w:val="nil"/>
              <w:left w:val="nil"/>
              <w:bottom w:val="single" w:sz="4" w:space="0" w:color="auto"/>
              <w:right w:val="single" w:sz="4" w:space="0" w:color="auto"/>
            </w:tcBorders>
            <w:noWrap/>
            <w:vAlign w:val="center"/>
            <w:hideMark/>
          </w:tcPr>
          <w:p w14:paraId="1526168A" w14:textId="77777777" w:rsidR="007B1BAC" w:rsidRPr="00801A36" w:rsidRDefault="007B1BAC" w:rsidP="00801A36">
            <w:pPr>
              <w:spacing w:after="0" w:line="240" w:lineRule="auto"/>
              <w:jc w:val="center"/>
              <w:rPr>
                <w:rFonts w:ascii="Times New Roman" w:eastAsia="Times New Roman" w:hAnsi="Times New Roman" w:cs="Times New Roman"/>
                <w:color w:val="000000"/>
                <w:kern w:val="0"/>
                <w:sz w:val="19"/>
                <w:szCs w:val="19"/>
                <w:lang w:eastAsia="en-IN"/>
                <w14:ligatures w14:val="none"/>
              </w:rPr>
            </w:pPr>
            <w:r w:rsidRPr="00801A36">
              <w:rPr>
                <w:rFonts w:ascii="Times New Roman" w:eastAsia="Times New Roman" w:hAnsi="Times New Roman" w:cs="Times New Roman"/>
                <w:color w:val="000000"/>
                <w:kern w:val="0"/>
                <w:sz w:val="19"/>
                <w:szCs w:val="19"/>
                <w:lang w:eastAsia="en-IN"/>
                <w14:ligatures w14:val="none"/>
              </w:rPr>
              <w:t>11.9</w:t>
            </w:r>
          </w:p>
        </w:tc>
        <w:tc>
          <w:tcPr>
            <w:tcW w:w="986" w:type="dxa"/>
            <w:tcBorders>
              <w:top w:val="nil"/>
              <w:left w:val="nil"/>
              <w:bottom w:val="single" w:sz="4" w:space="0" w:color="auto"/>
              <w:right w:val="single" w:sz="4" w:space="0" w:color="auto"/>
            </w:tcBorders>
            <w:noWrap/>
            <w:vAlign w:val="center"/>
            <w:hideMark/>
          </w:tcPr>
          <w:p w14:paraId="713B5E55" w14:textId="77777777" w:rsidR="007B1BAC" w:rsidRPr="00801A36" w:rsidRDefault="007B1BAC" w:rsidP="00801A36">
            <w:pPr>
              <w:spacing w:after="0" w:line="240" w:lineRule="auto"/>
              <w:jc w:val="center"/>
              <w:rPr>
                <w:rFonts w:ascii="Times New Roman" w:eastAsia="Times New Roman" w:hAnsi="Times New Roman" w:cs="Times New Roman"/>
                <w:color w:val="000000"/>
                <w:kern w:val="0"/>
                <w:sz w:val="19"/>
                <w:szCs w:val="19"/>
                <w:lang w:eastAsia="en-IN"/>
                <w14:ligatures w14:val="none"/>
              </w:rPr>
            </w:pPr>
            <w:r w:rsidRPr="00801A36">
              <w:rPr>
                <w:rFonts w:ascii="Times New Roman" w:eastAsia="Times New Roman" w:hAnsi="Times New Roman" w:cs="Times New Roman"/>
                <w:color w:val="000000"/>
                <w:kern w:val="0"/>
                <w:sz w:val="19"/>
                <w:szCs w:val="19"/>
                <w:lang w:eastAsia="en-IN"/>
                <w14:ligatures w14:val="none"/>
              </w:rPr>
              <w:t>2,115.97</w:t>
            </w:r>
          </w:p>
        </w:tc>
      </w:tr>
      <w:tr w:rsidR="007B1BAC" w:rsidRPr="00801A36" w14:paraId="00BE62F1" w14:textId="77777777" w:rsidTr="00801A36">
        <w:trPr>
          <w:trHeight w:val="20"/>
          <w:jc w:val="center"/>
        </w:trPr>
        <w:tc>
          <w:tcPr>
            <w:tcW w:w="618" w:type="dxa"/>
            <w:tcBorders>
              <w:top w:val="nil"/>
              <w:left w:val="single" w:sz="4" w:space="0" w:color="auto"/>
              <w:bottom w:val="single" w:sz="4" w:space="0" w:color="auto"/>
              <w:right w:val="single" w:sz="4" w:space="0" w:color="auto"/>
            </w:tcBorders>
            <w:noWrap/>
            <w:vAlign w:val="bottom"/>
            <w:hideMark/>
          </w:tcPr>
          <w:p w14:paraId="21BFC24B" w14:textId="77777777" w:rsidR="007B1BAC" w:rsidRPr="00801A36" w:rsidRDefault="007B1BAC" w:rsidP="007B1BAC">
            <w:pPr>
              <w:spacing w:after="0" w:line="240" w:lineRule="auto"/>
              <w:rPr>
                <w:rFonts w:ascii="Times New Roman" w:eastAsia="Times New Roman" w:hAnsi="Times New Roman" w:cs="Times New Roman"/>
                <w:color w:val="000000"/>
                <w:kern w:val="0"/>
                <w:sz w:val="19"/>
                <w:szCs w:val="19"/>
                <w:lang w:eastAsia="en-IN"/>
                <w14:ligatures w14:val="none"/>
              </w:rPr>
            </w:pPr>
            <w:r w:rsidRPr="00801A36">
              <w:rPr>
                <w:rFonts w:ascii="Times New Roman" w:eastAsia="Times New Roman" w:hAnsi="Times New Roman" w:cs="Times New Roman"/>
                <w:color w:val="000000"/>
                <w:kern w:val="0"/>
                <w:sz w:val="19"/>
                <w:szCs w:val="19"/>
                <w:lang w:eastAsia="en-IN"/>
                <w14:ligatures w14:val="none"/>
              </w:rPr>
              <w:t> </w:t>
            </w:r>
          </w:p>
        </w:tc>
        <w:tc>
          <w:tcPr>
            <w:tcW w:w="1680" w:type="dxa"/>
            <w:tcBorders>
              <w:top w:val="nil"/>
              <w:left w:val="nil"/>
              <w:bottom w:val="single" w:sz="4" w:space="0" w:color="auto"/>
              <w:right w:val="single" w:sz="4" w:space="0" w:color="auto"/>
            </w:tcBorders>
            <w:noWrap/>
            <w:vAlign w:val="bottom"/>
            <w:hideMark/>
          </w:tcPr>
          <w:p w14:paraId="548D8612" w14:textId="77777777" w:rsidR="007B1BAC" w:rsidRPr="00801A36" w:rsidRDefault="007B1BAC" w:rsidP="007B1BAC">
            <w:pPr>
              <w:spacing w:after="0" w:line="240" w:lineRule="auto"/>
              <w:rPr>
                <w:rFonts w:ascii="Times New Roman" w:eastAsia="Times New Roman" w:hAnsi="Times New Roman" w:cs="Times New Roman"/>
                <w:color w:val="000000"/>
                <w:kern w:val="0"/>
                <w:sz w:val="19"/>
                <w:szCs w:val="19"/>
                <w:lang w:eastAsia="en-IN"/>
                <w14:ligatures w14:val="none"/>
              </w:rPr>
            </w:pPr>
            <w:r w:rsidRPr="00801A36">
              <w:rPr>
                <w:rFonts w:ascii="Times New Roman" w:eastAsia="Times New Roman" w:hAnsi="Times New Roman" w:cs="Times New Roman"/>
                <w:color w:val="000000"/>
                <w:kern w:val="0"/>
                <w:sz w:val="19"/>
                <w:szCs w:val="19"/>
                <w:lang w:eastAsia="en-IN"/>
                <w14:ligatures w14:val="none"/>
              </w:rPr>
              <w:t>Western</w:t>
            </w:r>
          </w:p>
        </w:tc>
        <w:tc>
          <w:tcPr>
            <w:tcW w:w="1084" w:type="dxa"/>
            <w:tcBorders>
              <w:top w:val="nil"/>
              <w:left w:val="nil"/>
              <w:bottom w:val="single" w:sz="4" w:space="0" w:color="auto"/>
              <w:right w:val="single" w:sz="4" w:space="0" w:color="auto"/>
            </w:tcBorders>
            <w:noWrap/>
            <w:vAlign w:val="center"/>
            <w:hideMark/>
          </w:tcPr>
          <w:p w14:paraId="545D3DAD" w14:textId="77777777" w:rsidR="007B1BAC" w:rsidRPr="00801A36" w:rsidRDefault="007B1BAC" w:rsidP="00801A36">
            <w:pPr>
              <w:spacing w:after="0" w:line="240" w:lineRule="auto"/>
              <w:jc w:val="center"/>
              <w:rPr>
                <w:rFonts w:ascii="Times New Roman" w:eastAsia="Times New Roman" w:hAnsi="Times New Roman" w:cs="Times New Roman"/>
                <w:color w:val="000000"/>
                <w:kern w:val="0"/>
                <w:sz w:val="19"/>
                <w:szCs w:val="19"/>
                <w:lang w:eastAsia="en-IN"/>
                <w14:ligatures w14:val="none"/>
              </w:rPr>
            </w:pPr>
            <w:r w:rsidRPr="00801A36">
              <w:rPr>
                <w:rFonts w:ascii="Times New Roman" w:eastAsia="Times New Roman" w:hAnsi="Times New Roman" w:cs="Times New Roman"/>
                <w:color w:val="000000"/>
                <w:kern w:val="0"/>
                <w:sz w:val="19"/>
                <w:szCs w:val="19"/>
                <w:lang w:eastAsia="en-IN"/>
                <w14:ligatures w14:val="none"/>
              </w:rPr>
              <w:t>..</w:t>
            </w:r>
          </w:p>
        </w:tc>
        <w:tc>
          <w:tcPr>
            <w:tcW w:w="1070" w:type="dxa"/>
            <w:tcBorders>
              <w:top w:val="nil"/>
              <w:left w:val="nil"/>
              <w:bottom w:val="single" w:sz="4" w:space="0" w:color="auto"/>
              <w:right w:val="single" w:sz="4" w:space="0" w:color="auto"/>
            </w:tcBorders>
            <w:noWrap/>
            <w:vAlign w:val="center"/>
            <w:hideMark/>
          </w:tcPr>
          <w:p w14:paraId="1813E739" w14:textId="77777777" w:rsidR="007B1BAC" w:rsidRPr="00801A36" w:rsidRDefault="007B1BAC" w:rsidP="00801A36">
            <w:pPr>
              <w:spacing w:after="0" w:line="240" w:lineRule="auto"/>
              <w:jc w:val="center"/>
              <w:rPr>
                <w:rFonts w:ascii="Times New Roman" w:eastAsia="Times New Roman" w:hAnsi="Times New Roman" w:cs="Times New Roman"/>
                <w:color w:val="000000"/>
                <w:kern w:val="0"/>
                <w:sz w:val="19"/>
                <w:szCs w:val="19"/>
                <w:lang w:eastAsia="en-IN"/>
                <w14:ligatures w14:val="none"/>
              </w:rPr>
            </w:pPr>
            <w:r w:rsidRPr="00801A36">
              <w:rPr>
                <w:rFonts w:ascii="Times New Roman" w:eastAsia="Times New Roman" w:hAnsi="Times New Roman" w:cs="Times New Roman"/>
                <w:color w:val="000000"/>
                <w:kern w:val="0"/>
                <w:sz w:val="19"/>
                <w:szCs w:val="19"/>
                <w:lang w:eastAsia="en-IN"/>
                <w14:ligatures w14:val="none"/>
              </w:rPr>
              <w:t>98.97</w:t>
            </w:r>
          </w:p>
        </w:tc>
        <w:tc>
          <w:tcPr>
            <w:tcW w:w="1196" w:type="dxa"/>
            <w:tcBorders>
              <w:top w:val="nil"/>
              <w:left w:val="nil"/>
              <w:bottom w:val="single" w:sz="4" w:space="0" w:color="auto"/>
              <w:right w:val="single" w:sz="4" w:space="0" w:color="auto"/>
            </w:tcBorders>
            <w:noWrap/>
            <w:vAlign w:val="center"/>
            <w:hideMark/>
          </w:tcPr>
          <w:p w14:paraId="4E9A3339" w14:textId="77777777" w:rsidR="007B1BAC" w:rsidRPr="00801A36" w:rsidRDefault="007B1BAC" w:rsidP="00801A36">
            <w:pPr>
              <w:spacing w:after="0" w:line="240" w:lineRule="auto"/>
              <w:jc w:val="center"/>
              <w:rPr>
                <w:rFonts w:ascii="Times New Roman" w:eastAsia="Times New Roman" w:hAnsi="Times New Roman" w:cs="Times New Roman"/>
                <w:color w:val="000000"/>
                <w:kern w:val="0"/>
                <w:sz w:val="19"/>
                <w:szCs w:val="19"/>
                <w:lang w:eastAsia="en-IN"/>
                <w14:ligatures w14:val="none"/>
              </w:rPr>
            </w:pPr>
            <w:r w:rsidRPr="00801A36">
              <w:rPr>
                <w:rFonts w:ascii="Times New Roman" w:eastAsia="Times New Roman" w:hAnsi="Times New Roman" w:cs="Times New Roman"/>
                <w:color w:val="000000"/>
                <w:kern w:val="0"/>
                <w:sz w:val="19"/>
                <w:szCs w:val="19"/>
                <w:lang w:eastAsia="en-IN"/>
                <w14:ligatures w14:val="none"/>
              </w:rPr>
              <w:t>..</w:t>
            </w:r>
          </w:p>
        </w:tc>
        <w:tc>
          <w:tcPr>
            <w:tcW w:w="986" w:type="dxa"/>
            <w:tcBorders>
              <w:top w:val="nil"/>
              <w:left w:val="nil"/>
              <w:bottom w:val="single" w:sz="4" w:space="0" w:color="auto"/>
              <w:right w:val="single" w:sz="4" w:space="0" w:color="auto"/>
            </w:tcBorders>
            <w:noWrap/>
            <w:vAlign w:val="center"/>
            <w:hideMark/>
          </w:tcPr>
          <w:p w14:paraId="0CABF06B" w14:textId="77777777" w:rsidR="007B1BAC" w:rsidRPr="00801A36" w:rsidRDefault="007B1BAC" w:rsidP="00801A36">
            <w:pPr>
              <w:spacing w:after="0" w:line="240" w:lineRule="auto"/>
              <w:jc w:val="center"/>
              <w:rPr>
                <w:rFonts w:ascii="Times New Roman" w:eastAsia="Times New Roman" w:hAnsi="Times New Roman" w:cs="Times New Roman"/>
                <w:color w:val="000000"/>
                <w:kern w:val="0"/>
                <w:sz w:val="19"/>
                <w:szCs w:val="19"/>
                <w:lang w:eastAsia="en-IN"/>
                <w14:ligatures w14:val="none"/>
              </w:rPr>
            </w:pPr>
            <w:r w:rsidRPr="00801A36">
              <w:rPr>
                <w:rFonts w:ascii="Times New Roman" w:eastAsia="Times New Roman" w:hAnsi="Times New Roman" w:cs="Times New Roman"/>
                <w:color w:val="000000"/>
                <w:kern w:val="0"/>
                <w:sz w:val="19"/>
                <w:szCs w:val="19"/>
                <w:lang w:eastAsia="en-IN"/>
                <w14:ligatures w14:val="none"/>
              </w:rPr>
              <w:t>98.97</w:t>
            </w:r>
          </w:p>
        </w:tc>
        <w:tc>
          <w:tcPr>
            <w:tcW w:w="1084" w:type="dxa"/>
            <w:tcBorders>
              <w:top w:val="nil"/>
              <w:left w:val="nil"/>
              <w:bottom w:val="single" w:sz="4" w:space="0" w:color="auto"/>
              <w:right w:val="single" w:sz="4" w:space="0" w:color="auto"/>
            </w:tcBorders>
            <w:noWrap/>
            <w:vAlign w:val="center"/>
            <w:hideMark/>
          </w:tcPr>
          <w:p w14:paraId="3B330320" w14:textId="77777777" w:rsidR="007B1BAC" w:rsidRPr="00801A36" w:rsidRDefault="007B1BAC" w:rsidP="00801A36">
            <w:pPr>
              <w:spacing w:after="0" w:line="240" w:lineRule="auto"/>
              <w:jc w:val="center"/>
              <w:rPr>
                <w:rFonts w:ascii="Times New Roman" w:eastAsia="Times New Roman" w:hAnsi="Times New Roman" w:cs="Times New Roman"/>
                <w:color w:val="000000"/>
                <w:kern w:val="0"/>
                <w:sz w:val="19"/>
                <w:szCs w:val="19"/>
                <w:lang w:eastAsia="en-IN"/>
                <w14:ligatures w14:val="none"/>
              </w:rPr>
            </w:pPr>
            <w:r w:rsidRPr="00801A36">
              <w:rPr>
                <w:rFonts w:ascii="Times New Roman" w:eastAsia="Times New Roman" w:hAnsi="Times New Roman" w:cs="Times New Roman"/>
                <w:color w:val="000000"/>
                <w:kern w:val="0"/>
                <w:sz w:val="19"/>
                <w:szCs w:val="19"/>
                <w:lang w:eastAsia="en-IN"/>
                <w14:ligatures w14:val="none"/>
              </w:rPr>
              <w:t>..</w:t>
            </w:r>
          </w:p>
        </w:tc>
        <w:tc>
          <w:tcPr>
            <w:tcW w:w="1070" w:type="dxa"/>
            <w:tcBorders>
              <w:top w:val="nil"/>
              <w:left w:val="nil"/>
              <w:bottom w:val="single" w:sz="4" w:space="0" w:color="auto"/>
              <w:right w:val="single" w:sz="4" w:space="0" w:color="auto"/>
            </w:tcBorders>
            <w:noWrap/>
            <w:vAlign w:val="center"/>
            <w:hideMark/>
          </w:tcPr>
          <w:p w14:paraId="2F0BBCB1" w14:textId="77777777" w:rsidR="007B1BAC" w:rsidRPr="00801A36" w:rsidRDefault="007B1BAC" w:rsidP="00801A36">
            <w:pPr>
              <w:spacing w:after="0" w:line="240" w:lineRule="auto"/>
              <w:jc w:val="center"/>
              <w:rPr>
                <w:rFonts w:ascii="Times New Roman" w:eastAsia="Times New Roman" w:hAnsi="Times New Roman" w:cs="Times New Roman"/>
                <w:color w:val="000000"/>
                <w:kern w:val="0"/>
                <w:sz w:val="19"/>
                <w:szCs w:val="19"/>
                <w:lang w:eastAsia="en-IN"/>
                <w14:ligatures w14:val="none"/>
              </w:rPr>
            </w:pPr>
            <w:r w:rsidRPr="00801A36">
              <w:rPr>
                <w:rFonts w:ascii="Times New Roman" w:eastAsia="Times New Roman" w:hAnsi="Times New Roman" w:cs="Times New Roman"/>
                <w:color w:val="000000"/>
                <w:kern w:val="0"/>
                <w:sz w:val="19"/>
                <w:szCs w:val="19"/>
                <w:lang w:eastAsia="en-IN"/>
                <w14:ligatures w14:val="none"/>
              </w:rPr>
              <w:t>98.97</w:t>
            </w:r>
          </w:p>
        </w:tc>
        <w:tc>
          <w:tcPr>
            <w:tcW w:w="1196" w:type="dxa"/>
            <w:tcBorders>
              <w:top w:val="nil"/>
              <w:left w:val="nil"/>
              <w:bottom w:val="single" w:sz="4" w:space="0" w:color="auto"/>
              <w:right w:val="single" w:sz="4" w:space="0" w:color="auto"/>
            </w:tcBorders>
            <w:noWrap/>
            <w:vAlign w:val="center"/>
            <w:hideMark/>
          </w:tcPr>
          <w:p w14:paraId="70529283" w14:textId="77777777" w:rsidR="007B1BAC" w:rsidRPr="00801A36" w:rsidRDefault="007B1BAC" w:rsidP="00801A36">
            <w:pPr>
              <w:spacing w:after="0" w:line="240" w:lineRule="auto"/>
              <w:jc w:val="center"/>
              <w:rPr>
                <w:rFonts w:ascii="Times New Roman" w:eastAsia="Times New Roman" w:hAnsi="Times New Roman" w:cs="Times New Roman"/>
                <w:color w:val="000000"/>
                <w:kern w:val="0"/>
                <w:sz w:val="19"/>
                <w:szCs w:val="19"/>
                <w:lang w:eastAsia="en-IN"/>
                <w14:ligatures w14:val="none"/>
              </w:rPr>
            </w:pPr>
            <w:r w:rsidRPr="00801A36">
              <w:rPr>
                <w:rFonts w:ascii="Times New Roman" w:eastAsia="Times New Roman" w:hAnsi="Times New Roman" w:cs="Times New Roman"/>
                <w:color w:val="000000"/>
                <w:kern w:val="0"/>
                <w:sz w:val="19"/>
                <w:szCs w:val="19"/>
                <w:lang w:eastAsia="en-IN"/>
                <w14:ligatures w14:val="none"/>
              </w:rPr>
              <w:t>..</w:t>
            </w:r>
          </w:p>
        </w:tc>
        <w:tc>
          <w:tcPr>
            <w:tcW w:w="986" w:type="dxa"/>
            <w:tcBorders>
              <w:top w:val="nil"/>
              <w:left w:val="nil"/>
              <w:bottom w:val="single" w:sz="4" w:space="0" w:color="auto"/>
              <w:right w:val="single" w:sz="4" w:space="0" w:color="auto"/>
            </w:tcBorders>
            <w:noWrap/>
            <w:vAlign w:val="center"/>
            <w:hideMark/>
          </w:tcPr>
          <w:p w14:paraId="2ACB9EFB" w14:textId="77777777" w:rsidR="007B1BAC" w:rsidRPr="00801A36" w:rsidRDefault="007B1BAC" w:rsidP="00801A36">
            <w:pPr>
              <w:spacing w:after="0" w:line="240" w:lineRule="auto"/>
              <w:jc w:val="center"/>
              <w:rPr>
                <w:rFonts w:ascii="Times New Roman" w:eastAsia="Times New Roman" w:hAnsi="Times New Roman" w:cs="Times New Roman"/>
                <w:color w:val="000000"/>
                <w:kern w:val="0"/>
                <w:sz w:val="19"/>
                <w:szCs w:val="19"/>
                <w:lang w:eastAsia="en-IN"/>
                <w14:ligatures w14:val="none"/>
              </w:rPr>
            </w:pPr>
            <w:r w:rsidRPr="00801A36">
              <w:rPr>
                <w:rFonts w:ascii="Times New Roman" w:eastAsia="Times New Roman" w:hAnsi="Times New Roman" w:cs="Times New Roman"/>
                <w:color w:val="000000"/>
                <w:kern w:val="0"/>
                <w:sz w:val="19"/>
                <w:szCs w:val="19"/>
                <w:lang w:eastAsia="en-IN"/>
                <w14:ligatures w14:val="none"/>
              </w:rPr>
              <w:t>98.97</w:t>
            </w:r>
          </w:p>
        </w:tc>
        <w:tc>
          <w:tcPr>
            <w:tcW w:w="1084" w:type="dxa"/>
            <w:tcBorders>
              <w:top w:val="nil"/>
              <w:left w:val="nil"/>
              <w:bottom w:val="single" w:sz="4" w:space="0" w:color="auto"/>
              <w:right w:val="single" w:sz="4" w:space="0" w:color="auto"/>
            </w:tcBorders>
            <w:noWrap/>
            <w:vAlign w:val="center"/>
            <w:hideMark/>
          </w:tcPr>
          <w:p w14:paraId="609ED288" w14:textId="77777777" w:rsidR="007B1BAC" w:rsidRPr="00801A36" w:rsidRDefault="007B1BAC" w:rsidP="00801A36">
            <w:pPr>
              <w:spacing w:after="0" w:line="240" w:lineRule="auto"/>
              <w:jc w:val="center"/>
              <w:rPr>
                <w:rFonts w:ascii="Times New Roman" w:eastAsia="Times New Roman" w:hAnsi="Times New Roman" w:cs="Times New Roman"/>
                <w:color w:val="000000"/>
                <w:kern w:val="0"/>
                <w:sz w:val="19"/>
                <w:szCs w:val="19"/>
                <w:lang w:eastAsia="en-IN"/>
                <w14:ligatures w14:val="none"/>
              </w:rPr>
            </w:pPr>
            <w:r w:rsidRPr="00801A36">
              <w:rPr>
                <w:rFonts w:ascii="Times New Roman" w:eastAsia="Times New Roman" w:hAnsi="Times New Roman" w:cs="Times New Roman"/>
                <w:color w:val="000000"/>
                <w:kern w:val="0"/>
                <w:sz w:val="19"/>
                <w:szCs w:val="19"/>
                <w:lang w:eastAsia="en-IN"/>
                <w14:ligatures w14:val="none"/>
              </w:rPr>
              <w:t>..</w:t>
            </w:r>
          </w:p>
        </w:tc>
        <w:tc>
          <w:tcPr>
            <w:tcW w:w="1070" w:type="dxa"/>
            <w:tcBorders>
              <w:top w:val="nil"/>
              <w:left w:val="nil"/>
              <w:bottom w:val="single" w:sz="4" w:space="0" w:color="auto"/>
              <w:right w:val="single" w:sz="4" w:space="0" w:color="auto"/>
            </w:tcBorders>
            <w:noWrap/>
            <w:vAlign w:val="center"/>
            <w:hideMark/>
          </w:tcPr>
          <w:p w14:paraId="47FF92F5" w14:textId="77777777" w:rsidR="007B1BAC" w:rsidRPr="00801A36" w:rsidRDefault="007B1BAC" w:rsidP="00801A36">
            <w:pPr>
              <w:spacing w:after="0" w:line="240" w:lineRule="auto"/>
              <w:jc w:val="center"/>
              <w:rPr>
                <w:rFonts w:ascii="Times New Roman" w:eastAsia="Times New Roman" w:hAnsi="Times New Roman" w:cs="Times New Roman"/>
                <w:color w:val="000000"/>
                <w:kern w:val="0"/>
                <w:sz w:val="19"/>
                <w:szCs w:val="19"/>
                <w:lang w:eastAsia="en-IN"/>
                <w14:ligatures w14:val="none"/>
              </w:rPr>
            </w:pPr>
            <w:r w:rsidRPr="00801A36">
              <w:rPr>
                <w:rFonts w:ascii="Times New Roman" w:eastAsia="Times New Roman" w:hAnsi="Times New Roman" w:cs="Times New Roman"/>
                <w:color w:val="000000"/>
                <w:kern w:val="0"/>
                <w:sz w:val="19"/>
                <w:szCs w:val="19"/>
                <w:lang w:eastAsia="en-IN"/>
                <w14:ligatures w14:val="none"/>
              </w:rPr>
              <w:t>..</w:t>
            </w:r>
          </w:p>
        </w:tc>
        <w:tc>
          <w:tcPr>
            <w:tcW w:w="1196" w:type="dxa"/>
            <w:tcBorders>
              <w:top w:val="nil"/>
              <w:left w:val="nil"/>
              <w:bottom w:val="single" w:sz="4" w:space="0" w:color="auto"/>
              <w:right w:val="single" w:sz="4" w:space="0" w:color="auto"/>
            </w:tcBorders>
            <w:noWrap/>
            <w:vAlign w:val="center"/>
            <w:hideMark/>
          </w:tcPr>
          <w:p w14:paraId="32B59BE5" w14:textId="77777777" w:rsidR="007B1BAC" w:rsidRPr="00801A36" w:rsidRDefault="007B1BAC" w:rsidP="00801A36">
            <w:pPr>
              <w:spacing w:after="0" w:line="240" w:lineRule="auto"/>
              <w:jc w:val="center"/>
              <w:rPr>
                <w:rFonts w:ascii="Times New Roman" w:eastAsia="Times New Roman" w:hAnsi="Times New Roman" w:cs="Times New Roman"/>
                <w:color w:val="000000"/>
                <w:kern w:val="0"/>
                <w:sz w:val="19"/>
                <w:szCs w:val="19"/>
                <w:lang w:eastAsia="en-IN"/>
                <w14:ligatures w14:val="none"/>
              </w:rPr>
            </w:pPr>
            <w:r w:rsidRPr="00801A36">
              <w:rPr>
                <w:rFonts w:ascii="Times New Roman" w:eastAsia="Times New Roman" w:hAnsi="Times New Roman" w:cs="Times New Roman"/>
                <w:color w:val="000000"/>
                <w:kern w:val="0"/>
                <w:sz w:val="19"/>
                <w:szCs w:val="19"/>
                <w:lang w:eastAsia="en-IN"/>
                <w14:ligatures w14:val="none"/>
              </w:rPr>
              <w:t>..</w:t>
            </w:r>
          </w:p>
        </w:tc>
        <w:tc>
          <w:tcPr>
            <w:tcW w:w="986" w:type="dxa"/>
            <w:tcBorders>
              <w:top w:val="nil"/>
              <w:left w:val="nil"/>
              <w:bottom w:val="single" w:sz="4" w:space="0" w:color="auto"/>
              <w:right w:val="single" w:sz="4" w:space="0" w:color="auto"/>
            </w:tcBorders>
            <w:noWrap/>
            <w:vAlign w:val="center"/>
            <w:hideMark/>
          </w:tcPr>
          <w:p w14:paraId="7C2A6054" w14:textId="77777777" w:rsidR="007B1BAC" w:rsidRPr="00801A36" w:rsidRDefault="007B1BAC" w:rsidP="00801A36">
            <w:pPr>
              <w:spacing w:after="0" w:line="240" w:lineRule="auto"/>
              <w:jc w:val="center"/>
              <w:rPr>
                <w:rFonts w:ascii="Times New Roman" w:eastAsia="Times New Roman" w:hAnsi="Times New Roman" w:cs="Times New Roman"/>
                <w:color w:val="000000"/>
                <w:kern w:val="0"/>
                <w:sz w:val="19"/>
                <w:szCs w:val="19"/>
                <w:lang w:eastAsia="en-IN"/>
                <w14:ligatures w14:val="none"/>
              </w:rPr>
            </w:pPr>
            <w:r w:rsidRPr="00801A36">
              <w:rPr>
                <w:rFonts w:ascii="Times New Roman" w:eastAsia="Times New Roman" w:hAnsi="Times New Roman" w:cs="Times New Roman"/>
                <w:color w:val="000000"/>
                <w:kern w:val="0"/>
                <w:sz w:val="19"/>
                <w:szCs w:val="19"/>
                <w:lang w:eastAsia="en-IN"/>
                <w14:ligatures w14:val="none"/>
              </w:rPr>
              <w:t>..</w:t>
            </w:r>
          </w:p>
        </w:tc>
      </w:tr>
      <w:tr w:rsidR="007B1BAC" w:rsidRPr="00801A36" w14:paraId="46D1841E" w14:textId="77777777" w:rsidTr="00801A36">
        <w:trPr>
          <w:trHeight w:val="20"/>
          <w:jc w:val="center"/>
        </w:trPr>
        <w:tc>
          <w:tcPr>
            <w:tcW w:w="618" w:type="dxa"/>
            <w:tcBorders>
              <w:top w:val="nil"/>
              <w:left w:val="single" w:sz="4" w:space="0" w:color="auto"/>
              <w:bottom w:val="single" w:sz="4" w:space="0" w:color="auto"/>
              <w:right w:val="single" w:sz="4" w:space="0" w:color="auto"/>
            </w:tcBorders>
            <w:noWrap/>
            <w:vAlign w:val="bottom"/>
            <w:hideMark/>
          </w:tcPr>
          <w:p w14:paraId="22E664BC" w14:textId="77777777" w:rsidR="007B1BAC" w:rsidRPr="00801A36" w:rsidRDefault="007B1BAC" w:rsidP="007B1BAC">
            <w:pPr>
              <w:spacing w:after="0" w:line="240" w:lineRule="auto"/>
              <w:jc w:val="right"/>
              <w:rPr>
                <w:rFonts w:ascii="Times New Roman" w:eastAsia="Times New Roman" w:hAnsi="Times New Roman" w:cs="Times New Roman"/>
                <w:color w:val="000000"/>
                <w:kern w:val="0"/>
                <w:sz w:val="19"/>
                <w:szCs w:val="19"/>
                <w:lang w:eastAsia="en-IN"/>
                <w14:ligatures w14:val="none"/>
              </w:rPr>
            </w:pPr>
            <w:r w:rsidRPr="00801A36">
              <w:rPr>
                <w:rFonts w:ascii="Times New Roman" w:eastAsia="Times New Roman" w:hAnsi="Times New Roman" w:cs="Times New Roman"/>
                <w:color w:val="000000"/>
                <w:kern w:val="0"/>
                <w:sz w:val="19"/>
                <w:szCs w:val="19"/>
                <w:lang w:eastAsia="en-IN"/>
                <w14:ligatures w14:val="none"/>
              </w:rPr>
              <w:t>15</w:t>
            </w:r>
          </w:p>
        </w:tc>
        <w:tc>
          <w:tcPr>
            <w:tcW w:w="1680" w:type="dxa"/>
            <w:tcBorders>
              <w:top w:val="nil"/>
              <w:left w:val="nil"/>
              <w:bottom w:val="single" w:sz="4" w:space="0" w:color="auto"/>
              <w:right w:val="single" w:sz="4" w:space="0" w:color="auto"/>
            </w:tcBorders>
            <w:noWrap/>
            <w:vAlign w:val="bottom"/>
            <w:hideMark/>
          </w:tcPr>
          <w:p w14:paraId="7BB34813" w14:textId="77777777" w:rsidR="007B1BAC" w:rsidRPr="00801A36" w:rsidRDefault="007B1BAC" w:rsidP="007B1BAC">
            <w:pPr>
              <w:spacing w:after="0" w:line="240" w:lineRule="auto"/>
              <w:rPr>
                <w:rFonts w:ascii="Times New Roman" w:eastAsia="Times New Roman" w:hAnsi="Times New Roman" w:cs="Times New Roman"/>
                <w:color w:val="000000"/>
                <w:kern w:val="0"/>
                <w:sz w:val="19"/>
                <w:szCs w:val="19"/>
                <w:lang w:eastAsia="en-IN"/>
                <w14:ligatures w14:val="none"/>
              </w:rPr>
            </w:pPr>
            <w:r w:rsidRPr="00801A36">
              <w:rPr>
                <w:rFonts w:ascii="Times New Roman" w:eastAsia="Times New Roman" w:hAnsi="Times New Roman" w:cs="Times New Roman"/>
                <w:color w:val="000000"/>
                <w:kern w:val="0"/>
                <w:sz w:val="19"/>
                <w:szCs w:val="19"/>
                <w:lang w:eastAsia="en-IN"/>
                <w14:ligatures w14:val="none"/>
              </w:rPr>
              <w:t>Rajasthan</w:t>
            </w:r>
          </w:p>
        </w:tc>
        <w:tc>
          <w:tcPr>
            <w:tcW w:w="1084" w:type="dxa"/>
            <w:tcBorders>
              <w:top w:val="nil"/>
              <w:left w:val="nil"/>
              <w:bottom w:val="single" w:sz="4" w:space="0" w:color="auto"/>
              <w:right w:val="single" w:sz="4" w:space="0" w:color="auto"/>
            </w:tcBorders>
            <w:noWrap/>
            <w:vAlign w:val="center"/>
            <w:hideMark/>
          </w:tcPr>
          <w:p w14:paraId="27E10D0F" w14:textId="26D91DDD" w:rsidR="007B1BAC" w:rsidRPr="00801A36" w:rsidRDefault="007B1BAC" w:rsidP="00801A36">
            <w:pPr>
              <w:spacing w:after="0" w:line="240" w:lineRule="auto"/>
              <w:jc w:val="center"/>
              <w:rPr>
                <w:rFonts w:ascii="Times New Roman" w:eastAsia="Times New Roman" w:hAnsi="Times New Roman" w:cs="Times New Roman"/>
                <w:color w:val="000000"/>
                <w:kern w:val="0"/>
                <w:sz w:val="19"/>
                <w:szCs w:val="19"/>
                <w:lang w:eastAsia="en-IN"/>
                <w14:ligatures w14:val="none"/>
              </w:rPr>
            </w:pPr>
          </w:p>
        </w:tc>
        <w:tc>
          <w:tcPr>
            <w:tcW w:w="1070" w:type="dxa"/>
            <w:tcBorders>
              <w:top w:val="nil"/>
              <w:left w:val="nil"/>
              <w:bottom w:val="single" w:sz="4" w:space="0" w:color="auto"/>
              <w:right w:val="single" w:sz="4" w:space="0" w:color="auto"/>
            </w:tcBorders>
            <w:noWrap/>
            <w:vAlign w:val="center"/>
            <w:hideMark/>
          </w:tcPr>
          <w:p w14:paraId="7FBEB5F6" w14:textId="725B677F" w:rsidR="007B1BAC" w:rsidRPr="00801A36" w:rsidRDefault="007B1BAC" w:rsidP="00801A36">
            <w:pPr>
              <w:spacing w:after="0" w:line="240" w:lineRule="auto"/>
              <w:jc w:val="center"/>
              <w:rPr>
                <w:rFonts w:ascii="Times New Roman" w:eastAsia="Times New Roman" w:hAnsi="Times New Roman" w:cs="Times New Roman"/>
                <w:color w:val="000000"/>
                <w:kern w:val="0"/>
                <w:sz w:val="19"/>
                <w:szCs w:val="19"/>
                <w:lang w:eastAsia="en-IN"/>
                <w14:ligatures w14:val="none"/>
              </w:rPr>
            </w:pPr>
          </w:p>
        </w:tc>
        <w:tc>
          <w:tcPr>
            <w:tcW w:w="1196" w:type="dxa"/>
            <w:tcBorders>
              <w:top w:val="nil"/>
              <w:left w:val="nil"/>
              <w:bottom w:val="single" w:sz="4" w:space="0" w:color="auto"/>
              <w:right w:val="single" w:sz="4" w:space="0" w:color="auto"/>
            </w:tcBorders>
            <w:noWrap/>
            <w:vAlign w:val="center"/>
            <w:hideMark/>
          </w:tcPr>
          <w:p w14:paraId="5257A370" w14:textId="379E6687" w:rsidR="007B1BAC" w:rsidRPr="00801A36" w:rsidRDefault="007B1BAC" w:rsidP="00801A36">
            <w:pPr>
              <w:spacing w:after="0" w:line="240" w:lineRule="auto"/>
              <w:jc w:val="center"/>
              <w:rPr>
                <w:rFonts w:ascii="Times New Roman" w:eastAsia="Times New Roman" w:hAnsi="Times New Roman" w:cs="Times New Roman"/>
                <w:color w:val="000000"/>
                <w:kern w:val="0"/>
                <w:sz w:val="19"/>
                <w:szCs w:val="19"/>
                <w:lang w:eastAsia="en-IN"/>
                <w14:ligatures w14:val="none"/>
              </w:rPr>
            </w:pPr>
          </w:p>
        </w:tc>
        <w:tc>
          <w:tcPr>
            <w:tcW w:w="986" w:type="dxa"/>
            <w:tcBorders>
              <w:top w:val="nil"/>
              <w:left w:val="nil"/>
              <w:bottom w:val="single" w:sz="4" w:space="0" w:color="auto"/>
              <w:right w:val="single" w:sz="4" w:space="0" w:color="auto"/>
            </w:tcBorders>
            <w:noWrap/>
            <w:vAlign w:val="center"/>
            <w:hideMark/>
          </w:tcPr>
          <w:p w14:paraId="0725F04F" w14:textId="52D01864" w:rsidR="007B1BAC" w:rsidRPr="00801A36" w:rsidRDefault="007B1BAC" w:rsidP="00801A36">
            <w:pPr>
              <w:spacing w:after="0" w:line="240" w:lineRule="auto"/>
              <w:jc w:val="center"/>
              <w:rPr>
                <w:rFonts w:ascii="Times New Roman" w:eastAsia="Times New Roman" w:hAnsi="Times New Roman" w:cs="Times New Roman"/>
                <w:color w:val="000000"/>
                <w:kern w:val="0"/>
                <w:sz w:val="19"/>
                <w:szCs w:val="19"/>
                <w:lang w:eastAsia="en-IN"/>
                <w14:ligatures w14:val="none"/>
              </w:rPr>
            </w:pPr>
          </w:p>
        </w:tc>
        <w:tc>
          <w:tcPr>
            <w:tcW w:w="1084" w:type="dxa"/>
            <w:tcBorders>
              <w:top w:val="nil"/>
              <w:left w:val="nil"/>
              <w:bottom w:val="single" w:sz="4" w:space="0" w:color="auto"/>
              <w:right w:val="single" w:sz="4" w:space="0" w:color="auto"/>
            </w:tcBorders>
            <w:noWrap/>
            <w:vAlign w:val="center"/>
            <w:hideMark/>
          </w:tcPr>
          <w:p w14:paraId="5580BA66" w14:textId="14449BE2" w:rsidR="007B1BAC" w:rsidRPr="00801A36" w:rsidRDefault="007B1BAC" w:rsidP="00801A36">
            <w:pPr>
              <w:spacing w:after="0" w:line="240" w:lineRule="auto"/>
              <w:jc w:val="center"/>
              <w:rPr>
                <w:rFonts w:ascii="Times New Roman" w:eastAsia="Times New Roman" w:hAnsi="Times New Roman" w:cs="Times New Roman"/>
                <w:color w:val="000000"/>
                <w:kern w:val="0"/>
                <w:sz w:val="19"/>
                <w:szCs w:val="19"/>
                <w:lang w:eastAsia="en-IN"/>
                <w14:ligatures w14:val="none"/>
              </w:rPr>
            </w:pPr>
          </w:p>
        </w:tc>
        <w:tc>
          <w:tcPr>
            <w:tcW w:w="1070" w:type="dxa"/>
            <w:tcBorders>
              <w:top w:val="nil"/>
              <w:left w:val="nil"/>
              <w:bottom w:val="single" w:sz="4" w:space="0" w:color="auto"/>
              <w:right w:val="single" w:sz="4" w:space="0" w:color="auto"/>
            </w:tcBorders>
            <w:noWrap/>
            <w:vAlign w:val="center"/>
            <w:hideMark/>
          </w:tcPr>
          <w:p w14:paraId="467BC1A2" w14:textId="271CE1A1" w:rsidR="007B1BAC" w:rsidRPr="00801A36" w:rsidRDefault="007B1BAC" w:rsidP="00801A36">
            <w:pPr>
              <w:spacing w:after="0" w:line="240" w:lineRule="auto"/>
              <w:jc w:val="center"/>
              <w:rPr>
                <w:rFonts w:ascii="Times New Roman" w:eastAsia="Times New Roman" w:hAnsi="Times New Roman" w:cs="Times New Roman"/>
                <w:color w:val="000000"/>
                <w:kern w:val="0"/>
                <w:sz w:val="19"/>
                <w:szCs w:val="19"/>
                <w:lang w:eastAsia="en-IN"/>
                <w14:ligatures w14:val="none"/>
              </w:rPr>
            </w:pPr>
          </w:p>
        </w:tc>
        <w:tc>
          <w:tcPr>
            <w:tcW w:w="1196" w:type="dxa"/>
            <w:tcBorders>
              <w:top w:val="nil"/>
              <w:left w:val="nil"/>
              <w:bottom w:val="single" w:sz="4" w:space="0" w:color="auto"/>
              <w:right w:val="single" w:sz="4" w:space="0" w:color="auto"/>
            </w:tcBorders>
            <w:noWrap/>
            <w:vAlign w:val="center"/>
            <w:hideMark/>
          </w:tcPr>
          <w:p w14:paraId="14C030E1" w14:textId="1A089DA1" w:rsidR="007B1BAC" w:rsidRPr="00801A36" w:rsidRDefault="007B1BAC" w:rsidP="00801A36">
            <w:pPr>
              <w:spacing w:after="0" w:line="240" w:lineRule="auto"/>
              <w:jc w:val="center"/>
              <w:rPr>
                <w:rFonts w:ascii="Times New Roman" w:eastAsia="Times New Roman" w:hAnsi="Times New Roman" w:cs="Times New Roman"/>
                <w:color w:val="000000"/>
                <w:kern w:val="0"/>
                <w:sz w:val="19"/>
                <w:szCs w:val="19"/>
                <w:lang w:eastAsia="en-IN"/>
                <w14:ligatures w14:val="none"/>
              </w:rPr>
            </w:pPr>
          </w:p>
        </w:tc>
        <w:tc>
          <w:tcPr>
            <w:tcW w:w="986" w:type="dxa"/>
            <w:tcBorders>
              <w:top w:val="nil"/>
              <w:left w:val="nil"/>
              <w:bottom w:val="single" w:sz="4" w:space="0" w:color="auto"/>
              <w:right w:val="single" w:sz="4" w:space="0" w:color="auto"/>
            </w:tcBorders>
            <w:noWrap/>
            <w:vAlign w:val="center"/>
            <w:hideMark/>
          </w:tcPr>
          <w:p w14:paraId="2C1FF717" w14:textId="5793EF8C" w:rsidR="007B1BAC" w:rsidRPr="00801A36" w:rsidRDefault="007B1BAC" w:rsidP="00801A36">
            <w:pPr>
              <w:spacing w:after="0" w:line="240" w:lineRule="auto"/>
              <w:jc w:val="center"/>
              <w:rPr>
                <w:rFonts w:ascii="Times New Roman" w:eastAsia="Times New Roman" w:hAnsi="Times New Roman" w:cs="Times New Roman"/>
                <w:color w:val="000000"/>
                <w:kern w:val="0"/>
                <w:sz w:val="19"/>
                <w:szCs w:val="19"/>
                <w:lang w:eastAsia="en-IN"/>
                <w14:ligatures w14:val="none"/>
              </w:rPr>
            </w:pPr>
          </w:p>
        </w:tc>
        <w:tc>
          <w:tcPr>
            <w:tcW w:w="1084" w:type="dxa"/>
            <w:tcBorders>
              <w:top w:val="nil"/>
              <w:left w:val="nil"/>
              <w:bottom w:val="single" w:sz="4" w:space="0" w:color="auto"/>
              <w:right w:val="single" w:sz="4" w:space="0" w:color="auto"/>
            </w:tcBorders>
            <w:noWrap/>
            <w:vAlign w:val="center"/>
            <w:hideMark/>
          </w:tcPr>
          <w:p w14:paraId="6156EE8B" w14:textId="6159A154" w:rsidR="007B1BAC" w:rsidRPr="00801A36" w:rsidRDefault="007B1BAC" w:rsidP="00801A36">
            <w:pPr>
              <w:spacing w:after="0" w:line="240" w:lineRule="auto"/>
              <w:jc w:val="center"/>
              <w:rPr>
                <w:rFonts w:ascii="Times New Roman" w:eastAsia="Times New Roman" w:hAnsi="Times New Roman" w:cs="Times New Roman"/>
                <w:color w:val="000000"/>
                <w:kern w:val="0"/>
                <w:sz w:val="19"/>
                <w:szCs w:val="19"/>
                <w:lang w:eastAsia="en-IN"/>
                <w14:ligatures w14:val="none"/>
              </w:rPr>
            </w:pPr>
          </w:p>
        </w:tc>
        <w:tc>
          <w:tcPr>
            <w:tcW w:w="1070" w:type="dxa"/>
            <w:tcBorders>
              <w:top w:val="nil"/>
              <w:left w:val="nil"/>
              <w:bottom w:val="single" w:sz="4" w:space="0" w:color="auto"/>
              <w:right w:val="single" w:sz="4" w:space="0" w:color="auto"/>
            </w:tcBorders>
            <w:noWrap/>
            <w:vAlign w:val="center"/>
            <w:hideMark/>
          </w:tcPr>
          <w:p w14:paraId="5F0A2562" w14:textId="468EFAB1" w:rsidR="007B1BAC" w:rsidRPr="00801A36" w:rsidRDefault="007B1BAC" w:rsidP="00801A36">
            <w:pPr>
              <w:spacing w:after="0" w:line="240" w:lineRule="auto"/>
              <w:jc w:val="center"/>
              <w:rPr>
                <w:rFonts w:ascii="Times New Roman" w:eastAsia="Times New Roman" w:hAnsi="Times New Roman" w:cs="Times New Roman"/>
                <w:color w:val="000000"/>
                <w:kern w:val="0"/>
                <w:sz w:val="19"/>
                <w:szCs w:val="19"/>
                <w:lang w:eastAsia="en-IN"/>
                <w14:ligatures w14:val="none"/>
              </w:rPr>
            </w:pPr>
          </w:p>
        </w:tc>
        <w:tc>
          <w:tcPr>
            <w:tcW w:w="1196" w:type="dxa"/>
            <w:tcBorders>
              <w:top w:val="nil"/>
              <w:left w:val="nil"/>
              <w:bottom w:val="single" w:sz="4" w:space="0" w:color="auto"/>
              <w:right w:val="single" w:sz="4" w:space="0" w:color="auto"/>
            </w:tcBorders>
            <w:noWrap/>
            <w:vAlign w:val="center"/>
            <w:hideMark/>
          </w:tcPr>
          <w:p w14:paraId="2349071B" w14:textId="763436B5" w:rsidR="007B1BAC" w:rsidRPr="00801A36" w:rsidRDefault="007B1BAC" w:rsidP="00801A36">
            <w:pPr>
              <w:spacing w:after="0" w:line="240" w:lineRule="auto"/>
              <w:jc w:val="center"/>
              <w:rPr>
                <w:rFonts w:ascii="Times New Roman" w:eastAsia="Times New Roman" w:hAnsi="Times New Roman" w:cs="Times New Roman"/>
                <w:color w:val="000000"/>
                <w:kern w:val="0"/>
                <w:sz w:val="19"/>
                <w:szCs w:val="19"/>
                <w:lang w:eastAsia="en-IN"/>
                <w14:ligatures w14:val="none"/>
              </w:rPr>
            </w:pPr>
          </w:p>
        </w:tc>
        <w:tc>
          <w:tcPr>
            <w:tcW w:w="986" w:type="dxa"/>
            <w:tcBorders>
              <w:top w:val="nil"/>
              <w:left w:val="nil"/>
              <w:bottom w:val="single" w:sz="4" w:space="0" w:color="auto"/>
              <w:right w:val="single" w:sz="4" w:space="0" w:color="auto"/>
            </w:tcBorders>
            <w:noWrap/>
            <w:vAlign w:val="center"/>
            <w:hideMark/>
          </w:tcPr>
          <w:p w14:paraId="43A25CDE" w14:textId="4C23B8DC" w:rsidR="007B1BAC" w:rsidRPr="00801A36" w:rsidRDefault="007B1BAC" w:rsidP="00801A36">
            <w:pPr>
              <w:spacing w:after="0" w:line="240" w:lineRule="auto"/>
              <w:jc w:val="center"/>
              <w:rPr>
                <w:rFonts w:ascii="Times New Roman" w:eastAsia="Times New Roman" w:hAnsi="Times New Roman" w:cs="Times New Roman"/>
                <w:color w:val="000000"/>
                <w:kern w:val="0"/>
                <w:sz w:val="19"/>
                <w:szCs w:val="19"/>
                <w:lang w:eastAsia="en-IN"/>
                <w14:ligatures w14:val="none"/>
              </w:rPr>
            </w:pPr>
          </w:p>
        </w:tc>
      </w:tr>
      <w:tr w:rsidR="007B1BAC" w:rsidRPr="00801A36" w14:paraId="642AB140" w14:textId="77777777" w:rsidTr="00801A36">
        <w:trPr>
          <w:trHeight w:val="20"/>
          <w:jc w:val="center"/>
        </w:trPr>
        <w:tc>
          <w:tcPr>
            <w:tcW w:w="618" w:type="dxa"/>
            <w:tcBorders>
              <w:top w:val="nil"/>
              <w:left w:val="single" w:sz="4" w:space="0" w:color="auto"/>
              <w:bottom w:val="single" w:sz="4" w:space="0" w:color="auto"/>
              <w:right w:val="single" w:sz="4" w:space="0" w:color="auto"/>
            </w:tcBorders>
            <w:noWrap/>
            <w:vAlign w:val="bottom"/>
            <w:hideMark/>
          </w:tcPr>
          <w:p w14:paraId="6EC65A12" w14:textId="77777777" w:rsidR="007B1BAC" w:rsidRPr="00801A36" w:rsidRDefault="007B1BAC" w:rsidP="007B1BAC">
            <w:pPr>
              <w:spacing w:after="0" w:line="240" w:lineRule="auto"/>
              <w:rPr>
                <w:rFonts w:ascii="Times New Roman" w:eastAsia="Times New Roman" w:hAnsi="Times New Roman" w:cs="Times New Roman"/>
                <w:color w:val="000000"/>
                <w:kern w:val="0"/>
                <w:sz w:val="19"/>
                <w:szCs w:val="19"/>
                <w:lang w:eastAsia="en-IN"/>
                <w14:ligatures w14:val="none"/>
              </w:rPr>
            </w:pPr>
            <w:r w:rsidRPr="00801A36">
              <w:rPr>
                <w:rFonts w:ascii="Times New Roman" w:eastAsia="Times New Roman" w:hAnsi="Times New Roman" w:cs="Times New Roman"/>
                <w:color w:val="000000"/>
                <w:kern w:val="0"/>
                <w:sz w:val="19"/>
                <w:szCs w:val="19"/>
                <w:lang w:eastAsia="en-IN"/>
                <w14:ligatures w14:val="none"/>
              </w:rPr>
              <w:t> </w:t>
            </w:r>
          </w:p>
        </w:tc>
        <w:tc>
          <w:tcPr>
            <w:tcW w:w="1680" w:type="dxa"/>
            <w:tcBorders>
              <w:top w:val="nil"/>
              <w:left w:val="nil"/>
              <w:bottom w:val="single" w:sz="4" w:space="0" w:color="auto"/>
              <w:right w:val="single" w:sz="4" w:space="0" w:color="auto"/>
            </w:tcBorders>
            <w:noWrap/>
            <w:vAlign w:val="bottom"/>
            <w:hideMark/>
          </w:tcPr>
          <w:p w14:paraId="4A7A6950" w14:textId="77777777" w:rsidR="007B1BAC" w:rsidRPr="00801A36" w:rsidRDefault="007B1BAC" w:rsidP="007B1BAC">
            <w:pPr>
              <w:spacing w:after="0" w:line="240" w:lineRule="auto"/>
              <w:rPr>
                <w:rFonts w:ascii="Times New Roman" w:eastAsia="Times New Roman" w:hAnsi="Times New Roman" w:cs="Times New Roman"/>
                <w:color w:val="000000"/>
                <w:kern w:val="0"/>
                <w:sz w:val="19"/>
                <w:szCs w:val="19"/>
                <w:lang w:eastAsia="en-IN"/>
                <w14:ligatures w14:val="none"/>
              </w:rPr>
            </w:pPr>
            <w:r w:rsidRPr="00801A36">
              <w:rPr>
                <w:rFonts w:ascii="Times New Roman" w:eastAsia="Times New Roman" w:hAnsi="Times New Roman" w:cs="Times New Roman"/>
                <w:color w:val="000000"/>
                <w:kern w:val="0"/>
                <w:sz w:val="19"/>
                <w:szCs w:val="19"/>
                <w:lang w:eastAsia="en-IN"/>
                <w14:ligatures w14:val="none"/>
              </w:rPr>
              <w:t>Central</w:t>
            </w:r>
          </w:p>
        </w:tc>
        <w:tc>
          <w:tcPr>
            <w:tcW w:w="1084" w:type="dxa"/>
            <w:tcBorders>
              <w:top w:val="nil"/>
              <w:left w:val="nil"/>
              <w:bottom w:val="single" w:sz="4" w:space="0" w:color="auto"/>
              <w:right w:val="single" w:sz="4" w:space="0" w:color="auto"/>
            </w:tcBorders>
            <w:noWrap/>
            <w:vAlign w:val="center"/>
            <w:hideMark/>
          </w:tcPr>
          <w:p w14:paraId="5526F6CE" w14:textId="77777777" w:rsidR="007B1BAC" w:rsidRPr="00801A36" w:rsidRDefault="007B1BAC" w:rsidP="00801A36">
            <w:pPr>
              <w:spacing w:after="0" w:line="240" w:lineRule="auto"/>
              <w:jc w:val="center"/>
              <w:rPr>
                <w:rFonts w:ascii="Times New Roman" w:eastAsia="Times New Roman" w:hAnsi="Times New Roman" w:cs="Times New Roman"/>
                <w:color w:val="000000"/>
                <w:kern w:val="0"/>
                <w:sz w:val="19"/>
                <w:szCs w:val="19"/>
                <w:lang w:eastAsia="en-IN"/>
                <w14:ligatures w14:val="none"/>
              </w:rPr>
            </w:pPr>
            <w:r w:rsidRPr="00801A36">
              <w:rPr>
                <w:rFonts w:ascii="Times New Roman" w:eastAsia="Times New Roman" w:hAnsi="Times New Roman" w:cs="Times New Roman"/>
                <w:color w:val="000000"/>
                <w:kern w:val="0"/>
                <w:sz w:val="19"/>
                <w:szCs w:val="19"/>
                <w:lang w:eastAsia="en-IN"/>
                <w14:ligatures w14:val="none"/>
              </w:rPr>
              <w:t>35.28</w:t>
            </w:r>
          </w:p>
        </w:tc>
        <w:tc>
          <w:tcPr>
            <w:tcW w:w="1070" w:type="dxa"/>
            <w:tcBorders>
              <w:top w:val="nil"/>
              <w:left w:val="nil"/>
              <w:bottom w:val="single" w:sz="4" w:space="0" w:color="auto"/>
              <w:right w:val="single" w:sz="4" w:space="0" w:color="auto"/>
            </w:tcBorders>
            <w:noWrap/>
            <w:vAlign w:val="center"/>
            <w:hideMark/>
          </w:tcPr>
          <w:p w14:paraId="52D72762" w14:textId="77777777" w:rsidR="007B1BAC" w:rsidRPr="00801A36" w:rsidRDefault="007B1BAC" w:rsidP="00801A36">
            <w:pPr>
              <w:spacing w:after="0" w:line="240" w:lineRule="auto"/>
              <w:jc w:val="center"/>
              <w:rPr>
                <w:rFonts w:ascii="Times New Roman" w:eastAsia="Times New Roman" w:hAnsi="Times New Roman" w:cs="Times New Roman"/>
                <w:color w:val="000000"/>
                <w:kern w:val="0"/>
                <w:sz w:val="19"/>
                <w:szCs w:val="19"/>
                <w:lang w:eastAsia="en-IN"/>
                <w14:ligatures w14:val="none"/>
              </w:rPr>
            </w:pPr>
            <w:r w:rsidRPr="00801A36">
              <w:rPr>
                <w:rFonts w:ascii="Times New Roman" w:eastAsia="Times New Roman" w:hAnsi="Times New Roman" w:cs="Times New Roman"/>
                <w:color w:val="000000"/>
                <w:kern w:val="0"/>
                <w:sz w:val="19"/>
                <w:szCs w:val="19"/>
                <w:lang w:eastAsia="en-IN"/>
                <w14:ligatures w14:val="none"/>
              </w:rPr>
              <w:t>..</w:t>
            </w:r>
          </w:p>
        </w:tc>
        <w:tc>
          <w:tcPr>
            <w:tcW w:w="1196" w:type="dxa"/>
            <w:tcBorders>
              <w:top w:val="nil"/>
              <w:left w:val="nil"/>
              <w:bottom w:val="single" w:sz="4" w:space="0" w:color="auto"/>
              <w:right w:val="single" w:sz="4" w:space="0" w:color="auto"/>
            </w:tcBorders>
            <w:noWrap/>
            <w:vAlign w:val="center"/>
            <w:hideMark/>
          </w:tcPr>
          <w:p w14:paraId="230EBFAF" w14:textId="77777777" w:rsidR="007B1BAC" w:rsidRPr="00801A36" w:rsidRDefault="007B1BAC" w:rsidP="00801A36">
            <w:pPr>
              <w:spacing w:after="0" w:line="240" w:lineRule="auto"/>
              <w:jc w:val="center"/>
              <w:rPr>
                <w:rFonts w:ascii="Times New Roman" w:eastAsia="Times New Roman" w:hAnsi="Times New Roman" w:cs="Times New Roman"/>
                <w:color w:val="000000"/>
                <w:kern w:val="0"/>
                <w:sz w:val="19"/>
                <w:szCs w:val="19"/>
                <w:lang w:eastAsia="en-IN"/>
                <w14:ligatures w14:val="none"/>
              </w:rPr>
            </w:pPr>
            <w:r w:rsidRPr="00801A36">
              <w:rPr>
                <w:rFonts w:ascii="Times New Roman" w:eastAsia="Times New Roman" w:hAnsi="Times New Roman" w:cs="Times New Roman"/>
                <w:color w:val="000000"/>
                <w:kern w:val="0"/>
                <w:sz w:val="19"/>
                <w:szCs w:val="19"/>
                <w:lang w:eastAsia="en-IN"/>
                <w14:ligatures w14:val="none"/>
              </w:rPr>
              <w:t>87.21</w:t>
            </w:r>
          </w:p>
        </w:tc>
        <w:tc>
          <w:tcPr>
            <w:tcW w:w="986" w:type="dxa"/>
            <w:tcBorders>
              <w:top w:val="nil"/>
              <w:left w:val="nil"/>
              <w:bottom w:val="single" w:sz="4" w:space="0" w:color="auto"/>
              <w:right w:val="single" w:sz="4" w:space="0" w:color="auto"/>
            </w:tcBorders>
            <w:noWrap/>
            <w:vAlign w:val="center"/>
            <w:hideMark/>
          </w:tcPr>
          <w:p w14:paraId="07DC5154" w14:textId="77777777" w:rsidR="007B1BAC" w:rsidRPr="00801A36" w:rsidRDefault="007B1BAC" w:rsidP="00801A36">
            <w:pPr>
              <w:spacing w:after="0" w:line="240" w:lineRule="auto"/>
              <w:jc w:val="center"/>
              <w:rPr>
                <w:rFonts w:ascii="Times New Roman" w:eastAsia="Times New Roman" w:hAnsi="Times New Roman" w:cs="Times New Roman"/>
                <w:color w:val="000000"/>
                <w:kern w:val="0"/>
                <w:sz w:val="19"/>
                <w:szCs w:val="19"/>
                <w:lang w:eastAsia="en-IN"/>
                <w14:ligatures w14:val="none"/>
              </w:rPr>
            </w:pPr>
            <w:r w:rsidRPr="00801A36">
              <w:rPr>
                <w:rFonts w:ascii="Times New Roman" w:eastAsia="Times New Roman" w:hAnsi="Times New Roman" w:cs="Times New Roman"/>
                <w:color w:val="000000"/>
                <w:kern w:val="0"/>
                <w:sz w:val="19"/>
                <w:szCs w:val="19"/>
                <w:lang w:eastAsia="en-IN"/>
                <w14:ligatures w14:val="none"/>
              </w:rPr>
              <w:t>122.49</w:t>
            </w:r>
          </w:p>
        </w:tc>
        <w:tc>
          <w:tcPr>
            <w:tcW w:w="1084" w:type="dxa"/>
            <w:tcBorders>
              <w:top w:val="nil"/>
              <w:left w:val="nil"/>
              <w:bottom w:val="single" w:sz="4" w:space="0" w:color="auto"/>
              <w:right w:val="single" w:sz="4" w:space="0" w:color="auto"/>
            </w:tcBorders>
            <w:noWrap/>
            <w:vAlign w:val="center"/>
            <w:hideMark/>
          </w:tcPr>
          <w:p w14:paraId="2A28B233" w14:textId="77777777" w:rsidR="007B1BAC" w:rsidRPr="00801A36" w:rsidRDefault="007B1BAC" w:rsidP="00801A36">
            <w:pPr>
              <w:spacing w:after="0" w:line="240" w:lineRule="auto"/>
              <w:jc w:val="center"/>
              <w:rPr>
                <w:rFonts w:ascii="Times New Roman" w:eastAsia="Times New Roman" w:hAnsi="Times New Roman" w:cs="Times New Roman"/>
                <w:color w:val="000000"/>
                <w:kern w:val="0"/>
                <w:sz w:val="19"/>
                <w:szCs w:val="19"/>
                <w:lang w:eastAsia="en-IN"/>
                <w14:ligatures w14:val="none"/>
              </w:rPr>
            </w:pPr>
            <w:r w:rsidRPr="00801A36">
              <w:rPr>
                <w:rFonts w:ascii="Times New Roman" w:eastAsia="Times New Roman" w:hAnsi="Times New Roman" w:cs="Times New Roman"/>
                <w:color w:val="000000"/>
                <w:kern w:val="0"/>
                <w:sz w:val="19"/>
                <w:szCs w:val="19"/>
                <w:lang w:eastAsia="en-IN"/>
                <w14:ligatures w14:val="none"/>
              </w:rPr>
              <w:t>35.28</w:t>
            </w:r>
          </w:p>
        </w:tc>
        <w:tc>
          <w:tcPr>
            <w:tcW w:w="1070" w:type="dxa"/>
            <w:tcBorders>
              <w:top w:val="nil"/>
              <w:left w:val="nil"/>
              <w:bottom w:val="single" w:sz="4" w:space="0" w:color="auto"/>
              <w:right w:val="single" w:sz="4" w:space="0" w:color="auto"/>
            </w:tcBorders>
            <w:noWrap/>
            <w:vAlign w:val="center"/>
            <w:hideMark/>
          </w:tcPr>
          <w:p w14:paraId="76490838" w14:textId="77777777" w:rsidR="007B1BAC" w:rsidRPr="00801A36" w:rsidRDefault="007B1BAC" w:rsidP="00801A36">
            <w:pPr>
              <w:spacing w:after="0" w:line="240" w:lineRule="auto"/>
              <w:jc w:val="center"/>
              <w:rPr>
                <w:rFonts w:ascii="Times New Roman" w:eastAsia="Times New Roman" w:hAnsi="Times New Roman" w:cs="Times New Roman"/>
                <w:color w:val="000000"/>
                <w:kern w:val="0"/>
                <w:sz w:val="19"/>
                <w:szCs w:val="19"/>
                <w:lang w:eastAsia="en-IN"/>
                <w14:ligatures w14:val="none"/>
              </w:rPr>
            </w:pPr>
            <w:r w:rsidRPr="00801A36">
              <w:rPr>
                <w:rFonts w:ascii="Times New Roman" w:eastAsia="Times New Roman" w:hAnsi="Times New Roman" w:cs="Times New Roman"/>
                <w:color w:val="000000"/>
                <w:kern w:val="0"/>
                <w:sz w:val="19"/>
                <w:szCs w:val="19"/>
                <w:lang w:eastAsia="en-IN"/>
                <w14:ligatures w14:val="none"/>
              </w:rPr>
              <w:t>..</w:t>
            </w:r>
          </w:p>
        </w:tc>
        <w:tc>
          <w:tcPr>
            <w:tcW w:w="1196" w:type="dxa"/>
            <w:tcBorders>
              <w:top w:val="nil"/>
              <w:left w:val="nil"/>
              <w:bottom w:val="single" w:sz="4" w:space="0" w:color="auto"/>
              <w:right w:val="single" w:sz="4" w:space="0" w:color="auto"/>
            </w:tcBorders>
            <w:noWrap/>
            <w:vAlign w:val="center"/>
            <w:hideMark/>
          </w:tcPr>
          <w:p w14:paraId="6ACD474C" w14:textId="77777777" w:rsidR="007B1BAC" w:rsidRPr="00801A36" w:rsidRDefault="007B1BAC" w:rsidP="00801A36">
            <w:pPr>
              <w:spacing w:after="0" w:line="240" w:lineRule="auto"/>
              <w:jc w:val="center"/>
              <w:rPr>
                <w:rFonts w:ascii="Times New Roman" w:eastAsia="Times New Roman" w:hAnsi="Times New Roman" w:cs="Times New Roman"/>
                <w:color w:val="000000"/>
                <w:kern w:val="0"/>
                <w:sz w:val="19"/>
                <w:szCs w:val="19"/>
                <w:lang w:eastAsia="en-IN"/>
                <w14:ligatures w14:val="none"/>
              </w:rPr>
            </w:pPr>
            <w:r w:rsidRPr="00801A36">
              <w:rPr>
                <w:rFonts w:ascii="Times New Roman" w:eastAsia="Times New Roman" w:hAnsi="Times New Roman" w:cs="Times New Roman"/>
                <w:color w:val="000000"/>
                <w:kern w:val="0"/>
                <w:sz w:val="19"/>
                <w:szCs w:val="19"/>
                <w:lang w:eastAsia="en-IN"/>
                <w14:ligatures w14:val="none"/>
              </w:rPr>
              <w:t>87.21</w:t>
            </w:r>
          </w:p>
        </w:tc>
        <w:tc>
          <w:tcPr>
            <w:tcW w:w="986" w:type="dxa"/>
            <w:tcBorders>
              <w:top w:val="nil"/>
              <w:left w:val="nil"/>
              <w:bottom w:val="single" w:sz="4" w:space="0" w:color="auto"/>
              <w:right w:val="single" w:sz="4" w:space="0" w:color="auto"/>
            </w:tcBorders>
            <w:noWrap/>
            <w:vAlign w:val="center"/>
            <w:hideMark/>
          </w:tcPr>
          <w:p w14:paraId="603531A8" w14:textId="77777777" w:rsidR="007B1BAC" w:rsidRPr="00801A36" w:rsidRDefault="007B1BAC" w:rsidP="00801A36">
            <w:pPr>
              <w:spacing w:after="0" w:line="240" w:lineRule="auto"/>
              <w:jc w:val="center"/>
              <w:rPr>
                <w:rFonts w:ascii="Times New Roman" w:eastAsia="Times New Roman" w:hAnsi="Times New Roman" w:cs="Times New Roman"/>
                <w:color w:val="000000"/>
                <w:kern w:val="0"/>
                <w:sz w:val="19"/>
                <w:szCs w:val="19"/>
                <w:lang w:eastAsia="en-IN"/>
                <w14:ligatures w14:val="none"/>
              </w:rPr>
            </w:pPr>
            <w:r w:rsidRPr="00801A36">
              <w:rPr>
                <w:rFonts w:ascii="Times New Roman" w:eastAsia="Times New Roman" w:hAnsi="Times New Roman" w:cs="Times New Roman"/>
                <w:color w:val="000000"/>
                <w:kern w:val="0"/>
                <w:sz w:val="19"/>
                <w:szCs w:val="19"/>
                <w:lang w:eastAsia="en-IN"/>
                <w14:ligatures w14:val="none"/>
              </w:rPr>
              <w:t>122.49</w:t>
            </w:r>
          </w:p>
        </w:tc>
        <w:tc>
          <w:tcPr>
            <w:tcW w:w="1084" w:type="dxa"/>
            <w:tcBorders>
              <w:top w:val="nil"/>
              <w:left w:val="nil"/>
              <w:bottom w:val="single" w:sz="4" w:space="0" w:color="auto"/>
              <w:right w:val="single" w:sz="4" w:space="0" w:color="auto"/>
            </w:tcBorders>
            <w:noWrap/>
            <w:vAlign w:val="center"/>
            <w:hideMark/>
          </w:tcPr>
          <w:p w14:paraId="73BEEE64" w14:textId="77777777" w:rsidR="007B1BAC" w:rsidRPr="00801A36" w:rsidRDefault="007B1BAC" w:rsidP="00801A36">
            <w:pPr>
              <w:spacing w:after="0" w:line="240" w:lineRule="auto"/>
              <w:jc w:val="center"/>
              <w:rPr>
                <w:rFonts w:ascii="Times New Roman" w:eastAsia="Times New Roman" w:hAnsi="Times New Roman" w:cs="Times New Roman"/>
                <w:color w:val="000000"/>
                <w:kern w:val="0"/>
                <w:sz w:val="19"/>
                <w:szCs w:val="19"/>
                <w:lang w:eastAsia="en-IN"/>
                <w14:ligatures w14:val="none"/>
              </w:rPr>
            </w:pPr>
            <w:r w:rsidRPr="00801A36">
              <w:rPr>
                <w:rFonts w:ascii="Times New Roman" w:eastAsia="Times New Roman" w:hAnsi="Times New Roman" w:cs="Times New Roman"/>
                <w:color w:val="000000"/>
                <w:kern w:val="0"/>
                <w:sz w:val="19"/>
                <w:szCs w:val="19"/>
                <w:lang w:eastAsia="en-IN"/>
                <w14:ligatures w14:val="none"/>
              </w:rPr>
              <w:t>35.26</w:t>
            </w:r>
          </w:p>
        </w:tc>
        <w:tc>
          <w:tcPr>
            <w:tcW w:w="1070" w:type="dxa"/>
            <w:tcBorders>
              <w:top w:val="nil"/>
              <w:left w:val="nil"/>
              <w:bottom w:val="single" w:sz="4" w:space="0" w:color="auto"/>
              <w:right w:val="single" w:sz="4" w:space="0" w:color="auto"/>
            </w:tcBorders>
            <w:noWrap/>
            <w:vAlign w:val="center"/>
            <w:hideMark/>
          </w:tcPr>
          <w:p w14:paraId="7ECC75E6" w14:textId="77777777" w:rsidR="007B1BAC" w:rsidRPr="00801A36" w:rsidRDefault="007B1BAC" w:rsidP="00801A36">
            <w:pPr>
              <w:spacing w:after="0" w:line="240" w:lineRule="auto"/>
              <w:jc w:val="center"/>
              <w:rPr>
                <w:rFonts w:ascii="Times New Roman" w:eastAsia="Times New Roman" w:hAnsi="Times New Roman" w:cs="Times New Roman"/>
                <w:color w:val="000000"/>
                <w:kern w:val="0"/>
                <w:sz w:val="19"/>
                <w:szCs w:val="19"/>
                <w:lang w:eastAsia="en-IN"/>
                <w14:ligatures w14:val="none"/>
              </w:rPr>
            </w:pPr>
            <w:r w:rsidRPr="00801A36">
              <w:rPr>
                <w:rFonts w:ascii="Times New Roman" w:eastAsia="Times New Roman" w:hAnsi="Times New Roman" w:cs="Times New Roman"/>
                <w:color w:val="000000"/>
                <w:kern w:val="0"/>
                <w:sz w:val="19"/>
                <w:szCs w:val="19"/>
                <w:lang w:eastAsia="en-IN"/>
                <w14:ligatures w14:val="none"/>
              </w:rPr>
              <w:t>..</w:t>
            </w:r>
          </w:p>
        </w:tc>
        <w:tc>
          <w:tcPr>
            <w:tcW w:w="1196" w:type="dxa"/>
            <w:tcBorders>
              <w:top w:val="nil"/>
              <w:left w:val="nil"/>
              <w:bottom w:val="single" w:sz="4" w:space="0" w:color="auto"/>
              <w:right w:val="single" w:sz="4" w:space="0" w:color="auto"/>
            </w:tcBorders>
            <w:noWrap/>
            <w:vAlign w:val="center"/>
            <w:hideMark/>
          </w:tcPr>
          <w:p w14:paraId="04D3F743" w14:textId="77777777" w:rsidR="007B1BAC" w:rsidRPr="00801A36" w:rsidRDefault="007B1BAC" w:rsidP="00801A36">
            <w:pPr>
              <w:spacing w:after="0" w:line="240" w:lineRule="auto"/>
              <w:jc w:val="center"/>
              <w:rPr>
                <w:rFonts w:ascii="Times New Roman" w:eastAsia="Times New Roman" w:hAnsi="Times New Roman" w:cs="Times New Roman"/>
                <w:color w:val="000000"/>
                <w:kern w:val="0"/>
                <w:sz w:val="19"/>
                <w:szCs w:val="19"/>
                <w:lang w:eastAsia="en-IN"/>
                <w14:ligatures w14:val="none"/>
              </w:rPr>
            </w:pPr>
            <w:r w:rsidRPr="00801A36">
              <w:rPr>
                <w:rFonts w:ascii="Times New Roman" w:eastAsia="Times New Roman" w:hAnsi="Times New Roman" w:cs="Times New Roman"/>
                <w:color w:val="000000"/>
                <w:kern w:val="0"/>
                <w:sz w:val="19"/>
                <w:szCs w:val="19"/>
                <w:lang w:eastAsia="en-IN"/>
                <w14:ligatures w14:val="none"/>
              </w:rPr>
              <w:t>87.21</w:t>
            </w:r>
          </w:p>
        </w:tc>
        <w:tc>
          <w:tcPr>
            <w:tcW w:w="986" w:type="dxa"/>
            <w:tcBorders>
              <w:top w:val="nil"/>
              <w:left w:val="nil"/>
              <w:bottom w:val="single" w:sz="4" w:space="0" w:color="auto"/>
              <w:right w:val="single" w:sz="4" w:space="0" w:color="auto"/>
            </w:tcBorders>
            <w:noWrap/>
            <w:vAlign w:val="center"/>
            <w:hideMark/>
          </w:tcPr>
          <w:p w14:paraId="52C17ECF" w14:textId="77777777" w:rsidR="007B1BAC" w:rsidRPr="00801A36" w:rsidRDefault="007B1BAC" w:rsidP="00801A36">
            <w:pPr>
              <w:spacing w:after="0" w:line="240" w:lineRule="auto"/>
              <w:jc w:val="center"/>
              <w:rPr>
                <w:rFonts w:ascii="Times New Roman" w:eastAsia="Times New Roman" w:hAnsi="Times New Roman" w:cs="Times New Roman"/>
                <w:color w:val="000000"/>
                <w:kern w:val="0"/>
                <w:sz w:val="19"/>
                <w:szCs w:val="19"/>
                <w:lang w:eastAsia="en-IN"/>
                <w14:ligatures w14:val="none"/>
              </w:rPr>
            </w:pPr>
            <w:r w:rsidRPr="00801A36">
              <w:rPr>
                <w:rFonts w:ascii="Times New Roman" w:eastAsia="Times New Roman" w:hAnsi="Times New Roman" w:cs="Times New Roman"/>
                <w:color w:val="000000"/>
                <w:kern w:val="0"/>
                <w:sz w:val="19"/>
                <w:szCs w:val="19"/>
                <w:lang w:eastAsia="en-IN"/>
                <w14:ligatures w14:val="none"/>
              </w:rPr>
              <w:t>122.47</w:t>
            </w:r>
          </w:p>
        </w:tc>
      </w:tr>
      <w:tr w:rsidR="007B1BAC" w:rsidRPr="00801A36" w14:paraId="2D194EDF" w14:textId="77777777" w:rsidTr="00801A36">
        <w:trPr>
          <w:trHeight w:val="20"/>
          <w:jc w:val="center"/>
        </w:trPr>
        <w:tc>
          <w:tcPr>
            <w:tcW w:w="618" w:type="dxa"/>
            <w:tcBorders>
              <w:top w:val="nil"/>
              <w:left w:val="single" w:sz="4" w:space="0" w:color="auto"/>
              <w:bottom w:val="single" w:sz="4" w:space="0" w:color="auto"/>
              <w:right w:val="single" w:sz="4" w:space="0" w:color="auto"/>
            </w:tcBorders>
            <w:noWrap/>
            <w:vAlign w:val="bottom"/>
            <w:hideMark/>
          </w:tcPr>
          <w:p w14:paraId="54DECD39" w14:textId="77777777" w:rsidR="007B1BAC" w:rsidRPr="00801A36" w:rsidRDefault="007B1BAC" w:rsidP="007B1BAC">
            <w:pPr>
              <w:spacing w:after="0" w:line="240" w:lineRule="auto"/>
              <w:rPr>
                <w:rFonts w:ascii="Times New Roman" w:eastAsia="Times New Roman" w:hAnsi="Times New Roman" w:cs="Times New Roman"/>
                <w:color w:val="000000"/>
                <w:kern w:val="0"/>
                <w:sz w:val="19"/>
                <w:szCs w:val="19"/>
                <w:lang w:eastAsia="en-IN"/>
                <w14:ligatures w14:val="none"/>
              </w:rPr>
            </w:pPr>
            <w:r w:rsidRPr="00801A36">
              <w:rPr>
                <w:rFonts w:ascii="Times New Roman" w:eastAsia="Times New Roman" w:hAnsi="Times New Roman" w:cs="Times New Roman"/>
                <w:color w:val="000000"/>
                <w:kern w:val="0"/>
                <w:sz w:val="19"/>
                <w:szCs w:val="19"/>
                <w:lang w:eastAsia="en-IN"/>
                <w14:ligatures w14:val="none"/>
              </w:rPr>
              <w:t> </w:t>
            </w:r>
          </w:p>
        </w:tc>
        <w:tc>
          <w:tcPr>
            <w:tcW w:w="1680" w:type="dxa"/>
            <w:tcBorders>
              <w:top w:val="nil"/>
              <w:left w:val="nil"/>
              <w:bottom w:val="single" w:sz="4" w:space="0" w:color="auto"/>
              <w:right w:val="single" w:sz="4" w:space="0" w:color="auto"/>
            </w:tcBorders>
            <w:noWrap/>
            <w:vAlign w:val="bottom"/>
            <w:hideMark/>
          </w:tcPr>
          <w:p w14:paraId="0273EFE8" w14:textId="77777777" w:rsidR="007B1BAC" w:rsidRPr="00801A36" w:rsidRDefault="007B1BAC" w:rsidP="007B1BAC">
            <w:pPr>
              <w:spacing w:after="0" w:line="240" w:lineRule="auto"/>
              <w:rPr>
                <w:rFonts w:ascii="Times New Roman" w:eastAsia="Times New Roman" w:hAnsi="Times New Roman" w:cs="Times New Roman"/>
                <w:color w:val="000000"/>
                <w:kern w:val="0"/>
                <w:sz w:val="19"/>
                <w:szCs w:val="19"/>
                <w:lang w:eastAsia="en-IN"/>
                <w14:ligatures w14:val="none"/>
              </w:rPr>
            </w:pPr>
            <w:r w:rsidRPr="00801A36">
              <w:rPr>
                <w:rFonts w:ascii="Times New Roman" w:eastAsia="Times New Roman" w:hAnsi="Times New Roman" w:cs="Times New Roman"/>
                <w:color w:val="000000"/>
                <w:kern w:val="0"/>
                <w:sz w:val="19"/>
                <w:szCs w:val="19"/>
                <w:lang w:eastAsia="en-IN"/>
                <w14:ligatures w14:val="none"/>
              </w:rPr>
              <w:t>Northern</w:t>
            </w:r>
          </w:p>
        </w:tc>
        <w:tc>
          <w:tcPr>
            <w:tcW w:w="1084" w:type="dxa"/>
            <w:tcBorders>
              <w:top w:val="nil"/>
              <w:left w:val="nil"/>
              <w:bottom w:val="single" w:sz="4" w:space="0" w:color="auto"/>
              <w:right w:val="single" w:sz="4" w:space="0" w:color="auto"/>
            </w:tcBorders>
            <w:noWrap/>
            <w:vAlign w:val="center"/>
            <w:hideMark/>
          </w:tcPr>
          <w:p w14:paraId="34C755D9" w14:textId="77777777" w:rsidR="007B1BAC" w:rsidRPr="00801A36" w:rsidRDefault="007B1BAC" w:rsidP="00801A36">
            <w:pPr>
              <w:spacing w:after="0" w:line="240" w:lineRule="auto"/>
              <w:jc w:val="center"/>
              <w:rPr>
                <w:rFonts w:ascii="Times New Roman" w:eastAsia="Times New Roman" w:hAnsi="Times New Roman" w:cs="Times New Roman"/>
                <w:color w:val="000000"/>
                <w:kern w:val="0"/>
                <w:sz w:val="19"/>
                <w:szCs w:val="19"/>
                <w:lang w:eastAsia="en-IN"/>
                <w14:ligatures w14:val="none"/>
              </w:rPr>
            </w:pPr>
            <w:r w:rsidRPr="00801A36">
              <w:rPr>
                <w:rFonts w:ascii="Times New Roman" w:eastAsia="Times New Roman" w:hAnsi="Times New Roman" w:cs="Times New Roman"/>
                <w:color w:val="000000"/>
                <w:kern w:val="0"/>
                <w:sz w:val="19"/>
                <w:szCs w:val="19"/>
                <w:lang w:eastAsia="en-IN"/>
                <w14:ligatures w14:val="none"/>
              </w:rPr>
              <w:t>5.87</w:t>
            </w:r>
          </w:p>
        </w:tc>
        <w:tc>
          <w:tcPr>
            <w:tcW w:w="1070" w:type="dxa"/>
            <w:tcBorders>
              <w:top w:val="nil"/>
              <w:left w:val="nil"/>
              <w:bottom w:val="single" w:sz="4" w:space="0" w:color="auto"/>
              <w:right w:val="single" w:sz="4" w:space="0" w:color="auto"/>
            </w:tcBorders>
            <w:noWrap/>
            <w:vAlign w:val="center"/>
            <w:hideMark/>
          </w:tcPr>
          <w:p w14:paraId="5E353302" w14:textId="77777777" w:rsidR="007B1BAC" w:rsidRPr="00801A36" w:rsidRDefault="007B1BAC" w:rsidP="00801A36">
            <w:pPr>
              <w:spacing w:after="0" w:line="240" w:lineRule="auto"/>
              <w:jc w:val="center"/>
              <w:rPr>
                <w:rFonts w:ascii="Times New Roman" w:eastAsia="Times New Roman" w:hAnsi="Times New Roman" w:cs="Times New Roman"/>
                <w:color w:val="000000"/>
                <w:kern w:val="0"/>
                <w:sz w:val="19"/>
                <w:szCs w:val="19"/>
                <w:lang w:eastAsia="en-IN"/>
                <w14:ligatures w14:val="none"/>
              </w:rPr>
            </w:pPr>
            <w:r w:rsidRPr="00801A36">
              <w:rPr>
                <w:rFonts w:ascii="Times New Roman" w:eastAsia="Times New Roman" w:hAnsi="Times New Roman" w:cs="Times New Roman"/>
                <w:color w:val="000000"/>
                <w:kern w:val="0"/>
                <w:sz w:val="19"/>
                <w:szCs w:val="19"/>
                <w:lang w:eastAsia="en-IN"/>
                <w14:ligatures w14:val="none"/>
              </w:rPr>
              <w:t>2,488.62</w:t>
            </w:r>
          </w:p>
        </w:tc>
        <w:tc>
          <w:tcPr>
            <w:tcW w:w="1196" w:type="dxa"/>
            <w:tcBorders>
              <w:top w:val="nil"/>
              <w:left w:val="nil"/>
              <w:bottom w:val="single" w:sz="4" w:space="0" w:color="auto"/>
              <w:right w:val="single" w:sz="4" w:space="0" w:color="auto"/>
            </w:tcBorders>
            <w:noWrap/>
            <w:vAlign w:val="center"/>
            <w:hideMark/>
          </w:tcPr>
          <w:p w14:paraId="39F2C804" w14:textId="77777777" w:rsidR="007B1BAC" w:rsidRPr="00801A36" w:rsidRDefault="007B1BAC" w:rsidP="00801A36">
            <w:pPr>
              <w:spacing w:after="0" w:line="240" w:lineRule="auto"/>
              <w:jc w:val="center"/>
              <w:rPr>
                <w:rFonts w:ascii="Times New Roman" w:eastAsia="Times New Roman" w:hAnsi="Times New Roman" w:cs="Times New Roman"/>
                <w:color w:val="000000"/>
                <w:kern w:val="0"/>
                <w:sz w:val="19"/>
                <w:szCs w:val="19"/>
                <w:lang w:eastAsia="en-IN"/>
                <w14:ligatures w14:val="none"/>
              </w:rPr>
            </w:pPr>
            <w:r w:rsidRPr="00801A36">
              <w:rPr>
                <w:rFonts w:ascii="Times New Roman" w:eastAsia="Times New Roman" w:hAnsi="Times New Roman" w:cs="Times New Roman"/>
                <w:color w:val="000000"/>
                <w:kern w:val="0"/>
                <w:sz w:val="19"/>
                <w:szCs w:val="19"/>
                <w:lang w:eastAsia="en-IN"/>
                <w14:ligatures w14:val="none"/>
              </w:rPr>
              <w:t>..</w:t>
            </w:r>
          </w:p>
        </w:tc>
        <w:tc>
          <w:tcPr>
            <w:tcW w:w="986" w:type="dxa"/>
            <w:tcBorders>
              <w:top w:val="nil"/>
              <w:left w:val="nil"/>
              <w:bottom w:val="single" w:sz="4" w:space="0" w:color="auto"/>
              <w:right w:val="single" w:sz="4" w:space="0" w:color="auto"/>
            </w:tcBorders>
            <w:noWrap/>
            <w:vAlign w:val="center"/>
            <w:hideMark/>
          </w:tcPr>
          <w:p w14:paraId="31F017B2" w14:textId="77777777" w:rsidR="007B1BAC" w:rsidRPr="00801A36" w:rsidRDefault="007B1BAC" w:rsidP="00801A36">
            <w:pPr>
              <w:spacing w:after="0" w:line="240" w:lineRule="auto"/>
              <w:jc w:val="center"/>
              <w:rPr>
                <w:rFonts w:ascii="Times New Roman" w:eastAsia="Times New Roman" w:hAnsi="Times New Roman" w:cs="Times New Roman"/>
                <w:color w:val="000000"/>
                <w:kern w:val="0"/>
                <w:sz w:val="19"/>
                <w:szCs w:val="19"/>
                <w:lang w:eastAsia="en-IN"/>
                <w14:ligatures w14:val="none"/>
              </w:rPr>
            </w:pPr>
            <w:r w:rsidRPr="00801A36">
              <w:rPr>
                <w:rFonts w:ascii="Times New Roman" w:eastAsia="Times New Roman" w:hAnsi="Times New Roman" w:cs="Times New Roman"/>
                <w:color w:val="000000"/>
                <w:kern w:val="0"/>
                <w:sz w:val="19"/>
                <w:szCs w:val="19"/>
                <w:lang w:eastAsia="en-IN"/>
                <w14:ligatures w14:val="none"/>
              </w:rPr>
              <w:t>2,494.49</w:t>
            </w:r>
          </w:p>
        </w:tc>
        <w:tc>
          <w:tcPr>
            <w:tcW w:w="1084" w:type="dxa"/>
            <w:tcBorders>
              <w:top w:val="nil"/>
              <w:left w:val="nil"/>
              <w:bottom w:val="single" w:sz="4" w:space="0" w:color="auto"/>
              <w:right w:val="single" w:sz="4" w:space="0" w:color="auto"/>
            </w:tcBorders>
            <w:noWrap/>
            <w:vAlign w:val="center"/>
            <w:hideMark/>
          </w:tcPr>
          <w:p w14:paraId="62C9E420" w14:textId="77777777" w:rsidR="007B1BAC" w:rsidRPr="00801A36" w:rsidRDefault="007B1BAC" w:rsidP="00801A36">
            <w:pPr>
              <w:spacing w:after="0" w:line="240" w:lineRule="auto"/>
              <w:jc w:val="center"/>
              <w:rPr>
                <w:rFonts w:ascii="Times New Roman" w:eastAsia="Times New Roman" w:hAnsi="Times New Roman" w:cs="Times New Roman"/>
                <w:color w:val="000000"/>
                <w:kern w:val="0"/>
                <w:sz w:val="19"/>
                <w:szCs w:val="19"/>
                <w:lang w:eastAsia="en-IN"/>
                <w14:ligatures w14:val="none"/>
              </w:rPr>
            </w:pPr>
            <w:r w:rsidRPr="00801A36">
              <w:rPr>
                <w:rFonts w:ascii="Times New Roman" w:eastAsia="Times New Roman" w:hAnsi="Times New Roman" w:cs="Times New Roman"/>
                <w:color w:val="000000"/>
                <w:kern w:val="0"/>
                <w:sz w:val="19"/>
                <w:szCs w:val="19"/>
                <w:lang w:eastAsia="en-IN"/>
                <w14:ligatures w14:val="none"/>
              </w:rPr>
              <w:t>5.87</w:t>
            </w:r>
          </w:p>
        </w:tc>
        <w:tc>
          <w:tcPr>
            <w:tcW w:w="1070" w:type="dxa"/>
            <w:tcBorders>
              <w:top w:val="nil"/>
              <w:left w:val="nil"/>
              <w:bottom w:val="single" w:sz="4" w:space="0" w:color="auto"/>
              <w:right w:val="single" w:sz="4" w:space="0" w:color="auto"/>
            </w:tcBorders>
            <w:noWrap/>
            <w:vAlign w:val="center"/>
            <w:hideMark/>
          </w:tcPr>
          <w:p w14:paraId="76417F01" w14:textId="77777777" w:rsidR="007B1BAC" w:rsidRPr="00801A36" w:rsidRDefault="007B1BAC" w:rsidP="00801A36">
            <w:pPr>
              <w:spacing w:after="0" w:line="240" w:lineRule="auto"/>
              <w:jc w:val="center"/>
              <w:rPr>
                <w:rFonts w:ascii="Times New Roman" w:eastAsia="Times New Roman" w:hAnsi="Times New Roman" w:cs="Times New Roman"/>
                <w:color w:val="000000"/>
                <w:kern w:val="0"/>
                <w:sz w:val="19"/>
                <w:szCs w:val="19"/>
                <w:lang w:eastAsia="en-IN"/>
                <w14:ligatures w14:val="none"/>
              </w:rPr>
            </w:pPr>
            <w:r w:rsidRPr="00801A36">
              <w:rPr>
                <w:rFonts w:ascii="Times New Roman" w:eastAsia="Times New Roman" w:hAnsi="Times New Roman" w:cs="Times New Roman"/>
                <w:color w:val="000000"/>
                <w:kern w:val="0"/>
                <w:sz w:val="19"/>
                <w:szCs w:val="19"/>
                <w:lang w:eastAsia="en-IN"/>
                <w14:ligatures w14:val="none"/>
              </w:rPr>
              <w:t>2,488.62</w:t>
            </w:r>
          </w:p>
        </w:tc>
        <w:tc>
          <w:tcPr>
            <w:tcW w:w="1196" w:type="dxa"/>
            <w:tcBorders>
              <w:top w:val="nil"/>
              <w:left w:val="nil"/>
              <w:bottom w:val="single" w:sz="4" w:space="0" w:color="auto"/>
              <w:right w:val="single" w:sz="4" w:space="0" w:color="auto"/>
            </w:tcBorders>
            <w:noWrap/>
            <w:vAlign w:val="center"/>
            <w:hideMark/>
          </w:tcPr>
          <w:p w14:paraId="49B25255" w14:textId="77777777" w:rsidR="007B1BAC" w:rsidRPr="00801A36" w:rsidRDefault="007B1BAC" w:rsidP="00801A36">
            <w:pPr>
              <w:spacing w:after="0" w:line="240" w:lineRule="auto"/>
              <w:jc w:val="center"/>
              <w:rPr>
                <w:rFonts w:ascii="Times New Roman" w:eastAsia="Times New Roman" w:hAnsi="Times New Roman" w:cs="Times New Roman"/>
                <w:color w:val="000000"/>
                <w:kern w:val="0"/>
                <w:sz w:val="19"/>
                <w:szCs w:val="19"/>
                <w:lang w:eastAsia="en-IN"/>
                <w14:ligatures w14:val="none"/>
              </w:rPr>
            </w:pPr>
            <w:r w:rsidRPr="00801A36">
              <w:rPr>
                <w:rFonts w:ascii="Times New Roman" w:eastAsia="Times New Roman" w:hAnsi="Times New Roman" w:cs="Times New Roman"/>
                <w:color w:val="000000"/>
                <w:kern w:val="0"/>
                <w:sz w:val="19"/>
                <w:szCs w:val="19"/>
                <w:lang w:eastAsia="en-IN"/>
                <w14:ligatures w14:val="none"/>
              </w:rPr>
              <w:t>..</w:t>
            </w:r>
          </w:p>
        </w:tc>
        <w:tc>
          <w:tcPr>
            <w:tcW w:w="986" w:type="dxa"/>
            <w:tcBorders>
              <w:top w:val="nil"/>
              <w:left w:val="nil"/>
              <w:bottom w:val="single" w:sz="4" w:space="0" w:color="auto"/>
              <w:right w:val="single" w:sz="4" w:space="0" w:color="auto"/>
            </w:tcBorders>
            <w:noWrap/>
            <w:vAlign w:val="center"/>
            <w:hideMark/>
          </w:tcPr>
          <w:p w14:paraId="590D6237" w14:textId="77777777" w:rsidR="007B1BAC" w:rsidRPr="00801A36" w:rsidRDefault="007B1BAC" w:rsidP="00801A36">
            <w:pPr>
              <w:spacing w:after="0" w:line="240" w:lineRule="auto"/>
              <w:jc w:val="center"/>
              <w:rPr>
                <w:rFonts w:ascii="Times New Roman" w:eastAsia="Times New Roman" w:hAnsi="Times New Roman" w:cs="Times New Roman"/>
                <w:color w:val="000000"/>
                <w:kern w:val="0"/>
                <w:sz w:val="19"/>
                <w:szCs w:val="19"/>
                <w:lang w:eastAsia="en-IN"/>
                <w14:ligatures w14:val="none"/>
              </w:rPr>
            </w:pPr>
            <w:r w:rsidRPr="00801A36">
              <w:rPr>
                <w:rFonts w:ascii="Times New Roman" w:eastAsia="Times New Roman" w:hAnsi="Times New Roman" w:cs="Times New Roman"/>
                <w:color w:val="000000"/>
                <w:kern w:val="0"/>
                <w:sz w:val="19"/>
                <w:szCs w:val="19"/>
                <w:lang w:eastAsia="en-IN"/>
                <w14:ligatures w14:val="none"/>
              </w:rPr>
              <w:t>2,494.49</w:t>
            </w:r>
          </w:p>
        </w:tc>
        <w:tc>
          <w:tcPr>
            <w:tcW w:w="1084" w:type="dxa"/>
            <w:tcBorders>
              <w:top w:val="nil"/>
              <w:left w:val="nil"/>
              <w:bottom w:val="single" w:sz="4" w:space="0" w:color="auto"/>
              <w:right w:val="single" w:sz="4" w:space="0" w:color="auto"/>
            </w:tcBorders>
            <w:noWrap/>
            <w:vAlign w:val="center"/>
            <w:hideMark/>
          </w:tcPr>
          <w:p w14:paraId="717DC1ED" w14:textId="77777777" w:rsidR="007B1BAC" w:rsidRPr="00801A36" w:rsidRDefault="007B1BAC" w:rsidP="00801A36">
            <w:pPr>
              <w:spacing w:after="0" w:line="240" w:lineRule="auto"/>
              <w:jc w:val="center"/>
              <w:rPr>
                <w:rFonts w:ascii="Times New Roman" w:eastAsia="Times New Roman" w:hAnsi="Times New Roman" w:cs="Times New Roman"/>
                <w:color w:val="000000"/>
                <w:kern w:val="0"/>
                <w:sz w:val="19"/>
                <w:szCs w:val="19"/>
                <w:lang w:eastAsia="en-IN"/>
                <w14:ligatures w14:val="none"/>
              </w:rPr>
            </w:pPr>
            <w:r w:rsidRPr="00801A36">
              <w:rPr>
                <w:rFonts w:ascii="Times New Roman" w:eastAsia="Times New Roman" w:hAnsi="Times New Roman" w:cs="Times New Roman"/>
                <w:color w:val="000000"/>
                <w:kern w:val="0"/>
                <w:sz w:val="19"/>
                <w:szCs w:val="19"/>
                <w:lang w:eastAsia="en-IN"/>
                <w14:ligatures w14:val="none"/>
              </w:rPr>
              <w:t>5.43</w:t>
            </w:r>
          </w:p>
        </w:tc>
        <w:tc>
          <w:tcPr>
            <w:tcW w:w="1070" w:type="dxa"/>
            <w:tcBorders>
              <w:top w:val="nil"/>
              <w:left w:val="nil"/>
              <w:bottom w:val="single" w:sz="4" w:space="0" w:color="auto"/>
              <w:right w:val="single" w:sz="4" w:space="0" w:color="auto"/>
            </w:tcBorders>
            <w:noWrap/>
            <w:vAlign w:val="center"/>
            <w:hideMark/>
          </w:tcPr>
          <w:p w14:paraId="00859B29" w14:textId="77777777" w:rsidR="007B1BAC" w:rsidRPr="00801A36" w:rsidRDefault="007B1BAC" w:rsidP="00801A36">
            <w:pPr>
              <w:spacing w:after="0" w:line="240" w:lineRule="auto"/>
              <w:jc w:val="center"/>
              <w:rPr>
                <w:rFonts w:ascii="Times New Roman" w:eastAsia="Times New Roman" w:hAnsi="Times New Roman" w:cs="Times New Roman"/>
                <w:color w:val="000000"/>
                <w:kern w:val="0"/>
                <w:sz w:val="19"/>
                <w:szCs w:val="19"/>
                <w:lang w:eastAsia="en-IN"/>
                <w14:ligatures w14:val="none"/>
              </w:rPr>
            </w:pPr>
            <w:r w:rsidRPr="00801A36">
              <w:rPr>
                <w:rFonts w:ascii="Times New Roman" w:eastAsia="Times New Roman" w:hAnsi="Times New Roman" w:cs="Times New Roman"/>
                <w:color w:val="000000"/>
                <w:kern w:val="0"/>
                <w:sz w:val="19"/>
                <w:szCs w:val="19"/>
                <w:lang w:eastAsia="en-IN"/>
                <w14:ligatures w14:val="none"/>
              </w:rPr>
              <w:t>2,494.44</w:t>
            </w:r>
          </w:p>
        </w:tc>
        <w:tc>
          <w:tcPr>
            <w:tcW w:w="1196" w:type="dxa"/>
            <w:tcBorders>
              <w:top w:val="nil"/>
              <w:left w:val="nil"/>
              <w:bottom w:val="single" w:sz="4" w:space="0" w:color="auto"/>
              <w:right w:val="single" w:sz="4" w:space="0" w:color="auto"/>
            </w:tcBorders>
            <w:noWrap/>
            <w:vAlign w:val="center"/>
            <w:hideMark/>
          </w:tcPr>
          <w:p w14:paraId="209E2354" w14:textId="77777777" w:rsidR="007B1BAC" w:rsidRPr="00801A36" w:rsidRDefault="007B1BAC" w:rsidP="00801A36">
            <w:pPr>
              <w:spacing w:after="0" w:line="240" w:lineRule="auto"/>
              <w:jc w:val="center"/>
              <w:rPr>
                <w:rFonts w:ascii="Times New Roman" w:eastAsia="Times New Roman" w:hAnsi="Times New Roman" w:cs="Times New Roman"/>
                <w:color w:val="000000"/>
                <w:kern w:val="0"/>
                <w:sz w:val="19"/>
                <w:szCs w:val="19"/>
                <w:lang w:eastAsia="en-IN"/>
                <w14:ligatures w14:val="none"/>
              </w:rPr>
            </w:pPr>
            <w:r w:rsidRPr="00801A36">
              <w:rPr>
                <w:rFonts w:ascii="Times New Roman" w:eastAsia="Times New Roman" w:hAnsi="Times New Roman" w:cs="Times New Roman"/>
                <w:color w:val="000000"/>
                <w:kern w:val="0"/>
                <w:sz w:val="19"/>
                <w:szCs w:val="19"/>
                <w:lang w:eastAsia="en-IN"/>
                <w14:ligatures w14:val="none"/>
              </w:rPr>
              <w:t>..</w:t>
            </w:r>
          </w:p>
        </w:tc>
        <w:tc>
          <w:tcPr>
            <w:tcW w:w="986" w:type="dxa"/>
            <w:tcBorders>
              <w:top w:val="nil"/>
              <w:left w:val="nil"/>
              <w:bottom w:val="single" w:sz="4" w:space="0" w:color="auto"/>
              <w:right w:val="single" w:sz="4" w:space="0" w:color="auto"/>
            </w:tcBorders>
            <w:noWrap/>
            <w:vAlign w:val="center"/>
            <w:hideMark/>
          </w:tcPr>
          <w:p w14:paraId="6DBE002A" w14:textId="77777777" w:rsidR="007B1BAC" w:rsidRPr="00801A36" w:rsidRDefault="007B1BAC" w:rsidP="00801A36">
            <w:pPr>
              <w:spacing w:after="0" w:line="240" w:lineRule="auto"/>
              <w:jc w:val="center"/>
              <w:rPr>
                <w:rFonts w:ascii="Times New Roman" w:eastAsia="Times New Roman" w:hAnsi="Times New Roman" w:cs="Times New Roman"/>
                <w:color w:val="000000"/>
                <w:kern w:val="0"/>
                <w:sz w:val="19"/>
                <w:szCs w:val="19"/>
                <w:lang w:eastAsia="en-IN"/>
                <w14:ligatures w14:val="none"/>
              </w:rPr>
            </w:pPr>
            <w:r w:rsidRPr="00801A36">
              <w:rPr>
                <w:rFonts w:ascii="Times New Roman" w:eastAsia="Times New Roman" w:hAnsi="Times New Roman" w:cs="Times New Roman"/>
                <w:color w:val="000000"/>
                <w:kern w:val="0"/>
                <w:sz w:val="19"/>
                <w:szCs w:val="19"/>
                <w:lang w:eastAsia="en-IN"/>
                <w14:ligatures w14:val="none"/>
              </w:rPr>
              <w:t>2,499.87</w:t>
            </w:r>
          </w:p>
        </w:tc>
      </w:tr>
      <w:tr w:rsidR="007B1BAC" w:rsidRPr="00801A36" w14:paraId="2138311E" w14:textId="77777777" w:rsidTr="00801A36">
        <w:trPr>
          <w:trHeight w:val="20"/>
          <w:jc w:val="center"/>
        </w:trPr>
        <w:tc>
          <w:tcPr>
            <w:tcW w:w="618" w:type="dxa"/>
            <w:tcBorders>
              <w:top w:val="nil"/>
              <w:left w:val="single" w:sz="4" w:space="0" w:color="auto"/>
              <w:bottom w:val="single" w:sz="4" w:space="0" w:color="auto"/>
              <w:right w:val="single" w:sz="4" w:space="0" w:color="auto"/>
            </w:tcBorders>
            <w:noWrap/>
            <w:vAlign w:val="bottom"/>
            <w:hideMark/>
          </w:tcPr>
          <w:p w14:paraId="3EF389C4" w14:textId="77777777" w:rsidR="007B1BAC" w:rsidRPr="00801A36" w:rsidRDefault="007B1BAC" w:rsidP="007B1BAC">
            <w:pPr>
              <w:spacing w:after="0" w:line="240" w:lineRule="auto"/>
              <w:rPr>
                <w:rFonts w:ascii="Times New Roman" w:eastAsia="Times New Roman" w:hAnsi="Times New Roman" w:cs="Times New Roman"/>
                <w:color w:val="000000"/>
                <w:kern w:val="0"/>
                <w:sz w:val="19"/>
                <w:szCs w:val="19"/>
                <w:lang w:eastAsia="en-IN"/>
                <w14:ligatures w14:val="none"/>
              </w:rPr>
            </w:pPr>
            <w:r w:rsidRPr="00801A36">
              <w:rPr>
                <w:rFonts w:ascii="Times New Roman" w:eastAsia="Times New Roman" w:hAnsi="Times New Roman" w:cs="Times New Roman"/>
                <w:color w:val="000000"/>
                <w:kern w:val="0"/>
                <w:sz w:val="19"/>
                <w:szCs w:val="19"/>
                <w:lang w:eastAsia="en-IN"/>
                <w14:ligatures w14:val="none"/>
              </w:rPr>
              <w:t> </w:t>
            </w:r>
          </w:p>
        </w:tc>
        <w:tc>
          <w:tcPr>
            <w:tcW w:w="1680" w:type="dxa"/>
            <w:tcBorders>
              <w:top w:val="nil"/>
              <w:left w:val="nil"/>
              <w:bottom w:val="single" w:sz="4" w:space="0" w:color="auto"/>
              <w:right w:val="single" w:sz="4" w:space="0" w:color="auto"/>
            </w:tcBorders>
            <w:noWrap/>
            <w:vAlign w:val="bottom"/>
            <w:hideMark/>
          </w:tcPr>
          <w:p w14:paraId="1FF90C5B" w14:textId="77777777" w:rsidR="007B1BAC" w:rsidRPr="00801A36" w:rsidRDefault="007B1BAC" w:rsidP="007B1BAC">
            <w:pPr>
              <w:spacing w:after="0" w:line="240" w:lineRule="auto"/>
              <w:rPr>
                <w:rFonts w:ascii="Times New Roman" w:eastAsia="Times New Roman" w:hAnsi="Times New Roman" w:cs="Times New Roman"/>
                <w:color w:val="000000"/>
                <w:kern w:val="0"/>
                <w:sz w:val="19"/>
                <w:szCs w:val="19"/>
                <w:lang w:eastAsia="en-IN"/>
                <w14:ligatures w14:val="none"/>
              </w:rPr>
            </w:pPr>
            <w:r w:rsidRPr="00801A36">
              <w:rPr>
                <w:rFonts w:ascii="Times New Roman" w:eastAsia="Times New Roman" w:hAnsi="Times New Roman" w:cs="Times New Roman"/>
                <w:color w:val="000000"/>
                <w:kern w:val="0"/>
                <w:sz w:val="19"/>
                <w:szCs w:val="19"/>
                <w:lang w:eastAsia="en-IN"/>
                <w14:ligatures w14:val="none"/>
              </w:rPr>
              <w:t>Western</w:t>
            </w:r>
          </w:p>
        </w:tc>
        <w:tc>
          <w:tcPr>
            <w:tcW w:w="1084" w:type="dxa"/>
            <w:tcBorders>
              <w:top w:val="nil"/>
              <w:left w:val="nil"/>
              <w:bottom w:val="single" w:sz="4" w:space="0" w:color="auto"/>
              <w:right w:val="single" w:sz="4" w:space="0" w:color="auto"/>
            </w:tcBorders>
            <w:noWrap/>
            <w:vAlign w:val="center"/>
            <w:hideMark/>
          </w:tcPr>
          <w:p w14:paraId="305BC4F8" w14:textId="77777777" w:rsidR="007B1BAC" w:rsidRPr="00801A36" w:rsidRDefault="007B1BAC" w:rsidP="00801A36">
            <w:pPr>
              <w:spacing w:after="0" w:line="240" w:lineRule="auto"/>
              <w:jc w:val="center"/>
              <w:rPr>
                <w:rFonts w:ascii="Times New Roman" w:eastAsia="Times New Roman" w:hAnsi="Times New Roman" w:cs="Times New Roman"/>
                <w:color w:val="000000"/>
                <w:kern w:val="0"/>
                <w:sz w:val="19"/>
                <w:szCs w:val="19"/>
                <w:lang w:eastAsia="en-IN"/>
                <w14:ligatures w14:val="none"/>
              </w:rPr>
            </w:pPr>
            <w:r w:rsidRPr="00801A36">
              <w:rPr>
                <w:rFonts w:ascii="Times New Roman" w:eastAsia="Times New Roman" w:hAnsi="Times New Roman" w:cs="Times New Roman"/>
                <w:color w:val="000000"/>
                <w:kern w:val="0"/>
                <w:sz w:val="19"/>
                <w:szCs w:val="19"/>
                <w:lang w:eastAsia="en-IN"/>
                <w14:ligatures w14:val="none"/>
              </w:rPr>
              <w:t>608.04</w:t>
            </w:r>
          </w:p>
        </w:tc>
        <w:tc>
          <w:tcPr>
            <w:tcW w:w="1070" w:type="dxa"/>
            <w:tcBorders>
              <w:top w:val="nil"/>
              <w:left w:val="nil"/>
              <w:bottom w:val="single" w:sz="4" w:space="0" w:color="auto"/>
              <w:right w:val="single" w:sz="4" w:space="0" w:color="auto"/>
            </w:tcBorders>
            <w:noWrap/>
            <w:vAlign w:val="center"/>
            <w:hideMark/>
          </w:tcPr>
          <w:p w14:paraId="4BA023A0" w14:textId="77777777" w:rsidR="007B1BAC" w:rsidRPr="00801A36" w:rsidRDefault="007B1BAC" w:rsidP="00801A36">
            <w:pPr>
              <w:spacing w:after="0" w:line="240" w:lineRule="auto"/>
              <w:jc w:val="center"/>
              <w:rPr>
                <w:rFonts w:ascii="Times New Roman" w:eastAsia="Times New Roman" w:hAnsi="Times New Roman" w:cs="Times New Roman"/>
                <w:color w:val="000000"/>
                <w:kern w:val="0"/>
                <w:sz w:val="19"/>
                <w:szCs w:val="19"/>
                <w:lang w:eastAsia="en-IN"/>
                <w14:ligatures w14:val="none"/>
              </w:rPr>
            </w:pPr>
            <w:r w:rsidRPr="00801A36">
              <w:rPr>
                <w:rFonts w:ascii="Times New Roman" w:eastAsia="Times New Roman" w:hAnsi="Times New Roman" w:cs="Times New Roman"/>
                <w:color w:val="000000"/>
                <w:kern w:val="0"/>
                <w:sz w:val="19"/>
                <w:szCs w:val="19"/>
                <w:lang w:eastAsia="en-IN"/>
                <w14:ligatures w14:val="none"/>
              </w:rPr>
              <w:t>2,076.62</w:t>
            </w:r>
          </w:p>
        </w:tc>
        <w:tc>
          <w:tcPr>
            <w:tcW w:w="1196" w:type="dxa"/>
            <w:tcBorders>
              <w:top w:val="nil"/>
              <w:left w:val="nil"/>
              <w:bottom w:val="single" w:sz="4" w:space="0" w:color="auto"/>
              <w:right w:val="single" w:sz="4" w:space="0" w:color="auto"/>
            </w:tcBorders>
            <w:noWrap/>
            <w:vAlign w:val="center"/>
            <w:hideMark/>
          </w:tcPr>
          <w:p w14:paraId="5983A08B" w14:textId="77777777" w:rsidR="007B1BAC" w:rsidRPr="00801A36" w:rsidRDefault="007B1BAC" w:rsidP="00801A36">
            <w:pPr>
              <w:spacing w:after="0" w:line="240" w:lineRule="auto"/>
              <w:jc w:val="center"/>
              <w:rPr>
                <w:rFonts w:ascii="Times New Roman" w:eastAsia="Times New Roman" w:hAnsi="Times New Roman" w:cs="Times New Roman"/>
                <w:color w:val="000000"/>
                <w:kern w:val="0"/>
                <w:sz w:val="19"/>
                <w:szCs w:val="19"/>
                <w:lang w:eastAsia="en-IN"/>
                <w14:ligatures w14:val="none"/>
              </w:rPr>
            </w:pPr>
            <w:r w:rsidRPr="00801A36">
              <w:rPr>
                <w:rFonts w:ascii="Times New Roman" w:eastAsia="Times New Roman" w:hAnsi="Times New Roman" w:cs="Times New Roman"/>
                <w:color w:val="000000"/>
                <w:kern w:val="0"/>
                <w:sz w:val="19"/>
                <w:szCs w:val="19"/>
                <w:lang w:eastAsia="en-IN"/>
                <w14:ligatures w14:val="none"/>
              </w:rPr>
              <w:t>..</w:t>
            </w:r>
          </w:p>
        </w:tc>
        <w:tc>
          <w:tcPr>
            <w:tcW w:w="986" w:type="dxa"/>
            <w:tcBorders>
              <w:top w:val="nil"/>
              <w:left w:val="nil"/>
              <w:bottom w:val="single" w:sz="4" w:space="0" w:color="auto"/>
              <w:right w:val="single" w:sz="4" w:space="0" w:color="auto"/>
            </w:tcBorders>
            <w:noWrap/>
            <w:vAlign w:val="center"/>
            <w:hideMark/>
          </w:tcPr>
          <w:p w14:paraId="29B2D228" w14:textId="77777777" w:rsidR="007B1BAC" w:rsidRPr="00801A36" w:rsidRDefault="007B1BAC" w:rsidP="00801A36">
            <w:pPr>
              <w:spacing w:after="0" w:line="240" w:lineRule="auto"/>
              <w:jc w:val="center"/>
              <w:rPr>
                <w:rFonts w:ascii="Times New Roman" w:eastAsia="Times New Roman" w:hAnsi="Times New Roman" w:cs="Times New Roman"/>
                <w:color w:val="000000"/>
                <w:kern w:val="0"/>
                <w:sz w:val="19"/>
                <w:szCs w:val="19"/>
                <w:lang w:eastAsia="en-IN"/>
                <w14:ligatures w14:val="none"/>
              </w:rPr>
            </w:pPr>
            <w:r w:rsidRPr="00801A36">
              <w:rPr>
                <w:rFonts w:ascii="Times New Roman" w:eastAsia="Times New Roman" w:hAnsi="Times New Roman" w:cs="Times New Roman"/>
                <w:color w:val="000000"/>
                <w:kern w:val="0"/>
                <w:sz w:val="19"/>
                <w:szCs w:val="19"/>
                <w:lang w:eastAsia="en-IN"/>
                <w14:ligatures w14:val="none"/>
              </w:rPr>
              <w:t>2,684.66</w:t>
            </w:r>
          </w:p>
        </w:tc>
        <w:tc>
          <w:tcPr>
            <w:tcW w:w="1084" w:type="dxa"/>
            <w:tcBorders>
              <w:top w:val="nil"/>
              <w:left w:val="nil"/>
              <w:bottom w:val="single" w:sz="4" w:space="0" w:color="auto"/>
              <w:right w:val="single" w:sz="4" w:space="0" w:color="auto"/>
            </w:tcBorders>
            <w:noWrap/>
            <w:vAlign w:val="center"/>
            <w:hideMark/>
          </w:tcPr>
          <w:p w14:paraId="4C352451" w14:textId="77777777" w:rsidR="007B1BAC" w:rsidRPr="00801A36" w:rsidRDefault="007B1BAC" w:rsidP="00801A36">
            <w:pPr>
              <w:spacing w:after="0" w:line="240" w:lineRule="auto"/>
              <w:jc w:val="center"/>
              <w:rPr>
                <w:rFonts w:ascii="Times New Roman" w:eastAsia="Times New Roman" w:hAnsi="Times New Roman" w:cs="Times New Roman"/>
                <w:color w:val="000000"/>
                <w:kern w:val="0"/>
                <w:sz w:val="19"/>
                <w:szCs w:val="19"/>
                <w:lang w:eastAsia="en-IN"/>
                <w14:ligatures w14:val="none"/>
              </w:rPr>
            </w:pPr>
            <w:r w:rsidRPr="00801A36">
              <w:rPr>
                <w:rFonts w:ascii="Times New Roman" w:eastAsia="Times New Roman" w:hAnsi="Times New Roman" w:cs="Times New Roman"/>
                <w:color w:val="000000"/>
                <w:kern w:val="0"/>
                <w:sz w:val="19"/>
                <w:szCs w:val="19"/>
                <w:lang w:eastAsia="en-IN"/>
                <w14:ligatures w14:val="none"/>
              </w:rPr>
              <w:t>608.04</w:t>
            </w:r>
          </w:p>
        </w:tc>
        <w:tc>
          <w:tcPr>
            <w:tcW w:w="1070" w:type="dxa"/>
            <w:tcBorders>
              <w:top w:val="nil"/>
              <w:left w:val="nil"/>
              <w:bottom w:val="single" w:sz="4" w:space="0" w:color="auto"/>
              <w:right w:val="single" w:sz="4" w:space="0" w:color="auto"/>
            </w:tcBorders>
            <w:noWrap/>
            <w:vAlign w:val="center"/>
            <w:hideMark/>
          </w:tcPr>
          <w:p w14:paraId="2DBF24D3" w14:textId="77777777" w:rsidR="007B1BAC" w:rsidRPr="00801A36" w:rsidRDefault="007B1BAC" w:rsidP="00801A36">
            <w:pPr>
              <w:spacing w:after="0" w:line="240" w:lineRule="auto"/>
              <w:jc w:val="center"/>
              <w:rPr>
                <w:rFonts w:ascii="Times New Roman" w:eastAsia="Times New Roman" w:hAnsi="Times New Roman" w:cs="Times New Roman"/>
                <w:color w:val="000000"/>
                <w:kern w:val="0"/>
                <w:sz w:val="19"/>
                <w:szCs w:val="19"/>
                <w:lang w:eastAsia="en-IN"/>
                <w14:ligatures w14:val="none"/>
              </w:rPr>
            </w:pPr>
            <w:r w:rsidRPr="00801A36">
              <w:rPr>
                <w:rFonts w:ascii="Times New Roman" w:eastAsia="Times New Roman" w:hAnsi="Times New Roman" w:cs="Times New Roman"/>
                <w:color w:val="000000"/>
                <w:kern w:val="0"/>
                <w:sz w:val="19"/>
                <w:szCs w:val="19"/>
                <w:lang w:eastAsia="en-IN"/>
                <w14:ligatures w14:val="none"/>
              </w:rPr>
              <w:t>2,225.87</w:t>
            </w:r>
          </w:p>
        </w:tc>
        <w:tc>
          <w:tcPr>
            <w:tcW w:w="1196" w:type="dxa"/>
            <w:tcBorders>
              <w:top w:val="nil"/>
              <w:left w:val="nil"/>
              <w:bottom w:val="single" w:sz="4" w:space="0" w:color="auto"/>
              <w:right w:val="single" w:sz="4" w:space="0" w:color="auto"/>
            </w:tcBorders>
            <w:noWrap/>
            <w:vAlign w:val="center"/>
            <w:hideMark/>
          </w:tcPr>
          <w:p w14:paraId="18F46DA0" w14:textId="77777777" w:rsidR="007B1BAC" w:rsidRPr="00801A36" w:rsidRDefault="007B1BAC" w:rsidP="00801A36">
            <w:pPr>
              <w:spacing w:after="0" w:line="240" w:lineRule="auto"/>
              <w:jc w:val="center"/>
              <w:rPr>
                <w:rFonts w:ascii="Times New Roman" w:eastAsia="Times New Roman" w:hAnsi="Times New Roman" w:cs="Times New Roman"/>
                <w:color w:val="000000"/>
                <w:kern w:val="0"/>
                <w:sz w:val="19"/>
                <w:szCs w:val="19"/>
                <w:lang w:eastAsia="en-IN"/>
                <w14:ligatures w14:val="none"/>
              </w:rPr>
            </w:pPr>
            <w:r w:rsidRPr="00801A36">
              <w:rPr>
                <w:rFonts w:ascii="Times New Roman" w:eastAsia="Times New Roman" w:hAnsi="Times New Roman" w:cs="Times New Roman"/>
                <w:color w:val="000000"/>
                <w:kern w:val="0"/>
                <w:sz w:val="19"/>
                <w:szCs w:val="19"/>
                <w:lang w:eastAsia="en-IN"/>
                <w14:ligatures w14:val="none"/>
              </w:rPr>
              <w:t>..</w:t>
            </w:r>
          </w:p>
        </w:tc>
        <w:tc>
          <w:tcPr>
            <w:tcW w:w="986" w:type="dxa"/>
            <w:tcBorders>
              <w:top w:val="nil"/>
              <w:left w:val="nil"/>
              <w:bottom w:val="single" w:sz="4" w:space="0" w:color="auto"/>
              <w:right w:val="single" w:sz="4" w:space="0" w:color="auto"/>
            </w:tcBorders>
            <w:noWrap/>
            <w:vAlign w:val="center"/>
            <w:hideMark/>
          </w:tcPr>
          <w:p w14:paraId="741E44BA" w14:textId="77777777" w:rsidR="007B1BAC" w:rsidRPr="00801A36" w:rsidRDefault="007B1BAC" w:rsidP="00801A36">
            <w:pPr>
              <w:spacing w:after="0" w:line="240" w:lineRule="auto"/>
              <w:jc w:val="center"/>
              <w:rPr>
                <w:rFonts w:ascii="Times New Roman" w:eastAsia="Times New Roman" w:hAnsi="Times New Roman" w:cs="Times New Roman"/>
                <w:color w:val="000000"/>
                <w:kern w:val="0"/>
                <w:sz w:val="19"/>
                <w:szCs w:val="19"/>
                <w:lang w:eastAsia="en-IN"/>
                <w14:ligatures w14:val="none"/>
              </w:rPr>
            </w:pPr>
            <w:r w:rsidRPr="00801A36">
              <w:rPr>
                <w:rFonts w:ascii="Times New Roman" w:eastAsia="Times New Roman" w:hAnsi="Times New Roman" w:cs="Times New Roman"/>
                <w:color w:val="000000"/>
                <w:kern w:val="0"/>
                <w:sz w:val="19"/>
                <w:szCs w:val="19"/>
                <w:lang w:eastAsia="en-IN"/>
                <w14:ligatures w14:val="none"/>
              </w:rPr>
              <w:t>2,833.91</w:t>
            </w:r>
          </w:p>
        </w:tc>
        <w:tc>
          <w:tcPr>
            <w:tcW w:w="1084" w:type="dxa"/>
            <w:tcBorders>
              <w:top w:val="nil"/>
              <w:left w:val="nil"/>
              <w:bottom w:val="single" w:sz="4" w:space="0" w:color="auto"/>
              <w:right w:val="single" w:sz="4" w:space="0" w:color="auto"/>
            </w:tcBorders>
            <w:noWrap/>
            <w:vAlign w:val="center"/>
            <w:hideMark/>
          </w:tcPr>
          <w:p w14:paraId="483F76DA" w14:textId="77777777" w:rsidR="007B1BAC" w:rsidRPr="00801A36" w:rsidRDefault="007B1BAC" w:rsidP="00801A36">
            <w:pPr>
              <w:spacing w:after="0" w:line="240" w:lineRule="auto"/>
              <w:jc w:val="center"/>
              <w:rPr>
                <w:rFonts w:ascii="Times New Roman" w:eastAsia="Times New Roman" w:hAnsi="Times New Roman" w:cs="Times New Roman"/>
                <w:color w:val="000000"/>
                <w:kern w:val="0"/>
                <w:sz w:val="19"/>
                <w:szCs w:val="19"/>
                <w:lang w:eastAsia="en-IN"/>
                <w14:ligatures w14:val="none"/>
              </w:rPr>
            </w:pPr>
            <w:r w:rsidRPr="00801A36">
              <w:rPr>
                <w:rFonts w:ascii="Times New Roman" w:eastAsia="Times New Roman" w:hAnsi="Times New Roman" w:cs="Times New Roman"/>
                <w:color w:val="000000"/>
                <w:kern w:val="0"/>
                <w:sz w:val="19"/>
                <w:szCs w:val="19"/>
                <w:lang w:eastAsia="en-IN"/>
                <w14:ligatures w14:val="none"/>
              </w:rPr>
              <w:t>608.04</w:t>
            </w:r>
          </w:p>
        </w:tc>
        <w:tc>
          <w:tcPr>
            <w:tcW w:w="1070" w:type="dxa"/>
            <w:tcBorders>
              <w:top w:val="nil"/>
              <w:left w:val="nil"/>
              <w:bottom w:val="single" w:sz="4" w:space="0" w:color="auto"/>
              <w:right w:val="single" w:sz="4" w:space="0" w:color="auto"/>
            </w:tcBorders>
            <w:noWrap/>
            <w:vAlign w:val="center"/>
            <w:hideMark/>
          </w:tcPr>
          <w:p w14:paraId="45BF5699" w14:textId="77777777" w:rsidR="007B1BAC" w:rsidRPr="00801A36" w:rsidRDefault="007B1BAC" w:rsidP="00801A36">
            <w:pPr>
              <w:spacing w:after="0" w:line="240" w:lineRule="auto"/>
              <w:jc w:val="center"/>
              <w:rPr>
                <w:rFonts w:ascii="Times New Roman" w:eastAsia="Times New Roman" w:hAnsi="Times New Roman" w:cs="Times New Roman"/>
                <w:color w:val="000000"/>
                <w:kern w:val="0"/>
                <w:sz w:val="19"/>
                <w:szCs w:val="19"/>
                <w:lang w:eastAsia="en-IN"/>
                <w14:ligatures w14:val="none"/>
              </w:rPr>
            </w:pPr>
            <w:r w:rsidRPr="00801A36">
              <w:rPr>
                <w:rFonts w:ascii="Times New Roman" w:eastAsia="Times New Roman" w:hAnsi="Times New Roman" w:cs="Times New Roman"/>
                <w:color w:val="000000"/>
                <w:kern w:val="0"/>
                <w:sz w:val="19"/>
                <w:szCs w:val="19"/>
                <w:lang w:eastAsia="en-IN"/>
                <w14:ligatures w14:val="none"/>
              </w:rPr>
              <w:t>2,225.85</w:t>
            </w:r>
          </w:p>
        </w:tc>
        <w:tc>
          <w:tcPr>
            <w:tcW w:w="1196" w:type="dxa"/>
            <w:tcBorders>
              <w:top w:val="nil"/>
              <w:left w:val="nil"/>
              <w:bottom w:val="single" w:sz="4" w:space="0" w:color="auto"/>
              <w:right w:val="single" w:sz="4" w:space="0" w:color="auto"/>
            </w:tcBorders>
            <w:noWrap/>
            <w:vAlign w:val="center"/>
            <w:hideMark/>
          </w:tcPr>
          <w:p w14:paraId="5869F769" w14:textId="77777777" w:rsidR="007B1BAC" w:rsidRPr="00801A36" w:rsidRDefault="007B1BAC" w:rsidP="00801A36">
            <w:pPr>
              <w:spacing w:after="0" w:line="240" w:lineRule="auto"/>
              <w:jc w:val="center"/>
              <w:rPr>
                <w:rFonts w:ascii="Times New Roman" w:eastAsia="Times New Roman" w:hAnsi="Times New Roman" w:cs="Times New Roman"/>
                <w:color w:val="000000"/>
                <w:kern w:val="0"/>
                <w:sz w:val="19"/>
                <w:szCs w:val="19"/>
                <w:lang w:eastAsia="en-IN"/>
                <w14:ligatures w14:val="none"/>
              </w:rPr>
            </w:pPr>
            <w:r w:rsidRPr="00801A36">
              <w:rPr>
                <w:rFonts w:ascii="Times New Roman" w:eastAsia="Times New Roman" w:hAnsi="Times New Roman" w:cs="Times New Roman"/>
                <w:color w:val="000000"/>
                <w:kern w:val="0"/>
                <w:sz w:val="19"/>
                <w:szCs w:val="19"/>
                <w:lang w:eastAsia="en-IN"/>
                <w14:ligatures w14:val="none"/>
              </w:rPr>
              <w:t>..</w:t>
            </w:r>
          </w:p>
        </w:tc>
        <w:tc>
          <w:tcPr>
            <w:tcW w:w="986" w:type="dxa"/>
            <w:tcBorders>
              <w:top w:val="nil"/>
              <w:left w:val="nil"/>
              <w:bottom w:val="single" w:sz="4" w:space="0" w:color="auto"/>
              <w:right w:val="single" w:sz="4" w:space="0" w:color="auto"/>
            </w:tcBorders>
            <w:noWrap/>
            <w:vAlign w:val="center"/>
            <w:hideMark/>
          </w:tcPr>
          <w:p w14:paraId="74454A16" w14:textId="77777777" w:rsidR="007B1BAC" w:rsidRPr="00801A36" w:rsidRDefault="007B1BAC" w:rsidP="00801A36">
            <w:pPr>
              <w:spacing w:after="0" w:line="240" w:lineRule="auto"/>
              <w:jc w:val="center"/>
              <w:rPr>
                <w:rFonts w:ascii="Times New Roman" w:eastAsia="Times New Roman" w:hAnsi="Times New Roman" w:cs="Times New Roman"/>
                <w:color w:val="000000"/>
                <w:kern w:val="0"/>
                <w:sz w:val="19"/>
                <w:szCs w:val="19"/>
                <w:lang w:eastAsia="en-IN"/>
                <w14:ligatures w14:val="none"/>
              </w:rPr>
            </w:pPr>
            <w:r w:rsidRPr="00801A36">
              <w:rPr>
                <w:rFonts w:ascii="Times New Roman" w:eastAsia="Times New Roman" w:hAnsi="Times New Roman" w:cs="Times New Roman"/>
                <w:color w:val="000000"/>
                <w:kern w:val="0"/>
                <w:sz w:val="19"/>
                <w:szCs w:val="19"/>
                <w:lang w:eastAsia="en-IN"/>
                <w14:ligatures w14:val="none"/>
              </w:rPr>
              <w:t>2,833.89</w:t>
            </w:r>
          </w:p>
        </w:tc>
      </w:tr>
      <w:tr w:rsidR="007B1BAC" w:rsidRPr="00801A36" w14:paraId="558E25A7" w14:textId="77777777" w:rsidTr="00801A36">
        <w:trPr>
          <w:trHeight w:val="20"/>
          <w:jc w:val="center"/>
        </w:trPr>
        <w:tc>
          <w:tcPr>
            <w:tcW w:w="618" w:type="dxa"/>
            <w:tcBorders>
              <w:top w:val="nil"/>
              <w:left w:val="single" w:sz="4" w:space="0" w:color="auto"/>
              <w:bottom w:val="single" w:sz="4" w:space="0" w:color="auto"/>
              <w:right w:val="single" w:sz="4" w:space="0" w:color="auto"/>
            </w:tcBorders>
            <w:noWrap/>
            <w:vAlign w:val="bottom"/>
            <w:hideMark/>
          </w:tcPr>
          <w:p w14:paraId="03C120F2" w14:textId="77777777" w:rsidR="007B1BAC" w:rsidRPr="00801A36" w:rsidRDefault="007B1BAC" w:rsidP="007B1BAC">
            <w:pPr>
              <w:spacing w:after="0" w:line="240" w:lineRule="auto"/>
              <w:jc w:val="right"/>
              <w:rPr>
                <w:rFonts w:ascii="Times New Roman" w:eastAsia="Times New Roman" w:hAnsi="Times New Roman" w:cs="Times New Roman"/>
                <w:color w:val="000000"/>
                <w:kern w:val="0"/>
                <w:sz w:val="19"/>
                <w:szCs w:val="19"/>
                <w:lang w:eastAsia="en-IN"/>
                <w14:ligatures w14:val="none"/>
              </w:rPr>
            </w:pPr>
            <w:r w:rsidRPr="00801A36">
              <w:rPr>
                <w:rFonts w:ascii="Times New Roman" w:eastAsia="Times New Roman" w:hAnsi="Times New Roman" w:cs="Times New Roman"/>
                <w:color w:val="000000"/>
                <w:kern w:val="0"/>
                <w:sz w:val="19"/>
                <w:szCs w:val="19"/>
                <w:lang w:eastAsia="en-IN"/>
                <w14:ligatures w14:val="none"/>
              </w:rPr>
              <w:t>16</w:t>
            </w:r>
          </w:p>
        </w:tc>
        <w:tc>
          <w:tcPr>
            <w:tcW w:w="1680" w:type="dxa"/>
            <w:tcBorders>
              <w:top w:val="nil"/>
              <w:left w:val="nil"/>
              <w:bottom w:val="single" w:sz="4" w:space="0" w:color="auto"/>
              <w:right w:val="single" w:sz="4" w:space="0" w:color="auto"/>
            </w:tcBorders>
            <w:noWrap/>
            <w:vAlign w:val="bottom"/>
            <w:hideMark/>
          </w:tcPr>
          <w:p w14:paraId="23199D9C" w14:textId="77777777" w:rsidR="007B1BAC" w:rsidRPr="00801A36" w:rsidRDefault="007B1BAC" w:rsidP="007B1BAC">
            <w:pPr>
              <w:spacing w:after="0" w:line="240" w:lineRule="auto"/>
              <w:rPr>
                <w:rFonts w:ascii="Times New Roman" w:eastAsia="Times New Roman" w:hAnsi="Times New Roman" w:cs="Times New Roman"/>
                <w:color w:val="000000"/>
                <w:kern w:val="0"/>
                <w:sz w:val="19"/>
                <w:szCs w:val="19"/>
                <w:lang w:eastAsia="en-IN"/>
                <w14:ligatures w14:val="none"/>
              </w:rPr>
            </w:pPr>
            <w:r w:rsidRPr="00801A36">
              <w:rPr>
                <w:rFonts w:ascii="Times New Roman" w:eastAsia="Times New Roman" w:hAnsi="Times New Roman" w:cs="Times New Roman"/>
                <w:color w:val="000000"/>
                <w:kern w:val="0"/>
                <w:sz w:val="19"/>
                <w:szCs w:val="19"/>
                <w:lang w:eastAsia="en-IN"/>
                <w14:ligatures w14:val="none"/>
              </w:rPr>
              <w:t>Uttar Pradesh</w:t>
            </w:r>
          </w:p>
        </w:tc>
        <w:tc>
          <w:tcPr>
            <w:tcW w:w="1084" w:type="dxa"/>
            <w:tcBorders>
              <w:top w:val="nil"/>
              <w:left w:val="nil"/>
              <w:bottom w:val="single" w:sz="4" w:space="0" w:color="auto"/>
              <w:right w:val="single" w:sz="4" w:space="0" w:color="auto"/>
            </w:tcBorders>
            <w:noWrap/>
            <w:vAlign w:val="center"/>
            <w:hideMark/>
          </w:tcPr>
          <w:p w14:paraId="28C03E45" w14:textId="1177BA8C" w:rsidR="007B1BAC" w:rsidRPr="00801A36" w:rsidRDefault="007B1BAC" w:rsidP="00801A36">
            <w:pPr>
              <w:spacing w:after="0" w:line="240" w:lineRule="auto"/>
              <w:jc w:val="center"/>
              <w:rPr>
                <w:rFonts w:ascii="Times New Roman" w:eastAsia="Times New Roman" w:hAnsi="Times New Roman" w:cs="Times New Roman"/>
                <w:color w:val="000000"/>
                <w:kern w:val="0"/>
                <w:sz w:val="19"/>
                <w:szCs w:val="19"/>
                <w:lang w:eastAsia="en-IN"/>
                <w14:ligatures w14:val="none"/>
              </w:rPr>
            </w:pPr>
          </w:p>
        </w:tc>
        <w:tc>
          <w:tcPr>
            <w:tcW w:w="1070" w:type="dxa"/>
            <w:tcBorders>
              <w:top w:val="nil"/>
              <w:left w:val="nil"/>
              <w:bottom w:val="single" w:sz="4" w:space="0" w:color="auto"/>
              <w:right w:val="single" w:sz="4" w:space="0" w:color="auto"/>
            </w:tcBorders>
            <w:noWrap/>
            <w:vAlign w:val="center"/>
            <w:hideMark/>
          </w:tcPr>
          <w:p w14:paraId="72219350" w14:textId="393C528B" w:rsidR="007B1BAC" w:rsidRPr="00801A36" w:rsidRDefault="007B1BAC" w:rsidP="00801A36">
            <w:pPr>
              <w:spacing w:after="0" w:line="240" w:lineRule="auto"/>
              <w:jc w:val="center"/>
              <w:rPr>
                <w:rFonts w:ascii="Times New Roman" w:eastAsia="Times New Roman" w:hAnsi="Times New Roman" w:cs="Times New Roman"/>
                <w:color w:val="000000"/>
                <w:kern w:val="0"/>
                <w:sz w:val="19"/>
                <w:szCs w:val="19"/>
                <w:lang w:eastAsia="en-IN"/>
                <w14:ligatures w14:val="none"/>
              </w:rPr>
            </w:pPr>
          </w:p>
        </w:tc>
        <w:tc>
          <w:tcPr>
            <w:tcW w:w="1196" w:type="dxa"/>
            <w:tcBorders>
              <w:top w:val="nil"/>
              <w:left w:val="nil"/>
              <w:bottom w:val="single" w:sz="4" w:space="0" w:color="auto"/>
              <w:right w:val="single" w:sz="4" w:space="0" w:color="auto"/>
            </w:tcBorders>
            <w:noWrap/>
            <w:vAlign w:val="center"/>
            <w:hideMark/>
          </w:tcPr>
          <w:p w14:paraId="0D1D5163" w14:textId="5A37757D" w:rsidR="007B1BAC" w:rsidRPr="00801A36" w:rsidRDefault="007B1BAC" w:rsidP="00801A36">
            <w:pPr>
              <w:spacing w:after="0" w:line="240" w:lineRule="auto"/>
              <w:jc w:val="center"/>
              <w:rPr>
                <w:rFonts w:ascii="Times New Roman" w:eastAsia="Times New Roman" w:hAnsi="Times New Roman" w:cs="Times New Roman"/>
                <w:color w:val="000000"/>
                <w:kern w:val="0"/>
                <w:sz w:val="19"/>
                <w:szCs w:val="19"/>
                <w:lang w:eastAsia="en-IN"/>
                <w14:ligatures w14:val="none"/>
              </w:rPr>
            </w:pPr>
          </w:p>
        </w:tc>
        <w:tc>
          <w:tcPr>
            <w:tcW w:w="986" w:type="dxa"/>
            <w:tcBorders>
              <w:top w:val="nil"/>
              <w:left w:val="nil"/>
              <w:bottom w:val="single" w:sz="4" w:space="0" w:color="auto"/>
              <w:right w:val="single" w:sz="4" w:space="0" w:color="auto"/>
            </w:tcBorders>
            <w:noWrap/>
            <w:vAlign w:val="center"/>
            <w:hideMark/>
          </w:tcPr>
          <w:p w14:paraId="38C7F70A" w14:textId="1CA311D5" w:rsidR="007B1BAC" w:rsidRPr="00801A36" w:rsidRDefault="007B1BAC" w:rsidP="00801A36">
            <w:pPr>
              <w:spacing w:after="0" w:line="240" w:lineRule="auto"/>
              <w:jc w:val="center"/>
              <w:rPr>
                <w:rFonts w:ascii="Times New Roman" w:eastAsia="Times New Roman" w:hAnsi="Times New Roman" w:cs="Times New Roman"/>
                <w:color w:val="000000"/>
                <w:kern w:val="0"/>
                <w:sz w:val="19"/>
                <w:szCs w:val="19"/>
                <w:lang w:eastAsia="en-IN"/>
                <w14:ligatures w14:val="none"/>
              </w:rPr>
            </w:pPr>
          </w:p>
        </w:tc>
        <w:tc>
          <w:tcPr>
            <w:tcW w:w="1084" w:type="dxa"/>
            <w:tcBorders>
              <w:top w:val="nil"/>
              <w:left w:val="nil"/>
              <w:bottom w:val="single" w:sz="4" w:space="0" w:color="auto"/>
              <w:right w:val="single" w:sz="4" w:space="0" w:color="auto"/>
            </w:tcBorders>
            <w:noWrap/>
            <w:vAlign w:val="center"/>
            <w:hideMark/>
          </w:tcPr>
          <w:p w14:paraId="6A5D1DB0" w14:textId="36EFCE8E" w:rsidR="007B1BAC" w:rsidRPr="00801A36" w:rsidRDefault="007B1BAC" w:rsidP="00801A36">
            <w:pPr>
              <w:spacing w:after="0" w:line="240" w:lineRule="auto"/>
              <w:jc w:val="center"/>
              <w:rPr>
                <w:rFonts w:ascii="Times New Roman" w:eastAsia="Times New Roman" w:hAnsi="Times New Roman" w:cs="Times New Roman"/>
                <w:color w:val="000000"/>
                <w:kern w:val="0"/>
                <w:sz w:val="19"/>
                <w:szCs w:val="19"/>
                <w:lang w:eastAsia="en-IN"/>
                <w14:ligatures w14:val="none"/>
              </w:rPr>
            </w:pPr>
          </w:p>
        </w:tc>
        <w:tc>
          <w:tcPr>
            <w:tcW w:w="1070" w:type="dxa"/>
            <w:tcBorders>
              <w:top w:val="nil"/>
              <w:left w:val="nil"/>
              <w:bottom w:val="single" w:sz="4" w:space="0" w:color="auto"/>
              <w:right w:val="single" w:sz="4" w:space="0" w:color="auto"/>
            </w:tcBorders>
            <w:noWrap/>
            <w:vAlign w:val="center"/>
            <w:hideMark/>
          </w:tcPr>
          <w:p w14:paraId="1148C7BA" w14:textId="28D3DD94" w:rsidR="007B1BAC" w:rsidRPr="00801A36" w:rsidRDefault="007B1BAC" w:rsidP="00801A36">
            <w:pPr>
              <w:spacing w:after="0" w:line="240" w:lineRule="auto"/>
              <w:jc w:val="center"/>
              <w:rPr>
                <w:rFonts w:ascii="Times New Roman" w:eastAsia="Times New Roman" w:hAnsi="Times New Roman" w:cs="Times New Roman"/>
                <w:color w:val="000000"/>
                <w:kern w:val="0"/>
                <w:sz w:val="19"/>
                <w:szCs w:val="19"/>
                <w:lang w:eastAsia="en-IN"/>
                <w14:ligatures w14:val="none"/>
              </w:rPr>
            </w:pPr>
          </w:p>
        </w:tc>
        <w:tc>
          <w:tcPr>
            <w:tcW w:w="1196" w:type="dxa"/>
            <w:tcBorders>
              <w:top w:val="nil"/>
              <w:left w:val="nil"/>
              <w:bottom w:val="single" w:sz="4" w:space="0" w:color="auto"/>
              <w:right w:val="single" w:sz="4" w:space="0" w:color="auto"/>
            </w:tcBorders>
            <w:noWrap/>
            <w:vAlign w:val="center"/>
            <w:hideMark/>
          </w:tcPr>
          <w:p w14:paraId="3022D56E" w14:textId="62E82EE3" w:rsidR="007B1BAC" w:rsidRPr="00801A36" w:rsidRDefault="007B1BAC" w:rsidP="00801A36">
            <w:pPr>
              <w:spacing w:after="0" w:line="240" w:lineRule="auto"/>
              <w:jc w:val="center"/>
              <w:rPr>
                <w:rFonts w:ascii="Times New Roman" w:eastAsia="Times New Roman" w:hAnsi="Times New Roman" w:cs="Times New Roman"/>
                <w:color w:val="000000"/>
                <w:kern w:val="0"/>
                <w:sz w:val="19"/>
                <w:szCs w:val="19"/>
                <w:lang w:eastAsia="en-IN"/>
                <w14:ligatures w14:val="none"/>
              </w:rPr>
            </w:pPr>
          </w:p>
        </w:tc>
        <w:tc>
          <w:tcPr>
            <w:tcW w:w="986" w:type="dxa"/>
            <w:tcBorders>
              <w:top w:val="nil"/>
              <w:left w:val="nil"/>
              <w:bottom w:val="single" w:sz="4" w:space="0" w:color="auto"/>
              <w:right w:val="single" w:sz="4" w:space="0" w:color="auto"/>
            </w:tcBorders>
            <w:noWrap/>
            <w:vAlign w:val="center"/>
            <w:hideMark/>
          </w:tcPr>
          <w:p w14:paraId="4362B2E7" w14:textId="005B962E" w:rsidR="007B1BAC" w:rsidRPr="00801A36" w:rsidRDefault="007B1BAC" w:rsidP="00801A36">
            <w:pPr>
              <w:spacing w:after="0" w:line="240" w:lineRule="auto"/>
              <w:jc w:val="center"/>
              <w:rPr>
                <w:rFonts w:ascii="Times New Roman" w:eastAsia="Times New Roman" w:hAnsi="Times New Roman" w:cs="Times New Roman"/>
                <w:color w:val="000000"/>
                <w:kern w:val="0"/>
                <w:sz w:val="19"/>
                <w:szCs w:val="19"/>
                <w:lang w:eastAsia="en-IN"/>
                <w14:ligatures w14:val="none"/>
              </w:rPr>
            </w:pPr>
          </w:p>
        </w:tc>
        <w:tc>
          <w:tcPr>
            <w:tcW w:w="1084" w:type="dxa"/>
            <w:tcBorders>
              <w:top w:val="nil"/>
              <w:left w:val="nil"/>
              <w:bottom w:val="single" w:sz="4" w:space="0" w:color="auto"/>
              <w:right w:val="single" w:sz="4" w:space="0" w:color="auto"/>
            </w:tcBorders>
            <w:noWrap/>
            <w:vAlign w:val="center"/>
            <w:hideMark/>
          </w:tcPr>
          <w:p w14:paraId="3C762EDF" w14:textId="549D22C6" w:rsidR="007B1BAC" w:rsidRPr="00801A36" w:rsidRDefault="007B1BAC" w:rsidP="00801A36">
            <w:pPr>
              <w:spacing w:after="0" w:line="240" w:lineRule="auto"/>
              <w:jc w:val="center"/>
              <w:rPr>
                <w:rFonts w:ascii="Times New Roman" w:eastAsia="Times New Roman" w:hAnsi="Times New Roman" w:cs="Times New Roman"/>
                <w:color w:val="000000"/>
                <w:kern w:val="0"/>
                <w:sz w:val="19"/>
                <w:szCs w:val="19"/>
                <w:lang w:eastAsia="en-IN"/>
                <w14:ligatures w14:val="none"/>
              </w:rPr>
            </w:pPr>
          </w:p>
        </w:tc>
        <w:tc>
          <w:tcPr>
            <w:tcW w:w="1070" w:type="dxa"/>
            <w:tcBorders>
              <w:top w:val="nil"/>
              <w:left w:val="nil"/>
              <w:bottom w:val="single" w:sz="4" w:space="0" w:color="auto"/>
              <w:right w:val="single" w:sz="4" w:space="0" w:color="auto"/>
            </w:tcBorders>
            <w:noWrap/>
            <w:vAlign w:val="center"/>
            <w:hideMark/>
          </w:tcPr>
          <w:p w14:paraId="1CF0EA85" w14:textId="2B4BEB63" w:rsidR="007B1BAC" w:rsidRPr="00801A36" w:rsidRDefault="007B1BAC" w:rsidP="00801A36">
            <w:pPr>
              <w:spacing w:after="0" w:line="240" w:lineRule="auto"/>
              <w:jc w:val="center"/>
              <w:rPr>
                <w:rFonts w:ascii="Times New Roman" w:eastAsia="Times New Roman" w:hAnsi="Times New Roman" w:cs="Times New Roman"/>
                <w:color w:val="000000"/>
                <w:kern w:val="0"/>
                <w:sz w:val="19"/>
                <w:szCs w:val="19"/>
                <w:lang w:eastAsia="en-IN"/>
                <w14:ligatures w14:val="none"/>
              </w:rPr>
            </w:pPr>
          </w:p>
        </w:tc>
        <w:tc>
          <w:tcPr>
            <w:tcW w:w="1196" w:type="dxa"/>
            <w:tcBorders>
              <w:top w:val="nil"/>
              <w:left w:val="nil"/>
              <w:bottom w:val="single" w:sz="4" w:space="0" w:color="auto"/>
              <w:right w:val="single" w:sz="4" w:space="0" w:color="auto"/>
            </w:tcBorders>
            <w:noWrap/>
            <w:vAlign w:val="center"/>
            <w:hideMark/>
          </w:tcPr>
          <w:p w14:paraId="6161AB0F" w14:textId="1A91F495" w:rsidR="007B1BAC" w:rsidRPr="00801A36" w:rsidRDefault="007B1BAC" w:rsidP="00801A36">
            <w:pPr>
              <w:spacing w:after="0" w:line="240" w:lineRule="auto"/>
              <w:jc w:val="center"/>
              <w:rPr>
                <w:rFonts w:ascii="Times New Roman" w:eastAsia="Times New Roman" w:hAnsi="Times New Roman" w:cs="Times New Roman"/>
                <w:color w:val="000000"/>
                <w:kern w:val="0"/>
                <w:sz w:val="19"/>
                <w:szCs w:val="19"/>
                <w:lang w:eastAsia="en-IN"/>
                <w14:ligatures w14:val="none"/>
              </w:rPr>
            </w:pPr>
          </w:p>
        </w:tc>
        <w:tc>
          <w:tcPr>
            <w:tcW w:w="986" w:type="dxa"/>
            <w:tcBorders>
              <w:top w:val="nil"/>
              <w:left w:val="nil"/>
              <w:bottom w:val="single" w:sz="4" w:space="0" w:color="auto"/>
              <w:right w:val="single" w:sz="4" w:space="0" w:color="auto"/>
            </w:tcBorders>
            <w:noWrap/>
            <w:vAlign w:val="center"/>
            <w:hideMark/>
          </w:tcPr>
          <w:p w14:paraId="7AEC47DF" w14:textId="6C60B3C5" w:rsidR="007B1BAC" w:rsidRPr="00801A36" w:rsidRDefault="007B1BAC" w:rsidP="00801A36">
            <w:pPr>
              <w:spacing w:after="0" w:line="240" w:lineRule="auto"/>
              <w:jc w:val="center"/>
              <w:rPr>
                <w:rFonts w:ascii="Times New Roman" w:eastAsia="Times New Roman" w:hAnsi="Times New Roman" w:cs="Times New Roman"/>
                <w:color w:val="000000"/>
                <w:kern w:val="0"/>
                <w:sz w:val="19"/>
                <w:szCs w:val="19"/>
                <w:lang w:eastAsia="en-IN"/>
                <w14:ligatures w14:val="none"/>
              </w:rPr>
            </w:pPr>
          </w:p>
        </w:tc>
      </w:tr>
      <w:tr w:rsidR="007B1BAC" w:rsidRPr="00801A36" w14:paraId="3E70B792" w14:textId="77777777" w:rsidTr="00801A36">
        <w:trPr>
          <w:trHeight w:val="20"/>
          <w:jc w:val="center"/>
        </w:trPr>
        <w:tc>
          <w:tcPr>
            <w:tcW w:w="618" w:type="dxa"/>
            <w:tcBorders>
              <w:top w:val="nil"/>
              <w:left w:val="single" w:sz="4" w:space="0" w:color="auto"/>
              <w:bottom w:val="single" w:sz="4" w:space="0" w:color="auto"/>
              <w:right w:val="single" w:sz="4" w:space="0" w:color="auto"/>
            </w:tcBorders>
            <w:noWrap/>
            <w:vAlign w:val="bottom"/>
            <w:hideMark/>
          </w:tcPr>
          <w:p w14:paraId="49476A62" w14:textId="77777777" w:rsidR="007B1BAC" w:rsidRPr="00801A36" w:rsidRDefault="007B1BAC" w:rsidP="007B1BAC">
            <w:pPr>
              <w:spacing w:after="0" w:line="240" w:lineRule="auto"/>
              <w:rPr>
                <w:rFonts w:ascii="Times New Roman" w:eastAsia="Times New Roman" w:hAnsi="Times New Roman" w:cs="Times New Roman"/>
                <w:color w:val="000000"/>
                <w:kern w:val="0"/>
                <w:sz w:val="19"/>
                <w:szCs w:val="19"/>
                <w:lang w:eastAsia="en-IN"/>
                <w14:ligatures w14:val="none"/>
              </w:rPr>
            </w:pPr>
            <w:r w:rsidRPr="00801A36">
              <w:rPr>
                <w:rFonts w:ascii="Times New Roman" w:eastAsia="Times New Roman" w:hAnsi="Times New Roman" w:cs="Times New Roman"/>
                <w:color w:val="000000"/>
                <w:kern w:val="0"/>
                <w:sz w:val="19"/>
                <w:szCs w:val="19"/>
                <w:lang w:eastAsia="en-IN"/>
                <w14:ligatures w14:val="none"/>
              </w:rPr>
              <w:t> </w:t>
            </w:r>
          </w:p>
        </w:tc>
        <w:tc>
          <w:tcPr>
            <w:tcW w:w="1680" w:type="dxa"/>
            <w:tcBorders>
              <w:top w:val="nil"/>
              <w:left w:val="nil"/>
              <w:bottom w:val="single" w:sz="4" w:space="0" w:color="auto"/>
              <w:right w:val="single" w:sz="4" w:space="0" w:color="auto"/>
            </w:tcBorders>
            <w:noWrap/>
            <w:vAlign w:val="bottom"/>
            <w:hideMark/>
          </w:tcPr>
          <w:p w14:paraId="53C90EF6" w14:textId="77777777" w:rsidR="007B1BAC" w:rsidRPr="00801A36" w:rsidRDefault="007B1BAC" w:rsidP="007B1BAC">
            <w:pPr>
              <w:spacing w:after="0" w:line="240" w:lineRule="auto"/>
              <w:rPr>
                <w:rFonts w:ascii="Times New Roman" w:eastAsia="Times New Roman" w:hAnsi="Times New Roman" w:cs="Times New Roman"/>
                <w:color w:val="000000"/>
                <w:kern w:val="0"/>
                <w:sz w:val="19"/>
                <w:szCs w:val="19"/>
                <w:lang w:eastAsia="en-IN"/>
                <w14:ligatures w14:val="none"/>
              </w:rPr>
            </w:pPr>
            <w:r w:rsidRPr="00801A36">
              <w:rPr>
                <w:rFonts w:ascii="Times New Roman" w:eastAsia="Times New Roman" w:hAnsi="Times New Roman" w:cs="Times New Roman"/>
                <w:color w:val="000000"/>
                <w:kern w:val="0"/>
                <w:sz w:val="19"/>
                <w:szCs w:val="19"/>
                <w:lang w:eastAsia="en-IN"/>
                <w14:ligatures w14:val="none"/>
              </w:rPr>
              <w:t>Central</w:t>
            </w:r>
          </w:p>
        </w:tc>
        <w:tc>
          <w:tcPr>
            <w:tcW w:w="1084" w:type="dxa"/>
            <w:tcBorders>
              <w:top w:val="nil"/>
              <w:left w:val="nil"/>
              <w:bottom w:val="single" w:sz="4" w:space="0" w:color="auto"/>
              <w:right w:val="single" w:sz="4" w:space="0" w:color="auto"/>
            </w:tcBorders>
            <w:noWrap/>
            <w:vAlign w:val="center"/>
            <w:hideMark/>
          </w:tcPr>
          <w:p w14:paraId="634FD9A4" w14:textId="77777777" w:rsidR="007B1BAC" w:rsidRPr="00801A36" w:rsidRDefault="007B1BAC" w:rsidP="00801A36">
            <w:pPr>
              <w:spacing w:after="0" w:line="240" w:lineRule="auto"/>
              <w:jc w:val="center"/>
              <w:rPr>
                <w:rFonts w:ascii="Times New Roman" w:eastAsia="Times New Roman" w:hAnsi="Times New Roman" w:cs="Times New Roman"/>
                <w:color w:val="000000"/>
                <w:kern w:val="0"/>
                <w:sz w:val="19"/>
                <w:szCs w:val="19"/>
                <w:lang w:eastAsia="en-IN"/>
                <w14:ligatures w14:val="none"/>
              </w:rPr>
            </w:pPr>
            <w:r w:rsidRPr="00801A36">
              <w:rPr>
                <w:rFonts w:ascii="Times New Roman" w:eastAsia="Times New Roman" w:hAnsi="Times New Roman" w:cs="Times New Roman"/>
                <w:color w:val="000000"/>
                <w:kern w:val="0"/>
                <w:sz w:val="19"/>
                <w:szCs w:val="19"/>
                <w:lang w:eastAsia="en-IN"/>
                <w14:ligatures w14:val="none"/>
              </w:rPr>
              <w:t>960.16</w:t>
            </w:r>
          </w:p>
        </w:tc>
        <w:tc>
          <w:tcPr>
            <w:tcW w:w="1070" w:type="dxa"/>
            <w:tcBorders>
              <w:top w:val="nil"/>
              <w:left w:val="nil"/>
              <w:bottom w:val="single" w:sz="4" w:space="0" w:color="auto"/>
              <w:right w:val="single" w:sz="4" w:space="0" w:color="auto"/>
            </w:tcBorders>
            <w:noWrap/>
            <w:vAlign w:val="center"/>
            <w:hideMark/>
          </w:tcPr>
          <w:p w14:paraId="095D6676" w14:textId="77777777" w:rsidR="007B1BAC" w:rsidRPr="00801A36" w:rsidRDefault="007B1BAC" w:rsidP="00801A36">
            <w:pPr>
              <w:spacing w:after="0" w:line="240" w:lineRule="auto"/>
              <w:jc w:val="center"/>
              <w:rPr>
                <w:rFonts w:ascii="Times New Roman" w:eastAsia="Times New Roman" w:hAnsi="Times New Roman" w:cs="Times New Roman"/>
                <w:color w:val="000000"/>
                <w:kern w:val="0"/>
                <w:sz w:val="19"/>
                <w:szCs w:val="19"/>
                <w:lang w:eastAsia="en-IN"/>
                <w14:ligatures w14:val="none"/>
              </w:rPr>
            </w:pPr>
            <w:r w:rsidRPr="00801A36">
              <w:rPr>
                <w:rFonts w:ascii="Times New Roman" w:eastAsia="Times New Roman" w:hAnsi="Times New Roman" w:cs="Times New Roman"/>
                <w:color w:val="000000"/>
                <w:kern w:val="0"/>
                <w:sz w:val="19"/>
                <w:szCs w:val="19"/>
                <w:lang w:eastAsia="en-IN"/>
                <w14:ligatures w14:val="none"/>
              </w:rPr>
              <w:t>..</w:t>
            </w:r>
          </w:p>
        </w:tc>
        <w:tc>
          <w:tcPr>
            <w:tcW w:w="1196" w:type="dxa"/>
            <w:tcBorders>
              <w:top w:val="nil"/>
              <w:left w:val="nil"/>
              <w:bottom w:val="single" w:sz="4" w:space="0" w:color="auto"/>
              <w:right w:val="single" w:sz="4" w:space="0" w:color="auto"/>
            </w:tcBorders>
            <w:noWrap/>
            <w:vAlign w:val="center"/>
            <w:hideMark/>
          </w:tcPr>
          <w:p w14:paraId="5F307656" w14:textId="77777777" w:rsidR="007B1BAC" w:rsidRPr="00801A36" w:rsidRDefault="007B1BAC" w:rsidP="00801A36">
            <w:pPr>
              <w:spacing w:after="0" w:line="240" w:lineRule="auto"/>
              <w:jc w:val="center"/>
              <w:rPr>
                <w:rFonts w:ascii="Times New Roman" w:eastAsia="Times New Roman" w:hAnsi="Times New Roman" w:cs="Times New Roman"/>
                <w:color w:val="000000"/>
                <w:kern w:val="0"/>
                <w:sz w:val="19"/>
                <w:szCs w:val="19"/>
                <w:lang w:eastAsia="en-IN"/>
                <w14:ligatures w14:val="none"/>
              </w:rPr>
            </w:pPr>
            <w:r w:rsidRPr="00801A36">
              <w:rPr>
                <w:rFonts w:ascii="Times New Roman" w:eastAsia="Times New Roman" w:hAnsi="Times New Roman" w:cs="Times New Roman"/>
                <w:color w:val="000000"/>
                <w:kern w:val="0"/>
                <w:sz w:val="19"/>
                <w:szCs w:val="19"/>
                <w:lang w:eastAsia="en-IN"/>
                <w14:ligatures w14:val="none"/>
              </w:rPr>
              <w:t>2.01</w:t>
            </w:r>
          </w:p>
        </w:tc>
        <w:tc>
          <w:tcPr>
            <w:tcW w:w="986" w:type="dxa"/>
            <w:tcBorders>
              <w:top w:val="nil"/>
              <w:left w:val="nil"/>
              <w:bottom w:val="single" w:sz="4" w:space="0" w:color="auto"/>
              <w:right w:val="single" w:sz="4" w:space="0" w:color="auto"/>
            </w:tcBorders>
            <w:noWrap/>
            <w:vAlign w:val="center"/>
            <w:hideMark/>
          </w:tcPr>
          <w:p w14:paraId="6138A74B" w14:textId="77777777" w:rsidR="007B1BAC" w:rsidRPr="00801A36" w:rsidRDefault="007B1BAC" w:rsidP="00801A36">
            <w:pPr>
              <w:spacing w:after="0" w:line="240" w:lineRule="auto"/>
              <w:jc w:val="center"/>
              <w:rPr>
                <w:rFonts w:ascii="Times New Roman" w:eastAsia="Times New Roman" w:hAnsi="Times New Roman" w:cs="Times New Roman"/>
                <w:color w:val="000000"/>
                <w:kern w:val="0"/>
                <w:sz w:val="19"/>
                <w:szCs w:val="19"/>
                <w:lang w:eastAsia="en-IN"/>
                <w14:ligatures w14:val="none"/>
              </w:rPr>
            </w:pPr>
            <w:r w:rsidRPr="00801A36">
              <w:rPr>
                <w:rFonts w:ascii="Times New Roman" w:eastAsia="Times New Roman" w:hAnsi="Times New Roman" w:cs="Times New Roman"/>
                <w:color w:val="000000"/>
                <w:kern w:val="0"/>
                <w:sz w:val="19"/>
                <w:szCs w:val="19"/>
                <w:lang w:eastAsia="en-IN"/>
                <w14:ligatures w14:val="none"/>
              </w:rPr>
              <w:t>962.17</w:t>
            </w:r>
          </w:p>
        </w:tc>
        <w:tc>
          <w:tcPr>
            <w:tcW w:w="1084" w:type="dxa"/>
            <w:tcBorders>
              <w:top w:val="nil"/>
              <w:left w:val="nil"/>
              <w:bottom w:val="single" w:sz="4" w:space="0" w:color="auto"/>
              <w:right w:val="single" w:sz="4" w:space="0" w:color="auto"/>
            </w:tcBorders>
            <w:noWrap/>
            <w:vAlign w:val="center"/>
            <w:hideMark/>
          </w:tcPr>
          <w:p w14:paraId="5576D138" w14:textId="77777777" w:rsidR="007B1BAC" w:rsidRPr="00801A36" w:rsidRDefault="007B1BAC" w:rsidP="00801A36">
            <w:pPr>
              <w:spacing w:after="0" w:line="240" w:lineRule="auto"/>
              <w:jc w:val="center"/>
              <w:rPr>
                <w:rFonts w:ascii="Times New Roman" w:eastAsia="Times New Roman" w:hAnsi="Times New Roman" w:cs="Times New Roman"/>
                <w:color w:val="000000"/>
                <w:kern w:val="0"/>
                <w:sz w:val="19"/>
                <w:szCs w:val="19"/>
                <w:lang w:eastAsia="en-IN"/>
                <w14:ligatures w14:val="none"/>
              </w:rPr>
            </w:pPr>
            <w:r w:rsidRPr="00801A36">
              <w:rPr>
                <w:rFonts w:ascii="Times New Roman" w:eastAsia="Times New Roman" w:hAnsi="Times New Roman" w:cs="Times New Roman"/>
                <w:color w:val="000000"/>
                <w:kern w:val="0"/>
                <w:sz w:val="19"/>
                <w:szCs w:val="19"/>
                <w:lang w:eastAsia="en-IN"/>
                <w14:ligatures w14:val="none"/>
              </w:rPr>
              <w:t>960.16</w:t>
            </w:r>
          </w:p>
        </w:tc>
        <w:tc>
          <w:tcPr>
            <w:tcW w:w="1070" w:type="dxa"/>
            <w:tcBorders>
              <w:top w:val="nil"/>
              <w:left w:val="nil"/>
              <w:bottom w:val="single" w:sz="4" w:space="0" w:color="auto"/>
              <w:right w:val="single" w:sz="4" w:space="0" w:color="auto"/>
            </w:tcBorders>
            <w:noWrap/>
            <w:vAlign w:val="center"/>
            <w:hideMark/>
          </w:tcPr>
          <w:p w14:paraId="4A453D8A" w14:textId="77777777" w:rsidR="007B1BAC" w:rsidRPr="00801A36" w:rsidRDefault="007B1BAC" w:rsidP="00801A36">
            <w:pPr>
              <w:spacing w:after="0" w:line="240" w:lineRule="auto"/>
              <w:jc w:val="center"/>
              <w:rPr>
                <w:rFonts w:ascii="Times New Roman" w:eastAsia="Times New Roman" w:hAnsi="Times New Roman" w:cs="Times New Roman"/>
                <w:color w:val="000000"/>
                <w:kern w:val="0"/>
                <w:sz w:val="19"/>
                <w:szCs w:val="19"/>
                <w:lang w:eastAsia="en-IN"/>
                <w14:ligatures w14:val="none"/>
              </w:rPr>
            </w:pPr>
            <w:r w:rsidRPr="00801A36">
              <w:rPr>
                <w:rFonts w:ascii="Times New Roman" w:eastAsia="Times New Roman" w:hAnsi="Times New Roman" w:cs="Times New Roman"/>
                <w:color w:val="000000"/>
                <w:kern w:val="0"/>
                <w:sz w:val="19"/>
                <w:szCs w:val="19"/>
                <w:lang w:eastAsia="en-IN"/>
                <w14:ligatures w14:val="none"/>
              </w:rPr>
              <w:t>..</w:t>
            </w:r>
          </w:p>
        </w:tc>
        <w:tc>
          <w:tcPr>
            <w:tcW w:w="1196" w:type="dxa"/>
            <w:tcBorders>
              <w:top w:val="nil"/>
              <w:left w:val="nil"/>
              <w:bottom w:val="single" w:sz="4" w:space="0" w:color="auto"/>
              <w:right w:val="single" w:sz="4" w:space="0" w:color="auto"/>
            </w:tcBorders>
            <w:noWrap/>
            <w:vAlign w:val="center"/>
            <w:hideMark/>
          </w:tcPr>
          <w:p w14:paraId="5D56BC0F" w14:textId="77777777" w:rsidR="007B1BAC" w:rsidRPr="00801A36" w:rsidRDefault="007B1BAC" w:rsidP="00801A36">
            <w:pPr>
              <w:spacing w:after="0" w:line="240" w:lineRule="auto"/>
              <w:jc w:val="center"/>
              <w:rPr>
                <w:rFonts w:ascii="Times New Roman" w:eastAsia="Times New Roman" w:hAnsi="Times New Roman" w:cs="Times New Roman"/>
                <w:color w:val="000000"/>
                <w:kern w:val="0"/>
                <w:sz w:val="19"/>
                <w:szCs w:val="19"/>
                <w:lang w:eastAsia="en-IN"/>
                <w14:ligatures w14:val="none"/>
              </w:rPr>
            </w:pPr>
            <w:r w:rsidRPr="00801A36">
              <w:rPr>
                <w:rFonts w:ascii="Times New Roman" w:eastAsia="Times New Roman" w:hAnsi="Times New Roman" w:cs="Times New Roman"/>
                <w:color w:val="000000"/>
                <w:kern w:val="0"/>
                <w:sz w:val="19"/>
                <w:szCs w:val="19"/>
                <w:lang w:eastAsia="en-IN"/>
                <w14:ligatures w14:val="none"/>
              </w:rPr>
              <w:t>2.01</w:t>
            </w:r>
          </w:p>
        </w:tc>
        <w:tc>
          <w:tcPr>
            <w:tcW w:w="986" w:type="dxa"/>
            <w:tcBorders>
              <w:top w:val="nil"/>
              <w:left w:val="nil"/>
              <w:bottom w:val="single" w:sz="4" w:space="0" w:color="auto"/>
              <w:right w:val="single" w:sz="4" w:space="0" w:color="auto"/>
            </w:tcBorders>
            <w:noWrap/>
            <w:vAlign w:val="center"/>
            <w:hideMark/>
          </w:tcPr>
          <w:p w14:paraId="63797EFD" w14:textId="77777777" w:rsidR="007B1BAC" w:rsidRPr="00801A36" w:rsidRDefault="007B1BAC" w:rsidP="00801A36">
            <w:pPr>
              <w:spacing w:after="0" w:line="240" w:lineRule="auto"/>
              <w:jc w:val="center"/>
              <w:rPr>
                <w:rFonts w:ascii="Times New Roman" w:eastAsia="Times New Roman" w:hAnsi="Times New Roman" w:cs="Times New Roman"/>
                <w:color w:val="000000"/>
                <w:kern w:val="0"/>
                <w:sz w:val="19"/>
                <w:szCs w:val="19"/>
                <w:lang w:eastAsia="en-IN"/>
                <w14:ligatures w14:val="none"/>
              </w:rPr>
            </w:pPr>
            <w:r w:rsidRPr="00801A36">
              <w:rPr>
                <w:rFonts w:ascii="Times New Roman" w:eastAsia="Times New Roman" w:hAnsi="Times New Roman" w:cs="Times New Roman"/>
                <w:color w:val="000000"/>
                <w:kern w:val="0"/>
                <w:sz w:val="19"/>
                <w:szCs w:val="19"/>
                <w:lang w:eastAsia="en-IN"/>
                <w14:ligatures w14:val="none"/>
              </w:rPr>
              <w:t>962.17</w:t>
            </w:r>
          </w:p>
        </w:tc>
        <w:tc>
          <w:tcPr>
            <w:tcW w:w="1084" w:type="dxa"/>
            <w:tcBorders>
              <w:top w:val="nil"/>
              <w:left w:val="nil"/>
              <w:bottom w:val="single" w:sz="4" w:space="0" w:color="auto"/>
              <w:right w:val="single" w:sz="4" w:space="0" w:color="auto"/>
            </w:tcBorders>
            <w:noWrap/>
            <w:vAlign w:val="center"/>
            <w:hideMark/>
          </w:tcPr>
          <w:p w14:paraId="47098D32" w14:textId="77777777" w:rsidR="007B1BAC" w:rsidRPr="00801A36" w:rsidRDefault="007B1BAC" w:rsidP="00801A36">
            <w:pPr>
              <w:spacing w:after="0" w:line="240" w:lineRule="auto"/>
              <w:jc w:val="center"/>
              <w:rPr>
                <w:rFonts w:ascii="Times New Roman" w:eastAsia="Times New Roman" w:hAnsi="Times New Roman" w:cs="Times New Roman"/>
                <w:color w:val="000000"/>
                <w:kern w:val="0"/>
                <w:sz w:val="19"/>
                <w:szCs w:val="19"/>
                <w:lang w:eastAsia="en-IN"/>
                <w14:ligatures w14:val="none"/>
              </w:rPr>
            </w:pPr>
            <w:r w:rsidRPr="00801A36">
              <w:rPr>
                <w:rFonts w:ascii="Times New Roman" w:eastAsia="Times New Roman" w:hAnsi="Times New Roman" w:cs="Times New Roman"/>
                <w:color w:val="000000"/>
                <w:kern w:val="0"/>
                <w:sz w:val="19"/>
                <w:szCs w:val="19"/>
                <w:lang w:eastAsia="en-IN"/>
                <w14:ligatures w14:val="none"/>
              </w:rPr>
              <w:t>962.08</w:t>
            </w:r>
          </w:p>
        </w:tc>
        <w:tc>
          <w:tcPr>
            <w:tcW w:w="1070" w:type="dxa"/>
            <w:tcBorders>
              <w:top w:val="nil"/>
              <w:left w:val="nil"/>
              <w:bottom w:val="single" w:sz="4" w:space="0" w:color="auto"/>
              <w:right w:val="single" w:sz="4" w:space="0" w:color="auto"/>
            </w:tcBorders>
            <w:noWrap/>
            <w:vAlign w:val="center"/>
            <w:hideMark/>
          </w:tcPr>
          <w:p w14:paraId="547A9679" w14:textId="77777777" w:rsidR="007B1BAC" w:rsidRPr="00801A36" w:rsidRDefault="007B1BAC" w:rsidP="00801A36">
            <w:pPr>
              <w:spacing w:after="0" w:line="240" w:lineRule="auto"/>
              <w:jc w:val="center"/>
              <w:rPr>
                <w:rFonts w:ascii="Times New Roman" w:eastAsia="Times New Roman" w:hAnsi="Times New Roman" w:cs="Times New Roman"/>
                <w:color w:val="000000"/>
                <w:kern w:val="0"/>
                <w:sz w:val="19"/>
                <w:szCs w:val="19"/>
                <w:lang w:eastAsia="en-IN"/>
                <w14:ligatures w14:val="none"/>
              </w:rPr>
            </w:pPr>
            <w:r w:rsidRPr="00801A36">
              <w:rPr>
                <w:rFonts w:ascii="Times New Roman" w:eastAsia="Times New Roman" w:hAnsi="Times New Roman" w:cs="Times New Roman"/>
                <w:color w:val="000000"/>
                <w:kern w:val="0"/>
                <w:sz w:val="19"/>
                <w:szCs w:val="19"/>
                <w:lang w:eastAsia="en-IN"/>
                <w14:ligatures w14:val="none"/>
              </w:rPr>
              <w:t>..</w:t>
            </w:r>
          </w:p>
        </w:tc>
        <w:tc>
          <w:tcPr>
            <w:tcW w:w="1196" w:type="dxa"/>
            <w:tcBorders>
              <w:top w:val="nil"/>
              <w:left w:val="nil"/>
              <w:bottom w:val="single" w:sz="4" w:space="0" w:color="auto"/>
              <w:right w:val="single" w:sz="4" w:space="0" w:color="auto"/>
            </w:tcBorders>
            <w:noWrap/>
            <w:vAlign w:val="center"/>
            <w:hideMark/>
          </w:tcPr>
          <w:p w14:paraId="7DEB7B97" w14:textId="77777777" w:rsidR="007B1BAC" w:rsidRPr="00801A36" w:rsidRDefault="007B1BAC" w:rsidP="00801A36">
            <w:pPr>
              <w:spacing w:after="0" w:line="240" w:lineRule="auto"/>
              <w:jc w:val="center"/>
              <w:rPr>
                <w:rFonts w:ascii="Times New Roman" w:eastAsia="Times New Roman" w:hAnsi="Times New Roman" w:cs="Times New Roman"/>
                <w:color w:val="000000"/>
                <w:kern w:val="0"/>
                <w:sz w:val="19"/>
                <w:szCs w:val="19"/>
                <w:lang w:eastAsia="en-IN"/>
                <w14:ligatures w14:val="none"/>
              </w:rPr>
            </w:pPr>
            <w:r w:rsidRPr="00801A36">
              <w:rPr>
                <w:rFonts w:ascii="Times New Roman" w:eastAsia="Times New Roman" w:hAnsi="Times New Roman" w:cs="Times New Roman"/>
                <w:color w:val="000000"/>
                <w:kern w:val="0"/>
                <w:sz w:val="19"/>
                <w:szCs w:val="19"/>
                <w:lang w:eastAsia="en-IN"/>
                <w14:ligatures w14:val="none"/>
              </w:rPr>
              <w:t>2.01</w:t>
            </w:r>
          </w:p>
        </w:tc>
        <w:tc>
          <w:tcPr>
            <w:tcW w:w="986" w:type="dxa"/>
            <w:tcBorders>
              <w:top w:val="nil"/>
              <w:left w:val="nil"/>
              <w:bottom w:val="single" w:sz="4" w:space="0" w:color="auto"/>
              <w:right w:val="single" w:sz="4" w:space="0" w:color="auto"/>
            </w:tcBorders>
            <w:noWrap/>
            <w:vAlign w:val="center"/>
            <w:hideMark/>
          </w:tcPr>
          <w:p w14:paraId="4DF155AD" w14:textId="77777777" w:rsidR="007B1BAC" w:rsidRPr="00801A36" w:rsidRDefault="007B1BAC" w:rsidP="00801A36">
            <w:pPr>
              <w:spacing w:after="0" w:line="240" w:lineRule="auto"/>
              <w:jc w:val="center"/>
              <w:rPr>
                <w:rFonts w:ascii="Times New Roman" w:eastAsia="Times New Roman" w:hAnsi="Times New Roman" w:cs="Times New Roman"/>
                <w:color w:val="000000"/>
                <w:kern w:val="0"/>
                <w:sz w:val="19"/>
                <w:szCs w:val="19"/>
                <w:lang w:eastAsia="en-IN"/>
                <w14:ligatures w14:val="none"/>
              </w:rPr>
            </w:pPr>
            <w:r w:rsidRPr="00801A36">
              <w:rPr>
                <w:rFonts w:ascii="Times New Roman" w:eastAsia="Times New Roman" w:hAnsi="Times New Roman" w:cs="Times New Roman"/>
                <w:color w:val="000000"/>
                <w:kern w:val="0"/>
                <w:sz w:val="19"/>
                <w:szCs w:val="19"/>
                <w:lang w:eastAsia="en-IN"/>
                <w14:ligatures w14:val="none"/>
              </w:rPr>
              <w:t>964.09</w:t>
            </w:r>
          </w:p>
        </w:tc>
      </w:tr>
      <w:tr w:rsidR="007B1BAC" w:rsidRPr="00801A36" w14:paraId="6BFE7425" w14:textId="77777777" w:rsidTr="00801A36">
        <w:trPr>
          <w:trHeight w:val="20"/>
          <w:jc w:val="center"/>
        </w:trPr>
        <w:tc>
          <w:tcPr>
            <w:tcW w:w="618" w:type="dxa"/>
            <w:tcBorders>
              <w:top w:val="nil"/>
              <w:left w:val="single" w:sz="4" w:space="0" w:color="auto"/>
              <w:bottom w:val="single" w:sz="4" w:space="0" w:color="auto"/>
              <w:right w:val="single" w:sz="4" w:space="0" w:color="auto"/>
            </w:tcBorders>
            <w:noWrap/>
            <w:vAlign w:val="bottom"/>
            <w:hideMark/>
          </w:tcPr>
          <w:p w14:paraId="053F4132" w14:textId="77777777" w:rsidR="007B1BAC" w:rsidRPr="00801A36" w:rsidRDefault="007B1BAC" w:rsidP="007B1BAC">
            <w:pPr>
              <w:spacing w:after="0" w:line="240" w:lineRule="auto"/>
              <w:rPr>
                <w:rFonts w:ascii="Times New Roman" w:eastAsia="Times New Roman" w:hAnsi="Times New Roman" w:cs="Times New Roman"/>
                <w:color w:val="000000"/>
                <w:kern w:val="0"/>
                <w:sz w:val="19"/>
                <w:szCs w:val="19"/>
                <w:lang w:eastAsia="en-IN"/>
                <w14:ligatures w14:val="none"/>
              </w:rPr>
            </w:pPr>
            <w:r w:rsidRPr="00801A36">
              <w:rPr>
                <w:rFonts w:ascii="Times New Roman" w:eastAsia="Times New Roman" w:hAnsi="Times New Roman" w:cs="Times New Roman"/>
                <w:color w:val="000000"/>
                <w:kern w:val="0"/>
                <w:sz w:val="19"/>
                <w:szCs w:val="19"/>
                <w:lang w:eastAsia="en-IN"/>
                <w14:ligatures w14:val="none"/>
              </w:rPr>
              <w:t> </w:t>
            </w:r>
          </w:p>
        </w:tc>
        <w:tc>
          <w:tcPr>
            <w:tcW w:w="1680" w:type="dxa"/>
            <w:tcBorders>
              <w:top w:val="nil"/>
              <w:left w:val="nil"/>
              <w:bottom w:val="single" w:sz="4" w:space="0" w:color="auto"/>
              <w:right w:val="single" w:sz="4" w:space="0" w:color="auto"/>
            </w:tcBorders>
            <w:noWrap/>
            <w:vAlign w:val="bottom"/>
            <w:hideMark/>
          </w:tcPr>
          <w:p w14:paraId="66B4D6E1" w14:textId="77777777" w:rsidR="007B1BAC" w:rsidRPr="00801A36" w:rsidRDefault="007B1BAC" w:rsidP="007B1BAC">
            <w:pPr>
              <w:spacing w:after="0" w:line="240" w:lineRule="auto"/>
              <w:rPr>
                <w:rFonts w:ascii="Times New Roman" w:eastAsia="Times New Roman" w:hAnsi="Times New Roman" w:cs="Times New Roman"/>
                <w:color w:val="000000"/>
                <w:kern w:val="0"/>
                <w:sz w:val="19"/>
                <w:szCs w:val="19"/>
                <w:lang w:eastAsia="en-IN"/>
                <w14:ligatures w14:val="none"/>
              </w:rPr>
            </w:pPr>
            <w:r w:rsidRPr="00801A36">
              <w:rPr>
                <w:rFonts w:ascii="Times New Roman" w:eastAsia="Times New Roman" w:hAnsi="Times New Roman" w:cs="Times New Roman"/>
                <w:color w:val="000000"/>
                <w:kern w:val="0"/>
                <w:sz w:val="19"/>
                <w:szCs w:val="19"/>
                <w:lang w:eastAsia="en-IN"/>
                <w14:ligatures w14:val="none"/>
              </w:rPr>
              <w:t>Eastern</w:t>
            </w:r>
          </w:p>
        </w:tc>
        <w:tc>
          <w:tcPr>
            <w:tcW w:w="1084" w:type="dxa"/>
            <w:tcBorders>
              <w:top w:val="nil"/>
              <w:left w:val="nil"/>
              <w:bottom w:val="single" w:sz="4" w:space="0" w:color="auto"/>
              <w:right w:val="single" w:sz="4" w:space="0" w:color="auto"/>
            </w:tcBorders>
            <w:noWrap/>
            <w:vAlign w:val="center"/>
            <w:hideMark/>
          </w:tcPr>
          <w:p w14:paraId="42A46D06" w14:textId="77777777" w:rsidR="007B1BAC" w:rsidRPr="00801A36" w:rsidRDefault="007B1BAC" w:rsidP="00801A36">
            <w:pPr>
              <w:spacing w:after="0" w:line="240" w:lineRule="auto"/>
              <w:jc w:val="center"/>
              <w:rPr>
                <w:rFonts w:ascii="Times New Roman" w:eastAsia="Times New Roman" w:hAnsi="Times New Roman" w:cs="Times New Roman"/>
                <w:color w:val="000000"/>
                <w:kern w:val="0"/>
                <w:sz w:val="19"/>
                <w:szCs w:val="19"/>
                <w:lang w:eastAsia="en-IN"/>
                <w14:ligatures w14:val="none"/>
              </w:rPr>
            </w:pPr>
            <w:r w:rsidRPr="00801A36">
              <w:rPr>
                <w:rFonts w:ascii="Times New Roman" w:eastAsia="Times New Roman" w:hAnsi="Times New Roman" w:cs="Times New Roman"/>
                <w:color w:val="000000"/>
                <w:kern w:val="0"/>
                <w:sz w:val="19"/>
                <w:szCs w:val="19"/>
                <w:lang w:eastAsia="en-IN"/>
                <w14:ligatures w14:val="none"/>
              </w:rPr>
              <w:t>227</w:t>
            </w:r>
          </w:p>
        </w:tc>
        <w:tc>
          <w:tcPr>
            <w:tcW w:w="1070" w:type="dxa"/>
            <w:tcBorders>
              <w:top w:val="nil"/>
              <w:left w:val="nil"/>
              <w:bottom w:val="single" w:sz="4" w:space="0" w:color="auto"/>
              <w:right w:val="single" w:sz="4" w:space="0" w:color="auto"/>
            </w:tcBorders>
            <w:noWrap/>
            <w:vAlign w:val="center"/>
            <w:hideMark/>
          </w:tcPr>
          <w:p w14:paraId="38F75F9D" w14:textId="77777777" w:rsidR="007B1BAC" w:rsidRPr="00801A36" w:rsidRDefault="007B1BAC" w:rsidP="00801A36">
            <w:pPr>
              <w:spacing w:after="0" w:line="240" w:lineRule="auto"/>
              <w:jc w:val="center"/>
              <w:rPr>
                <w:rFonts w:ascii="Times New Roman" w:eastAsia="Times New Roman" w:hAnsi="Times New Roman" w:cs="Times New Roman"/>
                <w:color w:val="000000"/>
                <w:kern w:val="0"/>
                <w:sz w:val="19"/>
                <w:szCs w:val="19"/>
                <w:lang w:eastAsia="en-IN"/>
                <w14:ligatures w14:val="none"/>
              </w:rPr>
            </w:pPr>
            <w:r w:rsidRPr="00801A36">
              <w:rPr>
                <w:rFonts w:ascii="Times New Roman" w:eastAsia="Times New Roman" w:hAnsi="Times New Roman" w:cs="Times New Roman"/>
                <w:color w:val="000000"/>
                <w:kern w:val="0"/>
                <w:sz w:val="19"/>
                <w:szCs w:val="19"/>
                <w:lang w:eastAsia="en-IN"/>
                <w14:ligatures w14:val="none"/>
              </w:rPr>
              <w:t>..</w:t>
            </w:r>
          </w:p>
        </w:tc>
        <w:tc>
          <w:tcPr>
            <w:tcW w:w="1196" w:type="dxa"/>
            <w:tcBorders>
              <w:top w:val="nil"/>
              <w:left w:val="nil"/>
              <w:bottom w:val="single" w:sz="4" w:space="0" w:color="auto"/>
              <w:right w:val="single" w:sz="4" w:space="0" w:color="auto"/>
            </w:tcBorders>
            <w:noWrap/>
            <w:vAlign w:val="center"/>
            <w:hideMark/>
          </w:tcPr>
          <w:p w14:paraId="051BDB1D" w14:textId="77777777" w:rsidR="007B1BAC" w:rsidRPr="00801A36" w:rsidRDefault="007B1BAC" w:rsidP="00801A36">
            <w:pPr>
              <w:spacing w:after="0" w:line="240" w:lineRule="auto"/>
              <w:jc w:val="center"/>
              <w:rPr>
                <w:rFonts w:ascii="Times New Roman" w:eastAsia="Times New Roman" w:hAnsi="Times New Roman" w:cs="Times New Roman"/>
                <w:color w:val="000000"/>
                <w:kern w:val="0"/>
                <w:sz w:val="19"/>
                <w:szCs w:val="19"/>
                <w:lang w:eastAsia="en-IN"/>
                <w14:ligatures w14:val="none"/>
              </w:rPr>
            </w:pPr>
            <w:r w:rsidRPr="00801A36">
              <w:rPr>
                <w:rFonts w:ascii="Times New Roman" w:eastAsia="Times New Roman" w:hAnsi="Times New Roman" w:cs="Times New Roman"/>
                <w:color w:val="000000"/>
                <w:kern w:val="0"/>
                <w:sz w:val="19"/>
                <w:szCs w:val="19"/>
                <w:lang w:eastAsia="en-IN"/>
                <w14:ligatures w14:val="none"/>
              </w:rPr>
              <w:t>..</w:t>
            </w:r>
          </w:p>
        </w:tc>
        <w:tc>
          <w:tcPr>
            <w:tcW w:w="986" w:type="dxa"/>
            <w:tcBorders>
              <w:top w:val="nil"/>
              <w:left w:val="nil"/>
              <w:bottom w:val="single" w:sz="4" w:space="0" w:color="auto"/>
              <w:right w:val="single" w:sz="4" w:space="0" w:color="auto"/>
            </w:tcBorders>
            <w:noWrap/>
            <w:vAlign w:val="center"/>
            <w:hideMark/>
          </w:tcPr>
          <w:p w14:paraId="18B1892E" w14:textId="77777777" w:rsidR="007B1BAC" w:rsidRPr="00801A36" w:rsidRDefault="007B1BAC" w:rsidP="00801A36">
            <w:pPr>
              <w:spacing w:after="0" w:line="240" w:lineRule="auto"/>
              <w:jc w:val="center"/>
              <w:rPr>
                <w:rFonts w:ascii="Times New Roman" w:eastAsia="Times New Roman" w:hAnsi="Times New Roman" w:cs="Times New Roman"/>
                <w:color w:val="000000"/>
                <w:kern w:val="0"/>
                <w:sz w:val="19"/>
                <w:szCs w:val="19"/>
                <w:lang w:eastAsia="en-IN"/>
                <w14:ligatures w14:val="none"/>
              </w:rPr>
            </w:pPr>
            <w:r w:rsidRPr="00801A36">
              <w:rPr>
                <w:rFonts w:ascii="Times New Roman" w:eastAsia="Times New Roman" w:hAnsi="Times New Roman" w:cs="Times New Roman"/>
                <w:color w:val="000000"/>
                <w:kern w:val="0"/>
                <w:sz w:val="19"/>
                <w:szCs w:val="19"/>
                <w:lang w:eastAsia="en-IN"/>
                <w14:ligatures w14:val="none"/>
              </w:rPr>
              <w:t>227</w:t>
            </w:r>
          </w:p>
        </w:tc>
        <w:tc>
          <w:tcPr>
            <w:tcW w:w="1084" w:type="dxa"/>
            <w:tcBorders>
              <w:top w:val="nil"/>
              <w:left w:val="nil"/>
              <w:bottom w:val="single" w:sz="4" w:space="0" w:color="auto"/>
              <w:right w:val="single" w:sz="4" w:space="0" w:color="auto"/>
            </w:tcBorders>
            <w:noWrap/>
            <w:vAlign w:val="center"/>
            <w:hideMark/>
          </w:tcPr>
          <w:p w14:paraId="6DE8728A" w14:textId="77777777" w:rsidR="007B1BAC" w:rsidRPr="00801A36" w:rsidRDefault="007B1BAC" w:rsidP="00801A36">
            <w:pPr>
              <w:spacing w:after="0" w:line="240" w:lineRule="auto"/>
              <w:jc w:val="center"/>
              <w:rPr>
                <w:rFonts w:ascii="Times New Roman" w:eastAsia="Times New Roman" w:hAnsi="Times New Roman" w:cs="Times New Roman"/>
                <w:color w:val="000000"/>
                <w:kern w:val="0"/>
                <w:sz w:val="19"/>
                <w:szCs w:val="19"/>
                <w:lang w:eastAsia="en-IN"/>
                <w14:ligatures w14:val="none"/>
              </w:rPr>
            </w:pPr>
            <w:r w:rsidRPr="00801A36">
              <w:rPr>
                <w:rFonts w:ascii="Times New Roman" w:eastAsia="Times New Roman" w:hAnsi="Times New Roman" w:cs="Times New Roman"/>
                <w:color w:val="000000"/>
                <w:kern w:val="0"/>
                <w:sz w:val="19"/>
                <w:szCs w:val="19"/>
                <w:lang w:eastAsia="en-IN"/>
                <w14:ligatures w14:val="none"/>
              </w:rPr>
              <w:t>227</w:t>
            </w:r>
          </w:p>
        </w:tc>
        <w:tc>
          <w:tcPr>
            <w:tcW w:w="1070" w:type="dxa"/>
            <w:tcBorders>
              <w:top w:val="nil"/>
              <w:left w:val="nil"/>
              <w:bottom w:val="single" w:sz="4" w:space="0" w:color="auto"/>
              <w:right w:val="single" w:sz="4" w:space="0" w:color="auto"/>
            </w:tcBorders>
            <w:noWrap/>
            <w:vAlign w:val="center"/>
            <w:hideMark/>
          </w:tcPr>
          <w:p w14:paraId="097F0741" w14:textId="77777777" w:rsidR="007B1BAC" w:rsidRPr="00801A36" w:rsidRDefault="007B1BAC" w:rsidP="00801A36">
            <w:pPr>
              <w:spacing w:after="0" w:line="240" w:lineRule="auto"/>
              <w:jc w:val="center"/>
              <w:rPr>
                <w:rFonts w:ascii="Times New Roman" w:eastAsia="Times New Roman" w:hAnsi="Times New Roman" w:cs="Times New Roman"/>
                <w:color w:val="000000"/>
                <w:kern w:val="0"/>
                <w:sz w:val="19"/>
                <w:szCs w:val="19"/>
                <w:lang w:eastAsia="en-IN"/>
                <w14:ligatures w14:val="none"/>
              </w:rPr>
            </w:pPr>
            <w:r w:rsidRPr="00801A36">
              <w:rPr>
                <w:rFonts w:ascii="Times New Roman" w:eastAsia="Times New Roman" w:hAnsi="Times New Roman" w:cs="Times New Roman"/>
                <w:color w:val="000000"/>
                <w:kern w:val="0"/>
                <w:sz w:val="19"/>
                <w:szCs w:val="19"/>
                <w:lang w:eastAsia="en-IN"/>
                <w14:ligatures w14:val="none"/>
              </w:rPr>
              <w:t>..</w:t>
            </w:r>
          </w:p>
        </w:tc>
        <w:tc>
          <w:tcPr>
            <w:tcW w:w="1196" w:type="dxa"/>
            <w:tcBorders>
              <w:top w:val="nil"/>
              <w:left w:val="nil"/>
              <w:bottom w:val="single" w:sz="4" w:space="0" w:color="auto"/>
              <w:right w:val="single" w:sz="4" w:space="0" w:color="auto"/>
            </w:tcBorders>
            <w:noWrap/>
            <w:vAlign w:val="center"/>
            <w:hideMark/>
          </w:tcPr>
          <w:p w14:paraId="69460A79" w14:textId="77777777" w:rsidR="007B1BAC" w:rsidRPr="00801A36" w:rsidRDefault="007B1BAC" w:rsidP="00801A36">
            <w:pPr>
              <w:spacing w:after="0" w:line="240" w:lineRule="auto"/>
              <w:jc w:val="center"/>
              <w:rPr>
                <w:rFonts w:ascii="Times New Roman" w:eastAsia="Times New Roman" w:hAnsi="Times New Roman" w:cs="Times New Roman"/>
                <w:color w:val="000000"/>
                <w:kern w:val="0"/>
                <w:sz w:val="19"/>
                <w:szCs w:val="19"/>
                <w:lang w:eastAsia="en-IN"/>
                <w14:ligatures w14:val="none"/>
              </w:rPr>
            </w:pPr>
            <w:r w:rsidRPr="00801A36">
              <w:rPr>
                <w:rFonts w:ascii="Times New Roman" w:eastAsia="Times New Roman" w:hAnsi="Times New Roman" w:cs="Times New Roman"/>
                <w:color w:val="000000"/>
                <w:kern w:val="0"/>
                <w:sz w:val="19"/>
                <w:szCs w:val="19"/>
                <w:lang w:eastAsia="en-IN"/>
                <w14:ligatures w14:val="none"/>
              </w:rPr>
              <w:t>..</w:t>
            </w:r>
          </w:p>
        </w:tc>
        <w:tc>
          <w:tcPr>
            <w:tcW w:w="986" w:type="dxa"/>
            <w:tcBorders>
              <w:top w:val="nil"/>
              <w:left w:val="nil"/>
              <w:bottom w:val="single" w:sz="4" w:space="0" w:color="auto"/>
              <w:right w:val="single" w:sz="4" w:space="0" w:color="auto"/>
            </w:tcBorders>
            <w:noWrap/>
            <w:vAlign w:val="center"/>
            <w:hideMark/>
          </w:tcPr>
          <w:p w14:paraId="3F0CB732" w14:textId="77777777" w:rsidR="007B1BAC" w:rsidRPr="00801A36" w:rsidRDefault="007B1BAC" w:rsidP="00801A36">
            <w:pPr>
              <w:spacing w:after="0" w:line="240" w:lineRule="auto"/>
              <w:jc w:val="center"/>
              <w:rPr>
                <w:rFonts w:ascii="Times New Roman" w:eastAsia="Times New Roman" w:hAnsi="Times New Roman" w:cs="Times New Roman"/>
                <w:color w:val="000000"/>
                <w:kern w:val="0"/>
                <w:sz w:val="19"/>
                <w:szCs w:val="19"/>
                <w:lang w:eastAsia="en-IN"/>
                <w14:ligatures w14:val="none"/>
              </w:rPr>
            </w:pPr>
            <w:r w:rsidRPr="00801A36">
              <w:rPr>
                <w:rFonts w:ascii="Times New Roman" w:eastAsia="Times New Roman" w:hAnsi="Times New Roman" w:cs="Times New Roman"/>
                <w:color w:val="000000"/>
                <w:kern w:val="0"/>
                <w:sz w:val="19"/>
                <w:szCs w:val="19"/>
                <w:lang w:eastAsia="en-IN"/>
                <w14:ligatures w14:val="none"/>
              </w:rPr>
              <w:t>227</w:t>
            </w:r>
          </w:p>
        </w:tc>
        <w:tc>
          <w:tcPr>
            <w:tcW w:w="1084" w:type="dxa"/>
            <w:tcBorders>
              <w:top w:val="nil"/>
              <w:left w:val="nil"/>
              <w:bottom w:val="single" w:sz="4" w:space="0" w:color="auto"/>
              <w:right w:val="single" w:sz="4" w:space="0" w:color="auto"/>
            </w:tcBorders>
            <w:noWrap/>
            <w:vAlign w:val="center"/>
            <w:hideMark/>
          </w:tcPr>
          <w:p w14:paraId="65DCE0F0" w14:textId="77777777" w:rsidR="007B1BAC" w:rsidRPr="00801A36" w:rsidRDefault="007B1BAC" w:rsidP="00801A36">
            <w:pPr>
              <w:spacing w:after="0" w:line="240" w:lineRule="auto"/>
              <w:jc w:val="center"/>
              <w:rPr>
                <w:rFonts w:ascii="Times New Roman" w:eastAsia="Times New Roman" w:hAnsi="Times New Roman" w:cs="Times New Roman"/>
                <w:color w:val="000000"/>
                <w:kern w:val="0"/>
                <w:sz w:val="19"/>
                <w:szCs w:val="19"/>
                <w:lang w:eastAsia="en-IN"/>
                <w14:ligatures w14:val="none"/>
              </w:rPr>
            </w:pPr>
            <w:r w:rsidRPr="00801A36">
              <w:rPr>
                <w:rFonts w:ascii="Times New Roman" w:eastAsia="Times New Roman" w:hAnsi="Times New Roman" w:cs="Times New Roman"/>
                <w:color w:val="000000"/>
                <w:kern w:val="0"/>
                <w:sz w:val="19"/>
                <w:szCs w:val="19"/>
                <w:lang w:eastAsia="en-IN"/>
                <w14:ligatures w14:val="none"/>
              </w:rPr>
              <w:t>227</w:t>
            </w:r>
          </w:p>
        </w:tc>
        <w:tc>
          <w:tcPr>
            <w:tcW w:w="1070" w:type="dxa"/>
            <w:tcBorders>
              <w:top w:val="nil"/>
              <w:left w:val="nil"/>
              <w:bottom w:val="single" w:sz="4" w:space="0" w:color="auto"/>
              <w:right w:val="single" w:sz="4" w:space="0" w:color="auto"/>
            </w:tcBorders>
            <w:noWrap/>
            <w:vAlign w:val="center"/>
            <w:hideMark/>
          </w:tcPr>
          <w:p w14:paraId="65AE46FB" w14:textId="77777777" w:rsidR="007B1BAC" w:rsidRPr="00801A36" w:rsidRDefault="007B1BAC" w:rsidP="00801A36">
            <w:pPr>
              <w:spacing w:after="0" w:line="240" w:lineRule="auto"/>
              <w:jc w:val="center"/>
              <w:rPr>
                <w:rFonts w:ascii="Times New Roman" w:eastAsia="Times New Roman" w:hAnsi="Times New Roman" w:cs="Times New Roman"/>
                <w:color w:val="000000"/>
                <w:kern w:val="0"/>
                <w:sz w:val="19"/>
                <w:szCs w:val="19"/>
                <w:lang w:eastAsia="en-IN"/>
                <w14:ligatures w14:val="none"/>
              </w:rPr>
            </w:pPr>
            <w:r w:rsidRPr="00801A36">
              <w:rPr>
                <w:rFonts w:ascii="Times New Roman" w:eastAsia="Times New Roman" w:hAnsi="Times New Roman" w:cs="Times New Roman"/>
                <w:color w:val="000000"/>
                <w:kern w:val="0"/>
                <w:sz w:val="19"/>
                <w:szCs w:val="19"/>
                <w:lang w:eastAsia="en-IN"/>
                <w14:ligatures w14:val="none"/>
              </w:rPr>
              <w:t>..</w:t>
            </w:r>
          </w:p>
        </w:tc>
        <w:tc>
          <w:tcPr>
            <w:tcW w:w="1196" w:type="dxa"/>
            <w:tcBorders>
              <w:top w:val="nil"/>
              <w:left w:val="nil"/>
              <w:bottom w:val="single" w:sz="4" w:space="0" w:color="auto"/>
              <w:right w:val="single" w:sz="4" w:space="0" w:color="auto"/>
            </w:tcBorders>
            <w:noWrap/>
            <w:vAlign w:val="center"/>
            <w:hideMark/>
          </w:tcPr>
          <w:p w14:paraId="69E5E552" w14:textId="77777777" w:rsidR="007B1BAC" w:rsidRPr="00801A36" w:rsidRDefault="007B1BAC" w:rsidP="00801A36">
            <w:pPr>
              <w:spacing w:after="0" w:line="240" w:lineRule="auto"/>
              <w:jc w:val="center"/>
              <w:rPr>
                <w:rFonts w:ascii="Times New Roman" w:eastAsia="Times New Roman" w:hAnsi="Times New Roman" w:cs="Times New Roman"/>
                <w:color w:val="000000"/>
                <w:kern w:val="0"/>
                <w:sz w:val="19"/>
                <w:szCs w:val="19"/>
                <w:lang w:eastAsia="en-IN"/>
                <w14:ligatures w14:val="none"/>
              </w:rPr>
            </w:pPr>
            <w:r w:rsidRPr="00801A36">
              <w:rPr>
                <w:rFonts w:ascii="Times New Roman" w:eastAsia="Times New Roman" w:hAnsi="Times New Roman" w:cs="Times New Roman"/>
                <w:color w:val="000000"/>
                <w:kern w:val="0"/>
                <w:sz w:val="19"/>
                <w:szCs w:val="19"/>
                <w:lang w:eastAsia="en-IN"/>
                <w14:ligatures w14:val="none"/>
              </w:rPr>
              <w:t>..</w:t>
            </w:r>
          </w:p>
        </w:tc>
        <w:tc>
          <w:tcPr>
            <w:tcW w:w="986" w:type="dxa"/>
            <w:tcBorders>
              <w:top w:val="nil"/>
              <w:left w:val="nil"/>
              <w:bottom w:val="single" w:sz="4" w:space="0" w:color="auto"/>
              <w:right w:val="single" w:sz="4" w:space="0" w:color="auto"/>
            </w:tcBorders>
            <w:noWrap/>
            <w:vAlign w:val="center"/>
            <w:hideMark/>
          </w:tcPr>
          <w:p w14:paraId="339B6856" w14:textId="77777777" w:rsidR="007B1BAC" w:rsidRPr="00801A36" w:rsidRDefault="007B1BAC" w:rsidP="00801A36">
            <w:pPr>
              <w:spacing w:after="0" w:line="240" w:lineRule="auto"/>
              <w:jc w:val="center"/>
              <w:rPr>
                <w:rFonts w:ascii="Times New Roman" w:eastAsia="Times New Roman" w:hAnsi="Times New Roman" w:cs="Times New Roman"/>
                <w:color w:val="000000"/>
                <w:kern w:val="0"/>
                <w:sz w:val="19"/>
                <w:szCs w:val="19"/>
                <w:lang w:eastAsia="en-IN"/>
                <w14:ligatures w14:val="none"/>
              </w:rPr>
            </w:pPr>
            <w:r w:rsidRPr="00801A36">
              <w:rPr>
                <w:rFonts w:ascii="Times New Roman" w:eastAsia="Times New Roman" w:hAnsi="Times New Roman" w:cs="Times New Roman"/>
                <w:color w:val="000000"/>
                <w:kern w:val="0"/>
                <w:sz w:val="19"/>
                <w:szCs w:val="19"/>
                <w:lang w:eastAsia="en-IN"/>
                <w14:ligatures w14:val="none"/>
              </w:rPr>
              <w:t>227</w:t>
            </w:r>
          </w:p>
        </w:tc>
      </w:tr>
      <w:tr w:rsidR="007B1BAC" w:rsidRPr="00801A36" w14:paraId="12B53E2C" w14:textId="77777777" w:rsidTr="00801A36">
        <w:trPr>
          <w:trHeight w:val="20"/>
          <w:jc w:val="center"/>
        </w:trPr>
        <w:tc>
          <w:tcPr>
            <w:tcW w:w="618" w:type="dxa"/>
            <w:tcBorders>
              <w:top w:val="nil"/>
              <w:left w:val="single" w:sz="4" w:space="0" w:color="auto"/>
              <w:bottom w:val="single" w:sz="4" w:space="0" w:color="auto"/>
              <w:right w:val="single" w:sz="4" w:space="0" w:color="auto"/>
            </w:tcBorders>
            <w:noWrap/>
            <w:vAlign w:val="bottom"/>
            <w:hideMark/>
          </w:tcPr>
          <w:p w14:paraId="1BBAA588" w14:textId="77777777" w:rsidR="007B1BAC" w:rsidRPr="00801A36" w:rsidRDefault="007B1BAC" w:rsidP="007B1BAC">
            <w:pPr>
              <w:spacing w:after="0" w:line="240" w:lineRule="auto"/>
              <w:rPr>
                <w:rFonts w:ascii="Times New Roman" w:eastAsia="Times New Roman" w:hAnsi="Times New Roman" w:cs="Times New Roman"/>
                <w:color w:val="000000"/>
                <w:kern w:val="0"/>
                <w:sz w:val="19"/>
                <w:szCs w:val="19"/>
                <w:lang w:eastAsia="en-IN"/>
                <w14:ligatures w14:val="none"/>
              </w:rPr>
            </w:pPr>
            <w:r w:rsidRPr="00801A36">
              <w:rPr>
                <w:rFonts w:ascii="Times New Roman" w:eastAsia="Times New Roman" w:hAnsi="Times New Roman" w:cs="Times New Roman"/>
                <w:color w:val="000000"/>
                <w:kern w:val="0"/>
                <w:sz w:val="19"/>
                <w:szCs w:val="19"/>
                <w:lang w:eastAsia="en-IN"/>
                <w14:ligatures w14:val="none"/>
              </w:rPr>
              <w:t> </w:t>
            </w:r>
          </w:p>
        </w:tc>
        <w:tc>
          <w:tcPr>
            <w:tcW w:w="1680" w:type="dxa"/>
            <w:tcBorders>
              <w:top w:val="nil"/>
              <w:left w:val="nil"/>
              <w:bottom w:val="single" w:sz="4" w:space="0" w:color="auto"/>
              <w:right w:val="single" w:sz="4" w:space="0" w:color="auto"/>
            </w:tcBorders>
            <w:noWrap/>
            <w:vAlign w:val="bottom"/>
            <w:hideMark/>
          </w:tcPr>
          <w:p w14:paraId="626D1012" w14:textId="77777777" w:rsidR="007B1BAC" w:rsidRPr="00801A36" w:rsidRDefault="007B1BAC" w:rsidP="007B1BAC">
            <w:pPr>
              <w:spacing w:after="0" w:line="240" w:lineRule="auto"/>
              <w:rPr>
                <w:rFonts w:ascii="Times New Roman" w:eastAsia="Times New Roman" w:hAnsi="Times New Roman" w:cs="Times New Roman"/>
                <w:color w:val="000000"/>
                <w:kern w:val="0"/>
                <w:sz w:val="19"/>
                <w:szCs w:val="19"/>
                <w:lang w:eastAsia="en-IN"/>
                <w14:ligatures w14:val="none"/>
              </w:rPr>
            </w:pPr>
            <w:r w:rsidRPr="00801A36">
              <w:rPr>
                <w:rFonts w:ascii="Times New Roman" w:eastAsia="Times New Roman" w:hAnsi="Times New Roman" w:cs="Times New Roman"/>
                <w:color w:val="000000"/>
                <w:kern w:val="0"/>
                <w:sz w:val="19"/>
                <w:szCs w:val="19"/>
                <w:lang w:eastAsia="en-IN"/>
                <w14:ligatures w14:val="none"/>
              </w:rPr>
              <w:t>Northern</w:t>
            </w:r>
          </w:p>
        </w:tc>
        <w:tc>
          <w:tcPr>
            <w:tcW w:w="1084" w:type="dxa"/>
            <w:tcBorders>
              <w:top w:val="nil"/>
              <w:left w:val="nil"/>
              <w:bottom w:val="single" w:sz="4" w:space="0" w:color="auto"/>
              <w:right w:val="single" w:sz="4" w:space="0" w:color="auto"/>
            </w:tcBorders>
            <w:noWrap/>
            <w:vAlign w:val="center"/>
            <w:hideMark/>
          </w:tcPr>
          <w:p w14:paraId="0D0E6F30" w14:textId="77777777" w:rsidR="007B1BAC" w:rsidRPr="00801A36" w:rsidRDefault="007B1BAC" w:rsidP="00801A36">
            <w:pPr>
              <w:spacing w:after="0" w:line="240" w:lineRule="auto"/>
              <w:jc w:val="center"/>
              <w:rPr>
                <w:rFonts w:ascii="Times New Roman" w:eastAsia="Times New Roman" w:hAnsi="Times New Roman" w:cs="Times New Roman"/>
                <w:color w:val="000000"/>
                <w:kern w:val="0"/>
                <w:sz w:val="19"/>
                <w:szCs w:val="19"/>
                <w:lang w:eastAsia="en-IN"/>
                <w14:ligatures w14:val="none"/>
              </w:rPr>
            </w:pPr>
            <w:r w:rsidRPr="00801A36">
              <w:rPr>
                <w:rFonts w:ascii="Times New Roman" w:eastAsia="Times New Roman" w:hAnsi="Times New Roman" w:cs="Times New Roman"/>
                <w:color w:val="000000"/>
                <w:kern w:val="0"/>
                <w:sz w:val="19"/>
                <w:szCs w:val="19"/>
                <w:lang w:eastAsia="en-IN"/>
                <w14:ligatures w14:val="none"/>
              </w:rPr>
              <w:t>4,100.16</w:t>
            </w:r>
          </w:p>
        </w:tc>
        <w:tc>
          <w:tcPr>
            <w:tcW w:w="1070" w:type="dxa"/>
            <w:tcBorders>
              <w:top w:val="nil"/>
              <w:left w:val="nil"/>
              <w:bottom w:val="single" w:sz="4" w:space="0" w:color="auto"/>
              <w:right w:val="single" w:sz="4" w:space="0" w:color="auto"/>
            </w:tcBorders>
            <w:noWrap/>
            <w:vAlign w:val="center"/>
            <w:hideMark/>
          </w:tcPr>
          <w:p w14:paraId="7DCC4672" w14:textId="77777777" w:rsidR="007B1BAC" w:rsidRPr="00801A36" w:rsidRDefault="007B1BAC" w:rsidP="00801A36">
            <w:pPr>
              <w:spacing w:after="0" w:line="240" w:lineRule="auto"/>
              <w:jc w:val="center"/>
              <w:rPr>
                <w:rFonts w:ascii="Times New Roman" w:eastAsia="Times New Roman" w:hAnsi="Times New Roman" w:cs="Times New Roman"/>
                <w:color w:val="000000"/>
                <w:kern w:val="0"/>
                <w:sz w:val="19"/>
                <w:szCs w:val="19"/>
                <w:lang w:eastAsia="en-IN"/>
                <w14:ligatures w14:val="none"/>
              </w:rPr>
            </w:pPr>
            <w:r w:rsidRPr="00801A36">
              <w:rPr>
                <w:rFonts w:ascii="Times New Roman" w:eastAsia="Times New Roman" w:hAnsi="Times New Roman" w:cs="Times New Roman"/>
                <w:color w:val="000000"/>
                <w:kern w:val="0"/>
                <w:sz w:val="19"/>
                <w:szCs w:val="19"/>
                <w:lang w:eastAsia="en-IN"/>
                <w14:ligatures w14:val="none"/>
              </w:rPr>
              <w:t>0.13</w:t>
            </w:r>
          </w:p>
        </w:tc>
        <w:tc>
          <w:tcPr>
            <w:tcW w:w="1196" w:type="dxa"/>
            <w:tcBorders>
              <w:top w:val="nil"/>
              <w:left w:val="nil"/>
              <w:bottom w:val="single" w:sz="4" w:space="0" w:color="auto"/>
              <w:right w:val="single" w:sz="4" w:space="0" w:color="auto"/>
            </w:tcBorders>
            <w:noWrap/>
            <w:vAlign w:val="center"/>
            <w:hideMark/>
          </w:tcPr>
          <w:p w14:paraId="20B78498" w14:textId="77777777" w:rsidR="007B1BAC" w:rsidRPr="00801A36" w:rsidRDefault="007B1BAC" w:rsidP="00801A36">
            <w:pPr>
              <w:spacing w:after="0" w:line="240" w:lineRule="auto"/>
              <w:jc w:val="center"/>
              <w:rPr>
                <w:rFonts w:ascii="Times New Roman" w:eastAsia="Times New Roman" w:hAnsi="Times New Roman" w:cs="Times New Roman"/>
                <w:color w:val="000000"/>
                <w:kern w:val="0"/>
                <w:sz w:val="19"/>
                <w:szCs w:val="19"/>
                <w:lang w:eastAsia="en-IN"/>
                <w14:ligatures w14:val="none"/>
              </w:rPr>
            </w:pPr>
            <w:r w:rsidRPr="00801A36">
              <w:rPr>
                <w:rFonts w:ascii="Times New Roman" w:eastAsia="Times New Roman" w:hAnsi="Times New Roman" w:cs="Times New Roman"/>
                <w:color w:val="000000"/>
                <w:kern w:val="0"/>
                <w:sz w:val="19"/>
                <w:szCs w:val="19"/>
                <w:lang w:eastAsia="en-IN"/>
                <w14:ligatures w14:val="none"/>
              </w:rPr>
              <w:t>..</w:t>
            </w:r>
          </w:p>
        </w:tc>
        <w:tc>
          <w:tcPr>
            <w:tcW w:w="986" w:type="dxa"/>
            <w:tcBorders>
              <w:top w:val="nil"/>
              <w:left w:val="nil"/>
              <w:bottom w:val="single" w:sz="4" w:space="0" w:color="auto"/>
              <w:right w:val="single" w:sz="4" w:space="0" w:color="auto"/>
            </w:tcBorders>
            <w:noWrap/>
            <w:vAlign w:val="center"/>
            <w:hideMark/>
          </w:tcPr>
          <w:p w14:paraId="3B667464" w14:textId="77777777" w:rsidR="007B1BAC" w:rsidRPr="00801A36" w:rsidRDefault="007B1BAC" w:rsidP="00801A36">
            <w:pPr>
              <w:spacing w:after="0" w:line="240" w:lineRule="auto"/>
              <w:jc w:val="center"/>
              <w:rPr>
                <w:rFonts w:ascii="Times New Roman" w:eastAsia="Times New Roman" w:hAnsi="Times New Roman" w:cs="Times New Roman"/>
                <w:color w:val="000000"/>
                <w:kern w:val="0"/>
                <w:sz w:val="19"/>
                <w:szCs w:val="19"/>
                <w:lang w:eastAsia="en-IN"/>
                <w14:ligatures w14:val="none"/>
              </w:rPr>
            </w:pPr>
            <w:r w:rsidRPr="00801A36">
              <w:rPr>
                <w:rFonts w:ascii="Times New Roman" w:eastAsia="Times New Roman" w:hAnsi="Times New Roman" w:cs="Times New Roman"/>
                <w:color w:val="000000"/>
                <w:kern w:val="0"/>
                <w:sz w:val="19"/>
                <w:szCs w:val="19"/>
                <w:lang w:eastAsia="en-IN"/>
                <w14:ligatures w14:val="none"/>
              </w:rPr>
              <w:t>4,100.29</w:t>
            </w:r>
          </w:p>
        </w:tc>
        <w:tc>
          <w:tcPr>
            <w:tcW w:w="1084" w:type="dxa"/>
            <w:tcBorders>
              <w:top w:val="nil"/>
              <w:left w:val="nil"/>
              <w:bottom w:val="single" w:sz="4" w:space="0" w:color="auto"/>
              <w:right w:val="single" w:sz="4" w:space="0" w:color="auto"/>
            </w:tcBorders>
            <w:noWrap/>
            <w:vAlign w:val="center"/>
            <w:hideMark/>
          </w:tcPr>
          <w:p w14:paraId="648BEA81" w14:textId="77777777" w:rsidR="007B1BAC" w:rsidRPr="00801A36" w:rsidRDefault="007B1BAC" w:rsidP="00801A36">
            <w:pPr>
              <w:spacing w:after="0" w:line="240" w:lineRule="auto"/>
              <w:jc w:val="center"/>
              <w:rPr>
                <w:rFonts w:ascii="Times New Roman" w:eastAsia="Times New Roman" w:hAnsi="Times New Roman" w:cs="Times New Roman"/>
                <w:color w:val="000000"/>
                <w:kern w:val="0"/>
                <w:sz w:val="19"/>
                <w:szCs w:val="19"/>
                <w:lang w:eastAsia="en-IN"/>
                <w14:ligatures w14:val="none"/>
              </w:rPr>
            </w:pPr>
            <w:r w:rsidRPr="00801A36">
              <w:rPr>
                <w:rFonts w:ascii="Times New Roman" w:eastAsia="Times New Roman" w:hAnsi="Times New Roman" w:cs="Times New Roman"/>
                <w:color w:val="000000"/>
                <w:kern w:val="0"/>
                <w:sz w:val="19"/>
                <w:szCs w:val="19"/>
                <w:lang w:eastAsia="en-IN"/>
                <w14:ligatures w14:val="none"/>
              </w:rPr>
              <w:t>4,100.16</w:t>
            </w:r>
          </w:p>
        </w:tc>
        <w:tc>
          <w:tcPr>
            <w:tcW w:w="1070" w:type="dxa"/>
            <w:tcBorders>
              <w:top w:val="nil"/>
              <w:left w:val="nil"/>
              <w:bottom w:val="single" w:sz="4" w:space="0" w:color="auto"/>
              <w:right w:val="single" w:sz="4" w:space="0" w:color="auto"/>
            </w:tcBorders>
            <w:noWrap/>
            <w:vAlign w:val="center"/>
            <w:hideMark/>
          </w:tcPr>
          <w:p w14:paraId="66B05052" w14:textId="77777777" w:rsidR="007B1BAC" w:rsidRPr="00801A36" w:rsidRDefault="007B1BAC" w:rsidP="00801A36">
            <w:pPr>
              <w:spacing w:after="0" w:line="240" w:lineRule="auto"/>
              <w:jc w:val="center"/>
              <w:rPr>
                <w:rFonts w:ascii="Times New Roman" w:eastAsia="Times New Roman" w:hAnsi="Times New Roman" w:cs="Times New Roman"/>
                <w:color w:val="000000"/>
                <w:kern w:val="0"/>
                <w:sz w:val="19"/>
                <w:szCs w:val="19"/>
                <w:lang w:eastAsia="en-IN"/>
                <w14:ligatures w14:val="none"/>
              </w:rPr>
            </w:pPr>
            <w:r w:rsidRPr="00801A36">
              <w:rPr>
                <w:rFonts w:ascii="Times New Roman" w:eastAsia="Times New Roman" w:hAnsi="Times New Roman" w:cs="Times New Roman"/>
                <w:color w:val="000000"/>
                <w:kern w:val="0"/>
                <w:sz w:val="19"/>
                <w:szCs w:val="19"/>
                <w:lang w:eastAsia="en-IN"/>
                <w14:ligatures w14:val="none"/>
              </w:rPr>
              <w:t>0.13</w:t>
            </w:r>
          </w:p>
        </w:tc>
        <w:tc>
          <w:tcPr>
            <w:tcW w:w="1196" w:type="dxa"/>
            <w:tcBorders>
              <w:top w:val="nil"/>
              <w:left w:val="nil"/>
              <w:bottom w:val="single" w:sz="4" w:space="0" w:color="auto"/>
              <w:right w:val="single" w:sz="4" w:space="0" w:color="auto"/>
            </w:tcBorders>
            <w:noWrap/>
            <w:vAlign w:val="center"/>
            <w:hideMark/>
          </w:tcPr>
          <w:p w14:paraId="1506447D" w14:textId="77777777" w:rsidR="007B1BAC" w:rsidRPr="00801A36" w:rsidRDefault="007B1BAC" w:rsidP="00801A36">
            <w:pPr>
              <w:spacing w:after="0" w:line="240" w:lineRule="auto"/>
              <w:jc w:val="center"/>
              <w:rPr>
                <w:rFonts w:ascii="Times New Roman" w:eastAsia="Times New Roman" w:hAnsi="Times New Roman" w:cs="Times New Roman"/>
                <w:color w:val="000000"/>
                <w:kern w:val="0"/>
                <w:sz w:val="19"/>
                <w:szCs w:val="19"/>
                <w:lang w:eastAsia="en-IN"/>
                <w14:ligatures w14:val="none"/>
              </w:rPr>
            </w:pPr>
            <w:r w:rsidRPr="00801A36">
              <w:rPr>
                <w:rFonts w:ascii="Times New Roman" w:eastAsia="Times New Roman" w:hAnsi="Times New Roman" w:cs="Times New Roman"/>
                <w:color w:val="000000"/>
                <w:kern w:val="0"/>
                <w:sz w:val="19"/>
                <w:szCs w:val="19"/>
                <w:lang w:eastAsia="en-IN"/>
                <w14:ligatures w14:val="none"/>
              </w:rPr>
              <w:t>..</w:t>
            </w:r>
          </w:p>
        </w:tc>
        <w:tc>
          <w:tcPr>
            <w:tcW w:w="986" w:type="dxa"/>
            <w:tcBorders>
              <w:top w:val="nil"/>
              <w:left w:val="nil"/>
              <w:bottom w:val="single" w:sz="4" w:space="0" w:color="auto"/>
              <w:right w:val="single" w:sz="4" w:space="0" w:color="auto"/>
            </w:tcBorders>
            <w:noWrap/>
            <w:vAlign w:val="center"/>
            <w:hideMark/>
          </w:tcPr>
          <w:p w14:paraId="2C7E3C10" w14:textId="77777777" w:rsidR="007B1BAC" w:rsidRPr="00801A36" w:rsidRDefault="007B1BAC" w:rsidP="00801A36">
            <w:pPr>
              <w:spacing w:after="0" w:line="240" w:lineRule="auto"/>
              <w:jc w:val="center"/>
              <w:rPr>
                <w:rFonts w:ascii="Times New Roman" w:eastAsia="Times New Roman" w:hAnsi="Times New Roman" w:cs="Times New Roman"/>
                <w:color w:val="000000"/>
                <w:kern w:val="0"/>
                <w:sz w:val="19"/>
                <w:szCs w:val="19"/>
                <w:lang w:eastAsia="en-IN"/>
                <w14:ligatures w14:val="none"/>
              </w:rPr>
            </w:pPr>
            <w:r w:rsidRPr="00801A36">
              <w:rPr>
                <w:rFonts w:ascii="Times New Roman" w:eastAsia="Times New Roman" w:hAnsi="Times New Roman" w:cs="Times New Roman"/>
                <w:color w:val="000000"/>
                <w:kern w:val="0"/>
                <w:sz w:val="19"/>
                <w:szCs w:val="19"/>
                <w:lang w:eastAsia="en-IN"/>
                <w14:ligatures w14:val="none"/>
              </w:rPr>
              <w:t>4,100.29</w:t>
            </w:r>
          </w:p>
        </w:tc>
        <w:tc>
          <w:tcPr>
            <w:tcW w:w="1084" w:type="dxa"/>
            <w:tcBorders>
              <w:top w:val="nil"/>
              <w:left w:val="nil"/>
              <w:bottom w:val="single" w:sz="4" w:space="0" w:color="auto"/>
              <w:right w:val="single" w:sz="4" w:space="0" w:color="auto"/>
            </w:tcBorders>
            <w:noWrap/>
            <w:vAlign w:val="center"/>
            <w:hideMark/>
          </w:tcPr>
          <w:p w14:paraId="01D304B0" w14:textId="77777777" w:rsidR="007B1BAC" w:rsidRPr="00801A36" w:rsidRDefault="007B1BAC" w:rsidP="00801A36">
            <w:pPr>
              <w:spacing w:after="0" w:line="240" w:lineRule="auto"/>
              <w:jc w:val="center"/>
              <w:rPr>
                <w:rFonts w:ascii="Times New Roman" w:eastAsia="Times New Roman" w:hAnsi="Times New Roman" w:cs="Times New Roman"/>
                <w:color w:val="000000"/>
                <w:kern w:val="0"/>
                <w:sz w:val="19"/>
                <w:szCs w:val="19"/>
                <w:lang w:eastAsia="en-IN"/>
                <w14:ligatures w14:val="none"/>
              </w:rPr>
            </w:pPr>
            <w:r w:rsidRPr="00801A36">
              <w:rPr>
                <w:rFonts w:ascii="Times New Roman" w:eastAsia="Times New Roman" w:hAnsi="Times New Roman" w:cs="Times New Roman"/>
                <w:color w:val="000000"/>
                <w:kern w:val="0"/>
                <w:sz w:val="19"/>
                <w:szCs w:val="19"/>
                <w:lang w:eastAsia="en-IN"/>
                <w14:ligatures w14:val="none"/>
              </w:rPr>
              <w:t>4,101.27</w:t>
            </w:r>
          </w:p>
        </w:tc>
        <w:tc>
          <w:tcPr>
            <w:tcW w:w="1070" w:type="dxa"/>
            <w:tcBorders>
              <w:top w:val="nil"/>
              <w:left w:val="nil"/>
              <w:bottom w:val="single" w:sz="4" w:space="0" w:color="auto"/>
              <w:right w:val="single" w:sz="4" w:space="0" w:color="auto"/>
            </w:tcBorders>
            <w:noWrap/>
            <w:vAlign w:val="center"/>
            <w:hideMark/>
          </w:tcPr>
          <w:p w14:paraId="1767835F" w14:textId="77777777" w:rsidR="007B1BAC" w:rsidRPr="00801A36" w:rsidRDefault="007B1BAC" w:rsidP="00801A36">
            <w:pPr>
              <w:spacing w:after="0" w:line="240" w:lineRule="auto"/>
              <w:jc w:val="center"/>
              <w:rPr>
                <w:rFonts w:ascii="Times New Roman" w:eastAsia="Times New Roman" w:hAnsi="Times New Roman" w:cs="Times New Roman"/>
                <w:color w:val="000000"/>
                <w:kern w:val="0"/>
                <w:sz w:val="19"/>
                <w:szCs w:val="19"/>
                <w:lang w:eastAsia="en-IN"/>
                <w14:ligatures w14:val="none"/>
              </w:rPr>
            </w:pPr>
            <w:r w:rsidRPr="00801A36">
              <w:rPr>
                <w:rFonts w:ascii="Times New Roman" w:eastAsia="Times New Roman" w:hAnsi="Times New Roman" w:cs="Times New Roman"/>
                <w:color w:val="000000"/>
                <w:kern w:val="0"/>
                <w:sz w:val="19"/>
                <w:szCs w:val="19"/>
                <w:lang w:eastAsia="en-IN"/>
                <w14:ligatures w14:val="none"/>
              </w:rPr>
              <w:t>0.13</w:t>
            </w:r>
          </w:p>
        </w:tc>
        <w:tc>
          <w:tcPr>
            <w:tcW w:w="1196" w:type="dxa"/>
            <w:tcBorders>
              <w:top w:val="nil"/>
              <w:left w:val="nil"/>
              <w:bottom w:val="single" w:sz="4" w:space="0" w:color="auto"/>
              <w:right w:val="single" w:sz="4" w:space="0" w:color="auto"/>
            </w:tcBorders>
            <w:noWrap/>
            <w:vAlign w:val="center"/>
            <w:hideMark/>
          </w:tcPr>
          <w:p w14:paraId="7927862A" w14:textId="77777777" w:rsidR="007B1BAC" w:rsidRPr="00801A36" w:rsidRDefault="007B1BAC" w:rsidP="00801A36">
            <w:pPr>
              <w:spacing w:after="0" w:line="240" w:lineRule="auto"/>
              <w:jc w:val="center"/>
              <w:rPr>
                <w:rFonts w:ascii="Times New Roman" w:eastAsia="Times New Roman" w:hAnsi="Times New Roman" w:cs="Times New Roman"/>
                <w:color w:val="000000"/>
                <w:kern w:val="0"/>
                <w:sz w:val="19"/>
                <w:szCs w:val="19"/>
                <w:lang w:eastAsia="en-IN"/>
                <w14:ligatures w14:val="none"/>
              </w:rPr>
            </w:pPr>
            <w:r w:rsidRPr="00801A36">
              <w:rPr>
                <w:rFonts w:ascii="Times New Roman" w:eastAsia="Times New Roman" w:hAnsi="Times New Roman" w:cs="Times New Roman"/>
                <w:color w:val="000000"/>
                <w:kern w:val="0"/>
                <w:sz w:val="19"/>
                <w:szCs w:val="19"/>
                <w:lang w:eastAsia="en-IN"/>
                <w14:ligatures w14:val="none"/>
              </w:rPr>
              <w:t>..</w:t>
            </w:r>
          </w:p>
        </w:tc>
        <w:tc>
          <w:tcPr>
            <w:tcW w:w="986" w:type="dxa"/>
            <w:tcBorders>
              <w:top w:val="nil"/>
              <w:left w:val="nil"/>
              <w:bottom w:val="single" w:sz="4" w:space="0" w:color="auto"/>
              <w:right w:val="single" w:sz="4" w:space="0" w:color="auto"/>
            </w:tcBorders>
            <w:noWrap/>
            <w:vAlign w:val="center"/>
            <w:hideMark/>
          </w:tcPr>
          <w:p w14:paraId="7C52E201" w14:textId="77777777" w:rsidR="007B1BAC" w:rsidRPr="00801A36" w:rsidRDefault="007B1BAC" w:rsidP="00801A36">
            <w:pPr>
              <w:spacing w:after="0" w:line="240" w:lineRule="auto"/>
              <w:jc w:val="center"/>
              <w:rPr>
                <w:rFonts w:ascii="Times New Roman" w:eastAsia="Times New Roman" w:hAnsi="Times New Roman" w:cs="Times New Roman"/>
                <w:color w:val="000000"/>
                <w:kern w:val="0"/>
                <w:sz w:val="19"/>
                <w:szCs w:val="19"/>
                <w:lang w:eastAsia="en-IN"/>
                <w14:ligatures w14:val="none"/>
              </w:rPr>
            </w:pPr>
            <w:r w:rsidRPr="00801A36">
              <w:rPr>
                <w:rFonts w:ascii="Times New Roman" w:eastAsia="Times New Roman" w:hAnsi="Times New Roman" w:cs="Times New Roman"/>
                <w:color w:val="000000"/>
                <w:kern w:val="0"/>
                <w:sz w:val="19"/>
                <w:szCs w:val="19"/>
                <w:lang w:eastAsia="en-IN"/>
                <w14:ligatures w14:val="none"/>
              </w:rPr>
              <w:t>4,101.40</w:t>
            </w:r>
          </w:p>
        </w:tc>
      </w:tr>
      <w:tr w:rsidR="007B1BAC" w:rsidRPr="00801A36" w14:paraId="60D08DFE" w14:textId="77777777" w:rsidTr="00801A36">
        <w:trPr>
          <w:trHeight w:val="20"/>
          <w:jc w:val="center"/>
        </w:trPr>
        <w:tc>
          <w:tcPr>
            <w:tcW w:w="618" w:type="dxa"/>
            <w:tcBorders>
              <w:top w:val="nil"/>
              <w:left w:val="single" w:sz="4" w:space="0" w:color="auto"/>
              <w:bottom w:val="single" w:sz="4" w:space="0" w:color="auto"/>
              <w:right w:val="single" w:sz="4" w:space="0" w:color="auto"/>
            </w:tcBorders>
            <w:noWrap/>
            <w:vAlign w:val="bottom"/>
            <w:hideMark/>
          </w:tcPr>
          <w:p w14:paraId="4E1ED08F" w14:textId="77777777" w:rsidR="007B1BAC" w:rsidRPr="00801A36" w:rsidRDefault="007B1BAC" w:rsidP="007B1BAC">
            <w:pPr>
              <w:spacing w:after="0" w:line="240" w:lineRule="auto"/>
              <w:rPr>
                <w:rFonts w:ascii="Times New Roman" w:eastAsia="Times New Roman" w:hAnsi="Times New Roman" w:cs="Times New Roman"/>
                <w:color w:val="000000"/>
                <w:kern w:val="0"/>
                <w:sz w:val="19"/>
                <w:szCs w:val="19"/>
                <w:lang w:eastAsia="en-IN"/>
                <w14:ligatures w14:val="none"/>
              </w:rPr>
            </w:pPr>
            <w:r w:rsidRPr="00801A36">
              <w:rPr>
                <w:rFonts w:ascii="Times New Roman" w:eastAsia="Times New Roman" w:hAnsi="Times New Roman" w:cs="Times New Roman"/>
                <w:color w:val="000000"/>
                <w:kern w:val="0"/>
                <w:sz w:val="19"/>
                <w:szCs w:val="19"/>
                <w:lang w:eastAsia="en-IN"/>
                <w14:ligatures w14:val="none"/>
              </w:rPr>
              <w:t> </w:t>
            </w:r>
          </w:p>
        </w:tc>
        <w:tc>
          <w:tcPr>
            <w:tcW w:w="1680" w:type="dxa"/>
            <w:tcBorders>
              <w:top w:val="nil"/>
              <w:left w:val="nil"/>
              <w:bottom w:val="single" w:sz="4" w:space="0" w:color="auto"/>
              <w:right w:val="single" w:sz="4" w:space="0" w:color="auto"/>
            </w:tcBorders>
            <w:noWrap/>
            <w:vAlign w:val="bottom"/>
            <w:hideMark/>
          </w:tcPr>
          <w:p w14:paraId="0F33EF18" w14:textId="77777777" w:rsidR="007B1BAC" w:rsidRPr="00801A36" w:rsidRDefault="007B1BAC" w:rsidP="007B1BAC">
            <w:pPr>
              <w:spacing w:after="0" w:line="240" w:lineRule="auto"/>
              <w:rPr>
                <w:rFonts w:ascii="Times New Roman" w:eastAsia="Times New Roman" w:hAnsi="Times New Roman" w:cs="Times New Roman"/>
                <w:color w:val="000000"/>
                <w:kern w:val="0"/>
                <w:sz w:val="19"/>
                <w:szCs w:val="19"/>
                <w:lang w:eastAsia="en-IN"/>
                <w14:ligatures w14:val="none"/>
              </w:rPr>
            </w:pPr>
            <w:r w:rsidRPr="00801A36">
              <w:rPr>
                <w:rFonts w:ascii="Times New Roman" w:eastAsia="Times New Roman" w:hAnsi="Times New Roman" w:cs="Times New Roman"/>
                <w:color w:val="000000"/>
                <w:kern w:val="0"/>
                <w:sz w:val="19"/>
                <w:szCs w:val="19"/>
                <w:lang w:eastAsia="en-IN"/>
                <w14:ligatures w14:val="none"/>
              </w:rPr>
              <w:t>North Eastern</w:t>
            </w:r>
          </w:p>
        </w:tc>
        <w:tc>
          <w:tcPr>
            <w:tcW w:w="1084" w:type="dxa"/>
            <w:tcBorders>
              <w:top w:val="nil"/>
              <w:left w:val="nil"/>
              <w:bottom w:val="single" w:sz="4" w:space="0" w:color="auto"/>
              <w:right w:val="single" w:sz="4" w:space="0" w:color="auto"/>
            </w:tcBorders>
            <w:noWrap/>
            <w:vAlign w:val="center"/>
            <w:hideMark/>
          </w:tcPr>
          <w:p w14:paraId="566829D5" w14:textId="77777777" w:rsidR="007B1BAC" w:rsidRPr="00801A36" w:rsidRDefault="007B1BAC" w:rsidP="00801A36">
            <w:pPr>
              <w:spacing w:after="0" w:line="240" w:lineRule="auto"/>
              <w:jc w:val="center"/>
              <w:rPr>
                <w:rFonts w:ascii="Times New Roman" w:eastAsia="Times New Roman" w:hAnsi="Times New Roman" w:cs="Times New Roman"/>
                <w:color w:val="000000"/>
                <w:kern w:val="0"/>
                <w:sz w:val="19"/>
                <w:szCs w:val="19"/>
                <w:lang w:eastAsia="en-IN"/>
                <w14:ligatures w14:val="none"/>
              </w:rPr>
            </w:pPr>
            <w:r w:rsidRPr="00801A36">
              <w:rPr>
                <w:rFonts w:ascii="Times New Roman" w:eastAsia="Times New Roman" w:hAnsi="Times New Roman" w:cs="Times New Roman"/>
                <w:color w:val="000000"/>
                <w:kern w:val="0"/>
                <w:sz w:val="19"/>
                <w:szCs w:val="19"/>
                <w:lang w:eastAsia="en-IN"/>
                <w14:ligatures w14:val="none"/>
              </w:rPr>
              <w:t>..</w:t>
            </w:r>
          </w:p>
        </w:tc>
        <w:tc>
          <w:tcPr>
            <w:tcW w:w="1070" w:type="dxa"/>
            <w:tcBorders>
              <w:top w:val="nil"/>
              <w:left w:val="nil"/>
              <w:bottom w:val="single" w:sz="4" w:space="0" w:color="auto"/>
              <w:right w:val="single" w:sz="4" w:space="0" w:color="auto"/>
            </w:tcBorders>
            <w:noWrap/>
            <w:vAlign w:val="center"/>
            <w:hideMark/>
          </w:tcPr>
          <w:p w14:paraId="7519C078" w14:textId="77777777" w:rsidR="007B1BAC" w:rsidRPr="00801A36" w:rsidRDefault="007B1BAC" w:rsidP="00801A36">
            <w:pPr>
              <w:spacing w:after="0" w:line="240" w:lineRule="auto"/>
              <w:jc w:val="center"/>
              <w:rPr>
                <w:rFonts w:ascii="Times New Roman" w:eastAsia="Times New Roman" w:hAnsi="Times New Roman" w:cs="Times New Roman"/>
                <w:color w:val="000000"/>
                <w:kern w:val="0"/>
                <w:sz w:val="19"/>
                <w:szCs w:val="19"/>
                <w:lang w:eastAsia="en-IN"/>
                <w14:ligatures w14:val="none"/>
              </w:rPr>
            </w:pPr>
            <w:r w:rsidRPr="00801A36">
              <w:rPr>
                <w:rFonts w:ascii="Times New Roman" w:eastAsia="Times New Roman" w:hAnsi="Times New Roman" w:cs="Times New Roman"/>
                <w:color w:val="000000"/>
                <w:kern w:val="0"/>
                <w:sz w:val="19"/>
                <w:szCs w:val="19"/>
                <w:lang w:eastAsia="en-IN"/>
                <w14:ligatures w14:val="none"/>
              </w:rPr>
              <w:t>3,218.95</w:t>
            </w:r>
          </w:p>
        </w:tc>
        <w:tc>
          <w:tcPr>
            <w:tcW w:w="1196" w:type="dxa"/>
            <w:tcBorders>
              <w:top w:val="nil"/>
              <w:left w:val="nil"/>
              <w:bottom w:val="single" w:sz="4" w:space="0" w:color="auto"/>
              <w:right w:val="single" w:sz="4" w:space="0" w:color="auto"/>
            </w:tcBorders>
            <w:noWrap/>
            <w:vAlign w:val="center"/>
            <w:hideMark/>
          </w:tcPr>
          <w:p w14:paraId="77F9B19A" w14:textId="77777777" w:rsidR="007B1BAC" w:rsidRPr="00801A36" w:rsidRDefault="007B1BAC" w:rsidP="00801A36">
            <w:pPr>
              <w:spacing w:after="0" w:line="240" w:lineRule="auto"/>
              <w:jc w:val="center"/>
              <w:rPr>
                <w:rFonts w:ascii="Times New Roman" w:eastAsia="Times New Roman" w:hAnsi="Times New Roman" w:cs="Times New Roman"/>
                <w:color w:val="000000"/>
                <w:kern w:val="0"/>
                <w:sz w:val="19"/>
                <w:szCs w:val="19"/>
                <w:lang w:eastAsia="en-IN"/>
                <w14:ligatures w14:val="none"/>
              </w:rPr>
            </w:pPr>
            <w:r w:rsidRPr="00801A36">
              <w:rPr>
                <w:rFonts w:ascii="Times New Roman" w:eastAsia="Times New Roman" w:hAnsi="Times New Roman" w:cs="Times New Roman"/>
                <w:color w:val="000000"/>
                <w:kern w:val="0"/>
                <w:sz w:val="19"/>
                <w:szCs w:val="19"/>
                <w:lang w:eastAsia="en-IN"/>
                <w14:ligatures w14:val="none"/>
              </w:rPr>
              <w:t>..</w:t>
            </w:r>
          </w:p>
        </w:tc>
        <w:tc>
          <w:tcPr>
            <w:tcW w:w="986" w:type="dxa"/>
            <w:tcBorders>
              <w:top w:val="nil"/>
              <w:left w:val="nil"/>
              <w:bottom w:val="single" w:sz="4" w:space="0" w:color="auto"/>
              <w:right w:val="single" w:sz="4" w:space="0" w:color="auto"/>
            </w:tcBorders>
            <w:noWrap/>
            <w:vAlign w:val="center"/>
            <w:hideMark/>
          </w:tcPr>
          <w:p w14:paraId="411F6472" w14:textId="77777777" w:rsidR="007B1BAC" w:rsidRPr="00801A36" w:rsidRDefault="007B1BAC" w:rsidP="00801A36">
            <w:pPr>
              <w:spacing w:after="0" w:line="240" w:lineRule="auto"/>
              <w:jc w:val="center"/>
              <w:rPr>
                <w:rFonts w:ascii="Times New Roman" w:eastAsia="Times New Roman" w:hAnsi="Times New Roman" w:cs="Times New Roman"/>
                <w:color w:val="000000"/>
                <w:kern w:val="0"/>
                <w:sz w:val="19"/>
                <w:szCs w:val="19"/>
                <w:lang w:eastAsia="en-IN"/>
                <w14:ligatures w14:val="none"/>
              </w:rPr>
            </w:pPr>
            <w:r w:rsidRPr="00801A36">
              <w:rPr>
                <w:rFonts w:ascii="Times New Roman" w:eastAsia="Times New Roman" w:hAnsi="Times New Roman" w:cs="Times New Roman"/>
                <w:color w:val="000000"/>
                <w:kern w:val="0"/>
                <w:sz w:val="19"/>
                <w:szCs w:val="19"/>
                <w:lang w:eastAsia="en-IN"/>
                <w14:ligatures w14:val="none"/>
              </w:rPr>
              <w:t>3,218.95</w:t>
            </w:r>
          </w:p>
        </w:tc>
        <w:tc>
          <w:tcPr>
            <w:tcW w:w="1084" w:type="dxa"/>
            <w:tcBorders>
              <w:top w:val="nil"/>
              <w:left w:val="nil"/>
              <w:bottom w:val="single" w:sz="4" w:space="0" w:color="auto"/>
              <w:right w:val="single" w:sz="4" w:space="0" w:color="auto"/>
            </w:tcBorders>
            <w:noWrap/>
            <w:vAlign w:val="center"/>
            <w:hideMark/>
          </w:tcPr>
          <w:p w14:paraId="6C5D3ADC" w14:textId="77777777" w:rsidR="007B1BAC" w:rsidRPr="00801A36" w:rsidRDefault="007B1BAC" w:rsidP="00801A36">
            <w:pPr>
              <w:spacing w:after="0" w:line="240" w:lineRule="auto"/>
              <w:jc w:val="center"/>
              <w:rPr>
                <w:rFonts w:ascii="Times New Roman" w:eastAsia="Times New Roman" w:hAnsi="Times New Roman" w:cs="Times New Roman"/>
                <w:color w:val="000000"/>
                <w:kern w:val="0"/>
                <w:sz w:val="19"/>
                <w:szCs w:val="19"/>
                <w:lang w:eastAsia="en-IN"/>
                <w14:ligatures w14:val="none"/>
              </w:rPr>
            </w:pPr>
            <w:r w:rsidRPr="00801A36">
              <w:rPr>
                <w:rFonts w:ascii="Times New Roman" w:eastAsia="Times New Roman" w:hAnsi="Times New Roman" w:cs="Times New Roman"/>
                <w:color w:val="000000"/>
                <w:kern w:val="0"/>
                <w:sz w:val="19"/>
                <w:szCs w:val="19"/>
                <w:lang w:eastAsia="en-IN"/>
                <w14:ligatures w14:val="none"/>
              </w:rPr>
              <w:t>..</w:t>
            </w:r>
          </w:p>
        </w:tc>
        <w:tc>
          <w:tcPr>
            <w:tcW w:w="1070" w:type="dxa"/>
            <w:tcBorders>
              <w:top w:val="nil"/>
              <w:left w:val="nil"/>
              <w:bottom w:val="single" w:sz="4" w:space="0" w:color="auto"/>
              <w:right w:val="single" w:sz="4" w:space="0" w:color="auto"/>
            </w:tcBorders>
            <w:noWrap/>
            <w:vAlign w:val="center"/>
            <w:hideMark/>
          </w:tcPr>
          <w:p w14:paraId="4FA7F4C5" w14:textId="77777777" w:rsidR="007B1BAC" w:rsidRPr="00801A36" w:rsidRDefault="007B1BAC" w:rsidP="00801A36">
            <w:pPr>
              <w:spacing w:after="0" w:line="240" w:lineRule="auto"/>
              <w:jc w:val="center"/>
              <w:rPr>
                <w:rFonts w:ascii="Times New Roman" w:eastAsia="Times New Roman" w:hAnsi="Times New Roman" w:cs="Times New Roman"/>
                <w:color w:val="000000"/>
                <w:kern w:val="0"/>
                <w:sz w:val="19"/>
                <w:szCs w:val="19"/>
                <w:lang w:eastAsia="en-IN"/>
                <w14:ligatures w14:val="none"/>
              </w:rPr>
            </w:pPr>
            <w:r w:rsidRPr="00801A36">
              <w:rPr>
                <w:rFonts w:ascii="Times New Roman" w:eastAsia="Times New Roman" w:hAnsi="Times New Roman" w:cs="Times New Roman"/>
                <w:color w:val="000000"/>
                <w:kern w:val="0"/>
                <w:sz w:val="19"/>
                <w:szCs w:val="19"/>
                <w:lang w:eastAsia="en-IN"/>
                <w14:ligatures w14:val="none"/>
              </w:rPr>
              <w:t>3,220.99</w:t>
            </w:r>
          </w:p>
        </w:tc>
        <w:tc>
          <w:tcPr>
            <w:tcW w:w="1196" w:type="dxa"/>
            <w:tcBorders>
              <w:top w:val="nil"/>
              <w:left w:val="nil"/>
              <w:bottom w:val="single" w:sz="4" w:space="0" w:color="auto"/>
              <w:right w:val="single" w:sz="4" w:space="0" w:color="auto"/>
            </w:tcBorders>
            <w:noWrap/>
            <w:vAlign w:val="center"/>
            <w:hideMark/>
          </w:tcPr>
          <w:p w14:paraId="7966044D" w14:textId="77777777" w:rsidR="007B1BAC" w:rsidRPr="00801A36" w:rsidRDefault="007B1BAC" w:rsidP="00801A36">
            <w:pPr>
              <w:spacing w:after="0" w:line="240" w:lineRule="auto"/>
              <w:jc w:val="center"/>
              <w:rPr>
                <w:rFonts w:ascii="Times New Roman" w:eastAsia="Times New Roman" w:hAnsi="Times New Roman" w:cs="Times New Roman"/>
                <w:color w:val="000000"/>
                <w:kern w:val="0"/>
                <w:sz w:val="19"/>
                <w:szCs w:val="19"/>
                <w:lang w:eastAsia="en-IN"/>
                <w14:ligatures w14:val="none"/>
              </w:rPr>
            </w:pPr>
            <w:r w:rsidRPr="00801A36">
              <w:rPr>
                <w:rFonts w:ascii="Times New Roman" w:eastAsia="Times New Roman" w:hAnsi="Times New Roman" w:cs="Times New Roman"/>
                <w:color w:val="000000"/>
                <w:kern w:val="0"/>
                <w:sz w:val="19"/>
                <w:szCs w:val="19"/>
                <w:lang w:eastAsia="en-IN"/>
                <w14:ligatures w14:val="none"/>
              </w:rPr>
              <w:t>..</w:t>
            </w:r>
          </w:p>
        </w:tc>
        <w:tc>
          <w:tcPr>
            <w:tcW w:w="986" w:type="dxa"/>
            <w:tcBorders>
              <w:top w:val="nil"/>
              <w:left w:val="nil"/>
              <w:bottom w:val="single" w:sz="4" w:space="0" w:color="auto"/>
              <w:right w:val="single" w:sz="4" w:space="0" w:color="auto"/>
            </w:tcBorders>
            <w:noWrap/>
            <w:vAlign w:val="center"/>
            <w:hideMark/>
          </w:tcPr>
          <w:p w14:paraId="59BFFCE6" w14:textId="77777777" w:rsidR="007B1BAC" w:rsidRPr="00801A36" w:rsidRDefault="007B1BAC" w:rsidP="00801A36">
            <w:pPr>
              <w:spacing w:after="0" w:line="240" w:lineRule="auto"/>
              <w:jc w:val="center"/>
              <w:rPr>
                <w:rFonts w:ascii="Times New Roman" w:eastAsia="Times New Roman" w:hAnsi="Times New Roman" w:cs="Times New Roman"/>
                <w:color w:val="000000"/>
                <w:kern w:val="0"/>
                <w:sz w:val="19"/>
                <w:szCs w:val="19"/>
                <w:lang w:eastAsia="en-IN"/>
                <w14:ligatures w14:val="none"/>
              </w:rPr>
            </w:pPr>
            <w:r w:rsidRPr="00801A36">
              <w:rPr>
                <w:rFonts w:ascii="Times New Roman" w:eastAsia="Times New Roman" w:hAnsi="Times New Roman" w:cs="Times New Roman"/>
                <w:color w:val="000000"/>
                <w:kern w:val="0"/>
                <w:sz w:val="19"/>
                <w:szCs w:val="19"/>
                <w:lang w:eastAsia="en-IN"/>
                <w14:ligatures w14:val="none"/>
              </w:rPr>
              <w:t>3,220.99</w:t>
            </w:r>
          </w:p>
        </w:tc>
        <w:tc>
          <w:tcPr>
            <w:tcW w:w="1084" w:type="dxa"/>
            <w:tcBorders>
              <w:top w:val="nil"/>
              <w:left w:val="nil"/>
              <w:bottom w:val="single" w:sz="4" w:space="0" w:color="auto"/>
              <w:right w:val="single" w:sz="4" w:space="0" w:color="auto"/>
            </w:tcBorders>
            <w:noWrap/>
            <w:vAlign w:val="center"/>
            <w:hideMark/>
          </w:tcPr>
          <w:p w14:paraId="3555F85E" w14:textId="77777777" w:rsidR="007B1BAC" w:rsidRPr="00801A36" w:rsidRDefault="007B1BAC" w:rsidP="00801A36">
            <w:pPr>
              <w:spacing w:after="0" w:line="240" w:lineRule="auto"/>
              <w:jc w:val="center"/>
              <w:rPr>
                <w:rFonts w:ascii="Times New Roman" w:eastAsia="Times New Roman" w:hAnsi="Times New Roman" w:cs="Times New Roman"/>
                <w:color w:val="000000"/>
                <w:kern w:val="0"/>
                <w:sz w:val="19"/>
                <w:szCs w:val="19"/>
                <w:lang w:eastAsia="en-IN"/>
                <w14:ligatures w14:val="none"/>
              </w:rPr>
            </w:pPr>
            <w:r w:rsidRPr="00801A36">
              <w:rPr>
                <w:rFonts w:ascii="Times New Roman" w:eastAsia="Times New Roman" w:hAnsi="Times New Roman" w:cs="Times New Roman"/>
                <w:color w:val="000000"/>
                <w:kern w:val="0"/>
                <w:sz w:val="19"/>
                <w:szCs w:val="19"/>
                <w:lang w:eastAsia="en-IN"/>
                <w14:ligatures w14:val="none"/>
              </w:rPr>
              <w:t>..</w:t>
            </w:r>
          </w:p>
        </w:tc>
        <w:tc>
          <w:tcPr>
            <w:tcW w:w="1070" w:type="dxa"/>
            <w:tcBorders>
              <w:top w:val="nil"/>
              <w:left w:val="nil"/>
              <w:bottom w:val="single" w:sz="4" w:space="0" w:color="auto"/>
              <w:right w:val="single" w:sz="4" w:space="0" w:color="auto"/>
            </w:tcBorders>
            <w:noWrap/>
            <w:vAlign w:val="center"/>
            <w:hideMark/>
          </w:tcPr>
          <w:p w14:paraId="3E260ECE" w14:textId="77777777" w:rsidR="007B1BAC" w:rsidRPr="00801A36" w:rsidRDefault="007B1BAC" w:rsidP="00801A36">
            <w:pPr>
              <w:spacing w:after="0" w:line="240" w:lineRule="auto"/>
              <w:jc w:val="center"/>
              <w:rPr>
                <w:rFonts w:ascii="Times New Roman" w:eastAsia="Times New Roman" w:hAnsi="Times New Roman" w:cs="Times New Roman"/>
                <w:color w:val="000000"/>
                <w:kern w:val="0"/>
                <w:sz w:val="19"/>
                <w:szCs w:val="19"/>
                <w:lang w:eastAsia="en-IN"/>
                <w14:ligatures w14:val="none"/>
              </w:rPr>
            </w:pPr>
            <w:r w:rsidRPr="00801A36">
              <w:rPr>
                <w:rFonts w:ascii="Times New Roman" w:eastAsia="Times New Roman" w:hAnsi="Times New Roman" w:cs="Times New Roman"/>
                <w:color w:val="000000"/>
                <w:kern w:val="0"/>
                <w:sz w:val="19"/>
                <w:szCs w:val="19"/>
                <w:lang w:eastAsia="en-IN"/>
                <w14:ligatures w14:val="none"/>
              </w:rPr>
              <w:t>3,220.52</w:t>
            </w:r>
          </w:p>
        </w:tc>
        <w:tc>
          <w:tcPr>
            <w:tcW w:w="1196" w:type="dxa"/>
            <w:tcBorders>
              <w:top w:val="nil"/>
              <w:left w:val="nil"/>
              <w:bottom w:val="single" w:sz="4" w:space="0" w:color="auto"/>
              <w:right w:val="single" w:sz="4" w:space="0" w:color="auto"/>
            </w:tcBorders>
            <w:noWrap/>
            <w:vAlign w:val="center"/>
            <w:hideMark/>
          </w:tcPr>
          <w:p w14:paraId="5512DAD0" w14:textId="77777777" w:rsidR="007B1BAC" w:rsidRPr="00801A36" w:rsidRDefault="007B1BAC" w:rsidP="00801A36">
            <w:pPr>
              <w:spacing w:after="0" w:line="240" w:lineRule="auto"/>
              <w:jc w:val="center"/>
              <w:rPr>
                <w:rFonts w:ascii="Times New Roman" w:eastAsia="Times New Roman" w:hAnsi="Times New Roman" w:cs="Times New Roman"/>
                <w:color w:val="000000"/>
                <w:kern w:val="0"/>
                <w:sz w:val="19"/>
                <w:szCs w:val="19"/>
                <w:lang w:eastAsia="en-IN"/>
                <w14:ligatures w14:val="none"/>
              </w:rPr>
            </w:pPr>
            <w:r w:rsidRPr="00801A36">
              <w:rPr>
                <w:rFonts w:ascii="Times New Roman" w:eastAsia="Times New Roman" w:hAnsi="Times New Roman" w:cs="Times New Roman"/>
                <w:color w:val="000000"/>
                <w:kern w:val="0"/>
                <w:sz w:val="19"/>
                <w:szCs w:val="19"/>
                <w:lang w:eastAsia="en-IN"/>
                <w14:ligatures w14:val="none"/>
              </w:rPr>
              <w:t>..</w:t>
            </w:r>
          </w:p>
        </w:tc>
        <w:tc>
          <w:tcPr>
            <w:tcW w:w="986" w:type="dxa"/>
            <w:tcBorders>
              <w:top w:val="nil"/>
              <w:left w:val="nil"/>
              <w:bottom w:val="single" w:sz="4" w:space="0" w:color="auto"/>
              <w:right w:val="single" w:sz="4" w:space="0" w:color="auto"/>
            </w:tcBorders>
            <w:noWrap/>
            <w:vAlign w:val="center"/>
            <w:hideMark/>
          </w:tcPr>
          <w:p w14:paraId="4F613F91" w14:textId="77777777" w:rsidR="007B1BAC" w:rsidRPr="00801A36" w:rsidRDefault="007B1BAC" w:rsidP="00801A36">
            <w:pPr>
              <w:spacing w:after="0" w:line="240" w:lineRule="auto"/>
              <w:jc w:val="center"/>
              <w:rPr>
                <w:rFonts w:ascii="Times New Roman" w:eastAsia="Times New Roman" w:hAnsi="Times New Roman" w:cs="Times New Roman"/>
                <w:color w:val="000000"/>
                <w:kern w:val="0"/>
                <w:sz w:val="19"/>
                <w:szCs w:val="19"/>
                <w:lang w:eastAsia="en-IN"/>
                <w14:ligatures w14:val="none"/>
              </w:rPr>
            </w:pPr>
            <w:r w:rsidRPr="00801A36">
              <w:rPr>
                <w:rFonts w:ascii="Times New Roman" w:eastAsia="Times New Roman" w:hAnsi="Times New Roman" w:cs="Times New Roman"/>
                <w:color w:val="000000"/>
                <w:kern w:val="0"/>
                <w:sz w:val="19"/>
                <w:szCs w:val="19"/>
                <w:lang w:eastAsia="en-IN"/>
                <w14:ligatures w14:val="none"/>
              </w:rPr>
              <w:t>3,220.52</w:t>
            </w:r>
          </w:p>
        </w:tc>
      </w:tr>
      <w:tr w:rsidR="007B1BAC" w:rsidRPr="00801A36" w14:paraId="6B07E6B0" w14:textId="77777777" w:rsidTr="00801A36">
        <w:trPr>
          <w:trHeight w:val="20"/>
          <w:jc w:val="center"/>
        </w:trPr>
        <w:tc>
          <w:tcPr>
            <w:tcW w:w="618" w:type="dxa"/>
            <w:tcBorders>
              <w:top w:val="nil"/>
              <w:left w:val="single" w:sz="4" w:space="0" w:color="auto"/>
              <w:bottom w:val="single" w:sz="4" w:space="0" w:color="auto"/>
              <w:right w:val="single" w:sz="4" w:space="0" w:color="auto"/>
            </w:tcBorders>
            <w:noWrap/>
            <w:vAlign w:val="bottom"/>
            <w:hideMark/>
          </w:tcPr>
          <w:p w14:paraId="3BE42DD4" w14:textId="77777777" w:rsidR="007B1BAC" w:rsidRPr="00801A36" w:rsidRDefault="007B1BAC" w:rsidP="007B1BAC">
            <w:pPr>
              <w:spacing w:after="0" w:line="240" w:lineRule="auto"/>
              <w:rPr>
                <w:rFonts w:ascii="Times New Roman" w:eastAsia="Times New Roman" w:hAnsi="Times New Roman" w:cs="Times New Roman"/>
                <w:color w:val="000000"/>
                <w:kern w:val="0"/>
                <w:sz w:val="19"/>
                <w:szCs w:val="19"/>
                <w:lang w:eastAsia="en-IN"/>
                <w14:ligatures w14:val="none"/>
              </w:rPr>
            </w:pPr>
            <w:r w:rsidRPr="00801A36">
              <w:rPr>
                <w:rFonts w:ascii="Times New Roman" w:eastAsia="Times New Roman" w:hAnsi="Times New Roman" w:cs="Times New Roman"/>
                <w:color w:val="000000"/>
                <w:kern w:val="0"/>
                <w:sz w:val="19"/>
                <w:szCs w:val="19"/>
                <w:lang w:eastAsia="en-IN"/>
                <w14:ligatures w14:val="none"/>
              </w:rPr>
              <w:t> </w:t>
            </w:r>
          </w:p>
        </w:tc>
        <w:tc>
          <w:tcPr>
            <w:tcW w:w="1680" w:type="dxa"/>
            <w:tcBorders>
              <w:top w:val="nil"/>
              <w:left w:val="nil"/>
              <w:bottom w:val="single" w:sz="4" w:space="0" w:color="auto"/>
              <w:right w:val="single" w:sz="4" w:space="0" w:color="auto"/>
            </w:tcBorders>
            <w:noWrap/>
            <w:vAlign w:val="bottom"/>
            <w:hideMark/>
          </w:tcPr>
          <w:p w14:paraId="3BBEEEB7" w14:textId="77777777" w:rsidR="007B1BAC" w:rsidRPr="00801A36" w:rsidRDefault="007B1BAC" w:rsidP="007B1BAC">
            <w:pPr>
              <w:spacing w:after="0" w:line="240" w:lineRule="auto"/>
              <w:rPr>
                <w:rFonts w:ascii="Times New Roman" w:eastAsia="Times New Roman" w:hAnsi="Times New Roman" w:cs="Times New Roman"/>
                <w:color w:val="000000"/>
                <w:kern w:val="0"/>
                <w:sz w:val="19"/>
                <w:szCs w:val="19"/>
                <w:lang w:eastAsia="en-IN"/>
                <w14:ligatures w14:val="none"/>
              </w:rPr>
            </w:pPr>
            <w:r w:rsidRPr="00801A36">
              <w:rPr>
                <w:rFonts w:ascii="Times New Roman" w:eastAsia="Times New Roman" w:hAnsi="Times New Roman" w:cs="Times New Roman"/>
                <w:color w:val="000000"/>
                <w:kern w:val="0"/>
                <w:sz w:val="19"/>
                <w:szCs w:val="19"/>
                <w:lang w:eastAsia="en-IN"/>
                <w14:ligatures w14:val="none"/>
              </w:rPr>
              <w:t>Western</w:t>
            </w:r>
          </w:p>
        </w:tc>
        <w:tc>
          <w:tcPr>
            <w:tcW w:w="1084" w:type="dxa"/>
            <w:tcBorders>
              <w:top w:val="nil"/>
              <w:left w:val="nil"/>
              <w:bottom w:val="single" w:sz="4" w:space="0" w:color="auto"/>
              <w:right w:val="single" w:sz="4" w:space="0" w:color="auto"/>
            </w:tcBorders>
            <w:noWrap/>
            <w:vAlign w:val="center"/>
            <w:hideMark/>
          </w:tcPr>
          <w:p w14:paraId="26D8AE03" w14:textId="77777777" w:rsidR="007B1BAC" w:rsidRPr="00801A36" w:rsidRDefault="007B1BAC" w:rsidP="00801A36">
            <w:pPr>
              <w:spacing w:after="0" w:line="240" w:lineRule="auto"/>
              <w:jc w:val="center"/>
              <w:rPr>
                <w:rFonts w:ascii="Times New Roman" w:eastAsia="Times New Roman" w:hAnsi="Times New Roman" w:cs="Times New Roman"/>
                <w:color w:val="000000"/>
                <w:kern w:val="0"/>
                <w:sz w:val="19"/>
                <w:szCs w:val="19"/>
                <w:lang w:eastAsia="en-IN"/>
                <w14:ligatures w14:val="none"/>
              </w:rPr>
            </w:pPr>
            <w:r w:rsidRPr="00801A36">
              <w:rPr>
                <w:rFonts w:ascii="Times New Roman" w:eastAsia="Times New Roman" w:hAnsi="Times New Roman" w:cs="Times New Roman"/>
                <w:color w:val="000000"/>
                <w:kern w:val="0"/>
                <w:sz w:val="19"/>
                <w:szCs w:val="19"/>
                <w:lang w:eastAsia="en-IN"/>
                <w14:ligatures w14:val="none"/>
              </w:rPr>
              <w:t>68.06</w:t>
            </w:r>
          </w:p>
        </w:tc>
        <w:tc>
          <w:tcPr>
            <w:tcW w:w="1070" w:type="dxa"/>
            <w:tcBorders>
              <w:top w:val="nil"/>
              <w:left w:val="nil"/>
              <w:bottom w:val="single" w:sz="4" w:space="0" w:color="auto"/>
              <w:right w:val="single" w:sz="4" w:space="0" w:color="auto"/>
            </w:tcBorders>
            <w:noWrap/>
            <w:vAlign w:val="center"/>
            <w:hideMark/>
          </w:tcPr>
          <w:p w14:paraId="61986029" w14:textId="77777777" w:rsidR="007B1BAC" w:rsidRPr="00801A36" w:rsidRDefault="007B1BAC" w:rsidP="00801A36">
            <w:pPr>
              <w:spacing w:after="0" w:line="240" w:lineRule="auto"/>
              <w:jc w:val="center"/>
              <w:rPr>
                <w:rFonts w:ascii="Times New Roman" w:eastAsia="Times New Roman" w:hAnsi="Times New Roman" w:cs="Times New Roman"/>
                <w:color w:val="000000"/>
                <w:kern w:val="0"/>
                <w:sz w:val="19"/>
                <w:szCs w:val="19"/>
                <w:lang w:eastAsia="en-IN"/>
                <w14:ligatures w14:val="none"/>
              </w:rPr>
            </w:pPr>
            <w:r w:rsidRPr="00801A36">
              <w:rPr>
                <w:rFonts w:ascii="Times New Roman" w:eastAsia="Times New Roman" w:hAnsi="Times New Roman" w:cs="Times New Roman"/>
                <w:color w:val="000000"/>
                <w:kern w:val="0"/>
                <w:sz w:val="19"/>
                <w:szCs w:val="19"/>
                <w:lang w:eastAsia="en-IN"/>
                <w14:ligatures w14:val="none"/>
              </w:rPr>
              <w:t>37.43</w:t>
            </w:r>
          </w:p>
        </w:tc>
        <w:tc>
          <w:tcPr>
            <w:tcW w:w="1196" w:type="dxa"/>
            <w:tcBorders>
              <w:top w:val="nil"/>
              <w:left w:val="nil"/>
              <w:bottom w:val="single" w:sz="4" w:space="0" w:color="auto"/>
              <w:right w:val="single" w:sz="4" w:space="0" w:color="auto"/>
            </w:tcBorders>
            <w:noWrap/>
            <w:vAlign w:val="center"/>
            <w:hideMark/>
          </w:tcPr>
          <w:p w14:paraId="2DADF224" w14:textId="77777777" w:rsidR="007B1BAC" w:rsidRPr="00801A36" w:rsidRDefault="007B1BAC" w:rsidP="00801A36">
            <w:pPr>
              <w:spacing w:after="0" w:line="240" w:lineRule="auto"/>
              <w:jc w:val="center"/>
              <w:rPr>
                <w:rFonts w:ascii="Times New Roman" w:eastAsia="Times New Roman" w:hAnsi="Times New Roman" w:cs="Times New Roman"/>
                <w:color w:val="000000"/>
                <w:kern w:val="0"/>
                <w:sz w:val="19"/>
                <w:szCs w:val="19"/>
                <w:lang w:eastAsia="en-IN"/>
                <w14:ligatures w14:val="none"/>
              </w:rPr>
            </w:pPr>
            <w:r w:rsidRPr="00801A36">
              <w:rPr>
                <w:rFonts w:ascii="Times New Roman" w:eastAsia="Times New Roman" w:hAnsi="Times New Roman" w:cs="Times New Roman"/>
                <w:color w:val="000000"/>
                <w:kern w:val="0"/>
                <w:sz w:val="19"/>
                <w:szCs w:val="19"/>
                <w:lang w:eastAsia="en-IN"/>
                <w14:ligatures w14:val="none"/>
              </w:rPr>
              <w:t>..</w:t>
            </w:r>
          </w:p>
        </w:tc>
        <w:tc>
          <w:tcPr>
            <w:tcW w:w="986" w:type="dxa"/>
            <w:tcBorders>
              <w:top w:val="nil"/>
              <w:left w:val="nil"/>
              <w:bottom w:val="single" w:sz="4" w:space="0" w:color="auto"/>
              <w:right w:val="single" w:sz="4" w:space="0" w:color="auto"/>
            </w:tcBorders>
            <w:noWrap/>
            <w:vAlign w:val="center"/>
            <w:hideMark/>
          </w:tcPr>
          <w:p w14:paraId="052F227A" w14:textId="77777777" w:rsidR="007B1BAC" w:rsidRPr="00801A36" w:rsidRDefault="007B1BAC" w:rsidP="00801A36">
            <w:pPr>
              <w:spacing w:after="0" w:line="240" w:lineRule="auto"/>
              <w:jc w:val="center"/>
              <w:rPr>
                <w:rFonts w:ascii="Times New Roman" w:eastAsia="Times New Roman" w:hAnsi="Times New Roman" w:cs="Times New Roman"/>
                <w:color w:val="000000"/>
                <w:kern w:val="0"/>
                <w:sz w:val="19"/>
                <w:szCs w:val="19"/>
                <w:lang w:eastAsia="en-IN"/>
                <w14:ligatures w14:val="none"/>
              </w:rPr>
            </w:pPr>
            <w:r w:rsidRPr="00801A36">
              <w:rPr>
                <w:rFonts w:ascii="Times New Roman" w:eastAsia="Times New Roman" w:hAnsi="Times New Roman" w:cs="Times New Roman"/>
                <w:color w:val="000000"/>
                <w:kern w:val="0"/>
                <w:sz w:val="19"/>
                <w:szCs w:val="19"/>
                <w:lang w:eastAsia="en-IN"/>
                <w14:ligatures w14:val="none"/>
              </w:rPr>
              <w:t>105.49</w:t>
            </w:r>
          </w:p>
        </w:tc>
        <w:tc>
          <w:tcPr>
            <w:tcW w:w="1084" w:type="dxa"/>
            <w:tcBorders>
              <w:top w:val="nil"/>
              <w:left w:val="nil"/>
              <w:bottom w:val="single" w:sz="4" w:space="0" w:color="auto"/>
              <w:right w:val="single" w:sz="4" w:space="0" w:color="auto"/>
            </w:tcBorders>
            <w:noWrap/>
            <w:vAlign w:val="center"/>
            <w:hideMark/>
          </w:tcPr>
          <w:p w14:paraId="7C4A5C29" w14:textId="77777777" w:rsidR="007B1BAC" w:rsidRPr="00801A36" w:rsidRDefault="007B1BAC" w:rsidP="00801A36">
            <w:pPr>
              <w:spacing w:after="0" w:line="240" w:lineRule="auto"/>
              <w:jc w:val="center"/>
              <w:rPr>
                <w:rFonts w:ascii="Times New Roman" w:eastAsia="Times New Roman" w:hAnsi="Times New Roman" w:cs="Times New Roman"/>
                <w:color w:val="000000"/>
                <w:kern w:val="0"/>
                <w:sz w:val="19"/>
                <w:szCs w:val="19"/>
                <w:lang w:eastAsia="en-IN"/>
                <w14:ligatures w14:val="none"/>
              </w:rPr>
            </w:pPr>
            <w:r w:rsidRPr="00801A36">
              <w:rPr>
                <w:rFonts w:ascii="Times New Roman" w:eastAsia="Times New Roman" w:hAnsi="Times New Roman" w:cs="Times New Roman"/>
                <w:color w:val="000000"/>
                <w:kern w:val="0"/>
                <w:sz w:val="19"/>
                <w:szCs w:val="19"/>
                <w:lang w:eastAsia="en-IN"/>
                <w14:ligatures w14:val="none"/>
              </w:rPr>
              <w:t>68.06</w:t>
            </w:r>
          </w:p>
        </w:tc>
        <w:tc>
          <w:tcPr>
            <w:tcW w:w="1070" w:type="dxa"/>
            <w:tcBorders>
              <w:top w:val="nil"/>
              <w:left w:val="nil"/>
              <w:bottom w:val="single" w:sz="4" w:space="0" w:color="auto"/>
              <w:right w:val="single" w:sz="4" w:space="0" w:color="auto"/>
            </w:tcBorders>
            <w:noWrap/>
            <w:vAlign w:val="center"/>
            <w:hideMark/>
          </w:tcPr>
          <w:p w14:paraId="4BBE99CA" w14:textId="77777777" w:rsidR="007B1BAC" w:rsidRPr="00801A36" w:rsidRDefault="007B1BAC" w:rsidP="00801A36">
            <w:pPr>
              <w:spacing w:after="0" w:line="240" w:lineRule="auto"/>
              <w:jc w:val="center"/>
              <w:rPr>
                <w:rFonts w:ascii="Times New Roman" w:eastAsia="Times New Roman" w:hAnsi="Times New Roman" w:cs="Times New Roman"/>
                <w:color w:val="000000"/>
                <w:kern w:val="0"/>
                <w:sz w:val="19"/>
                <w:szCs w:val="19"/>
                <w:lang w:eastAsia="en-IN"/>
                <w14:ligatures w14:val="none"/>
              </w:rPr>
            </w:pPr>
            <w:r w:rsidRPr="00801A36">
              <w:rPr>
                <w:rFonts w:ascii="Times New Roman" w:eastAsia="Times New Roman" w:hAnsi="Times New Roman" w:cs="Times New Roman"/>
                <w:color w:val="000000"/>
                <w:kern w:val="0"/>
                <w:sz w:val="19"/>
                <w:szCs w:val="19"/>
                <w:lang w:eastAsia="en-IN"/>
                <w14:ligatures w14:val="none"/>
              </w:rPr>
              <w:t>37.43</w:t>
            </w:r>
          </w:p>
        </w:tc>
        <w:tc>
          <w:tcPr>
            <w:tcW w:w="1196" w:type="dxa"/>
            <w:tcBorders>
              <w:top w:val="nil"/>
              <w:left w:val="nil"/>
              <w:bottom w:val="single" w:sz="4" w:space="0" w:color="auto"/>
              <w:right w:val="single" w:sz="4" w:space="0" w:color="auto"/>
            </w:tcBorders>
            <w:noWrap/>
            <w:vAlign w:val="center"/>
            <w:hideMark/>
          </w:tcPr>
          <w:p w14:paraId="6A1EAED3" w14:textId="77777777" w:rsidR="007B1BAC" w:rsidRPr="00801A36" w:rsidRDefault="007B1BAC" w:rsidP="00801A36">
            <w:pPr>
              <w:spacing w:after="0" w:line="240" w:lineRule="auto"/>
              <w:jc w:val="center"/>
              <w:rPr>
                <w:rFonts w:ascii="Times New Roman" w:eastAsia="Times New Roman" w:hAnsi="Times New Roman" w:cs="Times New Roman"/>
                <w:color w:val="000000"/>
                <w:kern w:val="0"/>
                <w:sz w:val="19"/>
                <w:szCs w:val="19"/>
                <w:lang w:eastAsia="en-IN"/>
                <w14:ligatures w14:val="none"/>
              </w:rPr>
            </w:pPr>
            <w:r w:rsidRPr="00801A36">
              <w:rPr>
                <w:rFonts w:ascii="Times New Roman" w:eastAsia="Times New Roman" w:hAnsi="Times New Roman" w:cs="Times New Roman"/>
                <w:color w:val="000000"/>
                <w:kern w:val="0"/>
                <w:sz w:val="19"/>
                <w:szCs w:val="19"/>
                <w:lang w:eastAsia="en-IN"/>
                <w14:ligatures w14:val="none"/>
              </w:rPr>
              <w:t>..</w:t>
            </w:r>
          </w:p>
        </w:tc>
        <w:tc>
          <w:tcPr>
            <w:tcW w:w="986" w:type="dxa"/>
            <w:tcBorders>
              <w:top w:val="nil"/>
              <w:left w:val="nil"/>
              <w:bottom w:val="single" w:sz="4" w:space="0" w:color="auto"/>
              <w:right w:val="single" w:sz="4" w:space="0" w:color="auto"/>
            </w:tcBorders>
            <w:noWrap/>
            <w:vAlign w:val="center"/>
            <w:hideMark/>
          </w:tcPr>
          <w:p w14:paraId="3625C9B1" w14:textId="77777777" w:rsidR="007B1BAC" w:rsidRPr="00801A36" w:rsidRDefault="007B1BAC" w:rsidP="00801A36">
            <w:pPr>
              <w:spacing w:after="0" w:line="240" w:lineRule="auto"/>
              <w:jc w:val="center"/>
              <w:rPr>
                <w:rFonts w:ascii="Times New Roman" w:eastAsia="Times New Roman" w:hAnsi="Times New Roman" w:cs="Times New Roman"/>
                <w:color w:val="000000"/>
                <w:kern w:val="0"/>
                <w:sz w:val="19"/>
                <w:szCs w:val="19"/>
                <w:lang w:eastAsia="en-IN"/>
                <w14:ligatures w14:val="none"/>
              </w:rPr>
            </w:pPr>
            <w:r w:rsidRPr="00801A36">
              <w:rPr>
                <w:rFonts w:ascii="Times New Roman" w:eastAsia="Times New Roman" w:hAnsi="Times New Roman" w:cs="Times New Roman"/>
                <w:color w:val="000000"/>
                <w:kern w:val="0"/>
                <w:sz w:val="19"/>
                <w:szCs w:val="19"/>
                <w:lang w:eastAsia="en-IN"/>
                <w14:ligatures w14:val="none"/>
              </w:rPr>
              <w:t>105.49</w:t>
            </w:r>
          </w:p>
        </w:tc>
        <w:tc>
          <w:tcPr>
            <w:tcW w:w="1084" w:type="dxa"/>
            <w:tcBorders>
              <w:top w:val="nil"/>
              <w:left w:val="nil"/>
              <w:bottom w:val="single" w:sz="4" w:space="0" w:color="auto"/>
              <w:right w:val="single" w:sz="4" w:space="0" w:color="auto"/>
            </w:tcBorders>
            <w:noWrap/>
            <w:vAlign w:val="center"/>
            <w:hideMark/>
          </w:tcPr>
          <w:p w14:paraId="62B75A80" w14:textId="77777777" w:rsidR="007B1BAC" w:rsidRPr="00801A36" w:rsidRDefault="007B1BAC" w:rsidP="00801A36">
            <w:pPr>
              <w:spacing w:after="0" w:line="240" w:lineRule="auto"/>
              <w:jc w:val="center"/>
              <w:rPr>
                <w:rFonts w:ascii="Times New Roman" w:eastAsia="Times New Roman" w:hAnsi="Times New Roman" w:cs="Times New Roman"/>
                <w:color w:val="000000"/>
                <w:kern w:val="0"/>
                <w:sz w:val="19"/>
                <w:szCs w:val="19"/>
                <w:lang w:eastAsia="en-IN"/>
                <w14:ligatures w14:val="none"/>
              </w:rPr>
            </w:pPr>
            <w:r w:rsidRPr="00801A36">
              <w:rPr>
                <w:rFonts w:ascii="Times New Roman" w:eastAsia="Times New Roman" w:hAnsi="Times New Roman" w:cs="Times New Roman"/>
                <w:color w:val="000000"/>
                <w:kern w:val="0"/>
                <w:sz w:val="19"/>
                <w:szCs w:val="19"/>
                <w:lang w:eastAsia="en-IN"/>
                <w14:ligatures w14:val="none"/>
              </w:rPr>
              <w:t>68.06</w:t>
            </w:r>
          </w:p>
        </w:tc>
        <w:tc>
          <w:tcPr>
            <w:tcW w:w="1070" w:type="dxa"/>
            <w:tcBorders>
              <w:top w:val="nil"/>
              <w:left w:val="nil"/>
              <w:bottom w:val="single" w:sz="4" w:space="0" w:color="auto"/>
              <w:right w:val="single" w:sz="4" w:space="0" w:color="auto"/>
            </w:tcBorders>
            <w:noWrap/>
            <w:vAlign w:val="center"/>
            <w:hideMark/>
          </w:tcPr>
          <w:p w14:paraId="2F17BA1E" w14:textId="77777777" w:rsidR="007B1BAC" w:rsidRPr="00801A36" w:rsidRDefault="007B1BAC" w:rsidP="00801A36">
            <w:pPr>
              <w:spacing w:after="0" w:line="240" w:lineRule="auto"/>
              <w:jc w:val="center"/>
              <w:rPr>
                <w:rFonts w:ascii="Times New Roman" w:eastAsia="Times New Roman" w:hAnsi="Times New Roman" w:cs="Times New Roman"/>
                <w:color w:val="000000"/>
                <w:kern w:val="0"/>
                <w:sz w:val="19"/>
                <w:szCs w:val="19"/>
                <w:lang w:eastAsia="en-IN"/>
                <w14:ligatures w14:val="none"/>
              </w:rPr>
            </w:pPr>
            <w:r w:rsidRPr="00801A36">
              <w:rPr>
                <w:rFonts w:ascii="Times New Roman" w:eastAsia="Times New Roman" w:hAnsi="Times New Roman" w:cs="Times New Roman"/>
                <w:color w:val="000000"/>
                <w:kern w:val="0"/>
                <w:sz w:val="19"/>
                <w:szCs w:val="19"/>
                <w:lang w:eastAsia="en-IN"/>
                <w14:ligatures w14:val="none"/>
              </w:rPr>
              <w:t>37.43</w:t>
            </w:r>
          </w:p>
        </w:tc>
        <w:tc>
          <w:tcPr>
            <w:tcW w:w="1196" w:type="dxa"/>
            <w:tcBorders>
              <w:top w:val="nil"/>
              <w:left w:val="nil"/>
              <w:bottom w:val="single" w:sz="4" w:space="0" w:color="auto"/>
              <w:right w:val="single" w:sz="4" w:space="0" w:color="auto"/>
            </w:tcBorders>
            <w:noWrap/>
            <w:vAlign w:val="center"/>
            <w:hideMark/>
          </w:tcPr>
          <w:p w14:paraId="3C4BCDAA" w14:textId="77777777" w:rsidR="007B1BAC" w:rsidRPr="00801A36" w:rsidRDefault="007B1BAC" w:rsidP="00801A36">
            <w:pPr>
              <w:spacing w:after="0" w:line="240" w:lineRule="auto"/>
              <w:jc w:val="center"/>
              <w:rPr>
                <w:rFonts w:ascii="Times New Roman" w:eastAsia="Times New Roman" w:hAnsi="Times New Roman" w:cs="Times New Roman"/>
                <w:color w:val="000000"/>
                <w:kern w:val="0"/>
                <w:sz w:val="19"/>
                <w:szCs w:val="19"/>
                <w:lang w:eastAsia="en-IN"/>
                <w14:ligatures w14:val="none"/>
              </w:rPr>
            </w:pPr>
            <w:r w:rsidRPr="00801A36">
              <w:rPr>
                <w:rFonts w:ascii="Times New Roman" w:eastAsia="Times New Roman" w:hAnsi="Times New Roman" w:cs="Times New Roman"/>
                <w:color w:val="000000"/>
                <w:kern w:val="0"/>
                <w:sz w:val="19"/>
                <w:szCs w:val="19"/>
                <w:lang w:eastAsia="en-IN"/>
                <w14:ligatures w14:val="none"/>
              </w:rPr>
              <w:t>..</w:t>
            </w:r>
          </w:p>
        </w:tc>
        <w:tc>
          <w:tcPr>
            <w:tcW w:w="986" w:type="dxa"/>
            <w:tcBorders>
              <w:top w:val="nil"/>
              <w:left w:val="nil"/>
              <w:bottom w:val="single" w:sz="4" w:space="0" w:color="auto"/>
              <w:right w:val="single" w:sz="4" w:space="0" w:color="auto"/>
            </w:tcBorders>
            <w:noWrap/>
            <w:vAlign w:val="center"/>
            <w:hideMark/>
          </w:tcPr>
          <w:p w14:paraId="431DD883" w14:textId="3DBEFD31" w:rsidR="007B1BAC" w:rsidRPr="00801A36" w:rsidRDefault="007B1BAC" w:rsidP="00801A36">
            <w:pPr>
              <w:spacing w:after="0" w:line="240" w:lineRule="auto"/>
              <w:jc w:val="center"/>
              <w:rPr>
                <w:rFonts w:ascii="Times New Roman" w:eastAsia="Times New Roman" w:hAnsi="Times New Roman" w:cs="Times New Roman"/>
                <w:color w:val="000000"/>
                <w:kern w:val="0"/>
                <w:sz w:val="19"/>
                <w:szCs w:val="19"/>
                <w:lang w:eastAsia="en-IN"/>
                <w14:ligatures w14:val="none"/>
              </w:rPr>
            </w:pPr>
            <w:r w:rsidRPr="00801A36">
              <w:rPr>
                <w:rFonts w:ascii="Times New Roman" w:eastAsia="Times New Roman" w:hAnsi="Times New Roman" w:cs="Times New Roman"/>
                <w:color w:val="000000"/>
                <w:kern w:val="0"/>
                <w:sz w:val="19"/>
                <w:szCs w:val="19"/>
                <w:lang w:eastAsia="en-IN"/>
                <w14:ligatures w14:val="none"/>
              </w:rPr>
              <w:t>105.</w:t>
            </w:r>
            <w:r w:rsidR="00F0435A">
              <w:rPr>
                <w:rFonts w:ascii="Times New Roman" w:eastAsia="Times New Roman" w:hAnsi="Times New Roman" w:cs="Times New Roman"/>
                <w:color w:val="000000"/>
                <w:kern w:val="0"/>
                <w:sz w:val="19"/>
                <w:szCs w:val="19"/>
                <w:lang w:eastAsia="en-IN"/>
                <w14:ligatures w14:val="none"/>
              </w:rPr>
              <w:t>4</w:t>
            </w:r>
            <w:r w:rsidRPr="00801A36">
              <w:rPr>
                <w:rFonts w:ascii="Times New Roman" w:eastAsia="Times New Roman" w:hAnsi="Times New Roman" w:cs="Times New Roman"/>
                <w:color w:val="000000"/>
                <w:kern w:val="0"/>
                <w:sz w:val="19"/>
                <w:szCs w:val="19"/>
                <w:lang w:eastAsia="en-IN"/>
                <w14:ligatures w14:val="none"/>
              </w:rPr>
              <w:t>9</w:t>
            </w:r>
          </w:p>
        </w:tc>
      </w:tr>
      <w:tr w:rsidR="007B1BAC" w:rsidRPr="00801A36" w14:paraId="645952AE" w14:textId="77777777" w:rsidTr="00801A36">
        <w:trPr>
          <w:trHeight w:val="20"/>
          <w:jc w:val="center"/>
        </w:trPr>
        <w:tc>
          <w:tcPr>
            <w:tcW w:w="618" w:type="dxa"/>
            <w:tcBorders>
              <w:top w:val="nil"/>
              <w:left w:val="single" w:sz="4" w:space="0" w:color="auto"/>
              <w:bottom w:val="single" w:sz="4" w:space="0" w:color="auto"/>
              <w:right w:val="single" w:sz="4" w:space="0" w:color="auto"/>
            </w:tcBorders>
            <w:noWrap/>
            <w:vAlign w:val="bottom"/>
            <w:hideMark/>
          </w:tcPr>
          <w:p w14:paraId="2929EA9F" w14:textId="77777777" w:rsidR="007B1BAC" w:rsidRPr="00801A36" w:rsidRDefault="007B1BAC" w:rsidP="007B1BAC">
            <w:pPr>
              <w:spacing w:after="0" w:line="240" w:lineRule="auto"/>
              <w:jc w:val="right"/>
              <w:rPr>
                <w:rFonts w:ascii="Times New Roman" w:eastAsia="Times New Roman" w:hAnsi="Times New Roman" w:cs="Times New Roman"/>
                <w:color w:val="000000"/>
                <w:kern w:val="0"/>
                <w:sz w:val="19"/>
                <w:szCs w:val="19"/>
                <w:lang w:eastAsia="en-IN"/>
                <w14:ligatures w14:val="none"/>
              </w:rPr>
            </w:pPr>
            <w:r w:rsidRPr="00801A36">
              <w:rPr>
                <w:rFonts w:ascii="Times New Roman" w:eastAsia="Times New Roman" w:hAnsi="Times New Roman" w:cs="Times New Roman"/>
                <w:color w:val="000000"/>
                <w:kern w:val="0"/>
                <w:sz w:val="19"/>
                <w:szCs w:val="19"/>
                <w:lang w:eastAsia="en-IN"/>
                <w14:ligatures w14:val="none"/>
              </w:rPr>
              <w:t>17</w:t>
            </w:r>
          </w:p>
        </w:tc>
        <w:tc>
          <w:tcPr>
            <w:tcW w:w="1680" w:type="dxa"/>
            <w:tcBorders>
              <w:top w:val="nil"/>
              <w:left w:val="nil"/>
              <w:bottom w:val="single" w:sz="4" w:space="0" w:color="auto"/>
              <w:right w:val="single" w:sz="4" w:space="0" w:color="auto"/>
            </w:tcBorders>
            <w:noWrap/>
            <w:vAlign w:val="bottom"/>
            <w:hideMark/>
          </w:tcPr>
          <w:p w14:paraId="481A92D4" w14:textId="77777777" w:rsidR="007B1BAC" w:rsidRPr="00801A36" w:rsidRDefault="007B1BAC" w:rsidP="007B1BAC">
            <w:pPr>
              <w:spacing w:after="0" w:line="240" w:lineRule="auto"/>
              <w:rPr>
                <w:rFonts w:ascii="Times New Roman" w:eastAsia="Times New Roman" w:hAnsi="Times New Roman" w:cs="Times New Roman"/>
                <w:color w:val="000000"/>
                <w:kern w:val="0"/>
                <w:sz w:val="19"/>
                <w:szCs w:val="19"/>
                <w:lang w:eastAsia="en-IN"/>
                <w14:ligatures w14:val="none"/>
              </w:rPr>
            </w:pPr>
            <w:r w:rsidRPr="00801A36">
              <w:rPr>
                <w:rFonts w:ascii="Times New Roman" w:eastAsia="Times New Roman" w:hAnsi="Times New Roman" w:cs="Times New Roman"/>
                <w:color w:val="000000"/>
                <w:kern w:val="0"/>
                <w:sz w:val="19"/>
                <w:szCs w:val="19"/>
                <w:lang w:eastAsia="en-IN"/>
                <w14:ligatures w14:val="none"/>
              </w:rPr>
              <w:t>West Bengal</w:t>
            </w:r>
          </w:p>
        </w:tc>
        <w:tc>
          <w:tcPr>
            <w:tcW w:w="1084" w:type="dxa"/>
            <w:tcBorders>
              <w:top w:val="nil"/>
              <w:left w:val="nil"/>
              <w:bottom w:val="single" w:sz="4" w:space="0" w:color="auto"/>
              <w:right w:val="single" w:sz="4" w:space="0" w:color="auto"/>
            </w:tcBorders>
            <w:noWrap/>
            <w:vAlign w:val="center"/>
            <w:hideMark/>
          </w:tcPr>
          <w:p w14:paraId="3E7FAA47" w14:textId="54DD7CE2" w:rsidR="007B1BAC" w:rsidRPr="00801A36" w:rsidRDefault="007B1BAC" w:rsidP="00801A36">
            <w:pPr>
              <w:spacing w:after="0" w:line="240" w:lineRule="auto"/>
              <w:jc w:val="center"/>
              <w:rPr>
                <w:rFonts w:ascii="Times New Roman" w:eastAsia="Times New Roman" w:hAnsi="Times New Roman" w:cs="Times New Roman"/>
                <w:color w:val="000000"/>
                <w:kern w:val="0"/>
                <w:sz w:val="19"/>
                <w:szCs w:val="19"/>
                <w:lang w:eastAsia="en-IN"/>
                <w14:ligatures w14:val="none"/>
              </w:rPr>
            </w:pPr>
          </w:p>
        </w:tc>
        <w:tc>
          <w:tcPr>
            <w:tcW w:w="1070" w:type="dxa"/>
            <w:tcBorders>
              <w:top w:val="nil"/>
              <w:left w:val="nil"/>
              <w:bottom w:val="single" w:sz="4" w:space="0" w:color="auto"/>
              <w:right w:val="single" w:sz="4" w:space="0" w:color="auto"/>
            </w:tcBorders>
            <w:noWrap/>
            <w:vAlign w:val="center"/>
            <w:hideMark/>
          </w:tcPr>
          <w:p w14:paraId="42B448C6" w14:textId="500CCEBB" w:rsidR="007B1BAC" w:rsidRPr="00801A36" w:rsidRDefault="007B1BAC" w:rsidP="00801A36">
            <w:pPr>
              <w:spacing w:after="0" w:line="240" w:lineRule="auto"/>
              <w:jc w:val="center"/>
              <w:rPr>
                <w:rFonts w:ascii="Times New Roman" w:eastAsia="Times New Roman" w:hAnsi="Times New Roman" w:cs="Times New Roman"/>
                <w:color w:val="000000"/>
                <w:kern w:val="0"/>
                <w:sz w:val="19"/>
                <w:szCs w:val="19"/>
                <w:lang w:eastAsia="en-IN"/>
                <w14:ligatures w14:val="none"/>
              </w:rPr>
            </w:pPr>
          </w:p>
        </w:tc>
        <w:tc>
          <w:tcPr>
            <w:tcW w:w="1196" w:type="dxa"/>
            <w:tcBorders>
              <w:top w:val="nil"/>
              <w:left w:val="nil"/>
              <w:bottom w:val="single" w:sz="4" w:space="0" w:color="auto"/>
              <w:right w:val="single" w:sz="4" w:space="0" w:color="auto"/>
            </w:tcBorders>
            <w:noWrap/>
            <w:vAlign w:val="center"/>
            <w:hideMark/>
          </w:tcPr>
          <w:p w14:paraId="1958ABC0" w14:textId="1663B39A" w:rsidR="007B1BAC" w:rsidRPr="00801A36" w:rsidRDefault="007B1BAC" w:rsidP="00801A36">
            <w:pPr>
              <w:spacing w:after="0" w:line="240" w:lineRule="auto"/>
              <w:jc w:val="center"/>
              <w:rPr>
                <w:rFonts w:ascii="Times New Roman" w:eastAsia="Times New Roman" w:hAnsi="Times New Roman" w:cs="Times New Roman"/>
                <w:color w:val="000000"/>
                <w:kern w:val="0"/>
                <w:sz w:val="19"/>
                <w:szCs w:val="19"/>
                <w:lang w:eastAsia="en-IN"/>
                <w14:ligatures w14:val="none"/>
              </w:rPr>
            </w:pPr>
          </w:p>
        </w:tc>
        <w:tc>
          <w:tcPr>
            <w:tcW w:w="986" w:type="dxa"/>
            <w:tcBorders>
              <w:top w:val="nil"/>
              <w:left w:val="nil"/>
              <w:bottom w:val="single" w:sz="4" w:space="0" w:color="auto"/>
              <w:right w:val="single" w:sz="4" w:space="0" w:color="auto"/>
            </w:tcBorders>
            <w:noWrap/>
            <w:vAlign w:val="center"/>
            <w:hideMark/>
          </w:tcPr>
          <w:p w14:paraId="79C193BA" w14:textId="09EDE25B" w:rsidR="007B1BAC" w:rsidRPr="00801A36" w:rsidRDefault="007B1BAC" w:rsidP="00801A36">
            <w:pPr>
              <w:spacing w:after="0" w:line="240" w:lineRule="auto"/>
              <w:jc w:val="center"/>
              <w:rPr>
                <w:rFonts w:ascii="Times New Roman" w:eastAsia="Times New Roman" w:hAnsi="Times New Roman" w:cs="Times New Roman"/>
                <w:color w:val="000000"/>
                <w:kern w:val="0"/>
                <w:sz w:val="19"/>
                <w:szCs w:val="19"/>
                <w:lang w:eastAsia="en-IN"/>
                <w14:ligatures w14:val="none"/>
              </w:rPr>
            </w:pPr>
          </w:p>
        </w:tc>
        <w:tc>
          <w:tcPr>
            <w:tcW w:w="1084" w:type="dxa"/>
            <w:tcBorders>
              <w:top w:val="nil"/>
              <w:left w:val="nil"/>
              <w:bottom w:val="single" w:sz="4" w:space="0" w:color="auto"/>
              <w:right w:val="single" w:sz="4" w:space="0" w:color="auto"/>
            </w:tcBorders>
            <w:noWrap/>
            <w:vAlign w:val="center"/>
            <w:hideMark/>
          </w:tcPr>
          <w:p w14:paraId="124D4281" w14:textId="06117482" w:rsidR="007B1BAC" w:rsidRPr="00801A36" w:rsidRDefault="007B1BAC" w:rsidP="00801A36">
            <w:pPr>
              <w:spacing w:after="0" w:line="240" w:lineRule="auto"/>
              <w:jc w:val="center"/>
              <w:rPr>
                <w:rFonts w:ascii="Times New Roman" w:eastAsia="Times New Roman" w:hAnsi="Times New Roman" w:cs="Times New Roman"/>
                <w:color w:val="000000"/>
                <w:kern w:val="0"/>
                <w:sz w:val="19"/>
                <w:szCs w:val="19"/>
                <w:lang w:eastAsia="en-IN"/>
                <w14:ligatures w14:val="none"/>
              </w:rPr>
            </w:pPr>
          </w:p>
        </w:tc>
        <w:tc>
          <w:tcPr>
            <w:tcW w:w="1070" w:type="dxa"/>
            <w:tcBorders>
              <w:top w:val="nil"/>
              <w:left w:val="nil"/>
              <w:bottom w:val="single" w:sz="4" w:space="0" w:color="auto"/>
              <w:right w:val="single" w:sz="4" w:space="0" w:color="auto"/>
            </w:tcBorders>
            <w:noWrap/>
            <w:vAlign w:val="center"/>
            <w:hideMark/>
          </w:tcPr>
          <w:p w14:paraId="38FD1320" w14:textId="66AF6296" w:rsidR="007B1BAC" w:rsidRPr="00801A36" w:rsidRDefault="007B1BAC" w:rsidP="00801A36">
            <w:pPr>
              <w:spacing w:after="0" w:line="240" w:lineRule="auto"/>
              <w:jc w:val="center"/>
              <w:rPr>
                <w:rFonts w:ascii="Times New Roman" w:eastAsia="Times New Roman" w:hAnsi="Times New Roman" w:cs="Times New Roman"/>
                <w:color w:val="000000"/>
                <w:kern w:val="0"/>
                <w:sz w:val="19"/>
                <w:szCs w:val="19"/>
                <w:lang w:eastAsia="en-IN"/>
                <w14:ligatures w14:val="none"/>
              </w:rPr>
            </w:pPr>
          </w:p>
        </w:tc>
        <w:tc>
          <w:tcPr>
            <w:tcW w:w="1196" w:type="dxa"/>
            <w:tcBorders>
              <w:top w:val="nil"/>
              <w:left w:val="nil"/>
              <w:bottom w:val="single" w:sz="4" w:space="0" w:color="auto"/>
              <w:right w:val="single" w:sz="4" w:space="0" w:color="auto"/>
            </w:tcBorders>
            <w:noWrap/>
            <w:vAlign w:val="center"/>
            <w:hideMark/>
          </w:tcPr>
          <w:p w14:paraId="5FD3784F" w14:textId="7165F9A5" w:rsidR="007B1BAC" w:rsidRPr="00801A36" w:rsidRDefault="007B1BAC" w:rsidP="00801A36">
            <w:pPr>
              <w:spacing w:after="0" w:line="240" w:lineRule="auto"/>
              <w:jc w:val="center"/>
              <w:rPr>
                <w:rFonts w:ascii="Times New Roman" w:eastAsia="Times New Roman" w:hAnsi="Times New Roman" w:cs="Times New Roman"/>
                <w:color w:val="000000"/>
                <w:kern w:val="0"/>
                <w:sz w:val="19"/>
                <w:szCs w:val="19"/>
                <w:lang w:eastAsia="en-IN"/>
                <w14:ligatures w14:val="none"/>
              </w:rPr>
            </w:pPr>
          </w:p>
        </w:tc>
        <w:tc>
          <w:tcPr>
            <w:tcW w:w="986" w:type="dxa"/>
            <w:tcBorders>
              <w:top w:val="nil"/>
              <w:left w:val="nil"/>
              <w:bottom w:val="single" w:sz="4" w:space="0" w:color="auto"/>
              <w:right w:val="single" w:sz="4" w:space="0" w:color="auto"/>
            </w:tcBorders>
            <w:noWrap/>
            <w:vAlign w:val="center"/>
            <w:hideMark/>
          </w:tcPr>
          <w:p w14:paraId="4EBB45B1" w14:textId="70271105" w:rsidR="007B1BAC" w:rsidRPr="00801A36" w:rsidRDefault="007B1BAC" w:rsidP="00801A36">
            <w:pPr>
              <w:spacing w:after="0" w:line="240" w:lineRule="auto"/>
              <w:jc w:val="center"/>
              <w:rPr>
                <w:rFonts w:ascii="Times New Roman" w:eastAsia="Times New Roman" w:hAnsi="Times New Roman" w:cs="Times New Roman"/>
                <w:color w:val="000000"/>
                <w:kern w:val="0"/>
                <w:sz w:val="19"/>
                <w:szCs w:val="19"/>
                <w:lang w:eastAsia="en-IN"/>
                <w14:ligatures w14:val="none"/>
              </w:rPr>
            </w:pPr>
          </w:p>
        </w:tc>
        <w:tc>
          <w:tcPr>
            <w:tcW w:w="1084" w:type="dxa"/>
            <w:tcBorders>
              <w:top w:val="nil"/>
              <w:left w:val="nil"/>
              <w:bottom w:val="single" w:sz="4" w:space="0" w:color="auto"/>
              <w:right w:val="single" w:sz="4" w:space="0" w:color="auto"/>
            </w:tcBorders>
            <w:noWrap/>
            <w:vAlign w:val="center"/>
            <w:hideMark/>
          </w:tcPr>
          <w:p w14:paraId="016D6CB9" w14:textId="25C4E42E" w:rsidR="007B1BAC" w:rsidRPr="00801A36" w:rsidRDefault="007B1BAC" w:rsidP="00801A36">
            <w:pPr>
              <w:spacing w:after="0" w:line="240" w:lineRule="auto"/>
              <w:jc w:val="center"/>
              <w:rPr>
                <w:rFonts w:ascii="Times New Roman" w:eastAsia="Times New Roman" w:hAnsi="Times New Roman" w:cs="Times New Roman"/>
                <w:color w:val="000000"/>
                <w:kern w:val="0"/>
                <w:sz w:val="19"/>
                <w:szCs w:val="19"/>
                <w:lang w:eastAsia="en-IN"/>
                <w14:ligatures w14:val="none"/>
              </w:rPr>
            </w:pPr>
          </w:p>
        </w:tc>
        <w:tc>
          <w:tcPr>
            <w:tcW w:w="1070" w:type="dxa"/>
            <w:tcBorders>
              <w:top w:val="nil"/>
              <w:left w:val="nil"/>
              <w:bottom w:val="single" w:sz="4" w:space="0" w:color="auto"/>
              <w:right w:val="single" w:sz="4" w:space="0" w:color="auto"/>
            </w:tcBorders>
            <w:noWrap/>
            <w:vAlign w:val="center"/>
            <w:hideMark/>
          </w:tcPr>
          <w:p w14:paraId="5DF0AB61" w14:textId="0D7279D4" w:rsidR="007B1BAC" w:rsidRPr="00801A36" w:rsidRDefault="007B1BAC" w:rsidP="00801A36">
            <w:pPr>
              <w:spacing w:after="0" w:line="240" w:lineRule="auto"/>
              <w:jc w:val="center"/>
              <w:rPr>
                <w:rFonts w:ascii="Times New Roman" w:eastAsia="Times New Roman" w:hAnsi="Times New Roman" w:cs="Times New Roman"/>
                <w:color w:val="000000"/>
                <w:kern w:val="0"/>
                <w:sz w:val="19"/>
                <w:szCs w:val="19"/>
                <w:lang w:eastAsia="en-IN"/>
                <w14:ligatures w14:val="none"/>
              </w:rPr>
            </w:pPr>
          </w:p>
        </w:tc>
        <w:tc>
          <w:tcPr>
            <w:tcW w:w="1196" w:type="dxa"/>
            <w:tcBorders>
              <w:top w:val="nil"/>
              <w:left w:val="nil"/>
              <w:bottom w:val="single" w:sz="4" w:space="0" w:color="auto"/>
              <w:right w:val="single" w:sz="4" w:space="0" w:color="auto"/>
            </w:tcBorders>
            <w:noWrap/>
            <w:vAlign w:val="center"/>
            <w:hideMark/>
          </w:tcPr>
          <w:p w14:paraId="74EB8E97" w14:textId="7BB86792" w:rsidR="007B1BAC" w:rsidRPr="00801A36" w:rsidRDefault="007B1BAC" w:rsidP="00801A36">
            <w:pPr>
              <w:spacing w:after="0" w:line="240" w:lineRule="auto"/>
              <w:jc w:val="center"/>
              <w:rPr>
                <w:rFonts w:ascii="Times New Roman" w:eastAsia="Times New Roman" w:hAnsi="Times New Roman" w:cs="Times New Roman"/>
                <w:color w:val="000000"/>
                <w:kern w:val="0"/>
                <w:sz w:val="19"/>
                <w:szCs w:val="19"/>
                <w:lang w:eastAsia="en-IN"/>
                <w14:ligatures w14:val="none"/>
              </w:rPr>
            </w:pPr>
          </w:p>
        </w:tc>
        <w:tc>
          <w:tcPr>
            <w:tcW w:w="986" w:type="dxa"/>
            <w:tcBorders>
              <w:top w:val="nil"/>
              <w:left w:val="nil"/>
              <w:bottom w:val="single" w:sz="4" w:space="0" w:color="auto"/>
              <w:right w:val="single" w:sz="4" w:space="0" w:color="auto"/>
            </w:tcBorders>
            <w:noWrap/>
            <w:vAlign w:val="center"/>
            <w:hideMark/>
          </w:tcPr>
          <w:p w14:paraId="0BCA20CF" w14:textId="6C6A36A9" w:rsidR="007B1BAC" w:rsidRPr="00801A36" w:rsidRDefault="007B1BAC" w:rsidP="00801A36">
            <w:pPr>
              <w:spacing w:after="0" w:line="240" w:lineRule="auto"/>
              <w:jc w:val="center"/>
              <w:rPr>
                <w:rFonts w:ascii="Times New Roman" w:eastAsia="Times New Roman" w:hAnsi="Times New Roman" w:cs="Times New Roman"/>
                <w:color w:val="000000"/>
                <w:kern w:val="0"/>
                <w:sz w:val="19"/>
                <w:szCs w:val="19"/>
                <w:lang w:eastAsia="en-IN"/>
                <w14:ligatures w14:val="none"/>
              </w:rPr>
            </w:pPr>
          </w:p>
        </w:tc>
      </w:tr>
      <w:tr w:rsidR="007B1BAC" w:rsidRPr="00801A36" w14:paraId="22DE320D" w14:textId="77777777" w:rsidTr="00801A36">
        <w:trPr>
          <w:trHeight w:val="20"/>
          <w:jc w:val="center"/>
        </w:trPr>
        <w:tc>
          <w:tcPr>
            <w:tcW w:w="618" w:type="dxa"/>
            <w:tcBorders>
              <w:top w:val="nil"/>
              <w:left w:val="single" w:sz="4" w:space="0" w:color="auto"/>
              <w:bottom w:val="single" w:sz="4" w:space="0" w:color="auto"/>
              <w:right w:val="single" w:sz="4" w:space="0" w:color="auto"/>
            </w:tcBorders>
            <w:noWrap/>
            <w:vAlign w:val="bottom"/>
            <w:hideMark/>
          </w:tcPr>
          <w:p w14:paraId="51C5C0DD" w14:textId="77777777" w:rsidR="007B1BAC" w:rsidRPr="00801A36" w:rsidRDefault="007B1BAC" w:rsidP="007B1BAC">
            <w:pPr>
              <w:spacing w:after="0" w:line="240" w:lineRule="auto"/>
              <w:rPr>
                <w:rFonts w:ascii="Times New Roman" w:eastAsia="Times New Roman" w:hAnsi="Times New Roman" w:cs="Times New Roman"/>
                <w:color w:val="000000"/>
                <w:kern w:val="0"/>
                <w:sz w:val="19"/>
                <w:szCs w:val="19"/>
                <w:lang w:eastAsia="en-IN"/>
                <w14:ligatures w14:val="none"/>
              </w:rPr>
            </w:pPr>
            <w:r w:rsidRPr="00801A36">
              <w:rPr>
                <w:rFonts w:ascii="Times New Roman" w:eastAsia="Times New Roman" w:hAnsi="Times New Roman" w:cs="Times New Roman"/>
                <w:color w:val="000000"/>
                <w:kern w:val="0"/>
                <w:sz w:val="19"/>
                <w:szCs w:val="19"/>
                <w:lang w:eastAsia="en-IN"/>
                <w14:ligatures w14:val="none"/>
              </w:rPr>
              <w:t> </w:t>
            </w:r>
          </w:p>
        </w:tc>
        <w:tc>
          <w:tcPr>
            <w:tcW w:w="1680" w:type="dxa"/>
            <w:tcBorders>
              <w:top w:val="nil"/>
              <w:left w:val="nil"/>
              <w:bottom w:val="single" w:sz="4" w:space="0" w:color="auto"/>
              <w:right w:val="single" w:sz="4" w:space="0" w:color="auto"/>
            </w:tcBorders>
            <w:noWrap/>
            <w:vAlign w:val="bottom"/>
            <w:hideMark/>
          </w:tcPr>
          <w:p w14:paraId="2A84CE74" w14:textId="77777777" w:rsidR="007B1BAC" w:rsidRPr="00801A36" w:rsidRDefault="007B1BAC" w:rsidP="007B1BAC">
            <w:pPr>
              <w:spacing w:after="0" w:line="240" w:lineRule="auto"/>
              <w:rPr>
                <w:rFonts w:ascii="Times New Roman" w:eastAsia="Times New Roman" w:hAnsi="Times New Roman" w:cs="Times New Roman"/>
                <w:color w:val="000000"/>
                <w:kern w:val="0"/>
                <w:sz w:val="19"/>
                <w:szCs w:val="19"/>
                <w:lang w:eastAsia="en-IN"/>
                <w14:ligatures w14:val="none"/>
              </w:rPr>
            </w:pPr>
            <w:r w:rsidRPr="00801A36">
              <w:rPr>
                <w:rFonts w:ascii="Times New Roman" w:eastAsia="Times New Roman" w:hAnsi="Times New Roman" w:cs="Times New Roman"/>
                <w:color w:val="000000"/>
                <w:kern w:val="0"/>
                <w:sz w:val="19"/>
                <w:szCs w:val="19"/>
                <w:lang w:eastAsia="en-IN"/>
                <w14:ligatures w14:val="none"/>
              </w:rPr>
              <w:t>Eastern</w:t>
            </w:r>
          </w:p>
        </w:tc>
        <w:tc>
          <w:tcPr>
            <w:tcW w:w="1084" w:type="dxa"/>
            <w:tcBorders>
              <w:top w:val="nil"/>
              <w:left w:val="nil"/>
              <w:bottom w:val="single" w:sz="4" w:space="0" w:color="auto"/>
              <w:right w:val="single" w:sz="4" w:space="0" w:color="auto"/>
            </w:tcBorders>
            <w:noWrap/>
            <w:vAlign w:val="center"/>
            <w:hideMark/>
          </w:tcPr>
          <w:p w14:paraId="43F10EC2" w14:textId="77777777" w:rsidR="007B1BAC" w:rsidRPr="00801A36" w:rsidRDefault="007B1BAC" w:rsidP="00801A36">
            <w:pPr>
              <w:spacing w:after="0" w:line="240" w:lineRule="auto"/>
              <w:jc w:val="center"/>
              <w:rPr>
                <w:rFonts w:ascii="Times New Roman" w:eastAsia="Times New Roman" w:hAnsi="Times New Roman" w:cs="Times New Roman"/>
                <w:color w:val="000000"/>
                <w:kern w:val="0"/>
                <w:sz w:val="19"/>
                <w:szCs w:val="19"/>
                <w:lang w:eastAsia="en-IN"/>
                <w14:ligatures w14:val="none"/>
              </w:rPr>
            </w:pPr>
            <w:r w:rsidRPr="00801A36">
              <w:rPr>
                <w:rFonts w:ascii="Times New Roman" w:eastAsia="Times New Roman" w:hAnsi="Times New Roman" w:cs="Times New Roman"/>
                <w:color w:val="000000"/>
                <w:kern w:val="0"/>
                <w:sz w:val="19"/>
                <w:szCs w:val="19"/>
                <w:lang w:eastAsia="en-IN"/>
                <w14:ligatures w14:val="none"/>
              </w:rPr>
              <w:t>1,271.01</w:t>
            </w:r>
          </w:p>
        </w:tc>
        <w:tc>
          <w:tcPr>
            <w:tcW w:w="1070" w:type="dxa"/>
            <w:tcBorders>
              <w:top w:val="nil"/>
              <w:left w:val="nil"/>
              <w:bottom w:val="single" w:sz="4" w:space="0" w:color="auto"/>
              <w:right w:val="single" w:sz="4" w:space="0" w:color="auto"/>
            </w:tcBorders>
            <w:noWrap/>
            <w:vAlign w:val="center"/>
            <w:hideMark/>
          </w:tcPr>
          <w:p w14:paraId="11D0016B" w14:textId="77777777" w:rsidR="007B1BAC" w:rsidRPr="00801A36" w:rsidRDefault="007B1BAC" w:rsidP="00801A36">
            <w:pPr>
              <w:spacing w:after="0" w:line="240" w:lineRule="auto"/>
              <w:jc w:val="center"/>
              <w:rPr>
                <w:rFonts w:ascii="Times New Roman" w:eastAsia="Times New Roman" w:hAnsi="Times New Roman" w:cs="Times New Roman"/>
                <w:color w:val="000000"/>
                <w:kern w:val="0"/>
                <w:sz w:val="19"/>
                <w:szCs w:val="19"/>
                <w:lang w:eastAsia="en-IN"/>
                <w14:ligatures w14:val="none"/>
              </w:rPr>
            </w:pPr>
            <w:r w:rsidRPr="00801A36">
              <w:rPr>
                <w:rFonts w:ascii="Times New Roman" w:eastAsia="Times New Roman" w:hAnsi="Times New Roman" w:cs="Times New Roman"/>
                <w:color w:val="000000"/>
                <w:kern w:val="0"/>
                <w:sz w:val="19"/>
                <w:szCs w:val="19"/>
                <w:lang w:eastAsia="en-IN"/>
                <w14:ligatures w14:val="none"/>
              </w:rPr>
              <w:t>..</w:t>
            </w:r>
          </w:p>
        </w:tc>
        <w:tc>
          <w:tcPr>
            <w:tcW w:w="1196" w:type="dxa"/>
            <w:tcBorders>
              <w:top w:val="nil"/>
              <w:left w:val="nil"/>
              <w:bottom w:val="single" w:sz="4" w:space="0" w:color="auto"/>
              <w:right w:val="single" w:sz="4" w:space="0" w:color="auto"/>
            </w:tcBorders>
            <w:noWrap/>
            <w:vAlign w:val="center"/>
            <w:hideMark/>
          </w:tcPr>
          <w:p w14:paraId="73D330A6" w14:textId="77777777" w:rsidR="007B1BAC" w:rsidRPr="00801A36" w:rsidRDefault="007B1BAC" w:rsidP="00801A36">
            <w:pPr>
              <w:spacing w:after="0" w:line="240" w:lineRule="auto"/>
              <w:jc w:val="center"/>
              <w:rPr>
                <w:rFonts w:ascii="Times New Roman" w:eastAsia="Times New Roman" w:hAnsi="Times New Roman" w:cs="Times New Roman"/>
                <w:color w:val="000000"/>
                <w:kern w:val="0"/>
                <w:sz w:val="19"/>
                <w:szCs w:val="19"/>
                <w:lang w:eastAsia="en-IN"/>
                <w14:ligatures w14:val="none"/>
              </w:rPr>
            </w:pPr>
            <w:r w:rsidRPr="00801A36">
              <w:rPr>
                <w:rFonts w:ascii="Times New Roman" w:eastAsia="Times New Roman" w:hAnsi="Times New Roman" w:cs="Times New Roman"/>
                <w:color w:val="000000"/>
                <w:kern w:val="0"/>
                <w:sz w:val="19"/>
                <w:szCs w:val="19"/>
                <w:lang w:eastAsia="en-IN"/>
                <w14:ligatures w14:val="none"/>
              </w:rPr>
              <w:t>27.58</w:t>
            </w:r>
          </w:p>
        </w:tc>
        <w:tc>
          <w:tcPr>
            <w:tcW w:w="986" w:type="dxa"/>
            <w:tcBorders>
              <w:top w:val="nil"/>
              <w:left w:val="nil"/>
              <w:bottom w:val="single" w:sz="4" w:space="0" w:color="auto"/>
              <w:right w:val="single" w:sz="4" w:space="0" w:color="auto"/>
            </w:tcBorders>
            <w:noWrap/>
            <w:vAlign w:val="center"/>
            <w:hideMark/>
          </w:tcPr>
          <w:p w14:paraId="07FE34CA" w14:textId="77777777" w:rsidR="007B1BAC" w:rsidRPr="00801A36" w:rsidRDefault="007B1BAC" w:rsidP="00801A36">
            <w:pPr>
              <w:spacing w:after="0" w:line="240" w:lineRule="auto"/>
              <w:jc w:val="center"/>
              <w:rPr>
                <w:rFonts w:ascii="Times New Roman" w:eastAsia="Times New Roman" w:hAnsi="Times New Roman" w:cs="Times New Roman"/>
                <w:color w:val="000000"/>
                <w:kern w:val="0"/>
                <w:sz w:val="19"/>
                <w:szCs w:val="19"/>
                <w:lang w:eastAsia="en-IN"/>
                <w14:ligatures w14:val="none"/>
              </w:rPr>
            </w:pPr>
            <w:r w:rsidRPr="00801A36">
              <w:rPr>
                <w:rFonts w:ascii="Times New Roman" w:eastAsia="Times New Roman" w:hAnsi="Times New Roman" w:cs="Times New Roman"/>
                <w:color w:val="000000"/>
                <w:kern w:val="0"/>
                <w:sz w:val="19"/>
                <w:szCs w:val="19"/>
                <w:lang w:eastAsia="en-IN"/>
                <w14:ligatures w14:val="none"/>
              </w:rPr>
              <w:t>1,298.59</w:t>
            </w:r>
          </w:p>
        </w:tc>
        <w:tc>
          <w:tcPr>
            <w:tcW w:w="1084" w:type="dxa"/>
            <w:tcBorders>
              <w:top w:val="nil"/>
              <w:left w:val="nil"/>
              <w:bottom w:val="single" w:sz="4" w:space="0" w:color="auto"/>
              <w:right w:val="single" w:sz="4" w:space="0" w:color="auto"/>
            </w:tcBorders>
            <w:noWrap/>
            <w:vAlign w:val="center"/>
            <w:hideMark/>
          </w:tcPr>
          <w:p w14:paraId="3E3BCCD3" w14:textId="77777777" w:rsidR="007B1BAC" w:rsidRPr="00801A36" w:rsidRDefault="007B1BAC" w:rsidP="00801A36">
            <w:pPr>
              <w:spacing w:after="0" w:line="240" w:lineRule="auto"/>
              <w:jc w:val="center"/>
              <w:rPr>
                <w:rFonts w:ascii="Times New Roman" w:eastAsia="Times New Roman" w:hAnsi="Times New Roman" w:cs="Times New Roman"/>
                <w:color w:val="000000"/>
                <w:kern w:val="0"/>
                <w:sz w:val="19"/>
                <w:szCs w:val="19"/>
                <w:lang w:eastAsia="en-IN"/>
                <w14:ligatures w14:val="none"/>
              </w:rPr>
            </w:pPr>
            <w:r w:rsidRPr="00801A36">
              <w:rPr>
                <w:rFonts w:ascii="Times New Roman" w:eastAsia="Times New Roman" w:hAnsi="Times New Roman" w:cs="Times New Roman"/>
                <w:color w:val="000000"/>
                <w:kern w:val="0"/>
                <w:sz w:val="19"/>
                <w:szCs w:val="19"/>
                <w:lang w:eastAsia="en-IN"/>
                <w14:ligatures w14:val="none"/>
              </w:rPr>
              <w:t>1,271.01</w:t>
            </w:r>
          </w:p>
        </w:tc>
        <w:tc>
          <w:tcPr>
            <w:tcW w:w="1070" w:type="dxa"/>
            <w:tcBorders>
              <w:top w:val="nil"/>
              <w:left w:val="nil"/>
              <w:bottom w:val="single" w:sz="4" w:space="0" w:color="auto"/>
              <w:right w:val="single" w:sz="4" w:space="0" w:color="auto"/>
            </w:tcBorders>
            <w:noWrap/>
            <w:vAlign w:val="center"/>
            <w:hideMark/>
          </w:tcPr>
          <w:p w14:paraId="172D9146" w14:textId="77777777" w:rsidR="007B1BAC" w:rsidRPr="00801A36" w:rsidRDefault="007B1BAC" w:rsidP="00801A36">
            <w:pPr>
              <w:spacing w:after="0" w:line="240" w:lineRule="auto"/>
              <w:jc w:val="center"/>
              <w:rPr>
                <w:rFonts w:ascii="Times New Roman" w:eastAsia="Times New Roman" w:hAnsi="Times New Roman" w:cs="Times New Roman"/>
                <w:color w:val="000000"/>
                <w:kern w:val="0"/>
                <w:sz w:val="19"/>
                <w:szCs w:val="19"/>
                <w:lang w:eastAsia="en-IN"/>
                <w14:ligatures w14:val="none"/>
              </w:rPr>
            </w:pPr>
            <w:r w:rsidRPr="00801A36">
              <w:rPr>
                <w:rFonts w:ascii="Times New Roman" w:eastAsia="Times New Roman" w:hAnsi="Times New Roman" w:cs="Times New Roman"/>
                <w:color w:val="000000"/>
                <w:kern w:val="0"/>
                <w:sz w:val="19"/>
                <w:szCs w:val="19"/>
                <w:lang w:eastAsia="en-IN"/>
                <w14:ligatures w14:val="none"/>
              </w:rPr>
              <w:t>..</w:t>
            </w:r>
          </w:p>
        </w:tc>
        <w:tc>
          <w:tcPr>
            <w:tcW w:w="1196" w:type="dxa"/>
            <w:tcBorders>
              <w:top w:val="nil"/>
              <w:left w:val="nil"/>
              <w:bottom w:val="single" w:sz="4" w:space="0" w:color="auto"/>
              <w:right w:val="single" w:sz="4" w:space="0" w:color="auto"/>
            </w:tcBorders>
            <w:noWrap/>
            <w:vAlign w:val="center"/>
            <w:hideMark/>
          </w:tcPr>
          <w:p w14:paraId="4A2ADD02" w14:textId="77777777" w:rsidR="007B1BAC" w:rsidRPr="00801A36" w:rsidRDefault="007B1BAC" w:rsidP="00801A36">
            <w:pPr>
              <w:spacing w:after="0" w:line="240" w:lineRule="auto"/>
              <w:jc w:val="center"/>
              <w:rPr>
                <w:rFonts w:ascii="Times New Roman" w:eastAsia="Times New Roman" w:hAnsi="Times New Roman" w:cs="Times New Roman"/>
                <w:color w:val="000000"/>
                <w:kern w:val="0"/>
                <w:sz w:val="19"/>
                <w:szCs w:val="19"/>
                <w:lang w:eastAsia="en-IN"/>
                <w14:ligatures w14:val="none"/>
              </w:rPr>
            </w:pPr>
            <w:r w:rsidRPr="00801A36">
              <w:rPr>
                <w:rFonts w:ascii="Times New Roman" w:eastAsia="Times New Roman" w:hAnsi="Times New Roman" w:cs="Times New Roman"/>
                <w:color w:val="000000"/>
                <w:kern w:val="0"/>
                <w:sz w:val="19"/>
                <w:szCs w:val="19"/>
                <w:lang w:eastAsia="en-IN"/>
                <w14:ligatures w14:val="none"/>
              </w:rPr>
              <w:t>27.58</w:t>
            </w:r>
          </w:p>
        </w:tc>
        <w:tc>
          <w:tcPr>
            <w:tcW w:w="986" w:type="dxa"/>
            <w:tcBorders>
              <w:top w:val="nil"/>
              <w:left w:val="nil"/>
              <w:bottom w:val="single" w:sz="4" w:space="0" w:color="auto"/>
              <w:right w:val="single" w:sz="4" w:space="0" w:color="auto"/>
            </w:tcBorders>
            <w:noWrap/>
            <w:vAlign w:val="center"/>
            <w:hideMark/>
          </w:tcPr>
          <w:p w14:paraId="696D6081" w14:textId="77777777" w:rsidR="007B1BAC" w:rsidRPr="00801A36" w:rsidRDefault="007B1BAC" w:rsidP="00801A36">
            <w:pPr>
              <w:spacing w:after="0" w:line="240" w:lineRule="auto"/>
              <w:jc w:val="center"/>
              <w:rPr>
                <w:rFonts w:ascii="Times New Roman" w:eastAsia="Times New Roman" w:hAnsi="Times New Roman" w:cs="Times New Roman"/>
                <w:color w:val="000000"/>
                <w:kern w:val="0"/>
                <w:sz w:val="19"/>
                <w:szCs w:val="19"/>
                <w:lang w:eastAsia="en-IN"/>
                <w14:ligatures w14:val="none"/>
              </w:rPr>
            </w:pPr>
            <w:r w:rsidRPr="00801A36">
              <w:rPr>
                <w:rFonts w:ascii="Times New Roman" w:eastAsia="Times New Roman" w:hAnsi="Times New Roman" w:cs="Times New Roman"/>
                <w:color w:val="000000"/>
                <w:kern w:val="0"/>
                <w:sz w:val="19"/>
                <w:szCs w:val="19"/>
                <w:lang w:eastAsia="en-IN"/>
                <w14:ligatures w14:val="none"/>
              </w:rPr>
              <w:t>1,298.59</w:t>
            </w:r>
          </w:p>
        </w:tc>
        <w:tc>
          <w:tcPr>
            <w:tcW w:w="1084" w:type="dxa"/>
            <w:tcBorders>
              <w:top w:val="nil"/>
              <w:left w:val="nil"/>
              <w:bottom w:val="single" w:sz="4" w:space="0" w:color="auto"/>
              <w:right w:val="single" w:sz="4" w:space="0" w:color="auto"/>
            </w:tcBorders>
            <w:noWrap/>
            <w:vAlign w:val="center"/>
            <w:hideMark/>
          </w:tcPr>
          <w:p w14:paraId="241C1958" w14:textId="77777777" w:rsidR="007B1BAC" w:rsidRPr="00801A36" w:rsidRDefault="007B1BAC" w:rsidP="00801A36">
            <w:pPr>
              <w:spacing w:after="0" w:line="240" w:lineRule="auto"/>
              <w:jc w:val="center"/>
              <w:rPr>
                <w:rFonts w:ascii="Times New Roman" w:eastAsia="Times New Roman" w:hAnsi="Times New Roman" w:cs="Times New Roman"/>
                <w:color w:val="000000"/>
                <w:kern w:val="0"/>
                <w:sz w:val="19"/>
                <w:szCs w:val="19"/>
                <w:lang w:eastAsia="en-IN"/>
                <w14:ligatures w14:val="none"/>
              </w:rPr>
            </w:pPr>
            <w:r w:rsidRPr="00801A36">
              <w:rPr>
                <w:rFonts w:ascii="Times New Roman" w:eastAsia="Times New Roman" w:hAnsi="Times New Roman" w:cs="Times New Roman"/>
                <w:color w:val="000000"/>
                <w:kern w:val="0"/>
                <w:sz w:val="19"/>
                <w:szCs w:val="19"/>
                <w:lang w:eastAsia="en-IN"/>
                <w14:ligatures w14:val="none"/>
              </w:rPr>
              <w:t>1,271.01</w:t>
            </w:r>
          </w:p>
        </w:tc>
        <w:tc>
          <w:tcPr>
            <w:tcW w:w="1070" w:type="dxa"/>
            <w:tcBorders>
              <w:top w:val="nil"/>
              <w:left w:val="nil"/>
              <w:bottom w:val="single" w:sz="4" w:space="0" w:color="auto"/>
              <w:right w:val="single" w:sz="4" w:space="0" w:color="auto"/>
            </w:tcBorders>
            <w:noWrap/>
            <w:vAlign w:val="center"/>
            <w:hideMark/>
          </w:tcPr>
          <w:p w14:paraId="65050EB2" w14:textId="77777777" w:rsidR="007B1BAC" w:rsidRPr="00801A36" w:rsidRDefault="007B1BAC" w:rsidP="00801A36">
            <w:pPr>
              <w:spacing w:after="0" w:line="240" w:lineRule="auto"/>
              <w:jc w:val="center"/>
              <w:rPr>
                <w:rFonts w:ascii="Times New Roman" w:eastAsia="Times New Roman" w:hAnsi="Times New Roman" w:cs="Times New Roman"/>
                <w:color w:val="000000"/>
                <w:kern w:val="0"/>
                <w:sz w:val="19"/>
                <w:szCs w:val="19"/>
                <w:lang w:eastAsia="en-IN"/>
                <w14:ligatures w14:val="none"/>
              </w:rPr>
            </w:pPr>
            <w:r w:rsidRPr="00801A36">
              <w:rPr>
                <w:rFonts w:ascii="Times New Roman" w:eastAsia="Times New Roman" w:hAnsi="Times New Roman" w:cs="Times New Roman"/>
                <w:color w:val="000000"/>
                <w:kern w:val="0"/>
                <w:sz w:val="19"/>
                <w:szCs w:val="19"/>
                <w:lang w:eastAsia="en-IN"/>
                <w14:ligatures w14:val="none"/>
              </w:rPr>
              <w:t>..</w:t>
            </w:r>
          </w:p>
        </w:tc>
        <w:tc>
          <w:tcPr>
            <w:tcW w:w="1196" w:type="dxa"/>
            <w:tcBorders>
              <w:top w:val="nil"/>
              <w:left w:val="nil"/>
              <w:bottom w:val="single" w:sz="4" w:space="0" w:color="auto"/>
              <w:right w:val="single" w:sz="4" w:space="0" w:color="auto"/>
            </w:tcBorders>
            <w:noWrap/>
            <w:vAlign w:val="center"/>
            <w:hideMark/>
          </w:tcPr>
          <w:p w14:paraId="0E11B8AE" w14:textId="77777777" w:rsidR="007B1BAC" w:rsidRPr="00801A36" w:rsidRDefault="007B1BAC" w:rsidP="00801A36">
            <w:pPr>
              <w:spacing w:after="0" w:line="240" w:lineRule="auto"/>
              <w:jc w:val="center"/>
              <w:rPr>
                <w:rFonts w:ascii="Times New Roman" w:eastAsia="Times New Roman" w:hAnsi="Times New Roman" w:cs="Times New Roman"/>
                <w:color w:val="000000"/>
                <w:kern w:val="0"/>
                <w:sz w:val="19"/>
                <w:szCs w:val="19"/>
                <w:lang w:eastAsia="en-IN"/>
                <w14:ligatures w14:val="none"/>
              </w:rPr>
            </w:pPr>
            <w:r w:rsidRPr="00801A36">
              <w:rPr>
                <w:rFonts w:ascii="Times New Roman" w:eastAsia="Times New Roman" w:hAnsi="Times New Roman" w:cs="Times New Roman"/>
                <w:color w:val="000000"/>
                <w:kern w:val="0"/>
                <w:sz w:val="19"/>
                <w:szCs w:val="19"/>
                <w:lang w:eastAsia="en-IN"/>
                <w14:ligatures w14:val="none"/>
              </w:rPr>
              <w:t>79.84</w:t>
            </w:r>
          </w:p>
        </w:tc>
        <w:tc>
          <w:tcPr>
            <w:tcW w:w="986" w:type="dxa"/>
            <w:tcBorders>
              <w:top w:val="nil"/>
              <w:left w:val="nil"/>
              <w:bottom w:val="single" w:sz="4" w:space="0" w:color="auto"/>
              <w:right w:val="single" w:sz="4" w:space="0" w:color="auto"/>
            </w:tcBorders>
            <w:noWrap/>
            <w:vAlign w:val="center"/>
            <w:hideMark/>
          </w:tcPr>
          <w:p w14:paraId="58E6A1E8" w14:textId="77777777" w:rsidR="007B1BAC" w:rsidRPr="00801A36" w:rsidRDefault="007B1BAC" w:rsidP="00801A36">
            <w:pPr>
              <w:spacing w:after="0" w:line="240" w:lineRule="auto"/>
              <w:jc w:val="center"/>
              <w:rPr>
                <w:rFonts w:ascii="Times New Roman" w:eastAsia="Times New Roman" w:hAnsi="Times New Roman" w:cs="Times New Roman"/>
                <w:color w:val="000000"/>
                <w:kern w:val="0"/>
                <w:sz w:val="19"/>
                <w:szCs w:val="19"/>
                <w:lang w:eastAsia="en-IN"/>
                <w14:ligatures w14:val="none"/>
              </w:rPr>
            </w:pPr>
            <w:r w:rsidRPr="00801A36">
              <w:rPr>
                <w:rFonts w:ascii="Times New Roman" w:eastAsia="Times New Roman" w:hAnsi="Times New Roman" w:cs="Times New Roman"/>
                <w:color w:val="000000"/>
                <w:kern w:val="0"/>
                <w:sz w:val="19"/>
                <w:szCs w:val="19"/>
                <w:lang w:eastAsia="en-IN"/>
                <w14:ligatures w14:val="none"/>
              </w:rPr>
              <w:t>1,300.85</w:t>
            </w:r>
          </w:p>
        </w:tc>
      </w:tr>
      <w:tr w:rsidR="007B1BAC" w:rsidRPr="00801A36" w14:paraId="1FD07215" w14:textId="77777777" w:rsidTr="00801A36">
        <w:trPr>
          <w:trHeight w:val="20"/>
          <w:jc w:val="center"/>
        </w:trPr>
        <w:tc>
          <w:tcPr>
            <w:tcW w:w="618" w:type="dxa"/>
            <w:tcBorders>
              <w:top w:val="nil"/>
              <w:left w:val="single" w:sz="4" w:space="0" w:color="auto"/>
              <w:bottom w:val="single" w:sz="4" w:space="0" w:color="auto"/>
              <w:right w:val="single" w:sz="4" w:space="0" w:color="auto"/>
            </w:tcBorders>
            <w:noWrap/>
            <w:vAlign w:val="bottom"/>
            <w:hideMark/>
          </w:tcPr>
          <w:p w14:paraId="4132DE5C" w14:textId="77777777" w:rsidR="007B1BAC" w:rsidRPr="00801A36" w:rsidRDefault="007B1BAC" w:rsidP="007B1BAC">
            <w:pPr>
              <w:spacing w:after="0" w:line="240" w:lineRule="auto"/>
              <w:rPr>
                <w:rFonts w:ascii="Times New Roman" w:eastAsia="Times New Roman" w:hAnsi="Times New Roman" w:cs="Times New Roman"/>
                <w:color w:val="000000"/>
                <w:kern w:val="0"/>
                <w:sz w:val="19"/>
                <w:szCs w:val="19"/>
                <w:lang w:eastAsia="en-IN"/>
                <w14:ligatures w14:val="none"/>
              </w:rPr>
            </w:pPr>
            <w:r w:rsidRPr="00801A36">
              <w:rPr>
                <w:rFonts w:ascii="Times New Roman" w:eastAsia="Times New Roman" w:hAnsi="Times New Roman" w:cs="Times New Roman"/>
                <w:color w:val="000000"/>
                <w:kern w:val="0"/>
                <w:sz w:val="19"/>
                <w:szCs w:val="19"/>
                <w:lang w:eastAsia="en-IN"/>
                <w14:ligatures w14:val="none"/>
              </w:rPr>
              <w:t> </w:t>
            </w:r>
          </w:p>
        </w:tc>
        <w:tc>
          <w:tcPr>
            <w:tcW w:w="1680" w:type="dxa"/>
            <w:tcBorders>
              <w:top w:val="nil"/>
              <w:left w:val="nil"/>
              <w:bottom w:val="single" w:sz="4" w:space="0" w:color="auto"/>
              <w:right w:val="single" w:sz="4" w:space="0" w:color="auto"/>
            </w:tcBorders>
            <w:noWrap/>
            <w:vAlign w:val="bottom"/>
            <w:hideMark/>
          </w:tcPr>
          <w:p w14:paraId="57894DC1" w14:textId="77777777" w:rsidR="007B1BAC" w:rsidRPr="00801A36" w:rsidRDefault="007B1BAC" w:rsidP="007B1BAC">
            <w:pPr>
              <w:spacing w:after="0" w:line="240" w:lineRule="auto"/>
              <w:rPr>
                <w:rFonts w:ascii="Times New Roman" w:eastAsia="Times New Roman" w:hAnsi="Times New Roman" w:cs="Times New Roman"/>
                <w:color w:val="000000"/>
                <w:kern w:val="0"/>
                <w:sz w:val="19"/>
                <w:szCs w:val="19"/>
                <w:lang w:eastAsia="en-IN"/>
                <w14:ligatures w14:val="none"/>
              </w:rPr>
            </w:pPr>
            <w:r w:rsidRPr="00801A36">
              <w:rPr>
                <w:rFonts w:ascii="Times New Roman" w:eastAsia="Times New Roman" w:hAnsi="Times New Roman" w:cs="Times New Roman"/>
                <w:color w:val="000000"/>
                <w:kern w:val="0"/>
                <w:sz w:val="19"/>
                <w:szCs w:val="19"/>
                <w:lang w:eastAsia="en-IN"/>
                <w14:ligatures w14:val="none"/>
              </w:rPr>
              <w:t>Northeast Frontier</w:t>
            </w:r>
          </w:p>
        </w:tc>
        <w:tc>
          <w:tcPr>
            <w:tcW w:w="1084" w:type="dxa"/>
            <w:tcBorders>
              <w:top w:val="nil"/>
              <w:left w:val="nil"/>
              <w:bottom w:val="single" w:sz="4" w:space="0" w:color="auto"/>
              <w:right w:val="single" w:sz="4" w:space="0" w:color="auto"/>
            </w:tcBorders>
            <w:noWrap/>
            <w:vAlign w:val="center"/>
            <w:hideMark/>
          </w:tcPr>
          <w:p w14:paraId="4978D940" w14:textId="77777777" w:rsidR="007B1BAC" w:rsidRPr="00801A36" w:rsidRDefault="007B1BAC" w:rsidP="00801A36">
            <w:pPr>
              <w:spacing w:after="0" w:line="240" w:lineRule="auto"/>
              <w:jc w:val="center"/>
              <w:rPr>
                <w:rFonts w:ascii="Times New Roman" w:eastAsia="Times New Roman" w:hAnsi="Times New Roman" w:cs="Times New Roman"/>
                <w:color w:val="000000"/>
                <w:kern w:val="0"/>
                <w:sz w:val="19"/>
                <w:szCs w:val="19"/>
                <w:lang w:eastAsia="en-IN"/>
                <w14:ligatures w14:val="none"/>
              </w:rPr>
            </w:pPr>
            <w:r w:rsidRPr="00801A36">
              <w:rPr>
                <w:rFonts w:ascii="Times New Roman" w:eastAsia="Times New Roman" w:hAnsi="Times New Roman" w:cs="Times New Roman"/>
                <w:color w:val="000000"/>
                <w:kern w:val="0"/>
                <w:sz w:val="19"/>
                <w:szCs w:val="19"/>
                <w:lang w:eastAsia="en-IN"/>
                <w14:ligatures w14:val="none"/>
              </w:rPr>
              <w:t>278.48</w:t>
            </w:r>
          </w:p>
        </w:tc>
        <w:tc>
          <w:tcPr>
            <w:tcW w:w="1070" w:type="dxa"/>
            <w:tcBorders>
              <w:top w:val="nil"/>
              <w:left w:val="nil"/>
              <w:bottom w:val="single" w:sz="4" w:space="0" w:color="auto"/>
              <w:right w:val="single" w:sz="4" w:space="0" w:color="auto"/>
            </w:tcBorders>
            <w:noWrap/>
            <w:vAlign w:val="center"/>
            <w:hideMark/>
          </w:tcPr>
          <w:p w14:paraId="3C335AEB" w14:textId="77777777" w:rsidR="007B1BAC" w:rsidRPr="00801A36" w:rsidRDefault="007B1BAC" w:rsidP="00801A36">
            <w:pPr>
              <w:spacing w:after="0" w:line="240" w:lineRule="auto"/>
              <w:jc w:val="center"/>
              <w:rPr>
                <w:rFonts w:ascii="Times New Roman" w:eastAsia="Times New Roman" w:hAnsi="Times New Roman" w:cs="Times New Roman"/>
                <w:color w:val="000000"/>
                <w:kern w:val="0"/>
                <w:sz w:val="19"/>
                <w:szCs w:val="19"/>
                <w:lang w:eastAsia="en-IN"/>
                <w14:ligatures w14:val="none"/>
              </w:rPr>
            </w:pPr>
            <w:r w:rsidRPr="00801A36">
              <w:rPr>
                <w:rFonts w:ascii="Times New Roman" w:eastAsia="Times New Roman" w:hAnsi="Times New Roman" w:cs="Times New Roman"/>
                <w:color w:val="000000"/>
                <w:kern w:val="0"/>
                <w:sz w:val="19"/>
                <w:szCs w:val="19"/>
                <w:lang w:eastAsia="en-IN"/>
                <w14:ligatures w14:val="none"/>
              </w:rPr>
              <w:t>522.94</w:t>
            </w:r>
          </w:p>
        </w:tc>
        <w:tc>
          <w:tcPr>
            <w:tcW w:w="1196" w:type="dxa"/>
            <w:tcBorders>
              <w:top w:val="nil"/>
              <w:left w:val="nil"/>
              <w:bottom w:val="single" w:sz="4" w:space="0" w:color="auto"/>
              <w:right w:val="single" w:sz="4" w:space="0" w:color="auto"/>
            </w:tcBorders>
            <w:noWrap/>
            <w:vAlign w:val="center"/>
            <w:hideMark/>
          </w:tcPr>
          <w:p w14:paraId="1933CE14" w14:textId="77777777" w:rsidR="007B1BAC" w:rsidRPr="00801A36" w:rsidRDefault="007B1BAC" w:rsidP="00801A36">
            <w:pPr>
              <w:spacing w:after="0" w:line="240" w:lineRule="auto"/>
              <w:jc w:val="center"/>
              <w:rPr>
                <w:rFonts w:ascii="Times New Roman" w:eastAsia="Times New Roman" w:hAnsi="Times New Roman" w:cs="Times New Roman"/>
                <w:color w:val="000000"/>
                <w:kern w:val="0"/>
                <w:sz w:val="19"/>
                <w:szCs w:val="19"/>
                <w:lang w:eastAsia="en-IN"/>
                <w14:ligatures w14:val="none"/>
              </w:rPr>
            </w:pPr>
            <w:r w:rsidRPr="00801A36">
              <w:rPr>
                <w:rFonts w:ascii="Times New Roman" w:eastAsia="Times New Roman" w:hAnsi="Times New Roman" w:cs="Times New Roman"/>
                <w:color w:val="000000"/>
                <w:kern w:val="0"/>
                <w:sz w:val="19"/>
                <w:szCs w:val="19"/>
                <w:lang w:eastAsia="en-IN"/>
                <w14:ligatures w14:val="none"/>
              </w:rPr>
              <w:t>87.48</w:t>
            </w:r>
          </w:p>
        </w:tc>
        <w:tc>
          <w:tcPr>
            <w:tcW w:w="986" w:type="dxa"/>
            <w:tcBorders>
              <w:top w:val="nil"/>
              <w:left w:val="nil"/>
              <w:bottom w:val="single" w:sz="4" w:space="0" w:color="auto"/>
              <w:right w:val="single" w:sz="4" w:space="0" w:color="auto"/>
            </w:tcBorders>
            <w:noWrap/>
            <w:vAlign w:val="center"/>
            <w:hideMark/>
          </w:tcPr>
          <w:p w14:paraId="73758D89" w14:textId="77777777" w:rsidR="007B1BAC" w:rsidRPr="00801A36" w:rsidRDefault="007B1BAC" w:rsidP="00801A36">
            <w:pPr>
              <w:spacing w:after="0" w:line="240" w:lineRule="auto"/>
              <w:jc w:val="center"/>
              <w:rPr>
                <w:rFonts w:ascii="Times New Roman" w:eastAsia="Times New Roman" w:hAnsi="Times New Roman" w:cs="Times New Roman"/>
                <w:color w:val="000000"/>
                <w:kern w:val="0"/>
                <w:sz w:val="19"/>
                <w:szCs w:val="19"/>
                <w:lang w:eastAsia="en-IN"/>
                <w14:ligatures w14:val="none"/>
              </w:rPr>
            </w:pPr>
            <w:r w:rsidRPr="00801A36">
              <w:rPr>
                <w:rFonts w:ascii="Times New Roman" w:eastAsia="Times New Roman" w:hAnsi="Times New Roman" w:cs="Times New Roman"/>
                <w:color w:val="000000"/>
                <w:kern w:val="0"/>
                <w:sz w:val="19"/>
                <w:szCs w:val="19"/>
                <w:lang w:eastAsia="en-IN"/>
                <w14:ligatures w14:val="none"/>
              </w:rPr>
              <w:t>888.9</w:t>
            </w:r>
          </w:p>
        </w:tc>
        <w:tc>
          <w:tcPr>
            <w:tcW w:w="1084" w:type="dxa"/>
            <w:tcBorders>
              <w:top w:val="nil"/>
              <w:left w:val="nil"/>
              <w:bottom w:val="single" w:sz="4" w:space="0" w:color="auto"/>
              <w:right w:val="single" w:sz="4" w:space="0" w:color="auto"/>
            </w:tcBorders>
            <w:noWrap/>
            <w:vAlign w:val="center"/>
            <w:hideMark/>
          </w:tcPr>
          <w:p w14:paraId="7FC3AA6A" w14:textId="77777777" w:rsidR="007B1BAC" w:rsidRPr="00801A36" w:rsidRDefault="007B1BAC" w:rsidP="00801A36">
            <w:pPr>
              <w:spacing w:after="0" w:line="240" w:lineRule="auto"/>
              <w:jc w:val="center"/>
              <w:rPr>
                <w:rFonts w:ascii="Times New Roman" w:eastAsia="Times New Roman" w:hAnsi="Times New Roman" w:cs="Times New Roman"/>
                <w:color w:val="000000"/>
                <w:kern w:val="0"/>
                <w:sz w:val="19"/>
                <w:szCs w:val="19"/>
                <w:lang w:eastAsia="en-IN"/>
                <w14:ligatures w14:val="none"/>
              </w:rPr>
            </w:pPr>
            <w:r w:rsidRPr="00801A36">
              <w:rPr>
                <w:rFonts w:ascii="Times New Roman" w:eastAsia="Times New Roman" w:hAnsi="Times New Roman" w:cs="Times New Roman"/>
                <w:color w:val="000000"/>
                <w:kern w:val="0"/>
                <w:sz w:val="19"/>
                <w:szCs w:val="19"/>
                <w:lang w:eastAsia="en-IN"/>
                <w14:ligatures w14:val="none"/>
              </w:rPr>
              <w:t>431.42</w:t>
            </w:r>
          </w:p>
        </w:tc>
        <w:tc>
          <w:tcPr>
            <w:tcW w:w="1070" w:type="dxa"/>
            <w:tcBorders>
              <w:top w:val="nil"/>
              <w:left w:val="nil"/>
              <w:bottom w:val="single" w:sz="4" w:space="0" w:color="auto"/>
              <w:right w:val="single" w:sz="4" w:space="0" w:color="auto"/>
            </w:tcBorders>
            <w:noWrap/>
            <w:vAlign w:val="center"/>
            <w:hideMark/>
          </w:tcPr>
          <w:p w14:paraId="106DA936" w14:textId="77777777" w:rsidR="007B1BAC" w:rsidRPr="00801A36" w:rsidRDefault="007B1BAC" w:rsidP="00801A36">
            <w:pPr>
              <w:spacing w:after="0" w:line="240" w:lineRule="auto"/>
              <w:jc w:val="center"/>
              <w:rPr>
                <w:rFonts w:ascii="Times New Roman" w:eastAsia="Times New Roman" w:hAnsi="Times New Roman" w:cs="Times New Roman"/>
                <w:color w:val="000000"/>
                <w:kern w:val="0"/>
                <w:sz w:val="19"/>
                <w:szCs w:val="19"/>
                <w:lang w:eastAsia="en-IN"/>
                <w14:ligatures w14:val="none"/>
              </w:rPr>
            </w:pPr>
            <w:r w:rsidRPr="00801A36">
              <w:rPr>
                <w:rFonts w:ascii="Times New Roman" w:eastAsia="Times New Roman" w:hAnsi="Times New Roman" w:cs="Times New Roman"/>
                <w:color w:val="000000"/>
                <w:kern w:val="0"/>
                <w:sz w:val="19"/>
                <w:szCs w:val="19"/>
                <w:lang w:eastAsia="en-IN"/>
                <w14:ligatures w14:val="none"/>
              </w:rPr>
              <w:t>525.31</w:t>
            </w:r>
          </w:p>
        </w:tc>
        <w:tc>
          <w:tcPr>
            <w:tcW w:w="1196" w:type="dxa"/>
            <w:tcBorders>
              <w:top w:val="nil"/>
              <w:left w:val="nil"/>
              <w:bottom w:val="single" w:sz="4" w:space="0" w:color="auto"/>
              <w:right w:val="single" w:sz="4" w:space="0" w:color="auto"/>
            </w:tcBorders>
            <w:noWrap/>
            <w:vAlign w:val="center"/>
            <w:hideMark/>
          </w:tcPr>
          <w:p w14:paraId="5A01241A" w14:textId="77777777" w:rsidR="007B1BAC" w:rsidRPr="00801A36" w:rsidRDefault="007B1BAC" w:rsidP="00801A36">
            <w:pPr>
              <w:spacing w:after="0" w:line="240" w:lineRule="auto"/>
              <w:jc w:val="center"/>
              <w:rPr>
                <w:rFonts w:ascii="Times New Roman" w:eastAsia="Times New Roman" w:hAnsi="Times New Roman" w:cs="Times New Roman"/>
                <w:color w:val="000000"/>
                <w:kern w:val="0"/>
                <w:sz w:val="19"/>
                <w:szCs w:val="19"/>
                <w:lang w:eastAsia="en-IN"/>
                <w14:ligatures w14:val="none"/>
              </w:rPr>
            </w:pPr>
            <w:r w:rsidRPr="00801A36">
              <w:rPr>
                <w:rFonts w:ascii="Times New Roman" w:eastAsia="Times New Roman" w:hAnsi="Times New Roman" w:cs="Times New Roman"/>
                <w:color w:val="000000"/>
                <w:kern w:val="0"/>
                <w:sz w:val="19"/>
                <w:szCs w:val="19"/>
                <w:lang w:eastAsia="en-IN"/>
                <w14:ligatures w14:val="none"/>
              </w:rPr>
              <w:t>87.48</w:t>
            </w:r>
          </w:p>
        </w:tc>
        <w:tc>
          <w:tcPr>
            <w:tcW w:w="986" w:type="dxa"/>
            <w:tcBorders>
              <w:top w:val="nil"/>
              <w:left w:val="nil"/>
              <w:bottom w:val="single" w:sz="4" w:space="0" w:color="auto"/>
              <w:right w:val="single" w:sz="4" w:space="0" w:color="auto"/>
            </w:tcBorders>
            <w:noWrap/>
            <w:vAlign w:val="center"/>
            <w:hideMark/>
          </w:tcPr>
          <w:p w14:paraId="78D2EF14" w14:textId="77777777" w:rsidR="007B1BAC" w:rsidRPr="00801A36" w:rsidRDefault="007B1BAC" w:rsidP="00801A36">
            <w:pPr>
              <w:spacing w:after="0" w:line="240" w:lineRule="auto"/>
              <w:jc w:val="center"/>
              <w:rPr>
                <w:rFonts w:ascii="Times New Roman" w:eastAsia="Times New Roman" w:hAnsi="Times New Roman" w:cs="Times New Roman"/>
                <w:color w:val="000000"/>
                <w:kern w:val="0"/>
                <w:sz w:val="19"/>
                <w:szCs w:val="19"/>
                <w:lang w:eastAsia="en-IN"/>
                <w14:ligatures w14:val="none"/>
              </w:rPr>
            </w:pPr>
            <w:r w:rsidRPr="00801A36">
              <w:rPr>
                <w:rFonts w:ascii="Times New Roman" w:eastAsia="Times New Roman" w:hAnsi="Times New Roman" w:cs="Times New Roman"/>
                <w:color w:val="000000"/>
                <w:kern w:val="0"/>
                <w:sz w:val="19"/>
                <w:szCs w:val="19"/>
                <w:lang w:eastAsia="en-IN"/>
                <w14:ligatures w14:val="none"/>
              </w:rPr>
              <w:t>1,044.21</w:t>
            </w:r>
          </w:p>
        </w:tc>
        <w:tc>
          <w:tcPr>
            <w:tcW w:w="1084" w:type="dxa"/>
            <w:tcBorders>
              <w:top w:val="nil"/>
              <w:left w:val="nil"/>
              <w:bottom w:val="single" w:sz="4" w:space="0" w:color="auto"/>
              <w:right w:val="single" w:sz="4" w:space="0" w:color="auto"/>
            </w:tcBorders>
            <w:noWrap/>
            <w:vAlign w:val="center"/>
            <w:hideMark/>
          </w:tcPr>
          <w:p w14:paraId="4F2AD936" w14:textId="77777777" w:rsidR="007B1BAC" w:rsidRPr="00801A36" w:rsidRDefault="007B1BAC" w:rsidP="00801A36">
            <w:pPr>
              <w:spacing w:after="0" w:line="240" w:lineRule="auto"/>
              <w:jc w:val="center"/>
              <w:rPr>
                <w:rFonts w:ascii="Times New Roman" w:eastAsia="Times New Roman" w:hAnsi="Times New Roman" w:cs="Times New Roman"/>
                <w:color w:val="000000"/>
                <w:kern w:val="0"/>
                <w:sz w:val="19"/>
                <w:szCs w:val="19"/>
                <w:lang w:eastAsia="en-IN"/>
                <w14:ligatures w14:val="none"/>
              </w:rPr>
            </w:pPr>
            <w:r w:rsidRPr="00801A36">
              <w:rPr>
                <w:rFonts w:ascii="Times New Roman" w:eastAsia="Times New Roman" w:hAnsi="Times New Roman" w:cs="Times New Roman"/>
                <w:color w:val="000000"/>
                <w:kern w:val="0"/>
                <w:sz w:val="19"/>
                <w:szCs w:val="19"/>
                <w:lang w:eastAsia="en-IN"/>
                <w14:ligatures w14:val="none"/>
              </w:rPr>
              <w:t>431.42</w:t>
            </w:r>
          </w:p>
        </w:tc>
        <w:tc>
          <w:tcPr>
            <w:tcW w:w="1070" w:type="dxa"/>
            <w:tcBorders>
              <w:top w:val="nil"/>
              <w:left w:val="nil"/>
              <w:bottom w:val="single" w:sz="4" w:space="0" w:color="auto"/>
              <w:right w:val="single" w:sz="4" w:space="0" w:color="auto"/>
            </w:tcBorders>
            <w:noWrap/>
            <w:vAlign w:val="center"/>
            <w:hideMark/>
          </w:tcPr>
          <w:p w14:paraId="39DBCBB4" w14:textId="77777777" w:rsidR="007B1BAC" w:rsidRPr="00801A36" w:rsidRDefault="007B1BAC" w:rsidP="00801A36">
            <w:pPr>
              <w:spacing w:after="0" w:line="240" w:lineRule="auto"/>
              <w:jc w:val="center"/>
              <w:rPr>
                <w:rFonts w:ascii="Times New Roman" w:eastAsia="Times New Roman" w:hAnsi="Times New Roman" w:cs="Times New Roman"/>
                <w:color w:val="000000"/>
                <w:kern w:val="0"/>
                <w:sz w:val="19"/>
                <w:szCs w:val="19"/>
                <w:lang w:eastAsia="en-IN"/>
                <w14:ligatures w14:val="none"/>
              </w:rPr>
            </w:pPr>
            <w:r w:rsidRPr="00801A36">
              <w:rPr>
                <w:rFonts w:ascii="Times New Roman" w:eastAsia="Times New Roman" w:hAnsi="Times New Roman" w:cs="Times New Roman"/>
                <w:color w:val="000000"/>
                <w:kern w:val="0"/>
                <w:sz w:val="19"/>
                <w:szCs w:val="19"/>
                <w:lang w:eastAsia="en-IN"/>
                <w14:ligatures w14:val="none"/>
              </w:rPr>
              <w:t>525.31</w:t>
            </w:r>
          </w:p>
        </w:tc>
        <w:tc>
          <w:tcPr>
            <w:tcW w:w="1196" w:type="dxa"/>
            <w:tcBorders>
              <w:top w:val="nil"/>
              <w:left w:val="nil"/>
              <w:bottom w:val="single" w:sz="4" w:space="0" w:color="auto"/>
              <w:right w:val="single" w:sz="4" w:space="0" w:color="auto"/>
            </w:tcBorders>
            <w:noWrap/>
            <w:vAlign w:val="center"/>
            <w:hideMark/>
          </w:tcPr>
          <w:p w14:paraId="40227F20" w14:textId="77777777" w:rsidR="007B1BAC" w:rsidRPr="00C2102B" w:rsidRDefault="007B1BAC" w:rsidP="00801A36">
            <w:pPr>
              <w:spacing w:after="0" w:line="240" w:lineRule="auto"/>
              <w:jc w:val="center"/>
              <w:rPr>
                <w:rFonts w:ascii="Times New Roman" w:eastAsia="Times New Roman" w:hAnsi="Times New Roman" w:cs="Times New Roman"/>
                <w:color w:val="000000"/>
                <w:kern w:val="0"/>
                <w:sz w:val="19"/>
                <w:szCs w:val="19"/>
                <w:lang w:eastAsia="en-IN"/>
                <w14:ligatures w14:val="none"/>
              </w:rPr>
            </w:pPr>
            <w:r w:rsidRPr="00C2102B">
              <w:rPr>
                <w:rFonts w:ascii="Times New Roman" w:eastAsia="Times New Roman" w:hAnsi="Times New Roman" w:cs="Times New Roman"/>
                <w:color w:val="000000"/>
                <w:kern w:val="0"/>
                <w:sz w:val="19"/>
                <w:szCs w:val="19"/>
                <w:lang w:eastAsia="en-IN"/>
                <w14:ligatures w14:val="none"/>
              </w:rPr>
              <w:t>87.48</w:t>
            </w:r>
          </w:p>
        </w:tc>
        <w:tc>
          <w:tcPr>
            <w:tcW w:w="986" w:type="dxa"/>
            <w:tcBorders>
              <w:top w:val="nil"/>
              <w:left w:val="nil"/>
              <w:bottom w:val="single" w:sz="4" w:space="0" w:color="auto"/>
              <w:right w:val="single" w:sz="4" w:space="0" w:color="auto"/>
            </w:tcBorders>
            <w:noWrap/>
            <w:vAlign w:val="center"/>
            <w:hideMark/>
          </w:tcPr>
          <w:p w14:paraId="0673B416" w14:textId="77777777" w:rsidR="007B1BAC" w:rsidRPr="00C2102B" w:rsidRDefault="007B1BAC" w:rsidP="00801A36">
            <w:pPr>
              <w:spacing w:after="0" w:line="240" w:lineRule="auto"/>
              <w:jc w:val="center"/>
              <w:rPr>
                <w:rFonts w:ascii="Times New Roman" w:eastAsia="Times New Roman" w:hAnsi="Times New Roman" w:cs="Times New Roman"/>
                <w:color w:val="000000"/>
                <w:kern w:val="0"/>
                <w:sz w:val="19"/>
                <w:szCs w:val="19"/>
                <w:lang w:eastAsia="en-IN"/>
                <w14:ligatures w14:val="none"/>
              </w:rPr>
            </w:pPr>
            <w:r w:rsidRPr="00C2102B">
              <w:rPr>
                <w:rFonts w:ascii="Times New Roman" w:eastAsia="Times New Roman" w:hAnsi="Times New Roman" w:cs="Times New Roman"/>
                <w:color w:val="000000"/>
                <w:kern w:val="0"/>
                <w:sz w:val="19"/>
                <w:szCs w:val="19"/>
                <w:lang w:eastAsia="en-IN"/>
                <w14:ligatures w14:val="none"/>
              </w:rPr>
              <w:t>1,044.21</w:t>
            </w:r>
          </w:p>
        </w:tc>
      </w:tr>
      <w:tr w:rsidR="007B1BAC" w:rsidRPr="00801A36" w14:paraId="72A3C599" w14:textId="77777777" w:rsidTr="00801A36">
        <w:trPr>
          <w:trHeight w:val="20"/>
          <w:jc w:val="center"/>
        </w:trPr>
        <w:tc>
          <w:tcPr>
            <w:tcW w:w="618" w:type="dxa"/>
            <w:tcBorders>
              <w:top w:val="nil"/>
              <w:left w:val="single" w:sz="4" w:space="0" w:color="auto"/>
              <w:bottom w:val="single" w:sz="4" w:space="0" w:color="auto"/>
              <w:right w:val="single" w:sz="4" w:space="0" w:color="auto"/>
            </w:tcBorders>
            <w:noWrap/>
            <w:vAlign w:val="bottom"/>
            <w:hideMark/>
          </w:tcPr>
          <w:p w14:paraId="1AB54B0D" w14:textId="77777777" w:rsidR="007B1BAC" w:rsidRPr="00801A36" w:rsidRDefault="007B1BAC" w:rsidP="007B1BAC">
            <w:pPr>
              <w:spacing w:after="0" w:line="240" w:lineRule="auto"/>
              <w:rPr>
                <w:rFonts w:ascii="Times New Roman" w:eastAsia="Times New Roman" w:hAnsi="Times New Roman" w:cs="Times New Roman"/>
                <w:color w:val="000000"/>
                <w:kern w:val="0"/>
                <w:sz w:val="19"/>
                <w:szCs w:val="19"/>
                <w:lang w:eastAsia="en-IN"/>
                <w14:ligatures w14:val="none"/>
              </w:rPr>
            </w:pPr>
            <w:r w:rsidRPr="00801A36">
              <w:rPr>
                <w:rFonts w:ascii="Times New Roman" w:eastAsia="Times New Roman" w:hAnsi="Times New Roman" w:cs="Times New Roman"/>
                <w:color w:val="000000"/>
                <w:kern w:val="0"/>
                <w:sz w:val="19"/>
                <w:szCs w:val="19"/>
                <w:lang w:eastAsia="en-IN"/>
                <w14:ligatures w14:val="none"/>
              </w:rPr>
              <w:t> </w:t>
            </w:r>
          </w:p>
        </w:tc>
        <w:tc>
          <w:tcPr>
            <w:tcW w:w="1680" w:type="dxa"/>
            <w:tcBorders>
              <w:top w:val="nil"/>
              <w:left w:val="nil"/>
              <w:bottom w:val="single" w:sz="4" w:space="0" w:color="auto"/>
              <w:right w:val="single" w:sz="4" w:space="0" w:color="auto"/>
            </w:tcBorders>
            <w:noWrap/>
            <w:vAlign w:val="bottom"/>
            <w:hideMark/>
          </w:tcPr>
          <w:p w14:paraId="380CE6C6" w14:textId="77777777" w:rsidR="007B1BAC" w:rsidRPr="00801A36" w:rsidRDefault="007B1BAC" w:rsidP="007B1BAC">
            <w:pPr>
              <w:spacing w:after="0" w:line="240" w:lineRule="auto"/>
              <w:rPr>
                <w:rFonts w:ascii="Times New Roman" w:eastAsia="Times New Roman" w:hAnsi="Times New Roman" w:cs="Times New Roman"/>
                <w:color w:val="000000"/>
                <w:kern w:val="0"/>
                <w:sz w:val="19"/>
                <w:szCs w:val="19"/>
                <w:lang w:eastAsia="en-IN"/>
                <w14:ligatures w14:val="none"/>
              </w:rPr>
            </w:pPr>
            <w:r w:rsidRPr="00801A36">
              <w:rPr>
                <w:rFonts w:ascii="Times New Roman" w:eastAsia="Times New Roman" w:hAnsi="Times New Roman" w:cs="Times New Roman"/>
                <w:color w:val="000000"/>
                <w:kern w:val="0"/>
                <w:sz w:val="19"/>
                <w:szCs w:val="19"/>
                <w:lang w:eastAsia="en-IN"/>
                <w14:ligatures w14:val="none"/>
              </w:rPr>
              <w:t>South Eastern</w:t>
            </w:r>
          </w:p>
        </w:tc>
        <w:tc>
          <w:tcPr>
            <w:tcW w:w="1084" w:type="dxa"/>
            <w:tcBorders>
              <w:top w:val="nil"/>
              <w:left w:val="nil"/>
              <w:bottom w:val="single" w:sz="4" w:space="0" w:color="auto"/>
              <w:right w:val="single" w:sz="4" w:space="0" w:color="auto"/>
            </w:tcBorders>
            <w:noWrap/>
            <w:vAlign w:val="center"/>
            <w:hideMark/>
          </w:tcPr>
          <w:p w14:paraId="61FE047B" w14:textId="77777777" w:rsidR="007B1BAC" w:rsidRPr="00801A36" w:rsidRDefault="007B1BAC" w:rsidP="00801A36">
            <w:pPr>
              <w:spacing w:after="0" w:line="240" w:lineRule="auto"/>
              <w:jc w:val="center"/>
              <w:rPr>
                <w:rFonts w:ascii="Times New Roman" w:eastAsia="Times New Roman" w:hAnsi="Times New Roman" w:cs="Times New Roman"/>
                <w:color w:val="000000"/>
                <w:kern w:val="0"/>
                <w:sz w:val="19"/>
                <w:szCs w:val="19"/>
                <w:lang w:eastAsia="en-IN"/>
                <w14:ligatures w14:val="none"/>
              </w:rPr>
            </w:pPr>
            <w:r w:rsidRPr="00801A36">
              <w:rPr>
                <w:rFonts w:ascii="Times New Roman" w:eastAsia="Times New Roman" w:hAnsi="Times New Roman" w:cs="Times New Roman"/>
                <w:color w:val="000000"/>
                <w:kern w:val="0"/>
                <w:sz w:val="19"/>
                <w:szCs w:val="19"/>
                <w:lang w:eastAsia="en-IN"/>
                <w14:ligatures w14:val="none"/>
              </w:rPr>
              <w:t>646.3</w:t>
            </w:r>
          </w:p>
        </w:tc>
        <w:tc>
          <w:tcPr>
            <w:tcW w:w="1070" w:type="dxa"/>
            <w:tcBorders>
              <w:top w:val="nil"/>
              <w:left w:val="nil"/>
              <w:bottom w:val="single" w:sz="4" w:space="0" w:color="auto"/>
              <w:right w:val="single" w:sz="4" w:space="0" w:color="auto"/>
            </w:tcBorders>
            <w:noWrap/>
            <w:vAlign w:val="center"/>
            <w:hideMark/>
          </w:tcPr>
          <w:p w14:paraId="68FED89E" w14:textId="77777777" w:rsidR="007B1BAC" w:rsidRPr="00801A36" w:rsidRDefault="007B1BAC" w:rsidP="00801A36">
            <w:pPr>
              <w:spacing w:after="0" w:line="240" w:lineRule="auto"/>
              <w:jc w:val="center"/>
              <w:rPr>
                <w:rFonts w:ascii="Times New Roman" w:eastAsia="Times New Roman" w:hAnsi="Times New Roman" w:cs="Times New Roman"/>
                <w:color w:val="000000"/>
                <w:kern w:val="0"/>
                <w:sz w:val="19"/>
                <w:szCs w:val="19"/>
                <w:lang w:eastAsia="en-IN"/>
                <w14:ligatures w14:val="none"/>
              </w:rPr>
            </w:pPr>
            <w:r w:rsidRPr="00801A36">
              <w:rPr>
                <w:rFonts w:ascii="Times New Roman" w:eastAsia="Times New Roman" w:hAnsi="Times New Roman" w:cs="Times New Roman"/>
                <w:color w:val="000000"/>
                <w:kern w:val="0"/>
                <w:sz w:val="19"/>
                <w:szCs w:val="19"/>
                <w:lang w:eastAsia="en-IN"/>
                <w14:ligatures w14:val="none"/>
              </w:rPr>
              <w:t>..</w:t>
            </w:r>
          </w:p>
        </w:tc>
        <w:tc>
          <w:tcPr>
            <w:tcW w:w="1196" w:type="dxa"/>
            <w:tcBorders>
              <w:top w:val="nil"/>
              <w:left w:val="nil"/>
              <w:bottom w:val="single" w:sz="4" w:space="0" w:color="auto"/>
              <w:right w:val="single" w:sz="4" w:space="0" w:color="auto"/>
            </w:tcBorders>
            <w:noWrap/>
            <w:vAlign w:val="center"/>
            <w:hideMark/>
          </w:tcPr>
          <w:p w14:paraId="13C921DB" w14:textId="77777777" w:rsidR="007B1BAC" w:rsidRPr="00801A36" w:rsidRDefault="007B1BAC" w:rsidP="00801A36">
            <w:pPr>
              <w:spacing w:after="0" w:line="240" w:lineRule="auto"/>
              <w:jc w:val="center"/>
              <w:rPr>
                <w:rFonts w:ascii="Times New Roman" w:eastAsia="Times New Roman" w:hAnsi="Times New Roman" w:cs="Times New Roman"/>
                <w:color w:val="000000"/>
                <w:kern w:val="0"/>
                <w:sz w:val="19"/>
                <w:szCs w:val="19"/>
                <w:lang w:eastAsia="en-IN"/>
                <w14:ligatures w14:val="none"/>
              </w:rPr>
            </w:pPr>
            <w:r w:rsidRPr="00801A36">
              <w:rPr>
                <w:rFonts w:ascii="Times New Roman" w:eastAsia="Times New Roman" w:hAnsi="Times New Roman" w:cs="Times New Roman"/>
                <w:color w:val="000000"/>
                <w:kern w:val="0"/>
                <w:sz w:val="19"/>
                <w:szCs w:val="19"/>
                <w:lang w:eastAsia="en-IN"/>
                <w14:ligatures w14:val="none"/>
              </w:rPr>
              <w:t>35.6</w:t>
            </w:r>
          </w:p>
        </w:tc>
        <w:tc>
          <w:tcPr>
            <w:tcW w:w="986" w:type="dxa"/>
            <w:tcBorders>
              <w:top w:val="nil"/>
              <w:left w:val="nil"/>
              <w:bottom w:val="single" w:sz="4" w:space="0" w:color="auto"/>
              <w:right w:val="single" w:sz="4" w:space="0" w:color="auto"/>
            </w:tcBorders>
            <w:noWrap/>
            <w:vAlign w:val="center"/>
            <w:hideMark/>
          </w:tcPr>
          <w:p w14:paraId="26249D16" w14:textId="77777777" w:rsidR="007B1BAC" w:rsidRPr="00801A36" w:rsidRDefault="007B1BAC" w:rsidP="00801A36">
            <w:pPr>
              <w:spacing w:after="0" w:line="240" w:lineRule="auto"/>
              <w:jc w:val="center"/>
              <w:rPr>
                <w:rFonts w:ascii="Times New Roman" w:eastAsia="Times New Roman" w:hAnsi="Times New Roman" w:cs="Times New Roman"/>
                <w:color w:val="000000"/>
                <w:kern w:val="0"/>
                <w:sz w:val="19"/>
                <w:szCs w:val="19"/>
                <w:lang w:eastAsia="en-IN"/>
                <w14:ligatures w14:val="none"/>
              </w:rPr>
            </w:pPr>
            <w:r w:rsidRPr="00801A36">
              <w:rPr>
                <w:rFonts w:ascii="Times New Roman" w:eastAsia="Times New Roman" w:hAnsi="Times New Roman" w:cs="Times New Roman"/>
                <w:color w:val="000000"/>
                <w:kern w:val="0"/>
                <w:sz w:val="19"/>
                <w:szCs w:val="19"/>
                <w:lang w:eastAsia="en-IN"/>
                <w14:ligatures w14:val="none"/>
              </w:rPr>
              <w:t>683.9</w:t>
            </w:r>
          </w:p>
        </w:tc>
        <w:tc>
          <w:tcPr>
            <w:tcW w:w="1084" w:type="dxa"/>
            <w:tcBorders>
              <w:top w:val="nil"/>
              <w:left w:val="nil"/>
              <w:bottom w:val="single" w:sz="4" w:space="0" w:color="auto"/>
              <w:right w:val="single" w:sz="4" w:space="0" w:color="auto"/>
            </w:tcBorders>
            <w:noWrap/>
            <w:vAlign w:val="center"/>
            <w:hideMark/>
          </w:tcPr>
          <w:p w14:paraId="65AB1641" w14:textId="77777777" w:rsidR="007B1BAC" w:rsidRPr="00801A36" w:rsidRDefault="007B1BAC" w:rsidP="00801A36">
            <w:pPr>
              <w:spacing w:after="0" w:line="240" w:lineRule="auto"/>
              <w:jc w:val="center"/>
              <w:rPr>
                <w:rFonts w:ascii="Times New Roman" w:eastAsia="Times New Roman" w:hAnsi="Times New Roman" w:cs="Times New Roman"/>
                <w:color w:val="000000"/>
                <w:kern w:val="0"/>
                <w:sz w:val="19"/>
                <w:szCs w:val="19"/>
                <w:lang w:eastAsia="en-IN"/>
                <w14:ligatures w14:val="none"/>
              </w:rPr>
            </w:pPr>
            <w:r w:rsidRPr="00801A36">
              <w:rPr>
                <w:rFonts w:ascii="Times New Roman" w:eastAsia="Times New Roman" w:hAnsi="Times New Roman" w:cs="Times New Roman"/>
                <w:color w:val="000000"/>
                <w:kern w:val="0"/>
                <w:sz w:val="19"/>
                <w:szCs w:val="19"/>
                <w:lang w:eastAsia="en-IN"/>
                <w14:ligatures w14:val="none"/>
              </w:rPr>
              <w:t>654.83</w:t>
            </w:r>
          </w:p>
        </w:tc>
        <w:tc>
          <w:tcPr>
            <w:tcW w:w="1070" w:type="dxa"/>
            <w:tcBorders>
              <w:top w:val="nil"/>
              <w:left w:val="nil"/>
              <w:bottom w:val="single" w:sz="4" w:space="0" w:color="auto"/>
              <w:right w:val="single" w:sz="4" w:space="0" w:color="auto"/>
            </w:tcBorders>
            <w:noWrap/>
            <w:vAlign w:val="center"/>
            <w:hideMark/>
          </w:tcPr>
          <w:p w14:paraId="6F819D78" w14:textId="77777777" w:rsidR="007B1BAC" w:rsidRPr="00801A36" w:rsidRDefault="007B1BAC" w:rsidP="00801A36">
            <w:pPr>
              <w:spacing w:after="0" w:line="240" w:lineRule="auto"/>
              <w:jc w:val="center"/>
              <w:rPr>
                <w:rFonts w:ascii="Times New Roman" w:eastAsia="Times New Roman" w:hAnsi="Times New Roman" w:cs="Times New Roman"/>
                <w:color w:val="000000"/>
                <w:kern w:val="0"/>
                <w:sz w:val="19"/>
                <w:szCs w:val="19"/>
                <w:lang w:eastAsia="en-IN"/>
                <w14:ligatures w14:val="none"/>
              </w:rPr>
            </w:pPr>
            <w:r w:rsidRPr="00801A36">
              <w:rPr>
                <w:rFonts w:ascii="Times New Roman" w:eastAsia="Times New Roman" w:hAnsi="Times New Roman" w:cs="Times New Roman"/>
                <w:color w:val="000000"/>
                <w:kern w:val="0"/>
                <w:sz w:val="19"/>
                <w:szCs w:val="19"/>
                <w:lang w:eastAsia="en-IN"/>
                <w14:ligatures w14:val="none"/>
              </w:rPr>
              <w:t>..</w:t>
            </w:r>
          </w:p>
        </w:tc>
        <w:tc>
          <w:tcPr>
            <w:tcW w:w="1196" w:type="dxa"/>
            <w:tcBorders>
              <w:top w:val="nil"/>
              <w:left w:val="nil"/>
              <w:bottom w:val="single" w:sz="4" w:space="0" w:color="auto"/>
              <w:right w:val="single" w:sz="4" w:space="0" w:color="auto"/>
            </w:tcBorders>
            <w:noWrap/>
            <w:vAlign w:val="center"/>
            <w:hideMark/>
          </w:tcPr>
          <w:p w14:paraId="5A82E6F9" w14:textId="77777777" w:rsidR="007B1BAC" w:rsidRPr="00801A36" w:rsidRDefault="007B1BAC" w:rsidP="00801A36">
            <w:pPr>
              <w:spacing w:after="0" w:line="240" w:lineRule="auto"/>
              <w:jc w:val="center"/>
              <w:rPr>
                <w:rFonts w:ascii="Times New Roman" w:eastAsia="Times New Roman" w:hAnsi="Times New Roman" w:cs="Times New Roman"/>
                <w:color w:val="000000"/>
                <w:kern w:val="0"/>
                <w:sz w:val="19"/>
                <w:szCs w:val="19"/>
                <w:lang w:eastAsia="en-IN"/>
                <w14:ligatures w14:val="none"/>
              </w:rPr>
            </w:pPr>
            <w:r w:rsidRPr="00801A36">
              <w:rPr>
                <w:rFonts w:ascii="Times New Roman" w:eastAsia="Times New Roman" w:hAnsi="Times New Roman" w:cs="Times New Roman"/>
                <w:color w:val="000000"/>
                <w:kern w:val="0"/>
                <w:sz w:val="19"/>
                <w:szCs w:val="19"/>
                <w:lang w:eastAsia="en-IN"/>
                <w14:ligatures w14:val="none"/>
              </w:rPr>
              <w:t>35.6</w:t>
            </w:r>
          </w:p>
        </w:tc>
        <w:tc>
          <w:tcPr>
            <w:tcW w:w="986" w:type="dxa"/>
            <w:tcBorders>
              <w:top w:val="nil"/>
              <w:left w:val="nil"/>
              <w:bottom w:val="single" w:sz="4" w:space="0" w:color="auto"/>
              <w:right w:val="single" w:sz="4" w:space="0" w:color="auto"/>
            </w:tcBorders>
            <w:noWrap/>
            <w:vAlign w:val="center"/>
            <w:hideMark/>
          </w:tcPr>
          <w:p w14:paraId="6AE3CB53" w14:textId="77777777" w:rsidR="007B1BAC" w:rsidRPr="00801A36" w:rsidRDefault="007B1BAC" w:rsidP="00801A36">
            <w:pPr>
              <w:spacing w:after="0" w:line="240" w:lineRule="auto"/>
              <w:jc w:val="center"/>
              <w:rPr>
                <w:rFonts w:ascii="Times New Roman" w:eastAsia="Times New Roman" w:hAnsi="Times New Roman" w:cs="Times New Roman"/>
                <w:color w:val="000000"/>
                <w:kern w:val="0"/>
                <w:sz w:val="19"/>
                <w:szCs w:val="19"/>
                <w:lang w:eastAsia="en-IN"/>
                <w14:ligatures w14:val="none"/>
              </w:rPr>
            </w:pPr>
            <w:r w:rsidRPr="00801A36">
              <w:rPr>
                <w:rFonts w:ascii="Times New Roman" w:eastAsia="Times New Roman" w:hAnsi="Times New Roman" w:cs="Times New Roman"/>
                <w:color w:val="000000"/>
                <w:kern w:val="0"/>
                <w:sz w:val="19"/>
                <w:szCs w:val="19"/>
                <w:lang w:eastAsia="en-IN"/>
                <w14:ligatures w14:val="none"/>
              </w:rPr>
              <w:t>690.43</w:t>
            </w:r>
          </w:p>
        </w:tc>
        <w:tc>
          <w:tcPr>
            <w:tcW w:w="1084" w:type="dxa"/>
            <w:tcBorders>
              <w:top w:val="nil"/>
              <w:left w:val="nil"/>
              <w:bottom w:val="single" w:sz="4" w:space="0" w:color="auto"/>
              <w:right w:val="single" w:sz="4" w:space="0" w:color="auto"/>
            </w:tcBorders>
            <w:noWrap/>
            <w:vAlign w:val="center"/>
            <w:hideMark/>
          </w:tcPr>
          <w:p w14:paraId="3FFC2C6F" w14:textId="77777777" w:rsidR="007B1BAC" w:rsidRPr="00801A36" w:rsidRDefault="007B1BAC" w:rsidP="00801A36">
            <w:pPr>
              <w:spacing w:after="0" w:line="240" w:lineRule="auto"/>
              <w:jc w:val="center"/>
              <w:rPr>
                <w:rFonts w:ascii="Times New Roman" w:eastAsia="Times New Roman" w:hAnsi="Times New Roman" w:cs="Times New Roman"/>
                <w:color w:val="000000"/>
                <w:kern w:val="0"/>
                <w:sz w:val="19"/>
                <w:szCs w:val="19"/>
                <w:lang w:eastAsia="en-IN"/>
                <w14:ligatures w14:val="none"/>
              </w:rPr>
            </w:pPr>
            <w:r w:rsidRPr="00801A36">
              <w:rPr>
                <w:rFonts w:ascii="Times New Roman" w:eastAsia="Times New Roman" w:hAnsi="Times New Roman" w:cs="Times New Roman"/>
                <w:color w:val="000000"/>
                <w:kern w:val="0"/>
                <w:sz w:val="19"/>
                <w:szCs w:val="19"/>
                <w:lang w:eastAsia="en-IN"/>
                <w14:ligatures w14:val="none"/>
              </w:rPr>
              <w:t>637.83</w:t>
            </w:r>
          </w:p>
        </w:tc>
        <w:tc>
          <w:tcPr>
            <w:tcW w:w="1070" w:type="dxa"/>
            <w:tcBorders>
              <w:top w:val="nil"/>
              <w:left w:val="nil"/>
              <w:bottom w:val="single" w:sz="4" w:space="0" w:color="auto"/>
              <w:right w:val="single" w:sz="4" w:space="0" w:color="auto"/>
            </w:tcBorders>
            <w:noWrap/>
            <w:vAlign w:val="center"/>
            <w:hideMark/>
          </w:tcPr>
          <w:p w14:paraId="48416CC6" w14:textId="77777777" w:rsidR="007B1BAC" w:rsidRPr="00801A36" w:rsidRDefault="007B1BAC" w:rsidP="00801A36">
            <w:pPr>
              <w:spacing w:after="0" w:line="240" w:lineRule="auto"/>
              <w:jc w:val="center"/>
              <w:rPr>
                <w:rFonts w:ascii="Times New Roman" w:eastAsia="Times New Roman" w:hAnsi="Times New Roman" w:cs="Times New Roman"/>
                <w:color w:val="000000"/>
                <w:kern w:val="0"/>
                <w:sz w:val="19"/>
                <w:szCs w:val="19"/>
                <w:lang w:eastAsia="en-IN"/>
                <w14:ligatures w14:val="none"/>
              </w:rPr>
            </w:pPr>
            <w:r w:rsidRPr="00801A36">
              <w:rPr>
                <w:rFonts w:ascii="Times New Roman" w:eastAsia="Times New Roman" w:hAnsi="Times New Roman" w:cs="Times New Roman"/>
                <w:color w:val="000000"/>
                <w:kern w:val="0"/>
                <w:sz w:val="19"/>
                <w:szCs w:val="19"/>
                <w:lang w:eastAsia="en-IN"/>
                <w14:ligatures w14:val="none"/>
              </w:rPr>
              <w:t>..</w:t>
            </w:r>
          </w:p>
        </w:tc>
        <w:tc>
          <w:tcPr>
            <w:tcW w:w="1196" w:type="dxa"/>
            <w:tcBorders>
              <w:top w:val="nil"/>
              <w:left w:val="nil"/>
              <w:bottom w:val="single" w:sz="4" w:space="0" w:color="auto"/>
              <w:right w:val="single" w:sz="4" w:space="0" w:color="auto"/>
            </w:tcBorders>
            <w:noWrap/>
            <w:vAlign w:val="center"/>
            <w:hideMark/>
          </w:tcPr>
          <w:p w14:paraId="10F6C897" w14:textId="77777777" w:rsidR="007B1BAC" w:rsidRPr="00C2102B" w:rsidRDefault="007B1BAC" w:rsidP="00801A36">
            <w:pPr>
              <w:spacing w:after="0" w:line="240" w:lineRule="auto"/>
              <w:jc w:val="center"/>
              <w:rPr>
                <w:rFonts w:ascii="Times New Roman" w:eastAsia="Times New Roman" w:hAnsi="Times New Roman" w:cs="Times New Roman"/>
                <w:color w:val="000000"/>
                <w:kern w:val="0"/>
                <w:sz w:val="19"/>
                <w:szCs w:val="19"/>
                <w:lang w:eastAsia="en-IN"/>
                <w14:ligatures w14:val="none"/>
              </w:rPr>
            </w:pPr>
            <w:r w:rsidRPr="00C2102B">
              <w:rPr>
                <w:rFonts w:ascii="Times New Roman" w:eastAsia="Times New Roman" w:hAnsi="Times New Roman" w:cs="Times New Roman"/>
                <w:color w:val="000000"/>
                <w:kern w:val="0"/>
                <w:sz w:val="19"/>
                <w:szCs w:val="19"/>
                <w:lang w:eastAsia="en-IN"/>
                <w14:ligatures w14:val="none"/>
              </w:rPr>
              <w:t>35.6</w:t>
            </w:r>
          </w:p>
        </w:tc>
        <w:tc>
          <w:tcPr>
            <w:tcW w:w="986" w:type="dxa"/>
            <w:tcBorders>
              <w:top w:val="nil"/>
              <w:left w:val="nil"/>
              <w:bottom w:val="single" w:sz="4" w:space="0" w:color="auto"/>
              <w:right w:val="single" w:sz="4" w:space="0" w:color="auto"/>
            </w:tcBorders>
            <w:noWrap/>
            <w:vAlign w:val="center"/>
            <w:hideMark/>
          </w:tcPr>
          <w:p w14:paraId="667A0878" w14:textId="4412DB08" w:rsidR="007B1BAC" w:rsidRPr="00C2102B" w:rsidRDefault="007B1BAC" w:rsidP="00801A36">
            <w:pPr>
              <w:spacing w:after="0" w:line="240" w:lineRule="auto"/>
              <w:jc w:val="center"/>
              <w:rPr>
                <w:rFonts w:ascii="Times New Roman" w:eastAsia="Times New Roman" w:hAnsi="Times New Roman" w:cs="Times New Roman"/>
                <w:color w:val="000000"/>
                <w:kern w:val="0"/>
                <w:sz w:val="19"/>
                <w:szCs w:val="19"/>
                <w:lang w:eastAsia="en-IN"/>
                <w14:ligatures w14:val="none"/>
              </w:rPr>
            </w:pPr>
            <w:r w:rsidRPr="00C2102B">
              <w:rPr>
                <w:rFonts w:ascii="Times New Roman" w:eastAsia="Times New Roman" w:hAnsi="Times New Roman" w:cs="Times New Roman"/>
                <w:color w:val="000000"/>
                <w:kern w:val="0"/>
                <w:sz w:val="19"/>
                <w:szCs w:val="19"/>
                <w:lang w:eastAsia="en-IN"/>
                <w14:ligatures w14:val="none"/>
              </w:rPr>
              <w:t>673.4</w:t>
            </w:r>
            <w:r w:rsidR="00C2102B" w:rsidRPr="00C2102B">
              <w:rPr>
                <w:rFonts w:ascii="Times New Roman" w:eastAsia="Times New Roman" w:hAnsi="Times New Roman" w:cs="Times New Roman"/>
                <w:color w:val="000000"/>
                <w:kern w:val="0"/>
                <w:sz w:val="19"/>
                <w:szCs w:val="19"/>
                <w:lang w:eastAsia="en-IN"/>
                <w14:ligatures w14:val="none"/>
              </w:rPr>
              <w:t>9</w:t>
            </w:r>
          </w:p>
        </w:tc>
      </w:tr>
    </w:tbl>
    <w:p w14:paraId="66A2E012" w14:textId="77777777" w:rsidR="00701BE2" w:rsidRPr="00801A36" w:rsidRDefault="00701BE2" w:rsidP="00701BE2">
      <w:pPr>
        <w:tabs>
          <w:tab w:val="left" w:pos="2816"/>
        </w:tabs>
        <w:rPr>
          <w:rFonts w:ascii="Times New Roman" w:hAnsi="Times New Roman" w:cs="Times New Roman"/>
          <w:sz w:val="20"/>
          <w:szCs w:val="20"/>
        </w:rPr>
      </w:pPr>
      <w:r w:rsidRPr="00801A36">
        <w:rPr>
          <w:rFonts w:ascii="Times New Roman" w:hAnsi="Times New Roman" w:cs="Times New Roman"/>
          <w:sz w:val="20"/>
          <w:szCs w:val="20"/>
        </w:rPr>
        <w:t>NOTE: The South Central Railway was formed from October, 1966 bifurcating the Central and the Southern Railways.</w:t>
      </w:r>
      <w:r w:rsidRPr="00801A36">
        <w:rPr>
          <w:rFonts w:ascii="Times New Roman" w:hAnsi="Times New Roman" w:cs="Times New Roman"/>
          <w:sz w:val="20"/>
          <w:szCs w:val="20"/>
        </w:rPr>
        <w:br/>
        <w:t>Source: Railway Board.</w:t>
      </w:r>
    </w:p>
    <w:p w14:paraId="332ABE1F" w14:textId="77777777" w:rsidR="007B1BAC" w:rsidRDefault="00B33920" w:rsidP="00313915">
      <w:pPr>
        <w:rPr>
          <w:rFonts w:ascii="Times New Roman" w:hAnsi="Times New Roman" w:cs="Times New Roman"/>
          <w:szCs w:val="24"/>
        </w:rPr>
        <w:sectPr w:rsidR="007B1BAC" w:rsidSect="007B1BAC">
          <w:pgSz w:w="15840" w:h="12240" w:orient="landscape"/>
          <w:pgMar w:top="1440" w:right="1418" w:bottom="1440" w:left="1440" w:header="720" w:footer="720" w:gutter="0"/>
          <w:cols w:space="720"/>
        </w:sectPr>
      </w:pPr>
      <w:r w:rsidRPr="00D43584">
        <w:rPr>
          <w:rFonts w:ascii="Times New Roman" w:hAnsi="Times New Roman" w:cs="Times New Roman"/>
          <w:szCs w:val="24"/>
        </w:rPr>
        <w:br w:type="page"/>
      </w:r>
    </w:p>
    <w:p w14:paraId="22B0E4C1" w14:textId="05F739B6" w:rsidR="00801A36" w:rsidRPr="00801A36" w:rsidRDefault="00B33920" w:rsidP="00801A36">
      <w:pPr>
        <w:pStyle w:val="Heading2"/>
      </w:pPr>
      <w:bookmarkStart w:id="254" w:name="_Toc220949757"/>
      <w:bookmarkStart w:id="255" w:name="_Toc221115382"/>
      <w:r w:rsidRPr="00801A36">
        <w:rPr>
          <w:rStyle w:val="Heading2Char"/>
          <w:b/>
          <w:bCs/>
        </w:rPr>
        <w:lastRenderedPageBreak/>
        <w:t>APPENDIX II (b)</w:t>
      </w:r>
      <w:r w:rsidR="00801A36" w:rsidRPr="00801A36">
        <w:rPr>
          <w:rStyle w:val="Heading2Char"/>
          <w:b/>
          <w:bCs/>
        </w:rPr>
        <w:t xml:space="preserve"> </w:t>
      </w:r>
      <w:r w:rsidR="00801A36" w:rsidRPr="00801A36">
        <w:rPr>
          <w:rStyle w:val="Heading2Char"/>
          <w:b/>
          <w:bCs/>
        </w:rPr>
        <w:br/>
      </w:r>
      <w:r w:rsidRPr="00801A36">
        <w:rPr>
          <w:rStyle w:val="Heading2Char"/>
          <w:b/>
          <w:bCs/>
        </w:rPr>
        <w:t>RAILWAY EARNINGS FROM PASSENGERS CARRIED ON NON-SUBURBAN ROUTES DURING 1964-65 TO 1966-67</w:t>
      </w:r>
      <w:bookmarkEnd w:id="254"/>
      <w:bookmarkEnd w:id="255"/>
    </w:p>
    <w:p w14:paraId="7449C3D7" w14:textId="76BD32AA" w:rsidR="00B33920" w:rsidRDefault="00B33920" w:rsidP="00801A36">
      <w:pPr>
        <w:jc w:val="right"/>
        <w:rPr>
          <w:rFonts w:ascii="Times New Roman" w:hAnsi="Times New Roman" w:cs="Times New Roman"/>
          <w:i/>
          <w:iCs/>
          <w:szCs w:val="24"/>
        </w:rPr>
      </w:pPr>
      <w:r w:rsidRPr="00D43584">
        <w:rPr>
          <w:rFonts w:ascii="Times New Roman" w:hAnsi="Times New Roman" w:cs="Times New Roman"/>
          <w:szCs w:val="24"/>
        </w:rPr>
        <w:t>(See paragraph 11)</w:t>
      </w:r>
      <w:r w:rsidR="00801A36">
        <w:rPr>
          <w:rFonts w:ascii="Times New Roman" w:hAnsi="Times New Roman" w:cs="Times New Roman"/>
          <w:szCs w:val="24"/>
        </w:rPr>
        <w:tab/>
      </w:r>
      <w:r w:rsidR="00801A36">
        <w:rPr>
          <w:rFonts w:ascii="Times New Roman" w:hAnsi="Times New Roman" w:cs="Times New Roman"/>
          <w:szCs w:val="24"/>
        </w:rPr>
        <w:tab/>
      </w:r>
      <w:r w:rsidR="00801A36">
        <w:rPr>
          <w:rFonts w:ascii="Times New Roman" w:hAnsi="Times New Roman" w:cs="Times New Roman"/>
          <w:szCs w:val="24"/>
        </w:rPr>
        <w:tab/>
      </w:r>
      <w:r w:rsidR="00801A36">
        <w:rPr>
          <w:rFonts w:ascii="Times New Roman" w:hAnsi="Times New Roman" w:cs="Times New Roman"/>
          <w:szCs w:val="24"/>
        </w:rPr>
        <w:tab/>
      </w:r>
      <w:r w:rsidR="00801A36" w:rsidRPr="00801A36">
        <w:rPr>
          <w:rFonts w:ascii="Times New Roman" w:hAnsi="Times New Roman" w:cs="Times New Roman"/>
          <w:i/>
          <w:iCs/>
          <w:szCs w:val="24"/>
        </w:rPr>
        <w:t>(Rs. In lakhs)</w:t>
      </w:r>
    </w:p>
    <w:tbl>
      <w:tblPr>
        <w:tblW w:w="9027" w:type="dxa"/>
        <w:tblLook w:val="04A0" w:firstRow="1" w:lastRow="0" w:firstColumn="1" w:lastColumn="0" w:noHBand="0" w:noVBand="1"/>
      </w:tblPr>
      <w:tblGrid>
        <w:gridCol w:w="846"/>
        <w:gridCol w:w="1960"/>
        <w:gridCol w:w="1527"/>
        <w:gridCol w:w="1528"/>
        <w:gridCol w:w="1731"/>
        <w:gridCol w:w="1435"/>
      </w:tblGrid>
      <w:tr w:rsidR="00F55740" w:rsidRPr="00F55740" w14:paraId="59BFF717" w14:textId="77777777" w:rsidTr="00F55740">
        <w:trPr>
          <w:trHeight w:val="20"/>
        </w:trPr>
        <w:tc>
          <w:tcPr>
            <w:tcW w:w="846" w:type="dxa"/>
            <w:tcBorders>
              <w:top w:val="single" w:sz="4" w:space="0" w:color="auto"/>
              <w:left w:val="single" w:sz="4" w:space="0" w:color="auto"/>
              <w:bottom w:val="single" w:sz="4" w:space="0" w:color="auto"/>
              <w:right w:val="single" w:sz="4" w:space="0" w:color="auto"/>
            </w:tcBorders>
            <w:vAlign w:val="center"/>
            <w:hideMark/>
          </w:tcPr>
          <w:p w14:paraId="59C72BCB" w14:textId="77777777" w:rsidR="00F55740" w:rsidRPr="00F55740" w:rsidRDefault="00F55740" w:rsidP="00F55740">
            <w:pPr>
              <w:spacing w:after="0" w:line="240" w:lineRule="auto"/>
              <w:jc w:val="center"/>
              <w:rPr>
                <w:rFonts w:ascii="Times New Roman" w:eastAsia="Times New Roman" w:hAnsi="Times New Roman" w:cs="Times New Roman"/>
                <w:b/>
                <w:bCs/>
                <w:color w:val="000000"/>
                <w:kern w:val="0"/>
                <w:szCs w:val="24"/>
                <w:lang w:eastAsia="en-IN"/>
                <w14:ligatures w14:val="none"/>
              </w:rPr>
            </w:pPr>
            <w:r w:rsidRPr="00F55740">
              <w:rPr>
                <w:rFonts w:ascii="Times New Roman" w:eastAsia="Times New Roman" w:hAnsi="Times New Roman" w:cs="Times New Roman"/>
                <w:b/>
                <w:bCs/>
                <w:color w:val="000000"/>
                <w:kern w:val="0"/>
                <w:szCs w:val="24"/>
                <w:lang w:eastAsia="en-IN"/>
                <w14:ligatures w14:val="none"/>
              </w:rPr>
              <w:t>S. No.</w:t>
            </w:r>
          </w:p>
        </w:tc>
        <w:tc>
          <w:tcPr>
            <w:tcW w:w="1960" w:type="dxa"/>
            <w:tcBorders>
              <w:top w:val="single" w:sz="4" w:space="0" w:color="auto"/>
              <w:left w:val="nil"/>
              <w:bottom w:val="single" w:sz="4" w:space="0" w:color="auto"/>
              <w:right w:val="single" w:sz="4" w:space="0" w:color="auto"/>
            </w:tcBorders>
            <w:vAlign w:val="center"/>
            <w:hideMark/>
          </w:tcPr>
          <w:p w14:paraId="48E7E08A" w14:textId="77777777" w:rsidR="00F55740" w:rsidRPr="00F55740" w:rsidRDefault="00F55740" w:rsidP="00F55740">
            <w:pPr>
              <w:spacing w:after="0" w:line="240" w:lineRule="auto"/>
              <w:jc w:val="center"/>
              <w:rPr>
                <w:rFonts w:ascii="Times New Roman" w:eastAsia="Times New Roman" w:hAnsi="Times New Roman" w:cs="Times New Roman"/>
                <w:b/>
                <w:bCs/>
                <w:color w:val="000000"/>
                <w:kern w:val="0"/>
                <w:szCs w:val="24"/>
                <w:lang w:eastAsia="en-IN"/>
                <w14:ligatures w14:val="none"/>
              </w:rPr>
            </w:pPr>
            <w:r w:rsidRPr="00F55740">
              <w:rPr>
                <w:rFonts w:ascii="Times New Roman" w:eastAsia="Times New Roman" w:hAnsi="Times New Roman" w:cs="Times New Roman"/>
                <w:b/>
                <w:bCs/>
                <w:color w:val="000000"/>
                <w:kern w:val="0"/>
                <w:szCs w:val="24"/>
                <w:lang w:eastAsia="en-IN"/>
                <w14:ligatures w14:val="none"/>
              </w:rPr>
              <w:t>Railway Zones</w:t>
            </w:r>
          </w:p>
        </w:tc>
        <w:tc>
          <w:tcPr>
            <w:tcW w:w="1527" w:type="dxa"/>
            <w:tcBorders>
              <w:top w:val="single" w:sz="4" w:space="0" w:color="auto"/>
              <w:left w:val="nil"/>
              <w:bottom w:val="single" w:sz="4" w:space="0" w:color="auto"/>
              <w:right w:val="single" w:sz="4" w:space="0" w:color="auto"/>
            </w:tcBorders>
            <w:vAlign w:val="center"/>
            <w:hideMark/>
          </w:tcPr>
          <w:p w14:paraId="029DE727" w14:textId="77777777" w:rsidR="00F55740" w:rsidRPr="00F55740" w:rsidRDefault="00F55740" w:rsidP="00F55740">
            <w:pPr>
              <w:spacing w:after="0" w:line="240" w:lineRule="auto"/>
              <w:jc w:val="center"/>
              <w:rPr>
                <w:rFonts w:ascii="Times New Roman" w:eastAsia="Times New Roman" w:hAnsi="Times New Roman" w:cs="Times New Roman"/>
                <w:b/>
                <w:bCs/>
                <w:color w:val="000000"/>
                <w:kern w:val="0"/>
                <w:szCs w:val="24"/>
                <w:lang w:eastAsia="en-IN"/>
                <w14:ligatures w14:val="none"/>
              </w:rPr>
            </w:pPr>
            <w:r w:rsidRPr="00F55740">
              <w:rPr>
                <w:rFonts w:ascii="Times New Roman" w:eastAsia="Times New Roman" w:hAnsi="Times New Roman" w:cs="Times New Roman"/>
                <w:b/>
                <w:bCs/>
                <w:color w:val="000000"/>
                <w:kern w:val="0"/>
                <w:szCs w:val="24"/>
                <w:lang w:eastAsia="en-IN"/>
                <w14:ligatures w14:val="none"/>
              </w:rPr>
              <w:t>Broad Gauge</w:t>
            </w:r>
          </w:p>
        </w:tc>
        <w:tc>
          <w:tcPr>
            <w:tcW w:w="1528" w:type="dxa"/>
            <w:tcBorders>
              <w:top w:val="single" w:sz="4" w:space="0" w:color="auto"/>
              <w:left w:val="nil"/>
              <w:bottom w:val="single" w:sz="4" w:space="0" w:color="auto"/>
              <w:right w:val="single" w:sz="4" w:space="0" w:color="auto"/>
            </w:tcBorders>
            <w:vAlign w:val="center"/>
            <w:hideMark/>
          </w:tcPr>
          <w:p w14:paraId="7EB96E8C" w14:textId="77777777" w:rsidR="00F55740" w:rsidRPr="00F55740" w:rsidRDefault="00F55740" w:rsidP="00F55740">
            <w:pPr>
              <w:spacing w:after="0" w:line="240" w:lineRule="auto"/>
              <w:jc w:val="center"/>
              <w:rPr>
                <w:rFonts w:ascii="Times New Roman" w:eastAsia="Times New Roman" w:hAnsi="Times New Roman" w:cs="Times New Roman"/>
                <w:b/>
                <w:bCs/>
                <w:color w:val="000000"/>
                <w:kern w:val="0"/>
                <w:szCs w:val="24"/>
                <w:lang w:eastAsia="en-IN"/>
                <w14:ligatures w14:val="none"/>
              </w:rPr>
            </w:pPr>
            <w:r w:rsidRPr="00F55740">
              <w:rPr>
                <w:rFonts w:ascii="Times New Roman" w:eastAsia="Times New Roman" w:hAnsi="Times New Roman" w:cs="Times New Roman"/>
                <w:b/>
                <w:bCs/>
                <w:color w:val="000000"/>
                <w:kern w:val="0"/>
                <w:szCs w:val="24"/>
                <w:lang w:eastAsia="en-IN"/>
                <w14:ligatures w14:val="none"/>
              </w:rPr>
              <w:t>Metre Gauge</w:t>
            </w:r>
          </w:p>
        </w:tc>
        <w:tc>
          <w:tcPr>
            <w:tcW w:w="1731" w:type="dxa"/>
            <w:tcBorders>
              <w:top w:val="single" w:sz="4" w:space="0" w:color="auto"/>
              <w:left w:val="nil"/>
              <w:bottom w:val="single" w:sz="4" w:space="0" w:color="auto"/>
              <w:right w:val="single" w:sz="4" w:space="0" w:color="auto"/>
            </w:tcBorders>
            <w:vAlign w:val="center"/>
            <w:hideMark/>
          </w:tcPr>
          <w:p w14:paraId="2AD2F796" w14:textId="77777777" w:rsidR="00F55740" w:rsidRPr="00F55740" w:rsidRDefault="00F55740" w:rsidP="00F55740">
            <w:pPr>
              <w:spacing w:after="0" w:line="240" w:lineRule="auto"/>
              <w:jc w:val="center"/>
              <w:rPr>
                <w:rFonts w:ascii="Times New Roman" w:eastAsia="Times New Roman" w:hAnsi="Times New Roman" w:cs="Times New Roman"/>
                <w:b/>
                <w:bCs/>
                <w:color w:val="000000"/>
                <w:kern w:val="0"/>
                <w:szCs w:val="24"/>
                <w:lang w:eastAsia="en-IN"/>
                <w14:ligatures w14:val="none"/>
              </w:rPr>
            </w:pPr>
            <w:r w:rsidRPr="00F55740">
              <w:rPr>
                <w:rFonts w:ascii="Times New Roman" w:eastAsia="Times New Roman" w:hAnsi="Times New Roman" w:cs="Times New Roman"/>
                <w:b/>
                <w:bCs/>
                <w:color w:val="000000"/>
                <w:kern w:val="0"/>
                <w:szCs w:val="24"/>
                <w:lang w:eastAsia="en-IN"/>
                <w14:ligatures w14:val="none"/>
              </w:rPr>
              <w:t>Narrow Gauge</w:t>
            </w:r>
          </w:p>
        </w:tc>
        <w:tc>
          <w:tcPr>
            <w:tcW w:w="1435" w:type="dxa"/>
            <w:tcBorders>
              <w:top w:val="single" w:sz="4" w:space="0" w:color="auto"/>
              <w:left w:val="nil"/>
              <w:bottom w:val="single" w:sz="4" w:space="0" w:color="auto"/>
              <w:right w:val="single" w:sz="4" w:space="0" w:color="auto"/>
            </w:tcBorders>
            <w:vAlign w:val="center"/>
            <w:hideMark/>
          </w:tcPr>
          <w:p w14:paraId="7A70F04F" w14:textId="77777777" w:rsidR="00F55740" w:rsidRPr="00F55740" w:rsidRDefault="00F55740" w:rsidP="00F55740">
            <w:pPr>
              <w:spacing w:after="0" w:line="240" w:lineRule="auto"/>
              <w:jc w:val="center"/>
              <w:rPr>
                <w:rFonts w:ascii="Times New Roman" w:eastAsia="Times New Roman" w:hAnsi="Times New Roman" w:cs="Times New Roman"/>
                <w:b/>
                <w:bCs/>
                <w:color w:val="000000"/>
                <w:kern w:val="0"/>
                <w:szCs w:val="24"/>
                <w:lang w:eastAsia="en-IN"/>
                <w14:ligatures w14:val="none"/>
              </w:rPr>
            </w:pPr>
            <w:r w:rsidRPr="00F55740">
              <w:rPr>
                <w:rFonts w:ascii="Times New Roman" w:eastAsia="Times New Roman" w:hAnsi="Times New Roman" w:cs="Times New Roman"/>
                <w:b/>
                <w:bCs/>
                <w:color w:val="000000"/>
                <w:kern w:val="0"/>
                <w:szCs w:val="24"/>
                <w:lang w:eastAsia="en-IN"/>
                <w14:ligatures w14:val="none"/>
              </w:rPr>
              <w:t>Total</w:t>
            </w:r>
          </w:p>
        </w:tc>
      </w:tr>
      <w:tr w:rsidR="00F55740" w:rsidRPr="00F55740" w14:paraId="0D668095" w14:textId="77777777" w:rsidTr="00F55740">
        <w:trPr>
          <w:trHeight w:val="20"/>
        </w:trPr>
        <w:tc>
          <w:tcPr>
            <w:tcW w:w="846" w:type="dxa"/>
            <w:tcBorders>
              <w:top w:val="nil"/>
              <w:left w:val="single" w:sz="4" w:space="0" w:color="auto"/>
              <w:bottom w:val="single" w:sz="4" w:space="0" w:color="auto"/>
              <w:right w:val="single" w:sz="4" w:space="0" w:color="auto"/>
            </w:tcBorders>
            <w:vAlign w:val="center"/>
            <w:hideMark/>
          </w:tcPr>
          <w:p w14:paraId="347718E1" w14:textId="77777777" w:rsidR="00F55740" w:rsidRPr="00F55740" w:rsidRDefault="00F55740" w:rsidP="00F55740">
            <w:pPr>
              <w:spacing w:after="0" w:line="240" w:lineRule="auto"/>
              <w:jc w:val="center"/>
              <w:rPr>
                <w:rFonts w:ascii="Times New Roman" w:eastAsia="Times New Roman" w:hAnsi="Times New Roman" w:cs="Times New Roman"/>
                <w:b/>
                <w:bCs/>
                <w:color w:val="000000"/>
                <w:kern w:val="0"/>
                <w:szCs w:val="24"/>
                <w:lang w:eastAsia="en-IN"/>
                <w14:ligatures w14:val="none"/>
              </w:rPr>
            </w:pPr>
            <w:r w:rsidRPr="00F55740">
              <w:rPr>
                <w:rFonts w:ascii="Times New Roman" w:eastAsia="Times New Roman" w:hAnsi="Times New Roman" w:cs="Times New Roman"/>
                <w:b/>
                <w:bCs/>
                <w:color w:val="000000"/>
                <w:kern w:val="0"/>
                <w:szCs w:val="24"/>
                <w:lang w:eastAsia="en-IN"/>
                <w14:ligatures w14:val="none"/>
              </w:rPr>
              <w:t>1</w:t>
            </w:r>
          </w:p>
        </w:tc>
        <w:tc>
          <w:tcPr>
            <w:tcW w:w="1960" w:type="dxa"/>
            <w:tcBorders>
              <w:top w:val="nil"/>
              <w:left w:val="nil"/>
              <w:bottom w:val="single" w:sz="4" w:space="0" w:color="auto"/>
              <w:right w:val="single" w:sz="4" w:space="0" w:color="auto"/>
            </w:tcBorders>
            <w:vAlign w:val="center"/>
            <w:hideMark/>
          </w:tcPr>
          <w:p w14:paraId="58023C50" w14:textId="77777777" w:rsidR="00F55740" w:rsidRPr="00F55740" w:rsidRDefault="00F55740" w:rsidP="00F55740">
            <w:pPr>
              <w:spacing w:after="0" w:line="240" w:lineRule="auto"/>
              <w:jc w:val="center"/>
              <w:rPr>
                <w:rFonts w:ascii="Times New Roman" w:eastAsia="Times New Roman" w:hAnsi="Times New Roman" w:cs="Times New Roman"/>
                <w:b/>
                <w:bCs/>
                <w:color w:val="000000"/>
                <w:kern w:val="0"/>
                <w:szCs w:val="24"/>
                <w:lang w:eastAsia="en-IN"/>
                <w14:ligatures w14:val="none"/>
              </w:rPr>
            </w:pPr>
            <w:r w:rsidRPr="00F55740">
              <w:rPr>
                <w:rFonts w:ascii="Times New Roman" w:eastAsia="Times New Roman" w:hAnsi="Times New Roman" w:cs="Times New Roman"/>
                <w:b/>
                <w:bCs/>
                <w:color w:val="000000"/>
                <w:kern w:val="0"/>
                <w:szCs w:val="24"/>
                <w:lang w:eastAsia="en-IN"/>
                <w14:ligatures w14:val="none"/>
              </w:rPr>
              <w:t>2</w:t>
            </w:r>
          </w:p>
        </w:tc>
        <w:tc>
          <w:tcPr>
            <w:tcW w:w="1527" w:type="dxa"/>
            <w:tcBorders>
              <w:top w:val="nil"/>
              <w:left w:val="nil"/>
              <w:bottom w:val="single" w:sz="4" w:space="0" w:color="auto"/>
              <w:right w:val="single" w:sz="4" w:space="0" w:color="auto"/>
            </w:tcBorders>
            <w:vAlign w:val="center"/>
            <w:hideMark/>
          </w:tcPr>
          <w:p w14:paraId="68D0BB53" w14:textId="77777777" w:rsidR="00F55740" w:rsidRPr="00F55740" w:rsidRDefault="00F55740" w:rsidP="00F55740">
            <w:pPr>
              <w:spacing w:after="0" w:line="240" w:lineRule="auto"/>
              <w:jc w:val="center"/>
              <w:rPr>
                <w:rFonts w:ascii="Times New Roman" w:eastAsia="Times New Roman" w:hAnsi="Times New Roman" w:cs="Times New Roman"/>
                <w:b/>
                <w:bCs/>
                <w:color w:val="000000"/>
                <w:kern w:val="0"/>
                <w:szCs w:val="24"/>
                <w:lang w:eastAsia="en-IN"/>
                <w14:ligatures w14:val="none"/>
              </w:rPr>
            </w:pPr>
            <w:r w:rsidRPr="00F55740">
              <w:rPr>
                <w:rFonts w:ascii="Times New Roman" w:eastAsia="Times New Roman" w:hAnsi="Times New Roman" w:cs="Times New Roman"/>
                <w:b/>
                <w:bCs/>
                <w:color w:val="000000"/>
                <w:kern w:val="0"/>
                <w:szCs w:val="24"/>
                <w:lang w:eastAsia="en-IN"/>
                <w14:ligatures w14:val="none"/>
              </w:rPr>
              <w:t>3</w:t>
            </w:r>
          </w:p>
        </w:tc>
        <w:tc>
          <w:tcPr>
            <w:tcW w:w="1528" w:type="dxa"/>
            <w:tcBorders>
              <w:top w:val="nil"/>
              <w:left w:val="nil"/>
              <w:bottom w:val="single" w:sz="4" w:space="0" w:color="auto"/>
              <w:right w:val="single" w:sz="4" w:space="0" w:color="auto"/>
            </w:tcBorders>
            <w:vAlign w:val="center"/>
            <w:hideMark/>
          </w:tcPr>
          <w:p w14:paraId="2AAF5F6E" w14:textId="77777777" w:rsidR="00F55740" w:rsidRPr="00F55740" w:rsidRDefault="00F55740" w:rsidP="00F55740">
            <w:pPr>
              <w:spacing w:after="0" w:line="240" w:lineRule="auto"/>
              <w:jc w:val="center"/>
              <w:rPr>
                <w:rFonts w:ascii="Times New Roman" w:eastAsia="Times New Roman" w:hAnsi="Times New Roman" w:cs="Times New Roman"/>
                <w:b/>
                <w:bCs/>
                <w:color w:val="000000"/>
                <w:kern w:val="0"/>
                <w:szCs w:val="24"/>
                <w:lang w:eastAsia="en-IN"/>
                <w14:ligatures w14:val="none"/>
              </w:rPr>
            </w:pPr>
            <w:r w:rsidRPr="00F55740">
              <w:rPr>
                <w:rFonts w:ascii="Times New Roman" w:eastAsia="Times New Roman" w:hAnsi="Times New Roman" w:cs="Times New Roman"/>
                <w:b/>
                <w:bCs/>
                <w:color w:val="000000"/>
                <w:kern w:val="0"/>
                <w:szCs w:val="24"/>
                <w:lang w:eastAsia="en-IN"/>
                <w14:ligatures w14:val="none"/>
              </w:rPr>
              <w:t>4</w:t>
            </w:r>
          </w:p>
        </w:tc>
        <w:tc>
          <w:tcPr>
            <w:tcW w:w="1731" w:type="dxa"/>
            <w:tcBorders>
              <w:top w:val="nil"/>
              <w:left w:val="nil"/>
              <w:bottom w:val="single" w:sz="4" w:space="0" w:color="auto"/>
              <w:right w:val="single" w:sz="4" w:space="0" w:color="auto"/>
            </w:tcBorders>
            <w:vAlign w:val="center"/>
            <w:hideMark/>
          </w:tcPr>
          <w:p w14:paraId="24ECD79A" w14:textId="77777777" w:rsidR="00F55740" w:rsidRPr="00F55740" w:rsidRDefault="00F55740" w:rsidP="00F55740">
            <w:pPr>
              <w:spacing w:after="0" w:line="240" w:lineRule="auto"/>
              <w:jc w:val="center"/>
              <w:rPr>
                <w:rFonts w:ascii="Times New Roman" w:eastAsia="Times New Roman" w:hAnsi="Times New Roman" w:cs="Times New Roman"/>
                <w:b/>
                <w:bCs/>
                <w:color w:val="000000"/>
                <w:kern w:val="0"/>
                <w:szCs w:val="24"/>
                <w:lang w:eastAsia="en-IN"/>
                <w14:ligatures w14:val="none"/>
              </w:rPr>
            </w:pPr>
            <w:r w:rsidRPr="00F55740">
              <w:rPr>
                <w:rFonts w:ascii="Times New Roman" w:eastAsia="Times New Roman" w:hAnsi="Times New Roman" w:cs="Times New Roman"/>
                <w:b/>
                <w:bCs/>
                <w:color w:val="000000"/>
                <w:kern w:val="0"/>
                <w:szCs w:val="24"/>
                <w:lang w:eastAsia="en-IN"/>
                <w14:ligatures w14:val="none"/>
              </w:rPr>
              <w:t>5</w:t>
            </w:r>
          </w:p>
        </w:tc>
        <w:tc>
          <w:tcPr>
            <w:tcW w:w="1435" w:type="dxa"/>
            <w:tcBorders>
              <w:top w:val="nil"/>
              <w:left w:val="nil"/>
              <w:bottom w:val="single" w:sz="4" w:space="0" w:color="auto"/>
              <w:right w:val="single" w:sz="4" w:space="0" w:color="auto"/>
            </w:tcBorders>
            <w:vAlign w:val="center"/>
            <w:hideMark/>
          </w:tcPr>
          <w:p w14:paraId="2D180437" w14:textId="77777777" w:rsidR="00F55740" w:rsidRPr="00F55740" w:rsidRDefault="00F55740" w:rsidP="00F55740">
            <w:pPr>
              <w:spacing w:after="0" w:line="240" w:lineRule="auto"/>
              <w:jc w:val="center"/>
              <w:rPr>
                <w:rFonts w:ascii="Times New Roman" w:eastAsia="Times New Roman" w:hAnsi="Times New Roman" w:cs="Times New Roman"/>
                <w:b/>
                <w:bCs/>
                <w:color w:val="000000"/>
                <w:kern w:val="0"/>
                <w:szCs w:val="24"/>
                <w:lang w:eastAsia="en-IN"/>
                <w14:ligatures w14:val="none"/>
              </w:rPr>
            </w:pPr>
            <w:r w:rsidRPr="00F55740">
              <w:rPr>
                <w:rFonts w:ascii="Times New Roman" w:eastAsia="Times New Roman" w:hAnsi="Times New Roman" w:cs="Times New Roman"/>
                <w:b/>
                <w:bCs/>
                <w:color w:val="000000"/>
                <w:kern w:val="0"/>
                <w:szCs w:val="24"/>
                <w:lang w:eastAsia="en-IN"/>
                <w14:ligatures w14:val="none"/>
              </w:rPr>
              <w:t>6</w:t>
            </w:r>
          </w:p>
        </w:tc>
      </w:tr>
      <w:tr w:rsidR="00F55740" w:rsidRPr="00F55740" w14:paraId="2850212C" w14:textId="77777777" w:rsidTr="00F55740">
        <w:trPr>
          <w:trHeight w:val="20"/>
        </w:trPr>
        <w:tc>
          <w:tcPr>
            <w:tcW w:w="846" w:type="dxa"/>
            <w:tcBorders>
              <w:top w:val="nil"/>
              <w:left w:val="single" w:sz="4" w:space="0" w:color="auto"/>
              <w:bottom w:val="single" w:sz="4" w:space="0" w:color="auto"/>
              <w:right w:val="single" w:sz="4" w:space="0" w:color="auto"/>
            </w:tcBorders>
            <w:vAlign w:val="center"/>
            <w:hideMark/>
          </w:tcPr>
          <w:p w14:paraId="305F9C5C" w14:textId="77777777" w:rsidR="00F55740" w:rsidRPr="00F55740" w:rsidRDefault="00F55740" w:rsidP="00F55740">
            <w:pPr>
              <w:spacing w:after="0" w:line="240" w:lineRule="auto"/>
              <w:jc w:val="right"/>
              <w:rPr>
                <w:rFonts w:ascii="Times New Roman" w:eastAsia="Times New Roman" w:hAnsi="Times New Roman" w:cs="Times New Roman"/>
                <w:color w:val="000000"/>
                <w:kern w:val="0"/>
                <w:szCs w:val="24"/>
                <w:lang w:eastAsia="en-IN"/>
                <w14:ligatures w14:val="none"/>
              </w:rPr>
            </w:pPr>
            <w:r w:rsidRPr="00F55740">
              <w:rPr>
                <w:rFonts w:ascii="Times New Roman" w:eastAsia="Times New Roman" w:hAnsi="Times New Roman" w:cs="Times New Roman"/>
                <w:color w:val="000000"/>
                <w:kern w:val="0"/>
                <w:szCs w:val="24"/>
                <w:lang w:eastAsia="en-IN"/>
                <w14:ligatures w14:val="none"/>
              </w:rPr>
              <w:t>1</w:t>
            </w:r>
          </w:p>
        </w:tc>
        <w:tc>
          <w:tcPr>
            <w:tcW w:w="1960" w:type="dxa"/>
            <w:tcBorders>
              <w:top w:val="nil"/>
              <w:left w:val="nil"/>
              <w:bottom w:val="single" w:sz="4" w:space="0" w:color="auto"/>
              <w:right w:val="single" w:sz="4" w:space="0" w:color="auto"/>
            </w:tcBorders>
            <w:vAlign w:val="center"/>
            <w:hideMark/>
          </w:tcPr>
          <w:p w14:paraId="5EFE5328" w14:textId="77777777" w:rsidR="00F55740" w:rsidRPr="00F55740" w:rsidRDefault="00F55740" w:rsidP="00F55740">
            <w:pPr>
              <w:spacing w:after="0" w:line="240" w:lineRule="auto"/>
              <w:rPr>
                <w:rFonts w:ascii="Times New Roman" w:eastAsia="Times New Roman" w:hAnsi="Times New Roman" w:cs="Times New Roman"/>
                <w:color w:val="000000"/>
                <w:kern w:val="0"/>
                <w:szCs w:val="24"/>
                <w:lang w:eastAsia="en-IN"/>
                <w14:ligatures w14:val="none"/>
              </w:rPr>
            </w:pPr>
            <w:r w:rsidRPr="00F55740">
              <w:rPr>
                <w:rFonts w:ascii="Times New Roman" w:eastAsia="Times New Roman" w:hAnsi="Times New Roman" w:cs="Times New Roman"/>
                <w:color w:val="000000"/>
                <w:kern w:val="0"/>
                <w:szCs w:val="24"/>
                <w:lang w:eastAsia="en-IN"/>
                <w14:ligatures w14:val="none"/>
              </w:rPr>
              <w:t>Central</w:t>
            </w:r>
          </w:p>
        </w:tc>
        <w:tc>
          <w:tcPr>
            <w:tcW w:w="1527" w:type="dxa"/>
            <w:tcBorders>
              <w:top w:val="nil"/>
              <w:left w:val="nil"/>
              <w:bottom w:val="single" w:sz="4" w:space="0" w:color="auto"/>
              <w:right w:val="single" w:sz="4" w:space="0" w:color="auto"/>
            </w:tcBorders>
            <w:vAlign w:val="center"/>
            <w:hideMark/>
          </w:tcPr>
          <w:p w14:paraId="5DC90849" w14:textId="02C8ACE6" w:rsidR="00F55740" w:rsidRPr="00F55740" w:rsidRDefault="00F55740" w:rsidP="00F55740">
            <w:pPr>
              <w:spacing w:after="0" w:line="240" w:lineRule="auto"/>
              <w:jc w:val="center"/>
              <w:rPr>
                <w:rFonts w:ascii="Times New Roman" w:eastAsia="Times New Roman" w:hAnsi="Times New Roman" w:cs="Times New Roman"/>
                <w:color w:val="000000"/>
                <w:kern w:val="0"/>
                <w:szCs w:val="24"/>
                <w:lang w:eastAsia="en-IN"/>
                <w14:ligatures w14:val="none"/>
              </w:rPr>
            </w:pPr>
          </w:p>
        </w:tc>
        <w:tc>
          <w:tcPr>
            <w:tcW w:w="1528" w:type="dxa"/>
            <w:tcBorders>
              <w:top w:val="nil"/>
              <w:left w:val="nil"/>
              <w:bottom w:val="single" w:sz="4" w:space="0" w:color="auto"/>
              <w:right w:val="single" w:sz="4" w:space="0" w:color="auto"/>
            </w:tcBorders>
            <w:vAlign w:val="center"/>
            <w:hideMark/>
          </w:tcPr>
          <w:p w14:paraId="044FC1CC" w14:textId="679DA7C7" w:rsidR="00F55740" w:rsidRPr="00F55740" w:rsidRDefault="00F55740" w:rsidP="00F55740">
            <w:pPr>
              <w:spacing w:after="0" w:line="240" w:lineRule="auto"/>
              <w:jc w:val="center"/>
              <w:rPr>
                <w:rFonts w:ascii="Times New Roman" w:eastAsia="Times New Roman" w:hAnsi="Times New Roman" w:cs="Times New Roman"/>
                <w:color w:val="000000"/>
                <w:kern w:val="0"/>
                <w:szCs w:val="24"/>
                <w:lang w:eastAsia="en-IN"/>
                <w14:ligatures w14:val="none"/>
              </w:rPr>
            </w:pPr>
          </w:p>
        </w:tc>
        <w:tc>
          <w:tcPr>
            <w:tcW w:w="1731" w:type="dxa"/>
            <w:tcBorders>
              <w:top w:val="nil"/>
              <w:left w:val="nil"/>
              <w:bottom w:val="single" w:sz="4" w:space="0" w:color="auto"/>
              <w:right w:val="single" w:sz="4" w:space="0" w:color="auto"/>
            </w:tcBorders>
            <w:vAlign w:val="center"/>
            <w:hideMark/>
          </w:tcPr>
          <w:p w14:paraId="02CA6A75" w14:textId="263A6E4A" w:rsidR="00F55740" w:rsidRPr="00F55740" w:rsidRDefault="00F55740" w:rsidP="00F55740">
            <w:pPr>
              <w:spacing w:after="0" w:line="240" w:lineRule="auto"/>
              <w:jc w:val="center"/>
              <w:rPr>
                <w:rFonts w:ascii="Times New Roman" w:eastAsia="Times New Roman" w:hAnsi="Times New Roman" w:cs="Times New Roman"/>
                <w:color w:val="000000"/>
                <w:kern w:val="0"/>
                <w:szCs w:val="24"/>
                <w:lang w:eastAsia="en-IN"/>
                <w14:ligatures w14:val="none"/>
              </w:rPr>
            </w:pPr>
          </w:p>
        </w:tc>
        <w:tc>
          <w:tcPr>
            <w:tcW w:w="1435" w:type="dxa"/>
            <w:tcBorders>
              <w:top w:val="nil"/>
              <w:left w:val="nil"/>
              <w:bottom w:val="single" w:sz="4" w:space="0" w:color="auto"/>
              <w:right w:val="single" w:sz="4" w:space="0" w:color="auto"/>
            </w:tcBorders>
            <w:vAlign w:val="center"/>
            <w:hideMark/>
          </w:tcPr>
          <w:p w14:paraId="2A62B896" w14:textId="2AA5D411" w:rsidR="00F55740" w:rsidRPr="00F55740" w:rsidRDefault="00F55740" w:rsidP="00F55740">
            <w:pPr>
              <w:spacing w:after="0" w:line="240" w:lineRule="auto"/>
              <w:jc w:val="center"/>
              <w:rPr>
                <w:rFonts w:ascii="Times New Roman" w:eastAsia="Times New Roman" w:hAnsi="Times New Roman" w:cs="Times New Roman"/>
                <w:color w:val="000000"/>
                <w:kern w:val="0"/>
                <w:szCs w:val="24"/>
                <w:lang w:eastAsia="en-IN"/>
                <w14:ligatures w14:val="none"/>
              </w:rPr>
            </w:pPr>
          </w:p>
        </w:tc>
      </w:tr>
      <w:tr w:rsidR="00F55740" w:rsidRPr="00F55740" w14:paraId="1774D542" w14:textId="77777777" w:rsidTr="00F55740">
        <w:trPr>
          <w:trHeight w:val="20"/>
        </w:trPr>
        <w:tc>
          <w:tcPr>
            <w:tcW w:w="846" w:type="dxa"/>
            <w:tcBorders>
              <w:top w:val="nil"/>
              <w:left w:val="single" w:sz="4" w:space="0" w:color="auto"/>
              <w:bottom w:val="single" w:sz="4" w:space="0" w:color="auto"/>
              <w:right w:val="single" w:sz="4" w:space="0" w:color="auto"/>
            </w:tcBorders>
            <w:noWrap/>
            <w:vAlign w:val="bottom"/>
            <w:hideMark/>
          </w:tcPr>
          <w:p w14:paraId="251554D3" w14:textId="77777777" w:rsidR="00F55740" w:rsidRPr="00F55740" w:rsidRDefault="00F55740" w:rsidP="00F55740">
            <w:pPr>
              <w:spacing w:after="0" w:line="240" w:lineRule="auto"/>
              <w:rPr>
                <w:rFonts w:ascii="Aptos Narrow" w:eastAsia="Times New Roman" w:hAnsi="Aptos Narrow" w:cs="Times New Roman"/>
                <w:color w:val="000000"/>
                <w:kern w:val="0"/>
                <w:sz w:val="22"/>
                <w:szCs w:val="22"/>
                <w:lang w:eastAsia="en-IN"/>
                <w14:ligatures w14:val="none"/>
              </w:rPr>
            </w:pPr>
            <w:r w:rsidRPr="00F55740">
              <w:rPr>
                <w:rFonts w:ascii="Aptos Narrow" w:eastAsia="Times New Roman" w:hAnsi="Aptos Narrow" w:cs="Times New Roman"/>
                <w:color w:val="000000"/>
                <w:kern w:val="0"/>
                <w:sz w:val="22"/>
                <w:szCs w:val="22"/>
                <w:lang w:eastAsia="en-IN"/>
                <w14:ligatures w14:val="none"/>
              </w:rPr>
              <w:t> </w:t>
            </w:r>
          </w:p>
        </w:tc>
        <w:tc>
          <w:tcPr>
            <w:tcW w:w="1960" w:type="dxa"/>
            <w:tcBorders>
              <w:top w:val="nil"/>
              <w:left w:val="nil"/>
              <w:bottom w:val="single" w:sz="4" w:space="0" w:color="auto"/>
              <w:right w:val="single" w:sz="4" w:space="0" w:color="auto"/>
            </w:tcBorders>
            <w:vAlign w:val="center"/>
            <w:hideMark/>
          </w:tcPr>
          <w:p w14:paraId="3E63F333" w14:textId="77777777" w:rsidR="00F55740" w:rsidRPr="00F55740" w:rsidRDefault="00F55740" w:rsidP="00F55740">
            <w:pPr>
              <w:spacing w:after="0" w:line="240" w:lineRule="auto"/>
              <w:rPr>
                <w:rFonts w:ascii="Times New Roman" w:eastAsia="Times New Roman" w:hAnsi="Times New Roman" w:cs="Times New Roman"/>
                <w:color w:val="000000"/>
                <w:kern w:val="0"/>
                <w:szCs w:val="24"/>
                <w:lang w:eastAsia="en-IN"/>
                <w14:ligatures w14:val="none"/>
              </w:rPr>
            </w:pPr>
            <w:r w:rsidRPr="00F55740">
              <w:rPr>
                <w:rFonts w:ascii="Times New Roman" w:eastAsia="Times New Roman" w:hAnsi="Times New Roman" w:cs="Times New Roman"/>
                <w:color w:val="000000"/>
                <w:kern w:val="0"/>
                <w:szCs w:val="24"/>
                <w:lang w:eastAsia="en-IN"/>
                <w14:ligatures w14:val="none"/>
              </w:rPr>
              <w:t>1964-65</w:t>
            </w:r>
          </w:p>
        </w:tc>
        <w:tc>
          <w:tcPr>
            <w:tcW w:w="1527" w:type="dxa"/>
            <w:tcBorders>
              <w:top w:val="nil"/>
              <w:left w:val="nil"/>
              <w:bottom w:val="single" w:sz="4" w:space="0" w:color="auto"/>
              <w:right w:val="single" w:sz="4" w:space="0" w:color="auto"/>
            </w:tcBorders>
            <w:vAlign w:val="center"/>
            <w:hideMark/>
          </w:tcPr>
          <w:p w14:paraId="1B75CF7C" w14:textId="77777777" w:rsidR="00F55740" w:rsidRPr="00F55740" w:rsidRDefault="00F55740" w:rsidP="00F55740">
            <w:pPr>
              <w:spacing w:after="0" w:line="240" w:lineRule="auto"/>
              <w:jc w:val="center"/>
              <w:rPr>
                <w:rFonts w:ascii="Times New Roman" w:eastAsia="Times New Roman" w:hAnsi="Times New Roman" w:cs="Times New Roman"/>
                <w:color w:val="000000"/>
                <w:kern w:val="0"/>
                <w:szCs w:val="24"/>
                <w:lang w:eastAsia="en-IN"/>
                <w14:ligatures w14:val="none"/>
              </w:rPr>
            </w:pPr>
            <w:r w:rsidRPr="00F55740">
              <w:rPr>
                <w:rFonts w:ascii="Times New Roman" w:eastAsia="Times New Roman" w:hAnsi="Times New Roman" w:cs="Times New Roman"/>
                <w:color w:val="000000"/>
                <w:kern w:val="0"/>
                <w:szCs w:val="24"/>
                <w:lang w:eastAsia="en-IN"/>
                <w14:ligatures w14:val="none"/>
              </w:rPr>
              <w:t>3085</w:t>
            </w:r>
          </w:p>
        </w:tc>
        <w:tc>
          <w:tcPr>
            <w:tcW w:w="1528" w:type="dxa"/>
            <w:tcBorders>
              <w:top w:val="nil"/>
              <w:left w:val="nil"/>
              <w:bottom w:val="single" w:sz="4" w:space="0" w:color="auto"/>
              <w:right w:val="single" w:sz="4" w:space="0" w:color="auto"/>
            </w:tcBorders>
            <w:vAlign w:val="center"/>
            <w:hideMark/>
          </w:tcPr>
          <w:p w14:paraId="11A5875D" w14:textId="77777777" w:rsidR="00F55740" w:rsidRPr="00F55740" w:rsidRDefault="00F55740" w:rsidP="00F55740">
            <w:pPr>
              <w:spacing w:after="0" w:line="240" w:lineRule="auto"/>
              <w:jc w:val="center"/>
              <w:rPr>
                <w:rFonts w:ascii="Times New Roman" w:eastAsia="Times New Roman" w:hAnsi="Times New Roman" w:cs="Times New Roman"/>
                <w:color w:val="000000"/>
                <w:kern w:val="0"/>
                <w:szCs w:val="24"/>
                <w:lang w:eastAsia="en-IN"/>
                <w14:ligatures w14:val="none"/>
              </w:rPr>
            </w:pPr>
            <w:r w:rsidRPr="00F55740">
              <w:rPr>
                <w:rFonts w:ascii="Times New Roman" w:eastAsia="Times New Roman" w:hAnsi="Times New Roman" w:cs="Times New Roman"/>
                <w:color w:val="000000"/>
                <w:kern w:val="0"/>
                <w:szCs w:val="24"/>
                <w:lang w:eastAsia="en-IN"/>
                <w14:ligatures w14:val="none"/>
              </w:rPr>
              <w:t>240</w:t>
            </w:r>
          </w:p>
        </w:tc>
        <w:tc>
          <w:tcPr>
            <w:tcW w:w="1731" w:type="dxa"/>
            <w:tcBorders>
              <w:top w:val="nil"/>
              <w:left w:val="nil"/>
              <w:bottom w:val="single" w:sz="4" w:space="0" w:color="auto"/>
              <w:right w:val="single" w:sz="4" w:space="0" w:color="auto"/>
            </w:tcBorders>
            <w:vAlign w:val="center"/>
            <w:hideMark/>
          </w:tcPr>
          <w:p w14:paraId="1646C0EC" w14:textId="77777777" w:rsidR="00F55740" w:rsidRPr="00F55740" w:rsidRDefault="00F55740" w:rsidP="00F55740">
            <w:pPr>
              <w:spacing w:after="0" w:line="240" w:lineRule="auto"/>
              <w:jc w:val="center"/>
              <w:rPr>
                <w:rFonts w:ascii="Times New Roman" w:eastAsia="Times New Roman" w:hAnsi="Times New Roman" w:cs="Times New Roman"/>
                <w:color w:val="000000"/>
                <w:kern w:val="0"/>
                <w:szCs w:val="24"/>
                <w:lang w:eastAsia="en-IN"/>
                <w14:ligatures w14:val="none"/>
              </w:rPr>
            </w:pPr>
            <w:r w:rsidRPr="00F55740">
              <w:rPr>
                <w:rFonts w:ascii="Times New Roman" w:eastAsia="Times New Roman" w:hAnsi="Times New Roman" w:cs="Times New Roman"/>
                <w:color w:val="000000"/>
                <w:kern w:val="0"/>
                <w:szCs w:val="24"/>
                <w:lang w:eastAsia="en-IN"/>
                <w14:ligatures w14:val="none"/>
              </w:rPr>
              <w:t>93</w:t>
            </w:r>
          </w:p>
        </w:tc>
        <w:tc>
          <w:tcPr>
            <w:tcW w:w="1435" w:type="dxa"/>
            <w:tcBorders>
              <w:top w:val="nil"/>
              <w:left w:val="nil"/>
              <w:bottom w:val="single" w:sz="4" w:space="0" w:color="auto"/>
              <w:right w:val="single" w:sz="4" w:space="0" w:color="auto"/>
            </w:tcBorders>
            <w:vAlign w:val="center"/>
            <w:hideMark/>
          </w:tcPr>
          <w:p w14:paraId="3363D1D0" w14:textId="77777777" w:rsidR="00F55740" w:rsidRPr="00F55740" w:rsidRDefault="00F55740" w:rsidP="00F55740">
            <w:pPr>
              <w:spacing w:after="0" w:line="240" w:lineRule="auto"/>
              <w:jc w:val="center"/>
              <w:rPr>
                <w:rFonts w:ascii="Times New Roman" w:eastAsia="Times New Roman" w:hAnsi="Times New Roman" w:cs="Times New Roman"/>
                <w:color w:val="000000"/>
                <w:kern w:val="0"/>
                <w:szCs w:val="24"/>
                <w:lang w:eastAsia="en-IN"/>
                <w14:ligatures w14:val="none"/>
              </w:rPr>
            </w:pPr>
            <w:r w:rsidRPr="00F55740">
              <w:rPr>
                <w:rFonts w:ascii="Times New Roman" w:eastAsia="Times New Roman" w:hAnsi="Times New Roman" w:cs="Times New Roman"/>
                <w:color w:val="000000"/>
                <w:kern w:val="0"/>
                <w:szCs w:val="24"/>
                <w:lang w:eastAsia="en-IN"/>
                <w14:ligatures w14:val="none"/>
              </w:rPr>
              <w:t>3418</w:t>
            </w:r>
          </w:p>
        </w:tc>
      </w:tr>
      <w:tr w:rsidR="00F55740" w:rsidRPr="00F55740" w14:paraId="010415C6" w14:textId="77777777" w:rsidTr="00F55740">
        <w:trPr>
          <w:trHeight w:val="20"/>
        </w:trPr>
        <w:tc>
          <w:tcPr>
            <w:tcW w:w="846" w:type="dxa"/>
            <w:tcBorders>
              <w:top w:val="nil"/>
              <w:left w:val="single" w:sz="4" w:space="0" w:color="auto"/>
              <w:bottom w:val="single" w:sz="4" w:space="0" w:color="auto"/>
              <w:right w:val="single" w:sz="4" w:space="0" w:color="auto"/>
            </w:tcBorders>
            <w:hideMark/>
          </w:tcPr>
          <w:p w14:paraId="7825FD65" w14:textId="77777777" w:rsidR="00F55740" w:rsidRPr="00F55740" w:rsidRDefault="00F55740" w:rsidP="00F55740">
            <w:pPr>
              <w:spacing w:after="0" w:line="240" w:lineRule="auto"/>
              <w:rPr>
                <w:rFonts w:ascii="Aptos" w:eastAsia="Times New Roman" w:hAnsi="Aptos" w:cs="Times New Roman"/>
                <w:color w:val="000000"/>
                <w:kern w:val="0"/>
                <w:szCs w:val="24"/>
                <w:lang w:eastAsia="en-IN"/>
                <w14:ligatures w14:val="none"/>
              </w:rPr>
            </w:pPr>
            <w:r w:rsidRPr="00F55740">
              <w:rPr>
                <w:rFonts w:ascii="Aptos" w:eastAsia="Times New Roman" w:hAnsi="Aptos" w:cs="Times New Roman"/>
                <w:color w:val="000000"/>
                <w:kern w:val="0"/>
                <w:szCs w:val="24"/>
                <w:lang w:eastAsia="en-IN"/>
                <w14:ligatures w14:val="none"/>
              </w:rPr>
              <w:t> </w:t>
            </w:r>
          </w:p>
        </w:tc>
        <w:tc>
          <w:tcPr>
            <w:tcW w:w="1960" w:type="dxa"/>
            <w:tcBorders>
              <w:top w:val="nil"/>
              <w:left w:val="nil"/>
              <w:bottom w:val="single" w:sz="4" w:space="0" w:color="auto"/>
              <w:right w:val="single" w:sz="4" w:space="0" w:color="auto"/>
            </w:tcBorders>
            <w:vAlign w:val="center"/>
            <w:hideMark/>
          </w:tcPr>
          <w:p w14:paraId="64770346" w14:textId="77777777" w:rsidR="00F55740" w:rsidRPr="00F55740" w:rsidRDefault="00F55740" w:rsidP="00F55740">
            <w:pPr>
              <w:spacing w:after="0" w:line="240" w:lineRule="auto"/>
              <w:rPr>
                <w:rFonts w:ascii="Times New Roman" w:eastAsia="Times New Roman" w:hAnsi="Times New Roman" w:cs="Times New Roman"/>
                <w:color w:val="000000"/>
                <w:kern w:val="0"/>
                <w:szCs w:val="24"/>
                <w:lang w:eastAsia="en-IN"/>
                <w14:ligatures w14:val="none"/>
              </w:rPr>
            </w:pPr>
            <w:r w:rsidRPr="00F55740">
              <w:rPr>
                <w:rFonts w:ascii="Times New Roman" w:eastAsia="Times New Roman" w:hAnsi="Times New Roman" w:cs="Times New Roman"/>
                <w:color w:val="000000"/>
                <w:kern w:val="0"/>
                <w:szCs w:val="24"/>
                <w:lang w:eastAsia="en-IN"/>
                <w14:ligatures w14:val="none"/>
              </w:rPr>
              <w:t>1965-66</w:t>
            </w:r>
          </w:p>
        </w:tc>
        <w:tc>
          <w:tcPr>
            <w:tcW w:w="1527" w:type="dxa"/>
            <w:tcBorders>
              <w:top w:val="nil"/>
              <w:left w:val="nil"/>
              <w:bottom w:val="single" w:sz="4" w:space="0" w:color="auto"/>
              <w:right w:val="single" w:sz="4" w:space="0" w:color="auto"/>
            </w:tcBorders>
            <w:vAlign w:val="center"/>
            <w:hideMark/>
          </w:tcPr>
          <w:p w14:paraId="44C590BC" w14:textId="77777777" w:rsidR="00F55740" w:rsidRPr="00F55740" w:rsidRDefault="00F55740" w:rsidP="00F55740">
            <w:pPr>
              <w:spacing w:after="0" w:line="240" w:lineRule="auto"/>
              <w:jc w:val="center"/>
              <w:rPr>
                <w:rFonts w:ascii="Times New Roman" w:eastAsia="Times New Roman" w:hAnsi="Times New Roman" w:cs="Times New Roman"/>
                <w:color w:val="000000"/>
                <w:kern w:val="0"/>
                <w:szCs w:val="24"/>
                <w:lang w:eastAsia="en-IN"/>
                <w14:ligatures w14:val="none"/>
              </w:rPr>
            </w:pPr>
            <w:r w:rsidRPr="00F55740">
              <w:rPr>
                <w:rFonts w:ascii="Times New Roman" w:eastAsia="Times New Roman" w:hAnsi="Times New Roman" w:cs="Times New Roman"/>
                <w:color w:val="000000"/>
                <w:kern w:val="0"/>
                <w:szCs w:val="24"/>
                <w:lang w:eastAsia="en-IN"/>
                <w14:ligatures w14:val="none"/>
              </w:rPr>
              <w:t>3367</w:t>
            </w:r>
          </w:p>
        </w:tc>
        <w:tc>
          <w:tcPr>
            <w:tcW w:w="1528" w:type="dxa"/>
            <w:tcBorders>
              <w:top w:val="nil"/>
              <w:left w:val="nil"/>
              <w:bottom w:val="single" w:sz="4" w:space="0" w:color="auto"/>
              <w:right w:val="single" w:sz="4" w:space="0" w:color="auto"/>
            </w:tcBorders>
            <w:vAlign w:val="center"/>
            <w:hideMark/>
          </w:tcPr>
          <w:p w14:paraId="6A4E633F" w14:textId="77777777" w:rsidR="00F55740" w:rsidRPr="00F55740" w:rsidRDefault="00F55740" w:rsidP="00F55740">
            <w:pPr>
              <w:spacing w:after="0" w:line="240" w:lineRule="auto"/>
              <w:jc w:val="center"/>
              <w:rPr>
                <w:rFonts w:ascii="Times New Roman" w:eastAsia="Times New Roman" w:hAnsi="Times New Roman" w:cs="Times New Roman"/>
                <w:color w:val="000000"/>
                <w:kern w:val="0"/>
                <w:szCs w:val="24"/>
                <w:lang w:eastAsia="en-IN"/>
                <w14:ligatures w14:val="none"/>
              </w:rPr>
            </w:pPr>
            <w:r w:rsidRPr="00F55740">
              <w:rPr>
                <w:rFonts w:ascii="Times New Roman" w:eastAsia="Times New Roman" w:hAnsi="Times New Roman" w:cs="Times New Roman"/>
                <w:color w:val="000000"/>
                <w:kern w:val="0"/>
                <w:szCs w:val="24"/>
                <w:lang w:eastAsia="en-IN"/>
                <w14:ligatures w14:val="none"/>
              </w:rPr>
              <w:t>266</w:t>
            </w:r>
          </w:p>
        </w:tc>
        <w:tc>
          <w:tcPr>
            <w:tcW w:w="1731" w:type="dxa"/>
            <w:tcBorders>
              <w:top w:val="nil"/>
              <w:left w:val="nil"/>
              <w:bottom w:val="single" w:sz="4" w:space="0" w:color="auto"/>
              <w:right w:val="single" w:sz="4" w:space="0" w:color="auto"/>
            </w:tcBorders>
            <w:vAlign w:val="center"/>
            <w:hideMark/>
          </w:tcPr>
          <w:p w14:paraId="5C4257C1" w14:textId="77777777" w:rsidR="00F55740" w:rsidRPr="00F55740" w:rsidRDefault="00F55740" w:rsidP="00F55740">
            <w:pPr>
              <w:spacing w:after="0" w:line="240" w:lineRule="auto"/>
              <w:jc w:val="center"/>
              <w:rPr>
                <w:rFonts w:ascii="Times New Roman" w:eastAsia="Times New Roman" w:hAnsi="Times New Roman" w:cs="Times New Roman"/>
                <w:color w:val="000000"/>
                <w:kern w:val="0"/>
                <w:szCs w:val="24"/>
                <w:lang w:eastAsia="en-IN"/>
                <w14:ligatures w14:val="none"/>
              </w:rPr>
            </w:pPr>
            <w:r w:rsidRPr="00F55740">
              <w:rPr>
                <w:rFonts w:ascii="Times New Roman" w:eastAsia="Times New Roman" w:hAnsi="Times New Roman" w:cs="Times New Roman"/>
                <w:color w:val="000000"/>
                <w:kern w:val="0"/>
                <w:szCs w:val="24"/>
                <w:lang w:eastAsia="en-IN"/>
                <w14:ligatures w14:val="none"/>
              </w:rPr>
              <w:t>103</w:t>
            </w:r>
          </w:p>
        </w:tc>
        <w:tc>
          <w:tcPr>
            <w:tcW w:w="1435" w:type="dxa"/>
            <w:tcBorders>
              <w:top w:val="nil"/>
              <w:left w:val="nil"/>
              <w:bottom w:val="single" w:sz="4" w:space="0" w:color="auto"/>
              <w:right w:val="single" w:sz="4" w:space="0" w:color="auto"/>
            </w:tcBorders>
            <w:vAlign w:val="center"/>
            <w:hideMark/>
          </w:tcPr>
          <w:p w14:paraId="782D6838" w14:textId="77777777" w:rsidR="00F55740" w:rsidRPr="00F55740" w:rsidRDefault="00F55740" w:rsidP="00F55740">
            <w:pPr>
              <w:spacing w:after="0" w:line="240" w:lineRule="auto"/>
              <w:jc w:val="center"/>
              <w:rPr>
                <w:rFonts w:ascii="Times New Roman" w:eastAsia="Times New Roman" w:hAnsi="Times New Roman" w:cs="Times New Roman"/>
                <w:color w:val="000000"/>
                <w:kern w:val="0"/>
                <w:szCs w:val="24"/>
                <w:lang w:eastAsia="en-IN"/>
                <w14:ligatures w14:val="none"/>
              </w:rPr>
            </w:pPr>
            <w:r w:rsidRPr="00F55740">
              <w:rPr>
                <w:rFonts w:ascii="Times New Roman" w:eastAsia="Times New Roman" w:hAnsi="Times New Roman" w:cs="Times New Roman"/>
                <w:color w:val="000000"/>
                <w:kern w:val="0"/>
                <w:szCs w:val="24"/>
                <w:lang w:eastAsia="en-IN"/>
                <w14:ligatures w14:val="none"/>
              </w:rPr>
              <w:t>3736</w:t>
            </w:r>
          </w:p>
        </w:tc>
      </w:tr>
      <w:tr w:rsidR="00F55740" w:rsidRPr="00F55740" w14:paraId="7E95BBA9" w14:textId="77777777" w:rsidTr="00F55740">
        <w:trPr>
          <w:trHeight w:val="20"/>
        </w:trPr>
        <w:tc>
          <w:tcPr>
            <w:tcW w:w="846" w:type="dxa"/>
            <w:tcBorders>
              <w:top w:val="nil"/>
              <w:left w:val="single" w:sz="4" w:space="0" w:color="auto"/>
              <w:bottom w:val="single" w:sz="4" w:space="0" w:color="auto"/>
              <w:right w:val="single" w:sz="4" w:space="0" w:color="auto"/>
            </w:tcBorders>
            <w:hideMark/>
          </w:tcPr>
          <w:p w14:paraId="14C3EFED" w14:textId="77777777" w:rsidR="00F55740" w:rsidRPr="00F55740" w:rsidRDefault="00F55740" w:rsidP="00F55740">
            <w:pPr>
              <w:spacing w:after="0" w:line="240" w:lineRule="auto"/>
              <w:rPr>
                <w:rFonts w:ascii="Aptos" w:eastAsia="Times New Roman" w:hAnsi="Aptos" w:cs="Times New Roman"/>
                <w:color w:val="000000"/>
                <w:kern w:val="0"/>
                <w:szCs w:val="24"/>
                <w:lang w:eastAsia="en-IN"/>
                <w14:ligatures w14:val="none"/>
              </w:rPr>
            </w:pPr>
            <w:r w:rsidRPr="00F55740">
              <w:rPr>
                <w:rFonts w:ascii="Aptos" w:eastAsia="Times New Roman" w:hAnsi="Aptos" w:cs="Times New Roman"/>
                <w:color w:val="000000"/>
                <w:kern w:val="0"/>
                <w:szCs w:val="24"/>
                <w:lang w:eastAsia="en-IN"/>
                <w14:ligatures w14:val="none"/>
              </w:rPr>
              <w:t> </w:t>
            </w:r>
          </w:p>
        </w:tc>
        <w:tc>
          <w:tcPr>
            <w:tcW w:w="1960" w:type="dxa"/>
            <w:tcBorders>
              <w:top w:val="nil"/>
              <w:left w:val="nil"/>
              <w:bottom w:val="single" w:sz="4" w:space="0" w:color="auto"/>
              <w:right w:val="single" w:sz="4" w:space="0" w:color="auto"/>
            </w:tcBorders>
            <w:vAlign w:val="center"/>
            <w:hideMark/>
          </w:tcPr>
          <w:p w14:paraId="3BD803E8" w14:textId="77777777" w:rsidR="00F55740" w:rsidRPr="00F55740" w:rsidRDefault="00F55740" w:rsidP="00F55740">
            <w:pPr>
              <w:spacing w:after="0" w:line="240" w:lineRule="auto"/>
              <w:rPr>
                <w:rFonts w:ascii="Times New Roman" w:eastAsia="Times New Roman" w:hAnsi="Times New Roman" w:cs="Times New Roman"/>
                <w:color w:val="000000"/>
                <w:kern w:val="0"/>
                <w:szCs w:val="24"/>
                <w:lang w:eastAsia="en-IN"/>
                <w14:ligatures w14:val="none"/>
              </w:rPr>
            </w:pPr>
            <w:r w:rsidRPr="00F55740">
              <w:rPr>
                <w:rFonts w:ascii="Times New Roman" w:eastAsia="Times New Roman" w:hAnsi="Times New Roman" w:cs="Times New Roman"/>
                <w:color w:val="000000"/>
                <w:kern w:val="0"/>
                <w:szCs w:val="24"/>
                <w:lang w:eastAsia="en-IN"/>
                <w14:ligatures w14:val="none"/>
              </w:rPr>
              <w:t>1966-67*</w:t>
            </w:r>
          </w:p>
        </w:tc>
        <w:tc>
          <w:tcPr>
            <w:tcW w:w="1527" w:type="dxa"/>
            <w:tcBorders>
              <w:top w:val="nil"/>
              <w:left w:val="nil"/>
              <w:bottom w:val="single" w:sz="4" w:space="0" w:color="auto"/>
              <w:right w:val="single" w:sz="4" w:space="0" w:color="auto"/>
            </w:tcBorders>
            <w:vAlign w:val="center"/>
            <w:hideMark/>
          </w:tcPr>
          <w:p w14:paraId="691AB215" w14:textId="77777777" w:rsidR="00F55740" w:rsidRPr="00F55740" w:rsidRDefault="00F55740" w:rsidP="00F55740">
            <w:pPr>
              <w:spacing w:after="0" w:line="240" w:lineRule="auto"/>
              <w:jc w:val="center"/>
              <w:rPr>
                <w:rFonts w:ascii="Times New Roman" w:eastAsia="Times New Roman" w:hAnsi="Times New Roman" w:cs="Times New Roman"/>
                <w:color w:val="000000"/>
                <w:kern w:val="0"/>
                <w:szCs w:val="24"/>
                <w:lang w:eastAsia="en-IN"/>
                <w14:ligatures w14:val="none"/>
              </w:rPr>
            </w:pPr>
            <w:r w:rsidRPr="00F55740">
              <w:rPr>
                <w:rFonts w:ascii="Times New Roman" w:eastAsia="Times New Roman" w:hAnsi="Times New Roman" w:cs="Times New Roman"/>
                <w:color w:val="000000"/>
                <w:kern w:val="0"/>
                <w:szCs w:val="24"/>
                <w:lang w:eastAsia="en-IN"/>
                <w14:ligatures w14:val="none"/>
              </w:rPr>
              <w:t>2848</w:t>
            </w:r>
          </w:p>
        </w:tc>
        <w:tc>
          <w:tcPr>
            <w:tcW w:w="1528" w:type="dxa"/>
            <w:tcBorders>
              <w:top w:val="nil"/>
              <w:left w:val="nil"/>
              <w:bottom w:val="single" w:sz="4" w:space="0" w:color="auto"/>
              <w:right w:val="single" w:sz="4" w:space="0" w:color="auto"/>
            </w:tcBorders>
            <w:vAlign w:val="center"/>
            <w:hideMark/>
          </w:tcPr>
          <w:p w14:paraId="402ECD36" w14:textId="77777777" w:rsidR="00F55740" w:rsidRPr="00F55740" w:rsidRDefault="00F55740" w:rsidP="00F55740">
            <w:pPr>
              <w:spacing w:after="0" w:line="240" w:lineRule="auto"/>
              <w:jc w:val="center"/>
              <w:rPr>
                <w:rFonts w:ascii="Times New Roman" w:eastAsia="Times New Roman" w:hAnsi="Times New Roman" w:cs="Times New Roman"/>
                <w:color w:val="000000"/>
                <w:kern w:val="0"/>
                <w:szCs w:val="24"/>
                <w:lang w:eastAsia="en-IN"/>
                <w14:ligatures w14:val="none"/>
              </w:rPr>
            </w:pPr>
            <w:r w:rsidRPr="00F55740">
              <w:rPr>
                <w:rFonts w:ascii="Times New Roman" w:eastAsia="Times New Roman" w:hAnsi="Times New Roman" w:cs="Times New Roman"/>
                <w:color w:val="000000"/>
                <w:kern w:val="0"/>
                <w:szCs w:val="24"/>
                <w:lang w:eastAsia="en-IN"/>
                <w14:ligatures w14:val="none"/>
              </w:rPr>
              <w:t>20</w:t>
            </w:r>
          </w:p>
        </w:tc>
        <w:tc>
          <w:tcPr>
            <w:tcW w:w="1731" w:type="dxa"/>
            <w:tcBorders>
              <w:top w:val="nil"/>
              <w:left w:val="nil"/>
              <w:bottom w:val="single" w:sz="4" w:space="0" w:color="auto"/>
              <w:right w:val="single" w:sz="4" w:space="0" w:color="auto"/>
            </w:tcBorders>
            <w:vAlign w:val="center"/>
            <w:hideMark/>
          </w:tcPr>
          <w:p w14:paraId="5E835493" w14:textId="77777777" w:rsidR="00F55740" w:rsidRPr="00F55740" w:rsidRDefault="00F55740" w:rsidP="00F55740">
            <w:pPr>
              <w:spacing w:after="0" w:line="240" w:lineRule="auto"/>
              <w:jc w:val="center"/>
              <w:rPr>
                <w:rFonts w:ascii="Times New Roman" w:eastAsia="Times New Roman" w:hAnsi="Times New Roman" w:cs="Times New Roman"/>
                <w:color w:val="000000"/>
                <w:kern w:val="0"/>
                <w:szCs w:val="24"/>
                <w:lang w:eastAsia="en-IN"/>
                <w14:ligatures w14:val="none"/>
              </w:rPr>
            </w:pPr>
            <w:r w:rsidRPr="00F55740">
              <w:rPr>
                <w:rFonts w:ascii="Times New Roman" w:eastAsia="Times New Roman" w:hAnsi="Times New Roman" w:cs="Times New Roman"/>
                <w:color w:val="000000"/>
                <w:kern w:val="0"/>
                <w:szCs w:val="24"/>
                <w:lang w:eastAsia="en-IN"/>
                <w14:ligatures w14:val="none"/>
              </w:rPr>
              <w:t>51</w:t>
            </w:r>
          </w:p>
        </w:tc>
        <w:tc>
          <w:tcPr>
            <w:tcW w:w="1435" w:type="dxa"/>
            <w:tcBorders>
              <w:top w:val="nil"/>
              <w:left w:val="nil"/>
              <w:bottom w:val="single" w:sz="4" w:space="0" w:color="auto"/>
              <w:right w:val="single" w:sz="4" w:space="0" w:color="auto"/>
            </w:tcBorders>
            <w:vAlign w:val="center"/>
            <w:hideMark/>
          </w:tcPr>
          <w:p w14:paraId="6F5081F0" w14:textId="77777777" w:rsidR="00F55740" w:rsidRPr="00F55740" w:rsidRDefault="00F55740" w:rsidP="00F55740">
            <w:pPr>
              <w:spacing w:after="0" w:line="240" w:lineRule="auto"/>
              <w:jc w:val="center"/>
              <w:rPr>
                <w:rFonts w:ascii="Times New Roman" w:eastAsia="Times New Roman" w:hAnsi="Times New Roman" w:cs="Times New Roman"/>
                <w:color w:val="000000"/>
                <w:kern w:val="0"/>
                <w:szCs w:val="24"/>
                <w:lang w:eastAsia="en-IN"/>
                <w14:ligatures w14:val="none"/>
              </w:rPr>
            </w:pPr>
            <w:r w:rsidRPr="00F55740">
              <w:rPr>
                <w:rFonts w:ascii="Times New Roman" w:eastAsia="Times New Roman" w:hAnsi="Times New Roman" w:cs="Times New Roman"/>
                <w:color w:val="000000"/>
                <w:kern w:val="0"/>
                <w:szCs w:val="24"/>
                <w:lang w:eastAsia="en-IN"/>
                <w14:ligatures w14:val="none"/>
              </w:rPr>
              <w:t>2919</w:t>
            </w:r>
          </w:p>
        </w:tc>
      </w:tr>
      <w:tr w:rsidR="00F55740" w:rsidRPr="00F55740" w14:paraId="300B900C" w14:textId="77777777" w:rsidTr="00F55740">
        <w:trPr>
          <w:trHeight w:val="20"/>
        </w:trPr>
        <w:tc>
          <w:tcPr>
            <w:tcW w:w="846" w:type="dxa"/>
            <w:tcBorders>
              <w:top w:val="nil"/>
              <w:left w:val="single" w:sz="4" w:space="0" w:color="auto"/>
              <w:bottom w:val="single" w:sz="4" w:space="0" w:color="auto"/>
              <w:right w:val="single" w:sz="4" w:space="0" w:color="auto"/>
            </w:tcBorders>
            <w:vAlign w:val="center"/>
            <w:hideMark/>
          </w:tcPr>
          <w:p w14:paraId="514D3CC0" w14:textId="77777777" w:rsidR="00F55740" w:rsidRPr="00F55740" w:rsidRDefault="00F55740" w:rsidP="00F55740">
            <w:pPr>
              <w:spacing w:after="0" w:line="240" w:lineRule="auto"/>
              <w:jc w:val="right"/>
              <w:rPr>
                <w:rFonts w:ascii="Times New Roman" w:eastAsia="Times New Roman" w:hAnsi="Times New Roman" w:cs="Times New Roman"/>
                <w:color w:val="000000"/>
                <w:kern w:val="0"/>
                <w:szCs w:val="24"/>
                <w:lang w:eastAsia="en-IN"/>
                <w14:ligatures w14:val="none"/>
              </w:rPr>
            </w:pPr>
            <w:r w:rsidRPr="00F55740">
              <w:rPr>
                <w:rFonts w:ascii="Times New Roman" w:eastAsia="Times New Roman" w:hAnsi="Times New Roman" w:cs="Times New Roman"/>
                <w:color w:val="000000"/>
                <w:kern w:val="0"/>
                <w:szCs w:val="24"/>
                <w:lang w:eastAsia="en-IN"/>
                <w14:ligatures w14:val="none"/>
              </w:rPr>
              <w:t>2</w:t>
            </w:r>
          </w:p>
        </w:tc>
        <w:tc>
          <w:tcPr>
            <w:tcW w:w="1960" w:type="dxa"/>
            <w:tcBorders>
              <w:top w:val="nil"/>
              <w:left w:val="nil"/>
              <w:bottom w:val="single" w:sz="4" w:space="0" w:color="auto"/>
              <w:right w:val="single" w:sz="4" w:space="0" w:color="auto"/>
            </w:tcBorders>
            <w:vAlign w:val="center"/>
            <w:hideMark/>
          </w:tcPr>
          <w:p w14:paraId="1B20836B" w14:textId="77777777" w:rsidR="00F55740" w:rsidRPr="00F55740" w:rsidRDefault="00F55740" w:rsidP="00F55740">
            <w:pPr>
              <w:spacing w:after="0" w:line="240" w:lineRule="auto"/>
              <w:rPr>
                <w:rFonts w:ascii="Times New Roman" w:eastAsia="Times New Roman" w:hAnsi="Times New Roman" w:cs="Times New Roman"/>
                <w:color w:val="000000"/>
                <w:kern w:val="0"/>
                <w:szCs w:val="24"/>
                <w:lang w:eastAsia="en-IN"/>
                <w14:ligatures w14:val="none"/>
              </w:rPr>
            </w:pPr>
            <w:r w:rsidRPr="00F55740">
              <w:rPr>
                <w:rFonts w:ascii="Times New Roman" w:eastAsia="Times New Roman" w:hAnsi="Times New Roman" w:cs="Times New Roman"/>
                <w:color w:val="000000"/>
                <w:kern w:val="0"/>
                <w:szCs w:val="24"/>
                <w:lang w:eastAsia="en-IN"/>
                <w14:ligatures w14:val="none"/>
              </w:rPr>
              <w:t>Eastern</w:t>
            </w:r>
          </w:p>
        </w:tc>
        <w:tc>
          <w:tcPr>
            <w:tcW w:w="1527" w:type="dxa"/>
            <w:tcBorders>
              <w:top w:val="nil"/>
              <w:left w:val="nil"/>
              <w:bottom w:val="single" w:sz="4" w:space="0" w:color="auto"/>
              <w:right w:val="single" w:sz="4" w:space="0" w:color="auto"/>
            </w:tcBorders>
            <w:vAlign w:val="center"/>
            <w:hideMark/>
          </w:tcPr>
          <w:p w14:paraId="495E6867" w14:textId="36C55915" w:rsidR="00F55740" w:rsidRPr="00F55740" w:rsidRDefault="00F55740" w:rsidP="00F55740">
            <w:pPr>
              <w:spacing w:after="0" w:line="240" w:lineRule="auto"/>
              <w:jc w:val="center"/>
              <w:rPr>
                <w:rFonts w:ascii="Times New Roman" w:eastAsia="Times New Roman" w:hAnsi="Times New Roman" w:cs="Times New Roman"/>
                <w:color w:val="000000"/>
                <w:kern w:val="0"/>
                <w:szCs w:val="24"/>
                <w:lang w:eastAsia="en-IN"/>
                <w14:ligatures w14:val="none"/>
              </w:rPr>
            </w:pPr>
          </w:p>
        </w:tc>
        <w:tc>
          <w:tcPr>
            <w:tcW w:w="1528" w:type="dxa"/>
            <w:tcBorders>
              <w:top w:val="nil"/>
              <w:left w:val="nil"/>
              <w:bottom w:val="single" w:sz="4" w:space="0" w:color="auto"/>
              <w:right w:val="single" w:sz="4" w:space="0" w:color="auto"/>
            </w:tcBorders>
            <w:vAlign w:val="center"/>
            <w:hideMark/>
          </w:tcPr>
          <w:p w14:paraId="45D80AAA" w14:textId="4BF74A5A" w:rsidR="00F55740" w:rsidRPr="00F55740" w:rsidRDefault="00F55740" w:rsidP="00F55740">
            <w:pPr>
              <w:spacing w:after="0" w:line="240" w:lineRule="auto"/>
              <w:jc w:val="center"/>
              <w:rPr>
                <w:rFonts w:ascii="Times New Roman" w:eastAsia="Times New Roman" w:hAnsi="Times New Roman" w:cs="Times New Roman"/>
                <w:color w:val="000000"/>
                <w:kern w:val="0"/>
                <w:szCs w:val="24"/>
                <w:lang w:eastAsia="en-IN"/>
                <w14:ligatures w14:val="none"/>
              </w:rPr>
            </w:pPr>
          </w:p>
        </w:tc>
        <w:tc>
          <w:tcPr>
            <w:tcW w:w="1731" w:type="dxa"/>
            <w:tcBorders>
              <w:top w:val="nil"/>
              <w:left w:val="nil"/>
              <w:bottom w:val="single" w:sz="4" w:space="0" w:color="auto"/>
              <w:right w:val="single" w:sz="4" w:space="0" w:color="auto"/>
            </w:tcBorders>
            <w:vAlign w:val="center"/>
            <w:hideMark/>
          </w:tcPr>
          <w:p w14:paraId="0C1DEE08" w14:textId="68EC42B9" w:rsidR="00F55740" w:rsidRPr="00F55740" w:rsidRDefault="00F55740" w:rsidP="00F55740">
            <w:pPr>
              <w:spacing w:after="0" w:line="240" w:lineRule="auto"/>
              <w:jc w:val="center"/>
              <w:rPr>
                <w:rFonts w:ascii="Times New Roman" w:eastAsia="Times New Roman" w:hAnsi="Times New Roman" w:cs="Times New Roman"/>
                <w:color w:val="000000"/>
                <w:kern w:val="0"/>
                <w:szCs w:val="24"/>
                <w:lang w:eastAsia="en-IN"/>
                <w14:ligatures w14:val="none"/>
              </w:rPr>
            </w:pPr>
          </w:p>
        </w:tc>
        <w:tc>
          <w:tcPr>
            <w:tcW w:w="1435" w:type="dxa"/>
            <w:tcBorders>
              <w:top w:val="nil"/>
              <w:left w:val="nil"/>
              <w:bottom w:val="single" w:sz="4" w:space="0" w:color="auto"/>
              <w:right w:val="single" w:sz="4" w:space="0" w:color="auto"/>
            </w:tcBorders>
            <w:vAlign w:val="center"/>
            <w:hideMark/>
          </w:tcPr>
          <w:p w14:paraId="73416D50" w14:textId="4AC89FDA" w:rsidR="00F55740" w:rsidRPr="00F55740" w:rsidRDefault="00F55740" w:rsidP="00F55740">
            <w:pPr>
              <w:spacing w:after="0" w:line="240" w:lineRule="auto"/>
              <w:jc w:val="center"/>
              <w:rPr>
                <w:rFonts w:ascii="Times New Roman" w:eastAsia="Times New Roman" w:hAnsi="Times New Roman" w:cs="Times New Roman"/>
                <w:color w:val="000000"/>
                <w:kern w:val="0"/>
                <w:szCs w:val="24"/>
                <w:lang w:eastAsia="en-IN"/>
                <w14:ligatures w14:val="none"/>
              </w:rPr>
            </w:pPr>
          </w:p>
        </w:tc>
      </w:tr>
      <w:tr w:rsidR="00F55740" w:rsidRPr="00F55740" w14:paraId="0E2D6C5F" w14:textId="77777777" w:rsidTr="00F55740">
        <w:trPr>
          <w:trHeight w:val="20"/>
        </w:trPr>
        <w:tc>
          <w:tcPr>
            <w:tcW w:w="846" w:type="dxa"/>
            <w:tcBorders>
              <w:top w:val="nil"/>
              <w:left w:val="single" w:sz="4" w:space="0" w:color="auto"/>
              <w:bottom w:val="single" w:sz="4" w:space="0" w:color="auto"/>
              <w:right w:val="single" w:sz="4" w:space="0" w:color="auto"/>
            </w:tcBorders>
            <w:noWrap/>
            <w:vAlign w:val="bottom"/>
            <w:hideMark/>
          </w:tcPr>
          <w:p w14:paraId="46A1EB1C" w14:textId="77777777" w:rsidR="00F55740" w:rsidRPr="00F55740" w:rsidRDefault="00F55740" w:rsidP="00F55740">
            <w:pPr>
              <w:spacing w:after="0" w:line="240" w:lineRule="auto"/>
              <w:rPr>
                <w:rFonts w:ascii="Aptos Narrow" w:eastAsia="Times New Roman" w:hAnsi="Aptos Narrow" w:cs="Times New Roman"/>
                <w:color w:val="000000"/>
                <w:kern w:val="0"/>
                <w:sz w:val="22"/>
                <w:szCs w:val="22"/>
                <w:lang w:eastAsia="en-IN"/>
                <w14:ligatures w14:val="none"/>
              </w:rPr>
            </w:pPr>
            <w:r w:rsidRPr="00F55740">
              <w:rPr>
                <w:rFonts w:ascii="Aptos Narrow" w:eastAsia="Times New Roman" w:hAnsi="Aptos Narrow" w:cs="Times New Roman"/>
                <w:color w:val="000000"/>
                <w:kern w:val="0"/>
                <w:sz w:val="22"/>
                <w:szCs w:val="22"/>
                <w:lang w:eastAsia="en-IN"/>
                <w14:ligatures w14:val="none"/>
              </w:rPr>
              <w:t> </w:t>
            </w:r>
          </w:p>
        </w:tc>
        <w:tc>
          <w:tcPr>
            <w:tcW w:w="1960" w:type="dxa"/>
            <w:tcBorders>
              <w:top w:val="nil"/>
              <w:left w:val="nil"/>
              <w:bottom w:val="single" w:sz="4" w:space="0" w:color="auto"/>
              <w:right w:val="single" w:sz="4" w:space="0" w:color="auto"/>
            </w:tcBorders>
            <w:vAlign w:val="center"/>
            <w:hideMark/>
          </w:tcPr>
          <w:p w14:paraId="4CC56757" w14:textId="77777777" w:rsidR="00F55740" w:rsidRPr="00F55740" w:rsidRDefault="00F55740" w:rsidP="00F55740">
            <w:pPr>
              <w:spacing w:after="0" w:line="240" w:lineRule="auto"/>
              <w:rPr>
                <w:rFonts w:ascii="Times New Roman" w:eastAsia="Times New Roman" w:hAnsi="Times New Roman" w:cs="Times New Roman"/>
                <w:color w:val="000000"/>
                <w:kern w:val="0"/>
                <w:szCs w:val="24"/>
                <w:lang w:eastAsia="en-IN"/>
                <w14:ligatures w14:val="none"/>
              </w:rPr>
            </w:pPr>
            <w:r w:rsidRPr="00F55740">
              <w:rPr>
                <w:rFonts w:ascii="Times New Roman" w:eastAsia="Times New Roman" w:hAnsi="Times New Roman" w:cs="Times New Roman"/>
                <w:color w:val="000000"/>
                <w:kern w:val="0"/>
                <w:szCs w:val="24"/>
                <w:lang w:eastAsia="en-IN"/>
                <w14:ligatures w14:val="none"/>
              </w:rPr>
              <w:t>1964-65</w:t>
            </w:r>
          </w:p>
        </w:tc>
        <w:tc>
          <w:tcPr>
            <w:tcW w:w="1527" w:type="dxa"/>
            <w:tcBorders>
              <w:top w:val="nil"/>
              <w:left w:val="nil"/>
              <w:bottom w:val="single" w:sz="4" w:space="0" w:color="auto"/>
              <w:right w:val="single" w:sz="4" w:space="0" w:color="auto"/>
            </w:tcBorders>
            <w:vAlign w:val="center"/>
            <w:hideMark/>
          </w:tcPr>
          <w:p w14:paraId="4C1A4A19" w14:textId="77777777" w:rsidR="00F55740" w:rsidRPr="00F55740" w:rsidRDefault="00F55740" w:rsidP="00F55740">
            <w:pPr>
              <w:spacing w:after="0" w:line="240" w:lineRule="auto"/>
              <w:jc w:val="center"/>
              <w:rPr>
                <w:rFonts w:ascii="Times New Roman" w:eastAsia="Times New Roman" w:hAnsi="Times New Roman" w:cs="Times New Roman"/>
                <w:color w:val="000000"/>
                <w:kern w:val="0"/>
                <w:szCs w:val="24"/>
                <w:lang w:eastAsia="en-IN"/>
                <w14:ligatures w14:val="none"/>
              </w:rPr>
            </w:pPr>
            <w:r w:rsidRPr="00F55740">
              <w:rPr>
                <w:rFonts w:ascii="Times New Roman" w:eastAsia="Times New Roman" w:hAnsi="Times New Roman" w:cs="Times New Roman"/>
                <w:color w:val="000000"/>
                <w:kern w:val="0"/>
                <w:szCs w:val="24"/>
                <w:lang w:eastAsia="en-IN"/>
                <w14:ligatures w14:val="none"/>
              </w:rPr>
              <w:t>1939</w:t>
            </w:r>
          </w:p>
        </w:tc>
        <w:tc>
          <w:tcPr>
            <w:tcW w:w="1528" w:type="dxa"/>
            <w:tcBorders>
              <w:top w:val="nil"/>
              <w:left w:val="nil"/>
              <w:bottom w:val="single" w:sz="4" w:space="0" w:color="auto"/>
              <w:right w:val="single" w:sz="4" w:space="0" w:color="auto"/>
            </w:tcBorders>
            <w:vAlign w:val="center"/>
            <w:hideMark/>
          </w:tcPr>
          <w:p w14:paraId="27998497" w14:textId="77777777" w:rsidR="00F55740" w:rsidRPr="00F55740" w:rsidRDefault="00F55740" w:rsidP="00F55740">
            <w:pPr>
              <w:spacing w:after="0" w:line="240" w:lineRule="auto"/>
              <w:jc w:val="center"/>
              <w:rPr>
                <w:rFonts w:ascii="Times New Roman" w:eastAsia="Times New Roman" w:hAnsi="Times New Roman" w:cs="Times New Roman"/>
                <w:color w:val="000000"/>
                <w:kern w:val="0"/>
                <w:szCs w:val="24"/>
                <w:lang w:eastAsia="en-IN"/>
                <w14:ligatures w14:val="none"/>
              </w:rPr>
            </w:pPr>
            <w:r w:rsidRPr="00F55740">
              <w:rPr>
                <w:rFonts w:ascii="Times New Roman" w:eastAsia="Times New Roman" w:hAnsi="Times New Roman" w:cs="Times New Roman"/>
                <w:color w:val="000000"/>
                <w:kern w:val="0"/>
                <w:szCs w:val="24"/>
                <w:lang w:eastAsia="en-IN"/>
                <w14:ligatures w14:val="none"/>
              </w:rPr>
              <w:t>..</w:t>
            </w:r>
          </w:p>
        </w:tc>
        <w:tc>
          <w:tcPr>
            <w:tcW w:w="1731" w:type="dxa"/>
            <w:tcBorders>
              <w:top w:val="nil"/>
              <w:left w:val="nil"/>
              <w:bottom w:val="single" w:sz="4" w:space="0" w:color="auto"/>
              <w:right w:val="single" w:sz="4" w:space="0" w:color="auto"/>
            </w:tcBorders>
            <w:vAlign w:val="center"/>
            <w:hideMark/>
          </w:tcPr>
          <w:p w14:paraId="478050B9" w14:textId="77777777" w:rsidR="00F55740" w:rsidRPr="00F55740" w:rsidRDefault="00F55740" w:rsidP="00F55740">
            <w:pPr>
              <w:spacing w:after="0" w:line="240" w:lineRule="auto"/>
              <w:jc w:val="center"/>
              <w:rPr>
                <w:rFonts w:ascii="Times New Roman" w:eastAsia="Times New Roman" w:hAnsi="Times New Roman" w:cs="Times New Roman"/>
                <w:color w:val="000000"/>
                <w:kern w:val="0"/>
                <w:szCs w:val="24"/>
                <w:lang w:eastAsia="en-IN"/>
                <w14:ligatures w14:val="none"/>
              </w:rPr>
            </w:pPr>
            <w:r w:rsidRPr="00F55740">
              <w:rPr>
                <w:rFonts w:ascii="Times New Roman" w:eastAsia="Times New Roman" w:hAnsi="Times New Roman" w:cs="Times New Roman"/>
                <w:color w:val="000000"/>
                <w:kern w:val="0"/>
                <w:szCs w:val="24"/>
                <w:lang w:eastAsia="en-IN"/>
                <w14:ligatures w14:val="none"/>
              </w:rPr>
              <w:t>1</w:t>
            </w:r>
          </w:p>
        </w:tc>
        <w:tc>
          <w:tcPr>
            <w:tcW w:w="1435" w:type="dxa"/>
            <w:tcBorders>
              <w:top w:val="nil"/>
              <w:left w:val="nil"/>
              <w:bottom w:val="single" w:sz="4" w:space="0" w:color="auto"/>
              <w:right w:val="single" w:sz="4" w:space="0" w:color="auto"/>
            </w:tcBorders>
            <w:vAlign w:val="center"/>
            <w:hideMark/>
          </w:tcPr>
          <w:p w14:paraId="20A5A812" w14:textId="77777777" w:rsidR="00F55740" w:rsidRPr="00F55740" w:rsidRDefault="00F55740" w:rsidP="00F55740">
            <w:pPr>
              <w:spacing w:after="0" w:line="240" w:lineRule="auto"/>
              <w:jc w:val="center"/>
              <w:rPr>
                <w:rFonts w:ascii="Times New Roman" w:eastAsia="Times New Roman" w:hAnsi="Times New Roman" w:cs="Times New Roman"/>
                <w:color w:val="000000"/>
                <w:kern w:val="0"/>
                <w:szCs w:val="24"/>
                <w:lang w:eastAsia="en-IN"/>
                <w14:ligatures w14:val="none"/>
              </w:rPr>
            </w:pPr>
            <w:r w:rsidRPr="00F55740">
              <w:rPr>
                <w:rFonts w:ascii="Times New Roman" w:eastAsia="Times New Roman" w:hAnsi="Times New Roman" w:cs="Times New Roman"/>
                <w:color w:val="000000"/>
                <w:kern w:val="0"/>
                <w:szCs w:val="24"/>
                <w:lang w:eastAsia="en-IN"/>
                <w14:ligatures w14:val="none"/>
              </w:rPr>
              <w:t>1940</w:t>
            </w:r>
          </w:p>
        </w:tc>
      </w:tr>
      <w:tr w:rsidR="00F55740" w:rsidRPr="00F55740" w14:paraId="41E56ACB" w14:textId="77777777" w:rsidTr="00F55740">
        <w:trPr>
          <w:trHeight w:val="20"/>
        </w:trPr>
        <w:tc>
          <w:tcPr>
            <w:tcW w:w="846" w:type="dxa"/>
            <w:tcBorders>
              <w:top w:val="nil"/>
              <w:left w:val="single" w:sz="4" w:space="0" w:color="auto"/>
              <w:bottom w:val="single" w:sz="4" w:space="0" w:color="auto"/>
              <w:right w:val="single" w:sz="4" w:space="0" w:color="auto"/>
            </w:tcBorders>
            <w:hideMark/>
          </w:tcPr>
          <w:p w14:paraId="7FA323F7" w14:textId="77777777" w:rsidR="00F55740" w:rsidRPr="00F55740" w:rsidRDefault="00F55740" w:rsidP="00F55740">
            <w:pPr>
              <w:spacing w:after="0" w:line="240" w:lineRule="auto"/>
              <w:rPr>
                <w:rFonts w:ascii="Aptos" w:eastAsia="Times New Roman" w:hAnsi="Aptos" w:cs="Times New Roman"/>
                <w:color w:val="000000"/>
                <w:kern w:val="0"/>
                <w:szCs w:val="24"/>
                <w:lang w:eastAsia="en-IN"/>
                <w14:ligatures w14:val="none"/>
              </w:rPr>
            </w:pPr>
            <w:r w:rsidRPr="00F55740">
              <w:rPr>
                <w:rFonts w:ascii="Aptos" w:eastAsia="Times New Roman" w:hAnsi="Aptos" w:cs="Times New Roman"/>
                <w:color w:val="000000"/>
                <w:kern w:val="0"/>
                <w:szCs w:val="24"/>
                <w:lang w:eastAsia="en-IN"/>
                <w14:ligatures w14:val="none"/>
              </w:rPr>
              <w:t> </w:t>
            </w:r>
          </w:p>
        </w:tc>
        <w:tc>
          <w:tcPr>
            <w:tcW w:w="1960" w:type="dxa"/>
            <w:tcBorders>
              <w:top w:val="nil"/>
              <w:left w:val="nil"/>
              <w:bottom w:val="single" w:sz="4" w:space="0" w:color="auto"/>
              <w:right w:val="single" w:sz="4" w:space="0" w:color="auto"/>
            </w:tcBorders>
            <w:vAlign w:val="center"/>
            <w:hideMark/>
          </w:tcPr>
          <w:p w14:paraId="30A7C86C" w14:textId="77777777" w:rsidR="00F55740" w:rsidRPr="00F55740" w:rsidRDefault="00F55740" w:rsidP="00F55740">
            <w:pPr>
              <w:spacing w:after="0" w:line="240" w:lineRule="auto"/>
              <w:rPr>
                <w:rFonts w:ascii="Times New Roman" w:eastAsia="Times New Roman" w:hAnsi="Times New Roman" w:cs="Times New Roman"/>
                <w:color w:val="000000"/>
                <w:kern w:val="0"/>
                <w:szCs w:val="24"/>
                <w:lang w:eastAsia="en-IN"/>
                <w14:ligatures w14:val="none"/>
              </w:rPr>
            </w:pPr>
            <w:r w:rsidRPr="00F55740">
              <w:rPr>
                <w:rFonts w:ascii="Times New Roman" w:eastAsia="Times New Roman" w:hAnsi="Times New Roman" w:cs="Times New Roman"/>
                <w:color w:val="000000"/>
                <w:kern w:val="0"/>
                <w:szCs w:val="24"/>
                <w:lang w:eastAsia="en-IN"/>
                <w14:ligatures w14:val="none"/>
              </w:rPr>
              <w:t>1965-66</w:t>
            </w:r>
          </w:p>
        </w:tc>
        <w:tc>
          <w:tcPr>
            <w:tcW w:w="1527" w:type="dxa"/>
            <w:tcBorders>
              <w:top w:val="nil"/>
              <w:left w:val="nil"/>
              <w:bottom w:val="single" w:sz="4" w:space="0" w:color="auto"/>
              <w:right w:val="single" w:sz="4" w:space="0" w:color="auto"/>
            </w:tcBorders>
            <w:vAlign w:val="center"/>
            <w:hideMark/>
          </w:tcPr>
          <w:p w14:paraId="2FC09D4B" w14:textId="77777777" w:rsidR="00F55740" w:rsidRPr="00F55740" w:rsidRDefault="00F55740" w:rsidP="00F55740">
            <w:pPr>
              <w:spacing w:after="0" w:line="240" w:lineRule="auto"/>
              <w:jc w:val="center"/>
              <w:rPr>
                <w:rFonts w:ascii="Times New Roman" w:eastAsia="Times New Roman" w:hAnsi="Times New Roman" w:cs="Times New Roman"/>
                <w:color w:val="000000"/>
                <w:kern w:val="0"/>
                <w:szCs w:val="24"/>
                <w:lang w:eastAsia="en-IN"/>
                <w14:ligatures w14:val="none"/>
              </w:rPr>
            </w:pPr>
            <w:r w:rsidRPr="00F55740">
              <w:rPr>
                <w:rFonts w:ascii="Times New Roman" w:eastAsia="Times New Roman" w:hAnsi="Times New Roman" w:cs="Times New Roman"/>
                <w:color w:val="000000"/>
                <w:kern w:val="0"/>
                <w:szCs w:val="24"/>
                <w:lang w:eastAsia="en-IN"/>
                <w14:ligatures w14:val="none"/>
              </w:rPr>
              <w:t>2111</w:t>
            </w:r>
          </w:p>
        </w:tc>
        <w:tc>
          <w:tcPr>
            <w:tcW w:w="1528" w:type="dxa"/>
            <w:tcBorders>
              <w:top w:val="nil"/>
              <w:left w:val="nil"/>
              <w:bottom w:val="single" w:sz="4" w:space="0" w:color="auto"/>
              <w:right w:val="single" w:sz="4" w:space="0" w:color="auto"/>
            </w:tcBorders>
            <w:vAlign w:val="center"/>
            <w:hideMark/>
          </w:tcPr>
          <w:p w14:paraId="0B5F19B8" w14:textId="77777777" w:rsidR="00F55740" w:rsidRPr="00F55740" w:rsidRDefault="00F55740" w:rsidP="00F55740">
            <w:pPr>
              <w:spacing w:after="0" w:line="240" w:lineRule="auto"/>
              <w:jc w:val="center"/>
              <w:rPr>
                <w:rFonts w:ascii="Times New Roman" w:eastAsia="Times New Roman" w:hAnsi="Times New Roman" w:cs="Times New Roman"/>
                <w:color w:val="000000"/>
                <w:kern w:val="0"/>
                <w:szCs w:val="24"/>
                <w:lang w:eastAsia="en-IN"/>
                <w14:ligatures w14:val="none"/>
              </w:rPr>
            </w:pPr>
            <w:r w:rsidRPr="00F55740">
              <w:rPr>
                <w:rFonts w:ascii="Times New Roman" w:eastAsia="Times New Roman" w:hAnsi="Times New Roman" w:cs="Times New Roman"/>
                <w:color w:val="000000"/>
                <w:kern w:val="0"/>
                <w:szCs w:val="24"/>
                <w:lang w:eastAsia="en-IN"/>
                <w14:ligatures w14:val="none"/>
              </w:rPr>
              <w:t>..</w:t>
            </w:r>
          </w:p>
        </w:tc>
        <w:tc>
          <w:tcPr>
            <w:tcW w:w="1731" w:type="dxa"/>
            <w:tcBorders>
              <w:top w:val="nil"/>
              <w:left w:val="nil"/>
              <w:bottom w:val="single" w:sz="4" w:space="0" w:color="auto"/>
              <w:right w:val="single" w:sz="4" w:space="0" w:color="auto"/>
            </w:tcBorders>
            <w:vAlign w:val="center"/>
            <w:hideMark/>
          </w:tcPr>
          <w:p w14:paraId="5A6A68A8" w14:textId="77777777" w:rsidR="00F55740" w:rsidRPr="00F55740" w:rsidRDefault="00F55740" w:rsidP="00F55740">
            <w:pPr>
              <w:spacing w:after="0" w:line="240" w:lineRule="auto"/>
              <w:jc w:val="center"/>
              <w:rPr>
                <w:rFonts w:ascii="Times New Roman" w:eastAsia="Times New Roman" w:hAnsi="Times New Roman" w:cs="Times New Roman"/>
                <w:color w:val="000000"/>
                <w:kern w:val="0"/>
                <w:szCs w:val="24"/>
                <w:lang w:eastAsia="en-IN"/>
                <w14:ligatures w14:val="none"/>
              </w:rPr>
            </w:pPr>
            <w:r w:rsidRPr="00F55740">
              <w:rPr>
                <w:rFonts w:ascii="Times New Roman" w:eastAsia="Times New Roman" w:hAnsi="Times New Roman" w:cs="Times New Roman"/>
                <w:color w:val="000000"/>
                <w:kern w:val="0"/>
                <w:szCs w:val="24"/>
                <w:lang w:eastAsia="en-IN"/>
                <w14:ligatures w14:val="none"/>
              </w:rPr>
              <w:t>2</w:t>
            </w:r>
          </w:p>
        </w:tc>
        <w:tc>
          <w:tcPr>
            <w:tcW w:w="1435" w:type="dxa"/>
            <w:tcBorders>
              <w:top w:val="nil"/>
              <w:left w:val="nil"/>
              <w:bottom w:val="single" w:sz="4" w:space="0" w:color="auto"/>
              <w:right w:val="single" w:sz="4" w:space="0" w:color="auto"/>
            </w:tcBorders>
            <w:vAlign w:val="center"/>
            <w:hideMark/>
          </w:tcPr>
          <w:p w14:paraId="3F3DD371" w14:textId="77777777" w:rsidR="00F55740" w:rsidRPr="00F55740" w:rsidRDefault="00F55740" w:rsidP="00F55740">
            <w:pPr>
              <w:spacing w:after="0" w:line="240" w:lineRule="auto"/>
              <w:jc w:val="center"/>
              <w:rPr>
                <w:rFonts w:ascii="Times New Roman" w:eastAsia="Times New Roman" w:hAnsi="Times New Roman" w:cs="Times New Roman"/>
                <w:color w:val="000000"/>
                <w:kern w:val="0"/>
                <w:szCs w:val="24"/>
                <w:lang w:eastAsia="en-IN"/>
                <w14:ligatures w14:val="none"/>
              </w:rPr>
            </w:pPr>
            <w:r w:rsidRPr="00F55740">
              <w:rPr>
                <w:rFonts w:ascii="Times New Roman" w:eastAsia="Times New Roman" w:hAnsi="Times New Roman" w:cs="Times New Roman"/>
                <w:color w:val="000000"/>
                <w:kern w:val="0"/>
                <w:szCs w:val="24"/>
                <w:lang w:eastAsia="en-IN"/>
                <w14:ligatures w14:val="none"/>
              </w:rPr>
              <w:t>2113</w:t>
            </w:r>
          </w:p>
        </w:tc>
      </w:tr>
      <w:tr w:rsidR="00F55740" w:rsidRPr="00F55740" w14:paraId="151FC857" w14:textId="77777777" w:rsidTr="00F55740">
        <w:trPr>
          <w:trHeight w:val="20"/>
        </w:trPr>
        <w:tc>
          <w:tcPr>
            <w:tcW w:w="846" w:type="dxa"/>
            <w:tcBorders>
              <w:top w:val="nil"/>
              <w:left w:val="single" w:sz="4" w:space="0" w:color="auto"/>
              <w:bottom w:val="single" w:sz="4" w:space="0" w:color="auto"/>
              <w:right w:val="single" w:sz="4" w:space="0" w:color="auto"/>
            </w:tcBorders>
            <w:hideMark/>
          </w:tcPr>
          <w:p w14:paraId="193ED84C" w14:textId="77777777" w:rsidR="00F55740" w:rsidRPr="00F55740" w:rsidRDefault="00F55740" w:rsidP="00F55740">
            <w:pPr>
              <w:spacing w:after="0" w:line="240" w:lineRule="auto"/>
              <w:rPr>
                <w:rFonts w:ascii="Aptos" w:eastAsia="Times New Roman" w:hAnsi="Aptos" w:cs="Times New Roman"/>
                <w:color w:val="000000"/>
                <w:kern w:val="0"/>
                <w:szCs w:val="24"/>
                <w:lang w:eastAsia="en-IN"/>
                <w14:ligatures w14:val="none"/>
              </w:rPr>
            </w:pPr>
            <w:r w:rsidRPr="00F55740">
              <w:rPr>
                <w:rFonts w:ascii="Aptos" w:eastAsia="Times New Roman" w:hAnsi="Aptos" w:cs="Times New Roman"/>
                <w:color w:val="000000"/>
                <w:kern w:val="0"/>
                <w:szCs w:val="24"/>
                <w:lang w:eastAsia="en-IN"/>
                <w14:ligatures w14:val="none"/>
              </w:rPr>
              <w:t> </w:t>
            </w:r>
          </w:p>
        </w:tc>
        <w:tc>
          <w:tcPr>
            <w:tcW w:w="1960" w:type="dxa"/>
            <w:tcBorders>
              <w:top w:val="nil"/>
              <w:left w:val="nil"/>
              <w:bottom w:val="single" w:sz="4" w:space="0" w:color="auto"/>
              <w:right w:val="single" w:sz="4" w:space="0" w:color="auto"/>
            </w:tcBorders>
            <w:vAlign w:val="center"/>
            <w:hideMark/>
          </w:tcPr>
          <w:p w14:paraId="1AFC9A54" w14:textId="77777777" w:rsidR="00F55740" w:rsidRPr="00F55740" w:rsidRDefault="00F55740" w:rsidP="00F55740">
            <w:pPr>
              <w:spacing w:after="0" w:line="240" w:lineRule="auto"/>
              <w:rPr>
                <w:rFonts w:ascii="Times New Roman" w:eastAsia="Times New Roman" w:hAnsi="Times New Roman" w:cs="Times New Roman"/>
                <w:color w:val="000000"/>
                <w:kern w:val="0"/>
                <w:szCs w:val="24"/>
                <w:lang w:eastAsia="en-IN"/>
                <w14:ligatures w14:val="none"/>
              </w:rPr>
            </w:pPr>
            <w:r w:rsidRPr="00F55740">
              <w:rPr>
                <w:rFonts w:ascii="Times New Roman" w:eastAsia="Times New Roman" w:hAnsi="Times New Roman" w:cs="Times New Roman"/>
                <w:color w:val="000000"/>
                <w:kern w:val="0"/>
                <w:szCs w:val="24"/>
                <w:lang w:eastAsia="en-IN"/>
                <w14:ligatures w14:val="none"/>
              </w:rPr>
              <w:t>1966-67</w:t>
            </w:r>
          </w:p>
        </w:tc>
        <w:tc>
          <w:tcPr>
            <w:tcW w:w="1527" w:type="dxa"/>
            <w:tcBorders>
              <w:top w:val="nil"/>
              <w:left w:val="nil"/>
              <w:bottom w:val="single" w:sz="4" w:space="0" w:color="auto"/>
              <w:right w:val="single" w:sz="4" w:space="0" w:color="auto"/>
            </w:tcBorders>
            <w:vAlign w:val="center"/>
            <w:hideMark/>
          </w:tcPr>
          <w:p w14:paraId="67B93D43" w14:textId="77777777" w:rsidR="00F55740" w:rsidRPr="00F55740" w:rsidRDefault="00F55740" w:rsidP="00F55740">
            <w:pPr>
              <w:spacing w:after="0" w:line="240" w:lineRule="auto"/>
              <w:jc w:val="center"/>
              <w:rPr>
                <w:rFonts w:ascii="Times New Roman" w:eastAsia="Times New Roman" w:hAnsi="Times New Roman" w:cs="Times New Roman"/>
                <w:color w:val="000000"/>
                <w:kern w:val="0"/>
                <w:szCs w:val="24"/>
                <w:lang w:eastAsia="en-IN"/>
                <w14:ligatures w14:val="none"/>
              </w:rPr>
            </w:pPr>
            <w:r w:rsidRPr="00F55740">
              <w:rPr>
                <w:rFonts w:ascii="Times New Roman" w:eastAsia="Times New Roman" w:hAnsi="Times New Roman" w:cs="Times New Roman"/>
                <w:color w:val="000000"/>
                <w:kern w:val="0"/>
                <w:szCs w:val="24"/>
                <w:lang w:eastAsia="en-IN"/>
                <w14:ligatures w14:val="none"/>
              </w:rPr>
              <w:t>2117</w:t>
            </w:r>
          </w:p>
        </w:tc>
        <w:tc>
          <w:tcPr>
            <w:tcW w:w="1528" w:type="dxa"/>
            <w:tcBorders>
              <w:top w:val="nil"/>
              <w:left w:val="nil"/>
              <w:bottom w:val="single" w:sz="4" w:space="0" w:color="auto"/>
              <w:right w:val="single" w:sz="4" w:space="0" w:color="auto"/>
            </w:tcBorders>
            <w:vAlign w:val="center"/>
            <w:hideMark/>
          </w:tcPr>
          <w:p w14:paraId="48702EBF" w14:textId="77777777" w:rsidR="00F55740" w:rsidRPr="00F55740" w:rsidRDefault="00F55740" w:rsidP="00F55740">
            <w:pPr>
              <w:spacing w:after="0" w:line="240" w:lineRule="auto"/>
              <w:jc w:val="center"/>
              <w:rPr>
                <w:rFonts w:ascii="Times New Roman" w:eastAsia="Times New Roman" w:hAnsi="Times New Roman" w:cs="Times New Roman"/>
                <w:color w:val="000000"/>
                <w:kern w:val="0"/>
                <w:szCs w:val="24"/>
                <w:lang w:eastAsia="en-IN"/>
                <w14:ligatures w14:val="none"/>
              </w:rPr>
            </w:pPr>
            <w:r w:rsidRPr="00F55740">
              <w:rPr>
                <w:rFonts w:ascii="Times New Roman" w:eastAsia="Times New Roman" w:hAnsi="Times New Roman" w:cs="Times New Roman"/>
                <w:color w:val="000000"/>
                <w:kern w:val="0"/>
                <w:szCs w:val="24"/>
                <w:lang w:eastAsia="en-IN"/>
                <w14:ligatures w14:val="none"/>
              </w:rPr>
              <w:t>..</w:t>
            </w:r>
          </w:p>
        </w:tc>
        <w:tc>
          <w:tcPr>
            <w:tcW w:w="1731" w:type="dxa"/>
            <w:tcBorders>
              <w:top w:val="nil"/>
              <w:left w:val="nil"/>
              <w:bottom w:val="single" w:sz="4" w:space="0" w:color="auto"/>
              <w:right w:val="single" w:sz="4" w:space="0" w:color="auto"/>
            </w:tcBorders>
            <w:vAlign w:val="center"/>
            <w:hideMark/>
          </w:tcPr>
          <w:p w14:paraId="12BE3573" w14:textId="77777777" w:rsidR="00F55740" w:rsidRPr="00F55740" w:rsidRDefault="00F55740" w:rsidP="00F55740">
            <w:pPr>
              <w:spacing w:after="0" w:line="240" w:lineRule="auto"/>
              <w:jc w:val="center"/>
              <w:rPr>
                <w:rFonts w:ascii="Times New Roman" w:eastAsia="Times New Roman" w:hAnsi="Times New Roman" w:cs="Times New Roman"/>
                <w:color w:val="000000"/>
                <w:kern w:val="0"/>
                <w:szCs w:val="24"/>
                <w:lang w:eastAsia="en-IN"/>
                <w14:ligatures w14:val="none"/>
              </w:rPr>
            </w:pPr>
            <w:r w:rsidRPr="00F55740">
              <w:rPr>
                <w:rFonts w:ascii="Times New Roman" w:eastAsia="Times New Roman" w:hAnsi="Times New Roman" w:cs="Times New Roman"/>
                <w:color w:val="000000"/>
                <w:kern w:val="0"/>
                <w:szCs w:val="24"/>
                <w:lang w:eastAsia="en-IN"/>
                <w14:ligatures w14:val="none"/>
              </w:rPr>
              <w:t>8</w:t>
            </w:r>
          </w:p>
        </w:tc>
        <w:tc>
          <w:tcPr>
            <w:tcW w:w="1435" w:type="dxa"/>
            <w:tcBorders>
              <w:top w:val="nil"/>
              <w:left w:val="nil"/>
              <w:bottom w:val="single" w:sz="4" w:space="0" w:color="auto"/>
              <w:right w:val="single" w:sz="4" w:space="0" w:color="auto"/>
            </w:tcBorders>
            <w:vAlign w:val="center"/>
            <w:hideMark/>
          </w:tcPr>
          <w:p w14:paraId="26152B03" w14:textId="77777777" w:rsidR="00F55740" w:rsidRPr="00F55740" w:rsidRDefault="00F55740" w:rsidP="00F55740">
            <w:pPr>
              <w:spacing w:after="0" w:line="240" w:lineRule="auto"/>
              <w:jc w:val="center"/>
              <w:rPr>
                <w:rFonts w:ascii="Times New Roman" w:eastAsia="Times New Roman" w:hAnsi="Times New Roman" w:cs="Times New Roman"/>
                <w:color w:val="000000"/>
                <w:kern w:val="0"/>
                <w:szCs w:val="24"/>
                <w:lang w:eastAsia="en-IN"/>
                <w14:ligatures w14:val="none"/>
              </w:rPr>
            </w:pPr>
            <w:r w:rsidRPr="00F55740">
              <w:rPr>
                <w:rFonts w:ascii="Times New Roman" w:eastAsia="Times New Roman" w:hAnsi="Times New Roman" w:cs="Times New Roman"/>
                <w:color w:val="000000"/>
                <w:kern w:val="0"/>
                <w:szCs w:val="24"/>
                <w:lang w:eastAsia="en-IN"/>
                <w14:ligatures w14:val="none"/>
              </w:rPr>
              <w:t>2125</w:t>
            </w:r>
          </w:p>
        </w:tc>
      </w:tr>
      <w:tr w:rsidR="00F55740" w:rsidRPr="00F55740" w14:paraId="4B88CE31" w14:textId="77777777" w:rsidTr="00F55740">
        <w:trPr>
          <w:trHeight w:val="20"/>
        </w:trPr>
        <w:tc>
          <w:tcPr>
            <w:tcW w:w="846" w:type="dxa"/>
            <w:tcBorders>
              <w:top w:val="nil"/>
              <w:left w:val="single" w:sz="4" w:space="0" w:color="auto"/>
              <w:bottom w:val="single" w:sz="4" w:space="0" w:color="auto"/>
              <w:right w:val="single" w:sz="4" w:space="0" w:color="auto"/>
            </w:tcBorders>
            <w:vAlign w:val="center"/>
            <w:hideMark/>
          </w:tcPr>
          <w:p w14:paraId="7F55788F" w14:textId="77777777" w:rsidR="00F55740" w:rsidRPr="00F55740" w:rsidRDefault="00F55740" w:rsidP="00F55740">
            <w:pPr>
              <w:spacing w:after="0" w:line="240" w:lineRule="auto"/>
              <w:jc w:val="right"/>
              <w:rPr>
                <w:rFonts w:ascii="Times New Roman" w:eastAsia="Times New Roman" w:hAnsi="Times New Roman" w:cs="Times New Roman"/>
                <w:color w:val="000000"/>
                <w:kern w:val="0"/>
                <w:szCs w:val="24"/>
                <w:lang w:eastAsia="en-IN"/>
                <w14:ligatures w14:val="none"/>
              </w:rPr>
            </w:pPr>
            <w:r w:rsidRPr="00F55740">
              <w:rPr>
                <w:rFonts w:ascii="Times New Roman" w:eastAsia="Times New Roman" w:hAnsi="Times New Roman" w:cs="Times New Roman"/>
                <w:color w:val="000000"/>
                <w:kern w:val="0"/>
                <w:szCs w:val="24"/>
                <w:lang w:eastAsia="en-IN"/>
                <w14:ligatures w14:val="none"/>
              </w:rPr>
              <w:t>3</w:t>
            </w:r>
          </w:p>
        </w:tc>
        <w:tc>
          <w:tcPr>
            <w:tcW w:w="1960" w:type="dxa"/>
            <w:tcBorders>
              <w:top w:val="nil"/>
              <w:left w:val="nil"/>
              <w:bottom w:val="single" w:sz="4" w:space="0" w:color="auto"/>
              <w:right w:val="single" w:sz="4" w:space="0" w:color="auto"/>
            </w:tcBorders>
            <w:vAlign w:val="center"/>
            <w:hideMark/>
          </w:tcPr>
          <w:p w14:paraId="0CFF06AE" w14:textId="77777777" w:rsidR="00F55740" w:rsidRPr="00F55740" w:rsidRDefault="00F55740" w:rsidP="00F55740">
            <w:pPr>
              <w:spacing w:after="0" w:line="240" w:lineRule="auto"/>
              <w:rPr>
                <w:rFonts w:ascii="Times New Roman" w:eastAsia="Times New Roman" w:hAnsi="Times New Roman" w:cs="Times New Roman"/>
                <w:color w:val="000000"/>
                <w:kern w:val="0"/>
                <w:szCs w:val="24"/>
                <w:lang w:eastAsia="en-IN"/>
                <w14:ligatures w14:val="none"/>
              </w:rPr>
            </w:pPr>
            <w:r w:rsidRPr="00F55740">
              <w:rPr>
                <w:rFonts w:ascii="Times New Roman" w:eastAsia="Times New Roman" w:hAnsi="Times New Roman" w:cs="Times New Roman"/>
                <w:color w:val="000000"/>
                <w:kern w:val="0"/>
                <w:szCs w:val="24"/>
                <w:lang w:eastAsia="en-IN"/>
                <w14:ligatures w14:val="none"/>
              </w:rPr>
              <w:t>Northern</w:t>
            </w:r>
          </w:p>
        </w:tc>
        <w:tc>
          <w:tcPr>
            <w:tcW w:w="1527" w:type="dxa"/>
            <w:tcBorders>
              <w:top w:val="nil"/>
              <w:left w:val="nil"/>
              <w:bottom w:val="single" w:sz="4" w:space="0" w:color="auto"/>
              <w:right w:val="single" w:sz="4" w:space="0" w:color="auto"/>
            </w:tcBorders>
            <w:vAlign w:val="center"/>
            <w:hideMark/>
          </w:tcPr>
          <w:p w14:paraId="2EAFF716" w14:textId="0DA95693" w:rsidR="00F55740" w:rsidRPr="00F55740" w:rsidRDefault="00F55740" w:rsidP="00F55740">
            <w:pPr>
              <w:spacing w:after="0" w:line="240" w:lineRule="auto"/>
              <w:jc w:val="center"/>
              <w:rPr>
                <w:rFonts w:ascii="Times New Roman" w:eastAsia="Times New Roman" w:hAnsi="Times New Roman" w:cs="Times New Roman"/>
                <w:color w:val="000000"/>
                <w:kern w:val="0"/>
                <w:szCs w:val="24"/>
                <w:lang w:eastAsia="en-IN"/>
                <w14:ligatures w14:val="none"/>
              </w:rPr>
            </w:pPr>
          </w:p>
        </w:tc>
        <w:tc>
          <w:tcPr>
            <w:tcW w:w="1528" w:type="dxa"/>
            <w:tcBorders>
              <w:top w:val="nil"/>
              <w:left w:val="nil"/>
              <w:bottom w:val="single" w:sz="4" w:space="0" w:color="auto"/>
              <w:right w:val="single" w:sz="4" w:space="0" w:color="auto"/>
            </w:tcBorders>
            <w:vAlign w:val="center"/>
            <w:hideMark/>
          </w:tcPr>
          <w:p w14:paraId="2FA6D179" w14:textId="346AF9DA" w:rsidR="00F55740" w:rsidRPr="00F55740" w:rsidRDefault="00F55740" w:rsidP="00F55740">
            <w:pPr>
              <w:spacing w:after="0" w:line="240" w:lineRule="auto"/>
              <w:jc w:val="center"/>
              <w:rPr>
                <w:rFonts w:ascii="Times New Roman" w:eastAsia="Times New Roman" w:hAnsi="Times New Roman" w:cs="Times New Roman"/>
                <w:color w:val="000000"/>
                <w:kern w:val="0"/>
                <w:szCs w:val="24"/>
                <w:lang w:eastAsia="en-IN"/>
                <w14:ligatures w14:val="none"/>
              </w:rPr>
            </w:pPr>
          </w:p>
        </w:tc>
        <w:tc>
          <w:tcPr>
            <w:tcW w:w="1731" w:type="dxa"/>
            <w:tcBorders>
              <w:top w:val="nil"/>
              <w:left w:val="nil"/>
              <w:bottom w:val="single" w:sz="4" w:space="0" w:color="auto"/>
              <w:right w:val="single" w:sz="4" w:space="0" w:color="auto"/>
            </w:tcBorders>
            <w:vAlign w:val="center"/>
            <w:hideMark/>
          </w:tcPr>
          <w:p w14:paraId="2DBED790" w14:textId="06FFFFBC" w:rsidR="00F55740" w:rsidRPr="00F55740" w:rsidRDefault="00F55740" w:rsidP="00F55740">
            <w:pPr>
              <w:spacing w:after="0" w:line="240" w:lineRule="auto"/>
              <w:jc w:val="center"/>
              <w:rPr>
                <w:rFonts w:ascii="Times New Roman" w:eastAsia="Times New Roman" w:hAnsi="Times New Roman" w:cs="Times New Roman"/>
                <w:color w:val="000000"/>
                <w:kern w:val="0"/>
                <w:szCs w:val="24"/>
                <w:lang w:eastAsia="en-IN"/>
                <w14:ligatures w14:val="none"/>
              </w:rPr>
            </w:pPr>
          </w:p>
        </w:tc>
        <w:tc>
          <w:tcPr>
            <w:tcW w:w="1435" w:type="dxa"/>
            <w:tcBorders>
              <w:top w:val="nil"/>
              <w:left w:val="nil"/>
              <w:bottom w:val="single" w:sz="4" w:space="0" w:color="auto"/>
              <w:right w:val="single" w:sz="4" w:space="0" w:color="auto"/>
            </w:tcBorders>
            <w:vAlign w:val="center"/>
            <w:hideMark/>
          </w:tcPr>
          <w:p w14:paraId="0D608988" w14:textId="2602731D" w:rsidR="00F55740" w:rsidRPr="00F55740" w:rsidRDefault="00F55740" w:rsidP="00F55740">
            <w:pPr>
              <w:spacing w:after="0" w:line="240" w:lineRule="auto"/>
              <w:jc w:val="center"/>
              <w:rPr>
                <w:rFonts w:ascii="Times New Roman" w:eastAsia="Times New Roman" w:hAnsi="Times New Roman" w:cs="Times New Roman"/>
                <w:color w:val="000000"/>
                <w:kern w:val="0"/>
                <w:szCs w:val="24"/>
                <w:lang w:eastAsia="en-IN"/>
                <w14:ligatures w14:val="none"/>
              </w:rPr>
            </w:pPr>
          </w:p>
        </w:tc>
      </w:tr>
      <w:tr w:rsidR="00F55740" w:rsidRPr="00F55740" w14:paraId="2CD96AF1" w14:textId="77777777" w:rsidTr="00F55740">
        <w:trPr>
          <w:trHeight w:val="20"/>
        </w:trPr>
        <w:tc>
          <w:tcPr>
            <w:tcW w:w="846" w:type="dxa"/>
            <w:tcBorders>
              <w:top w:val="nil"/>
              <w:left w:val="single" w:sz="4" w:space="0" w:color="auto"/>
              <w:bottom w:val="single" w:sz="4" w:space="0" w:color="auto"/>
              <w:right w:val="single" w:sz="4" w:space="0" w:color="auto"/>
            </w:tcBorders>
            <w:noWrap/>
            <w:vAlign w:val="bottom"/>
            <w:hideMark/>
          </w:tcPr>
          <w:p w14:paraId="5A5B18F2" w14:textId="77777777" w:rsidR="00F55740" w:rsidRPr="00F55740" w:rsidRDefault="00F55740" w:rsidP="00F55740">
            <w:pPr>
              <w:spacing w:after="0" w:line="240" w:lineRule="auto"/>
              <w:rPr>
                <w:rFonts w:ascii="Aptos Narrow" w:eastAsia="Times New Roman" w:hAnsi="Aptos Narrow" w:cs="Times New Roman"/>
                <w:color w:val="000000"/>
                <w:kern w:val="0"/>
                <w:sz w:val="22"/>
                <w:szCs w:val="22"/>
                <w:lang w:eastAsia="en-IN"/>
                <w14:ligatures w14:val="none"/>
              </w:rPr>
            </w:pPr>
            <w:r w:rsidRPr="00F55740">
              <w:rPr>
                <w:rFonts w:ascii="Aptos Narrow" w:eastAsia="Times New Roman" w:hAnsi="Aptos Narrow" w:cs="Times New Roman"/>
                <w:color w:val="000000"/>
                <w:kern w:val="0"/>
                <w:sz w:val="22"/>
                <w:szCs w:val="22"/>
                <w:lang w:eastAsia="en-IN"/>
                <w14:ligatures w14:val="none"/>
              </w:rPr>
              <w:t> </w:t>
            </w:r>
          </w:p>
        </w:tc>
        <w:tc>
          <w:tcPr>
            <w:tcW w:w="1960" w:type="dxa"/>
            <w:tcBorders>
              <w:top w:val="nil"/>
              <w:left w:val="nil"/>
              <w:bottom w:val="single" w:sz="4" w:space="0" w:color="auto"/>
              <w:right w:val="single" w:sz="4" w:space="0" w:color="auto"/>
            </w:tcBorders>
            <w:vAlign w:val="center"/>
            <w:hideMark/>
          </w:tcPr>
          <w:p w14:paraId="73D8F25F" w14:textId="77777777" w:rsidR="00F55740" w:rsidRPr="00F55740" w:rsidRDefault="00F55740" w:rsidP="00F55740">
            <w:pPr>
              <w:spacing w:after="0" w:line="240" w:lineRule="auto"/>
              <w:rPr>
                <w:rFonts w:ascii="Times New Roman" w:eastAsia="Times New Roman" w:hAnsi="Times New Roman" w:cs="Times New Roman"/>
                <w:color w:val="000000"/>
                <w:kern w:val="0"/>
                <w:szCs w:val="24"/>
                <w:lang w:eastAsia="en-IN"/>
                <w14:ligatures w14:val="none"/>
              </w:rPr>
            </w:pPr>
            <w:r w:rsidRPr="00F55740">
              <w:rPr>
                <w:rFonts w:ascii="Times New Roman" w:eastAsia="Times New Roman" w:hAnsi="Times New Roman" w:cs="Times New Roman"/>
                <w:color w:val="000000"/>
                <w:kern w:val="0"/>
                <w:szCs w:val="24"/>
                <w:lang w:eastAsia="en-IN"/>
                <w14:ligatures w14:val="none"/>
              </w:rPr>
              <w:t>1964-65</w:t>
            </w:r>
          </w:p>
        </w:tc>
        <w:tc>
          <w:tcPr>
            <w:tcW w:w="1527" w:type="dxa"/>
            <w:tcBorders>
              <w:top w:val="nil"/>
              <w:left w:val="nil"/>
              <w:bottom w:val="single" w:sz="4" w:space="0" w:color="auto"/>
              <w:right w:val="single" w:sz="4" w:space="0" w:color="auto"/>
            </w:tcBorders>
            <w:vAlign w:val="center"/>
            <w:hideMark/>
          </w:tcPr>
          <w:p w14:paraId="64D72D61" w14:textId="77777777" w:rsidR="00F55740" w:rsidRPr="00F55740" w:rsidRDefault="00F55740" w:rsidP="00F55740">
            <w:pPr>
              <w:spacing w:after="0" w:line="240" w:lineRule="auto"/>
              <w:jc w:val="center"/>
              <w:rPr>
                <w:rFonts w:ascii="Times New Roman" w:eastAsia="Times New Roman" w:hAnsi="Times New Roman" w:cs="Times New Roman"/>
                <w:color w:val="000000"/>
                <w:kern w:val="0"/>
                <w:szCs w:val="24"/>
                <w:lang w:eastAsia="en-IN"/>
                <w14:ligatures w14:val="none"/>
              </w:rPr>
            </w:pPr>
            <w:r w:rsidRPr="00F55740">
              <w:rPr>
                <w:rFonts w:ascii="Times New Roman" w:eastAsia="Times New Roman" w:hAnsi="Times New Roman" w:cs="Times New Roman"/>
                <w:color w:val="000000"/>
                <w:kern w:val="0"/>
                <w:szCs w:val="24"/>
                <w:lang w:eastAsia="en-IN"/>
                <w14:ligatures w14:val="none"/>
              </w:rPr>
              <w:t>2934</w:t>
            </w:r>
          </w:p>
        </w:tc>
        <w:tc>
          <w:tcPr>
            <w:tcW w:w="1528" w:type="dxa"/>
            <w:tcBorders>
              <w:top w:val="nil"/>
              <w:left w:val="nil"/>
              <w:bottom w:val="single" w:sz="4" w:space="0" w:color="auto"/>
              <w:right w:val="single" w:sz="4" w:space="0" w:color="auto"/>
            </w:tcBorders>
            <w:vAlign w:val="center"/>
            <w:hideMark/>
          </w:tcPr>
          <w:p w14:paraId="2DF4E0A5" w14:textId="77777777" w:rsidR="00F55740" w:rsidRPr="00F55740" w:rsidRDefault="00F55740" w:rsidP="00F55740">
            <w:pPr>
              <w:spacing w:after="0" w:line="240" w:lineRule="auto"/>
              <w:jc w:val="center"/>
              <w:rPr>
                <w:rFonts w:ascii="Times New Roman" w:eastAsia="Times New Roman" w:hAnsi="Times New Roman" w:cs="Times New Roman"/>
                <w:color w:val="000000"/>
                <w:kern w:val="0"/>
                <w:szCs w:val="24"/>
                <w:lang w:eastAsia="en-IN"/>
                <w14:ligatures w14:val="none"/>
              </w:rPr>
            </w:pPr>
            <w:r w:rsidRPr="00F55740">
              <w:rPr>
                <w:rFonts w:ascii="Times New Roman" w:eastAsia="Times New Roman" w:hAnsi="Times New Roman" w:cs="Times New Roman"/>
                <w:color w:val="000000"/>
                <w:kern w:val="0"/>
                <w:szCs w:val="24"/>
                <w:lang w:eastAsia="en-IN"/>
                <w14:ligatures w14:val="none"/>
              </w:rPr>
              <w:t>465</w:t>
            </w:r>
          </w:p>
        </w:tc>
        <w:tc>
          <w:tcPr>
            <w:tcW w:w="1731" w:type="dxa"/>
            <w:tcBorders>
              <w:top w:val="nil"/>
              <w:left w:val="nil"/>
              <w:bottom w:val="single" w:sz="4" w:space="0" w:color="auto"/>
              <w:right w:val="single" w:sz="4" w:space="0" w:color="auto"/>
            </w:tcBorders>
            <w:vAlign w:val="center"/>
            <w:hideMark/>
          </w:tcPr>
          <w:p w14:paraId="265ADDD4" w14:textId="77777777" w:rsidR="00F55740" w:rsidRPr="00F55740" w:rsidRDefault="00F55740" w:rsidP="00F55740">
            <w:pPr>
              <w:spacing w:after="0" w:line="240" w:lineRule="auto"/>
              <w:jc w:val="center"/>
              <w:rPr>
                <w:rFonts w:ascii="Times New Roman" w:eastAsia="Times New Roman" w:hAnsi="Times New Roman" w:cs="Times New Roman"/>
                <w:color w:val="000000"/>
                <w:kern w:val="0"/>
                <w:szCs w:val="24"/>
                <w:lang w:eastAsia="en-IN"/>
                <w14:ligatures w14:val="none"/>
              </w:rPr>
            </w:pPr>
            <w:r w:rsidRPr="00F55740">
              <w:rPr>
                <w:rFonts w:ascii="Times New Roman" w:eastAsia="Times New Roman" w:hAnsi="Times New Roman" w:cs="Times New Roman"/>
                <w:color w:val="000000"/>
                <w:kern w:val="0"/>
                <w:szCs w:val="24"/>
                <w:lang w:eastAsia="en-IN"/>
                <w14:ligatures w14:val="none"/>
              </w:rPr>
              <w:t>28</w:t>
            </w:r>
          </w:p>
        </w:tc>
        <w:tc>
          <w:tcPr>
            <w:tcW w:w="1435" w:type="dxa"/>
            <w:tcBorders>
              <w:top w:val="nil"/>
              <w:left w:val="nil"/>
              <w:bottom w:val="single" w:sz="4" w:space="0" w:color="auto"/>
              <w:right w:val="single" w:sz="4" w:space="0" w:color="auto"/>
            </w:tcBorders>
            <w:vAlign w:val="center"/>
            <w:hideMark/>
          </w:tcPr>
          <w:p w14:paraId="06FCD739" w14:textId="77777777" w:rsidR="00F55740" w:rsidRPr="00F55740" w:rsidRDefault="00F55740" w:rsidP="00F55740">
            <w:pPr>
              <w:spacing w:after="0" w:line="240" w:lineRule="auto"/>
              <w:jc w:val="center"/>
              <w:rPr>
                <w:rFonts w:ascii="Times New Roman" w:eastAsia="Times New Roman" w:hAnsi="Times New Roman" w:cs="Times New Roman"/>
                <w:color w:val="000000"/>
                <w:kern w:val="0"/>
                <w:szCs w:val="24"/>
                <w:lang w:eastAsia="en-IN"/>
                <w14:ligatures w14:val="none"/>
              </w:rPr>
            </w:pPr>
            <w:r w:rsidRPr="00F55740">
              <w:rPr>
                <w:rFonts w:ascii="Times New Roman" w:eastAsia="Times New Roman" w:hAnsi="Times New Roman" w:cs="Times New Roman"/>
                <w:color w:val="000000"/>
                <w:kern w:val="0"/>
                <w:szCs w:val="24"/>
                <w:lang w:eastAsia="en-IN"/>
                <w14:ligatures w14:val="none"/>
              </w:rPr>
              <w:t>3427</w:t>
            </w:r>
          </w:p>
        </w:tc>
      </w:tr>
      <w:tr w:rsidR="00F55740" w:rsidRPr="00F55740" w14:paraId="364FF5E9" w14:textId="77777777" w:rsidTr="00F55740">
        <w:trPr>
          <w:trHeight w:val="20"/>
        </w:trPr>
        <w:tc>
          <w:tcPr>
            <w:tcW w:w="846" w:type="dxa"/>
            <w:tcBorders>
              <w:top w:val="nil"/>
              <w:left w:val="single" w:sz="4" w:space="0" w:color="auto"/>
              <w:bottom w:val="single" w:sz="4" w:space="0" w:color="auto"/>
              <w:right w:val="single" w:sz="4" w:space="0" w:color="auto"/>
            </w:tcBorders>
            <w:hideMark/>
          </w:tcPr>
          <w:p w14:paraId="2BE87319" w14:textId="77777777" w:rsidR="00F55740" w:rsidRPr="00F55740" w:rsidRDefault="00F55740" w:rsidP="00F55740">
            <w:pPr>
              <w:spacing w:after="0" w:line="240" w:lineRule="auto"/>
              <w:rPr>
                <w:rFonts w:ascii="Aptos" w:eastAsia="Times New Roman" w:hAnsi="Aptos" w:cs="Times New Roman"/>
                <w:color w:val="000000"/>
                <w:kern w:val="0"/>
                <w:szCs w:val="24"/>
                <w:lang w:eastAsia="en-IN"/>
                <w14:ligatures w14:val="none"/>
              </w:rPr>
            </w:pPr>
            <w:r w:rsidRPr="00F55740">
              <w:rPr>
                <w:rFonts w:ascii="Aptos" w:eastAsia="Times New Roman" w:hAnsi="Aptos" w:cs="Times New Roman"/>
                <w:color w:val="000000"/>
                <w:kern w:val="0"/>
                <w:szCs w:val="24"/>
                <w:lang w:eastAsia="en-IN"/>
                <w14:ligatures w14:val="none"/>
              </w:rPr>
              <w:t> </w:t>
            </w:r>
          </w:p>
        </w:tc>
        <w:tc>
          <w:tcPr>
            <w:tcW w:w="1960" w:type="dxa"/>
            <w:tcBorders>
              <w:top w:val="nil"/>
              <w:left w:val="nil"/>
              <w:bottom w:val="single" w:sz="4" w:space="0" w:color="auto"/>
              <w:right w:val="single" w:sz="4" w:space="0" w:color="auto"/>
            </w:tcBorders>
            <w:vAlign w:val="center"/>
            <w:hideMark/>
          </w:tcPr>
          <w:p w14:paraId="0F944DDE" w14:textId="77777777" w:rsidR="00F55740" w:rsidRPr="00F55740" w:rsidRDefault="00F55740" w:rsidP="00F55740">
            <w:pPr>
              <w:spacing w:after="0" w:line="240" w:lineRule="auto"/>
              <w:rPr>
                <w:rFonts w:ascii="Times New Roman" w:eastAsia="Times New Roman" w:hAnsi="Times New Roman" w:cs="Times New Roman"/>
                <w:color w:val="000000"/>
                <w:kern w:val="0"/>
                <w:szCs w:val="24"/>
                <w:lang w:eastAsia="en-IN"/>
                <w14:ligatures w14:val="none"/>
              </w:rPr>
            </w:pPr>
            <w:r w:rsidRPr="00F55740">
              <w:rPr>
                <w:rFonts w:ascii="Times New Roman" w:eastAsia="Times New Roman" w:hAnsi="Times New Roman" w:cs="Times New Roman"/>
                <w:color w:val="000000"/>
                <w:kern w:val="0"/>
                <w:szCs w:val="24"/>
                <w:lang w:eastAsia="en-IN"/>
                <w14:ligatures w14:val="none"/>
              </w:rPr>
              <w:t>1965-66</w:t>
            </w:r>
          </w:p>
        </w:tc>
        <w:tc>
          <w:tcPr>
            <w:tcW w:w="1527" w:type="dxa"/>
            <w:tcBorders>
              <w:top w:val="nil"/>
              <w:left w:val="nil"/>
              <w:bottom w:val="single" w:sz="4" w:space="0" w:color="auto"/>
              <w:right w:val="single" w:sz="4" w:space="0" w:color="auto"/>
            </w:tcBorders>
            <w:vAlign w:val="center"/>
            <w:hideMark/>
          </w:tcPr>
          <w:p w14:paraId="477BF193" w14:textId="77777777" w:rsidR="00F55740" w:rsidRPr="00F55740" w:rsidRDefault="00F55740" w:rsidP="00F55740">
            <w:pPr>
              <w:spacing w:after="0" w:line="240" w:lineRule="auto"/>
              <w:jc w:val="center"/>
              <w:rPr>
                <w:rFonts w:ascii="Times New Roman" w:eastAsia="Times New Roman" w:hAnsi="Times New Roman" w:cs="Times New Roman"/>
                <w:color w:val="000000"/>
                <w:kern w:val="0"/>
                <w:szCs w:val="24"/>
                <w:lang w:eastAsia="en-IN"/>
                <w14:ligatures w14:val="none"/>
              </w:rPr>
            </w:pPr>
            <w:r w:rsidRPr="00F55740">
              <w:rPr>
                <w:rFonts w:ascii="Times New Roman" w:eastAsia="Times New Roman" w:hAnsi="Times New Roman" w:cs="Times New Roman"/>
                <w:color w:val="000000"/>
                <w:kern w:val="0"/>
                <w:szCs w:val="24"/>
                <w:lang w:eastAsia="en-IN"/>
                <w14:ligatures w14:val="none"/>
              </w:rPr>
              <w:t>3261</w:t>
            </w:r>
          </w:p>
        </w:tc>
        <w:tc>
          <w:tcPr>
            <w:tcW w:w="1528" w:type="dxa"/>
            <w:tcBorders>
              <w:top w:val="nil"/>
              <w:left w:val="nil"/>
              <w:bottom w:val="single" w:sz="4" w:space="0" w:color="auto"/>
              <w:right w:val="single" w:sz="4" w:space="0" w:color="auto"/>
            </w:tcBorders>
            <w:vAlign w:val="center"/>
            <w:hideMark/>
          </w:tcPr>
          <w:p w14:paraId="78EF6985" w14:textId="77777777" w:rsidR="00F55740" w:rsidRPr="00F55740" w:rsidRDefault="00F55740" w:rsidP="00F55740">
            <w:pPr>
              <w:spacing w:after="0" w:line="240" w:lineRule="auto"/>
              <w:jc w:val="center"/>
              <w:rPr>
                <w:rFonts w:ascii="Times New Roman" w:eastAsia="Times New Roman" w:hAnsi="Times New Roman" w:cs="Times New Roman"/>
                <w:color w:val="000000"/>
                <w:kern w:val="0"/>
                <w:szCs w:val="24"/>
                <w:lang w:eastAsia="en-IN"/>
                <w14:ligatures w14:val="none"/>
              </w:rPr>
            </w:pPr>
            <w:r w:rsidRPr="00F55740">
              <w:rPr>
                <w:rFonts w:ascii="Times New Roman" w:eastAsia="Times New Roman" w:hAnsi="Times New Roman" w:cs="Times New Roman"/>
                <w:color w:val="000000"/>
                <w:kern w:val="0"/>
                <w:szCs w:val="24"/>
                <w:lang w:eastAsia="en-IN"/>
                <w14:ligatures w14:val="none"/>
              </w:rPr>
              <w:t>517</w:t>
            </w:r>
          </w:p>
        </w:tc>
        <w:tc>
          <w:tcPr>
            <w:tcW w:w="1731" w:type="dxa"/>
            <w:tcBorders>
              <w:top w:val="nil"/>
              <w:left w:val="nil"/>
              <w:bottom w:val="single" w:sz="4" w:space="0" w:color="auto"/>
              <w:right w:val="single" w:sz="4" w:space="0" w:color="auto"/>
            </w:tcBorders>
            <w:vAlign w:val="center"/>
            <w:hideMark/>
          </w:tcPr>
          <w:p w14:paraId="13AFFA59" w14:textId="77777777" w:rsidR="00F55740" w:rsidRPr="00F55740" w:rsidRDefault="00F55740" w:rsidP="00F55740">
            <w:pPr>
              <w:spacing w:after="0" w:line="240" w:lineRule="auto"/>
              <w:jc w:val="center"/>
              <w:rPr>
                <w:rFonts w:ascii="Times New Roman" w:eastAsia="Times New Roman" w:hAnsi="Times New Roman" w:cs="Times New Roman"/>
                <w:color w:val="000000"/>
                <w:kern w:val="0"/>
                <w:szCs w:val="24"/>
                <w:lang w:eastAsia="en-IN"/>
                <w14:ligatures w14:val="none"/>
              </w:rPr>
            </w:pPr>
            <w:r w:rsidRPr="00F55740">
              <w:rPr>
                <w:rFonts w:ascii="Times New Roman" w:eastAsia="Times New Roman" w:hAnsi="Times New Roman" w:cs="Times New Roman"/>
                <w:color w:val="000000"/>
                <w:kern w:val="0"/>
                <w:szCs w:val="24"/>
                <w:lang w:eastAsia="en-IN"/>
                <w14:ligatures w14:val="none"/>
              </w:rPr>
              <w:t>31</w:t>
            </w:r>
          </w:p>
        </w:tc>
        <w:tc>
          <w:tcPr>
            <w:tcW w:w="1435" w:type="dxa"/>
            <w:tcBorders>
              <w:top w:val="nil"/>
              <w:left w:val="nil"/>
              <w:bottom w:val="single" w:sz="4" w:space="0" w:color="auto"/>
              <w:right w:val="single" w:sz="4" w:space="0" w:color="auto"/>
            </w:tcBorders>
            <w:vAlign w:val="center"/>
            <w:hideMark/>
          </w:tcPr>
          <w:p w14:paraId="6123D284" w14:textId="77777777" w:rsidR="00F55740" w:rsidRPr="00F55740" w:rsidRDefault="00F55740" w:rsidP="00F55740">
            <w:pPr>
              <w:spacing w:after="0" w:line="240" w:lineRule="auto"/>
              <w:jc w:val="center"/>
              <w:rPr>
                <w:rFonts w:ascii="Times New Roman" w:eastAsia="Times New Roman" w:hAnsi="Times New Roman" w:cs="Times New Roman"/>
                <w:color w:val="000000"/>
                <w:kern w:val="0"/>
                <w:szCs w:val="24"/>
                <w:lang w:eastAsia="en-IN"/>
                <w14:ligatures w14:val="none"/>
              </w:rPr>
            </w:pPr>
            <w:r w:rsidRPr="00F55740">
              <w:rPr>
                <w:rFonts w:ascii="Times New Roman" w:eastAsia="Times New Roman" w:hAnsi="Times New Roman" w:cs="Times New Roman"/>
                <w:color w:val="000000"/>
                <w:kern w:val="0"/>
                <w:szCs w:val="24"/>
                <w:lang w:eastAsia="en-IN"/>
                <w14:ligatures w14:val="none"/>
              </w:rPr>
              <w:t>3809</w:t>
            </w:r>
          </w:p>
        </w:tc>
      </w:tr>
      <w:tr w:rsidR="00F55740" w:rsidRPr="00F55740" w14:paraId="52932E75" w14:textId="77777777" w:rsidTr="00F55740">
        <w:trPr>
          <w:trHeight w:val="20"/>
        </w:trPr>
        <w:tc>
          <w:tcPr>
            <w:tcW w:w="846" w:type="dxa"/>
            <w:tcBorders>
              <w:top w:val="nil"/>
              <w:left w:val="single" w:sz="4" w:space="0" w:color="auto"/>
              <w:bottom w:val="single" w:sz="4" w:space="0" w:color="auto"/>
              <w:right w:val="single" w:sz="4" w:space="0" w:color="auto"/>
            </w:tcBorders>
            <w:hideMark/>
          </w:tcPr>
          <w:p w14:paraId="3499AAF6" w14:textId="77777777" w:rsidR="00F55740" w:rsidRPr="00F55740" w:rsidRDefault="00F55740" w:rsidP="00F55740">
            <w:pPr>
              <w:spacing w:after="0" w:line="240" w:lineRule="auto"/>
              <w:rPr>
                <w:rFonts w:ascii="Aptos" w:eastAsia="Times New Roman" w:hAnsi="Aptos" w:cs="Times New Roman"/>
                <w:color w:val="000000"/>
                <w:kern w:val="0"/>
                <w:szCs w:val="24"/>
                <w:lang w:eastAsia="en-IN"/>
                <w14:ligatures w14:val="none"/>
              </w:rPr>
            </w:pPr>
            <w:r w:rsidRPr="00F55740">
              <w:rPr>
                <w:rFonts w:ascii="Aptos" w:eastAsia="Times New Roman" w:hAnsi="Aptos" w:cs="Times New Roman"/>
                <w:color w:val="000000"/>
                <w:kern w:val="0"/>
                <w:szCs w:val="24"/>
                <w:lang w:eastAsia="en-IN"/>
                <w14:ligatures w14:val="none"/>
              </w:rPr>
              <w:t> </w:t>
            </w:r>
          </w:p>
        </w:tc>
        <w:tc>
          <w:tcPr>
            <w:tcW w:w="1960" w:type="dxa"/>
            <w:tcBorders>
              <w:top w:val="nil"/>
              <w:left w:val="nil"/>
              <w:bottom w:val="single" w:sz="4" w:space="0" w:color="auto"/>
              <w:right w:val="single" w:sz="4" w:space="0" w:color="auto"/>
            </w:tcBorders>
            <w:vAlign w:val="center"/>
            <w:hideMark/>
          </w:tcPr>
          <w:p w14:paraId="06406581" w14:textId="77777777" w:rsidR="00F55740" w:rsidRPr="00F55740" w:rsidRDefault="00F55740" w:rsidP="00F55740">
            <w:pPr>
              <w:spacing w:after="0" w:line="240" w:lineRule="auto"/>
              <w:rPr>
                <w:rFonts w:ascii="Times New Roman" w:eastAsia="Times New Roman" w:hAnsi="Times New Roman" w:cs="Times New Roman"/>
                <w:color w:val="000000"/>
                <w:kern w:val="0"/>
                <w:szCs w:val="24"/>
                <w:lang w:eastAsia="en-IN"/>
                <w14:ligatures w14:val="none"/>
              </w:rPr>
            </w:pPr>
            <w:r w:rsidRPr="00F55740">
              <w:rPr>
                <w:rFonts w:ascii="Times New Roman" w:eastAsia="Times New Roman" w:hAnsi="Times New Roman" w:cs="Times New Roman"/>
                <w:color w:val="000000"/>
                <w:kern w:val="0"/>
                <w:szCs w:val="24"/>
                <w:lang w:eastAsia="en-IN"/>
                <w14:ligatures w14:val="none"/>
              </w:rPr>
              <w:t>1966-67</w:t>
            </w:r>
          </w:p>
        </w:tc>
        <w:tc>
          <w:tcPr>
            <w:tcW w:w="1527" w:type="dxa"/>
            <w:tcBorders>
              <w:top w:val="nil"/>
              <w:left w:val="nil"/>
              <w:bottom w:val="single" w:sz="4" w:space="0" w:color="auto"/>
              <w:right w:val="single" w:sz="4" w:space="0" w:color="auto"/>
            </w:tcBorders>
            <w:vAlign w:val="center"/>
            <w:hideMark/>
          </w:tcPr>
          <w:p w14:paraId="6F82B9F0" w14:textId="77777777" w:rsidR="00F55740" w:rsidRPr="00F55740" w:rsidRDefault="00F55740" w:rsidP="00F55740">
            <w:pPr>
              <w:spacing w:after="0" w:line="240" w:lineRule="auto"/>
              <w:jc w:val="center"/>
              <w:rPr>
                <w:rFonts w:ascii="Times New Roman" w:eastAsia="Times New Roman" w:hAnsi="Times New Roman" w:cs="Times New Roman"/>
                <w:color w:val="000000"/>
                <w:kern w:val="0"/>
                <w:szCs w:val="24"/>
                <w:lang w:eastAsia="en-IN"/>
                <w14:ligatures w14:val="none"/>
              </w:rPr>
            </w:pPr>
            <w:r w:rsidRPr="00F55740">
              <w:rPr>
                <w:rFonts w:ascii="Times New Roman" w:eastAsia="Times New Roman" w:hAnsi="Times New Roman" w:cs="Times New Roman"/>
                <w:color w:val="000000"/>
                <w:kern w:val="0"/>
                <w:szCs w:val="24"/>
                <w:lang w:eastAsia="en-IN"/>
                <w14:ligatures w14:val="none"/>
              </w:rPr>
              <w:t>3488</w:t>
            </w:r>
          </w:p>
        </w:tc>
        <w:tc>
          <w:tcPr>
            <w:tcW w:w="1528" w:type="dxa"/>
            <w:tcBorders>
              <w:top w:val="nil"/>
              <w:left w:val="nil"/>
              <w:bottom w:val="single" w:sz="4" w:space="0" w:color="auto"/>
              <w:right w:val="single" w:sz="4" w:space="0" w:color="auto"/>
            </w:tcBorders>
            <w:vAlign w:val="center"/>
            <w:hideMark/>
          </w:tcPr>
          <w:p w14:paraId="05240F3F" w14:textId="77777777" w:rsidR="00F55740" w:rsidRPr="00F55740" w:rsidRDefault="00F55740" w:rsidP="00F55740">
            <w:pPr>
              <w:spacing w:after="0" w:line="240" w:lineRule="auto"/>
              <w:jc w:val="center"/>
              <w:rPr>
                <w:rFonts w:ascii="Times New Roman" w:eastAsia="Times New Roman" w:hAnsi="Times New Roman" w:cs="Times New Roman"/>
                <w:color w:val="000000"/>
                <w:kern w:val="0"/>
                <w:szCs w:val="24"/>
                <w:lang w:eastAsia="en-IN"/>
                <w14:ligatures w14:val="none"/>
              </w:rPr>
            </w:pPr>
            <w:r w:rsidRPr="00F55740">
              <w:rPr>
                <w:rFonts w:ascii="Times New Roman" w:eastAsia="Times New Roman" w:hAnsi="Times New Roman" w:cs="Times New Roman"/>
                <w:color w:val="000000"/>
                <w:kern w:val="0"/>
                <w:szCs w:val="24"/>
                <w:lang w:eastAsia="en-IN"/>
                <w14:ligatures w14:val="none"/>
              </w:rPr>
              <w:t>553</w:t>
            </w:r>
          </w:p>
        </w:tc>
        <w:tc>
          <w:tcPr>
            <w:tcW w:w="1731" w:type="dxa"/>
            <w:tcBorders>
              <w:top w:val="nil"/>
              <w:left w:val="nil"/>
              <w:bottom w:val="single" w:sz="4" w:space="0" w:color="auto"/>
              <w:right w:val="single" w:sz="4" w:space="0" w:color="auto"/>
            </w:tcBorders>
            <w:vAlign w:val="center"/>
            <w:hideMark/>
          </w:tcPr>
          <w:p w14:paraId="53699C75" w14:textId="77777777" w:rsidR="00F55740" w:rsidRPr="00F55740" w:rsidRDefault="00F55740" w:rsidP="00F55740">
            <w:pPr>
              <w:spacing w:after="0" w:line="240" w:lineRule="auto"/>
              <w:jc w:val="center"/>
              <w:rPr>
                <w:rFonts w:ascii="Times New Roman" w:eastAsia="Times New Roman" w:hAnsi="Times New Roman" w:cs="Times New Roman"/>
                <w:color w:val="000000"/>
                <w:kern w:val="0"/>
                <w:szCs w:val="24"/>
                <w:lang w:eastAsia="en-IN"/>
                <w14:ligatures w14:val="none"/>
              </w:rPr>
            </w:pPr>
            <w:r w:rsidRPr="00F55740">
              <w:rPr>
                <w:rFonts w:ascii="Times New Roman" w:eastAsia="Times New Roman" w:hAnsi="Times New Roman" w:cs="Times New Roman"/>
                <w:color w:val="000000"/>
                <w:kern w:val="0"/>
                <w:szCs w:val="24"/>
                <w:lang w:eastAsia="en-IN"/>
                <w14:ligatures w14:val="none"/>
              </w:rPr>
              <w:t>33</w:t>
            </w:r>
          </w:p>
        </w:tc>
        <w:tc>
          <w:tcPr>
            <w:tcW w:w="1435" w:type="dxa"/>
            <w:tcBorders>
              <w:top w:val="nil"/>
              <w:left w:val="nil"/>
              <w:bottom w:val="single" w:sz="4" w:space="0" w:color="auto"/>
              <w:right w:val="single" w:sz="4" w:space="0" w:color="auto"/>
            </w:tcBorders>
            <w:vAlign w:val="center"/>
            <w:hideMark/>
          </w:tcPr>
          <w:p w14:paraId="15A413AA" w14:textId="77777777" w:rsidR="00F55740" w:rsidRPr="00F55740" w:rsidRDefault="00F55740" w:rsidP="00F55740">
            <w:pPr>
              <w:spacing w:after="0" w:line="240" w:lineRule="auto"/>
              <w:jc w:val="center"/>
              <w:rPr>
                <w:rFonts w:ascii="Times New Roman" w:eastAsia="Times New Roman" w:hAnsi="Times New Roman" w:cs="Times New Roman"/>
                <w:color w:val="000000"/>
                <w:kern w:val="0"/>
                <w:szCs w:val="24"/>
                <w:lang w:eastAsia="en-IN"/>
                <w14:ligatures w14:val="none"/>
              </w:rPr>
            </w:pPr>
            <w:r w:rsidRPr="00F55740">
              <w:rPr>
                <w:rFonts w:ascii="Times New Roman" w:eastAsia="Times New Roman" w:hAnsi="Times New Roman" w:cs="Times New Roman"/>
                <w:color w:val="000000"/>
                <w:kern w:val="0"/>
                <w:szCs w:val="24"/>
                <w:lang w:eastAsia="en-IN"/>
                <w14:ligatures w14:val="none"/>
              </w:rPr>
              <w:t>4074</w:t>
            </w:r>
          </w:p>
        </w:tc>
      </w:tr>
      <w:tr w:rsidR="00F55740" w:rsidRPr="00F55740" w14:paraId="634E9CC8" w14:textId="77777777" w:rsidTr="00F55740">
        <w:trPr>
          <w:trHeight w:val="20"/>
        </w:trPr>
        <w:tc>
          <w:tcPr>
            <w:tcW w:w="846" w:type="dxa"/>
            <w:tcBorders>
              <w:top w:val="nil"/>
              <w:left w:val="single" w:sz="4" w:space="0" w:color="auto"/>
              <w:bottom w:val="single" w:sz="4" w:space="0" w:color="auto"/>
              <w:right w:val="single" w:sz="4" w:space="0" w:color="auto"/>
            </w:tcBorders>
            <w:vAlign w:val="center"/>
            <w:hideMark/>
          </w:tcPr>
          <w:p w14:paraId="736A2634" w14:textId="77777777" w:rsidR="00F55740" w:rsidRPr="00F55740" w:rsidRDefault="00F55740" w:rsidP="00F55740">
            <w:pPr>
              <w:spacing w:after="0" w:line="240" w:lineRule="auto"/>
              <w:jc w:val="right"/>
              <w:rPr>
                <w:rFonts w:ascii="Times New Roman" w:eastAsia="Times New Roman" w:hAnsi="Times New Roman" w:cs="Times New Roman"/>
                <w:color w:val="000000"/>
                <w:kern w:val="0"/>
                <w:szCs w:val="24"/>
                <w:lang w:eastAsia="en-IN"/>
                <w14:ligatures w14:val="none"/>
              </w:rPr>
            </w:pPr>
            <w:r w:rsidRPr="00F55740">
              <w:rPr>
                <w:rFonts w:ascii="Times New Roman" w:eastAsia="Times New Roman" w:hAnsi="Times New Roman" w:cs="Times New Roman"/>
                <w:color w:val="000000"/>
                <w:kern w:val="0"/>
                <w:szCs w:val="24"/>
                <w:lang w:eastAsia="en-IN"/>
                <w14:ligatures w14:val="none"/>
              </w:rPr>
              <w:t>4</w:t>
            </w:r>
          </w:p>
        </w:tc>
        <w:tc>
          <w:tcPr>
            <w:tcW w:w="1960" w:type="dxa"/>
            <w:tcBorders>
              <w:top w:val="nil"/>
              <w:left w:val="nil"/>
              <w:bottom w:val="single" w:sz="4" w:space="0" w:color="auto"/>
              <w:right w:val="single" w:sz="4" w:space="0" w:color="auto"/>
            </w:tcBorders>
            <w:vAlign w:val="center"/>
            <w:hideMark/>
          </w:tcPr>
          <w:p w14:paraId="4A4881B7" w14:textId="77777777" w:rsidR="00F55740" w:rsidRPr="00F55740" w:rsidRDefault="00F55740" w:rsidP="00F55740">
            <w:pPr>
              <w:spacing w:after="0" w:line="240" w:lineRule="auto"/>
              <w:rPr>
                <w:rFonts w:ascii="Times New Roman" w:eastAsia="Times New Roman" w:hAnsi="Times New Roman" w:cs="Times New Roman"/>
                <w:color w:val="000000"/>
                <w:kern w:val="0"/>
                <w:szCs w:val="24"/>
                <w:lang w:eastAsia="en-IN"/>
                <w14:ligatures w14:val="none"/>
              </w:rPr>
            </w:pPr>
            <w:r w:rsidRPr="00F55740">
              <w:rPr>
                <w:rFonts w:ascii="Times New Roman" w:eastAsia="Times New Roman" w:hAnsi="Times New Roman" w:cs="Times New Roman"/>
                <w:color w:val="000000"/>
                <w:kern w:val="0"/>
                <w:szCs w:val="24"/>
                <w:lang w:eastAsia="en-IN"/>
                <w14:ligatures w14:val="none"/>
              </w:rPr>
              <w:t>North Eastern</w:t>
            </w:r>
          </w:p>
        </w:tc>
        <w:tc>
          <w:tcPr>
            <w:tcW w:w="1527" w:type="dxa"/>
            <w:tcBorders>
              <w:top w:val="nil"/>
              <w:left w:val="nil"/>
              <w:bottom w:val="single" w:sz="4" w:space="0" w:color="auto"/>
              <w:right w:val="single" w:sz="4" w:space="0" w:color="auto"/>
            </w:tcBorders>
            <w:vAlign w:val="center"/>
            <w:hideMark/>
          </w:tcPr>
          <w:p w14:paraId="5AA527D0" w14:textId="4706F2A1" w:rsidR="00F55740" w:rsidRPr="00F55740" w:rsidRDefault="00F55740" w:rsidP="00F55740">
            <w:pPr>
              <w:spacing w:after="0" w:line="240" w:lineRule="auto"/>
              <w:jc w:val="center"/>
              <w:rPr>
                <w:rFonts w:ascii="Times New Roman" w:eastAsia="Times New Roman" w:hAnsi="Times New Roman" w:cs="Times New Roman"/>
                <w:color w:val="000000"/>
                <w:kern w:val="0"/>
                <w:szCs w:val="24"/>
                <w:lang w:eastAsia="en-IN"/>
                <w14:ligatures w14:val="none"/>
              </w:rPr>
            </w:pPr>
          </w:p>
        </w:tc>
        <w:tc>
          <w:tcPr>
            <w:tcW w:w="1528" w:type="dxa"/>
            <w:tcBorders>
              <w:top w:val="nil"/>
              <w:left w:val="nil"/>
              <w:bottom w:val="single" w:sz="4" w:space="0" w:color="auto"/>
              <w:right w:val="single" w:sz="4" w:space="0" w:color="auto"/>
            </w:tcBorders>
            <w:vAlign w:val="center"/>
            <w:hideMark/>
          </w:tcPr>
          <w:p w14:paraId="0CF54AB4" w14:textId="7096F52F" w:rsidR="00F55740" w:rsidRPr="00F55740" w:rsidRDefault="00F55740" w:rsidP="00F55740">
            <w:pPr>
              <w:spacing w:after="0" w:line="240" w:lineRule="auto"/>
              <w:jc w:val="center"/>
              <w:rPr>
                <w:rFonts w:ascii="Times New Roman" w:eastAsia="Times New Roman" w:hAnsi="Times New Roman" w:cs="Times New Roman"/>
                <w:color w:val="000000"/>
                <w:kern w:val="0"/>
                <w:szCs w:val="24"/>
                <w:lang w:eastAsia="en-IN"/>
                <w14:ligatures w14:val="none"/>
              </w:rPr>
            </w:pPr>
          </w:p>
        </w:tc>
        <w:tc>
          <w:tcPr>
            <w:tcW w:w="1731" w:type="dxa"/>
            <w:tcBorders>
              <w:top w:val="nil"/>
              <w:left w:val="nil"/>
              <w:bottom w:val="single" w:sz="4" w:space="0" w:color="auto"/>
              <w:right w:val="single" w:sz="4" w:space="0" w:color="auto"/>
            </w:tcBorders>
            <w:vAlign w:val="center"/>
            <w:hideMark/>
          </w:tcPr>
          <w:p w14:paraId="393FA3B2" w14:textId="6A48FF16" w:rsidR="00F55740" w:rsidRPr="00F55740" w:rsidRDefault="00F55740" w:rsidP="00F55740">
            <w:pPr>
              <w:spacing w:after="0" w:line="240" w:lineRule="auto"/>
              <w:jc w:val="center"/>
              <w:rPr>
                <w:rFonts w:ascii="Times New Roman" w:eastAsia="Times New Roman" w:hAnsi="Times New Roman" w:cs="Times New Roman"/>
                <w:color w:val="000000"/>
                <w:kern w:val="0"/>
                <w:szCs w:val="24"/>
                <w:lang w:eastAsia="en-IN"/>
                <w14:ligatures w14:val="none"/>
              </w:rPr>
            </w:pPr>
          </w:p>
        </w:tc>
        <w:tc>
          <w:tcPr>
            <w:tcW w:w="1435" w:type="dxa"/>
            <w:tcBorders>
              <w:top w:val="nil"/>
              <w:left w:val="nil"/>
              <w:bottom w:val="single" w:sz="4" w:space="0" w:color="auto"/>
              <w:right w:val="single" w:sz="4" w:space="0" w:color="auto"/>
            </w:tcBorders>
            <w:vAlign w:val="center"/>
            <w:hideMark/>
          </w:tcPr>
          <w:p w14:paraId="5977C85E" w14:textId="0D6EE84E" w:rsidR="00F55740" w:rsidRPr="00F55740" w:rsidRDefault="00F55740" w:rsidP="00F55740">
            <w:pPr>
              <w:spacing w:after="0" w:line="240" w:lineRule="auto"/>
              <w:jc w:val="center"/>
              <w:rPr>
                <w:rFonts w:ascii="Times New Roman" w:eastAsia="Times New Roman" w:hAnsi="Times New Roman" w:cs="Times New Roman"/>
                <w:color w:val="000000"/>
                <w:kern w:val="0"/>
                <w:szCs w:val="24"/>
                <w:lang w:eastAsia="en-IN"/>
                <w14:ligatures w14:val="none"/>
              </w:rPr>
            </w:pPr>
          </w:p>
        </w:tc>
      </w:tr>
      <w:tr w:rsidR="00F55740" w:rsidRPr="00F55740" w14:paraId="07B4F33E" w14:textId="77777777" w:rsidTr="00F55740">
        <w:trPr>
          <w:trHeight w:val="20"/>
        </w:trPr>
        <w:tc>
          <w:tcPr>
            <w:tcW w:w="846" w:type="dxa"/>
            <w:tcBorders>
              <w:top w:val="nil"/>
              <w:left w:val="single" w:sz="4" w:space="0" w:color="auto"/>
              <w:bottom w:val="single" w:sz="4" w:space="0" w:color="auto"/>
              <w:right w:val="single" w:sz="4" w:space="0" w:color="auto"/>
            </w:tcBorders>
            <w:noWrap/>
            <w:vAlign w:val="bottom"/>
            <w:hideMark/>
          </w:tcPr>
          <w:p w14:paraId="59E18E4E" w14:textId="77777777" w:rsidR="00F55740" w:rsidRPr="00F55740" w:rsidRDefault="00F55740" w:rsidP="00F55740">
            <w:pPr>
              <w:spacing w:after="0" w:line="240" w:lineRule="auto"/>
              <w:rPr>
                <w:rFonts w:ascii="Aptos Narrow" w:eastAsia="Times New Roman" w:hAnsi="Aptos Narrow" w:cs="Times New Roman"/>
                <w:color w:val="000000"/>
                <w:kern w:val="0"/>
                <w:sz w:val="22"/>
                <w:szCs w:val="22"/>
                <w:lang w:eastAsia="en-IN"/>
                <w14:ligatures w14:val="none"/>
              </w:rPr>
            </w:pPr>
            <w:r w:rsidRPr="00F55740">
              <w:rPr>
                <w:rFonts w:ascii="Aptos Narrow" w:eastAsia="Times New Roman" w:hAnsi="Aptos Narrow" w:cs="Times New Roman"/>
                <w:color w:val="000000"/>
                <w:kern w:val="0"/>
                <w:sz w:val="22"/>
                <w:szCs w:val="22"/>
                <w:lang w:eastAsia="en-IN"/>
                <w14:ligatures w14:val="none"/>
              </w:rPr>
              <w:t> </w:t>
            </w:r>
          </w:p>
        </w:tc>
        <w:tc>
          <w:tcPr>
            <w:tcW w:w="1960" w:type="dxa"/>
            <w:tcBorders>
              <w:top w:val="nil"/>
              <w:left w:val="nil"/>
              <w:bottom w:val="single" w:sz="4" w:space="0" w:color="auto"/>
              <w:right w:val="single" w:sz="4" w:space="0" w:color="auto"/>
            </w:tcBorders>
            <w:vAlign w:val="center"/>
            <w:hideMark/>
          </w:tcPr>
          <w:p w14:paraId="3D1D2485" w14:textId="77777777" w:rsidR="00F55740" w:rsidRPr="00F55740" w:rsidRDefault="00F55740" w:rsidP="00F55740">
            <w:pPr>
              <w:spacing w:after="0" w:line="240" w:lineRule="auto"/>
              <w:rPr>
                <w:rFonts w:ascii="Times New Roman" w:eastAsia="Times New Roman" w:hAnsi="Times New Roman" w:cs="Times New Roman"/>
                <w:color w:val="000000"/>
                <w:kern w:val="0"/>
                <w:szCs w:val="24"/>
                <w:lang w:eastAsia="en-IN"/>
                <w14:ligatures w14:val="none"/>
              </w:rPr>
            </w:pPr>
            <w:r w:rsidRPr="00F55740">
              <w:rPr>
                <w:rFonts w:ascii="Times New Roman" w:eastAsia="Times New Roman" w:hAnsi="Times New Roman" w:cs="Times New Roman"/>
                <w:color w:val="000000"/>
                <w:kern w:val="0"/>
                <w:szCs w:val="24"/>
                <w:lang w:eastAsia="en-IN"/>
                <w14:ligatures w14:val="none"/>
              </w:rPr>
              <w:t>1964-65</w:t>
            </w:r>
          </w:p>
        </w:tc>
        <w:tc>
          <w:tcPr>
            <w:tcW w:w="1527" w:type="dxa"/>
            <w:tcBorders>
              <w:top w:val="nil"/>
              <w:left w:val="nil"/>
              <w:bottom w:val="single" w:sz="4" w:space="0" w:color="auto"/>
              <w:right w:val="single" w:sz="4" w:space="0" w:color="auto"/>
            </w:tcBorders>
            <w:vAlign w:val="center"/>
            <w:hideMark/>
          </w:tcPr>
          <w:p w14:paraId="220EE885" w14:textId="77777777" w:rsidR="00F55740" w:rsidRPr="00F55740" w:rsidRDefault="00F55740" w:rsidP="00F55740">
            <w:pPr>
              <w:spacing w:after="0" w:line="240" w:lineRule="auto"/>
              <w:jc w:val="center"/>
              <w:rPr>
                <w:rFonts w:ascii="Times New Roman" w:eastAsia="Times New Roman" w:hAnsi="Times New Roman" w:cs="Times New Roman"/>
                <w:color w:val="000000"/>
                <w:kern w:val="0"/>
                <w:szCs w:val="24"/>
                <w:lang w:eastAsia="en-IN"/>
                <w14:ligatures w14:val="none"/>
              </w:rPr>
            </w:pPr>
            <w:r w:rsidRPr="00F55740">
              <w:rPr>
                <w:rFonts w:ascii="Times New Roman" w:eastAsia="Times New Roman" w:hAnsi="Times New Roman" w:cs="Times New Roman"/>
                <w:color w:val="000000"/>
                <w:kern w:val="0"/>
                <w:szCs w:val="24"/>
                <w:lang w:eastAsia="en-IN"/>
                <w14:ligatures w14:val="none"/>
              </w:rPr>
              <w:t>5</w:t>
            </w:r>
          </w:p>
        </w:tc>
        <w:tc>
          <w:tcPr>
            <w:tcW w:w="1528" w:type="dxa"/>
            <w:tcBorders>
              <w:top w:val="nil"/>
              <w:left w:val="nil"/>
              <w:bottom w:val="single" w:sz="4" w:space="0" w:color="auto"/>
              <w:right w:val="single" w:sz="4" w:space="0" w:color="auto"/>
            </w:tcBorders>
            <w:vAlign w:val="center"/>
            <w:hideMark/>
          </w:tcPr>
          <w:p w14:paraId="30FB06DE" w14:textId="77777777" w:rsidR="00F55740" w:rsidRPr="00F55740" w:rsidRDefault="00F55740" w:rsidP="00F55740">
            <w:pPr>
              <w:spacing w:after="0" w:line="240" w:lineRule="auto"/>
              <w:jc w:val="center"/>
              <w:rPr>
                <w:rFonts w:ascii="Times New Roman" w:eastAsia="Times New Roman" w:hAnsi="Times New Roman" w:cs="Times New Roman"/>
                <w:color w:val="000000"/>
                <w:kern w:val="0"/>
                <w:szCs w:val="24"/>
                <w:lang w:eastAsia="en-IN"/>
                <w14:ligatures w14:val="none"/>
              </w:rPr>
            </w:pPr>
            <w:r w:rsidRPr="00F55740">
              <w:rPr>
                <w:rFonts w:ascii="Times New Roman" w:eastAsia="Times New Roman" w:hAnsi="Times New Roman" w:cs="Times New Roman"/>
                <w:color w:val="000000"/>
                <w:kern w:val="0"/>
                <w:szCs w:val="24"/>
                <w:lang w:eastAsia="en-IN"/>
                <w14:ligatures w14:val="none"/>
              </w:rPr>
              <w:t>1446</w:t>
            </w:r>
          </w:p>
        </w:tc>
        <w:tc>
          <w:tcPr>
            <w:tcW w:w="1731" w:type="dxa"/>
            <w:tcBorders>
              <w:top w:val="nil"/>
              <w:left w:val="nil"/>
              <w:bottom w:val="single" w:sz="4" w:space="0" w:color="auto"/>
              <w:right w:val="single" w:sz="4" w:space="0" w:color="auto"/>
            </w:tcBorders>
            <w:vAlign w:val="center"/>
            <w:hideMark/>
          </w:tcPr>
          <w:p w14:paraId="2943303E" w14:textId="77777777" w:rsidR="00F55740" w:rsidRPr="00F55740" w:rsidRDefault="00F55740" w:rsidP="00F55740">
            <w:pPr>
              <w:spacing w:after="0" w:line="240" w:lineRule="auto"/>
              <w:jc w:val="center"/>
              <w:rPr>
                <w:rFonts w:ascii="Times New Roman" w:eastAsia="Times New Roman" w:hAnsi="Times New Roman" w:cs="Times New Roman"/>
                <w:color w:val="000000"/>
                <w:kern w:val="0"/>
                <w:szCs w:val="24"/>
                <w:lang w:eastAsia="en-IN"/>
                <w14:ligatures w14:val="none"/>
              </w:rPr>
            </w:pPr>
            <w:r w:rsidRPr="00F55740">
              <w:rPr>
                <w:rFonts w:ascii="Times New Roman" w:eastAsia="Times New Roman" w:hAnsi="Times New Roman" w:cs="Times New Roman"/>
                <w:color w:val="000000"/>
                <w:kern w:val="0"/>
                <w:szCs w:val="24"/>
                <w:lang w:eastAsia="en-IN"/>
                <w14:ligatures w14:val="none"/>
              </w:rPr>
              <w:t>..</w:t>
            </w:r>
          </w:p>
        </w:tc>
        <w:tc>
          <w:tcPr>
            <w:tcW w:w="1435" w:type="dxa"/>
            <w:tcBorders>
              <w:top w:val="nil"/>
              <w:left w:val="nil"/>
              <w:bottom w:val="single" w:sz="4" w:space="0" w:color="auto"/>
              <w:right w:val="single" w:sz="4" w:space="0" w:color="auto"/>
            </w:tcBorders>
            <w:vAlign w:val="center"/>
            <w:hideMark/>
          </w:tcPr>
          <w:p w14:paraId="119E79D7" w14:textId="77777777" w:rsidR="00F55740" w:rsidRPr="00F55740" w:rsidRDefault="00F55740" w:rsidP="00F55740">
            <w:pPr>
              <w:spacing w:after="0" w:line="240" w:lineRule="auto"/>
              <w:jc w:val="center"/>
              <w:rPr>
                <w:rFonts w:ascii="Times New Roman" w:eastAsia="Times New Roman" w:hAnsi="Times New Roman" w:cs="Times New Roman"/>
                <w:color w:val="000000"/>
                <w:kern w:val="0"/>
                <w:szCs w:val="24"/>
                <w:lang w:eastAsia="en-IN"/>
                <w14:ligatures w14:val="none"/>
              </w:rPr>
            </w:pPr>
            <w:r w:rsidRPr="00F55740">
              <w:rPr>
                <w:rFonts w:ascii="Times New Roman" w:eastAsia="Times New Roman" w:hAnsi="Times New Roman" w:cs="Times New Roman"/>
                <w:color w:val="000000"/>
                <w:kern w:val="0"/>
                <w:szCs w:val="24"/>
                <w:lang w:eastAsia="en-IN"/>
                <w14:ligatures w14:val="none"/>
              </w:rPr>
              <w:t>1451</w:t>
            </w:r>
          </w:p>
        </w:tc>
      </w:tr>
      <w:tr w:rsidR="00F55740" w:rsidRPr="00F55740" w14:paraId="76D6A659" w14:textId="77777777" w:rsidTr="00F55740">
        <w:trPr>
          <w:trHeight w:val="20"/>
        </w:trPr>
        <w:tc>
          <w:tcPr>
            <w:tcW w:w="846" w:type="dxa"/>
            <w:tcBorders>
              <w:top w:val="nil"/>
              <w:left w:val="single" w:sz="4" w:space="0" w:color="auto"/>
              <w:bottom w:val="single" w:sz="4" w:space="0" w:color="auto"/>
              <w:right w:val="single" w:sz="4" w:space="0" w:color="auto"/>
            </w:tcBorders>
            <w:hideMark/>
          </w:tcPr>
          <w:p w14:paraId="43E44599" w14:textId="77777777" w:rsidR="00F55740" w:rsidRPr="00F55740" w:rsidRDefault="00F55740" w:rsidP="00F55740">
            <w:pPr>
              <w:spacing w:after="0" w:line="240" w:lineRule="auto"/>
              <w:rPr>
                <w:rFonts w:ascii="Aptos" w:eastAsia="Times New Roman" w:hAnsi="Aptos" w:cs="Times New Roman"/>
                <w:color w:val="000000"/>
                <w:kern w:val="0"/>
                <w:szCs w:val="24"/>
                <w:lang w:eastAsia="en-IN"/>
                <w14:ligatures w14:val="none"/>
              </w:rPr>
            </w:pPr>
            <w:r w:rsidRPr="00F55740">
              <w:rPr>
                <w:rFonts w:ascii="Aptos" w:eastAsia="Times New Roman" w:hAnsi="Aptos" w:cs="Times New Roman"/>
                <w:color w:val="000000"/>
                <w:kern w:val="0"/>
                <w:szCs w:val="24"/>
                <w:lang w:eastAsia="en-IN"/>
                <w14:ligatures w14:val="none"/>
              </w:rPr>
              <w:t> </w:t>
            </w:r>
          </w:p>
        </w:tc>
        <w:tc>
          <w:tcPr>
            <w:tcW w:w="1960" w:type="dxa"/>
            <w:tcBorders>
              <w:top w:val="nil"/>
              <w:left w:val="nil"/>
              <w:bottom w:val="single" w:sz="4" w:space="0" w:color="auto"/>
              <w:right w:val="single" w:sz="4" w:space="0" w:color="auto"/>
            </w:tcBorders>
            <w:vAlign w:val="center"/>
            <w:hideMark/>
          </w:tcPr>
          <w:p w14:paraId="274EE1A4" w14:textId="77777777" w:rsidR="00F55740" w:rsidRPr="00F55740" w:rsidRDefault="00F55740" w:rsidP="00F55740">
            <w:pPr>
              <w:spacing w:after="0" w:line="240" w:lineRule="auto"/>
              <w:rPr>
                <w:rFonts w:ascii="Times New Roman" w:eastAsia="Times New Roman" w:hAnsi="Times New Roman" w:cs="Times New Roman"/>
                <w:color w:val="000000"/>
                <w:kern w:val="0"/>
                <w:szCs w:val="24"/>
                <w:lang w:eastAsia="en-IN"/>
                <w14:ligatures w14:val="none"/>
              </w:rPr>
            </w:pPr>
            <w:r w:rsidRPr="00F55740">
              <w:rPr>
                <w:rFonts w:ascii="Times New Roman" w:eastAsia="Times New Roman" w:hAnsi="Times New Roman" w:cs="Times New Roman"/>
                <w:color w:val="000000"/>
                <w:kern w:val="0"/>
                <w:szCs w:val="24"/>
                <w:lang w:eastAsia="en-IN"/>
                <w14:ligatures w14:val="none"/>
              </w:rPr>
              <w:t>1965-66</w:t>
            </w:r>
          </w:p>
        </w:tc>
        <w:tc>
          <w:tcPr>
            <w:tcW w:w="1527" w:type="dxa"/>
            <w:tcBorders>
              <w:top w:val="nil"/>
              <w:left w:val="nil"/>
              <w:bottom w:val="single" w:sz="4" w:space="0" w:color="auto"/>
              <w:right w:val="single" w:sz="4" w:space="0" w:color="auto"/>
            </w:tcBorders>
            <w:vAlign w:val="center"/>
            <w:hideMark/>
          </w:tcPr>
          <w:p w14:paraId="18330900" w14:textId="77777777" w:rsidR="00F55740" w:rsidRPr="00F55740" w:rsidRDefault="00F55740" w:rsidP="00F55740">
            <w:pPr>
              <w:spacing w:after="0" w:line="240" w:lineRule="auto"/>
              <w:jc w:val="center"/>
              <w:rPr>
                <w:rFonts w:ascii="Times New Roman" w:eastAsia="Times New Roman" w:hAnsi="Times New Roman" w:cs="Times New Roman"/>
                <w:color w:val="000000"/>
                <w:kern w:val="0"/>
                <w:szCs w:val="24"/>
                <w:lang w:eastAsia="en-IN"/>
                <w14:ligatures w14:val="none"/>
              </w:rPr>
            </w:pPr>
            <w:r w:rsidRPr="00F55740">
              <w:rPr>
                <w:rFonts w:ascii="Times New Roman" w:eastAsia="Times New Roman" w:hAnsi="Times New Roman" w:cs="Times New Roman"/>
                <w:color w:val="000000"/>
                <w:kern w:val="0"/>
                <w:szCs w:val="24"/>
                <w:lang w:eastAsia="en-IN"/>
                <w14:ligatures w14:val="none"/>
              </w:rPr>
              <w:t>6</w:t>
            </w:r>
          </w:p>
        </w:tc>
        <w:tc>
          <w:tcPr>
            <w:tcW w:w="1528" w:type="dxa"/>
            <w:tcBorders>
              <w:top w:val="nil"/>
              <w:left w:val="nil"/>
              <w:bottom w:val="single" w:sz="4" w:space="0" w:color="auto"/>
              <w:right w:val="single" w:sz="4" w:space="0" w:color="auto"/>
            </w:tcBorders>
            <w:vAlign w:val="center"/>
            <w:hideMark/>
          </w:tcPr>
          <w:p w14:paraId="78ED1638" w14:textId="77777777" w:rsidR="00F55740" w:rsidRPr="00F55740" w:rsidRDefault="00F55740" w:rsidP="00F55740">
            <w:pPr>
              <w:spacing w:after="0" w:line="240" w:lineRule="auto"/>
              <w:jc w:val="center"/>
              <w:rPr>
                <w:rFonts w:ascii="Times New Roman" w:eastAsia="Times New Roman" w:hAnsi="Times New Roman" w:cs="Times New Roman"/>
                <w:color w:val="000000"/>
                <w:kern w:val="0"/>
                <w:szCs w:val="24"/>
                <w:lang w:eastAsia="en-IN"/>
                <w14:ligatures w14:val="none"/>
              </w:rPr>
            </w:pPr>
            <w:r w:rsidRPr="00F55740">
              <w:rPr>
                <w:rFonts w:ascii="Times New Roman" w:eastAsia="Times New Roman" w:hAnsi="Times New Roman" w:cs="Times New Roman"/>
                <w:color w:val="000000"/>
                <w:kern w:val="0"/>
                <w:szCs w:val="24"/>
                <w:lang w:eastAsia="en-IN"/>
                <w14:ligatures w14:val="none"/>
              </w:rPr>
              <w:t>1610</w:t>
            </w:r>
          </w:p>
        </w:tc>
        <w:tc>
          <w:tcPr>
            <w:tcW w:w="1731" w:type="dxa"/>
            <w:tcBorders>
              <w:top w:val="nil"/>
              <w:left w:val="nil"/>
              <w:bottom w:val="single" w:sz="4" w:space="0" w:color="auto"/>
              <w:right w:val="single" w:sz="4" w:space="0" w:color="auto"/>
            </w:tcBorders>
            <w:vAlign w:val="center"/>
            <w:hideMark/>
          </w:tcPr>
          <w:p w14:paraId="3A7A5EA7" w14:textId="77777777" w:rsidR="00F55740" w:rsidRPr="00F55740" w:rsidRDefault="00F55740" w:rsidP="00F55740">
            <w:pPr>
              <w:spacing w:after="0" w:line="240" w:lineRule="auto"/>
              <w:jc w:val="center"/>
              <w:rPr>
                <w:rFonts w:ascii="Times New Roman" w:eastAsia="Times New Roman" w:hAnsi="Times New Roman" w:cs="Times New Roman"/>
                <w:color w:val="000000"/>
                <w:kern w:val="0"/>
                <w:szCs w:val="24"/>
                <w:lang w:eastAsia="en-IN"/>
                <w14:ligatures w14:val="none"/>
              </w:rPr>
            </w:pPr>
            <w:r w:rsidRPr="00F55740">
              <w:rPr>
                <w:rFonts w:ascii="Times New Roman" w:eastAsia="Times New Roman" w:hAnsi="Times New Roman" w:cs="Times New Roman"/>
                <w:color w:val="000000"/>
                <w:kern w:val="0"/>
                <w:szCs w:val="24"/>
                <w:lang w:eastAsia="en-IN"/>
                <w14:ligatures w14:val="none"/>
              </w:rPr>
              <w:t>..</w:t>
            </w:r>
          </w:p>
        </w:tc>
        <w:tc>
          <w:tcPr>
            <w:tcW w:w="1435" w:type="dxa"/>
            <w:tcBorders>
              <w:top w:val="nil"/>
              <w:left w:val="nil"/>
              <w:bottom w:val="single" w:sz="4" w:space="0" w:color="auto"/>
              <w:right w:val="single" w:sz="4" w:space="0" w:color="auto"/>
            </w:tcBorders>
            <w:vAlign w:val="center"/>
            <w:hideMark/>
          </w:tcPr>
          <w:p w14:paraId="038DED56" w14:textId="77777777" w:rsidR="00F55740" w:rsidRPr="00F55740" w:rsidRDefault="00F55740" w:rsidP="00F55740">
            <w:pPr>
              <w:spacing w:after="0" w:line="240" w:lineRule="auto"/>
              <w:jc w:val="center"/>
              <w:rPr>
                <w:rFonts w:ascii="Times New Roman" w:eastAsia="Times New Roman" w:hAnsi="Times New Roman" w:cs="Times New Roman"/>
                <w:color w:val="000000"/>
                <w:kern w:val="0"/>
                <w:szCs w:val="24"/>
                <w:lang w:eastAsia="en-IN"/>
                <w14:ligatures w14:val="none"/>
              </w:rPr>
            </w:pPr>
            <w:r w:rsidRPr="00F55740">
              <w:rPr>
                <w:rFonts w:ascii="Times New Roman" w:eastAsia="Times New Roman" w:hAnsi="Times New Roman" w:cs="Times New Roman"/>
                <w:color w:val="000000"/>
                <w:kern w:val="0"/>
                <w:szCs w:val="24"/>
                <w:lang w:eastAsia="en-IN"/>
                <w14:ligatures w14:val="none"/>
              </w:rPr>
              <w:t>1616</w:t>
            </w:r>
          </w:p>
        </w:tc>
      </w:tr>
      <w:tr w:rsidR="00F55740" w:rsidRPr="00F55740" w14:paraId="4F853304" w14:textId="77777777" w:rsidTr="00F55740">
        <w:trPr>
          <w:trHeight w:val="20"/>
        </w:trPr>
        <w:tc>
          <w:tcPr>
            <w:tcW w:w="846" w:type="dxa"/>
            <w:tcBorders>
              <w:top w:val="nil"/>
              <w:left w:val="single" w:sz="4" w:space="0" w:color="auto"/>
              <w:bottom w:val="single" w:sz="4" w:space="0" w:color="auto"/>
              <w:right w:val="single" w:sz="4" w:space="0" w:color="auto"/>
            </w:tcBorders>
            <w:hideMark/>
          </w:tcPr>
          <w:p w14:paraId="23B8A7AF" w14:textId="77777777" w:rsidR="00F55740" w:rsidRPr="00F55740" w:rsidRDefault="00F55740" w:rsidP="00F55740">
            <w:pPr>
              <w:spacing w:after="0" w:line="240" w:lineRule="auto"/>
              <w:rPr>
                <w:rFonts w:ascii="Aptos" w:eastAsia="Times New Roman" w:hAnsi="Aptos" w:cs="Times New Roman"/>
                <w:color w:val="000000"/>
                <w:kern w:val="0"/>
                <w:szCs w:val="24"/>
                <w:lang w:eastAsia="en-IN"/>
                <w14:ligatures w14:val="none"/>
              </w:rPr>
            </w:pPr>
            <w:r w:rsidRPr="00F55740">
              <w:rPr>
                <w:rFonts w:ascii="Aptos" w:eastAsia="Times New Roman" w:hAnsi="Aptos" w:cs="Times New Roman"/>
                <w:color w:val="000000"/>
                <w:kern w:val="0"/>
                <w:szCs w:val="24"/>
                <w:lang w:eastAsia="en-IN"/>
                <w14:ligatures w14:val="none"/>
              </w:rPr>
              <w:t> </w:t>
            </w:r>
          </w:p>
        </w:tc>
        <w:tc>
          <w:tcPr>
            <w:tcW w:w="1960" w:type="dxa"/>
            <w:tcBorders>
              <w:top w:val="nil"/>
              <w:left w:val="nil"/>
              <w:bottom w:val="single" w:sz="4" w:space="0" w:color="auto"/>
              <w:right w:val="single" w:sz="4" w:space="0" w:color="auto"/>
            </w:tcBorders>
            <w:vAlign w:val="center"/>
            <w:hideMark/>
          </w:tcPr>
          <w:p w14:paraId="7E05A815" w14:textId="77777777" w:rsidR="00F55740" w:rsidRPr="00F55740" w:rsidRDefault="00F55740" w:rsidP="00F55740">
            <w:pPr>
              <w:spacing w:after="0" w:line="240" w:lineRule="auto"/>
              <w:rPr>
                <w:rFonts w:ascii="Times New Roman" w:eastAsia="Times New Roman" w:hAnsi="Times New Roman" w:cs="Times New Roman"/>
                <w:color w:val="000000"/>
                <w:kern w:val="0"/>
                <w:szCs w:val="24"/>
                <w:lang w:eastAsia="en-IN"/>
                <w14:ligatures w14:val="none"/>
              </w:rPr>
            </w:pPr>
            <w:r w:rsidRPr="00F55740">
              <w:rPr>
                <w:rFonts w:ascii="Times New Roman" w:eastAsia="Times New Roman" w:hAnsi="Times New Roman" w:cs="Times New Roman"/>
                <w:color w:val="000000"/>
                <w:kern w:val="0"/>
                <w:szCs w:val="24"/>
                <w:lang w:eastAsia="en-IN"/>
                <w14:ligatures w14:val="none"/>
              </w:rPr>
              <w:t>1966-67</w:t>
            </w:r>
          </w:p>
        </w:tc>
        <w:tc>
          <w:tcPr>
            <w:tcW w:w="1527" w:type="dxa"/>
            <w:tcBorders>
              <w:top w:val="nil"/>
              <w:left w:val="nil"/>
              <w:bottom w:val="single" w:sz="4" w:space="0" w:color="auto"/>
              <w:right w:val="single" w:sz="4" w:space="0" w:color="auto"/>
            </w:tcBorders>
            <w:vAlign w:val="center"/>
            <w:hideMark/>
          </w:tcPr>
          <w:p w14:paraId="3A0E20B8" w14:textId="77777777" w:rsidR="00F55740" w:rsidRPr="00F55740" w:rsidRDefault="00F55740" w:rsidP="00F55740">
            <w:pPr>
              <w:spacing w:after="0" w:line="240" w:lineRule="auto"/>
              <w:jc w:val="center"/>
              <w:rPr>
                <w:rFonts w:ascii="Times New Roman" w:eastAsia="Times New Roman" w:hAnsi="Times New Roman" w:cs="Times New Roman"/>
                <w:color w:val="000000"/>
                <w:kern w:val="0"/>
                <w:szCs w:val="24"/>
                <w:lang w:eastAsia="en-IN"/>
                <w14:ligatures w14:val="none"/>
              </w:rPr>
            </w:pPr>
            <w:r w:rsidRPr="00F55740">
              <w:rPr>
                <w:rFonts w:ascii="Times New Roman" w:eastAsia="Times New Roman" w:hAnsi="Times New Roman" w:cs="Times New Roman"/>
                <w:color w:val="000000"/>
                <w:kern w:val="0"/>
                <w:szCs w:val="24"/>
                <w:lang w:eastAsia="en-IN"/>
                <w14:ligatures w14:val="none"/>
              </w:rPr>
              <w:t>10</w:t>
            </w:r>
          </w:p>
        </w:tc>
        <w:tc>
          <w:tcPr>
            <w:tcW w:w="1528" w:type="dxa"/>
            <w:tcBorders>
              <w:top w:val="nil"/>
              <w:left w:val="nil"/>
              <w:bottom w:val="single" w:sz="4" w:space="0" w:color="auto"/>
              <w:right w:val="single" w:sz="4" w:space="0" w:color="auto"/>
            </w:tcBorders>
            <w:vAlign w:val="center"/>
            <w:hideMark/>
          </w:tcPr>
          <w:p w14:paraId="4B0A0CAF" w14:textId="77777777" w:rsidR="00F55740" w:rsidRPr="00F55740" w:rsidRDefault="00F55740" w:rsidP="00F55740">
            <w:pPr>
              <w:spacing w:after="0" w:line="240" w:lineRule="auto"/>
              <w:jc w:val="center"/>
              <w:rPr>
                <w:rFonts w:ascii="Times New Roman" w:eastAsia="Times New Roman" w:hAnsi="Times New Roman" w:cs="Times New Roman"/>
                <w:color w:val="000000"/>
                <w:kern w:val="0"/>
                <w:szCs w:val="24"/>
                <w:lang w:eastAsia="en-IN"/>
                <w14:ligatures w14:val="none"/>
              </w:rPr>
            </w:pPr>
            <w:r w:rsidRPr="00F55740">
              <w:rPr>
                <w:rFonts w:ascii="Times New Roman" w:eastAsia="Times New Roman" w:hAnsi="Times New Roman" w:cs="Times New Roman"/>
                <w:color w:val="000000"/>
                <w:kern w:val="0"/>
                <w:szCs w:val="24"/>
                <w:lang w:eastAsia="en-IN"/>
                <w14:ligatures w14:val="none"/>
              </w:rPr>
              <w:t>1837</w:t>
            </w:r>
          </w:p>
        </w:tc>
        <w:tc>
          <w:tcPr>
            <w:tcW w:w="1731" w:type="dxa"/>
            <w:tcBorders>
              <w:top w:val="nil"/>
              <w:left w:val="nil"/>
              <w:bottom w:val="single" w:sz="4" w:space="0" w:color="auto"/>
              <w:right w:val="single" w:sz="4" w:space="0" w:color="auto"/>
            </w:tcBorders>
            <w:vAlign w:val="center"/>
            <w:hideMark/>
          </w:tcPr>
          <w:p w14:paraId="5B95673F" w14:textId="77777777" w:rsidR="00F55740" w:rsidRPr="00F55740" w:rsidRDefault="00F55740" w:rsidP="00F55740">
            <w:pPr>
              <w:spacing w:after="0" w:line="240" w:lineRule="auto"/>
              <w:jc w:val="center"/>
              <w:rPr>
                <w:rFonts w:ascii="Times New Roman" w:eastAsia="Times New Roman" w:hAnsi="Times New Roman" w:cs="Times New Roman"/>
                <w:color w:val="000000"/>
                <w:kern w:val="0"/>
                <w:szCs w:val="24"/>
                <w:lang w:eastAsia="en-IN"/>
                <w14:ligatures w14:val="none"/>
              </w:rPr>
            </w:pPr>
            <w:r w:rsidRPr="00F55740">
              <w:rPr>
                <w:rFonts w:ascii="Times New Roman" w:eastAsia="Times New Roman" w:hAnsi="Times New Roman" w:cs="Times New Roman"/>
                <w:color w:val="000000"/>
                <w:kern w:val="0"/>
                <w:szCs w:val="24"/>
                <w:lang w:eastAsia="en-IN"/>
                <w14:ligatures w14:val="none"/>
              </w:rPr>
              <w:t>..</w:t>
            </w:r>
          </w:p>
        </w:tc>
        <w:tc>
          <w:tcPr>
            <w:tcW w:w="1435" w:type="dxa"/>
            <w:tcBorders>
              <w:top w:val="nil"/>
              <w:left w:val="nil"/>
              <w:bottom w:val="single" w:sz="4" w:space="0" w:color="auto"/>
              <w:right w:val="single" w:sz="4" w:space="0" w:color="auto"/>
            </w:tcBorders>
            <w:vAlign w:val="center"/>
            <w:hideMark/>
          </w:tcPr>
          <w:p w14:paraId="0DA6B548" w14:textId="77777777" w:rsidR="00F55740" w:rsidRPr="00F55740" w:rsidRDefault="00F55740" w:rsidP="00F55740">
            <w:pPr>
              <w:spacing w:after="0" w:line="240" w:lineRule="auto"/>
              <w:jc w:val="center"/>
              <w:rPr>
                <w:rFonts w:ascii="Times New Roman" w:eastAsia="Times New Roman" w:hAnsi="Times New Roman" w:cs="Times New Roman"/>
                <w:color w:val="000000"/>
                <w:kern w:val="0"/>
                <w:szCs w:val="24"/>
                <w:lang w:eastAsia="en-IN"/>
                <w14:ligatures w14:val="none"/>
              </w:rPr>
            </w:pPr>
            <w:r w:rsidRPr="00F55740">
              <w:rPr>
                <w:rFonts w:ascii="Times New Roman" w:eastAsia="Times New Roman" w:hAnsi="Times New Roman" w:cs="Times New Roman"/>
                <w:color w:val="000000"/>
                <w:kern w:val="0"/>
                <w:szCs w:val="24"/>
                <w:lang w:eastAsia="en-IN"/>
                <w14:ligatures w14:val="none"/>
              </w:rPr>
              <w:t>1847</w:t>
            </w:r>
          </w:p>
        </w:tc>
      </w:tr>
      <w:tr w:rsidR="00F55740" w:rsidRPr="00F55740" w14:paraId="4EB77B7C" w14:textId="77777777" w:rsidTr="00F55740">
        <w:trPr>
          <w:trHeight w:val="20"/>
        </w:trPr>
        <w:tc>
          <w:tcPr>
            <w:tcW w:w="846" w:type="dxa"/>
            <w:tcBorders>
              <w:top w:val="nil"/>
              <w:left w:val="single" w:sz="4" w:space="0" w:color="auto"/>
              <w:bottom w:val="single" w:sz="4" w:space="0" w:color="auto"/>
              <w:right w:val="single" w:sz="4" w:space="0" w:color="auto"/>
            </w:tcBorders>
            <w:vAlign w:val="center"/>
            <w:hideMark/>
          </w:tcPr>
          <w:p w14:paraId="44031292" w14:textId="77777777" w:rsidR="00F55740" w:rsidRPr="00F55740" w:rsidRDefault="00F55740" w:rsidP="00F55740">
            <w:pPr>
              <w:spacing w:after="0" w:line="240" w:lineRule="auto"/>
              <w:jc w:val="right"/>
              <w:rPr>
                <w:rFonts w:ascii="Times New Roman" w:eastAsia="Times New Roman" w:hAnsi="Times New Roman" w:cs="Times New Roman"/>
                <w:color w:val="000000"/>
                <w:kern w:val="0"/>
                <w:szCs w:val="24"/>
                <w:lang w:eastAsia="en-IN"/>
                <w14:ligatures w14:val="none"/>
              </w:rPr>
            </w:pPr>
            <w:r w:rsidRPr="00F55740">
              <w:rPr>
                <w:rFonts w:ascii="Times New Roman" w:eastAsia="Times New Roman" w:hAnsi="Times New Roman" w:cs="Times New Roman"/>
                <w:color w:val="000000"/>
                <w:kern w:val="0"/>
                <w:szCs w:val="24"/>
                <w:lang w:eastAsia="en-IN"/>
                <w14:ligatures w14:val="none"/>
              </w:rPr>
              <w:t>5</w:t>
            </w:r>
          </w:p>
        </w:tc>
        <w:tc>
          <w:tcPr>
            <w:tcW w:w="1960" w:type="dxa"/>
            <w:tcBorders>
              <w:top w:val="nil"/>
              <w:left w:val="nil"/>
              <w:bottom w:val="single" w:sz="4" w:space="0" w:color="auto"/>
              <w:right w:val="single" w:sz="4" w:space="0" w:color="auto"/>
            </w:tcBorders>
            <w:vAlign w:val="center"/>
            <w:hideMark/>
          </w:tcPr>
          <w:p w14:paraId="44EC3704" w14:textId="77777777" w:rsidR="00F55740" w:rsidRPr="00F55740" w:rsidRDefault="00F55740" w:rsidP="00F55740">
            <w:pPr>
              <w:spacing w:after="0" w:line="240" w:lineRule="auto"/>
              <w:rPr>
                <w:rFonts w:ascii="Times New Roman" w:eastAsia="Times New Roman" w:hAnsi="Times New Roman" w:cs="Times New Roman"/>
                <w:color w:val="000000"/>
                <w:kern w:val="0"/>
                <w:szCs w:val="24"/>
                <w:lang w:eastAsia="en-IN"/>
                <w14:ligatures w14:val="none"/>
              </w:rPr>
            </w:pPr>
            <w:r w:rsidRPr="00F55740">
              <w:rPr>
                <w:rFonts w:ascii="Times New Roman" w:eastAsia="Times New Roman" w:hAnsi="Times New Roman" w:cs="Times New Roman"/>
                <w:color w:val="000000"/>
                <w:kern w:val="0"/>
                <w:szCs w:val="24"/>
                <w:lang w:eastAsia="en-IN"/>
                <w14:ligatures w14:val="none"/>
              </w:rPr>
              <w:t>Northeast Frontier</w:t>
            </w:r>
          </w:p>
        </w:tc>
        <w:tc>
          <w:tcPr>
            <w:tcW w:w="1527" w:type="dxa"/>
            <w:tcBorders>
              <w:top w:val="nil"/>
              <w:left w:val="nil"/>
              <w:bottom w:val="single" w:sz="4" w:space="0" w:color="auto"/>
              <w:right w:val="single" w:sz="4" w:space="0" w:color="auto"/>
            </w:tcBorders>
            <w:vAlign w:val="center"/>
            <w:hideMark/>
          </w:tcPr>
          <w:p w14:paraId="35077556" w14:textId="72D2AEBB" w:rsidR="00F55740" w:rsidRPr="00F55740" w:rsidRDefault="00F55740" w:rsidP="00F55740">
            <w:pPr>
              <w:spacing w:after="0" w:line="240" w:lineRule="auto"/>
              <w:jc w:val="center"/>
              <w:rPr>
                <w:rFonts w:ascii="Times New Roman" w:eastAsia="Times New Roman" w:hAnsi="Times New Roman" w:cs="Times New Roman"/>
                <w:color w:val="000000"/>
                <w:kern w:val="0"/>
                <w:szCs w:val="24"/>
                <w:lang w:eastAsia="en-IN"/>
                <w14:ligatures w14:val="none"/>
              </w:rPr>
            </w:pPr>
          </w:p>
        </w:tc>
        <w:tc>
          <w:tcPr>
            <w:tcW w:w="1528" w:type="dxa"/>
            <w:tcBorders>
              <w:top w:val="nil"/>
              <w:left w:val="nil"/>
              <w:bottom w:val="single" w:sz="4" w:space="0" w:color="auto"/>
              <w:right w:val="single" w:sz="4" w:space="0" w:color="auto"/>
            </w:tcBorders>
            <w:vAlign w:val="center"/>
            <w:hideMark/>
          </w:tcPr>
          <w:p w14:paraId="7A2D38C2" w14:textId="17863732" w:rsidR="00F55740" w:rsidRPr="00F55740" w:rsidRDefault="00F55740" w:rsidP="00F55740">
            <w:pPr>
              <w:spacing w:after="0" w:line="240" w:lineRule="auto"/>
              <w:jc w:val="center"/>
              <w:rPr>
                <w:rFonts w:ascii="Times New Roman" w:eastAsia="Times New Roman" w:hAnsi="Times New Roman" w:cs="Times New Roman"/>
                <w:color w:val="000000"/>
                <w:kern w:val="0"/>
                <w:szCs w:val="24"/>
                <w:lang w:eastAsia="en-IN"/>
                <w14:ligatures w14:val="none"/>
              </w:rPr>
            </w:pPr>
          </w:p>
        </w:tc>
        <w:tc>
          <w:tcPr>
            <w:tcW w:w="1731" w:type="dxa"/>
            <w:tcBorders>
              <w:top w:val="nil"/>
              <w:left w:val="nil"/>
              <w:bottom w:val="single" w:sz="4" w:space="0" w:color="auto"/>
              <w:right w:val="single" w:sz="4" w:space="0" w:color="auto"/>
            </w:tcBorders>
            <w:vAlign w:val="center"/>
            <w:hideMark/>
          </w:tcPr>
          <w:p w14:paraId="33E7667C" w14:textId="13002500" w:rsidR="00F55740" w:rsidRPr="00F55740" w:rsidRDefault="00F55740" w:rsidP="00F55740">
            <w:pPr>
              <w:spacing w:after="0" w:line="240" w:lineRule="auto"/>
              <w:jc w:val="center"/>
              <w:rPr>
                <w:rFonts w:ascii="Times New Roman" w:eastAsia="Times New Roman" w:hAnsi="Times New Roman" w:cs="Times New Roman"/>
                <w:color w:val="000000"/>
                <w:kern w:val="0"/>
                <w:szCs w:val="24"/>
                <w:lang w:eastAsia="en-IN"/>
                <w14:ligatures w14:val="none"/>
              </w:rPr>
            </w:pPr>
          </w:p>
        </w:tc>
        <w:tc>
          <w:tcPr>
            <w:tcW w:w="1435" w:type="dxa"/>
            <w:tcBorders>
              <w:top w:val="nil"/>
              <w:left w:val="nil"/>
              <w:bottom w:val="single" w:sz="4" w:space="0" w:color="auto"/>
              <w:right w:val="single" w:sz="4" w:space="0" w:color="auto"/>
            </w:tcBorders>
            <w:vAlign w:val="center"/>
            <w:hideMark/>
          </w:tcPr>
          <w:p w14:paraId="4F536E33" w14:textId="07982E72" w:rsidR="00F55740" w:rsidRPr="00F55740" w:rsidRDefault="00F55740" w:rsidP="00F55740">
            <w:pPr>
              <w:spacing w:after="0" w:line="240" w:lineRule="auto"/>
              <w:jc w:val="center"/>
              <w:rPr>
                <w:rFonts w:ascii="Times New Roman" w:eastAsia="Times New Roman" w:hAnsi="Times New Roman" w:cs="Times New Roman"/>
                <w:color w:val="000000"/>
                <w:kern w:val="0"/>
                <w:szCs w:val="24"/>
                <w:lang w:eastAsia="en-IN"/>
                <w14:ligatures w14:val="none"/>
              </w:rPr>
            </w:pPr>
          </w:p>
        </w:tc>
      </w:tr>
      <w:tr w:rsidR="00F55740" w:rsidRPr="00F55740" w14:paraId="03B6E6D1" w14:textId="77777777" w:rsidTr="00F55740">
        <w:trPr>
          <w:trHeight w:val="20"/>
        </w:trPr>
        <w:tc>
          <w:tcPr>
            <w:tcW w:w="846" w:type="dxa"/>
            <w:tcBorders>
              <w:top w:val="nil"/>
              <w:left w:val="single" w:sz="4" w:space="0" w:color="auto"/>
              <w:bottom w:val="single" w:sz="4" w:space="0" w:color="auto"/>
              <w:right w:val="single" w:sz="4" w:space="0" w:color="auto"/>
            </w:tcBorders>
            <w:noWrap/>
            <w:vAlign w:val="bottom"/>
            <w:hideMark/>
          </w:tcPr>
          <w:p w14:paraId="70091F88" w14:textId="77777777" w:rsidR="00F55740" w:rsidRPr="00F55740" w:rsidRDefault="00F55740" w:rsidP="00F55740">
            <w:pPr>
              <w:spacing w:after="0" w:line="240" w:lineRule="auto"/>
              <w:rPr>
                <w:rFonts w:ascii="Aptos Narrow" w:eastAsia="Times New Roman" w:hAnsi="Aptos Narrow" w:cs="Times New Roman"/>
                <w:color w:val="000000"/>
                <w:kern w:val="0"/>
                <w:sz w:val="22"/>
                <w:szCs w:val="22"/>
                <w:lang w:eastAsia="en-IN"/>
                <w14:ligatures w14:val="none"/>
              </w:rPr>
            </w:pPr>
            <w:r w:rsidRPr="00F55740">
              <w:rPr>
                <w:rFonts w:ascii="Aptos Narrow" w:eastAsia="Times New Roman" w:hAnsi="Aptos Narrow" w:cs="Times New Roman"/>
                <w:color w:val="000000"/>
                <w:kern w:val="0"/>
                <w:sz w:val="22"/>
                <w:szCs w:val="22"/>
                <w:lang w:eastAsia="en-IN"/>
                <w14:ligatures w14:val="none"/>
              </w:rPr>
              <w:t> </w:t>
            </w:r>
          </w:p>
        </w:tc>
        <w:tc>
          <w:tcPr>
            <w:tcW w:w="1960" w:type="dxa"/>
            <w:tcBorders>
              <w:top w:val="nil"/>
              <w:left w:val="nil"/>
              <w:bottom w:val="single" w:sz="4" w:space="0" w:color="auto"/>
              <w:right w:val="single" w:sz="4" w:space="0" w:color="auto"/>
            </w:tcBorders>
            <w:vAlign w:val="center"/>
            <w:hideMark/>
          </w:tcPr>
          <w:p w14:paraId="290B9C4B" w14:textId="77777777" w:rsidR="00F55740" w:rsidRPr="00F55740" w:rsidRDefault="00F55740" w:rsidP="00F55740">
            <w:pPr>
              <w:spacing w:after="0" w:line="240" w:lineRule="auto"/>
              <w:rPr>
                <w:rFonts w:ascii="Times New Roman" w:eastAsia="Times New Roman" w:hAnsi="Times New Roman" w:cs="Times New Roman"/>
                <w:color w:val="000000"/>
                <w:kern w:val="0"/>
                <w:szCs w:val="24"/>
                <w:lang w:eastAsia="en-IN"/>
                <w14:ligatures w14:val="none"/>
              </w:rPr>
            </w:pPr>
            <w:r w:rsidRPr="00F55740">
              <w:rPr>
                <w:rFonts w:ascii="Times New Roman" w:eastAsia="Times New Roman" w:hAnsi="Times New Roman" w:cs="Times New Roman"/>
                <w:color w:val="000000"/>
                <w:kern w:val="0"/>
                <w:szCs w:val="24"/>
                <w:lang w:eastAsia="en-IN"/>
                <w14:ligatures w14:val="none"/>
              </w:rPr>
              <w:t>1964-65</w:t>
            </w:r>
          </w:p>
        </w:tc>
        <w:tc>
          <w:tcPr>
            <w:tcW w:w="1527" w:type="dxa"/>
            <w:tcBorders>
              <w:top w:val="nil"/>
              <w:left w:val="nil"/>
              <w:bottom w:val="single" w:sz="4" w:space="0" w:color="auto"/>
              <w:right w:val="single" w:sz="4" w:space="0" w:color="auto"/>
            </w:tcBorders>
            <w:vAlign w:val="center"/>
            <w:hideMark/>
          </w:tcPr>
          <w:p w14:paraId="3D77B4B3" w14:textId="77777777" w:rsidR="00F55740" w:rsidRPr="00F55740" w:rsidRDefault="00F55740" w:rsidP="00F55740">
            <w:pPr>
              <w:spacing w:after="0" w:line="240" w:lineRule="auto"/>
              <w:jc w:val="center"/>
              <w:rPr>
                <w:rFonts w:ascii="Times New Roman" w:eastAsia="Times New Roman" w:hAnsi="Times New Roman" w:cs="Times New Roman"/>
                <w:color w:val="000000"/>
                <w:kern w:val="0"/>
                <w:szCs w:val="24"/>
                <w:lang w:eastAsia="en-IN"/>
                <w14:ligatures w14:val="none"/>
              </w:rPr>
            </w:pPr>
            <w:r w:rsidRPr="00F55740">
              <w:rPr>
                <w:rFonts w:ascii="Times New Roman" w:eastAsia="Times New Roman" w:hAnsi="Times New Roman" w:cs="Times New Roman"/>
                <w:color w:val="000000"/>
                <w:kern w:val="0"/>
                <w:szCs w:val="24"/>
                <w:lang w:eastAsia="en-IN"/>
                <w14:ligatures w14:val="none"/>
              </w:rPr>
              <w:t>14</w:t>
            </w:r>
          </w:p>
        </w:tc>
        <w:tc>
          <w:tcPr>
            <w:tcW w:w="1528" w:type="dxa"/>
            <w:tcBorders>
              <w:top w:val="nil"/>
              <w:left w:val="nil"/>
              <w:bottom w:val="single" w:sz="4" w:space="0" w:color="auto"/>
              <w:right w:val="single" w:sz="4" w:space="0" w:color="auto"/>
            </w:tcBorders>
            <w:vAlign w:val="center"/>
            <w:hideMark/>
          </w:tcPr>
          <w:p w14:paraId="345C0D7F" w14:textId="77777777" w:rsidR="00F55740" w:rsidRPr="00F55740" w:rsidRDefault="00F55740" w:rsidP="00F55740">
            <w:pPr>
              <w:spacing w:after="0" w:line="240" w:lineRule="auto"/>
              <w:jc w:val="center"/>
              <w:rPr>
                <w:rFonts w:ascii="Times New Roman" w:eastAsia="Times New Roman" w:hAnsi="Times New Roman" w:cs="Times New Roman"/>
                <w:color w:val="000000"/>
                <w:kern w:val="0"/>
                <w:szCs w:val="24"/>
                <w:lang w:eastAsia="en-IN"/>
                <w14:ligatures w14:val="none"/>
              </w:rPr>
            </w:pPr>
            <w:r w:rsidRPr="00F55740">
              <w:rPr>
                <w:rFonts w:ascii="Times New Roman" w:eastAsia="Times New Roman" w:hAnsi="Times New Roman" w:cs="Times New Roman"/>
                <w:color w:val="000000"/>
                <w:kern w:val="0"/>
                <w:szCs w:val="24"/>
                <w:lang w:eastAsia="en-IN"/>
                <w14:ligatures w14:val="none"/>
              </w:rPr>
              <w:t>761</w:t>
            </w:r>
          </w:p>
        </w:tc>
        <w:tc>
          <w:tcPr>
            <w:tcW w:w="1731" w:type="dxa"/>
            <w:tcBorders>
              <w:top w:val="nil"/>
              <w:left w:val="nil"/>
              <w:bottom w:val="single" w:sz="4" w:space="0" w:color="auto"/>
              <w:right w:val="single" w:sz="4" w:space="0" w:color="auto"/>
            </w:tcBorders>
            <w:vAlign w:val="center"/>
            <w:hideMark/>
          </w:tcPr>
          <w:p w14:paraId="4A7E8C24" w14:textId="77777777" w:rsidR="00F55740" w:rsidRPr="00F55740" w:rsidRDefault="00F55740" w:rsidP="00F55740">
            <w:pPr>
              <w:spacing w:after="0" w:line="240" w:lineRule="auto"/>
              <w:jc w:val="center"/>
              <w:rPr>
                <w:rFonts w:ascii="Times New Roman" w:eastAsia="Times New Roman" w:hAnsi="Times New Roman" w:cs="Times New Roman"/>
                <w:color w:val="000000"/>
                <w:kern w:val="0"/>
                <w:szCs w:val="24"/>
                <w:lang w:eastAsia="en-IN"/>
                <w14:ligatures w14:val="none"/>
              </w:rPr>
            </w:pPr>
            <w:r w:rsidRPr="00F55740">
              <w:rPr>
                <w:rFonts w:ascii="Times New Roman" w:eastAsia="Times New Roman" w:hAnsi="Times New Roman" w:cs="Times New Roman"/>
                <w:color w:val="000000"/>
                <w:kern w:val="0"/>
                <w:szCs w:val="24"/>
                <w:lang w:eastAsia="en-IN"/>
                <w14:ligatures w14:val="none"/>
              </w:rPr>
              <w:t>2</w:t>
            </w:r>
          </w:p>
        </w:tc>
        <w:tc>
          <w:tcPr>
            <w:tcW w:w="1435" w:type="dxa"/>
            <w:tcBorders>
              <w:top w:val="nil"/>
              <w:left w:val="nil"/>
              <w:bottom w:val="single" w:sz="4" w:space="0" w:color="auto"/>
              <w:right w:val="single" w:sz="4" w:space="0" w:color="auto"/>
            </w:tcBorders>
            <w:vAlign w:val="center"/>
            <w:hideMark/>
          </w:tcPr>
          <w:p w14:paraId="73D31419" w14:textId="77777777" w:rsidR="00F55740" w:rsidRPr="00F55740" w:rsidRDefault="00F55740" w:rsidP="00F55740">
            <w:pPr>
              <w:spacing w:after="0" w:line="240" w:lineRule="auto"/>
              <w:jc w:val="center"/>
              <w:rPr>
                <w:rFonts w:ascii="Times New Roman" w:eastAsia="Times New Roman" w:hAnsi="Times New Roman" w:cs="Times New Roman"/>
                <w:color w:val="000000"/>
                <w:kern w:val="0"/>
                <w:szCs w:val="24"/>
                <w:lang w:eastAsia="en-IN"/>
                <w14:ligatures w14:val="none"/>
              </w:rPr>
            </w:pPr>
            <w:r w:rsidRPr="00F55740">
              <w:rPr>
                <w:rFonts w:ascii="Times New Roman" w:eastAsia="Times New Roman" w:hAnsi="Times New Roman" w:cs="Times New Roman"/>
                <w:color w:val="000000"/>
                <w:kern w:val="0"/>
                <w:szCs w:val="24"/>
                <w:lang w:eastAsia="en-IN"/>
                <w14:ligatures w14:val="none"/>
              </w:rPr>
              <w:t>777</w:t>
            </w:r>
          </w:p>
        </w:tc>
      </w:tr>
      <w:tr w:rsidR="00F55740" w:rsidRPr="00F55740" w14:paraId="07470AC6" w14:textId="77777777" w:rsidTr="00F55740">
        <w:trPr>
          <w:trHeight w:val="20"/>
        </w:trPr>
        <w:tc>
          <w:tcPr>
            <w:tcW w:w="846" w:type="dxa"/>
            <w:tcBorders>
              <w:top w:val="nil"/>
              <w:left w:val="single" w:sz="4" w:space="0" w:color="auto"/>
              <w:bottom w:val="single" w:sz="4" w:space="0" w:color="auto"/>
              <w:right w:val="single" w:sz="4" w:space="0" w:color="auto"/>
            </w:tcBorders>
            <w:hideMark/>
          </w:tcPr>
          <w:p w14:paraId="1AC18A6A" w14:textId="77777777" w:rsidR="00F55740" w:rsidRPr="00F55740" w:rsidRDefault="00F55740" w:rsidP="00F55740">
            <w:pPr>
              <w:spacing w:after="0" w:line="240" w:lineRule="auto"/>
              <w:rPr>
                <w:rFonts w:ascii="Aptos" w:eastAsia="Times New Roman" w:hAnsi="Aptos" w:cs="Times New Roman"/>
                <w:color w:val="000000"/>
                <w:kern w:val="0"/>
                <w:szCs w:val="24"/>
                <w:lang w:eastAsia="en-IN"/>
                <w14:ligatures w14:val="none"/>
              </w:rPr>
            </w:pPr>
            <w:r w:rsidRPr="00F55740">
              <w:rPr>
                <w:rFonts w:ascii="Aptos" w:eastAsia="Times New Roman" w:hAnsi="Aptos" w:cs="Times New Roman"/>
                <w:color w:val="000000"/>
                <w:kern w:val="0"/>
                <w:szCs w:val="24"/>
                <w:lang w:eastAsia="en-IN"/>
                <w14:ligatures w14:val="none"/>
              </w:rPr>
              <w:t> </w:t>
            </w:r>
          </w:p>
        </w:tc>
        <w:tc>
          <w:tcPr>
            <w:tcW w:w="1960" w:type="dxa"/>
            <w:tcBorders>
              <w:top w:val="nil"/>
              <w:left w:val="nil"/>
              <w:bottom w:val="single" w:sz="4" w:space="0" w:color="auto"/>
              <w:right w:val="single" w:sz="4" w:space="0" w:color="auto"/>
            </w:tcBorders>
            <w:vAlign w:val="center"/>
            <w:hideMark/>
          </w:tcPr>
          <w:p w14:paraId="0DE7B79D" w14:textId="77777777" w:rsidR="00F55740" w:rsidRPr="00F55740" w:rsidRDefault="00F55740" w:rsidP="00F55740">
            <w:pPr>
              <w:spacing w:after="0" w:line="240" w:lineRule="auto"/>
              <w:rPr>
                <w:rFonts w:ascii="Times New Roman" w:eastAsia="Times New Roman" w:hAnsi="Times New Roman" w:cs="Times New Roman"/>
                <w:color w:val="000000"/>
                <w:kern w:val="0"/>
                <w:szCs w:val="24"/>
                <w:lang w:eastAsia="en-IN"/>
                <w14:ligatures w14:val="none"/>
              </w:rPr>
            </w:pPr>
            <w:r w:rsidRPr="00F55740">
              <w:rPr>
                <w:rFonts w:ascii="Times New Roman" w:eastAsia="Times New Roman" w:hAnsi="Times New Roman" w:cs="Times New Roman"/>
                <w:color w:val="000000"/>
                <w:kern w:val="0"/>
                <w:szCs w:val="24"/>
                <w:lang w:eastAsia="en-IN"/>
                <w14:ligatures w14:val="none"/>
              </w:rPr>
              <w:t>1965-66</w:t>
            </w:r>
          </w:p>
        </w:tc>
        <w:tc>
          <w:tcPr>
            <w:tcW w:w="1527" w:type="dxa"/>
            <w:tcBorders>
              <w:top w:val="nil"/>
              <w:left w:val="nil"/>
              <w:bottom w:val="single" w:sz="4" w:space="0" w:color="auto"/>
              <w:right w:val="single" w:sz="4" w:space="0" w:color="auto"/>
            </w:tcBorders>
            <w:vAlign w:val="center"/>
            <w:hideMark/>
          </w:tcPr>
          <w:p w14:paraId="0D7BB0DE" w14:textId="77777777" w:rsidR="00F55740" w:rsidRPr="00F55740" w:rsidRDefault="00F55740" w:rsidP="00F55740">
            <w:pPr>
              <w:spacing w:after="0" w:line="240" w:lineRule="auto"/>
              <w:jc w:val="center"/>
              <w:rPr>
                <w:rFonts w:ascii="Times New Roman" w:eastAsia="Times New Roman" w:hAnsi="Times New Roman" w:cs="Times New Roman"/>
                <w:color w:val="000000"/>
                <w:kern w:val="0"/>
                <w:szCs w:val="24"/>
                <w:lang w:eastAsia="en-IN"/>
                <w14:ligatures w14:val="none"/>
              </w:rPr>
            </w:pPr>
            <w:r w:rsidRPr="00F55740">
              <w:rPr>
                <w:rFonts w:ascii="Times New Roman" w:eastAsia="Times New Roman" w:hAnsi="Times New Roman" w:cs="Times New Roman"/>
                <w:color w:val="000000"/>
                <w:kern w:val="0"/>
                <w:szCs w:val="24"/>
                <w:lang w:eastAsia="en-IN"/>
                <w14:ligatures w14:val="none"/>
              </w:rPr>
              <w:t>22</w:t>
            </w:r>
          </w:p>
        </w:tc>
        <w:tc>
          <w:tcPr>
            <w:tcW w:w="1528" w:type="dxa"/>
            <w:tcBorders>
              <w:top w:val="nil"/>
              <w:left w:val="nil"/>
              <w:bottom w:val="single" w:sz="4" w:space="0" w:color="auto"/>
              <w:right w:val="single" w:sz="4" w:space="0" w:color="auto"/>
            </w:tcBorders>
            <w:vAlign w:val="center"/>
            <w:hideMark/>
          </w:tcPr>
          <w:p w14:paraId="5D3CFC47" w14:textId="77777777" w:rsidR="00F55740" w:rsidRPr="00F55740" w:rsidRDefault="00F55740" w:rsidP="00F55740">
            <w:pPr>
              <w:spacing w:after="0" w:line="240" w:lineRule="auto"/>
              <w:jc w:val="center"/>
              <w:rPr>
                <w:rFonts w:ascii="Times New Roman" w:eastAsia="Times New Roman" w:hAnsi="Times New Roman" w:cs="Times New Roman"/>
                <w:color w:val="000000"/>
                <w:kern w:val="0"/>
                <w:szCs w:val="24"/>
                <w:lang w:eastAsia="en-IN"/>
                <w14:ligatures w14:val="none"/>
              </w:rPr>
            </w:pPr>
            <w:r w:rsidRPr="00F55740">
              <w:rPr>
                <w:rFonts w:ascii="Times New Roman" w:eastAsia="Times New Roman" w:hAnsi="Times New Roman" w:cs="Times New Roman"/>
                <w:color w:val="000000"/>
                <w:kern w:val="0"/>
                <w:szCs w:val="24"/>
                <w:lang w:eastAsia="en-IN"/>
                <w14:ligatures w14:val="none"/>
              </w:rPr>
              <w:t>800</w:t>
            </w:r>
          </w:p>
        </w:tc>
        <w:tc>
          <w:tcPr>
            <w:tcW w:w="1731" w:type="dxa"/>
            <w:tcBorders>
              <w:top w:val="nil"/>
              <w:left w:val="nil"/>
              <w:bottom w:val="single" w:sz="4" w:space="0" w:color="auto"/>
              <w:right w:val="single" w:sz="4" w:space="0" w:color="auto"/>
            </w:tcBorders>
            <w:vAlign w:val="center"/>
            <w:hideMark/>
          </w:tcPr>
          <w:p w14:paraId="07A72283" w14:textId="77777777" w:rsidR="00F55740" w:rsidRPr="00F55740" w:rsidRDefault="00F55740" w:rsidP="00F55740">
            <w:pPr>
              <w:spacing w:after="0" w:line="240" w:lineRule="auto"/>
              <w:jc w:val="center"/>
              <w:rPr>
                <w:rFonts w:ascii="Times New Roman" w:eastAsia="Times New Roman" w:hAnsi="Times New Roman" w:cs="Times New Roman"/>
                <w:color w:val="000000"/>
                <w:kern w:val="0"/>
                <w:szCs w:val="24"/>
                <w:lang w:eastAsia="en-IN"/>
                <w14:ligatures w14:val="none"/>
              </w:rPr>
            </w:pPr>
            <w:r w:rsidRPr="00F55740">
              <w:rPr>
                <w:rFonts w:ascii="Times New Roman" w:eastAsia="Times New Roman" w:hAnsi="Times New Roman" w:cs="Times New Roman"/>
                <w:color w:val="000000"/>
                <w:kern w:val="0"/>
                <w:szCs w:val="24"/>
                <w:lang w:eastAsia="en-IN"/>
                <w14:ligatures w14:val="none"/>
              </w:rPr>
              <w:t>3</w:t>
            </w:r>
          </w:p>
        </w:tc>
        <w:tc>
          <w:tcPr>
            <w:tcW w:w="1435" w:type="dxa"/>
            <w:tcBorders>
              <w:top w:val="nil"/>
              <w:left w:val="nil"/>
              <w:bottom w:val="single" w:sz="4" w:space="0" w:color="auto"/>
              <w:right w:val="single" w:sz="4" w:space="0" w:color="auto"/>
            </w:tcBorders>
            <w:vAlign w:val="center"/>
            <w:hideMark/>
          </w:tcPr>
          <w:p w14:paraId="31E3B297" w14:textId="77777777" w:rsidR="00F55740" w:rsidRPr="00F55740" w:rsidRDefault="00F55740" w:rsidP="00F55740">
            <w:pPr>
              <w:spacing w:after="0" w:line="240" w:lineRule="auto"/>
              <w:jc w:val="center"/>
              <w:rPr>
                <w:rFonts w:ascii="Times New Roman" w:eastAsia="Times New Roman" w:hAnsi="Times New Roman" w:cs="Times New Roman"/>
                <w:color w:val="000000"/>
                <w:kern w:val="0"/>
                <w:szCs w:val="24"/>
                <w:lang w:eastAsia="en-IN"/>
                <w14:ligatures w14:val="none"/>
              </w:rPr>
            </w:pPr>
            <w:r w:rsidRPr="00F55740">
              <w:rPr>
                <w:rFonts w:ascii="Times New Roman" w:eastAsia="Times New Roman" w:hAnsi="Times New Roman" w:cs="Times New Roman"/>
                <w:color w:val="000000"/>
                <w:kern w:val="0"/>
                <w:szCs w:val="24"/>
                <w:lang w:eastAsia="en-IN"/>
                <w14:ligatures w14:val="none"/>
              </w:rPr>
              <w:t>825</w:t>
            </w:r>
          </w:p>
        </w:tc>
      </w:tr>
      <w:tr w:rsidR="00F55740" w:rsidRPr="00F55740" w14:paraId="4EE9669D" w14:textId="77777777" w:rsidTr="00F55740">
        <w:trPr>
          <w:trHeight w:val="20"/>
        </w:trPr>
        <w:tc>
          <w:tcPr>
            <w:tcW w:w="846" w:type="dxa"/>
            <w:tcBorders>
              <w:top w:val="nil"/>
              <w:left w:val="single" w:sz="4" w:space="0" w:color="auto"/>
              <w:bottom w:val="single" w:sz="4" w:space="0" w:color="auto"/>
              <w:right w:val="single" w:sz="4" w:space="0" w:color="auto"/>
            </w:tcBorders>
            <w:hideMark/>
          </w:tcPr>
          <w:p w14:paraId="4B74FF15" w14:textId="77777777" w:rsidR="00F55740" w:rsidRPr="00F55740" w:rsidRDefault="00F55740" w:rsidP="00F55740">
            <w:pPr>
              <w:spacing w:after="0" w:line="240" w:lineRule="auto"/>
              <w:rPr>
                <w:rFonts w:ascii="Aptos" w:eastAsia="Times New Roman" w:hAnsi="Aptos" w:cs="Times New Roman"/>
                <w:color w:val="000000"/>
                <w:kern w:val="0"/>
                <w:szCs w:val="24"/>
                <w:lang w:eastAsia="en-IN"/>
                <w14:ligatures w14:val="none"/>
              </w:rPr>
            </w:pPr>
            <w:r w:rsidRPr="00F55740">
              <w:rPr>
                <w:rFonts w:ascii="Aptos" w:eastAsia="Times New Roman" w:hAnsi="Aptos" w:cs="Times New Roman"/>
                <w:color w:val="000000"/>
                <w:kern w:val="0"/>
                <w:szCs w:val="24"/>
                <w:lang w:eastAsia="en-IN"/>
                <w14:ligatures w14:val="none"/>
              </w:rPr>
              <w:t> </w:t>
            </w:r>
          </w:p>
        </w:tc>
        <w:tc>
          <w:tcPr>
            <w:tcW w:w="1960" w:type="dxa"/>
            <w:tcBorders>
              <w:top w:val="nil"/>
              <w:left w:val="nil"/>
              <w:bottom w:val="single" w:sz="4" w:space="0" w:color="auto"/>
              <w:right w:val="single" w:sz="4" w:space="0" w:color="auto"/>
            </w:tcBorders>
            <w:vAlign w:val="center"/>
            <w:hideMark/>
          </w:tcPr>
          <w:p w14:paraId="626AA876" w14:textId="77777777" w:rsidR="00F55740" w:rsidRPr="00F55740" w:rsidRDefault="00F55740" w:rsidP="00F55740">
            <w:pPr>
              <w:spacing w:after="0" w:line="240" w:lineRule="auto"/>
              <w:rPr>
                <w:rFonts w:ascii="Times New Roman" w:eastAsia="Times New Roman" w:hAnsi="Times New Roman" w:cs="Times New Roman"/>
                <w:color w:val="000000"/>
                <w:kern w:val="0"/>
                <w:szCs w:val="24"/>
                <w:lang w:eastAsia="en-IN"/>
                <w14:ligatures w14:val="none"/>
              </w:rPr>
            </w:pPr>
            <w:r w:rsidRPr="00F55740">
              <w:rPr>
                <w:rFonts w:ascii="Times New Roman" w:eastAsia="Times New Roman" w:hAnsi="Times New Roman" w:cs="Times New Roman"/>
                <w:color w:val="000000"/>
                <w:kern w:val="0"/>
                <w:szCs w:val="24"/>
                <w:lang w:eastAsia="en-IN"/>
                <w14:ligatures w14:val="none"/>
              </w:rPr>
              <w:t>1966-67</w:t>
            </w:r>
          </w:p>
        </w:tc>
        <w:tc>
          <w:tcPr>
            <w:tcW w:w="1527" w:type="dxa"/>
            <w:tcBorders>
              <w:top w:val="nil"/>
              <w:left w:val="nil"/>
              <w:bottom w:val="single" w:sz="4" w:space="0" w:color="auto"/>
              <w:right w:val="single" w:sz="4" w:space="0" w:color="auto"/>
            </w:tcBorders>
            <w:vAlign w:val="center"/>
            <w:hideMark/>
          </w:tcPr>
          <w:p w14:paraId="30CD9CEC" w14:textId="77777777" w:rsidR="00F55740" w:rsidRPr="00F55740" w:rsidRDefault="00F55740" w:rsidP="00F55740">
            <w:pPr>
              <w:spacing w:after="0" w:line="240" w:lineRule="auto"/>
              <w:jc w:val="center"/>
              <w:rPr>
                <w:rFonts w:ascii="Times New Roman" w:eastAsia="Times New Roman" w:hAnsi="Times New Roman" w:cs="Times New Roman"/>
                <w:color w:val="000000"/>
                <w:kern w:val="0"/>
                <w:szCs w:val="24"/>
                <w:lang w:eastAsia="en-IN"/>
                <w14:ligatures w14:val="none"/>
              </w:rPr>
            </w:pPr>
            <w:r w:rsidRPr="00F55740">
              <w:rPr>
                <w:rFonts w:ascii="Times New Roman" w:eastAsia="Times New Roman" w:hAnsi="Times New Roman" w:cs="Times New Roman"/>
                <w:color w:val="000000"/>
                <w:kern w:val="0"/>
                <w:szCs w:val="24"/>
                <w:lang w:eastAsia="en-IN"/>
                <w14:ligatures w14:val="none"/>
              </w:rPr>
              <w:t>18</w:t>
            </w:r>
          </w:p>
        </w:tc>
        <w:tc>
          <w:tcPr>
            <w:tcW w:w="1528" w:type="dxa"/>
            <w:tcBorders>
              <w:top w:val="nil"/>
              <w:left w:val="nil"/>
              <w:bottom w:val="single" w:sz="4" w:space="0" w:color="auto"/>
              <w:right w:val="single" w:sz="4" w:space="0" w:color="auto"/>
            </w:tcBorders>
            <w:vAlign w:val="center"/>
            <w:hideMark/>
          </w:tcPr>
          <w:p w14:paraId="5B09CC58" w14:textId="77777777" w:rsidR="00F55740" w:rsidRPr="00F55740" w:rsidRDefault="00F55740" w:rsidP="00F55740">
            <w:pPr>
              <w:spacing w:after="0" w:line="240" w:lineRule="auto"/>
              <w:jc w:val="center"/>
              <w:rPr>
                <w:rFonts w:ascii="Times New Roman" w:eastAsia="Times New Roman" w:hAnsi="Times New Roman" w:cs="Times New Roman"/>
                <w:color w:val="000000"/>
                <w:kern w:val="0"/>
                <w:szCs w:val="24"/>
                <w:lang w:eastAsia="en-IN"/>
                <w14:ligatures w14:val="none"/>
              </w:rPr>
            </w:pPr>
            <w:r w:rsidRPr="00F55740">
              <w:rPr>
                <w:rFonts w:ascii="Times New Roman" w:eastAsia="Times New Roman" w:hAnsi="Times New Roman" w:cs="Times New Roman"/>
                <w:color w:val="000000"/>
                <w:kern w:val="0"/>
                <w:szCs w:val="24"/>
                <w:lang w:eastAsia="en-IN"/>
                <w14:ligatures w14:val="none"/>
              </w:rPr>
              <w:t>780</w:t>
            </w:r>
          </w:p>
        </w:tc>
        <w:tc>
          <w:tcPr>
            <w:tcW w:w="1731" w:type="dxa"/>
            <w:tcBorders>
              <w:top w:val="nil"/>
              <w:left w:val="nil"/>
              <w:bottom w:val="single" w:sz="4" w:space="0" w:color="auto"/>
              <w:right w:val="single" w:sz="4" w:space="0" w:color="auto"/>
            </w:tcBorders>
            <w:vAlign w:val="center"/>
            <w:hideMark/>
          </w:tcPr>
          <w:p w14:paraId="21F1382B" w14:textId="77777777" w:rsidR="00F55740" w:rsidRPr="00F55740" w:rsidRDefault="00F55740" w:rsidP="00F55740">
            <w:pPr>
              <w:spacing w:after="0" w:line="240" w:lineRule="auto"/>
              <w:jc w:val="center"/>
              <w:rPr>
                <w:rFonts w:ascii="Times New Roman" w:eastAsia="Times New Roman" w:hAnsi="Times New Roman" w:cs="Times New Roman"/>
                <w:color w:val="000000"/>
                <w:kern w:val="0"/>
                <w:szCs w:val="24"/>
                <w:lang w:eastAsia="en-IN"/>
                <w14:ligatures w14:val="none"/>
              </w:rPr>
            </w:pPr>
            <w:r w:rsidRPr="00F55740">
              <w:rPr>
                <w:rFonts w:ascii="Times New Roman" w:eastAsia="Times New Roman" w:hAnsi="Times New Roman" w:cs="Times New Roman"/>
                <w:color w:val="000000"/>
                <w:kern w:val="0"/>
                <w:szCs w:val="24"/>
                <w:lang w:eastAsia="en-IN"/>
                <w14:ligatures w14:val="none"/>
              </w:rPr>
              <w:t>3</w:t>
            </w:r>
          </w:p>
        </w:tc>
        <w:tc>
          <w:tcPr>
            <w:tcW w:w="1435" w:type="dxa"/>
            <w:tcBorders>
              <w:top w:val="nil"/>
              <w:left w:val="nil"/>
              <w:bottom w:val="single" w:sz="4" w:space="0" w:color="auto"/>
              <w:right w:val="single" w:sz="4" w:space="0" w:color="auto"/>
            </w:tcBorders>
            <w:vAlign w:val="center"/>
            <w:hideMark/>
          </w:tcPr>
          <w:p w14:paraId="3E048830" w14:textId="77777777" w:rsidR="00F55740" w:rsidRPr="00F55740" w:rsidRDefault="00F55740" w:rsidP="00F55740">
            <w:pPr>
              <w:spacing w:after="0" w:line="240" w:lineRule="auto"/>
              <w:jc w:val="center"/>
              <w:rPr>
                <w:rFonts w:ascii="Times New Roman" w:eastAsia="Times New Roman" w:hAnsi="Times New Roman" w:cs="Times New Roman"/>
                <w:color w:val="000000"/>
                <w:kern w:val="0"/>
                <w:szCs w:val="24"/>
                <w:lang w:eastAsia="en-IN"/>
                <w14:ligatures w14:val="none"/>
              </w:rPr>
            </w:pPr>
            <w:r w:rsidRPr="00F55740">
              <w:rPr>
                <w:rFonts w:ascii="Times New Roman" w:eastAsia="Times New Roman" w:hAnsi="Times New Roman" w:cs="Times New Roman"/>
                <w:color w:val="000000"/>
                <w:kern w:val="0"/>
                <w:szCs w:val="24"/>
                <w:lang w:eastAsia="en-IN"/>
                <w14:ligatures w14:val="none"/>
              </w:rPr>
              <w:t>801</w:t>
            </w:r>
          </w:p>
        </w:tc>
      </w:tr>
      <w:tr w:rsidR="00F55740" w:rsidRPr="00F55740" w14:paraId="2F5D3728" w14:textId="77777777" w:rsidTr="00F55740">
        <w:trPr>
          <w:trHeight w:val="20"/>
        </w:trPr>
        <w:tc>
          <w:tcPr>
            <w:tcW w:w="846" w:type="dxa"/>
            <w:tcBorders>
              <w:top w:val="nil"/>
              <w:left w:val="single" w:sz="4" w:space="0" w:color="auto"/>
              <w:bottom w:val="single" w:sz="4" w:space="0" w:color="auto"/>
              <w:right w:val="single" w:sz="4" w:space="0" w:color="auto"/>
            </w:tcBorders>
            <w:vAlign w:val="center"/>
            <w:hideMark/>
          </w:tcPr>
          <w:p w14:paraId="6B127252" w14:textId="77777777" w:rsidR="00F55740" w:rsidRPr="00F55740" w:rsidRDefault="00F55740" w:rsidP="00F55740">
            <w:pPr>
              <w:spacing w:after="0" w:line="240" w:lineRule="auto"/>
              <w:jc w:val="right"/>
              <w:rPr>
                <w:rFonts w:ascii="Times New Roman" w:eastAsia="Times New Roman" w:hAnsi="Times New Roman" w:cs="Times New Roman"/>
                <w:color w:val="000000"/>
                <w:kern w:val="0"/>
                <w:szCs w:val="24"/>
                <w:lang w:eastAsia="en-IN"/>
                <w14:ligatures w14:val="none"/>
              </w:rPr>
            </w:pPr>
            <w:r w:rsidRPr="00F55740">
              <w:rPr>
                <w:rFonts w:ascii="Times New Roman" w:eastAsia="Times New Roman" w:hAnsi="Times New Roman" w:cs="Times New Roman"/>
                <w:color w:val="000000"/>
                <w:kern w:val="0"/>
                <w:szCs w:val="24"/>
                <w:lang w:eastAsia="en-IN"/>
                <w14:ligatures w14:val="none"/>
              </w:rPr>
              <w:t>6</w:t>
            </w:r>
          </w:p>
        </w:tc>
        <w:tc>
          <w:tcPr>
            <w:tcW w:w="1960" w:type="dxa"/>
            <w:tcBorders>
              <w:top w:val="nil"/>
              <w:left w:val="nil"/>
              <w:bottom w:val="single" w:sz="4" w:space="0" w:color="auto"/>
              <w:right w:val="single" w:sz="4" w:space="0" w:color="auto"/>
            </w:tcBorders>
            <w:vAlign w:val="center"/>
            <w:hideMark/>
          </w:tcPr>
          <w:p w14:paraId="3DB89319" w14:textId="77777777" w:rsidR="00F55740" w:rsidRPr="00F55740" w:rsidRDefault="00F55740" w:rsidP="00F55740">
            <w:pPr>
              <w:spacing w:after="0" w:line="240" w:lineRule="auto"/>
              <w:rPr>
                <w:rFonts w:ascii="Times New Roman" w:eastAsia="Times New Roman" w:hAnsi="Times New Roman" w:cs="Times New Roman"/>
                <w:color w:val="000000"/>
                <w:kern w:val="0"/>
                <w:szCs w:val="24"/>
                <w:lang w:eastAsia="en-IN"/>
                <w14:ligatures w14:val="none"/>
              </w:rPr>
            </w:pPr>
            <w:r w:rsidRPr="00F55740">
              <w:rPr>
                <w:rFonts w:ascii="Times New Roman" w:eastAsia="Times New Roman" w:hAnsi="Times New Roman" w:cs="Times New Roman"/>
                <w:color w:val="000000"/>
                <w:kern w:val="0"/>
                <w:szCs w:val="24"/>
                <w:lang w:eastAsia="en-IN"/>
                <w14:ligatures w14:val="none"/>
              </w:rPr>
              <w:t>Southern</w:t>
            </w:r>
          </w:p>
        </w:tc>
        <w:tc>
          <w:tcPr>
            <w:tcW w:w="1527" w:type="dxa"/>
            <w:tcBorders>
              <w:top w:val="nil"/>
              <w:left w:val="nil"/>
              <w:bottom w:val="single" w:sz="4" w:space="0" w:color="auto"/>
              <w:right w:val="single" w:sz="4" w:space="0" w:color="auto"/>
            </w:tcBorders>
            <w:vAlign w:val="center"/>
            <w:hideMark/>
          </w:tcPr>
          <w:p w14:paraId="6CF001B8" w14:textId="743A7CCA" w:rsidR="00F55740" w:rsidRPr="00F55740" w:rsidRDefault="00F55740" w:rsidP="00F55740">
            <w:pPr>
              <w:spacing w:after="0" w:line="240" w:lineRule="auto"/>
              <w:jc w:val="center"/>
              <w:rPr>
                <w:rFonts w:ascii="Times New Roman" w:eastAsia="Times New Roman" w:hAnsi="Times New Roman" w:cs="Times New Roman"/>
                <w:color w:val="000000"/>
                <w:kern w:val="0"/>
                <w:szCs w:val="24"/>
                <w:lang w:eastAsia="en-IN"/>
                <w14:ligatures w14:val="none"/>
              </w:rPr>
            </w:pPr>
          </w:p>
        </w:tc>
        <w:tc>
          <w:tcPr>
            <w:tcW w:w="1528" w:type="dxa"/>
            <w:tcBorders>
              <w:top w:val="nil"/>
              <w:left w:val="nil"/>
              <w:bottom w:val="single" w:sz="4" w:space="0" w:color="auto"/>
              <w:right w:val="single" w:sz="4" w:space="0" w:color="auto"/>
            </w:tcBorders>
            <w:vAlign w:val="center"/>
            <w:hideMark/>
          </w:tcPr>
          <w:p w14:paraId="4E7ECF4D" w14:textId="02D24620" w:rsidR="00F55740" w:rsidRPr="00F55740" w:rsidRDefault="00F55740" w:rsidP="00F55740">
            <w:pPr>
              <w:spacing w:after="0" w:line="240" w:lineRule="auto"/>
              <w:jc w:val="center"/>
              <w:rPr>
                <w:rFonts w:ascii="Times New Roman" w:eastAsia="Times New Roman" w:hAnsi="Times New Roman" w:cs="Times New Roman"/>
                <w:color w:val="000000"/>
                <w:kern w:val="0"/>
                <w:szCs w:val="24"/>
                <w:lang w:eastAsia="en-IN"/>
                <w14:ligatures w14:val="none"/>
              </w:rPr>
            </w:pPr>
          </w:p>
        </w:tc>
        <w:tc>
          <w:tcPr>
            <w:tcW w:w="1731" w:type="dxa"/>
            <w:tcBorders>
              <w:top w:val="nil"/>
              <w:left w:val="nil"/>
              <w:bottom w:val="single" w:sz="4" w:space="0" w:color="auto"/>
              <w:right w:val="single" w:sz="4" w:space="0" w:color="auto"/>
            </w:tcBorders>
            <w:vAlign w:val="center"/>
            <w:hideMark/>
          </w:tcPr>
          <w:p w14:paraId="71E3A6B2" w14:textId="57D8ED1A" w:rsidR="00F55740" w:rsidRPr="00F55740" w:rsidRDefault="00F55740" w:rsidP="00F55740">
            <w:pPr>
              <w:spacing w:after="0" w:line="240" w:lineRule="auto"/>
              <w:jc w:val="center"/>
              <w:rPr>
                <w:rFonts w:ascii="Times New Roman" w:eastAsia="Times New Roman" w:hAnsi="Times New Roman" w:cs="Times New Roman"/>
                <w:color w:val="000000"/>
                <w:kern w:val="0"/>
                <w:szCs w:val="24"/>
                <w:lang w:eastAsia="en-IN"/>
                <w14:ligatures w14:val="none"/>
              </w:rPr>
            </w:pPr>
          </w:p>
        </w:tc>
        <w:tc>
          <w:tcPr>
            <w:tcW w:w="1435" w:type="dxa"/>
            <w:tcBorders>
              <w:top w:val="nil"/>
              <w:left w:val="nil"/>
              <w:bottom w:val="single" w:sz="4" w:space="0" w:color="auto"/>
              <w:right w:val="single" w:sz="4" w:space="0" w:color="auto"/>
            </w:tcBorders>
            <w:vAlign w:val="center"/>
            <w:hideMark/>
          </w:tcPr>
          <w:p w14:paraId="457EDFD1" w14:textId="380CD01F" w:rsidR="00F55740" w:rsidRPr="00F55740" w:rsidRDefault="00F55740" w:rsidP="00F55740">
            <w:pPr>
              <w:spacing w:after="0" w:line="240" w:lineRule="auto"/>
              <w:jc w:val="center"/>
              <w:rPr>
                <w:rFonts w:ascii="Times New Roman" w:eastAsia="Times New Roman" w:hAnsi="Times New Roman" w:cs="Times New Roman"/>
                <w:color w:val="000000"/>
                <w:kern w:val="0"/>
                <w:szCs w:val="24"/>
                <w:lang w:eastAsia="en-IN"/>
                <w14:ligatures w14:val="none"/>
              </w:rPr>
            </w:pPr>
          </w:p>
        </w:tc>
      </w:tr>
      <w:tr w:rsidR="00F55740" w:rsidRPr="00F55740" w14:paraId="1ADF26E0" w14:textId="77777777" w:rsidTr="00F55740">
        <w:trPr>
          <w:trHeight w:val="20"/>
        </w:trPr>
        <w:tc>
          <w:tcPr>
            <w:tcW w:w="846" w:type="dxa"/>
            <w:tcBorders>
              <w:top w:val="nil"/>
              <w:left w:val="single" w:sz="4" w:space="0" w:color="auto"/>
              <w:bottom w:val="single" w:sz="4" w:space="0" w:color="auto"/>
              <w:right w:val="single" w:sz="4" w:space="0" w:color="auto"/>
            </w:tcBorders>
            <w:noWrap/>
            <w:vAlign w:val="bottom"/>
            <w:hideMark/>
          </w:tcPr>
          <w:p w14:paraId="2619D864" w14:textId="77777777" w:rsidR="00F55740" w:rsidRPr="00F55740" w:rsidRDefault="00F55740" w:rsidP="00F55740">
            <w:pPr>
              <w:spacing w:after="0" w:line="240" w:lineRule="auto"/>
              <w:rPr>
                <w:rFonts w:ascii="Aptos Narrow" w:eastAsia="Times New Roman" w:hAnsi="Aptos Narrow" w:cs="Times New Roman"/>
                <w:color w:val="000000"/>
                <w:kern w:val="0"/>
                <w:sz w:val="22"/>
                <w:szCs w:val="22"/>
                <w:lang w:eastAsia="en-IN"/>
                <w14:ligatures w14:val="none"/>
              </w:rPr>
            </w:pPr>
            <w:r w:rsidRPr="00F55740">
              <w:rPr>
                <w:rFonts w:ascii="Aptos Narrow" w:eastAsia="Times New Roman" w:hAnsi="Aptos Narrow" w:cs="Times New Roman"/>
                <w:color w:val="000000"/>
                <w:kern w:val="0"/>
                <w:sz w:val="22"/>
                <w:szCs w:val="22"/>
                <w:lang w:eastAsia="en-IN"/>
                <w14:ligatures w14:val="none"/>
              </w:rPr>
              <w:t> </w:t>
            </w:r>
          </w:p>
        </w:tc>
        <w:tc>
          <w:tcPr>
            <w:tcW w:w="1960" w:type="dxa"/>
            <w:tcBorders>
              <w:top w:val="nil"/>
              <w:left w:val="nil"/>
              <w:bottom w:val="single" w:sz="4" w:space="0" w:color="auto"/>
              <w:right w:val="single" w:sz="4" w:space="0" w:color="auto"/>
            </w:tcBorders>
            <w:vAlign w:val="center"/>
            <w:hideMark/>
          </w:tcPr>
          <w:p w14:paraId="488F4C85" w14:textId="77777777" w:rsidR="00F55740" w:rsidRPr="00F55740" w:rsidRDefault="00F55740" w:rsidP="00F55740">
            <w:pPr>
              <w:spacing w:after="0" w:line="240" w:lineRule="auto"/>
              <w:rPr>
                <w:rFonts w:ascii="Times New Roman" w:eastAsia="Times New Roman" w:hAnsi="Times New Roman" w:cs="Times New Roman"/>
                <w:color w:val="000000"/>
                <w:kern w:val="0"/>
                <w:szCs w:val="24"/>
                <w:lang w:eastAsia="en-IN"/>
                <w14:ligatures w14:val="none"/>
              </w:rPr>
            </w:pPr>
            <w:r w:rsidRPr="00F55740">
              <w:rPr>
                <w:rFonts w:ascii="Times New Roman" w:eastAsia="Times New Roman" w:hAnsi="Times New Roman" w:cs="Times New Roman"/>
                <w:color w:val="000000"/>
                <w:kern w:val="0"/>
                <w:szCs w:val="24"/>
                <w:lang w:eastAsia="en-IN"/>
                <w14:ligatures w14:val="none"/>
              </w:rPr>
              <w:t>1964-65</w:t>
            </w:r>
          </w:p>
        </w:tc>
        <w:tc>
          <w:tcPr>
            <w:tcW w:w="1527" w:type="dxa"/>
            <w:tcBorders>
              <w:top w:val="nil"/>
              <w:left w:val="nil"/>
              <w:bottom w:val="single" w:sz="4" w:space="0" w:color="auto"/>
              <w:right w:val="single" w:sz="4" w:space="0" w:color="auto"/>
            </w:tcBorders>
            <w:vAlign w:val="center"/>
            <w:hideMark/>
          </w:tcPr>
          <w:p w14:paraId="3C775C23" w14:textId="77777777" w:rsidR="00F55740" w:rsidRPr="00F55740" w:rsidRDefault="00F55740" w:rsidP="00F55740">
            <w:pPr>
              <w:spacing w:after="0" w:line="240" w:lineRule="auto"/>
              <w:jc w:val="center"/>
              <w:rPr>
                <w:rFonts w:ascii="Times New Roman" w:eastAsia="Times New Roman" w:hAnsi="Times New Roman" w:cs="Times New Roman"/>
                <w:color w:val="000000"/>
                <w:kern w:val="0"/>
                <w:szCs w:val="24"/>
                <w:lang w:eastAsia="en-IN"/>
                <w14:ligatures w14:val="none"/>
              </w:rPr>
            </w:pPr>
            <w:r w:rsidRPr="00F55740">
              <w:rPr>
                <w:rFonts w:ascii="Times New Roman" w:eastAsia="Times New Roman" w:hAnsi="Times New Roman" w:cs="Times New Roman"/>
                <w:color w:val="000000"/>
                <w:kern w:val="0"/>
                <w:szCs w:val="24"/>
                <w:lang w:eastAsia="en-IN"/>
                <w14:ligatures w14:val="none"/>
              </w:rPr>
              <w:t>1464</w:t>
            </w:r>
          </w:p>
        </w:tc>
        <w:tc>
          <w:tcPr>
            <w:tcW w:w="1528" w:type="dxa"/>
            <w:tcBorders>
              <w:top w:val="nil"/>
              <w:left w:val="nil"/>
              <w:bottom w:val="single" w:sz="4" w:space="0" w:color="auto"/>
              <w:right w:val="single" w:sz="4" w:space="0" w:color="auto"/>
            </w:tcBorders>
            <w:vAlign w:val="center"/>
            <w:hideMark/>
          </w:tcPr>
          <w:p w14:paraId="4A16920A" w14:textId="77777777" w:rsidR="00F55740" w:rsidRPr="00F55740" w:rsidRDefault="00F55740" w:rsidP="00F55740">
            <w:pPr>
              <w:spacing w:after="0" w:line="240" w:lineRule="auto"/>
              <w:jc w:val="center"/>
              <w:rPr>
                <w:rFonts w:ascii="Times New Roman" w:eastAsia="Times New Roman" w:hAnsi="Times New Roman" w:cs="Times New Roman"/>
                <w:color w:val="000000"/>
                <w:kern w:val="0"/>
                <w:szCs w:val="24"/>
                <w:lang w:eastAsia="en-IN"/>
                <w14:ligatures w14:val="none"/>
              </w:rPr>
            </w:pPr>
            <w:r w:rsidRPr="00F55740">
              <w:rPr>
                <w:rFonts w:ascii="Times New Roman" w:eastAsia="Times New Roman" w:hAnsi="Times New Roman" w:cs="Times New Roman"/>
                <w:color w:val="000000"/>
                <w:kern w:val="0"/>
                <w:szCs w:val="24"/>
                <w:lang w:eastAsia="en-IN"/>
                <w14:ligatures w14:val="none"/>
              </w:rPr>
              <w:t>1434</w:t>
            </w:r>
          </w:p>
        </w:tc>
        <w:tc>
          <w:tcPr>
            <w:tcW w:w="1731" w:type="dxa"/>
            <w:tcBorders>
              <w:top w:val="nil"/>
              <w:left w:val="nil"/>
              <w:bottom w:val="single" w:sz="4" w:space="0" w:color="auto"/>
              <w:right w:val="single" w:sz="4" w:space="0" w:color="auto"/>
            </w:tcBorders>
            <w:vAlign w:val="center"/>
            <w:hideMark/>
          </w:tcPr>
          <w:p w14:paraId="5EED75FA" w14:textId="77777777" w:rsidR="00F55740" w:rsidRPr="00F55740" w:rsidRDefault="00F55740" w:rsidP="00F55740">
            <w:pPr>
              <w:spacing w:after="0" w:line="240" w:lineRule="auto"/>
              <w:jc w:val="center"/>
              <w:rPr>
                <w:rFonts w:ascii="Times New Roman" w:eastAsia="Times New Roman" w:hAnsi="Times New Roman" w:cs="Times New Roman"/>
                <w:color w:val="000000"/>
                <w:kern w:val="0"/>
                <w:szCs w:val="24"/>
                <w:lang w:eastAsia="en-IN"/>
                <w14:ligatures w14:val="none"/>
              </w:rPr>
            </w:pPr>
            <w:r w:rsidRPr="00F55740">
              <w:rPr>
                <w:rFonts w:ascii="Times New Roman" w:eastAsia="Times New Roman" w:hAnsi="Times New Roman" w:cs="Times New Roman"/>
                <w:color w:val="000000"/>
                <w:kern w:val="0"/>
                <w:szCs w:val="24"/>
                <w:lang w:eastAsia="en-IN"/>
                <w14:ligatures w14:val="none"/>
              </w:rPr>
              <w:t>6</w:t>
            </w:r>
          </w:p>
        </w:tc>
        <w:tc>
          <w:tcPr>
            <w:tcW w:w="1435" w:type="dxa"/>
            <w:tcBorders>
              <w:top w:val="nil"/>
              <w:left w:val="nil"/>
              <w:bottom w:val="single" w:sz="4" w:space="0" w:color="auto"/>
              <w:right w:val="single" w:sz="4" w:space="0" w:color="auto"/>
            </w:tcBorders>
            <w:vAlign w:val="center"/>
            <w:hideMark/>
          </w:tcPr>
          <w:p w14:paraId="56D3EAAF" w14:textId="77777777" w:rsidR="00F55740" w:rsidRPr="00F55740" w:rsidRDefault="00F55740" w:rsidP="00F55740">
            <w:pPr>
              <w:spacing w:after="0" w:line="240" w:lineRule="auto"/>
              <w:jc w:val="center"/>
              <w:rPr>
                <w:rFonts w:ascii="Times New Roman" w:eastAsia="Times New Roman" w:hAnsi="Times New Roman" w:cs="Times New Roman"/>
                <w:color w:val="000000"/>
                <w:kern w:val="0"/>
                <w:szCs w:val="24"/>
                <w:lang w:eastAsia="en-IN"/>
                <w14:ligatures w14:val="none"/>
              </w:rPr>
            </w:pPr>
            <w:r w:rsidRPr="00F55740">
              <w:rPr>
                <w:rFonts w:ascii="Times New Roman" w:eastAsia="Times New Roman" w:hAnsi="Times New Roman" w:cs="Times New Roman"/>
                <w:color w:val="000000"/>
                <w:kern w:val="0"/>
                <w:szCs w:val="24"/>
                <w:lang w:eastAsia="en-IN"/>
                <w14:ligatures w14:val="none"/>
              </w:rPr>
              <w:t>2904</w:t>
            </w:r>
          </w:p>
        </w:tc>
      </w:tr>
      <w:tr w:rsidR="00F55740" w:rsidRPr="00F55740" w14:paraId="735EB6EB" w14:textId="77777777" w:rsidTr="00F55740">
        <w:trPr>
          <w:trHeight w:val="20"/>
        </w:trPr>
        <w:tc>
          <w:tcPr>
            <w:tcW w:w="846" w:type="dxa"/>
            <w:tcBorders>
              <w:top w:val="nil"/>
              <w:left w:val="single" w:sz="4" w:space="0" w:color="auto"/>
              <w:bottom w:val="single" w:sz="4" w:space="0" w:color="auto"/>
              <w:right w:val="single" w:sz="4" w:space="0" w:color="auto"/>
            </w:tcBorders>
            <w:hideMark/>
          </w:tcPr>
          <w:p w14:paraId="7DE3170B" w14:textId="77777777" w:rsidR="00F55740" w:rsidRPr="00F55740" w:rsidRDefault="00F55740" w:rsidP="00F55740">
            <w:pPr>
              <w:spacing w:after="0" w:line="240" w:lineRule="auto"/>
              <w:rPr>
                <w:rFonts w:ascii="Aptos" w:eastAsia="Times New Roman" w:hAnsi="Aptos" w:cs="Times New Roman"/>
                <w:color w:val="000000"/>
                <w:kern w:val="0"/>
                <w:szCs w:val="24"/>
                <w:lang w:eastAsia="en-IN"/>
                <w14:ligatures w14:val="none"/>
              </w:rPr>
            </w:pPr>
            <w:r w:rsidRPr="00F55740">
              <w:rPr>
                <w:rFonts w:ascii="Aptos" w:eastAsia="Times New Roman" w:hAnsi="Aptos" w:cs="Times New Roman"/>
                <w:color w:val="000000"/>
                <w:kern w:val="0"/>
                <w:szCs w:val="24"/>
                <w:lang w:eastAsia="en-IN"/>
                <w14:ligatures w14:val="none"/>
              </w:rPr>
              <w:t> </w:t>
            </w:r>
          </w:p>
        </w:tc>
        <w:tc>
          <w:tcPr>
            <w:tcW w:w="1960" w:type="dxa"/>
            <w:tcBorders>
              <w:top w:val="nil"/>
              <w:left w:val="nil"/>
              <w:bottom w:val="single" w:sz="4" w:space="0" w:color="auto"/>
              <w:right w:val="single" w:sz="4" w:space="0" w:color="auto"/>
            </w:tcBorders>
            <w:vAlign w:val="center"/>
            <w:hideMark/>
          </w:tcPr>
          <w:p w14:paraId="0BF7FFA1" w14:textId="77777777" w:rsidR="00F55740" w:rsidRPr="00F55740" w:rsidRDefault="00F55740" w:rsidP="00F55740">
            <w:pPr>
              <w:spacing w:after="0" w:line="240" w:lineRule="auto"/>
              <w:rPr>
                <w:rFonts w:ascii="Times New Roman" w:eastAsia="Times New Roman" w:hAnsi="Times New Roman" w:cs="Times New Roman"/>
                <w:color w:val="000000"/>
                <w:kern w:val="0"/>
                <w:szCs w:val="24"/>
                <w:lang w:eastAsia="en-IN"/>
                <w14:ligatures w14:val="none"/>
              </w:rPr>
            </w:pPr>
            <w:r w:rsidRPr="00F55740">
              <w:rPr>
                <w:rFonts w:ascii="Times New Roman" w:eastAsia="Times New Roman" w:hAnsi="Times New Roman" w:cs="Times New Roman"/>
                <w:color w:val="000000"/>
                <w:kern w:val="0"/>
                <w:szCs w:val="24"/>
                <w:lang w:eastAsia="en-IN"/>
                <w14:ligatures w14:val="none"/>
              </w:rPr>
              <w:t>1965-66</w:t>
            </w:r>
          </w:p>
        </w:tc>
        <w:tc>
          <w:tcPr>
            <w:tcW w:w="1527" w:type="dxa"/>
            <w:tcBorders>
              <w:top w:val="nil"/>
              <w:left w:val="nil"/>
              <w:bottom w:val="single" w:sz="4" w:space="0" w:color="auto"/>
              <w:right w:val="single" w:sz="4" w:space="0" w:color="auto"/>
            </w:tcBorders>
            <w:vAlign w:val="center"/>
            <w:hideMark/>
          </w:tcPr>
          <w:p w14:paraId="44167611" w14:textId="77777777" w:rsidR="00F55740" w:rsidRPr="00F55740" w:rsidRDefault="00F55740" w:rsidP="00F55740">
            <w:pPr>
              <w:spacing w:after="0" w:line="240" w:lineRule="auto"/>
              <w:jc w:val="center"/>
              <w:rPr>
                <w:rFonts w:ascii="Times New Roman" w:eastAsia="Times New Roman" w:hAnsi="Times New Roman" w:cs="Times New Roman"/>
                <w:color w:val="000000"/>
                <w:kern w:val="0"/>
                <w:szCs w:val="24"/>
                <w:lang w:eastAsia="en-IN"/>
                <w14:ligatures w14:val="none"/>
              </w:rPr>
            </w:pPr>
            <w:r w:rsidRPr="00F55740">
              <w:rPr>
                <w:rFonts w:ascii="Times New Roman" w:eastAsia="Times New Roman" w:hAnsi="Times New Roman" w:cs="Times New Roman"/>
                <w:color w:val="000000"/>
                <w:kern w:val="0"/>
                <w:szCs w:val="24"/>
                <w:lang w:eastAsia="en-IN"/>
                <w14:ligatures w14:val="none"/>
              </w:rPr>
              <w:t>1655</w:t>
            </w:r>
          </w:p>
        </w:tc>
        <w:tc>
          <w:tcPr>
            <w:tcW w:w="1528" w:type="dxa"/>
            <w:tcBorders>
              <w:top w:val="nil"/>
              <w:left w:val="nil"/>
              <w:bottom w:val="single" w:sz="4" w:space="0" w:color="auto"/>
              <w:right w:val="single" w:sz="4" w:space="0" w:color="auto"/>
            </w:tcBorders>
            <w:vAlign w:val="center"/>
            <w:hideMark/>
          </w:tcPr>
          <w:p w14:paraId="2CBC34F5" w14:textId="77777777" w:rsidR="00F55740" w:rsidRPr="00F55740" w:rsidRDefault="00F55740" w:rsidP="00F55740">
            <w:pPr>
              <w:spacing w:after="0" w:line="240" w:lineRule="auto"/>
              <w:jc w:val="center"/>
              <w:rPr>
                <w:rFonts w:ascii="Times New Roman" w:eastAsia="Times New Roman" w:hAnsi="Times New Roman" w:cs="Times New Roman"/>
                <w:color w:val="000000"/>
                <w:kern w:val="0"/>
                <w:szCs w:val="24"/>
                <w:lang w:eastAsia="en-IN"/>
                <w14:ligatures w14:val="none"/>
              </w:rPr>
            </w:pPr>
            <w:r w:rsidRPr="00F55740">
              <w:rPr>
                <w:rFonts w:ascii="Times New Roman" w:eastAsia="Times New Roman" w:hAnsi="Times New Roman" w:cs="Times New Roman"/>
                <w:color w:val="000000"/>
                <w:kern w:val="0"/>
                <w:szCs w:val="24"/>
                <w:lang w:eastAsia="en-IN"/>
                <w14:ligatures w14:val="none"/>
              </w:rPr>
              <w:t>1609</w:t>
            </w:r>
          </w:p>
        </w:tc>
        <w:tc>
          <w:tcPr>
            <w:tcW w:w="1731" w:type="dxa"/>
            <w:tcBorders>
              <w:top w:val="nil"/>
              <w:left w:val="nil"/>
              <w:bottom w:val="single" w:sz="4" w:space="0" w:color="auto"/>
              <w:right w:val="single" w:sz="4" w:space="0" w:color="auto"/>
            </w:tcBorders>
            <w:vAlign w:val="center"/>
            <w:hideMark/>
          </w:tcPr>
          <w:p w14:paraId="4B48591E" w14:textId="77777777" w:rsidR="00F55740" w:rsidRPr="00F55740" w:rsidRDefault="00F55740" w:rsidP="00F55740">
            <w:pPr>
              <w:spacing w:after="0" w:line="240" w:lineRule="auto"/>
              <w:jc w:val="center"/>
              <w:rPr>
                <w:rFonts w:ascii="Times New Roman" w:eastAsia="Times New Roman" w:hAnsi="Times New Roman" w:cs="Times New Roman"/>
                <w:color w:val="000000"/>
                <w:kern w:val="0"/>
                <w:szCs w:val="24"/>
                <w:lang w:eastAsia="en-IN"/>
                <w14:ligatures w14:val="none"/>
              </w:rPr>
            </w:pPr>
            <w:r w:rsidRPr="00F55740">
              <w:rPr>
                <w:rFonts w:ascii="Times New Roman" w:eastAsia="Times New Roman" w:hAnsi="Times New Roman" w:cs="Times New Roman"/>
                <w:color w:val="000000"/>
                <w:kern w:val="0"/>
                <w:szCs w:val="24"/>
                <w:lang w:eastAsia="en-IN"/>
                <w14:ligatures w14:val="none"/>
              </w:rPr>
              <w:t>4</w:t>
            </w:r>
          </w:p>
        </w:tc>
        <w:tc>
          <w:tcPr>
            <w:tcW w:w="1435" w:type="dxa"/>
            <w:tcBorders>
              <w:top w:val="nil"/>
              <w:left w:val="nil"/>
              <w:bottom w:val="single" w:sz="4" w:space="0" w:color="auto"/>
              <w:right w:val="single" w:sz="4" w:space="0" w:color="auto"/>
            </w:tcBorders>
            <w:vAlign w:val="center"/>
            <w:hideMark/>
          </w:tcPr>
          <w:p w14:paraId="318FC3FE" w14:textId="77777777" w:rsidR="00F55740" w:rsidRPr="00F55740" w:rsidRDefault="00F55740" w:rsidP="00F55740">
            <w:pPr>
              <w:spacing w:after="0" w:line="240" w:lineRule="auto"/>
              <w:jc w:val="center"/>
              <w:rPr>
                <w:rFonts w:ascii="Times New Roman" w:eastAsia="Times New Roman" w:hAnsi="Times New Roman" w:cs="Times New Roman"/>
                <w:color w:val="000000"/>
                <w:kern w:val="0"/>
                <w:szCs w:val="24"/>
                <w:lang w:eastAsia="en-IN"/>
                <w14:ligatures w14:val="none"/>
              </w:rPr>
            </w:pPr>
            <w:r w:rsidRPr="00F55740">
              <w:rPr>
                <w:rFonts w:ascii="Times New Roman" w:eastAsia="Times New Roman" w:hAnsi="Times New Roman" w:cs="Times New Roman"/>
                <w:color w:val="000000"/>
                <w:kern w:val="0"/>
                <w:szCs w:val="24"/>
                <w:lang w:eastAsia="en-IN"/>
                <w14:ligatures w14:val="none"/>
              </w:rPr>
              <w:t>3268</w:t>
            </w:r>
          </w:p>
        </w:tc>
      </w:tr>
      <w:tr w:rsidR="00F55740" w:rsidRPr="00F55740" w14:paraId="78DF4088" w14:textId="77777777" w:rsidTr="00F55740">
        <w:trPr>
          <w:trHeight w:val="20"/>
        </w:trPr>
        <w:tc>
          <w:tcPr>
            <w:tcW w:w="846" w:type="dxa"/>
            <w:tcBorders>
              <w:top w:val="nil"/>
              <w:left w:val="single" w:sz="4" w:space="0" w:color="auto"/>
              <w:bottom w:val="single" w:sz="4" w:space="0" w:color="auto"/>
              <w:right w:val="single" w:sz="4" w:space="0" w:color="auto"/>
            </w:tcBorders>
            <w:hideMark/>
          </w:tcPr>
          <w:p w14:paraId="139C58CC" w14:textId="77777777" w:rsidR="00F55740" w:rsidRPr="00F55740" w:rsidRDefault="00F55740" w:rsidP="00F55740">
            <w:pPr>
              <w:spacing w:after="0" w:line="240" w:lineRule="auto"/>
              <w:rPr>
                <w:rFonts w:ascii="Aptos" w:eastAsia="Times New Roman" w:hAnsi="Aptos" w:cs="Times New Roman"/>
                <w:color w:val="000000"/>
                <w:kern w:val="0"/>
                <w:szCs w:val="24"/>
                <w:lang w:eastAsia="en-IN"/>
                <w14:ligatures w14:val="none"/>
              </w:rPr>
            </w:pPr>
            <w:r w:rsidRPr="00F55740">
              <w:rPr>
                <w:rFonts w:ascii="Aptos" w:eastAsia="Times New Roman" w:hAnsi="Aptos" w:cs="Times New Roman"/>
                <w:color w:val="000000"/>
                <w:kern w:val="0"/>
                <w:szCs w:val="24"/>
                <w:lang w:eastAsia="en-IN"/>
                <w14:ligatures w14:val="none"/>
              </w:rPr>
              <w:t> </w:t>
            </w:r>
          </w:p>
        </w:tc>
        <w:tc>
          <w:tcPr>
            <w:tcW w:w="1960" w:type="dxa"/>
            <w:tcBorders>
              <w:top w:val="nil"/>
              <w:left w:val="nil"/>
              <w:bottom w:val="single" w:sz="4" w:space="0" w:color="auto"/>
              <w:right w:val="single" w:sz="4" w:space="0" w:color="auto"/>
            </w:tcBorders>
            <w:vAlign w:val="center"/>
            <w:hideMark/>
          </w:tcPr>
          <w:p w14:paraId="700754A9" w14:textId="77777777" w:rsidR="00F55740" w:rsidRPr="00F55740" w:rsidRDefault="00F55740" w:rsidP="00F55740">
            <w:pPr>
              <w:spacing w:after="0" w:line="240" w:lineRule="auto"/>
              <w:rPr>
                <w:rFonts w:ascii="Times New Roman" w:eastAsia="Times New Roman" w:hAnsi="Times New Roman" w:cs="Times New Roman"/>
                <w:color w:val="000000"/>
                <w:kern w:val="0"/>
                <w:szCs w:val="24"/>
                <w:lang w:eastAsia="en-IN"/>
                <w14:ligatures w14:val="none"/>
              </w:rPr>
            </w:pPr>
            <w:r w:rsidRPr="00F55740">
              <w:rPr>
                <w:rFonts w:ascii="Times New Roman" w:eastAsia="Times New Roman" w:hAnsi="Times New Roman" w:cs="Times New Roman"/>
                <w:color w:val="000000"/>
                <w:kern w:val="0"/>
                <w:szCs w:val="24"/>
                <w:lang w:eastAsia="en-IN"/>
                <w14:ligatures w14:val="none"/>
              </w:rPr>
              <w:t>1966-67*</w:t>
            </w:r>
          </w:p>
        </w:tc>
        <w:tc>
          <w:tcPr>
            <w:tcW w:w="1527" w:type="dxa"/>
            <w:tcBorders>
              <w:top w:val="nil"/>
              <w:left w:val="nil"/>
              <w:bottom w:val="single" w:sz="4" w:space="0" w:color="auto"/>
              <w:right w:val="single" w:sz="4" w:space="0" w:color="auto"/>
            </w:tcBorders>
            <w:vAlign w:val="center"/>
            <w:hideMark/>
          </w:tcPr>
          <w:p w14:paraId="6447CD54" w14:textId="77777777" w:rsidR="00F55740" w:rsidRPr="00F55740" w:rsidRDefault="00F55740" w:rsidP="00F55740">
            <w:pPr>
              <w:spacing w:after="0" w:line="240" w:lineRule="auto"/>
              <w:jc w:val="center"/>
              <w:rPr>
                <w:rFonts w:ascii="Times New Roman" w:eastAsia="Times New Roman" w:hAnsi="Times New Roman" w:cs="Times New Roman"/>
                <w:color w:val="000000"/>
                <w:kern w:val="0"/>
                <w:szCs w:val="24"/>
                <w:lang w:eastAsia="en-IN"/>
                <w14:ligatures w14:val="none"/>
              </w:rPr>
            </w:pPr>
            <w:r w:rsidRPr="00F55740">
              <w:rPr>
                <w:rFonts w:ascii="Times New Roman" w:eastAsia="Times New Roman" w:hAnsi="Times New Roman" w:cs="Times New Roman"/>
                <w:color w:val="000000"/>
                <w:kern w:val="0"/>
                <w:szCs w:val="24"/>
                <w:lang w:eastAsia="en-IN"/>
                <w14:ligatures w14:val="none"/>
              </w:rPr>
              <w:t>1132</w:t>
            </w:r>
          </w:p>
        </w:tc>
        <w:tc>
          <w:tcPr>
            <w:tcW w:w="1528" w:type="dxa"/>
            <w:tcBorders>
              <w:top w:val="nil"/>
              <w:left w:val="nil"/>
              <w:bottom w:val="single" w:sz="4" w:space="0" w:color="auto"/>
              <w:right w:val="single" w:sz="4" w:space="0" w:color="auto"/>
            </w:tcBorders>
            <w:vAlign w:val="center"/>
            <w:hideMark/>
          </w:tcPr>
          <w:p w14:paraId="319D0C1F" w14:textId="77777777" w:rsidR="00F55740" w:rsidRPr="00F55740" w:rsidRDefault="00F55740" w:rsidP="00F55740">
            <w:pPr>
              <w:spacing w:after="0" w:line="240" w:lineRule="auto"/>
              <w:jc w:val="center"/>
              <w:rPr>
                <w:rFonts w:ascii="Times New Roman" w:eastAsia="Times New Roman" w:hAnsi="Times New Roman" w:cs="Times New Roman"/>
                <w:color w:val="000000"/>
                <w:kern w:val="0"/>
                <w:szCs w:val="24"/>
                <w:lang w:eastAsia="en-IN"/>
                <w14:ligatures w14:val="none"/>
              </w:rPr>
            </w:pPr>
            <w:r w:rsidRPr="00F55740">
              <w:rPr>
                <w:rFonts w:ascii="Times New Roman" w:eastAsia="Times New Roman" w:hAnsi="Times New Roman" w:cs="Times New Roman"/>
                <w:color w:val="000000"/>
                <w:kern w:val="0"/>
                <w:szCs w:val="24"/>
                <w:lang w:eastAsia="en-IN"/>
                <w14:ligatures w14:val="none"/>
              </w:rPr>
              <w:t>1335</w:t>
            </w:r>
          </w:p>
        </w:tc>
        <w:tc>
          <w:tcPr>
            <w:tcW w:w="1731" w:type="dxa"/>
            <w:tcBorders>
              <w:top w:val="nil"/>
              <w:left w:val="nil"/>
              <w:bottom w:val="single" w:sz="4" w:space="0" w:color="auto"/>
              <w:right w:val="single" w:sz="4" w:space="0" w:color="auto"/>
            </w:tcBorders>
            <w:vAlign w:val="center"/>
            <w:hideMark/>
          </w:tcPr>
          <w:p w14:paraId="70E6DDB8" w14:textId="77777777" w:rsidR="00F55740" w:rsidRPr="00F55740" w:rsidRDefault="00F55740" w:rsidP="00F55740">
            <w:pPr>
              <w:spacing w:after="0" w:line="240" w:lineRule="auto"/>
              <w:jc w:val="center"/>
              <w:rPr>
                <w:rFonts w:ascii="Times New Roman" w:eastAsia="Times New Roman" w:hAnsi="Times New Roman" w:cs="Times New Roman"/>
                <w:color w:val="000000"/>
                <w:kern w:val="0"/>
                <w:szCs w:val="24"/>
                <w:lang w:eastAsia="en-IN"/>
                <w14:ligatures w14:val="none"/>
              </w:rPr>
            </w:pPr>
            <w:r w:rsidRPr="00F55740">
              <w:rPr>
                <w:rFonts w:ascii="Times New Roman" w:eastAsia="Times New Roman" w:hAnsi="Times New Roman" w:cs="Times New Roman"/>
                <w:color w:val="000000"/>
                <w:kern w:val="0"/>
                <w:szCs w:val="24"/>
                <w:lang w:eastAsia="en-IN"/>
                <w14:ligatures w14:val="none"/>
              </w:rPr>
              <w:t>3</w:t>
            </w:r>
          </w:p>
        </w:tc>
        <w:tc>
          <w:tcPr>
            <w:tcW w:w="1435" w:type="dxa"/>
            <w:tcBorders>
              <w:top w:val="nil"/>
              <w:left w:val="nil"/>
              <w:bottom w:val="single" w:sz="4" w:space="0" w:color="auto"/>
              <w:right w:val="single" w:sz="4" w:space="0" w:color="auto"/>
            </w:tcBorders>
            <w:vAlign w:val="center"/>
            <w:hideMark/>
          </w:tcPr>
          <w:p w14:paraId="63D4E197" w14:textId="77777777" w:rsidR="00F55740" w:rsidRPr="00F55740" w:rsidRDefault="00F55740" w:rsidP="00F55740">
            <w:pPr>
              <w:spacing w:after="0" w:line="240" w:lineRule="auto"/>
              <w:jc w:val="center"/>
              <w:rPr>
                <w:rFonts w:ascii="Times New Roman" w:eastAsia="Times New Roman" w:hAnsi="Times New Roman" w:cs="Times New Roman"/>
                <w:color w:val="000000"/>
                <w:kern w:val="0"/>
                <w:szCs w:val="24"/>
                <w:lang w:eastAsia="en-IN"/>
                <w14:ligatures w14:val="none"/>
              </w:rPr>
            </w:pPr>
            <w:r w:rsidRPr="00F55740">
              <w:rPr>
                <w:rFonts w:ascii="Times New Roman" w:eastAsia="Times New Roman" w:hAnsi="Times New Roman" w:cs="Times New Roman"/>
                <w:color w:val="000000"/>
                <w:kern w:val="0"/>
                <w:szCs w:val="24"/>
                <w:lang w:eastAsia="en-IN"/>
                <w14:ligatures w14:val="none"/>
              </w:rPr>
              <w:t>2470</w:t>
            </w:r>
          </w:p>
        </w:tc>
      </w:tr>
      <w:tr w:rsidR="00F55740" w:rsidRPr="00F55740" w14:paraId="1AA961F0" w14:textId="77777777" w:rsidTr="00F55740">
        <w:trPr>
          <w:trHeight w:val="20"/>
        </w:trPr>
        <w:tc>
          <w:tcPr>
            <w:tcW w:w="846" w:type="dxa"/>
            <w:tcBorders>
              <w:top w:val="nil"/>
              <w:left w:val="single" w:sz="4" w:space="0" w:color="auto"/>
              <w:bottom w:val="single" w:sz="4" w:space="0" w:color="auto"/>
              <w:right w:val="single" w:sz="4" w:space="0" w:color="auto"/>
            </w:tcBorders>
            <w:vAlign w:val="center"/>
            <w:hideMark/>
          </w:tcPr>
          <w:p w14:paraId="27BBAA14" w14:textId="77777777" w:rsidR="00F55740" w:rsidRPr="00F55740" w:rsidRDefault="00F55740" w:rsidP="00F55740">
            <w:pPr>
              <w:spacing w:after="0" w:line="240" w:lineRule="auto"/>
              <w:jc w:val="right"/>
              <w:rPr>
                <w:rFonts w:ascii="Times New Roman" w:eastAsia="Times New Roman" w:hAnsi="Times New Roman" w:cs="Times New Roman"/>
                <w:color w:val="000000"/>
                <w:kern w:val="0"/>
                <w:szCs w:val="24"/>
                <w:lang w:eastAsia="en-IN"/>
                <w14:ligatures w14:val="none"/>
              </w:rPr>
            </w:pPr>
            <w:r w:rsidRPr="00F55740">
              <w:rPr>
                <w:rFonts w:ascii="Times New Roman" w:eastAsia="Times New Roman" w:hAnsi="Times New Roman" w:cs="Times New Roman"/>
                <w:color w:val="000000"/>
                <w:kern w:val="0"/>
                <w:szCs w:val="24"/>
                <w:lang w:eastAsia="en-IN"/>
                <w14:ligatures w14:val="none"/>
              </w:rPr>
              <w:t>7</w:t>
            </w:r>
          </w:p>
        </w:tc>
        <w:tc>
          <w:tcPr>
            <w:tcW w:w="1960" w:type="dxa"/>
            <w:tcBorders>
              <w:top w:val="nil"/>
              <w:left w:val="nil"/>
              <w:bottom w:val="single" w:sz="4" w:space="0" w:color="auto"/>
              <w:right w:val="single" w:sz="4" w:space="0" w:color="auto"/>
            </w:tcBorders>
            <w:vAlign w:val="center"/>
            <w:hideMark/>
          </w:tcPr>
          <w:p w14:paraId="657880BA" w14:textId="77777777" w:rsidR="00F55740" w:rsidRPr="00F55740" w:rsidRDefault="00F55740" w:rsidP="00F55740">
            <w:pPr>
              <w:spacing w:after="0" w:line="240" w:lineRule="auto"/>
              <w:rPr>
                <w:rFonts w:ascii="Times New Roman" w:eastAsia="Times New Roman" w:hAnsi="Times New Roman" w:cs="Times New Roman"/>
                <w:color w:val="000000"/>
                <w:kern w:val="0"/>
                <w:szCs w:val="24"/>
                <w:lang w:eastAsia="en-IN"/>
                <w14:ligatures w14:val="none"/>
              </w:rPr>
            </w:pPr>
            <w:r w:rsidRPr="00F55740">
              <w:rPr>
                <w:rFonts w:ascii="Times New Roman" w:eastAsia="Times New Roman" w:hAnsi="Times New Roman" w:cs="Times New Roman"/>
                <w:color w:val="000000"/>
                <w:kern w:val="0"/>
                <w:szCs w:val="24"/>
                <w:lang w:eastAsia="en-IN"/>
                <w14:ligatures w14:val="none"/>
              </w:rPr>
              <w:t>South Central</w:t>
            </w:r>
          </w:p>
        </w:tc>
        <w:tc>
          <w:tcPr>
            <w:tcW w:w="1527" w:type="dxa"/>
            <w:tcBorders>
              <w:top w:val="nil"/>
              <w:left w:val="nil"/>
              <w:bottom w:val="single" w:sz="4" w:space="0" w:color="auto"/>
              <w:right w:val="single" w:sz="4" w:space="0" w:color="auto"/>
            </w:tcBorders>
            <w:vAlign w:val="center"/>
            <w:hideMark/>
          </w:tcPr>
          <w:p w14:paraId="5AEF5A00" w14:textId="5E98FF4A" w:rsidR="00F55740" w:rsidRPr="00F55740" w:rsidRDefault="00F55740" w:rsidP="00F55740">
            <w:pPr>
              <w:spacing w:after="0" w:line="240" w:lineRule="auto"/>
              <w:jc w:val="center"/>
              <w:rPr>
                <w:rFonts w:ascii="Aptos" w:eastAsia="Times New Roman" w:hAnsi="Aptos" w:cs="Times New Roman"/>
                <w:color w:val="000000"/>
                <w:kern w:val="0"/>
                <w:szCs w:val="24"/>
                <w:lang w:eastAsia="en-IN"/>
                <w14:ligatures w14:val="none"/>
              </w:rPr>
            </w:pPr>
          </w:p>
        </w:tc>
        <w:tc>
          <w:tcPr>
            <w:tcW w:w="1528" w:type="dxa"/>
            <w:tcBorders>
              <w:top w:val="nil"/>
              <w:left w:val="nil"/>
              <w:bottom w:val="single" w:sz="4" w:space="0" w:color="auto"/>
              <w:right w:val="single" w:sz="4" w:space="0" w:color="auto"/>
            </w:tcBorders>
            <w:vAlign w:val="center"/>
            <w:hideMark/>
          </w:tcPr>
          <w:p w14:paraId="2B5CAA90" w14:textId="2E86A568" w:rsidR="00F55740" w:rsidRPr="00F55740" w:rsidRDefault="00F55740" w:rsidP="00F55740">
            <w:pPr>
              <w:spacing w:after="0" w:line="240" w:lineRule="auto"/>
              <w:jc w:val="center"/>
              <w:rPr>
                <w:rFonts w:ascii="Aptos" w:eastAsia="Times New Roman" w:hAnsi="Aptos" w:cs="Times New Roman"/>
                <w:color w:val="000000"/>
                <w:kern w:val="0"/>
                <w:szCs w:val="24"/>
                <w:lang w:eastAsia="en-IN"/>
                <w14:ligatures w14:val="none"/>
              </w:rPr>
            </w:pPr>
          </w:p>
        </w:tc>
        <w:tc>
          <w:tcPr>
            <w:tcW w:w="1731" w:type="dxa"/>
            <w:tcBorders>
              <w:top w:val="nil"/>
              <w:left w:val="nil"/>
              <w:bottom w:val="single" w:sz="4" w:space="0" w:color="auto"/>
              <w:right w:val="single" w:sz="4" w:space="0" w:color="auto"/>
            </w:tcBorders>
            <w:vAlign w:val="center"/>
            <w:hideMark/>
          </w:tcPr>
          <w:p w14:paraId="1D0813C2" w14:textId="7E84535B" w:rsidR="00F55740" w:rsidRPr="00F55740" w:rsidRDefault="00F55740" w:rsidP="00F55740">
            <w:pPr>
              <w:spacing w:after="0" w:line="240" w:lineRule="auto"/>
              <w:jc w:val="center"/>
              <w:rPr>
                <w:rFonts w:ascii="Aptos" w:eastAsia="Times New Roman" w:hAnsi="Aptos" w:cs="Times New Roman"/>
                <w:color w:val="000000"/>
                <w:kern w:val="0"/>
                <w:szCs w:val="24"/>
                <w:lang w:eastAsia="en-IN"/>
                <w14:ligatures w14:val="none"/>
              </w:rPr>
            </w:pPr>
          </w:p>
        </w:tc>
        <w:tc>
          <w:tcPr>
            <w:tcW w:w="1435" w:type="dxa"/>
            <w:tcBorders>
              <w:top w:val="nil"/>
              <w:left w:val="nil"/>
              <w:bottom w:val="single" w:sz="4" w:space="0" w:color="auto"/>
              <w:right w:val="single" w:sz="4" w:space="0" w:color="auto"/>
            </w:tcBorders>
            <w:vAlign w:val="center"/>
            <w:hideMark/>
          </w:tcPr>
          <w:p w14:paraId="59EAAADA" w14:textId="357EBC53" w:rsidR="00F55740" w:rsidRPr="00F55740" w:rsidRDefault="00F55740" w:rsidP="00F55740">
            <w:pPr>
              <w:spacing w:after="0" w:line="240" w:lineRule="auto"/>
              <w:jc w:val="center"/>
              <w:rPr>
                <w:rFonts w:ascii="Aptos" w:eastAsia="Times New Roman" w:hAnsi="Aptos" w:cs="Times New Roman"/>
                <w:color w:val="000000"/>
                <w:kern w:val="0"/>
                <w:szCs w:val="24"/>
                <w:lang w:eastAsia="en-IN"/>
                <w14:ligatures w14:val="none"/>
              </w:rPr>
            </w:pPr>
          </w:p>
        </w:tc>
      </w:tr>
      <w:tr w:rsidR="00F55740" w:rsidRPr="00F55740" w14:paraId="7F3A4789" w14:textId="77777777" w:rsidTr="00F55740">
        <w:trPr>
          <w:trHeight w:val="20"/>
        </w:trPr>
        <w:tc>
          <w:tcPr>
            <w:tcW w:w="846" w:type="dxa"/>
            <w:tcBorders>
              <w:top w:val="nil"/>
              <w:left w:val="single" w:sz="4" w:space="0" w:color="auto"/>
              <w:bottom w:val="single" w:sz="4" w:space="0" w:color="auto"/>
              <w:right w:val="single" w:sz="4" w:space="0" w:color="auto"/>
            </w:tcBorders>
            <w:vAlign w:val="center"/>
            <w:hideMark/>
          </w:tcPr>
          <w:p w14:paraId="6F1EE783" w14:textId="77777777" w:rsidR="00F55740" w:rsidRPr="00F55740" w:rsidRDefault="00F55740" w:rsidP="00F55740">
            <w:pPr>
              <w:spacing w:after="0" w:line="240" w:lineRule="auto"/>
              <w:rPr>
                <w:rFonts w:ascii="Times New Roman" w:eastAsia="Times New Roman" w:hAnsi="Times New Roman" w:cs="Times New Roman"/>
                <w:color w:val="000000"/>
                <w:kern w:val="0"/>
                <w:szCs w:val="24"/>
                <w:lang w:eastAsia="en-IN"/>
                <w14:ligatures w14:val="none"/>
              </w:rPr>
            </w:pPr>
            <w:r w:rsidRPr="00F55740">
              <w:rPr>
                <w:rFonts w:ascii="Times New Roman" w:eastAsia="Times New Roman" w:hAnsi="Times New Roman" w:cs="Times New Roman"/>
                <w:color w:val="000000"/>
                <w:kern w:val="0"/>
                <w:szCs w:val="24"/>
                <w:lang w:eastAsia="en-IN"/>
                <w14:ligatures w14:val="none"/>
              </w:rPr>
              <w:t> </w:t>
            </w:r>
          </w:p>
        </w:tc>
        <w:tc>
          <w:tcPr>
            <w:tcW w:w="1960" w:type="dxa"/>
            <w:tcBorders>
              <w:top w:val="nil"/>
              <w:left w:val="nil"/>
              <w:bottom w:val="single" w:sz="4" w:space="0" w:color="auto"/>
              <w:right w:val="single" w:sz="4" w:space="0" w:color="auto"/>
            </w:tcBorders>
            <w:vAlign w:val="center"/>
            <w:hideMark/>
          </w:tcPr>
          <w:p w14:paraId="0FA476B1" w14:textId="77777777" w:rsidR="00F55740" w:rsidRPr="00F55740" w:rsidRDefault="00F55740" w:rsidP="00F55740">
            <w:pPr>
              <w:spacing w:after="0" w:line="240" w:lineRule="auto"/>
              <w:rPr>
                <w:rFonts w:ascii="Times New Roman" w:eastAsia="Times New Roman" w:hAnsi="Times New Roman" w:cs="Times New Roman"/>
                <w:color w:val="000000"/>
                <w:kern w:val="0"/>
                <w:szCs w:val="24"/>
                <w:lang w:eastAsia="en-IN"/>
                <w14:ligatures w14:val="none"/>
              </w:rPr>
            </w:pPr>
            <w:r w:rsidRPr="00F55740">
              <w:rPr>
                <w:rFonts w:ascii="Times New Roman" w:eastAsia="Times New Roman" w:hAnsi="Times New Roman" w:cs="Times New Roman"/>
                <w:color w:val="000000"/>
                <w:kern w:val="0"/>
                <w:szCs w:val="24"/>
                <w:lang w:eastAsia="en-IN"/>
                <w14:ligatures w14:val="none"/>
              </w:rPr>
              <w:t>1964-65</w:t>
            </w:r>
          </w:p>
        </w:tc>
        <w:tc>
          <w:tcPr>
            <w:tcW w:w="1527" w:type="dxa"/>
            <w:tcBorders>
              <w:top w:val="nil"/>
              <w:left w:val="nil"/>
              <w:bottom w:val="single" w:sz="4" w:space="0" w:color="auto"/>
              <w:right w:val="single" w:sz="4" w:space="0" w:color="auto"/>
            </w:tcBorders>
            <w:vAlign w:val="center"/>
            <w:hideMark/>
          </w:tcPr>
          <w:p w14:paraId="336A1F92" w14:textId="5A0B9624" w:rsidR="00F55740" w:rsidRPr="00F55740" w:rsidRDefault="00F55740" w:rsidP="00F55740">
            <w:pPr>
              <w:spacing w:after="0" w:line="240" w:lineRule="auto"/>
              <w:jc w:val="center"/>
              <w:rPr>
                <w:rFonts w:ascii="Aptos" w:eastAsia="Times New Roman" w:hAnsi="Aptos" w:cs="Times New Roman"/>
                <w:color w:val="000000"/>
                <w:kern w:val="0"/>
                <w:szCs w:val="24"/>
                <w:lang w:eastAsia="en-IN"/>
                <w14:ligatures w14:val="none"/>
              </w:rPr>
            </w:pPr>
          </w:p>
        </w:tc>
        <w:tc>
          <w:tcPr>
            <w:tcW w:w="1528" w:type="dxa"/>
            <w:tcBorders>
              <w:top w:val="nil"/>
              <w:left w:val="nil"/>
              <w:bottom w:val="single" w:sz="4" w:space="0" w:color="auto"/>
              <w:right w:val="single" w:sz="4" w:space="0" w:color="auto"/>
            </w:tcBorders>
            <w:vAlign w:val="center"/>
            <w:hideMark/>
          </w:tcPr>
          <w:p w14:paraId="0949F185" w14:textId="098BC2B1" w:rsidR="00F55740" w:rsidRPr="00F55740" w:rsidRDefault="00F55740" w:rsidP="00F55740">
            <w:pPr>
              <w:spacing w:after="0" w:line="240" w:lineRule="auto"/>
              <w:jc w:val="center"/>
              <w:rPr>
                <w:rFonts w:ascii="Aptos" w:eastAsia="Times New Roman" w:hAnsi="Aptos" w:cs="Times New Roman"/>
                <w:color w:val="000000"/>
                <w:kern w:val="0"/>
                <w:szCs w:val="24"/>
                <w:lang w:eastAsia="en-IN"/>
                <w14:ligatures w14:val="none"/>
              </w:rPr>
            </w:pPr>
          </w:p>
        </w:tc>
        <w:tc>
          <w:tcPr>
            <w:tcW w:w="1731" w:type="dxa"/>
            <w:tcBorders>
              <w:top w:val="nil"/>
              <w:left w:val="nil"/>
              <w:bottom w:val="single" w:sz="4" w:space="0" w:color="auto"/>
              <w:right w:val="single" w:sz="4" w:space="0" w:color="auto"/>
            </w:tcBorders>
            <w:vAlign w:val="center"/>
            <w:hideMark/>
          </w:tcPr>
          <w:p w14:paraId="74C327BF" w14:textId="51B8AB16" w:rsidR="00F55740" w:rsidRPr="00F55740" w:rsidRDefault="00F55740" w:rsidP="00F55740">
            <w:pPr>
              <w:spacing w:after="0" w:line="240" w:lineRule="auto"/>
              <w:jc w:val="center"/>
              <w:rPr>
                <w:rFonts w:ascii="Aptos" w:eastAsia="Times New Roman" w:hAnsi="Aptos" w:cs="Times New Roman"/>
                <w:color w:val="000000"/>
                <w:kern w:val="0"/>
                <w:szCs w:val="24"/>
                <w:lang w:eastAsia="en-IN"/>
                <w14:ligatures w14:val="none"/>
              </w:rPr>
            </w:pPr>
          </w:p>
        </w:tc>
        <w:tc>
          <w:tcPr>
            <w:tcW w:w="1435" w:type="dxa"/>
            <w:tcBorders>
              <w:top w:val="nil"/>
              <w:left w:val="nil"/>
              <w:bottom w:val="single" w:sz="4" w:space="0" w:color="auto"/>
              <w:right w:val="single" w:sz="4" w:space="0" w:color="auto"/>
            </w:tcBorders>
            <w:vAlign w:val="center"/>
            <w:hideMark/>
          </w:tcPr>
          <w:p w14:paraId="7DD8BF92" w14:textId="348839F8" w:rsidR="00F55740" w:rsidRPr="00F55740" w:rsidRDefault="00F55740" w:rsidP="00F55740">
            <w:pPr>
              <w:spacing w:after="0" w:line="240" w:lineRule="auto"/>
              <w:jc w:val="center"/>
              <w:rPr>
                <w:rFonts w:ascii="Aptos" w:eastAsia="Times New Roman" w:hAnsi="Aptos" w:cs="Times New Roman"/>
                <w:color w:val="000000"/>
                <w:kern w:val="0"/>
                <w:szCs w:val="24"/>
                <w:lang w:eastAsia="en-IN"/>
                <w14:ligatures w14:val="none"/>
              </w:rPr>
            </w:pPr>
          </w:p>
        </w:tc>
      </w:tr>
      <w:tr w:rsidR="00F55740" w:rsidRPr="00F55740" w14:paraId="5F242F43" w14:textId="77777777" w:rsidTr="00F55740">
        <w:trPr>
          <w:trHeight w:val="20"/>
        </w:trPr>
        <w:tc>
          <w:tcPr>
            <w:tcW w:w="846" w:type="dxa"/>
            <w:tcBorders>
              <w:top w:val="nil"/>
              <w:left w:val="single" w:sz="4" w:space="0" w:color="auto"/>
              <w:bottom w:val="single" w:sz="4" w:space="0" w:color="auto"/>
              <w:right w:val="single" w:sz="4" w:space="0" w:color="auto"/>
            </w:tcBorders>
            <w:vAlign w:val="center"/>
            <w:hideMark/>
          </w:tcPr>
          <w:p w14:paraId="79D74A94" w14:textId="77777777" w:rsidR="00F55740" w:rsidRPr="00F55740" w:rsidRDefault="00F55740" w:rsidP="00F55740">
            <w:pPr>
              <w:spacing w:after="0" w:line="240" w:lineRule="auto"/>
              <w:rPr>
                <w:rFonts w:ascii="Times New Roman" w:eastAsia="Times New Roman" w:hAnsi="Times New Roman" w:cs="Times New Roman"/>
                <w:color w:val="000000"/>
                <w:kern w:val="0"/>
                <w:szCs w:val="24"/>
                <w:lang w:eastAsia="en-IN"/>
                <w14:ligatures w14:val="none"/>
              </w:rPr>
            </w:pPr>
            <w:r w:rsidRPr="00F55740">
              <w:rPr>
                <w:rFonts w:ascii="Times New Roman" w:eastAsia="Times New Roman" w:hAnsi="Times New Roman" w:cs="Times New Roman"/>
                <w:color w:val="000000"/>
                <w:kern w:val="0"/>
                <w:szCs w:val="24"/>
                <w:lang w:eastAsia="en-IN"/>
                <w14:ligatures w14:val="none"/>
              </w:rPr>
              <w:t> </w:t>
            </w:r>
          </w:p>
        </w:tc>
        <w:tc>
          <w:tcPr>
            <w:tcW w:w="1960" w:type="dxa"/>
            <w:tcBorders>
              <w:top w:val="nil"/>
              <w:left w:val="nil"/>
              <w:bottom w:val="single" w:sz="4" w:space="0" w:color="auto"/>
              <w:right w:val="single" w:sz="4" w:space="0" w:color="auto"/>
            </w:tcBorders>
            <w:vAlign w:val="center"/>
            <w:hideMark/>
          </w:tcPr>
          <w:p w14:paraId="5354FAB0" w14:textId="77777777" w:rsidR="00F55740" w:rsidRPr="00F55740" w:rsidRDefault="00F55740" w:rsidP="00F55740">
            <w:pPr>
              <w:spacing w:after="0" w:line="240" w:lineRule="auto"/>
              <w:rPr>
                <w:rFonts w:ascii="Times New Roman" w:eastAsia="Times New Roman" w:hAnsi="Times New Roman" w:cs="Times New Roman"/>
                <w:color w:val="000000"/>
                <w:kern w:val="0"/>
                <w:szCs w:val="24"/>
                <w:lang w:eastAsia="en-IN"/>
                <w14:ligatures w14:val="none"/>
              </w:rPr>
            </w:pPr>
            <w:r w:rsidRPr="00F55740">
              <w:rPr>
                <w:rFonts w:ascii="Times New Roman" w:eastAsia="Times New Roman" w:hAnsi="Times New Roman" w:cs="Times New Roman"/>
                <w:color w:val="000000"/>
                <w:kern w:val="0"/>
                <w:szCs w:val="24"/>
                <w:lang w:eastAsia="en-IN"/>
                <w14:ligatures w14:val="none"/>
              </w:rPr>
              <w:t>1965-66</w:t>
            </w:r>
          </w:p>
        </w:tc>
        <w:tc>
          <w:tcPr>
            <w:tcW w:w="1527" w:type="dxa"/>
            <w:tcBorders>
              <w:top w:val="nil"/>
              <w:left w:val="nil"/>
              <w:bottom w:val="single" w:sz="4" w:space="0" w:color="auto"/>
              <w:right w:val="single" w:sz="4" w:space="0" w:color="auto"/>
            </w:tcBorders>
            <w:vAlign w:val="center"/>
            <w:hideMark/>
          </w:tcPr>
          <w:p w14:paraId="7E221391" w14:textId="6924A3CD" w:rsidR="00F55740" w:rsidRPr="00F55740" w:rsidRDefault="00F55740" w:rsidP="00F55740">
            <w:pPr>
              <w:spacing w:after="0" w:line="240" w:lineRule="auto"/>
              <w:jc w:val="center"/>
              <w:rPr>
                <w:rFonts w:ascii="Aptos" w:eastAsia="Times New Roman" w:hAnsi="Aptos" w:cs="Times New Roman"/>
                <w:color w:val="000000"/>
                <w:kern w:val="0"/>
                <w:szCs w:val="24"/>
                <w:lang w:eastAsia="en-IN"/>
                <w14:ligatures w14:val="none"/>
              </w:rPr>
            </w:pPr>
          </w:p>
        </w:tc>
        <w:tc>
          <w:tcPr>
            <w:tcW w:w="1528" w:type="dxa"/>
            <w:tcBorders>
              <w:top w:val="nil"/>
              <w:left w:val="nil"/>
              <w:bottom w:val="single" w:sz="4" w:space="0" w:color="auto"/>
              <w:right w:val="single" w:sz="4" w:space="0" w:color="auto"/>
            </w:tcBorders>
            <w:vAlign w:val="center"/>
            <w:hideMark/>
          </w:tcPr>
          <w:p w14:paraId="7C559583" w14:textId="3DACDEF7" w:rsidR="00F55740" w:rsidRPr="00F55740" w:rsidRDefault="00F55740" w:rsidP="00F55740">
            <w:pPr>
              <w:spacing w:after="0" w:line="240" w:lineRule="auto"/>
              <w:jc w:val="center"/>
              <w:rPr>
                <w:rFonts w:ascii="Aptos" w:eastAsia="Times New Roman" w:hAnsi="Aptos" w:cs="Times New Roman"/>
                <w:color w:val="000000"/>
                <w:kern w:val="0"/>
                <w:szCs w:val="24"/>
                <w:lang w:eastAsia="en-IN"/>
                <w14:ligatures w14:val="none"/>
              </w:rPr>
            </w:pPr>
          </w:p>
        </w:tc>
        <w:tc>
          <w:tcPr>
            <w:tcW w:w="1731" w:type="dxa"/>
            <w:tcBorders>
              <w:top w:val="nil"/>
              <w:left w:val="nil"/>
              <w:bottom w:val="single" w:sz="4" w:space="0" w:color="auto"/>
              <w:right w:val="single" w:sz="4" w:space="0" w:color="auto"/>
            </w:tcBorders>
            <w:vAlign w:val="center"/>
            <w:hideMark/>
          </w:tcPr>
          <w:p w14:paraId="7A55BBE5" w14:textId="2BF28E5C" w:rsidR="00F55740" w:rsidRPr="00F55740" w:rsidRDefault="00F55740" w:rsidP="00F55740">
            <w:pPr>
              <w:spacing w:after="0" w:line="240" w:lineRule="auto"/>
              <w:jc w:val="center"/>
              <w:rPr>
                <w:rFonts w:ascii="Aptos" w:eastAsia="Times New Roman" w:hAnsi="Aptos" w:cs="Times New Roman"/>
                <w:color w:val="000000"/>
                <w:kern w:val="0"/>
                <w:szCs w:val="24"/>
                <w:lang w:eastAsia="en-IN"/>
                <w14:ligatures w14:val="none"/>
              </w:rPr>
            </w:pPr>
          </w:p>
        </w:tc>
        <w:tc>
          <w:tcPr>
            <w:tcW w:w="1435" w:type="dxa"/>
            <w:tcBorders>
              <w:top w:val="nil"/>
              <w:left w:val="nil"/>
              <w:bottom w:val="single" w:sz="4" w:space="0" w:color="auto"/>
              <w:right w:val="single" w:sz="4" w:space="0" w:color="auto"/>
            </w:tcBorders>
            <w:vAlign w:val="center"/>
            <w:hideMark/>
          </w:tcPr>
          <w:p w14:paraId="46164364" w14:textId="134C3717" w:rsidR="00F55740" w:rsidRPr="00F55740" w:rsidRDefault="00F55740" w:rsidP="00F55740">
            <w:pPr>
              <w:spacing w:after="0" w:line="240" w:lineRule="auto"/>
              <w:jc w:val="center"/>
              <w:rPr>
                <w:rFonts w:ascii="Aptos" w:eastAsia="Times New Roman" w:hAnsi="Aptos" w:cs="Times New Roman"/>
                <w:color w:val="000000"/>
                <w:kern w:val="0"/>
                <w:szCs w:val="24"/>
                <w:lang w:eastAsia="en-IN"/>
                <w14:ligatures w14:val="none"/>
              </w:rPr>
            </w:pPr>
          </w:p>
        </w:tc>
      </w:tr>
      <w:tr w:rsidR="00F55740" w:rsidRPr="00F55740" w14:paraId="000F10C9" w14:textId="77777777" w:rsidTr="00F55740">
        <w:trPr>
          <w:trHeight w:val="20"/>
        </w:trPr>
        <w:tc>
          <w:tcPr>
            <w:tcW w:w="846" w:type="dxa"/>
            <w:tcBorders>
              <w:top w:val="nil"/>
              <w:left w:val="single" w:sz="4" w:space="0" w:color="auto"/>
              <w:bottom w:val="single" w:sz="4" w:space="0" w:color="auto"/>
              <w:right w:val="single" w:sz="4" w:space="0" w:color="auto"/>
            </w:tcBorders>
            <w:vAlign w:val="center"/>
            <w:hideMark/>
          </w:tcPr>
          <w:p w14:paraId="0A3618AD" w14:textId="77777777" w:rsidR="00F55740" w:rsidRPr="00F55740" w:rsidRDefault="00F55740" w:rsidP="00F55740">
            <w:pPr>
              <w:spacing w:after="0" w:line="240" w:lineRule="auto"/>
              <w:rPr>
                <w:rFonts w:ascii="Times New Roman" w:eastAsia="Times New Roman" w:hAnsi="Times New Roman" w:cs="Times New Roman"/>
                <w:color w:val="000000"/>
                <w:kern w:val="0"/>
                <w:szCs w:val="24"/>
                <w:lang w:eastAsia="en-IN"/>
                <w14:ligatures w14:val="none"/>
              </w:rPr>
            </w:pPr>
            <w:r w:rsidRPr="00F55740">
              <w:rPr>
                <w:rFonts w:ascii="Times New Roman" w:eastAsia="Times New Roman" w:hAnsi="Times New Roman" w:cs="Times New Roman"/>
                <w:color w:val="000000"/>
                <w:kern w:val="0"/>
                <w:szCs w:val="24"/>
                <w:lang w:eastAsia="en-IN"/>
                <w14:ligatures w14:val="none"/>
              </w:rPr>
              <w:t> </w:t>
            </w:r>
          </w:p>
        </w:tc>
        <w:tc>
          <w:tcPr>
            <w:tcW w:w="1960" w:type="dxa"/>
            <w:tcBorders>
              <w:top w:val="nil"/>
              <w:left w:val="nil"/>
              <w:bottom w:val="single" w:sz="4" w:space="0" w:color="auto"/>
              <w:right w:val="single" w:sz="4" w:space="0" w:color="auto"/>
            </w:tcBorders>
            <w:vAlign w:val="center"/>
            <w:hideMark/>
          </w:tcPr>
          <w:p w14:paraId="585D5793" w14:textId="63CA8BCE" w:rsidR="00F55740" w:rsidRPr="00F55740" w:rsidRDefault="00F55740" w:rsidP="00F55740">
            <w:pPr>
              <w:spacing w:after="0" w:line="240" w:lineRule="auto"/>
              <w:rPr>
                <w:rFonts w:ascii="Times New Roman" w:eastAsia="Times New Roman" w:hAnsi="Times New Roman" w:cs="Times New Roman"/>
                <w:color w:val="000000"/>
                <w:kern w:val="0"/>
                <w:szCs w:val="24"/>
                <w:lang w:eastAsia="en-IN"/>
                <w14:ligatures w14:val="none"/>
              </w:rPr>
            </w:pPr>
            <w:r w:rsidRPr="00F55740">
              <w:rPr>
                <w:rFonts w:ascii="Times New Roman" w:eastAsia="Times New Roman" w:hAnsi="Times New Roman" w:cs="Times New Roman"/>
                <w:color w:val="000000"/>
                <w:kern w:val="0"/>
                <w:szCs w:val="24"/>
                <w:lang w:eastAsia="en-IN"/>
                <w14:ligatures w14:val="none"/>
              </w:rPr>
              <w:t>1966-67*</w:t>
            </w:r>
            <w:r>
              <w:rPr>
                <w:rFonts w:ascii="Times New Roman" w:eastAsia="Times New Roman" w:hAnsi="Times New Roman" w:cs="Times New Roman"/>
                <w:color w:val="000000"/>
                <w:kern w:val="0"/>
                <w:szCs w:val="24"/>
                <w:lang w:eastAsia="en-IN"/>
                <w14:ligatures w14:val="none"/>
              </w:rPr>
              <w:t>*</w:t>
            </w:r>
          </w:p>
        </w:tc>
        <w:tc>
          <w:tcPr>
            <w:tcW w:w="1527" w:type="dxa"/>
            <w:tcBorders>
              <w:top w:val="nil"/>
              <w:left w:val="nil"/>
              <w:bottom w:val="single" w:sz="4" w:space="0" w:color="auto"/>
              <w:right w:val="single" w:sz="4" w:space="0" w:color="auto"/>
            </w:tcBorders>
            <w:vAlign w:val="center"/>
            <w:hideMark/>
          </w:tcPr>
          <w:p w14:paraId="0FF57B1F" w14:textId="77777777" w:rsidR="00F55740" w:rsidRPr="00F55740" w:rsidRDefault="00F55740" w:rsidP="00F55740">
            <w:pPr>
              <w:spacing w:after="0" w:line="240" w:lineRule="auto"/>
              <w:jc w:val="center"/>
              <w:rPr>
                <w:rFonts w:ascii="Times New Roman" w:eastAsia="Times New Roman" w:hAnsi="Times New Roman" w:cs="Times New Roman"/>
                <w:color w:val="000000"/>
                <w:kern w:val="0"/>
                <w:szCs w:val="24"/>
                <w:lang w:eastAsia="en-IN"/>
                <w14:ligatures w14:val="none"/>
              </w:rPr>
            </w:pPr>
            <w:r w:rsidRPr="00F55740">
              <w:rPr>
                <w:rFonts w:ascii="Times New Roman" w:eastAsia="Times New Roman" w:hAnsi="Times New Roman" w:cs="Times New Roman"/>
                <w:color w:val="000000"/>
                <w:kern w:val="0"/>
                <w:szCs w:val="24"/>
                <w:lang w:eastAsia="en-IN"/>
                <w14:ligatures w14:val="none"/>
              </w:rPr>
              <w:t>1054</w:t>
            </w:r>
          </w:p>
        </w:tc>
        <w:tc>
          <w:tcPr>
            <w:tcW w:w="1528" w:type="dxa"/>
            <w:tcBorders>
              <w:top w:val="nil"/>
              <w:left w:val="nil"/>
              <w:bottom w:val="single" w:sz="4" w:space="0" w:color="auto"/>
              <w:right w:val="single" w:sz="4" w:space="0" w:color="auto"/>
            </w:tcBorders>
            <w:vAlign w:val="center"/>
            <w:hideMark/>
          </w:tcPr>
          <w:p w14:paraId="57810A22" w14:textId="77777777" w:rsidR="00F55740" w:rsidRPr="00F55740" w:rsidRDefault="00F55740" w:rsidP="00F55740">
            <w:pPr>
              <w:spacing w:after="0" w:line="240" w:lineRule="auto"/>
              <w:jc w:val="center"/>
              <w:rPr>
                <w:rFonts w:ascii="Times New Roman" w:eastAsia="Times New Roman" w:hAnsi="Times New Roman" w:cs="Times New Roman"/>
                <w:color w:val="000000"/>
                <w:kern w:val="0"/>
                <w:szCs w:val="24"/>
                <w:lang w:eastAsia="en-IN"/>
                <w14:ligatures w14:val="none"/>
              </w:rPr>
            </w:pPr>
            <w:r w:rsidRPr="00F55740">
              <w:rPr>
                <w:rFonts w:ascii="Times New Roman" w:eastAsia="Times New Roman" w:hAnsi="Times New Roman" w:cs="Times New Roman"/>
                <w:color w:val="000000"/>
                <w:kern w:val="0"/>
                <w:szCs w:val="24"/>
                <w:lang w:eastAsia="en-IN"/>
                <w14:ligatures w14:val="none"/>
              </w:rPr>
              <w:t>767</w:t>
            </w:r>
          </w:p>
        </w:tc>
        <w:tc>
          <w:tcPr>
            <w:tcW w:w="1731" w:type="dxa"/>
            <w:tcBorders>
              <w:top w:val="nil"/>
              <w:left w:val="nil"/>
              <w:bottom w:val="single" w:sz="4" w:space="0" w:color="auto"/>
              <w:right w:val="single" w:sz="4" w:space="0" w:color="auto"/>
            </w:tcBorders>
            <w:vAlign w:val="center"/>
            <w:hideMark/>
          </w:tcPr>
          <w:p w14:paraId="0C6EAB32" w14:textId="77777777" w:rsidR="00F55740" w:rsidRPr="00F55740" w:rsidRDefault="00F55740" w:rsidP="00F55740">
            <w:pPr>
              <w:spacing w:after="0" w:line="240" w:lineRule="auto"/>
              <w:jc w:val="center"/>
              <w:rPr>
                <w:rFonts w:ascii="Times New Roman" w:eastAsia="Times New Roman" w:hAnsi="Times New Roman" w:cs="Times New Roman"/>
                <w:color w:val="000000"/>
                <w:kern w:val="0"/>
                <w:szCs w:val="24"/>
                <w:lang w:eastAsia="en-IN"/>
                <w14:ligatures w14:val="none"/>
              </w:rPr>
            </w:pPr>
            <w:r w:rsidRPr="00F55740">
              <w:rPr>
                <w:rFonts w:ascii="Times New Roman" w:eastAsia="Times New Roman" w:hAnsi="Times New Roman" w:cs="Times New Roman"/>
                <w:color w:val="000000"/>
                <w:kern w:val="0"/>
                <w:szCs w:val="24"/>
                <w:lang w:eastAsia="en-IN"/>
                <w14:ligatures w14:val="none"/>
              </w:rPr>
              <w:t>28</w:t>
            </w:r>
          </w:p>
        </w:tc>
        <w:tc>
          <w:tcPr>
            <w:tcW w:w="1435" w:type="dxa"/>
            <w:tcBorders>
              <w:top w:val="nil"/>
              <w:left w:val="nil"/>
              <w:bottom w:val="single" w:sz="4" w:space="0" w:color="auto"/>
              <w:right w:val="single" w:sz="4" w:space="0" w:color="auto"/>
            </w:tcBorders>
            <w:vAlign w:val="center"/>
            <w:hideMark/>
          </w:tcPr>
          <w:p w14:paraId="0CAA65C6" w14:textId="77777777" w:rsidR="00F55740" w:rsidRPr="00F55740" w:rsidRDefault="00F55740" w:rsidP="00F55740">
            <w:pPr>
              <w:spacing w:after="0" w:line="240" w:lineRule="auto"/>
              <w:jc w:val="center"/>
              <w:rPr>
                <w:rFonts w:ascii="Times New Roman" w:eastAsia="Times New Roman" w:hAnsi="Times New Roman" w:cs="Times New Roman"/>
                <w:color w:val="000000"/>
                <w:kern w:val="0"/>
                <w:szCs w:val="24"/>
                <w:lang w:eastAsia="en-IN"/>
                <w14:ligatures w14:val="none"/>
              </w:rPr>
            </w:pPr>
            <w:r w:rsidRPr="00F55740">
              <w:rPr>
                <w:rFonts w:ascii="Times New Roman" w:eastAsia="Times New Roman" w:hAnsi="Times New Roman" w:cs="Times New Roman"/>
                <w:color w:val="000000"/>
                <w:kern w:val="0"/>
                <w:szCs w:val="24"/>
                <w:lang w:eastAsia="en-IN"/>
                <w14:ligatures w14:val="none"/>
              </w:rPr>
              <w:t>1849</w:t>
            </w:r>
          </w:p>
        </w:tc>
      </w:tr>
      <w:tr w:rsidR="00F55740" w:rsidRPr="00F55740" w14:paraId="0E306BEA" w14:textId="77777777" w:rsidTr="00F55740">
        <w:trPr>
          <w:trHeight w:val="20"/>
        </w:trPr>
        <w:tc>
          <w:tcPr>
            <w:tcW w:w="846" w:type="dxa"/>
            <w:tcBorders>
              <w:top w:val="nil"/>
              <w:left w:val="single" w:sz="4" w:space="0" w:color="auto"/>
              <w:bottom w:val="single" w:sz="4" w:space="0" w:color="auto"/>
              <w:right w:val="single" w:sz="4" w:space="0" w:color="auto"/>
            </w:tcBorders>
            <w:vAlign w:val="center"/>
            <w:hideMark/>
          </w:tcPr>
          <w:p w14:paraId="5D0396CE" w14:textId="77777777" w:rsidR="00F55740" w:rsidRPr="00F55740" w:rsidRDefault="00F55740" w:rsidP="00F55740">
            <w:pPr>
              <w:spacing w:after="0" w:line="240" w:lineRule="auto"/>
              <w:jc w:val="right"/>
              <w:rPr>
                <w:rFonts w:ascii="Times New Roman" w:eastAsia="Times New Roman" w:hAnsi="Times New Roman" w:cs="Times New Roman"/>
                <w:color w:val="000000"/>
                <w:kern w:val="0"/>
                <w:szCs w:val="24"/>
                <w:lang w:eastAsia="en-IN"/>
                <w14:ligatures w14:val="none"/>
              </w:rPr>
            </w:pPr>
            <w:r w:rsidRPr="00F55740">
              <w:rPr>
                <w:rFonts w:ascii="Times New Roman" w:eastAsia="Times New Roman" w:hAnsi="Times New Roman" w:cs="Times New Roman"/>
                <w:color w:val="000000"/>
                <w:kern w:val="0"/>
                <w:szCs w:val="24"/>
                <w:lang w:eastAsia="en-IN"/>
                <w14:ligatures w14:val="none"/>
              </w:rPr>
              <w:t>8</w:t>
            </w:r>
          </w:p>
        </w:tc>
        <w:tc>
          <w:tcPr>
            <w:tcW w:w="1960" w:type="dxa"/>
            <w:tcBorders>
              <w:top w:val="nil"/>
              <w:left w:val="nil"/>
              <w:bottom w:val="single" w:sz="4" w:space="0" w:color="auto"/>
              <w:right w:val="single" w:sz="4" w:space="0" w:color="auto"/>
            </w:tcBorders>
            <w:vAlign w:val="center"/>
            <w:hideMark/>
          </w:tcPr>
          <w:p w14:paraId="6DBD47FB" w14:textId="77777777" w:rsidR="00F55740" w:rsidRPr="00F55740" w:rsidRDefault="00F55740" w:rsidP="00F55740">
            <w:pPr>
              <w:spacing w:after="0" w:line="240" w:lineRule="auto"/>
              <w:rPr>
                <w:rFonts w:ascii="Times New Roman" w:eastAsia="Times New Roman" w:hAnsi="Times New Roman" w:cs="Times New Roman"/>
                <w:color w:val="000000"/>
                <w:kern w:val="0"/>
                <w:szCs w:val="24"/>
                <w:lang w:eastAsia="en-IN"/>
                <w14:ligatures w14:val="none"/>
              </w:rPr>
            </w:pPr>
            <w:r w:rsidRPr="00F55740">
              <w:rPr>
                <w:rFonts w:ascii="Times New Roman" w:eastAsia="Times New Roman" w:hAnsi="Times New Roman" w:cs="Times New Roman"/>
                <w:color w:val="000000"/>
                <w:kern w:val="0"/>
                <w:szCs w:val="24"/>
                <w:lang w:eastAsia="en-IN"/>
                <w14:ligatures w14:val="none"/>
              </w:rPr>
              <w:t>South Eastern</w:t>
            </w:r>
          </w:p>
        </w:tc>
        <w:tc>
          <w:tcPr>
            <w:tcW w:w="1527" w:type="dxa"/>
            <w:tcBorders>
              <w:top w:val="nil"/>
              <w:left w:val="nil"/>
              <w:bottom w:val="single" w:sz="4" w:space="0" w:color="auto"/>
              <w:right w:val="single" w:sz="4" w:space="0" w:color="auto"/>
            </w:tcBorders>
            <w:vAlign w:val="center"/>
            <w:hideMark/>
          </w:tcPr>
          <w:p w14:paraId="117F6C49" w14:textId="6DEA34C2" w:rsidR="00F55740" w:rsidRPr="00F55740" w:rsidRDefault="00F55740" w:rsidP="00F55740">
            <w:pPr>
              <w:spacing w:after="0" w:line="240" w:lineRule="auto"/>
              <w:jc w:val="center"/>
              <w:rPr>
                <w:rFonts w:ascii="Aptos" w:eastAsia="Times New Roman" w:hAnsi="Aptos" w:cs="Times New Roman"/>
                <w:color w:val="000000"/>
                <w:kern w:val="0"/>
                <w:szCs w:val="24"/>
                <w:lang w:eastAsia="en-IN"/>
                <w14:ligatures w14:val="none"/>
              </w:rPr>
            </w:pPr>
          </w:p>
        </w:tc>
        <w:tc>
          <w:tcPr>
            <w:tcW w:w="1528" w:type="dxa"/>
            <w:tcBorders>
              <w:top w:val="nil"/>
              <w:left w:val="nil"/>
              <w:bottom w:val="single" w:sz="4" w:space="0" w:color="auto"/>
              <w:right w:val="single" w:sz="4" w:space="0" w:color="auto"/>
            </w:tcBorders>
            <w:vAlign w:val="center"/>
            <w:hideMark/>
          </w:tcPr>
          <w:p w14:paraId="6069E8FC" w14:textId="4CF6FAA6" w:rsidR="00F55740" w:rsidRPr="00F55740" w:rsidRDefault="00F55740" w:rsidP="00F55740">
            <w:pPr>
              <w:spacing w:after="0" w:line="240" w:lineRule="auto"/>
              <w:jc w:val="center"/>
              <w:rPr>
                <w:rFonts w:ascii="Aptos" w:eastAsia="Times New Roman" w:hAnsi="Aptos" w:cs="Times New Roman"/>
                <w:color w:val="000000"/>
                <w:kern w:val="0"/>
                <w:szCs w:val="24"/>
                <w:lang w:eastAsia="en-IN"/>
                <w14:ligatures w14:val="none"/>
              </w:rPr>
            </w:pPr>
          </w:p>
        </w:tc>
        <w:tc>
          <w:tcPr>
            <w:tcW w:w="1731" w:type="dxa"/>
            <w:tcBorders>
              <w:top w:val="nil"/>
              <w:left w:val="nil"/>
              <w:bottom w:val="single" w:sz="4" w:space="0" w:color="auto"/>
              <w:right w:val="single" w:sz="4" w:space="0" w:color="auto"/>
            </w:tcBorders>
            <w:vAlign w:val="center"/>
            <w:hideMark/>
          </w:tcPr>
          <w:p w14:paraId="5A1BFBCA" w14:textId="39FA9C07" w:rsidR="00F55740" w:rsidRPr="00F55740" w:rsidRDefault="00F55740" w:rsidP="00F55740">
            <w:pPr>
              <w:spacing w:after="0" w:line="240" w:lineRule="auto"/>
              <w:jc w:val="center"/>
              <w:rPr>
                <w:rFonts w:ascii="Aptos" w:eastAsia="Times New Roman" w:hAnsi="Aptos" w:cs="Times New Roman"/>
                <w:color w:val="000000"/>
                <w:kern w:val="0"/>
                <w:szCs w:val="24"/>
                <w:lang w:eastAsia="en-IN"/>
                <w14:ligatures w14:val="none"/>
              </w:rPr>
            </w:pPr>
          </w:p>
        </w:tc>
        <w:tc>
          <w:tcPr>
            <w:tcW w:w="1435" w:type="dxa"/>
            <w:tcBorders>
              <w:top w:val="nil"/>
              <w:left w:val="nil"/>
              <w:bottom w:val="single" w:sz="4" w:space="0" w:color="auto"/>
              <w:right w:val="single" w:sz="4" w:space="0" w:color="auto"/>
            </w:tcBorders>
            <w:vAlign w:val="center"/>
            <w:hideMark/>
          </w:tcPr>
          <w:p w14:paraId="7E9751F7" w14:textId="5E409DB2" w:rsidR="00F55740" w:rsidRPr="00F55740" w:rsidRDefault="00F55740" w:rsidP="00F55740">
            <w:pPr>
              <w:spacing w:after="0" w:line="240" w:lineRule="auto"/>
              <w:jc w:val="center"/>
              <w:rPr>
                <w:rFonts w:ascii="Aptos" w:eastAsia="Times New Roman" w:hAnsi="Aptos" w:cs="Times New Roman"/>
                <w:color w:val="000000"/>
                <w:kern w:val="0"/>
                <w:szCs w:val="24"/>
                <w:lang w:eastAsia="en-IN"/>
                <w14:ligatures w14:val="none"/>
              </w:rPr>
            </w:pPr>
          </w:p>
        </w:tc>
      </w:tr>
      <w:tr w:rsidR="00F55740" w:rsidRPr="00F55740" w14:paraId="1D6D7ED9" w14:textId="77777777" w:rsidTr="00F55740">
        <w:trPr>
          <w:trHeight w:val="20"/>
        </w:trPr>
        <w:tc>
          <w:tcPr>
            <w:tcW w:w="846" w:type="dxa"/>
            <w:tcBorders>
              <w:top w:val="nil"/>
              <w:left w:val="single" w:sz="4" w:space="0" w:color="auto"/>
              <w:bottom w:val="single" w:sz="4" w:space="0" w:color="auto"/>
              <w:right w:val="single" w:sz="4" w:space="0" w:color="auto"/>
            </w:tcBorders>
            <w:vAlign w:val="center"/>
            <w:hideMark/>
          </w:tcPr>
          <w:p w14:paraId="72A8BB28" w14:textId="77777777" w:rsidR="00F55740" w:rsidRPr="00F55740" w:rsidRDefault="00F55740" w:rsidP="00F55740">
            <w:pPr>
              <w:spacing w:after="0" w:line="240" w:lineRule="auto"/>
              <w:rPr>
                <w:rFonts w:ascii="Times New Roman" w:eastAsia="Times New Roman" w:hAnsi="Times New Roman" w:cs="Times New Roman"/>
                <w:color w:val="000000"/>
                <w:kern w:val="0"/>
                <w:szCs w:val="24"/>
                <w:lang w:eastAsia="en-IN"/>
                <w14:ligatures w14:val="none"/>
              </w:rPr>
            </w:pPr>
            <w:r w:rsidRPr="00F55740">
              <w:rPr>
                <w:rFonts w:ascii="Times New Roman" w:eastAsia="Times New Roman" w:hAnsi="Times New Roman" w:cs="Times New Roman"/>
                <w:color w:val="000000"/>
                <w:kern w:val="0"/>
                <w:szCs w:val="24"/>
                <w:lang w:eastAsia="en-IN"/>
                <w14:ligatures w14:val="none"/>
              </w:rPr>
              <w:t> </w:t>
            </w:r>
          </w:p>
        </w:tc>
        <w:tc>
          <w:tcPr>
            <w:tcW w:w="1960" w:type="dxa"/>
            <w:tcBorders>
              <w:top w:val="nil"/>
              <w:left w:val="nil"/>
              <w:bottom w:val="single" w:sz="4" w:space="0" w:color="auto"/>
              <w:right w:val="single" w:sz="4" w:space="0" w:color="auto"/>
            </w:tcBorders>
            <w:vAlign w:val="center"/>
            <w:hideMark/>
          </w:tcPr>
          <w:p w14:paraId="4E20F4DA" w14:textId="77777777" w:rsidR="00F55740" w:rsidRPr="00F55740" w:rsidRDefault="00F55740" w:rsidP="00F55740">
            <w:pPr>
              <w:spacing w:after="0" w:line="240" w:lineRule="auto"/>
              <w:rPr>
                <w:rFonts w:ascii="Times New Roman" w:eastAsia="Times New Roman" w:hAnsi="Times New Roman" w:cs="Times New Roman"/>
                <w:color w:val="000000"/>
                <w:kern w:val="0"/>
                <w:szCs w:val="24"/>
                <w:lang w:eastAsia="en-IN"/>
                <w14:ligatures w14:val="none"/>
              </w:rPr>
            </w:pPr>
            <w:r w:rsidRPr="00F55740">
              <w:rPr>
                <w:rFonts w:ascii="Times New Roman" w:eastAsia="Times New Roman" w:hAnsi="Times New Roman" w:cs="Times New Roman"/>
                <w:color w:val="000000"/>
                <w:kern w:val="0"/>
                <w:szCs w:val="24"/>
                <w:lang w:eastAsia="en-IN"/>
                <w14:ligatures w14:val="none"/>
              </w:rPr>
              <w:t>1964-65</w:t>
            </w:r>
          </w:p>
        </w:tc>
        <w:tc>
          <w:tcPr>
            <w:tcW w:w="1527" w:type="dxa"/>
            <w:tcBorders>
              <w:top w:val="nil"/>
              <w:left w:val="nil"/>
              <w:bottom w:val="single" w:sz="4" w:space="0" w:color="auto"/>
              <w:right w:val="single" w:sz="4" w:space="0" w:color="auto"/>
            </w:tcBorders>
            <w:vAlign w:val="center"/>
            <w:hideMark/>
          </w:tcPr>
          <w:p w14:paraId="615E2AD5" w14:textId="77777777" w:rsidR="00F55740" w:rsidRPr="00F55740" w:rsidRDefault="00F55740" w:rsidP="00F55740">
            <w:pPr>
              <w:spacing w:after="0" w:line="240" w:lineRule="auto"/>
              <w:jc w:val="center"/>
              <w:rPr>
                <w:rFonts w:ascii="Times New Roman" w:eastAsia="Times New Roman" w:hAnsi="Times New Roman" w:cs="Times New Roman"/>
                <w:color w:val="000000"/>
                <w:kern w:val="0"/>
                <w:szCs w:val="24"/>
                <w:lang w:eastAsia="en-IN"/>
                <w14:ligatures w14:val="none"/>
              </w:rPr>
            </w:pPr>
            <w:r w:rsidRPr="00F55740">
              <w:rPr>
                <w:rFonts w:ascii="Times New Roman" w:eastAsia="Times New Roman" w:hAnsi="Times New Roman" w:cs="Times New Roman"/>
                <w:color w:val="000000"/>
                <w:kern w:val="0"/>
                <w:szCs w:val="24"/>
                <w:lang w:eastAsia="en-IN"/>
                <w14:ligatures w14:val="none"/>
              </w:rPr>
              <w:t>1413</w:t>
            </w:r>
          </w:p>
        </w:tc>
        <w:tc>
          <w:tcPr>
            <w:tcW w:w="1528" w:type="dxa"/>
            <w:tcBorders>
              <w:top w:val="nil"/>
              <w:left w:val="nil"/>
              <w:bottom w:val="single" w:sz="4" w:space="0" w:color="auto"/>
              <w:right w:val="single" w:sz="4" w:space="0" w:color="auto"/>
            </w:tcBorders>
            <w:vAlign w:val="center"/>
            <w:hideMark/>
          </w:tcPr>
          <w:p w14:paraId="749E0CD6" w14:textId="6FEE97BE" w:rsidR="00F55740" w:rsidRPr="00F55740" w:rsidRDefault="00F55740" w:rsidP="00F55740">
            <w:pPr>
              <w:spacing w:after="0" w:line="240" w:lineRule="auto"/>
              <w:jc w:val="center"/>
              <w:rPr>
                <w:rFonts w:ascii="Aptos" w:eastAsia="Times New Roman" w:hAnsi="Aptos" w:cs="Times New Roman"/>
                <w:color w:val="000000"/>
                <w:kern w:val="0"/>
                <w:szCs w:val="24"/>
                <w:lang w:eastAsia="en-IN"/>
                <w14:ligatures w14:val="none"/>
              </w:rPr>
            </w:pPr>
          </w:p>
        </w:tc>
        <w:tc>
          <w:tcPr>
            <w:tcW w:w="1731" w:type="dxa"/>
            <w:tcBorders>
              <w:top w:val="nil"/>
              <w:left w:val="nil"/>
              <w:bottom w:val="single" w:sz="4" w:space="0" w:color="auto"/>
              <w:right w:val="single" w:sz="4" w:space="0" w:color="auto"/>
            </w:tcBorders>
            <w:vAlign w:val="center"/>
            <w:hideMark/>
          </w:tcPr>
          <w:p w14:paraId="6E5F5750" w14:textId="77777777" w:rsidR="00F55740" w:rsidRPr="00F55740" w:rsidRDefault="00F55740" w:rsidP="00F55740">
            <w:pPr>
              <w:spacing w:after="0" w:line="240" w:lineRule="auto"/>
              <w:jc w:val="center"/>
              <w:rPr>
                <w:rFonts w:ascii="Times New Roman" w:eastAsia="Times New Roman" w:hAnsi="Times New Roman" w:cs="Times New Roman"/>
                <w:color w:val="000000"/>
                <w:kern w:val="0"/>
                <w:szCs w:val="24"/>
                <w:lang w:eastAsia="en-IN"/>
                <w14:ligatures w14:val="none"/>
              </w:rPr>
            </w:pPr>
            <w:r w:rsidRPr="00F55740">
              <w:rPr>
                <w:rFonts w:ascii="Times New Roman" w:eastAsia="Times New Roman" w:hAnsi="Times New Roman" w:cs="Times New Roman"/>
                <w:color w:val="000000"/>
                <w:kern w:val="0"/>
                <w:szCs w:val="24"/>
                <w:lang w:eastAsia="en-IN"/>
                <w14:ligatures w14:val="none"/>
              </w:rPr>
              <w:t>64</w:t>
            </w:r>
          </w:p>
        </w:tc>
        <w:tc>
          <w:tcPr>
            <w:tcW w:w="1435" w:type="dxa"/>
            <w:tcBorders>
              <w:top w:val="nil"/>
              <w:left w:val="nil"/>
              <w:bottom w:val="single" w:sz="4" w:space="0" w:color="auto"/>
              <w:right w:val="single" w:sz="4" w:space="0" w:color="auto"/>
            </w:tcBorders>
            <w:vAlign w:val="center"/>
            <w:hideMark/>
          </w:tcPr>
          <w:p w14:paraId="5AA595B7" w14:textId="77777777" w:rsidR="00F55740" w:rsidRPr="00F55740" w:rsidRDefault="00F55740" w:rsidP="00F55740">
            <w:pPr>
              <w:spacing w:after="0" w:line="240" w:lineRule="auto"/>
              <w:jc w:val="center"/>
              <w:rPr>
                <w:rFonts w:ascii="Times New Roman" w:eastAsia="Times New Roman" w:hAnsi="Times New Roman" w:cs="Times New Roman"/>
                <w:color w:val="000000"/>
                <w:kern w:val="0"/>
                <w:szCs w:val="24"/>
                <w:lang w:eastAsia="en-IN"/>
                <w14:ligatures w14:val="none"/>
              </w:rPr>
            </w:pPr>
            <w:r w:rsidRPr="00F55740">
              <w:rPr>
                <w:rFonts w:ascii="Times New Roman" w:eastAsia="Times New Roman" w:hAnsi="Times New Roman" w:cs="Times New Roman"/>
                <w:color w:val="000000"/>
                <w:kern w:val="0"/>
                <w:szCs w:val="24"/>
                <w:lang w:eastAsia="en-IN"/>
                <w14:ligatures w14:val="none"/>
              </w:rPr>
              <w:t>1477</w:t>
            </w:r>
          </w:p>
        </w:tc>
      </w:tr>
      <w:tr w:rsidR="00F55740" w:rsidRPr="00F55740" w14:paraId="514C78E0" w14:textId="77777777" w:rsidTr="00F55740">
        <w:trPr>
          <w:trHeight w:val="20"/>
        </w:trPr>
        <w:tc>
          <w:tcPr>
            <w:tcW w:w="846" w:type="dxa"/>
            <w:tcBorders>
              <w:top w:val="nil"/>
              <w:left w:val="single" w:sz="4" w:space="0" w:color="auto"/>
              <w:bottom w:val="single" w:sz="4" w:space="0" w:color="auto"/>
              <w:right w:val="single" w:sz="4" w:space="0" w:color="auto"/>
            </w:tcBorders>
            <w:vAlign w:val="center"/>
            <w:hideMark/>
          </w:tcPr>
          <w:p w14:paraId="0CA81DDB" w14:textId="77777777" w:rsidR="00F55740" w:rsidRPr="00F55740" w:rsidRDefault="00F55740" w:rsidP="00F55740">
            <w:pPr>
              <w:spacing w:after="0" w:line="240" w:lineRule="auto"/>
              <w:rPr>
                <w:rFonts w:ascii="Times New Roman" w:eastAsia="Times New Roman" w:hAnsi="Times New Roman" w:cs="Times New Roman"/>
                <w:color w:val="000000"/>
                <w:kern w:val="0"/>
                <w:szCs w:val="24"/>
                <w:lang w:eastAsia="en-IN"/>
                <w14:ligatures w14:val="none"/>
              </w:rPr>
            </w:pPr>
            <w:r w:rsidRPr="00F55740">
              <w:rPr>
                <w:rFonts w:ascii="Times New Roman" w:eastAsia="Times New Roman" w:hAnsi="Times New Roman" w:cs="Times New Roman"/>
                <w:color w:val="000000"/>
                <w:kern w:val="0"/>
                <w:szCs w:val="24"/>
                <w:lang w:eastAsia="en-IN"/>
                <w14:ligatures w14:val="none"/>
              </w:rPr>
              <w:t> </w:t>
            </w:r>
          </w:p>
        </w:tc>
        <w:tc>
          <w:tcPr>
            <w:tcW w:w="1960" w:type="dxa"/>
            <w:tcBorders>
              <w:top w:val="nil"/>
              <w:left w:val="nil"/>
              <w:bottom w:val="single" w:sz="4" w:space="0" w:color="auto"/>
              <w:right w:val="single" w:sz="4" w:space="0" w:color="auto"/>
            </w:tcBorders>
            <w:vAlign w:val="center"/>
            <w:hideMark/>
          </w:tcPr>
          <w:p w14:paraId="288E17ED" w14:textId="77777777" w:rsidR="00F55740" w:rsidRPr="00F55740" w:rsidRDefault="00F55740" w:rsidP="00F55740">
            <w:pPr>
              <w:spacing w:after="0" w:line="240" w:lineRule="auto"/>
              <w:rPr>
                <w:rFonts w:ascii="Times New Roman" w:eastAsia="Times New Roman" w:hAnsi="Times New Roman" w:cs="Times New Roman"/>
                <w:color w:val="000000"/>
                <w:kern w:val="0"/>
                <w:szCs w:val="24"/>
                <w:lang w:eastAsia="en-IN"/>
                <w14:ligatures w14:val="none"/>
              </w:rPr>
            </w:pPr>
            <w:r w:rsidRPr="00F55740">
              <w:rPr>
                <w:rFonts w:ascii="Times New Roman" w:eastAsia="Times New Roman" w:hAnsi="Times New Roman" w:cs="Times New Roman"/>
                <w:color w:val="000000"/>
                <w:kern w:val="0"/>
                <w:szCs w:val="24"/>
                <w:lang w:eastAsia="en-IN"/>
                <w14:ligatures w14:val="none"/>
              </w:rPr>
              <w:t>1965-66</w:t>
            </w:r>
          </w:p>
        </w:tc>
        <w:tc>
          <w:tcPr>
            <w:tcW w:w="1527" w:type="dxa"/>
            <w:tcBorders>
              <w:top w:val="nil"/>
              <w:left w:val="nil"/>
              <w:bottom w:val="single" w:sz="4" w:space="0" w:color="auto"/>
              <w:right w:val="single" w:sz="4" w:space="0" w:color="auto"/>
            </w:tcBorders>
            <w:vAlign w:val="center"/>
            <w:hideMark/>
          </w:tcPr>
          <w:p w14:paraId="6E38AFDE" w14:textId="77777777" w:rsidR="00F55740" w:rsidRPr="00F55740" w:rsidRDefault="00F55740" w:rsidP="00F55740">
            <w:pPr>
              <w:spacing w:after="0" w:line="240" w:lineRule="auto"/>
              <w:jc w:val="center"/>
              <w:rPr>
                <w:rFonts w:ascii="Times New Roman" w:eastAsia="Times New Roman" w:hAnsi="Times New Roman" w:cs="Times New Roman"/>
                <w:color w:val="000000"/>
                <w:kern w:val="0"/>
                <w:szCs w:val="24"/>
                <w:lang w:eastAsia="en-IN"/>
                <w14:ligatures w14:val="none"/>
              </w:rPr>
            </w:pPr>
            <w:r w:rsidRPr="00F55740">
              <w:rPr>
                <w:rFonts w:ascii="Times New Roman" w:eastAsia="Times New Roman" w:hAnsi="Times New Roman" w:cs="Times New Roman"/>
                <w:color w:val="000000"/>
                <w:kern w:val="0"/>
                <w:szCs w:val="24"/>
                <w:lang w:eastAsia="en-IN"/>
                <w14:ligatures w14:val="none"/>
              </w:rPr>
              <w:t>1422</w:t>
            </w:r>
          </w:p>
        </w:tc>
        <w:tc>
          <w:tcPr>
            <w:tcW w:w="1528" w:type="dxa"/>
            <w:tcBorders>
              <w:top w:val="nil"/>
              <w:left w:val="nil"/>
              <w:bottom w:val="single" w:sz="4" w:space="0" w:color="auto"/>
              <w:right w:val="single" w:sz="4" w:space="0" w:color="auto"/>
            </w:tcBorders>
            <w:vAlign w:val="center"/>
            <w:hideMark/>
          </w:tcPr>
          <w:p w14:paraId="0FBFD083" w14:textId="2F404B50" w:rsidR="00F55740" w:rsidRPr="00F55740" w:rsidRDefault="00F55740" w:rsidP="00F55740">
            <w:pPr>
              <w:spacing w:after="0" w:line="240" w:lineRule="auto"/>
              <w:jc w:val="center"/>
              <w:rPr>
                <w:rFonts w:ascii="Aptos" w:eastAsia="Times New Roman" w:hAnsi="Aptos" w:cs="Times New Roman"/>
                <w:color w:val="000000"/>
                <w:kern w:val="0"/>
                <w:szCs w:val="24"/>
                <w:lang w:eastAsia="en-IN"/>
                <w14:ligatures w14:val="none"/>
              </w:rPr>
            </w:pPr>
          </w:p>
        </w:tc>
        <w:tc>
          <w:tcPr>
            <w:tcW w:w="1731" w:type="dxa"/>
            <w:tcBorders>
              <w:top w:val="nil"/>
              <w:left w:val="nil"/>
              <w:bottom w:val="single" w:sz="4" w:space="0" w:color="auto"/>
              <w:right w:val="single" w:sz="4" w:space="0" w:color="auto"/>
            </w:tcBorders>
            <w:vAlign w:val="center"/>
            <w:hideMark/>
          </w:tcPr>
          <w:p w14:paraId="4CAEE49E" w14:textId="77777777" w:rsidR="00F55740" w:rsidRPr="00F55740" w:rsidRDefault="00F55740" w:rsidP="00F55740">
            <w:pPr>
              <w:spacing w:after="0" w:line="240" w:lineRule="auto"/>
              <w:jc w:val="center"/>
              <w:rPr>
                <w:rFonts w:ascii="Times New Roman" w:eastAsia="Times New Roman" w:hAnsi="Times New Roman" w:cs="Times New Roman"/>
                <w:color w:val="000000"/>
                <w:kern w:val="0"/>
                <w:szCs w:val="24"/>
                <w:lang w:eastAsia="en-IN"/>
                <w14:ligatures w14:val="none"/>
              </w:rPr>
            </w:pPr>
            <w:r w:rsidRPr="00F55740">
              <w:rPr>
                <w:rFonts w:ascii="Times New Roman" w:eastAsia="Times New Roman" w:hAnsi="Times New Roman" w:cs="Times New Roman"/>
                <w:color w:val="000000"/>
                <w:kern w:val="0"/>
                <w:szCs w:val="24"/>
                <w:lang w:eastAsia="en-IN"/>
                <w14:ligatures w14:val="none"/>
              </w:rPr>
              <w:t>65</w:t>
            </w:r>
          </w:p>
        </w:tc>
        <w:tc>
          <w:tcPr>
            <w:tcW w:w="1435" w:type="dxa"/>
            <w:tcBorders>
              <w:top w:val="nil"/>
              <w:left w:val="nil"/>
              <w:bottom w:val="single" w:sz="4" w:space="0" w:color="auto"/>
              <w:right w:val="single" w:sz="4" w:space="0" w:color="auto"/>
            </w:tcBorders>
            <w:vAlign w:val="center"/>
            <w:hideMark/>
          </w:tcPr>
          <w:p w14:paraId="6C854F9F" w14:textId="77777777" w:rsidR="00F55740" w:rsidRPr="00F55740" w:rsidRDefault="00F55740" w:rsidP="00F55740">
            <w:pPr>
              <w:spacing w:after="0" w:line="240" w:lineRule="auto"/>
              <w:jc w:val="center"/>
              <w:rPr>
                <w:rFonts w:ascii="Times New Roman" w:eastAsia="Times New Roman" w:hAnsi="Times New Roman" w:cs="Times New Roman"/>
                <w:color w:val="000000"/>
                <w:kern w:val="0"/>
                <w:szCs w:val="24"/>
                <w:lang w:eastAsia="en-IN"/>
                <w14:ligatures w14:val="none"/>
              </w:rPr>
            </w:pPr>
            <w:r w:rsidRPr="00F55740">
              <w:rPr>
                <w:rFonts w:ascii="Times New Roman" w:eastAsia="Times New Roman" w:hAnsi="Times New Roman" w:cs="Times New Roman"/>
                <w:color w:val="000000"/>
                <w:kern w:val="0"/>
                <w:szCs w:val="24"/>
                <w:lang w:eastAsia="en-IN"/>
                <w14:ligatures w14:val="none"/>
              </w:rPr>
              <w:t>1487</w:t>
            </w:r>
          </w:p>
        </w:tc>
      </w:tr>
      <w:tr w:rsidR="00F55740" w:rsidRPr="00F55740" w14:paraId="1633C9F7" w14:textId="77777777" w:rsidTr="00F55740">
        <w:trPr>
          <w:trHeight w:val="20"/>
        </w:trPr>
        <w:tc>
          <w:tcPr>
            <w:tcW w:w="846" w:type="dxa"/>
            <w:tcBorders>
              <w:top w:val="nil"/>
              <w:left w:val="single" w:sz="4" w:space="0" w:color="auto"/>
              <w:bottom w:val="single" w:sz="4" w:space="0" w:color="auto"/>
              <w:right w:val="single" w:sz="4" w:space="0" w:color="auto"/>
            </w:tcBorders>
            <w:vAlign w:val="center"/>
            <w:hideMark/>
          </w:tcPr>
          <w:p w14:paraId="7DC61BC9" w14:textId="77777777" w:rsidR="00F55740" w:rsidRPr="00F55740" w:rsidRDefault="00F55740" w:rsidP="00F55740">
            <w:pPr>
              <w:spacing w:after="0" w:line="240" w:lineRule="auto"/>
              <w:rPr>
                <w:rFonts w:ascii="Times New Roman" w:eastAsia="Times New Roman" w:hAnsi="Times New Roman" w:cs="Times New Roman"/>
                <w:color w:val="000000"/>
                <w:kern w:val="0"/>
                <w:szCs w:val="24"/>
                <w:lang w:eastAsia="en-IN"/>
                <w14:ligatures w14:val="none"/>
              </w:rPr>
            </w:pPr>
            <w:r w:rsidRPr="00F55740">
              <w:rPr>
                <w:rFonts w:ascii="Times New Roman" w:eastAsia="Times New Roman" w:hAnsi="Times New Roman" w:cs="Times New Roman"/>
                <w:color w:val="000000"/>
                <w:kern w:val="0"/>
                <w:szCs w:val="24"/>
                <w:lang w:eastAsia="en-IN"/>
                <w14:ligatures w14:val="none"/>
              </w:rPr>
              <w:t> </w:t>
            </w:r>
          </w:p>
        </w:tc>
        <w:tc>
          <w:tcPr>
            <w:tcW w:w="1960" w:type="dxa"/>
            <w:tcBorders>
              <w:top w:val="nil"/>
              <w:left w:val="nil"/>
              <w:bottom w:val="single" w:sz="4" w:space="0" w:color="auto"/>
              <w:right w:val="single" w:sz="4" w:space="0" w:color="auto"/>
            </w:tcBorders>
            <w:vAlign w:val="center"/>
            <w:hideMark/>
          </w:tcPr>
          <w:p w14:paraId="3424FC3C" w14:textId="77777777" w:rsidR="00F55740" w:rsidRPr="00F55740" w:rsidRDefault="00F55740" w:rsidP="00F55740">
            <w:pPr>
              <w:spacing w:after="0" w:line="240" w:lineRule="auto"/>
              <w:rPr>
                <w:rFonts w:ascii="Times New Roman" w:eastAsia="Times New Roman" w:hAnsi="Times New Roman" w:cs="Times New Roman"/>
                <w:color w:val="000000"/>
                <w:kern w:val="0"/>
                <w:szCs w:val="24"/>
                <w:lang w:eastAsia="en-IN"/>
                <w14:ligatures w14:val="none"/>
              </w:rPr>
            </w:pPr>
            <w:r w:rsidRPr="00F55740">
              <w:rPr>
                <w:rFonts w:ascii="Times New Roman" w:eastAsia="Times New Roman" w:hAnsi="Times New Roman" w:cs="Times New Roman"/>
                <w:color w:val="000000"/>
                <w:kern w:val="0"/>
                <w:szCs w:val="24"/>
                <w:lang w:eastAsia="en-IN"/>
                <w14:ligatures w14:val="none"/>
              </w:rPr>
              <w:t>1966-67</w:t>
            </w:r>
          </w:p>
        </w:tc>
        <w:tc>
          <w:tcPr>
            <w:tcW w:w="1527" w:type="dxa"/>
            <w:tcBorders>
              <w:top w:val="nil"/>
              <w:left w:val="nil"/>
              <w:bottom w:val="single" w:sz="4" w:space="0" w:color="auto"/>
              <w:right w:val="single" w:sz="4" w:space="0" w:color="auto"/>
            </w:tcBorders>
            <w:vAlign w:val="center"/>
            <w:hideMark/>
          </w:tcPr>
          <w:p w14:paraId="09ED5A59" w14:textId="77777777" w:rsidR="00F55740" w:rsidRPr="00F55740" w:rsidRDefault="00F55740" w:rsidP="00F55740">
            <w:pPr>
              <w:spacing w:after="0" w:line="240" w:lineRule="auto"/>
              <w:jc w:val="center"/>
              <w:rPr>
                <w:rFonts w:ascii="Times New Roman" w:eastAsia="Times New Roman" w:hAnsi="Times New Roman" w:cs="Times New Roman"/>
                <w:color w:val="000000"/>
                <w:kern w:val="0"/>
                <w:szCs w:val="24"/>
                <w:lang w:eastAsia="en-IN"/>
                <w14:ligatures w14:val="none"/>
              </w:rPr>
            </w:pPr>
            <w:r w:rsidRPr="00F55740">
              <w:rPr>
                <w:rFonts w:ascii="Times New Roman" w:eastAsia="Times New Roman" w:hAnsi="Times New Roman" w:cs="Times New Roman"/>
                <w:color w:val="000000"/>
                <w:kern w:val="0"/>
                <w:szCs w:val="24"/>
                <w:lang w:eastAsia="en-IN"/>
                <w14:ligatures w14:val="none"/>
              </w:rPr>
              <w:t>1449</w:t>
            </w:r>
          </w:p>
        </w:tc>
        <w:tc>
          <w:tcPr>
            <w:tcW w:w="1528" w:type="dxa"/>
            <w:tcBorders>
              <w:top w:val="nil"/>
              <w:left w:val="nil"/>
              <w:bottom w:val="single" w:sz="4" w:space="0" w:color="auto"/>
              <w:right w:val="single" w:sz="4" w:space="0" w:color="auto"/>
            </w:tcBorders>
            <w:vAlign w:val="center"/>
            <w:hideMark/>
          </w:tcPr>
          <w:p w14:paraId="71AFC5EC" w14:textId="5095F622" w:rsidR="00F55740" w:rsidRPr="00F55740" w:rsidRDefault="00F55740" w:rsidP="00F55740">
            <w:pPr>
              <w:spacing w:after="0" w:line="240" w:lineRule="auto"/>
              <w:jc w:val="center"/>
              <w:rPr>
                <w:rFonts w:ascii="Aptos" w:eastAsia="Times New Roman" w:hAnsi="Aptos" w:cs="Times New Roman"/>
                <w:color w:val="000000"/>
                <w:kern w:val="0"/>
                <w:szCs w:val="24"/>
                <w:lang w:eastAsia="en-IN"/>
                <w14:ligatures w14:val="none"/>
              </w:rPr>
            </w:pPr>
          </w:p>
        </w:tc>
        <w:tc>
          <w:tcPr>
            <w:tcW w:w="1731" w:type="dxa"/>
            <w:tcBorders>
              <w:top w:val="nil"/>
              <w:left w:val="nil"/>
              <w:bottom w:val="single" w:sz="4" w:space="0" w:color="auto"/>
              <w:right w:val="single" w:sz="4" w:space="0" w:color="auto"/>
            </w:tcBorders>
            <w:vAlign w:val="center"/>
            <w:hideMark/>
          </w:tcPr>
          <w:p w14:paraId="7F48D469" w14:textId="77777777" w:rsidR="00F55740" w:rsidRPr="00F55740" w:rsidRDefault="00F55740" w:rsidP="00F55740">
            <w:pPr>
              <w:spacing w:after="0" w:line="240" w:lineRule="auto"/>
              <w:jc w:val="center"/>
              <w:rPr>
                <w:rFonts w:ascii="Times New Roman" w:eastAsia="Times New Roman" w:hAnsi="Times New Roman" w:cs="Times New Roman"/>
                <w:color w:val="000000"/>
                <w:kern w:val="0"/>
                <w:szCs w:val="24"/>
                <w:lang w:eastAsia="en-IN"/>
                <w14:ligatures w14:val="none"/>
              </w:rPr>
            </w:pPr>
            <w:r w:rsidRPr="00F55740">
              <w:rPr>
                <w:rFonts w:ascii="Times New Roman" w:eastAsia="Times New Roman" w:hAnsi="Times New Roman" w:cs="Times New Roman"/>
                <w:color w:val="000000"/>
                <w:kern w:val="0"/>
                <w:szCs w:val="24"/>
                <w:lang w:eastAsia="en-IN"/>
                <w14:ligatures w14:val="none"/>
              </w:rPr>
              <w:t>65</w:t>
            </w:r>
          </w:p>
        </w:tc>
        <w:tc>
          <w:tcPr>
            <w:tcW w:w="1435" w:type="dxa"/>
            <w:tcBorders>
              <w:top w:val="nil"/>
              <w:left w:val="nil"/>
              <w:bottom w:val="single" w:sz="4" w:space="0" w:color="auto"/>
              <w:right w:val="single" w:sz="4" w:space="0" w:color="auto"/>
            </w:tcBorders>
            <w:vAlign w:val="center"/>
            <w:hideMark/>
          </w:tcPr>
          <w:p w14:paraId="2809ACB8" w14:textId="77777777" w:rsidR="00F55740" w:rsidRPr="00F55740" w:rsidRDefault="00F55740" w:rsidP="00F55740">
            <w:pPr>
              <w:spacing w:after="0" w:line="240" w:lineRule="auto"/>
              <w:jc w:val="center"/>
              <w:rPr>
                <w:rFonts w:ascii="Times New Roman" w:eastAsia="Times New Roman" w:hAnsi="Times New Roman" w:cs="Times New Roman"/>
                <w:color w:val="000000"/>
                <w:kern w:val="0"/>
                <w:szCs w:val="24"/>
                <w:lang w:eastAsia="en-IN"/>
                <w14:ligatures w14:val="none"/>
              </w:rPr>
            </w:pPr>
            <w:r w:rsidRPr="00F55740">
              <w:rPr>
                <w:rFonts w:ascii="Times New Roman" w:eastAsia="Times New Roman" w:hAnsi="Times New Roman" w:cs="Times New Roman"/>
                <w:color w:val="000000"/>
                <w:kern w:val="0"/>
                <w:szCs w:val="24"/>
                <w:lang w:eastAsia="en-IN"/>
                <w14:ligatures w14:val="none"/>
              </w:rPr>
              <w:t>1514</w:t>
            </w:r>
          </w:p>
        </w:tc>
      </w:tr>
      <w:tr w:rsidR="00F55740" w:rsidRPr="00F55740" w14:paraId="7F6ADC1B" w14:textId="77777777" w:rsidTr="00F55740">
        <w:trPr>
          <w:trHeight w:val="20"/>
        </w:trPr>
        <w:tc>
          <w:tcPr>
            <w:tcW w:w="846" w:type="dxa"/>
            <w:tcBorders>
              <w:top w:val="nil"/>
              <w:left w:val="single" w:sz="4" w:space="0" w:color="auto"/>
              <w:bottom w:val="single" w:sz="4" w:space="0" w:color="auto"/>
              <w:right w:val="single" w:sz="4" w:space="0" w:color="auto"/>
            </w:tcBorders>
            <w:vAlign w:val="center"/>
            <w:hideMark/>
          </w:tcPr>
          <w:p w14:paraId="5BD7C845" w14:textId="77777777" w:rsidR="00F55740" w:rsidRPr="00F55740" w:rsidRDefault="00F55740" w:rsidP="00F55740">
            <w:pPr>
              <w:spacing w:after="0" w:line="240" w:lineRule="auto"/>
              <w:jc w:val="right"/>
              <w:rPr>
                <w:rFonts w:ascii="Times New Roman" w:eastAsia="Times New Roman" w:hAnsi="Times New Roman" w:cs="Times New Roman"/>
                <w:color w:val="000000"/>
                <w:kern w:val="0"/>
                <w:szCs w:val="24"/>
                <w:lang w:eastAsia="en-IN"/>
                <w14:ligatures w14:val="none"/>
              </w:rPr>
            </w:pPr>
            <w:r w:rsidRPr="00F55740">
              <w:rPr>
                <w:rFonts w:ascii="Times New Roman" w:eastAsia="Times New Roman" w:hAnsi="Times New Roman" w:cs="Times New Roman"/>
                <w:color w:val="000000"/>
                <w:kern w:val="0"/>
                <w:szCs w:val="24"/>
                <w:lang w:eastAsia="en-IN"/>
                <w14:ligatures w14:val="none"/>
              </w:rPr>
              <w:t>9</w:t>
            </w:r>
          </w:p>
        </w:tc>
        <w:tc>
          <w:tcPr>
            <w:tcW w:w="1960" w:type="dxa"/>
            <w:tcBorders>
              <w:top w:val="nil"/>
              <w:left w:val="nil"/>
              <w:bottom w:val="single" w:sz="4" w:space="0" w:color="auto"/>
              <w:right w:val="single" w:sz="4" w:space="0" w:color="auto"/>
            </w:tcBorders>
            <w:vAlign w:val="center"/>
            <w:hideMark/>
          </w:tcPr>
          <w:p w14:paraId="002ADA1C" w14:textId="77777777" w:rsidR="00F55740" w:rsidRPr="00F55740" w:rsidRDefault="00F55740" w:rsidP="00F55740">
            <w:pPr>
              <w:spacing w:after="0" w:line="240" w:lineRule="auto"/>
              <w:rPr>
                <w:rFonts w:ascii="Times New Roman" w:eastAsia="Times New Roman" w:hAnsi="Times New Roman" w:cs="Times New Roman"/>
                <w:color w:val="000000"/>
                <w:kern w:val="0"/>
                <w:szCs w:val="24"/>
                <w:lang w:eastAsia="en-IN"/>
                <w14:ligatures w14:val="none"/>
              </w:rPr>
            </w:pPr>
            <w:r w:rsidRPr="00F55740">
              <w:rPr>
                <w:rFonts w:ascii="Times New Roman" w:eastAsia="Times New Roman" w:hAnsi="Times New Roman" w:cs="Times New Roman"/>
                <w:color w:val="000000"/>
                <w:kern w:val="0"/>
                <w:szCs w:val="24"/>
                <w:lang w:eastAsia="en-IN"/>
                <w14:ligatures w14:val="none"/>
              </w:rPr>
              <w:t>Western</w:t>
            </w:r>
          </w:p>
        </w:tc>
        <w:tc>
          <w:tcPr>
            <w:tcW w:w="1527" w:type="dxa"/>
            <w:tcBorders>
              <w:top w:val="nil"/>
              <w:left w:val="nil"/>
              <w:bottom w:val="single" w:sz="4" w:space="0" w:color="auto"/>
              <w:right w:val="single" w:sz="4" w:space="0" w:color="auto"/>
            </w:tcBorders>
            <w:vAlign w:val="center"/>
            <w:hideMark/>
          </w:tcPr>
          <w:p w14:paraId="06FE0BE3" w14:textId="2410476D" w:rsidR="00F55740" w:rsidRPr="00F55740" w:rsidRDefault="00F55740" w:rsidP="00F55740">
            <w:pPr>
              <w:spacing w:after="0" w:line="240" w:lineRule="auto"/>
              <w:jc w:val="center"/>
              <w:rPr>
                <w:rFonts w:ascii="Aptos" w:eastAsia="Times New Roman" w:hAnsi="Aptos" w:cs="Times New Roman"/>
                <w:color w:val="000000"/>
                <w:kern w:val="0"/>
                <w:szCs w:val="24"/>
                <w:lang w:eastAsia="en-IN"/>
                <w14:ligatures w14:val="none"/>
              </w:rPr>
            </w:pPr>
          </w:p>
        </w:tc>
        <w:tc>
          <w:tcPr>
            <w:tcW w:w="1528" w:type="dxa"/>
            <w:tcBorders>
              <w:top w:val="nil"/>
              <w:left w:val="nil"/>
              <w:bottom w:val="single" w:sz="4" w:space="0" w:color="auto"/>
              <w:right w:val="single" w:sz="4" w:space="0" w:color="auto"/>
            </w:tcBorders>
            <w:vAlign w:val="center"/>
            <w:hideMark/>
          </w:tcPr>
          <w:p w14:paraId="5B1AC148" w14:textId="1F90E89B" w:rsidR="00F55740" w:rsidRPr="00F55740" w:rsidRDefault="00F55740" w:rsidP="00F55740">
            <w:pPr>
              <w:spacing w:after="0" w:line="240" w:lineRule="auto"/>
              <w:jc w:val="center"/>
              <w:rPr>
                <w:rFonts w:ascii="Aptos" w:eastAsia="Times New Roman" w:hAnsi="Aptos" w:cs="Times New Roman"/>
                <w:color w:val="000000"/>
                <w:kern w:val="0"/>
                <w:szCs w:val="24"/>
                <w:lang w:eastAsia="en-IN"/>
                <w14:ligatures w14:val="none"/>
              </w:rPr>
            </w:pPr>
          </w:p>
        </w:tc>
        <w:tc>
          <w:tcPr>
            <w:tcW w:w="1731" w:type="dxa"/>
            <w:tcBorders>
              <w:top w:val="nil"/>
              <w:left w:val="nil"/>
              <w:bottom w:val="single" w:sz="4" w:space="0" w:color="auto"/>
              <w:right w:val="single" w:sz="4" w:space="0" w:color="auto"/>
            </w:tcBorders>
            <w:vAlign w:val="center"/>
            <w:hideMark/>
          </w:tcPr>
          <w:p w14:paraId="2C75C9C1" w14:textId="15384B24" w:rsidR="00F55740" w:rsidRPr="00F55740" w:rsidRDefault="00F55740" w:rsidP="00F55740">
            <w:pPr>
              <w:spacing w:after="0" w:line="240" w:lineRule="auto"/>
              <w:jc w:val="center"/>
              <w:rPr>
                <w:rFonts w:ascii="Aptos" w:eastAsia="Times New Roman" w:hAnsi="Aptos" w:cs="Times New Roman"/>
                <w:color w:val="000000"/>
                <w:kern w:val="0"/>
                <w:szCs w:val="24"/>
                <w:lang w:eastAsia="en-IN"/>
                <w14:ligatures w14:val="none"/>
              </w:rPr>
            </w:pPr>
          </w:p>
        </w:tc>
        <w:tc>
          <w:tcPr>
            <w:tcW w:w="1435" w:type="dxa"/>
            <w:tcBorders>
              <w:top w:val="nil"/>
              <w:left w:val="nil"/>
              <w:bottom w:val="single" w:sz="4" w:space="0" w:color="auto"/>
              <w:right w:val="single" w:sz="4" w:space="0" w:color="auto"/>
            </w:tcBorders>
            <w:vAlign w:val="center"/>
            <w:hideMark/>
          </w:tcPr>
          <w:p w14:paraId="3DC9BD2A" w14:textId="2BA76CD6" w:rsidR="00F55740" w:rsidRPr="00F55740" w:rsidRDefault="00F55740" w:rsidP="00F55740">
            <w:pPr>
              <w:spacing w:after="0" w:line="240" w:lineRule="auto"/>
              <w:jc w:val="center"/>
              <w:rPr>
                <w:rFonts w:ascii="Aptos" w:eastAsia="Times New Roman" w:hAnsi="Aptos" w:cs="Times New Roman"/>
                <w:color w:val="000000"/>
                <w:kern w:val="0"/>
                <w:szCs w:val="24"/>
                <w:lang w:eastAsia="en-IN"/>
                <w14:ligatures w14:val="none"/>
              </w:rPr>
            </w:pPr>
          </w:p>
        </w:tc>
      </w:tr>
      <w:tr w:rsidR="00F55740" w:rsidRPr="00F55740" w14:paraId="6DA65FFB" w14:textId="77777777" w:rsidTr="00F55740">
        <w:trPr>
          <w:trHeight w:val="20"/>
        </w:trPr>
        <w:tc>
          <w:tcPr>
            <w:tcW w:w="846" w:type="dxa"/>
            <w:tcBorders>
              <w:top w:val="nil"/>
              <w:left w:val="single" w:sz="4" w:space="0" w:color="auto"/>
              <w:bottom w:val="single" w:sz="4" w:space="0" w:color="auto"/>
              <w:right w:val="single" w:sz="4" w:space="0" w:color="auto"/>
            </w:tcBorders>
            <w:vAlign w:val="center"/>
            <w:hideMark/>
          </w:tcPr>
          <w:p w14:paraId="418AEE92" w14:textId="77777777" w:rsidR="00F55740" w:rsidRPr="00F55740" w:rsidRDefault="00F55740" w:rsidP="00F55740">
            <w:pPr>
              <w:spacing w:after="0" w:line="240" w:lineRule="auto"/>
              <w:rPr>
                <w:rFonts w:ascii="Times New Roman" w:eastAsia="Times New Roman" w:hAnsi="Times New Roman" w:cs="Times New Roman"/>
                <w:color w:val="000000"/>
                <w:kern w:val="0"/>
                <w:szCs w:val="24"/>
                <w:lang w:eastAsia="en-IN"/>
                <w14:ligatures w14:val="none"/>
              </w:rPr>
            </w:pPr>
            <w:r w:rsidRPr="00F55740">
              <w:rPr>
                <w:rFonts w:ascii="Times New Roman" w:eastAsia="Times New Roman" w:hAnsi="Times New Roman" w:cs="Times New Roman"/>
                <w:color w:val="000000"/>
                <w:kern w:val="0"/>
                <w:szCs w:val="24"/>
                <w:lang w:eastAsia="en-IN"/>
                <w14:ligatures w14:val="none"/>
              </w:rPr>
              <w:t> </w:t>
            </w:r>
          </w:p>
        </w:tc>
        <w:tc>
          <w:tcPr>
            <w:tcW w:w="1960" w:type="dxa"/>
            <w:tcBorders>
              <w:top w:val="nil"/>
              <w:left w:val="nil"/>
              <w:bottom w:val="single" w:sz="4" w:space="0" w:color="auto"/>
              <w:right w:val="single" w:sz="4" w:space="0" w:color="auto"/>
            </w:tcBorders>
            <w:vAlign w:val="center"/>
            <w:hideMark/>
          </w:tcPr>
          <w:p w14:paraId="09EF2D23" w14:textId="77777777" w:rsidR="00F55740" w:rsidRPr="00F55740" w:rsidRDefault="00F55740" w:rsidP="00F55740">
            <w:pPr>
              <w:spacing w:after="0" w:line="240" w:lineRule="auto"/>
              <w:rPr>
                <w:rFonts w:ascii="Times New Roman" w:eastAsia="Times New Roman" w:hAnsi="Times New Roman" w:cs="Times New Roman"/>
                <w:color w:val="000000"/>
                <w:kern w:val="0"/>
                <w:szCs w:val="24"/>
                <w:lang w:eastAsia="en-IN"/>
                <w14:ligatures w14:val="none"/>
              </w:rPr>
            </w:pPr>
            <w:r w:rsidRPr="00F55740">
              <w:rPr>
                <w:rFonts w:ascii="Times New Roman" w:eastAsia="Times New Roman" w:hAnsi="Times New Roman" w:cs="Times New Roman"/>
                <w:color w:val="000000"/>
                <w:kern w:val="0"/>
                <w:szCs w:val="24"/>
                <w:lang w:eastAsia="en-IN"/>
                <w14:ligatures w14:val="none"/>
              </w:rPr>
              <w:t>1964-65</w:t>
            </w:r>
          </w:p>
        </w:tc>
        <w:tc>
          <w:tcPr>
            <w:tcW w:w="1527" w:type="dxa"/>
            <w:tcBorders>
              <w:top w:val="nil"/>
              <w:left w:val="nil"/>
              <w:bottom w:val="single" w:sz="4" w:space="0" w:color="auto"/>
              <w:right w:val="single" w:sz="4" w:space="0" w:color="auto"/>
            </w:tcBorders>
            <w:vAlign w:val="center"/>
            <w:hideMark/>
          </w:tcPr>
          <w:p w14:paraId="37A33FE1" w14:textId="77777777" w:rsidR="00F55740" w:rsidRPr="00F55740" w:rsidRDefault="00F55740" w:rsidP="00F55740">
            <w:pPr>
              <w:spacing w:after="0" w:line="240" w:lineRule="auto"/>
              <w:jc w:val="center"/>
              <w:rPr>
                <w:rFonts w:ascii="Times New Roman" w:eastAsia="Times New Roman" w:hAnsi="Times New Roman" w:cs="Times New Roman"/>
                <w:color w:val="000000"/>
                <w:kern w:val="0"/>
                <w:szCs w:val="24"/>
                <w:lang w:eastAsia="en-IN"/>
                <w14:ligatures w14:val="none"/>
              </w:rPr>
            </w:pPr>
            <w:r w:rsidRPr="00F55740">
              <w:rPr>
                <w:rFonts w:ascii="Times New Roman" w:eastAsia="Times New Roman" w:hAnsi="Times New Roman" w:cs="Times New Roman"/>
                <w:color w:val="000000"/>
                <w:kern w:val="0"/>
                <w:szCs w:val="24"/>
                <w:lang w:eastAsia="en-IN"/>
                <w14:ligatures w14:val="none"/>
              </w:rPr>
              <w:t>1455</w:t>
            </w:r>
          </w:p>
        </w:tc>
        <w:tc>
          <w:tcPr>
            <w:tcW w:w="1528" w:type="dxa"/>
            <w:tcBorders>
              <w:top w:val="nil"/>
              <w:left w:val="nil"/>
              <w:bottom w:val="single" w:sz="4" w:space="0" w:color="auto"/>
              <w:right w:val="single" w:sz="4" w:space="0" w:color="auto"/>
            </w:tcBorders>
            <w:vAlign w:val="center"/>
            <w:hideMark/>
          </w:tcPr>
          <w:p w14:paraId="0CD65C01" w14:textId="77777777" w:rsidR="00F55740" w:rsidRPr="00F55740" w:rsidRDefault="00F55740" w:rsidP="00F55740">
            <w:pPr>
              <w:spacing w:after="0" w:line="240" w:lineRule="auto"/>
              <w:jc w:val="center"/>
              <w:rPr>
                <w:rFonts w:ascii="Times New Roman" w:eastAsia="Times New Roman" w:hAnsi="Times New Roman" w:cs="Times New Roman"/>
                <w:color w:val="000000"/>
                <w:kern w:val="0"/>
                <w:szCs w:val="24"/>
                <w:lang w:eastAsia="en-IN"/>
                <w14:ligatures w14:val="none"/>
              </w:rPr>
            </w:pPr>
            <w:r w:rsidRPr="00F55740">
              <w:rPr>
                <w:rFonts w:ascii="Times New Roman" w:eastAsia="Times New Roman" w:hAnsi="Times New Roman" w:cs="Times New Roman"/>
                <w:color w:val="000000"/>
                <w:kern w:val="0"/>
                <w:szCs w:val="24"/>
                <w:lang w:eastAsia="en-IN"/>
                <w14:ligatures w14:val="none"/>
              </w:rPr>
              <w:t>1196</w:t>
            </w:r>
          </w:p>
        </w:tc>
        <w:tc>
          <w:tcPr>
            <w:tcW w:w="1731" w:type="dxa"/>
            <w:tcBorders>
              <w:top w:val="nil"/>
              <w:left w:val="nil"/>
              <w:bottom w:val="single" w:sz="4" w:space="0" w:color="auto"/>
              <w:right w:val="single" w:sz="4" w:space="0" w:color="auto"/>
            </w:tcBorders>
            <w:vAlign w:val="center"/>
            <w:hideMark/>
          </w:tcPr>
          <w:p w14:paraId="16944DDC" w14:textId="77777777" w:rsidR="00F55740" w:rsidRPr="00F55740" w:rsidRDefault="00F55740" w:rsidP="00F55740">
            <w:pPr>
              <w:spacing w:after="0" w:line="240" w:lineRule="auto"/>
              <w:jc w:val="center"/>
              <w:rPr>
                <w:rFonts w:ascii="Times New Roman" w:eastAsia="Times New Roman" w:hAnsi="Times New Roman" w:cs="Times New Roman"/>
                <w:color w:val="000000"/>
                <w:kern w:val="0"/>
                <w:szCs w:val="24"/>
                <w:lang w:eastAsia="en-IN"/>
                <w14:ligatures w14:val="none"/>
              </w:rPr>
            </w:pPr>
            <w:r w:rsidRPr="00F55740">
              <w:rPr>
                <w:rFonts w:ascii="Times New Roman" w:eastAsia="Times New Roman" w:hAnsi="Times New Roman" w:cs="Times New Roman"/>
                <w:color w:val="000000"/>
                <w:kern w:val="0"/>
                <w:szCs w:val="24"/>
                <w:lang w:eastAsia="en-IN"/>
                <w14:ligatures w14:val="none"/>
              </w:rPr>
              <w:t>85</w:t>
            </w:r>
          </w:p>
        </w:tc>
        <w:tc>
          <w:tcPr>
            <w:tcW w:w="1435" w:type="dxa"/>
            <w:tcBorders>
              <w:top w:val="nil"/>
              <w:left w:val="nil"/>
              <w:bottom w:val="single" w:sz="4" w:space="0" w:color="auto"/>
              <w:right w:val="single" w:sz="4" w:space="0" w:color="auto"/>
            </w:tcBorders>
            <w:vAlign w:val="center"/>
            <w:hideMark/>
          </w:tcPr>
          <w:p w14:paraId="527BACF0" w14:textId="77777777" w:rsidR="00F55740" w:rsidRPr="00F55740" w:rsidRDefault="00F55740" w:rsidP="00F55740">
            <w:pPr>
              <w:spacing w:after="0" w:line="240" w:lineRule="auto"/>
              <w:jc w:val="center"/>
              <w:rPr>
                <w:rFonts w:ascii="Times New Roman" w:eastAsia="Times New Roman" w:hAnsi="Times New Roman" w:cs="Times New Roman"/>
                <w:color w:val="000000"/>
                <w:kern w:val="0"/>
                <w:szCs w:val="24"/>
                <w:lang w:eastAsia="en-IN"/>
                <w14:ligatures w14:val="none"/>
              </w:rPr>
            </w:pPr>
            <w:r w:rsidRPr="00F55740">
              <w:rPr>
                <w:rFonts w:ascii="Times New Roman" w:eastAsia="Times New Roman" w:hAnsi="Times New Roman" w:cs="Times New Roman"/>
                <w:color w:val="000000"/>
                <w:kern w:val="0"/>
                <w:szCs w:val="24"/>
                <w:lang w:eastAsia="en-IN"/>
                <w14:ligatures w14:val="none"/>
              </w:rPr>
              <w:t>2736</w:t>
            </w:r>
          </w:p>
        </w:tc>
      </w:tr>
      <w:tr w:rsidR="00F55740" w:rsidRPr="00F55740" w14:paraId="32043A53" w14:textId="77777777" w:rsidTr="00F55740">
        <w:trPr>
          <w:trHeight w:val="20"/>
        </w:trPr>
        <w:tc>
          <w:tcPr>
            <w:tcW w:w="846" w:type="dxa"/>
            <w:tcBorders>
              <w:top w:val="nil"/>
              <w:left w:val="single" w:sz="4" w:space="0" w:color="auto"/>
              <w:bottom w:val="single" w:sz="4" w:space="0" w:color="auto"/>
              <w:right w:val="single" w:sz="4" w:space="0" w:color="auto"/>
            </w:tcBorders>
            <w:vAlign w:val="center"/>
            <w:hideMark/>
          </w:tcPr>
          <w:p w14:paraId="22BD167F" w14:textId="77777777" w:rsidR="00F55740" w:rsidRPr="00F55740" w:rsidRDefault="00F55740" w:rsidP="00F55740">
            <w:pPr>
              <w:spacing w:after="0" w:line="240" w:lineRule="auto"/>
              <w:rPr>
                <w:rFonts w:ascii="Times New Roman" w:eastAsia="Times New Roman" w:hAnsi="Times New Roman" w:cs="Times New Roman"/>
                <w:color w:val="000000"/>
                <w:kern w:val="0"/>
                <w:szCs w:val="24"/>
                <w:lang w:eastAsia="en-IN"/>
                <w14:ligatures w14:val="none"/>
              </w:rPr>
            </w:pPr>
            <w:r w:rsidRPr="00F55740">
              <w:rPr>
                <w:rFonts w:ascii="Times New Roman" w:eastAsia="Times New Roman" w:hAnsi="Times New Roman" w:cs="Times New Roman"/>
                <w:color w:val="000000"/>
                <w:kern w:val="0"/>
                <w:szCs w:val="24"/>
                <w:lang w:eastAsia="en-IN"/>
                <w14:ligatures w14:val="none"/>
              </w:rPr>
              <w:lastRenderedPageBreak/>
              <w:t> </w:t>
            </w:r>
          </w:p>
        </w:tc>
        <w:tc>
          <w:tcPr>
            <w:tcW w:w="1960" w:type="dxa"/>
            <w:tcBorders>
              <w:top w:val="nil"/>
              <w:left w:val="nil"/>
              <w:bottom w:val="single" w:sz="4" w:space="0" w:color="auto"/>
              <w:right w:val="single" w:sz="4" w:space="0" w:color="auto"/>
            </w:tcBorders>
            <w:vAlign w:val="center"/>
            <w:hideMark/>
          </w:tcPr>
          <w:p w14:paraId="4B14D8C8" w14:textId="77777777" w:rsidR="00F55740" w:rsidRPr="00F55740" w:rsidRDefault="00F55740" w:rsidP="00F55740">
            <w:pPr>
              <w:spacing w:after="0" w:line="240" w:lineRule="auto"/>
              <w:rPr>
                <w:rFonts w:ascii="Times New Roman" w:eastAsia="Times New Roman" w:hAnsi="Times New Roman" w:cs="Times New Roman"/>
                <w:color w:val="000000"/>
                <w:kern w:val="0"/>
                <w:szCs w:val="24"/>
                <w:lang w:eastAsia="en-IN"/>
                <w14:ligatures w14:val="none"/>
              </w:rPr>
            </w:pPr>
            <w:r w:rsidRPr="00F55740">
              <w:rPr>
                <w:rFonts w:ascii="Times New Roman" w:eastAsia="Times New Roman" w:hAnsi="Times New Roman" w:cs="Times New Roman"/>
                <w:color w:val="000000"/>
                <w:kern w:val="0"/>
                <w:szCs w:val="24"/>
                <w:lang w:eastAsia="en-IN"/>
                <w14:ligatures w14:val="none"/>
              </w:rPr>
              <w:t>1965-66</w:t>
            </w:r>
          </w:p>
        </w:tc>
        <w:tc>
          <w:tcPr>
            <w:tcW w:w="1527" w:type="dxa"/>
            <w:tcBorders>
              <w:top w:val="nil"/>
              <w:left w:val="nil"/>
              <w:bottom w:val="single" w:sz="4" w:space="0" w:color="auto"/>
              <w:right w:val="single" w:sz="4" w:space="0" w:color="auto"/>
            </w:tcBorders>
            <w:vAlign w:val="center"/>
            <w:hideMark/>
          </w:tcPr>
          <w:p w14:paraId="79CD57E7" w14:textId="77777777" w:rsidR="00F55740" w:rsidRPr="00F55740" w:rsidRDefault="00F55740" w:rsidP="00F55740">
            <w:pPr>
              <w:spacing w:after="0" w:line="240" w:lineRule="auto"/>
              <w:jc w:val="center"/>
              <w:rPr>
                <w:rFonts w:ascii="Times New Roman" w:eastAsia="Times New Roman" w:hAnsi="Times New Roman" w:cs="Times New Roman"/>
                <w:color w:val="000000"/>
                <w:kern w:val="0"/>
                <w:szCs w:val="24"/>
                <w:lang w:eastAsia="en-IN"/>
                <w14:ligatures w14:val="none"/>
              </w:rPr>
            </w:pPr>
            <w:r w:rsidRPr="00F55740">
              <w:rPr>
                <w:rFonts w:ascii="Times New Roman" w:eastAsia="Times New Roman" w:hAnsi="Times New Roman" w:cs="Times New Roman"/>
                <w:color w:val="000000"/>
                <w:kern w:val="0"/>
                <w:szCs w:val="24"/>
                <w:lang w:eastAsia="en-IN"/>
                <w14:ligatures w14:val="none"/>
              </w:rPr>
              <w:t>1693</w:t>
            </w:r>
          </w:p>
        </w:tc>
        <w:tc>
          <w:tcPr>
            <w:tcW w:w="1528" w:type="dxa"/>
            <w:tcBorders>
              <w:top w:val="nil"/>
              <w:left w:val="nil"/>
              <w:bottom w:val="single" w:sz="4" w:space="0" w:color="auto"/>
              <w:right w:val="single" w:sz="4" w:space="0" w:color="auto"/>
            </w:tcBorders>
            <w:vAlign w:val="center"/>
            <w:hideMark/>
          </w:tcPr>
          <w:p w14:paraId="55B244A9" w14:textId="77777777" w:rsidR="00F55740" w:rsidRPr="00F55740" w:rsidRDefault="00F55740" w:rsidP="00F55740">
            <w:pPr>
              <w:spacing w:after="0" w:line="240" w:lineRule="auto"/>
              <w:jc w:val="center"/>
              <w:rPr>
                <w:rFonts w:ascii="Times New Roman" w:eastAsia="Times New Roman" w:hAnsi="Times New Roman" w:cs="Times New Roman"/>
                <w:color w:val="000000"/>
                <w:kern w:val="0"/>
                <w:szCs w:val="24"/>
                <w:lang w:eastAsia="en-IN"/>
                <w14:ligatures w14:val="none"/>
              </w:rPr>
            </w:pPr>
            <w:r w:rsidRPr="00F55740">
              <w:rPr>
                <w:rFonts w:ascii="Times New Roman" w:eastAsia="Times New Roman" w:hAnsi="Times New Roman" w:cs="Times New Roman"/>
                <w:color w:val="000000"/>
                <w:kern w:val="0"/>
                <w:szCs w:val="24"/>
                <w:lang w:eastAsia="en-IN"/>
                <w14:ligatures w14:val="none"/>
              </w:rPr>
              <w:t>1277</w:t>
            </w:r>
          </w:p>
        </w:tc>
        <w:tc>
          <w:tcPr>
            <w:tcW w:w="1731" w:type="dxa"/>
            <w:tcBorders>
              <w:top w:val="nil"/>
              <w:left w:val="nil"/>
              <w:bottom w:val="single" w:sz="4" w:space="0" w:color="auto"/>
              <w:right w:val="single" w:sz="4" w:space="0" w:color="auto"/>
            </w:tcBorders>
            <w:vAlign w:val="center"/>
            <w:hideMark/>
          </w:tcPr>
          <w:p w14:paraId="3300D818" w14:textId="77777777" w:rsidR="00F55740" w:rsidRPr="00F55740" w:rsidRDefault="00F55740" w:rsidP="00F55740">
            <w:pPr>
              <w:spacing w:after="0" w:line="240" w:lineRule="auto"/>
              <w:jc w:val="center"/>
              <w:rPr>
                <w:rFonts w:ascii="Times New Roman" w:eastAsia="Times New Roman" w:hAnsi="Times New Roman" w:cs="Times New Roman"/>
                <w:color w:val="000000"/>
                <w:kern w:val="0"/>
                <w:szCs w:val="24"/>
                <w:lang w:eastAsia="en-IN"/>
                <w14:ligatures w14:val="none"/>
              </w:rPr>
            </w:pPr>
            <w:r w:rsidRPr="00F55740">
              <w:rPr>
                <w:rFonts w:ascii="Times New Roman" w:eastAsia="Times New Roman" w:hAnsi="Times New Roman" w:cs="Times New Roman"/>
                <w:color w:val="000000"/>
                <w:kern w:val="0"/>
                <w:szCs w:val="24"/>
                <w:lang w:eastAsia="en-IN"/>
                <w14:ligatures w14:val="none"/>
              </w:rPr>
              <w:t>87</w:t>
            </w:r>
          </w:p>
        </w:tc>
        <w:tc>
          <w:tcPr>
            <w:tcW w:w="1435" w:type="dxa"/>
            <w:tcBorders>
              <w:top w:val="nil"/>
              <w:left w:val="nil"/>
              <w:bottom w:val="single" w:sz="4" w:space="0" w:color="auto"/>
              <w:right w:val="single" w:sz="4" w:space="0" w:color="auto"/>
            </w:tcBorders>
            <w:vAlign w:val="center"/>
            <w:hideMark/>
          </w:tcPr>
          <w:p w14:paraId="426EDC3F" w14:textId="77777777" w:rsidR="00F55740" w:rsidRPr="00F55740" w:rsidRDefault="00F55740" w:rsidP="00F55740">
            <w:pPr>
              <w:spacing w:after="0" w:line="240" w:lineRule="auto"/>
              <w:jc w:val="center"/>
              <w:rPr>
                <w:rFonts w:ascii="Times New Roman" w:eastAsia="Times New Roman" w:hAnsi="Times New Roman" w:cs="Times New Roman"/>
                <w:color w:val="000000"/>
                <w:kern w:val="0"/>
                <w:szCs w:val="24"/>
                <w:lang w:eastAsia="en-IN"/>
                <w14:ligatures w14:val="none"/>
              </w:rPr>
            </w:pPr>
            <w:r w:rsidRPr="00F55740">
              <w:rPr>
                <w:rFonts w:ascii="Times New Roman" w:eastAsia="Times New Roman" w:hAnsi="Times New Roman" w:cs="Times New Roman"/>
                <w:color w:val="000000"/>
                <w:kern w:val="0"/>
                <w:szCs w:val="24"/>
                <w:lang w:eastAsia="en-IN"/>
                <w14:ligatures w14:val="none"/>
              </w:rPr>
              <w:t>3057</w:t>
            </w:r>
          </w:p>
        </w:tc>
      </w:tr>
      <w:tr w:rsidR="00F55740" w:rsidRPr="00F55740" w14:paraId="7B1C7CF8" w14:textId="77777777" w:rsidTr="00F55740">
        <w:trPr>
          <w:trHeight w:val="20"/>
        </w:trPr>
        <w:tc>
          <w:tcPr>
            <w:tcW w:w="846" w:type="dxa"/>
            <w:tcBorders>
              <w:top w:val="nil"/>
              <w:left w:val="single" w:sz="4" w:space="0" w:color="auto"/>
              <w:bottom w:val="single" w:sz="4" w:space="0" w:color="auto"/>
              <w:right w:val="single" w:sz="4" w:space="0" w:color="auto"/>
            </w:tcBorders>
            <w:vAlign w:val="center"/>
            <w:hideMark/>
          </w:tcPr>
          <w:p w14:paraId="673E4908" w14:textId="77777777" w:rsidR="00F55740" w:rsidRPr="00F55740" w:rsidRDefault="00F55740" w:rsidP="00F55740">
            <w:pPr>
              <w:spacing w:after="0" w:line="240" w:lineRule="auto"/>
              <w:rPr>
                <w:rFonts w:ascii="Times New Roman" w:eastAsia="Times New Roman" w:hAnsi="Times New Roman" w:cs="Times New Roman"/>
                <w:color w:val="000000"/>
                <w:kern w:val="0"/>
                <w:szCs w:val="24"/>
                <w:lang w:eastAsia="en-IN"/>
                <w14:ligatures w14:val="none"/>
              </w:rPr>
            </w:pPr>
            <w:r w:rsidRPr="00F55740">
              <w:rPr>
                <w:rFonts w:ascii="Times New Roman" w:eastAsia="Times New Roman" w:hAnsi="Times New Roman" w:cs="Times New Roman"/>
                <w:color w:val="000000"/>
                <w:kern w:val="0"/>
                <w:szCs w:val="24"/>
                <w:lang w:eastAsia="en-IN"/>
                <w14:ligatures w14:val="none"/>
              </w:rPr>
              <w:t> </w:t>
            </w:r>
          </w:p>
        </w:tc>
        <w:tc>
          <w:tcPr>
            <w:tcW w:w="1960" w:type="dxa"/>
            <w:tcBorders>
              <w:top w:val="nil"/>
              <w:left w:val="nil"/>
              <w:bottom w:val="single" w:sz="4" w:space="0" w:color="auto"/>
              <w:right w:val="single" w:sz="4" w:space="0" w:color="auto"/>
            </w:tcBorders>
            <w:vAlign w:val="center"/>
            <w:hideMark/>
          </w:tcPr>
          <w:p w14:paraId="5B84B1AA" w14:textId="77777777" w:rsidR="00F55740" w:rsidRPr="00F55740" w:rsidRDefault="00F55740" w:rsidP="00F55740">
            <w:pPr>
              <w:spacing w:after="0" w:line="240" w:lineRule="auto"/>
              <w:rPr>
                <w:rFonts w:ascii="Times New Roman" w:eastAsia="Times New Roman" w:hAnsi="Times New Roman" w:cs="Times New Roman"/>
                <w:color w:val="000000"/>
                <w:kern w:val="0"/>
                <w:szCs w:val="24"/>
                <w:lang w:eastAsia="en-IN"/>
                <w14:ligatures w14:val="none"/>
              </w:rPr>
            </w:pPr>
            <w:r w:rsidRPr="00F55740">
              <w:rPr>
                <w:rFonts w:ascii="Times New Roman" w:eastAsia="Times New Roman" w:hAnsi="Times New Roman" w:cs="Times New Roman"/>
                <w:color w:val="000000"/>
                <w:kern w:val="0"/>
                <w:szCs w:val="24"/>
                <w:lang w:eastAsia="en-IN"/>
                <w14:ligatures w14:val="none"/>
              </w:rPr>
              <w:t>1966-67</w:t>
            </w:r>
          </w:p>
        </w:tc>
        <w:tc>
          <w:tcPr>
            <w:tcW w:w="1527" w:type="dxa"/>
            <w:tcBorders>
              <w:top w:val="nil"/>
              <w:left w:val="nil"/>
              <w:bottom w:val="single" w:sz="4" w:space="0" w:color="auto"/>
              <w:right w:val="single" w:sz="4" w:space="0" w:color="auto"/>
            </w:tcBorders>
            <w:vAlign w:val="center"/>
            <w:hideMark/>
          </w:tcPr>
          <w:p w14:paraId="0CA0A6F8" w14:textId="77777777" w:rsidR="00F55740" w:rsidRPr="00F55740" w:rsidRDefault="00F55740" w:rsidP="00F55740">
            <w:pPr>
              <w:spacing w:after="0" w:line="240" w:lineRule="auto"/>
              <w:jc w:val="center"/>
              <w:rPr>
                <w:rFonts w:ascii="Times New Roman" w:eastAsia="Times New Roman" w:hAnsi="Times New Roman" w:cs="Times New Roman"/>
                <w:color w:val="000000"/>
                <w:kern w:val="0"/>
                <w:szCs w:val="24"/>
                <w:lang w:eastAsia="en-IN"/>
                <w14:ligatures w14:val="none"/>
              </w:rPr>
            </w:pPr>
            <w:r w:rsidRPr="00F55740">
              <w:rPr>
                <w:rFonts w:ascii="Times New Roman" w:eastAsia="Times New Roman" w:hAnsi="Times New Roman" w:cs="Times New Roman"/>
                <w:color w:val="000000"/>
                <w:kern w:val="0"/>
                <w:szCs w:val="24"/>
                <w:lang w:eastAsia="en-IN"/>
                <w14:ligatures w14:val="none"/>
              </w:rPr>
              <w:t>1778</w:t>
            </w:r>
          </w:p>
        </w:tc>
        <w:tc>
          <w:tcPr>
            <w:tcW w:w="1528" w:type="dxa"/>
            <w:tcBorders>
              <w:top w:val="nil"/>
              <w:left w:val="nil"/>
              <w:bottom w:val="single" w:sz="4" w:space="0" w:color="auto"/>
              <w:right w:val="single" w:sz="4" w:space="0" w:color="auto"/>
            </w:tcBorders>
            <w:vAlign w:val="center"/>
            <w:hideMark/>
          </w:tcPr>
          <w:p w14:paraId="0A323444" w14:textId="77777777" w:rsidR="00F55740" w:rsidRPr="00F55740" w:rsidRDefault="00F55740" w:rsidP="00F55740">
            <w:pPr>
              <w:spacing w:after="0" w:line="240" w:lineRule="auto"/>
              <w:jc w:val="center"/>
              <w:rPr>
                <w:rFonts w:ascii="Times New Roman" w:eastAsia="Times New Roman" w:hAnsi="Times New Roman" w:cs="Times New Roman"/>
                <w:color w:val="000000"/>
                <w:kern w:val="0"/>
                <w:szCs w:val="24"/>
                <w:lang w:eastAsia="en-IN"/>
                <w14:ligatures w14:val="none"/>
              </w:rPr>
            </w:pPr>
            <w:r w:rsidRPr="00F55740">
              <w:rPr>
                <w:rFonts w:ascii="Times New Roman" w:eastAsia="Times New Roman" w:hAnsi="Times New Roman" w:cs="Times New Roman"/>
                <w:color w:val="000000"/>
                <w:kern w:val="0"/>
                <w:szCs w:val="24"/>
                <w:lang w:eastAsia="en-IN"/>
                <w14:ligatures w14:val="none"/>
              </w:rPr>
              <w:t>1328</w:t>
            </w:r>
          </w:p>
        </w:tc>
        <w:tc>
          <w:tcPr>
            <w:tcW w:w="1731" w:type="dxa"/>
            <w:tcBorders>
              <w:top w:val="nil"/>
              <w:left w:val="nil"/>
              <w:bottom w:val="single" w:sz="4" w:space="0" w:color="auto"/>
              <w:right w:val="single" w:sz="4" w:space="0" w:color="auto"/>
            </w:tcBorders>
            <w:vAlign w:val="center"/>
            <w:hideMark/>
          </w:tcPr>
          <w:p w14:paraId="430BC2B6" w14:textId="77777777" w:rsidR="00F55740" w:rsidRPr="00F55740" w:rsidRDefault="00F55740" w:rsidP="00F55740">
            <w:pPr>
              <w:spacing w:after="0" w:line="240" w:lineRule="auto"/>
              <w:jc w:val="center"/>
              <w:rPr>
                <w:rFonts w:ascii="Times New Roman" w:eastAsia="Times New Roman" w:hAnsi="Times New Roman" w:cs="Times New Roman"/>
                <w:color w:val="000000"/>
                <w:kern w:val="0"/>
                <w:szCs w:val="24"/>
                <w:lang w:eastAsia="en-IN"/>
                <w14:ligatures w14:val="none"/>
              </w:rPr>
            </w:pPr>
            <w:r w:rsidRPr="00F55740">
              <w:rPr>
                <w:rFonts w:ascii="Times New Roman" w:eastAsia="Times New Roman" w:hAnsi="Times New Roman" w:cs="Times New Roman"/>
                <w:color w:val="000000"/>
                <w:kern w:val="0"/>
                <w:szCs w:val="24"/>
                <w:lang w:eastAsia="en-IN"/>
                <w14:ligatures w14:val="none"/>
              </w:rPr>
              <w:t>91</w:t>
            </w:r>
          </w:p>
        </w:tc>
        <w:tc>
          <w:tcPr>
            <w:tcW w:w="1435" w:type="dxa"/>
            <w:tcBorders>
              <w:top w:val="nil"/>
              <w:left w:val="nil"/>
              <w:bottom w:val="single" w:sz="4" w:space="0" w:color="auto"/>
              <w:right w:val="single" w:sz="4" w:space="0" w:color="auto"/>
            </w:tcBorders>
            <w:vAlign w:val="center"/>
            <w:hideMark/>
          </w:tcPr>
          <w:p w14:paraId="353987D3" w14:textId="77777777" w:rsidR="00F55740" w:rsidRPr="00F55740" w:rsidRDefault="00F55740" w:rsidP="00F55740">
            <w:pPr>
              <w:spacing w:after="0" w:line="240" w:lineRule="auto"/>
              <w:jc w:val="center"/>
              <w:rPr>
                <w:rFonts w:ascii="Times New Roman" w:eastAsia="Times New Roman" w:hAnsi="Times New Roman" w:cs="Times New Roman"/>
                <w:color w:val="000000"/>
                <w:kern w:val="0"/>
                <w:szCs w:val="24"/>
                <w:lang w:eastAsia="en-IN"/>
                <w14:ligatures w14:val="none"/>
              </w:rPr>
            </w:pPr>
            <w:r w:rsidRPr="00F55740">
              <w:rPr>
                <w:rFonts w:ascii="Times New Roman" w:eastAsia="Times New Roman" w:hAnsi="Times New Roman" w:cs="Times New Roman"/>
                <w:color w:val="000000"/>
                <w:kern w:val="0"/>
                <w:szCs w:val="24"/>
                <w:lang w:eastAsia="en-IN"/>
                <w14:ligatures w14:val="none"/>
              </w:rPr>
              <w:t>3197</w:t>
            </w:r>
          </w:p>
        </w:tc>
      </w:tr>
      <w:tr w:rsidR="00F55740" w:rsidRPr="00F55740" w14:paraId="72ED5756" w14:textId="77777777" w:rsidTr="00F55740">
        <w:trPr>
          <w:trHeight w:val="20"/>
        </w:trPr>
        <w:tc>
          <w:tcPr>
            <w:tcW w:w="846" w:type="dxa"/>
            <w:tcBorders>
              <w:top w:val="nil"/>
              <w:left w:val="single" w:sz="4" w:space="0" w:color="auto"/>
              <w:bottom w:val="single" w:sz="4" w:space="0" w:color="auto"/>
              <w:right w:val="single" w:sz="4" w:space="0" w:color="auto"/>
            </w:tcBorders>
            <w:vAlign w:val="center"/>
            <w:hideMark/>
          </w:tcPr>
          <w:p w14:paraId="0EF335B3" w14:textId="77777777" w:rsidR="00F55740" w:rsidRPr="00F55740" w:rsidRDefault="00F55740" w:rsidP="00F55740">
            <w:pPr>
              <w:spacing w:after="0" w:line="240" w:lineRule="auto"/>
              <w:jc w:val="right"/>
              <w:rPr>
                <w:rFonts w:ascii="Times New Roman" w:eastAsia="Times New Roman" w:hAnsi="Times New Roman" w:cs="Times New Roman"/>
                <w:color w:val="000000"/>
                <w:kern w:val="0"/>
                <w:szCs w:val="24"/>
                <w:lang w:eastAsia="en-IN"/>
                <w14:ligatures w14:val="none"/>
              </w:rPr>
            </w:pPr>
            <w:r w:rsidRPr="00F55740">
              <w:rPr>
                <w:rFonts w:ascii="Times New Roman" w:eastAsia="Times New Roman" w:hAnsi="Times New Roman" w:cs="Times New Roman"/>
                <w:color w:val="000000"/>
                <w:kern w:val="0"/>
                <w:szCs w:val="24"/>
                <w:lang w:eastAsia="en-IN"/>
                <w14:ligatures w14:val="none"/>
              </w:rPr>
              <w:t>10</w:t>
            </w:r>
          </w:p>
        </w:tc>
        <w:tc>
          <w:tcPr>
            <w:tcW w:w="1960" w:type="dxa"/>
            <w:tcBorders>
              <w:top w:val="nil"/>
              <w:left w:val="nil"/>
              <w:bottom w:val="single" w:sz="4" w:space="0" w:color="auto"/>
              <w:right w:val="single" w:sz="4" w:space="0" w:color="auto"/>
            </w:tcBorders>
            <w:vAlign w:val="center"/>
            <w:hideMark/>
          </w:tcPr>
          <w:p w14:paraId="235FD465" w14:textId="77777777" w:rsidR="00F55740" w:rsidRPr="00F55740" w:rsidRDefault="00F55740" w:rsidP="00F55740">
            <w:pPr>
              <w:spacing w:after="0" w:line="240" w:lineRule="auto"/>
              <w:rPr>
                <w:rFonts w:ascii="Times New Roman" w:eastAsia="Times New Roman" w:hAnsi="Times New Roman" w:cs="Times New Roman"/>
                <w:color w:val="000000"/>
                <w:kern w:val="0"/>
                <w:szCs w:val="24"/>
                <w:lang w:eastAsia="en-IN"/>
                <w14:ligatures w14:val="none"/>
              </w:rPr>
            </w:pPr>
            <w:r w:rsidRPr="00F55740">
              <w:rPr>
                <w:rFonts w:ascii="Times New Roman" w:eastAsia="Times New Roman" w:hAnsi="Times New Roman" w:cs="Times New Roman"/>
                <w:color w:val="000000"/>
                <w:kern w:val="0"/>
                <w:szCs w:val="24"/>
                <w:lang w:eastAsia="en-IN"/>
                <w14:ligatures w14:val="none"/>
              </w:rPr>
              <w:t>TOTAL</w:t>
            </w:r>
          </w:p>
        </w:tc>
        <w:tc>
          <w:tcPr>
            <w:tcW w:w="1527" w:type="dxa"/>
            <w:tcBorders>
              <w:top w:val="nil"/>
              <w:left w:val="nil"/>
              <w:bottom w:val="single" w:sz="4" w:space="0" w:color="auto"/>
              <w:right w:val="single" w:sz="4" w:space="0" w:color="auto"/>
            </w:tcBorders>
            <w:vAlign w:val="center"/>
            <w:hideMark/>
          </w:tcPr>
          <w:p w14:paraId="2E63DB4B" w14:textId="51070F87" w:rsidR="00F55740" w:rsidRPr="00F55740" w:rsidRDefault="00F55740" w:rsidP="00F55740">
            <w:pPr>
              <w:spacing w:after="0" w:line="240" w:lineRule="auto"/>
              <w:jc w:val="center"/>
              <w:rPr>
                <w:rFonts w:ascii="Aptos" w:eastAsia="Times New Roman" w:hAnsi="Aptos" w:cs="Times New Roman"/>
                <w:color w:val="000000"/>
                <w:kern w:val="0"/>
                <w:szCs w:val="24"/>
                <w:lang w:eastAsia="en-IN"/>
                <w14:ligatures w14:val="none"/>
              </w:rPr>
            </w:pPr>
          </w:p>
        </w:tc>
        <w:tc>
          <w:tcPr>
            <w:tcW w:w="1528" w:type="dxa"/>
            <w:tcBorders>
              <w:top w:val="nil"/>
              <w:left w:val="nil"/>
              <w:bottom w:val="single" w:sz="4" w:space="0" w:color="auto"/>
              <w:right w:val="single" w:sz="4" w:space="0" w:color="auto"/>
            </w:tcBorders>
            <w:vAlign w:val="center"/>
            <w:hideMark/>
          </w:tcPr>
          <w:p w14:paraId="47E0935A" w14:textId="16EB9A51" w:rsidR="00F55740" w:rsidRPr="00F55740" w:rsidRDefault="00F55740" w:rsidP="00F55740">
            <w:pPr>
              <w:spacing w:after="0" w:line="240" w:lineRule="auto"/>
              <w:jc w:val="center"/>
              <w:rPr>
                <w:rFonts w:ascii="Aptos" w:eastAsia="Times New Roman" w:hAnsi="Aptos" w:cs="Times New Roman"/>
                <w:color w:val="000000"/>
                <w:kern w:val="0"/>
                <w:szCs w:val="24"/>
                <w:lang w:eastAsia="en-IN"/>
                <w14:ligatures w14:val="none"/>
              </w:rPr>
            </w:pPr>
          </w:p>
        </w:tc>
        <w:tc>
          <w:tcPr>
            <w:tcW w:w="1731" w:type="dxa"/>
            <w:tcBorders>
              <w:top w:val="nil"/>
              <w:left w:val="nil"/>
              <w:bottom w:val="single" w:sz="4" w:space="0" w:color="auto"/>
              <w:right w:val="single" w:sz="4" w:space="0" w:color="auto"/>
            </w:tcBorders>
            <w:vAlign w:val="center"/>
            <w:hideMark/>
          </w:tcPr>
          <w:p w14:paraId="0D81CC00" w14:textId="678BDAF5" w:rsidR="00F55740" w:rsidRPr="00F55740" w:rsidRDefault="00F55740" w:rsidP="00F55740">
            <w:pPr>
              <w:spacing w:after="0" w:line="240" w:lineRule="auto"/>
              <w:jc w:val="center"/>
              <w:rPr>
                <w:rFonts w:ascii="Aptos" w:eastAsia="Times New Roman" w:hAnsi="Aptos" w:cs="Times New Roman"/>
                <w:color w:val="000000"/>
                <w:kern w:val="0"/>
                <w:szCs w:val="24"/>
                <w:lang w:eastAsia="en-IN"/>
                <w14:ligatures w14:val="none"/>
              </w:rPr>
            </w:pPr>
          </w:p>
        </w:tc>
        <w:tc>
          <w:tcPr>
            <w:tcW w:w="1435" w:type="dxa"/>
            <w:tcBorders>
              <w:top w:val="nil"/>
              <w:left w:val="nil"/>
              <w:bottom w:val="single" w:sz="4" w:space="0" w:color="auto"/>
              <w:right w:val="single" w:sz="4" w:space="0" w:color="auto"/>
            </w:tcBorders>
            <w:vAlign w:val="center"/>
            <w:hideMark/>
          </w:tcPr>
          <w:p w14:paraId="477BC97B" w14:textId="7B5BD86B" w:rsidR="00F55740" w:rsidRPr="00F55740" w:rsidRDefault="00F55740" w:rsidP="00F55740">
            <w:pPr>
              <w:spacing w:after="0" w:line="240" w:lineRule="auto"/>
              <w:jc w:val="center"/>
              <w:rPr>
                <w:rFonts w:ascii="Aptos" w:eastAsia="Times New Roman" w:hAnsi="Aptos" w:cs="Times New Roman"/>
                <w:color w:val="000000"/>
                <w:kern w:val="0"/>
                <w:szCs w:val="24"/>
                <w:lang w:eastAsia="en-IN"/>
                <w14:ligatures w14:val="none"/>
              </w:rPr>
            </w:pPr>
          </w:p>
        </w:tc>
      </w:tr>
      <w:tr w:rsidR="00F55740" w:rsidRPr="00F55740" w14:paraId="6CBFA33B" w14:textId="77777777" w:rsidTr="00F55740">
        <w:trPr>
          <w:trHeight w:val="20"/>
        </w:trPr>
        <w:tc>
          <w:tcPr>
            <w:tcW w:w="846" w:type="dxa"/>
            <w:tcBorders>
              <w:top w:val="nil"/>
              <w:left w:val="single" w:sz="4" w:space="0" w:color="auto"/>
              <w:bottom w:val="single" w:sz="4" w:space="0" w:color="auto"/>
              <w:right w:val="single" w:sz="4" w:space="0" w:color="auto"/>
            </w:tcBorders>
            <w:vAlign w:val="center"/>
            <w:hideMark/>
          </w:tcPr>
          <w:p w14:paraId="163C6E6A" w14:textId="77777777" w:rsidR="00F55740" w:rsidRPr="00F55740" w:rsidRDefault="00F55740" w:rsidP="00F55740">
            <w:pPr>
              <w:spacing w:after="0" w:line="240" w:lineRule="auto"/>
              <w:rPr>
                <w:rFonts w:ascii="Times New Roman" w:eastAsia="Times New Roman" w:hAnsi="Times New Roman" w:cs="Times New Roman"/>
                <w:color w:val="000000"/>
                <w:kern w:val="0"/>
                <w:szCs w:val="24"/>
                <w:lang w:eastAsia="en-IN"/>
                <w14:ligatures w14:val="none"/>
              </w:rPr>
            </w:pPr>
            <w:r w:rsidRPr="00F55740">
              <w:rPr>
                <w:rFonts w:ascii="Times New Roman" w:eastAsia="Times New Roman" w:hAnsi="Times New Roman" w:cs="Times New Roman"/>
                <w:color w:val="000000"/>
                <w:kern w:val="0"/>
                <w:szCs w:val="24"/>
                <w:lang w:eastAsia="en-IN"/>
                <w14:ligatures w14:val="none"/>
              </w:rPr>
              <w:t> </w:t>
            </w:r>
          </w:p>
        </w:tc>
        <w:tc>
          <w:tcPr>
            <w:tcW w:w="1960" w:type="dxa"/>
            <w:tcBorders>
              <w:top w:val="nil"/>
              <w:left w:val="nil"/>
              <w:bottom w:val="single" w:sz="4" w:space="0" w:color="auto"/>
              <w:right w:val="single" w:sz="4" w:space="0" w:color="auto"/>
            </w:tcBorders>
            <w:vAlign w:val="center"/>
            <w:hideMark/>
          </w:tcPr>
          <w:p w14:paraId="276488D7" w14:textId="77777777" w:rsidR="00F55740" w:rsidRPr="00F55740" w:rsidRDefault="00F55740" w:rsidP="00F55740">
            <w:pPr>
              <w:spacing w:after="0" w:line="240" w:lineRule="auto"/>
              <w:rPr>
                <w:rFonts w:ascii="Times New Roman" w:eastAsia="Times New Roman" w:hAnsi="Times New Roman" w:cs="Times New Roman"/>
                <w:color w:val="000000"/>
                <w:kern w:val="0"/>
                <w:szCs w:val="24"/>
                <w:lang w:eastAsia="en-IN"/>
                <w14:ligatures w14:val="none"/>
              </w:rPr>
            </w:pPr>
            <w:r w:rsidRPr="00F55740">
              <w:rPr>
                <w:rFonts w:ascii="Times New Roman" w:eastAsia="Times New Roman" w:hAnsi="Times New Roman" w:cs="Times New Roman"/>
                <w:color w:val="000000"/>
                <w:kern w:val="0"/>
                <w:szCs w:val="24"/>
                <w:lang w:eastAsia="en-IN"/>
                <w14:ligatures w14:val="none"/>
              </w:rPr>
              <w:t>1964-65</w:t>
            </w:r>
          </w:p>
        </w:tc>
        <w:tc>
          <w:tcPr>
            <w:tcW w:w="1527" w:type="dxa"/>
            <w:tcBorders>
              <w:top w:val="nil"/>
              <w:left w:val="nil"/>
              <w:bottom w:val="single" w:sz="4" w:space="0" w:color="auto"/>
              <w:right w:val="single" w:sz="4" w:space="0" w:color="auto"/>
            </w:tcBorders>
            <w:vAlign w:val="center"/>
            <w:hideMark/>
          </w:tcPr>
          <w:p w14:paraId="56E259A6" w14:textId="77777777" w:rsidR="00F55740" w:rsidRPr="00F55740" w:rsidRDefault="00F55740" w:rsidP="00F55740">
            <w:pPr>
              <w:spacing w:after="0" w:line="240" w:lineRule="auto"/>
              <w:jc w:val="center"/>
              <w:rPr>
                <w:rFonts w:ascii="Times New Roman" w:eastAsia="Times New Roman" w:hAnsi="Times New Roman" w:cs="Times New Roman"/>
                <w:color w:val="000000"/>
                <w:kern w:val="0"/>
                <w:szCs w:val="24"/>
                <w:lang w:eastAsia="en-IN"/>
                <w14:ligatures w14:val="none"/>
              </w:rPr>
            </w:pPr>
            <w:r w:rsidRPr="00F55740">
              <w:rPr>
                <w:rFonts w:ascii="Times New Roman" w:eastAsia="Times New Roman" w:hAnsi="Times New Roman" w:cs="Times New Roman"/>
                <w:color w:val="000000"/>
                <w:kern w:val="0"/>
                <w:szCs w:val="24"/>
                <w:lang w:eastAsia="en-IN"/>
                <w14:ligatures w14:val="none"/>
              </w:rPr>
              <w:t>12309</w:t>
            </w:r>
          </w:p>
        </w:tc>
        <w:tc>
          <w:tcPr>
            <w:tcW w:w="1528" w:type="dxa"/>
            <w:tcBorders>
              <w:top w:val="nil"/>
              <w:left w:val="nil"/>
              <w:bottom w:val="single" w:sz="4" w:space="0" w:color="auto"/>
              <w:right w:val="single" w:sz="4" w:space="0" w:color="auto"/>
            </w:tcBorders>
            <w:vAlign w:val="center"/>
            <w:hideMark/>
          </w:tcPr>
          <w:p w14:paraId="44962253" w14:textId="77777777" w:rsidR="00F55740" w:rsidRPr="00F55740" w:rsidRDefault="00F55740" w:rsidP="00F55740">
            <w:pPr>
              <w:spacing w:after="0" w:line="240" w:lineRule="auto"/>
              <w:jc w:val="center"/>
              <w:rPr>
                <w:rFonts w:ascii="Times New Roman" w:eastAsia="Times New Roman" w:hAnsi="Times New Roman" w:cs="Times New Roman"/>
                <w:color w:val="000000"/>
                <w:kern w:val="0"/>
                <w:szCs w:val="24"/>
                <w:lang w:eastAsia="en-IN"/>
                <w14:ligatures w14:val="none"/>
              </w:rPr>
            </w:pPr>
            <w:r w:rsidRPr="00F55740">
              <w:rPr>
                <w:rFonts w:ascii="Times New Roman" w:eastAsia="Times New Roman" w:hAnsi="Times New Roman" w:cs="Times New Roman"/>
                <w:color w:val="000000"/>
                <w:kern w:val="0"/>
                <w:szCs w:val="24"/>
                <w:lang w:eastAsia="en-IN"/>
                <w14:ligatures w14:val="none"/>
              </w:rPr>
              <w:t>5542</w:t>
            </w:r>
          </w:p>
        </w:tc>
        <w:tc>
          <w:tcPr>
            <w:tcW w:w="1731" w:type="dxa"/>
            <w:tcBorders>
              <w:top w:val="nil"/>
              <w:left w:val="nil"/>
              <w:bottom w:val="single" w:sz="4" w:space="0" w:color="auto"/>
              <w:right w:val="single" w:sz="4" w:space="0" w:color="auto"/>
            </w:tcBorders>
            <w:vAlign w:val="center"/>
            <w:hideMark/>
          </w:tcPr>
          <w:p w14:paraId="4EAFAF01" w14:textId="77777777" w:rsidR="00F55740" w:rsidRPr="00F55740" w:rsidRDefault="00F55740" w:rsidP="00F55740">
            <w:pPr>
              <w:spacing w:after="0" w:line="240" w:lineRule="auto"/>
              <w:jc w:val="center"/>
              <w:rPr>
                <w:rFonts w:ascii="Times New Roman" w:eastAsia="Times New Roman" w:hAnsi="Times New Roman" w:cs="Times New Roman"/>
                <w:color w:val="000000"/>
                <w:kern w:val="0"/>
                <w:szCs w:val="24"/>
                <w:lang w:eastAsia="en-IN"/>
                <w14:ligatures w14:val="none"/>
              </w:rPr>
            </w:pPr>
            <w:r w:rsidRPr="00F55740">
              <w:rPr>
                <w:rFonts w:ascii="Times New Roman" w:eastAsia="Times New Roman" w:hAnsi="Times New Roman" w:cs="Times New Roman"/>
                <w:color w:val="000000"/>
                <w:kern w:val="0"/>
                <w:szCs w:val="24"/>
                <w:lang w:eastAsia="en-IN"/>
                <w14:ligatures w14:val="none"/>
              </w:rPr>
              <w:t>279</w:t>
            </w:r>
          </w:p>
        </w:tc>
        <w:tc>
          <w:tcPr>
            <w:tcW w:w="1435" w:type="dxa"/>
            <w:tcBorders>
              <w:top w:val="nil"/>
              <w:left w:val="nil"/>
              <w:bottom w:val="single" w:sz="4" w:space="0" w:color="auto"/>
              <w:right w:val="single" w:sz="4" w:space="0" w:color="auto"/>
            </w:tcBorders>
            <w:vAlign w:val="center"/>
            <w:hideMark/>
          </w:tcPr>
          <w:p w14:paraId="44D9A5EF" w14:textId="77777777" w:rsidR="00F55740" w:rsidRPr="00F55740" w:rsidRDefault="00F55740" w:rsidP="00F55740">
            <w:pPr>
              <w:spacing w:after="0" w:line="240" w:lineRule="auto"/>
              <w:jc w:val="center"/>
              <w:rPr>
                <w:rFonts w:ascii="Times New Roman" w:eastAsia="Times New Roman" w:hAnsi="Times New Roman" w:cs="Times New Roman"/>
                <w:color w:val="000000"/>
                <w:kern w:val="0"/>
                <w:szCs w:val="24"/>
                <w:lang w:eastAsia="en-IN"/>
                <w14:ligatures w14:val="none"/>
              </w:rPr>
            </w:pPr>
            <w:r w:rsidRPr="00F55740">
              <w:rPr>
                <w:rFonts w:ascii="Times New Roman" w:eastAsia="Times New Roman" w:hAnsi="Times New Roman" w:cs="Times New Roman"/>
                <w:color w:val="000000"/>
                <w:kern w:val="0"/>
                <w:szCs w:val="24"/>
                <w:lang w:eastAsia="en-IN"/>
                <w14:ligatures w14:val="none"/>
              </w:rPr>
              <w:t>18130</w:t>
            </w:r>
          </w:p>
        </w:tc>
      </w:tr>
      <w:tr w:rsidR="00F55740" w:rsidRPr="00F55740" w14:paraId="5B46E47D" w14:textId="77777777" w:rsidTr="00F55740">
        <w:trPr>
          <w:trHeight w:val="20"/>
        </w:trPr>
        <w:tc>
          <w:tcPr>
            <w:tcW w:w="846" w:type="dxa"/>
            <w:tcBorders>
              <w:top w:val="nil"/>
              <w:left w:val="single" w:sz="4" w:space="0" w:color="auto"/>
              <w:bottom w:val="single" w:sz="4" w:space="0" w:color="auto"/>
              <w:right w:val="single" w:sz="4" w:space="0" w:color="auto"/>
            </w:tcBorders>
            <w:vAlign w:val="center"/>
            <w:hideMark/>
          </w:tcPr>
          <w:p w14:paraId="0EE5ED5F" w14:textId="77777777" w:rsidR="00F55740" w:rsidRPr="00F55740" w:rsidRDefault="00F55740" w:rsidP="00F55740">
            <w:pPr>
              <w:spacing w:after="0" w:line="240" w:lineRule="auto"/>
              <w:rPr>
                <w:rFonts w:ascii="Times New Roman" w:eastAsia="Times New Roman" w:hAnsi="Times New Roman" w:cs="Times New Roman"/>
                <w:color w:val="000000"/>
                <w:kern w:val="0"/>
                <w:szCs w:val="24"/>
                <w:lang w:eastAsia="en-IN"/>
                <w14:ligatures w14:val="none"/>
              </w:rPr>
            </w:pPr>
            <w:r w:rsidRPr="00F55740">
              <w:rPr>
                <w:rFonts w:ascii="Times New Roman" w:eastAsia="Times New Roman" w:hAnsi="Times New Roman" w:cs="Times New Roman"/>
                <w:color w:val="000000"/>
                <w:kern w:val="0"/>
                <w:szCs w:val="24"/>
                <w:lang w:eastAsia="en-IN"/>
                <w14:ligatures w14:val="none"/>
              </w:rPr>
              <w:t> </w:t>
            </w:r>
          </w:p>
        </w:tc>
        <w:tc>
          <w:tcPr>
            <w:tcW w:w="1960" w:type="dxa"/>
            <w:tcBorders>
              <w:top w:val="nil"/>
              <w:left w:val="nil"/>
              <w:bottom w:val="single" w:sz="4" w:space="0" w:color="auto"/>
              <w:right w:val="single" w:sz="4" w:space="0" w:color="auto"/>
            </w:tcBorders>
            <w:vAlign w:val="center"/>
            <w:hideMark/>
          </w:tcPr>
          <w:p w14:paraId="25D00E62" w14:textId="77777777" w:rsidR="00F55740" w:rsidRPr="00F55740" w:rsidRDefault="00F55740" w:rsidP="00F55740">
            <w:pPr>
              <w:spacing w:after="0" w:line="240" w:lineRule="auto"/>
              <w:rPr>
                <w:rFonts w:ascii="Times New Roman" w:eastAsia="Times New Roman" w:hAnsi="Times New Roman" w:cs="Times New Roman"/>
                <w:color w:val="000000"/>
                <w:kern w:val="0"/>
                <w:szCs w:val="24"/>
                <w:lang w:eastAsia="en-IN"/>
                <w14:ligatures w14:val="none"/>
              </w:rPr>
            </w:pPr>
            <w:r w:rsidRPr="00F55740">
              <w:rPr>
                <w:rFonts w:ascii="Times New Roman" w:eastAsia="Times New Roman" w:hAnsi="Times New Roman" w:cs="Times New Roman"/>
                <w:color w:val="000000"/>
                <w:kern w:val="0"/>
                <w:szCs w:val="24"/>
                <w:lang w:eastAsia="en-IN"/>
                <w14:ligatures w14:val="none"/>
              </w:rPr>
              <w:t>1965-66</w:t>
            </w:r>
          </w:p>
        </w:tc>
        <w:tc>
          <w:tcPr>
            <w:tcW w:w="1527" w:type="dxa"/>
            <w:tcBorders>
              <w:top w:val="nil"/>
              <w:left w:val="nil"/>
              <w:bottom w:val="single" w:sz="4" w:space="0" w:color="auto"/>
              <w:right w:val="single" w:sz="4" w:space="0" w:color="auto"/>
            </w:tcBorders>
            <w:vAlign w:val="center"/>
            <w:hideMark/>
          </w:tcPr>
          <w:p w14:paraId="39C49A45" w14:textId="77777777" w:rsidR="00F55740" w:rsidRPr="00F55740" w:rsidRDefault="00F55740" w:rsidP="00F55740">
            <w:pPr>
              <w:spacing w:after="0" w:line="240" w:lineRule="auto"/>
              <w:jc w:val="center"/>
              <w:rPr>
                <w:rFonts w:ascii="Times New Roman" w:eastAsia="Times New Roman" w:hAnsi="Times New Roman" w:cs="Times New Roman"/>
                <w:color w:val="000000"/>
                <w:kern w:val="0"/>
                <w:szCs w:val="24"/>
                <w:lang w:eastAsia="en-IN"/>
                <w14:ligatures w14:val="none"/>
              </w:rPr>
            </w:pPr>
            <w:r w:rsidRPr="00F55740">
              <w:rPr>
                <w:rFonts w:ascii="Times New Roman" w:eastAsia="Times New Roman" w:hAnsi="Times New Roman" w:cs="Times New Roman"/>
                <w:color w:val="000000"/>
                <w:kern w:val="0"/>
                <w:szCs w:val="24"/>
                <w:lang w:eastAsia="en-IN"/>
                <w14:ligatures w14:val="none"/>
              </w:rPr>
              <w:t>13537</w:t>
            </w:r>
          </w:p>
        </w:tc>
        <w:tc>
          <w:tcPr>
            <w:tcW w:w="1528" w:type="dxa"/>
            <w:tcBorders>
              <w:top w:val="nil"/>
              <w:left w:val="nil"/>
              <w:bottom w:val="single" w:sz="4" w:space="0" w:color="auto"/>
              <w:right w:val="single" w:sz="4" w:space="0" w:color="auto"/>
            </w:tcBorders>
            <w:vAlign w:val="center"/>
            <w:hideMark/>
          </w:tcPr>
          <w:p w14:paraId="465F2CA5" w14:textId="77777777" w:rsidR="00F55740" w:rsidRPr="00F55740" w:rsidRDefault="00F55740" w:rsidP="00F55740">
            <w:pPr>
              <w:spacing w:after="0" w:line="240" w:lineRule="auto"/>
              <w:jc w:val="center"/>
              <w:rPr>
                <w:rFonts w:ascii="Times New Roman" w:eastAsia="Times New Roman" w:hAnsi="Times New Roman" w:cs="Times New Roman"/>
                <w:color w:val="000000"/>
                <w:kern w:val="0"/>
                <w:szCs w:val="24"/>
                <w:lang w:eastAsia="en-IN"/>
                <w14:ligatures w14:val="none"/>
              </w:rPr>
            </w:pPr>
            <w:r w:rsidRPr="00F55740">
              <w:rPr>
                <w:rFonts w:ascii="Times New Roman" w:eastAsia="Times New Roman" w:hAnsi="Times New Roman" w:cs="Times New Roman"/>
                <w:color w:val="000000"/>
                <w:kern w:val="0"/>
                <w:szCs w:val="24"/>
                <w:lang w:eastAsia="en-IN"/>
                <w14:ligatures w14:val="none"/>
              </w:rPr>
              <w:t>6079</w:t>
            </w:r>
          </w:p>
        </w:tc>
        <w:tc>
          <w:tcPr>
            <w:tcW w:w="1731" w:type="dxa"/>
            <w:tcBorders>
              <w:top w:val="nil"/>
              <w:left w:val="nil"/>
              <w:bottom w:val="single" w:sz="4" w:space="0" w:color="auto"/>
              <w:right w:val="single" w:sz="4" w:space="0" w:color="auto"/>
            </w:tcBorders>
            <w:vAlign w:val="center"/>
            <w:hideMark/>
          </w:tcPr>
          <w:p w14:paraId="4C409F24" w14:textId="77777777" w:rsidR="00F55740" w:rsidRPr="00F55740" w:rsidRDefault="00F55740" w:rsidP="00F55740">
            <w:pPr>
              <w:spacing w:after="0" w:line="240" w:lineRule="auto"/>
              <w:jc w:val="center"/>
              <w:rPr>
                <w:rFonts w:ascii="Times New Roman" w:eastAsia="Times New Roman" w:hAnsi="Times New Roman" w:cs="Times New Roman"/>
                <w:color w:val="000000"/>
                <w:kern w:val="0"/>
                <w:szCs w:val="24"/>
                <w:lang w:eastAsia="en-IN"/>
                <w14:ligatures w14:val="none"/>
              </w:rPr>
            </w:pPr>
            <w:r w:rsidRPr="00F55740">
              <w:rPr>
                <w:rFonts w:ascii="Times New Roman" w:eastAsia="Times New Roman" w:hAnsi="Times New Roman" w:cs="Times New Roman"/>
                <w:color w:val="000000"/>
                <w:kern w:val="0"/>
                <w:szCs w:val="24"/>
                <w:lang w:eastAsia="en-IN"/>
                <w14:ligatures w14:val="none"/>
              </w:rPr>
              <w:t>295</w:t>
            </w:r>
          </w:p>
        </w:tc>
        <w:tc>
          <w:tcPr>
            <w:tcW w:w="1435" w:type="dxa"/>
            <w:tcBorders>
              <w:top w:val="nil"/>
              <w:left w:val="nil"/>
              <w:bottom w:val="single" w:sz="4" w:space="0" w:color="auto"/>
              <w:right w:val="single" w:sz="4" w:space="0" w:color="auto"/>
            </w:tcBorders>
            <w:vAlign w:val="center"/>
            <w:hideMark/>
          </w:tcPr>
          <w:p w14:paraId="662602D0" w14:textId="77777777" w:rsidR="00F55740" w:rsidRPr="00F55740" w:rsidRDefault="00F55740" w:rsidP="00F55740">
            <w:pPr>
              <w:spacing w:after="0" w:line="240" w:lineRule="auto"/>
              <w:jc w:val="center"/>
              <w:rPr>
                <w:rFonts w:ascii="Times New Roman" w:eastAsia="Times New Roman" w:hAnsi="Times New Roman" w:cs="Times New Roman"/>
                <w:color w:val="000000"/>
                <w:kern w:val="0"/>
                <w:szCs w:val="24"/>
                <w:lang w:eastAsia="en-IN"/>
                <w14:ligatures w14:val="none"/>
              </w:rPr>
            </w:pPr>
            <w:r w:rsidRPr="00F55740">
              <w:rPr>
                <w:rFonts w:ascii="Times New Roman" w:eastAsia="Times New Roman" w:hAnsi="Times New Roman" w:cs="Times New Roman"/>
                <w:color w:val="000000"/>
                <w:kern w:val="0"/>
                <w:szCs w:val="24"/>
                <w:lang w:eastAsia="en-IN"/>
                <w14:ligatures w14:val="none"/>
              </w:rPr>
              <w:t>19911</w:t>
            </w:r>
          </w:p>
        </w:tc>
      </w:tr>
      <w:tr w:rsidR="00F55740" w:rsidRPr="00F55740" w14:paraId="019E06CC" w14:textId="77777777" w:rsidTr="00F55740">
        <w:trPr>
          <w:trHeight w:val="20"/>
        </w:trPr>
        <w:tc>
          <w:tcPr>
            <w:tcW w:w="846" w:type="dxa"/>
            <w:tcBorders>
              <w:top w:val="nil"/>
              <w:left w:val="single" w:sz="4" w:space="0" w:color="auto"/>
              <w:bottom w:val="single" w:sz="4" w:space="0" w:color="auto"/>
              <w:right w:val="single" w:sz="4" w:space="0" w:color="auto"/>
            </w:tcBorders>
            <w:vAlign w:val="center"/>
            <w:hideMark/>
          </w:tcPr>
          <w:p w14:paraId="49B88413" w14:textId="77777777" w:rsidR="00F55740" w:rsidRPr="00F55740" w:rsidRDefault="00F55740" w:rsidP="00F55740">
            <w:pPr>
              <w:spacing w:after="0" w:line="240" w:lineRule="auto"/>
              <w:rPr>
                <w:rFonts w:ascii="Times New Roman" w:eastAsia="Times New Roman" w:hAnsi="Times New Roman" w:cs="Times New Roman"/>
                <w:color w:val="000000"/>
                <w:kern w:val="0"/>
                <w:szCs w:val="24"/>
                <w:lang w:eastAsia="en-IN"/>
                <w14:ligatures w14:val="none"/>
              </w:rPr>
            </w:pPr>
            <w:r w:rsidRPr="00F55740">
              <w:rPr>
                <w:rFonts w:ascii="Times New Roman" w:eastAsia="Times New Roman" w:hAnsi="Times New Roman" w:cs="Times New Roman"/>
                <w:color w:val="000000"/>
                <w:kern w:val="0"/>
                <w:szCs w:val="24"/>
                <w:lang w:eastAsia="en-IN"/>
                <w14:ligatures w14:val="none"/>
              </w:rPr>
              <w:t> </w:t>
            </w:r>
          </w:p>
        </w:tc>
        <w:tc>
          <w:tcPr>
            <w:tcW w:w="1960" w:type="dxa"/>
            <w:tcBorders>
              <w:top w:val="nil"/>
              <w:left w:val="nil"/>
              <w:bottom w:val="single" w:sz="4" w:space="0" w:color="auto"/>
              <w:right w:val="single" w:sz="4" w:space="0" w:color="auto"/>
            </w:tcBorders>
            <w:vAlign w:val="center"/>
            <w:hideMark/>
          </w:tcPr>
          <w:p w14:paraId="46AF9FA0" w14:textId="77777777" w:rsidR="00F55740" w:rsidRPr="00F55740" w:rsidRDefault="00F55740" w:rsidP="00F55740">
            <w:pPr>
              <w:spacing w:after="0" w:line="240" w:lineRule="auto"/>
              <w:rPr>
                <w:rFonts w:ascii="Times New Roman" w:eastAsia="Times New Roman" w:hAnsi="Times New Roman" w:cs="Times New Roman"/>
                <w:color w:val="000000"/>
                <w:kern w:val="0"/>
                <w:szCs w:val="24"/>
                <w:lang w:eastAsia="en-IN"/>
                <w14:ligatures w14:val="none"/>
              </w:rPr>
            </w:pPr>
            <w:r w:rsidRPr="00F55740">
              <w:rPr>
                <w:rFonts w:ascii="Times New Roman" w:eastAsia="Times New Roman" w:hAnsi="Times New Roman" w:cs="Times New Roman"/>
                <w:color w:val="000000"/>
                <w:kern w:val="0"/>
                <w:szCs w:val="24"/>
                <w:lang w:eastAsia="en-IN"/>
                <w14:ligatures w14:val="none"/>
              </w:rPr>
              <w:t>1966-67</w:t>
            </w:r>
          </w:p>
        </w:tc>
        <w:tc>
          <w:tcPr>
            <w:tcW w:w="1527" w:type="dxa"/>
            <w:tcBorders>
              <w:top w:val="nil"/>
              <w:left w:val="nil"/>
              <w:bottom w:val="single" w:sz="4" w:space="0" w:color="auto"/>
              <w:right w:val="single" w:sz="4" w:space="0" w:color="auto"/>
            </w:tcBorders>
            <w:vAlign w:val="center"/>
            <w:hideMark/>
          </w:tcPr>
          <w:p w14:paraId="5A8B84FB" w14:textId="77777777" w:rsidR="00F55740" w:rsidRPr="00F55740" w:rsidRDefault="00F55740" w:rsidP="00F55740">
            <w:pPr>
              <w:spacing w:after="0" w:line="240" w:lineRule="auto"/>
              <w:jc w:val="center"/>
              <w:rPr>
                <w:rFonts w:ascii="Times New Roman" w:eastAsia="Times New Roman" w:hAnsi="Times New Roman" w:cs="Times New Roman"/>
                <w:color w:val="000000"/>
                <w:kern w:val="0"/>
                <w:szCs w:val="24"/>
                <w:lang w:eastAsia="en-IN"/>
                <w14:ligatures w14:val="none"/>
              </w:rPr>
            </w:pPr>
            <w:r w:rsidRPr="00F55740">
              <w:rPr>
                <w:rFonts w:ascii="Times New Roman" w:eastAsia="Times New Roman" w:hAnsi="Times New Roman" w:cs="Times New Roman"/>
                <w:color w:val="000000"/>
                <w:kern w:val="0"/>
                <w:szCs w:val="24"/>
                <w:lang w:eastAsia="en-IN"/>
                <w14:ligatures w14:val="none"/>
              </w:rPr>
              <w:t>13894</w:t>
            </w:r>
          </w:p>
        </w:tc>
        <w:tc>
          <w:tcPr>
            <w:tcW w:w="1528" w:type="dxa"/>
            <w:tcBorders>
              <w:top w:val="nil"/>
              <w:left w:val="nil"/>
              <w:bottom w:val="single" w:sz="4" w:space="0" w:color="auto"/>
              <w:right w:val="single" w:sz="4" w:space="0" w:color="auto"/>
            </w:tcBorders>
            <w:vAlign w:val="center"/>
            <w:hideMark/>
          </w:tcPr>
          <w:p w14:paraId="35797271" w14:textId="77777777" w:rsidR="00F55740" w:rsidRPr="00F55740" w:rsidRDefault="00F55740" w:rsidP="00F55740">
            <w:pPr>
              <w:spacing w:after="0" w:line="240" w:lineRule="auto"/>
              <w:jc w:val="center"/>
              <w:rPr>
                <w:rFonts w:ascii="Times New Roman" w:eastAsia="Times New Roman" w:hAnsi="Times New Roman" w:cs="Times New Roman"/>
                <w:color w:val="000000"/>
                <w:kern w:val="0"/>
                <w:szCs w:val="24"/>
                <w:lang w:eastAsia="en-IN"/>
                <w14:ligatures w14:val="none"/>
              </w:rPr>
            </w:pPr>
            <w:r w:rsidRPr="00F55740">
              <w:rPr>
                <w:rFonts w:ascii="Times New Roman" w:eastAsia="Times New Roman" w:hAnsi="Times New Roman" w:cs="Times New Roman"/>
                <w:color w:val="000000"/>
                <w:kern w:val="0"/>
                <w:szCs w:val="24"/>
                <w:lang w:eastAsia="en-IN"/>
                <w14:ligatures w14:val="none"/>
              </w:rPr>
              <w:t>6620</w:t>
            </w:r>
          </w:p>
        </w:tc>
        <w:tc>
          <w:tcPr>
            <w:tcW w:w="1731" w:type="dxa"/>
            <w:tcBorders>
              <w:top w:val="nil"/>
              <w:left w:val="nil"/>
              <w:bottom w:val="single" w:sz="4" w:space="0" w:color="auto"/>
              <w:right w:val="single" w:sz="4" w:space="0" w:color="auto"/>
            </w:tcBorders>
            <w:vAlign w:val="center"/>
            <w:hideMark/>
          </w:tcPr>
          <w:p w14:paraId="0F282A0D" w14:textId="77777777" w:rsidR="00F55740" w:rsidRPr="00F55740" w:rsidRDefault="00F55740" w:rsidP="00F55740">
            <w:pPr>
              <w:spacing w:after="0" w:line="240" w:lineRule="auto"/>
              <w:jc w:val="center"/>
              <w:rPr>
                <w:rFonts w:ascii="Times New Roman" w:eastAsia="Times New Roman" w:hAnsi="Times New Roman" w:cs="Times New Roman"/>
                <w:color w:val="000000"/>
                <w:kern w:val="0"/>
                <w:szCs w:val="24"/>
                <w:lang w:eastAsia="en-IN"/>
                <w14:ligatures w14:val="none"/>
              </w:rPr>
            </w:pPr>
            <w:r w:rsidRPr="00F55740">
              <w:rPr>
                <w:rFonts w:ascii="Times New Roman" w:eastAsia="Times New Roman" w:hAnsi="Times New Roman" w:cs="Times New Roman"/>
                <w:color w:val="000000"/>
                <w:kern w:val="0"/>
                <w:szCs w:val="24"/>
                <w:lang w:eastAsia="en-IN"/>
                <w14:ligatures w14:val="none"/>
              </w:rPr>
              <w:t>282</w:t>
            </w:r>
          </w:p>
        </w:tc>
        <w:tc>
          <w:tcPr>
            <w:tcW w:w="1435" w:type="dxa"/>
            <w:tcBorders>
              <w:top w:val="nil"/>
              <w:left w:val="nil"/>
              <w:bottom w:val="single" w:sz="4" w:space="0" w:color="auto"/>
              <w:right w:val="single" w:sz="4" w:space="0" w:color="auto"/>
            </w:tcBorders>
            <w:vAlign w:val="center"/>
            <w:hideMark/>
          </w:tcPr>
          <w:p w14:paraId="12E1F5C3" w14:textId="77777777" w:rsidR="00F55740" w:rsidRPr="00F55740" w:rsidRDefault="00F55740" w:rsidP="00F55740">
            <w:pPr>
              <w:spacing w:after="0" w:line="240" w:lineRule="auto"/>
              <w:jc w:val="center"/>
              <w:rPr>
                <w:rFonts w:ascii="Times New Roman" w:eastAsia="Times New Roman" w:hAnsi="Times New Roman" w:cs="Times New Roman"/>
                <w:color w:val="000000"/>
                <w:kern w:val="0"/>
                <w:szCs w:val="24"/>
                <w:lang w:eastAsia="en-IN"/>
                <w14:ligatures w14:val="none"/>
              </w:rPr>
            </w:pPr>
            <w:r w:rsidRPr="00F55740">
              <w:rPr>
                <w:rFonts w:ascii="Times New Roman" w:eastAsia="Times New Roman" w:hAnsi="Times New Roman" w:cs="Times New Roman"/>
                <w:color w:val="000000"/>
                <w:kern w:val="0"/>
                <w:szCs w:val="24"/>
                <w:lang w:eastAsia="en-IN"/>
                <w14:ligatures w14:val="none"/>
              </w:rPr>
              <w:t>20796</w:t>
            </w:r>
          </w:p>
        </w:tc>
      </w:tr>
    </w:tbl>
    <w:p w14:paraId="39FD3FD2" w14:textId="77777777" w:rsidR="00B33920" w:rsidRPr="00F55740" w:rsidRDefault="00B33920" w:rsidP="00F55740">
      <w:pPr>
        <w:jc w:val="both"/>
        <w:rPr>
          <w:rFonts w:ascii="Times New Roman" w:hAnsi="Times New Roman" w:cs="Times New Roman"/>
          <w:sz w:val="20"/>
          <w:szCs w:val="20"/>
        </w:rPr>
      </w:pPr>
      <w:r w:rsidRPr="00F55740">
        <w:rPr>
          <w:rFonts w:ascii="Times New Roman" w:hAnsi="Times New Roman" w:cs="Times New Roman"/>
          <w:sz w:val="20"/>
          <w:szCs w:val="20"/>
        </w:rPr>
        <w:t>*Data for 1966-67 are not comparable with those for 1964-65 and 1965-66 due to transfer of some sections to the South Central Railway on its formation on 2nd October 1966.</w:t>
      </w:r>
    </w:p>
    <w:p w14:paraId="4E13BB76" w14:textId="731A9AAD" w:rsidR="00B33920" w:rsidRPr="00F55740" w:rsidRDefault="00F55740" w:rsidP="00F55740">
      <w:pPr>
        <w:tabs>
          <w:tab w:val="left" w:pos="1803"/>
        </w:tabs>
        <w:jc w:val="both"/>
        <w:rPr>
          <w:rFonts w:ascii="Times New Roman" w:hAnsi="Times New Roman" w:cs="Times New Roman"/>
          <w:sz w:val="20"/>
          <w:szCs w:val="20"/>
        </w:rPr>
      </w:pPr>
      <w:r w:rsidRPr="00F55740">
        <w:rPr>
          <w:rFonts w:ascii="Times New Roman" w:hAnsi="Times New Roman" w:cs="Times New Roman"/>
          <w:sz w:val="20"/>
          <w:szCs w:val="20"/>
        </w:rPr>
        <w:t>*</w:t>
      </w:r>
      <w:r w:rsidR="00B33920" w:rsidRPr="00F55740">
        <w:rPr>
          <w:rFonts w:ascii="Times New Roman" w:hAnsi="Times New Roman" w:cs="Times New Roman"/>
          <w:sz w:val="20"/>
          <w:szCs w:val="20"/>
        </w:rPr>
        <w:t>*The South Central Railway was formed on 2nd October, 1966, but the data for that year 1966-67 have been</w:t>
      </w:r>
      <w:r>
        <w:rPr>
          <w:rFonts w:ascii="Times New Roman" w:hAnsi="Times New Roman" w:cs="Times New Roman"/>
          <w:sz w:val="20"/>
          <w:szCs w:val="20"/>
        </w:rPr>
        <w:t xml:space="preserve"> s</w:t>
      </w:r>
      <w:r w:rsidR="00B33920" w:rsidRPr="00F55740">
        <w:rPr>
          <w:rFonts w:ascii="Times New Roman" w:hAnsi="Times New Roman" w:cs="Times New Roman"/>
          <w:sz w:val="20"/>
          <w:szCs w:val="20"/>
        </w:rPr>
        <w:t>pecially worked out as if the Zone had been formed from 1st April, 1966.</w:t>
      </w:r>
    </w:p>
    <w:p w14:paraId="660B6F63" w14:textId="77777777" w:rsidR="00B33920" w:rsidRPr="00F55740" w:rsidRDefault="00B33920" w:rsidP="00F55740">
      <w:pPr>
        <w:tabs>
          <w:tab w:val="left" w:pos="1803"/>
        </w:tabs>
        <w:jc w:val="both"/>
        <w:rPr>
          <w:rFonts w:ascii="Times New Roman" w:hAnsi="Times New Roman" w:cs="Times New Roman"/>
          <w:sz w:val="20"/>
          <w:szCs w:val="20"/>
        </w:rPr>
      </w:pPr>
      <w:r w:rsidRPr="00F55740">
        <w:rPr>
          <w:rFonts w:ascii="Times New Roman" w:hAnsi="Times New Roman" w:cs="Times New Roman"/>
          <w:sz w:val="20"/>
          <w:szCs w:val="20"/>
        </w:rPr>
        <w:t>Source: Statistical Supplement to Railway Board Reports, 1965-66 and 1966-67.</w:t>
      </w:r>
    </w:p>
    <w:p w14:paraId="5FBD1AC8" w14:textId="77777777" w:rsidR="00B33920" w:rsidRPr="00D43584" w:rsidRDefault="00B33920" w:rsidP="00B33920">
      <w:pPr>
        <w:rPr>
          <w:rFonts w:ascii="Times New Roman" w:hAnsi="Times New Roman" w:cs="Times New Roman"/>
          <w:szCs w:val="24"/>
        </w:rPr>
      </w:pPr>
      <w:r w:rsidRPr="00D43584">
        <w:rPr>
          <w:rFonts w:ascii="Times New Roman" w:hAnsi="Times New Roman" w:cs="Times New Roman"/>
          <w:szCs w:val="24"/>
        </w:rPr>
        <w:br w:type="page"/>
      </w:r>
    </w:p>
    <w:p w14:paraId="174FAE2E" w14:textId="77777777" w:rsidR="0011190E" w:rsidRDefault="0011190E" w:rsidP="00B33920">
      <w:pPr>
        <w:tabs>
          <w:tab w:val="left" w:pos="2154"/>
        </w:tabs>
        <w:jc w:val="center"/>
        <w:rPr>
          <w:rFonts w:ascii="Times New Roman" w:hAnsi="Times New Roman" w:cs="Times New Roman"/>
          <w:szCs w:val="24"/>
        </w:rPr>
      </w:pPr>
    </w:p>
    <w:p w14:paraId="4DADCEC3" w14:textId="77777777" w:rsidR="0011190E" w:rsidRDefault="0011190E" w:rsidP="00B33920">
      <w:pPr>
        <w:tabs>
          <w:tab w:val="left" w:pos="2154"/>
        </w:tabs>
        <w:jc w:val="center"/>
        <w:rPr>
          <w:rFonts w:ascii="Times New Roman" w:hAnsi="Times New Roman" w:cs="Times New Roman"/>
          <w:szCs w:val="24"/>
        </w:rPr>
      </w:pPr>
    </w:p>
    <w:p w14:paraId="3AECD2C2" w14:textId="77777777" w:rsidR="0011190E" w:rsidRDefault="0011190E" w:rsidP="00B33920">
      <w:pPr>
        <w:tabs>
          <w:tab w:val="left" w:pos="2154"/>
        </w:tabs>
        <w:jc w:val="center"/>
        <w:rPr>
          <w:rFonts w:ascii="Times New Roman" w:hAnsi="Times New Roman" w:cs="Times New Roman"/>
          <w:szCs w:val="24"/>
        </w:rPr>
      </w:pPr>
    </w:p>
    <w:p w14:paraId="7CFFFFF4" w14:textId="77777777" w:rsidR="0011190E" w:rsidRDefault="0011190E" w:rsidP="00B33920">
      <w:pPr>
        <w:tabs>
          <w:tab w:val="left" w:pos="2154"/>
        </w:tabs>
        <w:jc w:val="center"/>
        <w:rPr>
          <w:rFonts w:ascii="Times New Roman" w:hAnsi="Times New Roman" w:cs="Times New Roman"/>
          <w:szCs w:val="24"/>
        </w:rPr>
      </w:pPr>
    </w:p>
    <w:p w14:paraId="3D54F144" w14:textId="77777777" w:rsidR="0011190E" w:rsidRDefault="0011190E" w:rsidP="00B33920">
      <w:pPr>
        <w:tabs>
          <w:tab w:val="left" w:pos="2154"/>
        </w:tabs>
        <w:jc w:val="center"/>
        <w:rPr>
          <w:rFonts w:ascii="Times New Roman" w:hAnsi="Times New Roman" w:cs="Times New Roman"/>
          <w:szCs w:val="24"/>
        </w:rPr>
      </w:pPr>
    </w:p>
    <w:p w14:paraId="0BEAD20A" w14:textId="77777777" w:rsidR="0011190E" w:rsidRDefault="0011190E" w:rsidP="00B33920">
      <w:pPr>
        <w:tabs>
          <w:tab w:val="left" w:pos="2154"/>
        </w:tabs>
        <w:jc w:val="center"/>
        <w:rPr>
          <w:rFonts w:ascii="Times New Roman" w:hAnsi="Times New Roman" w:cs="Times New Roman"/>
          <w:szCs w:val="24"/>
        </w:rPr>
      </w:pPr>
    </w:p>
    <w:p w14:paraId="73A150E8" w14:textId="77777777" w:rsidR="0011190E" w:rsidRDefault="0011190E" w:rsidP="00B33920">
      <w:pPr>
        <w:tabs>
          <w:tab w:val="left" w:pos="2154"/>
        </w:tabs>
        <w:jc w:val="center"/>
        <w:rPr>
          <w:rFonts w:ascii="Times New Roman" w:hAnsi="Times New Roman" w:cs="Times New Roman"/>
          <w:szCs w:val="24"/>
        </w:rPr>
      </w:pPr>
    </w:p>
    <w:p w14:paraId="230D3906" w14:textId="77777777" w:rsidR="0011190E" w:rsidRDefault="0011190E" w:rsidP="00B33920">
      <w:pPr>
        <w:tabs>
          <w:tab w:val="left" w:pos="2154"/>
        </w:tabs>
        <w:jc w:val="center"/>
        <w:rPr>
          <w:rFonts w:ascii="Times New Roman" w:hAnsi="Times New Roman" w:cs="Times New Roman"/>
          <w:szCs w:val="24"/>
        </w:rPr>
      </w:pPr>
    </w:p>
    <w:p w14:paraId="432F359C" w14:textId="10CE17CA" w:rsidR="0011190E" w:rsidRDefault="0011190E" w:rsidP="00B33920">
      <w:pPr>
        <w:tabs>
          <w:tab w:val="left" w:pos="2154"/>
        </w:tabs>
        <w:jc w:val="center"/>
        <w:rPr>
          <w:rFonts w:ascii="Times New Roman" w:hAnsi="Times New Roman" w:cs="Times New Roman"/>
          <w:szCs w:val="24"/>
        </w:rPr>
      </w:pPr>
      <w:r>
        <w:rPr>
          <w:rFonts w:ascii="Times New Roman" w:hAnsi="Times New Roman" w:cs="Times New Roman"/>
          <w:szCs w:val="24"/>
        </w:rPr>
        <w:t>______________________________________________________________________________</w:t>
      </w:r>
    </w:p>
    <w:p w14:paraId="7B98D375" w14:textId="77777777" w:rsidR="0011190E" w:rsidRDefault="0011190E" w:rsidP="00B33920">
      <w:pPr>
        <w:tabs>
          <w:tab w:val="left" w:pos="2154"/>
        </w:tabs>
        <w:jc w:val="center"/>
        <w:rPr>
          <w:rFonts w:ascii="Times New Roman" w:hAnsi="Times New Roman" w:cs="Times New Roman"/>
          <w:szCs w:val="24"/>
        </w:rPr>
      </w:pPr>
    </w:p>
    <w:p w14:paraId="0254763D" w14:textId="0528718D" w:rsidR="00B33920" w:rsidRPr="00D43584" w:rsidRDefault="00B33920" w:rsidP="0011190E">
      <w:pPr>
        <w:pStyle w:val="Heading2"/>
      </w:pPr>
      <w:bookmarkStart w:id="256" w:name="_Toc220949758"/>
      <w:bookmarkStart w:id="257" w:name="_Toc221115383"/>
      <w:r w:rsidRPr="00D43584">
        <w:t xml:space="preserve">APPENDIX </w:t>
      </w:r>
      <w:r w:rsidR="0011190E">
        <w:t>III</w:t>
      </w:r>
      <w:bookmarkEnd w:id="256"/>
      <w:bookmarkEnd w:id="257"/>
    </w:p>
    <w:p w14:paraId="7D48C19F" w14:textId="77777777" w:rsidR="00B33920" w:rsidRDefault="00B33920" w:rsidP="00B33920">
      <w:pPr>
        <w:tabs>
          <w:tab w:val="left" w:pos="2154"/>
        </w:tabs>
        <w:jc w:val="center"/>
        <w:rPr>
          <w:rFonts w:ascii="Times New Roman" w:hAnsi="Times New Roman" w:cs="Times New Roman"/>
          <w:szCs w:val="24"/>
        </w:rPr>
      </w:pPr>
      <w:r w:rsidRPr="00D43584">
        <w:rPr>
          <w:rFonts w:ascii="Times New Roman" w:hAnsi="Times New Roman" w:cs="Times New Roman"/>
          <w:szCs w:val="24"/>
        </w:rPr>
        <w:t>(Table referred to in Chapter 4)</w:t>
      </w:r>
    </w:p>
    <w:p w14:paraId="5CB56CF9" w14:textId="77777777" w:rsidR="0011190E" w:rsidRDefault="0011190E" w:rsidP="00B33920">
      <w:pPr>
        <w:tabs>
          <w:tab w:val="left" w:pos="2154"/>
        </w:tabs>
        <w:jc w:val="center"/>
        <w:rPr>
          <w:rFonts w:ascii="Times New Roman" w:hAnsi="Times New Roman" w:cs="Times New Roman"/>
          <w:szCs w:val="24"/>
        </w:rPr>
      </w:pPr>
    </w:p>
    <w:p w14:paraId="3D9E8493" w14:textId="69B863A4" w:rsidR="0011190E" w:rsidRPr="00D43584" w:rsidRDefault="0011190E" w:rsidP="00B33920">
      <w:pPr>
        <w:tabs>
          <w:tab w:val="left" w:pos="2154"/>
        </w:tabs>
        <w:jc w:val="center"/>
        <w:rPr>
          <w:rFonts w:ascii="Times New Roman" w:hAnsi="Times New Roman" w:cs="Times New Roman"/>
          <w:szCs w:val="24"/>
        </w:rPr>
      </w:pPr>
      <w:r>
        <w:rPr>
          <w:rFonts w:ascii="Times New Roman" w:hAnsi="Times New Roman" w:cs="Times New Roman"/>
          <w:szCs w:val="24"/>
        </w:rPr>
        <w:t>______________________________________________________________________________</w:t>
      </w:r>
    </w:p>
    <w:p w14:paraId="53323E7D" w14:textId="33C70FC5" w:rsidR="00B33920" w:rsidRPr="00D43584" w:rsidRDefault="00B33920">
      <w:pPr>
        <w:rPr>
          <w:rFonts w:ascii="Times New Roman" w:hAnsi="Times New Roman" w:cs="Times New Roman"/>
          <w:szCs w:val="24"/>
        </w:rPr>
      </w:pPr>
      <w:r w:rsidRPr="00D43584">
        <w:rPr>
          <w:rFonts w:ascii="Times New Roman" w:hAnsi="Times New Roman" w:cs="Times New Roman"/>
          <w:szCs w:val="24"/>
        </w:rPr>
        <w:br w:type="page"/>
      </w:r>
    </w:p>
    <w:p w14:paraId="43C6279A" w14:textId="77777777" w:rsidR="00122CF8" w:rsidRDefault="00122CF8">
      <w:pPr>
        <w:rPr>
          <w:rFonts w:ascii="Times New Roman" w:eastAsiaTheme="majorEastAsia" w:hAnsi="Times New Roman" w:cs="Times New Roman"/>
          <w:b/>
          <w:bCs/>
        </w:rPr>
      </w:pPr>
      <w:r>
        <w:lastRenderedPageBreak/>
        <w:br w:type="page"/>
      </w:r>
    </w:p>
    <w:p w14:paraId="0596B6CE" w14:textId="09B0AF45" w:rsidR="00B33920" w:rsidRPr="00D43584" w:rsidRDefault="00574BCE" w:rsidP="0060494F">
      <w:pPr>
        <w:pStyle w:val="Heading5"/>
      </w:pPr>
      <w:bookmarkStart w:id="258" w:name="_Toc220949759"/>
      <w:bookmarkStart w:id="259" w:name="_Toc221115384"/>
      <w:r>
        <w:lastRenderedPageBreak/>
        <w:t>Table</w:t>
      </w:r>
      <w:r w:rsidR="00B33920" w:rsidRPr="00D43584">
        <w:t xml:space="preserve"> 1: Limits of ways and means </w:t>
      </w:r>
      <w:r w:rsidR="00B33920" w:rsidRPr="0060494F">
        <w:t>advances</w:t>
      </w:r>
      <w:r w:rsidR="00B33920" w:rsidRPr="00D43584">
        <w:t xml:space="preserve"> for different States from 1-3-1967</w:t>
      </w:r>
      <w:bookmarkEnd w:id="258"/>
      <w:bookmarkEnd w:id="259"/>
    </w:p>
    <w:p w14:paraId="01EFAFA4" w14:textId="77777777" w:rsidR="00B33920" w:rsidRPr="00D43584" w:rsidRDefault="00B33920" w:rsidP="00B33920">
      <w:pPr>
        <w:tabs>
          <w:tab w:val="left" w:pos="5334"/>
        </w:tabs>
        <w:jc w:val="right"/>
        <w:rPr>
          <w:rFonts w:ascii="Times New Roman" w:hAnsi="Times New Roman" w:cs="Times New Roman"/>
          <w:szCs w:val="24"/>
        </w:rPr>
      </w:pPr>
      <w:r w:rsidRPr="00D43584">
        <w:rPr>
          <w:rFonts w:ascii="Times New Roman" w:hAnsi="Times New Roman" w:cs="Times New Roman"/>
          <w:i/>
          <w:iCs/>
          <w:szCs w:val="24"/>
        </w:rPr>
        <w:t>(Rs. in lakhs)</w:t>
      </w:r>
    </w:p>
    <w:tbl>
      <w:tblPr>
        <w:tblStyle w:val="TableGrid"/>
        <w:tblW w:w="10513" w:type="dxa"/>
        <w:tblInd w:w="-714" w:type="dxa"/>
        <w:tblLook w:val="04A0" w:firstRow="1" w:lastRow="0" w:firstColumn="1" w:lastColumn="0" w:noHBand="0" w:noVBand="1"/>
      </w:tblPr>
      <w:tblGrid>
        <w:gridCol w:w="1050"/>
        <w:gridCol w:w="2177"/>
        <w:gridCol w:w="1345"/>
        <w:gridCol w:w="1588"/>
        <w:gridCol w:w="2215"/>
        <w:gridCol w:w="2138"/>
      </w:tblGrid>
      <w:tr w:rsidR="00B33920" w:rsidRPr="00D43584" w14:paraId="415785F1" w14:textId="77777777" w:rsidTr="0011190E">
        <w:trPr>
          <w:trHeight w:val="958"/>
        </w:trPr>
        <w:tc>
          <w:tcPr>
            <w:tcW w:w="1049" w:type="dxa"/>
            <w:vAlign w:val="center"/>
            <w:hideMark/>
          </w:tcPr>
          <w:p w14:paraId="6331DFE5" w14:textId="77777777" w:rsidR="00B33920" w:rsidRPr="0011190E" w:rsidRDefault="00B33920" w:rsidP="0011190E">
            <w:pPr>
              <w:pStyle w:val="NoSpacing"/>
              <w:jc w:val="center"/>
              <w:rPr>
                <w:rFonts w:ascii="Times New Roman" w:hAnsi="Times New Roman" w:cs="Times New Roman"/>
                <w:b/>
                <w:bCs/>
                <w:szCs w:val="24"/>
              </w:rPr>
            </w:pPr>
            <w:r w:rsidRPr="0011190E">
              <w:rPr>
                <w:rFonts w:ascii="Times New Roman" w:hAnsi="Times New Roman" w:cs="Times New Roman"/>
                <w:b/>
                <w:bCs/>
                <w:szCs w:val="24"/>
              </w:rPr>
              <w:t>S.No.</w:t>
            </w:r>
          </w:p>
        </w:tc>
        <w:tc>
          <w:tcPr>
            <w:tcW w:w="2177" w:type="dxa"/>
            <w:vAlign w:val="center"/>
            <w:hideMark/>
          </w:tcPr>
          <w:p w14:paraId="0B6752AD" w14:textId="77777777" w:rsidR="00B33920" w:rsidRPr="0011190E" w:rsidRDefault="00B33920" w:rsidP="0011190E">
            <w:pPr>
              <w:pStyle w:val="NoSpacing"/>
              <w:jc w:val="center"/>
              <w:rPr>
                <w:rFonts w:ascii="Times New Roman" w:hAnsi="Times New Roman" w:cs="Times New Roman"/>
                <w:b/>
                <w:bCs/>
                <w:szCs w:val="24"/>
              </w:rPr>
            </w:pPr>
            <w:r w:rsidRPr="0011190E">
              <w:rPr>
                <w:rFonts w:ascii="Times New Roman" w:hAnsi="Times New Roman" w:cs="Times New Roman"/>
                <w:b/>
                <w:bCs/>
                <w:szCs w:val="24"/>
              </w:rPr>
              <w:t>States</w:t>
            </w:r>
          </w:p>
        </w:tc>
        <w:tc>
          <w:tcPr>
            <w:tcW w:w="0" w:type="auto"/>
            <w:vAlign w:val="center"/>
            <w:hideMark/>
          </w:tcPr>
          <w:p w14:paraId="15DB7258" w14:textId="77777777" w:rsidR="00B33920" w:rsidRPr="0011190E" w:rsidRDefault="00B33920" w:rsidP="0011190E">
            <w:pPr>
              <w:pStyle w:val="NoSpacing"/>
              <w:jc w:val="center"/>
              <w:rPr>
                <w:rFonts w:ascii="Times New Roman" w:hAnsi="Times New Roman" w:cs="Times New Roman"/>
                <w:b/>
                <w:bCs/>
                <w:szCs w:val="24"/>
              </w:rPr>
            </w:pPr>
            <w:r w:rsidRPr="0011190E">
              <w:rPr>
                <w:rFonts w:ascii="Times New Roman" w:hAnsi="Times New Roman" w:cs="Times New Roman"/>
                <w:b/>
                <w:bCs/>
                <w:szCs w:val="24"/>
              </w:rPr>
              <w:t>Minimum balance</w:t>
            </w:r>
          </w:p>
        </w:tc>
        <w:tc>
          <w:tcPr>
            <w:tcW w:w="0" w:type="auto"/>
            <w:vAlign w:val="center"/>
            <w:hideMark/>
          </w:tcPr>
          <w:p w14:paraId="1EBE55FD" w14:textId="77777777" w:rsidR="00B33920" w:rsidRPr="0011190E" w:rsidRDefault="00B33920" w:rsidP="0011190E">
            <w:pPr>
              <w:pStyle w:val="NoSpacing"/>
              <w:jc w:val="center"/>
              <w:rPr>
                <w:rFonts w:ascii="Times New Roman" w:hAnsi="Times New Roman" w:cs="Times New Roman"/>
                <w:b/>
                <w:bCs/>
                <w:szCs w:val="24"/>
              </w:rPr>
            </w:pPr>
            <w:r w:rsidRPr="0011190E">
              <w:rPr>
                <w:rFonts w:ascii="Times New Roman" w:hAnsi="Times New Roman" w:cs="Times New Roman"/>
                <w:b/>
                <w:bCs/>
                <w:szCs w:val="24"/>
              </w:rPr>
              <w:t>Limits for normal ways and means advances</w:t>
            </w:r>
          </w:p>
        </w:tc>
        <w:tc>
          <w:tcPr>
            <w:tcW w:w="0" w:type="auto"/>
            <w:vAlign w:val="center"/>
            <w:hideMark/>
          </w:tcPr>
          <w:p w14:paraId="06F59159" w14:textId="77777777" w:rsidR="00B33920" w:rsidRPr="0011190E" w:rsidRDefault="00B33920" w:rsidP="0011190E">
            <w:pPr>
              <w:pStyle w:val="NoSpacing"/>
              <w:jc w:val="center"/>
              <w:rPr>
                <w:rFonts w:ascii="Times New Roman" w:hAnsi="Times New Roman" w:cs="Times New Roman"/>
                <w:b/>
                <w:bCs/>
                <w:szCs w:val="24"/>
              </w:rPr>
            </w:pPr>
            <w:r w:rsidRPr="0011190E">
              <w:rPr>
                <w:rFonts w:ascii="Times New Roman" w:hAnsi="Times New Roman" w:cs="Times New Roman"/>
                <w:b/>
                <w:bCs/>
                <w:szCs w:val="24"/>
              </w:rPr>
              <w:t>Limits for special ways and means advances (twice the normal ways and means advances)</w:t>
            </w:r>
          </w:p>
        </w:tc>
        <w:tc>
          <w:tcPr>
            <w:tcW w:w="0" w:type="auto"/>
            <w:vAlign w:val="center"/>
            <w:hideMark/>
          </w:tcPr>
          <w:p w14:paraId="15D5ACEC" w14:textId="77777777" w:rsidR="00B33920" w:rsidRPr="0011190E" w:rsidRDefault="00B33920" w:rsidP="0011190E">
            <w:pPr>
              <w:pStyle w:val="NoSpacing"/>
              <w:jc w:val="center"/>
              <w:rPr>
                <w:rFonts w:ascii="Times New Roman" w:hAnsi="Times New Roman" w:cs="Times New Roman"/>
                <w:b/>
                <w:bCs/>
                <w:szCs w:val="24"/>
              </w:rPr>
            </w:pPr>
            <w:r w:rsidRPr="0011190E">
              <w:rPr>
                <w:rFonts w:ascii="Times New Roman" w:hAnsi="Times New Roman" w:cs="Times New Roman"/>
                <w:b/>
                <w:bCs/>
                <w:szCs w:val="24"/>
              </w:rPr>
              <w:t>Additional ad hoc limits for special ways and means advances as on 10-8-1968</w:t>
            </w:r>
          </w:p>
        </w:tc>
      </w:tr>
      <w:tr w:rsidR="00B33920" w:rsidRPr="00D43584" w14:paraId="0AC1F2C3" w14:textId="77777777" w:rsidTr="0011190E">
        <w:trPr>
          <w:trHeight w:val="316"/>
        </w:trPr>
        <w:tc>
          <w:tcPr>
            <w:tcW w:w="1049" w:type="dxa"/>
            <w:vAlign w:val="center"/>
            <w:hideMark/>
          </w:tcPr>
          <w:p w14:paraId="55BA4ED5" w14:textId="77777777" w:rsidR="00B33920" w:rsidRPr="0011190E" w:rsidRDefault="00B33920" w:rsidP="0011190E">
            <w:pPr>
              <w:pStyle w:val="NoSpacing"/>
              <w:jc w:val="center"/>
              <w:rPr>
                <w:rFonts w:ascii="Times New Roman" w:hAnsi="Times New Roman" w:cs="Times New Roman"/>
                <w:b/>
                <w:bCs/>
                <w:szCs w:val="24"/>
              </w:rPr>
            </w:pPr>
            <w:r w:rsidRPr="0011190E">
              <w:rPr>
                <w:rFonts w:ascii="Times New Roman" w:hAnsi="Times New Roman" w:cs="Times New Roman"/>
                <w:b/>
                <w:bCs/>
                <w:szCs w:val="24"/>
              </w:rPr>
              <w:t>(1)</w:t>
            </w:r>
          </w:p>
        </w:tc>
        <w:tc>
          <w:tcPr>
            <w:tcW w:w="2177" w:type="dxa"/>
            <w:vAlign w:val="center"/>
            <w:hideMark/>
          </w:tcPr>
          <w:p w14:paraId="676F2AE0" w14:textId="77777777" w:rsidR="00B33920" w:rsidRPr="0011190E" w:rsidRDefault="00B33920" w:rsidP="0011190E">
            <w:pPr>
              <w:pStyle w:val="NoSpacing"/>
              <w:jc w:val="center"/>
              <w:rPr>
                <w:rFonts w:ascii="Times New Roman" w:hAnsi="Times New Roman" w:cs="Times New Roman"/>
                <w:b/>
                <w:bCs/>
                <w:szCs w:val="24"/>
              </w:rPr>
            </w:pPr>
            <w:r w:rsidRPr="0011190E">
              <w:rPr>
                <w:rFonts w:ascii="Times New Roman" w:hAnsi="Times New Roman" w:cs="Times New Roman"/>
                <w:b/>
                <w:bCs/>
                <w:szCs w:val="24"/>
              </w:rPr>
              <w:t>(2)</w:t>
            </w:r>
          </w:p>
        </w:tc>
        <w:tc>
          <w:tcPr>
            <w:tcW w:w="0" w:type="auto"/>
            <w:vAlign w:val="center"/>
            <w:hideMark/>
          </w:tcPr>
          <w:p w14:paraId="2ECCC9FD" w14:textId="77777777" w:rsidR="00B33920" w:rsidRPr="0011190E" w:rsidRDefault="00B33920" w:rsidP="0011190E">
            <w:pPr>
              <w:pStyle w:val="NoSpacing"/>
              <w:jc w:val="center"/>
              <w:rPr>
                <w:rFonts w:ascii="Times New Roman" w:hAnsi="Times New Roman" w:cs="Times New Roman"/>
                <w:b/>
                <w:bCs/>
                <w:szCs w:val="24"/>
              </w:rPr>
            </w:pPr>
            <w:r w:rsidRPr="0011190E">
              <w:rPr>
                <w:rFonts w:ascii="Times New Roman" w:hAnsi="Times New Roman" w:cs="Times New Roman"/>
                <w:b/>
                <w:bCs/>
                <w:szCs w:val="24"/>
              </w:rPr>
              <w:t>(3)</w:t>
            </w:r>
          </w:p>
        </w:tc>
        <w:tc>
          <w:tcPr>
            <w:tcW w:w="0" w:type="auto"/>
            <w:vAlign w:val="center"/>
            <w:hideMark/>
          </w:tcPr>
          <w:p w14:paraId="016DB6FF" w14:textId="77777777" w:rsidR="00B33920" w:rsidRPr="0011190E" w:rsidRDefault="00B33920" w:rsidP="0011190E">
            <w:pPr>
              <w:pStyle w:val="NoSpacing"/>
              <w:jc w:val="center"/>
              <w:rPr>
                <w:rFonts w:ascii="Times New Roman" w:hAnsi="Times New Roman" w:cs="Times New Roman"/>
                <w:b/>
                <w:bCs/>
                <w:szCs w:val="24"/>
              </w:rPr>
            </w:pPr>
            <w:r w:rsidRPr="0011190E">
              <w:rPr>
                <w:rFonts w:ascii="Times New Roman" w:hAnsi="Times New Roman" w:cs="Times New Roman"/>
                <w:b/>
                <w:bCs/>
                <w:szCs w:val="24"/>
              </w:rPr>
              <w:t>(4)</w:t>
            </w:r>
          </w:p>
        </w:tc>
        <w:tc>
          <w:tcPr>
            <w:tcW w:w="0" w:type="auto"/>
            <w:vAlign w:val="center"/>
            <w:hideMark/>
          </w:tcPr>
          <w:p w14:paraId="6911FE12" w14:textId="77777777" w:rsidR="00B33920" w:rsidRPr="0011190E" w:rsidRDefault="00B33920" w:rsidP="0011190E">
            <w:pPr>
              <w:pStyle w:val="NoSpacing"/>
              <w:jc w:val="center"/>
              <w:rPr>
                <w:rFonts w:ascii="Times New Roman" w:hAnsi="Times New Roman" w:cs="Times New Roman"/>
                <w:b/>
                <w:bCs/>
                <w:szCs w:val="24"/>
              </w:rPr>
            </w:pPr>
            <w:r w:rsidRPr="0011190E">
              <w:rPr>
                <w:rFonts w:ascii="Times New Roman" w:hAnsi="Times New Roman" w:cs="Times New Roman"/>
                <w:b/>
                <w:bCs/>
                <w:szCs w:val="24"/>
              </w:rPr>
              <w:t>(5)</w:t>
            </w:r>
          </w:p>
        </w:tc>
        <w:tc>
          <w:tcPr>
            <w:tcW w:w="0" w:type="auto"/>
            <w:vAlign w:val="center"/>
            <w:hideMark/>
          </w:tcPr>
          <w:p w14:paraId="724CE389" w14:textId="77777777" w:rsidR="00B33920" w:rsidRPr="0011190E" w:rsidRDefault="00B33920" w:rsidP="0011190E">
            <w:pPr>
              <w:pStyle w:val="NoSpacing"/>
              <w:jc w:val="center"/>
              <w:rPr>
                <w:rFonts w:ascii="Times New Roman" w:hAnsi="Times New Roman" w:cs="Times New Roman"/>
                <w:b/>
                <w:bCs/>
                <w:szCs w:val="24"/>
              </w:rPr>
            </w:pPr>
            <w:r w:rsidRPr="0011190E">
              <w:rPr>
                <w:rFonts w:ascii="Times New Roman" w:hAnsi="Times New Roman" w:cs="Times New Roman"/>
                <w:b/>
                <w:bCs/>
                <w:szCs w:val="24"/>
              </w:rPr>
              <w:t>(6)</w:t>
            </w:r>
          </w:p>
        </w:tc>
      </w:tr>
      <w:tr w:rsidR="00B33920" w:rsidRPr="00D43584" w14:paraId="2C10B43D" w14:textId="77777777" w:rsidTr="0011190E">
        <w:trPr>
          <w:trHeight w:val="521"/>
        </w:trPr>
        <w:tc>
          <w:tcPr>
            <w:tcW w:w="1049" w:type="dxa"/>
            <w:hideMark/>
          </w:tcPr>
          <w:p w14:paraId="4D8ADD35" w14:textId="77777777" w:rsidR="00B33920" w:rsidRPr="00D43584" w:rsidRDefault="00B33920" w:rsidP="00B77C0B">
            <w:pPr>
              <w:pStyle w:val="NoSpacing"/>
              <w:rPr>
                <w:rFonts w:ascii="Times New Roman" w:hAnsi="Times New Roman" w:cs="Times New Roman"/>
                <w:szCs w:val="24"/>
              </w:rPr>
            </w:pPr>
            <w:r w:rsidRPr="00D43584">
              <w:rPr>
                <w:rFonts w:ascii="Times New Roman" w:hAnsi="Times New Roman" w:cs="Times New Roman"/>
                <w:szCs w:val="24"/>
              </w:rPr>
              <w:t>1.</w:t>
            </w:r>
          </w:p>
        </w:tc>
        <w:tc>
          <w:tcPr>
            <w:tcW w:w="2177" w:type="dxa"/>
            <w:hideMark/>
          </w:tcPr>
          <w:p w14:paraId="63552733" w14:textId="77777777" w:rsidR="00B33920" w:rsidRPr="00D43584" w:rsidRDefault="00B33920" w:rsidP="00B77C0B">
            <w:pPr>
              <w:pStyle w:val="NoSpacing"/>
              <w:rPr>
                <w:rFonts w:ascii="Times New Roman" w:hAnsi="Times New Roman" w:cs="Times New Roman"/>
                <w:szCs w:val="24"/>
              </w:rPr>
            </w:pPr>
            <w:r w:rsidRPr="00D43584">
              <w:rPr>
                <w:rFonts w:ascii="Times New Roman" w:hAnsi="Times New Roman" w:cs="Times New Roman"/>
                <w:szCs w:val="24"/>
              </w:rPr>
              <w:t>Andhra Pradesh</w:t>
            </w:r>
          </w:p>
        </w:tc>
        <w:tc>
          <w:tcPr>
            <w:tcW w:w="0" w:type="auto"/>
            <w:vAlign w:val="center"/>
            <w:hideMark/>
          </w:tcPr>
          <w:p w14:paraId="54CDAD69" w14:textId="77777777" w:rsidR="00B33920" w:rsidRPr="00D43584" w:rsidRDefault="00B33920" w:rsidP="0011190E">
            <w:pPr>
              <w:pStyle w:val="NoSpacing"/>
              <w:jc w:val="center"/>
              <w:rPr>
                <w:rFonts w:ascii="Times New Roman" w:hAnsi="Times New Roman" w:cs="Times New Roman"/>
                <w:szCs w:val="24"/>
              </w:rPr>
            </w:pPr>
            <w:r w:rsidRPr="00D43584">
              <w:rPr>
                <w:rFonts w:ascii="Times New Roman" w:hAnsi="Times New Roman" w:cs="Times New Roman"/>
                <w:szCs w:val="24"/>
              </w:rPr>
              <w:t>50</w:t>
            </w:r>
          </w:p>
        </w:tc>
        <w:tc>
          <w:tcPr>
            <w:tcW w:w="0" w:type="auto"/>
            <w:vAlign w:val="center"/>
            <w:hideMark/>
          </w:tcPr>
          <w:p w14:paraId="718285D5" w14:textId="77777777" w:rsidR="00B33920" w:rsidRPr="00D43584" w:rsidRDefault="00B33920" w:rsidP="0011190E">
            <w:pPr>
              <w:pStyle w:val="NoSpacing"/>
              <w:jc w:val="center"/>
              <w:rPr>
                <w:rFonts w:ascii="Times New Roman" w:hAnsi="Times New Roman" w:cs="Times New Roman"/>
                <w:szCs w:val="24"/>
              </w:rPr>
            </w:pPr>
            <w:r w:rsidRPr="00D43584">
              <w:rPr>
                <w:rFonts w:ascii="Times New Roman" w:hAnsi="Times New Roman" w:cs="Times New Roman"/>
                <w:szCs w:val="24"/>
              </w:rPr>
              <w:t>150</w:t>
            </w:r>
          </w:p>
        </w:tc>
        <w:tc>
          <w:tcPr>
            <w:tcW w:w="0" w:type="auto"/>
            <w:vAlign w:val="center"/>
            <w:hideMark/>
          </w:tcPr>
          <w:p w14:paraId="375543C6" w14:textId="77777777" w:rsidR="00B33920" w:rsidRPr="00D43584" w:rsidRDefault="00B33920" w:rsidP="0011190E">
            <w:pPr>
              <w:pStyle w:val="NoSpacing"/>
              <w:jc w:val="center"/>
              <w:rPr>
                <w:rFonts w:ascii="Times New Roman" w:hAnsi="Times New Roman" w:cs="Times New Roman"/>
                <w:szCs w:val="24"/>
              </w:rPr>
            </w:pPr>
            <w:r w:rsidRPr="00D43584">
              <w:rPr>
                <w:rFonts w:ascii="Times New Roman" w:hAnsi="Times New Roman" w:cs="Times New Roman"/>
                <w:szCs w:val="24"/>
              </w:rPr>
              <w:t>300</w:t>
            </w:r>
          </w:p>
        </w:tc>
        <w:tc>
          <w:tcPr>
            <w:tcW w:w="0" w:type="auto"/>
            <w:vAlign w:val="center"/>
            <w:hideMark/>
          </w:tcPr>
          <w:p w14:paraId="5D15E575" w14:textId="77777777" w:rsidR="00B33920" w:rsidRPr="00D43584" w:rsidRDefault="00B33920" w:rsidP="0011190E">
            <w:pPr>
              <w:pStyle w:val="NoSpacing"/>
              <w:jc w:val="center"/>
              <w:rPr>
                <w:rFonts w:ascii="Times New Roman" w:hAnsi="Times New Roman" w:cs="Times New Roman"/>
                <w:szCs w:val="24"/>
              </w:rPr>
            </w:pPr>
            <w:r w:rsidRPr="00D43584">
              <w:rPr>
                <w:rFonts w:ascii="Times New Roman" w:hAnsi="Times New Roman" w:cs="Times New Roman"/>
                <w:szCs w:val="24"/>
              </w:rPr>
              <w:t>200</w:t>
            </w:r>
          </w:p>
        </w:tc>
      </w:tr>
      <w:tr w:rsidR="00B33920" w:rsidRPr="00D43584" w14:paraId="13F804E4" w14:textId="77777777" w:rsidTr="0011190E">
        <w:trPr>
          <w:trHeight w:val="316"/>
        </w:trPr>
        <w:tc>
          <w:tcPr>
            <w:tcW w:w="1049" w:type="dxa"/>
            <w:hideMark/>
          </w:tcPr>
          <w:p w14:paraId="17DF4FDF" w14:textId="77777777" w:rsidR="00B33920" w:rsidRPr="00D43584" w:rsidRDefault="00B33920" w:rsidP="00B77C0B">
            <w:pPr>
              <w:pStyle w:val="NoSpacing"/>
              <w:rPr>
                <w:rFonts w:ascii="Times New Roman" w:hAnsi="Times New Roman" w:cs="Times New Roman"/>
                <w:szCs w:val="24"/>
              </w:rPr>
            </w:pPr>
            <w:r w:rsidRPr="00D43584">
              <w:rPr>
                <w:rFonts w:ascii="Times New Roman" w:hAnsi="Times New Roman" w:cs="Times New Roman"/>
                <w:szCs w:val="24"/>
              </w:rPr>
              <w:t>2.</w:t>
            </w:r>
          </w:p>
        </w:tc>
        <w:tc>
          <w:tcPr>
            <w:tcW w:w="2177" w:type="dxa"/>
            <w:hideMark/>
          </w:tcPr>
          <w:p w14:paraId="6D07CAF7" w14:textId="77777777" w:rsidR="00B33920" w:rsidRPr="00D43584" w:rsidRDefault="00B33920" w:rsidP="00B77C0B">
            <w:pPr>
              <w:pStyle w:val="NoSpacing"/>
              <w:rPr>
                <w:rFonts w:ascii="Times New Roman" w:hAnsi="Times New Roman" w:cs="Times New Roman"/>
                <w:szCs w:val="24"/>
              </w:rPr>
            </w:pPr>
            <w:r w:rsidRPr="00D43584">
              <w:rPr>
                <w:rFonts w:ascii="Times New Roman" w:hAnsi="Times New Roman" w:cs="Times New Roman"/>
                <w:szCs w:val="24"/>
              </w:rPr>
              <w:t>Assam</w:t>
            </w:r>
          </w:p>
        </w:tc>
        <w:tc>
          <w:tcPr>
            <w:tcW w:w="0" w:type="auto"/>
            <w:vAlign w:val="center"/>
            <w:hideMark/>
          </w:tcPr>
          <w:p w14:paraId="5F026555" w14:textId="77777777" w:rsidR="00B33920" w:rsidRPr="00D43584" w:rsidRDefault="00B33920" w:rsidP="0011190E">
            <w:pPr>
              <w:pStyle w:val="NoSpacing"/>
              <w:jc w:val="center"/>
              <w:rPr>
                <w:rFonts w:ascii="Times New Roman" w:hAnsi="Times New Roman" w:cs="Times New Roman"/>
                <w:szCs w:val="24"/>
              </w:rPr>
            </w:pPr>
            <w:r w:rsidRPr="00D43584">
              <w:rPr>
                <w:rFonts w:ascii="Times New Roman" w:hAnsi="Times New Roman" w:cs="Times New Roman"/>
                <w:szCs w:val="24"/>
              </w:rPr>
              <w:t>20</w:t>
            </w:r>
          </w:p>
        </w:tc>
        <w:tc>
          <w:tcPr>
            <w:tcW w:w="0" w:type="auto"/>
            <w:vAlign w:val="center"/>
            <w:hideMark/>
          </w:tcPr>
          <w:p w14:paraId="79F6549A" w14:textId="77777777" w:rsidR="00B33920" w:rsidRPr="00D43584" w:rsidRDefault="00B33920" w:rsidP="0011190E">
            <w:pPr>
              <w:pStyle w:val="NoSpacing"/>
              <w:jc w:val="center"/>
              <w:rPr>
                <w:rFonts w:ascii="Times New Roman" w:hAnsi="Times New Roman" w:cs="Times New Roman"/>
                <w:szCs w:val="24"/>
              </w:rPr>
            </w:pPr>
            <w:r w:rsidRPr="00D43584">
              <w:rPr>
                <w:rFonts w:ascii="Times New Roman" w:hAnsi="Times New Roman" w:cs="Times New Roman"/>
                <w:szCs w:val="24"/>
              </w:rPr>
              <w:t>60</w:t>
            </w:r>
          </w:p>
        </w:tc>
        <w:tc>
          <w:tcPr>
            <w:tcW w:w="0" w:type="auto"/>
            <w:vAlign w:val="center"/>
            <w:hideMark/>
          </w:tcPr>
          <w:p w14:paraId="7A189945" w14:textId="77777777" w:rsidR="00B33920" w:rsidRPr="00D43584" w:rsidRDefault="00B33920" w:rsidP="0011190E">
            <w:pPr>
              <w:pStyle w:val="NoSpacing"/>
              <w:jc w:val="center"/>
              <w:rPr>
                <w:rFonts w:ascii="Times New Roman" w:hAnsi="Times New Roman" w:cs="Times New Roman"/>
                <w:szCs w:val="24"/>
              </w:rPr>
            </w:pPr>
            <w:r w:rsidRPr="00D43584">
              <w:rPr>
                <w:rFonts w:ascii="Times New Roman" w:hAnsi="Times New Roman" w:cs="Times New Roman"/>
                <w:szCs w:val="24"/>
              </w:rPr>
              <w:t>120</w:t>
            </w:r>
          </w:p>
        </w:tc>
        <w:tc>
          <w:tcPr>
            <w:tcW w:w="0" w:type="auto"/>
            <w:vAlign w:val="center"/>
            <w:hideMark/>
          </w:tcPr>
          <w:p w14:paraId="1CBCD9B0" w14:textId="77777777" w:rsidR="00B33920" w:rsidRPr="00D43584" w:rsidRDefault="00B33920" w:rsidP="0011190E">
            <w:pPr>
              <w:pStyle w:val="NoSpacing"/>
              <w:jc w:val="center"/>
              <w:rPr>
                <w:rFonts w:ascii="Times New Roman" w:hAnsi="Times New Roman" w:cs="Times New Roman"/>
                <w:szCs w:val="24"/>
              </w:rPr>
            </w:pPr>
            <w:r w:rsidRPr="00D43584">
              <w:rPr>
                <w:rFonts w:ascii="Times New Roman" w:hAnsi="Times New Roman" w:cs="Times New Roman"/>
                <w:szCs w:val="24"/>
              </w:rPr>
              <w:t>140</w:t>
            </w:r>
          </w:p>
        </w:tc>
      </w:tr>
      <w:tr w:rsidR="00B33920" w:rsidRPr="00D43584" w14:paraId="1843A2E2" w14:textId="77777777" w:rsidTr="0011190E">
        <w:trPr>
          <w:trHeight w:val="316"/>
        </w:trPr>
        <w:tc>
          <w:tcPr>
            <w:tcW w:w="1049" w:type="dxa"/>
            <w:hideMark/>
          </w:tcPr>
          <w:p w14:paraId="2CE04B0A" w14:textId="77777777" w:rsidR="00B33920" w:rsidRPr="00D43584" w:rsidRDefault="00B33920" w:rsidP="00B77C0B">
            <w:pPr>
              <w:pStyle w:val="NoSpacing"/>
              <w:rPr>
                <w:rFonts w:ascii="Times New Roman" w:hAnsi="Times New Roman" w:cs="Times New Roman"/>
                <w:szCs w:val="24"/>
              </w:rPr>
            </w:pPr>
            <w:r w:rsidRPr="00D43584">
              <w:rPr>
                <w:rFonts w:ascii="Times New Roman" w:hAnsi="Times New Roman" w:cs="Times New Roman"/>
                <w:szCs w:val="24"/>
              </w:rPr>
              <w:t>3.</w:t>
            </w:r>
          </w:p>
        </w:tc>
        <w:tc>
          <w:tcPr>
            <w:tcW w:w="2177" w:type="dxa"/>
            <w:hideMark/>
          </w:tcPr>
          <w:p w14:paraId="33AB788E" w14:textId="77777777" w:rsidR="00B33920" w:rsidRPr="00D43584" w:rsidRDefault="00B33920" w:rsidP="00B77C0B">
            <w:pPr>
              <w:pStyle w:val="NoSpacing"/>
              <w:rPr>
                <w:rFonts w:ascii="Times New Roman" w:hAnsi="Times New Roman" w:cs="Times New Roman"/>
                <w:szCs w:val="24"/>
              </w:rPr>
            </w:pPr>
            <w:r w:rsidRPr="00D43584">
              <w:rPr>
                <w:rFonts w:ascii="Times New Roman" w:hAnsi="Times New Roman" w:cs="Times New Roman"/>
                <w:szCs w:val="24"/>
              </w:rPr>
              <w:t>Bihar</w:t>
            </w:r>
          </w:p>
        </w:tc>
        <w:tc>
          <w:tcPr>
            <w:tcW w:w="0" w:type="auto"/>
            <w:vAlign w:val="center"/>
            <w:hideMark/>
          </w:tcPr>
          <w:p w14:paraId="543CA2B9" w14:textId="77777777" w:rsidR="00B33920" w:rsidRPr="00D43584" w:rsidRDefault="00B33920" w:rsidP="0011190E">
            <w:pPr>
              <w:pStyle w:val="NoSpacing"/>
              <w:jc w:val="center"/>
              <w:rPr>
                <w:rFonts w:ascii="Times New Roman" w:hAnsi="Times New Roman" w:cs="Times New Roman"/>
                <w:szCs w:val="24"/>
              </w:rPr>
            </w:pPr>
            <w:r w:rsidRPr="00D43584">
              <w:rPr>
                <w:rFonts w:ascii="Times New Roman" w:hAnsi="Times New Roman" w:cs="Times New Roman"/>
                <w:szCs w:val="24"/>
              </w:rPr>
              <w:t>35</w:t>
            </w:r>
          </w:p>
        </w:tc>
        <w:tc>
          <w:tcPr>
            <w:tcW w:w="0" w:type="auto"/>
            <w:vAlign w:val="center"/>
            <w:hideMark/>
          </w:tcPr>
          <w:p w14:paraId="353B6375" w14:textId="77777777" w:rsidR="00B33920" w:rsidRPr="00D43584" w:rsidRDefault="00B33920" w:rsidP="0011190E">
            <w:pPr>
              <w:pStyle w:val="NoSpacing"/>
              <w:jc w:val="center"/>
              <w:rPr>
                <w:rFonts w:ascii="Times New Roman" w:hAnsi="Times New Roman" w:cs="Times New Roman"/>
                <w:szCs w:val="24"/>
              </w:rPr>
            </w:pPr>
            <w:r w:rsidRPr="00D43584">
              <w:rPr>
                <w:rFonts w:ascii="Times New Roman" w:hAnsi="Times New Roman" w:cs="Times New Roman"/>
                <w:szCs w:val="24"/>
              </w:rPr>
              <w:t>105</w:t>
            </w:r>
          </w:p>
        </w:tc>
        <w:tc>
          <w:tcPr>
            <w:tcW w:w="0" w:type="auto"/>
            <w:vAlign w:val="center"/>
            <w:hideMark/>
          </w:tcPr>
          <w:p w14:paraId="42634796" w14:textId="77777777" w:rsidR="00B33920" w:rsidRPr="00D43584" w:rsidRDefault="00B33920" w:rsidP="0011190E">
            <w:pPr>
              <w:pStyle w:val="NoSpacing"/>
              <w:jc w:val="center"/>
              <w:rPr>
                <w:rFonts w:ascii="Times New Roman" w:hAnsi="Times New Roman" w:cs="Times New Roman"/>
                <w:szCs w:val="24"/>
              </w:rPr>
            </w:pPr>
            <w:r w:rsidRPr="00D43584">
              <w:rPr>
                <w:rFonts w:ascii="Times New Roman" w:hAnsi="Times New Roman" w:cs="Times New Roman"/>
                <w:szCs w:val="24"/>
              </w:rPr>
              <w:t>210</w:t>
            </w:r>
          </w:p>
        </w:tc>
        <w:tc>
          <w:tcPr>
            <w:tcW w:w="0" w:type="auto"/>
            <w:vAlign w:val="center"/>
            <w:hideMark/>
          </w:tcPr>
          <w:p w14:paraId="75BE154A" w14:textId="77777777" w:rsidR="00B33920" w:rsidRPr="00D43584" w:rsidRDefault="00B33920" w:rsidP="0011190E">
            <w:pPr>
              <w:pStyle w:val="NoSpacing"/>
              <w:jc w:val="center"/>
              <w:rPr>
                <w:rFonts w:ascii="Times New Roman" w:hAnsi="Times New Roman" w:cs="Times New Roman"/>
                <w:szCs w:val="24"/>
              </w:rPr>
            </w:pPr>
            <w:r w:rsidRPr="00D43584">
              <w:rPr>
                <w:rFonts w:ascii="Times New Roman" w:hAnsi="Times New Roman" w:cs="Times New Roman"/>
                <w:szCs w:val="24"/>
              </w:rPr>
              <w:t>140</w:t>
            </w:r>
          </w:p>
        </w:tc>
      </w:tr>
      <w:tr w:rsidR="00B33920" w:rsidRPr="00D43584" w14:paraId="613D7694" w14:textId="77777777" w:rsidTr="0011190E">
        <w:trPr>
          <w:trHeight w:val="307"/>
        </w:trPr>
        <w:tc>
          <w:tcPr>
            <w:tcW w:w="1049" w:type="dxa"/>
            <w:hideMark/>
          </w:tcPr>
          <w:p w14:paraId="75CC7A43" w14:textId="77777777" w:rsidR="00B33920" w:rsidRPr="00D43584" w:rsidRDefault="00B33920" w:rsidP="00B77C0B">
            <w:pPr>
              <w:pStyle w:val="NoSpacing"/>
              <w:rPr>
                <w:rFonts w:ascii="Times New Roman" w:hAnsi="Times New Roman" w:cs="Times New Roman"/>
                <w:szCs w:val="24"/>
              </w:rPr>
            </w:pPr>
            <w:r w:rsidRPr="00D43584">
              <w:rPr>
                <w:rFonts w:ascii="Times New Roman" w:hAnsi="Times New Roman" w:cs="Times New Roman"/>
                <w:szCs w:val="24"/>
              </w:rPr>
              <w:t>4.</w:t>
            </w:r>
          </w:p>
        </w:tc>
        <w:tc>
          <w:tcPr>
            <w:tcW w:w="2177" w:type="dxa"/>
            <w:hideMark/>
          </w:tcPr>
          <w:p w14:paraId="407B4517" w14:textId="77777777" w:rsidR="00B33920" w:rsidRPr="00D43584" w:rsidRDefault="00B33920" w:rsidP="00B77C0B">
            <w:pPr>
              <w:pStyle w:val="NoSpacing"/>
              <w:rPr>
                <w:rFonts w:ascii="Times New Roman" w:hAnsi="Times New Roman" w:cs="Times New Roman"/>
                <w:szCs w:val="24"/>
              </w:rPr>
            </w:pPr>
            <w:r w:rsidRPr="00D43584">
              <w:rPr>
                <w:rFonts w:ascii="Times New Roman" w:hAnsi="Times New Roman" w:cs="Times New Roman"/>
                <w:szCs w:val="24"/>
              </w:rPr>
              <w:t>Gujarat</w:t>
            </w:r>
          </w:p>
        </w:tc>
        <w:tc>
          <w:tcPr>
            <w:tcW w:w="0" w:type="auto"/>
            <w:vAlign w:val="center"/>
            <w:hideMark/>
          </w:tcPr>
          <w:p w14:paraId="54165ACC" w14:textId="77777777" w:rsidR="00B33920" w:rsidRPr="00D43584" w:rsidRDefault="00B33920" w:rsidP="0011190E">
            <w:pPr>
              <w:pStyle w:val="NoSpacing"/>
              <w:jc w:val="center"/>
              <w:rPr>
                <w:rFonts w:ascii="Times New Roman" w:hAnsi="Times New Roman" w:cs="Times New Roman"/>
                <w:szCs w:val="24"/>
              </w:rPr>
            </w:pPr>
            <w:r w:rsidRPr="00D43584">
              <w:rPr>
                <w:rFonts w:ascii="Times New Roman" w:hAnsi="Times New Roman" w:cs="Times New Roman"/>
                <w:szCs w:val="24"/>
              </w:rPr>
              <w:t>35</w:t>
            </w:r>
          </w:p>
        </w:tc>
        <w:tc>
          <w:tcPr>
            <w:tcW w:w="0" w:type="auto"/>
            <w:vAlign w:val="center"/>
            <w:hideMark/>
          </w:tcPr>
          <w:p w14:paraId="78A61CF9" w14:textId="77777777" w:rsidR="00B33920" w:rsidRPr="00D43584" w:rsidRDefault="00B33920" w:rsidP="0011190E">
            <w:pPr>
              <w:pStyle w:val="NoSpacing"/>
              <w:jc w:val="center"/>
              <w:rPr>
                <w:rFonts w:ascii="Times New Roman" w:hAnsi="Times New Roman" w:cs="Times New Roman"/>
                <w:szCs w:val="24"/>
              </w:rPr>
            </w:pPr>
            <w:r w:rsidRPr="00D43584">
              <w:rPr>
                <w:rFonts w:ascii="Times New Roman" w:hAnsi="Times New Roman" w:cs="Times New Roman"/>
                <w:szCs w:val="24"/>
              </w:rPr>
              <w:t>105</w:t>
            </w:r>
          </w:p>
        </w:tc>
        <w:tc>
          <w:tcPr>
            <w:tcW w:w="0" w:type="auto"/>
            <w:vAlign w:val="center"/>
            <w:hideMark/>
          </w:tcPr>
          <w:p w14:paraId="17B266A2" w14:textId="77777777" w:rsidR="00B33920" w:rsidRPr="00D43584" w:rsidRDefault="00B33920" w:rsidP="0011190E">
            <w:pPr>
              <w:pStyle w:val="NoSpacing"/>
              <w:jc w:val="center"/>
              <w:rPr>
                <w:rFonts w:ascii="Times New Roman" w:hAnsi="Times New Roman" w:cs="Times New Roman"/>
                <w:szCs w:val="24"/>
              </w:rPr>
            </w:pPr>
            <w:r w:rsidRPr="00D43584">
              <w:rPr>
                <w:rFonts w:ascii="Times New Roman" w:hAnsi="Times New Roman" w:cs="Times New Roman"/>
                <w:szCs w:val="24"/>
              </w:rPr>
              <w:t>210</w:t>
            </w:r>
          </w:p>
        </w:tc>
        <w:tc>
          <w:tcPr>
            <w:tcW w:w="0" w:type="auto"/>
            <w:vAlign w:val="center"/>
            <w:hideMark/>
          </w:tcPr>
          <w:p w14:paraId="3218172A" w14:textId="77777777" w:rsidR="00B33920" w:rsidRPr="00D43584" w:rsidRDefault="00B33920" w:rsidP="0011190E">
            <w:pPr>
              <w:pStyle w:val="NoSpacing"/>
              <w:jc w:val="center"/>
              <w:rPr>
                <w:rFonts w:ascii="Times New Roman" w:hAnsi="Times New Roman" w:cs="Times New Roman"/>
                <w:szCs w:val="24"/>
              </w:rPr>
            </w:pPr>
            <w:r w:rsidRPr="00D43584">
              <w:rPr>
                <w:rFonts w:ascii="Times New Roman" w:hAnsi="Times New Roman" w:cs="Times New Roman"/>
                <w:szCs w:val="24"/>
              </w:rPr>
              <w:t>..</w:t>
            </w:r>
          </w:p>
        </w:tc>
      </w:tr>
      <w:tr w:rsidR="00B33920" w:rsidRPr="00D43584" w14:paraId="2288ED6D" w14:textId="77777777" w:rsidTr="0011190E">
        <w:trPr>
          <w:trHeight w:val="316"/>
        </w:trPr>
        <w:tc>
          <w:tcPr>
            <w:tcW w:w="1049" w:type="dxa"/>
            <w:hideMark/>
          </w:tcPr>
          <w:p w14:paraId="0DFB012E" w14:textId="77777777" w:rsidR="00B33920" w:rsidRPr="00D43584" w:rsidRDefault="00B33920" w:rsidP="00B77C0B">
            <w:pPr>
              <w:pStyle w:val="NoSpacing"/>
              <w:rPr>
                <w:rFonts w:ascii="Times New Roman" w:hAnsi="Times New Roman" w:cs="Times New Roman"/>
                <w:szCs w:val="24"/>
              </w:rPr>
            </w:pPr>
            <w:r w:rsidRPr="00D43584">
              <w:rPr>
                <w:rFonts w:ascii="Times New Roman" w:hAnsi="Times New Roman" w:cs="Times New Roman"/>
                <w:szCs w:val="24"/>
              </w:rPr>
              <w:t>5.</w:t>
            </w:r>
          </w:p>
        </w:tc>
        <w:tc>
          <w:tcPr>
            <w:tcW w:w="2177" w:type="dxa"/>
            <w:hideMark/>
          </w:tcPr>
          <w:p w14:paraId="71690D63" w14:textId="77777777" w:rsidR="00B33920" w:rsidRPr="00D43584" w:rsidRDefault="00B33920" w:rsidP="00B77C0B">
            <w:pPr>
              <w:pStyle w:val="NoSpacing"/>
              <w:rPr>
                <w:rFonts w:ascii="Times New Roman" w:hAnsi="Times New Roman" w:cs="Times New Roman"/>
                <w:szCs w:val="24"/>
              </w:rPr>
            </w:pPr>
            <w:r w:rsidRPr="00D43584">
              <w:rPr>
                <w:rFonts w:ascii="Times New Roman" w:hAnsi="Times New Roman" w:cs="Times New Roman"/>
                <w:szCs w:val="24"/>
              </w:rPr>
              <w:t>Haryana</w:t>
            </w:r>
          </w:p>
        </w:tc>
        <w:tc>
          <w:tcPr>
            <w:tcW w:w="0" w:type="auto"/>
            <w:vAlign w:val="center"/>
            <w:hideMark/>
          </w:tcPr>
          <w:p w14:paraId="66337A56" w14:textId="77777777" w:rsidR="00B33920" w:rsidRPr="00D43584" w:rsidRDefault="00B33920" w:rsidP="0011190E">
            <w:pPr>
              <w:pStyle w:val="NoSpacing"/>
              <w:jc w:val="center"/>
              <w:rPr>
                <w:rFonts w:ascii="Times New Roman" w:hAnsi="Times New Roman" w:cs="Times New Roman"/>
                <w:szCs w:val="24"/>
              </w:rPr>
            </w:pPr>
            <w:r w:rsidRPr="00D43584">
              <w:rPr>
                <w:rFonts w:ascii="Times New Roman" w:hAnsi="Times New Roman" w:cs="Times New Roman"/>
                <w:szCs w:val="24"/>
              </w:rPr>
              <w:t>15</w:t>
            </w:r>
          </w:p>
        </w:tc>
        <w:tc>
          <w:tcPr>
            <w:tcW w:w="0" w:type="auto"/>
            <w:vAlign w:val="center"/>
            <w:hideMark/>
          </w:tcPr>
          <w:p w14:paraId="5FE91A52" w14:textId="77777777" w:rsidR="00B33920" w:rsidRPr="00D43584" w:rsidRDefault="00B33920" w:rsidP="0011190E">
            <w:pPr>
              <w:pStyle w:val="NoSpacing"/>
              <w:jc w:val="center"/>
              <w:rPr>
                <w:rFonts w:ascii="Times New Roman" w:hAnsi="Times New Roman" w:cs="Times New Roman"/>
                <w:szCs w:val="24"/>
              </w:rPr>
            </w:pPr>
            <w:r w:rsidRPr="00D43584">
              <w:rPr>
                <w:rFonts w:ascii="Times New Roman" w:hAnsi="Times New Roman" w:cs="Times New Roman"/>
                <w:szCs w:val="24"/>
              </w:rPr>
              <w:t>45</w:t>
            </w:r>
          </w:p>
        </w:tc>
        <w:tc>
          <w:tcPr>
            <w:tcW w:w="0" w:type="auto"/>
            <w:vAlign w:val="center"/>
            <w:hideMark/>
          </w:tcPr>
          <w:p w14:paraId="0CA396E8" w14:textId="77777777" w:rsidR="00B33920" w:rsidRPr="00D43584" w:rsidRDefault="00B33920" w:rsidP="0011190E">
            <w:pPr>
              <w:pStyle w:val="NoSpacing"/>
              <w:jc w:val="center"/>
              <w:rPr>
                <w:rFonts w:ascii="Times New Roman" w:hAnsi="Times New Roman" w:cs="Times New Roman"/>
                <w:szCs w:val="24"/>
              </w:rPr>
            </w:pPr>
            <w:r w:rsidRPr="00D43584">
              <w:rPr>
                <w:rFonts w:ascii="Times New Roman" w:hAnsi="Times New Roman" w:cs="Times New Roman"/>
                <w:szCs w:val="24"/>
              </w:rPr>
              <w:t>90</w:t>
            </w:r>
          </w:p>
        </w:tc>
        <w:tc>
          <w:tcPr>
            <w:tcW w:w="0" w:type="auto"/>
            <w:vAlign w:val="center"/>
            <w:hideMark/>
          </w:tcPr>
          <w:p w14:paraId="7AE0F0F5" w14:textId="77777777" w:rsidR="00B33920" w:rsidRPr="00D43584" w:rsidRDefault="00B33920" w:rsidP="0011190E">
            <w:pPr>
              <w:pStyle w:val="NoSpacing"/>
              <w:jc w:val="center"/>
              <w:rPr>
                <w:rFonts w:ascii="Times New Roman" w:hAnsi="Times New Roman" w:cs="Times New Roman"/>
                <w:szCs w:val="24"/>
              </w:rPr>
            </w:pPr>
            <w:r w:rsidRPr="00D43584">
              <w:rPr>
                <w:rFonts w:ascii="Times New Roman" w:hAnsi="Times New Roman" w:cs="Times New Roman"/>
                <w:szCs w:val="24"/>
              </w:rPr>
              <w:t>..</w:t>
            </w:r>
          </w:p>
        </w:tc>
      </w:tr>
      <w:tr w:rsidR="00B33920" w:rsidRPr="00D43584" w14:paraId="3C119333" w14:textId="77777777" w:rsidTr="0011190E">
        <w:trPr>
          <w:trHeight w:val="316"/>
        </w:trPr>
        <w:tc>
          <w:tcPr>
            <w:tcW w:w="1049" w:type="dxa"/>
            <w:hideMark/>
          </w:tcPr>
          <w:p w14:paraId="7A094357" w14:textId="77777777" w:rsidR="00B33920" w:rsidRPr="00D43584" w:rsidRDefault="00B33920" w:rsidP="00B77C0B">
            <w:pPr>
              <w:pStyle w:val="NoSpacing"/>
              <w:rPr>
                <w:rFonts w:ascii="Times New Roman" w:hAnsi="Times New Roman" w:cs="Times New Roman"/>
                <w:szCs w:val="24"/>
              </w:rPr>
            </w:pPr>
            <w:r w:rsidRPr="00D43584">
              <w:rPr>
                <w:rFonts w:ascii="Times New Roman" w:hAnsi="Times New Roman" w:cs="Times New Roman"/>
                <w:szCs w:val="24"/>
              </w:rPr>
              <w:t>6.</w:t>
            </w:r>
          </w:p>
        </w:tc>
        <w:tc>
          <w:tcPr>
            <w:tcW w:w="2177" w:type="dxa"/>
            <w:hideMark/>
          </w:tcPr>
          <w:p w14:paraId="50694B27" w14:textId="77777777" w:rsidR="00B33920" w:rsidRPr="00D43584" w:rsidRDefault="00B33920" w:rsidP="00B77C0B">
            <w:pPr>
              <w:pStyle w:val="NoSpacing"/>
              <w:rPr>
                <w:rFonts w:ascii="Times New Roman" w:hAnsi="Times New Roman" w:cs="Times New Roman"/>
                <w:szCs w:val="24"/>
              </w:rPr>
            </w:pPr>
            <w:r w:rsidRPr="00D43584">
              <w:rPr>
                <w:rFonts w:ascii="Times New Roman" w:hAnsi="Times New Roman" w:cs="Times New Roman"/>
                <w:szCs w:val="24"/>
              </w:rPr>
              <w:t>Kerala</w:t>
            </w:r>
          </w:p>
        </w:tc>
        <w:tc>
          <w:tcPr>
            <w:tcW w:w="0" w:type="auto"/>
            <w:vAlign w:val="center"/>
            <w:hideMark/>
          </w:tcPr>
          <w:p w14:paraId="7274FC65" w14:textId="77777777" w:rsidR="00B33920" w:rsidRPr="00D43584" w:rsidRDefault="00B33920" w:rsidP="0011190E">
            <w:pPr>
              <w:pStyle w:val="NoSpacing"/>
              <w:jc w:val="center"/>
              <w:rPr>
                <w:rFonts w:ascii="Times New Roman" w:hAnsi="Times New Roman" w:cs="Times New Roman"/>
                <w:szCs w:val="24"/>
              </w:rPr>
            </w:pPr>
            <w:r w:rsidRPr="00D43584">
              <w:rPr>
                <w:rFonts w:ascii="Times New Roman" w:hAnsi="Times New Roman" w:cs="Times New Roman"/>
                <w:szCs w:val="24"/>
              </w:rPr>
              <w:t>30</w:t>
            </w:r>
          </w:p>
        </w:tc>
        <w:tc>
          <w:tcPr>
            <w:tcW w:w="0" w:type="auto"/>
            <w:vAlign w:val="center"/>
            <w:hideMark/>
          </w:tcPr>
          <w:p w14:paraId="0D0397BF" w14:textId="77777777" w:rsidR="00B33920" w:rsidRPr="00D43584" w:rsidRDefault="00B33920" w:rsidP="0011190E">
            <w:pPr>
              <w:pStyle w:val="NoSpacing"/>
              <w:jc w:val="center"/>
              <w:rPr>
                <w:rFonts w:ascii="Times New Roman" w:hAnsi="Times New Roman" w:cs="Times New Roman"/>
                <w:szCs w:val="24"/>
              </w:rPr>
            </w:pPr>
            <w:r w:rsidRPr="00D43584">
              <w:rPr>
                <w:rFonts w:ascii="Times New Roman" w:hAnsi="Times New Roman" w:cs="Times New Roman"/>
                <w:szCs w:val="24"/>
              </w:rPr>
              <w:t>90</w:t>
            </w:r>
          </w:p>
        </w:tc>
        <w:tc>
          <w:tcPr>
            <w:tcW w:w="0" w:type="auto"/>
            <w:vAlign w:val="center"/>
            <w:hideMark/>
          </w:tcPr>
          <w:p w14:paraId="5DE120F9" w14:textId="77777777" w:rsidR="00B33920" w:rsidRPr="00D43584" w:rsidRDefault="00B33920" w:rsidP="0011190E">
            <w:pPr>
              <w:pStyle w:val="NoSpacing"/>
              <w:jc w:val="center"/>
              <w:rPr>
                <w:rFonts w:ascii="Times New Roman" w:hAnsi="Times New Roman" w:cs="Times New Roman"/>
                <w:szCs w:val="24"/>
              </w:rPr>
            </w:pPr>
            <w:r w:rsidRPr="00D43584">
              <w:rPr>
                <w:rFonts w:ascii="Times New Roman" w:hAnsi="Times New Roman" w:cs="Times New Roman"/>
                <w:szCs w:val="24"/>
              </w:rPr>
              <w:t>180</w:t>
            </w:r>
          </w:p>
        </w:tc>
        <w:tc>
          <w:tcPr>
            <w:tcW w:w="0" w:type="auto"/>
            <w:vAlign w:val="center"/>
            <w:hideMark/>
          </w:tcPr>
          <w:p w14:paraId="20BADF34" w14:textId="77777777" w:rsidR="00B33920" w:rsidRPr="00D43584" w:rsidRDefault="00B33920" w:rsidP="0011190E">
            <w:pPr>
              <w:pStyle w:val="NoSpacing"/>
              <w:jc w:val="center"/>
              <w:rPr>
                <w:rFonts w:ascii="Times New Roman" w:hAnsi="Times New Roman" w:cs="Times New Roman"/>
                <w:szCs w:val="24"/>
              </w:rPr>
            </w:pPr>
            <w:r w:rsidRPr="00D43584">
              <w:rPr>
                <w:rFonts w:ascii="Times New Roman" w:hAnsi="Times New Roman" w:cs="Times New Roman"/>
                <w:szCs w:val="24"/>
              </w:rPr>
              <w:t>195</w:t>
            </w:r>
          </w:p>
        </w:tc>
      </w:tr>
      <w:tr w:rsidR="00B33920" w:rsidRPr="00D43584" w14:paraId="33DE8FE4" w14:textId="77777777" w:rsidTr="0011190E">
        <w:trPr>
          <w:trHeight w:val="530"/>
        </w:trPr>
        <w:tc>
          <w:tcPr>
            <w:tcW w:w="1049" w:type="dxa"/>
            <w:hideMark/>
          </w:tcPr>
          <w:p w14:paraId="0948E60B" w14:textId="77777777" w:rsidR="00B33920" w:rsidRPr="00D43584" w:rsidRDefault="00B33920" w:rsidP="00B77C0B">
            <w:pPr>
              <w:pStyle w:val="NoSpacing"/>
              <w:rPr>
                <w:rFonts w:ascii="Times New Roman" w:hAnsi="Times New Roman" w:cs="Times New Roman"/>
                <w:szCs w:val="24"/>
              </w:rPr>
            </w:pPr>
            <w:r w:rsidRPr="00D43584">
              <w:rPr>
                <w:rFonts w:ascii="Times New Roman" w:hAnsi="Times New Roman" w:cs="Times New Roman"/>
                <w:szCs w:val="24"/>
              </w:rPr>
              <w:t>7.</w:t>
            </w:r>
          </w:p>
        </w:tc>
        <w:tc>
          <w:tcPr>
            <w:tcW w:w="2177" w:type="dxa"/>
            <w:hideMark/>
          </w:tcPr>
          <w:p w14:paraId="4CADF7A8" w14:textId="77777777" w:rsidR="00B33920" w:rsidRPr="00D43584" w:rsidRDefault="00B33920" w:rsidP="00B77C0B">
            <w:pPr>
              <w:pStyle w:val="NoSpacing"/>
              <w:rPr>
                <w:rFonts w:ascii="Times New Roman" w:hAnsi="Times New Roman" w:cs="Times New Roman"/>
                <w:szCs w:val="24"/>
              </w:rPr>
            </w:pPr>
            <w:r w:rsidRPr="00D43584">
              <w:rPr>
                <w:rFonts w:ascii="Times New Roman" w:hAnsi="Times New Roman" w:cs="Times New Roman"/>
                <w:szCs w:val="24"/>
              </w:rPr>
              <w:t>Madhya Pradesh</w:t>
            </w:r>
          </w:p>
        </w:tc>
        <w:tc>
          <w:tcPr>
            <w:tcW w:w="0" w:type="auto"/>
            <w:vAlign w:val="center"/>
            <w:hideMark/>
          </w:tcPr>
          <w:p w14:paraId="4902C2B2" w14:textId="77777777" w:rsidR="00B33920" w:rsidRPr="00D43584" w:rsidRDefault="00B33920" w:rsidP="0011190E">
            <w:pPr>
              <w:pStyle w:val="NoSpacing"/>
              <w:jc w:val="center"/>
              <w:rPr>
                <w:rFonts w:ascii="Times New Roman" w:hAnsi="Times New Roman" w:cs="Times New Roman"/>
                <w:szCs w:val="24"/>
              </w:rPr>
            </w:pPr>
            <w:r w:rsidRPr="00D43584">
              <w:rPr>
                <w:rFonts w:ascii="Times New Roman" w:hAnsi="Times New Roman" w:cs="Times New Roman"/>
                <w:szCs w:val="24"/>
              </w:rPr>
              <w:t>40</w:t>
            </w:r>
          </w:p>
        </w:tc>
        <w:tc>
          <w:tcPr>
            <w:tcW w:w="0" w:type="auto"/>
            <w:vAlign w:val="center"/>
            <w:hideMark/>
          </w:tcPr>
          <w:p w14:paraId="09F3F844" w14:textId="77777777" w:rsidR="00B33920" w:rsidRPr="00D43584" w:rsidRDefault="00B33920" w:rsidP="0011190E">
            <w:pPr>
              <w:pStyle w:val="NoSpacing"/>
              <w:jc w:val="center"/>
              <w:rPr>
                <w:rFonts w:ascii="Times New Roman" w:hAnsi="Times New Roman" w:cs="Times New Roman"/>
                <w:szCs w:val="24"/>
              </w:rPr>
            </w:pPr>
            <w:r w:rsidRPr="00D43584">
              <w:rPr>
                <w:rFonts w:ascii="Times New Roman" w:hAnsi="Times New Roman" w:cs="Times New Roman"/>
                <w:szCs w:val="24"/>
              </w:rPr>
              <w:t>120</w:t>
            </w:r>
          </w:p>
        </w:tc>
        <w:tc>
          <w:tcPr>
            <w:tcW w:w="0" w:type="auto"/>
            <w:vAlign w:val="center"/>
            <w:hideMark/>
          </w:tcPr>
          <w:p w14:paraId="6F87F4C2" w14:textId="77777777" w:rsidR="00B33920" w:rsidRPr="00D43584" w:rsidRDefault="00B33920" w:rsidP="0011190E">
            <w:pPr>
              <w:pStyle w:val="NoSpacing"/>
              <w:jc w:val="center"/>
              <w:rPr>
                <w:rFonts w:ascii="Times New Roman" w:hAnsi="Times New Roman" w:cs="Times New Roman"/>
                <w:szCs w:val="24"/>
              </w:rPr>
            </w:pPr>
            <w:r w:rsidRPr="00D43584">
              <w:rPr>
                <w:rFonts w:ascii="Times New Roman" w:hAnsi="Times New Roman" w:cs="Times New Roman"/>
                <w:szCs w:val="24"/>
              </w:rPr>
              <w:t>240</w:t>
            </w:r>
          </w:p>
        </w:tc>
        <w:tc>
          <w:tcPr>
            <w:tcW w:w="0" w:type="auto"/>
            <w:vAlign w:val="center"/>
            <w:hideMark/>
          </w:tcPr>
          <w:p w14:paraId="4DC5AF2F" w14:textId="77777777" w:rsidR="00B33920" w:rsidRPr="00D43584" w:rsidRDefault="00B33920" w:rsidP="0011190E">
            <w:pPr>
              <w:pStyle w:val="NoSpacing"/>
              <w:jc w:val="center"/>
              <w:rPr>
                <w:rFonts w:ascii="Times New Roman" w:hAnsi="Times New Roman" w:cs="Times New Roman"/>
                <w:szCs w:val="24"/>
              </w:rPr>
            </w:pPr>
            <w:r w:rsidRPr="00D43584">
              <w:rPr>
                <w:rFonts w:ascii="Times New Roman" w:hAnsi="Times New Roman" w:cs="Times New Roman"/>
                <w:szCs w:val="24"/>
              </w:rPr>
              <w:t>40</w:t>
            </w:r>
          </w:p>
        </w:tc>
      </w:tr>
      <w:tr w:rsidR="00B33920" w:rsidRPr="00D43584" w14:paraId="0B6A385E" w14:textId="77777777" w:rsidTr="0011190E">
        <w:trPr>
          <w:trHeight w:val="307"/>
        </w:trPr>
        <w:tc>
          <w:tcPr>
            <w:tcW w:w="1049" w:type="dxa"/>
            <w:hideMark/>
          </w:tcPr>
          <w:p w14:paraId="7C42F44B" w14:textId="77777777" w:rsidR="00B33920" w:rsidRPr="00D43584" w:rsidRDefault="00B33920" w:rsidP="00B77C0B">
            <w:pPr>
              <w:pStyle w:val="NoSpacing"/>
              <w:rPr>
                <w:rFonts w:ascii="Times New Roman" w:hAnsi="Times New Roman" w:cs="Times New Roman"/>
                <w:szCs w:val="24"/>
              </w:rPr>
            </w:pPr>
            <w:r w:rsidRPr="00D43584">
              <w:rPr>
                <w:rFonts w:ascii="Times New Roman" w:hAnsi="Times New Roman" w:cs="Times New Roman"/>
                <w:szCs w:val="24"/>
              </w:rPr>
              <w:t>8.</w:t>
            </w:r>
          </w:p>
        </w:tc>
        <w:tc>
          <w:tcPr>
            <w:tcW w:w="2177" w:type="dxa"/>
            <w:hideMark/>
          </w:tcPr>
          <w:p w14:paraId="2FA2D29D" w14:textId="77777777" w:rsidR="00B33920" w:rsidRPr="00D43584" w:rsidRDefault="00B33920" w:rsidP="00B77C0B">
            <w:pPr>
              <w:pStyle w:val="NoSpacing"/>
              <w:rPr>
                <w:rFonts w:ascii="Times New Roman" w:hAnsi="Times New Roman" w:cs="Times New Roman"/>
                <w:szCs w:val="24"/>
              </w:rPr>
            </w:pPr>
            <w:r w:rsidRPr="00D43584">
              <w:rPr>
                <w:rFonts w:ascii="Times New Roman" w:hAnsi="Times New Roman" w:cs="Times New Roman"/>
                <w:szCs w:val="24"/>
              </w:rPr>
              <w:t>Madras</w:t>
            </w:r>
          </w:p>
        </w:tc>
        <w:tc>
          <w:tcPr>
            <w:tcW w:w="0" w:type="auto"/>
            <w:vAlign w:val="center"/>
            <w:hideMark/>
          </w:tcPr>
          <w:p w14:paraId="1476A422" w14:textId="77777777" w:rsidR="00B33920" w:rsidRPr="00D43584" w:rsidRDefault="00B33920" w:rsidP="0011190E">
            <w:pPr>
              <w:pStyle w:val="NoSpacing"/>
              <w:jc w:val="center"/>
              <w:rPr>
                <w:rFonts w:ascii="Times New Roman" w:hAnsi="Times New Roman" w:cs="Times New Roman"/>
                <w:szCs w:val="24"/>
              </w:rPr>
            </w:pPr>
            <w:r w:rsidRPr="00D43584">
              <w:rPr>
                <w:rFonts w:ascii="Times New Roman" w:hAnsi="Times New Roman" w:cs="Times New Roman"/>
                <w:szCs w:val="24"/>
              </w:rPr>
              <w:t>55</w:t>
            </w:r>
          </w:p>
        </w:tc>
        <w:tc>
          <w:tcPr>
            <w:tcW w:w="0" w:type="auto"/>
            <w:vAlign w:val="center"/>
            <w:hideMark/>
          </w:tcPr>
          <w:p w14:paraId="268370B0" w14:textId="77777777" w:rsidR="00B33920" w:rsidRPr="00D43584" w:rsidRDefault="00B33920" w:rsidP="0011190E">
            <w:pPr>
              <w:pStyle w:val="NoSpacing"/>
              <w:jc w:val="center"/>
              <w:rPr>
                <w:rFonts w:ascii="Times New Roman" w:hAnsi="Times New Roman" w:cs="Times New Roman"/>
                <w:szCs w:val="24"/>
              </w:rPr>
            </w:pPr>
            <w:r w:rsidRPr="00D43584">
              <w:rPr>
                <w:rFonts w:ascii="Times New Roman" w:hAnsi="Times New Roman" w:cs="Times New Roman"/>
                <w:szCs w:val="24"/>
              </w:rPr>
              <w:t>165</w:t>
            </w:r>
          </w:p>
        </w:tc>
        <w:tc>
          <w:tcPr>
            <w:tcW w:w="0" w:type="auto"/>
            <w:vAlign w:val="center"/>
            <w:hideMark/>
          </w:tcPr>
          <w:p w14:paraId="1B86DC97" w14:textId="77777777" w:rsidR="00B33920" w:rsidRPr="00D43584" w:rsidRDefault="00B33920" w:rsidP="0011190E">
            <w:pPr>
              <w:pStyle w:val="NoSpacing"/>
              <w:jc w:val="center"/>
              <w:rPr>
                <w:rFonts w:ascii="Times New Roman" w:hAnsi="Times New Roman" w:cs="Times New Roman"/>
                <w:szCs w:val="24"/>
              </w:rPr>
            </w:pPr>
            <w:r w:rsidRPr="00D43584">
              <w:rPr>
                <w:rFonts w:ascii="Times New Roman" w:hAnsi="Times New Roman" w:cs="Times New Roman"/>
                <w:szCs w:val="24"/>
              </w:rPr>
              <w:t>330</w:t>
            </w:r>
          </w:p>
        </w:tc>
        <w:tc>
          <w:tcPr>
            <w:tcW w:w="0" w:type="auto"/>
            <w:vAlign w:val="center"/>
            <w:hideMark/>
          </w:tcPr>
          <w:p w14:paraId="1FC95FBA" w14:textId="77777777" w:rsidR="00B33920" w:rsidRPr="00D43584" w:rsidRDefault="00B33920" w:rsidP="0011190E">
            <w:pPr>
              <w:pStyle w:val="NoSpacing"/>
              <w:jc w:val="center"/>
              <w:rPr>
                <w:rFonts w:ascii="Times New Roman" w:hAnsi="Times New Roman" w:cs="Times New Roman"/>
                <w:szCs w:val="24"/>
              </w:rPr>
            </w:pPr>
            <w:r w:rsidRPr="00D43584">
              <w:rPr>
                <w:rFonts w:ascii="Times New Roman" w:hAnsi="Times New Roman" w:cs="Times New Roman"/>
                <w:szCs w:val="24"/>
              </w:rPr>
              <w:t>..</w:t>
            </w:r>
          </w:p>
        </w:tc>
      </w:tr>
      <w:tr w:rsidR="00B33920" w:rsidRPr="00D43584" w14:paraId="427D0F2C" w14:textId="77777777" w:rsidTr="0011190E">
        <w:trPr>
          <w:trHeight w:val="316"/>
        </w:trPr>
        <w:tc>
          <w:tcPr>
            <w:tcW w:w="1049" w:type="dxa"/>
            <w:hideMark/>
          </w:tcPr>
          <w:p w14:paraId="050120CE" w14:textId="77777777" w:rsidR="00B33920" w:rsidRPr="00D43584" w:rsidRDefault="00B33920" w:rsidP="00B77C0B">
            <w:pPr>
              <w:pStyle w:val="NoSpacing"/>
              <w:rPr>
                <w:rFonts w:ascii="Times New Roman" w:hAnsi="Times New Roman" w:cs="Times New Roman"/>
                <w:szCs w:val="24"/>
              </w:rPr>
            </w:pPr>
            <w:r w:rsidRPr="00D43584">
              <w:rPr>
                <w:rFonts w:ascii="Times New Roman" w:hAnsi="Times New Roman" w:cs="Times New Roman"/>
                <w:szCs w:val="24"/>
              </w:rPr>
              <w:t>9.</w:t>
            </w:r>
          </w:p>
        </w:tc>
        <w:tc>
          <w:tcPr>
            <w:tcW w:w="2177" w:type="dxa"/>
            <w:hideMark/>
          </w:tcPr>
          <w:p w14:paraId="17542A39" w14:textId="77777777" w:rsidR="00B33920" w:rsidRPr="00D43584" w:rsidRDefault="00B33920" w:rsidP="00B77C0B">
            <w:pPr>
              <w:pStyle w:val="NoSpacing"/>
              <w:rPr>
                <w:rFonts w:ascii="Times New Roman" w:hAnsi="Times New Roman" w:cs="Times New Roman"/>
                <w:szCs w:val="24"/>
              </w:rPr>
            </w:pPr>
            <w:r w:rsidRPr="00D43584">
              <w:rPr>
                <w:rFonts w:ascii="Times New Roman" w:hAnsi="Times New Roman" w:cs="Times New Roman"/>
                <w:szCs w:val="24"/>
              </w:rPr>
              <w:t>Maharashtra</w:t>
            </w:r>
          </w:p>
        </w:tc>
        <w:tc>
          <w:tcPr>
            <w:tcW w:w="0" w:type="auto"/>
            <w:vAlign w:val="center"/>
            <w:hideMark/>
          </w:tcPr>
          <w:p w14:paraId="12E486B4" w14:textId="77777777" w:rsidR="00B33920" w:rsidRPr="00D43584" w:rsidRDefault="00B33920" w:rsidP="0011190E">
            <w:pPr>
              <w:pStyle w:val="NoSpacing"/>
              <w:jc w:val="center"/>
              <w:rPr>
                <w:rFonts w:ascii="Times New Roman" w:hAnsi="Times New Roman" w:cs="Times New Roman"/>
                <w:szCs w:val="24"/>
              </w:rPr>
            </w:pPr>
            <w:r w:rsidRPr="00D43584">
              <w:rPr>
                <w:rFonts w:ascii="Times New Roman" w:hAnsi="Times New Roman" w:cs="Times New Roman"/>
                <w:szCs w:val="24"/>
              </w:rPr>
              <w:t>75</w:t>
            </w:r>
          </w:p>
        </w:tc>
        <w:tc>
          <w:tcPr>
            <w:tcW w:w="0" w:type="auto"/>
            <w:vAlign w:val="center"/>
            <w:hideMark/>
          </w:tcPr>
          <w:p w14:paraId="6410717E" w14:textId="77777777" w:rsidR="00B33920" w:rsidRPr="00D43584" w:rsidRDefault="00B33920" w:rsidP="0011190E">
            <w:pPr>
              <w:pStyle w:val="NoSpacing"/>
              <w:jc w:val="center"/>
              <w:rPr>
                <w:rFonts w:ascii="Times New Roman" w:hAnsi="Times New Roman" w:cs="Times New Roman"/>
                <w:szCs w:val="24"/>
              </w:rPr>
            </w:pPr>
            <w:r w:rsidRPr="00D43584">
              <w:rPr>
                <w:rFonts w:ascii="Times New Roman" w:hAnsi="Times New Roman" w:cs="Times New Roman"/>
                <w:szCs w:val="24"/>
              </w:rPr>
              <w:t>225</w:t>
            </w:r>
          </w:p>
        </w:tc>
        <w:tc>
          <w:tcPr>
            <w:tcW w:w="0" w:type="auto"/>
            <w:vAlign w:val="center"/>
            <w:hideMark/>
          </w:tcPr>
          <w:p w14:paraId="65DEE143" w14:textId="77777777" w:rsidR="00B33920" w:rsidRPr="00D43584" w:rsidRDefault="00B33920" w:rsidP="0011190E">
            <w:pPr>
              <w:pStyle w:val="NoSpacing"/>
              <w:jc w:val="center"/>
              <w:rPr>
                <w:rFonts w:ascii="Times New Roman" w:hAnsi="Times New Roman" w:cs="Times New Roman"/>
                <w:szCs w:val="24"/>
              </w:rPr>
            </w:pPr>
            <w:r w:rsidRPr="00D43584">
              <w:rPr>
                <w:rFonts w:ascii="Times New Roman" w:hAnsi="Times New Roman" w:cs="Times New Roman"/>
                <w:szCs w:val="24"/>
              </w:rPr>
              <w:t>450</w:t>
            </w:r>
          </w:p>
        </w:tc>
        <w:tc>
          <w:tcPr>
            <w:tcW w:w="0" w:type="auto"/>
            <w:vAlign w:val="center"/>
            <w:hideMark/>
          </w:tcPr>
          <w:p w14:paraId="3274B629" w14:textId="77777777" w:rsidR="00B33920" w:rsidRPr="00D43584" w:rsidRDefault="00B33920" w:rsidP="0011190E">
            <w:pPr>
              <w:pStyle w:val="NoSpacing"/>
              <w:jc w:val="center"/>
              <w:rPr>
                <w:rFonts w:ascii="Times New Roman" w:hAnsi="Times New Roman" w:cs="Times New Roman"/>
                <w:szCs w:val="24"/>
              </w:rPr>
            </w:pPr>
            <w:r w:rsidRPr="00D43584">
              <w:rPr>
                <w:rFonts w:ascii="Times New Roman" w:hAnsi="Times New Roman" w:cs="Times New Roman"/>
                <w:szCs w:val="24"/>
              </w:rPr>
              <w:t>..</w:t>
            </w:r>
          </w:p>
        </w:tc>
      </w:tr>
      <w:tr w:rsidR="00B33920" w:rsidRPr="00D43584" w14:paraId="51FC49BF" w14:textId="77777777" w:rsidTr="0011190E">
        <w:trPr>
          <w:trHeight w:val="316"/>
        </w:trPr>
        <w:tc>
          <w:tcPr>
            <w:tcW w:w="1049" w:type="dxa"/>
            <w:hideMark/>
          </w:tcPr>
          <w:p w14:paraId="52BBE160" w14:textId="77777777" w:rsidR="00B33920" w:rsidRPr="00D43584" w:rsidRDefault="00B33920" w:rsidP="00B77C0B">
            <w:pPr>
              <w:pStyle w:val="NoSpacing"/>
              <w:rPr>
                <w:rFonts w:ascii="Times New Roman" w:hAnsi="Times New Roman" w:cs="Times New Roman"/>
                <w:szCs w:val="24"/>
              </w:rPr>
            </w:pPr>
            <w:r w:rsidRPr="00D43584">
              <w:rPr>
                <w:rFonts w:ascii="Times New Roman" w:hAnsi="Times New Roman" w:cs="Times New Roman"/>
                <w:szCs w:val="24"/>
              </w:rPr>
              <w:t>10.</w:t>
            </w:r>
          </w:p>
        </w:tc>
        <w:tc>
          <w:tcPr>
            <w:tcW w:w="2177" w:type="dxa"/>
            <w:hideMark/>
          </w:tcPr>
          <w:p w14:paraId="0CC20A47" w14:textId="77777777" w:rsidR="00B33920" w:rsidRPr="00D43584" w:rsidRDefault="00B33920" w:rsidP="00B77C0B">
            <w:pPr>
              <w:pStyle w:val="NoSpacing"/>
              <w:rPr>
                <w:rFonts w:ascii="Times New Roman" w:hAnsi="Times New Roman" w:cs="Times New Roman"/>
                <w:szCs w:val="24"/>
              </w:rPr>
            </w:pPr>
            <w:r w:rsidRPr="00D43584">
              <w:rPr>
                <w:rFonts w:ascii="Times New Roman" w:hAnsi="Times New Roman" w:cs="Times New Roman"/>
                <w:szCs w:val="24"/>
              </w:rPr>
              <w:t>Mysore</w:t>
            </w:r>
          </w:p>
        </w:tc>
        <w:tc>
          <w:tcPr>
            <w:tcW w:w="0" w:type="auto"/>
            <w:vAlign w:val="center"/>
            <w:hideMark/>
          </w:tcPr>
          <w:p w14:paraId="0B10F693" w14:textId="77777777" w:rsidR="00B33920" w:rsidRPr="00D43584" w:rsidRDefault="00B33920" w:rsidP="0011190E">
            <w:pPr>
              <w:pStyle w:val="NoSpacing"/>
              <w:jc w:val="center"/>
              <w:rPr>
                <w:rFonts w:ascii="Times New Roman" w:hAnsi="Times New Roman" w:cs="Times New Roman"/>
                <w:szCs w:val="24"/>
              </w:rPr>
            </w:pPr>
            <w:r w:rsidRPr="00D43584">
              <w:rPr>
                <w:rFonts w:ascii="Times New Roman" w:hAnsi="Times New Roman" w:cs="Times New Roman"/>
                <w:szCs w:val="24"/>
              </w:rPr>
              <w:t>40</w:t>
            </w:r>
          </w:p>
        </w:tc>
        <w:tc>
          <w:tcPr>
            <w:tcW w:w="0" w:type="auto"/>
            <w:vAlign w:val="center"/>
            <w:hideMark/>
          </w:tcPr>
          <w:p w14:paraId="24D02265" w14:textId="77777777" w:rsidR="00B33920" w:rsidRPr="00D43584" w:rsidRDefault="00B33920" w:rsidP="0011190E">
            <w:pPr>
              <w:pStyle w:val="NoSpacing"/>
              <w:jc w:val="center"/>
              <w:rPr>
                <w:rFonts w:ascii="Times New Roman" w:hAnsi="Times New Roman" w:cs="Times New Roman"/>
                <w:szCs w:val="24"/>
              </w:rPr>
            </w:pPr>
            <w:r w:rsidRPr="00D43584">
              <w:rPr>
                <w:rFonts w:ascii="Times New Roman" w:hAnsi="Times New Roman" w:cs="Times New Roman"/>
                <w:szCs w:val="24"/>
              </w:rPr>
              <w:t>120</w:t>
            </w:r>
          </w:p>
        </w:tc>
        <w:tc>
          <w:tcPr>
            <w:tcW w:w="0" w:type="auto"/>
            <w:vAlign w:val="center"/>
            <w:hideMark/>
          </w:tcPr>
          <w:p w14:paraId="5FC450FC" w14:textId="77777777" w:rsidR="00B33920" w:rsidRPr="00D43584" w:rsidRDefault="00B33920" w:rsidP="0011190E">
            <w:pPr>
              <w:pStyle w:val="NoSpacing"/>
              <w:jc w:val="center"/>
              <w:rPr>
                <w:rFonts w:ascii="Times New Roman" w:hAnsi="Times New Roman" w:cs="Times New Roman"/>
                <w:szCs w:val="24"/>
              </w:rPr>
            </w:pPr>
            <w:r w:rsidRPr="00D43584">
              <w:rPr>
                <w:rFonts w:ascii="Times New Roman" w:hAnsi="Times New Roman" w:cs="Times New Roman"/>
                <w:szCs w:val="24"/>
              </w:rPr>
              <w:t>240</w:t>
            </w:r>
          </w:p>
        </w:tc>
        <w:tc>
          <w:tcPr>
            <w:tcW w:w="0" w:type="auto"/>
            <w:vAlign w:val="center"/>
            <w:hideMark/>
          </w:tcPr>
          <w:p w14:paraId="0963BAA7" w14:textId="77777777" w:rsidR="00B33920" w:rsidRPr="00D43584" w:rsidRDefault="00B33920" w:rsidP="0011190E">
            <w:pPr>
              <w:pStyle w:val="NoSpacing"/>
              <w:jc w:val="center"/>
              <w:rPr>
                <w:rFonts w:ascii="Times New Roman" w:hAnsi="Times New Roman" w:cs="Times New Roman"/>
                <w:szCs w:val="24"/>
              </w:rPr>
            </w:pPr>
            <w:r w:rsidRPr="00D43584">
              <w:rPr>
                <w:rFonts w:ascii="Times New Roman" w:hAnsi="Times New Roman" w:cs="Times New Roman"/>
                <w:szCs w:val="24"/>
              </w:rPr>
              <w:t>65</w:t>
            </w:r>
          </w:p>
        </w:tc>
      </w:tr>
      <w:tr w:rsidR="00B33920" w:rsidRPr="00D43584" w14:paraId="0CAC39E8" w14:textId="77777777" w:rsidTr="0011190E">
        <w:trPr>
          <w:trHeight w:val="307"/>
        </w:trPr>
        <w:tc>
          <w:tcPr>
            <w:tcW w:w="1049" w:type="dxa"/>
            <w:hideMark/>
          </w:tcPr>
          <w:p w14:paraId="56A5FD40" w14:textId="77777777" w:rsidR="00B33920" w:rsidRPr="00D43584" w:rsidRDefault="00B33920" w:rsidP="00B77C0B">
            <w:pPr>
              <w:pStyle w:val="NoSpacing"/>
              <w:rPr>
                <w:rFonts w:ascii="Times New Roman" w:hAnsi="Times New Roman" w:cs="Times New Roman"/>
                <w:szCs w:val="24"/>
              </w:rPr>
            </w:pPr>
            <w:r w:rsidRPr="00D43584">
              <w:rPr>
                <w:rFonts w:ascii="Times New Roman" w:hAnsi="Times New Roman" w:cs="Times New Roman"/>
                <w:szCs w:val="24"/>
              </w:rPr>
              <w:t>11.</w:t>
            </w:r>
          </w:p>
        </w:tc>
        <w:tc>
          <w:tcPr>
            <w:tcW w:w="2177" w:type="dxa"/>
            <w:hideMark/>
          </w:tcPr>
          <w:p w14:paraId="38F16A6D" w14:textId="77777777" w:rsidR="00B33920" w:rsidRPr="00D43584" w:rsidRDefault="00B33920" w:rsidP="00B77C0B">
            <w:pPr>
              <w:pStyle w:val="NoSpacing"/>
              <w:rPr>
                <w:rFonts w:ascii="Times New Roman" w:hAnsi="Times New Roman" w:cs="Times New Roman"/>
                <w:szCs w:val="24"/>
              </w:rPr>
            </w:pPr>
            <w:r w:rsidRPr="00D43584">
              <w:rPr>
                <w:rFonts w:ascii="Times New Roman" w:hAnsi="Times New Roman" w:cs="Times New Roman"/>
                <w:szCs w:val="24"/>
              </w:rPr>
              <w:t>Nagaland</w:t>
            </w:r>
          </w:p>
        </w:tc>
        <w:tc>
          <w:tcPr>
            <w:tcW w:w="0" w:type="auto"/>
            <w:vAlign w:val="center"/>
            <w:hideMark/>
          </w:tcPr>
          <w:p w14:paraId="208C99D6" w14:textId="77777777" w:rsidR="00B33920" w:rsidRPr="00D43584" w:rsidRDefault="00B33920" w:rsidP="0011190E">
            <w:pPr>
              <w:pStyle w:val="NoSpacing"/>
              <w:jc w:val="center"/>
              <w:rPr>
                <w:rFonts w:ascii="Times New Roman" w:hAnsi="Times New Roman" w:cs="Times New Roman"/>
                <w:szCs w:val="24"/>
              </w:rPr>
            </w:pPr>
            <w:r w:rsidRPr="00D43584">
              <w:rPr>
                <w:rFonts w:ascii="Times New Roman" w:hAnsi="Times New Roman" w:cs="Times New Roman"/>
                <w:szCs w:val="24"/>
              </w:rPr>
              <w:t>5</w:t>
            </w:r>
          </w:p>
        </w:tc>
        <w:tc>
          <w:tcPr>
            <w:tcW w:w="0" w:type="auto"/>
            <w:vAlign w:val="center"/>
            <w:hideMark/>
          </w:tcPr>
          <w:p w14:paraId="4CF67019" w14:textId="77777777" w:rsidR="00B33920" w:rsidRPr="00D43584" w:rsidRDefault="00B33920" w:rsidP="0011190E">
            <w:pPr>
              <w:pStyle w:val="NoSpacing"/>
              <w:jc w:val="center"/>
              <w:rPr>
                <w:rFonts w:ascii="Times New Roman" w:hAnsi="Times New Roman" w:cs="Times New Roman"/>
                <w:szCs w:val="24"/>
              </w:rPr>
            </w:pPr>
            <w:r w:rsidRPr="00D43584">
              <w:rPr>
                <w:rFonts w:ascii="Times New Roman" w:hAnsi="Times New Roman" w:cs="Times New Roman"/>
                <w:szCs w:val="24"/>
              </w:rPr>
              <w:t>15</w:t>
            </w:r>
          </w:p>
        </w:tc>
        <w:tc>
          <w:tcPr>
            <w:tcW w:w="0" w:type="auto"/>
            <w:vAlign w:val="center"/>
            <w:hideMark/>
          </w:tcPr>
          <w:p w14:paraId="25374241" w14:textId="77777777" w:rsidR="00B33920" w:rsidRPr="00D43584" w:rsidRDefault="00B33920" w:rsidP="0011190E">
            <w:pPr>
              <w:pStyle w:val="NoSpacing"/>
              <w:jc w:val="center"/>
              <w:rPr>
                <w:rFonts w:ascii="Times New Roman" w:hAnsi="Times New Roman" w:cs="Times New Roman"/>
                <w:szCs w:val="24"/>
              </w:rPr>
            </w:pPr>
            <w:r w:rsidRPr="00D43584">
              <w:rPr>
                <w:rFonts w:ascii="Times New Roman" w:hAnsi="Times New Roman" w:cs="Times New Roman"/>
                <w:szCs w:val="24"/>
              </w:rPr>
              <w:t>30*</w:t>
            </w:r>
          </w:p>
        </w:tc>
        <w:tc>
          <w:tcPr>
            <w:tcW w:w="0" w:type="auto"/>
            <w:vAlign w:val="center"/>
            <w:hideMark/>
          </w:tcPr>
          <w:p w14:paraId="53F582EA" w14:textId="77777777" w:rsidR="00B33920" w:rsidRPr="00D43584" w:rsidRDefault="00B33920" w:rsidP="0011190E">
            <w:pPr>
              <w:pStyle w:val="NoSpacing"/>
              <w:jc w:val="center"/>
              <w:rPr>
                <w:rFonts w:ascii="Times New Roman" w:hAnsi="Times New Roman" w:cs="Times New Roman"/>
                <w:szCs w:val="24"/>
              </w:rPr>
            </w:pPr>
            <w:r w:rsidRPr="00D43584">
              <w:rPr>
                <w:rFonts w:ascii="Times New Roman" w:hAnsi="Times New Roman" w:cs="Times New Roman"/>
                <w:szCs w:val="24"/>
              </w:rPr>
              <w:t>..</w:t>
            </w:r>
          </w:p>
        </w:tc>
      </w:tr>
      <w:tr w:rsidR="00B33920" w:rsidRPr="00D43584" w14:paraId="1522F99A" w14:textId="77777777" w:rsidTr="0011190E">
        <w:trPr>
          <w:trHeight w:val="316"/>
        </w:trPr>
        <w:tc>
          <w:tcPr>
            <w:tcW w:w="1049" w:type="dxa"/>
            <w:hideMark/>
          </w:tcPr>
          <w:p w14:paraId="4636262A" w14:textId="77777777" w:rsidR="00B33920" w:rsidRPr="00D43584" w:rsidRDefault="00B33920" w:rsidP="00B77C0B">
            <w:pPr>
              <w:pStyle w:val="NoSpacing"/>
              <w:rPr>
                <w:rFonts w:ascii="Times New Roman" w:hAnsi="Times New Roman" w:cs="Times New Roman"/>
                <w:szCs w:val="24"/>
              </w:rPr>
            </w:pPr>
            <w:r w:rsidRPr="00D43584">
              <w:rPr>
                <w:rFonts w:ascii="Times New Roman" w:hAnsi="Times New Roman" w:cs="Times New Roman"/>
                <w:szCs w:val="24"/>
              </w:rPr>
              <w:t>12.</w:t>
            </w:r>
          </w:p>
        </w:tc>
        <w:tc>
          <w:tcPr>
            <w:tcW w:w="2177" w:type="dxa"/>
            <w:hideMark/>
          </w:tcPr>
          <w:p w14:paraId="2662EB88" w14:textId="77777777" w:rsidR="00B33920" w:rsidRPr="00D43584" w:rsidRDefault="00B33920" w:rsidP="00B77C0B">
            <w:pPr>
              <w:pStyle w:val="NoSpacing"/>
              <w:rPr>
                <w:rFonts w:ascii="Times New Roman" w:hAnsi="Times New Roman" w:cs="Times New Roman"/>
                <w:szCs w:val="24"/>
              </w:rPr>
            </w:pPr>
            <w:r w:rsidRPr="00D43584">
              <w:rPr>
                <w:rFonts w:ascii="Times New Roman" w:hAnsi="Times New Roman" w:cs="Times New Roman"/>
                <w:szCs w:val="24"/>
              </w:rPr>
              <w:t>Orissa</w:t>
            </w:r>
          </w:p>
        </w:tc>
        <w:tc>
          <w:tcPr>
            <w:tcW w:w="0" w:type="auto"/>
            <w:vAlign w:val="center"/>
            <w:hideMark/>
          </w:tcPr>
          <w:p w14:paraId="3BF284D1" w14:textId="77777777" w:rsidR="00B33920" w:rsidRPr="00D43584" w:rsidRDefault="00B33920" w:rsidP="0011190E">
            <w:pPr>
              <w:pStyle w:val="NoSpacing"/>
              <w:jc w:val="center"/>
              <w:rPr>
                <w:rFonts w:ascii="Times New Roman" w:hAnsi="Times New Roman" w:cs="Times New Roman"/>
                <w:szCs w:val="24"/>
              </w:rPr>
            </w:pPr>
            <w:r w:rsidRPr="00D43584">
              <w:rPr>
                <w:rFonts w:ascii="Times New Roman" w:hAnsi="Times New Roman" w:cs="Times New Roman"/>
                <w:szCs w:val="24"/>
              </w:rPr>
              <w:t>30</w:t>
            </w:r>
          </w:p>
        </w:tc>
        <w:tc>
          <w:tcPr>
            <w:tcW w:w="0" w:type="auto"/>
            <w:vAlign w:val="center"/>
            <w:hideMark/>
          </w:tcPr>
          <w:p w14:paraId="61DE198B" w14:textId="77777777" w:rsidR="00B33920" w:rsidRPr="00D43584" w:rsidRDefault="00B33920" w:rsidP="0011190E">
            <w:pPr>
              <w:pStyle w:val="NoSpacing"/>
              <w:jc w:val="center"/>
              <w:rPr>
                <w:rFonts w:ascii="Times New Roman" w:hAnsi="Times New Roman" w:cs="Times New Roman"/>
                <w:szCs w:val="24"/>
              </w:rPr>
            </w:pPr>
            <w:r w:rsidRPr="00D43584">
              <w:rPr>
                <w:rFonts w:ascii="Times New Roman" w:hAnsi="Times New Roman" w:cs="Times New Roman"/>
                <w:szCs w:val="24"/>
              </w:rPr>
              <w:t>90</w:t>
            </w:r>
          </w:p>
        </w:tc>
        <w:tc>
          <w:tcPr>
            <w:tcW w:w="0" w:type="auto"/>
            <w:vAlign w:val="center"/>
            <w:hideMark/>
          </w:tcPr>
          <w:p w14:paraId="2086DE9C" w14:textId="77777777" w:rsidR="00B33920" w:rsidRPr="00D43584" w:rsidRDefault="00B33920" w:rsidP="0011190E">
            <w:pPr>
              <w:pStyle w:val="NoSpacing"/>
              <w:jc w:val="center"/>
              <w:rPr>
                <w:rFonts w:ascii="Times New Roman" w:hAnsi="Times New Roman" w:cs="Times New Roman"/>
                <w:szCs w:val="24"/>
              </w:rPr>
            </w:pPr>
            <w:r w:rsidRPr="00D43584">
              <w:rPr>
                <w:rFonts w:ascii="Times New Roman" w:hAnsi="Times New Roman" w:cs="Times New Roman"/>
                <w:szCs w:val="24"/>
              </w:rPr>
              <w:t>180</w:t>
            </w:r>
          </w:p>
        </w:tc>
        <w:tc>
          <w:tcPr>
            <w:tcW w:w="0" w:type="auto"/>
            <w:vAlign w:val="center"/>
            <w:hideMark/>
          </w:tcPr>
          <w:p w14:paraId="7116DCD6" w14:textId="77777777" w:rsidR="00B33920" w:rsidRPr="00D43584" w:rsidRDefault="00B33920" w:rsidP="0011190E">
            <w:pPr>
              <w:pStyle w:val="NoSpacing"/>
              <w:jc w:val="center"/>
              <w:rPr>
                <w:rFonts w:ascii="Times New Roman" w:hAnsi="Times New Roman" w:cs="Times New Roman"/>
                <w:szCs w:val="24"/>
              </w:rPr>
            </w:pPr>
            <w:r w:rsidRPr="00D43584">
              <w:rPr>
                <w:rFonts w:ascii="Times New Roman" w:hAnsi="Times New Roman" w:cs="Times New Roman"/>
                <w:szCs w:val="24"/>
              </w:rPr>
              <w:t>..</w:t>
            </w:r>
          </w:p>
        </w:tc>
      </w:tr>
      <w:tr w:rsidR="00B33920" w:rsidRPr="00D43584" w14:paraId="0846FCF8" w14:textId="77777777" w:rsidTr="0011190E">
        <w:trPr>
          <w:trHeight w:val="316"/>
        </w:trPr>
        <w:tc>
          <w:tcPr>
            <w:tcW w:w="1049" w:type="dxa"/>
            <w:hideMark/>
          </w:tcPr>
          <w:p w14:paraId="79CE4629" w14:textId="77777777" w:rsidR="00B33920" w:rsidRPr="00D43584" w:rsidRDefault="00B33920" w:rsidP="00B77C0B">
            <w:pPr>
              <w:pStyle w:val="NoSpacing"/>
              <w:rPr>
                <w:rFonts w:ascii="Times New Roman" w:hAnsi="Times New Roman" w:cs="Times New Roman"/>
                <w:szCs w:val="24"/>
              </w:rPr>
            </w:pPr>
            <w:r w:rsidRPr="00D43584">
              <w:rPr>
                <w:rFonts w:ascii="Times New Roman" w:hAnsi="Times New Roman" w:cs="Times New Roman"/>
                <w:szCs w:val="24"/>
              </w:rPr>
              <w:t>13.</w:t>
            </w:r>
          </w:p>
        </w:tc>
        <w:tc>
          <w:tcPr>
            <w:tcW w:w="2177" w:type="dxa"/>
            <w:hideMark/>
          </w:tcPr>
          <w:p w14:paraId="79667C17" w14:textId="77777777" w:rsidR="00B33920" w:rsidRPr="00D43584" w:rsidRDefault="00B33920" w:rsidP="00B77C0B">
            <w:pPr>
              <w:pStyle w:val="NoSpacing"/>
              <w:rPr>
                <w:rFonts w:ascii="Times New Roman" w:hAnsi="Times New Roman" w:cs="Times New Roman"/>
                <w:szCs w:val="24"/>
              </w:rPr>
            </w:pPr>
            <w:r w:rsidRPr="00D43584">
              <w:rPr>
                <w:rFonts w:ascii="Times New Roman" w:hAnsi="Times New Roman" w:cs="Times New Roman"/>
                <w:szCs w:val="24"/>
              </w:rPr>
              <w:t>Punjab</w:t>
            </w:r>
          </w:p>
        </w:tc>
        <w:tc>
          <w:tcPr>
            <w:tcW w:w="0" w:type="auto"/>
            <w:vAlign w:val="center"/>
            <w:hideMark/>
          </w:tcPr>
          <w:p w14:paraId="6BB37F74" w14:textId="77777777" w:rsidR="00B33920" w:rsidRPr="00D43584" w:rsidRDefault="00B33920" w:rsidP="0011190E">
            <w:pPr>
              <w:pStyle w:val="NoSpacing"/>
              <w:jc w:val="center"/>
              <w:rPr>
                <w:rFonts w:ascii="Times New Roman" w:hAnsi="Times New Roman" w:cs="Times New Roman"/>
                <w:szCs w:val="24"/>
              </w:rPr>
            </w:pPr>
            <w:r w:rsidRPr="00D43584">
              <w:rPr>
                <w:rFonts w:ascii="Times New Roman" w:hAnsi="Times New Roman" w:cs="Times New Roman"/>
                <w:szCs w:val="24"/>
              </w:rPr>
              <w:t>30</w:t>
            </w:r>
          </w:p>
        </w:tc>
        <w:tc>
          <w:tcPr>
            <w:tcW w:w="0" w:type="auto"/>
            <w:vAlign w:val="center"/>
            <w:hideMark/>
          </w:tcPr>
          <w:p w14:paraId="602D8424" w14:textId="77777777" w:rsidR="00B33920" w:rsidRPr="00D43584" w:rsidRDefault="00B33920" w:rsidP="0011190E">
            <w:pPr>
              <w:pStyle w:val="NoSpacing"/>
              <w:jc w:val="center"/>
              <w:rPr>
                <w:rFonts w:ascii="Times New Roman" w:hAnsi="Times New Roman" w:cs="Times New Roman"/>
                <w:szCs w:val="24"/>
              </w:rPr>
            </w:pPr>
            <w:r w:rsidRPr="00D43584">
              <w:rPr>
                <w:rFonts w:ascii="Times New Roman" w:hAnsi="Times New Roman" w:cs="Times New Roman"/>
                <w:szCs w:val="24"/>
              </w:rPr>
              <w:t>90</w:t>
            </w:r>
          </w:p>
        </w:tc>
        <w:tc>
          <w:tcPr>
            <w:tcW w:w="0" w:type="auto"/>
            <w:vAlign w:val="center"/>
            <w:hideMark/>
          </w:tcPr>
          <w:p w14:paraId="4D3354C9" w14:textId="77777777" w:rsidR="00B33920" w:rsidRPr="00D43584" w:rsidRDefault="00B33920" w:rsidP="0011190E">
            <w:pPr>
              <w:pStyle w:val="NoSpacing"/>
              <w:jc w:val="center"/>
              <w:rPr>
                <w:rFonts w:ascii="Times New Roman" w:hAnsi="Times New Roman" w:cs="Times New Roman"/>
                <w:szCs w:val="24"/>
              </w:rPr>
            </w:pPr>
            <w:r w:rsidRPr="00D43584">
              <w:rPr>
                <w:rFonts w:ascii="Times New Roman" w:hAnsi="Times New Roman" w:cs="Times New Roman"/>
                <w:szCs w:val="24"/>
              </w:rPr>
              <w:t>180</w:t>
            </w:r>
          </w:p>
        </w:tc>
        <w:tc>
          <w:tcPr>
            <w:tcW w:w="0" w:type="auto"/>
            <w:vAlign w:val="center"/>
            <w:hideMark/>
          </w:tcPr>
          <w:p w14:paraId="45487896" w14:textId="77777777" w:rsidR="00B33920" w:rsidRPr="00D43584" w:rsidRDefault="00B33920" w:rsidP="0011190E">
            <w:pPr>
              <w:pStyle w:val="NoSpacing"/>
              <w:jc w:val="center"/>
              <w:rPr>
                <w:rFonts w:ascii="Times New Roman" w:hAnsi="Times New Roman" w:cs="Times New Roman"/>
                <w:szCs w:val="24"/>
              </w:rPr>
            </w:pPr>
            <w:r w:rsidRPr="00D43584">
              <w:rPr>
                <w:rFonts w:ascii="Times New Roman" w:hAnsi="Times New Roman" w:cs="Times New Roman"/>
                <w:szCs w:val="24"/>
              </w:rPr>
              <w:t>..</w:t>
            </w:r>
          </w:p>
        </w:tc>
      </w:tr>
      <w:tr w:rsidR="00B33920" w:rsidRPr="00D43584" w14:paraId="49C7C04F" w14:textId="77777777" w:rsidTr="0011190E">
        <w:trPr>
          <w:trHeight w:val="307"/>
        </w:trPr>
        <w:tc>
          <w:tcPr>
            <w:tcW w:w="1049" w:type="dxa"/>
            <w:hideMark/>
          </w:tcPr>
          <w:p w14:paraId="26636DD8" w14:textId="77777777" w:rsidR="00B33920" w:rsidRPr="00D43584" w:rsidRDefault="00B33920" w:rsidP="00B77C0B">
            <w:pPr>
              <w:pStyle w:val="NoSpacing"/>
              <w:rPr>
                <w:rFonts w:ascii="Times New Roman" w:hAnsi="Times New Roman" w:cs="Times New Roman"/>
                <w:szCs w:val="24"/>
              </w:rPr>
            </w:pPr>
            <w:r w:rsidRPr="00D43584">
              <w:rPr>
                <w:rFonts w:ascii="Times New Roman" w:hAnsi="Times New Roman" w:cs="Times New Roman"/>
                <w:szCs w:val="24"/>
              </w:rPr>
              <w:t>14.</w:t>
            </w:r>
          </w:p>
        </w:tc>
        <w:tc>
          <w:tcPr>
            <w:tcW w:w="2177" w:type="dxa"/>
            <w:hideMark/>
          </w:tcPr>
          <w:p w14:paraId="4F79B057" w14:textId="77777777" w:rsidR="00B33920" w:rsidRPr="00D43584" w:rsidRDefault="00B33920" w:rsidP="00B77C0B">
            <w:pPr>
              <w:pStyle w:val="NoSpacing"/>
              <w:rPr>
                <w:rFonts w:ascii="Times New Roman" w:hAnsi="Times New Roman" w:cs="Times New Roman"/>
                <w:szCs w:val="24"/>
              </w:rPr>
            </w:pPr>
            <w:r w:rsidRPr="00D43584">
              <w:rPr>
                <w:rFonts w:ascii="Times New Roman" w:hAnsi="Times New Roman" w:cs="Times New Roman"/>
                <w:szCs w:val="24"/>
              </w:rPr>
              <w:t>Rajasthan</w:t>
            </w:r>
          </w:p>
        </w:tc>
        <w:tc>
          <w:tcPr>
            <w:tcW w:w="0" w:type="auto"/>
            <w:vAlign w:val="center"/>
            <w:hideMark/>
          </w:tcPr>
          <w:p w14:paraId="0A6ECE47" w14:textId="77777777" w:rsidR="00B33920" w:rsidRPr="00D43584" w:rsidRDefault="00B33920" w:rsidP="0011190E">
            <w:pPr>
              <w:pStyle w:val="NoSpacing"/>
              <w:jc w:val="center"/>
              <w:rPr>
                <w:rFonts w:ascii="Times New Roman" w:hAnsi="Times New Roman" w:cs="Times New Roman"/>
                <w:szCs w:val="24"/>
              </w:rPr>
            </w:pPr>
            <w:r w:rsidRPr="00D43584">
              <w:rPr>
                <w:rFonts w:ascii="Times New Roman" w:hAnsi="Times New Roman" w:cs="Times New Roman"/>
                <w:szCs w:val="24"/>
              </w:rPr>
              <w:t>30</w:t>
            </w:r>
          </w:p>
        </w:tc>
        <w:tc>
          <w:tcPr>
            <w:tcW w:w="0" w:type="auto"/>
            <w:vAlign w:val="center"/>
            <w:hideMark/>
          </w:tcPr>
          <w:p w14:paraId="57EC3702" w14:textId="77777777" w:rsidR="00B33920" w:rsidRPr="00D43584" w:rsidRDefault="00B33920" w:rsidP="0011190E">
            <w:pPr>
              <w:pStyle w:val="NoSpacing"/>
              <w:jc w:val="center"/>
              <w:rPr>
                <w:rFonts w:ascii="Times New Roman" w:hAnsi="Times New Roman" w:cs="Times New Roman"/>
                <w:szCs w:val="24"/>
              </w:rPr>
            </w:pPr>
            <w:r w:rsidRPr="00D43584">
              <w:rPr>
                <w:rFonts w:ascii="Times New Roman" w:hAnsi="Times New Roman" w:cs="Times New Roman"/>
                <w:szCs w:val="24"/>
              </w:rPr>
              <w:t>90</w:t>
            </w:r>
          </w:p>
        </w:tc>
        <w:tc>
          <w:tcPr>
            <w:tcW w:w="0" w:type="auto"/>
            <w:vAlign w:val="center"/>
            <w:hideMark/>
          </w:tcPr>
          <w:p w14:paraId="1C0730EE" w14:textId="77777777" w:rsidR="00B33920" w:rsidRPr="00D43584" w:rsidRDefault="00B33920" w:rsidP="0011190E">
            <w:pPr>
              <w:pStyle w:val="NoSpacing"/>
              <w:jc w:val="center"/>
              <w:rPr>
                <w:rFonts w:ascii="Times New Roman" w:hAnsi="Times New Roman" w:cs="Times New Roman"/>
                <w:szCs w:val="24"/>
              </w:rPr>
            </w:pPr>
            <w:r w:rsidRPr="00D43584">
              <w:rPr>
                <w:rFonts w:ascii="Times New Roman" w:hAnsi="Times New Roman" w:cs="Times New Roman"/>
                <w:szCs w:val="24"/>
              </w:rPr>
              <w:t>180**</w:t>
            </w:r>
          </w:p>
        </w:tc>
        <w:tc>
          <w:tcPr>
            <w:tcW w:w="0" w:type="auto"/>
            <w:vAlign w:val="center"/>
            <w:hideMark/>
          </w:tcPr>
          <w:p w14:paraId="5AECCED6" w14:textId="77777777" w:rsidR="00B33920" w:rsidRPr="00D43584" w:rsidRDefault="00B33920" w:rsidP="0011190E">
            <w:pPr>
              <w:pStyle w:val="NoSpacing"/>
              <w:jc w:val="center"/>
              <w:rPr>
                <w:rFonts w:ascii="Times New Roman" w:hAnsi="Times New Roman" w:cs="Times New Roman"/>
                <w:szCs w:val="24"/>
              </w:rPr>
            </w:pPr>
            <w:r w:rsidRPr="00D43584">
              <w:rPr>
                <w:rFonts w:ascii="Times New Roman" w:hAnsi="Times New Roman" w:cs="Times New Roman"/>
                <w:szCs w:val="24"/>
              </w:rPr>
              <w:t>..</w:t>
            </w:r>
          </w:p>
        </w:tc>
      </w:tr>
      <w:tr w:rsidR="00B33920" w:rsidRPr="00D43584" w14:paraId="37858DF0" w14:textId="77777777" w:rsidTr="0011190E">
        <w:trPr>
          <w:trHeight w:val="530"/>
        </w:trPr>
        <w:tc>
          <w:tcPr>
            <w:tcW w:w="1049" w:type="dxa"/>
            <w:hideMark/>
          </w:tcPr>
          <w:p w14:paraId="0F296501" w14:textId="77777777" w:rsidR="00B33920" w:rsidRPr="00D43584" w:rsidRDefault="00B33920" w:rsidP="00B77C0B">
            <w:pPr>
              <w:pStyle w:val="NoSpacing"/>
              <w:rPr>
                <w:rFonts w:ascii="Times New Roman" w:hAnsi="Times New Roman" w:cs="Times New Roman"/>
                <w:szCs w:val="24"/>
              </w:rPr>
            </w:pPr>
            <w:r w:rsidRPr="00D43584">
              <w:rPr>
                <w:rFonts w:ascii="Times New Roman" w:hAnsi="Times New Roman" w:cs="Times New Roman"/>
                <w:szCs w:val="24"/>
              </w:rPr>
              <w:t>15.</w:t>
            </w:r>
          </w:p>
        </w:tc>
        <w:tc>
          <w:tcPr>
            <w:tcW w:w="2177" w:type="dxa"/>
            <w:hideMark/>
          </w:tcPr>
          <w:p w14:paraId="421483B9" w14:textId="77777777" w:rsidR="00B33920" w:rsidRPr="00D43584" w:rsidRDefault="00B33920" w:rsidP="00B77C0B">
            <w:pPr>
              <w:pStyle w:val="NoSpacing"/>
              <w:rPr>
                <w:rFonts w:ascii="Times New Roman" w:hAnsi="Times New Roman" w:cs="Times New Roman"/>
                <w:szCs w:val="24"/>
              </w:rPr>
            </w:pPr>
            <w:r w:rsidRPr="00D43584">
              <w:rPr>
                <w:rFonts w:ascii="Times New Roman" w:hAnsi="Times New Roman" w:cs="Times New Roman"/>
                <w:szCs w:val="24"/>
              </w:rPr>
              <w:t>Uttar Pradesh</w:t>
            </w:r>
          </w:p>
        </w:tc>
        <w:tc>
          <w:tcPr>
            <w:tcW w:w="0" w:type="auto"/>
            <w:vAlign w:val="center"/>
            <w:hideMark/>
          </w:tcPr>
          <w:p w14:paraId="280E1811" w14:textId="77777777" w:rsidR="00B33920" w:rsidRPr="00D43584" w:rsidRDefault="00B33920" w:rsidP="0011190E">
            <w:pPr>
              <w:pStyle w:val="NoSpacing"/>
              <w:jc w:val="center"/>
              <w:rPr>
                <w:rFonts w:ascii="Times New Roman" w:hAnsi="Times New Roman" w:cs="Times New Roman"/>
                <w:szCs w:val="24"/>
              </w:rPr>
            </w:pPr>
            <w:r w:rsidRPr="00D43584">
              <w:rPr>
                <w:rFonts w:ascii="Times New Roman" w:hAnsi="Times New Roman" w:cs="Times New Roman"/>
                <w:szCs w:val="24"/>
              </w:rPr>
              <w:t>85</w:t>
            </w:r>
          </w:p>
        </w:tc>
        <w:tc>
          <w:tcPr>
            <w:tcW w:w="0" w:type="auto"/>
            <w:vAlign w:val="center"/>
            <w:hideMark/>
          </w:tcPr>
          <w:p w14:paraId="3FBDFF12" w14:textId="77777777" w:rsidR="00B33920" w:rsidRPr="00D43584" w:rsidRDefault="00B33920" w:rsidP="0011190E">
            <w:pPr>
              <w:pStyle w:val="NoSpacing"/>
              <w:jc w:val="center"/>
              <w:rPr>
                <w:rFonts w:ascii="Times New Roman" w:hAnsi="Times New Roman" w:cs="Times New Roman"/>
                <w:szCs w:val="24"/>
              </w:rPr>
            </w:pPr>
            <w:r w:rsidRPr="00D43584">
              <w:rPr>
                <w:rFonts w:ascii="Times New Roman" w:hAnsi="Times New Roman" w:cs="Times New Roman"/>
                <w:szCs w:val="24"/>
              </w:rPr>
              <w:t>255</w:t>
            </w:r>
          </w:p>
        </w:tc>
        <w:tc>
          <w:tcPr>
            <w:tcW w:w="0" w:type="auto"/>
            <w:vAlign w:val="center"/>
            <w:hideMark/>
          </w:tcPr>
          <w:p w14:paraId="76EF2689" w14:textId="77777777" w:rsidR="00B33920" w:rsidRPr="00D43584" w:rsidRDefault="00B33920" w:rsidP="0011190E">
            <w:pPr>
              <w:pStyle w:val="NoSpacing"/>
              <w:jc w:val="center"/>
              <w:rPr>
                <w:rFonts w:ascii="Times New Roman" w:hAnsi="Times New Roman" w:cs="Times New Roman"/>
                <w:szCs w:val="24"/>
              </w:rPr>
            </w:pPr>
            <w:r w:rsidRPr="00D43584">
              <w:rPr>
                <w:rFonts w:ascii="Times New Roman" w:hAnsi="Times New Roman" w:cs="Times New Roman"/>
                <w:szCs w:val="24"/>
              </w:rPr>
              <w:t>510</w:t>
            </w:r>
          </w:p>
        </w:tc>
        <w:tc>
          <w:tcPr>
            <w:tcW w:w="0" w:type="auto"/>
            <w:vAlign w:val="center"/>
            <w:hideMark/>
          </w:tcPr>
          <w:p w14:paraId="4FA63D2C" w14:textId="77777777" w:rsidR="00B33920" w:rsidRPr="00D43584" w:rsidRDefault="00B33920" w:rsidP="0011190E">
            <w:pPr>
              <w:pStyle w:val="NoSpacing"/>
              <w:jc w:val="center"/>
              <w:rPr>
                <w:rFonts w:ascii="Times New Roman" w:hAnsi="Times New Roman" w:cs="Times New Roman"/>
                <w:szCs w:val="24"/>
              </w:rPr>
            </w:pPr>
            <w:r w:rsidRPr="00D43584">
              <w:rPr>
                <w:rFonts w:ascii="Times New Roman" w:hAnsi="Times New Roman" w:cs="Times New Roman"/>
                <w:szCs w:val="24"/>
              </w:rPr>
              <w:t>490</w:t>
            </w:r>
          </w:p>
        </w:tc>
      </w:tr>
      <w:tr w:rsidR="00B33920" w:rsidRPr="00D43584" w14:paraId="68A4CEF0" w14:textId="77777777" w:rsidTr="0011190E">
        <w:trPr>
          <w:trHeight w:val="316"/>
        </w:trPr>
        <w:tc>
          <w:tcPr>
            <w:tcW w:w="1049" w:type="dxa"/>
            <w:hideMark/>
          </w:tcPr>
          <w:p w14:paraId="19A2F892" w14:textId="77777777" w:rsidR="00B33920" w:rsidRPr="00D43584" w:rsidRDefault="00B33920" w:rsidP="00B77C0B">
            <w:pPr>
              <w:pStyle w:val="NoSpacing"/>
              <w:rPr>
                <w:rFonts w:ascii="Times New Roman" w:hAnsi="Times New Roman" w:cs="Times New Roman"/>
                <w:szCs w:val="24"/>
              </w:rPr>
            </w:pPr>
            <w:r w:rsidRPr="00D43584">
              <w:rPr>
                <w:rFonts w:ascii="Times New Roman" w:hAnsi="Times New Roman" w:cs="Times New Roman"/>
                <w:szCs w:val="24"/>
              </w:rPr>
              <w:t>16.</w:t>
            </w:r>
          </w:p>
        </w:tc>
        <w:tc>
          <w:tcPr>
            <w:tcW w:w="2177" w:type="dxa"/>
            <w:hideMark/>
          </w:tcPr>
          <w:p w14:paraId="1C26BE5A" w14:textId="77777777" w:rsidR="00B33920" w:rsidRPr="00D43584" w:rsidRDefault="00B33920" w:rsidP="00B77C0B">
            <w:pPr>
              <w:pStyle w:val="NoSpacing"/>
              <w:rPr>
                <w:rFonts w:ascii="Times New Roman" w:hAnsi="Times New Roman" w:cs="Times New Roman"/>
                <w:szCs w:val="24"/>
              </w:rPr>
            </w:pPr>
            <w:r w:rsidRPr="00D43584">
              <w:rPr>
                <w:rFonts w:ascii="Times New Roman" w:hAnsi="Times New Roman" w:cs="Times New Roman"/>
                <w:szCs w:val="24"/>
              </w:rPr>
              <w:t>West Bengal</w:t>
            </w:r>
          </w:p>
        </w:tc>
        <w:tc>
          <w:tcPr>
            <w:tcW w:w="0" w:type="auto"/>
            <w:vAlign w:val="center"/>
            <w:hideMark/>
          </w:tcPr>
          <w:p w14:paraId="156136D9" w14:textId="77777777" w:rsidR="00B33920" w:rsidRPr="00D43584" w:rsidRDefault="00B33920" w:rsidP="0011190E">
            <w:pPr>
              <w:pStyle w:val="NoSpacing"/>
              <w:jc w:val="center"/>
              <w:rPr>
                <w:rFonts w:ascii="Times New Roman" w:hAnsi="Times New Roman" w:cs="Times New Roman"/>
                <w:szCs w:val="24"/>
              </w:rPr>
            </w:pPr>
            <w:r w:rsidRPr="00D43584">
              <w:rPr>
                <w:rFonts w:ascii="Times New Roman" w:hAnsi="Times New Roman" w:cs="Times New Roman"/>
                <w:szCs w:val="24"/>
              </w:rPr>
              <w:t>50</w:t>
            </w:r>
          </w:p>
        </w:tc>
        <w:tc>
          <w:tcPr>
            <w:tcW w:w="0" w:type="auto"/>
            <w:vAlign w:val="center"/>
            <w:hideMark/>
          </w:tcPr>
          <w:p w14:paraId="4D81E67E" w14:textId="77777777" w:rsidR="00B33920" w:rsidRPr="00D43584" w:rsidRDefault="00B33920" w:rsidP="0011190E">
            <w:pPr>
              <w:pStyle w:val="NoSpacing"/>
              <w:jc w:val="center"/>
              <w:rPr>
                <w:rFonts w:ascii="Times New Roman" w:hAnsi="Times New Roman" w:cs="Times New Roman"/>
                <w:szCs w:val="24"/>
              </w:rPr>
            </w:pPr>
            <w:r w:rsidRPr="00D43584">
              <w:rPr>
                <w:rFonts w:ascii="Times New Roman" w:hAnsi="Times New Roman" w:cs="Times New Roman"/>
                <w:szCs w:val="24"/>
              </w:rPr>
              <w:t>150</w:t>
            </w:r>
          </w:p>
        </w:tc>
        <w:tc>
          <w:tcPr>
            <w:tcW w:w="0" w:type="auto"/>
            <w:vAlign w:val="center"/>
            <w:hideMark/>
          </w:tcPr>
          <w:p w14:paraId="0B744A71" w14:textId="77777777" w:rsidR="00B33920" w:rsidRPr="00D43584" w:rsidRDefault="00B33920" w:rsidP="0011190E">
            <w:pPr>
              <w:pStyle w:val="NoSpacing"/>
              <w:jc w:val="center"/>
              <w:rPr>
                <w:rFonts w:ascii="Times New Roman" w:hAnsi="Times New Roman" w:cs="Times New Roman"/>
                <w:szCs w:val="24"/>
              </w:rPr>
            </w:pPr>
            <w:r w:rsidRPr="00D43584">
              <w:rPr>
                <w:rFonts w:ascii="Times New Roman" w:hAnsi="Times New Roman" w:cs="Times New Roman"/>
                <w:szCs w:val="24"/>
              </w:rPr>
              <w:t>300†</w:t>
            </w:r>
          </w:p>
        </w:tc>
        <w:tc>
          <w:tcPr>
            <w:tcW w:w="0" w:type="auto"/>
            <w:vAlign w:val="center"/>
            <w:hideMark/>
          </w:tcPr>
          <w:p w14:paraId="07587C4A" w14:textId="77777777" w:rsidR="00B33920" w:rsidRPr="00D43584" w:rsidRDefault="00B33920" w:rsidP="0011190E">
            <w:pPr>
              <w:pStyle w:val="NoSpacing"/>
              <w:jc w:val="center"/>
              <w:rPr>
                <w:rFonts w:ascii="Times New Roman" w:hAnsi="Times New Roman" w:cs="Times New Roman"/>
                <w:szCs w:val="24"/>
              </w:rPr>
            </w:pPr>
            <w:r w:rsidRPr="00D43584">
              <w:rPr>
                <w:rFonts w:ascii="Times New Roman" w:hAnsi="Times New Roman" w:cs="Times New Roman"/>
                <w:szCs w:val="24"/>
              </w:rPr>
              <w:t>..</w:t>
            </w:r>
          </w:p>
        </w:tc>
      </w:tr>
      <w:tr w:rsidR="00B33920" w:rsidRPr="00D43584" w14:paraId="308C4791" w14:textId="77777777" w:rsidTr="0011190E">
        <w:trPr>
          <w:trHeight w:val="307"/>
        </w:trPr>
        <w:tc>
          <w:tcPr>
            <w:tcW w:w="1049" w:type="dxa"/>
            <w:hideMark/>
          </w:tcPr>
          <w:p w14:paraId="15A3C5E6" w14:textId="77777777" w:rsidR="00B33920" w:rsidRPr="00D43584" w:rsidRDefault="00B33920" w:rsidP="00B77C0B">
            <w:pPr>
              <w:pStyle w:val="NoSpacing"/>
              <w:rPr>
                <w:rFonts w:ascii="Times New Roman" w:hAnsi="Times New Roman" w:cs="Times New Roman"/>
                <w:szCs w:val="24"/>
              </w:rPr>
            </w:pPr>
          </w:p>
        </w:tc>
        <w:tc>
          <w:tcPr>
            <w:tcW w:w="2177" w:type="dxa"/>
            <w:hideMark/>
          </w:tcPr>
          <w:p w14:paraId="46EBD3EF" w14:textId="77777777" w:rsidR="00B33920" w:rsidRPr="00D43584" w:rsidRDefault="00B33920" w:rsidP="00B77C0B">
            <w:pPr>
              <w:pStyle w:val="NoSpacing"/>
              <w:rPr>
                <w:rFonts w:ascii="Times New Roman" w:hAnsi="Times New Roman" w:cs="Times New Roman"/>
                <w:szCs w:val="24"/>
              </w:rPr>
            </w:pPr>
            <w:r w:rsidRPr="00D43584">
              <w:rPr>
                <w:rFonts w:ascii="Times New Roman" w:hAnsi="Times New Roman" w:cs="Times New Roman"/>
                <w:szCs w:val="24"/>
              </w:rPr>
              <w:t>TOTAL</w:t>
            </w:r>
          </w:p>
        </w:tc>
        <w:tc>
          <w:tcPr>
            <w:tcW w:w="0" w:type="auto"/>
            <w:vAlign w:val="center"/>
            <w:hideMark/>
          </w:tcPr>
          <w:p w14:paraId="602E4752" w14:textId="77777777" w:rsidR="00B33920" w:rsidRPr="00D43584" w:rsidRDefault="00B33920" w:rsidP="0011190E">
            <w:pPr>
              <w:pStyle w:val="NoSpacing"/>
              <w:jc w:val="center"/>
              <w:rPr>
                <w:rFonts w:ascii="Times New Roman" w:hAnsi="Times New Roman" w:cs="Times New Roman"/>
                <w:szCs w:val="24"/>
              </w:rPr>
            </w:pPr>
            <w:r w:rsidRPr="00D43584">
              <w:rPr>
                <w:rFonts w:ascii="Times New Roman" w:hAnsi="Times New Roman" w:cs="Times New Roman"/>
                <w:szCs w:val="24"/>
              </w:rPr>
              <w:t>625</w:t>
            </w:r>
          </w:p>
        </w:tc>
        <w:tc>
          <w:tcPr>
            <w:tcW w:w="0" w:type="auto"/>
            <w:vAlign w:val="center"/>
            <w:hideMark/>
          </w:tcPr>
          <w:p w14:paraId="6A730A46" w14:textId="77777777" w:rsidR="00B33920" w:rsidRPr="00D43584" w:rsidRDefault="00B33920" w:rsidP="0011190E">
            <w:pPr>
              <w:pStyle w:val="NoSpacing"/>
              <w:jc w:val="center"/>
              <w:rPr>
                <w:rFonts w:ascii="Times New Roman" w:hAnsi="Times New Roman" w:cs="Times New Roman"/>
                <w:szCs w:val="24"/>
              </w:rPr>
            </w:pPr>
            <w:r w:rsidRPr="00D43584">
              <w:rPr>
                <w:rFonts w:ascii="Times New Roman" w:hAnsi="Times New Roman" w:cs="Times New Roman"/>
                <w:szCs w:val="24"/>
              </w:rPr>
              <w:t>1875</w:t>
            </w:r>
          </w:p>
        </w:tc>
        <w:tc>
          <w:tcPr>
            <w:tcW w:w="0" w:type="auto"/>
            <w:vAlign w:val="center"/>
            <w:hideMark/>
          </w:tcPr>
          <w:p w14:paraId="5A5E1870" w14:textId="77777777" w:rsidR="00B33920" w:rsidRPr="00D43584" w:rsidRDefault="00B33920" w:rsidP="0011190E">
            <w:pPr>
              <w:pStyle w:val="NoSpacing"/>
              <w:jc w:val="center"/>
              <w:rPr>
                <w:rFonts w:ascii="Times New Roman" w:hAnsi="Times New Roman" w:cs="Times New Roman"/>
                <w:szCs w:val="24"/>
              </w:rPr>
            </w:pPr>
            <w:r w:rsidRPr="00D43584">
              <w:rPr>
                <w:rFonts w:ascii="Times New Roman" w:hAnsi="Times New Roman" w:cs="Times New Roman"/>
                <w:szCs w:val="24"/>
              </w:rPr>
              <w:t>3750</w:t>
            </w:r>
          </w:p>
        </w:tc>
        <w:tc>
          <w:tcPr>
            <w:tcW w:w="0" w:type="auto"/>
            <w:vAlign w:val="center"/>
            <w:hideMark/>
          </w:tcPr>
          <w:p w14:paraId="66DC67F0" w14:textId="77777777" w:rsidR="00B33920" w:rsidRPr="00D43584" w:rsidRDefault="00B33920" w:rsidP="0011190E">
            <w:pPr>
              <w:pStyle w:val="NoSpacing"/>
              <w:jc w:val="center"/>
              <w:rPr>
                <w:rFonts w:ascii="Times New Roman" w:hAnsi="Times New Roman" w:cs="Times New Roman"/>
                <w:szCs w:val="24"/>
              </w:rPr>
            </w:pPr>
            <w:r w:rsidRPr="00D43584">
              <w:rPr>
                <w:rFonts w:ascii="Times New Roman" w:hAnsi="Times New Roman" w:cs="Times New Roman"/>
                <w:szCs w:val="24"/>
              </w:rPr>
              <w:t>1270</w:t>
            </w:r>
          </w:p>
        </w:tc>
      </w:tr>
    </w:tbl>
    <w:p w14:paraId="10A2564D" w14:textId="5B02C488" w:rsidR="00B33920" w:rsidRPr="0011190E" w:rsidRDefault="00B33920" w:rsidP="0011190E">
      <w:pPr>
        <w:tabs>
          <w:tab w:val="left" w:pos="5334"/>
        </w:tabs>
        <w:jc w:val="both"/>
        <w:rPr>
          <w:rFonts w:ascii="Times New Roman" w:hAnsi="Times New Roman" w:cs="Times New Roman"/>
          <w:sz w:val="20"/>
          <w:szCs w:val="20"/>
        </w:rPr>
      </w:pPr>
      <w:r w:rsidRPr="0011190E">
        <w:rPr>
          <w:rFonts w:ascii="Times New Roman" w:hAnsi="Times New Roman" w:cs="Times New Roman"/>
          <w:sz w:val="20"/>
          <w:szCs w:val="20"/>
        </w:rPr>
        <w:t>*No advances are granted for want of holdings of Central Government securities.</w:t>
      </w:r>
    </w:p>
    <w:p w14:paraId="3ED58C88" w14:textId="143A6A4E" w:rsidR="00B33920" w:rsidRPr="0011190E" w:rsidRDefault="00B33920" w:rsidP="0011190E">
      <w:pPr>
        <w:tabs>
          <w:tab w:val="left" w:pos="5334"/>
        </w:tabs>
        <w:jc w:val="both"/>
        <w:rPr>
          <w:rFonts w:ascii="Times New Roman" w:hAnsi="Times New Roman" w:cs="Times New Roman"/>
          <w:sz w:val="20"/>
          <w:szCs w:val="20"/>
        </w:rPr>
      </w:pPr>
      <w:r w:rsidRPr="0011190E">
        <w:rPr>
          <w:rFonts w:ascii="Times New Roman" w:hAnsi="Times New Roman" w:cs="Times New Roman"/>
          <w:sz w:val="20"/>
          <w:szCs w:val="20"/>
        </w:rPr>
        <w:t>**Special ways and means advances are granted upto a limit of Rs. 41 lakhs only for want of adequate additional holdings of Government securities.</w:t>
      </w:r>
    </w:p>
    <w:p w14:paraId="217D1EF7" w14:textId="77777777" w:rsidR="00B33920" w:rsidRPr="0011190E" w:rsidRDefault="00B33920" w:rsidP="0011190E">
      <w:pPr>
        <w:tabs>
          <w:tab w:val="left" w:pos="5334"/>
        </w:tabs>
        <w:jc w:val="both"/>
        <w:rPr>
          <w:rFonts w:ascii="Times New Roman" w:hAnsi="Times New Roman" w:cs="Times New Roman"/>
          <w:sz w:val="20"/>
          <w:szCs w:val="20"/>
        </w:rPr>
      </w:pPr>
      <w:r w:rsidRPr="0011190E">
        <w:rPr>
          <w:rFonts w:ascii="Times New Roman" w:hAnsi="Times New Roman" w:cs="Times New Roman"/>
          <w:sz w:val="20"/>
          <w:szCs w:val="20"/>
        </w:rPr>
        <w:t>†Special ways and means advances are at present granted upto a limit of Rs. 85 lakhs only for want of adequate additional holdings of Central Government securities.</w:t>
      </w:r>
    </w:p>
    <w:p w14:paraId="5819B03D" w14:textId="77777777" w:rsidR="00B33920" w:rsidRPr="0011190E" w:rsidRDefault="00B33920" w:rsidP="0011190E">
      <w:pPr>
        <w:tabs>
          <w:tab w:val="left" w:pos="5334"/>
        </w:tabs>
        <w:jc w:val="both"/>
        <w:rPr>
          <w:rFonts w:ascii="Times New Roman" w:hAnsi="Times New Roman" w:cs="Times New Roman"/>
          <w:sz w:val="20"/>
          <w:szCs w:val="20"/>
        </w:rPr>
      </w:pPr>
      <w:r w:rsidRPr="0011190E">
        <w:rPr>
          <w:rFonts w:ascii="Times New Roman" w:hAnsi="Times New Roman" w:cs="Times New Roman"/>
          <w:sz w:val="20"/>
          <w:szCs w:val="20"/>
        </w:rPr>
        <w:t>Source: Reserve Bank of India.</w:t>
      </w:r>
    </w:p>
    <w:p w14:paraId="308D0C25" w14:textId="200CDE19" w:rsidR="00B33920" w:rsidRPr="00D43584" w:rsidRDefault="00B33920">
      <w:pPr>
        <w:rPr>
          <w:rFonts w:ascii="Times New Roman" w:hAnsi="Times New Roman" w:cs="Times New Roman"/>
          <w:szCs w:val="24"/>
        </w:rPr>
      </w:pPr>
      <w:r w:rsidRPr="00D43584">
        <w:rPr>
          <w:rFonts w:ascii="Times New Roman" w:hAnsi="Times New Roman" w:cs="Times New Roman"/>
          <w:szCs w:val="24"/>
        </w:rPr>
        <w:br w:type="page"/>
      </w:r>
    </w:p>
    <w:p w14:paraId="5EC4DB2E" w14:textId="79CF2759" w:rsidR="00D96B0B" w:rsidRDefault="00574BCE" w:rsidP="0060494F">
      <w:pPr>
        <w:pStyle w:val="Heading5"/>
      </w:pPr>
      <w:bookmarkStart w:id="260" w:name="_Toc220949760"/>
      <w:bookmarkStart w:id="261" w:name="_Toc221115385"/>
      <w:r>
        <w:lastRenderedPageBreak/>
        <w:t>Table</w:t>
      </w:r>
      <w:r w:rsidR="00D96B0B" w:rsidRPr="00D43584">
        <w:t xml:space="preserve"> 2: Overdraft position of States (1965-66 to 1967-68)</w:t>
      </w:r>
      <w:bookmarkEnd w:id="260"/>
      <w:bookmarkEnd w:id="261"/>
    </w:p>
    <w:p w14:paraId="75D68969" w14:textId="77777777" w:rsidR="0011190E" w:rsidRPr="0011190E" w:rsidRDefault="0011190E" w:rsidP="0011190E"/>
    <w:tbl>
      <w:tblPr>
        <w:tblStyle w:val="TableGrid"/>
        <w:tblW w:w="10859" w:type="dxa"/>
        <w:tblInd w:w="-1073" w:type="dxa"/>
        <w:tblLook w:val="04A0" w:firstRow="1" w:lastRow="0" w:firstColumn="1" w:lastColumn="0" w:noHBand="0" w:noVBand="1"/>
      </w:tblPr>
      <w:tblGrid>
        <w:gridCol w:w="1181"/>
        <w:gridCol w:w="1995"/>
        <w:gridCol w:w="1730"/>
        <w:gridCol w:w="1352"/>
        <w:gridCol w:w="1501"/>
        <w:gridCol w:w="1788"/>
        <w:gridCol w:w="1312"/>
      </w:tblGrid>
      <w:tr w:rsidR="00D96B0B" w:rsidRPr="00D43584" w14:paraId="63EF8C5D" w14:textId="77777777" w:rsidTr="0011190E">
        <w:trPr>
          <w:trHeight w:val="964"/>
        </w:trPr>
        <w:tc>
          <w:tcPr>
            <w:tcW w:w="1181" w:type="dxa"/>
            <w:vMerge w:val="restart"/>
            <w:vAlign w:val="center"/>
            <w:hideMark/>
          </w:tcPr>
          <w:p w14:paraId="4119527F" w14:textId="77777777" w:rsidR="00D96B0B" w:rsidRPr="0011190E" w:rsidRDefault="00D96B0B" w:rsidP="0011190E">
            <w:pPr>
              <w:pStyle w:val="NoSpacing"/>
              <w:jc w:val="center"/>
              <w:rPr>
                <w:rFonts w:ascii="Times New Roman" w:hAnsi="Times New Roman" w:cs="Times New Roman"/>
                <w:b/>
                <w:bCs/>
                <w:szCs w:val="24"/>
              </w:rPr>
            </w:pPr>
            <w:r w:rsidRPr="0011190E">
              <w:rPr>
                <w:rFonts w:ascii="Times New Roman" w:hAnsi="Times New Roman" w:cs="Times New Roman"/>
                <w:b/>
                <w:bCs/>
                <w:szCs w:val="24"/>
              </w:rPr>
              <w:t>Year</w:t>
            </w:r>
          </w:p>
        </w:tc>
        <w:tc>
          <w:tcPr>
            <w:tcW w:w="1995" w:type="dxa"/>
            <w:vMerge w:val="restart"/>
            <w:vAlign w:val="center"/>
            <w:hideMark/>
          </w:tcPr>
          <w:p w14:paraId="037EA35D" w14:textId="77777777" w:rsidR="00D96B0B" w:rsidRPr="0011190E" w:rsidRDefault="00D96B0B" w:rsidP="0011190E">
            <w:pPr>
              <w:pStyle w:val="NoSpacing"/>
              <w:jc w:val="center"/>
              <w:rPr>
                <w:rFonts w:ascii="Times New Roman" w:hAnsi="Times New Roman" w:cs="Times New Roman"/>
                <w:b/>
                <w:bCs/>
                <w:szCs w:val="24"/>
              </w:rPr>
            </w:pPr>
            <w:r w:rsidRPr="0011190E">
              <w:rPr>
                <w:rFonts w:ascii="Times New Roman" w:hAnsi="Times New Roman" w:cs="Times New Roman"/>
                <w:b/>
                <w:bCs/>
                <w:szCs w:val="24"/>
              </w:rPr>
              <w:t>Months during which the States were free from unauthorised overdrafts</w:t>
            </w:r>
          </w:p>
        </w:tc>
        <w:tc>
          <w:tcPr>
            <w:tcW w:w="0" w:type="auto"/>
            <w:vMerge w:val="restart"/>
            <w:vAlign w:val="center"/>
            <w:hideMark/>
          </w:tcPr>
          <w:p w14:paraId="2C4DD65E" w14:textId="77777777" w:rsidR="00D96B0B" w:rsidRPr="0011190E" w:rsidRDefault="00D96B0B" w:rsidP="0011190E">
            <w:pPr>
              <w:pStyle w:val="NoSpacing"/>
              <w:jc w:val="center"/>
              <w:rPr>
                <w:rFonts w:ascii="Times New Roman" w:hAnsi="Times New Roman" w:cs="Times New Roman"/>
                <w:b/>
                <w:bCs/>
                <w:szCs w:val="24"/>
              </w:rPr>
            </w:pPr>
            <w:r w:rsidRPr="0011190E">
              <w:rPr>
                <w:rFonts w:ascii="Times New Roman" w:hAnsi="Times New Roman" w:cs="Times New Roman"/>
                <w:b/>
                <w:bCs/>
                <w:szCs w:val="24"/>
              </w:rPr>
              <w:t>Maximum number of States which were in unauthorised overdrafts in any particular month</w:t>
            </w:r>
          </w:p>
        </w:tc>
        <w:tc>
          <w:tcPr>
            <w:tcW w:w="0" w:type="auto"/>
            <w:vMerge w:val="restart"/>
            <w:vAlign w:val="center"/>
            <w:hideMark/>
          </w:tcPr>
          <w:p w14:paraId="412594BD" w14:textId="77777777" w:rsidR="00D96B0B" w:rsidRPr="0011190E" w:rsidRDefault="00D96B0B" w:rsidP="0011190E">
            <w:pPr>
              <w:pStyle w:val="NoSpacing"/>
              <w:jc w:val="center"/>
              <w:rPr>
                <w:rFonts w:ascii="Times New Roman" w:hAnsi="Times New Roman" w:cs="Times New Roman"/>
                <w:b/>
                <w:bCs/>
                <w:szCs w:val="24"/>
              </w:rPr>
            </w:pPr>
            <w:r w:rsidRPr="0011190E">
              <w:rPr>
                <w:rFonts w:ascii="Times New Roman" w:hAnsi="Times New Roman" w:cs="Times New Roman"/>
                <w:b/>
                <w:bCs/>
                <w:szCs w:val="24"/>
              </w:rPr>
              <w:t>Maximum amount of overdraft (Rs. in crores)</w:t>
            </w:r>
          </w:p>
        </w:tc>
        <w:tc>
          <w:tcPr>
            <w:tcW w:w="4601" w:type="dxa"/>
            <w:gridSpan w:val="3"/>
            <w:vAlign w:val="center"/>
            <w:hideMark/>
          </w:tcPr>
          <w:p w14:paraId="59C7E02A" w14:textId="77777777" w:rsidR="00D96B0B" w:rsidRPr="0011190E" w:rsidRDefault="00D96B0B" w:rsidP="0011190E">
            <w:pPr>
              <w:pStyle w:val="NoSpacing"/>
              <w:jc w:val="center"/>
              <w:rPr>
                <w:rFonts w:ascii="Times New Roman" w:hAnsi="Times New Roman" w:cs="Times New Roman"/>
                <w:b/>
                <w:bCs/>
                <w:szCs w:val="24"/>
              </w:rPr>
            </w:pPr>
            <w:r w:rsidRPr="0011190E">
              <w:rPr>
                <w:rFonts w:ascii="Times New Roman" w:hAnsi="Times New Roman" w:cs="Times New Roman"/>
                <w:b/>
                <w:bCs/>
                <w:szCs w:val="24"/>
              </w:rPr>
              <w:t>Ad hoc loans for clearing overdrafts</w:t>
            </w:r>
          </w:p>
        </w:tc>
      </w:tr>
      <w:tr w:rsidR="00D96B0B" w:rsidRPr="00D43584" w14:paraId="78AB2959" w14:textId="77777777" w:rsidTr="0011190E">
        <w:trPr>
          <w:trHeight w:val="1283"/>
        </w:trPr>
        <w:tc>
          <w:tcPr>
            <w:tcW w:w="1181" w:type="dxa"/>
            <w:vMerge/>
            <w:vAlign w:val="center"/>
          </w:tcPr>
          <w:p w14:paraId="77E8B535" w14:textId="77777777" w:rsidR="00D96B0B" w:rsidRPr="0011190E" w:rsidRDefault="00D96B0B" w:rsidP="0011190E">
            <w:pPr>
              <w:pStyle w:val="NoSpacing"/>
              <w:jc w:val="center"/>
              <w:rPr>
                <w:rFonts w:ascii="Times New Roman" w:hAnsi="Times New Roman" w:cs="Times New Roman"/>
                <w:b/>
                <w:bCs/>
                <w:szCs w:val="24"/>
              </w:rPr>
            </w:pPr>
          </w:p>
        </w:tc>
        <w:tc>
          <w:tcPr>
            <w:tcW w:w="1995" w:type="dxa"/>
            <w:vMerge/>
            <w:vAlign w:val="center"/>
          </w:tcPr>
          <w:p w14:paraId="357CA1E6" w14:textId="77777777" w:rsidR="00D96B0B" w:rsidRPr="0011190E" w:rsidRDefault="00D96B0B" w:rsidP="0011190E">
            <w:pPr>
              <w:pStyle w:val="NoSpacing"/>
              <w:jc w:val="center"/>
              <w:rPr>
                <w:rFonts w:ascii="Times New Roman" w:hAnsi="Times New Roman" w:cs="Times New Roman"/>
                <w:b/>
                <w:bCs/>
                <w:szCs w:val="24"/>
              </w:rPr>
            </w:pPr>
          </w:p>
        </w:tc>
        <w:tc>
          <w:tcPr>
            <w:tcW w:w="0" w:type="auto"/>
            <w:vMerge/>
            <w:vAlign w:val="center"/>
          </w:tcPr>
          <w:p w14:paraId="095BC0E9" w14:textId="77777777" w:rsidR="00D96B0B" w:rsidRPr="0011190E" w:rsidRDefault="00D96B0B" w:rsidP="0011190E">
            <w:pPr>
              <w:pStyle w:val="NoSpacing"/>
              <w:jc w:val="center"/>
              <w:rPr>
                <w:rFonts w:ascii="Times New Roman" w:hAnsi="Times New Roman" w:cs="Times New Roman"/>
                <w:b/>
                <w:bCs/>
                <w:szCs w:val="24"/>
              </w:rPr>
            </w:pPr>
          </w:p>
        </w:tc>
        <w:tc>
          <w:tcPr>
            <w:tcW w:w="0" w:type="auto"/>
            <w:vMerge/>
            <w:vAlign w:val="center"/>
          </w:tcPr>
          <w:p w14:paraId="200461A5" w14:textId="77777777" w:rsidR="00D96B0B" w:rsidRPr="0011190E" w:rsidRDefault="00D96B0B" w:rsidP="0011190E">
            <w:pPr>
              <w:pStyle w:val="NoSpacing"/>
              <w:jc w:val="center"/>
              <w:rPr>
                <w:rFonts w:ascii="Times New Roman" w:hAnsi="Times New Roman" w:cs="Times New Roman"/>
                <w:b/>
                <w:bCs/>
                <w:szCs w:val="24"/>
              </w:rPr>
            </w:pPr>
          </w:p>
        </w:tc>
        <w:tc>
          <w:tcPr>
            <w:tcW w:w="1501" w:type="dxa"/>
            <w:vAlign w:val="center"/>
          </w:tcPr>
          <w:p w14:paraId="6322B6DA" w14:textId="7BC573AE" w:rsidR="00D96B0B" w:rsidRPr="0011190E" w:rsidRDefault="00D96B0B" w:rsidP="0011190E">
            <w:pPr>
              <w:pStyle w:val="NoSpacing"/>
              <w:jc w:val="center"/>
              <w:rPr>
                <w:rFonts w:ascii="Times New Roman" w:hAnsi="Times New Roman" w:cs="Times New Roman"/>
                <w:b/>
                <w:bCs/>
                <w:szCs w:val="24"/>
              </w:rPr>
            </w:pPr>
            <w:r w:rsidRPr="0011190E">
              <w:rPr>
                <w:rFonts w:ascii="Times New Roman" w:hAnsi="Times New Roman" w:cs="Times New Roman"/>
                <w:b/>
                <w:bCs/>
                <w:szCs w:val="24"/>
              </w:rPr>
              <w:t>Payment</w:t>
            </w:r>
            <w:r w:rsidR="0011190E">
              <w:rPr>
                <w:rFonts w:ascii="Times New Roman" w:hAnsi="Times New Roman" w:cs="Times New Roman"/>
                <w:b/>
                <w:bCs/>
                <w:szCs w:val="24"/>
              </w:rPr>
              <w:t xml:space="preserve"> </w:t>
            </w:r>
            <w:r w:rsidR="0011190E" w:rsidRPr="0011190E">
              <w:rPr>
                <w:rFonts w:ascii="Times New Roman" w:hAnsi="Times New Roman" w:cs="Times New Roman"/>
                <w:b/>
                <w:bCs/>
                <w:szCs w:val="24"/>
              </w:rPr>
              <w:t>(Rs. in crores)</w:t>
            </w:r>
          </w:p>
        </w:tc>
        <w:tc>
          <w:tcPr>
            <w:tcW w:w="1788" w:type="dxa"/>
            <w:vAlign w:val="center"/>
          </w:tcPr>
          <w:p w14:paraId="45CDC713" w14:textId="06F7BBB5" w:rsidR="00D96B0B" w:rsidRPr="0011190E" w:rsidRDefault="00D96B0B" w:rsidP="0011190E">
            <w:pPr>
              <w:pStyle w:val="NoSpacing"/>
              <w:jc w:val="center"/>
              <w:rPr>
                <w:rFonts w:ascii="Times New Roman" w:hAnsi="Times New Roman" w:cs="Times New Roman"/>
                <w:b/>
                <w:bCs/>
                <w:szCs w:val="24"/>
              </w:rPr>
            </w:pPr>
            <w:r w:rsidRPr="0011190E">
              <w:rPr>
                <w:rFonts w:ascii="Times New Roman" w:hAnsi="Times New Roman" w:cs="Times New Roman"/>
                <w:b/>
                <w:bCs/>
                <w:szCs w:val="24"/>
              </w:rPr>
              <w:t>Repayment</w:t>
            </w:r>
            <w:r w:rsidR="0011190E">
              <w:rPr>
                <w:rFonts w:ascii="Times New Roman" w:hAnsi="Times New Roman" w:cs="Times New Roman"/>
                <w:b/>
                <w:bCs/>
                <w:szCs w:val="24"/>
              </w:rPr>
              <w:t xml:space="preserve"> </w:t>
            </w:r>
            <w:r w:rsidR="0011190E" w:rsidRPr="0011190E">
              <w:rPr>
                <w:rFonts w:ascii="Times New Roman" w:hAnsi="Times New Roman" w:cs="Times New Roman"/>
                <w:b/>
                <w:bCs/>
                <w:szCs w:val="24"/>
              </w:rPr>
              <w:t>(Rs. in crores)</w:t>
            </w:r>
          </w:p>
        </w:tc>
        <w:tc>
          <w:tcPr>
            <w:tcW w:w="1311" w:type="dxa"/>
            <w:vAlign w:val="center"/>
          </w:tcPr>
          <w:p w14:paraId="025B03BD" w14:textId="4616B018" w:rsidR="00D96B0B" w:rsidRPr="0011190E" w:rsidRDefault="00D96B0B" w:rsidP="0011190E">
            <w:pPr>
              <w:pStyle w:val="NoSpacing"/>
              <w:jc w:val="center"/>
              <w:rPr>
                <w:rFonts w:ascii="Times New Roman" w:hAnsi="Times New Roman" w:cs="Times New Roman"/>
                <w:b/>
                <w:bCs/>
                <w:szCs w:val="24"/>
              </w:rPr>
            </w:pPr>
            <w:r w:rsidRPr="0011190E">
              <w:rPr>
                <w:rFonts w:ascii="Times New Roman" w:hAnsi="Times New Roman" w:cs="Times New Roman"/>
                <w:b/>
                <w:bCs/>
                <w:szCs w:val="24"/>
              </w:rPr>
              <w:t>Net</w:t>
            </w:r>
            <w:r w:rsidR="0011190E">
              <w:rPr>
                <w:rFonts w:ascii="Times New Roman" w:hAnsi="Times New Roman" w:cs="Times New Roman"/>
                <w:b/>
                <w:bCs/>
                <w:szCs w:val="24"/>
              </w:rPr>
              <w:t xml:space="preserve"> </w:t>
            </w:r>
            <w:r w:rsidR="0011190E" w:rsidRPr="0011190E">
              <w:rPr>
                <w:rFonts w:ascii="Times New Roman" w:hAnsi="Times New Roman" w:cs="Times New Roman"/>
                <w:b/>
                <w:bCs/>
                <w:szCs w:val="24"/>
              </w:rPr>
              <w:t>(Rs. in crores)</w:t>
            </w:r>
          </w:p>
        </w:tc>
      </w:tr>
      <w:tr w:rsidR="00D96B0B" w:rsidRPr="00D43584" w14:paraId="2D743FC6" w14:textId="77777777" w:rsidTr="0011190E">
        <w:trPr>
          <w:trHeight w:val="726"/>
        </w:trPr>
        <w:tc>
          <w:tcPr>
            <w:tcW w:w="1181" w:type="dxa"/>
            <w:vAlign w:val="center"/>
            <w:hideMark/>
          </w:tcPr>
          <w:p w14:paraId="595E244F" w14:textId="77777777" w:rsidR="00D96B0B" w:rsidRPr="0011190E" w:rsidRDefault="00D96B0B" w:rsidP="0011190E">
            <w:pPr>
              <w:pStyle w:val="NoSpacing"/>
              <w:jc w:val="center"/>
              <w:rPr>
                <w:rFonts w:ascii="Times New Roman" w:hAnsi="Times New Roman" w:cs="Times New Roman"/>
                <w:b/>
                <w:bCs/>
                <w:szCs w:val="24"/>
              </w:rPr>
            </w:pPr>
            <w:r w:rsidRPr="0011190E">
              <w:rPr>
                <w:rFonts w:ascii="Times New Roman" w:hAnsi="Times New Roman" w:cs="Times New Roman"/>
                <w:b/>
                <w:bCs/>
                <w:szCs w:val="24"/>
              </w:rPr>
              <w:t>(1)</w:t>
            </w:r>
          </w:p>
        </w:tc>
        <w:tc>
          <w:tcPr>
            <w:tcW w:w="1995" w:type="dxa"/>
            <w:vAlign w:val="center"/>
            <w:hideMark/>
          </w:tcPr>
          <w:p w14:paraId="0BA3C78A" w14:textId="77777777" w:rsidR="00D96B0B" w:rsidRPr="0011190E" w:rsidRDefault="00D96B0B" w:rsidP="0011190E">
            <w:pPr>
              <w:pStyle w:val="NoSpacing"/>
              <w:jc w:val="center"/>
              <w:rPr>
                <w:rFonts w:ascii="Times New Roman" w:hAnsi="Times New Roman" w:cs="Times New Roman"/>
                <w:b/>
                <w:bCs/>
                <w:szCs w:val="24"/>
              </w:rPr>
            </w:pPr>
            <w:r w:rsidRPr="0011190E">
              <w:rPr>
                <w:rFonts w:ascii="Times New Roman" w:hAnsi="Times New Roman" w:cs="Times New Roman"/>
                <w:b/>
                <w:bCs/>
                <w:szCs w:val="24"/>
              </w:rPr>
              <w:t>(2)</w:t>
            </w:r>
          </w:p>
        </w:tc>
        <w:tc>
          <w:tcPr>
            <w:tcW w:w="0" w:type="auto"/>
            <w:vAlign w:val="center"/>
            <w:hideMark/>
          </w:tcPr>
          <w:p w14:paraId="252AAEA2" w14:textId="77777777" w:rsidR="00D96B0B" w:rsidRPr="0011190E" w:rsidRDefault="00D96B0B" w:rsidP="0011190E">
            <w:pPr>
              <w:pStyle w:val="NoSpacing"/>
              <w:jc w:val="center"/>
              <w:rPr>
                <w:rFonts w:ascii="Times New Roman" w:hAnsi="Times New Roman" w:cs="Times New Roman"/>
                <w:b/>
                <w:bCs/>
                <w:szCs w:val="24"/>
              </w:rPr>
            </w:pPr>
            <w:r w:rsidRPr="0011190E">
              <w:rPr>
                <w:rFonts w:ascii="Times New Roman" w:hAnsi="Times New Roman" w:cs="Times New Roman"/>
                <w:b/>
                <w:bCs/>
                <w:szCs w:val="24"/>
              </w:rPr>
              <w:t>(3)</w:t>
            </w:r>
          </w:p>
        </w:tc>
        <w:tc>
          <w:tcPr>
            <w:tcW w:w="0" w:type="auto"/>
            <w:vAlign w:val="center"/>
            <w:hideMark/>
          </w:tcPr>
          <w:p w14:paraId="717A4AD9" w14:textId="77777777" w:rsidR="00D96B0B" w:rsidRPr="0011190E" w:rsidRDefault="00D96B0B" w:rsidP="0011190E">
            <w:pPr>
              <w:pStyle w:val="NoSpacing"/>
              <w:jc w:val="center"/>
              <w:rPr>
                <w:rFonts w:ascii="Times New Roman" w:hAnsi="Times New Roman" w:cs="Times New Roman"/>
                <w:b/>
                <w:bCs/>
                <w:szCs w:val="24"/>
              </w:rPr>
            </w:pPr>
            <w:r w:rsidRPr="0011190E">
              <w:rPr>
                <w:rFonts w:ascii="Times New Roman" w:hAnsi="Times New Roman" w:cs="Times New Roman"/>
                <w:b/>
                <w:bCs/>
                <w:szCs w:val="24"/>
              </w:rPr>
              <w:t>(4)</w:t>
            </w:r>
          </w:p>
        </w:tc>
        <w:tc>
          <w:tcPr>
            <w:tcW w:w="0" w:type="auto"/>
            <w:vAlign w:val="center"/>
            <w:hideMark/>
          </w:tcPr>
          <w:p w14:paraId="7B966A67" w14:textId="77777777" w:rsidR="00D96B0B" w:rsidRPr="0011190E" w:rsidRDefault="00D96B0B" w:rsidP="0011190E">
            <w:pPr>
              <w:pStyle w:val="NoSpacing"/>
              <w:jc w:val="center"/>
              <w:rPr>
                <w:rFonts w:ascii="Times New Roman" w:hAnsi="Times New Roman" w:cs="Times New Roman"/>
                <w:b/>
                <w:bCs/>
                <w:szCs w:val="24"/>
              </w:rPr>
            </w:pPr>
            <w:r w:rsidRPr="0011190E">
              <w:rPr>
                <w:rFonts w:ascii="Times New Roman" w:hAnsi="Times New Roman" w:cs="Times New Roman"/>
                <w:b/>
                <w:bCs/>
                <w:szCs w:val="24"/>
              </w:rPr>
              <w:t>(5)</w:t>
            </w:r>
          </w:p>
        </w:tc>
        <w:tc>
          <w:tcPr>
            <w:tcW w:w="0" w:type="auto"/>
            <w:vAlign w:val="center"/>
            <w:hideMark/>
          </w:tcPr>
          <w:p w14:paraId="547CF01F" w14:textId="77777777" w:rsidR="00D96B0B" w:rsidRPr="0011190E" w:rsidRDefault="00D96B0B" w:rsidP="0011190E">
            <w:pPr>
              <w:pStyle w:val="NoSpacing"/>
              <w:jc w:val="center"/>
              <w:rPr>
                <w:rFonts w:ascii="Times New Roman" w:hAnsi="Times New Roman" w:cs="Times New Roman"/>
                <w:b/>
                <w:bCs/>
                <w:szCs w:val="24"/>
              </w:rPr>
            </w:pPr>
            <w:r w:rsidRPr="0011190E">
              <w:rPr>
                <w:rFonts w:ascii="Times New Roman" w:hAnsi="Times New Roman" w:cs="Times New Roman"/>
                <w:b/>
                <w:bCs/>
                <w:szCs w:val="24"/>
              </w:rPr>
              <w:t>(6)</w:t>
            </w:r>
          </w:p>
        </w:tc>
        <w:tc>
          <w:tcPr>
            <w:tcW w:w="1311" w:type="dxa"/>
            <w:vAlign w:val="center"/>
            <w:hideMark/>
          </w:tcPr>
          <w:p w14:paraId="5814B518" w14:textId="42628AB7" w:rsidR="00D96B0B" w:rsidRPr="0011190E" w:rsidRDefault="00D96B0B" w:rsidP="0011190E">
            <w:pPr>
              <w:pStyle w:val="NoSpacing"/>
              <w:jc w:val="center"/>
              <w:rPr>
                <w:rFonts w:ascii="Times New Roman" w:hAnsi="Times New Roman" w:cs="Times New Roman"/>
                <w:b/>
                <w:bCs/>
                <w:szCs w:val="24"/>
              </w:rPr>
            </w:pPr>
            <w:r w:rsidRPr="0011190E">
              <w:rPr>
                <w:rFonts w:ascii="Times New Roman" w:hAnsi="Times New Roman" w:cs="Times New Roman"/>
                <w:b/>
                <w:bCs/>
                <w:szCs w:val="24"/>
              </w:rPr>
              <w:t>(7)</w:t>
            </w:r>
          </w:p>
        </w:tc>
      </w:tr>
      <w:tr w:rsidR="00D96B0B" w:rsidRPr="00D43584" w14:paraId="507D2A67" w14:textId="77777777" w:rsidTr="0011190E">
        <w:trPr>
          <w:trHeight w:val="743"/>
        </w:trPr>
        <w:tc>
          <w:tcPr>
            <w:tcW w:w="1181" w:type="dxa"/>
            <w:vAlign w:val="center"/>
            <w:hideMark/>
          </w:tcPr>
          <w:p w14:paraId="5FBF518A" w14:textId="77777777" w:rsidR="00D96B0B" w:rsidRPr="00D43584" w:rsidRDefault="00D96B0B" w:rsidP="0011190E">
            <w:pPr>
              <w:pStyle w:val="NoSpacing"/>
              <w:rPr>
                <w:rFonts w:ascii="Times New Roman" w:hAnsi="Times New Roman" w:cs="Times New Roman"/>
                <w:szCs w:val="24"/>
              </w:rPr>
            </w:pPr>
            <w:r w:rsidRPr="00D43584">
              <w:rPr>
                <w:rFonts w:ascii="Times New Roman" w:hAnsi="Times New Roman" w:cs="Times New Roman"/>
                <w:szCs w:val="24"/>
              </w:rPr>
              <w:t>1965-66</w:t>
            </w:r>
          </w:p>
        </w:tc>
        <w:tc>
          <w:tcPr>
            <w:tcW w:w="1995" w:type="dxa"/>
            <w:vAlign w:val="center"/>
            <w:hideMark/>
          </w:tcPr>
          <w:p w14:paraId="49A80754" w14:textId="77777777" w:rsidR="00D96B0B" w:rsidRPr="00D43584" w:rsidRDefault="00D96B0B" w:rsidP="0011190E">
            <w:pPr>
              <w:pStyle w:val="NoSpacing"/>
              <w:rPr>
                <w:rFonts w:ascii="Times New Roman" w:hAnsi="Times New Roman" w:cs="Times New Roman"/>
                <w:szCs w:val="24"/>
              </w:rPr>
            </w:pPr>
            <w:r w:rsidRPr="00D43584">
              <w:rPr>
                <w:rFonts w:ascii="Times New Roman" w:hAnsi="Times New Roman" w:cs="Times New Roman"/>
                <w:szCs w:val="24"/>
              </w:rPr>
              <w:t>June</w:t>
            </w:r>
          </w:p>
        </w:tc>
        <w:tc>
          <w:tcPr>
            <w:tcW w:w="0" w:type="auto"/>
            <w:vAlign w:val="center"/>
            <w:hideMark/>
          </w:tcPr>
          <w:p w14:paraId="4E2E0672" w14:textId="77777777" w:rsidR="00D96B0B" w:rsidRPr="00D43584" w:rsidRDefault="00D96B0B" w:rsidP="0011190E">
            <w:pPr>
              <w:pStyle w:val="NoSpacing"/>
              <w:jc w:val="center"/>
              <w:rPr>
                <w:rFonts w:ascii="Times New Roman" w:hAnsi="Times New Roman" w:cs="Times New Roman"/>
                <w:szCs w:val="24"/>
              </w:rPr>
            </w:pPr>
            <w:r w:rsidRPr="00D43584">
              <w:rPr>
                <w:rFonts w:ascii="Times New Roman" w:hAnsi="Times New Roman" w:cs="Times New Roman"/>
                <w:szCs w:val="24"/>
              </w:rPr>
              <w:t>10</w:t>
            </w:r>
          </w:p>
        </w:tc>
        <w:tc>
          <w:tcPr>
            <w:tcW w:w="0" w:type="auto"/>
            <w:vAlign w:val="center"/>
            <w:hideMark/>
          </w:tcPr>
          <w:p w14:paraId="56BA1097" w14:textId="77777777" w:rsidR="00D96B0B" w:rsidRPr="00D43584" w:rsidRDefault="00D96B0B" w:rsidP="0011190E">
            <w:pPr>
              <w:pStyle w:val="NoSpacing"/>
              <w:jc w:val="center"/>
              <w:rPr>
                <w:rFonts w:ascii="Times New Roman" w:hAnsi="Times New Roman" w:cs="Times New Roman"/>
                <w:szCs w:val="24"/>
              </w:rPr>
            </w:pPr>
            <w:r w:rsidRPr="00D43584">
              <w:rPr>
                <w:rFonts w:ascii="Times New Roman" w:hAnsi="Times New Roman" w:cs="Times New Roman"/>
                <w:szCs w:val="24"/>
              </w:rPr>
              <w:t>120</w:t>
            </w:r>
          </w:p>
        </w:tc>
        <w:tc>
          <w:tcPr>
            <w:tcW w:w="0" w:type="auto"/>
            <w:vAlign w:val="center"/>
            <w:hideMark/>
          </w:tcPr>
          <w:p w14:paraId="3B1B4E24" w14:textId="77777777" w:rsidR="00D96B0B" w:rsidRPr="00D43584" w:rsidRDefault="00D96B0B" w:rsidP="0011190E">
            <w:pPr>
              <w:pStyle w:val="NoSpacing"/>
              <w:jc w:val="center"/>
              <w:rPr>
                <w:rFonts w:ascii="Times New Roman" w:hAnsi="Times New Roman" w:cs="Times New Roman"/>
                <w:szCs w:val="24"/>
              </w:rPr>
            </w:pPr>
            <w:r w:rsidRPr="00D43584">
              <w:rPr>
                <w:rFonts w:ascii="Times New Roman" w:hAnsi="Times New Roman" w:cs="Times New Roman"/>
                <w:szCs w:val="24"/>
              </w:rPr>
              <w:t>285.72*</w:t>
            </w:r>
          </w:p>
        </w:tc>
        <w:tc>
          <w:tcPr>
            <w:tcW w:w="0" w:type="auto"/>
            <w:vAlign w:val="center"/>
            <w:hideMark/>
          </w:tcPr>
          <w:p w14:paraId="21919A64" w14:textId="77777777" w:rsidR="00D96B0B" w:rsidRPr="00D43584" w:rsidRDefault="00D96B0B" w:rsidP="0011190E">
            <w:pPr>
              <w:pStyle w:val="NoSpacing"/>
              <w:jc w:val="center"/>
              <w:rPr>
                <w:rFonts w:ascii="Times New Roman" w:hAnsi="Times New Roman" w:cs="Times New Roman"/>
                <w:szCs w:val="24"/>
              </w:rPr>
            </w:pPr>
            <w:r w:rsidRPr="00D43584">
              <w:rPr>
                <w:rFonts w:ascii="Times New Roman" w:hAnsi="Times New Roman" w:cs="Times New Roman"/>
                <w:szCs w:val="24"/>
              </w:rPr>
              <w:t>215.72*</w:t>
            </w:r>
          </w:p>
        </w:tc>
        <w:tc>
          <w:tcPr>
            <w:tcW w:w="1311" w:type="dxa"/>
            <w:vAlign w:val="center"/>
            <w:hideMark/>
          </w:tcPr>
          <w:p w14:paraId="69DCA39A" w14:textId="77777777" w:rsidR="00D96B0B" w:rsidRPr="00D43584" w:rsidRDefault="00D96B0B" w:rsidP="0011190E">
            <w:pPr>
              <w:pStyle w:val="NoSpacing"/>
              <w:jc w:val="center"/>
              <w:rPr>
                <w:rFonts w:ascii="Times New Roman" w:hAnsi="Times New Roman" w:cs="Times New Roman"/>
                <w:szCs w:val="24"/>
              </w:rPr>
            </w:pPr>
            <w:r w:rsidRPr="00D43584">
              <w:rPr>
                <w:rFonts w:ascii="Times New Roman" w:hAnsi="Times New Roman" w:cs="Times New Roman"/>
                <w:szCs w:val="24"/>
              </w:rPr>
              <w:t>70.00*</w:t>
            </w:r>
          </w:p>
        </w:tc>
      </w:tr>
      <w:tr w:rsidR="00D96B0B" w:rsidRPr="00D43584" w14:paraId="56273B90" w14:textId="77777777" w:rsidTr="0011190E">
        <w:trPr>
          <w:trHeight w:val="743"/>
        </w:trPr>
        <w:tc>
          <w:tcPr>
            <w:tcW w:w="1181" w:type="dxa"/>
            <w:vAlign w:val="center"/>
            <w:hideMark/>
          </w:tcPr>
          <w:p w14:paraId="6CD09AFD" w14:textId="77777777" w:rsidR="00D96B0B" w:rsidRPr="00D43584" w:rsidRDefault="00D96B0B" w:rsidP="0011190E">
            <w:pPr>
              <w:pStyle w:val="NoSpacing"/>
              <w:rPr>
                <w:rFonts w:ascii="Times New Roman" w:hAnsi="Times New Roman" w:cs="Times New Roman"/>
                <w:szCs w:val="24"/>
              </w:rPr>
            </w:pPr>
            <w:r w:rsidRPr="00D43584">
              <w:rPr>
                <w:rFonts w:ascii="Times New Roman" w:hAnsi="Times New Roman" w:cs="Times New Roman"/>
                <w:szCs w:val="24"/>
              </w:rPr>
              <w:t>1966-67</w:t>
            </w:r>
          </w:p>
        </w:tc>
        <w:tc>
          <w:tcPr>
            <w:tcW w:w="1995" w:type="dxa"/>
            <w:vAlign w:val="center"/>
            <w:hideMark/>
          </w:tcPr>
          <w:p w14:paraId="19D6D97E" w14:textId="77777777" w:rsidR="00D96B0B" w:rsidRPr="00D43584" w:rsidRDefault="00D96B0B" w:rsidP="0011190E">
            <w:pPr>
              <w:pStyle w:val="NoSpacing"/>
              <w:rPr>
                <w:rFonts w:ascii="Times New Roman" w:hAnsi="Times New Roman" w:cs="Times New Roman"/>
                <w:szCs w:val="24"/>
              </w:rPr>
            </w:pPr>
            <w:r w:rsidRPr="00D43584">
              <w:rPr>
                <w:rFonts w:ascii="Times New Roman" w:hAnsi="Times New Roman" w:cs="Times New Roman"/>
                <w:szCs w:val="24"/>
              </w:rPr>
              <w:t>June &amp; September</w:t>
            </w:r>
          </w:p>
        </w:tc>
        <w:tc>
          <w:tcPr>
            <w:tcW w:w="0" w:type="auto"/>
            <w:vAlign w:val="center"/>
            <w:hideMark/>
          </w:tcPr>
          <w:p w14:paraId="62627ABB" w14:textId="77777777" w:rsidR="00D96B0B" w:rsidRPr="00D43584" w:rsidRDefault="00D96B0B" w:rsidP="0011190E">
            <w:pPr>
              <w:pStyle w:val="NoSpacing"/>
              <w:jc w:val="center"/>
              <w:rPr>
                <w:rFonts w:ascii="Times New Roman" w:hAnsi="Times New Roman" w:cs="Times New Roman"/>
                <w:szCs w:val="24"/>
              </w:rPr>
            </w:pPr>
            <w:r w:rsidRPr="00D43584">
              <w:rPr>
                <w:rFonts w:ascii="Times New Roman" w:hAnsi="Times New Roman" w:cs="Times New Roman"/>
                <w:szCs w:val="24"/>
              </w:rPr>
              <w:t>7</w:t>
            </w:r>
          </w:p>
        </w:tc>
        <w:tc>
          <w:tcPr>
            <w:tcW w:w="0" w:type="auto"/>
            <w:vAlign w:val="center"/>
            <w:hideMark/>
          </w:tcPr>
          <w:p w14:paraId="770B4E78" w14:textId="77777777" w:rsidR="00D96B0B" w:rsidRPr="00D43584" w:rsidRDefault="00D96B0B" w:rsidP="0011190E">
            <w:pPr>
              <w:pStyle w:val="NoSpacing"/>
              <w:jc w:val="center"/>
              <w:rPr>
                <w:rFonts w:ascii="Times New Roman" w:hAnsi="Times New Roman" w:cs="Times New Roman"/>
                <w:szCs w:val="24"/>
              </w:rPr>
            </w:pPr>
            <w:r w:rsidRPr="00D43584">
              <w:rPr>
                <w:rFonts w:ascii="Times New Roman" w:hAnsi="Times New Roman" w:cs="Times New Roman"/>
                <w:szCs w:val="24"/>
              </w:rPr>
              <w:t>111</w:t>
            </w:r>
          </w:p>
        </w:tc>
        <w:tc>
          <w:tcPr>
            <w:tcW w:w="0" w:type="auto"/>
            <w:vAlign w:val="center"/>
            <w:hideMark/>
          </w:tcPr>
          <w:p w14:paraId="07CE3913" w14:textId="77777777" w:rsidR="00D96B0B" w:rsidRPr="00D43584" w:rsidRDefault="00D96B0B" w:rsidP="0011190E">
            <w:pPr>
              <w:pStyle w:val="NoSpacing"/>
              <w:jc w:val="center"/>
              <w:rPr>
                <w:rFonts w:ascii="Times New Roman" w:hAnsi="Times New Roman" w:cs="Times New Roman"/>
                <w:szCs w:val="24"/>
              </w:rPr>
            </w:pPr>
            <w:r w:rsidRPr="00D43584">
              <w:rPr>
                <w:rFonts w:ascii="Times New Roman" w:hAnsi="Times New Roman" w:cs="Times New Roman"/>
                <w:szCs w:val="24"/>
              </w:rPr>
              <w:t>149.25</w:t>
            </w:r>
          </w:p>
        </w:tc>
        <w:tc>
          <w:tcPr>
            <w:tcW w:w="0" w:type="auto"/>
            <w:vAlign w:val="center"/>
            <w:hideMark/>
          </w:tcPr>
          <w:p w14:paraId="0D703B89" w14:textId="77777777" w:rsidR="00D96B0B" w:rsidRPr="00D43584" w:rsidRDefault="00D96B0B" w:rsidP="0011190E">
            <w:pPr>
              <w:pStyle w:val="NoSpacing"/>
              <w:jc w:val="center"/>
              <w:rPr>
                <w:rFonts w:ascii="Times New Roman" w:hAnsi="Times New Roman" w:cs="Times New Roman"/>
                <w:szCs w:val="24"/>
              </w:rPr>
            </w:pPr>
            <w:r w:rsidRPr="00D43584">
              <w:rPr>
                <w:rFonts w:ascii="Times New Roman" w:hAnsi="Times New Roman" w:cs="Times New Roman"/>
                <w:szCs w:val="24"/>
              </w:rPr>
              <w:t>41.25</w:t>
            </w:r>
          </w:p>
        </w:tc>
        <w:tc>
          <w:tcPr>
            <w:tcW w:w="1311" w:type="dxa"/>
            <w:vAlign w:val="center"/>
            <w:hideMark/>
          </w:tcPr>
          <w:p w14:paraId="25A8C200" w14:textId="77777777" w:rsidR="00D96B0B" w:rsidRPr="00D43584" w:rsidRDefault="00D96B0B" w:rsidP="0011190E">
            <w:pPr>
              <w:pStyle w:val="NoSpacing"/>
              <w:jc w:val="center"/>
              <w:rPr>
                <w:rFonts w:ascii="Times New Roman" w:hAnsi="Times New Roman" w:cs="Times New Roman"/>
                <w:szCs w:val="24"/>
              </w:rPr>
            </w:pPr>
            <w:r w:rsidRPr="00D43584">
              <w:rPr>
                <w:rFonts w:ascii="Times New Roman" w:hAnsi="Times New Roman" w:cs="Times New Roman"/>
                <w:szCs w:val="24"/>
              </w:rPr>
              <w:t>108.00</w:t>
            </w:r>
          </w:p>
        </w:tc>
      </w:tr>
      <w:tr w:rsidR="00D96B0B" w:rsidRPr="00D43584" w14:paraId="013FC3CC" w14:textId="77777777" w:rsidTr="0011190E">
        <w:trPr>
          <w:trHeight w:val="726"/>
        </w:trPr>
        <w:tc>
          <w:tcPr>
            <w:tcW w:w="1181" w:type="dxa"/>
            <w:vAlign w:val="center"/>
            <w:hideMark/>
          </w:tcPr>
          <w:p w14:paraId="3A24DAAE" w14:textId="77777777" w:rsidR="00D96B0B" w:rsidRPr="00D43584" w:rsidRDefault="00D96B0B" w:rsidP="0011190E">
            <w:pPr>
              <w:pStyle w:val="NoSpacing"/>
              <w:rPr>
                <w:rFonts w:ascii="Times New Roman" w:hAnsi="Times New Roman" w:cs="Times New Roman"/>
                <w:szCs w:val="24"/>
              </w:rPr>
            </w:pPr>
            <w:r w:rsidRPr="00D43584">
              <w:rPr>
                <w:rFonts w:ascii="Times New Roman" w:hAnsi="Times New Roman" w:cs="Times New Roman"/>
                <w:szCs w:val="24"/>
              </w:rPr>
              <w:t>1967-68</w:t>
            </w:r>
          </w:p>
        </w:tc>
        <w:tc>
          <w:tcPr>
            <w:tcW w:w="1995" w:type="dxa"/>
            <w:vAlign w:val="center"/>
            <w:hideMark/>
          </w:tcPr>
          <w:p w14:paraId="32E6171C" w14:textId="77777777" w:rsidR="00D96B0B" w:rsidRPr="00D43584" w:rsidRDefault="00D96B0B" w:rsidP="0011190E">
            <w:pPr>
              <w:pStyle w:val="NoSpacing"/>
              <w:rPr>
                <w:rFonts w:ascii="Times New Roman" w:hAnsi="Times New Roman" w:cs="Times New Roman"/>
                <w:szCs w:val="24"/>
              </w:rPr>
            </w:pPr>
            <w:r w:rsidRPr="00D43584">
              <w:rPr>
                <w:rFonts w:ascii="Times New Roman" w:hAnsi="Times New Roman" w:cs="Times New Roman"/>
                <w:szCs w:val="24"/>
              </w:rPr>
              <w:t>June</w:t>
            </w:r>
          </w:p>
        </w:tc>
        <w:tc>
          <w:tcPr>
            <w:tcW w:w="0" w:type="auto"/>
            <w:vAlign w:val="center"/>
            <w:hideMark/>
          </w:tcPr>
          <w:p w14:paraId="4011551A" w14:textId="77777777" w:rsidR="00D96B0B" w:rsidRPr="00D43584" w:rsidRDefault="00D96B0B" w:rsidP="0011190E">
            <w:pPr>
              <w:pStyle w:val="NoSpacing"/>
              <w:jc w:val="center"/>
              <w:rPr>
                <w:rFonts w:ascii="Times New Roman" w:hAnsi="Times New Roman" w:cs="Times New Roman"/>
                <w:szCs w:val="24"/>
              </w:rPr>
            </w:pPr>
            <w:r w:rsidRPr="00D43584">
              <w:rPr>
                <w:rFonts w:ascii="Times New Roman" w:hAnsi="Times New Roman" w:cs="Times New Roman"/>
                <w:szCs w:val="24"/>
              </w:rPr>
              <w:t>7</w:t>
            </w:r>
          </w:p>
        </w:tc>
        <w:tc>
          <w:tcPr>
            <w:tcW w:w="0" w:type="auto"/>
            <w:vAlign w:val="center"/>
            <w:hideMark/>
          </w:tcPr>
          <w:p w14:paraId="73FAAEAB" w14:textId="77777777" w:rsidR="00D96B0B" w:rsidRPr="00D43584" w:rsidRDefault="00D96B0B" w:rsidP="0011190E">
            <w:pPr>
              <w:pStyle w:val="NoSpacing"/>
              <w:jc w:val="center"/>
              <w:rPr>
                <w:rFonts w:ascii="Times New Roman" w:hAnsi="Times New Roman" w:cs="Times New Roman"/>
                <w:szCs w:val="24"/>
              </w:rPr>
            </w:pPr>
            <w:r w:rsidRPr="00D43584">
              <w:rPr>
                <w:rFonts w:ascii="Times New Roman" w:hAnsi="Times New Roman" w:cs="Times New Roman"/>
                <w:szCs w:val="24"/>
              </w:rPr>
              <w:t>75</w:t>
            </w:r>
          </w:p>
        </w:tc>
        <w:tc>
          <w:tcPr>
            <w:tcW w:w="0" w:type="auto"/>
            <w:vAlign w:val="center"/>
            <w:hideMark/>
          </w:tcPr>
          <w:p w14:paraId="730BC95C" w14:textId="77777777" w:rsidR="00D96B0B" w:rsidRPr="00D43584" w:rsidRDefault="00D96B0B" w:rsidP="0011190E">
            <w:pPr>
              <w:pStyle w:val="NoSpacing"/>
              <w:jc w:val="center"/>
              <w:rPr>
                <w:rFonts w:ascii="Times New Roman" w:hAnsi="Times New Roman" w:cs="Times New Roman"/>
                <w:szCs w:val="24"/>
              </w:rPr>
            </w:pPr>
            <w:r w:rsidRPr="00D43584">
              <w:rPr>
                <w:rFonts w:ascii="Times New Roman" w:hAnsi="Times New Roman" w:cs="Times New Roman"/>
                <w:szCs w:val="24"/>
              </w:rPr>
              <w:t>128.43</w:t>
            </w:r>
          </w:p>
        </w:tc>
        <w:tc>
          <w:tcPr>
            <w:tcW w:w="0" w:type="auto"/>
            <w:vAlign w:val="center"/>
            <w:hideMark/>
          </w:tcPr>
          <w:p w14:paraId="2638B659" w14:textId="77777777" w:rsidR="00D96B0B" w:rsidRPr="00D43584" w:rsidRDefault="00D96B0B" w:rsidP="0011190E">
            <w:pPr>
              <w:pStyle w:val="NoSpacing"/>
              <w:jc w:val="center"/>
              <w:rPr>
                <w:rFonts w:ascii="Times New Roman" w:hAnsi="Times New Roman" w:cs="Times New Roman"/>
                <w:szCs w:val="24"/>
              </w:rPr>
            </w:pPr>
            <w:r w:rsidRPr="00D43584">
              <w:rPr>
                <w:rFonts w:ascii="Times New Roman" w:hAnsi="Times New Roman" w:cs="Times New Roman"/>
                <w:szCs w:val="24"/>
              </w:rPr>
              <w:t>10.00</w:t>
            </w:r>
          </w:p>
        </w:tc>
        <w:tc>
          <w:tcPr>
            <w:tcW w:w="1311" w:type="dxa"/>
            <w:vAlign w:val="center"/>
            <w:hideMark/>
          </w:tcPr>
          <w:p w14:paraId="68B84BC5" w14:textId="77777777" w:rsidR="00D96B0B" w:rsidRPr="00D43584" w:rsidRDefault="00D96B0B" w:rsidP="0011190E">
            <w:pPr>
              <w:pStyle w:val="NoSpacing"/>
              <w:jc w:val="center"/>
              <w:rPr>
                <w:rFonts w:ascii="Times New Roman" w:hAnsi="Times New Roman" w:cs="Times New Roman"/>
                <w:szCs w:val="24"/>
              </w:rPr>
            </w:pPr>
            <w:r w:rsidRPr="00D43584">
              <w:rPr>
                <w:rFonts w:ascii="Times New Roman" w:hAnsi="Times New Roman" w:cs="Times New Roman"/>
                <w:szCs w:val="24"/>
              </w:rPr>
              <w:t>118.43</w:t>
            </w:r>
          </w:p>
        </w:tc>
      </w:tr>
    </w:tbl>
    <w:p w14:paraId="06472CEC" w14:textId="6F6E6A1F" w:rsidR="00D96B0B" w:rsidRPr="0011190E" w:rsidRDefault="00D96B0B" w:rsidP="00D96B0B">
      <w:pPr>
        <w:tabs>
          <w:tab w:val="left" w:pos="5334"/>
        </w:tabs>
        <w:rPr>
          <w:rFonts w:ascii="Times New Roman" w:hAnsi="Times New Roman" w:cs="Times New Roman"/>
          <w:sz w:val="20"/>
          <w:szCs w:val="20"/>
        </w:rPr>
      </w:pPr>
      <w:r w:rsidRPr="0011190E">
        <w:rPr>
          <w:rFonts w:ascii="Times New Roman" w:hAnsi="Times New Roman" w:cs="Times New Roman"/>
          <w:sz w:val="20"/>
          <w:szCs w:val="20"/>
        </w:rPr>
        <w:t>*Figures for the Third Plan period: 1961-62 to 1965-66.</w:t>
      </w:r>
    </w:p>
    <w:p w14:paraId="73931BF8" w14:textId="77777777" w:rsidR="00D96B0B" w:rsidRPr="0011190E" w:rsidRDefault="00D96B0B" w:rsidP="00D96B0B">
      <w:pPr>
        <w:tabs>
          <w:tab w:val="left" w:pos="5334"/>
        </w:tabs>
        <w:rPr>
          <w:rFonts w:ascii="Times New Roman" w:hAnsi="Times New Roman" w:cs="Times New Roman"/>
          <w:sz w:val="20"/>
          <w:szCs w:val="20"/>
        </w:rPr>
      </w:pPr>
      <w:r w:rsidRPr="0011190E">
        <w:rPr>
          <w:rFonts w:ascii="Times New Roman" w:hAnsi="Times New Roman" w:cs="Times New Roman"/>
          <w:sz w:val="20"/>
          <w:szCs w:val="20"/>
        </w:rPr>
        <w:t>Source: Reserve Bank of India and Central Government.</w:t>
      </w:r>
    </w:p>
    <w:p w14:paraId="28B11B8F" w14:textId="39ABF003" w:rsidR="00D96B0B" w:rsidRPr="00D43584" w:rsidRDefault="00D96B0B">
      <w:pPr>
        <w:rPr>
          <w:rFonts w:ascii="Times New Roman" w:hAnsi="Times New Roman" w:cs="Times New Roman"/>
          <w:szCs w:val="24"/>
        </w:rPr>
      </w:pPr>
      <w:r w:rsidRPr="00D43584">
        <w:rPr>
          <w:rFonts w:ascii="Times New Roman" w:hAnsi="Times New Roman" w:cs="Times New Roman"/>
          <w:szCs w:val="24"/>
        </w:rPr>
        <w:br w:type="page"/>
      </w:r>
    </w:p>
    <w:p w14:paraId="63047119" w14:textId="0957518D" w:rsidR="00A148E6" w:rsidRPr="00D43584" w:rsidRDefault="00574BCE" w:rsidP="0060494F">
      <w:pPr>
        <w:pStyle w:val="Heading5"/>
        <w:rPr>
          <w:i/>
          <w:iCs/>
        </w:rPr>
      </w:pPr>
      <w:bookmarkStart w:id="262" w:name="_Toc220949761"/>
      <w:bookmarkStart w:id="263" w:name="_Toc221115386"/>
      <w:r>
        <w:lastRenderedPageBreak/>
        <w:t>Table</w:t>
      </w:r>
      <w:r w:rsidR="00A148E6" w:rsidRPr="00D43584">
        <w:t xml:space="preserve"> 3: Loan repayments and receipts of States</w:t>
      </w:r>
      <w:bookmarkEnd w:id="262"/>
      <w:bookmarkEnd w:id="263"/>
      <w:r w:rsidR="00A148E6" w:rsidRPr="00D43584">
        <w:br/>
      </w:r>
    </w:p>
    <w:p w14:paraId="3C73C371" w14:textId="77777777" w:rsidR="00A148E6" w:rsidRPr="00D43584" w:rsidRDefault="00A148E6" w:rsidP="00A148E6">
      <w:pPr>
        <w:tabs>
          <w:tab w:val="left" w:pos="5334"/>
        </w:tabs>
        <w:jc w:val="right"/>
        <w:rPr>
          <w:rFonts w:ascii="Times New Roman" w:hAnsi="Times New Roman" w:cs="Times New Roman"/>
          <w:i/>
          <w:iCs/>
          <w:szCs w:val="24"/>
        </w:rPr>
      </w:pPr>
      <w:r w:rsidRPr="00D43584">
        <w:rPr>
          <w:rFonts w:ascii="Times New Roman" w:hAnsi="Times New Roman" w:cs="Times New Roman"/>
          <w:i/>
          <w:iCs/>
          <w:szCs w:val="24"/>
        </w:rPr>
        <w:t>(Rs. in crores)</w:t>
      </w:r>
    </w:p>
    <w:tbl>
      <w:tblPr>
        <w:tblStyle w:val="TableGrid"/>
        <w:tblpPr w:leftFromText="180" w:rightFromText="180" w:horzAnchor="page" w:tblpX="922" w:tblpY="1567"/>
        <w:tblW w:w="10787" w:type="dxa"/>
        <w:tblLook w:val="04A0" w:firstRow="1" w:lastRow="0" w:firstColumn="1" w:lastColumn="0" w:noHBand="0" w:noVBand="1"/>
      </w:tblPr>
      <w:tblGrid>
        <w:gridCol w:w="3178"/>
        <w:gridCol w:w="1087"/>
        <w:gridCol w:w="1087"/>
        <w:gridCol w:w="1087"/>
        <w:gridCol w:w="1087"/>
        <w:gridCol w:w="1087"/>
        <w:gridCol w:w="1087"/>
        <w:gridCol w:w="1087"/>
      </w:tblGrid>
      <w:tr w:rsidR="00A148E6" w:rsidRPr="00D43584" w14:paraId="0450C5F3" w14:textId="77777777" w:rsidTr="0011190E">
        <w:trPr>
          <w:trHeight w:val="817"/>
        </w:trPr>
        <w:tc>
          <w:tcPr>
            <w:tcW w:w="0" w:type="auto"/>
            <w:vAlign w:val="center"/>
            <w:hideMark/>
          </w:tcPr>
          <w:p w14:paraId="544A86E0" w14:textId="77777777" w:rsidR="00A148E6" w:rsidRPr="00D43584" w:rsidRDefault="00A148E6" w:rsidP="0011190E">
            <w:pPr>
              <w:tabs>
                <w:tab w:val="left" w:pos="5334"/>
              </w:tabs>
              <w:spacing w:after="160" w:line="278" w:lineRule="auto"/>
              <w:jc w:val="center"/>
              <w:rPr>
                <w:rFonts w:ascii="Times New Roman" w:hAnsi="Times New Roman" w:cs="Times New Roman"/>
                <w:b/>
                <w:bCs/>
                <w:szCs w:val="24"/>
              </w:rPr>
            </w:pPr>
            <w:r w:rsidRPr="00D43584">
              <w:rPr>
                <w:rFonts w:ascii="Times New Roman" w:hAnsi="Times New Roman" w:cs="Times New Roman"/>
                <w:b/>
                <w:bCs/>
                <w:szCs w:val="24"/>
              </w:rPr>
              <w:t>Item</w:t>
            </w:r>
          </w:p>
        </w:tc>
        <w:tc>
          <w:tcPr>
            <w:tcW w:w="0" w:type="auto"/>
            <w:vAlign w:val="center"/>
            <w:hideMark/>
          </w:tcPr>
          <w:p w14:paraId="4A2521D5" w14:textId="77777777" w:rsidR="00A148E6" w:rsidRPr="00D43584" w:rsidRDefault="00A148E6" w:rsidP="0011190E">
            <w:pPr>
              <w:tabs>
                <w:tab w:val="left" w:pos="5334"/>
              </w:tabs>
              <w:spacing w:after="160" w:line="278" w:lineRule="auto"/>
              <w:jc w:val="center"/>
              <w:rPr>
                <w:rFonts w:ascii="Times New Roman" w:hAnsi="Times New Roman" w:cs="Times New Roman"/>
                <w:b/>
                <w:bCs/>
                <w:szCs w:val="24"/>
              </w:rPr>
            </w:pPr>
            <w:r w:rsidRPr="00D43584">
              <w:rPr>
                <w:rFonts w:ascii="Times New Roman" w:hAnsi="Times New Roman" w:cs="Times New Roman"/>
                <w:b/>
                <w:bCs/>
                <w:szCs w:val="24"/>
              </w:rPr>
              <w:t>1951-52</w:t>
            </w:r>
          </w:p>
        </w:tc>
        <w:tc>
          <w:tcPr>
            <w:tcW w:w="0" w:type="auto"/>
            <w:vAlign w:val="center"/>
            <w:hideMark/>
          </w:tcPr>
          <w:p w14:paraId="0D8FB5C9" w14:textId="77777777" w:rsidR="00A148E6" w:rsidRPr="00D43584" w:rsidRDefault="00A148E6" w:rsidP="0011190E">
            <w:pPr>
              <w:tabs>
                <w:tab w:val="left" w:pos="5334"/>
              </w:tabs>
              <w:spacing w:after="160" w:line="278" w:lineRule="auto"/>
              <w:jc w:val="center"/>
              <w:rPr>
                <w:rFonts w:ascii="Times New Roman" w:hAnsi="Times New Roman" w:cs="Times New Roman"/>
                <w:b/>
                <w:bCs/>
                <w:szCs w:val="24"/>
              </w:rPr>
            </w:pPr>
            <w:r w:rsidRPr="00D43584">
              <w:rPr>
                <w:rFonts w:ascii="Times New Roman" w:hAnsi="Times New Roman" w:cs="Times New Roman"/>
                <w:b/>
                <w:bCs/>
                <w:szCs w:val="24"/>
              </w:rPr>
              <w:t>1956-57</w:t>
            </w:r>
          </w:p>
        </w:tc>
        <w:tc>
          <w:tcPr>
            <w:tcW w:w="0" w:type="auto"/>
            <w:vAlign w:val="center"/>
            <w:hideMark/>
          </w:tcPr>
          <w:p w14:paraId="5D3D857B" w14:textId="77777777" w:rsidR="00A148E6" w:rsidRPr="00D43584" w:rsidRDefault="00A148E6" w:rsidP="0011190E">
            <w:pPr>
              <w:tabs>
                <w:tab w:val="left" w:pos="5334"/>
              </w:tabs>
              <w:spacing w:after="160" w:line="278" w:lineRule="auto"/>
              <w:jc w:val="center"/>
              <w:rPr>
                <w:rFonts w:ascii="Times New Roman" w:hAnsi="Times New Roman" w:cs="Times New Roman"/>
                <w:b/>
                <w:bCs/>
                <w:szCs w:val="24"/>
              </w:rPr>
            </w:pPr>
            <w:r w:rsidRPr="00D43584">
              <w:rPr>
                <w:rFonts w:ascii="Times New Roman" w:hAnsi="Times New Roman" w:cs="Times New Roman"/>
                <w:b/>
                <w:bCs/>
                <w:szCs w:val="24"/>
              </w:rPr>
              <w:t>1961-62</w:t>
            </w:r>
          </w:p>
        </w:tc>
        <w:tc>
          <w:tcPr>
            <w:tcW w:w="0" w:type="auto"/>
            <w:vAlign w:val="center"/>
            <w:hideMark/>
          </w:tcPr>
          <w:p w14:paraId="1C36B8FF" w14:textId="77777777" w:rsidR="00A148E6" w:rsidRPr="00D43584" w:rsidRDefault="00A148E6" w:rsidP="0011190E">
            <w:pPr>
              <w:tabs>
                <w:tab w:val="left" w:pos="5334"/>
              </w:tabs>
              <w:spacing w:after="160" w:line="278" w:lineRule="auto"/>
              <w:jc w:val="center"/>
              <w:rPr>
                <w:rFonts w:ascii="Times New Roman" w:hAnsi="Times New Roman" w:cs="Times New Roman"/>
                <w:b/>
                <w:bCs/>
                <w:szCs w:val="24"/>
              </w:rPr>
            </w:pPr>
            <w:r w:rsidRPr="00D43584">
              <w:rPr>
                <w:rFonts w:ascii="Times New Roman" w:hAnsi="Times New Roman" w:cs="Times New Roman"/>
                <w:b/>
                <w:bCs/>
                <w:szCs w:val="24"/>
              </w:rPr>
              <w:t>1965-66</w:t>
            </w:r>
          </w:p>
        </w:tc>
        <w:tc>
          <w:tcPr>
            <w:tcW w:w="0" w:type="auto"/>
            <w:vAlign w:val="center"/>
            <w:hideMark/>
          </w:tcPr>
          <w:p w14:paraId="7A63C508" w14:textId="77777777" w:rsidR="00A148E6" w:rsidRPr="00D43584" w:rsidRDefault="00A148E6" w:rsidP="0011190E">
            <w:pPr>
              <w:tabs>
                <w:tab w:val="left" w:pos="5334"/>
              </w:tabs>
              <w:spacing w:after="160" w:line="278" w:lineRule="auto"/>
              <w:jc w:val="center"/>
              <w:rPr>
                <w:rFonts w:ascii="Times New Roman" w:hAnsi="Times New Roman" w:cs="Times New Roman"/>
                <w:b/>
                <w:bCs/>
                <w:szCs w:val="24"/>
              </w:rPr>
            </w:pPr>
            <w:r w:rsidRPr="00D43584">
              <w:rPr>
                <w:rFonts w:ascii="Times New Roman" w:hAnsi="Times New Roman" w:cs="Times New Roman"/>
                <w:b/>
                <w:bCs/>
                <w:szCs w:val="24"/>
              </w:rPr>
              <w:t>1966-67</w:t>
            </w:r>
          </w:p>
        </w:tc>
        <w:tc>
          <w:tcPr>
            <w:tcW w:w="0" w:type="auto"/>
            <w:vAlign w:val="center"/>
            <w:hideMark/>
          </w:tcPr>
          <w:p w14:paraId="608ABF29" w14:textId="77777777" w:rsidR="00A148E6" w:rsidRPr="00D43584" w:rsidRDefault="00A148E6" w:rsidP="0011190E">
            <w:pPr>
              <w:tabs>
                <w:tab w:val="left" w:pos="5334"/>
              </w:tabs>
              <w:spacing w:after="160" w:line="278" w:lineRule="auto"/>
              <w:jc w:val="center"/>
              <w:rPr>
                <w:rFonts w:ascii="Times New Roman" w:hAnsi="Times New Roman" w:cs="Times New Roman"/>
                <w:b/>
                <w:bCs/>
                <w:szCs w:val="24"/>
              </w:rPr>
            </w:pPr>
            <w:r w:rsidRPr="00D43584">
              <w:rPr>
                <w:rFonts w:ascii="Times New Roman" w:hAnsi="Times New Roman" w:cs="Times New Roman"/>
                <w:b/>
                <w:bCs/>
                <w:szCs w:val="24"/>
              </w:rPr>
              <w:t>1967-68</w:t>
            </w:r>
          </w:p>
        </w:tc>
        <w:tc>
          <w:tcPr>
            <w:tcW w:w="0" w:type="auto"/>
            <w:vAlign w:val="center"/>
            <w:hideMark/>
          </w:tcPr>
          <w:p w14:paraId="45D48074" w14:textId="77777777" w:rsidR="00A148E6" w:rsidRPr="00D43584" w:rsidRDefault="00A148E6" w:rsidP="0011190E">
            <w:pPr>
              <w:tabs>
                <w:tab w:val="left" w:pos="5334"/>
              </w:tabs>
              <w:spacing w:after="160" w:line="278" w:lineRule="auto"/>
              <w:jc w:val="center"/>
              <w:rPr>
                <w:rFonts w:ascii="Times New Roman" w:hAnsi="Times New Roman" w:cs="Times New Roman"/>
                <w:b/>
                <w:bCs/>
                <w:szCs w:val="24"/>
              </w:rPr>
            </w:pPr>
            <w:r w:rsidRPr="00D43584">
              <w:rPr>
                <w:rFonts w:ascii="Times New Roman" w:hAnsi="Times New Roman" w:cs="Times New Roman"/>
                <w:b/>
                <w:bCs/>
                <w:szCs w:val="24"/>
              </w:rPr>
              <w:t>1968-69</w:t>
            </w:r>
          </w:p>
        </w:tc>
      </w:tr>
      <w:tr w:rsidR="00A148E6" w:rsidRPr="00D43584" w14:paraId="4D616177" w14:textId="77777777" w:rsidTr="0011190E">
        <w:trPr>
          <w:trHeight w:val="487"/>
        </w:trPr>
        <w:tc>
          <w:tcPr>
            <w:tcW w:w="0" w:type="auto"/>
            <w:vAlign w:val="center"/>
            <w:hideMark/>
          </w:tcPr>
          <w:p w14:paraId="29C6ACA8" w14:textId="77777777" w:rsidR="00A148E6" w:rsidRPr="00D43584" w:rsidRDefault="00A148E6" w:rsidP="0011190E">
            <w:pPr>
              <w:tabs>
                <w:tab w:val="left" w:pos="5334"/>
              </w:tabs>
              <w:spacing w:after="160" w:line="278" w:lineRule="auto"/>
              <w:rPr>
                <w:rFonts w:ascii="Times New Roman" w:hAnsi="Times New Roman" w:cs="Times New Roman"/>
                <w:szCs w:val="24"/>
              </w:rPr>
            </w:pPr>
            <w:r w:rsidRPr="00D43584">
              <w:rPr>
                <w:rFonts w:ascii="Times New Roman" w:hAnsi="Times New Roman" w:cs="Times New Roman"/>
                <w:b/>
                <w:bCs/>
                <w:szCs w:val="24"/>
              </w:rPr>
              <w:t>I. Loan Receipts</w:t>
            </w:r>
          </w:p>
        </w:tc>
        <w:tc>
          <w:tcPr>
            <w:tcW w:w="0" w:type="auto"/>
            <w:vAlign w:val="center"/>
            <w:hideMark/>
          </w:tcPr>
          <w:p w14:paraId="45DA7768" w14:textId="77777777" w:rsidR="00A148E6" w:rsidRPr="00D43584" w:rsidRDefault="00A148E6" w:rsidP="0011190E">
            <w:pPr>
              <w:tabs>
                <w:tab w:val="left" w:pos="5334"/>
              </w:tabs>
              <w:spacing w:after="160" w:line="278" w:lineRule="auto"/>
              <w:jc w:val="center"/>
              <w:rPr>
                <w:rFonts w:ascii="Times New Roman" w:hAnsi="Times New Roman" w:cs="Times New Roman"/>
                <w:szCs w:val="24"/>
              </w:rPr>
            </w:pPr>
          </w:p>
        </w:tc>
        <w:tc>
          <w:tcPr>
            <w:tcW w:w="0" w:type="auto"/>
            <w:vAlign w:val="center"/>
            <w:hideMark/>
          </w:tcPr>
          <w:p w14:paraId="6923AA78" w14:textId="77777777" w:rsidR="00A148E6" w:rsidRPr="00D43584" w:rsidRDefault="00A148E6" w:rsidP="0011190E">
            <w:pPr>
              <w:tabs>
                <w:tab w:val="left" w:pos="5334"/>
              </w:tabs>
              <w:spacing w:after="160" w:line="278" w:lineRule="auto"/>
              <w:jc w:val="center"/>
              <w:rPr>
                <w:rFonts w:ascii="Times New Roman" w:hAnsi="Times New Roman" w:cs="Times New Roman"/>
                <w:szCs w:val="24"/>
              </w:rPr>
            </w:pPr>
          </w:p>
        </w:tc>
        <w:tc>
          <w:tcPr>
            <w:tcW w:w="0" w:type="auto"/>
            <w:vAlign w:val="center"/>
            <w:hideMark/>
          </w:tcPr>
          <w:p w14:paraId="184FA7B2" w14:textId="77777777" w:rsidR="00A148E6" w:rsidRPr="00D43584" w:rsidRDefault="00A148E6" w:rsidP="0011190E">
            <w:pPr>
              <w:tabs>
                <w:tab w:val="left" w:pos="5334"/>
              </w:tabs>
              <w:spacing w:after="160" w:line="278" w:lineRule="auto"/>
              <w:jc w:val="center"/>
              <w:rPr>
                <w:rFonts w:ascii="Times New Roman" w:hAnsi="Times New Roman" w:cs="Times New Roman"/>
                <w:szCs w:val="24"/>
              </w:rPr>
            </w:pPr>
          </w:p>
        </w:tc>
        <w:tc>
          <w:tcPr>
            <w:tcW w:w="0" w:type="auto"/>
            <w:vAlign w:val="center"/>
            <w:hideMark/>
          </w:tcPr>
          <w:p w14:paraId="42E112EF" w14:textId="77777777" w:rsidR="00A148E6" w:rsidRPr="00D43584" w:rsidRDefault="00A148E6" w:rsidP="0011190E">
            <w:pPr>
              <w:tabs>
                <w:tab w:val="left" w:pos="5334"/>
              </w:tabs>
              <w:spacing w:after="160" w:line="278" w:lineRule="auto"/>
              <w:jc w:val="center"/>
              <w:rPr>
                <w:rFonts w:ascii="Times New Roman" w:hAnsi="Times New Roman" w:cs="Times New Roman"/>
                <w:szCs w:val="24"/>
              </w:rPr>
            </w:pPr>
          </w:p>
        </w:tc>
        <w:tc>
          <w:tcPr>
            <w:tcW w:w="0" w:type="auto"/>
            <w:vAlign w:val="center"/>
            <w:hideMark/>
          </w:tcPr>
          <w:p w14:paraId="4FA0284D" w14:textId="77777777" w:rsidR="00A148E6" w:rsidRPr="00D43584" w:rsidRDefault="00A148E6" w:rsidP="0011190E">
            <w:pPr>
              <w:tabs>
                <w:tab w:val="left" w:pos="5334"/>
              </w:tabs>
              <w:spacing w:after="160" w:line="278" w:lineRule="auto"/>
              <w:jc w:val="center"/>
              <w:rPr>
                <w:rFonts w:ascii="Times New Roman" w:hAnsi="Times New Roman" w:cs="Times New Roman"/>
                <w:szCs w:val="24"/>
              </w:rPr>
            </w:pPr>
          </w:p>
        </w:tc>
        <w:tc>
          <w:tcPr>
            <w:tcW w:w="0" w:type="auto"/>
            <w:vAlign w:val="center"/>
            <w:hideMark/>
          </w:tcPr>
          <w:p w14:paraId="4E36E4C5" w14:textId="77777777" w:rsidR="00A148E6" w:rsidRPr="00D43584" w:rsidRDefault="00A148E6" w:rsidP="0011190E">
            <w:pPr>
              <w:tabs>
                <w:tab w:val="left" w:pos="5334"/>
              </w:tabs>
              <w:spacing w:after="160" w:line="278" w:lineRule="auto"/>
              <w:jc w:val="center"/>
              <w:rPr>
                <w:rFonts w:ascii="Times New Roman" w:hAnsi="Times New Roman" w:cs="Times New Roman"/>
                <w:szCs w:val="24"/>
              </w:rPr>
            </w:pPr>
          </w:p>
        </w:tc>
        <w:tc>
          <w:tcPr>
            <w:tcW w:w="0" w:type="auto"/>
            <w:vAlign w:val="center"/>
            <w:hideMark/>
          </w:tcPr>
          <w:p w14:paraId="2AF32865" w14:textId="77777777" w:rsidR="00A148E6" w:rsidRPr="00D43584" w:rsidRDefault="00A148E6" w:rsidP="0011190E">
            <w:pPr>
              <w:tabs>
                <w:tab w:val="left" w:pos="5334"/>
              </w:tabs>
              <w:spacing w:after="160" w:line="278" w:lineRule="auto"/>
              <w:jc w:val="center"/>
              <w:rPr>
                <w:rFonts w:ascii="Times New Roman" w:hAnsi="Times New Roman" w:cs="Times New Roman"/>
                <w:szCs w:val="24"/>
              </w:rPr>
            </w:pPr>
          </w:p>
        </w:tc>
      </w:tr>
      <w:tr w:rsidR="00A148E6" w:rsidRPr="00D43584" w14:paraId="64426798" w14:textId="77777777" w:rsidTr="0011190E">
        <w:trPr>
          <w:trHeight w:val="837"/>
        </w:trPr>
        <w:tc>
          <w:tcPr>
            <w:tcW w:w="0" w:type="auto"/>
            <w:vAlign w:val="center"/>
            <w:hideMark/>
          </w:tcPr>
          <w:p w14:paraId="2BE4E39B" w14:textId="77777777" w:rsidR="00A148E6" w:rsidRPr="00D43584" w:rsidRDefault="00A148E6" w:rsidP="0011190E">
            <w:pPr>
              <w:tabs>
                <w:tab w:val="left" w:pos="5334"/>
              </w:tabs>
              <w:spacing w:after="160" w:line="278" w:lineRule="auto"/>
              <w:rPr>
                <w:rFonts w:ascii="Times New Roman" w:hAnsi="Times New Roman" w:cs="Times New Roman"/>
                <w:szCs w:val="24"/>
              </w:rPr>
            </w:pPr>
            <w:r w:rsidRPr="00D43584">
              <w:rPr>
                <w:rFonts w:ascii="Times New Roman" w:hAnsi="Times New Roman" w:cs="Times New Roman"/>
                <w:szCs w:val="24"/>
              </w:rPr>
              <w:t>(a) Permanent Market Loans</w:t>
            </w:r>
          </w:p>
        </w:tc>
        <w:tc>
          <w:tcPr>
            <w:tcW w:w="0" w:type="auto"/>
            <w:vAlign w:val="center"/>
            <w:hideMark/>
          </w:tcPr>
          <w:p w14:paraId="06FC6ED4" w14:textId="77777777" w:rsidR="00A148E6" w:rsidRPr="00D43584" w:rsidRDefault="00A148E6" w:rsidP="0011190E">
            <w:pPr>
              <w:tabs>
                <w:tab w:val="left" w:pos="5334"/>
              </w:tabs>
              <w:spacing w:after="160" w:line="278" w:lineRule="auto"/>
              <w:jc w:val="center"/>
              <w:rPr>
                <w:rFonts w:ascii="Times New Roman" w:hAnsi="Times New Roman" w:cs="Times New Roman"/>
                <w:szCs w:val="24"/>
              </w:rPr>
            </w:pPr>
            <w:r w:rsidRPr="00D43584">
              <w:rPr>
                <w:rFonts w:ascii="Times New Roman" w:hAnsi="Times New Roman" w:cs="Times New Roman"/>
                <w:szCs w:val="24"/>
              </w:rPr>
              <w:t>11.8</w:t>
            </w:r>
          </w:p>
        </w:tc>
        <w:tc>
          <w:tcPr>
            <w:tcW w:w="0" w:type="auto"/>
            <w:vAlign w:val="center"/>
            <w:hideMark/>
          </w:tcPr>
          <w:p w14:paraId="1D34735D" w14:textId="77777777" w:rsidR="00A148E6" w:rsidRPr="00D43584" w:rsidRDefault="00A148E6" w:rsidP="0011190E">
            <w:pPr>
              <w:tabs>
                <w:tab w:val="left" w:pos="5334"/>
              </w:tabs>
              <w:spacing w:after="160" w:line="278" w:lineRule="auto"/>
              <w:jc w:val="center"/>
              <w:rPr>
                <w:rFonts w:ascii="Times New Roman" w:hAnsi="Times New Roman" w:cs="Times New Roman"/>
                <w:szCs w:val="24"/>
              </w:rPr>
            </w:pPr>
            <w:r w:rsidRPr="00D43584">
              <w:rPr>
                <w:rFonts w:ascii="Times New Roman" w:hAnsi="Times New Roman" w:cs="Times New Roman"/>
                <w:szCs w:val="24"/>
              </w:rPr>
              <w:t>66.9</w:t>
            </w:r>
          </w:p>
        </w:tc>
        <w:tc>
          <w:tcPr>
            <w:tcW w:w="0" w:type="auto"/>
            <w:vAlign w:val="center"/>
            <w:hideMark/>
          </w:tcPr>
          <w:p w14:paraId="003A810B" w14:textId="77777777" w:rsidR="00A148E6" w:rsidRPr="00D43584" w:rsidRDefault="00A148E6" w:rsidP="0011190E">
            <w:pPr>
              <w:tabs>
                <w:tab w:val="left" w:pos="5334"/>
              </w:tabs>
              <w:spacing w:after="160" w:line="278" w:lineRule="auto"/>
              <w:jc w:val="center"/>
              <w:rPr>
                <w:rFonts w:ascii="Times New Roman" w:hAnsi="Times New Roman" w:cs="Times New Roman"/>
                <w:szCs w:val="24"/>
              </w:rPr>
            </w:pPr>
            <w:r w:rsidRPr="00D43584">
              <w:rPr>
                <w:rFonts w:ascii="Times New Roman" w:hAnsi="Times New Roman" w:cs="Times New Roman"/>
                <w:szCs w:val="24"/>
              </w:rPr>
              <w:t>93.0</w:t>
            </w:r>
          </w:p>
        </w:tc>
        <w:tc>
          <w:tcPr>
            <w:tcW w:w="0" w:type="auto"/>
            <w:vAlign w:val="center"/>
            <w:hideMark/>
          </w:tcPr>
          <w:p w14:paraId="5F7536B2" w14:textId="77777777" w:rsidR="00A148E6" w:rsidRPr="00D43584" w:rsidRDefault="00A148E6" w:rsidP="0011190E">
            <w:pPr>
              <w:tabs>
                <w:tab w:val="left" w:pos="5334"/>
              </w:tabs>
              <w:spacing w:after="160" w:line="278" w:lineRule="auto"/>
              <w:jc w:val="center"/>
              <w:rPr>
                <w:rFonts w:ascii="Times New Roman" w:hAnsi="Times New Roman" w:cs="Times New Roman"/>
                <w:szCs w:val="24"/>
              </w:rPr>
            </w:pPr>
            <w:r w:rsidRPr="00D43584">
              <w:rPr>
                <w:rFonts w:ascii="Times New Roman" w:hAnsi="Times New Roman" w:cs="Times New Roman"/>
                <w:szCs w:val="24"/>
              </w:rPr>
              <w:t>106.8</w:t>
            </w:r>
          </w:p>
        </w:tc>
        <w:tc>
          <w:tcPr>
            <w:tcW w:w="0" w:type="auto"/>
            <w:vAlign w:val="center"/>
            <w:hideMark/>
          </w:tcPr>
          <w:p w14:paraId="2EC0313E" w14:textId="77777777" w:rsidR="00A148E6" w:rsidRPr="00D43584" w:rsidRDefault="00A148E6" w:rsidP="0011190E">
            <w:pPr>
              <w:tabs>
                <w:tab w:val="left" w:pos="5334"/>
              </w:tabs>
              <w:spacing w:after="160" w:line="278" w:lineRule="auto"/>
              <w:jc w:val="center"/>
              <w:rPr>
                <w:rFonts w:ascii="Times New Roman" w:hAnsi="Times New Roman" w:cs="Times New Roman"/>
                <w:szCs w:val="24"/>
              </w:rPr>
            </w:pPr>
            <w:r w:rsidRPr="00D43584">
              <w:rPr>
                <w:rFonts w:ascii="Times New Roman" w:hAnsi="Times New Roman" w:cs="Times New Roman"/>
                <w:szCs w:val="24"/>
              </w:rPr>
              <w:t>94.2</w:t>
            </w:r>
          </w:p>
        </w:tc>
        <w:tc>
          <w:tcPr>
            <w:tcW w:w="0" w:type="auto"/>
            <w:vAlign w:val="center"/>
            <w:hideMark/>
          </w:tcPr>
          <w:p w14:paraId="1E2DF2F0" w14:textId="77777777" w:rsidR="00A148E6" w:rsidRPr="00D43584" w:rsidRDefault="00A148E6" w:rsidP="0011190E">
            <w:pPr>
              <w:tabs>
                <w:tab w:val="left" w:pos="5334"/>
              </w:tabs>
              <w:spacing w:after="160" w:line="278" w:lineRule="auto"/>
              <w:jc w:val="center"/>
              <w:rPr>
                <w:rFonts w:ascii="Times New Roman" w:hAnsi="Times New Roman" w:cs="Times New Roman"/>
                <w:szCs w:val="24"/>
              </w:rPr>
            </w:pPr>
            <w:r w:rsidRPr="00D43584">
              <w:rPr>
                <w:rFonts w:ascii="Times New Roman" w:hAnsi="Times New Roman" w:cs="Times New Roman"/>
                <w:szCs w:val="24"/>
              </w:rPr>
              <w:t>127.2</w:t>
            </w:r>
          </w:p>
        </w:tc>
        <w:tc>
          <w:tcPr>
            <w:tcW w:w="0" w:type="auto"/>
            <w:vAlign w:val="center"/>
            <w:hideMark/>
          </w:tcPr>
          <w:p w14:paraId="63CDABBD" w14:textId="77777777" w:rsidR="00A148E6" w:rsidRPr="00D43584" w:rsidRDefault="00A148E6" w:rsidP="0011190E">
            <w:pPr>
              <w:tabs>
                <w:tab w:val="left" w:pos="5334"/>
              </w:tabs>
              <w:spacing w:after="160" w:line="278" w:lineRule="auto"/>
              <w:jc w:val="center"/>
              <w:rPr>
                <w:rFonts w:ascii="Times New Roman" w:hAnsi="Times New Roman" w:cs="Times New Roman"/>
                <w:szCs w:val="24"/>
              </w:rPr>
            </w:pPr>
            <w:r w:rsidRPr="00D43584">
              <w:rPr>
                <w:rFonts w:ascii="Times New Roman" w:hAnsi="Times New Roman" w:cs="Times New Roman"/>
                <w:szCs w:val="24"/>
              </w:rPr>
              <w:t>112.9</w:t>
            </w:r>
          </w:p>
        </w:tc>
      </w:tr>
      <w:tr w:rsidR="00A148E6" w:rsidRPr="00D43584" w14:paraId="64C9B874" w14:textId="77777777" w:rsidTr="0011190E">
        <w:trPr>
          <w:trHeight w:val="487"/>
        </w:trPr>
        <w:tc>
          <w:tcPr>
            <w:tcW w:w="0" w:type="auto"/>
            <w:vAlign w:val="center"/>
            <w:hideMark/>
          </w:tcPr>
          <w:p w14:paraId="628D2EAC" w14:textId="77777777" w:rsidR="00A148E6" w:rsidRPr="00D43584" w:rsidRDefault="00A148E6" w:rsidP="0011190E">
            <w:pPr>
              <w:tabs>
                <w:tab w:val="left" w:pos="5334"/>
              </w:tabs>
              <w:spacing w:after="160" w:line="278" w:lineRule="auto"/>
              <w:rPr>
                <w:rFonts w:ascii="Times New Roman" w:hAnsi="Times New Roman" w:cs="Times New Roman"/>
                <w:szCs w:val="24"/>
              </w:rPr>
            </w:pPr>
            <w:r w:rsidRPr="00D43584">
              <w:rPr>
                <w:rFonts w:ascii="Times New Roman" w:hAnsi="Times New Roman" w:cs="Times New Roman"/>
                <w:szCs w:val="24"/>
              </w:rPr>
              <w:t>(b) Central Loans</w:t>
            </w:r>
          </w:p>
        </w:tc>
        <w:tc>
          <w:tcPr>
            <w:tcW w:w="0" w:type="auto"/>
            <w:vAlign w:val="center"/>
            <w:hideMark/>
          </w:tcPr>
          <w:p w14:paraId="5D44715F" w14:textId="77777777" w:rsidR="00A148E6" w:rsidRPr="00D43584" w:rsidRDefault="00A148E6" w:rsidP="0011190E">
            <w:pPr>
              <w:tabs>
                <w:tab w:val="left" w:pos="5334"/>
              </w:tabs>
              <w:spacing w:after="160" w:line="278" w:lineRule="auto"/>
              <w:jc w:val="center"/>
              <w:rPr>
                <w:rFonts w:ascii="Times New Roman" w:hAnsi="Times New Roman" w:cs="Times New Roman"/>
                <w:szCs w:val="24"/>
              </w:rPr>
            </w:pPr>
            <w:r w:rsidRPr="00D43584">
              <w:rPr>
                <w:rFonts w:ascii="Times New Roman" w:hAnsi="Times New Roman" w:cs="Times New Roman"/>
                <w:szCs w:val="24"/>
              </w:rPr>
              <w:t>74.0</w:t>
            </w:r>
          </w:p>
        </w:tc>
        <w:tc>
          <w:tcPr>
            <w:tcW w:w="0" w:type="auto"/>
            <w:vAlign w:val="center"/>
            <w:hideMark/>
          </w:tcPr>
          <w:p w14:paraId="25BE3124" w14:textId="77777777" w:rsidR="00A148E6" w:rsidRPr="00D43584" w:rsidRDefault="00A148E6" w:rsidP="0011190E">
            <w:pPr>
              <w:tabs>
                <w:tab w:val="left" w:pos="5334"/>
              </w:tabs>
              <w:spacing w:after="160" w:line="278" w:lineRule="auto"/>
              <w:jc w:val="center"/>
              <w:rPr>
                <w:rFonts w:ascii="Times New Roman" w:hAnsi="Times New Roman" w:cs="Times New Roman"/>
                <w:szCs w:val="24"/>
              </w:rPr>
            </w:pPr>
            <w:r w:rsidRPr="00D43584">
              <w:rPr>
                <w:rFonts w:ascii="Times New Roman" w:hAnsi="Times New Roman" w:cs="Times New Roman"/>
                <w:szCs w:val="24"/>
              </w:rPr>
              <w:t>205.0</w:t>
            </w:r>
          </w:p>
        </w:tc>
        <w:tc>
          <w:tcPr>
            <w:tcW w:w="0" w:type="auto"/>
            <w:vAlign w:val="center"/>
            <w:hideMark/>
          </w:tcPr>
          <w:p w14:paraId="0C6FED93" w14:textId="63040549" w:rsidR="00A148E6" w:rsidRPr="00D43584" w:rsidRDefault="00F0435A" w:rsidP="0011190E">
            <w:pPr>
              <w:tabs>
                <w:tab w:val="left" w:pos="5334"/>
              </w:tabs>
              <w:spacing w:after="160" w:line="278" w:lineRule="auto"/>
              <w:jc w:val="center"/>
              <w:rPr>
                <w:rFonts w:ascii="Times New Roman" w:hAnsi="Times New Roman" w:cs="Times New Roman"/>
                <w:szCs w:val="24"/>
              </w:rPr>
            </w:pPr>
            <w:r>
              <w:rPr>
                <w:rFonts w:ascii="Times New Roman" w:hAnsi="Times New Roman" w:cs="Times New Roman"/>
                <w:szCs w:val="24"/>
              </w:rPr>
              <w:t>4</w:t>
            </w:r>
            <w:r w:rsidR="00A148E6" w:rsidRPr="00D43584">
              <w:rPr>
                <w:rFonts w:ascii="Times New Roman" w:hAnsi="Times New Roman" w:cs="Times New Roman"/>
                <w:szCs w:val="24"/>
              </w:rPr>
              <w:t>51.3</w:t>
            </w:r>
          </w:p>
        </w:tc>
        <w:tc>
          <w:tcPr>
            <w:tcW w:w="0" w:type="auto"/>
            <w:vAlign w:val="center"/>
            <w:hideMark/>
          </w:tcPr>
          <w:p w14:paraId="3CF9DC6C" w14:textId="77777777" w:rsidR="00A148E6" w:rsidRPr="00D43584" w:rsidRDefault="00A148E6" w:rsidP="0011190E">
            <w:pPr>
              <w:tabs>
                <w:tab w:val="left" w:pos="5334"/>
              </w:tabs>
              <w:spacing w:after="160" w:line="278" w:lineRule="auto"/>
              <w:jc w:val="center"/>
              <w:rPr>
                <w:rFonts w:ascii="Times New Roman" w:hAnsi="Times New Roman" w:cs="Times New Roman"/>
                <w:szCs w:val="24"/>
              </w:rPr>
            </w:pPr>
            <w:r w:rsidRPr="00D43584">
              <w:rPr>
                <w:rFonts w:ascii="Times New Roman" w:hAnsi="Times New Roman" w:cs="Times New Roman"/>
                <w:szCs w:val="24"/>
              </w:rPr>
              <w:t>816.1</w:t>
            </w:r>
          </w:p>
        </w:tc>
        <w:tc>
          <w:tcPr>
            <w:tcW w:w="0" w:type="auto"/>
            <w:vAlign w:val="center"/>
            <w:hideMark/>
          </w:tcPr>
          <w:p w14:paraId="5889E1AA" w14:textId="77777777" w:rsidR="00A148E6" w:rsidRPr="00D43584" w:rsidRDefault="00A148E6" w:rsidP="0011190E">
            <w:pPr>
              <w:tabs>
                <w:tab w:val="left" w:pos="5334"/>
              </w:tabs>
              <w:spacing w:after="160" w:line="278" w:lineRule="auto"/>
              <w:jc w:val="center"/>
              <w:rPr>
                <w:rFonts w:ascii="Times New Roman" w:hAnsi="Times New Roman" w:cs="Times New Roman"/>
                <w:szCs w:val="24"/>
              </w:rPr>
            </w:pPr>
            <w:r w:rsidRPr="00D43584">
              <w:rPr>
                <w:rFonts w:ascii="Times New Roman" w:hAnsi="Times New Roman" w:cs="Times New Roman"/>
                <w:szCs w:val="24"/>
              </w:rPr>
              <w:t>918.1</w:t>
            </w:r>
          </w:p>
        </w:tc>
        <w:tc>
          <w:tcPr>
            <w:tcW w:w="0" w:type="auto"/>
            <w:vAlign w:val="center"/>
            <w:hideMark/>
          </w:tcPr>
          <w:p w14:paraId="3CA32D12" w14:textId="77777777" w:rsidR="00A148E6" w:rsidRPr="00D43584" w:rsidRDefault="00A148E6" w:rsidP="0011190E">
            <w:pPr>
              <w:tabs>
                <w:tab w:val="left" w:pos="5334"/>
              </w:tabs>
              <w:spacing w:after="160" w:line="278" w:lineRule="auto"/>
              <w:jc w:val="center"/>
              <w:rPr>
                <w:rFonts w:ascii="Times New Roman" w:hAnsi="Times New Roman" w:cs="Times New Roman"/>
                <w:szCs w:val="24"/>
              </w:rPr>
            </w:pPr>
            <w:r w:rsidRPr="00D43584">
              <w:rPr>
                <w:rFonts w:ascii="Times New Roman" w:hAnsi="Times New Roman" w:cs="Times New Roman"/>
                <w:szCs w:val="24"/>
              </w:rPr>
              <w:t>829.3</w:t>
            </w:r>
          </w:p>
        </w:tc>
        <w:tc>
          <w:tcPr>
            <w:tcW w:w="0" w:type="auto"/>
            <w:vAlign w:val="center"/>
            <w:hideMark/>
          </w:tcPr>
          <w:p w14:paraId="5B04DE1C" w14:textId="77777777" w:rsidR="00A148E6" w:rsidRPr="00D43584" w:rsidRDefault="00A148E6" w:rsidP="0011190E">
            <w:pPr>
              <w:tabs>
                <w:tab w:val="left" w:pos="5334"/>
              </w:tabs>
              <w:spacing w:after="160" w:line="278" w:lineRule="auto"/>
              <w:jc w:val="center"/>
              <w:rPr>
                <w:rFonts w:ascii="Times New Roman" w:hAnsi="Times New Roman" w:cs="Times New Roman"/>
                <w:szCs w:val="24"/>
              </w:rPr>
            </w:pPr>
            <w:r w:rsidRPr="00D43584">
              <w:rPr>
                <w:rFonts w:ascii="Times New Roman" w:hAnsi="Times New Roman" w:cs="Times New Roman"/>
                <w:szCs w:val="24"/>
              </w:rPr>
              <w:t>713.7</w:t>
            </w:r>
          </w:p>
        </w:tc>
      </w:tr>
      <w:tr w:rsidR="00A148E6" w:rsidRPr="00D43584" w14:paraId="0583B908" w14:textId="77777777" w:rsidTr="0011190E">
        <w:trPr>
          <w:trHeight w:val="487"/>
        </w:trPr>
        <w:tc>
          <w:tcPr>
            <w:tcW w:w="0" w:type="auto"/>
            <w:vAlign w:val="center"/>
            <w:hideMark/>
          </w:tcPr>
          <w:p w14:paraId="29B623A4" w14:textId="77777777" w:rsidR="00A148E6" w:rsidRPr="00D43584" w:rsidRDefault="00A148E6" w:rsidP="0011190E">
            <w:pPr>
              <w:tabs>
                <w:tab w:val="left" w:pos="5334"/>
              </w:tabs>
              <w:spacing w:after="160" w:line="278" w:lineRule="auto"/>
              <w:rPr>
                <w:rFonts w:ascii="Times New Roman" w:hAnsi="Times New Roman" w:cs="Times New Roman"/>
                <w:szCs w:val="24"/>
              </w:rPr>
            </w:pPr>
            <w:r w:rsidRPr="00D43584">
              <w:rPr>
                <w:rFonts w:ascii="Times New Roman" w:hAnsi="Times New Roman" w:cs="Times New Roman"/>
                <w:szCs w:val="24"/>
              </w:rPr>
              <w:t>(c) Other Loans</w:t>
            </w:r>
          </w:p>
        </w:tc>
        <w:tc>
          <w:tcPr>
            <w:tcW w:w="0" w:type="auto"/>
            <w:vAlign w:val="center"/>
            <w:hideMark/>
          </w:tcPr>
          <w:p w14:paraId="4B821AD3" w14:textId="77777777" w:rsidR="00A148E6" w:rsidRPr="00D43584" w:rsidRDefault="00A148E6" w:rsidP="0011190E">
            <w:pPr>
              <w:tabs>
                <w:tab w:val="left" w:pos="5334"/>
              </w:tabs>
              <w:spacing w:after="160" w:line="278" w:lineRule="auto"/>
              <w:jc w:val="center"/>
              <w:rPr>
                <w:rFonts w:ascii="Times New Roman" w:hAnsi="Times New Roman" w:cs="Times New Roman"/>
                <w:szCs w:val="24"/>
              </w:rPr>
            </w:pPr>
            <w:r w:rsidRPr="00D43584">
              <w:rPr>
                <w:rFonts w:ascii="Times New Roman" w:hAnsi="Times New Roman" w:cs="Times New Roman"/>
                <w:szCs w:val="24"/>
              </w:rPr>
              <w:t>..</w:t>
            </w:r>
          </w:p>
        </w:tc>
        <w:tc>
          <w:tcPr>
            <w:tcW w:w="0" w:type="auto"/>
            <w:vAlign w:val="center"/>
            <w:hideMark/>
          </w:tcPr>
          <w:p w14:paraId="594BFF18" w14:textId="77777777" w:rsidR="00A148E6" w:rsidRPr="00D43584" w:rsidRDefault="00A148E6" w:rsidP="0011190E">
            <w:pPr>
              <w:tabs>
                <w:tab w:val="left" w:pos="5334"/>
              </w:tabs>
              <w:spacing w:after="160" w:line="278" w:lineRule="auto"/>
              <w:jc w:val="center"/>
              <w:rPr>
                <w:rFonts w:ascii="Times New Roman" w:hAnsi="Times New Roman" w:cs="Times New Roman"/>
                <w:szCs w:val="24"/>
              </w:rPr>
            </w:pPr>
            <w:r w:rsidRPr="00D43584">
              <w:rPr>
                <w:rFonts w:ascii="Times New Roman" w:hAnsi="Times New Roman" w:cs="Times New Roman"/>
                <w:szCs w:val="24"/>
              </w:rPr>
              <w:t>2.0</w:t>
            </w:r>
          </w:p>
        </w:tc>
        <w:tc>
          <w:tcPr>
            <w:tcW w:w="0" w:type="auto"/>
            <w:vAlign w:val="center"/>
            <w:hideMark/>
          </w:tcPr>
          <w:p w14:paraId="538631E1" w14:textId="77777777" w:rsidR="00A148E6" w:rsidRPr="00D43584" w:rsidRDefault="00A148E6" w:rsidP="0011190E">
            <w:pPr>
              <w:tabs>
                <w:tab w:val="left" w:pos="5334"/>
              </w:tabs>
              <w:spacing w:after="160" w:line="278" w:lineRule="auto"/>
              <w:jc w:val="center"/>
              <w:rPr>
                <w:rFonts w:ascii="Times New Roman" w:hAnsi="Times New Roman" w:cs="Times New Roman"/>
                <w:szCs w:val="24"/>
              </w:rPr>
            </w:pPr>
            <w:r w:rsidRPr="00D43584">
              <w:rPr>
                <w:rFonts w:ascii="Times New Roman" w:hAnsi="Times New Roman" w:cs="Times New Roman"/>
                <w:szCs w:val="24"/>
              </w:rPr>
              <w:t>16.1</w:t>
            </w:r>
          </w:p>
        </w:tc>
        <w:tc>
          <w:tcPr>
            <w:tcW w:w="0" w:type="auto"/>
            <w:vAlign w:val="center"/>
            <w:hideMark/>
          </w:tcPr>
          <w:p w14:paraId="5E346FBC" w14:textId="77777777" w:rsidR="00A148E6" w:rsidRPr="00D43584" w:rsidRDefault="00A148E6" w:rsidP="0011190E">
            <w:pPr>
              <w:tabs>
                <w:tab w:val="left" w:pos="5334"/>
              </w:tabs>
              <w:spacing w:after="160" w:line="278" w:lineRule="auto"/>
              <w:jc w:val="center"/>
              <w:rPr>
                <w:rFonts w:ascii="Times New Roman" w:hAnsi="Times New Roman" w:cs="Times New Roman"/>
                <w:szCs w:val="24"/>
              </w:rPr>
            </w:pPr>
            <w:r w:rsidRPr="00D43584">
              <w:rPr>
                <w:rFonts w:ascii="Times New Roman" w:hAnsi="Times New Roman" w:cs="Times New Roman"/>
                <w:szCs w:val="24"/>
              </w:rPr>
              <w:t>64.2</w:t>
            </w:r>
          </w:p>
        </w:tc>
        <w:tc>
          <w:tcPr>
            <w:tcW w:w="0" w:type="auto"/>
            <w:vAlign w:val="center"/>
            <w:hideMark/>
          </w:tcPr>
          <w:p w14:paraId="1CAF67D3" w14:textId="77777777" w:rsidR="00A148E6" w:rsidRPr="00D43584" w:rsidRDefault="00A148E6" w:rsidP="0011190E">
            <w:pPr>
              <w:tabs>
                <w:tab w:val="left" w:pos="5334"/>
              </w:tabs>
              <w:spacing w:after="160" w:line="278" w:lineRule="auto"/>
              <w:jc w:val="center"/>
              <w:rPr>
                <w:rFonts w:ascii="Times New Roman" w:hAnsi="Times New Roman" w:cs="Times New Roman"/>
                <w:szCs w:val="24"/>
              </w:rPr>
            </w:pPr>
            <w:r w:rsidRPr="00D43584">
              <w:rPr>
                <w:rFonts w:ascii="Times New Roman" w:hAnsi="Times New Roman" w:cs="Times New Roman"/>
                <w:szCs w:val="24"/>
              </w:rPr>
              <w:t>57.6</w:t>
            </w:r>
          </w:p>
        </w:tc>
        <w:tc>
          <w:tcPr>
            <w:tcW w:w="0" w:type="auto"/>
            <w:vAlign w:val="center"/>
            <w:hideMark/>
          </w:tcPr>
          <w:p w14:paraId="102ECC0B" w14:textId="77777777" w:rsidR="00A148E6" w:rsidRPr="00D43584" w:rsidRDefault="00A148E6" w:rsidP="0011190E">
            <w:pPr>
              <w:tabs>
                <w:tab w:val="left" w:pos="5334"/>
              </w:tabs>
              <w:spacing w:after="160" w:line="278" w:lineRule="auto"/>
              <w:jc w:val="center"/>
              <w:rPr>
                <w:rFonts w:ascii="Times New Roman" w:hAnsi="Times New Roman" w:cs="Times New Roman"/>
                <w:szCs w:val="24"/>
              </w:rPr>
            </w:pPr>
            <w:r w:rsidRPr="00D43584">
              <w:rPr>
                <w:rFonts w:ascii="Times New Roman" w:hAnsi="Times New Roman" w:cs="Times New Roman"/>
                <w:szCs w:val="24"/>
              </w:rPr>
              <w:t>50.5</w:t>
            </w:r>
          </w:p>
        </w:tc>
        <w:tc>
          <w:tcPr>
            <w:tcW w:w="0" w:type="auto"/>
            <w:vAlign w:val="center"/>
            <w:hideMark/>
          </w:tcPr>
          <w:p w14:paraId="6E5672EC" w14:textId="77777777" w:rsidR="00A148E6" w:rsidRPr="00D43584" w:rsidRDefault="00A148E6" w:rsidP="0011190E">
            <w:pPr>
              <w:tabs>
                <w:tab w:val="left" w:pos="5334"/>
              </w:tabs>
              <w:spacing w:after="160" w:line="278" w:lineRule="auto"/>
              <w:jc w:val="center"/>
              <w:rPr>
                <w:rFonts w:ascii="Times New Roman" w:hAnsi="Times New Roman" w:cs="Times New Roman"/>
                <w:szCs w:val="24"/>
              </w:rPr>
            </w:pPr>
            <w:r w:rsidRPr="00D43584">
              <w:rPr>
                <w:rFonts w:ascii="Times New Roman" w:hAnsi="Times New Roman" w:cs="Times New Roman"/>
                <w:szCs w:val="24"/>
              </w:rPr>
              <w:t>53.7</w:t>
            </w:r>
          </w:p>
        </w:tc>
      </w:tr>
      <w:tr w:rsidR="00A148E6" w:rsidRPr="00D43584" w14:paraId="3CEDD276" w14:textId="77777777" w:rsidTr="0011190E">
        <w:trPr>
          <w:trHeight w:val="487"/>
        </w:trPr>
        <w:tc>
          <w:tcPr>
            <w:tcW w:w="0" w:type="auto"/>
            <w:vAlign w:val="center"/>
            <w:hideMark/>
          </w:tcPr>
          <w:p w14:paraId="295E0D99" w14:textId="77777777" w:rsidR="00A148E6" w:rsidRPr="00D43584" w:rsidRDefault="00A148E6" w:rsidP="0011190E">
            <w:pPr>
              <w:tabs>
                <w:tab w:val="left" w:pos="5334"/>
              </w:tabs>
              <w:spacing w:after="160" w:line="278" w:lineRule="auto"/>
              <w:rPr>
                <w:rFonts w:ascii="Times New Roman" w:hAnsi="Times New Roman" w:cs="Times New Roman"/>
                <w:szCs w:val="24"/>
              </w:rPr>
            </w:pPr>
            <w:r w:rsidRPr="00D43584">
              <w:rPr>
                <w:rFonts w:ascii="Times New Roman" w:hAnsi="Times New Roman" w:cs="Times New Roman"/>
                <w:b/>
                <w:bCs/>
                <w:szCs w:val="24"/>
              </w:rPr>
              <w:t>TOTAL</w:t>
            </w:r>
          </w:p>
        </w:tc>
        <w:tc>
          <w:tcPr>
            <w:tcW w:w="0" w:type="auto"/>
            <w:vAlign w:val="center"/>
            <w:hideMark/>
          </w:tcPr>
          <w:p w14:paraId="183C6812" w14:textId="77777777" w:rsidR="00A148E6" w:rsidRPr="00D43584" w:rsidRDefault="00A148E6" w:rsidP="0011190E">
            <w:pPr>
              <w:tabs>
                <w:tab w:val="left" w:pos="5334"/>
              </w:tabs>
              <w:spacing w:after="160" w:line="278" w:lineRule="auto"/>
              <w:jc w:val="center"/>
              <w:rPr>
                <w:rFonts w:ascii="Times New Roman" w:hAnsi="Times New Roman" w:cs="Times New Roman"/>
                <w:szCs w:val="24"/>
              </w:rPr>
            </w:pPr>
            <w:r w:rsidRPr="00D43584">
              <w:rPr>
                <w:rFonts w:ascii="Times New Roman" w:hAnsi="Times New Roman" w:cs="Times New Roman"/>
                <w:b/>
                <w:bCs/>
                <w:szCs w:val="24"/>
              </w:rPr>
              <w:t>85.8</w:t>
            </w:r>
          </w:p>
        </w:tc>
        <w:tc>
          <w:tcPr>
            <w:tcW w:w="0" w:type="auto"/>
            <w:vAlign w:val="center"/>
            <w:hideMark/>
          </w:tcPr>
          <w:p w14:paraId="60714AEF" w14:textId="77777777" w:rsidR="00A148E6" w:rsidRPr="00D43584" w:rsidRDefault="00A148E6" w:rsidP="0011190E">
            <w:pPr>
              <w:tabs>
                <w:tab w:val="left" w:pos="5334"/>
              </w:tabs>
              <w:spacing w:after="160" w:line="278" w:lineRule="auto"/>
              <w:jc w:val="center"/>
              <w:rPr>
                <w:rFonts w:ascii="Times New Roman" w:hAnsi="Times New Roman" w:cs="Times New Roman"/>
                <w:szCs w:val="24"/>
              </w:rPr>
            </w:pPr>
            <w:r w:rsidRPr="00D43584">
              <w:rPr>
                <w:rFonts w:ascii="Times New Roman" w:hAnsi="Times New Roman" w:cs="Times New Roman"/>
                <w:b/>
                <w:bCs/>
                <w:szCs w:val="24"/>
              </w:rPr>
              <w:t>273.9</w:t>
            </w:r>
          </w:p>
        </w:tc>
        <w:tc>
          <w:tcPr>
            <w:tcW w:w="0" w:type="auto"/>
            <w:vAlign w:val="center"/>
            <w:hideMark/>
          </w:tcPr>
          <w:p w14:paraId="7554AF34" w14:textId="77777777" w:rsidR="00A148E6" w:rsidRPr="00D43584" w:rsidRDefault="00A148E6" w:rsidP="0011190E">
            <w:pPr>
              <w:tabs>
                <w:tab w:val="left" w:pos="5334"/>
              </w:tabs>
              <w:spacing w:after="160" w:line="278" w:lineRule="auto"/>
              <w:jc w:val="center"/>
              <w:rPr>
                <w:rFonts w:ascii="Times New Roman" w:hAnsi="Times New Roman" w:cs="Times New Roman"/>
                <w:szCs w:val="24"/>
              </w:rPr>
            </w:pPr>
            <w:r w:rsidRPr="00D43584">
              <w:rPr>
                <w:rFonts w:ascii="Times New Roman" w:hAnsi="Times New Roman" w:cs="Times New Roman"/>
                <w:b/>
                <w:bCs/>
                <w:szCs w:val="24"/>
              </w:rPr>
              <w:t>560.4</w:t>
            </w:r>
          </w:p>
        </w:tc>
        <w:tc>
          <w:tcPr>
            <w:tcW w:w="0" w:type="auto"/>
            <w:vAlign w:val="center"/>
            <w:hideMark/>
          </w:tcPr>
          <w:p w14:paraId="4CD24BCF" w14:textId="77777777" w:rsidR="00A148E6" w:rsidRPr="00D43584" w:rsidRDefault="00A148E6" w:rsidP="0011190E">
            <w:pPr>
              <w:tabs>
                <w:tab w:val="left" w:pos="5334"/>
              </w:tabs>
              <w:spacing w:after="160" w:line="278" w:lineRule="auto"/>
              <w:jc w:val="center"/>
              <w:rPr>
                <w:rFonts w:ascii="Times New Roman" w:hAnsi="Times New Roman" w:cs="Times New Roman"/>
                <w:szCs w:val="24"/>
              </w:rPr>
            </w:pPr>
            <w:r w:rsidRPr="00D43584">
              <w:rPr>
                <w:rFonts w:ascii="Times New Roman" w:hAnsi="Times New Roman" w:cs="Times New Roman"/>
                <w:b/>
                <w:bCs/>
                <w:szCs w:val="24"/>
              </w:rPr>
              <w:t>987.1</w:t>
            </w:r>
          </w:p>
        </w:tc>
        <w:tc>
          <w:tcPr>
            <w:tcW w:w="0" w:type="auto"/>
            <w:vAlign w:val="center"/>
            <w:hideMark/>
          </w:tcPr>
          <w:p w14:paraId="3AB33006" w14:textId="77777777" w:rsidR="00A148E6" w:rsidRPr="00D43584" w:rsidRDefault="00A148E6" w:rsidP="0011190E">
            <w:pPr>
              <w:tabs>
                <w:tab w:val="left" w:pos="5334"/>
              </w:tabs>
              <w:spacing w:after="160" w:line="278" w:lineRule="auto"/>
              <w:jc w:val="center"/>
              <w:rPr>
                <w:rFonts w:ascii="Times New Roman" w:hAnsi="Times New Roman" w:cs="Times New Roman"/>
                <w:szCs w:val="24"/>
              </w:rPr>
            </w:pPr>
            <w:r w:rsidRPr="00D43584">
              <w:rPr>
                <w:rFonts w:ascii="Times New Roman" w:hAnsi="Times New Roman" w:cs="Times New Roman"/>
                <w:b/>
                <w:bCs/>
                <w:szCs w:val="24"/>
              </w:rPr>
              <w:t>1069.9</w:t>
            </w:r>
          </w:p>
        </w:tc>
        <w:tc>
          <w:tcPr>
            <w:tcW w:w="0" w:type="auto"/>
            <w:vAlign w:val="center"/>
            <w:hideMark/>
          </w:tcPr>
          <w:p w14:paraId="07461845" w14:textId="42D64680" w:rsidR="00A148E6" w:rsidRPr="00D43584" w:rsidRDefault="00A148E6" w:rsidP="0011190E">
            <w:pPr>
              <w:tabs>
                <w:tab w:val="left" w:pos="5334"/>
              </w:tabs>
              <w:spacing w:after="160" w:line="278" w:lineRule="auto"/>
              <w:jc w:val="center"/>
              <w:rPr>
                <w:rFonts w:ascii="Times New Roman" w:hAnsi="Times New Roman" w:cs="Times New Roman"/>
                <w:szCs w:val="24"/>
              </w:rPr>
            </w:pPr>
            <w:r w:rsidRPr="00D43584">
              <w:rPr>
                <w:rFonts w:ascii="Times New Roman" w:hAnsi="Times New Roman" w:cs="Times New Roman"/>
                <w:b/>
                <w:bCs/>
                <w:szCs w:val="24"/>
              </w:rPr>
              <w:t>100</w:t>
            </w:r>
            <w:r w:rsidR="00F0435A">
              <w:rPr>
                <w:rFonts w:ascii="Times New Roman" w:hAnsi="Times New Roman" w:cs="Times New Roman"/>
                <w:b/>
                <w:bCs/>
                <w:szCs w:val="24"/>
              </w:rPr>
              <w:t>7</w:t>
            </w:r>
            <w:r w:rsidRPr="00D43584">
              <w:rPr>
                <w:rFonts w:ascii="Times New Roman" w:hAnsi="Times New Roman" w:cs="Times New Roman"/>
                <w:b/>
                <w:bCs/>
                <w:szCs w:val="24"/>
              </w:rPr>
              <w:t>.</w:t>
            </w:r>
            <w:r w:rsidR="00F0435A">
              <w:rPr>
                <w:rFonts w:ascii="Times New Roman" w:hAnsi="Times New Roman" w:cs="Times New Roman"/>
                <w:b/>
                <w:bCs/>
                <w:szCs w:val="24"/>
              </w:rPr>
              <w:t>0</w:t>
            </w:r>
          </w:p>
        </w:tc>
        <w:tc>
          <w:tcPr>
            <w:tcW w:w="0" w:type="auto"/>
            <w:vAlign w:val="center"/>
            <w:hideMark/>
          </w:tcPr>
          <w:p w14:paraId="271DCA7D" w14:textId="77777777" w:rsidR="00A148E6" w:rsidRPr="00D43584" w:rsidRDefault="00A148E6" w:rsidP="0011190E">
            <w:pPr>
              <w:tabs>
                <w:tab w:val="left" w:pos="5334"/>
              </w:tabs>
              <w:spacing w:after="160" w:line="278" w:lineRule="auto"/>
              <w:jc w:val="center"/>
              <w:rPr>
                <w:rFonts w:ascii="Times New Roman" w:hAnsi="Times New Roman" w:cs="Times New Roman"/>
                <w:szCs w:val="24"/>
              </w:rPr>
            </w:pPr>
            <w:r w:rsidRPr="00D43584">
              <w:rPr>
                <w:rFonts w:ascii="Times New Roman" w:hAnsi="Times New Roman" w:cs="Times New Roman"/>
                <w:b/>
                <w:bCs/>
                <w:szCs w:val="24"/>
              </w:rPr>
              <w:t>880.3</w:t>
            </w:r>
          </w:p>
        </w:tc>
      </w:tr>
      <w:tr w:rsidR="00A148E6" w:rsidRPr="00D43584" w14:paraId="33DF9B98" w14:textId="77777777" w:rsidTr="0011190E">
        <w:trPr>
          <w:trHeight w:val="487"/>
        </w:trPr>
        <w:tc>
          <w:tcPr>
            <w:tcW w:w="0" w:type="auto"/>
            <w:vAlign w:val="center"/>
            <w:hideMark/>
          </w:tcPr>
          <w:p w14:paraId="0AAFC36D" w14:textId="77777777" w:rsidR="00A148E6" w:rsidRPr="00D43584" w:rsidRDefault="00A148E6" w:rsidP="0011190E">
            <w:pPr>
              <w:tabs>
                <w:tab w:val="left" w:pos="5334"/>
              </w:tabs>
              <w:spacing w:after="160" w:line="278" w:lineRule="auto"/>
              <w:rPr>
                <w:rFonts w:ascii="Times New Roman" w:hAnsi="Times New Roman" w:cs="Times New Roman"/>
                <w:szCs w:val="24"/>
              </w:rPr>
            </w:pPr>
            <w:r w:rsidRPr="00D43584">
              <w:rPr>
                <w:rFonts w:ascii="Times New Roman" w:hAnsi="Times New Roman" w:cs="Times New Roman"/>
                <w:b/>
                <w:bCs/>
                <w:szCs w:val="24"/>
              </w:rPr>
              <w:t>II. Repayments</w:t>
            </w:r>
          </w:p>
        </w:tc>
        <w:tc>
          <w:tcPr>
            <w:tcW w:w="0" w:type="auto"/>
            <w:vAlign w:val="center"/>
            <w:hideMark/>
          </w:tcPr>
          <w:p w14:paraId="13E8D5D0" w14:textId="77777777" w:rsidR="00A148E6" w:rsidRPr="00D43584" w:rsidRDefault="00A148E6" w:rsidP="0011190E">
            <w:pPr>
              <w:tabs>
                <w:tab w:val="left" w:pos="5334"/>
              </w:tabs>
              <w:spacing w:after="160" w:line="278" w:lineRule="auto"/>
              <w:jc w:val="center"/>
              <w:rPr>
                <w:rFonts w:ascii="Times New Roman" w:hAnsi="Times New Roman" w:cs="Times New Roman"/>
                <w:szCs w:val="24"/>
              </w:rPr>
            </w:pPr>
            <w:r w:rsidRPr="00D43584">
              <w:rPr>
                <w:rFonts w:ascii="Times New Roman" w:hAnsi="Times New Roman" w:cs="Times New Roman"/>
                <w:szCs w:val="24"/>
              </w:rPr>
              <w:t>12.4</w:t>
            </w:r>
          </w:p>
        </w:tc>
        <w:tc>
          <w:tcPr>
            <w:tcW w:w="0" w:type="auto"/>
            <w:vAlign w:val="center"/>
            <w:hideMark/>
          </w:tcPr>
          <w:p w14:paraId="665F3C4A" w14:textId="77777777" w:rsidR="00A148E6" w:rsidRPr="00D43584" w:rsidRDefault="00A148E6" w:rsidP="0011190E">
            <w:pPr>
              <w:tabs>
                <w:tab w:val="left" w:pos="5334"/>
              </w:tabs>
              <w:spacing w:after="160" w:line="278" w:lineRule="auto"/>
              <w:jc w:val="center"/>
              <w:rPr>
                <w:rFonts w:ascii="Times New Roman" w:hAnsi="Times New Roman" w:cs="Times New Roman"/>
                <w:szCs w:val="24"/>
              </w:rPr>
            </w:pPr>
            <w:r w:rsidRPr="00D43584">
              <w:rPr>
                <w:rFonts w:ascii="Times New Roman" w:hAnsi="Times New Roman" w:cs="Times New Roman"/>
                <w:szCs w:val="24"/>
              </w:rPr>
              <w:t>41.7</w:t>
            </w:r>
          </w:p>
        </w:tc>
        <w:tc>
          <w:tcPr>
            <w:tcW w:w="0" w:type="auto"/>
            <w:vAlign w:val="center"/>
            <w:hideMark/>
          </w:tcPr>
          <w:p w14:paraId="6E98D7C5" w14:textId="77777777" w:rsidR="00A148E6" w:rsidRPr="00D43584" w:rsidRDefault="00A148E6" w:rsidP="0011190E">
            <w:pPr>
              <w:tabs>
                <w:tab w:val="left" w:pos="5334"/>
              </w:tabs>
              <w:spacing w:after="160" w:line="278" w:lineRule="auto"/>
              <w:jc w:val="center"/>
              <w:rPr>
                <w:rFonts w:ascii="Times New Roman" w:hAnsi="Times New Roman" w:cs="Times New Roman"/>
                <w:szCs w:val="24"/>
              </w:rPr>
            </w:pPr>
            <w:r w:rsidRPr="00D43584">
              <w:rPr>
                <w:rFonts w:ascii="Times New Roman" w:hAnsi="Times New Roman" w:cs="Times New Roman"/>
                <w:szCs w:val="24"/>
              </w:rPr>
              <w:t>169.0</w:t>
            </w:r>
          </w:p>
        </w:tc>
        <w:tc>
          <w:tcPr>
            <w:tcW w:w="0" w:type="auto"/>
            <w:vAlign w:val="center"/>
            <w:hideMark/>
          </w:tcPr>
          <w:p w14:paraId="789A8830" w14:textId="77777777" w:rsidR="00A148E6" w:rsidRPr="00D43584" w:rsidRDefault="00A148E6" w:rsidP="0011190E">
            <w:pPr>
              <w:tabs>
                <w:tab w:val="left" w:pos="5334"/>
              </w:tabs>
              <w:spacing w:after="160" w:line="278" w:lineRule="auto"/>
              <w:jc w:val="center"/>
              <w:rPr>
                <w:rFonts w:ascii="Times New Roman" w:hAnsi="Times New Roman" w:cs="Times New Roman"/>
                <w:szCs w:val="24"/>
              </w:rPr>
            </w:pPr>
            <w:r w:rsidRPr="00D43584">
              <w:rPr>
                <w:rFonts w:ascii="Times New Roman" w:hAnsi="Times New Roman" w:cs="Times New Roman"/>
                <w:szCs w:val="24"/>
              </w:rPr>
              <w:t>313.9</w:t>
            </w:r>
          </w:p>
        </w:tc>
        <w:tc>
          <w:tcPr>
            <w:tcW w:w="0" w:type="auto"/>
            <w:vAlign w:val="center"/>
            <w:hideMark/>
          </w:tcPr>
          <w:p w14:paraId="5B67A1BB" w14:textId="77777777" w:rsidR="00A148E6" w:rsidRPr="00D43584" w:rsidRDefault="00A148E6" w:rsidP="0011190E">
            <w:pPr>
              <w:tabs>
                <w:tab w:val="left" w:pos="5334"/>
              </w:tabs>
              <w:spacing w:after="160" w:line="278" w:lineRule="auto"/>
              <w:jc w:val="center"/>
              <w:rPr>
                <w:rFonts w:ascii="Times New Roman" w:hAnsi="Times New Roman" w:cs="Times New Roman"/>
                <w:szCs w:val="24"/>
              </w:rPr>
            </w:pPr>
            <w:r w:rsidRPr="00D43584">
              <w:rPr>
                <w:rFonts w:ascii="Times New Roman" w:hAnsi="Times New Roman" w:cs="Times New Roman"/>
                <w:szCs w:val="24"/>
              </w:rPr>
              <w:t>346.2</w:t>
            </w:r>
          </w:p>
        </w:tc>
        <w:tc>
          <w:tcPr>
            <w:tcW w:w="0" w:type="auto"/>
            <w:vAlign w:val="center"/>
            <w:hideMark/>
          </w:tcPr>
          <w:p w14:paraId="31B46C5C" w14:textId="77777777" w:rsidR="00A148E6" w:rsidRPr="00D43584" w:rsidRDefault="00A148E6" w:rsidP="0011190E">
            <w:pPr>
              <w:tabs>
                <w:tab w:val="left" w:pos="5334"/>
              </w:tabs>
              <w:spacing w:after="160" w:line="278" w:lineRule="auto"/>
              <w:jc w:val="center"/>
              <w:rPr>
                <w:rFonts w:ascii="Times New Roman" w:hAnsi="Times New Roman" w:cs="Times New Roman"/>
                <w:szCs w:val="24"/>
              </w:rPr>
            </w:pPr>
            <w:r w:rsidRPr="00D43584">
              <w:rPr>
                <w:rFonts w:ascii="Times New Roman" w:hAnsi="Times New Roman" w:cs="Times New Roman"/>
                <w:szCs w:val="24"/>
              </w:rPr>
              <w:t>489.0</w:t>
            </w:r>
          </w:p>
        </w:tc>
        <w:tc>
          <w:tcPr>
            <w:tcW w:w="0" w:type="auto"/>
            <w:vAlign w:val="center"/>
            <w:hideMark/>
          </w:tcPr>
          <w:p w14:paraId="71ADCEB3" w14:textId="77777777" w:rsidR="00A148E6" w:rsidRPr="00D43584" w:rsidRDefault="00A148E6" w:rsidP="0011190E">
            <w:pPr>
              <w:tabs>
                <w:tab w:val="left" w:pos="5334"/>
              </w:tabs>
              <w:spacing w:after="160" w:line="278" w:lineRule="auto"/>
              <w:jc w:val="center"/>
              <w:rPr>
                <w:rFonts w:ascii="Times New Roman" w:hAnsi="Times New Roman" w:cs="Times New Roman"/>
                <w:szCs w:val="24"/>
              </w:rPr>
            </w:pPr>
            <w:r w:rsidRPr="00D43584">
              <w:rPr>
                <w:rFonts w:ascii="Times New Roman" w:hAnsi="Times New Roman" w:cs="Times New Roman"/>
                <w:szCs w:val="24"/>
              </w:rPr>
              <w:t>561.7</w:t>
            </w:r>
          </w:p>
        </w:tc>
      </w:tr>
      <w:tr w:rsidR="00A148E6" w:rsidRPr="00D43584" w14:paraId="4AF3347F" w14:textId="77777777" w:rsidTr="0011190E">
        <w:trPr>
          <w:trHeight w:val="487"/>
        </w:trPr>
        <w:tc>
          <w:tcPr>
            <w:tcW w:w="0" w:type="auto"/>
            <w:vAlign w:val="center"/>
            <w:hideMark/>
          </w:tcPr>
          <w:p w14:paraId="2460E5B8" w14:textId="77777777" w:rsidR="00A148E6" w:rsidRPr="00D43584" w:rsidRDefault="00A148E6" w:rsidP="0011190E">
            <w:pPr>
              <w:tabs>
                <w:tab w:val="left" w:pos="5334"/>
              </w:tabs>
              <w:spacing w:after="160" w:line="278" w:lineRule="auto"/>
              <w:rPr>
                <w:rFonts w:ascii="Times New Roman" w:hAnsi="Times New Roman" w:cs="Times New Roman"/>
                <w:szCs w:val="24"/>
              </w:rPr>
            </w:pPr>
            <w:r w:rsidRPr="00D43584">
              <w:rPr>
                <w:rFonts w:ascii="Times New Roman" w:hAnsi="Times New Roman" w:cs="Times New Roman"/>
                <w:b/>
                <w:bCs/>
                <w:szCs w:val="24"/>
              </w:rPr>
              <w:t>III. Net Receipts</w:t>
            </w:r>
          </w:p>
        </w:tc>
        <w:tc>
          <w:tcPr>
            <w:tcW w:w="0" w:type="auto"/>
            <w:vAlign w:val="center"/>
            <w:hideMark/>
          </w:tcPr>
          <w:p w14:paraId="345992F8" w14:textId="77777777" w:rsidR="00A148E6" w:rsidRPr="00D43584" w:rsidRDefault="00A148E6" w:rsidP="0011190E">
            <w:pPr>
              <w:tabs>
                <w:tab w:val="left" w:pos="5334"/>
              </w:tabs>
              <w:spacing w:after="160" w:line="278" w:lineRule="auto"/>
              <w:jc w:val="center"/>
              <w:rPr>
                <w:rFonts w:ascii="Times New Roman" w:hAnsi="Times New Roman" w:cs="Times New Roman"/>
                <w:szCs w:val="24"/>
              </w:rPr>
            </w:pPr>
            <w:r w:rsidRPr="00D43584">
              <w:rPr>
                <w:rFonts w:ascii="Times New Roman" w:hAnsi="Times New Roman" w:cs="Times New Roman"/>
                <w:b/>
                <w:bCs/>
                <w:szCs w:val="24"/>
              </w:rPr>
              <w:t>73.4</w:t>
            </w:r>
          </w:p>
        </w:tc>
        <w:tc>
          <w:tcPr>
            <w:tcW w:w="0" w:type="auto"/>
            <w:vAlign w:val="center"/>
            <w:hideMark/>
          </w:tcPr>
          <w:p w14:paraId="6B6806BD" w14:textId="77777777" w:rsidR="00A148E6" w:rsidRPr="00D43584" w:rsidRDefault="00A148E6" w:rsidP="0011190E">
            <w:pPr>
              <w:tabs>
                <w:tab w:val="left" w:pos="5334"/>
              </w:tabs>
              <w:spacing w:after="160" w:line="278" w:lineRule="auto"/>
              <w:jc w:val="center"/>
              <w:rPr>
                <w:rFonts w:ascii="Times New Roman" w:hAnsi="Times New Roman" w:cs="Times New Roman"/>
                <w:szCs w:val="24"/>
              </w:rPr>
            </w:pPr>
            <w:r w:rsidRPr="00D43584">
              <w:rPr>
                <w:rFonts w:ascii="Times New Roman" w:hAnsi="Times New Roman" w:cs="Times New Roman"/>
                <w:b/>
                <w:bCs/>
                <w:szCs w:val="24"/>
              </w:rPr>
              <w:t>232.2</w:t>
            </w:r>
          </w:p>
        </w:tc>
        <w:tc>
          <w:tcPr>
            <w:tcW w:w="0" w:type="auto"/>
            <w:vAlign w:val="center"/>
            <w:hideMark/>
          </w:tcPr>
          <w:p w14:paraId="10D767EA" w14:textId="77777777" w:rsidR="00A148E6" w:rsidRPr="00D43584" w:rsidRDefault="00A148E6" w:rsidP="0011190E">
            <w:pPr>
              <w:tabs>
                <w:tab w:val="left" w:pos="5334"/>
              </w:tabs>
              <w:spacing w:after="160" w:line="278" w:lineRule="auto"/>
              <w:jc w:val="center"/>
              <w:rPr>
                <w:rFonts w:ascii="Times New Roman" w:hAnsi="Times New Roman" w:cs="Times New Roman"/>
                <w:szCs w:val="24"/>
              </w:rPr>
            </w:pPr>
            <w:r w:rsidRPr="00D43584">
              <w:rPr>
                <w:rFonts w:ascii="Times New Roman" w:hAnsi="Times New Roman" w:cs="Times New Roman"/>
                <w:b/>
                <w:bCs/>
                <w:szCs w:val="24"/>
              </w:rPr>
              <w:t>391.4</w:t>
            </w:r>
          </w:p>
        </w:tc>
        <w:tc>
          <w:tcPr>
            <w:tcW w:w="0" w:type="auto"/>
            <w:vAlign w:val="center"/>
            <w:hideMark/>
          </w:tcPr>
          <w:p w14:paraId="32BA3B2C" w14:textId="77777777" w:rsidR="00A148E6" w:rsidRPr="00D43584" w:rsidRDefault="00A148E6" w:rsidP="0011190E">
            <w:pPr>
              <w:tabs>
                <w:tab w:val="left" w:pos="5334"/>
              </w:tabs>
              <w:spacing w:after="160" w:line="278" w:lineRule="auto"/>
              <w:jc w:val="center"/>
              <w:rPr>
                <w:rFonts w:ascii="Times New Roman" w:hAnsi="Times New Roman" w:cs="Times New Roman"/>
                <w:szCs w:val="24"/>
              </w:rPr>
            </w:pPr>
            <w:r w:rsidRPr="00D43584">
              <w:rPr>
                <w:rFonts w:ascii="Times New Roman" w:hAnsi="Times New Roman" w:cs="Times New Roman"/>
                <w:b/>
                <w:bCs/>
                <w:szCs w:val="24"/>
              </w:rPr>
              <w:t>673.2</w:t>
            </w:r>
          </w:p>
        </w:tc>
        <w:tc>
          <w:tcPr>
            <w:tcW w:w="0" w:type="auto"/>
            <w:vAlign w:val="center"/>
            <w:hideMark/>
          </w:tcPr>
          <w:p w14:paraId="2D7CE58C" w14:textId="77777777" w:rsidR="00A148E6" w:rsidRPr="00D43584" w:rsidRDefault="00A148E6" w:rsidP="0011190E">
            <w:pPr>
              <w:tabs>
                <w:tab w:val="left" w:pos="5334"/>
              </w:tabs>
              <w:spacing w:after="160" w:line="278" w:lineRule="auto"/>
              <w:jc w:val="center"/>
              <w:rPr>
                <w:rFonts w:ascii="Times New Roman" w:hAnsi="Times New Roman" w:cs="Times New Roman"/>
                <w:szCs w:val="24"/>
              </w:rPr>
            </w:pPr>
            <w:r w:rsidRPr="00D43584">
              <w:rPr>
                <w:rFonts w:ascii="Times New Roman" w:hAnsi="Times New Roman" w:cs="Times New Roman"/>
                <w:b/>
                <w:bCs/>
                <w:szCs w:val="24"/>
              </w:rPr>
              <w:t>723.7</w:t>
            </w:r>
          </w:p>
        </w:tc>
        <w:tc>
          <w:tcPr>
            <w:tcW w:w="0" w:type="auto"/>
            <w:vAlign w:val="center"/>
            <w:hideMark/>
          </w:tcPr>
          <w:p w14:paraId="2B7EE82E" w14:textId="77777777" w:rsidR="00A148E6" w:rsidRPr="00D43584" w:rsidRDefault="00A148E6" w:rsidP="0011190E">
            <w:pPr>
              <w:tabs>
                <w:tab w:val="left" w:pos="5334"/>
              </w:tabs>
              <w:spacing w:after="160" w:line="278" w:lineRule="auto"/>
              <w:jc w:val="center"/>
              <w:rPr>
                <w:rFonts w:ascii="Times New Roman" w:hAnsi="Times New Roman" w:cs="Times New Roman"/>
                <w:szCs w:val="24"/>
              </w:rPr>
            </w:pPr>
            <w:r w:rsidRPr="00D43584">
              <w:rPr>
                <w:rFonts w:ascii="Times New Roman" w:hAnsi="Times New Roman" w:cs="Times New Roman"/>
                <w:b/>
                <w:bCs/>
                <w:szCs w:val="24"/>
              </w:rPr>
              <w:t>518.0</w:t>
            </w:r>
          </w:p>
        </w:tc>
        <w:tc>
          <w:tcPr>
            <w:tcW w:w="0" w:type="auto"/>
            <w:vAlign w:val="center"/>
            <w:hideMark/>
          </w:tcPr>
          <w:p w14:paraId="3E9DE8A7" w14:textId="77777777" w:rsidR="00A148E6" w:rsidRPr="00D43584" w:rsidRDefault="00A148E6" w:rsidP="0011190E">
            <w:pPr>
              <w:tabs>
                <w:tab w:val="left" w:pos="5334"/>
              </w:tabs>
              <w:spacing w:after="160" w:line="278" w:lineRule="auto"/>
              <w:jc w:val="center"/>
              <w:rPr>
                <w:rFonts w:ascii="Times New Roman" w:hAnsi="Times New Roman" w:cs="Times New Roman"/>
                <w:szCs w:val="24"/>
              </w:rPr>
            </w:pPr>
            <w:r w:rsidRPr="00D43584">
              <w:rPr>
                <w:rFonts w:ascii="Times New Roman" w:hAnsi="Times New Roman" w:cs="Times New Roman"/>
                <w:b/>
                <w:bCs/>
                <w:szCs w:val="24"/>
              </w:rPr>
              <w:t>318.6</w:t>
            </w:r>
          </w:p>
        </w:tc>
      </w:tr>
    </w:tbl>
    <w:p w14:paraId="14238792" w14:textId="77777777" w:rsidR="00777994" w:rsidRPr="00D43584" w:rsidRDefault="00777994" w:rsidP="00777994">
      <w:pPr>
        <w:tabs>
          <w:tab w:val="left" w:pos="2816"/>
        </w:tabs>
        <w:rPr>
          <w:rFonts w:ascii="Times New Roman" w:hAnsi="Times New Roman" w:cs="Times New Roman"/>
          <w:szCs w:val="24"/>
        </w:rPr>
      </w:pPr>
    </w:p>
    <w:p w14:paraId="7B50F0DB" w14:textId="77777777" w:rsidR="00A148E6" w:rsidRPr="0011190E" w:rsidRDefault="00A148E6" w:rsidP="00A148E6">
      <w:pPr>
        <w:rPr>
          <w:rFonts w:ascii="Times New Roman" w:hAnsi="Times New Roman" w:cs="Times New Roman"/>
          <w:sz w:val="20"/>
          <w:szCs w:val="20"/>
        </w:rPr>
      </w:pPr>
      <w:r w:rsidRPr="0011190E">
        <w:rPr>
          <w:rFonts w:ascii="Times New Roman" w:hAnsi="Times New Roman" w:cs="Times New Roman"/>
          <w:sz w:val="20"/>
          <w:szCs w:val="20"/>
        </w:rPr>
        <w:t>Source: State Budgets and Finance Accounts of States.</w:t>
      </w:r>
    </w:p>
    <w:p w14:paraId="04102B11" w14:textId="6730E64C" w:rsidR="00A148E6" w:rsidRPr="00D43584" w:rsidRDefault="00A148E6">
      <w:pPr>
        <w:rPr>
          <w:rFonts w:ascii="Times New Roman" w:hAnsi="Times New Roman" w:cs="Times New Roman"/>
          <w:szCs w:val="24"/>
        </w:rPr>
      </w:pPr>
      <w:r w:rsidRPr="00D43584">
        <w:rPr>
          <w:rFonts w:ascii="Times New Roman" w:hAnsi="Times New Roman" w:cs="Times New Roman"/>
          <w:szCs w:val="24"/>
        </w:rPr>
        <w:br w:type="page"/>
      </w:r>
    </w:p>
    <w:p w14:paraId="43573B78" w14:textId="77777777" w:rsidR="00A148E6" w:rsidRPr="00D43584" w:rsidRDefault="00A148E6" w:rsidP="00777994">
      <w:pPr>
        <w:tabs>
          <w:tab w:val="left" w:pos="2816"/>
        </w:tabs>
        <w:rPr>
          <w:rFonts w:ascii="Times New Roman" w:hAnsi="Times New Roman" w:cs="Times New Roman"/>
          <w:szCs w:val="24"/>
        </w:rPr>
        <w:sectPr w:rsidR="00A148E6" w:rsidRPr="00D43584" w:rsidSect="00965A5A">
          <w:pgSz w:w="12240" w:h="15840"/>
          <w:pgMar w:top="1418" w:right="1440" w:bottom="1440" w:left="1440" w:header="720" w:footer="720" w:gutter="0"/>
          <w:cols w:space="720"/>
        </w:sectPr>
      </w:pPr>
    </w:p>
    <w:p w14:paraId="6557C1F1" w14:textId="77777777" w:rsidR="00860844" w:rsidRDefault="00574BCE" w:rsidP="0060494F">
      <w:pPr>
        <w:pStyle w:val="Heading5"/>
      </w:pPr>
      <w:bookmarkStart w:id="264" w:name="_Toc220949762"/>
      <w:bookmarkStart w:id="265" w:name="_Toc221115387"/>
      <w:r>
        <w:lastRenderedPageBreak/>
        <w:t>Table</w:t>
      </w:r>
      <w:r w:rsidR="00A148E6" w:rsidRPr="00D43584">
        <w:t xml:space="preserve"> 4: Capital receipts and disbursements (Non-Plan) of State Governments during 1967-68</w:t>
      </w:r>
      <w:bookmarkEnd w:id="265"/>
      <w:r w:rsidR="00A148E6" w:rsidRPr="00D43584">
        <w:t xml:space="preserve"> </w:t>
      </w:r>
    </w:p>
    <w:p w14:paraId="514F06C6" w14:textId="3E5F33EC" w:rsidR="00A148E6" w:rsidRPr="00860844" w:rsidRDefault="00A148E6" w:rsidP="009C025C">
      <w:pPr>
        <w:spacing w:after="0"/>
        <w:jc w:val="center"/>
        <w:rPr>
          <w:rFonts w:ascii="Times New Roman" w:hAnsi="Times New Roman" w:cs="Times New Roman"/>
          <w:i/>
          <w:iCs/>
        </w:rPr>
      </w:pPr>
      <w:r w:rsidRPr="00860844">
        <w:rPr>
          <w:rFonts w:ascii="Times New Roman" w:hAnsi="Times New Roman" w:cs="Times New Roman"/>
        </w:rPr>
        <w:t>(Latest Estimates)</w:t>
      </w:r>
      <w:bookmarkEnd w:id="264"/>
    </w:p>
    <w:p w14:paraId="5FC3C90C" w14:textId="77777777" w:rsidR="00A148E6" w:rsidRPr="00D43584" w:rsidRDefault="00A148E6" w:rsidP="009C025C">
      <w:pPr>
        <w:spacing w:after="0"/>
        <w:jc w:val="right"/>
        <w:rPr>
          <w:rFonts w:ascii="Times New Roman" w:hAnsi="Times New Roman" w:cs="Times New Roman"/>
          <w:i/>
          <w:iCs/>
          <w:szCs w:val="24"/>
        </w:rPr>
      </w:pPr>
      <w:r w:rsidRPr="00D43584">
        <w:rPr>
          <w:rFonts w:ascii="Times New Roman" w:hAnsi="Times New Roman" w:cs="Times New Roman"/>
          <w:i/>
          <w:iCs/>
          <w:szCs w:val="24"/>
        </w:rPr>
        <w:t>(Rs. in crores)</w:t>
      </w:r>
    </w:p>
    <w:tbl>
      <w:tblPr>
        <w:tblStyle w:val="TableGrid"/>
        <w:tblW w:w="14866" w:type="dxa"/>
        <w:jc w:val="center"/>
        <w:tblLook w:val="04A0" w:firstRow="1" w:lastRow="0" w:firstColumn="1" w:lastColumn="0" w:noHBand="0" w:noVBand="1"/>
      </w:tblPr>
      <w:tblGrid>
        <w:gridCol w:w="763"/>
        <w:gridCol w:w="1642"/>
        <w:gridCol w:w="1020"/>
        <w:gridCol w:w="1023"/>
        <w:gridCol w:w="1732"/>
        <w:gridCol w:w="1107"/>
        <w:gridCol w:w="1053"/>
        <w:gridCol w:w="1737"/>
        <w:gridCol w:w="1776"/>
        <w:gridCol w:w="1737"/>
        <w:gridCol w:w="1276"/>
      </w:tblGrid>
      <w:tr w:rsidR="002C69C0" w:rsidRPr="00D43584" w14:paraId="12F1C5E9" w14:textId="77777777" w:rsidTr="00FC569D">
        <w:trPr>
          <w:trHeight w:val="20"/>
          <w:jc w:val="center"/>
        </w:trPr>
        <w:tc>
          <w:tcPr>
            <w:tcW w:w="763" w:type="dxa"/>
            <w:vMerge w:val="restart"/>
            <w:vAlign w:val="center"/>
          </w:tcPr>
          <w:p w14:paraId="1EEEC923" w14:textId="5BFFFADF" w:rsidR="002C69C0" w:rsidRPr="00F236AA" w:rsidRDefault="002C69C0" w:rsidP="00F236AA">
            <w:pPr>
              <w:pStyle w:val="NoSpacing"/>
              <w:jc w:val="center"/>
              <w:rPr>
                <w:rFonts w:ascii="Times New Roman" w:hAnsi="Times New Roman" w:cs="Times New Roman"/>
                <w:b/>
                <w:bCs/>
                <w:szCs w:val="24"/>
              </w:rPr>
            </w:pPr>
            <w:r w:rsidRPr="00F236AA">
              <w:rPr>
                <w:rFonts w:ascii="Times New Roman" w:hAnsi="Times New Roman" w:cs="Times New Roman"/>
                <w:b/>
                <w:bCs/>
                <w:szCs w:val="24"/>
              </w:rPr>
              <w:t>S.No.</w:t>
            </w:r>
          </w:p>
        </w:tc>
        <w:tc>
          <w:tcPr>
            <w:tcW w:w="1642" w:type="dxa"/>
            <w:vMerge w:val="restart"/>
            <w:vAlign w:val="center"/>
          </w:tcPr>
          <w:p w14:paraId="49A6FDC9" w14:textId="106F876B" w:rsidR="002C69C0" w:rsidRPr="00F236AA" w:rsidRDefault="002C69C0" w:rsidP="00F236AA">
            <w:pPr>
              <w:pStyle w:val="NoSpacing"/>
              <w:jc w:val="center"/>
              <w:rPr>
                <w:rFonts w:ascii="Times New Roman" w:hAnsi="Times New Roman" w:cs="Times New Roman"/>
                <w:b/>
                <w:bCs/>
                <w:szCs w:val="24"/>
              </w:rPr>
            </w:pPr>
            <w:r w:rsidRPr="00F236AA">
              <w:rPr>
                <w:rFonts w:ascii="Times New Roman" w:hAnsi="Times New Roman" w:cs="Times New Roman"/>
                <w:b/>
                <w:bCs/>
                <w:szCs w:val="24"/>
              </w:rPr>
              <w:t>States</w:t>
            </w:r>
          </w:p>
        </w:tc>
        <w:tc>
          <w:tcPr>
            <w:tcW w:w="0" w:type="auto"/>
            <w:gridSpan w:val="5"/>
            <w:vAlign w:val="center"/>
          </w:tcPr>
          <w:p w14:paraId="01EBC924" w14:textId="1337DCE1" w:rsidR="002C69C0" w:rsidRPr="00F236AA" w:rsidRDefault="002C69C0" w:rsidP="00F236AA">
            <w:pPr>
              <w:pStyle w:val="NoSpacing"/>
              <w:jc w:val="center"/>
              <w:rPr>
                <w:rFonts w:ascii="Times New Roman" w:hAnsi="Times New Roman" w:cs="Times New Roman"/>
                <w:b/>
                <w:bCs/>
                <w:szCs w:val="24"/>
              </w:rPr>
            </w:pPr>
            <w:r w:rsidRPr="00F236AA">
              <w:rPr>
                <w:rFonts w:ascii="Times New Roman" w:hAnsi="Times New Roman" w:cs="Times New Roman"/>
                <w:b/>
                <w:bCs/>
                <w:szCs w:val="24"/>
              </w:rPr>
              <w:t>Receipts</w:t>
            </w:r>
          </w:p>
        </w:tc>
        <w:tc>
          <w:tcPr>
            <w:tcW w:w="5250" w:type="dxa"/>
            <w:gridSpan w:val="3"/>
            <w:vAlign w:val="center"/>
          </w:tcPr>
          <w:p w14:paraId="5F95A773" w14:textId="7EA1A3D0" w:rsidR="002C69C0" w:rsidRPr="00F236AA" w:rsidRDefault="002C69C0" w:rsidP="00F236AA">
            <w:pPr>
              <w:pStyle w:val="NoSpacing"/>
              <w:jc w:val="center"/>
              <w:rPr>
                <w:rFonts w:ascii="Times New Roman" w:hAnsi="Times New Roman" w:cs="Times New Roman"/>
                <w:b/>
                <w:bCs/>
                <w:szCs w:val="24"/>
              </w:rPr>
            </w:pPr>
            <w:r w:rsidRPr="00F236AA">
              <w:rPr>
                <w:rFonts w:ascii="Times New Roman" w:hAnsi="Times New Roman" w:cs="Times New Roman"/>
                <w:b/>
                <w:bCs/>
                <w:szCs w:val="24"/>
              </w:rPr>
              <w:t>Disbursements</w:t>
            </w:r>
          </w:p>
        </w:tc>
        <w:tc>
          <w:tcPr>
            <w:tcW w:w="1276" w:type="dxa"/>
            <w:vMerge w:val="restart"/>
            <w:vAlign w:val="center"/>
          </w:tcPr>
          <w:p w14:paraId="0B45E1BD" w14:textId="587DCFF1" w:rsidR="002C69C0" w:rsidRPr="00F236AA" w:rsidRDefault="002C69C0" w:rsidP="00F236AA">
            <w:pPr>
              <w:pStyle w:val="NoSpacing"/>
              <w:jc w:val="center"/>
              <w:rPr>
                <w:rFonts w:ascii="Times New Roman" w:hAnsi="Times New Roman" w:cs="Times New Roman"/>
                <w:b/>
                <w:bCs/>
                <w:szCs w:val="24"/>
              </w:rPr>
            </w:pPr>
            <w:r w:rsidRPr="00F236AA">
              <w:rPr>
                <w:rFonts w:ascii="Times New Roman" w:hAnsi="Times New Roman" w:cs="Times New Roman"/>
                <w:b/>
                <w:bCs/>
                <w:szCs w:val="24"/>
              </w:rPr>
              <w:t>Net Capital Deficit (-) / Surplus (+)</w:t>
            </w:r>
          </w:p>
        </w:tc>
      </w:tr>
      <w:tr w:rsidR="002C69C0" w:rsidRPr="00D43584" w14:paraId="466B3A2A" w14:textId="77777777" w:rsidTr="00F236AA">
        <w:trPr>
          <w:trHeight w:val="20"/>
          <w:jc w:val="center"/>
        </w:trPr>
        <w:tc>
          <w:tcPr>
            <w:tcW w:w="763" w:type="dxa"/>
            <w:vMerge/>
            <w:vAlign w:val="center"/>
            <w:hideMark/>
          </w:tcPr>
          <w:p w14:paraId="7504B982" w14:textId="34452743" w:rsidR="002C69C0" w:rsidRPr="00F236AA" w:rsidRDefault="002C69C0" w:rsidP="00F236AA">
            <w:pPr>
              <w:pStyle w:val="NoSpacing"/>
              <w:jc w:val="center"/>
              <w:rPr>
                <w:rFonts w:ascii="Times New Roman" w:hAnsi="Times New Roman" w:cs="Times New Roman"/>
                <w:b/>
                <w:bCs/>
                <w:szCs w:val="24"/>
              </w:rPr>
            </w:pPr>
          </w:p>
        </w:tc>
        <w:tc>
          <w:tcPr>
            <w:tcW w:w="1642" w:type="dxa"/>
            <w:vMerge/>
            <w:vAlign w:val="center"/>
            <w:hideMark/>
          </w:tcPr>
          <w:p w14:paraId="514D9C7F" w14:textId="6FA7B8F5" w:rsidR="002C69C0" w:rsidRPr="00F236AA" w:rsidRDefault="002C69C0" w:rsidP="00F236AA">
            <w:pPr>
              <w:pStyle w:val="NoSpacing"/>
              <w:jc w:val="center"/>
              <w:rPr>
                <w:rFonts w:ascii="Times New Roman" w:hAnsi="Times New Roman" w:cs="Times New Roman"/>
                <w:b/>
                <w:bCs/>
                <w:szCs w:val="24"/>
              </w:rPr>
            </w:pPr>
          </w:p>
        </w:tc>
        <w:tc>
          <w:tcPr>
            <w:tcW w:w="0" w:type="auto"/>
            <w:vAlign w:val="center"/>
            <w:hideMark/>
          </w:tcPr>
          <w:p w14:paraId="2979A01C" w14:textId="27B2D8E7" w:rsidR="002C69C0" w:rsidRPr="00F236AA" w:rsidRDefault="002C69C0" w:rsidP="00F236AA">
            <w:pPr>
              <w:pStyle w:val="NoSpacing"/>
              <w:jc w:val="center"/>
              <w:rPr>
                <w:rFonts w:ascii="Times New Roman" w:hAnsi="Times New Roman" w:cs="Times New Roman"/>
                <w:b/>
                <w:bCs/>
                <w:szCs w:val="24"/>
              </w:rPr>
            </w:pPr>
            <w:r w:rsidRPr="00F236AA">
              <w:rPr>
                <w:rFonts w:ascii="Times New Roman" w:hAnsi="Times New Roman" w:cs="Times New Roman"/>
                <w:b/>
                <w:bCs/>
                <w:szCs w:val="24"/>
              </w:rPr>
              <w:t>Market loan (Net)</w:t>
            </w:r>
          </w:p>
        </w:tc>
        <w:tc>
          <w:tcPr>
            <w:tcW w:w="0" w:type="auto"/>
            <w:vAlign w:val="center"/>
            <w:hideMark/>
          </w:tcPr>
          <w:p w14:paraId="3A002232" w14:textId="612157BD" w:rsidR="002C69C0" w:rsidRPr="00F236AA" w:rsidRDefault="002C69C0" w:rsidP="00F236AA">
            <w:pPr>
              <w:pStyle w:val="NoSpacing"/>
              <w:jc w:val="center"/>
              <w:rPr>
                <w:rFonts w:ascii="Times New Roman" w:hAnsi="Times New Roman" w:cs="Times New Roman"/>
                <w:b/>
                <w:bCs/>
                <w:szCs w:val="24"/>
              </w:rPr>
            </w:pPr>
            <w:r w:rsidRPr="00F236AA">
              <w:rPr>
                <w:rFonts w:ascii="Times New Roman" w:hAnsi="Times New Roman" w:cs="Times New Roman"/>
                <w:b/>
                <w:bCs/>
                <w:szCs w:val="24"/>
              </w:rPr>
              <w:t>Small Savings</w:t>
            </w:r>
          </w:p>
        </w:tc>
        <w:tc>
          <w:tcPr>
            <w:tcW w:w="0" w:type="auto"/>
            <w:vAlign w:val="center"/>
            <w:hideMark/>
          </w:tcPr>
          <w:p w14:paraId="322CB1B4" w14:textId="49CE29DC" w:rsidR="002C69C0" w:rsidRPr="00F236AA" w:rsidRDefault="002C69C0" w:rsidP="00F236AA">
            <w:pPr>
              <w:pStyle w:val="NoSpacing"/>
              <w:jc w:val="center"/>
              <w:rPr>
                <w:rFonts w:ascii="Times New Roman" w:hAnsi="Times New Roman" w:cs="Times New Roman"/>
                <w:b/>
                <w:bCs/>
                <w:szCs w:val="24"/>
              </w:rPr>
            </w:pPr>
            <w:r w:rsidRPr="00F236AA">
              <w:rPr>
                <w:rFonts w:ascii="Times New Roman" w:hAnsi="Times New Roman" w:cs="Times New Roman"/>
                <w:b/>
                <w:bCs/>
                <w:szCs w:val="24"/>
              </w:rPr>
              <w:t>Repayment of loans and advances by State Governments</w:t>
            </w:r>
          </w:p>
        </w:tc>
        <w:tc>
          <w:tcPr>
            <w:tcW w:w="0" w:type="auto"/>
            <w:vAlign w:val="center"/>
            <w:hideMark/>
          </w:tcPr>
          <w:p w14:paraId="77AA228D" w14:textId="41B0305E" w:rsidR="002C69C0" w:rsidRPr="00F236AA" w:rsidRDefault="002C69C0" w:rsidP="00F236AA">
            <w:pPr>
              <w:pStyle w:val="NoSpacing"/>
              <w:jc w:val="center"/>
              <w:rPr>
                <w:rFonts w:ascii="Times New Roman" w:hAnsi="Times New Roman" w:cs="Times New Roman"/>
                <w:b/>
                <w:bCs/>
                <w:szCs w:val="24"/>
              </w:rPr>
            </w:pPr>
            <w:r>
              <w:rPr>
                <w:rFonts w:ascii="Times New Roman" w:hAnsi="Times New Roman" w:cs="Times New Roman"/>
                <w:b/>
                <w:bCs/>
                <w:szCs w:val="24"/>
              </w:rPr>
              <w:t>P</w:t>
            </w:r>
            <w:r w:rsidRPr="00F236AA">
              <w:rPr>
                <w:rFonts w:ascii="Times New Roman" w:hAnsi="Times New Roman" w:cs="Times New Roman"/>
                <w:b/>
                <w:bCs/>
                <w:szCs w:val="24"/>
              </w:rPr>
              <w:t>ublic Account (Net)</w:t>
            </w:r>
          </w:p>
        </w:tc>
        <w:tc>
          <w:tcPr>
            <w:tcW w:w="0" w:type="auto"/>
            <w:vAlign w:val="center"/>
            <w:hideMark/>
          </w:tcPr>
          <w:p w14:paraId="54FC6518" w14:textId="790E7CAC" w:rsidR="002C69C0" w:rsidRPr="00F236AA" w:rsidRDefault="002C69C0" w:rsidP="00F236AA">
            <w:pPr>
              <w:pStyle w:val="NoSpacing"/>
              <w:jc w:val="center"/>
              <w:rPr>
                <w:rFonts w:ascii="Times New Roman" w:hAnsi="Times New Roman" w:cs="Times New Roman"/>
                <w:b/>
                <w:bCs/>
                <w:szCs w:val="24"/>
              </w:rPr>
            </w:pPr>
            <w:r w:rsidRPr="00F236AA">
              <w:rPr>
                <w:rFonts w:ascii="Times New Roman" w:hAnsi="Times New Roman" w:cs="Times New Roman"/>
                <w:b/>
                <w:bCs/>
                <w:szCs w:val="24"/>
              </w:rPr>
              <w:t>Total Capital receipts</w:t>
            </w:r>
          </w:p>
        </w:tc>
        <w:tc>
          <w:tcPr>
            <w:tcW w:w="1737" w:type="dxa"/>
            <w:vAlign w:val="center"/>
            <w:hideMark/>
          </w:tcPr>
          <w:p w14:paraId="71BF3CE1" w14:textId="37D1972E" w:rsidR="002C69C0" w:rsidRPr="00F236AA" w:rsidRDefault="002C69C0" w:rsidP="00F236AA">
            <w:pPr>
              <w:pStyle w:val="NoSpacing"/>
              <w:jc w:val="center"/>
              <w:rPr>
                <w:rFonts w:ascii="Times New Roman" w:hAnsi="Times New Roman" w:cs="Times New Roman"/>
                <w:b/>
                <w:bCs/>
                <w:szCs w:val="24"/>
              </w:rPr>
            </w:pPr>
            <w:r w:rsidRPr="00F236AA">
              <w:rPr>
                <w:rFonts w:ascii="Times New Roman" w:hAnsi="Times New Roman" w:cs="Times New Roman"/>
                <w:b/>
                <w:bCs/>
                <w:szCs w:val="24"/>
              </w:rPr>
              <w:t>Repayment of Debt*</w:t>
            </w:r>
          </w:p>
        </w:tc>
        <w:tc>
          <w:tcPr>
            <w:tcW w:w="1776" w:type="dxa"/>
            <w:vAlign w:val="center"/>
            <w:hideMark/>
          </w:tcPr>
          <w:p w14:paraId="508F8AE9" w14:textId="45940939" w:rsidR="002C69C0" w:rsidRPr="00F236AA" w:rsidRDefault="002C69C0" w:rsidP="00F236AA">
            <w:pPr>
              <w:pStyle w:val="NoSpacing"/>
              <w:jc w:val="center"/>
              <w:rPr>
                <w:rFonts w:ascii="Times New Roman" w:hAnsi="Times New Roman" w:cs="Times New Roman"/>
                <w:b/>
                <w:bCs/>
                <w:szCs w:val="24"/>
              </w:rPr>
            </w:pPr>
            <w:r w:rsidRPr="00F236AA">
              <w:rPr>
                <w:rFonts w:ascii="Times New Roman" w:hAnsi="Times New Roman" w:cs="Times New Roman"/>
                <w:b/>
                <w:bCs/>
                <w:szCs w:val="24"/>
              </w:rPr>
              <w:t>Miscellaneous capital payments</w:t>
            </w:r>
          </w:p>
        </w:tc>
        <w:tc>
          <w:tcPr>
            <w:tcW w:w="1737" w:type="dxa"/>
            <w:vAlign w:val="center"/>
            <w:hideMark/>
          </w:tcPr>
          <w:p w14:paraId="2DD0DA32" w14:textId="42150B53" w:rsidR="002C69C0" w:rsidRPr="00F236AA" w:rsidRDefault="002C69C0" w:rsidP="00F236AA">
            <w:pPr>
              <w:pStyle w:val="NoSpacing"/>
              <w:jc w:val="center"/>
              <w:rPr>
                <w:rFonts w:ascii="Times New Roman" w:hAnsi="Times New Roman" w:cs="Times New Roman"/>
                <w:b/>
                <w:bCs/>
                <w:szCs w:val="24"/>
              </w:rPr>
            </w:pPr>
            <w:r w:rsidRPr="00F236AA">
              <w:rPr>
                <w:rFonts w:ascii="Times New Roman" w:hAnsi="Times New Roman" w:cs="Times New Roman"/>
                <w:b/>
                <w:bCs/>
                <w:szCs w:val="24"/>
              </w:rPr>
              <w:t>Total Capital expenditure</w:t>
            </w:r>
          </w:p>
        </w:tc>
        <w:tc>
          <w:tcPr>
            <w:tcW w:w="1276" w:type="dxa"/>
            <w:vMerge/>
            <w:vAlign w:val="center"/>
            <w:hideMark/>
          </w:tcPr>
          <w:p w14:paraId="404F89EE" w14:textId="6758E609" w:rsidR="002C69C0" w:rsidRPr="00F236AA" w:rsidRDefault="002C69C0" w:rsidP="00F236AA">
            <w:pPr>
              <w:pStyle w:val="NoSpacing"/>
              <w:jc w:val="center"/>
              <w:rPr>
                <w:rFonts w:ascii="Times New Roman" w:hAnsi="Times New Roman" w:cs="Times New Roman"/>
                <w:b/>
                <w:bCs/>
                <w:szCs w:val="24"/>
              </w:rPr>
            </w:pPr>
          </w:p>
        </w:tc>
      </w:tr>
      <w:tr w:rsidR="00A148E6" w:rsidRPr="00D43584" w14:paraId="524E44E7" w14:textId="77777777" w:rsidTr="00F236AA">
        <w:trPr>
          <w:trHeight w:val="20"/>
          <w:jc w:val="center"/>
        </w:trPr>
        <w:tc>
          <w:tcPr>
            <w:tcW w:w="763" w:type="dxa"/>
            <w:hideMark/>
          </w:tcPr>
          <w:p w14:paraId="1AA33AC5" w14:textId="77777777" w:rsidR="00A148E6" w:rsidRPr="00D43584" w:rsidRDefault="00A148E6" w:rsidP="00B77C0B">
            <w:pPr>
              <w:pStyle w:val="NoSpacing"/>
              <w:rPr>
                <w:rFonts w:ascii="Times New Roman" w:hAnsi="Times New Roman" w:cs="Times New Roman"/>
                <w:szCs w:val="24"/>
              </w:rPr>
            </w:pPr>
            <w:r w:rsidRPr="00D43584">
              <w:rPr>
                <w:rFonts w:ascii="Times New Roman" w:hAnsi="Times New Roman" w:cs="Times New Roman"/>
                <w:szCs w:val="24"/>
              </w:rPr>
              <w:t>1.</w:t>
            </w:r>
          </w:p>
        </w:tc>
        <w:tc>
          <w:tcPr>
            <w:tcW w:w="1642" w:type="dxa"/>
            <w:hideMark/>
          </w:tcPr>
          <w:p w14:paraId="0312656C" w14:textId="77777777" w:rsidR="00A148E6" w:rsidRPr="00D43584" w:rsidRDefault="00A148E6" w:rsidP="00B77C0B">
            <w:pPr>
              <w:pStyle w:val="NoSpacing"/>
              <w:rPr>
                <w:rFonts w:ascii="Times New Roman" w:hAnsi="Times New Roman" w:cs="Times New Roman"/>
                <w:szCs w:val="24"/>
              </w:rPr>
            </w:pPr>
            <w:r w:rsidRPr="00D43584">
              <w:rPr>
                <w:rFonts w:ascii="Times New Roman" w:hAnsi="Times New Roman" w:cs="Times New Roman"/>
                <w:szCs w:val="24"/>
              </w:rPr>
              <w:t>Andhra Pradesh</w:t>
            </w:r>
          </w:p>
        </w:tc>
        <w:tc>
          <w:tcPr>
            <w:tcW w:w="0" w:type="auto"/>
            <w:vAlign w:val="center"/>
            <w:hideMark/>
          </w:tcPr>
          <w:p w14:paraId="73C98924" w14:textId="77777777" w:rsidR="00A148E6" w:rsidRPr="00D43584" w:rsidRDefault="00A148E6" w:rsidP="00F236AA">
            <w:pPr>
              <w:pStyle w:val="NoSpacing"/>
              <w:jc w:val="center"/>
              <w:rPr>
                <w:rFonts w:ascii="Times New Roman" w:hAnsi="Times New Roman" w:cs="Times New Roman"/>
                <w:szCs w:val="24"/>
              </w:rPr>
            </w:pPr>
            <w:r w:rsidRPr="00D43584">
              <w:rPr>
                <w:rFonts w:ascii="Times New Roman" w:hAnsi="Times New Roman" w:cs="Times New Roman"/>
                <w:szCs w:val="24"/>
              </w:rPr>
              <w:t>5.50</w:t>
            </w:r>
          </w:p>
        </w:tc>
        <w:tc>
          <w:tcPr>
            <w:tcW w:w="0" w:type="auto"/>
            <w:vAlign w:val="center"/>
            <w:hideMark/>
          </w:tcPr>
          <w:p w14:paraId="159F3107" w14:textId="77777777" w:rsidR="00A148E6" w:rsidRPr="00D43584" w:rsidRDefault="00A148E6" w:rsidP="00F236AA">
            <w:pPr>
              <w:pStyle w:val="NoSpacing"/>
              <w:jc w:val="center"/>
              <w:rPr>
                <w:rFonts w:ascii="Times New Roman" w:hAnsi="Times New Roman" w:cs="Times New Roman"/>
                <w:szCs w:val="24"/>
              </w:rPr>
            </w:pPr>
            <w:r w:rsidRPr="00D43584">
              <w:rPr>
                <w:rFonts w:ascii="Times New Roman" w:hAnsi="Times New Roman" w:cs="Times New Roman"/>
                <w:szCs w:val="24"/>
              </w:rPr>
              <w:t>2.00</w:t>
            </w:r>
          </w:p>
        </w:tc>
        <w:tc>
          <w:tcPr>
            <w:tcW w:w="0" w:type="auto"/>
            <w:vAlign w:val="center"/>
            <w:hideMark/>
          </w:tcPr>
          <w:p w14:paraId="1728A932" w14:textId="77777777" w:rsidR="00A148E6" w:rsidRPr="00D43584" w:rsidRDefault="00A148E6" w:rsidP="00F236AA">
            <w:pPr>
              <w:pStyle w:val="NoSpacing"/>
              <w:jc w:val="center"/>
              <w:rPr>
                <w:rFonts w:ascii="Times New Roman" w:hAnsi="Times New Roman" w:cs="Times New Roman"/>
                <w:szCs w:val="24"/>
              </w:rPr>
            </w:pPr>
            <w:r w:rsidRPr="00D43584">
              <w:rPr>
                <w:rFonts w:ascii="Times New Roman" w:hAnsi="Times New Roman" w:cs="Times New Roman"/>
                <w:szCs w:val="24"/>
              </w:rPr>
              <w:t>10.88</w:t>
            </w:r>
          </w:p>
        </w:tc>
        <w:tc>
          <w:tcPr>
            <w:tcW w:w="0" w:type="auto"/>
            <w:vAlign w:val="center"/>
            <w:hideMark/>
          </w:tcPr>
          <w:p w14:paraId="0DEF99DD" w14:textId="77777777" w:rsidR="00A148E6" w:rsidRPr="00D43584" w:rsidRDefault="00A148E6" w:rsidP="00F236AA">
            <w:pPr>
              <w:pStyle w:val="NoSpacing"/>
              <w:jc w:val="center"/>
              <w:rPr>
                <w:rFonts w:ascii="Times New Roman" w:hAnsi="Times New Roman" w:cs="Times New Roman"/>
                <w:szCs w:val="24"/>
              </w:rPr>
            </w:pPr>
            <w:r w:rsidRPr="00D43584">
              <w:rPr>
                <w:rFonts w:ascii="Times New Roman" w:hAnsi="Times New Roman" w:cs="Times New Roman"/>
                <w:szCs w:val="24"/>
              </w:rPr>
              <w:t>4.66</w:t>
            </w:r>
          </w:p>
        </w:tc>
        <w:tc>
          <w:tcPr>
            <w:tcW w:w="0" w:type="auto"/>
            <w:vAlign w:val="center"/>
            <w:hideMark/>
          </w:tcPr>
          <w:p w14:paraId="3BEE7DB1" w14:textId="77777777" w:rsidR="00A148E6" w:rsidRPr="00D43584" w:rsidRDefault="00A148E6" w:rsidP="00F236AA">
            <w:pPr>
              <w:pStyle w:val="NoSpacing"/>
              <w:jc w:val="center"/>
              <w:rPr>
                <w:rFonts w:ascii="Times New Roman" w:hAnsi="Times New Roman" w:cs="Times New Roman"/>
                <w:szCs w:val="24"/>
              </w:rPr>
            </w:pPr>
            <w:r w:rsidRPr="00D43584">
              <w:rPr>
                <w:rFonts w:ascii="Times New Roman" w:hAnsi="Times New Roman" w:cs="Times New Roman"/>
                <w:szCs w:val="24"/>
              </w:rPr>
              <w:t>23.04</w:t>
            </w:r>
          </w:p>
        </w:tc>
        <w:tc>
          <w:tcPr>
            <w:tcW w:w="1737" w:type="dxa"/>
            <w:vAlign w:val="center"/>
            <w:hideMark/>
          </w:tcPr>
          <w:p w14:paraId="4758B0F0" w14:textId="77777777" w:rsidR="00A148E6" w:rsidRPr="00D43584" w:rsidRDefault="00A148E6" w:rsidP="00F236AA">
            <w:pPr>
              <w:pStyle w:val="NoSpacing"/>
              <w:jc w:val="center"/>
              <w:rPr>
                <w:rFonts w:ascii="Times New Roman" w:hAnsi="Times New Roman" w:cs="Times New Roman"/>
                <w:szCs w:val="24"/>
              </w:rPr>
            </w:pPr>
            <w:r w:rsidRPr="00D43584">
              <w:rPr>
                <w:rFonts w:ascii="Times New Roman" w:hAnsi="Times New Roman" w:cs="Times New Roman"/>
                <w:szCs w:val="24"/>
              </w:rPr>
              <w:t>39.33</w:t>
            </w:r>
          </w:p>
        </w:tc>
        <w:tc>
          <w:tcPr>
            <w:tcW w:w="1776" w:type="dxa"/>
            <w:vAlign w:val="center"/>
            <w:hideMark/>
          </w:tcPr>
          <w:p w14:paraId="3088C586" w14:textId="77777777" w:rsidR="00A148E6" w:rsidRPr="00D43584" w:rsidRDefault="00A148E6" w:rsidP="00F236AA">
            <w:pPr>
              <w:pStyle w:val="NoSpacing"/>
              <w:jc w:val="center"/>
              <w:rPr>
                <w:rFonts w:ascii="Times New Roman" w:hAnsi="Times New Roman" w:cs="Times New Roman"/>
                <w:szCs w:val="24"/>
              </w:rPr>
            </w:pPr>
            <w:r w:rsidRPr="00D43584">
              <w:rPr>
                <w:rFonts w:ascii="Times New Roman" w:hAnsi="Times New Roman" w:cs="Times New Roman"/>
                <w:szCs w:val="24"/>
              </w:rPr>
              <w:t>9.34</w:t>
            </w:r>
          </w:p>
        </w:tc>
        <w:tc>
          <w:tcPr>
            <w:tcW w:w="1737" w:type="dxa"/>
            <w:vAlign w:val="center"/>
            <w:hideMark/>
          </w:tcPr>
          <w:p w14:paraId="0A0E7375" w14:textId="77777777" w:rsidR="00A148E6" w:rsidRPr="00D43584" w:rsidRDefault="00A148E6" w:rsidP="00F236AA">
            <w:pPr>
              <w:pStyle w:val="NoSpacing"/>
              <w:jc w:val="center"/>
              <w:rPr>
                <w:rFonts w:ascii="Times New Roman" w:hAnsi="Times New Roman" w:cs="Times New Roman"/>
                <w:szCs w:val="24"/>
              </w:rPr>
            </w:pPr>
            <w:r w:rsidRPr="00D43584">
              <w:rPr>
                <w:rFonts w:ascii="Times New Roman" w:hAnsi="Times New Roman" w:cs="Times New Roman"/>
                <w:szCs w:val="24"/>
              </w:rPr>
              <w:t>48.67</w:t>
            </w:r>
          </w:p>
        </w:tc>
        <w:tc>
          <w:tcPr>
            <w:tcW w:w="1276" w:type="dxa"/>
            <w:vAlign w:val="center"/>
            <w:hideMark/>
          </w:tcPr>
          <w:p w14:paraId="677017CF" w14:textId="77777777" w:rsidR="00A148E6" w:rsidRPr="00D43584" w:rsidRDefault="00A148E6" w:rsidP="00F236AA">
            <w:pPr>
              <w:pStyle w:val="NoSpacing"/>
              <w:jc w:val="center"/>
              <w:rPr>
                <w:rFonts w:ascii="Times New Roman" w:hAnsi="Times New Roman" w:cs="Times New Roman"/>
                <w:szCs w:val="24"/>
              </w:rPr>
            </w:pPr>
            <w:r w:rsidRPr="00D43584">
              <w:rPr>
                <w:rFonts w:ascii="Times New Roman" w:hAnsi="Times New Roman" w:cs="Times New Roman"/>
                <w:szCs w:val="24"/>
              </w:rPr>
              <w:t>-25.63</w:t>
            </w:r>
          </w:p>
        </w:tc>
      </w:tr>
      <w:tr w:rsidR="00A148E6" w:rsidRPr="00D43584" w14:paraId="5F65BBBC" w14:textId="77777777" w:rsidTr="00F236AA">
        <w:trPr>
          <w:trHeight w:val="20"/>
          <w:jc w:val="center"/>
        </w:trPr>
        <w:tc>
          <w:tcPr>
            <w:tcW w:w="763" w:type="dxa"/>
            <w:hideMark/>
          </w:tcPr>
          <w:p w14:paraId="1FB6308E" w14:textId="77777777" w:rsidR="00A148E6" w:rsidRPr="00D43584" w:rsidRDefault="00A148E6" w:rsidP="00B77C0B">
            <w:pPr>
              <w:pStyle w:val="NoSpacing"/>
              <w:rPr>
                <w:rFonts w:ascii="Times New Roman" w:hAnsi="Times New Roman" w:cs="Times New Roman"/>
                <w:szCs w:val="24"/>
              </w:rPr>
            </w:pPr>
            <w:r w:rsidRPr="00D43584">
              <w:rPr>
                <w:rFonts w:ascii="Times New Roman" w:hAnsi="Times New Roman" w:cs="Times New Roman"/>
                <w:szCs w:val="24"/>
              </w:rPr>
              <w:t>2.</w:t>
            </w:r>
          </w:p>
        </w:tc>
        <w:tc>
          <w:tcPr>
            <w:tcW w:w="1642" w:type="dxa"/>
            <w:hideMark/>
          </w:tcPr>
          <w:p w14:paraId="2B717AE0" w14:textId="77777777" w:rsidR="00A148E6" w:rsidRPr="00D43584" w:rsidRDefault="00A148E6" w:rsidP="00B77C0B">
            <w:pPr>
              <w:pStyle w:val="NoSpacing"/>
              <w:rPr>
                <w:rFonts w:ascii="Times New Roman" w:hAnsi="Times New Roman" w:cs="Times New Roman"/>
                <w:szCs w:val="24"/>
              </w:rPr>
            </w:pPr>
            <w:r w:rsidRPr="00D43584">
              <w:rPr>
                <w:rFonts w:ascii="Times New Roman" w:hAnsi="Times New Roman" w:cs="Times New Roman"/>
                <w:szCs w:val="24"/>
              </w:rPr>
              <w:t>Assam</w:t>
            </w:r>
          </w:p>
        </w:tc>
        <w:tc>
          <w:tcPr>
            <w:tcW w:w="0" w:type="auto"/>
            <w:vAlign w:val="center"/>
            <w:hideMark/>
          </w:tcPr>
          <w:p w14:paraId="3B839B32" w14:textId="77777777" w:rsidR="00A148E6" w:rsidRPr="00D43584" w:rsidRDefault="00A148E6" w:rsidP="00F236AA">
            <w:pPr>
              <w:pStyle w:val="NoSpacing"/>
              <w:jc w:val="center"/>
              <w:rPr>
                <w:rFonts w:ascii="Times New Roman" w:hAnsi="Times New Roman" w:cs="Times New Roman"/>
                <w:szCs w:val="24"/>
              </w:rPr>
            </w:pPr>
            <w:r w:rsidRPr="00D43584">
              <w:rPr>
                <w:rFonts w:ascii="Times New Roman" w:hAnsi="Times New Roman" w:cs="Times New Roman"/>
                <w:szCs w:val="24"/>
              </w:rPr>
              <w:t>2.57</w:t>
            </w:r>
          </w:p>
        </w:tc>
        <w:tc>
          <w:tcPr>
            <w:tcW w:w="0" w:type="auto"/>
            <w:vAlign w:val="center"/>
            <w:hideMark/>
          </w:tcPr>
          <w:p w14:paraId="42E5B35E" w14:textId="77777777" w:rsidR="00A148E6" w:rsidRPr="00D43584" w:rsidRDefault="00A148E6" w:rsidP="00F236AA">
            <w:pPr>
              <w:pStyle w:val="NoSpacing"/>
              <w:jc w:val="center"/>
              <w:rPr>
                <w:rFonts w:ascii="Times New Roman" w:hAnsi="Times New Roman" w:cs="Times New Roman"/>
                <w:szCs w:val="24"/>
              </w:rPr>
            </w:pPr>
            <w:r w:rsidRPr="00D43584">
              <w:rPr>
                <w:rFonts w:ascii="Times New Roman" w:hAnsi="Times New Roman" w:cs="Times New Roman"/>
                <w:szCs w:val="24"/>
              </w:rPr>
              <w:t>3.50</w:t>
            </w:r>
          </w:p>
        </w:tc>
        <w:tc>
          <w:tcPr>
            <w:tcW w:w="0" w:type="auto"/>
            <w:vAlign w:val="center"/>
            <w:hideMark/>
          </w:tcPr>
          <w:p w14:paraId="011EEDB3" w14:textId="77777777" w:rsidR="00A148E6" w:rsidRPr="00D43584" w:rsidRDefault="00A148E6" w:rsidP="00F236AA">
            <w:pPr>
              <w:pStyle w:val="NoSpacing"/>
              <w:jc w:val="center"/>
              <w:rPr>
                <w:rFonts w:ascii="Times New Roman" w:hAnsi="Times New Roman" w:cs="Times New Roman"/>
                <w:szCs w:val="24"/>
              </w:rPr>
            </w:pPr>
            <w:r w:rsidRPr="00D43584">
              <w:rPr>
                <w:rFonts w:ascii="Times New Roman" w:hAnsi="Times New Roman" w:cs="Times New Roman"/>
                <w:szCs w:val="24"/>
              </w:rPr>
              <w:t>1.02</w:t>
            </w:r>
          </w:p>
        </w:tc>
        <w:tc>
          <w:tcPr>
            <w:tcW w:w="0" w:type="auto"/>
            <w:vAlign w:val="center"/>
            <w:hideMark/>
          </w:tcPr>
          <w:p w14:paraId="1A91A99F" w14:textId="77777777" w:rsidR="00A148E6" w:rsidRPr="00D43584" w:rsidRDefault="00A148E6" w:rsidP="00F236AA">
            <w:pPr>
              <w:pStyle w:val="NoSpacing"/>
              <w:jc w:val="center"/>
              <w:rPr>
                <w:rFonts w:ascii="Times New Roman" w:hAnsi="Times New Roman" w:cs="Times New Roman"/>
                <w:szCs w:val="24"/>
              </w:rPr>
            </w:pPr>
            <w:r w:rsidRPr="00D43584">
              <w:rPr>
                <w:rFonts w:ascii="Times New Roman" w:hAnsi="Times New Roman" w:cs="Times New Roman"/>
                <w:szCs w:val="24"/>
              </w:rPr>
              <w:t>0.45</w:t>
            </w:r>
          </w:p>
        </w:tc>
        <w:tc>
          <w:tcPr>
            <w:tcW w:w="0" w:type="auto"/>
            <w:vAlign w:val="center"/>
            <w:hideMark/>
          </w:tcPr>
          <w:p w14:paraId="6124F813" w14:textId="77777777" w:rsidR="00A148E6" w:rsidRPr="00D43584" w:rsidRDefault="00A148E6" w:rsidP="00F236AA">
            <w:pPr>
              <w:pStyle w:val="NoSpacing"/>
              <w:jc w:val="center"/>
              <w:rPr>
                <w:rFonts w:ascii="Times New Roman" w:hAnsi="Times New Roman" w:cs="Times New Roman"/>
                <w:szCs w:val="24"/>
              </w:rPr>
            </w:pPr>
            <w:r w:rsidRPr="00D43584">
              <w:rPr>
                <w:rFonts w:ascii="Times New Roman" w:hAnsi="Times New Roman" w:cs="Times New Roman"/>
                <w:szCs w:val="24"/>
              </w:rPr>
              <w:t>7.54</w:t>
            </w:r>
          </w:p>
        </w:tc>
        <w:tc>
          <w:tcPr>
            <w:tcW w:w="1737" w:type="dxa"/>
            <w:vAlign w:val="center"/>
            <w:hideMark/>
          </w:tcPr>
          <w:p w14:paraId="624DE8E6" w14:textId="77777777" w:rsidR="00A148E6" w:rsidRPr="00D43584" w:rsidRDefault="00A148E6" w:rsidP="00F236AA">
            <w:pPr>
              <w:pStyle w:val="NoSpacing"/>
              <w:jc w:val="center"/>
              <w:rPr>
                <w:rFonts w:ascii="Times New Roman" w:hAnsi="Times New Roman" w:cs="Times New Roman"/>
                <w:szCs w:val="24"/>
              </w:rPr>
            </w:pPr>
            <w:r w:rsidRPr="00D43584">
              <w:rPr>
                <w:rFonts w:ascii="Times New Roman" w:hAnsi="Times New Roman" w:cs="Times New Roman"/>
                <w:szCs w:val="24"/>
              </w:rPr>
              <w:t>41.54</w:t>
            </w:r>
          </w:p>
        </w:tc>
        <w:tc>
          <w:tcPr>
            <w:tcW w:w="1776" w:type="dxa"/>
            <w:vAlign w:val="center"/>
            <w:hideMark/>
          </w:tcPr>
          <w:p w14:paraId="61ECA89A" w14:textId="77777777" w:rsidR="00A148E6" w:rsidRPr="00D43584" w:rsidRDefault="00A148E6" w:rsidP="00F236AA">
            <w:pPr>
              <w:pStyle w:val="NoSpacing"/>
              <w:jc w:val="center"/>
              <w:rPr>
                <w:rFonts w:ascii="Times New Roman" w:hAnsi="Times New Roman" w:cs="Times New Roman"/>
                <w:szCs w:val="24"/>
              </w:rPr>
            </w:pPr>
            <w:r w:rsidRPr="00D43584">
              <w:rPr>
                <w:rFonts w:ascii="Times New Roman" w:hAnsi="Times New Roman" w:cs="Times New Roman"/>
                <w:szCs w:val="24"/>
              </w:rPr>
              <w:t>4.90</w:t>
            </w:r>
          </w:p>
        </w:tc>
        <w:tc>
          <w:tcPr>
            <w:tcW w:w="1737" w:type="dxa"/>
            <w:vAlign w:val="center"/>
            <w:hideMark/>
          </w:tcPr>
          <w:p w14:paraId="4F0D0F1C" w14:textId="77777777" w:rsidR="00A148E6" w:rsidRPr="00D43584" w:rsidRDefault="00A148E6" w:rsidP="00F236AA">
            <w:pPr>
              <w:pStyle w:val="NoSpacing"/>
              <w:jc w:val="center"/>
              <w:rPr>
                <w:rFonts w:ascii="Times New Roman" w:hAnsi="Times New Roman" w:cs="Times New Roman"/>
                <w:szCs w:val="24"/>
              </w:rPr>
            </w:pPr>
            <w:r w:rsidRPr="00D43584">
              <w:rPr>
                <w:rFonts w:ascii="Times New Roman" w:hAnsi="Times New Roman" w:cs="Times New Roman"/>
                <w:szCs w:val="24"/>
              </w:rPr>
              <w:t>46.44</w:t>
            </w:r>
          </w:p>
        </w:tc>
        <w:tc>
          <w:tcPr>
            <w:tcW w:w="1276" w:type="dxa"/>
            <w:vAlign w:val="center"/>
            <w:hideMark/>
          </w:tcPr>
          <w:p w14:paraId="430985FB" w14:textId="77777777" w:rsidR="00A148E6" w:rsidRPr="00D43584" w:rsidRDefault="00A148E6" w:rsidP="00F236AA">
            <w:pPr>
              <w:pStyle w:val="NoSpacing"/>
              <w:jc w:val="center"/>
              <w:rPr>
                <w:rFonts w:ascii="Times New Roman" w:hAnsi="Times New Roman" w:cs="Times New Roman"/>
                <w:szCs w:val="24"/>
              </w:rPr>
            </w:pPr>
            <w:r w:rsidRPr="00D43584">
              <w:rPr>
                <w:rFonts w:ascii="Times New Roman" w:hAnsi="Times New Roman" w:cs="Times New Roman"/>
                <w:szCs w:val="24"/>
              </w:rPr>
              <w:t>-38.90</w:t>
            </w:r>
          </w:p>
        </w:tc>
      </w:tr>
      <w:tr w:rsidR="00A148E6" w:rsidRPr="00D43584" w14:paraId="04C3D330" w14:textId="77777777" w:rsidTr="00F236AA">
        <w:trPr>
          <w:trHeight w:val="20"/>
          <w:jc w:val="center"/>
        </w:trPr>
        <w:tc>
          <w:tcPr>
            <w:tcW w:w="763" w:type="dxa"/>
            <w:hideMark/>
          </w:tcPr>
          <w:p w14:paraId="5CDFF50F" w14:textId="77777777" w:rsidR="00A148E6" w:rsidRPr="00D43584" w:rsidRDefault="00A148E6" w:rsidP="00B77C0B">
            <w:pPr>
              <w:pStyle w:val="NoSpacing"/>
              <w:rPr>
                <w:rFonts w:ascii="Times New Roman" w:hAnsi="Times New Roman" w:cs="Times New Roman"/>
                <w:szCs w:val="24"/>
              </w:rPr>
            </w:pPr>
            <w:r w:rsidRPr="00D43584">
              <w:rPr>
                <w:rFonts w:ascii="Times New Roman" w:hAnsi="Times New Roman" w:cs="Times New Roman"/>
                <w:szCs w:val="24"/>
              </w:rPr>
              <w:t>3.</w:t>
            </w:r>
          </w:p>
        </w:tc>
        <w:tc>
          <w:tcPr>
            <w:tcW w:w="1642" w:type="dxa"/>
            <w:hideMark/>
          </w:tcPr>
          <w:p w14:paraId="16C93185" w14:textId="77777777" w:rsidR="00A148E6" w:rsidRPr="00D43584" w:rsidRDefault="00A148E6" w:rsidP="00B77C0B">
            <w:pPr>
              <w:pStyle w:val="NoSpacing"/>
              <w:rPr>
                <w:rFonts w:ascii="Times New Roman" w:hAnsi="Times New Roman" w:cs="Times New Roman"/>
                <w:szCs w:val="24"/>
              </w:rPr>
            </w:pPr>
            <w:r w:rsidRPr="00D43584">
              <w:rPr>
                <w:rFonts w:ascii="Times New Roman" w:hAnsi="Times New Roman" w:cs="Times New Roman"/>
                <w:szCs w:val="24"/>
              </w:rPr>
              <w:t>Bihar</w:t>
            </w:r>
          </w:p>
        </w:tc>
        <w:tc>
          <w:tcPr>
            <w:tcW w:w="0" w:type="auto"/>
            <w:vAlign w:val="center"/>
            <w:hideMark/>
          </w:tcPr>
          <w:p w14:paraId="3F7D7277" w14:textId="77777777" w:rsidR="00A148E6" w:rsidRPr="00D43584" w:rsidRDefault="00A148E6" w:rsidP="00F236AA">
            <w:pPr>
              <w:pStyle w:val="NoSpacing"/>
              <w:jc w:val="center"/>
              <w:rPr>
                <w:rFonts w:ascii="Times New Roman" w:hAnsi="Times New Roman" w:cs="Times New Roman"/>
                <w:szCs w:val="24"/>
              </w:rPr>
            </w:pPr>
            <w:r w:rsidRPr="00D43584">
              <w:rPr>
                <w:rFonts w:ascii="Times New Roman" w:hAnsi="Times New Roman" w:cs="Times New Roman"/>
                <w:szCs w:val="24"/>
              </w:rPr>
              <w:t>1.91</w:t>
            </w:r>
          </w:p>
        </w:tc>
        <w:tc>
          <w:tcPr>
            <w:tcW w:w="0" w:type="auto"/>
            <w:vAlign w:val="center"/>
            <w:hideMark/>
          </w:tcPr>
          <w:p w14:paraId="4A9D0D15" w14:textId="77777777" w:rsidR="00A148E6" w:rsidRPr="00D43584" w:rsidRDefault="00A148E6" w:rsidP="00F236AA">
            <w:pPr>
              <w:pStyle w:val="NoSpacing"/>
              <w:jc w:val="center"/>
              <w:rPr>
                <w:rFonts w:ascii="Times New Roman" w:hAnsi="Times New Roman" w:cs="Times New Roman"/>
                <w:szCs w:val="24"/>
              </w:rPr>
            </w:pPr>
            <w:r w:rsidRPr="00D43584">
              <w:rPr>
                <w:rFonts w:ascii="Times New Roman" w:hAnsi="Times New Roman" w:cs="Times New Roman"/>
                <w:szCs w:val="24"/>
              </w:rPr>
              <w:t>9.00</w:t>
            </w:r>
          </w:p>
        </w:tc>
        <w:tc>
          <w:tcPr>
            <w:tcW w:w="0" w:type="auto"/>
            <w:vAlign w:val="center"/>
            <w:hideMark/>
          </w:tcPr>
          <w:p w14:paraId="060BADE8" w14:textId="77777777" w:rsidR="00A148E6" w:rsidRPr="00D43584" w:rsidRDefault="00A148E6" w:rsidP="00F236AA">
            <w:pPr>
              <w:pStyle w:val="NoSpacing"/>
              <w:jc w:val="center"/>
              <w:rPr>
                <w:rFonts w:ascii="Times New Roman" w:hAnsi="Times New Roman" w:cs="Times New Roman"/>
                <w:szCs w:val="24"/>
              </w:rPr>
            </w:pPr>
            <w:r w:rsidRPr="00D43584">
              <w:rPr>
                <w:rFonts w:ascii="Times New Roman" w:hAnsi="Times New Roman" w:cs="Times New Roman"/>
                <w:szCs w:val="24"/>
              </w:rPr>
              <w:t>20.41</w:t>
            </w:r>
          </w:p>
        </w:tc>
        <w:tc>
          <w:tcPr>
            <w:tcW w:w="0" w:type="auto"/>
            <w:vAlign w:val="center"/>
            <w:hideMark/>
          </w:tcPr>
          <w:p w14:paraId="091B5781" w14:textId="77777777" w:rsidR="00A148E6" w:rsidRPr="00D43584" w:rsidRDefault="00A148E6" w:rsidP="00F236AA">
            <w:pPr>
              <w:pStyle w:val="NoSpacing"/>
              <w:jc w:val="center"/>
              <w:rPr>
                <w:rFonts w:ascii="Times New Roman" w:hAnsi="Times New Roman" w:cs="Times New Roman"/>
                <w:szCs w:val="24"/>
              </w:rPr>
            </w:pPr>
            <w:r w:rsidRPr="00D43584">
              <w:rPr>
                <w:rFonts w:ascii="Times New Roman" w:hAnsi="Times New Roman" w:cs="Times New Roman"/>
                <w:szCs w:val="24"/>
              </w:rPr>
              <w:t>10.32</w:t>
            </w:r>
          </w:p>
        </w:tc>
        <w:tc>
          <w:tcPr>
            <w:tcW w:w="0" w:type="auto"/>
            <w:vAlign w:val="center"/>
            <w:hideMark/>
          </w:tcPr>
          <w:p w14:paraId="78F8A882" w14:textId="77777777" w:rsidR="00A148E6" w:rsidRPr="00D43584" w:rsidRDefault="00A148E6" w:rsidP="00F236AA">
            <w:pPr>
              <w:pStyle w:val="NoSpacing"/>
              <w:jc w:val="center"/>
              <w:rPr>
                <w:rFonts w:ascii="Times New Roman" w:hAnsi="Times New Roman" w:cs="Times New Roman"/>
                <w:szCs w:val="24"/>
              </w:rPr>
            </w:pPr>
            <w:r w:rsidRPr="00D43584">
              <w:rPr>
                <w:rFonts w:ascii="Times New Roman" w:hAnsi="Times New Roman" w:cs="Times New Roman"/>
                <w:szCs w:val="24"/>
              </w:rPr>
              <w:t>41.64</w:t>
            </w:r>
          </w:p>
        </w:tc>
        <w:tc>
          <w:tcPr>
            <w:tcW w:w="1737" w:type="dxa"/>
            <w:vAlign w:val="center"/>
            <w:hideMark/>
          </w:tcPr>
          <w:p w14:paraId="7665695A" w14:textId="77777777" w:rsidR="00A148E6" w:rsidRPr="00D43584" w:rsidRDefault="00A148E6" w:rsidP="00F236AA">
            <w:pPr>
              <w:pStyle w:val="NoSpacing"/>
              <w:jc w:val="center"/>
              <w:rPr>
                <w:rFonts w:ascii="Times New Roman" w:hAnsi="Times New Roman" w:cs="Times New Roman"/>
                <w:szCs w:val="24"/>
              </w:rPr>
            </w:pPr>
            <w:r w:rsidRPr="00D43584">
              <w:rPr>
                <w:rFonts w:ascii="Times New Roman" w:hAnsi="Times New Roman" w:cs="Times New Roman"/>
                <w:szCs w:val="24"/>
              </w:rPr>
              <w:t>49.24</w:t>
            </w:r>
          </w:p>
        </w:tc>
        <w:tc>
          <w:tcPr>
            <w:tcW w:w="1776" w:type="dxa"/>
            <w:vAlign w:val="center"/>
            <w:hideMark/>
          </w:tcPr>
          <w:p w14:paraId="2B8791B7" w14:textId="77777777" w:rsidR="00A148E6" w:rsidRPr="00D43584" w:rsidRDefault="00A148E6" w:rsidP="00F236AA">
            <w:pPr>
              <w:pStyle w:val="NoSpacing"/>
              <w:jc w:val="center"/>
              <w:rPr>
                <w:rFonts w:ascii="Times New Roman" w:hAnsi="Times New Roman" w:cs="Times New Roman"/>
                <w:szCs w:val="24"/>
              </w:rPr>
            </w:pPr>
            <w:r w:rsidRPr="00D43584">
              <w:rPr>
                <w:rFonts w:ascii="Times New Roman" w:hAnsi="Times New Roman" w:cs="Times New Roman"/>
                <w:szCs w:val="24"/>
              </w:rPr>
              <w:t>-0.43</w:t>
            </w:r>
          </w:p>
        </w:tc>
        <w:tc>
          <w:tcPr>
            <w:tcW w:w="1737" w:type="dxa"/>
            <w:vAlign w:val="center"/>
            <w:hideMark/>
          </w:tcPr>
          <w:p w14:paraId="0AEDE23D" w14:textId="77777777" w:rsidR="00A148E6" w:rsidRPr="00D43584" w:rsidRDefault="00A148E6" w:rsidP="00F236AA">
            <w:pPr>
              <w:pStyle w:val="NoSpacing"/>
              <w:jc w:val="center"/>
              <w:rPr>
                <w:rFonts w:ascii="Times New Roman" w:hAnsi="Times New Roman" w:cs="Times New Roman"/>
                <w:szCs w:val="24"/>
              </w:rPr>
            </w:pPr>
            <w:r w:rsidRPr="00D43584">
              <w:rPr>
                <w:rFonts w:ascii="Times New Roman" w:hAnsi="Times New Roman" w:cs="Times New Roman"/>
                <w:szCs w:val="24"/>
              </w:rPr>
              <w:t>48.81</w:t>
            </w:r>
          </w:p>
        </w:tc>
        <w:tc>
          <w:tcPr>
            <w:tcW w:w="1276" w:type="dxa"/>
            <w:vAlign w:val="center"/>
            <w:hideMark/>
          </w:tcPr>
          <w:p w14:paraId="630CFFF2" w14:textId="77777777" w:rsidR="00A148E6" w:rsidRPr="00D43584" w:rsidRDefault="00A148E6" w:rsidP="00F236AA">
            <w:pPr>
              <w:pStyle w:val="NoSpacing"/>
              <w:jc w:val="center"/>
              <w:rPr>
                <w:rFonts w:ascii="Times New Roman" w:hAnsi="Times New Roman" w:cs="Times New Roman"/>
                <w:szCs w:val="24"/>
              </w:rPr>
            </w:pPr>
            <w:r w:rsidRPr="00D43584">
              <w:rPr>
                <w:rFonts w:ascii="Times New Roman" w:hAnsi="Times New Roman" w:cs="Times New Roman"/>
                <w:szCs w:val="24"/>
              </w:rPr>
              <w:t>-7.17</w:t>
            </w:r>
          </w:p>
        </w:tc>
      </w:tr>
      <w:tr w:rsidR="00A148E6" w:rsidRPr="00D43584" w14:paraId="55F1E509" w14:textId="77777777" w:rsidTr="00F236AA">
        <w:trPr>
          <w:trHeight w:val="20"/>
          <w:jc w:val="center"/>
        </w:trPr>
        <w:tc>
          <w:tcPr>
            <w:tcW w:w="763" w:type="dxa"/>
            <w:hideMark/>
          </w:tcPr>
          <w:p w14:paraId="67899DF8" w14:textId="77777777" w:rsidR="00A148E6" w:rsidRPr="00D43584" w:rsidRDefault="00A148E6" w:rsidP="00B77C0B">
            <w:pPr>
              <w:pStyle w:val="NoSpacing"/>
              <w:rPr>
                <w:rFonts w:ascii="Times New Roman" w:hAnsi="Times New Roman" w:cs="Times New Roman"/>
                <w:szCs w:val="24"/>
              </w:rPr>
            </w:pPr>
            <w:r w:rsidRPr="00D43584">
              <w:rPr>
                <w:rFonts w:ascii="Times New Roman" w:hAnsi="Times New Roman" w:cs="Times New Roman"/>
                <w:szCs w:val="24"/>
              </w:rPr>
              <w:t>4.</w:t>
            </w:r>
          </w:p>
        </w:tc>
        <w:tc>
          <w:tcPr>
            <w:tcW w:w="1642" w:type="dxa"/>
            <w:hideMark/>
          </w:tcPr>
          <w:p w14:paraId="257E2284" w14:textId="77777777" w:rsidR="00A148E6" w:rsidRPr="00D43584" w:rsidRDefault="00A148E6" w:rsidP="00B77C0B">
            <w:pPr>
              <w:pStyle w:val="NoSpacing"/>
              <w:rPr>
                <w:rFonts w:ascii="Times New Roman" w:hAnsi="Times New Roman" w:cs="Times New Roman"/>
                <w:szCs w:val="24"/>
              </w:rPr>
            </w:pPr>
            <w:r w:rsidRPr="00D43584">
              <w:rPr>
                <w:rFonts w:ascii="Times New Roman" w:hAnsi="Times New Roman" w:cs="Times New Roman"/>
                <w:szCs w:val="24"/>
              </w:rPr>
              <w:t>Gujarat</w:t>
            </w:r>
          </w:p>
        </w:tc>
        <w:tc>
          <w:tcPr>
            <w:tcW w:w="0" w:type="auto"/>
            <w:vAlign w:val="center"/>
            <w:hideMark/>
          </w:tcPr>
          <w:p w14:paraId="72FED93F" w14:textId="77777777" w:rsidR="00A148E6" w:rsidRPr="00D43584" w:rsidRDefault="00A148E6" w:rsidP="00F236AA">
            <w:pPr>
              <w:pStyle w:val="NoSpacing"/>
              <w:jc w:val="center"/>
              <w:rPr>
                <w:rFonts w:ascii="Times New Roman" w:hAnsi="Times New Roman" w:cs="Times New Roman"/>
                <w:szCs w:val="24"/>
              </w:rPr>
            </w:pPr>
            <w:r w:rsidRPr="00D43584">
              <w:rPr>
                <w:rFonts w:ascii="Times New Roman" w:hAnsi="Times New Roman" w:cs="Times New Roman"/>
                <w:szCs w:val="24"/>
              </w:rPr>
              <w:t>6.30</w:t>
            </w:r>
          </w:p>
        </w:tc>
        <w:tc>
          <w:tcPr>
            <w:tcW w:w="0" w:type="auto"/>
            <w:vAlign w:val="center"/>
            <w:hideMark/>
          </w:tcPr>
          <w:p w14:paraId="35E1480A" w14:textId="77777777" w:rsidR="00A148E6" w:rsidRPr="00D43584" w:rsidRDefault="00A148E6" w:rsidP="00F236AA">
            <w:pPr>
              <w:pStyle w:val="NoSpacing"/>
              <w:jc w:val="center"/>
              <w:rPr>
                <w:rFonts w:ascii="Times New Roman" w:hAnsi="Times New Roman" w:cs="Times New Roman"/>
                <w:szCs w:val="24"/>
              </w:rPr>
            </w:pPr>
            <w:r w:rsidRPr="00D43584">
              <w:rPr>
                <w:rFonts w:ascii="Times New Roman" w:hAnsi="Times New Roman" w:cs="Times New Roman"/>
                <w:szCs w:val="24"/>
              </w:rPr>
              <w:t>7.00</w:t>
            </w:r>
          </w:p>
        </w:tc>
        <w:tc>
          <w:tcPr>
            <w:tcW w:w="0" w:type="auto"/>
            <w:vAlign w:val="center"/>
            <w:hideMark/>
          </w:tcPr>
          <w:p w14:paraId="1E956EBE" w14:textId="77777777" w:rsidR="00A148E6" w:rsidRPr="00D43584" w:rsidRDefault="00A148E6" w:rsidP="00F236AA">
            <w:pPr>
              <w:pStyle w:val="NoSpacing"/>
              <w:jc w:val="center"/>
              <w:rPr>
                <w:rFonts w:ascii="Times New Roman" w:hAnsi="Times New Roman" w:cs="Times New Roman"/>
                <w:szCs w:val="24"/>
              </w:rPr>
            </w:pPr>
            <w:r w:rsidRPr="00D43584">
              <w:rPr>
                <w:rFonts w:ascii="Times New Roman" w:hAnsi="Times New Roman" w:cs="Times New Roman"/>
                <w:szCs w:val="24"/>
              </w:rPr>
              <w:t>5.27</w:t>
            </w:r>
          </w:p>
        </w:tc>
        <w:tc>
          <w:tcPr>
            <w:tcW w:w="0" w:type="auto"/>
            <w:vAlign w:val="center"/>
            <w:hideMark/>
          </w:tcPr>
          <w:p w14:paraId="65C630F5" w14:textId="77777777" w:rsidR="00A148E6" w:rsidRPr="00D43584" w:rsidRDefault="00A148E6" w:rsidP="00F236AA">
            <w:pPr>
              <w:pStyle w:val="NoSpacing"/>
              <w:jc w:val="center"/>
              <w:rPr>
                <w:rFonts w:ascii="Times New Roman" w:hAnsi="Times New Roman" w:cs="Times New Roman"/>
                <w:szCs w:val="24"/>
              </w:rPr>
            </w:pPr>
            <w:r w:rsidRPr="00D43584">
              <w:rPr>
                <w:rFonts w:ascii="Times New Roman" w:hAnsi="Times New Roman" w:cs="Times New Roman"/>
                <w:szCs w:val="24"/>
              </w:rPr>
              <w:t>28.73</w:t>
            </w:r>
          </w:p>
        </w:tc>
        <w:tc>
          <w:tcPr>
            <w:tcW w:w="0" w:type="auto"/>
            <w:vAlign w:val="center"/>
            <w:hideMark/>
          </w:tcPr>
          <w:p w14:paraId="7F512135" w14:textId="77777777" w:rsidR="00A148E6" w:rsidRPr="00D43584" w:rsidRDefault="00A148E6" w:rsidP="00F236AA">
            <w:pPr>
              <w:pStyle w:val="NoSpacing"/>
              <w:jc w:val="center"/>
              <w:rPr>
                <w:rFonts w:ascii="Times New Roman" w:hAnsi="Times New Roman" w:cs="Times New Roman"/>
                <w:szCs w:val="24"/>
              </w:rPr>
            </w:pPr>
            <w:r w:rsidRPr="00D43584">
              <w:rPr>
                <w:rFonts w:ascii="Times New Roman" w:hAnsi="Times New Roman" w:cs="Times New Roman"/>
                <w:szCs w:val="24"/>
              </w:rPr>
              <w:t>47.30</w:t>
            </w:r>
          </w:p>
        </w:tc>
        <w:tc>
          <w:tcPr>
            <w:tcW w:w="1737" w:type="dxa"/>
            <w:vAlign w:val="center"/>
            <w:hideMark/>
          </w:tcPr>
          <w:p w14:paraId="6673F845" w14:textId="77777777" w:rsidR="00A148E6" w:rsidRPr="00D43584" w:rsidRDefault="00A148E6" w:rsidP="00F236AA">
            <w:pPr>
              <w:pStyle w:val="NoSpacing"/>
              <w:jc w:val="center"/>
              <w:rPr>
                <w:rFonts w:ascii="Times New Roman" w:hAnsi="Times New Roman" w:cs="Times New Roman"/>
                <w:szCs w:val="24"/>
              </w:rPr>
            </w:pPr>
            <w:r w:rsidRPr="00D43584">
              <w:rPr>
                <w:rFonts w:ascii="Times New Roman" w:hAnsi="Times New Roman" w:cs="Times New Roman"/>
                <w:szCs w:val="24"/>
              </w:rPr>
              <w:t>17.50</w:t>
            </w:r>
          </w:p>
        </w:tc>
        <w:tc>
          <w:tcPr>
            <w:tcW w:w="1776" w:type="dxa"/>
            <w:vAlign w:val="center"/>
            <w:hideMark/>
          </w:tcPr>
          <w:p w14:paraId="0A085F63" w14:textId="77777777" w:rsidR="00A148E6" w:rsidRPr="00D43584" w:rsidRDefault="00A148E6" w:rsidP="00F236AA">
            <w:pPr>
              <w:pStyle w:val="NoSpacing"/>
              <w:jc w:val="center"/>
              <w:rPr>
                <w:rFonts w:ascii="Times New Roman" w:hAnsi="Times New Roman" w:cs="Times New Roman"/>
                <w:szCs w:val="24"/>
              </w:rPr>
            </w:pPr>
            <w:r w:rsidRPr="00D43584">
              <w:rPr>
                <w:rFonts w:ascii="Times New Roman" w:hAnsi="Times New Roman" w:cs="Times New Roman"/>
                <w:szCs w:val="24"/>
              </w:rPr>
              <w:t>29.27</w:t>
            </w:r>
          </w:p>
        </w:tc>
        <w:tc>
          <w:tcPr>
            <w:tcW w:w="1737" w:type="dxa"/>
            <w:vAlign w:val="center"/>
            <w:hideMark/>
          </w:tcPr>
          <w:p w14:paraId="7E401727" w14:textId="77777777" w:rsidR="00A148E6" w:rsidRPr="00D43584" w:rsidRDefault="00A148E6" w:rsidP="00F236AA">
            <w:pPr>
              <w:pStyle w:val="NoSpacing"/>
              <w:jc w:val="center"/>
              <w:rPr>
                <w:rFonts w:ascii="Times New Roman" w:hAnsi="Times New Roman" w:cs="Times New Roman"/>
                <w:szCs w:val="24"/>
              </w:rPr>
            </w:pPr>
            <w:r w:rsidRPr="00D43584">
              <w:rPr>
                <w:rFonts w:ascii="Times New Roman" w:hAnsi="Times New Roman" w:cs="Times New Roman"/>
                <w:szCs w:val="24"/>
              </w:rPr>
              <w:t>46.77</w:t>
            </w:r>
          </w:p>
        </w:tc>
        <w:tc>
          <w:tcPr>
            <w:tcW w:w="1276" w:type="dxa"/>
            <w:vAlign w:val="center"/>
            <w:hideMark/>
          </w:tcPr>
          <w:p w14:paraId="7BC52A3A" w14:textId="77777777" w:rsidR="00A148E6" w:rsidRPr="00D43584" w:rsidRDefault="00A148E6" w:rsidP="00F236AA">
            <w:pPr>
              <w:pStyle w:val="NoSpacing"/>
              <w:jc w:val="center"/>
              <w:rPr>
                <w:rFonts w:ascii="Times New Roman" w:hAnsi="Times New Roman" w:cs="Times New Roman"/>
                <w:szCs w:val="24"/>
              </w:rPr>
            </w:pPr>
            <w:r w:rsidRPr="00D43584">
              <w:rPr>
                <w:rFonts w:ascii="Times New Roman" w:hAnsi="Times New Roman" w:cs="Times New Roman"/>
                <w:szCs w:val="24"/>
              </w:rPr>
              <w:t>+0.53</w:t>
            </w:r>
          </w:p>
        </w:tc>
      </w:tr>
      <w:tr w:rsidR="00A148E6" w:rsidRPr="00D43584" w14:paraId="4C8D203F" w14:textId="77777777" w:rsidTr="00F236AA">
        <w:trPr>
          <w:trHeight w:val="20"/>
          <w:jc w:val="center"/>
        </w:trPr>
        <w:tc>
          <w:tcPr>
            <w:tcW w:w="763" w:type="dxa"/>
            <w:hideMark/>
          </w:tcPr>
          <w:p w14:paraId="3BEC6EC0" w14:textId="77777777" w:rsidR="00A148E6" w:rsidRPr="00D43584" w:rsidRDefault="00A148E6" w:rsidP="00B77C0B">
            <w:pPr>
              <w:pStyle w:val="NoSpacing"/>
              <w:rPr>
                <w:rFonts w:ascii="Times New Roman" w:hAnsi="Times New Roman" w:cs="Times New Roman"/>
                <w:szCs w:val="24"/>
              </w:rPr>
            </w:pPr>
            <w:r w:rsidRPr="00D43584">
              <w:rPr>
                <w:rFonts w:ascii="Times New Roman" w:hAnsi="Times New Roman" w:cs="Times New Roman"/>
                <w:szCs w:val="24"/>
              </w:rPr>
              <w:t>5.</w:t>
            </w:r>
          </w:p>
        </w:tc>
        <w:tc>
          <w:tcPr>
            <w:tcW w:w="1642" w:type="dxa"/>
            <w:hideMark/>
          </w:tcPr>
          <w:p w14:paraId="7861857A" w14:textId="77777777" w:rsidR="00A148E6" w:rsidRPr="00D43584" w:rsidRDefault="00A148E6" w:rsidP="00B77C0B">
            <w:pPr>
              <w:pStyle w:val="NoSpacing"/>
              <w:rPr>
                <w:rFonts w:ascii="Times New Roman" w:hAnsi="Times New Roman" w:cs="Times New Roman"/>
                <w:szCs w:val="24"/>
              </w:rPr>
            </w:pPr>
            <w:r w:rsidRPr="00D43584">
              <w:rPr>
                <w:rFonts w:ascii="Times New Roman" w:hAnsi="Times New Roman" w:cs="Times New Roman"/>
                <w:szCs w:val="24"/>
              </w:rPr>
              <w:t>Haryana</w:t>
            </w:r>
          </w:p>
        </w:tc>
        <w:tc>
          <w:tcPr>
            <w:tcW w:w="0" w:type="auto"/>
            <w:vAlign w:val="center"/>
            <w:hideMark/>
          </w:tcPr>
          <w:p w14:paraId="504A8F55" w14:textId="77777777" w:rsidR="00A148E6" w:rsidRPr="00D43584" w:rsidRDefault="00A148E6" w:rsidP="00F236AA">
            <w:pPr>
              <w:pStyle w:val="NoSpacing"/>
              <w:jc w:val="center"/>
              <w:rPr>
                <w:rFonts w:ascii="Times New Roman" w:hAnsi="Times New Roman" w:cs="Times New Roman"/>
                <w:szCs w:val="24"/>
              </w:rPr>
            </w:pPr>
            <w:r w:rsidRPr="00D43584">
              <w:rPr>
                <w:rFonts w:ascii="Times New Roman" w:hAnsi="Times New Roman" w:cs="Times New Roman"/>
                <w:szCs w:val="24"/>
              </w:rPr>
              <w:t>2.81</w:t>
            </w:r>
          </w:p>
        </w:tc>
        <w:tc>
          <w:tcPr>
            <w:tcW w:w="0" w:type="auto"/>
            <w:vAlign w:val="center"/>
            <w:hideMark/>
          </w:tcPr>
          <w:p w14:paraId="57698D03" w14:textId="77777777" w:rsidR="00A148E6" w:rsidRPr="00D43584" w:rsidRDefault="00A148E6" w:rsidP="00F236AA">
            <w:pPr>
              <w:pStyle w:val="NoSpacing"/>
              <w:jc w:val="center"/>
              <w:rPr>
                <w:rFonts w:ascii="Times New Roman" w:hAnsi="Times New Roman" w:cs="Times New Roman"/>
                <w:szCs w:val="24"/>
              </w:rPr>
            </w:pPr>
            <w:r w:rsidRPr="00D43584">
              <w:rPr>
                <w:rFonts w:ascii="Times New Roman" w:hAnsi="Times New Roman" w:cs="Times New Roman"/>
                <w:szCs w:val="24"/>
              </w:rPr>
              <w:t>3.00</w:t>
            </w:r>
          </w:p>
        </w:tc>
        <w:tc>
          <w:tcPr>
            <w:tcW w:w="0" w:type="auto"/>
            <w:vAlign w:val="center"/>
            <w:hideMark/>
          </w:tcPr>
          <w:p w14:paraId="0753A3D4" w14:textId="77777777" w:rsidR="00A148E6" w:rsidRPr="00D43584" w:rsidRDefault="00A148E6" w:rsidP="00F236AA">
            <w:pPr>
              <w:pStyle w:val="NoSpacing"/>
              <w:jc w:val="center"/>
              <w:rPr>
                <w:rFonts w:ascii="Times New Roman" w:hAnsi="Times New Roman" w:cs="Times New Roman"/>
                <w:szCs w:val="24"/>
              </w:rPr>
            </w:pPr>
            <w:r w:rsidRPr="00D43584">
              <w:rPr>
                <w:rFonts w:ascii="Times New Roman" w:hAnsi="Times New Roman" w:cs="Times New Roman"/>
                <w:szCs w:val="24"/>
              </w:rPr>
              <w:t>6.05</w:t>
            </w:r>
          </w:p>
        </w:tc>
        <w:tc>
          <w:tcPr>
            <w:tcW w:w="0" w:type="auto"/>
            <w:vAlign w:val="center"/>
            <w:hideMark/>
          </w:tcPr>
          <w:p w14:paraId="2EC0B988" w14:textId="77777777" w:rsidR="00A148E6" w:rsidRPr="00D43584" w:rsidRDefault="00A148E6" w:rsidP="00F236AA">
            <w:pPr>
              <w:pStyle w:val="NoSpacing"/>
              <w:jc w:val="center"/>
              <w:rPr>
                <w:rFonts w:ascii="Times New Roman" w:hAnsi="Times New Roman" w:cs="Times New Roman"/>
                <w:szCs w:val="24"/>
              </w:rPr>
            </w:pPr>
            <w:r w:rsidRPr="00D43584">
              <w:rPr>
                <w:rFonts w:ascii="Times New Roman" w:hAnsi="Times New Roman" w:cs="Times New Roman"/>
                <w:szCs w:val="24"/>
              </w:rPr>
              <w:t>7.54</w:t>
            </w:r>
          </w:p>
        </w:tc>
        <w:tc>
          <w:tcPr>
            <w:tcW w:w="0" w:type="auto"/>
            <w:vAlign w:val="center"/>
            <w:hideMark/>
          </w:tcPr>
          <w:p w14:paraId="329A751E" w14:textId="77777777" w:rsidR="00A148E6" w:rsidRPr="00D43584" w:rsidRDefault="00A148E6" w:rsidP="00F236AA">
            <w:pPr>
              <w:pStyle w:val="NoSpacing"/>
              <w:jc w:val="center"/>
              <w:rPr>
                <w:rFonts w:ascii="Times New Roman" w:hAnsi="Times New Roman" w:cs="Times New Roman"/>
                <w:szCs w:val="24"/>
              </w:rPr>
            </w:pPr>
            <w:r w:rsidRPr="00D43584">
              <w:rPr>
                <w:rFonts w:ascii="Times New Roman" w:hAnsi="Times New Roman" w:cs="Times New Roman"/>
                <w:szCs w:val="24"/>
              </w:rPr>
              <w:t>19.40</w:t>
            </w:r>
          </w:p>
        </w:tc>
        <w:tc>
          <w:tcPr>
            <w:tcW w:w="1737" w:type="dxa"/>
            <w:vAlign w:val="center"/>
            <w:hideMark/>
          </w:tcPr>
          <w:p w14:paraId="6A8BCA26" w14:textId="77777777" w:rsidR="00A148E6" w:rsidRPr="00D43584" w:rsidRDefault="00A148E6" w:rsidP="00F236AA">
            <w:pPr>
              <w:pStyle w:val="NoSpacing"/>
              <w:jc w:val="center"/>
              <w:rPr>
                <w:rFonts w:ascii="Times New Roman" w:hAnsi="Times New Roman" w:cs="Times New Roman"/>
                <w:szCs w:val="24"/>
              </w:rPr>
            </w:pPr>
            <w:r w:rsidRPr="00D43584">
              <w:rPr>
                <w:rFonts w:ascii="Times New Roman" w:hAnsi="Times New Roman" w:cs="Times New Roman"/>
                <w:szCs w:val="24"/>
              </w:rPr>
              <w:t>14.71</w:t>
            </w:r>
          </w:p>
        </w:tc>
        <w:tc>
          <w:tcPr>
            <w:tcW w:w="1776" w:type="dxa"/>
            <w:vAlign w:val="center"/>
            <w:hideMark/>
          </w:tcPr>
          <w:p w14:paraId="0FD7143C" w14:textId="77777777" w:rsidR="00A148E6" w:rsidRPr="00D43584" w:rsidRDefault="00A148E6" w:rsidP="00F236AA">
            <w:pPr>
              <w:pStyle w:val="NoSpacing"/>
              <w:jc w:val="center"/>
              <w:rPr>
                <w:rFonts w:ascii="Times New Roman" w:hAnsi="Times New Roman" w:cs="Times New Roman"/>
                <w:szCs w:val="24"/>
              </w:rPr>
            </w:pPr>
            <w:r w:rsidRPr="00D43584">
              <w:rPr>
                <w:rFonts w:ascii="Times New Roman" w:hAnsi="Times New Roman" w:cs="Times New Roman"/>
                <w:szCs w:val="24"/>
              </w:rPr>
              <w:t>2.76</w:t>
            </w:r>
          </w:p>
        </w:tc>
        <w:tc>
          <w:tcPr>
            <w:tcW w:w="1737" w:type="dxa"/>
            <w:vAlign w:val="center"/>
            <w:hideMark/>
          </w:tcPr>
          <w:p w14:paraId="49300203" w14:textId="77777777" w:rsidR="00A148E6" w:rsidRPr="00D43584" w:rsidRDefault="00A148E6" w:rsidP="00F236AA">
            <w:pPr>
              <w:pStyle w:val="NoSpacing"/>
              <w:jc w:val="center"/>
              <w:rPr>
                <w:rFonts w:ascii="Times New Roman" w:hAnsi="Times New Roman" w:cs="Times New Roman"/>
                <w:szCs w:val="24"/>
              </w:rPr>
            </w:pPr>
            <w:r w:rsidRPr="00D43584">
              <w:rPr>
                <w:rFonts w:ascii="Times New Roman" w:hAnsi="Times New Roman" w:cs="Times New Roman"/>
                <w:szCs w:val="24"/>
              </w:rPr>
              <w:t>17.47</w:t>
            </w:r>
          </w:p>
        </w:tc>
        <w:tc>
          <w:tcPr>
            <w:tcW w:w="1276" w:type="dxa"/>
            <w:vAlign w:val="center"/>
            <w:hideMark/>
          </w:tcPr>
          <w:p w14:paraId="51C9FA1E" w14:textId="77777777" w:rsidR="00A148E6" w:rsidRPr="00D43584" w:rsidRDefault="00A148E6" w:rsidP="00F236AA">
            <w:pPr>
              <w:pStyle w:val="NoSpacing"/>
              <w:jc w:val="center"/>
              <w:rPr>
                <w:rFonts w:ascii="Times New Roman" w:hAnsi="Times New Roman" w:cs="Times New Roman"/>
                <w:szCs w:val="24"/>
              </w:rPr>
            </w:pPr>
            <w:r w:rsidRPr="00D43584">
              <w:rPr>
                <w:rFonts w:ascii="Times New Roman" w:hAnsi="Times New Roman" w:cs="Times New Roman"/>
                <w:szCs w:val="24"/>
              </w:rPr>
              <w:t>+1.93</w:t>
            </w:r>
          </w:p>
        </w:tc>
      </w:tr>
      <w:tr w:rsidR="00A148E6" w:rsidRPr="00D43584" w14:paraId="78D5CF4A" w14:textId="77777777" w:rsidTr="00F236AA">
        <w:trPr>
          <w:trHeight w:val="20"/>
          <w:jc w:val="center"/>
        </w:trPr>
        <w:tc>
          <w:tcPr>
            <w:tcW w:w="763" w:type="dxa"/>
            <w:hideMark/>
          </w:tcPr>
          <w:p w14:paraId="5D1AF870" w14:textId="77777777" w:rsidR="00A148E6" w:rsidRPr="00D43584" w:rsidRDefault="00A148E6" w:rsidP="00B77C0B">
            <w:pPr>
              <w:pStyle w:val="NoSpacing"/>
              <w:rPr>
                <w:rFonts w:ascii="Times New Roman" w:hAnsi="Times New Roman" w:cs="Times New Roman"/>
                <w:szCs w:val="24"/>
              </w:rPr>
            </w:pPr>
            <w:r w:rsidRPr="00D43584">
              <w:rPr>
                <w:rFonts w:ascii="Times New Roman" w:hAnsi="Times New Roman" w:cs="Times New Roman"/>
                <w:szCs w:val="24"/>
              </w:rPr>
              <w:t>6.</w:t>
            </w:r>
          </w:p>
        </w:tc>
        <w:tc>
          <w:tcPr>
            <w:tcW w:w="1642" w:type="dxa"/>
            <w:hideMark/>
          </w:tcPr>
          <w:p w14:paraId="6EB9BB93" w14:textId="77777777" w:rsidR="00A148E6" w:rsidRPr="00D43584" w:rsidRDefault="00A148E6" w:rsidP="00B77C0B">
            <w:pPr>
              <w:pStyle w:val="NoSpacing"/>
              <w:rPr>
                <w:rFonts w:ascii="Times New Roman" w:hAnsi="Times New Roman" w:cs="Times New Roman"/>
                <w:szCs w:val="24"/>
              </w:rPr>
            </w:pPr>
            <w:r w:rsidRPr="00D43584">
              <w:rPr>
                <w:rFonts w:ascii="Times New Roman" w:hAnsi="Times New Roman" w:cs="Times New Roman"/>
                <w:szCs w:val="24"/>
              </w:rPr>
              <w:t>Jammu and Kashmir</w:t>
            </w:r>
          </w:p>
        </w:tc>
        <w:tc>
          <w:tcPr>
            <w:tcW w:w="0" w:type="auto"/>
            <w:vAlign w:val="center"/>
            <w:hideMark/>
          </w:tcPr>
          <w:p w14:paraId="665DDCE7" w14:textId="77777777" w:rsidR="00A148E6" w:rsidRPr="00D43584" w:rsidRDefault="00A148E6" w:rsidP="00F236AA">
            <w:pPr>
              <w:pStyle w:val="NoSpacing"/>
              <w:jc w:val="center"/>
              <w:rPr>
                <w:rFonts w:ascii="Times New Roman" w:hAnsi="Times New Roman" w:cs="Times New Roman"/>
                <w:szCs w:val="24"/>
              </w:rPr>
            </w:pPr>
            <w:r w:rsidRPr="00D43584">
              <w:rPr>
                <w:rFonts w:ascii="Times New Roman" w:hAnsi="Times New Roman" w:cs="Times New Roman"/>
                <w:szCs w:val="24"/>
              </w:rPr>
              <w:t>..</w:t>
            </w:r>
          </w:p>
        </w:tc>
        <w:tc>
          <w:tcPr>
            <w:tcW w:w="0" w:type="auto"/>
            <w:vAlign w:val="center"/>
            <w:hideMark/>
          </w:tcPr>
          <w:p w14:paraId="39F07657" w14:textId="77777777" w:rsidR="00A148E6" w:rsidRPr="00D43584" w:rsidRDefault="00A148E6" w:rsidP="00F236AA">
            <w:pPr>
              <w:pStyle w:val="NoSpacing"/>
              <w:jc w:val="center"/>
              <w:rPr>
                <w:rFonts w:ascii="Times New Roman" w:hAnsi="Times New Roman" w:cs="Times New Roman"/>
                <w:szCs w:val="24"/>
              </w:rPr>
            </w:pPr>
            <w:r w:rsidRPr="00D43584">
              <w:rPr>
                <w:rFonts w:ascii="Times New Roman" w:hAnsi="Times New Roman" w:cs="Times New Roman"/>
                <w:szCs w:val="24"/>
              </w:rPr>
              <w:t>1.30</w:t>
            </w:r>
          </w:p>
        </w:tc>
        <w:tc>
          <w:tcPr>
            <w:tcW w:w="0" w:type="auto"/>
            <w:vAlign w:val="center"/>
            <w:hideMark/>
          </w:tcPr>
          <w:p w14:paraId="58F8BB13" w14:textId="77777777" w:rsidR="00A148E6" w:rsidRPr="00D43584" w:rsidRDefault="00A148E6" w:rsidP="00F236AA">
            <w:pPr>
              <w:pStyle w:val="NoSpacing"/>
              <w:jc w:val="center"/>
              <w:rPr>
                <w:rFonts w:ascii="Times New Roman" w:hAnsi="Times New Roman" w:cs="Times New Roman"/>
                <w:szCs w:val="24"/>
              </w:rPr>
            </w:pPr>
            <w:r w:rsidRPr="00D43584">
              <w:rPr>
                <w:rFonts w:ascii="Times New Roman" w:hAnsi="Times New Roman" w:cs="Times New Roman"/>
                <w:szCs w:val="24"/>
              </w:rPr>
              <w:t>1.59</w:t>
            </w:r>
          </w:p>
        </w:tc>
        <w:tc>
          <w:tcPr>
            <w:tcW w:w="0" w:type="auto"/>
            <w:vAlign w:val="center"/>
            <w:hideMark/>
          </w:tcPr>
          <w:p w14:paraId="592DAF14" w14:textId="77777777" w:rsidR="00A148E6" w:rsidRPr="00D43584" w:rsidRDefault="00A148E6" w:rsidP="00F236AA">
            <w:pPr>
              <w:pStyle w:val="NoSpacing"/>
              <w:jc w:val="center"/>
              <w:rPr>
                <w:rFonts w:ascii="Times New Roman" w:hAnsi="Times New Roman" w:cs="Times New Roman"/>
                <w:szCs w:val="24"/>
              </w:rPr>
            </w:pPr>
            <w:r w:rsidRPr="00D43584">
              <w:rPr>
                <w:rFonts w:ascii="Times New Roman" w:hAnsi="Times New Roman" w:cs="Times New Roman"/>
                <w:szCs w:val="24"/>
              </w:rPr>
              <w:t>2.03</w:t>
            </w:r>
          </w:p>
        </w:tc>
        <w:tc>
          <w:tcPr>
            <w:tcW w:w="0" w:type="auto"/>
            <w:vAlign w:val="center"/>
            <w:hideMark/>
          </w:tcPr>
          <w:p w14:paraId="48A270AD" w14:textId="77777777" w:rsidR="00A148E6" w:rsidRPr="00D43584" w:rsidRDefault="00A148E6" w:rsidP="00F236AA">
            <w:pPr>
              <w:pStyle w:val="NoSpacing"/>
              <w:jc w:val="center"/>
              <w:rPr>
                <w:rFonts w:ascii="Times New Roman" w:hAnsi="Times New Roman" w:cs="Times New Roman"/>
                <w:szCs w:val="24"/>
              </w:rPr>
            </w:pPr>
            <w:r w:rsidRPr="00D43584">
              <w:rPr>
                <w:rFonts w:ascii="Times New Roman" w:hAnsi="Times New Roman" w:cs="Times New Roman"/>
                <w:szCs w:val="24"/>
              </w:rPr>
              <w:t>4.92</w:t>
            </w:r>
          </w:p>
        </w:tc>
        <w:tc>
          <w:tcPr>
            <w:tcW w:w="1737" w:type="dxa"/>
            <w:vAlign w:val="center"/>
            <w:hideMark/>
          </w:tcPr>
          <w:p w14:paraId="1AC97198" w14:textId="77777777" w:rsidR="00A148E6" w:rsidRPr="00D43584" w:rsidRDefault="00A148E6" w:rsidP="00F236AA">
            <w:pPr>
              <w:pStyle w:val="NoSpacing"/>
              <w:jc w:val="center"/>
              <w:rPr>
                <w:rFonts w:ascii="Times New Roman" w:hAnsi="Times New Roman" w:cs="Times New Roman"/>
                <w:szCs w:val="24"/>
              </w:rPr>
            </w:pPr>
            <w:r w:rsidRPr="00D43584">
              <w:rPr>
                <w:rFonts w:ascii="Times New Roman" w:hAnsi="Times New Roman" w:cs="Times New Roman"/>
                <w:szCs w:val="24"/>
              </w:rPr>
              <w:t>1.34</w:t>
            </w:r>
          </w:p>
        </w:tc>
        <w:tc>
          <w:tcPr>
            <w:tcW w:w="1776" w:type="dxa"/>
            <w:vAlign w:val="center"/>
            <w:hideMark/>
          </w:tcPr>
          <w:p w14:paraId="3D179867" w14:textId="77777777" w:rsidR="00A148E6" w:rsidRPr="00D43584" w:rsidRDefault="00A148E6" w:rsidP="00F236AA">
            <w:pPr>
              <w:pStyle w:val="NoSpacing"/>
              <w:jc w:val="center"/>
              <w:rPr>
                <w:rFonts w:ascii="Times New Roman" w:hAnsi="Times New Roman" w:cs="Times New Roman"/>
                <w:szCs w:val="24"/>
              </w:rPr>
            </w:pPr>
            <w:r w:rsidRPr="00D43584">
              <w:rPr>
                <w:rFonts w:ascii="Times New Roman" w:hAnsi="Times New Roman" w:cs="Times New Roman"/>
                <w:szCs w:val="24"/>
              </w:rPr>
              <w:t>2.30</w:t>
            </w:r>
          </w:p>
        </w:tc>
        <w:tc>
          <w:tcPr>
            <w:tcW w:w="1737" w:type="dxa"/>
            <w:vAlign w:val="center"/>
            <w:hideMark/>
          </w:tcPr>
          <w:p w14:paraId="4D3E8C7F" w14:textId="77777777" w:rsidR="00A148E6" w:rsidRPr="00D43584" w:rsidRDefault="00A148E6" w:rsidP="00F236AA">
            <w:pPr>
              <w:pStyle w:val="NoSpacing"/>
              <w:jc w:val="center"/>
              <w:rPr>
                <w:rFonts w:ascii="Times New Roman" w:hAnsi="Times New Roman" w:cs="Times New Roman"/>
                <w:szCs w:val="24"/>
              </w:rPr>
            </w:pPr>
            <w:r w:rsidRPr="00D43584">
              <w:rPr>
                <w:rFonts w:ascii="Times New Roman" w:hAnsi="Times New Roman" w:cs="Times New Roman"/>
                <w:szCs w:val="24"/>
              </w:rPr>
              <w:t>3.64</w:t>
            </w:r>
          </w:p>
        </w:tc>
        <w:tc>
          <w:tcPr>
            <w:tcW w:w="1276" w:type="dxa"/>
            <w:vAlign w:val="center"/>
            <w:hideMark/>
          </w:tcPr>
          <w:p w14:paraId="73A0BF3F" w14:textId="77777777" w:rsidR="00A148E6" w:rsidRPr="00D43584" w:rsidRDefault="00A148E6" w:rsidP="00F236AA">
            <w:pPr>
              <w:pStyle w:val="NoSpacing"/>
              <w:jc w:val="center"/>
              <w:rPr>
                <w:rFonts w:ascii="Times New Roman" w:hAnsi="Times New Roman" w:cs="Times New Roman"/>
                <w:szCs w:val="24"/>
              </w:rPr>
            </w:pPr>
            <w:r w:rsidRPr="00D43584">
              <w:rPr>
                <w:rFonts w:ascii="Times New Roman" w:hAnsi="Times New Roman" w:cs="Times New Roman"/>
                <w:szCs w:val="24"/>
              </w:rPr>
              <w:t>+1.28</w:t>
            </w:r>
          </w:p>
        </w:tc>
      </w:tr>
      <w:tr w:rsidR="00A148E6" w:rsidRPr="00D43584" w14:paraId="48192264" w14:textId="77777777" w:rsidTr="00F236AA">
        <w:trPr>
          <w:trHeight w:val="20"/>
          <w:jc w:val="center"/>
        </w:trPr>
        <w:tc>
          <w:tcPr>
            <w:tcW w:w="763" w:type="dxa"/>
            <w:hideMark/>
          </w:tcPr>
          <w:p w14:paraId="3D7E5061" w14:textId="77777777" w:rsidR="00A148E6" w:rsidRPr="00D43584" w:rsidRDefault="00A148E6" w:rsidP="00B77C0B">
            <w:pPr>
              <w:pStyle w:val="NoSpacing"/>
              <w:rPr>
                <w:rFonts w:ascii="Times New Roman" w:hAnsi="Times New Roman" w:cs="Times New Roman"/>
                <w:szCs w:val="24"/>
              </w:rPr>
            </w:pPr>
            <w:r w:rsidRPr="00D43584">
              <w:rPr>
                <w:rFonts w:ascii="Times New Roman" w:hAnsi="Times New Roman" w:cs="Times New Roman"/>
                <w:szCs w:val="24"/>
              </w:rPr>
              <w:t>7.</w:t>
            </w:r>
          </w:p>
        </w:tc>
        <w:tc>
          <w:tcPr>
            <w:tcW w:w="1642" w:type="dxa"/>
            <w:hideMark/>
          </w:tcPr>
          <w:p w14:paraId="31DE74E0" w14:textId="77777777" w:rsidR="00A148E6" w:rsidRPr="00D43584" w:rsidRDefault="00A148E6" w:rsidP="00B77C0B">
            <w:pPr>
              <w:pStyle w:val="NoSpacing"/>
              <w:rPr>
                <w:rFonts w:ascii="Times New Roman" w:hAnsi="Times New Roman" w:cs="Times New Roman"/>
                <w:szCs w:val="24"/>
              </w:rPr>
            </w:pPr>
            <w:r w:rsidRPr="00D43584">
              <w:rPr>
                <w:rFonts w:ascii="Times New Roman" w:hAnsi="Times New Roman" w:cs="Times New Roman"/>
                <w:szCs w:val="24"/>
              </w:rPr>
              <w:t>Kerala</w:t>
            </w:r>
          </w:p>
        </w:tc>
        <w:tc>
          <w:tcPr>
            <w:tcW w:w="0" w:type="auto"/>
            <w:vAlign w:val="center"/>
            <w:hideMark/>
          </w:tcPr>
          <w:p w14:paraId="3E3694D6" w14:textId="77777777" w:rsidR="00A148E6" w:rsidRPr="00D43584" w:rsidRDefault="00A148E6" w:rsidP="00F236AA">
            <w:pPr>
              <w:pStyle w:val="NoSpacing"/>
              <w:jc w:val="center"/>
              <w:rPr>
                <w:rFonts w:ascii="Times New Roman" w:hAnsi="Times New Roman" w:cs="Times New Roman"/>
                <w:szCs w:val="24"/>
              </w:rPr>
            </w:pPr>
            <w:r w:rsidRPr="00D43584">
              <w:rPr>
                <w:rFonts w:ascii="Times New Roman" w:hAnsi="Times New Roman" w:cs="Times New Roman"/>
                <w:szCs w:val="24"/>
              </w:rPr>
              <w:t>3.18</w:t>
            </w:r>
          </w:p>
        </w:tc>
        <w:tc>
          <w:tcPr>
            <w:tcW w:w="0" w:type="auto"/>
            <w:vAlign w:val="center"/>
            <w:hideMark/>
          </w:tcPr>
          <w:p w14:paraId="4EF898F4" w14:textId="77777777" w:rsidR="00A148E6" w:rsidRPr="00D43584" w:rsidRDefault="00A148E6" w:rsidP="00F236AA">
            <w:pPr>
              <w:pStyle w:val="NoSpacing"/>
              <w:jc w:val="center"/>
              <w:rPr>
                <w:rFonts w:ascii="Times New Roman" w:hAnsi="Times New Roman" w:cs="Times New Roman"/>
                <w:szCs w:val="24"/>
              </w:rPr>
            </w:pPr>
            <w:r w:rsidRPr="00D43584">
              <w:rPr>
                <w:rFonts w:ascii="Times New Roman" w:hAnsi="Times New Roman" w:cs="Times New Roman"/>
                <w:szCs w:val="24"/>
              </w:rPr>
              <w:t>2.50</w:t>
            </w:r>
          </w:p>
        </w:tc>
        <w:tc>
          <w:tcPr>
            <w:tcW w:w="0" w:type="auto"/>
            <w:vAlign w:val="center"/>
            <w:hideMark/>
          </w:tcPr>
          <w:p w14:paraId="32109FDC" w14:textId="77777777" w:rsidR="00A148E6" w:rsidRPr="00D43584" w:rsidRDefault="00A148E6" w:rsidP="00F236AA">
            <w:pPr>
              <w:pStyle w:val="NoSpacing"/>
              <w:jc w:val="center"/>
              <w:rPr>
                <w:rFonts w:ascii="Times New Roman" w:hAnsi="Times New Roman" w:cs="Times New Roman"/>
                <w:szCs w:val="24"/>
              </w:rPr>
            </w:pPr>
            <w:r w:rsidRPr="00D43584">
              <w:rPr>
                <w:rFonts w:ascii="Times New Roman" w:hAnsi="Times New Roman" w:cs="Times New Roman"/>
                <w:szCs w:val="24"/>
              </w:rPr>
              <w:t>3.57</w:t>
            </w:r>
          </w:p>
        </w:tc>
        <w:tc>
          <w:tcPr>
            <w:tcW w:w="0" w:type="auto"/>
            <w:vAlign w:val="center"/>
            <w:hideMark/>
          </w:tcPr>
          <w:p w14:paraId="42D17EE2" w14:textId="77777777" w:rsidR="00A148E6" w:rsidRPr="00D43584" w:rsidRDefault="00A148E6" w:rsidP="00F236AA">
            <w:pPr>
              <w:pStyle w:val="NoSpacing"/>
              <w:jc w:val="center"/>
              <w:rPr>
                <w:rFonts w:ascii="Times New Roman" w:hAnsi="Times New Roman" w:cs="Times New Roman"/>
                <w:szCs w:val="24"/>
              </w:rPr>
            </w:pPr>
            <w:r w:rsidRPr="00D43584">
              <w:rPr>
                <w:rFonts w:ascii="Times New Roman" w:hAnsi="Times New Roman" w:cs="Times New Roman"/>
                <w:szCs w:val="24"/>
              </w:rPr>
              <w:t>8.73</w:t>
            </w:r>
          </w:p>
        </w:tc>
        <w:tc>
          <w:tcPr>
            <w:tcW w:w="0" w:type="auto"/>
            <w:vAlign w:val="center"/>
            <w:hideMark/>
          </w:tcPr>
          <w:p w14:paraId="79FD7446" w14:textId="77777777" w:rsidR="00A148E6" w:rsidRPr="00D43584" w:rsidRDefault="00A148E6" w:rsidP="00F236AA">
            <w:pPr>
              <w:pStyle w:val="NoSpacing"/>
              <w:jc w:val="center"/>
              <w:rPr>
                <w:rFonts w:ascii="Times New Roman" w:hAnsi="Times New Roman" w:cs="Times New Roman"/>
                <w:szCs w:val="24"/>
              </w:rPr>
            </w:pPr>
            <w:r w:rsidRPr="00D43584">
              <w:rPr>
                <w:rFonts w:ascii="Times New Roman" w:hAnsi="Times New Roman" w:cs="Times New Roman"/>
                <w:szCs w:val="24"/>
              </w:rPr>
              <w:t>17.98</w:t>
            </w:r>
          </w:p>
        </w:tc>
        <w:tc>
          <w:tcPr>
            <w:tcW w:w="1737" w:type="dxa"/>
            <w:vAlign w:val="center"/>
            <w:hideMark/>
          </w:tcPr>
          <w:p w14:paraId="0B6288E9" w14:textId="77777777" w:rsidR="00A148E6" w:rsidRPr="00D43584" w:rsidRDefault="00A148E6" w:rsidP="00F236AA">
            <w:pPr>
              <w:pStyle w:val="NoSpacing"/>
              <w:jc w:val="center"/>
              <w:rPr>
                <w:rFonts w:ascii="Times New Roman" w:hAnsi="Times New Roman" w:cs="Times New Roman"/>
                <w:szCs w:val="24"/>
              </w:rPr>
            </w:pPr>
            <w:r w:rsidRPr="00D43584">
              <w:rPr>
                <w:rFonts w:ascii="Times New Roman" w:hAnsi="Times New Roman" w:cs="Times New Roman"/>
                <w:szCs w:val="24"/>
              </w:rPr>
              <w:t>14.20</w:t>
            </w:r>
          </w:p>
        </w:tc>
        <w:tc>
          <w:tcPr>
            <w:tcW w:w="1776" w:type="dxa"/>
            <w:vAlign w:val="center"/>
            <w:hideMark/>
          </w:tcPr>
          <w:p w14:paraId="5E2B0046" w14:textId="77777777" w:rsidR="00A148E6" w:rsidRPr="00D43584" w:rsidRDefault="00A148E6" w:rsidP="00F236AA">
            <w:pPr>
              <w:pStyle w:val="NoSpacing"/>
              <w:jc w:val="center"/>
              <w:rPr>
                <w:rFonts w:ascii="Times New Roman" w:hAnsi="Times New Roman" w:cs="Times New Roman"/>
                <w:szCs w:val="24"/>
              </w:rPr>
            </w:pPr>
            <w:r w:rsidRPr="00D43584">
              <w:rPr>
                <w:rFonts w:ascii="Times New Roman" w:hAnsi="Times New Roman" w:cs="Times New Roman"/>
                <w:szCs w:val="24"/>
              </w:rPr>
              <w:t>13.46</w:t>
            </w:r>
          </w:p>
        </w:tc>
        <w:tc>
          <w:tcPr>
            <w:tcW w:w="1737" w:type="dxa"/>
            <w:vAlign w:val="center"/>
            <w:hideMark/>
          </w:tcPr>
          <w:p w14:paraId="32B66F06" w14:textId="77777777" w:rsidR="00A148E6" w:rsidRPr="00D43584" w:rsidRDefault="00A148E6" w:rsidP="00F236AA">
            <w:pPr>
              <w:pStyle w:val="NoSpacing"/>
              <w:jc w:val="center"/>
              <w:rPr>
                <w:rFonts w:ascii="Times New Roman" w:hAnsi="Times New Roman" w:cs="Times New Roman"/>
                <w:szCs w:val="24"/>
              </w:rPr>
            </w:pPr>
            <w:r w:rsidRPr="00D43584">
              <w:rPr>
                <w:rFonts w:ascii="Times New Roman" w:hAnsi="Times New Roman" w:cs="Times New Roman"/>
                <w:szCs w:val="24"/>
              </w:rPr>
              <w:t>27.66</w:t>
            </w:r>
          </w:p>
        </w:tc>
        <w:tc>
          <w:tcPr>
            <w:tcW w:w="1276" w:type="dxa"/>
            <w:vAlign w:val="center"/>
            <w:hideMark/>
          </w:tcPr>
          <w:p w14:paraId="1BCDFABF" w14:textId="77777777" w:rsidR="00A148E6" w:rsidRPr="00D43584" w:rsidRDefault="00A148E6" w:rsidP="00F236AA">
            <w:pPr>
              <w:pStyle w:val="NoSpacing"/>
              <w:jc w:val="center"/>
              <w:rPr>
                <w:rFonts w:ascii="Times New Roman" w:hAnsi="Times New Roman" w:cs="Times New Roman"/>
                <w:szCs w:val="24"/>
              </w:rPr>
            </w:pPr>
            <w:r w:rsidRPr="00D43584">
              <w:rPr>
                <w:rFonts w:ascii="Times New Roman" w:hAnsi="Times New Roman" w:cs="Times New Roman"/>
                <w:szCs w:val="24"/>
              </w:rPr>
              <w:t>-9.68</w:t>
            </w:r>
          </w:p>
        </w:tc>
      </w:tr>
      <w:tr w:rsidR="00A148E6" w:rsidRPr="00D43584" w14:paraId="67695B36" w14:textId="77777777" w:rsidTr="00F236AA">
        <w:trPr>
          <w:trHeight w:val="20"/>
          <w:jc w:val="center"/>
        </w:trPr>
        <w:tc>
          <w:tcPr>
            <w:tcW w:w="763" w:type="dxa"/>
            <w:hideMark/>
          </w:tcPr>
          <w:p w14:paraId="0749283B" w14:textId="77777777" w:rsidR="00A148E6" w:rsidRPr="00D43584" w:rsidRDefault="00A148E6" w:rsidP="00B77C0B">
            <w:pPr>
              <w:pStyle w:val="NoSpacing"/>
              <w:rPr>
                <w:rFonts w:ascii="Times New Roman" w:hAnsi="Times New Roman" w:cs="Times New Roman"/>
                <w:szCs w:val="24"/>
              </w:rPr>
            </w:pPr>
            <w:r w:rsidRPr="00D43584">
              <w:rPr>
                <w:rFonts w:ascii="Times New Roman" w:hAnsi="Times New Roman" w:cs="Times New Roman"/>
                <w:szCs w:val="24"/>
              </w:rPr>
              <w:t>8.</w:t>
            </w:r>
          </w:p>
        </w:tc>
        <w:tc>
          <w:tcPr>
            <w:tcW w:w="1642" w:type="dxa"/>
            <w:hideMark/>
          </w:tcPr>
          <w:p w14:paraId="1C990101" w14:textId="77777777" w:rsidR="00A148E6" w:rsidRPr="00D43584" w:rsidRDefault="00A148E6" w:rsidP="00B77C0B">
            <w:pPr>
              <w:pStyle w:val="NoSpacing"/>
              <w:rPr>
                <w:rFonts w:ascii="Times New Roman" w:hAnsi="Times New Roman" w:cs="Times New Roman"/>
                <w:szCs w:val="24"/>
              </w:rPr>
            </w:pPr>
            <w:r w:rsidRPr="00D43584">
              <w:rPr>
                <w:rFonts w:ascii="Times New Roman" w:hAnsi="Times New Roman" w:cs="Times New Roman"/>
                <w:szCs w:val="24"/>
              </w:rPr>
              <w:t>Madhya Pradesh</w:t>
            </w:r>
          </w:p>
        </w:tc>
        <w:tc>
          <w:tcPr>
            <w:tcW w:w="0" w:type="auto"/>
            <w:vAlign w:val="center"/>
            <w:hideMark/>
          </w:tcPr>
          <w:p w14:paraId="34C8453A" w14:textId="77777777" w:rsidR="00A148E6" w:rsidRPr="00D43584" w:rsidRDefault="00A148E6" w:rsidP="00F236AA">
            <w:pPr>
              <w:pStyle w:val="NoSpacing"/>
              <w:jc w:val="center"/>
              <w:rPr>
                <w:rFonts w:ascii="Times New Roman" w:hAnsi="Times New Roman" w:cs="Times New Roman"/>
                <w:szCs w:val="24"/>
              </w:rPr>
            </w:pPr>
            <w:r w:rsidRPr="00D43584">
              <w:rPr>
                <w:rFonts w:ascii="Times New Roman" w:hAnsi="Times New Roman" w:cs="Times New Roman"/>
                <w:szCs w:val="24"/>
              </w:rPr>
              <w:t>3.87</w:t>
            </w:r>
          </w:p>
        </w:tc>
        <w:tc>
          <w:tcPr>
            <w:tcW w:w="0" w:type="auto"/>
            <w:vAlign w:val="center"/>
            <w:hideMark/>
          </w:tcPr>
          <w:p w14:paraId="02148EF3" w14:textId="77777777" w:rsidR="00A148E6" w:rsidRPr="00D43584" w:rsidRDefault="00A148E6" w:rsidP="00F236AA">
            <w:pPr>
              <w:pStyle w:val="NoSpacing"/>
              <w:jc w:val="center"/>
              <w:rPr>
                <w:rFonts w:ascii="Times New Roman" w:hAnsi="Times New Roman" w:cs="Times New Roman"/>
                <w:szCs w:val="24"/>
              </w:rPr>
            </w:pPr>
            <w:r w:rsidRPr="00D43584">
              <w:rPr>
                <w:rFonts w:ascii="Times New Roman" w:hAnsi="Times New Roman" w:cs="Times New Roman"/>
                <w:szCs w:val="24"/>
              </w:rPr>
              <w:t>4.00</w:t>
            </w:r>
          </w:p>
        </w:tc>
        <w:tc>
          <w:tcPr>
            <w:tcW w:w="0" w:type="auto"/>
            <w:vAlign w:val="center"/>
            <w:hideMark/>
          </w:tcPr>
          <w:p w14:paraId="69BCC1B0" w14:textId="77777777" w:rsidR="00A148E6" w:rsidRPr="00D43584" w:rsidRDefault="00A148E6" w:rsidP="00F236AA">
            <w:pPr>
              <w:pStyle w:val="NoSpacing"/>
              <w:jc w:val="center"/>
              <w:rPr>
                <w:rFonts w:ascii="Times New Roman" w:hAnsi="Times New Roman" w:cs="Times New Roman"/>
                <w:szCs w:val="24"/>
              </w:rPr>
            </w:pPr>
            <w:r w:rsidRPr="00D43584">
              <w:rPr>
                <w:rFonts w:ascii="Times New Roman" w:hAnsi="Times New Roman" w:cs="Times New Roman"/>
                <w:szCs w:val="24"/>
              </w:rPr>
              <w:t>19.27</w:t>
            </w:r>
          </w:p>
        </w:tc>
        <w:tc>
          <w:tcPr>
            <w:tcW w:w="0" w:type="auto"/>
            <w:vAlign w:val="center"/>
            <w:hideMark/>
          </w:tcPr>
          <w:p w14:paraId="095F6CBD" w14:textId="77777777" w:rsidR="00A148E6" w:rsidRPr="00D43584" w:rsidRDefault="00A148E6" w:rsidP="00F236AA">
            <w:pPr>
              <w:pStyle w:val="NoSpacing"/>
              <w:jc w:val="center"/>
              <w:rPr>
                <w:rFonts w:ascii="Times New Roman" w:hAnsi="Times New Roman" w:cs="Times New Roman"/>
                <w:szCs w:val="24"/>
              </w:rPr>
            </w:pPr>
            <w:r w:rsidRPr="00D43584">
              <w:rPr>
                <w:rFonts w:ascii="Times New Roman" w:hAnsi="Times New Roman" w:cs="Times New Roman"/>
                <w:szCs w:val="24"/>
              </w:rPr>
              <w:t>9.14</w:t>
            </w:r>
          </w:p>
        </w:tc>
        <w:tc>
          <w:tcPr>
            <w:tcW w:w="0" w:type="auto"/>
            <w:vAlign w:val="center"/>
            <w:hideMark/>
          </w:tcPr>
          <w:p w14:paraId="2CDB3314" w14:textId="77777777" w:rsidR="00A148E6" w:rsidRPr="00D43584" w:rsidRDefault="00A148E6" w:rsidP="00F236AA">
            <w:pPr>
              <w:pStyle w:val="NoSpacing"/>
              <w:jc w:val="center"/>
              <w:rPr>
                <w:rFonts w:ascii="Times New Roman" w:hAnsi="Times New Roman" w:cs="Times New Roman"/>
                <w:szCs w:val="24"/>
              </w:rPr>
            </w:pPr>
            <w:r w:rsidRPr="00D43584">
              <w:rPr>
                <w:rFonts w:ascii="Times New Roman" w:hAnsi="Times New Roman" w:cs="Times New Roman"/>
                <w:szCs w:val="24"/>
              </w:rPr>
              <w:t>36.28</w:t>
            </w:r>
          </w:p>
        </w:tc>
        <w:tc>
          <w:tcPr>
            <w:tcW w:w="1737" w:type="dxa"/>
            <w:vAlign w:val="center"/>
            <w:hideMark/>
          </w:tcPr>
          <w:p w14:paraId="70434461" w14:textId="77777777" w:rsidR="00A148E6" w:rsidRPr="00D43584" w:rsidRDefault="00A148E6" w:rsidP="00F236AA">
            <w:pPr>
              <w:pStyle w:val="NoSpacing"/>
              <w:jc w:val="center"/>
              <w:rPr>
                <w:rFonts w:ascii="Times New Roman" w:hAnsi="Times New Roman" w:cs="Times New Roman"/>
                <w:szCs w:val="24"/>
              </w:rPr>
            </w:pPr>
            <w:r w:rsidRPr="00D43584">
              <w:rPr>
                <w:rFonts w:ascii="Times New Roman" w:hAnsi="Times New Roman" w:cs="Times New Roman"/>
                <w:szCs w:val="24"/>
              </w:rPr>
              <w:t>40.76</w:t>
            </w:r>
          </w:p>
        </w:tc>
        <w:tc>
          <w:tcPr>
            <w:tcW w:w="1776" w:type="dxa"/>
            <w:vAlign w:val="center"/>
            <w:hideMark/>
          </w:tcPr>
          <w:p w14:paraId="5FA32D54" w14:textId="77777777" w:rsidR="00A148E6" w:rsidRPr="00D43584" w:rsidRDefault="00A148E6" w:rsidP="00F236AA">
            <w:pPr>
              <w:pStyle w:val="NoSpacing"/>
              <w:jc w:val="center"/>
              <w:rPr>
                <w:rFonts w:ascii="Times New Roman" w:hAnsi="Times New Roman" w:cs="Times New Roman"/>
                <w:szCs w:val="24"/>
              </w:rPr>
            </w:pPr>
            <w:r w:rsidRPr="00D43584">
              <w:rPr>
                <w:rFonts w:ascii="Times New Roman" w:hAnsi="Times New Roman" w:cs="Times New Roman"/>
                <w:szCs w:val="24"/>
              </w:rPr>
              <w:t>-3.63</w:t>
            </w:r>
          </w:p>
        </w:tc>
        <w:tc>
          <w:tcPr>
            <w:tcW w:w="1737" w:type="dxa"/>
            <w:vAlign w:val="center"/>
            <w:hideMark/>
          </w:tcPr>
          <w:p w14:paraId="120EE588" w14:textId="77777777" w:rsidR="00A148E6" w:rsidRPr="00D43584" w:rsidRDefault="00A148E6" w:rsidP="00F236AA">
            <w:pPr>
              <w:pStyle w:val="NoSpacing"/>
              <w:jc w:val="center"/>
              <w:rPr>
                <w:rFonts w:ascii="Times New Roman" w:hAnsi="Times New Roman" w:cs="Times New Roman"/>
                <w:szCs w:val="24"/>
              </w:rPr>
            </w:pPr>
            <w:r w:rsidRPr="00D43584">
              <w:rPr>
                <w:rFonts w:ascii="Times New Roman" w:hAnsi="Times New Roman" w:cs="Times New Roman"/>
                <w:szCs w:val="24"/>
              </w:rPr>
              <w:t>37.13</w:t>
            </w:r>
          </w:p>
        </w:tc>
        <w:tc>
          <w:tcPr>
            <w:tcW w:w="1276" w:type="dxa"/>
            <w:vAlign w:val="center"/>
            <w:hideMark/>
          </w:tcPr>
          <w:p w14:paraId="6088491A" w14:textId="77777777" w:rsidR="00A148E6" w:rsidRPr="00D43584" w:rsidRDefault="00A148E6" w:rsidP="00F236AA">
            <w:pPr>
              <w:pStyle w:val="NoSpacing"/>
              <w:jc w:val="center"/>
              <w:rPr>
                <w:rFonts w:ascii="Times New Roman" w:hAnsi="Times New Roman" w:cs="Times New Roman"/>
                <w:szCs w:val="24"/>
              </w:rPr>
            </w:pPr>
            <w:r w:rsidRPr="00D43584">
              <w:rPr>
                <w:rFonts w:ascii="Times New Roman" w:hAnsi="Times New Roman" w:cs="Times New Roman"/>
                <w:szCs w:val="24"/>
              </w:rPr>
              <w:t>-0.85</w:t>
            </w:r>
          </w:p>
        </w:tc>
      </w:tr>
      <w:tr w:rsidR="00A148E6" w:rsidRPr="00D43584" w14:paraId="51156349" w14:textId="77777777" w:rsidTr="00F236AA">
        <w:trPr>
          <w:trHeight w:val="20"/>
          <w:jc w:val="center"/>
        </w:trPr>
        <w:tc>
          <w:tcPr>
            <w:tcW w:w="763" w:type="dxa"/>
            <w:hideMark/>
          </w:tcPr>
          <w:p w14:paraId="4FDD0E9E" w14:textId="77777777" w:rsidR="00A148E6" w:rsidRPr="00D43584" w:rsidRDefault="00A148E6" w:rsidP="00B77C0B">
            <w:pPr>
              <w:pStyle w:val="NoSpacing"/>
              <w:rPr>
                <w:rFonts w:ascii="Times New Roman" w:hAnsi="Times New Roman" w:cs="Times New Roman"/>
                <w:szCs w:val="24"/>
              </w:rPr>
            </w:pPr>
            <w:r w:rsidRPr="00D43584">
              <w:rPr>
                <w:rFonts w:ascii="Times New Roman" w:hAnsi="Times New Roman" w:cs="Times New Roman"/>
                <w:szCs w:val="24"/>
              </w:rPr>
              <w:t>9.</w:t>
            </w:r>
          </w:p>
        </w:tc>
        <w:tc>
          <w:tcPr>
            <w:tcW w:w="1642" w:type="dxa"/>
            <w:hideMark/>
          </w:tcPr>
          <w:p w14:paraId="6E86A1BB" w14:textId="77777777" w:rsidR="00A148E6" w:rsidRPr="00D43584" w:rsidRDefault="00A148E6" w:rsidP="00B77C0B">
            <w:pPr>
              <w:pStyle w:val="NoSpacing"/>
              <w:rPr>
                <w:rFonts w:ascii="Times New Roman" w:hAnsi="Times New Roman" w:cs="Times New Roman"/>
                <w:szCs w:val="24"/>
              </w:rPr>
            </w:pPr>
            <w:r w:rsidRPr="00D43584">
              <w:rPr>
                <w:rFonts w:ascii="Times New Roman" w:hAnsi="Times New Roman" w:cs="Times New Roman"/>
                <w:szCs w:val="24"/>
              </w:rPr>
              <w:t>Madras</w:t>
            </w:r>
          </w:p>
        </w:tc>
        <w:tc>
          <w:tcPr>
            <w:tcW w:w="0" w:type="auto"/>
            <w:vAlign w:val="center"/>
            <w:hideMark/>
          </w:tcPr>
          <w:p w14:paraId="3DF77713" w14:textId="77777777" w:rsidR="00A148E6" w:rsidRPr="00D43584" w:rsidRDefault="00A148E6" w:rsidP="00F236AA">
            <w:pPr>
              <w:pStyle w:val="NoSpacing"/>
              <w:jc w:val="center"/>
              <w:rPr>
                <w:rFonts w:ascii="Times New Roman" w:hAnsi="Times New Roman" w:cs="Times New Roman"/>
                <w:szCs w:val="24"/>
              </w:rPr>
            </w:pPr>
            <w:r w:rsidRPr="00D43584">
              <w:rPr>
                <w:rFonts w:ascii="Times New Roman" w:hAnsi="Times New Roman" w:cs="Times New Roman"/>
                <w:szCs w:val="24"/>
              </w:rPr>
              <w:t>9.20</w:t>
            </w:r>
          </w:p>
        </w:tc>
        <w:tc>
          <w:tcPr>
            <w:tcW w:w="0" w:type="auto"/>
            <w:vAlign w:val="center"/>
            <w:hideMark/>
          </w:tcPr>
          <w:p w14:paraId="599FDC5B" w14:textId="77777777" w:rsidR="00A148E6" w:rsidRPr="00D43584" w:rsidRDefault="00A148E6" w:rsidP="00F236AA">
            <w:pPr>
              <w:pStyle w:val="NoSpacing"/>
              <w:jc w:val="center"/>
              <w:rPr>
                <w:rFonts w:ascii="Times New Roman" w:hAnsi="Times New Roman" w:cs="Times New Roman"/>
                <w:szCs w:val="24"/>
              </w:rPr>
            </w:pPr>
            <w:r w:rsidRPr="00D43584">
              <w:rPr>
                <w:rFonts w:ascii="Times New Roman" w:hAnsi="Times New Roman" w:cs="Times New Roman"/>
                <w:szCs w:val="24"/>
              </w:rPr>
              <w:t>6.00</w:t>
            </w:r>
          </w:p>
        </w:tc>
        <w:tc>
          <w:tcPr>
            <w:tcW w:w="0" w:type="auto"/>
            <w:vAlign w:val="center"/>
            <w:hideMark/>
          </w:tcPr>
          <w:p w14:paraId="64D581B2" w14:textId="77777777" w:rsidR="00A148E6" w:rsidRPr="00D43584" w:rsidRDefault="00A148E6" w:rsidP="00F236AA">
            <w:pPr>
              <w:pStyle w:val="NoSpacing"/>
              <w:jc w:val="center"/>
              <w:rPr>
                <w:rFonts w:ascii="Times New Roman" w:hAnsi="Times New Roman" w:cs="Times New Roman"/>
                <w:szCs w:val="24"/>
              </w:rPr>
            </w:pPr>
            <w:r w:rsidRPr="00D43584">
              <w:rPr>
                <w:rFonts w:ascii="Times New Roman" w:hAnsi="Times New Roman" w:cs="Times New Roman"/>
                <w:szCs w:val="24"/>
              </w:rPr>
              <w:t>11.10</w:t>
            </w:r>
          </w:p>
        </w:tc>
        <w:tc>
          <w:tcPr>
            <w:tcW w:w="0" w:type="auto"/>
            <w:vAlign w:val="center"/>
            <w:hideMark/>
          </w:tcPr>
          <w:p w14:paraId="6DDD866B" w14:textId="77777777" w:rsidR="00A148E6" w:rsidRPr="00D43584" w:rsidRDefault="00A148E6" w:rsidP="00F236AA">
            <w:pPr>
              <w:pStyle w:val="NoSpacing"/>
              <w:jc w:val="center"/>
              <w:rPr>
                <w:rFonts w:ascii="Times New Roman" w:hAnsi="Times New Roman" w:cs="Times New Roman"/>
                <w:szCs w:val="24"/>
              </w:rPr>
            </w:pPr>
            <w:r w:rsidRPr="00D43584">
              <w:rPr>
                <w:rFonts w:ascii="Times New Roman" w:hAnsi="Times New Roman" w:cs="Times New Roman"/>
                <w:szCs w:val="24"/>
              </w:rPr>
              <w:t>12.23</w:t>
            </w:r>
          </w:p>
        </w:tc>
        <w:tc>
          <w:tcPr>
            <w:tcW w:w="0" w:type="auto"/>
            <w:vAlign w:val="center"/>
            <w:hideMark/>
          </w:tcPr>
          <w:p w14:paraId="667AA144" w14:textId="77777777" w:rsidR="00A148E6" w:rsidRPr="00D43584" w:rsidRDefault="00A148E6" w:rsidP="00F236AA">
            <w:pPr>
              <w:pStyle w:val="NoSpacing"/>
              <w:jc w:val="center"/>
              <w:rPr>
                <w:rFonts w:ascii="Times New Roman" w:hAnsi="Times New Roman" w:cs="Times New Roman"/>
                <w:szCs w:val="24"/>
              </w:rPr>
            </w:pPr>
            <w:r w:rsidRPr="00D43584">
              <w:rPr>
                <w:rFonts w:ascii="Times New Roman" w:hAnsi="Times New Roman" w:cs="Times New Roman"/>
                <w:szCs w:val="24"/>
              </w:rPr>
              <w:t>38.53</w:t>
            </w:r>
          </w:p>
        </w:tc>
        <w:tc>
          <w:tcPr>
            <w:tcW w:w="1737" w:type="dxa"/>
            <w:vAlign w:val="center"/>
            <w:hideMark/>
          </w:tcPr>
          <w:p w14:paraId="0989AB36" w14:textId="77777777" w:rsidR="00A148E6" w:rsidRPr="00D43584" w:rsidRDefault="00A148E6" w:rsidP="00F236AA">
            <w:pPr>
              <w:pStyle w:val="NoSpacing"/>
              <w:jc w:val="center"/>
              <w:rPr>
                <w:rFonts w:ascii="Times New Roman" w:hAnsi="Times New Roman" w:cs="Times New Roman"/>
                <w:szCs w:val="24"/>
              </w:rPr>
            </w:pPr>
            <w:r w:rsidRPr="00D43584">
              <w:rPr>
                <w:rFonts w:ascii="Times New Roman" w:hAnsi="Times New Roman" w:cs="Times New Roman"/>
                <w:szCs w:val="24"/>
              </w:rPr>
              <w:t>29.41</w:t>
            </w:r>
          </w:p>
        </w:tc>
        <w:tc>
          <w:tcPr>
            <w:tcW w:w="1776" w:type="dxa"/>
            <w:vAlign w:val="center"/>
            <w:hideMark/>
          </w:tcPr>
          <w:p w14:paraId="0179F39D" w14:textId="77777777" w:rsidR="00A148E6" w:rsidRPr="00D43584" w:rsidRDefault="00A148E6" w:rsidP="00F236AA">
            <w:pPr>
              <w:pStyle w:val="NoSpacing"/>
              <w:jc w:val="center"/>
              <w:rPr>
                <w:rFonts w:ascii="Times New Roman" w:hAnsi="Times New Roman" w:cs="Times New Roman"/>
                <w:szCs w:val="24"/>
              </w:rPr>
            </w:pPr>
            <w:r w:rsidRPr="00D43584">
              <w:rPr>
                <w:rFonts w:ascii="Times New Roman" w:hAnsi="Times New Roman" w:cs="Times New Roman"/>
                <w:szCs w:val="24"/>
              </w:rPr>
              <w:t>21.49</w:t>
            </w:r>
          </w:p>
        </w:tc>
        <w:tc>
          <w:tcPr>
            <w:tcW w:w="1737" w:type="dxa"/>
            <w:vAlign w:val="center"/>
            <w:hideMark/>
          </w:tcPr>
          <w:p w14:paraId="3E837BF7" w14:textId="77777777" w:rsidR="00A148E6" w:rsidRPr="00D43584" w:rsidRDefault="00A148E6" w:rsidP="00F236AA">
            <w:pPr>
              <w:pStyle w:val="NoSpacing"/>
              <w:jc w:val="center"/>
              <w:rPr>
                <w:rFonts w:ascii="Times New Roman" w:hAnsi="Times New Roman" w:cs="Times New Roman"/>
                <w:szCs w:val="24"/>
              </w:rPr>
            </w:pPr>
            <w:r w:rsidRPr="00D43584">
              <w:rPr>
                <w:rFonts w:ascii="Times New Roman" w:hAnsi="Times New Roman" w:cs="Times New Roman"/>
                <w:szCs w:val="24"/>
              </w:rPr>
              <w:t>50.90</w:t>
            </w:r>
          </w:p>
        </w:tc>
        <w:tc>
          <w:tcPr>
            <w:tcW w:w="1276" w:type="dxa"/>
            <w:vAlign w:val="center"/>
            <w:hideMark/>
          </w:tcPr>
          <w:p w14:paraId="553799D5" w14:textId="77777777" w:rsidR="00A148E6" w:rsidRPr="00D43584" w:rsidRDefault="00A148E6" w:rsidP="00F236AA">
            <w:pPr>
              <w:pStyle w:val="NoSpacing"/>
              <w:jc w:val="center"/>
              <w:rPr>
                <w:rFonts w:ascii="Times New Roman" w:hAnsi="Times New Roman" w:cs="Times New Roman"/>
                <w:szCs w:val="24"/>
              </w:rPr>
            </w:pPr>
            <w:r w:rsidRPr="00D43584">
              <w:rPr>
                <w:rFonts w:ascii="Times New Roman" w:hAnsi="Times New Roman" w:cs="Times New Roman"/>
                <w:szCs w:val="24"/>
              </w:rPr>
              <w:t>-12.37</w:t>
            </w:r>
          </w:p>
        </w:tc>
      </w:tr>
      <w:tr w:rsidR="00A148E6" w:rsidRPr="00D43584" w14:paraId="7E7CBB92" w14:textId="77777777" w:rsidTr="00F236AA">
        <w:trPr>
          <w:trHeight w:val="20"/>
          <w:jc w:val="center"/>
        </w:trPr>
        <w:tc>
          <w:tcPr>
            <w:tcW w:w="763" w:type="dxa"/>
            <w:hideMark/>
          </w:tcPr>
          <w:p w14:paraId="3C8EB85E" w14:textId="77777777" w:rsidR="00A148E6" w:rsidRPr="00D43584" w:rsidRDefault="00A148E6" w:rsidP="00B77C0B">
            <w:pPr>
              <w:pStyle w:val="NoSpacing"/>
              <w:rPr>
                <w:rFonts w:ascii="Times New Roman" w:hAnsi="Times New Roman" w:cs="Times New Roman"/>
                <w:szCs w:val="24"/>
              </w:rPr>
            </w:pPr>
            <w:r w:rsidRPr="00D43584">
              <w:rPr>
                <w:rFonts w:ascii="Times New Roman" w:hAnsi="Times New Roman" w:cs="Times New Roman"/>
                <w:szCs w:val="24"/>
              </w:rPr>
              <w:t>10.</w:t>
            </w:r>
          </w:p>
        </w:tc>
        <w:tc>
          <w:tcPr>
            <w:tcW w:w="1642" w:type="dxa"/>
            <w:hideMark/>
          </w:tcPr>
          <w:p w14:paraId="4A43C79D" w14:textId="77777777" w:rsidR="00A148E6" w:rsidRPr="00D43584" w:rsidRDefault="00A148E6" w:rsidP="00B77C0B">
            <w:pPr>
              <w:pStyle w:val="NoSpacing"/>
              <w:rPr>
                <w:rFonts w:ascii="Times New Roman" w:hAnsi="Times New Roman" w:cs="Times New Roman"/>
                <w:szCs w:val="24"/>
              </w:rPr>
            </w:pPr>
            <w:r w:rsidRPr="00D43584">
              <w:rPr>
                <w:rFonts w:ascii="Times New Roman" w:hAnsi="Times New Roman" w:cs="Times New Roman"/>
                <w:szCs w:val="24"/>
              </w:rPr>
              <w:t>Maharashtra</w:t>
            </w:r>
          </w:p>
        </w:tc>
        <w:tc>
          <w:tcPr>
            <w:tcW w:w="0" w:type="auto"/>
            <w:vAlign w:val="center"/>
            <w:hideMark/>
          </w:tcPr>
          <w:p w14:paraId="254DA73B" w14:textId="77777777" w:rsidR="00A148E6" w:rsidRPr="00D43584" w:rsidRDefault="00A148E6" w:rsidP="00F236AA">
            <w:pPr>
              <w:pStyle w:val="NoSpacing"/>
              <w:jc w:val="center"/>
              <w:rPr>
                <w:rFonts w:ascii="Times New Roman" w:hAnsi="Times New Roman" w:cs="Times New Roman"/>
                <w:szCs w:val="24"/>
              </w:rPr>
            </w:pPr>
            <w:r w:rsidRPr="00D43584">
              <w:rPr>
                <w:rFonts w:ascii="Times New Roman" w:hAnsi="Times New Roman" w:cs="Times New Roman"/>
                <w:szCs w:val="24"/>
              </w:rPr>
              <w:t>12.04</w:t>
            </w:r>
          </w:p>
        </w:tc>
        <w:tc>
          <w:tcPr>
            <w:tcW w:w="0" w:type="auto"/>
            <w:vAlign w:val="center"/>
            <w:hideMark/>
          </w:tcPr>
          <w:p w14:paraId="2F154A11" w14:textId="77777777" w:rsidR="00A148E6" w:rsidRPr="00D43584" w:rsidRDefault="00A148E6" w:rsidP="00F236AA">
            <w:pPr>
              <w:pStyle w:val="NoSpacing"/>
              <w:jc w:val="center"/>
              <w:rPr>
                <w:rFonts w:ascii="Times New Roman" w:hAnsi="Times New Roman" w:cs="Times New Roman"/>
                <w:szCs w:val="24"/>
              </w:rPr>
            </w:pPr>
            <w:r w:rsidRPr="00D43584">
              <w:rPr>
                <w:rFonts w:ascii="Times New Roman" w:hAnsi="Times New Roman" w:cs="Times New Roman"/>
                <w:szCs w:val="24"/>
              </w:rPr>
              <w:t>15.00</w:t>
            </w:r>
          </w:p>
        </w:tc>
        <w:tc>
          <w:tcPr>
            <w:tcW w:w="0" w:type="auto"/>
            <w:vAlign w:val="center"/>
            <w:hideMark/>
          </w:tcPr>
          <w:p w14:paraId="5EC73A87" w14:textId="77777777" w:rsidR="00A148E6" w:rsidRPr="00D43584" w:rsidRDefault="00A148E6" w:rsidP="00F236AA">
            <w:pPr>
              <w:pStyle w:val="NoSpacing"/>
              <w:jc w:val="center"/>
              <w:rPr>
                <w:rFonts w:ascii="Times New Roman" w:hAnsi="Times New Roman" w:cs="Times New Roman"/>
                <w:szCs w:val="24"/>
              </w:rPr>
            </w:pPr>
            <w:r w:rsidRPr="00D43584">
              <w:rPr>
                <w:rFonts w:ascii="Times New Roman" w:hAnsi="Times New Roman" w:cs="Times New Roman"/>
                <w:szCs w:val="24"/>
              </w:rPr>
              <w:t>15.72</w:t>
            </w:r>
          </w:p>
        </w:tc>
        <w:tc>
          <w:tcPr>
            <w:tcW w:w="0" w:type="auto"/>
            <w:vAlign w:val="center"/>
            <w:hideMark/>
          </w:tcPr>
          <w:p w14:paraId="1C1D2A68" w14:textId="77777777" w:rsidR="00A148E6" w:rsidRPr="00D43584" w:rsidRDefault="00A148E6" w:rsidP="00F236AA">
            <w:pPr>
              <w:pStyle w:val="NoSpacing"/>
              <w:jc w:val="center"/>
              <w:rPr>
                <w:rFonts w:ascii="Times New Roman" w:hAnsi="Times New Roman" w:cs="Times New Roman"/>
                <w:szCs w:val="24"/>
              </w:rPr>
            </w:pPr>
            <w:r w:rsidRPr="00D43584">
              <w:rPr>
                <w:rFonts w:ascii="Times New Roman" w:hAnsi="Times New Roman" w:cs="Times New Roman"/>
                <w:szCs w:val="24"/>
              </w:rPr>
              <w:t>39.18</w:t>
            </w:r>
          </w:p>
        </w:tc>
        <w:tc>
          <w:tcPr>
            <w:tcW w:w="0" w:type="auto"/>
            <w:vAlign w:val="center"/>
            <w:hideMark/>
          </w:tcPr>
          <w:p w14:paraId="25F097B2" w14:textId="77777777" w:rsidR="00A148E6" w:rsidRPr="00D43584" w:rsidRDefault="00A148E6" w:rsidP="00F236AA">
            <w:pPr>
              <w:pStyle w:val="NoSpacing"/>
              <w:jc w:val="center"/>
              <w:rPr>
                <w:rFonts w:ascii="Times New Roman" w:hAnsi="Times New Roman" w:cs="Times New Roman"/>
                <w:szCs w:val="24"/>
              </w:rPr>
            </w:pPr>
            <w:r w:rsidRPr="00D43584">
              <w:rPr>
                <w:rFonts w:ascii="Times New Roman" w:hAnsi="Times New Roman" w:cs="Times New Roman"/>
                <w:szCs w:val="24"/>
              </w:rPr>
              <w:t>81.94</w:t>
            </w:r>
          </w:p>
        </w:tc>
        <w:tc>
          <w:tcPr>
            <w:tcW w:w="1737" w:type="dxa"/>
            <w:vAlign w:val="center"/>
            <w:hideMark/>
          </w:tcPr>
          <w:p w14:paraId="19F85F2F" w14:textId="77777777" w:rsidR="00A148E6" w:rsidRPr="00D43584" w:rsidRDefault="00A148E6" w:rsidP="00F236AA">
            <w:pPr>
              <w:pStyle w:val="NoSpacing"/>
              <w:jc w:val="center"/>
              <w:rPr>
                <w:rFonts w:ascii="Times New Roman" w:hAnsi="Times New Roman" w:cs="Times New Roman"/>
                <w:szCs w:val="24"/>
              </w:rPr>
            </w:pPr>
            <w:r w:rsidRPr="00D43584">
              <w:rPr>
                <w:rFonts w:ascii="Times New Roman" w:hAnsi="Times New Roman" w:cs="Times New Roman"/>
                <w:szCs w:val="24"/>
              </w:rPr>
              <w:t>25.97</w:t>
            </w:r>
          </w:p>
        </w:tc>
        <w:tc>
          <w:tcPr>
            <w:tcW w:w="1776" w:type="dxa"/>
            <w:vAlign w:val="center"/>
            <w:hideMark/>
          </w:tcPr>
          <w:p w14:paraId="6868478B" w14:textId="77777777" w:rsidR="00A148E6" w:rsidRPr="00D43584" w:rsidRDefault="00A148E6" w:rsidP="00F236AA">
            <w:pPr>
              <w:pStyle w:val="NoSpacing"/>
              <w:jc w:val="center"/>
              <w:rPr>
                <w:rFonts w:ascii="Times New Roman" w:hAnsi="Times New Roman" w:cs="Times New Roman"/>
                <w:szCs w:val="24"/>
              </w:rPr>
            </w:pPr>
            <w:r w:rsidRPr="00D43584">
              <w:rPr>
                <w:rFonts w:ascii="Times New Roman" w:hAnsi="Times New Roman" w:cs="Times New Roman"/>
                <w:szCs w:val="24"/>
              </w:rPr>
              <w:t>35.69</w:t>
            </w:r>
          </w:p>
        </w:tc>
        <w:tc>
          <w:tcPr>
            <w:tcW w:w="1737" w:type="dxa"/>
            <w:vAlign w:val="center"/>
            <w:hideMark/>
          </w:tcPr>
          <w:p w14:paraId="038D858D" w14:textId="77777777" w:rsidR="00A148E6" w:rsidRPr="00D43584" w:rsidRDefault="00A148E6" w:rsidP="00F236AA">
            <w:pPr>
              <w:pStyle w:val="NoSpacing"/>
              <w:jc w:val="center"/>
              <w:rPr>
                <w:rFonts w:ascii="Times New Roman" w:hAnsi="Times New Roman" w:cs="Times New Roman"/>
                <w:szCs w:val="24"/>
              </w:rPr>
            </w:pPr>
            <w:r w:rsidRPr="00D43584">
              <w:rPr>
                <w:rFonts w:ascii="Times New Roman" w:hAnsi="Times New Roman" w:cs="Times New Roman"/>
                <w:szCs w:val="24"/>
              </w:rPr>
              <w:t>61.66</w:t>
            </w:r>
          </w:p>
        </w:tc>
        <w:tc>
          <w:tcPr>
            <w:tcW w:w="1276" w:type="dxa"/>
            <w:vAlign w:val="center"/>
            <w:hideMark/>
          </w:tcPr>
          <w:p w14:paraId="674934D5" w14:textId="77777777" w:rsidR="00A148E6" w:rsidRPr="00D43584" w:rsidRDefault="00A148E6" w:rsidP="00F236AA">
            <w:pPr>
              <w:pStyle w:val="NoSpacing"/>
              <w:jc w:val="center"/>
              <w:rPr>
                <w:rFonts w:ascii="Times New Roman" w:hAnsi="Times New Roman" w:cs="Times New Roman"/>
                <w:szCs w:val="24"/>
              </w:rPr>
            </w:pPr>
            <w:r w:rsidRPr="00D43584">
              <w:rPr>
                <w:rFonts w:ascii="Times New Roman" w:hAnsi="Times New Roman" w:cs="Times New Roman"/>
                <w:szCs w:val="24"/>
              </w:rPr>
              <w:t>+20.28</w:t>
            </w:r>
          </w:p>
        </w:tc>
      </w:tr>
      <w:tr w:rsidR="00A148E6" w:rsidRPr="00D43584" w14:paraId="6104AF45" w14:textId="77777777" w:rsidTr="00F236AA">
        <w:trPr>
          <w:trHeight w:val="20"/>
          <w:jc w:val="center"/>
        </w:trPr>
        <w:tc>
          <w:tcPr>
            <w:tcW w:w="763" w:type="dxa"/>
            <w:hideMark/>
          </w:tcPr>
          <w:p w14:paraId="1234DB55" w14:textId="77777777" w:rsidR="00A148E6" w:rsidRPr="00D43584" w:rsidRDefault="00A148E6" w:rsidP="00B77C0B">
            <w:pPr>
              <w:pStyle w:val="NoSpacing"/>
              <w:rPr>
                <w:rFonts w:ascii="Times New Roman" w:hAnsi="Times New Roman" w:cs="Times New Roman"/>
                <w:szCs w:val="24"/>
              </w:rPr>
            </w:pPr>
            <w:r w:rsidRPr="00D43584">
              <w:rPr>
                <w:rFonts w:ascii="Times New Roman" w:hAnsi="Times New Roman" w:cs="Times New Roman"/>
                <w:szCs w:val="24"/>
              </w:rPr>
              <w:t>11.</w:t>
            </w:r>
          </w:p>
        </w:tc>
        <w:tc>
          <w:tcPr>
            <w:tcW w:w="1642" w:type="dxa"/>
            <w:hideMark/>
          </w:tcPr>
          <w:p w14:paraId="10CF1922" w14:textId="77777777" w:rsidR="00A148E6" w:rsidRPr="00D43584" w:rsidRDefault="00A148E6" w:rsidP="00B77C0B">
            <w:pPr>
              <w:pStyle w:val="NoSpacing"/>
              <w:rPr>
                <w:rFonts w:ascii="Times New Roman" w:hAnsi="Times New Roman" w:cs="Times New Roman"/>
                <w:szCs w:val="24"/>
              </w:rPr>
            </w:pPr>
            <w:r w:rsidRPr="00D43584">
              <w:rPr>
                <w:rFonts w:ascii="Times New Roman" w:hAnsi="Times New Roman" w:cs="Times New Roman"/>
                <w:szCs w:val="24"/>
              </w:rPr>
              <w:t>Mysore</w:t>
            </w:r>
          </w:p>
        </w:tc>
        <w:tc>
          <w:tcPr>
            <w:tcW w:w="0" w:type="auto"/>
            <w:vAlign w:val="center"/>
            <w:hideMark/>
          </w:tcPr>
          <w:p w14:paraId="7403EB3D" w14:textId="77777777" w:rsidR="00A148E6" w:rsidRPr="00D43584" w:rsidRDefault="00A148E6" w:rsidP="00F236AA">
            <w:pPr>
              <w:pStyle w:val="NoSpacing"/>
              <w:jc w:val="center"/>
              <w:rPr>
                <w:rFonts w:ascii="Times New Roman" w:hAnsi="Times New Roman" w:cs="Times New Roman"/>
                <w:szCs w:val="24"/>
              </w:rPr>
            </w:pPr>
            <w:r w:rsidRPr="00D43584">
              <w:rPr>
                <w:rFonts w:ascii="Times New Roman" w:hAnsi="Times New Roman" w:cs="Times New Roman"/>
                <w:szCs w:val="24"/>
              </w:rPr>
              <w:t>2.91</w:t>
            </w:r>
          </w:p>
        </w:tc>
        <w:tc>
          <w:tcPr>
            <w:tcW w:w="0" w:type="auto"/>
            <w:vAlign w:val="center"/>
            <w:hideMark/>
          </w:tcPr>
          <w:p w14:paraId="556484B6" w14:textId="77777777" w:rsidR="00A148E6" w:rsidRPr="00D43584" w:rsidRDefault="00A148E6" w:rsidP="00F236AA">
            <w:pPr>
              <w:pStyle w:val="NoSpacing"/>
              <w:jc w:val="center"/>
              <w:rPr>
                <w:rFonts w:ascii="Times New Roman" w:hAnsi="Times New Roman" w:cs="Times New Roman"/>
                <w:szCs w:val="24"/>
              </w:rPr>
            </w:pPr>
            <w:r w:rsidRPr="00D43584">
              <w:rPr>
                <w:rFonts w:ascii="Times New Roman" w:hAnsi="Times New Roman" w:cs="Times New Roman"/>
                <w:szCs w:val="24"/>
              </w:rPr>
              <w:t>3.00</w:t>
            </w:r>
          </w:p>
        </w:tc>
        <w:tc>
          <w:tcPr>
            <w:tcW w:w="0" w:type="auto"/>
            <w:vAlign w:val="center"/>
            <w:hideMark/>
          </w:tcPr>
          <w:p w14:paraId="0C441635" w14:textId="77777777" w:rsidR="00A148E6" w:rsidRPr="00D43584" w:rsidRDefault="00A148E6" w:rsidP="00F236AA">
            <w:pPr>
              <w:pStyle w:val="NoSpacing"/>
              <w:jc w:val="center"/>
              <w:rPr>
                <w:rFonts w:ascii="Times New Roman" w:hAnsi="Times New Roman" w:cs="Times New Roman"/>
                <w:szCs w:val="24"/>
              </w:rPr>
            </w:pPr>
            <w:r w:rsidRPr="00D43584">
              <w:rPr>
                <w:rFonts w:ascii="Times New Roman" w:hAnsi="Times New Roman" w:cs="Times New Roman"/>
                <w:szCs w:val="24"/>
              </w:rPr>
              <w:t>13.63</w:t>
            </w:r>
          </w:p>
        </w:tc>
        <w:tc>
          <w:tcPr>
            <w:tcW w:w="0" w:type="auto"/>
            <w:vAlign w:val="center"/>
            <w:hideMark/>
          </w:tcPr>
          <w:p w14:paraId="2B14ABCC" w14:textId="77777777" w:rsidR="00A148E6" w:rsidRPr="00D43584" w:rsidRDefault="00A148E6" w:rsidP="00F236AA">
            <w:pPr>
              <w:pStyle w:val="NoSpacing"/>
              <w:jc w:val="center"/>
              <w:rPr>
                <w:rFonts w:ascii="Times New Roman" w:hAnsi="Times New Roman" w:cs="Times New Roman"/>
                <w:szCs w:val="24"/>
              </w:rPr>
            </w:pPr>
            <w:r w:rsidRPr="00D43584">
              <w:rPr>
                <w:rFonts w:ascii="Times New Roman" w:hAnsi="Times New Roman" w:cs="Times New Roman"/>
                <w:szCs w:val="24"/>
              </w:rPr>
              <w:t>14.55</w:t>
            </w:r>
          </w:p>
        </w:tc>
        <w:tc>
          <w:tcPr>
            <w:tcW w:w="0" w:type="auto"/>
            <w:vAlign w:val="center"/>
            <w:hideMark/>
          </w:tcPr>
          <w:p w14:paraId="530F81F5" w14:textId="77777777" w:rsidR="00A148E6" w:rsidRPr="00D43584" w:rsidRDefault="00A148E6" w:rsidP="00F236AA">
            <w:pPr>
              <w:pStyle w:val="NoSpacing"/>
              <w:jc w:val="center"/>
              <w:rPr>
                <w:rFonts w:ascii="Times New Roman" w:hAnsi="Times New Roman" w:cs="Times New Roman"/>
                <w:szCs w:val="24"/>
              </w:rPr>
            </w:pPr>
            <w:r w:rsidRPr="00D43584">
              <w:rPr>
                <w:rFonts w:ascii="Times New Roman" w:hAnsi="Times New Roman" w:cs="Times New Roman"/>
                <w:szCs w:val="24"/>
              </w:rPr>
              <w:t>34.09</w:t>
            </w:r>
          </w:p>
        </w:tc>
        <w:tc>
          <w:tcPr>
            <w:tcW w:w="1737" w:type="dxa"/>
            <w:vAlign w:val="center"/>
            <w:hideMark/>
          </w:tcPr>
          <w:p w14:paraId="14F96D79" w14:textId="77777777" w:rsidR="00A148E6" w:rsidRPr="00D43584" w:rsidRDefault="00A148E6" w:rsidP="00F236AA">
            <w:pPr>
              <w:pStyle w:val="NoSpacing"/>
              <w:jc w:val="center"/>
              <w:rPr>
                <w:rFonts w:ascii="Times New Roman" w:hAnsi="Times New Roman" w:cs="Times New Roman"/>
                <w:szCs w:val="24"/>
              </w:rPr>
            </w:pPr>
            <w:r w:rsidRPr="00D43584">
              <w:rPr>
                <w:rFonts w:ascii="Times New Roman" w:hAnsi="Times New Roman" w:cs="Times New Roman"/>
                <w:szCs w:val="24"/>
              </w:rPr>
              <w:t>32.00</w:t>
            </w:r>
          </w:p>
        </w:tc>
        <w:tc>
          <w:tcPr>
            <w:tcW w:w="1776" w:type="dxa"/>
            <w:vAlign w:val="center"/>
            <w:hideMark/>
          </w:tcPr>
          <w:p w14:paraId="3FE969CA" w14:textId="77777777" w:rsidR="00A148E6" w:rsidRPr="00D43584" w:rsidRDefault="00A148E6" w:rsidP="00F236AA">
            <w:pPr>
              <w:pStyle w:val="NoSpacing"/>
              <w:jc w:val="center"/>
              <w:rPr>
                <w:rFonts w:ascii="Times New Roman" w:hAnsi="Times New Roman" w:cs="Times New Roman"/>
                <w:szCs w:val="24"/>
              </w:rPr>
            </w:pPr>
            <w:r w:rsidRPr="00D43584">
              <w:rPr>
                <w:rFonts w:ascii="Times New Roman" w:hAnsi="Times New Roman" w:cs="Times New Roman"/>
                <w:szCs w:val="24"/>
              </w:rPr>
              <w:t>18.78</w:t>
            </w:r>
          </w:p>
        </w:tc>
        <w:tc>
          <w:tcPr>
            <w:tcW w:w="1737" w:type="dxa"/>
            <w:vAlign w:val="center"/>
            <w:hideMark/>
          </w:tcPr>
          <w:p w14:paraId="788C3203" w14:textId="77777777" w:rsidR="00A148E6" w:rsidRPr="00D43584" w:rsidRDefault="00A148E6" w:rsidP="00F236AA">
            <w:pPr>
              <w:pStyle w:val="NoSpacing"/>
              <w:jc w:val="center"/>
              <w:rPr>
                <w:rFonts w:ascii="Times New Roman" w:hAnsi="Times New Roman" w:cs="Times New Roman"/>
                <w:szCs w:val="24"/>
              </w:rPr>
            </w:pPr>
            <w:r w:rsidRPr="00D43584">
              <w:rPr>
                <w:rFonts w:ascii="Times New Roman" w:hAnsi="Times New Roman" w:cs="Times New Roman"/>
                <w:szCs w:val="24"/>
              </w:rPr>
              <w:t>50.78</w:t>
            </w:r>
          </w:p>
        </w:tc>
        <w:tc>
          <w:tcPr>
            <w:tcW w:w="1276" w:type="dxa"/>
            <w:vAlign w:val="center"/>
            <w:hideMark/>
          </w:tcPr>
          <w:p w14:paraId="35678FCE" w14:textId="77777777" w:rsidR="00A148E6" w:rsidRPr="00D43584" w:rsidRDefault="00A148E6" w:rsidP="00F236AA">
            <w:pPr>
              <w:pStyle w:val="NoSpacing"/>
              <w:jc w:val="center"/>
              <w:rPr>
                <w:rFonts w:ascii="Times New Roman" w:hAnsi="Times New Roman" w:cs="Times New Roman"/>
                <w:szCs w:val="24"/>
              </w:rPr>
            </w:pPr>
            <w:r w:rsidRPr="00D43584">
              <w:rPr>
                <w:rFonts w:ascii="Times New Roman" w:hAnsi="Times New Roman" w:cs="Times New Roman"/>
                <w:szCs w:val="24"/>
              </w:rPr>
              <w:t>-16.69</w:t>
            </w:r>
          </w:p>
        </w:tc>
      </w:tr>
      <w:tr w:rsidR="00A148E6" w:rsidRPr="00D43584" w14:paraId="12DA615E" w14:textId="77777777" w:rsidTr="00F236AA">
        <w:trPr>
          <w:trHeight w:val="20"/>
          <w:jc w:val="center"/>
        </w:trPr>
        <w:tc>
          <w:tcPr>
            <w:tcW w:w="763" w:type="dxa"/>
            <w:hideMark/>
          </w:tcPr>
          <w:p w14:paraId="0BC4D751" w14:textId="77777777" w:rsidR="00A148E6" w:rsidRPr="00D43584" w:rsidRDefault="00A148E6" w:rsidP="00B77C0B">
            <w:pPr>
              <w:pStyle w:val="NoSpacing"/>
              <w:rPr>
                <w:rFonts w:ascii="Times New Roman" w:hAnsi="Times New Roman" w:cs="Times New Roman"/>
                <w:szCs w:val="24"/>
              </w:rPr>
            </w:pPr>
            <w:r w:rsidRPr="00D43584">
              <w:rPr>
                <w:rFonts w:ascii="Times New Roman" w:hAnsi="Times New Roman" w:cs="Times New Roman"/>
                <w:szCs w:val="24"/>
              </w:rPr>
              <w:t>12.</w:t>
            </w:r>
          </w:p>
        </w:tc>
        <w:tc>
          <w:tcPr>
            <w:tcW w:w="1642" w:type="dxa"/>
            <w:hideMark/>
          </w:tcPr>
          <w:p w14:paraId="1984EB76" w14:textId="77777777" w:rsidR="00A148E6" w:rsidRPr="00D43584" w:rsidRDefault="00A148E6" w:rsidP="00B77C0B">
            <w:pPr>
              <w:pStyle w:val="NoSpacing"/>
              <w:rPr>
                <w:rFonts w:ascii="Times New Roman" w:hAnsi="Times New Roman" w:cs="Times New Roman"/>
                <w:szCs w:val="24"/>
              </w:rPr>
            </w:pPr>
            <w:r w:rsidRPr="00D43584">
              <w:rPr>
                <w:rFonts w:ascii="Times New Roman" w:hAnsi="Times New Roman" w:cs="Times New Roman"/>
                <w:szCs w:val="24"/>
              </w:rPr>
              <w:t>Orissa</w:t>
            </w:r>
          </w:p>
        </w:tc>
        <w:tc>
          <w:tcPr>
            <w:tcW w:w="0" w:type="auto"/>
            <w:vAlign w:val="center"/>
            <w:hideMark/>
          </w:tcPr>
          <w:p w14:paraId="1B49C7B7" w14:textId="77777777" w:rsidR="00A148E6" w:rsidRPr="00D43584" w:rsidRDefault="00A148E6" w:rsidP="00F236AA">
            <w:pPr>
              <w:pStyle w:val="NoSpacing"/>
              <w:jc w:val="center"/>
              <w:rPr>
                <w:rFonts w:ascii="Times New Roman" w:hAnsi="Times New Roman" w:cs="Times New Roman"/>
                <w:szCs w:val="24"/>
              </w:rPr>
            </w:pPr>
            <w:r w:rsidRPr="00D43584">
              <w:rPr>
                <w:rFonts w:ascii="Times New Roman" w:hAnsi="Times New Roman" w:cs="Times New Roman"/>
                <w:szCs w:val="24"/>
              </w:rPr>
              <w:t>4.40</w:t>
            </w:r>
          </w:p>
        </w:tc>
        <w:tc>
          <w:tcPr>
            <w:tcW w:w="0" w:type="auto"/>
            <w:vAlign w:val="center"/>
            <w:hideMark/>
          </w:tcPr>
          <w:p w14:paraId="787F73A5" w14:textId="77777777" w:rsidR="00A148E6" w:rsidRPr="00D43584" w:rsidRDefault="00A148E6" w:rsidP="00F236AA">
            <w:pPr>
              <w:pStyle w:val="NoSpacing"/>
              <w:jc w:val="center"/>
              <w:rPr>
                <w:rFonts w:ascii="Times New Roman" w:hAnsi="Times New Roman" w:cs="Times New Roman"/>
                <w:szCs w:val="24"/>
              </w:rPr>
            </w:pPr>
            <w:r w:rsidRPr="00D43584">
              <w:rPr>
                <w:rFonts w:ascii="Times New Roman" w:hAnsi="Times New Roman" w:cs="Times New Roman"/>
                <w:szCs w:val="24"/>
              </w:rPr>
              <w:t>2.60</w:t>
            </w:r>
          </w:p>
        </w:tc>
        <w:tc>
          <w:tcPr>
            <w:tcW w:w="0" w:type="auto"/>
            <w:vAlign w:val="center"/>
            <w:hideMark/>
          </w:tcPr>
          <w:p w14:paraId="4C847BAC" w14:textId="77777777" w:rsidR="00A148E6" w:rsidRPr="00D43584" w:rsidRDefault="00A148E6" w:rsidP="00F236AA">
            <w:pPr>
              <w:pStyle w:val="NoSpacing"/>
              <w:jc w:val="center"/>
              <w:rPr>
                <w:rFonts w:ascii="Times New Roman" w:hAnsi="Times New Roman" w:cs="Times New Roman"/>
                <w:szCs w:val="24"/>
              </w:rPr>
            </w:pPr>
            <w:r w:rsidRPr="00D43584">
              <w:rPr>
                <w:rFonts w:ascii="Times New Roman" w:hAnsi="Times New Roman" w:cs="Times New Roman"/>
                <w:szCs w:val="24"/>
              </w:rPr>
              <w:t>3.24</w:t>
            </w:r>
          </w:p>
        </w:tc>
        <w:tc>
          <w:tcPr>
            <w:tcW w:w="0" w:type="auto"/>
            <w:vAlign w:val="center"/>
            <w:hideMark/>
          </w:tcPr>
          <w:p w14:paraId="118963B5" w14:textId="77777777" w:rsidR="00A148E6" w:rsidRPr="00D43584" w:rsidRDefault="00A148E6" w:rsidP="00F236AA">
            <w:pPr>
              <w:pStyle w:val="NoSpacing"/>
              <w:jc w:val="center"/>
              <w:rPr>
                <w:rFonts w:ascii="Times New Roman" w:hAnsi="Times New Roman" w:cs="Times New Roman"/>
                <w:szCs w:val="24"/>
              </w:rPr>
            </w:pPr>
            <w:r w:rsidRPr="00D43584">
              <w:rPr>
                <w:rFonts w:ascii="Times New Roman" w:hAnsi="Times New Roman" w:cs="Times New Roman"/>
                <w:szCs w:val="24"/>
              </w:rPr>
              <w:t>8.50</w:t>
            </w:r>
          </w:p>
        </w:tc>
        <w:tc>
          <w:tcPr>
            <w:tcW w:w="0" w:type="auto"/>
            <w:vAlign w:val="center"/>
            <w:hideMark/>
          </w:tcPr>
          <w:p w14:paraId="5EC2D1A5" w14:textId="77777777" w:rsidR="00A148E6" w:rsidRPr="00D43584" w:rsidRDefault="00A148E6" w:rsidP="00F236AA">
            <w:pPr>
              <w:pStyle w:val="NoSpacing"/>
              <w:jc w:val="center"/>
              <w:rPr>
                <w:rFonts w:ascii="Times New Roman" w:hAnsi="Times New Roman" w:cs="Times New Roman"/>
                <w:szCs w:val="24"/>
              </w:rPr>
            </w:pPr>
            <w:r w:rsidRPr="00D43584">
              <w:rPr>
                <w:rFonts w:ascii="Times New Roman" w:hAnsi="Times New Roman" w:cs="Times New Roman"/>
                <w:szCs w:val="24"/>
              </w:rPr>
              <w:t>18.74</w:t>
            </w:r>
          </w:p>
        </w:tc>
        <w:tc>
          <w:tcPr>
            <w:tcW w:w="1737" w:type="dxa"/>
            <w:vAlign w:val="center"/>
            <w:hideMark/>
          </w:tcPr>
          <w:p w14:paraId="72F19E4D" w14:textId="77777777" w:rsidR="00A148E6" w:rsidRPr="00D43584" w:rsidRDefault="00A148E6" w:rsidP="00F236AA">
            <w:pPr>
              <w:pStyle w:val="NoSpacing"/>
              <w:jc w:val="center"/>
              <w:rPr>
                <w:rFonts w:ascii="Times New Roman" w:hAnsi="Times New Roman" w:cs="Times New Roman"/>
                <w:szCs w:val="24"/>
              </w:rPr>
            </w:pPr>
            <w:r w:rsidRPr="00D43584">
              <w:rPr>
                <w:rFonts w:ascii="Times New Roman" w:hAnsi="Times New Roman" w:cs="Times New Roman"/>
                <w:szCs w:val="24"/>
              </w:rPr>
              <w:t>17.57</w:t>
            </w:r>
          </w:p>
        </w:tc>
        <w:tc>
          <w:tcPr>
            <w:tcW w:w="1776" w:type="dxa"/>
            <w:vAlign w:val="center"/>
            <w:hideMark/>
          </w:tcPr>
          <w:p w14:paraId="3A52D760" w14:textId="77777777" w:rsidR="00A148E6" w:rsidRPr="00D43584" w:rsidRDefault="00A148E6" w:rsidP="00F236AA">
            <w:pPr>
              <w:pStyle w:val="NoSpacing"/>
              <w:jc w:val="center"/>
              <w:rPr>
                <w:rFonts w:ascii="Times New Roman" w:hAnsi="Times New Roman" w:cs="Times New Roman"/>
                <w:szCs w:val="24"/>
              </w:rPr>
            </w:pPr>
            <w:r w:rsidRPr="00D43584">
              <w:rPr>
                <w:rFonts w:ascii="Times New Roman" w:hAnsi="Times New Roman" w:cs="Times New Roman"/>
                <w:szCs w:val="24"/>
              </w:rPr>
              <w:t>-3.08</w:t>
            </w:r>
          </w:p>
        </w:tc>
        <w:tc>
          <w:tcPr>
            <w:tcW w:w="1737" w:type="dxa"/>
            <w:vAlign w:val="center"/>
            <w:hideMark/>
          </w:tcPr>
          <w:p w14:paraId="171D4AD4" w14:textId="77777777" w:rsidR="00A148E6" w:rsidRPr="00D43584" w:rsidRDefault="00A148E6" w:rsidP="00F236AA">
            <w:pPr>
              <w:pStyle w:val="NoSpacing"/>
              <w:jc w:val="center"/>
              <w:rPr>
                <w:rFonts w:ascii="Times New Roman" w:hAnsi="Times New Roman" w:cs="Times New Roman"/>
                <w:szCs w:val="24"/>
              </w:rPr>
            </w:pPr>
            <w:r w:rsidRPr="00D43584">
              <w:rPr>
                <w:rFonts w:ascii="Times New Roman" w:hAnsi="Times New Roman" w:cs="Times New Roman"/>
                <w:szCs w:val="24"/>
              </w:rPr>
              <w:t>14.49</w:t>
            </w:r>
          </w:p>
        </w:tc>
        <w:tc>
          <w:tcPr>
            <w:tcW w:w="1276" w:type="dxa"/>
            <w:vAlign w:val="center"/>
            <w:hideMark/>
          </w:tcPr>
          <w:p w14:paraId="59CC6F65" w14:textId="77777777" w:rsidR="00A148E6" w:rsidRPr="00D43584" w:rsidRDefault="00A148E6" w:rsidP="00F236AA">
            <w:pPr>
              <w:pStyle w:val="NoSpacing"/>
              <w:jc w:val="center"/>
              <w:rPr>
                <w:rFonts w:ascii="Times New Roman" w:hAnsi="Times New Roman" w:cs="Times New Roman"/>
                <w:szCs w:val="24"/>
              </w:rPr>
            </w:pPr>
            <w:r w:rsidRPr="00D43584">
              <w:rPr>
                <w:rFonts w:ascii="Times New Roman" w:hAnsi="Times New Roman" w:cs="Times New Roman"/>
                <w:szCs w:val="24"/>
              </w:rPr>
              <w:t>+4.25</w:t>
            </w:r>
          </w:p>
        </w:tc>
      </w:tr>
      <w:tr w:rsidR="00A148E6" w:rsidRPr="00D43584" w14:paraId="4A0BF295" w14:textId="77777777" w:rsidTr="00F236AA">
        <w:trPr>
          <w:trHeight w:val="20"/>
          <w:jc w:val="center"/>
        </w:trPr>
        <w:tc>
          <w:tcPr>
            <w:tcW w:w="763" w:type="dxa"/>
            <w:hideMark/>
          </w:tcPr>
          <w:p w14:paraId="5ED6074C" w14:textId="77777777" w:rsidR="00A148E6" w:rsidRPr="00D43584" w:rsidRDefault="00A148E6" w:rsidP="00B77C0B">
            <w:pPr>
              <w:pStyle w:val="NoSpacing"/>
              <w:rPr>
                <w:rFonts w:ascii="Times New Roman" w:hAnsi="Times New Roman" w:cs="Times New Roman"/>
                <w:szCs w:val="24"/>
              </w:rPr>
            </w:pPr>
            <w:r w:rsidRPr="00D43584">
              <w:rPr>
                <w:rFonts w:ascii="Times New Roman" w:hAnsi="Times New Roman" w:cs="Times New Roman"/>
                <w:szCs w:val="24"/>
              </w:rPr>
              <w:t>13.</w:t>
            </w:r>
          </w:p>
        </w:tc>
        <w:tc>
          <w:tcPr>
            <w:tcW w:w="1642" w:type="dxa"/>
            <w:hideMark/>
          </w:tcPr>
          <w:p w14:paraId="53E2D8A2" w14:textId="77777777" w:rsidR="00A148E6" w:rsidRPr="00D43584" w:rsidRDefault="00A148E6" w:rsidP="00B77C0B">
            <w:pPr>
              <w:pStyle w:val="NoSpacing"/>
              <w:rPr>
                <w:rFonts w:ascii="Times New Roman" w:hAnsi="Times New Roman" w:cs="Times New Roman"/>
                <w:szCs w:val="24"/>
              </w:rPr>
            </w:pPr>
            <w:r w:rsidRPr="00D43584">
              <w:rPr>
                <w:rFonts w:ascii="Times New Roman" w:hAnsi="Times New Roman" w:cs="Times New Roman"/>
                <w:szCs w:val="24"/>
              </w:rPr>
              <w:t>Punjab</w:t>
            </w:r>
          </w:p>
        </w:tc>
        <w:tc>
          <w:tcPr>
            <w:tcW w:w="0" w:type="auto"/>
            <w:vAlign w:val="center"/>
            <w:hideMark/>
          </w:tcPr>
          <w:p w14:paraId="409D9984" w14:textId="77777777" w:rsidR="00A148E6" w:rsidRPr="00D43584" w:rsidRDefault="00A148E6" w:rsidP="00F236AA">
            <w:pPr>
              <w:pStyle w:val="NoSpacing"/>
              <w:jc w:val="center"/>
              <w:rPr>
                <w:rFonts w:ascii="Times New Roman" w:hAnsi="Times New Roman" w:cs="Times New Roman"/>
                <w:szCs w:val="24"/>
              </w:rPr>
            </w:pPr>
            <w:r w:rsidRPr="00D43584">
              <w:rPr>
                <w:rFonts w:ascii="Times New Roman" w:hAnsi="Times New Roman" w:cs="Times New Roman"/>
                <w:szCs w:val="24"/>
              </w:rPr>
              <w:t>3.00</w:t>
            </w:r>
          </w:p>
        </w:tc>
        <w:tc>
          <w:tcPr>
            <w:tcW w:w="0" w:type="auto"/>
            <w:vAlign w:val="center"/>
            <w:hideMark/>
          </w:tcPr>
          <w:p w14:paraId="79172E8C" w14:textId="77777777" w:rsidR="00A148E6" w:rsidRPr="00D43584" w:rsidRDefault="00A148E6" w:rsidP="00F236AA">
            <w:pPr>
              <w:pStyle w:val="NoSpacing"/>
              <w:jc w:val="center"/>
              <w:rPr>
                <w:rFonts w:ascii="Times New Roman" w:hAnsi="Times New Roman" w:cs="Times New Roman"/>
                <w:szCs w:val="24"/>
              </w:rPr>
            </w:pPr>
            <w:r w:rsidRPr="00D43584">
              <w:rPr>
                <w:rFonts w:ascii="Times New Roman" w:hAnsi="Times New Roman" w:cs="Times New Roman"/>
                <w:szCs w:val="24"/>
              </w:rPr>
              <w:t>5.00</w:t>
            </w:r>
          </w:p>
        </w:tc>
        <w:tc>
          <w:tcPr>
            <w:tcW w:w="0" w:type="auto"/>
            <w:vAlign w:val="center"/>
            <w:hideMark/>
          </w:tcPr>
          <w:p w14:paraId="0961A9A6" w14:textId="77777777" w:rsidR="00A148E6" w:rsidRPr="00D43584" w:rsidRDefault="00A148E6" w:rsidP="00F236AA">
            <w:pPr>
              <w:pStyle w:val="NoSpacing"/>
              <w:jc w:val="center"/>
              <w:rPr>
                <w:rFonts w:ascii="Times New Roman" w:hAnsi="Times New Roman" w:cs="Times New Roman"/>
                <w:szCs w:val="24"/>
              </w:rPr>
            </w:pPr>
            <w:r w:rsidRPr="00D43584">
              <w:rPr>
                <w:rFonts w:ascii="Times New Roman" w:hAnsi="Times New Roman" w:cs="Times New Roman"/>
                <w:szCs w:val="24"/>
              </w:rPr>
              <w:t>8.87</w:t>
            </w:r>
          </w:p>
        </w:tc>
        <w:tc>
          <w:tcPr>
            <w:tcW w:w="0" w:type="auto"/>
            <w:vAlign w:val="center"/>
            <w:hideMark/>
          </w:tcPr>
          <w:p w14:paraId="02B5F14B" w14:textId="77777777" w:rsidR="00A148E6" w:rsidRPr="00D43584" w:rsidRDefault="00A148E6" w:rsidP="00F236AA">
            <w:pPr>
              <w:pStyle w:val="NoSpacing"/>
              <w:jc w:val="center"/>
              <w:rPr>
                <w:rFonts w:ascii="Times New Roman" w:hAnsi="Times New Roman" w:cs="Times New Roman"/>
                <w:szCs w:val="24"/>
              </w:rPr>
            </w:pPr>
            <w:r w:rsidRPr="00D43584">
              <w:rPr>
                <w:rFonts w:ascii="Times New Roman" w:hAnsi="Times New Roman" w:cs="Times New Roman"/>
                <w:szCs w:val="24"/>
              </w:rPr>
              <w:t>19.51</w:t>
            </w:r>
          </w:p>
        </w:tc>
        <w:tc>
          <w:tcPr>
            <w:tcW w:w="0" w:type="auto"/>
            <w:vAlign w:val="center"/>
            <w:hideMark/>
          </w:tcPr>
          <w:p w14:paraId="18F66F43" w14:textId="77777777" w:rsidR="00A148E6" w:rsidRPr="00D43584" w:rsidRDefault="00A148E6" w:rsidP="00F236AA">
            <w:pPr>
              <w:pStyle w:val="NoSpacing"/>
              <w:jc w:val="center"/>
              <w:rPr>
                <w:rFonts w:ascii="Times New Roman" w:hAnsi="Times New Roman" w:cs="Times New Roman"/>
                <w:szCs w:val="24"/>
              </w:rPr>
            </w:pPr>
            <w:r w:rsidRPr="00D43584">
              <w:rPr>
                <w:rFonts w:ascii="Times New Roman" w:hAnsi="Times New Roman" w:cs="Times New Roman"/>
                <w:szCs w:val="24"/>
              </w:rPr>
              <w:t>36.38</w:t>
            </w:r>
          </w:p>
        </w:tc>
        <w:tc>
          <w:tcPr>
            <w:tcW w:w="1737" w:type="dxa"/>
            <w:vAlign w:val="center"/>
            <w:hideMark/>
          </w:tcPr>
          <w:p w14:paraId="41172CD7" w14:textId="77777777" w:rsidR="00A148E6" w:rsidRPr="00D43584" w:rsidRDefault="00A148E6" w:rsidP="00F236AA">
            <w:pPr>
              <w:pStyle w:val="NoSpacing"/>
              <w:jc w:val="center"/>
              <w:rPr>
                <w:rFonts w:ascii="Times New Roman" w:hAnsi="Times New Roman" w:cs="Times New Roman"/>
                <w:szCs w:val="24"/>
              </w:rPr>
            </w:pPr>
            <w:r w:rsidRPr="00D43584">
              <w:rPr>
                <w:rFonts w:ascii="Times New Roman" w:hAnsi="Times New Roman" w:cs="Times New Roman"/>
                <w:szCs w:val="24"/>
              </w:rPr>
              <w:t>16.05</w:t>
            </w:r>
          </w:p>
        </w:tc>
        <w:tc>
          <w:tcPr>
            <w:tcW w:w="1776" w:type="dxa"/>
            <w:vAlign w:val="center"/>
            <w:hideMark/>
          </w:tcPr>
          <w:p w14:paraId="31201A3C" w14:textId="77777777" w:rsidR="00A148E6" w:rsidRPr="00D43584" w:rsidRDefault="00A148E6" w:rsidP="00F236AA">
            <w:pPr>
              <w:pStyle w:val="NoSpacing"/>
              <w:jc w:val="center"/>
              <w:rPr>
                <w:rFonts w:ascii="Times New Roman" w:hAnsi="Times New Roman" w:cs="Times New Roman"/>
                <w:szCs w:val="24"/>
              </w:rPr>
            </w:pPr>
            <w:r w:rsidRPr="00D43584">
              <w:rPr>
                <w:rFonts w:ascii="Times New Roman" w:hAnsi="Times New Roman" w:cs="Times New Roman"/>
                <w:szCs w:val="24"/>
              </w:rPr>
              <w:t>16.83</w:t>
            </w:r>
          </w:p>
        </w:tc>
        <w:tc>
          <w:tcPr>
            <w:tcW w:w="1737" w:type="dxa"/>
            <w:vAlign w:val="center"/>
            <w:hideMark/>
          </w:tcPr>
          <w:p w14:paraId="379B3961" w14:textId="77777777" w:rsidR="00A148E6" w:rsidRPr="00D43584" w:rsidRDefault="00A148E6" w:rsidP="00F236AA">
            <w:pPr>
              <w:pStyle w:val="NoSpacing"/>
              <w:jc w:val="center"/>
              <w:rPr>
                <w:rFonts w:ascii="Times New Roman" w:hAnsi="Times New Roman" w:cs="Times New Roman"/>
                <w:szCs w:val="24"/>
              </w:rPr>
            </w:pPr>
            <w:r w:rsidRPr="00D43584">
              <w:rPr>
                <w:rFonts w:ascii="Times New Roman" w:hAnsi="Times New Roman" w:cs="Times New Roman"/>
                <w:szCs w:val="24"/>
              </w:rPr>
              <w:t>32.88</w:t>
            </w:r>
          </w:p>
        </w:tc>
        <w:tc>
          <w:tcPr>
            <w:tcW w:w="1276" w:type="dxa"/>
            <w:vAlign w:val="center"/>
            <w:hideMark/>
          </w:tcPr>
          <w:p w14:paraId="58F4FFF3" w14:textId="77777777" w:rsidR="00A148E6" w:rsidRPr="00D43584" w:rsidRDefault="00A148E6" w:rsidP="00F236AA">
            <w:pPr>
              <w:pStyle w:val="NoSpacing"/>
              <w:jc w:val="center"/>
              <w:rPr>
                <w:rFonts w:ascii="Times New Roman" w:hAnsi="Times New Roman" w:cs="Times New Roman"/>
                <w:szCs w:val="24"/>
              </w:rPr>
            </w:pPr>
            <w:r w:rsidRPr="00D43584">
              <w:rPr>
                <w:rFonts w:ascii="Times New Roman" w:hAnsi="Times New Roman" w:cs="Times New Roman"/>
                <w:szCs w:val="24"/>
              </w:rPr>
              <w:t>+3.50</w:t>
            </w:r>
          </w:p>
        </w:tc>
      </w:tr>
      <w:tr w:rsidR="00A148E6" w:rsidRPr="00D43584" w14:paraId="230195AB" w14:textId="77777777" w:rsidTr="00F236AA">
        <w:trPr>
          <w:trHeight w:val="20"/>
          <w:jc w:val="center"/>
        </w:trPr>
        <w:tc>
          <w:tcPr>
            <w:tcW w:w="763" w:type="dxa"/>
            <w:hideMark/>
          </w:tcPr>
          <w:p w14:paraId="476607C9" w14:textId="77777777" w:rsidR="00A148E6" w:rsidRPr="00D43584" w:rsidRDefault="00A148E6" w:rsidP="00B77C0B">
            <w:pPr>
              <w:pStyle w:val="NoSpacing"/>
              <w:rPr>
                <w:rFonts w:ascii="Times New Roman" w:hAnsi="Times New Roman" w:cs="Times New Roman"/>
                <w:szCs w:val="24"/>
              </w:rPr>
            </w:pPr>
            <w:r w:rsidRPr="00D43584">
              <w:rPr>
                <w:rFonts w:ascii="Times New Roman" w:hAnsi="Times New Roman" w:cs="Times New Roman"/>
                <w:szCs w:val="24"/>
              </w:rPr>
              <w:t>14.</w:t>
            </w:r>
          </w:p>
        </w:tc>
        <w:tc>
          <w:tcPr>
            <w:tcW w:w="1642" w:type="dxa"/>
            <w:hideMark/>
          </w:tcPr>
          <w:p w14:paraId="304572B4" w14:textId="77777777" w:rsidR="00A148E6" w:rsidRPr="00D43584" w:rsidRDefault="00A148E6" w:rsidP="00B77C0B">
            <w:pPr>
              <w:pStyle w:val="NoSpacing"/>
              <w:rPr>
                <w:rFonts w:ascii="Times New Roman" w:hAnsi="Times New Roman" w:cs="Times New Roman"/>
                <w:szCs w:val="24"/>
              </w:rPr>
            </w:pPr>
            <w:r w:rsidRPr="00D43584">
              <w:rPr>
                <w:rFonts w:ascii="Times New Roman" w:hAnsi="Times New Roman" w:cs="Times New Roman"/>
                <w:szCs w:val="24"/>
              </w:rPr>
              <w:t>Rajasthan</w:t>
            </w:r>
          </w:p>
        </w:tc>
        <w:tc>
          <w:tcPr>
            <w:tcW w:w="0" w:type="auto"/>
            <w:vAlign w:val="center"/>
            <w:hideMark/>
          </w:tcPr>
          <w:p w14:paraId="734E1E35" w14:textId="77777777" w:rsidR="00A148E6" w:rsidRPr="00D43584" w:rsidRDefault="00A148E6" w:rsidP="00F236AA">
            <w:pPr>
              <w:pStyle w:val="NoSpacing"/>
              <w:jc w:val="center"/>
              <w:rPr>
                <w:rFonts w:ascii="Times New Roman" w:hAnsi="Times New Roman" w:cs="Times New Roman"/>
                <w:szCs w:val="24"/>
              </w:rPr>
            </w:pPr>
            <w:r w:rsidRPr="00D43584">
              <w:rPr>
                <w:rFonts w:ascii="Times New Roman" w:hAnsi="Times New Roman" w:cs="Times New Roman"/>
                <w:szCs w:val="24"/>
              </w:rPr>
              <w:t>4.10</w:t>
            </w:r>
          </w:p>
        </w:tc>
        <w:tc>
          <w:tcPr>
            <w:tcW w:w="0" w:type="auto"/>
            <w:vAlign w:val="center"/>
            <w:hideMark/>
          </w:tcPr>
          <w:p w14:paraId="16E9C7A6" w14:textId="77777777" w:rsidR="00A148E6" w:rsidRPr="00D43584" w:rsidRDefault="00A148E6" w:rsidP="00F236AA">
            <w:pPr>
              <w:pStyle w:val="NoSpacing"/>
              <w:jc w:val="center"/>
              <w:rPr>
                <w:rFonts w:ascii="Times New Roman" w:hAnsi="Times New Roman" w:cs="Times New Roman"/>
                <w:szCs w:val="24"/>
              </w:rPr>
            </w:pPr>
            <w:r w:rsidRPr="00D43584">
              <w:rPr>
                <w:rFonts w:ascii="Times New Roman" w:hAnsi="Times New Roman" w:cs="Times New Roman"/>
                <w:szCs w:val="24"/>
              </w:rPr>
              <w:t>2.75</w:t>
            </w:r>
          </w:p>
        </w:tc>
        <w:tc>
          <w:tcPr>
            <w:tcW w:w="0" w:type="auto"/>
            <w:vAlign w:val="center"/>
            <w:hideMark/>
          </w:tcPr>
          <w:p w14:paraId="219CF077" w14:textId="77777777" w:rsidR="00A148E6" w:rsidRPr="00D43584" w:rsidRDefault="00A148E6" w:rsidP="00F236AA">
            <w:pPr>
              <w:pStyle w:val="NoSpacing"/>
              <w:jc w:val="center"/>
              <w:rPr>
                <w:rFonts w:ascii="Times New Roman" w:hAnsi="Times New Roman" w:cs="Times New Roman"/>
                <w:szCs w:val="24"/>
              </w:rPr>
            </w:pPr>
            <w:r w:rsidRPr="00D43584">
              <w:rPr>
                <w:rFonts w:ascii="Times New Roman" w:hAnsi="Times New Roman" w:cs="Times New Roman"/>
                <w:szCs w:val="24"/>
              </w:rPr>
              <w:t>13.88</w:t>
            </w:r>
          </w:p>
        </w:tc>
        <w:tc>
          <w:tcPr>
            <w:tcW w:w="0" w:type="auto"/>
            <w:vAlign w:val="center"/>
            <w:hideMark/>
          </w:tcPr>
          <w:p w14:paraId="1CC1D1CF" w14:textId="77777777" w:rsidR="00A148E6" w:rsidRPr="00D43584" w:rsidRDefault="00A148E6" w:rsidP="00F236AA">
            <w:pPr>
              <w:pStyle w:val="NoSpacing"/>
              <w:jc w:val="center"/>
              <w:rPr>
                <w:rFonts w:ascii="Times New Roman" w:hAnsi="Times New Roman" w:cs="Times New Roman"/>
                <w:szCs w:val="24"/>
              </w:rPr>
            </w:pPr>
            <w:r w:rsidRPr="00D43584">
              <w:rPr>
                <w:rFonts w:ascii="Times New Roman" w:hAnsi="Times New Roman" w:cs="Times New Roman"/>
                <w:szCs w:val="24"/>
              </w:rPr>
              <w:t>13.13</w:t>
            </w:r>
          </w:p>
        </w:tc>
        <w:tc>
          <w:tcPr>
            <w:tcW w:w="0" w:type="auto"/>
            <w:vAlign w:val="center"/>
            <w:hideMark/>
          </w:tcPr>
          <w:p w14:paraId="529ABE1A" w14:textId="77777777" w:rsidR="00A148E6" w:rsidRPr="00D43584" w:rsidRDefault="00A148E6" w:rsidP="00F236AA">
            <w:pPr>
              <w:pStyle w:val="NoSpacing"/>
              <w:jc w:val="center"/>
              <w:rPr>
                <w:rFonts w:ascii="Times New Roman" w:hAnsi="Times New Roman" w:cs="Times New Roman"/>
                <w:szCs w:val="24"/>
              </w:rPr>
            </w:pPr>
            <w:r w:rsidRPr="00D43584">
              <w:rPr>
                <w:rFonts w:ascii="Times New Roman" w:hAnsi="Times New Roman" w:cs="Times New Roman"/>
                <w:szCs w:val="24"/>
              </w:rPr>
              <w:t>33.86</w:t>
            </w:r>
          </w:p>
        </w:tc>
        <w:tc>
          <w:tcPr>
            <w:tcW w:w="1737" w:type="dxa"/>
            <w:vAlign w:val="center"/>
            <w:hideMark/>
          </w:tcPr>
          <w:p w14:paraId="157BC55D" w14:textId="77777777" w:rsidR="00A148E6" w:rsidRPr="00D43584" w:rsidRDefault="00A148E6" w:rsidP="00F236AA">
            <w:pPr>
              <w:pStyle w:val="NoSpacing"/>
              <w:jc w:val="center"/>
              <w:rPr>
                <w:rFonts w:ascii="Times New Roman" w:hAnsi="Times New Roman" w:cs="Times New Roman"/>
                <w:szCs w:val="24"/>
              </w:rPr>
            </w:pPr>
            <w:r w:rsidRPr="00D43584">
              <w:rPr>
                <w:rFonts w:ascii="Times New Roman" w:hAnsi="Times New Roman" w:cs="Times New Roman"/>
                <w:szCs w:val="24"/>
              </w:rPr>
              <w:t>47.91</w:t>
            </w:r>
          </w:p>
        </w:tc>
        <w:tc>
          <w:tcPr>
            <w:tcW w:w="1776" w:type="dxa"/>
            <w:vAlign w:val="center"/>
            <w:hideMark/>
          </w:tcPr>
          <w:p w14:paraId="484F3310" w14:textId="77777777" w:rsidR="00A148E6" w:rsidRPr="00D43584" w:rsidRDefault="00A148E6" w:rsidP="00F236AA">
            <w:pPr>
              <w:pStyle w:val="NoSpacing"/>
              <w:jc w:val="center"/>
              <w:rPr>
                <w:rFonts w:ascii="Times New Roman" w:hAnsi="Times New Roman" w:cs="Times New Roman"/>
                <w:szCs w:val="24"/>
              </w:rPr>
            </w:pPr>
            <w:r w:rsidRPr="00D43584">
              <w:rPr>
                <w:rFonts w:ascii="Times New Roman" w:hAnsi="Times New Roman" w:cs="Times New Roman"/>
                <w:szCs w:val="24"/>
              </w:rPr>
              <w:t>-4.98</w:t>
            </w:r>
          </w:p>
        </w:tc>
        <w:tc>
          <w:tcPr>
            <w:tcW w:w="1737" w:type="dxa"/>
            <w:vAlign w:val="center"/>
            <w:hideMark/>
          </w:tcPr>
          <w:p w14:paraId="2166C215" w14:textId="77777777" w:rsidR="00A148E6" w:rsidRPr="00D43584" w:rsidRDefault="00A148E6" w:rsidP="00F236AA">
            <w:pPr>
              <w:pStyle w:val="NoSpacing"/>
              <w:jc w:val="center"/>
              <w:rPr>
                <w:rFonts w:ascii="Times New Roman" w:hAnsi="Times New Roman" w:cs="Times New Roman"/>
                <w:szCs w:val="24"/>
              </w:rPr>
            </w:pPr>
            <w:r w:rsidRPr="00D43584">
              <w:rPr>
                <w:rFonts w:ascii="Times New Roman" w:hAnsi="Times New Roman" w:cs="Times New Roman"/>
                <w:szCs w:val="24"/>
              </w:rPr>
              <w:t>42.93</w:t>
            </w:r>
          </w:p>
        </w:tc>
        <w:tc>
          <w:tcPr>
            <w:tcW w:w="1276" w:type="dxa"/>
            <w:vAlign w:val="center"/>
            <w:hideMark/>
          </w:tcPr>
          <w:p w14:paraId="7E306E3A" w14:textId="77777777" w:rsidR="00A148E6" w:rsidRPr="00D43584" w:rsidRDefault="00A148E6" w:rsidP="00F236AA">
            <w:pPr>
              <w:pStyle w:val="NoSpacing"/>
              <w:jc w:val="center"/>
              <w:rPr>
                <w:rFonts w:ascii="Times New Roman" w:hAnsi="Times New Roman" w:cs="Times New Roman"/>
                <w:szCs w:val="24"/>
              </w:rPr>
            </w:pPr>
            <w:r w:rsidRPr="00D43584">
              <w:rPr>
                <w:rFonts w:ascii="Times New Roman" w:hAnsi="Times New Roman" w:cs="Times New Roman"/>
                <w:szCs w:val="24"/>
              </w:rPr>
              <w:t>-9.07</w:t>
            </w:r>
          </w:p>
        </w:tc>
      </w:tr>
      <w:tr w:rsidR="00A148E6" w:rsidRPr="00D43584" w14:paraId="73CC8FC1" w14:textId="77777777" w:rsidTr="00F236AA">
        <w:trPr>
          <w:trHeight w:val="20"/>
          <w:jc w:val="center"/>
        </w:trPr>
        <w:tc>
          <w:tcPr>
            <w:tcW w:w="763" w:type="dxa"/>
            <w:hideMark/>
          </w:tcPr>
          <w:p w14:paraId="0ED7787F" w14:textId="77777777" w:rsidR="00A148E6" w:rsidRPr="00D43584" w:rsidRDefault="00A148E6" w:rsidP="00B77C0B">
            <w:pPr>
              <w:pStyle w:val="NoSpacing"/>
              <w:rPr>
                <w:rFonts w:ascii="Times New Roman" w:hAnsi="Times New Roman" w:cs="Times New Roman"/>
                <w:szCs w:val="24"/>
              </w:rPr>
            </w:pPr>
            <w:r w:rsidRPr="00D43584">
              <w:rPr>
                <w:rFonts w:ascii="Times New Roman" w:hAnsi="Times New Roman" w:cs="Times New Roman"/>
                <w:szCs w:val="24"/>
              </w:rPr>
              <w:t>15.</w:t>
            </w:r>
          </w:p>
        </w:tc>
        <w:tc>
          <w:tcPr>
            <w:tcW w:w="1642" w:type="dxa"/>
            <w:hideMark/>
          </w:tcPr>
          <w:p w14:paraId="7B365C87" w14:textId="77777777" w:rsidR="00A148E6" w:rsidRPr="00D43584" w:rsidRDefault="00A148E6" w:rsidP="00B77C0B">
            <w:pPr>
              <w:pStyle w:val="NoSpacing"/>
              <w:rPr>
                <w:rFonts w:ascii="Times New Roman" w:hAnsi="Times New Roman" w:cs="Times New Roman"/>
                <w:szCs w:val="24"/>
              </w:rPr>
            </w:pPr>
            <w:r w:rsidRPr="00D43584">
              <w:rPr>
                <w:rFonts w:ascii="Times New Roman" w:hAnsi="Times New Roman" w:cs="Times New Roman"/>
                <w:szCs w:val="24"/>
              </w:rPr>
              <w:t>Uttar Pradesh</w:t>
            </w:r>
          </w:p>
        </w:tc>
        <w:tc>
          <w:tcPr>
            <w:tcW w:w="0" w:type="auto"/>
            <w:vAlign w:val="center"/>
            <w:hideMark/>
          </w:tcPr>
          <w:p w14:paraId="6F889051" w14:textId="77777777" w:rsidR="00A148E6" w:rsidRPr="00D43584" w:rsidRDefault="00A148E6" w:rsidP="00F236AA">
            <w:pPr>
              <w:pStyle w:val="NoSpacing"/>
              <w:jc w:val="center"/>
              <w:rPr>
                <w:rFonts w:ascii="Times New Roman" w:hAnsi="Times New Roman" w:cs="Times New Roman"/>
                <w:szCs w:val="24"/>
              </w:rPr>
            </w:pPr>
            <w:r w:rsidRPr="00D43584">
              <w:rPr>
                <w:rFonts w:ascii="Times New Roman" w:hAnsi="Times New Roman" w:cs="Times New Roman"/>
                <w:szCs w:val="24"/>
              </w:rPr>
              <w:t>2.70</w:t>
            </w:r>
          </w:p>
        </w:tc>
        <w:tc>
          <w:tcPr>
            <w:tcW w:w="0" w:type="auto"/>
            <w:vAlign w:val="center"/>
            <w:hideMark/>
          </w:tcPr>
          <w:p w14:paraId="65155535" w14:textId="77777777" w:rsidR="00A148E6" w:rsidRPr="00D43584" w:rsidRDefault="00A148E6" w:rsidP="00F236AA">
            <w:pPr>
              <w:pStyle w:val="NoSpacing"/>
              <w:jc w:val="center"/>
              <w:rPr>
                <w:rFonts w:ascii="Times New Roman" w:hAnsi="Times New Roman" w:cs="Times New Roman"/>
                <w:szCs w:val="24"/>
              </w:rPr>
            </w:pPr>
            <w:r w:rsidRPr="00D43584">
              <w:rPr>
                <w:rFonts w:ascii="Times New Roman" w:hAnsi="Times New Roman" w:cs="Times New Roman"/>
                <w:szCs w:val="24"/>
              </w:rPr>
              <w:t>16.00</w:t>
            </w:r>
          </w:p>
        </w:tc>
        <w:tc>
          <w:tcPr>
            <w:tcW w:w="0" w:type="auto"/>
            <w:vAlign w:val="center"/>
            <w:hideMark/>
          </w:tcPr>
          <w:p w14:paraId="7E72ADBD" w14:textId="77777777" w:rsidR="00A148E6" w:rsidRPr="00D43584" w:rsidRDefault="00A148E6" w:rsidP="00F236AA">
            <w:pPr>
              <w:pStyle w:val="NoSpacing"/>
              <w:jc w:val="center"/>
              <w:rPr>
                <w:rFonts w:ascii="Times New Roman" w:hAnsi="Times New Roman" w:cs="Times New Roman"/>
                <w:szCs w:val="24"/>
              </w:rPr>
            </w:pPr>
            <w:r w:rsidRPr="00D43584">
              <w:rPr>
                <w:rFonts w:ascii="Times New Roman" w:hAnsi="Times New Roman" w:cs="Times New Roman"/>
                <w:szCs w:val="24"/>
              </w:rPr>
              <w:t>23.63</w:t>
            </w:r>
          </w:p>
        </w:tc>
        <w:tc>
          <w:tcPr>
            <w:tcW w:w="0" w:type="auto"/>
            <w:vAlign w:val="center"/>
            <w:hideMark/>
          </w:tcPr>
          <w:p w14:paraId="1080238C" w14:textId="77777777" w:rsidR="00A148E6" w:rsidRPr="00D43584" w:rsidRDefault="00A148E6" w:rsidP="00F236AA">
            <w:pPr>
              <w:pStyle w:val="NoSpacing"/>
              <w:jc w:val="center"/>
              <w:rPr>
                <w:rFonts w:ascii="Times New Roman" w:hAnsi="Times New Roman" w:cs="Times New Roman"/>
                <w:szCs w:val="24"/>
              </w:rPr>
            </w:pPr>
            <w:r w:rsidRPr="00D43584">
              <w:rPr>
                <w:rFonts w:ascii="Times New Roman" w:hAnsi="Times New Roman" w:cs="Times New Roman"/>
                <w:szCs w:val="24"/>
              </w:rPr>
              <w:t>41.07</w:t>
            </w:r>
          </w:p>
        </w:tc>
        <w:tc>
          <w:tcPr>
            <w:tcW w:w="0" w:type="auto"/>
            <w:vAlign w:val="center"/>
            <w:hideMark/>
          </w:tcPr>
          <w:p w14:paraId="1EE07D51" w14:textId="77777777" w:rsidR="00A148E6" w:rsidRPr="00D43584" w:rsidRDefault="00A148E6" w:rsidP="00F236AA">
            <w:pPr>
              <w:pStyle w:val="NoSpacing"/>
              <w:jc w:val="center"/>
              <w:rPr>
                <w:rFonts w:ascii="Times New Roman" w:hAnsi="Times New Roman" w:cs="Times New Roman"/>
                <w:szCs w:val="24"/>
              </w:rPr>
            </w:pPr>
            <w:r w:rsidRPr="00D43584">
              <w:rPr>
                <w:rFonts w:ascii="Times New Roman" w:hAnsi="Times New Roman" w:cs="Times New Roman"/>
                <w:szCs w:val="24"/>
              </w:rPr>
              <w:t>83.40</w:t>
            </w:r>
          </w:p>
        </w:tc>
        <w:tc>
          <w:tcPr>
            <w:tcW w:w="1737" w:type="dxa"/>
            <w:vAlign w:val="center"/>
            <w:hideMark/>
          </w:tcPr>
          <w:p w14:paraId="25343C88" w14:textId="77777777" w:rsidR="00A148E6" w:rsidRPr="00D43584" w:rsidRDefault="00A148E6" w:rsidP="00F236AA">
            <w:pPr>
              <w:pStyle w:val="NoSpacing"/>
              <w:jc w:val="center"/>
              <w:rPr>
                <w:rFonts w:ascii="Times New Roman" w:hAnsi="Times New Roman" w:cs="Times New Roman"/>
                <w:szCs w:val="24"/>
              </w:rPr>
            </w:pPr>
            <w:r w:rsidRPr="00D43584">
              <w:rPr>
                <w:rFonts w:ascii="Times New Roman" w:hAnsi="Times New Roman" w:cs="Times New Roman"/>
                <w:szCs w:val="24"/>
              </w:rPr>
              <w:t>40.80</w:t>
            </w:r>
          </w:p>
        </w:tc>
        <w:tc>
          <w:tcPr>
            <w:tcW w:w="1776" w:type="dxa"/>
            <w:vAlign w:val="center"/>
            <w:hideMark/>
          </w:tcPr>
          <w:p w14:paraId="6002F868" w14:textId="77777777" w:rsidR="00A148E6" w:rsidRPr="00D43584" w:rsidRDefault="00A148E6" w:rsidP="00F236AA">
            <w:pPr>
              <w:pStyle w:val="NoSpacing"/>
              <w:jc w:val="center"/>
              <w:rPr>
                <w:rFonts w:ascii="Times New Roman" w:hAnsi="Times New Roman" w:cs="Times New Roman"/>
                <w:szCs w:val="24"/>
              </w:rPr>
            </w:pPr>
            <w:r w:rsidRPr="00D43584">
              <w:rPr>
                <w:rFonts w:ascii="Times New Roman" w:hAnsi="Times New Roman" w:cs="Times New Roman"/>
                <w:szCs w:val="24"/>
              </w:rPr>
              <w:t>21.58</w:t>
            </w:r>
          </w:p>
        </w:tc>
        <w:tc>
          <w:tcPr>
            <w:tcW w:w="1737" w:type="dxa"/>
            <w:vAlign w:val="center"/>
            <w:hideMark/>
          </w:tcPr>
          <w:p w14:paraId="6D00A72A" w14:textId="77777777" w:rsidR="00A148E6" w:rsidRPr="00D43584" w:rsidRDefault="00A148E6" w:rsidP="00F236AA">
            <w:pPr>
              <w:pStyle w:val="NoSpacing"/>
              <w:jc w:val="center"/>
              <w:rPr>
                <w:rFonts w:ascii="Times New Roman" w:hAnsi="Times New Roman" w:cs="Times New Roman"/>
                <w:szCs w:val="24"/>
              </w:rPr>
            </w:pPr>
            <w:r w:rsidRPr="00D43584">
              <w:rPr>
                <w:rFonts w:ascii="Times New Roman" w:hAnsi="Times New Roman" w:cs="Times New Roman"/>
                <w:szCs w:val="24"/>
              </w:rPr>
              <w:t>62.38</w:t>
            </w:r>
          </w:p>
        </w:tc>
        <w:tc>
          <w:tcPr>
            <w:tcW w:w="1276" w:type="dxa"/>
            <w:vAlign w:val="center"/>
            <w:hideMark/>
          </w:tcPr>
          <w:p w14:paraId="4D19D9FD" w14:textId="77777777" w:rsidR="00A148E6" w:rsidRPr="00D43584" w:rsidRDefault="00A148E6" w:rsidP="00F236AA">
            <w:pPr>
              <w:pStyle w:val="NoSpacing"/>
              <w:jc w:val="center"/>
              <w:rPr>
                <w:rFonts w:ascii="Times New Roman" w:hAnsi="Times New Roman" w:cs="Times New Roman"/>
                <w:szCs w:val="24"/>
              </w:rPr>
            </w:pPr>
            <w:r w:rsidRPr="00D43584">
              <w:rPr>
                <w:rFonts w:ascii="Times New Roman" w:hAnsi="Times New Roman" w:cs="Times New Roman"/>
                <w:szCs w:val="24"/>
              </w:rPr>
              <w:t>+21.02</w:t>
            </w:r>
          </w:p>
        </w:tc>
      </w:tr>
      <w:tr w:rsidR="00A148E6" w:rsidRPr="00D43584" w14:paraId="5ED052F6" w14:textId="77777777" w:rsidTr="00F236AA">
        <w:trPr>
          <w:trHeight w:val="20"/>
          <w:jc w:val="center"/>
        </w:trPr>
        <w:tc>
          <w:tcPr>
            <w:tcW w:w="763" w:type="dxa"/>
            <w:hideMark/>
          </w:tcPr>
          <w:p w14:paraId="09B3DEF2" w14:textId="77777777" w:rsidR="00A148E6" w:rsidRPr="00D43584" w:rsidRDefault="00A148E6" w:rsidP="00B77C0B">
            <w:pPr>
              <w:pStyle w:val="NoSpacing"/>
              <w:rPr>
                <w:rFonts w:ascii="Times New Roman" w:hAnsi="Times New Roman" w:cs="Times New Roman"/>
                <w:szCs w:val="24"/>
              </w:rPr>
            </w:pPr>
            <w:r w:rsidRPr="00D43584">
              <w:rPr>
                <w:rFonts w:ascii="Times New Roman" w:hAnsi="Times New Roman" w:cs="Times New Roman"/>
                <w:szCs w:val="24"/>
              </w:rPr>
              <w:t>16.</w:t>
            </w:r>
          </w:p>
        </w:tc>
        <w:tc>
          <w:tcPr>
            <w:tcW w:w="1642" w:type="dxa"/>
            <w:hideMark/>
          </w:tcPr>
          <w:p w14:paraId="547C98E5" w14:textId="77777777" w:rsidR="00A148E6" w:rsidRPr="00D43584" w:rsidRDefault="00A148E6" w:rsidP="00B77C0B">
            <w:pPr>
              <w:pStyle w:val="NoSpacing"/>
              <w:rPr>
                <w:rFonts w:ascii="Times New Roman" w:hAnsi="Times New Roman" w:cs="Times New Roman"/>
                <w:szCs w:val="24"/>
              </w:rPr>
            </w:pPr>
            <w:r w:rsidRPr="00D43584">
              <w:rPr>
                <w:rFonts w:ascii="Times New Roman" w:hAnsi="Times New Roman" w:cs="Times New Roman"/>
                <w:szCs w:val="24"/>
              </w:rPr>
              <w:t>West Bengal</w:t>
            </w:r>
          </w:p>
        </w:tc>
        <w:tc>
          <w:tcPr>
            <w:tcW w:w="0" w:type="auto"/>
            <w:vAlign w:val="center"/>
            <w:hideMark/>
          </w:tcPr>
          <w:p w14:paraId="4B025EC2" w14:textId="77777777" w:rsidR="00A148E6" w:rsidRPr="00D43584" w:rsidRDefault="00A148E6" w:rsidP="00F236AA">
            <w:pPr>
              <w:pStyle w:val="NoSpacing"/>
              <w:jc w:val="center"/>
              <w:rPr>
                <w:rFonts w:ascii="Times New Roman" w:hAnsi="Times New Roman" w:cs="Times New Roman"/>
                <w:szCs w:val="24"/>
              </w:rPr>
            </w:pPr>
            <w:r w:rsidRPr="00D43584">
              <w:rPr>
                <w:rFonts w:ascii="Times New Roman" w:hAnsi="Times New Roman" w:cs="Times New Roman"/>
                <w:szCs w:val="24"/>
              </w:rPr>
              <w:t>0.53</w:t>
            </w:r>
          </w:p>
        </w:tc>
        <w:tc>
          <w:tcPr>
            <w:tcW w:w="0" w:type="auto"/>
            <w:vAlign w:val="center"/>
            <w:hideMark/>
          </w:tcPr>
          <w:p w14:paraId="34FA22F3" w14:textId="77777777" w:rsidR="00A148E6" w:rsidRPr="00D43584" w:rsidRDefault="00A148E6" w:rsidP="00F236AA">
            <w:pPr>
              <w:pStyle w:val="NoSpacing"/>
              <w:jc w:val="center"/>
              <w:rPr>
                <w:rFonts w:ascii="Times New Roman" w:hAnsi="Times New Roman" w:cs="Times New Roman"/>
                <w:szCs w:val="24"/>
              </w:rPr>
            </w:pPr>
            <w:r w:rsidRPr="00D43584">
              <w:rPr>
                <w:rFonts w:ascii="Times New Roman" w:hAnsi="Times New Roman" w:cs="Times New Roman"/>
                <w:szCs w:val="24"/>
              </w:rPr>
              <w:t>14.00</w:t>
            </w:r>
          </w:p>
        </w:tc>
        <w:tc>
          <w:tcPr>
            <w:tcW w:w="0" w:type="auto"/>
            <w:vAlign w:val="center"/>
            <w:hideMark/>
          </w:tcPr>
          <w:p w14:paraId="7B1BA262" w14:textId="77777777" w:rsidR="00A148E6" w:rsidRPr="00D43584" w:rsidRDefault="00A148E6" w:rsidP="00F236AA">
            <w:pPr>
              <w:pStyle w:val="NoSpacing"/>
              <w:jc w:val="center"/>
              <w:rPr>
                <w:rFonts w:ascii="Times New Roman" w:hAnsi="Times New Roman" w:cs="Times New Roman"/>
                <w:szCs w:val="24"/>
              </w:rPr>
            </w:pPr>
            <w:r w:rsidRPr="00D43584">
              <w:rPr>
                <w:rFonts w:ascii="Times New Roman" w:hAnsi="Times New Roman" w:cs="Times New Roman"/>
                <w:szCs w:val="24"/>
              </w:rPr>
              <w:t>4.70</w:t>
            </w:r>
          </w:p>
        </w:tc>
        <w:tc>
          <w:tcPr>
            <w:tcW w:w="0" w:type="auto"/>
            <w:vAlign w:val="center"/>
            <w:hideMark/>
          </w:tcPr>
          <w:p w14:paraId="6E318F32" w14:textId="77777777" w:rsidR="00A148E6" w:rsidRPr="00D43584" w:rsidRDefault="00A148E6" w:rsidP="00F236AA">
            <w:pPr>
              <w:pStyle w:val="NoSpacing"/>
              <w:jc w:val="center"/>
              <w:rPr>
                <w:rFonts w:ascii="Times New Roman" w:hAnsi="Times New Roman" w:cs="Times New Roman"/>
                <w:szCs w:val="24"/>
              </w:rPr>
            </w:pPr>
            <w:r w:rsidRPr="00D43584">
              <w:rPr>
                <w:rFonts w:ascii="Times New Roman" w:hAnsi="Times New Roman" w:cs="Times New Roman"/>
                <w:szCs w:val="24"/>
              </w:rPr>
              <w:t>12.32</w:t>
            </w:r>
          </w:p>
        </w:tc>
        <w:tc>
          <w:tcPr>
            <w:tcW w:w="0" w:type="auto"/>
            <w:vAlign w:val="center"/>
            <w:hideMark/>
          </w:tcPr>
          <w:p w14:paraId="7E4F6C45" w14:textId="77777777" w:rsidR="00A148E6" w:rsidRPr="00D43584" w:rsidRDefault="00A148E6" w:rsidP="00F236AA">
            <w:pPr>
              <w:pStyle w:val="NoSpacing"/>
              <w:jc w:val="center"/>
              <w:rPr>
                <w:rFonts w:ascii="Times New Roman" w:hAnsi="Times New Roman" w:cs="Times New Roman"/>
                <w:szCs w:val="24"/>
              </w:rPr>
            </w:pPr>
            <w:r w:rsidRPr="00D43584">
              <w:rPr>
                <w:rFonts w:ascii="Times New Roman" w:hAnsi="Times New Roman" w:cs="Times New Roman"/>
                <w:szCs w:val="24"/>
              </w:rPr>
              <w:t>31.55</w:t>
            </w:r>
          </w:p>
        </w:tc>
        <w:tc>
          <w:tcPr>
            <w:tcW w:w="1737" w:type="dxa"/>
            <w:vAlign w:val="center"/>
            <w:hideMark/>
          </w:tcPr>
          <w:p w14:paraId="47F97DB0" w14:textId="77777777" w:rsidR="00A148E6" w:rsidRPr="00D43584" w:rsidRDefault="00A148E6" w:rsidP="00F236AA">
            <w:pPr>
              <w:pStyle w:val="NoSpacing"/>
              <w:jc w:val="center"/>
              <w:rPr>
                <w:rFonts w:ascii="Times New Roman" w:hAnsi="Times New Roman" w:cs="Times New Roman"/>
                <w:szCs w:val="24"/>
              </w:rPr>
            </w:pPr>
            <w:r w:rsidRPr="00D43584">
              <w:rPr>
                <w:rFonts w:ascii="Times New Roman" w:hAnsi="Times New Roman" w:cs="Times New Roman"/>
                <w:szCs w:val="24"/>
              </w:rPr>
              <w:t>11.21</w:t>
            </w:r>
          </w:p>
        </w:tc>
        <w:tc>
          <w:tcPr>
            <w:tcW w:w="1776" w:type="dxa"/>
            <w:vAlign w:val="center"/>
            <w:hideMark/>
          </w:tcPr>
          <w:p w14:paraId="4957B50F" w14:textId="77777777" w:rsidR="00A148E6" w:rsidRPr="00D43584" w:rsidRDefault="00A148E6" w:rsidP="00F236AA">
            <w:pPr>
              <w:pStyle w:val="NoSpacing"/>
              <w:jc w:val="center"/>
              <w:rPr>
                <w:rFonts w:ascii="Times New Roman" w:hAnsi="Times New Roman" w:cs="Times New Roman"/>
                <w:szCs w:val="24"/>
              </w:rPr>
            </w:pPr>
            <w:r w:rsidRPr="00D43584">
              <w:rPr>
                <w:rFonts w:ascii="Times New Roman" w:hAnsi="Times New Roman" w:cs="Times New Roman"/>
                <w:szCs w:val="24"/>
              </w:rPr>
              <w:t>18.58</w:t>
            </w:r>
          </w:p>
        </w:tc>
        <w:tc>
          <w:tcPr>
            <w:tcW w:w="1737" w:type="dxa"/>
            <w:vAlign w:val="center"/>
            <w:hideMark/>
          </w:tcPr>
          <w:p w14:paraId="44C9DE69" w14:textId="77777777" w:rsidR="00A148E6" w:rsidRPr="00D43584" w:rsidRDefault="00A148E6" w:rsidP="00F236AA">
            <w:pPr>
              <w:pStyle w:val="NoSpacing"/>
              <w:jc w:val="center"/>
              <w:rPr>
                <w:rFonts w:ascii="Times New Roman" w:hAnsi="Times New Roman" w:cs="Times New Roman"/>
                <w:szCs w:val="24"/>
              </w:rPr>
            </w:pPr>
            <w:r w:rsidRPr="00D43584">
              <w:rPr>
                <w:rFonts w:ascii="Times New Roman" w:hAnsi="Times New Roman" w:cs="Times New Roman"/>
                <w:szCs w:val="24"/>
              </w:rPr>
              <w:t>29.79</w:t>
            </w:r>
          </w:p>
        </w:tc>
        <w:tc>
          <w:tcPr>
            <w:tcW w:w="1276" w:type="dxa"/>
            <w:vAlign w:val="center"/>
            <w:hideMark/>
          </w:tcPr>
          <w:p w14:paraId="0F663372" w14:textId="77777777" w:rsidR="00A148E6" w:rsidRPr="00D43584" w:rsidRDefault="00A148E6" w:rsidP="00F236AA">
            <w:pPr>
              <w:pStyle w:val="NoSpacing"/>
              <w:jc w:val="center"/>
              <w:rPr>
                <w:rFonts w:ascii="Times New Roman" w:hAnsi="Times New Roman" w:cs="Times New Roman"/>
                <w:szCs w:val="24"/>
              </w:rPr>
            </w:pPr>
            <w:r w:rsidRPr="00D43584">
              <w:rPr>
                <w:rFonts w:ascii="Times New Roman" w:hAnsi="Times New Roman" w:cs="Times New Roman"/>
                <w:szCs w:val="24"/>
              </w:rPr>
              <w:t>+1.76</w:t>
            </w:r>
          </w:p>
        </w:tc>
      </w:tr>
      <w:tr w:rsidR="00A148E6" w:rsidRPr="00D43584" w14:paraId="7B352FE0" w14:textId="77777777" w:rsidTr="00F236AA">
        <w:trPr>
          <w:trHeight w:val="20"/>
          <w:jc w:val="center"/>
        </w:trPr>
        <w:tc>
          <w:tcPr>
            <w:tcW w:w="763" w:type="dxa"/>
            <w:hideMark/>
          </w:tcPr>
          <w:p w14:paraId="790B8A32" w14:textId="77777777" w:rsidR="00A148E6" w:rsidRPr="00D43584" w:rsidRDefault="00A148E6" w:rsidP="00B77C0B">
            <w:pPr>
              <w:pStyle w:val="NoSpacing"/>
              <w:rPr>
                <w:rFonts w:ascii="Times New Roman" w:hAnsi="Times New Roman" w:cs="Times New Roman"/>
                <w:szCs w:val="24"/>
              </w:rPr>
            </w:pPr>
          </w:p>
        </w:tc>
        <w:tc>
          <w:tcPr>
            <w:tcW w:w="1642" w:type="dxa"/>
            <w:hideMark/>
          </w:tcPr>
          <w:p w14:paraId="4AC19068" w14:textId="77777777" w:rsidR="00A148E6" w:rsidRPr="00D43584" w:rsidRDefault="00A148E6" w:rsidP="00B77C0B">
            <w:pPr>
              <w:pStyle w:val="NoSpacing"/>
              <w:rPr>
                <w:rFonts w:ascii="Times New Roman" w:hAnsi="Times New Roman" w:cs="Times New Roman"/>
                <w:szCs w:val="24"/>
              </w:rPr>
            </w:pPr>
            <w:r w:rsidRPr="00D43584">
              <w:rPr>
                <w:rFonts w:ascii="Times New Roman" w:hAnsi="Times New Roman" w:cs="Times New Roman"/>
                <w:szCs w:val="24"/>
              </w:rPr>
              <w:t>TOTAL</w:t>
            </w:r>
          </w:p>
        </w:tc>
        <w:tc>
          <w:tcPr>
            <w:tcW w:w="0" w:type="auto"/>
            <w:vAlign w:val="center"/>
            <w:hideMark/>
          </w:tcPr>
          <w:p w14:paraId="7ECDC383" w14:textId="77777777" w:rsidR="00A148E6" w:rsidRPr="00D43584" w:rsidRDefault="00A148E6" w:rsidP="00F236AA">
            <w:pPr>
              <w:pStyle w:val="NoSpacing"/>
              <w:jc w:val="center"/>
              <w:rPr>
                <w:rFonts w:ascii="Times New Roman" w:hAnsi="Times New Roman" w:cs="Times New Roman"/>
                <w:szCs w:val="24"/>
              </w:rPr>
            </w:pPr>
            <w:r w:rsidRPr="00D43584">
              <w:rPr>
                <w:rFonts w:ascii="Times New Roman" w:hAnsi="Times New Roman" w:cs="Times New Roman"/>
                <w:szCs w:val="24"/>
              </w:rPr>
              <w:t>65.02</w:t>
            </w:r>
          </w:p>
        </w:tc>
        <w:tc>
          <w:tcPr>
            <w:tcW w:w="0" w:type="auto"/>
            <w:vAlign w:val="center"/>
            <w:hideMark/>
          </w:tcPr>
          <w:p w14:paraId="36D281B6" w14:textId="77777777" w:rsidR="00A148E6" w:rsidRPr="00D43584" w:rsidRDefault="00A148E6" w:rsidP="00F236AA">
            <w:pPr>
              <w:pStyle w:val="NoSpacing"/>
              <w:jc w:val="center"/>
              <w:rPr>
                <w:rFonts w:ascii="Times New Roman" w:hAnsi="Times New Roman" w:cs="Times New Roman"/>
                <w:szCs w:val="24"/>
              </w:rPr>
            </w:pPr>
            <w:r w:rsidRPr="00D43584">
              <w:rPr>
                <w:rFonts w:ascii="Times New Roman" w:hAnsi="Times New Roman" w:cs="Times New Roman"/>
                <w:szCs w:val="24"/>
              </w:rPr>
              <w:t>96.65</w:t>
            </w:r>
          </w:p>
        </w:tc>
        <w:tc>
          <w:tcPr>
            <w:tcW w:w="0" w:type="auto"/>
            <w:vAlign w:val="center"/>
            <w:hideMark/>
          </w:tcPr>
          <w:p w14:paraId="44C6E62E" w14:textId="77777777" w:rsidR="00A148E6" w:rsidRPr="00D43584" w:rsidRDefault="00A148E6" w:rsidP="00F236AA">
            <w:pPr>
              <w:pStyle w:val="NoSpacing"/>
              <w:jc w:val="center"/>
              <w:rPr>
                <w:rFonts w:ascii="Times New Roman" w:hAnsi="Times New Roman" w:cs="Times New Roman"/>
                <w:szCs w:val="24"/>
              </w:rPr>
            </w:pPr>
            <w:r w:rsidRPr="00D43584">
              <w:rPr>
                <w:rFonts w:ascii="Times New Roman" w:hAnsi="Times New Roman" w:cs="Times New Roman"/>
                <w:szCs w:val="24"/>
              </w:rPr>
              <w:t>162.83</w:t>
            </w:r>
          </w:p>
        </w:tc>
        <w:tc>
          <w:tcPr>
            <w:tcW w:w="0" w:type="auto"/>
            <w:vAlign w:val="center"/>
            <w:hideMark/>
          </w:tcPr>
          <w:p w14:paraId="1D793BFE" w14:textId="77777777" w:rsidR="00A148E6" w:rsidRPr="00D43584" w:rsidRDefault="00A148E6" w:rsidP="00F236AA">
            <w:pPr>
              <w:pStyle w:val="NoSpacing"/>
              <w:jc w:val="center"/>
              <w:rPr>
                <w:rFonts w:ascii="Times New Roman" w:hAnsi="Times New Roman" w:cs="Times New Roman"/>
                <w:szCs w:val="24"/>
              </w:rPr>
            </w:pPr>
            <w:r w:rsidRPr="00D43584">
              <w:rPr>
                <w:rFonts w:ascii="Times New Roman" w:hAnsi="Times New Roman" w:cs="Times New Roman"/>
                <w:szCs w:val="24"/>
              </w:rPr>
              <w:t>232.09</w:t>
            </w:r>
          </w:p>
        </w:tc>
        <w:tc>
          <w:tcPr>
            <w:tcW w:w="0" w:type="auto"/>
            <w:vAlign w:val="center"/>
            <w:hideMark/>
          </w:tcPr>
          <w:p w14:paraId="4EFF4B7A" w14:textId="77777777" w:rsidR="00A148E6" w:rsidRPr="00D43584" w:rsidRDefault="00A148E6" w:rsidP="00F236AA">
            <w:pPr>
              <w:pStyle w:val="NoSpacing"/>
              <w:jc w:val="center"/>
              <w:rPr>
                <w:rFonts w:ascii="Times New Roman" w:hAnsi="Times New Roman" w:cs="Times New Roman"/>
                <w:szCs w:val="24"/>
              </w:rPr>
            </w:pPr>
            <w:r w:rsidRPr="00D43584">
              <w:rPr>
                <w:rFonts w:ascii="Times New Roman" w:hAnsi="Times New Roman" w:cs="Times New Roman"/>
                <w:szCs w:val="24"/>
              </w:rPr>
              <w:t>556.59</w:t>
            </w:r>
          </w:p>
        </w:tc>
        <w:tc>
          <w:tcPr>
            <w:tcW w:w="1737" w:type="dxa"/>
            <w:vAlign w:val="center"/>
            <w:hideMark/>
          </w:tcPr>
          <w:p w14:paraId="32FF56BF" w14:textId="77777777" w:rsidR="00A148E6" w:rsidRPr="00D43584" w:rsidRDefault="00A148E6" w:rsidP="00F236AA">
            <w:pPr>
              <w:pStyle w:val="NoSpacing"/>
              <w:jc w:val="center"/>
              <w:rPr>
                <w:rFonts w:ascii="Times New Roman" w:hAnsi="Times New Roman" w:cs="Times New Roman"/>
                <w:szCs w:val="24"/>
              </w:rPr>
            </w:pPr>
            <w:r w:rsidRPr="00D43584">
              <w:rPr>
                <w:rFonts w:ascii="Times New Roman" w:hAnsi="Times New Roman" w:cs="Times New Roman"/>
                <w:szCs w:val="24"/>
              </w:rPr>
              <w:t>439.54</w:t>
            </w:r>
          </w:p>
        </w:tc>
        <w:tc>
          <w:tcPr>
            <w:tcW w:w="1776" w:type="dxa"/>
            <w:vAlign w:val="center"/>
            <w:hideMark/>
          </w:tcPr>
          <w:p w14:paraId="08AFA58C" w14:textId="77777777" w:rsidR="00A148E6" w:rsidRPr="00D43584" w:rsidRDefault="00A148E6" w:rsidP="00F236AA">
            <w:pPr>
              <w:pStyle w:val="NoSpacing"/>
              <w:jc w:val="center"/>
              <w:rPr>
                <w:rFonts w:ascii="Times New Roman" w:hAnsi="Times New Roman" w:cs="Times New Roman"/>
                <w:szCs w:val="24"/>
              </w:rPr>
            </w:pPr>
            <w:r w:rsidRPr="00D43584">
              <w:rPr>
                <w:rFonts w:ascii="Times New Roman" w:hAnsi="Times New Roman" w:cs="Times New Roman"/>
                <w:szCs w:val="24"/>
              </w:rPr>
              <w:t>182.86</w:t>
            </w:r>
          </w:p>
        </w:tc>
        <w:tc>
          <w:tcPr>
            <w:tcW w:w="1737" w:type="dxa"/>
            <w:vAlign w:val="center"/>
            <w:hideMark/>
          </w:tcPr>
          <w:p w14:paraId="556E9C43" w14:textId="77777777" w:rsidR="00A148E6" w:rsidRPr="00D43584" w:rsidRDefault="00A148E6" w:rsidP="00F236AA">
            <w:pPr>
              <w:pStyle w:val="NoSpacing"/>
              <w:jc w:val="center"/>
              <w:rPr>
                <w:rFonts w:ascii="Times New Roman" w:hAnsi="Times New Roman" w:cs="Times New Roman"/>
                <w:szCs w:val="24"/>
              </w:rPr>
            </w:pPr>
            <w:r w:rsidRPr="00D43584">
              <w:rPr>
                <w:rFonts w:ascii="Times New Roman" w:hAnsi="Times New Roman" w:cs="Times New Roman"/>
                <w:szCs w:val="24"/>
              </w:rPr>
              <w:t>622.40</w:t>
            </w:r>
          </w:p>
        </w:tc>
        <w:tc>
          <w:tcPr>
            <w:tcW w:w="1276" w:type="dxa"/>
            <w:vAlign w:val="center"/>
            <w:hideMark/>
          </w:tcPr>
          <w:p w14:paraId="0F6D9D38" w14:textId="77777777" w:rsidR="00A148E6" w:rsidRPr="00D43584" w:rsidRDefault="00A148E6" w:rsidP="00F236AA">
            <w:pPr>
              <w:pStyle w:val="NoSpacing"/>
              <w:jc w:val="center"/>
              <w:rPr>
                <w:rFonts w:ascii="Times New Roman" w:hAnsi="Times New Roman" w:cs="Times New Roman"/>
                <w:szCs w:val="24"/>
              </w:rPr>
            </w:pPr>
            <w:r w:rsidRPr="00D43584">
              <w:rPr>
                <w:rFonts w:ascii="Times New Roman" w:hAnsi="Times New Roman" w:cs="Times New Roman"/>
                <w:szCs w:val="24"/>
              </w:rPr>
              <w:t>-65.81</w:t>
            </w:r>
          </w:p>
        </w:tc>
      </w:tr>
    </w:tbl>
    <w:p w14:paraId="77BD7FDA" w14:textId="77777777" w:rsidR="00A148E6" w:rsidRPr="00F236AA" w:rsidRDefault="00A148E6" w:rsidP="00A148E6">
      <w:pPr>
        <w:pStyle w:val="NoSpacing"/>
        <w:ind w:left="720"/>
        <w:rPr>
          <w:rFonts w:ascii="Times New Roman" w:hAnsi="Times New Roman" w:cs="Times New Roman"/>
          <w:sz w:val="20"/>
          <w:szCs w:val="20"/>
        </w:rPr>
      </w:pPr>
      <w:r w:rsidRPr="00F236AA">
        <w:rPr>
          <w:rFonts w:ascii="Times New Roman" w:hAnsi="Times New Roman" w:cs="Times New Roman"/>
          <w:sz w:val="20"/>
          <w:szCs w:val="20"/>
        </w:rPr>
        <w:t>* Includes repayment of Central loans, ad hoc loans by Central Government for clearing overdrafts and ways and means advances by the Reserve Bank of India.</w:t>
      </w:r>
    </w:p>
    <w:p w14:paraId="3BDEC854" w14:textId="3C112832" w:rsidR="00A148E6" w:rsidRPr="00F236AA" w:rsidRDefault="00A148E6" w:rsidP="00A148E6">
      <w:pPr>
        <w:pStyle w:val="NoSpacing"/>
        <w:ind w:left="360" w:firstLine="360"/>
        <w:rPr>
          <w:rFonts w:ascii="Times New Roman" w:hAnsi="Times New Roman" w:cs="Times New Roman"/>
          <w:sz w:val="20"/>
          <w:szCs w:val="20"/>
        </w:rPr>
      </w:pPr>
      <w:r w:rsidRPr="00F236AA">
        <w:rPr>
          <w:rFonts w:ascii="Times New Roman" w:hAnsi="Times New Roman" w:cs="Times New Roman"/>
          <w:sz w:val="20"/>
          <w:szCs w:val="20"/>
        </w:rPr>
        <w:t>NOTE: Information relating to Nagaland is not available.</w:t>
      </w:r>
    </w:p>
    <w:p w14:paraId="6CB81B59" w14:textId="23D1A8E8" w:rsidR="00A148E6" w:rsidRPr="00F236AA" w:rsidRDefault="00A148E6" w:rsidP="00A148E6">
      <w:pPr>
        <w:pStyle w:val="NoSpacing"/>
        <w:ind w:left="720"/>
        <w:rPr>
          <w:rFonts w:ascii="Times New Roman" w:hAnsi="Times New Roman" w:cs="Times New Roman"/>
          <w:sz w:val="20"/>
          <w:szCs w:val="20"/>
        </w:rPr>
      </w:pPr>
      <w:r w:rsidRPr="00F236AA">
        <w:rPr>
          <w:rFonts w:ascii="Times New Roman" w:hAnsi="Times New Roman" w:cs="Times New Roman"/>
          <w:sz w:val="20"/>
          <w:szCs w:val="20"/>
        </w:rPr>
        <w:t>Source: Planning Commission and State Budgets.</w:t>
      </w:r>
    </w:p>
    <w:p w14:paraId="7065BB4D" w14:textId="74796D82" w:rsidR="00A148E6" w:rsidRPr="009C025C" w:rsidRDefault="00A148E6" w:rsidP="009C025C">
      <w:pPr>
        <w:rPr>
          <w:rFonts w:ascii="Times New Roman" w:hAnsi="Times New Roman" w:cs="Times New Roman"/>
          <w:sz w:val="20"/>
          <w:szCs w:val="20"/>
        </w:rPr>
        <w:sectPr w:rsidR="00A148E6" w:rsidRPr="009C025C" w:rsidSect="00A148E6">
          <w:pgSz w:w="15840" w:h="12240" w:orient="landscape"/>
          <w:pgMar w:top="1440" w:right="992" w:bottom="1440" w:left="1440" w:header="720" w:footer="720" w:gutter="0"/>
          <w:cols w:space="720"/>
        </w:sectPr>
      </w:pPr>
    </w:p>
    <w:p w14:paraId="2D540CB7" w14:textId="732C3CCB" w:rsidR="00F236AA" w:rsidRDefault="00574BCE" w:rsidP="0060494F">
      <w:pPr>
        <w:pStyle w:val="Heading5"/>
      </w:pPr>
      <w:bookmarkStart w:id="266" w:name="_Toc220949763"/>
      <w:bookmarkStart w:id="267" w:name="_Toc221115388"/>
      <w:r>
        <w:lastRenderedPageBreak/>
        <w:t>Table</w:t>
      </w:r>
      <w:r w:rsidR="00A148E6" w:rsidRPr="00D43584">
        <w:t xml:space="preserve"> 5: Monthly collections of Income-tax 1966-67 and 1967-68</w:t>
      </w:r>
      <w:bookmarkEnd w:id="266"/>
      <w:bookmarkEnd w:id="267"/>
    </w:p>
    <w:p w14:paraId="68411BE6" w14:textId="0A09998B" w:rsidR="00A148E6" w:rsidRPr="00D43584" w:rsidRDefault="00A148E6" w:rsidP="00F236AA">
      <w:pPr>
        <w:pStyle w:val="NoSpacing"/>
        <w:jc w:val="right"/>
        <w:rPr>
          <w:rFonts w:ascii="Times New Roman" w:hAnsi="Times New Roman" w:cs="Times New Roman"/>
          <w:i/>
          <w:iCs/>
          <w:szCs w:val="24"/>
        </w:rPr>
      </w:pPr>
      <w:r w:rsidRPr="00D43584">
        <w:rPr>
          <w:rFonts w:ascii="Times New Roman" w:hAnsi="Times New Roman" w:cs="Times New Roman"/>
          <w:szCs w:val="24"/>
        </w:rPr>
        <w:br/>
      </w:r>
      <w:r w:rsidRPr="00D43584">
        <w:rPr>
          <w:rFonts w:ascii="Times New Roman" w:hAnsi="Times New Roman" w:cs="Times New Roman"/>
          <w:i/>
          <w:iCs/>
          <w:szCs w:val="24"/>
        </w:rPr>
        <w:t>(Rs. in lakhs)</w:t>
      </w:r>
    </w:p>
    <w:tbl>
      <w:tblPr>
        <w:tblStyle w:val="TableGrid"/>
        <w:tblW w:w="10188" w:type="dxa"/>
        <w:tblLook w:val="04A0" w:firstRow="1" w:lastRow="0" w:firstColumn="1" w:lastColumn="0" w:noHBand="0" w:noVBand="1"/>
      </w:tblPr>
      <w:tblGrid>
        <w:gridCol w:w="1243"/>
        <w:gridCol w:w="1832"/>
        <w:gridCol w:w="1843"/>
        <w:gridCol w:w="1137"/>
        <w:gridCol w:w="1345"/>
        <w:gridCol w:w="1394"/>
        <w:gridCol w:w="1394"/>
      </w:tblGrid>
      <w:tr w:rsidR="00A148E6" w:rsidRPr="00D43584" w14:paraId="440B5996" w14:textId="77777777" w:rsidTr="00F236AA">
        <w:trPr>
          <w:trHeight w:val="1018"/>
        </w:trPr>
        <w:tc>
          <w:tcPr>
            <w:tcW w:w="0" w:type="auto"/>
            <w:vMerge w:val="restart"/>
            <w:vAlign w:val="center"/>
            <w:hideMark/>
          </w:tcPr>
          <w:p w14:paraId="24D82BC9" w14:textId="77777777" w:rsidR="00A148E6" w:rsidRPr="00F236AA" w:rsidRDefault="00A148E6" w:rsidP="00F236AA">
            <w:pPr>
              <w:pStyle w:val="NoSpacing"/>
              <w:jc w:val="center"/>
              <w:rPr>
                <w:rFonts w:ascii="Times New Roman" w:hAnsi="Times New Roman" w:cs="Times New Roman"/>
                <w:b/>
                <w:bCs/>
                <w:szCs w:val="24"/>
              </w:rPr>
            </w:pPr>
            <w:r w:rsidRPr="00F236AA">
              <w:rPr>
                <w:rFonts w:ascii="Times New Roman" w:hAnsi="Times New Roman" w:cs="Times New Roman"/>
                <w:b/>
                <w:bCs/>
                <w:szCs w:val="24"/>
              </w:rPr>
              <w:t>Month</w:t>
            </w:r>
          </w:p>
        </w:tc>
        <w:tc>
          <w:tcPr>
            <w:tcW w:w="0" w:type="auto"/>
            <w:gridSpan w:val="2"/>
            <w:vAlign w:val="center"/>
            <w:hideMark/>
          </w:tcPr>
          <w:p w14:paraId="141480B5" w14:textId="06D41CE0" w:rsidR="00A148E6" w:rsidRPr="00F236AA" w:rsidRDefault="00A148E6" w:rsidP="00F236AA">
            <w:pPr>
              <w:pStyle w:val="NoSpacing"/>
              <w:jc w:val="center"/>
              <w:rPr>
                <w:rFonts w:ascii="Times New Roman" w:hAnsi="Times New Roman" w:cs="Times New Roman"/>
                <w:b/>
                <w:bCs/>
                <w:szCs w:val="24"/>
              </w:rPr>
            </w:pPr>
            <w:r w:rsidRPr="00F236AA">
              <w:rPr>
                <w:rFonts w:ascii="Times New Roman" w:hAnsi="Times New Roman" w:cs="Times New Roman"/>
                <w:b/>
                <w:bCs/>
                <w:szCs w:val="24"/>
              </w:rPr>
              <w:t>Proceeds after deduction of cost of collections</w:t>
            </w:r>
          </w:p>
        </w:tc>
        <w:tc>
          <w:tcPr>
            <w:tcW w:w="0" w:type="auto"/>
            <w:vMerge w:val="restart"/>
            <w:vAlign w:val="center"/>
            <w:hideMark/>
          </w:tcPr>
          <w:p w14:paraId="719A6C8D" w14:textId="77777777" w:rsidR="00A148E6" w:rsidRPr="00F236AA" w:rsidRDefault="00A148E6" w:rsidP="00F236AA">
            <w:pPr>
              <w:pStyle w:val="NoSpacing"/>
              <w:jc w:val="center"/>
              <w:rPr>
                <w:rFonts w:ascii="Times New Roman" w:hAnsi="Times New Roman" w:cs="Times New Roman"/>
                <w:b/>
                <w:bCs/>
                <w:szCs w:val="24"/>
              </w:rPr>
            </w:pPr>
            <w:r w:rsidRPr="00F236AA">
              <w:rPr>
                <w:rFonts w:ascii="Times New Roman" w:hAnsi="Times New Roman" w:cs="Times New Roman"/>
                <w:b/>
                <w:bCs/>
                <w:szCs w:val="24"/>
              </w:rPr>
              <w:t>Average of Columns 2 &amp; 3</w:t>
            </w:r>
          </w:p>
        </w:tc>
        <w:tc>
          <w:tcPr>
            <w:tcW w:w="0" w:type="auto"/>
            <w:vMerge w:val="restart"/>
            <w:vAlign w:val="center"/>
            <w:hideMark/>
          </w:tcPr>
          <w:p w14:paraId="4C436465" w14:textId="77777777" w:rsidR="00A148E6" w:rsidRPr="00F236AA" w:rsidRDefault="00A148E6" w:rsidP="00F236AA">
            <w:pPr>
              <w:pStyle w:val="NoSpacing"/>
              <w:jc w:val="center"/>
              <w:rPr>
                <w:rFonts w:ascii="Times New Roman" w:hAnsi="Times New Roman" w:cs="Times New Roman"/>
                <w:b/>
                <w:bCs/>
                <w:szCs w:val="24"/>
              </w:rPr>
            </w:pPr>
            <w:r w:rsidRPr="00F236AA">
              <w:rPr>
                <w:rFonts w:ascii="Times New Roman" w:hAnsi="Times New Roman" w:cs="Times New Roman"/>
                <w:b/>
                <w:bCs/>
                <w:szCs w:val="24"/>
              </w:rPr>
              <w:t>Percentage of Col. 4 of the total</w:t>
            </w:r>
          </w:p>
        </w:tc>
        <w:tc>
          <w:tcPr>
            <w:tcW w:w="0" w:type="auto"/>
            <w:vMerge w:val="restart"/>
            <w:vAlign w:val="center"/>
            <w:hideMark/>
          </w:tcPr>
          <w:p w14:paraId="506F443E" w14:textId="77777777" w:rsidR="00A148E6" w:rsidRPr="00F236AA" w:rsidRDefault="00A148E6" w:rsidP="00F236AA">
            <w:pPr>
              <w:pStyle w:val="NoSpacing"/>
              <w:jc w:val="center"/>
              <w:rPr>
                <w:rFonts w:ascii="Times New Roman" w:hAnsi="Times New Roman" w:cs="Times New Roman"/>
                <w:b/>
                <w:bCs/>
                <w:szCs w:val="24"/>
              </w:rPr>
            </w:pPr>
            <w:r w:rsidRPr="00F236AA">
              <w:rPr>
                <w:rFonts w:ascii="Times New Roman" w:hAnsi="Times New Roman" w:cs="Times New Roman"/>
                <w:b/>
                <w:bCs/>
                <w:szCs w:val="24"/>
              </w:rPr>
              <w:t>Progressive percentage</w:t>
            </w:r>
          </w:p>
        </w:tc>
        <w:tc>
          <w:tcPr>
            <w:tcW w:w="0" w:type="auto"/>
            <w:vMerge w:val="restart"/>
            <w:vAlign w:val="center"/>
            <w:hideMark/>
          </w:tcPr>
          <w:p w14:paraId="5799D849" w14:textId="77777777" w:rsidR="00A148E6" w:rsidRPr="00F236AA" w:rsidRDefault="00A148E6" w:rsidP="00F236AA">
            <w:pPr>
              <w:pStyle w:val="NoSpacing"/>
              <w:jc w:val="center"/>
              <w:rPr>
                <w:rFonts w:ascii="Times New Roman" w:hAnsi="Times New Roman" w:cs="Times New Roman"/>
                <w:b/>
                <w:bCs/>
                <w:szCs w:val="24"/>
              </w:rPr>
            </w:pPr>
            <w:r w:rsidRPr="00F236AA">
              <w:rPr>
                <w:rFonts w:ascii="Times New Roman" w:hAnsi="Times New Roman" w:cs="Times New Roman"/>
                <w:b/>
                <w:bCs/>
                <w:szCs w:val="24"/>
              </w:rPr>
              <w:t>Progressive percentage paid by the Centre</w:t>
            </w:r>
          </w:p>
        </w:tc>
      </w:tr>
      <w:tr w:rsidR="00A148E6" w:rsidRPr="00D43584" w14:paraId="6279ABE4" w14:textId="77777777" w:rsidTr="00F236AA">
        <w:trPr>
          <w:trHeight w:val="630"/>
        </w:trPr>
        <w:tc>
          <w:tcPr>
            <w:tcW w:w="0" w:type="auto"/>
            <w:vMerge/>
          </w:tcPr>
          <w:p w14:paraId="0278AD02" w14:textId="77777777" w:rsidR="00A148E6" w:rsidRPr="00D43584" w:rsidRDefault="00A148E6" w:rsidP="00B77C0B">
            <w:pPr>
              <w:pStyle w:val="NoSpacing"/>
              <w:rPr>
                <w:rFonts w:ascii="Times New Roman" w:hAnsi="Times New Roman" w:cs="Times New Roman"/>
                <w:szCs w:val="24"/>
              </w:rPr>
            </w:pPr>
          </w:p>
        </w:tc>
        <w:tc>
          <w:tcPr>
            <w:tcW w:w="2079" w:type="dxa"/>
            <w:vAlign w:val="center"/>
          </w:tcPr>
          <w:p w14:paraId="6A91CD36" w14:textId="77777777" w:rsidR="00A148E6" w:rsidRPr="00F236AA" w:rsidRDefault="00A148E6" w:rsidP="00F236AA">
            <w:pPr>
              <w:pStyle w:val="NoSpacing"/>
              <w:jc w:val="center"/>
              <w:rPr>
                <w:rFonts w:ascii="Times New Roman" w:hAnsi="Times New Roman" w:cs="Times New Roman"/>
                <w:b/>
                <w:bCs/>
                <w:szCs w:val="24"/>
              </w:rPr>
            </w:pPr>
            <w:r w:rsidRPr="00F236AA">
              <w:rPr>
                <w:rFonts w:ascii="Times New Roman" w:hAnsi="Times New Roman" w:cs="Times New Roman"/>
                <w:b/>
                <w:bCs/>
                <w:szCs w:val="24"/>
              </w:rPr>
              <w:t>1966-67</w:t>
            </w:r>
          </w:p>
        </w:tc>
        <w:tc>
          <w:tcPr>
            <w:tcW w:w="2095" w:type="dxa"/>
            <w:vAlign w:val="center"/>
          </w:tcPr>
          <w:p w14:paraId="767A8641" w14:textId="77777777" w:rsidR="00A148E6" w:rsidRPr="00F236AA" w:rsidRDefault="00A148E6" w:rsidP="00F236AA">
            <w:pPr>
              <w:pStyle w:val="NoSpacing"/>
              <w:jc w:val="center"/>
              <w:rPr>
                <w:rFonts w:ascii="Times New Roman" w:hAnsi="Times New Roman" w:cs="Times New Roman"/>
                <w:b/>
                <w:bCs/>
                <w:szCs w:val="24"/>
              </w:rPr>
            </w:pPr>
            <w:r w:rsidRPr="00F236AA">
              <w:rPr>
                <w:rFonts w:ascii="Times New Roman" w:hAnsi="Times New Roman" w:cs="Times New Roman"/>
                <w:b/>
                <w:bCs/>
                <w:szCs w:val="24"/>
              </w:rPr>
              <w:t>1967-68</w:t>
            </w:r>
          </w:p>
        </w:tc>
        <w:tc>
          <w:tcPr>
            <w:tcW w:w="0" w:type="auto"/>
            <w:vMerge/>
          </w:tcPr>
          <w:p w14:paraId="557D6333" w14:textId="77777777" w:rsidR="00A148E6" w:rsidRPr="00D43584" w:rsidRDefault="00A148E6" w:rsidP="00B77C0B">
            <w:pPr>
              <w:pStyle w:val="NoSpacing"/>
              <w:rPr>
                <w:rFonts w:ascii="Times New Roman" w:hAnsi="Times New Roman" w:cs="Times New Roman"/>
                <w:szCs w:val="24"/>
              </w:rPr>
            </w:pPr>
          </w:p>
        </w:tc>
        <w:tc>
          <w:tcPr>
            <w:tcW w:w="0" w:type="auto"/>
            <w:vMerge/>
          </w:tcPr>
          <w:p w14:paraId="46537178" w14:textId="77777777" w:rsidR="00A148E6" w:rsidRPr="00D43584" w:rsidRDefault="00A148E6" w:rsidP="00B77C0B">
            <w:pPr>
              <w:pStyle w:val="NoSpacing"/>
              <w:rPr>
                <w:rFonts w:ascii="Times New Roman" w:hAnsi="Times New Roman" w:cs="Times New Roman"/>
                <w:szCs w:val="24"/>
              </w:rPr>
            </w:pPr>
          </w:p>
        </w:tc>
        <w:tc>
          <w:tcPr>
            <w:tcW w:w="0" w:type="auto"/>
            <w:vMerge/>
          </w:tcPr>
          <w:p w14:paraId="0A34EF8D" w14:textId="77777777" w:rsidR="00A148E6" w:rsidRPr="00D43584" w:rsidRDefault="00A148E6" w:rsidP="00B77C0B">
            <w:pPr>
              <w:pStyle w:val="NoSpacing"/>
              <w:rPr>
                <w:rFonts w:ascii="Times New Roman" w:hAnsi="Times New Roman" w:cs="Times New Roman"/>
                <w:szCs w:val="24"/>
              </w:rPr>
            </w:pPr>
          </w:p>
        </w:tc>
        <w:tc>
          <w:tcPr>
            <w:tcW w:w="0" w:type="auto"/>
            <w:vMerge/>
          </w:tcPr>
          <w:p w14:paraId="2BD6975E" w14:textId="77777777" w:rsidR="00A148E6" w:rsidRPr="00D43584" w:rsidRDefault="00A148E6" w:rsidP="00B77C0B">
            <w:pPr>
              <w:pStyle w:val="NoSpacing"/>
              <w:rPr>
                <w:rFonts w:ascii="Times New Roman" w:hAnsi="Times New Roman" w:cs="Times New Roman"/>
                <w:szCs w:val="24"/>
              </w:rPr>
            </w:pPr>
          </w:p>
        </w:tc>
      </w:tr>
      <w:tr w:rsidR="00A148E6" w:rsidRPr="00D43584" w14:paraId="6711E540" w14:textId="77777777" w:rsidTr="00F236AA">
        <w:trPr>
          <w:trHeight w:val="494"/>
        </w:trPr>
        <w:tc>
          <w:tcPr>
            <w:tcW w:w="0" w:type="auto"/>
            <w:hideMark/>
          </w:tcPr>
          <w:p w14:paraId="70C43340" w14:textId="77777777" w:rsidR="00A148E6" w:rsidRPr="00D43584" w:rsidRDefault="00A148E6" w:rsidP="00B77C0B">
            <w:pPr>
              <w:pStyle w:val="NoSpacing"/>
              <w:rPr>
                <w:rFonts w:ascii="Times New Roman" w:hAnsi="Times New Roman" w:cs="Times New Roman"/>
                <w:szCs w:val="24"/>
              </w:rPr>
            </w:pPr>
            <w:r w:rsidRPr="00D43584">
              <w:rPr>
                <w:rFonts w:ascii="Times New Roman" w:hAnsi="Times New Roman" w:cs="Times New Roman"/>
                <w:szCs w:val="24"/>
              </w:rPr>
              <w:t>April</w:t>
            </w:r>
          </w:p>
        </w:tc>
        <w:tc>
          <w:tcPr>
            <w:tcW w:w="0" w:type="auto"/>
            <w:vAlign w:val="center"/>
            <w:hideMark/>
          </w:tcPr>
          <w:p w14:paraId="31EF0DE5" w14:textId="77777777" w:rsidR="00A148E6" w:rsidRPr="00D43584" w:rsidRDefault="00A148E6" w:rsidP="00F236AA">
            <w:pPr>
              <w:pStyle w:val="NoSpacing"/>
              <w:jc w:val="center"/>
              <w:rPr>
                <w:rFonts w:ascii="Times New Roman" w:hAnsi="Times New Roman" w:cs="Times New Roman"/>
                <w:szCs w:val="24"/>
              </w:rPr>
            </w:pPr>
            <w:r w:rsidRPr="00D43584">
              <w:rPr>
                <w:rFonts w:ascii="Times New Roman" w:hAnsi="Times New Roman" w:cs="Times New Roman"/>
                <w:szCs w:val="24"/>
              </w:rPr>
              <w:t>367</w:t>
            </w:r>
          </w:p>
        </w:tc>
        <w:tc>
          <w:tcPr>
            <w:tcW w:w="0" w:type="auto"/>
            <w:vAlign w:val="center"/>
            <w:hideMark/>
          </w:tcPr>
          <w:p w14:paraId="3AF4D68B" w14:textId="77777777" w:rsidR="00A148E6" w:rsidRPr="00D43584" w:rsidRDefault="00A148E6" w:rsidP="00F236AA">
            <w:pPr>
              <w:pStyle w:val="NoSpacing"/>
              <w:jc w:val="center"/>
              <w:rPr>
                <w:rFonts w:ascii="Times New Roman" w:hAnsi="Times New Roman" w:cs="Times New Roman"/>
                <w:szCs w:val="24"/>
              </w:rPr>
            </w:pPr>
            <w:r w:rsidRPr="00D43584">
              <w:rPr>
                <w:rFonts w:ascii="Times New Roman" w:hAnsi="Times New Roman" w:cs="Times New Roman"/>
                <w:szCs w:val="24"/>
              </w:rPr>
              <w:t>385</w:t>
            </w:r>
          </w:p>
        </w:tc>
        <w:tc>
          <w:tcPr>
            <w:tcW w:w="0" w:type="auto"/>
            <w:vAlign w:val="center"/>
            <w:hideMark/>
          </w:tcPr>
          <w:p w14:paraId="5DD76FDB" w14:textId="77777777" w:rsidR="00A148E6" w:rsidRPr="00D43584" w:rsidRDefault="00A148E6" w:rsidP="00F236AA">
            <w:pPr>
              <w:pStyle w:val="NoSpacing"/>
              <w:jc w:val="center"/>
              <w:rPr>
                <w:rFonts w:ascii="Times New Roman" w:hAnsi="Times New Roman" w:cs="Times New Roman"/>
                <w:szCs w:val="24"/>
              </w:rPr>
            </w:pPr>
            <w:r w:rsidRPr="00D43584">
              <w:rPr>
                <w:rFonts w:ascii="Times New Roman" w:hAnsi="Times New Roman" w:cs="Times New Roman"/>
                <w:szCs w:val="24"/>
              </w:rPr>
              <w:t>376</w:t>
            </w:r>
          </w:p>
        </w:tc>
        <w:tc>
          <w:tcPr>
            <w:tcW w:w="0" w:type="auto"/>
            <w:vAlign w:val="center"/>
            <w:hideMark/>
          </w:tcPr>
          <w:p w14:paraId="2CEB0AD6" w14:textId="77777777" w:rsidR="00A148E6" w:rsidRPr="00D43584" w:rsidRDefault="00A148E6" w:rsidP="00F236AA">
            <w:pPr>
              <w:pStyle w:val="NoSpacing"/>
              <w:jc w:val="center"/>
              <w:rPr>
                <w:rFonts w:ascii="Times New Roman" w:hAnsi="Times New Roman" w:cs="Times New Roman"/>
                <w:szCs w:val="24"/>
              </w:rPr>
            </w:pPr>
            <w:r w:rsidRPr="00D43584">
              <w:rPr>
                <w:rFonts w:ascii="Times New Roman" w:hAnsi="Times New Roman" w:cs="Times New Roman"/>
                <w:szCs w:val="24"/>
              </w:rPr>
              <w:t>1.78</w:t>
            </w:r>
          </w:p>
        </w:tc>
        <w:tc>
          <w:tcPr>
            <w:tcW w:w="0" w:type="auto"/>
            <w:vAlign w:val="center"/>
            <w:hideMark/>
          </w:tcPr>
          <w:p w14:paraId="500B8B42" w14:textId="77777777" w:rsidR="00A148E6" w:rsidRPr="00D43584" w:rsidRDefault="00A148E6" w:rsidP="00F236AA">
            <w:pPr>
              <w:pStyle w:val="NoSpacing"/>
              <w:jc w:val="center"/>
              <w:rPr>
                <w:rFonts w:ascii="Times New Roman" w:hAnsi="Times New Roman" w:cs="Times New Roman"/>
                <w:szCs w:val="24"/>
              </w:rPr>
            </w:pPr>
            <w:r w:rsidRPr="00D43584">
              <w:rPr>
                <w:rFonts w:ascii="Times New Roman" w:hAnsi="Times New Roman" w:cs="Times New Roman"/>
                <w:szCs w:val="24"/>
              </w:rPr>
              <w:t>1.78</w:t>
            </w:r>
          </w:p>
        </w:tc>
        <w:tc>
          <w:tcPr>
            <w:tcW w:w="0" w:type="auto"/>
            <w:vAlign w:val="center"/>
            <w:hideMark/>
          </w:tcPr>
          <w:p w14:paraId="65EA42CF" w14:textId="77777777" w:rsidR="00A148E6" w:rsidRPr="00D43584" w:rsidRDefault="00A148E6" w:rsidP="00F236AA">
            <w:pPr>
              <w:pStyle w:val="NoSpacing"/>
              <w:jc w:val="center"/>
              <w:rPr>
                <w:rFonts w:ascii="Times New Roman" w:hAnsi="Times New Roman" w:cs="Times New Roman"/>
                <w:szCs w:val="24"/>
              </w:rPr>
            </w:pPr>
            <w:r w:rsidRPr="00D43584">
              <w:rPr>
                <w:rFonts w:ascii="Times New Roman" w:hAnsi="Times New Roman" w:cs="Times New Roman"/>
                <w:szCs w:val="24"/>
              </w:rPr>
              <w:t>..</w:t>
            </w:r>
          </w:p>
        </w:tc>
      </w:tr>
      <w:tr w:rsidR="00A148E6" w:rsidRPr="00D43584" w14:paraId="7D0504C2" w14:textId="77777777" w:rsidTr="00F236AA">
        <w:trPr>
          <w:trHeight w:val="494"/>
        </w:trPr>
        <w:tc>
          <w:tcPr>
            <w:tcW w:w="0" w:type="auto"/>
            <w:hideMark/>
          </w:tcPr>
          <w:p w14:paraId="3494B13A" w14:textId="77777777" w:rsidR="00A148E6" w:rsidRPr="00D43584" w:rsidRDefault="00A148E6" w:rsidP="00B77C0B">
            <w:pPr>
              <w:pStyle w:val="NoSpacing"/>
              <w:rPr>
                <w:rFonts w:ascii="Times New Roman" w:hAnsi="Times New Roman" w:cs="Times New Roman"/>
                <w:szCs w:val="24"/>
              </w:rPr>
            </w:pPr>
            <w:r w:rsidRPr="00D43584">
              <w:rPr>
                <w:rFonts w:ascii="Times New Roman" w:hAnsi="Times New Roman" w:cs="Times New Roman"/>
                <w:szCs w:val="24"/>
              </w:rPr>
              <w:t>May</w:t>
            </w:r>
          </w:p>
        </w:tc>
        <w:tc>
          <w:tcPr>
            <w:tcW w:w="0" w:type="auto"/>
            <w:vAlign w:val="center"/>
            <w:hideMark/>
          </w:tcPr>
          <w:p w14:paraId="475FC3E7" w14:textId="77777777" w:rsidR="00A148E6" w:rsidRPr="00D43584" w:rsidRDefault="00A148E6" w:rsidP="00F236AA">
            <w:pPr>
              <w:pStyle w:val="NoSpacing"/>
              <w:jc w:val="center"/>
              <w:rPr>
                <w:rFonts w:ascii="Times New Roman" w:hAnsi="Times New Roman" w:cs="Times New Roman"/>
                <w:szCs w:val="24"/>
              </w:rPr>
            </w:pPr>
            <w:r w:rsidRPr="00D43584">
              <w:rPr>
                <w:rFonts w:ascii="Times New Roman" w:hAnsi="Times New Roman" w:cs="Times New Roman"/>
                <w:szCs w:val="24"/>
              </w:rPr>
              <w:t>459</w:t>
            </w:r>
          </w:p>
        </w:tc>
        <w:tc>
          <w:tcPr>
            <w:tcW w:w="0" w:type="auto"/>
            <w:vAlign w:val="center"/>
            <w:hideMark/>
          </w:tcPr>
          <w:p w14:paraId="3FEB59D9" w14:textId="77777777" w:rsidR="00A148E6" w:rsidRPr="00D43584" w:rsidRDefault="00A148E6" w:rsidP="00F236AA">
            <w:pPr>
              <w:pStyle w:val="NoSpacing"/>
              <w:jc w:val="center"/>
              <w:rPr>
                <w:rFonts w:ascii="Times New Roman" w:hAnsi="Times New Roman" w:cs="Times New Roman"/>
                <w:szCs w:val="24"/>
              </w:rPr>
            </w:pPr>
            <w:r w:rsidRPr="00D43584">
              <w:rPr>
                <w:rFonts w:ascii="Times New Roman" w:hAnsi="Times New Roman" w:cs="Times New Roman"/>
                <w:szCs w:val="24"/>
              </w:rPr>
              <w:t>685</w:t>
            </w:r>
          </w:p>
        </w:tc>
        <w:tc>
          <w:tcPr>
            <w:tcW w:w="0" w:type="auto"/>
            <w:vAlign w:val="center"/>
            <w:hideMark/>
          </w:tcPr>
          <w:p w14:paraId="42E2A702" w14:textId="77777777" w:rsidR="00A148E6" w:rsidRPr="00D43584" w:rsidRDefault="00A148E6" w:rsidP="00F236AA">
            <w:pPr>
              <w:pStyle w:val="NoSpacing"/>
              <w:jc w:val="center"/>
              <w:rPr>
                <w:rFonts w:ascii="Times New Roman" w:hAnsi="Times New Roman" w:cs="Times New Roman"/>
                <w:szCs w:val="24"/>
              </w:rPr>
            </w:pPr>
            <w:r w:rsidRPr="00D43584">
              <w:rPr>
                <w:rFonts w:ascii="Times New Roman" w:hAnsi="Times New Roman" w:cs="Times New Roman"/>
                <w:szCs w:val="24"/>
              </w:rPr>
              <w:t>572</w:t>
            </w:r>
          </w:p>
        </w:tc>
        <w:tc>
          <w:tcPr>
            <w:tcW w:w="0" w:type="auto"/>
            <w:vAlign w:val="center"/>
            <w:hideMark/>
          </w:tcPr>
          <w:p w14:paraId="0C2DD504" w14:textId="77777777" w:rsidR="00A148E6" w:rsidRPr="00D43584" w:rsidRDefault="00A148E6" w:rsidP="00F236AA">
            <w:pPr>
              <w:pStyle w:val="NoSpacing"/>
              <w:jc w:val="center"/>
              <w:rPr>
                <w:rFonts w:ascii="Times New Roman" w:hAnsi="Times New Roman" w:cs="Times New Roman"/>
                <w:szCs w:val="24"/>
              </w:rPr>
            </w:pPr>
            <w:r w:rsidRPr="00D43584">
              <w:rPr>
                <w:rFonts w:ascii="Times New Roman" w:hAnsi="Times New Roman" w:cs="Times New Roman"/>
                <w:szCs w:val="24"/>
              </w:rPr>
              <w:t>2.70</w:t>
            </w:r>
          </w:p>
        </w:tc>
        <w:tc>
          <w:tcPr>
            <w:tcW w:w="0" w:type="auto"/>
            <w:vAlign w:val="center"/>
            <w:hideMark/>
          </w:tcPr>
          <w:p w14:paraId="5551B366" w14:textId="77777777" w:rsidR="00A148E6" w:rsidRPr="00D43584" w:rsidRDefault="00A148E6" w:rsidP="00F236AA">
            <w:pPr>
              <w:pStyle w:val="NoSpacing"/>
              <w:jc w:val="center"/>
              <w:rPr>
                <w:rFonts w:ascii="Times New Roman" w:hAnsi="Times New Roman" w:cs="Times New Roman"/>
                <w:szCs w:val="24"/>
              </w:rPr>
            </w:pPr>
            <w:r w:rsidRPr="00D43584">
              <w:rPr>
                <w:rFonts w:ascii="Times New Roman" w:hAnsi="Times New Roman" w:cs="Times New Roman"/>
                <w:szCs w:val="24"/>
              </w:rPr>
              <w:t>4.48</w:t>
            </w:r>
          </w:p>
        </w:tc>
        <w:tc>
          <w:tcPr>
            <w:tcW w:w="0" w:type="auto"/>
            <w:vAlign w:val="center"/>
            <w:hideMark/>
          </w:tcPr>
          <w:p w14:paraId="3A5C2BB1" w14:textId="77777777" w:rsidR="00A148E6" w:rsidRPr="00D43584" w:rsidRDefault="00A148E6" w:rsidP="00F236AA">
            <w:pPr>
              <w:pStyle w:val="NoSpacing"/>
              <w:jc w:val="center"/>
              <w:rPr>
                <w:rFonts w:ascii="Times New Roman" w:hAnsi="Times New Roman" w:cs="Times New Roman"/>
                <w:szCs w:val="24"/>
              </w:rPr>
            </w:pPr>
            <w:r w:rsidRPr="00D43584">
              <w:rPr>
                <w:rFonts w:ascii="Times New Roman" w:hAnsi="Times New Roman" w:cs="Times New Roman"/>
                <w:szCs w:val="24"/>
              </w:rPr>
              <w:t>..</w:t>
            </w:r>
          </w:p>
        </w:tc>
      </w:tr>
      <w:tr w:rsidR="00A148E6" w:rsidRPr="00D43584" w14:paraId="7345AD0E" w14:textId="77777777" w:rsidTr="00F236AA">
        <w:trPr>
          <w:trHeight w:val="494"/>
        </w:trPr>
        <w:tc>
          <w:tcPr>
            <w:tcW w:w="0" w:type="auto"/>
            <w:hideMark/>
          </w:tcPr>
          <w:p w14:paraId="4494700D" w14:textId="77777777" w:rsidR="00A148E6" w:rsidRPr="00D43584" w:rsidRDefault="00A148E6" w:rsidP="00B77C0B">
            <w:pPr>
              <w:pStyle w:val="NoSpacing"/>
              <w:rPr>
                <w:rFonts w:ascii="Times New Roman" w:hAnsi="Times New Roman" w:cs="Times New Roman"/>
                <w:szCs w:val="24"/>
              </w:rPr>
            </w:pPr>
            <w:r w:rsidRPr="00D43584">
              <w:rPr>
                <w:rFonts w:ascii="Times New Roman" w:hAnsi="Times New Roman" w:cs="Times New Roman"/>
                <w:szCs w:val="24"/>
              </w:rPr>
              <w:t>June</w:t>
            </w:r>
          </w:p>
        </w:tc>
        <w:tc>
          <w:tcPr>
            <w:tcW w:w="0" w:type="auto"/>
            <w:vAlign w:val="center"/>
            <w:hideMark/>
          </w:tcPr>
          <w:p w14:paraId="0D9B7A04" w14:textId="77777777" w:rsidR="00A148E6" w:rsidRPr="00D43584" w:rsidRDefault="00A148E6" w:rsidP="00F236AA">
            <w:pPr>
              <w:pStyle w:val="NoSpacing"/>
              <w:jc w:val="center"/>
              <w:rPr>
                <w:rFonts w:ascii="Times New Roman" w:hAnsi="Times New Roman" w:cs="Times New Roman"/>
                <w:szCs w:val="24"/>
              </w:rPr>
            </w:pPr>
            <w:r w:rsidRPr="00D43584">
              <w:rPr>
                <w:rFonts w:ascii="Times New Roman" w:hAnsi="Times New Roman" w:cs="Times New Roman"/>
                <w:szCs w:val="24"/>
              </w:rPr>
              <w:t>900</w:t>
            </w:r>
          </w:p>
        </w:tc>
        <w:tc>
          <w:tcPr>
            <w:tcW w:w="0" w:type="auto"/>
            <w:vAlign w:val="center"/>
            <w:hideMark/>
          </w:tcPr>
          <w:p w14:paraId="20A4B662" w14:textId="77777777" w:rsidR="00A148E6" w:rsidRPr="00D43584" w:rsidRDefault="00A148E6" w:rsidP="00F236AA">
            <w:pPr>
              <w:pStyle w:val="NoSpacing"/>
              <w:jc w:val="center"/>
              <w:rPr>
                <w:rFonts w:ascii="Times New Roman" w:hAnsi="Times New Roman" w:cs="Times New Roman"/>
                <w:szCs w:val="24"/>
              </w:rPr>
            </w:pPr>
            <w:r w:rsidRPr="00D43584">
              <w:rPr>
                <w:rFonts w:ascii="Times New Roman" w:hAnsi="Times New Roman" w:cs="Times New Roman"/>
                <w:szCs w:val="24"/>
              </w:rPr>
              <w:t>901</w:t>
            </w:r>
          </w:p>
        </w:tc>
        <w:tc>
          <w:tcPr>
            <w:tcW w:w="0" w:type="auto"/>
            <w:vAlign w:val="center"/>
            <w:hideMark/>
          </w:tcPr>
          <w:p w14:paraId="69F599A7" w14:textId="77777777" w:rsidR="00A148E6" w:rsidRPr="00D43584" w:rsidRDefault="00A148E6" w:rsidP="00F236AA">
            <w:pPr>
              <w:pStyle w:val="NoSpacing"/>
              <w:jc w:val="center"/>
              <w:rPr>
                <w:rFonts w:ascii="Times New Roman" w:hAnsi="Times New Roman" w:cs="Times New Roman"/>
                <w:szCs w:val="24"/>
              </w:rPr>
            </w:pPr>
            <w:r w:rsidRPr="00D43584">
              <w:rPr>
                <w:rFonts w:ascii="Times New Roman" w:hAnsi="Times New Roman" w:cs="Times New Roman"/>
                <w:szCs w:val="24"/>
              </w:rPr>
              <w:t>901</w:t>
            </w:r>
          </w:p>
        </w:tc>
        <w:tc>
          <w:tcPr>
            <w:tcW w:w="0" w:type="auto"/>
            <w:vAlign w:val="center"/>
            <w:hideMark/>
          </w:tcPr>
          <w:p w14:paraId="0E148386" w14:textId="77777777" w:rsidR="00A148E6" w:rsidRPr="00D43584" w:rsidRDefault="00A148E6" w:rsidP="00F236AA">
            <w:pPr>
              <w:pStyle w:val="NoSpacing"/>
              <w:jc w:val="center"/>
              <w:rPr>
                <w:rFonts w:ascii="Times New Roman" w:hAnsi="Times New Roman" w:cs="Times New Roman"/>
                <w:szCs w:val="24"/>
              </w:rPr>
            </w:pPr>
            <w:r w:rsidRPr="00D43584">
              <w:rPr>
                <w:rFonts w:ascii="Times New Roman" w:hAnsi="Times New Roman" w:cs="Times New Roman"/>
                <w:szCs w:val="24"/>
              </w:rPr>
              <w:t>4.25</w:t>
            </w:r>
          </w:p>
        </w:tc>
        <w:tc>
          <w:tcPr>
            <w:tcW w:w="0" w:type="auto"/>
            <w:vAlign w:val="center"/>
            <w:hideMark/>
          </w:tcPr>
          <w:p w14:paraId="440655B7" w14:textId="77777777" w:rsidR="00A148E6" w:rsidRPr="00D43584" w:rsidRDefault="00A148E6" w:rsidP="00F236AA">
            <w:pPr>
              <w:pStyle w:val="NoSpacing"/>
              <w:jc w:val="center"/>
              <w:rPr>
                <w:rFonts w:ascii="Times New Roman" w:hAnsi="Times New Roman" w:cs="Times New Roman"/>
                <w:szCs w:val="24"/>
              </w:rPr>
            </w:pPr>
            <w:r w:rsidRPr="00D43584">
              <w:rPr>
                <w:rFonts w:ascii="Times New Roman" w:hAnsi="Times New Roman" w:cs="Times New Roman"/>
                <w:szCs w:val="24"/>
              </w:rPr>
              <w:t>8.73</w:t>
            </w:r>
          </w:p>
        </w:tc>
        <w:tc>
          <w:tcPr>
            <w:tcW w:w="0" w:type="auto"/>
            <w:vAlign w:val="center"/>
            <w:hideMark/>
          </w:tcPr>
          <w:p w14:paraId="42132380" w14:textId="77777777" w:rsidR="00A148E6" w:rsidRPr="00D43584" w:rsidRDefault="00A148E6" w:rsidP="00F236AA">
            <w:pPr>
              <w:pStyle w:val="NoSpacing"/>
              <w:jc w:val="center"/>
              <w:rPr>
                <w:rFonts w:ascii="Times New Roman" w:hAnsi="Times New Roman" w:cs="Times New Roman"/>
                <w:szCs w:val="24"/>
              </w:rPr>
            </w:pPr>
            <w:r w:rsidRPr="00D43584">
              <w:rPr>
                <w:rFonts w:ascii="Times New Roman" w:hAnsi="Times New Roman" w:cs="Times New Roman"/>
                <w:szCs w:val="24"/>
              </w:rPr>
              <w:t>..</w:t>
            </w:r>
          </w:p>
        </w:tc>
      </w:tr>
      <w:tr w:rsidR="00A148E6" w:rsidRPr="00D43584" w14:paraId="1239DBA7" w14:textId="77777777" w:rsidTr="00F236AA">
        <w:trPr>
          <w:trHeight w:val="520"/>
        </w:trPr>
        <w:tc>
          <w:tcPr>
            <w:tcW w:w="0" w:type="auto"/>
            <w:hideMark/>
          </w:tcPr>
          <w:p w14:paraId="530CDDD5" w14:textId="77777777" w:rsidR="00A148E6" w:rsidRPr="00D43584" w:rsidRDefault="00A148E6" w:rsidP="00B77C0B">
            <w:pPr>
              <w:pStyle w:val="NoSpacing"/>
              <w:rPr>
                <w:rFonts w:ascii="Times New Roman" w:hAnsi="Times New Roman" w:cs="Times New Roman"/>
                <w:szCs w:val="24"/>
              </w:rPr>
            </w:pPr>
            <w:r w:rsidRPr="00D43584">
              <w:rPr>
                <w:rFonts w:ascii="Times New Roman" w:hAnsi="Times New Roman" w:cs="Times New Roman"/>
                <w:szCs w:val="24"/>
              </w:rPr>
              <w:t>July</w:t>
            </w:r>
          </w:p>
        </w:tc>
        <w:tc>
          <w:tcPr>
            <w:tcW w:w="0" w:type="auto"/>
            <w:vAlign w:val="center"/>
            <w:hideMark/>
          </w:tcPr>
          <w:p w14:paraId="2FA71603" w14:textId="77777777" w:rsidR="00A148E6" w:rsidRPr="00D43584" w:rsidRDefault="00A148E6" w:rsidP="00F236AA">
            <w:pPr>
              <w:pStyle w:val="NoSpacing"/>
              <w:jc w:val="center"/>
              <w:rPr>
                <w:rFonts w:ascii="Times New Roman" w:hAnsi="Times New Roman" w:cs="Times New Roman"/>
                <w:szCs w:val="24"/>
              </w:rPr>
            </w:pPr>
            <w:r w:rsidRPr="00D43584">
              <w:rPr>
                <w:rFonts w:ascii="Times New Roman" w:hAnsi="Times New Roman" w:cs="Times New Roman"/>
                <w:szCs w:val="24"/>
              </w:rPr>
              <w:t>1437</w:t>
            </w:r>
          </w:p>
        </w:tc>
        <w:tc>
          <w:tcPr>
            <w:tcW w:w="0" w:type="auto"/>
            <w:vAlign w:val="center"/>
            <w:hideMark/>
          </w:tcPr>
          <w:p w14:paraId="38043E91" w14:textId="77777777" w:rsidR="00A148E6" w:rsidRPr="00D43584" w:rsidRDefault="00A148E6" w:rsidP="00F236AA">
            <w:pPr>
              <w:pStyle w:val="NoSpacing"/>
              <w:jc w:val="center"/>
              <w:rPr>
                <w:rFonts w:ascii="Times New Roman" w:hAnsi="Times New Roman" w:cs="Times New Roman"/>
                <w:szCs w:val="24"/>
              </w:rPr>
            </w:pPr>
            <w:r w:rsidRPr="00D43584">
              <w:rPr>
                <w:rFonts w:ascii="Times New Roman" w:hAnsi="Times New Roman" w:cs="Times New Roman"/>
                <w:szCs w:val="24"/>
              </w:rPr>
              <w:t>864</w:t>
            </w:r>
          </w:p>
        </w:tc>
        <w:tc>
          <w:tcPr>
            <w:tcW w:w="0" w:type="auto"/>
            <w:vAlign w:val="center"/>
            <w:hideMark/>
          </w:tcPr>
          <w:p w14:paraId="15E11379" w14:textId="77777777" w:rsidR="00A148E6" w:rsidRPr="00D43584" w:rsidRDefault="00A148E6" w:rsidP="00F236AA">
            <w:pPr>
              <w:pStyle w:val="NoSpacing"/>
              <w:jc w:val="center"/>
              <w:rPr>
                <w:rFonts w:ascii="Times New Roman" w:hAnsi="Times New Roman" w:cs="Times New Roman"/>
                <w:szCs w:val="24"/>
              </w:rPr>
            </w:pPr>
            <w:r w:rsidRPr="00D43584">
              <w:rPr>
                <w:rFonts w:ascii="Times New Roman" w:hAnsi="Times New Roman" w:cs="Times New Roman"/>
                <w:szCs w:val="24"/>
              </w:rPr>
              <w:t>1150</w:t>
            </w:r>
          </w:p>
        </w:tc>
        <w:tc>
          <w:tcPr>
            <w:tcW w:w="0" w:type="auto"/>
            <w:vAlign w:val="center"/>
            <w:hideMark/>
          </w:tcPr>
          <w:p w14:paraId="76B4D7C7" w14:textId="77777777" w:rsidR="00A148E6" w:rsidRPr="00D43584" w:rsidRDefault="00A148E6" w:rsidP="00F236AA">
            <w:pPr>
              <w:pStyle w:val="NoSpacing"/>
              <w:jc w:val="center"/>
              <w:rPr>
                <w:rFonts w:ascii="Times New Roman" w:hAnsi="Times New Roman" w:cs="Times New Roman"/>
                <w:szCs w:val="24"/>
              </w:rPr>
            </w:pPr>
            <w:r w:rsidRPr="00D43584">
              <w:rPr>
                <w:rFonts w:ascii="Times New Roman" w:hAnsi="Times New Roman" w:cs="Times New Roman"/>
                <w:szCs w:val="24"/>
              </w:rPr>
              <w:t>5.43</w:t>
            </w:r>
          </w:p>
        </w:tc>
        <w:tc>
          <w:tcPr>
            <w:tcW w:w="0" w:type="auto"/>
            <w:vAlign w:val="center"/>
            <w:hideMark/>
          </w:tcPr>
          <w:p w14:paraId="12C6F0CC" w14:textId="77777777" w:rsidR="00A148E6" w:rsidRPr="00D43584" w:rsidRDefault="00A148E6" w:rsidP="00F236AA">
            <w:pPr>
              <w:pStyle w:val="NoSpacing"/>
              <w:jc w:val="center"/>
              <w:rPr>
                <w:rFonts w:ascii="Times New Roman" w:hAnsi="Times New Roman" w:cs="Times New Roman"/>
                <w:szCs w:val="24"/>
              </w:rPr>
            </w:pPr>
            <w:r w:rsidRPr="00D43584">
              <w:rPr>
                <w:rFonts w:ascii="Times New Roman" w:hAnsi="Times New Roman" w:cs="Times New Roman"/>
                <w:szCs w:val="24"/>
              </w:rPr>
              <w:t>14.16</w:t>
            </w:r>
          </w:p>
        </w:tc>
        <w:tc>
          <w:tcPr>
            <w:tcW w:w="0" w:type="auto"/>
            <w:vAlign w:val="center"/>
            <w:hideMark/>
          </w:tcPr>
          <w:p w14:paraId="75106D31" w14:textId="77777777" w:rsidR="00A148E6" w:rsidRPr="00D43584" w:rsidRDefault="00A148E6" w:rsidP="00F236AA">
            <w:pPr>
              <w:pStyle w:val="NoSpacing"/>
              <w:jc w:val="center"/>
              <w:rPr>
                <w:rFonts w:ascii="Times New Roman" w:hAnsi="Times New Roman" w:cs="Times New Roman"/>
                <w:szCs w:val="24"/>
              </w:rPr>
            </w:pPr>
            <w:r w:rsidRPr="00D43584">
              <w:rPr>
                <w:rFonts w:ascii="Times New Roman" w:hAnsi="Times New Roman" w:cs="Times New Roman"/>
                <w:szCs w:val="24"/>
              </w:rPr>
              <w:t>10</w:t>
            </w:r>
          </w:p>
        </w:tc>
      </w:tr>
      <w:tr w:rsidR="00A148E6" w:rsidRPr="00D43584" w14:paraId="2D818AE4" w14:textId="77777777" w:rsidTr="00F236AA">
        <w:trPr>
          <w:trHeight w:val="494"/>
        </w:trPr>
        <w:tc>
          <w:tcPr>
            <w:tcW w:w="0" w:type="auto"/>
            <w:hideMark/>
          </w:tcPr>
          <w:p w14:paraId="50AC4A0B" w14:textId="77777777" w:rsidR="00A148E6" w:rsidRPr="00D43584" w:rsidRDefault="00A148E6" w:rsidP="00B77C0B">
            <w:pPr>
              <w:pStyle w:val="NoSpacing"/>
              <w:rPr>
                <w:rFonts w:ascii="Times New Roman" w:hAnsi="Times New Roman" w:cs="Times New Roman"/>
                <w:szCs w:val="24"/>
              </w:rPr>
            </w:pPr>
            <w:r w:rsidRPr="00D43584">
              <w:rPr>
                <w:rFonts w:ascii="Times New Roman" w:hAnsi="Times New Roman" w:cs="Times New Roman"/>
                <w:szCs w:val="24"/>
              </w:rPr>
              <w:t>August</w:t>
            </w:r>
          </w:p>
        </w:tc>
        <w:tc>
          <w:tcPr>
            <w:tcW w:w="0" w:type="auto"/>
            <w:vAlign w:val="center"/>
            <w:hideMark/>
          </w:tcPr>
          <w:p w14:paraId="7CA1608F" w14:textId="77777777" w:rsidR="00A148E6" w:rsidRPr="00D43584" w:rsidRDefault="00A148E6" w:rsidP="00F236AA">
            <w:pPr>
              <w:pStyle w:val="NoSpacing"/>
              <w:jc w:val="center"/>
              <w:rPr>
                <w:rFonts w:ascii="Times New Roman" w:hAnsi="Times New Roman" w:cs="Times New Roman"/>
                <w:szCs w:val="24"/>
              </w:rPr>
            </w:pPr>
            <w:r w:rsidRPr="00D43584">
              <w:rPr>
                <w:rFonts w:ascii="Times New Roman" w:hAnsi="Times New Roman" w:cs="Times New Roman"/>
                <w:szCs w:val="24"/>
              </w:rPr>
              <w:t>1379</w:t>
            </w:r>
          </w:p>
        </w:tc>
        <w:tc>
          <w:tcPr>
            <w:tcW w:w="0" w:type="auto"/>
            <w:vAlign w:val="center"/>
            <w:hideMark/>
          </w:tcPr>
          <w:p w14:paraId="5602429D" w14:textId="77777777" w:rsidR="00A148E6" w:rsidRPr="00D43584" w:rsidRDefault="00A148E6" w:rsidP="00F236AA">
            <w:pPr>
              <w:pStyle w:val="NoSpacing"/>
              <w:jc w:val="center"/>
              <w:rPr>
                <w:rFonts w:ascii="Times New Roman" w:hAnsi="Times New Roman" w:cs="Times New Roman"/>
                <w:szCs w:val="24"/>
              </w:rPr>
            </w:pPr>
            <w:r w:rsidRPr="00D43584">
              <w:rPr>
                <w:rFonts w:ascii="Times New Roman" w:hAnsi="Times New Roman" w:cs="Times New Roman"/>
                <w:szCs w:val="24"/>
              </w:rPr>
              <w:t>1178</w:t>
            </w:r>
          </w:p>
        </w:tc>
        <w:tc>
          <w:tcPr>
            <w:tcW w:w="0" w:type="auto"/>
            <w:vAlign w:val="center"/>
            <w:hideMark/>
          </w:tcPr>
          <w:p w14:paraId="2FC253D5" w14:textId="77777777" w:rsidR="00A148E6" w:rsidRPr="00D43584" w:rsidRDefault="00A148E6" w:rsidP="00F236AA">
            <w:pPr>
              <w:pStyle w:val="NoSpacing"/>
              <w:jc w:val="center"/>
              <w:rPr>
                <w:rFonts w:ascii="Times New Roman" w:hAnsi="Times New Roman" w:cs="Times New Roman"/>
                <w:szCs w:val="24"/>
              </w:rPr>
            </w:pPr>
            <w:r w:rsidRPr="00D43584">
              <w:rPr>
                <w:rFonts w:ascii="Times New Roman" w:hAnsi="Times New Roman" w:cs="Times New Roman"/>
                <w:szCs w:val="24"/>
              </w:rPr>
              <w:t>1279</w:t>
            </w:r>
          </w:p>
        </w:tc>
        <w:tc>
          <w:tcPr>
            <w:tcW w:w="0" w:type="auto"/>
            <w:vAlign w:val="center"/>
            <w:hideMark/>
          </w:tcPr>
          <w:p w14:paraId="4D16E134" w14:textId="77777777" w:rsidR="00A148E6" w:rsidRPr="00D43584" w:rsidRDefault="00A148E6" w:rsidP="00F236AA">
            <w:pPr>
              <w:pStyle w:val="NoSpacing"/>
              <w:jc w:val="center"/>
              <w:rPr>
                <w:rFonts w:ascii="Times New Roman" w:hAnsi="Times New Roman" w:cs="Times New Roman"/>
                <w:szCs w:val="24"/>
              </w:rPr>
            </w:pPr>
            <w:r w:rsidRPr="00D43584">
              <w:rPr>
                <w:rFonts w:ascii="Times New Roman" w:hAnsi="Times New Roman" w:cs="Times New Roman"/>
                <w:szCs w:val="24"/>
              </w:rPr>
              <w:t>6.04</w:t>
            </w:r>
          </w:p>
        </w:tc>
        <w:tc>
          <w:tcPr>
            <w:tcW w:w="0" w:type="auto"/>
            <w:vAlign w:val="center"/>
            <w:hideMark/>
          </w:tcPr>
          <w:p w14:paraId="01CA6508" w14:textId="77777777" w:rsidR="00A148E6" w:rsidRPr="00D43584" w:rsidRDefault="00A148E6" w:rsidP="00F236AA">
            <w:pPr>
              <w:pStyle w:val="NoSpacing"/>
              <w:jc w:val="center"/>
              <w:rPr>
                <w:rFonts w:ascii="Times New Roman" w:hAnsi="Times New Roman" w:cs="Times New Roman"/>
                <w:szCs w:val="24"/>
              </w:rPr>
            </w:pPr>
            <w:r w:rsidRPr="00D43584">
              <w:rPr>
                <w:rFonts w:ascii="Times New Roman" w:hAnsi="Times New Roman" w:cs="Times New Roman"/>
                <w:szCs w:val="24"/>
              </w:rPr>
              <w:t>20.20</w:t>
            </w:r>
          </w:p>
        </w:tc>
        <w:tc>
          <w:tcPr>
            <w:tcW w:w="0" w:type="auto"/>
            <w:vAlign w:val="center"/>
            <w:hideMark/>
          </w:tcPr>
          <w:p w14:paraId="4C928EEA" w14:textId="77777777" w:rsidR="00A148E6" w:rsidRPr="00D43584" w:rsidRDefault="00A148E6" w:rsidP="00F236AA">
            <w:pPr>
              <w:pStyle w:val="NoSpacing"/>
              <w:jc w:val="center"/>
              <w:rPr>
                <w:rFonts w:ascii="Times New Roman" w:hAnsi="Times New Roman" w:cs="Times New Roman"/>
                <w:szCs w:val="24"/>
              </w:rPr>
            </w:pPr>
            <w:r w:rsidRPr="00D43584">
              <w:rPr>
                <w:rFonts w:ascii="Times New Roman" w:hAnsi="Times New Roman" w:cs="Times New Roman"/>
                <w:szCs w:val="24"/>
              </w:rPr>
              <w:t>..</w:t>
            </w:r>
          </w:p>
        </w:tc>
      </w:tr>
      <w:tr w:rsidR="00A148E6" w:rsidRPr="00D43584" w14:paraId="28118D47" w14:textId="77777777" w:rsidTr="00F236AA">
        <w:trPr>
          <w:trHeight w:val="494"/>
        </w:trPr>
        <w:tc>
          <w:tcPr>
            <w:tcW w:w="0" w:type="auto"/>
            <w:hideMark/>
          </w:tcPr>
          <w:p w14:paraId="5DBA1C2D" w14:textId="77777777" w:rsidR="00A148E6" w:rsidRPr="00D43584" w:rsidRDefault="00A148E6" w:rsidP="00B77C0B">
            <w:pPr>
              <w:pStyle w:val="NoSpacing"/>
              <w:rPr>
                <w:rFonts w:ascii="Times New Roman" w:hAnsi="Times New Roman" w:cs="Times New Roman"/>
                <w:szCs w:val="24"/>
              </w:rPr>
            </w:pPr>
            <w:r w:rsidRPr="00D43584">
              <w:rPr>
                <w:rFonts w:ascii="Times New Roman" w:hAnsi="Times New Roman" w:cs="Times New Roman"/>
                <w:szCs w:val="24"/>
              </w:rPr>
              <w:t>September</w:t>
            </w:r>
          </w:p>
        </w:tc>
        <w:tc>
          <w:tcPr>
            <w:tcW w:w="0" w:type="auto"/>
            <w:vAlign w:val="center"/>
            <w:hideMark/>
          </w:tcPr>
          <w:p w14:paraId="47D7D1E6" w14:textId="77777777" w:rsidR="00A148E6" w:rsidRPr="00D43584" w:rsidRDefault="00A148E6" w:rsidP="00F236AA">
            <w:pPr>
              <w:pStyle w:val="NoSpacing"/>
              <w:jc w:val="center"/>
              <w:rPr>
                <w:rFonts w:ascii="Times New Roman" w:hAnsi="Times New Roman" w:cs="Times New Roman"/>
                <w:szCs w:val="24"/>
              </w:rPr>
            </w:pPr>
            <w:r w:rsidRPr="00D43584">
              <w:rPr>
                <w:rFonts w:ascii="Times New Roman" w:hAnsi="Times New Roman" w:cs="Times New Roman"/>
                <w:szCs w:val="24"/>
              </w:rPr>
              <w:t>1335</w:t>
            </w:r>
          </w:p>
        </w:tc>
        <w:tc>
          <w:tcPr>
            <w:tcW w:w="0" w:type="auto"/>
            <w:vAlign w:val="center"/>
            <w:hideMark/>
          </w:tcPr>
          <w:p w14:paraId="3D9C3F71" w14:textId="77777777" w:rsidR="00A148E6" w:rsidRPr="00D43584" w:rsidRDefault="00A148E6" w:rsidP="00F236AA">
            <w:pPr>
              <w:pStyle w:val="NoSpacing"/>
              <w:jc w:val="center"/>
              <w:rPr>
                <w:rFonts w:ascii="Times New Roman" w:hAnsi="Times New Roman" w:cs="Times New Roman"/>
                <w:szCs w:val="24"/>
              </w:rPr>
            </w:pPr>
            <w:r w:rsidRPr="00D43584">
              <w:rPr>
                <w:rFonts w:ascii="Times New Roman" w:hAnsi="Times New Roman" w:cs="Times New Roman"/>
                <w:szCs w:val="24"/>
              </w:rPr>
              <w:t>2097</w:t>
            </w:r>
          </w:p>
        </w:tc>
        <w:tc>
          <w:tcPr>
            <w:tcW w:w="0" w:type="auto"/>
            <w:vAlign w:val="center"/>
            <w:hideMark/>
          </w:tcPr>
          <w:p w14:paraId="2E3AB88E" w14:textId="77777777" w:rsidR="00A148E6" w:rsidRPr="00D43584" w:rsidRDefault="00A148E6" w:rsidP="00F236AA">
            <w:pPr>
              <w:pStyle w:val="NoSpacing"/>
              <w:jc w:val="center"/>
              <w:rPr>
                <w:rFonts w:ascii="Times New Roman" w:hAnsi="Times New Roman" w:cs="Times New Roman"/>
                <w:szCs w:val="24"/>
              </w:rPr>
            </w:pPr>
            <w:r w:rsidRPr="00D43584">
              <w:rPr>
                <w:rFonts w:ascii="Times New Roman" w:hAnsi="Times New Roman" w:cs="Times New Roman"/>
                <w:szCs w:val="24"/>
              </w:rPr>
              <w:t>1716</w:t>
            </w:r>
          </w:p>
        </w:tc>
        <w:tc>
          <w:tcPr>
            <w:tcW w:w="0" w:type="auto"/>
            <w:vAlign w:val="center"/>
            <w:hideMark/>
          </w:tcPr>
          <w:p w14:paraId="1DC6E5A5" w14:textId="77777777" w:rsidR="00A148E6" w:rsidRPr="00D43584" w:rsidRDefault="00A148E6" w:rsidP="00F236AA">
            <w:pPr>
              <w:pStyle w:val="NoSpacing"/>
              <w:jc w:val="center"/>
              <w:rPr>
                <w:rFonts w:ascii="Times New Roman" w:hAnsi="Times New Roman" w:cs="Times New Roman"/>
                <w:szCs w:val="24"/>
              </w:rPr>
            </w:pPr>
            <w:r w:rsidRPr="00D43584">
              <w:rPr>
                <w:rFonts w:ascii="Times New Roman" w:hAnsi="Times New Roman" w:cs="Times New Roman"/>
                <w:szCs w:val="24"/>
              </w:rPr>
              <w:t>8.10</w:t>
            </w:r>
          </w:p>
        </w:tc>
        <w:tc>
          <w:tcPr>
            <w:tcW w:w="0" w:type="auto"/>
            <w:vAlign w:val="center"/>
            <w:hideMark/>
          </w:tcPr>
          <w:p w14:paraId="7264BE69" w14:textId="77777777" w:rsidR="00A148E6" w:rsidRPr="00D43584" w:rsidRDefault="00A148E6" w:rsidP="00F236AA">
            <w:pPr>
              <w:pStyle w:val="NoSpacing"/>
              <w:jc w:val="center"/>
              <w:rPr>
                <w:rFonts w:ascii="Times New Roman" w:hAnsi="Times New Roman" w:cs="Times New Roman"/>
                <w:szCs w:val="24"/>
              </w:rPr>
            </w:pPr>
            <w:r w:rsidRPr="00D43584">
              <w:rPr>
                <w:rFonts w:ascii="Times New Roman" w:hAnsi="Times New Roman" w:cs="Times New Roman"/>
                <w:szCs w:val="24"/>
              </w:rPr>
              <w:t>28.30</w:t>
            </w:r>
          </w:p>
        </w:tc>
        <w:tc>
          <w:tcPr>
            <w:tcW w:w="0" w:type="auto"/>
            <w:vAlign w:val="center"/>
            <w:hideMark/>
          </w:tcPr>
          <w:p w14:paraId="1DE9A953" w14:textId="77777777" w:rsidR="00A148E6" w:rsidRPr="00D43584" w:rsidRDefault="00A148E6" w:rsidP="00F236AA">
            <w:pPr>
              <w:pStyle w:val="NoSpacing"/>
              <w:jc w:val="center"/>
              <w:rPr>
                <w:rFonts w:ascii="Times New Roman" w:hAnsi="Times New Roman" w:cs="Times New Roman"/>
                <w:szCs w:val="24"/>
              </w:rPr>
            </w:pPr>
            <w:r w:rsidRPr="00D43584">
              <w:rPr>
                <w:rFonts w:ascii="Times New Roman" w:hAnsi="Times New Roman" w:cs="Times New Roman"/>
                <w:szCs w:val="24"/>
              </w:rPr>
              <w:t>..</w:t>
            </w:r>
          </w:p>
        </w:tc>
      </w:tr>
      <w:tr w:rsidR="00A148E6" w:rsidRPr="00D43584" w14:paraId="51D2314B" w14:textId="77777777" w:rsidTr="00F236AA">
        <w:trPr>
          <w:trHeight w:val="494"/>
        </w:trPr>
        <w:tc>
          <w:tcPr>
            <w:tcW w:w="0" w:type="auto"/>
            <w:hideMark/>
          </w:tcPr>
          <w:p w14:paraId="44659224" w14:textId="77777777" w:rsidR="00A148E6" w:rsidRPr="00D43584" w:rsidRDefault="00A148E6" w:rsidP="00B77C0B">
            <w:pPr>
              <w:pStyle w:val="NoSpacing"/>
              <w:rPr>
                <w:rFonts w:ascii="Times New Roman" w:hAnsi="Times New Roman" w:cs="Times New Roman"/>
                <w:szCs w:val="24"/>
              </w:rPr>
            </w:pPr>
            <w:r w:rsidRPr="00D43584">
              <w:rPr>
                <w:rFonts w:ascii="Times New Roman" w:hAnsi="Times New Roman" w:cs="Times New Roman"/>
                <w:szCs w:val="24"/>
              </w:rPr>
              <w:t>October</w:t>
            </w:r>
          </w:p>
        </w:tc>
        <w:tc>
          <w:tcPr>
            <w:tcW w:w="0" w:type="auto"/>
            <w:vAlign w:val="center"/>
            <w:hideMark/>
          </w:tcPr>
          <w:p w14:paraId="07A45582" w14:textId="77777777" w:rsidR="00A148E6" w:rsidRPr="00D43584" w:rsidRDefault="00A148E6" w:rsidP="00F236AA">
            <w:pPr>
              <w:pStyle w:val="NoSpacing"/>
              <w:jc w:val="center"/>
              <w:rPr>
                <w:rFonts w:ascii="Times New Roman" w:hAnsi="Times New Roman" w:cs="Times New Roman"/>
                <w:szCs w:val="24"/>
              </w:rPr>
            </w:pPr>
            <w:r w:rsidRPr="00D43584">
              <w:rPr>
                <w:rFonts w:ascii="Times New Roman" w:hAnsi="Times New Roman" w:cs="Times New Roman"/>
                <w:szCs w:val="24"/>
              </w:rPr>
              <w:t>1844</w:t>
            </w:r>
          </w:p>
        </w:tc>
        <w:tc>
          <w:tcPr>
            <w:tcW w:w="0" w:type="auto"/>
            <w:vAlign w:val="center"/>
            <w:hideMark/>
          </w:tcPr>
          <w:p w14:paraId="46711B51" w14:textId="77777777" w:rsidR="00A148E6" w:rsidRPr="00D43584" w:rsidRDefault="00A148E6" w:rsidP="00F236AA">
            <w:pPr>
              <w:pStyle w:val="NoSpacing"/>
              <w:jc w:val="center"/>
              <w:rPr>
                <w:rFonts w:ascii="Times New Roman" w:hAnsi="Times New Roman" w:cs="Times New Roman"/>
                <w:szCs w:val="24"/>
              </w:rPr>
            </w:pPr>
            <w:r w:rsidRPr="00D43584">
              <w:rPr>
                <w:rFonts w:ascii="Times New Roman" w:hAnsi="Times New Roman" w:cs="Times New Roman"/>
                <w:szCs w:val="24"/>
              </w:rPr>
              <w:t>1870</w:t>
            </w:r>
          </w:p>
        </w:tc>
        <w:tc>
          <w:tcPr>
            <w:tcW w:w="0" w:type="auto"/>
            <w:vAlign w:val="center"/>
            <w:hideMark/>
          </w:tcPr>
          <w:p w14:paraId="7C31CA03" w14:textId="77777777" w:rsidR="00A148E6" w:rsidRPr="00D43584" w:rsidRDefault="00A148E6" w:rsidP="00F236AA">
            <w:pPr>
              <w:pStyle w:val="NoSpacing"/>
              <w:jc w:val="center"/>
              <w:rPr>
                <w:rFonts w:ascii="Times New Roman" w:hAnsi="Times New Roman" w:cs="Times New Roman"/>
                <w:szCs w:val="24"/>
              </w:rPr>
            </w:pPr>
            <w:r w:rsidRPr="00D43584">
              <w:rPr>
                <w:rFonts w:ascii="Times New Roman" w:hAnsi="Times New Roman" w:cs="Times New Roman"/>
                <w:szCs w:val="24"/>
              </w:rPr>
              <w:t>1857</w:t>
            </w:r>
          </w:p>
        </w:tc>
        <w:tc>
          <w:tcPr>
            <w:tcW w:w="0" w:type="auto"/>
            <w:vAlign w:val="center"/>
            <w:hideMark/>
          </w:tcPr>
          <w:p w14:paraId="1D1FE242" w14:textId="77777777" w:rsidR="00A148E6" w:rsidRPr="00D43584" w:rsidRDefault="00A148E6" w:rsidP="00F236AA">
            <w:pPr>
              <w:pStyle w:val="NoSpacing"/>
              <w:jc w:val="center"/>
              <w:rPr>
                <w:rFonts w:ascii="Times New Roman" w:hAnsi="Times New Roman" w:cs="Times New Roman"/>
                <w:szCs w:val="24"/>
              </w:rPr>
            </w:pPr>
            <w:r w:rsidRPr="00D43584">
              <w:rPr>
                <w:rFonts w:ascii="Times New Roman" w:hAnsi="Times New Roman" w:cs="Times New Roman"/>
                <w:szCs w:val="24"/>
              </w:rPr>
              <w:t>8.77</w:t>
            </w:r>
          </w:p>
        </w:tc>
        <w:tc>
          <w:tcPr>
            <w:tcW w:w="0" w:type="auto"/>
            <w:vAlign w:val="center"/>
            <w:hideMark/>
          </w:tcPr>
          <w:p w14:paraId="6B37B98B" w14:textId="77777777" w:rsidR="00A148E6" w:rsidRPr="00D43584" w:rsidRDefault="00A148E6" w:rsidP="00F236AA">
            <w:pPr>
              <w:pStyle w:val="NoSpacing"/>
              <w:jc w:val="center"/>
              <w:rPr>
                <w:rFonts w:ascii="Times New Roman" w:hAnsi="Times New Roman" w:cs="Times New Roman"/>
                <w:szCs w:val="24"/>
              </w:rPr>
            </w:pPr>
            <w:r w:rsidRPr="00D43584">
              <w:rPr>
                <w:rFonts w:ascii="Times New Roman" w:hAnsi="Times New Roman" w:cs="Times New Roman"/>
                <w:szCs w:val="24"/>
              </w:rPr>
              <w:t>37.07</w:t>
            </w:r>
          </w:p>
        </w:tc>
        <w:tc>
          <w:tcPr>
            <w:tcW w:w="0" w:type="auto"/>
            <w:vAlign w:val="center"/>
            <w:hideMark/>
          </w:tcPr>
          <w:p w14:paraId="53D5F2D8" w14:textId="77777777" w:rsidR="00A148E6" w:rsidRPr="00D43584" w:rsidRDefault="00A148E6" w:rsidP="00F236AA">
            <w:pPr>
              <w:pStyle w:val="NoSpacing"/>
              <w:jc w:val="center"/>
              <w:rPr>
                <w:rFonts w:ascii="Times New Roman" w:hAnsi="Times New Roman" w:cs="Times New Roman"/>
                <w:szCs w:val="24"/>
              </w:rPr>
            </w:pPr>
            <w:r w:rsidRPr="00D43584">
              <w:rPr>
                <w:rFonts w:ascii="Times New Roman" w:hAnsi="Times New Roman" w:cs="Times New Roman"/>
                <w:szCs w:val="24"/>
              </w:rPr>
              <w:t>30</w:t>
            </w:r>
          </w:p>
        </w:tc>
      </w:tr>
      <w:tr w:rsidR="00A148E6" w:rsidRPr="00D43584" w14:paraId="19FA1FD1" w14:textId="77777777" w:rsidTr="00F236AA">
        <w:trPr>
          <w:trHeight w:val="494"/>
        </w:trPr>
        <w:tc>
          <w:tcPr>
            <w:tcW w:w="0" w:type="auto"/>
            <w:hideMark/>
          </w:tcPr>
          <w:p w14:paraId="07B9E882" w14:textId="77777777" w:rsidR="00A148E6" w:rsidRPr="00D43584" w:rsidRDefault="00A148E6" w:rsidP="00B77C0B">
            <w:pPr>
              <w:pStyle w:val="NoSpacing"/>
              <w:rPr>
                <w:rFonts w:ascii="Times New Roman" w:hAnsi="Times New Roman" w:cs="Times New Roman"/>
                <w:szCs w:val="24"/>
              </w:rPr>
            </w:pPr>
            <w:r w:rsidRPr="00D43584">
              <w:rPr>
                <w:rFonts w:ascii="Times New Roman" w:hAnsi="Times New Roman" w:cs="Times New Roman"/>
                <w:szCs w:val="24"/>
              </w:rPr>
              <w:t>November</w:t>
            </w:r>
          </w:p>
        </w:tc>
        <w:tc>
          <w:tcPr>
            <w:tcW w:w="0" w:type="auto"/>
            <w:vAlign w:val="center"/>
            <w:hideMark/>
          </w:tcPr>
          <w:p w14:paraId="02198A0A" w14:textId="77777777" w:rsidR="00A148E6" w:rsidRPr="00D43584" w:rsidRDefault="00A148E6" w:rsidP="00F236AA">
            <w:pPr>
              <w:pStyle w:val="NoSpacing"/>
              <w:jc w:val="center"/>
              <w:rPr>
                <w:rFonts w:ascii="Times New Roman" w:hAnsi="Times New Roman" w:cs="Times New Roman"/>
                <w:szCs w:val="24"/>
              </w:rPr>
            </w:pPr>
            <w:r w:rsidRPr="00D43584">
              <w:rPr>
                <w:rFonts w:ascii="Times New Roman" w:hAnsi="Times New Roman" w:cs="Times New Roman"/>
                <w:szCs w:val="24"/>
              </w:rPr>
              <w:t>1872</w:t>
            </w:r>
          </w:p>
        </w:tc>
        <w:tc>
          <w:tcPr>
            <w:tcW w:w="0" w:type="auto"/>
            <w:vAlign w:val="center"/>
            <w:hideMark/>
          </w:tcPr>
          <w:p w14:paraId="28D147B3" w14:textId="77777777" w:rsidR="00A148E6" w:rsidRPr="00D43584" w:rsidRDefault="00A148E6" w:rsidP="00F236AA">
            <w:pPr>
              <w:pStyle w:val="NoSpacing"/>
              <w:jc w:val="center"/>
              <w:rPr>
                <w:rFonts w:ascii="Times New Roman" w:hAnsi="Times New Roman" w:cs="Times New Roman"/>
                <w:szCs w:val="24"/>
              </w:rPr>
            </w:pPr>
            <w:r w:rsidRPr="00D43584">
              <w:rPr>
                <w:rFonts w:ascii="Times New Roman" w:hAnsi="Times New Roman" w:cs="Times New Roman"/>
                <w:szCs w:val="24"/>
              </w:rPr>
              <w:t>1842</w:t>
            </w:r>
          </w:p>
        </w:tc>
        <w:tc>
          <w:tcPr>
            <w:tcW w:w="0" w:type="auto"/>
            <w:vAlign w:val="center"/>
            <w:hideMark/>
          </w:tcPr>
          <w:p w14:paraId="7FB85BFE" w14:textId="77777777" w:rsidR="00A148E6" w:rsidRPr="00D43584" w:rsidRDefault="00A148E6" w:rsidP="00F236AA">
            <w:pPr>
              <w:pStyle w:val="NoSpacing"/>
              <w:jc w:val="center"/>
              <w:rPr>
                <w:rFonts w:ascii="Times New Roman" w:hAnsi="Times New Roman" w:cs="Times New Roman"/>
                <w:szCs w:val="24"/>
              </w:rPr>
            </w:pPr>
            <w:r w:rsidRPr="00D43584">
              <w:rPr>
                <w:rFonts w:ascii="Times New Roman" w:hAnsi="Times New Roman" w:cs="Times New Roman"/>
                <w:szCs w:val="24"/>
              </w:rPr>
              <w:t>1857</w:t>
            </w:r>
          </w:p>
        </w:tc>
        <w:tc>
          <w:tcPr>
            <w:tcW w:w="0" w:type="auto"/>
            <w:vAlign w:val="center"/>
            <w:hideMark/>
          </w:tcPr>
          <w:p w14:paraId="5EAE186E" w14:textId="77777777" w:rsidR="00A148E6" w:rsidRPr="00D43584" w:rsidRDefault="00A148E6" w:rsidP="00F236AA">
            <w:pPr>
              <w:pStyle w:val="NoSpacing"/>
              <w:jc w:val="center"/>
              <w:rPr>
                <w:rFonts w:ascii="Times New Roman" w:hAnsi="Times New Roman" w:cs="Times New Roman"/>
                <w:szCs w:val="24"/>
              </w:rPr>
            </w:pPr>
            <w:r w:rsidRPr="00D43584">
              <w:rPr>
                <w:rFonts w:ascii="Times New Roman" w:hAnsi="Times New Roman" w:cs="Times New Roman"/>
                <w:szCs w:val="24"/>
              </w:rPr>
              <w:t>8.77</w:t>
            </w:r>
          </w:p>
        </w:tc>
        <w:tc>
          <w:tcPr>
            <w:tcW w:w="0" w:type="auto"/>
            <w:vAlign w:val="center"/>
            <w:hideMark/>
          </w:tcPr>
          <w:p w14:paraId="57EC2939" w14:textId="77777777" w:rsidR="00A148E6" w:rsidRPr="00D43584" w:rsidRDefault="00A148E6" w:rsidP="00F236AA">
            <w:pPr>
              <w:pStyle w:val="NoSpacing"/>
              <w:jc w:val="center"/>
              <w:rPr>
                <w:rFonts w:ascii="Times New Roman" w:hAnsi="Times New Roman" w:cs="Times New Roman"/>
                <w:szCs w:val="24"/>
              </w:rPr>
            </w:pPr>
            <w:r w:rsidRPr="00D43584">
              <w:rPr>
                <w:rFonts w:ascii="Times New Roman" w:hAnsi="Times New Roman" w:cs="Times New Roman"/>
                <w:szCs w:val="24"/>
              </w:rPr>
              <w:t>45.84</w:t>
            </w:r>
          </w:p>
        </w:tc>
        <w:tc>
          <w:tcPr>
            <w:tcW w:w="0" w:type="auto"/>
            <w:vAlign w:val="center"/>
            <w:hideMark/>
          </w:tcPr>
          <w:p w14:paraId="19F653D0" w14:textId="77777777" w:rsidR="00A148E6" w:rsidRPr="00D43584" w:rsidRDefault="00A148E6" w:rsidP="00F236AA">
            <w:pPr>
              <w:pStyle w:val="NoSpacing"/>
              <w:jc w:val="center"/>
              <w:rPr>
                <w:rFonts w:ascii="Times New Roman" w:hAnsi="Times New Roman" w:cs="Times New Roman"/>
                <w:szCs w:val="24"/>
              </w:rPr>
            </w:pPr>
            <w:r w:rsidRPr="00D43584">
              <w:rPr>
                <w:rFonts w:ascii="Times New Roman" w:hAnsi="Times New Roman" w:cs="Times New Roman"/>
                <w:szCs w:val="24"/>
              </w:rPr>
              <w:t>..</w:t>
            </w:r>
          </w:p>
        </w:tc>
      </w:tr>
      <w:tr w:rsidR="00A148E6" w:rsidRPr="00D43584" w14:paraId="45B2AB09" w14:textId="77777777" w:rsidTr="00F236AA">
        <w:trPr>
          <w:trHeight w:val="520"/>
        </w:trPr>
        <w:tc>
          <w:tcPr>
            <w:tcW w:w="0" w:type="auto"/>
            <w:hideMark/>
          </w:tcPr>
          <w:p w14:paraId="2BA352D1" w14:textId="77777777" w:rsidR="00A148E6" w:rsidRPr="00D43584" w:rsidRDefault="00A148E6" w:rsidP="00B77C0B">
            <w:pPr>
              <w:pStyle w:val="NoSpacing"/>
              <w:rPr>
                <w:rFonts w:ascii="Times New Roman" w:hAnsi="Times New Roman" w:cs="Times New Roman"/>
                <w:szCs w:val="24"/>
              </w:rPr>
            </w:pPr>
            <w:r w:rsidRPr="00D43584">
              <w:rPr>
                <w:rFonts w:ascii="Times New Roman" w:hAnsi="Times New Roman" w:cs="Times New Roman"/>
                <w:szCs w:val="24"/>
              </w:rPr>
              <w:t>December</w:t>
            </w:r>
          </w:p>
        </w:tc>
        <w:tc>
          <w:tcPr>
            <w:tcW w:w="0" w:type="auto"/>
            <w:vAlign w:val="center"/>
            <w:hideMark/>
          </w:tcPr>
          <w:p w14:paraId="33ACF71D" w14:textId="77777777" w:rsidR="00A148E6" w:rsidRPr="00D43584" w:rsidRDefault="00A148E6" w:rsidP="00F236AA">
            <w:pPr>
              <w:pStyle w:val="NoSpacing"/>
              <w:jc w:val="center"/>
              <w:rPr>
                <w:rFonts w:ascii="Times New Roman" w:hAnsi="Times New Roman" w:cs="Times New Roman"/>
                <w:szCs w:val="24"/>
              </w:rPr>
            </w:pPr>
            <w:r w:rsidRPr="00D43584">
              <w:rPr>
                <w:rFonts w:ascii="Times New Roman" w:hAnsi="Times New Roman" w:cs="Times New Roman"/>
                <w:szCs w:val="24"/>
              </w:rPr>
              <w:t>1904</w:t>
            </w:r>
          </w:p>
        </w:tc>
        <w:tc>
          <w:tcPr>
            <w:tcW w:w="0" w:type="auto"/>
            <w:vAlign w:val="center"/>
            <w:hideMark/>
          </w:tcPr>
          <w:p w14:paraId="0D90EF8D" w14:textId="77777777" w:rsidR="00A148E6" w:rsidRPr="00D43584" w:rsidRDefault="00A148E6" w:rsidP="00F236AA">
            <w:pPr>
              <w:pStyle w:val="NoSpacing"/>
              <w:jc w:val="center"/>
              <w:rPr>
                <w:rFonts w:ascii="Times New Roman" w:hAnsi="Times New Roman" w:cs="Times New Roman"/>
                <w:szCs w:val="24"/>
              </w:rPr>
            </w:pPr>
            <w:r w:rsidRPr="00D43584">
              <w:rPr>
                <w:rFonts w:ascii="Times New Roman" w:hAnsi="Times New Roman" w:cs="Times New Roman"/>
                <w:szCs w:val="24"/>
              </w:rPr>
              <w:t>2115</w:t>
            </w:r>
          </w:p>
        </w:tc>
        <w:tc>
          <w:tcPr>
            <w:tcW w:w="0" w:type="auto"/>
            <w:vAlign w:val="center"/>
            <w:hideMark/>
          </w:tcPr>
          <w:p w14:paraId="0C42A9CD" w14:textId="77777777" w:rsidR="00A148E6" w:rsidRPr="00D43584" w:rsidRDefault="00A148E6" w:rsidP="00F236AA">
            <w:pPr>
              <w:pStyle w:val="NoSpacing"/>
              <w:jc w:val="center"/>
              <w:rPr>
                <w:rFonts w:ascii="Times New Roman" w:hAnsi="Times New Roman" w:cs="Times New Roman"/>
                <w:szCs w:val="24"/>
              </w:rPr>
            </w:pPr>
            <w:r w:rsidRPr="00D43584">
              <w:rPr>
                <w:rFonts w:ascii="Times New Roman" w:hAnsi="Times New Roman" w:cs="Times New Roman"/>
                <w:szCs w:val="24"/>
              </w:rPr>
              <w:t>2009</w:t>
            </w:r>
          </w:p>
        </w:tc>
        <w:tc>
          <w:tcPr>
            <w:tcW w:w="0" w:type="auto"/>
            <w:vAlign w:val="center"/>
            <w:hideMark/>
          </w:tcPr>
          <w:p w14:paraId="7478CC13" w14:textId="77777777" w:rsidR="00A148E6" w:rsidRPr="00D43584" w:rsidRDefault="00A148E6" w:rsidP="00F236AA">
            <w:pPr>
              <w:pStyle w:val="NoSpacing"/>
              <w:jc w:val="center"/>
              <w:rPr>
                <w:rFonts w:ascii="Times New Roman" w:hAnsi="Times New Roman" w:cs="Times New Roman"/>
                <w:szCs w:val="24"/>
              </w:rPr>
            </w:pPr>
            <w:r w:rsidRPr="00D43584">
              <w:rPr>
                <w:rFonts w:ascii="Times New Roman" w:hAnsi="Times New Roman" w:cs="Times New Roman"/>
                <w:szCs w:val="24"/>
              </w:rPr>
              <w:t>9.48</w:t>
            </w:r>
          </w:p>
        </w:tc>
        <w:tc>
          <w:tcPr>
            <w:tcW w:w="0" w:type="auto"/>
            <w:vAlign w:val="center"/>
            <w:hideMark/>
          </w:tcPr>
          <w:p w14:paraId="5939F45B" w14:textId="77777777" w:rsidR="00A148E6" w:rsidRPr="00D43584" w:rsidRDefault="00A148E6" w:rsidP="00F236AA">
            <w:pPr>
              <w:pStyle w:val="NoSpacing"/>
              <w:jc w:val="center"/>
              <w:rPr>
                <w:rFonts w:ascii="Times New Roman" w:hAnsi="Times New Roman" w:cs="Times New Roman"/>
                <w:szCs w:val="24"/>
              </w:rPr>
            </w:pPr>
            <w:r w:rsidRPr="00D43584">
              <w:rPr>
                <w:rFonts w:ascii="Times New Roman" w:hAnsi="Times New Roman" w:cs="Times New Roman"/>
                <w:szCs w:val="24"/>
              </w:rPr>
              <w:t>55.32</w:t>
            </w:r>
          </w:p>
        </w:tc>
        <w:tc>
          <w:tcPr>
            <w:tcW w:w="0" w:type="auto"/>
            <w:vAlign w:val="center"/>
            <w:hideMark/>
          </w:tcPr>
          <w:p w14:paraId="1F601FDA" w14:textId="77777777" w:rsidR="00A148E6" w:rsidRPr="00D43584" w:rsidRDefault="00A148E6" w:rsidP="00F236AA">
            <w:pPr>
              <w:pStyle w:val="NoSpacing"/>
              <w:jc w:val="center"/>
              <w:rPr>
                <w:rFonts w:ascii="Times New Roman" w:hAnsi="Times New Roman" w:cs="Times New Roman"/>
                <w:szCs w:val="24"/>
              </w:rPr>
            </w:pPr>
            <w:r w:rsidRPr="00D43584">
              <w:rPr>
                <w:rFonts w:ascii="Times New Roman" w:hAnsi="Times New Roman" w:cs="Times New Roman"/>
                <w:szCs w:val="24"/>
              </w:rPr>
              <w:t>..</w:t>
            </w:r>
          </w:p>
        </w:tc>
      </w:tr>
      <w:tr w:rsidR="00A148E6" w:rsidRPr="00D43584" w14:paraId="7AC04C22" w14:textId="77777777" w:rsidTr="00F236AA">
        <w:trPr>
          <w:trHeight w:val="494"/>
        </w:trPr>
        <w:tc>
          <w:tcPr>
            <w:tcW w:w="0" w:type="auto"/>
            <w:hideMark/>
          </w:tcPr>
          <w:p w14:paraId="725864FD" w14:textId="77777777" w:rsidR="00A148E6" w:rsidRPr="00D43584" w:rsidRDefault="00A148E6" w:rsidP="00B77C0B">
            <w:pPr>
              <w:pStyle w:val="NoSpacing"/>
              <w:rPr>
                <w:rFonts w:ascii="Times New Roman" w:hAnsi="Times New Roman" w:cs="Times New Roman"/>
                <w:szCs w:val="24"/>
              </w:rPr>
            </w:pPr>
            <w:r w:rsidRPr="00D43584">
              <w:rPr>
                <w:rFonts w:ascii="Times New Roman" w:hAnsi="Times New Roman" w:cs="Times New Roman"/>
                <w:szCs w:val="24"/>
              </w:rPr>
              <w:t>January</w:t>
            </w:r>
          </w:p>
        </w:tc>
        <w:tc>
          <w:tcPr>
            <w:tcW w:w="0" w:type="auto"/>
            <w:vAlign w:val="center"/>
            <w:hideMark/>
          </w:tcPr>
          <w:p w14:paraId="44272D41" w14:textId="77777777" w:rsidR="00A148E6" w:rsidRPr="00D43584" w:rsidRDefault="00A148E6" w:rsidP="00F236AA">
            <w:pPr>
              <w:pStyle w:val="NoSpacing"/>
              <w:jc w:val="center"/>
              <w:rPr>
                <w:rFonts w:ascii="Times New Roman" w:hAnsi="Times New Roman" w:cs="Times New Roman"/>
                <w:szCs w:val="24"/>
              </w:rPr>
            </w:pPr>
            <w:r w:rsidRPr="00D43584">
              <w:rPr>
                <w:rFonts w:ascii="Times New Roman" w:hAnsi="Times New Roman" w:cs="Times New Roman"/>
                <w:szCs w:val="24"/>
              </w:rPr>
              <w:t>1583</w:t>
            </w:r>
          </w:p>
        </w:tc>
        <w:tc>
          <w:tcPr>
            <w:tcW w:w="0" w:type="auto"/>
            <w:vAlign w:val="center"/>
            <w:hideMark/>
          </w:tcPr>
          <w:p w14:paraId="2DFFED75" w14:textId="77777777" w:rsidR="00A148E6" w:rsidRPr="00D43584" w:rsidRDefault="00A148E6" w:rsidP="00F236AA">
            <w:pPr>
              <w:pStyle w:val="NoSpacing"/>
              <w:jc w:val="center"/>
              <w:rPr>
                <w:rFonts w:ascii="Times New Roman" w:hAnsi="Times New Roman" w:cs="Times New Roman"/>
                <w:szCs w:val="24"/>
              </w:rPr>
            </w:pPr>
            <w:r w:rsidRPr="00D43584">
              <w:rPr>
                <w:rFonts w:ascii="Times New Roman" w:hAnsi="Times New Roman" w:cs="Times New Roman"/>
                <w:szCs w:val="24"/>
              </w:rPr>
              <w:t>2155</w:t>
            </w:r>
          </w:p>
        </w:tc>
        <w:tc>
          <w:tcPr>
            <w:tcW w:w="0" w:type="auto"/>
            <w:vAlign w:val="center"/>
            <w:hideMark/>
          </w:tcPr>
          <w:p w14:paraId="4E4568FC" w14:textId="77777777" w:rsidR="00A148E6" w:rsidRPr="00D43584" w:rsidRDefault="00A148E6" w:rsidP="00F236AA">
            <w:pPr>
              <w:pStyle w:val="NoSpacing"/>
              <w:jc w:val="center"/>
              <w:rPr>
                <w:rFonts w:ascii="Times New Roman" w:hAnsi="Times New Roman" w:cs="Times New Roman"/>
                <w:szCs w:val="24"/>
              </w:rPr>
            </w:pPr>
            <w:r w:rsidRPr="00D43584">
              <w:rPr>
                <w:rFonts w:ascii="Times New Roman" w:hAnsi="Times New Roman" w:cs="Times New Roman"/>
                <w:szCs w:val="24"/>
              </w:rPr>
              <w:t>1869</w:t>
            </w:r>
          </w:p>
        </w:tc>
        <w:tc>
          <w:tcPr>
            <w:tcW w:w="0" w:type="auto"/>
            <w:vAlign w:val="center"/>
            <w:hideMark/>
          </w:tcPr>
          <w:p w14:paraId="57D97053" w14:textId="77777777" w:rsidR="00A148E6" w:rsidRPr="00D43584" w:rsidRDefault="00A148E6" w:rsidP="00F236AA">
            <w:pPr>
              <w:pStyle w:val="NoSpacing"/>
              <w:jc w:val="center"/>
              <w:rPr>
                <w:rFonts w:ascii="Times New Roman" w:hAnsi="Times New Roman" w:cs="Times New Roman"/>
                <w:szCs w:val="24"/>
              </w:rPr>
            </w:pPr>
            <w:r w:rsidRPr="00D43584">
              <w:rPr>
                <w:rFonts w:ascii="Times New Roman" w:hAnsi="Times New Roman" w:cs="Times New Roman"/>
                <w:szCs w:val="24"/>
              </w:rPr>
              <w:t>8.82</w:t>
            </w:r>
          </w:p>
        </w:tc>
        <w:tc>
          <w:tcPr>
            <w:tcW w:w="0" w:type="auto"/>
            <w:vAlign w:val="center"/>
            <w:hideMark/>
          </w:tcPr>
          <w:p w14:paraId="4BB705C1" w14:textId="77777777" w:rsidR="00A148E6" w:rsidRPr="00D43584" w:rsidRDefault="00A148E6" w:rsidP="00F236AA">
            <w:pPr>
              <w:pStyle w:val="NoSpacing"/>
              <w:jc w:val="center"/>
              <w:rPr>
                <w:rFonts w:ascii="Times New Roman" w:hAnsi="Times New Roman" w:cs="Times New Roman"/>
                <w:szCs w:val="24"/>
              </w:rPr>
            </w:pPr>
            <w:r w:rsidRPr="00D43584">
              <w:rPr>
                <w:rFonts w:ascii="Times New Roman" w:hAnsi="Times New Roman" w:cs="Times New Roman"/>
                <w:szCs w:val="24"/>
              </w:rPr>
              <w:t>64.14</w:t>
            </w:r>
          </w:p>
        </w:tc>
        <w:tc>
          <w:tcPr>
            <w:tcW w:w="0" w:type="auto"/>
            <w:vAlign w:val="center"/>
            <w:hideMark/>
          </w:tcPr>
          <w:p w14:paraId="4764A2A4" w14:textId="77777777" w:rsidR="00A148E6" w:rsidRPr="00D43584" w:rsidRDefault="00A148E6" w:rsidP="00F236AA">
            <w:pPr>
              <w:pStyle w:val="NoSpacing"/>
              <w:jc w:val="center"/>
              <w:rPr>
                <w:rFonts w:ascii="Times New Roman" w:hAnsi="Times New Roman" w:cs="Times New Roman"/>
                <w:szCs w:val="24"/>
              </w:rPr>
            </w:pPr>
            <w:r w:rsidRPr="00D43584">
              <w:rPr>
                <w:rFonts w:ascii="Times New Roman" w:hAnsi="Times New Roman" w:cs="Times New Roman"/>
                <w:szCs w:val="24"/>
              </w:rPr>
              <w:t>55</w:t>
            </w:r>
          </w:p>
        </w:tc>
      </w:tr>
      <w:tr w:rsidR="00A148E6" w:rsidRPr="00D43584" w14:paraId="7CEB17EA" w14:textId="77777777" w:rsidTr="00F236AA">
        <w:trPr>
          <w:trHeight w:val="494"/>
        </w:trPr>
        <w:tc>
          <w:tcPr>
            <w:tcW w:w="0" w:type="auto"/>
            <w:hideMark/>
          </w:tcPr>
          <w:p w14:paraId="3E35BD65" w14:textId="77777777" w:rsidR="00A148E6" w:rsidRPr="00D43584" w:rsidRDefault="00A148E6" w:rsidP="00B77C0B">
            <w:pPr>
              <w:pStyle w:val="NoSpacing"/>
              <w:rPr>
                <w:rFonts w:ascii="Times New Roman" w:hAnsi="Times New Roman" w:cs="Times New Roman"/>
                <w:szCs w:val="24"/>
              </w:rPr>
            </w:pPr>
            <w:r w:rsidRPr="00D43584">
              <w:rPr>
                <w:rFonts w:ascii="Times New Roman" w:hAnsi="Times New Roman" w:cs="Times New Roman"/>
                <w:szCs w:val="24"/>
              </w:rPr>
              <w:t>February</w:t>
            </w:r>
          </w:p>
        </w:tc>
        <w:tc>
          <w:tcPr>
            <w:tcW w:w="0" w:type="auto"/>
            <w:vAlign w:val="center"/>
            <w:hideMark/>
          </w:tcPr>
          <w:p w14:paraId="2EAFAE13" w14:textId="77777777" w:rsidR="00A148E6" w:rsidRPr="00D43584" w:rsidRDefault="00A148E6" w:rsidP="00F236AA">
            <w:pPr>
              <w:pStyle w:val="NoSpacing"/>
              <w:jc w:val="center"/>
              <w:rPr>
                <w:rFonts w:ascii="Times New Roman" w:hAnsi="Times New Roman" w:cs="Times New Roman"/>
                <w:szCs w:val="24"/>
              </w:rPr>
            </w:pPr>
            <w:r w:rsidRPr="00D43584">
              <w:rPr>
                <w:rFonts w:ascii="Times New Roman" w:hAnsi="Times New Roman" w:cs="Times New Roman"/>
                <w:szCs w:val="24"/>
              </w:rPr>
              <w:t>2100</w:t>
            </w:r>
          </w:p>
        </w:tc>
        <w:tc>
          <w:tcPr>
            <w:tcW w:w="0" w:type="auto"/>
            <w:vAlign w:val="center"/>
            <w:hideMark/>
          </w:tcPr>
          <w:p w14:paraId="24B5D556" w14:textId="77777777" w:rsidR="00A148E6" w:rsidRPr="00D43584" w:rsidRDefault="00A148E6" w:rsidP="00F236AA">
            <w:pPr>
              <w:pStyle w:val="NoSpacing"/>
              <w:jc w:val="center"/>
              <w:rPr>
                <w:rFonts w:ascii="Times New Roman" w:hAnsi="Times New Roman" w:cs="Times New Roman"/>
                <w:szCs w:val="24"/>
              </w:rPr>
            </w:pPr>
            <w:r w:rsidRPr="00D43584">
              <w:rPr>
                <w:rFonts w:ascii="Times New Roman" w:hAnsi="Times New Roman" w:cs="Times New Roman"/>
                <w:szCs w:val="24"/>
              </w:rPr>
              <w:t>2540</w:t>
            </w:r>
          </w:p>
        </w:tc>
        <w:tc>
          <w:tcPr>
            <w:tcW w:w="0" w:type="auto"/>
            <w:vAlign w:val="center"/>
            <w:hideMark/>
          </w:tcPr>
          <w:p w14:paraId="6EC61430" w14:textId="77777777" w:rsidR="00A148E6" w:rsidRPr="00D43584" w:rsidRDefault="00A148E6" w:rsidP="00F236AA">
            <w:pPr>
              <w:pStyle w:val="NoSpacing"/>
              <w:jc w:val="center"/>
              <w:rPr>
                <w:rFonts w:ascii="Times New Roman" w:hAnsi="Times New Roman" w:cs="Times New Roman"/>
                <w:szCs w:val="24"/>
              </w:rPr>
            </w:pPr>
            <w:r w:rsidRPr="00D43584">
              <w:rPr>
                <w:rFonts w:ascii="Times New Roman" w:hAnsi="Times New Roman" w:cs="Times New Roman"/>
                <w:szCs w:val="24"/>
              </w:rPr>
              <w:t>2320</w:t>
            </w:r>
          </w:p>
        </w:tc>
        <w:tc>
          <w:tcPr>
            <w:tcW w:w="0" w:type="auto"/>
            <w:vAlign w:val="center"/>
            <w:hideMark/>
          </w:tcPr>
          <w:p w14:paraId="40016E5F" w14:textId="77777777" w:rsidR="00A148E6" w:rsidRPr="00D43584" w:rsidRDefault="00A148E6" w:rsidP="00F236AA">
            <w:pPr>
              <w:pStyle w:val="NoSpacing"/>
              <w:jc w:val="center"/>
              <w:rPr>
                <w:rFonts w:ascii="Times New Roman" w:hAnsi="Times New Roman" w:cs="Times New Roman"/>
                <w:szCs w:val="24"/>
              </w:rPr>
            </w:pPr>
            <w:r w:rsidRPr="00D43584">
              <w:rPr>
                <w:rFonts w:ascii="Times New Roman" w:hAnsi="Times New Roman" w:cs="Times New Roman"/>
                <w:szCs w:val="24"/>
              </w:rPr>
              <w:t>10.95</w:t>
            </w:r>
          </w:p>
        </w:tc>
        <w:tc>
          <w:tcPr>
            <w:tcW w:w="0" w:type="auto"/>
            <w:vAlign w:val="center"/>
            <w:hideMark/>
          </w:tcPr>
          <w:p w14:paraId="11F412F3" w14:textId="77777777" w:rsidR="00A148E6" w:rsidRPr="00D43584" w:rsidRDefault="00A148E6" w:rsidP="00F236AA">
            <w:pPr>
              <w:pStyle w:val="NoSpacing"/>
              <w:jc w:val="center"/>
              <w:rPr>
                <w:rFonts w:ascii="Times New Roman" w:hAnsi="Times New Roman" w:cs="Times New Roman"/>
                <w:szCs w:val="24"/>
              </w:rPr>
            </w:pPr>
            <w:r w:rsidRPr="00D43584">
              <w:rPr>
                <w:rFonts w:ascii="Times New Roman" w:hAnsi="Times New Roman" w:cs="Times New Roman"/>
                <w:szCs w:val="24"/>
              </w:rPr>
              <w:t>75.09</w:t>
            </w:r>
          </w:p>
        </w:tc>
        <w:tc>
          <w:tcPr>
            <w:tcW w:w="0" w:type="auto"/>
            <w:vAlign w:val="center"/>
            <w:hideMark/>
          </w:tcPr>
          <w:p w14:paraId="5B879EFC" w14:textId="77777777" w:rsidR="00A148E6" w:rsidRPr="00D43584" w:rsidRDefault="00A148E6" w:rsidP="00F236AA">
            <w:pPr>
              <w:pStyle w:val="NoSpacing"/>
              <w:jc w:val="center"/>
              <w:rPr>
                <w:rFonts w:ascii="Times New Roman" w:hAnsi="Times New Roman" w:cs="Times New Roman"/>
                <w:szCs w:val="24"/>
              </w:rPr>
            </w:pPr>
            <w:r w:rsidRPr="00D43584">
              <w:rPr>
                <w:rFonts w:ascii="Times New Roman" w:hAnsi="Times New Roman" w:cs="Times New Roman"/>
                <w:szCs w:val="24"/>
              </w:rPr>
              <w:t>..</w:t>
            </w:r>
          </w:p>
        </w:tc>
      </w:tr>
      <w:tr w:rsidR="00A148E6" w:rsidRPr="00D43584" w14:paraId="068C624B" w14:textId="77777777" w:rsidTr="00F236AA">
        <w:trPr>
          <w:trHeight w:val="494"/>
        </w:trPr>
        <w:tc>
          <w:tcPr>
            <w:tcW w:w="0" w:type="auto"/>
            <w:hideMark/>
          </w:tcPr>
          <w:p w14:paraId="62015B33" w14:textId="77777777" w:rsidR="00A148E6" w:rsidRPr="00D43584" w:rsidRDefault="00A148E6" w:rsidP="00B77C0B">
            <w:pPr>
              <w:pStyle w:val="NoSpacing"/>
              <w:rPr>
                <w:rFonts w:ascii="Times New Roman" w:hAnsi="Times New Roman" w:cs="Times New Roman"/>
                <w:szCs w:val="24"/>
              </w:rPr>
            </w:pPr>
            <w:r w:rsidRPr="00D43584">
              <w:rPr>
                <w:rFonts w:ascii="Times New Roman" w:hAnsi="Times New Roman" w:cs="Times New Roman"/>
                <w:szCs w:val="24"/>
              </w:rPr>
              <w:t>March</w:t>
            </w:r>
          </w:p>
        </w:tc>
        <w:tc>
          <w:tcPr>
            <w:tcW w:w="0" w:type="auto"/>
            <w:vAlign w:val="center"/>
            <w:hideMark/>
          </w:tcPr>
          <w:p w14:paraId="6914A2A5" w14:textId="77777777" w:rsidR="00A148E6" w:rsidRPr="00D43584" w:rsidRDefault="00A148E6" w:rsidP="00F236AA">
            <w:pPr>
              <w:pStyle w:val="NoSpacing"/>
              <w:jc w:val="center"/>
              <w:rPr>
                <w:rFonts w:ascii="Times New Roman" w:hAnsi="Times New Roman" w:cs="Times New Roman"/>
                <w:szCs w:val="24"/>
              </w:rPr>
            </w:pPr>
            <w:r w:rsidRPr="00D43584">
              <w:rPr>
                <w:rFonts w:ascii="Times New Roman" w:hAnsi="Times New Roman" w:cs="Times New Roman"/>
                <w:szCs w:val="24"/>
              </w:rPr>
              <w:t>4947</w:t>
            </w:r>
          </w:p>
        </w:tc>
        <w:tc>
          <w:tcPr>
            <w:tcW w:w="0" w:type="auto"/>
            <w:vAlign w:val="center"/>
            <w:hideMark/>
          </w:tcPr>
          <w:p w14:paraId="57B07C17" w14:textId="77777777" w:rsidR="00A148E6" w:rsidRPr="00D43584" w:rsidRDefault="00A148E6" w:rsidP="00F236AA">
            <w:pPr>
              <w:pStyle w:val="NoSpacing"/>
              <w:jc w:val="center"/>
              <w:rPr>
                <w:rFonts w:ascii="Times New Roman" w:hAnsi="Times New Roman" w:cs="Times New Roman"/>
                <w:szCs w:val="24"/>
              </w:rPr>
            </w:pPr>
            <w:r w:rsidRPr="00D43584">
              <w:rPr>
                <w:rFonts w:ascii="Times New Roman" w:hAnsi="Times New Roman" w:cs="Times New Roman"/>
                <w:szCs w:val="24"/>
              </w:rPr>
              <w:t>5607</w:t>
            </w:r>
          </w:p>
        </w:tc>
        <w:tc>
          <w:tcPr>
            <w:tcW w:w="0" w:type="auto"/>
            <w:vAlign w:val="center"/>
            <w:hideMark/>
          </w:tcPr>
          <w:p w14:paraId="28956AA1" w14:textId="77777777" w:rsidR="00A148E6" w:rsidRPr="00D43584" w:rsidRDefault="00A148E6" w:rsidP="00F236AA">
            <w:pPr>
              <w:pStyle w:val="NoSpacing"/>
              <w:jc w:val="center"/>
              <w:rPr>
                <w:rFonts w:ascii="Times New Roman" w:hAnsi="Times New Roman" w:cs="Times New Roman"/>
                <w:szCs w:val="24"/>
              </w:rPr>
            </w:pPr>
            <w:r w:rsidRPr="00D43584">
              <w:rPr>
                <w:rFonts w:ascii="Times New Roman" w:hAnsi="Times New Roman" w:cs="Times New Roman"/>
                <w:szCs w:val="24"/>
              </w:rPr>
              <w:t>5277</w:t>
            </w:r>
          </w:p>
        </w:tc>
        <w:tc>
          <w:tcPr>
            <w:tcW w:w="0" w:type="auto"/>
            <w:vAlign w:val="center"/>
            <w:hideMark/>
          </w:tcPr>
          <w:p w14:paraId="07286807" w14:textId="77777777" w:rsidR="00A148E6" w:rsidRPr="00D43584" w:rsidRDefault="00A148E6" w:rsidP="00F236AA">
            <w:pPr>
              <w:pStyle w:val="NoSpacing"/>
              <w:jc w:val="center"/>
              <w:rPr>
                <w:rFonts w:ascii="Times New Roman" w:hAnsi="Times New Roman" w:cs="Times New Roman"/>
                <w:szCs w:val="24"/>
              </w:rPr>
            </w:pPr>
            <w:r w:rsidRPr="00D43584">
              <w:rPr>
                <w:rFonts w:ascii="Times New Roman" w:hAnsi="Times New Roman" w:cs="Times New Roman"/>
                <w:szCs w:val="24"/>
              </w:rPr>
              <w:t>24.91</w:t>
            </w:r>
          </w:p>
        </w:tc>
        <w:tc>
          <w:tcPr>
            <w:tcW w:w="0" w:type="auto"/>
            <w:vAlign w:val="center"/>
            <w:hideMark/>
          </w:tcPr>
          <w:p w14:paraId="342B773C" w14:textId="77777777" w:rsidR="00A148E6" w:rsidRPr="00D43584" w:rsidRDefault="00A148E6" w:rsidP="00F236AA">
            <w:pPr>
              <w:pStyle w:val="NoSpacing"/>
              <w:jc w:val="center"/>
              <w:rPr>
                <w:rFonts w:ascii="Times New Roman" w:hAnsi="Times New Roman" w:cs="Times New Roman"/>
                <w:szCs w:val="24"/>
              </w:rPr>
            </w:pPr>
            <w:r w:rsidRPr="00D43584">
              <w:rPr>
                <w:rFonts w:ascii="Times New Roman" w:hAnsi="Times New Roman" w:cs="Times New Roman"/>
                <w:szCs w:val="24"/>
              </w:rPr>
              <w:t>100.00</w:t>
            </w:r>
          </w:p>
        </w:tc>
        <w:tc>
          <w:tcPr>
            <w:tcW w:w="0" w:type="auto"/>
            <w:vAlign w:val="center"/>
            <w:hideMark/>
          </w:tcPr>
          <w:p w14:paraId="028A1676" w14:textId="77777777" w:rsidR="00A148E6" w:rsidRPr="00D43584" w:rsidRDefault="00A148E6" w:rsidP="00F236AA">
            <w:pPr>
              <w:pStyle w:val="NoSpacing"/>
              <w:jc w:val="center"/>
              <w:rPr>
                <w:rFonts w:ascii="Times New Roman" w:hAnsi="Times New Roman" w:cs="Times New Roman"/>
                <w:szCs w:val="24"/>
              </w:rPr>
            </w:pPr>
            <w:r w:rsidRPr="00D43584">
              <w:rPr>
                <w:rFonts w:ascii="Times New Roman" w:hAnsi="Times New Roman" w:cs="Times New Roman"/>
                <w:szCs w:val="24"/>
              </w:rPr>
              <w:t>100</w:t>
            </w:r>
          </w:p>
        </w:tc>
      </w:tr>
      <w:tr w:rsidR="00A148E6" w:rsidRPr="00D43584" w14:paraId="6CFE70D1" w14:textId="77777777" w:rsidTr="00F236AA">
        <w:trPr>
          <w:trHeight w:val="494"/>
        </w:trPr>
        <w:tc>
          <w:tcPr>
            <w:tcW w:w="0" w:type="auto"/>
            <w:hideMark/>
          </w:tcPr>
          <w:p w14:paraId="52A39E48" w14:textId="77777777" w:rsidR="00A148E6" w:rsidRPr="00D43584" w:rsidRDefault="00A148E6" w:rsidP="00B77C0B">
            <w:pPr>
              <w:pStyle w:val="NoSpacing"/>
              <w:rPr>
                <w:rFonts w:ascii="Times New Roman" w:hAnsi="Times New Roman" w:cs="Times New Roman"/>
                <w:szCs w:val="24"/>
              </w:rPr>
            </w:pPr>
            <w:r w:rsidRPr="00D43584">
              <w:rPr>
                <w:rFonts w:ascii="Times New Roman" w:hAnsi="Times New Roman" w:cs="Times New Roman"/>
                <w:szCs w:val="24"/>
              </w:rPr>
              <w:t>TOTAL</w:t>
            </w:r>
          </w:p>
        </w:tc>
        <w:tc>
          <w:tcPr>
            <w:tcW w:w="0" w:type="auto"/>
            <w:vAlign w:val="center"/>
            <w:hideMark/>
          </w:tcPr>
          <w:p w14:paraId="69FC021E" w14:textId="77777777" w:rsidR="00A148E6" w:rsidRPr="00D43584" w:rsidRDefault="00A148E6" w:rsidP="00F236AA">
            <w:pPr>
              <w:pStyle w:val="NoSpacing"/>
              <w:jc w:val="center"/>
              <w:rPr>
                <w:rFonts w:ascii="Times New Roman" w:hAnsi="Times New Roman" w:cs="Times New Roman"/>
                <w:szCs w:val="24"/>
              </w:rPr>
            </w:pPr>
            <w:r w:rsidRPr="00D43584">
              <w:rPr>
                <w:rFonts w:ascii="Times New Roman" w:hAnsi="Times New Roman" w:cs="Times New Roman"/>
                <w:szCs w:val="24"/>
              </w:rPr>
              <w:t>20127</w:t>
            </w:r>
          </w:p>
        </w:tc>
        <w:tc>
          <w:tcPr>
            <w:tcW w:w="0" w:type="auto"/>
            <w:vAlign w:val="center"/>
            <w:hideMark/>
          </w:tcPr>
          <w:p w14:paraId="03EA1EE1" w14:textId="77777777" w:rsidR="00A148E6" w:rsidRPr="00D43584" w:rsidRDefault="00A148E6" w:rsidP="00F236AA">
            <w:pPr>
              <w:pStyle w:val="NoSpacing"/>
              <w:jc w:val="center"/>
              <w:rPr>
                <w:rFonts w:ascii="Times New Roman" w:hAnsi="Times New Roman" w:cs="Times New Roman"/>
                <w:szCs w:val="24"/>
              </w:rPr>
            </w:pPr>
            <w:r w:rsidRPr="00D43584">
              <w:rPr>
                <w:rFonts w:ascii="Times New Roman" w:hAnsi="Times New Roman" w:cs="Times New Roman"/>
                <w:szCs w:val="24"/>
              </w:rPr>
              <w:t>22239</w:t>
            </w:r>
          </w:p>
        </w:tc>
        <w:tc>
          <w:tcPr>
            <w:tcW w:w="0" w:type="auto"/>
            <w:vAlign w:val="center"/>
            <w:hideMark/>
          </w:tcPr>
          <w:p w14:paraId="47AF5962" w14:textId="77777777" w:rsidR="00A148E6" w:rsidRPr="00D43584" w:rsidRDefault="00A148E6" w:rsidP="00F236AA">
            <w:pPr>
              <w:pStyle w:val="NoSpacing"/>
              <w:jc w:val="center"/>
              <w:rPr>
                <w:rFonts w:ascii="Times New Roman" w:hAnsi="Times New Roman" w:cs="Times New Roman"/>
                <w:szCs w:val="24"/>
              </w:rPr>
            </w:pPr>
            <w:r w:rsidRPr="00D43584">
              <w:rPr>
                <w:rFonts w:ascii="Times New Roman" w:hAnsi="Times New Roman" w:cs="Times New Roman"/>
                <w:szCs w:val="24"/>
              </w:rPr>
              <w:t>21183</w:t>
            </w:r>
          </w:p>
        </w:tc>
        <w:tc>
          <w:tcPr>
            <w:tcW w:w="0" w:type="auto"/>
            <w:vAlign w:val="center"/>
            <w:hideMark/>
          </w:tcPr>
          <w:p w14:paraId="2D04CE8F" w14:textId="77777777" w:rsidR="00A148E6" w:rsidRPr="00D43584" w:rsidRDefault="00A148E6" w:rsidP="00F236AA">
            <w:pPr>
              <w:pStyle w:val="NoSpacing"/>
              <w:jc w:val="center"/>
              <w:rPr>
                <w:rFonts w:ascii="Times New Roman" w:hAnsi="Times New Roman" w:cs="Times New Roman"/>
                <w:szCs w:val="24"/>
              </w:rPr>
            </w:pPr>
            <w:r w:rsidRPr="00D43584">
              <w:rPr>
                <w:rFonts w:ascii="Times New Roman" w:hAnsi="Times New Roman" w:cs="Times New Roman"/>
                <w:szCs w:val="24"/>
              </w:rPr>
              <w:t>100.00</w:t>
            </w:r>
          </w:p>
        </w:tc>
        <w:tc>
          <w:tcPr>
            <w:tcW w:w="0" w:type="auto"/>
            <w:vAlign w:val="center"/>
            <w:hideMark/>
          </w:tcPr>
          <w:p w14:paraId="2C750224" w14:textId="77777777" w:rsidR="00A148E6" w:rsidRPr="00D43584" w:rsidRDefault="00A148E6" w:rsidP="00F236AA">
            <w:pPr>
              <w:pStyle w:val="NoSpacing"/>
              <w:jc w:val="center"/>
              <w:rPr>
                <w:rFonts w:ascii="Times New Roman" w:hAnsi="Times New Roman" w:cs="Times New Roman"/>
                <w:szCs w:val="24"/>
              </w:rPr>
            </w:pPr>
          </w:p>
        </w:tc>
        <w:tc>
          <w:tcPr>
            <w:tcW w:w="0" w:type="auto"/>
            <w:vAlign w:val="center"/>
            <w:hideMark/>
          </w:tcPr>
          <w:p w14:paraId="1FDFEFC7" w14:textId="77777777" w:rsidR="00A148E6" w:rsidRPr="00D43584" w:rsidRDefault="00A148E6" w:rsidP="00F236AA">
            <w:pPr>
              <w:pStyle w:val="NoSpacing"/>
              <w:jc w:val="center"/>
              <w:rPr>
                <w:rFonts w:ascii="Times New Roman" w:hAnsi="Times New Roman" w:cs="Times New Roman"/>
                <w:szCs w:val="24"/>
              </w:rPr>
            </w:pPr>
          </w:p>
        </w:tc>
      </w:tr>
    </w:tbl>
    <w:p w14:paraId="783B05B9" w14:textId="77777777" w:rsidR="00A148E6" w:rsidRPr="00F236AA" w:rsidRDefault="00A148E6" w:rsidP="00A148E6">
      <w:pPr>
        <w:pStyle w:val="NoSpacing"/>
        <w:rPr>
          <w:rFonts w:ascii="Times New Roman" w:hAnsi="Times New Roman" w:cs="Times New Roman"/>
          <w:sz w:val="20"/>
          <w:szCs w:val="20"/>
        </w:rPr>
      </w:pPr>
      <w:r w:rsidRPr="00F236AA">
        <w:rPr>
          <w:rFonts w:ascii="Times New Roman" w:hAnsi="Times New Roman" w:cs="Times New Roman"/>
          <w:sz w:val="20"/>
          <w:szCs w:val="20"/>
        </w:rPr>
        <w:t>Source: Central Government.</w:t>
      </w:r>
    </w:p>
    <w:p w14:paraId="09CF7B5A" w14:textId="77777777" w:rsidR="00A148E6" w:rsidRPr="00D43584" w:rsidRDefault="00A148E6" w:rsidP="00A148E6">
      <w:pPr>
        <w:pStyle w:val="NoSpacing"/>
        <w:jc w:val="center"/>
        <w:rPr>
          <w:rFonts w:ascii="Times New Roman" w:hAnsi="Times New Roman" w:cs="Times New Roman"/>
          <w:szCs w:val="24"/>
        </w:rPr>
        <w:sectPr w:rsidR="00A148E6" w:rsidRPr="00D43584" w:rsidSect="00A148E6">
          <w:pgSz w:w="12240" w:h="15840"/>
          <w:pgMar w:top="992" w:right="1440" w:bottom="1440" w:left="1440" w:header="720" w:footer="720" w:gutter="0"/>
          <w:cols w:space="720"/>
        </w:sectPr>
      </w:pPr>
      <w:r w:rsidRPr="00D43584">
        <w:rPr>
          <w:rFonts w:ascii="Times New Roman" w:hAnsi="Times New Roman" w:cs="Times New Roman"/>
          <w:szCs w:val="24"/>
        </w:rPr>
        <w:br w:type="page"/>
      </w:r>
    </w:p>
    <w:p w14:paraId="411AEA51" w14:textId="45563D3B" w:rsidR="00A148E6" w:rsidRPr="00D43584" w:rsidRDefault="00574BCE" w:rsidP="0060494F">
      <w:pPr>
        <w:pStyle w:val="Heading5"/>
      </w:pPr>
      <w:bookmarkStart w:id="268" w:name="_Toc220949764"/>
      <w:bookmarkStart w:id="269" w:name="_Toc221115389"/>
      <w:r>
        <w:lastRenderedPageBreak/>
        <w:t>Table</w:t>
      </w:r>
      <w:r w:rsidR="00A148E6" w:rsidRPr="00D43584">
        <w:t xml:space="preserve"> 6: Monthly repayment of Central Government loans 1967-68</w:t>
      </w:r>
      <w:bookmarkEnd w:id="268"/>
      <w:bookmarkEnd w:id="269"/>
    </w:p>
    <w:p w14:paraId="16BB0E73" w14:textId="77777777" w:rsidR="00F236AA" w:rsidRDefault="00A148E6" w:rsidP="00F236AA">
      <w:pPr>
        <w:pStyle w:val="NoSpacing"/>
        <w:jc w:val="right"/>
        <w:rPr>
          <w:rFonts w:ascii="Times New Roman" w:hAnsi="Times New Roman" w:cs="Times New Roman"/>
          <w:i/>
          <w:iCs/>
          <w:szCs w:val="24"/>
        </w:rPr>
      </w:pPr>
      <w:r w:rsidRPr="00D43584">
        <w:rPr>
          <w:rFonts w:ascii="Times New Roman" w:hAnsi="Times New Roman" w:cs="Times New Roman"/>
          <w:i/>
          <w:iCs/>
          <w:szCs w:val="24"/>
        </w:rPr>
        <w:t>(Rs. in lakhs</w:t>
      </w:r>
      <w:r w:rsidR="00F236AA">
        <w:rPr>
          <w:rFonts w:ascii="Times New Roman" w:hAnsi="Times New Roman" w:cs="Times New Roman"/>
          <w:i/>
          <w:iCs/>
          <w:szCs w:val="24"/>
        </w:rPr>
        <w:t>)</w:t>
      </w:r>
    </w:p>
    <w:p w14:paraId="50E2E0EF" w14:textId="77777777" w:rsidR="00F236AA" w:rsidRDefault="00F236AA" w:rsidP="00F236AA">
      <w:pPr>
        <w:pStyle w:val="NoSpacing"/>
        <w:jc w:val="right"/>
        <w:rPr>
          <w:rFonts w:ascii="Times New Roman" w:hAnsi="Times New Roman" w:cs="Times New Roman"/>
          <w:i/>
          <w:iCs/>
          <w:szCs w:val="24"/>
        </w:rPr>
      </w:pPr>
    </w:p>
    <w:tbl>
      <w:tblPr>
        <w:tblW w:w="14844" w:type="dxa"/>
        <w:jc w:val="center"/>
        <w:tblLook w:val="04A0" w:firstRow="1" w:lastRow="0" w:firstColumn="1" w:lastColumn="0" w:noHBand="0" w:noVBand="1"/>
      </w:tblPr>
      <w:tblGrid>
        <w:gridCol w:w="1026"/>
        <w:gridCol w:w="882"/>
        <w:gridCol w:w="763"/>
        <w:gridCol w:w="692"/>
        <w:gridCol w:w="874"/>
        <w:gridCol w:w="935"/>
        <w:gridCol w:w="781"/>
        <w:gridCol w:w="895"/>
        <w:gridCol w:w="854"/>
        <w:gridCol w:w="1280"/>
        <w:gridCol w:w="833"/>
        <w:gridCol w:w="752"/>
        <w:gridCol w:w="814"/>
        <w:gridCol w:w="1047"/>
        <w:gridCol w:w="882"/>
        <w:gridCol w:w="782"/>
        <w:gridCol w:w="752"/>
      </w:tblGrid>
      <w:tr w:rsidR="000C2276" w:rsidRPr="000C2276" w14:paraId="2F03421C" w14:textId="77777777" w:rsidTr="000C2276">
        <w:trPr>
          <w:trHeight w:val="340"/>
          <w:jc w:val="center"/>
        </w:trPr>
        <w:tc>
          <w:tcPr>
            <w:tcW w:w="1026" w:type="dxa"/>
            <w:tcBorders>
              <w:top w:val="single" w:sz="4" w:space="0" w:color="auto"/>
              <w:left w:val="single" w:sz="4" w:space="0" w:color="auto"/>
              <w:bottom w:val="single" w:sz="4" w:space="0" w:color="auto"/>
              <w:right w:val="single" w:sz="4" w:space="0" w:color="auto"/>
            </w:tcBorders>
            <w:vAlign w:val="center"/>
            <w:hideMark/>
          </w:tcPr>
          <w:p w14:paraId="3DB8679D" w14:textId="77777777" w:rsidR="00F236AA" w:rsidRPr="000C2276" w:rsidRDefault="00F236AA" w:rsidP="000C2276">
            <w:pPr>
              <w:spacing w:after="0" w:line="240" w:lineRule="auto"/>
              <w:jc w:val="center"/>
              <w:rPr>
                <w:rFonts w:ascii="Times New Roman" w:eastAsia="Times New Roman" w:hAnsi="Times New Roman" w:cs="Times New Roman"/>
                <w:b/>
                <w:bCs/>
                <w:color w:val="000000"/>
                <w:kern w:val="0"/>
                <w:sz w:val="18"/>
                <w:szCs w:val="18"/>
                <w:lang w:eastAsia="en-IN"/>
                <w14:ligatures w14:val="none"/>
              </w:rPr>
            </w:pPr>
            <w:r w:rsidRPr="000C2276">
              <w:rPr>
                <w:rFonts w:ascii="Times New Roman" w:eastAsia="Times New Roman" w:hAnsi="Times New Roman" w:cs="Times New Roman"/>
                <w:b/>
                <w:bCs/>
                <w:color w:val="000000"/>
                <w:kern w:val="0"/>
                <w:sz w:val="18"/>
                <w:szCs w:val="18"/>
                <w:lang w:eastAsia="en-IN"/>
                <w14:ligatures w14:val="none"/>
              </w:rPr>
              <w:t>Month</w:t>
            </w:r>
          </w:p>
        </w:tc>
        <w:tc>
          <w:tcPr>
            <w:tcW w:w="882" w:type="dxa"/>
            <w:tcBorders>
              <w:top w:val="single" w:sz="4" w:space="0" w:color="auto"/>
              <w:left w:val="nil"/>
              <w:bottom w:val="single" w:sz="4" w:space="0" w:color="auto"/>
              <w:right w:val="single" w:sz="4" w:space="0" w:color="auto"/>
            </w:tcBorders>
            <w:vAlign w:val="center"/>
            <w:hideMark/>
          </w:tcPr>
          <w:p w14:paraId="666BD10B" w14:textId="77777777" w:rsidR="00F236AA" w:rsidRPr="000C2276" w:rsidRDefault="00F236AA" w:rsidP="000C2276">
            <w:pPr>
              <w:spacing w:after="0" w:line="240" w:lineRule="auto"/>
              <w:jc w:val="center"/>
              <w:rPr>
                <w:rFonts w:ascii="Times New Roman" w:eastAsia="Times New Roman" w:hAnsi="Times New Roman" w:cs="Times New Roman"/>
                <w:b/>
                <w:bCs/>
                <w:color w:val="000000"/>
                <w:kern w:val="0"/>
                <w:sz w:val="18"/>
                <w:szCs w:val="18"/>
                <w:lang w:eastAsia="en-IN"/>
                <w14:ligatures w14:val="none"/>
              </w:rPr>
            </w:pPr>
            <w:r w:rsidRPr="000C2276">
              <w:rPr>
                <w:rFonts w:ascii="Times New Roman" w:eastAsia="Times New Roman" w:hAnsi="Times New Roman" w:cs="Times New Roman"/>
                <w:b/>
                <w:bCs/>
                <w:color w:val="000000"/>
                <w:kern w:val="0"/>
                <w:sz w:val="18"/>
                <w:szCs w:val="18"/>
                <w:lang w:eastAsia="en-IN"/>
                <w14:ligatures w14:val="none"/>
              </w:rPr>
              <w:t>Andhra Pradesh</w:t>
            </w:r>
          </w:p>
        </w:tc>
        <w:tc>
          <w:tcPr>
            <w:tcW w:w="763" w:type="dxa"/>
            <w:tcBorders>
              <w:top w:val="single" w:sz="4" w:space="0" w:color="auto"/>
              <w:left w:val="nil"/>
              <w:bottom w:val="single" w:sz="4" w:space="0" w:color="auto"/>
              <w:right w:val="single" w:sz="4" w:space="0" w:color="auto"/>
            </w:tcBorders>
            <w:vAlign w:val="center"/>
            <w:hideMark/>
          </w:tcPr>
          <w:p w14:paraId="513F791F" w14:textId="77777777" w:rsidR="00F236AA" w:rsidRPr="000C2276" w:rsidRDefault="00F236AA" w:rsidP="000C2276">
            <w:pPr>
              <w:spacing w:after="0" w:line="240" w:lineRule="auto"/>
              <w:jc w:val="center"/>
              <w:rPr>
                <w:rFonts w:ascii="Times New Roman" w:eastAsia="Times New Roman" w:hAnsi="Times New Roman" w:cs="Times New Roman"/>
                <w:b/>
                <w:bCs/>
                <w:color w:val="000000"/>
                <w:kern w:val="0"/>
                <w:sz w:val="18"/>
                <w:szCs w:val="18"/>
                <w:lang w:eastAsia="en-IN"/>
                <w14:ligatures w14:val="none"/>
              </w:rPr>
            </w:pPr>
            <w:r w:rsidRPr="000C2276">
              <w:rPr>
                <w:rFonts w:ascii="Times New Roman" w:eastAsia="Times New Roman" w:hAnsi="Times New Roman" w:cs="Times New Roman"/>
                <w:b/>
                <w:bCs/>
                <w:color w:val="000000"/>
                <w:kern w:val="0"/>
                <w:sz w:val="18"/>
                <w:szCs w:val="18"/>
                <w:lang w:eastAsia="en-IN"/>
                <w14:ligatures w14:val="none"/>
              </w:rPr>
              <w:t>Assam</w:t>
            </w:r>
          </w:p>
        </w:tc>
        <w:tc>
          <w:tcPr>
            <w:tcW w:w="692" w:type="dxa"/>
            <w:tcBorders>
              <w:top w:val="single" w:sz="4" w:space="0" w:color="auto"/>
              <w:left w:val="nil"/>
              <w:bottom w:val="single" w:sz="4" w:space="0" w:color="auto"/>
              <w:right w:val="single" w:sz="4" w:space="0" w:color="auto"/>
            </w:tcBorders>
            <w:vAlign w:val="center"/>
            <w:hideMark/>
          </w:tcPr>
          <w:p w14:paraId="0B168A35" w14:textId="77777777" w:rsidR="00F236AA" w:rsidRPr="000C2276" w:rsidRDefault="00F236AA" w:rsidP="000C2276">
            <w:pPr>
              <w:spacing w:after="0" w:line="240" w:lineRule="auto"/>
              <w:jc w:val="center"/>
              <w:rPr>
                <w:rFonts w:ascii="Times New Roman" w:eastAsia="Times New Roman" w:hAnsi="Times New Roman" w:cs="Times New Roman"/>
                <w:b/>
                <w:bCs/>
                <w:color w:val="000000"/>
                <w:kern w:val="0"/>
                <w:sz w:val="18"/>
                <w:szCs w:val="18"/>
                <w:lang w:eastAsia="en-IN"/>
                <w14:ligatures w14:val="none"/>
              </w:rPr>
            </w:pPr>
            <w:r w:rsidRPr="000C2276">
              <w:rPr>
                <w:rFonts w:ascii="Times New Roman" w:eastAsia="Times New Roman" w:hAnsi="Times New Roman" w:cs="Times New Roman"/>
                <w:b/>
                <w:bCs/>
                <w:color w:val="000000"/>
                <w:kern w:val="0"/>
                <w:sz w:val="18"/>
                <w:szCs w:val="18"/>
                <w:lang w:eastAsia="en-IN"/>
                <w14:ligatures w14:val="none"/>
              </w:rPr>
              <w:t>Bihar</w:t>
            </w:r>
          </w:p>
        </w:tc>
        <w:tc>
          <w:tcPr>
            <w:tcW w:w="874" w:type="dxa"/>
            <w:tcBorders>
              <w:top w:val="single" w:sz="4" w:space="0" w:color="auto"/>
              <w:left w:val="nil"/>
              <w:bottom w:val="single" w:sz="4" w:space="0" w:color="auto"/>
              <w:right w:val="single" w:sz="4" w:space="0" w:color="auto"/>
            </w:tcBorders>
            <w:vAlign w:val="center"/>
            <w:hideMark/>
          </w:tcPr>
          <w:p w14:paraId="7AC0D4F6" w14:textId="77777777" w:rsidR="00F236AA" w:rsidRPr="000C2276" w:rsidRDefault="00F236AA" w:rsidP="000C2276">
            <w:pPr>
              <w:spacing w:after="0" w:line="240" w:lineRule="auto"/>
              <w:jc w:val="center"/>
              <w:rPr>
                <w:rFonts w:ascii="Times New Roman" w:eastAsia="Times New Roman" w:hAnsi="Times New Roman" w:cs="Times New Roman"/>
                <w:b/>
                <w:bCs/>
                <w:color w:val="000000"/>
                <w:kern w:val="0"/>
                <w:sz w:val="18"/>
                <w:szCs w:val="18"/>
                <w:lang w:eastAsia="en-IN"/>
                <w14:ligatures w14:val="none"/>
              </w:rPr>
            </w:pPr>
            <w:r w:rsidRPr="000C2276">
              <w:rPr>
                <w:rFonts w:ascii="Times New Roman" w:eastAsia="Times New Roman" w:hAnsi="Times New Roman" w:cs="Times New Roman"/>
                <w:b/>
                <w:bCs/>
                <w:color w:val="000000"/>
                <w:kern w:val="0"/>
                <w:sz w:val="18"/>
                <w:szCs w:val="18"/>
                <w:lang w:eastAsia="en-IN"/>
                <w14:ligatures w14:val="none"/>
              </w:rPr>
              <w:t>Gujarat</w:t>
            </w:r>
          </w:p>
        </w:tc>
        <w:tc>
          <w:tcPr>
            <w:tcW w:w="935" w:type="dxa"/>
            <w:tcBorders>
              <w:top w:val="single" w:sz="4" w:space="0" w:color="auto"/>
              <w:left w:val="nil"/>
              <w:bottom w:val="single" w:sz="4" w:space="0" w:color="auto"/>
              <w:right w:val="single" w:sz="4" w:space="0" w:color="auto"/>
            </w:tcBorders>
            <w:vAlign w:val="center"/>
            <w:hideMark/>
          </w:tcPr>
          <w:p w14:paraId="52B6ED08" w14:textId="77777777" w:rsidR="00F236AA" w:rsidRPr="000C2276" w:rsidRDefault="00F236AA" w:rsidP="000C2276">
            <w:pPr>
              <w:spacing w:after="0" w:line="240" w:lineRule="auto"/>
              <w:jc w:val="center"/>
              <w:rPr>
                <w:rFonts w:ascii="Times New Roman" w:eastAsia="Times New Roman" w:hAnsi="Times New Roman" w:cs="Times New Roman"/>
                <w:b/>
                <w:bCs/>
                <w:color w:val="000000"/>
                <w:kern w:val="0"/>
                <w:sz w:val="18"/>
                <w:szCs w:val="18"/>
                <w:lang w:eastAsia="en-IN"/>
                <w14:ligatures w14:val="none"/>
              </w:rPr>
            </w:pPr>
            <w:r w:rsidRPr="000C2276">
              <w:rPr>
                <w:rFonts w:ascii="Times New Roman" w:eastAsia="Times New Roman" w:hAnsi="Times New Roman" w:cs="Times New Roman"/>
                <w:b/>
                <w:bCs/>
                <w:color w:val="000000"/>
                <w:kern w:val="0"/>
                <w:sz w:val="18"/>
                <w:szCs w:val="18"/>
                <w:lang w:eastAsia="en-IN"/>
                <w14:ligatures w14:val="none"/>
              </w:rPr>
              <w:t>Jammu and Kashmir</w:t>
            </w:r>
          </w:p>
        </w:tc>
        <w:tc>
          <w:tcPr>
            <w:tcW w:w="781" w:type="dxa"/>
            <w:tcBorders>
              <w:top w:val="single" w:sz="4" w:space="0" w:color="auto"/>
              <w:left w:val="nil"/>
              <w:bottom w:val="single" w:sz="4" w:space="0" w:color="auto"/>
              <w:right w:val="single" w:sz="4" w:space="0" w:color="auto"/>
            </w:tcBorders>
            <w:vAlign w:val="center"/>
            <w:hideMark/>
          </w:tcPr>
          <w:p w14:paraId="4EB03BEC" w14:textId="77777777" w:rsidR="00F236AA" w:rsidRPr="000C2276" w:rsidRDefault="00F236AA" w:rsidP="000C2276">
            <w:pPr>
              <w:spacing w:after="0" w:line="240" w:lineRule="auto"/>
              <w:jc w:val="center"/>
              <w:rPr>
                <w:rFonts w:ascii="Times New Roman" w:eastAsia="Times New Roman" w:hAnsi="Times New Roman" w:cs="Times New Roman"/>
                <w:b/>
                <w:bCs/>
                <w:color w:val="000000"/>
                <w:kern w:val="0"/>
                <w:sz w:val="18"/>
                <w:szCs w:val="18"/>
                <w:lang w:eastAsia="en-IN"/>
                <w14:ligatures w14:val="none"/>
              </w:rPr>
            </w:pPr>
            <w:r w:rsidRPr="000C2276">
              <w:rPr>
                <w:rFonts w:ascii="Times New Roman" w:eastAsia="Times New Roman" w:hAnsi="Times New Roman" w:cs="Times New Roman"/>
                <w:b/>
                <w:bCs/>
                <w:color w:val="000000"/>
                <w:kern w:val="0"/>
                <w:sz w:val="18"/>
                <w:szCs w:val="18"/>
                <w:lang w:eastAsia="en-IN"/>
                <w14:ligatures w14:val="none"/>
              </w:rPr>
              <w:t>Kerala</w:t>
            </w:r>
          </w:p>
        </w:tc>
        <w:tc>
          <w:tcPr>
            <w:tcW w:w="895" w:type="dxa"/>
            <w:tcBorders>
              <w:top w:val="single" w:sz="4" w:space="0" w:color="auto"/>
              <w:left w:val="nil"/>
              <w:bottom w:val="single" w:sz="4" w:space="0" w:color="auto"/>
              <w:right w:val="single" w:sz="4" w:space="0" w:color="auto"/>
            </w:tcBorders>
            <w:vAlign w:val="center"/>
            <w:hideMark/>
          </w:tcPr>
          <w:p w14:paraId="59F7BBC7" w14:textId="77777777" w:rsidR="00F236AA" w:rsidRPr="000C2276" w:rsidRDefault="00F236AA" w:rsidP="000C2276">
            <w:pPr>
              <w:spacing w:after="0" w:line="240" w:lineRule="auto"/>
              <w:jc w:val="center"/>
              <w:rPr>
                <w:rFonts w:ascii="Times New Roman" w:eastAsia="Times New Roman" w:hAnsi="Times New Roman" w:cs="Times New Roman"/>
                <w:b/>
                <w:bCs/>
                <w:color w:val="000000"/>
                <w:kern w:val="0"/>
                <w:sz w:val="18"/>
                <w:szCs w:val="18"/>
                <w:lang w:eastAsia="en-IN"/>
                <w14:ligatures w14:val="none"/>
              </w:rPr>
            </w:pPr>
            <w:r w:rsidRPr="000C2276">
              <w:rPr>
                <w:rFonts w:ascii="Times New Roman" w:eastAsia="Times New Roman" w:hAnsi="Times New Roman" w:cs="Times New Roman"/>
                <w:b/>
                <w:bCs/>
                <w:color w:val="000000"/>
                <w:kern w:val="0"/>
                <w:sz w:val="18"/>
                <w:szCs w:val="18"/>
                <w:lang w:eastAsia="en-IN"/>
                <w14:ligatures w14:val="none"/>
              </w:rPr>
              <w:t>Madhya Pradesh</w:t>
            </w:r>
          </w:p>
        </w:tc>
        <w:tc>
          <w:tcPr>
            <w:tcW w:w="854" w:type="dxa"/>
            <w:tcBorders>
              <w:top w:val="single" w:sz="4" w:space="0" w:color="auto"/>
              <w:left w:val="nil"/>
              <w:bottom w:val="single" w:sz="4" w:space="0" w:color="auto"/>
              <w:right w:val="single" w:sz="4" w:space="0" w:color="auto"/>
            </w:tcBorders>
            <w:vAlign w:val="center"/>
            <w:hideMark/>
          </w:tcPr>
          <w:p w14:paraId="0FEBA27A" w14:textId="77777777" w:rsidR="00F236AA" w:rsidRPr="000C2276" w:rsidRDefault="00F236AA" w:rsidP="000C2276">
            <w:pPr>
              <w:spacing w:after="0" w:line="240" w:lineRule="auto"/>
              <w:jc w:val="center"/>
              <w:rPr>
                <w:rFonts w:ascii="Times New Roman" w:eastAsia="Times New Roman" w:hAnsi="Times New Roman" w:cs="Times New Roman"/>
                <w:b/>
                <w:bCs/>
                <w:color w:val="000000"/>
                <w:kern w:val="0"/>
                <w:sz w:val="18"/>
                <w:szCs w:val="18"/>
                <w:lang w:eastAsia="en-IN"/>
                <w14:ligatures w14:val="none"/>
              </w:rPr>
            </w:pPr>
            <w:r w:rsidRPr="000C2276">
              <w:rPr>
                <w:rFonts w:ascii="Times New Roman" w:eastAsia="Times New Roman" w:hAnsi="Times New Roman" w:cs="Times New Roman"/>
                <w:b/>
                <w:bCs/>
                <w:color w:val="000000"/>
                <w:kern w:val="0"/>
                <w:sz w:val="18"/>
                <w:szCs w:val="18"/>
                <w:lang w:eastAsia="en-IN"/>
                <w14:ligatures w14:val="none"/>
              </w:rPr>
              <w:t>Madras</w:t>
            </w:r>
          </w:p>
        </w:tc>
        <w:tc>
          <w:tcPr>
            <w:tcW w:w="1280" w:type="dxa"/>
            <w:tcBorders>
              <w:top w:val="single" w:sz="4" w:space="0" w:color="auto"/>
              <w:left w:val="nil"/>
              <w:bottom w:val="single" w:sz="4" w:space="0" w:color="auto"/>
              <w:right w:val="single" w:sz="4" w:space="0" w:color="auto"/>
            </w:tcBorders>
            <w:vAlign w:val="center"/>
            <w:hideMark/>
          </w:tcPr>
          <w:p w14:paraId="5DC4EC59" w14:textId="77777777" w:rsidR="00F236AA" w:rsidRPr="000C2276" w:rsidRDefault="00F236AA" w:rsidP="000C2276">
            <w:pPr>
              <w:spacing w:after="0" w:line="240" w:lineRule="auto"/>
              <w:jc w:val="center"/>
              <w:rPr>
                <w:rFonts w:ascii="Times New Roman" w:eastAsia="Times New Roman" w:hAnsi="Times New Roman" w:cs="Times New Roman"/>
                <w:b/>
                <w:bCs/>
                <w:color w:val="000000"/>
                <w:kern w:val="0"/>
                <w:sz w:val="18"/>
                <w:szCs w:val="18"/>
                <w:lang w:eastAsia="en-IN"/>
                <w14:ligatures w14:val="none"/>
              </w:rPr>
            </w:pPr>
            <w:r w:rsidRPr="000C2276">
              <w:rPr>
                <w:rFonts w:ascii="Times New Roman" w:eastAsia="Times New Roman" w:hAnsi="Times New Roman" w:cs="Times New Roman"/>
                <w:b/>
                <w:bCs/>
                <w:color w:val="000000"/>
                <w:kern w:val="0"/>
                <w:sz w:val="18"/>
                <w:szCs w:val="18"/>
                <w:lang w:eastAsia="en-IN"/>
                <w14:ligatures w14:val="none"/>
              </w:rPr>
              <w:t>Maharashtra</w:t>
            </w:r>
          </w:p>
        </w:tc>
        <w:tc>
          <w:tcPr>
            <w:tcW w:w="833" w:type="dxa"/>
            <w:tcBorders>
              <w:top w:val="single" w:sz="4" w:space="0" w:color="auto"/>
              <w:left w:val="nil"/>
              <w:bottom w:val="single" w:sz="4" w:space="0" w:color="auto"/>
              <w:right w:val="single" w:sz="4" w:space="0" w:color="auto"/>
            </w:tcBorders>
            <w:vAlign w:val="center"/>
            <w:hideMark/>
          </w:tcPr>
          <w:p w14:paraId="66ABFDDA" w14:textId="77777777" w:rsidR="00F236AA" w:rsidRPr="000C2276" w:rsidRDefault="00F236AA" w:rsidP="000C2276">
            <w:pPr>
              <w:spacing w:after="0" w:line="240" w:lineRule="auto"/>
              <w:jc w:val="center"/>
              <w:rPr>
                <w:rFonts w:ascii="Times New Roman" w:eastAsia="Times New Roman" w:hAnsi="Times New Roman" w:cs="Times New Roman"/>
                <w:b/>
                <w:bCs/>
                <w:color w:val="000000"/>
                <w:kern w:val="0"/>
                <w:sz w:val="18"/>
                <w:szCs w:val="18"/>
                <w:lang w:eastAsia="en-IN"/>
                <w14:ligatures w14:val="none"/>
              </w:rPr>
            </w:pPr>
            <w:r w:rsidRPr="000C2276">
              <w:rPr>
                <w:rFonts w:ascii="Times New Roman" w:eastAsia="Times New Roman" w:hAnsi="Times New Roman" w:cs="Times New Roman"/>
                <w:b/>
                <w:bCs/>
                <w:color w:val="000000"/>
                <w:kern w:val="0"/>
                <w:sz w:val="18"/>
                <w:szCs w:val="18"/>
                <w:lang w:eastAsia="en-IN"/>
                <w14:ligatures w14:val="none"/>
              </w:rPr>
              <w:t>Mysore</w:t>
            </w:r>
          </w:p>
        </w:tc>
        <w:tc>
          <w:tcPr>
            <w:tcW w:w="752" w:type="dxa"/>
            <w:tcBorders>
              <w:top w:val="single" w:sz="4" w:space="0" w:color="auto"/>
              <w:left w:val="nil"/>
              <w:bottom w:val="single" w:sz="4" w:space="0" w:color="auto"/>
              <w:right w:val="single" w:sz="4" w:space="0" w:color="auto"/>
            </w:tcBorders>
            <w:vAlign w:val="center"/>
            <w:hideMark/>
          </w:tcPr>
          <w:p w14:paraId="6F368722" w14:textId="77777777" w:rsidR="00F236AA" w:rsidRPr="000C2276" w:rsidRDefault="00F236AA" w:rsidP="000C2276">
            <w:pPr>
              <w:spacing w:after="0" w:line="240" w:lineRule="auto"/>
              <w:jc w:val="center"/>
              <w:rPr>
                <w:rFonts w:ascii="Times New Roman" w:eastAsia="Times New Roman" w:hAnsi="Times New Roman" w:cs="Times New Roman"/>
                <w:b/>
                <w:bCs/>
                <w:color w:val="000000"/>
                <w:kern w:val="0"/>
                <w:sz w:val="18"/>
                <w:szCs w:val="18"/>
                <w:lang w:eastAsia="en-IN"/>
                <w14:ligatures w14:val="none"/>
              </w:rPr>
            </w:pPr>
            <w:r w:rsidRPr="000C2276">
              <w:rPr>
                <w:rFonts w:ascii="Times New Roman" w:eastAsia="Times New Roman" w:hAnsi="Times New Roman" w:cs="Times New Roman"/>
                <w:b/>
                <w:bCs/>
                <w:color w:val="000000"/>
                <w:kern w:val="0"/>
                <w:sz w:val="18"/>
                <w:szCs w:val="18"/>
                <w:lang w:eastAsia="en-IN"/>
                <w14:ligatures w14:val="none"/>
              </w:rPr>
              <w:t>Orissa</w:t>
            </w:r>
          </w:p>
        </w:tc>
        <w:tc>
          <w:tcPr>
            <w:tcW w:w="814" w:type="dxa"/>
            <w:tcBorders>
              <w:top w:val="single" w:sz="4" w:space="0" w:color="auto"/>
              <w:left w:val="nil"/>
              <w:bottom w:val="single" w:sz="4" w:space="0" w:color="auto"/>
              <w:right w:val="single" w:sz="4" w:space="0" w:color="auto"/>
            </w:tcBorders>
            <w:vAlign w:val="center"/>
            <w:hideMark/>
          </w:tcPr>
          <w:p w14:paraId="19EB159F" w14:textId="77777777" w:rsidR="00F236AA" w:rsidRPr="000C2276" w:rsidRDefault="00F236AA" w:rsidP="000C2276">
            <w:pPr>
              <w:spacing w:after="0" w:line="240" w:lineRule="auto"/>
              <w:jc w:val="center"/>
              <w:rPr>
                <w:rFonts w:ascii="Times New Roman" w:eastAsia="Times New Roman" w:hAnsi="Times New Roman" w:cs="Times New Roman"/>
                <w:b/>
                <w:bCs/>
                <w:color w:val="000000"/>
                <w:kern w:val="0"/>
                <w:sz w:val="18"/>
                <w:szCs w:val="18"/>
                <w:lang w:eastAsia="en-IN"/>
                <w14:ligatures w14:val="none"/>
              </w:rPr>
            </w:pPr>
            <w:r w:rsidRPr="000C2276">
              <w:rPr>
                <w:rFonts w:ascii="Times New Roman" w:eastAsia="Times New Roman" w:hAnsi="Times New Roman" w:cs="Times New Roman"/>
                <w:b/>
                <w:bCs/>
                <w:color w:val="000000"/>
                <w:kern w:val="0"/>
                <w:sz w:val="18"/>
                <w:szCs w:val="18"/>
                <w:lang w:eastAsia="en-IN"/>
                <w14:ligatures w14:val="none"/>
              </w:rPr>
              <w:t>Punjab</w:t>
            </w:r>
          </w:p>
        </w:tc>
        <w:tc>
          <w:tcPr>
            <w:tcW w:w="1047" w:type="dxa"/>
            <w:tcBorders>
              <w:top w:val="single" w:sz="4" w:space="0" w:color="auto"/>
              <w:left w:val="nil"/>
              <w:bottom w:val="single" w:sz="4" w:space="0" w:color="auto"/>
              <w:right w:val="single" w:sz="4" w:space="0" w:color="auto"/>
            </w:tcBorders>
            <w:vAlign w:val="center"/>
            <w:hideMark/>
          </w:tcPr>
          <w:p w14:paraId="6AA92863" w14:textId="77777777" w:rsidR="00F236AA" w:rsidRPr="000C2276" w:rsidRDefault="00F236AA" w:rsidP="000C2276">
            <w:pPr>
              <w:spacing w:after="0" w:line="240" w:lineRule="auto"/>
              <w:jc w:val="center"/>
              <w:rPr>
                <w:rFonts w:ascii="Times New Roman" w:eastAsia="Times New Roman" w:hAnsi="Times New Roman" w:cs="Times New Roman"/>
                <w:b/>
                <w:bCs/>
                <w:color w:val="000000"/>
                <w:kern w:val="0"/>
                <w:sz w:val="18"/>
                <w:szCs w:val="18"/>
                <w:lang w:eastAsia="en-IN"/>
                <w14:ligatures w14:val="none"/>
              </w:rPr>
            </w:pPr>
            <w:r w:rsidRPr="000C2276">
              <w:rPr>
                <w:rFonts w:ascii="Times New Roman" w:eastAsia="Times New Roman" w:hAnsi="Times New Roman" w:cs="Times New Roman"/>
                <w:b/>
                <w:bCs/>
                <w:color w:val="000000"/>
                <w:kern w:val="0"/>
                <w:sz w:val="18"/>
                <w:szCs w:val="18"/>
                <w:lang w:eastAsia="en-IN"/>
                <w14:ligatures w14:val="none"/>
              </w:rPr>
              <w:t>Rajasthan</w:t>
            </w:r>
          </w:p>
        </w:tc>
        <w:tc>
          <w:tcPr>
            <w:tcW w:w="882" w:type="dxa"/>
            <w:tcBorders>
              <w:top w:val="single" w:sz="4" w:space="0" w:color="auto"/>
              <w:left w:val="nil"/>
              <w:bottom w:val="single" w:sz="4" w:space="0" w:color="auto"/>
              <w:right w:val="single" w:sz="4" w:space="0" w:color="auto"/>
            </w:tcBorders>
            <w:vAlign w:val="center"/>
            <w:hideMark/>
          </w:tcPr>
          <w:p w14:paraId="767F3D92" w14:textId="77777777" w:rsidR="00F236AA" w:rsidRPr="000C2276" w:rsidRDefault="00F236AA" w:rsidP="000C2276">
            <w:pPr>
              <w:spacing w:after="0" w:line="240" w:lineRule="auto"/>
              <w:jc w:val="center"/>
              <w:rPr>
                <w:rFonts w:ascii="Times New Roman" w:eastAsia="Times New Roman" w:hAnsi="Times New Roman" w:cs="Times New Roman"/>
                <w:b/>
                <w:bCs/>
                <w:color w:val="000000"/>
                <w:kern w:val="0"/>
                <w:sz w:val="18"/>
                <w:szCs w:val="18"/>
                <w:lang w:eastAsia="en-IN"/>
                <w14:ligatures w14:val="none"/>
              </w:rPr>
            </w:pPr>
            <w:r w:rsidRPr="000C2276">
              <w:rPr>
                <w:rFonts w:ascii="Times New Roman" w:eastAsia="Times New Roman" w:hAnsi="Times New Roman" w:cs="Times New Roman"/>
                <w:b/>
                <w:bCs/>
                <w:color w:val="000000"/>
                <w:kern w:val="0"/>
                <w:sz w:val="18"/>
                <w:szCs w:val="18"/>
                <w:lang w:eastAsia="en-IN"/>
                <w14:ligatures w14:val="none"/>
              </w:rPr>
              <w:t>Uttar Pradesh</w:t>
            </w:r>
          </w:p>
        </w:tc>
        <w:tc>
          <w:tcPr>
            <w:tcW w:w="782" w:type="dxa"/>
            <w:tcBorders>
              <w:top w:val="single" w:sz="4" w:space="0" w:color="auto"/>
              <w:left w:val="nil"/>
              <w:bottom w:val="single" w:sz="4" w:space="0" w:color="auto"/>
              <w:right w:val="single" w:sz="4" w:space="0" w:color="auto"/>
            </w:tcBorders>
            <w:vAlign w:val="center"/>
            <w:hideMark/>
          </w:tcPr>
          <w:p w14:paraId="0A6A018E" w14:textId="77777777" w:rsidR="00F236AA" w:rsidRPr="000C2276" w:rsidRDefault="00F236AA" w:rsidP="000C2276">
            <w:pPr>
              <w:spacing w:after="0" w:line="240" w:lineRule="auto"/>
              <w:jc w:val="center"/>
              <w:rPr>
                <w:rFonts w:ascii="Times New Roman" w:eastAsia="Times New Roman" w:hAnsi="Times New Roman" w:cs="Times New Roman"/>
                <w:b/>
                <w:bCs/>
                <w:color w:val="000000"/>
                <w:kern w:val="0"/>
                <w:sz w:val="18"/>
                <w:szCs w:val="18"/>
                <w:lang w:eastAsia="en-IN"/>
                <w14:ligatures w14:val="none"/>
              </w:rPr>
            </w:pPr>
            <w:r w:rsidRPr="000C2276">
              <w:rPr>
                <w:rFonts w:ascii="Times New Roman" w:eastAsia="Times New Roman" w:hAnsi="Times New Roman" w:cs="Times New Roman"/>
                <w:b/>
                <w:bCs/>
                <w:color w:val="000000"/>
                <w:kern w:val="0"/>
                <w:sz w:val="18"/>
                <w:szCs w:val="18"/>
                <w:lang w:eastAsia="en-IN"/>
                <w14:ligatures w14:val="none"/>
              </w:rPr>
              <w:t>West Bengal</w:t>
            </w:r>
          </w:p>
        </w:tc>
        <w:tc>
          <w:tcPr>
            <w:tcW w:w="752" w:type="dxa"/>
            <w:tcBorders>
              <w:top w:val="single" w:sz="4" w:space="0" w:color="auto"/>
              <w:left w:val="nil"/>
              <w:bottom w:val="single" w:sz="4" w:space="0" w:color="auto"/>
              <w:right w:val="single" w:sz="4" w:space="0" w:color="auto"/>
            </w:tcBorders>
            <w:vAlign w:val="center"/>
            <w:hideMark/>
          </w:tcPr>
          <w:p w14:paraId="1FCA4D46" w14:textId="0625E53C" w:rsidR="00F236AA" w:rsidRPr="000C2276" w:rsidRDefault="00F236AA" w:rsidP="000C2276">
            <w:pPr>
              <w:spacing w:after="0" w:line="240" w:lineRule="auto"/>
              <w:jc w:val="center"/>
              <w:rPr>
                <w:rFonts w:ascii="Aptos Narrow" w:eastAsia="Times New Roman" w:hAnsi="Aptos Narrow" w:cs="Times New Roman"/>
                <w:color w:val="467886"/>
                <w:kern w:val="0"/>
                <w:sz w:val="18"/>
                <w:szCs w:val="18"/>
                <w:u w:val="single"/>
                <w:lang w:eastAsia="en-IN"/>
                <w14:ligatures w14:val="none"/>
              </w:rPr>
            </w:pPr>
            <w:r w:rsidRPr="000C2276">
              <w:rPr>
                <w:rFonts w:ascii="Times New Roman" w:eastAsia="Times New Roman" w:hAnsi="Times New Roman" w:cs="Times New Roman"/>
                <w:b/>
                <w:bCs/>
                <w:color w:val="000000"/>
                <w:kern w:val="0"/>
                <w:sz w:val="18"/>
                <w:szCs w:val="18"/>
                <w:lang w:eastAsia="en-IN"/>
                <w14:ligatures w14:val="none"/>
              </w:rPr>
              <w:t>Total*</w:t>
            </w:r>
          </w:p>
        </w:tc>
      </w:tr>
      <w:tr w:rsidR="000C2276" w:rsidRPr="000C2276" w14:paraId="66F396BF" w14:textId="77777777" w:rsidTr="000C2276">
        <w:trPr>
          <w:trHeight w:val="340"/>
          <w:jc w:val="center"/>
        </w:trPr>
        <w:tc>
          <w:tcPr>
            <w:tcW w:w="1026" w:type="dxa"/>
            <w:tcBorders>
              <w:top w:val="nil"/>
              <w:left w:val="single" w:sz="4" w:space="0" w:color="auto"/>
              <w:bottom w:val="single" w:sz="4" w:space="0" w:color="auto"/>
              <w:right w:val="single" w:sz="4" w:space="0" w:color="auto"/>
            </w:tcBorders>
            <w:vAlign w:val="center"/>
            <w:hideMark/>
          </w:tcPr>
          <w:p w14:paraId="2B0BF12F" w14:textId="77777777" w:rsidR="00F236AA" w:rsidRPr="000C2276" w:rsidRDefault="00F236AA" w:rsidP="00F236AA">
            <w:pPr>
              <w:spacing w:after="0" w:line="240" w:lineRule="auto"/>
              <w:rPr>
                <w:rFonts w:ascii="Times New Roman" w:eastAsia="Times New Roman" w:hAnsi="Times New Roman" w:cs="Times New Roman"/>
                <w:color w:val="000000"/>
                <w:kern w:val="0"/>
                <w:sz w:val="18"/>
                <w:szCs w:val="18"/>
                <w:lang w:eastAsia="en-IN"/>
                <w14:ligatures w14:val="none"/>
              </w:rPr>
            </w:pPr>
            <w:r w:rsidRPr="000C2276">
              <w:rPr>
                <w:rFonts w:ascii="Times New Roman" w:eastAsia="Times New Roman" w:hAnsi="Times New Roman" w:cs="Times New Roman"/>
                <w:color w:val="000000"/>
                <w:kern w:val="0"/>
                <w:sz w:val="18"/>
                <w:szCs w:val="18"/>
                <w:lang w:eastAsia="en-IN"/>
                <w14:ligatures w14:val="none"/>
              </w:rPr>
              <w:t>April</w:t>
            </w:r>
          </w:p>
        </w:tc>
        <w:tc>
          <w:tcPr>
            <w:tcW w:w="882" w:type="dxa"/>
            <w:tcBorders>
              <w:top w:val="nil"/>
              <w:left w:val="nil"/>
              <w:bottom w:val="single" w:sz="4" w:space="0" w:color="auto"/>
              <w:right w:val="single" w:sz="4" w:space="0" w:color="auto"/>
            </w:tcBorders>
            <w:vAlign w:val="center"/>
            <w:hideMark/>
          </w:tcPr>
          <w:p w14:paraId="043056B8" w14:textId="77777777" w:rsidR="00F236AA" w:rsidRPr="000C2276" w:rsidRDefault="00F236AA" w:rsidP="000C2276">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0C2276">
              <w:rPr>
                <w:rFonts w:ascii="Times New Roman" w:eastAsia="Times New Roman" w:hAnsi="Times New Roman" w:cs="Times New Roman"/>
                <w:color w:val="000000"/>
                <w:kern w:val="0"/>
                <w:sz w:val="18"/>
                <w:szCs w:val="18"/>
                <w:lang w:eastAsia="en-IN"/>
                <w14:ligatures w14:val="none"/>
              </w:rPr>
              <w:t>160</w:t>
            </w:r>
          </w:p>
        </w:tc>
        <w:tc>
          <w:tcPr>
            <w:tcW w:w="763" w:type="dxa"/>
            <w:tcBorders>
              <w:top w:val="nil"/>
              <w:left w:val="nil"/>
              <w:bottom w:val="single" w:sz="4" w:space="0" w:color="auto"/>
              <w:right w:val="single" w:sz="4" w:space="0" w:color="auto"/>
            </w:tcBorders>
            <w:vAlign w:val="center"/>
            <w:hideMark/>
          </w:tcPr>
          <w:p w14:paraId="4D7B7EA0" w14:textId="77777777" w:rsidR="00F236AA" w:rsidRPr="000C2276" w:rsidRDefault="00F236AA" w:rsidP="000C2276">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0C2276">
              <w:rPr>
                <w:rFonts w:ascii="Times New Roman" w:eastAsia="Times New Roman" w:hAnsi="Times New Roman" w:cs="Times New Roman"/>
                <w:color w:val="000000"/>
                <w:kern w:val="0"/>
                <w:sz w:val="18"/>
                <w:szCs w:val="18"/>
                <w:lang w:eastAsia="en-IN"/>
                <w14:ligatures w14:val="none"/>
              </w:rPr>
              <w:t>..</w:t>
            </w:r>
          </w:p>
        </w:tc>
        <w:tc>
          <w:tcPr>
            <w:tcW w:w="692" w:type="dxa"/>
            <w:tcBorders>
              <w:top w:val="nil"/>
              <w:left w:val="nil"/>
              <w:bottom w:val="single" w:sz="4" w:space="0" w:color="auto"/>
              <w:right w:val="single" w:sz="4" w:space="0" w:color="auto"/>
            </w:tcBorders>
            <w:vAlign w:val="center"/>
            <w:hideMark/>
          </w:tcPr>
          <w:p w14:paraId="15B5994B" w14:textId="77777777" w:rsidR="00F236AA" w:rsidRPr="000C2276" w:rsidRDefault="00F236AA" w:rsidP="000C2276">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0C2276">
              <w:rPr>
                <w:rFonts w:ascii="Times New Roman" w:eastAsia="Times New Roman" w:hAnsi="Times New Roman" w:cs="Times New Roman"/>
                <w:color w:val="000000"/>
                <w:kern w:val="0"/>
                <w:sz w:val="18"/>
                <w:szCs w:val="18"/>
                <w:lang w:eastAsia="en-IN"/>
                <w14:ligatures w14:val="none"/>
              </w:rPr>
              <w:t>76</w:t>
            </w:r>
          </w:p>
        </w:tc>
        <w:tc>
          <w:tcPr>
            <w:tcW w:w="874" w:type="dxa"/>
            <w:tcBorders>
              <w:top w:val="nil"/>
              <w:left w:val="nil"/>
              <w:bottom w:val="single" w:sz="4" w:space="0" w:color="auto"/>
              <w:right w:val="single" w:sz="4" w:space="0" w:color="auto"/>
            </w:tcBorders>
            <w:vAlign w:val="center"/>
            <w:hideMark/>
          </w:tcPr>
          <w:p w14:paraId="72C68B90" w14:textId="77777777" w:rsidR="00F236AA" w:rsidRPr="000C2276" w:rsidRDefault="00F236AA" w:rsidP="000C2276">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0C2276">
              <w:rPr>
                <w:rFonts w:ascii="Times New Roman" w:eastAsia="Times New Roman" w:hAnsi="Times New Roman" w:cs="Times New Roman"/>
                <w:color w:val="000000"/>
                <w:kern w:val="0"/>
                <w:sz w:val="18"/>
                <w:szCs w:val="18"/>
                <w:lang w:eastAsia="en-IN"/>
                <w14:ligatures w14:val="none"/>
              </w:rPr>
              <w:t>3</w:t>
            </w:r>
          </w:p>
        </w:tc>
        <w:tc>
          <w:tcPr>
            <w:tcW w:w="935" w:type="dxa"/>
            <w:tcBorders>
              <w:top w:val="nil"/>
              <w:left w:val="nil"/>
              <w:bottom w:val="single" w:sz="4" w:space="0" w:color="auto"/>
              <w:right w:val="single" w:sz="4" w:space="0" w:color="auto"/>
            </w:tcBorders>
            <w:vAlign w:val="center"/>
            <w:hideMark/>
          </w:tcPr>
          <w:p w14:paraId="45E511CB" w14:textId="77777777" w:rsidR="00F236AA" w:rsidRPr="000C2276" w:rsidRDefault="00F236AA" w:rsidP="000C2276">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0C2276">
              <w:rPr>
                <w:rFonts w:ascii="Times New Roman" w:eastAsia="Times New Roman" w:hAnsi="Times New Roman" w:cs="Times New Roman"/>
                <w:color w:val="000000"/>
                <w:kern w:val="0"/>
                <w:sz w:val="18"/>
                <w:szCs w:val="18"/>
                <w:lang w:eastAsia="en-IN"/>
                <w14:ligatures w14:val="none"/>
              </w:rPr>
              <w:t>..</w:t>
            </w:r>
          </w:p>
        </w:tc>
        <w:tc>
          <w:tcPr>
            <w:tcW w:w="781" w:type="dxa"/>
            <w:tcBorders>
              <w:top w:val="nil"/>
              <w:left w:val="nil"/>
              <w:bottom w:val="single" w:sz="4" w:space="0" w:color="auto"/>
              <w:right w:val="single" w:sz="4" w:space="0" w:color="auto"/>
            </w:tcBorders>
            <w:vAlign w:val="center"/>
            <w:hideMark/>
          </w:tcPr>
          <w:p w14:paraId="7FE86399" w14:textId="77777777" w:rsidR="00F236AA" w:rsidRPr="000C2276" w:rsidRDefault="00F236AA" w:rsidP="000C2276">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0C2276">
              <w:rPr>
                <w:rFonts w:ascii="Times New Roman" w:eastAsia="Times New Roman" w:hAnsi="Times New Roman" w:cs="Times New Roman"/>
                <w:color w:val="000000"/>
                <w:kern w:val="0"/>
                <w:sz w:val="18"/>
                <w:szCs w:val="18"/>
                <w:lang w:eastAsia="en-IN"/>
                <w14:ligatures w14:val="none"/>
              </w:rPr>
              <w:t>8</w:t>
            </w:r>
          </w:p>
        </w:tc>
        <w:tc>
          <w:tcPr>
            <w:tcW w:w="895" w:type="dxa"/>
            <w:tcBorders>
              <w:top w:val="nil"/>
              <w:left w:val="nil"/>
              <w:bottom w:val="single" w:sz="4" w:space="0" w:color="auto"/>
              <w:right w:val="single" w:sz="4" w:space="0" w:color="auto"/>
            </w:tcBorders>
            <w:vAlign w:val="center"/>
            <w:hideMark/>
          </w:tcPr>
          <w:p w14:paraId="1141D008" w14:textId="77777777" w:rsidR="00F236AA" w:rsidRPr="000C2276" w:rsidRDefault="00F236AA" w:rsidP="000C2276">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0C2276">
              <w:rPr>
                <w:rFonts w:ascii="Times New Roman" w:eastAsia="Times New Roman" w:hAnsi="Times New Roman" w:cs="Times New Roman"/>
                <w:color w:val="000000"/>
                <w:kern w:val="0"/>
                <w:sz w:val="18"/>
                <w:szCs w:val="18"/>
                <w:lang w:eastAsia="en-IN"/>
                <w14:ligatures w14:val="none"/>
              </w:rPr>
              <w:t>274</w:t>
            </w:r>
          </w:p>
        </w:tc>
        <w:tc>
          <w:tcPr>
            <w:tcW w:w="854" w:type="dxa"/>
            <w:tcBorders>
              <w:top w:val="nil"/>
              <w:left w:val="nil"/>
              <w:bottom w:val="single" w:sz="4" w:space="0" w:color="auto"/>
              <w:right w:val="single" w:sz="4" w:space="0" w:color="auto"/>
            </w:tcBorders>
            <w:vAlign w:val="center"/>
            <w:hideMark/>
          </w:tcPr>
          <w:p w14:paraId="24D688AB" w14:textId="77777777" w:rsidR="00F236AA" w:rsidRPr="000C2276" w:rsidRDefault="00F236AA" w:rsidP="000C2276">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0C2276">
              <w:rPr>
                <w:rFonts w:ascii="Times New Roman" w:eastAsia="Times New Roman" w:hAnsi="Times New Roman" w:cs="Times New Roman"/>
                <w:color w:val="000000"/>
                <w:kern w:val="0"/>
                <w:sz w:val="18"/>
                <w:szCs w:val="18"/>
                <w:lang w:eastAsia="en-IN"/>
                <w14:ligatures w14:val="none"/>
              </w:rPr>
              <w:t>244</w:t>
            </w:r>
          </w:p>
        </w:tc>
        <w:tc>
          <w:tcPr>
            <w:tcW w:w="1280" w:type="dxa"/>
            <w:tcBorders>
              <w:top w:val="nil"/>
              <w:left w:val="nil"/>
              <w:bottom w:val="single" w:sz="4" w:space="0" w:color="auto"/>
              <w:right w:val="single" w:sz="4" w:space="0" w:color="auto"/>
            </w:tcBorders>
            <w:vAlign w:val="center"/>
            <w:hideMark/>
          </w:tcPr>
          <w:p w14:paraId="5545BFB8" w14:textId="77777777" w:rsidR="00F236AA" w:rsidRPr="000C2276" w:rsidRDefault="00F236AA" w:rsidP="000C2276">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0C2276">
              <w:rPr>
                <w:rFonts w:ascii="Times New Roman" w:eastAsia="Times New Roman" w:hAnsi="Times New Roman" w:cs="Times New Roman"/>
                <w:color w:val="000000"/>
                <w:kern w:val="0"/>
                <w:sz w:val="18"/>
                <w:szCs w:val="18"/>
                <w:lang w:eastAsia="en-IN"/>
                <w14:ligatures w14:val="none"/>
              </w:rPr>
              <w:t>52</w:t>
            </w:r>
          </w:p>
        </w:tc>
        <w:tc>
          <w:tcPr>
            <w:tcW w:w="833" w:type="dxa"/>
            <w:tcBorders>
              <w:top w:val="nil"/>
              <w:left w:val="nil"/>
              <w:bottom w:val="single" w:sz="4" w:space="0" w:color="auto"/>
              <w:right w:val="single" w:sz="4" w:space="0" w:color="auto"/>
            </w:tcBorders>
            <w:vAlign w:val="center"/>
            <w:hideMark/>
          </w:tcPr>
          <w:p w14:paraId="6FD8C723" w14:textId="77777777" w:rsidR="00F236AA" w:rsidRPr="000C2276" w:rsidRDefault="00F236AA" w:rsidP="000C2276">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0C2276">
              <w:rPr>
                <w:rFonts w:ascii="Times New Roman" w:eastAsia="Times New Roman" w:hAnsi="Times New Roman" w:cs="Times New Roman"/>
                <w:color w:val="000000"/>
                <w:kern w:val="0"/>
                <w:sz w:val="18"/>
                <w:szCs w:val="18"/>
                <w:lang w:eastAsia="en-IN"/>
                <w14:ligatures w14:val="none"/>
              </w:rPr>
              <w:t>..</w:t>
            </w:r>
          </w:p>
        </w:tc>
        <w:tc>
          <w:tcPr>
            <w:tcW w:w="752" w:type="dxa"/>
            <w:tcBorders>
              <w:top w:val="nil"/>
              <w:left w:val="nil"/>
              <w:bottom w:val="single" w:sz="4" w:space="0" w:color="auto"/>
              <w:right w:val="single" w:sz="4" w:space="0" w:color="auto"/>
            </w:tcBorders>
            <w:vAlign w:val="center"/>
            <w:hideMark/>
          </w:tcPr>
          <w:p w14:paraId="6A5C8CFD" w14:textId="77777777" w:rsidR="00F236AA" w:rsidRPr="000C2276" w:rsidRDefault="00F236AA" w:rsidP="000C2276">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0C2276">
              <w:rPr>
                <w:rFonts w:ascii="Times New Roman" w:eastAsia="Times New Roman" w:hAnsi="Times New Roman" w:cs="Times New Roman"/>
                <w:color w:val="000000"/>
                <w:kern w:val="0"/>
                <w:sz w:val="18"/>
                <w:szCs w:val="18"/>
                <w:lang w:eastAsia="en-IN"/>
                <w14:ligatures w14:val="none"/>
              </w:rPr>
              <w:t>16</w:t>
            </w:r>
          </w:p>
        </w:tc>
        <w:tc>
          <w:tcPr>
            <w:tcW w:w="814" w:type="dxa"/>
            <w:tcBorders>
              <w:top w:val="nil"/>
              <w:left w:val="nil"/>
              <w:bottom w:val="single" w:sz="4" w:space="0" w:color="auto"/>
              <w:right w:val="single" w:sz="4" w:space="0" w:color="auto"/>
            </w:tcBorders>
            <w:vAlign w:val="center"/>
            <w:hideMark/>
          </w:tcPr>
          <w:p w14:paraId="7B99A8BD" w14:textId="77777777" w:rsidR="00F236AA" w:rsidRPr="000C2276" w:rsidRDefault="00F236AA" w:rsidP="000C2276">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0C2276">
              <w:rPr>
                <w:rFonts w:ascii="Times New Roman" w:eastAsia="Times New Roman" w:hAnsi="Times New Roman" w:cs="Times New Roman"/>
                <w:color w:val="000000"/>
                <w:kern w:val="0"/>
                <w:sz w:val="18"/>
                <w:szCs w:val="18"/>
                <w:lang w:eastAsia="en-IN"/>
                <w14:ligatures w14:val="none"/>
              </w:rPr>
              <w:t>..</w:t>
            </w:r>
          </w:p>
        </w:tc>
        <w:tc>
          <w:tcPr>
            <w:tcW w:w="1047" w:type="dxa"/>
            <w:tcBorders>
              <w:top w:val="nil"/>
              <w:left w:val="nil"/>
              <w:bottom w:val="single" w:sz="4" w:space="0" w:color="auto"/>
              <w:right w:val="single" w:sz="4" w:space="0" w:color="auto"/>
            </w:tcBorders>
            <w:vAlign w:val="center"/>
            <w:hideMark/>
          </w:tcPr>
          <w:p w14:paraId="50EB4AE7" w14:textId="77777777" w:rsidR="00F236AA" w:rsidRPr="000C2276" w:rsidRDefault="00F236AA" w:rsidP="000C2276">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0C2276">
              <w:rPr>
                <w:rFonts w:ascii="Times New Roman" w:eastAsia="Times New Roman" w:hAnsi="Times New Roman" w:cs="Times New Roman"/>
                <w:color w:val="000000"/>
                <w:kern w:val="0"/>
                <w:sz w:val="18"/>
                <w:szCs w:val="18"/>
                <w:lang w:eastAsia="en-IN"/>
                <w14:ligatures w14:val="none"/>
              </w:rPr>
              <w:t>57</w:t>
            </w:r>
          </w:p>
        </w:tc>
        <w:tc>
          <w:tcPr>
            <w:tcW w:w="882" w:type="dxa"/>
            <w:tcBorders>
              <w:top w:val="nil"/>
              <w:left w:val="nil"/>
              <w:bottom w:val="single" w:sz="4" w:space="0" w:color="auto"/>
              <w:right w:val="single" w:sz="4" w:space="0" w:color="auto"/>
            </w:tcBorders>
            <w:vAlign w:val="center"/>
            <w:hideMark/>
          </w:tcPr>
          <w:p w14:paraId="6DA55DA7" w14:textId="77777777" w:rsidR="00F236AA" w:rsidRPr="000C2276" w:rsidRDefault="00F236AA" w:rsidP="000C2276">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0C2276">
              <w:rPr>
                <w:rFonts w:ascii="Times New Roman" w:eastAsia="Times New Roman" w:hAnsi="Times New Roman" w:cs="Times New Roman"/>
                <w:color w:val="000000"/>
                <w:kern w:val="0"/>
                <w:sz w:val="18"/>
                <w:szCs w:val="18"/>
                <w:lang w:eastAsia="en-IN"/>
                <w14:ligatures w14:val="none"/>
              </w:rPr>
              <w:t>20</w:t>
            </w:r>
          </w:p>
        </w:tc>
        <w:tc>
          <w:tcPr>
            <w:tcW w:w="782" w:type="dxa"/>
            <w:tcBorders>
              <w:top w:val="nil"/>
              <w:left w:val="nil"/>
              <w:bottom w:val="single" w:sz="4" w:space="0" w:color="auto"/>
              <w:right w:val="single" w:sz="4" w:space="0" w:color="auto"/>
            </w:tcBorders>
            <w:vAlign w:val="center"/>
            <w:hideMark/>
          </w:tcPr>
          <w:p w14:paraId="7C06B26C" w14:textId="77777777" w:rsidR="00F236AA" w:rsidRPr="000C2276" w:rsidRDefault="00F236AA" w:rsidP="000C2276">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0C2276">
              <w:rPr>
                <w:rFonts w:ascii="Times New Roman" w:eastAsia="Times New Roman" w:hAnsi="Times New Roman" w:cs="Times New Roman"/>
                <w:color w:val="000000"/>
                <w:kern w:val="0"/>
                <w:sz w:val="18"/>
                <w:szCs w:val="18"/>
                <w:lang w:eastAsia="en-IN"/>
                <w14:ligatures w14:val="none"/>
              </w:rPr>
              <w:t>..</w:t>
            </w:r>
          </w:p>
        </w:tc>
        <w:tc>
          <w:tcPr>
            <w:tcW w:w="752" w:type="dxa"/>
            <w:tcBorders>
              <w:top w:val="nil"/>
              <w:left w:val="nil"/>
              <w:bottom w:val="single" w:sz="4" w:space="0" w:color="auto"/>
              <w:right w:val="single" w:sz="4" w:space="0" w:color="auto"/>
            </w:tcBorders>
            <w:vAlign w:val="center"/>
            <w:hideMark/>
          </w:tcPr>
          <w:p w14:paraId="27F7C2A9" w14:textId="77777777" w:rsidR="00F236AA" w:rsidRPr="000C2276" w:rsidRDefault="00F236AA" w:rsidP="000C2276">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0C2276">
              <w:rPr>
                <w:rFonts w:ascii="Times New Roman" w:eastAsia="Times New Roman" w:hAnsi="Times New Roman" w:cs="Times New Roman"/>
                <w:color w:val="000000"/>
                <w:kern w:val="0"/>
                <w:sz w:val="18"/>
                <w:szCs w:val="18"/>
                <w:lang w:eastAsia="en-IN"/>
                <w14:ligatures w14:val="none"/>
              </w:rPr>
              <w:t>910</w:t>
            </w:r>
          </w:p>
        </w:tc>
      </w:tr>
      <w:tr w:rsidR="000C2276" w:rsidRPr="000C2276" w14:paraId="6329D037" w14:textId="77777777" w:rsidTr="000C2276">
        <w:trPr>
          <w:trHeight w:val="340"/>
          <w:jc w:val="center"/>
        </w:trPr>
        <w:tc>
          <w:tcPr>
            <w:tcW w:w="1026" w:type="dxa"/>
            <w:tcBorders>
              <w:top w:val="nil"/>
              <w:left w:val="single" w:sz="4" w:space="0" w:color="auto"/>
              <w:bottom w:val="single" w:sz="4" w:space="0" w:color="auto"/>
              <w:right w:val="single" w:sz="4" w:space="0" w:color="auto"/>
            </w:tcBorders>
            <w:vAlign w:val="center"/>
            <w:hideMark/>
          </w:tcPr>
          <w:p w14:paraId="29EB16EC" w14:textId="77777777" w:rsidR="00F236AA" w:rsidRPr="000C2276" w:rsidRDefault="00F236AA" w:rsidP="00F236AA">
            <w:pPr>
              <w:spacing w:after="0" w:line="240" w:lineRule="auto"/>
              <w:rPr>
                <w:rFonts w:ascii="Times New Roman" w:eastAsia="Times New Roman" w:hAnsi="Times New Roman" w:cs="Times New Roman"/>
                <w:color w:val="000000"/>
                <w:kern w:val="0"/>
                <w:sz w:val="18"/>
                <w:szCs w:val="18"/>
                <w:lang w:eastAsia="en-IN"/>
                <w14:ligatures w14:val="none"/>
              </w:rPr>
            </w:pPr>
            <w:r w:rsidRPr="000C2276">
              <w:rPr>
                <w:rFonts w:ascii="Times New Roman" w:eastAsia="Times New Roman" w:hAnsi="Times New Roman" w:cs="Times New Roman"/>
                <w:color w:val="000000"/>
                <w:kern w:val="0"/>
                <w:sz w:val="18"/>
                <w:szCs w:val="18"/>
                <w:lang w:eastAsia="en-IN"/>
                <w14:ligatures w14:val="none"/>
              </w:rPr>
              <w:t>May</w:t>
            </w:r>
          </w:p>
        </w:tc>
        <w:tc>
          <w:tcPr>
            <w:tcW w:w="882" w:type="dxa"/>
            <w:tcBorders>
              <w:top w:val="nil"/>
              <w:left w:val="nil"/>
              <w:bottom w:val="single" w:sz="4" w:space="0" w:color="auto"/>
              <w:right w:val="single" w:sz="4" w:space="0" w:color="auto"/>
            </w:tcBorders>
            <w:vAlign w:val="center"/>
            <w:hideMark/>
          </w:tcPr>
          <w:p w14:paraId="3ADB270A" w14:textId="77777777" w:rsidR="00F236AA" w:rsidRPr="000C2276" w:rsidRDefault="00F236AA" w:rsidP="000C2276">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0C2276">
              <w:rPr>
                <w:rFonts w:ascii="Times New Roman" w:eastAsia="Times New Roman" w:hAnsi="Times New Roman" w:cs="Times New Roman"/>
                <w:color w:val="000000"/>
                <w:kern w:val="0"/>
                <w:sz w:val="18"/>
                <w:szCs w:val="18"/>
                <w:lang w:eastAsia="en-IN"/>
                <w14:ligatures w14:val="none"/>
              </w:rPr>
              <w:t>12</w:t>
            </w:r>
          </w:p>
        </w:tc>
        <w:tc>
          <w:tcPr>
            <w:tcW w:w="763" w:type="dxa"/>
            <w:tcBorders>
              <w:top w:val="nil"/>
              <w:left w:val="nil"/>
              <w:bottom w:val="single" w:sz="4" w:space="0" w:color="auto"/>
              <w:right w:val="single" w:sz="4" w:space="0" w:color="auto"/>
            </w:tcBorders>
            <w:vAlign w:val="center"/>
            <w:hideMark/>
          </w:tcPr>
          <w:p w14:paraId="0475732B" w14:textId="77777777" w:rsidR="00F236AA" w:rsidRPr="000C2276" w:rsidRDefault="00F236AA" w:rsidP="000C2276">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0C2276">
              <w:rPr>
                <w:rFonts w:ascii="Times New Roman" w:eastAsia="Times New Roman" w:hAnsi="Times New Roman" w:cs="Times New Roman"/>
                <w:color w:val="000000"/>
                <w:kern w:val="0"/>
                <w:sz w:val="18"/>
                <w:szCs w:val="18"/>
                <w:lang w:eastAsia="en-IN"/>
                <w14:ligatures w14:val="none"/>
              </w:rPr>
              <w:t>..</w:t>
            </w:r>
          </w:p>
        </w:tc>
        <w:tc>
          <w:tcPr>
            <w:tcW w:w="692" w:type="dxa"/>
            <w:tcBorders>
              <w:top w:val="nil"/>
              <w:left w:val="nil"/>
              <w:bottom w:val="single" w:sz="4" w:space="0" w:color="auto"/>
              <w:right w:val="single" w:sz="4" w:space="0" w:color="auto"/>
            </w:tcBorders>
            <w:vAlign w:val="center"/>
            <w:hideMark/>
          </w:tcPr>
          <w:p w14:paraId="28CFE581" w14:textId="77777777" w:rsidR="00F236AA" w:rsidRPr="000C2276" w:rsidRDefault="00F236AA" w:rsidP="000C2276">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0C2276">
              <w:rPr>
                <w:rFonts w:ascii="Times New Roman" w:eastAsia="Times New Roman" w:hAnsi="Times New Roman" w:cs="Times New Roman"/>
                <w:color w:val="000000"/>
                <w:kern w:val="0"/>
                <w:sz w:val="18"/>
                <w:szCs w:val="18"/>
                <w:lang w:eastAsia="en-IN"/>
                <w14:ligatures w14:val="none"/>
              </w:rPr>
              <w:t>..</w:t>
            </w:r>
          </w:p>
        </w:tc>
        <w:tc>
          <w:tcPr>
            <w:tcW w:w="874" w:type="dxa"/>
            <w:tcBorders>
              <w:top w:val="nil"/>
              <w:left w:val="nil"/>
              <w:bottom w:val="single" w:sz="4" w:space="0" w:color="auto"/>
              <w:right w:val="single" w:sz="4" w:space="0" w:color="auto"/>
            </w:tcBorders>
            <w:vAlign w:val="center"/>
            <w:hideMark/>
          </w:tcPr>
          <w:p w14:paraId="4AA45822" w14:textId="77777777" w:rsidR="00F236AA" w:rsidRPr="000C2276" w:rsidRDefault="00F236AA" w:rsidP="000C2276">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0C2276">
              <w:rPr>
                <w:rFonts w:ascii="Times New Roman" w:eastAsia="Times New Roman" w:hAnsi="Times New Roman" w:cs="Times New Roman"/>
                <w:color w:val="000000"/>
                <w:kern w:val="0"/>
                <w:sz w:val="18"/>
                <w:szCs w:val="18"/>
                <w:lang w:eastAsia="en-IN"/>
                <w14:ligatures w14:val="none"/>
              </w:rPr>
              <w:t>6</w:t>
            </w:r>
          </w:p>
        </w:tc>
        <w:tc>
          <w:tcPr>
            <w:tcW w:w="935" w:type="dxa"/>
            <w:tcBorders>
              <w:top w:val="nil"/>
              <w:left w:val="nil"/>
              <w:bottom w:val="single" w:sz="4" w:space="0" w:color="auto"/>
              <w:right w:val="single" w:sz="4" w:space="0" w:color="auto"/>
            </w:tcBorders>
            <w:vAlign w:val="center"/>
            <w:hideMark/>
          </w:tcPr>
          <w:p w14:paraId="1DD5FB20" w14:textId="77777777" w:rsidR="00F236AA" w:rsidRPr="000C2276" w:rsidRDefault="00F236AA" w:rsidP="000C2276">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0C2276">
              <w:rPr>
                <w:rFonts w:ascii="Times New Roman" w:eastAsia="Times New Roman" w:hAnsi="Times New Roman" w:cs="Times New Roman"/>
                <w:color w:val="000000"/>
                <w:kern w:val="0"/>
                <w:sz w:val="18"/>
                <w:szCs w:val="18"/>
                <w:lang w:eastAsia="en-IN"/>
                <w14:ligatures w14:val="none"/>
              </w:rPr>
              <w:t>..</w:t>
            </w:r>
          </w:p>
        </w:tc>
        <w:tc>
          <w:tcPr>
            <w:tcW w:w="781" w:type="dxa"/>
            <w:tcBorders>
              <w:top w:val="nil"/>
              <w:left w:val="nil"/>
              <w:bottom w:val="single" w:sz="4" w:space="0" w:color="auto"/>
              <w:right w:val="single" w:sz="4" w:space="0" w:color="auto"/>
            </w:tcBorders>
            <w:vAlign w:val="center"/>
            <w:hideMark/>
          </w:tcPr>
          <w:p w14:paraId="350FCE3F" w14:textId="77777777" w:rsidR="00F236AA" w:rsidRPr="000C2276" w:rsidRDefault="00F236AA" w:rsidP="000C2276">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0C2276">
              <w:rPr>
                <w:rFonts w:ascii="Times New Roman" w:eastAsia="Times New Roman" w:hAnsi="Times New Roman" w:cs="Times New Roman"/>
                <w:color w:val="000000"/>
                <w:kern w:val="0"/>
                <w:sz w:val="18"/>
                <w:szCs w:val="18"/>
                <w:lang w:eastAsia="en-IN"/>
                <w14:ligatures w14:val="none"/>
              </w:rPr>
              <w:t>7</w:t>
            </w:r>
          </w:p>
        </w:tc>
        <w:tc>
          <w:tcPr>
            <w:tcW w:w="895" w:type="dxa"/>
            <w:tcBorders>
              <w:top w:val="nil"/>
              <w:left w:val="nil"/>
              <w:bottom w:val="single" w:sz="4" w:space="0" w:color="auto"/>
              <w:right w:val="single" w:sz="4" w:space="0" w:color="auto"/>
            </w:tcBorders>
            <w:vAlign w:val="center"/>
            <w:hideMark/>
          </w:tcPr>
          <w:p w14:paraId="3A6815A3" w14:textId="77777777" w:rsidR="00F236AA" w:rsidRPr="000C2276" w:rsidRDefault="00F236AA" w:rsidP="000C2276">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0C2276">
              <w:rPr>
                <w:rFonts w:ascii="Times New Roman" w:eastAsia="Times New Roman" w:hAnsi="Times New Roman" w:cs="Times New Roman"/>
                <w:color w:val="000000"/>
                <w:kern w:val="0"/>
                <w:sz w:val="18"/>
                <w:szCs w:val="18"/>
                <w:lang w:eastAsia="en-IN"/>
                <w14:ligatures w14:val="none"/>
              </w:rPr>
              <w:t>4</w:t>
            </w:r>
          </w:p>
        </w:tc>
        <w:tc>
          <w:tcPr>
            <w:tcW w:w="854" w:type="dxa"/>
            <w:tcBorders>
              <w:top w:val="nil"/>
              <w:left w:val="nil"/>
              <w:bottom w:val="single" w:sz="4" w:space="0" w:color="auto"/>
              <w:right w:val="single" w:sz="4" w:space="0" w:color="auto"/>
            </w:tcBorders>
            <w:vAlign w:val="center"/>
            <w:hideMark/>
          </w:tcPr>
          <w:p w14:paraId="4612E462" w14:textId="77777777" w:rsidR="00F236AA" w:rsidRPr="000C2276" w:rsidRDefault="00F236AA" w:rsidP="000C2276">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0C2276">
              <w:rPr>
                <w:rFonts w:ascii="Times New Roman" w:eastAsia="Times New Roman" w:hAnsi="Times New Roman" w:cs="Times New Roman"/>
                <w:color w:val="000000"/>
                <w:kern w:val="0"/>
                <w:sz w:val="18"/>
                <w:szCs w:val="18"/>
                <w:lang w:eastAsia="en-IN"/>
                <w14:ligatures w14:val="none"/>
              </w:rPr>
              <w:t>41</w:t>
            </w:r>
          </w:p>
        </w:tc>
        <w:tc>
          <w:tcPr>
            <w:tcW w:w="1280" w:type="dxa"/>
            <w:tcBorders>
              <w:top w:val="nil"/>
              <w:left w:val="nil"/>
              <w:bottom w:val="single" w:sz="4" w:space="0" w:color="auto"/>
              <w:right w:val="single" w:sz="4" w:space="0" w:color="auto"/>
            </w:tcBorders>
            <w:vAlign w:val="center"/>
            <w:hideMark/>
          </w:tcPr>
          <w:p w14:paraId="5DD05918" w14:textId="77777777" w:rsidR="00F236AA" w:rsidRPr="000C2276" w:rsidRDefault="00F236AA" w:rsidP="000C2276">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0C2276">
              <w:rPr>
                <w:rFonts w:ascii="Times New Roman" w:eastAsia="Times New Roman" w:hAnsi="Times New Roman" w:cs="Times New Roman"/>
                <w:color w:val="000000"/>
                <w:kern w:val="0"/>
                <w:sz w:val="18"/>
                <w:szCs w:val="18"/>
                <w:lang w:eastAsia="en-IN"/>
                <w14:ligatures w14:val="none"/>
              </w:rPr>
              <w:t>7</w:t>
            </w:r>
          </w:p>
        </w:tc>
        <w:tc>
          <w:tcPr>
            <w:tcW w:w="833" w:type="dxa"/>
            <w:tcBorders>
              <w:top w:val="nil"/>
              <w:left w:val="nil"/>
              <w:bottom w:val="single" w:sz="4" w:space="0" w:color="auto"/>
              <w:right w:val="single" w:sz="4" w:space="0" w:color="auto"/>
            </w:tcBorders>
            <w:vAlign w:val="center"/>
            <w:hideMark/>
          </w:tcPr>
          <w:p w14:paraId="1CF6D13A" w14:textId="77777777" w:rsidR="00F236AA" w:rsidRPr="000C2276" w:rsidRDefault="00F236AA" w:rsidP="000C2276">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0C2276">
              <w:rPr>
                <w:rFonts w:ascii="Times New Roman" w:eastAsia="Times New Roman" w:hAnsi="Times New Roman" w:cs="Times New Roman"/>
                <w:color w:val="000000"/>
                <w:kern w:val="0"/>
                <w:sz w:val="18"/>
                <w:szCs w:val="18"/>
                <w:lang w:eastAsia="en-IN"/>
                <w14:ligatures w14:val="none"/>
              </w:rPr>
              <w:t>17</w:t>
            </w:r>
          </w:p>
        </w:tc>
        <w:tc>
          <w:tcPr>
            <w:tcW w:w="752" w:type="dxa"/>
            <w:tcBorders>
              <w:top w:val="nil"/>
              <w:left w:val="nil"/>
              <w:bottom w:val="single" w:sz="4" w:space="0" w:color="auto"/>
              <w:right w:val="single" w:sz="4" w:space="0" w:color="auto"/>
            </w:tcBorders>
            <w:vAlign w:val="center"/>
            <w:hideMark/>
          </w:tcPr>
          <w:p w14:paraId="43C559F0" w14:textId="77777777" w:rsidR="00F236AA" w:rsidRPr="000C2276" w:rsidRDefault="00F236AA" w:rsidP="000C2276">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0C2276">
              <w:rPr>
                <w:rFonts w:ascii="Times New Roman" w:eastAsia="Times New Roman" w:hAnsi="Times New Roman" w:cs="Times New Roman"/>
                <w:color w:val="000000"/>
                <w:kern w:val="0"/>
                <w:sz w:val="18"/>
                <w:szCs w:val="18"/>
                <w:lang w:eastAsia="en-IN"/>
                <w14:ligatures w14:val="none"/>
              </w:rPr>
              <w:t>34</w:t>
            </w:r>
          </w:p>
        </w:tc>
        <w:tc>
          <w:tcPr>
            <w:tcW w:w="814" w:type="dxa"/>
            <w:tcBorders>
              <w:top w:val="nil"/>
              <w:left w:val="nil"/>
              <w:bottom w:val="single" w:sz="4" w:space="0" w:color="auto"/>
              <w:right w:val="single" w:sz="4" w:space="0" w:color="auto"/>
            </w:tcBorders>
            <w:vAlign w:val="center"/>
            <w:hideMark/>
          </w:tcPr>
          <w:p w14:paraId="05182B0D" w14:textId="77777777" w:rsidR="00F236AA" w:rsidRPr="000C2276" w:rsidRDefault="00F236AA" w:rsidP="000C2276">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0C2276">
              <w:rPr>
                <w:rFonts w:ascii="Times New Roman" w:eastAsia="Times New Roman" w:hAnsi="Times New Roman" w:cs="Times New Roman"/>
                <w:color w:val="000000"/>
                <w:kern w:val="0"/>
                <w:sz w:val="18"/>
                <w:szCs w:val="18"/>
                <w:lang w:eastAsia="en-IN"/>
                <w14:ligatures w14:val="none"/>
              </w:rPr>
              <w:t>..</w:t>
            </w:r>
          </w:p>
        </w:tc>
        <w:tc>
          <w:tcPr>
            <w:tcW w:w="1047" w:type="dxa"/>
            <w:tcBorders>
              <w:top w:val="nil"/>
              <w:left w:val="nil"/>
              <w:bottom w:val="single" w:sz="4" w:space="0" w:color="auto"/>
              <w:right w:val="single" w:sz="4" w:space="0" w:color="auto"/>
            </w:tcBorders>
            <w:vAlign w:val="center"/>
            <w:hideMark/>
          </w:tcPr>
          <w:p w14:paraId="0B38438E" w14:textId="77777777" w:rsidR="00F236AA" w:rsidRPr="000C2276" w:rsidRDefault="00F236AA" w:rsidP="000C2276">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0C2276">
              <w:rPr>
                <w:rFonts w:ascii="Times New Roman" w:eastAsia="Times New Roman" w:hAnsi="Times New Roman" w:cs="Times New Roman"/>
                <w:color w:val="000000"/>
                <w:kern w:val="0"/>
                <w:sz w:val="18"/>
                <w:szCs w:val="18"/>
                <w:lang w:eastAsia="en-IN"/>
                <w14:ligatures w14:val="none"/>
              </w:rPr>
              <w:t>82</w:t>
            </w:r>
          </w:p>
        </w:tc>
        <w:tc>
          <w:tcPr>
            <w:tcW w:w="882" w:type="dxa"/>
            <w:tcBorders>
              <w:top w:val="nil"/>
              <w:left w:val="nil"/>
              <w:bottom w:val="single" w:sz="4" w:space="0" w:color="auto"/>
              <w:right w:val="single" w:sz="4" w:space="0" w:color="auto"/>
            </w:tcBorders>
            <w:vAlign w:val="center"/>
            <w:hideMark/>
          </w:tcPr>
          <w:p w14:paraId="08844A0C" w14:textId="77777777" w:rsidR="00F236AA" w:rsidRPr="000C2276" w:rsidRDefault="00F236AA" w:rsidP="000C2276">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0C2276">
              <w:rPr>
                <w:rFonts w:ascii="Times New Roman" w:eastAsia="Times New Roman" w:hAnsi="Times New Roman" w:cs="Times New Roman"/>
                <w:color w:val="000000"/>
                <w:kern w:val="0"/>
                <w:sz w:val="18"/>
                <w:szCs w:val="18"/>
                <w:lang w:eastAsia="en-IN"/>
                <w14:ligatures w14:val="none"/>
              </w:rPr>
              <w:t>305</w:t>
            </w:r>
          </w:p>
        </w:tc>
        <w:tc>
          <w:tcPr>
            <w:tcW w:w="782" w:type="dxa"/>
            <w:tcBorders>
              <w:top w:val="nil"/>
              <w:left w:val="nil"/>
              <w:bottom w:val="single" w:sz="4" w:space="0" w:color="auto"/>
              <w:right w:val="single" w:sz="4" w:space="0" w:color="auto"/>
            </w:tcBorders>
            <w:vAlign w:val="center"/>
            <w:hideMark/>
          </w:tcPr>
          <w:p w14:paraId="56196F52" w14:textId="77777777" w:rsidR="00F236AA" w:rsidRPr="000C2276" w:rsidRDefault="00F236AA" w:rsidP="000C2276">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0C2276">
              <w:rPr>
                <w:rFonts w:ascii="Times New Roman" w:eastAsia="Times New Roman" w:hAnsi="Times New Roman" w:cs="Times New Roman"/>
                <w:color w:val="000000"/>
                <w:kern w:val="0"/>
                <w:sz w:val="18"/>
                <w:szCs w:val="18"/>
                <w:lang w:eastAsia="en-IN"/>
                <w14:ligatures w14:val="none"/>
              </w:rPr>
              <w:t>113</w:t>
            </w:r>
          </w:p>
        </w:tc>
        <w:tc>
          <w:tcPr>
            <w:tcW w:w="752" w:type="dxa"/>
            <w:tcBorders>
              <w:top w:val="nil"/>
              <w:left w:val="nil"/>
              <w:bottom w:val="single" w:sz="4" w:space="0" w:color="auto"/>
              <w:right w:val="single" w:sz="4" w:space="0" w:color="auto"/>
            </w:tcBorders>
            <w:vAlign w:val="center"/>
            <w:hideMark/>
          </w:tcPr>
          <w:p w14:paraId="28D08923" w14:textId="77777777" w:rsidR="00F236AA" w:rsidRPr="000C2276" w:rsidRDefault="00F236AA" w:rsidP="000C2276">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0C2276">
              <w:rPr>
                <w:rFonts w:ascii="Times New Roman" w:eastAsia="Times New Roman" w:hAnsi="Times New Roman" w:cs="Times New Roman"/>
                <w:color w:val="000000"/>
                <w:kern w:val="0"/>
                <w:sz w:val="18"/>
                <w:szCs w:val="18"/>
                <w:lang w:eastAsia="en-IN"/>
                <w14:ligatures w14:val="none"/>
              </w:rPr>
              <w:t>628</w:t>
            </w:r>
          </w:p>
        </w:tc>
      </w:tr>
      <w:tr w:rsidR="000C2276" w:rsidRPr="000C2276" w14:paraId="3B0F5CFF" w14:textId="77777777" w:rsidTr="000C2276">
        <w:trPr>
          <w:trHeight w:val="340"/>
          <w:jc w:val="center"/>
        </w:trPr>
        <w:tc>
          <w:tcPr>
            <w:tcW w:w="1026" w:type="dxa"/>
            <w:tcBorders>
              <w:top w:val="nil"/>
              <w:left w:val="single" w:sz="4" w:space="0" w:color="auto"/>
              <w:bottom w:val="single" w:sz="4" w:space="0" w:color="auto"/>
              <w:right w:val="single" w:sz="4" w:space="0" w:color="auto"/>
            </w:tcBorders>
            <w:vAlign w:val="center"/>
            <w:hideMark/>
          </w:tcPr>
          <w:p w14:paraId="5625B947" w14:textId="77777777" w:rsidR="00F236AA" w:rsidRPr="000C2276" w:rsidRDefault="00F236AA" w:rsidP="00F236AA">
            <w:pPr>
              <w:spacing w:after="0" w:line="240" w:lineRule="auto"/>
              <w:rPr>
                <w:rFonts w:ascii="Times New Roman" w:eastAsia="Times New Roman" w:hAnsi="Times New Roman" w:cs="Times New Roman"/>
                <w:color w:val="000000"/>
                <w:kern w:val="0"/>
                <w:sz w:val="18"/>
                <w:szCs w:val="18"/>
                <w:lang w:eastAsia="en-IN"/>
                <w14:ligatures w14:val="none"/>
              </w:rPr>
            </w:pPr>
            <w:r w:rsidRPr="000C2276">
              <w:rPr>
                <w:rFonts w:ascii="Times New Roman" w:eastAsia="Times New Roman" w:hAnsi="Times New Roman" w:cs="Times New Roman"/>
                <w:color w:val="000000"/>
                <w:kern w:val="0"/>
                <w:sz w:val="18"/>
                <w:szCs w:val="18"/>
                <w:lang w:eastAsia="en-IN"/>
                <w14:ligatures w14:val="none"/>
              </w:rPr>
              <w:t>June</w:t>
            </w:r>
          </w:p>
        </w:tc>
        <w:tc>
          <w:tcPr>
            <w:tcW w:w="882" w:type="dxa"/>
            <w:tcBorders>
              <w:top w:val="nil"/>
              <w:left w:val="nil"/>
              <w:bottom w:val="single" w:sz="4" w:space="0" w:color="auto"/>
              <w:right w:val="single" w:sz="4" w:space="0" w:color="auto"/>
            </w:tcBorders>
            <w:vAlign w:val="center"/>
            <w:hideMark/>
          </w:tcPr>
          <w:p w14:paraId="0041B6D5" w14:textId="77777777" w:rsidR="00F236AA" w:rsidRPr="000C2276" w:rsidRDefault="00F236AA" w:rsidP="000C2276">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0C2276">
              <w:rPr>
                <w:rFonts w:ascii="Times New Roman" w:eastAsia="Times New Roman" w:hAnsi="Times New Roman" w:cs="Times New Roman"/>
                <w:color w:val="000000"/>
                <w:kern w:val="0"/>
                <w:sz w:val="18"/>
                <w:szCs w:val="18"/>
                <w:lang w:eastAsia="en-IN"/>
                <w14:ligatures w14:val="none"/>
              </w:rPr>
              <w:t>72</w:t>
            </w:r>
          </w:p>
        </w:tc>
        <w:tc>
          <w:tcPr>
            <w:tcW w:w="763" w:type="dxa"/>
            <w:tcBorders>
              <w:top w:val="nil"/>
              <w:left w:val="nil"/>
              <w:bottom w:val="single" w:sz="4" w:space="0" w:color="auto"/>
              <w:right w:val="single" w:sz="4" w:space="0" w:color="auto"/>
            </w:tcBorders>
            <w:vAlign w:val="center"/>
            <w:hideMark/>
          </w:tcPr>
          <w:p w14:paraId="740FBB47" w14:textId="77777777" w:rsidR="00F236AA" w:rsidRPr="000C2276" w:rsidRDefault="00F236AA" w:rsidP="000C2276">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0C2276">
              <w:rPr>
                <w:rFonts w:ascii="Times New Roman" w:eastAsia="Times New Roman" w:hAnsi="Times New Roman" w:cs="Times New Roman"/>
                <w:color w:val="000000"/>
                <w:kern w:val="0"/>
                <w:sz w:val="18"/>
                <w:szCs w:val="18"/>
                <w:lang w:eastAsia="en-IN"/>
                <w14:ligatures w14:val="none"/>
              </w:rPr>
              <w:t>..</w:t>
            </w:r>
          </w:p>
        </w:tc>
        <w:tc>
          <w:tcPr>
            <w:tcW w:w="692" w:type="dxa"/>
            <w:tcBorders>
              <w:top w:val="nil"/>
              <w:left w:val="nil"/>
              <w:bottom w:val="single" w:sz="4" w:space="0" w:color="auto"/>
              <w:right w:val="single" w:sz="4" w:space="0" w:color="auto"/>
            </w:tcBorders>
            <w:vAlign w:val="center"/>
            <w:hideMark/>
          </w:tcPr>
          <w:p w14:paraId="1A9091F3" w14:textId="77777777" w:rsidR="00F236AA" w:rsidRPr="000C2276" w:rsidRDefault="00F236AA" w:rsidP="000C2276">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0C2276">
              <w:rPr>
                <w:rFonts w:ascii="Times New Roman" w:eastAsia="Times New Roman" w:hAnsi="Times New Roman" w:cs="Times New Roman"/>
                <w:color w:val="000000"/>
                <w:kern w:val="0"/>
                <w:sz w:val="18"/>
                <w:szCs w:val="18"/>
                <w:lang w:eastAsia="en-IN"/>
                <w14:ligatures w14:val="none"/>
              </w:rPr>
              <w:t>758</w:t>
            </w:r>
          </w:p>
        </w:tc>
        <w:tc>
          <w:tcPr>
            <w:tcW w:w="874" w:type="dxa"/>
            <w:tcBorders>
              <w:top w:val="nil"/>
              <w:left w:val="nil"/>
              <w:bottom w:val="single" w:sz="4" w:space="0" w:color="auto"/>
              <w:right w:val="single" w:sz="4" w:space="0" w:color="auto"/>
            </w:tcBorders>
            <w:vAlign w:val="center"/>
            <w:hideMark/>
          </w:tcPr>
          <w:p w14:paraId="373BE295" w14:textId="77777777" w:rsidR="00F236AA" w:rsidRPr="000C2276" w:rsidRDefault="00F236AA" w:rsidP="000C2276">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0C2276">
              <w:rPr>
                <w:rFonts w:ascii="Times New Roman" w:eastAsia="Times New Roman" w:hAnsi="Times New Roman" w:cs="Times New Roman"/>
                <w:color w:val="000000"/>
                <w:kern w:val="0"/>
                <w:sz w:val="18"/>
                <w:szCs w:val="18"/>
                <w:lang w:eastAsia="en-IN"/>
                <w14:ligatures w14:val="none"/>
              </w:rPr>
              <w:t>9</w:t>
            </w:r>
          </w:p>
        </w:tc>
        <w:tc>
          <w:tcPr>
            <w:tcW w:w="935" w:type="dxa"/>
            <w:tcBorders>
              <w:top w:val="nil"/>
              <w:left w:val="nil"/>
              <w:bottom w:val="single" w:sz="4" w:space="0" w:color="auto"/>
              <w:right w:val="single" w:sz="4" w:space="0" w:color="auto"/>
            </w:tcBorders>
            <w:vAlign w:val="center"/>
            <w:hideMark/>
          </w:tcPr>
          <w:p w14:paraId="0F7036AA" w14:textId="77777777" w:rsidR="00F236AA" w:rsidRPr="000C2276" w:rsidRDefault="00F236AA" w:rsidP="000C2276">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0C2276">
              <w:rPr>
                <w:rFonts w:ascii="Times New Roman" w:eastAsia="Times New Roman" w:hAnsi="Times New Roman" w:cs="Times New Roman"/>
                <w:color w:val="000000"/>
                <w:kern w:val="0"/>
                <w:sz w:val="18"/>
                <w:szCs w:val="18"/>
                <w:lang w:eastAsia="en-IN"/>
                <w14:ligatures w14:val="none"/>
              </w:rPr>
              <w:t>..</w:t>
            </w:r>
          </w:p>
        </w:tc>
        <w:tc>
          <w:tcPr>
            <w:tcW w:w="781" w:type="dxa"/>
            <w:tcBorders>
              <w:top w:val="nil"/>
              <w:left w:val="nil"/>
              <w:bottom w:val="single" w:sz="4" w:space="0" w:color="auto"/>
              <w:right w:val="single" w:sz="4" w:space="0" w:color="auto"/>
            </w:tcBorders>
            <w:vAlign w:val="center"/>
            <w:hideMark/>
          </w:tcPr>
          <w:p w14:paraId="5EEDC4A3" w14:textId="77777777" w:rsidR="00F236AA" w:rsidRPr="000C2276" w:rsidRDefault="00F236AA" w:rsidP="000C2276">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0C2276">
              <w:rPr>
                <w:rFonts w:ascii="Times New Roman" w:eastAsia="Times New Roman" w:hAnsi="Times New Roman" w:cs="Times New Roman"/>
                <w:color w:val="000000"/>
                <w:kern w:val="0"/>
                <w:sz w:val="18"/>
                <w:szCs w:val="18"/>
                <w:lang w:eastAsia="en-IN"/>
                <w14:ligatures w14:val="none"/>
              </w:rPr>
              <w:t>69</w:t>
            </w:r>
          </w:p>
        </w:tc>
        <w:tc>
          <w:tcPr>
            <w:tcW w:w="895" w:type="dxa"/>
            <w:tcBorders>
              <w:top w:val="nil"/>
              <w:left w:val="nil"/>
              <w:bottom w:val="single" w:sz="4" w:space="0" w:color="auto"/>
              <w:right w:val="single" w:sz="4" w:space="0" w:color="auto"/>
            </w:tcBorders>
            <w:vAlign w:val="center"/>
            <w:hideMark/>
          </w:tcPr>
          <w:p w14:paraId="629D99D9" w14:textId="77777777" w:rsidR="00F236AA" w:rsidRPr="000C2276" w:rsidRDefault="00F236AA" w:rsidP="000C2276">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0C2276">
              <w:rPr>
                <w:rFonts w:ascii="Times New Roman" w:eastAsia="Times New Roman" w:hAnsi="Times New Roman" w:cs="Times New Roman"/>
                <w:color w:val="000000"/>
                <w:kern w:val="0"/>
                <w:sz w:val="18"/>
                <w:szCs w:val="18"/>
                <w:lang w:eastAsia="en-IN"/>
                <w14:ligatures w14:val="none"/>
              </w:rPr>
              <w:t>77</w:t>
            </w:r>
          </w:p>
        </w:tc>
        <w:tc>
          <w:tcPr>
            <w:tcW w:w="854" w:type="dxa"/>
            <w:tcBorders>
              <w:top w:val="nil"/>
              <w:left w:val="nil"/>
              <w:bottom w:val="single" w:sz="4" w:space="0" w:color="auto"/>
              <w:right w:val="single" w:sz="4" w:space="0" w:color="auto"/>
            </w:tcBorders>
            <w:vAlign w:val="center"/>
            <w:hideMark/>
          </w:tcPr>
          <w:p w14:paraId="5324049B" w14:textId="77777777" w:rsidR="00F236AA" w:rsidRPr="000C2276" w:rsidRDefault="00F236AA" w:rsidP="000C2276">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0C2276">
              <w:rPr>
                <w:rFonts w:ascii="Times New Roman" w:eastAsia="Times New Roman" w:hAnsi="Times New Roman" w:cs="Times New Roman"/>
                <w:color w:val="000000"/>
                <w:kern w:val="0"/>
                <w:sz w:val="18"/>
                <w:szCs w:val="18"/>
                <w:lang w:eastAsia="en-IN"/>
                <w14:ligatures w14:val="none"/>
              </w:rPr>
              <w:t>94</w:t>
            </w:r>
          </w:p>
        </w:tc>
        <w:tc>
          <w:tcPr>
            <w:tcW w:w="1280" w:type="dxa"/>
            <w:tcBorders>
              <w:top w:val="nil"/>
              <w:left w:val="nil"/>
              <w:bottom w:val="single" w:sz="4" w:space="0" w:color="auto"/>
              <w:right w:val="single" w:sz="4" w:space="0" w:color="auto"/>
            </w:tcBorders>
            <w:vAlign w:val="center"/>
            <w:hideMark/>
          </w:tcPr>
          <w:p w14:paraId="27D181EE" w14:textId="77777777" w:rsidR="00F236AA" w:rsidRPr="000C2276" w:rsidRDefault="00F236AA" w:rsidP="000C2276">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0C2276">
              <w:rPr>
                <w:rFonts w:ascii="Times New Roman" w:eastAsia="Times New Roman" w:hAnsi="Times New Roman" w:cs="Times New Roman"/>
                <w:color w:val="000000"/>
                <w:kern w:val="0"/>
                <w:sz w:val="18"/>
                <w:szCs w:val="18"/>
                <w:lang w:eastAsia="en-IN"/>
                <w14:ligatures w14:val="none"/>
              </w:rPr>
              <w:t>41</w:t>
            </w:r>
          </w:p>
        </w:tc>
        <w:tc>
          <w:tcPr>
            <w:tcW w:w="833" w:type="dxa"/>
            <w:tcBorders>
              <w:top w:val="nil"/>
              <w:left w:val="nil"/>
              <w:bottom w:val="single" w:sz="4" w:space="0" w:color="auto"/>
              <w:right w:val="single" w:sz="4" w:space="0" w:color="auto"/>
            </w:tcBorders>
            <w:vAlign w:val="center"/>
            <w:hideMark/>
          </w:tcPr>
          <w:p w14:paraId="2B725636" w14:textId="77777777" w:rsidR="00F236AA" w:rsidRPr="000C2276" w:rsidRDefault="00F236AA" w:rsidP="000C2276">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0C2276">
              <w:rPr>
                <w:rFonts w:ascii="Times New Roman" w:eastAsia="Times New Roman" w:hAnsi="Times New Roman" w:cs="Times New Roman"/>
                <w:color w:val="000000"/>
                <w:kern w:val="0"/>
                <w:sz w:val="18"/>
                <w:szCs w:val="18"/>
                <w:lang w:eastAsia="en-IN"/>
                <w14:ligatures w14:val="none"/>
              </w:rPr>
              <w:t>45</w:t>
            </w:r>
          </w:p>
        </w:tc>
        <w:tc>
          <w:tcPr>
            <w:tcW w:w="752" w:type="dxa"/>
            <w:tcBorders>
              <w:top w:val="nil"/>
              <w:left w:val="nil"/>
              <w:bottom w:val="single" w:sz="4" w:space="0" w:color="auto"/>
              <w:right w:val="single" w:sz="4" w:space="0" w:color="auto"/>
            </w:tcBorders>
            <w:vAlign w:val="center"/>
            <w:hideMark/>
          </w:tcPr>
          <w:p w14:paraId="5C622BC9" w14:textId="77777777" w:rsidR="00F236AA" w:rsidRPr="000C2276" w:rsidRDefault="00F236AA" w:rsidP="000C2276">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0C2276">
              <w:rPr>
                <w:rFonts w:ascii="Times New Roman" w:eastAsia="Times New Roman" w:hAnsi="Times New Roman" w:cs="Times New Roman"/>
                <w:color w:val="000000"/>
                <w:kern w:val="0"/>
                <w:sz w:val="18"/>
                <w:szCs w:val="18"/>
                <w:lang w:eastAsia="en-IN"/>
                <w14:ligatures w14:val="none"/>
              </w:rPr>
              <w:t>72</w:t>
            </w:r>
          </w:p>
        </w:tc>
        <w:tc>
          <w:tcPr>
            <w:tcW w:w="814" w:type="dxa"/>
            <w:tcBorders>
              <w:top w:val="nil"/>
              <w:left w:val="nil"/>
              <w:bottom w:val="single" w:sz="4" w:space="0" w:color="auto"/>
              <w:right w:val="single" w:sz="4" w:space="0" w:color="auto"/>
            </w:tcBorders>
            <w:vAlign w:val="center"/>
            <w:hideMark/>
          </w:tcPr>
          <w:p w14:paraId="3D369383" w14:textId="77777777" w:rsidR="00F236AA" w:rsidRPr="000C2276" w:rsidRDefault="00F236AA" w:rsidP="000C2276">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0C2276">
              <w:rPr>
                <w:rFonts w:ascii="Times New Roman" w:eastAsia="Times New Roman" w:hAnsi="Times New Roman" w:cs="Times New Roman"/>
                <w:color w:val="000000"/>
                <w:kern w:val="0"/>
                <w:sz w:val="18"/>
                <w:szCs w:val="18"/>
                <w:lang w:eastAsia="en-IN"/>
                <w14:ligatures w14:val="none"/>
              </w:rPr>
              <w:t>250</w:t>
            </w:r>
          </w:p>
        </w:tc>
        <w:tc>
          <w:tcPr>
            <w:tcW w:w="1047" w:type="dxa"/>
            <w:tcBorders>
              <w:top w:val="nil"/>
              <w:left w:val="nil"/>
              <w:bottom w:val="single" w:sz="4" w:space="0" w:color="auto"/>
              <w:right w:val="single" w:sz="4" w:space="0" w:color="auto"/>
            </w:tcBorders>
            <w:vAlign w:val="center"/>
            <w:hideMark/>
          </w:tcPr>
          <w:p w14:paraId="71C5EC18" w14:textId="77777777" w:rsidR="00F236AA" w:rsidRPr="000C2276" w:rsidRDefault="00F236AA" w:rsidP="000C2276">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0C2276">
              <w:rPr>
                <w:rFonts w:ascii="Times New Roman" w:eastAsia="Times New Roman" w:hAnsi="Times New Roman" w:cs="Times New Roman"/>
                <w:color w:val="000000"/>
                <w:kern w:val="0"/>
                <w:sz w:val="18"/>
                <w:szCs w:val="18"/>
                <w:lang w:eastAsia="en-IN"/>
                <w14:ligatures w14:val="none"/>
              </w:rPr>
              <w:t>9</w:t>
            </w:r>
          </w:p>
        </w:tc>
        <w:tc>
          <w:tcPr>
            <w:tcW w:w="882" w:type="dxa"/>
            <w:tcBorders>
              <w:top w:val="nil"/>
              <w:left w:val="nil"/>
              <w:bottom w:val="single" w:sz="4" w:space="0" w:color="auto"/>
              <w:right w:val="single" w:sz="4" w:space="0" w:color="auto"/>
            </w:tcBorders>
            <w:vAlign w:val="center"/>
            <w:hideMark/>
          </w:tcPr>
          <w:p w14:paraId="50FF36F3" w14:textId="77777777" w:rsidR="00F236AA" w:rsidRPr="000C2276" w:rsidRDefault="00F236AA" w:rsidP="000C2276">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0C2276">
              <w:rPr>
                <w:rFonts w:ascii="Times New Roman" w:eastAsia="Times New Roman" w:hAnsi="Times New Roman" w:cs="Times New Roman"/>
                <w:color w:val="000000"/>
                <w:kern w:val="0"/>
                <w:sz w:val="18"/>
                <w:szCs w:val="18"/>
                <w:lang w:eastAsia="en-IN"/>
                <w14:ligatures w14:val="none"/>
              </w:rPr>
              <w:t>146</w:t>
            </w:r>
          </w:p>
        </w:tc>
        <w:tc>
          <w:tcPr>
            <w:tcW w:w="782" w:type="dxa"/>
            <w:tcBorders>
              <w:top w:val="nil"/>
              <w:left w:val="nil"/>
              <w:bottom w:val="single" w:sz="4" w:space="0" w:color="auto"/>
              <w:right w:val="single" w:sz="4" w:space="0" w:color="auto"/>
            </w:tcBorders>
            <w:vAlign w:val="center"/>
            <w:hideMark/>
          </w:tcPr>
          <w:p w14:paraId="69EBE736" w14:textId="77777777" w:rsidR="00F236AA" w:rsidRPr="000C2276" w:rsidRDefault="00F236AA" w:rsidP="000C2276">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0C2276">
              <w:rPr>
                <w:rFonts w:ascii="Times New Roman" w:eastAsia="Times New Roman" w:hAnsi="Times New Roman" w:cs="Times New Roman"/>
                <w:color w:val="000000"/>
                <w:kern w:val="0"/>
                <w:sz w:val="18"/>
                <w:szCs w:val="18"/>
                <w:lang w:eastAsia="en-IN"/>
                <w14:ligatures w14:val="none"/>
              </w:rPr>
              <w:t>9</w:t>
            </w:r>
          </w:p>
        </w:tc>
        <w:tc>
          <w:tcPr>
            <w:tcW w:w="752" w:type="dxa"/>
            <w:tcBorders>
              <w:top w:val="nil"/>
              <w:left w:val="nil"/>
              <w:bottom w:val="single" w:sz="4" w:space="0" w:color="auto"/>
              <w:right w:val="single" w:sz="4" w:space="0" w:color="auto"/>
            </w:tcBorders>
            <w:vAlign w:val="center"/>
            <w:hideMark/>
          </w:tcPr>
          <w:p w14:paraId="1A11E1C7" w14:textId="77777777" w:rsidR="00F236AA" w:rsidRPr="000C2276" w:rsidRDefault="00F236AA" w:rsidP="000C2276">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0C2276">
              <w:rPr>
                <w:rFonts w:ascii="Times New Roman" w:eastAsia="Times New Roman" w:hAnsi="Times New Roman" w:cs="Times New Roman"/>
                <w:color w:val="000000"/>
                <w:kern w:val="0"/>
                <w:sz w:val="18"/>
                <w:szCs w:val="18"/>
                <w:lang w:eastAsia="en-IN"/>
                <w14:ligatures w14:val="none"/>
              </w:rPr>
              <w:t>1651</w:t>
            </w:r>
          </w:p>
        </w:tc>
      </w:tr>
      <w:tr w:rsidR="000C2276" w:rsidRPr="000C2276" w14:paraId="5E3150D7" w14:textId="77777777" w:rsidTr="000C2276">
        <w:trPr>
          <w:trHeight w:val="340"/>
          <w:jc w:val="center"/>
        </w:trPr>
        <w:tc>
          <w:tcPr>
            <w:tcW w:w="1026" w:type="dxa"/>
            <w:tcBorders>
              <w:top w:val="nil"/>
              <w:left w:val="single" w:sz="4" w:space="0" w:color="auto"/>
              <w:bottom w:val="single" w:sz="4" w:space="0" w:color="auto"/>
              <w:right w:val="single" w:sz="4" w:space="0" w:color="auto"/>
            </w:tcBorders>
            <w:vAlign w:val="center"/>
            <w:hideMark/>
          </w:tcPr>
          <w:p w14:paraId="576F63F9" w14:textId="77777777" w:rsidR="00F236AA" w:rsidRPr="000C2276" w:rsidRDefault="00F236AA" w:rsidP="00F236AA">
            <w:pPr>
              <w:spacing w:after="0" w:line="240" w:lineRule="auto"/>
              <w:rPr>
                <w:rFonts w:ascii="Times New Roman" w:eastAsia="Times New Roman" w:hAnsi="Times New Roman" w:cs="Times New Roman"/>
                <w:color w:val="000000"/>
                <w:kern w:val="0"/>
                <w:sz w:val="18"/>
                <w:szCs w:val="18"/>
                <w:lang w:eastAsia="en-IN"/>
                <w14:ligatures w14:val="none"/>
              </w:rPr>
            </w:pPr>
            <w:r w:rsidRPr="000C2276">
              <w:rPr>
                <w:rFonts w:ascii="Times New Roman" w:eastAsia="Times New Roman" w:hAnsi="Times New Roman" w:cs="Times New Roman"/>
                <w:color w:val="000000"/>
                <w:kern w:val="0"/>
                <w:sz w:val="18"/>
                <w:szCs w:val="18"/>
                <w:lang w:eastAsia="en-IN"/>
                <w14:ligatures w14:val="none"/>
              </w:rPr>
              <w:t>July</w:t>
            </w:r>
          </w:p>
        </w:tc>
        <w:tc>
          <w:tcPr>
            <w:tcW w:w="882" w:type="dxa"/>
            <w:tcBorders>
              <w:top w:val="nil"/>
              <w:left w:val="nil"/>
              <w:bottom w:val="single" w:sz="4" w:space="0" w:color="auto"/>
              <w:right w:val="single" w:sz="4" w:space="0" w:color="auto"/>
            </w:tcBorders>
            <w:vAlign w:val="center"/>
            <w:hideMark/>
          </w:tcPr>
          <w:p w14:paraId="675B3048" w14:textId="77777777" w:rsidR="00F236AA" w:rsidRPr="000C2276" w:rsidRDefault="00F236AA" w:rsidP="000C2276">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0C2276">
              <w:rPr>
                <w:rFonts w:ascii="Times New Roman" w:eastAsia="Times New Roman" w:hAnsi="Times New Roman" w:cs="Times New Roman"/>
                <w:color w:val="000000"/>
                <w:kern w:val="0"/>
                <w:sz w:val="18"/>
                <w:szCs w:val="18"/>
                <w:lang w:eastAsia="en-IN"/>
                <w14:ligatures w14:val="none"/>
              </w:rPr>
              <w:t>891</w:t>
            </w:r>
          </w:p>
        </w:tc>
        <w:tc>
          <w:tcPr>
            <w:tcW w:w="763" w:type="dxa"/>
            <w:tcBorders>
              <w:top w:val="nil"/>
              <w:left w:val="nil"/>
              <w:bottom w:val="single" w:sz="4" w:space="0" w:color="auto"/>
              <w:right w:val="single" w:sz="4" w:space="0" w:color="auto"/>
            </w:tcBorders>
            <w:vAlign w:val="center"/>
            <w:hideMark/>
          </w:tcPr>
          <w:p w14:paraId="3058186B" w14:textId="77777777" w:rsidR="00F236AA" w:rsidRPr="000C2276" w:rsidRDefault="00F236AA" w:rsidP="000C2276">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0C2276">
              <w:rPr>
                <w:rFonts w:ascii="Times New Roman" w:eastAsia="Times New Roman" w:hAnsi="Times New Roman" w:cs="Times New Roman"/>
                <w:color w:val="000000"/>
                <w:kern w:val="0"/>
                <w:sz w:val="18"/>
                <w:szCs w:val="18"/>
                <w:lang w:eastAsia="en-IN"/>
                <w14:ligatures w14:val="none"/>
              </w:rPr>
              <w:t>..</w:t>
            </w:r>
          </w:p>
        </w:tc>
        <w:tc>
          <w:tcPr>
            <w:tcW w:w="692" w:type="dxa"/>
            <w:tcBorders>
              <w:top w:val="nil"/>
              <w:left w:val="nil"/>
              <w:bottom w:val="single" w:sz="4" w:space="0" w:color="auto"/>
              <w:right w:val="single" w:sz="4" w:space="0" w:color="auto"/>
            </w:tcBorders>
            <w:vAlign w:val="center"/>
            <w:hideMark/>
          </w:tcPr>
          <w:p w14:paraId="3EAD87AE" w14:textId="77777777" w:rsidR="00F236AA" w:rsidRPr="000C2276" w:rsidRDefault="00F236AA" w:rsidP="000C2276">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0C2276">
              <w:rPr>
                <w:rFonts w:ascii="Times New Roman" w:eastAsia="Times New Roman" w:hAnsi="Times New Roman" w:cs="Times New Roman"/>
                <w:color w:val="000000"/>
                <w:kern w:val="0"/>
                <w:sz w:val="18"/>
                <w:szCs w:val="18"/>
                <w:lang w:eastAsia="en-IN"/>
                <w14:ligatures w14:val="none"/>
              </w:rPr>
              <w:t>164</w:t>
            </w:r>
          </w:p>
        </w:tc>
        <w:tc>
          <w:tcPr>
            <w:tcW w:w="874" w:type="dxa"/>
            <w:tcBorders>
              <w:top w:val="nil"/>
              <w:left w:val="nil"/>
              <w:bottom w:val="single" w:sz="4" w:space="0" w:color="auto"/>
              <w:right w:val="single" w:sz="4" w:space="0" w:color="auto"/>
            </w:tcBorders>
            <w:vAlign w:val="center"/>
            <w:hideMark/>
          </w:tcPr>
          <w:p w14:paraId="223AEAA4" w14:textId="77777777" w:rsidR="00F236AA" w:rsidRPr="000C2276" w:rsidRDefault="00F236AA" w:rsidP="000C2276">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0C2276">
              <w:rPr>
                <w:rFonts w:ascii="Times New Roman" w:eastAsia="Times New Roman" w:hAnsi="Times New Roman" w:cs="Times New Roman"/>
                <w:color w:val="000000"/>
                <w:kern w:val="0"/>
                <w:sz w:val="18"/>
                <w:szCs w:val="18"/>
                <w:lang w:eastAsia="en-IN"/>
                <w14:ligatures w14:val="none"/>
              </w:rPr>
              <w:t>17</w:t>
            </w:r>
          </w:p>
        </w:tc>
        <w:tc>
          <w:tcPr>
            <w:tcW w:w="935" w:type="dxa"/>
            <w:tcBorders>
              <w:top w:val="nil"/>
              <w:left w:val="nil"/>
              <w:bottom w:val="single" w:sz="4" w:space="0" w:color="auto"/>
              <w:right w:val="single" w:sz="4" w:space="0" w:color="auto"/>
            </w:tcBorders>
            <w:vAlign w:val="center"/>
            <w:hideMark/>
          </w:tcPr>
          <w:p w14:paraId="4948538B" w14:textId="77777777" w:rsidR="00F236AA" w:rsidRPr="000C2276" w:rsidRDefault="00F236AA" w:rsidP="000C2276">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0C2276">
              <w:rPr>
                <w:rFonts w:ascii="Times New Roman" w:eastAsia="Times New Roman" w:hAnsi="Times New Roman" w:cs="Times New Roman"/>
                <w:color w:val="000000"/>
                <w:kern w:val="0"/>
                <w:sz w:val="18"/>
                <w:szCs w:val="18"/>
                <w:lang w:eastAsia="en-IN"/>
                <w14:ligatures w14:val="none"/>
              </w:rPr>
              <w:t>..</w:t>
            </w:r>
          </w:p>
        </w:tc>
        <w:tc>
          <w:tcPr>
            <w:tcW w:w="781" w:type="dxa"/>
            <w:tcBorders>
              <w:top w:val="nil"/>
              <w:left w:val="nil"/>
              <w:bottom w:val="single" w:sz="4" w:space="0" w:color="auto"/>
              <w:right w:val="single" w:sz="4" w:space="0" w:color="auto"/>
            </w:tcBorders>
            <w:vAlign w:val="center"/>
            <w:hideMark/>
          </w:tcPr>
          <w:p w14:paraId="76B9DDA6" w14:textId="77777777" w:rsidR="00F236AA" w:rsidRPr="000C2276" w:rsidRDefault="00F236AA" w:rsidP="000C2276">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0C2276">
              <w:rPr>
                <w:rFonts w:ascii="Times New Roman" w:eastAsia="Times New Roman" w:hAnsi="Times New Roman" w:cs="Times New Roman"/>
                <w:color w:val="000000"/>
                <w:kern w:val="0"/>
                <w:sz w:val="18"/>
                <w:szCs w:val="18"/>
                <w:lang w:eastAsia="en-IN"/>
                <w14:ligatures w14:val="none"/>
              </w:rPr>
              <w:t>2</w:t>
            </w:r>
          </w:p>
        </w:tc>
        <w:tc>
          <w:tcPr>
            <w:tcW w:w="895" w:type="dxa"/>
            <w:tcBorders>
              <w:top w:val="nil"/>
              <w:left w:val="nil"/>
              <w:bottom w:val="single" w:sz="4" w:space="0" w:color="auto"/>
              <w:right w:val="single" w:sz="4" w:space="0" w:color="auto"/>
            </w:tcBorders>
            <w:vAlign w:val="center"/>
            <w:hideMark/>
          </w:tcPr>
          <w:p w14:paraId="5379278F" w14:textId="77777777" w:rsidR="00F236AA" w:rsidRPr="000C2276" w:rsidRDefault="00F236AA" w:rsidP="000C2276">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0C2276">
              <w:rPr>
                <w:rFonts w:ascii="Times New Roman" w:eastAsia="Times New Roman" w:hAnsi="Times New Roman" w:cs="Times New Roman"/>
                <w:color w:val="000000"/>
                <w:kern w:val="0"/>
                <w:sz w:val="18"/>
                <w:szCs w:val="18"/>
                <w:lang w:eastAsia="en-IN"/>
                <w14:ligatures w14:val="none"/>
              </w:rPr>
              <w:t>413</w:t>
            </w:r>
          </w:p>
        </w:tc>
        <w:tc>
          <w:tcPr>
            <w:tcW w:w="854" w:type="dxa"/>
            <w:tcBorders>
              <w:top w:val="nil"/>
              <w:left w:val="nil"/>
              <w:bottom w:val="single" w:sz="4" w:space="0" w:color="auto"/>
              <w:right w:val="single" w:sz="4" w:space="0" w:color="auto"/>
            </w:tcBorders>
            <w:vAlign w:val="center"/>
            <w:hideMark/>
          </w:tcPr>
          <w:p w14:paraId="69EF7555" w14:textId="77777777" w:rsidR="00F236AA" w:rsidRPr="000C2276" w:rsidRDefault="00F236AA" w:rsidP="000C2276">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0C2276">
              <w:rPr>
                <w:rFonts w:ascii="Times New Roman" w:eastAsia="Times New Roman" w:hAnsi="Times New Roman" w:cs="Times New Roman"/>
                <w:color w:val="000000"/>
                <w:kern w:val="0"/>
                <w:sz w:val="18"/>
                <w:szCs w:val="18"/>
                <w:lang w:eastAsia="en-IN"/>
                <w14:ligatures w14:val="none"/>
              </w:rPr>
              <w:t>119</w:t>
            </w:r>
          </w:p>
        </w:tc>
        <w:tc>
          <w:tcPr>
            <w:tcW w:w="1280" w:type="dxa"/>
            <w:tcBorders>
              <w:top w:val="nil"/>
              <w:left w:val="nil"/>
              <w:bottom w:val="single" w:sz="4" w:space="0" w:color="auto"/>
              <w:right w:val="single" w:sz="4" w:space="0" w:color="auto"/>
            </w:tcBorders>
            <w:vAlign w:val="center"/>
            <w:hideMark/>
          </w:tcPr>
          <w:p w14:paraId="22753CA9" w14:textId="77777777" w:rsidR="00F236AA" w:rsidRPr="000C2276" w:rsidRDefault="00F236AA" w:rsidP="000C2276">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0C2276">
              <w:rPr>
                <w:rFonts w:ascii="Times New Roman" w:eastAsia="Times New Roman" w:hAnsi="Times New Roman" w:cs="Times New Roman"/>
                <w:color w:val="000000"/>
                <w:kern w:val="0"/>
                <w:sz w:val="18"/>
                <w:szCs w:val="18"/>
                <w:lang w:eastAsia="en-IN"/>
                <w14:ligatures w14:val="none"/>
              </w:rPr>
              <w:t>133</w:t>
            </w:r>
          </w:p>
        </w:tc>
        <w:tc>
          <w:tcPr>
            <w:tcW w:w="833" w:type="dxa"/>
            <w:tcBorders>
              <w:top w:val="nil"/>
              <w:left w:val="nil"/>
              <w:bottom w:val="single" w:sz="4" w:space="0" w:color="auto"/>
              <w:right w:val="single" w:sz="4" w:space="0" w:color="auto"/>
            </w:tcBorders>
            <w:vAlign w:val="center"/>
            <w:hideMark/>
          </w:tcPr>
          <w:p w14:paraId="06A4DFC3" w14:textId="77777777" w:rsidR="00F236AA" w:rsidRPr="000C2276" w:rsidRDefault="00F236AA" w:rsidP="000C2276">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0C2276">
              <w:rPr>
                <w:rFonts w:ascii="Times New Roman" w:eastAsia="Times New Roman" w:hAnsi="Times New Roman" w:cs="Times New Roman"/>
                <w:color w:val="000000"/>
                <w:kern w:val="0"/>
                <w:sz w:val="18"/>
                <w:szCs w:val="18"/>
                <w:lang w:eastAsia="en-IN"/>
                <w14:ligatures w14:val="none"/>
              </w:rPr>
              <w:t>203</w:t>
            </w:r>
          </w:p>
        </w:tc>
        <w:tc>
          <w:tcPr>
            <w:tcW w:w="752" w:type="dxa"/>
            <w:tcBorders>
              <w:top w:val="nil"/>
              <w:left w:val="nil"/>
              <w:bottom w:val="single" w:sz="4" w:space="0" w:color="auto"/>
              <w:right w:val="single" w:sz="4" w:space="0" w:color="auto"/>
            </w:tcBorders>
            <w:vAlign w:val="center"/>
            <w:hideMark/>
          </w:tcPr>
          <w:p w14:paraId="7E28F070" w14:textId="77777777" w:rsidR="00F236AA" w:rsidRPr="000C2276" w:rsidRDefault="00F236AA" w:rsidP="000C2276">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0C2276">
              <w:rPr>
                <w:rFonts w:ascii="Times New Roman" w:eastAsia="Times New Roman" w:hAnsi="Times New Roman" w:cs="Times New Roman"/>
                <w:color w:val="000000"/>
                <w:kern w:val="0"/>
                <w:sz w:val="18"/>
                <w:szCs w:val="18"/>
                <w:lang w:eastAsia="en-IN"/>
                <w14:ligatures w14:val="none"/>
              </w:rPr>
              <w:t>86</w:t>
            </w:r>
          </w:p>
        </w:tc>
        <w:tc>
          <w:tcPr>
            <w:tcW w:w="814" w:type="dxa"/>
            <w:tcBorders>
              <w:top w:val="nil"/>
              <w:left w:val="nil"/>
              <w:bottom w:val="single" w:sz="4" w:space="0" w:color="auto"/>
              <w:right w:val="single" w:sz="4" w:space="0" w:color="auto"/>
            </w:tcBorders>
            <w:vAlign w:val="center"/>
            <w:hideMark/>
          </w:tcPr>
          <w:p w14:paraId="039CE629" w14:textId="77777777" w:rsidR="00F236AA" w:rsidRPr="000C2276" w:rsidRDefault="00F236AA" w:rsidP="000C2276">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0C2276">
              <w:rPr>
                <w:rFonts w:ascii="Times New Roman" w:eastAsia="Times New Roman" w:hAnsi="Times New Roman" w:cs="Times New Roman"/>
                <w:color w:val="000000"/>
                <w:kern w:val="0"/>
                <w:sz w:val="18"/>
                <w:szCs w:val="18"/>
                <w:lang w:eastAsia="en-IN"/>
                <w14:ligatures w14:val="none"/>
              </w:rPr>
              <w:t>187</w:t>
            </w:r>
          </w:p>
        </w:tc>
        <w:tc>
          <w:tcPr>
            <w:tcW w:w="1047" w:type="dxa"/>
            <w:tcBorders>
              <w:top w:val="nil"/>
              <w:left w:val="nil"/>
              <w:bottom w:val="single" w:sz="4" w:space="0" w:color="auto"/>
              <w:right w:val="single" w:sz="4" w:space="0" w:color="auto"/>
            </w:tcBorders>
            <w:vAlign w:val="center"/>
            <w:hideMark/>
          </w:tcPr>
          <w:p w14:paraId="353674E8" w14:textId="77777777" w:rsidR="00F236AA" w:rsidRPr="000C2276" w:rsidRDefault="00F236AA" w:rsidP="000C2276">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0C2276">
              <w:rPr>
                <w:rFonts w:ascii="Times New Roman" w:eastAsia="Times New Roman" w:hAnsi="Times New Roman" w:cs="Times New Roman"/>
                <w:color w:val="000000"/>
                <w:kern w:val="0"/>
                <w:sz w:val="18"/>
                <w:szCs w:val="18"/>
                <w:lang w:eastAsia="en-IN"/>
                <w14:ligatures w14:val="none"/>
              </w:rPr>
              <w:t>398</w:t>
            </w:r>
          </w:p>
        </w:tc>
        <w:tc>
          <w:tcPr>
            <w:tcW w:w="882" w:type="dxa"/>
            <w:tcBorders>
              <w:top w:val="nil"/>
              <w:left w:val="nil"/>
              <w:bottom w:val="single" w:sz="4" w:space="0" w:color="auto"/>
              <w:right w:val="single" w:sz="4" w:space="0" w:color="auto"/>
            </w:tcBorders>
            <w:vAlign w:val="center"/>
            <w:hideMark/>
          </w:tcPr>
          <w:p w14:paraId="052FC319" w14:textId="77777777" w:rsidR="00F236AA" w:rsidRPr="000C2276" w:rsidRDefault="00F236AA" w:rsidP="000C2276">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0C2276">
              <w:rPr>
                <w:rFonts w:ascii="Times New Roman" w:eastAsia="Times New Roman" w:hAnsi="Times New Roman" w:cs="Times New Roman"/>
                <w:color w:val="000000"/>
                <w:kern w:val="0"/>
                <w:sz w:val="18"/>
                <w:szCs w:val="18"/>
                <w:lang w:eastAsia="en-IN"/>
                <w14:ligatures w14:val="none"/>
              </w:rPr>
              <w:t>237</w:t>
            </w:r>
          </w:p>
        </w:tc>
        <w:tc>
          <w:tcPr>
            <w:tcW w:w="782" w:type="dxa"/>
            <w:tcBorders>
              <w:top w:val="nil"/>
              <w:left w:val="nil"/>
              <w:bottom w:val="single" w:sz="4" w:space="0" w:color="auto"/>
              <w:right w:val="single" w:sz="4" w:space="0" w:color="auto"/>
            </w:tcBorders>
            <w:vAlign w:val="center"/>
            <w:hideMark/>
          </w:tcPr>
          <w:p w14:paraId="145C4F41" w14:textId="77777777" w:rsidR="00F236AA" w:rsidRPr="000C2276" w:rsidRDefault="00F236AA" w:rsidP="000C2276">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0C2276">
              <w:rPr>
                <w:rFonts w:ascii="Times New Roman" w:eastAsia="Times New Roman" w:hAnsi="Times New Roman" w:cs="Times New Roman"/>
                <w:color w:val="000000"/>
                <w:kern w:val="0"/>
                <w:sz w:val="18"/>
                <w:szCs w:val="18"/>
                <w:lang w:eastAsia="en-IN"/>
                <w14:ligatures w14:val="none"/>
              </w:rPr>
              <w:t>13</w:t>
            </w:r>
          </w:p>
        </w:tc>
        <w:tc>
          <w:tcPr>
            <w:tcW w:w="752" w:type="dxa"/>
            <w:tcBorders>
              <w:top w:val="nil"/>
              <w:left w:val="nil"/>
              <w:bottom w:val="single" w:sz="4" w:space="0" w:color="auto"/>
              <w:right w:val="single" w:sz="4" w:space="0" w:color="auto"/>
            </w:tcBorders>
            <w:vAlign w:val="center"/>
            <w:hideMark/>
          </w:tcPr>
          <w:p w14:paraId="34593ACB" w14:textId="77777777" w:rsidR="00F236AA" w:rsidRPr="000C2276" w:rsidRDefault="00F236AA" w:rsidP="000C2276">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0C2276">
              <w:rPr>
                <w:rFonts w:ascii="Times New Roman" w:eastAsia="Times New Roman" w:hAnsi="Times New Roman" w:cs="Times New Roman"/>
                <w:color w:val="000000"/>
                <w:kern w:val="0"/>
                <w:sz w:val="18"/>
                <w:szCs w:val="18"/>
                <w:lang w:eastAsia="en-IN"/>
                <w14:ligatures w14:val="none"/>
              </w:rPr>
              <w:t>2863</w:t>
            </w:r>
          </w:p>
        </w:tc>
      </w:tr>
      <w:tr w:rsidR="000C2276" w:rsidRPr="000C2276" w14:paraId="3233555B" w14:textId="77777777" w:rsidTr="000C2276">
        <w:trPr>
          <w:trHeight w:val="340"/>
          <w:jc w:val="center"/>
        </w:trPr>
        <w:tc>
          <w:tcPr>
            <w:tcW w:w="1026" w:type="dxa"/>
            <w:tcBorders>
              <w:top w:val="nil"/>
              <w:left w:val="single" w:sz="4" w:space="0" w:color="auto"/>
              <w:bottom w:val="single" w:sz="4" w:space="0" w:color="auto"/>
              <w:right w:val="single" w:sz="4" w:space="0" w:color="auto"/>
            </w:tcBorders>
            <w:vAlign w:val="center"/>
            <w:hideMark/>
          </w:tcPr>
          <w:p w14:paraId="24F732CE" w14:textId="77777777" w:rsidR="00F236AA" w:rsidRPr="000C2276" w:rsidRDefault="00F236AA" w:rsidP="00F236AA">
            <w:pPr>
              <w:spacing w:after="0" w:line="240" w:lineRule="auto"/>
              <w:rPr>
                <w:rFonts w:ascii="Times New Roman" w:eastAsia="Times New Roman" w:hAnsi="Times New Roman" w:cs="Times New Roman"/>
                <w:color w:val="000000"/>
                <w:kern w:val="0"/>
                <w:sz w:val="18"/>
                <w:szCs w:val="18"/>
                <w:lang w:eastAsia="en-IN"/>
                <w14:ligatures w14:val="none"/>
              </w:rPr>
            </w:pPr>
            <w:r w:rsidRPr="000C2276">
              <w:rPr>
                <w:rFonts w:ascii="Times New Roman" w:eastAsia="Times New Roman" w:hAnsi="Times New Roman" w:cs="Times New Roman"/>
                <w:color w:val="000000"/>
                <w:kern w:val="0"/>
                <w:sz w:val="18"/>
                <w:szCs w:val="18"/>
                <w:lang w:eastAsia="en-IN"/>
                <w14:ligatures w14:val="none"/>
              </w:rPr>
              <w:t>August</w:t>
            </w:r>
          </w:p>
        </w:tc>
        <w:tc>
          <w:tcPr>
            <w:tcW w:w="882" w:type="dxa"/>
            <w:tcBorders>
              <w:top w:val="nil"/>
              <w:left w:val="nil"/>
              <w:bottom w:val="single" w:sz="4" w:space="0" w:color="auto"/>
              <w:right w:val="single" w:sz="4" w:space="0" w:color="auto"/>
            </w:tcBorders>
            <w:vAlign w:val="center"/>
            <w:hideMark/>
          </w:tcPr>
          <w:p w14:paraId="3A64D57D" w14:textId="77777777" w:rsidR="00F236AA" w:rsidRPr="000C2276" w:rsidRDefault="00F236AA" w:rsidP="000C2276">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0C2276">
              <w:rPr>
                <w:rFonts w:ascii="Times New Roman" w:eastAsia="Times New Roman" w:hAnsi="Times New Roman" w:cs="Times New Roman"/>
                <w:color w:val="000000"/>
                <w:kern w:val="0"/>
                <w:sz w:val="18"/>
                <w:szCs w:val="18"/>
                <w:lang w:eastAsia="en-IN"/>
                <w14:ligatures w14:val="none"/>
              </w:rPr>
              <w:t>225</w:t>
            </w:r>
          </w:p>
        </w:tc>
        <w:tc>
          <w:tcPr>
            <w:tcW w:w="763" w:type="dxa"/>
            <w:tcBorders>
              <w:top w:val="nil"/>
              <w:left w:val="nil"/>
              <w:bottom w:val="single" w:sz="4" w:space="0" w:color="auto"/>
              <w:right w:val="single" w:sz="4" w:space="0" w:color="auto"/>
            </w:tcBorders>
            <w:vAlign w:val="center"/>
            <w:hideMark/>
          </w:tcPr>
          <w:p w14:paraId="495EEF48" w14:textId="77777777" w:rsidR="00F236AA" w:rsidRPr="000C2276" w:rsidRDefault="00F236AA" w:rsidP="000C2276">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0C2276">
              <w:rPr>
                <w:rFonts w:ascii="Times New Roman" w:eastAsia="Times New Roman" w:hAnsi="Times New Roman" w:cs="Times New Roman"/>
                <w:color w:val="000000"/>
                <w:kern w:val="0"/>
                <w:sz w:val="18"/>
                <w:szCs w:val="18"/>
                <w:lang w:eastAsia="en-IN"/>
                <w14:ligatures w14:val="none"/>
              </w:rPr>
              <w:t>..</w:t>
            </w:r>
          </w:p>
        </w:tc>
        <w:tc>
          <w:tcPr>
            <w:tcW w:w="692" w:type="dxa"/>
            <w:tcBorders>
              <w:top w:val="nil"/>
              <w:left w:val="nil"/>
              <w:bottom w:val="single" w:sz="4" w:space="0" w:color="auto"/>
              <w:right w:val="single" w:sz="4" w:space="0" w:color="auto"/>
            </w:tcBorders>
            <w:vAlign w:val="center"/>
            <w:hideMark/>
          </w:tcPr>
          <w:p w14:paraId="5A0E72F3" w14:textId="77777777" w:rsidR="00F236AA" w:rsidRPr="000C2276" w:rsidRDefault="00F236AA" w:rsidP="000C2276">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0C2276">
              <w:rPr>
                <w:rFonts w:ascii="Times New Roman" w:eastAsia="Times New Roman" w:hAnsi="Times New Roman" w:cs="Times New Roman"/>
                <w:color w:val="000000"/>
                <w:kern w:val="0"/>
                <w:sz w:val="18"/>
                <w:szCs w:val="18"/>
                <w:lang w:eastAsia="en-IN"/>
                <w14:ligatures w14:val="none"/>
              </w:rPr>
              <w:t>412</w:t>
            </w:r>
          </w:p>
        </w:tc>
        <w:tc>
          <w:tcPr>
            <w:tcW w:w="874" w:type="dxa"/>
            <w:tcBorders>
              <w:top w:val="nil"/>
              <w:left w:val="nil"/>
              <w:bottom w:val="single" w:sz="4" w:space="0" w:color="auto"/>
              <w:right w:val="single" w:sz="4" w:space="0" w:color="auto"/>
            </w:tcBorders>
            <w:vAlign w:val="center"/>
            <w:hideMark/>
          </w:tcPr>
          <w:p w14:paraId="775CAD4A" w14:textId="77777777" w:rsidR="00F236AA" w:rsidRPr="000C2276" w:rsidRDefault="00F236AA" w:rsidP="000C2276">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0C2276">
              <w:rPr>
                <w:rFonts w:ascii="Times New Roman" w:eastAsia="Times New Roman" w:hAnsi="Times New Roman" w:cs="Times New Roman"/>
                <w:color w:val="000000"/>
                <w:kern w:val="0"/>
                <w:sz w:val="18"/>
                <w:szCs w:val="18"/>
                <w:lang w:eastAsia="en-IN"/>
                <w14:ligatures w14:val="none"/>
              </w:rPr>
              <w:t>5</w:t>
            </w:r>
          </w:p>
        </w:tc>
        <w:tc>
          <w:tcPr>
            <w:tcW w:w="935" w:type="dxa"/>
            <w:tcBorders>
              <w:top w:val="nil"/>
              <w:left w:val="nil"/>
              <w:bottom w:val="single" w:sz="4" w:space="0" w:color="auto"/>
              <w:right w:val="single" w:sz="4" w:space="0" w:color="auto"/>
            </w:tcBorders>
            <w:vAlign w:val="center"/>
            <w:hideMark/>
          </w:tcPr>
          <w:p w14:paraId="3970E7FE" w14:textId="77777777" w:rsidR="00F236AA" w:rsidRPr="000C2276" w:rsidRDefault="00F236AA" w:rsidP="000C2276">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0C2276">
              <w:rPr>
                <w:rFonts w:ascii="Times New Roman" w:eastAsia="Times New Roman" w:hAnsi="Times New Roman" w:cs="Times New Roman"/>
                <w:color w:val="000000"/>
                <w:kern w:val="0"/>
                <w:sz w:val="18"/>
                <w:szCs w:val="18"/>
                <w:lang w:eastAsia="en-IN"/>
                <w14:ligatures w14:val="none"/>
              </w:rPr>
              <w:t>..</w:t>
            </w:r>
          </w:p>
        </w:tc>
        <w:tc>
          <w:tcPr>
            <w:tcW w:w="781" w:type="dxa"/>
            <w:tcBorders>
              <w:top w:val="nil"/>
              <w:left w:val="nil"/>
              <w:bottom w:val="single" w:sz="4" w:space="0" w:color="auto"/>
              <w:right w:val="single" w:sz="4" w:space="0" w:color="auto"/>
            </w:tcBorders>
            <w:vAlign w:val="center"/>
            <w:hideMark/>
          </w:tcPr>
          <w:p w14:paraId="3B80DBB5" w14:textId="77777777" w:rsidR="00F236AA" w:rsidRPr="000C2276" w:rsidRDefault="00F236AA" w:rsidP="000C2276">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0C2276">
              <w:rPr>
                <w:rFonts w:ascii="Times New Roman" w:eastAsia="Times New Roman" w:hAnsi="Times New Roman" w:cs="Times New Roman"/>
                <w:color w:val="000000"/>
                <w:kern w:val="0"/>
                <w:sz w:val="18"/>
                <w:szCs w:val="18"/>
                <w:lang w:eastAsia="en-IN"/>
                <w14:ligatures w14:val="none"/>
              </w:rPr>
              <w:t>44</w:t>
            </w:r>
          </w:p>
        </w:tc>
        <w:tc>
          <w:tcPr>
            <w:tcW w:w="895" w:type="dxa"/>
            <w:tcBorders>
              <w:top w:val="nil"/>
              <w:left w:val="nil"/>
              <w:bottom w:val="single" w:sz="4" w:space="0" w:color="auto"/>
              <w:right w:val="single" w:sz="4" w:space="0" w:color="auto"/>
            </w:tcBorders>
            <w:vAlign w:val="center"/>
            <w:hideMark/>
          </w:tcPr>
          <w:p w14:paraId="59797FD3" w14:textId="77777777" w:rsidR="00F236AA" w:rsidRPr="000C2276" w:rsidRDefault="00F236AA" w:rsidP="000C2276">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0C2276">
              <w:rPr>
                <w:rFonts w:ascii="Times New Roman" w:eastAsia="Times New Roman" w:hAnsi="Times New Roman" w:cs="Times New Roman"/>
                <w:color w:val="000000"/>
                <w:kern w:val="0"/>
                <w:sz w:val="18"/>
                <w:szCs w:val="18"/>
                <w:lang w:eastAsia="en-IN"/>
                <w14:ligatures w14:val="none"/>
              </w:rPr>
              <w:t>156</w:t>
            </w:r>
          </w:p>
        </w:tc>
        <w:tc>
          <w:tcPr>
            <w:tcW w:w="854" w:type="dxa"/>
            <w:tcBorders>
              <w:top w:val="nil"/>
              <w:left w:val="nil"/>
              <w:bottom w:val="single" w:sz="4" w:space="0" w:color="auto"/>
              <w:right w:val="single" w:sz="4" w:space="0" w:color="auto"/>
            </w:tcBorders>
            <w:vAlign w:val="center"/>
            <w:hideMark/>
          </w:tcPr>
          <w:p w14:paraId="2529B006" w14:textId="77777777" w:rsidR="00F236AA" w:rsidRPr="000C2276" w:rsidRDefault="00F236AA" w:rsidP="000C2276">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0C2276">
              <w:rPr>
                <w:rFonts w:ascii="Times New Roman" w:eastAsia="Times New Roman" w:hAnsi="Times New Roman" w:cs="Times New Roman"/>
                <w:color w:val="000000"/>
                <w:kern w:val="0"/>
                <w:sz w:val="18"/>
                <w:szCs w:val="18"/>
                <w:lang w:eastAsia="en-IN"/>
                <w14:ligatures w14:val="none"/>
              </w:rPr>
              <w:t>107</w:t>
            </w:r>
          </w:p>
        </w:tc>
        <w:tc>
          <w:tcPr>
            <w:tcW w:w="1280" w:type="dxa"/>
            <w:tcBorders>
              <w:top w:val="nil"/>
              <w:left w:val="nil"/>
              <w:bottom w:val="single" w:sz="4" w:space="0" w:color="auto"/>
              <w:right w:val="single" w:sz="4" w:space="0" w:color="auto"/>
            </w:tcBorders>
            <w:vAlign w:val="center"/>
            <w:hideMark/>
          </w:tcPr>
          <w:p w14:paraId="4B529F02" w14:textId="77777777" w:rsidR="00F236AA" w:rsidRPr="000C2276" w:rsidRDefault="00F236AA" w:rsidP="000C2276">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0C2276">
              <w:rPr>
                <w:rFonts w:ascii="Times New Roman" w:eastAsia="Times New Roman" w:hAnsi="Times New Roman" w:cs="Times New Roman"/>
                <w:color w:val="000000"/>
                <w:kern w:val="0"/>
                <w:sz w:val="18"/>
                <w:szCs w:val="18"/>
                <w:lang w:eastAsia="en-IN"/>
                <w14:ligatures w14:val="none"/>
              </w:rPr>
              <w:t>12</w:t>
            </w:r>
          </w:p>
        </w:tc>
        <w:tc>
          <w:tcPr>
            <w:tcW w:w="833" w:type="dxa"/>
            <w:tcBorders>
              <w:top w:val="nil"/>
              <w:left w:val="nil"/>
              <w:bottom w:val="single" w:sz="4" w:space="0" w:color="auto"/>
              <w:right w:val="single" w:sz="4" w:space="0" w:color="auto"/>
            </w:tcBorders>
            <w:vAlign w:val="center"/>
            <w:hideMark/>
          </w:tcPr>
          <w:p w14:paraId="3BAAFED9" w14:textId="77777777" w:rsidR="00F236AA" w:rsidRPr="000C2276" w:rsidRDefault="00F236AA" w:rsidP="000C2276">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0C2276">
              <w:rPr>
                <w:rFonts w:ascii="Times New Roman" w:eastAsia="Times New Roman" w:hAnsi="Times New Roman" w:cs="Times New Roman"/>
                <w:color w:val="000000"/>
                <w:kern w:val="0"/>
                <w:sz w:val="18"/>
                <w:szCs w:val="18"/>
                <w:lang w:eastAsia="en-IN"/>
                <w14:ligatures w14:val="none"/>
              </w:rPr>
              <w:t>15</w:t>
            </w:r>
          </w:p>
        </w:tc>
        <w:tc>
          <w:tcPr>
            <w:tcW w:w="752" w:type="dxa"/>
            <w:tcBorders>
              <w:top w:val="nil"/>
              <w:left w:val="nil"/>
              <w:bottom w:val="single" w:sz="4" w:space="0" w:color="auto"/>
              <w:right w:val="single" w:sz="4" w:space="0" w:color="auto"/>
            </w:tcBorders>
            <w:vAlign w:val="center"/>
            <w:hideMark/>
          </w:tcPr>
          <w:p w14:paraId="29FF8C9F" w14:textId="77777777" w:rsidR="00F236AA" w:rsidRPr="000C2276" w:rsidRDefault="00F236AA" w:rsidP="000C2276">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0C2276">
              <w:rPr>
                <w:rFonts w:ascii="Times New Roman" w:eastAsia="Times New Roman" w:hAnsi="Times New Roman" w:cs="Times New Roman"/>
                <w:color w:val="000000"/>
                <w:kern w:val="0"/>
                <w:sz w:val="18"/>
                <w:szCs w:val="18"/>
                <w:lang w:eastAsia="en-IN"/>
                <w14:ligatures w14:val="none"/>
              </w:rPr>
              <w:t>38</w:t>
            </w:r>
          </w:p>
        </w:tc>
        <w:tc>
          <w:tcPr>
            <w:tcW w:w="814" w:type="dxa"/>
            <w:tcBorders>
              <w:top w:val="nil"/>
              <w:left w:val="nil"/>
              <w:bottom w:val="single" w:sz="4" w:space="0" w:color="auto"/>
              <w:right w:val="single" w:sz="4" w:space="0" w:color="auto"/>
            </w:tcBorders>
            <w:vAlign w:val="center"/>
            <w:hideMark/>
          </w:tcPr>
          <w:p w14:paraId="4BC275AB" w14:textId="77777777" w:rsidR="00F236AA" w:rsidRPr="000C2276" w:rsidRDefault="00F236AA" w:rsidP="000C2276">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0C2276">
              <w:rPr>
                <w:rFonts w:ascii="Times New Roman" w:eastAsia="Times New Roman" w:hAnsi="Times New Roman" w:cs="Times New Roman"/>
                <w:color w:val="000000"/>
                <w:kern w:val="0"/>
                <w:sz w:val="18"/>
                <w:szCs w:val="18"/>
                <w:lang w:eastAsia="en-IN"/>
                <w14:ligatures w14:val="none"/>
              </w:rPr>
              <w:t>..</w:t>
            </w:r>
          </w:p>
        </w:tc>
        <w:tc>
          <w:tcPr>
            <w:tcW w:w="1047" w:type="dxa"/>
            <w:tcBorders>
              <w:top w:val="nil"/>
              <w:left w:val="nil"/>
              <w:bottom w:val="single" w:sz="4" w:space="0" w:color="auto"/>
              <w:right w:val="single" w:sz="4" w:space="0" w:color="auto"/>
            </w:tcBorders>
            <w:vAlign w:val="center"/>
            <w:hideMark/>
          </w:tcPr>
          <w:p w14:paraId="7E290D04" w14:textId="77777777" w:rsidR="00F236AA" w:rsidRPr="000C2276" w:rsidRDefault="00F236AA" w:rsidP="000C2276">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0C2276">
              <w:rPr>
                <w:rFonts w:ascii="Times New Roman" w:eastAsia="Times New Roman" w:hAnsi="Times New Roman" w:cs="Times New Roman"/>
                <w:color w:val="000000"/>
                <w:kern w:val="0"/>
                <w:sz w:val="18"/>
                <w:szCs w:val="18"/>
                <w:lang w:eastAsia="en-IN"/>
                <w14:ligatures w14:val="none"/>
              </w:rPr>
              <w:t>69</w:t>
            </w:r>
          </w:p>
        </w:tc>
        <w:tc>
          <w:tcPr>
            <w:tcW w:w="882" w:type="dxa"/>
            <w:tcBorders>
              <w:top w:val="nil"/>
              <w:left w:val="nil"/>
              <w:bottom w:val="single" w:sz="4" w:space="0" w:color="auto"/>
              <w:right w:val="single" w:sz="4" w:space="0" w:color="auto"/>
            </w:tcBorders>
            <w:vAlign w:val="center"/>
            <w:hideMark/>
          </w:tcPr>
          <w:p w14:paraId="07E541E0" w14:textId="77777777" w:rsidR="00F236AA" w:rsidRPr="000C2276" w:rsidRDefault="00F236AA" w:rsidP="000C2276">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0C2276">
              <w:rPr>
                <w:rFonts w:ascii="Times New Roman" w:eastAsia="Times New Roman" w:hAnsi="Times New Roman" w:cs="Times New Roman"/>
                <w:color w:val="000000"/>
                <w:kern w:val="0"/>
                <w:sz w:val="18"/>
                <w:szCs w:val="18"/>
                <w:lang w:eastAsia="en-IN"/>
                <w14:ligatures w14:val="none"/>
              </w:rPr>
              <w:t>221</w:t>
            </w:r>
          </w:p>
        </w:tc>
        <w:tc>
          <w:tcPr>
            <w:tcW w:w="782" w:type="dxa"/>
            <w:tcBorders>
              <w:top w:val="nil"/>
              <w:left w:val="nil"/>
              <w:bottom w:val="single" w:sz="4" w:space="0" w:color="auto"/>
              <w:right w:val="single" w:sz="4" w:space="0" w:color="auto"/>
            </w:tcBorders>
            <w:vAlign w:val="center"/>
            <w:hideMark/>
          </w:tcPr>
          <w:p w14:paraId="011CE5C0" w14:textId="77777777" w:rsidR="00F236AA" w:rsidRPr="000C2276" w:rsidRDefault="00F236AA" w:rsidP="000C2276">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0C2276">
              <w:rPr>
                <w:rFonts w:ascii="Times New Roman" w:eastAsia="Times New Roman" w:hAnsi="Times New Roman" w:cs="Times New Roman"/>
                <w:color w:val="000000"/>
                <w:kern w:val="0"/>
                <w:sz w:val="18"/>
                <w:szCs w:val="18"/>
                <w:lang w:eastAsia="en-IN"/>
                <w14:ligatures w14:val="none"/>
              </w:rPr>
              <w:t>318</w:t>
            </w:r>
          </w:p>
        </w:tc>
        <w:tc>
          <w:tcPr>
            <w:tcW w:w="752" w:type="dxa"/>
            <w:tcBorders>
              <w:top w:val="nil"/>
              <w:left w:val="nil"/>
              <w:bottom w:val="single" w:sz="4" w:space="0" w:color="auto"/>
              <w:right w:val="single" w:sz="4" w:space="0" w:color="auto"/>
            </w:tcBorders>
            <w:vAlign w:val="center"/>
            <w:hideMark/>
          </w:tcPr>
          <w:p w14:paraId="4CA6B324" w14:textId="77777777" w:rsidR="00F236AA" w:rsidRPr="000C2276" w:rsidRDefault="00F236AA" w:rsidP="000C2276">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0C2276">
              <w:rPr>
                <w:rFonts w:ascii="Times New Roman" w:eastAsia="Times New Roman" w:hAnsi="Times New Roman" w:cs="Times New Roman"/>
                <w:color w:val="000000"/>
                <w:kern w:val="0"/>
                <w:sz w:val="18"/>
                <w:szCs w:val="18"/>
                <w:lang w:eastAsia="en-IN"/>
                <w14:ligatures w14:val="none"/>
              </w:rPr>
              <w:t>1622</w:t>
            </w:r>
          </w:p>
        </w:tc>
      </w:tr>
      <w:tr w:rsidR="000C2276" w:rsidRPr="000C2276" w14:paraId="575A8E8C" w14:textId="77777777" w:rsidTr="000C2276">
        <w:trPr>
          <w:trHeight w:val="340"/>
          <w:jc w:val="center"/>
        </w:trPr>
        <w:tc>
          <w:tcPr>
            <w:tcW w:w="1026" w:type="dxa"/>
            <w:tcBorders>
              <w:top w:val="nil"/>
              <w:left w:val="single" w:sz="4" w:space="0" w:color="auto"/>
              <w:bottom w:val="single" w:sz="4" w:space="0" w:color="auto"/>
              <w:right w:val="single" w:sz="4" w:space="0" w:color="auto"/>
            </w:tcBorders>
            <w:vAlign w:val="center"/>
            <w:hideMark/>
          </w:tcPr>
          <w:p w14:paraId="765E4ADD" w14:textId="77777777" w:rsidR="00F236AA" w:rsidRPr="000C2276" w:rsidRDefault="00F236AA" w:rsidP="00F236AA">
            <w:pPr>
              <w:spacing w:after="0" w:line="240" w:lineRule="auto"/>
              <w:rPr>
                <w:rFonts w:ascii="Times New Roman" w:eastAsia="Times New Roman" w:hAnsi="Times New Roman" w:cs="Times New Roman"/>
                <w:color w:val="000000"/>
                <w:kern w:val="0"/>
                <w:sz w:val="18"/>
                <w:szCs w:val="18"/>
                <w:lang w:eastAsia="en-IN"/>
                <w14:ligatures w14:val="none"/>
              </w:rPr>
            </w:pPr>
            <w:r w:rsidRPr="000C2276">
              <w:rPr>
                <w:rFonts w:ascii="Times New Roman" w:eastAsia="Times New Roman" w:hAnsi="Times New Roman" w:cs="Times New Roman"/>
                <w:color w:val="000000"/>
                <w:kern w:val="0"/>
                <w:sz w:val="18"/>
                <w:szCs w:val="18"/>
                <w:lang w:eastAsia="en-IN"/>
                <w14:ligatures w14:val="none"/>
              </w:rPr>
              <w:t>September</w:t>
            </w:r>
          </w:p>
        </w:tc>
        <w:tc>
          <w:tcPr>
            <w:tcW w:w="882" w:type="dxa"/>
            <w:tcBorders>
              <w:top w:val="nil"/>
              <w:left w:val="nil"/>
              <w:bottom w:val="single" w:sz="4" w:space="0" w:color="auto"/>
              <w:right w:val="single" w:sz="4" w:space="0" w:color="auto"/>
            </w:tcBorders>
            <w:vAlign w:val="center"/>
            <w:hideMark/>
          </w:tcPr>
          <w:p w14:paraId="1A6AF314" w14:textId="77777777" w:rsidR="00F236AA" w:rsidRPr="000C2276" w:rsidRDefault="00F236AA" w:rsidP="000C2276">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0C2276">
              <w:rPr>
                <w:rFonts w:ascii="Times New Roman" w:eastAsia="Times New Roman" w:hAnsi="Times New Roman" w:cs="Times New Roman"/>
                <w:color w:val="000000"/>
                <w:kern w:val="0"/>
                <w:sz w:val="18"/>
                <w:szCs w:val="18"/>
                <w:lang w:eastAsia="en-IN"/>
                <w14:ligatures w14:val="none"/>
              </w:rPr>
              <w:t>429</w:t>
            </w:r>
          </w:p>
        </w:tc>
        <w:tc>
          <w:tcPr>
            <w:tcW w:w="763" w:type="dxa"/>
            <w:tcBorders>
              <w:top w:val="nil"/>
              <w:left w:val="nil"/>
              <w:bottom w:val="single" w:sz="4" w:space="0" w:color="auto"/>
              <w:right w:val="single" w:sz="4" w:space="0" w:color="auto"/>
            </w:tcBorders>
            <w:vAlign w:val="center"/>
            <w:hideMark/>
          </w:tcPr>
          <w:p w14:paraId="13FC043C" w14:textId="77777777" w:rsidR="00F236AA" w:rsidRPr="000C2276" w:rsidRDefault="00F236AA" w:rsidP="000C2276">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0C2276">
              <w:rPr>
                <w:rFonts w:ascii="Times New Roman" w:eastAsia="Times New Roman" w:hAnsi="Times New Roman" w:cs="Times New Roman"/>
                <w:color w:val="000000"/>
                <w:kern w:val="0"/>
                <w:sz w:val="18"/>
                <w:szCs w:val="18"/>
                <w:lang w:eastAsia="en-IN"/>
                <w14:ligatures w14:val="none"/>
              </w:rPr>
              <w:t>165</w:t>
            </w:r>
          </w:p>
        </w:tc>
        <w:tc>
          <w:tcPr>
            <w:tcW w:w="692" w:type="dxa"/>
            <w:tcBorders>
              <w:top w:val="nil"/>
              <w:left w:val="nil"/>
              <w:bottom w:val="single" w:sz="4" w:space="0" w:color="auto"/>
              <w:right w:val="single" w:sz="4" w:space="0" w:color="auto"/>
            </w:tcBorders>
            <w:vAlign w:val="center"/>
            <w:hideMark/>
          </w:tcPr>
          <w:p w14:paraId="463B2D97" w14:textId="77777777" w:rsidR="00F236AA" w:rsidRPr="000C2276" w:rsidRDefault="00F236AA" w:rsidP="000C2276">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0C2276">
              <w:rPr>
                <w:rFonts w:ascii="Times New Roman" w:eastAsia="Times New Roman" w:hAnsi="Times New Roman" w:cs="Times New Roman"/>
                <w:color w:val="000000"/>
                <w:kern w:val="0"/>
                <w:sz w:val="18"/>
                <w:szCs w:val="18"/>
                <w:lang w:eastAsia="en-IN"/>
                <w14:ligatures w14:val="none"/>
              </w:rPr>
              <w:t>..</w:t>
            </w:r>
          </w:p>
        </w:tc>
        <w:tc>
          <w:tcPr>
            <w:tcW w:w="874" w:type="dxa"/>
            <w:tcBorders>
              <w:top w:val="nil"/>
              <w:left w:val="nil"/>
              <w:bottom w:val="single" w:sz="4" w:space="0" w:color="auto"/>
              <w:right w:val="single" w:sz="4" w:space="0" w:color="auto"/>
            </w:tcBorders>
            <w:vAlign w:val="center"/>
            <w:hideMark/>
          </w:tcPr>
          <w:p w14:paraId="6750D1BF" w14:textId="77777777" w:rsidR="00F236AA" w:rsidRPr="000C2276" w:rsidRDefault="00F236AA" w:rsidP="000C2276">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0C2276">
              <w:rPr>
                <w:rFonts w:ascii="Times New Roman" w:eastAsia="Times New Roman" w:hAnsi="Times New Roman" w:cs="Times New Roman"/>
                <w:color w:val="000000"/>
                <w:kern w:val="0"/>
                <w:sz w:val="18"/>
                <w:szCs w:val="18"/>
                <w:lang w:eastAsia="en-IN"/>
                <w14:ligatures w14:val="none"/>
              </w:rPr>
              <w:t>121</w:t>
            </w:r>
          </w:p>
        </w:tc>
        <w:tc>
          <w:tcPr>
            <w:tcW w:w="935" w:type="dxa"/>
            <w:tcBorders>
              <w:top w:val="nil"/>
              <w:left w:val="nil"/>
              <w:bottom w:val="single" w:sz="4" w:space="0" w:color="auto"/>
              <w:right w:val="single" w:sz="4" w:space="0" w:color="auto"/>
            </w:tcBorders>
            <w:vAlign w:val="center"/>
            <w:hideMark/>
          </w:tcPr>
          <w:p w14:paraId="228B68B3" w14:textId="77777777" w:rsidR="00F236AA" w:rsidRPr="000C2276" w:rsidRDefault="00F236AA" w:rsidP="000C2276">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0C2276">
              <w:rPr>
                <w:rFonts w:ascii="Times New Roman" w:eastAsia="Times New Roman" w:hAnsi="Times New Roman" w:cs="Times New Roman"/>
                <w:color w:val="000000"/>
                <w:kern w:val="0"/>
                <w:sz w:val="18"/>
                <w:szCs w:val="18"/>
                <w:lang w:eastAsia="en-IN"/>
                <w14:ligatures w14:val="none"/>
              </w:rPr>
              <w:t>..</w:t>
            </w:r>
          </w:p>
        </w:tc>
        <w:tc>
          <w:tcPr>
            <w:tcW w:w="781" w:type="dxa"/>
            <w:tcBorders>
              <w:top w:val="nil"/>
              <w:left w:val="nil"/>
              <w:bottom w:val="single" w:sz="4" w:space="0" w:color="auto"/>
              <w:right w:val="single" w:sz="4" w:space="0" w:color="auto"/>
            </w:tcBorders>
            <w:vAlign w:val="center"/>
            <w:hideMark/>
          </w:tcPr>
          <w:p w14:paraId="593C6C79" w14:textId="77777777" w:rsidR="00F236AA" w:rsidRPr="000C2276" w:rsidRDefault="00F236AA" w:rsidP="000C2276">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0C2276">
              <w:rPr>
                <w:rFonts w:ascii="Times New Roman" w:eastAsia="Times New Roman" w:hAnsi="Times New Roman" w:cs="Times New Roman"/>
                <w:color w:val="000000"/>
                <w:kern w:val="0"/>
                <w:sz w:val="18"/>
                <w:szCs w:val="18"/>
                <w:lang w:eastAsia="en-IN"/>
                <w14:ligatures w14:val="none"/>
              </w:rPr>
              <w:t>97</w:t>
            </w:r>
          </w:p>
        </w:tc>
        <w:tc>
          <w:tcPr>
            <w:tcW w:w="895" w:type="dxa"/>
            <w:tcBorders>
              <w:top w:val="nil"/>
              <w:left w:val="nil"/>
              <w:bottom w:val="single" w:sz="4" w:space="0" w:color="auto"/>
              <w:right w:val="single" w:sz="4" w:space="0" w:color="auto"/>
            </w:tcBorders>
            <w:vAlign w:val="center"/>
            <w:hideMark/>
          </w:tcPr>
          <w:p w14:paraId="7E1A48CD" w14:textId="77777777" w:rsidR="00F236AA" w:rsidRPr="000C2276" w:rsidRDefault="00F236AA" w:rsidP="000C2276">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0C2276">
              <w:rPr>
                <w:rFonts w:ascii="Times New Roman" w:eastAsia="Times New Roman" w:hAnsi="Times New Roman" w:cs="Times New Roman"/>
                <w:color w:val="000000"/>
                <w:kern w:val="0"/>
                <w:sz w:val="18"/>
                <w:szCs w:val="18"/>
                <w:lang w:eastAsia="en-IN"/>
                <w14:ligatures w14:val="none"/>
              </w:rPr>
              <w:t>197</w:t>
            </w:r>
          </w:p>
        </w:tc>
        <w:tc>
          <w:tcPr>
            <w:tcW w:w="854" w:type="dxa"/>
            <w:tcBorders>
              <w:top w:val="nil"/>
              <w:left w:val="nil"/>
              <w:bottom w:val="single" w:sz="4" w:space="0" w:color="auto"/>
              <w:right w:val="single" w:sz="4" w:space="0" w:color="auto"/>
            </w:tcBorders>
            <w:vAlign w:val="center"/>
            <w:hideMark/>
          </w:tcPr>
          <w:p w14:paraId="5167E16C" w14:textId="77777777" w:rsidR="00F236AA" w:rsidRPr="000C2276" w:rsidRDefault="00F236AA" w:rsidP="000C2276">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0C2276">
              <w:rPr>
                <w:rFonts w:ascii="Times New Roman" w:eastAsia="Times New Roman" w:hAnsi="Times New Roman" w:cs="Times New Roman"/>
                <w:color w:val="000000"/>
                <w:kern w:val="0"/>
                <w:sz w:val="18"/>
                <w:szCs w:val="18"/>
                <w:lang w:eastAsia="en-IN"/>
                <w14:ligatures w14:val="none"/>
              </w:rPr>
              <w:t>449</w:t>
            </w:r>
          </w:p>
        </w:tc>
        <w:tc>
          <w:tcPr>
            <w:tcW w:w="1280" w:type="dxa"/>
            <w:tcBorders>
              <w:top w:val="nil"/>
              <w:left w:val="nil"/>
              <w:bottom w:val="single" w:sz="4" w:space="0" w:color="auto"/>
              <w:right w:val="single" w:sz="4" w:space="0" w:color="auto"/>
            </w:tcBorders>
            <w:vAlign w:val="center"/>
            <w:hideMark/>
          </w:tcPr>
          <w:p w14:paraId="193FDD4E" w14:textId="77777777" w:rsidR="00F236AA" w:rsidRPr="000C2276" w:rsidRDefault="00F236AA" w:rsidP="000C2276">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0C2276">
              <w:rPr>
                <w:rFonts w:ascii="Times New Roman" w:eastAsia="Times New Roman" w:hAnsi="Times New Roman" w:cs="Times New Roman"/>
                <w:color w:val="000000"/>
                <w:kern w:val="0"/>
                <w:sz w:val="18"/>
                <w:szCs w:val="18"/>
                <w:lang w:eastAsia="en-IN"/>
                <w14:ligatures w14:val="none"/>
              </w:rPr>
              <w:t>47</w:t>
            </w:r>
          </w:p>
        </w:tc>
        <w:tc>
          <w:tcPr>
            <w:tcW w:w="833" w:type="dxa"/>
            <w:tcBorders>
              <w:top w:val="nil"/>
              <w:left w:val="nil"/>
              <w:bottom w:val="single" w:sz="4" w:space="0" w:color="auto"/>
              <w:right w:val="single" w:sz="4" w:space="0" w:color="auto"/>
            </w:tcBorders>
            <w:vAlign w:val="center"/>
            <w:hideMark/>
          </w:tcPr>
          <w:p w14:paraId="4219B07C" w14:textId="77777777" w:rsidR="00F236AA" w:rsidRPr="000C2276" w:rsidRDefault="00F236AA" w:rsidP="000C2276">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0C2276">
              <w:rPr>
                <w:rFonts w:ascii="Times New Roman" w:eastAsia="Times New Roman" w:hAnsi="Times New Roman" w:cs="Times New Roman"/>
                <w:color w:val="000000"/>
                <w:kern w:val="0"/>
                <w:sz w:val="18"/>
                <w:szCs w:val="18"/>
                <w:lang w:eastAsia="en-IN"/>
                <w14:ligatures w14:val="none"/>
              </w:rPr>
              <w:t>37</w:t>
            </w:r>
          </w:p>
        </w:tc>
        <w:tc>
          <w:tcPr>
            <w:tcW w:w="752" w:type="dxa"/>
            <w:tcBorders>
              <w:top w:val="nil"/>
              <w:left w:val="nil"/>
              <w:bottom w:val="single" w:sz="4" w:space="0" w:color="auto"/>
              <w:right w:val="single" w:sz="4" w:space="0" w:color="auto"/>
            </w:tcBorders>
            <w:vAlign w:val="center"/>
            <w:hideMark/>
          </w:tcPr>
          <w:p w14:paraId="6E9452E5" w14:textId="77777777" w:rsidR="00F236AA" w:rsidRPr="000C2276" w:rsidRDefault="00F236AA" w:rsidP="000C2276">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0C2276">
              <w:rPr>
                <w:rFonts w:ascii="Times New Roman" w:eastAsia="Times New Roman" w:hAnsi="Times New Roman" w:cs="Times New Roman"/>
                <w:color w:val="000000"/>
                <w:kern w:val="0"/>
                <w:sz w:val="18"/>
                <w:szCs w:val="18"/>
                <w:lang w:eastAsia="en-IN"/>
                <w14:ligatures w14:val="none"/>
              </w:rPr>
              <w:t>150</w:t>
            </w:r>
          </w:p>
        </w:tc>
        <w:tc>
          <w:tcPr>
            <w:tcW w:w="814" w:type="dxa"/>
            <w:tcBorders>
              <w:top w:val="nil"/>
              <w:left w:val="nil"/>
              <w:bottom w:val="single" w:sz="4" w:space="0" w:color="auto"/>
              <w:right w:val="single" w:sz="4" w:space="0" w:color="auto"/>
            </w:tcBorders>
            <w:vAlign w:val="center"/>
            <w:hideMark/>
          </w:tcPr>
          <w:p w14:paraId="4B3D10D4" w14:textId="77777777" w:rsidR="00F236AA" w:rsidRPr="000C2276" w:rsidRDefault="00F236AA" w:rsidP="000C2276">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0C2276">
              <w:rPr>
                <w:rFonts w:ascii="Times New Roman" w:eastAsia="Times New Roman" w:hAnsi="Times New Roman" w:cs="Times New Roman"/>
                <w:color w:val="000000"/>
                <w:kern w:val="0"/>
                <w:sz w:val="18"/>
                <w:szCs w:val="18"/>
                <w:lang w:eastAsia="en-IN"/>
                <w14:ligatures w14:val="none"/>
              </w:rPr>
              <w:t>3</w:t>
            </w:r>
          </w:p>
        </w:tc>
        <w:tc>
          <w:tcPr>
            <w:tcW w:w="1047" w:type="dxa"/>
            <w:tcBorders>
              <w:top w:val="nil"/>
              <w:left w:val="nil"/>
              <w:bottom w:val="single" w:sz="4" w:space="0" w:color="auto"/>
              <w:right w:val="single" w:sz="4" w:space="0" w:color="auto"/>
            </w:tcBorders>
            <w:vAlign w:val="center"/>
            <w:hideMark/>
          </w:tcPr>
          <w:p w14:paraId="00BB75C1" w14:textId="77777777" w:rsidR="00F236AA" w:rsidRPr="000C2276" w:rsidRDefault="00F236AA" w:rsidP="000C2276">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0C2276">
              <w:rPr>
                <w:rFonts w:ascii="Times New Roman" w:eastAsia="Times New Roman" w:hAnsi="Times New Roman" w:cs="Times New Roman"/>
                <w:color w:val="000000"/>
                <w:kern w:val="0"/>
                <w:sz w:val="18"/>
                <w:szCs w:val="18"/>
                <w:lang w:eastAsia="en-IN"/>
                <w14:ligatures w14:val="none"/>
              </w:rPr>
              <w:t>447</w:t>
            </w:r>
          </w:p>
        </w:tc>
        <w:tc>
          <w:tcPr>
            <w:tcW w:w="882" w:type="dxa"/>
            <w:tcBorders>
              <w:top w:val="nil"/>
              <w:left w:val="nil"/>
              <w:bottom w:val="single" w:sz="4" w:space="0" w:color="auto"/>
              <w:right w:val="single" w:sz="4" w:space="0" w:color="auto"/>
            </w:tcBorders>
            <w:vAlign w:val="center"/>
            <w:hideMark/>
          </w:tcPr>
          <w:p w14:paraId="32A10D55" w14:textId="77777777" w:rsidR="00F236AA" w:rsidRPr="000C2276" w:rsidRDefault="00F236AA" w:rsidP="000C2276">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0C2276">
              <w:rPr>
                <w:rFonts w:ascii="Times New Roman" w:eastAsia="Times New Roman" w:hAnsi="Times New Roman" w:cs="Times New Roman"/>
                <w:color w:val="000000"/>
                <w:kern w:val="0"/>
                <w:sz w:val="18"/>
                <w:szCs w:val="18"/>
                <w:lang w:eastAsia="en-IN"/>
                <w14:ligatures w14:val="none"/>
              </w:rPr>
              <w:t>72</w:t>
            </w:r>
          </w:p>
        </w:tc>
        <w:tc>
          <w:tcPr>
            <w:tcW w:w="782" w:type="dxa"/>
            <w:tcBorders>
              <w:top w:val="nil"/>
              <w:left w:val="nil"/>
              <w:bottom w:val="single" w:sz="4" w:space="0" w:color="auto"/>
              <w:right w:val="single" w:sz="4" w:space="0" w:color="auto"/>
            </w:tcBorders>
            <w:vAlign w:val="center"/>
            <w:hideMark/>
          </w:tcPr>
          <w:p w14:paraId="678953C3" w14:textId="77777777" w:rsidR="00F236AA" w:rsidRPr="000C2276" w:rsidRDefault="00F236AA" w:rsidP="000C2276">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0C2276">
              <w:rPr>
                <w:rFonts w:ascii="Times New Roman" w:eastAsia="Times New Roman" w:hAnsi="Times New Roman" w:cs="Times New Roman"/>
                <w:color w:val="000000"/>
                <w:kern w:val="0"/>
                <w:sz w:val="18"/>
                <w:szCs w:val="18"/>
                <w:lang w:eastAsia="en-IN"/>
                <w14:ligatures w14:val="none"/>
              </w:rPr>
              <w:t>5</w:t>
            </w:r>
          </w:p>
        </w:tc>
        <w:tc>
          <w:tcPr>
            <w:tcW w:w="752" w:type="dxa"/>
            <w:tcBorders>
              <w:top w:val="nil"/>
              <w:left w:val="nil"/>
              <w:bottom w:val="single" w:sz="4" w:space="0" w:color="auto"/>
              <w:right w:val="single" w:sz="4" w:space="0" w:color="auto"/>
            </w:tcBorders>
            <w:vAlign w:val="center"/>
            <w:hideMark/>
          </w:tcPr>
          <w:p w14:paraId="1A5F5C09" w14:textId="77777777" w:rsidR="00F236AA" w:rsidRPr="000C2276" w:rsidRDefault="00F236AA" w:rsidP="000C2276">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0C2276">
              <w:rPr>
                <w:rFonts w:ascii="Times New Roman" w:eastAsia="Times New Roman" w:hAnsi="Times New Roman" w:cs="Times New Roman"/>
                <w:color w:val="000000"/>
                <w:kern w:val="0"/>
                <w:sz w:val="18"/>
                <w:szCs w:val="18"/>
                <w:lang w:eastAsia="en-IN"/>
                <w14:ligatures w14:val="none"/>
              </w:rPr>
              <w:t>2219</w:t>
            </w:r>
          </w:p>
        </w:tc>
      </w:tr>
      <w:tr w:rsidR="000C2276" w:rsidRPr="000C2276" w14:paraId="015C38FE" w14:textId="77777777" w:rsidTr="000C2276">
        <w:trPr>
          <w:trHeight w:val="340"/>
          <w:jc w:val="center"/>
        </w:trPr>
        <w:tc>
          <w:tcPr>
            <w:tcW w:w="1026" w:type="dxa"/>
            <w:tcBorders>
              <w:top w:val="nil"/>
              <w:left w:val="single" w:sz="4" w:space="0" w:color="auto"/>
              <w:bottom w:val="single" w:sz="4" w:space="0" w:color="auto"/>
              <w:right w:val="single" w:sz="4" w:space="0" w:color="auto"/>
            </w:tcBorders>
            <w:vAlign w:val="center"/>
            <w:hideMark/>
          </w:tcPr>
          <w:p w14:paraId="481B836D" w14:textId="77777777" w:rsidR="00F236AA" w:rsidRPr="000C2276" w:rsidRDefault="00F236AA" w:rsidP="00F236AA">
            <w:pPr>
              <w:spacing w:after="0" w:line="240" w:lineRule="auto"/>
              <w:rPr>
                <w:rFonts w:ascii="Times New Roman" w:eastAsia="Times New Roman" w:hAnsi="Times New Roman" w:cs="Times New Roman"/>
                <w:color w:val="000000"/>
                <w:kern w:val="0"/>
                <w:sz w:val="18"/>
                <w:szCs w:val="18"/>
                <w:lang w:eastAsia="en-IN"/>
                <w14:ligatures w14:val="none"/>
              </w:rPr>
            </w:pPr>
            <w:r w:rsidRPr="000C2276">
              <w:rPr>
                <w:rFonts w:ascii="Times New Roman" w:eastAsia="Times New Roman" w:hAnsi="Times New Roman" w:cs="Times New Roman"/>
                <w:color w:val="000000"/>
                <w:kern w:val="0"/>
                <w:sz w:val="18"/>
                <w:szCs w:val="18"/>
                <w:lang w:eastAsia="en-IN"/>
                <w14:ligatures w14:val="none"/>
              </w:rPr>
              <w:t>October</w:t>
            </w:r>
          </w:p>
        </w:tc>
        <w:tc>
          <w:tcPr>
            <w:tcW w:w="882" w:type="dxa"/>
            <w:tcBorders>
              <w:top w:val="nil"/>
              <w:left w:val="nil"/>
              <w:bottom w:val="single" w:sz="4" w:space="0" w:color="auto"/>
              <w:right w:val="single" w:sz="4" w:space="0" w:color="auto"/>
            </w:tcBorders>
            <w:vAlign w:val="center"/>
            <w:hideMark/>
          </w:tcPr>
          <w:p w14:paraId="628DBC05" w14:textId="77777777" w:rsidR="00F236AA" w:rsidRPr="000C2276" w:rsidRDefault="00F236AA" w:rsidP="000C2276">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0C2276">
              <w:rPr>
                <w:rFonts w:ascii="Times New Roman" w:eastAsia="Times New Roman" w:hAnsi="Times New Roman" w:cs="Times New Roman"/>
                <w:color w:val="000000"/>
                <w:kern w:val="0"/>
                <w:sz w:val="18"/>
                <w:szCs w:val="18"/>
                <w:lang w:eastAsia="en-IN"/>
                <w14:ligatures w14:val="none"/>
              </w:rPr>
              <w:t>1057</w:t>
            </w:r>
          </w:p>
        </w:tc>
        <w:tc>
          <w:tcPr>
            <w:tcW w:w="763" w:type="dxa"/>
            <w:tcBorders>
              <w:top w:val="nil"/>
              <w:left w:val="nil"/>
              <w:bottom w:val="single" w:sz="4" w:space="0" w:color="auto"/>
              <w:right w:val="single" w:sz="4" w:space="0" w:color="auto"/>
            </w:tcBorders>
            <w:vAlign w:val="center"/>
            <w:hideMark/>
          </w:tcPr>
          <w:p w14:paraId="7272FA55" w14:textId="77777777" w:rsidR="00F236AA" w:rsidRPr="000C2276" w:rsidRDefault="00F236AA" w:rsidP="000C2276">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0C2276">
              <w:rPr>
                <w:rFonts w:ascii="Times New Roman" w:eastAsia="Times New Roman" w:hAnsi="Times New Roman" w:cs="Times New Roman"/>
                <w:color w:val="000000"/>
                <w:kern w:val="0"/>
                <w:sz w:val="18"/>
                <w:szCs w:val="18"/>
                <w:lang w:eastAsia="en-IN"/>
                <w14:ligatures w14:val="none"/>
              </w:rPr>
              <w:t>..</w:t>
            </w:r>
          </w:p>
        </w:tc>
        <w:tc>
          <w:tcPr>
            <w:tcW w:w="692" w:type="dxa"/>
            <w:tcBorders>
              <w:top w:val="nil"/>
              <w:left w:val="nil"/>
              <w:bottom w:val="single" w:sz="4" w:space="0" w:color="auto"/>
              <w:right w:val="single" w:sz="4" w:space="0" w:color="auto"/>
            </w:tcBorders>
            <w:vAlign w:val="center"/>
            <w:hideMark/>
          </w:tcPr>
          <w:p w14:paraId="3FFA8C02" w14:textId="77777777" w:rsidR="00F236AA" w:rsidRPr="000C2276" w:rsidRDefault="00F236AA" w:rsidP="000C2276">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0C2276">
              <w:rPr>
                <w:rFonts w:ascii="Times New Roman" w:eastAsia="Times New Roman" w:hAnsi="Times New Roman" w:cs="Times New Roman"/>
                <w:color w:val="000000"/>
                <w:kern w:val="0"/>
                <w:sz w:val="18"/>
                <w:szCs w:val="18"/>
                <w:lang w:eastAsia="en-IN"/>
                <w14:ligatures w14:val="none"/>
              </w:rPr>
              <w:t>897</w:t>
            </w:r>
          </w:p>
        </w:tc>
        <w:tc>
          <w:tcPr>
            <w:tcW w:w="874" w:type="dxa"/>
            <w:tcBorders>
              <w:top w:val="nil"/>
              <w:left w:val="nil"/>
              <w:bottom w:val="single" w:sz="4" w:space="0" w:color="auto"/>
              <w:right w:val="single" w:sz="4" w:space="0" w:color="auto"/>
            </w:tcBorders>
            <w:vAlign w:val="center"/>
            <w:hideMark/>
          </w:tcPr>
          <w:p w14:paraId="09DA0FC2" w14:textId="77777777" w:rsidR="00F236AA" w:rsidRPr="000C2276" w:rsidRDefault="00F236AA" w:rsidP="000C2276">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0C2276">
              <w:rPr>
                <w:rFonts w:ascii="Times New Roman" w:eastAsia="Times New Roman" w:hAnsi="Times New Roman" w:cs="Times New Roman"/>
                <w:color w:val="000000"/>
                <w:kern w:val="0"/>
                <w:sz w:val="18"/>
                <w:szCs w:val="18"/>
                <w:lang w:eastAsia="en-IN"/>
                <w14:ligatures w14:val="none"/>
              </w:rPr>
              <w:t>710</w:t>
            </w:r>
          </w:p>
        </w:tc>
        <w:tc>
          <w:tcPr>
            <w:tcW w:w="935" w:type="dxa"/>
            <w:tcBorders>
              <w:top w:val="nil"/>
              <w:left w:val="nil"/>
              <w:bottom w:val="single" w:sz="4" w:space="0" w:color="auto"/>
              <w:right w:val="single" w:sz="4" w:space="0" w:color="auto"/>
            </w:tcBorders>
            <w:vAlign w:val="center"/>
            <w:hideMark/>
          </w:tcPr>
          <w:p w14:paraId="0D9B2F97" w14:textId="77777777" w:rsidR="00F236AA" w:rsidRPr="000C2276" w:rsidRDefault="00F236AA" w:rsidP="000C2276">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0C2276">
              <w:rPr>
                <w:rFonts w:ascii="Times New Roman" w:eastAsia="Times New Roman" w:hAnsi="Times New Roman" w:cs="Times New Roman"/>
                <w:color w:val="000000"/>
                <w:kern w:val="0"/>
                <w:sz w:val="18"/>
                <w:szCs w:val="18"/>
                <w:lang w:eastAsia="en-IN"/>
                <w14:ligatures w14:val="none"/>
              </w:rPr>
              <w:t>..</w:t>
            </w:r>
          </w:p>
        </w:tc>
        <w:tc>
          <w:tcPr>
            <w:tcW w:w="781" w:type="dxa"/>
            <w:tcBorders>
              <w:top w:val="nil"/>
              <w:left w:val="nil"/>
              <w:bottom w:val="single" w:sz="4" w:space="0" w:color="auto"/>
              <w:right w:val="single" w:sz="4" w:space="0" w:color="auto"/>
            </w:tcBorders>
            <w:vAlign w:val="center"/>
            <w:hideMark/>
          </w:tcPr>
          <w:p w14:paraId="157D6A7B" w14:textId="77777777" w:rsidR="00F236AA" w:rsidRPr="000C2276" w:rsidRDefault="00F236AA" w:rsidP="000C2276">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0C2276">
              <w:rPr>
                <w:rFonts w:ascii="Times New Roman" w:eastAsia="Times New Roman" w:hAnsi="Times New Roman" w:cs="Times New Roman"/>
                <w:color w:val="000000"/>
                <w:kern w:val="0"/>
                <w:sz w:val="18"/>
                <w:szCs w:val="18"/>
                <w:lang w:eastAsia="en-IN"/>
                <w14:ligatures w14:val="none"/>
              </w:rPr>
              <w:t>707</w:t>
            </w:r>
          </w:p>
        </w:tc>
        <w:tc>
          <w:tcPr>
            <w:tcW w:w="895" w:type="dxa"/>
            <w:tcBorders>
              <w:top w:val="nil"/>
              <w:left w:val="nil"/>
              <w:bottom w:val="single" w:sz="4" w:space="0" w:color="auto"/>
              <w:right w:val="single" w:sz="4" w:space="0" w:color="auto"/>
            </w:tcBorders>
            <w:vAlign w:val="center"/>
            <w:hideMark/>
          </w:tcPr>
          <w:p w14:paraId="076AB41F" w14:textId="77777777" w:rsidR="00F236AA" w:rsidRPr="000C2276" w:rsidRDefault="00F236AA" w:rsidP="000C2276">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0C2276">
              <w:rPr>
                <w:rFonts w:ascii="Times New Roman" w:eastAsia="Times New Roman" w:hAnsi="Times New Roman" w:cs="Times New Roman"/>
                <w:color w:val="000000"/>
                <w:kern w:val="0"/>
                <w:sz w:val="18"/>
                <w:szCs w:val="18"/>
                <w:lang w:eastAsia="en-IN"/>
                <w14:ligatures w14:val="none"/>
              </w:rPr>
              <w:t>1165</w:t>
            </w:r>
          </w:p>
        </w:tc>
        <w:tc>
          <w:tcPr>
            <w:tcW w:w="854" w:type="dxa"/>
            <w:tcBorders>
              <w:top w:val="nil"/>
              <w:left w:val="nil"/>
              <w:bottom w:val="single" w:sz="4" w:space="0" w:color="auto"/>
              <w:right w:val="single" w:sz="4" w:space="0" w:color="auto"/>
            </w:tcBorders>
            <w:vAlign w:val="center"/>
            <w:hideMark/>
          </w:tcPr>
          <w:p w14:paraId="238CCF06" w14:textId="77777777" w:rsidR="00F236AA" w:rsidRPr="000C2276" w:rsidRDefault="00F236AA" w:rsidP="000C2276">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0C2276">
              <w:rPr>
                <w:rFonts w:ascii="Times New Roman" w:eastAsia="Times New Roman" w:hAnsi="Times New Roman" w:cs="Times New Roman"/>
                <w:color w:val="000000"/>
                <w:kern w:val="0"/>
                <w:sz w:val="18"/>
                <w:szCs w:val="18"/>
                <w:lang w:eastAsia="en-IN"/>
                <w14:ligatures w14:val="none"/>
              </w:rPr>
              <w:t>1079</w:t>
            </w:r>
          </w:p>
        </w:tc>
        <w:tc>
          <w:tcPr>
            <w:tcW w:w="1280" w:type="dxa"/>
            <w:tcBorders>
              <w:top w:val="nil"/>
              <w:left w:val="nil"/>
              <w:bottom w:val="single" w:sz="4" w:space="0" w:color="auto"/>
              <w:right w:val="single" w:sz="4" w:space="0" w:color="auto"/>
            </w:tcBorders>
            <w:vAlign w:val="center"/>
            <w:hideMark/>
          </w:tcPr>
          <w:p w14:paraId="6BEED0C6" w14:textId="77777777" w:rsidR="00F236AA" w:rsidRPr="000C2276" w:rsidRDefault="00F236AA" w:rsidP="000C2276">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0C2276">
              <w:rPr>
                <w:rFonts w:ascii="Times New Roman" w:eastAsia="Times New Roman" w:hAnsi="Times New Roman" w:cs="Times New Roman"/>
                <w:color w:val="000000"/>
                <w:kern w:val="0"/>
                <w:sz w:val="18"/>
                <w:szCs w:val="18"/>
                <w:lang w:eastAsia="en-IN"/>
                <w14:ligatures w14:val="none"/>
              </w:rPr>
              <w:t>643</w:t>
            </w:r>
          </w:p>
        </w:tc>
        <w:tc>
          <w:tcPr>
            <w:tcW w:w="833" w:type="dxa"/>
            <w:tcBorders>
              <w:top w:val="nil"/>
              <w:left w:val="nil"/>
              <w:bottom w:val="single" w:sz="4" w:space="0" w:color="auto"/>
              <w:right w:val="single" w:sz="4" w:space="0" w:color="auto"/>
            </w:tcBorders>
            <w:vAlign w:val="center"/>
            <w:hideMark/>
          </w:tcPr>
          <w:p w14:paraId="43CC3397" w14:textId="77777777" w:rsidR="00F236AA" w:rsidRPr="000C2276" w:rsidRDefault="00F236AA" w:rsidP="000C2276">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0C2276">
              <w:rPr>
                <w:rFonts w:ascii="Times New Roman" w:eastAsia="Times New Roman" w:hAnsi="Times New Roman" w:cs="Times New Roman"/>
                <w:color w:val="000000"/>
                <w:kern w:val="0"/>
                <w:sz w:val="18"/>
                <w:szCs w:val="18"/>
                <w:lang w:eastAsia="en-IN"/>
                <w14:ligatures w14:val="none"/>
              </w:rPr>
              <w:t>1049</w:t>
            </w:r>
          </w:p>
        </w:tc>
        <w:tc>
          <w:tcPr>
            <w:tcW w:w="752" w:type="dxa"/>
            <w:tcBorders>
              <w:top w:val="nil"/>
              <w:left w:val="nil"/>
              <w:bottom w:val="single" w:sz="4" w:space="0" w:color="auto"/>
              <w:right w:val="single" w:sz="4" w:space="0" w:color="auto"/>
            </w:tcBorders>
            <w:vAlign w:val="center"/>
            <w:hideMark/>
          </w:tcPr>
          <w:p w14:paraId="0BE404D8" w14:textId="77777777" w:rsidR="00F236AA" w:rsidRPr="000C2276" w:rsidRDefault="00F236AA" w:rsidP="000C2276">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0C2276">
              <w:rPr>
                <w:rFonts w:ascii="Times New Roman" w:eastAsia="Times New Roman" w:hAnsi="Times New Roman" w:cs="Times New Roman"/>
                <w:color w:val="000000"/>
                <w:kern w:val="0"/>
                <w:sz w:val="18"/>
                <w:szCs w:val="18"/>
                <w:lang w:eastAsia="en-IN"/>
                <w14:ligatures w14:val="none"/>
              </w:rPr>
              <w:t>107</w:t>
            </w:r>
          </w:p>
        </w:tc>
        <w:tc>
          <w:tcPr>
            <w:tcW w:w="814" w:type="dxa"/>
            <w:tcBorders>
              <w:top w:val="nil"/>
              <w:left w:val="nil"/>
              <w:bottom w:val="single" w:sz="4" w:space="0" w:color="auto"/>
              <w:right w:val="single" w:sz="4" w:space="0" w:color="auto"/>
            </w:tcBorders>
            <w:vAlign w:val="center"/>
            <w:hideMark/>
          </w:tcPr>
          <w:p w14:paraId="459A95E7" w14:textId="77777777" w:rsidR="00F236AA" w:rsidRPr="000C2276" w:rsidRDefault="00F236AA" w:rsidP="000C2276">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0C2276">
              <w:rPr>
                <w:rFonts w:ascii="Times New Roman" w:eastAsia="Times New Roman" w:hAnsi="Times New Roman" w:cs="Times New Roman"/>
                <w:color w:val="000000"/>
                <w:kern w:val="0"/>
                <w:sz w:val="18"/>
                <w:szCs w:val="18"/>
                <w:lang w:eastAsia="en-IN"/>
                <w14:ligatures w14:val="none"/>
              </w:rPr>
              <w:t>80</w:t>
            </w:r>
          </w:p>
        </w:tc>
        <w:tc>
          <w:tcPr>
            <w:tcW w:w="1047" w:type="dxa"/>
            <w:tcBorders>
              <w:top w:val="nil"/>
              <w:left w:val="nil"/>
              <w:bottom w:val="single" w:sz="4" w:space="0" w:color="auto"/>
              <w:right w:val="single" w:sz="4" w:space="0" w:color="auto"/>
            </w:tcBorders>
            <w:vAlign w:val="center"/>
            <w:hideMark/>
          </w:tcPr>
          <w:p w14:paraId="5675AB0A" w14:textId="77777777" w:rsidR="00F236AA" w:rsidRPr="000C2276" w:rsidRDefault="00F236AA" w:rsidP="000C2276">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0C2276">
              <w:rPr>
                <w:rFonts w:ascii="Times New Roman" w:eastAsia="Times New Roman" w:hAnsi="Times New Roman" w:cs="Times New Roman"/>
                <w:color w:val="000000"/>
                <w:kern w:val="0"/>
                <w:sz w:val="18"/>
                <w:szCs w:val="18"/>
                <w:lang w:eastAsia="en-IN"/>
                <w14:ligatures w14:val="none"/>
              </w:rPr>
              <w:t>569</w:t>
            </w:r>
          </w:p>
        </w:tc>
        <w:tc>
          <w:tcPr>
            <w:tcW w:w="882" w:type="dxa"/>
            <w:tcBorders>
              <w:top w:val="nil"/>
              <w:left w:val="nil"/>
              <w:bottom w:val="single" w:sz="4" w:space="0" w:color="auto"/>
              <w:right w:val="single" w:sz="4" w:space="0" w:color="auto"/>
            </w:tcBorders>
            <w:vAlign w:val="center"/>
            <w:hideMark/>
          </w:tcPr>
          <w:p w14:paraId="7B2F7C97" w14:textId="77777777" w:rsidR="00F236AA" w:rsidRPr="000C2276" w:rsidRDefault="00F236AA" w:rsidP="000C2276">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0C2276">
              <w:rPr>
                <w:rFonts w:ascii="Times New Roman" w:eastAsia="Times New Roman" w:hAnsi="Times New Roman" w:cs="Times New Roman"/>
                <w:color w:val="000000"/>
                <w:kern w:val="0"/>
                <w:sz w:val="18"/>
                <w:szCs w:val="18"/>
                <w:lang w:eastAsia="en-IN"/>
                <w14:ligatures w14:val="none"/>
              </w:rPr>
              <w:t>1658</w:t>
            </w:r>
          </w:p>
        </w:tc>
        <w:tc>
          <w:tcPr>
            <w:tcW w:w="782" w:type="dxa"/>
            <w:tcBorders>
              <w:top w:val="nil"/>
              <w:left w:val="nil"/>
              <w:bottom w:val="single" w:sz="4" w:space="0" w:color="auto"/>
              <w:right w:val="single" w:sz="4" w:space="0" w:color="auto"/>
            </w:tcBorders>
            <w:vAlign w:val="center"/>
            <w:hideMark/>
          </w:tcPr>
          <w:p w14:paraId="67CBA484" w14:textId="77777777" w:rsidR="00F236AA" w:rsidRPr="000C2276" w:rsidRDefault="00F236AA" w:rsidP="000C2276">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0C2276">
              <w:rPr>
                <w:rFonts w:ascii="Times New Roman" w:eastAsia="Times New Roman" w:hAnsi="Times New Roman" w:cs="Times New Roman"/>
                <w:color w:val="000000"/>
                <w:kern w:val="0"/>
                <w:sz w:val="18"/>
                <w:szCs w:val="18"/>
                <w:lang w:eastAsia="en-IN"/>
                <w14:ligatures w14:val="none"/>
              </w:rPr>
              <w:t>23</w:t>
            </w:r>
          </w:p>
        </w:tc>
        <w:tc>
          <w:tcPr>
            <w:tcW w:w="752" w:type="dxa"/>
            <w:tcBorders>
              <w:top w:val="nil"/>
              <w:left w:val="nil"/>
              <w:bottom w:val="single" w:sz="4" w:space="0" w:color="auto"/>
              <w:right w:val="single" w:sz="4" w:space="0" w:color="auto"/>
            </w:tcBorders>
            <w:vAlign w:val="center"/>
            <w:hideMark/>
          </w:tcPr>
          <w:p w14:paraId="0A7338F1" w14:textId="77777777" w:rsidR="00F236AA" w:rsidRPr="000C2276" w:rsidRDefault="00F236AA" w:rsidP="000C2276">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0C2276">
              <w:rPr>
                <w:rFonts w:ascii="Times New Roman" w:eastAsia="Times New Roman" w:hAnsi="Times New Roman" w:cs="Times New Roman"/>
                <w:color w:val="000000"/>
                <w:kern w:val="0"/>
                <w:sz w:val="18"/>
                <w:szCs w:val="18"/>
                <w:lang w:eastAsia="en-IN"/>
                <w14:ligatures w14:val="none"/>
              </w:rPr>
              <w:t>9744</w:t>
            </w:r>
          </w:p>
        </w:tc>
      </w:tr>
      <w:tr w:rsidR="000C2276" w:rsidRPr="000C2276" w14:paraId="118D3164" w14:textId="77777777" w:rsidTr="000C2276">
        <w:trPr>
          <w:trHeight w:val="340"/>
          <w:jc w:val="center"/>
        </w:trPr>
        <w:tc>
          <w:tcPr>
            <w:tcW w:w="1026" w:type="dxa"/>
            <w:tcBorders>
              <w:top w:val="nil"/>
              <w:left w:val="single" w:sz="4" w:space="0" w:color="auto"/>
              <w:bottom w:val="single" w:sz="4" w:space="0" w:color="auto"/>
              <w:right w:val="single" w:sz="4" w:space="0" w:color="auto"/>
            </w:tcBorders>
            <w:vAlign w:val="center"/>
            <w:hideMark/>
          </w:tcPr>
          <w:p w14:paraId="4A0307AB" w14:textId="77777777" w:rsidR="00F236AA" w:rsidRPr="000C2276" w:rsidRDefault="00F236AA" w:rsidP="00F236AA">
            <w:pPr>
              <w:spacing w:after="0" w:line="240" w:lineRule="auto"/>
              <w:rPr>
                <w:rFonts w:ascii="Times New Roman" w:eastAsia="Times New Roman" w:hAnsi="Times New Roman" w:cs="Times New Roman"/>
                <w:color w:val="000000"/>
                <w:kern w:val="0"/>
                <w:sz w:val="18"/>
                <w:szCs w:val="18"/>
                <w:lang w:eastAsia="en-IN"/>
                <w14:ligatures w14:val="none"/>
              </w:rPr>
            </w:pPr>
            <w:r w:rsidRPr="000C2276">
              <w:rPr>
                <w:rFonts w:ascii="Times New Roman" w:eastAsia="Times New Roman" w:hAnsi="Times New Roman" w:cs="Times New Roman"/>
                <w:color w:val="000000"/>
                <w:kern w:val="0"/>
                <w:sz w:val="18"/>
                <w:szCs w:val="18"/>
                <w:lang w:eastAsia="en-IN"/>
                <w14:ligatures w14:val="none"/>
              </w:rPr>
              <w:t>November</w:t>
            </w:r>
          </w:p>
        </w:tc>
        <w:tc>
          <w:tcPr>
            <w:tcW w:w="882" w:type="dxa"/>
            <w:tcBorders>
              <w:top w:val="nil"/>
              <w:left w:val="nil"/>
              <w:bottom w:val="single" w:sz="4" w:space="0" w:color="auto"/>
              <w:right w:val="single" w:sz="4" w:space="0" w:color="auto"/>
            </w:tcBorders>
            <w:vAlign w:val="center"/>
            <w:hideMark/>
          </w:tcPr>
          <w:p w14:paraId="714A0914" w14:textId="77777777" w:rsidR="00F236AA" w:rsidRPr="000C2276" w:rsidRDefault="00F236AA" w:rsidP="000C2276">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0C2276">
              <w:rPr>
                <w:rFonts w:ascii="Times New Roman" w:eastAsia="Times New Roman" w:hAnsi="Times New Roman" w:cs="Times New Roman"/>
                <w:color w:val="000000"/>
                <w:kern w:val="0"/>
                <w:sz w:val="18"/>
                <w:szCs w:val="18"/>
                <w:lang w:eastAsia="en-IN"/>
                <w14:ligatures w14:val="none"/>
              </w:rPr>
              <w:t>44</w:t>
            </w:r>
          </w:p>
        </w:tc>
        <w:tc>
          <w:tcPr>
            <w:tcW w:w="763" w:type="dxa"/>
            <w:tcBorders>
              <w:top w:val="nil"/>
              <w:left w:val="nil"/>
              <w:bottom w:val="single" w:sz="4" w:space="0" w:color="auto"/>
              <w:right w:val="single" w:sz="4" w:space="0" w:color="auto"/>
            </w:tcBorders>
            <w:vAlign w:val="center"/>
            <w:hideMark/>
          </w:tcPr>
          <w:p w14:paraId="404B4764" w14:textId="77777777" w:rsidR="00F236AA" w:rsidRPr="000C2276" w:rsidRDefault="00F236AA" w:rsidP="000C2276">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0C2276">
              <w:rPr>
                <w:rFonts w:ascii="Times New Roman" w:eastAsia="Times New Roman" w:hAnsi="Times New Roman" w:cs="Times New Roman"/>
                <w:color w:val="000000"/>
                <w:kern w:val="0"/>
                <w:sz w:val="18"/>
                <w:szCs w:val="18"/>
                <w:lang w:eastAsia="en-IN"/>
                <w14:ligatures w14:val="none"/>
              </w:rPr>
              <w:t>488</w:t>
            </w:r>
          </w:p>
        </w:tc>
        <w:tc>
          <w:tcPr>
            <w:tcW w:w="692" w:type="dxa"/>
            <w:tcBorders>
              <w:top w:val="nil"/>
              <w:left w:val="nil"/>
              <w:bottom w:val="single" w:sz="4" w:space="0" w:color="auto"/>
              <w:right w:val="single" w:sz="4" w:space="0" w:color="auto"/>
            </w:tcBorders>
            <w:vAlign w:val="center"/>
            <w:hideMark/>
          </w:tcPr>
          <w:p w14:paraId="22FE9C60" w14:textId="77777777" w:rsidR="00F236AA" w:rsidRPr="000C2276" w:rsidRDefault="00F236AA" w:rsidP="000C2276">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0C2276">
              <w:rPr>
                <w:rFonts w:ascii="Times New Roman" w:eastAsia="Times New Roman" w:hAnsi="Times New Roman" w:cs="Times New Roman"/>
                <w:color w:val="000000"/>
                <w:kern w:val="0"/>
                <w:sz w:val="18"/>
                <w:szCs w:val="18"/>
                <w:lang w:eastAsia="en-IN"/>
                <w14:ligatures w14:val="none"/>
              </w:rPr>
              <w:t>677</w:t>
            </w:r>
          </w:p>
        </w:tc>
        <w:tc>
          <w:tcPr>
            <w:tcW w:w="874" w:type="dxa"/>
            <w:tcBorders>
              <w:top w:val="nil"/>
              <w:left w:val="nil"/>
              <w:bottom w:val="single" w:sz="4" w:space="0" w:color="auto"/>
              <w:right w:val="single" w:sz="4" w:space="0" w:color="auto"/>
            </w:tcBorders>
            <w:vAlign w:val="center"/>
            <w:hideMark/>
          </w:tcPr>
          <w:p w14:paraId="1CC1C892" w14:textId="77777777" w:rsidR="00F236AA" w:rsidRPr="000C2276" w:rsidRDefault="00F236AA" w:rsidP="000C2276">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0C2276">
              <w:rPr>
                <w:rFonts w:ascii="Times New Roman" w:eastAsia="Times New Roman" w:hAnsi="Times New Roman" w:cs="Times New Roman"/>
                <w:color w:val="000000"/>
                <w:kern w:val="0"/>
                <w:sz w:val="18"/>
                <w:szCs w:val="18"/>
                <w:lang w:eastAsia="en-IN"/>
                <w14:ligatures w14:val="none"/>
              </w:rPr>
              <w:t>11</w:t>
            </w:r>
          </w:p>
        </w:tc>
        <w:tc>
          <w:tcPr>
            <w:tcW w:w="935" w:type="dxa"/>
            <w:tcBorders>
              <w:top w:val="nil"/>
              <w:left w:val="nil"/>
              <w:bottom w:val="single" w:sz="4" w:space="0" w:color="auto"/>
              <w:right w:val="single" w:sz="4" w:space="0" w:color="auto"/>
            </w:tcBorders>
            <w:vAlign w:val="center"/>
            <w:hideMark/>
          </w:tcPr>
          <w:p w14:paraId="51385DA2" w14:textId="77777777" w:rsidR="00F236AA" w:rsidRPr="000C2276" w:rsidRDefault="00F236AA" w:rsidP="000C2276">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0C2276">
              <w:rPr>
                <w:rFonts w:ascii="Times New Roman" w:eastAsia="Times New Roman" w:hAnsi="Times New Roman" w:cs="Times New Roman"/>
                <w:color w:val="000000"/>
                <w:kern w:val="0"/>
                <w:sz w:val="18"/>
                <w:szCs w:val="18"/>
                <w:lang w:eastAsia="en-IN"/>
                <w14:ligatures w14:val="none"/>
              </w:rPr>
              <w:t>..</w:t>
            </w:r>
          </w:p>
        </w:tc>
        <w:tc>
          <w:tcPr>
            <w:tcW w:w="781" w:type="dxa"/>
            <w:tcBorders>
              <w:top w:val="nil"/>
              <w:left w:val="nil"/>
              <w:bottom w:val="single" w:sz="4" w:space="0" w:color="auto"/>
              <w:right w:val="single" w:sz="4" w:space="0" w:color="auto"/>
            </w:tcBorders>
            <w:vAlign w:val="center"/>
            <w:hideMark/>
          </w:tcPr>
          <w:p w14:paraId="7A6CEC76" w14:textId="77777777" w:rsidR="00F236AA" w:rsidRPr="000C2276" w:rsidRDefault="00F236AA" w:rsidP="000C2276">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0C2276">
              <w:rPr>
                <w:rFonts w:ascii="Times New Roman" w:eastAsia="Times New Roman" w:hAnsi="Times New Roman" w:cs="Times New Roman"/>
                <w:color w:val="000000"/>
                <w:kern w:val="0"/>
                <w:sz w:val="18"/>
                <w:szCs w:val="18"/>
                <w:lang w:eastAsia="en-IN"/>
                <w14:ligatures w14:val="none"/>
              </w:rPr>
              <w:t>50</w:t>
            </w:r>
          </w:p>
        </w:tc>
        <w:tc>
          <w:tcPr>
            <w:tcW w:w="895" w:type="dxa"/>
            <w:tcBorders>
              <w:top w:val="nil"/>
              <w:left w:val="nil"/>
              <w:bottom w:val="single" w:sz="4" w:space="0" w:color="auto"/>
              <w:right w:val="single" w:sz="4" w:space="0" w:color="auto"/>
            </w:tcBorders>
            <w:vAlign w:val="center"/>
            <w:hideMark/>
          </w:tcPr>
          <w:p w14:paraId="3FB85830" w14:textId="77777777" w:rsidR="00F236AA" w:rsidRPr="000C2276" w:rsidRDefault="00F236AA" w:rsidP="000C2276">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0C2276">
              <w:rPr>
                <w:rFonts w:ascii="Times New Roman" w:eastAsia="Times New Roman" w:hAnsi="Times New Roman" w:cs="Times New Roman"/>
                <w:color w:val="000000"/>
                <w:kern w:val="0"/>
                <w:sz w:val="18"/>
                <w:szCs w:val="18"/>
                <w:lang w:eastAsia="en-IN"/>
                <w14:ligatures w14:val="none"/>
              </w:rPr>
              <w:t>103</w:t>
            </w:r>
          </w:p>
        </w:tc>
        <w:tc>
          <w:tcPr>
            <w:tcW w:w="854" w:type="dxa"/>
            <w:tcBorders>
              <w:top w:val="nil"/>
              <w:left w:val="nil"/>
              <w:bottom w:val="single" w:sz="4" w:space="0" w:color="auto"/>
              <w:right w:val="single" w:sz="4" w:space="0" w:color="auto"/>
            </w:tcBorders>
            <w:vAlign w:val="center"/>
            <w:hideMark/>
          </w:tcPr>
          <w:p w14:paraId="1E1C03E1" w14:textId="77777777" w:rsidR="00F236AA" w:rsidRPr="000C2276" w:rsidRDefault="00F236AA" w:rsidP="000C2276">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0C2276">
              <w:rPr>
                <w:rFonts w:ascii="Times New Roman" w:eastAsia="Times New Roman" w:hAnsi="Times New Roman" w:cs="Times New Roman"/>
                <w:color w:val="000000"/>
                <w:kern w:val="0"/>
                <w:sz w:val="18"/>
                <w:szCs w:val="18"/>
                <w:lang w:eastAsia="en-IN"/>
                <w14:ligatures w14:val="none"/>
              </w:rPr>
              <w:t>26</w:t>
            </w:r>
          </w:p>
        </w:tc>
        <w:tc>
          <w:tcPr>
            <w:tcW w:w="1280" w:type="dxa"/>
            <w:tcBorders>
              <w:top w:val="nil"/>
              <w:left w:val="nil"/>
              <w:bottom w:val="single" w:sz="4" w:space="0" w:color="auto"/>
              <w:right w:val="single" w:sz="4" w:space="0" w:color="auto"/>
            </w:tcBorders>
            <w:vAlign w:val="center"/>
            <w:hideMark/>
          </w:tcPr>
          <w:p w14:paraId="33CD8B6E" w14:textId="77777777" w:rsidR="00F236AA" w:rsidRPr="000C2276" w:rsidRDefault="00F236AA" w:rsidP="000C2276">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0C2276">
              <w:rPr>
                <w:rFonts w:ascii="Times New Roman" w:eastAsia="Times New Roman" w:hAnsi="Times New Roman" w:cs="Times New Roman"/>
                <w:color w:val="000000"/>
                <w:kern w:val="0"/>
                <w:sz w:val="18"/>
                <w:szCs w:val="18"/>
                <w:lang w:eastAsia="en-IN"/>
                <w14:ligatures w14:val="none"/>
              </w:rPr>
              <w:t>469</w:t>
            </w:r>
          </w:p>
        </w:tc>
        <w:tc>
          <w:tcPr>
            <w:tcW w:w="833" w:type="dxa"/>
            <w:tcBorders>
              <w:top w:val="nil"/>
              <w:left w:val="nil"/>
              <w:bottom w:val="single" w:sz="4" w:space="0" w:color="auto"/>
              <w:right w:val="single" w:sz="4" w:space="0" w:color="auto"/>
            </w:tcBorders>
            <w:vAlign w:val="center"/>
            <w:hideMark/>
          </w:tcPr>
          <w:p w14:paraId="6F6AD9BE" w14:textId="77777777" w:rsidR="00F236AA" w:rsidRPr="000C2276" w:rsidRDefault="00F236AA" w:rsidP="000C2276">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0C2276">
              <w:rPr>
                <w:rFonts w:ascii="Times New Roman" w:eastAsia="Times New Roman" w:hAnsi="Times New Roman" w:cs="Times New Roman"/>
                <w:color w:val="000000"/>
                <w:kern w:val="0"/>
                <w:sz w:val="18"/>
                <w:szCs w:val="18"/>
                <w:lang w:eastAsia="en-IN"/>
                <w14:ligatures w14:val="none"/>
              </w:rPr>
              <w:t>72</w:t>
            </w:r>
          </w:p>
        </w:tc>
        <w:tc>
          <w:tcPr>
            <w:tcW w:w="752" w:type="dxa"/>
            <w:tcBorders>
              <w:top w:val="nil"/>
              <w:left w:val="nil"/>
              <w:bottom w:val="single" w:sz="4" w:space="0" w:color="auto"/>
              <w:right w:val="single" w:sz="4" w:space="0" w:color="auto"/>
            </w:tcBorders>
            <w:vAlign w:val="center"/>
            <w:hideMark/>
          </w:tcPr>
          <w:p w14:paraId="7130459B" w14:textId="77777777" w:rsidR="00F236AA" w:rsidRPr="000C2276" w:rsidRDefault="00F236AA" w:rsidP="000C2276">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0C2276">
              <w:rPr>
                <w:rFonts w:ascii="Times New Roman" w:eastAsia="Times New Roman" w:hAnsi="Times New Roman" w:cs="Times New Roman"/>
                <w:color w:val="000000"/>
                <w:kern w:val="0"/>
                <w:sz w:val="18"/>
                <w:szCs w:val="18"/>
                <w:lang w:eastAsia="en-IN"/>
                <w14:ligatures w14:val="none"/>
              </w:rPr>
              <w:t>280</w:t>
            </w:r>
          </w:p>
        </w:tc>
        <w:tc>
          <w:tcPr>
            <w:tcW w:w="814" w:type="dxa"/>
            <w:tcBorders>
              <w:top w:val="nil"/>
              <w:left w:val="nil"/>
              <w:bottom w:val="single" w:sz="4" w:space="0" w:color="auto"/>
              <w:right w:val="single" w:sz="4" w:space="0" w:color="auto"/>
            </w:tcBorders>
            <w:vAlign w:val="center"/>
            <w:hideMark/>
          </w:tcPr>
          <w:p w14:paraId="63EB479D" w14:textId="77777777" w:rsidR="00F236AA" w:rsidRPr="000C2276" w:rsidRDefault="00F236AA" w:rsidP="000C2276">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0C2276">
              <w:rPr>
                <w:rFonts w:ascii="Times New Roman" w:eastAsia="Times New Roman" w:hAnsi="Times New Roman" w:cs="Times New Roman"/>
                <w:color w:val="000000"/>
                <w:kern w:val="0"/>
                <w:sz w:val="18"/>
                <w:szCs w:val="18"/>
                <w:lang w:eastAsia="en-IN"/>
                <w14:ligatures w14:val="none"/>
              </w:rPr>
              <w:t>202</w:t>
            </w:r>
          </w:p>
        </w:tc>
        <w:tc>
          <w:tcPr>
            <w:tcW w:w="1047" w:type="dxa"/>
            <w:tcBorders>
              <w:top w:val="nil"/>
              <w:left w:val="nil"/>
              <w:bottom w:val="single" w:sz="4" w:space="0" w:color="auto"/>
              <w:right w:val="single" w:sz="4" w:space="0" w:color="auto"/>
            </w:tcBorders>
            <w:vAlign w:val="center"/>
            <w:hideMark/>
          </w:tcPr>
          <w:p w14:paraId="54273910" w14:textId="77777777" w:rsidR="00F236AA" w:rsidRPr="000C2276" w:rsidRDefault="00F236AA" w:rsidP="000C2276">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0C2276">
              <w:rPr>
                <w:rFonts w:ascii="Times New Roman" w:eastAsia="Times New Roman" w:hAnsi="Times New Roman" w:cs="Times New Roman"/>
                <w:color w:val="000000"/>
                <w:kern w:val="0"/>
                <w:sz w:val="18"/>
                <w:szCs w:val="18"/>
                <w:lang w:eastAsia="en-IN"/>
                <w14:ligatures w14:val="none"/>
              </w:rPr>
              <w:t>36</w:t>
            </w:r>
          </w:p>
        </w:tc>
        <w:tc>
          <w:tcPr>
            <w:tcW w:w="882" w:type="dxa"/>
            <w:tcBorders>
              <w:top w:val="nil"/>
              <w:left w:val="nil"/>
              <w:bottom w:val="single" w:sz="4" w:space="0" w:color="auto"/>
              <w:right w:val="single" w:sz="4" w:space="0" w:color="auto"/>
            </w:tcBorders>
            <w:vAlign w:val="center"/>
            <w:hideMark/>
          </w:tcPr>
          <w:p w14:paraId="7FC4EB48" w14:textId="77777777" w:rsidR="00F236AA" w:rsidRPr="000C2276" w:rsidRDefault="00F236AA" w:rsidP="000C2276">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0C2276">
              <w:rPr>
                <w:rFonts w:ascii="Times New Roman" w:eastAsia="Times New Roman" w:hAnsi="Times New Roman" w:cs="Times New Roman"/>
                <w:color w:val="000000"/>
                <w:kern w:val="0"/>
                <w:sz w:val="18"/>
                <w:szCs w:val="18"/>
                <w:lang w:eastAsia="en-IN"/>
                <w14:ligatures w14:val="none"/>
              </w:rPr>
              <w:t>204</w:t>
            </w:r>
          </w:p>
        </w:tc>
        <w:tc>
          <w:tcPr>
            <w:tcW w:w="782" w:type="dxa"/>
            <w:tcBorders>
              <w:top w:val="nil"/>
              <w:left w:val="nil"/>
              <w:bottom w:val="single" w:sz="4" w:space="0" w:color="auto"/>
              <w:right w:val="single" w:sz="4" w:space="0" w:color="auto"/>
            </w:tcBorders>
            <w:vAlign w:val="center"/>
            <w:hideMark/>
          </w:tcPr>
          <w:p w14:paraId="40832C81" w14:textId="77777777" w:rsidR="00F236AA" w:rsidRPr="000C2276" w:rsidRDefault="00F236AA" w:rsidP="000C2276">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0C2276">
              <w:rPr>
                <w:rFonts w:ascii="Times New Roman" w:eastAsia="Times New Roman" w:hAnsi="Times New Roman" w:cs="Times New Roman"/>
                <w:color w:val="000000"/>
                <w:kern w:val="0"/>
                <w:sz w:val="18"/>
                <w:szCs w:val="18"/>
                <w:lang w:eastAsia="en-IN"/>
                <w14:ligatures w14:val="none"/>
              </w:rPr>
              <w:t>..</w:t>
            </w:r>
          </w:p>
        </w:tc>
        <w:tc>
          <w:tcPr>
            <w:tcW w:w="752" w:type="dxa"/>
            <w:tcBorders>
              <w:top w:val="nil"/>
              <w:left w:val="nil"/>
              <w:bottom w:val="single" w:sz="4" w:space="0" w:color="auto"/>
              <w:right w:val="single" w:sz="4" w:space="0" w:color="auto"/>
            </w:tcBorders>
            <w:vAlign w:val="center"/>
            <w:hideMark/>
          </w:tcPr>
          <w:p w14:paraId="034F3ABE" w14:textId="77777777" w:rsidR="00F236AA" w:rsidRPr="000C2276" w:rsidRDefault="00F236AA" w:rsidP="000C2276">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0C2276">
              <w:rPr>
                <w:rFonts w:ascii="Times New Roman" w:eastAsia="Times New Roman" w:hAnsi="Times New Roman" w:cs="Times New Roman"/>
                <w:color w:val="000000"/>
                <w:kern w:val="0"/>
                <w:sz w:val="18"/>
                <w:szCs w:val="18"/>
                <w:lang w:eastAsia="en-IN"/>
                <w14:ligatures w14:val="none"/>
              </w:rPr>
              <w:t>2662</w:t>
            </w:r>
          </w:p>
        </w:tc>
      </w:tr>
      <w:tr w:rsidR="000C2276" w:rsidRPr="000C2276" w14:paraId="1680CE41" w14:textId="77777777" w:rsidTr="000C2276">
        <w:trPr>
          <w:trHeight w:val="340"/>
          <w:jc w:val="center"/>
        </w:trPr>
        <w:tc>
          <w:tcPr>
            <w:tcW w:w="1026" w:type="dxa"/>
            <w:tcBorders>
              <w:top w:val="nil"/>
              <w:left w:val="single" w:sz="4" w:space="0" w:color="auto"/>
              <w:bottom w:val="single" w:sz="4" w:space="0" w:color="auto"/>
              <w:right w:val="single" w:sz="4" w:space="0" w:color="auto"/>
            </w:tcBorders>
            <w:vAlign w:val="center"/>
            <w:hideMark/>
          </w:tcPr>
          <w:p w14:paraId="70AC7CCE" w14:textId="77777777" w:rsidR="00F236AA" w:rsidRPr="000C2276" w:rsidRDefault="00F236AA" w:rsidP="00F236AA">
            <w:pPr>
              <w:spacing w:after="0" w:line="240" w:lineRule="auto"/>
              <w:rPr>
                <w:rFonts w:ascii="Times New Roman" w:eastAsia="Times New Roman" w:hAnsi="Times New Roman" w:cs="Times New Roman"/>
                <w:color w:val="000000"/>
                <w:kern w:val="0"/>
                <w:sz w:val="18"/>
                <w:szCs w:val="18"/>
                <w:lang w:eastAsia="en-IN"/>
                <w14:ligatures w14:val="none"/>
              </w:rPr>
            </w:pPr>
            <w:r w:rsidRPr="000C2276">
              <w:rPr>
                <w:rFonts w:ascii="Times New Roman" w:eastAsia="Times New Roman" w:hAnsi="Times New Roman" w:cs="Times New Roman"/>
                <w:color w:val="000000"/>
                <w:kern w:val="0"/>
                <w:sz w:val="18"/>
                <w:szCs w:val="18"/>
                <w:lang w:eastAsia="en-IN"/>
                <w14:ligatures w14:val="none"/>
              </w:rPr>
              <w:t>December</w:t>
            </w:r>
          </w:p>
        </w:tc>
        <w:tc>
          <w:tcPr>
            <w:tcW w:w="882" w:type="dxa"/>
            <w:tcBorders>
              <w:top w:val="nil"/>
              <w:left w:val="nil"/>
              <w:bottom w:val="single" w:sz="4" w:space="0" w:color="auto"/>
              <w:right w:val="single" w:sz="4" w:space="0" w:color="auto"/>
            </w:tcBorders>
            <w:vAlign w:val="center"/>
            <w:hideMark/>
          </w:tcPr>
          <w:p w14:paraId="243CD383" w14:textId="77777777" w:rsidR="00F236AA" w:rsidRPr="000C2276" w:rsidRDefault="00F236AA" w:rsidP="000C2276">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0C2276">
              <w:rPr>
                <w:rFonts w:ascii="Times New Roman" w:eastAsia="Times New Roman" w:hAnsi="Times New Roman" w:cs="Times New Roman"/>
                <w:color w:val="000000"/>
                <w:kern w:val="0"/>
                <w:sz w:val="18"/>
                <w:szCs w:val="18"/>
                <w:lang w:eastAsia="en-IN"/>
                <w14:ligatures w14:val="none"/>
              </w:rPr>
              <w:t>292</w:t>
            </w:r>
          </w:p>
        </w:tc>
        <w:tc>
          <w:tcPr>
            <w:tcW w:w="763" w:type="dxa"/>
            <w:tcBorders>
              <w:top w:val="nil"/>
              <w:left w:val="nil"/>
              <w:bottom w:val="single" w:sz="4" w:space="0" w:color="auto"/>
              <w:right w:val="single" w:sz="4" w:space="0" w:color="auto"/>
            </w:tcBorders>
            <w:vAlign w:val="center"/>
            <w:hideMark/>
          </w:tcPr>
          <w:p w14:paraId="4C8B18FD" w14:textId="77777777" w:rsidR="00F236AA" w:rsidRPr="000C2276" w:rsidRDefault="00F236AA" w:rsidP="000C2276">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0C2276">
              <w:rPr>
                <w:rFonts w:ascii="Times New Roman" w:eastAsia="Times New Roman" w:hAnsi="Times New Roman" w:cs="Times New Roman"/>
                <w:color w:val="000000"/>
                <w:kern w:val="0"/>
                <w:sz w:val="18"/>
                <w:szCs w:val="18"/>
                <w:lang w:eastAsia="en-IN"/>
                <w14:ligatures w14:val="none"/>
              </w:rPr>
              <w:t>604</w:t>
            </w:r>
          </w:p>
        </w:tc>
        <w:tc>
          <w:tcPr>
            <w:tcW w:w="692" w:type="dxa"/>
            <w:tcBorders>
              <w:top w:val="nil"/>
              <w:left w:val="nil"/>
              <w:bottom w:val="single" w:sz="4" w:space="0" w:color="auto"/>
              <w:right w:val="single" w:sz="4" w:space="0" w:color="auto"/>
            </w:tcBorders>
            <w:vAlign w:val="center"/>
            <w:hideMark/>
          </w:tcPr>
          <w:p w14:paraId="0F4A77EE" w14:textId="77777777" w:rsidR="00F236AA" w:rsidRPr="000C2276" w:rsidRDefault="00F236AA" w:rsidP="000C2276">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0C2276">
              <w:rPr>
                <w:rFonts w:ascii="Times New Roman" w:eastAsia="Times New Roman" w:hAnsi="Times New Roman" w:cs="Times New Roman"/>
                <w:color w:val="000000"/>
                <w:kern w:val="0"/>
                <w:sz w:val="18"/>
                <w:szCs w:val="18"/>
                <w:lang w:eastAsia="en-IN"/>
                <w14:ligatures w14:val="none"/>
              </w:rPr>
              <w:t>103</w:t>
            </w:r>
          </w:p>
        </w:tc>
        <w:tc>
          <w:tcPr>
            <w:tcW w:w="874" w:type="dxa"/>
            <w:tcBorders>
              <w:top w:val="nil"/>
              <w:left w:val="nil"/>
              <w:bottom w:val="single" w:sz="4" w:space="0" w:color="auto"/>
              <w:right w:val="single" w:sz="4" w:space="0" w:color="auto"/>
            </w:tcBorders>
            <w:vAlign w:val="center"/>
            <w:hideMark/>
          </w:tcPr>
          <w:p w14:paraId="36E7AD05" w14:textId="77777777" w:rsidR="00F236AA" w:rsidRPr="000C2276" w:rsidRDefault="00F236AA" w:rsidP="000C2276">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0C2276">
              <w:rPr>
                <w:rFonts w:ascii="Times New Roman" w:eastAsia="Times New Roman" w:hAnsi="Times New Roman" w:cs="Times New Roman"/>
                <w:color w:val="000000"/>
                <w:kern w:val="0"/>
                <w:sz w:val="18"/>
                <w:szCs w:val="18"/>
                <w:lang w:eastAsia="en-IN"/>
                <w14:ligatures w14:val="none"/>
              </w:rPr>
              <w:t>1</w:t>
            </w:r>
          </w:p>
        </w:tc>
        <w:tc>
          <w:tcPr>
            <w:tcW w:w="935" w:type="dxa"/>
            <w:tcBorders>
              <w:top w:val="nil"/>
              <w:left w:val="nil"/>
              <w:bottom w:val="single" w:sz="4" w:space="0" w:color="auto"/>
              <w:right w:val="single" w:sz="4" w:space="0" w:color="auto"/>
            </w:tcBorders>
            <w:vAlign w:val="center"/>
            <w:hideMark/>
          </w:tcPr>
          <w:p w14:paraId="70E55E33" w14:textId="77777777" w:rsidR="00F236AA" w:rsidRPr="000C2276" w:rsidRDefault="00F236AA" w:rsidP="000C2276">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0C2276">
              <w:rPr>
                <w:rFonts w:ascii="Times New Roman" w:eastAsia="Times New Roman" w:hAnsi="Times New Roman" w:cs="Times New Roman"/>
                <w:color w:val="000000"/>
                <w:kern w:val="0"/>
                <w:sz w:val="18"/>
                <w:szCs w:val="18"/>
                <w:lang w:eastAsia="en-IN"/>
                <w14:ligatures w14:val="none"/>
              </w:rPr>
              <w:t>..</w:t>
            </w:r>
          </w:p>
        </w:tc>
        <w:tc>
          <w:tcPr>
            <w:tcW w:w="781" w:type="dxa"/>
            <w:tcBorders>
              <w:top w:val="nil"/>
              <w:left w:val="nil"/>
              <w:bottom w:val="single" w:sz="4" w:space="0" w:color="auto"/>
              <w:right w:val="single" w:sz="4" w:space="0" w:color="auto"/>
            </w:tcBorders>
            <w:vAlign w:val="center"/>
            <w:hideMark/>
          </w:tcPr>
          <w:p w14:paraId="2A5BAC03" w14:textId="77777777" w:rsidR="00F236AA" w:rsidRPr="000C2276" w:rsidRDefault="00F236AA" w:rsidP="000C2276">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0C2276">
              <w:rPr>
                <w:rFonts w:ascii="Times New Roman" w:eastAsia="Times New Roman" w:hAnsi="Times New Roman" w:cs="Times New Roman"/>
                <w:color w:val="000000"/>
                <w:kern w:val="0"/>
                <w:sz w:val="18"/>
                <w:szCs w:val="18"/>
                <w:lang w:eastAsia="en-IN"/>
                <w14:ligatures w14:val="none"/>
              </w:rPr>
              <w:t>16</w:t>
            </w:r>
          </w:p>
        </w:tc>
        <w:tc>
          <w:tcPr>
            <w:tcW w:w="895" w:type="dxa"/>
            <w:tcBorders>
              <w:top w:val="nil"/>
              <w:left w:val="nil"/>
              <w:bottom w:val="single" w:sz="4" w:space="0" w:color="auto"/>
              <w:right w:val="single" w:sz="4" w:space="0" w:color="auto"/>
            </w:tcBorders>
            <w:vAlign w:val="center"/>
            <w:hideMark/>
          </w:tcPr>
          <w:p w14:paraId="19E2AEB5" w14:textId="77777777" w:rsidR="00F236AA" w:rsidRPr="000C2276" w:rsidRDefault="00F236AA" w:rsidP="000C2276">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0C2276">
              <w:rPr>
                <w:rFonts w:ascii="Times New Roman" w:eastAsia="Times New Roman" w:hAnsi="Times New Roman" w:cs="Times New Roman"/>
                <w:color w:val="000000"/>
                <w:kern w:val="0"/>
                <w:sz w:val="18"/>
                <w:szCs w:val="18"/>
                <w:lang w:eastAsia="en-IN"/>
                <w14:ligatures w14:val="none"/>
              </w:rPr>
              <w:t>167</w:t>
            </w:r>
          </w:p>
        </w:tc>
        <w:tc>
          <w:tcPr>
            <w:tcW w:w="854" w:type="dxa"/>
            <w:tcBorders>
              <w:top w:val="nil"/>
              <w:left w:val="nil"/>
              <w:bottom w:val="single" w:sz="4" w:space="0" w:color="auto"/>
              <w:right w:val="single" w:sz="4" w:space="0" w:color="auto"/>
            </w:tcBorders>
            <w:vAlign w:val="center"/>
            <w:hideMark/>
          </w:tcPr>
          <w:p w14:paraId="28551166" w14:textId="77777777" w:rsidR="00F236AA" w:rsidRPr="000C2276" w:rsidRDefault="00F236AA" w:rsidP="000C2276">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0C2276">
              <w:rPr>
                <w:rFonts w:ascii="Times New Roman" w:eastAsia="Times New Roman" w:hAnsi="Times New Roman" w:cs="Times New Roman"/>
                <w:color w:val="000000"/>
                <w:kern w:val="0"/>
                <w:sz w:val="18"/>
                <w:szCs w:val="18"/>
                <w:lang w:eastAsia="en-IN"/>
                <w14:ligatures w14:val="none"/>
              </w:rPr>
              <w:t>42</w:t>
            </w:r>
          </w:p>
        </w:tc>
        <w:tc>
          <w:tcPr>
            <w:tcW w:w="1280" w:type="dxa"/>
            <w:tcBorders>
              <w:top w:val="nil"/>
              <w:left w:val="nil"/>
              <w:bottom w:val="single" w:sz="4" w:space="0" w:color="auto"/>
              <w:right w:val="single" w:sz="4" w:space="0" w:color="auto"/>
            </w:tcBorders>
            <w:vAlign w:val="center"/>
            <w:hideMark/>
          </w:tcPr>
          <w:p w14:paraId="62894002" w14:textId="77777777" w:rsidR="00F236AA" w:rsidRPr="000C2276" w:rsidRDefault="00F236AA" w:rsidP="000C2276">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0C2276">
              <w:rPr>
                <w:rFonts w:ascii="Times New Roman" w:eastAsia="Times New Roman" w:hAnsi="Times New Roman" w:cs="Times New Roman"/>
                <w:color w:val="000000"/>
                <w:kern w:val="0"/>
                <w:sz w:val="18"/>
                <w:szCs w:val="18"/>
                <w:lang w:eastAsia="en-IN"/>
                <w14:ligatures w14:val="none"/>
              </w:rPr>
              <w:t>354</w:t>
            </w:r>
          </w:p>
        </w:tc>
        <w:tc>
          <w:tcPr>
            <w:tcW w:w="833" w:type="dxa"/>
            <w:tcBorders>
              <w:top w:val="nil"/>
              <w:left w:val="nil"/>
              <w:bottom w:val="single" w:sz="4" w:space="0" w:color="auto"/>
              <w:right w:val="single" w:sz="4" w:space="0" w:color="auto"/>
            </w:tcBorders>
            <w:vAlign w:val="center"/>
            <w:hideMark/>
          </w:tcPr>
          <w:p w14:paraId="46697148" w14:textId="77777777" w:rsidR="00F236AA" w:rsidRPr="000C2276" w:rsidRDefault="00F236AA" w:rsidP="000C2276">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0C2276">
              <w:rPr>
                <w:rFonts w:ascii="Times New Roman" w:eastAsia="Times New Roman" w:hAnsi="Times New Roman" w:cs="Times New Roman"/>
                <w:color w:val="000000"/>
                <w:kern w:val="0"/>
                <w:sz w:val="18"/>
                <w:szCs w:val="18"/>
                <w:lang w:eastAsia="en-IN"/>
                <w14:ligatures w14:val="none"/>
              </w:rPr>
              <w:t>121</w:t>
            </w:r>
          </w:p>
        </w:tc>
        <w:tc>
          <w:tcPr>
            <w:tcW w:w="752" w:type="dxa"/>
            <w:tcBorders>
              <w:top w:val="nil"/>
              <w:left w:val="nil"/>
              <w:bottom w:val="single" w:sz="4" w:space="0" w:color="auto"/>
              <w:right w:val="single" w:sz="4" w:space="0" w:color="auto"/>
            </w:tcBorders>
            <w:vAlign w:val="center"/>
            <w:hideMark/>
          </w:tcPr>
          <w:p w14:paraId="562BA7DA" w14:textId="77777777" w:rsidR="00F236AA" w:rsidRPr="000C2276" w:rsidRDefault="00F236AA" w:rsidP="000C2276">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0C2276">
              <w:rPr>
                <w:rFonts w:ascii="Times New Roman" w:eastAsia="Times New Roman" w:hAnsi="Times New Roman" w:cs="Times New Roman"/>
                <w:color w:val="000000"/>
                <w:kern w:val="0"/>
                <w:sz w:val="18"/>
                <w:szCs w:val="18"/>
                <w:lang w:eastAsia="en-IN"/>
                <w14:ligatures w14:val="none"/>
              </w:rPr>
              <w:t>158</w:t>
            </w:r>
          </w:p>
        </w:tc>
        <w:tc>
          <w:tcPr>
            <w:tcW w:w="814" w:type="dxa"/>
            <w:tcBorders>
              <w:top w:val="nil"/>
              <w:left w:val="nil"/>
              <w:bottom w:val="single" w:sz="4" w:space="0" w:color="auto"/>
              <w:right w:val="single" w:sz="4" w:space="0" w:color="auto"/>
            </w:tcBorders>
            <w:vAlign w:val="center"/>
            <w:hideMark/>
          </w:tcPr>
          <w:p w14:paraId="63D34816" w14:textId="77777777" w:rsidR="00F236AA" w:rsidRPr="000C2276" w:rsidRDefault="00F236AA" w:rsidP="000C2276">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0C2276">
              <w:rPr>
                <w:rFonts w:ascii="Times New Roman" w:eastAsia="Times New Roman" w:hAnsi="Times New Roman" w:cs="Times New Roman"/>
                <w:color w:val="000000"/>
                <w:kern w:val="0"/>
                <w:sz w:val="18"/>
                <w:szCs w:val="18"/>
                <w:lang w:eastAsia="en-IN"/>
                <w14:ligatures w14:val="none"/>
              </w:rPr>
              <w:t>..</w:t>
            </w:r>
          </w:p>
        </w:tc>
        <w:tc>
          <w:tcPr>
            <w:tcW w:w="1047" w:type="dxa"/>
            <w:tcBorders>
              <w:top w:val="nil"/>
              <w:left w:val="nil"/>
              <w:bottom w:val="single" w:sz="4" w:space="0" w:color="auto"/>
              <w:right w:val="single" w:sz="4" w:space="0" w:color="auto"/>
            </w:tcBorders>
            <w:vAlign w:val="center"/>
            <w:hideMark/>
          </w:tcPr>
          <w:p w14:paraId="3B81516E" w14:textId="77777777" w:rsidR="00F236AA" w:rsidRPr="000C2276" w:rsidRDefault="00F236AA" w:rsidP="000C2276">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0C2276">
              <w:rPr>
                <w:rFonts w:ascii="Times New Roman" w:eastAsia="Times New Roman" w:hAnsi="Times New Roman" w:cs="Times New Roman"/>
                <w:color w:val="000000"/>
                <w:kern w:val="0"/>
                <w:sz w:val="18"/>
                <w:szCs w:val="18"/>
                <w:lang w:eastAsia="en-IN"/>
                <w14:ligatures w14:val="none"/>
              </w:rPr>
              <w:t>146</w:t>
            </w:r>
          </w:p>
        </w:tc>
        <w:tc>
          <w:tcPr>
            <w:tcW w:w="882" w:type="dxa"/>
            <w:tcBorders>
              <w:top w:val="nil"/>
              <w:left w:val="nil"/>
              <w:bottom w:val="single" w:sz="4" w:space="0" w:color="auto"/>
              <w:right w:val="single" w:sz="4" w:space="0" w:color="auto"/>
            </w:tcBorders>
            <w:vAlign w:val="center"/>
            <w:hideMark/>
          </w:tcPr>
          <w:p w14:paraId="6B1DAFD7" w14:textId="77777777" w:rsidR="00F236AA" w:rsidRPr="000C2276" w:rsidRDefault="00F236AA" w:rsidP="000C2276">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0C2276">
              <w:rPr>
                <w:rFonts w:ascii="Times New Roman" w:eastAsia="Times New Roman" w:hAnsi="Times New Roman" w:cs="Times New Roman"/>
                <w:color w:val="000000"/>
                <w:kern w:val="0"/>
                <w:sz w:val="18"/>
                <w:szCs w:val="18"/>
                <w:lang w:eastAsia="en-IN"/>
                <w14:ligatures w14:val="none"/>
              </w:rPr>
              <w:t>61</w:t>
            </w:r>
          </w:p>
        </w:tc>
        <w:tc>
          <w:tcPr>
            <w:tcW w:w="782" w:type="dxa"/>
            <w:tcBorders>
              <w:top w:val="nil"/>
              <w:left w:val="nil"/>
              <w:bottom w:val="single" w:sz="4" w:space="0" w:color="auto"/>
              <w:right w:val="single" w:sz="4" w:space="0" w:color="auto"/>
            </w:tcBorders>
            <w:vAlign w:val="center"/>
            <w:hideMark/>
          </w:tcPr>
          <w:p w14:paraId="6CEFC4DD" w14:textId="77777777" w:rsidR="00F236AA" w:rsidRPr="000C2276" w:rsidRDefault="00F236AA" w:rsidP="000C2276">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0C2276">
              <w:rPr>
                <w:rFonts w:ascii="Times New Roman" w:eastAsia="Times New Roman" w:hAnsi="Times New Roman" w:cs="Times New Roman"/>
                <w:color w:val="000000"/>
                <w:kern w:val="0"/>
                <w:sz w:val="18"/>
                <w:szCs w:val="18"/>
                <w:lang w:eastAsia="en-IN"/>
                <w14:ligatures w14:val="none"/>
              </w:rPr>
              <w:t>25</w:t>
            </w:r>
          </w:p>
        </w:tc>
        <w:tc>
          <w:tcPr>
            <w:tcW w:w="752" w:type="dxa"/>
            <w:tcBorders>
              <w:top w:val="nil"/>
              <w:left w:val="nil"/>
              <w:bottom w:val="single" w:sz="4" w:space="0" w:color="auto"/>
              <w:right w:val="single" w:sz="4" w:space="0" w:color="auto"/>
            </w:tcBorders>
            <w:vAlign w:val="center"/>
            <w:hideMark/>
          </w:tcPr>
          <w:p w14:paraId="45603291" w14:textId="77777777" w:rsidR="00F236AA" w:rsidRPr="000C2276" w:rsidRDefault="00F236AA" w:rsidP="000C2276">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0C2276">
              <w:rPr>
                <w:rFonts w:ascii="Times New Roman" w:eastAsia="Times New Roman" w:hAnsi="Times New Roman" w:cs="Times New Roman"/>
                <w:color w:val="000000"/>
                <w:kern w:val="0"/>
                <w:sz w:val="18"/>
                <w:szCs w:val="18"/>
                <w:lang w:eastAsia="en-IN"/>
                <w14:ligatures w14:val="none"/>
              </w:rPr>
              <w:t>2090</w:t>
            </w:r>
          </w:p>
        </w:tc>
      </w:tr>
      <w:tr w:rsidR="000C2276" w:rsidRPr="000C2276" w14:paraId="7F47EBF2" w14:textId="77777777" w:rsidTr="000C2276">
        <w:trPr>
          <w:trHeight w:val="340"/>
          <w:jc w:val="center"/>
        </w:trPr>
        <w:tc>
          <w:tcPr>
            <w:tcW w:w="1026" w:type="dxa"/>
            <w:tcBorders>
              <w:top w:val="nil"/>
              <w:left w:val="single" w:sz="4" w:space="0" w:color="auto"/>
              <w:bottom w:val="single" w:sz="4" w:space="0" w:color="auto"/>
              <w:right w:val="single" w:sz="4" w:space="0" w:color="auto"/>
            </w:tcBorders>
            <w:vAlign w:val="center"/>
            <w:hideMark/>
          </w:tcPr>
          <w:p w14:paraId="66754477" w14:textId="77777777" w:rsidR="00F236AA" w:rsidRPr="000C2276" w:rsidRDefault="00F236AA" w:rsidP="00F236AA">
            <w:pPr>
              <w:spacing w:after="0" w:line="240" w:lineRule="auto"/>
              <w:rPr>
                <w:rFonts w:ascii="Times New Roman" w:eastAsia="Times New Roman" w:hAnsi="Times New Roman" w:cs="Times New Roman"/>
                <w:color w:val="000000"/>
                <w:kern w:val="0"/>
                <w:sz w:val="18"/>
                <w:szCs w:val="18"/>
                <w:lang w:eastAsia="en-IN"/>
                <w14:ligatures w14:val="none"/>
              </w:rPr>
            </w:pPr>
            <w:r w:rsidRPr="000C2276">
              <w:rPr>
                <w:rFonts w:ascii="Times New Roman" w:eastAsia="Times New Roman" w:hAnsi="Times New Roman" w:cs="Times New Roman"/>
                <w:color w:val="000000"/>
                <w:kern w:val="0"/>
                <w:sz w:val="18"/>
                <w:szCs w:val="18"/>
                <w:lang w:eastAsia="en-IN"/>
                <w14:ligatures w14:val="none"/>
              </w:rPr>
              <w:t>January</w:t>
            </w:r>
          </w:p>
        </w:tc>
        <w:tc>
          <w:tcPr>
            <w:tcW w:w="882" w:type="dxa"/>
            <w:tcBorders>
              <w:top w:val="nil"/>
              <w:left w:val="nil"/>
              <w:bottom w:val="single" w:sz="4" w:space="0" w:color="auto"/>
              <w:right w:val="single" w:sz="4" w:space="0" w:color="auto"/>
            </w:tcBorders>
            <w:vAlign w:val="center"/>
            <w:hideMark/>
          </w:tcPr>
          <w:p w14:paraId="3BD0738E" w14:textId="77777777" w:rsidR="00F236AA" w:rsidRPr="000C2276" w:rsidRDefault="00F236AA" w:rsidP="000C2276">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0C2276">
              <w:rPr>
                <w:rFonts w:ascii="Times New Roman" w:eastAsia="Times New Roman" w:hAnsi="Times New Roman" w:cs="Times New Roman"/>
                <w:color w:val="000000"/>
                <w:kern w:val="0"/>
                <w:sz w:val="18"/>
                <w:szCs w:val="18"/>
                <w:lang w:eastAsia="en-IN"/>
                <w14:ligatures w14:val="none"/>
              </w:rPr>
              <w:t>194</w:t>
            </w:r>
          </w:p>
        </w:tc>
        <w:tc>
          <w:tcPr>
            <w:tcW w:w="763" w:type="dxa"/>
            <w:tcBorders>
              <w:top w:val="nil"/>
              <w:left w:val="nil"/>
              <w:bottom w:val="single" w:sz="4" w:space="0" w:color="auto"/>
              <w:right w:val="single" w:sz="4" w:space="0" w:color="auto"/>
            </w:tcBorders>
            <w:vAlign w:val="center"/>
            <w:hideMark/>
          </w:tcPr>
          <w:p w14:paraId="46EDDEC2" w14:textId="77777777" w:rsidR="00F236AA" w:rsidRPr="000C2276" w:rsidRDefault="00F236AA" w:rsidP="000C2276">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0C2276">
              <w:rPr>
                <w:rFonts w:ascii="Times New Roman" w:eastAsia="Times New Roman" w:hAnsi="Times New Roman" w:cs="Times New Roman"/>
                <w:color w:val="000000"/>
                <w:kern w:val="0"/>
                <w:sz w:val="18"/>
                <w:szCs w:val="18"/>
                <w:lang w:eastAsia="en-IN"/>
                <w14:ligatures w14:val="none"/>
              </w:rPr>
              <w:t>..</w:t>
            </w:r>
          </w:p>
        </w:tc>
        <w:tc>
          <w:tcPr>
            <w:tcW w:w="692" w:type="dxa"/>
            <w:tcBorders>
              <w:top w:val="nil"/>
              <w:left w:val="nil"/>
              <w:bottom w:val="single" w:sz="4" w:space="0" w:color="auto"/>
              <w:right w:val="single" w:sz="4" w:space="0" w:color="auto"/>
            </w:tcBorders>
            <w:vAlign w:val="center"/>
            <w:hideMark/>
          </w:tcPr>
          <w:p w14:paraId="2E879FF4" w14:textId="77777777" w:rsidR="00F236AA" w:rsidRPr="000C2276" w:rsidRDefault="00F236AA" w:rsidP="000C2276">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0C2276">
              <w:rPr>
                <w:rFonts w:ascii="Times New Roman" w:eastAsia="Times New Roman" w:hAnsi="Times New Roman" w:cs="Times New Roman"/>
                <w:color w:val="000000"/>
                <w:kern w:val="0"/>
                <w:sz w:val="18"/>
                <w:szCs w:val="18"/>
                <w:lang w:eastAsia="en-IN"/>
                <w14:ligatures w14:val="none"/>
              </w:rPr>
              <w:t>240</w:t>
            </w:r>
          </w:p>
        </w:tc>
        <w:tc>
          <w:tcPr>
            <w:tcW w:w="874" w:type="dxa"/>
            <w:tcBorders>
              <w:top w:val="nil"/>
              <w:left w:val="nil"/>
              <w:bottom w:val="single" w:sz="4" w:space="0" w:color="auto"/>
              <w:right w:val="single" w:sz="4" w:space="0" w:color="auto"/>
            </w:tcBorders>
            <w:vAlign w:val="center"/>
            <w:hideMark/>
          </w:tcPr>
          <w:p w14:paraId="24102790" w14:textId="77777777" w:rsidR="00F236AA" w:rsidRPr="000C2276" w:rsidRDefault="00F236AA" w:rsidP="000C2276">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0C2276">
              <w:rPr>
                <w:rFonts w:ascii="Times New Roman" w:eastAsia="Times New Roman" w:hAnsi="Times New Roman" w:cs="Times New Roman"/>
                <w:color w:val="000000"/>
                <w:kern w:val="0"/>
                <w:sz w:val="18"/>
                <w:szCs w:val="18"/>
                <w:lang w:eastAsia="en-IN"/>
                <w14:ligatures w14:val="none"/>
              </w:rPr>
              <w:t>216</w:t>
            </w:r>
          </w:p>
        </w:tc>
        <w:tc>
          <w:tcPr>
            <w:tcW w:w="935" w:type="dxa"/>
            <w:tcBorders>
              <w:top w:val="nil"/>
              <w:left w:val="nil"/>
              <w:bottom w:val="single" w:sz="4" w:space="0" w:color="auto"/>
              <w:right w:val="single" w:sz="4" w:space="0" w:color="auto"/>
            </w:tcBorders>
            <w:vAlign w:val="center"/>
            <w:hideMark/>
          </w:tcPr>
          <w:p w14:paraId="1ACA8393" w14:textId="77777777" w:rsidR="00F236AA" w:rsidRPr="000C2276" w:rsidRDefault="00F236AA" w:rsidP="000C2276">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0C2276">
              <w:rPr>
                <w:rFonts w:ascii="Times New Roman" w:eastAsia="Times New Roman" w:hAnsi="Times New Roman" w:cs="Times New Roman"/>
                <w:color w:val="000000"/>
                <w:kern w:val="0"/>
                <w:sz w:val="18"/>
                <w:szCs w:val="18"/>
                <w:lang w:eastAsia="en-IN"/>
                <w14:ligatures w14:val="none"/>
              </w:rPr>
              <w:t>..</w:t>
            </w:r>
          </w:p>
        </w:tc>
        <w:tc>
          <w:tcPr>
            <w:tcW w:w="781" w:type="dxa"/>
            <w:tcBorders>
              <w:top w:val="nil"/>
              <w:left w:val="nil"/>
              <w:bottom w:val="single" w:sz="4" w:space="0" w:color="auto"/>
              <w:right w:val="single" w:sz="4" w:space="0" w:color="auto"/>
            </w:tcBorders>
            <w:vAlign w:val="center"/>
            <w:hideMark/>
          </w:tcPr>
          <w:p w14:paraId="66266415" w14:textId="77777777" w:rsidR="00F236AA" w:rsidRPr="000C2276" w:rsidRDefault="00F236AA" w:rsidP="000C2276">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0C2276">
              <w:rPr>
                <w:rFonts w:ascii="Times New Roman" w:eastAsia="Times New Roman" w:hAnsi="Times New Roman" w:cs="Times New Roman"/>
                <w:color w:val="000000"/>
                <w:kern w:val="0"/>
                <w:sz w:val="18"/>
                <w:szCs w:val="18"/>
                <w:lang w:eastAsia="en-IN"/>
                <w14:ligatures w14:val="none"/>
              </w:rPr>
              <w:t>92</w:t>
            </w:r>
          </w:p>
        </w:tc>
        <w:tc>
          <w:tcPr>
            <w:tcW w:w="895" w:type="dxa"/>
            <w:tcBorders>
              <w:top w:val="nil"/>
              <w:left w:val="nil"/>
              <w:bottom w:val="single" w:sz="4" w:space="0" w:color="auto"/>
              <w:right w:val="single" w:sz="4" w:space="0" w:color="auto"/>
            </w:tcBorders>
            <w:vAlign w:val="center"/>
            <w:hideMark/>
          </w:tcPr>
          <w:p w14:paraId="69DA76FB" w14:textId="77777777" w:rsidR="00F236AA" w:rsidRPr="000C2276" w:rsidRDefault="00F236AA" w:rsidP="000C2276">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0C2276">
              <w:rPr>
                <w:rFonts w:ascii="Times New Roman" w:eastAsia="Times New Roman" w:hAnsi="Times New Roman" w:cs="Times New Roman"/>
                <w:color w:val="000000"/>
                <w:kern w:val="0"/>
                <w:sz w:val="18"/>
                <w:szCs w:val="18"/>
                <w:lang w:eastAsia="en-IN"/>
                <w14:ligatures w14:val="none"/>
              </w:rPr>
              <w:t>142</w:t>
            </w:r>
          </w:p>
        </w:tc>
        <w:tc>
          <w:tcPr>
            <w:tcW w:w="854" w:type="dxa"/>
            <w:tcBorders>
              <w:top w:val="nil"/>
              <w:left w:val="nil"/>
              <w:bottom w:val="single" w:sz="4" w:space="0" w:color="auto"/>
              <w:right w:val="single" w:sz="4" w:space="0" w:color="auto"/>
            </w:tcBorders>
            <w:vAlign w:val="center"/>
            <w:hideMark/>
          </w:tcPr>
          <w:p w14:paraId="7D1376F6" w14:textId="77777777" w:rsidR="00F236AA" w:rsidRPr="000C2276" w:rsidRDefault="00F236AA" w:rsidP="000C2276">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0C2276">
              <w:rPr>
                <w:rFonts w:ascii="Times New Roman" w:eastAsia="Times New Roman" w:hAnsi="Times New Roman" w:cs="Times New Roman"/>
                <w:color w:val="000000"/>
                <w:kern w:val="0"/>
                <w:sz w:val="18"/>
                <w:szCs w:val="18"/>
                <w:lang w:eastAsia="en-IN"/>
                <w14:ligatures w14:val="none"/>
              </w:rPr>
              <w:t>58</w:t>
            </w:r>
          </w:p>
        </w:tc>
        <w:tc>
          <w:tcPr>
            <w:tcW w:w="1280" w:type="dxa"/>
            <w:tcBorders>
              <w:top w:val="nil"/>
              <w:left w:val="nil"/>
              <w:bottom w:val="single" w:sz="4" w:space="0" w:color="auto"/>
              <w:right w:val="single" w:sz="4" w:space="0" w:color="auto"/>
            </w:tcBorders>
            <w:vAlign w:val="center"/>
            <w:hideMark/>
          </w:tcPr>
          <w:p w14:paraId="6EC7BE44" w14:textId="77777777" w:rsidR="00F236AA" w:rsidRPr="000C2276" w:rsidRDefault="00F236AA" w:rsidP="000C2276">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0C2276">
              <w:rPr>
                <w:rFonts w:ascii="Times New Roman" w:eastAsia="Times New Roman" w:hAnsi="Times New Roman" w:cs="Times New Roman"/>
                <w:color w:val="000000"/>
                <w:kern w:val="0"/>
                <w:sz w:val="18"/>
                <w:szCs w:val="18"/>
                <w:lang w:eastAsia="en-IN"/>
                <w14:ligatures w14:val="none"/>
              </w:rPr>
              <w:t>164</w:t>
            </w:r>
          </w:p>
        </w:tc>
        <w:tc>
          <w:tcPr>
            <w:tcW w:w="833" w:type="dxa"/>
            <w:tcBorders>
              <w:top w:val="nil"/>
              <w:left w:val="nil"/>
              <w:bottom w:val="single" w:sz="4" w:space="0" w:color="auto"/>
              <w:right w:val="single" w:sz="4" w:space="0" w:color="auto"/>
            </w:tcBorders>
            <w:vAlign w:val="center"/>
            <w:hideMark/>
          </w:tcPr>
          <w:p w14:paraId="7FDB1D20" w14:textId="77777777" w:rsidR="00F236AA" w:rsidRPr="000C2276" w:rsidRDefault="00F236AA" w:rsidP="000C2276">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0C2276">
              <w:rPr>
                <w:rFonts w:ascii="Times New Roman" w:eastAsia="Times New Roman" w:hAnsi="Times New Roman" w:cs="Times New Roman"/>
                <w:color w:val="000000"/>
                <w:kern w:val="0"/>
                <w:sz w:val="18"/>
                <w:szCs w:val="18"/>
                <w:lang w:eastAsia="en-IN"/>
                <w14:ligatures w14:val="none"/>
              </w:rPr>
              <w:t>60</w:t>
            </w:r>
          </w:p>
        </w:tc>
        <w:tc>
          <w:tcPr>
            <w:tcW w:w="752" w:type="dxa"/>
            <w:tcBorders>
              <w:top w:val="nil"/>
              <w:left w:val="nil"/>
              <w:bottom w:val="single" w:sz="4" w:space="0" w:color="auto"/>
              <w:right w:val="single" w:sz="4" w:space="0" w:color="auto"/>
            </w:tcBorders>
            <w:vAlign w:val="center"/>
            <w:hideMark/>
          </w:tcPr>
          <w:p w14:paraId="13F96085" w14:textId="77777777" w:rsidR="00F236AA" w:rsidRPr="000C2276" w:rsidRDefault="00F236AA" w:rsidP="000C2276">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0C2276">
              <w:rPr>
                <w:rFonts w:ascii="Times New Roman" w:eastAsia="Times New Roman" w:hAnsi="Times New Roman" w:cs="Times New Roman"/>
                <w:color w:val="000000"/>
                <w:kern w:val="0"/>
                <w:sz w:val="18"/>
                <w:szCs w:val="18"/>
                <w:lang w:eastAsia="en-IN"/>
                <w14:ligatures w14:val="none"/>
              </w:rPr>
              <w:t>356</w:t>
            </w:r>
          </w:p>
        </w:tc>
        <w:tc>
          <w:tcPr>
            <w:tcW w:w="814" w:type="dxa"/>
            <w:tcBorders>
              <w:top w:val="nil"/>
              <w:left w:val="nil"/>
              <w:bottom w:val="single" w:sz="4" w:space="0" w:color="auto"/>
              <w:right w:val="single" w:sz="4" w:space="0" w:color="auto"/>
            </w:tcBorders>
            <w:vAlign w:val="center"/>
            <w:hideMark/>
          </w:tcPr>
          <w:p w14:paraId="60F88696" w14:textId="77777777" w:rsidR="00F236AA" w:rsidRPr="000C2276" w:rsidRDefault="00F236AA" w:rsidP="000C2276">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0C2276">
              <w:rPr>
                <w:rFonts w:ascii="Times New Roman" w:eastAsia="Times New Roman" w:hAnsi="Times New Roman" w:cs="Times New Roman"/>
                <w:color w:val="000000"/>
                <w:kern w:val="0"/>
                <w:sz w:val="18"/>
                <w:szCs w:val="18"/>
                <w:lang w:eastAsia="en-IN"/>
                <w14:ligatures w14:val="none"/>
              </w:rPr>
              <w:t>91</w:t>
            </w:r>
          </w:p>
        </w:tc>
        <w:tc>
          <w:tcPr>
            <w:tcW w:w="1047" w:type="dxa"/>
            <w:tcBorders>
              <w:top w:val="nil"/>
              <w:left w:val="nil"/>
              <w:bottom w:val="single" w:sz="4" w:space="0" w:color="auto"/>
              <w:right w:val="single" w:sz="4" w:space="0" w:color="auto"/>
            </w:tcBorders>
            <w:vAlign w:val="center"/>
            <w:hideMark/>
          </w:tcPr>
          <w:p w14:paraId="39501224" w14:textId="77777777" w:rsidR="00F236AA" w:rsidRPr="000C2276" w:rsidRDefault="00F236AA" w:rsidP="000C2276">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0C2276">
              <w:rPr>
                <w:rFonts w:ascii="Times New Roman" w:eastAsia="Times New Roman" w:hAnsi="Times New Roman" w:cs="Times New Roman"/>
                <w:color w:val="000000"/>
                <w:kern w:val="0"/>
                <w:sz w:val="18"/>
                <w:szCs w:val="18"/>
                <w:lang w:eastAsia="en-IN"/>
                <w14:ligatures w14:val="none"/>
              </w:rPr>
              <w:t>263</w:t>
            </w:r>
          </w:p>
        </w:tc>
        <w:tc>
          <w:tcPr>
            <w:tcW w:w="882" w:type="dxa"/>
            <w:tcBorders>
              <w:top w:val="nil"/>
              <w:left w:val="nil"/>
              <w:bottom w:val="single" w:sz="4" w:space="0" w:color="auto"/>
              <w:right w:val="single" w:sz="4" w:space="0" w:color="auto"/>
            </w:tcBorders>
            <w:vAlign w:val="center"/>
            <w:hideMark/>
          </w:tcPr>
          <w:p w14:paraId="4FD4CD43" w14:textId="77777777" w:rsidR="00F236AA" w:rsidRPr="000C2276" w:rsidRDefault="00F236AA" w:rsidP="000C2276">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0C2276">
              <w:rPr>
                <w:rFonts w:ascii="Times New Roman" w:eastAsia="Times New Roman" w:hAnsi="Times New Roman" w:cs="Times New Roman"/>
                <w:color w:val="000000"/>
                <w:kern w:val="0"/>
                <w:sz w:val="18"/>
                <w:szCs w:val="18"/>
                <w:lang w:eastAsia="en-IN"/>
                <w14:ligatures w14:val="none"/>
              </w:rPr>
              <w:t>..</w:t>
            </w:r>
          </w:p>
        </w:tc>
        <w:tc>
          <w:tcPr>
            <w:tcW w:w="782" w:type="dxa"/>
            <w:tcBorders>
              <w:top w:val="nil"/>
              <w:left w:val="nil"/>
              <w:bottom w:val="single" w:sz="4" w:space="0" w:color="auto"/>
              <w:right w:val="single" w:sz="4" w:space="0" w:color="auto"/>
            </w:tcBorders>
            <w:vAlign w:val="center"/>
            <w:hideMark/>
          </w:tcPr>
          <w:p w14:paraId="31D3698B" w14:textId="77777777" w:rsidR="00F236AA" w:rsidRPr="000C2276" w:rsidRDefault="00F236AA" w:rsidP="000C2276">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0C2276">
              <w:rPr>
                <w:rFonts w:ascii="Times New Roman" w:eastAsia="Times New Roman" w:hAnsi="Times New Roman" w:cs="Times New Roman"/>
                <w:color w:val="000000"/>
                <w:kern w:val="0"/>
                <w:sz w:val="18"/>
                <w:szCs w:val="18"/>
                <w:lang w:eastAsia="en-IN"/>
                <w14:ligatures w14:val="none"/>
              </w:rPr>
              <w:t>..</w:t>
            </w:r>
          </w:p>
        </w:tc>
        <w:tc>
          <w:tcPr>
            <w:tcW w:w="752" w:type="dxa"/>
            <w:tcBorders>
              <w:top w:val="nil"/>
              <w:left w:val="nil"/>
              <w:bottom w:val="single" w:sz="4" w:space="0" w:color="auto"/>
              <w:right w:val="single" w:sz="4" w:space="0" w:color="auto"/>
            </w:tcBorders>
            <w:vAlign w:val="center"/>
            <w:hideMark/>
          </w:tcPr>
          <w:p w14:paraId="1684CA0C" w14:textId="77777777" w:rsidR="00F236AA" w:rsidRPr="000C2276" w:rsidRDefault="00F236AA" w:rsidP="000C2276">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0C2276">
              <w:rPr>
                <w:rFonts w:ascii="Times New Roman" w:eastAsia="Times New Roman" w:hAnsi="Times New Roman" w:cs="Times New Roman"/>
                <w:color w:val="000000"/>
                <w:kern w:val="0"/>
                <w:sz w:val="18"/>
                <w:szCs w:val="18"/>
                <w:lang w:eastAsia="en-IN"/>
                <w14:ligatures w14:val="none"/>
              </w:rPr>
              <w:t>1876</w:t>
            </w:r>
          </w:p>
        </w:tc>
      </w:tr>
      <w:tr w:rsidR="000C2276" w:rsidRPr="000C2276" w14:paraId="2E6D8A2B" w14:textId="77777777" w:rsidTr="000C2276">
        <w:trPr>
          <w:trHeight w:val="340"/>
          <w:jc w:val="center"/>
        </w:trPr>
        <w:tc>
          <w:tcPr>
            <w:tcW w:w="1026" w:type="dxa"/>
            <w:tcBorders>
              <w:top w:val="nil"/>
              <w:left w:val="single" w:sz="4" w:space="0" w:color="auto"/>
              <w:bottom w:val="single" w:sz="4" w:space="0" w:color="auto"/>
              <w:right w:val="single" w:sz="4" w:space="0" w:color="auto"/>
            </w:tcBorders>
            <w:vAlign w:val="center"/>
            <w:hideMark/>
          </w:tcPr>
          <w:p w14:paraId="0533AEF5" w14:textId="77777777" w:rsidR="00F236AA" w:rsidRPr="000C2276" w:rsidRDefault="00F236AA" w:rsidP="00F236AA">
            <w:pPr>
              <w:spacing w:after="0" w:line="240" w:lineRule="auto"/>
              <w:rPr>
                <w:rFonts w:ascii="Times New Roman" w:eastAsia="Times New Roman" w:hAnsi="Times New Roman" w:cs="Times New Roman"/>
                <w:color w:val="000000"/>
                <w:kern w:val="0"/>
                <w:sz w:val="18"/>
                <w:szCs w:val="18"/>
                <w:lang w:eastAsia="en-IN"/>
                <w14:ligatures w14:val="none"/>
              </w:rPr>
            </w:pPr>
            <w:r w:rsidRPr="000C2276">
              <w:rPr>
                <w:rFonts w:ascii="Times New Roman" w:eastAsia="Times New Roman" w:hAnsi="Times New Roman" w:cs="Times New Roman"/>
                <w:color w:val="000000"/>
                <w:kern w:val="0"/>
                <w:sz w:val="18"/>
                <w:szCs w:val="18"/>
                <w:lang w:eastAsia="en-IN"/>
                <w14:ligatures w14:val="none"/>
              </w:rPr>
              <w:t>February</w:t>
            </w:r>
          </w:p>
        </w:tc>
        <w:tc>
          <w:tcPr>
            <w:tcW w:w="882" w:type="dxa"/>
            <w:tcBorders>
              <w:top w:val="nil"/>
              <w:left w:val="nil"/>
              <w:bottom w:val="single" w:sz="4" w:space="0" w:color="auto"/>
              <w:right w:val="single" w:sz="4" w:space="0" w:color="auto"/>
            </w:tcBorders>
            <w:vAlign w:val="center"/>
            <w:hideMark/>
          </w:tcPr>
          <w:p w14:paraId="2ACBB337" w14:textId="77777777" w:rsidR="00F236AA" w:rsidRPr="000C2276" w:rsidRDefault="00F236AA" w:rsidP="000C2276">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0C2276">
              <w:rPr>
                <w:rFonts w:ascii="Times New Roman" w:eastAsia="Times New Roman" w:hAnsi="Times New Roman" w:cs="Times New Roman"/>
                <w:color w:val="000000"/>
                <w:kern w:val="0"/>
                <w:sz w:val="18"/>
                <w:szCs w:val="18"/>
                <w:lang w:eastAsia="en-IN"/>
                <w14:ligatures w14:val="none"/>
              </w:rPr>
              <w:t>195</w:t>
            </w:r>
          </w:p>
        </w:tc>
        <w:tc>
          <w:tcPr>
            <w:tcW w:w="763" w:type="dxa"/>
            <w:tcBorders>
              <w:top w:val="nil"/>
              <w:left w:val="nil"/>
              <w:bottom w:val="single" w:sz="4" w:space="0" w:color="auto"/>
              <w:right w:val="single" w:sz="4" w:space="0" w:color="auto"/>
            </w:tcBorders>
            <w:vAlign w:val="center"/>
            <w:hideMark/>
          </w:tcPr>
          <w:p w14:paraId="63A70006" w14:textId="77777777" w:rsidR="00F236AA" w:rsidRPr="000C2276" w:rsidRDefault="00F236AA" w:rsidP="000C2276">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0C2276">
              <w:rPr>
                <w:rFonts w:ascii="Times New Roman" w:eastAsia="Times New Roman" w:hAnsi="Times New Roman" w:cs="Times New Roman"/>
                <w:color w:val="000000"/>
                <w:kern w:val="0"/>
                <w:sz w:val="18"/>
                <w:szCs w:val="18"/>
                <w:lang w:eastAsia="en-IN"/>
                <w14:ligatures w14:val="none"/>
              </w:rPr>
              <w:t>24</w:t>
            </w:r>
          </w:p>
        </w:tc>
        <w:tc>
          <w:tcPr>
            <w:tcW w:w="692" w:type="dxa"/>
            <w:tcBorders>
              <w:top w:val="nil"/>
              <w:left w:val="nil"/>
              <w:bottom w:val="single" w:sz="4" w:space="0" w:color="auto"/>
              <w:right w:val="single" w:sz="4" w:space="0" w:color="auto"/>
            </w:tcBorders>
            <w:vAlign w:val="center"/>
            <w:hideMark/>
          </w:tcPr>
          <w:p w14:paraId="18B8C51E" w14:textId="77777777" w:rsidR="00F236AA" w:rsidRPr="000C2276" w:rsidRDefault="00F236AA" w:rsidP="000C2276">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0C2276">
              <w:rPr>
                <w:rFonts w:ascii="Times New Roman" w:eastAsia="Times New Roman" w:hAnsi="Times New Roman" w:cs="Times New Roman"/>
                <w:color w:val="000000"/>
                <w:kern w:val="0"/>
                <w:sz w:val="18"/>
                <w:szCs w:val="18"/>
                <w:lang w:eastAsia="en-IN"/>
                <w14:ligatures w14:val="none"/>
              </w:rPr>
              <w:t>64</w:t>
            </w:r>
          </w:p>
        </w:tc>
        <w:tc>
          <w:tcPr>
            <w:tcW w:w="874" w:type="dxa"/>
            <w:tcBorders>
              <w:top w:val="nil"/>
              <w:left w:val="nil"/>
              <w:bottom w:val="single" w:sz="4" w:space="0" w:color="auto"/>
              <w:right w:val="single" w:sz="4" w:space="0" w:color="auto"/>
            </w:tcBorders>
            <w:vAlign w:val="center"/>
            <w:hideMark/>
          </w:tcPr>
          <w:p w14:paraId="036EC8B3" w14:textId="77777777" w:rsidR="00F236AA" w:rsidRPr="000C2276" w:rsidRDefault="00F236AA" w:rsidP="000C2276">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0C2276">
              <w:rPr>
                <w:rFonts w:ascii="Times New Roman" w:eastAsia="Times New Roman" w:hAnsi="Times New Roman" w:cs="Times New Roman"/>
                <w:color w:val="000000"/>
                <w:kern w:val="0"/>
                <w:sz w:val="18"/>
                <w:szCs w:val="18"/>
                <w:lang w:eastAsia="en-IN"/>
                <w14:ligatures w14:val="none"/>
              </w:rPr>
              <w:t>188</w:t>
            </w:r>
          </w:p>
        </w:tc>
        <w:tc>
          <w:tcPr>
            <w:tcW w:w="935" w:type="dxa"/>
            <w:tcBorders>
              <w:top w:val="nil"/>
              <w:left w:val="nil"/>
              <w:bottom w:val="single" w:sz="4" w:space="0" w:color="auto"/>
              <w:right w:val="single" w:sz="4" w:space="0" w:color="auto"/>
            </w:tcBorders>
            <w:vAlign w:val="center"/>
            <w:hideMark/>
          </w:tcPr>
          <w:p w14:paraId="4C16225D" w14:textId="77777777" w:rsidR="00F236AA" w:rsidRPr="000C2276" w:rsidRDefault="00F236AA" w:rsidP="000C2276">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0C2276">
              <w:rPr>
                <w:rFonts w:ascii="Times New Roman" w:eastAsia="Times New Roman" w:hAnsi="Times New Roman" w:cs="Times New Roman"/>
                <w:color w:val="000000"/>
                <w:kern w:val="0"/>
                <w:sz w:val="18"/>
                <w:szCs w:val="18"/>
                <w:lang w:eastAsia="en-IN"/>
                <w14:ligatures w14:val="none"/>
              </w:rPr>
              <w:t>..</w:t>
            </w:r>
          </w:p>
        </w:tc>
        <w:tc>
          <w:tcPr>
            <w:tcW w:w="781" w:type="dxa"/>
            <w:tcBorders>
              <w:top w:val="nil"/>
              <w:left w:val="nil"/>
              <w:bottom w:val="single" w:sz="4" w:space="0" w:color="auto"/>
              <w:right w:val="single" w:sz="4" w:space="0" w:color="auto"/>
            </w:tcBorders>
            <w:vAlign w:val="center"/>
            <w:hideMark/>
          </w:tcPr>
          <w:p w14:paraId="0831317D" w14:textId="77777777" w:rsidR="00F236AA" w:rsidRPr="000C2276" w:rsidRDefault="00F236AA" w:rsidP="000C2276">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0C2276">
              <w:rPr>
                <w:rFonts w:ascii="Times New Roman" w:eastAsia="Times New Roman" w:hAnsi="Times New Roman" w:cs="Times New Roman"/>
                <w:color w:val="000000"/>
                <w:kern w:val="0"/>
                <w:sz w:val="18"/>
                <w:szCs w:val="18"/>
                <w:lang w:eastAsia="en-IN"/>
                <w14:ligatures w14:val="none"/>
              </w:rPr>
              <w:t>43</w:t>
            </w:r>
          </w:p>
        </w:tc>
        <w:tc>
          <w:tcPr>
            <w:tcW w:w="895" w:type="dxa"/>
            <w:tcBorders>
              <w:top w:val="nil"/>
              <w:left w:val="nil"/>
              <w:bottom w:val="single" w:sz="4" w:space="0" w:color="auto"/>
              <w:right w:val="single" w:sz="4" w:space="0" w:color="auto"/>
            </w:tcBorders>
            <w:vAlign w:val="center"/>
            <w:hideMark/>
          </w:tcPr>
          <w:p w14:paraId="62444ADF" w14:textId="77777777" w:rsidR="00F236AA" w:rsidRPr="000C2276" w:rsidRDefault="00F236AA" w:rsidP="000C2276">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0C2276">
              <w:rPr>
                <w:rFonts w:ascii="Times New Roman" w:eastAsia="Times New Roman" w:hAnsi="Times New Roman" w:cs="Times New Roman"/>
                <w:color w:val="000000"/>
                <w:kern w:val="0"/>
                <w:sz w:val="18"/>
                <w:szCs w:val="18"/>
                <w:lang w:eastAsia="en-IN"/>
                <w14:ligatures w14:val="none"/>
              </w:rPr>
              <w:t>65</w:t>
            </w:r>
          </w:p>
        </w:tc>
        <w:tc>
          <w:tcPr>
            <w:tcW w:w="854" w:type="dxa"/>
            <w:tcBorders>
              <w:top w:val="nil"/>
              <w:left w:val="nil"/>
              <w:bottom w:val="single" w:sz="4" w:space="0" w:color="auto"/>
              <w:right w:val="single" w:sz="4" w:space="0" w:color="auto"/>
            </w:tcBorders>
            <w:vAlign w:val="center"/>
            <w:hideMark/>
          </w:tcPr>
          <w:p w14:paraId="70F92B45" w14:textId="77777777" w:rsidR="00F236AA" w:rsidRPr="000C2276" w:rsidRDefault="00F236AA" w:rsidP="000C2276">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0C2276">
              <w:rPr>
                <w:rFonts w:ascii="Times New Roman" w:eastAsia="Times New Roman" w:hAnsi="Times New Roman" w:cs="Times New Roman"/>
                <w:color w:val="000000"/>
                <w:kern w:val="0"/>
                <w:sz w:val="18"/>
                <w:szCs w:val="18"/>
                <w:lang w:eastAsia="en-IN"/>
                <w14:ligatures w14:val="none"/>
              </w:rPr>
              <w:t>168</w:t>
            </w:r>
          </w:p>
        </w:tc>
        <w:tc>
          <w:tcPr>
            <w:tcW w:w="1280" w:type="dxa"/>
            <w:tcBorders>
              <w:top w:val="nil"/>
              <w:left w:val="nil"/>
              <w:bottom w:val="single" w:sz="4" w:space="0" w:color="auto"/>
              <w:right w:val="single" w:sz="4" w:space="0" w:color="auto"/>
            </w:tcBorders>
            <w:vAlign w:val="center"/>
            <w:hideMark/>
          </w:tcPr>
          <w:p w14:paraId="21FDE33D" w14:textId="77777777" w:rsidR="00F236AA" w:rsidRPr="000C2276" w:rsidRDefault="00F236AA" w:rsidP="000C2276">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0C2276">
              <w:rPr>
                <w:rFonts w:ascii="Times New Roman" w:eastAsia="Times New Roman" w:hAnsi="Times New Roman" w:cs="Times New Roman"/>
                <w:color w:val="000000"/>
                <w:kern w:val="0"/>
                <w:sz w:val="18"/>
                <w:szCs w:val="18"/>
                <w:lang w:eastAsia="en-IN"/>
                <w14:ligatures w14:val="none"/>
              </w:rPr>
              <w:t>26</w:t>
            </w:r>
          </w:p>
        </w:tc>
        <w:tc>
          <w:tcPr>
            <w:tcW w:w="833" w:type="dxa"/>
            <w:tcBorders>
              <w:top w:val="nil"/>
              <w:left w:val="nil"/>
              <w:bottom w:val="single" w:sz="4" w:space="0" w:color="auto"/>
              <w:right w:val="single" w:sz="4" w:space="0" w:color="auto"/>
            </w:tcBorders>
            <w:vAlign w:val="center"/>
            <w:hideMark/>
          </w:tcPr>
          <w:p w14:paraId="240367AA" w14:textId="77777777" w:rsidR="00F236AA" w:rsidRPr="000C2276" w:rsidRDefault="00F236AA" w:rsidP="000C2276">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0C2276">
              <w:rPr>
                <w:rFonts w:ascii="Times New Roman" w:eastAsia="Times New Roman" w:hAnsi="Times New Roman" w:cs="Times New Roman"/>
                <w:color w:val="000000"/>
                <w:kern w:val="0"/>
                <w:sz w:val="18"/>
                <w:szCs w:val="18"/>
                <w:lang w:eastAsia="en-IN"/>
                <w14:ligatures w14:val="none"/>
              </w:rPr>
              <w:t>38</w:t>
            </w:r>
          </w:p>
        </w:tc>
        <w:tc>
          <w:tcPr>
            <w:tcW w:w="752" w:type="dxa"/>
            <w:tcBorders>
              <w:top w:val="nil"/>
              <w:left w:val="nil"/>
              <w:bottom w:val="single" w:sz="4" w:space="0" w:color="auto"/>
              <w:right w:val="single" w:sz="4" w:space="0" w:color="auto"/>
            </w:tcBorders>
            <w:vAlign w:val="center"/>
            <w:hideMark/>
          </w:tcPr>
          <w:p w14:paraId="31ACA9B1" w14:textId="77777777" w:rsidR="00F236AA" w:rsidRPr="000C2276" w:rsidRDefault="00F236AA" w:rsidP="000C2276">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0C2276">
              <w:rPr>
                <w:rFonts w:ascii="Times New Roman" w:eastAsia="Times New Roman" w:hAnsi="Times New Roman" w:cs="Times New Roman"/>
                <w:color w:val="000000"/>
                <w:kern w:val="0"/>
                <w:sz w:val="18"/>
                <w:szCs w:val="18"/>
                <w:lang w:eastAsia="en-IN"/>
                <w14:ligatures w14:val="none"/>
              </w:rPr>
              <w:t>183</w:t>
            </w:r>
          </w:p>
        </w:tc>
        <w:tc>
          <w:tcPr>
            <w:tcW w:w="814" w:type="dxa"/>
            <w:tcBorders>
              <w:top w:val="nil"/>
              <w:left w:val="nil"/>
              <w:bottom w:val="single" w:sz="4" w:space="0" w:color="auto"/>
              <w:right w:val="single" w:sz="4" w:space="0" w:color="auto"/>
            </w:tcBorders>
            <w:vAlign w:val="center"/>
            <w:hideMark/>
          </w:tcPr>
          <w:p w14:paraId="47F6C956" w14:textId="77777777" w:rsidR="00F236AA" w:rsidRPr="000C2276" w:rsidRDefault="00F236AA" w:rsidP="000C2276">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0C2276">
              <w:rPr>
                <w:rFonts w:ascii="Times New Roman" w:eastAsia="Times New Roman" w:hAnsi="Times New Roman" w:cs="Times New Roman"/>
                <w:color w:val="000000"/>
                <w:kern w:val="0"/>
                <w:sz w:val="18"/>
                <w:szCs w:val="18"/>
                <w:lang w:eastAsia="en-IN"/>
                <w14:ligatures w14:val="none"/>
              </w:rPr>
              <w:t>..</w:t>
            </w:r>
          </w:p>
        </w:tc>
        <w:tc>
          <w:tcPr>
            <w:tcW w:w="1047" w:type="dxa"/>
            <w:tcBorders>
              <w:top w:val="nil"/>
              <w:left w:val="nil"/>
              <w:bottom w:val="single" w:sz="4" w:space="0" w:color="auto"/>
              <w:right w:val="single" w:sz="4" w:space="0" w:color="auto"/>
            </w:tcBorders>
            <w:vAlign w:val="center"/>
            <w:hideMark/>
          </w:tcPr>
          <w:p w14:paraId="6196C082" w14:textId="77777777" w:rsidR="00F236AA" w:rsidRPr="000C2276" w:rsidRDefault="00F236AA" w:rsidP="000C2276">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0C2276">
              <w:rPr>
                <w:rFonts w:ascii="Times New Roman" w:eastAsia="Times New Roman" w:hAnsi="Times New Roman" w:cs="Times New Roman"/>
                <w:color w:val="000000"/>
                <w:kern w:val="0"/>
                <w:sz w:val="18"/>
                <w:szCs w:val="18"/>
                <w:lang w:eastAsia="en-IN"/>
                <w14:ligatures w14:val="none"/>
              </w:rPr>
              <w:t>178</w:t>
            </w:r>
          </w:p>
        </w:tc>
        <w:tc>
          <w:tcPr>
            <w:tcW w:w="882" w:type="dxa"/>
            <w:tcBorders>
              <w:top w:val="nil"/>
              <w:left w:val="nil"/>
              <w:bottom w:val="single" w:sz="4" w:space="0" w:color="auto"/>
              <w:right w:val="single" w:sz="4" w:space="0" w:color="auto"/>
            </w:tcBorders>
            <w:vAlign w:val="center"/>
            <w:hideMark/>
          </w:tcPr>
          <w:p w14:paraId="6F641404" w14:textId="77777777" w:rsidR="00F236AA" w:rsidRPr="000C2276" w:rsidRDefault="00F236AA" w:rsidP="000C2276">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0C2276">
              <w:rPr>
                <w:rFonts w:ascii="Times New Roman" w:eastAsia="Times New Roman" w:hAnsi="Times New Roman" w:cs="Times New Roman"/>
                <w:color w:val="000000"/>
                <w:kern w:val="0"/>
                <w:sz w:val="18"/>
                <w:szCs w:val="18"/>
                <w:lang w:eastAsia="en-IN"/>
                <w14:ligatures w14:val="none"/>
              </w:rPr>
              <w:t>98</w:t>
            </w:r>
          </w:p>
        </w:tc>
        <w:tc>
          <w:tcPr>
            <w:tcW w:w="782" w:type="dxa"/>
            <w:tcBorders>
              <w:top w:val="nil"/>
              <w:left w:val="nil"/>
              <w:bottom w:val="single" w:sz="4" w:space="0" w:color="auto"/>
              <w:right w:val="single" w:sz="4" w:space="0" w:color="auto"/>
            </w:tcBorders>
            <w:vAlign w:val="center"/>
            <w:hideMark/>
          </w:tcPr>
          <w:p w14:paraId="6D60C0A8" w14:textId="77777777" w:rsidR="00F236AA" w:rsidRPr="000C2276" w:rsidRDefault="00F236AA" w:rsidP="000C2276">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0C2276">
              <w:rPr>
                <w:rFonts w:ascii="Times New Roman" w:eastAsia="Times New Roman" w:hAnsi="Times New Roman" w:cs="Times New Roman"/>
                <w:color w:val="000000"/>
                <w:kern w:val="0"/>
                <w:sz w:val="18"/>
                <w:szCs w:val="18"/>
                <w:lang w:eastAsia="en-IN"/>
                <w14:ligatures w14:val="none"/>
              </w:rPr>
              <w:t>190</w:t>
            </w:r>
          </w:p>
        </w:tc>
        <w:tc>
          <w:tcPr>
            <w:tcW w:w="752" w:type="dxa"/>
            <w:tcBorders>
              <w:top w:val="nil"/>
              <w:left w:val="nil"/>
              <w:bottom w:val="single" w:sz="4" w:space="0" w:color="auto"/>
              <w:right w:val="single" w:sz="4" w:space="0" w:color="auto"/>
            </w:tcBorders>
            <w:vAlign w:val="center"/>
            <w:hideMark/>
          </w:tcPr>
          <w:p w14:paraId="33CBD9C1" w14:textId="77777777" w:rsidR="00F236AA" w:rsidRPr="000C2276" w:rsidRDefault="00F236AA" w:rsidP="000C2276">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0C2276">
              <w:rPr>
                <w:rFonts w:ascii="Times New Roman" w:eastAsia="Times New Roman" w:hAnsi="Times New Roman" w:cs="Times New Roman"/>
                <w:color w:val="000000"/>
                <w:kern w:val="0"/>
                <w:sz w:val="18"/>
                <w:szCs w:val="18"/>
                <w:lang w:eastAsia="en-IN"/>
                <w14:ligatures w14:val="none"/>
              </w:rPr>
              <w:t>1460</w:t>
            </w:r>
          </w:p>
        </w:tc>
      </w:tr>
      <w:tr w:rsidR="000C2276" w:rsidRPr="000C2276" w14:paraId="7ABCFE1A" w14:textId="77777777" w:rsidTr="000C2276">
        <w:trPr>
          <w:trHeight w:val="340"/>
          <w:jc w:val="center"/>
        </w:trPr>
        <w:tc>
          <w:tcPr>
            <w:tcW w:w="1026" w:type="dxa"/>
            <w:tcBorders>
              <w:top w:val="nil"/>
              <w:left w:val="single" w:sz="4" w:space="0" w:color="auto"/>
              <w:bottom w:val="single" w:sz="4" w:space="0" w:color="auto"/>
              <w:right w:val="single" w:sz="4" w:space="0" w:color="auto"/>
            </w:tcBorders>
            <w:vAlign w:val="center"/>
            <w:hideMark/>
          </w:tcPr>
          <w:p w14:paraId="3B5A7148" w14:textId="77777777" w:rsidR="00F236AA" w:rsidRPr="000C2276" w:rsidRDefault="00F236AA" w:rsidP="00F236AA">
            <w:pPr>
              <w:spacing w:after="0" w:line="240" w:lineRule="auto"/>
              <w:rPr>
                <w:rFonts w:ascii="Times New Roman" w:eastAsia="Times New Roman" w:hAnsi="Times New Roman" w:cs="Times New Roman"/>
                <w:color w:val="000000"/>
                <w:kern w:val="0"/>
                <w:sz w:val="18"/>
                <w:szCs w:val="18"/>
                <w:lang w:eastAsia="en-IN"/>
                <w14:ligatures w14:val="none"/>
              </w:rPr>
            </w:pPr>
            <w:r w:rsidRPr="000C2276">
              <w:rPr>
                <w:rFonts w:ascii="Times New Roman" w:eastAsia="Times New Roman" w:hAnsi="Times New Roman" w:cs="Times New Roman"/>
                <w:color w:val="000000"/>
                <w:kern w:val="0"/>
                <w:sz w:val="18"/>
                <w:szCs w:val="18"/>
                <w:lang w:eastAsia="en-IN"/>
                <w14:ligatures w14:val="none"/>
              </w:rPr>
              <w:t>March</w:t>
            </w:r>
          </w:p>
        </w:tc>
        <w:tc>
          <w:tcPr>
            <w:tcW w:w="882" w:type="dxa"/>
            <w:tcBorders>
              <w:top w:val="nil"/>
              <w:left w:val="nil"/>
              <w:bottom w:val="single" w:sz="4" w:space="0" w:color="auto"/>
              <w:right w:val="single" w:sz="4" w:space="0" w:color="auto"/>
            </w:tcBorders>
            <w:vAlign w:val="center"/>
            <w:hideMark/>
          </w:tcPr>
          <w:p w14:paraId="17B8B2F2" w14:textId="77777777" w:rsidR="00F236AA" w:rsidRPr="000C2276" w:rsidRDefault="00F236AA" w:rsidP="000C2276">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0C2276">
              <w:rPr>
                <w:rFonts w:ascii="Times New Roman" w:eastAsia="Times New Roman" w:hAnsi="Times New Roman" w:cs="Times New Roman"/>
                <w:color w:val="000000"/>
                <w:kern w:val="0"/>
                <w:sz w:val="18"/>
                <w:szCs w:val="18"/>
                <w:lang w:eastAsia="en-IN"/>
                <w14:ligatures w14:val="none"/>
              </w:rPr>
              <w:t>363</w:t>
            </w:r>
          </w:p>
        </w:tc>
        <w:tc>
          <w:tcPr>
            <w:tcW w:w="763" w:type="dxa"/>
            <w:tcBorders>
              <w:top w:val="nil"/>
              <w:left w:val="nil"/>
              <w:bottom w:val="single" w:sz="4" w:space="0" w:color="auto"/>
              <w:right w:val="single" w:sz="4" w:space="0" w:color="auto"/>
            </w:tcBorders>
            <w:vAlign w:val="center"/>
            <w:hideMark/>
          </w:tcPr>
          <w:p w14:paraId="23B5B4F3" w14:textId="77777777" w:rsidR="00F236AA" w:rsidRPr="000C2276" w:rsidRDefault="00F236AA" w:rsidP="000C2276">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0C2276">
              <w:rPr>
                <w:rFonts w:ascii="Times New Roman" w:eastAsia="Times New Roman" w:hAnsi="Times New Roman" w:cs="Times New Roman"/>
                <w:color w:val="000000"/>
                <w:kern w:val="0"/>
                <w:sz w:val="18"/>
                <w:szCs w:val="18"/>
                <w:lang w:eastAsia="en-IN"/>
                <w14:ligatures w14:val="none"/>
              </w:rPr>
              <w:t>N.A.</w:t>
            </w:r>
          </w:p>
        </w:tc>
        <w:tc>
          <w:tcPr>
            <w:tcW w:w="692" w:type="dxa"/>
            <w:tcBorders>
              <w:top w:val="nil"/>
              <w:left w:val="nil"/>
              <w:bottom w:val="single" w:sz="4" w:space="0" w:color="auto"/>
              <w:right w:val="single" w:sz="4" w:space="0" w:color="auto"/>
            </w:tcBorders>
            <w:vAlign w:val="center"/>
            <w:hideMark/>
          </w:tcPr>
          <w:p w14:paraId="0CEB8940" w14:textId="77777777" w:rsidR="00F236AA" w:rsidRPr="000C2276" w:rsidRDefault="00F236AA" w:rsidP="000C2276">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0C2276">
              <w:rPr>
                <w:rFonts w:ascii="Times New Roman" w:eastAsia="Times New Roman" w:hAnsi="Times New Roman" w:cs="Times New Roman"/>
                <w:color w:val="000000"/>
                <w:kern w:val="0"/>
                <w:sz w:val="18"/>
                <w:szCs w:val="18"/>
                <w:lang w:eastAsia="en-IN"/>
                <w14:ligatures w14:val="none"/>
              </w:rPr>
              <w:t>387</w:t>
            </w:r>
          </w:p>
        </w:tc>
        <w:tc>
          <w:tcPr>
            <w:tcW w:w="874" w:type="dxa"/>
            <w:tcBorders>
              <w:top w:val="nil"/>
              <w:left w:val="nil"/>
              <w:bottom w:val="single" w:sz="4" w:space="0" w:color="auto"/>
              <w:right w:val="single" w:sz="4" w:space="0" w:color="auto"/>
            </w:tcBorders>
            <w:vAlign w:val="center"/>
            <w:hideMark/>
          </w:tcPr>
          <w:p w14:paraId="42FD0DDA" w14:textId="77777777" w:rsidR="00F236AA" w:rsidRPr="000C2276" w:rsidRDefault="00F236AA" w:rsidP="000C2276">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0C2276">
              <w:rPr>
                <w:rFonts w:ascii="Times New Roman" w:eastAsia="Times New Roman" w:hAnsi="Times New Roman" w:cs="Times New Roman"/>
                <w:color w:val="000000"/>
                <w:kern w:val="0"/>
                <w:sz w:val="18"/>
                <w:szCs w:val="18"/>
                <w:lang w:eastAsia="en-IN"/>
                <w14:ligatures w14:val="none"/>
              </w:rPr>
              <w:t>466</w:t>
            </w:r>
          </w:p>
        </w:tc>
        <w:tc>
          <w:tcPr>
            <w:tcW w:w="935" w:type="dxa"/>
            <w:tcBorders>
              <w:top w:val="nil"/>
              <w:left w:val="nil"/>
              <w:bottom w:val="single" w:sz="4" w:space="0" w:color="auto"/>
              <w:right w:val="single" w:sz="4" w:space="0" w:color="auto"/>
            </w:tcBorders>
            <w:vAlign w:val="center"/>
            <w:hideMark/>
          </w:tcPr>
          <w:p w14:paraId="0109477B" w14:textId="77777777" w:rsidR="00F236AA" w:rsidRPr="000C2276" w:rsidRDefault="00F236AA" w:rsidP="000C2276">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0C2276">
              <w:rPr>
                <w:rFonts w:ascii="Times New Roman" w:eastAsia="Times New Roman" w:hAnsi="Times New Roman" w:cs="Times New Roman"/>
                <w:color w:val="000000"/>
                <w:kern w:val="0"/>
                <w:sz w:val="18"/>
                <w:szCs w:val="18"/>
                <w:lang w:eastAsia="en-IN"/>
                <w14:ligatures w14:val="none"/>
              </w:rPr>
              <w:t>4</w:t>
            </w:r>
          </w:p>
        </w:tc>
        <w:tc>
          <w:tcPr>
            <w:tcW w:w="781" w:type="dxa"/>
            <w:tcBorders>
              <w:top w:val="nil"/>
              <w:left w:val="nil"/>
              <w:bottom w:val="single" w:sz="4" w:space="0" w:color="auto"/>
              <w:right w:val="single" w:sz="4" w:space="0" w:color="auto"/>
            </w:tcBorders>
            <w:vAlign w:val="center"/>
            <w:hideMark/>
          </w:tcPr>
          <w:p w14:paraId="5C07E0A5" w14:textId="77777777" w:rsidR="00F236AA" w:rsidRPr="000C2276" w:rsidRDefault="00F236AA" w:rsidP="000C2276">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0C2276">
              <w:rPr>
                <w:rFonts w:ascii="Times New Roman" w:eastAsia="Times New Roman" w:hAnsi="Times New Roman" w:cs="Times New Roman"/>
                <w:color w:val="000000"/>
                <w:kern w:val="0"/>
                <w:sz w:val="18"/>
                <w:szCs w:val="18"/>
                <w:lang w:eastAsia="en-IN"/>
                <w14:ligatures w14:val="none"/>
              </w:rPr>
              <w:t>285</w:t>
            </w:r>
          </w:p>
        </w:tc>
        <w:tc>
          <w:tcPr>
            <w:tcW w:w="895" w:type="dxa"/>
            <w:tcBorders>
              <w:top w:val="nil"/>
              <w:left w:val="nil"/>
              <w:bottom w:val="single" w:sz="4" w:space="0" w:color="auto"/>
              <w:right w:val="single" w:sz="4" w:space="0" w:color="auto"/>
            </w:tcBorders>
            <w:vAlign w:val="center"/>
            <w:hideMark/>
          </w:tcPr>
          <w:p w14:paraId="3542052A" w14:textId="77777777" w:rsidR="00F236AA" w:rsidRPr="000C2276" w:rsidRDefault="00F236AA" w:rsidP="000C2276">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0C2276">
              <w:rPr>
                <w:rFonts w:ascii="Times New Roman" w:eastAsia="Times New Roman" w:hAnsi="Times New Roman" w:cs="Times New Roman"/>
                <w:color w:val="000000"/>
                <w:kern w:val="0"/>
                <w:sz w:val="18"/>
                <w:szCs w:val="18"/>
                <w:lang w:eastAsia="en-IN"/>
                <w14:ligatures w14:val="none"/>
              </w:rPr>
              <w:t>529</w:t>
            </w:r>
          </w:p>
        </w:tc>
        <w:tc>
          <w:tcPr>
            <w:tcW w:w="854" w:type="dxa"/>
            <w:tcBorders>
              <w:top w:val="nil"/>
              <w:left w:val="nil"/>
              <w:bottom w:val="single" w:sz="4" w:space="0" w:color="auto"/>
              <w:right w:val="single" w:sz="4" w:space="0" w:color="auto"/>
            </w:tcBorders>
            <w:vAlign w:val="center"/>
            <w:hideMark/>
          </w:tcPr>
          <w:p w14:paraId="40CCFECA" w14:textId="77777777" w:rsidR="00F236AA" w:rsidRPr="000C2276" w:rsidRDefault="00F236AA" w:rsidP="000C2276">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0C2276">
              <w:rPr>
                <w:rFonts w:ascii="Times New Roman" w:eastAsia="Times New Roman" w:hAnsi="Times New Roman" w:cs="Times New Roman"/>
                <w:color w:val="000000"/>
                <w:kern w:val="0"/>
                <w:sz w:val="18"/>
                <w:szCs w:val="18"/>
                <w:lang w:eastAsia="en-IN"/>
                <w14:ligatures w14:val="none"/>
              </w:rPr>
              <w:t>514</w:t>
            </w:r>
          </w:p>
        </w:tc>
        <w:tc>
          <w:tcPr>
            <w:tcW w:w="1280" w:type="dxa"/>
            <w:tcBorders>
              <w:top w:val="nil"/>
              <w:left w:val="nil"/>
              <w:bottom w:val="single" w:sz="4" w:space="0" w:color="auto"/>
              <w:right w:val="single" w:sz="4" w:space="0" w:color="auto"/>
            </w:tcBorders>
            <w:vAlign w:val="center"/>
            <w:hideMark/>
          </w:tcPr>
          <w:p w14:paraId="13575FC1" w14:textId="77777777" w:rsidR="00F236AA" w:rsidRPr="000C2276" w:rsidRDefault="00F236AA" w:rsidP="000C2276">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0C2276">
              <w:rPr>
                <w:rFonts w:ascii="Times New Roman" w:eastAsia="Times New Roman" w:hAnsi="Times New Roman" w:cs="Times New Roman"/>
                <w:color w:val="000000"/>
                <w:kern w:val="0"/>
                <w:sz w:val="18"/>
                <w:szCs w:val="18"/>
                <w:lang w:eastAsia="en-IN"/>
                <w14:ligatures w14:val="none"/>
              </w:rPr>
              <w:t>643</w:t>
            </w:r>
          </w:p>
        </w:tc>
        <w:tc>
          <w:tcPr>
            <w:tcW w:w="833" w:type="dxa"/>
            <w:tcBorders>
              <w:top w:val="nil"/>
              <w:left w:val="nil"/>
              <w:bottom w:val="single" w:sz="4" w:space="0" w:color="auto"/>
              <w:right w:val="single" w:sz="4" w:space="0" w:color="auto"/>
            </w:tcBorders>
            <w:vAlign w:val="center"/>
            <w:hideMark/>
          </w:tcPr>
          <w:p w14:paraId="1A0136D3" w14:textId="77777777" w:rsidR="00F236AA" w:rsidRPr="000C2276" w:rsidRDefault="00F236AA" w:rsidP="000C2276">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0C2276">
              <w:rPr>
                <w:rFonts w:ascii="Times New Roman" w:eastAsia="Times New Roman" w:hAnsi="Times New Roman" w:cs="Times New Roman"/>
                <w:color w:val="000000"/>
                <w:kern w:val="0"/>
                <w:sz w:val="18"/>
                <w:szCs w:val="18"/>
                <w:lang w:eastAsia="en-IN"/>
                <w14:ligatures w14:val="none"/>
              </w:rPr>
              <w:t>403</w:t>
            </w:r>
          </w:p>
        </w:tc>
        <w:tc>
          <w:tcPr>
            <w:tcW w:w="752" w:type="dxa"/>
            <w:tcBorders>
              <w:top w:val="nil"/>
              <w:left w:val="nil"/>
              <w:bottom w:val="single" w:sz="4" w:space="0" w:color="auto"/>
              <w:right w:val="single" w:sz="4" w:space="0" w:color="auto"/>
            </w:tcBorders>
            <w:vAlign w:val="center"/>
            <w:hideMark/>
          </w:tcPr>
          <w:p w14:paraId="3BA0E99C" w14:textId="77777777" w:rsidR="00F236AA" w:rsidRPr="000C2276" w:rsidRDefault="00F236AA" w:rsidP="000C2276">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0C2276">
              <w:rPr>
                <w:rFonts w:ascii="Times New Roman" w:eastAsia="Times New Roman" w:hAnsi="Times New Roman" w:cs="Times New Roman"/>
                <w:color w:val="000000"/>
                <w:kern w:val="0"/>
                <w:sz w:val="18"/>
                <w:szCs w:val="18"/>
                <w:lang w:eastAsia="en-IN"/>
                <w14:ligatures w14:val="none"/>
              </w:rPr>
              <w:t>2727</w:t>
            </w:r>
          </w:p>
        </w:tc>
        <w:tc>
          <w:tcPr>
            <w:tcW w:w="814" w:type="dxa"/>
            <w:tcBorders>
              <w:top w:val="nil"/>
              <w:left w:val="nil"/>
              <w:bottom w:val="single" w:sz="4" w:space="0" w:color="auto"/>
              <w:right w:val="single" w:sz="4" w:space="0" w:color="auto"/>
            </w:tcBorders>
            <w:vAlign w:val="center"/>
            <w:hideMark/>
          </w:tcPr>
          <w:p w14:paraId="272EDEEA" w14:textId="77777777" w:rsidR="00F236AA" w:rsidRPr="000C2276" w:rsidRDefault="00F236AA" w:rsidP="000C2276">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0C2276">
              <w:rPr>
                <w:rFonts w:ascii="Times New Roman" w:eastAsia="Times New Roman" w:hAnsi="Times New Roman" w:cs="Times New Roman"/>
                <w:color w:val="000000"/>
                <w:kern w:val="0"/>
                <w:sz w:val="18"/>
                <w:szCs w:val="18"/>
                <w:lang w:eastAsia="en-IN"/>
                <w14:ligatures w14:val="none"/>
              </w:rPr>
              <w:t>..</w:t>
            </w:r>
          </w:p>
        </w:tc>
        <w:tc>
          <w:tcPr>
            <w:tcW w:w="1047" w:type="dxa"/>
            <w:tcBorders>
              <w:top w:val="nil"/>
              <w:left w:val="nil"/>
              <w:bottom w:val="single" w:sz="4" w:space="0" w:color="auto"/>
              <w:right w:val="single" w:sz="4" w:space="0" w:color="auto"/>
            </w:tcBorders>
            <w:vAlign w:val="center"/>
            <w:hideMark/>
          </w:tcPr>
          <w:p w14:paraId="4C2A774C" w14:textId="77777777" w:rsidR="00F236AA" w:rsidRPr="000C2276" w:rsidRDefault="00F236AA" w:rsidP="000C2276">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0C2276">
              <w:rPr>
                <w:rFonts w:ascii="Times New Roman" w:eastAsia="Times New Roman" w:hAnsi="Times New Roman" w:cs="Times New Roman"/>
                <w:color w:val="000000"/>
                <w:kern w:val="0"/>
                <w:sz w:val="18"/>
                <w:szCs w:val="18"/>
                <w:lang w:eastAsia="en-IN"/>
                <w14:ligatures w14:val="none"/>
              </w:rPr>
              <w:t>2231</w:t>
            </w:r>
          </w:p>
        </w:tc>
        <w:tc>
          <w:tcPr>
            <w:tcW w:w="882" w:type="dxa"/>
            <w:tcBorders>
              <w:top w:val="nil"/>
              <w:left w:val="nil"/>
              <w:bottom w:val="single" w:sz="4" w:space="0" w:color="auto"/>
              <w:right w:val="single" w:sz="4" w:space="0" w:color="auto"/>
            </w:tcBorders>
            <w:vAlign w:val="center"/>
            <w:hideMark/>
          </w:tcPr>
          <w:p w14:paraId="142F729B" w14:textId="77777777" w:rsidR="00F236AA" w:rsidRPr="000C2276" w:rsidRDefault="00F236AA" w:rsidP="000C2276">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0C2276">
              <w:rPr>
                <w:rFonts w:ascii="Times New Roman" w:eastAsia="Times New Roman" w:hAnsi="Times New Roman" w:cs="Times New Roman"/>
                <w:color w:val="000000"/>
                <w:kern w:val="0"/>
                <w:sz w:val="18"/>
                <w:szCs w:val="18"/>
                <w:lang w:eastAsia="en-IN"/>
                <w14:ligatures w14:val="none"/>
              </w:rPr>
              <w:t>1056</w:t>
            </w:r>
          </w:p>
        </w:tc>
        <w:tc>
          <w:tcPr>
            <w:tcW w:w="782" w:type="dxa"/>
            <w:tcBorders>
              <w:top w:val="nil"/>
              <w:left w:val="nil"/>
              <w:bottom w:val="single" w:sz="4" w:space="0" w:color="auto"/>
              <w:right w:val="single" w:sz="4" w:space="0" w:color="auto"/>
            </w:tcBorders>
            <w:vAlign w:val="center"/>
            <w:hideMark/>
          </w:tcPr>
          <w:p w14:paraId="7B4C6F89" w14:textId="77777777" w:rsidR="00F236AA" w:rsidRPr="000C2276" w:rsidRDefault="00F236AA" w:rsidP="000C2276">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0C2276">
              <w:rPr>
                <w:rFonts w:ascii="Times New Roman" w:eastAsia="Times New Roman" w:hAnsi="Times New Roman" w:cs="Times New Roman"/>
                <w:color w:val="000000"/>
                <w:kern w:val="0"/>
                <w:sz w:val="18"/>
                <w:szCs w:val="18"/>
                <w:lang w:eastAsia="en-IN"/>
                <w14:ligatures w14:val="none"/>
              </w:rPr>
              <w:t>425</w:t>
            </w:r>
          </w:p>
        </w:tc>
        <w:tc>
          <w:tcPr>
            <w:tcW w:w="752" w:type="dxa"/>
            <w:tcBorders>
              <w:top w:val="nil"/>
              <w:left w:val="nil"/>
              <w:bottom w:val="single" w:sz="4" w:space="0" w:color="auto"/>
              <w:right w:val="single" w:sz="4" w:space="0" w:color="auto"/>
            </w:tcBorders>
            <w:vAlign w:val="center"/>
            <w:hideMark/>
          </w:tcPr>
          <w:p w14:paraId="3E5FC2B2" w14:textId="77777777" w:rsidR="00F236AA" w:rsidRPr="000C2276" w:rsidRDefault="00F236AA" w:rsidP="000C2276">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0C2276">
              <w:rPr>
                <w:rFonts w:ascii="Times New Roman" w:eastAsia="Times New Roman" w:hAnsi="Times New Roman" w:cs="Times New Roman"/>
                <w:color w:val="000000"/>
                <w:kern w:val="0"/>
                <w:sz w:val="18"/>
                <w:szCs w:val="18"/>
                <w:lang w:eastAsia="en-IN"/>
                <w14:ligatures w14:val="none"/>
              </w:rPr>
              <w:t>10033</w:t>
            </w:r>
          </w:p>
        </w:tc>
      </w:tr>
      <w:tr w:rsidR="000C2276" w:rsidRPr="000C2276" w14:paraId="74F0F09B" w14:textId="77777777" w:rsidTr="000C2276">
        <w:trPr>
          <w:trHeight w:val="340"/>
          <w:jc w:val="center"/>
        </w:trPr>
        <w:tc>
          <w:tcPr>
            <w:tcW w:w="1026" w:type="dxa"/>
            <w:tcBorders>
              <w:top w:val="nil"/>
              <w:left w:val="single" w:sz="4" w:space="0" w:color="auto"/>
              <w:bottom w:val="single" w:sz="4" w:space="0" w:color="auto"/>
              <w:right w:val="single" w:sz="4" w:space="0" w:color="auto"/>
            </w:tcBorders>
            <w:vAlign w:val="center"/>
            <w:hideMark/>
          </w:tcPr>
          <w:p w14:paraId="3F6D2AAD" w14:textId="77777777" w:rsidR="00F236AA" w:rsidRPr="000C2276" w:rsidRDefault="00F236AA" w:rsidP="00F236AA">
            <w:pPr>
              <w:spacing w:after="0" w:line="240" w:lineRule="auto"/>
              <w:rPr>
                <w:rFonts w:ascii="Times New Roman" w:eastAsia="Times New Roman" w:hAnsi="Times New Roman" w:cs="Times New Roman"/>
                <w:color w:val="000000"/>
                <w:kern w:val="0"/>
                <w:sz w:val="18"/>
                <w:szCs w:val="18"/>
                <w:lang w:eastAsia="en-IN"/>
                <w14:ligatures w14:val="none"/>
              </w:rPr>
            </w:pPr>
            <w:r w:rsidRPr="000C2276">
              <w:rPr>
                <w:rFonts w:ascii="Times New Roman" w:eastAsia="Times New Roman" w:hAnsi="Times New Roman" w:cs="Times New Roman"/>
                <w:color w:val="000000"/>
                <w:kern w:val="0"/>
                <w:sz w:val="18"/>
                <w:szCs w:val="18"/>
                <w:lang w:eastAsia="en-IN"/>
                <w14:ligatures w14:val="none"/>
              </w:rPr>
              <w:t>TOTAL</w:t>
            </w:r>
          </w:p>
        </w:tc>
        <w:tc>
          <w:tcPr>
            <w:tcW w:w="882" w:type="dxa"/>
            <w:tcBorders>
              <w:top w:val="nil"/>
              <w:left w:val="nil"/>
              <w:bottom w:val="single" w:sz="4" w:space="0" w:color="auto"/>
              <w:right w:val="single" w:sz="4" w:space="0" w:color="auto"/>
            </w:tcBorders>
            <w:vAlign w:val="center"/>
            <w:hideMark/>
          </w:tcPr>
          <w:p w14:paraId="5A0AF2CE" w14:textId="77777777" w:rsidR="00F236AA" w:rsidRPr="000C2276" w:rsidRDefault="00F236AA" w:rsidP="000C2276">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0C2276">
              <w:rPr>
                <w:rFonts w:ascii="Times New Roman" w:eastAsia="Times New Roman" w:hAnsi="Times New Roman" w:cs="Times New Roman"/>
                <w:color w:val="000000"/>
                <w:kern w:val="0"/>
                <w:sz w:val="18"/>
                <w:szCs w:val="18"/>
                <w:lang w:eastAsia="en-IN"/>
                <w14:ligatures w14:val="none"/>
              </w:rPr>
              <w:t>3934</w:t>
            </w:r>
          </w:p>
        </w:tc>
        <w:tc>
          <w:tcPr>
            <w:tcW w:w="763" w:type="dxa"/>
            <w:tcBorders>
              <w:top w:val="nil"/>
              <w:left w:val="nil"/>
              <w:bottom w:val="single" w:sz="4" w:space="0" w:color="auto"/>
              <w:right w:val="single" w:sz="4" w:space="0" w:color="auto"/>
            </w:tcBorders>
            <w:vAlign w:val="center"/>
            <w:hideMark/>
          </w:tcPr>
          <w:p w14:paraId="7111BF5F" w14:textId="77777777" w:rsidR="00F236AA" w:rsidRPr="000C2276" w:rsidRDefault="00F236AA" w:rsidP="000C2276">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0C2276">
              <w:rPr>
                <w:rFonts w:ascii="Times New Roman" w:eastAsia="Times New Roman" w:hAnsi="Times New Roman" w:cs="Times New Roman"/>
                <w:color w:val="000000"/>
                <w:kern w:val="0"/>
                <w:sz w:val="18"/>
                <w:szCs w:val="18"/>
                <w:lang w:eastAsia="en-IN"/>
                <w14:ligatures w14:val="none"/>
              </w:rPr>
              <w:t>1281</w:t>
            </w:r>
          </w:p>
        </w:tc>
        <w:tc>
          <w:tcPr>
            <w:tcW w:w="692" w:type="dxa"/>
            <w:tcBorders>
              <w:top w:val="nil"/>
              <w:left w:val="nil"/>
              <w:bottom w:val="single" w:sz="4" w:space="0" w:color="auto"/>
              <w:right w:val="single" w:sz="4" w:space="0" w:color="auto"/>
            </w:tcBorders>
            <w:vAlign w:val="center"/>
            <w:hideMark/>
          </w:tcPr>
          <w:p w14:paraId="50E786FD" w14:textId="77777777" w:rsidR="00F236AA" w:rsidRPr="000C2276" w:rsidRDefault="00F236AA" w:rsidP="000C2276">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0C2276">
              <w:rPr>
                <w:rFonts w:ascii="Times New Roman" w:eastAsia="Times New Roman" w:hAnsi="Times New Roman" w:cs="Times New Roman"/>
                <w:color w:val="000000"/>
                <w:kern w:val="0"/>
                <w:sz w:val="18"/>
                <w:szCs w:val="18"/>
                <w:lang w:eastAsia="en-IN"/>
                <w14:ligatures w14:val="none"/>
              </w:rPr>
              <w:t>3778</w:t>
            </w:r>
          </w:p>
        </w:tc>
        <w:tc>
          <w:tcPr>
            <w:tcW w:w="874" w:type="dxa"/>
            <w:tcBorders>
              <w:top w:val="nil"/>
              <w:left w:val="nil"/>
              <w:bottom w:val="single" w:sz="4" w:space="0" w:color="auto"/>
              <w:right w:val="single" w:sz="4" w:space="0" w:color="auto"/>
            </w:tcBorders>
            <w:vAlign w:val="center"/>
            <w:hideMark/>
          </w:tcPr>
          <w:p w14:paraId="5D326BE7" w14:textId="77777777" w:rsidR="00F236AA" w:rsidRPr="000C2276" w:rsidRDefault="00F236AA" w:rsidP="000C2276">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0C2276">
              <w:rPr>
                <w:rFonts w:ascii="Times New Roman" w:eastAsia="Times New Roman" w:hAnsi="Times New Roman" w:cs="Times New Roman"/>
                <w:color w:val="000000"/>
                <w:kern w:val="0"/>
                <w:sz w:val="18"/>
                <w:szCs w:val="18"/>
                <w:lang w:eastAsia="en-IN"/>
                <w14:ligatures w14:val="none"/>
              </w:rPr>
              <w:t>1753</w:t>
            </w:r>
          </w:p>
        </w:tc>
        <w:tc>
          <w:tcPr>
            <w:tcW w:w="935" w:type="dxa"/>
            <w:tcBorders>
              <w:top w:val="nil"/>
              <w:left w:val="nil"/>
              <w:bottom w:val="single" w:sz="4" w:space="0" w:color="auto"/>
              <w:right w:val="single" w:sz="4" w:space="0" w:color="auto"/>
            </w:tcBorders>
            <w:vAlign w:val="center"/>
            <w:hideMark/>
          </w:tcPr>
          <w:p w14:paraId="72626E82" w14:textId="77777777" w:rsidR="00F236AA" w:rsidRPr="000C2276" w:rsidRDefault="00F236AA" w:rsidP="000C2276">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0C2276">
              <w:rPr>
                <w:rFonts w:ascii="Times New Roman" w:eastAsia="Times New Roman" w:hAnsi="Times New Roman" w:cs="Times New Roman"/>
                <w:color w:val="000000"/>
                <w:kern w:val="0"/>
                <w:sz w:val="18"/>
                <w:szCs w:val="18"/>
                <w:lang w:eastAsia="en-IN"/>
                <w14:ligatures w14:val="none"/>
              </w:rPr>
              <w:t>4</w:t>
            </w:r>
          </w:p>
        </w:tc>
        <w:tc>
          <w:tcPr>
            <w:tcW w:w="781" w:type="dxa"/>
            <w:tcBorders>
              <w:top w:val="nil"/>
              <w:left w:val="nil"/>
              <w:bottom w:val="single" w:sz="4" w:space="0" w:color="auto"/>
              <w:right w:val="single" w:sz="4" w:space="0" w:color="auto"/>
            </w:tcBorders>
            <w:vAlign w:val="center"/>
            <w:hideMark/>
          </w:tcPr>
          <w:p w14:paraId="45365927" w14:textId="77777777" w:rsidR="00F236AA" w:rsidRPr="000C2276" w:rsidRDefault="00F236AA" w:rsidP="000C2276">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0C2276">
              <w:rPr>
                <w:rFonts w:ascii="Times New Roman" w:eastAsia="Times New Roman" w:hAnsi="Times New Roman" w:cs="Times New Roman"/>
                <w:color w:val="000000"/>
                <w:kern w:val="0"/>
                <w:sz w:val="18"/>
                <w:szCs w:val="18"/>
                <w:lang w:eastAsia="en-IN"/>
                <w14:ligatures w14:val="none"/>
              </w:rPr>
              <w:t>1420</w:t>
            </w:r>
          </w:p>
        </w:tc>
        <w:tc>
          <w:tcPr>
            <w:tcW w:w="895" w:type="dxa"/>
            <w:tcBorders>
              <w:top w:val="nil"/>
              <w:left w:val="nil"/>
              <w:bottom w:val="single" w:sz="4" w:space="0" w:color="auto"/>
              <w:right w:val="single" w:sz="4" w:space="0" w:color="auto"/>
            </w:tcBorders>
            <w:vAlign w:val="center"/>
            <w:hideMark/>
          </w:tcPr>
          <w:p w14:paraId="5107049C" w14:textId="77777777" w:rsidR="00F236AA" w:rsidRPr="000C2276" w:rsidRDefault="00F236AA" w:rsidP="000C2276">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0C2276">
              <w:rPr>
                <w:rFonts w:ascii="Times New Roman" w:eastAsia="Times New Roman" w:hAnsi="Times New Roman" w:cs="Times New Roman"/>
                <w:color w:val="000000"/>
                <w:kern w:val="0"/>
                <w:sz w:val="18"/>
                <w:szCs w:val="18"/>
                <w:lang w:eastAsia="en-IN"/>
                <w14:ligatures w14:val="none"/>
              </w:rPr>
              <w:t>3292</w:t>
            </w:r>
          </w:p>
        </w:tc>
        <w:tc>
          <w:tcPr>
            <w:tcW w:w="854" w:type="dxa"/>
            <w:tcBorders>
              <w:top w:val="nil"/>
              <w:left w:val="nil"/>
              <w:bottom w:val="single" w:sz="4" w:space="0" w:color="auto"/>
              <w:right w:val="single" w:sz="4" w:space="0" w:color="auto"/>
            </w:tcBorders>
            <w:vAlign w:val="center"/>
            <w:hideMark/>
          </w:tcPr>
          <w:p w14:paraId="1548AD8A" w14:textId="77777777" w:rsidR="00F236AA" w:rsidRPr="000C2276" w:rsidRDefault="00F236AA" w:rsidP="000C2276">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0C2276">
              <w:rPr>
                <w:rFonts w:ascii="Times New Roman" w:eastAsia="Times New Roman" w:hAnsi="Times New Roman" w:cs="Times New Roman"/>
                <w:color w:val="000000"/>
                <w:kern w:val="0"/>
                <w:sz w:val="18"/>
                <w:szCs w:val="18"/>
                <w:lang w:eastAsia="en-IN"/>
                <w14:ligatures w14:val="none"/>
              </w:rPr>
              <w:t>2941</w:t>
            </w:r>
          </w:p>
        </w:tc>
        <w:tc>
          <w:tcPr>
            <w:tcW w:w="1280" w:type="dxa"/>
            <w:tcBorders>
              <w:top w:val="nil"/>
              <w:left w:val="nil"/>
              <w:bottom w:val="single" w:sz="4" w:space="0" w:color="auto"/>
              <w:right w:val="single" w:sz="4" w:space="0" w:color="auto"/>
            </w:tcBorders>
            <w:vAlign w:val="center"/>
            <w:hideMark/>
          </w:tcPr>
          <w:p w14:paraId="20364AF2" w14:textId="77777777" w:rsidR="00F236AA" w:rsidRPr="000C2276" w:rsidRDefault="00F236AA" w:rsidP="000C2276">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0C2276">
              <w:rPr>
                <w:rFonts w:ascii="Times New Roman" w:eastAsia="Times New Roman" w:hAnsi="Times New Roman" w:cs="Times New Roman"/>
                <w:color w:val="000000"/>
                <w:kern w:val="0"/>
                <w:sz w:val="18"/>
                <w:szCs w:val="18"/>
                <w:lang w:eastAsia="en-IN"/>
                <w14:ligatures w14:val="none"/>
              </w:rPr>
              <w:t>2591</w:t>
            </w:r>
          </w:p>
        </w:tc>
        <w:tc>
          <w:tcPr>
            <w:tcW w:w="833" w:type="dxa"/>
            <w:tcBorders>
              <w:top w:val="nil"/>
              <w:left w:val="nil"/>
              <w:bottom w:val="single" w:sz="4" w:space="0" w:color="auto"/>
              <w:right w:val="single" w:sz="4" w:space="0" w:color="auto"/>
            </w:tcBorders>
            <w:vAlign w:val="center"/>
            <w:hideMark/>
          </w:tcPr>
          <w:p w14:paraId="5DE5E826" w14:textId="77777777" w:rsidR="00F236AA" w:rsidRPr="000C2276" w:rsidRDefault="00F236AA" w:rsidP="000C2276">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0C2276">
              <w:rPr>
                <w:rFonts w:ascii="Times New Roman" w:eastAsia="Times New Roman" w:hAnsi="Times New Roman" w:cs="Times New Roman"/>
                <w:color w:val="000000"/>
                <w:kern w:val="0"/>
                <w:sz w:val="18"/>
                <w:szCs w:val="18"/>
                <w:lang w:eastAsia="en-IN"/>
                <w14:ligatures w14:val="none"/>
              </w:rPr>
              <w:t>2060</w:t>
            </w:r>
          </w:p>
        </w:tc>
        <w:tc>
          <w:tcPr>
            <w:tcW w:w="752" w:type="dxa"/>
            <w:tcBorders>
              <w:top w:val="nil"/>
              <w:left w:val="nil"/>
              <w:bottom w:val="single" w:sz="4" w:space="0" w:color="auto"/>
              <w:right w:val="single" w:sz="4" w:space="0" w:color="auto"/>
            </w:tcBorders>
            <w:vAlign w:val="center"/>
            <w:hideMark/>
          </w:tcPr>
          <w:p w14:paraId="5807E986" w14:textId="77777777" w:rsidR="00F236AA" w:rsidRPr="000C2276" w:rsidRDefault="00F236AA" w:rsidP="000C2276">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0C2276">
              <w:rPr>
                <w:rFonts w:ascii="Times New Roman" w:eastAsia="Times New Roman" w:hAnsi="Times New Roman" w:cs="Times New Roman"/>
                <w:color w:val="000000"/>
                <w:kern w:val="0"/>
                <w:sz w:val="18"/>
                <w:szCs w:val="18"/>
                <w:lang w:eastAsia="en-IN"/>
                <w14:ligatures w14:val="none"/>
              </w:rPr>
              <w:t>4207</w:t>
            </w:r>
          </w:p>
        </w:tc>
        <w:tc>
          <w:tcPr>
            <w:tcW w:w="814" w:type="dxa"/>
            <w:tcBorders>
              <w:top w:val="nil"/>
              <w:left w:val="nil"/>
              <w:bottom w:val="single" w:sz="4" w:space="0" w:color="auto"/>
              <w:right w:val="single" w:sz="4" w:space="0" w:color="auto"/>
            </w:tcBorders>
            <w:vAlign w:val="center"/>
            <w:hideMark/>
          </w:tcPr>
          <w:p w14:paraId="42968CDA" w14:textId="77777777" w:rsidR="00F236AA" w:rsidRPr="000C2276" w:rsidRDefault="00F236AA" w:rsidP="000C2276">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0C2276">
              <w:rPr>
                <w:rFonts w:ascii="Times New Roman" w:eastAsia="Times New Roman" w:hAnsi="Times New Roman" w:cs="Times New Roman"/>
                <w:color w:val="000000"/>
                <w:kern w:val="0"/>
                <w:sz w:val="18"/>
                <w:szCs w:val="18"/>
                <w:lang w:eastAsia="en-IN"/>
                <w14:ligatures w14:val="none"/>
              </w:rPr>
              <w:t>813</w:t>
            </w:r>
          </w:p>
        </w:tc>
        <w:tc>
          <w:tcPr>
            <w:tcW w:w="1047" w:type="dxa"/>
            <w:tcBorders>
              <w:top w:val="nil"/>
              <w:left w:val="nil"/>
              <w:bottom w:val="single" w:sz="4" w:space="0" w:color="auto"/>
              <w:right w:val="single" w:sz="4" w:space="0" w:color="auto"/>
            </w:tcBorders>
            <w:vAlign w:val="center"/>
            <w:hideMark/>
          </w:tcPr>
          <w:p w14:paraId="24A65280" w14:textId="77777777" w:rsidR="00F236AA" w:rsidRPr="000C2276" w:rsidRDefault="00F236AA" w:rsidP="000C2276">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0C2276">
              <w:rPr>
                <w:rFonts w:ascii="Times New Roman" w:eastAsia="Times New Roman" w:hAnsi="Times New Roman" w:cs="Times New Roman"/>
                <w:color w:val="000000"/>
                <w:kern w:val="0"/>
                <w:sz w:val="18"/>
                <w:szCs w:val="18"/>
                <w:lang w:eastAsia="en-IN"/>
                <w14:ligatures w14:val="none"/>
              </w:rPr>
              <w:t>4485</w:t>
            </w:r>
          </w:p>
        </w:tc>
        <w:tc>
          <w:tcPr>
            <w:tcW w:w="882" w:type="dxa"/>
            <w:tcBorders>
              <w:top w:val="nil"/>
              <w:left w:val="nil"/>
              <w:bottom w:val="single" w:sz="4" w:space="0" w:color="auto"/>
              <w:right w:val="single" w:sz="4" w:space="0" w:color="auto"/>
            </w:tcBorders>
            <w:vAlign w:val="center"/>
            <w:hideMark/>
          </w:tcPr>
          <w:p w14:paraId="1BB7C108" w14:textId="77777777" w:rsidR="00F236AA" w:rsidRPr="000C2276" w:rsidRDefault="00F236AA" w:rsidP="000C2276">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0C2276">
              <w:rPr>
                <w:rFonts w:ascii="Times New Roman" w:eastAsia="Times New Roman" w:hAnsi="Times New Roman" w:cs="Times New Roman"/>
                <w:color w:val="000000"/>
                <w:kern w:val="0"/>
                <w:sz w:val="18"/>
                <w:szCs w:val="18"/>
                <w:lang w:eastAsia="en-IN"/>
                <w14:ligatures w14:val="none"/>
              </w:rPr>
              <w:t>4078</w:t>
            </w:r>
          </w:p>
        </w:tc>
        <w:tc>
          <w:tcPr>
            <w:tcW w:w="782" w:type="dxa"/>
            <w:tcBorders>
              <w:top w:val="nil"/>
              <w:left w:val="nil"/>
              <w:bottom w:val="single" w:sz="4" w:space="0" w:color="auto"/>
              <w:right w:val="single" w:sz="4" w:space="0" w:color="auto"/>
            </w:tcBorders>
            <w:vAlign w:val="center"/>
            <w:hideMark/>
          </w:tcPr>
          <w:p w14:paraId="73752326" w14:textId="77777777" w:rsidR="00F236AA" w:rsidRPr="000C2276" w:rsidRDefault="00F236AA" w:rsidP="000C2276">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0C2276">
              <w:rPr>
                <w:rFonts w:ascii="Times New Roman" w:eastAsia="Times New Roman" w:hAnsi="Times New Roman" w:cs="Times New Roman"/>
                <w:color w:val="000000"/>
                <w:kern w:val="0"/>
                <w:sz w:val="18"/>
                <w:szCs w:val="18"/>
                <w:lang w:eastAsia="en-IN"/>
                <w14:ligatures w14:val="none"/>
              </w:rPr>
              <w:t>1121</w:t>
            </w:r>
          </w:p>
        </w:tc>
        <w:tc>
          <w:tcPr>
            <w:tcW w:w="752" w:type="dxa"/>
            <w:tcBorders>
              <w:top w:val="nil"/>
              <w:left w:val="nil"/>
              <w:bottom w:val="single" w:sz="4" w:space="0" w:color="auto"/>
              <w:right w:val="single" w:sz="4" w:space="0" w:color="auto"/>
            </w:tcBorders>
            <w:vAlign w:val="center"/>
            <w:hideMark/>
          </w:tcPr>
          <w:p w14:paraId="6FD26170" w14:textId="77777777" w:rsidR="00F236AA" w:rsidRPr="000C2276" w:rsidRDefault="00F236AA" w:rsidP="000C2276">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0C2276">
              <w:rPr>
                <w:rFonts w:ascii="Times New Roman" w:eastAsia="Times New Roman" w:hAnsi="Times New Roman" w:cs="Times New Roman"/>
                <w:color w:val="000000"/>
                <w:kern w:val="0"/>
                <w:sz w:val="18"/>
                <w:szCs w:val="18"/>
                <w:lang w:eastAsia="en-IN"/>
                <w14:ligatures w14:val="none"/>
              </w:rPr>
              <w:t>37758</w:t>
            </w:r>
          </w:p>
        </w:tc>
      </w:tr>
    </w:tbl>
    <w:p w14:paraId="558F3911" w14:textId="6F047966" w:rsidR="00F236AA" w:rsidRPr="00F236AA" w:rsidRDefault="00F236AA" w:rsidP="00F236AA">
      <w:pPr>
        <w:pStyle w:val="NoSpacing"/>
        <w:rPr>
          <w:rFonts w:ascii="Times New Roman" w:eastAsia="Times New Roman" w:hAnsi="Times New Roman" w:cs="Times New Roman"/>
          <w:color w:val="000000"/>
          <w:kern w:val="0"/>
          <w:sz w:val="20"/>
          <w:szCs w:val="10"/>
          <w:lang w:eastAsia="en-IN"/>
          <w14:ligatures w14:val="none"/>
        </w:rPr>
      </w:pPr>
      <w:r w:rsidRPr="00F236AA">
        <w:rPr>
          <w:rFonts w:ascii="Times New Roman" w:eastAsia="Times New Roman" w:hAnsi="Times New Roman" w:cs="Times New Roman"/>
          <w:color w:val="000000"/>
          <w:kern w:val="0"/>
          <w:sz w:val="20"/>
          <w:szCs w:val="10"/>
          <w:lang w:eastAsia="en-IN"/>
          <w14:ligatures w14:val="none"/>
        </w:rPr>
        <w:t>* Material in respect of Haryana and Nagaland not available.</w:t>
      </w:r>
    </w:p>
    <w:p w14:paraId="1EF26707" w14:textId="6E632E9B" w:rsidR="00F236AA" w:rsidRPr="000D5B7C" w:rsidRDefault="00F236AA" w:rsidP="000D5B7C">
      <w:pPr>
        <w:pStyle w:val="NoSpacing"/>
        <w:rPr>
          <w:rFonts w:ascii="Times New Roman" w:hAnsi="Times New Roman" w:cs="Times New Roman"/>
          <w:i/>
          <w:iCs/>
          <w:sz w:val="22"/>
          <w:szCs w:val="22"/>
        </w:rPr>
      </w:pPr>
      <w:r w:rsidRPr="00F236AA">
        <w:rPr>
          <w:rFonts w:ascii="Times New Roman" w:eastAsia="Times New Roman" w:hAnsi="Times New Roman" w:cs="Times New Roman"/>
          <w:color w:val="000000"/>
          <w:kern w:val="0"/>
          <w:sz w:val="20"/>
          <w:szCs w:val="10"/>
          <w:lang w:eastAsia="en-IN"/>
          <w14:ligatures w14:val="none"/>
        </w:rPr>
        <w:t>Source: Accountants General.</w:t>
      </w:r>
    </w:p>
    <w:p w14:paraId="14C4D22C" w14:textId="77777777" w:rsidR="00F236AA" w:rsidRDefault="00F236AA" w:rsidP="00F236AA">
      <w:pPr>
        <w:pStyle w:val="NoSpacing"/>
        <w:jc w:val="right"/>
        <w:rPr>
          <w:rFonts w:ascii="Times New Roman" w:hAnsi="Times New Roman" w:cs="Times New Roman"/>
          <w:szCs w:val="24"/>
        </w:rPr>
      </w:pPr>
    </w:p>
    <w:p w14:paraId="0A25D81B" w14:textId="77777777" w:rsidR="000D5B7C" w:rsidRDefault="000D5B7C">
      <w:pPr>
        <w:rPr>
          <w:rFonts w:ascii="Times New Roman" w:hAnsi="Times New Roman" w:cs="Times New Roman"/>
          <w:b/>
          <w:bCs/>
          <w:szCs w:val="24"/>
        </w:rPr>
      </w:pPr>
      <w:r>
        <w:rPr>
          <w:rFonts w:ascii="Times New Roman" w:hAnsi="Times New Roman" w:cs="Times New Roman"/>
          <w:b/>
          <w:bCs/>
          <w:szCs w:val="24"/>
        </w:rPr>
        <w:br w:type="page"/>
      </w:r>
    </w:p>
    <w:p w14:paraId="7CB5BD30" w14:textId="4ADDA282" w:rsidR="000D5B7C" w:rsidRDefault="00574BCE" w:rsidP="0060494F">
      <w:pPr>
        <w:pStyle w:val="Heading5"/>
      </w:pPr>
      <w:bookmarkStart w:id="270" w:name="_Toc220949765"/>
      <w:bookmarkStart w:id="271" w:name="_Toc221115390"/>
      <w:r>
        <w:lastRenderedPageBreak/>
        <w:t>Table</w:t>
      </w:r>
      <w:r w:rsidR="00E74747" w:rsidRPr="00D43584">
        <w:t xml:space="preserve"> 7: Budgetary position of the State Governments</w:t>
      </w:r>
      <w:bookmarkEnd w:id="270"/>
      <w:bookmarkEnd w:id="271"/>
    </w:p>
    <w:p w14:paraId="4FEF03A9" w14:textId="6327DA30" w:rsidR="00E74747" w:rsidRPr="00D43584" w:rsidRDefault="00E74747" w:rsidP="000D5B7C">
      <w:pPr>
        <w:pStyle w:val="NoSpacing"/>
        <w:jc w:val="center"/>
        <w:rPr>
          <w:rFonts w:ascii="Times New Roman" w:hAnsi="Times New Roman" w:cs="Times New Roman"/>
          <w:szCs w:val="24"/>
        </w:rPr>
      </w:pPr>
      <w:r w:rsidRPr="00D43584">
        <w:rPr>
          <w:rFonts w:ascii="Times New Roman" w:hAnsi="Times New Roman" w:cs="Times New Roman"/>
          <w:i/>
          <w:iCs/>
          <w:szCs w:val="24"/>
        </w:rPr>
        <w:t>Surplus (+), Deficit (-)</w:t>
      </w:r>
      <w:r w:rsidRPr="00D43584">
        <w:rPr>
          <w:rFonts w:ascii="Times New Roman" w:hAnsi="Times New Roman" w:cs="Times New Roman"/>
          <w:szCs w:val="24"/>
        </w:rPr>
        <w:br/>
      </w:r>
    </w:p>
    <w:p w14:paraId="1F6C4822" w14:textId="77777777" w:rsidR="00E74747" w:rsidRPr="00D43584" w:rsidRDefault="00E74747" w:rsidP="00E74747">
      <w:pPr>
        <w:pStyle w:val="NoSpacing"/>
        <w:jc w:val="right"/>
        <w:rPr>
          <w:rFonts w:ascii="Times New Roman" w:hAnsi="Times New Roman" w:cs="Times New Roman"/>
          <w:i/>
          <w:iCs/>
          <w:szCs w:val="24"/>
        </w:rPr>
      </w:pPr>
      <w:r w:rsidRPr="00D43584">
        <w:rPr>
          <w:rFonts w:ascii="Times New Roman" w:hAnsi="Times New Roman" w:cs="Times New Roman"/>
          <w:i/>
          <w:iCs/>
          <w:szCs w:val="24"/>
        </w:rPr>
        <w:t>(Rs. in lakhs)</w:t>
      </w:r>
    </w:p>
    <w:tbl>
      <w:tblPr>
        <w:tblStyle w:val="TableGrid"/>
        <w:tblW w:w="14088" w:type="dxa"/>
        <w:jc w:val="center"/>
        <w:tblLook w:val="04A0" w:firstRow="1" w:lastRow="0" w:firstColumn="1" w:lastColumn="0" w:noHBand="0" w:noVBand="1"/>
      </w:tblPr>
      <w:tblGrid>
        <w:gridCol w:w="2806"/>
        <w:gridCol w:w="1346"/>
        <w:gridCol w:w="1060"/>
        <w:gridCol w:w="1059"/>
        <w:gridCol w:w="1261"/>
        <w:gridCol w:w="1059"/>
        <w:gridCol w:w="1059"/>
        <w:gridCol w:w="1261"/>
        <w:gridCol w:w="1059"/>
        <w:gridCol w:w="1059"/>
        <w:gridCol w:w="1059"/>
      </w:tblGrid>
      <w:tr w:rsidR="00E74747" w:rsidRPr="00D43584" w14:paraId="4840C7B0" w14:textId="77777777" w:rsidTr="000D5B7C">
        <w:trPr>
          <w:trHeight w:val="397"/>
          <w:jc w:val="center"/>
        </w:trPr>
        <w:tc>
          <w:tcPr>
            <w:tcW w:w="0" w:type="auto"/>
            <w:gridSpan w:val="2"/>
            <w:vMerge w:val="restart"/>
            <w:vAlign w:val="center"/>
            <w:hideMark/>
          </w:tcPr>
          <w:p w14:paraId="1817FCBF" w14:textId="77777777" w:rsidR="00E74747" w:rsidRPr="000D5B7C" w:rsidRDefault="00E74747" w:rsidP="000D5B7C">
            <w:pPr>
              <w:pStyle w:val="NoSpacing"/>
              <w:jc w:val="center"/>
              <w:rPr>
                <w:rFonts w:ascii="Times New Roman" w:hAnsi="Times New Roman" w:cs="Times New Roman"/>
                <w:b/>
                <w:bCs/>
                <w:szCs w:val="24"/>
              </w:rPr>
            </w:pPr>
            <w:r w:rsidRPr="000D5B7C">
              <w:rPr>
                <w:rFonts w:ascii="Times New Roman" w:hAnsi="Times New Roman" w:cs="Times New Roman"/>
                <w:b/>
                <w:bCs/>
                <w:szCs w:val="24"/>
              </w:rPr>
              <w:t>States</w:t>
            </w:r>
          </w:p>
        </w:tc>
        <w:tc>
          <w:tcPr>
            <w:tcW w:w="0" w:type="auto"/>
            <w:gridSpan w:val="3"/>
            <w:vAlign w:val="center"/>
            <w:hideMark/>
          </w:tcPr>
          <w:p w14:paraId="6B47EE4C" w14:textId="29009456" w:rsidR="00E74747" w:rsidRPr="000D5B7C" w:rsidRDefault="00E74747" w:rsidP="000D5B7C">
            <w:pPr>
              <w:pStyle w:val="NoSpacing"/>
              <w:jc w:val="center"/>
              <w:rPr>
                <w:rFonts w:ascii="Times New Roman" w:hAnsi="Times New Roman" w:cs="Times New Roman"/>
                <w:b/>
                <w:bCs/>
                <w:szCs w:val="24"/>
              </w:rPr>
            </w:pPr>
            <w:r w:rsidRPr="000D5B7C">
              <w:rPr>
                <w:rFonts w:ascii="Times New Roman" w:hAnsi="Times New Roman" w:cs="Times New Roman"/>
                <w:b/>
                <w:bCs/>
                <w:szCs w:val="24"/>
              </w:rPr>
              <w:t>1965-66</w:t>
            </w:r>
          </w:p>
        </w:tc>
        <w:tc>
          <w:tcPr>
            <w:tcW w:w="0" w:type="auto"/>
            <w:gridSpan w:val="3"/>
            <w:vAlign w:val="center"/>
            <w:hideMark/>
          </w:tcPr>
          <w:p w14:paraId="418DBB51" w14:textId="16476D61" w:rsidR="00E74747" w:rsidRPr="000D5B7C" w:rsidRDefault="00E74747" w:rsidP="000D5B7C">
            <w:pPr>
              <w:pStyle w:val="NoSpacing"/>
              <w:jc w:val="center"/>
              <w:rPr>
                <w:rFonts w:ascii="Times New Roman" w:hAnsi="Times New Roman" w:cs="Times New Roman"/>
                <w:b/>
                <w:bCs/>
                <w:szCs w:val="24"/>
              </w:rPr>
            </w:pPr>
            <w:r w:rsidRPr="000D5B7C">
              <w:rPr>
                <w:rFonts w:ascii="Times New Roman" w:hAnsi="Times New Roman" w:cs="Times New Roman"/>
                <w:b/>
                <w:bCs/>
                <w:szCs w:val="24"/>
              </w:rPr>
              <w:t>1966-67</w:t>
            </w:r>
          </w:p>
        </w:tc>
        <w:tc>
          <w:tcPr>
            <w:tcW w:w="0" w:type="auto"/>
            <w:gridSpan w:val="3"/>
            <w:vAlign w:val="center"/>
          </w:tcPr>
          <w:p w14:paraId="7557E6DE" w14:textId="77777777" w:rsidR="00E74747" w:rsidRPr="000D5B7C" w:rsidRDefault="00E74747" w:rsidP="000D5B7C">
            <w:pPr>
              <w:pStyle w:val="NoSpacing"/>
              <w:jc w:val="center"/>
              <w:rPr>
                <w:rFonts w:ascii="Times New Roman" w:hAnsi="Times New Roman" w:cs="Times New Roman"/>
                <w:b/>
                <w:bCs/>
                <w:szCs w:val="24"/>
              </w:rPr>
            </w:pPr>
            <w:r w:rsidRPr="000D5B7C">
              <w:rPr>
                <w:rFonts w:ascii="Times New Roman" w:hAnsi="Times New Roman" w:cs="Times New Roman"/>
                <w:b/>
                <w:bCs/>
                <w:szCs w:val="24"/>
              </w:rPr>
              <w:t>1967-68</w:t>
            </w:r>
          </w:p>
        </w:tc>
      </w:tr>
      <w:tr w:rsidR="00E74747" w:rsidRPr="00D43584" w14:paraId="799D981F" w14:textId="77777777" w:rsidTr="000D5B7C">
        <w:trPr>
          <w:trHeight w:val="397"/>
          <w:jc w:val="center"/>
        </w:trPr>
        <w:tc>
          <w:tcPr>
            <w:tcW w:w="0" w:type="auto"/>
            <w:gridSpan w:val="2"/>
            <w:vMerge/>
            <w:vAlign w:val="center"/>
          </w:tcPr>
          <w:p w14:paraId="78397A49" w14:textId="77777777" w:rsidR="00E74747" w:rsidRPr="000D5B7C" w:rsidRDefault="00E74747" w:rsidP="000D5B7C">
            <w:pPr>
              <w:pStyle w:val="NoSpacing"/>
              <w:jc w:val="center"/>
              <w:rPr>
                <w:rFonts w:ascii="Times New Roman" w:hAnsi="Times New Roman" w:cs="Times New Roman"/>
                <w:b/>
                <w:bCs/>
                <w:szCs w:val="24"/>
              </w:rPr>
            </w:pPr>
          </w:p>
        </w:tc>
        <w:tc>
          <w:tcPr>
            <w:tcW w:w="0" w:type="auto"/>
            <w:vAlign w:val="center"/>
          </w:tcPr>
          <w:p w14:paraId="50152A12" w14:textId="77777777" w:rsidR="00E74747" w:rsidRPr="000D5B7C" w:rsidRDefault="00E74747" w:rsidP="000D5B7C">
            <w:pPr>
              <w:pStyle w:val="NoSpacing"/>
              <w:jc w:val="center"/>
              <w:rPr>
                <w:rFonts w:ascii="Times New Roman" w:hAnsi="Times New Roman" w:cs="Times New Roman"/>
                <w:b/>
                <w:bCs/>
                <w:szCs w:val="24"/>
              </w:rPr>
            </w:pPr>
            <w:r w:rsidRPr="000D5B7C">
              <w:rPr>
                <w:rFonts w:ascii="Times New Roman" w:hAnsi="Times New Roman" w:cs="Times New Roman"/>
                <w:b/>
                <w:bCs/>
                <w:szCs w:val="24"/>
              </w:rPr>
              <w:t>B.E.</w:t>
            </w:r>
          </w:p>
        </w:tc>
        <w:tc>
          <w:tcPr>
            <w:tcW w:w="0" w:type="auto"/>
            <w:vAlign w:val="center"/>
          </w:tcPr>
          <w:p w14:paraId="56FBCF93" w14:textId="77777777" w:rsidR="00E74747" w:rsidRPr="000D5B7C" w:rsidRDefault="00E74747" w:rsidP="000D5B7C">
            <w:pPr>
              <w:pStyle w:val="NoSpacing"/>
              <w:jc w:val="center"/>
              <w:rPr>
                <w:rFonts w:ascii="Times New Roman" w:hAnsi="Times New Roman" w:cs="Times New Roman"/>
                <w:b/>
                <w:bCs/>
                <w:szCs w:val="24"/>
              </w:rPr>
            </w:pPr>
            <w:r w:rsidRPr="000D5B7C">
              <w:rPr>
                <w:rFonts w:ascii="Times New Roman" w:hAnsi="Times New Roman" w:cs="Times New Roman"/>
                <w:b/>
                <w:bCs/>
                <w:szCs w:val="24"/>
              </w:rPr>
              <w:t>R.E.</w:t>
            </w:r>
          </w:p>
        </w:tc>
        <w:tc>
          <w:tcPr>
            <w:tcW w:w="0" w:type="auto"/>
            <w:vAlign w:val="center"/>
          </w:tcPr>
          <w:p w14:paraId="15572ED8" w14:textId="77777777" w:rsidR="00E74747" w:rsidRPr="000D5B7C" w:rsidRDefault="00E74747" w:rsidP="000D5B7C">
            <w:pPr>
              <w:pStyle w:val="NoSpacing"/>
              <w:jc w:val="center"/>
              <w:rPr>
                <w:rFonts w:ascii="Times New Roman" w:hAnsi="Times New Roman" w:cs="Times New Roman"/>
                <w:b/>
                <w:bCs/>
                <w:szCs w:val="24"/>
              </w:rPr>
            </w:pPr>
            <w:r w:rsidRPr="000D5B7C">
              <w:rPr>
                <w:rFonts w:ascii="Times New Roman" w:hAnsi="Times New Roman" w:cs="Times New Roman"/>
                <w:b/>
                <w:bCs/>
                <w:szCs w:val="24"/>
              </w:rPr>
              <w:t>Actuals</w:t>
            </w:r>
          </w:p>
        </w:tc>
        <w:tc>
          <w:tcPr>
            <w:tcW w:w="0" w:type="auto"/>
            <w:vAlign w:val="center"/>
          </w:tcPr>
          <w:p w14:paraId="4CACD249" w14:textId="77777777" w:rsidR="00E74747" w:rsidRPr="000D5B7C" w:rsidRDefault="00E74747" w:rsidP="000D5B7C">
            <w:pPr>
              <w:pStyle w:val="NoSpacing"/>
              <w:jc w:val="center"/>
              <w:rPr>
                <w:rFonts w:ascii="Times New Roman" w:hAnsi="Times New Roman" w:cs="Times New Roman"/>
                <w:b/>
                <w:bCs/>
                <w:szCs w:val="24"/>
              </w:rPr>
            </w:pPr>
            <w:r w:rsidRPr="000D5B7C">
              <w:rPr>
                <w:rFonts w:ascii="Times New Roman" w:hAnsi="Times New Roman" w:cs="Times New Roman"/>
                <w:b/>
                <w:bCs/>
                <w:szCs w:val="24"/>
              </w:rPr>
              <w:t>B.E.</w:t>
            </w:r>
          </w:p>
        </w:tc>
        <w:tc>
          <w:tcPr>
            <w:tcW w:w="0" w:type="auto"/>
            <w:vAlign w:val="center"/>
          </w:tcPr>
          <w:p w14:paraId="1D0C0EBE" w14:textId="77777777" w:rsidR="00E74747" w:rsidRPr="000D5B7C" w:rsidRDefault="00E74747" w:rsidP="000D5B7C">
            <w:pPr>
              <w:pStyle w:val="NoSpacing"/>
              <w:jc w:val="center"/>
              <w:rPr>
                <w:rFonts w:ascii="Times New Roman" w:hAnsi="Times New Roman" w:cs="Times New Roman"/>
                <w:b/>
                <w:bCs/>
                <w:szCs w:val="24"/>
              </w:rPr>
            </w:pPr>
            <w:r w:rsidRPr="000D5B7C">
              <w:rPr>
                <w:rFonts w:ascii="Times New Roman" w:hAnsi="Times New Roman" w:cs="Times New Roman"/>
                <w:b/>
                <w:bCs/>
                <w:szCs w:val="24"/>
              </w:rPr>
              <w:t>R.E.</w:t>
            </w:r>
          </w:p>
        </w:tc>
        <w:tc>
          <w:tcPr>
            <w:tcW w:w="0" w:type="auto"/>
            <w:vAlign w:val="center"/>
          </w:tcPr>
          <w:p w14:paraId="729E48CA" w14:textId="77777777" w:rsidR="00E74747" w:rsidRPr="000D5B7C" w:rsidRDefault="00E74747" w:rsidP="000D5B7C">
            <w:pPr>
              <w:pStyle w:val="NoSpacing"/>
              <w:jc w:val="center"/>
              <w:rPr>
                <w:rFonts w:ascii="Times New Roman" w:hAnsi="Times New Roman" w:cs="Times New Roman"/>
                <w:b/>
                <w:bCs/>
                <w:szCs w:val="24"/>
              </w:rPr>
            </w:pPr>
            <w:r w:rsidRPr="000D5B7C">
              <w:rPr>
                <w:rFonts w:ascii="Times New Roman" w:hAnsi="Times New Roman" w:cs="Times New Roman"/>
                <w:b/>
                <w:bCs/>
                <w:szCs w:val="24"/>
              </w:rPr>
              <w:t>Actuals</w:t>
            </w:r>
          </w:p>
        </w:tc>
        <w:tc>
          <w:tcPr>
            <w:tcW w:w="0" w:type="auto"/>
            <w:vAlign w:val="center"/>
          </w:tcPr>
          <w:p w14:paraId="3D5B6F4F" w14:textId="77777777" w:rsidR="00E74747" w:rsidRPr="000D5B7C" w:rsidRDefault="00E74747" w:rsidP="000D5B7C">
            <w:pPr>
              <w:pStyle w:val="NoSpacing"/>
              <w:jc w:val="center"/>
              <w:rPr>
                <w:rFonts w:ascii="Times New Roman" w:hAnsi="Times New Roman" w:cs="Times New Roman"/>
                <w:b/>
                <w:bCs/>
                <w:szCs w:val="24"/>
              </w:rPr>
            </w:pPr>
            <w:r w:rsidRPr="000D5B7C">
              <w:rPr>
                <w:rFonts w:ascii="Times New Roman" w:hAnsi="Times New Roman" w:cs="Times New Roman"/>
                <w:b/>
                <w:bCs/>
                <w:szCs w:val="24"/>
              </w:rPr>
              <w:t>B.E.</w:t>
            </w:r>
          </w:p>
        </w:tc>
        <w:tc>
          <w:tcPr>
            <w:tcW w:w="0" w:type="auto"/>
            <w:vAlign w:val="center"/>
          </w:tcPr>
          <w:p w14:paraId="77CA0256" w14:textId="77777777" w:rsidR="00E74747" w:rsidRPr="000D5B7C" w:rsidRDefault="00E74747" w:rsidP="000D5B7C">
            <w:pPr>
              <w:pStyle w:val="NoSpacing"/>
              <w:jc w:val="center"/>
              <w:rPr>
                <w:rFonts w:ascii="Times New Roman" w:hAnsi="Times New Roman" w:cs="Times New Roman"/>
                <w:b/>
                <w:bCs/>
                <w:szCs w:val="24"/>
              </w:rPr>
            </w:pPr>
            <w:r w:rsidRPr="000D5B7C">
              <w:rPr>
                <w:rFonts w:ascii="Times New Roman" w:hAnsi="Times New Roman" w:cs="Times New Roman"/>
                <w:b/>
                <w:bCs/>
                <w:szCs w:val="24"/>
              </w:rPr>
              <w:t>R.E.</w:t>
            </w:r>
          </w:p>
        </w:tc>
        <w:tc>
          <w:tcPr>
            <w:tcW w:w="0" w:type="auto"/>
            <w:vAlign w:val="center"/>
          </w:tcPr>
          <w:p w14:paraId="1BC898E0" w14:textId="77777777" w:rsidR="00E74747" w:rsidRPr="000D5B7C" w:rsidRDefault="00E74747" w:rsidP="000D5B7C">
            <w:pPr>
              <w:pStyle w:val="NoSpacing"/>
              <w:jc w:val="center"/>
              <w:rPr>
                <w:rFonts w:ascii="Times New Roman" w:hAnsi="Times New Roman" w:cs="Times New Roman"/>
                <w:b/>
                <w:bCs/>
                <w:szCs w:val="24"/>
              </w:rPr>
            </w:pPr>
            <w:r w:rsidRPr="000D5B7C">
              <w:rPr>
                <w:rFonts w:ascii="Times New Roman" w:hAnsi="Times New Roman" w:cs="Times New Roman"/>
                <w:b/>
                <w:bCs/>
                <w:szCs w:val="24"/>
              </w:rPr>
              <w:t>B.E.</w:t>
            </w:r>
          </w:p>
        </w:tc>
      </w:tr>
      <w:tr w:rsidR="00F0435A" w:rsidRPr="00D43584" w14:paraId="496638FA" w14:textId="77777777" w:rsidTr="000D5B7C">
        <w:trPr>
          <w:trHeight w:val="397"/>
          <w:jc w:val="center"/>
        </w:trPr>
        <w:tc>
          <w:tcPr>
            <w:tcW w:w="0" w:type="auto"/>
            <w:vAlign w:val="center"/>
          </w:tcPr>
          <w:p w14:paraId="7A54BEEA" w14:textId="77777777" w:rsidR="00F0435A" w:rsidRPr="000D5B7C" w:rsidRDefault="00F0435A" w:rsidP="000D5B7C">
            <w:pPr>
              <w:pStyle w:val="NoSpacing"/>
              <w:jc w:val="center"/>
              <w:rPr>
                <w:rFonts w:ascii="Times New Roman" w:hAnsi="Times New Roman" w:cs="Times New Roman"/>
                <w:szCs w:val="24"/>
              </w:rPr>
            </w:pPr>
          </w:p>
        </w:tc>
        <w:tc>
          <w:tcPr>
            <w:tcW w:w="0" w:type="auto"/>
            <w:vAlign w:val="center"/>
          </w:tcPr>
          <w:p w14:paraId="202D0588" w14:textId="71A4AE0D" w:rsidR="00F0435A" w:rsidRPr="000D5B7C" w:rsidRDefault="00F0435A" w:rsidP="000D5B7C">
            <w:pPr>
              <w:pStyle w:val="NoSpacing"/>
              <w:jc w:val="center"/>
              <w:rPr>
                <w:rFonts w:ascii="Times New Roman" w:hAnsi="Times New Roman" w:cs="Times New Roman"/>
                <w:szCs w:val="24"/>
              </w:rPr>
            </w:pPr>
            <w:r>
              <w:rPr>
                <w:rFonts w:ascii="Times New Roman" w:hAnsi="Times New Roman" w:cs="Times New Roman"/>
                <w:szCs w:val="24"/>
              </w:rPr>
              <w:t>1</w:t>
            </w:r>
          </w:p>
        </w:tc>
        <w:tc>
          <w:tcPr>
            <w:tcW w:w="0" w:type="auto"/>
            <w:vAlign w:val="center"/>
          </w:tcPr>
          <w:p w14:paraId="7A39E2E2" w14:textId="55B623C1" w:rsidR="00F0435A" w:rsidRPr="00D43584" w:rsidRDefault="00F0435A" w:rsidP="000D5B7C">
            <w:pPr>
              <w:pStyle w:val="NoSpacing"/>
              <w:jc w:val="center"/>
              <w:rPr>
                <w:rFonts w:ascii="Times New Roman" w:hAnsi="Times New Roman" w:cs="Times New Roman"/>
                <w:szCs w:val="24"/>
              </w:rPr>
            </w:pPr>
            <w:r>
              <w:rPr>
                <w:rFonts w:ascii="Times New Roman" w:hAnsi="Times New Roman" w:cs="Times New Roman"/>
                <w:szCs w:val="24"/>
              </w:rPr>
              <w:t>2</w:t>
            </w:r>
          </w:p>
        </w:tc>
        <w:tc>
          <w:tcPr>
            <w:tcW w:w="0" w:type="auto"/>
            <w:vAlign w:val="center"/>
          </w:tcPr>
          <w:p w14:paraId="19C1E5F3" w14:textId="478686D8" w:rsidR="00F0435A" w:rsidRPr="00D43584" w:rsidRDefault="00F0435A" w:rsidP="000D5B7C">
            <w:pPr>
              <w:pStyle w:val="NoSpacing"/>
              <w:jc w:val="center"/>
              <w:rPr>
                <w:rFonts w:ascii="Times New Roman" w:hAnsi="Times New Roman" w:cs="Times New Roman"/>
                <w:szCs w:val="24"/>
              </w:rPr>
            </w:pPr>
            <w:r>
              <w:rPr>
                <w:rFonts w:ascii="Times New Roman" w:hAnsi="Times New Roman" w:cs="Times New Roman"/>
                <w:szCs w:val="24"/>
              </w:rPr>
              <w:t>3</w:t>
            </w:r>
          </w:p>
        </w:tc>
        <w:tc>
          <w:tcPr>
            <w:tcW w:w="0" w:type="auto"/>
            <w:vAlign w:val="center"/>
          </w:tcPr>
          <w:p w14:paraId="3E9F59D8" w14:textId="0EEFDD3F" w:rsidR="00F0435A" w:rsidRPr="00D43584" w:rsidRDefault="00F0435A" w:rsidP="000D5B7C">
            <w:pPr>
              <w:pStyle w:val="NoSpacing"/>
              <w:jc w:val="center"/>
              <w:rPr>
                <w:rFonts w:ascii="Times New Roman" w:hAnsi="Times New Roman" w:cs="Times New Roman"/>
                <w:szCs w:val="24"/>
              </w:rPr>
            </w:pPr>
            <w:r>
              <w:rPr>
                <w:rFonts w:ascii="Times New Roman" w:hAnsi="Times New Roman" w:cs="Times New Roman"/>
                <w:szCs w:val="24"/>
              </w:rPr>
              <w:t>4</w:t>
            </w:r>
          </w:p>
        </w:tc>
        <w:tc>
          <w:tcPr>
            <w:tcW w:w="0" w:type="auto"/>
            <w:vAlign w:val="center"/>
          </w:tcPr>
          <w:p w14:paraId="024680A6" w14:textId="23076606" w:rsidR="00F0435A" w:rsidRPr="00D43584" w:rsidRDefault="00F0435A" w:rsidP="000D5B7C">
            <w:pPr>
              <w:pStyle w:val="NoSpacing"/>
              <w:jc w:val="center"/>
              <w:rPr>
                <w:rFonts w:ascii="Times New Roman" w:hAnsi="Times New Roman" w:cs="Times New Roman"/>
                <w:szCs w:val="24"/>
              </w:rPr>
            </w:pPr>
            <w:r>
              <w:rPr>
                <w:rFonts w:ascii="Times New Roman" w:hAnsi="Times New Roman" w:cs="Times New Roman"/>
                <w:szCs w:val="24"/>
              </w:rPr>
              <w:t>5</w:t>
            </w:r>
          </w:p>
        </w:tc>
        <w:tc>
          <w:tcPr>
            <w:tcW w:w="0" w:type="auto"/>
            <w:vAlign w:val="center"/>
          </w:tcPr>
          <w:p w14:paraId="65C2173A" w14:textId="6DE1A721" w:rsidR="00F0435A" w:rsidRPr="00D43584" w:rsidRDefault="00F0435A" w:rsidP="000D5B7C">
            <w:pPr>
              <w:pStyle w:val="NoSpacing"/>
              <w:jc w:val="center"/>
              <w:rPr>
                <w:rFonts w:ascii="Times New Roman" w:hAnsi="Times New Roman" w:cs="Times New Roman"/>
                <w:szCs w:val="24"/>
              </w:rPr>
            </w:pPr>
            <w:r>
              <w:rPr>
                <w:rFonts w:ascii="Times New Roman" w:hAnsi="Times New Roman" w:cs="Times New Roman"/>
                <w:szCs w:val="24"/>
              </w:rPr>
              <w:t>6</w:t>
            </w:r>
          </w:p>
        </w:tc>
        <w:tc>
          <w:tcPr>
            <w:tcW w:w="0" w:type="auto"/>
            <w:vAlign w:val="center"/>
          </w:tcPr>
          <w:p w14:paraId="6201EB61" w14:textId="04D58A9D" w:rsidR="00F0435A" w:rsidRPr="00D43584" w:rsidRDefault="00F0435A" w:rsidP="000D5B7C">
            <w:pPr>
              <w:pStyle w:val="NoSpacing"/>
              <w:jc w:val="center"/>
              <w:rPr>
                <w:rFonts w:ascii="Times New Roman" w:hAnsi="Times New Roman" w:cs="Times New Roman"/>
                <w:szCs w:val="24"/>
              </w:rPr>
            </w:pPr>
            <w:r>
              <w:rPr>
                <w:rFonts w:ascii="Times New Roman" w:hAnsi="Times New Roman" w:cs="Times New Roman"/>
                <w:szCs w:val="24"/>
              </w:rPr>
              <w:t>7</w:t>
            </w:r>
          </w:p>
        </w:tc>
        <w:tc>
          <w:tcPr>
            <w:tcW w:w="0" w:type="auto"/>
            <w:vAlign w:val="center"/>
          </w:tcPr>
          <w:p w14:paraId="7EAFDAE0" w14:textId="0F3352A0" w:rsidR="00F0435A" w:rsidRPr="00D43584" w:rsidRDefault="00F0435A" w:rsidP="000D5B7C">
            <w:pPr>
              <w:pStyle w:val="NoSpacing"/>
              <w:jc w:val="center"/>
              <w:rPr>
                <w:rFonts w:ascii="Times New Roman" w:hAnsi="Times New Roman" w:cs="Times New Roman"/>
                <w:szCs w:val="24"/>
              </w:rPr>
            </w:pPr>
            <w:r>
              <w:rPr>
                <w:rFonts w:ascii="Times New Roman" w:hAnsi="Times New Roman" w:cs="Times New Roman"/>
                <w:szCs w:val="24"/>
              </w:rPr>
              <w:t>8</w:t>
            </w:r>
          </w:p>
        </w:tc>
        <w:tc>
          <w:tcPr>
            <w:tcW w:w="0" w:type="auto"/>
            <w:vAlign w:val="center"/>
          </w:tcPr>
          <w:p w14:paraId="3B6CC022" w14:textId="3EF57055" w:rsidR="00F0435A" w:rsidRPr="00D43584" w:rsidRDefault="00F0435A" w:rsidP="000D5B7C">
            <w:pPr>
              <w:pStyle w:val="NoSpacing"/>
              <w:jc w:val="center"/>
              <w:rPr>
                <w:rFonts w:ascii="Times New Roman" w:hAnsi="Times New Roman" w:cs="Times New Roman"/>
                <w:szCs w:val="24"/>
              </w:rPr>
            </w:pPr>
            <w:r>
              <w:rPr>
                <w:rFonts w:ascii="Times New Roman" w:hAnsi="Times New Roman" w:cs="Times New Roman"/>
                <w:szCs w:val="24"/>
              </w:rPr>
              <w:t>9</w:t>
            </w:r>
          </w:p>
        </w:tc>
        <w:tc>
          <w:tcPr>
            <w:tcW w:w="0" w:type="auto"/>
            <w:vAlign w:val="center"/>
          </w:tcPr>
          <w:p w14:paraId="56139C76" w14:textId="73140764" w:rsidR="00F0435A" w:rsidRPr="00D43584" w:rsidRDefault="00F0435A" w:rsidP="000D5B7C">
            <w:pPr>
              <w:pStyle w:val="NoSpacing"/>
              <w:jc w:val="center"/>
              <w:rPr>
                <w:rFonts w:ascii="Times New Roman" w:hAnsi="Times New Roman" w:cs="Times New Roman"/>
                <w:szCs w:val="24"/>
              </w:rPr>
            </w:pPr>
            <w:r>
              <w:rPr>
                <w:rFonts w:ascii="Times New Roman" w:hAnsi="Times New Roman" w:cs="Times New Roman"/>
                <w:szCs w:val="24"/>
              </w:rPr>
              <w:t>10</w:t>
            </w:r>
          </w:p>
        </w:tc>
      </w:tr>
      <w:tr w:rsidR="00E74747" w:rsidRPr="00D43584" w14:paraId="35741C04" w14:textId="77777777" w:rsidTr="000D5B7C">
        <w:trPr>
          <w:trHeight w:val="397"/>
          <w:jc w:val="center"/>
        </w:trPr>
        <w:tc>
          <w:tcPr>
            <w:tcW w:w="0" w:type="auto"/>
            <w:vAlign w:val="center"/>
            <w:hideMark/>
          </w:tcPr>
          <w:p w14:paraId="2DE1D9CB" w14:textId="77777777" w:rsidR="00E74747" w:rsidRPr="000D5B7C" w:rsidRDefault="00E74747" w:rsidP="000D5B7C">
            <w:pPr>
              <w:pStyle w:val="NoSpacing"/>
              <w:jc w:val="center"/>
              <w:rPr>
                <w:rFonts w:ascii="Times New Roman" w:hAnsi="Times New Roman" w:cs="Times New Roman"/>
                <w:szCs w:val="24"/>
              </w:rPr>
            </w:pPr>
            <w:r w:rsidRPr="000D5B7C">
              <w:rPr>
                <w:rFonts w:ascii="Times New Roman" w:hAnsi="Times New Roman" w:cs="Times New Roman"/>
                <w:szCs w:val="24"/>
              </w:rPr>
              <w:t>Andhra Pradesh</w:t>
            </w:r>
          </w:p>
        </w:tc>
        <w:tc>
          <w:tcPr>
            <w:tcW w:w="0" w:type="auto"/>
            <w:vAlign w:val="center"/>
            <w:hideMark/>
          </w:tcPr>
          <w:p w14:paraId="4C6D1664" w14:textId="77777777" w:rsidR="00E74747" w:rsidRPr="000D5B7C" w:rsidRDefault="00E74747" w:rsidP="000D5B7C">
            <w:pPr>
              <w:pStyle w:val="NoSpacing"/>
              <w:jc w:val="center"/>
              <w:rPr>
                <w:rFonts w:ascii="Times New Roman" w:hAnsi="Times New Roman" w:cs="Times New Roman"/>
                <w:szCs w:val="24"/>
              </w:rPr>
            </w:pPr>
            <w:r w:rsidRPr="000D5B7C">
              <w:rPr>
                <w:rFonts w:ascii="Times New Roman" w:hAnsi="Times New Roman" w:cs="Times New Roman"/>
                <w:szCs w:val="24"/>
              </w:rPr>
              <w:t>Revenue</w:t>
            </w:r>
          </w:p>
        </w:tc>
        <w:tc>
          <w:tcPr>
            <w:tcW w:w="0" w:type="auto"/>
            <w:vAlign w:val="center"/>
            <w:hideMark/>
          </w:tcPr>
          <w:p w14:paraId="1000C569" w14:textId="77777777" w:rsidR="00E74747" w:rsidRPr="00D43584" w:rsidRDefault="00E74747" w:rsidP="000D5B7C">
            <w:pPr>
              <w:pStyle w:val="NoSpacing"/>
              <w:jc w:val="center"/>
              <w:rPr>
                <w:rFonts w:ascii="Times New Roman" w:hAnsi="Times New Roman" w:cs="Times New Roman"/>
                <w:szCs w:val="24"/>
              </w:rPr>
            </w:pPr>
            <w:r w:rsidRPr="00D43584">
              <w:rPr>
                <w:rFonts w:ascii="Times New Roman" w:hAnsi="Times New Roman" w:cs="Times New Roman"/>
                <w:szCs w:val="24"/>
              </w:rPr>
              <w:t>-670</w:t>
            </w:r>
          </w:p>
        </w:tc>
        <w:tc>
          <w:tcPr>
            <w:tcW w:w="0" w:type="auto"/>
            <w:vAlign w:val="center"/>
            <w:hideMark/>
          </w:tcPr>
          <w:p w14:paraId="08A200C6" w14:textId="77777777" w:rsidR="00E74747" w:rsidRPr="00D43584" w:rsidRDefault="00E74747" w:rsidP="000D5B7C">
            <w:pPr>
              <w:pStyle w:val="NoSpacing"/>
              <w:jc w:val="center"/>
              <w:rPr>
                <w:rFonts w:ascii="Times New Roman" w:hAnsi="Times New Roman" w:cs="Times New Roman"/>
                <w:szCs w:val="24"/>
              </w:rPr>
            </w:pPr>
            <w:r w:rsidRPr="00D43584">
              <w:rPr>
                <w:rFonts w:ascii="Times New Roman" w:hAnsi="Times New Roman" w:cs="Times New Roman"/>
                <w:szCs w:val="24"/>
              </w:rPr>
              <w:t>-1351</w:t>
            </w:r>
          </w:p>
        </w:tc>
        <w:tc>
          <w:tcPr>
            <w:tcW w:w="0" w:type="auto"/>
            <w:vAlign w:val="center"/>
            <w:hideMark/>
          </w:tcPr>
          <w:p w14:paraId="4A04652D" w14:textId="77777777" w:rsidR="00E74747" w:rsidRPr="00D43584" w:rsidRDefault="00E74747" w:rsidP="000D5B7C">
            <w:pPr>
              <w:pStyle w:val="NoSpacing"/>
              <w:jc w:val="center"/>
              <w:rPr>
                <w:rFonts w:ascii="Times New Roman" w:hAnsi="Times New Roman" w:cs="Times New Roman"/>
                <w:szCs w:val="24"/>
              </w:rPr>
            </w:pPr>
            <w:r w:rsidRPr="00D43584">
              <w:rPr>
                <w:rFonts w:ascii="Times New Roman" w:hAnsi="Times New Roman" w:cs="Times New Roman"/>
                <w:szCs w:val="24"/>
              </w:rPr>
              <w:t>-778</w:t>
            </w:r>
          </w:p>
        </w:tc>
        <w:tc>
          <w:tcPr>
            <w:tcW w:w="0" w:type="auto"/>
            <w:vAlign w:val="center"/>
            <w:hideMark/>
          </w:tcPr>
          <w:p w14:paraId="25AA407F" w14:textId="77777777" w:rsidR="00E74747" w:rsidRPr="00D43584" w:rsidRDefault="00E74747" w:rsidP="000D5B7C">
            <w:pPr>
              <w:pStyle w:val="NoSpacing"/>
              <w:jc w:val="center"/>
              <w:rPr>
                <w:rFonts w:ascii="Times New Roman" w:hAnsi="Times New Roman" w:cs="Times New Roman"/>
                <w:szCs w:val="24"/>
              </w:rPr>
            </w:pPr>
            <w:r w:rsidRPr="00D43584">
              <w:rPr>
                <w:rFonts w:ascii="Times New Roman" w:hAnsi="Times New Roman" w:cs="Times New Roman"/>
                <w:szCs w:val="24"/>
              </w:rPr>
              <w:t>+31</w:t>
            </w:r>
          </w:p>
        </w:tc>
        <w:tc>
          <w:tcPr>
            <w:tcW w:w="0" w:type="auto"/>
            <w:vAlign w:val="center"/>
            <w:hideMark/>
          </w:tcPr>
          <w:p w14:paraId="0F79171D" w14:textId="77777777" w:rsidR="00E74747" w:rsidRPr="00D43584" w:rsidRDefault="00E74747" w:rsidP="000D5B7C">
            <w:pPr>
              <w:pStyle w:val="NoSpacing"/>
              <w:jc w:val="center"/>
              <w:rPr>
                <w:rFonts w:ascii="Times New Roman" w:hAnsi="Times New Roman" w:cs="Times New Roman"/>
                <w:szCs w:val="24"/>
              </w:rPr>
            </w:pPr>
            <w:r w:rsidRPr="00D43584">
              <w:rPr>
                <w:rFonts w:ascii="Times New Roman" w:hAnsi="Times New Roman" w:cs="Times New Roman"/>
                <w:szCs w:val="24"/>
              </w:rPr>
              <w:t>-841</w:t>
            </w:r>
          </w:p>
        </w:tc>
        <w:tc>
          <w:tcPr>
            <w:tcW w:w="0" w:type="auto"/>
            <w:vAlign w:val="center"/>
            <w:hideMark/>
          </w:tcPr>
          <w:p w14:paraId="3378783F" w14:textId="77777777" w:rsidR="00E74747" w:rsidRPr="00D43584" w:rsidRDefault="00E74747" w:rsidP="000D5B7C">
            <w:pPr>
              <w:pStyle w:val="NoSpacing"/>
              <w:jc w:val="center"/>
              <w:rPr>
                <w:rFonts w:ascii="Times New Roman" w:hAnsi="Times New Roman" w:cs="Times New Roman"/>
                <w:szCs w:val="24"/>
              </w:rPr>
            </w:pPr>
            <w:r w:rsidRPr="00D43584">
              <w:rPr>
                <w:rFonts w:ascii="Times New Roman" w:hAnsi="Times New Roman" w:cs="Times New Roman"/>
                <w:szCs w:val="24"/>
              </w:rPr>
              <w:t>-1242</w:t>
            </w:r>
          </w:p>
        </w:tc>
        <w:tc>
          <w:tcPr>
            <w:tcW w:w="0" w:type="auto"/>
            <w:vAlign w:val="center"/>
            <w:hideMark/>
          </w:tcPr>
          <w:p w14:paraId="2FA9D205" w14:textId="77777777" w:rsidR="00E74747" w:rsidRPr="00D43584" w:rsidRDefault="00E74747" w:rsidP="000D5B7C">
            <w:pPr>
              <w:pStyle w:val="NoSpacing"/>
              <w:jc w:val="center"/>
              <w:rPr>
                <w:rFonts w:ascii="Times New Roman" w:hAnsi="Times New Roman" w:cs="Times New Roman"/>
                <w:szCs w:val="24"/>
              </w:rPr>
            </w:pPr>
            <w:r w:rsidRPr="00D43584">
              <w:rPr>
                <w:rFonts w:ascii="Times New Roman" w:hAnsi="Times New Roman" w:cs="Times New Roman"/>
                <w:szCs w:val="24"/>
              </w:rPr>
              <w:t>-1276</w:t>
            </w:r>
          </w:p>
        </w:tc>
        <w:tc>
          <w:tcPr>
            <w:tcW w:w="0" w:type="auto"/>
            <w:vAlign w:val="center"/>
            <w:hideMark/>
          </w:tcPr>
          <w:p w14:paraId="20EAC816" w14:textId="77777777" w:rsidR="00E74747" w:rsidRPr="00D43584" w:rsidRDefault="00E74747" w:rsidP="000D5B7C">
            <w:pPr>
              <w:pStyle w:val="NoSpacing"/>
              <w:jc w:val="center"/>
              <w:rPr>
                <w:rFonts w:ascii="Times New Roman" w:hAnsi="Times New Roman" w:cs="Times New Roman"/>
                <w:szCs w:val="24"/>
              </w:rPr>
            </w:pPr>
            <w:r w:rsidRPr="00D43584">
              <w:rPr>
                <w:rFonts w:ascii="Times New Roman" w:hAnsi="Times New Roman" w:cs="Times New Roman"/>
                <w:szCs w:val="24"/>
              </w:rPr>
              <w:t>-258</w:t>
            </w:r>
          </w:p>
        </w:tc>
        <w:tc>
          <w:tcPr>
            <w:tcW w:w="0" w:type="auto"/>
            <w:vAlign w:val="center"/>
            <w:hideMark/>
          </w:tcPr>
          <w:p w14:paraId="6A0AA54B" w14:textId="77777777" w:rsidR="00E74747" w:rsidRPr="00D43584" w:rsidRDefault="00E74747" w:rsidP="000D5B7C">
            <w:pPr>
              <w:pStyle w:val="NoSpacing"/>
              <w:jc w:val="center"/>
              <w:rPr>
                <w:rFonts w:ascii="Times New Roman" w:hAnsi="Times New Roman" w:cs="Times New Roman"/>
                <w:szCs w:val="24"/>
              </w:rPr>
            </w:pPr>
            <w:r w:rsidRPr="00D43584">
              <w:rPr>
                <w:rFonts w:ascii="Times New Roman" w:hAnsi="Times New Roman" w:cs="Times New Roman"/>
                <w:szCs w:val="24"/>
              </w:rPr>
              <w:t>-567</w:t>
            </w:r>
          </w:p>
        </w:tc>
      </w:tr>
      <w:tr w:rsidR="00E74747" w:rsidRPr="00D43584" w14:paraId="20C3D002" w14:textId="77777777" w:rsidTr="000D5B7C">
        <w:trPr>
          <w:trHeight w:val="397"/>
          <w:jc w:val="center"/>
        </w:trPr>
        <w:tc>
          <w:tcPr>
            <w:tcW w:w="0" w:type="auto"/>
            <w:vAlign w:val="center"/>
            <w:hideMark/>
          </w:tcPr>
          <w:p w14:paraId="4263A343" w14:textId="77777777" w:rsidR="00E74747" w:rsidRPr="000D5B7C" w:rsidRDefault="00E74747" w:rsidP="000D5B7C">
            <w:pPr>
              <w:pStyle w:val="NoSpacing"/>
              <w:jc w:val="center"/>
              <w:rPr>
                <w:rFonts w:ascii="Times New Roman" w:hAnsi="Times New Roman" w:cs="Times New Roman"/>
                <w:szCs w:val="24"/>
              </w:rPr>
            </w:pPr>
          </w:p>
        </w:tc>
        <w:tc>
          <w:tcPr>
            <w:tcW w:w="0" w:type="auto"/>
            <w:vAlign w:val="center"/>
            <w:hideMark/>
          </w:tcPr>
          <w:p w14:paraId="037B2B11" w14:textId="77777777" w:rsidR="00E74747" w:rsidRPr="000D5B7C" w:rsidRDefault="00E74747" w:rsidP="000D5B7C">
            <w:pPr>
              <w:pStyle w:val="NoSpacing"/>
              <w:jc w:val="center"/>
              <w:rPr>
                <w:rFonts w:ascii="Times New Roman" w:hAnsi="Times New Roman" w:cs="Times New Roman"/>
                <w:szCs w:val="24"/>
              </w:rPr>
            </w:pPr>
            <w:r w:rsidRPr="000D5B7C">
              <w:rPr>
                <w:rFonts w:ascii="Times New Roman" w:hAnsi="Times New Roman" w:cs="Times New Roman"/>
                <w:szCs w:val="24"/>
              </w:rPr>
              <w:t>Capital</w:t>
            </w:r>
          </w:p>
        </w:tc>
        <w:tc>
          <w:tcPr>
            <w:tcW w:w="0" w:type="auto"/>
            <w:vAlign w:val="center"/>
            <w:hideMark/>
          </w:tcPr>
          <w:p w14:paraId="272FE9F8" w14:textId="77777777" w:rsidR="00E74747" w:rsidRPr="00D43584" w:rsidRDefault="00E74747" w:rsidP="000D5B7C">
            <w:pPr>
              <w:pStyle w:val="NoSpacing"/>
              <w:jc w:val="center"/>
              <w:rPr>
                <w:rFonts w:ascii="Times New Roman" w:hAnsi="Times New Roman" w:cs="Times New Roman"/>
                <w:szCs w:val="24"/>
              </w:rPr>
            </w:pPr>
            <w:r w:rsidRPr="00D43584">
              <w:rPr>
                <w:rFonts w:ascii="Times New Roman" w:hAnsi="Times New Roman" w:cs="Times New Roman"/>
                <w:szCs w:val="24"/>
              </w:rPr>
              <w:t>-160</w:t>
            </w:r>
          </w:p>
        </w:tc>
        <w:tc>
          <w:tcPr>
            <w:tcW w:w="0" w:type="auto"/>
            <w:vAlign w:val="center"/>
            <w:hideMark/>
          </w:tcPr>
          <w:p w14:paraId="742F8ACF" w14:textId="77777777" w:rsidR="00E74747" w:rsidRPr="00D43584" w:rsidRDefault="00E74747" w:rsidP="000D5B7C">
            <w:pPr>
              <w:pStyle w:val="NoSpacing"/>
              <w:jc w:val="center"/>
              <w:rPr>
                <w:rFonts w:ascii="Times New Roman" w:hAnsi="Times New Roman" w:cs="Times New Roman"/>
                <w:szCs w:val="24"/>
              </w:rPr>
            </w:pPr>
            <w:r w:rsidRPr="00D43584">
              <w:rPr>
                <w:rFonts w:ascii="Times New Roman" w:hAnsi="Times New Roman" w:cs="Times New Roman"/>
                <w:szCs w:val="24"/>
              </w:rPr>
              <w:t>-1564</w:t>
            </w:r>
          </w:p>
        </w:tc>
        <w:tc>
          <w:tcPr>
            <w:tcW w:w="0" w:type="auto"/>
            <w:vAlign w:val="center"/>
            <w:hideMark/>
          </w:tcPr>
          <w:p w14:paraId="5EED1E7C" w14:textId="77777777" w:rsidR="00E74747" w:rsidRPr="00D43584" w:rsidRDefault="00E74747" w:rsidP="000D5B7C">
            <w:pPr>
              <w:pStyle w:val="NoSpacing"/>
              <w:jc w:val="center"/>
              <w:rPr>
                <w:rFonts w:ascii="Times New Roman" w:hAnsi="Times New Roman" w:cs="Times New Roman"/>
                <w:szCs w:val="24"/>
              </w:rPr>
            </w:pPr>
            <w:r w:rsidRPr="00D43584">
              <w:rPr>
                <w:rFonts w:ascii="Times New Roman" w:hAnsi="Times New Roman" w:cs="Times New Roman"/>
                <w:szCs w:val="24"/>
              </w:rPr>
              <w:t>-674</w:t>
            </w:r>
          </w:p>
        </w:tc>
        <w:tc>
          <w:tcPr>
            <w:tcW w:w="0" w:type="auto"/>
            <w:vAlign w:val="center"/>
            <w:hideMark/>
          </w:tcPr>
          <w:p w14:paraId="49B75B7B" w14:textId="77777777" w:rsidR="00E74747" w:rsidRPr="00D43584" w:rsidRDefault="00E74747" w:rsidP="000D5B7C">
            <w:pPr>
              <w:pStyle w:val="NoSpacing"/>
              <w:jc w:val="center"/>
              <w:rPr>
                <w:rFonts w:ascii="Times New Roman" w:hAnsi="Times New Roman" w:cs="Times New Roman"/>
                <w:szCs w:val="24"/>
              </w:rPr>
            </w:pPr>
            <w:r w:rsidRPr="00D43584">
              <w:rPr>
                <w:rFonts w:ascii="Times New Roman" w:hAnsi="Times New Roman" w:cs="Times New Roman"/>
                <w:szCs w:val="24"/>
              </w:rPr>
              <w:t>+1103</w:t>
            </w:r>
          </w:p>
        </w:tc>
        <w:tc>
          <w:tcPr>
            <w:tcW w:w="0" w:type="auto"/>
            <w:vAlign w:val="center"/>
            <w:hideMark/>
          </w:tcPr>
          <w:p w14:paraId="1A3D4EC2" w14:textId="77777777" w:rsidR="00E74747" w:rsidRPr="00D43584" w:rsidRDefault="00E74747" w:rsidP="000D5B7C">
            <w:pPr>
              <w:pStyle w:val="NoSpacing"/>
              <w:jc w:val="center"/>
              <w:rPr>
                <w:rFonts w:ascii="Times New Roman" w:hAnsi="Times New Roman" w:cs="Times New Roman"/>
                <w:szCs w:val="24"/>
              </w:rPr>
            </w:pPr>
            <w:r w:rsidRPr="00D43584">
              <w:rPr>
                <w:rFonts w:ascii="Times New Roman" w:hAnsi="Times New Roman" w:cs="Times New Roman"/>
                <w:szCs w:val="24"/>
              </w:rPr>
              <w:t>-3271</w:t>
            </w:r>
          </w:p>
        </w:tc>
        <w:tc>
          <w:tcPr>
            <w:tcW w:w="0" w:type="auto"/>
            <w:vAlign w:val="center"/>
            <w:hideMark/>
          </w:tcPr>
          <w:p w14:paraId="3D03307C" w14:textId="77777777" w:rsidR="00E74747" w:rsidRPr="00D43584" w:rsidRDefault="00E74747" w:rsidP="000D5B7C">
            <w:pPr>
              <w:pStyle w:val="NoSpacing"/>
              <w:jc w:val="center"/>
              <w:rPr>
                <w:rFonts w:ascii="Times New Roman" w:hAnsi="Times New Roman" w:cs="Times New Roman"/>
                <w:szCs w:val="24"/>
              </w:rPr>
            </w:pPr>
            <w:r w:rsidRPr="00D43584">
              <w:rPr>
                <w:rFonts w:ascii="Times New Roman" w:hAnsi="Times New Roman" w:cs="Times New Roman"/>
                <w:szCs w:val="24"/>
              </w:rPr>
              <w:t>-4652</w:t>
            </w:r>
          </w:p>
        </w:tc>
        <w:tc>
          <w:tcPr>
            <w:tcW w:w="0" w:type="auto"/>
            <w:vAlign w:val="center"/>
            <w:hideMark/>
          </w:tcPr>
          <w:p w14:paraId="3E67CDE1" w14:textId="77777777" w:rsidR="00E74747" w:rsidRPr="00D43584" w:rsidRDefault="00E74747" w:rsidP="000D5B7C">
            <w:pPr>
              <w:pStyle w:val="NoSpacing"/>
              <w:jc w:val="center"/>
              <w:rPr>
                <w:rFonts w:ascii="Times New Roman" w:hAnsi="Times New Roman" w:cs="Times New Roman"/>
                <w:szCs w:val="24"/>
              </w:rPr>
            </w:pPr>
            <w:r w:rsidRPr="00D43584">
              <w:rPr>
                <w:rFonts w:ascii="Times New Roman" w:hAnsi="Times New Roman" w:cs="Times New Roman"/>
                <w:szCs w:val="24"/>
              </w:rPr>
              <w:t>-300</w:t>
            </w:r>
          </w:p>
        </w:tc>
        <w:tc>
          <w:tcPr>
            <w:tcW w:w="0" w:type="auto"/>
            <w:vAlign w:val="center"/>
            <w:hideMark/>
          </w:tcPr>
          <w:p w14:paraId="2F51F97F" w14:textId="77777777" w:rsidR="00E74747" w:rsidRPr="00D43584" w:rsidRDefault="00E74747" w:rsidP="000D5B7C">
            <w:pPr>
              <w:pStyle w:val="NoSpacing"/>
              <w:jc w:val="center"/>
              <w:rPr>
                <w:rFonts w:ascii="Times New Roman" w:hAnsi="Times New Roman" w:cs="Times New Roman"/>
                <w:szCs w:val="24"/>
              </w:rPr>
            </w:pPr>
            <w:r w:rsidRPr="00D43584">
              <w:rPr>
                <w:rFonts w:ascii="Times New Roman" w:hAnsi="Times New Roman" w:cs="Times New Roman"/>
                <w:szCs w:val="24"/>
              </w:rPr>
              <w:t>-283</w:t>
            </w:r>
          </w:p>
        </w:tc>
        <w:tc>
          <w:tcPr>
            <w:tcW w:w="0" w:type="auto"/>
            <w:vAlign w:val="center"/>
            <w:hideMark/>
          </w:tcPr>
          <w:p w14:paraId="76DD3EEC" w14:textId="77777777" w:rsidR="00E74747" w:rsidRPr="00D43584" w:rsidRDefault="00E74747" w:rsidP="000D5B7C">
            <w:pPr>
              <w:pStyle w:val="NoSpacing"/>
              <w:jc w:val="center"/>
              <w:rPr>
                <w:rFonts w:ascii="Times New Roman" w:hAnsi="Times New Roman" w:cs="Times New Roman"/>
                <w:szCs w:val="24"/>
              </w:rPr>
            </w:pPr>
            <w:r w:rsidRPr="00D43584">
              <w:rPr>
                <w:rFonts w:ascii="Times New Roman" w:hAnsi="Times New Roman" w:cs="Times New Roman"/>
                <w:szCs w:val="24"/>
              </w:rPr>
              <w:t>-984</w:t>
            </w:r>
          </w:p>
        </w:tc>
      </w:tr>
      <w:tr w:rsidR="00E74747" w:rsidRPr="00D43584" w14:paraId="3506BCA6" w14:textId="77777777" w:rsidTr="000D5B7C">
        <w:trPr>
          <w:trHeight w:val="397"/>
          <w:jc w:val="center"/>
        </w:trPr>
        <w:tc>
          <w:tcPr>
            <w:tcW w:w="0" w:type="auto"/>
            <w:vAlign w:val="center"/>
            <w:hideMark/>
          </w:tcPr>
          <w:p w14:paraId="130FA257" w14:textId="77777777" w:rsidR="00E74747" w:rsidRPr="000D5B7C" w:rsidRDefault="00E74747" w:rsidP="000D5B7C">
            <w:pPr>
              <w:pStyle w:val="NoSpacing"/>
              <w:jc w:val="center"/>
              <w:rPr>
                <w:rFonts w:ascii="Times New Roman" w:hAnsi="Times New Roman" w:cs="Times New Roman"/>
                <w:szCs w:val="24"/>
              </w:rPr>
            </w:pPr>
          </w:p>
        </w:tc>
        <w:tc>
          <w:tcPr>
            <w:tcW w:w="0" w:type="auto"/>
            <w:vAlign w:val="center"/>
            <w:hideMark/>
          </w:tcPr>
          <w:p w14:paraId="59D38D44" w14:textId="77777777" w:rsidR="00E74747" w:rsidRPr="000D5B7C" w:rsidRDefault="00E74747" w:rsidP="000D5B7C">
            <w:pPr>
              <w:pStyle w:val="NoSpacing"/>
              <w:jc w:val="center"/>
              <w:rPr>
                <w:rFonts w:ascii="Times New Roman" w:hAnsi="Times New Roman" w:cs="Times New Roman"/>
                <w:szCs w:val="24"/>
              </w:rPr>
            </w:pPr>
            <w:r w:rsidRPr="000D5B7C">
              <w:rPr>
                <w:rFonts w:ascii="Times New Roman" w:hAnsi="Times New Roman" w:cs="Times New Roman"/>
                <w:szCs w:val="24"/>
              </w:rPr>
              <w:t>Overall</w:t>
            </w:r>
          </w:p>
        </w:tc>
        <w:tc>
          <w:tcPr>
            <w:tcW w:w="0" w:type="auto"/>
            <w:vAlign w:val="center"/>
            <w:hideMark/>
          </w:tcPr>
          <w:p w14:paraId="23DF433F" w14:textId="77777777" w:rsidR="00E74747" w:rsidRPr="00D43584" w:rsidRDefault="00E74747" w:rsidP="000D5B7C">
            <w:pPr>
              <w:pStyle w:val="NoSpacing"/>
              <w:jc w:val="center"/>
              <w:rPr>
                <w:rFonts w:ascii="Times New Roman" w:hAnsi="Times New Roman" w:cs="Times New Roman"/>
                <w:szCs w:val="24"/>
              </w:rPr>
            </w:pPr>
            <w:r w:rsidRPr="00D43584">
              <w:rPr>
                <w:rFonts w:ascii="Times New Roman" w:hAnsi="Times New Roman" w:cs="Times New Roman"/>
                <w:szCs w:val="24"/>
              </w:rPr>
              <w:t>-830</w:t>
            </w:r>
          </w:p>
        </w:tc>
        <w:tc>
          <w:tcPr>
            <w:tcW w:w="0" w:type="auto"/>
            <w:vAlign w:val="center"/>
            <w:hideMark/>
          </w:tcPr>
          <w:p w14:paraId="47237DAF" w14:textId="77777777" w:rsidR="00E74747" w:rsidRPr="00D43584" w:rsidRDefault="00E74747" w:rsidP="000D5B7C">
            <w:pPr>
              <w:pStyle w:val="NoSpacing"/>
              <w:jc w:val="center"/>
              <w:rPr>
                <w:rFonts w:ascii="Times New Roman" w:hAnsi="Times New Roman" w:cs="Times New Roman"/>
                <w:szCs w:val="24"/>
              </w:rPr>
            </w:pPr>
            <w:r w:rsidRPr="00D43584">
              <w:rPr>
                <w:rFonts w:ascii="Times New Roman" w:hAnsi="Times New Roman" w:cs="Times New Roman"/>
                <w:szCs w:val="24"/>
              </w:rPr>
              <w:t>-2915</w:t>
            </w:r>
          </w:p>
        </w:tc>
        <w:tc>
          <w:tcPr>
            <w:tcW w:w="0" w:type="auto"/>
            <w:vAlign w:val="center"/>
            <w:hideMark/>
          </w:tcPr>
          <w:p w14:paraId="37998C73" w14:textId="77777777" w:rsidR="00E74747" w:rsidRPr="00D43584" w:rsidRDefault="00E74747" w:rsidP="000D5B7C">
            <w:pPr>
              <w:pStyle w:val="NoSpacing"/>
              <w:jc w:val="center"/>
              <w:rPr>
                <w:rFonts w:ascii="Times New Roman" w:hAnsi="Times New Roman" w:cs="Times New Roman"/>
                <w:szCs w:val="24"/>
              </w:rPr>
            </w:pPr>
            <w:r w:rsidRPr="00D43584">
              <w:rPr>
                <w:rFonts w:ascii="Times New Roman" w:hAnsi="Times New Roman" w:cs="Times New Roman"/>
                <w:szCs w:val="24"/>
              </w:rPr>
              <w:t>-1452</w:t>
            </w:r>
          </w:p>
        </w:tc>
        <w:tc>
          <w:tcPr>
            <w:tcW w:w="0" w:type="auto"/>
            <w:vAlign w:val="center"/>
            <w:hideMark/>
          </w:tcPr>
          <w:p w14:paraId="18ADE482" w14:textId="77777777" w:rsidR="00E74747" w:rsidRPr="00D43584" w:rsidRDefault="00E74747" w:rsidP="000D5B7C">
            <w:pPr>
              <w:pStyle w:val="NoSpacing"/>
              <w:jc w:val="center"/>
              <w:rPr>
                <w:rFonts w:ascii="Times New Roman" w:hAnsi="Times New Roman" w:cs="Times New Roman"/>
                <w:szCs w:val="24"/>
              </w:rPr>
            </w:pPr>
            <w:r w:rsidRPr="00D43584">
              <w:rPr>
                <w:rFonts w:ascii="Times New Roman" w:hAnsi="Times New Roman" w:cs="Times New Roman"/>
                <w:szCs w:val="24"/>
              </w:rPr>
              <w:t>+1134</w:t>
            </w:r>
          </w:p>
        </w:tc>
        <w:tc>
          <w:tcPr>
            <w:tcW w:w="0" w:type="auto"/>
            <w:vAlign w:val="center"/>
            <w:hideMark/>
          </w:tcPr>
          <w:p w14:paraId="622402B3" w14:textId="77777777" w:rsidR="00E74747" w:rsidRPr="00D43584" w:rsidRDefault="00E74747" w:rsidP="000D5B7C">
            <w:pPr>
              <w:pStyle w:val="NoSpacing"/>
              <w:jc w:val="center"/>
              <w:rPr>
                <w:rFonts w:ascii="Times New Roman" w:hAnsi="Times New Roman" w:cs="Times New Roman"/>
                <w:szCs w:val="24"/>
              </w:rPr>
            </w:pPr>
            <w:r w:rsidRPr="00D43584">
              <w:rPr>
                <w:rFonts w:ascii="Times New Roman" w:hAnsi="Times New Roman" w:cs="Times New Roman"/>
                <w:szCs w:val="24"/>
              </w:rPr>
              <w:t>-4112</w:t>
            </w:r>
          </w:p>
        </w:tc>
        <w:tc>
          <w:tcPr>
            <w:tcW w:w="0" w:type="auto"/>
            <w:vAlign w:val="center"/>
            <w:hideMark/>
          </w:tcPr>
          <w:p w14:paraId="1A888511" w14:textId="77777777" w:rsidR="00E74747" w:rsidRPr="00D43584" w:rsidRDefault="00E74747" w:rsidP="000D5B7C">
            <w:pPr>
              <w:pStyle w:val="NoSpacing"/>
              <w:jc w:val="center"/>
              <w:rPr>
                <w:rFonts w:ascii="Times New Roman" w:hAnsi="Times New Roman" w:cs="Times New Roman"/>
                <w:szCs w:val="24"/>
              </w:rPr>
            </w:pPr>
            <w:r w:rsidRPr="00D43584">
              <w:rPr>
                <w:rFonts w:ascii="Times New Roman" w:hAnsi="Times New Roman" w:cs="Times New Roman"/>
                <w:szCs w:val="24"/>
              </w:rPr>
              <w:t>-5894</w:t>
            </w:r>
          </w:p>
        </w:tc>
        <w:tc>
          <w:tcPr>
            <w:tcW w:w="0" w:type="auto"/>
            <w:vAlign w:val="center"/>
            <w:hideMark/>
          </w:tcPr>
          <w:p w14:paraId="02659035" w14:textId="77777777" w:rsidR="00E74747" w:rsidRPr="00D43584" w:rsidRDefault="00E74747" w:rsidP="000D5B7C">
            <w:pPr>
              <w:pStyle w:val="NoSpacing"/>
              <w:jc w:val="center"/>
              <w:rPr>
                <w:rFonts w:ascii="Times New Roman" w:hAnsi="Times New Roman" w:cs="Times New Roman"/>
                <w:szCs w:val="24"/>
              </w:rPr>
            </w:pPr>
            <w:r w:rsidRPr="00D43584">
              <w:rPr>
                <w:rFonts w:ascii="Times New Roman" w:hAnsi="Times New Roman" w:cs="Times New Roman"/>
                <w:szCs w:val="24"/>
              </w:rPr>
              <w:t>-1576</w:t>
            </w:r>
          </w:p>
        </w:tc>
        <w:tc>
          <w:tcPr>
            <w:tcW w:w="0" w:type="auto"/>
            <w:vAlign w:val="center"/>
            <w:hideMark/>
          </w:tcPr>
          <w:p w14:paraId="0D59E91F" w14:textId="77777777" w:rsidR="00E74747" w:rsidRPr="00D43584" w:rsidRDefault="00E74747" w:rsidP="000D5B7C">
            <w:pPr>
              <w:pStyle w:val="NoSpacing"/>
              <w:jc w:val="center"/>
              <w:rPr>
                <w:rFonts w:ascii="Times New Roman" w:hAnsi="Times New Roman" w:cs="Times New Roman"/>
                <w:szCs w:val="24"/>
              </w:rPr>
            </w:pPr>
            <w:r w:rsidRPr="00D43584">
              <w:rPr>
                <w:rFonts w:ascii="Times New Roman" w:hAnsi="Times New Roman" w:cs="Times New Roman"/>
                <w:szCs w:val="24"/>
              </w:rPr>
              <w:t>-541</w:t>
            </w:r>
          </w:p>
        </w:tc>
        <w:tc>
          <w:tcPr>
            <w:tcW w:w="0" w:type="auto"/>
            <w:vAlign w:val="center"/>
            <w:hideMark/>
          </w:tcPr>
          <w:p w14:paraId="4D50EFA7" w14:textId="77777777" w:rsidR="00E74747" w:rsidRPr="00D43584" w:rsidRDefault="00E74747" w:rsidP="000D5B7C">
            <w:pPr>
              <w:pStyle w:val="NoSpacing"/>
              <w:jc w:val="center"/>
              <w:rPr>
                <w:rFonts w:ascii="Times New Roman" w:hAnsi="Times New Roman" w:cs="Times New Roman"/>
                <w:szCs w:val="24"/>
              </w:rPr>
            </w:pPr>
            <w:r w:rsidRPr="00D43584">
              <w:rPr>
                <w:rFonts w:ascii="Times New Roman" w:hAnsi="Times New Roman" w:cs="Times New Roman"/>
                <w:szCs w:val="24"/>
              </w:rPr>
              <w:t>-1551</w:t>
            </w:r>
          </w:p>
        </w:tc>
      </w:tr>
      <w:tr w:rsidR="00E74747" w:rsidRPr="00D43584" w14:paraId="11267D9A" w14:textId="77777777" w:rsidTr="000D5B7C">
        <w:trPr>
          <w:trHeight w:val="397"/>
          <w:jc w:val="center"/>
        </w:trPr>
        <w:tc>
          <w:tcPr>
            <w:tcW w:w="0" w:type="auto"/>
            <w:vAlign w:val="center"/>
            <w:hideMark/>
          </w:tcPr>
          <w:p w14:paraId="5E80041E" w14:textId="77777777" w:rsidR="00E74747" w:rsidRPr="000D5B7C" w:rsidRDefault="00E74747" w:rsidP="000D5B7C">
            <w:pPr>
              <w:pStyle w:val="NoSpacing"/>
              <w:jc w:val="center"/>
              <w:rPr>
                <w:rFonts w:ascii="Times New Roman" w:hAnsi="Times New Roman" w:cs="Times New Roman"/>
                <w:szCs w:val="24"/>
              </w:rPr>
            </w:pPr>
            <w:r w:rsidRPr="000D5B7C">
              <w:rPr>
                <w:rFonts w:ascii="Times New Roman" w:hAnsi="Times New Roman" w:cs="Times New Roman"/>
                <w:szCs w:val="24"/>
              </w:rPr>
              <w:t>Assam</w:t>
            </w:r>
          </w:p>
        </w:tc>
        <w:tc>
          <w:tcPr>
            <w:tcW w:w="0" w:type="auto"/>
            <w:vAlign w:val="center"/>
            <w:hideMark/>
          </w:tcPr>
          <w:p w14:paraId="702AEE9A" w14:textId="77777777" w:rsidR="00E74747" w:rsidRPr="000D5B7C" w:rsidRDefault="00E74747" w:rsidP="000D5B7C">
            <w:pPr>
              <w:pStyle w:val="NoSpacing"/>
              <w:jc w:val="center"/>
              <w:rPr>
                <w:rFonts w:ascii="Times New Roman" w:hAnsi="Times New Roman" w:cs="Times New Roman"/>
                <w:szCs w:val="24"/>
              </w:rPr>
            </w:pPr>
            <w:r w:rsidRPr="000D5B7C">
              <w:rPr>
                <w:rFonts w:ascii="Times New Roman" w:hAnsi="Times New Roman" w:cs="Times New Roman"/>
                <w:szCs w:val="24"/>
              </w:rPr>
              <w:t>Revenue</w:t>
            </w:r>
          </w:p>
        </w:tc>
        <w:tc>
          <w:tcPr>
            <w:tcW w:w="0" w:type="auto"/>
            <w:vAlign w:val="center"/>
            <w:hideMark/>
          </w:tcPr>
          <w:p w14:paraId="3A1085E1" w14:textId="77777777" w:rsidR="00E74747" w:rsidRPr="00D43584" w:rsidRDefault="00E74747" w:rsidP="000D5B7C">
            <w:pPr>
              <w:pStyle w:val="NoSpacing"/>
              <w:jc w:val="center"/>
              <w:rPr>
                <w:rFonts w:ascii="Times New Roman" w:hAnsi="Times New Roman" w:cs="Times New Roman"/>
                <w:szCs w:val="24"/>
              </w:rPr>
            </w:pPr>
            <w:r w:rsidRPr="00D43584">
              <w:rPr>
                <w:rFonts w:ascii="Times New Roman" w:hAnsi="Times New Roman" w:cs="Times New Roman"/>
                <w:szCs w:val="24"/>
              </w:rPr>
              <w:t>+38</w:t>
            </w:r>
          </w:p>
        </w:tc>
        <w:tc>
          <w:tcPr>
            <w:tcW w:w="0" w:type="auto"/>
            <w:vAlign w:val="center"/>
            <w:hideMark/>
          </w:tcPr>
          <w:p w14:paraId="26ECCD00" w14:textId="77777777" w:rsidR="00E74747" w:rsidRPr="00D43584" w:rsidRDefault="00E74747" w:rsidP="000D5B7C">
            <w:pPr>
              <w:pStyle w:val="NoSpacing"/>
              <w:jc w:val="center"/>
              <w:rPr>
                <w:rFonts w:ascii="Times New Roman" w:hAnsi="Times New Roman" w:cs="Times New Roman"/>
                <w:szCs w:val="24"/>
              </w:rPr>
            </w:pPr>
            <w:r w:rsidRPr="00D43584">
              <w:rPr>
                <w:rFonts w:ascii="Times New Roman" w:hAnsi="Times New Roman" w:cs="Times New Roman"/>
                <w:szCs w:val="24"/>
              </w:rPr>
              <w:t>-676</w:t>
            </w:r>
          </w:p>
        </w:tc>
        <w:tc>
          <w:tcPr>
            <w:tcW w:w="0" w:type="auto"/>
            <w:vAlign w:val="center"/>
            <w:hideMark/>
          </w:tcPr>
          <w:p w14:paraId="65813EAE" w14:textId="77777777" w:rsidR="00E74747" w:rsidRPr="00D43584" w:rsidRDefault="00E74747" w:rsidP="000D5B7C">
            <w:pPr>
              <w:pStyle w:val="NoSpacing"/>
              <w:jc w:val="center"/>
              <w:rPr>
                <w:rFonts w:ascii="Times New Roman" w:hAnsi="Times New Roman" w:cs="Times New Roman"/>
                <w:szCs w:val="24"/>
              </w:rPr>
            </w:pPr>
            <w:r w:rsidRPr="00D43584">
              <w:rPr>
                <w:rFonts w:ascii="Times New Roman" w:hAnsi="Times New Roman" w:cs="Times New Roman"/>
                <w:szCs w:val="24"/>
              </w:rPr>
              <w:t>-1585</w:t>
            </w:r>
          </w:p>
        </w:tc>
        <w:tc>
          <w:tcPr>
            <w:tcW w:w="0" w:type="auto"/>
            <w:vAlign w:val="center"/>
            <w:hideMark/>
          </w:tcPr>
          <w:p w14:paraId="2A4E9691" w14:textId="77777777" w:rsidR="00E74747" w:rsidRPr="00D43584" w:rsidRDefault="00E74747" w:rsidP="000D5B7C">
            <w:pPr>
              <w:pStyle w:val="NoSpacing"/>
              <w:jc w:val="center"/>
              <w:rPr>
                <w:rFonts w:ascii="Times New Roman" w:hAnsi="Times New Roman" w:cs="Times New Roman"/>
                <w:szCs w:val="24"/>
              </w:rPr>
            </w:pPr>
            <w:r w:rsidRPr="00D43584">
              <w:rPr>
                <w:rFonts w:ascii="Times New Roman" w:hAnsi="Times New Roman" w:cs="Times New Roman"/>
                <w:szCs w:val="24"/>
              </w:rPr>
              <w:t>+85</w:t>
            </w:r>
          </w:p>
        </w:tc>
        <w:tc>
          <w:tcPr>
            <w:tcW w:w="0" w:type="auto"/>
            <w:vAlign w:val="center"/>
            <w:hideMark/>
          </w:tcPr>
          <w:p w14:paraId="23F30E19" w14:textId="77777777" w:rsidR="00E74747" w:rsidRPr="00D43584" w:rsidRDefault="00E74747" w:rsidP="000D5B7C">
            <w:pPr>
              <w:pStyle w:val="NoSpacing"/>
              <w:jc w:val="center"/>
              <w:rPr>
                <w:rFonts w:ascii="Times New Roman" w:hAnsi="Times New Roman" w:cs="Times New Roman"/>
                <w:szCs w:val="24"/>
              </w:rPr>
            </w:pPr>
            <w:r w:rsidRPr="00D43584">
              <w:rPr>
                <w:rFonts w:ascii="Times New Roman" w:hAnsi="Times New Roman" w:cs="Times New Roman"/>
                <w:szCs w:val="24"/>
              </w:rPr>
              <w:t>-383</w:t>
            </w:r>
          </w:p>
        </w:tc>
        <w:tc>
          <w:tcPr>
            <w:tcW w:w="0" w:type="auto"/>
            <w:vAlign w:val="center"/>
            <w:hideMark/>
          </w:tcPr>
          <w:p w14:paraId="3E708B41" w14:textId="77777777" w:rsidR="00E74747" w:rsidRPr="00D43584" w:rsidRDefault="00E74747" w:rsidP="000D5B7C">
            <w:pPr>
              <w:pStyle w:val="NoSpacing"/>
              <w:jc w:val="center"/>
              <w:rPr>
                <w:rFonts w:ascii="Times New Roman" w:hAnsi="Times New Roman" w:cs="Times New Roman"/>
                <w:szCs w:val="24"/>
              </w:rPr>
            </w:pPr>
            <w:r w:rsidRPr="00D43584">
              <w:rPr>
                <w:rFonts w:ascii="Times New Roman" w:hAnsi="Times New Roman" w:cs="Times New Roman"/>
                <w:szCs w:val="24"/>
              </w:rPr>
              <w:t>-1389</w:t>
            </w:r>
          </w:p>
        </w:tc>
        <w:tc>
          <w:tcPr>
            <w:tcW w:w="0" w:type="auto"/>
            <w:vAlign w:val="center"/>
            <w:hideMark/>
          </w:tcPr>
          <w:p w14:paraId="7E9B22F6" w14:textId="77777777" w:rsidR="00E74747" w:rsidRPr="00D43584" w:rsidRDefault="00E74747" w:rsidP="000D5B7C">
            <w:pPr>
              <w:pStyle w:val="NoSpacing"/>
              <w:jc w:val="center"/>
              <w:rPr>
                <w:rFonts w:ascii="Times New Roman" w:hAnsi="Times New Roman" w:cs="Times New Roman"/>
                <w:szCs w:val="24"/>
              </w:rPr>
            </w:pPr>
            <w:r w:rsidRPr="00D43584">
              <w:rPr>
                <w:rFonts w:ascii="Times New Roman" w:hAnsi="Times New Roman" w:cs="Times New Roman"/>
                <w:szCs w:val="24"/>
              </w:rPr>
              <w:t>-134</w:t>
            </w:r>
          </w:p>
        </w:tc>
        <w:tc>
          <w:tcPr>
            <w:tcW w:w="0" w:type="auto"/>
            <w:vAlign w:val="center"/>
            <w:hideMark/>
          </w:tcPr>
          <w:p w14:paraId="20993C38" w14:textId="77777777" w:rsidR="00E74747" w:rsidRPr="00D43584" w:rsidRDefault="00E74747" w:rsidP="000D5B7C">
            <w:pPr>
              <w:pStyle w:val="NoSpacing"/>
              <w:jc w:val="center"/>
              <w:rPr>
                <w:rFonts w:ascii="Times New Roman" w:hAnsi="Times New Roman" w:cs="Times New Roman"/>
                <w:szCs w:val="24"/>
              </w:rPr>
            </w:pPr>
            <w:r w:rsidRPr="00D43584">
              <w:rPr>
                <w:rFonts w:ascii="Times New Roman" w:hAnsi="Times New Roman" w:cs="Times New Roman"/>
                <w:szCs w:val="24"/>
              </w:rPr>
              <w:t>-13</w:t>
            </w:r>
          </w:p>
        </w:tc>
        <w:tc>
          <w:tcPr>
            <w:tcW w:w="0" w:type="auto"/>
            <w:vAlign w:val="center"/>
            <w:hideMark/>
          </w:tcPr>
          <w:p w14:paraId="31A7E5C5" w14:textId="77777777" w:rsidR="00E74747" w:rsidRPr="00D43584" w:rsidRDefault="00E74747" w:rsidP="000D5B7C">
            <w:pPr>
              <w:pStyle w:val="NoSpacing"/>
              <w:jc w:val="center"/>
              <w:rPr>
                <w:rFonts w:ascii="Times New Roman" w:hAnsi="Times New Roman" w:cs="Times New Roman"/>
                <w:szCs w:val="24"/>
              </w:rPr>
            </w:pPr>
            <w:r w:rsidRPr="00D43584">
              <w:rPr>
                <w:rFonts w:ascii="Times New Roman" w:hAnsi="Times New Roman" w:cs="Times New Roman"/>
                <w:szCs w:val="24"/>
              </w:rPr>
              <w:t>-138</w:t>
            </w:r>
          </w:p>
        </w:tc>
      </w:tr>
      <w:tr w:rsidR="00E74747" w:rsidRPr="00D43584" w14:paraId="39256D69" w14:textId="77777777" w:rsidTr="000D5B7C">
        <w:trPr>
          <w:trHeight w:val="397"/>
          <w:jc w:val="center"/>
        </w:trPr>
        <w:tc>
          <w:tcPr>
            <w:tcW w:w="0" w:type="auto"/>
            <w:vAlign w:val="center"/>
            <w:hideMark/>
          </w:tcPr>
          <w:p w14:paraId="0CAD37EB" w14:textId="77777777" w:rsidR="00E74747" w:rsidRPr="000D5B7C" w:rsidRDefault="00E74747" w:rsidP="000D5B7C">
            <w:pPr>
              <w:pStyle w:val="NoSpacing"/>
              <w:jc w:val="center"/>
              <w:rPr>
                <w:rFonts w:ascii="Times New Roman" w:hAnsi="Times New Roman" w:cs="Times New Roman"/>
                <w:szCs w:val="24"/>
              </w:rPr>
            </w:pPr>
          </w:p>
        </w:tc>
        <w:tc>
          <w:tcPr>
            <w:tcW w:w="0" w:type="auto"/>
            <w:vAlign w:val="center"/>
            <w:hideMark/>
          </w:tcPr>
          <w:p w14:paraId="6C46E3F9" w14:textId="77777777" w:rsidR="00E74747" w:rsidRPr="000D5B7C" w:rsidRDefault="00E74747" w:rsidP="000D5B7C">
            <w:pPr>
              <w:pStyle w:val="NoSpacing"/>
              <w:jc w:val="center"/>
              <w:rPr>
                <w:rFonts w:ascii="Times New Roman" w:hAnsi="Times New Roman" w:cs="Times New Roman"/>
                <w:szCs w:val="24"/>
              </w:rPr>
            </w:pPr>
            <w:r w:rsidRPr="000D5B7C">
              <w:rPr>
                <w:rFonts w:ascii="Times New Roman" w:hAnsi="Times New Roman" w:cs="Times New Roman"/>
                <w:szCs w:val="24"/>
              </w:rPr>
              <w:t>Capital</w:t>
            </w:r>
          </w:p>
        </w:tc>
        <w:tc>
          <w:tcPr>
            <w:tcW w:w="0" w:type="auto"/>
            <w:vAlign w:val="center"/>
            <w:hideMark/>
          </w:tcPr>
          <w:p w14:paraId="76A4AABC" w14:textId="77777777" w:rsidR="00E74747" w:rsidRPr="00D43584" w:rsidRDefault="00E74747" w:rsidP="000D5B7C">
            <w:pPr>
              <w:pStyle w:val="NoSpacing"/>
              <w:jc w:val="center"/>
              <w:rPr>
                <w:rFonts w:ascii="Times New Roman" w:hAnsi="Times New Roman" w:cs="Times New Roman"/>
                <w:szCs w:val="24"/>
              </w:rPr>
            </w:pPr>
            <w:r w:rsidRPr="00D43584">
              <w:rPr>
                <w:rFonts w:ascii="Times New Roman" w:hAnsi="Times New Roman" w:cs="Times New Roman"/>
                <w:szCs w:val="24"/>
              </w:rPr>
              <w:t>+39</w:t>
            </w:r>
          </w:p>
        </w:tc>
        <w:tc>
          <w:tcPr>
            <w:tcW w:w="0" w:type="auto"/>
            <w:vAlign w:val="center"/>
            <w:hideMark/>
          </w:tcPr>
          <w:p w14:paraId="2636E210" w14:textId="77777777" w:rsidR="00E74747" w:rsidRPr="00D43584" w:rsidRDefault="00E74747" w:rsidP="000D5B7C">
            <w:pPr>
              <w:pStyle w:val="NoSpacing"/>
              <w:jc w:val="center"/>
              <w:rPr>
                <w:rFonts w:ascii="Times New Roman" w:hAnsi="Times New Roman" w:cs="Times New Roman"/>
                <w:szCs w:val="24"/>
              </w:rPr>
            </w:pPr>
            <w:r w:rsidRPr="00D43584">
              <w:rPr>
                <w:rFonts w:ascii="Times New Roman" w:hAnsi="Times New Roman" w:cs="Times New Roman"/>
                <w:szCs w:val="24"/>
              </w:rPr>
              <w:t>-356</w:t>
            </w:r>
          </w:p>
        </w:tc>
        <w:tc>
          <w:tcPr>
            <w:tcW w:w="0" w:type="auto"/>
            <w:vAlign w:val="center"/>
            <w:hideMark/>
          </w:tcPr>
          <w:p w14:paraId="228B4BB8" w14:textId="77777777" w:rsidR="00E74747" w:rsidRPr="00D43584" w:rsidRDefault="00E74747" w:rsidP="000D5B7C">
            <w:pPr>
              <w:pStyle w:val="NoSpacing"/>
              <w:jc w:val="center"/>
              <w:rPr>
                <w:rFonts w:ascii="Times New Roman" w:hAnsi="Times New Roman" w:cs="Times New Roman"/>
                <w:szCs w:val="24"/>
              </w:rPr>
            </w:pPr>
            <w:r w:rsidRPr="00D43584">
              <w:rPr>
                <w:rFonts w:ascii="Times New Roman" w:hAnsi="Times New Roman" w:cs="Times New Roman"/>
                <w:szCs w:val="24"/>
              </w:rPr>
              <w:t>-398</w:t>
            </w:r>
          </w:p>
        </w:tc>
        <w:tc>
          <w:tcPr>
            <w:tcW w:w="0" w:type="auto"/>
            <w:vAlign w:val="center"/>
            <w:hideMark/>
          </w:tcPr>
          <w:p w14:paraId="54E48565" w14:textId="77777777" w:rsidR="00E74747" w:rsidRPr="00D43584" w:rsidRDefault="00E74747" w:rsidP="000D5B7C">
            <w:pPr>
              <w:pStyle w:val="NoSpacing"/>
              <w:jc w:val="center"/>
              <w:rPr>
                <w:rFonts w:ascii="Times New Roman" w:hAnsi="Times New Roman" w:cs="Times New Roman"/>
                <w:szCs w:val="24"/>
              </w:rPr>
            </w:pPr>
            <w:r w:rsidRPr="00D43584">
              <w:rPr>
                <w:rFonts w:ascii="Times New Roman" w:hAnsi="Times New Roman" w:cs="Times New Roman"/>
                <w:szCs w:val="24"/>
              </w:rPr>
              <w:t>-80</w:t>
            </w:r>
          </w:p>
        </w:tc>
        <w:tc>
          <w:tcPr>
            <w:tcW w:w="0" w:type="auto"/>
            <w:vAlign w:val="center"/>
            <w:hideMark/>
          </w:tcPr>
          <w:p w14:paraId="5DDE4C55" w14:textId="77777777" w:rsidR="00E74747" w:rsidRPr="00D43584" w:rsidRDefault="00E74747" w:rsidP="000D5B7C">
            <w:pPr>
              <w:pStyle w:val="NoSpacing"/>
              <w:jc w:val="center"/>
              <w:rPr>
                <w:rFonts w:ascii="Times New Roman" w:hAnsi="Times New Roman" w:cs="Times New Roman"/>
                <w:szCs w:val="24"/>
              </w:rPr>
            </w:pPr>
            <w:r w:rsidRPr="00D43584">
              <w:rPr>
                <w:rFonts w:ascii="Times New Roman" w:hAnsi="Times New Roman" w:cs="Times New Roman"/>
                <w:szCs w:val="24"/>
              </w:rPr>
              <w:t>+1245</w:t>
            </w:r>
          </w:p>
        </w:tc>
        <w:tc>
          <w:tcPr>
            <w:tcW w:w="0" w:type="auto"/>
            <w:vAlign w:val="center"/>
            <w:hideMark/>
          </w:tcPr>
          <w:p w14:paraId="34232E26" w14:textId="77777777" w:rsidR="00E74747" w:rsidRPr="00D43584" w:rsidRDefault="00E74747" w:rsidP="000D5B7C">
            <w:pPr>
              <w:pStyle w:val="NoSpacing"/>
              <w:jc w:val="center"/>
              <w:rPr>
                <w:rFonts w:ascii="Times New Roman" w:hAnsi="Times New Roman" w:cs="Times New Roman"/>
                <w:szCs w:val="24"/>
              </w:rPr>
            </w:pPr>
            <w:r w:rsidRPr="00D43584">
              <w:rPr>
                <w:rFonts w:ascii="Times New Roman" w:hAnsi="Times New Roman" w:cs="Times New Roman"/>
                <w:szCs w:val="24"/>
              </w:rPr>
              <w:t>-481</w:t>
            </w:r>
          </w:p>
        </w:tc>
        <w:tc>
          <w:tcPr>
            <w:tcW w:w="0" w:type="auto"/>
            <w:vAlign w:val="center"/>
            <w:hideMark/>
          </w:tcPr>
          <w:p w14:paraId="44AE3668" w14:textId="77777777" w:rsidR="00E74747" w:rsidRPr="00D43584" w:rsidRDefault="00E74747" w:rsidP="000D5B7C">
            <w:pPr>
              <w:pStyle w:val="NoSpacing"/>
              <w:jc w:val="center"/>
              <w:rPr>
                <w:rFonts w:ascii="Times New Roman" w:hAnsi="Times New Roman" w:cs="Times New Roman"/>
                <w:szCs w:val="24"/>
              </w:rPr>
            </w:pPr>
            <w:r w:rsidRPr="00D43584">
              <w:rPr>
                <w:rFonts w:ascii="Times New Roman" w:hAnsi="Times New Roman" w:cs="Times New Roman"/>
                <w:szCs w:val="24"/>
              </w:rPr>
              <w:t>-809</w:t>
            </w:r>
          </w:p>
        </w:tc>
        <w:tc>
          <w:tcPr>
            <w:tcW w:w="0" w:type="auto"/>
            <w:vAlign w:val="center"/>
            <w:hideMark/>
          </w:tcPr>
          <w:p w14:paraId="6A69FC03" w14:textId="77777777" w:rsidR="00E74747" w:rsidRPr="00D43584" w:rsidRDefault="00E74747" w:rsidP="000D5B7C">
            <w:pPr>
              <w:pStyle w:val="NoSpacing"/>
              <w:jc w:val="center"/>
              <w:rPr>
                <w:rFonts w:ascii="Times New Roman" w:hAnsi="Times New Roman" w:cs="Times New Roman"/>
                <w:szCs w:val="24"/>
              </w:rPr>
            </w:pPr>
            <w:r w:rsidRPr="00D43584">
              <w:rPr>
                <w:rFonts w:ascii="Times New Roman" w:hAnsi="Times New Roman" w:cs="Times New Roman"/>
                <w:szCs w:val="24"/>
              </w:rPr>
              <w:t>+104</w:t>
            </w:r>
          </w:p>
        </w:tc>
        <w:tc>
          <w:tcPr>
            <w:tcW w:w="0" w:type="auto"/>
            <w:vAlign w:val="center"/>
            <w:hideMark/>
          </w:tcPr>
          <w:p w14:paraId="7EF5DCD2" w14:textId="6CE2E06D" w:rsidR="00E74747" w:rsidRPr="00D43584" w:rsidRDefault="00E74747" w:rsidP="000D5B7C">
            <w:pPr>
              <w:pStyle w:val="NoSpacing"/>
              <w:jc w:val="center"/>
              <w:rPr>
                <w:rFonts w:ascii="Times New Roman" w:hAnsi="Times New Roman" w:cs="Times New Roman"/>
                <w:szCs w:val="24"/>
              </w:rPr>
            </w:pPr>
            <w:r w:rsidRPr="00D43584">
              <w:rPr>
                <w:rFonts w:ascii="Times New Roman" w:hAnsi="Times New Roman" w:cs="Times New Roman"/>
                <w:szCs w:val="24"/>
              </w:rPr>
              <w:t>-</w:t>
            </w:r>
            <w:r w:rsidR="006859C3" w:rsidRPr="00D43584">
              <w:rPr>
                <w:rFonts w:ascii="Times New Roman" w:hAnsi="Times New Roman" w:cs="Times New Roman"/>
                <w:szCs w:val="24"/>
              </w:rPr>
              <w:t>2</w:t>
            </w:r>
            <w:r w:rsidRPr="00D43584">
              <w:rPr>
                <w:rFonts w:ascii="Times New Roman" w:hAnsi="Times New Roman" w:cs="Times New Roman"/>
                <w:szCs w:val="24"/>
              </w:rPr>
              <w:t>36</w:t>
            </w:r>
          </w:p>
        </w:tc>
      </w:tr>
      <w:tr w:rsidR="00E74747" w:rsidRPr="00D43584" w14:paraId="587CF9D1" w14:textId="77777777" w:rsidTr="000D5B7C">
        <w:trPr>
          <w:trHeight w:val="397"/>
          <w:jc w:val="center"/>
        </w:trPr>
        <w:tc>
          <w:tcPr>
            <w:tcW w:w="0" w:type="auto"/>
            <w:vAlign w:val="center"/>
            <w:hideMark/>
          </w:tcPr>
          <w:p w14:paraId="6BE31834" w14:textId="77777777" w:rsidR="00E74747" w:rsidRPr="000D5B7C" w:rsidRDefault="00E74747" w:rsidP="000D5B7C">
            <w:pPr>
              <w:pStyle w:val="NoSpacing"/>
              <w:jc w:val="center"/>
              <w:rPr>
                <w:rFonts w:ascii="Times New Roman" w:hAnsi="Times New Roman" w:cs="Times New Roman"/>
                <w:szCs w:val="24"/>
              </w:rPr>
            </w:pPr>
          </w:p>
        </w:tc>
        <w:tc>
          <w:tcPr>
            <w:tcW w:w="0" w:type="auto"/>
            <w:vAlign w:val="center"/>
            <w:hideMark/>
          </w:tcPr>
          <w:p w14:paraId="0224728A" w14:textId="77777777" w:rsidR="00E74747" w:rsidRPr="000D5B7C" w:rsidRDefault="00E74747" w:rsidP="000D5B7C">
            <w:pPr>
              <w:pStyle w:val="NoSpacing"/>
              <w:jc w:val="center"/>
              <w:rPr>
                <w:rFonts w:ascii="Times New Roman" w:hAnsi="Times New Roman" w:cs="Times New Roman"/>
                <w:szCs w:val="24"/>
              </w:rPr>
            </w:pPr>
            <w:r w:rsidRPr="000D5B7C">
              <w:rPr>
                <w:rFonts w:ascii="Times New Roman" w:hAnsi="Times New Roman" w:cs="Times New Roman"/>
                <w:szCs w:val="24"/>
              </w:rPr>
              <w:t>Overall</w:t>
            </w:r>
          </w:p>
        </w:tc>
        <w:tc>
          <w:tcPr>
            <w:tcW w:w="0" w:type="auto"/>
            <w:vAlign w:val="center"/>
            <w:hideMark/>
          </w:tcPr>
          <w:p w14:paraId="4B4ABE1F" w14:textId="77777777" w:rsidR="00E74747" w:rsidRPr="00D43584" w:rsidRDefault="00E74747" w:rsidP="000D5B7C">
            <w:pPr>
              <w:pStyle w:val="NoSpacing"/>
              <w:jc w:val="center"/>
              <w:rPr>
                <w:rFonts w:ascii="Times New Roman" w:hAnsi="Times New Roman" w:cs="Times New Roman"/>
                <w:szCs w:val="24"/>
              </w:rPr>
            </w:pPr>
            <w:r w:rsidRPr="00D43584">
              <w:rPr>
                <w:rFonts w:ascii="Times New Roman" w:hAnsi="Times New Roman" w:cs="Times New Roman"/>
                <w:szCs w:val="24"/>
              </w:rPr>
              <w:t>+77</w:t>
            </w:r>
          </w:p>
        </w:tc>
        <w:tc>
          <w:tcPr>
            <w:tcW w:w="0" w:type="auto"/>
            <w:vAlign w:val="center"/>
            <w:hideMark/>
          </w:tcPr>
          <w:p w14:paraId="0D6C88A1" w14:textId="77777777" w:rsidR="00E74747" w:rsidRPr="00D43584" w:rsidRDefault="00E74747" w:rsidP="000D5B7C">
            <w:pPr>
              <w:pStyle w:val="NoSpacing"/>
              <w:jc w:val="center"/>
              <w:rPr>
                <w:rFonts w:ascii="Times New Roman" w:hAnsi="Times New Roman" w:cs="Times New Roman"/>
                <w:szCs w:val="24"/>
              </w:rPr>
            </w:pPr>
            <w:r w:rsidRPr="00D43584">
              <w:rPr>
                <w:rFonts w:ascii="Times New Roman" w:hAnsi="Times New Roman" w:cs="Times New Roman"/>
                <w:szCs w:val="24"/>
              </w:rPr>
              <w:t>-1032</w:t>
            </w:r>
          </w:p>
        </w:tc>
        <w:tc>
          <w:tcPr>
            <w:tcW w:w="0" w:type="auto"/>
            <w:vAlign w:val="center"/>
            <w:hideMark/>
          </w:tcPr>
          <w:p w14:paraId="17C2390B" w14:textId="77777777" w:rsidR="00E74747" w:rsidRPr="00D43584" w:rsidRDefault="00E74747" w:rsidP="000D5B7C">
            <w:pPr>
              <w:pStyle w:val="NoSpacing"/>
              <w:jc w:val="center"/>
              <w:rPr>
                <w:rFonts w:ascii="Times New Roman" w:hAnsi="Times New Roman" w:cs="Times New Roman"/>
                <w:szCs w:val="24"/>
              </w:rPr>
            </w:pPr>
            <w:r w:rsidRPr="00D43584">
              <w:rPr>
                <w:rFonts w:ascii="Times New Roman" w:hAnsi="Times New Roman" w:cs="Times New Roman"/>
                <w:szCs w:val="24"/>
              </w:rPr>
              <w:t>-1983</w:t>
            </w:r>
          </w:p>
        </w:tc>
        <w:tc>
          <w:tcPr>
            <w:tcW w:w="0" w:type="auto"/>
            <w:vAlign w:val="center"/>
            <w:hideMark/>
          </w:tcPr>
          <w:p w14:paraId="11132973" w14:textId="77777777" w:rsidR="00E74747" w:rsidRPr="00D43584" w:rsidRDefault="00E74747" w:rsidP="000D5B7C">
            <w:pPr>
              <w:pStyle w:val="NoSpacing"/>
              <w:jc w:val="center"/>
              <w:rPr>
                <w:rFonts w:ascii="Times New Roman" w:hAnsi="Times New Roman" w:cs="Times New Roman"/>
                <w:szCs w:val="24"/>
              </w:rPr>
            </w:pPr>
            <w:r w:rsidRPr="00D43584">
              <w:rPr>
                <w:rFonts w:ascii="Times New Roman" w:hAnsi="Times New Roman" w:cs="Times New Roman"/>
                <w:szCs w:val="24"/>
              </w:rPr>
              <w:t>+5</w:t>
            </w:r>
          </w:p>
        </w:tc>
        <w:tc>
          <w:tcPr>
            <w:tcW w:w="0" w:type="auto"/>
            <w:vAlign w:val="center"/>
            <w:hideMark/>
          </w:tcPr>
          <w:p w14:paraId="2729DB13" w14:textId="77777777" w:rsidR="00E74747" w:rsidRPr="00D43584" w:rsidRDefault="00E74747" w:rsidP="000D5B7C">
            <w:pPr>
              <w:pStyle w:val="NoSpacing"/>
              <w:jc w:val="center"/>
              <w:rPr>
                <w:rFonts w:ascii="Times New Roman" w:hAnsi="Times New Roman" w:cs="Times New Roman"/>
                <w:szCs w:val="24"/>
              </w:rPr>
            </w:pPr>
            <w:r w:rsidRPr="00D43584">
              <w:rPr>
                <w:rFonts w:ascii="Times New Roman" w:hAnsi="Times New Roman" w:cs="Times New Roman"/>
                <w:szCs w:val="24"/>
              </w:rPr>
              <w:t>+862</w:t>
            </w:r>
          </w:p>
        </w:tc>
        <w:tc>
          <w:tcPr>
            <w:tcW w:w="0" w:type="auto"/>
            <w:vAlign w:val="center"/>
            <w:hideMark/>
          </w:tcPr>
          <w:p w14:paraId="0BC62785" w14:textId="77777777" w:rsidR="00E74747" w:rsidRPr="00D43584" w:rsidRDefault="00E74747" w:rsidP="000D5B7C">
            <w:pPr>
              <w:pStyle w:val="NoSpacing"/>
              <w:jc w:val="center"/>
              <w:rPr>
                <w:rFonts w:ascii="Times New Roman" w:hAnsi="Times New Roman" w:cs="Times New Roman"/>
                <w:szCs w:val="24"/>
              </w:rPr>
            </w:pPr>
            <w:r w:rsidRPr="00D43584">
              <w:rPr>
                <w:rFonts w:ascii="Times New Roman" w:hAnsi="Times New Roman" w:cs="Times New Roman"/>
                <w:szCs w:val="24"/>
              </w:rPr>
              <w:t>-1870</w:t>
            </w:r>
          </w:p>
        </w:tc>
        <w:tc>
          <w:tcPr>
            <w:tcW w:w="0" w:type="auto"/>
            <w:vAlign w:val="center"/>
            <w:hideMark/>
          </w:tcPr>
          <w:p w14:paraId="4BE6D4F5" w14:textId="77777777" w:rsidR="00E74747" w:rsidRPr="00D43584" w:rsidRDefault="00E74747" w:rsidP="000D5B7C">
            <w:pPr>
              <w:pStyle w:val="NoSpacing"/>
              <w:jc w:val="center"/>
              <w:rPr>
                <w:rFonts w:ascii="Times New Roman" w:hAnsi="Times New Roman" w:cs="Times New Roman"/>
                <w:szCs w:val="24"/>
              </w:rPr>
            </w:pPr>
            <w:r w:rsidRPr="00D43584">
              <w:rPr>
                <w:rFonts w:ascii="Times New Roman" w:hAnsi="Times New Roman" w:cs="Times New Roman"/>
                <w:szCs w:val="24"/>
              </w:rPr>
              <w:t>-943</w:t>
            </w:r>
          </w:p>
        </w:tc>
        <w:tc>
          <w:tcPr>
            <w:tcW w:w="0" w:type="auto"/>
            <w:vAlign w:val="center"/>
            <w:hideMark/>
          </w:tcPr>
          <w:p w14:paraId="7184AB52" w14:textId="77777777" w:rsidR="00E74747" w:rsidRPr="00D43584" w:rsidRDefault="00E74747" w:rsidP="000D5B7C">
            <w:pPr>
              <w:pStyle w:val="NoSpacing"/>
              <w:jc w:val="center"/>
              <w:rPr>
                <w:rFonts w:ascii="Times New Roman" w:hAnsi="Times New Roman" w:cs="Times New Roman"/>
                <w:szCs w:val="24"/>
              </w:rPr>
            </w:pPr>
            <w:r w:rsidRPr="00D43584">
              <w:rPr>
                <w:rFonts w:ascii="Times New Roman" w:hAnsi="Times New Roman" w:cs="Times New Roman"/>
                <w:szCs w:val="24"/>
              </w:rPr>
              <w:t>+91</w:t>
            </w:r>
          </w:p>
        </w:tc>
        <w:tc>
          <w:tcPr>
            <w:tcW w:w="0" w:type="auto"/>
            <w:vAlign w:val="center"/>
            <w:hideMark/>
          </w:tcPr>
          <w:p w14:paraId="09AD4D59" w14:textId="77777777" w:rsidR="00E74747" w:rsidRPr="00D43584" w:rsidRDefault="00E74747" w:rsidP="000D5B7C">
            <w:pPr>
              <w:pStyle w:val="NoSpacing"/>
              <w:jc w:val="center"/>
              <w:rPr>
                <w:rFonts w:ascii="Times New Roman" w:hAnsi="Times New Roman" w:cs="Times New Roman"/>
                <w:szCs w:val="24"/>
              </w:rPr>
            </w:pPr>
            <w:r w:rsidRPr="00D43584">
              <w:rPr>
                <w:rFonts w:ascii="Times New Roman" w:hAnsi="Times New Roman" w:cs="Times New Roman"/>
                <w:szCs w:val="24"/>
              </w:rPr>
              <w:t>-574</w:t>
            </w:r>
          </w:p>
        </w:tc>
      </w:tr>
      <w:tr w:rsidR="00E74747" w:rsidRPr="00D43584" w14:paraId="5E108517" w14:textId="77777777" w:rsidTr="000D5B7C">
        <w:trPr>
          <w:trHeight w:val="397"/>
          <w:jc w:val="center"/>
        </w:trPr>
        <w:tc>
          <w:tcPr>
            <w:tcW w:w="0" w:type="auto"/>
            <w:vAlign w:val="center"/>
            <w:hideMark/>
          </w:tcPr>
          <w:p w14:paraId="4D88A064" w14:textId="77777777" w:rsidR="00E74747" w:rsidRPr="000D5B7C" w:rsidRDefault="00E74747" w:rsidP="000D5B7C">
            <w:pPr>
              <w:pStyle w:val="NoSpacing"/>
              <w:jc w:val="center"/>
              <w:rPr>
                <w:rFonts w:ascii="Times New Roman" w:hAnsi="Times New Roman" w:cs="Times New Roman"/>
                <w:szCs w:val="24"/>
              </w:rPr>
            </w:pPr>
            <w:r w:rsidRPr="000D5B7C">
              <w:rPr>
                <w:rFonts w:ascii="Times New Roman" w:hAnsi="Times New Roman" w:cs="Times New Roman"/>
                <w:szCs w:val="24"/>
              </w:rPr>
              <w:t>Bihar</w:t>
            </w:r>
          </w:p>
        </w:tc>
        <w:tc>
          <w:tcPr>
            <w:tcW w:w="0" w:type="auto"/>
            <w:vAlign w:val="center"/>
            <w:hideMark/>
          </w:tcPr>
          <w:p w14:paraId="0D7DF186" w14:textId="77777777" w:rsidR="00E74747" w:rsidRPr="000D5B7C" w:rsidRDefault="00E74747" w:rsidP="000D5B7C">
            <w:pPr>
              <w:pStyle w:val="NoSpacing"/>
              <w:jc w:val="center"/>
              <w:rPr>
                <w:rFonts w:ascii="Times New Roman" w:hAnsi="Times New Roman" w:cs="Times New Roman"/>
                <w:szCs w:val="24"/>
              </w:rPr>
            </w:pPr>
            <w:r w:rsidRPr="000D5B7C">
              <w:rPr>
                <w:rFonts w:ascii="Times New Roman" w:hAnsi="Times New Roman" w:cs="Times New Roman"/>
                <w:szCs w:val="24"/>
              </w:rPr>
              <w:t>Revenue</w:t>
            </w:r>
          </w:p>
        </w:tc>
        <w:tc>
          <w:tcPr>
            <w:tcW w:w="0" w:type="auto"/>
            <w:vAlign w:val="center"/>
            <w:hideMark/>
          </w:tcPr>
          <w:p w14:paraId="33A76950" w14:textId="77777777" w:rsidR="00E74747" w:rsidRPr="00D43584" w:rsidRDefault="00E74747" w:rsidP="000D5B7C">
            <w:pPr>
              <w:pStyle w:val="NoSpacing"/>
              <w:jc w:val="center"/>
              <w:rPr>
                <w:rFonts w:ascii="Times New Roman" w:hAnsi="Times New Roman" w:cs="Times New Roman"/>
                <w:szCs w:val="24"/>
              </w:rPr>
            </w:pPr>
            <w:r w:rsidRPr="00D43584">
              <w:rPr>
                <w:rFonts w:ascii="Times New Roman" w:hAnsi="Times New Roman" w:cs="Times New Roman"/>
                <w:szCs w:val="24"/>
              </w:rPr>
              <w:t>+570</w:t>
            </w:r>
          </w:p>
        </w:tc>
        <w:tc>
          <w:tcPr>
            <w:tcW w:w="0" w:type="auto"/>
            <w:vAlign w:val="center"/>
            <w:hideMark/>
          </w:tcPr>
          <w:p w14:paraId="387FEE6A" w14:textId="77777777" w:rsidR="00E74747" w:rsidRPr="00D43584" w:rsidRDefault="00E74747" w:rsidP="000D5B7C">
            <w:pPr>
              <w:pStyle w:val="NoSpacing"/>
              <w:jc w:val="center"/>
              <w:rPr>
                <w:rFonts w:ascii="Times New Roman" w:hAnsi="Times New Roman" w:cs="Times New Roman"/>
                <w:szCs w:val="24"/>
              </w:rPr>
            </w:pPr>
            <w:r w:rsidRPr="00D43584">
              <w:rPr>
                <w:rFonts w:ascii="Times New Roman" w:hAnsi="Times New Roman" w:cs="Times New Roman"/>
                <w:szCs w:val="24"/>
              </w:rPr>
              <w:t>+117</w:t>
            </w:r>
          </w:p>
        </w:tc>
        <w:tc>
          <w:tcPr>
            <w:tcW w:w="0" w:type="auto"/>
            <w:vAlign w:val="center"/>
            <w:hideMark/>
          </w:tcPr>
          <w:p w14:paraId="1EEA35DF" w14:textId="77777777" w:rsidR="00E74747" w:rsidRPr="00D43584" w:rsidRDefault="00E74747" w:rsidP="000D5B7C">
            <w:pPr>
              <w:pStyle w:val="NoSpacing"/>
              <w:jc w:val="center"/>
              <w:rPr>
                <w:rFonts w:ascii="Times New Roman" w:hAnsi="Times New Roman" w:cs="Times New Roman"/>
                <w:szCs w:val="24"/>
              </w:rPr>
            </w:pPr>
            <w:r w:rsidRPr="00D43584">
              <w:rPr>
                <w:rFonts w:ascii="Times New Roman" w:hAnsi="Times New Roman" w:cs="Times New Roman"/>
                <w:szCs w:val="24"/>
              </w:rPr>
              <w:t>+267</w:t>
            </w:r>
          </w:p>
        </w:tc>
        <w:tc>
          <w:tcPr>
            <w:tcW w:w="0" w:type="auto"/>
            <w:vAlign w:val="center"/>
            <w:hideMark/>
          </w:tcPr>
          <w:p w14:paraId="1A216BEE" w14:textId="77777777" w:rsidR="00E74747" w:rsidRPr="00D43584" w:rsidRDefault="00E74747" w:rsidP="000D5B7C">
            <w:pPr>
              <w:pStyle w:val="NoSpacing"/>
              <w:jc w:val="center"/>
              <w:rPr>
                <w:rFonts w:ascii="Times New Roman" w:hAnsi="Times New Roman" w:cs="Times New Roman"/>
                <w:szCs w:val="24"/>
              </w:rPr>
            </w:pPr>
            <w:r w:rsidRPr="00D43584">
              <w:rPr>
                <w:rFonts w:ascii="Times New Roman" w:hAnsi="Times New Roman" w:cs="Times New Roman"/>
                <w:szCs w:val="24"/>
              </w:rPr>
              <w:t>+1587</w:t>
            </w:r>
          </w:p>
        </w:tc>
        <w:tc>
          <w:tcPr>
            <w:tcW w:w="0" w:type="auto"/>
            <w:vAlign w:val="center"/>
            <w:hideMark/>
          </w:tcPr>
          <w:p w14:paraId="0F363A9E" w14:textId="77777777" w:rsidR="00E74747" w:rsidRPr="00D43584" w:rsidRDefault="00E74747" w:rsidP="000D5B7C">
            <w:pPr>
              <w:pStyle w:val="NoSpacing"/>
              <w:jc w:val="center"/>
              <w:rPr>
                <w:rFonts w:ascii="Times New Roman" w:hAnsi="Times New Roman" w:cs="Times New Roman"/>
                <w:szCs w:val="24"/>
              </w:rPr>
            </w:pPr>
            <w:r w:rsidRPr="00D43584">
              <w:rPr>
                <w:rFonts w:ascii="Times New Roman" w:hAnsi="Times New Roman" w:cs="Times New Roman"/>
                <w:szCs w:val="24"/>
              </w:rPr>
              <w:t>-331</w:t>
            </w:r>
          </w:p>
        </w:tc>
        <w:tc>
          <w:tcPr>
            <w:tcW w:w="0" w:type="auto"/>
            <w:vAlign w:val="center"/>
            <w:hideMark/>
          </w:tcPr>
          <w:p w14:paraId="2E7378DF" w14:textId="77777777" w:rsidR="00E74747" w:rsidRPr="00D43584" w:rsidRDefault="00E74747" w:rsidP="000D5B7C">
            <w:pPr>
              <w:pStyle w:val="NoSpacing"/>
              <w:jc w:val="center"/>
              <w:rPr>
                <w:rFonts w:ascii="Times New Roman" w:hAnsi="Times New Roman" w:cs="Times New Roman"/>
                <w:szCs w:val="24"/>
              </w:rPr>
            </w:pPr>
            <w:r w:rsidRPr="00D43584">
              <w:rPr>
                <w:rFonts w:ascii="Times New Roman" w:hAnsi="Times New Roman" w:cs="Times New Roman"/>
                <w:szCs w:val="24"/>
              </w:rPr>
              <w:t>-1354</w:t>
            </w:r>
          </w:p>
        </w:tc>
        <w:tc>
          <w:tcPr>
            <w:tcW w:w="0" w:type="auto"/>
            <w:vAlign w:val="center"/>
            <w:hideMark/>
          </w:tcPr>
          <w:p w14:paraId="1EF0C2B4" w14:textId="77777777" w:rsidR="00E74747" w:rsidRPr="00D43584" w:rsidRDefault="00E74747" w:rsidP="000D5B7C">
            <w:pPr>
              <w:pStyle w:val="NoSpacing"/>
              <w:jc w:val="center"/>
              <w:rPr>
                <w:rFonts w:ascii="Times New Roman" w:hAnsi="Times New Roman" w:cs="Times New Roman"/>
                <w:szCs w:val="24"/>
              </w:rPr>
            </w:pPr>
            <w:r w:rsidRPr="00D43584">
              <w:rPr>
                <w:rFonts w:ascii="Times New Roman" w:hAnsi="Times New Roman" w:cs="Times New Roman"/>
                <w:szCs w:val="24"/>
              </w:rPr>
              <w:t>-987</w:t>
            </w:r>
          </w:p>
        </w:tc>
        <w:tc>
          <w:tcPr>
            <w:tcW w:w="0" w:type="auto"/>
            <w:vAlign w:val="center"/>
            <w:hideMark/>
          </w:tcPr>
          <w:p w14:paraId="156A3601" w14:textId="77777777" w:rsidR="00E74747" w:rsidRPr="00D43584" w:rsidRDefault="00E74747" w:rsidP="000D5B7C">
            <w:pPr>
              <w:pStyle w:val="NoSpacing"/>
              <w:jc w:val="center"/>
              <w:rPr>
                <w:rFonts w:ascii="Times New Roman" w:hAnsi="Times New Roman" w:cs="Times New Roman"/>
                <w:szCs w:val="24"/>
              </w:rPr>
            </w:pPr>
            <w:r w:rsidRPr="00D43584">
              <w:rPr>
                <w:rFonts w:ascii="Times New Roman" w:hAnsi="Times New Roman" w:cs="Times New Roman"/>
                <w:szCs w:val="24"/>
              </w:rPr>
              <w:t>-1468</w:t>
            </w:r>
          </w:p>
        </w:tc>
        <w:tc>
          <w:tcPr>
            <w:tcW w:w="0" w:type="auto"/>
            <w:vAlign w:val="center"/>
            <w:hideMark/>
          </w:tcPr>
          <w:p w14:paraId="26A68A33" w14:textId="77777777" w:rsidR="00E74747" w:rsidRPr="00D43584" w:rsidRDefault="00E74747" w:rsidP="000D5B7C">
            <w:pPr>
              <w:pStyle w:val="NoSpacing"/>
              <w:jc w:val="center"/>
              <w:rPr>
                <w:rFonts w:ascii="Times New Roman" w:hAnsi="Times New Roman" w:cs="Times New Roman"/>
                <w:szCs w:val="24"/>
              </w:rPr>
            </w:pPr>
            <w:r w:rsidRPr="00D43584">
              <w:rPr>
                <w:rFonts w:ascii="Times New Roman" w:hAnsi="Times New Roman" w:cs="Times New Roman"/>
                <w:szCs w:val="24"/>
              </w:rPr>
              <w:t>-449</w:t>
            </w:r>
          </w:p>
        </w:tc>
      </w:tr>
      <w:tr w:rsidR="00E74747" w:rsidRPr="00D43584" w14:paraId="10D0D567" w14:textId="77777777" w:rsidTr="000D5B7C">
        <w:trPr>
          <w:trHeight w:val="397"/>
          <w:jc w:val="center"/>
        </w:trPr>
        <w:tc>
          <w:tcPr>
            <w:tcW w:w="0" w:type="auto"/>
            <w:vAlign w:val="center"/>
            <w:hideMark/>
          </w:tcPr>
          <w:p w14:paraId="3ACEB6E5" w14:textId="77777777" w:rsidR="00E74747" w:rsidRPr="000D5B7C" w:rsidRDefault="00E74747" w:rsidP="000D5B7C">
            <w:pPr>
              <w:pStyle w:val="NoSpacing"/>
              <w:jc w:val="center"/>
              <w:rPr>
                <w:rFonts w:ascii="Times New Roman" w:hAnsi="Times New Roman" w:cs="Times New Roman"/>
                <w:szCs w:val="24"/>
              </w:rPr>
            </w:pPr>
          </w:p>
        </w:tc>
        <w:tc>
          <w:tcPr>
            <w:tcW w:w="0" w:type="auto"/>
            <w:vAlign w:val="center"/>
            <w:hideMark/>
          </w:tcPr>
          <w:p w14:paraId="274B4C7B" w14:textId="77777777" w:rsidR="00E74747" w:rsidRPr="000D5B7C" w:rsidRDefault="00E74747" w:rsidP="000D5B7C">
            <w:pPr>
              <w:pStyle w:val="NoSpacing"/>
              <w:jc w:val="center"/>
              <w:rPr>
                <w:rFonts w:ascii="Times New Roman" w:hAnsi="Times New Roman" w:cs="Times New Roman"/>
                <w:szCs w:val="24"/>
              </w:rPr>
            </w:pPr>
            <w:r w:rsidRPr="000D5B7C">
              <w:rPr>
                <w:rFonts w:ascii="Times New Roman" w:hAnsi="Times New Roman" w:cs="Times New Roman"/>
                <w:szCs w:val="24"/>
              </w:rPr>
              <w:t>Capital</w:t>
            </w:r>
          </w:p>
        </w:tc>
        <w:tc>
          <w:tcPr>
            <w:tcW w:w="0" w:type="auto"/>
            <w:vAlign w:val="center"/>
            <w:hideMark/>
          </w:tcPr>
          <w:p w14:paraId="0EC1C3A2" w14:textId="77777777" w:rsidR="00E74747" w:rsidRPr="00D43584" w:rsidRDefault="00E74747" w:rsidP="000D5B7C">
            <w:pPr>
              <w:pStyle w:val="NoSpacing"/>
              <w:jc w:val="center"/>
              <w:rPr>
                <w:rFonts w:ascii="Times New Roman" w:hAnsi="Times New Roman" w:cs="Times New Roman"/>
                <w:szCs w:val="24"/>
              </w:rPr>
            </w:pPr>
            <w:r w:rsidRPr="00D43584">
              <w:rPr>
                <w:rFonts w:ascii="Times New Roman" w:hAnsi="Times New Roman" w:cs="Times New Roman"/>
                <w:szCs w:val="24"/>
              </w:rPr>
              <w:t>-865</w:t>
            </w:r>
          </w:p>
        </w:tc>
        <w:tc>
          <w:tcPr>
            <w:tcW w:w="0" w:type="auto"/>
            <w:vAlign w:val="center"/>
            <w:hideMark/>
          </w:tcPr>
          <w:p w14:paraId="3A7AD320" w14:textId="77777777" w:rsidR="00E74747" w:rsidRPr="00D43584" w:rsidRDefault="00E74747" w:rsidP="000D5B7C">
            <w:pPr>
              <w:pStyle w:val="NoSpacing"/>
              <w:jc w:val="center"/>
              <w:rPr>
                <w:rFonts w:ascii="Times New Roman" w:hAnsi="Times New Roman" w:cs="Times New Roman"/>
                <w:szCs w:val="24"/>
              </w:rPr>
            </w:pPr>
            <w:r w:rsidRPr="00D43584">
              <w:rPr>
                <w:rFonts w:ascii="Times New Roman" w:hAnsi="Times New Roman" w:cs="Times New Roman"/>
                <w:szCs w:val="24"/>
              </w:rPr>
              <w:t>-960</w:t>
            </w:r>
          </w:p>
        </w:tc>
        <w:tc>
          <w:tcPr>
            <w:tcW w:w="0" w:type="auto"/>
            <w:vAlign w:val="center"/>
            <w:hideMark/>
          </w:tcPr>
          <w:p w14:paraId="15025216" w14:textId="77777777" w:rsidR="00E74747" w:rsidRPr="00D43584" w:rsidRDefault="00E74747" w:rsidP="000D5B7C">
            <w:pPr>
              <w:pStyle w:val="NoSpacing"/>
              <w:jc w:val="center"/>
              <w:rPr>
                <w:rFonts w:ascii="Times New Roman" w:hAnsi="Times New Roman" w:cs="Times New Roman"/>
                <w:szCs w:val="24"/>
              </w:rPr>
            </w:pPr>
            <w:r w:rsidRPr="00D43584">
              <w:rPr>
                <w:rFonts w:ascii="Times New Roman" w:hAnsi="Times New Roman" w:cs="Times New Roman"/>
                <w:szCs w:val="24"/>
              </w:rPr>
              <w:t>-175</w:t>
            </w:r>
          </w:p>
        </w:tc>
        <w:tc>
          <w:tcPr>
            <w:tcW w:w="0" w:type="auto"/>
            <w:vAlign w:val="center"/>
            <w:hideMark/>
          </w:tcPr>
          <w:p w14:paraId="1513D935" w14:textId="77777777" w:rsidR="00E74747" w:rsidRPr="00D43584" w:rsidRDefault="00E74747" w:rsidP="000D5B7C">
            <w:pPr>
              <w:pStyle w:val="NoSpacing"/>
              <w:jc w:val="center"/>
              <w:rPr>
                <w:rFonts w:ascii="Times New Roman" w:hAnsi="Times New Roman" w:cs="Times New Roman"/>
                <w:szCs w:val="24"/>
              </w:rPr>
            </w:pPr>
            <w:r w:rsidRPr="00D43584">
              <w:rPr>
                <w:rFonts w:ascii="Times New Roman" w:hAnsi="Times New Roman" w:cs="Times New Roman"/>
                <w:szCs w:val="24"/>
              </w:rPr>
              <w:t>-2659</w:t>
            </w:r>
          </w:p>
        </w:tc>
        <w:tc>
          <w:tcPr>
            <w:tcW w:w="0" w:type="auto"/>
            <w:vAlign w:val="center"/>
            <w:hideMark/>
          </w:tcPr>
          <w:p w14:paraId="3580771C" w14:textId="77777777" w:rsidR="00E74747" w:rsidRPr="00D43584" w:rsidRDefault="00E74747" w:rsidP="000D5B7C">
            <w:pPr>
              <w:pStyle w:val="NoSpacing"/>
              <w:jc w:val="center"/>
              <w:rPr>
                <w:rFonts w:ascii="Times New Roman" w:hAnsi="Times New Roman" w:cs="Times New Roman"/>
                <w:szCs w:val="24"/>
              </w:rPr>
            </w:pPr>
            <w:r w:rsidRPr="00D43584">
              <w:rPr>
                <w:rFonts w:ascii="Times New Roman" w:hAnsi="Times New Roman" w:cs="Times New Roman"/>
                <w:szCs w:val="24"/>
              </w:rPr>
              <w:t>-56</w:t>
            </w:r>
          </w:p>
        </w:tc>
        <w:tc>
          <w:tcPr>
            <w:tcW w:w="0" w:type="auto"/>
            <w:vAlign w:val="center"/>
            <w:hideMark/>
          </w:tcPr>
          <w:p w14:paraId="1C663122" w14:textId="77777777" w:rsidR="00E74747" w:rsidRPr="00D43584" w:rsidRDefault="00E74747" w:rsidP="000D5B7C">
            <w:pPr>
              <w:pStyle w:val="NoSpacing"/>
              <w:jc w:val="center"/>
              <w:rPr>
                <w:rFonts w:ascii="Times New Roman" w:hAnsi="Times New Roman" w:cs="Times New Roman"/>
                <w:szCs w:val="24"/>
              </w:rPr>
            </w:pPr>
            <w:r w:rsidRPr="00D43584">
              <w:rPr>
                <w:rFonts w:ascii="Times New Roman" w:hAnsi="Times New Roman" w:cs="Times New Roman"/>
                <w:szCs w:val="24"/>
              </w:rPr>
              <w:t>+805</w:t>
            </w:r>
          </w:p>
        </w:tc>
        <w:tc>
          <w:tcPr>
            <w:tcW w:w="0" w:type="auto"/>
            <w:vAlign w:val="center"/>
            <w:hideMark/>
          </w:tcPr>
          <w:p w14:paraId="1777B587" w14:textId="77777777" w:rsidR="00E74747" w:rsidRPr="00D43584" w:rsidRDefault="00E74747" w:rsidP="000D5B7C">
            <w:pPr>
              <w:pStyle w:val="NoSpacing"/>
              <w:jc w:val="center"/>
              <w:rPr>
                <w:rFonts w:ascii="Times New Roman" w:hAnsi="Times New Roman" w:cs="Times New Roman"/>
                <w:szCs w:val="24"/>
              </w:rPr>
            </w:pPr>
            <w:r w:rsidRPr="00D43584">
              <w:rPr>
                <w:rFonts w:ascii="Times New Roman" w:hAnsi="Times New Roman" w:cs="Times New Roman"/>
                <w:szCs w:val="24"/>
              </w:rPr>
              <w:t>-290</w:t>
            </w:r>
          </w:p>
        </w:tc>
        <w:tc>
          <w:tcPr>
            <w:tcW w:w="0" w:type="auto"/>
            <w:vAlign w:val="center"/>
            <w:hideMark/>
          </w:tcPr>
          <w:p w14:paraId="667BBD27" w14:textId="77777777" w:rsidR="00E74747" w:rsidRPr="00D43584" w:rsidRDefault="00E74747" w:rsidP="000D5B7C">
            <w:pPr>
              <w:pStyle w:val="NoSpacing"/>
              <w:jc w:val="center"/>
              <w:rPr>
                <w:rFonts w:ascii="Times New Roman" w:hAnsi="Times New Roman" w:cs="Times New Roman"/>
                <w:szCs w:val="24"/>
              </w:rPr>
            </w:pPr>
            <w:r w:rsidRPr="00D43584">
              <w:rPr>
                <w:rFonts w:ascii="Times New Roman" w:hAnsi="Times New Roman" w:cs="Times New Roman"/>
                <w:szCs w:val="24"/>
              </w:rPr>
              <w:t>-568</w:t>
            </w:r>
          </w:p>
        </w:tc>
        <w:tc>
          <w:tcPr>
            <w:tcW w:w="0" w:type="auto"/>
            <w:vAlign w:val="center"/>
            <w:hideMark/>
          </w:tcPr>
          <w:p w14:paraId="34147B74" w14:textId="06A9B518" w:rsidR="00E74747" w:rsidRPr="00D43584" w:rsidRDefault="00E74747" w:rsidP="000D5B7C">
            <w:pPr>
              <w:pStyle w:val="NoSpacing"/>
              <w:jc w:val="center"/>
              <w:rPr>
                <w:rFonts w:ascii="Times New Roman" w:hAnsi="Times New Roman" w:cs="Times New Roman"/>
                <w:szCs w:val="24"/>
              </w:rPr>
            </w:pPr>
            <w:r w:rsidRPr="00D43584">
              <w:rPr>
                <w:rFonts w:ascii="Times New Roman" w:hAnsi="Times New Roman" w:cs="Times New Roman"/>
                <w:szCs w:val="24"/>
              </w:rPr>
              <w:t>-2</w:t>
            </w:r>
            <w:r w:rsidR="006859C3" w:rsidRPr="00D43584">
              <w:rPr>
                <w:rFonts w:ascii="Times New Roman" w:hAnsi="Times New Roman" w:cs="Times New Roman"/>
                <w:szCs w:val="24"/>
              </w:rPr>
              <w:t>3</w:t>
            </w:r>
            <w:r w:rsidRPr="00D43584">
              <w:rPr>
                <w:rFonts w:ascii="Times New Roman" w:hAnsi="Times New Roman" w:cs="Times New Roman"/>
                <w:szCs w:val="24"/>
              </w:rPr>
              <w:t>84</w:t>
            </w:r>
          </w:p>
        </w:tc>
      </w:tr>
      <w:tr w:rsidR="00E74747" w:rsidRPr="00D43584" w14:paraId="350A3CA4" w14:textId="77777777" w:rsidTr="000D5B7C">
        <w:trPr>
          <w:trHeight w:val="397"/>
          <w:jc w:val="center"/>
        </w:trPr>
        <w:tc>
          <w:tcPr>
            <w:tcW w:w="0" w:type="auto"/>
            <w:vAlign w:val="center"/>
            <w:hideMark/>
          </w:tcPr>
          <w:p w14:paraId="3697961A" w14:textId="77777777" w:rsidR="00E74747" w:rsidRPr="000D5B7C" w:rsidRDefault="00E74747" w:rsidP="000D5B7C">
            <w:pPr>
              <w:pStyle w:val="NoSpacing"/>
              <w:jc w:val="center"/>
              <w:rPr>
                <w:rFonts w:ascii="Times New Roman" w:hAnsi="Times New Roman" w:cs="Times New Roman"/>
                <w:szCs w:val="24"/>
              </w:rPr>
            </w:pPr>
          </w:p>
        </w:tc>
        <w:tc>
          <w:tcPr>
            <w:tcW w:w="0" w:type="auto"/>
            <w:vAlign w:val="center"/>
            <w:hideMark/>
          </w:tcPr>
          <w:p w14:paraId="70663A6F" w14:textId="77777777" w:rsidR="00E74747" w:rsidRPr="000D5B7C" w:rsidRDefault="00E74747" w:rsidP="000D5B7C">
            <w:pPr>
              <w:pStyle w:val="NoSpacing"/>
              <w:jc w:val="center"/>
              <w:rPr>
                <w:rFonts w:ascii="Times New Roman" w:hAnsi="Times New Roman" w:cs="Times New Roman"/>
                <w:szCs w:val="24"/>
              </w:rPr>
            </w:pPr>
            <w:r w:rsidRPr="000D5B7C">
              <w:rPr>
                <w:rFonts w:ascii="Times New Roman" w:hAnsi="Times New Roman" w:cs="Times New Roman"/>
                <w:szCs w:val="24"/>
              </w:rPr>
              <w:t>Overall</w:t>
            </w:r>
          </w:p>
        </w:tc>
        <w:tc>
          <w:tcPr>
            <w:tcW w:w="0" w:type="auto"/>
            <w:vAlign w:val="center"/>
            <w:hideMark/>
          </w:tcPr>
          <w:p w14:paraId="1CDCB01C" w14:textId="77777777" w:rsidR="00E74747" w:rsidRPr="00D43584" w:rsidRDefault="00E74747" w:rsidP="000D5B7C">
            <w:pPr>
              <w:pStyle w:val="NoSpacing"/>
              <w:jc w:val="center"/>
              <w:rPr>
                <w:rFonts w:ascii="Times New Roman" w:hAnsi="Times New Roman" w:cs="Times New Roman"/>
                <w:szCs w:val="24"/>
              </w:rPr>
            </w:pPr>
            <w:r w:rsidRPr="00D43584">
              <w:rPr>
                <w:rFonts w:ascii="Times New Roman" w:hAnsi="Times New Roman" w:cs="Times New Roman"/>
                <w:szCs w:val="24"/>
              </w:rPr>
              <w:t>-295</w:t>
            </w:r>
          </w:p>
        </w:tc>
        <w:tc>
          <w:tcPr>
            <w:tcW w:w="0" w:type="auto"/>
            <w:vAlign w:val="center"/>
            <w:hideMark/>
          </w:tcPr>
          <w:p w14:paraId="595CD858" w14:textId="77777777" w:rsidR="00E74747" w:rsidRPr="00D43584" w:rsidRDefault="00E74747" w:rsidP="000D5B7C">
            <w:pPr>
              <w:pStyle w:val="NoSpacing"/>
              <w:jc w:val="center"/>
              <w:rPr>
                <w:rFonts w:ascii="Times New Roman" w:hAnsi="Times New Roman" w:cs="Times New Roman"/>
                <w:szCs w:val="24"/>
              </w:rPr>
            </w:pPr>
            <w:r w:rsidRPr="00D43584">
              <w:rPr>
                <w:rFonts w:ascii="Times New Roman" w:hAnsi="Times New Roman" w:cs="Times New Roman"/>
                <w:szCs w:val="24"/>
              </w:rPr>
              <w:t>-843</w:t>
            </w:r>
          </w:p>
        </w:tc>
        <w:tc>
          <w:tcPr>
            <w:tcW w:w="0" w:type="auto"/>
            <w:vAlign w:val="center"/>
            <w:hideMark/>
          </w:tcPr>
          <w:p w14:paraId="59E48E52" w14:textId="77777777" w:rsidR="00E74747" w:rsidRPr="00D43584" w:rsidRDefault="00E74747" w:rsidP="000D5B7C">
            <w:pPr>
              <w:pStyle w:val="NoSpacing"/>
              <w:jc w:val="center"/>
              <w:rPr>
                <w:rFonts w:ascii="Times New Roman" w:hAnsi="Times New Roman" w:cs="Times New Roman"/>
                <w:szCs w:val="24"/>
              </w:rPr>
            </w:pPr>
            <w:r w:rsidRPr="00D43584">
              <w:rPr>
                <w:rFonts w:ascii="Times New Roman" w:hAnsi="Times New Roman" w:cs="Times New Roman"/>
                <w:szCs w:val="24"/>
              </w:rPr>
              <w:t>+92</w:t>
            </w:r>
          </w:p>
        </w:tc>
        <w:tc>
          <w:tcPr>
            <w:tcW w:w="0" w:type="auto"/>
            <w:vAlign w:val="center"/>
            <w:hideMark/>
          </w:tcPr>
          <w:p w14:paraId="3034BE46" w14:textId="77777777" w:rsidR="00E74747" w:rsidRPr="00D43584" w:rsidRDefault="00E74747" w:rsidP="000D5B7C">
            <w:pPr>
              <w:pStyle w:val="NoSpacing"/>
              <w:jc w:val="center"/>
              <w:rPr>
                <w:rFonts w:ascii="Times New Roman" w:hAnsi="Times New Roman" w:cs="Times New Roman"/>
                <w:szCs w:val="24"/>
              </w:rPr>
            </w:pPr>
            <w:r w:rsidRPr="00D43584">
              <w:rPr>
                <w:rFonts w:ascii="Times New Roman" w:hAnsi="Times New Roman" w:cs="Times New Roman"/>
                <w:szCs w:val="24"/>
              </w:rPr>
              <w:t>-1072</w:t>
            </w:r>
          </w:p>
        </w:tc>
        <w:tc>
          <w:tcPr>
            <w:tcW w:w="0" w:type="auto"/>
            <w:vAlign w:val="center"/>
            <w:hideMark/>
          </w:tcPr>
          <w:p w14:paraId="72745F24" w14:textId="77777777" w:rsidR="00E74747" w:rsidRPr="00D43584" w:rsidRDefault="00E74747" w:rsidP="000D5B7C">
            <w:pPr>
              <w:pStyle w:val="NoSpacing"/>
              <w:jc w:val="center"/>
              <w:rPr>
                <w:rFonts w:ascii="Times New Roman" w:hAnsi="Times New Roman" w:cs="Times New Roman"/>
                <w:szCs w:val="24"/>
              </w:rPr>
            </w:pPr>
            <w:r w:rsidRPr="00D43584">
              <w:rPr>
                <w:rFonts w:ascii="Times New Roman" w:hAnsi="Times New Roman" w:cs="Times New Roman"/>
                <w:szCs w:val="24"/>
              </w:rPr>
              <w:t>-387</w:t>
            </w:r>
          </w:p>
        </w:tc>
        <w:tc>
          <w:tcPr>
            <w:tcW w:w="0" w:type="auto"/>
            <w:vAlign w:val="center"/>
            <w:hideMark/>
          </w:tcPr>
          <w:p w14:paraId="7572CE81" w14:textId="77777777" w:rsidR="00E74747" w:rsidRPr="00D43584" w:rsidRDefault="00E74747" w:rsidP="000D5B7C">
            <w:pPr>
              <w:pStyle w:val="NoSpacing"/>
              <w:jc w:val="center"/>
              <w:rPr>
                <w:rFonts w:ascii="Times New Roman" w:hAnsi="Times New Roman" w:cs="Times New Roman"/>
                <w:szCs w:val="24"/>
              </w:rPr>
            </w:pPr>
            <w:r w:rsidRPr="00D43584">
              <w:rPr>
                <w:rFonts w:ascii="Times New Roman" w:hAnsi="Times New Roman" w:cs="Times New Roman"/>
                <w:szCs w:val="24"/>
              </w:rPr>
              <w:t>-549</w:t>
            </w:r>
          </w:p>
        </w:tc>
        <w:tc>
          <w:tcPr>
            <w:tcW w:w="0" w:type="auto"/>
            <w:vAlign w:val="center"/>
            <w:hideMark/>
          </w:tcPr>
          <w:p w14:paraId="50691064" w14:textId="77777777" w:rsidR="00E74747" w:rsidRPr="00D43584" w:rsidRDefault="00E74747" w:rsidP="000D5B7C">
            <w:pPr>
              <w:pStyle w:val="NoSpacing"/>
              <w:jc w:val="center"/>
              <w:rPr>
                <w:rFonts w:ascii="Times New Roman" w:hAnsi="Times New Roman" w:cs="Times New Roman"/>
                <w:szCs w:val="24"/>
              </w:rPr>
            </w:pPr>
            <w:r w:rsidRPr="00D43584">
              <w:rPr>
                <w:rFonts w:ascii="Times New Roman" w:hAnsi="Times New Roman" w:cs="Times New Roman"/>
                <w:szCs w:val="24"/>
              </w:rPr>
              <w:t>-1277</w:t>
            </w:r>
          </w:p>
        </w:tc>
        <w:tc>
          <w:tcPr>
            <w:tcW w:w="0" w:type="auto"/>
            <w:vAlign w:val="center"/>
            <w:hideMark/>
          </w:tcPr>
          <w:p w14:paraId="69A6AAF6" w14:textId="77777777" w:rsidR="00E74747" w:rsidRPr="00D43584" w:rsidRDefault="00E74747" w:rsidP="000D5B7C">
            <w:pPr>
              <w:pStyle w:val="NoSpacing"/>
              <w:jc w:val="center"/>
              <w:rPr>
                <w:rFonts w:ascii="Times New Roman" w:hAnsi="Times New Roman" w:cs="Times New Roman"/>
                <w:szCs w:val="24"/>
              </w:rPr>
            </w:pPr>
            <w:r w:rsidRPr="00D43584">
              <w:rPr>
                <w:rFonts w:ascii="Times New Roman" w:hAnsi="Times New Roman" w:cs="Times New Roman"/>
                <w:szCs w:val="24"/>
              </w:rPr>
              <w:t>-2036</w:t>
            </w:r>
          </w:p>
        </w:tc>
        <w:tc>
          <w:tcPr>
            <w:tcW w:w="0" w:type="auto"/>
            <w:vAlign w:val="center"/>
            <w:hideMark/>
          </w:tcPr>
          <w:p w14:paraId="39F98904" w14:textId="77777777" w:rsidR="00E74747" w:rsidRPr="00D43584" w:rsidRDefault="00E74747" w:rsidP="000D5B7C">
            <w:pPr>
              <w:pStyle w:val="NoSpacing"/>
              <w:jc w:val="center"/>
              <w:rPr>
                <w:rFonts w:ascii="Times New Roman" w:hAnsi="Times New Roman" w:cs="Times New Roman"/>
                <w:szCs w:val="24"/>
              </w:rPr>
            </w:pPr>
            <w:r w:rsidRPr="00D43584">
              <w:rPr>
                <w:rFonts w:ascii="Times New Roman" w:hAnsi="Times New Roman" w:cs="Times New Roman"/>
                <w:szCs w:val="24"/>
              </w:rPr>
              <w:t>-2633</w:t>
            </w:r>
          </w:p>
        </w:tc>
      </w:tr>
      <w:tr w:rsidR="00E74747" w:rsidRPr="00D43584" w14:paraId="3E743352" w14:textId="77777777" w:rsidTr="000D5B7C">
        <w:trPr>
          <w:trHeight w:val="397"/>
          <w:jc w:val="center"/>
        </w:trPr>
        <w:tc>
          <w:tcPr>
            <w:tcW w:w="0" w:type="auto"/>
            <w:vAlign w:val="center"/>
            <w:hideMark/>
          </w:tcPr>
          <w:p w14:paraId="64C51F6A" w14:textId="77777777" w:rsidR="00E74747" w:rsidRPr="000D5B7C" w:rsidRDefault="00E74747" w:rsidP="000D5B7C">
            <w:pPr>
              <w:pStyle w:val="NoSpacing"/>
              <w:jc w:val="center"/>
              <w:rPr>
                <w:rFonts w:ascii="Times New Roman" w:hAnsi="Times New Roman" w:cs="Times New Roman"/>
                <w:szCs w:val="24"/>
              </w:rPr>
            </w:pPr>
            <w:r w:rsidRPr="000D5B7C">
              <w:rPr>
                <w:rFonts w:ascii="Times New Roman" w:hAnsi="Times New Roman" w:cs="Times New Roman"/>
                <w:szCs w:val="24"/>
              </w:rPr>
              <w:t>Gujarat</w:t>
            </w:r>
          </w:p>
        </w:tc>
        <w:tc>
          <w:tcPr>
            <w:tcW w:w="0" w:type="auto"/>
            <w:vAlign w:val="center"/>
            <w:hideMark/>
          </w:tcPr>
          <w:p w14:paraId="79531C6A" w14:textId="77777777" w:rsidR="00E74747" w:rsidRPr="000D5B7C" w:rsidRDefault="00E74747" w:rsidP="000D5B7C">
            <w:pPr>
              <w:pStyle w:val="NoSpacing"/>
              <w:jc w:val="center"/>
              <w:rPr>
                <w:rFonts w:ascii="Times New Roman" w:hAnsi="Times New Roman" w:cs="Times New Roman"/>
                <w:szCs w:val="24"/>
              </w:rPr>
            </w:pPr>
            <w:r w:rsidRPr="000D5B7C">
              <w:rPr>
                <w:rFonts w:ascii="Times New Roman" w:hAnsi="Times New Roman" w:cs="Times New Roman"/>
                <w:szCs w:val="24"/>
              </w:rPr>
              <w:t>Revenue</w:t>
            </w:r>
          </w:p>
        </w:tc>
        <w:tc>
          <w:tcPr>
            <w:tcW w:w="0" w:type="auto"/>
            <w:vAlign w:val="center"/>
            <w:hideMark/>
          </w:tcPr>
          <w:p w14:paraId="047618D4" w14:textId="77777777" w:rsidR="00E74747" w:rsidRPr="00D43584" w:rsidRDefault="00E74747" w:rsidP="000D5B7C">
            <w:pPr>
              <w:pStyle w:val="NoSpacing"/>
              <w:jc w:val="center"/>
              <w:rPr>
                <w:rFonts w:ascii="Times New Roman" w:hAnsi="Times New Roman" w:cs="Times New Roman"/>
                <w:szCs w:val="24"/>
              </w:rPr>
            </w:pPr>
            <w:r w:rsidRPr="00D43584">
              <w:rPr>
                <w:rFonts w:ascii="Times New Roman" w:hAnsi="Times New Roman" w:cs="Times New Roman"/>
                <w:szCs w:val="24"/>
              </w:rPr>
              <w:t>-368</w:t>
            </w:r>
          </w:p>
        </w:tc>
        <w:tc>
          <w:tcPr>
            <w:tcW w:w="0" w:type="auto"/>
            <w:vAlign w:val="center"/>
            <w:hideMark/>
          </w:tcPr>
          <w:p w14:paraId="41A33C7B" w14:textId="77777777" w:rsidR="00E74747" w:rsidRPr="00D43584" w:rsidRDefault="00E74747" w:rsidP="000D5B7C">
            <w:pPr>
              <w:pStyle w:val="NoSpacing"/>
              <w:jc w:val="center"/>
              <w:rPr>
                <w:rFonts w:ascii="Times New Roman" w:hAnsi="Times New Roman" w:cs="Times New Roman"/>
                <w:szCs w:val="24"/>
              </w:rPr>
            </w:pPr>
            <w:r w:rsidRPr="00D43584">
              <w:rPr>
                <w:rFonts w:ascii="Times New Roman" w:hAnsi="Times New Roman" w:cs="Times New Roman"/>
                <w:szCs w:val="24"/>
              </w:rPr>
              <w:t>+326</w:t>
            </w:r>
          </w:p>
        </w:tc>
        <w:tc>
          <w:tcPr>
            <w:tcW w:w="0" w:type="auto"/>
            <w:vAlign w:val="center"/>
            <w:hideMark/>
          </w:tcPr>
          <w:p w14:paraId="2E540EC1" w14:textId="77777777" w:rsidR="00E74747" w:rsidRPr="00D43584" w:rsidRDefault="00E74747" w:rsidP="000D5B7C">
            <w:pPr>
              <w:pStyle w:val="NoSpacing"/>
              <w:jc w:val="center"/>
              <w:rPr>
                <w:rFonts w:ascii="Times New Roman" w:hAnsi="Times New Roman" w:cs="Times New Roman"/>
                <w:szCs w:val="24"/>
              </w:rPr>
            </w:pPr>
            <w:r w:rsidRPr="00D43584">
              <w:rPr>
                <w:rFonts w:ascii="Times New Roman" w:hAnsi="Times New Roman" w:cs="Times New Roman"/>
                <w:szCs w:val="24"/>
              </w:rPr>
              <w:t>+719</w:t>
            </w:r>
          </w:p>
        </w:tc>
        <w:tc>
          <w:tcPr>
            <w:tcW w:w="0" w:type="auto"/>
            <w:vAlign w:val="center"/>
            <w:hideMark/>
          </w:tcPr>
          <w:p w14:paraId="69C6D44F" w14:textId="77777777" w:rsidR="00E74747" w:rsidRPr="00D43584" w:rsidRDefault="00E74747" w:rsidP="000D5B7C">
            <w:pPr>
              <w:pStyle w:val="NoSpacing"/>
              <w:jc w:val="center"/>
              <w:rPr>
                <w:rFonts w:ascii="Times New Roman" w:hAnsi="Times New Roman" w:cs="Times New Roman"/>
                <w:szCs w:val="24"/>
              </w:rPr>
            </w:pPr>
            <w:r w:rsidRPr="00D43584">
              <w:rPr>
                <w:rFonts w:ascii="Times New Roman" w:hAnsi="Times New Roman" w:cs="Times New Roman"/>
                <w:szCs w:val="24"/>
              </w:rPr>
              <w:t>+368</w:t>
            </w:r>
          </w:p>
        </w:tc>
        <w:tc>
          <w:tcPr>
            <w:tcW w:w="0" w:type="auto"/>
            <w:vAlign w:val="center"/>
            <w:hideMark/>
          </w:tcPr>
          <w:p w14:paraId="0BCBBE82" w14:textId="77777777" w:rsidR="00E74747" w:rsidRPr="00D43584" w:rsidRDefault="00E74747" w:rsidP="000D5B7C">
            <w:pPr>
              <w:pStyle w:val="NoSpacing"/>
              <w:jc w:val="center"/>
              <w:rPr>
                <w:rFonts w:ascii="Times New Roman" w:hAnsi="Times New Roman" w:cs="Times New Roman"/>
                <w:szCs w:val="24"/>
              </w:rPr>
            </w:pPr>
            <w:r w:rsidRPr="00D43584">
              <w:rPr>
                <w:rFonts w:ascii="Times New Roman" w:hAnsi="Times New Roman" w:cs="Times New Roman"/>
                <w:szCs w:val="24"/>
              </w:rPr>
              <w:t>+378</w:t>
            </w:r>
          </w:p>
        </w:tc>
        <w:tc>
          <w:tcPr>
            <w:tcW w:w="0" w:type="auto"/>
            <w:vAlign w:val="center"/>
            <w:hideMark/>
          </w:tcPr>
          <w:p w14:paraId="2258329B" w14:textId="77777777" w:rsidR="00E74747" w:rsidRPr="00D43584" w:rsidRDefault="00E74747" w:rsidP="000D5B7C">
            <w:pPr>
              <w:pStyle w:val="NoSpacing"/>
              <w:jc w:val="center"/>
              <w:rPr>
                <w:rFonts w:ascii="Times New Roman" w:hAnsi="Times New Roman" w:cs="Times New Roman"/>
                <w:szCs w:val="24"/>
              </w:rPr>
            </w:pPr>
            <w:r w:rsidRPr="00D43584">
              <w:rPr>
                <w:rFonts w:ascii="Times New Roman" w:hAnsi="Times New Roman" w:cs="Times New Roman"/>
                <w:szCs w:val="24"/>
              </w:rPr>
              <w:t>+583</w:t>
            </w:r>
          </w:p>
        </w:tc>
        <w:tc>
          <w:tcPr>
            <w:tcW w:w="0" w:type="auto"/>
            <w:vAlign w:val="center"/>
            <w:hideMark/>
          </w:tcPr>
          <w:p w14:paraId="2C9A32AF" w14:textId="77777777" w:rsidR="00E74747" w:rsidRPr="00D43584" w:rsidRDefault="00E74747" w:rsidP="000D5B7C">
            <w:pPr>
              <w:pStyle w:val="NoSpacing"/>
              <w:jc w:val="center"/>
              <w:rPr>
                <w:rFonts w:ascii="Times New Roman" w:hAnsi="Times New Roman" w:cs="Times New Roman"/>
                <w:szCs w:val="24"/>
              </w:rPr>
            </w:pPr>
            <w:r w:rsidRPr="00D43584">
              <w:rPr>
                <w:rFonts w:ascii="Times New Roman" w:hAnsi="Times New Roman" w:cs="Times New Roman"/>
                <w:szCs w:val="24"/>
              </w:rPr>
              <w:t>+687</w:t>
            </w:r>
          </w:p>
        </w:tc>
        <w:tc>
          <w:tcPr>
            <w:tcW w:w="0" w:type="auto"/>
            <w:vAlign w:val="center"/>
            <w:hideMark/>
          </w:tcPr>
          <w:p w14:paraId="32973D44" w14:textId="77777777" w:rsidR="00E74747" w:rsidRPr="00D43584" w:rsidRDefault="00E74747" w:rsidP="000D5B7C">
            <w:pPr>
              <w:pStyle w:val="NoSpacing"/>
              <w:jc w:val="center"/>
              <w:rPr>
                <w:rFonts w:ascii="Times New Roman" w:hAnsi="Times New Roman" w:cs="Times New Roman"/>
                <w:szCs w:val="24"/>
              </w:rPr>
            </w:pPr>
            <w:r w:rsidRPr="00D43584">
              <w:rPr>
                <w:rFonts w:ascii="Times New Roman" w:hAnsi="Times New Roman" w:cs="Times New Roman"/>
                <w:szCs w:val="24"/>
              </w:rPr>
              <w:t>+403</w:t>
            </w:r>
          </w:p>
        </w:tc>
        <w:tc>
          <w:tcPr>
            <w:tcW w:w="0" w:type="auto"/>
            <w:vAlign w:val="center"/>
            <w:hideMark/>
          </w:tcPr>
          <w:p w14:paraId="6F161D70" w14:textId="4032E646" w:rsidR="00E74747" w:rsidRPr="00D43584" w:rsidRDefault="00E74747" w:rsidP="000D5B7C">
            <w:pPr>
              <w:pStyle w:val="NoSpacing"/>
              <w:jc w:val="center"/>
              <w:rPr>
                <w:rFonts w:ascii="Times New Roman" w:hAnsi="Times New Roman" w:cs="Times New Roman"/>
                <w:szCs w:val="24"/>
              </w:rPr>
            </w:pPr>
            <w:r w:rsidRPr="00D43584">
              <w:rPr>
                <w:rFonts w:ascii="Times New Roman" w:hAnsi="Times New Roman" w:cs="Times New Roman"/>
                <w:szCs w:val="24"/>
              </w:rPr>
              <w:t>+13</w:t>
            </w:r>
            <w:r w:rsidR="00203F24" w:rsidRPr="00D43584">
              <w:rPr>
                <w:rFonts w:ascii="Times New Roman" w:hAnsi="Times New Roman" w:cs="Times New Roman"/>
                <w:szCs w:val="24"/>
              </w:rPr>
              <w:t>0</w:t>
            </w:r>
            <w:r w:rsidRPr="00D43584">
              <w:rPr>
                <w:rFonts w:ascii="Times New Roman" w:hAnsi="Times New Roman" w:cs="Times New Roman"/>
                <w:szCs w:val="24"/>
              </w:rPr>
              <w:t>0</w:t>
            </w:r>
          </w:p>
        </w:tc>
      </w:tr>
      <w:tr w:rsidR="00E74747" w:rsidRPr="00D43584" w14:paraId="7E2E07BD" w14:textId="77777777" w:rsidTr="000D5B7C">
        <w:trPr>
          <w:trHeight w:val="397"/>
          <w:jc w:val="center"/>
        </w:trPr>
        <w:tc>
          <w:tcPr>
            <w:tcW w:w="0" w:type="auto"/>
            <w:vAlign w:val="center"/>
            <w:hideMark/>
          </w:tcPr>
          <w:p w14:paraId="0AE19E58" w14:textId="77777777" w:rsidR="00E74747" w:rsidRPr="000D5B7C" w:rsidRDefault="00E74747" w:rsidP="000D5B7C">
            <w:pPr>
              <w:pStyle w:val="NoSpacing"/>
              <w:jc w:val="center"/>
              <w:rPr>
                <w:rFonts w:ascii="Times New Roman" w:hAnsi="Times New Roman" w:cs="Times New Roman"/>
                <w:szCs w:val="24"/>
              </w:rPr>
            </w:pPr>
          </w:p>
        </w:tc>
        <w:tc>
          <w:tcPr>
            <w:tcW w:w="0" w:type="auto"/>
            <w:vAlign w:val="center"/>
            <w:hideMark/>
          </w:tcPr>
          <w:p w14:paraId="0C84495F" w14:textId="77777777" w:rsidR="00E74747" w:rsidRPr="000D5B7C" w:rsidRDefault="00E74747" w:rsidP="000D5B7C">
            <w:pPr>
              <w:pStyle w:val="NoSpacing"/>
              <w:jc w:val="center"/>
              <w:rPr>
                <w:rFonts w:ascii="Times New Roman" w:hAnsi="Times New Roman" w:cs="Times New Roman"/>
                <w:szCs w:val="24"/>
              </w:rPr>
            </w:pPr>
            <w:r w:rsidRPr="000D5B7C">
              <w:rPr>
                <w:rFonts w:ascii="Times New Roman" w:hAnsi="Times New Roman" w:cs="Times New Roman"/>
                <w:szCs w:val="24"/>
              </w:rPr>
              <w:t>Capital</w:t>
            </w:r>
          </w:p>
        </w:tc>
        <w:tc>
          <w:tcPr>
            <w:tcW w:w="0" w:type="auto"/>
            <w:vAlign w:val="center"/>
            <w:hideMark/>
          </w:tcPr>
          <w:p w14:paraId="49FF8C37" w14:textId="77777777" w:rsidR="00E74747" w:rsidRPr="00D43584" w:rsidRDefault="00E74747" w:rsidP="000D5B7C">
            <w:pPr>
              <w:pStyle w:val="NoSpacing"/>
              <w:jc w:val="center"/>
              <w:rPr>
                <w:rFonts w:ascii="Times New Roman" w:hAnsi="Times New Roman" w:cs="Times New Roman"/>
                <w:szCs w:val="24"/>
              </w:rPr>
            </w:pPr>
            <w:r w:rsidRPr="00D43584">
              <w:rPr>
                <w:rFonts w:ascii="Times New Roman" w:hAnsi="Times New Roman" w:cs="Times New Roman"/>
                <w:szCs w:val="24"/>
              </w:rPr>
              <w:t>-195</w:t>
            </w:r>
          </w:p>
        </w:tc>
        <w:tc>
          <w:tcPr>
            <w:tcW w:w="0" w:type="auto"/>
            <w:vAlign w:val="center"/>
            <w:hideMark/>
          </w:tcPr>
          <w:p w14:paraId="6BB2F77D" w14:textId="77777777" w:rsidR="00E74747" w:rsidRPr="00D43584" w:rsidRDefault="00E74747" w:rsidP="000D5B7C">
            <w:pPr>
              <w:pStyle w:val="NoSpacing"/>
              <w:jc w:val="center"/>
              <w:rPr>
                <w:rFonts w:ascii="Times New Roman" w:hAnsi="Times New Roman" w:cs="Times New Roman"/>
                <w:szCs w:val="24"/>
              </w:rPr>
            </w:pPr>
            <w:r w:rsidRPr="00D43584">
              <w:rPr>
                <w:rFonts w:ascii="Times New Roman" w:hAnsi="Times New Roman" w:cs="Times New Roman"/>
                <w:szCs w:val="24"/>
              </w:rPr>
              <w:t>+394</w:t>
            </w:r>
          </w:p>
        </w:tc>
        <w:tc>
          <w:tcPr>
            <w:tcW w:w="0" w:type="auto"/>
            <w:vAlign w:val="center"/>
            <w:hideMark/>
          </w:tcPr>
          <w:p w14:paraId="4BCD6AA0" w14:textId="77777777" w:rsidR="00E74747" w:rsidRPr="00D43584" w:rsidRDefault="00E74747" w:rsidP="000D5B7C">
            <w:pPr>
              <w:pStyle w:val="NoSpacing"/>
              <w:jc w:val="center"/>
              <w:rPr>
                <w:rFonts w:ascii="Times New Roman" w:hAnsi="Times New Roman" w:cs="Times New Roman"/>
                <w:szCs w:val="24"/>
              </w:rPr>
            </w:pPr>
            <w:r w:rsidRPr="00D43584">
              <w:rPr>
                <w:rFonts w:ascii="Times New Roman" w:hAnsi="Times New Roman" w:cs="Times New Roman"/>
                <w:szCs w:val="24"/>
              </w:rPr>
              <w:t>-401</w:t>
            </w:r>
          </w:p>
        </w:tc>
        <w:tc>
          <w:tcPr>
            <w:tcW w:w="0" w:type="auto"/>
            <w:vAlign w:val="center"/>
            <w:hideMark/>
          </w:tcPr>
          <w:p w14:paraId="22804B7A" w14:textId="77777777" w:rsidR="00E74747" w:rsidRPr="00D43584" w:rsidRDefault="00E74747" w:rsidP="000D5B7C">
            <w:pPr>
              <w:pStyle w:val="NoSpacing"/>
              <w:jc w:val="center"/>
              <w:rPr>
                <w:rFonts w:ascii="Times New Roman" w:hAnsi="Times New Roman" w:cs="Times New Roman"/>
                <w:szCs w:val="24"/>
              </w:rPr>
            </w:pPr>
            <w:r w:rsidRPr="00D43584">
              <w:rPr>
                <w:rFonts w:ascii="Times New Roman" w:hAnsi="Times New Roman" w:cs="Times New Roman"/>
                <w:szCs w:val="24"/>
              </w:rPr>
              <w:t>-514</w:t>
            </w:r>
          </w:p>
        </w:tc>
        <w:tc>
          <w:tcPr>
            <w:tcW w:w="0" w:type="auto"/>
            <w:vAlign w:val="center"/>
            <w:hideMark/>
          </w:tcPr>
          <w:p w14:paraId="2EDC4882" w14:textId="77777777" w:rsidR="00E74747" w:rsidRPr="00D43584" w:rsidRDefault="00E74747" w:rsidP="000D5B7C">
            <w:pPr>
              <w:pStyle w:val="NoSpacing"/>
              <w:jc w:val="center"/>
              <w:rPr>
                <w:rFonts w:ascii="Times New Roman" w:hAnsi="Times New Roman" w:cs="Times New Roman"/>
                <w:szCs w:val="24"/>
              </w:rPr>
            </w:pPr>
            <w:r w:rsidRPr="00D43584">
              <w:rPr>
                <w:rFonts w:ascii="Times New Roman" w:hAnsi="Times New Roman" w:cs="Times New Roman"/>
                <w:szCs w:val="24"/>
              </w:rPr>
              <w:t>-19</w:t>
            </w:r>
          </w:p>
        </w:tc>
        <w:tc>
          <w:tcPr>
            <w:tcW w:w="0" w:type="auto"/>
            <w:vAlign w:val="center"/>
            <w:hideMark/>
          </w:tcPr>
          <w:p w14:paraId="53D67E1D" w14:textId="77777777" w:rsidR="00E74747" w:rsidRPr="00D43584" w:rsidRDefault="00E74747" w:rsidP="000D5B7C">
            <w:pPr>
              <w:pStyle w:val="NoSpacing"/>
              <w:jc w:val="center"/>
              <w:rPr>
                <w:rFonts w:ascii="Times New Roman" w:hAnsi="Times New Roman" w:cs="Times New Roman"/>
                <w:szCs w:val="24"/>
              </w:rPr>
            </w:pPr>
            <w:r w:rsidRPr="00D43584">
              <w:rPr>
                <w:rFonts w:ascii="Times New Roman" w:hAnsi="Times New Roman" w:cs="Times New Roman"/>
                <w:szCs w:val="24"/>
              </w:rPr>
              <w:t>-578</w:t>
            </w:r>
          </w:p>
        </w:tc>
        <w:tc>
          <w:tcPr>
            <w:tcW w:w="0" w:type="auto"/>
            <w:vAlign w:val="center"/>
            <w:hideMark/>
          </w:tcPr>
          <w:p w14:paraId="66B10509" w14:textId="77777777" w:rsidR="00E74747" w:rsidRPr="00D43584" w:rsidRDefault="00E74747" w:rsidP="000D5B7C">
            <w:pPr>
              <w:pStyle w:val="NoSpacing"/>
              <w:jc w:val="center"/>
              <w:rPr>
                <w:rFonts w:ascii="Times New Roman" w:hAnsi="Times New Roman" w:cs="Times New Roman"/>
                <w:szCs w:val="24"/>
              </w:rPr>
            </w:pPr>
            <w:r w:rsidRPr="00D43584">
              <w:rPr>
                <w:rFonts w:ascii="Times New Roman" w:hAnsi="Times New Roman" w:cs="Times New Roman"/>
                <w:szCs w:val="24"/>
              </w:rPr>
              <w:t>-1062</w:t>
            </w:r>
          </w:p>
        </w:tc>
        <w:tc>
          <w:tcPr>
            <w:tcW w:w="0" w:type="auto"/>
            <w:vAlign w:val="center"/>
            <w:hideMark/>
          </w:tcPr>
          <w:p w14:paraId="301B16B1" w14:textId="77777777" w:rsidR="00E74747" w:rsidRPr="00D43584" w:rsidRDefault="00E74747" w:rsidP="000D5B7C">
            <w:pPr>
              <w:pStyle w:val="NoSpacing"/>
              <w:jc w:val="center"/>
              <w:rPr>
                <w:rFonts w:ascii="Times New Roman" w:hAnsi="Times New Roman" w:cs="Times New Roman"/>
                <w:szCs w:val="24"/>
              </w:rPr>
            </w:pPr>
            <w:r w:rsidRPr="00D43584">
              <w:rPr>
                <w:rFonts w:ascii="Times New Roman" w:hAnsi="Times New Roman" w:cs="Times New Roman"/>
                <w:szCs w:val="24"/>
              </w:rPr>
              <w:t>-18</w:t>
            </w:r>
          </w:p>
        </w:tc>
        <w:tc>
          <w:tcPr>
            <w:tcW w:w="0" w:type="auto"/>
            <w:vAlign w:val="center"/>
            <w:hideMark/>
          </w:tcPr>
          <w:p w14:paraId="1A4257C6" w14:textId="77777777" w:rsidR="00E74747" w:rsidRPr="00D43584" w:rsidRDefault="00E74747" w:rsidP="000D5B7C">
            <w:pPr>
              <w:pStyle w:val="NoSpacing"/>
              <w:jc w:val="center"/>
              <w:rPr>
                <w:rFonts w:ascii="Times New Roman" w:hAnsi="Times New Roman" w:cs="Times New Roman"/>
                <w:szCs w:val="24"/>
              </w:rPr>
            </w:pPr>
            <w:r w:rsidRPr="00D43584">
              <w:rPr>
                <w:rFonts w:ascii="Times New Roman" w:hAnsi="Times New Roman" w:cs="Times New Roman"/>
                <w:szCs w:val="24"/>
              </w:rPr>
              <w:t>-1442</w:t>
            </w:r>
          </w:p>
        </w:tc>
      </w:tr>
      <w:tr w:rsidR="00E74747" w:rsidRPr="00D43584" w14:paraId="4157B8BD" w14:textId="77777777" w:rsidTr="000D5B7C">
        <w:trPr>
          <w:trHeight w:val="397"/>
          <w:jc w:val="center"/>
        </w:trPr>
        <w:tc>
          <w:tcPr>
            <w:tcW w:w="0" w:type="auto"/>
            <w:vAlign w:val="center"/>
            <w:hideMark/>
          </w:tcPr>
          <w:p w14:paraId="46EBE26F" w14:textId="77777777" w:rsidR="00E74747" w:rsidRPr="000D5B7C" w:rsidRDefault="00E74747" w:rsidP="000D5B7C">
            <w:pPr>
              <w:pStyle w:val="NoSpacing"/>
              <w:jc w:val="center"/>
              <w:rPr>
                <w:rFonts w:ascii="Times New Roman" w:hAnsi="Times New Roman" w:cs="Times New Roman"/>
                <w:szCs w:val="24"/>
              </w:rPr>
            </w:pPr>
          </w:p>
        </w:tc>
        <w:tc>
          <w:tcPr>
            <w:tcW w:w="0" w:type="auto"/>
            <w:vAlign w:val="center"/>
            <w:hideMark/>
          </w:tcPr>
          <w:p w14:paraId="625A9111" w14:textId="77777777" w:rsidR="00E74747" w:rsidRPr="000D5B7C" w:rsidRDefault="00E74747" w:rsidP="000D5B7C">
            <w:pPr>
              <w:pStyle w:val="NoSpacing"/>
              <w:jc w:val="center"/>
              <w:rPr>
                <w:rFonts w:ascii="Times New Roman" w:hAnsi="Times New Roman" w:cs="Times New Roman"/>
                <w:szCs w:val="24"/>
              </w:rPr>
            </w:pPr>
            <w:r w:rsidRPr="000D5B7C">
              <w:rPr>
                <w:rFonts w:ascii="Times New Roman" w:hAnsi="Times New Roman" w:cs="Times New Roman"/>
                <w:szCs w:val="24"/>
              </w:rPr>
              <w:t>Overall</w:t>
            </w:r>
          </w:p>
        </w:tc>
        <w:tc>
          <w:tcPr>
            <w:tcW w:w="0" w:type="auto"/>
            <w:vAlign w:val="center"/>
            <w:hideMark/>
          </w:tcPr>
          <w:p w14:paraId="477C23B9" w14:textId="77777777" w:rsidR="00E74747" w:rsidRPr="00D43584" w:rsidRDefault="00E74747" w:rsidP="000D5B7C">
            <w:pPr>
              <w:pStyle w:val="NoSpacing"/>
              <w:jc w:val="center"/>
              <w:rPr>
                <w:rFonts w:ascii="Times New Roman" w:hAnsi="Times New Roman" w:cs="Times New Roman"/>
                <w:szCs w:val="24"/>
              </w:rPr>
            </w:pPr>
            <w:r w:rsidRPr="00D43584">
              <w:rPr>
                <w:rFonts w:ascii="Times New Roman" w:hAnsi="Times New Roman" w:cs="Times New Roman"/>
                <w:szCs w:val="24"/>
              </w:rPr>
              <w:t>-563</w:t>
            </w:r>
          </w:p>
        </w:tc>
        <w:tc>
          <w:tcPr>
            <w:tcW w:w="0" w:type="auto"/>
            <w:vAlign w:val="center"/>
            <w:hideMark/>
          </w:tcPr>
          <w:p w14:paraId="0073554A" w14:textId="77777777" w:rsidR="00E74747" w:rsidRPr="00D43584" w:rsidRDefault="00E74747" w:rsidP="000D5B7C">
            <w:pPr>
              <w:pStyle w:val="NoSpacing"/>
              <w:jc w:val="center"/>
              <w:rPr>
                <w:rFonts w:ascii="Times New Roman" w:hAnsi="Times New Roman" w:cs="Times New Roman"/>
                <w:szCs w:val="24"/>
              </w:rPr>
            </w:pPr>
            <w:r w:rsidRPr="00D43584">
              <w:rPr>
                <w:rFonts w:ascii="Times New Roman" w:hAnsi="Times New Roman" w:cs="Times New Roman"/>
                <w:szCs w:val="24"/>
              </w:rPr>
              <w:t>+720</w:t>
            </w:r>
          </w:p>
        </w:tc>
        <w:tc>
          <w:tcPr>
            <w:tcW w:w="0" w:type="auto"/>
            <w:vAlign w:val="center"/>
            <w:hideMark/>
          </w:tcPr>
          <w:p w14:paraId="639BACA1" w14:textId="77777777" w:rsidR="00E74747" w:rsidRPr="00D43584" w:rsidRDefault="00E74747" w:rsidP="000D5B7C">
            <w:pPr>
              <w:pStyle w:val="NoSpacing"/>
              <w:jc w:val="center"/>
              <w:rPr>
                <w:rFonts w:ascii="Times New Roman" w:hAnsi="Times New Roman" w:cs="Times New Roman"/>
                <w:szCs w:val="24"/>
              </w:rPr>
            </w:pPr>
            <w:r w:rsidRPr="00D43584">
              <w:rPr>
                <w:rFonts w:ascii="Times New Roman" w:hAnsi="Times New Roman" w:cs="Times New Roman"/>
                <w:szCs w:val="24"/>
              </w:rPr>
              <w:t>+318</w:t>
            </w:r>
          </w:p>
        </w:tc>
        <w:tc>
          <w:tcPr>
            <w:tcW w:w="0" w:type="auto"/>
            <w:vAlign w:val="center"/>
            <w:hideMark/>
          </w:tcPr>
          <w:p w14:paraId="663A97E5" w14:textId="77777777" w:rsidR="00E74747" w:rsidRPr="00D43584" w:rsidRDefault="00E74747" w:rsidP="000D5B7C">
            <w:pPr>
              <w:pStyle w:val="NoSpacing"/>
              <w:jc w:val="center"/>
              <w:rPr>
                <w:rFonts w:ascii="Times New Roman" w:hAnsi="Times New Roman" w:cs="Times New Roman"/>
                <w:szCs w:val="24"/>
              </w:rPr>
            </w:pPr>
            <w:r w:rsidRPr="00D43584">
              <w:rPr>
                <w:rFonts w:ascii="Times New Roman" w:hAnsi="Times New Roman" w:cs="Times New Roman"/>
                <w:szCs w:val="24"/>
              </w:rPr>
              <w:t>-146</w:t>
            </w:r>
          </w:p>
        </w:tc>
        <w:tc>
          <w:tcPr>
            <w:tcW w:w="0" w:type="auto"/>
            <w:vAlign w:val="center"/>
            <w:hideMark/>
          </w:tcPr>
          <w:p w14:paraId="70E217B6" w14:textId="77777777" w:rsidR="00E74747" w:rsidRPr="00D43584" w:rsidRDefault="00E74747" w:rsidP="000D5B7C">
            <w:pPr>
              <w:pStyle w:val="NoSpacing"/>
              <w:jc w:val="center"/>
              <w:rPr>
                <w:rFonts w:ascii="Times New Roman" w:hAnsi="Times New Roman" w:cs="Times New Roman"/>
                <w:szCs w:val="24"/>
              </w:rPr>
            </w:pPr>
            <w:r w:rsidRPr="00D43584">
              <w:rPr>
                <w:rFonts w:ascii="Times New Roman" w:hAnsi="Times New Roman" w:cs="Times New Roman"/>
                <w:szCs w:val="24"/>
              </w:rPr>
              <w:t>+359</w:t>
            </w:r>
          </w:p>
        </w:tc>
        <w:tc>
          <w:tcPr>
            <w:tcW w:w="0" w:type="auto"/>
            <w:vAlign w:val="center"/>
            <w:hideMark/>
          </w:tcPr>
          <w:p w14:paraId="2CB4940F" w14:textId="77777777" w:rsidR="00E74747" w:rsidRPr="00D43584" w:rsidRDefault="00E74747" w:rsidP="000D5B7C">
            <w:pPr>
              <w:pStyle w:val="NoSpacing"/>
              <w:jc w:val="center"/>
              <w:rPr>
                <w:rFonts w:ascii="Times New Roman" w:hAnsi="Times New Roman" w:cs="Times New Roman"/>
                <w:szCs w:val="24"/>
              </w:rPr>
            </w:pPr>
            <w:r w:rsidRPr="00D43584">
              <w:rPr>
                <w:rFonts w:ascii="Times New Roman" w:hAnsi="Times New Roman" w:cs="Times New Roman"/>
                <w:szCs w:val="24"/>
              </w:rPr>
              <w:t>+5</w:t>
            </w:r>
          </w:p>
        </w:tc>
        <w:tc>
          <w:tcPr>
            <w:tcW w:w="0" w:type="auto"/>
            <w:vAlign w:val="center"/>
            <w:hideMark/>
          </w:tcPr>
          <w:p w14:paraId="26A0CF81" w14:textId="77777777" w:rsidR="00E74747" w:rsidRPr="00D43584" w:rsidRDefault="00E74747" w:rsidP="000D5B7C">
            <w:pPr>
              <w:pStyle w:val="NoSpacing"/>
              <w:jc w:val="center"/>
              <w:rPr>
                <w:rFonts w:ascii="Times New Roman" w:hAnsi="Times New Roman" w:cs="Times New Roman"/>
                <w:szCs w:val="24"/>
              </w:rPr>
            </w:pPr>
            <w:r w:rsidRPr="00D43584">
              <w:rPr>
                <w:rFonts w:ascii="Times New Roman" w:hAnsi="Times New Roman" w:cs="Times New Roman"/>
                <w:szCs w:val="24"/>
              </w:rPr>
              <w:t>-375</w:t>
            </w:r>
          </w:p>
        </w:tc>
        <w:tc>
          <w:tcPr>
            <w:tcW w:w="0" w:type="auto"/>
            <w:vAlign w:val="center"/>
            <w:hideMark/>
          </w:tcPr>
          <w:p w14:paraId="0245495B" w14:textId="77777777" w:rsidR="00E74747" w:rsidRPr="00D43584" w:rsidRDefault="00E74747" w:rsidP="000D5B7C">
            <w:pPr>
              <w:pStyle w:val="NoSpacing"/>
              <w:jc w:val="center"/>
              <w:rPr>
                <w:rFonts w:ascii="Times New Roman" w:hAnsi="Times New Roman" w:cs="Times New Roman"/>
                <w:szCs w:val="24"/>
              </w:rPr>
            </w:pPr>
            <w:r w:rsidRPr="00D43584">
              <w:rPr>
                <w:rFonts w:ascii="Times New Roman" w:hAnsi="Times New Roman" w:cs="Times New Roman"/>
                <w:szCs w:val="24"/>
              </w:rPr>
              <w:t>+385</w:t>
            </w:r>
          </w:p>
        </w:tc>
        <w:tc>
          <w:tcPr>
            <w:tcW w:w="0" w:type="auto"/>
            <w:vAlign w:val="center"/>
            <w:hideMark/>
          </w:tcPr>
          <w:p w14:paraId="371BD218" w14:textId="77777777" w:rsidR="00E74747" w:rsidRPr="00D43584" w:rsidRDefault="00E74747" w:rsidP="000D5B7C">
            <w:pPr>
              <w:pStyle w:val="NoSpacing"/>
              <w:jc w:val="center"/>
              <w:rPr>
                <w:rFonts w:ascii="Times New Roman" w:hAnsi="Times New Roman" w:cs="Times New Roman"/>
                <w:szCs w:val="24"/>
              </w:rPr>
            </w:pPr>
            <w:r w:rsidRPr="00D43584">
              <w:rPr>
                <w:rFonts w:ascii="Times New Roman" w:hAnsi="Times New Roman" w:cs="Times New Roman"/>
                <w:szCs w:val="24"/>
              </w:rPr>
              <w:t>-52</w:t>
            </w:r>
          </w:p>
        </w:tc>
      </w:tr>
      <w:tr w:rsidR="00E74747" w:rsidRPr="00D43584" w14:paraId="7DA2BCD6" w14:textId="77777777" w:rsidTr="000D5B7C">
        <w:trPr>
          <w:trHeight w:val="397"/>
          <w:jc w:val="center"/>
        </w:trPr>
        <w:tc>
          <w:tcPr>
            <w:tcW w:w="0" w:type="auto"/>
            <w:vAlign w:val="center"/>
            <w:hideMark/>
          </w:tcPr>
          <w:p w14:paraId="5D570938" w14:textId="77777777" w:rsidR="00E74747" w:rsidRPr="000D5B7C" w:rsidRDefault="00E74747" w:rsidP="000D5B7C">
            <w:pPr>
              <w:pStyle w:val="NoSpacing"/>
              <w:jc w:val="center"/>
              <w:rPr>
                <w:rFonts w:ascii="Times New Roman" w:hAnsi="Times New Roman" w:cs="Times New Roman"/>
                <w:szCs w:val="24"/>
              </w:rPr>
            </w:pPr>
            <w:r w:rsidRPr="000D5B7C">
              <w:rPr>
                <w:rFonts w:ascii="Times New Roman" w:hAnsi="Times New Roman" w:cs="Times New Roman"/>
                <w:szCs w:val="24"/>
              </w:rPr>
              <w:t>Haryana</w:t>
            </w:r>
          </w:p>
        </w:tc>
        <w:tc>
          <w:tcPr>
            <w:tcW w:w="0" w:type="auto"/>
            <w:vAlign w:val="center"/>
            <w:hideMark/>
          </w:tcPr>
          <w:p w14:paraId="6F098C06" w14:textId="77777777" w:rsidR="00E74747" w:rsidRPr="000D5B7C" w:rsidRDefault="00E74747" w:rsidP="000D5B7C">
            <w:pPr>
              <w:pStyle w:val="NoSpacing"/>
              <w:jc w:val="center"/>
              <w:rPr>
                <w:rFonts w:ascii="Times New Roman" w:hAnsi="Times New Roman" w:cs="Times New Roman"/>
                <w:szCs w:val="24"/>
              </w:rPr>
            </w:pPr>
            <w:r w:rsidRPr="000D5B7C">
              <w:rPr>
                <w:rFonts w:ascii="Times New Roman" w:hAnsi="Times New Roman" w:cs="Times New Roman"/>
                <w:szCs w:val="24"/>
              </w:rPr>
              <w:t>Revenue</w:t>
            </w:r>
          </w:p>
        </w:tc>
        <w:tc>
          <w:tcPr>
            <w:tcW w:w="0" w:type="auto"/>
            <w:vAlign w:val="center"/>
            <w:hideMark/>
          </w:tcPr>
          <w:p w14:paraId="5C4DA47C" w14:textId="77777777" w:rsidR="00E74747" w:rsidRPr="00D43584" w:rsidRDefault="00E74747" w:rsidP="000D5B7C">
            <w:pPr>
              <w:pStyle w:val="NoSpacing"/>
              <w:jc w:val="center"/>
              <w:rPr>
                <w:rFonts w:ascii="Times New Roman" w:hAnsi="Times New Roman" w:cs="Times New Roman"/>
                <w:szCs w:val="24"/>
              </w:rPr>
            </w:pPr>
            <w:r w:rsidRPr="00D43584">
              <w:rPr>
                <w:rFonts w:ascii="Times New Roman" w:hAnsi="Times New Roman" w:cs="Times New Roman"/>
                <w:szCs w:val="24"/>
              </w:rPr>
              <w:t>..</w:t>
            </w:r>
          </w:p>
        </w:tc>
        <w:tc>
          <w:tcPr>
            <w:tcW w:w="0" w:type="auto"/>
            <w:vAlign w:val="center"/>
            <w:hideMark/>
          </w:tcPr>
          <w:p w14:paraId="29AC0EE0" w14:textId="77777777" w:rsidR="00E74747" w:rsidRPr="00D43584" w:rsidRDefault="00E74747" w:rsidP="000D5B7C">
            <w:pPr>
              <w:pStyle w:val="NoSpacing"/>
              <w:jc w:val="center"/>
              <w:rPr>
                <w:rFonts w:ascii="Times New Roman" w:hAnsi="Times New Roman" w:cs="Times New Roman"/>
                <w:szCs w:val="24"/>
              </w:rPr>
            </w:pPr>
            <w:r w:rsidRPr="00D43584">
              <w:rPr>
                <w:rFonts w:ascii="Times New Roman" w:hAnsi="Times New Roman" w:cs="Times New Roman"/>
                <w:szCs w:val="24"/>
              </w:rPr>
              <w:t>..</w:t>
            </w:r>
          </w:p>
        </w:tc>
        <w:tc>
          <w:tcPr>
            <w:tcW w:w="0" w:type="auto"/>
            <w:vAlign w:val="center"/>
            <w:hideMark/>
          </w:tcPr>
          <w:p w14:paraId="48C37B72" w14:textId="77777777" w:rsidR="00E74747" w:rsidRPr="00D43584" w:rsidRDefault="00E74747" w:rsidP="000D5B7C">
            <w:pPr>
              <w:pStyle w:val="NoSpacing"/>
              <w:jc w:val="center"/>
              <w:rPr>
                <w:rFonts w:ascii="Times New Roman" w:hAnsi="Times New Roman" w:cs="Times New Roman"/>
                <w:szCs w:val="24"/>
              </w:rPr>
            </w:pPr>
            <w:r w:rsidRPr="00D43584">
              <w:rPr>
                <w:rFonts w:ascii="Times New Roman" w:hAnsi="Times New Roman" w:cs="Times New Roman"/>
                <w:szCs w:val="24"/>
              </w:rPr>
              <w:t>..</w:t>
            </w:r>
          </w:p>
        </w:tc>
        <w:tc>
          <w:tcPr>
            <w:tcW w:w="0" w:type="auto"/>
            <w:vAlign w:val="center"/>
            <w:hideMark/>
          </w:tcPr>
          <w:p w14:paraId="0E63969D" w14:textId="77777777" w:rsidR="00E74747" w:rsidRPr="00D43584" w:rsidRDefault="00E74747" w:rsidP="000D5B7C">
            <w:pPr>
              <w:pStyle w:val="NoSpacing"/>
              <w:jc w:val="center"/>
              <w:rPr>
                <w:rFonts w:ascii="Times New Roman" w:hAnsi="Times New Roman" w:cs="Times New Roman"/>
                <w:szCs w:val="24"/>
              </w:rPr>
            </w:pPr>
            <w:r w:rsidRPr="00D43584">
              <w:rPr>
                <w:rFonts w:ascii="Times New Roman" w:hAnsi="Times New Roman" w:cs="Times New Roman"/>
                <w:szCs w:val="24"/>
              </w:rPr>
              <w:t>..</w:t>
            </w:r>
          </w:p>
        </w:tc>
        <w:tc>
          <w:tcPr>
            <w:tcW w:w="0" w:type="auto"/>
            <w:vAlign w:val="center"/>
            <w:hideMark/>
          </w:tcPr>
          <w:p w14:paraId="1D95C27B" w14:textId="77777777" w:rsidR="00E74747" w:rsidRPr="00D43584" w:rsidRDefault="00E74747" w:rsidP="000D5B7C">
            <w:pPr>
              <w:pStyle w:val="NoSpacing"/>
              <w:jc w:val="center"/>
              <w:rPr>
                <w:rFonts w:ascii="Times New Roman" w:hAnsi="Times New Roman" w:cs="Times New Roman"/>
                <w:szCs w:val="24"/>
              </w:rPr>
            </w:pPr>
            <w:r w:rsidRPr="00D43584">
              <w:rPr>
                <w:rFonts w:ascii="Times New Roman" w:hAnsi="Times New Roman" w:cs="Times New Roman"/>
                <w:szCs w:val="24"/>
              </w:rPr>
              <w:t>+359</w:t>
            </w:r>
          </w:p>
        </w:tc>
        <w:tc>
          <w:tcPr>
            <w:tcW w:w="0" w:type="auto"/>
            <w:vAlign w:val="center"/>
            <w:hideMark/>
          </w:tcPr>
          <w:p w14:paraId="15529A10" w14:textId="77777777" w:rsidR="00E74747" w:rsidRPr="00D43584" w:rsidRDefault="00E74747" w:rsidP="000D5B7C">
            <w:pPr>
              <w:pStyle w:val="NoSpacing"/>
              <w:jc w:val="center"/>
              <w:rPr>
                <w:rFonts w:ascii="Times New Roman" w:hAnsi="Times New Roman" w:cs="Times New Roman"/>
                <w:szCs w:val="24"/>
              </w:rPr>
            </w:pPr>
            <w:r w:rsidRPr="00D43584">
              <w:rPr>
                <w:rFonts w:ascii="Times New Roman" w:hAnsi="Times New Roman" w:cs="Times New Roman"/>
                <w:szCs w:val="24"/>
              </w:rPr>
              <w:t>+519</w:t>
            </w:r>
          </w:p>
        </w:tc>
        <w:tc>
          <w:tcPr>
            <w:tcW w:w="0" w:type="auto"/>
            <w:vAlign w:val="center"/>
            <w:hideMark/>
          </w:tcPr>
          <w:p w14:paraId="1CED2631" w14:textId="77777777" w:rsidR="00E74747" w:rsidRPr="00D43584" w:rsidRDefault="00E74747" w:rsidP="000D5B7C">
            <w:pPr>
              <w:pStyle w:val="NoSpacing"/>
              <w:jc w:val="center"/>
              <w:rPr>
                <w:rFonts w:ascii="Times New Roman" w:hAnsi="Times New Roman" w:cs="Times New Roman"/>
                <w:szCs w:val="24"/>
              </w:rPr>
            </w:pPr>
            <w:r w:rsidRPr="00D43584">
              <w:rPr>
                <w:rFonts w:ascii="Times New Roman" w:hAnsi="Times New Roman" w:cs="Times New Roman"/>
                <w:szCs w:val="24"/>
              </w:rPr>
              <w:t>-152</w:t>
            </w:r>
          </w:p>
        </w:tc>
        <w:tc>
          <w:tcPr>
            <w:tcW w:w="0" w:type="auto"/>
            <w:vAlign w:val="center"/>
            <w:hideMark/>
          </w:tcPr>
          <w:p w14:paraId="50DED920" w14:textId="77777777" w:rsidR="00E74747" w:rsidRPr="00D43584" w:rsidRDefault="00E74747" w:rsidP="000D5B7C">
            <w:pPr>
              <w:pStyle w:val="NoSpacing"/>
              <w:jc w:val="center"/>
              <w:rPr>
                <w:rFonts w:ascii="Times New Roman" w:hAnsi="Times New Roman" w:cs="Times New Roman"/>
                <w:szCs w:val="24"/>
              </w:rPr>
            </w:pPr>
            <w:r w:rsidRPr="00D43584">
              <w:rPr>
                <w:rFonts w:ascii="Times New Roman" w:hAnsi="Times New Roman" w:cs="Times New Roman"/>
                <w:szCs w:val="24"/>
              </w:rPr>
              <w:t>+478</w:t>
            </w:r>
          </w:p>
        </w:tc>
        <w:tc>
          <w:tcPr>
            <w:tcW w:w="0" w:type="auto"/>
            <w:vAlign w:val="center"/>
            <w:hideMark/>
          </w:tcPr>
          <w:p w14:paraId="103C8ABA" w14:textId="77777777" w:rsidR="00E74747" w:rsidRPr="00D43584" w:rsidRDefault="00E74747" w:rsidP="000D5B7C">
            <w:pPr>
              <w:pStyle w:val="NoSpacing"/>
              <w:jc w:val="center"/>
              <w:rPr>
                <w:rFonts w:ascii="Times New Roman" w:hAnsi="Times New Roman" w:cs="Times New Roman"/>
                <w:szCs w:val="24"/>
              </w:rPr>
            </w:pPr>
            <w:r w:rsidRPr="00D43584">
              <w:rPr>
                <w:rFonts w:ascii="Times New Roman" w:hAnsi="Times New Roman" w:cs="Times New Roman"/>
                <w:szCs w:val="24"/>
              </w:rPr>
              <w:t>+164</w:t>
            </w:r>
          </w:p>
        </w:tc>
      </w:tr>
      <w:tr w:rsidR="00E74747" w:rsidRPr="00D43584" w14:paraId="35DD45FE" w14:textId="77777777" w:rsidTr="000D5B7C">
        <w:trPr>
          <w:trHeight w:val="397"/>
          <w:jc w:val="center"/>
        </w:trPr>
        <w:tc>
          <w:tcPr>
            <w:tcW w:w="0" w:type="auto"/>
            <w:vAlign w:val="center"/>
            <w:hideMark/>
          </w:tcPr>
          <w:p w14:paraId="67335194" w14:textId="77777777" w:rsidR="00E74747" w:rsidRPr="000D5B7C" w:rsidRDefault="00E74747" w:rsidP="000D5B7C">
            <w:pPr>
              <w:pStyle w:val="NoSpacing"/>
              <w:jc w:val="center"/>
              <w:rPr>
                <w:rFonts w:ascii="Times New Roman" w:hAnsi="Times New Roman" w:cs="Times New Roman"/>
                <w:szCs w:val="24"/>
              </w:rPr>
            </w:pPr>
          </w:p>
        </w:tc>
        <w:tc>
          <w:tcPr>
            <w:tcW w:w="0" w:type="auto"/>
            <w:vAlign w:val="center"/>
            <w:hideMark/>
          </w:tcPr>
          <w:p w14:paraId="36CD9413" w14:textId="77777777" w:rsidR="00E74747" w:rsidRPr="000D5B7C" w:rsidRDefault="00E74747" w:rsidP="000D5B7C">
            <w:pPr>
              <w:pStyle w:val="NoSpacing"/>
              <w:jc w:val="center"/>
              <w:rPr>
                <w:rFonts w:ascii="Times New Roman" w:hAnsi="Times New Roman" w:cs="Times New Roman"/>
                <w:szCs w:val="24"/>
              </w:rPr>
            </w:pPr>
            <w:r w:rsidRPr="000D5B7C">
              <w:rPr>
                <w:rFonts w:ascii="Times New Roman" w:hAnsi="Times New Roman" w:cs="Times New Roman"/>
                <w:szCs w:val="24"/>
              </w:rPr>
              <w:t>Capital</w:t>
            </w:r>
          </w:p>
        </w:tc>
        <w:tc>
          <w:tcPr>
            <w:tcW w:w="0" w:type="auto"/>
            <w:vAlign w:val="center"/>
            <w:hideMark/>
          </w:tcPr>
          <w:p w14:paraId="07B679AB" w14:textId="77777777" w:rsidR="00E74747" w:rsidRPr="00D43584" w:rsidRDefault="00E74747" w:rsidP="000D5B7C">
            <w:pPr>
              <w:pStyle w:val="NoSpacing"/>
              <w:jc w:val="center"/>
              <w:rPr>
                <w:rFonts w:ascii="Times New Roman" w:hAnsi="Times New Roman" w:cs="Times New Roman"/>
                <w:szCs w:val="24"/>
              </w:rPr>
            </w:pPr>
            <w:r w:rsidRPr="00D43584">
              <w:rPr>
                <w:rFonts w:ascii="Times New Roman" w:hAnsi="Times New Roman" w:cs="Times New Roman"/>
                <w:szCs w:val="24"/>
              </w:rPr>
              <w:t>..</w:t>
            </w:r>
          </w:p>
        </w:tc>
        <w:tc>
          <w:tcPr>
            <w:tcW w:w="0" w:type="auto"/>
            <w:vAlign w:val="center"/>
            <w:hideMark/>
          </w:tcPr>
          <w:p w14:paraId="7E6643A6" w14:textId="77777777" w:rsidR="00E74747" w:rsidRPr="00D43584" w:rsidRDefault="00E74747" w:rsidP="000D5B7C">
            <w:pPr>
              <w:pStyle w:val="NoSpacing"/>
              <w:jc w:val="center"/>
              <w:rPr>
                <w:rFonts w:ascii="Times New Roman" w:hAnsi="Times New Roman" w:cs="Times New Roman"/>
                <w:szCs w:val="24"/>
              </w:rPr>
            </w:pPr>
            <w:r w:rsidRPr="00D43584">
              <w:rPr>
                <w:rFonts w:ascii="Times New Roman" w:hAnsi="Times New Roman" w:cs="Times New Roman"/>
                <w:szCs w:val="24"/>
              </w:rPr>
              <w:t>..</w:t>
            </w:r>
          </w:p>
        </w:tc>
        <w:tc>
          <w:tcPr>
            <w:tcW w:w="0" w:type="auto"/>
            <w:vAlign w:val="center"/>
            <w:hideMark/>
          </w:tcPr>
          <w:p w14:paraId="343E2FCA" w14:textId="77777777" w:rsidR="00E74747" w:rsidRPr="00D43584" w:rsidRDefault="00E74747" w:rsidP="000D5B7C">
            <w:pPr>
              <w:pStyle w:val="NoSpacing"/>
              <w:jc w:val="center"/>
              <w:rPr>
                <w:rFonts w:ascii="Times New Roman" w:hAnsi="Times New Roman" w:cs="Times New Roman"/>
                <w:szCs w:val="24"/>
              </w:rPr>
            </w:pPr>
            <w:r w:rsidRPr="00D43584">
              <w:rPr>
                <w:rFonts w:ascii="Times New Roman" w:hAnsi="Times New Roman" w:cs="Times New Roman"/>
                <w:szCs w:val="24"/>
              </w:rPr>
              <w:t>..</w:t>
            </w:r>
          </w:p>
        </w:tc>
        <w:tc>
          <w:tcPr>
            <w:tcW w:w="0" w:type="auto"/>
            <w:vAlign w:val="center"/>
            <w:hideMark/>
          </w:tcPr>
          <w:p w14:paraId="50BC3538" w14:textId="77777777" w:rsidR="00E74747" w:rsidRPr="00D43584" w:rsidRDefault="00E74747" w:rsidP="000D5B7C">
            <w:pPr>
              <w:pStyle w:val="NoSpacing"/>
              <w:jc w:val="center"/>
              <w:rPr>
                <w:rFonts w:ascii="Times New Roman" w:hAnsi="Times New Roman" w:cs="Times New Roman"/>
                <w:szCs w:val="24"/>
              </w:rPr>
            </w:pPr>
            <w:r w:rsidRPr="00D43584">
              <w:rPr>
                <w:rFonts w:ascii="Times New Roman" w:hAnsi="Times New Roman" w:cs="Times New Roman"/>
                <w:szCs w:val="24"/>
              </w:rPr>
              <w:t>..</w:t>
            </w:r>
          </w:p>
        </w:tc>
        <w:tc>
          <w:tcPr>
            <w:tcW w:w="0" w:type="auto"/>
            <w:vAlign w:val="center"/>
            <w:hideMark/>
          </w:tcPr>
          <w:p w14:paraId="5F528134" w14:textId="77777777" w:rsidR="00E74747" w:rsidRPr="00D43584" w:rsidRDefault="00E74747" w:rsidP="000D5B7C">
            <w:pPr>
              <w:pStyle w:val="NoSpacing"/>
              <w:jc w:val="center"/>
              <w:rPr>
                <w:rFonts w:ascii="Times New Roman" w:hAnsi="Times New Roman" w:cs="Times New Roman"/>
                <w:szCs w:val="24"/>
              </w:rPr>
            </w:pPr>
            <w:r w:rsidRPr="00D43584">
              <w:rPr>
                <w:rFonts w:ascii="Times New Roman" w:hAnsi="Times New Roman" w:cs="Times New Roman"/>
                <w:szCs w:val="24"/>
              </w:rPr>
              <w:t>-556</w:t>
            </w:r>
          </w:p>
        </w:tc>
        <w:tc>
          <w:tcPr>
            <w:tcW w:w="0" w:type="auto"/>
            <w:vAlign w:val="center"/>
            <w:hideMark/>
          </w:tcPr>
          <w:p w14:paraId="7B339C40" w14:textId="77777777" w:rsidR="00E74747" w:rsidRPr="00D43584" w:rsidRDefault="00E74747" w:rsidP="000D5B7C">
            <w:pPr>
              <w:pStyle w:val="NoSpacing"/>
              <w:jc w:val="center"/>
              <w:rPr>
                <w:rFonts w:ascii="Times New Roman" w:hAnsi="Times New Roman" w:cs="Times New Roman"/>
                <w:szCs w:val="24"/>
              </w:rPr>
            </w:pPr>
            <w:r w:rsidRPr="00D43584">
              <w:rPr>
                <w:rFonts w:ascii="Times New Roman" w:hAnsi="Times New Roman" w:cs="Times New Roman"/>
                <w:szCs w:val="24"/>
              </w:rPr>
              <w:t>-638</w:t>
            </w:r>
          </w:p>
        </w:tc>
        <w:tc>
          <w:tcPr>
            <w:tcW w:w="0" w:type="auto"/>
            <w:vAlign w:val="center"/>
            <w:hideMark/>
          </w:tcPr>
          <w:p w14:paraId="05FE46D4" w14:textId="77777777" w:rsidR="00E74747" w:rsidRPr="00D43584" w:rsidRDefault="00E74747" w:rsidP="000D5B7C">
            <w:pPr>
              <w:pStyle w:val="NoSpacing"/>
              <w:jc w:val="center"/>
              <w:rPr>
                <w:rFonts w:ascii="Times New Roman" w:hAnsi="Times New Roman" w:cs="Times New Roman"/>
                <w:szCs w:val="24"/>
              </w:rPr>
            </w:pPr>
            <w:r w:rsidRPr="00D43584">
              <w:rPr>
                <w:rFonts w:ascii="Times New Roman" w:hAnsi="Times New Roman" w:cs="Times New Roman"/>
                <w:szCs w:val="24"/>
              </w:rPr>
              <w:t>-441</w:t>
            </w:r>
          </w:p>
        </w:tc>
        <w:tc>
          <w:tcPr>
            <w:tcW w:w="0" w:type="auto"/>
            <w:vAlign w:val="center"/>
            <w:hideMark/>
          </w:tcPr>
          <w:p w14:paraId="06EFE4FF" w14:textId="77777777" w:rsidR="00E74747" w:rsidRPr="00D43584" w:rsidRDefault="00E74747" w:rsidP="000D5B7C">
            <w:pPr>
              <w:pStyle w:val="NoSpacing"/>
              <w:jc w:val="center"/>
              <w:rPr>
                <w:rFonts w:ascii="Times New Roman" w:hAnsi="Times New Roman" w:cs="Times New Roman"/>
                <w:szCs w:val="24"/>
              </w:rPr>
            </w:pPr>
            <w:r w:rsidRPr="00D43584">
              <w:rPr>
                <w:rFonts w:ascii="Times New Roman" w:hAnsi="Times New Roman" w:cs="Times New Roman"/>
                <w:szCs w:val="24"/>
              </w:rPr>
              <w:t>-492</w:t>
            </w:r>
          </w:p>
        </w:tc>
        <w:tc>
          <w:tcPr>
            <w:tcW w:w="0" w:type="auto"/>
            <w:vAlign w:val="center"/>
            <w:hideMark/>
          </w:tcPr>
          <w:p w14:paraId="3C30C408" w14:textId="77777777" w:rsidR="00E74747" w:rsidRPr="00D43584" w:rsidRDefault="00E74747" w:rsidP="000D5B7C">
            <w:pPr>
              <w:pStyle w:val="NoSpacing"/>
              <w:jc w:val="center"/>
              <w:rPr>
                <w:rFonts w:ascii="Times New Roman" w:hAnsi="Times New Roman" w:cs="Times New Roman"/>
                <w:szCs w:val="24"/>
              </w:rPr>
            </w:pPr>
            <w:r w:rsidRPr="00D43584">
              <w:rPr>
                <w:rFonts w:ascii="Times New Roman" w:hAnsi="Times New Roman" w:cs="Times New Roman"/>
                <w:szCs w:val="24"/>
              </w:rPr>
              <w:t>-163</w:t>
            </w:r>
          </w:p>
        </w:tc>
      </w:tr>
      <w:tr w:rsidR="00E74747" w:rsidRPr="00D43584" w14:paraId="2409030B" w14:textId="77777777" w:rsidTr="000D5B7C">
        <w:trPr>
          <w:trHeight w:val="397"/>
          <w:jc w:val="center"/>
        </w:trPr>
        <w:tc>
          <w:tcPr>
            <w:tcW w:w="0" w:type="auto"/>
            <w:vAlign w:val="center"/>
            <w:hideMark/>
          </w:tcPr>
          <w:p w14:paraId="04D2E802" w14:textId="77777777" w:rsidR="00E74747" w:rsidRPr="000D5B7C" w:rsidRDefault="00E74747" w:rsidP="000D5B7C">
            <w:pPr>
              <w:pStyle w:val="NoSpacing"/>
              <w:jc w:val="center"/>
              <w:rPr>
                <w:rFonts w:ascii="Times New Roman" w:hAnsi="Times New Roman" w:cs="Times New Roman"/>
                <w:szCs w:val="24"/>
              </w:rPr>
            </w:pPr>
          </w:p>
        </w:tc>
        <w:tc>
          <w:tcPr>
            <w:tcW w:w="0" w:type="auto"/>
            <w:vAlign w:val="center"/>
            <w:hideMark/>
          </w:tcPr>
          <w:p w14:paraId="2A1B5A30" w14:textId="77777777" w:rsidR="00E74747" w:rsidRPr="000D5B7C" w:rsidRDefault="00E74747" w:rsidP="000D5B7C">
            <w:pPr>
              <w:pStyle w:val="NoSpacing"/>
              <w:jc w:val="center"/>
              <w:rPr>
                <w:rFonts w:ascii="Times New Roman" w:hAnsi="Times New Roman" w:cs="Times New Roman"/>
                <w:szCs w:val="24"/>
              </w:rPr>
            </w:pPr>
            <w:r w:rsidRPr="000D5B7C">
              <w:rPr>
                <w:rFonts w:ascii="Times New Roman" w:hAnsi="Times New Roman" w:cs="Times New Roman"/>
                <w:szCs w:val="24"/>
              </w:rPr>
              <w:t>Overall</w:t>
            </w:r>
          </w:p>
        </w:tc>
        <w:tc>
          <w:tcPr>
            <w:tcW w:w="0" w:type="auto"/>
            <w:vAlign w:val="center"/>
            <w:hideMark/>
          </w:tcPr>
          <w:p w14:paraId="765FA585" w14:textId="77777777" w:rsidR="00E74747" w:rsidRPr="00D43584" w:rsidRDefault="00E74747" w:rsidP="000D5B7C">
            <w:pPr>
              <w:pStyle w:val="NoSpacing"/>
              <w:jc w:val="center"/>
              <w:rPr>
                <w:rFonts w:ascii="Times New Roman" w:hAnsi="Times New Roman" w:cs="Times New Roman"/>
                <w:szCs w:val="24"/>
              </w:rPr>
            </w:pPr>
            <w:r w:rsidRPr="00D43584">
              <w:rPr>
                <w:rFonts w:ascii="Times New Roman" w:hAnsi="Times New Roman" w:cs="Times New Roman"/>
                <w:szCs w:val="24"/>
              </w:rPr>
              <w:t>..</w:t>
            </w:r>
          </w:p>
        </w:tc>
        <w:tc>
          <w:tcPr>
            <w:tcW w:w="0" w:type="auto"/>
            <w:vAlign w:val="center"/>
            <w:hideMark/>
          </w:tcPr>
          <w:p w14:paraId="4E5DE776" w14:textId="77777777" w:rsidR="00E74747" w:rsidRPr="00D43584" w:rsidRDefault="00E74747" w:rsidP="000D5B7C">
            <w:pPr>
              <w:pStyle w:val="NoSpacing"/>
              <w:jc w:val="center"/>
              <w:rPr>
                <w:rFonts w:ascii="Times New Roman" w:hAnsi="Times New Roman" w:cs="Times New Roman"/>
                <w:szCs w:val="24"/>
              </w:rPr>
            </w:pPr>
            <w:r w:rsidRPr="00D43584">
              <w:rPr>
                <w:rFonts w:ascii="Times New Roman" w:hAnsi="Times New Roman" w:cs="Times New Roman"/>
                <w:szCs w:val="24"/>
              </w:rPr>
              <w:t>..</w:t>
            </w:r>
          </w:p>
        </w:tc>
        <w:tc>
          <w:tcPr>
            <w:tcW w:w="0" w:type="auto"/>
            <w:vAlign w:val="center"/>
            <w:hideMark/>
          </w:tcPr>
          <w:p w14:paraId="0385755C" w14:textId="77777777" w:rsidR="00E74747" w:rsidRPr="00D43584" w:rsidRDefault="00E74747" w:rsidP="000D5B7C">
            <w:pPr>
              <w:pStyle w:val="NoSpacing"/>
              <w:jc w:val="center"/>
              <w:rPr>
                <w:rFonts w:ascii="Times New Roman" w:hAnsi="Times New Roman" w:cs="Times New Roman"/>
                <w:szCs w:val="24"/>
              </w:rPr>
            </w:pPr>
            <w:r w:rsidRPr="00D43584">
              <w:rPr>
                <w:rFonts w:ascii="Times New Roman" w:hAnsi="Times New Roman" w:cs="Times New Roman"/>
                <w:szCs w:val="24"/>
              </w:rPr>
              <w:t>..</w:t>
            </w:r>
          </w:p>
        </w:tc>
        <w:tc>
          <w:tcPr>
            <w:tcW w:w="0" w:type="auto"/>
            <w:vAlign w:val="center"/>
            <w:hideMark/>
          </w:tcPr>
          <w:p w14:paraId="31F3F595" w14:textId="77777777" w:rsidR="00E74747" w:rsidRPr="00D43584" w:rsidRDefault="00E74747" w:rsidP="000D5B7C">
            <w:pPr>
              <w:pStyle w:val="NoSpacing"/>
              <w:jc w:val="center"/>
              <w:rPr>
                <w:rFonts w:ascii="Times New Roman" w:hAnsi="Times New Roman" w:cs="Times New Roman"/>
                <w:szCs w:val="24"/>
              </w:rPr>
            </w:pPr>
            <w:r w:rsidRPr="00D43584">
              <w:rPr>
                <w:rFonts w:ascii="Times New Roman" w:hAnsi="Times New Roman" w:cs="Times New Roman"/>
                <w:szCs w:val="24"/>
              </w:rPr>
              <w:t>..</w:t>
            </w:r>
          </w:p>
        </w:tc>
        <w:tc>
          <w:tcPr>
            <w:tcW w:w="0" w:type="auto"/>
            <w:vAlign w:val="center"/>
            <w:hideMark/>
          </w:tcPr>
          <w:p w14:paraId="77212094" w14:textId="77777777" w:rsidR="00E74747" w:rsidRPr="00D43584" w:rsidRDefault="00E74747" w:rsidP="000D5B7C">
            <w:pPr>
              <w:pStyle w:val="NoSpacing"/>
              <w:jc w:val="center"/>
              <w:rPr>
                <w:rFonts w:ascii="Times New Roman" w:hAnsi="Times New Roman" w:cs="Times New Roman"/>
                <w:szCs w:val="24"/>
              </w:rPr>
            </w:pPr>
            <w:r w:rsidRPr="00D43584">
              <w:rPr>
                <w:rFonts w:ascii="Times New Roman" w:hAnsi="Times New Roman" w:cs="Times New Roman"/>
                <w:szCs w:val="24"/>
              </w:rPr>
              <w:t>-197</w:t>
            </w:r>
          </w:p>
        </w:tc>
        <w:tc>
          <w:tcPr>
            <w:tcW w:w="0" w:type="auto"/>
            <w:vAlign w:val="center"/>
            <w:hideMark/>
          </w:tcPr>
          <w:p w14:paraId="4CEBCA99" w14:textId="77777777" w:rsidR="00E74747" w:rsidRPr="00D43584" w:rsidRDefault="00E74747" w:rsidP="000D5B7C">
            <w:pPr>
              <w:pStyle w:val="NoSpacing"/>
              <w:jc w:val="center"/>
              <w:rPr>
                <w:rFonts w:ascii="Times New Roman" w:hAnsi="Times New Roman" w:cs="Times New Roman"/>
                <w:szCs w:val="24"/>
              </w:rPr>
            </w:pPr>
            <w:r w:rsidRPr="00D43584">
              <w:rPr>
                <w:rFonts w:ascii="Times New Roman" w:hAnsi="Times New Roman" w:cs="Times New Roman"/>
                <w:szCs w:val="24"/>
              </w:rPr>
              <w:t>-119</w:t>
            </w:r>
          </w:p>
        </w:tc>
        <w:tc>
          <w:tcPr>
            <w:tcW w:w="0" w:type="auto"/>
            <w:vAlign w:val="center"/>
            <w:hideMark/>
          </w:tcPr>
          <w:p w14:paraId="0CC81ABD" w14:textId="77777777" w:rsidR="00E74747" w:rsidRPr="00D43584" w:rsidRDefault="00E74747" w:rsidP="000D5B7C">
            <w:pPr>
              <w:pStyle w:val="NoSpacing"/>
              <w:jc w:val="center"/>
              <w:rPr>
                <w:rFonts w:ascii="Times New Roman" w:hAnsi="Times New Roman" w:cs="Times New Roman"/>
                <w:szCs w:val="24"/>
              </w:rPr>
            </w:pPr>
            <w:r w:rsidRPr="00D43584">
              <w:rPr>
                <w:rFonts w:ascii="Times New Roman" w:hAnsi="Times New Roman" w:cs="Times New Roman"/>
                <w:szCs w:val="24"/>
              </w:rPr>
              <w:t>-593</w:t>
            </w:r>
          </w:p>
        </w:tc>
        <w:tc>
          <w:tcPr>
            <w:tcW w:w="0" w:type="auto"/>
            <w:vAlign w:val="center"/>
            <w:hideMark/>
          </w:tcPr>
          <w:p w14:paraId="73B67F40" w14:textId="77777777" w:rsidR="00E74747" w:rsidRPr="00D43584" w:rsidRDefault="00E74747" w:rsidP="000D5B7C">
            <w:pPr>
              <w:pStyle w:val="NoSpacing"/>
              <w:jc w:val="center"/>
              <w:rPr>
                <w:rFonts w:ascii="Times New Roman" w:hAnsi="Times New Roman" w:cs="Times New Roman"/>
                <w:szCs w:val="24"/>
              </w:rPr>
            </w:pPr>
            <w:r w:rsidRPr="00D43584">
              <w:rPr>
                <w:rFonts w:ascii="Times New Roman" w:hAnsi="Times New Roman" w:cs="Times New Roman"/>
                <w:szCs w:val="24"/>
              </w:rPr>
              <w:t>-14</w:t>
            </w:r>
          </w:p>
        </w:tc>
        <w:tc>
          <w:tcPr>
            <w:tcW w:w="0" w:type="auto"/>
            <w:vAlign w:val="center"/>
            <w:hideMark/>
          </w:tcPr>
          <w:p w14:paraId="3B3CBC1A" w14:textId="77777777" w:rsidR="00E74747" w:rsidRPr="00D43584" w:rsidRDefault="00E74747" w:rsidP="000D5B7C">
            <w:pPr>
              <w:pStyle w:val="NoSpacing"/>
              <w:jc w:val="center"/>
              <w:rPr>
                <w:rFonts w:ascii="Times New Roman" w:hAnsi="Times New Roman" w:cs="Times New Roman"/>
                <w:szCs w:val="24"/>
              </w:rPr>
            </w:pPr>
            <w:r w:rsidRPr="00D43584">
              <w:rPr>
                <w:rFonts w:ascii="Times New Roman" w:hAnsi="Times New Roman" w:cs="Times New Roman"/>
                <w:szCs w:val="24"/>
              </w:rPr>
              <w:t>+1</w:t>
            </w:r>
          </w:p>
        </w:tc>
      </w:tr>
      <w:tr w:rsidR="00E74747" w:rsidRPr="00D43584" w14:paraId="1B7632C8" w14:textId="77777777" w:rsidTr="000D5B7C">
        <w:trPr>
          <w:trHeight w:val="397"/>
          <w:jc w:val="center"/>
        </w:trPr>
        <w:tc>
          <w:tcPr>
            <w:tcW w:w="0" w:type="auto"/>
            <w:vAlign w:val="center"/>
            <w:hideMark/>
          </w:tcPr>
          <w:p w14:paraId="08C68F6C" w14:textId="77777777" w:rsidR="00E74747" w:rsidRPr="000D5B7C" w:rsidRDefault="00E74747" w:rsidP="000D5B7C">
            <w:pPr>
              <w:pStyle w:val="NoSpacing"/>
              <w:jc w:val="center"/>
              <w:rPr>
                <w:rFonts w:ascii="Times New Roman" w:hAnsi="Times New Roman" w:cs="Times New Roman"/>
                <w:szCs w:val="24"/>
              </w:rPr>
            </w:pPr>
            <w:r w:rsidRPr="000D5B7C">
              <w:rPr>
                <w:rFonts w:ascii="Times New Roman" w:hAnsi="Times New Roman" w:cs="Times New Roman"/>
                <w:szCs w:val="24"/>
              </w:rPr>
              <w:t>Jammu and Kashmir</w:t>
            </w:r>
          </w:p>
        </w:tc>
        <w:tc>
          <w:tcPr>
            <w:tcW w:w="0" w:type="auto"/>
            <w:vAlign w:val="center"/>
            <w:hideMark/>
          </w:tcPr>
          <w:p w14:paraId="4478CE38" w14:textId="77777777" w:rsidR="00E74747" w:rsidRPr="000D5B7C" w:rsidRDefault="00E74747" w:rsidP="000D5B7C">
            <w:pPr>
              <w:pStyle w:val="NoSpacing"/>
              <w:jc w:val="center"/>
              <w:rPr>
                <w:rFonts w:ascii="Times New Roman" w:hAnsi="Times New Roman" w:cs="Times New Roman"/>
                <w:szCs w:val="24"/>
              </w:rPr>
            </w:pPr>
            <w:r w:rsidRPr="000D5B7C">
              <w:rPr>
                <w:rFonts w:ascii="Times New Roman" w:hAnsi="Times New Roman" w:cs="Times New Roman"/>
                <w:szCs w:val="24"/>
              </w:rPr>
              <w:t>Revenue</w:t>
            </w:r>
          </w:p>
        </w:tc>
        <w:tc>
          <w:tcPr>
            <w:tcW w:w="0" w:type="auto"/>
            <w:vAlign w:val="center"/>
            <w:hideMark/>
          </w:tcPr>
          <w:p w14:paraId="698C05B8" w14:textId="77777777" w:rsidR="00E74747" w:rsidRPr="00D43584" w:rsidRDefault="00E74747" w:rsidP="000D5B7C">
            <w:pPr>
              <w:pStyle w:val="NoSpacing"/>
              <w:jc w:val="center"/>
              <w:rPr>
                <w:rFonts w:ascii="Times New Roman" w:hAnsi="Times New Roman" w:cs="Times New Roman"/>
                <w:szCs w:val="24"/>
              </w:rPr>
            </w:pPr>
            <w:r w:rsidRPr="00D43584">
              <w:rPr>
                <w:rFonts w:ascii="Times New Roman" w:hAnsi="Times New Roman" w:cs="Times New Roman"/>
                <w:szCs w:val="24"/>
              </w:rPr>
              <w:t>-133</w:t>
            </w:r>
          </w:p>
        </w:tc>
        <w:tc>
          <w:tcPr>
            <w:tcW w:w="0" w:type="auto"/>
            <w:vAlign w:val="center"/>
            <w:hideMark/>
          </w:tcPr>
          <w:p w14:paraId="3BC459B5" w14:textId="77777777" w:rsidR="00E74747" w:rsidRPr="00D43584" w:rsidRDefault="00E74747" w:rsidP="000D5B7C">
            <w:pPr>
              <w:pStyle w:val="NoSpacing"/>
              <w:jc w:val="center"/>
              <w:rPr>
                <w:rFonts w:ascii="Times New Roman" w:hAnsi="Times New Roman" w:cs="Times New Roman"/>
                <w:szCs w:val="24"/>
              </w:rPr>
            </w:pPr>
            <w:r w:rsidRPr="00D43584">
              <w:rPr>
                <w:rFonts w:ascii="Times New Roman" w:hAnsi="Times New Roman" w:cs="Times New Roman"/>
                <w:szCs w:val="24"/>
              </w:rPr>
              <w:t>-582</w:t>
            </w:r>
          </w:p>
        </w:tc>
        <w:tc>
          <w:tcPr>
            <w:tcW w:w="0" w:type="auto"/>
            <w:vAlign w:val="center"/>
            <w:hideMark/>
          </w:tcPr>
          <w:p w14:paraId="76B243E0" w14:textId="77777777" w:rsidR="00E74747" w:rsidRPr="00D43584" w:rsidRDefault="00E74747" w:rsidP="000D5B7C">
            <w:pPr>
              <w:pStyle w:val="NoSpacing"/>
              <w:jc w:val="center"/>
              <w:rPr>
                <w:rFonts w:ascii="Times New Roman" w:hAnsi="Times New Roman" w:cs="Times New Roman"/>
                <w:szCs w:val="24"/>
              </w:rPr>
            </w:pPr>
            <w:r w:rsidRPr="00D43584">
              <w:rPr>
                <w:rFonts w:ascii="Times New Roman" w:hAnsi="Times New Roman" w:cs="Times New Roman"/>
                <w:szCs w:val="24"/>
              </w:rPr>
              <w:t>-80</w:t>
            </w:r>
          </w:p>
        </w:tc>
        <w:tc>
          <w:tcPr>
            <w:tcW w:w="0" w:type="auto"/>
            <w:vAlign w:val="center"/>
            <w:hideMark/>
          </w:tcPr>
          <w:p w14:paraId="2FE2E163" w14:textId="77777777" w:rsidR="00E74747" w:rsidRPr="00D43584" w:rsidRDefault="00E74747" w:rsidP="000D5B7C">
            <w:pPr>
              <w:pStyle w:val="NoSpacing"/>
              <w:jc w:val="center"/>
              <w:rPr>
                <w:rFonts w:ascii="Times New Roman" w:hAnsi="Times New Roman" w:cs="Times New Roman"/>
                <w:szCs w:val="24"/>
              </w:rPr>
            </w:pPr>
            <w:r w:rsidRPr="00D43584">
              <w:rPr>
                <w:rFonts w:ascii="Times New Roman" w:hAnsi="Times New Roman" w:cs="Times New Roman"/>
                <w:szCs w:val="24"/>
              </w:rPr>
              <w:t>-219</w:t>
            </w:r>
          </w:p>
        </w:tc>
        <w:tc>
          <w:tcPr>
            <w:tcW w:w="0" w:type="auto"/>
            <w:vAlign w:val="center"/>
            <w:hideMark/>
          </w:tcPr>
          <w:p w14:paraId="2DED53EE" w14:textId="77777777" w:rsidR="00E74747" w:rsidRPr="00D43584" w:rsidRDefault="00E74747" w:rsidP="000D5B7C">
            <w:pPr>
              <w:pStyle w:val="NoSpacing"/>
              <w:jc w:val="center"/>
              <w:rPr>
                <w:rFonts w:ascii="Times New Roman" w:hAnsi="Times New Roman" w:cs="Times New Roman"/>
                <w:szCs w:val="24"/>
              </w:rPr>
            </w:pPr>
            <w:r w:rsidRPr="00D43584">
              <w:rPr>
                <w:rFonts w:ascii="Times New Roman" w:hAnsi="Times New Roman" w:cs="Times New Roman"/>
                <w:szCs w:val="24"/>
              </w:rPr>
              <w:t>-372</w:t>
            </w:r>
          </w:p>
        </w:tc>
        <w:tc>
          <w:tcPr>
            <w:tcW w:w="0" w:type="auto"/>
            <w:vAlign w:val="center"/>
            <w:hideMark/>
          </w:tcPr>
          <w:p w14:paraId="04B99773" w14:textId="77777777" w:rsidR="00E74747" w:rsidRPr="00D43584" w:rsidRDefault="00E74747" w:rsidP="000D5B7C">
            <w:pPr>
              <w:pStyle w:val="NoSpacing"/>
              <w:jc w:val="center"/>
              <w:rPr>
                <w:rFonts w:ascii="Times New Roman" w:hAnsi="Times New Roman" w:cs="Times New Roman"/>
                <w:szCs w:val="24"/>
              </w:rPr>
            </w:pPr>
            <w:r w:rsidRPr="00D43584">
              <w:rPr>
                <w:rFonts w:ascii="Times New Roman" w:hAnsi="Times New Roman" w:cs="Times New Roman"/>
                <w:szCs w:val="24"/>
              </w:rPr>
              <w:t>+670</w:t>
            </w:r>
          </w:p>
        </w:tc>
        <w:tc>
          <w:tcPr>
            <w:tcW w:w="0" w:type="auto"/>
            <w:vAlign w:val="center"/>
            <w:hideMark/>
          </w:tcPr>
          <w:p w14:paraId="5EF3BCEA" w14:textId="77777777" w:rsidR="00E74747" w:rsidRPr="00D43584" w:rsidRDefault="00E74747" w:rsidP="000D5B7C">
            <w:pPr>
              <w:pStyle w:val="NoSpacing"/>
              <w:jc w:val="center"/>
              <w:rPr>
                <w:rFonts w:ascii="Times New Roman" w:hAnsi="Times New Roman" w:cs="Times New Roman"/>
                <w:szCs w:val="24"/>
              </w:rPr>
            </w:pPr>
            <w:r w:rsidRPr="00D43584">
              <w:rPr>
                <w:rFonts w:ascii="Times New Roman" w:hAnsi="Times New Roman" w:cs="Times New Roman"/>
                <w:szCs w:val="24"/>
              </w:rPr>
              <w:t>-561</w:t>
            </w:r>
          </w:p>
        </w:tc>
        <w:tc>
          <w:tcPr>
            <w:tcW w:w="0" w:type="auto"/>
            <w:vAlign w:val="center"/>
            <w:hideMark/>
          </w:tcPr>
          <w:p w14:paraId="47A3484E" w14:textId="77777777" w:rsidR="00E74747" w:rsidRPr="00D43584" w:rsidRDefault="00E74747" w:rsidP="000D5B7C">
            <w:pPr>
              <w:pStyle w:val="NoSpacing"/>
              <w:jc w:val="center"/>
              <w:rPr>
                <w:rFonts w:ascii="Times New Roman" w:hAnsi="Times New Roman" w:cs="Times New Roman"/>
                <w:szCs w:val="24"/>
              </w:rPr>
            </w:pPr>
            <w:r w:rsidRPr="00D43584">
              <w:rPr>
                <w:rFonts w:ascii="Times New Roman" w:hAnsi="Times New Roman" w:cs="Times New Roman"/>
                <w:szCs w:val="24"/>
              </w:rPr>
              <w:t>-677</w:t>
            </w:r>
          </w:p>
        </w:tc>
        <w:tc>
          <w:tcPr>
            <w:tcW w:w="0" w:type="auto"/>
            <w:vAlign w:val="center"/>
            <w:hideMark/>
          </w:tcPr>
          <w:p w14:paraId="5E19B65F" w14:textId="77777777" w:rsidR="00E74747" w:rsidRPr="00D43584" w:rsidRDefault="00E74747" w:rsidP="000D5B7C">
            <w:pPr>
              <w:pStyle w:val="NoSpacing"/>
              <w:jc w:val="center"/>
              <w:rPr>
                <w:rFonts w:ascii="Times New Roman" w:hAnsi="Times New Roman" w:cs="Times New Roman"/>
                <w:szCs w:val="24"/>
              </w:rPr>
            </w:pPr>
            <w:r w:rsidRPr="00D43584">
              <w:rPr>
                <w:rFonts w:ascii="Times New Roman" w:hAnsi="Times New Roman" w:cs="Times New Roman"/>
                <w:szCs w:val="24"/>
              </w:rPr>
              <w:t>-470</w:t>
            </w:r>
          </w:p>
        </w:tc>
      </w:tr>
      <w:tr w:rsidR="00E74747" w:rsidRPr="00D43584" w14:paraId="3B5D1FA0" w14:textId="77777777" w:rsidTr="000D5B7C">
        <w:trPr>
          <w:trHeight w:val="397"/>
          <w:jc w:val="center"/>
        </w:trPr>
        <w:tc>
          <w:tcPr>
            <w:tcW w:w="0" w:type="auto"/>
            <w:vAlign w:val="center"/>
            <w:hideMark/>
          </w:tcPr>
          <w:p w14:paraId="2086D516" w14:textId="77777777" w:rsidR="00E74747" w:rsidRPr="000D5B7C" w:rsidRDefault="00E74747" w:rsidP="000D5B7C">
            <w:pPr>
              <w:pStyle w:val="NoSpacing"/>
              <w:jc w:val="center"/>
              <w:rPr>
                <w:rFonts w:ascii="Times New Roman" w:hAnsi="Times New Roman" w:cs="Times New Roman"/>
                <w:szCs w:val="24"/>
              </w:rPr>
            </w:pPr>
          </w:p>
        </w:tc>
        <w:tc>
          <w:tcPr>
            <w:tcW w:w="0" w:type="auto"/>
            <w:vAlign w:val="center"/>
            <w:hideMark/>
          </w:tcPr>
          <w:p w14:paraId="6FA969D5" w14:textId="77777777" w:rsidR="00E74747" w:rsidRPr="000D5B7C" w:rsidRDefault="00E74747" w:rsidP="000D5B7C">
            <w:pPr>
              <w:pStyle w:val="NoSpacing"/>
              <w:jc w:val="center"/>
              <w:rPr>
                <w:rFonts w:ascii="Times New Roman" w:hAnsi="Times New Roman" w:cs="Times New Roman"/>
                <w:szCs w:val="24"/>
              </w:rPr>
            </w:pPr>
            <w:r w:rsidRPr="000D5B7C">
              <w:rPr>
                <w:rFonts w:ascii="Times New Roman" w:hAnsi="Times New Roman" w:cs="Times New Roman"/>
                <w:szCs w:val="24"/>
              </w:rPr>
              <w:t>Capital</w:t>
            </w:r>
          </w:p>
        </w:tc>
        <w:tc>
          <w:tcPr>
            <w:tcW w:w="0" w:type="auto"/>
            <w:vAlign w:val="center"/>
            <w:hideMark/>
          </w:tcPr>
          <w:p w14:paraId="514DFD19" w14:textId="77777777" w:rsidR="00E74747" w:rsidRPr="00D43584" w:rsidRDefault="00E74747" w:rsidP="000D5B7C">
            <w:pPr>
              <w:pStyle w:val="NoSpacing"/>
              <w:jc w:val="center"/>
              <w:rPr>
                <w:rFonts w:ascii="Times New Roman" w:hAnsi="Times New Roman" w:cs="Times New Roman"/>
                <w:szCs w:val="24"/>
              </w:rPr>
            </w:pPr>
            <w:r w:rsidRPr="00D43584">
              <w:rPr>
                <w:rFonts w:ascii="Times New Roman" w:hAnsi="Times New Roman" w:cs="Times New Roman"/>
                <w:szCs w:val="24"/>
              </w:rPr>
              <w:t>+63</w:t>
            </w:r>
          </w:p>
        </w:tc>
        <w:tc>
          <w:tcPr>
            <w:tcW w:w="0" w:type="auto"/>
            <w:vAlign w:val="center"/>
            <w:hideMark/>
          </w:tcPr>
          <w:p w14:paraId="37F39780" w14:textId="77777777" w:rsidR="00E74747" w:rsidRPr="00D43584" w:rsidRDefault="00E74747" w:rsidP="000D5B7C">
            <w:pPr>
              <w:pStyle w:val="NoSpacing"/>
              <w:jc w:val="center"/>
              <w:rPr>
                <w:rFonts w:ascii="Times New Roman" w:hAnsi="Times New Roman" w:cs="Times New Roman"/>
                <w:szCs w:val="24"/>
              </w:rPr>
            </w:pPr>
            <w:r w:rsidRPr="00D43584">
              <w:rPr>
                <w:rFonts w:ascii="Times New Roman" w:hAnsi="Times New Roman" w:cs="Times New Roman"/>
                <w:szCs w:val="24"/>
              </w:rPr>
              <w:t>+322</w:t>
            </w:r>
          </w:p>
        </w:tc>
        <w:tc>
          <w:tcPr>
            <w:tcW w:w="0" w:type="auto"/>
            <w:vAlign w:val="center"/>
            <w:hideMark/>
          </w:tcPr>
          <w:p w14:paraId="1707E72A" w14:textId="77777777" w:rsidR="00E74747" w:rsidRPr="00D43584" w:rsidRDefault="00E74747" w:rsidP="000D5B7C">
            <w:pPr>
              <w:pStyle w:val="NoSpacing"/>
              <w:jc w:val="center"/>
              <w:rPr>
                <w:rFonts w:ascii="Times New Roman" w:hAnsi="Times New Roman" w:cs="Times New Roman"/>
                <w:szCs w:val="24"/>
              </w:rPr>
            </w:pPr>
            <w:r w:rsidRPr="00D43584">
              <w:rPr>
                <w:rFonts w:ascii="Times New Roman" w:hAnsi="Times New Roman" w:cs="Times New Roman"/>
                <w:szCs w:val="24"/>
              </w:rPr>
              <w:t>-88</w:t>
            </w:r>
          </w:p>
        </w:tc>
        <w:tc>
          <w:tcPr>
            <w:tcW w:w="0" w:type="auto"/>
            <w:vAlign w:val="center"/>
            <w:hideMark/>
          </w:tcPr>
          <w:p w14:paraId="253BEBAF" w14:textId="77777777" w:rsidR="00E74747" w:rsidRPr="00D43584" w:rsidRDefault="00E74747" w:rsidP="000D5B7C">
            <w:pPr>
              <w:pStyle w:val="NoSpacing"/>
              <w:jc w:val="center"/>
              <w:rPr>
                <w:rFonts w:ascii="Times New Roman" w:hAnsi="Times New Roman" w:cs="Times New Roman"/>
                <w:szCs w:val="24"/>
              </w:rPr>
            </w:pPr>
            <w:r w:rsidRPr="00D43584">
              <w:rPr>
                <w:rFonts w:ascii="Times New Roman" w:hAnsi="Times New Roman" w:cs="Times New Roman"/>
                <w:szCs w:val="24"/>
              </w:rPr>
              <w:t>+219</w:t>
            </w:r>
          </w:p>
        </w:tc>
        <w:tc>
          <w:tcPr>
            <w:tcW w:w="0" w:type="auto"/>
            <w:vAlign w:val="center"/>
            <w:hideMark/>
          </w:tcPr>
          <w:p w14:paraId="06CD5F9C" w14:textId="77777777" w:rsidR="00E74747" w:rsidRPr="00D43584" w:rsidRDefault="00E74747" w:rsidP="000D5B7C">
            <w:pPr>
              <w:pStyle w:val="NoSpacing"/>
              <w:jc w:val="center"/>
              <w:rPr>
                <w:rFonts w:ascii="Times New Roman" w:hAnsi="Times New Roman" w:cs="Times New Roman"/>
                <w:szCs w:val="24"/>
              </w:rPr>
            </w:pPr>
            <w:r w:rsidRPr="00D43584">
              <w:rPr>
                <w:rFonts w:ascii="Times New Roman" w:hAnsi="Times New Roman" w:cs="Times New Roman"/>
                <w:szCs w:val="24"/>
              </w:rPr>
              <w:t>+408</w:t>
            </w:r>
          </w:p>
        </w:tc>
        <w:tc>
          <w:tcPr>
            <w:tcW w:w="0" w:type="auto"/>
            <w:vAlign w:val="center"/>
            <w:hideMark/>
          </w:tcPr>
          <w:p w14:paraId="0FD99EA5" w14:textId="77777777" w:rsidR="00E74747" w:rsidRPr="00D43584" w:rsidRDefault="00E74747" w:rsidP="000D5B7C">
            <w:pPr>
              <w:pStyle w:val="NoSpacing"/>
              <w:jc w:val="center"/>
              <w:rPr>
                <w:rFonts w:ascii="Times New Roman" w:hAnsi="Times New Roman" w:cs="Times New Roman"/>
                <w:szCs w:val="24"/>
              </w:rPr>
            </w:pPr>
            <w:r w:rsidRPr="00D43584">
              <w:rPr>
                <w:rFonts w:ascii="Times New Roman" w:hAnsi="Times New Roman" w:cs="Times New Roman"/>
                <w:szCs w:val="24"/>
              </w:rPr>
              <w:t>-391</w:t>
            </w:r>
          </w:p>
        </w:tc>
        <w:tc>
          <w:tcPr>
            <w:tcW w:w="0" w:type="auto"/>
            <w:vAlign w:val="center"/>
            <w:hideMark/>
          </w:tcPr>
          <w:p w14:paraId="2AA7D18C" w14:textId="77777777" w:rsidR="00E74747" w:rsidRPr="00D43584" w:rsidRDefault="00E74747" w:rsidP="000D5B7C">
            <w:pPr>
              <w:pStyle w:val="NoSpacing"/>
              <w:jc w:val="center"/>
              <w:rPr>
                <w:rFonts w:ascii="Times New Roman" w:hAnsi="Times New Roman" w:cs="Times New Roman"/>
                <w:szCs w:val="24"/>
              </w:rPr>
            </w:pPr>
            <w:r w:rsidRPr="00D43584">
              <w:rPr>
                <w:rFonts w:ascii="Times New Roman" w:hAnsi="Times New Roman" w:cs="Times New Roman"/>
                <w:szCs w:val="24"/>
              </w:rPr>
              <w:t>+561</w:t>
            </w:r>
          </w:p>
        </w:tc>
        <w:tc>
          <w:tcPr>
            <w:tcW w:w="0" w:type="auto"/>
            <w:vAlign w:val="center"/>
            <w:hideMark/>
          </w:tcPr>
          <w:p w14:paraId="031EA4C8" w14:textId="77777777" w:rsidR="00E74747" w:rsidRPr="00D43584" w:rsidRDefault="00E74747" w:rsidP="000D5B7C">
            <w:pPr>
              <w:pStyle w:val="NoSpacing"/>
              <w:jc w:val="center"/>
              <w:rPr>
                <w:rFonts w:ascii="Times New Roman" w:hAnsi="Times New Roman" w:cs="Times New Roman"/>
                <w:szCs w:val="24"/>
              </w:rPr>
            </w:pPr>
            <w:r w:rsidRPr="00D43584">
              <w:rPr>
                <w:rFonts w:ascii="Times New Roman" w:hAnsi="Times New Roman" w:cs="Times New Roman"/>
                <w:szCs w:val="24"/>
              </w:rPr>
              <w:t>+420</w:t>
            </w:r>
          </w:p>
        </w:tc>
        <w:tc>
          <w:tcPr>
            <w:tcW w:w="0" w:type="auto"/>
            <w:vAlign w:val="center"/>
            <w:hideMark/>
          </w:tcPr>
          <w:p w14:paraId="49A4339E" w14:textId="77777777" w:rsidR="00E74747" w:rsidRPr="00D43584" w:rsidRDefault="00E74747" w:rsidP="000D5B7C">
            <w:pPr>
              <w:pStyle w:val="NoSpacing"/>
              <w:jc w:val="center"/>
              <w:rPr>
                <w:rFonts w:ascii="Times New Roman" w:hAnsi="Times New Roman" w:cs="Times New Roman"/>
                <w:szCs w:val="24"/>
              </w:rPr>
            </w:pPr>
            <w:r w:rsidRPr="00D43584">
              <w:rPr>
                <w:rFonts w:ascii="Times New Roman" w:hAnsi="Times New Roman" w:cs="Times New Roman"/>
                <w:szCs w:val="24"/>
              </w:rPr>
              <w:t>+470</w:t>
            </w:r>
          </w:p>
        </w:tc>
      </w:tr>
      <w:tr w:rsidR="00E74747" w:rsidRPr="00D43584" w14:paraId="2639DE59" w14:textId="77777777" w:rsidTr="000D5B7C">
        <w:trPr>
          <w:trHeight w:val="397"/>
          <w:jc w:val="center"/>
        </w:trPr>
        <w:tc>
          <w:tcPr>
            <w:tcW w:w="0" w:type="auto"/>
            <w:vAlign w:val="center"/>
            <w:hideMark/>
          </w:tcPr>
          <w:p w14:paraId="7E9304D4" w14:textId="77777777" w:rsidR="00E74747" w:rsidRPr="000D5B7C" w:rsidRDefault="00E74747" w:rsidP="000D5B7C">
            <w:pPr>
              <w:pStyle w:val="NoSpacing"/>
              <w:jc w:val="center"/>
              <w:rPr>
                <w:rFonts w:ascii="Times New Roman" w:hAnsi="Times New Roman" w:cs="Times New Roman"/>
                <w:szCs w:val="24"/>
              </w:rPr>
            </w:pPr>
          </w:p>
        </w:tc>
        <w:tc>
          <w:tcPr>
            <w:tcW w:w="0" w:type="auto"/>
            <w:vAlign w:val="center"/>
            <w:hideMark/>
          </w:tcPr>
          <w:p w14:paraId="692D32B2" w14:textId="77777777" w:rsidR="00E74747" w:rsidRPr="000D5B7C" w:rsidRDefault="00E74747" w:rsidP="000D5B7C">
            <w:pPr>
              <w:pStyle w:val="NoSpacing"/>
              <w:jc w:val="center"/>
              <w:rPr>
                <w:rFonts w:ascii="Times New Roman" w:hAnsi="Times New Roman" w:cs="Times New Roman"/>
                <w:szCs w:val="24"/>
              </w:rPr>
            </w:pPr>
            <w:r w:rsidRPr="000D5B7C">
              <w:rPr>
                <w:rFonts w:ascii="Times New Roman" w:hAnsi="Times New Roman" w:cs="Times New Roman"/>
                <w:szCs w:val="24"/>
              </w:rPr>
              <w:t>Overall</w:t>
            </w:r>
          </w:p>
        </w:tc>
        <w:tc>
          <w:tcPr>
            <w:tcW w:w="0" w:type="auto"/>
            <w:vAlign w:val="center"/>
            <w:hideMark/>
          </w:tcPr>
          <w:p w14:paraId="05FED645" w14:textId="77777777" w:rsidR="00E74747" w:rsidRPr="00D43584" w:rsidRDefault="00E74747" w:rsidP="000D5B7C">
            <w:pPr>
              <w:pStyle w:val="NoSpacing"/>
              <w:jc w:val="center"/>
              <w:rPr>
                <w:rFonts w:ascii="Times New Roman" w:hAnsi="Times New Roman" w:cs="Times New Roman"/>
                <w:szCs w:val="24"/>
              </w:rPr>
            </w:pPr>
            <w:r w:rsidRPr="00D43584">
              <w:rPr>
                <w:rFonts w:ascii="Times New Roman" w:hAnsi="Times New Roman" w:cs="Times New Roman"/>
                <w:szCs w:val="24"/>
              </w:rPr>
              <w:t>-70</w:t>
            </w:r>
          </w:p>
        </w:tc>
        <w:tc>
          <w:tcPr>
            <w:tcW w:w="0" w:type="auto"/>
            <w:vAlign w:val="center"/>
            <w:hideMark/>
          </w:tcPr>
          <w:p w14:paraId="1C6ED55B" w14:textId="77777777" w:rsidR="00E74747" w:rsidRPr="00D43584" w:rsidRDefault="00E74747" w:rsidP="000D5B7C">
            <w:pPr>
              <w:pStyle w:val="NoSpacing"/>
              <w:jc w:val="center"/>
              <w:rPr>
                <w:rFonts w:ascii="Times New Roman" w:hAnsi="Times New Roman" w:cs="Times New Roman"/>
                <w:szCs w:val="24"/>
              </w:rPr>
            </w:pPr>
            <w:r w:rsidRPr="00D43584">
              <w:rPr>
                <w:rFonts w:ascii="Times New Roman" w:hAnsi="Times New Roman" w:cs="Times New Roman"/>
                <w:szCs w:val="24"/>
              </w:rPr>
              <w:t>-260</w:t>
            </w:r>
          </w:p>
        </w:tc>
        <w:tc>
          <w:tcPr>
            <w:tcW w:w="0" w:type="auto"/>
            <w:vAlign w:val="center"/>
            <w:hideMark/>
          </w:tcPr>
          <w:p w14:paraId="62FBD80D" w14:textId="77777777" w:rsidR="00E74747" w:rsidRPr="00D43584" w:rsidRDefault="00E74747" w:rsidP="000D5B7C">
            <w:pPr>
              <w:pStyle w:val="NoSpacing"/>
              <w:jc w:val="center"/>
              <w:rPr>
                <w:rFonts w:ascii="Times New Roman" w:hAnsi="Times New Roman" w:cs="Times New Roman"/>
                <w:szCs w:val="24"/>
              </w:rPr>
            </w:pPr>
            <w:r w:rsidRPr="00D43584">
              <w:rPr>
                <w:rFonts w:ascii="Times New Roman" w:hAnsi="Times New Roman" w:cs="Times New Roman"/>
                <w:szCs w:val="24"/>
              </w:rPr>
              <w:t>-168</w:t>
            </w:r>
          </w:p>
        </w:tc>
        <w:tc>
          <w:tcPr>
            <w:tcW w:w="0" w:type="auto"/>
            <w:vAlign w:val="center"/>
            <w:hideMark/>
          </w:tcPr>
          <w:p w14:paraId="729C5C50" w14:textId="77777777" w:rsidR="00E74747" w:rsidRPr="00D43584" w:rsidRDefault="00E74747" w:rsidP="000D5B7C">
            <w:pPr>
              <w:pStyle w:val="NoSpacing"/>
              <w:jc w:val="center"/>
              <w:rPr>
                <w:rFonts w:ascii="Times New Roman" w:hAnsi="Times New Roman" w:cs="Times New Roman"/>
                <w:szCs w:val="24"/>
              </w:rPr>
            </w:pPr>
            <w:r w:rsidRPr="00D43584">
              <w:rPr>
                <w:rFonts w:ascii="Times New Roman" w:hAnsi="Times New Roman" w:cs="Times New Roman"/>
                <w:szCs w:val="24"/>
              </w:rPr>
              <w:t>..</w:t>
            </w:r>
          </w:p>
        </w:tc>
        <w:tc>
          <w:tcPr>
            <w:tcW w:w="0" w:type="auto"/>
            <w:vAlign w:val="center"/>
            <w:hideMark/>
          </w:tcPr>
          <w:p w14:paraId="738E50FC" w14:textId="77777777" w:rsidR="00E74747" w:rsidRPr="00D43584" w:rsidRDefault="00E74747" w:rsidP="000D5B7C">
            <w:pPr>
              <w:pStyle w:val="NoSpacing"/>
              <w:jc w:val="center"/>
              <w:rPr>
                <w:rFonts w:ascii="Times New Roman" w:hAnsi="Times New Roman" w:cs="Times New Roman"/>
                <w:szCs w:val="24"/>
              </w:rPr>
            </w:pPr>
            <w:r w:rsidRPr="00D43584">
              <w:rPr>
                <w:rFonts w:ascii="Times New Roman" w:hAnsi="Times New Roman" w:cs="Times New Roman"/>
                <w:szCs w:val="24"/>
              </w:rPr>
              <w:t>+36</w:t>
            </w:r>
          </w:p>
        </w:tc>
        <w:tc>
          <w:tcPr>
            <w:tcW w:w="0" w:type="auto"/>
            <w:vAlign w:val="center"/>
            <w:hideMark/>
          </w:tcPr>
          <w:p w14:paraId="35C5D15A" w14:textId="77777777" w:rsidR="00E74747" w:rsidRPr="00D43584" w:rsidRDefault="00E74747" w:rsidP="000D5B7C">
            <w:pPr>
              <w:pStyle w:val="NoSpacing"/>
              <w:jc w:val="center"/>
              <w:rPr>
                <w:rFonts w:ascii="Times New Roman" w:hAnsi="Times New Roman" w:cs="Times New Roman"/>
                <w:szCs w:val="24"/>
              </w:rPr>
            </w:pPr>
            <w:r w:rsidRPr="00D43584">
              <w:rPr>
                <w:rFonts w:ascii="Times New Roman" w:hAnsi="Times New Roman" w:cs="Times New Roman"/>
                <w:szCs w:val="24"/>
              </w:rPr>
              <w:t>+279</w:t>
            </w:r>
          </w:p>
        </w:tc>
        <w:tc>
          <w:tcPr>
            <w:tcW w:w="0" w:type="auto"/>
            <w:vAlign w:val="center"/>
            <w:hideMark/>
          </w:tcPr>
          <w:p w14:paraId="00FD42A4" w14:textId="77777777" w:rsidR="00E74747" w:rsidRPr="00D43584" w:rsidRDefault="00E74747" w:rsidP="000D5B7C">
            <w:pPr>
              <w:pStyle w:val="NoSpacing"/>
              <w:jc w:val="center"/>
              <w:rPr>
                <w:rFonts w:ascii="Times New Roman" w:hAnsi="Times New Roman" w:cs="Times New Roman"/>
                <w:szCs w:val="24"/>
              </w:rPr>
            </w:pPr>
            <w:r w:rsidRPr="00D43584">
              <w:rPr>
                <w:rFonts w:ascii="Times New Roman" w:hAnsi="Times New Roman" w:cs="Times New Roman"/>
                <w:szCs w:val="24"/>
              </w:rPr>
              <w:t>..</w:t>
            </w:r>
          </w:p>
        </w:tc>
        <w:tc>
          <w:tcPr>
            <w:tcW w:w="0" w:type="auto"/>
            <w:vAlign w:val="center"/>
            <w:hideMark/>
          </w:tcPr>
          <w:p w14:paraId="0EF231FF" w14:textId="77777777" w:rsidR="00E74747" w:rsidRPr="00D43584" w:rsidRDefault="00E74747" w:rsidP="000D5B7C">
            <w:pPr>
              <w:pStyle w:val="NoSpacing"/>
              <w:jc w:val="center"/>
              <w:rPr>
                <w:rFonts w:ascii="Times New Roman" w:hAnsi="Times New Roman" w:cs="Times New Roman"/>
                <w:szCs w:val="24"/>
              </w:rPr>
            </w:pPr>
            <w:r w:rsidRPr="00D43584">
              <w:rPr>
                <w:rFonts w:ascii="Times New Roman" w:hAnsi="Times New Roman" w:cs="Times New Roman"/>
                <w:szCs w:val="24"/>
              </w:rPr>
              <w:t>-257</w:t>
            </w:r>
          </w:p>
        </w:tc>
        <w:tc>
          <w:tcPr>
            <w:tcW w:w="0" w:type="auto"/>
            <w:vAlign w:val="center"/>
            <w:hideMark/>
          </w:tcPr>
          <w:p w14:paraId="7C74C1C0" w14:textId="77777777" w:rsidR="00E74747" w:rsidRPr="00D43584" w:rsidRDefault="00E74747" w:rsidP="000D5B7C">
            <w:pPr>
              <w:pStyle w:val="NoSpacing"/>
              <w:jc w:val="center"/>
              <w:rPr>
                <w:rFonts w:ascii="Times New Roman" w:hAnsi="Times New Roman" w:cs="Times New Roman"/>
                <w:szCs w:val="24"/>
              </w:rPr>
            </w:pPr>
            <w:r w:rsidRPr="00D43584">
              <w:rPr>
                <w:rFonts w:ascii="Times New Roman" w:hAnsi="Times New Roman" w:cs="Times New Roman"/>
                <w:szCs w:val="24"/>
              </w:rPr>
              <w:t>..</w:t>
            </w:r>
          </w:p>
        </w:tc>
      </w:tr>
      <w:tr w:rsidR="00E74747" w:rsidRPr="00D43584" w14:paraId="14E3D475" w14:textId="77777777" w:rsidTr="000D5B7C">
        <w:trPr>
          <w:trHeight w:val="397"/>
          <w:jc w:val="center"/>
        </w:trPr>
        <w:tc>
          <w:tcPr>
            <w:tcW w:w="0" w:type="auto"/>
            <w:vAlign w:val="center"/>
            <w:hideMark/>
          </w:tcPr>
          <w:p w14:paraId="1513B44E" w14:textId="77777777" w:rsidR="00E74747" w:rsidRPr="000D5B7C" w:rsidRDefault="00E74747" w:rsidP="000D5B7C">
            <w:pPr>
              <w:pStyle w:val="NoSpacing"/>
              <w:jc w:val="center"/>
              <w:rPr>
                <w:rFonts w:ascii="Times New Roman" w:hAnsi="Times New Roman" w:cs="Times New Roman"/>
                <w:szCs w:val="24"/>
              </w:rPr>
            </w:pPr>
            <w:r w:rsidRPr="000D5B7C">
              <w:rPr>
                <w:rFonts w:ascii="Times New Roman" w:hAnsi="Times New Roman" w:cs="Times New Roman"/>
                <w:szCs w:val="24"/>
              </w:rPr>
              <w:t>Kerala</w:t>
            </w:r>
          </w:p>
        </w:tc>
        <w:tc>
          <w:tcPr>
            <w:tcW w:w="0" w:type="auto"/>
            <w:vAlign w:val="center"/>
            <w:hideMark/>
          </w:tcPr>
          <w:p w14:paraId="2FF8E21D" w14:textId="77777777" w:rsidR="00E74747" w:rsidRPr="000D5B7C" w:rsidRDefault="00E74747" w:rsidP="000D5B7C">
            <w:pPr>
              <w:pStyle w:val="NoSpacing"/>
              <w:jc w:val="center"/>
              <w:rPr>
                <w:rFonts w:ascii="Times New Roman" w:hAnsi="Times New Roman" w:cs="Times New Roman"/>
                <w:szCs w:val="24"/>
              </w:rPr>
            </w:pPr>
            <w:r w:rsidRPr="000D5B7C">
              <w:rPr>
                <w:rFonts w:ascii="Times New Roman" w:hAnsi="Times New Roman" w:cs="Times New Roman"/>
                <w:szCs w:val="24"/>
              </w:rPr>
              <w:t>Revenue</w:t>
            </w:r>
          </w:p>
        </w:tc>
        <w:tc>
          <w:tcPr>
            <w:tcW w:w="0" w:type="auto"/>
            <w:vAlign w:val="center"/>
            <w:hideMark/>
          </w:tcPr>
          <w:p w14:paraId="7A073AD6" w14:textId="77777777" w:rsidR="00E74747" w:rsidRPr="00D43584" w:rsidRDefault="00E74747" w:rsidP="000D5B7C">
            <w:pPr>
              <w:pStyle w:val="NoSpacing"/>
              <w:jc w:val="center"/>
              <w:rPr>
                <w:rFonts w:ascii="Times New Roman" w:hAnsi="Times New Roman" w:cs="Times New Roman"/>
                <w:szCs w:val="24"/>
              </w:rPr>
            </w:pPr>
            <w:r w:rsidRPr="00D43584">
              <w:rPr>
                <w:rFonts w:ascii="Times New Roman" w:hAnsi="Times New Roman" w:cs="Times New Roman"/>
                <w:szCs w:val="24"/>
              </w:rPr>
              <w:t>-218</w:t>
            </w:r>
          </w:p>
        </w:tc>
        <w:tc>
          <w:tcPr>
            <w:tcW w:w="0" w:type="auto"/>
            <w:vAlign w:val="center"/>
            <w:hideMark/>
          </w:tcPr>
          <w:p w14:paraId="02692ED0" w14:textId="77777777" w:rsidR="00E74747" w:rsidRPr="00D43584" w:rsidRDefault="00E74747" w:rsidP="000D5B7C">
            <w:pPr>
              <w:pStyle w:val="NoSpacing"/>
              <w:jc w:val="center"/>
              <w:rPr>
                <w:rFonts w:ascii="Times New Roman" w:hAnsi="Times New Roman" w:cs="Times New Roman"/>
                <w:szCs w:val="24"/>
              </w:rPr>
            </w:pPr>
            <w:r w:rsidRPr="00D43584">
              <w:rPr>
                <w:rFonts w:ascii="Times New Roman" w:hAnsi="Times New Roman" w:cs="Times New Roman"/>
                <w:szCs w:val="24"/>
              </w:rPr>
              <w:t>-107</w:t>
            </w:r>
          </w:p>
        </w:tc>
        <w:tc>
          <w:tcPr>
            <w:tcW w:w="0" w:type="auto"/>
            <w:vAlign w:val="center"/>
            <w:hideMark/>
          </w:tcPr>
          <w:p w14:paraId="183599D6" w14:textId="77777777" w:rsidR="00E74747" w:rsidRPr="00D43584" w:rsidRDefault="00E74747" w:rsidP="000D5B7C">
            <w:pPr>
              <w:pStyle w:val="NoSpacing"/>
              <w:jc w:val="center"/>
              <w:rPr>
                <w:rFonts w:ascii="Times New Roman" w:hAnsi="Times New Roman" w:cs="Times New Roman"/>
                <w:szCs w:val="24"/>
              </w:rPr>
            </w:pPr>
            <w:r w:rsidRPr="00D43584">
              <w:rPr>
                <w:rFonts w:ascii="Times New Roman" w:hAnsi="Times New Roman" w:cs="Times New Roman"/>
                <w:szCs w:val="24"/>
              </w:rPr>
              <w:t>+27</w:t>
            </w:r>
          </w:p>
        </w:tc>
        <w:tc>
          <w:tcPr>
            <w:tcW w:w="0" w:type="auto"/>
            <w:vAlign w:val="center"/>
            <w:hideMark/>
          </w:tcPr>
          <w:p w14:paraId="5B5B6A07" w14:textId="77777777" w:rsidR="00E74747" w:rsidRPr="00D43584" w:rsidRDefault="00E74747" w:rsidP="000D5B7C">
            <w:pPr>
              <w:pStyle w:val="NoSpacing"/>
              <w:jc w:val="center"/>
              <w:rPr>
                <w:rFonts w:ascii="Times New Roman" w:hAnsi="Times New Roman" w:cs="Times New Roman"/>
                <w:szCs w:val="24"/>
              </w:rPr>
            </w:pPr>
            <w:r w:rsidRPr="00D43584">
              <w:rPr>
                <w:rFonts w:ascii="Times New Roman" w:hAnsi="Times New Roman" w:cs="Times New Roman"/>
                <w:szCs w:val="24"/>
              </w:rPr>
              <w:t>+381</w:t>
            </w:r>
          </w:p>
        </w:tc>
        <w:tc>
          <w:tcPr>
            <w:tcW w:w="0" w:type="auto"/>
            <w:vAlign w:val="center"/>
            <w:hideMark/>
          </w:tcPr>
          <w:p w14:paraId="5CFF83BB" w14:textId="77777777" w:rsidR="00E74747" w:rsidRPr="00D43584" w:rsidRDefault="00E74747" w:rsidP="000D5B7C">
            <w:pPr>
              <w:pStyle w:val="NoSpacing"/>
              <w:jc w:val="center"/>
              <w:rPr>
                <w:rFonts w:ascii="Times New Roman" w:hAnsi="Times New Roman" w:cs="Times New Roman"/>
                <w:szCs w:val="24"/>
              </w:rPr>
            </w:pPr>
            <w:r w:rsidRPr="00D43584">
              <w:rPr>
                <w:rFonts w:ascii="Times New Roman" w:hAnsi="Times New Roman" w:cs="Times New Roman"/>
                <w:szCs w:val="24"/>
              </w:rPr>
              <w:t>+419</w:t>
            </w:r>
          </w:p>
        </w:tc>
        <w:tc>
          <w:tcPr>
            <w:tcW w:w="0" w:type="auto"/>
            <w:vAlign w:val="center"/>
            <w:hideMark/>
          </w:tcPr>
          <w:p w14:paraId="516D7A12" w14:textId="77777777" w:rsidR="00E74747" w:rsidRPr="00D43584" w:rsidRDefault="00E74747" w:rsidP="000D5B7C">
            <w:pPr>
              <w:pStyle w:val="NoSpacing"/>
              <w:jc w:val="center"/>
              <w:rPr>
                <w:rFonts w:ascii="Times New Roman" w:hAnsi="Times New Roman" w:cs="Times New Roman"/>
                <w:szCs w:val="24"/>
              </w:rPr>
            </w:pPr>
            <w:r w:rsidRPr="00D43584">
              <w:rPr>
                <w:rFonts w:ascii="Times New Roman" w:hAnsi="Times New Roman" w:cs="Times New Roman"/>
                <w:szCs w:val="24"/>
              </w:rPr>
              <w:t>+1025</w:t>
            </w:r>
          </w:p>
        </w:tc>
        <w:tc>
          <w:tcPr>
            <w:tcW w:w="0" w:type="auto"/>
            <w:vAlign w:val="center"/>
            <w:hideMark/>
          </w:tcPr>
          <w:p w14:paraId="6FF0D5E9" w14:textId="77777777" w:rsidR="00E74747" w:rsidRPr="00D43584" w:rsidRDefault="00E74747" w:rsidP="000D5B7C">
            <w:pPr>
              <w:pStyle w:val="NoSpacing"/>
              <w:jc w:val="center"/>
              <w:rPr>
                <w:rFonts w:ascii="Times New Roman" w:hAnsi="Times New Roman" w:cs="Times New Roman"/>
                <w:szCs w:val="24"/>
              </w:rPr>
            </w:pPr>
            <w:r w:rsidRPr="00D43584">
              <w:rPr>
                <w:rFonts w:ascii="Times New Roman" w:hAnsi="Times New Roman" w:cs="Times New Roman"/>
                <w:szCs w:val="24"/>
              </w:rPr>
              <w:t>+135</w:t>
            </w:r>
          </w:p>
        </w:tc>
        <w:tc>
          <w:tcPr>
            <w:tcW w:w="0" w:type="auto"/>
            <w:vAlign w:val="center"/>
            <w:hideMark/>
          </w:tcPr>
          <w:p w14:paraId="054B2F87" w14:textId="77777777" w:rsidR="00E74747" w:rsidRPr="00D43584" w:rsidRDefault="00E74747" w:rsidP="000D5B7C">
            <w:pPr>
              <w:pStyle w:val="NoSpacing"/>
              <w:jc w:val="center"/>
              <w:rPr>
                <w:rFonts w:ascii="Times New Roman" w:hAnsi="Times New Roman" w:cs="Times New Roman"/>
                <w:szCs w:val="24"/>
              </w:rPr>
            </w:pPr>
            <w:r w:rsidRPr="00D43584">
              <w:rPr>
                <w:rFonts w:ascii="Times New Roman" w:hAnsi="Times New Roman" w:cs="Times New Roman"/>
                <w:szCs w:val="24"/>
              </w:rPr>
              <w:t>+334</w:t>
            </w:r>
          </w:p>
        </w:tc>
        <w:tc>
          <w:tcPr>
            <w:tcW w:w="0" w:type="auto"/>
            <w:vAlign w:val="center"/>
            <w:hideMark/>
          </w:tcPr>
          <w:p w14:paraId="306B0677" w14:textId="77777777" w:rsidR="00E74747" w:rsidRPr="00D43584" w:rsidRDefault="00E74747" w:rsidP="000D5B7C">
            <w:pPr>
              <w:pStyle w:val="NoSpacing"/>
              <w:jc w:val="center"/>
              <w:rPr>
                <w:rFonts w:ascii="Times New Roman" w:hAnsi="Times New Roman" w:cs="Times New Roman"/>
                <w:szCs w:val="24"/>
              </w:rPr>
            </w:pPr>
            <w:r w:rsidRPr="00D43584">
              <w:rPr>
                <w:rFonts w:ascii="Times New Roman" w:hAnsi="Times New Roman" w:cs="Times New Roman"/>
                <w:szCs w:val="24"/>
              </w:rPr>
              <w:t>-1368</w:t>
            </w:r>
          </w:p>
        </w:tc>
      </w:tr>
      <w:tr w:rsidR="00E74747" w:rsidRPr="00D43584" w14:paraId="1A10E906" w14:textId="77777777" w:rsidTr="000D5B7C">
        <w:trPr>
          <w:trHeight w:val="397"/>
          <w:jc w:val="center"/>
        </w:trPr>
        <w:tc>
          <w:tcPr>
            <w:tcW w:w="0" w:type="auto"/>
            <w:vAlign w:val="center"/>
            <w:hideMark/>
          </w:tcPr>
          <w:p w14:paraId="035A3C16" w14:textId="77777777" w:rsidR="00E74747" w:rsidRPr="000D5B7C" w:rsidRDefault="00E74747" w:rsidP="000D5B7C">
            <w:pPr>
              <w:pStyle w:val="NoSpacing"/>
              <w:jc w:val="center"/>
              <w:rPr>
                <w:rFonts w:ascii="Times New Roman" w:hAnsi="Times New Roman" w:cs="Times New Roman"/>
                <w:szCs w:val="24"/>
              </w:rPr>
            </w:pPr>
          </w:p>
        </w:tc>
        <w:tc>
          <w:tcPr>
            <w:tcW w:w="0" w:type="auto"/>
            <w:vAlign w:val="center"/>
            <w:hideMark/>
          </w:tcPr>
          <w:p w14:paraId="37BFD895" w14:textId="77777777" w:rsidR="00E74747" w:rsidRPr="000D5B7C" w:rsidRDefault="00E74747" w:rsidP="000D5B7C">
            <w:pPr>
              <w:pStyle w:val="NoSpacing"/>
              <w:jc w:val="center"/>
              <w:rPr>
                <w:rFonts w:ascii="Times New Roman" w:hAnsi="Times New Roman" w:cs="Times New Roman"/>
                <w:szCs w:val="24"/>
              </w:rPr>
            </w:pPr>
            <w:r w:rsidRPr="000D5B7C">
              <w:rPr>
                <w:rFonts w:ascii="Times New Roman" w:hAnsi="Times New Roman" w:cs="Times New Roman"/>
                <w:szCs w:val="24"/>
              </w:rPr>
              <w:t>Capital</w:t>
            </w:r>
          </w:p>
        </w:tc>
        <w:tc>
          <w:tcPr>
            <w:tcW w:w="0" w:type="auto"/>
            <w:vAlign w:val="center"/>
            <w:hideMark/>
          </w:tcPr>
          <w:p w14:paraId="55E495A2" w14:textId="77777777" w:rsidR="00E74747" w:rsidRPr="00D43584" w:rsidRDefault="00E74747" w:rsidP="000D5B7C">
            <w:pPr>
              <w:pStyle w:val="NoSpacing"/>
              <w:jc w:val="center"/>
              <w:rPr>
                <w:rFonts w:ascii="Times New Roman" w:hAnsi="Times New Roman" w:cs="Times New Roman"/>
                <w:szCs w:val="24"/>
              </w:rPr>
            </w:pPr>
            <w:r w:rsidRPr="00D43584">
              <w:rPr>
                <w:rFonts w:ascii="Times New Roman" w:hAnsi="Times New Roman" w:cs="Times New Roman"/>
                <w:szCs w:val="24"/>
              </w:rPr>
              <w:t>+136</w:t>
            </w:r>
          </w:p>
        </w:tc>
        <w:tc>
          <w:tcPr>
            <w:tcW w:w="0" w:type="auto"/>
            <w:vAlign w:val="center"/>
            <w:hideMark/>
          </w:tcPr>
          <w:p w14:paraId="3D4D48F6" w14:textId="77777777" w:rsidR="00E74747" w:rsidRPr="00D43584" w:rsidRDefault="00E74747" w:rsidP="000D5B7C">
            <w:pPr>
              <w:pStyle w:val="NoSpacing"/>
              <w:jc w:val="center"/>
              <w:rPr>
                <w:rFonts w:ascii="Times New Roman" w:hAnsi="Times New Roman" w:cs="Times New Roman"/>
                <w:szCs w:val="24"/>
              </w:rPr>
            </w:pPr>
            <w:r w:rsidRPr="00D43584">
              <w:rPr>
                <w:rFonts w:ascii="Times New Roman" w:hAnsi="Times New Roman" w:cs="Times New Roman"/>
                <w:szCs w:val="24"/>
              </w:rPr>
              <w:t>-635</w:t>
            </w:r>
          </w:p>
        </w:tc>
        <w:tc>
          <w:tcPr>
            <w:tcW w:w="0" w:type="auto"/>
            <w:vAlign w:val="center"/>
            <w:hideMark/>
          </w:tcPr>
          <w:p w14:paraId="58F4C86D" w14:textId="77777777" w:rsidR="00E74747" w:rsidRPr="00D43584" w:rsidRDefault="00E74747" w:rsidP="000D5B7C">
            <w:pPr>
              <w:pStyle w:val="NoSpacing"/>
              <w:jc w:val="center"/>
              <w:rPr>
                <w:rFonts w:ascii="Times New Roman" w:hAnsi="Times New Roman" w:cs="Times New Roman"/>
                <w:szCs w:val="24"/>
              </w:rPr>
            </w:pPr>
            <w:r w:rsidRPr="00D43584">
              <w:rPr>
                <w:rFonts w:ascii="Times New Roman" w:hAnsi="Times New Roman" w:cs="Times New Roman"/>
                <w:szCs w:val="24"/>
              </w:rPr>
              <w:t>-32</w:t>
            </w:r>
          </w:p>
        </w:tc>
        <w:tc>
          <w:tcPr>
            <w:tcW w:w="0" w:type="auto"/>
            <w:vAlign w:val="center"/>
            <w:hideMark/>
          </w:tcPr>
          <w:p w14:paraId="41B9ED3E" w14:textId="77777777" w:rsidR="00E74747" w:rsidRPr="00D43584" w:rsidRDefault="00E74747" w:rsidP="000D5B7C">
            <w:pPr>
              <w:pStyle w:val="NoSpacing"/>
              <w:jc w:val="center"/>
              <w:rPr>
                <w:rFonts w:ascii="Times New Roman" w:hAnsi="Times New Roman" w:cs="Times New Roman"/>
                <w:szCs w:val="24"/>
              </w:rPr>
            </w:pPr>
            <w:r w:rsidRPr="00D43584">
              <w:rPr>
                <w:rFonts w:ascii="Times New Roman" w:hAnsi="Times New Roman" w:cs="Times New Roman"/>
                <w:szCs w:val="24"/>
              </w:rPr>
              <w:t>-476</w:t>
            </w:r>
          </w:p>
        </w:tc>
        <w:tc>
          <w:tcPr>
            <w:tcW w:w="0" w:type="auto"/>
            <w:vAlign w:val="center"/>
            <w:hideMark/>
          </w:tcPr>
          <w:p w14:paraId="14CF2FBA" w14:textId="77777777" w:rsidR="00E74747" w:rsidRPr="00D43584" w:rsidRDefault="00E74747" w:rsidP="000D5B7C">
            <w:pPr>
              <w:pStyle w:val="NoSpacing"/>
              <w:jc w:val="center"/>
              <w:rPr>
                <w:rFonts w:ascii="Times New Roman" w:hAnsi="Times New Roman" w:cs="Times New Roman"/>
                <w:szCs w:val="24"/>
              </w:rPr>
            </w:pPr>
            <w:r w:rsidRPr="00D43584">
              <w:rPr>
                <w:rFonts w:ascii="Times New Roman" w:hAnsi="Times New Roman" w:cs="Times New Roman"/>
                <w:szCs w:val="24"/>
              </w:rPr>
              <w:t>-1621</w:t>
            </w:r>
          </w:p>
        </w:tc>
        <w:tc>
          <w:tcPr>
            <w:tcW w:w="0" w:type="auto"/>
            <w:vAlign w:val="center"/>
            <w:hideMark/>
          </w:tcPr>
          <w:p w14:paraId="6B66C1FE" w14:textId="77777777" w:rsidR="00E74747" w:rsidRPr="00D43584" w:rsidRDefault="00E74747" w:rsidP="000D5B7C">
            <w:pPr>
              <w:pStyle w:val="NoSpacing"/>
              <w:jc w:val="center"/>
              <w:rPr>
                <w:rFonts w:ascii="Times New Roman" w:hAnsi="Times New Roman" w:cs="Times New Roman"/>
                <w:szCs w:val="24"/>
              </w:rPr>
            </w:pPr>
            <w:r w:rsidRPr="00D43584">
              <w:rPr>
                <w:rFonts w:ascii="Times New Roman" w:hAnsi="Times New Roman" w:cs="Times New Roman"/>
                <w:szCs w:val="24"/>
              </w:rPr>
              <w:t>-2095</w:t>
            </w:r>
          </w:p>
        </w:tc>
        <w:tc>
          <w:tcPr>
            <w:tcW w:w="0" w:type="auto"/>
            <w:vAlign w:val="center"/>
            <w:hideMark/>
          </w:tcPr>
          <w:p w14:paraId="602D1BCB" w14:textId="77777777" w:rsidR="00E74747" w:rsidRPr="00D43584" w:rsidRDefault="00E74747" w:rsidP="000D5B7C">
            <w:pPr>
              <w:pStyle w:val="NoSpacing"/>
              <w:jc w:val="center"/>
              <w:rPr>
                <w:rFonts w:ascii="Times New Roman" w:hAnsi="Times New Roman" w:cs="Times New Roman"/>
                <w:szCs w:val="24"/>
              </w:rPr>
            </w:pPr>
            <w:r w:rsidRPr="00D43584">
              <w:rPr>
                <w:rFonts w:ascii="Times New Roman" w:hAnsi="Times New Roman" w:cs="Times New Roman"/>
                <w:szCs w:val="24"/>
              </w:rPr>
              <w:t>-693</w:t>
            </w:r>
          </w:p>
        </w:tc>
        <w:tc>
          <w:tcPr>
            <w:tcW w:w="0" w:type="auto"/>
            <w:vAlign w:val="center"/>
            <w:hideMark/>
          </w:tcPr>
          <w:p w14:paraId="3D901197" w14:textId="77777777" w:rsidR="00E74747" w:rsidRPr="00D43584" w:rsidRDefault="00E74747" w:rsidP="000D5B7C">
            <w:pPr>
              <w:pStyle w:val="NoSpacing"/>
              <w:jc w:val="center"/>
              <w:rPr>
                <w:rFonts w:ascii="Times New Roman" w:hAnsi="Times New Roman" w:cs="Times New Roman"/>
                <w:szCs w:val="24"/>
              </w:rPr>
            </w:pPr>
            <w:r w:rsidRPr="00D43584">
              <w:rPr>
                <w:rFonts w:ascii="Times New Roman" w:hAnsi="Times New Roman" w:cs="Times New Roman"/>
                <w:szCs w:val="24"/>
              </w:rPr>
              <w:t>-229</w:t>
            </w:r>
          </w:p>
        </w:tc>
        <w:tc>
          <w:tcPr>
            <w:tcW w:w="0" w:type="auto"/>
            <w:vAlign w:val="center"/>
            <w:hideMark/>
          </w:tcPr>
          <w:p w14:paraId="5AFF9556" w14:textId="77777777" w:rsidR="00E74747" w:rsidRPr="00D43584" w:rsidRDefault="00E74747" w:rsidP="000D5B7C">
            <w:pPr>
              <w:pStyle w:val="NoSpacing"/>
              <w:jc w:val="center"/>
              <w:rPr>
                <w:rFonts w:ascii="Times New Roman" w:hAnsi="Times New Roman" w:cs="Times New Roman"/>
                <w:szCs w:val="24"/>
              </w:rPr>
            </w:pPr>
            <w:r w:rsidRPr="00D43584">
              <w:rPr>
                <w:rFonts w:ascii="Times New Roman" w:hAnsi="Times New Roman" w:cs="Times New Roman"/>
                <w:szCs w:val="24"/>
              </w:rPr>
              <w:t>-468</w:t>
            </w:r>
          </w:p>
        </w:tc>
      </w:tr>
      <w:tr w:rsidR="00E74747" w:rsidRPr="00D43584" w14:paraId="3DE9A55E" w14:textId="77777777" w:rsidTr="000D5B7C">
        <w:trPr>
          <w:trHeight w:val="397"/>
          <w:jc w:val="center"/>
        </w:trPr>
        <w:tc>
          <w:tcPr>
            <w:tcW w:w="0" w:type="auto"/>
            <w:vAlign w:val="center"/>
            <w:hideMark/>
          </w:tcPr>
          <w:p w14:paraId="15C84A6C" w14:textId="77777777" w:rsidR="00E74747" w:rsidRPr="000D5B7C" w:rsidRDefault="00E74747" w:rsidP="000D5B7C">
            <w:pPr>
              <w:pStyle w:val="NoSpacing"/>
              <w:jc w:val="center"/>
              <w:rPr>
                <w:rFonts w:ascii="Times New Roman" w:hAnsi="Times New Roman" w:cs="Times New Roman"/>
                <w:szCs w:val="24"/>
              </w:rPr>
            </w:pPr>
          </w:p>
        </w:tc>
        <w:tc>
          <w:tcPr>
            <w:tcW w:w="0" w:type="auto"/>
            <w:vAlign w:val="center"/>
            <w:hideMark/>
          </w:tcPr>
          <w:p w14:paraId="3FDBD066" w14:textId="77777777" w:rsidR="00E74747" w:rsidRPr="000D5B7C" w:rsidRDefault="00E74747" w:rsidP="000D5B7C">
            <w:pPr>
              <w:pStyle w:val="NoSpacing"/>
              <w:jc w:val="center"/>
              <w:rPr>
                <w:rFonts w:ascii="Times New Roman" w:hAnsi="Times New Roman" w:cs="Times New Roman"/>
                <w:szCs w:val="24"/>
              </w:rPr>
            </w:pPr>
            <w:r w:rsidRPr="000D5B7C">
              <w:rPr>
                <w:rFonts w:ascii="Times New Roman" w:hAnsi="Times New Roman" w:cs="Times New Roman"/>
                <w:szCs w:val="24"/>
              </w:rPr>
              <w:t>Overall</w:t>
            </w:r>
          </w:p>
        </w:tc>
        <w:tc>
          <w:tcPr>
            <w:tcW w:w="0" w:type="auto"/>
            <w:vAlign w:val="center"/>
            <w:hideMark/>
          </w:tcPr>
          <w:p w14:paraId="6ED6B79D" w14:textId="77777777" w:rsidR="00E74747" w:rsidRPr="00D43584" w:rsidRDefault="00E74747" w:rsidP="000D5B7C">
            <w:pPr>
              <w:pStyle w:val="NoSpacing"/>
              <w:jc w:val="center"/>
              <w:rPr>
                <w:rFonts w:ascii="Times New Roman" w:hAnsi="Times New Roman" w:cs="Times New Roman"/>
                <w:szCs w:val="24"/>
              </w:rPr>
            </w:pPr>
            <w:r w:rsidRPr="00D43584">
              <w:rPr>
                <w:rFonts w:ascii="Times New Roman" w:hAnsi="Times New Roman" w:cs="Times New Roman"/>
                <w:szCs w:val="24"/>
              </w:rPr>
              <w:t>-82</w:t>
            </w:r>
          </w:p>
        </w:tc>
        <w:tc>
          <w:tcPr>
            <w:tcW w:w="0" w:type="auto"/>
            <w:vAlign w:val="center"/>
            <w:hideMark/>
          </w:tcPr>
          <w:p w14:paraId="3E4EE4B7" w14:textId="77777777" w:rsidR="00E74747" w:rsidRPr="00D43584" w:rsidRDefault="00E74747" w:rsidP="000D5B7C">
            <w:pPr>
              <w:pStyle w:val="NoSpacing"/>
              <w:jc w:val="center"/>
              <w:rPr>
                <w:rFonts w:ascii="Times New Roman" w:hAnsi="Times New Roman" w:cs="Times New Roman"/>
                <w:szCs w:val="24"/>
              </w:rPr>
            </w:pPr>
            <w:r w:rsidRPr="00D43584">
              <w:rPr>
                <w:rFonts w:ascii="Times New Roman" w:hAnsi="Times New Roman" w:cs="Times New Roman"/>
                <w:szCs w:val="24"/>
              </w:rPr>
              <w:t>-742</w:t>
            </w:r>
          </w:p>
        </w:tc>
        <w:tc>
          <w:tcPr>
            <w:tcW w:w="0" w:type="auto"/>
            <w:vAlign w:val="center"/>
            <w:hideMark/>
          </w:tcPr>
          <w:p w14:paraId="73A922DC" w14:textId="77777777" w:rsidR="00E74747" w:rsidRPr="00D43584" w:rsidRDefault="00E74747" w:rsidP="000D5B7C">
            <w:pPr>
              <w:pStyle w:val="NoSpacing"/>
              <w:jc w:val="center"/>
              <w:rPr>
                <w:rFonts w:ascii="Times New Roman" w:hAnsi="Times New Roman" w:cs="Times New Roman"/>
                <w:szCs w:val="24"/>
              </w:rPr>
            </w:pPr>
            <w:r w:rsidRPr="00D43584">
              <w:rPr>
                <w:rFonts w:ascii="Times New Roman" w:hAnsi="Times New Roman" w:cs="Times New Roman"/>
                <w:szCs w:val="24"/>
              </w:rPr>
              <w:t>-5</w:t>
            </w:r>
          </w:p>
        </w:tc>
        <w:tc>
          <w:tcPr>
            <w:tcW w:w="0" w:type="auto"/>
            <w:vAlign w:val="center"/>
            <w:hideMark/>
          </w:tcPr>
          <w:p w14:paraId="3AAB3EB8" w14:textId="77777777" w:rsidR="00E74747" w:rsidRPr="00D43584" w:rsidRDefault="00E74747" w:rsidP="000D5B7C">
            <w:pPr>
              <w:pStyle w:val="NoSpacing"/>
              <w:jc w:val="center"/>
              <w:rPr>
                <w:rFonts w:ascii="Times New Roman" w:hAnsi="Times New Roman" w:cs="Times New Roman"/>
                <w:szCs w:val="24"/>
              </w:rPr>
            </w:pPr>
            <w:r w:rsidRPr="00D43584">
              <w:rPr>
                <w:rFonts w:ascii="Times New Roman" w:hAnsi="Times New Roman" w:cs="Times New Roman"/>
                <w:szCs w:val="24"/>
              </w:rPr>
              <w:t>-95</w:t>
            </w:r>
          </w:p>
        </w:tc>
        <w:tc>
          <w:tcPr>
            <w:tcW w:w="0" w:type="auto"/>
            <w:vAlign w:val="center"/>
            <w:hideMark/>
          </w:tcPr>
          <w:p w14:paraId="5691E8CB" w14:textId="77777777" w:rsidR="00E74747" w:rsidRPr="00D43584" w:rsidRDefault="00E74747" w:rsidP="000D5B7C">
            <w:pPr>
              <w:pStyle w:val="NoSpacing"/>
              <w:jc w:val="center"/>
              <w:rPr>
                <w:rFonts w:ascii="Times New Roman" w:hAnsi="Times New Roman" w:cs="Times New Roman"/>
                <w:szCs w:val="24"/>
              </w:rPr>
            </w:pPr>
            <w:r w:rsidRPr="00D43584">
              <w:rPr>
                <w:rFonts w:ascii="Times New Roman" w:hAnsi="Times New Roman" w:cs="Times New Roman"/>
                <w:szCs w:val="24"/>
              </w:rPr>
              <w:t>-1202</w:t>
            </w:r>
          </w:p>
        </w:tc>
        <w:tc>
          <w:tcPr>
            <w:tcW w:w="0" w:type="auto"/>
            <w:vAlign w:val="center"/>
            <w:hideMark/>
          </w:tcPr>
          <w:p w14:paraId="369C8651" w14:textId="77777777" w:rsidR="00E74747" w:rsidRPr="00D43584" w:rsidRDefault="00E74747" w:rsidP="000D5B7C">
            <w:pPr>
              <w:pStyle w:val="NoSpacing"/>
              <w:jc w:val="center"/>
              <w:rPr>
                <w:rFonts w:ascii="Times New Roman" w:hAnsi="Times New Roman" w:cs="Times New Roman"/>
                <w:szCs w:val="24"/>
              </w:rPr>
            </w:pPr>
            <w:r w:rsidRPr="00D43584">
              <w:rPr>
                <w:rFonts w:ascii="Times New Roman" w:hAnsi="Times New Roman" w:cs="Times New Roman"/>
                <w:szCs w:val="24"/>
              </w:rPr>
              <w:t>-1080</w:t>
            </w:r>
          </w:p>
        </w:tc>
        <w:tc>
          <w:tcPr>
            <w:tcW w:w="0" w:type="auto"/>
            <w:vAlign w:val="center"/>
            <w:hideMark/>
          </w:tcPr>
          <w:p w14:paraId="2DD9B1B6" w14:textId="77777777" w:rsidR="00E74747" w:rsidRPr="00D43584" w:rsidRDefault="00E74747" w:rsidP="000D5B7C">
            <w:pPr>
              <w:pStyle w:val="NoSpacing"/>
              <w:jc w:val="center"/>
              <w:rPr>
                <w:rFonts w:ascii="Times New Roman" w:hAnsi="Times New Roman" w:cs="Times New Roman"/>
                <w:szCs w:val="24"/>
              </w:rPr>
            </w:pPr>
            <w:r w:rsidRPr="00D43584">
              <w:rPr>
                <w:rFonts w:ascii="Times New Roman" w:hAnsi="Times New Roman" w:cs="Times New Roman"/>
                <w:szCs w:val="24"/>
              </w:rPr>
              <w:t>-558</w:t>
            </w:r>
          </w:p>
        </w:tc>
        <w:tc>
          <w:tcPr>
            <w:tcW w:w="0" w:type="auto"/>
            <w:vAlign w:val="center"/>
            <w:hideMark/>
          </w:tcPr>
          <w:p w14:paraId="13835642" w14:textId="77777777" w:rsidR="00E74747" w:rsidRPr="00D43584" w:rsidRDefault="00E74747" w:rsidP="000D5B7C">
            <w:pPr>
              <w:pStyle w:val="NoSpacing"/>
              <w:jc w:val="center"/>
              <w:rPr>
                <w:rFonts w:ascii="Times New Roman" w:hAnsi="Times New Roman" w:cs="Times New Roman"/>
                <w:szCs w:val="24"/>
              </w:rPr>
            </w:pPr>
            <w:r w:rsidRPr="00D43584">
              <w:rPr>
                <w:rFonts w:ascii="Times New Roman" w:hAnsi="Times New Roman" w:cs="Times New Roman"/>
                <w:szCs w:val="24"/>
              </w:rPr>
              <w:t>+105</w:t>
            </w:r>
          </w:p>
        </w:tc>
        <w:tc>
          <w:tcPr>
            <w:tcW w:w="0" w:type="auto"/>
            <w:vAlign w:val="center"/>
            <w:hideMark/>
          </w:tcPr>
          <w:p w14:paraId="3090CBDD" w14:textId="77777777" w:rsidR="00E74747" w:rsidRPr="00D43584" w:rsidRDefault="00E74747" w:rsidP="000D5B7C">
            <w:pPr>
              <w:pStyle w:val="NoSpacing"/>
              <w:jc w:val="center"/>
              <w:rPr>
                <w:rFonts w:ascii="Times New Roman" w:hAnsi="Times New Roman" w:cs="Times New Roman"/>
                <w:szCs w:val="24"/>
              </w:rPr>
            </w:pPr>
            <w:r w:rsidRPr="00D43584">
              <w:rPr>
                <w:rFonts w:ascii="Times New Roman" w:hAnsi="Times New Roman" w:cs="Times New Roman"/>
                <w:szCs w:val="24"/>
              </w:rPr>
              <w:t>-1836</w:t>
            </w:r>
          </w:p>
        </w:tc>
      </w:tr>
      <w:tr w:rsidR="00E74747" w:rsidRPr="00D43584" w14:paraId="3A707DBB" w14:textId="77777777" w:rsidTr="000D5B7C">
        <w:trPr>
          <w:trHeight w:val="397"/>
          <w:jc w:val="center"/>
        </w:trPr>
        <w:tc>
          <w:tcPr>
            <w:tcW w:w="0" w:type="auto"/>
            <w:vAlign w:val="center"/>
            <w:hideMark/>
          </w:tcPr>
          <w:p w14:paraId="65494F2A" w14:textId="77777777" w:rsidR="00E74747" w:rsidRPr="000D5B7C" w:rsidRDefault="00E74747" w:rsidP="000D5B7C">
            <w:pPr>
              <w:pStyle w:val="NoSpacing"/>
              <w:jc w:val="center"/>
              <w:rPr>
                <w:rFonts w:ascii="Times New Roman" w:hAnsi="Times New Roman" w:cs="Times New Roman"/>
                <w:szCs w:val="24"/>
              </w:rPr>
            </w:pPr>
            <w:r w:rsidRPr="000D5B7C">
              <w:rPr>
                <w:rFonts w:ascii="Times New Roman" w:hAnsi="Times New Roman" w:cs="Times New Roman"/>
                <w:szCs w:val="24"/>
              </w:rPr>
              <w:t>Madhya Pradesh</w:t>
            </w:r>
          </w:p>
        </w:tc>
        <w:tc>
          <w:tcPr>
            <w:tcW w:w="0" w:type="auto"/>
            <w:vAlign w:val="center"/>
            <w:hideMark/>
          </w:tcPr>
          <w:p w14:paraId="486EECC7" w14:textId="77777777" w:rsidR="00E74747" w:rsidRPr="000D5B7C" w:rsidRDefault="00E74747" w:rsidP="000D5B7C">
            <w:pPr>
              <w:pStyle w:val="NoSpacing"/>
              <w:jc w:val="center"/>
              <w:rPr>
                <w:rFonts w:ascii="Times New Roman" w:hAnsi="Times New Roman" w:cs="Times New Roman"/>
                <w:szCs w:val="24"/>
              </w:rPr>
            </w:pPr>
            <w:r w:rsidRPr="000D5B7C">
              <w:rPr>
                <w:rFonts w:ascii="Times New Roman" w:hAnsi="Times New Roman" w:cs="Times New Roman"/>
                <w:szCs w:val="24"/>
              </w:rPr>
              <w:t>Revenue</w:t>
            </w:r>
          </w:p>
        </w:tc>
        <w:tc>
          <w:tcPr>
            <w:tcW w:w="0" w:type="auto"/>
            <w:vAlign w:val="center"/>
            <w:hideMark/>
          </w:tcPr>
          <w:p w14:paraId="627E650F" w14:textId="77777777" w:rsidR="00E74747" w:rsidRPr="00D43584" w:rsidRDefault="00E74747" w:rsidP="000D5B7C">
            <w:pPr>
              <w:pStyle w:val="NoSpacing"/>
              <w:jc w:val="center"/>
              <w:rPr>
                <w:rFonts w:ascii="Times New Roman" w:hAnsi="Times New Roman" w:cs="Times New Roman"/>
                <w:szCs w:val="24"/>
              </w:rPr>
            </w:pPr>
            <w:r w:rsidRPr="00D43584">
              <w:rPr>
                <w:rFonts w:ascii="Times New Roman" w:hAnsi="Times New Roman" w:cs="Times New Roman"/>
                <w:szCs w:val="24"/>
              </w:rPr>
              <w:t>-73</w:t>
            </w:r>
          </w:p>
        </w:tc>
        <w:tc>
          <w:tcPr>
            <w:tcW w:w="0" w:type="auto"/>
            <w:vAlign w:val="center"/>
            <w:hideMark/>
          </w:tcPr>
          <w:p w14:paraId="25F7D754" w14:textId="77777777" w:rsidR="00E74747" w:rsidRPr="00D43584" w:rsidRDefault="00E74747" w:rsidP="000D5B7C">
            <w:pPr>
              <w:pStyle w:val="NoSpacing"/>
              <w:jc w:val="center"/>
              <w:rPr>
                <w:rFonts w:ascii="Times New Roman" w:hAnsi="Times New Roman" w:cs="Times New Roman"/>
                <w:szCs w:val="24"/>
              </w:rPr>
            </w:pPr>
            <w:r w:rsidRPr="00D43584">
              <w:rPr>
                <w:rFonts w:ascii="Times New Roman" w:hAnsi="Times New Roman" w:cs="Times New Roman"/>
                <w:szCs w:val="24"/>
              </w:rPr>
              <w:t>-310</w:t>
            </w:r>
          </w:p>
        </w:tc>
        <w:tc>
          <w:tcPr>
            <w:tcW w:w="0" w:type="auto"/>
            <w:vAlign w:val="center"/>
            <w:hideMark/>
          </w:tcPr>
          <w:p w14:paraId="300C740E" w14:textId="77777777" w:rsidR="00E74747" w:rsidRPr="00D43584" w:rsidRDefault="00E74747" w:rsidP="000D5B7C">
            <w:pPr>
              <w:pStyle w:val="NoSpacing"/>
              <w:jc w:val="center"/>
              <w:rPr>
                <w:rFonts w:ascii="Times New Roman" w:hAnsi="Times New Roman" w:cs="Times New Roman"/>
                <w:szCs w:val="24"/>
              </w:rPr>
            </w:pPr>
            <w:r w:rsidRPr="00D43584">
              <w:rPr>
                <w:rFonts w:ascii="Times New Roman" w:hAnsi="Times New Roman" w:cs="Times New Roman"/>
                <w:szCs w:val="24"/>
              </w:rPr>
              <w:t>-261</w:t>
            </w:r>
          </w:p>
        </w:tc>
        <w:tc>
          <w:tcPr>
            <w:tcW w:w="0" w:type="auto"/>
            <w:vAlign w:val="center"/>
            <w:hideMark/>
          </w:tcPr>
          <w:p w14:paraId="68CCFBF3" w14:textId="77777777" w:rsidR="00E74747" w:rsidRPr="00D43584" w:rsidRDefault="00E74747" w:rsidP="000D5B7C">
            <w:pPr>
              <w:pStyle w:val="NoSpacing"/>
              <w:jc w:val="center"/>
              <w:rPr>
                <w:rFonts w:ascii="Times New Roman" w:hAnsi="Times New Roman" w:cs="Times New Roman"/>
                <w:szCs w:val="24"/>
              </w:rPr>
            </w:pPr>
            <w:r w:rsidRPr="00D43584">
              <w:rPr>
                <w:rFonts w:ascii="Times New Roman" w:hAnsi="Times New Roman" w:cs="Times New Roman"/>
                <w:szCs w:val="24"/>
              </w:rPr>
              <w:t>-185</w:t>
            </w:r>
          </w:p>
        </w:tc>
        <w:tc>
          <w:tcPr>
            <w:tcW w:w="0" w:type="auto"/>
            <w:vAlign w:val="center"/>
            <w:hideMark/>
          </w:tcPr>
          <w:p w14:paraId="1AEA8254" w14:textId="77777777" w:rsidR="00E74747" w:rsidRPr="00D43584" w:rsidRDefault="00E74747" w:rsidP="000D5B7C">
            <w:pPr>
              <w:pStyle w:val="NoSpacing"/>
              <w:jc w:val="center"/>
              <w:rPr>
                <w:rFonts w:ascii="Times New Roman" w:hAnsi="Times New Roman" w:cs="Times New Roman"/>
                <w:szCs w:val="24"/>
              </w:rPr>
            </w:pPr>
            <w:r w:rsidRPr="00D43584">
              <w:rPr>
                <w:rFonts w:ascii="Times New Roman" w:hAnsi="Times New Roman" w:cs="Times New Roman"/>
                <w:szCs w:val="24"/>
              </w:rPr>
              <w:t>-1459</w:t>
            </w:r>
          </w:p>
        </w:tc>
        <w:tc>
          <w:tcPr>
            <w:tcW w:w="0" w:type="auto"/>
            <w:vAlign w:val="center"/>
            <w:hideMark/>
          </w:tcPr>
          <w:p w14:paraId="31969D51" w14:textId="77777777" w:rsidR="00E74747" w:rsidRPr="00D43584" w:rsidRDefault="00E74747" w:rsidP="000D5B7C">
            <w:pPr>
              <w:pStyle w:val="NoSpacing"/>
              <w:jc w:val="center"/>
              <w:rPr>
                <w:rFonts w:ascii="Times New Roman" w:hAnsi="Times New Roman" w:cs="Times New Roman"/>
                <w:szCs w:val="24"/>
              </w:rPr>
            </w:pPr>
            <w:r w:rsidRPr="00D43584">
              <w:rPr>
                <w:rFonts w:ascii="Times New Roman" w:hAnsi="Times New Roman" w:cs="Times New Roman"/>
                <w:szCs w:val="24"/>
              </w:rPr>
              <w:t>-1775</w:t>
            </w:r>
          </w:p>
        </w:tc>
        <w:tc>
          <w:tcPr>
            <w:tcW w:w="0" w:type="auto"/>
            <w:vAlign w:val="center"/>
            <w:hideMark/>
          </w:tcPr>
          <w:p w14:paraId="7A1E0D3B" w14:textId="77777777" w:rsidR="00E74747" w:rsidRPr="00D43584" w:rsidRDefault="00E74747" w:rsidP="000D5B7C">
            <w:pPr>
              <w:pStyle w:val="NoSpacing"/>
              <w:jc w:val="center"/>
              <w:rPr>
                <w:rFonts w:ascii="Times New Roman" w:hAnsi="Times New Roman" w:cs="Times New Roman"/>
                <w:szCs w:val="24"/>
              </w:rPr>
            </w:pPr>
            <w:r w:rsidRPr="00D43584">
              <w:rPr>
                <w:rFonts w:ascii="Times New Roman" w:hAnsi="Times New Roman" w:cs="Times New Roman"/>
                <w:szCs w:val="24"/>
              </w:rPr>
              <w:t>-2411</w:t>
            </w:r>
          </w:p>
        </w:tc>
        <w:tc>
          <w:tcPr>
            <w:tcW w:w="0" w:type="auto"/>
            <w:vAlign w:val="center"/>
            <w:hideMark/>
          </w:tcPr>
          <w:p w14:paraId="6DEE8458" w14:textId="77777777" w:rsidR="00E74747" w:rsidRPr="00D43584" w:rsidRDefault="00E74747" w:rsidP="000D5B7C">
            <w:pPr>
              <w:pStyle w:val="NoSpacing"/>
              <w:jc w:val="center"/>
              <w:rPr>
                <w:rFonts w:ascii="Times New Roman" w:hAnsi="Times New Roman" w:cs="Times New Roman"/>
                <w:szCs w:val="24"/>
              </w:rPr>
            </w:pPr>
            <w:r w:rsidRPr="00D43584">
              <w:rPr>
                <w:rFonts w:ascii="Times New Roman" w:hAnsi="Times New Roman" w:cs="Times New Roman"/>
                <w:szCs w:val="24"/>
              </w:rPr>
              <w:t>-916</w:t>
            </w:r>
          </w:p>
        </w:tc>
        <w:tc>
          <w:tcPr>
            <w:tcW w:w="0" w:type="auto"/>
            <w:vAlign w:val="center"/>
            <w:hideMark/>
          </w:tcPr>
          <w:p w14:paraId="7258242B" w14:textId="77777777" w:rsidR="00E74747" w:rsidRPr="00D43584" w:rsidRDefault="00E74747" w:rsidP="000D5B7C">
            <w:pPr>
              <w:pStyle w:val="NoSpacing"/>
              <w:jc w:val="center"/>
              <w:rPr>
                <w:rFonts w:ascii="Times New Roman" w:hAnsi="Times New Roman" w:cs="Times New Roman"/>
                <w:szCs w:val="24"/>
              </w:rPr>
            </w:pPr>
            <w:r w:rsidRPr="00D43584">
              <w:rPr>
                <w:rFonts w:ascii="Times New Roman" w:hAnsi="Times New Roman" w:cs="Times New Roman"/>
                <w:szCs w:val="24"/>
              </w:rPr>
              <w:t>-567</w:t>
            </w:r>
          </w:p>
        </w:tc>
      </w:tr>
      <w:tr w:rsidR="00E74747" w:rsidRPr="00D43584" w14:paraId="63999DE3" w14:textId="77777777" w:rsidTr="000D5B7C">
        <w:trPr>
          <w:trHeight w:val="397"/>
          <w:jc w:val="center"/>
        </w:trPr>
        <w:tc>
          <w:tcPr>
            <w:tcW w:w="0" w:type="auto"/>
            <w:vAlign w:val="center"/>
            <w:hideMark/>
          </w:tcPr>
          <w:p w14:paraId="08944F5F" w14:textId="77777777" w:rsidR="00E74747" w:rsidRPr="000D5B7C" w:rsidRDefault="00E74747" w:rsidP="000D5B7C">
            <w:pPr>
              <w:pStyle w:val="NoSpacing"/>
              <w:jc w:val="center"/>
              <w:rPr>
                <w:rFonts w:ascii="Times New Roman" w:hAnsi="Times New Roman" w:cs="Times New Roman"/>
                <w:szCs w:val="24"/>
              </w:rPr>
            </w:pPr>
          </w:p>
        </w:tc>
        <w:tc>
          <w:tcPr>
            <w:tcW w:w="0" w:type="auto"/>
            <w:vAlign w:val="center"/>
            <w:hideMark/>
          </w:tcPr>
          <w:p w14:paraId="3CB59A39" w14:textId="77777777" w:rsidR="00E74747" w:rsidRPr="000D5B7C" w:rsidRDefault="00E74747" w:rsidP="000D5B7C">
            <w:pPr>
              <w:pStyle w:val="NoSpacing"/>
              <w:jc w:val="center"/>
              <w:rPr>
                <w:rFonts w:ascii="Times New Roman" w:hAnsi="Times New Roman" w:cs="Times New Roman"/>
                <w:szCs w:val="24"/>
              </w:rPr>
            </w:pPr>
            <w:r w:rsidRPr="000D5B7C">
              <w:rPr>
                <w:rFonts w:ascii="Times New Roman" w:hAnsi="Times New Roman" w:cs="Times New Roman"/>
                <w:szCs w:val="24"/>
              </w:rPr>
              <w:t>Capital</w:t>
            </w:r>
          </w:p>
        </w:tc>
        <w:tc>
          <w:tcPr>
            <w:tcW w:w="0" w:type="auto"/>
            <w:vAlign w:val="center"/>
            <w:hideMark/>
          </w:tcPr>
          <w:p w14:paraId="1DEA44B7" w14:textId="77777777" w:rsidR="00E74747" w:rsidRPr="00D43584" w:rsidRDefault="00E74747" w:rsidP="000D5B7C">
            <w:pPr>
              <w:pStyle w:val="NoSpacing"/>
              <w:jc w:val="center"/>
              <w:rPr>
                <w:rFonts w:ascii="Times New Roman" w:hAnsi="Times New Roman" w:cs="Times New Roman"/>
                <w:szCs w:val="24"/>
              </w:rPr>
            </w:pPr>
            <w:r w:rsidRPr="00D43584">
              <w:rPr>
                <w:rFonts w:ascii="Times New Roman" w:hAnsi="Times New Roman" w:cs="Times New Roman"/>
                <w:szCs w:val="24"/>
              </w:rPr>
              <w:t>-163</w:t>
            </w:r>
          </w:p>
        </w:tc>
        <w:tc>
          <w:tcPr>
            <w:tcW w:w="0" w:type="auto"/>
            <w:vAlign w:val="center"/>
            <w:hideMark/>
          </w:tcPr>
          <w:p w14:paraId="3F5AE950" w14:textId="77777777" w:rsidR="00E74747" w:rsidRPr="00D43584" w:rsidRDefault="00E74747" w:rsidP="000D5B7C">
            <w:pPr>
              <w:pStyle w:val="NoSpacing"/>
              <w:jc w:val="center"/>
              <w:rPr>
                <w:rFonts w:ascii="Times New Roman" w:hAnsi="Times New Roman" w:cs="Times New Roman"/>
                <w:szCs w:val="24"/>
              </w:rPr>
            </w:pPr>
            <w:r w:rsidRPr="00D43584">
              <w:rPr>
                <w:rFonts w:ascii="Times New Roman" w:hAnsi="Times New Roman" w:cs="Times New Roman"/>
                <w:szCs w:val="24"/>
              </w:rPr>
              <w:t>-3317</w:t>
            </w:r>
          </w:p>
        </w:tc>
        <w:tc>
          <w:tcPr>
            <w:tcW w:w="0" w:type="auto"/>
            <w:vAlign w:val="center"/>
            <w:hideMark/>
          </w:tcPr>
          <w:p w14:paraId="1DB56AD2" w14:textId="77777777" w:rsidR="00E74747" w:rsidRPr="00D43584" w:rsidRDefault="00E74747" w:rsidP="000D5B7C">
            <w:pPr>
              <w:pStyle w:val="NoSpacing"/>
              <w:jc w:val="center"/>
              <w:rPr>
                <w:rFonts w:ascii="Times New Roman" w:hAnsi="Times New Roman" w:cs="Times New Roman"/>
                <w:szCs w:val="24"/>
              </w:rPr>
            </w:pPr>
            <w:r w:rsidRPr="00D43584">
              <w:rPr>
                <w:rFonts w:ascii="Times New Roman" w:hAnsi="Times New Roman" w:cs="Times New Roman"/>
                <w:szCs w:val="24"/>
              </w:rPr>
              <w:t>-1102</w:t>
            </w:r>
          </w:p>
        </w:tc>
        <w:tc>
          <w:tcPr>
            <w:tcW w:w="0" w:type="auto"/>
            <w:vAlign w:val="center"/>
            <w:hideMark/>
          </w:tcPr>
          <w:p w14:paraId="53CFBC13" w14:textId="77777777" w:rsidR="00E74747" w:rsidRPr="00D43584" w:rsidRDefault="00E74747" w:rsidP="000D5B7C">
            <w:pPr>
              <w:pStyle w:val="NoSpacing"/>
              <w:jc w:val="center"/>
              <w:rPr>
                <w:rFonts w:ascii="Times New Roman" w:hAnsi="Times New Roman" w:cs="Times New Roman"/>
                <w:szCs w:val="24"/>
              </w:rPr>
            </w:pPr>
            <w:r w:rsidRPr="00D43584">
              <w:rPr>
                <w:rFonts w:ascii="Times New Roman" w:hAnsi="Times New Roman" w:cs="Times New Roman"/>
                <w:szCs w:val="24"/>
              </w:rPr>
              <w:t>+2525</w:t>
            </w:r>
          </w:p>
        </w:tc>
        <w:tc>
          <w:tcPr>
            <w:tcW w:w="0" w:type="auto"/>
            <w:vAlign w:val="center"/>
            <w:hideMark/>
          </w:tcPr>
          <w:p w14:paraId="636F112C" w14:textId="77777777" w:rsidR="00E74747" w:rsidRPr="00D43584" w:rsidRDefault="00E74747" w:rsidP="000D5B7C">
            <w:pPr>
              <w:pStyle w:val="NoSpacing"/>
              <w:jc w:val="center"/>
              <w:rPr>
                <w:rFonts w:ascii="Times New Roman" w:hAnsi="Times New Roman" w:cs="Times New Roman"/>
                <w:szCs w:val="24"/>
              </w:rPr>
            </w:pPr>
            <w:r w:rsidRPr="00D43584">
              <w:rPr>
                <w:rFonts w:ascii="Times New Roman" w:hAnsi="Times New Roman" w:cs="Times New Roman"/>
                <w:szCs w:val="24"/>
              </w:rPr>
              <w:t>+186</w:t>
            </w:r>
          </w:p>
        </w:tc>
        <w:tc>
          <w:tcPr>
            <w:tcW w:w="0" w:type="auto"/>
            <w:vAlign w:val="center"/>
            <w:hideMark/>
          </w:tcPr>
          <w:p w14:paraId="36F2B0E2" w14:textId="77777777" w:rsidR="00E74747" w:rsidRPr="00D43584" w:rsidRDefault="00E74747" w:rsidP="000D5B7C">
            <w:pPr>
              <w:pStyle w:val="NoSpacing"/>
              <w:jc w:val="center"/>
              <w:rPr>
                <w:rFonts w:ascii="Times New Roman" w:hAnsi="Times New Roman" w:cs="Times New Roman"/>
                <w:szCs w:val="24"/>
              </w:rPr>
            </w:pPr>
            <w:r w:rsidRPr="00D43584">
              <w:rPr>
                <w:rFonts w:ascii="Times New Roman" w:hAnsi="Times New Roman" w:cs="Times New Roman"/>
                <w:szCs w:val="24"/>
              </w:rPr>
              <w:t>+1224</w:t>
            </w:r>
          </w:p>
        </w:tc>
        <w:tc>
          <w:tcPr>
            <w:tcW w:w="0" w:type="auto"/>
            <w:vAlign w:val="center"/>
            <w:hideMark/>
          </w:tcPr>
          <w:p w14:paraId="17789729" w14:textId="77777777" w:rsidR="00E74747" w:rsidRPr="00D43584" w:rsidRDefault="00E74747" w:rsidP="000D5B7C">
            <w:pPr>
              <w:pStyle w:val="NoSpacing"/>
              <w:jc w:val="center"/>
              <w:rPr>
                <w:rFonts w:ascii="Times New Roman" w:hAnsi="Times New Roman" w:cs="Times New Roman"/>
                <w:szCs w:val="24"/>
              </w:rPr>
            </w:pPr>
            <w:r w:rsidRPr="00D43584">
              <w:rPr>
                <w:rFonts w:ascii="Times New Roman" w:hAnsi="Times New Roman" w:cs="Times New Roman"/>
                <w:szCs w:val="24"/>
              </w:rPr>
              <w:t>+3042</w:t>
            </w:r>
          </w:p>
        </w:tc>
        <w:tc>
          <w:tcPr>
            <w:tcW w:w="0" w:type="auto"/>
            <w:vAlign w:val="center"/>
            <w:hideMark/>
          </w:tcPr>
          <w:p w14:paraId="084BB732" w14:textId="77777777" w:rsidR="00E74747" w:rsidRPr="00D43584" w:rsidRDefault="00E74747" w:rsidP="000D5B7C">
            <w:pPr>
              <w:pStyle w:val="NoSpacing"/>
              <w:jc w:val="center"/>
              <w:rPr>
                <w:rFonts w:ascii="Times New Roman" w:hAnsi="Times New Roman" w:cs="Times New Roman"/>
                <w:szCs w:val="24"/>
              </w:rPr>
            </w:pPr>
            <w:r w:rsidRPr="00D43584">
              <w:rPr>
                <w:rFonts w:ascii="Times New Roman" w:hAnsi="Times New Roman" w:cs="Times New Roman"/>
                <w:szCs w:val="24"/>
              </w:rPr>
              <w:t>+148</w:t>
            </w:r>
          </w:p>
        </w:tc>
        <w:tc>
          <w:tcPr>
            <w:tcW w:w="0" w:type="auto"/>
            <w:vAlign w:val="center"/>
            <w:hideMark/>
          </w:tcPr>
          <w:p w14:paraId="5BBFAE96" w14:textId="77777777" w:rsidR="00E74747" w:rsidRPr="00D43584" w:rsidRDefault="00E74747" w:rsidP="000D5B7C">
            <w:pPr>
              <w:pStyle w:val="NoSpacing"/>
              <w:jc w:val="center"/>
              <w:rPr>
                <w:rFonts w:ascii="Times New Roman" w:hAnsi="Times New Roman" w:cs="Times New Roman"/>
                <w:szCs w:val="24"/>
              </w:rPr>
            </w:pPr>
            <w:r w:rsidRPr="00D43584">
              <w:rPr>
                <w:rFonts w:ascii="Times New Roman" w:hAnsi="Times New Roman" w:cs="Times New Roman"/>
                <w:szCs w:val="24"/>
              </w:rPr>
              <w:t>+1143</w:t>
            </w:r>
          </w:p>
        </w:tc>
      </w:tr>
      <w:tr w:rsidR="00E74747" w:rsidRPr="00D43584" w14:paraId="6CCCEF59" w14:textId="77777777" w:rsidTr="000D5B7C">
        <w:trPr>
          <w:trHeight w:val="397"/>
          <w:jc w:val="center"/>
        </w:trPr>
        <w:tc>
          <w:tcPr>
            <w:tcW w:w="0" w:type="auto"/>
            <w:vAlign w:val="center"/>
            <w:hideMark/>
          </w:tcPr>
          <w:p w14:paraId="174AEECD" w14:textId="77777777" w:rsidR="00E74747" w:rsidRPr="000D5B7C" w:rsidRDefault="00E74747" w:rsidP="000D5B7C">
            <w:pPr>
              <w:pStyle w:val="NoSpacing"/>
              <w:jc w:val="center"/>
              <w:rPr>
                <w:rFonts w:ascii="Times New Roman" w:hAnsi="Times New Roman" w:cs="Times New Roman"/>
                <w:szCs w:val="24"/>
              </w:rPr>
            </w:pPr>
          </w:p>
        </w:tc>
        <w:tc>
          <w:tcPr>
            <w:tcW w:w="0" w:type="auto"/>
            <w:vAlign w:val="center"/>
            <w:hideMark/>
          </w:tcPr>
          <w:p w14:paraId="30B7E014" w14:textId="77777777" w:rsidR="00E74747" w:rsidRPr="000D5B7C" w:rsidRDefault="00E74747" w:rsidP="000D5B7C">
            <w:pPr>
              <w:pStyle w:val="NoSpacing"/>
              <w:jc w:val="center"/>
              <w:rPr>
                <w:rFonts w:ascii="Times New Roman" w:hAnsi="Times New Roman" w:cs="Times New Roman"/>
                <w:szCs w:val="24"/>
              </w:rPr>
            </w:pPr>
            <w:r w:rsidRPr="000D5B7C">
              <w:rPr>
                <w:rFonts w:ascii="Times New Roman" w:hAnsi="Times New Roman" w:cs="Times New Roman"/>
                <w:szCs w:val="24"/>
              </w:rPr>
              <w:t>Overall</w:t>
            </w:r>
          </w:p>
        </w:tc>
        <w:tc>
          <w:tcPr>
            <w:tcW w:w="0" w:type="auto"/>
            <w:vAlign w:val="center"/>
            <w:hideMark/>
          </w:tcPr>
          <w:p w14:paraId="191C1C2F" w14:textId="77777777" w:rsidR="00E74747" w:rsidRPr="00D43584" w:rsidRDefault="00E74747" w:rsidP="000D5B7C">
            <w:pPr>
              <w:pStyle w:val="NoSpacing"/>
              <w:jc w:val="center"/>
              <w:rPr>
                <w:rFonts w:ascii="Times New Roman" w:hAnsi="Times New Roman" w:cs="Times New Roman"/>
                <w:szCs w:val="24"/>
              </w:rPr>
            </w:pPr>
            <w:r w:rsidRPr="00D43584">
              <w:rPr>
                <w:rFonts w:ascii="Times New Roman" w:hAnsi="Times New Roman" w:cs="Times New Roman"/>
                <w:szCs w:val="24"/>
              </w:rPr>
              <w:t>-236</w:t>
            </w:r>
          </w:p>
        </w:tc>
        <w:tc>
          <w:tcPr>
            <w:tcW w:w="0" w:type="auto"/>
            <w:vAlign w:val="center"/>
            <w:hideMark/>
          </w:tcPr>
          <w:p w14:paraId="66720466" w14:textId="77777777" w:rsidR="00E74747" w:rsidRPr="00D43584" w:rsidRDefault="00E74747" w:rsidP="000D5B7C">
            <w:pPr>
              <w:pStyle w:val="NoSpacing"/>
              <w:jc w:val="center"/>
              <w:rPr>
                <w:rFonts w:ascii="Times New Roman" w:hAnsi="Times New Roman" w:cs="Times New Roman"/>
                <w:szCs w:val="24"/>
              </w:rPr>
            </w:pPr>
            <w:r w:rsidRPr="00D43584">
              <w:rPr>
                <w:rFonts w:ascii="Times New Roman" w:hAnsi="Times New Roman" w:cs="Times New Roman"/>
                <w:szCs w:val="24"/>
              </w:rPr>
              <w:t>-3627</w:t>
            </w:r>
          </w:p>
        </w:tc>
        <w:tc>
          <w:tcPr>
            <w:tcW w:w="0" w:type="auto"/>
            <w:vAlign w:val="center"/>
            <w:hideMark/>
          </w:tcPr>
          <w:p w14:paraId="3F1FA847" w14:textId="77777777" w:rsidR="00E74747" w:rsidRPr="00D43584" w:rsidRDefault="00E74747" w:rsidP="000D5B7C">
            <w:pPr>
              <w:pStyle w:val="NoSpacing"/>
              <w:jc w:val="center"/>
              <w:rPr>
                <w:rFonts w:ascii="Times New Roman" w:hAnsi="Times New Roman" w:cs="Times New Roman"/>
                <w:szCs w:val="24"/>
              </w:rPr>
            </w:pPr>
            <w:r w:rsidRPr="00D43584">
              <w:rPr>
                <w:rFonts w:ascii="Times New Roman" w:hAnsi="Times New Roman" w:cs="Times New Roman"/>
                <w:szCs w:val="24"/>
              </w:rPr>
              <w:t>-1363</w:t>
            </w:r>
          </w:p>
        </w:tc>
        <w:tc>
          <w:tcPr>
            <w:tcW w:w="0" w:type="auto"/>
            <w:vAlign w:val="center"/>
            <w:hideMark/>
          </w:tcPr>
          <w:p w14:paraId="3C8782DC" w14:textId="77777777" w:rsidR="00E74747" w:rsidRPr="00D43584" w:rsidRDefault="00E74747" w:rsidP="000D5B7C">
            <w:pPr>
              <w:pStyle w:val="NoSpacing"/>
              <w:jc w:val="center"/>
              <w:rPr>
                <w:rFonts w:ascii="Times New Roman" w:hAnsi="Times New Roman" w:cs="Times New Roman"/>
                <w:szCs w:val="24"/>
              </w:rPr>
            </w:pPr>
            <w:r w:rsidRPr="00D43584">
              <w:rPr>
                <w:rFonts w:ascii="Times New Roman" w:hAnsi="Times New Roman" w:cs="Times New Roman"/>
                <w:szCs w:val="24"/>
              </w:rPr>
              <w:t>+2340</w:t>
            </w:r>
          </w:p>
        </w:tc>
        <w:tc>
          <w:tcPr>
            <w:tcW w:w="0" w:type="auto"/>
            <w:vAlign w:val="center"/>
            <w:hideMark/>
          </w:tcPr>
          <w:p w14:paraId="35B40E4F" w14:textId="77777777" w:rsidR="00E74747" w:rsidRPr="00D43584" w:rsidRDefault="00E74747" w:rsidP="000D5B7C">
            <w:pPr>
              <w:pStyle w:val="NoSpacing"/>
              <w:jc w:val="center"/>
              <w:rPr>
                <w:rFonts w:ascii="Times New Roman" w:hAnsi="Times New Roman" w:cs="Times New Roman"/>
                <w:szCs w:val="24"/>
              </w:rPr>
            </w:pPr>
            <w:r w:rsidRPr="00D43584">
              <w:rPr>
                <w:rFonts w:ascii="Times New Roman" w:hAnsi="Times New Roman" w:cs="Times New Roman"/>
                <w:szCs w:val="24"/>
              </w:rPr>
              <w:t>-1273</w:t>
            </w:r>
          </w:p>
        </w:tc>
        <w:tc>
          <w:tcPr>
            <w:tcW w:w="0" w:type="auto"/>
            <w:vAlign w:val="center"/>
            <w:hideMark/>
          </w:tcPr>
          <w:p w14:paraId="5795C51D" w14:textId="77777777" w:rsidR="00E74747" w:rsidRPr="00D43584" w:rsidRDefault="00E74747" w:rsidP="000D5B7C">
            <w:pPr>
              <w:pStyle w:val="NoSpacing"/>
              <w:jc w:val="center"/>
              <w:rPr>
                <w:rFonts w:ascii="Times New Roman" w:hAnsi="Times New Roman" w:cs="Times New Roman"/>
                <w:szCs w:val="24"/>
              </w:rPr>
            </w:pPr>
            <w:r w:rsidRPr="00D43584">
              <w:rPr>
                <w:rFonts w:ascii="Times New Roman" w:hAnsi="Times New Roman" w:cs="Times New Roman"/>
                <w:szCs w:val="24"/>
              </w:rPr>
              <w:t>-551</w:t>
            </w:r>
          </w:p>
        </w:tc>
        <w:tc>
          <w:tcPr>
            <w:tcW w:w="0" w:type="auto"/>
            <w:vAlign w:val="center"/>
            <w:hideMark/>
          </w:tcPr>
          <w:p w14:paraId="27B7D043" w14:textId="77777777" w:rsidR="00E74747" w:rsidRPr="00D43584" w:rsidRDefault="00E74747" w:rsidP="000D5B7C">
            <w:pPr>
              <w:pStyle w:val="NoSpacing"/>
              <w:jc w:val="center"/>
              <w:rPr>
                <w:rFonts w:ascii="Times New Roman" w:hAnsi="Times New Roman" w:cs="Times New Roman"/>
                <w:szCs w:val="24"/>
              </w:rPr>
            </w:pPr>
            <w:r w:rsidRPr="00D43584">
              <w:rPr>
                <w:rFonts w:ascii="Times New Roman" w:hAnsi="Times New Roman" w:cs="Times New Roman"/>
                <w:szCs w:val="24"/>
              </w:rPr>
              <w:t>+631</w:t>
            </w:r>
          </w:p>
        </w:tc>
        <w:tc>
          <w:tcPr>
            <w:tcW w:w="0" w:type="auto"/>
            <w:vAlign w:val="center"/>
            <w:hideMark/>
          </w:tcPr>
          <w:p w14:paraId="51BD754D" w14:textId="77777777" w:rsidR="00E74747" w:rsidRPr="00D43584" w:rsidRDefault="00E74747" w:rsidP="000D5B7C">
            <w:pPr>
              <w:pStyle w:val="NoSpacing"/>
              <w:jc w:val="center"/>
              <w:rPr>
                <w:rFonts w:ascii="Times New Roman" w:hAnsi="Times New Roman" w:cs="Times New Roman"/>
                <w:szCs w:val="24"/>
              </w:rPr>
            </w:pPr>
            <w:r w:rsidRPr="00D43584">
              <w:rPr>
                <w:rFonts w:ascii="Times New Roman" w:hAnsi="Times New Roman" w:cs="Times New Roman"/>
                <w:szCs w:val="24"/>
              </w:rPr>
              <w:t>-768</w:t>
            </w:r>
          </w:p>
        </w:tc>
        <w:tc>
          <w:tcPr>
            <w:tcW w:w="0" w:type="auto"/>
            <w:vAlign w:val="center"/>
            <w:hideMark/>
          </w:tcPr>
          <w:p w14:paraId="6C49F871" w14:textId="77777777" w:rsidR="00E74747" w:rsidRPr="00D43584" w:rsidRDefault="00E74747" w:rsidP="000D5B7C">
            <w:pPr>
              <w:pStyle w:val="NoSpacing"/>
              <w:jc w:val="center"/>
              <w:rPr>
                <w:rFonts w:ascii="Times New Roman" w:hAnsi="Times New Roman" w:cs="Times New Roman"/>
                <w:szCs w:val="24"/>
              </w:rPr>
            </w:pPr>
            <w:r w:rsidRPr="00D43584">
              <w:rPr>
                <w:rFonts w:ascii="Times New Roman" w:hAnsi="Times New Roman" w:cs="Times New Roman"/>
                <w:szCs w:val="24"/>
              </w:rPr>
              <w:t>+576</w:t>
            </w:r>
          </w:p>
        </w:tc>
      </w:tr>
      <w:tr w:rsidR="00E74747" w:rsidRPr="00D43584" w14:paraId="10385EC8" w14:textId="77777777" w:rsidTr="000D5B7C">
        <w:trPr>
          <w:trHeight w:val="397"/>
          <w:jc w:val="center"/>
        </w:trPr>
        <w:tc>
          <w:tcPr>
            <w:tcW w:w="0" w:type="auto"/>
            <w:vAlign w:val="center"/>
            <w:hideMark/>
          </w:tcPr>
          <w:p w14:paraId="0D07238B" w14:textId="77777777" w:rsidR="00E74747" w:rsidRPr="000D5B7C" w:rsidRDefault="00E74747" w:rsidP="000D5B7C">
            <w:pPr>
              <w:pStyle w:val="NoSpacing"/>
              <w:jc w:val="center"/>
              <w:rPr>
                <w:rFonts w:ascii="Times New Roman" w:hAnsi="Times New Roman" w:cs="Times New Roman"/>
                <w:szCs w:val="24"/>
              </w:rPr>
            </w:pPr>
            <w:r w:rsidRPr="000D5B7C">
              <w:rPr>
                <w:rFonts w:ascii="Times New Roman" w:hAnsi="Times New Roman" w:cs="Times New Roman"/>
                <w:szCs w:val="24"/>
              </w:rPr>
              <w:t>Madras</w:t>
            </w:r>
          </w:p>
        </w:tc>
        <w:tc>
          <w:tcPr>
            <w:tcW w:w="0" w:type="auto"/>
            <w:vAlign w:val="center"/>
            <w:hideMark/>
          </w:tcPr>
          <w:p w14:paraId="65EB48DC" w14:textId="77777777" w:rsidR="00E74747" w:rsidRPr="000D5B7C" w:rsidRDefault="00E74747" w:rsidP="000D5B7C">
            <w:pPr>
              <w:pStyle w:val="NoSpacing"/>
              <w:jc w:val="center"/>
              <w:rPr>
                <w:rFonts w:ascii="Times New Roman" w:hAnsi="Times New Roman" w:cs="Times New Roman"/>
                <w:szCs w:val="24"/>
              </w:rPr>
            </w:pPr>
            <w:r w:rsidRPr="000D5B7C">
              <w:rPr>
                <w:rFonts w:ascii="Times New Roman" w:hAnsi="Times New Roman" w:cs="Times New Roman"/>
                <w:szCs w:val="24"/>
              </w:rPr>
              <w:t>Revenue</w:t>
            </w:r>
          </w:p>
        </w:tc>
        <w:tc>
          <w:tcPr>
            <w:tcW w:w="0" w:type="auto"/>
            <w:vAlign w:val="center"/>
            <w:hideMark/>
          </w:tcPr>
          <w:p w14:paraId="0E571710" w14:textId="77777777" w:rsidR="00E74747" w:rsidRPr="00D43584" w:rsidRDefault="00E74747" w:rsidP="000D5B7C">
            <w:pPr>
              <w:pStyle w:val="NoSpacing"/>
              <w:jc w:val="center"/>
              <w:rPr>
                <w:rFonts w:ascii="Times New Roman" w:hAnsi="Times New Roman" w:cs="Times New Roman"/>
                <w:szCs w:val="24"/>
              </w:rPr>
            </w:pPr>
            <w:r w:rsidRPr="00D43584">
              <w:rPr>
                <w:rFonts w:ascii="Times New Roman" w:hAnsi="Times New Roman" w:cs="Times New Roman"/>
                <w:szCs w:val="24"/>
              </w:rPr>
              <w:t>-697</w:t>
            </w:r>
          </w:p>
        </w:tc>
        <w:tc>
          <w:tcPr>
            <w:tcW w:w="0" w:type="auto"/>
            <w:vAlign w:val="center"/>
            <w:hideMark/>
          </w:tcPr>
          <w:p w14:paraId="3E1C6CF2" w14:textId="77777777" w:rsidR="00E74747" w:rsidRPr="00D43584" w:rsidRDefault="00E74747" w:rsidP="000D5B7C">
            <w:pPr>
              <w:pStyle w:val="NoSpacing"/>
              <w:jc w:val="center"/>
              <w:rPr>
                <w:rFonts w:ascii="Times New Roman" w:hAnsi="Times New Roman" w:cs="Times New Roman"/>
                <w:szCs w:val="24"/>
              </w:rPr>
            </w:pPr>
            <w:r w:rsidRPr="00D43584">
              <w:rPr>
                <w:rFonts w:ascii="Times New Roman" w:hAnsi="Times New Roman" w:cs="Times New Roman"/>
                <w:szCs w:val="24"/>
              </w:rPr>
              <w:t>-787</w:t>
            </w:r>
          </w:p>
        </w:tc>
        <w:tc>
          <w:tcPr>
            <w:tcW w:w="0" w:type="auto"/>
            <w:vAlign w:val="center"/>
            <w:hideMark/>
          </w:tcPr>
          <w:p w14:paraId="638C593A" w14:textId="77777777" w:rsidR="00E74747" w:rsidRPr="00D43584" w:rsidRDefault="00E74747" w:rsidP="000D5B7C">
            <w:pPr>
              <w:pStyle w:val="NoSpacing"/>
              <w:jc w:val="center"/>
              <w:rPr>
                <w:rFonts w:ascii="Times New Roman" w:hAnsi="Times New Roman" w:cs="Times New Roman"/>
                <w:szCs w:val="24"/>
              </w:rPr>
            </w:pPr>
            <w:r w:rsidRPr="00D43584">
              <w:rPr>
                <w:rFonts w:ascii="Times New Roman" w:hAnsi="Times New Roman" w:cs="Times New Roman"/>
                <w:szCs w:val="24"/>
              </w:rPr>
              <w:t>-786</w:t>
            </w:r>
          </w:p>
        </w:tc>
        <w:tc>
          <w:tcPr>
            <w:tcW w:w="0" w:type="auto"/>
            <w:vAlign w:val="center"/>
            <w:hideMark/>
          </w:tcPr>
          <w:p w14:paraId="1A47F3B1" w14:textId="77777777" w:rsidR="00E74747" w:rsidRPr="00D43584" w:rsidRDefault="00E74747" w:rsidP="000D5B7C">
            <w:pPr>
              <w:pStyle w:val="NoSpacing"/>
              <w:jc w:val="center"/>
              <w:rPr>
                <w:rFonts w:ascii="Times New Roman" w:hAnsi="Times New Roman" w:cs="Times New Roman"/>
                <w:szCs w:val="24"/>
              </w:rPr>
            </w:pPr>
            <w:r w:rsidRPr="00D43584">
              <w:rPr>
                <w:rFonts w:ascii="Times New Roman" w:hAnsi="Times New Roman" w:cs="Times New Roman"/>
                <w:szCs w:val="24"/>
              </w:rPr>
              <w:t>+31</w:t>
            </w:r>
          </w:p>
        </w:tc>
        <w:tc>
          <w:tcPr>
            <w:tcW w:w="0" w:type="auto"/>
            <w:vAlign w:val="center"/>
            <w:hideMark/>
          </w:tcPr>
          <w:p w14:paraId="555C9D2C" w14:textId="77777777" w:rsidR="00E74747" w:rsidRPr="00D43584" w:rsidRDefault="00E74747" w:rsidP="000D5B7C">
            <w:pPr>
              <w:pStyle w:val="NoSpacing"/>
              <w:jc w:val="center"/>
              <w:rPr>
                <w:rFonts w:ascii="Times New Roman" w:hAnsi="Times New Roman" w:cs="Times New Roman"/>
                <w:szCs w:val="24"/>
              </w:rPr>
            </w:pPr>
            <w:r w:rsidRPr="00D43584">
              <w:rPr>
                <w:rFonts w:ascii="Times New Roman" w:hAnsi="Times New Roman" w:cs="Times New Roman"/>
                <w:szCs w:val="24"/>
              </w:rPr>
              <w:t>-745</w:t>
            </w:r>
          </w:p>
        </w:tc>
        <w:tc>
          <w:tcPr>
            <w:tcW w:w="0" w:type="auto"/>
            <w:vAlign w:val="center"/>
            <w:hideMark/>
          </w:tcPr>
          <w:p w14:paraId="5D0692F3" w14:textId="77777777" w:rsidR="00E74747" w:rsidRPr="00D43584" w:rsidRDefault="00E74747" w:rsidP="000D5B7C">
            <w:pPr>
              <w:pStyle w:val="NoSpacing"/>
              <w:jc w:val="center"/>
              <w:rPr>
                <w:rFonts w:ascii="Times New Roman" w:hAnsi="Times New Roman" w:cs="Times New Roman"/>
                <w:szCs w:val="24"/>
              </w:rPr>
            </w:pPr>
            <w:r w:rsidRPr="00D43584">
              <w:rPr>
                <w:rFonts w:ascii="Times New Roman" w:hAnsi="Times New Roman" w:cs="Times New Roman"/>
                <w:szCs w:val="24"/>
              </w:rPr>
              <w:t>-688</w:t>
            </w:r>
          </w:p>
        </w:tc>
        <w:tc>
          <w:tcPr>
            <w:tcW w:w="0" w:type="auto"/>
            <w:vAlign w:val="center"/>
            <w:hideMark/>
          </w:tcPr>
          <w:p w14:paraId="604058AE" w14:textId="77777777" w:rsidR="00E74747" w:rsidRPr="00D43584" w:rsidRDefault="00E74747" w:rsidP="000D5B7C">
            <w:pPr>
              <w:pStyle w:val="NoSpacing"/>
              <w:jc w:val="center"/>
              <w:rPr>
                <w:rFonts w:ascii="Times New Roman" w:hAnsi="Times New Roman" w:cs="Times New Roman"/>
                <w:szCs w:val="24"/>
              </w:rPr>
            </w:pPr>
            <w:r w:rsidRPr="00D43584">
              <w:rPr>
                <w:rFonts w:ascii="Times New Roman" w:hAnsi="Times New Roman" w:cs="Times New Roman"/>
                <w:szCs w:val="24"/>
              </w:rPr>
              <w:t>-112</w:t>
            </w:r>
          </w:p>
        </w:tc>
        <w:tc>
          <w:tcPr>
            <w:tcW w:w="0" w:type="auto"/>
            <w:vAlign w:val="center"/>
            <w:hideMark/>
          </w:tcPr>
          <w:p w14:paraId="1F96F456" w14:textId="77777777" w:rsidR="00E74747" w:rsidRPr="00D43584" w:rsidRDefault="00E74747" w:rsidP="000D5B7C">
            <w:pPr>
              <w:pStyle w:val="NoSpacing"/>
              <w:jc w:val="center"/>
              <w:rPr>
                <w:rFonts w:ascii="Times New Roman" w:hAnsi="Times New Roman" w:cs="Times New Roman"/>
                <w:szCs w:val="24"/>
              </w:rPr>
            </w:pPr>
            <w:r w:rsidRPr="00D43584">
              <w:rPr>
                <w:rFonts w:ascii="Times New Roman" w:hAnsi="Times New Roman" w:cs="Times New Roman"/>
                <w:szCs w:val="24"/>
              </w:rPr>
              <w:t>-45</w:t>
            </w:r>
          </w:p>
        </w:tc>
        <w:tc>
          <w:tcPr>
            <w:tcW w:w="0" w:type="auto"/>
            <w:vAlign w:val="center"/>
            <w:hideMark/>
          </w:tcPr>
          <w:p w14:paraId="7D285B02" w14:textId="77777777" w:rsidR="00E74747" w:rsidRPr="00D43584" w:rsidRDefault="00E74747" w:rsidP="000D5B7C">
            <w:pPr>
              <w:pStyle w:val="NoSpacing"/>
              <w:jc w:val="center"/>
              <w:rPr>
                <w:rFonts w:ascii="Times New Roman" w:hAnsi="Times New Roman" w:cs="Times New Roman"/>
                <w:szCs w:val="24"/>
              </w:rPr>
            </w:pPr>
            <w:r w:rsidRPr="00D43584">
              <w:rPr>
                <w:rFonts w:ascii="Times New Roman" w:hAnsi="Times New Roman" w:cs="Times New Roman"/>
                <w:szCs w:val="24"/>
              </w:rPr>
              <w:t>+74</w:t>
            </w:r>
          </w:p>
        </w:tc>
      </w:tr>
      <w:tr w:rsidR="00E74747" w:rsidRPr="00D43584" w14:paraId="27EBE823" w14:textId="77777777" w:rsidTr="000D5B7C">
        <w:trPr>
          <w:trHeight w:val="397"/>
          <w:jc w:val="center"/>
        </w:trPr>
        <w:tc>
          <w:tcPr>
            <w:tcW w:w="0" w:type="auto"/>
            <w:vAlign w:val="center"/>
            <w:hideMark/>
          </w:tcPr>
          <w:p w14:paraId="5D98C64B" w14:textId="77777777" w:rsidR="00E74747" w:rsidRPr="000D5B7C" w:rsidRDefault="00E74747" w:rsidP="000D5B7C">
            <w:pPr>
              <w:pStyle w:val="NoSpacing"/>
              <w:jc w:val="center"/>
              <w:rPr>
                <w:rFonts w:ascii="Times New Roman" w:hAnsi="Times New Roman" w:cs="Times New Roman"/>
                <w:szCs w:val="24"/>
              </w:rPr>
            </w:pPr>
          </w:p>
        </w:tc>
        <w:tc>
          <w:tcPr>
            <w:tcW w:w="0" w:type="auto"/>
            <w:vAlign w:val="center"/>
            <w:hideMark/>
          </w:tcPr>
          <w:p w14:paraId="48FC0875" w14:textId="77777777" w:rsidR="00E74747" w:rsidRPr="000D5B7C" w:rsidRDefault="00E74747" w:rsidP="000D5B7C">
            <w:pPr>
              <w:pStyle w:val="NoSpacing"/>
              <w:jc w:val="center"/>
              <w:rPr>
                <w:rFonts w:ascii="Times New Roman" w:hAnsi="Times New Roman" w:cs="Times New Roman"/>
                <w:szCs w:val="24"/>
              </w:rPr>
            </w:pPr>
            <w:r w:rsidRPr="000D5B7C">
              <w:rPr>
                <w:rFonts w:ascii="Times New Roman" w:hAnsi="Times New Roman" w:cs="Times New Roman"/>
                <w:szCs w:val="24"/>
              </w:rPr>
              <w:t>Capital</w:t>
            </w:r>
          </w:p>
        </w:tc>
        <w:tc>
          <w:tcPr>
            <w:tcW w:w="0" w:type="auto"/>
            <w:vAlign w:val="center"/>
            <w:hideMark/>
          </w:tcPr>
          <w:p w14:paraId="07DD48D9" w14:textId="77777777" w:rsidR="00E74747" w:rsidRPr="00D43584" w:rsidRDefault="00E74747" w:rsidP="000D5B7C">
            <w:pPr>
              <w:pStyle w:val="NoSpacing"/>
              <w:jc w:val="center"/>
              <w:rPr>
                <w:rFonts w:ascii="Times New Roman" w:hAnsi="Times New Roman" w:cs="Times New Roman"/>
                <w:szCs w:val="24"/>
              </w:rPr>
            </w:pPr>
            <w:r w:rsidRPr="00D43584">
              <w:rPr>
                <w:rFonts w:ascii="Times New Roman" w:hAnsi="Times New Roman" w:cs="Times New Roman"/>
                <w:szCs w:val="24"/>
              </w:rPr>
              <w:t>+557</w:t>
            </w:r>
          </w:p>
        </w:tc>
        <w:tc>
          <w:tcPr>
            <w:tcW w:w="0" w:type="auto"/>
            <w:vAlign w:val="center"/>
            <w:hideMark/>
          </w:tcPr>
          <w:p w14:paraId="4F40663A" w14:textId="77777777" w:rsidR="00E74747" w:rsidRPr="00D43584" w:rsidRDefault="00E74747" w:rsidP="000D5B7C">
            <w:pPr>
              <w:pStyle w:val="NoSpacing"/>
              <w:jc w:val="center"/>
              <w:rPr>
                <w:rFonts w:ascii="Times New Roman" w:hAnsi="Times New Roman" w:cs="Times New Roman"/>
                <w:szCs w:val="24"/>
              </w:rPr>
            </w:pPr>
            <w:r w:rsidRPr="00D43584">
              <w:rPr>
                <w:rFonts w:ascii="Times New Roman" w:hAnsi="Times New Roman" w:cs="Times New Roman"/>
                <w:szCs w:val="24"/>
              </w:rPr>
              <w:t>+92</w:t>
            </w:r>
          </w:p>
        </w:tc>
        <w:tc>
          <w:tcPr>
            <w:tcW w:w="0" w:type="auto"/>
            <w:vAlign w:val="center"/>
            <w:hideMark/>
          </w:tcPr>
          <w:p w14:paraId="749E9E27" w14:textId="77777777" w:rsidR="00E74747" w:rsidRPr="00D43584" w:rsidRDefault="00E74747" w:rsidP="000D5B7C">
            <w:pPr>
              <w:pStyle w:val="NoSpacing"/>
              <w:jc w:val="center"/>
              <w:rPr>
                <w:rFonts w:ascii="Times New Roman" w:hAnsi="Times New Roman" w:cs="Times New Roman"/>
                <w:szCs w:val="24"/>
              </w:rPr>
            </w:pPr>
            <w:r w:rsidRPr="00D43584">
              <w:rPr>
                <w:rFonts w:ascii="Times New Roman" w:hAnsi="Times New Roman" w:cs="Times New Roman"/>
                <w:szCs w:val="24"/>
              </w:rPr>
              <w:t>+786</w:t>
            </w:r>
          </w:p>
        </w:tc>
        <w:tc>
          <w:tcPr>
            <w:tcW w:w="0" w:type="auto"/>
            <w:vAlign w:val="center"/>
            <w:hideMark/>
          </w:tcPr>
          <w:p w14:paraId="04262B44" w14:textId="77777777" w:rsidR="00E74747" w:rsidRPr="00D43584" w:rsidRDefault="00E74747" w:rsidP="000D5B7C">
            <w:pPr>
              <w:pStyle w:val="NoSpacing"/>
              <w:jc w:val="center"/>
              <w:rPr>
                <w:rFonts w:ascii="Times New Roman" w:hAnsi="Times New Roman" w:cs="Times New Roman"/>
                <w:szCs w:val="24"/>
              </w:rPr>
            </w:pPr>
            <w:r w:rsidRPr="00D43584">
              <w:rPr>
                <w:rFonts w:ascii="Times New Roman" w:hAnsi="Times New Roman" w:cs="Times New Roman"/>
                <w:szCs w:val="24"/>
              </w:rPr>
              <w:t>-31</w:t>
            </w:r>
          </w:p>
        </w:tc>
        <w:tc>
          <w:tcPr>
            <w:tcW w:w="0" w:type="auto"/>
            <w:vAlign w:val="center"/>
            <w:hideMark/>
          </w:tcPr>
          <w:p w14:paraId="47569529" w14:textId="77777777" w:rsidR="00E74747" w:rsidRPr="00D43584" w:rsidRDefault="00E74747" w:rsidP="000D5B7C">
            <w:pPr>
              <w:pStyle w:val="NoSpacing"/>
              <w:jc w:val="center"/>
              <w:rPr>
                <w:rFonts w:ascii="Times New Roman" w:hAnsi="Times New Roman" w:cs="Times New Roman"/>
                <w:szCs w:val="24"/>
              </w:rPr>
            </w:pPr>
            <w:r w:rsidRPr="00D43584">
              <w:rPr>
                <w:rFonts w:ascii="Times New Roman" w:hAnsi="Times New Roman" w:cs="Times New Roman"/>
                <w:szCs w:val="24"/>
              </w:rPr>
              <w:t>+50</w:t>
            </w:r>
          </w:p>
        </w:tc>
        <w:tc>
          <w:tcPr>
            <w:tcW w:w="0" w:type="auto"/>
            <w:vAlign w:val="center"/>
            <w:hideMark/>
          </w:tcPr>
          <w:p w14:paraId="5FA52E58" w14:textId="77777777" w:rsidR="00E74747" w:rsidRPr="00D43584" w:rsidRDefault="00E74747" w:rsidP="000D5B7C">
            <w:pPr>
              <w:pStyle w:val="NoSpacing"/>
              <w:jc w:val="center"/>
              <w:rPr>
                <w:rFonts w:ascii="Times New Roman" w:hAnsi="Times New Roman" w:cs="Times New Roman"/>
                <w:szCs w:val="24"/>
              </w:rPr>
            </w:pPr>
            <w:r w:rsidRPr="00D43584">
              <w:rPr>
                <w:rFonts w:ascii="Times New Roman" w:hAnsi="Times New Roman" w:cs="Times New Roman"/>
                <w:szCs w:val="24"/>
              </w:rPr>
              <w:t>+553</w:t>
            </w:r>
          </w:p>
        </w:tc>
        <w:tc>
          <w:tcPr>
            <w:tcW w:w="0" w:type="auto"/>
            <w:vAlign w:val="center"/>
            <w:hideMark/>
          </w:tcPr>
          <w:p w14:paraId="5EEFC7C0" w14:textId="77777777" w:rsidR="00E74747" w:rsidRPr="00D43584" w:rsidRDefault="00E74747" w:rsidP="000D5B7C">
            <w:pPr>
              <w:pStyle w:val="NoSpacing"/>
              <w:jc w:val="center"/>
              <w:rPr>
                <w:rFonts w:ascii="Times New Roman" w:hAnsi="Times New Roman" w:cs="Times New Roman"/>
                <w:szCs w:val="24"/>
              </w:rPr>
            </w:pPr>
            <w:r w:rsidRPr="00D43584">
              <w:rPr>
                <w:rFonts w:ascii="Times New Roman" w:hAnsi="Times New Roman" w:cs="Times New Roman"/>
                <w:szCs w:val="24"/>
              </w:rPr>
              <w:t>-848</w:t>
            </w:r>
          </w:p>
        </w:tc>
        <w:tc>
          <w:tcPr>
            <w:tcW w:w="0" w:type="auto"/>
            <w:vAlign w:val="center"/>
            <w:hideMark/>
          </w:tcPr>
          <w:p w14:paraId="2FCEEC2A" w14:textId="77777777" w:rsidR="00E74747" w:rsidRPr="00D43584" w:rsidRDefault="00E74747" w:rsidP="000D5B7C">
            <w:pPr>
              <w:pStyle w:val="NoSpacing"/>
              <w:jc w:val="center"/>
              <w:rPr>
                <w:rFonts w:ascii="Times New Roman" w:hAnsi="Times New Roman" w:cs="Times New Roman"/>
                <w:szCs w:val="24"/>
              </w:rPr>
            </w:pPr>
            <w:r w:rsidRPr="00D43584">
              <w:rPr>
                <w:rFonts w:ascii="Times New Roman" w:hAnsi="Times New Roman" w:cs="Times New Roman"/>
                <w:szCs w:val="24"/>
              </w:rPr>
              <w:t>-630</w:t>
            </w:r>
          </w:p>
        </w:tc>
        <w:tc>
          <w:tcPr>
            <w:tcW w:w="0" w:type="auto"/>
            <w:vAlign w:val="center"/>
            <w:hideMark/>
          </w:tcPr>
          <w:p w14:paraId="3046D1D0" w14:textId="77777777" w:rsidR="00E74747" w:rsidRPr="00D43584" w:rsidRDefault="00E74747" w:rsidP="000D5B7C">
            <w:pPr>
              <w:pStyle w:val="NoSpacing"/>
              <w:jc w:val="center"/>
              <w:rPr>
                <w:rFonts w:ascii="Times New Roman" w:hAnsi="Times New Roman" w:cs="Times New Roman"/>
                <w:szCs w:val="24"/>
              </w:rPr>
            </w:pPr>
            <w:r w:rsidRPr="00D43584">
              <w:rPr>
                <w:rFonts w:ascii="Times New Roman" w:hAnsi="Times New Roman" w:cs="Times New Roman"/>
                <w:szCs w:val="24"/>
              </w:rPr>
              <w:t>-109</w:t>
            </w:r>
          </w:p>
        </w:tc>
      </w:tr>
      <w:tr w:rsidR="00E74747" w:rsidRPr="00D43584" w14:paraId="64B63795" w14:textId="77777777" w:rsidTr="000D5B7C">
        <w:trPr>
          <w:trHeight w:val="397"/>
          <w:jc w:val="center"/>
        </w:trPr>
        <w:tc>
          <w:tcPr>
            <w:tcW w:w="0" w:type="auto"/>
            <w:vAlign w:val="center"/>
            <w:hideMark/>
          </w:tcPr>
          <w:p w14:paraId="20355CCF" w14:textId="77777777" w:rsidR="00E74747" w:rsidRPr="000D5B7C" w:rsidRDefault="00E74747" w:rsidP="000D5B7C">
            <w:pPr>
              <w:pStyle w:val="NoSpacing"/>
              <w:jc w:val="center"/>
              <w:rPr>
                <w:rFonts w:ascii="Times New Roman" w:hAnsi="Times New Roman" w:cs="Times New Roman"/>
                <w:szCs w:val="24"/>
              </w:rPr>
            </w:pPr>
          </w:p>
        </w:tc>
        <w:tc>
          <w:tcPr>
            <w:tcW w:w="0" w:type="auto"/>
            <w:vAlign w:val="center"/>
            <w:hideMark/>
          </w:tcPr>
          <w:p w14:paraId="3A363FBA" w14:textId="77777777" w:rsidR="00E74747" w:rsidRPr="000D5B7C" w:rsidRDefault="00E74747" w:rsidP="000D5B7C">
            <w:pPr>
              <w:pStyle w:val="NoSpacing"/>
              <w:jc w:val="center"/>
              <w:rPr>
                <w:rFonts w:ascii="Times New Roman" w:hAnsi="Times New Roman" w:cs="Times New Roman"/>
                <w:szCs w:val="24"/>
              </w:rPr>
            </w:pPr>
            <w:r w:rsidRPr="000D5B7C">
              <w:rPr>
                <w:rFonts w:ascii="Times New Roman" w:hAnsi="Times New Roman" w:cs="Times New Roman"/>
                <w:szCs w:val="24"/>
              </w:rPr>
              <w:t>Overall</w:t>
            </w:r>
          </w:p>
        </w:tc>
        <w:tc>
          <w:tcPr>
            <w:tcW w:w="0" w:type="auto"/>
            <w:vAlign w:val="center"/>
            <w:hideMark/>
          </w:tcPr>
          <w:p w14:paraId="4E3783D5" w14:textId="77777777" w:rsidR="00E74747" w:rsidRPr="00D43584" w:rsidRDefault="00E74747" w:rsidP="000D5B7C">
            <w:pPr>
              <w:pStyle w:val="NoSpacing"/>
              <w:jc w:val="center"/>
              <w:rPr>
                <w:rFonts w:ascii="Times New Roman" w:hAnsi="Times New Roman" w:cs="Times New Roman"/>
                <w:szCs w:val="24"/>
              </w:rPr>
            </w:pPr>
            <w:r w:rsidRPr="00D43584">
              <w:rPr>
                <w:rFonts w:ascii="Times New Roman" w:hAnsi="Times New Roman" w:cs="Times New Roman"/>
                <w:szCs w:val="24"/>
              </w:rPr>
              <w:t>-140</w:t>
            </w:r>
          </w:p>
        </w:tc>
        <w:tc>
          <w:tcPr>
            <w:tcW w:w="0" w:type="auto"/>
            <w:vAlign w:val="center"/>
            <w:hideMark/>
          </w:tcPr>
          <w:p w14:paraId="42C9643C" w14:textId="77777777" w:rsidR="00E74747" w:rsidRPr="00D43584" w:rsidRDefault="00E74747" w:rsidP="000D5B7C">
            <w:pPr>
              <w:pStyle w:val="NoSpacing"/>
              <w:jc w:val="center"/>
              <w:rPr>
                <w:rFonts w:ascii="Times New Roman" w:hAnsi="Times New Roman" w:cs="Times New Roman"/>
                <w:szCs w:val="24"/>
              </w:rPr>
            </w:pPr>
            <w:r w:rsidRPr="00D43584">
              <w:rPr>
                <w:rFonts w:ascii="Times New Roman" w:hAnsi="Times New Roman" w:cs="Times New Roman"/>
                <w:szCs w:val="24"/>
              </w:rPr>
              <w:t>-695</w:t>
            </w:r>
          </w:p>
        </w:tc>
        <w:tc>
          <w:tcPr>
            <w:tcW w:w="0" w:type="auto"/>
            <w:vAlign w:val="center"/>
            <w:hideMark/>
          </w:tcPr>
          <w:p w14:paraId="4317342E" w14:textId="77777777" w:rsidR="00E74747" w:rsidRPr="00D43584" w:rsidRDefault="00E74747" w:rsidP="000D5B7C">
            <w:pPr>
              <w:pStyle w:val="NoSpacing"/>
              <w:jc w:val="center"/>
              <w:rPr>
                <w:rFonts w:ascii="Times New Roman" w:hAnsi="Times New Roman" w:cs="Times New Roman"/>
                <w:szCs w:val="24"/>
              </w:rPr>
            </w:pPr>
            <w:r w:rsidRPr="00D43584">
              <w:rPr>
                <w:rFonts w:ascii="Times New Roman" w:hAnsi="Times New Roman" w:cs="Times New Roman"/>
                <w:szCs w:val="24"/>
              </w:rPr>
              <w:t>..</w:t>
            </w:r>
          </w:p>
        </w:tc>
        <w:tc>
          <w:tcPr>
            <w:tcW w:w="0" w:type="auto"/>
            <w:vAlign w:val="center"/>
            <w:hideMark/>
          </w:tcPr>
          <w:p w14:paraId="6C398F24" w14:textId="77777777" w:rsidR="00E74747" w:rsidRPr="00D43584" w:rsidRDefault="00E74747" w:rsidP="000D5B7C">
            <w:pPr>
              <w:pStyle w:val="NoSpacing"/>
              <w:jc w:val="center"/>
              <w:rPr>
                <w:rFonts w:ascii="Times New Roman" w:hAnsi="Times New Roman" w:cs="Times New Roman"/>
                <w:szCs w:val="24"/>
              </w:rPr>
            </w:pPr>
            <w:r w:rsidRPr="00D43584">
              <w:rPr>
                <w:rFonts w:ascii="Times New Roman" w:hAnsi="Times New Roman" w:cs="Times New Roman"/>
                <w:szCs w:val="24"/>
              </w:rPr>
              <w:t>..</w:t>
            </w:r>
          </w:p>
        </w:tc>
        <w:tc>
          <w:tcPr>
            <w:tcW w:w="0" w:type="auto"/>
            <w:vAlign w:val="center"/>
            <w:hideMark/>
          </w:tcPr>
          <w:p w14:paraId="77354E63" w14:textId="77777777" w:rsidR="00E74747" w:rsidRPr="00D43584" w:rsidRDefault="00E74747" w:rsidP="000D5B7C">
            <w:pPr>
              <w:pStyle w:val="NoSpacing"/>
              <w:jc w:val="center"/>
              <w:rPr>
                <w:rFonts w:ascii="Times New Roman" w:hAnsi="Times New Roman" w:cs="Times New Roman"/>
                <w:szCs w:val="24"/>
              </w:rPr>
            </w:pPr>
            <w:r w:rsidRPr="00D43584">
              <w:rPr>
                <w:rFonts w:ascii="Times New Roman" w:hAnsi="Times New Roman" w:cs="Times New Roman"/>
                <w:szCs w:val="24"/>
              </w:rPr>
              <w:t>-695</w:t>
            </w:r>
          </w:p>
        </w:tc>
        <w:tc>
          <w:tcPr>
            <w:tcW w:w="0" w:type="auto"/>
            <w:vAlign w:val="center"/>
            <w:hideMark/>
          </w:tcPr>
          <w:p w14:paraId="530D24F9" w14:textId="77777777" w:rsidR="00E74747" w:rsidRPr="00D43584" w:rsidRDefault="00E74747" w:rsidP="000D5B7C">
            <w:pPr>
              <w:pStyle w:val="NoSpacing"/>
              <w:jc w:val="center"/>
              <w:rPr>
                <w:rFonts w:ascii="Times New Roman" w:hAnsi="Times New Roman" w:cs="Times New Roman"/>
                <w:szCs w:val="24"/>
              </w:rPr>
            </w:pPr>
            <w:r w:rsidRPr="00D43584">
              <w:rPr>
                <w:rFonts w:ascii="Times New Roman" w:hAnsi="Times New Roman" w:cs="Times New Roman"/>
                <w:szCs w:val="24"/>
              </w:rPr>
              <w:t>-135</w:t>
            </w:r>
          </w:p>
        </w:tc>
        <w:tc>
          <w:tcPr>
            <w:tcW w:w="0" w:type="auto"/>
            <w:vAlign w:val="center"/>
            <w:hideMark/>
          </w:tcPr>
          <w:p w14:paraId="3A504BC9" w14:textId="77777777" w:rsidR="00E74747" w:rsidRPr="00D43584" w:rsidRDefault="00E74747" w:rsidP="000D5B7C">
            <w:pPr>
              <w:pStyle w:val="NoSpacing"/>
              <w:jc w:val="center"/>
              <w:rPr>
                <w:rFonts w:ascii="Times New Roman" w:hAnsi="Times New Roman" w:cs="Times New Roman"/>
                <w:szCs w:val="24"/>
              </w:rPr>
            </w:pPr>
            <w:r w:rsidRPr="00D43584">
              <w:rPr>
                <w:rFonts w:ascii="Times New Roman" w:hAnsi="Times New Roman" w:cs="Times New Roman"/>
                <w:szCs w:val="24"/>
              </w:rPr>
              <w:t>-960</w:t>
            </w:r>
          </w:p>
        </w:tc>
        <w:tc>
          <w:tcPr>
            <w:tcW w:w="0" w:type="auto"/>
            <w:vAlign w:val="center"/>
            <w:hideMark/>
          </w:tcPr>
          <w:p w14:paraId="35782401" w14:textId="77777777" w:rsidR="00E74747" w:rsidRPr="00D43584" w:rsidRDefault="00E74747" w:rsidP="000D5B7C">
            <w:pPr>
              <w:pStyle w:val="NoSpacing"/>
              <w:jc w:val="center"/>
              <w:rPr>
                <w:rFonts w:ascii="Times New Roman" w:hAnsi="Times New Roman" w:cs="Times New Roman"/>
                <w:szCs w:val="24"/>
              </w:rPr>
            </w:pPr>
            <w:r w:rsidRPr="00D43584">
              <w:rPr>
                <w:rFonts w:ascii="Times New Roman" w:hAnsi="Times New Roman" w:cs="Times New Roman"/>
                <w:szCs w:val="24"/>
              </w:rPr>
              <w:t>-675</w:t>
            </w:r>
          </w:p>
        </w:tc>
        <w:tc>
          <w:tcPr>
            <w:tcW w:w="0" w:type="auto"/>
            <w:vAlign w:val="center"/>
            <w:hideMark/>
          </w:tcPr>
          <w:p w14:paraId="5D0A06DD" w14:textId="77777777" w:rsidR="00E74747" w:rsidRPr="00D43584" w:rsidRDefault="00E74747" w:rsidP="000D5B7C">
            <w:pPr>
              <w:pStyle w:val="NoSpacing"/>
              <w:jc w:val="center"/>
              <w:rPr>
                <w:rFonts w:ascii="Times New Roman" w:hAnsi="Times New Roman" w:cs="Times New Roman"/>
                <w:szCs w:val="24"/>
              </w:rPr>
            </w:pPr>
            <w:r w:rsidRPr="00D43584">
              <w:rPr>
                <w:rFonts w:ascii="Times New Roman" w:hAnsi="Times New Roman" w:cs="Times New Roman"/>
                <w:szCs w:val="24"/>
              </w:rPr>
              <w:t>-35</w:t>
            </w:r>
          </w:p>
        </w:tc>
      </w:tr>
      <w:tr w:rsidR="00E74747" w:rsidRPr="00D43584" w14:paraId="7853311D" w14:textId="77777777" w:rsidTr="000D5B7C">
        <w:trPr>
          <w:trHeight w:val="397"/>
          <w:jc w:val="center"/>
        </w:trPr>
        <w:tc>
          <w:tcPr>
            <w:tcW w:w="0" w:type="auto"/>
            <w:vAlign w:val="center"/>
            <w:hideMark/>
          </w:tcPr>
          <w:p w14:paraId="3D7F2D2A" w14:textId="77777777" w:rsidR="00E74747" w:rsidRPr="000D5B7C" w:rsidRDefault="00E74747" w:rsidP="000D5B7C">
            <w:pPr>
              <w:pStyle w:val="NoSpacing"/>
              <w:jc w:val="center"/>
              <w:rPr>
                <w:rFonts w:ascii="Times New Roman" w:hAnsi="Times New Roman" w:cs="Times New Roman"/>
                <w:szCs w:val="24"/>
              </w:rPr>
            </w:pPr>
            <w:r w:rsidRPr="000D5B7C">
              <w:rPr>
                <w:rFonts w:ascii="Times New Roman" w:hAnsi="Times New Roman" w:cs="Times New Roman"/>
                <w:szCs w:val="24"/>
              </w:rPr>
              <w:t>Maharashtra</w:t>
            </w:r>
          </w:p>
        </w:tc>
        <w:tc>
          <w:tcPr>
            <w:tcW w:w="0" w:type="auto"/>
            <w:vAlign w:val="center"/>
            <w:hideMark/>
          </w:tcPr>
          <w:p w14:paraId="52F47C86" w14:textId="77777777" w:rsidR="00E74747" w:rsidRPr="000D5B7C" w:rsidRDefault="00E74747" w:rsidP="000D5B7C">
            <w:pPr>
              <w:pStyle w:val="NoSpacing"/>
              <w:jc w:val="center"/>
              <w:rPr>
                <w:rFonts w:ascii="Times New Roman" w:hAnsi="Times New Roman" w:cs="Times New Roman"/>
                <w:szCs w:val="24"/>
              </w:rPr>
            </w:pPr>
            <w:r w:rsidRPr="000D5B7C">
              <w:rPr>
                <w:rFonts w:ascii="Times New Roman" w:hAnsi="Times New Roman" w:cs="Times New Roman"/>
                <w:szCs w:val="24"/>
              </w:rPr>
              <w:t>Revenue</w:t>
            </w:r>
          </w:p>
        </w:tc>
        <w:tc>
          <w:tcPr>
            <w:tcW w:w="0" w:type="auto"/>
            <w:vAlign w:val="center"/>
            <w:hideMark/>
          </w:tcPr>
          <w:p w14:paraId="0859F979" w14:textId="77777777" w:rsidR="00E74747" w:rsidRPr="00D43584" w:rsidRDefault="00E74747" w:rsidP="000D5B7C">
            <w:pPr>
              <w:pStyle w:val="NoSpacing"/>
              <w:jc w:val="center"/>
              <w:rPr>
                <w:rFonts w:ascii="Times New Roman" w:hAnsi="Times New Roman" w:cs="Times New Roman"/>
                <w:szCs w:val="24"/>
              </w:rPr>
            </w:pPr>
            <w:r w:rsidRPr="00D43584">
              <w:rPr>
                <w:rFonts w:ascii="Times New Roman" w:hAnsi="Times New Roman" w:cs="Times New Roman"/>
                <w:szCs w:val="24"/>
              </w:rPr>
              <w:t>-935</w:t>
            </w:r>
          </w:p>
        </w:tc>
        <w:tc>
          <w:tcPr>
            <w:tcW w:w="0" w:type="auto"/>
            <w:vAlign w:val="center"/>
            <w:hideMark/>
          </w:tcPr>
          <w:p w14:paraId="7EC453CC" w14:textId="77777777" w:rsidR="00E74747" w:rsidRPr="00D43584" w:rsidRDefault="00E74747" w:rsidP="000D5B7C">
            <w:pPr>
              <w:pStyle w:val="NoSpacing"/>
              <w:jc w:val="center"/>
              <w:rPr>
                <w:rFonts w:ascii="Times New Roman" w:hAnsi="Times New Roman" w:cs="Times New Roman"/>
                <w:szCs w:val="24"/>
              </w:rPr>
            </w:pPr>
            <w:r w:rsidRPr="00D43584">
              <w:rPr>
                <w:rFonts w:ascii="Times New Roman" w:hAnsi="Times New Roman" w:cs="Times New Roman"/>
                <w:szCs w:val="24"/>
              </w:rPr>
              <w:t>-2201</w:t>
            </w:r>
          </w:p>
        </w:tc>
        <w:tc>
          <w:tcPr>
            <w:tcW w:w="0" w:type="auto"/>
            <w:vAlign w:val="center"/>
            <w:hideMark/>
          </w:tcPr>
          <w:p w14:paraId="4CCFA5D4" w14:textId="77777777" w:rsidR="00E74747" w:rsidRPr="00D43584" w:rsidRDefault="00E74747" w:rsidP="000D5B7C">
            <w:pPr>
              <w:pStyle w:val="NoSpacing"/>
              <w:jc w:val="center"/>
              <w:rPr>
                <w:rFonts w:ascii="Times New Roman" w:hAnsi="Times New Roman" w:cs="Times New Roman"/>
                <w:szCs w:val="24"/>
              </w:rPr>
            </w:pPr>
            <w:r w:rsidRPr="00D43584">
              <w:rPr>
                <w:rFonts w:ascii="Times New Roman" w:hAnsi="Times New Roman" w:cs="Times New Roman"/>
                <w:szCs w:val="24"/>
              </w:rPr>
              <w:t>-1373</w:t>
            </w:r>
          </w:p>
        </w:tc>
        <w:tc>
          <w:tcPr>
            <w:tcW w:w="0" w:type="auto"/>
            <w:vAlign w:val="center"/>
            <w:hideMark/>
          </w:tcPr>
          <w:p w14:paraId="5519A56F" w14:textId="77777777" w:rsidR="00E74747" w:rsidRPr="00D43584" w:rsidRDefault="00E74747" w:rsidP="000D5B7C">
            <w:pPr>
              <w:pStyle w:val="NoSpacing"/>
              <w:jc w:val="center"/>
              <w:rPr>
                <w:rFonts w:ascii="Times New Roman" w:hAnsi="Times New Roman" w:cs="Times New Roman"/>
                <w:szCs w:val="24"/>
              </w:rPr>
            </w:pPr>
            <w:r w:rsidRPr="00D43584">
              <w:rPr>
                <w:rFonts w:ascii="Times New Roman" w:hAnsi="Times New Roman" w:cs="Times New Roman"/>
                <w:szCs w:val="24"/>
              </w:rPr>
              <w:t>+53</w:t>
            </w:r>
          </w:p>
        </w:tc>
        <w:tc>
          <w:tcPr>
            <w:tcW w:w="0" w:type="auto"/>
            <w:vAlign w:val="center"/>
            <w:hideMark/>
          </w:tcPr>
          <w:p w14:paraId="53EC70FC" w14:textId="77777777" w:rsidR="00E74747" w:rsidRPr="00D43584" w:rsidRDefault="00E74747" w:rsidP="000D5B7C">
            <w:pPr>
              <w:pStyle w:val="NoSpacing"/>
              <w:jc w:val="center"/>
              <w:rPr>
                <w:rFonts w:ascii="Times New Roman" w:hAnsi="Times New Roman" w:cs="Times New Roman"/>
                <w:szCs w:val="24"/>
              </w:rPr>
            </w:pPr>
            <w:r w:rsidRPr="00D43584">
              <w:rPr>
                <w:rFonts w:ascii="Times New Roman" w:hAnsi="Times New Roman" w:cs="Times New Roman"/>
                <w:szCs w:val="24"/>
              </w:rPr>
              <w:t>-134</w:t>
            </w:r>
          </w:p>
        </w:tc>
        <w:tc>
          <w:tcPr>
            <w:tcW w:w="0" w:type="auto"/>
            <w:vAlign w:val="center"/>
            <w:hideMark/>
          </w:tcPr>
          <w:p w14:paraId="30B74F56" w14:textId="77777777" w:rsidR="00E74747" w:rsidRPr="00D43584" w:rsidRDefault="00E74747" w:rsidP="000D5B7C">
            <w:pPr>
              <w:pStyle w:val="NoSpacing"/>
              <w:jc w:val="center"/>
              <w:rPr>
                <w:rFonts w:ascii="Times New Roman" w:hAnsi="Times New Roman" w:cs="Times New Roman"/>
                <w:szCs w:val="24"/>
              </w:rPr>
            </w:pPr>
            <w:r w:rsidRPr="00D43584">
              <w:rPr>
                <w:rFonts w:ascii="Times New Roman" w:hAnsi="Times New Roman" w:cs="Times New Roman"/>
                <w:szCs w:val="24"/>
              </w:rPr>
              <w:t>-1181</w:t>
            </w:r>
          </w:p>
        </w:tc>
        <w:tc>
          <w:tcPr>
            <w:tcW w:w="0" w:type="auto"/>
            <w:vAlign w:val="center"/>
            <w:hideMark/>
          </w:tcPr>
          <w:p w14:paraId="036B5D47" w14:textId="77777777" w:rsidR="00E74747" w:rsidRPr="00D43584" w:rsidRDefault="00E74747" w:rsidP="000D5B7C">
            <w:pPr>
              <w:pStyle w:val="NoSpacing"/>
              <w:jc w:val="center"/>
              <w:rPr>
                <w:rFonts w:ascii="Times New Roman" w:hAnsi="Times New Roman" w:cs="Times New Roman"/>
                <w:szCs w:val="24"/>
              </w:rPr>
            </w:pPr>
            <w:r w:rsidRPr="00D43584">
              <w:rPr>
                <w:rFonts w:ascii="Times New Roman" w:hAnsi="Times New Roman" w:cs="Times New Roman"/>
                <w:szCs w:val="24"/>
              </w:rPr>
              <w:t>+1046</w:t>
            </w:r>
          </w:p>
        </w:tc>
        <w:tc>
          <w:tcPr>
            <w:tcW w:w="0" w:type="auto"/>
            <w:vAlign w:val="center"/>
            <w:hideMark/>
          </w:tcPr>
          <w:p w14:paraId="48E627C3" w14:textId="77777777" w:rsidR="00E74747" w:rsidRPr="00D43584" w:rsidRDefault="00E74747" w:rsidP="000D5B7C">
            <w:pPr>
              <w:pStyle w:val="NoSpacing"/>
              <w:jc w:val="center"/>
              <w:rPr>
                <w:rFonts w:ascii="Times New Roman" w:hAnsi="Times New Roman" w:cs="Times New Roman"/>
                <w:szCs w:val="24"/>
              </w:rPr>
            </w:pPr>
            <w:r w:rsidRPr="00D43584">
              <w:rPr>
                <w:rFonts w:ascii="Times New Roman" w:hAnsi="Times New Roman" w:cs="Times New Roman"/>
                <w:szCs w:val="24"/>
              </w:rPr>
              <w:t>+57</w:t>
            </w:r>
          </w:p>
        </w:tc>
        <w:tc>
          <w:tcPr>
            <w:tcW w:w="0" w:type="auto"/>
            <w:vAlign w:val="center"/>
            <w:hideMark/>
          </w:tcPr>
          <w:p w14:paraId="40903BCE" w14:textId="77777777" w:rsidR="00E74747" w:rsidRPr="00D43584" w:rsidRDefault="00E74747" w:rsidP="000D5B7C">
            <w:pPr>
              <w:pStyle w:val="NoSpacing"/>
              <w:jc w:val="center"/>
              <w:rPr>
                <w:rFonts w:ascii="Times New Roman" w:hAnsi="Times New Roman" w:cs="Times New Roman"/>
                <w:szCs w:val="24"/>
              </w:rPr>
            </w:pPr>
            <w:r w:rsidRPr="00D43584">
              <w:rPr>
                <w:rFonts w:ascii="Times New Roman" w:hAnsi="Times New Roman" w:cs="Times New Roman"/>
                <w:szCs w:val="24"/>
              </w:rPr>
              <w:t>+1692</w:t>
            </w:r>
          </w:p>
        </w:tc>
      </w:tr>
      <w:tr w:rsidR="00E74747" w:rsidRPr="00D43584" w14:paraId="7E5B89C7" w14:textId="77777777" w:rsidTr="000D5B7C">
        <w:trPr>
          <w:trHeight w:val="397"/>
          <w:jc w:val="center"/>
        </w:trPr>
        <w:tc>
          <w:tcPr>
            <w:tcW w:w="0" w:type="auto"/>
            <w:vAlign w:val="center"/>
            <w:hideMark/>
          </w:tcPr>
          <w:p w14:paraId="2A90193A" w14:textId="77777777" w:rsidR="00E74747" w:rsidRPr="000D5B7C" w:rsidRDefault="00E74747" w:rsidP="000D5B7C">
            <w:pPr>
              <w:pStyle w:val="NoSpacing"/>
              <w:jc w:val="center"/>
              <w:rPr>
                <w:rFonts w:ascii="Times New Roman" w:hAnsi="Times New Roman" w:cs="Times New Roman"/>
                <w:szCs w:val="24"/>
              </w:rPr>
            </w:pPr>
          </w:p>
        </w:tc>
        <w:tc>
          <w:tcPr>
            <w:tcW w:w="0" w:type="auto"/>
            <w:vAlign w:val="center"/>
            <w:hideMark/>
          </w:tcPr>
          <w:p w14:paraId="75248AED" w14:textId="77777777" w:rsidR="00E74747" w:rsidRPr="000D5B7C" w:rsidRDefault="00E74747" w:rsidP="000D5B7C">
            <w:pPr>
              <w:pStyle w:val="NoSpacing"/>
              <w:jc w:val="center"/>
              <w:rPr>
                <w:rFonts w:ascii="Times New Roman" w:hAnsi="Times New Roman" w:cs="Times New Roman"/>
                <w:szCs w:val="24"/>
              </w:rPr>
            </w:pPr>
            <w:r w:rsidRPr="000D5B7C">
              <w:rPr>
                <w:rFonts w:ascii="Times New Roman" w:hAnsi="Times New Roman" w:cs="Times New Roman"/>
                <w:szCs w:val="24"/>
              </w:rPr>
              <w:t>Capital</w:t>
            </w:r>
          </w:p>
        </w:tc>
        <w:tc>
          <w:tcPr>
            <w:tcW w:w="0" w:type="auto"/>
            <w:vAlign w:val="center"/>
            <w:hideMark/>
          </w:tcPr>
          <w:p w14:paraId="15F2A388" w14:textId="77777777" w:rsidR="00E74747" w:rsidRPr="00D43584" w:rsidRDefault="00E74747" w:rsidP="000D5B7C">
            <w:pPr>
              <w:pStyle w:val="NoSpacing"/>
              <w:jc w:val="center"/>
              <w:rPr>
                <w:rFonts w:ascii="Times New Roman" w:hAnsi="Times New Roman" w:cs="Times New Roman"/>
                <w:szCs w:val="24"/>
              </w:rPr>
            </w:pPr>
            <w:r w:rsidRPr="00D43584">
              <w:rPr>
                <w:rFonts w:ascii="Times New Roman" w:hAnsi="Times New Roman" w:cs="Times New Roman"/>
                <w:szCs w:val="24"/>
              </w:rPr>
              <w:t>-2634</w:t>
            </w:r>
          </w:p>
        </w:tc>
        <w:tc>
          <w:tcPr>
            <w:tcW w:w="0" w:type="auto"/>
            <w:vAlign w:val="center"/>
            <w:hideMark/>
          </w:tcPr>
          <w:p w14:paraId="18784E95" w14:textId="77777777" w:rsidR="00E74747" w:rsidRPr="00D43584" w:rsidRDefault="00E74747" w:rsidP="000D5B7C">
            <w:pPr>
              <w:pStyle w:val="NoSpacing"/>
              <w:jc w:val="center"/>
              <w:rPr>
                <w:rFonts w:ascii="Times New Roman" w:hAnsi="Times New Roman" w:cs="Times New Roman"/>
                <w:szCs w:val="24"/>
              </w:rPr>
            </w:pPr>
            <w:r w:rsidRPr="00D43584">
              <w:rPr>
                <w:rFonts w:ascii="Times New Roman" w:hAnsi="Times New Roman" w:cs="Times New Roman"/>
                <w:szCs w:val="24"/>
              </w:rPr>
              <w:t>+2475</w:t>
            </w:r>
          </w:p>
        </w:tc>
        <w:tc>
          <w:tcPr>
            <w:tcW w:w="0" w:type="auto"/>
            <w:vAlign w:val="center"/>
            <w:hideMark/>
          </w:tcPr>
          <w:p w14:paraId="5A6B6A1E" w14:textId="77777777" w:rsidR="00E74747" w:rsidRPr="00D43584" w:rsidRDefault="00E74747" w:rsidP="000D5B7C">
            <w:pPr>
              <w:pStyle w:val="NoSpacing"/>
              <w:jc w:val="center"/>
              <w:rPr>
                <w:rFonts w:ascii="Times New Roman" w:hAnsi="Times New Roman" w:cs="Times New Roman"/>
                <w:szCs w:val="24"/>
              </w:rPr>
            </w:pPr>
            <w:r w:rsidRPr="00D43584">
              <w:rPr>
                <w:rFonts w:ascii="Times New Roman" w:hAnsi="Times New Roman" w:cs="Times New Roman"/>
                <w:szCs w:val="24"/>
              </w:rPr>
              <w:t>+729</w:t>
            </w:r>
          </w:p>
        </w:tc>
        <w:tc>
          <w:tcPr>
            <w:tcW w:w="0" w:type="auto"/>
            <w:vAlign w:val="center"/>
            <w:hideMark/>
          </w:tcPr>
          <w:p w14:paraId="65D2DF62" w14:textId="77777777" w:rsidR="00E74747" w:rsidRPr="00D43584" w:rsidRDefault="00E74747" w:rsidP="000D5B7C">
            <w:pPr>
              <w:pStyle w:val="NoSpacing"/>
              <w:jc w:val="center"/>
              <w:rPr>
                <w:rFonts w:ascii="Times New Roman" w:hAnsi="Times New Roman" w:cs="Times New Roman"/>
                <w:szCs w:val="24"/>
              </w:rPr>
            </w:pPr>
            <w:r w:rsidRPr="00D43584">
              <w:rPr>
                <w:rFonts w:ascii="Times New Roman" w:hAnsi="Times New Roman" w:cs="Times New Roman"/>
                <w:szCs w:val="24"/>
              </w:rPr>
              <w:t>-4955</w:t>
            </w:r>
          </w:p>
        </w:tc>
        <w:tc>
          <w:tcPr>
            <w:tcW w:w="0" w:type="auto"/>
            <w:vAlign w:val="center"/>
            <w:hideMark/>
          </w:tcPr>
          <w:p w14:paraId="65D08E50" w14:textId="77777777" w:rsidR="00E74747" w:rsidRPr="00D43584" w:rsidRDefault="00E74747" w:rsidP="000D5B7C">
            <w:pPr>
              <w:pStyle w:val="NoSpacing"/>
              <w:jc w:val="center"/>
              <w:rPr>
                <w:rFonts w:ascii="Times New Roman" w:hAnsi="Times New Roman" w:cs="Times New Roman"/>
                <w:szCs w:val="24"/>
              </w:rPr>
            </w:pPr>
            <w:r w:rsidRPr="00D43584">
              <w:rPr>
                <w:rFonts w:ascii="Times New Roman" w:hAnsi="Times New Roman" w:cs="Times New Roman"/>
                <w:szCs w:val="24"/>
              </w:rPr>
              <w:t>-1551</w:t>
            </w:r>
          </w:p>
        </w:tc>
        <w:tc>
          <w:tcPr>
            <w:tcW w:w="0" w:type="auto"/>
            <w:vAlign w:val="center"/>
            <w:hideMark/>
          </w:tcPr>
          <w:p w14:paraId="0CF0797E" w14:textId="77777777" w:rsidR="00E74747" w:rsidRPr="00D43584" w:rsidRDefault="00E74747" w:rsidP="000D5B7C">
            <w:pPr>
              <w:pStyle w:val="NoSpacing"/>
              <w:jc w:val="center"/>
              <w:rPr>
                <w:rFonts w:ascii="Times New Roman" w:hAnsi="Times New Roman" w:cs="Times New Roman"/>
                <w:szCs w:val="24"/>
              </w:rPr>
            </w:pPr>
            <w:r w:rsidRPr="00D43584">
              <w:rPr>
                <w:rFonts w:ascii="Times New Roman" w:hAnsi="Times New Roman" w:cs="Times New Roman"/>
                <w:szCs w:val="24"/>
              </w:rPr>
              <w:t>+1071</w:t>
            </w:r>
          </w:p>
        </w:tc>
        <w:tc>
          <w:tcPr>
            <w:tcW w:w="0" w:type="auto"/>
            <w:vAlign w:val="center"/>
            <w:hideMark/>
          </w:tcPr>
          <w:p w14:paraId="007195DE" w14:textId="77777777" w:rsidR="00E74747" w:rsidRPr="00D43584" w:rsidRDefault="00E74747" w:rsidP="000D5B7C">
            <w:pPr>
              <w:pStyle w:val="NoSpacing"/>
              <w:jc w:val="center"/>
              <w:rPr>
                <w:rFonts w:ascii="Times New Roman" w:hAnsi="Times New Roman" w:cs="Times New Roman"/>
                <w:szCs w:val="24"/>
              </w:rPr>
            </w:pPr>
            <w:r w:rsidRPr="00D43584">
              <w:rPr>
                <w:rFonts w:ascii="Times New Roman" w:hAnsi="Times New Roman" w:cs="Times New Roman"/>
                <w:szCs w:val="24"/>
              </w:rPr>
              <w:t>-1720</w:t>
            </w:r>
          </w:p>
        </w:tc>
        <w:tc>
          <w:tcPr>
            <w:tcW w:w="0" w:type="auto"/>
            <w:vAlign w:val="center"/>
            <w:hideMark/>
          </w:tcPr>
          <w:p w14:paraId="208F16E1" w14:textId="77777777" w:rsidR="00E74747" w:rsidRPr="00D43584" w:rsidRDefault="00E74747" w:rsidP="000D5B7C">
            <w:pPr>
              <w:pStyle w:val="NoSpacing"/>
              <w:jc w:val="center"/>
              <w:rPr>
                <w:rFonts w:ascii="Times New Roman" w:hAnsi="Times New Roman" w:cs="Times New Roman"/>
                <w:szCs w:val="24"/>
              </w:rPr>
            </w:pPr>
            <w:r w:rsidRPr="00D43584">
              <w:rPr>
                <w:rFonts w:ascii="Times New Roman" w:hAnsi="Times New Roman" w:cs="Times New Roman"/>
                <w:szCs w:val="24"/>
              </w:rPr>
              <w:t>-561</w:t>
            </w:r>
          </w:p>
        </w:tc>
        <w:tc>
          <w:tcPr>
            <w:tcW w:w="0" w:type="auto"/>
            <w:vAlign w:val="center"/>
            <w:hideMark/>
          </w:tcPr>
          <w:p w14:paraId="2C6D762E" w14:textId="77777777" w:rsidR="00E74747" w:rsidRPr="00D43584" w:rsidRDefault="00E74747" w:rsidP="000D5B7C">
            <w:pPr>
              <w:pStyle w:val="NoSpacing"/>
              <w:jc w:val="center"/>
              <w:rPr>
                <w:rFonts w:ascii="Times New Roman" w:hAnsi="Times New Roman" w:cs="Times New Roman"/>
                <w:szCs w:val="24"/>
              </w:rPr>
            </w:pPr>
            <w:r w:rsidRPr="00D43584">
              <w:rPr>
                <w:rFonts w:ascii="Times New Roman" w:hAnsi="Times New Roman" w:cs="Times New Roman"/>
                <w:szCs w:val="24"/>
              </w:rPr>
              <w:t>-3185</w:t>
            </w:r>
          </w:p>
        </w:tc>
      </w:tr>
      <w:tr w:rsidR="00E74747" w:rsidRPr="00D43584" w14:paraId="635E39F7" w14:textId="77777777" w:rsidTr="000D5B7C">
        <w:trPr>
          <w:trHeight w:val="397"/>
          <w:jc w:val="center"/>
        </w:trPr>
        <w:tc>
          <w:tcPr>
            <w:tcW w:w="0" w:type="auto"/>
            <w:vAlign w:val="center"/>
            <w:hideMark/>
          </w:tcPr>
          <w:p w14:paraId="18C18F4B" w14:textId="77777777" w:rsidR="00E74747" w:rsidRPr="000D5B7C" w:rsidRDefault="00E74747" w:rsidP="000D5B7C">
            <w:pPr>
              <w:pStyle w:val="NoSpacing"/>
              <w:jc w:val="center"/>
              <w:rPr>
                <w:rFonts w:ascii="Times New Roman" w:hAnsi="Times New Roman" w:cs="Times New Roman"/>
                <w:szCs w:val="24"/>
              </w:rPr>
            </w:pPr>
          </w:p>
        </w:tc>
        <w:tc>
          <w:tcPr>
            <w:tcW w:w="0" w:type="auto"/>
            <w:vAlign w:val="center"/>
            <w:hideMark/>
          </w:tcPr>
          <w:p w14:paraId="54A2F302" w14:textId="77777777" w:rsidR="00E74747" w:rsidRPr="000D5B7C" w:rsidRDefault="00E74747" w:rsidP="000D5B7C">
            <w:pPr>
              <w:pStyle w:val="NoSpacing"/>
              <w:jc w:val="center"/>
              <w:rPr>
                <w:rFonts w:ascii="Times New Roman" w:hAnsi="Times New Roman" w:cs="Times New Roman"/>
                <w:szCs w:val="24"/>
              </w:rPr>
            </w:pPr>
            <w:r w:rsidRPr="000D5B7C">
              <w:rPr>
                <w:rFonts w:ascii="Times New Roman" w:hAnsi="Times New Roman" w:cs="Times New Roman"/>
                <w:szCs w:val="24"/>
              </w:rPr>
              <w:t>Overall</w:t>
            </w:r>
          </w:p>
        </w:tc>
        <w:tc>
          <w:tcPr>
            <w:tcW w:w="0" w:type="auto"/>
            <w:vAlign w:val="center"/>
            <w:hideMark/>
          </w:tcPr>
          <w:p w14:paraId="0A516780" w14:textId="77777777" w:rsidR="00E74747" w:rsidRPr="00D43584" w:rsidRDefault="00E74747" w:rsidP="000D5B7C">
            <w:pPr>
              <w:pStyle w:val="NoSpacing"/>
              <w:jc w:val="center"/>
              <w:rPr>
                <w:rFonts w:ascii="Times New Roman" w:hAnsi="Times New Roman" w:cs="Times New Roman"/>
                <w:szCs w:val="24"/>
              </w:rPr>
            </w:pPr>
            <w:r w:rsidRPr="00D43584">
              <w:rPr>
                <w:rFonts w:ascii="Times New Roman" w:hAnsi="Times New Roman" w:cs="Times New Roman"/>
                <w:szCs w:val="24"/>
              </w:rPr>
              <w:t>-3569</w:t>
            </w:r>
          </w:p>
        </w:tc>
        <w:tc>
          <w:tcPr>
            <w:tcW w:w="0" w:type="auto"/>
            <w:vAlign w:val="center"/>
            <w:hideMark/>
          </w:tcPr>
          <w:p w14:paraId="6FFC4FD2" w14:textId="77777777" w:rsidR="00E74747" w:rsidRPr="00D43584" w:rsidRDefault="00E74747" w:rsidP="000D5B7C">
            <w:pPr>
              <w:pStyle w:val="NoSpacing"/>
              <w:jc w:val="center"/>
              <w:rPr>
                <w:rFonts w:ascii="Times New Roman" w:hAnsi="Times New Roman" w:cs="Times New Roman"/>
                <w:szCs w:val="24"/>
              </w:rPr>
            </w:pPr>
            <w:r w:rsidRPr="00D43584">
              <w:rPr>
                <w:rFonts w:ascii="Times New Roman" w:hAnsi="Times New Roman" w:cs="Times New Roman"/>
                <w:szCs w:val="24"/>
              </w:rPr>
              <w:t>+274</w:t>
            </w:r>
          </w:p>
        </w:tc>
        <w:tc>
          <w:tcPr>
            <w:tcW w:w="0" w:type="auto"/>
            <w:vAlign w:val="center"/>
            <w:hideMark/>
          </w:tcPr>
          <w:p w14:paraId="3D8F1F94" w14:textId="77777777" w:rsidR="00E74747" w:rsidRPr="00D43584" w:rsidRDefault="00E74747" w:rsidP="000D5B7C">
            <w:pPr>
              <w:pStyle w:val="NoSpacing"/>
              <w:jc w:val="center"/>
              <w:rPr>
                <w:rFonts w:ascii="Times New Roman" w:hAnsi="Times New Roman" w:cs="Times New Roman"/>
                <w:szCs w:val="24"/>
              </w:rPr>
            </w:pPr>
            <w:r w:rsidRPr="00D43584">
              <w:rPr>
                <w:rFonts w:ascii="Times New Roman" w:hAnsi="Times New Roman" w:cs="Times New Roman"/>
                <w:szCs w:val="24"/>
              </w:rPr>
              <w:t>-644</w:t>
            </w:r>
          </w:p>
        </w:tc>
        <w:tc>
          <w:tcPr>
            <w:tcW w:w="0" w:type="auto"/>
            <w:vAlign w:val="center"/>
            <w:hideMark/>
          </w:tcPr>
          <w:p w14:paraId="36BB4702" w14:textId="77777777" w:rsidR="00E74747" w:rsidRPr="00D43584" w:rsidRDefault="00E74747" w:rsidP="000D5B7C">
            <w:pPr>
              <w:pStyle w:val="NoSpacing"/>
              <w:jc w:val="center"/>
              <w:rPr>
                <w:rFonts w:ascii="Times New Roman" w:hAnsi="Times New Roman" w:cs="Times New Roman"/>
                <w:szCs w:val="24"/>
              </w:rPr>
            </w:pPr>
            <w:r w:rsidRPr="00D43584">
              <w:rPr>
                <w:rFonts w:ascii="Times New Roman" w:hAnsi="Times New Roman" w:cs="Times New Roman"/>
                <w:szCs w:val="24"/>
              </w:rPr>
              <w:t>-4902</w:t>
            </w:r>
          </w:p>
        </w:tc>
        <w:tc>
          <w:tcPr>
            <w:tcW w:w="0" w:type="auto"/>
            <w:vAlign w:val="center"/>
            <w:hideMark/>
          </w:tcPr>
          <w:p w14:paraId="499FF430" w14:textId="77777777" w:rsidR="00E74747" w:rsidRPr="00D43584" w:rsidRDefault="00E74747" w:rsidP="000D5B7C">
            <w:pPr>
              <w:pStyle w:val="NoSpacing"/>
              <w:jc w:val="center"/>
              <w:rPr>
                <w:rFonts w:ascii="Times New Roman" w:hAnsi="Times New Roman" w:cs="Times New Roman"/>
                <w:szCs w:val="24"/>
              </w:rPr>
            </w:pPr>
            <w:r w:rsidRPr="00D43584">
              <w:rPr>
                <w:rFonts w:ascii="Times New Roman" w:hAnsi="Times New Roman" w:cs="Times New Roman"/>
                <w:szCs w:val="24"/>
              </w:rPr>
              <w:t>-1685</w:t>
            </w:r>
          </w:p>
        </w:tc>
        <w:tc>
          <w:tcPr>
            <w:tcW w:w="0" w:type="auto"/>
            <w:vAlign w:val="center"/>
            <w:hideMark/>
          </w:tcPr>
          <w:p w14:paraId="1867B4D3" w14:textId="77777777" w:rsidR="00E74747" w:rsidRPr="00D43584" w:rsidRDefault="00E74747" w:rsidP="000D5B7C">
            <w:pPr>
              <w:pStyle w:val="NoSpacing"/>
              <w:jc w:val="center"/>
              <w:rPr>
                <w:rFonts w:ascii="Times New Roman" w:hAnsi="Times New Roman" w:cs="Times New Roman"/>
                <w:szCs w:val="24"/>
              </w:rPr>
            </w:pPr>
            <w:r w:rsidRPr="00D43584">
              <w:rPr>
                <w:rFonts w:ascii="Times New Roman" w:hAnsi="Times New Roman" w:cs="Times New Roman"/>
                <w:szCs w:val="24"/>
              </w:rPr>
              <w:t>-110</w:t>
            </w:r>
          </w:p>
        </w:tc>
        <w:tc>
          <w:tcPr>
            <w:tcW w:w="0" w:type="auto"/>
            <w:vAlign w:val="center"/>
            <w:hideMark/>
          </w:tcPr>
          <w:p w14:paraId="5D90BEE5" w14:textId="77777777" w:rsidR="00E74747" w:rsidRPr="00D43584" w:rsidRDefault="00E74747" w:rsidP="000D5B7C">
            <w:pPr>
              <w:pStyle w:val="NoSpacing"/>
              <w:jc w:val="center"/>
              <w:rPr>
                <w:rFonts w:ascii="Times New Roman" w:hAnsi="Times New Roman" w:cs="Times New Roman"/>
                <w:szCs w:val="24"/>
              </w:rPr>
            </w:pPr>
            <w:r w:rsidRPr="00D43584">
              <w:rPr>
                <w:rFonts w:ascii="Times New Roman" w:hAnsi="Times New Roman" w:cs="Times New Roman"/>
                <w:szCs w:val="24"/>
              </w:rPr>
              <w:t>-674</w:t>
            </w:r>
          </w:p>
        </w:tc>
        <w:tc>
          <w:tcPr>
            <w:tcW w:w="0" w:type="auto"/>
            <w:vAlign w:val="center"/>
            <w:hideMark/>
          </w:tcPr>
          <w:p w14:paraId="14F83288" w14:textId="77777777" w:rsidR="00E74747" w:rsidRPr="00D43584" w:rsidRDefault="00E74747" w:rsidP="000D5B7C">
            <w:pPr>
              <w:pStyle w:val="NoSpacing"/>
              <w:jc w:val="center"/>
              <w:rPr>
                <w:rFonts w:ascii="Times New Roman" w:hAnsi="Times New Roman" w:cs="Times New Roman"/>
                <w:szCs w:val="24"/>
              </w:rPr>
            </w:pPr>
            <w:r w:rsidRPr="00D43584">
              <w:rPr>
                <w:rFonts w:ascii="Times New Roman" w:hAnsi="Times New Roman" w:cs="Times New Roman"/>
                <w:szCs w:val="24"/>
              </w:rPr>
              <w:t>-504</w:t>
            </w:r>
          </w:p>
        </w:tc>
        <w:tc>
          <w:tcPr>
            <w:tcW w:w="0" w:type="auto"/>
            <w:vAlign w:val="center"/>
            <w:hideMark/>
          </w:tcPr>
          <w:p w14:paraId="10B74EFF" w14:textId="77777777" w:rsidR="00E74747" w:rsidRPr="00D43584" w:rsidRDefault="00E74747" w:rsidP="000D5B7C">
            <w:pPr>
              <w:pStyle w:val="NoSpacing"/>
              <w:jc w:val="center"/>
              <w:rPr>
                <w:rFonts w:ascii="Times New Roman" w:hAnsi="Times New Roman" w:cs="Times New Roman"/>
                <w:szCs w:val="24"/>
              </w:rPr>
            </w:pPr>
            <w:r w:rsidRPr="00D43584">
              <w:rPr>
                <w:rFonts w:ascii="Times New Roman" w:hAnsi="Times New Roman" w:cs="Times New Roman"/>
                <w:szCs w:val="24"/>
              </w:rPr>
              <w:t>-1493</w:t>
            </w:r>
          </w:p>
        </w:tc>
      </w:tr>
      <w:tr w:rsidR="00E74747" w:rsidRPr="00D43584" w14:paraId="7ECF84D5" w14:textId="77777777" w:rsidTr="000D5B7C">
        <w:trPr>
          <w:trHeight w:val="397"/>
          <w:jc w:val="center"/>
        </w:trPr>
        <w:tc>
          <w:tcPr>
            <w:tcW w:w="0" w:type="auto"/>
            <w:vAlign w:val="center"/>
            <w:hideMark/>
          </w:tcPr>
          <w:p w14:paraId="30E2B4D0" w14:textId="77777777" w:rsidR="00E74747" w:rsidRPr="000D5B7C" w:rsidRDefault="00E74747" w:rsidP="000D5B7C">
            <w:pPr>
              <w:pStyle w:val="NoSpacing"/>
              <w:jc w:val="center"/>
              <w:rPr>
                <w:rFonts w:ascii="Times New Roman" w:hAnsi="Times New Roman" w:cs="Times New Roman"/>
                <w:szCs w:val="24"/>
              </w:rPr>
            </w:pPr>
            <w:r w:rsidRPr="000D5B7C">
              <w:rPr>
                <w:rFonts w:ascii="Times New Roman" w:hAnsi="Times New Roman" w:cs="Times New Roman"/>
                <w:szCs w:val="24"/>
              </w:rPr>
              <w:t>Mysore</w:t>
            </w:r>
          </w:p>
        </w:tc>
        <w:tc>
          <w:tcPr>
            <w:tcW w:w="0" w:type="auto"/>
            <w:vAlign w:val="center"/>
            <w:hideMark/>
          </w:tcPr>
          <w:p w14:paraId="043F619D" w14:textId="77777777" w:rsidR="00E74747" w:rsidRPr="000D5B7C" w:rsidRDefault="00E74747" w:rsidP="000D5B7C">
            <w:pPr>
              <w:pStyle w:val="NoSpacing"/>
              <w:jc w:val="center"/>
              <w:rPr>
                <w:rFonts w:ascii="Times New Roman" w:hAnsi="Times New Roman" w:cs="Times New Roman"/>
                <w:szCs w:val="24"/>
              </w:rPr>
            </w:pPr>
            <w:r w:rsidRPr="000D5B7C">
              <w:rPr>
                <w:rFonts w:ascii="Times New Roman" w:hAnsi="Times New Roman" w:cs="Times New Roman"/>
                <w:szCs w:val="24"/>
              </w:rPr>
              <w:t>Revenue</w:t>
            </w:r>
          </w:p>
        </w:tc>
        <w:tc>
          <w:tcPr>
            <w:tcW w:w="0" w:type="auto"/>
            <w:vAlign w:val="center"/>
            <w:hideMark/>
          </w:tcPr>
          <w:p w14:paraId="0E90738B" w14:textId="77777777" w:rsidR="00E74747" w:rsidRPr="00D43584" w:rsidRDefault="00E74747" w:rsidP="000D5B7C">
            <w:pPr>
              <w:pStyle w:val="NoSpacing"/>
              <w:jc w:val="center"/>
              <w:rPr>
                <w:rFonts w:ascii="Times New Roman" w:hAnsi="Times New Roman" w:cs="Times New Roman"/>
                <w:szCs w:val="24"/>
              </w:rPr>
            </w:pPr>
            <w:r w:rsidRPr="00D43584">
              <w:rPr>
                <w:rFonts w:ascii="Times New Roman" w:hAnsi="Times New Roman" w:cs="Times New Roman"/>
                <w:szCs w:val="24"/>
              </w:rPr>
              <w:t>-391</w:t>
            </w:r>
          </w:p>
        </w:tc>
        <w:tc>
          <w:tcPr>
            <w:tcW w:w="0" w:type="auto"/>
            <w:vAlign w:val="center"/>
            <w:hideMark/>
          </w:tcPr>
          <w:p w14:paraId="56AD551D" w14:textId="77777777" w:rsidR="00E74747" w:rsidRPr="00D43584" w:rsidRDefault="00E74747" w:rsidP="000D5B7C">
            <w:pPr>
              <w:pStyle w:val="NoSpacing"/>
              <w:jc w:val="center"/>
              <w:rPr>
                <w:rFonts w:ascii="Times New Roman" w:hAnsi="Times New Roman" w:cs="Times New Roman"/>
                <w:szCs w:val="24"/>
              </w:rPr>
            </w:pPr>
            <w:r w:rsidRPr="00D43584">
              <w:rPr>
                <w:rFonts w:ascii="Times New Roman" w:hAnsi="Times New Roman" w:cs="Times New Roman"/>
                <w:szCs w:val="24"/>
              </w:rPr>
              <w:t>-764</w:t>
            </w:r>
          </w:p>
        </w:tc>
        <w:tc>
          <w:tcPr>
            <w:tcW w:w="0" w:type="auto"/>
            <w:vAlign w:val="center"/>
            <w:hideMark/>
          </w:tcPr>
          <w:p w14:paraId="52A72D86" w14:textId="77777777" w:rsidR="00E74747" w:rsidRPr="00D43584" w:rsidRDefault="00E74747" w:rsidP="000D5B7C">
            <w:pPr>
              <w:pStyle w:val="NoSpacing"/>
              <w:jc w:val="center"/>
              <w:rPr>
                <w:rFonts w:ascii="Times New Roman" w:hAnsi="Times New Roman" w:cs="Times New Roman"/>
                <w:szCs w:val="24"/>
              </w:rPr>
            </w:pPr>
            <w:r w:rsidRPr="00D43584">
              <w:rPr>
                <w:rFonts w:ascii="Times New Roman" w:hAnsi="Times New Roman" w:cs="Times New Roman"/>
                <w:szCs w:val="24"/>
              </w:rPr>
              <w:t>-498</w:t>
            </w:r>
          </w:p>
        </w:tc>
        <w:tc>
          <w:tcPr>
            <w:tcW w:w="0" w:type="auto"/>
            <w:vAlign w:val="center"/>
            <w:hideMark/>
          </w:tcPr>
          <w:p w14:paraId="728A4E69" w14:textId="77777777" w:rsidR="00E74747" w:rsidRPr="00D43584" w:rsidRDefault="00E74747" w:rsidP="000D5B7C">
            <w:pPr>
              <w:pStyle w:val="NoSpacing"/>
              <w:jc w:val="center"/>
              <w:rPr>
                <w:rFonts w:ascii="Times New Roman" w:hAnsi="Times New Roman" w:cs="Times New Roman"/>
                <w:szCs w:val="24"/>
              </w:rPr>
            </w:pPr>
            <w:r w:rsidRPr="00D43584">
              <w:rPr>
                <w:rFonts w:ascii="Times New Roman" w:hAnsi="Times New Roman" w:cs="Times New Roman"/>
                <w:szCs w:val="24"/>
              </w:rPr>
              <w:t>+253</w:t>
            </w:r>
          </w:p>
        </w:tc>
        <w:tc>
          <w:tcPr>
            <w:tcW w:w="0" w:type="auto"/>
            <w:vAlign w:val="center"/>
            <w:hideMark/>
          </w:tcPr>
          <w:p w14:paraId="3EEEFF17" w14:textId="77777777" w:rsidR="00E74747" w:rsidRPr="00D43584" w:rsidRDefault="00E74747" w:rsidP="000D5B7C">
            <w:pPr>
              <w:pStyle w:val="NoSpacing"/>
              <w:jc w:val="center"/>
              <w:rPr>
                <w:rFonts w:ascii="Times New Roman" w:hAnsi="Times New Roman" w:cs="Times New Roman"/>
                <w:szCs w:val="24"/>
              </w:rPr>
            </w:pPr>
            <w:r w:rsidRPr="00D43584">
              <w:rPr>
                <w:rFonts w:ascii="Times New Roman" w:hAnsi="Times New Roman" w:cs="Times New Roman"/>
                <w:szCs w:val="24"/>
              </w:rPr>
              <w:t>+527</w:t>
            </w:r>
          </w:p>
        </w:tc>
        <w:tc>
          <w:tcPr>
            <w:tcW w:w="0" w:type="auto"/>
            <w:vAlign w:val="center"/>
            <w:hideMark/>
          </w:tcPr>
          <w:p w14:paraId="71BCF363" w14:textId="77777777" w:rsidR="00E74747" w:rsidRPr="00D43584" w:rsidRDefault="00E74747" w:rsidP="000D5B7C">
            <w:pPr>
              <w:pStyle w:val="NoSpacing"/>
              <w:jc w:val="center"/>
              <w:rPr>
                <w:rFonts w:ascii="Times New Roman" w:hAnsi="Times New Roman" w:cs="Times New Roman"/>
                <w:szCs w:val="24"/>
              </w:rPr>
            </w:pPr>
            <w:r w:rsidRPr="00D43584">
              <w:rPr>
                <w:rFonts w:ascii="Times New Roman" w:hAnsi="Times New Roman" w:cs="Times New Roman"/>
                <w:szCs w:val="24"/>
              </w:rPr>
              <w:t>+496</w:t>
            </w:r>
          </w:p>
        </w:tc>
        <w:tc>
          <w:tcPr>
            <w:tcW w:w="0" w:type="auto"/>
            <w:vAlign w:val="center"/>
            <w:hideMark/>
          </w:tcPr>
          <w:p w14:paraId="78D21B97" w14:textId="77777777" w:rsidR="00E74747" w:rsidRPr="00D43584" w:rsidRDefault="00E74747" w:rsidP="000D5B7C">
            <w:pPr>
              <w:pStyle w:val="NoSpacing"/>
              <w:jc w:val="center"/>
              <w:rPr>
                <w:rFonts w:ascii="Times New Roman" w:hAnsi="Times New Roman" w:cs="Times New Roman"/>
                <w:szCs w:val="24"/>
              </w:rPr>
            </w:pPr>
            <w:r w:rsidRPr="00D43584">
              <w:rPr>
                <w:rFonts w:ascii="Times New Roman" w:hAnsi="Times New Roman" w:cs="Times New Roman"/>
                <w:szCs w:val="24"/>
              </w:rPr>
              <w:t>+859</w:t>
            </w:r>
          </w:p>
        </w:tc>
        <w:tc>
          <w:tcPr>
            <w:tcW w:w="0" w:type="auto"/>
            <w:vAlign w:val="center"/>
            <w:hideMark/>
          </w:tcPr>
          <w:p w14:paraId="2F796F29" w14:textId="77777777" w:rsidR="00E74747" w:rsidRPr="00D43584" w:rsidRDefault="00E74747" w:rsidP="000D5B7C">
            <w:pPr>
              <w:pStyle w:val="NoSpacing"/>
              <w:jc w:val="center"/>
              <w:rPr>
                <w:rFonts w:ascii="Times New Roman" w:hAnsi="Times New Roman" w:cs="Times New Roman"/>
                <w:szCs w:val="24"/>
              </w:rPr>
            </w:pPr>
            <w:r w:rsidRPr="00D43584">
              <w:rPr>
                <w:rFonts w:ascii="Times New Roman" w:hAnsi="Times New Roman" w:cs="Times New Roman"/>
                <w:szCs w:val="24"/>
              </w:rPr>
              <w:t>+1086</w:t>
            </w:r>
          </w:p>
        </w:tc>
        <w:tc>
          <w:tcPr>
            <w:tcW w:w="0" w:type="auto"/>
            <w:vAlign w:val="center"/>
            <w:hideMark/>
          </w:tcPr>
          <w:p w14:paraId="60AA42BF" w14:textId="77777777" w:rsidR="00E74747" w:rsidRPr="00D43584" w:rsidRDefault="00E74747" w:rsidP="000D5B7C">
            <w:pPr>
              <w:pStyle w:val="NoSpacing"/>
              <w:jc w:val="center"/>
              <w:rPr>
                <w:rFonts w:ascii="Times New Roman" w:hAnsi="Times New Roman" w:cs="Times New Roman"/>
                <w:szCs w:val="24"/>
              </w:rPr>
            </w:pPr>
            <w:r w:rsidRPr="00D43584">
              <w:rPr>
                <w:rFonts w:ascii="Times New Roman" w:hAnsi="Times New Roman" w:cs="Times New Roman"/>
                <w:szCs w:val="24"/>
              </w:rPr>
              <w:t>-1198</w:t>
            </w:r>
          </w:p>
        </w:tc>
      </w:tr>
      <w:tr w:rsidR="00E74747" w:rsidRPr="00D43584" w14:paraId="3A1D2E99" w14:textId="77777777" w:rsidTr="000D5B7C">
        <w:trPr>
          <w:trHeight w:val="397"/>
          <w:jc w:val="center"/>
        </w:trPr>
        <w:tc>
          <w:tcPr>
            <w:tcW w:w="0" w:type="auto"/>
            <w:vAlign w:val="center"/>
            <w:hideMark/>
          </w:tcPr>
          <w:p w14:paraId="7A27CB59" w14:textId="77777777" w:rsidR="00E74747" w:rsidRPr="000D5B7C" w:rsidRDefault="00E74747" w:rsidP="000D5B7C">
            <w:pPr>
              <w:pStyle w:val="NoSpacing"/>
              <w:jc w:val="center"/>
              <w:rPr>
                <w:rFonts w:ascii="Times New Roman" w:hAnsi="Times New Roman" w:cs="Times New Roman"/>
                <w:szCs w:val="24"/>
              </w:rPr>
            </w:pPr>
          </w:p>
        </w:tc>
        <w:tc>
          <w:tcPr>
            <w:tcW w:w="0" w:type="auto"/>
            <w:vAlign w:val="center"/>
            <w:hideMark/>
          </w:tcPr>
          <w:p w14:paraId="63B10BCB" w14:textId="77777777" w:rsidR="00E74747" w:rsidRPr="000D5B7C" w:rsidRDefault="00E74747" w:rsidP="000D5B7C">
            <w:pPr>
              <w:pStyle w:val="NoSpacing"/>
              <w:jc w:val="center"/>
              <w:rPr>
                <w:rFonts w:ascii="Times New Roman" w:hAnsi="Times New Roman" w:cs="Times New Roman"/>
                <w:szCs w:val="24"/>
              </w:rPr>
            </w:pPr>
            <w:r w:rsidRPr="000D5B7C">
              <w:rPr>
                <w:rFonts w:ascii="Times New Roman" w:hAnsi="Times New Roman" w:cs="Times New Roman"/>
                <w:szCs w:val="24"/>
              </w:rPr>
              <w:t>Capital</w:t>
            </w:r>
          </w:p>
        </w:tc>
        <w:tc>
          <w:tcPr>
            <w:tcW w:w="0" w:type="auto"/>
            <w:vAlign w:val="center"/>
            <w:hideMark/>
          </w:tcPr>
          <w:p w14:paraId="1A1E4B55" w14:textId="77777777" w:rsidR="00E74747" w:rsidRPr="00D43584" w:rsidRDefault="00E74747" w:rsidP="000D5B7C">
            <w:pPr>
              <w:pStyle w:val="NoSpacing"/>
              <w:jc w:val="center"/>
              <w:rPr>
                <w:rFonts w:ascii="Times New Roman" w:hAnsi="Times New Roman" w:cs="Times New Roman"/>
                <w:szCs w:val="24"/>
              </w:rPr>
            </w:pPr>
            <w:r w:rsidRPr="00D43584">
              <w:rPr>
                <w:rFonts w:ascii="Times New Roman" w:hAnsi="Times New Roman" w:cs="Times New Roman"/>
                <w:szCs w:val="24"/>
              </w:rPr>
              <w:t>-269</w:t>
            </w:r>
          </w:p>
        </w:tc>
        <w:tc>
          <w:tcPr>
            <w:tcW w:w="0" w:type="auto"/>
            <w:vAlign w:val="center"/>
            <w:hideMark/>
          </w:tcPr>
          <w:p w14:paraId="173CB487" w14:textId="77777777" w:rsidR="00E74747" w:rsidRPr="00D43584" w:rsidRDefault="00E74747" w:rsidP="000D5B7C">
            <w:pPr>
              <w:pStyle w:val="NoSpacing"/>
              <w:jc w:val="center"/>
              <w:rPr>
                <w:rFonts w:ascii="Times New Roman" w:hAnsi="Times New Roman" w:cs="Times New Roman"/>
                <w:szCs w:val="24"/>
              </w:rPr>
            </w:pPr>
            <w:r w:rsidRPr="00D43584">
              <w:rPr>
                <w:rFonts w:ascii="Times New Roman" w:hAnsi="Times New Roman" w:cs="Times New Roman"/>
                <w:szCs w:val="24"/>
              </w:rPr>
              <w:t>-1546</w:t>
            </w:r>
          </w:p>
        </w:tc>
        <w:tc>
          <w:tcPr>
            <w:tcW w:w="0" w:type="auto"/>
            <w:vAlign w:val="center"/>
            <w:hideMark/>
          </w:tcPr>
          <w:p w14:paraId="0EE65ECF" w14:textId="77777777" w:rsidR="00E74747" w:rsidRPr="00D43584" w:rsidRDefault="00E74747" w:rsidP="000D5B7C">
            <w:pPr>
              <w:pStyle w:val="NoSpacing"/>
              <w:jc w:val="center"/>
              <w:rPr>
                <w:rFonts w:ascii="Times New Roman" w:hAnsi="Times New Roman" w:cs="Times New Roman"/>
                <w:szCs w:val="24"/>
              </w:rPr>
            </w:pPr>
            <w:r w:rsidRPr="00D43584">
              <w:rPr>
                <w:rFonts w:ascii="Times New Roman" w:hAnsi="Times New Roman" w:cs="Times New Roman"/>
                <w:szCs w:val="24"/>
              </w:rPr>
              <w:t>-691</w:t>
            </w:r>
          </w:p>
        </w:tc>
        <w:tc>
          <w:tcPr>
            <w:tcW w:w="0" w:type="auto"/>
            <w:vAlign w:val="center"/>
            <w:hideMark/>
          </w:tcPr>
          <w:p w14:paraId="36CFF4C8" w14:textId="77777777" w:rsidR="00E74747" w:rsidRPr="00D43584" w:rsidRDefault="00E74747" w:rsidP="000D5B7C">
            <w:pPr>
              <w:pStyle w:val="NoSpacing"/>
              <w:jc w:val="center"/>
              <w:rPr>
                <w:rFonts w:ascii="Times New Roman" w:hAnsi="Times New Roman" w:cs="Times New Roman"/>
                <w:szCs w:val="24"/>
              </w:rPr>
            </w:pPr>
            <w:r w:rsidRPr="00D43584">
              <w:rPr>
                <w:rFonts w:ascii="Times New Roman" w:hAnsi="Times New Roman" w:cs="Times New Roman"/>
                <w:szCs w:val="24"/>
              </w:rPr>
              <w:t>-91</w:t>
            </w:r>
          </w:p>
        </w:tc>
        <w:tc>
          <w:tcPr>
            <w:tcW w:w="0" w:type="auto"/>
            <w:vAlign w:val="center"/>
            <w:hideMark/>
          </w:tcPr>
          <w:p w14:paraId="62EE5E5E" w14:textId="77777777" w:rsidR="00E74747" w:rsidRPr="00D43584" w:rsidRDefault="00E74747" w:rsidP="000D5B7C">
            <w:pPr>
              <w:pStyle w:val="NoSpacing"/>
              <w:jc w:val="center"/>
              <w:rPr>
                <w:rFonts w:ascii="Times New Roman" w:hAnsi="Times New Roman" w:cs="Times New Roman"/>
                <w:szCs w:val="24"/>
              </w:rPr>
            </w:pPr>
            <w:r w:rsidRPr="00D43584">
              <w:rPr>
                <w:rFonts w:ascii="Times New Roman" w:hAnsi="Times New Roman" w:cs="Times New Roman"/>
                <w:szCs w:val="24"/>
              </w:rPr>
              <w:t>-1453</w:t>
            </w:r>
          </w:p>
        </w:tc>
        <w:tc>
          <w:tcPr>
            <w:tcW w:w="0" w:type="auto"/>
            <w:vAlign w:val="center"/>
            <w:hideMark/>
          </w:tcPr>
          <w:p w14:paraId="6DA72173" w14:textId="77777777" w:rsidR="00E74747" w:rsidRPr="00D43584" w:rsidRDefault="00E74747" w:rsidP="000D5B7C">
            <w:pPr>
              <w:pStyle w:val="NoSpacing"/>
              <w:jc w:val="center"/>
              <w:rPr>
                <w:rFonts w:ascii="Times New Roman" w:hAnsi="Times New Roman" w:cs="Times New Roman"/>
                <w:szCs w:val="24"/>
              </w:rPr>
            </w:pPr>
            <w:r w:rsidRPr="00D43584">
              <w:rPr>
                <w:rFonts w:ascii="Times New Roman" w:hAnsi="Times New Roman" w:cs="Times New Roman"/>
                <w:szCs w:val="24"/>
              </w:rPr>
              <w:t>-1324</w:t>
            </w:r>
          </w:p>
        </w:tc>
        <w:tc>
          <w:tcPr>
            <w:tcW w:w="0" w:type="auto"/>
            <w:vAlign w:val="center"/>
            <w:hideMark/>
          </w:tcPr>
          <w:p w14:paraId="3FBB28CC" w14:textId="77777777" w:rsidR="00E74747" w:rsidRPr="00D43584" w:rsidRDefault="00E74747" w:rsidP="000D5B7C">
            <w:pPr>
              <w:pStyle w:val="NoSpacing"/>
              <w:jc w:val="center"/>
              <w:rPr>
                <w:rFonts w:ascii="Times New Roman" w:hAnsi="Times New Roman" w:cs="Times New Roman"/>
                <w:szCs w:val="24"/>
              </w:rPr>
            </w:pPr>
            <w:r w:rsidRPr="00D43584">
              <w:rPr>
                <w:rFonts w:ascii="Times New Roman" w:hAnsi="Times New Roman" w:cs="Times New Roman"/>
                <w:szCs w:val="24"/>
              </w:rPr>
              <w:t>-1209</w:t>
            </w:r>
          </w:p>
        </w:tc>
        <w:tc>
          <w:tcPr>
            <w:tcW w:w="0" w:type="auto"/>
            <w:vAlign w:val="center"/>
            <w:hideMark/>
          </w:tcPr>
          <w:p w14:paraId="0A18E2DE" w14:textId="77777777" w:rsidR="00E74747" w:rsidRPr="00D43584" w:rsidRDefault="00E74747" w:rsidP="000D5B7C">
            <w:pPr>
              <w:pStyle w:val="NoSpacing"/>
              <w:jc w:val="center"/>
              <w:rPr>
                <w:rFonts w:ascii="Times New Roman" w:hAnsi="Times New Roman" w:cs="Times New Roman"/>
                <w:szCs w:val="24"/>
              </w:rPr>
            </w:pPr>
            <w:r w:rsidRPr="00D43584">
              <w:rPr>
                <w:rFonts w:ascii="Times New Roman" w:hAnsi="Times New Roman" w:cs="Times New Roman"/>
                <w:szCs w:val="24"/>
              </w:rPr>
              <w:t>-3210</w:t>
            </w:r>
          </w:p>
        </w:tc>
        <w:tc>
          <w:tcPr>
            <w:tcW w:w="0" w:type="auto"/>
            <w:vAlign w:val="center"/>
            <w:hideMark/>
          </w:tcPr>
          <w:p w14:paraId="77C4206F" w14:textId="77777777" w:rsidR="00E74747" w:rsidRPr="00D43584" w:rsidRDefault="00E74747" w:rsidP="000D5B7C">
            <w:pPr>
              <w:pStyle w:val="NoSpacing"/>
              <w:jc w:val="center"/>
              <w:rPr>
                <w:rFonts w:ascii="Times New Roman" w:hAnsi="Times New Roman" w:cs="Times New Roman"/>
                <w:szCs w:val="24"/>
              </w:rPr>
            </w:pPr>
            <w:r w:rsidRPr="00D43584">
              <w:rPr>
                <w:rFonts w:ascii="Times New Roman" w:hAnsi="Times New Roman" w:cs="Times New Roman"/>
                <w:szCs w:val="24"/>
              </w:rPr>
              <w:t>-1359</w:t>
            </w:r>
          </w:p>
        </w:tc>
      </w:tr>
      <w:tr w:rsidR="00E74747" w:rsidRPr="00D43584" w14:paraId="774ED407" w14:textId="77777777" w:rsidTr="000D5B7C">
        <w:trPr>
          <w:trHeight w:val="397"/>
          <w:jc w:val="center"/>
        </w:trPr>
        <w:tc>
          <w:tcPr>
            <w:tcW w:w="0" w:type="auto"/>
            <w:vAlign w:val="center"/>
            <w:hideMark/>
          </w:tcPr>
          <w:p w14:paraId="0C916932" w14:textId="77777777" w:rsidR="00E74747" w:rsidRPr="000D5B7C" w:rsidRDefault="00E74747" w:rsidP="000D5B7C">
            <w:pPr>
              <w:pStyle w:val="NoSpacing"/>
              <w:jc w:val="center"/>
              <w:rPr>
                <w:rFonts w:ascii="Times New Roman" w:hAnsi="Times New Roman" w:cs="Times New Roman"/>
                <w:szCs w:val="24"/>
              </w:rPr>
            </w:pPr>
          </w:p>
        </w:tc>
        <w:tc>
          <w:tcPr>
            <w:tcW w:w="0" w:type="auto"/>
            <w:vAlign w:val="center"/>
            <w:hideMark/>
          </w:tcPr>
          <w:p w14:paraId="417D4CD3" w14:textId="77777777" w:rsidR="00E74747" w:rsidRPr="000D5B7C" w:rsidRDefault="00E74747" w:rsidP="000D5B7C">
            <w:pPr>
              <w:pStyle w:val="NoSpacing"/>
              <w:jc w:val="center"/>
              <w:rPr>
                <w:rFonts w:ascii="Times New Roman" w:hAnsi="Times New Roman" w:cs="Times New Roman"/>
                <w:szCs w:val="24"/>
              </w:rPr>
            </w:pPr>
            <w:r w:rsidRPr="000D5B7C">
              <w:rPr>
                <w:rFonts w:ascii="Times New Roman" w:hAnsi="Times New Roman" w:cs="Times New Roman"/>
                <w:szCs w:val="24"/>
              </w:rPr>
              <w:t>Overall</w:t>
            </w:r>
          </w:p>
        </w:tc>
        <w:tc>
          <w:tcPr>
            <w:tcW w:w="0" w:type="auto"/>
            <w:vAlign w:val="center"/>
            <w:hideMark/>
          </w:tcPr>
          <w:p w14:paraId="7EF91430" w14:textId="77777777" w:rsidR="00E74747" w:rsidRPr="00D43584" w:rsidRDefault="00E74747" w:rsidP="000D5B7C">
            <w:pPr>
              <w:pStyle w:val="NoSpacing"/>
              <w:jc w:val="center"/>
              <w:rPr>
                <w:rFonts w:ascii="Times New Roman" w:hAnsi="Times New Roman" w:cs="Times New Roman"/>
                <w:szCs w:val="24"/>
              </w:rPr>
            </w:pPr>
            <w:r w:rsidRPr="00D43584">
              <w:rPr>
                <w:rFonts w:ascii="Times New Roman" w:hAnsi="Times New Roman" w:cs="Times New Roman"/>
                <w:szCs w:val="24"/>
              </w:rPr>
              <w:t>-660</w:t>
            </w:r>
          </w:p>
        </w:tc>
        <w:tc>
          <w:tcPr>
            <w:tcW w:w="0" w:type="auto"/>
            <w:vAlign w:val="center"/>
            <w:hideMark/>
          </w:tcPr>
          <w:p w14:paraId="348877F7" w14:textId="77777777" w:rsidR="00E74747" w:rsidRPr="00D43584" w:rsidRDefault="00E74747" w:rsidP="000D5B7C">
            <w:pPr>
              <w:pStyle w:val="NoSpacing"/>
              <w:jc w:val="center"/>
              <w:rPr>
                <w:rFonts w:ascii="Times New Roman" w:hAnsi="Times New Roman" w:cs="Times New Roman"/>
                <w:szCs w:val="24"/>
              </w:rPr>
            </w:pPr>
            <w:r w:rsidRPr="00D43584">
              <w:rPr>
                <w:rFonts w:ascii="Times New Roman" w:hAnsi="Times New Roman" w:cs="Times New Roman"/>
                <w:szCs w:val="24"/>
              </w:rPr>
              <w:t>-2310</w:t>
            </w:r>
          </w:p>
        </w:tc>
        <w:tc>
          <w:tcPr>
            <w:tcW w:w="0" w:type="auto"/>
            <w:vAlign w:val="center"/>
            <w:hideMark/>
          </w:tcPr>
          <w:p w14:paraId="726F0263" w14:textId="77777777" w:rsidR="00E74747" w:rsidRPr="00D43584" w:rsidRDefault="00E74747" w:rsidP="000D5B7C">
            <w:pPr>
              <w:pStyle w:val="NoSpacing"/>
              <w:jc w:val="center"/>
              <w:rPr>
                <w:rFonts w:ascii="Times New Roman" w:hAnsi="Times New Roman" w:cs="Times New Roman"/>
                <w:szCs w:val="24"/>
              </w:rPr>
            </w:pPr>
            <w:r w:rsidRPr="00D43584">
              <w:rPr>
                <w:rFonts w:ascii="Times New Roman" w:hAnsi="Times New Roman" w:cs="Times New Roman"/>
                <w:szCs w:val="24"/>
              </w:rPr>
              <w:t>-1189</w:t>
            </w:r>
          </w:p>
        </w:tc>
        <w:tc>
          <w:tcPr>
            <w:tcW w:w="0" w:type="auto"/>
            <w:vAlign w:val="center"/>
            <w:hideMark/>
          </w:tcPr>
          <w:p w14:paraId="27BB90FE" w14:textId="77777777" w:rsidR="00E74747" w:rsidRPr="00D43584" w:rsidRDefault="00E74747" w:rsidP="000D5B7C">
            <w:pPr>
              <w:pStyle w:val="NoSpacing"/>
              <w:jc w:val="center"/>
              <w:rPr>
                <w:rFonts w:ascii="Times New Roman" w:hAnsi="Times New Roman" w:cs="Times New Roman"/>
                <w:szCs w:val="24"/>
              </w:rPr>
            </w:pPr>
            <w:r w:rsidRPr="00D43584">
              <w:rPr>
                <w:rFonts w:ascii="Times New Roman" w:hAnsi="Times New Roman" w:cs="Times New Roman"/>
                <w:szCs w:val="24"/>
              </w:rPr>
              <w:t>+162</w:t>
            </w:r>
          </w:p>
        </w:tc>
        <w:tc>
          <w:tcPr>
            <w:tcW w:w="0" w:type="auto"/>
            <w:vAlign w:val="center"/>
            <w:hideMark/>
          </w:tcPr>
          <w:p w14:paraId="61B63205" w14:textId="77777777" w:rsidR="00E74747" w:rsidRPr="00D43584" w:rsidRDefault="00E74747" w:rsidP="000D5B7C">
            <w:pPr>
              <w:pStyle w:val="NoSpacing"/>
              <w:jc w:val="center"/>
              <w:rPr>
                <w:rFonts w:ascii="Times New Roman" w:hAnsi="Times New Roman" w:cs="Times New Roman"/>
                <w:szCs w:val="24"/>
              </w:rPr>
            </w:pPr>
            <w:r w:rsidRPr="00D43584">
              <w:rPr>
                <w:rFonts w:ascii="Times New Roman" w:hAnsi="Times New Roman" w:cs="Times New Roman"/>
                <w:szCs w:val="24"/>
              </w:rPr>
              <w:t>-926</w:t>
            </w:r>
          </w:p>
        </w:tc>
        <w:tc>
          <w:tcPr>
            <w:tcW w:w="0" w:type="auto"/>
            <w:vAlign w:val="center"/>
            <w:hideMark/>
          </w:tcPr>
          <w:p w14:paraId="25A9CA2D" w14:textId="77777777" w:rsidR="00E74747" w:rsidRPr="00D43584" w:rsidRDefault="00E74747" w:rsidP="000D5B7C">
            <w:pPr>
              <w:pStyle w:val="NoSpacing"/>
              <w:jc w:val="center"/>
              <w:rPr>
                <w:rFonts w:ascii="Times New Roman" w:hAnsi="Times New Roman" w:cs="Times New Roman"/>
                <w:szCs w:val="24"/>
              </w:rPr>
            </w:pPr>
            <w:r w:rsidRPr="00D43584">
              <w:rPr>
                <w:rFonts w:ascii="Times New Roman" w:hAnsi="Times New Roman" w:cs="Times New Roman"/>
                <w:szCs w:val="24"/>
              </w:rPr>
              <w:t>-828</w:t>
            </w:r>
          </w:p>
        </w:tc>
        <w:tc>
          <w:tcPr>
            <w:tcW w:w="0" w:type="auto"/>
            <w:vAlign w:val="center"/>
            <w:hideMark/>
          </w:tcPr>
          <w:p w14:paraId="7DBDEA73" w14:textId="77777777" w:rsidR="00E74747" w:rsidRPr="00D43584" w:rsidRDefault="00E74747" w:rsidP="000D5B7C">
            <w:pPr>
              <w:pStyle w:val="NoSpacing"/>
              <w:jc w:val="center"/>
              <w:rPr>
                <w:rFonts w:ascii="Times New Roman" w:hAnsi="Times New Roman" w:cs="Times New Roman"/>
                <w:szCs w:val="24"/>
              </w:rPr>
            </w:pPr>
            <w:r w:rsidRPr="00D43584">
              <w:rPr>
                <w:rFonts w:ascii="Times New Roman" w:hAnsi="Times New Roman" w:cs="Times New Roman"/>
                <w:szCs w:val="24"/>
              </w:rPr>
              <w:t>-350</w:t>
            </w:r>
          </w:p>
        </w:tc>
        <w:tc>
          <w:tcPr>
            <w:tcW w:w="0" w:type="auto"/>
            <w:vAlign w:val="center"/>
            <w:hideMark/>
          </w:tcPr>
          <w:p w14:paraId="79D83044" w14:textId="77777777" w:rsidR="00E74747" w:rsidRPr="00D43584" w:rsidRDefault="00E74747" w:rsidP="000D5B7C">
            <w:pPr>
              <w:pStyle w:val="NoSpacing"/>
              <w:jc w:val="center"/>
              <w:rPr>
                <w:rFonts w:ascii="Times New Roman" w:hAnsi="Times New Roman" w:cs="Times New Roman"/>
                <w:szCs w:val="24"/>
              </w:rPr>
            </w:pPr>
            <w:r w:rsidRPr="00D43584">
              <w:rPr>
                <w:rFonts w:ascii="Times New Roman" w:hAnsi="Times New Roman" w:cs="Times New Roman"/>
                <w:szCs w:val="24"/>
              </w:rPr>
              <w:t>-2124</w:t>
            </w:r>
          </w:p>
        </w:tc>
        <w:tc>
          <w:tcPr>
            <w:tcW w:w="0" w:type="auto"/>
            <w:vAlign w:val="center"/>
            <w:hideMark/>
          </w:tcPr>
          <w:p w14:paraId="75C08F85" w14:textId="77777777" w:rsidR="00E74747" w:rsidRPr="00D43584" w:rsidRDefault="00E74747" w:rsidP="000D5B7C">
            <w:pPr>
              <w:pStyle w:val="NoSpacing"/>
              <w:jc w:val="center"/>
              <w:rPr>
                <w:rFonts w:ascii="Times New Roman" w:hAnsi="Times New Roman" w:cs="Times New Roman"/>
                <w:szCs w:val="24"/>
              </w:rPr>
            </w:pPr>
            <w:r w:rsidRPr="00D43584">
              <w:rPr>
                <w:rFonts w:ascii="Times New Roman" w:hAnsi="Times New Roman" w:cs="Times New Roman"/>
                <w:szCs w:val="24"/>
              </w:rPr>
              <w:t>-161</w:t>
            </w:r>
          </w:p>
        </w:tc>
      </w:tr>
      <w:tr w:rsidR="00E74747" w:rsidRPr="00D43584" w14:paraId="168F571A" w14:textId="77777777" w:rsidTr="000D5B7C">
        <w:trPr>
          <w:trHeight w:val="397"/>
          <w:jc w:val="center"/>
        </w:trPr>
        <w:tc>
          <w:tcPr>
            <w:tcW w:w="0" w:type="auto"/>
            <w:vAlign w:val="center"/>
            <w:hideMark/>
          </w:tcPr>
          <w:p w14:paraId="26291458" w14:textId="77777777" w:rsidR="00E74747" w:rsidRPr="000D5B7C" w:rsidRDefault="00E74747" w:rsidP="000D5B7C">
            <w:pPr>
              <w:pStyle w:val="NoSpacing"/>
              <w:jc w:val="center"/>
              <w:rPr>
                <w:rFonts w:ascii="Times New Roman" w:hAnsi="Times New Roman" w:cs="Times New Roman"/>
                <w:szCs w:val="24"/>
              </w:rPr>
            </w:pPr>
            <w:r w:rsidRPr="000D5B7C">
              <w:rPr>
                <w:rFonts w:ascii="Times New Roman" w:hAnsi="Times New Roman" w:cs="Times New Roman"/>
                <w:szCs w:val="24"/>
              </w:rPr>
              <w:t>Nagaland</w:t>
            </w:r>
          </w:p>
        </w:tc>
        <w:tc>
          <w:tcPr>
            <w:tcW w:w="0" w:type="auto"/>
            <w:vAlign w:val="center"/>
            <w:hideMark/>
          </w:tcPr>
          <w:p w14:paraId="10FE3AEE" w14:textId="77777777" w:rsidR="00E74747" w:rsidRPr="000D5B7C" w:rsidRDefault="00E74747" w:rsidP="000D5B7C">
            <w:pPr>
              <w:pStyle w:val="NoSpacing"/>
              <w:jc w:val="center"/>
              <w:rPr>
                <w:rFonts w:ascii="Times New Roman" w:hAnsi="Times New Roman" w:cs="Times New Roman"/>
                <w:szCs w:val="24"/>
              </w:rPr>
            </w:pPr>
            <w:r w:rsidRPr="000D5B7C">
              <w:rPr>
                <w:rFonts w:ascii="Times New Roman" w:hAnsi="Times New Roman" w:cs="Times New Roman"/>
                <w:szCs w:val="24"/>
              </w:rPr>
              <w:t>Revenue</w:t>
            </w:r>
          </w:p>
        </w:tc>
        <w:tc>
          <w:tcPr>
            <w:tcW w:w="0" w:type="auto"/>
            <w:vAlign w:val="center"/>
          </w:tcPr>
          <w:p w14:paraId="04277077" w14:textId="1B41754E" w:rsidR="00E74747" w:rsidRPr="00D43584" w:rsidRDefault="001256DB" w:rsidP="000D5B7C">
            <w:pPr>
              <w:pStyle w:val="NoSpacing"/>
              <w:jc w:val="center"/>
              <w:rPr>
                <w:rFonts w:ascii="Times New Roman" w:hAnsi="Times New Roman" w:cs="Times New Roman"/>
                <w:szCs w:val="24"/>
              </w:rPr>
            </w:pPr>
            <w:r w:rsidRPr="00D43584">
              <w:rPr>
                <w:rFonts w:ascii="Times New Roman" w:hAnsi="Times New Roman" w:cs="Times New Roman"/>
                <w:szCs w:val="24"/>
              </w:rPr>
              <w:t>..</w:t>
            </w:r>
          </w:p>
        </w:tc>
        <w:tc>
          <w:tcPr>
            <w:tcW w:w="0" w:type="auto"/>
            <w:vAlign w:val="center"/>
            <w:hideMark/>
          </w:tcPr>
          <w:p w14:paraId="78123AF3" w14:textId="77777777" w:rsidR="00E74747" w:rsidRPr="00D43584" w:rsidRDefault="00E74747" w:rsidP="000D5B7C">
            <w:pPr>
              <w:pStyle w:val="NoSpacing"/>
              <w:jc w:val="center"/>
              <w:rPr>
                <w:rFonts w:ascii="Times New Roman" w:hAnsi="Times New Roman" w:cs="Times New Roman"/>
                <w:szCs w:val="24"/>
              </w:rPr>
            </w:pPr>
            <w:r w:rsidRPr="00D43584">
              <w:rPr>
                <w:rFonts w:ascii="Times New Roman" w:hAnsi="Times New Roman" w:cs="Times New Roman"/>
                <w:szCs w:val="24"/>
              </w:rPr>
              <w:t>-16</w:t>
            </w:r>
          </w:p>
        </w:tc>
        <w:tc>
          <w:tcPr>
            <w:tcW w:w="0" w:type="auto"/>
            <w:vAlign w:val="center"/>
            <w:hideMark/>
          </w:tcPr>
          <w:p w14:paraId="6E6C858B" w14:textId="77777777" w:rsidR="00E74747" w:rsidRPr="00D43584" w:rsidRDefault="00E74747" w:rsidP="000D5B7C">
            <w:pPr>
              <w:pStyle w:val="NoSpacing"/>
              <w:jc w:val="center"/>
              <w:rPr>
                <w:rFonts w:ascii="Times New Roman" w:hAnsi="Times New Roman" w:cs="Times New Roman"/>
                <w:szCs w:val="24"/>
              </w:rPr>
            </w:pPr>
            <w:r w:rsidRPr="00D43584">
              <w:rPr>
                <w:rFonts w:ascii="Times New Roman" w:hAnsi="Times New Roman" w:cs="Times New Roman"/>
                <w:szCs w:val="24"/>
              </w:rPr>
              <w:t>+164</w:t>
            </w:r>
          </w:p>
        </w:tc>
        <w:tc>
          <w:tcPr>
            <w:tcW w:w="0" w:type="auto"/>
            <w:vAlign w:val="center"/>
            <w:hideMark/>
          </w:tcPr>
          <w:p w14:paraId="544C1CB5" w14:textId="77777777" w:rsidR="00E74747" w:rsidRPr="00D43584" w:rsidRDefault="00E74747" w:rsidP="000D5B7C">
            <w:pPr>
              <w:pStyle w:val="NoSpacing"/>
              <w:jc w:val="center"/>
              <w:rPr>
                <w:rFonts w:ascii="Times New Roman" w:hAnsi="Times New Roman" w:cs="Times New Roman"/>
                <w:szCs w:val="24"/>
              </w:rPr>
            </w:pPr>
            <w:r w:rsidRPr="00D43584">
              <w:rPr>
                <w:rFonts w:ascii="Times New Roman" w:hAnsi="Times New Roman" w:cs="Times New Roman"/>
                <w:szCs w:val="24"/>
              </w:rPr>
              <w:t>+43</w:t>
            </w:r>
          </w:p>
        </w:tc>
        <w:tc>
          <w:tcPr>
            <w:tcW w:w="0" w:type="auto"/>
            <w:vAlign w:val="center"/>
            <w:hideMark/>
          </w:tcPr>
          <w:p w14:paraId="06F6254C" w14:textId="77777777" w:rsidR="00E74747" w:rsidRPr="00D43584" w:rsidRDefault="00E74747" w:rsidP="000D5B7C">
            <w:pPr>
              <w:pStyle w:val="NoSpacing"/>
              <w:jc w:val="center"/>
              <w:rPr>
                <w:rFonts w:ascii="Times New Roman" w:hAnsi="Times New Roman" w:cs="Times New Roman"/>
                <w:szCs w:val="24"/>
              </w:rPr>
            </w:pPr>
            <w:r w:rsidRPr="00D43584">
              <w:rPr>
                <w:rFonts w:ascii="Times New Roman" w:hAnsi="Times New Roman" w:cs="Times New Roman"/>
                <w:szCs w:val="24"/>
              </w:rPr>
              <w:t>+144</w:t>
            </w:r>
          </w:p>
        </w:tc>
        <w:tc>
          <w:tcPr>
            <w:tcW w:w="0" w:type="auto"/>
            <w:vAlign w:val="center"/>
            <w:hideMark/>
          </w:tcPr>
          <w:p w14:paraId="2C018A69" w14:textId="77777777" w:rsidR="00E74747" w:rsidRPr="00D43584" w:rsidRDefault="00E74747" w:rsidP="000D5B7C">
            <w:pPr>
              <w:pStyle w:val="NoSpacing"/>
              <w:jc w:val="center"/>
              <w:rPr>
                <w:rFonts w:ascii="Times New Roman" w:hAnsi="Times New Roman" w:cs="Times New Roman"/>
                <w:szCs w:val="24"/>
              </w:rPr>
            </w:pPr>
            <w:r w:rsidRPr="00D43584">
              <w:rPr>
                <w:rFonts w:ascii="Times New Roman" w:hAnsi="Times New Roman" w:cs="Times New Roman"/>
                <w:szCs w:val="24"/>
              </w:rPr>
              <w:t>+190</w:t>
            </w:r>
          </w:p>
        </w:tc>
        <w:tc>
          <w:tcPr>
            <w:tcW w:w="0" w:type="auto"/>
            <w:vAlign w:val="center"/>
            <w:hideMark/>
          </w:tcPr>
          <w:p w14:paraId="5227A1A7" w14:textId="77777777" w:rsidR="00E74747" w:rsidRPr="00D43584" w:rsidRDefault="00E74747" w:rsidP="000D5B7C">
            <w:pPr>
              <w:pStyle w:val="NoSpacing"/>
              <w:jc w:val="center"/>
              <w:rPr>
                <w:rFonts w:ascii="Times New Roman" w:hAnsi="Times New Roman" w:cs="Times New Roman"/>
                <w:szCs w:val="24"/>
              </w:rPr>
            </w:pPr>
            <w:r w:rsidRPr="00D43584">
              <w:rPr>
                <w:rFonts w:ascii="Times New Roman" w:hAnsi="Times New Roman" w:cs="Times New Roman"/>
                <w:szCs w:val="24"/>
              </w:rPr>
              <w:t>..</w:t>
            </w:r>
          </w:p>
        </w:tc>
        <w:tc>
          <w:tcPr>
            <w:tcW w:w="0" w:type="auto"/>
            <w:vAlign w:val="center"/>
            <w:hideMark/>
          </w:tcPr>
          <w:p w14:paraId="557176C2" w14:textId="77777777" w:rsidR="00E74747" w:rsidRPr="00D43584" w:rsidRDefault="00E74747" w:rsidP="000D5B7C">
            <w:pPr>
              <w:pStyle w:val="NoSpacing"/>
              <w:jc w:val="center"/>
              <w:rPr>
                <w:rFonts w:ascii="Times New Roman" w:hAnsi="Times New Roman" w:cs="Times New Roman"/>
                <w:szCs w:val="24"/>
              </w:rPr>
            </w:pPr>
            <w:r w:rsidRPr="00D43584">
              <w:rPr>
                <w:rFonts w:ascii="Times New Roman" w:hAnsi="Times New Roman" w:cs="Times New Roman"/>
                <w:szCs w:val="24"/>
              </w:rPr>
              <w:t>+74</w:t>
            </w:r>
          </w:p>
        </w:tc>
        <w:tc>
          <w:tcPr>
            <w:tcW w:w="0" w:type="auto"/>
            <w:vAlign w:val="center"/>
            <w:hideMark/>
          </w:tcPr>
          <w:p w14:paraId="7CE5CA50" w14:textId="77777777" w:rsidR="00E74747" w:rsidRPr="00D43584" w:rsidRDefault="00E74747" w:rsidP="000D5B7C">
            <w:pPr>
              <w:pStyle w:val="NoSpacing"/>
              <w:jc w:val="center"/>
              <w:rPr>
                <w:rFonts w:ascii="Times New Roman" w:hAnsi="Times New Roman" w:cs="Times New Roman"/>
                <w:szCs w:val="24"/>
              </w:rPr>
            </w:pPr>
            <w:r w:rsidRPr="00D43584">
              <w:rPr>
                <w:rFonts w:ascii="Times New Roman" w:hAnsi="Times New Roman" w:cs="Times New Roman"/>
                <w:szCs w:val="24"/>
              </w:rPr>
              <w:t>-46</w:t>
            </w:r>
          </w:p>
        </w:tc>
      </w:tr>
      <w:tr w:rsidR="001256DB" w:rsidRPr="00D43584" w14:paraId="3BA69302" w14:textId="77777777" w:rsidTr="000D5B7C">
        <w:trPr>
          <w:trHeight w:val="397"/>
          <w:jc w:val="center"/>
        </w:trPr>
        <w:tc>
          <w:tcPr>
            <w:tcW w:w="0" w:type="auto"/>
            <w:vAlign w:val="center"/>
            <w:hideMark/>
          </w:tcPr>
          <w:p w14:paraId="140D33A0" w14:textId="77777777" w:rsidR="001256DB" w:rsidRPr="000D5B7C" w:rsidRDefault="001256DB" w:rsidP="000D5B7C">
            <w:pPr>
              <w:pStyle w:val="NoSpacing"/>
              <w:jc w:val="center"/>
              <w:rPr>
                <w:rFonts w:ascii="Times New Roman" w:hAnsi="Times New Roman" w:cs="Times New Roman"/>
                <w:szCs w:val="24"/>
              </w:rPr>
            </w:pPr>
          </w:p>
        </w:tc>
        <w:tc>
          <w:tcPr>
            <w:tcW w:w="0" w:type="auto"/>
            <w:vAlign w:val="center"/>
            <w:hideMark/>
          </w:tcPr>
          <w:p w14:paraId="598236EC" w14:textId="77777777" w:rsidR="001256DB" w:rsidRPr="000D5B7C" w:rsidRDefault="001256DB" w:rsidP="000D5B7C">
            <w:pPr>
              <w:pStyle w:val="NoSpacing"/>
              <w:jc w:val="center"/>
              <w:rPr>
                <w:rFonts w:ascii="Times New Roman" w:hAnsi="Times New Roman" w:cs="Times New Roman"/>
                <w:szCs w:val="24"/>
              </w:rPr>
            </w:pPr>
            <w:r w:rsidRPr="000D5B7C">
              <w:rPr>
                <w:rFonts w:ascii="Times New Roman" w:hAnsi="Times New Roman" w:cs="Times New Roman"/>
                <w:szCs w:val="24"/>
              </w:rPr>
              <w:t>Capital</w:t>
            </w:r>
          </w:p>
        </w:tc>
        <w:tc>
          <w:tcPr>
            <w:tcW w:w="0" w:type="auto"/>
            <w:vAlign w:val="center"/>
          </w:tcPr>
          <w:p w14:paraId="7381E59B" w14:textId="1689A556" w:rsidR="001256DB" w:rsidRPr="00D43584" w:rsidRDefault="001256DB" w:rsidP="000D5B7C">
            <w:pPr>
              <w:pStyle w:val="NoSpacing"/>
              <w:jc w:val="center"/>
              <w:rPr>
                <w:rFonts w:ascii="Times New Roman" w:hAnsi="Times New Roman" w:cs="Times New Roman"/>
                <w:szCs w:val="24"/>
              </w:rPr>
            </w:pPr>
            <w:r w:rsidRPr="00D43584">
              <w:rPr>
                <w:rFonts w:ascii="Times New Roman" w:hAnsi="Times New Roman" w:cs="Times New Roman"/>
                <w:szCs w:val="24"/>
              </w:rPr>
              <w:t>+2</w:t>
            </w:r>
          </w:p>
        </w:tc>
        <w:tc>
          <w:tcPr>
            <w:tcW w:w="0" w:type="auto"/>
            <w:vAlign w:val="center"/>
            <w:hideMark/>
          </w:tcPr>
          <w:p w14:paraId="59525E66" w14:textId="77777777" w:rsidR="001256DB" w:rsidRPr="00D43584" w:rsidRDefault="001256DB" w:rsidP="000D5B7C">
            <w:pPr>
              <w:pStyle w:val="NoSpacing"/>
              <w:jc w:val="center"/>
              <w:rPr>
                <w:rFonts w:ascii="Times New Roman" w:hAnsi="Times New Roman" w:cs="Times New Roman"/>
                <w:szCs w:val="24"/>
              </w:rPr>
            </w:pPr>
            <w:r w:rsidRPr="00D43584">
              <w:rPr>
                <w:rFonts w:ascii="Times New Roman" w:hAnsi="Times New Roman" w:cs="Times New Roman"/>
                <w:szCs w:val="24"/>
              </w:rPr>
              <w:t>+263</w:t>
            </w:r>
          </w:p>
        </w:tc>
        <w:tc>
          <w:tcPr>
            <w:tcW w:w="0" w:type="auto"/>
            <w:vAlign w:val="center"/>
            <w:hideMark/>
          </w:tcPr>
          <w:p w14:paraId="47FC48E5" w14:textId="77777777" w:rsidR="001256DB" w:rsidRPr="00D43584" w:rsidRDefault="001256DB" w:rsidP="000D5B7C">
            <w:pPr>
              <w:pStyle w:val="NoSpacing"/>
              <w:jc w:val="center"/>
              <w:rPr>
                <w:rFonts w:ascii="Times New Roman" w:hAnsi="Times New Roman" w:cs="Times New Roman"/>
                <w:szCs w:val="24"/>
              </w:rPr>
            </w:pPr>
            <w:r w:rsidRPr="00D43584">
              <w:rPr>
                <w:rFonts w:ascii="Times New Roman" w:hAnsi="Times New Roman" w:cs="Times New Roman"/>
                <w:szCs w:val="24"/>
              </w:rPr>
              <w:t>+340</w:t>
            </w:r>
          </w:p>
        </w:tc>
        <w:tc>
          <w:tcPr>
            <w:tcW w:w="0" w:type="auto"/>
            <w:vAlign w:val="center"/>
            <w:hideMark/>
          </w:tcPr>
          <w:p w14:paraId="34854ADD" w14:textId="77777777" w:rsidR="001256DB" w:rsidRPr="00D43584" w:rsidRDefault="001256DB" w:rsidP="000D5B7C">
            <w:pPr>
              <w:pStyle w:val="NoSpacing"/>
              <w:jc w:val="center"/>
              <w:rPr>
                <w:rFonts w:ascii="Times New Roman" w:hAnsi="Times New Roman" w:cs="Times New Roman"/>
                <w:szCs w:val="24"/>
              </w:rPr>
            </w:pPr>
            <w:r w:rsidRPr="00D43584">
              <w:rPr>
                <w:rFonts w:ascii="Times New Roman" w:hAnsi="Times New Roman" w:cs="Times New Roman"/>
                <w:szCs w:val="24"/>
              </w:rPr>
              <w:t>-43</w:t>
            </w:r>
          </w:p>
        </w:tc>
        <w:tc>
          <w:tcPr>
            <w:tcW w:w="0" w:type="auto"/>
            <w:vAlign w:val="center"/>
            <w:hideMark/>
          </w:tcPr>
          <w:p w14:paraId="7895D9AC" w14:textId="77777777" w:rsidR="001256DB" w:rsidRPr="00D43584" w:rsidRDefault="001256DB" w:rsidP="000D5B7C">
            <w:pPr>
              <w:pStyle w:val="NoSpacing"/>
              <w:jc w:val="center"/>
              <w:rPr>
                <w:rFonts w:ascii="Times New Roman" w:hAnsi="Times New Roman" w:cs="Times New Roman"/>
                <w:szCs w:val="24"/>
              </w:rPr>
            </w:pPr>
            <w:r w:rsidRPr="00D43584">
              <w:rPr>
                <w:rFonts w:ascii="Times New Roman" w:hAnsi="Times New Roman" w:cs="Times New Roman"/>
                <w:szCs w:val="24"/>
              </w:rPr>
              <w:t>-351</w:t>
            </w:r>
          </w:p>
        </w:tc>
        <w:tc>
          <w:tcPr>
            <w:tcW w:w="0" w:type="auto"/>
            <w:vAlign w:val="center"/>
            <w:hideMark/>
          </w:tcPr>
          <w:p w14:paraId="27CC9013" w14:textId="77777777" w:rsidR="001256DB" w:rsidRPr="00D43584" w:rsidRDefault="001256DB" w:rsidP="000D5B7C">
            <w:pPr>
              <w:pStyle w:val="NoSpacing"/>
              <w:jc w:val="center"/>
              <w:rPr>
                <w:rFonts w:ascii="Times New Roman" w:hAnsi="Times New Roman" w:cs="Times New Roman"/>
                <w:szCs w:val="24"/>
              </w:rPr>
            </w:pPr>
            <w:r w:rsidRPr="00D43584">
              <w:rPr>
                <w:rFonts w:ascii="Times New Roman" w:hAnsi="Times New Roman" w:cs="Times New Roman"/>
                <w:szCs w:val="24"/>
              </w:rPr>
              <w:t>-638</w:t>
            </w:r>
          </w:p>
        </w:tc>
        <w:tc>
          <w:tcPr>
            <w:tcW w:w="0" w:type="auto"/>
            <w:vAlign w:val="center"/>
            <w:hideMark/>
          </w:tcPr>
          <w:p w14:paraId="6DBFF4A7" w14:textId="66F17634" w:rsidR="001256DB" w:rsidRPr="00D43584" w:rsidRDefault="00C06AD9" w:rsidP="000D5B7C">
            <w:pPr>
              <w:pStyle w:val="NoSpacing"/>
              <w:jc w:val="center"/>
              <w:rPr>
                <w:rFonts w:ascii="Times New Roman" w:hAnsi="Times New Roman" w:cs="Times New Roman"/>
                <w:szCs w:val="24"/>
              </w:rPr>
            </w:pPr>
            <w:r w:rsidRPr="00D43584">
              <w:rPr>
                <w:rFonts w:ascii="Times New Roman" w:hAnsi="Times New Roman" w:cs="Times New Roman"/>
                <w:szCs w:val="24"/>
              </w:rPr>
              <w:t>+30</w:t>
            </w:r>
          </w:p>
        </w:tc>
        <w:tc>
          <w:tcPr>
            <w:tcW w:w="0" w:type="auto"/>
            <w:vAlign w:val="center"/>
            <w:hideMark/>
          </w:tcPr>
          <w:p w14:paraId="78199D01" w14:textId="77777777" w:rsidR="001256DB" w:rsidRPr="00D43584" w:rsidRDefault="001256DB" w:rsidP="000D5B7C">
            <w:pPr>
              <w:pStyle w:val="NoSpacing"/>
              <w:jc w:val="center"/>
              <w:rPr>
                <w:rFonts w:ascii="Times New Roman" w:hAnsi="Times New Roman" w:cs="Times New Roman"/>
                <w:szCs w:val="24"/>
              </w:rPr>
            </w:pPr>
            <w:r w:rsidRPr="00D43584">
              <w:rPr>
                <w:rFonts w:ascii="Times New Roman" w:hAnsi="Times New Roman" w:cs="Times New Roman"/>
                <w:szCs w:val="24"/>
              </w:rPr>
              <w:t>+227</w:t>
            </w:r>
          </w:p>
        </w:tc>
        <w:tc>
          <w:tcPr>
            <w:tcW w:w="0" w:type="auto"/>
            <w:vAlign w:val="center"/>
            <w:hideMark/>
          </w:tcPr>
          <w:p w14:paraId="09A936C3" w14:textId="77777777" w:rsidR="001256DB" w:rsidRPr="00D43584" w:rsidRDefault="001256DB" w:rsidP="000D5B7C">
            <w:pPr>
              <w:pStyle w:val="NoSpacing"/>
              <w:jc w:val="center"/>
              <w:rPr>
                <w:rFonts w:ascii="Times New Roman" w:hAnsi="Times New Roman" w:cs="Times New Roman"/>
                <w:szCs w:val="24"/>
              </w:rPr>
            </w:pPr>
            <w:r w:rsidRPr="00D43584">
              <w:rPr>
                <w:rFonts w:ascii="Times New Roman" w:hAnsi="Times New Roman" w:cs="Times New Roman"/>
                <w:szCs w:val="24"/>
              </w:rPr>
              <w:t>-9</w:t>
            </w:r>
          </w:p>
        </w:tc>
      </w:tr>
      <w:tr w:rsidR="001256DB" w:rsidRPr="00D43584" w14:paraId="34B4C534" w14:textId="77777777" w:rsidTr="000D5B7C">
        <w:trPr>
          <w:trHeight w:val="397"/>
          <w:jc w:val="center"/>
        </w:trPr>
        <w:tc>
          <w:tcPr>
            <w:tcW w:w="0" w:type="auto"/>
            <w:vAlign w:val="center"/>
            <w:hideMark/>
          </w:tcPr>
          <w:p w14:paraId="0062881A" w14:textId="77777777" w:rsidR="001256DB" w:rsidRPr="000D5B7C" w:rsidRDefault="001256DB" w:rsidP="000D5B7C">
            <w:pPr>
              <w:pStyle w:val="NoSpacing"/>
              <w:jc w:val="center"/>
              <w:rPr>
                <w:rFonts w:ascii="Times New Roman" w:hAnsi="Times New Roman" w:cs="Times New Roman"/>
                <w:szCs w:val="24"/>
              </w:rPr>
            </w:pPr>
          </w:p>
        </w:tc>
        <w:tc>
          <w:tcPr>
            <w:tcW w:w="0" w:type="auto"/>
            <w:vAlign w:val="center"/>
            <w:hideMark/>
          </w:tcPr>
          <w:p w14:paraId="5F0BEEC9" w14:textId="77777777" w:rsidR="001256DB" w:rsidRPr="000D5B7C" w:rsidRDefault="001256DB" w:rsidP="000D5B7C">
            <w:pPr>
              <w:pStyle w:val="NoSpacing"/>
              <w:jc w:val="center"/>
              <w:rPr>
                <w:rFonts w:ascii="Times New Roman" w:hAnsi="Times New Roman" w:cs="Times New Roman"/>
                <w:szCs w:val="24"/>
              </w:rPr>
            </w:pPr>
            <w:r w:rsidRPr="000D5B7C">
              <w:rPr>
                <w:rFonts w:ascii="Times New Roman" w:hAnsi="Times New Roman" w:cs="Times New Roman"/>
                <w:szCs w:val="24"/>
              </w:rPr>
              <w:t>Overall</w:t>
            </w:r>
          </w:p>
        </w:tc>
        <w:tc>
          <w:tcPr>
            <w:tcW w:w="0" w:type="auto"/>
            <w:vAlign w:val="center"/>
            <w:hideMark/>
          </w:tcPr>
          <w:p w14:paraId="67D48EB4" w14:textId="2F55C495" w:rsidR="001256DB" w:rsidRPr="00D43584" w:rsidRDefault="001256DB" w:rsidP="000D5B7C">
            <w:pPr>
              <w:pStyle w:val="NoSpacing"/>
              <w:jc w:val="center"/>
              <w:rPr>
                <w:rFonts w:ascii="Times New Roman" w:hAnsi="Times New Roman" w:cs="Times New Roman"/>
                <w:szCs w:val="24"/>
              </w:rPr>
            </w:pPr>
            <w:r w:rsidRPr="00D43584">
              <w:rPr>
                <w:rFonts w:ascii="Times New Roman" w:hAnsi="Times New Roman" w:cs="Times New Roman"/>
                <w:szCs w:val="24"/>
              </w:rPr>
              <w:t>+2</w:t>
            </w:r>
          </w:p>
        </w:tc>
        <w:tc>
          <w:tcPr>
            <w:tcW w:w="0" w:type="auto"/>
            <w:vAlign w:val="center"/>
            <w:hideMark/>
          </w:tcPr>
          <w:p w14:paraId="60737704" w14:textId="77777777" w:rsidR="001256DB" w:rsidRPr="00D43584" w:rsidRDefault="001256DB" w:rsidP="000D5B7C">
            <w:pPr>
              <w:pStyle w:val="NoSpacing"/>
              <w:jc w:val="center"/>
              <w:rPr>
                <w:rFonts w:ascii="Times New Roman" w:hAnsi="Times New Roman" w:cs="Times New Roman"/>
                <w:szCs w:val="24"/>
              </w:rPr>
            </w:pPr>
            <w:r w:rsidRPr="00D43584">
              <w:rPr>
                <w:rFonts w:ascii="Times New Roman" w:hAnsi="Times New Roman" w:cs="Times New Roman"/>
                <w:szCs w:val="24"/>
              </w:rPr>
              <w:t>+247</w:t>
            </w:r>
          </w:p>
        </w:tc>
        <w:tc>
          <w:tcPr>
            <w:tcW w:w="0" w:type="auto"/>
            <w:vAlign w:val="center"/>
            <w:hideMark/>
          </w:tcPr>
          <w:p w14:paraId="48A9B64F" w14:textId="77777777" w:rsidR="001256DB" w:rsidRPr="00D43584" w:rsidRDefault="001256DB" w:rsidP="000D5B7C">
            <w:pPr>
              <w:pStyle w:val="NoSpacing"/>
              <w:jc w:val="center"/>
              <w:rPr>
                <w:rFonts w:ascii="Times New Roman" w:hAnsi="Times New Roman" w:cs="Times New Roman"/>
                <w:szCs w:val="24"/>
              </w:rPr>
            </w:pPr>
            <w:r w:rsidRPr="00D43584">
              <w:rPr>
                <w:rFonts w:ascii="Times New Roman" w:hAnsi="Times New Roman" w:cs="Times New Roman"/>
                <w:szCs w:val="24"/>
              </w:rPr>
              <w:t>+504</w:t>
            </w:r>
          </w:p>
        </w:tc>
        <w:tc>
          <w:tcPr>
            <w:tcW w:w="0" w:type="auto"/>
            <w:vAlign w:val="center"/>
            <w:hideMark/>
          </w:tcPr>
          <w:p w14:paraId="31C3D715" w14:textId="77777777" w:rsidR="001256DB" w:rsidRPr="00D43584" w:rsidRDefault="001256DB" w:rsidP="000D5B7C">
            <w:pPr>
              <w:pStyle w:val="NoSpacing"/>
              <w:jc w:val="center"/>
              <w:rPr>
                <w:rFonts w:ascii="Times New Roman" w:hAnsi="Times New Roman" w:cs="Times New Roman"/>
                <w:szCs w:val="24"/>
              </w:rPr>
            </w:pPr>
            <w:r w:rsidRPr="00D43584">
              <w:rPr>
                <w:rFonts w:ascii="Times New Roman" w:hAnsi="Times New Roman" w:cs="Times New Roman"/>
                <w:szCs w:val="24"/>
              </w:rPr>
              <w:t>..</w:t>
            </w:r>
          </w:p>
        </w:tc>
        <w:tc>
          <w:tcPr>
            <w:tcW w:w="0" w:type="auto"/>
            <w:vAlign w:val="center"/>
            <w:hideMark/>
          </w:tcPr>
          <w:p w14:paraId="411F0710" w14:textId="77777777" w:rsidR="001256DB" w:rsidRPr="00D43584" w:rsidRDefault="001256DB" w:rsidP="000D5B7C">
            <w:pPr>
              <w:pStyle w:val="NoSpacing"/>
              <w:jc w:val="center"/>
              <w:rPr>
                <w:rFonts w:ascii="Times New Roman" w:hAnsi="Times New Roman" w:cs="Times New Roman"/>
                <w:szCs w:val="24"/>
              </w:rPr>
            </w:pPr>
            <w:r w:rsidRPr="00D43584">
              <w:rPr>
                <w:rFonts w:ascii="Times New Roman" w:hAnsi="Times New Roman" w:cs="Times New Roman"/>
                <w:szCs w:val="24"/>
              </w:rPr>
              <w:t>-207</w:t>
            </w:r>
          </w:p>
        </w:tc>
        <w:tc>
          <w:tcPr>
            <w:tcW w:w="0" w:type="auto"/>
            <w:vAlign w:val="center"/>
            <w:hideMark/>
          </w:tcPr>
          <w:p w14:paraId="5E5EC0C2" w14:textId="77777777" w:rsidR="001256DB" w:rsidRPr="00D43584" w:rsidRDefault="001256DB" w:rsidP="000D5B7C">
            <w:pPr>
              <w:pStyle w:val="NoSpacing"/>
              <w:jc w:val="center"/>
              <w:rPr>
                <w:rFonts w:ascii="Times New Roman" w:hAnsi="Times New Roman" w:cs="Times New Roman"/>
                <w:szCs w:val="24"/>
              </w:rPr>
            </w:pPr>
            <w:r w:rsidRPr="00D43584">
              <w:rPr>
                <w:rFonts w:ascii="Times New Roman" w:hAnsi="Times New Roman" w:cs="Times New Roman"/>
                <w:szCs w:val="24"/>
              </w:rPr>
              <w:t>-448</w:t>
            </w:r>
          </w:p>
        </w:tc>
        <w:tc>
          <w:tcPr>
            <w:tcW w:w="0" w:type="auto"/>
            <w:vAlign w:val="center"/>
            <w:hideMark/>
          </w:tcPr>
          <w:p w14:paraId="7415CB68" w14:textId="460687AC" w:rsidR="001256DB" w:rsidRPr="00D43584" w:rsidRDefault="00C06AD9" w:rsidP="000D5B7C">
            <w:pPr>
              <w:pStyle w:val="NoSpacing"/>
              <w:jc w:val="center"/>
              <w:rPr>
                <w:rFonts w:ascii="Times New Roman" w:hAnsi="Times New Roman" w:cs="Times New Roman"/>
                <w:szCs w:val="24"/>
              </w:rPr>
            </w:pPr>
            <w:r w:rsidRPr="00D43584">
              <w:rPr>
                <w:rFonts w:ascii="Times New Roman" w:hAnsi="Times New Roman" w:cs="Times New Roman"/>
                <w:szCs w:val="24"/>
              </w:rPr>
              <w:t>+30</w:t>
            </w:r>
          </w:p>
        </w:tc>
        <w:tc>
          <w:tcPr>
            <w:tcW w:w="0" w:type="auto"/>
            <w:vAlign w:val="center"/>
            <w:hideMark/>
          </w:tcPr>
          <w:p w14:paraId="03295B6E" w14:textId="77777777" w:rsidR="001256DB" w:rsidRPr="00D43584" w:rsidRDefault="001256DB" w:rsidP="000D5B7C">
            <w:pPr>
              <w:pStyle w:val="NoSpacing"/>
              <w:jc w:val="center"/>
              <w:rPr>
                <w:rFonts w:ascii="Times New Roman" w:hAnsi="Times New Roman" w:cs="Times New Roman"/>
                <w:szCs w:val="24"/>
              </w:rPr>
            </w:pPr>
            <w:r w:rsidRPr="00D43584">
              <w:rPr>
                <w:rFonts w:ascii="Times New Roman" w:hAnsi="Times New Roman" w:cs="Times New Roman"/>
                <w:szCs w:val="24"/>
              </w:rPr>
              <w:t>+301</w:t>
            </w:r>
          </w:p>
        </w:tc>
        <w:tc>
          <w:tcPr>
            <w:tcW w:w="0" w:type="auto"/>
            <w:vAlign w:val="center"/>
            <w:hideMark/>
          </w:tcPr>
          <w:p w14:paraId="64A54E2B" w14:textId="77777777" w:rsidR="001256DB" w:rsidRPr="00D43584" w:rsidRDefault="001256DB" w:rsidP="000D5B7C">
            <w:pPr>
              <w:pStyle w:val="NoSpacing"/>
              <w:jc w:val="center"/>
              <w:rPr>
                <w:rFonts w:ascii="Times New Roman" w:hAnsi="Times New Roman" w:cs="Times New Roman"/>
                <w:szCs w:val="24"/>
              </w:rPr>
            </w:pPr>
            <w:r w:rsidRPr="00D43584">
              <w:rPr>
                <w:rFonts w:ascii="Times New Roman" w:hAnsi="Times New Roman" w:cs="Times New Roman"/>
                <w:szCs w:val="24"/>
              </w:rPr>
              <w:t>-55</w:t>
            </w:r>
          </w:p>
        </w:tc>
      </w:tr>
      <w:tr w:rsidR="00E74747" w:rsidRPr="00D43584" w14:paraId="41EAF923" w14:textId="77777777" w:rsidTr="000D5B7C">
        <w:trPr>
          <w:trHeight w:val="397"/>
          <w:jc w:val="center"/>
        </w:trPr>
        <w:tc>
          <w:tcPr>
            <w:tcW w:w="0" w:type="auto"/>
            <w:vAlign w:val="center"/>
            <w:hideMark/>
          </w:tcPr>
          <w:p w14:paraId="15FE36DB" w14:textId="77777777" w:rsidR="00E74747" w:rsidRPr="000D5B7C" w:rsidRDefault="00E74747" w:rsidP="000D5B7C">
            <w:pPr>
              <w:pStyle w:val="NoSpacing"/>
              <w:jc w:val="center"/>
              <w:rPr>
                <w:rFonts w:ascii="Times New Roman" w:hAnsi="Times New Roman" w:cs="Times New Roman"/>
                <w:szCs w:val="24"/>
              </w:rPr>
            </w:pPr>
            <w:r w:rsidRPr="000D5B7C">
              <w:rPr>
                <w:rFonts w:ascii="Times New Roman" w:hAnsi="Times New Roman" w:cs="Times New Roman"/>
                <w:szCs w:val="24"/>
              </w:rPr>
              <w:t>Orissa</w:t>
            </w:r>
          </w:p>
        </w:tc>
        <w:tc>
          <w:tcPr>
            <w:tcW w:w="0" w:type="auto"/>
            <w:vAlign w:val="center"/>
            <w:hideMark/>
          </w:tcPr>
          <w:p w14:paraId="548B36AA" w14:textId="77777777" w:rsidR="00E74747" w:rsidRPr="000D5B7C" w:rsidRDefault="00E74747" w:rsidP="000D5B7C">
            <w:pPr>
              <w:pStyle w:val="NoSpacing"/>
              <w:jc w:val="center"/>
              <w:rPr>
                <w:rFonts w:ascii="Times New Roman" w:hAnsi="Times New Roman" w:cs="Times New Roman"/>
                <w:szCs w:val="24"/>
              </w:rPr>
            </w:pPr>
            <w:r w:rsidRPr="000D5B7C">
              <w:rPr>
                <w:rFonts w:ascii="Times New Roman" w:hAnsi="Times New Roman" w:cs="Times New Roman"/>
                <w:szCs w:val="24"/>
              </w:rPr>
              <w:t>Revenue</w:t>
            </w:r>
          </w:p>
        </w:tc>
        <w:tc>
          <w:tcPr>
            <w:tcW w:w="0" w:type="auto"/>
            <w:vAlign w:val="center"/>
            <w:hideMark/>
          </w:tcPr>
          <w:p w14:paraId="7BBD000E" w14:textId="77777777" w:rsidR="00E74747" w:rsidRPr="00D43584" w:rsidRDefault="00E74747" w:rsidP="000D5B7C">
            <w:pPr>
              <w:pStyle w:val="NoSpacing"/>
              <w:jc w:val="center"/>
              <w:rPr>
                <w:rFonts w:ascii="Times New Roman" w:hAnsi="Times New Roman" w:cs="Times New Roman"/>
                <w:szCs w:val="24"/>
              </w:rPr>
            </w:pPr>
            <w:r w:rsidRPr="00D43584">
              <w:rPr>
                <w:rFonts w:ascii="Times New Roman" w:hAnsi="Times New Roman" w:cs="Times New Roman"/>
                <w:szCs w:val="24"/>
              </w:rPr>
              <w:t>-1003</w:t>
            </w:r>
          </w:p>
        </w:tc>
        <w:tc>
          <w:tcPr>
            <w:tcW w:w="0" w:type="auto"/>
            <w:vAlign w:val="center"/>
            <w:hideMark/>
          </w:tcPr>
          <w:p w14:paraId="1CB8134C" w14:textId="77777777" w:rsidR="00E74747" w:rsidRPr="00D43584" w:rsidRDefault="00E74747" w:rsidP="000D5B7C">
            <w:pPr>
              <w:pStyle w:val="NoSpacing"/>
              <w:jc w:val="center"/>
              <w:rPr>
                <w:rFonts w:ascii="Times New Roman" w:hAnsi="Times New Roman" w:cs="Times New Roman"/>
                <w:szCs w:val="24"/>
              </w:rPr>
            </w:pPr>
            <w:r w:rsidRPr="00D43584">
              <w:rPr>
                <w:rFonts w:ascii="Times New Roman" w:hAnsi="Times New Roman" w:cs="Times New Roman"/>
                <w:szCs w:val="24"/>
              </w:rPr>
              <w:t>-676</w:t>
            </w:r>
          </w:p>
        </w:tc>
        <w:tc>
          <w:tcPr>
            <w:tcW w:w="0" w:type="auto"/>
            <w:vAlign w:val="center"/>
            <w:hideMark/>
          </w:tcPr>
          <w:p w14:paraId="5CC907F9" w14:textId="77777777" w:rsidR="00E74747" w:rsidRPr="00D43584" w:rsidRDefault="00E74747" w:rsidP="000D5B7C">
            <w:pPr>
              <w:pStyle w:val="NoSpacing"/>
              <w:jc w:val="center"/>
              <w:rPr>
                <w:rFonts w:ascii="Times New Roman" w:hAnsi="Times New Roman" w:cs="Times New Roman"/>
                <w:szCs w:val="24"/>
              </w:rPr>
            </w:pPr>
            <w:r w:rsidRPr="00D43584">
              <w:rPr>
                <w:rFonts w:ascii="Times New Roman" w:hAnsi="Times New Roman" w:cs="Times New Roman"/>
                <w:szCs w:val="24"/>
              </w:rPr>
              <w:t>-1092</w:t>
            </w:r>
          </w:p>
        </w:tc>
        <w:tc>
          <w:tcPr>
            <w:tcW w:w="0" w:type="auto"/>
            <w:vAlign w:val="center"/>
            <w:hideMark/>
          </w:tcPr>
          <w:p w14:paraId="2743D298" w14:textId="77777777" w:rsidR="00E74747" w:rsidRPr="00D43584" w:rsidRDefault="00E74747" w:rsidP="000D5B7C">
            <w:pPr>
              <w:pStyle w:val="NoSpacing"/>
              <w:jc w:val="center"/>
              <w:rPr>
                <w:rFonts w:ascii="Times New Roman" w:hAnsi="Times New Roman" w:cs="Times New Roman"/>
                <w:szCs w:val="24"/>
              </w:rPr>
            </w:pPr>
            <w:r w:rsidRPr="00D43584">
              <w:rPr>
                <w:rFonts w:ascii="Times New Roman" w:hAnsi="Times New Roman" w:cs="Times New Roman"/>
                <w:szCs w:val="24"/>
              </w:rPr>
              <w:t>+4</w:t>
            </w:r>
          </w:p>
        </w:tc>
        <w:tc>
          <w:tcPr>
            <w:tcW w:w="0" w:type="auto"/>
            <w:vAlign w:val="center"/>
            <w:hideMark/>
          </w:tcPr>
          <w:p w14:paraId="6FF2E3B6" w14:textId="77777777" w:rsidR="00E74747" w:rsidRPr="00D43584" w:rsidRDefault="00E74747" w:rsidP="000D5B7C">
            <w:pPr>
              <w:pStyle w:val="NoSpacing"/>
              <w:jc w:val="center"/>
              <w:rPr>
                <w:rFonts w:ascii="Times New Roman" w:hAnsi="Times New Roman" w:cs="Times New Roman"/>
                <w:szCs w:val="24"/>
              </w:rPr>
            </w:pPr>
            <w:r w:rsidRPr="00D43584">
              <w:rPr>
                <w:rFonts w:ascii="Times New Roman" w:hAnsi="Times New Roman" w:cs="Times New Roman"/>
                <w:szCs w:val="24"/>
              </w:rPr>
              <w:t>+1</w:t>
            </w:r>
          </w:p>
        </w:tc>
        <w:tc>
          <w:tcPr>
            <w:tcW w:w="0" w:type="auto"/>
            <w:vAlign w:val="center"/>
            <w:hideMark/>
          </w:tcPr>
          <w:p w14:paraId="5416BCCB" w14:textId="77777777" w:rsidR="00E74747" w:rsidRPr="00D43584" w:rsidRDefault="00E74747" w:rsidP="000D5B7C">
            <w:pPr>
              <w:pStyle w:val="NoSpacing"/>
              <w:jc w:val="center"/>
              <w:rPr>
                <w:rFonts w:ascii="Times New Roman" w:hAnsi="Times New Roman" w:cs="Times New Roman"/>
                <w:szCs w:val="24"/>
              </w:rPr>
            </w:pPr>
            <w:r w:rsidRPr="00D43584">
              <w:rPr>
                <w:rFonts w:ascii="Times New Roman" w:hAnsi="Times New Roman" w:cs="Times New Roman"/>
                <w:szCs w:val="24"/>
              </w:rPr>
              <w:t>+238</w:t>
            </w:r>
          </w:p>
        </w:tc>
        <w:tc>
          <w:tcPr>
            <w:tcW w:w="0" w:type="auto"/>
            <w:vAlign w:val="center"/>
            <w:hideMark/>
          </w:tcPr>
          <w:p w14:paraId="0755A55F" w14:textId="77777777" w:rsidR="00E74747" w:rsidRPr="00D43584" w:rsidRDefault="00E74747" w:rsidP="000D5B7C">
            <w:pPr>
              <w:pStyle w:val="NoSpacing"/>
              <w:jc w:val="center"/>
              <w:rPr>
                <w:rFonts w:ascii="Times New Roman" w:hAnsi="Times New Roman" w:cs="Times New Roman"/>
                <w:szCs w:val="24"/>
              </w:rPr>
            </w:pPr>
            <w:r w:rsidRPr="00D43584">
              <w:rPr>
                <w:rFonts w:ascii="Times New Roman" w:hAnsi="Times New Roman" w:cs="Times New Roman"/>
                <w:szCs w:val="24"/>
              </w:rPr>
              <w:t>-56</w:t>
            </w:r>
          </w:p>
        </w:tc>
        <w:tc>
          <w:tcPr>
            <w:tcW w:w="0" w:type="auto"/>
            <w:vAlign w:val="center"/>
            <w:hideMark/>
          </w:tcPr>
          <w:p w14:paraId="7BB5D705" w14:textId="77777777" w:rsidR="00E74747" w:rsidRPr="00D43584" w:rsidRDefault="00E74747" w:rsidP="000D5B7C">
            <w:pPr>
              <w:pStyle w:val="NoSpacing"/>
              <w:jc w:val="center"/>
              <w:rPr>
                <w:rFonts w:ascii="Times New Roman" w:hAnsi="Times New Roman" w:cs="Times New Roman"/>
                <w:szCs w:val="24"/>
              </w:rPr>
            </w:pPr>
            <w:r w:rsidRPr="00D43584">
              <w:rPr>
                <w:rFonts w:ascii="Times New Roman" w:hAnsi="Times New Roman" w:cs="Times New Roman"/>
                <w:szCs w:val="24"/>
              </w:rPr>
              <w:t>-204</w:t>
            </w:r>
          </w:p>
        </w:tc>
        <w:tc>
          <w:tcPr>
            <w:tcW w:w="0" w:type="auto"/>
            <w:vAlign w:val="center"/>
            <w:hideMark/>
          </w:tcPr>
          <w:p w14:paraId="0A06CCC9" w14:textId="77777777" w:rsidR="00E74747" w:rsidRPr="00D43584" w:rsidRDefault="00E74747" w:rsidP="000D5B7C">
            <w:pPr>
              <w:pStyle w:val="NoSpacing"/>
              <w:jc w:val="center"/>
              <w:rPr>
                <w:rFonts w:ascii="Times New Roman" w:hAnsi="Times New Roman" w:cs="Times New Roman"/>
                <w:szCs w:val="24"/>
              </w:rPr>
            </w:pPr>
            <w:r w:rsidRPr="00D43584">
              <w:rPr>
                <w:rFonts w:ascii="Times New Roman" w:hAnsi="Times New Roman" w:cs="Times New Roman"/>
                <w:szCs w:val="24"/>
              </w:rPr>
              <w:t>+89</w:t>
            </w:r>
          </w:p>
        </w:tc>
      </w:tr>
      <w:tr w:rsidR="00E74747" w:rsidRPr="00D43584" w14:paraId="67673264" w14:textId="77777777" w:rsidTr="000D5B7C">
        <w:trPr>
          <w:trHeight w:val="397"/>
          <w:jc w:val="center"/>
        </w:trPr>
        <w:tc>
          <w:tcPr>
            <w:tcW w:w="0" w:type="auto"/>
            <w:vAlign w:val="center"/>
            <w:hideMark/>
          </w:tcPr>
          <w:p w14:paraId="6E647D71" w14:textId="77777777" w:rsidR="00E74747" w:rsidRPr="000D5B7C" w:rsidRDefault="00E74747" w:rsidP="000D5B7C">
            <w:pPr>
              <w:pStyle w:val="NoSpacing"/>
              <w:jc w:val="center"/>
              <w:rPr>
                <w:rFonts w:ascii="Times New Roman" w:hAnsi="Times New Roman" w:cs="Times New Roman"/>
                <w:szCs w:val="24"/>
              </w:rPr>
            </w:pPr>
          </w:p>
        </w:tc>
        <w:tc>
          <w:tcPr>
            <w:tcW w:w="0" w:type="auto"/>
            <w:vAlign w:val="center"/>
            <w:hideMark/>
          </w:tcPr>
          <w:p w14:paraId="202D4E11" w14:textId="77777777" w:rsidR="00E74747" w:rsidRPr="000D5B7C" w:rsidRDefault="00E74747" w:rsidP="000D5B7C">
            <w:pPr>
              <w:pStyle w:val="NoSpacing"/>
              <w:jc w:val="center"/>
              <w:rPr>
                <w:rFonts w:ascii="Times New Roman" w:hAnsi="Times New Roman" w:cs="Times New Roman"/>
                <w:szCs w:val="24"/>
              </w:rPr>
            </w:pPr>
            <w:r w:rsidRPr="000D5B7C">
              <w:rPr>
                <w:rFonts w:ascii="Times New Roman" w:hAnsi="Times New Roman" w:cs="Times New Roman"/>
                <w:szCs w:val="24"/>
              </w:rPr>
              <w:t>Capital</w:t>
            </w:r>
          </w:p>
        </w:tc>
        <w:tc>
          <w:tcPr>
            <w:tcW w:w="0" w:type="auto"/>
            <w:vAlign w:val="center"/>
            <w:hideMark/>
          </w:tcPr>
          <w:p w14:paraId="051898F4" w14:textId="77777777" w:rsidR="00E74747" w:rsidRPr="00D43584" w:rsidRDefault="00E74747" w:rsidP="000D5B7C">
            <w:pPr>
              <w:pStyle w:val="NoSpacing"/>
              <w:jc w:val="center"/>
              <w:rPr>
                <w:rFonts w:ascii="Times New Roman" w:hAnsi="Times New Roman" w:cs="Times New Roman"/>
                <w:szCs w:val="24"/>
              </w:rPr>
            </w:pPr>
            <w:r w:rsidRPr="00D43584">
              <w:rPr>
                <w:rFonts w:ascii="Times New Roman" w:hAnsi="Times New Roman" w:cs="Times New Roman"/>
                <w:szCs w:val="24"/>
              </w:rPr>
              <w:t>+1019</w:t>
            </w:r>
          </w:p>
        </w:tc>
        <w:tc>
          <w:tcPr>
            <w:tcW w:w="0" w:type="auto"/>
            <w:vAlign w:val="center"/>
            <w:hideMark/>
          </w:tcPr>
          <w:p w14:paraId="1BB073A7" w14:textId="77777777" w:rsidR="00E74747" w:rsidRPr="00D43584" w:rsidRDefault="00E74747" w:rsidP="000D5B7C">
            <w:pPr>
              <w:pStyle w:val="NoSpacing"/>
              <w:jc w:val="center"/>
              <w:rPr>
                <w:rFonts w:ascii="Times New Roman" w:hAnsi="Times New Roman" w:cs="Times New Roman"/>
                <w:szCs w:val="24"/>
              </w:rPr>
            </w:pPr>
            <w:r w:rsidRPr="00D43584">
              <w:rPr>
                <w:rFonts w:ascii="Times New Roman" w:hAnsi="Times New Roman" w:cs="Times New Roman"/>
                <w:szCs w:val="24"/>
              </w:rPr>
              <w:t>+1564</w:t>
            </w:r>
          </w:p>
        </w:tc>
        <w:tc>
          <w:tcPr>
            <w:tcW w:w="0" w:type="auto"/>
            <w:vAlign w:val="center"/>
            <w:hideMark/>
          </w:tcPr>
          <w:p w14:paraId="5B518B2F" w14:textId="77777777" w:rsidR="00E74747" w:rsidRPr="00D43584" w:rsidRDefault="00E74747" w:rsidP="000D5B7C">
            <w:pPr>
              <w:pStyle w:val="NoSpacing"/>
              <w:jc w:val="center"/>
              <w:rPr>
                <w:rFonts w:ascii="Times New Roman" w:hAnsi="Times New Roman" w:cs="Times New Roman"/>
                <w:szCs w:val="24"/>
              </w:rPr>
            </w:pPr>
            <w:r w:rsidRPr="00D43584">
              <w:rPr>
                <w:rFonts w:ascii="Times New Roman" w:hAnsi="Times New Roman" w:cs="Times New Roman"/>
                <w:szCs w:val="24"/>
              </w:rPr>
              <w:t>+1287</w:t>
            </w:r>
          </w:p>
        </w:tc>
        <w:tc>
          <w:tcPr>
            <w:tcW w:w="0" w:type="auto"/>
            <w:vAlign w:val="center"/>
            <w:hideMark/>
          </w:tcPr>
          <w:p w14:paraId="625568C8" w14:textId="77777777" w:rsidR="00E74747" w:rsidRPr="00D43584" w:rsidRDefault="00E74747" w:rsidP="000D5B7C">
            <w:pPr>
              <w:pStyle w:val="NoSpacing"/>
              <w:jc w:val="center"/>
              <w:rPr>
                <w:rFonts w:ascii="Times New Roman" w:hAnsi="Times New Roman" w:cs="Times New Roman"/>
                <w:szCs w:val="24"/>
              </w:rPr>
            </w:pPr>
            <w:r w:rsidRPr="00D43584">
              <w:rPr>
                <w:rFonts w:ascii="Times New Roman" w:hAnsi="Times New Roman" w:cs="Times New Roman"/>
                <w:szCs w:val="24"/>
              </w:rPr>
              <w:t>-49</w:t>
            </w:r>
          </w:p>
        </w:tc>
        <w:tc>
          <w:tcPr>
            <w:tcW w:w="0" w:type="auto"/>
            <w:vAlign w:val="center"/>
            <w:hideMark/>
          </w:tcPr>
          <w:p w14:paraId="01A1B147" w14:textId="77777777" w:rsidR="00E74747" w:rsidRPr="00D43584" w:rsidRDefault="00E74747" w:rsidP="000D5B7C">
            <w:pPr>
              <w:pStyle w:val="NoSpacing"/>
              <w:jc w:val="center"/>
              <w:rPr>
                <w:rFonts w:ascii="Times New Roman" w:hAnsi="Times New Roman" w:cs="Times New Roman"/>
                <w:szCs w:val="24"/>
              </w:rPr>
            </w:pPr>
            <w:r w:rsidRPr="00D43584">
              <w:rPr>
                <w:rFonts w:ascii="Times New Roman" w:hAnsi="Times New Roman" w:cs="Times New Roman"/>
                <w:szCs w:val="24"/>
              </w:rPr>
              <w:t>-45</w:t>
            </w:r>
          </w:p>
        </w:tc>
        <w:tc>
          <w:tcPr>
            <w:tcW w:w="0" w:type="auto"/>
            <w:vAlign w:val="center"/>
            <w:hideMark/>
          </w:tcPr>
          <w:p w14:paraId="331AA47F" w14:textId="77777777" w:rsidR="00E74747" w:rsidRPr="00D43584" w:rsidRDefault="00E74747" w:rsidP="000D5B7C">
            <w:pPr>
              <w:pStyle w:val="NoSpacing"/>
              <w:jc w:val="center"/>
              <w:rPr>
                <w:rFonts w:ascii="Times New Roman" w:hAnsi="Times New Roman" w:cs="Times New Roman"/>
                <w:szCs w:val="24"/>
              </w:rPr>
            </w:pPr>
            <w:r w:rsidRPr="00D43584">
              <w:rPr>
                <w:rFonts w:ascii="Times New Roman" w:hAnsi="Times New Roman" w:cs="Times New Roman"/>
                <w:szCs w:val="24"/>
              </w:rPr>
              <w:t>-1197</w:t>
            </w:r>
          </w:p>
        </w:tc>
        <w:tc>
          <w:tcPr>
            <w:tcW w:w="0" w:type="auto"/>
            <w:vAlign w:val="center"/>
            <w:hideMark/>
          </w:tcPr>
          <w:p w14:paraId="20255C5B" w14:textId="77777777" w:rsidR="00E74747" w:rsidRPr="00D43584" w:rsidRDefault="00E74747" w:rsidP="000D5B7C">
            <w:pPr>
              <w:pStyle w:val="NoSpacing"/>
              <w:jc w:val="center"/>
              <w:rPr>
                <w:rFonts w:ascii="Times New Roman" w:hAnsi="Times New Roman" w:cs="Times New Roman"/>
                <w:szCs w:val="24"/>
              </w:rPr>
            </w:pPr>
            <w:r w:rsidRPr="00D43584">
              <w:rPr>
                <w:rFonts w:ascii="Times New Roman" w:hAnsi="Times New Roman" w:cs="Times New Roman"/>
                <w:szCs w:val="24"/>
              </w:rPr>
              <w:t>+743</w:t>
            </w:r>
          </w:p>
        </w:tc>
        <w:tc>
          <w:tcPr>
            <w:tcW w:w="0" w:type="auto"/>
            <w:vAlign w:val="center"/>
            <w:hideMark/>
          </w:tcPr>
          <w:p w14:paraId="5454C139" w14:textId="77777777" w:rsidR="00E74747" w:rsidRPr="00D43584" w:rsidRDefault="00E74747" w:rsidP="000D5B7C">
            <w:pPr>
              <w:pStyle w:val="NoSpacing"/>
              <w:jc w:val="center"/>
              <w:rPr>
                <w:rFonts w:ascii="Times New Roman" w:hAnsi="Times New Roman" w:cs="Times New Roman"/>
                <w:szCs w:val="24"/>
              </w:rPr>
            </w:pPr>
            <w:r w:rsidRPr="00D43584">
              <w:rPr>
                <w:rFonts w:ascii="Times New Roman" w:hAnsi="Times New Roman" w:cs="Times New Roman"/>
                <w:szCs w:val="24"/>
              </w:rPr>
              <w:t>+817</w:t>
            </w:r>
          </w:p>
        </w:tc>
        <w:tc>
          <w:tcPr>
            <w:tcW w:w="0" w:type="auto"/>
            <w:vAlign w:val="center"/>
            <w:hideMark/>
          </w:tcPr>
          <w:p w14:paraId="528585B4" w14:textId="77777777" w:rsidR="00E74747" w:rsidRPr="00D43584" w:rsidRDefault="00E74747" w:rsidP="000D5B7C">
            <w:pPr>
              <w:pStyle w:val="NoSpacing"/>
              <w:jc w:val="center"/>
              <w:rPr>
                <w:rFonts w:ascii="Times New Roman" w:hAnsi="Times New Roman" w:cs="Times New Roman"/>
                <w:szCs w:val="24"/>
              </w:rPr>
            </w:pPr>
            <w:r w:rsidRPr="00D43584">
              <w:rPr>
                <w:rFonts w:ascii="Times New Roman" w:hAnsi="Times New Roman" w:cs="Times New Roman"/>
                <w:szCs w:val="24"/>
              </w:rPr>
              <w:t>-39</w:t>
            </w:r>
          </w:p>
        </w:tc>
      </w:tr>
      <w:tr w:rsidR="00E74747" w:rsidRPr="00D43584" w14:paraId="01DF5C7A" w14:textId="77777777" w:rsidTr="000D5B7C">
        <w:trPr>
          <w:trHeight w:val="397"/>
          <w:jc w:val="center"/>
        </w:trPr>
        <w:tc>
          <w:tcPr>
            <w:tcW w:w="0" w:type="auto"/>
            <w:vAlign w:val="center"/>
            <w:hideMark/>
          </w:tcPr>
          <w:p w14:paraId="7D0504A9" w14:textId="77777777" w:rsidR="00E74747" w:rsidRPr="000D5B7C" w:rsidRDefault="00E74747" w:rsidP="000D5B7C">
            <w:pPr>
              <w:pStyle w:val="NoSpacing"/>
              <w:jc w:val="center"/>
              <w:rPr>
                <w:rFonts w:ascii="Times New Roman" w:hAnsi="Times New Roman" w:cs="Times New Roman"/>
                <w:szCs w:val="24"/>
              </w:rPr>
            </w:pPr>
          </w:p>
        </w:tc>
        <w:tc>
          <w:tcPr>
            <w:tcW w:w="0" w:type="auto"/>
            <w:vAlign w:val="center"/>
            <w:hideMark/>
          </w:tcPr>
          <w:p w14:paraId="4490BB89" w14:textId="77777777" w:rsidR="00E74747" w:rsidRPr="000D5B7C" w:rsidRDefault="00E74747" w:rsidP="000D5B7C">
            <w:pPr>
              <w:pStyle w:val="NoSpacing"/>
              <w:jc w:val="center"/>
              <w:rPr>
                <w:rFonts w:ascii="Times New Roman" w:hAnsi="Times New Roman" w:cs="Times New Roman"/>
                <w:szCs w:val="24"/>
              </w:rPr>
            </w:pPr>
            <w:r w:rsidRPr="000D5B7C">
              <w:rPr>
                <w:rFonts w:ascii="Times New Roman" w:hAnsi="Times New Roman" w:cs="Times New Roman"/>
                <w:szCs w:val="24"/>
              </w:rPr>
              <w:t>Overall</w:t>
            </w:r>
          </w:p>
        </w:tc>
        <w:tc>
          <w:tcPr>
            <w:tcW w:w="0" w:type="auto"/>
            <w:vAlign w:val="center"/>
            <w:hideMark/>
          </w:tcPr>
          <w:p w14:paraId="7F773F39" w14:textId="77777777" w:rsidR="00E74747" w:rsidRPr="00D43584" w:rsidRDefault="00E74747" w:rsidP="000D5B7C">
            <w:pPr>
              <w:pStyle w:val="NoSpacing"/>
              <w:jc w:val="center"/>
              <w:rPr>
                <w:rFonts w:ascii="Times New Roman" w:hAnsi="Times New Roman" w:cs="Times New Roman"/>
                <w:szCs w:val="24"/>
              </w:rPr>
            </w:pPr>
            <w:r w:rsidRPr="00D43584">
              <w:rPr>
                <w:rFonts w:ascii="Times New Roman" w:hAnsi="Times New Roman" w:cs="Times New Roman"/>
                <w:szCs w:val="24"/>
              </w:rPr>
              <w:t>+16</w:t>
            </w:r>
          </w:p>
        </w:tc>
        <w:tc>
          <w:tcPr>
            <w:tcW w:w="0" w:type="auto"/>
            <w:vAlign w:val="center"/>
            <w:hideMark/>
          </w:tcPr>
          <w:p w14:paraId="1CC1605A" w14:textId="77777777" w:rsidR="00E74747" w:rsidRPr="00D43584" w:rsidRDefault="00E74747" w:rsidP="000D5B7C">
            <w:pPr>
              <w:pStyle w:val="NoSpacing"/>
              <w:jc w:val="center"/>
              <w:rPr>
                <w:rFonts w:ascii="Times New Roman" w:hAnsi="Times New Roman" w:cs="Times New Roman"/>
                <w:szCs w:val="24"/>
              </w:rPr>
            </w:pPr>
            <w:r w:rsidRPr="00D43584">
              <w:rPr>
                <w:rFonts w:ascii="Times New Roman" w:hAnsi="Times New Roman" w:cs="Times New Roman"/>
                <w:szCs w:val="24"/>
              </w:rPr>
              <w:t>+888</w:t>
            </w:r>
          </w:p>
        </w:tc>
        <w:tc>
          <w:tcPr>
            <w:tcW w:w="0" w:type="auto"/>
            <w:vAlign w:val="center"/>
            <w:hideMark/>
          </w:tcPr>
          <w:p w14:paraId="419A0CE0" w14:textId="77777777" w:rsidR="00E74747" w:rsidRPr="00D43584" w:rsidRDefault="00E74747" w:rsidP="000D5B7C">
            <w:pPr>
              <w:pStyle w:val="NoSpacing"/>
              <w:jc w:val="center"/>
              <w:rPr>
                <w:rFonts w:ascii="Times New Roman" w:hAnsi="Times New Roman" w:cs="Times New Roman"/>
                <w:szCs w:val="24"/>
              </w:rPr>
            </w:pPr>
            <w:r w:rsidRPr="00D43584">
              <w:rPr>
                <w:rFonts w:ascii="Times New Roman" w:hAnsi="Times New Roman" w:cs="Times New Roman"/>
                <w:szCs w:val="24"/>
              </w:rPr>
              <w:t>+195</w:t>
            </w:r>
          </w:p>
        </w:tc>
        <w:tc>
          <w:tcPr>
            <w:tcW w:w="0" w:type="auto"/>
            <w:vAlign w:val="center"/>
            <w:hideMark/>
          </w:tcPr>
          <w:p w14:paraId="4DECBF59" w14:textId="77777777" w:rsidR="00E74747" w:rsidRPr="00D43584" w:rsidRDefault="00E74747" w:rsidP="000D5B7C">
            <w:pPr>
              <w:pStyle w:val="NoSpacing"/>
              <w:jc w:val="center"/>
              <w:rPr>
                <w:rFonts w:ascii="Times New Roman" w:hAnsi="Times New Roman" w:cs="Times New Roman"/>
                <w:szCs w:val="24"/>
              </w:rPr>
            </w:pPr>
            <w:r w:rsidRPr="00D43584">
              <w:rPr>
                <w:rFonts w:ascii="Times New Roman" w:hAnsi="Times New Roman" w:cs="Times New Roman"/>
                <w:szCs w:val="24"/>
              </w:rPr>
              <w:t>-45</w:t>
            </w:r>
          </w:p>
        </w:tc>
        <w:tc>
          <w:tcPr>
            <w:tcW w:w="0" w:type="auto"/>
            <w:vAlign w:val="center"/>
            <w:hideMark/>
          </w:tcPr>
          <w:p w14:paraId="0E75883C" w14:textId="77777777" w:rsidR="00E74747" w:rsidRPr="00D43584" w:rsidRDefault="00E74747" w:rsidP="000D5B7C">
            <w:pPr>
              <w:pStyle w:val="NoSpacing"/>
              <w:jc w:val="center"/>
              <w:rPr>
                <w:rFonts w:ascii="Times New Roman" w:hAnsi="Times New Roman" w:cs="Times New Roman"/>
                <w:szCs w:val="24"/>
              </w:rPr>
            </w:pPr>
            <w:r w:rsidRPr="00D43584">
              <w:rPr>
                <w:rFonts w:ascii="Times New Roman" w:hAnsi="Times New Roman" w:cs="Times New Roman"/>
                <w:szCs w:val="24"/>
              </w:rPr>
              <w:t>-44</w:t>
            </w:r>
          </w:p>
        </w:tc>
        <w:tc>
          <w:tcPr>
            <w:tcW w:w="0" w:type="auto"/>
            <w:vAlign w:val="center"/>
            <w:hideMark/>
          </w:tcPr>
          <w:p w14:paraId="4DF8238A" w14:textId="77777777" w:rsidR="00E74747" w:rsidRPr="00D43584" w:rsidRDefault="00E74747" w:rsidP="000D5B7C">
            <w:pPr>
              <w:pStyle w:val="NoSpacing"/>
              <w:jc w:val="center"/>
              <w:rPr>
                <w:rFonts w:ascii="Times New Roman" w:hAnsi="Times New Roman" w:cs="Times New Roman"/>
                <w:szCs w:val="24"/>
              </w:rPr>
            </w:pPr>
            <w:r w:rsidRPr="00D43584">
              <w:rPr>
                <w:rFonts w:ascii="Times New Roman" w:hAnsi="Times New Roman" w:cs="Times New Roman"/>
                <w:szCs w:val="24"/>
              </w:rPr>
              <w:t>-959</w:t>
            </w:r>
          </w:p>
        </w:tc>
        <w:tc>
          <w:tcPr>
            <w:tcW w:w="0" w:type="auto"/>
            <w:vAlign w:val="center"/>
            <w:hideMark/>
          </w:tcPr>
          <w:p w14:paraId="43783262" w14:textId="77777777" w:rsidR="00E74747" w:rsidRPr="00D43584" w:rsidRDefault="00E74747" w:rsidP="000D5B7C">
            <w:pPr>
              <w:pStyle w:val="NoSpacing"/>
              <w:jc w:val="center"/>
              <w:rPr>
                <w:rFonts w:ascii="Times New Roman" w:hAnsi="Times New Roman" w:cs="Times New Roman"/>
                <w:szCs w:val="24"/>
              </w:rPr>
            </w:pPr>
            <w:r w:rsidRPr="00D43584">
              <w:rPr>
                <w:rFonts w:ascii="Times New Roman" w:hAnsi="Times New Roman" w:cs="Times New Roman"/>
                <w:szCs w:val="24"/>
              </w:rPr>
              <w:t>+687</w:t>
            </w:r>
          </w:p>
        </w:tc>
        <w:tc>
          <w:tcPr>
            <w:tcW w:w="0" w:type="auto"/>
            <w:vAlign w:val="center"/>
            <w:hideMark/>
          </w:tcPr>
          <w:p w14:paraId="7531BDDA" w14:textId="77777777" w:rsidR="00E74747" w:rsidRPr="00D43584" w:rsidRDefault="00E74747" w:rsidP="000D5B7C">
            <w:pPr>
              <w:pStyle w:val="NoSpacing"/>
              <w:jc w:val="center"/>
              <w:rPr>
                <w:rFonts w:ascii="Times New Roman" w:hAnsi="Times New Roman" w:cs="Times New Roman"/>
                <w:szCs w:val="24"/>
              </w:rPr>
            </w:pPr>
            <w:r w:rsidRPr="00D43584">
              <w:rPr>
                <w:rFonts w:ascii="Times New Roman" w:hAnsi="Times New Roman" w:cs="Times New Roman"/>
                <w:szCs w:val="24"/>
              </w:rPr>
              <w:t>+613</w:t>
            </w:r>
          </w:p>
        </w:tc>
        <w:tc>
          <w:tcPr>
            <w:tcW w:w="0" w:type="auto"/>
            <w:vAlign w:val="center"/>
            <w:hideMark/>
          </w:tcPr>
          <w:p w14:paraId="104D55C0" w14:textId="77777777" w:rsidR="00E74747" w:rsidRPr="00D43584" w:rsidRDefault="00E74747" w:rsidP="000D5B7C">
            <w:pPr>
              <w:pStyle w:val="NoSpacing"/>
              <w:jc w:val="center"/>
              <w:rPr>
                <w:rFonts w:ascii="Times New Roman" w:hAnsi="Times New Roman" w:cs="Times New Roman"/>
                <w:szCs w:val="24"/>
              </w:rPr>
            </w:pPr>
            <w:r w:rsidRPr="00D43584">
              <w:rPr>
                <w:rFonts w:ascii="Times New Roman" w:hAnsi="Times New Roman" w:cs="Times New Roman"/>
                <w:szCs w:val="24"/>
              </w:rPr>
              <w:t>+50</w:t>
            </w:r>
          </w:p>
        </w:tc>
      </w:tr>
      <w:tr w:rsidR="00E74747" w:rsidRPr="00D43584" w14:paraId="6CE5DCEA" w14:textId="77777777" w:rsidTr="000D5B7C">
        <w:trPr>
          <w:trHeight w:val="397"/>
          <w:jc w:val="center"/>
        </w:trPr>
        <w:tc>
          <w:tcPr>
            <w:tcW w:w="0" w:type="auto"/>
            <w:vAlign w:val="center"/>
            <w:hideMark/>
          </w:tcPr>
          <w:p w14:paraId="70EB70DC" w14:textId="77777777" w:rsidR="00E74747" w:rsidRPr="000D5B7C" w:rsidRDefault="00E74747" w:rsidP="000D5B7C">
            <w:pPr>
              <w:pStyle w:val="NoSpacing"/>
              <w:jc w:val="center"/>
              <w:rPr>
                <w:rFonts w:ascii="Times New Roman" w:hAnsi="Times New Roman" w:cs="Times New Roman"/>
                <w:szCs w:val="24"/>
              </w:rPr>
            </w:pPr>
            <w:r w:rsidRPr="000D5B7C">
              <w:rPr>
                <w:rFonts w:ascii="Times New Roman" w:hAnsi="Times New Roman" w:cs="Times New Roman"/>
                <w:szCs w:val="24"/>
              </w:rPr>
              <w:lastRenderedPageBreak/>
              <w:t>Punjab</w:t>
            </w:r>
          </w:p>
        </w:tc>
        <w:tc>
          <w:tcPr>
            <w:tcW w:w="0" w:type="auto"/>
            <w:vAlign w:val="center"/>
            <w:hideMark/>
          </w:tcPr>
          <w:p w14:paraId="13559F23" w14:textId="77777777" w:rsidR="00E74747" w:rsidRPr="000D5B7C" w:rsidRDefault="00E74747" w:rsidP="000D5B7C">
            <w:pPr>
              <w:pStyle w:val="NoSpacing"/>
              <w:jc w:val="center"/>
              <w:rPr>
                <w:rFonts w:ascii="Times New Roman" w:hAnsi="Times New Roman" w:cs="Times New Roman"/>
                <w:szCs w:val="24"/>
              </w:rPr>
            </w:pPr>
            <w:r w:rsidRPr="000D5B7C">
              <w:rPr>
                <w:rFonts w:ascii="Times New Roman" w:hAnsi="Times New Roman" w:cs="Times New Roman"/>
                <w:szCs w:val="24"/>
              </w:rPr>
              <w:t>Revenue</w:t>
            </w:r>
          </w:p>
        </w:tc>
        <w:tc>
          <w:tcPr>
            <w:tcW w:w="0" w:type="auto"/>
            <w:vAlign w:val="center"/>
            <w:hideMark/>
          </w:tcPr>
          <w:p w14:paraId="56C6CBD1" w14:textId="1C424001" w:rsidR="00E74747" w:rsidRPr="00D43584" w:rsidRDefault="00F0435A" w:rsidP="000D5B7C">
            <w:pPr>
              <w:pStyle w:val="NoSpacing"/>
              <w:jc w:val="center"/>
              <w:rPr>
                <w:rFonts w:ascii="Times New Roman" w:hAnsi="Times New Roman" w:cs="Times New Roman"/>
                <w:szCs w:val="24"/>
              </w:rPr>
            </w:pPr>
            <w:r>
              <w:rPr>
                <w:rFonts w:ascii="Times New Roman" w:hAnsi="Times New Roman" w:cs="Times New Roman"/>
                <w:szCs w:val="24"/>
              </w:rPr>
              <w:t>+</w:t>
            </w:r>
            <w:r w:rsidR="00E74747" w:rsidRPr="00D43584">
              <w:rPr>
                <w:rFonts w:ascii="Times New Roman" w:hAnsi="Times New Roman" w:cs="Times New Roman"/>
                <w:szCs w:val="24"/>
              </w:rPr>
              <w:t>232</w:t>
            </w:r>
          </w:p>
        </w:tc>
        <w:tc>
          <w:tcPr>
            <w:tcW w:w="0" w:type="auto"/>
            <w:vAlign w:val="center"/>
            <w:hideMark/>
          </w:tcPr>
          <w:p w14:paraId="2386036B" w14:textId="77777777" w:rsidR="00E74747" w:rsidRPr="00D43584" w:rsidRDefault="00E74747" w:rsidP="000D5B7C">
            <w:pPr>
              <w:pStyle w:val="NoSpacing"/>
              <w:jc w:val="center"/>
              <w:rPr>
                <w:rFonts w:ascii="Times New Roman" w:hAnsi="Times New Roman" w:cs="Times New Roman"/>
                <w:szCs w:val="24"/>
              </w:rPr>
            </w:pPr>
            <w:r w:rsidRPr="00D43584">
              <w:rPr>
                <w:rFonts w:ascii="Times New Roman" w:hAnsi="Times New Roman" w:cs="Times New Roman"/>
                <w:szCs w:val="24"/>
              </w:rPr>
              <w:t>+742</w:t>
            </w:r>
          </w:p>
        </w:tc>
        <w:tc>
          <w:tcPr>
            <w:tcW w:w="0" w:type="auto"/>
            <w:vAlign w:val="center"/>
            <w:hideMark/>
          </w:tcPr>
          <w:p w14:paraId="673DE853" w14:textId="77777777" w:rsidR="00E74747" w:rsidRPr="00D43584" w:rsidRDefault="00E74747" w:rsidP="000D5B7C">
            <w:pPr>
              <w:pStyle w:val="NoSpacing"/>
              <w:jc w:val="center"/>
              <w:rPr>
                <w:rFonts w:ascii="Times New Roman" w:hAnsi="Times New Roman" w:cs="Times New Roman"/>
                <w:szCs w:val="24"/>
              </w:rPr>
            </w:pPr>
            <w:r w:rsidRPr="00D43584">
              <w:rPr>
                <w:rFonts w:ascii="Times New Roman" w:hAnsi="Times New Roman" w:cs="Times New Roman"/>
                <w:szCs w:val="24"/>
              </w:rPr>
              <w:t>+1454</w:t>
            </w:r>
          </w:p>
        </w:tc>
        <w:tc>
          <w:tcPr>
            <w:tcW w:w="0" w:type="auto"/>
            <w:vAlign w:val="center"/>
            <w:hideMark/>
          </w:tcPr>
          <w:p w14:paraId="4D06AACB" w14:textId="77777777" w:rsidR="00E74747" w:rsidRPr="00D43584" w:rsidRDefault="00E74747" w:rsidP="000D5B7C">
            <w:pPr>
              <w:pStyle w:val="NoSpacing"/>
              <w:jc w:val="center"/>
              <w:rPr>
                <w:rFonts w:ascii="Times New Roman" w:hAnsi="Times New Roman" w:cs="Times New Roman"/>
                <w:szCs w:val="24"/>
              </w:rPr>
            </w:pPr>
            <w:r w:rsidRPr="00D43584">
              <w:rPr>
                <w:rFonts w:ascii="Times New Roman" w:hAnsi="Times New Roman" w:cs="Times New Roman"/>
                <w:szCs w:val="24"/>
              </w:rPr>
              <w:t>+528</w:t>
            </w:r>
          </w:p>
        </w:tc>
        <w:tc>
          <w:tcPr>
            <w:tcW w:w="0" w:type="auto"/>
            <w:vAlign w:val="center"/>
            <w:hideMark/>
          </w:tcPr>
          <w:p w14:paraId="13D30424" w14:textId="77777777" w:rsidR="00E74747" w:rsidRPr="00D43584" w:rsidRDefault="00E74747" w:rsidP="000D5B7C">
            <w:pPr>
              <w:pStyle w:val="NoSpacing"/>
              <w:jc w:val="center"/>
              <w:rPr>
                <w:rFonts w:ascii="Times New Roman" w:hAnsi="Times New Roman" w:cs="Times New Roman"/>
                <w:szCs w:val="24"/>
              </w:rPr>
            </w:pPr>
            <w:r w:rsidRPr="00D43584">
              <w:rPr>
                <w:rFonts w:ascii="Times New Roman" w:hAnsi="Times New Roman" w:cs="Times New Roman"/>
                <w:szCs w:val="24"/>
              </w:rPr>
              <w:t>+476</w:t>
            </w:r>
          </w:p>
        </w:tc>
        <w:tc>
          <w:tcPr>
            <w:tcW w:w="0" w:type="auto"/>
            <w:vAlign w:val="center"/>
            <w:hideMark/>
          </w:tcPr>
          <w:p w14:paraId="21529D1D" w14:textId="77777777" w:rsidR="00E74747" w:rsidRPr="00D43584" w:rsidRDefault="00E74747" w:rsidP="000D5B7C">
            <w:pPr>
              <w:pStyle w:val="NoSpacing"/>
              <w:jc w:val="center"/>
              <w:rPr>
                <w:rFonts w:ascii="Times New Roman" w:hAnsi="Times New Roman" w:cs="Times New Roman"/>
                <w:szCs w:val="24"/>
              </w:rPr>
            </w:pPr>
            <w:r w:rsidRPr="00D43584">
              <w:rPr>
                <w:rFonts w:ascii="Times New Roman" w:hAnsi="Times New Roman" w:cs="Times New Roman"/>
                <w:szCs w:val="24"/>
              </w:rPr>
              <w:t>+553</w:t>
            </w:r>
          </w:p>
        </w:tc>
        <w:tc>
          <w:tcPr>
            <w:tcW w:w="0" w:type="auto"/>
            <w:vAlign w:val="center"/>
            <w:hideMark/>
          </w:tcPr>
          <w:p w14:paraId="796238AC" w14:textId="77777777" w:rsidR="00E74747" w:rsidRPr="00D43584" w:rsidRDefault="00E74747" w:rsidP="000D5B7C">
            <w:pPr>
              <w:pStyle w:val="NoSpacing"/>
              <w:jc w:val="center"/>
              <w:rPr>
                <w:rFonts w:ascii="Times New Roman" w:hAnsi="Times New Roman" w:cs="Times New Roman"/>
                <w:szCs w:val="24"/>
              </w:rPr>
            </w:pPr>
            <w:r w:rsidRPr="00D43584">
              <w:rPr>
                <w:rFonts w:ascii="Times New Roman" w:hAnsi="Times New Roman" w:cs="Times New Roman"/>
                <w:szCs w:val="24"/>
              </w:rPr>
              <w:t>+474</w:t>
            </w:r>
          </w:p>
        </w:tc>
        <w:tc>
          <w:tcPr>
            <w:tcW w:w="0" w:type="auto"/>
            <w:vAlign w:val="center"/>
            <w:hideMark/>
          </w:tcPr>
          <w:p w14:paraId="48252834" w14:textId="77777777" w:rsidR="00E74747" w:rsidRPr="00D43584" w:rsidRDefault="00E74747" w:rsidP="000D5B7C">
            <w:pPr>
              <w:pStyle w:val="NoSpacing"/>
              <w:jc w:val="center"/>
              <w:rPr>
                <w:rFonts w:ascii="Times New Roman" w:hAnsi="Times New Roman" w:cs="Times New Roman"/>
                <w:szCs w:val="24"/>
              </w:rPr>
            </w:pPr>
            <w:r w:rsidRPr="00D43584">
              <w:rPr>
                <w:rFonts w:ascii="Times New Roman" w:hAnsi="Times New Roman" w:cs="Times New Roman"/>
                <w:szCs w:val="24"/>
              </w:rPr>
              <w:t>+842</w:t>
            </w:r>
          </w:p>
        </w:tc>
        <w:tc>
          <w:tcPr>
            <w:tcW w:w="0" w:type="auto"/>
            <w:vAlign w:val="center"/>
            <w:hideMark/>
          </w:tcPr>
          <w:p w14:paraId="54842755" w14:textId="77777777" w:rsidR="00E74747" w:rsidRPr="00D43584" w:rsidRDefault="00E74747" w:rsidP="000D5B7C">
            <w:pPr>
              <w:pStyle w:val="NoSpacing"/>
              <w:jc w:val="center"/>
              <w:rPr>
                <w:rFonts w:ascii="Times New Roman" w:hAnsi="Times New Roman" w:cs="Times New Roman"/>
                <w:szCs w:val="24"/>
              </w:rPr>
            </w:pPr>
            <w:r w:rsidRPr="00D43584">
              <w:rPr>
                <w:rFonts w:ascii="Times New Roman" w:hAnsi="Times New Roman" w:cs="Times New Roman"/>
                <w:szCs w:val="24"/>
              </w:rPr>
              <w:t>-202</w:t>
            </w:r>
          </w:p>
        </w:tc>
      </w:tr>
      <w:tr w:rsidR="00E74747" w:rsidRPr="00D43584" w14:paraId="264A68BD" w14:textId="77777777" w:rsidTr="000D5B7C">
        <w:trPr>
          <w:trHeight w:val="397"/>
          <w:jc w:val="center"/>
        </w:trPr>
        <w:tc>
          <w:tcPr>
            <w:tcW w:w="0" w:type="auto"/>
            <w:vAlign w:val="center"/>
            <w:hideMark/>
          </w:tcPr>
          <w:p w14:paraId="4958F292" w14:textId="77777777" w:rsidR="00E74747" w:rsidRPr="000D5B7C" w:rsidRDefault="00E74747" w:rsidP="000D5B7C">
            <w:pPr>
              <w:pStyle w:val="NoSpacing"/>
              <w:jc w:val="center"/>
              <w:rPr>
                <w:rFonts w:ascii="Times New Roman" w:hAnsi="Times New Roman" w:cs="Times New Roman"/>
                <w:szCs w:val="24"/>
              </w:rPr>
            </w:pPr>
          </w:p>
        </w:tc>
        <w:tc>
          <w:tcPr>
            <w:tcW w:w="0" w:type="auto"/>
            <w:vAlign w:val="center"/>
            <w:hideMark/>
          </w:tcPr>
          <w:p w14:paraId="745EA4BA" w14:textId="77777777" w:rsidR="00E74747" w:rsidRPr="000D5B7C" w:rsidRDefault="00E74747" w:rsidP="000D5B7C">
            <w:pPr>
              <w:pStyle w:val="NoSpacing"/>
              <w:jc w:val="center"/>
              <w:rPr>
                <w:rFonts w:ascii="Times New Roman" w:hAnsi="Times New Roman" w:cs="Times New Roman"/>
                <w:szCs w:val="24"/>
              </w:rPr>
            </w:pPr>
            <w:r w:rsidRPr="000D5B7C">
              <w:rPr>
                <w:rFonts w:ascii="Times New Roman" w:hAnsi="Times New Roman" w:cs="Times New Roman"/>
                <w:szCs w:val="24"/>
              </w:rPr>
              <w:t>Capital</w:t>
            </w:r>
          </w:p>
        </w:tc>
        <w:tc>
          <w:tcPr>
            <w:tcW w:w="0" w:type="auto"/>
            <w:vAlign w:val="center"/>
            <w:hideMark/>
          </w:tcPr>
          <w:p w14:paraId="6DE25DAB" w14:textId="339F38C2" w:rsidR="00E74747" w:rsidRPr="00D43584" w:rsidRDefault="00F0435A" w:rsidP="000D5B7C">
            <w:pPr>
              <w:pStyle w:val="NoSpacing"/>
              <w:jc w:val="center"/>
              <w:rPr>
                <w:rFonts w:ascii="Times New Roman" w:hAnsi="Times New Roman" w:cs="Times New Roman"/>
                <w:szCs w:val="24"/>
              </w:rPr>
            </w:pPr>
            <w:r>
              <w:rPr>
                <w:rFonts w:ascii="Times New Roman" w:hAnsi="Times New Roman" w:cs="Times New Roman"/>
                <w:szCs w:val="24"/>
              </w:rPr>
              <w:t>-</w:t>
            </w:r>
            <w:r w:rsidR="00E74747" w:rsidRPr="00D43584">
              <w:rPr>
                <w:rFonts w:ascii="Times New Roman" w:hAnsi="Times New Roman" w:cs="Times New Roman"/>
                <w:szCs w:val="24"/>
              </w:rPr>
              <w:t>602</w:t>
            </w:r>
          </w:p>
        </w:tc>
        <w:tc>
          <w:tcPr>
            <w:tcW w:w="0" w:type="auto"/>
            <w:vAlign w:val="center"/>
            <w:hideMark/>
          </w:tcPr>
          <w:p w14:paraId="20304AC1" w14:textId="77777777" w:rsidR="00E74747" w:rsidRPr="00D43584" w:rsidRDefault="00E74747" w:rsidP="000D5B7C">
            <w:pPr>
              <w:pStyle w:val="NoSpacing"/>
              <w:jc w:val="center"/>
              <w:rPr>
                <w:rFonts w:ascii="Times New Roman" w:hAnsi="Times New Roman" w:cs="Times New Roman"/>
                <w:szCs w:val="24"/>
              </w:rPr>
            </w:pPr>
            <w:r w:rsidRPr="00D43584">
              <w:rPr>
                <w:rFonts w:ascii="Times New Roman" w:hAnsi="Times New Roman" w:cs="Times New Roman"/>
                <w:szCs w:val="24"/>
              </w:rPr>
              <w:t>-813</w:t>
            </w:r>
          </w:p>
        </w:tc>
        <w:tc>
          <w:tcPr>
            <w:tcW w:w="0" w:type="auto"/>
            <w:vAlign w:val="center"/>
            <w:hideMark/>
          </w:tcPr>
          <w:p w14:paraId="77B09BA9" w14:textId="77777777" w:rsidR="00E74747" w:rsidRPr="00D43584" w:rsidRDefault="00E74747" w:rsidP="000D5B7C">
            <w:pPr>
              <w:pStyle w:val="NoSpacing"/>
              <w:jc w:val="center"/>
              <w:rPr>
                <w:rFonts w:ascii="Times New Roman" w:hAnsi="Times New Roman" w:cs="Times New Roman"/>
                <w:szCs w:val="24"/>
              </w:rPr>
            </w:pPr>
            <w:r w:rsidRPr="00D43584">
              <w:rPr>
                <w:rFonts w:ascii="Times New Roman" w:hAnsi="Times New Roman" w:cs="Times New Roman"/>
                <w:szCs w:val="24"/>
              </w:rPr>
              <w:t>-806</w:t>
            </w:r>
          </w:p>
        </w:tc>
        <w:tc>
          <w:tcPr>
            <w:tcW w:w="0" w:type="auto"/>
            <w:vAlign w:val="center"/>
            <w:hideMark/>
          </w:tcPr>
          <w:p w14:paraId="4D50A285" w14:textId="77777777" w:rsidR="00E74747" w:rsidRPr="00D43584" w:rsidRDefault="00E74747" w:rsidP="000D5B7C">
            <w:pPr>
              <w:pStyle w:val="NoSpacing"/>
              <w:jc w:val="center"/>
              <w:rPr>
                <w:rFonts w:ascii="Times New Roman" w:hAnsi="Times New Roman" w:cs="Times New Roman"/>
                <w:szCs w:val="24"/>
              </w:rPr>
            </w:pPr>
            <w:r w:rsidRPr="00D43584">
              <w:rPr>
                <w:rFonts w:ascii="Times New Roman" w:hAnsi="Times New Roman" w:cs="Times New Roman"/>
                <w:szCs w:val="24"/>
              </w:rPr>
              <w:t>-472</w:t>
            </w:r>
          </w:p>
        </w:tc>
        <w:tc>
          <w:tcPr>
            <w:tcW w:w="0" w:type="auto"/>
            <w:vAlign w:val="center"/>
            <w:hideMark/>
          </w:tcPr>
          <w:p w14:paraId="2977B989" w14:textId="77284EB4" w:rsidR="00E74747" w:rsidRPr="00D43584" w:rsidRDefault="00F0435A" w:rsidP="000D5B7C">
            <w:pPr>
              <w:pStyle w:val="NoSpacing"/>
              <w:jc w:val="center"/>
              <w:rPr>
                <w:rFonts w:ascii="Times New Roman" w:hAnsi="Times New Roman" w:cs="Times New Roman"/>
                <w:szCs w:val="24"/>
              </w:rPr>
            </w:pPr>
            <w:r>
              <w:rPr>
                <w:rFonts w:ascii="Times New Roman" w:hAnsi="Times New Roman" w:cs="Times New Roman"/>
                <w:szCs w:val="24"/>
              </w:rPr>
              <w:t>-</w:t>
            </w:r>
            <w:r w:rsidR="00E74747" w:rsidRPr="00D43584">
              <w:rPr>
                <w:rFonts w:ascii="Times New Roman" w:hAnsi="Times New Roman" w:cs="Times New Roman"/>
                <w:szCs w:val="24"/>
              </w:rPr>
              <w:t>175</w:t>
            </w:r>
          </w:p>
        </w:tc>
        <w:tc>
          <w:tcPr>
            <w:tcW w:w="0" w:type="auto"/>
            <w:vAlign w:val="center"/>
            <w:hideMark/>
          </w:tcPr>
          <w:p w14:paraId="711581DA" w14:textId="77777777" w:rsidR="00E74747" w:rsidRPr="00D43584" w:rsidRDefault="00E74747" w:rsidP="000D5B7C">
            <w:pPr>
              <w:pStyle w:val="NoSpacing"/>
              <w:jc w:val="center"/>
              <w:rPr>
                <w:rFonts w:ascii="Times New Roman" w:hAnsi="Times New Roman" w:cs="Times New Roman"/>
                <w:szCs w:val="24"/>
              </w:rPr>
            </w:pPr>
            <w:r w:rsidRPr="00D43584">
              <w:rPr>
                <w:rFonts w:ascii="Times New Roman" w:hAnsi="Times New Roman" w:cs="Times New Roman"/>
                <w:szCs w:val="24"/>
              </w:rPr>
              <w:t>+381</w:t>
            </w:r>
          </w:p>
        </w:tc>
        <w:tc>
          <w:tcPr>
            <w:tcW w:w="0" w:type="auto"/>
            <w:vAlign w:val="center"/>
            <w:hideMark/>
          </w:tcPr>
          <w:p w14:paraId="6123742A" w14:textId="77777777" w:rsidR="00E74747" w:rsidRPr="00D43584" w:rsidRDefault="00E74747" w:rsidP="000D5B7C">
            <w:pPr>
              <w:pStyle w:val="NoSpacing"/>
              <w:jc w:val="center"/>
              <w:rPr>
                <w:rFonts w:ascii="Times New Roman" w:hAnsi="Times New Roman" w:cs="Times New Roman"/>
                <w:szCs w:val="24"/>
              </w:rPr>
            </w:pPr>
            <w:r w:rsidRPr="00D43584">
              <w:rPr>
                <w:rFonts w:ascii="Times New Roman" w:hAnsi="Times New Roman" w:cs="Times New Roman"/>
                <w:szCs w:val="24"/>
              </w:rPr>
              <w:t>-1273</w:t>
            </w:r>
          </w:p>
        </w:tc>
        <w:tc>
          <w:tcPr>
            <w:tcW w:w="0" w:type="auto"/>
            <w:vAlign w:val="center"/>
            <w:hideMark/>
          </w:tcPr>
          <w:p w14:paraId="282C65B9" w14:textId="77777777" w:rsidR="00E74747" w:rsidRPr="00D43584" w:rsidRDefault="00E74747" w:rsidP="000D5B7C">
            <w:pPr>
              <w:pStyle w:val="NoSpacing"/>
              <w:jc w:val="center"/>
              <w:rPr>
                <w:rFonts w:ascii="Times New Roman" w:hAnsi="Times New Roman" w:cs="Times New Roman"/>
                <w:szCs w:val="24"/>
              </w:rPr>
            </w:pPr>
            <w:r w:rsidRPr="00D43584">
              <w:rPr>
                <w:rFonts w:ascii="Times New Roman" w:hAnsi="Times New Roman" w:cs="Times New Roman"/>
                <w:szCs w:val="24"/>
              </w:rPr>
              <w:t>-1385</w:t>
            </w:r>
          </w:p>
        </w:tc>
        <w:tc>
          <w:tcPr>
            <w:tcW w:w="0" w:type="auto"/>
            <w:vAlign w:val="center"/>
            <w:hideMark/>
          </w:tcPr>
          <w:p w14:paraId="4A47245A" w14:textId="77777777" w:rsidR="00E74747" w:rsidRPr="00D43584" w:rsidRDefault="00E74747" w:rsidP="000D5B7C">
            <w:pPr>
              <w:pStyle w:val="NoSpacing"/>
              <w:jc w:val="center"/>
              <w:rPr>
                <w:rFonts w:ascii="Times New Roman" w:hAnsi="Times New Roman" w:cs="Times New Roman"/>
                <w:szCs w:val="24"/>
              </w:rPr>
            </w:pPr>
            <w:r w:rsidRPr="00D43584">
              <w:rPr>
                <w:rFonts w:ascii="Times New Roman" w:hAnsi="Times New Roman" w:cs="Times New Roman"/>
                <w:szCs w:val="24"/>
              </w:rPr>
              <w:t>-935</w:t>
            </w:r>
          </w:p>
        </w:tc>
      </w:tr>
      <w:tr w:rsidR="00E74747" w:rsidRPr="00D43584" w14:paraId="5C0457E4" w14:textId="77777777" w:rsidTr="000D5B7C">
        <w:trPr>
          <w:trHeight w:val="397"/>
          <w:jc w:val="center"/>
        </w:trPr>
        <w:tc>
          <w:tcPr>
            <w:tcW w:w="0" w:type="auto"/>
            <w:vAlign w:val="center"/>
            <w:hideMark/>
          </w:tcPr>
          <w:p w14:paraId="0FA0DE8C" w14:textId="77777777" w:rsidR="00E74747" w:rsidRPr="000D5B7C" w:rsidRDefault="00E74747" w:rsidP="000D5B7C">
            <w:pPr>
              <w:pStyle w:val="NoSpacing"/>
              <w:jc w:val="center"/>
              <w:rPr>
                <w:rFonts w:ascii="Times New Roman" w:hAnsi="Times New Roman" w:cs="Times New Roman"/>
                <w:szCs w:val="24"/>
              </w:rPr>
            </w:pPr>
          </w:p>
        </w:tc>
        <w:tc>
          <w:tcPr>
            <w:tcW w:w="0" w:type="auto"/>
            <w:vAlign w:val="center"/>
            <w:hideMark/>
          </w:tcPr>
          <w:p w14:paraId="29866A11" w14:textId="77777777" w:rsidR="00E74747" w:rsidRPr="000D5B7C" w:rsidRDefault="00E74747" w:rsidP="000D5B7C">
            <w:pPr>
              <w:pStyle w:val="NoSpacing"/>
              <w:jc w:val="center"/>
              <w:rPr>
                <w:rFonts w:ascii="Times New Roman" w:hAnsi="Times New Roman" w:cs="Times New Roman"/>
                <w:szCs w:val="24"/>
              </w:rPr>
            </w:pPr>
            <w:r w:rsidRPr="000D5B7C">
              <w:rPr>
                <w:rFonts w:ascii="Times New Roman" w:hAnsi="Times New Roman" w:cs="Times New Roman"/>
                <w:szCs w:val="24"/>
              </w:rPr>
              <w:t>Overall</w:t>
            </w:r>
          </w:p>
        </w:tc>
        <w:tc>
          <w:tcPr>
            <w:tcW w:w="0" w:type="auto"/>
            <w:vAlign w:val="center"/>
            <w:hideMark/>
          </w:tcPr>
          <w:p w14:paraId="249FD369" w14:textId="77777777" w:rsidR="00E74747" w:rsidRPr="00D43584" w:rsidRDefault="00E74747" w:rsidP="000D5B7C">
            <w:pPr>
              <w:pStyle w:val="NoSpacing"/>
              <w:jc w:val="center"/>
              <w:rPr>
                <w:rFonts w:ascii="Times New Roman" w:hAnsi="Times New Roman" w:cs="Times New Roman"/>
                <w:szCs w:val="24"/>
              </w:rPr>
            </w:pPr>
            <w:r w:rsidRPr="00D43584">
              <w:rPr>
                <w:rFonts w:ascii="Times New Roman" w:hAnsi="Times New Roman" w:cs="Times New Roman"/>
                <w:szCs w:val="24"/>
              </w:rPr>
              <w:t>-370</w:t>
            </w:r>
          </w:p>
        </w:tc>
        <w:tc>
          <w:tcPr>
            <w:tcW w:w="0" w:type="auto"/>
            <w:vAlign w:val="center"/>
            <w:hideMark/>
          </w:tcPr>
          <w:p w14:paraId="227E36B1" w14:textId="77777777" w:rsidR="00E74747" w:rsidRPr="00D43584" w:rsidRDefault="00E74747" w:rsidP="000D5B7C">
            <w:pPr>
              <w:pStyle w:val="NoSpacing"/>
              <w:jc w:val="center"/>
              <w:rPr>
                <w:rFonts w:ascii="Times New Roman" w:hAnsi="Times New Roman" w:cs="Times New Roman"/>
                <w:szCs w:val="24"/>
              </w:rPr>
            </w:pPr>
            <w:r w:rsidRPr="00D43584">
              <w:rPr>
                <w:rFonts w:ascii="Times New Roman" w:hAnsi="Times New Roman" w:cs="Times New Roman"/>
                <w:szCs w:val="24"/>
              </w:rPr>
              <w:t>-71</w:t>
            </w:r>
          </w:p>
        </w:tc>
        <w:tc>
          <w:tcPr>
            <w:tcW w:w="0" w:type="auto"/>
            <w:vAlign w:val="center"/>
            <w:hideMark/>
          </w:tcPr>
          <w:p w14:paraId="5F04EC15" w14:textId="77777777" w:rsidR="00E74747" w:rsidRPr="00D43584" w:rsidRDefault="00E74747" w:rsidP="000D5B7C">
            <w:pPr>
              <w:pStyle w:val="NoSpacing"/>
              <w:jc w:val="center"/>
              <w:rPr>
                <w:rFonts w:ascii="Times New Roman" w:hAnsi="Times New Roman" w:cs="Times New Roman"/>
                <w:szCs w:val="24"/>
              </w:rPr>
            </w:pPr>
            <w:r w:rsidRPr="00D43584">
              <w:rPr>
                <w:rFonts w:ascii="Times New Roman" w:hAnsi="Times New Roman" w:cs="Times New Roman"/>
                <w:szCs w:val="24"/>
              </w:rPr>
              <w:t>+648</w:t>
            </w:r>
          </w:p>
        </w:tc>
        <w:tc>
          <w:tcPr>
            <w:tcW w:w="0" w:type="auto"/>
            <w:vAlign w:val="center"/>
            <w:hideMark/>
          </w:tcPr>
          <w:p w14:paraId="5AE1BBEB" w14:textId="77777777" w:rsidR="00E74747" w:rsidRPr="00D43584" w:rsidRDefault="00E74747" w:rsidP="000D5B7C">
            <w:pPr>
              <w:pStyle w:val="NoSpacing"/>
              <w:jc w:val="center"/>
              <w:rPr>
                <w:rFonts w:ascii="Times New Roman" w:hAnsi="Times New Roman" w:cs="Times New Roman"/>
                <w:szCs w:val="24"/>
              </w:rPr>
            </w:pPr>
            <w:r w:rsidRPr="00D43584">
              <w:rPr>
                <w:rFonts w:ascii="Times New Roman" w:hAnsi="Times New Roman" w:cs="Times New Roman"/>
                <w:szCs w:val="24"/>
              </w:rPr>
              <w:t>+56</w:t>
            </w:r>
          </w:p>
        </w:tc>
        <w:tc>
          <w:tcPr>
            <w:tcW w:w="0" w:type="auto"/>
            <w:vAlign w:val="center"/>
            <w:hideMark/>
          </w:tcPr>
          <w:p w14:paraId="20F2FB7E" w14:textId="77777777" w:rsidR="00E74747" w:rsidRPr="00D43584" w:rsidRDefault="00E74747" w:rsidP="000D5B7C">
            <w:pPr>
              <w:pStyle w:val="NoSpacing"/>
              <w:jc w:val="center"/>
              <w:rPr>
                <w:rFonts w:ascii="Times New Roman" w:hAnsi="Times New Roman" w:cs="Times New Roman"/>
                <w:szCs w:val="24"/>
              </w:rPr>
            </w:pPr>
            <w:r w:rsidRPr="00D43584">
              <w:rPr>
                <w:rFonts w:ascii="Times New Roman" w:hAnsi="Times New Roman" w:cs="Times New Roman"/>
                <w:szCs w:val="24"/>
              </w:rPr>
              <w:t>+301</w:t>
            </w:r>
          </w:p>
        </w:tc>
        <w:tc>
          <w:tcPr>
            <w:tcW w:w="0" w:type="auto"/>
            <w:vAlign w:val="center"/>
            <w:hideMark/>
          </w:tcPr>
          <w:p w14:paraId="24A6D170" w14:textId="77777777" w:rsidR="00E74747" w:rsidRPr="00D43584" w:rsidRDefault="00E74747" w:rsidP="000D5B7C">
            <w:pPr>
              <w:pStyle w:val="NoSpacing"/>
              <w:jc w:val="center"/>
              <w:rPr>
                <w:rFonts w:ascii="Times New Roman" w:hAnsi="Times New Roman" w:cs="Times New Roman"/>
                <w:szCs w:val="24"/>
              </w:rPr>
            </w:pPr>
            <w:r w:rsidRPr="00D43584">
              <w:rPr>
                <w:rFonts w:ascii="Times New Roman" w:hAnsi="Times New Roman" w:cs="Times New Roman"/>
                <w:szCs w:val="24"/>
              </w:rPr>
              <w:t>+934</w:t>
            </w:r>
          </w:p>
        </w:tc>
        <w:tc>
          <w:tcPr>
            <w:tcW w:w="0" w:type="auto"/>
            <w:vAlign w:val="center"/>
            <w:hideMark/>
          </w:tcPr>
          <w:p w14:paraId="2EBD8629" w14:textId="77777777" w:rsidR="00E74747" w:rsidRPr="00D43584" w:rsidRDefault="00E74747" w:rsidP="000D5B7C">
            <w:pPr>
              <w:pStyle w:val="NoSpacing"/>
              <w:jc w:val="center"/>
              <w:rPr>
                <w:rFonts w:ascii="Times New Roman" w:hAnsi="Times New Roman" w:cs="Times New Roman"/>
                <w:szCs w:val="24"/>
              </w:rPr>
            </w:pPr>
            <w:r w:rsidRPr="00D43584">
              <w:rPr>
                <w:rFonts w:ascii="Times New Roman" w:hAnsi="Times New Roman" w:cs="Times New Roman"/>
                <w:szCs w:val="24"/>
              </w:rPr>
              <w:t>-799</w:t>
            </w:r>
          </w:p>
        </w:tc>
        <w:tc>
          <w:tcPr>
            <w:tcW w:w="0" w:type="auto"/>
            <w:vAlign w:val="center"/>
            <w:hideMark/>
          </w:tcPr>
          <w:p w14:paraId="37D0AFE2" w14:textId="77777777" w:rsidR="00E74747" w:rsidRPr="00D43584" w:rsidRDefault="00E74747" w:rsidP="000D5B7C">
            <w:pPr>
              <w:pStyle w:val="NoSpacing"/>
              <w:jc w:val="center"/>
              <w:rPr>
                <w:rFonts w:ascii="Times New Roman" w:hAnsi="Times New Roman" w:cs="Times New Roman"/>
                <w:szCs w:val="24"/>
              </w:rPr>
            </w:pPr>
            <w:r w:rsidRPr="00D43584">
              <w:rPr>
                <w:rFonts w:ascii="Times New Roman" w:hAnsi="Times New Roman" w:cs="Times New Roman"/>
                <w:szCs w:val="24"/>
              </w:rPr>
              <w:t>-543</w:t>
            </w:r>
          </w:p>
        </w:tc>
        <w:tc>
          <w:tcPr>
            <w:tcW w:w="0" w:type="auto"/>
            <w:vAlign w:val="center"/>
            <w:hideMark/>
          </w:tcPr>
          <w:p w14:paraId="5BF83489" w14:textId="77777777" w:rsidR="00E74747" w:rsidRPr="00D43584" w:rsidRDefault="00E74747" w:rsidP="000D5B7C">
            <w:pPr>
              <w:pStyle w:val="NoSpacing"/>
              <w:jc w:val="center"/>
              <w:rPr>
                <w:rFonts w:ascii="Times New Roman" w:hAnsi="Times New Roman" w:cs="Times New Roman"/>
                <w:szCs w:val="24"/>
              </w:rPr>
            </w:pPr>
            <w:r w:rsidRPr="00D43584">
              <w:rPr>
                <w:rFonts w:ascii="Times New Roman" w:hAnsi="Times New Roman" w:cs="Times New Roman"/>
                <w:szCs w:val="24"/>
              </w:rPr>
              <w:t>-1137</w:t>
            </w:r>
          </w:p>
        </w:tc>
      </w:tr>
      <w:tr w:rsidR="00E74747" w:rsidRPr="00D43584" w14:paraId="39CD2084" w14:textId="77777777" w:rsidTr="000D5B7C">
        <w:trPr>
          <w:trHeight w:val="397"/>
          <w:jc w:val="center"/>
        </w:trPr>
        <w:tc>
          <w:tcPr>
            <w:tcW w:w="0" w:type="auto"/>
            <w:vAlign w:val="center"/>
            <w:hideMark/>
          </w:tcPr>
          <w:p w14:paraId="2DACA3CA" w14:textId="77777777" w:rsidR="00E74747" w:rsidRPr="000D5B7C" w:rsidRDefault="00E74747" w:rsidP="000D5B7C">
            <w:pPr>
              <w:pStyle w:val="NoSpacing"/>
              <w:jc w:val="center"/>
              <w:rPr>
                <w:rFonts w:ascii="Times New Roman" w:hAnsi="Times New Roman" w:cs="Times New Roman"/>
                <w:szCs w:val="24"/>
              </w:rPr>
            </w:pPr>
            <w:r w:rsidRPr="000D5B7C">
              <w:rPr>
                <w:rFonts w:ascii="Times New Roman" w:hAnsi="Times New Roman" w:cs="Times New Roman"/>
                <w:szCs w:val="24"/>
              </w:rPr>
              <w:t>Rajasthan</w:t>
            </w:r>
          </w:p>
        </w:tc>
        <w:tc>
          <w:tcPr>
            <w:tcW w:w="0" w:type="auto"/>
            <w:vAlign w:val="center"/>
            <w:hideMark/>
          </w:tcPr>
          <w:p w14:paraId="53144DAE" w14:textId="77777777" w:rsidR="00E74747" w:rsidRPr="000D5B7C" w:rsidRDefault="00E74747" w:rsidP="000D5B7C">
            <w:pPr>
              <w:pStyle w:val="NoSpacing"/>
              <w:jc w:val="center"/>
              <w:rPr>
                <w:rFonts w:ascii="Times New Roman" w:hAnsi="Times New Roman" w:cs="Times New Roman"/>
                <w:szCs w:val="24"/>
              </w:rPr>
            </w:pPr>
            <w:r w:rsidRPr="000D5B7C">
              <w:rPr>
                <w:rFonts w:ascii="Times New Roman" w:hAnsi="Times New Roman" w:cs="Times New Roman"/>
                <w:szCs w:val="24"/>
              </w:rPr>
              <w:t>Revenue</w:t>
            </w:r>
          </w:p>
        </w:tc>
        <w:tc>
          <w:tcPr>
            <w:tcW w:w="0" w:type="auto"/>
            <w:vAlign w:val="center"/>
            <w:hideMark/>
          </w:tcPr>
          <w:p w14:paraId="4CF4E91F" w14:textId="77777777" w:rsidR="00E74747" w:rsidRPr="00D43584" w:rsidRDefault="00E74747" w:rsidP="000D5B7C">
            <w:pPr>
              <w:pStyle w:val="NoSpacing"/>
              <w:jc w:val="center"/>
              <w:rPr>
                <w:rFonts w:ascii="Times New Roman" w:hAnsi="Times New Roman" w:cs="Times New Roman"/>
                <w:szCs w:val="24"/>
              </w:rPr>
            </w:pPr>
            <w:r w:rsidRPr="00D43584">
              <w:rPr>
                <w:rFonts w:ascii="Times New Roman" w:hAnsi="Times New Roman" w:cs="Times New Roman"/>
                <w:szCs w:val="24"/>
              </w:rPr>
              <w:t>-646</w:t>
            </w:r>
          </w:p>
        </w:tc>
        <w:tc>
          <w:tcPr>
            <w:tcW w:w="0" w:type="auto"/>
            <w:vAlign w:val="center"/>
            <w:hideMark/>
          </w:tcPr>
          <w:p w14:paraId="6AA02D17" w14:textId="77777777" w:rsidR="00E74747" w:rsidRPr="00D43584" w:rsidRDefault="00E74747" w:rsidP="000D5B7C">
            <w:pPr>
              <w:pStyle w:val="NoSpacing"/>
              <w:jc w:val="center"/>
              <w:rPr>
                <w:rFonts w:ascii="Times New Roman" w:hAnsi="Times New Roman" w:cs="Times New Roman"/>
                <w:szCs w:val="24"/>
              </w:rPr>
            </w:pPr>
            <w:r w:rsidRPr="00D43584">
              <w:rPr>
                <w:rFonts w:ascii="Times New Roman" w:hAnsi="Times New Roman" w:cs="Times New Roman"/>
                <w:szCs w:val="24"/>
              </w:rPr>
              <w:t>-409</w:t>
            </w:r>
          </w:p>
        </w:tc>
        <w:tc>
          <w:tcPr>
            <w:tcW w:w="0" w:type="auto"/>
            <w:vAlign w:val="center"/>
            <w:hideMark/>
          </w:tcPr>
          <w:p w14:paraId="1DEEBB9A" w14:textId="77777777" w:rsidR="00E74747" w:rsidRPr="00D43584" w:rsidRDefault="00E74747" w:rsidP="000D5B7C">
            <w:pPr>
              <w:pStyle w:val="NoSpacing"/>
              <w:jc w:val="center"/>
              <w:rPr>
                <w:rFonts w:ascii="Times New Roman" w:hAnsi="Times New Roman" w:cs="Times New Roman"/>
                <w:szCs w:val="24"/>
              </w:rPr>
            </w:pPr>
            <w:r w:rsidRPr="00D43584">
              <w:rPr>
                <w:rFonts w:ascii="Times New Roman" w:hAnsi="Times New Roman" w:cs="Times New Roman"/>
                <w:szCs w:val="24"/>
              </w:rPr>
              <w:t>-351</w:t>
            </w:r>
          </w:p>
        </w:tc>
        <w:tc>
          <w:tcPr>
            <w:tcW w:w="0" w:type="auto"/>
            <w:vAlign w:val="center"/>
            <w:hideMark/>
          </w:tcPr>
          <w:p w14:paraId="6A9FBA2A" w14:textId="77777777" w:rsidR="00E74747" w:rsidRPr="00D43584" w:rsidRDefault="00E74747" w:rsidP="000D5B7C">
            <w:pPr>
              <w:pStyle w:val="NoSpacing"/>
              <w:jc w:val="center"/>
              <w:rPr>
                <w:rFonts w:ascii="Times New Roman" w:hAnsi="Times New Roman" w:cs="Times New Roman"/>
                <w:szCs w:val="24"/>
              </w:rPr>
            </w:pPr>
            <w:r w:rsidRPr="00D43584">
              <w:rPr>
                <w:rFonts w:ascii="Times New Roman" w:hAnsi="Times New Roman" w:cs="Times New Roman"/>
                <w:szCs w:val="24"/>
              </w:rPr>
              <w:t>-193</w:t>
            </w:r>
          </w:p>
        </w:tc>
        <w:tc>
          <w:tcPr>
            <w:tcW w:w="0" w:type="auto"/>
            <w:vAlign w:val="center"/>
            <w:hideMark/>
          </w:tcPr>
          <w:p w14:paraId="0CB5D872" w14:textId="77777777" w:rsidR="00E74747" w:rsidRPr="00D43584" w:rsidRDefault="00E74747" w:rsidP="000D5B7C">
            <w:pPr>
              <w:pStyle w:val="NoSpacing"/>
              <w:jc w:val="center"/>
              <w:rPr>
                <w:rFonts w:ascii="Times New Roman" w:hAnsi="Times New Roman" w:cs="Times New Roman"/>
                <w:szCs w:val="24"/>
              </w:rPr>
            </w:pPr>
            <w:r w:rsidRPr="00D43584">
              <w:rPr>
                <w:rFonts w:ascii="Times New Roman" w:hAnsi="Times New Roman" w:cs="Times New Roman"/>
                <w:szCs w:val="24"/>
              </w:rPr>
              <w:t>-1904</w:t>
            </w:r>
          </w:p>
        </w:tc>
        <w:tc>
          <w:tcPr>
            <w:tcW w:w="0" w:type="auto"/>
            <w:vAlign w:val="center"/>
            <w:hideMark/>
          </w:tcPr>
          <w:p w14:paraId="373D3234" w14:textId="77777777" w:rsidR="00E74747" w:rsidRPr="00D43584" w:rsidRDefault="00E74747" w:rsidP="000D5B7C">
            <w:pPr>
              <w:pStyle w:val="NoSpacing"/>
              <w:jc w:val="center"/>
              <w:rPr>
                <w:rFonts w:ascii="Times New Roman" w:hAnsi="Times New Roman" w:cs="Times New Roman"/>
                <w:szCs w:val="24"/>
              </w:rPr>
            </w:pPr>
            <w:r w:rsidRPr="00D43584">
              <w:rPr>
                <w:rFonts w:ascii="Times New Roman" w:hAnsi="Times New Roman" w:cs="Times New Roman"/>
                <w:szCs w:val="24"/>
              </w:rPr>
              <w:t>-1963</w:t>
            </w:r>
          </w:p>
        </w:tc>
        <w:tc>
          <w:tcPr>
            <w:tcW w:w="0" w:type="auto"/>
            <w:vAlign w:val="center"/>
            <w:hideMark/>
          </w:tcPr>
          <w:p w14:paraId="41BBD5D9" w14:textId="77777777" w:rsidR="00E74747" w:rsidRPr="00D43584" w:rsidRDefault="00E74747" w:rsidP="000D5B7C">
            <w:pPr>
              <w:pStyle w:val="NoSpacing"/>
              <w:jc w:val="center"/>
              <w:rPr>
                <w:rFonts w:ascii="Times New Roman" w:hAnsi="Times New Roman" w:cs="Times New Roman"/>
                <w:szCs w:val="24"/>
              </w:rPr>
            </w:pPr>
            <w:r w:rsidRPr="00D43584">
              <w:rPr>
                <w:rFonts w:ascii="Times New Roman" w:hAnsi="Times New Roman" w:cs="Times New Roman"/>
                <w:szCs w:val="24"/>
              </w:rPr>
              <w:t>-1140</w:t>
            </w:r>
          </w:p>
        </w:tc>
        <w:tc>
          <w:tcPr>
            <w:tcW w:w="0" w:type="auto"/>
            <w:vAlign w:val="center"/>
            <w:hideMark/>
          </w:tcPr>
          <w:p w14:paraId="5E07C151" w14:textId="77777777" w:rsidR="00E74747" w:rsidRPr="00D43584" w:rsidRDefault="00E74747" w:rsidP="000D5B7C">
            <w:pPr>
              <w:pStyle w:val="NoSpacing"/>
              <w:jc w:val="center"/>
              <w:rPr>
                <w:rFonts w:ascii="Times New Roman" w:hAnsi="Times New Roman" w:cs="Times New Roman"/>
                <w:szCs w:val="24"/>
              </w:rPr>
            </w:pPr>
            <w:r w:rsidRPr="00D43584">
              <w:rPr>
                <w:rFonts w:ascii="Times New Roman" w:hAnsi="Times New Roman" w:cs="Times New Roman"/>
                <w:szCs w:val="24"/>
              </w:rPr>
              <w:t>-1125</w:t>
            </w:r>
          </w:p>
        </w:tc>
        <w:tc>
          <w:tcPr>
            <w:tcW w:w="0" w:type="auto"/>
            <w:vAlign w:val="center"/>
            <w:hideMark/>
          </w:tcPr>
          <w:p w14:paraId="6A90384F" w14:textId="77777777" w:rsidR="00E74747" w:rsidRPr="00D43584" w:rsidRDefault="00E74747" w:rsidP="000D5B7C">
            <w:pPr>
              <w:pStyle w:val="NoSpacing"/>
              <w:jc w:val="center"/>
              <w:rPr>
                <w:rFonts w:ascii="Times New Roman" w:hAnsi="Times New Roman" w:cs="Times New Roman"/>
                <w:szCs w:val="24"/>
              </w:rPr>
            </w:pPr>
            <w:r w:rsidRPr="00D43584">
              <w:rPr>
                <w:rFonts w:ascii="Times New Roman" w:hAnsi="Times New Roman" w:cs="Times New Roman"/>
                <w:szCs w:val="24"/>
              </w:rPr>
              <w:t>-1409</w:t>
            </w:r>
          </w:p>
        </w:tc>
      </w:tr>
      <w:tr w:rsidR="00E74747" w:rsidRPr="00D43584" w14:paraId="4D876B9F" w14:textId="77777777" w:rsidTr="000D5B7C">
        <w:trPr>
          <w:trHeight w:val="397"/>
          <w:jc w:val="center"/>
        </w:trPr>
        <w:tc>
          <w:tcPr>
            <w:tcW w:w="0" w:type="auto"/>
            <w:vAlign w:val="center"/>
            <w:hideMark/>
          </w:tcPr>
          <w:p w14:paraId="0D653E6C" w14:textId="77777777" w:rsidR="00E74747" w:rsidRPr="000D5B7C" w:rsidRDefault="00E74747" w:rsidP="000D5B7C">
            <w:pPr>
              <w:pStyle w:val="NoSpacing"/>
              <w:jc w:val="center"/>
              <w:rPr>
                <w:rFonts w:ascii="Times New Roman" w:hAnsi="Times New Roman" w:cs="Times New Roman"/>
                <w:szCs w:val="24"/>
              </w:rPr>
            </w:pPr>
          </w:p>
        </w:tc>
        <w:tc>
          <w:tcPr>
            <w:tcW w:w="0" w:type="auto"/>
            <w:vAlign w:val="center"/>
            <w:hideMark/>
          </w:tcPr>
          <w:p w14:paraId="0018803E" w14:textId="77777777" w:rsidR="00E74747" w:rsidRPr="000D5B7C" w:rsidRDefault="00E74747" w:rsidP="000D5B7C">
            <w:pPr>
              <w:pStyle w:val="NoSpacing"/>
              <w:jc w:val="center"/>
              <w:rPr>
                <w:rFonts w:ascii="Times New Roman" w:hAnsi="Times New Roman" w:cs="Times New Roman"/>
                <w:szCs w:val="24"/>
              </w:rPr>
            </w:pPr>
            <w:r w:rsidRPr="000D5B7C">
              <w:rPr>
                <w:rFonts w:ascii="Times New Roman" w:hAnsi="Times New Roman" w:cs="Times New Roman"/>
                <w:szCs w:val="24"/>
              </w:rPr>
              <w:t>Capital</w:t>
            </w:r>
          </w:p>
        </w:tc>
        <w:tc>
          <w:tcPr>
            <w:tcW w:w="0" w:type="auto"/>
            <w:vAlign w:val="center"/>
            <w:hideMark/>
          </w:tcPr>
          <w:p w14:paraId="46FC772E" w14:textId="77777777" w:rsidR="00E74747" w:rsidRPr="00D43584" w:rsidRDefault="00E74747" w:rsidP="000D5B7C">
            <w:pPr>
              <w:pStyle w:val="NoSpacing"/>
              <w:jc w:val="center"/>
              <w:rPr>
                <w:rFonts w:ascii="Times New Roman" w:hAnsi="Times New Roman" w:cs="Times New Roman"/>
                <w:szCs w:val="24"/>
              </w:rPr>
            </w:pPr>
            <w:r w:rsidRPr="00D43584">
              <w:rPr>
                <w:rFonts w:ascii="Times New Roman" w:hAnsi="Times New Roman" w:cs="Times New Roman"/>
                <w:szCs w:val="24"/>
              </w:rPr>
              <w:t>+434</w:t>
            </w:r>
          </w:p>
        </w:tc>
        <w:tc>
          <w:tcPr>
            <w:tcW w:w="0" w:type="auto"/>
            <w:vAlign w:val="center"/>
            <w:hideMark/>
          </w:tcPr>
          <w:p w14:paraId="5E750371" w14:textId="77777777" w:rsidR="00E74747" w:rsidRPr="00D43584" w:rsidRDefault="00E74747" w:rsidP="000D5B7C">
            <w:pPr>
              <w:pStyle w:val="NoSpacing"/>
              <w:jc w:val="center"/>
              <w:rPr>
                <w:rFonts w:ascii="Times New Roman" w:hAnsi="Times New Roman" w:cs="Times New Roman"/>
                <w:szCs w:val="24"/>
              </w:rPr>
            </w:pPr>
            <w:r w:rsidRPr="00D43584">
              <w:rPr>
                <w:rFonts w:ascii="Times New Roman" w:hAnsi="Times New Roman" w:cs="Times New Roman"/>
                <w:szCs w:val="24"/>
              </w:rPr>
              <w:t>+414</w:t>
            </w:r>
          </w:p>
        </w:tc>
        <w:tc>
          <w:tcPr>
            <w:tcW w:w="0" w:type="auto"/>
            <w:vAlign w:val="center"/>
            <w:hideMark/>
          </w:tcPr>
          <w:p w14:paraId="4A11E476" w14:textId="77777777" w:rsidR="00E74747" w:rsidRPr="00D43584" w:rsidRDefault="00E74747" w:rsidP="000D5B7C">
            <w:pPr>
              <w:pStyle w:val="NoSpacing"/>
              <w:jc w:val="center"/>
              <w:rPr>
                <w:rFonts w:ascii="Times New Roman" w:hAnsi="Times New Roman" w:cs="Times New Roman"/>
                <w:szCs w:val="24"/>
              </w:rPr>
            </w:pPr>
            <w:r w:rsidRPr="00D43584">
              <w:rPr>
                <w:rFonts w:ascii="Times New Roman" w:hAnsi="Times New Roman" w:cs="Times New Roman"/>
                <w:szCs w:val="24"/>
              </w:rPr>
              <w:t>-279</w:t>
            </w:r>
          </w:p>
        </w:tc>
        <w:tc>
          <w:tcPr>
            <w:tcW w:w="0" w:type="auto"/>
            <w:vAlign w:val="center"/>
            <w:hideMark/>
          </w:tcPr>
          <w:p w14:paraId="2B76579D" w14:textId="77777777" w:rsidR="00E74747" w:rsidRPr="00D43584" w:rsidRDefault="00E74747" w:rsidP="000D5B7C">
            <w:pPr>
              <w:pStyle w:val="NoSpacing"/>
              <w:jc w:val="center"/>
              <w:rPr>
                <w:rFonts w:ascii="Times New Roman" w:hAnsi="Times New Roman" w:cs="Times New Roman"/>
                <w:szCs w:val="24"/>
              </w:rPr>
            </w:pPr>
            <w:r w:rsidRPr="00D43584">
              <w:rPr>
                <w:rFonts w:ascii="Times New Roman" w:hAnsi="Times New Roman" w:cs="Times New Roman"/>
                <w:szCs w:val="24"/>
              </w:rPr>
              <w:t>-114</w:t>
            </w:r>
          </w:p>
        </w:tc>
        <w:tc>
          <w:tcPr>
            <w:tcW w:w="0" w:type="auto"/>
            <w:vAlign w:val="center"/>
            <w:hideMark/>
          </w:tcPr>
          <w:p w14:paraId="760BE638" w14:textId="77777777" w:rsidR="00E74747" w:rsidRPr="00D43584" w:rsidRDefault="00E74747" w:rsidP="000D5B7C">
            <w:pPr>
              <w:pStyle w:val="NoSpacing"/>
              <w:jc w:val="center"/>
              <w:rPr>
                <w:rFonts w:ascii="Times New Roman" w:hAnsi="Times New Roman" w:cs="Times New Roman"/>
                <w:szCs w:val="24"/>
              </w:rPr>
            </w:pPr>
            <w:r w:rsidRPr="00D43584">
              <w:rPr>
                <w:rFonts w:ascii="Times New Roman" w:hAnsi="Times New Roman" w:cs="Times New Roman"/>
                <w:szCs w:val="24"/>
              </w:rPr>
              <w:t>-336</w:t>
            </w:r>
          </w:p>
        </w:tc>
        <w:tc>
          <w:tcPr>
            <w:tcW w:w="0" w:type="auto"/>
            <w:vAlign w:val="center"/>
            <w:hideMark/>
          </w:tcPr>
          <w:p w14:paraId="418BD76C" w14:textId="77777777" w:rsidR="00E74747" w:rsidRPr="00D43584" w:rsidRDefault="00E74747" w:rsidP="000D5B7C">
            <w:pPr>
              <w:pStyle w:val="NoSpacing"/>
              <w:jc w:val="center"/>
              <w:rPr>
                <w:rFonts w:ascii="Times New Roman" w:hAnsi="Times New Roman" w:cs="Times New Roman"/>
                <w:szCs w:val="24"/>
              </w:rPr>
            </w:pPr>
            <w:r w:rsidRPr="00D43584">
              <w:rPr>
                <w:rFonts w:ascii="Times New Roman" w:hAnsi="Times New Roman" w:cs="Times New Roman"/>
                <w:szCs w:val="24"/>
              </w:rPr>
              <w:t>-321</w:t>
            </w:r>
          </w:p>
        </w:tc>
        <w:tc>
          <w:tcPr>
            <w:tcW w:w="0" w:type="auto"/>
            <w:vAlign w:val="center"/>
            <w:hideMark/>
          </w:tcPr>
          <w:p w14:paraId="2CD4256C" w14:textId="77777777" w:rsidR="00E74747" w:rsidRPr="00D43584" w:rsidRDefault="00E74747" w:rsidP="000D5B7C">
            <w:pPr>
              <w:pStyle w:val="NoSpacing"/>
              <w:jc w:val="center"/>
              <w:rPr>
                <w:rFonts w:ascii="Times New Roman" w:hAnsi="Times New Roman" w:cs="Times New Roman"/>
                <w:szCs w:val="24"/>
              </w:rPr>
            </w:pPr>
            <w:r w:rsidRPr="00D43584">
              <w:rPr>
                <w:rFonts w:ascii="Times New Roman" w:hAnsi="Times New Roman" w:cs="Times New Roman"/>
                <w:szCs w:val="24"/>
              </w:rPr>
              <w:t>+1087</w:t>
            </w:r>
          </w:p>
        </w:tc>
        <w:tc>
          <w:tcPr>
            <w:tcW w:w="0" w:type="auto"/>
            <w:vAlign w:val="center"/>
            <w:hideMark/>
          </w:tcPr>
          <w:p w14:paraId="61AC7C3F" w14:textId="77777777" w:rsidR="00E74747" w:rsidRPr="00D43584" w:rsidRDefault="00E74747" w:rsidP="000D5B7C">
            <w:pPr>
              <w:pStyle w:val="NoSpacing"/>
              <w:jc w:val="center"/>
              <w:rPr>
                <w:rFonts w:ascii="Times New Roman" w:hAnsi="Times New Roman" w:cs="Times New Roman"/>
                <w:szCs w:val="24"/>
              </w:rPr>
            </w:pPr>
            <w:r w:rsidRPr="00D43584">
              <w:rPr>
                <w:rFonts w:ascii="Times New Roman" w:hAnsi="Times New Roman" w:cs="Times New Roman"/>
                <w:szCs w:val="24"/>
              </w:rPr>
              <w:t>-582</w:t>
            </w:r>
          </w:p>
        </w:tc>
        <w:tc>
          <w:tcPr>
            <w:tcW w:w="0" w:type="auto"/>
            <w:vAlign w:val="center"/>
            <w:hideMark/>
          </w:tcPr>
          <w:p w14:paraId="312758D3" w14:textId="77777777" w:rsidR="00E74747" w:rsidRPr="00D43584" w:rsidRDefault="00E74747" w:rsidP="000D5B7C">
            <w:pPr>
              <w:pStyle w:val="NoSpacing"/>
              <w:jc w:val="center"/>
              <w:rPr>
                <w:rFonts w:ascii="Times New Roman" w:hAnsi="Times New Roman" w:cs="Times New Roman"/>
                <w:szCs w:val="24"/>
              </w:rPr>
            </w:pPr>
            <w:r w:rsidRPr="00D43584">
              <w:rPr>
                <w:rFonts w:ascii="Times New Roman" w:hAnsi="Times New Roman" w:cs="Times New Roman"/>
                <w:szCs w:val="24"/>
              </w:rPr>
              <w:t>+1346</w:t>
            </w:r>
          </w:p>
        </w:tc>
      </w:tr>
      <w:tr w:rsidR="00E74747" w:rsidRPr="00D43584" w14:paraId="00D8A049" w14:textId="77777777" w:rsidTr="000D5B7C">
        <w:trPr>
          <w:trHeight w:val="397"/>
          <w:jc w:val="center"/>
        </w:trPr>
        <w:tc>
          <w:tcPr>
            <w:tcW w:w="0" w:type="auto"/>
            <w:vAlign w:val="center"/>
            <w:hideMark/>
          </w:tcPr>
          <w:p w14:paraId="5F388BDA" w14:textId="77777777" w:rsidR="00E74747" w:rsidRPr="000D5B7C" w:rsidRDefault="00E74747" w:rsidP="000D5B7C">
            <w:pPr>
              <w:pStyle w:val="NoSpacing"/>
              <w:jc w:val="center"/>
              <w:rPr>
                <w:rFonts w:ascii="Times New Roman" w:hAnsi="Times New Roman" w:cs="Times New Roman"/>
                <w:szCs w:val="24"/>
              </w:rPr>
            </w:pPr>
          </w:p>
        </w:tc>
        <w:tc>
          <w:tcPr>
            <w:tcW w:w="0" w:type="auto"/>
            <w:vAlign w:val="center"/>
            <w:hideMark/>
          </w:tcPr>
          <w:p w14:paraId="175A02EA" w14:textId="77777777" w:rsidR="00E74747" w:rsidRPr="000D5B7C" w:rsidRDefault="00E74747" w:rsidP="000D5B7C">
            <w:pPr>
              <w:pStyle w:val="NoSpacing"/>
              <w:jc w:val="center"/>
              <w:rPr>
                <w:rFonts w:ascii="Times New Roman" w:hAnsi="Times New Roman" w:cs="Times New Roman"/>
                <w:szCs w:val="24"/>
              </w:rPr>
            </w:pPr>
            <w:r w:rsidRPr="000D5B7C">
              <w:rPr>
                <w:rFonts w:ascii="Times New Roman" w:hAnsi="Times New Roman" w:cs="Times New Roman"/>
                <w:szCs w:val="24"/>
              </w:rPr>
              <w:t>Overall</w:t>
            </w:r>
          </w:p>
        </w:tc>
        <w:tc>
          <w:tcPr>
            <w:tcW w:w="0" w:type="auto"/>
            <w:vAlign w:val="center"/>
            <w:hideMark/>
          </w:tcPr>
          <w:p w14:paraId="732E80E1" w14:textId="77777777" w:rsidR="00E74747" w:rsidRPr="00D43584" w:rsidRDefault="00E74747" w:rsidP="000D5B7C">
            <w:pPr>
              <w:pStyle w:val="NoSpacing"/>
              <w:jc w:val="center"/>
              <w:rPr>
                <w:rFonts w:ascii="Times New Roman" w:hAnsi="Times New Roman" w:cs="Times New Roman"/>
                <w:szCs w:val="24"/>
              </w:rPr>
            </w:pPr>
            <w:r w:rsidRPr="00D43584">
              <w:rPr>
                <w:rFonts w:ascii="Times New Roman" w:hAnsi="Times New Roman" w:cs="Times New Roman"/>
                <w:szCs w:val="24"/>
              </w:rPr>
              <w:t>-212</w:t>
            </w:r>
          </w:p>
        </w:tc>
        <w:tc>
          <w:tcPr>
            <w:tcW w:w="0" w:type="auto"/>
            <w:vAlign w:val="center"/>
            <w:hideMark/>
          </w:tcPr>
          <w:p w14:paraId="5A132894" w14:textId="77777777" w:rsidR="00E74747" w:rsidRPr="00D43584" w:rsidRDefault="00E74747" w:rsidP="000D5B7C">
            <w:pPr>
              <w:pStyle w:val="NoSpacing"/>
              <w:jc w:val="center"/>
              <w:rPr>
                <w:rFonts w:ascii="Times New Roman" w:hAnsi="Times New Roman" w:cs="Times New Roman"/>
                <w:szCs w:val="24"/>
              </w:rPr>
            </w:pPr>
            <w:r w:rsidRPr="00D43584">
              <w:rPr>
                <w:rFonts w:ascii="Times New Roman" w:hAnsi="Times New Roman" w:cs="Times New Roman"/>
                <w:szCs w:val="24"/>
              </w:rPr>
              <w:t>+5</w:t>
            </w:r>
          </w:p>
        </w:tc>
        <w:tc>
          <w:tcPr>
            <w:tcW w:w="0" w:type="auto"/>
            <w:vAlign w:val="center"/>
            <w:hideMark/>
          </w:tcPr>
          <w:p w14:paraId="2C08A4E3" w14:textId="77777777" w:rsidR="00E74747" w:rsidRPr="00D43584" w:rsidRDefault="00E74747" w:rsidP="000D5B7C">
            <w:pPr>
              <w:pStyle w:val="NoSpacing"/>
              <w:jc w:val="center"/>
              <w:rPr>
                <w:rFonts w:ascii="Times New Roman" w:hAnsi="Times New Roman" w:cs="Times New Roman"/>
                <w:szCs w:val="24"/>
              </w:rPr>
            </w:pPr>
            <w:r w:rsidRPr="00D43584">
              <w:rPr>
                <w:rFonts w:ascii="Times New Roman" w:hAnsi="Times New Roman" w:cs="Times New Roman"/>
                <w:szCs w:val="24"/>
              </w:rPr>
              <w:t>-630</w:t>
            </w:r>
          </w:p>
        </w:tc>
        <w:tc>
          <w:tcPr>
            <w:tcW w:w="0" w:type="auto"/>
            <w:vAlign w:val="center"/>
            <w:hideMark/>
          </w:tcPr>
          <w:p w14:paraId="62AA5A40" w14:textId="77777777" w:rsidR="00E74747" w:rsidRPr="00D43584" w:rsidRDefault="00E74747" w:rsidP="000D5B7C">
            <w:pPr>
              <w:pStyle w:val="NoSpacing"/>
              <w:jc w:val="center"/>
              <w:rPr>
                <w:rFonts w:ascii="Times New Roman" w:hAnsi="Times New Roman" w:cs="Times New Roman"/>
                <w:szCs w:val="24"/>
              </w:rPr>
            </w:pPr>
            <w:r w:rsidRPr="00D43584">
              <w:rPr>
                <w:rFonts w:ascii="Times New Roman" w:hAnsi="Times New Roman" w:cs="Times New Roman"/>
                <w:szCs w:val="24"/>
              </w:rPr>
              <w:t>-307</w:t>
            </w:r>
          </w:p>
        </w:tc>
        <w:tc>
          <w:tcPr>
            <w:tcW w:w="0" w:type="auto"/>
            <w:vAlign w:val="center"/>
            <w:hideMark/>
          </w:tcPr>
          <w:p w14:paraId="3C553586" w14:textId="77777777" w:rsidR="00E74747" w:rsidRPr="00D43584" w:rsidRDefault="00E74747" w:rsidP="000D5B7C">
            <w:pPr>
              <w:pStyle w:val="NoSpacing"/>
              <w:jc w:val="center"/>
              <w:rPr>
                <w:rFonts w:ascii="Times New Roman" w:hAnsi="Times New Roman" w:cs="Times New Roman"/>
                <w:szCs w:val="24"/>
              </w:rPr>
            </w:pPr>
            <w:r w:rsidRPr="00D43584">
              <w:rPr>
                <w:rFonts w:ascii="Times New Roman" w:hAnsi="Times New Roman" w:cs="Times New Roman"/>
                <w:szCs w:val="24"/>
              </w:rPr>
              <w:t>-2240</w:t>
            </w:r>
          </w:p>
        </w:tc>
        <w:tc>
          <w:tcPr>
            <w:tcW w:w="0" w:type="auto"/>
            <w:vAlign w:val="center"/>
            <w:hideMark/>
          </w:tcPr>
          <w:p w14:paraId="2BF31B37" w14:textId="77777777" w:rsidR="00E74747" w:rsidRPr="00D43584" w:rsidRDefault="00E74747" w:rsidP="000D5B7C">
            <w:pPr>
              <w:pStyle w:val="NoSpacing"/>
              <w:jc w:val="center"/>
              <w:rPr>
                <w:rFonts w:ascii="Times New Roman" w:hAnsi="Times New Roman" w:cs="Times New Roman"/>
                <w:szCs w:val="24"/>
              </w:rPr>
            </w:pPr>
            <w:r w:rsidRPr="00D43584">
              <w:rPr>
                <w:rFonts w:ascii="Times New Roman" w:hAnsi="Times New Roman" w:cs="Times New Roman"/>
                <w:szCs w:val="24"/>
              </w:rPr>
              <w:t>-2284</w:t>
            </w:r>
          </w:p>
        </w:tc>
        <w:tc>
          <w:tcPr>
            <w:tcW w:w="0" w:type="auto"/>
            <w:vAlign w:val="center"/>
            <w:hideMark/>
          </w:tcPr>
          <w:p w14:paraId="2867D60A" w14:textId="77777777" w:rsidR="00E74747" w:rsidRPr="00D43584" w:rsidRDefault="00E74747" w:rsidP="000D5B7C">
            <w:pPr>
              <w:pStyle w:val="NoSpacing"/>
              <w:jc w:val="center"/>
              <w:rPr>
                <w:rFonts w:ascii="Times New Roman" w:hAnsi="Times New Roman" w:cs="Times New Roman"/>
                <w:szCs w:val="24"/>
              </w:rPr>
            </w:pPr>
            <w:r w:rsidRPr="00D43584">
              <w:rPr>
                <w:rFonts w:ascii="Times New Roman" w:hAnsi="Times New Roman" w:cs="Times New Roman"/>
                <w:szCs w:val="24"/>
              </w:rPr>
              <w:t>-53</w:t>
            </w:r>
          </w:p>
        </w:tc>
        <w:tc>
          <w:tcPr>
            <w:tcW w:w="0" w:type="auto"/>
            <w:vAlign w:val="center"/>
            <w:hideMark/>
          </w:tcPr>
          <w:p w14:paraId="328AF4EE" w14:textId="77777777" w:rsidR="00E74747" w:rsidRPr="00D43584" w:rsidRDefault="00E74747" w:rsidP="000D5B7C">
            <w:pPr>
              <w:pStyle w:val="NoSpacing"/>
              <w:jc w:val="center"/>
              <w:rPr>
                <w:rFonts w:ascii="Times New Roman" w:hAnsi="Times New Roman" w:cs="Times New Roman"/>
                <w:szCs w:val="24"/>
              </w:rPr>
            </w:pPr>
            <w:r w:rsidRPr="00D43584">
              <w:rPr>
                <w:rFonts w:ascii="Times New Roman" w:hAnsi="Times New Roman" w:cs="Times New Roman"/>
                <w:szCs w:val="24"/>
              </w:rPr>
              <w:t>-1707</w:t>
            </w:r>
          </w:p>
        </w:tc>
        <w:tc>
          <w:tcPr>
            <w:tcW w:w="0" w:type="auto"/>
            <w:vAlign w:val="center"/>
            <w:hideMark/>
          </w:tcPr>
          <w:p w14:paraId="17E32A40" w14:textId="772A3C4B" w:rsidR="00E74747" w:rsidRPr="00D43584" w:rsidRDefault="00F0435A" w:rsidP="000D5B7C">
            <w:pPr>
              <w:pStyle w:val="NoSpacing"/>
              <w:jc w:val="center"/>
              <w:rPr>
                <w:rFonts w:ascii="Times New Roman" w:hAnsi="Times New Roman" w:cs="Times New Roman"/>
                <w:szCs w:val="24"/>
              </w:rPr>
            </w:pPr>
            <w:r>
              <w:rPr>
                <w:rFonts w:ascii="Times New Roman" w:hAnsi="Times New Roman" w:cs="Times New Roman"/>
                <w:szCs w:val="24"/>
              </w:rPr>
              <w:t>+63</w:t>
            </w:r>
          </w:p>
        </w:tc>
      </w:tr>
      <w:tr w:rsidR="000D5B7C" w:rsidRPr="00D43584" w14:paraId="6561587D" w14:textId="77777777" w:rsidTr="000D5B7C">
        <w:trPr>
          <w:trHeight w:val="397"/>
          <w:jc w:val="center"/>
        </w:trPr>
        <w:tc>
          <w:tcPr>
            <w:tcW w:w="0" w:type="auto"/>
            <w:vAlign w:val="center"/>
            <w:hideMark/>
          </w:tcPr>
          <w:p w14:paraId="1B2CC60C" w14:textId="77777777" w:rsidR="000D5B7C" w:rsidRPr="000D5B7C" w:rsidRDefault="000D5B7C" w:rsidP="000D5B7C">
            <w:pPr>
              <w:pStyle w:val="NoSpacing"/>
              <w:jc w:val="center"/>
              <w:rPr>
                <w:rFonts w:ascii="Times New Roman" w:hAnsi="Times New Roman" w:cs="Times New Roman"/>
                <w:szCs w:val="24"/>
              </w:rPr>
            </w:pPr>
            <w:r w:rsidRPr="000D5B7C">
              <w:rPr>
                <w:rFonts w:ascii="Times New Roman" w:hAnsi="Times New Roman" w:cs="Times New Roman"/>
                <w:szCs w:val="24"/>
              </w:rPr>
              <w:t>Uttar Pradesh</w:t>
            </w:r>
          </w:p>
        </w:tc>
        <w:tc>
          <w:tcPr>
            <w:tcW w:w="0" w:type="auto"/>
            <w:vAlign w:val="center"/>
            <w:hideMark/>
          </w:tcPr>
          <w:p w14:paraId="1FB66D8A" w14:textId="77777777" w:rsidR="000D5B7C" w:rsidRPr="000D5B7C" w:rsidRDefault="000D5B7C" w:rsidP="000D5B7C">
            <w:pPr>
              <w:pStyle w:val="NoSpacing"/>
              <w:jc w:val="center"/>
              <w:rPr>
                <w:rFonts w:ascii="Times New Roman" w:hAnsi="Times New Roman" w:cs="Times New Roman"/>
                <w:szCs w:val="24"/>
              </w:rPr>
            </w:pPr>
            <w:r w:rsidRPr="000D5B7C">
              <w:rPr>
                <w:rFonts w:ascii="Times New Roman" w:hAnsi="Times New Roman" w:cs="Times New Roman"/>
                <w:szCs w:val="24"/>
              </w:rPr>
              <w:t>Revenue</w:t>
            </w:r>
          </w:p>
        </w:tc>
        <w:tc>
          <w:tcPr>
            <w:tcW w:w="0" w:type="auto"/>
            <w:hideMark/>
          </w:tcPr>
          <w:p w14:paraId="3494FCEF" w14:textId="77777777" w:rsidR="000D5B7C" w:rsidRPr="00D43584" w:rsidRDefault="000D5B7C" w:rsidP="00B77C0B">
            <w:pPr>
              <w:pStyle w:val="NoSpacing"/>
              <w:jc w:val="center"/>
              <w:rPr>
                <w:rFonts w:ascii="Times New Roman" w:hAnsi="Times New Roman" w:cs="Times New Roman"/>
                <w:szCs w:val="24"/>
              </w:rPr>
            </w:pPr>
            <w:r w:rsidRPr="00D43584">
              <w:rPr>
                <w:rFonts w:ascii="Times New Roman" w:hAnsi="Times New Roman" w:cs="Times New Roman"/>
                <w:szCs w:val="24"/>
              </w:rPr>
              <w:t>-1491</w:t>
            </w:r>
          </w:p>
        </w:tc>
        <w:tc>
          <w:tcPr>
            <w:tcW w:w="0" w:type="auto"/>
            <w:hideMark/>
          </w:tcPr>
          <w:p w14:paraId="52B82055" w14:textId="77777777" w:rsidR="000D5B7C" w:rsidRPr="00D43584" w:rsidRDefault="000D5B7C" w:rsidP="00B77C0B">
            <w:pPr>
              <w:pStyle w:val="NoSpacing"/>
              <w:jc w:val="center"/>
              <w:rPr>
                <w:rFonts w:ascii="Times New Roman" w:hAnsi="Times New Roman" w:cs="Times New Roman"/>
                <w:szCs w:val="24"/>
              </w:rPr>
            </w:pPr>
            <w:r w:rsidRPr="00D43584">
              <w:rPr>
                <w:rFonts w:ascii="Times New Roman" w:hAnsi="Times New Roman" w:cs="Times New Roman"/>
                <w:szCs w:val="24"/>
              </w:rPr>
              <w:t>..</w:t>
            </w:r>
          </w:p>
        </w:tc>
        <w:tc>
          <w:tcPr>
            <w:tcW w:w="0" w:type="auto"/>
            <w:hideMark/>
          </w:tcPr>
          <w:p w14:paraId="7CBD4FF7" w14:textId="77777777" w:rsidR="000D5B7C" w:rsidRPr="00D43584" w:rsidRDefault="000D5B7C" w:rsidP="00B77C0B">
            <w:pPr>
              <w:pStyle w:val="NoSpacing"/>
              <w:jc w:val="center"/>
              <w:rPr>
                <w:rFonts w:ascii="Times New Roman" w:hAnsi="Times New Roman" w:cs="Times New Roman"/>
                <w:szCs w:val="24"/>
              </w:rPr>
            </w:pPr>
            <w:r w:rsidRPr="00D43584">
              <w:rPr>
                <w:rFonts w:ascii="Times New Roman" w:hAnsi="Times New Roman" w:cs="Times New Roman"/>
                <w:szCs w:val="24"/>
              </w:rPr>
              <w:t>+429</w:t>
            </w:r>
          </w:p>
        </w:tc>
        <w:tc>
          <w:tcPr>
            <w:tcW w:w="0" w:type="auto"/>
            <w:hideMark/>
          </w:tcPr>
          <w:p w14:paraId="05B1B6F0" w14:textId="77777777" w:rsidR="000D5B7C" w:rsidRPr="00D43584" w:rsidRDefault="000D5B7C" w:rsidP="00B77C0B">
            <w:pPr>
              <w:pStyle w:val="NoSpacing"/>
              <w:jc w:val="center"/>
              <w:rPr>
                <w:rFonts w:ascii="Times New Roman" w:hAnsi="Times New Roman" w:cs="Times New Roman"/>
                <w:szCs w:val="24"/>
              </w:rPr>
            </w:pPr>
            <w:r w:rsidRPr="00D43584">
              <w:rPr>
                <w:rFonts w:ascii="Times New Roman" w:hAnsi="Times New Roman" w:cs="Times New Roman"/>
                <w:szCs w:val="24"/>
              </w:rPr>
              <w:t>-31</w:t>
            </w:r>
          </w:p>
        </w:tc>
        <w:tc>
          <w:tcPr>
            <w:tcW w:w="0" w:type="auto"/>
            <w:hideMark/>
          </w:tcPr>
          <w:p w14:paraId="0DC3C093" w14:textId="77777777" w:rsidR="000D5B7C" w:rsidRPr="00D43584" w:rsidRDefault="000D5B7C" w:rsidP="00B77C0B">
            <w:pPr>
              <w:pStyle w:val="NoSpacing"/>
              <w:jc w:val="center"/>
              <w:rPr>
                <w:rFonts w:ascii="Times New Roman" w:hAnsi="Times New Roman" w:cs="Times New Roman"/>
                <w:szCs w:val="24"/>
              </w:rPr>
            </w:pPr>
            <w:r w:rsidRPr="00D43584">
              <w:rPr>
                <w:rFonts w:ascii="Times New Roman" w:hAnsi="Times New Roman" w:cs="Times New Roman"/>
                <w:szCs w:val="24"/>
              </w:rPr>
              <w:t>..</w:t>
            </w:r>
          </w:p>
        </w:tc>
        <w:tc>
          <w:tcPr>
            <w:tcW w:w="0" w:type="auto"/>
            <w:hideMark/>
          </w:tcPr>
          <w:p w14:paraId="29BF8166" w14:textId="77777777" w:rsidR="000D5B7C" w:rsidRPr="00D43584" w:rsidRDefault="000D5B7C" w:rsidP="00B77C0B">
            <w:pPr>
              <w:pStyle w:val="NoSpacing"/>
              <w:jc w:val="center"/>
              <w:rPr>
                <w:rFonts w:ascii="Times New Roman" w:hAnsi="Times New Roman" w:cs="Times New Roman"/>
                <w:szCs w:val="24"/>
              </w:rPr>
            </w:pPr>
            <w:r w:rsidRPr="00D43584">
              <w:rPr>
                <w:rFonts w:ascii="Times New Roman" w:hAnsi="Times New Roman" w:cs="Times New Roman"/>
                <w:szCs w:val="24"/>
              </w:rPr>
              <w:t>+379</w:t>
            </w:r>
          </w:p>
        </w:tc>
        <w:tc>
          <w:tcPr>
            <w:tcW w:w="0" w:type="auto"/>
            <w:hideMark/>
          </w:tcPr>
          <w:p w14:paraId="32D3F029" w14:textId="77777777" w:rsidR="000D5B7C" w:rsidRPr="00D43584" w:rsidRDefault="000D5B7C" w:rsidP="00B77C0B">
            <w:pPr>
              <w:pStyle w:val="NoSpacing"/>
              <w:jc w:val="center"/>
              <w:rPr>
                <w:rFonts w:ascii="Times New Roman" w:hAnsi="Times New Roman" w:cs="Times New Roman"/>
                <w:szCs w:val="24"/>
              </w:rPr>
            </w:pPr>
            <w:r w:rsidRPr="00D43584">
              <w:rPr>
                <w:rFonts w:ascii="Times New Roman" w:hAnsi="Times New Roman" w:cs="Times New Roman"/>
                <w:szCs w:val="24"/>
              </w:rPr>
              <w:t>+55</w:t>
            </w:r>
          </w:p>
        </w:tc>
        <w:tc>
          <w:tcPr>
            <w:tcW w:w="0" w:type="auto"/>
            <w:hideMark/>
          </w:tcPr>
          <w:p w14:paraId="07B12107" w14:textId="77777777" w:rsidR="000D5B7C" w:rsidRPr="00D43584" w:rsidRDefault="000D5B7C" w:rsidP="00B77C0B">
            <w:pPr>
              <w:pStyle w:val="NoSpacing"/>
              <w:jc w:val="center"/>
              <w:rPr>
                <w:rFonts w:ascii="Times New Roman" w:hAnsi="Times New Roman" w:cs="Times New Roman"/>
                <w:szCs w:val="24"/>
              </w:rPr>
            </w:pPr>
            <w:r w:rsidRPr="00D43584">
              <w:rPr>
                <w:rFonts w:ascii="Times New Roman" w:hAnsi="Times New Roman" w:cs="Times New Roman"/>
                <w:szCs w:val="24"/>
              </w:rPr>
              <w:t>+104</w:t>
            </w:r>
          </w:p>
        </w:tc>
        <w:tc>
          <w:tcPr>
            <w:tcW w:w="0" w:type="auto"/>
            <w:hideMark/>
          </w:tcPr>
          <w:p w14:paraId="314CABA3" w14:textId="77777777" w:rsidR="000D5B7C" w:rsidRPr="00D43584" w:rsidRDefault="000D5B7C" w:rsidP="00B77C0B">
            <w:pPr>
              <w:pStyle w:val="NoSpacing"/>
              <w:jc w:val="center"/>
              <w:rPr>
                <w:rFonts w:ascii="Times New Roman" w:hAnsi="Times New Roman" w:cs="Times New Roman"/>
                <w:szCs w:val="24"/>
              </w:rPr>
            </w:pPr>
            <w:r w:rsidRPr="00D43584">
              <w:rPr>
                <w:rFonts w:ascii="Times New Roman" w:hAnsi="Times New Roman" w:cs="Times New Roman"/>
                <w:szCs w:val="24"/>
              </w:rPr>
              <w:t>+77</w:t>
            </w:r>
          </w:p>
        </w:tc>
      </w:tr>
      <w:tr w:rsidR="000D5B7C" w:rsidRPr="00D43584" w14:paraId="68C08682" w14:textId="77777777" w:rsidTr="000D5B7C">
        <w:trPr>
          <w:trHeight w:val="397"/>
          <w:jc w:val="center"/>
        </w:trPr>
        <w:tc>
          <w:tcPr>
            <w:tcW w:w="0" w:type="auto"/>
            <w:vAlign w:val="center"/>
            <w:hideMark/>
          </w:tcPr>
          <w:p w14:paraId="628CB02A" w14:textId="77777777" w:rsidR="000D5B7C" w:rsidRPr="000D5B7C" w:rsidRDefault="000D5B7C" w:rsidP="000D5B7C">
            <w:pPr>
              <w:pStyle w:val="NoSpacing"/>
              <w:jc w:val="center"/>
              <w:rPr>
                <w:rFonts w:ascii="Times New Roman" w:hAnsi="Times New Roman" w:cs="Times New Roman"/>
                <w:szCs w:val="24"/>
              </w:rPr>
            </w:pPr>
          </w:p>
        </w:tc>
        <w:tc>
          <w:tcPr>
            <w:tcW w:w="0" w:type="auto"/>
            <w:vAlign w:val="center"/>
            <w:hideMark/>
          </w:tcPr>
          <w:p w14:paraId="4A4F25A8" w14:textId="77777777" w:rsidR="000D5B7C" w:rsidRPr="000D5B7C" w:rsidRDefault="000D5B7C" w:rsidP="000D5B7C">
            <w:pPr>
              <w:pStyle w:val="NoSpacing"/>
              <w:jc w:val="center"/>
              <w:rPr>
                <w:rFonts w:ascii="Times New Roman" w:hAnsi="Times New Roman" w:cs="Times New Roman"/>
                <w:szCs w:val="24"/>
              </w:rPr>
            </w:pPr>
            <w:r w:rsidRPr="000D5B7C">
              <w:rPr>
                <w:rFonts w:ascii="Times New Roman" w:hAnsi="Times New Roman" w:cs="Times New Roman"/>
                <w:szCs w:val="24"/>
              </w:rPr>
              <w:t>Capital</w:t>
            </w:r>
          </w:p>
        </w:tc>
        <w:tc>
          <w:tcPr>
            <w:tcW w:w="0" w:type="auto"/>
            <w:hideMark/>
          </w:tcPr>
          <w:p w14:paraId="5964752C" w14:textId="77777777" w:rsidR="000D5B7C" w:rsidRPr="00D43584" w:rsidRDefault="000D5B7C" w:rsidP="00B77C0B">
            <w:pPr>
              <w:pStyle w:val="NoSpacing"/>
              <w:jc w:val="center"/>
              <w:rPr>
                <w:rFonts w:ascii="Times New Roman" w:hAnsi="Times New Roman" w:cs="Times New Roman"/>
                <w:szCs w:val="24"/>
              </w:rPr>
            </w:pPr>
            <w:r w:rsidRPr="00D43584">
              <w:rPr>
                <w:rFonts w:ascii="Times New Roman" w:hAnsi="Times New Roman" w:cs="Times New Roman"/>
                <w:szCs w:val="24"/>
              </w:rPr>
              <w:t>+1481</w:t>
            </w:r>
          </w:p>
        </w:tc>
        <w:tc>
          <w:tcPr>
            <w:tcW w:w="0" w:type="auto"/>
            <w:hideMark/>
          </w:tcPr>
          <w:p w14:paraId="7DEFFC56" w14:textId="77777777" w:rsidR="000D5B7C" w:rsidRPr="00D43584" w:rsidRDefault="000D5B7C" w:rsidP="00B77C0B">
            <w:pPr>
              <w:pStyle w:val="NoSpacing"/>
              <w:jc w:val="center"/>
              <w:rPr>
                <w:rFonts w:ascii="Times New Roman" w:hAnsi="Times New Roman" w:cs="Times New Roman"/>
                <w:szCs w:val="24"/>
              </w:rPr>
            </w:pPr>
            <w:r w:rsidRPr="00D43584">
              <w:rPr>
                <w:rFonts w:ascii="Times New Roman" w:hAnsi="Times New Roman" w:cs="Times New Roman"/>
                <w:szCs w:val="24"/>
              </w:rPr>
              <w:t>-377</w:t>
            </w:r>
          </w:p>
        </w:tc>
        <w:tc>
          <w:tcPr>
            <w:tcW w:w="0" w:type="auto"/>
            <w:hideMark/>
          </w:tcPr>
          <w:p w14:paraId="7AB069E6" w14:textId="77777777" w:rsidR="000D5B7C" w:rsidRPr="00D43584" w:rsidRDefault="000D5B7C" w:rsidP="00B77C0B">
            <w:pPr>
              <w:pStyle w:val="NoSpacing"/>
              <w:jc w:val="center"/>
              <w:rPr>
                <w:rFonts w:ascii="Times New Roman" w:hAnsi="Times New Roman" w:cs="Times New Roman"/>
                <w:szCs w:val="24"/>
              </w:rPr>
            </w:pPr>
            <w:r w:rsidRPr="00D43584">
              <w:rPr>
                <w:rFonts w:ascii="Times New Roman" w:hAnsi="Times New Roman" w:cs="Times New Roman"/>
                <w:szCs w:val="24"/>
              </w:rPr>
              <w:t>+160</w:t>
            </w:r>
          </w:p>
        </w:tc>
        <w:tc>
          <w:tcPr>
            <w:tcW w:w="0" w:type="auto"/>
            <w:hideMark/>
          </w:tcPr>
          <w:p w14:paraId="5CDB83BB" w14:textId="77777777" w:rsidR="000D5B7C" w:rsidRPr="00D43584" w:rsidRDefault="000D5B7C" w:rsidP="00B77C0B">
            <w:pPr>
              <w:pStyle w:val="NoSpacing"/>
              <w:jc w:val="center"/>
              <w:rPr>
                <w:rFonts w:ascii="Times New Roman" w:hAnsi="Times New Roman" w:cs="Times New Roman"/>
                <w:szCs w:val="24"/>
              </w:rPr>
            </w:pPr>
            <w:r w:rsidRPr="00D43584">
              <w:rPr>
                <w:rFonts w:ascii="Times New Roman" w:hAnsi="Times New Roman" w:cs="Times New Roman"/>
                <w:szCs w:val="24"/>
              </w:rPr>
              <w:t>+50</w:t>
            </w:r>
          </w:p>
        </w:tc>
        <w:tc>
          <w:tcPr>
            <w:tcW w:w="0" w:type="auto"/>
            <w:hideMark/>
          </w:tcPr>
          <w:p w14:paraId="6C597B6A" w14:textId="77777777" w:rsidR="000D5B7C" w:rsidRPr="00D43584" w:rsidRDefault="000D5B7C" w:rsidP="00B77C0B">
            <w:pPr>
              <w:pStyle w:val="NoSpacing"/>
              <w:jc w:val="center"/>
              <w:rPr>
                <w:rFonts w:ascii="Times New Roman" w:hAnsi="Times New Roman" w:cs="Times New Roman"/>
                <w:szCs w:val="24"/>
              </w:rPr>
            </w:pPr>
            <w:r w:rsidRPr="00D43584">
              <w:rPr>
                <w:rFonts w:ascii="Times New Roman" w:hAnsi="Times New Roman" w:cs="Times New Roman"/>
                <w:szCs w:val="24"/>
              </w:rPr>
              <w:t>-937</w:t>
            </w:r>
          </w:p>
        </w:tc>
        <w:tc>
          <w:tcPr>
            <w:tcW w:w="0" w:type="auto"/>
            <w:hideMark/>
          </w:tcPr>
          <w:p w14:paraId="3FE09395" w14:textId="77777777" w:rsidR="000D5B7C" w:rsidRPr="00D43584" w:rsidRDefault="000D5B7C" w:rsidP="00B77C0B">
            <w:pPr>
              <w:pStyle w:val="NoSpacing"/>
              <w:jc w:val="center"/>
              <w:rPr>
                <w:rFonts w:ascii="Times New Roman" w:hAnsi="Times New Roman" w:cs="Times New Roman"/>
                <w:szCs w:val="24"/>
              </w:rPr>
            </w:pPr>
            <w:r w:rsidRPr="00D43584">
              <w:rPr>
                <w:rFonts w:ascii="Times New Roman" w:hAnsi="Times New Roman" w:cs="Times New Roman"/>
                <w:szCs w:val="24"/>
              </w:rPr>
              <w:t>-322</w:t>
            </w:r>
          </w:p>
        </w:tc>
        <w:tc>
          <w:tcPr>
            <w:tcW w:w="0" w:type="auto"/>
            <w:hideMark/>
          </w:tcPr>
          <w:p w14:paraId="258AA18F" w14:textId="77777777" w:rsidR="000D5B7C" w:rsidRPr="00D43584" w:rsidRDefault="000D5B7C" w:rsidP="00B77C0B">
            <w:pPr>
              <w:pStyle w:val="NoSpacing"/>
              <w:jc w:val="center"/>
              <w:rPr>
                <w:rFonts w:ascii="Times New Roman" w:hAnsi="Times New Roman" w:cs="Times New Roman"/>
                <w:szCs w:val="24"/>
              </w:rPr>
            </w:pPr>
            <w:r w:rsidRPr="00D43584">
              <w:rPr>
                <w:rFonts w:ascii="Times New Roman" w:hAnsi="Times New Roman" w:cs="Times New Roman"/>
                <w:szCs w:val="24"/>
              </w:rPr>
              <w:t>-55</w:t>
            </w:r>
          </w:p>
        </w:tc>
        <w:tc>
          <w:tcPr>
            <w:tcW w:w="0" w:type="auto"/>
            <w:hideMark/>
          </w:tcPr>
          <w:p w14:paraId="5264AA0A" w14:textId="77777777" w:rsidR="000D5B7C" w:rsidRPr="00D43584" w:rsidRDefault="000D5B7C" w:rsidP="00B77C0B">
            <w:pPr>
              <w:pStyle w:val="NoSpacing"/>
              <w:jc w:val="center"/>
              <w:rPr>
                <w:rFonts w:ascii="Times New Roman" w:hAnsi="Times New Roman" w:cs="Times New Roman"/>
                <w:szCs w:val="24"/>
              </w:rPr>
            </w:pPr>
            <w:r w:rsidRPr="00D43584">
              <w:rPr>
                <w:rFonts w:ascii="Times New Roman" w:hAnsi="Times New Roman" w:cs="Times New Roman"/>
                <w:szCs w:val="24"/>
              </w:rPr>
              <w:t>-1068</w:t>
            </w:r>
          </w:p>
        </w:tc>
        <w:tc>
          <w:tcPr>
            <w:tcW w:w="0" w:type="auto"/>
            <w:hideMark/>
          </w:tcPr>
          <w:p w14:paraId="7ADC1939" w14:textId="77777777" w:rsidR="000D5B7C" w:rsidRPr="00D43584" w:rsidRDefault="000D5B7C" w:rsidP="00B77C0B">
            <w:pPr>
              <w:pStyle w:val="NoSpacing"/>
              <w:jc w:val="center"/>
              <w:rPr>
                <w:rFonts w:ascii="Times New Roman" w:hAnsi="Times New Roman" w:cs="Times New Roman"/>
                <w:szCs w:val="24"/>
              </w:rPr>
            </w:pPr>
            <w:r w:rsidRPr="00D43584">
              <w:rPr>
                <w:rFonts w:ascii="Times New Roman" w:hAnsi="Times New Roman" w:cs="Times New Roman"/>
                <w:szCs w:val="24"/>
              </w:rPr>
              <w:t>-73</w:t>
            </w:r>
          </w:p>
        </w:tc>
      </w:tr>
      <w:tr w:rsidR="000D5B7C" w:rsidRPr="00D43584" w14:paraId="4338C613" w14:textId="77777777" w:rsidTr="000D5B7C">
        <w:trPr>
          <w:trHeight w:val="397"/>
          <w:jc w:val="center"/>
        </w:trPr>
        <w:tc>
          <w:tcPr>
            <w:tcW w:w="0" w:type="auto"/>
            <w:vAlign w:val="center"/>
            <w:hideMark/>
          </w:tcPr>
          <w:p w14:paraId="3CF50B29" w14:textId="77777777" w:rsidR="000D5B7C" w:rsidRPr="000D5B7C" w:rsidRDefault="000D5B7C" w:rsidP="000D5B7C">
            <w:pPr>
              <w:pStyle w:val="NoSpacing"/>
              <w:jc w:val="center"/>
              <w:rPr>
                <w:rFonts w:ascii="Times New Roman" w:hAnsi="Times New Roman" w:cs="Times New Roman"/>
                <w:szCs w:val="24"/>
              </w:rPr>
            </w:pPr>
          </w:p>
        </w:tc>
        <w:tc>
          <w:tcPr>
            <w:tcW w:w="0" w:type="auto"/>
            <w:vAlign w:val="center"/>
            <w:hideMark/>
          </w:tcPr>
          <w:p w14:paraId="1FB9E6E2" w14:textId="77777777" w:rsidR="000D5B7C" w:rsidRPr="000D5B7C" w:rsidRDefault="000D5B7C" w:rsidP="000D5B7C">
            <w:pPr>
              <w:pStyle w:val="NoSpacing"/>
              <w:jc w:val="center"/>
              <w:rPr>
                <w:rFonts w:ascii="Times New Roman" w:hAnsi="Times New Roman" w:cs="Times New Roman"/>
                <w:szCs w:val="24"/>
              </w:rPr>
            </w:pPr>
            <w:r w:rsidRPr="000D5B7C">
              <w:rPr>
                <w:rFonts w:ascii="Times New Roman" w:hAnsi="Times New Roman" w:cs="Times New Roman"/>
                <w:szCs w:val="24"/>
              </w:rPr>
              <w:t>Overall</w:t>
            </w:r>
          </w:p>
        </w:tc>
        <w:tc>
          <w:tcPr>
            <w:tcW w:w="0" w:type="auto"/>
            <w:hideMark/>
          </w:tcPr>
          <w:p w14:paraId="39DB2E6A" w14:textId="77777777" w:rsidR="000D5B7C" w:rsidRPr="00D43584" w:rsidRDefault="000D5B7C" w:rsidP="00B77C0B">
            <w:pPr>
              <w:pStyle w:val="NoSpacing"/>
              <w:jc w:val="center"/>
              <w:rPr>
                <w:rFonts w:ascii="Times New Roman" w:hAnsi="Times New Roman" w:cs="Times New Roman"/>
                <w:szCs w:val="24"/>
              </w:rPr>
            </w:pPr>
            <w:r w:rsidRPr="00D43584">
              <w:rPr>
                <w:rFonts w:ascii="Times New Roman" w:hAnsi="Times New Roman" w:cs="Times New Roman"/>
                <w:szCs w:val="24"/>
              </w:rPr>
              <w:t>-10</w:t>
            </w:r>
          </w:p>
        </w:tc>
        <w:tc>
          <w:tcPr>
            <w:tcW w:w="0" w:type="auto"/>
            <w:hideMark/>
          </w:tcPr>
          <w:p w14:paraId="289068D5" w14:textId="77777777" w:rsidR="000D5B7C" w:rsidRPr="00D43584" w:rsidRDefault="000D5B7C" w:rsidP="00B77C0B">
            <w:pPr>
              <w:pStyle w:val="NoSpacing"/>
              <w:jc w:val="center"/>
              <w:rPr>
                <w:rFonts w:ascii="Times New Roman" w:hAnsi="Times New Roman" w:cs="Times New Roman"/>
                <w:szCs w:val="24"/>
              </w:rPr>
            </w:pPr>
            <w:r w:rsidRPr="00D43584">
              <w:rPr>
                <w:rFonts w:ascii="Times New Roman" w:hAnsi="Times New Roman" w:cs="Times New Roman"/>
                <w:szCs w:val="24"/>
              </w:rPr>
              <w:t>-377</w:t>
            </w:r>
          </w:p>
        </w:tc>
        <w:tc>
          <w:tcPr>
            <w:tcW w:w="0" w:type="auto"/>
            <w:hideMark/>
          </w:tcPr>
          <w:p w14:paraId="4712826E" w14:textId="77777777" w:rsidR="000D5B7C" w:rsidRPr="00D43584" w:rsidRDefault="000D5B7C" w:rsidP="00B77C0B">
            <w:pPr>
              <w:pStyle w:val="NoSpacing"/>
              <w:jc w:val="center"/>
              <w:rPr>
                <w:rFonts w:ascii="Times New Roman" w:hAnsi="Times New Roman" w:cs="Times New Roman"/>
                <w:szCs w:val="24"/>
              </w:rPr>
            </w:pPr>
            <w:r w:rsidRPr="00D43584">
              <w:rPr>
                <w:rFonts w:ascii="Times New Roman" w:hAnsi="Times New Roman" w:cs="Times New Roman"/>
                <w:szCs w:val="24"/>
              </w:rPr>
              <w:t>+589</w:t>
            </w:r>
          </w:p>
        </w:tc>
        <w:tc>
          <w:tcPr>
            <w:tcW w:w="0" w:type="auto"/>
            <w:hideMark/>
          </w:tcPr>
          <w:p w14:paraId="2C2281A4" w14:textId="77777777" w:rsidR="000D5B7C" w:rsidRPr="00D43584" w:rsidRDefault="000D5B7C" w:rsidP="00B77C0B">
            <w:pPr>
              <w:pStyle w:val="NoSpacing"/>
              <w:jc w:val="center"/>
              <w:rPr>
                <w:rFonts w:ascii="Times New Roman" w:hAnsi="Times New Roman" w:cs="Times New Roman"/>
                <w:szCs w:val="24"/>
              </w:rPr>
            </w:pPr>
            <w:r w:rsidRPr="00D43584">
              <w:rPr>
                <w:rFonts w:ascii="Times New Roman" w:hAnsi="Times New Roman" w:cs="Times New Roman"/>
                <w:szCs w:val="24"/>
              </w:rPr>
              <w:t>+19</w:t>
            </w:r>
          </w:p>
        </w:tc>
        <w:tc>
          <w:tcPr>
            <w:tcW w:w="0" w:type="auto"/>
            <w:hideMark/>
          </w:tcPr>
          <w:p w14:paraId="42D43596" w14:textId="77777777" w:rsidR="000D5B7C" w:rsidRPr="00D43584" w:rsidRDefault="000D5B7C" w:rsidP="00B77C0B">
            <w:pPr>
              <w:pStyle w:val="NoSpacing"/>
              <w:jc w:val="center"/>
              <w:rPr>
                <w:rFonts w:ascii="Times New Roman" w:hAnsi="Times New Roman" w:cs="Times New Roman"/>
                <w:szCs w:val="24"/>
              </w:rPr>
            </w:pPr>
            <w:r w:rsidRPr="00D43584">
              <w:rPr>
                <w:rFonts w:ascii="Times New Roman" w:hAnsi="Times New Roman" w:cs="Times New Roman"/>
                <w:szCs w:val="24"/>
              </w:rPr>
              <w:t>-937</w:t>
            </w:r>
          </w:p>
        </w:tc>
        <w:tc>
          <w:tcPr>
            <w:tcW w:w="0" w:type="auto"/>
            <w:hideMark/>
          </w:tcPr>
          <w:p w14:paraId="6218A07E" w14:textId="77777777" w:rsidR="000D5B7C" w:rsidRPr="00D43584" w:rsidRDefault="000D5B7C" w:rsidP="00B77C0B">
            <w:pPr>
              <w:pStyle w:val="NoSpacing"/>
              <w:jc w:val="center"/>
              <w:rPr>
                <w:rFonts w:ascii="Times New Roman" w:hAnsi="Times New Roman" w:cs="Times New Roman"/>
                <w:szCs w:val="24"/>
              </w:rPr>
            </w:pPr>
            <w:r w:rsidRPr="00D43584">
              <w:rPr>
                <w:rFonts w:ascii="Times New Roman" w:hAnsi="Times New Roman" w:cs="Times New Roman"/>
                <w:szCs w:val="24"/>
              </w:rPr>
              <w:t>+57</w:t>
            </w:r>
          </w:p>
        </w:tc>
        <w:tc>
          <w:tcPr>
            <w:tcW w:w="0" w:type="auto"/>
            <w:hideMark/>
          </w:tcPr>
          <w:p w14:paraId="65D1FC47" w14:textId="77777777" w:rsidR="000D5B7C" w:rsidRPr="00D43584" w:rsidRDefault="000D5B7C" w:rsidP="00B77C0B">
            <w:pPr>
              <w:pStyle w:val="NoSpacing"/>
              <w:jc w:val="center"/>
              <w:rPr>
                <w:rFonts w:ascii="Times New Roman" w:hAnsi="Times New Roman" w:cs="Times New Roman"/>
                <w:szCs w:val="24"/>
              </w:rPr>
            </w:pPr>
            <w:r w:rsidRPr="00D43584">
              <w:rPr>
                <w:rFonts w:ascii="Times New Roman" w:hAnsi="Times New Roman" w:cs="Times New Roman"/>
                <w:szCs w:val="24"/>
              </w:rPr>
              <w:t>..</w:t>
            </w:r>
          </w:p>
        </w:tc>
        <w:tc>
          <w:tcPr>
            <w:tcW w:w="0" w:type="auto"/>
            <w:hideMark/>
          </w:tcPr>
          <w:p w14:paraId="43C82F52" w14:textId="77777777" w:rsidR="000D5B7C" w:rsidRPr="00D43584" w:rsidRDefault="000D5B7C" w:rsidP="00B77C0B">
            <w:pPr>
              <w:pStyle w:val="NoSpacing"/>
              <w:jc w:val="center"/>
              <w:rPr>
                <w:rFonts w:ascii="Times New Roman" w:hAnsi="Times New Roman" w:cs="Times New Roman"/>
                <w:szCs w:val="24"/>
              </w:rPr>
            </w:pPr>
            <w:r w:rsidRPr="00D43584">
              <w:rPr>
                <w:rFonts w:ascii="Times New Roman" w:hAnsi="Times New Roman" w:cs="Times New Roman"/>
                <w:szCs w:val="24"/>
              </w:rPr>
              <w:t>-964</w:t>
            </w:r>
          </w:p>
        </w:tc>
        <w:tc>
          <w:tcPr>
            <w:tcW w:w="0" w:type="auto"/>
            <w:hideMark/>
          </w:tcPr>
          <w:p w14:paraId="71CC3C78" w14:textId="77777777" w:rsidR="000D5B7C" w:rsidRPr="00D43584" w:rsidRDefault="000D5B7C" w:rsidP="00B77C0B">
            <w:pPr>
              <w:pStyle w:val="NoSpacing"/>
              <w:jc w:val="center"/>
              <w:rPr>
                <w:rFonts w:ascii="Times New Roman" w:hAnsi="Times New Roman" w:cs="Times New Roman"/>
                <w:szCs w:val="24"/>
              </w:rPr>
            </w:pPr>
            <w:r w:rsidRPr="00D43584">
              <w:rPr>
                <w:rFonts w:ascii="Times New Roman" w:hAnsi="Times New Roman" w:cs="Times New Roman"/>
                <w:szCs w:val="24"/>
              </w:rPr>
              <w:t>+4</w:t>
            </w:r>
          </w:p>
        </w:tc>
      </w:tr>
      <w:tr w:rsidR="000D5B7C" w:rsidRPr="00D43584" w14:paraId="4A0CB43B" w14:textId="77777777" w:rsidTr="000D5B7C">
        <w:trPr>
          <w:trHeight w:val="397"/>
          <w:jc w:val="center"/>
        </w:trPr>
        <w:tc>
          <w:tcPr>
            <w:tcW w:w="0" w:type="auto"/>
            <w:vAlign w:val="center"/>
            <w:hideMark/>
          </w:tcPr>
          <w:p w14:paraId="741391C1" w14:textId="77777777" w:rsidR="000D5B7C" w:rsidRPr="000D5B7C" w:rsidRDefault="000D5B7C" w:rsidP="000D5B7C">
            <w:pPr>
              <w:pStyle w:val="NoSpacing"/>
              <w:jc w:val="center"/>
              <w:rPr>
                <w:rFonts w:ascii="Times New Roman" w:hAnsi="Times New Roman" w:cs="Times New Roman"/>
                <w:szCs w:val="24"/>
              </w:rPr>
            </w:pPr>
            <w:r w:rsidRPr="000D5B7C">
              <w:rPr>
                <w:rFonts w:ascii="Times New Roman" w:hAnsi="Times New Roman" w:cs="Times New Roman"/>
                <w:szCs w:val="24"/>
              </w:rPr>
              <w:t>West Bengal</w:t>
            </w:r>
          </w:p>
        </w:tc>
        <w:tc>
          <w:tcPr>
            <w:tcW w:w="0" w:type="auto"/>
            <w:vAlign w:val="center"/>
            <w:hideMark/>
          </w:tcPr>
          <w:p w14:paraId="2DCB8490" w14:textId="77777777" w:rsidR="000D5B7C" w:rsidRPr="000D5B7C" w:rsidRDefault="000D5B7C" w:rsidP="000D5B7C">
            <w:pPr>
              <w:pStyle w:val="NoSpacing"/>
              <w:jc w:val="center"/>
              <w:rPr>
                <w:rFonts w:ascii="Times New Roman" w:hAnsi="Times New Roman" w:cs="Times New Roman"/>
                <w:szCs w:val="24"/>
              </w:rPr>
            </w:pPr>
            <w:r w:rsidRPr="000D5B7C">
              <w:rPr>
                <w:rFonts w:ascii="Times New Roman" w:hAnsi="Times New Roman" w:cs="Times New Roman"/>
                <w:szCs w:val="24"/>
              </w:rPr>
              <w:t>Revenue</w:t>
            </w:r>
          </w:p>
        </w:tc>
        <w:tc>
          <w:tcPr>
            <w:tcW w:w="0" w:type="auto"/>
            <w:hideMark/>
          </w:tcPr>
          <w:p w14:paraId="73A94E11" w14:textId="77777777" w:rsidR="000D5B7C" w:rsidRPr="00D43584" w:rsidRDefault="000D5B7C" w:rsidP="00B77C0B">
            <w:pPr>
              <w:pStyle w:val="NoSpacing"/>
              <w:jc w:val="center"/>
              <w:rPr>
                <w:rFonts w:ascii="Times New Roman" w:hAnsi="Times New Roman" w:cs="Times New Roman"/>
                <w:szCs w:val="24"/>
              </w:rPr>
            </w:pPr>
            <w:r w:rsidRPr="00D43584">
              <w:rPr>
                <w:rFonts w:ascii="Times New Roman" w:hAnsi="Times New Roman" w:cs="Times New Roman"/>
                <w:szCs w:val="24"/>
              </w:rPr>
              <w:t>-1783</w:t>
            </w:r>
          </w:p>
        </w:tc>
        <w:tc>
          <w:tcPr>
            <w:tcW w:w="0" w:type="auto"/>
            <w:hideMark/>
          </w:tcPr>
          <w:p w14:paraId="4124E680" w14:textId="77777777" w:rsidR="000D5B7C" w:rsidRPr="00D43584" w:rsidRDefault="000D5B7C" w:rsidP="00B77C0B">
            <w:pPr>
              <w:pStyle w:val="NoSpacing"/>
              <w:jc w:val="center"/>
              <w:rPr>
                <w:rFonts w:ascii="Times New Roman" w:hAnsi="Times New Roman" w:cs="Times New Roman"/>
                <w:szCs w:val="24"/>
              </w:rPr>
            </w:pPr>
            <w:r w:rsidRPr="00D43584">
              <w:rPr>
                <w:rFonts w:ascii="Times New Roman" w:hAnsi="Times New Roman" w:cs="Times New Roman"/>
                <w:szCs w:val="24"/>
              </w:rPr>
              <w:t>-431</w:t>
            </w:r>
          </w:p>
        </w:tc>
        <w:tc>
          <w:tcPr>
            <w:tcW w:w="0" w:type="auto"/>
            <w:hideMark/>
          </w:tcPr>
          <w:p w14:paraId="3FAB8DF3" w14:textId="77777777" w:rsidR="000D5B7C" w:rsidRPr="00D43584" w:rsidRDefault="000D5B7C" w:rsidP="00B77C0B">
            <w:pPr>
              <w:pStyle w:val="NoSpacing"/>
              <w:jc w:val="center"/>
              <w:rPr>
                <w:rFonts w:ascii="Times New Roman" w:hAnsi="Times New Roman" w:cs="Times New Roman"/>
                <w:szCs w:val="24"/>
              </w:rPr>
            </w:pPr>
            <w:r w:rsidRPr="00D43584">
              <w:rPr>
                <w:rFonts w:ascii="Times New Roman" w:hAnsi="Times New Roman" w:cs="Times New Roman"/>
                <w:szCs w:val="24"/>
              </w:rPr>
              <w:t>+228</w:t>
            </w:r>
          </w:p>
        </w:tc>
        <w:tc>
          <w:tcPr>
            <w:tcW w:w="0" w:type="auto"/>
            <w:hideMark/>
          </w:tcPr>
          <w:p w14:paraId="337167C3" w14:textId="77777777" w:rsidR="000D5B7C" w:rsidRPr="00D43584" w:rsidRDefault="000D5B7C" w:rsidP="00B77C0B">
            <w:pPr>
              <w:pStyle w:val="NoSpacing"/>
              <w:jc w:val="center"/>
              <w:rPr>
                <w:rFonts w:ascii="Times New Roman" w:hAnsi="Times New Roman" w:cs="Times New Roman"/>
                <w:szCs w:val="24"/>
              </w:rPr>
            </w:pPr>
            <w:r w:rsidRPr="00D43584">
              <w:rPr>
                <w:rFonts w:ascii="Times New Roman" w:hAnsi="Times New Roman" w:cs="Times New Roman"/>
                <w:szCs w:val="24"/>
              </w:rPr>
              <w:t>-762</w:t>
            </w:r>
          </w:p>
        </w:tc>
        <w:tc>
          <w:tcPr>
            <w:tcW w:w="0" w:type="auto"/>
            <w:hideMark/>
          </w:tcPr>
          <w:p w14:paraId="20A67E6E" w14:textId="77777777" w:rsidR="000D5B7C" w:rsidRPr="00D43584" w:rsidRDefault="000D5B7C" w:rsidP="00B77C0B">
            <w:pPr>
              <w:pStyle w:val="NoSpacing"/>
              <w:jc w:val="center"/>
              <w:rPr>
                <w:rFonts w:ascii="Times New Roman" w:hAnsi="Times New Roman" w:cs="Times New Roman"/>
                <w:szCs w:val="24"/>
              </w:rPr>
            </w:pPr>
            <w:r w:rsidRPr="00D43584">
              <w:rPr>
                <w:rFonts w:ascii="Times New Roman" w:hAnsi="Times New Roman" w:cs="Times New Roman"/>
                <w:szCs w:val="24"/>
              </w:rPr>
              <w:t>-408</w:t>
            </w:r>
          </w:p>
        </w:tc>
        <w:tc>
          <w:tcPr>
            <w:tcW w:w="0" w:type="auto"/>
            <w:hideMark/>
          </w:tcPr>
          <w:p w14:paraId="2E4D0C97" w14:textId="77777777" w:rsidR="000D5B7C" w:rsidRPr="00D43584" w:rsidRDefault="000D5B7C" w:rsidP="00B77C0B">
            <w:pPr>
              <w:pStyle w:val="NoSpacing"/>
              <w:jc w:val="center"/>
              <w:rPr>
                <w:rFonts w:ascii="Times New Roman" w:hAnsi="Times New Roman" w:cs="Times New Roman"/>
                <w:szCs w:val="24"/>
              </w:rPr>
            </w:pPr>
            <w:r w:rsidRPr="00D43584">
              <w:rPr>
                <w:rFonts w:ascii="Times New Roman" w:hAnsi="Times New Roman" w:cs="Times New Roman"/>
                <w:szCs w:val="24"/>
              </w:rPr>
              <w:t>-334</w:t>
            </w:r>
          </w:p>
        </w:tc>
        <w:tc>
          <w:tcPr>
            <w:tcW w:w="0" w:type="auto"/>
            <w:hideMark/>
          </w:tcPr>
          <w:p w14:paraId="5CE8D365" w14:textId="77777777" w:rsidR="000D5B7C" w:rsidRPr="00D43584" w:rsidRDefault="000D5B7C" w:rsidP="00B77C0B">
            <w:pPr>
              <w:pStyle w:val="NoSpacing"/>
              <w:jc w:val="center"/>
              <w:rPr>
                <w:rFonts w:ascii="Times New Roman" w:hAnsi="Times New Roman" w:cs="Times New Roman"/>
                <w:szCs w:val="24"/>
              </w:rPr>
            </w:pPr>
            <w:r w:rsidRPr="00D43584">
              <w:rPr>
                <w:rFonts w:ascii="Times New Roman" w:hAnsi="Times New Roman" w:cs="Times New Roman"/>
                <w:szCs w:val="24"/>
              </w:rPr>
              <w:t>-1821</w:t>
            </w:r>
          </w:p>
        </w:tc>
        <w:tc>
          <w:tcPr>
            <w:tcW w:w="0" w:type="auto"/>
            <w:hideMark/>
          </w:tcPr>
          <w:p w14:paraId="6B02C206" w14:textId="77777777" w:rsidR="000D5B7C" w:rsidRPr="00D43584" w:rsidRDefault="000D5B7C" w:rsidP="00B77C0B">
            <w:pPr>
              <w:pStyle w:val="NoSpacing"/>
              <w:jc w:val="center"/>
              <w:rPr>
                <w:rFonts w:ascii="Times New Roman" w:hAnsi="Times New Roman" w:cs="Times New Roman"/>
                <w:szCs w:val="24"/>
              </w:rPr>
            </w:pPr>
            <w:r w:rsidRPr="00D43584">
              <w:rPr>
                <w:rFonts w:ascii="Times New Roman" w:hAnsi="Times New Roman" w:cs="Times New Roman"/>
                <w:szCs w:val="24"/>
              </w:rPr>
              <w:t>-1029</w:t>
            </w:r>
          </w:p>
        </w:tc>
        <w:tc>
          <w:tcPr>
            <w:tcW w:w="0" w:type="auto"/>
            <w:hideMark/>
          </w:tcPr>
          <w:p w14:paraId="63DA5571" w14:textId="77777777" w:rsidR="000D5B7C" w:rsidRPr="00D43584" w:rsidRDefault="000D5B7C" w:rsidP="00B77C0B">
            <w:pPr>
              <w:pStyle w:val="NoSpacing"/>
              <w:jc w:val="center"/>
              <w:rPr>
                <w:rFonts w:ascii="Times New Roman" w:hAnsi="Times New Roman" w:cs="Times New Roman"/>
                <w:szCs w:val="24"/>
              </w:rPr>
            </w:pPr>
            <w:r w:rsidRPr="00D43584">
              <w:rPr>
                <w:rFonts w:ascii="Times New Roman" w:hAnsi="Times New Roman" w:cs="Times New Roman"/>
                <w:szCs w:val="24"/>
              </w:rPr>
              <w:t>-118</w:t>
            </w:r>
          </w:p>
        </w:tc>
      </w:tr>
      <w:tr w:rsidR="000D5B7C" w:rsidRPr="00D43584" w14:paraId="6EB0F144" w14:textId="77777777" w:rsidTr="000D5B7C">
        <w:trPr>
          <w:trHeight w:val="397"/>
          <w:jc w:val="center"/>
        </w:trPr>
        <w:tc>
          <w:tcPr>
            <w:tcW w:w="0" w:type="auto"/>
            <w:vAlign w:val="center"/>
            <w:hideMark/>
          </w:tcPr>
          <w:p w14:paraId="646B0FA7" w14:textId="77777777" w:rsidR="000D5B7C" w:rsidRPr="000D5B7C" w:rsidRDefault="000D5B7C" w:rsidP="000D5B7C">
            <w:pPr>
              <w:pStyle w:val="NoSpacing"/>
              <w:jc w:val="center"/>
              <w:rPr>
                <w:rFonts w:ascii="Times New Roman" w:hAnsi="Times New Roman" w:cs="Times New Roman"/>
                <w:szCs w:val="24"/>
              </w:rPr>
            </w:pPr>
          </w:p>
        </w:tc>
        <w:tc>
          <w:tcPr>
            <w:tcW w:w="0" w:type="auto"/>
            <w:vAlign w:val="center"/>
            <w:hideMark/>
          </w:tcPr>
          <w:p w14:paraId="7A4459CC" w14:textId="77777777" w:rsidR="000D5B7C" w:rsidRPr="000D5B7C" w:rsidRDefault="000D5B7C" w:rsidP="000D5B7C">
            <w:pPr>
              <w:pStyle w:val="NoSpacing"/>
              <w:jc w:val="center"/>
              <w:rPr>
                <w:rFonts w:ascii="Times New Roman" w:hAnsi="Times New Roman" w:cs="Times New Roman"/>
                <w:szCs w:val="24"/>
              </w:rPr>
            </w:pPr>
            <w:r w:rsidRPr="000D5B7C">
              <w:rPr>
                <w:rFonts w:ascii="Times New Roman" w:hAnsi="Times New Roman" w:cs="Times New Roman"/>
                <w:szCs w:val="24"/>
              </w:rPr>
              <w:t>Capital</w:t>
            </w:r>
          </w:p>
        </w:tc>
        <w:tc>
          <w:tcPr>
            <w:tcW w:w="0" w:type="auto"/>
            <w:hideMark/>
          </w:tcPr>
          <w:p w14:paraId="2B35E909" w14:textId="77777777" w:rsidR="000D5B7C" w:rsidRPr="00D43584" w:rsidRDefault="000D5B7C" w:rsidP="00B77C0B">
            <w:pPr>
              <w:pStyle w:val="NoSpacing"/>
              <w:jc w:val="center"/>
              <w:rPr>
                <w:rFonts w:ascii="Times New Roman" w:hAnsi="Times New Roman" w:cs="Times New Roman"/>
                <w:szCs w:val="24"/>
              </w:rPr>
            </w:pPr>
            <w:r w:rsidRPr="00D43584">
              <w:rPr>
                <w:rFonts w:ascii="Times New Roman" w:hAnsi="Times New Roman" w:cs="Times New Roman"/>
                <w:szCs w:val="24"/>
              </w:rPr>
              <w:t>+1078</w:t>
            </w:r>
          </w:p>
        </w:tc>
        <w:tc>
          <w:tcPr>
            <w:tcW w:w="0" w:type="auto"/>
            <w:hideMark/>
          </w:tcPr>
          <w:p w14:paraId="4E39D6E9" w14:textId="2A580D92" w:rsidR="000D5B7C" w:rsidRPr="00D43584" w:rsidRDefault="000D5B7C" w:rsidP="00B77C0B">
            <w:pPr>
              <w:pStyle w:val="NoSpacing"/>
              <w:jc w:val="center"/>
              <w:rPr>
                <w:rFonts w:ascii="Times New Roman" w:hAnsi="Times New Roman" w:cs="Times New Roman"/>
                <w:szCs w:val="24"/>
              </w:rPr>
            </w:pPr>
            <w:r w:rsidRPr="00D43584">
              <w:rPr>
                <w:rFonts w:ascii="Times New Roman" w:hAnsi="Times New Roman" w:cs="Times New Roman"/>
                <w:szCs w:val="24"/>
              </w:rPr>
              <w:t>+</w:t>
            </w:r>
            <w:r w:rsidR="00F0435A">
              <w:rPr>
                <w:rFonts w:ascii="Times New Roman" w:hAnsi="Times New Roman" w:cs="Times New Roman"/>
                <w:szCs w:val="24"/>
              </w:rPr>
              <w:t>2</w:t>
            </w:r>
            <w:r w:rsidRPr="00D43584">
              <w:rPr>
                <w:rFonts w:ascii="Times New Roman" w:hAnsi="Times New Roman" w:cs="Times New Roman"/>
                <w:szCs w:val="24"/>
              </w:rPr>
              <w:t>64</w:t>
            </w:r>
          </w:p>
        </w:tc>
        <w:tc>
          <w:tcPr>
            <w:tcW w:w="0" w:type="auto"/>
            <w:hideMark/>
          </w:tcPr>
          <w:p w14:paraId="1BF67DEA" w14:textId="77777777" w:rsidR="000D5B7C" w:rsidRPr="00D43584" w:rsidRDefault="000D5B7C" w:rsidP="00B77C0B">
            <w:pPr>
              <w:pStyle w:val="NoSpacing"/>
              <w:jc w:val="center"/>
              <w:rPr>
                <w:rFonts w:ascii="Times New Roman" w:hAnsi="Times New Roman" w:cs="Times New Roman"/>
                <w:szCs w:val="24"/>
              </w:rPr>
            </w:pPr>
            <w:r w:rsidRPr="00D43584">
              <w:rPr>
                <w:rFonts w:ascii="Times New Roman" w:hAnsi="Times New Roman" w:cs="Times New Roman"/>
                <w:szCs w:val="24"/>
              </w:rPr>
              <w:t>+1090</w:t>
            </w:r>
          </w:p>
        </w:tc>
        <w:tc>
          <w:tcPr>
            <w:tcW w:w="0" w:type="auto"/>
            <w:hideMark/>
          </w:tcPr>
          <w:p w14:paraId="5A49489B" w14:textId="77777777" w:rsidR="000D5B7C" w:rsidRPr="00D43584" w:rsidRDefault="000D5B7C" w:rsidP="00B77C0B">
            <w:pPr>
              <w:pStyle w:val="NoSpacing"/>
              <w:jc w:val="center"/>
              <w:rPr>
                <w:rFonts w:ascii="Times New Roman" w:hAnsi="Times New Roman" w:cs="Times New Roman"/>
                <w:szCs w:val="24"/>
              </w:rPr>
            </w:pPr>
            <w:r w:rsidRPr="00D43584">
              <w:rPr>
                <w:rFonts w:ascii="Times New Roman" w:hAnsi="Times New Roman" w:cs="Times New Roman"/>
                <w:szCs w:val="24"/>
              </w:rPr>
              <w:t>-1049</w:t>
            </w:r>
          </w:p>
        </w:tc>
        <w:tc>
          <w:tcPr>
            <w:tcW w:w="0" w:type="auto"/>
            <w:hideMark/>
          </w:tcPr>
          <w:p w14:paraId="487350E7" w14:textId="77777777" w:rsidR="000D5B7C" w:rsidRPr="00D43584" w:rsidRDefault="000D5B7C" w:rsidP="00B77C0B">
            <w:pPr>
              <w:pStyle w:val="NoSpacing"/>
              <w:jc w:val="center"/>
              <w:rPr>
                <w:rFonts w:ascii="Times New Roman" w:hAnsi="Times New Roman" w:cs="Times New Roman"/>
                <w:szCs w:val="24"/>
              </w:rPr>
            </w:pPr>
            <w:r w:rsidRPr="00D43584">
              <w:rPr>
                <w:rFonts w:ascii="Times New Roman" w:hAnsi="Times New Roman" w:cs="Times New Roman"/>
                <w:szCs w:val="24"/>
              </w:rPr>
              <w:t>+707</w:t>
            </w:r>
          </w:p>
        </w:tc>
        <w:tc>
          <w:tcPr>
            <w:tcW w:w="0" w:type="auto"/>
            <w:hideMark/>
          </w:tcPr>
          <w:p w14:paraId="0AF38BA8" w14:textId="77777777" w:rsidR="000D5B7C" w:rsidRPr="00D43584" w:rsidRDefault="000D5B7C" w:rsidP="00B77C0B">
            <w:pPr>
              <w:pStyle w:val="NoSpacing"/>
              <w:jc w:val="center"/>
              <w:rPr>
                <w:rFonts w:ascii="Times New Roman" w:hAnsi="Times New Roman" w:cs="Times New Roman"/>
                <w:szCs w:val="24"/>
              </w:rPr>
            </w:pPr>
            <w:r w:rsidRPr="00D43584">
              <w:rPr>
                <w:rFonts w:ascii="Times New Roman" w:hAnsi="Times New Roman" w:cs="Times New Roman"/>
                <w:szCs w:val="24"/>
              </w:rPr>
              <w:t>+633</w:t>
            </w:r>
          </w:p>
        </w:tc>
        <w:tc>
          <w:tcPr>
            <w:tcW w:w="0" w:type="auto"/>
            <w:hideMark/>
          </w:tcPr>
          <w:p w14:paraId="3C41686D" w14:textId="77777777" w:rsidR="000D5B7C" w:rsidRPr="00D43584" w:rsidRDefault="000D5B7C" w:rsidP="00B77C0B">
            <w:pPr>
              <w:pStyle w:val="NoSpacing"/>
              <w:jc w:val="center"/>
              <w:rPr>
                <w:rFonts w:ascii="Times New Roman" w:hAnsi="Times New Roman" w:cs="Times New Roman"/>
                <w:szCs w:val="24"/>
              </w:rPr>
            </w:pPr>
            <w:r w:rsidRPr="00D43584">
              <w:rPr>
                <w:rFonts w:ascii="Times New Roman" w:hAnsi="Times New Roman" w:cs="Times New Roman"/>
                <w:szCs w:val="24"/>
              </w:rPr>
              <w:t>-1820</w:t>
            </w:r>
          </w:p>
        </w:tc>
        <w:tc>
          <w:tcPr>
            <w:tcW w:w="0" w:type="auto"/>
            <w:hideMark/>
          </w:tcPr>
          <w:p w14:paraId="344FE082" w14:textId="77777777" w:rsidR="000D5B7C" w:rsidRPr="00D43584" w:rsidRDefault="000D5B7C" w:rsidP="00B77C0B">
            <w:pPr>
              <w:pStyle w:val="NoSpacing"/>
              <w:jc w:val="center"/>
              <w:rPr>
                <w:rFonts w:ascii="Times New Roman" w:hAnsi="Times New Roman" w:cs="Times New Roman"/>
                <w:szCs w:val="24"/>
              </w:rPr>
            </w:pPr>
            <w:r w:rsidRPr="00D43584">
              <w:rPr>
                <w:rFonts w:ascii="Times New Roman" w:hAnsi="Times New Roman" w:cs="Times New Roman"/>
                <w:szCs w:val="24"/>
              </w:rPr>
              <w:t>-1492</w:t>
            </w:r>
          </w:p>
        </w:tc>
        <w:tc>
          <w:tcPr>
            <w:tcW w:w="0" w:type="auto"/>
            <w:hideMark/>
          </w:tcPr>
          <w:p w14:paraId="7764BCEE" w14:textId="77777777" w:rsidR="000D5B7C" w:rsidRPr="00D43584" w:rsidRDefault="000D5B7C" w:rsidP="00B77C0B">
            <w:pPr>
              <w:pStyle w:val="NoSpacing"/>
              <w:jc w:val="center"/>
              <w:rPr>
                <w:rFonts w:ascii="Times New Roman" w:hAnsi="Times New Roman" w:cs="Times New Roman"/>
                <w:szCs w:val="24"/>
              </w:rPr>
            </w:pPr>
            <w:r w:rsidRPr="00D43584">
              <w:rPr>
                <w:rFonts w:ascii="Times New Roman" w:hAnsi="Times New Roman" w:cs="Times New Roman"/>
                <w:szCs w:val="24"/>
              </w:rPr>
              <w:t>+133</w:t>
            </w:r>
          </w:p>
        </w:tc>
      </w:tr>
      <w:tr w:rsidR="000D5B7C" w:rsidRPr="00D43584" w14:paraId="6E6F5414" w14:textId="77777777" w:rsidTr="000D5B7C">
        <w:trPr>
          <w:trHeight w:val="397"/>
          <w:jc w:val="center"/>
        </w:trPr>
        <w:tc>
          <w:tcPr>
            <w:tcW w:w="0" w:type="auto"/>
            <w:vAlign w:val="center"/>
            <w:hideMark/>
          </w:tcPr>
          <w:p w14:paraId="1524B2D2" w14:textId="77777777" w:rsidR="000D5B7C" w:rsidRPr="000D5B7C" w:rsidRDefault="000D5B7C" w:rsidP="000D5B7C">
            <w:pPr>
              <w:pStyle w:val="NoSpacing"/>
              <w:jc w:val="center"/>
              <w:rPr>
                <w:rFonts w:ascii="Times New Roman" w:hAnsi="Times New Roman" w:cs="Times New Roman"/>
                <w:szCs w:val="24"/>
              </w:rPr>
            </w:pPr>
          </w:p>
        </w:tc>
        <w:tc>
          <w:tcPr>
            <w:tcW w:w="0" w:type="auto"/>
            <w:vAlign w:val="center"/>
            <w:hideMark/>
          </w:tcPr>
          <w:p w14:paraId="3BECD22B" w14:textId="77777777" w:rsidR="000D5B7C" w:rsidRPr="000D5B7C" w:rsidRDefault="000D5B7C" w:rsidP="000D5B7C">
            <w:pPr>
              <w:pStyle w:val="NoSpacing"/>
              <w:jc w:val="center"/>
              <w:rPr>
                <w:rFonts w:ascii="Times New Roman" w:hAnsi="Times New Roman" w:cs="Times New Roman"/>
                <w:szCs w:val="24"/>
              </w:rPr>
            </w:pPr>
            <w:r w:rsidRPr="000D5B7C">
              <w:rPr>
                <w:rFonts w:ascii="Times New Roman" w:hAnsi="Times New Roman" w:cs="Times New Roman"/>
                <w:szCs w:val="24"/>
              </w:rPr>
              <w:t>Overall</w:t>
            </w:r>
          </w:p>
        </w:tc>
        <w:tc>
          <w:tcPr>
            <w:tcW w:w="0" w:type="auto"/>
            <w:hideMark/>
          </w:tcPr>
          <w:p w14:paraId="07479816" w14:textId="77777777" w:rsidR="000D5B7C" w:rsidRPr="00D43584" w:rsidRDefault="000D5B7C" w:rsidP="00B77C0B">
            <w:pPr>
              <w:pStyle w:val="NoSpacing"/>
              <w:jc w:val="center"/>
              <w:rPr>
                <w:rFonts w:ascii="Times New Roman" w:hAnsi="Times New Roman" w:cs="Times New Roman"/>
                <w:szCs w:val="24"/>
              </w:rPr>
            </w:pPr>
            <w:r w:rsidRPr="00D43584">
              <w:rPr>
                <w:rFonts w:ascii="Times New Roman" w:hAnsi="Times New Roman" w:cs="Times New Roman"/>
                <w:szCs w:val="24"/>
              </w:rPr>
              <w:t>-705</w:t>
            </w:r>
          </w:p>
        </w:tc>
        <w:tc>
          <w:tcPr>
            <w:tcW w:w="0" w:type="auto"/>
            <w:hideMark/>
          </w:tcPr>
          <w:p w14:paraId="60A23D03" w14:textId="77777777" w:rsidR="000D5B7C" w:rsidRPr="00D43584" w:rsidRDefault="000D5B7C" w:rsidP="00B77C0B">
            <w:pPr>
              <w:pStyle w:val="NoSpacing"/>
              <w:jc w:val="center"/>
              <w:rPr>
                <w:rFonts w:ascii="Times New Roman" w:hAnsi="Times New Roman" w:cs="Times New Roman"/>
                <w:szCs w:val="24"/>
              </w:rPr>
            </w:pPr>
            <w:r w:rsidRPr="00D43584">
              <w:rPr>
                <w:rFonts w:ascii="Times New Roman" w:hAnsi="Times New Roman" w:cs="Times New Roman"/>
                <w:szCs w:val="24"/>
              </w:rPr>
              <w:t>-367</w:t>
            </w:r>
          </w:p>
        </w:tc>
        <w:tc>
          <w:tcPr>
            <w:tcW w:w="0" w:type="auto"/>
            <w:hideMark/>
          </w:tcPr>
          <w:p w14:paraId="4B0B7EB2" w14:textId="77777777" w:rsidR="000D5B7C" w:rsidRPr="00D43584" w:rsidRDefault="000D5B7C" w:rsidP="00B77C0B">
            <w:pPr>
              <w:pStyle w:val="NoSpacing"/>
              <w:jc w:val="center"/>
              <w:rPr>
                <w:rFonts w:ascii="Times New Roman" w:hAnsi="Times New Roman" w:cs="Times New Roman"/>
                <w:szCs w:val="24"/>
              </w:rPr>
            </w:pPr>
            <w:r w:rsidRPr="00D43584">
              <w:rPr>
                <w:rFonts w:ascii="Times New Roman" w:hAnsi="Times New Roman" w:cs="Times New Roman"/>
                <w:szCs w:val="24"/>
              </w:rPr>
              <w:t>+1318</w:t>
            </w:r>
          </w:p>
        </w:tc>
        <w:tc>
          <w:tcPr>
            <w:tcW w:w="0" w:type="auto"/>
            <w:hideMark/>
          </w:tcPr>
          <w:p w14:paraId="13084E01" w14:textId="77777777" w:rsidR="000D5B7C" w:rsidRPr="00D43584" w:rsidRDefault="000D5B7C" w:rsidP="00B77C0B">
            <w:pPr>
              <w:pStyle w:val="NoSpacing"/>
              <w:jc w:val="center"/>
              <w:rPr>
                <w:rFonts w:ascii="Times New Roman" w:hAnsi="Times New Roman" w:cs="Times New Roman"/>
                <w:szCs w:val="24"/>
              </w:rPr>
            </w:pPr>
            <w:r w:rsidRPr="00D43584">
              <w:rPr>
                <w:rFonts w:ascii="Times New Roman" w:hAnsi="Times New Roman" w:cs="Times New Roman"/>
                <w:szCs w:val="24"/>
              </w:rPr>
              <w:t>-1811</w:t>
            </w:r>
          </w:p>
        </w:tc>
        <w:tc>
          <w:tcPr>
            <w:tcW w:w="0" w:type="auto"/>
            <w:hideMark/>
          </w:tcPr>
          <w:p w14:paraId="40A53FF3" w14:textId="77777777" w:rsidR="000D5B7C" w:rsidRPr="00D43584" w:rsidRDefault="000D5B7C" w:rsidP="00B77C0B">
            <w:pPr>
              <w:pStyle w:val="NoSpacing"/>
              <w:jc w:val="center"/>
              <w:rPr>
                <w:rFonts w:ascii="Times New Roman" w:hAnsi="Times New Roman" w:cs="Times New Roman"/>
                <w:szCs w:val="24"/>
              </w:rPr>
            </w:pPr>
            <w:r w:rsidRPr="00D43584">
              <w:rPr>
                <w:rFonts w:ascii="Times New Roman" w:hAnsi="Times New Roman" w:cs="Times New Roman"/>
                <w:szCs w:val="24"/>
              </w:rPr>
              <w:t>+299</w:t>
            </w:r>
          </w:p>
        </w:tc>
        <w:tc>
          <w:tcPr>
            <w:tcW w:w="0" w:type="auto"/>
            <w:hideMark/>
          </w:tcPr>
          <w:p w14:paraId="1E9320FA" w14:textId="77777777" w:rsidR="000D5B7C" w:rsidRPr="00D43584" w:rsidRDefault="000D5B7C" w:rsidP="00B77C0B">
            <w:pPr>
              <w:pStyle w:val="NoSpacing"/>
              <w:jc w:val="center"/>
              <w:rPr>
                <w:rFonts w:ascii="Times New Roman" w:hAnsi="Times New Roman" w:cs="Times New Roman"/>
                <w:szCs w:val="24"/>
              </w:rPr>
            </w:pPr>
            <w:r w:rsidRPr="00D43584">
              <w:rPr>
                <w:rFonts w:ascii="Times New Roman" w:hAnsi="Times New Roman" w:cs="Times New Roman"/>
                <w:szCs w:val="24"/>
              </w:rPr>
              <w:t>+299</w:t>
            </w:r>
          </w:p>
        </w:tc>
        <w:tc>
          <w:tcPr>
            <w:tcW w:w="0" w:type="auto"/>
            <w:hideMark/>
          </w:tcPr>
          <w:p w14:paraId="0D64C62E" w14:textId="77777777" w:rsidR="000D5B7C" w:rsidRPr="00D43584" w:rsidRDefault="000D5B7C" w:rsidP="00B77C0B">
            <w:pPr>
              <w:pStyle w:val="NoSpacing"/>
              <w:jc w:val="center"/>
              <w:rPr>
                <w:rFonts w:ascii="Times New Roman" w:hAnsi="Times New Roman" w:cs="Times New Roman"/>
                <w:szCs w:val="24"/>
              </w:rPr>
            </w:pPr>
            <w:r w:rsidRPr="00D43584">
              <w:rPr>
                <w:rFonts w:ascii="Times New Roman" w:hAnsi="Times New Roman" w:cs="Times New Roman"/>
                <w:szCs w:val="24"/>
              </w:rPr>
              <w:t>-3641</w:t>
            </w:r>
          </w:p>
        </w:tc>
        <w:tc>
          <w:tcPr>
            <w:tcW w:w="0" w:type="auto"/>
            <w:hideMark/>
          </w:tcPr>
          <w:p w14:paraId="6E137E64" w14:textId="77777777" w:rsidR="000D5B7C" w:rsidRPr="00D43584" w:rsidRDefault="000D5B7C" w:rsidP="00B77C0B">
            <w:pPr>
              <w:pStyle w:val="NoSpacing"/>
              <w:jc w:val="center"/>
              <w:rPr>
                <w:rFonts w:ascii="Times New Roman" w:hAnsi="Times New Roman" w:cs="Times New Roman"/>
                <w:szCs w:val="24"/>
              </w:rPr>
            </w:pPr>
            <w:r w:rsidRPr="00D43584">
              <w:rPr>
                <w:rFonts w:ascii="Times New Roman" w:hAnsi="Times New Roman" w:cs="Times New Roman"/>
                <w:szCs w:val="24"/>
              </w:rPr>
              <w:t>-2521</w:t>
            </w:r>
          </w:p>
        </w:tc>
        <w:tc>
          <w:tcPr>
            <w:tcW w:w="0" w:type="auto"/>
            <w:hideMark/>
          </w:tcPr>
          <w:p w14:paraId="7CE4BE8E" w14:textId="77777777" w:rsidR="000D5B7C" w:rsidRPr="00D43584" w:rsidRDefault="000D5B7C" w:rsidP="00B77C0B">
            <w:pPr>
              <w:pStyle w:val="NoSpacing"/>
              <w:jc w:val="center"/>
              <w:rPr>
                <w:rFonts w:ascii="Times New Roman" w:hAnsi="Times New Roman" w:cs="Times New Roman"/>
                <w:szCs w:val="24"/>
              </w:rPr>
            </w:pPr>
            <w:r w:rsidRPr="00D43584">
              <w:rPr>
                <w:rFonts w:ascii="Times New Roman" w:hAnsi="Times New Roman" w:cs="Times New Roman"/>
                <w:szCs w:val="24"/>
              </w:rPr>
              <w:t>+15</w:t>
            </w:r>
          </w:p>
        </w:tc>
      </w:tr>
      <w:tr w:rsidR="000D5B7C" w:rsidRPr="00D43584" w14:paraId="4DBFEE84" w14:textId="77777777" w:rsidTr="000D5B7C">
        <w:trPr>
          <w:trHeight w:val="397"/>
          <w:jc w:val="center"/>
        </w:trPr>
        <w:tc>
          <w:tcPr>
            <w:tcW w:w="0" w:type="auto"/>
            <w:vAlign w:val="center"/>
            <w:hideMark/>
          </w:tcPr>
          <w:p w14:paraId="3FF98544" w14:textId="77777777" w:rsidR="000D5B7C" w:rsidRPr="000D5B7C" w:rsidRDefault="000D5B7C" w:rsidP="000D5B7C">
            <w:pPr>
              <w:pStyle w:val="NoSpacing"/>
              <w:jc w:val="center"/>
              <w:rPr>
                <w:rFonts w:ascii="Times New Roman" w:hAnsi="Times New Roman" w:cs="Times New Roman"/>
                <w:szCs w:val="24"/>
              </w:rPr>
            </w:pPr>
            <w:r w:rsidRPr="000D5B7C">
              <w:rPr>
                <w:rFonts w:ascii="Times New Roman" w:hAnsi="Times New Roman" w:cs="Times New Roman"/>
                <w:b/>
                <w:bCs/>
                <w:szCs w:val="24"/>
              </w:rPr>
              <w:t>TOTAL All States</w:t>
            </w:r>
          </w:p>
        </w:tc>
        <w:tc>
          <w:tcPr>
            <w:tcW w:w="0" w:type="auto"/>
            <w:vAlign w:val="center"/>
            <w:hideMark/>
          </w:tcPr>
          <w:p w14:paraId="627A613C" w14:textId="77777777" w:rsidR="000D5B7C" w:rsidRPr="000D5B7C" w:rsidRDefault="000D5B7C" w:rsidP="000D5B7C">
            <w:pPr>
              <w:pStyle w:val="NoSpacing"/>
              <w:jc w:val="center"/>
              <w:rPr>
                <w:rFonts w:ascii="Times New Roman" w:hAnsi="Times New Roman" w:cs="Times New Roman"/>
                <w:szCs w:val="24"/>
              </w:rPr>
            </w:pPr>
            <w:r w:rsidRPr="000D5B7C">
              <w:rPr>
                <w:rFonts w:ascii="Times New Roman" w:hAnsi="Times New Roman" w:cs="Times New Roman"/>
                <w:szCs w:val="24"/>
              </w:rPr>
              <w:t>Revenue</w:t>
            </w:r>
          </w:p>
        </w:tc>
        <w:tc>
          <w:tcPr>
            <w:tcW w:w="0" w:type="auto"/>
            <w:hideMark/>
          </w:tcPr>
          <w:p w14:paraId="0BF12B58" w14:textId="77777777" w:rsidR="000D5B7C" w:rsidRPr="00D43584" w:rsidRDefault="000D5B7C" w:rsidP="00B77C0B">
            <w:pPr>
              <w:pStyle w:val="NoSpacing"/>
              <w:jc w:val="center"/>
              <w:rPr>
                <w:rFonts w:ascii="Times New Roman" w:hAnsi="Times New Roman" w:cs="Times New Roman"/>
                <w:szCs w:val="24"/>
              </w:rPr>
            </w:pPr>
            <w:r w:rsidRPr="00D43584">
              <w:rPr>
                <w:rFonts w:ascii="Times New Roman" w:hAnsi="Times New Roman" w:cs="Times New Roman"/>
                <w:szCs w:val="24"/>
              </w:rPr>
              <w:t>-7568</w:t>
            </w:r>
          </w:p>
        </w:tc>
        <w:tc>
          <w:tcPr>
            <w:tcW w:w="0" w:type="auto"/>
            <w:hideMark/>
          </w:tcPr>
          <w:p w14:paraId="3E187BB4" w14:textId="77777777" w:rsidR="000D5B7C" w:rsidRPr="00D43584" w:rsidRDefault="000D5B7C" w:rsidP="00B77C0B">
            <w:pPr>
              <w:pStyle w:val="NoSpacing"/>
              <w:jc w:val="center"/>
              <w:rPr>
                <w:rFonts w:ascii="Times New Roman" w:hAnsi="Times New Roman" w:cs="Times New Roman"/>
                <w:szCs w:val="24"/>
              </w:rPr>
            </w:pPr>
            <w:r w:rsidRPr="00D43584">
              <w:rPr>
                <w:rFonts w:ascii="Times New Roman" w:hAnsi="Times New Roman" w:cs="Times New Roman"/>
                <w:szCs w:val="24"/>
              </w:rPr>
              <w:t>-7125</w:t>
            </w:r>
          </w:p>
        </w:tc>
        <w:tc>
          <w:tcPr>
            <w:tcW w:w="0" w:type="auto"/>
            <w:hideMark/>
          </w:tcPr>
          <w:p w14:paraId="4C4E6CBA" w14:textId="77777777" w:rsidR="000D5B7C" w:rsidRPr="00D43584" w:rsidRDefault="000D5B7C" w:rsidP="00B77C0B">
            <w:pPr>
              <w:pStyle w:val="NoSpacing"/>
              <w:jc w:val="center"/>
              <w:rPr>
                <w:rFonts w:ascii="Times New Roman" w:hAnsi="Times New Roman" w:cs="Times New Roman"/>
                <w:szCs w:val="24"/>
              </w:rPr>
            </w:pPr>
            <w:r w:rsidRPr="00D43584">
              <w:rPr>
                <w:rFonts w:ascii="Times New Roman" w:hAnsi="Times New Roman" w:cs="Times New Roman"/>
                <w:szCs w:val="24"/>
              </w:rPr>
              <w:t>-3516</w:t>
            </w:r>
          </w:p>
        </w:tc>
        <w:tc>
          <w:tcPr>
            <w:tcW w:w="0" w:type="auto"/>
            <w:hideMark/>
          </w:tcPr>
          <w:p w14:paraId="77ADE838" w14:textId="77777777" w:rsidR="000D5B7C" w:rsidRPr="00D43584" w:rsidRDefault="000D5B7C" w:rsidP="00B77C0B">
            <w:pPr>
              <w:pStyle w:val="NoSpacing"/>
              <w:jc w:val="center"/>
              <w:rPr>
                <w:rFonts w:ascii="Times New Roman" w:hAnsi="Times New Roman" w:cs="Times New Roman"/>
                <w:szCs w:val="24"/>
              </w:rPr>
            </w:pPr>
            <w:r w:rsidRPr="00D43584">
              <w:rPr>
                <w:rFonts w:ascii="Times New Roman" w:hAnsi="Times New Roman" w:cs="Times New Roman"/>
                <w:szCs w:val="24"/>
              </w:rPr>
              <w:t>+1974</w:t>
            </w:r>
          </w:p>
        </w:tc>
        <w:tc>
          <w:tcPr>
            <w:tcW w:w="0" w:type="auto"/>
            <w:hideMark/>
          </w:tcPr>
          <w:p w14:paraId="65B2A593" w14:textId="77777777" w:rsidR="000D5B7C" w:rsidRPr="00D43584" w:rsidRDefault="000D5B7C" w:rsidP="00B77C0B">
            <w:pPr>
              <w:pStyle w:val="NoSpacing"/>
              <w:jc w:val="center"/>
              <w:rPr>
                <w:rFonts w:ascii="Times New Roman" w:hAnsi="Times New Roman" w:cs="Times New Roman"/>
                <w:szCs w:val="24"/>
              </w:rPr>
            </w:pPr>
            <w:r w:rsidRPr="00D43584">
              <w:rPr>
                <w:rFonts w:ascii="Times New Roman" w:hAnsi="Times New Roman" w:cs="Times New Roman"/>
                <w:szCs w:val="24"/>
              </w:rPr>
              <w:t>-4273</w:t>
            </w:r>
          </w:p>
        </w:tc>
        <w:tc>
          <w:tcPr>
            <w:tcW w:w="0" w:type="auto"/>
            <w:hideMark/>
          </w:tcPr>
          <w:p w14:paraId="1186F4B6" w14:textId="77777777" w:rsidR="000D5B7C" w:rsidRPr="00D43584" w:rsidRDefault="000D5B7C" w:rsidP="00B77C0B">
            <w:pPr>
              <w:pStyle w:val="NoSpacing"/>
              <w:jc w:val="center"/>
              <w:rPr>
                <w:rFonts w:ascii="Times New Roman" w:hAnsi="Times New Roman" w:cs="Times New Roman"/>
                <w:szCs w:val="24"/>
              </w:rPr>
            </w:pPr>
            <w:r w:rsidRPr="00D43584">
              <w:rPr>
                <w:rFonts w:ascii="Times New Roman" w:hAnsi="Times New Roman" w:cs="Times New Roman"/>
                <w:szCs w:val="24"/>
              </w:rPr>
              <w:t>-5283</w:t>
            </w:r>
          </w:p>
        </w:tc>
        <w:tc>
          <w:tcPr>
            <w:tcW w:w="0" w:type="auto"/>
            <w:hideMark/>
          </w:tcPr>
          <w:p w14:paraId="0166AAB6" w14:textId="77777777" w:rsidR="000D5B7C" w:rsidRPr="00D43584" w:rsidRDefault="000D5B7C" w:rsidP="00B77C0B">
            <w:pPr>
              <w:pStyle w:val="NoSpacing"/>
              <w:jc w:val="center"/>
              <w:rPr>
                <w:rFonts w:ascii="Times New Roman" w:hAnsi="Times New Roman" w:cs="Times New Roman"/>
                <w:szCs w:val="24"/>
              </w:rPr>
            </w:pPr>
            <w:r w:rsidRPr="00D43584">
              <w:rPr>
                <w:rFonts w:ascii="Times New Roman" w:hAnsi="Times New Roman" w:cs="Times New Roman"/>
                <w:szCs w:val="24"/>
              </w:rPr>
              <w:t>-5394</w:t>
            </w:r>
          </w:p>
        </w:tc>
        <w:tc>
          <w:tcPr>
            <w:tcW w:w="0" w:type="auto"/>
            <w:hideMark/>
          </w:tcPr>
          <w:p w14:paraId="5AAFAB42" w14:textId="77777777" w:rsidR="000D5B7C" w:rsidRPr="00D43584" w:rsidRDefault="000D5B7C" w:rsidP="00B77C0B">
            <w:pPr>
              <w:pStyle w:val="NoSpacing"/>
              <w:jc w:val="center"/>
              <w:rPr>
                <w:rFonts w:ascii="Times New Roman" w:hAnsi="Times New Roman" w:cs="Times New Roman"/>
                <w:szCs w:val="24"/>
              </w:rPr>
            </w:pPr>
            <w:r w:rsidRPr="00D43584">
              <w:rPr>
                <w:rFonts w:ascii="Times New Roman" w:hAnsi="Times New Roman" w:cs="Times New Roman"/>
                <w:szCs w:val="24"/>
              </w:rPr>
              <w:t>-2357</w:t>
            </w:r>
          </w:p>
        </w:tc>
        <w:tc>
          <w:tcPr>
            <w:tcW w:w="0" w:type="auto"/>
            <w:hideMark/>
          </w:tcPr>
          <w:p w14:paraId="2049E416" w14:textId="77777777" w:rsidR="000D5B7C" w:rsidRPr="00D43584" w:rsidRDefault="000D5B7C" w:rsidP="00B77C0B">
            <w:pPr>
              <w:pStyle w:val="NoSpacing"/>
              <w:jc w:val="center"/>
              <w:rPr>
                <w:rFonts w:ascii="Times New Roman" w:hAnsi="Times New Roman" w:cs="Times New Roman"/>
                <w:szCs w:val="24"/>
              </w:rPr>
            </w:pPr>
            <w:r w:rsidRPr="00D43584">
              <w:rPr>
                <w:rFonts w:ascii="Times New Roman" w:hAnsi="Times New Roman" w:cs="Times New Roman"/>
                <w:szCs w:val="24"/>
              </w:rPr>
              <w:t>-540</w:t>
            </w:r>
          </w:p>
        </w:tc>
      </w:tr>
      <w:tr w:rsidR="000D5B7C" w:rsidRPr="00D43584" w14:paraId="42B45D5A" w14:textId="77777777" w:rsidTr="000D5B7C">
        <w:trPr>
          <w:trHeight w:val="397"/>
          <w:jc w:val="center"/>
        </w:trPr>
        <w:tc>
          <w:tcPr>
            <w:tcW w:w="0" w:type="auto"/>
            <w:vAlign w:val="center"/>
            <w:hideMark/>
          </w:tcPr>
          <w:p w14:paraId="572E2594" w14:textId="77777777" w:rsidR="000D5B7C" w:rsidRPr="000D5B7C" w:rsidRDefault="000D5B7C" w:rsidP="000D5B7C">
            <w:pPr>
              <w:pStyle w:val="NoSpacing"/>
              <w:jc w:val="center"/>
              <w:rPr>
                <w:rFonts w:ascii="Times New Roman" w:hAnsi="Times New Roman" w:cs="Times New Roman"/>
                <w:szCs w:val="24"/>
              </w:rPr>
            </w:pPr>
          </w:p>
        </w:tc>
        <w:tc>
          <w:tcPr>
            <w:tcW w:w="0" w:type="auto"/>
            <w:vAlign w:val="center"/>
            <w:hideMark/>
          </w:tcPr>
          <w:p w14:paraId="206480A0" w14:textId="77777777" w:rsidR="000D5B7C" w:rsidRPr="000D5B7C" w:rsidRDefault="000D5B7C" w:rsidP="000D5B7C">
            <w:pPr>
              <w:pStyle w:val="NoSpacing"/>
              <w:jc w:val="center"/>
              <w:rPr>
                <w:rFonts w:ascii="Times New Roman" w:hAnsi="Times New Roman" w:cs="Times New Roman"/>
                <w:szCs w:val="24"/>
              </w:rPr>
            </w:pPr>
            <w:r w:rsidRPr="000D5B7C">
              <w:rPr>
                <w:rFonts w:ascii="Times New Roman" w:hAnsi="Times New Roman" w:cs="Times New Roman"/>
                <w:szCs w:val="24"/>
              </w:rPr>
              <w:t>Capital</w:t>
            </w:r>
          </w:p>
        </w:tc>
        <w:tc>
          <w:tcPr>
            <w:tcW w:w="0" w:type="auto"/>
            <w:hideMark/>
          </w:tcPr>
          <w:p w14:paraId="4AA73624" w14:textId="77777777" w:rsidR="000D5B7C" w:rsidRPr="00D43584" w:rsidRDefault="000D5B7C" w:rsidP="00B77C0B">
            <w:pPr>
              <w:pStyle w:val="NoSpacing"/>
              <w:jc w:val="center"/>
              <w:rPr>
                <w:rFonts w:ascii="Times New Roman" w:hAnsi="Times New Roman" w:cs="Times New Roman"/>
                <w:szCs w:val="24"/>
              </w:rPr>
            </w:pPr>
            <w:r w:rsidRPr="00D43584">
              <w:rPr>
                <w:rFonts w:ascii="Times New Roman" w:hAnsi="Times New Roman" w:cs="Times New Roman"/>
                <w:szCs w:val="24"/>
              </w:rPr>
              <w:t>-79</w:t>
            </w:r>
          </w:p>
        </w:tc>
        <w:tc>
          <w:tcPr>
            <w:tcW w:w="0" w:type="auto"/>
            <w:hideMark/>
          </w:tcPr>
          <w:p w14:paraId="0BD4EFE1" w14:textId="77777777" w:rsidR="000D5B7C" w:rsidRPr="00D43584" w:rsidRDefault="000D5B7C" w:rsidP="00B77C0B">
            <w:pPr>
              <w:pStyle w:val="NoSpacing"/>
              <w:jc w:val="center"/>
              <w:rPr>
                <w:rFonts w:ascii="Times New Roman" w:hAnsi="Times New Roman" w:cs="Times New Roman"/>
                <w:szCs w:val="24"/>
              </w:rPr>
            </w:pPr>
            <w:r w:rsidRPr="00D43584">
              <w:rPr>
                <w:rFonts w:ascii="Times New Roman" w:hAnsi="Times New Roman" w:cs="Times New Roman"/>
                <w:szCs w:val="24"/>
              </w:rPr>
              <w:t>-3780</w:t>
            </w:r>
          </w:p>
        </w:tc>
        <w:tc>
          <w:tcPr>
            <w:tcW w:w="0" w:type="auto"/>
            <w:hideMark/>
          </w:tcPr>
          <w:p w14:paraId="03033454" w14:textId="77777777" w:rsidR="000D5B7C" w:rsidRPr="00D43584" w:rsidRDefault="000D5B7C" w:rsidP="00B77C0B">
            <w:pPr>
              <w:pStyle w:val="NoSpacing"/>
              <w:jc w:val="center"/>
              <w:rPr>
                <w:rFonts w:ascii="Times New Roman" w:hAnsi="Times New Roman" w:cs="Times New Roman"/>
                <w:szCs w:val="24"/>
              </w:rPr>
            </w:pPr>
            <w:r w:rsidRPr="00D43584">
              <w:rPr>
                <w:rFonts w:ascii="Times New Roman" w:hAnsi="Times New Roman" w:cs="Times New Roman"/>
                <w:szCs w:val="24"/>
              </w:rPr>
              <w:t>-254</w:t>
            </w:r>
          </w:p>
        </w:tc>
        <w:tc>
          <w:tcPr>
            <w:tcW w:w="0" w:type="auto"/>
            <w:hideMark/>
          </w:tcPr>
          <w:p w14:paraId="2CFB26BA" w14:textId="77777777" w:rsidR="000D5B7C" w:rsidRPr="00D43584" w:rsidRDefault="000D5B7C" w:rsidP="00B77C0B">
            <w:pPr>
              <w:pStyle w:val="NoSpacing"/>
              <w:jc w:val="center"/>
              <w:rPr>
                <w:rFonts w:ascii="Times New Roman" w:hAnsi="Times New Roman" w:cs="Times New Roman"/>
                <w:szCs w:val="24"/>
              </w:rPr>
            </w:pPr>
            <w:r w:rsidRPr="00D43584">
              <w:rPr>
                <w:rFonts w:ascii="Times New Roman" w:hAnsi="Times New Roman" w:cs="Times New Roman"/>
                <w:szCs w:val="24"/>
              </w:rPr>
              <w:t>-6636</w:t>
            </w:r>
          </w:p>
        </w:tc>
        <w:tc>
          <w:tcPr>
            <w:tcW w:w="0" w:type="auto"/>
            <w:hideMark/>
          </w:tcPr>
          <w:p w14:paraId="3A09677E" w14:textId="77777777" w:rsidR="000D5B7C" w:rsidRPr="00D43584" w:rsidRDefault="000D5B7C" w:rsidP="00B77C0B">
            <w:pPr>
              <w:pStyle w:val="NoSpacing"/>
              <w:jc w:val="center"/>
              <w:rPr>
                <w:rFonts w:ascii="Times New Roman" w:hAnsi="Times New Roman" w:cs="Times New Roman"/>
                <w:szCs w:val="24"/>
              </w:rPr>
            </w:pPr>
            <w:r w:rsidRPr="00D43584">
              <w:rPr>
                <w:rFonts w:ascii="Times New Roman" w:hAnsi="Times New Roman" w:cs="Times New Roman"/>
                <w:szCs w:val="24"/>
              </w:rPr>
              <w:t>-7775</w:t>
            </w:r>
          </w:p>
        </w:tc>
        <w:tc>
          <w:tcPr>
            <w:tcW w:w="0" w:type="auto"/>
            <w:hideMark/>
          </w:tcPr>
          <w:p w14:paraId="15D426EA" w14:textId="77777777" w:rsidR="000D5B7C" w:rsidRPr="00D43584" w:rsidRDefault="000D5B7C" w:rsidP="00B77C0B">
            <w:pPr>
              <w:pStyle w:val="NoSpacing"/>
              <w:jc w:val="center"/>
              <w:rPr>
                <w:rFonts w:ascii="Times New Roman" w:hAnsi="Times New Roman" w:cs="Times New Roman"/>
                <w:szCs w:val="24"/>
              </w:rPr>
            </w:pPr>
            <w:r w:rsidRPr="00D43584">
              <w:rPr>
                <w:rFonts w:ascii="Times New Roman" w:hAnsi="Times New Roman" w:cs="Times New Roman"/>
                <w:szCs w:val="24"/>
              </w:rPr>
              <w:t>-7970</w:t>
            </w:r>
          </w:p>
        </w:tc>
        <w:tc>
          <w:tcPr>
            <w:tcW w:w="0" w:type="auto"/>
            <w:hideMark/>
          </w:tcPr>
          <w:p w14:paraId="06E5A632" w14:textId="77777777" w:rsidR="000D5B7C" w:rsidRPr="00D43584" w:rsidRDefault="000D5B7C" w:rsidP="00B77C0B">
            <w:pPr>
              <w:pStyle w:val="NoSpacing"/>
              <w:jc w:val="center"/>
              <w:rPr>
                <w:rFonts w:ascii="Times New Roman" w:hAnsi="Times New Roman" w:cs="Times New Roman"/>
                <w:szCs w:val="24"/>
              </w:rPr>
            </w:pPr>
            <w:r w:rsidRPr="00D43584">
              <w:rPr>
                <w:rFonts w:ascii="Times New Roman" w:hAnsi="Times New Roman" w:cs="Times New Roman"/>
                <w:szCs w:val="24"/>
              </w:rPr>
              <w:t>-5057</w:t>
            </w:r>
          </w:p>
        </w:tc>
        <w:tc>
          <w:tcPr>
            <w:tcW w:w="0" w:type="auto"/>
            <w:hideMark/>
          </w:tcPr>
          <w:p w14:paraId="33256EB5" w14:textId="77777777" w:rsidR="000D5B7C" w:rsidRPr="00D43584" w:rsidRDefault="000D5B7C" w:rsidP="00B77C0B">
            <w:pPr>
              <w:pStyle w:val="NoSpacing"/>
              <w:jc w:val="center"/>
              <w:rPr>
                <w:rFonts w:ascii="Times New Roman" w:hAnsi="Times New Roman" w:cs="Times New Roman"/>
                <w:szCs w:val="24"/>
              </w:rPr>
            </w:pPr>
            <w:r w:rsidRPr="00D43584">
              <w:rPr>
                <w:rFonts w:ascii="Times New Roman" w:hAnsi="Times New Roman" w:cs="Times New Roman"/>
                <w:szCs w:val="24"/>
              </w:rPr>
              <w:t>-8802</w:t>
            </w:r>
          </w:p>
        </w:tc>
        <w:tc>
          <w:tcPr>
            <w:tcW w:w="0" w:type="auto"/>
            <w:hideMark/>
          </w:tcPr>
          <w:p w14:paraId="3E14E57A" w14:textId="77777777" w:rsidR="000D5B7C" w:rsidRPr="00D43584" w:rsidRDefault="000D5B7C" w:rsidP="00B77C0B">
            <w:pPr>
              <w:pStyle w:val="NoSpacing"/>
              <w:jc w:val="center"/>
              <w:rPr>
                <w:rFonts w:ascii="Times New Roman" w:hAnsi="Times New Roman" w:cs="Times New Roman"/>
                <w:szCs w:val="24"/>
              </w:rPr>
            </w:pPr>
            <w:r w:rsidRPr="00D43584">
              <w:rPr>
                <w:rFonts w:ascii="Times New Roman" w:hAnsi="Times New Roman" w:cs="Times New Roman"/>
                <w:szCs w:val="24"/>
              </w:rPr>
              <w:t>-8294</w:t>
            </w:r>
          </w:p>
        </w:tc>
      </w:tr>
      <w:tr w:rsidR="000D5B7C" w:rsidRPr="000D5B7C" w14:paraId="039DC023" w14:textId="77777777" w:rsidTr="000D5B7C">
        <w:trPr>
          <w:trHeight w:val="397"/>
          <w:jc w:val="center"/>
        </w:trPr>
        <w:tc>
          <w:tcPr>
            <w:tcW w:w="0" w:type="auto"/>
            <w:vAlign w:val="center"/>
            <w:hideMark/>
          </w:tcPr>
          <w:p w14:paraId="1C6E0BFB" w14:textId="77777777" w:rsidR="000D5B7C" w:rsidRPr="000D5B7C" w:rsidRDefault="000D5B7C" w:rsidP="000D5B7C">
            <w:pPr>
              <w:pStyle w:val="NoSpacing"/>
              <w:jc w:val="center"/>
              <w:rPr>
                <w:rFonts w:ascii="Times New Roman" w:hAnsi="Times New Roman" w:cs="Times New Roman"/>
                <w:szCs w:val="24"/>
              </w:rPr>
            </w:pPr>
          </w:p>
        </w:tc>
        <w:tc>
          <w:tcPr>
            <w:tcW w:w="0" w:type="auto"/>
            <w:vAlign w:val="center"/>
            <w:hideMark/>
          </w:tcPr>
          <w:p w14:paraId="44CE5E32" w14:textId="77777777" w:rsidR="000D5B7C" w:rsidRPr="000D5B7C" w:rsidRDefault="000D5B7C" w:rsidP="000D5B7C">
            <w:pPr>
              <w:pStyle w:val="NoSpacing"/>
              <w:jc w:val="center"/>
              <w:rPr>
                <w:rFonts w:ascii="Times New Roman" w:hAnsi="Times New Roman" w:cs="Times New Roman"/>
                <w:szCs w:val="24"/>
              </w:rPr>
            </w:pPr>
            <w:r w:rsidRPr="000D5B7C">
              <w:rPr>
                <w:rFonts w:ascii="Times New Roman" w:hAnsi="Times New Roman" w:cs="Times New Roman"/>
                <w:szCs w:val="24"/>
              </w:rPr>
              <w:t>Overall</w:t>
            </w:r>
          </w:p>
        </w:tc>
        <w:tc>
          <w:tcPr>
            <w:tcW w:w="0" w:type="auto"/>
            <w:hideMark/>
          </w:tcPr>
          <w:p w14:paraId="3C007EFA" w14:textId="77777777" w:rsidR="000D5B7C" w:rsidRPr="000D5B7C" w:rsidRDefault="000D5B7C" w:rsidP="00B77C0B">
            <w:pPr>
              <w:pStyle w:val="NoSpacing"/>
              <w:jc w:val="center"/>
              <w:rPr>
                <w:rFonts w:ascii="Times New Roman" w:hAnsi="Times New Roman" w:cs="Times New Roman"/>
                <w:sz w:val="20"/>
                <w:szCs w:val="20"/>
              </w:rPr>
            </w:pPr>
            <w:r w:rsidRPr="000D5B7C">
              <w:rPr>
                <w:rFonts w:ascii="Times New Roman" w:hAnsi="Times New Roman" w:cs="Times New Roman"/>
                <w:sz w:val="20"/>
                <w:szCs w:val="20"/>
              </w:rPr>
              <w:t>-7647</w:t>
            </w:r>
          </w:p>
        </w:tc>
        <w:tc>
          <w:tcPr>
            <w:tcW w:w="0" w:type="auto"/>
            <w:hideMark/>
          </w:tcPr>
          <w:p w14:paraId="7A141C5A" w14:textId="77777777" w:rsidR="000D5B7C" w:rsidRPr="000D5B7C" w:rsidRDefault="000D5B7C" w:rsidP="00B77C0B">
            <w:pPr>
              <w:pStyle w:val="NoSpacing"/>
              <w:jc w:val="center"/>
              <w:rPr>
                <w:rFonts w:ascii="Times New Roman" w:hAnsi="Times New Roman" w:cs="Times New Roman"/>
                <w:sz w:val="20"/>
                <w:szCs w:val="20"/>
              </w:rPr>
            </w:pPr>
            <w:r w:rsidRPr="000D5B7C">
              <w:rPr>
                <w:rFonts w:ascii="Times New Roman" w:hAnsi="Times New Roman" w:cs="Times New Roman"/>
                <w:sz w:val="20"/>
                <w:szCs w:val="20"/>
              </w:rPr>
              <w:t>-10905</w:t>
            </w:r>
          </w:p>
        </w:tc>
        <w:tc>
          <w:tcPr>
            <w:tcW w:w="0" w:type="auto"/>
            <w:hideMark/>
          </w:tcPr>
          <w:p w14:paraId="7090993C" w14:textId="77777777" w:rsidR="000D5B7C" w:rsidRPr="000D5B7C" w:rsidRDefault="000D5B7C" w:rsidP="00B77C0B">
            <w:pPr>
              <w:pStyle w:val="NoSpacing"/>
              <w:jc w:val="center"/>
              <w:rPr>
                <w:rFonts w:ascii="Times New Roman" w:hAnsi="Times New Roman" w:cs="Times New Roman"/>
                <w:sz w:val="20"/>
                <w:szCs w:val="20"/>
              </w:rPr>
            </w:pPr>
            <w:r w:rsidRPr="000D5B7C">
              <w:rPr>
                <w:rFonts w:ascii="Times New Roman" w:hAnsi="Times New Roman" w:cs="Times New Roman"/>
                <w:sz w:val="20"/>
                <w:szCs w:val="20"/>
              </w:rPr>
              <w:t>-3770</w:t>
            </w:r>
          </w:p>
        </w:tc>
        <w:tc>
          <w:tcPr>
            <w:tcW w:w="0" w:type="auto"/>
            <w:hideMark/>
          </w:tcPr>
          <w:p w14:paraId="76538C67" w14:textId="77777777" w:rsidR="000D5B7C" w:rsidRPr="000D5B7C" w:rsidRDefault="000D5B7C" w:rsidP="00B77C0B">
            <w:pPr>
              <w:pStyle w:val="NoSpacing"/>
              <w:jc w:val="center"/>
              <w:rPr>
                <w:rFonts w:ascii="Times New Roman" w:hAnsi="Times New Roman" w:cs="Times New Roman"/>
                <w:sz w:val="20"/>
                <w:szCs w:val="20"/>
              </w:rPr>
            </w:pPr>
            <w:r w:rsidRPr="000D5B7C">
              <w:rPr>
                <w:rFonts w:ascii="Times New Roman" w:hAnsi="Times New Roman" w:cs="Times New Roman"/>
                <w:sz w:val="20"/>
                <w:szCs w:val="20"/>
              </w:rPr>
              <w:t>-4662</w:t>
            </w:r>
          </w:p>
        </w:tc>
        <w:tc>
          <w:tcPr>
            <w:tcW w:w="0" w:type="auto"/>
            <w:hideMark/>
          </w:tcPr>
          <w:p w14:paraId="7E3E4420" w14:textId="77777777" w:rsidR="000D5B7C" w:rsidRPr="000D5B7C" w:rsidRDefault="000D5B7C" w:rsidP="00B77C0B">
            <w:pPr>
              <w:pStyle w:val="NoSpacing"/>
              <w:jc w:val="center"/>
              <w:rPr>
                <w:rFonts w:ascii="Times New Roman" w:hAnsi="Times New Roman" w:cs="Times New Roman"/>
                <w:sz w:val="20"/>
                <w:szCs w:val="20"/>
              </w:rPr>
            </w:pPr>
            <w:r w:rsidRPr="000D5B7C">
              <w:rPr>
                <w:rFonts w:ascii="Times New Roman" w:hAnsi="Times New Roman" w:cs="Times New Roman"/>
                <w:sz w:val="20"/>
                <w:szCs w:val="20"/>
              </w:rPr>
              <w:t>-12048</w:t>
            </w:r>
          </w:p>
        </w:tc>
        <w:tc>
          <w:tcPr>
            <w:tcW w:w="0" w:type="auto"/>
            <w:hideMark/>
          </w:tcPr>
          <w:p w14:paraId="35C87171" w14:textId="77777777" w:rsidR="000D5B7C" w:rsidRPr="000D5B7C" w:rsidRDefault="000D5B7C" w:rsidP="00B77C0B">
            <w:pPr>
              <w:pStyle w:val="NoSpacing"/>
              <w:jc w:val="center"/>
              <w:rPr>
                <w:rFonts w:ascii="Times New Roman" w:hAnsi="Times New Roman" w:cs="Times New Roman"/>
                <w:sz w:val="20"/>
                <w:szCs w:val="20"/>
              </w:rPr>
            </w:pPr>
            <w:r w:rsidRPr="000D5B7C">
              <w:rPr>
                <w:rFonts w:ascii="Times New Roman" w:hAnsi="Times New Roman" w:cs="Times New Roman"/>
                <w:sz w:val="20"/>
                <w:szCs w:val="20"/>
              </w:rPr>
              <w:t>-13253</w:t>
            </w:r>
          </w:p>
        </w:tc>
        <w:tc>
          <w:tcPr>
            <w:tcW w:w="0" w:type="auto"/>
            <w:hideMark/>
          </w:tcPr>
          <w:p w14:paraId="65B4D297" w14:textId="77777777" w:rsidR="000D5B7C" w:rsidRPr="000D5B7C" w:rsidRDefault="000D5B7C" w:rsidP="00B77C0B">
            <w:pPr>
              <w:pStyle w:val="NoSpacing"/>
              <w:jc w:val="center"/>
              <w:rPr>
                <w:rFonts w:ascii="Times New Roman" w:hAnsi="Times New Roman" w:cs="Times New Roman"/>
                <w:sz w:val="20"/>
                <w:szCs w:val="20"/>
              </w:rPr>
            </w:pPr>
            <w:r w:rsidRPr="000D5B7C">
              <w:rPr>
                <w:rFonts w:ascii="Times New Roman" w:hAnsi="Times New Roman" w:cs="Times New Roman"/>
                <w:sz w:val="20"/>
                <w:szCs w:val="20"/>
              </w:rPr>
              <w:t>-10451</w:t>
            </w:r>
          </w:p>
        </w:tc>
        <w:tc>
          <w:tcPr>
            <w:tcW w:w="0" w:type="auto"/>
            <w:hideMark/>
          </w:tcPr>
          <w:p w14:paraId="64FFE330" w14:textId="77777777" w:rsidR="000D5B7C" w:rsidRPr="000D5B7C" w:rsidRDefault="000D5B7C" w:rsidP="00B77C0B">
            <w:pPr>
              <w:pStyle w:val="NoSpacing"/>
              <w:jc w:val="center"/>
              <w:rPr>
                <w:rFonts w:ascii="Times New Roman" w:hAnsi="Times New Roman" w:cs="Times New Roman"/>
                <w:sz w:val="20"/>
                <w:szCs w:val="20"/>
              </w:rPr>
            </w:pPr>
            <w:r w:rsidRPr="000D5B7C">
              <w:rPr>
                <w:rFonts w:ascii="Times New Roman" w:hAnsi="Times New Roman" w:cs="Times New Roman"/>
                <w:sz w:val="20"/>
                <w:szCs w:val="20"/>
              </w:rPr>
              <w:t>-11159</w:t>
            </w:r>
          </w:p>
        </w:tc>
        <w:tc>
          <w:tcPr>
            <w:tcW w:w="0" w:type="auto"/>
            <w:hideMark/>
          </w:tcPr>
          <w:p w14:paraId="47BB9DB3" w14:textId="77777777" w:rsidR="000D5B7C" w:rsidRPr="000D5B7C" w:rsidRDefault="000D5B7C" w:rsidP="00B77C0B">
            <w:pPr>
              <w:pStyle w:val="NoSpacing"/>
              <w:jc w:val="center"/>
              <w:rPr>
                <w:rFonts w:ascii="Times New Roman" w:hAnsi="Times New Roman" w:cs="Times New Roman"/>
                <w:sz w:val="20"/>
                <w:szCs w:val="20"/>
              </w:rPr>
            </w:pPr>
            <w:r w:rsidRPr="000D5B7C">
              <w:rPr>
                <w:rFonts w:ascii="Times New Roman" w:hAnsi="Times New Roman" w:cs="Times New Roman"/>
                <w:sz w:val="20"/>
                <w:szCs w:val="20"/>
              </w:rPr>
              <w:t>-8834</w:t>
            </w:r>
          </w:p>
        </w:tc>
      </w:tr>
    </w:tbl>
    <w:p w14:paraId="3886A4CD" w14:textId="77777777" w:rsidR="00E74747" w:rsidRPr="000D5B7C" w:rsidRDefault="00E74747" w:rsidP="00E74747">
      <w:pPr>
        <w:tabs>
          <w:tab w:val="left" w:pos="4875"/>
        </w:tabs>
        <w:rPr>
          <w:rFonts w:ascii="Times New Roman" w:hAnsi="Times New Roman" w:cs="Times New Roman"/>
          <w:sz w:val="20"/>
          <w:szCs w:val="20"/>
        </w:rPr>
      </w:pPr>
      <w:r w:rsidRPr="000D5B7C">
        <w:rPr>
          <w:rFonts w:ascii="Times New Roman" w:hAnsi="Times New Roman" w:cs="Times New Roman"/>
          <w:sz w:val="20"/>
          <w:szCs w:val="20"/>
        </w:rPr>
        <w:t>Note: The estimates and the actuals exclude</w:t>
      </w:r>
      <w:r w:rsidRPr="000D5B7C">
        <w:rPr>
          <w:rFonts w:ascii="Times New Roman" w:hAnsi="Times New Roman" w:cs="Times New Roman"/>
          <w:sz w:val="20"/>
          <w:szCs w:val="20"/>
        </w:rPr>
        <w:br/>
        <w:t>(i) Ad hoc loans advanced by the Central Government to the States to clear overdrafts; and</w:t>
      </w:r>
      <w:r w:rsidRPr="000D5B7C">
        <w:rPr>
          <w:rFonts w:ascii="Times New Roman" w:hAnsi="Times New Roman" w:cs="Times New Roman"/>
          <w:sz w:val="20"/>
          <w:szCs w:val="20"/>
        </w:rPr>
        <w:br/>
        <w:t>(ii) Ways and means advances (net) from the Reserve Bank of India in excess of the normal (clean advances) limits.</w:t>
      </w:r>
    </w:p>
    <w:p w14:paraId="206D1874" w14:textId="77777777" w:rsidR="00E74747" w:rsidRPr="000D5B7C" w:rsidRDefault="00E74747" w:rsidP="00E74747">
      <w:pPr>
        <w:tabs>
          <w:tab w:val="left" w:pos="4875"/>
        </w:tabs>
        <w:rPr>
          <w:rFonts w:ascii="Times New Roman" w:hAnsi="Times New Roman" w:cs="Times New Roman"/>
          <w:sz w:val="20"/>
          <w:szCs w:val="20"/>
        </w:rPr>
      </w:pPr>
      <w:r w:rsidRPr="000D5B7C">
        <w:rPr>
          <w:rFonts w:ascii="Times New Roman" w:hAnsi="Times New Roman" w:cs="Times New Roman"/>
          <w:sz w:val="20"/>
          <w:szCs w:val="20"/>
        </w:rPr>
        <w:t>Source: State Budgets, Reserve Bank of India and Ministry of Finance, Government of India.</w:t>
      </w:r>
    </w:p>
    <w:p w14:paraId="790F4EE0" w14:textId="77777777" w:rsidR="00F83D16" w:rsidRPr="00D43584" w:rsidRDefault="00E74747" w:rsidP="00E74747">
      <w:pPr>
        <w:rPr>
          <w:rFonts w:ascii="Times New Roman" w:hAnsi="Times New Roman" w:cs="Times New Roman"/>
          <w:szCs w:val="24"/>
        </w:rPr>
      </w:pPr>
      <w:r w:rsidRPr="00D43584">
        <w:rPr>
          <w:rFonts w:ascii="Times New Roman" w:hAnsi="Times New Roman" w:cs="Times New Roman"/>
          <w:szCs w:val="24"/>
        </w:rPr>
        <w:br w:type="page"/>
      </w:r>
    </w:p>
    <w:p w14:paraId="3038031F" w14:textId="45FFF6FC" w:rsidR="00F83D16" w:rsidRPr="00D43584" w:rsidRDefault="00F83D16" w:rsidP="00E74747">
      <w:pPr>
        <w:rPr>
          <w:rFonts w:ascii="Times New Roman" w:hAnsi="Times New Roman" w:cs="Times New Roman"/>
          <w:szCs w:val="24"/>
        </w:rPr>
        <w:sectPr w:rsidR="00F83D16" w:rsidRPr="00D43584" w:rsidSect="00A148E6">
          <w:pgSz w:w="15840" w:h="12240" w:orient="landscape"/>
          <w:pgMar w:top="1440" w:right="992" w:bottom="1440" w:left="1440" w:header="720" w:footer="720" w:gutter="0"/>
          <w:cols w:space="720"/>
        </w:sectPr>
      </w:pPr>
    </w:p>
    <w:p w14:paraId="6AB21CDE" w14:textId="008F94ED" w:rsidR="00626B91" w:rsidRDefault="00F83D16" w:rsidP="00122CF8">
      <w:pPr>
        <w:pStyle w:val="Heading2"/>
        <w:spacing w:after="0"/>
      </w:pPr>
      <w:bookmarkStart w:id="272" w:name="_Toc220949766"/>
      <w:bookmarkStart w:id="273" w:name="_Toc221115391"/>
      <w:r w:rsidRPr="00D43584">
        <w:lastRenderedPageBreak/>
        <w:t>APPENDIX IV</w:t>
      </w:r>
      <w:r w:rsidR="00626B91">
        <w:t xml:space="preserve"> </w:t>
      </w:r>
      <w:r w:rsidR="00626B91">
        <w:br/>
      </w:r>
      <w:r w:rsidRPr="00D43584">
        <w:t>TRANSFER OF FUNDS TO THE STATES BY WAY OF SHARE OF TAXES AND DUTIES AND GRANTS UNDER ARTICLE 275</w:t>
      </w:r>
      <w:bookmarkEnd w:id="272"/>
      <w:bookmarkEnd w:id="273"/>
    </w:p>
    <w:p w14:paraId="0BA06F61" w14:textId="77777777" w:rsidR="00122CF8" w:rsidRDefault="00626B91" w:rsidP="00122CF8">
      <w:pPr>
        <w:tabs>
          <w:tab w:val="left" w:pos="4875"/>
        </w:tabs>
        <w:jc w:val="center"/>
        <w:rPr>
          <w:rFonts w:ascii="Times New Roman" w:hAnsi="Times New Roman" w:cs="Times New Roman"/>
          <w:szCs w:val="24"/>
        </w:rPr>
      </w:pPr>
      <w:r w:rsidRPr="00D43584">
        <w:rPr>
          <w:rFonts w:ascii="Times New Roman" w:hAnsi="Times New Roman" w:cs="Times New Roman"/>
          <w:i/>
          <w:iCs/>
          <w:szCs w:val="24"/>
        </w:rPr>
        <w:t>(See paragraph 77)</w:t>
      </w:r>
      <w:r w:rsidR="00122CF8">
        <w:rPr>
          <w:rFonts w:ascii="Times New Roman" w:hAnsi="Times New Roman" w:cs="Times New Roman"/>
          <w:szCs w:val="24"/>
        </w:rPr>
        <w:t>\</w:t>
      </w:r>
    </w:p>
    <w:p w14:paraId="02F0535D" w14:textId="7699F6DD" w:rsidR="00122CF8" w:rsidRDefault="00F83D16" w:rsidP="00122CF8">
      <w:pPr>
        <w:tabs>
          <w:tab w:val="left" w:pos="4875"/>
        </w:tabs>
        <w:spacing w:after="0"/>
        <w:jc w:val="right"/>
        <w:rPr>
          <w:rFonts w:ascii="Times New Roman" w:hAnsi="Times New Roman" w:cs="Times New Roman"/>
          <w:i/>
          <w:iCs/>
          <w:szCs w:val="24"/>
        </w:rPr>
      </w:pPr>
      <w:r w:rsidRPr="00D43584">
        <w:rPr>
          <w:rFonts w:ascii="Times New Roman" w:hAnsi="Times New Roman" w:cs="Times New Roman"/>
          <w:i/>
          <w:iCs/>
          <w:szCs w:val="24"/>
        </w:rPr>
        <w:t xml:space="preserve"> (Rs. in crores)</w:t>
      </w:r>
    </w:p>
    <w:tbl>
      <w:tblPr>
        <w:tblW w:w="13464" w:type="dxa"/>
        <w:jc w:val="center"/>
        <w:tblLook w:val="04A0" w:firstRow="1" w:lastRow="0" w:firstColumn="1" w:lastColumn="0" w:noHBand="0" w:noVBand="1"/>
      </w:tblPr>
      <w:tblGrid>
        <w:gridCol w:w="1227"/>
        <w:gridCol w:w="2481"/>
        <w:gridCol w:w="1663"/>
        <w:gridCol w:w="1640"/>
        <w:gridCol w:w="1575"/>
        <w:gridCol w:w="1663"/>
        <w:gridCol w:w="1640"/>
        <w:gridCol w:w="1575"/>
      </w:tblGrid>
      <w:tr w:rsidR="00122CF8" w:rsidRPr="00122CF8" w14:paraId="2FD71A3E" w14:textId="77777777" w:rsidTr="006057F1">
        <w:trPr>
          <w:trHeight w:val="227"/>
          <w:jc w:val="center"/>
        </w:trPr>
        <w:tc>
          <w:tcPr>
            <w:tcW w:w="1227" w:type="dxa"/>
            <w:vMerge w:val="restart"/>
            <w:tcBorders>
              <w:top w:val="single" w:sz="4" w:space="0" w:color="auto"/>
              <w:left w:val="single" w:sz="4" w:space="0" w:color="auto"/>
              <w:bottom w:val="single" w:sz="4" w:space="0" w:color="auto"/>
              <w:right w:val="single" w:sz="4" w:space="0" w:color="auto"/>
            </w:tcBorders>
            <w:vAlign w:val="center"/>
            <w:hideMark/>
          </w:tcPr>
          <w:p w14:paraId="0B3F6594" w14:textId="77777777" w:rsidR="00122CF8" w:rsidRPr="00122CF8" w:rsidRDefault="00122CF8" w:rsidP="00122CF8">
            <w:pPr>
              <w:spacing w:after="0" w:line="240" w:lineRule="auto"/>
              <w:jc w:val="center"/>
              <w:rPr>
                <w:rFonts w:ascii="Times New Roman" w:eastAsia="Times New Roman" w:hAnsi="Times New Roman" w:cs="Times New Roman"/>
                <w:b/>
                <w:bCs/>
                <w:color w:val="000000"/>
                <w:kern w:val="0"/>
                <w:sz w:val="23"/>
                <w:szCs w:val="23"/>
                <w:lang w:eastAsia="en-IN"/>
                <w14:ligatures w14:val="none"/>
              </w:rPr>
            </w:pPr>
            <w:r w:rsidRPr="00122CF8">
              <w:rPr>
                <w:rFonts w:ascii="Times New Roman" w:eastAsia="Times New Roman" w:hAnsi="Times New Roman" w:cs="Times New Roman"/>
                <w:b/>
                <w:bCs/>
                <w:color w:val="000000"/>
                <w:kern w:val="0"/>
                <w:sz w:val="23"/>
                <w:szCs w:val="23"/>
                <w:lang w:eastAsia="en-IN"/>
                <w14:ligatures w14:val="none"/>
              </w:rPr>
              <w:t>S. No.</w:t>
            </w:r>
          </w:p>
        </w:tc>
        <w:tc>
          <w:tcPr>
            <w:tcW w:w="2481" w:type="dxa"/>
            <w:vMerge w:val="restart"/>
            <w:tcBorders>
              <w:top w:val="single" w:sz="4" w:space="0" w:color="auto"/>
              <w:left w:val="single" w:sz="4" w:space="0" w:color="auto"/>
              <w:bottom w:val="single" w:sz="4" w:space="0" w:color="auto"/>
              <w:right w:val="single" w:sz="4" w:space="0" w:color="auto"/>
            </w:tcBorders>
            <w:vAlign w:val="center"/>
            <w:hideMark/>
          </w:tcPr>
          <w:p w14:paraId="1A288D99" w14:textId="77777777" w:rsidR="00122CF8" w:rsidRPr="00122CF8" w:rsidRDefault="00122CF8" w:rsidP="00122CF8">
            <w:pPr>
              <w:spacing w:after="0" w:line="240" w:lineRule="auto"/>
              <w:jc w:val="center"/>
              <w:rPr>
                <w:rFonts w:ascii="Times New Roman" w:eastAsia="Times New Roman" w:hAnsi="Times New Roman" w:cs="Times New Roman"/>
                <w:b/>
                <w:bCs/>
                <w:color w:val="000000"/>
                <w:kern w:val="0"/>
                <w:sz w:val="23"/>
                <w:szCs w:val="23"/>
                <w:lang w:eastAsia="en-IN"/>
                <w14:ligatures w14:val="none"/>
              </w:rPr>
            </w:pPr>
            <w:r w:rsidRPr="00122CF8">
              <w:rPr>
                <w:rFonts w:ascii="Times New Roman" w:eastAsia="Times New Roman" w:hAnsi="Times New Roman" w:cs="Times New Roman"/>
                <w:b/>
                <w:bCs/>
                <w:color w:val="000000"/>
                <w:kern w:val="0"/>
                <w:sz w:val="23"/>
                <w:szCs w:val="23"/>
                <w:lang w:eastAsia="en-IN"/>
                <w14:ligatures w14:val="none"/>
              </w:rPr>
              <w:t>States</w:t>
            </w:r>
          </w:p>
        </w:tc>
        <w:tc>
          <w:tcPr>
            <w:tcW w:w="4878" w:type="dxa"/>
            <w:gridSpan w:val="3"/>
            <w:tcBorders>
              <w:top w:val="single" w:sz="4" w:space="0" w:color="auto"/>
              <w:left w:val="nil"/>
              <w:bottom w:val="single" w:sz="4" w:space="0" w:color="auto"/>
              <w:right w:val="single" w:sz="4" w:space="0" w:color="auto"/>
            </w:tcBorders>
            <w:vAlign w:val="center"/>
            <w:hideMark/>
          </w:tcPr>
          <w:p w14:paraId="20CCEE37" w14:textId="77777777" w:rsidR="00122CF8" w:rsidRPr="00122CF8" w:rsidRDefault="00122CF8" w:rsidP="00122CF8">
            <w:pPr>
              <w:spacing w:after="0" w:line="240" w:lineRule="auto"/>
              <w:jc w:val="center"/>
              <w:rPr>
                <w:rFonts w:ascii="Times New Roman" w:eastAsia="Times New Roman" w:hAnsi="Times New Roman" w:cs="Times New Roman"/>
                <w:b/>
                <w:bCs/>
                <w:color w:val="000000"/>
                <w:kern w:val="0"/>
                <w:sz w:val="23"/>
                <w:szCs w:val="23"/>
                <w:lang w:eastAsia="en-IN"/>
                <w14:ligatures w14:val="none"/>
              </w:rPr>
            </w:pPr>
            <w:r w:rsidRPr="00122CF8">
              <w:rPr>
                <w:rFonts w:ascii="Times New Roman" w:eastAsia="Times New Roman" w:hAnsi="Times New Roman" w:cs="Times New Roman"/>
                <w:b/>
                <w:bCs/>
                <w:color w:val="000000"/>
                <w:kern w:val="0"/>
                <w:sz w:val="23"/>
                <w:szCs w:val="23"/>
                <w:lang w:eastAsia="en-IN"/>
                <w14:ligatures w14:val="none"/>
              </w:rPr>
              <w:t>1968-69</w:t>
            </w:r>
          </w:p>
        </w:tc>
        <w:tc>
          <w:tcPr>
            <w:tcW w:w="4878" w:type="dxa"/>
            <w:gridSpan w:val="3"/>
            <w:tcBorders>
              <w:top w:val="single" w:sz="4" w:space="0" w:color="auto"/>
              <w:left w:val="nil"/>
              <w:bottom w:val="single" w:sz="4" w:space="0" w:color="auto"/>
              <w:right w:val="single" w:sz="4" w:space="0" w:color="auto"/>
            </w:tcBorders>
            <w:vAlign w:val="center"/>
            <w:hideMark/>
          </w:tcPr>
          <w:p w14:paraId="70DB8054" w14:textId="77777777" w:rsidR="00122CF8" w:rsidRPr="00122CF8" w:rsidRDefault="00122CF8" w:rsidP="00122CF8">
            <w:pPr>
              <w:spacing w:after="0" w:line="240" w:lineRule="auto"/>
              <w:jc w:val="center"/>
              <w:rPr>
                <w:rFonts w:ascii="Times New Roman" w:eastAsia="Times New Roman" w:hAnsi="Times New Roman" w:cs="Times New Roman"/>
                <w:b/>
                <w:bCs/>
                <w:color w:val="000000"/>
                <w:kern w:val="0"/>
                <w:sz w:val="23"/>
                <w:szCs w:val="23"/>
                <w:lang w:eastAsia="en-IN"/>
                <w14:ligatures w14:val="none"/>
              </w:rPr>
            </w:pPr>
            <w:r w:rsidRPr="00122CF8">
              <w:rPr>
                <w:rFonts w:ascii="Times New Roman" w:eastAsia="Times New Roman" w:hAnsi="Times New Roman" w:cs="Times New Roman"/>
                <w:b/>
                <w:bCs/>
                <w:color w:val="000000"/>
                <w:kern w:val="0"/>
                <w:sz w:val="23"/>
                <w:szCs w:val="23"/>
                <w:lang w:eastAsia="en-IN"/>
                <w14:ligatures w14:val="none"/>
              </w:rPr>
              <w:t>1969-70</w:t>
            </w:r>
          </w:p>
        </w:tc>
      </w:tr>
      <w:tr w:rsidR="00122CF8" w:rsidRPr="00122CF8" w14:paraId="4A04455E" w14:textId="77777777" w:rsidTr="006057F1">
        <w:trPr>
          <w:trHeight w:val="227"/>
          <w:jc w:val="center"/>
        </w:trPr>
        <w:tc>
          <w:tcPr>
            <w:tcW w:w="1227" w:type="dxa"/>
            <w:vMerge/>
            <w:tcBorders>
              <w:top w:val="single" w:sz="4" w:space="0" w:color="auto"/>
              <w:left w:val="single" w:sz="4" w:space="0" w:color="auto"/>
              <w:bottom w:val="single" w:sz="4" w:space="0" w:color="auto"/>
              <w:right w:val="single" w:sz="4" w:space="0" w:color="auto"/>
            </w:tcBorders>
            <w:vAlign w:val="center"/>
            <w:hideMark/>
          </w:tcPr>
          <w:p w14:paraId="6A167C96" w14:textId="77777777" w:rsidR="00122CF8" w:rsidRPr="00122CF8" w:rsidRDefault="00122CF8" w:rsidP="00122CF8">
            <w:pPr>
              <w:spacing w:after="0" w:line="240" w:lineRule="auto"/>
              <w:rPr>
                <w:rFonts w:ascii="Times New Roman" w:eastAsia="Times New Roman" w:hAnsi="Times New Roman" w:cs="Times New Roman"/>
                <w:b/>
                <w:bCs/>
                <w:color w:val="000000"/>
                <w:kern w:val="0"/>
                <w:sz w:val="23"/>
                <w:szCs w:val="23"/>
                <w:lang w:eastAsia="en-IN"/>
                <w14:ligatures w14:val="none"/>
              </w:rPr>
            </w:pPr>
          </w:p>
        </w:tc>
        <w:tc>
          <w:tcPr>
            <w:tcW w:w="2481" w:type="dxa"/>
            <w:vMerge/>
            <w:tcBorders>
              <w:top w:val="single" w:sz="4" w:space="0" w:color="auto"/>
              <w:left w:val="single" w:sz="4" w:space="0" w:color="auto"/>
              <w:bottom w:val="single" w:sz="4" w:space="0" w:color="auto"/>
              <w:right w:val="single" w:sz="4" w:space="0" w:color="auto"/>
            </w:tcBorders>
            <w:vAlign w:val="center"/>
            <w:hideMark/>
          </w:tcPr>
          <w:p w14:paraId="7BB66BF1" w14:textId="77777777" w:rsidR="00122CF8" w:rsidRPr="00122CF8" w:rsidRDefault="00122CF8" w:rsidP="00122CF8">
            <w:pPr>
              <w:spacing w:after="0" w:line="240" w:lineRule="auto"/>
              <w:rPr>
                <w:rFonts w:ascii="Times New Roman" w:eastAsia="Times New Roman" w:hAnsi="Times New Roman" w:cs="Times New Roman"/>
                <w:b/>
                <w:bCs/>
                <w:color w:val="000000"/>
                <w:kern w:val="0"/>
                <w:sz w:val="23"/>
                <w:szCs w:val="23"/>
                <w:lang w:eastAsia="en-IN"/>
                <w14:ligatures w14:val="none"/>
              </w:rPr>
            </w:pPr>
          </w:p>
        </w:tc>
        <w:tc>
          <w:tcPr>
            <w:tcW w:w="1663" w:type="dxa"/>
            <w:tcBorders>
              <w:top w:val="nil"/>
              <w:left w:val="nil"/>
              <w:bottom w:val="single" w:sz="4" w:space="0" w:color="auto"/>
              <w:right w:val="single" w:sz="4" w:space="0" w:color="auto"/>
            </w:tcBorders>
            <w:vAlign w:val="center"/>
            <w:hideMark/>
          </w:tcPr>
          <w:p w14:paraId="2057FA82" w14:textId="77777777" w:rsidR="00122CF8" w:rsidRPr="00122CF8" w:rsidRDefault="00122CF8" w:rsidP="00122CF8">
            <w:pPr>
              <w:spacing w:after="0" w:line="240" w:lineRule="auto"/>
              <w:jc w:val="center"/>
              <w:rPr>
                <w:rFonts w:ascii="Times New Roman" w:eastAsia="Times New Roman" w:hAnsi="Times New Roman" w:cs="Times New Roman"/>
                <w:b/>
                <w:bCs/>
                <w:color w:val="000000"/>
                <w:kern w:val="0"/>
                <w:sz w:val="23"/>
                <w:szCs w:val="23"/>
                <w:lang w:eastAsia="en-IN"/>
                <w14:ligatures w14:val="none"/>
              </w:rPr>
            </w:pPr>
            <w:r w:rsidRPr="00122CF8">
              <w:rPr>
                <w:rFonts w:ascii="Times New Roman" w:eastAsia="Times New Roman" w:hAnsi="Times New Roman" w:cs="Times New Roman"/>
                <w:b/>
                <w:bCs/>
                <w:color w:val="000000"/>
                <w:kern w:val="0"/>
                <w:sz w:val="23"/>
                <w:szCs w:val="23"/>
                <w:lang w:eastAsia="en-IN"/>
                <w14:ligatures w14:val="none"/>
              </w:rPr>
              <w:t>Share of Taxes and duties*</w:t>
            </w:r>
          </w:p>
        </w:tc>
        <w:tc>
          <w:tcPr>
            <w:tcW w:w="1640" w:type="dxa"/>
            <w:tcBorders>
              <w:top w:val="nil"/>
              <w:left w:val="nil"/>
              <w:bottom w:val="single" w:sz="4" w:space="0" w:color="auto"/>
              <w:right w:val="single" w:sz="4" w:space="0" w:color="auto"/>
            </w:tcBorders>
            <w:vAlign w:val="center"/>
            <w:hideMark/>
          </w:tcPr>
          <w:p w14:paraId="6A320DBD" w14:textId="77777777" w:rsidR="00122CF8" w:rsidRPr="00122CF8" w:rsidRDefault="00122CF8" w:rsidP="00122CF8">
            <w:pPr>
              <w:spacing w:after="0" w:line="240" w:lineRule="auto"/>
              <w:jc w:val="center"/>
              <w:rPr>
                <w:rFonts w:ascii="Times New Roman" w:eastAsia="Times New Roman" w:hAnsi="Times New Roman" w:cs="Times New Roman"/>
                <w:b/>
                <w:bCs/>
                <w:color w:val="000000"/>
                <w:kern w:val="0"/>
                <w:sz w:val="23"/>
                <w:szCs w:val="23"/>
                <w:lang w:eastAsia="en-IN"/>
                <w14:ligatures w14:val="none"/>
              </w:rPr>
            </w:pPr>
            <w:r w:rsidRPr="00122CF8">
              <w:rPr>
                <w:rFonts w:ascii="Times New Roman" w:eastAsia="Times New Roman" w:hAnsi="Times New Roman" w:cs="Times New Roman"/>
                <w:b/>
                <w:bCs/>
                <w:color w:val="000000"/>
                <w:kern w:val="0"/>
                <w:sz w:val="23"/>
                <w:szCs w:val="23"/>
                <w:lang w:eastAsia="en-IN"/>
                <w14:ligatures w14:val="none"/>
              </w:rPr>
              <w:t>Grants under Article 275</w:t>
            </w:r>
          </w:p>
        </w:tc>
        <w:tc>
          <w:tcPr>
            <w:tcW w:w="1574" w:type="dxa"/>
            <w:tcBorders>
              <w:top w:val="nil"/>
              <w:left w:val="nil"/>
              <w:bottom w:val="single" w:sz="4" w:space="0" w:color="auto"/>
              <w:right w:val="single" w:sz="4" w:space="0" w:color="auto"/>
            </w:tcBorders>
            <w:vAlign w:val="center"/>
            <w:hideMark/>
          </w:tcPr>
          <w:p w14:paraId="1D45F490" w14:textId="77777777" w:rsidR="00122CF8" w:rsidRPr="00122CF8" w:rsidRDefault="00122CF8" w:rsidP="00122CF8">
            <w:pPr>
              <w:spacing w:after="0" w:line="240" w:lineRule="auto"/>
              <w:jc w:val="center"/>
              <w:rPr>
                <w:rFonts w:ascii="Times New Roman" w:eastAsia="Times New Roman" w:hAnsi="Times New Roman" w:cs="Times New Roman"/>
                <w:b/>
                <w:bCs/>
                <w:color w:val="000000"/>
                <w:kern w:val="0"/>
                <w:sz w:val="23"/>
                <w:szCs w:val="23"/>
                <w:lang w:eastAsia="en-IN"/>
                <w14:ligatures w14:val="none"/>
              </w:rPr>
            </w:pPr>
            <w:r w:rsidRPr="00122CF8">
              <w:rPr>
                <w:rFonts w:ascii="Times New Roman" w:eastAsia="Times New Roman" w:hAnsi="Times New Roman" w:cs="Times New Roman"/>
                <w:b/>
                <w:bCs/>
                <w:color w:val="000000"/>
                <w:kern w:val="0"/>
                <w:sz w:val="23"/>
                <w:szCs w:val="23"/>
                <w:lang w:eastAsia="en-IN"/>
                <w14:ligatures w14:val="none"/>
              </w:rPr>
              <w:t>Total</w:t>
            </w:r>
          </w:p>
        </w:tc>
        <w:tc>
          <w:tcPr>
            <w:tcW w:w="1663" w:type="dxa"/>
            <w:tcBorders>
              <w:top w:val="nil"/>
              <w:left w:val="nil"/>
              <w:bottom w:val="single" w:sz="4" w:space="0" w:color="auto"/>
              <w:right w:val="single" w:sz="4" w:space="0" w:color="auto"/>
            </w:tcBorders>
            <w:vAlign w:val="center"/>
            <w:hideMark/>
          </w:tcPr>
          <w:p w14:paraId="1FC3F72E" w14:textId="77777777" w:rsidR="00122CF8" w:rsidRPr="00122CF8" w:rsidRDefault="00122CF8" w:rsidP="00122CF8">
            <w:pPr>
              <w:spacing w:after="0" w:line="240" w:lineRule="auto"/>
              <w:jc w:val="center"/>
              <w:rPr>
                <w:rFonts w:ascii="Times New Roman" w:eastAsia="Times New Roman" w:hAnsi="Times New Roman" w:cs="Times New Roman"/>
                <w:b/>
                <w:bCs/>
                <w:color w:val="000000"/>
                <w:kern w:val="0"/>
                <w:sz w:val="23"/>
                <w:szCs w:val="23"/>
                <w:lang w:eastAsia="en-IN"/>
                <w14:ligatures w14:val="none"/>
              </w:rPr>
            </w:pPr>
            <w:r w:rsidRPr="00122CF8">
              <w:rPr>
                <w:rFonts w:ascii="Times New Roman" w:eastAsia="Times New Roman" w:hAnsi="Times New Roman" w:cs="Times New Roman"/>
                <w:b/>
                <w:bCs/>
                <w:color w:val="000000"/>
                <w:kern w:val="0"/>
                <w:sz w:val="23"/>
                <w:szCs w:val="23"/>
                <w:lang w:eastAsia="en-IN"/>
                <w14:ligatures w14:val="none"/>
              </w:rPr>
              <w:t>Share of Taxes and duties*</w:t>
            </w:r>
          </w:p>
        </w:tc>
        <w:tc>
          <w:tcPr>
            <w:tcW w:w="1640" w:type="dxa"/>
            <w:tcBorders>
              <w:top w:val="nil"/>
              <w:left w:val="nil"/>
              <w:bottom w:val="single" w:sz="4" w:space="0" w:color="auto"/>
              <w:right w:val="single" w:sz="4" w:space="0" w:color="auto"/>
            </w:tcBorders>
            <w:vAlign w:val="center"/>
            <w:hideMark/>
          </w:tcPr>
          <w:p w14:paraId="3BEE6266" w14:textId="77777777" w:rsidR="00122CF8" w:rsidRPr="00122CF8" w:rsidRDefault="00122CF8" w:rsidP="00122CF8">
            <w:pPr>
              <w:spacing w:after="0" w:line="240" w:lineRule="auto"/>
              <w:jc w:val="center"/>
              <w:rPr>
                <w:rFonts w:ascii="Times New Roman" w:eastAsia="Times New Roman" w:hAnsi="Times New Roman" w:cs="Times New Roman"/>
                <w:b/>
                <w:bCs/>
                <w:color w:val="000000"/>
                <w:kern w:val="0"/>
                <w:sz w:val="23"/>
                <w:szCs w:val="23"/>
                <w:lang w:eastAsia="en-IN"/>
                <w14:ligatures w14:val="none"/>
              </w:rPr>
            </w:pPr>
            <w:r w:rsidRPr="00122CF8">
              <w:rPr>
                <w:rFonts w:ascii="Times New Roman" w:eastAsia="Times New Roman" w:hAnsi="Times New Roman" w:cs="Times New Roman"/>
                <w:b/>
                <w:bCs/>
                <w:color w:val="000000"/>
                <w:kern w:val="0"/>
                <w:sz w:val="23"/>
                <w:szCs w:val="23"/>
                <w:lang w:eastAsia="en-IN"/>
                <w14:ligatures w14:val="none"/>
              </w:rPr>
              <w:t>Grants under Article 275</w:t>
            </w:r>
          </w:p>
        </w:tc>
        <w:tc>
          <w:tcPr>
            <w:tcW w:w="1574" w:type="dxa"/>
            <w:tcBorders>
              <w:top w:val="nil"/>
              <w:left w:val="nil"/>
              <w:bottom w:val="single" w:sz="4" w:space="0" w:color="auto"/>
              <w:right w:val="single" w:sz="4" w:space="0" w:color="auto"/>
            </w:tcBorders>
            <w:vAlign w:val="center"/>
            <w:hideMark/>
          </w:tcPr>
          <w:p w14:paraId="4341AFDB" w14:textId="77777777" w:rsidR="00122CF8" w:rsidRPr="00122CF8" w:rsidRDefault="00122CF8" w:rsidP="00122CF8">
            <w:pPr>
              <w:spacing w:after="0" w:line="240" w:lineRule="auto"/>
              <w:jc w:val="center"/>
              <w:rPr>
                <w:rFonts w:ascii="Times New Roman" w:eastAsia="Times New Roman" w:hAnsi="Times New Roman" w:cs="Times New Roman"/>
                <w:b/>
                <w:bCs/>
                <w:color w:val="000000"/>
                <w:kern w:val="0"/>
                <w:sz w:val="23"/>
                <w:szCs w:val="23"/>
                <w:lang w:eastAsia="en-IN"/>
                <w14:ligatures w14:val="none"/>
              </w:rPr>
            </w:pPr>
            <w:r w:rsidRPr="00122CF8">
              <w:rPr>
                <w:rFonts w:ascii="Times New Roman" w:eastAsia="Times New Roman" w:hAnsi="Times New Roman" w:cs="Times New Roman"/>
                <w:b/>
                <w:bCs/>
                <w:color w:val="000000"/>
                <w:kern w:val="0"/>
                <w:sz w:val="23"/>
                <w:szCs w:val="23"/>
                <w:lang w:eastAsia="en-IN"/>
                <w14:ligatures w14:val="none"/>
              </w:rPr>
              <w:t>Total</w:t>
            </w:r>
          </w:p>
        </w:tc>
      </w:tr>
      <w:tr w:rsidR="00122CF8" w:rsidRPr="00122CF8" w14:paraId="037CD2F2" w14:textId="77777777" w:rsidTr="006057F1">
        <w:trPr>
          <w:trHeight w:val="227"/>
          <w:jc w:val="center"/>
        </w:trPr>
        <w:tc>
          <w:tcPr>
            <w:tcW w:w="1227" w:type="dxa"/>
            <w:tcBorders>
              <w:top w:val="nil"/>
              <w:left w:val="single" w:sz="4" w:space="0" w:color="auto"/>
              <w:bottom w:val="single" w:sz="4" w:space="0" w:color="auto"/>
              <w:right w:val="single" w:sz="4" w:space="0" w:color="auto"/>
            </w:tcBorders>
            <w:vAlign w:val="center"/>
            <w:hideMark/>
          </w:tcPr>
          <w:p w14:paraId="20E5F4B4" w14:textId="24DD8FB7" w:rsidR="00122CF8" w:rsidRPr="00122CF8" w:rsidRDefault="00122CF8" w:rsidP="00122CF8">
            <w:pPr>
              <w:spacing w:after="0" w:line="240" w:lineRule="auto"/>
              <w:jc w:val="center"/>
              <w:rPr>
                <w:rFonts w:ascii="Times New Roman" w:eastAsia="Times New Roman" w:hAnsi="Times New Roman" w:cs="Times New Roman"/>
                <w:b/>
                <w:bCs/>
                <w:color w:val="000000"/>
                <w:kern w:val="0"/>
                <w:sz w:val="23"/>
                <w:szCs w:val="23"/>
                <w:lang w:eastAsia="en-IN"/>
                <w14:ligatures w14:val="none"/>
              </w:rPr>
            </w:pPr>
            <w:r w:rsidRPr="00122CF8">
              <w:rPr>
                <w:rFonts w:ascii="Times New Roman" w:eastAsia="Times New Roman" w:hAnsi="Times New Roman" w:cs="Times New Roman"/>
                <w:b/>
                <w:bCs/>
                <w:color w:val="000000"/>
                <w:kern w:val="0"/>
                <w:sz w:val="23"/>
                <w:szCs w:val="23"/>
                <w:lang w:eastAsia="en-IN"/>
                <w14:ligatures w14:val="none"/>
              </w:rPr>
              <w:t>1</w:t>
            </w:r>
          </w:p>
        </w:tc>
        <w:tc>
          <w:tcPr>
            <w:tcW w:w="2481" w:type="dxa"/>
            <w:tcBorders>
              <w:top w:val="nil"/>
              <w:left w:val="nil"/>
              <w:bottom w:val="single" w:sz="4" w:space="0" w:color="auto"/>
              <w:right w:val="single" w:sz="4" w:space="0" w:color="auto"/>
            </w:tcBorders>
            <w:vAlign w:val="center"/>
            <w:hideMark/>
          </w:tcPr>
          <w:p w14:paraId="30E950CB" w14:textId="62DF3127" w:rsidR="00122CF8" w:rsidRPr="00122CF8" w:rsidRDefault="00122CF8" w:rsidP="00122CF8">
            <w:pPr>
              <w:spacing w:after="0" w:line="240" w:lineRule="auto"/>
              <w:jc w:val="center"/>
              <w:rPr>
                <w:rFonts w:ascii="Times New Roman" w:eastAsia="Times New Roman" w:hAnsi="Times New Roman" w:cs="Times New Roman"/>
                <w:b/>
                <w:bCs/>
                <w:color w:val="000000"/>
                <w:kern w:val="0"/>
                <w:sz w:val="23"/>
                <w:szCs w:val="23"/>
                <w:lang w:eastAsia="en-IN"/>
                <w14:ligatures w14:val="none"/>
              </w:rPr>
            </w:pPr>
            <w:r w:rsidRPr="00122CF8">
              <w:rPr>
                <w:rFonts w:ascii="Times New Roman" w:eastAsia="Times New Roman" w:hAnsi="Times New Roman" w:cs="Times New Roman"/>
                <w:b/>
                <w:bCs/>
                <w:color w:val="000000"/>
                <w:kern w:val="0"/>
                <w:sz w:val="23"/>
                <w:szCs w:val="23"/>
                <w:lang w:eastAsia="en-IN"/>
                <w14:ligatures w14:val="none"/>
              </w:rPr>
              <w:t>2</w:t>
            </w:r>
          </w:p>
        </w:tc>
        <w:tc>
          <w:tcPr>
            <w:tcW w:w="1663" w:type="dxa"/>
            <w:tcBorders>
              <w:top w:val="nil"/>
              <w:left w:val="nil"/>
              <w:bottom w:val="single" w:sz="4" w:space="0" w:color="auto"/>
              <w:right w:val="single" w:sz="4" w:space="0" w:color="auto"/>
            </w:tcBorders>
            <w:vAlign w:val="center"/>
            <w:hideMark/>
          </w:tcPr>
          <w:p w14:paraId="01CD4674" w14:textId="276D7E8F" w:rsidR="00122CF8" w:rsidRPr="00122CF8" w:rsidRDefault="00122CF8" w:rsidP="00122CF8">
            <w:pPr>
              <w:spacing w:after="0" w:line="240" w:lineRule="auto"/>
              <w:jc w:val="center"/>
              <w:rPr>
                <w:rFonts w:ascii="Times New Roman" w:eastAsia="Times New Roman" w:hAnsi="Times New Roman" w:cs="Times New Roman"/>
                <w:b/>
                <w:bCs/>
                <w:color w:val="000000"/>
                <w:kern w:val="0"/>
                <w:sz w:val="23"/>
                <w:szCs w:val="23"/>
                <w:lang w:eastAsia="en-IN"/>
                <w14:ligatures w14:val="none"/>
              </w:rPr>
            </w:pPr>
            <w:r w:rsidRPr="00122CF8">
              <w:rPr>
                <w:rFonts w:ascii="Times New Roman" w:eastAsia="Times New Roman" w:hAnsi="Times New Roman" w:cs="Times New Roman"/>
                <w:b/>
                <w:bCs/>
                <w:color w:val="000000"/>
                <w:kern w:val="0"/>
                <w:sz w:val="23"/>
                <w:szCs w:val="23"/>
                <w:lang w:eastAsia="en-IN"/>
                <w14:ligatures w14:val="none"/>
              </w:rPr>
              <w:t>3</w:t>
            </w:r>
          </w:p>
        </w:tc>
        <w:tc>
          <w:tcPr>
            <w:tcW w:w="1640" w:type="dxa"/>
            <w:tcBorders>
              <w:top w:val="nil"/>
              <w:left w:val="nil"/>
              <w:bottom w:val="single" w:sz="4" w:space="0" w:color="auto"/>
              <w:right w:val="single" w:sz="4" w:space="0" w:color="auto"/>
            </w:tcBorders>
            <w:vAlign w:val="center"/>
            <w:hideMark/>
          </w:tcPr>
          <w:p w14:paraId="3B14874A" w14:textId="2E9D022D" w:rsidR="00122CF8" w:rsidRPr="00122CF8" w:rsidRDefault="00122CF8" w:rsidP="00122CF8">
            <w:pPr>
              <w:spacing w:after="0" w:line="240" w:lineRule="auto"/>
              <w:jc w:val="center"/>
              <w:rPr>
                <w:rFonts w:ascii="Times New Roman" w:eastAsia="Times New Roman" w:hAnsi="Times New Roman" w:cs="Times New Roman"/>
                <w:b/>
                <w:bCs/>
                <w:color w:val="000000"/>
                <w:kern w:val="0"/>
                <w:sz w:val="23"/>
                <w:szCs w:val="23"/>
                <w:lang w:eastAsia="en-IN"/>
                <w14:ligatures w14:val="none"/>
              </w:rPr>
            </w:pPr>
            <w:r w:rsidRPr="00122CF8">
              <w:rPr>
                <w:rFonts w:ascii="Times New Roman" w:eastAsia="Times New Roman" w:hAnsi="Times New Roman" w:cs="Times New Roman"/>
                <w:b/>
                <w:bCs/>
                <w:color w:val="000000"/>
                <w:kern w:val="0"/>
                <w:sz w:val="23"/>
                <w:szCs w:val="23"/>
                <w:lang w:eastAsia="en-IN"/>
                <w14:ligatures w14:val="none"/>
              </w:rPr>
              <w:t>4</w:t>
            </w:r>
          </w:p>
        </w:tc>
        <w:tc>
          <w:tcPr>
            <w:tcW w:w="1574" w:type="dxa"/>
            <w:tcBorders>
              <w:top w:val="nil"/>
              <w:left w:val="nil"/>
              <w:bottom w:val="single" w:sz="4" w:space="0" w:color="auto"/>
              <w:right w:val="single" w:sz="4" w:space="0" w:color="auto"/>
            </w:tcBorders>
            <w:vAlign w:val="center"/>
            <w:hideMark/>
          </w:tcPr>
          <w:p w14:paraId="1D96EFBD" w14:textId="58694419" w:rsidR="00122CF8" w:rsidRPr="00122CF8" w:rsidRDefault="00122CF8" w:rsidP="00122CF8">
            <w:pPr>
              <w:spacing w:after="0" w:line="240" w:lineRule="auto"/>
              <w:jc w:val="center"/>
              <w:rPr>
                <w:rFonts w:ascii="Times New Roman" w:eastAsia="Times New Roman" w:hAnsi="Times New Roman" w:cs="Times New Roman"/>
                <w:b/>
                <w:bCs/>
                <w:color w:val="000000"/>
                <w:kern w:val="0"/>
                <w:sz w:val="23"/>
                <w:szCs w:val="23"/>
                <w:lang w:eastAsia="en-IN"/>
                <w14:ligatures w14:val="none"/>
              </w:rPr>
            </w:pPr>
            <w:r w:rsidRPr="00122CF8">
              <w:rPr>
                <w:rFonts w:ascii="Times New Roman" w:eastAsia="Times New Roman" w:hAnsi="Times New Roman" w:cs="Times New Roman"/>
                <w:b/>
                <w:bCs/>
                <w:color w:val="000000"/>
                <w:kern w:val="0"/>
                <w:sz w:val="23"/>
                <w:szCs w:val="23"/>
                <w:lang w:eastAsia="en-IN"/>
                <w14:ligatures w14:val="none"/>
              </w:rPr>
              <w:t>5</w:t>
            </w:r>
          </w:p>
        </w:tc>
        <w:tc>
          <w:tcPr>
            <w:tcW w:w="1663" w:type="dxa"/>
            <w:tcBorders>
              <w:top w:val="nil"/>
              <w:left w:val="nil"/>
              <w:bottom w:val="single" w:sz="4" w:space="0" w:color="auto"/>
              <w:right w:val="single" w:sz="4" w:space="0" w:color="auto"/>
            </w:tcBorders>
            <w:vAlign w:val="center"/>
            <w:hideMark/>
          </w:tcPr>
          <w:p w14:paraId="4277E593" w14:textId="5966656C" w:rsidR="00122CF8" w:rsidRPr="00122CF8" w:rsidRDefault="00122CF8" w:rsidP="00122CF8">
            <w:pPr>
              <w:spacing w:after="0" w:line="240" w:lineRule="auto"/>
              <w:jc w:val="center"/>
              <w:rPr>
                <w:rFonts w:ascii="Times New Roman" w:eastAsia="Times New Roman" w:hAnsi="Times New Roman" w:cs="Times New Roman"/>
                <w:b/>
                <w:bCs/>
                <w:color w:val="000000"/>
                <w:kern w:val="0"/>
                <w:sz w:val="23"/>
                <w:szCs w:val="23"/>
                <w:lang w:eastAsia="en-IN"/>
                <w14:ligatures w14:val="none"/>
              </w:rPr>
            </w:pPr>
            <w:r w:rsidRPr="00122CF8">
              <w:rPr>
                <w:rFonts w:ascii="Times New Roman" w:eastAsia="Times New Roman" w:hAnsi="Times New Roman" w:cs="Times New Roman"/>
                <w:b/>
                <w:bCs/>
                <w:color w:val="000000"/>
                <w:kern w:val="0"/>
                <w:sz w:val="23"/>
                <w:szCs w:val="23"/>
                <w:lang w:eastAsia="en-IN"/>
                <w14:ligatures w14:val="none"/>
              </w:rPr>
              <w:t>6</w:t>
            </w:r>
          </w:p>
        </w:tc>
        <w:tc>
          <w:tcPr>
            <w:tcW w:w="1640" w:type="dxa"/>
            <w:tcBorders>
              <w:top w:val="nil"/>
              <w:left w:val="nil"/>
              <w:bottom w:val="single" w:sz="4" w:space="0" w:color="auto"/>
              <w:right w:val="single" w:sz="4" w:space="0" w:color="auto"/>
            </w:tcBorders>
            <w:vAlign w:val="center"/>
            <w:hideMark/>
          </w:tcPr>
          <w:p w14:paraId="0CAF0FEC" w14:textId="484DC11E" w:rsidR="00122CF8" w:rsidRPr="00122CF8" w:rsidRDefault="00122CF8" w:rsidP="00122CF8">
            <w:pPr>
              <w:spacing w:after="0" w:line="240" w:lineRule="auto"/>
              <w:jc w:val="center"/>
              <w:rPr>
                <w:rFonts w:ascii="Times New Roman" w:eastAsia="Times New Roman" w:hAnsi="Times New Roman" w:cs="Times New Roman"/>
                <w:b/>
                <w:bCs/>
                <w:color w:val="000000"/>
                <w:kern w:val="0"/>
                <w:sz w:val="23"/>
                <w:szCs w:val="23"/>
                <w:lang w:eastAsia="en-IN"/>
                <w14:ligatures w14:val="none"/>
              </w:rPr>
            </w:pPr>
            <w:r w:rsidRPr="00122CF8">
              <w:rPr>
                <w:rFonts w:ascii="Times New Roman" w:eastAsia="Times New Roman" w:hAnsi="Times New Roman" w:cs="Times New Roman"/>
                <w:b/>
                <w:bCs/>
                <w:color w:val="000000"/>
                <w:kern w:val="0"/>
                <w:sz w:val="23"/>
                <w:szCs w:val="23"/>
                <w:lang w:eastAsia="en-IN"/>
                <w14:ligatures w14:val="none"/>
              </w:rPr>
              <w:t>7</w:t>
            </w:r>
          </w:p>
        </w:tc>
        <w:tc>
          <w:tcPr>
            <w:tcW w:w="1574" w:type="dxa"/>
            <w:tcBorders>
              <w:top w:val="nil"/>
              <w:left w:val="nil"/>
              <w:bottom w:val="single" w:sz="4" w:space="0" w:color="auto"/>
              <w:right w:val="single" w:sz="4" w:space="0" w:color="auto"/>
            </w:tcBorders>
            <w:vAlign w:val="center"/>
            <w:hideMark/>
          </w:tcPr>
          <w:p w14:paraId="33028A35" w14:textId="69F6706A" w:rsidR="00122CF8" w:rsidRPr="00122CF8" w:rsidRDefault="00122CF8" w:rsidP="00122CF8">
            <w:pPr>
              <w:spacing w:after="0" w:line="240" w:lineRule="auto"/>
              <w:jc w:val="center"/>
              <w:rPr>
                <w:rFonts w:ascii="Times New Roman" w:eastAsia="Times New Roman" w:hAnsi="Times New Roman" w:cs="Times New Roman"/>
                <w:b/>
                <w:bCs/>
                <w:color w:val="000000"/>
                <w:kern w:val="0"/>
                <w:sz w:val="23"/>
                <w:szCs w:val="23"/>
                <w:lang w:eastAsia="en-IN"/>
                <w14:ligatures w14:val="none"/>
              </w:rPr>
            </w:pPr>
            <w:r w:rsidRPr="00122CF8">
              <w:rPr>
                <w:rFonts w:ascii="Times New Roman" w:eastAsia="Times New Roman" w:hAnsi="Times New Roman" w:cs="Times New Roman"/>
                <w:b/>
                <w:bCs/>
                <w:color w:val="000000"/>
                <w:kern w:val="0"/>
                <w:sz w:val="23"/>
                <w:szCs w:val="23"/>
                <w:lang w:eastAsia="en-IN"/>
                <w14:ligatures w14:val="none"/>
              </w:rPr>
              <w:t>8</w:t>
            </w:r>
          </w:p>
        </w:tc>
      </w:tr>
      <w:tr w:rsidR="00122CF8" w:rsidRPr="00122CF8" w14:paraId="0646977B" w14:textId="77777777" w:rsidTr="006057F1">
        <w:trPr>
          <w:trHeight w:val="227"/>
          <w:jc w:val="center"/>
        </w:trPr>
        <w:tc>
          <w:tcPr>
            <w:tcW w:w="1227" w:type="dxa"/>
            <w:tcBorders>
              <w:top w:val="nil"/>
              <w:left w:val="single" w:sz="4" w:space="0" w:color="auto"/>
              <w:bottom w:val="single" w:sz="4" w:space="0" w:color="auto"/>
              <w:right w:val="single" w:sz="4" w:space="0" w:color="auto"/>
            </w:tcBorders>
            <w:vAlign w:val="center"/>
            <w:hideMark/>
          </w:tcPr>
          <w:p w14:paraId="66B55086" w14:textId="77777777" w:rsidR="00122CF8" w:rsidRPr="00122CF8" w:rsidRDefault="00122CF8" w:rsidP="00122CF8">
            <w:pPr>
              <w:spacing w:after="0" w:line="240" w:lineRule="auto"/>
              <w:jc w:val="right"/>
              <w:rPr>
                <w:rFonts w:ascii="Times New Roman" w:eastAsia="Times New Roman" w:hAnsi="Times New Roman" w:cs="Times New Roman"/>
                <w:color w:val="000000"/>
                <w:kern w:val="0"/>
                <w:sz w:val="23"/>
                <w:szCs w:val="23"/>
                <w:lang w:eastAsia="en-IN"/>
                <w14:ligatures w14:val="none"/>
              </w:rPr>
            </w:pPr>
            <w:r w:rsidRPr="00122CF8">
              <w:rPr>
                <w:rFonts w:ascii="Times New Roman" w:eastAsia="Times New Roman" w:hAnsi="Times New Roman" w:cs="Times New Roman"/>
                <w:color w:val="000000"/>
                <w:kern w:val="0"/>
                <w:sz w:val="23"/>
                <w:szCs w:val="23"/>
                <w:lang w:eastAsia="en-IN"/>
                <w14:ligatures w14:val="none"/>
              </w:rPr>
              <w:t>1</w:t>
            </w:r>
          </w:p>
        </w:tc>
        <w:tc>
          <w:tcPr>
            <w:tcW w:w="2481" w:type="dxa"/>
            <w:tcBorders>
              <w:top w:val="nil"/>
              <w:left w:val="nil"/>
              <w:bottom w:val="single" w:sz="4" w:space="0" w:color="auto"/>
              <w:right w:val="single" w:sz="4" w:space="0" w:color="auto"/>
            </w:tcBorders>
            <w:vAlign w:val="center"/>
            <w:hideMark/>
          </w:tcPr>
          <w:p w14:paraId="54DF10E0" w14:textId="77777777" w:rsidR="00122CF8" w:rsidRPr="00122CF8" w:rsidRDefault="00122CF8" w:rsidP="00122CF8">
            <w:pPr>
              <w:spacing w:after="0" w:line="240" w:lineRule="auto"/>
              <w:rPr>
                <w:rFonts w:ascii="Times New Roman" w:eastAsia="Times New Roman" w:hAnsi="Times New Roman" w:cs="Times New Roman"/>
                <w:color w:val="000000"/>
                <w:kern w:val="0"/>
                <w:sz w:val="23"/>
                <w:szCs w:val="23"/>
                <w:lang w:eastAsia="en-IN"/>
                <w14:ligatures w14:val="none"/>
              </w:rPr>
            </w:pPr>
            <w:r w:rsidRPr="00122CF8">
              <w:rPr>
                <w:rFonts w:ascii="Times New Roman" w:eastAsia="Times New Roman" w:hAnsi="Times New Roman" w:cs="Times New Roman"/>
                <w:color w:val="000000"/>
                <w:kern w:val="0"/>
                <w:sz w:val="23"/>
                <w:szCs w:val="23"/>
                <w:lang w:eastAsia="en-IN"/>
                <w14:ligatures w14:val="none"/>
              </w:rPr>
              <w:t>Andhra Pradesh</w:t>
            </w:r>
          </w:p>
        </w:tc>
        <w:tc>
          <w:tcPr>
            <w:tcW w:w="1663" w:type="dxa"/>
            <w:tcBorders>
              <w:top w:val="nil"/>
              <w:left w:val="nil"/>
              <w:bottom w:val="single" w:sz="4" w:space="0" w:color="auto"/>
              <w:right w:val="single" w:sz="4" w:space="0" w:color="auto"/>
            </w:tcBorders>
            <w:vAlign w:val="center"/>
            <w:hideMark/>
          </w:tcPr>
          <w:p w14:paraId="0C97464F" w14:textId="77777777" w:rsidR="00122CF8" w:rsidRPr="00122CF8" w:rsidRDefault="00122CF8" w:rsidP="00122CF8">
            <w:pPr>
              <w:spacing w:after="0" w:line="240" w:lineRule="auto"/>
              <w:jc w:val="center"/>
              <w:rPr>
                <w:rFonts w:ascii="Times New Roman" w:eastAsia="Times New Roman" w:hAnsi="Times New Roman" w:cs="Times New Roman"/>
                <w:color w:val="000000"/>
                <w:kern w:val="0"/>
                <w:sz w:val="23"/>
                <w:szCs w:val="23"/>
                <w:lang w:eastAsia="en-IN"/>
                <w14:ligatures w14:val="none"/>
              </w:rPr>
            </w:pPr>
            <w:r w:rsidRPr="00122CF8">
              <w:rPr>
                <w:rFonts w:ascii="Times New Roman" w:eastAsia="Times New Roman" w:hAnsi="Times New Roman" w:cs="Times New Roman"/>
                <w:color w:val="000000"/>
                <w:kern w:val="0"/>
                <w:sz w:val="23"/>
                <w:szCs w:val="23"/>
                <w:lang w:eastAsia="en-IN"/>
                <w14:ligatures w14:val="none"/>
              </w:rPr>
              <w:t>33.62</w:t>
            </w:r>
          </w:p>
        </w:tc>
        <w:tc>
          <w:tcPr>
            <w:tcW w:w="1640" w:type="dxa"/>
            <w:tcBorders>
              <w:top w:val="nil"/>
              <w:left w:val="nil"/>
              <w:bottom w:val="single" w:sz="4" w:space="0" w:color="auto"/>
              <w:right w:val="single" w:sz="4" w:space="0" w:color="auto"/>
            </w:tcBorders>
            <w:vAlign w:val="center"/>
            <w:hideMark/>
          </w:tcPr>
          <w:p w14:paraId="2270EB84" w14:textId="77777777" w:rsidR="00122CF8" w:rsidRPr="00122CF8" w:rsidRDefault="00122CF8" w:rsidP="00122CF8">
            <w:pPr>
              <w:spacing w:after="0" w:line="240" w:lineRule="auto"/>
              <w:jc w:val="center"/>
              <w:rPr>
                <w:rFonts w:ascii="Times New Roman" w:eastAsia="Times New Roman" w:hAnsi="Times New Roman" w:cs="Times New Roman"/>
                <w:color w:val="000000"/>
                <w:kern w:val="0"/>
                <w:sz w:val="23"/>
                <w:szCs w:val="23"/>
                <w:lang w:eastAsia="en-IN"/>
                <w14:ligatures w14:val="none"/>
              </w:rPr>
            </w:pPr>
            <w:r w:rsidRPr="00122CF8">
              <w:rPr>
                <w:rFonts w:ascii="Times New Roman" w:eastAsia="Times New Roman" w:hAnsi="Times New Roman" w:cs="Times New Roman"/>
                <w:color w:val="000000"/>
                <w:kern w:val="0"/>
                <w:sz w:val="23"/>
                <w:szCs w:val="23"/>
                <w:lang w:eastAsia="en-IN"/>
                <w14:ligatures w14:val="none"/>
              </w:rPr>
              <w:t>13.51</w:t>
            </w:r>
          </w:p>
        </w:tc>
        <w:tc>
          <w:tcPr>
            <w:tcW w:w="1574" w:type="dxa"/>
            <w:tcBorders>
              <w:top w:val="nil"/>
              <w:left w:val="nil"/>
              <w:bottom w:val="single" w:sz="4" w:space="0" w:color="auto"/>
              <w:right w:val="single" w:sz="4" w:space="0" w:color="auto"/>
            </w:tcBorders>
            <w:vAlign w:val="center"/>
            <w:hideMark/>
          </w:tcPr>
          <w:p w14:paraId="6107DDE0" w14:textId="77777777" w:rsidR="00122CF8" w:rsidRPr="00122CF8" w:rsidRDefault="00122CF8" w:rsidP="00122CF8">
            <w:pPr>
              <w:spacing w:after="0" w:line="240" w:lineRule="auto"/>
              <w:jc w:val="center"/>
              <w:rPr>
                <w:rFonts w:ascii="Times New Roman" w:eastAsia="Times New Roman" w:hAnsi="Times New Roman" w:cs="Times New Roman"/>
                <w:color w:val="000000"/>
                <w:kern w:val="0"/>
                <w:sz w:val="23"/>
                <w:szCs w:val="23"/>
                <w:lang w:eastAsia="en-IN"/>
                <w14:ligatures w14:val="none"/>
              </w:rPr>
            </w:pPr>
            <w:r w:rsidRPr="00122CF8">
              <w:rPr>
                <w:rFonts w:ascii="Times New Roman" w:eastAsia="Times New Roman" w:hAnsi="Times New Roman" w:cs="Times New Roman"/>
                <w:color w:val="000000"/>
                <w:kern w:val="0"/>
                <w:sz w:val="23"/>
                <w:szCs w:val="23"/>
                <w:lang w:eastAsia="en-IN"/>
                <w14:ligatures w14:val="none"/>
              </w:rPr>
              <w:t>47.13</w:t>
            </w:r>
          </w:p>
        </w:tc>
        <w:tc>
          <w:tcPr>
            <w:tcW w:w="1663" w:type="dxa"/>
            <w:tcBorders>
              <w:top w:val="nil"/>
              <w:left w:val="nil"/>
              <w:bottom w:val="single" w:sz="4" w:space="0" w:color="auto"/>
              <w:right w:val="single" w:sz="4" w:space="0" w:color="auto"/>
            </w:tcBorders>
            <w:vAlign w:val="center"/>
            <w:hideMark/>
          </w:tcPr>
          <w:p w14:paraId="05D7B9B0" w14:textId="77777777" w:rsidR="00122CF8" w:rsidRPr="00122CF8" w:rsidRDefault="00122CF8" w:rsidP="00122CF8">
            <w:pPr>
              <w:spacing w:after="0" w:line="240" w:lineRule="auto"/>
              <w:jc w:val="center"/>
              <w:rPr>
                <w:rFonts w:ascii="Times New Roman" w:eastAsia="Times New Roman" w:hAnsi="Times New Roman" w:cs="Times New Roman"/>
                <w:color w:val="000000"/>
                <w:kern w:val="0"/>
                <w:sz w:val="23"/>
                <w:szCs w:val="23"/>
                <w:lang w:eastAsia="en-IN"/>
                <w14:ligatures w14:val="none"/>
              </w:rPr>
            </w:pPr>
            <w:r w:rsidRPr="00122CF8">
              <w:rPr>
                <w:rFonts w:ascii="Times New Roman" w:eastAsia="Times New Roman" w:hAnsi="Times New Roman" w:cs="Times New Roman"/>
                <w:color w:val="000000"/>
                <w:kern w:val="0"/>
                <w:sz w:val="23"/>
                <w:szCs w:val="23"/>
                <w:lang w:eastAsia="en-IN"/>
                <w14:ligatures w14:val="none"/>
              </w:rPr>
              <w:t>37.87</w:t>
            </w:r>
          </w:p>
        </w:tc>
        <w:tc>
          <w:tcPr>
            <w:tcW w:w="1640" w:type="dxa"/>
            <w:tcBorders>
              <w:top w:val="nil"/>
              <w:left w:val="nil"/>
              <w:bottom w:val="single" w:sz="4" w:space="0" w:color="auto"/>
              <w:right w:val="single" w:sz="4" w:space="0" w:color="auto"/>
            </w:tcBorders>
            <w:vAlign w:val="center"/>
            <w:hideMark/>
          </w:tcPr>
          <w:p w14:paraId="3FFB4A36" w14:textId="77777777" w:rsidR="00122CF8" w:rsidRPr="00122CF8" w:rsidRDefault="00122CF8" w:rsidP="00122CF8">
            <w:pPr>
              <w:spacing w:after="0" w:line="240" w:lineRule="auto"/>
              <w:jc w:val="center"/>
              <w:rPr>
                <w:rFonts w:ascii="Times New Roman" w:eastAsia="Times New Roman" w:hAnsi="Times New Roman" w:cs="Times New Roman"/>
                <w:color w:val="000000"/>
                <w:kern w:val="0"/>
                <w:sz w:val="23"/>
                <w:szCs w:val="23"/>
                <w:lang w:eastAsia="en-IN"/>
                <w14:ligatures w14:val="none"/>
              </w:rPr>
            </w:pPr>
            <w:r w:rsidRPr="00122CF8">
              <w:rPr>
                <w:rFonts w:ascii="Times New Roman" w:eastAsia="Times New Roman" w:hAnsi="Times New Roman" w:cs="Times New Roman"/>
                <w:color w:val="000000"/>
                <w:kern w:val="0"/>
                <w:sz w:val="23"/>
                <w:szCs w:val="23"/>
                <w:lang w:eastAsia="en-IN"/>
                <w14:ligatures w14:val="none"/>
              </w:rPr>
              <w:t>16.81</w:t>
            </w:r>
          </w:p>
        </w:tc>
        <w:tc>
          <w:tcPr>
            <w:tcW w:w="1574" w:type="dxa"/>
            <w:tcBorders>
              <w:top w:val="nil"/>
              <w:left w:val="nil"/>
              <w:bottom w:val="single" w:sz="4" w:space="0" w:color="auto"/>
              <w:right w:val="single" w:sz="4" w:space="0" w:color="auto"/>
            </w:tcBorders>
            <w:vAlign w:val="center"/>
            <w:hideMark/>
          </w:tcPr>
          <w:p w14:paraId="265AD914" w14:textId="77777777" w:rsidR="00122CF8" w:rsidRPr="00122CF8" w:rsidRDefault="00122CF8" w:rsidP="00122CF8">
            <w:pPr>
              <w:spacing w:after="0" w:line="240" w:lineRule="auto"/>
              <w:jc w:val="center"/>
              <w:rPr>
                <w:rFonts w:ascii="Times New Roman" w:eastAsia="Times New Roman" w:hAnsi="Times New Roman" w:cs="Times New Roman"/>
                <w:color w:val="000000"/>
                <w:kern w:val="0"/>
                <w:sz w:val="23"/>
                <w:szCs w:val="23"/>
                <w:lang w:eastAsia="en-IN"/>
                <w14:ligatures w14:val="none"/>
              </w:rPr>
            </w:pPr>
            <w:r w:rsidRPr="00122CF8">
              <w:rPr>
                <w:rFonts w:ascii="Times New Roman" w:eastAsia="Times New Roman" w:hAnsi="Times New Roman" w:cs="Times New Roman"/>
                <w:color w:val="000000"/>
                <w:kern w:val="0"/>
                <w:sz w:val="23"/>
                <w:szCs w:val="23"/>
                <w:lang w:eastAsia="en-IN"/>
                <w14:ligatures w14:val="none"/>
              </w:rPr>
              <w:t>54.68</w:t>
            </w:r>
          </w:p>
        </w:tc>
      </w:tr>
      <w:tr w:rsidR="00122CF8" w:rsidRPr="00122CF8" w14:paraId="7B24E806" w14:textId="77777777" w:rsidTr="006057F1">
        <w:trPr>
          <w:trHeight w:val="227"/>
          <w:jc w:val="center"/>
        </w:trPr>
        <w:tc>
          <w:tcPr>
            <w:tcW w:w="1227" w:type="dxa"/>
            <w:tcBorders>
              <w:top w:val="nil"/>
              <w:left w:val="single" w:sz="4" w:space="0" w:color="auto"/>
              <w:bottom w:val="single" w:sz="4" w:space="0" w:color="auto"/>
              <w:right w:val="single" w:sz="4" w:space="0" w:color="auto"/>
            </w:tcBorders>
            <w:vAlign w:val="center"/>
            <w:hideMark/>
          </w:tcPr>
          <w:p w14:paraId="5D2DFA89" w14:textId="77777777" w:rsidR="00122CF8" w:rsidRPr="00122CF8" w:rsidRDefault="00122CF8" w:rsidP="00122CF8">
            <w:pPr>
              <w:spacing w:after="0" w:line="240" w:lineRule="auto"/>
              <w:jc w:val="right"/>
              <w:rPr>
                <w:rFonts w:ascii="Times New Roman" w:eastAsia="Times New Roman" w:hAnsi="Times New Roman" w:cs="Times New Roman"/>
                <w:color w:val="000000"/>
                <w:kern w:val="0"/>
                <w:sz w:val="23"/>
                <w:szCs w:val="23"/>
                <w:lang w:eastAsia="en-IN"/>
                <w14:ligatures w14:val="none"/>
              </w:rPr>
            </w:pPr>
            <w:r w:rsidRPr="00122CF8">
              <w:rPr>
                <w:rFonts w:ascii="Times New Roman" w:eastAsia="Times New Roman" w:hAnsi="Times New Roman" w:cs="Times New Roman"/>
                <w:color w:val="000000"/>
                <w:kern w:val="0"/>
                <w:sz w:val="23"/>
                <w:szCs w:val="23"/>
                <w:lang w:eastAsia="en-IN"/>
                <w14:ligatures w14:val="none"/>
              </w:rPr>
              <w:t>2</w:t>
            </w:r>
          </w:p>
        </w:tc>
        <w:tc>
          <w:tcPr>
            <w:tcW w:w="2481" w:type="dxa"/>
            <w:tcBorders>
              <w:top w:val="nil"/>
              <w:left w:val="nil"/>
              <w:bottom w:val="single" w:sz="4" w:space="0" w:color="auto"/>
              <w:right w:val="single" w:sz="4" w:space="0" w:color="auto"/>
            </w:tcBorders>
            <w:vAlign w:val="center"/>
            <w:hideMark/>
          </w:tcPr>
          <w:p w14:paraId="47F14418" w14:textId="77777777" w:rsidR="00122CF8" w:rsidRPr="00122CF8" w:rsidRDefault="00122CF8" w:rsidP="00122CF8">
            <w:pPr>
              <w:spacing w:after="0" w:line="240" w:lineRule="auto"/>
              <w:rPr>
                <w:rFonts w:ascii="Times New Roman" w:eastAsia="Times New Roman" w:hAnsi="Times New Roman" w:cs="Times New Roman"/>
                <w:color w:val="000000"/>
                <w:kern w:val="0"/>
                <w:sz w:val="23"/>
                <w:szCs w:val="23"/>
                <w:lang w:eastAsia="en-IN"/>
                <w14:ligatures w14:val="none"/>
              </w:rPr>
            </w:pPr>
            <w:r w:rsidRPr="00122CF8">
              <w:rPr>
                <w:rFonts w:ascii="Times New Roman" w:eastAsia="Times New Roman" w:hAnsi="Times New Roman" w:cs="Times New Roman"/>
                <w:color w:val="000000"/>
                <w:kern w:val="0"/>
                <w:sz w:val="23"/>
                <w:szCs w:val="23"/>
                <w:lang w:eastAsia="en-IN"/>
                <w14:ligatures w14:val="none"/>
              </w:rPr>
              <w:t>Assam</w:t>
            </w:r>
          </w:p>
        </w:tc>
        <w:tc>
          <w:tcPr>
            <w:tcW w:w="1663" w:type="dxa"/>
            <w:tcBorders>
              <w:top w:val="nil"/>
              <w:left w:val="nil"/>
              <w:bottom w:val="single" w:sz="4" w:space="0" w:color="auto"/>
              <w:right w:val="single" w:sz="4" w:space="0" w:color="auto"/>
            </w:tcBorders>
            <w:vAlign w:val="center"/>
            <w:hideMark/>
          </w:tcPr>
          <w:p w14:paraId="0DCE1CE5" w14:textId="77777777" w:rsidR="00122CF8" w:rsidRPr="00122CF8" w:rsidRDefault="00122CF8" w:rsidP="00122CF8">
            <w:pPr>
              <w:spacing w:after="0" w:line="240" w:lineRule="auto"/>
              <w:jc w:val="center"/>
              <w:rPr>
                <w:rFonts w:ascii="Times New Roman" w:eastAsia="Times New Roman" w:hAnsi="Times New Roman" w:cs="Times New Roman"/>
                <w:color w:val="000000"/>
                <w:kern w:val="0"/>
                <w:sz w:val="23"/>
                <w:szCs w:val="23"/>
                <w:lang w:eastAsia="en-IN"/>
                <w14:ligatures w14:val="none"/>
              </w:rPr>
            </w:pPr>
            <w:r w:rsidRPr="00122CF8">
              <w:rPr>
                <w:rFonts w:ascii="Times New Roman" w:eastAsia="Times New Roman" w:hAnsi="Times New Roman" w:cs="Times New Roman"/>
                <w:color w:val="000000"/>
                <w:kern w:val="0"/>
                <w:sz w:val="23"/>
                <w:szCs w:val="23"/>
                <w:lang w:eastAsia="en-IN"/>
                <w14:ligatures w14:val="none"/>
              </w:rPr>
              <w:t>12.68</w:t>
            </w:r>
          </w:p>
        </w:tc>
        <w:tc>
          <w:tcPr>
            <w:tcW w:w="1640" w:type="dxa"/>
            <w:tcBorders>
              <w:top w:val="nil"/>
              <w:left w:val="nil"/>
              <w:bottom w:val="single" w:sz="4" w:space="0" w:color="auto"/>
              <w:right w:val="single" w:sz="4" w:space="0" w:color="auto"/>
            </w:tcBorders>
            <w:vAlign w:val="center"/>
            <w:hideMark/>
          </w:tcPr>
          <w:p w14:paraId="37373E4E" w14:textId="77777777" w:rsidR="00122CF8" w:rsidRPr="00122CF8" w:rsidRDefault="00122CF8" w:rsidP="00122CF8">
            <w:pPr>
              <w:spacing w:after="0" w:line="240" w:lineRule="auto"/>
              <w:jc w:val="center"/>
              <w:rPr>
                <w:rFonts w:ascii="Times New Roman" w:eastAsia="Times New Roman" w:hAnsi="Times New Roman" w:cs="Times New Roman"/>
                <w:color w:val="000000"/>
                <w:kern w:val="0"/>
                <w:sz w:val="23"/>
                <w:szCs w:val="23"/>
                <w:lang w:eastAsia="en-IN"/>
                <w14:ligatures w14:val="none"/>
              </w:rPr>
            </w:pPr>
            <w:r w:rsidRPr="00122CF8">
              <w:rPr>
                <w:rFonts w:ascii="Times New Roman" w:eastAsia="Times New Roman" w:hAnsi="Times New Roman" w:cs="Times New Roman"/>
                <w:color w:val="000000"/>
                <w:kern w:val="0"/>
                <w:sz w:val="23"/>
                <w:szCs w:val="23"/>
                <w:lang w:eastAsia="en-IN"/>
                <w14:ligatures w14:val="none"/>
              </w:rPr>
              <w:t>16.52</w:t>
            </w:r>
          </w:p>
        </w:tc>
        <w:tc>
          <w:tcPr>
            <w:tcW w:w="1574" w:type="dxa"/>
            <w:tcBorders>
              <w:top w:val="nil"/>
              <w:left w:val="nil"/>
              <w:bottom w:val="single" w:sz="4" w:space="0" w:color="auto"/>
              <w:right w:val="single" w:sz="4" w:space="0" w:color="auto"/>
            </w:tcBorders>
            <w:vAlign w:val="center"/>
            <w:hideMark/>
          </w:tcPr>
          <w:p w14:paraId="5D5E0A41" w14:textId="77777777" w:rsidR="00122CF8" w:rsidRPr="00122CF8" w:rsidRDefault="00122CF8" w:rsidP="00122CF8">
            <w:pPr>
              <w:spacing w:after="0" w:line="240" w:lineRule="auto"/>
              <w:jc w:val="center"/>
              <w:rPr>
                <w:rFonts w:ascii="Times New Roman" w:eastAsia="Times New Roman" w:hAnsi="Times New Roman" w:cs="Times New Roman"/>
                <w:color w:val="000000"/>
                <w:kern w:val="0"/>
                <w:sz w:val="23"/>
                <w:szCs w:val="23"/>
                <w:lang w:eastAsia="en-IN"/>
                <w14:ligatures w14:val="none"/>
              </w:rPr>
            </w:pPr>
            <w:r w:rsidRPr="00122CF8">
              <w:rPr>
                <w:rFonts w:ascii="Times New Roman" w:eastAsia="Times New Roman" w:hAnsi="Times New Roman" w:cs="Times New Roman"/>
                <w:color w:val="000000"/>
                <w:kern w:val="0"/>
                <w:sz w:val="23"/>
                <w:szCs w:val="23"/>
                <w:lang w:eastAsia="en-IN"/>
                <w14:ligatures w14:val="none"/>
              </w:rPr>
              <w:t>29.2</w:t>
            </w:r>
          </w:p>
        </w:tc>
        <w:tc>
          <w:tcPr>
            <w:tcW w:w="1663" w:type="dxa"/>
            <w:tcBorders>
              <w:top w:val="nil"/>
              <w:left w:val="nil"/>
              <w:bottom w:val="single" w:sz="4" w:space="0" w:color="auto"/>
              <w:right w:val="single" w:sz="4" w:space="0" w:color="auto"/>
            </w:tcBorders>
            <w:vAlign w:val="center"/>
            <w:hideMark/>
          </w:tcPr>
          <w:p w14:paraId="7BBC4A3C" w14:textId="77777777" w:rsidR="00122CF8" w:rsidRPr="00122CF8" w:rsidRDefault="00122CF8" w:rsidP="00122CF8">
            <w:pPr>
              <w:spacing w:after="0" w:line="240" w:lineRule="auto"/>
              <w:jc w:val="center"/>
              <w:rPr>
                <w:rFonts w:ascii="Times New Roman" w:eastAsia="Times New Roman" w:hAnsi="Times New Roman" w:cs="Times New Roman"/>
                <w:color w:val="000000"/>
                <w:kern w:val="0"/>
                <w:sz w:val="23"/>
                <w:szCs w:val="23"/>
                <w:lang w:eastAsia="en-IN"/>
                <w14:ligatures w14:val="none"/>
              </w:rPr>
            </w:pPr>
            <w:r w:rsidRPr="00122CF8">
              <w:rPr>
                <w:rFonts w:ascii="Times New Roman" w:eastAsia="Times New Roman" w:hAnsi="Times New Roman" w:cs="Times New Roman"/>
                <w:color w:val="000000"/>
                <w:kern w:val="0"/>
                <w:sz w:val="23"/>
                <w:szCs w:val="23"/>
                <w:lang w:eastAsia="en-IN"/>
                <w14:ligatures w14:val="none"/>
              </w:rPr>
              <w:t>14.29</w:t>
            </w:r>
          </w:p>
        </w:tc>
        <w:tc>
          <w:tcPr>
            <w:tcW w:w="1640" w:type="dxa"/>
            <w:tcBorders>
              <w:top w:val="nil"/>
              <w:left w:val="nil"/>
              <w:bottom w:val="single" w:sz="4" w:space="0" w:color="auto"/>
              <w:right w:val="single" w:sz="4" w:space="0" w:color="auto"/>
            </w:tcBorders>
            <w:vAlign w:val="center"/>
            <w:hideMark/>
          </w:tcPr>
          <w:p w14:paraId="0178CBD9" w14:textId="77777777" w:rsidR="00122CF8" w:rsidRPr="00122CF8" w:rsidRDefault="00122CF8" w:rsidP="00122CF8">
            <w:pPr>
              <w:spacing w:after="0" w:line="240" w:lineRule="auto"/>
              <w:jc w:val="center"/>
              <w:rPr>
                <w:rFonts w:ascii="Times New Roman" w:eastAsia="Times New Roman" w:hAnsi="Times New Roman" w:cs="Times New Roman"/>
                <w:color w:val="000000"/>
                <w:kern w:val="0"/>
                <w:sz w:val="23"/>
                <w:szCs w:val="23"/>
                <w:lang w:eastAsia="en-IN"/>
                <w14:ligatures w14:val="none"/>
              </w:rPr>
            </w:pPr>
            <w:r w:rsidRPr="00122CF8">
              <w:rPr>
                <w:rFonts w:ascii="Times New Roman" w:eastAsia="Times New Roman" w:hAnsi="Times New Roman" w:cs="Times New Roman"/>
                <w:color w:val="000000"/>
                <w:kern w:val="0"/>
                <w:sz w:val="23"/>
                <w:szCs w:val="23"/>
                <w:lang w:eastAsia="en-IN"/>
                <w14:ligatures w14:val="none"/>
              </w:rPr>
              <w:t>19.9</w:t>
            </w:r>
          </w:p>
        </w:tc>
        <w:tc>
          <w:tcPr>
            <w:tcW w:w="1574" w:type="dxa"/>
            <w:tcBorders>
              <w:top w:val="nil"/>
              <w:left w:val="nil"/>
              <w:bottom w:val="single" w:sz="4" w:space="0" w:color="auto"/>
              <w:right w:val="single" w:sz="4" w:space="0" w:color="auto"/>
            </w:tcBorders>
            <w:vAlign w:val="center"/>
            <w:hideMark/>
          </w:tcPr>
          <w:p w14:paraId="1230F49D" w14:textId="77777777" w:rsidR="00122CF8" w:rsidRPr="00122CF8" w:rsidRDefault="00122CF8" w:rsidP="00122CF8">
            <w:pPr>
              <w:spacing w:after="0" w:line="240" w:lineRule="auto"/>
              <w:jc w:val="center"/>
              <w:rPr>
                <w:rFonts w:ascii="Times New Roman" w:eastAsia="Times New Roman" w:hAnsi="Times New Roman" w:cs="Times New Roman"/>
                <w:color w:val="000000"/>
                <w:kern w:val="0"/>
                <w:sz w:val="23"/>
                <w:szCs w:val="23"/>
                <w:lang w:eastAsia="en-IN"/>
                <w14:ligatures w14:val="none"/>
              </w:rPr>
            </w:pPr>
            <w:r w:rsidRPr="00122CF8">
              <w:rPr>
                <w:rFonts w:ascii="Times New Roman" w:eastAsia="Times New Roman" w:hAnsi="Times New Roman" w:cs="Times New Roman"/>
                <w:color w:val="000000"/>
                <w:kern w:val="0"/>
                <w:sz w:val="23"/>
                <w:szCs w:val="23"/>
                <w:lang w:eastAsia="en-IN"/>
                <w14:ligatures w14:val="none"/>
              </w:rPr>
              <w:t>34.19</w:t>
            </w:r>
          </w:p>
        </w:tc>
      </w:tr>
      <w:tr w:rsidR="00122CF8" w:rsidRPr="00122CF8" w14:paraId="24E47CCE" w14:textId="77777777" w:rsidTr="006057F1">
        <w:trPr>
          <w:trHeight w:val="227"/>
          <w:jc w:val="center"/>
        </w:trPr>
        <w:tc>
          <w:tcPr>
            <w:tcW w:w="1227" w:type="dxa"/>
            <w:tcBorders>
              <w:top w:val="nil"/>
              <w:left w:val="single" w:sz="4" w:space="0" w:color="auto"/>
              <w:bottom w:val="single" w:sz="4" w:space="0" w:color="auto"/>
              <w:right w:val="single" w:sz="4" w:space="0" w:color="auto"/>
            </w:tcBorders>
            <w:vAlign w:val="center"/>
            <w:hideMark/>
          </w:tcPr>
          <w:p w14:paraId="51E63457" w14:textId="77777777" w:rsidR="00122CF8" w:rsidRPr="00122CF8" w:rsidRDefault="00122CF8" w:rsidP="00122CF8">
            <w:pPr>
              <w:spacing w:after="0" w:line="240" w:lineRule="auto"/>
              <w:jc w:val="right"/>
              <w:rPr>
                <w:rFonts w:ascii="Times New Roman" w:eastAsia="Times New Roman" w:hAnsi="Times New Roman" w:cs="Times New Roman"/>
                <w:color w:val="000000"/>
                <w:kern w:val="0"/>
                <w:sz w:val="23"/>
                <w:szCs w:val="23"/>
                <w:lang w:eastAsia="en-IN"/>
                <w14:ligatures w14:val="none"/>
              </w:rPr>
            </w:pPr>
            <w:r w:rsidRPr="00122CF8">
              <w:rPr>
                <w:rFonts w:ascii="Times New Roman" w:eastAsia="Times New Roman" w:hAnsi="Times New Roman" w:cs="Times New Roman"/>
                <w:color w:val="000000"/>
                <w:kern w:val="0"/>
                <w:sz w:val="23"/>
                <w:szCs w:val="23"/>
                <w:lang w:eastAsia="en-IN"/>
                <w14:ligatures w14:val="none"/>
              </w:rPr>
              <w:t>3</w:t>
            </w:r>
          </w:p>
        </w:tc>
        <w:tc>
          <w:tcPr>
            <w:tcW w:w="2481" w:type="dxa"/>
            <w:tcBorders>
              <w:top w:val="nil"/>
              <w:left w:val="nil"/>
              <w:bottom w:val="single" w:sz="4" w:space="0" w:color="auto"/>
              <w:right w:val="single" w:sz="4" w:space="0" w:color="auto"/>
            </w:tcBorders>
            <w:vAlign w:val="center"/>
            <w:hideMark/>
          </w:tcPr>
          <w:p w14:paraId="0772BD1C" w14:textId="77777777" w:rsidR="00122CF8" w:rsidRPr="00122CF8" w:rsidRDefault="00122CF8" w:rsidP="00122CF8">
            <w:pPr>
              <w:spacing w:after="0" w:line="240" w:lineRule="auto"/>
              <w:rPr>
                <w:rFonts w:ascii="Times New Roman" w:eastAsia="Times New Roman" w:hAnsi="Times New Roman" w:cs="Times New Roman"/>
                <w:color w:val="000000"/>
                <w:kern w:val="0"/>
                <w:sz w:val="23"/>
                <w:szCs w:val="23"/>
                <w:lang w:eastAsia="en-IN"/>
                <w14:ligatures w14:val="none"/>
              </w:rPr>
            </w:pPr>
            <w:r w:rsidRPr="00122CF8">
              <w:rPr>
                <w:rFonts w:ascii="Times New Roman" w:eastAsia="Times New Roman" w:hAnsi="Times New Roman" w:cs="Times New Roman"/>
                <w:color w:val="000000"/>
                <w:kern w:val="0"/>
                <w:sz w:val="23"/>
                <w:szCs w:val="23"/>
                <w:lang w:eastAsia="en-IN"/>
                <w14:ligatures w14:val="none"/>
              </w:rPr>
              <w:t>Bihar</w:t>
            </w:r>
          </w:p>
        </w:tc>
        <w:tc>
          <w:tcPr>
            <w:tcW w:w="1663" w:type="dxa"/>
            <w:tcBorders>
              <w:top w:val="nil"/>
              <w:left w:val="nil"/>
              <w:bottom w:val="single" w:sz="4" w:space="0" w:color="auto"/>
              <w:right w:val="single" w:sz="4" w:space="0" w:color="auto"/>
            </w:tcBorders>
            <w:vAlign w:val="center"/>
            <w:hideMark/>
          </w:tcPr>
          <w:p w14:paraId="57CD83EF" w14:textId="77777777" w:rsidR="00122CF8" w:rsidRPr="00122CF8" w:rsidRDefault="00122CF8" w:rsidP="00122CF8">
            <w:pPr>
              <w:spacing w:after="0" w:line="240" w:lineRule="auto"/>
              <w:jc w:val="center"/>
              <w:rPr>
                <w:rFonts w:ascii="Times New Roman" w:eastAsia="Times New Roman" w:hAnsi="Times New Roman" w:cs="Times New Roman"/>
                <w:color w:val="000000"/>
                <w:kern w:val="0"/>
                <w:sz w:val="23"/>
                <w:szCs w:val="23"/>
                <w:lang w:eastAsia="en-IN"/>
                <w14:ligatures w14:val="none"/>
              </w:rPr>
            </w:pPr>
            <w:r w:rsidRPr="00122CF8">
              <w:rPr>
                <w:rFonts w:ascii="Times New Roman" w:eastAsia="Times New Roman" w:hAnsi="Times New Roman" w:cs="Times New Roman"/>
                <w:color w:val="000000"/>
                <w:kern w:val="0"/>
                <w:sz w:val="23"/>
                <w:szCs w:val="23"/>
                <w:lang w:eastAsia="en-IN"/>
                <w14:ligatures w14:val="none"/>
              </w:rPr>
              <w:t>41.12</w:t>
            </w:r>
          </w:p>
        </w:tc>
        <w:tc>
          <w:tcPr>
            <w:tcW w:w="1640" w:type="dxa"/>
            <w:tcBorders>
              <w:top w:val="nil"/>
              <w:left w:val="nil"/>
              <w:bottom w:val="single" w:sz="4" w:space="0" w:color="auto"/>
              <w:right w:val="single" w:sz="4" w:space="0" w:color="auto"/>
            </w:tcBorders>
            <w:vAlign w:val="center"/>
            <w:hideMark/>
          </w:tcPr>
          <w:p w14:paraId="024B3A79" w14:textId="77777777" w:rsidR="00122CF8" w:rsidRPr="00122CF8" w:rsidRDefault="00122CF8" w:rsidP="00122CF8">
            <w:pPr>
              <w:spacing w:after="0" w:line="240" w:lineRule="auto"/>
              <w:jc w:val="center"/>
              <w:rPr>
                <w:rFonts w:ascii="Times New Roman" w:eastAsia="Times New Roman" w:hAnsi="Times New Roman" w:cs="Times New Roman"/>
                <w:color w:val="000000"/>
                <w:kern w:val="0"/>
                <w:sz w:val="23"/>
                <w:szCs w:val="23"/>
                <w:lang w:eastAsia="en-IN"/>
                <w14:ligatures w14:val="none"/>
              </w:rPr>
            </w:pPr>
            <w:r w:rsidRPr="00122CF8">
              <w:rPr>
                <w:rFonts w:ascii="Times New Roman" w:eastAsia="Times New Roman" w:hAnsi="Times New Roman" w:cs="Times New Roman"/>
                <w:color w:val="000000"/>
                <w:kern w:val="0"/>
                <w:sz w:val="23"/>
                <w:szCs w:val="23"/>
                <w:lang w:eastAsia="en-IN"/>
                <w14:ligatures w14:val="none"/>
              </w:rPr>
              <w:t>..</w:t>
            </w:r>
          </w:p>
        </w:tc>
        <w:tc>
          <w:tcPr>
            <w:tcW w:w="1574" w:type="dxa"/>
            <w:tcBorders>
              <w:top w:val="nil"/>
              <w:left w:val="nil"/>
              <w:bottom w:val="single" w:sz="4" w:space="0" w:color="auto"/>
              <w:right w:val="single" w:sz="4" w:space="0" w:color="auto"/>
            </w:tcBorders>
            <w:vAlign w:val="center"/>
            <w:hideMark/>
          </w:tcPr>
          <w:p w14:paraId="1B0EF4D9" w14:textId="77777777" w:rsidR="00122CF8" w:rsidRPr="00122CF8" w:rsidRDefault="00122CF8" w:rsidP="00122CF8">
            <w:pPr>
              <w:spacing w:after="0" w:line="240" w:lineRule="auto"/>
              <w:jc w:val="center"/>
              <w:rPr>
                <w:rFonts w:ascii="Times New Roman" w:eastAsia="Times New Roman" w:hAnsi="Times New Roman" w:cs="Times New Roman"/>
                <w:color w:val="000000"/>
                <w:kern w:val="0"/>
                <w:sz w:val="23"/>
                <w:szCs w:val="23"/>
                <w:lang w:eastAsia="en-IN"/>
                <w14:ligatures w14:val="none"/>
              </w:rPr>
            </w:pPr>
            <w:r w:rsidRPr="00122CF8">
              <w:rPr>
                <w:rFonts w:ascii="Times New Roman" w:eastAsia="Times New Roman" w:hAnsi="Times New Roman" w:cs="Times New Roman"/>
                <w:color w:val="000000"/>
                <w:kern w:val="0"/>
                <w:sz w:val="23"/>
                <w:szCs w:val="23"/>
                <w:lang w:eastAsia="en-IN"/>
                <w14:ligatures w14:val="none"/>
              </w:rPr>
              <w:t>41.12</w:t>
            </w:r>
          </w:p>
        </w:tc>
        <w:tc>
          <w:tcPr>
            <w:tcW w:w="1663" w:type="dxa"/>
            <w:tcBorders>
              <w:top w:val="nil"/>
              <w:left w:val="nil"/>
              <w:bottom w:val="single" w:sz="4" w:space="0" w:color="auto"/>
              <w:right w:val="single" w:sz="4" w:space="0" w:color="auto"/>
            </w:tcBorders>
            <w:vAlign w:val="center"/>
            <w:hideMark/>
          </w:tcPr>
          <w:p w14:paraId="27D3E7DA" w14:textId="77777777" w:rsidR="00122CF8" w:rsidRPr="00122CF8" w:rsidRDefault="00122CF8" w:rsidP="00122CF8">
            <w:pPr>
              <w:spacing w:after="0" w:line="240" w:lineRule="auto"/>
              <w:jc w:val="center"/>
              <w:rPr>
                <w:rFonts w:ascii="Times New Roman" w:eastAsia="Times New Roman" w:hAnsi="Times New Roman" w:cs="Times New Roman"/>
                <w:color w:val="000000"/>
                <w:kern w:val="0"/>
                <w:sz w:val="23"/>
                <w:szCs w:val="23"/>
                <w:lang w:eastAsia="en-IN"/>
                <w14:ligatures w14:val="none"/>
              </w:rPr>
            </w:pPr>
            <w:r w:rsidRPr="00122CF8">
              <w:rPr>
                <w:rFonts w:ascii="Times New Roman" w:eastAsia="Times New Roman" w:hAnsi="Times New Roman" w:cs="Times New Roman"/>
                <w:color w:val="000000"/>
                <w:kern w:val="0"/>
                <w:sz w:val="23"/>
                <w:szCs w:val="23"/>
                <w:lang w:eastAsia="en-IN"/>
                <w14:ligatures w14:val="none"/>
              </w:rPr>
              <w:t>45.32</w:t>
            </w:r>
          </w:p>
        </w:tc>
        <w:tc>
          <w:tcPr>
            <w:tcW w:w="1640" w:type="dxa"/>
            <w:tcBorders>
              <w:top w:val="nil"/>
              <w:left w:val="nil"/>
              <w:bottom w:val="single" w:sz="4" w:space="0" w:color="auto"/>
              <w:right w:val="single" w:sz="4" w:space="0" w:color="auto"/>
            </w:tcBorders>
            <w:vAlign w:val="center"/>
            <w:hideMark/>
          </w:tcPr>
          <w:p w14:paraId="07725776" w14:textId="77777777" w:rsidR="00122CF8" w:rsidRPr="00122CF8" w:rsidRDefault="00122CF8" w:rsidP="00122CF8">
            <w:pPr>
              <w:spacing w:after="0" w:line="240" w:lineRule="auto"/>
              <w:jc w:val="center"/>
              <w:rPr>
                <w:rFonts w:ascii="Times New Roman" w:eastAsia="Times New Roman" w:hAnsi="Times New Roman" w:cs="Times New Roman"/>
                <w:color w:val="000000"/>
                <w:kern w:val="0"/>
                <w:sz w:val="23"/>
                <w:szCs w:val="23"/>
                <w:lang w:eastAsia="en-IN"/>
                <w14:ligatures w14:val="none"/>
              </w:rPr>
            </w:pPr>
            <w:r w:rsidRPr="00122CF8">
              <w:rPr>
                <w:rFonts w:ascii="Times New Roman" w:eastAsia="Times New Roman" w:hAnsi="Times New Roman" w:cs="Times New Roman"/>
                <w:color w:val="000000"/>
                <w:kern w:val="0"/>
                <w:sz w:val="23"/>
                <w:szCs w:val="23"/>
                <w:lang w:eastAsia="en-IN"/>
                <w14:ligatures w14:val="none"/>
              </w:rPr>
              <w:t>3.42</w:t>
            </w:r>
          </w:p>
        </w:tc>
        <w:tc>
          <w:tcPr>
            <w:tcW w:w="1574" w:type="dxa"/>
            <w:tcBorders>
              <w:top w:val="nil"/>
              <w:left w:val="nil"/>
              <w:bottom w:val="single" w:sz="4" w:space="0" w:color="auto"/>
              <w:right w:val="single" w:sz="4" w:space="0" w:color="auto"/>
            </w:tcBorders>
            <w:vAlign w:val="center"/>
            <w:hideMark/>
          </w:tcPr>
          <w:p w14:paraId="4892055C" w14:textId="77777777" w:rsidR="00122CF8" w:rsidRPr="00122CF8" w:rsidRDefault="00122CF8" w:rsidP="00122CF8">
            <w:pPr>
              <w:spacing w:after="0" w:line="240" w:lineRule="auto"/>
              <w:jc w:val="center"/>
              <w:rPr>
                <w:rFonts w:ascii="Times New Roman" w:eastAsia="Times New Roman" w:hAnsi="Times New Roman" w:cs="Times New Roman"/>
                <w:color w:val="000000"/>
                <w:kern w:val="0"/>
                <w:sz w:val="23"/>
                <w:szCs w:val="23"/>
                <w:lang w:eastAsia="en-IN"/>
                <w14:ligatures w14:val="none"/>
              </w:rPr>
            </w:pPr>
            <w:r w:rsidRPr="00122CF8">
              <w:rPr>
                <w:rFonts w:ascii="Times New Roman" w:eastAsia="Times New Roman" w:hAnsi="Times New Roman" w:cs="Times New Roman"/>
                <w:color w:val="000000"/>
                <w:kern w:val="0"/>
                <w:sz w:val="23"/>
                <w:szCs w:val="23"/>
                <w:lang w:eastAsia="en-IN"/>
                <w14:ligatures w14:val="none"/>
              </w:rPr>
              <w:t>48.74</w:t>
            </w:r>
          </w:p>
        </w:tc>
      </w:tr>
      <w:tr w:rsidR="00122CF8" w:rsidRPr="00122CF8" w14:paraId="4F984941" w14:textId="77777777" w:rsidTr="006057F1">
        <w:trPr>
          <w:trHeight w:val="227"/>
          <w:jc w:val="center"/>
        </w:trPr>
        <w:tc>
          <w:tcPr>
            <w:tcW w:w="1227" w:type="dxa"/>
            <w:tcBorders>
              <w:top w:val="nil"/>
              <w:left w:val="single" w:sz="4" w:space="0" w:color="auto"/>
              <w:bottom w:val="single" w:sz="4" w:space="0" w:color="auto"/>
              <w:right w:val="single" w:sz="4" w:space="0" w:color="auto"/>
            </w:tcBorders>
            <w:vAlign w:val="center"/>
            <w:hideMark/>
          </w:tcPr>
          <w:p w14:paraId="6C94B144" w14:textId="77777777" w:rsidR="00122CF8" w:rsidRPr="00122CF8" w:rsidRDefault="00122CF8" w:rsidP="00122CF8">
            <w:pPr>
              <w:spacing w:after="0" w:line="240" w:lineRule="auto"/>
              <w:jc w:val="right"/>
              <w:rPr>
                <w:rFonts w:ascii="Times New Roman" w:eastAsia="Times New Roman" w:hAnsi="Times New Roman" w:cs="Times New Roman"/>
                <w:color w:val="000000"/>
                <w:kern w:val="0"/>
                <w:sz w:val="23"/>
                <w:szCs w:val="23"/>
                <w:lang w:eastAsia="en-IN"/>
                <w14:ligatures w14:val="none"/>
              </w:rPr>
            </w:pPr>
            <w:r w:rsidRPr="00122CF8">
              <w:rPr>
                <w:rFonts w:ascii="Times New Roman" w:eastAsia="Times New Roman" w:hAnsi="Times New Roman" w:cs="Times New Roman"/>
                <w:color w:val="000000"/>
                <w:kern w:val="0"/>
                <w:sz w:val="23"/>
                <w:szCs w:val="23"/>
                <w:lang w:eastAsia="en-IN"/>
                <w14:ligatures w14:val="none"/>
              </w:rPr>
              <w:t>4</w:t>
            </w:r>
          </w:p>
        </w:tc>
        <w:tc>
          <w:tcPr>
            <w:tcW w:w="2481" w:type="dxa"/>
            <w:tcBorders>
              <w:top w:val="nil"/>
              <w:left w:val="nil"/>
              <w:bottom w:val="single" w:sz="4" w:space="0" w:color="auto"/>
              <w:right w:val="single" w:sz="4" w:space="0" w:color="auto"/>
            </w:tcBorders>
            <w:vAlign w:val="center"/>
            <w:hideMark/>
          </w:tcPr>
          <w:p w14:paraId="1F617404" w14:textId="77777777" w:rsidR="00122CF8" w:rsidRPr="00122CF8" w:rsidRDefault="00122CF8" w:rsidP="00122CF8">
            <w:pPr>
              <w:spacing w:after="0" w:line="240" w:lineRule="auto"/>
              <w:rPr>
                <w:rFonts w:ascii="Times New Roman" w:eastAsia="Times New Roman" w:hAnsi="Times New Roman" w:cs="Times New Roman"/>
                <w:color w:val="000000"/>
                <w:kern w:val="0"/>
                <w:sz w:val="23"/>
                <w:szCs w:val="23"/>
                <w:lang w:eastAsia="en-IN"/>
                <w14:ligatures w14:val="none"/>
              </w:rPr>
            </w:pPr>
            <w:r w:rsidRPr="00122CF8">
              <w:rPr>
                <w:rFonts w:ascii="Times New Roman" w:eastAsia="Times New Roman" w:hAnsi="Times New Roman" w:cs="Times New Roman"/>
                <w:color w:val="000000"/>
                <w:kern w:val="0"/>
                <w:sz w:val="23"/>
                <w:szCs w:val="23"/>
                <w:lang w:eastAsia="en-IN"/>
                <w14:ligatures w14:val="none"/>
              </w:rPr>
              <w:t>Gujarat</w:t>
            </w:r>
          </w:p>
        </w:tc>
        <w:tc>
          <w:tcPr>
            <w:tcW w:w="1663" w:type="dxa"/>
            <w:tcBorders>
              <w:top w:val="nil"/>
              <w:left w:val="nil"/>
              <w:bottom w:val="single" w:sz="4" w:space="0" w:color="auto"/>
              <w:right w:val="single" w:sz="4" w:space="0" w:color="auto"/>
            </w:tcBorders>
            <w:vAlign w:val="center"/>
            <w:hideMark/>
          </w:tcPr>
          <w:p w14:paraId="78AC9019" w14:textId="77777777" w:rsidR="00122CF8" w:rsidRPr="00122CF8" w:rsidRDefault="00122CF8" w:rsidP="00122CF8">
            <w:pPr>
              <w:spacing w:after="0" w:line="240" w:lineRule="auto"/>
              <w:jc w:val="center"/>
              <w:rPr>
                <w:rFonts w:ascii="Times New Roman" w:eastAsia="Times New Roman" w:hAnsi="Times New Roman" w:cs="Times New Roman"/>
                <w:color w:val="000000"/>
                <w:kern w:val="0"/>
                <w:sz w:val="23"/>
                <w:szCs w:val="23"/>
                <w:lang w:eastAsia="en-IN"/>
                <w14:ligatures w14:val="none"/>
              </w:rPr>
            </w:pPr>
            <w:r w:rsidRPr="00122CF8">
              <w:rPr>
                <w:rFonts w:ascii="Times New Roman" w:eastAsia="Times New Roman" w:hAnsi="Times New Roman" w:cs="Times New Roman"/>
                <w:color w:val="000000"/>
                <w:kern w:val="0"/>
                <w:sz w:val="23"/>
                <w:szCs w:val="23"/>
                <w:lang w:eastAsia="en-IN"/>
                <w14:ligatures w14:val="none"/>
              </w:rPr>
              <w:t>24.39</w:t>
            </w:r>
          </w:p>
        </w:tc>
        <w:tc>
          <w:tcPr>
            <w:tcW w:w="1640" w:type="dxa"/>
            <w:tcBorders>
              <w:top w:val="nil"/>
              <w:left w:val="nil"/>
              <w:bottom w:val="single" w:sz="4" w:space="0" w:color="auto"/>
              <w:right w:val="single" w:sz="4" w:space="0" w:color="auto"/>
            </w:tcBorders>
            <w:vAlign w:val="center"/>
            <w:hideMark/>
          </w:tcPr>
          <w:p w14:paraId="0F20F656" w14:textId="77777777" w:rsidR="00122CF8" w:rsidRPr="00122CF8" w:rsidRDefault="00122CF8" w:rsidP="00122CF8">
            <w:pPr>
              <w:spacing w:after="0" w:line="240" w:lineRule="auto"/>
              <w:jc w:val="center"/>
              <w:rPr>
                <w:rFonts w:ascii="Times New Roman" w:eastAsia="Times New Roman" w:hAnsi="Times New Roman" w:cs="Times New Roman"/>
                <w:color w:val="000000"/>
                <w:kern w:val="0"/>
                <w:sz w:val="23"/>
                <w:szCs w:val="23"/>
                <w:lang w:eastAsia="en-IN"/>
                <w14:ligatures w14:val="none"/>
              </w:rPr>
            </w:pPr>
            <w:r w:rsidRPr="00122CF8">
              <w:rPr>
                <w:rFonts w:ascii="Times New Roman" w:eastAsia="Times New Roman" w:hAnsi="Times New Roman" w:cs="Times New Roman"/>
                <w:color w:val="000000"/>
                <w:kern w:val="0"/>
                <w:sz w:val="23"/>
                <w:szCs w:val="23"/>
                <w:lang w:eastAsia="en-IN"/>
                <w14:ligatures w14:val="none"/>
              </w:rPr>
              <w:t>..</w:t>
            </w:r>
          </w:p>
        </w:tc>
        <w:tc>
          <w:tcPr>
            <w:tcW w:w="1574" w:type="dxa"/>
            <w:tcBorders>
              <w:top w:val="nil"/>
              <w:left w:val="nil"/>
              <w:bottom w:val="single" w:sz="4" w:space="0" w:color="auto"/>
              <w:right w:val="single" w:sz="4" w:space="0" w:color="auto"/>
            </w:tcBorders>
            <w:vAlign w:val="center"/>
            <w:hideMark/>
          </w:tcPr>
          <w:p w14:paraId="7E970067" w14:textId="77777777" w:rsidR="00122CF8" w:rsidRPr="00122CF8" w:rsidRDefault="00122CF8" w:rsidP="00122CF8">
            <w:pPr>
              <w:spacing w:after="0" w:line="240" w:lineRule="auto"/>
              <w:jc w:val="center"/>
              <w:rPr>
                <w:rFonts w:ascii="Times New Roman" w:eastAsia="Times New Roman" w:hAnsi="Times New Roman" w:cs="Times New Roman"/>
                <w:color w:val="000000"/>
                <w:kern w:val="0"/>
                <w:sz w:val="23"/>
                <w:szCs w:val="23"/>
                <w:lang w:eastAsia="en-IN"/>
                <w14:ligatures w14:val="none"/>
              </w:rPr>
            </w:pPr>
            <w:r w:rsidRPr="00122CF8">
              <w:rPr>
                <w:rFonts w:ascii="Times New Roman" w:eastAsia="Times New Roman" w:hAnsi="Times New Roman" w:cs="Times New Roman"/>
                <w:color w:val="000000"/>
                <w:kern w:val="0"/>
                <w:sz w:val="23"/>
                <w:szCs w:val="23"/>
                <w:lang w:eastAsia="en-IN"/>
                <w14:ligatures w14:val="none"/>
              </w:rPr>
              <w:t>24.39</w:t>
            </w:r>
          </w:p>
        </w:tc>
        <w:tc>
          <w:tcPr>
            <w:tcW w:w="1663" w:type="dxa"/>
            <w:tcBorders>
              <w:top w:val="nil"/>
              <w:left w:val="nil"/>
              <w:bottom w:val="single" w:sz="4" w:space="0" w:color="auto"/>
              <w:right w:val="single" w:sz="4" w:space="0" w:color="auto"/>
            </w:tcBorders>
            <w:vAlign w:val="center"/>
            <w:hideMark/>
          </w:tcPr>
          <w:p w14:paraId="01F77458" w14:textId="77777777" w:rsidR="00122CF8" w:rsidRPr="00122CF8" w:rsidRDefault="00122CF8" w:rsidP="00122CF8">
            <w:pPr>
              <w:spacing w:after="0" w:line="240" w:lineRule="auto"/>
              <w:jc w:val="center"/>
              <w:rPr>
                <w:rFonts w:ascii="Times New Roman" w:eastAsia="Times New Roman" w:hAnsi="Times New Roman" w:cs="Times New Roman"/>
                <w:color w:val="000000"/>
                <w:kern w:val="0"/>
                <w:sz w:val="23"/>
                <w:szCs w:val="23"/>
                <w:lang w:eastAsia="en-IN"/>
                <w14:ligatures w14:val="none"/>
              </w:rPr>
            </w:pPr>
            <w:r w:rsidRPr="00122CF8">
              <w:rPr>
                <w:rFonts w:ascii="Times New Roman" w:eastAsia="Times New Roman" w:hAnsi="Times New Roman" w:cs="Times New Roman"/>
                <w:color w:val="000000"/>
                <w:kern w:val="0"/>
                <w:sz w:val="23"/>
                <w:szCs w:val="23"/>
                <w:lang w:eastAsia="en-IN"/>
                <w14:ligatures w14:val="none"/>
              </w:rPr>
              <w:t>27.31</w:t>
            </w:r>
          </w:p>
        </w:tc>
        <w:tc>
          <w:tcPr>
            <w:tcW w:w="1640" w:type="dxa"/>
            <w:tcBorders>
              <w:top w:val="nil"/>
              <w:left w:val="nil"/>
              <w:bottom w:val="single" w:sz="4" w:space="0" w:color="auto"/>
              <w:right w:val="single" w:sz="4" w:space="0" w:color="auto"/>
            </w:tcBorders>
            <w:vAlign w:val="center"/>
            <w:hideMark/>
          </w:tcPr>
          <w:p w14:paraId="0D371070" w14:textId="77777777" w:rsidR="00122CF8" w:rsidRPr="00122CF8" w:rsidRDefault="00122CF8" w:rsidP="00122CF8">
            <w:pPr>
              <w:spacing w:after="0" w:line="240" w:lineRule="auto"/>
              <w:jc w:val="center"/>
              <w:rPr>
                <w:rFonts w:ascii="Times New Roman" w:eastAsia="Times New Roman" w:hAnsi="Times New Roman" w:cs="Times New Roman"/>
                <w:color w:val="000000"/>
                <w:kern w:val="0"/>
                <w:sz w:val="23"/>
                <w:szCs w:val="23"/>
                <w:lang w:eastAsia="en-IN"/>
                <w14:ligatures w14:val="none"/>
              </w:rPr>
            </w:pPr>
            <w:r w:rsidRPr="00122CF8">
              <w:rPr>
                <w:rFonts w:ascii="Times New Roman" w:eastAsia="Times New Roman" w:hAnsi="Times New Roman" w:cs="Times New Roman"/>
                <w:color w:val="000000"/>
                <w:kern w:val="0"/>
                <w:sz w:val="23"/>
                <w:szCs w:val="23"/>
                <w:lang w:eastAsia="en-IN"/>
                <w14:ligatures w14:val="none"/>
              </w:rPr>
              <w:t>..</w:t>
            </w:r>
          </w:p>
        </w:tc>
        <w:tc>
          <w:tcPr>
            <w:tcW w:w="1574" w:type="dxa"/>
            <w:tcBorders>
              <w:top w:val="nil"/>
              <w:left w:val="nil"/>
              <w:bottom w:val="single" w:sz="4" w:space="0" w:color="auto"/>
              <w:right w:val="single" w:sz="4" w:space="0" w:color="auto"/>
            </w:tcBorders>
            <w:vAlign w:val="center"/>
            <w:hideMark/>
          </w:tcPr>
          <w:p w14:paraId="147E6292" w14:textId="77777777" w:rsidR="00122CF8" w:rsidRPr="00122CF8" w:rsidRDefault="00122CF8" w:rsidP="00122CF8">
            <w:pPr>
              <w:spacing w:after="0" w:line="240" w:lineRule="auto"/>
              <w:jc w:val="center"/>
              <w:rPr>
                <w:rFonts w:ascii="Times New Roman" w:eastAsia="Times New Roman" w:hAnsi="Times New Roman" w:cs="Times New Roman"/>
                <w:color w:val="000000"/>
                <w:kern w:val="0"/>
                <w:sz w:val="23"/>
                <w:szCs w:val="23"/>
                <w:lang w:eastAsia="en-IN"/>
                <w14:ligatures w14:val="none"/>
              </w:rPr>
            </w:pPr>
            <w:r w:rsidRPr="00122CF8">
              <w:rPr>
                <w:rFonts w:ascii="Times New Roman" w:eastAsia="Times New Roman" w:hAnsi="Times New Roman" w:cs="Times New Roman"/>
                <w:color w:val="000000"/>
                <w:kern w:val="0"/>
                <w:sz w:val="23"/>
                <w:szCs w:val="23"/>
                <w:lang w:eastAsia="en-IN"/>
                <w14:ligatures w14:val="none"/>
              </w:rPr>
              <w:t>27.31</w:t>
            </w:r>
          </w:p>
        </w:tc>
      </w:tr>
      <w:tr w:rsidR="00122CF8" w:rsidRPr="00122CF8" w14:paraId="7846BD6C" w14:textId="77777777" w:rsidTr="006057F1">
        <w:trPr>
          <w:trHeight w:val="227"/>
          <w:jc w:val="center"/>
        </w:trPr>
        <w:tc>
          <w:tcPr>
            <w:tcW w:w="1227" w:type="dxa"/>
            <w:tcBorders>
              <w:top w:val="nil"/>
              <w:left w:val="single" w:sz="4" w:space="0" w:color="auto"/>
              <w:bottom w:val="single" w:sz="4" w:space="0" w:color="auto"/>
              <w:right w:val="single" w:sz="4" w:space="0" w:color="auto"/>
            </w:tcBorders>
            <w:vAlign w:val="center"/>
            <w:hideMark/>
          </w:tcPr>
          <w:p w14:paraId="203F257C" w14:textId="77777777" w:rsidR="00122CF8" w:rsidRPr="00122CF8" w:rsidRDefault="00122CF8" w:rsidP="00122CF8">
            <w:pPr>
              <w:spacing w:after="0" w:line="240" w:lineRule="auto"/>
              <w:jc w:val="right"/>
              <w:rPr>
                <w:rFonts w:ascii="Times New Roman" w:eastAsia="Times New Roman" w:hAnsi="Times New Roman" w:cs="Times New Roman"/>
                <w:color w:val="000000"/>
                <w:kern w:val="0"/>
                <w:sz w:val="23"/>
                <w:szCs w:val="23"/>
                <w:lang w:eastAsia="en-IN"/>
                <w14:ligatures w14:val="none"/>
              </w:rPr>
            </w:pPr>
            <w:r w:rsidRPr="00122CF8">
              <w:rPr>
                <w:rFonts w:ascii="Times New Roman" w:eastAsia="Times New Roman" w:hAnsi="Times New Roman" w:cs="Times New Roman"/>
                <w:color w:val="000000"/>
                <w:kern w:val="0"/>
                <w:sz w:val="23"/>
                <w:szCs w:val="23"/>
                <w:lang w:eastAsia="en-IN"/>
                <w14:ligatures w14:val="none"/>
              </w:rPr>
              <w:t>5</w:t>
            </w:r>
          </w:p>
        </w:tc>
        <w:tc>
          <w:tcPr>
            <w:tcW w:w="2481" w:type="dxa"/>
            <w:tcBorders>
              <w:top w:val="nil"/>
              <w:left w:val="nil"/>
              <w:bottom w:val="single" w:sz="4" w:space="0" w:color="auto"/>
              <w:right w:val="single" w:sz="4" w:space="0" w:color="auto"/>
            </w:tcBorders>
            <w:vAlign w:val="center"/>
            <w:hideMark/>
          </w:tcPr>
          <w:p w14:paraId="318DC031" w14:textId="77777777" w:rsidR="00122CF8" w:rsidRPr="00122CF8" w:rsidRDefault="00122CF8" w:rsidP="00122CF8">
            <w:pPr>
              <w:spacing w:after="0" w:line="240" w:lineRule="auto"/>
              <w:rPr>
                <w:rFonts w:ascii="Times New Roman" w:eastAsia="Times New Roman" w:hAnsi="Times New Roman" w:cs="Times New Roman"/>
                <w:color w:val="000000"/>
                <w:kern w:val="0"/>
                <w:sz w:val="23"/>
                <w:szCs w:val="23"/>
                <w:lang w:eastAsia="en-IN"/>
                <w14:ligatures w14:val="none"/>
              </w:rPr>
            </w:pPr>
            <w:r w:rsidRPr="00122CF8">
              <w:rPr>
                <w:rFonts w:ascii="Times New Roman" w:eastAsia="Times New Roman" w:hAnsi="Times New Roman" w:cs="Times New Roman"/>
                <w:color w:val="000000"/>
                <w:kern w:val="0"/>
                <w:sz w:val="23"/>
                <w:szCs w:val="23"/>
                <w:lang w:eastAsia="en-IN"/>
                <w14:ligatures w14:val="none"/>
              </w:rPr>
              <w:t>Haryana</w:t>
            </w:r>
          </w:p>
        </w:tc>
        <w:tc>
          <w:tcPr>
            <w:tcW w:w="1663" w:type="dxa"/>
            <w:tcBorders>
              <w:top w:val="nil"/>
              <w:left w:val="nil"/>
              <w:bottom w:val="single" w:sz="4" w:space="0" w:color="auto"/>
              <w:right w:val="single" w:sz="4" w:space="0" w:color="auto"/>
            </w:tcBorders>
            <w:vAlign w:val="center"/>
            <w:hideMark/>
          </w:tcPr>
          <w:p w14:paraId="2612EFD8" w14:textId="77777777" w:rsidR="00122CF8" w:rsidRPr="00122CF8" w:rsidRDefault="00122CF8" w:rsidP="00122CF8">
            <w:pPr>
              <w:spacing w:after="0" w:line="240" w:lineRule="auto"/>
              <w:jc w:val="center"/>
              <w:rPr>
                <w:rFonts w:ascii="Times New Roman" w:eastAsia="Times New Roman" w:hAnsi="Times New Roman" w:cs="Times New Roman"/>
                <w:color w:val="000000"/>
                <w:kern w:val="0"/>
                <w:sz w:val="23"/>
                <w:szCs w:val="23"/>
                <w:lang w:eastAsia="en-IN"/>
                <w14:ligatures w14:val="none"/>
              </w:rPr>
            </w:pPr>
            <w:r w:rsidRPr="00122CF8">
              <w:rPr>
                <w:rFonts w:ascii="Times New Roman" w:eastAsia="Times New Roman" w:hAnsi="Times New Roman" w:cs="Times New Roman"/>
                <w:color w:val="000000"/>
                <w:kern w:val="0"/>
                <w:sz w:val="23"/>
                <w:szCs w:val="23"/>
                <w:lang w:eastAsia="en-IN"/>
                <w14:ligatures w14:val="none"/>
              </w:rPr>
              <w:t>7.97</w:t>
            </w:r>
          </w:p>
        </w:tc>
        <w:tc>
          <w:tcPr>
            <w:tcW w:w="1640" w:type="dxa"/>
            <w:tcBorders>
              <w:top w:val="nil"/>
              <w:left w:val="nil"/>
              <w:bottom w:val="single" w:sz="4" w:space="0" w:color="auto"/>
              <w:right w:val="single" w:sz="4" w:space="0" w:color="auto"/>
            </w:tcBorders>
            <w:vAlign w:val="center"/>
            <w:hideMark/>
          </w:tcPr>
          <w:p w14:paraId="3F87F55B" w14:textId="77777777" w:rsidR="00122CF8" w:rsidRPr="00122CF8" w:rsidRDefault="00122CF8" w:rsidP="00122CF8">
            <w:pPr>
              <w:spacing w:after="0" w:line="240" w:lineRule="auto"/>
              <w:jc w:val="center"/>
              <w:rPr>
                <w:rFonts w:ascii="Times New Roman" w:eastAsia="Times New Roman" w:hAnsi="Times New Roman" w:cs="Times New Roman"/>
                <w:color w:val="000000"/>
                <w:kern w:val="0"/>
                <w:sz w:val="23"/>
                <w:szCs w:val="23"/>
                <w:lang w:eastAsia="en-IN"/>
                <w14:ligatures w14:val="none"/>
              </w:rPr>
            </w:pPr>
            <w:r w:rsidRPr="00122CF8">
              <w:rPr>
                <w:rFonts w:ascii="Times New Roman" w:eastAsia="Times New Roman" w:hAnsi="Times New Roman" w:cs="Times New Roman"/>
                <w:color w:val="000000"/>
                <w:kern w:val="0"/>
                <w:sz w:val="23"/>
                <w:szCs w:val="23"/>
                <w:lang w:eastAsia="en-IN"/>
                <w14:ligatures w14:val="none"/>
              </w:rPr>
              <w:t>..</w:t>
            </w:r>
          </w:p>
        </w:tc>
        <w:tc>
          <w:tcPr>
            <w:tcW w:w="1574" w:type="dxa"/>
            <w:tcBorders>
              <w:top w:val="nil"/>
              <w:left w:val="nil"/>
              <w:bottom w:val="single" w:sz="4" w:space="0" w:color="auto"/>
              <w:right w:val="single" w:sz="4" w:space="0" w:color="auto"/>
            </w:tcBorders>
            <w:vAlign w:val="center"/>
            <w:hideMark/>
          </w:tcPr>
          <w:p w14:paraId="5DDC6D43" w14:textId="77777777" w:rsidR="00122CF8" w:rsidRPr="00122CF8" w:rsidRDefault="00122CF8" w:rsidP="00122CF8">
            <w:pPr>
              <w:spacing w:after="0" w:line="240" w:lineRule="auto"/>
              <w:jc w:val="center"/>
              <w:rPr>
                <w:rFonts w:ascii="Times New Roman" w:eastAsia="Times New Roman" w:hAnsi="Times New Roman" w:cs="Times New Roman"/>
                <w:color w:val="000000"/>
                <w:kern w:val="0"/>
                <w:sz w:val="23"/>
                <w:szCs w:val="23"/>
                <w:lang w:eastAsia="en-IN"/>
                <w14:ligatures w14:val="none"/>
              </w:rPr>
            </w:pPr>
            <w:r w:rsidRPr="00122CF8">
              <w:rPr>
                <w:rFonts w:ascii="Times New Roman" w:eastAsia="Times New Roman" w:hAnsi="Times New Roman" w:cs="Times New Roman"/>
                <w:color w:val="000000"/>
                <w:kern w:val="0"/>
                <w:sz w:val="23"/>
                <w:szCs w:val="23"/>
                <w:lang w:eastAsia="en-IN"/>
                <w14:ligatures w14:val="none"/>
              </w:rPr>
              <w:t>7.97</w:t>
            </w:r>
          </w:p>
        </w:tc>
        <w:tc>
          <w:tcPr>
            <w:tcW w:w="1663" w:type="dxa"/>
            <w:tcBorders>
              <w:top w:val="nil"/>
              <w:left w:val="nil"/>
              <w:bottom w:val="single" w:sz="4" w:space="0" w:color="auto"/>
              <w:right w:val="single" w:sz="4" w:space="0" w:color="auto"/>
            </w:tcBorders>
            <w:vAlign w:val="center"/>
            <w:hideMark/>
          </w:tcPr>
          <w:p w14:paraId="6C588EEF" w14:textId="77777777" w:rsidR="00122CF8" w:rsidRPr="00122CF8" w:rsidRDefault="00122CF8" w:rsidP="00122CF8">
            <w:pPr>
              <w:spacing w:after="0" w:line="240" w:lineRule="auto"/>
              <w:jc w:val="center"/>
              <w:rPr>
                <w:rFonts w:ascii="Times New Roman" w:eastAsia="Times New Roman" w:hAnsi="Times New Roman" w:cs="Times New Roman"/>
                <w:color w:val="000000"/>
                <w:kern w:val="0"/>
                <w:sz w:val="23"/>
                <w:szCs w:val="23"/>
                <w:lang w:eastAsia="en-IN"/>
                <w14:ligatures w14:val="none"/>
              </w:rPr>
            </w:pPr>
            <w:r w:rsidRPr="00122CF8">
              <w:rPr>
                <w:rFonts w:ascii="Times New Roman" w:eastAsia="Times New Roman" w:hAnsi="Times New Roman" w:cs="Times New Roman"/>
                <w:color w:val="000000"/>
                <w:kern w:val="0"/>
                <w:sz w:val="23"/>
                <w:szCs w:val="23"/>
                <w:lang w:eastAsia="en-IN"/>
                <w14:ligatures w14:val="none"/>
              </w:rPr>
              <w:t>8.94</w:t>
            </w:r>
          </w:p>
        </w:tc>
        <w:tc>
          <w:tcPr>
            <w:tcW w:w="1640" w:type="dxa"/>
            <w:tcBorders>
              <w:top w:val="nil"/>
              <w:left w:val="nil"/>
              <w:bottom w:val="single" w:sz="4" w:space="0" w:color="auto"/>
              <w:right w:val="single" w:sz="4" w:space="0" w:color="auto"/>
            </w:tcBorders>
            <w:vAlign w:val="center"/>
            <w:hideMark/>
          </w:tcPr>
          <w:p w14:paraId="1C7060BC" w14:textId="77777777" w:rsidR="00122CF8" w:rsidRPr="00122CF8" w:rsidRDefault="00122CF8" w:rsidP="00122CF8">
            <w:pPr>
              <w:spacing w:after="0" w:line="240" w:lineRule="auto"/>
              <w:jc w:val="center"/>
              <w:rPr>
                <w:rFonts w:ascii="Times New Roman" w:eastAsia="Times New Roman" w:hAnsi="Times New Roman" w:cs="Times New Roman"/>
                <w:color w:val="000000"/>
                <w:kern w:val="0"/>
                <w:sz w:val="23"/>
                <w:szCs w:val="23"/>
                <w:lang w:eastAsia="en-IN"/>
                <w14:ligatures w14:val="none"/>
              </w:rPr>
            </w:pPr>
            <w:r w:rsidRPr="00122CF8">
              <w:rPr>
                <w:rFonts w:ascii="Times New Roman" w:eastAsia="Times New Roman" w:hAnsi="Times New Roman" w:cs="Times New Roman"/>
                <w:color w:val="000000"/>
                <w:kern w:val="0"/>
                <w:sz w:val="23"/>
                <w:szCs w:val="23"/>
                <w:lang w:eastAsia="en-IN"/>
                <w14:ligatures w14:val="none"/>
              </w:rPr>
              <w:t>..</w:t>
            </w:r>
          </w:p>
        </w:tc>
        <w:tc>
          <w:tcPr>
            <w:tcW w:w="1574" w:type="dxa"/>
            <w:tcBorders>
              <w:top w:val="nil"/>
              <w:left w:val="nil"/>
              <w:bottom w:val="single" w:sz="4" w:space="0" w:color="auto"/>
              <w:right w:val="single" w:sz="4" w:space="0" w:color="auto"/>
            </w:tcBorders>
            <w:vAlign w:val="center"/>
            <w:hideMark/>
          </w:tcPr>
          <w:p w14:paraId="1E3BD428" w14:textId="77777777" w:rsidR="00122CF8" w:rsidRPr="00122CF8" w:rsidRDefault="00122CF8" w:rsidP="00122CF8">
            <w:pPr>
              <w:spacing w:after="0" w:line="240" w:lineRule="auto"/>
              <w:jc w:val="center"/>
              <w:rPr>
                <w:rFonts w:ascii="Times New Roman" w:eastAsia="Times New Roman" w:hAnsi="Times New Roman" w:cs="Times New Roman"/>
                <w:color w:val="000000"/>
                <w:kern w:val="0"/>
                <w:sz w:val="23"/>
                <w:szCs w:val="23"/>
                <w:lang w:eastAsia="en-IN"/>
                <w14:ligatures w14:val="none"/>
              </w:rPr>
            </w:pPr>
            <w:r w:rsidRPr="00122CF8">
              <w:rPr>
                <w:rFonts w:ascii="Times New Roman" w:eastAsia="Times New Roman" w:hAnsi="Times New Roman" w:cs="Times New Roman"/>
                <w:color w:val="000000"/>
                <w:kern w:val="0"/>
                <w:sz w:val="23"/>
                <w:szCs w:val="23"/>
                <w:lang w:eastAsia="en-IN"/>
                <w14:ligatures w14:val="none"/>
              </w:rPr>
              <w:t>8.94</w:t>
            </w:r>
          </w:p>
        </w:tc>
      </w:tr>
      <w:tr w:rsidR="00122CF8" w:rsidRPr="00122CF8" w14:paraId="535C23A4" w14:textId="77777777" w:rsidTr="006057F1">
        <w:trPr>
          <w:trHeight w:val="227"/>
          <w:jc w:val="center"/>
        </w:trPr>
        <w:tc>
          <w:tcPr>
            <w:tcW w:w="1227" w:type="dxa"/>
            <w:tcBorders>
              <w:top w:val="nil"/>
              <w:left w:val="single" w:sz="4" w:space="0" w:color="auto"/>
              <w:bottom w:val="single" w:sz="4" w:space="0" w:color="auto"/>
              <w:right w:val="single" w:sz="4" w:space="0" w:color="auto"/>
            </w:tcBorders>
            <w:vAlign w:val="center"/>
            <w:hideMark/>
          </w:tcPr>
          <w:p w14:paraId="4CDDCF98" w14:textId="77777777" w:rsidR="00122CF8" w:rsidRPr="00122CF8" w:rsidRDefault="00122CF8" w:rsidP="00122CF8">
            <w:pPr>
              <w:spacing w:after="0" w:line="240" w:lineRule="auto"/>
              <w:jc w:val="right"/>
              <w:rPr>
                <w:rFonts w:ascii="Times New Roman" w:eastAsia="Times New Roman" w:hAnsi="Times New Roman" w:cs="Times New Roman"/>
                <w:color w:val="000000"/>
                <w:kern w:val="0"/>
                <w:sz w:val="23"/>
                <w:szCs w:val="23"/>
                <w:lang w:eastAsia="en-IN"/>
                <w14:ligatures w14:val="none"/>
              </w:rPr>
            </w:pPr>
            <w:r w:rsidRPr="00122CF8">
              <w:rPr>
                <w:rFonts w:ascii="Times New Roman" w:eastAsia="Times New Roman" w:hAnsi="Times New Roman" w:cs="Times New Roman"/>
                <w:color w:val="000000"/>
                <w:kern w:val="0"/>
                <w:sz w:val="23"/>
                <w:szCs w:val="23"/>
                <w:lang w:eastAsia="en-IN"/>
                <w14:ligatures w14:val="none"/>
              </w:rPr>
              <w:t>6</w:t>
            </w:r>
          </w:p>
        </w:tc>
        <w:tc>
          <w:tcPr>
            <w:tcW w:w="2481" w:type="dxa"/>
            <w:tcBorders>
              <w:top w:val="nil"/>
              <w:left w:val="nil"/>
              <w:bottom w:val="single" w:sz="4" w:space="0" w:color="auto"/>
              <w:right w:val="single" w:sz="4" w:space="0" w:color="auto"/>
            </w:tcBorders>
            <w:vAlign w:val="center"/>
            <w:hideMark/>
          </w:tcPr>
          <w:p w14:paraId="7471E1B1" w14:textId="77777777" w:rsidR="00122CF8" w:rsidRPr="00122CF8" w:rsidRDefault="00122CF8" w:rsidP="00122CF8">
            <w:pPr>
              <w:spacing w:after="0" w:line="240" w:lineRule="auto"/>
              <w:rPr>
                <w:rFonts w:ascii="Times New Roman" w:eastAsia="Times New Roman" w:hAnsi="Times New Roman" w:cs="Times New Roman"/>
                <w:color w:val="000000"/>
                <w:kern w:val="0"/>
                <w:sz w:val="23"/>
                <w:szCs w:val="23"/>
                <w:lang w:eastAsia="en-IN"/>
                <w14:ligatures w14:val="none"/>
              </w:rPr>
            </w:pPr>
            <w:r w:rsidRPr="00122CF8">
              <w:rPr>
                <w:rFonts w:ascii="Times New Roman" w:eastAsia="Times New Roman" w:hAnsi="Times New Roman" w:cs="Times New Roman"/>
                <w:color w:val="000000"/>
                <w:kern w:val="0"/>
                <w:sz w:val="23"/>
                <w:szCs w:val="23"/>
                <w:lang w:eastAsia="en-IN"/>
                <w14:ligatures w14:val="none"/>
              </w:rPr>
              <w:t>Jammu &amp; Kashmir</w:t>
            </w:r>
          </w:p>
        </w:tc>
        <w:tc>
          <w:tcPr>
            <w:tcW w:w="1663" w:type="dxa"/>
            <w:tcBorders>
              <w:top w:val="nil"/>
              <w:left w:val="nil"/>
              <w:bottom w:val="single" w:sz="4" w:space="0" w:color="auto"/>
              <w:right w:val="single" w:sz="4" w:space="0" w:color="auto"/>
            </w:tcBorders>
            <w:vAlign w:val="center"/>
            <w:hideMark/>
          </w:tcPr>
          <w:p w14:paraId="4FEC3D95" w14:textId="77777777" w:rsidR="00122CF8" w:rsidRPr="00122CF8" w:rsidRDefault="00122CF8" w:rsidP="00122CF8">
            <w:pPr>
              <w:spacing w:after="0" w:line="240" w:lineRule="auto"/>
              <w:jc w:val="center"/>
              <w:rPr>
                <w:rFonts w:ascii="Times New Roman" w:eastAsia="Times New Roman" w:hAnsi="Times New Roman" w:cs="Times New Roman"/>
                <w:color w:val="000000"/>
                <w:kern w:val="0"/>
                <w:sz w:val="23"/>
                <w:szCs w:val="23"/>
                <w:lang w:eastAsia="en-IN"/>
                <w14:ligatures w14:val="none"/>
              </w:rPr>
            </w:pPr>
            <w:r w:rsidRPr="00122CF8">
              <w:rPr>
                <w:rFonts w:ascii="Times New Roman" w:eastAsia="Times New Roman" w:hAnsi="Times New Roman" w:cs="Times New Roman"/>
                <w:color w:val="000000"/>
                <w:kern w:val="0"/>
                <w:sz w:val="23"/>
                <w:szCs w:val="23"/>
                <w:lang w:eastAsia="en-IN"/>
                <w14:ligatures w14:val="none"/>
              </w:rPr>
              <w:t>6.72</w:t>
            </w:r>
          </w:p>
        </w:tc>
        <w:tc>
          <w:tcPr>
            <w:tcW w:w="1640" w:type="dxa"/>
            <w:tcBorders>
              <w:top w:val="nil"/>
              <w:left w:val="nil"/>
              <w:bottom w:val="single" w:sz="4" w:space="0" w:color="auto"/>
              <w:right w:val="single" w:sz="4" w:space="0" w:color="auto"/>
            </w:tcBorders>
            <w:vAlign w:val="center"/>
            <w:hideMark/>
          </w:tcPr>
          <w:p w14:paraId="350367C1" w14:textId="77777777" w:rsidR="00122CF8" w:rsidRPr="00122CF8" w:rsidRDefault="00122CF8" w:rsidP="00122CF8">
            <w:pPr>
              <w:spacing w:after="0" w:line="240" w:lineRule="auto"/>
              <w:jc w:val="center"/>
              <w:rPr>
                <w:rFonts w:ascii="Times New Roman" w:eastAsia="Times New Roman" w:hAnsi="Times New Roman" w:cs="Times New Roman"/>
                <w:color w:val="000000"/>
                <w:kern w:val="0"/>
                <w:sz w:val="23"/>
                <w:szCs w:val="23"/>
                <w:lang w:eastAsia="en-IN"/>
                <w14:ligatures w14:val="none"/>
              </w:rPr>
            </w:pPr>
            <w:r w:rsidRPr="00122CF8">
              <w:rPr>
                <w:rFonts w:ascii="Times New Roman" w:eastAsia="Times New Roman" w:hAnsi="Times New Roman" w:cs="Times New Roman"/>
                <w:color w:val="000000"/>
                <w:kern w:val="0"/>
                <w:sz w:val="23"/>
                <w:szCs w:val="23"/>
                <w:lang w:eastAsia="en-IN"/>
                <w14:ligatures w14:val="none"/>
              </w:rPr>
              <w:t>6.57</w:t>
            </w:r>
          </w:p>
        </w:tc>
        <w:tc>
          <w:tcPr>
            <w:tcW w:w="1574" w:type="dxa"/>
            <w:tcBorders>
              <w:top w:val="nil"/>
              <w:left w:val="nil"/>
              <w:bottom w:val="single" w:sz="4" w:space="0" w:color="auto"/>
              <w:right w:val="single" w:sz="4" w:space="0" w:color="auto"/>
            </w:tcBorders>
            <w:vAlign w:val="center"/>
            <w:hideMark/>
          </w:tcPr>
          <w:p w14:paraId="5EB01CCC" w14:textId="77777777" w:rsidR="00122CF8" w:rsidRPr="00122CF8" w:rsidRDefault="00122CF8" w:rsidP="00122CF8">
            <w:pPr>
              <w:spacing w:after="0" w:line="240" w:lineRule="auto"/>
              <w:jc w:val="center"/>
              <w:rPr>
                <w:rFonts w:ascii="Times New Roman" w:eastAsia="Times New Roman" w:hAnsi="Times New Roman" w:cs="Times New Roman"/>
                <w:color w:val="000000"/>
                <w:kern w:val="0"/>
                <w:sz w:val="23"/>
                <w:szCs w:val="23"/>
                <w:lang w:eastAsia="en-IN"/>
                <w14:ligatures w14:val="none"/>
              </w:rPr>
            </w:pPr>
            <w:r w:rsidRPr="00122CF8">
              <w:rPr>
                <w:rFonts w:ascii="Times New Roman" w:eastAsia="Times New Roman" w:hAnsi="Times New Roman" w:cs="Times New Roman"/>
                <w:color w:val="000000"/>
                <w:kern w:val="0"/>
                <w:sz w:val="23"/>
                <w:szCs w:val="23"/>
                <w:lang w:eastAsia="en-IN"/>
                <w14:ligatures w14:val="none"/>
              </w:rPr>
              <w:t>13.29</w:t>
            </w:r>
          </w:p>
        </w:tc>
        <w:tc>
          <w:tcPr>
            <w:tcW w:w="1663" w:type="dxa"/>
            <w:tcBorders>
              <w:top w:val="nil"/>
              <w:left w:val="nil"/>
              <w:bottom w:val="single" w:sz="4" w:space="0" w:color="auto"/>
              <w:right w:val="single" w:sz="4" w:space="0" w:color="auto"/>
            </w:tcBorders>
            <w:vAlign w:val="center"/>
            <w:hideMark/>
          </w:tcPr>
          <w:p w14:paraId="254D951A" w14:textId="77777777" w:rsidR="00122CF8" w:rsidRPr="00122CF8" w:rsidRDefault="00122CF8" w:rsidP="00122CF8">
            <w:pPr>
              <w:spacing w:after="0" w:line="240" w:lineRule="auto"/>
              <w:jc w:val="center"/>
              <w:rPr>
                <w:rFonts w:ascii="Times New Roman" w:eastAsia="Times New Roman" w:hAnsi="Times New Roman" w:cs="Times New Roman"/>
                <w:color w:val="000000"/>
                <w:kern w:val="0"/>
                <w:sz w:val="23"/>
                <w:szCs w:val="23"/>
                <w:lang w:eastAsia="en-IN"/>
                <w14:ligatures w14:val="none"/>
              </w:rPr>
            </w:pPr>
            <w:r w:rsidRPr="00122CF8">
              <w:rPr>
                <w:rFonts w:ascii="Times New Roman" w:eastAsia="Times New Roman" w:hAnsi="Times New Roman" w:cs="Times New Roman"/>
                <w:color w:val="000000"/>
                <w:kern w:val="0"/>
                <w:sz w:val="23"/>
                <w:szCs w:val="23"/>
                <w:lang w:eastAsia="en-IN"/>
                <w14:ligatures w14:val="none"/>
              </w:rPr>
              <w:t>7.67</w:t>
            </w:r>
          </w:p>
        </w:tc>
        <w:tc>
          <w:tcPr>
            <w:tcW w:w="1640" w:type="dxa"/>
            <w:tcBorders>
              <w:top w:val="nil"/>
              <w:left w:val="nil"/>
              <w:bottom w:val="single" w:sz="4" w:space="0" w:color="auto"/>
              <w:right w:val="single" w:sz="4" w:space="0" w:color="auto"/>
            </w:tcBorders>
            <w:vAlign w:val="center"/>
            <w:hideMark/>
          </w:tcPr>
          <w:p w14:paraId="2C5DDBDD" w14:textId="77777777" w:rsidR="00122CF8" w:rsidRPr="00122CF8" w:rsidRDefault="00122CF8" w:rsidP="00122CF8">
            <w:pPr>
              <w:spacing w:after="0" w:line="240" w:lineRule="auto"/>
              <w:jc w:val="center"/>
              <w:rPr>
                <w:rFonts w:ascii="Times New Roman" w:eastAsia="Times New Roman" w:hAnsi="Times New Roman" w:cs="Times New Roman"/>
                <w:color w:val="000000"/>
                <w:kern w:val="0"/>
                <w:sz w:val="23"/>
                <w:szCs w:val="23"/>
                <w:lang w:eastAsia="en-IN"/>
                <w14:ligatures w14:val="none"/>
              </w:rPr>
            </w:pPr>
            <w:r w:rsidRPr="00122CF8">
              <w:rPr>
                <w:rFonts w:ascii="Times New Roman" w:eastAsia="Times New Roman" w:hAnsi="Times New Roman" w:cs="Times New Roman"/>
                <w:color w:val="000000"/>
                <w:kern w:val="0"/>
                <w:sz w:val="23"/>
                <w:szCs w:val="23"/>
                <w:lang w:eastAsia="en-IN"/>
                <w14:ligatures w14:val="none"/>
              </w:rPr>
              <w:t>12.02</w:t>
            </w:r>
          </w:p>
        </w:tc>
        <w:tc>
          <w:tcPr>
            <w:tcW w:w="1574" w:type="dxa"/>
            <w:tcBorders>
              <w:top w:val="nil"/>
              <w:left w:val="nil"/>
              <w:bottom w:val="single" w:sz="4" w:space="0" w:color="auto"/>
              <w:right w:val="single" w:sz="4" w:space="0" w:color="auto"/>
            </w:tcBorders>
            <w:vAlign w:val="center"/>
            <w:hideMark/>
          </w:tcPr>
          <w:p w14:paraId="27C889D3" w14:textId="77777777" w:rsidR="00122CF8" w:rsidRPr="00122CF8" w:rsidRDefault="00122CF8" w:rsidP="00122CF8">
            <w:pPr>
              <w:spacing w:after="0" w:line="240" w:lineRule="auto"/>
              <w:jc w:val="center"/>
              <w:rPr>
                <w:rFonts w:ascii="Times New Roman" w:eastAsia="Times New Roman" w:hAnsi="Times New Roman" w:cs="Times New Roman"/>
                <w:color w:val="000000"/>
                <w:kern w:val="0"/>
                <w:sz w:val="23"/>
                <w:szCs w:val="23"/>
                <w:lang w:eastAsia="en-IN"/>
                <w14:ligatures w14:val="none"/>
              </w:rPr>
            </w:pPr>
            <w:r w:rsidRPr="00122CF8">
              <w:rPr>
                <w:rFonts w:ascii="Times New Roman" w:eastAsia="Times New Roman" w:hAnsi="Times New Roman" w:cs="Times New Roman"/>
                <w:color w:val="000000"/>
                <w:kern w:val="0"/>
                <w:sz w:val="23"/>
                <w:szCs w:val="23"/>
                <w:lang w:eastAsia="en-IN"/>
                <w14:ligatures w14:val="none"/>
              </w:rPr>
              <w:t>19.69</w:t>
            </w:r>
          </w:p>
        </w:tc>
      </w:tr>
      <w:tr w:rsidR="00122CF8" w:rsidRPr="00122CF8" w14:paraId="245E9B56" w14:textId="77777777" w:rsidTr="006057F1">
        <w:trPr>
          <w:trHeight w:val="227"/>
          <w:jc w:val="center"/>
        </w:trPr>
        <w:tc>
          <w:tcPr>
            <w:tcW w:w="1227" w:type="dxa"/>
            <w:tcBorders>
              <w:top w:val="nil"/>
              <w:left w:val="single" w:sz="4" w:space="0" w:color="auto"/>
              <w:bottom w:val="single" w:sz="4" w:space="0" w:color="auto"/>
              <w:right w:val="single" w:sz="4" w:space="0" w:color="auto"/>
            </w:tcBorders>
            <w:vAlign w:val="center"/>
            <w:hideMark/>
          </w:tcPr>
          <w:p w14:paraId="10D02911" w14:textId="77777777" w:rsidR="00122CF8" w:rsidRPr="00122CF8" w:rsidRDefault="00122CF8" w:rsidP="00122CF8">
            <w:pPr>
              <w:spacing w:after="0" w:line="240" w:lineRule="auto"/>
              <w:jc w:val="right"/>
              <w:rPr>
                <w:rFonts w:ascii="Times New Roman" w:eastAsia="Times New Roman" w:hAnsi="Times New Roman" w:cs="Times New Roman"/>
                <w:color w:val="000000"/>
                <w:kern w:val="0"/>
                <w:sz w:val="23"/>
                <w:szCs w:val="23"/>
                <w:lang w:eastAsia="en-IN"/>
                <w14:ligatures w14:val="none"/>
              </w:rPr>
            </w:pPr>
            <w:r w:rsidRPr="00122CF8">
              <w:rPr>
                <w:rFonts w:ascii="Times New Roman" w:eastAsia="Times New Roman" w:hAnsi="Times New Roman" w:cs="Times New Roman"/>
                <w:color w:val="000000"/>
                <w:kern w:val="0"/>
                <w:sz w:val="23"/>
                <w:szCs w:val="23"/>
                <w:lang w:eastAsia="en-IN"/>
                <w14:ligatures w14:val="none"/>
              </w:rPr>
              <w:t>7</w:t>
            </w:r>
          </w:p>
        </w:tc>
        <w:tc>
          <w:tcPr>
            <w:tcW w:w="2481" w:type="dxa"/>
            <w:tcBorders>
              <w:top w:val="nil"/>
              <w:left w:val="nil"/>
              <w:bottom w:val="single" w:sz="4" w:space="0" w:color="auto"/>
              <w:right w:val="single" w:sz="4" w:space="0" w:color="auto"/>
            </w:tcBorders>
            <w:vAlign w:val="center"/>
            <w:hideMark/>
          </w:tcPr>
          <w:p w14:paraId="1CC42687" w14:textId="77777777" w:rsidR="00122CF8" w:rsidRPr="00122CF8" w:rsidRDefault="00122CF8" w:rsidP="00122CF8">
            <w:pPr>
              <w:spacing w:after="0" w:line="240" w:lineRule="auto"/>
              <w:rPr>
                <w:rFonts w:ascii="Times New Roman" w:eastAsia="Times New Roman" w:hAnsi="Times New Roman" w:cs="Times New Roman"/>
                <w:color w:val="000000"/>
                <w:kern w:val="0"/>
                <w:sz w:val="23"/>
                <w:szCs w:val="23"/>
                <w:lang w:eastAsia="en-IN"/>
                <w14:ligatures w14:val="none"/>
              </w:rPr>
            </w:pPr>
            <w:r w:rsidRPr="00122CF8">
              <w:rPr>
                <w:rFonts w:ascii="Times New Roman" w:eastAsia="Times New Roman" w:hAnsi="Times New Roman" w:cs="Times New Roman"/>
                <w:color w:val="000000"/>
                <w:kern w:val="0"/>
                <w:sz w:val="23"/>
                <w:szCs w:val="23"/>
                <w:lang w:eastAsia="en-IN"/>
                <w14:ligatures w14:val="none"/>
              </w:rPr>
              <w:t>Kerala</w:t>
            </w:r>
          </w:p>
        </w:tc>
        <w:tc>
          <w:tcPr>
            <w:tcW w:w="1663" w:type="dxa"/>
            <w:tcBorders>
              <w:top w:val="nil"/>
              <w:left w:val="nil"/>
              <w:bottom w:val="single" w:sz="4" w:space="0" w:color="auto"/>
              <w:right w:val="single" w:sz="4" w:space="0" w:color="auto"/>
            </w:tcBorders>
            <w:vAlign w:val="center"/>
            <w:hideMark/>
          </w:tcPr>
          <w:p w14:paraId="2C06C91C" w14:textId="77777777" w:rsidR="00122CF8" w:rsidRPr="00122CF8" w:rsidRDefault="00122CF8" w:rsidP="00122CF8">
            <w:pPr>
              <w:spacing w:after="0" w:line="240" w:lineRule="auto"/>
              <w:jc w:val="center"/>
              <w:rPr>
                <w:rFonts w:ascii="Times New Roman" w:eastAsia="Times New Roman" w:hAnsi="Times New Roman" w:cs="Times New Roman"/>
                <w:color w:val="000000"/>
                <w:kern w:val="0"/>
                <w:sz w:val="23"/>
                <w:szCs w:val="23"/>
                <w:lang w:eastAsia="en-IN"/>
                <w14:ligatures w14:val="none"/>
              </w:rPr>
            </w:pPr>
            <w:r w:rsidRPr="00122CF8">
              <w:rPr>
                <w:rFonts w:ascii="Times New Roman" w:eastAsia="Times New Roman" w:hAnsi="Times New Roman" w:cs="Times New Roman"/>
                <w:color w:val="000000"/>
                <w:kern w:val="0"/>
                <w:sz w:val="23"/>
                <w:szCs w:val="23"/>
                <w:lang w:eastAsia="en-IN"/>
                <w14:ligatures w14:val="none"/>
              </w:rPr>
              <w:t>16.95</w:t>
            </w:r>
          </w:p>
        </w:tc>
        <w:tc>
          <w:tcPr>
            <w:tcW w:w="1640" w:type="dxa"/>
            <w:tcBorders>
              <w:top w:val="nil"/>
              <w:left w:val="nil"/>
              <w:bottom w:val="single" w:sz="4" w:space="0" w:color="auto"/>
              <w:right w:val="single" w:sz="4" w:space="0" w:color="auto"/>
            </w:tcBorders>
            <w:vAlign w:val="center"/>
            <w:hideMark/>
          </w:tcPr>
          <w:p w14:paraId="1B5DF644" w14:textId="77777777" w:rsidR="00122CF8" w:rsidRPr="00122CF8" w:rsidRDefault="00122CF8" w:rsidP="00122CF8">
            <w:pPr>
              <w:spacing w:after="0" w:line="240" w:lineRule="auto"/>
              <w:jc w:val="center"/>
              <w:rPr>
                <w:rFonts w:ascii="Times New Roman" w:eastAsia="Times New Roman" w:hAnsi="Times New Roman" w:cs="Times New Roman"/>
                <w:color w:val="000000"/>
                <w:kern w:val="0"/>
                <w:sz w:val="23"/>
                <w:szCs w:val="23"/>
                <w:lang w:eastAsia="en-IN"/>
                <w14:ligatures w14:val="none"/>
              </w:rPr>
            </w:pPr>
            <w:r w:rsidRPr="00122CF8">
              <w:rPr>
                <w:rFonts w:ascii="Times New Roman" w:eastAsia="Times New Roman" w:hAnsi="Times New Roman" w:cs="Times New Roman"/>
                <w:color w:val="000000"/>
                <w:kern w:val="0"/>
                <w:sz w:val="23"/>
                <w:szCs w:val="23"/>
                <w:lang w:eastAsia="en-IN"/>
                <w14:ligatures w14:val="none"/>
              </w:rPr>
              <w:t>20.82</w:t>
            </w:r>
          </w:p>
        </w:tc>
        <w:tc>
          <w:tcPr>
            <w:tcW w:w="1574" w:type="dxa"/>
            <w:tcBorders>
              <w:top w:val="nil"/>
              <w:left w:val="nil"/>
              <w:bottom w:val="single" w:sz="4" w:space="0" w:color="auto"/>
              <w:right w:val="single" w:sz="4" w:space="0" w:color="auto"/>
            </w:tcBorders>
            <w:vAlign w:val="center"/>
            <w:hideMark/>
          </w:tcPr>
          <w:p w14:paraId="7EBD3FED" w14:textId="77777777" w:rsidR="00122CF8" w:rsidRPr="00122CF8" w:rsidRDefault="00122CF8" w:rsidP="00122CF8">
            <w:pPr>
              <w:spacing w:after="0" w:line="240" w:lineRule="auto"/>
              <w:jc w:val="center"/>
              <w:rPr>
                <w:rFonts w:ascii="Times New Roman" w:eastAsia="Times New Roman" w:hAnsi="Times New Roman" w:cs="Times New Roman"/>
                <w:color w:val="000000"/>
                <w:kern w:val="0"/>
                <w:sz w:val="23"/>
                <w:szCs w:val="23"/>
                <w:lang w:eastAsia="en-IN"/>
                <w14:ligatures w14:val="none"/>
              </w:rPr>
            </w:pPr>
            <w:r w:rsidRPr="00122CF8">
              <w:rPr>
                <w:rFonts w:ascii="Times New Roman" w:eastAsia="Times New Roman" w:hAnsi="Times New Roman" w:cs="Times New Roman"/>
                <w:color w:val="000000"/>
                <w:kern w:val="0"/>
                <w:sz w:val="23"/>
                <w:szCs w:val="23"/>
                <w:lang w:eastAsia="en-IN"/>
                <w14:ligatures w14:val="none"/>
              </w:rPr>
              <w:t>37.77</w:t>
            </w:r>
          </w:p>
        </w:tc>
        <w:tc>
          <w:tcPr>
            <w:tcW w:w="1663" w:type="dxa"/>
            <w:tcBorders>
              <w:top w:val="nil"/>
              <w:left w:val="nil"/>
              <w:bottom w:val="single" w:sz="4" w:space="0" w:color="auto"/>
              <w:right w:val="single" w:sz="4" w:space="0" w:color="auto"/>
            </w:tcBorders>
            <w:vAlign w:val="center"/>
            <w:hideMark/>
          </w:tcPr>
          <w:p w14:paraId="3D4A7443" w14:textId="77777777" w:rsidR="00122CF8" w:rsidRPr="00122CF8" w:rsidRDefault="00122CF8" w:rsidP="00122CF8">
            <w:pPr>
              <w:spacing w:after="0" w:line="240" w:lineRule="auto"/>
              <w:jc w:val="center"/>
              <w:rPr>
                <w:rFonts w:ascii="Times New Roman" w:eastAsia="Times New Roman" w:hAnsi="Times New Roman" w:cs="Times New Roman"/>
                <w:color w:val="000000"/>
                <w:kern w:val="0"/>
                <w:sz w:val="23"/>
                <w:szCs w:val="23"/>
                <w:lang w:eastAsia="en-IN"/>
                <w14:ligatures w14:val="none"/>
              </w:rPr>
            </w:pPr>
            <w:r w:rsidRPr="00122CF8">
              <w:rPr>
                <w:rFonts w:ascii="Times New Roman" w:eastAsia="Times New Roman" w:hAnsi="Times New Roman" w:cs="Times New Roman"/>
                <w:color w:val="000000"/>
                <w:kern w:val="0"/>
                <w:sz w:val="23"/>
                <w:szCs w:val="23"/>
                <w:lang w:eastAsia="en-IN"/>
                <w14:ligatures w14:val="none"/>
              </w:rPr>
              <w:t>19.16</w:t>
            </w:r>
          </w:p>
        </w:tc>
        <w:tc>
          <w:tcPr>
            <w:tcW w:w="1640" w:type="dxa"/>
            <w:tcBorders>
              <w:top w:val="nil"/>
              <w:left w:val="nil"/>
              <w:bottom w:val="single" w:sz="4" w:space="0" w:color="auto"/>
              <w:right w:val="single" w:sz="4" w:space="0" w:color="auto"/>
            </w:tcBorders>
            <w:vAlign w:val="center"/>
            <w:hideMark/>
          </w:tcPr>
          <w:p w14:paraId="6C5B1045" w14:textId="77777777" w:rsidR="00122CF8" w:rsidRPr="00122CF8" w:rsidRDefault="00122CF8" w:rsidP="00122CF8">
            <w:pPr>
              <w:spacing w:after="0" w:line="240" w:lineRule="auto"/>
              <w:jc w:val="center"/>
              <w:rPr>
                <w:rFonts w:ascii="Times New Roman" w:eastAsia="Times New Roman" w:hAnsi="Times New Roman" w:cs="Times New Roman"/>
                <w:color w:val="000000"/>
                <w:kern w:val="0"/>
                <w:sz w:val="23"/>
                <w:szCs w:val="23"/>
                <w:lang w:eastAsia="en-IN"/>
                <w14:ligatures w14:val="none"/>
              </w:rPr>
            </w:pPr>
            <w:r w:rsidRPr="00122CF8">
              <w:rPr>
                <w:rFonts w:ascii="Times New Roman" w:eastAsia="Times New Roman" w:hAnsi="Times New Roman" w:cs="Times New Roman"/>
                <w:color w:val="000000"/>
                <w:kern w:val="0"/>
                <w:sz w:val="23"/>
                <w:szCs w:val="23"/>
                <w:lang w:eastAsia="en-IN"/>
                <w14:ligatures w14:val="none"/>
              </w:rPr>
              <w:t>20.82</w:t>
            </w:r>
          </w:p>
        </w:tc>
        <w:tc>
          <w:tcPr>
            <w:tcW w:w="1574" w:type="dxa"/>
            <w:tcBorders>
              <w:top w:val="nil"/>
              <w:left w:val="nil"/>
              <w:bottom w:val="single" w:sz="4" w:space="0" w:color="auto"/>
              <w:right w:val="single" w:sz="4" w:space="0" w:color="auto"/>
            </w:tcBorders>
            <w:vAlign w:val="center"/>
            <w:hideMark/>
          </w:tcPr>
          <w:p w14:paraId="7C8C106A" w14:textId="77777777" w:rsidR="00122CF8" w:rsidRPr="00122CF8" w:rsidRDefault="00122CF8" w:rsidP="00122CF8">
            <w:pPr>
              <w:spacing w:after="0" w:line="240" w:lineRule="auto"/>
              <w:jc w:val="center"/>
              <w:rPr>
                <w:rFonts w:ascii="Times New Roman" w:eastAsia="Times New Roman" w:hAnsi="Times New Roman" w:cs="Times New Roman"/>
                <w:color w:val="000000"/>
                <w:kern w:val="0"/>
                <w:sz w:val="23"/>
                <w:szCs w:val="23"/>
                <w:lang w:eastAsia="en-IN"/>
                <w14:ligatures w14:val="none"/>
              </w:rPr>
            </w:pPr>
            <w:r w:rsidRPr="00122CF8">
              <w:rPr>
                <w:rFonts w:ascii="Times New Roman" w:eastAsia="Times New Roman" w:hAnsi="Times New Roman" w:cs="Times New Roman"/>
                <w:color w:val="000000"/>
                <w:kern w:val="0"/>
                <w:sz w:val="23"/>
                <w:szCs w:val="23"/>
                <w:lang w:eastAsia="en-IN"/>
                <w14:ligatures w14:val="none"/>
              </w:rPr>
              <w:t>39.98</w:t>
            </w:r>
          </w:p>
        </w:tc>
      </w:tr>
      <w:tr w:rsidR="00122CF8" w:rsidRPr="00122CF8" w14:paraId="4B455903" w14:textId="77777777" w:rsidTr="006057F1">
        <w:trPr>
          <w:trHeight w:val="227"/>
          <w:jc w:val="center"/>
        </w:trPr>
        <w:tc>
          <w:tcPr>
            <w:tcW w:w="1227" w:type="dxa"/>
            <w:tcBorders>
              <w:top w:val="nil"/>
              <w:left w:val="single" w:sz="4" w:space="0" w:color="auto"/>
              <w:bottom w:val="single" w:sz="4" w:space="0" w:color="auto"/>
              <w:right w:val="single" w:sz="4" w:space="0" w:color="auto"/>
            </w:tcBorders>
            <w:vAlign w:val="center"/>
            <w:hideMark/>
          </w:tcPr>
          <w:p w14:paraId="5C79EA36" w14:textId="77777777" w:rsidR="00122CF8" w:rsidRPr="00122CF8" w:rsidRDefault="00122CF8" w:rsidP="00122CF8">
            <w:pPr>
              <w:spacing w:after="0" w:line="240" w:lineRule="auto"/>
              <w:jc w:val="right"/>
              <w:rPr>
                <w:rFonts w:ascii="Times New Roman" w:eastAsia="Times New Roman" w:hAnsi="Times New Roman" w:cs="Times New Roman"/>
                <w:color w:val="000000"/>
                <w:kern w:val="0"/>
                <w:sz w:val="23"/>
                <w:szCs w:val="23"/>
                <w:lang w:eastAsia="en-IN"/>
                <w14:ligatures w14:val="none"/>
              </w:rPr>
            </w:pPr>
            <w:r w:rsidRPr="00122CF8">
              <w:rPr>
                <w:rFonts w:ascii="Times New Roman" w:eastAsia="Times New Roman" w:hAnsi="Times New Roman" w:cs="Times New Roman"/>
                <w:color w:val="000000"/>
                <w:kern w:val="0"/>
                <w:sz w:val="23"/>
                <w:szCs w:val="23"/>
                <w:lang w:eastAsia="en-IN"/>
                <w14:ligatures w14:val="none"/>
              </w:rPr>
              <w:t>8</w:t>
            </w:r>
          </w:p>
        </w:tc>
        <w:tc>
          <w:tcPr>
            <w:tcW w:w="2481" w:type="dxa"/>
            <w:tcBorders>
              <w:top w:val="nil"/>
              <w:left w:val="nil"/>
              <w:bottom w:val="single" w:sz="4" w:space="0" w:color="auto"/>
              <w:right w:val="single" w:sz="4" w:space="0" w:color="auto"/>
            </w:tcBorders>
            <w:vAlign w:val="center"/>
            <w:hideMark/>
          </w:tcPr>
          <w:p w14:paraId="4C1B0DC1" w14:textId="77777777" w:rsidR="00122CF8" w:rsidRPr="00122CF8" w:rsidRDefault="00122CF8" w:rsidP="00122CF8">
            <w:pPr>
              <w:spacing w:after="0" w:line="240" w:lineRule="auto"/>
              <w:rPr>
                <w:rFonts w:ascii="Times New Roman" w:eastAsia="Times New Roman" w:hAnsi="Times New Roman" w:cs="Times New Roman"/>
                <w:color w:val="000000"/>
                <w:kern w:val="0"/>
                <w:sz w:val="23"/>
                <w:szCs w:val="23"/>
                <w:lang w:eastAsia="en-IN"/>
                <w14:ligatures w14:val="none"/>
              </w:rPr>
            </w:pPr>
            <w:r w:rsidRPr="00122CF8">
              <w:rPr>
                <w:rFonts w:ascii="Times New Roman" w:eastAsia="Times New Roman" w:hAnsi="Times New Roman" w:cs="Times New Roman"/>
                <w:color w:val="000000"/>
                <w:kern w:val="0"/>
                <w:sz w:val="23"/>
                <w:szCs w:val="23"/>
                <w:lang w:eastAsia="en-IN"/>
                <w14:ligatures w14:val="none"/>
              </w:rPr>
              <w:t>Madhya Pradesh</w:t>
            </w:r>
          </w:p>
        </w:tc>
        <w:tc>
          <w:tcPr>
            <w:tcW w:w="1663" w:type="dxa"/>
            <w:tcBorders>
              <w:top w:val="nil"/>
              <w:left w:val="nil"/>
              <w:bottom w:val="single" w:sz="4" w:space="0" w:color="auto"/>
              <w:right w:val="single" w:sz="4" w:space="0" w:color="auto"/>
            </w:tcBorders>
            <w:vAlign w:val="center"/>
            <w:hideMark/>
          </w:tcPr>
          <w:p w14:paraId="44EB93C8" w14:textId="77777777" w:rsidR="00122CF8" w:rsidRPr="00122CF8" w:rsidRDefault="00122CF8" w:rsidP="00122CF8">
            <w:pPr>
              <w:spacing w:after="0" w:line="240" w:lineRule="auto"/>
              <w:jc w:val="center"/>
              <w:rPr>
                <w:rFonts w:ascii="Times New Roman" w:eastAsia="Times New Roman" w:hAnsi="Times New Roman" w:cs="Times New Roman"/>
                <w:color w:val="000000"/>
                <w:kern w:val="0"/>
                <w:sz w:val="23"/>
                <w:szCs w:val="23"/>
                <w:lang w:eastAsia="en-IN"/>
                <w14:ligatures w14:val="none"/>
              </w:rPr>
            </w:pPr>
            <w:r w:rsidRPr="00122CF8">
              <w:rPr>
                <w:rFonts w:ascii="Times New Roman" w:eastAsia="Times New Roman" w:hAnsi="Times New Roman" w:cs="Times New Roman"/>
                <w:color w:val="000000"/>
                <w:kern w:val="0"/>
                <w:sz w:val="23"/>
                <w:szCs w:val="23"/>
                <w:lang w:eastAsia="en-IN"/>
                <w14:ligatures w14:val="none"/>
              </w:rPr>
              <w:t>30.2</w:t>
            </w:r>
          </w:p>
        </w:tc>
        <w:tc>
          <w:tcPr>
            <w:tcW w:w="1640" w:type="dxa"/>
            <w:tcBorders>
              <w:top w:val="nil"/>
              <w:left w:val="nil"/>
              <w:bottom w:val="single" w:sz="4" w:space="0" w:color="auto"/>
              <w:right w:val="single" w:sz="4" w:space="0" w:color="auto"/>
            </w:tcBorders>
            <w:vAlign w:val="center"/>
            <w:hideMark/>
          </w:tcPr>
          <w:p w14:paraId="1C91445D" w14:textId="77777777" w:rsidR="00122CF8" w:rsidRPr="00122CF8" w:rsidRDefault="00122CF8" w:rsidP="00122CF8">
            <w:pPr>
              <w:spacing w:after="0" w:line="240" w:lineRule="auto"/>
              <w:jc w:val="center"/>
              <w:rPr>
                <w:rFonts w:ascii="Times New Roman" w:eastAsia="Times New Roman" w:hAnsi="Times New Roman" w:cs="Times New Roman"/>
                <w:color w:val="000000"/>
                <w:kern w:val="0"/>
                <w:sz w:val="23"/>
                <w:szCs w:val="23"/>
                <w:lang w:eastAsia="en-IN"/>
                <w14:ligatures w14:val="none"/>
              </w:rPr>
            </w:pPr>
            <w:r w:rsidRPr="00122CF8">
              <w:rPr>
                <w:rFonts w:ascii="Times New Roman" w:eastAsia="Times New Roman" w:hAnsi="Times New Roman" w:cs="Times New Roman"/>
                <w:color w:val="000000"/>
                <w:kern w:val="0"/>
                <w:sz w:val="23"/>
                <w:szCs w:val="23"/>
                <w:lang w:eastAsia="en-IN"/>
                <w14:ligatures w14:val="none"/>
              </w:rPr>
              <w:t>2.7</w:t>
            </w:r>
          </w:p>
        </w:tc>
        <w:tc>
          <w:tcPr>
            <w:tcW w:w="1574" w:type="dxa"/>
            <w:tcBorders>
              <w:top w:val="nil"/>
              <w:left w:val="nil"/>
              <w:bottom w:val="single" w:sz="4" w:space="0" w:color="auto"/>
              <w:right w:val="single" w:sz="4" w:space="0" w:color="auto"/>
            </w:tcBorders>
            <w:vAlign w:val="center"/>
            <w:hideMark/>
          </w:tcPr>
          <w:p w14:paraId="0BF85C0F" w14:textId="77777777" w:rsidR="00122CF8" w:rsidRPr="00122CF8" w:rsidRDefault="00122CF8" w:rsidP="00122CF8">
            <w:pPr>
              <w:spacing w:after="0" w:line="240" w:lineRule="auto"/>
              <w:jc w:val="center"/>
              <w:rPr>
                <w:rFonts w:ascii="Times New Roman" w:eastAsia="Times New Roman" w:hAnsi="Times New Roman" w:cs="Times New Roman"/>
                <w:color w:val="000000"/>
                <w:kern w:val="0"/>
                <w:sz w:val="23"/>
                <w:szCs w:val="23"/>
                <w:lang w:eastAsia="en-IN"/>
                <w14:ligatures w14:val="none"/>
              </w:rPr>
            </w:pPr>
            <w:r w:rsidRPr="00122CF8">
              <w:rPr>
                <w:rFonts w:ascii="Times New Roman" w:eastAsia="Times New Roman" w:hAnsi="Times New Roman" w:cs="Times New Roman"/>
                <w:color w:val="000000"/>
                <w:kern w:val="0"/>
                <w:sz w:val="23"/>
                <w:szCs w:val="23"/>
                <w:lang w:eastAsia="en-IN"/>
                <w14:ligatures w14:val="none"/>
              </w:rPr>
              <w:t>32.9</w:t>
            </w:r>
          </w:p>
        </w:tc>
        <w:tc>
          <w:tcPr>
            <w:tcW w:w="1663" w:type="dxa"/>
            <w:tcBorders>
              <w:top w:val="nil"/>
              <w:left w:val="nil"/>
              <w:bottom w:val="single" w:sz="4" w:space="0" w:color="auto"/>
              <w:right w:val="single" w:sz="4" w:space="0" w:color="auto"/>
            </w:tcBorders>
            <w:vAlign w:val="center"/>
            <w:hideMark/>
          </w:tcPr>
          <w:p w14:paraId="51F06EBC" w14:textId="77777777" w:rsidR="00122CF8" w:rsidRPr="00122CF8" w:rsidRDefault="00122CF8" w:rsidP="00122CF8">
            <w:pPr>
              <w:spacing w:after="0" w:line="240" w:lineRule="auto"/>
              <w:jc w:val="center"/>
              <w:rPr>
                <w:rFonts w:ascii="Times New Roman" w:eastAsia="Times New Roman" w:hAnsi="Times New Roman" w:cs="Times New Roman"/>
                <w:color w:val="000000"/>
                <w:kern w:val="0"/>
                <w:sz w:val="23"/>
                <w:szCs w:val="23"/>
                <w:lang w:eastAsia="en-IN"/>
                <w14:ligatures w14:val="none"/>
              </w:rPr>
            </w:pPr>
            <w:r w:rsidRPr="00122CF8">
              <w:rPr>
                <w:rFonts w:ascii="Times New Roman" w:eastAsia="Times New Roman" w:hAnsi="Times New Roman" w:cs="Times New Roman"/>
                <w:color w:val="000000"/>
                <w:kern w:val="0"/>
                <w:sz w:val="23"/>
                <w:szCs w:val="23"/>
                <w:lang w:eastAsia="en-IN"/>
                <w14:ligatures w14:val="none"/>
              </w:rPr>
              <w:t>34.06</w:t>
            </w:r>
          </w:p>
        </w:tc>
        <w:tc>
          <w:tcPr>
            <w:tcW w:w="1640" w:type="dxa"/>
            <w:tcBorders>
              <w:top w:val="nil"/>
              <w:left w:val="nil"/>
              <w:bottom w:val="single" w:sz="4" w:space="0" w:color="auto"/>
              <w:right w:val="single" w:sz="4" w:space="0" w:color="auto"/>
            </w:tcBorders>
            <w:vAlign w:val="center"/>
            <w:hideMark/>
          </w:tcPr>
          <w:p w14:paraId="0FD5007C" w14:textId="77777777" w:rsidR="00122CF8" w:rsidRPr="00122CF8" w:rsidRDefault="00122CF8" w:rsidP="00122CF8">
            <w:pPr>
              <w:spacing w:after="0" w:line="240" w:lineRule="auto"/>
              <w:jc w:val="center"/>
              <w:rPr>
                <w:rFonts w:ascii="Times New Roman" w:eastAsia="Times New Roman" w:hAnsi="Times New Roman" w:cs="Times New Roman"/>
                <w:color w:val="000000"/>
                <w:kern w:val="0"/>
                <w:sz w:val="23"/>
                <w:szCs w:val="23"/>
                <w:lang w:eastAsia="en-IN"/>
                <w14:ligatures w14:val="none"/>
              </w:rPr>
            </w:pPr>
            <w:r w:rsidRPr="00122CF8">
              <w:rPr>
                <w:rFonts w:ascii="Times New Roman" w:eastAsia="Times New Roman" w:hAnsi="Times New Roman" w:cs="Times New Roman"/>
                <w:color w:val="000000"/>
                <w:kern w:val="0"/>
                <w:sz w:val="23"/>
                <w:szCs w:val="23"/>
                <w:lang w:eastAsia="en-IN"/>
                <w14:ligatures w14:val="none"/>
              </w:rPr>
              <w:t>9.36</w:t>
            </w:r>
          </w:p>
        </w:tc>
        <w:tc>
          <w:tcPr>
            <w:tcW w:w="1574" w:type="dxa"/>
            <w:tcBorders>
              <w:top w:val="nil"/>
              <w:left w:val="nil"/>
              <w:bottom w:val="single" w:sz="4" w:space="0" w:color="auto"/>
              <w:right w:val="single" w:sz="4" w:space="0" w:color="auto"/>
            </w:tcBorders>
            <w:vAlign w:val="center"/>
            <w:hideMark/>
          </w:tcPr>
          <w:p w14:paraId="798054E2" w14:textId="77777777" w:rsidR="00122CF8" w:rsidRPr="00122CF8" w:rsidRDefault="00122CF8" w:rsidP="00122CF8">
            <w:pPr>
              <w:spacing w:after="0" w:line="240" w:lineRule="auto"/>
              <w:jc w:val="center"/>
              <w:rPr>
                <w:rFonts w:ascii="Times New Roman" w:eastAsia="Times New Roman" w:hAnsi="Times New Roman" w:cs="Times New Roman"/>
                <w:color w:val="000000"/>
                <w:kern w:val="0"/>
                <w:sz w:val="23"/>
                <w:szCs w:val="23"/>
                <w:lang w:eastAsia="en-IN"/>
                <w14:ligatures w14:val="none"/>
              </w:rPr>
            </w:pPr>
            <w:r w:rsidRPr="00122CF8">
              <w:rPr>
                <w:rFonts w:ascii="Times New Roman" w:eastAsia="Times New Roman" w:hAnsi="Times New Roman" w:cs="Times New Roman"/>
                <w:color w:val="000000"/>
                <w:kern w:val="0"/>
                <w:sz w:val="23"/>
                <w:szCs w:val="23"/>
                <w:lang w:eastAsia="en-IN"/>
                <w14:ligatures w14:val="none"/>
              </w:rPr>
              <w:t>43.42</w:t>
            </w:r>
          </w:p>
        </w:tc>
      </w:tr>
      <w:tr w:rsidR="00122CF8" w:rsidRPr="00122CF8" w14:paraId="2D1D7F9C" w14:textId="77777777" w:rsidTr="006057F1">
        <w:trPr>
          <w:trHeight w:val="227"/>
          <w:jc w:val="center"/>
        </w:trPr>
        <w:tc>
          <w:tcPr>
            <w:tcW w:w="1227" w:type="dxa"/>
            <w:tcBorders>
              <w:top w:val="nil"/>
              <w:left w:val="single" w:sz="4" w:space="0" w:color="auto"/>
              <w:bottom w:val="single" w:sz="4" w:space="0" w:color="auto"/>
              <w:right w:val="single" w:sz="4" w:space="0" w:color="auto"/>
            </w:tcBorders>
            <w:vAlign w:val="center"/>
            <w:hideMark/>
          </w:tcPr>
          <w:p w14:paraId="3E74AC1F" w14:textId="77777777" w:rsidR="00122CF8" w:rsidRPr="00122CF8" w:rsidRDefault="00122CF8" w:rsidP="00122CF8">
            <w:pPr>
              <w:spacing w:after="0" w:line="240" w:lineRule="auto"/>
              <w:jc w:val="right"/>
              <w:rPr>
                <w:rFonts w:ascii="Times New Roman" w:eastAsia="Times New Roman" w:hAnsi="Times New Roman" w:cs="Times New Roman"/>
                <w:color w:val="000000"/>
                <w:kern w:val="0"/>
                <w:sz w:val="23"/>
                <w:szCs w:val="23"/>
                <w:lang w:eastAsia="en-IN"/>
                <w14:ligatures w14:val="none"/>
              </w:rPr>
            </w:pPr>
            <w:r w:rsidRPr="00122CF8">
              <w:rPr>
                <w:rFonts w:ascii="Times New Roman" w:eastAsia="Times New Roman" w:hAnsi="Times New Roman" w:cs="Times New Roman"/>
                <w:color w:val="000000"/>
                <w:kern w:val="0"/>
                <w:sz w:val="23"/>
                <w:szCs w:val="23"/>
                <w:lang w:eastAsia="en-IN"/>
                <w14:ligatures w14:val="none"/>
              </w:rPr>
              <w:t>9</w:t>
            </w:r>
          </w:p>
        </w:tc>
        <w:tc>
          <w:tcPr>
            <w:tcW w:w="2481" w:type="dxa"/>
            <w:tcBorders>
              <w:top w:val="nil"/>
              <w:left w:val="nil"/>
              <w:bottom w:val="single" w:sz="4" w:space="0" w:color="auto"/>
              <w:right w:val="single" w:sz="4" w:space="0" w:color="auto"/>
            </w:tcBorders>
            <w:vAlign w:val="center"/>
            <w:hideMark/>
          </w:tcPr>
          <w:p w14:paraId="1CFBE78C" w14:textId="77777777" w:rsidR="00122CF8" w:rsidRPr="00122CF8" w:rsidRDefault="00122CF8" w:rsidP="00122CF8">
            <w:pPr>
              <w:spacing w:after="0" w:line="240" w:lineRule="auto"/>
              <w:rPr>
                <w:rFonts w:ascii="Times New Roman" w:eastAsia="Times New Roman" w:hAnsi="Times New Roman" w:cs="Times New Roman"/>
                <w:color w:val="000000"/>
                <w:kern w:val="0"/>
                <w:sz w:val="23"/>
                <w:szCs w:val="23"/>
                <w:lang w:eastAsia="en-IN"/>
                <w14:ligatures w14:val="none"/>
              </w:rPr>
            </w:pPr>
            <w:r w:rsidRPr="00122CF8">
              <w:rPr>
                <w:rFonts w:ascii="Times New Roman" w:eastAsia="Times New Roman" w:hAnsi="Times New Roman" w:cs="Times New Roman"/>
                <w:color w:val="000000"/>
                <w:kern w:val="0"/>
                <w:sz w:val="23"/>
                <w:szCs w:val="23"/>
                <w:lang w:eastAsia="en-IN"/>
                <w14:ligatures w14:val="none"/>
              </w:rPr>
              <w:t>Madras</w:t>
            </w:r>
          </w:p>
        </w:tc>
        <w:tc>
          <w:tcPr>
            <w:tcW w:w="1663" w:type="dxa"/>
            <w:tcBorders>
              <w:top w:val="nil"/>
              <w:left w:val="nil"/>
              <w:bottom w:val="single" w:sz="4" w:space="0" w:color="auto"/>
              <w:right w:val="single" w:sz="4" w:space="0" w:color="auto"/>
            </w:tcBorders>
            <w:vAlign w:val="center"/>
            <w:hideMark/>
          </w:tcPr>
          <w:p w14:paraId="06EEA7E0" w14:textId="77777777" w:rsidR="00122CF8" w:rsidRPr="00122CF8" w:rsidRDefault="00122CF8" w:rsidP="00122CF8">
            <w:pPr>
              <w:spacing w:after="0" w:line="240" w:lineRule="auto"/>
              <w:jc w:val="center"/>
              <w:rPr>
                <w:rFonts w:ascii="Times New Roman" w:eastAsia="Times New Roman" w:hAnsi="Times New Roman" w:cs="Times New Roman"/>
                <w:color w:val="000000"/>
                <w:kern w:val="0"/>
                <w:sz w:val="23"/>
                <w:szCs w:val="23"/>
                <w:lang w:eastAsia="en-IN"/>
                <w14:ligatures w14:val="none"/>
              </w:rPr>
            </w:pPr>
            <w:r w:rsidRPr="00122CF8">
              <w:rPr>
                <w:rFonts w:ascii="Times New Roman" w:eastAsia="Times New Roman" w:hAnsi="Times New Roman" w:cs="Times New Roman"/>
                <w:color w:val="000000"/>
                <w:kern w:val="0"/>
                <w:sz w:val="23"/>
                <w:szCs w:val="23"/>
                <w:lang w:eastAsia="en-IN"/>
                <w14:ligatures w14:val="none"/>
              </w:rPr>
              <w:t>34.61</w:t>
            </w:r>
          </w:p>
        </w:tc>
        <w:tc>
          <w:tcPr>
            <w:tcW w:w="1640" w:type="dxa"/>
            <w:tcBorders>
              <w:top w:val="nil"/>
              <w:left w:val="nil"/>
              <w:bottom w:val="single" w:sz="4" w:space="0" w:color="auto"/>
              <w:right w:val="single" w:sz="4" w:space="0" w:color="auto"/>
            </w:tcBorders>
            <w:vAlign w:val="center"/>
            <w:hideMark/>
          </w:tcPr>
          <w:p w14:paraId="0CAAF0D4" w14:textId="77777777" w:rsidR="00122CF8" w:rsidRPr="00122CF8" w:rsidRDefault="00122CF8" w:rsidP="00122CF8">
            <w:pPr>
              <w:spacing w:after="0" w:line="240" w:lineRule="auto"/>
              <w:jc w:val="center"/>
              <w:rPr>
                <w:rFonts w:ascii="Times New Roman" w:eastAsia="Times New Roman" w:hAnsi="Times New Roman" w:cs="Times New Roman"/>
                <w:color w:val="000000"/>
                <w:kern w:val="0"/>
                <w:sz w:val="23"/>
                <w:szCs w:val="23"/>
                <w:lang w:eastAsia="en-IN"/>
                <w14:ligatures w14:val="none"/>
              </w:rPr>
            </w:pPr>
            <w:r w:rsidRPr="00122CF8">
              <w:rPr>
                <w:rFonts w:ascii="Times New Roman" w:eastAsia="Times New Roman" w:hAnsi="Times New Roman" w:cs="Times New Roman"/>
                <w:color w:val="000000"/>
                <w:kern w:val="0"/>
                <w:sz w:val="23"/>
                <w:szCs w:val="23"/>
                <w:lang w:eastAsia="en-IN"/>
                <w14:ligatures w14:val="none"/>
              </w:rPr>
              <w:t>6.84</w:t>
            </w:r>
          </w:p>
        </w:tc>
        <w:tc>
          <w:tcPr>
            <w:tcW w:w="1574" w:type="dxa"/>
            <w:tcBorders>
              <w:top w:val="nil"/>
              <w:left w:val="nil"/>
              <w:bottom w:val="single" w:sz="4" w:space="0" w:color="auto"/>
              <w:right w:val="single" w:sz="4" w:space="0" w:color="auto"/>
            </w:tcBorders>
            <w:vAlign w:val="center"/>
            <w:hideMark/>
          </w:tcPr>
          <w:p w14:paraId="14E5AE30" w14:textId="77777777" w:rsidR="00122CF8" w:rsidRPr="00122CF8" w:rsidRDefault="00122CF8" w:rsidP="00122CF8">
            <w:pPr>
              <w:spacing w:after="0" w:line="240" w:lineRule="auto"/>
              <w:jc w:val="center"/>
              <w:rPr>
                <w:rFonts w:ascii="Times New Roman" w:eastAsia="Times New Roman" w:hAnsi="Times New Roman" w:cs="Times New Roman"/>
                <w:color w:val="000000"/>
                <w:kern w:val="0"/>
                <w:sz w:val="23"/>
                <w:szCs w:val="23"/>
                <w:lang w:eastAsia="en-IN"/>
                <w14:ligatures w14:val="none"/>
              </w:rPr>
            </w:pPr>
            <w:r w:rsidRPr="00122CF8">
              <w:rPr>
                <w:rFonts w:ascii="Times New Roman" w:eastAsia="Times New Roman" w:hAnsi="Times New Roman" w:cs="Times New Roman"/>
                <w:color w:val="000000"/>
                <w:kern w:val="0"/>
                <w:sz w:val="23"/>
                <w:szCs w:val="23"/>
                <w:lang w:eastAsia="en-IN"/>
                <w14:ligatures w14:val="none"/>
              </w:rPr>
              <w:t>41.45</w:t>
            </w:r>
          </w:p>
        </w:tc>
        <w:tc>
          <w:tcPr>
            <w:tcW w:w="1663" w:type="dxa"/>
            <w:tcBorders>
              <w:top w:val="nil"/>
              <w:left w:val="nil"/>
              <w:bottom w:val="single" w:sz="4" w:space="0" w:color="auto"/>
              <w:right w:val="single" w:sz="4" w:space="0" w:color="auto"/>
            </w:tcBorders>
            <w:vAlign w:val="center"/>
            <w:hideMark/>
          </w:tcPr>
          <w:p w14:paraId="4A58319E" w14:textId="77777777" w:rsidR="00122CF8" w:rsidRPr="00122CF8" w:rsidRDefault="00122CF8" w:rsidP="00122CF8">
            <w:pPr>
              <w:spacing w:after="0" w:line="240" w:lineRule="auto"/>
              <w:jc w:val="center"/>
              <w:rPr>
                <w:rFonts w:ascii="Times New Roman" w:eastAsia="Times New Roman" w:hAnsi="Times New Roman" w:cs="Times New Roman"/>
                <w:color w:val="000000"/>
                <w:kern w:val="0"/>
                <w:sz w:val="23"/>
                <w:szCs w:val="23"/>
                <w:lang w:eastAsia="en-IN"/>
                <w14:ligatures w14:val="none"/>
              </w:rPr>
            </w:pPr>
            <w:r w:rsidRPr="00122CF8">
              <w:rPr>
                <w:rFonts w:ascii="Times New Roman" w:eastAsia="Times New Roman" w:hAnsi="Times New Roman" w:cs="Times New Roman"/>
                <w:color w:val="000000"/>
                <w:kern w:val="0"/>
                <w:sz w:val="23"/>
                <w:szCs w:val="23"/>
                <w:lang w:eastAsia="en-IN"/>
                <w14:ligatures w14:val="none"/>
              </w:rPr>
              <w:t>38.88</w:t>
            </w:r>
          </w:p>
        </w:tc>
        <w:tc>
          <w:tcPr>
            <w:tcW w:w="1640" w:type="dxa"/>
            <w:tcBorders>
              <w:top w:val="nil"/>
              <w:left w:val="nil"/>
              <w:bottom w:val="single" w:sz="4" w:space="0" w:color="auto"/>
              <w:right w:val="single" w:sz="4" w:space="0" w:color="auto"/>
            </w:tcBorders>
            <w:vAlign w:val="center"/>
            <w:hideMark/>
          </w:tcPr>
          <w:p w14:paraId="34744D7F" w14:textId="77777777" w:rsidR="00122CF8" w:rsidRPr="00122CF8" w:rsidRDefault="00122CF8" w:rsidP="00122CF8">
            <w:pPr>
              <w:spacing w:after="0" w:line="240" w:lineRule="auto"/>
              <w:jc w:val="center"/>
              <w:rPr>
                <w:rFonts w:ascii="Times New Roman" w:eastAsia="Times New Roman" w:hAnsi="Times New Roman" w:cs="Times New Roman"/>
                <w:color w:val="000000"/>
                <w:kern w:val="0"/>
                <w:sz w:val="23"/>
                <w:szCs w:val="23"/>
                <w:lang w:eastAsia="en-IN"/>
                <w14:ligatures w14:val="none"/>
              </w:rPr>
            </w:pPr>
            <w:r w:rsidRPr="00122CF8">
              <w:rPr>
                <w:rFonts w:ascii="Times New Roman" w:eastAsia="Times New Roman" w:hAnsi="Times New Roman" w:cs="Times New Roman"/>
                <w:color w:val="000000"/>
                <w:kern w:val="0"/>
                <w:sz w:val="23"/>
                <w:szCs w:val="23"/>
                <w:lang w:eastAsia="en-IN"/>
                <w14:ligatures w14:val="none"/>
              </w:rPr>
              <w:t>6.84</w:t>
            </w:r>
          </w:p>
        </w:tc>
        <w:tc>
          <w:tcPr>
            <w:tcW w:w="1574" w:type="dxa"/>
            <w:tcBorders>
              <w:top w:val="nil"/>
              <w:left w:val="nil"/>
              <w:bottom w:val="single" w:sz="4" w:space="0" w:color="auto"/>
              <w:right w:val="single" w:sz="4" w:space="0" w:color="auto"/>
            </w:tcBorders>
            <w:vAlign w:val="center"/>
            <w:hideMark/>
          </w:tcPr>
          <w:p w14:paraId="6CCDC578" w14:textId="77777777" w:rsidR="00122CF8" w:rsidRPr="00122CF8" w:rsidRDefault="00122CF8" w:rsidP="00122CF8">
            <w:pPr>
              <w:spacing w:after="0" w:line="240" w:lineRule="auto"/>
              <w:jc w:val="center"/>
              <w:rPr>
                <w:rFonts w:ascii="Times New Roman" w:eastAsia="Times New Roman" w:hAnsi="Times New Roman" w:cs="Times New Roman"/>
                <w:color w:val="000000"/>
                <w:kern w:val="0"/>
                <w:sz w:val="23"/>
                <w:szCs w:val="23"/>
                <w:lang w:eastAsia="en-IN"/>
                <w14:ligatures w14:val="none"/>
              </w:rPr>
            </w:pPr>
            <w:r w:rsidRPr="00122CF8">
              <w:rPr>
                <w:rFonts w:ascii="Times New Roman" w:eastAsia="Times New Roman" w:hAnsi="Times New Roman" w:cs="Times New Roman"/>
                <w:color w:val="000000"/>
                <w:kern w:val="0"/>
                <w:sz w:val="23"/>
                <w:szCs w:val="23"/>
                <w:lang w:eastAsia="en-IN"/>
                <w14:ligatures w14:val="none"/>
              </w:rPr>
              <w:t>45.72</w:t>
            </w:r>
          </w:p>
        </w:tc>
      </w:tr>
      <w:tr w:rsidR="00122CF8" w:rsidRPr="00122CF8" w14:paraId="477B965B" w14:textId="77777777" w:rsidTr="006057F1">
        <w:trPr>
          <w:trHeight w:val="227"/>
          <w:jc w:val="center"/>
        </w:trPr>
        <w:tc>
          <w:tcPr>
            <w:tcW w:w="1227" w:type="dxa"/>
            <w:tcBorders>
              <w:top w:val="nil"/>
              <w:left w:val="single" w:sz="4" w:space="0" w:color="auto"/>
              <w:bottom w:val="single" w:sz="4" w:space="0" w:color="auto"/>
              <w:right w:val="single" w:sz="4" w:space="0" w:color="auto"/>
            </w:tcBorders>
            <w:vAlign w:val="center"/>
            <w:hideMark/>
          </w:tcPr>
          <w:p w14:paraId="5FB5569E" w14:textId="77777777" w:rsidR="00122CF8" w:rsidRPr="00122CF8" w:rsidRDefault="00122CF8" w:rsidP="00122CF8">
            <w:pPr>
              <w:spacing w:after="0" w:line="240" w:lineRule="auto"/>
              <w:jc w:val="right"/>
              <w:rPr>
                <w:rFonts w:ascii="Times New Roman" w:eastAsia="Times New Roman" w:hAnsi="Times New Roman" w:cs="Times New Roman"/>
                <w:color w:val="000000"/>
                <w:kern w:val="0"/>
                <w:sz w:val="23"/>
                <w:szCs w:val="23"/>
                <w:lang w:eastAsia="en-IN"/>
                <w14:ligatures w14:val="none"/>
              </w:rPr>
            </w:pPr>
            <w:r w:rsidRPr="00122CF8">
              <w:rPr>
                <w:rFonts w:ascii="Times New Roman" w:eastAsia="Times New Roman" w:hAnsi="Times New Roman" w:cs="Times New Roman"/>
                <w:color w:val="000000"/>
                <w:kern w:val="0"/>
                <w:sz w:val="23"/>
                <w:szCs w:val="23"/>
                <w:lang w:eastAsia="en-IN"/>
                <w14:ligatures w14:val="none"/>
              </w:rPr>
              <w:t>10</w:t>
            </w:r>
          </w:p>
        </w:tc>
        <w:tc>
          <w:tcPr>
            <w:tcW w:w="2481" w:type="dxa"/>
            <w:tcBorders>
              <w:top w:val="nil"/>
              <w:left w:val="nil"/>
              <w:bottom w:val="single" w:sz="4" w:space="0" w:color="auto"/>
              <w:right w:val="single" w:sz="4" w:space="0" w:color="auto"/>
            </w:tcBorders>
            <w:vAlign w:val="center"/>
            <w:hideMark/>
          </w:tcPr>
          <w:p w14:paraId="4AC8C829" w14:textId="77777777" w:rsidR="00122CF8" w:rsidRPr="00122CF8" w:rsidRDefault="00122CF8" w:rsidP="00122CF8">
            <w:pPr>
              <w:spacing w:after="0" w:line="240" w:lineRule="auto"/>
              <w:rPr>
                <w:rFonts w:ascii="Times New Roman" w:eastAsia="Times New Roman" w:hAnsi="Times New Roman" w:cs="Times New Roman"/>
                <w:color w:val="000000"/>
                <w:kern w:val="0"/>
                <w:sz w:val="23"/>
                <w:szCs w:val="23"/>
                <w:lang w:eastAsia="en-IN"/>
                <w14:ligatures w14:val="none"/>
              </w:rPr>
            </w:pPr>
            <w:r w:rsidRPr="00122CF8">
              <w:rPr>
                <w:rFonts w:ascii="Times New Roman" w:eastAsia="Times New Roman" w:hAnsi="Times New Roman" w:cs="Times New Roman"/>
                <w:color w:val="000000"/>
                <w:kern w:val="0"/>
                <w:sz w:val="23"/>
                <w:szCs w:val="23"/>
                <w:lang w:eastAsia="en-IN"/>
                <w14:ligatures w14:val="none"/>
              </w:rPr>
              <w:t>Maharashtra</w:t>
            </w:r>
          </w:p>
        </w:tc>
        <w:tc>
          <w:tcPr>
            <w:tcW w:w="1663" w:type="dxa"/>
            <w:tcBorders>
              <w:top w:val="nil"/>
              <w:left w:val="nil"/>
              <w:bottom w:val="single" w:sz="4" w:space="0" w:color="auto"/>
              <w:right w:val="single" w:sz="4" w:space="0" w:color="auto"/>
            </w:tcBorders>
            <w:vAlign w:val="center"/>
            <w:hideMark/>
          </w:tcPr>
          <w:p w14:paraId="13B3A1CB" w14:textId="77777777" w:rsidR="00122CF8" w:rsidRPr="00122CF8" w:rsidRDefault="00122CF8" w:rsidP="00122CF8">
            <w:pPr>
              <w:spacing w:after="0" w:line="240" w:lineRule="auto"/>
              <w:jc w:val="center"/>
              <w:rPr>
                <w:rFonts w:ascii="Times New Roman" w:eastAsia="Times New Roman" w:hAnsi="Times New Roman" w:cs="Times New Roman"/>
                <w:color w:val="000000"/>
                <w:kern w:val="0"/>
                <w:sz w:val="23"/>
                <w:szCs w:val="23"/>
                <w:lang w:eastAsia="en-IN"/>
                <w14:ligatures w14:val="none"/>
              </w:rPr>
            </w:pPr>
            <w:r w:rsidRPr="00122CF8">
              <w:rPr>
                <w:rFonts w:ascii="Times New Roman" w:eastAsia="Times New Roman" w:hAnsi="Times New Roman" w:cs="Times New Roman"/>
                <w:color w:val="000000"/>
                <w:kern w:val="0"/>
                <w:sz w:val="23"/>
                <w:szCs w:val="23"/>
                <w:lang w:eastAsia="en-IN"/>
                <w14:ligatures w14:val="none"/>
              </w:rPr>
              <w:t>51.54</w:t>
            </w:r>
          </w:p>
        </w:tc>
        <w:tc>
          <w:tcPr>
            <w:tcW w:w="1640" w:type="dxa"/>
            <w:tcBorders>
              <w:top w:val="nil"/>
              <w:left w:val="nil"/>
              <w:bottom w:val="single" w:sz="4" w:space="0" w:color="auto"/>
              <w:right w:val="single" w:sz="4" w:space="0" w:color="auto"/>
            </w:tcBorders>
            <w:vAlign w:val="center"/>
            <w:hideMark/>
          </w:tcPr>
          <w:p w14:paraId="6D529480" w14:textId="77777777" w:rsidR="00122CF8" w:rsidRPr="00122CF8" w:rsidRDefault="00122CF8" w:rsidP="00122CF8">
            <w:pPr>
              <w:spacing w:after="0" w:line="240" w:lineRule="auto"/>
              <w:jc w:val="center"/>
              <w:rPr>
                <w:rFonts w:ascii="Times New Roman" w:eastAsia="Times New Roman" w:hAnsi="Times New Roman" w:cs="Times New Roman"/>
                <w:color w:val="000000"/>
                <w:kern w:val="0"/>
                <w:sz w:val="23"/>
                <w:szCs w:val="23"/>
                <w:lang w:eastAsia="en-IN"/>
                <w14:ligatures w14:val="none"/>
              </w:rPr>
            </w:pPr>
            <w:r w:rsidRPr="00122CF8">
              <w:rPr>
                <w:rFonts w:ascii="Times New Roman" w:eastAsia="Times New Roman" w:hAnsi="Times New Roman" w:cs="Times New Roman"/>
                <w:color w:val="000000"/>
                <w:kern w:val="0"/>
                <w:sz w:val="23"/>
                <w:szCs w:val="23"/>
                <w:lang w:eastAsia="en-IN"/>
                <w14:ligatures w14:val="none"/>
              </w:rPr>
              <w:t>..</w:t>
            </w:r>
          </w:p>
        </w:tc>
        <w:tc>
          <w:tcPr>
            <w:tcW w:w="1574" w:type="dxa"/>
            <w:tcBorders>
              <w:top w:val="nil"/>
              <w:left w:val="nil"/>
              <w:bottom w:val="single" w:sz="4" w:space="0" w:color="auto"/>
              <w:right w:val="single" w:sz="4" w:space="0" w:color="auto"/>
            </w:tcBorders>
            <w:vAlign w:val="center"/>
            <w:hideMark/>
          </w:tcPr>
          <w:p w14:paraId="1417F5B4" w14:textId="77777777" w:rsidR="00122CF8" w:rsidRPr="00122CF8" w:rsidRDefault="00122CF8" w:rsidP="00122CF8">
            <w:pPr>
              <w:spacing w:after="0" w:line="240" w:lineRule="auto"/>
              <w:jc w:val="center"/>
              <w:rPr>
                <w:rFonts w:ascii="Times New Roman" w:eastAsia="Times New Roman" w:hAnsi="Times New Roman" w:cs="Times New Roman"/>
                <w:color w:val="000000"/>
                <w:kern w:val="0"/>
                <w:sz w:val="23"/>
                <w:szCs w:val="23"/>
                <w:lang w:eastAsia="en-IN"/>
                <w14:ligatures w14:val="none"/>
              </w:rPr>
            </w:pPr>
            <w:r w:rsidRPr="00122CF8">
              <w:rPr>
                <w:rFonts w:ascii="Times New Roman" w:eastAsia="Times New Roman" w:hAnsi="Times New Roman" w:cs="Times New Roman"/>
                <w:color w:val="000000"/>
                <w:kern w:val="0"/>
                <w:sz w:val="23"/>
                <w:szCs w:val="23"/>
                <w:lang w:eastAsia="en-IN"/>
                <w14:ligatures w14:val="none"/>
              </w:rPr>
              <w:t>51.54</w:t>
            </w:r>
          </w:p>
        </w:tc>
        <w:tc>
          <w:tcPr>
            <w:tcW w:w="1663" w:type="dxa"/>
            <w:tcBorders>
              <w:top w:val="nil"/>
              <w:left w:val="nil"/>
              <w:bottom w:val="single" w:sz="4" w:space="0" w:color="auto"/>
              <w:right w:val="single" w:sz="4" w:space="0" w:color="auto"/>
            </w:tcBorders>
            <w:vAlign w:val="center"/>
            <w:hideMark/>
          </w:tcPr>
          <w:p w14:paraId="7639AFF6" w14:textId="77777777" w:rsidR="00122CF8" w:rsidRPr="00122CF8" w:rsidRDefault="00122CF8" w:rsidP="00122CF8">
            <w:pPr>
              <w:spacing w:after="0" w:line="240" w:lineRule="auto"/>
              <w:jc w:val="center"/>
              <w:rPr>
                <w:rFonts w:ascii="Times New Roman" w:eastAsia="Times New Roman" w:hAnsi="Times New Roman" w:cs="Times New Roman"/>
                <w:color w:val="000000"/>
                <w:kern w:val="0"/>
                <w:sz w:val="23"/>
                <w:szCs w:val="23"/>
                <w:lang w:eastAsia="en-IN"/>
                <w14:ligatures w14:val="none"/>
              </w:rPr>
            </w:pPr>
            <w:r w:rsidRPr="00122CF8">
              <w:rPr>
                <w:rFonts w:ascii="Times New Roman" w:eastAsia="Times New Roman" w:hAnsi="Times New Roman" w:cs="Times New Roman"/>
                <w:color w:val="000000"/>
                <w:kern w:val="0"/>
                <w:sz w:val="23"/>
                <w:szCs w:val="23"/>
                <w:lang w:eastAsia="en-IN"/>
                <w14:ligatures w14:val="none"/>
              </w:rPr>
              <w:t>57.87</w:t>
            </w:r>
          </w:p>
        </w:tc>
        <w:tc>
          <w:tcPr>
            <w:tcW w:w="1640" w:type="dxa"/>
            <w:tcBorders>
              <w:top w:val="nil"/>
              <w:left w:val="nil"/>
              <w:bottom w:val="single" w:sz="4" w:space="0" w:color="auto"/>
              <w:right w:val="single" w:sz="4" w:space="0" w:color="auto"/>
            </w:tcBorders>
            <w:vAlign w:val="center"/>
            <w:hideMark/>
          </w:tcPr>
          <w:p w14:paraId="1E206BB4" w14:textId="77777777" w:rsidR="00122CF8" w:rsidRPr="00122CF8" w:rsidRDefault="00122CF8" w:rsidP="00122CF8">
            <w:pPr>
              <w:spacing w:after="0" w:line="240" w:lineRule="auto"/>
              <w:jc w:val="center"/>
              <w:rPr>
                <w:rFonts w:ascii="Times New Roman" w:eastAsia="Times New Roman" w:hAnsi="Times New Roman" w:cs="Times New Roman"/>
                <w:color w:val="000000"/>
                <w:kern w:val="0"/>
                <w:sz w:val="23"/>
                <w:szCs w:val="23"/>
                <w:lang w:eastAsia="en-IN"/>
                <w14:ligatures w14:val="none"/>
              </w:rPr>
            </w:pPr>
            <w:r w:rsidRPr="00122CF8">
              <w:rPr>
                <w:rFonts w:ascii="Times New Roman" w:eastAsia="Times New Roman" w:hAnsi="Times New Roman" w:cs="Times New Roman"/>
                <w:color w:val="000000"/>
                <w:kern w:val="0"/>
                <w:sz w:val="23"/>
                <w:szCs w:val="23"/>
                <w:lang w:eastAsia="en-IN"/>
                <w14:ligatures w14:val="none"/>
              </w:rPr>
              <w:t>..</w:t>
            </w:r>
          </w:p>
        </w:tc>
        <w:tc>
          <w:tcPr>
            <w:tcW w:w="1574" w:type="dxa"/>
            <w:tcBorders>
              <w:top w:val="nil"/>
              <w:left w:val="nil"/>
              <w:bottom w:val="single" w:sz="4" w:space="0" w:color="auto"/>
              <w:right w:val="single" w:sz="4" w:space="0" w:color="auto"/>
            </w:tcBorders>
            <w:vAlign w:val="center"/>
            <w:hideMark/>
          </w:tcPr>
          <w:p w14:paraId="5CD08B44" w14:textId="77777777" w:rsidR="00122CF8" w:rsidRPr="00122CF8" w:rsidRDefault="00122CF8" w:rsidP="00122CF8">
            <w:pPr>
              <w:spacing w:after="0" w:line="240" w:lineRule="auto"/>
              <w:jc w:val="center"/>
              <w:rPr>
                <w:rFonts w:ascii="Times New Roman" w:eastAsia="Times New Roman" w:hAnsi="Times New Roman" w:cs="Times New Roman"/>
                <w:color w:val="000000"/>
                <w:kern w:val="0"/>
                <w:sz w:val="23"/>
                <w:szCs w:val="23"/>
                <w:lang w:eastAsia="en-IN"/>
                <w14:ligatures w14:val="none"/>
              </w:rPr>
            </w:pPr>
            <w:r w:rsidRPr="00122CF8">
              <w:rPr>
                <w:rFonts w:ascii="Times New Roman" w:eastAsia="Times New Roman" w:hAnsi="Times New Roman" w:cs="Times New Roman"/>
                <w:color w:val="000000"/>
                <w:kern w:val="0"/>
                <w:sz w:val="23"/>
                <w:szCs w:val="23"/>
                <w:lang w:eastAsia="en-IN"/>
                <w14:ligatures w14:val="none"/>
              </w:rPr>
              <w:t>57.87</w:t>
            </w:r>
          </w:p>
        </w:tc>
      </w:tr>
      <w:tr w:rsidR="00122CF8" w:rsidRPr="00122CF8" w14:paraId="67287AB7" w14:textId="77777777" w:rsidTr="006057F1">
        <w:trPr>
          <w:trHeight w:val="227"/>
          <w:jc w:val="center"/>
        </w:trPr>
        <w:tc>
          <w:tcPr>
            <w:tcW w:w="1227" w:type="dxa"/>
            <w:tcBorders>
              <w:top w:val="nil"/>
              <w:left w:val="single" w:sz="4" w:space="0" w:color="auto"/>
              <w:bottom w:val="single" w:sz="4" w:space="0" w:color="auto"/>
              <w:right w:val="single" w:sz="4" w:space="0" w:color="auto"/>
            </w:tcBorders>
            <w:vAlign w:val="center"/>
            <w:hideMark/>
          </w:tcPr>
          <w:p w14:paraId="6B43F50D" w14:textId="77777777" w:rsidR="00122CF8" w:rsidRPr="00122CF8" w:rsidRDefault="00122CF8" w:rsidP="00122CF8">
            <w:pPr>
              <w:spacing w:after="0" w:line="240" w:lineRule="auto"/>
              <w:jc w:val="right"/>
              <w:rPr>
                <w:rFonts w:ascii="Times New Roman" w:eastAsia="Times New Roman" w:hAnsi="Times New Roman" w:cs="Times New Roman"/>
                <w:color w:val="000000"/>
                <w:kern w:val="0"/>
                <w:sz w:val="23"/>
                <w:szCs w:val="23"/>
                <w:lang w:eastAsia="en-IN"/>
                <w14:ligatures w14:val="none"/>
              </w:rPr>
            </w:pPr>
            <w:r w:rsidRPr="00122CF8">
              <w:rPr>
                <w:rFonts w:ascii="Times New Roman" w:eastAsia="Times New Roman" w:hAnsi="Times New Roman" w:cs="Times New Roman"/>
                <w:color w:val="000000"/>
                <w:kern w:val="0"/>
                <w:sz w:val="23"/>
                <w:szCs w:val="23"/>
                <w:lang w:eastAsia="en-IN"/>
                <w14:ligatures w14:val="none"/>
              </w:rPr>
              <w:t>11</w:t>
            </w:r>
          </w:p>
        </w:tc>
        <w:tc>
          <w:tcPr>
            <w:tcW w:w="2481" w:type="dxa"/>
            <w:tcBorders>
              <w:top w:val="nil"/>
              <w:left w:val="nil"/>
              <w:bottom w:val="single" w:sz="4" w:space="0" w:color="auto"/>
              <w:right w:val="single" w:sz="4" w:space="0" w:color="auto"/>
            </w:tcBorders>
            <w:vAlign w:val="center"/>
            <w:hideMark/>
          </w:tcPr>
          <w:p w14:paraId="291CE551" w14:textId="77777777" w:rsidR="00122CF8" w:rsidRPr="00122CF8" w:rsidRDefault="00122CF8" w:rsidP="00122CF8">
            <w:pPr>
              <w:spacing w:after="0" w:line="240" w:lineRule="auto"/>
              <w:rPr>
                <w:rFonts w:ascii="Times New Roman" w:eastAsia="Times New Roman" w:hAnsi="Times New Roman" w:cs="Times New Roman"/>
                <w:color w:val="000000"/>
                <w:kern w:val="0"/>
                <w:sz w:val="23"/>
                <w:szCs w:val="23"/>
                <w:lang w:eastAsia="en-IN"/>
                <w14:ligatures w14:val="none"/>
              </w:rPr>
            </w:pPr>
            <w:r w:rsidRPr="00122CF8">
              <w:rPr>
                <w:rFonts w:ascii="Times New Roman" w:eastAsia="Times New Roman" w:hAnsi="Times New Roman" w:cs="Times New Roman"/>
                <w:color w:val="000000"/>
                <w:kern w:val="0"/>
                <w:sz w:val="23"/>
                <w:szCs w:val="23"/>
                <w:lang w:eastAsia="en-IN"/>
                <w14:ligatures w14:val="none"/>
              </w:rPr>
              <w:t>Mysore</w:t>
            </w:r>
          </w:p>
        </w:tc>
        <w:tc>
          <w:tcPr>
            <w:tcW w:w="1663" w:type="dxa"/>
            <w:tcBorders>
              <w:top w:val="nil"/>
              <w:left w:val="nil"/>
              <w:bottom w:val="single" w:sz="4" w:space="0" w:color="auto"/>
              <w:right w:val="single" w:sz="4" w:space="0" w:color="auto"/>
            </w:tcBorders>
            <w:vAlign w:val="center"/>
            <w:hideMark/>
          </w:tcPr>
          <w:p w14:paraId="549615FD" w14:textId="77777777" w:rsidR="00122CF8" w:rsidRPr="00122CF8" w:rsidRDefault="00122CF8" w:rsidP="00122CF8">
            <w:pPr>
              <w:spacing w:after="0" w:line="240" w:lineRule="auto"/>
              <w:jc w:val="center"/>
              <w:rPr>
                <w:rFonts w:ascii="Times New Roman" w:eastAsia="Times New Roman" w:hAnsi="Times New Roman" w:cs="Times New Roman"/>
                <w:color w:val="000000"/>
                <w:kern w:val="0"/>
                <w:sz w:val="23"/>
                <w:szCs w:val="23"/>
                <w:lang w:eastAsia="en-IN"/>
                <w14:ligatures w14:val="none"/>
              </w:rPr>
            </w:pPr>
            <w:r w:rsidRPr="00122CF8">
              <w:rPr>
                <w:rFonts w:ascii="Times New Roman" w:eastAsia="Times New Roman" w:hAnsi="Times New Roman" w:cs="Times New Roman"/>
                <w:color w:val="000000"/>
                <w:kern w:val="0"/>
                <w:sz w:val="23"/>
                <w:szCs w:val="23"/>
                <w:lang w:eastAsia="en-IN"/>
                <w14:ligatures w14:val="none"/>
              </w:rPr>
              <w:t>22.52</w:t>
            </w:r>
          </w:p>
        </w:tc>
        <w:tc>
          <w:tcPr>
            <w:tcW w:w="1640" w:type="dxa"/>
            <w:tcBorders>
              <w:top w:val="nil"/>
              <w:left w:val="nil"/>
              <w:bottom w:val="single" w:sz="4" w:space="0" w:color="auto"/>
              <w:right w:val="single" w:sz="4" w:space="0" w:color="auto"/>
            </w:tcBorders>
            <w:vAlign w:val="center"/>
            <w:hideMark/>
          </w:tcPr>
          <w:p w14:paraId="1CD66247" w14:textId="77777777" w:rsidR="00122CF8" w:rsidRPr="00122CF8" w:rsidRDefault="00122CF8" w:rsidP="00122CF8">
            <w:pPr>
              <w:spacing w:after="0" w:line="240" w:lineRule="auto"/>
              <w:jc w:val="center"/>
              <w:rPr>
                <w:rFonts w:ascii="Times New Roman" w:eastAsia="Times New Roman" w:hAnsi="Times New Roman" w:cs="Times New Roman"/>
                <w:color w:val="000000"/>
                <w:kern w:val="0"/>
                <w:sz w:val="23"/>
                <w:szCs w:val="23"/>
                <w:lang w:eastAsia="en-IN"/>
                <w14:ligatures w14:val="none"/>
              </w:rPr>
            </w:pPr>
            <w:r w:rsidRPr="00122CF8">
              <w:rPr>
                <w:rFonts w:ascii="Times New Roman" w:eastAsia="Times New Roman" w:hAnsi="Times New Roman" w:cs="Times New Roman"/>
                <w:color w:val="000000"/>
                <w:kern w:val="0"/>
                <w:sz w:val="23"/>
                <w:szCs w:val="23"/>
                <w:lang w:eastAsia="en-IN"/>
                <w14:ligatures w14:val="none"/>
              </w:rPr>
              <w:t>20.82</w:t>
            </w:r>
          </w:p>
        </w:tc>
        <w:tc>
          <w:tcPr>
            <w:tcW w:w="1574" w:type="dxa"/>
            <w:tcBorders>
              <w:top w:val="nil"/>
              <w:left w:val="nil"/>
              <w:bottom w:val="single" w:sz="4" w:space="0" w:color="auto"/>
              <w:right w:val="single" w:sz="4" w:space="0" w:color="auto"/>
            </w:tcBorders>
            <w:vAlign w:val="center"/>
            <w:hideMark/>
          </w:tcPr>
          <w:p w14:paraId="67850FB0" w14:textId="77777777" w:rsidR="00122CF8" w:rsidRPr="00122CF8" w:rsidRDefault="00122CF8" w:rsidP="00122CF8">
            <w:pPr>
              <w:spacing w:after="0" w:line="240" w:lineRule="auto"/>
              <w:jc w:val="center"/>
              <w:rPr>
                <w:rFonts w:ascii="Times New Roman" w:eastAsia="Times New Roman" w:hAnsi="Times New Roman" w:cs="Times New Roman"/>
                <w:color w:val="000000"/>
                <w:kern w:val="0"/>
                <w:sz w:val="23"/>
                <w:szCs w:val="23"/>
                <w:lang w:eastAsia="en-IN"/>
                <w14:ligatures w14:val="none"/>
              </w:rPr>
            </w:pPr>
            <w:r w:rsidRPr="00122CF8">
              <w:rPr>
                <w:rFonts w:ascii="Times New Roman" w:eastAsia="Times New Roman" w:hAnsi="Times New Roman" w:cs="Times New Roman"/>
                <w:color w:val="000000"/>
                <w:kern w:val="0"/>
                <w:sz w:val="23"/>
                <w:szCs w:val="23"/>
                <w:lang w:eastAsia="en-IN"/>
                <w14:ligatures w14:val="none"/>
              </w:rPr>
              <w:t>43.34</w:t>
            </w:r>
          </w:p>
        </w:tc>
        <w:tc>
          <w:tcPr>
            <w:tcW w:w="1663" w:type="dxa"/>
            <w:tcBorders>
              <w:top w:val="nil"/>
              <w:left w:val="nil"/>
              <w:bottom w:val="single" w:sz="4" w:space="0" w:color="auto"/>
              <w:right w:val="single" w:sz="4" w:space="0" w:color="auto"/>
            </w:tcBorders>
            <w:vAlign w:val="center"/>
            <w:hideMark/>
          </w:tcPr>
          <w:p w14:paraId="76B7C13B" w14:textId="77777777" w:rsidR="00122CF8" w:rsidRPr="00122CF8" w:rsidRDefault="00122CF8" w:rsidP="00122CF8">
            <w:pPr>
              <w:spacing w:after="0" w:line="240" w:lineRule="auto"/>
              <w:jc w:val="center"/>
              <w:rPr>
                <w:rFonts w:ascii="Times New Roman" w:eastAsia="Times New Roman" w:hAnsi="Times New Roman" w:cs="Times New Roman"/>
                <w:color w:val="000000"/>
                <w:kern w:val="0"/>
                <w:sz w:val="23"/>
                <w:szCs w:val="23"/>
                <w:lang w:eastAsia="en-IN"/>
                <w14:ligatures w14:val="none"/>
              </w:rPr>
            </w:pPr>
            <w:r w:rsidRPr="00122CF8">
              <w:rPr>
                <w:rFonts w:ascii="Times New Roman" w:eastAsia="Times New Roman" w:hAnsi="Times New Roman" w:cs="Times New Roman"/>
                <w:color w:val="000000"/>
                <w:kern w:val="0"/>
                <w:sz w:val="23"/>
                <w:szCs w:val="23"/>
                <w:lang w:eastAsia="en-IN"/>
                <w14:ligatures w14:val="none"/>
              </w:rPr>
              <w:t>25.36</w:t>
            </w:r>
          </w:p>
        </w:tc>
        <w:tc>
          <w:tcPr>
            <w:tcW w:w="1640" w:type="dxa"/>
            <w:tcBorders>
              <w:top w:val="nil"/>
              <w:left w:val="nil"/>
              <w:bottom w:val="single" w:sz="4" w:space="0" w:color="auto"/>
              <w:right w:val="single" w:sz="4" w:space="0" w:color="auto"/>
            </w:tcBorders>
            <w:vAlign w:val="center"/>
            <w:hideMark/>
          </w:tcPr>
          <w:p w14:paraId="027CDCAA" w14:textId="77777777" w:rsidR="00122CF8" w:rsidRPr="00122CF8" w:rsidRDefault="00122CF8" w:rsidP="00122CF8">
            <w:pPr>
              <w:spacing w:after="0" w:line="240" w:lineRule="auto"/>
              <w:jc w:val="center"/>
              <w:rPr>
                <w:rFonts w:ascii="Times New Roman" w:eastAsia="Times New Roman" w:hAnsi="Times New Roman" w:cs="Times New Roman"/>
                <w:color w:val="000000"/>
                <w:kern w:val="0"/>
                <w:sz w:val="23"/>
                <w:szCs w:val="23"/>
                <w:lang w:eastAsia="en-IN"/>
                <w14:ligatures w14:val="none"/>
              </w:rPr>
            </w:pPr>
            <w:r w:rsidRPr="00122CF8">
              <w:rPr>
                <w:rFonts w:ascii="Times New Roman" w:eastAsia="Times New Roman" w:hAnsi="Times New Roman" w:cs="Times New Roman"/>
                <w:color w:val="000000"/>
                <w:kern w:val="0"/>
                <w:sz w:val="23"/>
                <w:szCs w:val="23"/>
                <w:lang w:eastAsia="en-IN"/>
                <w14:ligatures w14:val="none"/>
              </w:rPr>
              <w:t>20.82</w:t>
            </w:r>
          </w:p>
        </w:tc>
        <w:tc>
          <w:tcPr>
            <w:tcW w:w="1574" w:type="dxa"/>
            <w:tcBorders>
              <w:top w:val="nil"/>
              <w:left w:val="nil"/>
              <w:bottom w:val="single" w:sz="4" w:space="0" w:color="auto"/>
              <w:right w:val="single" w:sz="4" w:space="0" w:color="auto"/>
            </w:tcBorders>
            <w:vAlign w:val="center"/>
            <w:hideMark/>
          </w:tcPr>
          <w:p w14:paraId="0B2A0C59" w14:textId="77777777" w:rsidR="00122CF8" w:rsidRPr="00122CF8" w:rsidRDefault="00122CF8" w:rsidP="00122CF8">
            <w:pPr>
              <w:spacing w:after="0" w:line="240" w:lineRule="auto"/>
              <w:jc w:val="center"/>
              <w:rPr>
                <w:rFonts w:ascii="Times New Roman" w:eastAsia="Times New Roman" w:hAnsi="Times New Roman" w:cs="Times New Roman"/>
                <w:color w:val="000000"/>
                <w:kern w:val="0"/>
                <w:sz w:val="23"/>
                <w:szCs w:val="23"/>
                <w:lang w:eastAsia="en-IN"/>
                <w14:ligatures w14:val="none"/>
              </w:rPr>
            </w:pPr>
            <w:r w:rsidRPr="00122CF8">
              <w:rPr>
                <w:rFonts w:ascii="Times New Roman" w:eastAsia="Times New Roman" w:hAnsi="Times New Roman" w:cs="Times New Roman"/>
                <w:color w:val="000000"/>
                <w:kern w:val="0"/>
                <w:sz w:val="23"/>
                <w:szCs w:val="23"/>
                <w:lang w:eastAsia="en-IN"/>
                <w14:ligatures w14:val="none"/>
              </w:rPr>
              <w:t>46.18</w:t>
            </w:r>
          </w:p>
        </w:tc>
      </w:tr>
      <w:tr w:rsidR="00122CF8" w:rsidRPr="00122CF8" w14:paraId="1831E1D4" w14:textId="77777777" w:rsidTr="006057F1">
        <w:trPr>
          <w:trHeight w:val="227"/>
          <w:jc w:val="center"/>
        </w:trPr>
        <w:tc>
          <w:tcPr>
            <w:tcW w:w="1227" w:type="dxa"/>
            <w:tcBorders>
              <w:top w:val="nil"/>
              <w:left w:val="single" w:sz="4" w:space="0" w:color="auto"/>
              <w:bottom w:val="single" w:sz="4" w:space="0" w:color="auto"/>
              <w:right w:val="single" w:sz="4" w:space="0" w:color="auto"/>
            </w:tcBorders>
            <w:vAlign w:val="center"/>
            <w:hideMark/>
          </w:tcPr>
          <w:p w14:paraId="16F89AC9" w14:textId="77777777" w:rsidR="00122CF8" w:rsidRPr="00122CF8" w:rsidRDefault="00122CF8" w:rsidP="00122CF8">
            <w:pPr>
              <w:spacing w:after="0" w:line="240" w:lineRule="auto"/>
              <w:jc w:val="right"/>
              <w:rPr>
                <w:rFonts w:ascii="Times New Roman" w:eastAsia="Times New Roman" w:hAnsi="Times New Roman" w:cs="Times New Roman"/>
                <w:color w:val="000000"/>
                <w:kern w:val="0"/>
                <w:sz w:val="23"/>
                <w:szCs w:val="23"/>
                <w:lang w:eastAsia="en-IN"/>
                <w14:ligatures w14:val="none"/>
              </w:rPr>
            </w:pPr>
            <w:r w:rsidRPr="00122CF8">
              <w:rPr>
                <w:rFonts w:ascii="Times New Roman" w:eastAsia="Times New Roman" w:hAnsi="Times New Roman" w:cs="Times New Roman"/>
                <w:color w:val="000000"/>
                <w:kern w:val="0"/>
                <w:sz w:val="23"/>
                <w:szCs w:val="23"/>
                <w:lang w:eastAsia="en-IN"/>
                <w14:ligatures w14:val="none"/>
              </w:rPr>
              <w:t>12</w:t>
            </w:r>
          </w:p>
        </w:tc>
        <w:tc>
          <w:tcPr>
            <w:tcW w:w="2481" w:type="dxa"/>
            <w:tcBorders>
              <w:top w:val="nil"/>
              <w:left w:val="nil"/>
              <w:bottom w:val="single" w:sz="4" w:space="0" w:color="auto"/>
              <w:right w:val="single" w:sz="4" w:space="0" w:color="auto"/>
            </w:tcBorders>
            <w:vAlign w:val="center"/>
            <w:hideMark/>
          </w:tcPr>
          <w:p w14:paraId="5A56D32E" w14:textId="77777777" w:rsidR="00122CF8" w:rsidRPr="00122CF8" w:rsidRDefault="00122CF8" w:rsidP="00122CF8">
            <w:pPr>
              <w:spacing w:after="0" w:line="240" w:lineRule="auto"/>
              <w:rPr>
                <w:rFonts w:ascii="Times New Roman" w:eastAsia="Times New Roman" w:hAnsi="Times New Roman" w:cs="Times New Roman"/>
                <w:color w:val="000000"/>
                <w:kern w:val="0"/>
                <w:sz w:val="23"/>
                <w:szCs w:val="23"/>
                <w:lang w:eastAsia="en-IN"/>
                <w14:ligatures w14:val="none"/>
              </w:rPr>
            </w:pPr>
            <w:r w:rsidRPr="00122CF8">
              <w:rPr>
                <w:rFonts w:ascii="Times New Roman" w:eastAsia="Times New Roman" w:hAnsi="Times New Roman" w:cs="Times New Roman"/>
                <w:color w:val="000000"/>
                <w:kern w:val="0"/>
                <w:sz w:val="23"/>
                <w:szCs w:val="23"/>
                <w:lang w:eastAsia="en-IN"/>
                <w14:ligatures w14:val="none"/>
              </w:rPr>
              <w:t>Nagaland</w:t>
            </w:r>
          </w:p>
        </w:tc>
        <w:tc>
          <w:tcPr>
            <w:tcW w:w="1663" w:type="dxa"/>
            <w:tcBorders>
              <w:top w:val="nil"/>
              <w:left w:val="nil"/>
              <w:bottom w:val="single" w:sz="4" w:space="0" w:color="auto"/>
              <w:right w:val="single" w:sz="4" w:space="0" w:color="auto"/>
            </w:tcBorders>
            <w:vAlign w:val="center"/>
            <w:hideMark/>
          </w:tcPr>
          <w:p w14:paraId="4FF07476" w14:textId="77777777" w:rsidR="00122CF8" w:rsidRPr="00122CF8" w:rsidRDefault="00122CF8" w:rsidP="00122CF8">
            <w:pPr>
              <w:spacing w:after="0" w:line="240" w:lineRule="auto"/>
              <w:jc w:val="center"/>
              <w:rPr>
                <w:rFonts w:ascii="Times New Roman" w:eastAsia="Times New Roman" w:hAnsi="Times New Roman" w:cs="Times New Roman"/>
                <w:color w:val="000000"/>
                <w:kern w:val="0"/>
                <w:sz w:val="23"/>
                <w:szCs w:val="23"/>
                <w:lang w:eastAsia="en-IN"/>
                <w14:ligatures w14:val="none"/>
              </w:rPr>
            </w:pPr>
            <w:r w:rsidRPr="00122CF8">
              <w:rPr>
                <w:rFonts w:ascii="Times New Roman" w:eastAsia="Times New Roman" w:hAnsi="Times New Roman" w:cs="Times New Roman"/>
                <w:color w:val="000000"/>
                <w:kern w:val="0"/>
                <w:sz w:val="23"/>
                <w:szCs w:val="23"/>
                <w:lang w:eastAsia="en-IN"/>
                <w14:ligatures w14:val="none"/>
              </w:rPr>
              <w:t>4.92</w:t>
            </w:r>
          </w:p>
        </w:tc>
        <w:tc>
          <w:tcPr>
            <w:tcW w:w="1640" w:type="dxa"/>
            <w:tcBorders>
              <w:top w:val="nil"/>
              <w:left w:val="nil"/>
              <w:bottom w:val="single" w:sz="4" w:space="0" w:color="auto"/>
              <w:right w:val="single" w:sz="4" w:space="0" w:color="auto"/>
            </w:tcBorders>
            <w:vAlign w:val="center"/>
            <w:hideMark/>
          </w:tcPr>
          <w:p w14:paraId="56B0AA28" w14:textId="77777777" w:rsidR="00122CF8" w:rsidRPr="00122CF8" w:rsidRDefault="00122CF8" w:rsidP="00122CF8">
            <w:pPr>
              <w:spacing w:after="0" w:line="240" w:lineRule="auto"/>
              <w:jc w:val="center"/>
              <w:rPr>
                <w:rFonts w:ascii="Times New Roman" w:eastAsia="Times New Roman" w:hAnsi="Times New Roman" w:cs="Times New Roman"/>
                <w:color w:val="000000"/>
                <w:kern w:val="0"/>
                <w:sz w:val="23"/>
                <w:szCs w:val="23"/>
                <w:lang w:eastAsia="en-IN"/>
                <w14:ligatures w14:val="none"/>
              </w:rPr>
            </w:pPr>
            <w:r w:rsidRPr="00122CF8">
              <w:rPr>
                <w:rFonts w:ascii="Times New Roman" w:eastAsia="Times New Roman" w:hAnsi="Times New Roman" w:cs="Times New Roman"/>
                <w:color w:val="000000"/>
                <w:kern w:val="0"/>
                <w:sz w:val="23"/>
                <w:szCs w:val="23"/>
                <w:lang w:eastAsia="en-IN"/>
                <w14:ligatures w14:val="none"/>
              </w:rPr>
              <w:t>7.07</w:t>
            </w:r>
          </w:p>
        </w:tc>
        <w:tc>
          <w:tcPr>
            <w:tcW w:w="1574" w:type="dxa"/>
            <w:tcBorders>
              <w:top w:val="nil"/>
              <w:left w:val="nil"/>
              <w:bottom w:val="single" w:sz="4" w:space="0" w:color="auto"/>
              <w:right w:val="single" w:sz="4" w:space="0" w:color="auto"/>
            </w:tcBorders>
            <w:vAlign w:val="center"/>
            <w:hideMark/>
          </w:tcPr>
          <w:p w14:paraId="527CB1D2" w14:textId="77777777" w:rsidR="00122CF8" w:rsidRPr="00122CF8" w:rsidRDefault="00122CF8" w:rsidP="00122CF8">
            <w:pPr>
              <w:spacing w:after="0" w:line="240" w:lineRule="auto"/>
              <w:jc w:val="center"/>
              <w:rPr>
                <w:rFonts w:ascii="Times New Roman" w:eastAsia="Times New Roman" w:hAnsi="Times New Roman" w:cs="Times New Roman"/>
                <w:color w:val="000000"/>
                <w:kern w:val="0"/>
                <w:sz w:val="23"/>
                <w:szCs w:val="23"/>
                <w:lang w:eastAsia="en-IN"/>
                <w14:ligatures w14:val="none"/>
              </w:rPr>
            </w:pPr>
            <w:r w:rsidRPr="00122CF8">
              <w:rPr>
                <w:rFonts w:ascii="Times New Roman" w:eastAsia="Times New Roman" w:hAnsi="Times New Roman" w:cs="Times New Roman"/>
                <w:color w:val="000000"/>
                <w:kern w:val="0"/>
                <w:sz w:val="23"/>
                <w:szCs w:val="23"/>
                <w:lang w:eastAsia="en-IN"/>
                <w14:ligatures w14:val="none"/>
              </w:rPr>
              <w:t>11.99</w:t>
            </w:r>
          </w:p>
        </w:tc>
        <w:tc>
          <w:tcPr>
            <w:tcW w:w="1663" w:type="dxa"/>
            <w:tcBorders>
              <w:top w:val="nil"/>
              <w:left w:val="nil"/>
              <w:bottom w:val="single" w:sz="4" w:space="0" w:color="auto"/>
              <w:right w:val="single" w:sz="4" w:space="0" w:color="auto"/>
            </w:tcBorders>
            <w:vAlign w:val="center"/>
            <w:hideMark/>
          </w:tcPr>
          <w:p w14:paraId="14BEB7B5" w14:textId="77777777" w:rsidR="00122CF8" w:rsidRPr="00122CF8" w:rsidRDefault="00122CF8" w:rsidP="00122CF8">
            <w:pPr>
              <w:spacing w:after="0" w:line="240" w:lineRule="auto"/>
              <w:jc w:val="center"/>
              <w:rPr>
                <w:rFonts w:ascii="Times New Roman" w:eastAsia="Times New Roman" w:hAnsi="Times New Roman" w:cs="Times New Roman"/>
                <w:color w:val="000000"/>
                <w:kern w:val="0"/>
                <w:sz w:val="23"/>
                <w:szCs w:val="23"/>
                <w:lang w:eastAsia="en-IN"/>
                <w14:ligatures w14:val="none"/>
              </w:rPr>
            </w:pPr>
            <w:r w:rsidRPr="00122CF8">
              <w:rPr>
                <w:rFonts w:ascii="Times New Roman" w:eastAsia="Times New Roman" w:hAnsi="Times New Roman" w:cs="Times New Roman"/>
                <w:color w:val="000000"/>
                <w:kern w:val="0"/>
                <w:sz w:val="23"/>
                <w:szCs w:val="23"/>
                <w:lang w:eastAsia="en-IN"/>
                <w14:ligatures w14:val="none"/>
              </w:rPr>
              <w:t>5.54</w:t>
            </w:r>
          </w:p>
        </w:tc>
        <w:tc>
          <w:tcPr>
            <w:tcW w:w="1640" w:type="dxa"/>
            <w:tcBorders>
              <w:top w:val="nil"/>
              <w:left w:val="nil"/>
              <w:bottom w:val="single" w:sz="4" w:space="0" w:color="auto"/>
              <w:right w:val="single" w:sz="4" w:space="0" w:color="auto"/>
            </w:tcBorders>
            <w:vAlign w:val="center"/>
            <w:hideMark/>
          </w:tcPr>
          <w:p w14:paraId="739A5C3D" w14:textId="77777777" w:rsidR="00122CF8" w:rsidRPr="00122CF8" w:rsidRDefault="00122CF8" w:rsidP="00122CF8">
            <w:pPr>
              <w:spacing w:after="0" w:line="240" w:lineRule="auto"/>
              <w:jc w:val="center"/>
              <w:rPr>
                <w:rFonts w:ascii="Times New Roman" w:eastAsia="Times New Roman" w:hAnsi="Times New Roman" w:cs="Times New Roman"/>
                <w:color w:val="000000"/>
                <w:kern w:val="0"/>
                <w:sz w:val="23"/>
                <w:szCs w:val="23"/>
                <w:lang w:eastAsia="en-IN"/>
                <w14:ligatures w14:val="none"/>
              </w:rPr>
            </w:pPr>
            <w:r w:rsidRPr="00122CF8">
              <w:rPr>
                <w:rFonts w:ascii="Times New Roman" w:eastAsia="Times New Roman" w:hAnsi="Times New Roman" w:cs="Times New Roman"/>
                <w:color w:val="000000"/>
                <w:kern w:val="0"/>
                <w:sz w:val="23"/>
                <w:szCs w:val="23"/>
                <w:lang w:eastAsia="en-IN"/>
                <w14:ligatures w14:val="none"/>
              </w:rPr>
              <w:t>10.88</w:t>
            </w:r>
          </w:p>
        </w:tc>
        <w:tc>
          <w:tcPr>
            <w:tcW w:w="1574" w:type="dxa"/>
            <w:tcBorders>
              <w:top w:val="nil"/>
              <w:left w:val="nil"/>
              <w:bottom w:val="single" w:sz="4" w:space="0" w:color="auto"/>
              <w:right w:val="single" w:sz="4" w:space="0" w:color="auto"/>
            </w:tcBorders>
            <w:vAlign w:val="center"/>
            <w:hideMark/>
          </w:tcPr>
          <w:p w14:paraId="03D186ED" w14:textId="77777777" w:rsidR="00122CF8" w:rsidRPr="00122CF8" w:rsidRDefault="00122CF8" w:rsidP="00122CF8">
            <w:pPr>
              <w:spacing w:after="0" w:line="240" w:lineRule="auto"/>
              <w:jc w:val="center"/>
              <w:rPr>
                <w:rFonts w:ascii="Times New Roman" w:eastAsia="Times New Roman" w:hAnsi="Times New Roman" w:cs="Times New Roman"/>
                <w:color w:val="000000"/>
                <w:kern w:val="0"/>
                <w:sz w:val="23"/>
                <w:szCs w:val="23"/>
                <w:lang w:eastAsia="en-IN"/>
                <w14:ligatures w14:val="none"/>
              </w:rPr>
            </w:pPr>
            <w:r w:rsidRPr="00122CF8">
              <w:rPr>
                <w:rFonts w:ascii="Times New Roman" w:eastAsia="Times New Roman" w:hAnsi="Times New Roman" w:cs="Times New Roman"/>
                <w:color w:val="000000"/>
                <w:kern w:val="0"/>
                <w:sz w:val="23"/>
                <w:szCs w:val="23"/>
                <w:lang w:eastAsia="en-IN"/>
                <w14:ligatures w14:val="none"/>
              </w:rPr>
              <w:t>16.42</w:t>
            </w:r>
          </w:p>
        </w:tc>
      </w:tr>
      <w:tr w:rsidR="00122CF8" w:rsidRPr="00122CF8" w14:paraId="6473856C" w14:textId="77777777" w:rsidTr="006057F1">
        <w:trPr>
          <w:trHeight w:val="227"/>
          <w:jc w:val="center"/>
        </w:trPr>
        <w:tc>
          <w:tcPr>
            <w:tcW w:w="1227" w:type="dxa"/>
            <w:tcBorders>
              <w:top w:val="nil"/>
              <w:left w:val="single" w:sz="4" w:space="0" w:color="auto"/>
              <w:bottom w:val="single" w:sz="4" w:space="0" w:color="auto"/>
              <w:right w:val="single" w:sz="4" w:space="0" w:color="auto"/>
            </w:tcBorders>
            <w:vAlign w:val="center"/>
            <w:hideMark/>
          </w:tcPr>
          <w:p w14:paraId="4CB1508A" w14:textId="77777777" w:rsidR="00122CF8" w:rsidRPr="00122CF8" w:rsidRDefault="00122CF8" w:rsidP="00122CF8">
            <w:pPr>
              <w:spacing w:after="0" w:line="240" w:lineRule="auto"/>
              <w:jc w:val="right"/>
              <w:rPr>
                <w:rFonts w:ascii="Times New Roman" w:eastAsia="Times New Roman" w:hAnsi="Times New Roman" w:cs="Times New Roman"/>
                <w:color w:val="000000"/>
                <w:kern w:val="0"/>
                <w:sz w:val="23"/>
                <w:szCs w:val="23"/>
                <w:lang w:eastAsia="en-IN"/>
                <w14:ligatures w14:val="none"/>
              </w:rPr>
            </w:pPr>
            <w:r w:rsidRPr="00122CF8">
              <w:rPr>
                <w:rFonts w:ascii="Times New Roman" w:eastAsia="Times New Roman" w:hAnsi="Times New Roman" w:cs="Times New Roman"/>
                <w:color w:val="000000"/>
                <w:kern w:val="0"/>
                <w:sz w:val="23"/>
                <w:szCs w:val="23"/>
                <w:lang w:eastAsia="en-IN"/>
                <w14:ligatures w14:val="none"/>
              </w:rPr>
              <w:t>13</w:t>
            </w:r>
          </w:p>
        </w:tc>
        <w:tc>
          <w:tcPr>
            <w:tcW w:w="2481" w:type="dxa"/>
            <w:tcBorders>
              <w:top w:val="nil"/>
              <w:left w:val="nil"/>
              <w:bottom w:val="single" w:sz="4" w:space="0" w:color="auto"/>
              <w:right w:val="single" w:sz="4" w:space="0" w:color="auto"/>
            </w:tcBorders>
            <w:vAlign w:val="center"/>
            <w:hideMark/>
          </w:tcPr>
          <w:p w14:paraId="496BA5C2" w14:textId="77777777" w:rsidR="00122CF8" w:rsidRPr="00122CF8" w:rsidRDefault="00122CF8" w:rsidP="00122CF8">
            <w:pPr>
              <w:spacing w:after="0" w:line="240" w:lineRule="auto"/>
              <w:rPr>
                <w:rFonts w:ascii="Times New Roman" w:eastAsia="Times New Roman" w:hAnsi="Times New Roman" w:cs="Times New Roman"/>
                <w:color w:val="000000"/>
                <w:kern w:val="0"/>
                <w:sz w:val="23"/>
                <w:szCs w:val="23"/>
                <w:lang w:eastAsia="en-IN"/>
                <w14:ligatures w14:val="none"/>
              </w:rPr>
            </w:pPr>
            <w:r w:rsidRPr="00122CF8">
              <w:rPr>
                <w:rFonts w:ascii="Times New Roman" w:eastAsia="Times New Roman" w:hAnsi="Times New Roman" w:cs="Times New Roman"/>
                <w:color w:val="000000"/>
                <w:kern w:val="0"/>
                <w:sz w:val="23"/>
                <w:szCs w:val="23"/>
                <w:lang w:eastAsia="en-IN"/>
                <w14:ligatures w14:val="none"/>
              </w:rPr>
              <w:t>Orissa</w:t>
            </w:r>
          </w:p>
        </w:tc>
        <w:tc>
          <w:tcPr>
            <w:tcW w:w="1663" w:type="dxa"/>
            <w:tcBorders>
              <w:top w:val="nil"/>
              <w:left w:val="nil"/>
              <w:bottom w:val="single" w:sz="4" w:space="0" w:color="auto"/>
              <w:right w:val="single" w:sz="4" w:space="0" w:color="auto"/>
            </w:tcBorders>
            <w:vAlign w:val="center"/>
            <w:hideMark/>
          </w:tcPr>
          <w:p w14:paraId="41C2E555" w14:textId="77777777" w:rsidR="00122CF8" w:rsidRPr="00122CF8" w:rsidRDefault="00122CF8" w:rsidP="00122CF8">
            <w:pPr>
              <w:spacing w:after="0" w:line="240" w:lineRule="auto"/>
              <w:jc w:val="center"/>
              <w:rPr>
                <w:rFonts w:ascii="Times New Roman" w:eastAsia="Times New Roman" w:hAnsi="Times New Roman" w:cs="Times New Roman"/>
                <w:color w:val="000000"/>
                <w:kern w:val="0"/>
                <w:sz w:val="23"/>
                <w:szCs w:val="23"/>
                <w:lang w:eastAsia="en-IN"/>
                <w14:ligatures w14:val="none"/>
              </w:rPr>
            </w:pPr>
            <w:r w:rsidRPr="00122CF8">
              <w:rPr>
                <w:rFonts w:ascii="Times New Roman" w:eastAsia="Times New Roman" w:hAnsi="Times New Roman" w:cs="Times New Roman"/>
                <w:color w:val="000000"/>
                <w:kern w:val="0"/>
                <w:sz w:val="23"/>
                <w:szCs w:val="23"/>
                <w:lang w:eastAsia="en-IN"/>
                <w14:ligatures w14:val="none"/>
              </w:rPr>
              <w:t>17.46</w:t>
            </w:r>
          </w:p>
        </w:tc>
        <w:tc>
          <w:tcPr>
            <w:tcW w:w="1640" w:type="dxa"/>
            <w:tcBorders>
              <w:top w:val="nil"/>
              <w:left w:val="nil"/>
              <w:bottom w:val="single" w:sz="4" w:space="0" w:color="auto"/>
              <w:right w:val="single" w:sz="4" w:space="0" w:color="auto"/>
            </w:tcBorders>
            <w:vAlign w:val="center"/>
            <w:hideMark/>
          </w:tcPr>
          <w:p w14:paraId="6CE4D042" w14:textId="77777777" w:rsidR="00122CF8" w:rsidRPr="00122CF8" w:rsidRDefault="00122CF8" w:rsidP="00122CF8">
            <w:pPr>
              <w:spacing w:after="0" w:line="240" w:lineRule="auto"/>
              <w:jc w:val="center"/>
              <w:rPr>
                <w:rFonts w:ascii="Times New Roman" w:eastAsia="Times New Roman" w:hAnsi="Times New Roman" w:cs="Times New Roman"/>
                <w:color w:val="000000"/>
                <w:kern w:val="0"/>
                <w:sz w:val="23"/>
                <w:szCs w:val="23"/>
                <w:lang w:eastAsia="en-IN"/>
                <w14:ligatures w14:val="none"/>
              </w:rPr>
            </w:pPr>
            <w:r w:rsidRPr="00122CF8">
              <w:rPr>
                <w:rFonts w:ascii="Times New Roman" w:eastAsia="Times New Roman" w:hAnsi="Times New Roman" w:cs="Times New Roman"/>
                <w:color w:val="000000"/>
                <w:kern w:val="0"/>
                <w:sz w:val="23"/>
                <w:szCs w:val="23"/>
                <w:lang w:eastAsia="en-IN"/>
                <w14:ligatures w14:val="none"/>
              </w:rPr>
              <w:t>29.18</w:t>
            </w:r>
          </w:p>
        </w:tc>
        <w:tc>
          <w:tcPr>
            <w:tcW w:w="1574" w:type="dxa"/>
            <w:tcBorders>
              <w:top w:val="nil"/>
              <w:left w:val="nil"/>
              <w:bottom w:val="single" w:sz="4" w:space="0" w:color="auto"/>
              <w:right w:val="single" w:sz="4" w:space="0" w:color="auto"/>
            </w:tcBorders>
            <w:vAlign w:val="center"/>
            <w:hideMark/>
          </w:tcPr>
          <w:p w14:paraId="211660C6" w14:textId="77777777" w:rsidR="00122CF8" w:rsidRPr="00122CF8" w:rsidRDefault="00122CF8" w:rsidP="00122CF8">
            <w:pPr>
              <w:spacing w:after="0" w:line="240" w:lineRule="auto"/>
              <w:jc w:val="center"/>
              <w:rPr>
                <w:rFonts w:ascii="Times New Roman" w:eastAsia="Times New Roman" w:hAnsi="Times New Roman" w:cs="Times New Roman"/>
                <w:color w:val="000000"/>
                <w:kern w:val="0"/>
                <w:sz w:val="23"/>
                <w:szCs w:val="23"/>
                <w:lang w:eastAsia="en-IN"/>
                <w14:ligatures w14:val="none"/>
              </w:rPr>
            </w:pPr>
            <w:r w:rsidRPr="00122CF8">
              <w:rPr>
                <w:rFonts w:ascii="Times New Roman" w:eastAsia="Times New Roman" w:hAnsi="Times New Roman" w:cs="Times New Roman"/>
                <w:color w:val="000000"/>
                <w:kern w:val="0"/>
                <w:sz w:val="23"/>
                <w:szCs w:val="23"/>
                <w:lang w:eastAsia="en-IN"/>
                <w14:ligatures w14:val="none"/>
              </w:rPr>
              <w:t>46.64</w:t>
            </w:r>
          </w:p>
        </w:tc>
        <w:tc>
          <w:tcPr>
            <w:tcW w:w="1663" w:type="dxa"/>
            <w:tcBorders>
              <w:top w:val="nil"/>
              <w:left w:val="nil"/>
              <w:bottom w:val="single" w:sz="4" w:space="0" w:color="auto"/>
              <w:right w:val="single" w:sz="4" w:space="0" w:color="auto"/>
            </w:tcBorders>
            <w:vAlign w:val="center"/>
            <w:hideMark/>
          </w:tcPr>
          <w:p w14:paraId="728B5BE0" w14:textId="77777777" w:rsidR="00122CF8" w:rsidRPr="00122CF8" w:rsidRDefault="00122CF8" w:rsidP="00122CF8">
            <w:pPr>
              <w:spacing w:after="0" w:line="240" w:lineRule="auto"/>
              <w:jc w:val="center"/>
              <w:rPr>
                <w:rFonts w:ascii="Times New Roman" w:eastAsia="Times New Roman" w:hAnsi="Times New Roman" w:cs="Times New Roman"/>
                <w:color w:val="000000"/>
                <w:kern w:val="0"/>
                <w:sz w:val="23"/>
                <w:szCs w:val="23"/>
                <w:lang w:eastAsia="en-IN"/>
                <w14:ligatures w14:val="none"/>
              </w:rPr>
            </w:pPr>
            <w:r w:rsidRPr="00122CF8">
              <w:rPr>
                <w:rFonts w:ascii="Times New Roman" w:eastAsia="Times New Roman" w:hAnsi="Times New Roman" w:cs="Times New Roman"/>
                <w:color w:val="000000"/>
                <w:kern w:val="0"/>
                <w:sz w:val="23"/>
                <w:szCs w:val="23"/>
                <w:lang w:eastAsia="en-IN"/>
                <w14:ligatures w14:val="none"/>
              </w:rPr>
              <w:t>19.75</w:t>
            </w:r>
          </w:p>
        </w:tc>
        <w:tc>
          <w:tcPr>
            <w:tcW w:w="1640" w:type="dxa"/>
            <w:tcBorders>
              <w:top w:val="nil"/>
              <w:left w:val="nil"/>
              <w:bottom w:val="single" w:sz="4" w:space="0" w:color="auto"/>
              <w:right w:val="single" w:sz="4" w:space="0" w:color="auto"/>
            </w:tcBorders>
            <w:vAlign w:val="center"/>
            <w:hideMark/>
          </w:tcPr>
          <w:p w14:paraId="6750994F" w14:textId="77777777" w:rsidR="00122CF8" w:rsidRPr="00122CF8" w:rsidRDefault="00122CF8" w:rsidP="00122CF8">
            <w:pPr>
              <w:spacing w:after="0" w:line="240" w:lineRule="auto"/>
              <w:jc w:val="center"/>
              <w:rPr>
                <w:rFonts w:ascii="Times New Roman" w:eastAsia="Times New Roman" w:hAnsi="Times New Roman" w:cs="Times New Roman"/>
                <w:color w:val="000000"/>
                <w:kern w:val="0"/>
                <w:sz w:val="23"/>
                <w:szCs w:val="23"/>
                <w:lang w:eastAsia="en-IN"/>
                <w14:ligatures w14:val="none"/>
              </w:rPr>
            </w:pPr>
            <w:r w:rsidRPr="00122CF8">
              <w:rPr>
                <w:rFonts w:ascii="Times New Roman" w:eastAsia="Times New Roman" w:hAnsi="Times New Roman" w:cs="Times New Roman"/>
                <w:color w:val="000000"/>
                <w:kern w:val="0"/>
                <w:sz w:val="23"/>
                <w:szCs w:val="23"/>
                <w:lang w:eastAsia="en-IN"/>
                <w14:ligatures w14:val="none"/>
              </w:rPr>
              <w:t>29.18</w:t>
            </w:r>
          </w:p>
        </w:tc>
        <w:tc>
          <w:tcPr>
            <w:tcW w:w="1574" w:type="dxa"/>
            <w:tcBorders>
              <w:top w:val="nil"/>
              <w:left w:val="nil"/>
              <w:bottom w:val="single" w:sz="4" w:space="0" w:color="auto"/>
              <w:right w:val="single" w:sz="4" w:space="0" w:color="auto"/>
            </w:tcBorders>
            <w:vAlign w:val="center"/>
            <w:hideMark/>
          </w:tcPr>
          <w:p w14:paraId="1A164C22" w14:textId="77777777" w:rsidR="00122CF8" w:rsidRPr="00122CF8" w:rsidRDefault="00122CF8" w:rsidP="00122CF8">
            <w:pPr>
              <w:spacing w:after="0" w:line="240" w:lineRule="auto"/>
              <w:jc w:val="center"/>
              <w:rPr>
                <w:rFonts w:ascii="Times New Roman" w:eastAsia="Times New Roman" w:hAnsi="Times New Roman" w:cs="Times New Roman"/>
                <w:color w:val="000000"/>
                <w:kern w:val="0"/>
                <w:sz w:val="23"/>
                <w:szCs w:val="23"/>
                <w:lang w:eastAsia="en-IN"/>
                <w14:ligatures w14:val="none"/>
              </w:rPr>
            </w:pPr>
            <w:r w:rsidRPr="00122CF8">
              <w:rPr>
                <w:rFonts w:ascii="Times New Roman" w:eastAsia="Times New Roman" w:hAnsi="Times New Roman" w:cs="Times New Roman"/>
                <w:color w:val="000000"/>
                <w:kern w:val="0"/>
                <w:sz w:val="23"/>
                <w:szCs w:val="23"/>
                <w:lang w:eastAsia="en-IN"/>
                <w14:ligatures w14:val="none"/>
              </w:rPr>
              <w:t>48.93</w:t>
            </w:r>
          </w:p>
        </w:tc>
      </w:tr>
      <w:tr w:rsidR="00122CF8" w:rsidRPr="00122CF8" w14:paraId="1D5E66FB" w14:textId="77777777" w:rsidTr="006057F1">
        <w:trPr>
          <w:trHeight w:val="227"/>
          <w:jc w:val="center"/>
        </w:trPr>
        <w:tc>
          <w:tcPr>
            <w:tcW w:w="1227" w:type="dxa"/>
            <w:tcBorders>
              <w:top w:val="nil"/>
              <w:left w:val="single" w:sz="4" w:space="0" w:color="auto"/>
              <w:bottom w:val="single" w:sz="4" w:space="0" w:color="auto"/>
              <w:right w:val="single" w:sz="4" w:space="0" w:color="auto"/>
            </w:tcBorders>
            <w:vAlign w:val="center"/>
            <w:hideMark/>
          </w:tcPr>
          <w:p w14:paraId="3ED26E9B" w14:textId="77777777" w:rsidR="00122CF8" w:rsidRPr="00122CF8" w:rsidRDefault="00122CF8" w:rsidP="00122CF8">
            <w:pPr>
              <w:spacing w:after="0" w:line="240" w:lineRule="auto"/>
              <w:jc w:val="right"/>
              <w:rPr>
                <w:rFonts w:ascii="Times New Roman" w:eastAsia="Times New Roman" w:hAnsi="Times New Roman" w:cs="Times New Roman"/>
                <w:color w:val="000000"/>
                <w:kern w:val="0"/>
                <w:sz w:val="23"/>
                <w:szCs w:val="23"/>
                <w:lang w:eastAsia="en-IN"/>
                <w14:ligatures w14:val="none"/>
              </w:rPr>
            </w:pPr>
            <w:r w:rsidRPr="00122CF8">
              <w:rPr>
                <w:rFonts w:ascii="Times New Roman" w:eastAsia="Times New Roman" w:hAnsi="Times New Roman" w:cs="Times New Roman"/>
                <w:color w:val="000000"/>
                <w:kern w:val="0"/>
                <w:sz w:val="23"/>
                <w:szCs w:val="23"/>
                <w:lang w:eastAsia="en-IN"/>
                <w14:ligatures w14:val="none"/>
              </w:rPr>
              <w:t>14</w:t>
            </w:r>
          </w:p>
        </w:tc>
        <w:tc>
          <w:tcPr>
            <w:tcW w:w="2481" w:type="dxa"/>
            <w:tcBorders>
              <w:top w:val="nil"/>
              <w:left w:val="nil"/>
              <w:bottom w:val="single" w:sz="4" w:space="0" w:color="auto"/>
              <w:right w:val="single" w:sz="4" w:space="0" w:color="auto"/>
            </w:tcBorders>
            <w:vAlign w:val="center"/>
            <w:hideMark/>
          </w:tcPr>
          <w:p w14:paraId="29E9F924" w14:textId="77777777" w:rsidR="00122CF8" w:rsidRPr="00122CF8" w:rsidRDefault="00122CF8" w:rsidP="00122CF8">
            <w:pPr>
              <w:spacing w:after="0" w:line="240" w:lineRule="auto"/>
              <w:rPr>
                <w:rFonts w:ascii="Times New Roman" w:eastAsia="Times New Roman" w:hAnsi="Times New Roman" w:cs="Times New Roman"/>
                <w:color w:val="000000"/>
                <w:kern w:val="0"/>
                <w:sz w:val="23"/>
                <w:szCs w:val="23"/>
                <w:lang w:eastAsia="en-IN"/>
                <w14:ligatures w14:val="none"/>
              </w:rPr>
            </w:pPr>
            <w:r w:rsidRPr="00122CF8">
              <w:rPr>
                <w:rFonts w:ascii="Times New Roman" w:eastAsia="Times New Roman" w:hAnsi="Times New Roman" w:cs="Times New Roman"/>
                <w:color w:val="000000"/>
                <w:kern w:val="0"/>
                <w:sz w:val="23"/>
                <w:szCs w:val="23"/>
                <w:lang w:eastAsia="en-IN"/>
                <w14:ligatures w14:val="none"/>
              </w:rPr>
              <w:t>Punjab</w:t>
            </w:r>
          </w:p>
        </w:tc>
        <w:tc>
          <w:tcPr>
            <w:tcW w:w="1663" w:type="dxa"/>
            <w:tcBorders>
              <w:top w:val="nil"/>
              <w:left w:val="nil"/>
              <w:bottom w:val="single" w:sz="4" w:space="0" w:color="auto"/>
              <w:right w:val="single" w:sz="4" w:space="0" w:color="auto"/>
            </w:tcBorders>
            <w:vAlign w:val="center"/>
            <w:hideMark/>
          </w:tcPr>
          <w:p w14:paraId="1007A2D6" w14:textId="77777777" w:rsidR="00122CF8" w:rsidRPr="00122CF8" w:rsidRDefault="00122CF8" w:rsidP="00122CF8">
            <w:pPr>
              <w:spacing w:after="0" w:line="240" w:lineRule="auto"/>
              <w:jc w:val="center"/>
              <w:rPr>
                <w:rFonts w:ascii="Times New Roman" w:eastAsia="Times New Roman" w:hAnsi="Times New Roman" w:cs="Times New Roman"/>
                <w:color w:val="000000"/>
                <w:kern w:val="0"/>
                <w:sz w:val="23"/>
                <w:szCs w:val="23"/>
                <w:lang w:eastAsia="en-IN"/>
                <w14:ligatures w14:val="none"/>
              </w:rPr>
            </w:pPr>
            <w:r w:rsidRPr="00122CF8">
              <w:rPr>
                <w:rFonts w:ascii="Times New Roman" w:eastAsia="Times New Roman" w:hAnsi="Times New Roman" w:cs="Times New Roman"/>
                <w:color w:val="000000"/>
                <w:kern w:val="0"/>
                <w:sz w:val="23"/>
                <w:szCs w:val="23"/>
                <w:lang w:eastAsia="en-IN"/>
                <w14:ligatures w14:val="none"/>
              </w:rPr>
              <w:t>11.66</w:t>
            </w:r>
          </w:p>
        </w:tc>
        <w:tc>
          <w:tcPr>
            <w:tcW w:w="1640" w:type="dxa"/>
            <w:tcBorders>
              <w:top w:val="nil"/>
              <w:left w:val="nil"/>
              <w:bottom w:val="single" w:sz="4" w:space="0" w:color="auto"/>
              <w:right w:val="single" w:sz="4" w:space="0" w:color="auto"/>
            </w:tcBorders>
            <w:vAlign w:val="center"/>
            <w:hideMark/>
          </w:tcPr>
          <w:p w14:paraId="0FFEAD88" w14:textId="77777777" w:rsidR="00122CF8" w:rsidRPr="00122CF8" w:rsidRDefault="00122CF8" w:rsidP="00122CF8">
            <w:pPr>
              <w:spacing w:after="0" w:line="240" w:lineRule="auto"/>
              <w:jc w:val="center"/>
              <w:rPr>
                <w:rFonts w:ascii="Times New Roman" w:eastAsia="Times New Roman" w:hAnsi="Times New Roman" w:cs="Times New Roman"/>
                <w:color w:val="000000"/>
                <w:kern w:val="0"/>
                <w:sz w:val="23"/>
                <w:szCs w:val="23"/>
                <w:lang w:eastAsia="en-IN"/>
                <w14:ligatures w14:val="none"/>
              </w:rPr>
            </w:pPr>
            <w:r w:rsidRPr="00122CF8">
              <w:rPr>
                <w:rFonts w:ascii="Times New Roman" w:eastAsia="Times New Roman" w:hAnsi="Times New Roman" w:cs="Times New Roman"/>
                <w:color w:val="000000"/>
                <w:kern w:val="0"/>
                <w:sz w:val="23"/>
                <w:szCs w:val="23"/>
                <w:lang w:eastAsia="en-IN"/>
                <w14:ligatures w14:val="none"/>
              </w:rPr>
              <w:t>..</w:t>
            </w:r>
          </w:p>
        </w:tc>
        <w:tc>
          <w:tcPr>
            <w:tcW w:w="1574" w:type="dxa"/>
            <w:tcBorders>
              <w:top w:val="nil"/>
              <w:left w:val="nil"/>
              <w:bottom w:val="single" w:sz="4" w:space="0" w:color="auto"/>
              <w:right w:val="single" w:sz="4" w:space="0" w:color="auto"/>
            </w:tcBorders>
            <w:vAlign w:val="center"/>
            <w:hideMark/>
          </w:tcPr>
          <w:p w14:paraId="38540051" w14:textId="77777777" w:rsidR="00122CF8" w:rsidRPr="00122CF8" w:rsidRDefault="00122CF8" w:rsidP="00122CF8">
            <w:pPr>
              <w:spacing w:after="0" w:line="240" w:lineRule="auto"/>
              <w:jc w:val="center"/>
              <w:rPr>
                <w:rFonts w:ascii="Times New Roman" w:eastAsia="Times New Roman" w:hAnsi="Times New Roman" w:cs="Times New Roman"/>
                <w:color w:val="000000"/>
                <w:kern w:val="0"/>
                <w:sz w:val="23"/>
                <w:szCs w:val="23"/>
                <w:lang w:eastAsia="en-IN"/>
                <w14:ligatures w14:val="none"/>
              </w:rPr>
            </w:pPr>
            <w:r w:rsidRPr="00122CF8">
              <w:rPr>
                <w:rFonts w:ascii="Times New Roman" w:eastAsia="Times New Roman" w:hAnsi="Times New Roman" w:cs="Times New Roman"/>
                <w:color w:val="000000"/>
                <w:kern w:val="0"/>
                <w:sz w:val="23"/>
                <w:szCs w:val="23"/>
                <w:lang w:eastAsia="en-IN"/>
                <w14:ligatures w14:val="none"/>
              </w:rPr>
              <w:t>11.66</w:t>
            </w:r>
          </w:p>
        </w:tc>
        <w:tc>
          <w:tcPr>
            <w:tcW w:w="1663" w:type="dxa"/>
            <w:tcBorders>
              <w:top w:val="nil"/>
              <w:left w:val="nil"/>
              <w:bottom w:val="single" w:sz="4" w:space="0" w:color="auto"/>
              <w:right w:val="single" w:sz="4" w:space="0" w:color="auto"/>
            </w:tcBorders>
            <w:vAlign w:val="center"/>
            <w:hideMark/>
          </w:tcPr>
          <w:p w14:paraId="099CE8F6" w14:textId="77777777" w:rsidR="00122CF8" w:rsidRPr="00122CF8" w:rsidRDefault="00122CF8" w:rsidP="00122CF8">
            <w:pPr>
              <w:spacing w:after="0" w:line="240" w:lineRule="auto"/>
              <w:jc w:val="center"/>
              <w:rPr>
                <w:rFonts w:ascii="Times New Roman" w:eastAsia="Times New Roman" w:hAnsi="Times New Roman" w:cs="Times New Roman"/>
                <w:color w:val="000000"/>
                <w:kern w:val="0"/>
                <w:sz w:val="23"/>
                <w:szCs w:val="23"/>
                <w:lang w:eastAsia="en-IN"/>
                <w14:ligatures w14:val="none"/>
              </w:rPr>
            </w:pPr>
            <w:r w:rsidRPr="00122CF8">
              <w:rPr>
                <w:rFonts w:ascii="Times New Roman" w:eastAsia="Times New Roman" w:hAnsi="Times New Roman" w:cs="Times New Roman"/>
                <w:color w:val="000000"/>
                <w:kern w:val="0"/>
                <w:sz w:val="23"/>
                <w:szCs w:val="23"/>
                <w:lang w:eastAsia="en-IN"/>
                <w14:ligatures w14:val="none"/>
              </w:rPr>
              <w:t>13.07</w:t>
            </w:r>
          </w:p>
        </w:tc>
        <w:tc>
          <w:tcPr>
            <w:tcW w:w="1640" w:type="dxa"/>
            <w:tcBorders>
              <w:top w:val="nil"/>
              <w:left w:val="nil"/>
              <w:bottom w:val="single" w:sz="4" w:space="0" w:color="auto"/>
              <w:right w:val="single" w:sz="4" w:space="0" w:color="auto"/>
            </w:tcBorders>
            <w:vAlign w:val="center"/>
            <w:hideMark/>
          </w:tcPr>
          <w:p w14:paraId="63A1EE6C" w14:textId="77777777" w:rsidR="00122CF8" w:rsidRPr="00122CF8" w:rsidRDefault="00122CF8" w:rsidP="00122CF8">
            <w:pPr>
              <w:spacing w:after="0" w:line="240" w:lineRule="auto"/>
              <w:jc w:val="center"/>
              <w:rPr>
                <w:rFonts w:ascii="Times New Roman" w:eastAsia="Times New Roman" w:hAnsi="Times New Roman" w:cs="Times New Roman"/>
                <w:color w:val="000000"/>
                <w:kern w:val="0"/>
                <w:sz w:val="23"/>
                <w:szCs w:val="23"/>
                <w:lang w:eastAsia="en-IN"/>
                <w14:ligatures w14:val="none"/>
              </w:rPr>
            </w:pPr>
            <w:r w:rsidRPr="00122CF8">
              <w:rPr>
                <w:rFonts w:ascii="Times New Roman" w:eastAsia="Times New Roman" w:hAnsi="Times New Roman" w:cs="Times New Roman"/>
                <w:color w:val="000000"/>
                <w:kern w:val="0"/>
                <w:sz w:val="23"/>
                <w:szCs w:val="23"/>
                <w:lang w:eastAsia="en-IN"/>
                <w14:ligatures w14:val="none"/>
              </w:rPr>
              <w:t>..</w:t>
            </w:r>
          </w:p>
        </w:tc>
        <w:tc>
          <w:tcPr>
            <w:tcW w:w="1574" w:type="dxa"/>
            <w:tcBorders>
              <w:top w:val="nil"/>
              <w:left w:val="nil"/>
              <w:bottom w:val="single" w:sz="4" w:space="0" w:color="auto"/>
              <w:right w:val="single" w:sz="4" w:space="0" w:color="auto"/>
            </w:tcBorders>
            <w:vAlign w:val="center"/>
            <w:hideMark/>
          </w:tcPr>
          <w:p w14:paraId="564482E5" w14:textId="77777777" w:rsidR="00122CF8" w:rsidRPr="00122CF8" w:rsidRDefault="00122CF8" w:rsidP="00122CF8">
            <w:pPr>
              <w:spacing w:after="0" w:line="240" w:lineRule="auto"/>
              <w:jc w:val="center"/>
              <w:rPr>
                <w:rFonts w:ascii="Times New Roman" w:eastAsia="Times New Roman" w:hAnsi="Times New Roman" w:cs="Times New Roman"/>
                <w:color w:val="000000"/>
                <w:kern w:val="0"/>
                <w:sz w:val="23"/>
                <w:szCs w:val="23"/>
                <w:lang w:eastAsia="en-IN"/>
                <w14:ligatures w14:val="none"/>
              </w:rPr>
            </w:pPr>
            <w:r w:rsidRPr="00122CF8">
              <w:rPr>
                <w:rFonts w:ascii="Times New Roman" w:eastAsia="Times New Roman" w:hAnsi="Times New Roman" w:cs="Times New Roman"/>
                <w:color w:val="000000"/>
                <w:kern w:val="0"/>
                <w:sz w:val="23"/>
                <w:szCs w:val="23"/>
                <w:lang w:eastAsia="en-IN"/>
                <w14:ligatures w14:val="none"/>
              </w:rPr>
              <w:t>13.07</w:t>
            </w:r>
          </w:p>
        </w:tc>
      </w:tr>
      <w:tr w:rsidR="00122CF8" w:rsidRPr="00122CF8" w14:paraId="092397D6" w14:textId="77777777" w:rsidTr="006057F1">
        <w:trPr>
          <w:trHeight w:val="227"/>
          <w:jc w:val="center"/>
        </w:trPr>
        <w:tc>
          <w:tcPr>
            <w:tcW w:w="1227" w:type="dxa"/>
            <w:tcBorders>
              <w:top w:val="nil"/>
              <w:left w:val="single" w:sz="4" w:space="0" w:color="auto"/>
              <w:bottom w:val="single" w:sz="4" w:space="0" w:color="auto"/>
              <w:right w:val="single" w:sz="4" w:space="0" w:color="auto"/>
            </w:tcBorders>
            <w:vAlign w:val="center"/>
            <w:hideMark/>
          </w:tcPr>
          <w:p w14:paraId="49A17237" w14:textId="77777777" w:rsidR="00122CF8" w:rsidRPr="00122CF8" w:rsidRDefault="00122CF8" w:rsidP="00122CF8">
            <w:pPr>
              <w:spacing w:after="0" w:line="240" w:lineRule="auto"/>
              <w:jc w:val="right"/>
              <w:rPr>
                <w:rFonts w:ascii="Times New Roman" w:eastAsia="Times New Roman" w:hAnsi="Times New Roman" w:cs="Times New Roman"/>
                <w:color w:val="000000"/>
                <w:kern w:val="0"/>
                <w:sz w:val="23"/>
                <w:szCs w:val="23"/>
                <w:lang w:eastAsia="en-IN"/>
                <w14:ligatures w14:val="none"/>
              </w:rPr>
            </w:pPr>
            <w:r w:rsidRPr="00122CF8">
              <w:rPr>
                <w:rFonts w:ascii="Times New Roman" w:eastAsia="Times New Roman" w:hAnsi="Times New Roman" w:cs="Times New Roman"/>
                <w:color w:val="000000"/>
                <w:kern w:val="0"/>
                <w:sz w:val="23"/>
                <w:szCs w:val="23"/>
                <w:lang w:eastAsia="en-IN"/>
                <w14:ligatures w14:val="none"/>
              </w:rPr>
              <w:t>15</w:t>
            </w:r>
          </w:p>
        </w:tc>
        <w:tc>
          <w:tcPr>
            <w:tcW w:w="2481" w:type="dxa"/>
            <w:tcBorders>
              <w:top w:val="nil"/>
              <w:left w:val="nil"/>
              <w:bottom w:val="single" w:sz="4" w:space="0" w:color="auto"/>
              <w:right w:val="single" w:sz="4" w:space="0" w:color="auto"/>
            </w:tcBorders>
            <w:vAlign w:val="center"/>
            <w:hideMark/>
          </w:tcPr>
          <w:p w14:paraId="51A78950" w14:textId="77777777" w:rsidR="00122CF8" w:rsidRPr="00122CF8" w:rsidRDefault="00122CF8" w:rsidP="00122CF8">
            <w:pPr>
              <w:spacing w:after="0" w:line="240" w:lineRule="auto"/>
              <w:rPr>
                <w:rFonts w:ascii="Times New Roman" w:eastAsia="Times New Roman" w:hAnsi="Times New Roman" w:cs="Times New Roman"/>
                <w:color w:val="000000"/>
                <w:kern w:val="0"/>
                <w:sz w:val="23"/>
                <w:szCs w:val="23"/>
                <w:lang w:eastAsia="en-IN"/>
                <w14:ligatures w14:val="none"/>
              </w:rPr>
            </w:pPr>
            <w:r w:rsidRPr="00122CF8">
              <w:rPr>
                <w:rFonts w:ascii="Times New Roman" w:eastAsia="Times New Roman" w:hAnsi="Times New Roman" w:cs="Times New Roman"/>
                <w:color w:val="000000"/>
                <w:kern w:val="0"/>
                <w:sz w:val="23"/>
                <w:szCs w:val="23"/>
                <w:lang w:eastAsia="en-IN"/>
                <w14:ligatures w14:val="none"/>
              </w:rPr>
              <w:t>Rajasthan</w:t>
            </w:r>
          </w:p>
        </w:tc>
        <w:tc>
          <w:tcPr>
            <w:tcW w:w="1663" w:type="dxa"/>
            <w:tcBorders>
              <w:top w:val="nil"/>
              <w:left w:val="nil"/>
              <w:bottom w:val="single" w:sz="4" w:space="0" w:color="auto"/>
              <w:right w:val="single" w:sz="4" w:space="0" w:color="auto"/>
            </w:tcBorders>
            <w:vAlign w:val="center"/>
            <w:hideMark/>
          </w:tcPr>
          <w:p w14:paraId="234B9A08" w14:textId="77777777" w:rsidR="00122CF8" w:rsidRPr="00122CF8" w:rsidRDefault="00122CF8" w:rsidP="00122CF8">
            <w:pPr>
              <w:spacing w:after="0" w:line="240" w:lineRule="auto"/>
              <w:jc w:val="center"/>
              <w:rPr>
                <w:rFonts w:ascii="Times New Roman" w:eastAsia="Times New Roman" w:hAnsi="Times New Roman" w:cs="Times New Roman"/>
                <w:color w:val="000000"/>
                <w:kern w:val="0"/>
                <w:sz w:val="23"/>
                <w:szCs w:val="23"/>
                <w:lang w:eastAsia="en-IN"/>
                <w14:ligatures w14:val="none"/>
              </w:rPr>
            </w:pPr>
            <w:r w:rsidRPr="00122CF8">
              <w:rPr>
                <w:rFonts w:ascii="Times New Roman" w:eastAsia="Times New Roman" w:hAnsi="Times New Roman" w:cs="Times New Roman"/>
                <w:color w:val="000000"/>
                <w:kern w:val="0"/>
                <w:sz w:val="23"/>
                <w:szCs w:val="23"/>
                <w:lang w:eastAsia="en-IN"/>
                <w14:ligatures w14:val="none"/>
              </w:rPr>
              <w:t>19.72</w:t>
            </w:r>
          </w:p>
        </w:tc>
        <w:tc>
          <w:tcPr>
            <w:tcW w:w="1640" w:type="dxa"/>
            <w:tcBorders>
              <w:top w:val="nil"/>
              <w:left w:val="nil"/>
              <w:bottom w:val="single" w:sz="4" w:space="0" w:color="auto"/>
              <w:right w:val="single" w:sz="4" w:space="0" w:color="auto"/>
            </w:tcBorders>
            <w:vAlign w:val="center"/>
            <w:hideMark/>
          </w:tcPr>
          <w:p w14:paraId="2660E1D3" w14:textId="77777777" w:rsidR="00122CF8" w:rsidRPr="00122CF8" w:rsidRDefault="00122CF8" w:rsidP="00122CF8">
            <w:pPr>
              <w:spacing w:after="0" w:line="240" w:lineRule="auto"/>
              <w:jc w:val="center"/>
              <w:rPr>
                <w:rFonts w:ascii="Times New Roman" w:eastAsia="Times New Roman" w:hAnsi="Times New Roman" w:cs="Times New Roman"/>
                <w:color w:val="000000"/>
                <w:kern w:val="0"/>
                <w:sz w:val="23"/>
                <w:szCs w:val="23"/>
                <w:lang w:eastAsia="en-IN"/>
                <w14:ligatures w14:val="none"/>
              </w:rPr>
            </w:pPr>
            <w:r w:rsidRPr="00122CF8">
              <w:rPr>
                <w:rFonts w:ascii="Times New Roman" w:eastAsia="Times New Roman" w:hAnsi="Times New Roman" w:cs="Times New Roman"/>
                <w:color w:val="000000"/>
                <w:kern w:val="0"/>
                <w:sz w:val="23"/>
                <w:szCs w:val="23"/>
                <w:lang w:eastAsia="en-IN"/>
                <w14:ligatures w14:val="none"/>
              </w:rPr>
              <w:t>6.73</w:t>
            </w:r>
          </w:p>
        </w:tc>
        <w:tc>
          <w:tcPr>
            <w:tcW w:w="1574" w:type="dxa"/>
            <w:tcBorders>
              <w:top w:val="nil"/>
              <w:left w:val="nil"/>
              <w:bottom w:val="single" w:sz="4" w:space="0" w:color="auto"/>
              <w:right w:val="single" w:sz="4" w:space="0" w:color="auto"/>
            </w:tcBorders>
            <w:vAlign w:val="center"/>
            <w:hideMark/>
          </w:tcPr>
          <w:p w14:paraId="6DC428FA" w14:textId="77777777" w:rsidR="00122CF8" w:rsidRPr="00122CF8" w:rsidRDefault="00122CF8" w:rsidP="00122CF8">
            <w:pPr>
              <w:spacing w:after="0" w:line="240" w:lineRule="auto"/>
              <w:jc w:val="center"/>
              <w:rPr>
                <w:rFonts w:ascii="Times New Roman" w:eastAsia="Times New Roman" w:hAnsi="Times New Roman" w:cs="Times New Roman"/>
                <w:color w:val="000000"/>
                <w:kern w:val="0"/>
                <w:sz w:val="23"/>
                <w:szCs w:val="23"/>
                <w:lang w:eastAsia="en-IN"/>
                <w14:ligatures w14:val="none"/>
              </w:rPr>
            </w:pPr>
            <w:r w:rsidRPr="00122CF8">
              <w:rPr>
                <w:rFonts w:ascii="Times New Roman" w:eastAsia="Times New Roman" w:hAnsi="Times New Roman" w:cs="Times New Roman"/>
                <w:color w:val="000000"/>
                <w:kern w:val="0"/>
                <w:sz w:val="23"/>
                <w:szCs w:val="23"/>
                <w:lang w:eastAsia="en-IN"/>
                <w14:ligatures w14:val="none"/>
              </w:rPr>
              <w:t>26.45</w:t>
            </w:r>
          </w:p>
        </w:tc>
        <w:tc>
          <w:tcPr>
            <w:tcW w:w="1663" w:type="dxa"/>
            <w:tcBorders>
              <w:top w:val="nil"/>
              <w:left w:val="nil"/>
              <w:bottom w:val="single" w:sz="4" w:space="0" w:color="auto"/>
              <w:right w:val="single" w:sz="4" w:space="0" w:color="auto"/>
            </w:tcBorders>
            <w:vAlign w:val="center"/>
            <w:hideMark/>
          </w:tcPr>
          <w:p w14:paraId="1964EA0C" w14:textId="77777777" w:rsidR="00122CF8" w:rsidRPr="00122CF8" w:rsidRDefault="00122CF8" w:rsidP="00122CF8">
            <w:pPr>
              <w:spacing w:after="0" w:line="240" w:lineRule="auto"/>
              <w:jc w:val="center"/>
              <w:rPr>
                <w:rFonts w:ascii="Times New Roman" w:eastAsia="Times New Roman" w:hAnsi="Times New Roman" w:cs="Times New Roman"/>
                <w:color w:val="000000"/>
                <w:kern w:val="0"/>
                <w:sz w:val="23"/>
                <w:szCs w:val="23"/>
                <w:lang w:eastAsia="en-IN"/>
                <w14:ligatures w14:val="none"/>
              </w:rPr>
            </w:pPr>
            <w:r w:rsidRPr="00122CF8">
              <w:rPr>
                <w:rFonts w:ascii="Times New Roman" w:eastAsia="Times New Roman" w:hAnsi="Times New Roman" w:cs="Times New Roman"/>
                <w:color w:val="000000"/>
                <w:kern w:val="0"/>
                <w:sz w:val="23"/>
                <w:szCs w:val="23"/>
                <w:lang w:eastAsia="en-IN"/>
                <w14:ligatures w14:val="none"/>
              </w:rPr>
              <w:t>22.23</w:t>
            </w:r>
          </w:p>
        </w:tc>
        <w:tc>
          <w:tcPr>
            <w:tcW w:w="1640" w:type="dxa"/>
            <w:tcBorders>
              <w:top w:val="nil"/>
              <w:left w:val="nil"/>
              <w:bottom w:val="single" w:sz="4" w:space="0" w:color="auto"/>
              <w:right w:val="single" w:sz="4" w:space="0" w:color="auto"/>
            </w:tcBorders>
            <w:vAlign w:val="center"/>
            <w:hideMark/>
          </w:tcPr>
          <w:p w14:paraId="4F737F23" w14:textId="77777777" w:rsidR="00122CF8" w:rsidRPr="00122CF8" w:rsidRDefault="00122CF8" w:rsidP="00122CF8">
            <w:pPr>
              <w:spacing w:after="0" w:line="240" w:lineRule="auto"/>
              <w:jc w:val="center"/>
              <w:rPr>
                <w:rFonts w:ascii="Times New Roman" w:eastAsia="Times New Roman" w:hAnsi="Times New Roman" w:cs="Times New Roman"/>
                <w:color w:val="000000"/>
                <w:kern w:val="0"/>
                <w:sz w:val="23"/>
                <w:szCs w:val="23"/>
                <w:lang w:eastAsia="en-IN"/>
                <w14:ligatures w14:val="none"/>
              </w:rPr>
            </w:pPr>
            <w:r w:rsidRPr="00122CF8">
              <w:rPr>
                <w:rFonts w:ascii="Times New Roman" w:eastAsia="Times New Roman" w:hAnsi="Times New Roman" w:cs="Times New Roman"/>
                <w:color w:val="000000"/>
                <w:kern w:val="0"/>
                <w:sz w:val="23"/>
                <w:szCs w:val="23"/>
                <w:lang w:eastAsia="en-IN"/>
                <w14:ligatures w14:val="none"/>
              </w:rPr>
              <w:t>9.67</w:t>
            </w:r>
          </w:p>
        </w:tc>
        <w:tc>
          <w:tcPr>
            <w:tcW w:w="1574" w:type="dxa"/>
            <w:tcBorders>
              <w:top w:val="nil"/>
              <w:left w:val="nil"/>
              <w:bottom w:val="single" w:sz="4" w:space="0" w:color="auto"/>
              <w:right w:val="single" w:sz="4" w:space="0" w:color="auto"/>
            </w:tcBorders>
            <w:vAlign w:val="center"/>
            <w:hideMark/>
          </w:tcPr>
          <w:p w14:paraId="1CE14512" w14:textId="77777777" w:rsidR="00122CF8" w:rsidRPr="00122CF8" w:rsidRDefault="00122CF8" w:rsidP="00122CF8">
            <w:pPr>
              <w:spacing w:after="0" w:line="240" w:lineRule="auto"/>
              <w:jc w:val="center"/>
              <w:rPr>
                <w:rFonts w:ascii="Times New Roman" w:eastAsia="Times New Roman" w:hAnsi="Times New Roman" w:cs="Times New Roman"/>
                <w:color w:val="000000"/>
                <w:kern w:val="0"/>
                <w:sz w:val="23"/>
                <w:szCs w:val="23"/>
                <w:lang w:eastAsia="en-IN"/>
                <w14:ligatures w14:val="none"/>
              </w:rPr>
            </w:pPr>
            <w:r w:rsidRPr="00122CF8">
              <w:rPr>
                <w:rFonts w:ascii="Times New Roman" w:eastAsia="Times New Roman" w:hAnsi="Times New Roman" w:cs="Times New Roman"/>
                <w:color w:val="000000"/>
                <w:kern w:val="0"/>
                <w:sz w:val="23"/>
                <w:szCs w:val="23"/>
                <w:lang w:eastAsia="en-IN"/>
                <w14:ligatures w14:val="none"/>
              </w:rPr>
              <w:t>31.9</w:t>
            </w:r>
          </w:p>
        </w:tc>
      </w:tr>
      <w:tr w:rsidR="00122CF8" w:rsidRPr="00122CF8" w14:paraId="515B6999" w14:textId="77777777" w:rsidTr="006057F1">
        <w:trPr>
          <w:trHeight w:val="227"/>
          <w:jc w:val="center"/>
        </w:trPr>
        <w:tc>
          <w:tcPr>
            <w:tcW w:w="1227" w:type="dxa"/>
            <w:tcBorders>
              <w:top w:val="nil"/>
              <w:left w:val="single" w:sz="4" w:space="0" w:color="auto"/>
              <w:bottom w:val="single" w:sz="4" w:space="0" w:color="auto"/>
              <w:right w:val="single" w:sz="4" w:space="0" w:color="auto"/>
            </w:tcBorders>
            <w:vAlign w:val="center"/>
            <w:hideMark/>
          </w:tcPr>
          <w:p w14:paraId="3584AD7B" w14:textId="77777777" w:rsidR="00122CF8" w:rsidRPr="00122CF8" w:rsidRDefault="00122CF8" w:rsidP="00122CF8">
            <w:pPr>
              <w:spacing w:after="0" w:line="240" w:lineRule="auto"/>
              <w:jc w:val="right"/>
              <w:rPr>
                <w:rFonts w:ascii="Times New Roman" w:eastAsia="Times New Roman" w:hAnsi="Times New Roman" w:cs="Times New Roman"/>
                <w:color w:val="000000"/>
                <w:kern w:val="0"/>
                <w:sz w:val="23"/>
                <w:szCs w:val="23"/>
                <w:lang w:eastAsia="en-IN"/>
                <w14:ligatures w14:val="none"/>
              </w:rPr>
            </w:pPr>
            <w:r w:rsidRPr="00122CF8">
              <w:rPr>
                <w:rFonts w:ascii="Times New Roman" w:eastAsia="Times New Roman" w:hAnsi="Times New Roman" w:cs="Times New Roman"/>
                <w:color w:val="000000"/>
                <w:kern w:val="0"/>
                <w:sz w:val="23"/>
                <w:szCs w:val="23"/>
                <w:lang w:eastAsia="en-IN"/>
                <w14:ligatures w14:val="none"/>
              </w:rPr>
              <w:t>16</w:t>
            </w:r>
          </w:p>
        </w:tc>
        <w:tc>
          <w:tcPr>
            <w:tcW w:w="2481" w:type="dxa"/>
            <w:tcBorders>
              <w:top w:val="nil"/>
              <w:left w:val="nil"/>
              <w:bottom w:val="single" w:sz="4" w:space="0" w:color="auto"/>
              <w:right w:val="single" w:sz="4" w:space="0" w:color="auto"/>
            </w:tcBorders>
            <w:vAlign w:val="center"/>
            <w:hideMark/>
          </w:tcPr>
          <w:p w14:paraId="3E001F20" w14:textId="77777777" w:rsidR="00122CF8" w:rsidRPr="00122CF8" w:rsidRDefault="00122CF8" w:rsidP="00122CF8">
            <w:pPr>
              <w:spacing w:after="0" w:line="240" w:lineRule="auto"/>
              <w:rPr>
                <w:rFonts w:ascii="Times New Roman" w:eastAsia="Times New Roman" w:hAnsi="Times New Roman" w:cs="Times New Roman"/>
                <w:color w:val="000000"/>
                <w:kern w:val="0"/>
                <w:sz w:val="23"/>
                <w:szCs w:val="23"/>
                <w:lang w:eastAsia="en-IN"/>
                <w14:ligatures w14:val="none"/>
              </w:rPr>
            </w:pPr>
            <w:r w:rsidRPr="00122CF8">
              <w:rPr>
                <w:rFonts w:ascii="Times New Roman" w:eastAsia="Times New Roman" w:hAnsi="Times New Roman" w:cs="Times New Roman"/>
                <w:color w:val="000000"/>
                <w:kern w:val="0"/>
                <w:sz w:val="23"/>
                <w:szCs w:val="23"/>
                <w:lang w:eastAsia="en-IN"/>
                <w14:ligatures w14:val="none"/>
              </w:rPr>
              <w:t>Uttar Pradesh</w:t>
            </w:r>
          </w:p>
        </w:tc>
        <w:tc>
          <w:tcPr>
            <w:tcW w:w="1663" w:type="dxa"/>
            <w:tcBorders>
              <w:top w:val="nil"/>
              <w:left w:val="nil"/>
              <w:bottom w:val="single" w:sz="4" w:space="0" w:color="auto"/>
              <w:right w:val="single" w:sz="4" w:space="0" w:color="auto"/>
            </w:tcBorders>
            <w:vAlign w:val="center"/>
            <w:hideMark/>
          </w:tcPr>
          <w:p w14:paraId="25B6E77E" w14:textId="77777777" w:rsidR="00122CF8" w:rsidRPr="00122CF8" w:rsidRDefault="00122CF8" w:rsidP="00122CF8">
            <w:pPr>
              <w:spacing w:after="0" w:line="240" w:lineRule="auto"/>
              <w:jc w:val="center"/>
              <w:rPr>
                <w:rFonts w:ascii="Times New Roman" w:eastAsia="Times New Roman" w:hAnsi="Times New Roman" w:cs="Times New Roman"/>
                <w:color w:val="000000"/>
                <w:kern w:val="0"/>
                <w:sz w:val="23"/>
                <w:szCs w:val="23"/>
                <w:lang w:eastAsia="en-IN"/>
                <w14:ligatures w14:val="none"/>
              </w:rPr>
            </w:pPr>
            <w:r w:rsidRPr="00122CF8">
              <w:rPr>
                <w:rFonts w:ascii="Times New Roman" w:eastAsia="Times New Roman" w:hAnsi="Times New Roman" w:cs="Times New Roman"/>
                <w:color w:val="000000"/>
                <w:kern w:val="0"/>
                <w:sz w:val="23"/>
                <w:szCs w:val="23"/>
                <w:lang w:eastAsia="en-IN"/>
                <w14:ligatures w14:val="none"/>
              </w:rPr>
              <w:t>65.52</w:t>
            </w:r>
          </w:p>
        </w:tc>
        <w:tc>
          <w:tcPr>
            <w:tcW w:w="1640" w:type="dxa"/>
            <w:tcBorders>
              <w:top w:val="nil"/>
              <w:left w:val="nil"/>
              <w:bottom w:val="single" w:sz="4" w:space="0" w:color="auto"/>
              <w:right w:val="single" w:sz="4" w:space="0" w:color="auto"/>
            </w:tcBorders>
            <w:vAlign w:val="center"/>
            <w:hideMark/>
          </w:tcPr>
          <w:p w14:paraId="74DB9095" w14:textId="77777777" w:rsidR="00122CF8" w:rsidRPr="00122CF8" w:rsidRDefault="00122CF8" w:rsidP="00122CF8">
            <w:pPr>
              <w:spacing w:after="0" w:line="240" w:lineRule="auto"/>
              <w:jc w:val="center"/>
              <w:rPr>
                <w:rFonts w:ascii="Times New Roman" w:eastAsia="Times New Roman" w:hAnsi="Times New Roman" w:cs="Times New Roman"/>
                <w:color w:val="000000"/>
                <w:kern w:val="0"/>
                <w:sz w:val="23"/>
                <w:szCs w:val="23"/>
                <w:lang w:eastAsia="en-IN"/>
                <w14:ligatures w14:val="none"/>
              </w:rPr>
            </w:pPr>
            <w:r w:rsidRPr="00122CF8">
              <w:rPr>
                <w:rFonts w:ascii="Times New Roman" w:eastAsia="Times New Roman" w:hAnsi="Times New Roman" w:cs="Times New Roman"/>
                <w:color w:val="000000"/>
                <w:kern w:val="0"/>
                <w:sz w:val="23"/>
                <w:szCs w:val="23"/>
                <w:lang w:eastAsia="en-IN"/>
                <w14:ligatures w14:val="none"/>
              </w:rPr>
              <w:t>9.85</w:t>
            </w:r>
          </w:p>
        </w:tc>
        <w:tc>
          <w:tcPr>
            <w:tcW w:w="1574" w:type="dxa"/>
            <w:tcBorders>
              <w:top w:val="nil"/>
              <w:left w:val="nil"/>
              <w:bottom w:val="single" w:sz="4" w:space="0" w:color="auto"/>
              <w:right w:val="single" w:sz="4" w:space="0" w:color="auto"/>
            </w:tcBorders>
            <w:vAlign w:val="center"/>
            <w:hideMark/>
          </w:tcPr>
          <w:p w14:paraId="26468CBB" w14:textId="77777777" w:rsidR="00122CF8" w:rsidRPr="00122CF8" w:rsidRDefault="00122CF8" w:rsidP="00122CF8">
            <w:pPr>
              <w:spacing w:after="0" w:line="240" w:lineRule="auto"/>
              <w:jc w:val="center"/>
              <w:rPr>
                <w:rFonts w:ascii="Times New Roman" w:eastAsia="Times New Roman" w:hAnsi="Times New Roman" w:cs="Times New Roman"/>
                <w:color w:val="000000"/>
                <w:kern w:val="0"/>
                <w:sz w:val="23"/>
                <w:szCs w:val="23"/>
                <w:lang w:eastAsia="en-IN"/>
                <w14:ligatures w14:val="none"/>
              </w:rPr>
            </w:pPr>
            <w:r w:rsidRPr="00122CF8">
              <w:rPr>
                <w:rFonts w:ascii="Times New Roman" w:eastAsia="Times New Roman" w:hAnsi="Times New Roman" w:cs="Times New Roman"/>
                <w:color w:val="000000"/>
                <w:kern w:val="0"/>
                <w:sz w:val="23"/>
                <w:szCs w:val="23"/>
                <w:lang w:eastAsia="en-IN"/>
                <w14:ligatures w14:val="none"/>
              </w:rPr>
              <w:t>75.37</w:t>
            </w:r>
          </w:p>
        </w:tc>
        <w:tc>
          <w:tcPr>
            <w:tcW w:w="1663" w:type="dxa"/>
            <w:tcBorders>
              <w:top w:val="nil"/>
              <w:left w:val="nil"/>
              <w:bottom w:val="single" w:sz="4" w:space="0" w:color="auto"/>
              <w:right w:val="single" w:sz="4" w:space="0" w:color="auto"/>
            </w:tcBorders>
            <w:vAlign w:val="center"/>
            <w:hideMark/>
          </w:tcPr>
          <w:p w14:paraId="7B91AB49" w14:textId="77777777" w:rsidR="00122CF8" w:rsidRPr="00122CF8" w:rsidRDefault="00122CF8" w:rsidP="00122CF8">
            <w:pPr>
              <w:spacing w:after="0" w:line="240" w:lineRule="auto"/>
              <w:jc w:val="center"/>
              <w:rPr>
                <w:rFonts w:ascii="Times New Roman" w:eastAsia="Times New Roman" w:hAnsi="Times New Roman" w:cs="Times New Roman"/>
                <w:color w:val="000000"/>
                <w:kern w:val="0"/>
                <w:sz w:val="23"/>
                <w:szCs w:val="23"/>
                <w:lang w:eastAsia="en-IN"/>
                <w14:ligatures w14:val="none"/>
              </w:rPr>
            </w:pPr>
            <w:r w:rsidRPr="00122CF8">
              <w:rPr>
                <w:rFonts w:ascii="Times New Roman" w:eastAsia="Times New Roman" w:hAnsi="Times New Roman" w:cs="Times New Roman"/>
                <w:color w:val="000000"/>
                <w:kern w:val="0"/>
                <w:sz w:val="23"/>
                <w:szCs w:val="23"/>
                <w:lang w:eastAsia="en-IN"/>
                <w14:ligatures w14:val="none"/>
              </w:rPr>
              <w:t>73.74</w:t>
            </w:r>
          </w:p>
        </w:tc>
        <w:tc>
          <w:tcPr>
            <w:tcW w:w="1640" w:type="dxa"/>
            <w:tcBorders>
              <w:top w:val="nil"/>
              <w:left w:val="nil"/>
              <w:bottom w:val="single" w:sz="4" w:space="0" w:color="auto"/>
              <w:right w:val="single" w:sz="4" w:space="0" w:color="auto"/>
            </w:tcBorders>
            <w:vAlign w:val="center"/>
            <w:hideMark/>
          </w:tcPr>
          <w:p w14:paraId="1E65090E" w14:textId="77777777" w:rsidR="00122CF8" w:rsidRPr="00122CF8" w:rsidRDefault="00122CF8" w:rsidP="00122CF8">
            <w:pPr>
              <w:spacing w:after="0" w:line="240" w:lineRule="auto"/>
              <w:jc w:val="center"/>
              <w:rPr>
                <w:rFonts w:ascii="Times New Roman" w:eastAsia="Times New Roman" w:hAnsi="Times New Roman" w:cs="Times New Roman"/>
                <w:color w:val="000000"/>
                <w:kern w:val="0"/>
                <w:sz w:val="23"/>
                <w:szCs w:val="23"/>
                <w:lang w:eastAsia="en-IN"/>
                <w14:ligatures w14:val="none"/>
              </w:rPr>
            </w:pPr>
            <w:r w:rsidRPr="00122CF8">
              <w:rPr>
                <w:rFonts w:ascii="Times New Roman" w:eastAsia="Times New Roman" w:hAnsi="Times New Roman" w:cs="Times New Roman"/>
                <w:color w:val="000000"/>
                <w:kern w:val="0"/>
                <w:sz w:val="23"/>
                <w:szCs w:val="23"/>
                <w:lang w:eastAsia="en-IN"/>
                <w14:ligatures w14:val="none"/>
              </w:rPr>
              <w:t>9.85</w:t>
            </w:r>
          </w:p>
        </w:tc>
        <w:tc>
          <w:tcPr>
            <w:tcW w:w="1574" w:type="dxa"/>
            <w:tcBorders>
              <w:top w:val="nil"/>
              <w:left w:val="nil"/>
              <w:bottom w:val="single" w:sz="4" w:space="0" w:color="auto"/>
              <w:right w:val="single" w:sz="4" w:space="0" w:color="auto"/>
            </w:tcBorders>
            <w:vAlign w:val="center"/>
            <w:hideMark/>
          </w:tcPr>
          <w:p w14:paraId="2519298A" w14:textId="77777777" w:rsidR="00122CF8" w:rsidRPr="00122CF8" w:rsidRDefault="00122CF8" w:rsidP="00122CF8">
            <w:pPr>
              <w:spacing w:after="0" w:line="240" w:lineRule="auto"/>
              <w:jc w:val="center"/>
              <w:rPr>
                <w:rFonts w:ascii="Times New Roman" w:eastAsia="Times New Roman" w:hAnsi="Times New Roman" w:cs="Times New Roman"/>
                <w:color w:val="000000"/>
                <w:kern w:val="0"/>
                <w:sz w:val="23"/>
                <w:szCs w:val="23"/>
                <w:lang w:eastAsia="en-IN"/>
                <w14:ligatures w14:val="none"/>
              </w:rPr>
            </w:pPr>
            <w:r w:rsidRPr="00122CF8">
              <w:rPr>
                <w:rFonts w:ascii="Times New Roman" w:eastAsia="Times New Roman" w:hAnsi="Times New Roman" w:cs="Times New Roman"/>
                <w:color w:val="000000"/>
                <w:kern w:val="0"/>
                <w:sz w:val="23"/>
                <w:szCs w:val="23"/>
                <w:lang w:eastAsia="en-IN"/>
                <w14:ligatures w14:val="none"/>
              </w:rPr>
              <w:t>83.59</w:t>
            </w:r>
          </w:p>
        </w:tc>
      </w:tr>
      <w:tr w:rsidR="00122CF8" w:rsidRPr="00122CF8" w14:paraId="05ACB3DA" w14:textId="77777777" w:rsidTr="006057F1">
        <w:trPr>
          <w:trHeight w:val="227"/>
          <w:jc w:val="center"/>
        </w:trPr>
        <w:tc>
          <w:tcPr>
            <w:tcW w:w="1227" w:type="dxa"/>
            <w:tcBorders>
              <w:top w:val="nil"/>
              <w:left w:val="single" w:sz="4" w:space="0" w:color="auto"/>
              <w:bottom w:val="single" w:sz="4" w:space="0" w:color="auto"/>
              <w:right w:val="single" w:sz="4" w:space="0" w:color="auto"/>
            </w:tcBorders>
            <w:vAlign w:val="center"/>
            <w:hideMark/>
          </w:tcPr>
          <w:p w14:paraId="3AEF03F3" w14:textId="77777777" w:rsidR="00122CF8" w:rsidRPr="00122CF8" w:rsidRDefault="00122CF8" w:rsidP="00122CF8">
            <w:pPr>
              <w:spacing w:after="0" w:line="240" w:lineRule="auto"/>
              <w:jc w:val="right"/>
              <w:rPr>
                <w:rFonts w:ascii="Times New Roman" w:eastAsia="Times New Roman" w:hAnsi="Times New Roman" w:cs="Times New Roman"/>
                <w:color w:val="000000"/>
                <w:kern w:val="0"/>
                <w:sz w:val="23"/>
                <w:szCs w:val="23"/>
                <w:lang w:eastAsia="en-IN"/>
                <w14:ligatures w14:val="none"/>
              </w:rPr>
            </w:pPr>
            <w:r w:rsidRPr="00122CF8">
              <w:rPr>
                <w:rFonts w:ascii="Times New Roman" w:eastAsia="Times New Roman" w:hAnsi="Times New Roman" w:cs="Times New Roman"/>
                <w:color w:val="000000"/>
                <w:kern w:val="0"/>
                <w:sz w:val="23"/>
                <w:szCs w:val="23"/>
                <w:lang w:eastAsia="en-IN"/>
                <w14:ligatures w14:val="none"/>
              </w:rPr>
              <w:t>17</w:t>
            </w:r>
          </w:p>
        </w:tc>
        <w:tc>
          <w:tcPr>
            <w:tcW w:w="2481" w:type="dxa"/>
            <w:tcBorders>
              <w:top w:val="nil"/>
              <w:left w:val="nil"/>
              <w:bottom w:val="single" w:sz="4" w:space="0" w:color="auto"/>
              <w:right w:val="single" w:sz="4" w:space="0" w:color="auto"/>
            </w:tcBorders>
            <w:vAlign w:val="center"/>
            <w:hideMark/>
          </w:tcPr>
          <w:p w14:paraId="7E77544B" w14:textId="77777777" w:rsidR="00122CF8" w:rsidRPr="00122CF8" w:rsidRDefault="00122CF8" w:rsidP="00122CF8">
            <w:pPr>
              <w:spacing w:after="0" w:line="240" w:lineRule="auto"/>
              <w:rPr>
                <w:rFonts w:ascii="Times New Roman" w:eastAsia="Times New Roman" w:hAnsi="Times New Roman" w:cs="Times New Roman"/>
                <w:color w:val="000000"/>
                <w:kern w:val="0"/>
                <w:sz w:val="23"/>
                <w:szCs w:val="23"/>
                <w:lang w:eastAsia="en-IN"/>
                <w14:ligatures w14:val="none"/>
              </w:rPr>
            </w:pPr>
            <w:r w:rsidRPr="00122CF8">
              <w:rPr>
                <w:rFonts w:ascii="Times New Roman" w:eastAsia="Times New Roman" w:hAnsi="Times New Roman" w:cs="Times New Roman"/>
                <w:color w:val="000000"/>
                <w:kern w:val="0"/>
                <w:sz w:val="23"/>
                <w:szCs w:val="23"/>
                <w:lang w:eastAsia="en-IN"/>
                <w14:ligatures w14:val="none"/>
              </w:rPr>
              <w:t>West Bengal</w:t>
            </w:r>
          </w:p>
        </w:tc>
        <w:tc>
          <w:tcPr>
            <w:tcW w:w="1663" w:type="dxa"/>
            <w:tcBorders>
              <w:top w:val="nil"/>
              <w:left w:val="nil"/>
              <w:bottom w:val="single" w:sz="4" w:space="0" w:color="auto"/>
              <w:right w:val="single" w:sz="4" w:space="0" w:color="auto"/>
            </w:tcBorders>
            <w:vAlign w:val="center"/>
            <w:hideMark/>
          </w:tcPr>
          <w:p w14:paraId="42E9CB57" w14:textId="77777777" w:rsidR="00122CF8" w:rsidRPr="00122CF8" w:rsidRDefault="00122CF8" w:rsidP="00122CF8">
            <w:pPr>
              <w:spacing w:after="0" w:line="240" w:lineRule="auto"/>
              <w:jc w:val="center"/>
              <w:rPr>
                <w:rFonts w:ascii="Times New Roman" w:eastAsia="Times New Roman" w:hAnsi="Times New Roman" w:cs="Times New Roman"/>
                <w:color w:val="000000"/>
                <w:kern w:val="0"/>
                <w:sz w:val="23"/>
                <w:szCs w:val="23"/>
                <w:lang w:eastAsia="en-IN"/>
                <w14:ligatures w14:val="none"/>
              </w:rPr>
            </w:pPr>
            <w:r w:rsidRPr="00122CF8">
              <w:rPr>
                <w:rFonts w:ascii="Times New Roman" w:eastAsia="Times New Roman" w:hAnsi="Times New Roman" w:cs="Times New Roman"/>
                <w:color w:val="000000"/>
                <w:kern w:val="0"/>
                <w:sz w:val="23"/>
                <w:szCs w:val="23"/>
                <w:lang w:eastAsia="en-IN"/>
                <w14:ligatures w14:val="none"/>
              </w:rPr>
              <w:t>39.14</w:t>
            </w:r>
          </w:p>
        </w:tc>
        <w:tc>
          <w:tcPr>
            <w:tcW w:w="1640" w:type="dxa"/>
            <w:tcBorders>
              <w:top w:val="nil"/>
              <w:left w:val="nil"/>
              <w:bottom w:val="single" w:sz="4" w:space="0" w:color="auto"/>
              <w:right w:val="single" w:sz="4" w:space="0" w:color="auto"/>
            </w:tcBorders>
            <w:vAlign w:val="center"/>
            <w:hideMark/>
          </w:tcPr>
          <w:p w14:paraId="1E2A9975" w14:textId="77777777" w:rsidR="00122CF8" w:rsidRPr="00122CF8" w:rsidRDefault="00122CF8" w:rsidP="00122CF8">
            <w:pPr>
              <w:spacing w:after="0" w:line="240" w:lineRule="auto"/>
              <w:jc w:val="center"/>
              <w:rPr>
                <w:rFonts w:ascii="Times New Roman" w:eastAsia="Times New Roman" w:hAnsi="Times New Roman" w:cs="Times New Roman"/>
                <w:color w:val="000000"/>
                <w:kern w:val="0"/>
                <w:sz w:val="23"/>
                <w:szCs w:val="23"/>
                <w:lang w:eastAsia="en-IN"/>
                <w14:ligatures w14:val="none"/>
              </w:rPr>
            </w:pPr>
            <w:r w:rsidRPr="00122CF8">
              <w:rPr>
                <w:rFonts w:ascii="Times New Roman" w:eastAsia="Times New Roman" w:hAnsi="Times New Roman" w:cs="Times New Roman"/>
                <w:color w:val="000000"/>
                <w:kern w:val="0"/>
                <w:sz w:val="23"/>
                <w:szCs w:val="23"/>
                <w:lang w:eastAsia="en-IN"/>
                <w14:ligatures w14:val="none"/>
              </w:rPr>
              <w:t>..</w:t>
            </w:r>
          </w:p>
        </w:tc>
        <w:tc>
          <w:tcPr>
            <w:tcW w:w="1574" w:type="dxa"/>
            <w:tcBorders>
              <w:top w:val="nil"/>
              <w:left w:val="nil"/>
              <w:bottom w:val="single" w:sz="4" w:space="0" w:color="auto"/>
              <w:right w:val="single" w:sz="4" w:space="0" w:color="auto"/>
            </w:tcBorders>
            <w:vAlign w:val="center"/>
            <w:hideMark/>
          </w:tcPr>
          <w:p w14:paraId="634DD09A" w14:textId="77777777" w:rsidR="00122CF8" w:rsidRPr="00122CF8" w:rsidRDefault="00122CF8" w:rsidP="00122CF8">
            <w:pPr>
              <w:spacing w:after="0" w:line="240" w:lineRule="auto"/>
              <w:jc w:val="center"/>
              <w:rPr>
                <w:rFonts w:ascii="Times New Roman" w:eastAsia="Times New Roman" w:hAnsi="Times New Roman" w:cs="Times New Roman"/>
                <w:color w:val="000000"/>
                <w:kern w:val="0"/>
                <w:sz w:val="23"/>
                <w:szCs w:val="23"/>
                <w:lang w:eastAsia="en-IN"/>
                <w14:ligatures w14:val="none"/>
              </w:rPr>
            </w:pPr>
            <w:r w:rsidRPr="00122CF8">
              <w:rPr>
                <w:rFonts w:ascii="Times New Roman" w:eastAsia="Times New Roman" w:hAnsi="Times New Roman" w:cs="Times New Roman"/>
                <w:color w:val="000000"/>
                <w:kern w:val="0"/>
                <w:sz w:val="23"/>
                <w:szCs w:val="23"/>
                <w:lang w:eastAsia="en-IN"/>
                <w14:ligatures w14:val="none"/>
              </w:rPr>
              <w:t>39.14</w:t>
            </w:r>
          </w:p>
        </w:tc>
        <w:tc>
          <w:tcPr>
            <w:tcW w:w="1663" w:type="dxa"/>
            <w:tcBorders>
              <w:top w:val="nil"/>
              <w:left w:val="nil"/>
              <w:bottom w:val="single" w:sz="4" w:space="0" w:color="auto"/>
              <w:right w:val="single" w:sz="4" w:space="0" w:color="auto"/>
            </w:tcBorders>
            <w:vAlign w:val="center"/>
            <w:hideMark/>
          </w:tcPr>
          <w:p w14:paraId="3B489F81" w14:textId="77777777" w:rsidR="00122CF8" w:rsidRPr="00122CF8" w:rsidRDefault="00122CF8" w:rsidP="00122CF8">
            <w:pPr>
              <w:spacing w:after="0" w:line="240" w:lineRule="auto"/>
              <w:jc w:val="center"/>
              <w:rPr>
                <w:rFonts w:ascii="Times New Roman" w:eastAsia="Times New Roman" w:hAnsi="Times New Roman" w:cs="Times New Roman"/>
                <w:color w:val="000000"/>
                <w:kern w:val="0"/>
                <w:sz w:val="23"/>
                <w:szCs w:val="23"/>
                <w:lang w:eastAsia="en-IN"/>
                <w14:ligatures w14:val="none"/>
              </w:rPr>
            </w:pPr>
            <w:r w:rsidRPr="00122CF8">
              <w:rPr>
                <w:rFonts w:ascii="Times New Roman" w:eastAsia="Times New Roman" w:hAnsi="Times New Roman" w:cs="Times New Roman"/>
                <w:color w:val="000000"/>
                <w:kern w:val="0"/>
                <w:sz w:val="23"/>
                <w:szCs w:val="23"/>
                <w:lang w:eastAsia="en-IN"/>
                <w14:ligatures w14:val="none"/>
              </w:rPr>
              <w:t>44.41</w:t>
            </w:r>
          </w:p>
        </w:tc>
        <w:tc>
          <w:tcPr>
            <w:tcW w:w="1640" w:type="dxa"/>
            <w:tcBorders>
              <w:top w:val="nil"/>
              <w:left w:val="nil"/>
              <w:bottom w:val="single" w:sz="4" w:space="0" w:color="auto"/>
              <w:right w:val="single" w:sz="4" w:space="0" w:color="auto"/>
            </w:tcBorders>
            <w:vAlign w:val="center"/>
            <w:hideMark/>
          </w:tcPr>
          <w:p w14:paraId="6C1BDF7E" w14:textId="77777777" w:rsidR="00122CF8" w:rsidRPr="00122CF8" w:rsidRDefault="00122CF8" w:rsidP="00122CF8">
            <w:pPr>
              <w:spacing w:after="0" w:line="240" w:lineRule="auto"/>
              <w:jc w:val="center"/>
              <w:rPr>
                <w:rFonts w:ascii="Times New Roman" w:eastAsia="Times New Roman" w:hAnsi="Times New Roman" w:cs="Times New Roman"/>
                <w:color w:val="000000"/>
                <w:kern w:val="0"/>
                <w:sz w:val="23"/>
                <w:szCs w:val="23"/>
                <w:lang w:eastAsia="en-IN"/>
                <w14:ligatures w14:val="none"/>
              </w:rPr>
            </w:pPr>
            <w:r w:rsidRPr="00122CF8">
              <w:rPr>
                <w:rFonts w:ascii="Times New Roman" w:eastAsia="Times New Roman" w:hAnsi="Times New Roman" w:cs="Times New Roman"/>
                <w:color w:val="000000"/>
                <w:kern w:val="0"/>
                <w:sz w:val="23"/>
                <w:szCs w:val="23"/>
                <w:lang w:eastAsia="en-IN"/>
                <w14:ligatures w14:val="none"/>
              </w:rPr>
              <w:t>7.24</w:t>
            </w:r>
          </w:p>
        </w:tc>
        <w:tc>
          <w:tcPr>
            <w:tcW w:w="1574" w:type="dxa"/>
            <w:tcBorders>
              <w:top w:val="nil"/>
              <w:left w:val="nil"/>
              <w:bottom w:val="single" w:sz="4" w:space="0" w:color="auto"/>
              <w:right w:val="single" w:sz="4" w:space="0" w:color="auto"/>
            </w:tcBorders>
            <w:vAlign w:val="center"/>
            <w:hideMark/>
          </w:tcPr>
          <w:p w14:paraId="0459D77E" w14:textId="77777777" w:rsidR="00122CF8" w:rsidRPr="00122CF8" w:rsidRDefault="00122CF8" w:rsidP="00122CF8">
            <w:pPr>
              <w:spacing w:after="0" w:line="240" w:lineRule="auto"/>
              <w:jc w:val="center"/>
              <w:rPr>
                <w:rFonts w:ascii="Times New Roman" w:eastAsia="Times New Roman" w:hAnsi="Times New Roman" w:cs="Times New Roman"/>
                <w:color w:val="000000"/>
                <w:kern w:val="0"/>
                <w:sz w:val="23"/>
                <w:szCs w:val="23"/>
                <w:lang w:eastAsia="en-IN"/>
                <w14:ligatures w14:val="none"/>
              </w:rPr>
            </w:pPr>
            <w:r w:rsidRPr="00122CF8">
              <w:rPr>
                <w:rFonts w:ascii="Times New Roman" w:eastAsia="Times New Roman" w:hAnsi="Times New Roman" w:cs="Times New Roman"/>
                <w:color w:val="000000"/>
                <w:kern w:val="0"/>
                <w:sz w:val="23"/>
                <w:szCs w:val="23"/>
                <w:lang w:eastAsia="en-IN"/>
                <w14:ligatures w14:val="none"/>
              </w:rPr>
              <w:t>51.65</w:t>
            </w:r>
          </w:p>
        </w:tc>
      </w:tr>
      <w:tr w:rsidR="00122CF8" w:rsidRPr="00122CF8" w14:paraId="380CBABF" w14:textId="77777777" w:rsidTr="006057F1">
        <w:trPr>
          <w:trHeight w:val="227"/>
          <w:jc w:val="center"/>
        </w:trPr>
        <w:tc>
          <w:tcPr>
            <w:tcW w:w="1227" w:type="dxa"/>
            <w:tcBorders>
              <w:top w:val="nil"/>
              <w:left w:val="single" w:sz="4" w:space="0" w:color="auto"/>
              <w:bottom w:val="single" w:sz="4" w:space="0" w:color="auto"/>
              <w:right w:val="single" w:sz="4" w:space="0" w:color="auto"/>
            </w:tcBorders>
            <w:hideMark/>
          </w:tcPr>
          <w:p w14:paraId="4D7C52B7" w14:textId="77777777" w:rsidR="00122CF8" w:rsidRPr="00122CF8" w:rsidRDefault="00122CF8" w:rsidP="00122CF8">
            <w:pPr>
              <w:spacing w:after="0" w:line="240" w:lineRule="auto"/>
              <w:rPr>
                <w:rFonts w:ascii="Aptos" w:eastAsia="Times New Roman" w:hAnsi="Aptos" w:cs="Times New Roman"/>
                <w:color w:val="000000"/>
                <w:kern w:val="0"/>
                <w:sz w:val="23"/>
                <w:szCs w:val="23"/>
                <w:lang w:eastAsia="en-IN"/>
                <w14:ligatures w14:val="none"/>
              </w:rPr>
            </w:pPr>
            <w:r w:rsidRPr="00122CF8">
              <w:rPr>
                <w:rFonts w:ascii="Aptos" w:eastAsia="Times New Roman" w:hAnsi="Aptos" w:cs="Times New Roman"/>
                <w:color w:val="000000"/>
                <w:kern w:val="0"/>
                <w:sz w:val="23"/>
                <w:szCs w:val="23"/>
                <w:lang w:eastAsia="en-IN"/>
                <w14:ligatures w14:val="none"/>
              </w:rPr>
              <w:t> </w:t>
            </w:r>
          </w:p>
        </w:tc>
        <w:tc>
          <w:tcPr>
            <w:tcW w:w="2481" w:type="dxa"/>
            <w:tcBorders>
              <w:top w:val="nil"/>
              <w:left w:val="nil"/>
              <w:bottom w:val="single" w:sz="4" w:space="0" w:color="auto"/>
              <w:right w:val="single" w:sz="4" w:space="0" w:color="auto"/>
            </w:tcBorders>
            <w:vAlign w:val="center"/>
            <w:hideMark/>
          </w:tcPr>
          <w:p w14:paraId="357E09E0" w14:textId="77777777" w:rsidR="00122CF8" w:rsidRPr="00122CF8" w:rsidRDefault="00122CF8" w:rsidP="00122CF8">
            <w:pPr>
              <w:spacing w:after="0" w:line="240" w:lineRule="auto"/>
              <w:rPr>
                <w:rFonts w:ascii="Times New Roman" w:eastAsia="Times New Roman" w:hAnsi="Times New Roman" w:cs="Times New Roman"/>
                <w:b/>
                <w:bCs/>
                <w:color w:val="000000"/>
                <w:kern w:val="0"/>
                <w:sz w:val="23"/>
                <w:szCs w:val="23"/>
                <w:lang w:eastAsia="en-IN"/>
                <w14:ligatures w14:val="none"/>
              </w:rPr>
            </w:pPr>
            <w:r w:rsidRPr="00122CF8">
              <w:rPr>
                <w:rFonts w:ascii="Times New Roman" w:eastAsia="Times New Roman" w:hAnsi="Times New Roman" w:cs="Times New Roman"/>
                <w:b/>
                <w:bCs/>
                <w:color w:val="000000"/>
                <w:kern w:val="0"/>
                <w:sz w:val="23"/>
                <w:szCs w:val="23"/>
                <w:lang w:eastAsia="en-IN"/>
                <w14:ligatures w14:val="none"/>
              </w:rPr>
              <w:t>TOTAL</w:t>
            </w:r>
          </w:p>
        </w:tc>
        <w:tc>
          <w:tcPr>
            <w:tcW w:w="1663" w:type="dxa"/>
            <w:tcBorders>
              <w:top w:val="nil"/>
              <w:left w:val="nil"/>
              <w:bottom w:val="single" w:sz="4" w:space="0" w:color="auto"/>
              <w:right w:val="single" w:sz="4" w:space="0" w:color="auto"/>
            </w:tcBorders>
            <w:vAlign w:val="center"/>
            <w:hideMark/>
          </w:tcPr>
          <w:p w14:paraId="3F4DB695" w14:textId="77777777" w:rsidR="00122CF8" w:rsidRPr="00122CF8" w:rsidRDefault="00122CF8" w:rsidP="00122CF8">
            <w:pPr>
              <w:spacing w:after="0" w:line="240" w:lineRule="auto"/>
              <w:jc w:val="center"/>
              <w:rPr>
                <w:rFonts w:ascii="Times New Roman" w:eastAsia="Times New Roman" w:hAnsi="Times New Roman" w:cs="Times New Roman"/>
                <w:b/>
                <w:bCs/>
                <w:color w:val="000000"/>
                <w:kern w:val="0"/>
                <w:sz w:val="23"/>
                <w:szCs w:val="23"/>
                <w:lang w:eastAsia="en-IN"/>
                <w14:ligatures w14:val="none"/>
              </w:rPr>
            </w:pPr>
            <w:r w:rsidRPr="00122CF8">
              <w:rPr>
                <w:rFonts w:ascii="Times New Roman" w:eastAsia="Times New Roman" w:hAnsi="Times New Roman" w:cs="Times New Roman"/>
                <w:b/>
                <w:bCs/>
                <w:color w:val="000000"/>
                <w:kern w:val="0"/>
                <w:sz w:val="23"/>
                <w:szCs w:val="23"/>
                <w:lang w:eastAsia="en-IN"/>
                <w14:ligatures w14:val="none"/>
              </w:rPr>
              <w:t>440.74</w:t>
            </w:r>
          </w:p>
        </w:tc>
        <w:tc>
          <w:tcPr>
            <w:tcW w:w="1640" w:type="dxa"/>
            <w:tcBorders>
              <w:top w:val="nil"/>
              <w:left w:val="nil"/>
              <w:bottom w:val="single" w:sz="4" w:space="0" w:color="auto"/>
              <w:right w:val="single" w:sz="4" w:space="0" w:color="auto"/>
            </w:tcBorders>
            <w:vAlign w:val="center"/>
            <w:hideMark/>
          </w:tcPr>
          <w:p w14:paraId="236254A9" w14:textId="77777777" w:rsidR="00122CF8" w:rsidRPr="00122CF8" w:rsidRDefault="00122CF8" w:rsidP="00122CF8">
            <w:pPr>
              <w:spacing w:after="0" w:line="240" w:lineRule="auto"/>
              <w:jc w:val="center"/>
              <w:rPr>
                <w:rFonts w:ascii="Times New Roman" w:eastAsia="Times New Roman" w:hAnsi="Times New Roman" w:cs="Times New Roman"/>
                <w:b/>
                <w:bCs/>
                <w:color w:val="000000"/>
                <w:kern w:val="0"/>
                <w:sz w:val="23"/>
                <w:szCs w:val="23"/>
                <w:lang w:eastAsia="en-IN"/>
                <w14:ligatures w14:val="none"/>
              </w:rPr>
            </w:pPr>
            <w:r w:rsidRPr="00122CF8">
              <w:rPr>
                <w:rFonts w:ascii="Times New Roman" w:eastAsia="Times New Roman" w:hAnsi="Times New Roman" w:cs="Times New Roman"/>
                <w:b/>
                <w:bCs/>
                <w:color w:val="000000"/>
                <w:kern w:val="0"/>
                <w:sz w:val="23"/>
                <w:szCs w:val="23"/>
                <w:lang w:eastAsia="en-IN"/>
                <w14:ligatures w14:val="none"/>
              </w:rPr>
              <w:t>140.61</w:t>
            </w:r>
          </w:p>
        </w:tc>
        <w:tc>
          <w:tcPr>
            <w:tcW w:w="1574" w:type="dxa"/>
            <w:tcBorders>
              <w:top w:val="nil"/>
              <w:left w:val="nil"/>
              <w:bottom w:val="single" w:sz="4" w:space="0" w:color="auto"/>
              <w:right w:val="single" w:sz="4" w:space="0" w:color="auto"/>
            </w:tcBorders>
            <w:vAlign w:val="center"/>
            <w:hideMark/>
          </w:tcPr>
          <w:p w14:paraId="0E56ABC4" w14:textId="77777777" w:rsidR="00122CF8" w:rsidRPr="00122CF8" w:rsidRDefault="00122CF8" w:rsidP="00122CF8">
            <w:pPr>
              <w:spacing w:after="0" w:line="240" w:lineRule="auto"/>
              <w:jc w:val="center"/>
              <w:rPr>
                <w:rFonts w:ascii="Times New Roman" w:eastAsia="Times New Roman" w:hAnsi="Times New Roman" w:cs="Times New Roman"/>
                <w:b/>
                <w:bCs/>
                <w:color w:val="000000"/>
                <w:kern w:val="0"/>
                <w:sz w:val="23"/>
                <w:szCs w:val="23"/>
                <w:lang w:eastAsia="en-IN"/>
                <w14:ligatures w14:val="none"/>
              </w:rPr>
            </w:pPr>
            <w:r w:rsidRPr="00122CF8">
              <w:rPr>
                <w:rFonts w:ascii="Times New Roman" w:eastAsia="Times New Roman" w:hAnsi="Times New Roman" w:cs="Times New Roman"/>
                <w:b/>
                <w:bCs/>
                <w:color w:val="000000"/>
                <w:kern w:val="0"/>
                <w:sz w:val="23"/>
                <w:szCs w:val="23"/>
                <w:lang w:eastAsia="en-IN"/>
                <w14:ligatures w14:val="none"/>
              </w:rPr>
              <w:t>581.35</w:t>
            </w:r>
          </w:p>
        </w:tc>
        <w:tc>
          <w:tcPr>
            <w:tcW w:w="1663" w:type="dxa"/>
            <w:tcBorders>
              <w:top w:val="nil"/>
              <w:left w:val="nil"/>
              <w:bottom w:val="single" w:sz="4" w:space="0" w:color="auto"/>
              <w:right w:val="single" w:sz="4" w:space="0" w:color="auto"/>
            </w:tcBorders>
            <w:vAlign w:val="center"/>
            <w:hideMark/>
          </w:tcPr>
          <w:p w14:paraId="2E0845E9" w14:textId="77777777" w:rsidR="00122CF8" w:rsidRPr="00122CF8" w:rsidRDefault="00122CF8" w:rsidP="00122CF8">
            <w:pPr>
              <w:spacing w:after="0" w:line="240" w:lineRule="auto"/>
              <w:jc w:val="center"/>
              <w:rPr>
                <w:rFonts w:ascii="Times New Roman" w:eastAsia="Times New Roman" w:hAnsi="Times New Roman" w:cs="Times New Roman"/>
                <w:b/>
                <w:bCs/>
                <w:color w:val="000000"/>
                <w:kern w:val="0"/>
                <w:sz w:val="23"/>
                <w:szCs w:val="23"/>
                <w:lang w:eastAsia="en-IN"/>
                <w14:ligatures w14:val="none"/>
              </w:rPr>
            </w:pPr>
            <w:r w:rsidRPr="00122CF8">
              <w:rPr>
                <w:rFonts w:ascii="Times New Roman" w:eastAsia="Times New Roman" w:hAnsi="Times New Roman" w:cs="Times New Roman"/>
                <w:b/>
                <w:bCs/>
                <w:color w:val="000000"/>
                <w:kern w:val="0"/>
                <w:sz w:val="23"/>
                <w:szCs w:val="23"/>
                <w:lang w:eastAsia="en-IN"/>
                <w14:ligatures w14:val="none"/>
              </w:rPr>
              <w:t>495.47</w:t>
            </w:r>
          </w:p>
        </w:tc>
        <w:tc>
          <w:tcPr>
            <w:tcW w:w="1640" w:type="dxa"/>
            <w:tcBorders>
              <w:top w:val="nil"/>
              <w:left w:val="nil"/>
              <w:bottom w:val="single" w:sz="4" w:space="0" w:color="auto"/>
              <w:right w:val="single" w:sz="4" w:space="0" w:color="auto"/>
            </w:tcBorders>
            <w:vAlign w:val="center"/>
            <w:hideMark/>
          </w:tcPr>
          <w:p w14:paraId="0E6ECEF8" w14:textId="77777777" w:rsidR="00122CF8" w:rsidRPr="00122CF8" w:rsidRDefault="00122CF8" w:rsidP="00122CF8">
            <w:pPr>
              <w:spacing w:after="0" w:line="240" w:lineRule="auto"/>
              <w:jc w:val="center"/>
              <w:rPr>
                <w:rFonts w:ascii="Times New Roman" w:eastAsia="Times New Roman" w:hAnsi="Times New Roman" w:cs="Times New Roman"/>
                <w:b/>
                <w:bCs/>
                <w:color w:val="000000"/>
                <w:kern w:val="0"/>
                <w:sz w:val="23"/>
                <w:szCs w:val="23"/>
                <w:lang w:eastAsia="en-IN"/>
                <w14:ligatures w14:val="none"/>
              </w:rPr>
            </w:pPr>
            <w:r w:rsidRPr="00122CF8">
              <w:rPr>
                <w:rFonts w:ascii="Times New Roman" w:eastAsia="Times New Roman" w:hAnsi="Times New Roman" w:cs="Times New Roman"/>
                <w:b/>
                <w:bCs/>
                <w:color w:val="000000"/>
                <w:kern w:val="0"/>
                <w:sz w:val="23"/>
                <w:szCs w:val="23"/>
                <w:lang w:eastAsia="en-IN"/>
                <w14:ligatures w14:val="none"/>
              </w:rPr>
              <w:t>176.81</w:t>
            </w:r>
          </w:p>
        </w:tc>
        <w:tc>
          <w:tcPr>
            <w:tcW w:w="1574" w:type="dxa"/>
            <w:tcBorders>
              <w:top w:val="nil"/>
              <w:left w:val="nil"/>
              <w:bottom w:val="single" w:sz="4" w:space="0" w:color="auto"/>
              <w:right w:val="single" w:sz="4" w:space="0" w:color="auto"/>
            </w:tcBorders>
            <w:vAlign w:val="center"/>
            <w:hideMark/>
          </w:tcPr>
          <w:p w14:paraId="4C06B2F8" w14:textId="77777777" w:rsidR="00122CF8" w:rsidRPr="00122CF8" w:rsidRDefault="00122CF8" w:rsidP="00122CF8">
            <w:pPr>
              <w:spacing w:after="0" w:line="240" w:lineRule="auto"/>
              <w:jc w:val="center"/>
              <w:rPr>
                <w:rFonts w:ascii="Times New Roman" w:eastAsia="Times New Roman" w:hAnsi="Times New Roman" w:cs="Times New Roman"/>
                <w:b/>
                <w:bCs/>
                <w:color w:val="000000"/>
                <w:kern w:val="0"/>
                <w:sz w:val="23"/>
                <w:szCs w:val="23"/>
                <w:lang w:eastAsia="en-IN"/>
                <w14:ligatures w14:val="none"/>
              </w:rPr>
            </w:pPr>
            <w:r w:rsidRPr="00122CF8">
              <w:rPr>
                <w:rFonts w:ascii="Times New Roman" w:eastAsia="Times New Roman" w:hAnsi="Times New Roman" w:cs="Times New Roman"/>
                <w:b/>
                <w:bCs/>
                <w:color w:val="000000"/>
                <w:kern w:val="0"/>
                <w:sz w:val="23"/>
                <w:szCs w:val="23"/>
                <w:lang w:eastAsia="en-IN"/>
                <w14:ligatures w14:val="none"/>
              </w:rPr>
              <w:t>672.28</w:t>
            </w:r>
          </w:p>
        </w:tc>
      </w:tr>
    </w:tbl>
    <w:p w14:paraId="553F9916" w14:textId="77777777" w:rsidR="00F83D16" w:rsidRPr="00626B91" w:rsidRDefault="00F83D16" w:rsidP="00626B91">
      <w:pPr>
        <w:tabs>
          <w:tab w:val="left" w:pos="4875"/>
        </w:tabs>
        <w:rPr>
          <w:rFonts w:ascii="Times New Roman" w:hAnsi="Times New Roman" w:cs="Times New Roman"/>
          <w:sz w:val="20"/>
          <w:szCs w:val="20"/>
        </w:rPr>
      </w:pPr>
      <w:r w:rsidRPr="00626B91">
        <w:rPr>
          <w:rFonts w:ascii="Times New Roman" w:hAnsi="Times New Roman" w:cs="Times New Roman"/>
          <w:sz w:val="20"/>
          <w:szCs w:val="20"/>
        </w:rPr>
        <w:t>* Includes share of grant in lieu of tax on railway passenger fares.</w:t>
      </w:r>
    </w:p>
    <w:p w14:paraId="4A23EB37" w14:textId="1AACB350" w:rsidR="00A148E6" w:rsidRPr="00D43584" w:rsidRDefault="00F83D16" w:rsidP="00626B91">
      <w:pPr>
        <w:tabs>
          <w:tab w:val="left" w:pos="4875"/>
        </w:tabs>
        <w:rPr>
          <w:rFonts w:ascii="Times New Roman" w:hAnsi="Times New Roman" w:cs="Times New Roman"/>
          <w:szCs w:val="24"/>
        </w:rPr>
      </w:pPr>
      <w:r w:rsidRPr="00626B91">
        <w:rPr>
          <w:rFonts w:ascii="Times New Roman" w:hAnsi="Times New Roman" w:cs="Times New Roman"/>
          <w:sz w:val="20"/>
          <w:szCs w:val="20"/>
        </w:rPr>
        <w:t>NOTE: The figures relating to 1968-69 are based on the State Government budget estimates while those relating to 1969-70 are estimated in accordance with recommendations in this interim Report on the basis of the forecast furnished by the Central Governmen</w:t>
      </w:r>
      <w:r w:rsidR="00626B91">
        <w:rPr>
          <w:rFonts w:ascii="Times New Roman" w:hAnsi="Times New Roman" w:cs="Times New Roman"/>
          <w:sz w:val="20"/>
          <w:szCs w:val="20"/>
        </w:rPr>
        <w:t>t</w:t>
      </w:r>
    </w:p>
    <w:sectPr w:rsidR="00A148E6" w:rsidRPr="00D43584" w:rsidSect="00A148E6">
      <w:pgSz w:w="15840" w:h="12240" w:orient="landscape"/>
      <w:pgMar w:top="1440" w:right="992"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AA129B" w14:textId="77777777" w:rsidR="00CF11D8" w:rsidRDefault="00CF11D8" w:rsidP="006423FD">
      <w:pPr>
        <w:spacing w:after="0" w:line="240" w:lineRule="auto"/>
      </w:pPr>
      <w:r>
        <w:separator/>
      </w:r>
    </w:p>
  </w:endnote>
  <w:endnote w:type="continuationSeparator" w:id="0">
    <w:p w14:paraId="37906E22" w14:textId="77777777" w:rsidR="00CF11D8" w:rsidRDefault="00CF11D8" w:rsidP="006423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Mangal">
    <w:panose1 w:val="00000400000000000000"/>
    <w:charset w:val="00"/>
    <w:family w:val="roman"/>
    <w:pitch w:val="variable"/>
    <w:sig w:usb0="00008003" w:usb1="00000000" w:usb2="00000000" w:usb3="00000000" w:csb0="00000001" w:csb1="00000000"/>
  </w:font>
  <w:font w:name="Aptos Display">
    <w:charset w:val="00"/>
    <w:family w:val="swiss"/>
    <w:pitch w:val="variable"/>
    <w:sig w:usb0="20000287" w:usb1="00000003" w:usb2="00000000" w:usb3="00000000" w:csb0="0000019F" w:csb1="00000000"/>
  </w:font>
  <w:font w:name="Aptos Narrow">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EA5E88" w14:textId="77777777" w:rsidR="00CF11D8" w:rsidRDefault="00CF11D8" w:rsidP="006423FD">
      <w:pPr>
        <w:spacing w:after="0" w:line="240" w:lineRule="auto"/>
      </w:pPr>
      <w:r>
        <w:separator/>
      </w:r>
    </w:p>
  </w:footnote>
  <w:footnote w:type="continuationSeparator" w:id="0">
    <w:p w14:paraId="51795B59" w14:textId="77777777" w:rsidR="00CF11D8" w:rsidRDefault="00CF11D8" w:rsidP="006423FD">
      <w:pPr>
        <w:spacing w:after="0" w:line="240" w:lineRule="auto"/>
      </w:pPr>
      <w:r>
        <w:continuationSeparator/>
      </w:r>
    </w:p>
  </w:footnote>
  <w:footnote w:id="1">
    <w:p w14:paraId="7DB8A3BF" w14:textId="1D0A5EE7" w:rsidR="00C93EBA" w:rsidRPr="00C93EBA" w:rsidRDefault="00C93EBA" w:rsidP="00C93EBA">
      <w:pPr>
        <w:pStyle w:val="FootnoteText"/>
        <w:ind w:firstLine="426"/>
        <w:rPr>
          <w:sz w:val="22"/>
          <w:szCs w:val="20"/>
          <w:vertAlign w:val="superscript"/>
        </w:rPr>
      </w:pPr>
      <w:r>
        <w:rPr>
          <w:rStyle w:val="FootnoteReference"/>
        </w:rPr>
        <w:footnoteRef/>
      </w:r>
      <w:r>
        <w:t xml:space="preserve"> Shri G. Swaminathan from 21</w:t>
      </w:r>
      <w:r w:rsidRPr="00C93EBA">
        <w:rPr>
          <w:vertAlign w:val="superscript"/>
        </w:rPr>
        <w:t>st</w:t>
      </w:r>
      <w:r>
        <w:t xml:space="preserve"> February 1969 onward</w:t>
      </w:r>
      <w:r>
        <w:rPr>
          <w:vertAlign w:val="superscript"/>
        </w:rPr>
        <w:t xml:space="preserve"> </w:t>
      </w:r>
    </w:p>
  </w:footnote>
  <w:footnote w:id="2">
    <w:p w14:paraId="0E66845A" w14:textId="3B4BA325" w:rsidR="00D01D33" w:rsidRPr="00D01D33" w:rsidRDefault="00D01D33">
      <w:pPr>
        <w:pStyle w:val="FootnoteText"/>
        <w:rPr>
          <w:lang w:val="en-US"/>
        </w:rPr>
      </w:pPr>
      <w:r>
        <w:rPr>
          <w:rStyle w:val="FootnoteReference"/>
        </w:rPr>
        <w:footnoteRef/>
      </w:r>
      <w:r>
        <w:t xml:space="preserve"> </w:t>
      </w:r>
      <w:r w:rsidR="00583A28">
        <w:rPr>
          <w:lang w:val="en-US"/>
        </w:rPr>
        <w:t>Report of the Finance Commission, 1965, para 46.</w:t>
      </w:r>
    </w:p>
  </w:footnote>
  <w:footnote w:id="3">
    <w:p w14:paraId="2B454CF2" w14:textId="2C8B35D0" w:rsidR="00583A28" w:rsidRPr="00583A28" w:rsidRDefault="00583A28" w:rsidP="00583A28">
      <w:pPr>
        <w:pStyle w:val="FootnoteText"/>
        <w:rPr>
          <w:lang w:val="en-US"/>
        </w:rPr>
      </w:pPr>
      <w:r>
        <w:rPr>
          <w:rStyle w:val="FootnoteReference"/>
        </w:rPr>
        <w:footnoteRef/>
      </w:r>
      <w:r>
        <w:t xml:space="preserve"> </w:t>
      </w:r>
      <w:r>
        <w:rPr>
          <w:lang w:val="en-US"/>
        </w:rPr>
        <w:t>Report of the Finance Commission, 1965, para 52.</w:t>
      </w:r>
    </w:p>
  </w:footnote>
  <w:footnote w:id="4">
    <w:p w14:paraId="0EF0A99C" w14:textId="152DD43F" w:rsidR="00AC1D89" w:rsidRDefault="00AC1D89">
      <w:pPr>
        <w:pStyle w:val="FootnoteText"/>
      </w:pPr>
      <w:r>
        <w:rPr>
          <w:rStyle w:val="FootnoteReference"/>
        </w:rPr>
        <w:footnoteRef/>
      </w:r>
      <w:r>
        <w:t xml:space="preserve"> Report of the Finance Commission 1967, para 64</w:t>
      </w:r>
      <w:r w:rsidR="000273E7">
        <w:t>.</w:t>
      </w:r>
    </w:p>
  </w:footnote>
  <w:footnote w:id="5">
    <w:p w14:paraId="362801A3" w14:textId="2056C913" w:rsidR="00BA4AFE" w:rsidRPr="00BA4AFE" w:rsidRDefault="00BA4AFE">
      <w:pPr>
        <w:pStyle w:val="FootnoteText"/>
        <w:rPr>
          <w:lang w:val="en-US"/>
        </w:rPr>
      </w:pPr>
      <w:r>
        <w:rPr>
          <w:rStyle w:val="FootnoteReference"/>
        </w:rPr>
        <w:footnoteRef/>
      </w:r>
      <w:r>
        <w:t xml:space="preserve"> </w:t>
      </w:r>
      <w:r w:rsidRPr="00BA4AFE">
        <w:t>Report of the U. P. Taxation Enquiry Committee, p. 46, para 22 : “It is certainly surprising that a small State like Punjab can consume 120 L. P. litres of country spirit while consumption in U. P. is only 146 lakh L.P. litres”.</w:t>
      </w:r>
    </w:p>
  </w:footnote>
  <w:footnote w:id="6">
    <w:p w14:paraId="22BD04C9" w14:textId="1D1C7833" w:rsidR="00BA4AFE" w:rsidRPr="00BA4AFE" w:rsidRDefault="00BA4AFE">
      <w:pPr>
        <w:pStyle w:val="FootnoteText"/>
        <w:rPr>
          <w:lang w:val="en-US"/>
        </w:rPr>
      </w:pPr>
      <w:r>
        <w:rPr>
          <w:rStyle w:val="FootnoteReference"/>
        </w:rPr>
        <w:footnoteRef/>
      </w:r>
      <w:r>
        <w:t xml:space="preserve"> </w:t>
      </w:r>
      <w:r w:rsidRPr="00BA4AFE">
        <w:t>Report of the Kerala Taxation Enquiry Committee, Appendix X, pp. 506—511</w:t>
      </w:r>
    </w:p>
  </w:footnote>
  <w:footnote w:id="7">
    <w:p w14:paraId="2D4A3FF4" w14:textId="4262B96E" w:rsidR="00BA4AFE" w:rsidRPr="00BA4AFE" w:rsidRDefault="00BA4AFE">
      <w:pPr>
        <w:pStyle w:val="FootnoteText"/>
        <w:rPr>
          <w:lang w:val="en-US"/>
        </w:rPr>
      </w:pPr>
      <w:r>
        <w:rPr>
          <w:rStyle w:val="FootnoteReference"/>
        </w:rPr>
        <w:footnoteRef/>
      </w:r>
      <w:r>
        <w:t xml:space="preserve"> </w:t>
      </w:r>
      <w:r w:rsidRPr="00BA4AFE">
        <w:t>Report of the Uttar Pradesh Taxation Enquiry Committee, pp. 64-65.</w:t>
      </w:r>
    </w:p>
  </w:footnote>
  <w:footnote w:id="8">
    <w:p w14:paraId="4281B536" w14:textId="5A967426" w:rsidR="00BE3CC5" w:rsidRPr="00BE3CC5" w:rsidRDefault="00BE3CC5">
      <w:pPr>
        <w:pStyle w:val="FootnoteText"/>
        <w:rPr>
          <w:lang w:val="en-US"/>
        </w:rPr>
      </w:pPr>
      <w:r>
        <w:rPr>
          <w:rStyle w:val="FootnoteReference"/>
        </w:rPr>
        <w:footnoteRef/>
      </w:r>
      <w:r>
        <w:t xml:space="preserve"> </w:t>
      </w:r>
      <w:r w:rsidRPr="00BE3CC5">
        <w:t>Excluding the provision included for amortisation of debt.</w:t>
      </w:r>
    </w:p>
  </w:footnote>
  <w:footnote w:id="9">
    <w:p w14:paraId="15D6F6E8" w14:textId="2F7023FB" w:rsidR="007F4221" w:rsidRPr="007F4221" w:rsidRDefault="007F4221">
      <w:pPr>
        <w:pStyle w:val="FootnoteText"/>
        <w:rPr>
          <w:lang w:val="en-US"/>
        </w:rPr>
      </w:pPr>
      <w:r>
        <w:rPr>
          <w:rStyle w:val="FootnoteReference"/>
        </w:rPr>
        <w:footnoteRef/>
      </w:r>
      <w:r>
        <w:t xml:space="preserve"> </w:t>
      </w:r>
      <w:r w:rsidRPr="007F4221">
        <w:t xml:space="preserve">The rates given here apply to the cities of Ahmedabad, Surat, Baroda, Bhavnagar, Rajkot and Jamnagar. For other areas, the rates </w:t>
      </w:r>
      <w:r w:rsidR="00D33CB1" w:rsidRPr="007F4221">
        <w:t>are:</w:t>
      </w:r>
      <w:r w:rsidRPr="007F4221">
        <w:t xml:space="preserve"> 25% for tickets upto 40 paise; 30% on tickets of more than 40 paise to Re. 1; 35% on tickets of more than Re. 1 to Rs. 2; 45% on tickets of more than Rs. 2 to Rs. 3 and 50% on tickets of more than Rs. 3.</w:t>
      </w:r>
    </w:p>
  </w:footnote>
  <w:footnote w:id="10">
    <w:p w14:paraId="013A4DD4" w14:textId="52F3AA95" w:rsidR="00A85D2D" w:rsidRPr="00A85D2D" w:rsidRDefault="00A85D2D">
      <w:pPr>
        <w:pStyle w:val="FootnoteText"/>
        <w:rPr>
          <w:lang w:val="en-US"/>
        </w:rPr>
      </w:pPr>
      <w:r>
        <w:rPr>
          <w:rStyle w:val="FootnoteReference"/>
        </w:rPr>
        <w:footnoteRef/>
      </w:r>
      <w:r>
        <w:t xml:space="preserve"> </w:t>
      </w:r>
      <w:r w:rsidRPr="00A85D2D">
        <w:t>The rates given here apply to Greater Bombay, Sholapur and the cities and cantonments of Poona and Nagpur. For other areas the corresponding rates are 32½%, 47½% and 60%.</w:t>
      </w:r>
    </w:p>
  </w:footnote>
  <w:footnote w:id="11">
    <w:p w14:paraId="0FE7B9EC" w14:textId="458FCF10" w:rsidR="00005093" w:rsidRDefault="00005093">
      <w:pPr>
        <w:pStyle w:val="FootnoteText"/>
      </w:pPr>
      <w:r>
        <w:rPr>
          <w:rStyle w:val="FootnoteReference"/>
        </w:rPr>
        <w:footnoteRef/>
      </w:r>
      <w:r>
        <w:t xml:space="preserve"> There are higher rates for all categories of vehicles fitted with tyres other than pneumatic tyres.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76445845"/>
      <w:docPartObj>
        <w:docPartGallery w:val="Page Numbers (Top of Page)"/>
        <w:docPartUnique/>
      </w:docPartObj>
    </w:sdtPr>
    <w:sdtEndPr>
      <w:rPr>
        <w:noProof/>
      </w:rPr>
    </w:sdtEndPr>
    <w:sdtContent>
      <w:p w14:paraId="0CEC7EBF" w14:textId="77777777" w:rsidR="00E674FF" w:rsidRDefault="00E674FF">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67C71F01" w14:textId="77777777" w:rsidR="00E674FF" w:rsidRDefault="00E674F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C5BA4"/>
    <w:multiLevelType w:val="multilevel"/>
    <w:tmpl w:val="F24AC364"/>
    <w:lvl w:ilvl="0">
      <w:start w:val="2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49210D0"/>
    <w:multiLevelType w:val="multilevel"/>
    <w:tmpl w:val="40464B7E"/>
    <w:lvl w:ilvl="0">
      <w:start w:val="4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8247B6F"/>
    <w:multiLevelType w:val="multilevel"/>
    <w:tmpl w:val="5D2AA546"/>
    <w:lvl w:ilvl="0">
      <w:start w:val="2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88222E5"/>
    <w:multiLevelType w:val="multilevel"/>
    <w:tmpl w:val="D278066C"/>
    <w:lvl w:ilvl="0">
      <w:start w:val="4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BB43989"/>
    <w:multiLevelType w:val="multilevel"/>
    <w:tmpl w:val="00146700"/>
    <w:lvl w:ilvl="0">
      <w:start w:val="5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DF21D80"/>
    <w:multiLevelType w:val="multilevel"/>
    <w:tmpl w:val="E8B60F84"/>
    <w:lvl w:ilvl="0">
      <w:start w:val="5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F142ABF"/>
    <w:multiLevelType w:val="multilevel"/>
    <w:tmpl w:val="288A93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F6B2E43"/>
    <w:multiLevelType w:val="multilevel"/>
    <w:tmpl w:val="04A0D736"/>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0FB82CF0"/>
    <w:multiLevelType w:val="multilevel"/>
    <w:tmpl w:val="529C9C56"/>
    <w:lvl w:ilvl="0">
      <w:start w:val="4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1EE11D5"/>
    <w:multiLevelType w:val="multilevel"/>
    <w:tmpl w:val="819A5F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78F08F8"/>
    <w:multiLevelType w:val="hybridMultilevel"/>
    <w:tmpl w:val="A948CFFA"/>
    <w:lvl w:ilvl="0" w:tplc="D77EA740">
      <w:start w:val="1"/>
      <w:numFmt w:val="lowerLetter"/>
      <w:lvlText w:val="(%1)"/>
      <w:lvlJc w:val="left"/>
      <w:pPr>
        <w:ind w:left="1080" w:hanging="360"/>
      </w:pPr>
      <w:rPr>
        <w:rFonts w:hint="default"/>
      </w:rPr>
    </w:lvl>
    <w:lvl w:ilvl="1" w:tplc="40090019">
      <w:start w:val="1"/>
      <w:numFmt w:val="lowerLetter"/>
      <w:lvlText w:val="%2."/>
      <w:lvlJc w:val="left"/>
      <w:pPr>
        <w:ind w:left="1800" w:hanging="360"/>
      </w:pPr>
    </w:lvl>
    <w:lvl w:ilvl="2" w:tplc="4009001B">
      <w:start w:val="1"/>
      <w:numFmt w:val="lowerRoman"/>
      <w:lvlText w:val="%3."/>
      <w:lvlJc w:val="right"/>
      <w:pPr>
        <w:ind w:left="2520" w:hanging="180"/>
      </w:pPr>
    </w:lvl>
    <w:lvl w:ilvl="3" w:tplc="4009000F">
      <w:start w:val="1"/>
      <w:numFmt w:val="decimal"/>
      <w:lvlText w:val="%4."/>
      <w:lvlJc w:val="left"/>
      <w:pPr>
        <w:ind w:left="3240" w:hanging="360"/>
      </w:pPr>
    </w:lvl>
    <w:lvl w:ilvl="4" w:tplc="40090019">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1" w15:restartNumberingAfterBreak="0">
    <w:nsid w:val="17BE1279"/>
    <w:multiLevelType w:val="multilevel"/>
    <w:tmpl w:val="C5306DB0"/>
    <w:lvl w:ilvl="0">
      <w:start w:val="4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9BE38D8"/>
    <w:multiLevelType w:val="multilevel"/>
    <w:tmpl w:val="0D586C0A"/>
    <w:lvl w:ilvl="0">
      <w:start w:val="5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1C83939"/>
    <w:multiLevelType w:val="hybridMultilevel"/>
    <w:tmpl w:val="E9C84034"/>
    <w:lvl w:ilvl="0" w:tplc="4009000F">
      <w:start w:val="1"/>
      <w:numFmt w:val="decimal"/>
      <w:lvlText w:val="%1."/>
      <w:lvlJc w:val="left"/>
      <w:pPr>
        <w:ind w:left="1080" w:hanging="360"/>
      </w:pPr>
    </w:lvl>
    <w:lvl w:ilvl="1" w:tplc="40090019">
      <w:start w:val="1"/>
      <w:numFmt w:val="lowerLetter"/>
      <w:lvlText w:val="%2."/>
      <w:lvlJc w:val="left"/>
      <w:pPr>
        <w:ind w:left="1800" w:hanging="360"/>
      </w:pPr>
    </w:lvl>
    <w:lvl w:ilvl="2" w:tplc="4009001B">
      <w:start w:val="1"/>
      <w:numFmt w:val="lowerRoman"/>
      <w:lvlText w:val="%3."/>
      <w:lvlJc w:val="right"/>
      <w:pPr>
        <w:ind w:left="2520" w:hanging="180"/>
      </w:pPr>
    </w:lvl>
    <w:lvl w:ilvl="3" w:tplc="4009000F">
      <w:start w:val="1"/>
      <w:numFmt w:val="decimal"/>
      <w:lvlText w:val="%4."/>
      <w:lvlJc w:val="left"/>
      <w:pPr>
        <w:ind w:left="3240" w:hanging="360"/>
      </w:pPr>
    </w:lvl>
    <w:lvl w:ilvl="4" w:tplc="40090019">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4" w15:restartNumberingAfterBreak="0">
    <w:nsid w:val="22B37171"/>
    <w:multiLevelType w:val="hybridMultilevel"/>
    <w:tmpl w:val="8C04F2BE"/>
    <w:lvl w:ilvl="0" w:tplc="4009001B">
      <w:start w:val="1"/>
      <w:numFmt w:val="lowerRoman"/>
      <w:lvlText w:val="%1."/>
      <w:lvlJc w:val="right"/>
      <w:pPr>
        <w:ind w:left="360" w:hanging="360"/>
      </w:pPr>
      <w:rPr>
        <w:rFonts w:hint="default"/>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15" w15:restartNumberingAfterBreak="0">
    <w:nsid w:val="28091A51"/>
    <w:multiLevelType w:val="hybridMultilevel"/>
    <w:tmpl w:val="EB76BFF6"/>
    <w:lvl w:ilvl="0" w:tplc="ECEEFB0E">
      <w:start w:val="2"/>
      <w:numFmt w:val="upp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6" w15:restartNumberingAfterBreak="0">
    <w:nsid w:val="280B736E"/>
    <w:multiLevelType w:val="multilevel"/>
    <w:tmpl w:val="24F05A7E"/>
    <w:lvl w:ilvl="0">
      <w:start w:val="6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CD347D0"/>
    <w:multiLevelType w:val="multilevel"/>
    <w:tmpl w:val="6E648512"/>
    <w:lvl w:ilvl="0">
      <w:start w:val="6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2E3B3DE6"/>
    <w:multiLevelType w:val="hybridMultilevel"/>
    <w:tmpl w:val="1F8455BC"/>
    <w:lvl w:ilvl="0" w:tplc="98CE88D6">
      <w:start w:val="2"/>
      <w:numFmt w:val="decimal"/>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9" w15:restartNumberingAfterBreak="0">
    <w:nsid w:val="32B92E79"/>
    <w:multiLevelType w:val="multilevel"/>
    <w:tmpl w:val="1F10219A"/>
    <w:lvl w:ilvl="0">
      <w:start w:val="4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4A8573F"/>
    <w:multiLevelType w:val="hybridMultilevel"/>
    <w:tmpl w:val="91D6281E"/>
    <w:lvl w:ilvl="0" w:tplc="4009000F">
      <w:start w:val="1"/>
      <w:numFmt w:val="decimal"/>
      <w:lvlText w:val="%1."/>
      <w:lvlJc w:val="left"/>
      <w:pPr>
        <w:ind w:left="720" w:hanging="360"/>
      </w:pPr>
    </w:lvl>
    <w:lvl w:ilvl="1" w:tplc="03AE75A6">
      <w:start w:val="1"/>
      <w:numFmt w:val="lowerLetter"/>
      <w:lvlText w:val="(%2)"/>
      <w:lvlJc w:val="left"/>
      <w:pPr>
        <w:ind w:left="1440" w:hanging="360"/>
      </w:pPr>
      <w:rPr>
        <w:rFonts w:hint="default"/>
      </w:r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1" w15:restartNumberingAfterBreak="0">
    <w:nsid w:val="38BF262B"/>
    <w:multiLevelType w:val="multilevel"/>
    <w:tmpl w:val="E8C44CD2"/>
    <w:lvl w:ilvl="0">
      <w:start w:val="4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39424B71"/>
    <w:multiLevelType w:val="hybridMultilevel"/>
    <w:tmpl w:val="F1BEA356"/>
    <w:lvl w:ilvl="0" w:tplc="BBC86664">
      <w:start w:val="2"/>
      <w:numFmt w:val="decimal"/>
      <w:lvlText w:val="%1."/>
      <w:lvlJc w:val="left"/>
      <w:pPr>
        <w:ind w:left="720" w:hanging="360"/>
      </w:pPr>
      <w:rPr>
        <w:rFonts w:hint="default"/>
        <w:sz w:val="28"/>
        <w:szCs w:val="22"/>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3" w15:restartNumberingAfterBreak="0">
    <w:nsid w:val="3CEE34F0"/>
    <w:multiLevelType w:val="multilevel"/>
    <w:tmpl w:val="83641A12"/>
    <w:lvl w:ilvl="0">
      <w:start w:val="1"/>
      <w:numFmt w:val="decimal"/>
      <w:lvlText w:val="%1."/>
      <w:lvlJc w:val="left"/>
      <w:pPr>
        <w:tabs>
          <w:tab w:val="num" w:pos="720"/>
        </w:tabs>
        <w:ind w:left="720" w:hanging="360"/>
      </w:pPr>
    </w:lvl>
    <w:lvl w:ilvl="1">
      <w:start w:val="1"/>
      <w:numFmt w:val="lowerRoman"/>
      <w:lvlText w:val="(%2)"/>
      <w:lvlJc w:val="left"/>
      <w:pPr>
        <w:ind w:left="1800" w:hanging="720"/>
      </w:pPr>
      <w:rPr>
        <w:rFonts w:hint="default"/>
        <w:i/>
      </w:rPr>
    </w:lvl>
    <w:lvl w:ilvl="2">
      <w:start w:val="44"/>
      <w:numFmt w:val="decimal"/>
      <w:lvlText w:val="%3"/>
      <w:lvlJc w:val="left"/>
      <w:pPr>
        <w:ind w:left="2160" w:hanging="36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3F195B88"/>
    <w:multiLevelType w:val="hybridMultilevel"/>
    <w:tmpl w:val="5A40C496"/>
    <w:lvl w:ilvl="0" w:tplc="60FC1D62">
      <w:start w:val="1"/>
      <w:numFmt w:val="lowerRoman"/>
      <w:lvlText w:val="%1."/>
      <w:lvlJc w:val="right"/>
      <w:pPr>
        <w:ind w:left="36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5" w15:restartNumberingAfterBreak="0">
    <w:nsid w:val="42C53A2D"/>
    <w:multiLevelType w:val="multilevel"/>
    <w:tmpl w:val="0F323300"/>
    <w:lvl w:ilvl="0">
      <w:start w:val="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43862BD7"/>
    <w:multiLevelType w:val="hybridMultilevel"/>
    <w:tmpl w:val="55CCEF2A"/>
    <w:lvl w:ilvl="0" w:tplc="40090017">
      <w:start w:val="1"/>
      <w:numFmt w:val="lowerLetter"/>
      <w:lvlText w:val="%1)"/>
      <w:lvlJc w:val="left"/>
      <w:pPr>
        <w:ind w:left="502" w:hanging="360"/>
      </w:pPr>
    </w:lvl>
    <w:lvl w:ilvl="1" w:tplc="40090019">
      <w:start w:val="1"/>
      <w:numFmt w:val="lowerLetter"/>
      <w:lvlText w:val="%2."/>
      <w:lvlJc w:val="left"/>
      <w:pPr>
        <w:ind w:left="1222" w:hanging="360"/>
      </w:pPr>
    </w:lvl>
    <w:lvl w:ilvl="2" w:tplc="4009001B">
      <w:start w:val="1"/>
      <w:numFmt w:val="lowerRoman"/>
      <w:lvlText w:val="%3."/>
      <w:lvlJc w:val="right"/>
      <w:pPr>
        <w:ind w:left="1942" w:hanging="180"/>
      </w:pPr>
    </w:lvl>
    <w:lvl w:ilvl="3" w:tplc="4009000F">
      <w:start w:val="1"/>
      <w:numFmt w:val="decimal"/>
      <w:lvlText w:val="%4."/>
      <w:lvlJc w:val="left"/>
      <w:pPr>
        <w:ind w:left="2662" w:hanging="360"/>
      </w:pPr>
    </w:lvl>
    <w:lvl w:ilvl="4" w:tplc="40090019">
      <w:start w:val="1"/>
      <w:numFmt w:val="lowerLetter"/>
      <w:lvlText w:val="%5."/>
      <w:lvlJc w:val="left"/>
      <w:pPr>
        <w:ind w:left="3382" w:hanging="360"/>
      </w:pPr>
    </w:lvl>
    <w:lvl w:ilvl="5" w:tplc="4009001B" w:tentative="1">
      <w:start w:val="1"/>
      <w:numFmt w:val="lowerRoman"/>
      <w:lvlText w:val="%6."/>
      <w:lvlJc w:val="right"/>
      <w:pPr>
        <w:ind w:left="4102" w:hanging="180"/>
      </w:pPr>
    </w:lvl>
    <w:lvl w:ilvl="6" w:tplc="4009000F" w:tentative="1">
      <w:start w:val="1"/>
      <w:numFmt w:val="decimal"/>
      <w:lvlText w:val="%7."/>
      <w:lvlJc w:val="left"/>
      <w:pPr>
        <w:ind w:left="4822" w:hanging="360"/>
      </w:pPr>
    </w:lvl>
    <w:lvl w:ilvl="7" w:tplc="40090019" w:tentative="1">
      <w:start w:val="1"/>
      <w:numFmt w:val="lowerLetter"/>
      <w:lvlText w:val="%8."/>
      <w:lvlJc w:val="left"/>
      <w:pPr>
        <w:ind w:left="5542" w:hanging="360"/>
      </w:pPr>
    </w:lvl>
    <w:lvl w:ilvl="8" w:tplc="4009001B" w:tentative="1">
      <w:start w:val="1"/>
      <w:numFmt w:val="lowerRoman"/>
      <w:lvlText w:val="%9."/>
      <w:lvlJc w:val="right"/>
      <w:pPr>
        <w:ind w:left="6262" w:hanging="180"/>
      </w:pPr>
    </w:lvl>
  </w:abstractNum>
  <w:abstractNum w:abstractNumId="27" w15:restartNumberingAfterBreak="0">
    <w:nsid w:val="43C52ABC"/>
    <w:multiLevelType w:val="multilevel"/>
    <w:tmpl w:val="3D207638"/>
    <w:lvl w:ilvl="0">
      <w:start w:val="1"/>
      <w:numFmt w:val="decimal"/>
      <w:lvlText w:val="Chapter %1"/>
      <w:lvlJc w:val="left"/>
      <w:pPr>
        <w:ind w:left="360" w:hanging="360"/>
      </w:pPr>
      <w:rPr>
        <w:rFonts w:hint="default"/>
      </w:rPr>
    </w:lvl>
    <w:lvl w:ilvl="1">
      <w:start w:val="1"/>
      <w:numFmt w:val="lowerLetter"/>
      <w:lvlText w:val="%2)"/>
      <w:lvlJc w:val="left"/>
      <w:pPr>
        <w:ind w:left="720" w:hanging="360"/>
      </w:pPr>
      <w:rPr>
        <w:rFonts w:hint="default"/>
      </w:rPr>
    </w:lvl>
    <w:lvl w:ilvl="2">
      <w:start w:val="1"/>
      <w:numFmt w:val="decimal"/>
      <w:lvlText w:val="%1.%3"/>
      <w:lvlJc w:val="left"/>
      <w:pPr>
        <w:ind w:left="9716" w:hanging="360"/>
      </w:pPr>
      <w:rPr>
        <w:rFonts w:hint="default"/>
        <w:i w:val="0"/>
        <w:iCs w:val="0"/>
      </w:rPr>
    </w:lvl>
    <w:lvl w:ilvl="3">
      <w:start w:val="1"/>
      <w:numFmt w:val="none"/>
      <w:lvlRestart w:val="1"/>
      <w:lvlText w:val=""/>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right"/>
      <w:pPr>
        <w:ind w:left="1920" w:hanging="360"/>
      </w:p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15:restartNumberingAfterBreak="0">
    <w:nsid w:val="45290BC5"/>
    <w:multiLevelType w:val="multilevel"/>
    <w:tmpl w:val="79B486FE"/>
    <w:lvl w:ilvl="0">
      <w:start w:val="6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45702E4A"/>
    <w:multiLevelType w:val="multilevel"/>
    <w:tmpl w:val="010A32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5963DBB"/>
    <w:multiLevelType w:val="multilevel"/>
    <w:tmpl w:val="C84242D4"/>
    <w:lvl w:ilvl="0">
      <w:start w:val="4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46D33D2F"/>
    <w:multiLevelType w:val="multilevel"/>
    <w:tmpl w:val="5E7E6E7E"/>
    <w:lvl w:ilvl="0">
      <w:start w:val="1"/>
      <w:numFmt w:val="decimal"/>
      <w:pStyle w:val="Heading1"/>
      <w:lvlText w:val="Chapter %1"/>
      <w:lvlJc w:val="left"/>
      <w:pPr>
        <w:ind w:left="360" w:hanging="360"/>
      </w:pPr>
      <w:rPr>
        <w:rFonts w:hint="default"/>
      </w:rPr>
    </w:lvl>
    <w:lvl w:ilvl="1">
      <w:start w:val="1"/>
      <w:numFmt w:val="lowerLetter"/>
      <w:lvlText w:val="%2)"/>
      <w:lvlJc w:val="left"/>
      <w:pPr>
        <w:ind w:left="720" w:hanging="360"/>
      </w:pPr>
      <w:rPr>
        <w:rFonts w:hint="default"/>
      </w:rPr>
    </w:lvl>
    <w:lvl w:ilvl="2">
      <w:start w:val="1"/>
      <w:numFmt w:val="decimal"/>
      <w:pStyle w:val="Heading3"/>
      <w:lvlText w:val="%1.%3"/>
      <w:lvlJc w:val="left"/>
      <w:pPr>
        <w:ind w:left="9716" w:hanging="360"/>
      </w:pPr>
      <w:rPr>
        <w:rFonts w:hint="default"/>
        <w:b w:val="0"/>
        <w:bCs w:val="0"/>
        <w:i w:val="0"/>
        <w:iCs w:val="0"/>
      </w:rPr>
    </w:lvl>
    <w:lvl w:ilvl="3">
      <w:start w:val="1"/>
      <w:numFmt w:val="none"/>
      <w:lvlRestart w:val="1"/>
      <w:lvlText w:val=""/>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192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2" w15:restartNumberingAfterBreak="0">
    <w:nsid w:val="46DA5108"/>
    <w:multiLevelType w:val="hybridMultilevel"/>
    <w:tmpl w:val="E96445E2"/>
    <w:lvl w:ilvl="0" w:tplc="08168DE4">
      <w:start w:val="19"/>
      <w:numFmt w:val="decimal"/>
      <w:lvlText w:val="%1."/>
      <w:lvlJc w:val="left"/>
      <w:pPr>
        <w:ind w:left="735" w:hanging="375"/>
      </w:pPr>
      <w:rPr>
        <w:rFonts w:hint="default"/>
      </w:r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3" w15:restartNumberingAfterBreak="0">
    <w:nsid w:val="47281D61"/>
    <w:multiLevelType w:val="multilevel"/>
    <w:tmpl w:val="7AF2120A"/>
    <w:lvl w:ilvl="0">
      <w:start w:val="3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49E63ADF"/>
    <w:multiLevelType w:val="multilevel"/>
    <w:tmpl w:val="7EB689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4AE31951"/>
    <w:multiLevelType w:val="multilevel"/>
    <w:tmpl w:val="E9CA9CB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4BCB009A"/>
    <w:multiLevelType w:val="multilevel"/>
    <w:tmpl w:val="70D4E8EA"/>
    <w:lvl w:ilvl="0">
      <w:start w:val="5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4C4A095C"/>
    <w:multiLevelType w:val="hybridMultilevel"/>
    <w:tmpl w:val="B50412DC"/>
    <w:lvl w:ilvl="0" w:tplc="F6D60B68">
      <w:start w:val="1"/>
      <w:numFmt w:val="lowerRoman"/>
      <w:lvlText w:val="%1."/>
      <w:lvlJc w:val="right"/>
      <w:pPr>
        <w:ind w:left="862" w:hanging="360"/>
      </w:pPr>
      <w:rPr>
        <w:b w:val="0"/>
        <w:bCs w:val="0"/>
      </w:rPr>
    </w:lvl>
    <w:lvl w:ilvl="1" w:tplc="40090019">
      <w:start w:val="1"/>
      <w:numFmt w:val="lowerLetter"/>
      <w:lvlText w:val="%2."/>
      <w:lvlJc w:val="left"/>
      <w:pPr>
        <w:ind w:left="1582" w:hanging="360"/>
      </w:pPr>
    </w:lvl>
    <w:lvl w:ilvl="2" w:tplc="4009001B">
      <w:start w:val="1"/>
      <w:numFmt w:val="lowerRoman"/>
      <w:lvlText w:val="%3."/>
      <w:lvlJc w:val="right"/>
      <w:pPr>
        <w:ind w:left="2302" w:hanging="180"/>
      </w:pPr>
    </w:lvl>
    <w:lvl w:ilvl="3" w:tplc="4009000F">
      <w:start w:val="1"/>
      <w:numFmt w:val="decimal"/>
      <w:lvlText w:val="%4."/>
      <w:lvlJc w:val="left"/>
      <w:pPr>
        <w:ind w:left="3022" w:hanging="360"/>
      </w:pPr>
    </w:lvl>
    <w:lvl w:ilvl="4" w:tplc="40090019">
      <w:start w:val="1"/>
      <w:numFmt w:val="lowerLetter"/>
      <w:lvlText w:val="%5."/>
      <w:lvlJc w:val="left"/>
      <w:pPr>
        <w:ind w:left="3742" w:hanging="360"/>
      </w:pPr>
    </w:lvl>
    <w:lvl w:ilvl="5" w:tplc="4009001B">
      <w:start w:val="1"/>
      <w:numFmt w:val="lowerRoman"/>
      <w:lvlText w:val="%6."/>
      <w:lvlJc w:val="right"/>
      <w:pPr>
        <w:ind w:left="4462" w:hanging="180"/>
      </w:pPr>
    </w:lvl>
    <w:lvl w:ilvl="6" w:tplc="4009000F" w:tentative="1">
      <w:start w:val="1"/>
      <w:numFmt w:val="decimal"/>
      <w:lvlText w:val="%7."/>
      <w:lvlJc w:val="left"/>
      <w:pPr>
        <w:ind w:left="5182" w:hanging="360"/>
      </w:pPr>
    </w:lvl>
    <w:lvl w:ilvl="7" w:tplc="40090019" w:tentative="1">
      <w:start w:val="1"/>
      <w:numFmt w:val="lowerLetter"/>
      <w:lvlText w:val="%8."/>
      <w:lvlJc w:val="left"/>
      <w:pPr>
        <w:ind w:left="5902" w:hanging="360"/>
      </w:pPr>
    </w:lvl>
    <w:lvl w:ilvl="8" w:tplc="4009001B" w:tentative="1">
      <w:start w:val="1"/>
      <w:numFmt w:val="lowerRoman"/>
      <w:lvlText w:val="%9."/>
      <w:lvlJc w:val="right"/>
      <w:pPr>
        <w:ind w:left="6622" w:hanging="180"/>
      </w:pPr>
    </w:lvl>
  </w:abstractNum>
  <w:abstractNum w:abstractNumId="38" w15:restartNumberingAfterBreak="0">
    <w:nsid w:val="4D97561E"/>
    <w:multiLevelType w:val="multilevel"/>
    <w:tmpl w:val="1380928E"/>
    <w:lvl w:ilvl="0">
      <w:start w:val="4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4DFB63E4"/>
    <w:multiLevelType w:val="hybridMultilevel"/>
    <w:tmpl w:val="DCFA27AA"/>
    <w:lvl w:ilvl="0" w:tplc="4009000F">
      <w:start w:val="37"/>
      <w:numFmt w:val="decimal"/>
      <w:lvlText w:val="%1."/>
      <w:lvlJc w:val="left"/>
      <w:pPr>
        <w:ind w:left="720" w:hanging="360"/>
      </w:pPr>
      <w:rPr>
        <w:rFonts w:hint="default"/>
      </w:r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0" w15:restartNumberingAfterBreak="0">
    <w:nsid w:val="51DC2857"/>
    <w:multiLevelType w:val="multilevel"/>
    <w:tmpl w:val="A36E235C"/>
    <w:lvl w:ilvl="0">
      <w:start w:val="6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53BF1939"/>
    <w:multiLevelType w:val="multilevel"/>
    <w:tmpl w:val="945E51D0"/>
    <w:lvl w:ilvl="0">
      <w:start w:val="4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567343CC"/>
    <w:multiLevelType w:val="hybridMultilevel"/>
    <w:tmpl w:val="6914C53C"/>
    <w:lvl w:ilvl="0" w:tplc="447A6C52">
      <w:start w:val="1"/>
      <w:numFmt w:val="lowerRoman"/>
      <w:lvlText w:val="%1."/>
      <w:lvlJc w:val="right"/>
      <w:pPr>
        <w:ind w:left="862" w:hanging="360"/>
      </w:pPr>
    </w:lvl>
    <w:lvl w:ilvl="1" w:tplc="40090019">
      <w:start w:val="1"/>
      <w:numFmt w:val="lowerLetter"/>
      <w:lvlText w:val="%2."/>
      <w:lvlJc w:val="left"/>
      <w:pPr>
        <w:ind w:left="1582" w:hanging="360"/>
      </w:pPr>
    </w:lvl>
    <w:lvl w:ilvl="2" w:tplc="4009001B">
      <w:start w:val="1"/>
      <w:numFmt w:val="lowerRoman"/>
      <w:lvlText w:val="%3."/>
      <w:lvlJc w:val="right"/>
      <w:pPr>
        <w:ind w:left="2302" w:hanging="180"/>
      </w:pPr>
    </w:lvl>
    <w:lvl w:ilvl="3" w:tplc="4009000F">
      <w:start w:val="1"/>
      <w:numFmt w:val="decimal"/>
      <w:lvlText w:val="%4."/>
      <w:lvlJc w:val="left"/>
      <w:pPr>
        <w:ind w:left="3022" w:hanging="360"/>
      </w:pPr>
    </w:lvl>
    <w:lvl w:ilvl="4" w:tplc="40090019">
      <w:start w:val="1"/>
      <w:numFmt w:val="lowerLetter"/>
      <w:lvlText w:val="%5."/>
      <w:lvlJc w:val="left"/>
      <w:pPr>
        <w:ind w:left="3742" w:hanging="360"/>
      </w:pPr>
    </w:lvl>
    <w:lvl w:ilvl="5" w:tplc="4009001B">
      <w:start w:val="1"/>
      <w:numFmt w:val="lowerRoman"/>
      <w:lvlText w:val="%6."/>
      <w:lvlJc w:val="right"/>
      <w:pPr>
        <w:ind w:left="4462" w:hanging="180"/>
      </w:pPr>
    </w:lvl>
    <w:lvl w:ilvl="6" w:tplc="4009000F" w:tentative="1">
      <w:start w:val="1"/>
      <w:numFmt w:val="decimal"/>
      <w:lvlText w:val="%7."/>
      <w:lvlJc w:val="left"/>
      <w:pPr>
        <w:ind w:left="5182" w:hanging="360"/>
      </w:pPr>
    </w:lvl>
    <w:lvl w:ilvl="7" w:tplc="40090019" w:tentative="1">
      <w:start w:val="1"/>
      <w:numFmt w:val="lowerLetter"/>
      <w:lvlText w:val="%8."/>
      <w:lvlJc w:val="left"/>
      <w:pPr>
        <w:ind w:left="5902" w:hanging="360"/>
      </w:pPr>
    </w:lvl>
    <w:lvl w:ilvl="8" w:tplc="4009001B" w:tentative="1">
      <w:start w:val="1"/>
      <w:numFmt w:val="lowerRoman"/>
      <w:lvlText w:val="%9."/>
      <w:lvlJc w:val="right"/>
      <w:pPr>
        <w:ind w:left="6622" w:hanging="180"/>
      </w:pPr>
    </w:lvl>
  </w:abstractNum>
  <w:abstractNum w:abstractNumId="43" w15:restartNumberingAfterBreak="0">
    <w:nsid w:val="57B57A9D"/>
    <w:multiLevelType w:val="multilevel"/>
    <w:tmpl w:val="6EE6DF5A"/>
    <w:lvl w:ilvl="0">
      <w:start w:val="5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580D3CB3"/>
    <w:multiLevelType w:val="hybridMultilevel"/>
    <w:tmpl w:val="D5081D82"/>
    <w:lvl w:ilvl="0" w:tplc="40090013">
      <w:start w:val="1"/>
      <w:numFmt w:val="upperRoman"/>
      <w:lvlText w:val="%1."/>
      <w:lvlJc w:val="right"/>
      <w:pPr>
        <w:ind w:left="1080" w:hanging="360"/>
      </w:pPr>
    </w:lvl>
    <w:lvl w:ilvl="1" w:tplc="40090019" w:tentative="1">
      <w:start w:val="1"/>
      <w:numFmt w:val="lowerLetter"/>
      <w:lvlText w:val="%2."/>
      <w:lvlJc w:val="left"/>
      <w:pPr>
        <w:ind w:left="1800" w:hanging="360"/>
      </w:pPr>
    </w:lvl>
    <w:lvl w:ilvl="2" w:tplc="4009001B">
      <w:start w:val="1"/>
      <w:numFmt w:val="lowerRoman"/>
      <w:lvlText w:val="%3."/>
      <w:lvlJc w:val="right"/>
      <w:pPr>
        <w:ind w:left="2520" w:hanging="180"/>
      </w:pPr>
    </w:lvl>
    <w:lvl w:ilvl="3" w:tplc="4009000F">
      <w:start w:val="1"/>
      <w:numFmt w:val="decimal"/>
      <w:lvlText w:val="%4."/>
      <w:lvlJc w:val="left"/>
      <w:pPr>
        <w:ind w:left="3240" w:hanging="360"/>
      </w:pPr>
    </w:lvl>
    <w:lvl w:ilvl="4" w:tplc="40090019">
      <w:start w:val="1"/>
      <w:numFmt w:val="lowerLetter"/>
      <w:lvlText w:val="%5."/>
      <w:lvlJc w:val="left"/>
      <w:pPr>
        <w:ind w:left="3960" w:hanging="360"/>
      </w:pPr>
    </w:lvl>
    <w:lvl w:ilvl="5" w:tplc="4009001B">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45" w15:restartNumberingAfterBreak="0">
    <w:nsid w:val="58FA315C"/>
    <w:multiLevelType w:val="hybridMultilevel"/>
    <w:tmpl w:val="3E78E8BE"/>
    <w:lvl w:ilvl="0" w:tplc="40090017">
      <w:start w:val="1"/>
      <w:numFmt w:val="lowerLetter"/>
      <w:lvlText w:val="%1)"/>
      <w:lvlJc w:val="left"/>
      <w:pPr>
        <w:ind w:left="1080" w:hanging="720"/>
      </w:pPr>
      <w:rPr>
        <w:rFonts w:hint="default"/>
      </w:rPr>
    </w:lvl>
    <w:lvl w:ilvl="1" w:tplc="DA00E184">
      <w:start w:val="1"/>
      <w:numFmt w:val="decimal"/>
      <w:lvlText w:val="(%2)"/>
      <w:lvlJc w:val="left"/>
      <w:pPr>
        <w:ind w:left="1440" w:hanging="360"/>
      </w:pPr>
      <w:rPr>
        <w:rFonts w:hint="default"/>
      </w:rPr>
    </w:lvl>
    <w:lvl w:ilvl="2" w:tplc="D77EA740">
      <w:start w:val="1"/>
      <w:numFmt w:val="lowerLetter"/>
      <w:lvlText w:val="(%3)"/>
      <w:lvlJc w:val="left"/>
      <w:pPr>
        <w:ind w:left="2340" w:hanging="360"/>
      </w:pPr>
      <w:rPr>
        <w:rFonts w:hint="default"/>
      </w:r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6" w15:restartNumberingAfterBreak="0">
    <w:nsid w:val="590730B7"/>
    <w:multiLevelType w:val="multilevel"/>
    <w:tmpl w:val="4860E91C"/>
    <w:lvl w:ilvl="0">
      <w:start w:val="7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5DC75CE3"/>
    <w:multiLevelType w:val="multilevel"/>
    <w:tmpl w:val="65F60CB2"/>
    <w:lvl w:ilvl="0">
      <w:start w:val="4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5E2201A6"/>
    <w:multiLevelType w:val="hybridMultilevel"/>
    <w:tmpl w:val="8FBA5128"/>
    <w:lvl w:ilvl="0" w:tplc="B552A752">
      <w:start w:val="1"/>
      <w:numFmt w:val="upperLetter"/>
      <w:lvlText w:val="%1."/>
      <w:lvlJc w:val="left"/>
      <w:pPr>
        <w:ind w:left="3240" w:hanging="360"/>
      </w:pPr>
      <w:rPr>
        <w:rFonts w:hint="default"/>
      </w:rPr>
    </w:lvl>
    <w:lvl w:ilvl="1" w:tplc="40090019" w:tentative="1">
      <w:start w:val="1"/>
      <w:numFmt w:val="lowerLetter"/>
      <w:lvlText w:val="%2."/>
      <w:lvlJc w:val="left"/>
      <w:pPr>
        <w:ind w:left="3960" w:hanging="360"/>
      </w:pPr>
    </w:lvl>
    <w:lvl w:ilvl="2" w:tplc="4009001B" w:tentative="1">
      <w:start w:val="1"/>
      <w:numFmt w:val="lowerRoman"/>
      <w:lvlText w:val="%3."/>
      <w:lvlJc w:val="right"/>
      <w:pPr>
        <w:ind w:left="4680" w:hanging="180"/>
      </w:pPr>
    </w:lvl>
    <w:lvl w:ilvl="3" w:tplc="4009000F" w:tentative="1">
      <w:start w:val="1"/>
      <w:numFmt w:val="decimal"/>
      <w:lvlText w:val="%4."/>
      <w:lvlJc w:val="left"/>
      <w:pPr>
        <w:ind w:left="5400" w:hanging="360"/>
      </w:pPr>
    </w:lvl>
    <w:lvl w:ilvl="4" w:tplc="40090019" w:tentative="1">
      <w:start w:val="1"/>
      <w:numFmt w:val="lowerLetter"/>
      <w:lvlText w:val="%5."/>
      <w:lvlJc w:val="left"/>
      <w:pPr>
        <w:ind w:left="6120" w:hanging="360"/>
      </w:pPr>
    </w:lvl>
    <w:lvl w:ilvl="5" w:tplc="4009001B" w:tentative="1">
      <w:start w:val="1"/>
      <w:numFmt w:val="lowerRoman"/>
      <w:lvlText w:val="%6."/>
      <w:lvlJc w:val="right"/>
      <w:pPr>
        <w:ind w:left="6840" w:hanging="180"/>
      </w:pPr>
    </w:lvl>
    <w:lvl w:ilvl="6" w:tplc="4009000F" w:tentative="1">
      <w:start w:val="1"/>
      <w:numFmt w:val="decimal"/>
      <w:lvlText w:val="%7."/>
      <w:lvlJc w:val="left"/>
      <w:pPr>
        <w:ind w:left="7560" w:hanging="360"/>
      </w:pPr>
    </w:lvl>
    <w:lvl w:ilvl="7" w:tplc="40090019" w:tentative="1">
      <w:start w:val="1"/>
      <w:numFmt w:val="lowerLetter"/>
      <w:lvlText w:val="%8."/>
      <w:lvlJc w:val="left"/>
      <w:pPr>
        <w:ind w:left="8280" w:hanging="360"/>
      </w:pPr>
    </w:lvl>
    <w:lvl w:ilvl="8" w:tplc="4009001B" w:tentative="1">
      <w:start w:val="1"/>
      <w:numFmt w:val="lowerRoman"/>
      <w:lvlText w:val="%9."/>
      <w:lvlJc w:val="right"/>
      <w:pPr>
        <w:ind w:left="9000" w:hanging="180"/>
      </w:pPr>
    </w:lvl>
  </w:abstractNum>
  <w:abstractNum w:abstractNumId="49" w15:restartNumberingAfterBreak="0">
    <w:nsid w:val="61A25042"/>
    <w:multiLevelType w:val="multilevel"/>
    <w:tmpl w:val="563240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620E6EA1"/>
    <w:multiLevelType w:val="hybridMultilevel"/>
    <w:tmpl w:val="E2B4CF56"/>
    <w:lvl w:ilvl="0" w:tplc="4009000F">
      <w:start w:val="2"/>
      <w:numFmt w:val="decimal"/>
      <w:lvlText w:val="%1."/>
      <w:lvlJc w:val="left"/>
      <w:pPr>
        <w:ind w:left="720" w:hanging="360"/>
      </w:pPr>
      <w:rPr>
        <w:rFonts w:hint="default"/>
      </w:r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1" w15:restartNumberingAfterBreak="0">
    <w:nsid w:val="62646AD8"/>
    <w:multiLevelType w:val="multilevel"/>
    <w:tmpl w:val="560C82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628C6C2F"/>
    <w:multiLevelType w:val="multilevel"/>
    <w:tmpl w:val="0C963C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65343E41"/>
    <w:multiLevelType w:val="hybridMultilevel"/>
    <w:tmpl w:val="80001818"/>
    <w:lvl w:ilvl="0" w:tplc="4009000F">
      <w:start w:val="34"/>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4" w15:restartNumberingAfterBreak="0">
    <w:nsid w:val="6C9A18B8"/>
    <w:multiLevelType w:val="hybridMultilevel"/>
    <w:tmpl w:val="67C8CF3C"/>
    <w:lvl w:ilvl="0" w:tplc="FFFFFFFF">
      <w:start w:val="1"/>
      <w:numFmt w:val="upperRoman"/>
      <w:lvlText w:val="%1."/>
      <w:lvlJc w:val="left"/>
      <w:pPr>
        <w:ind w:left="1080" w:hanging="720"/>
      </w:pPr>
      <w:rPr>
        <w:rFonts w:hint="default"/>
      </w:rPr>
    </w:lvl>
    <w:lvl w:ilvl="1" w:tplc="FFFFFFFF">
      <w:start w:val="1"/>
      <w:numFmt w:val="decimal"/>
      <w:lvlText w:val="(%2)"/>
      <w:lvlJc w:val="left"/>
      <w:pPr>
        <w:ind w:left="1440" w:hanging="360"/>
      </w:pPr>
      <w:rPr>
        <w:rFonts w:hint="default"/>
      </w:rPr>
    </w:lvl>
    <w:lvl w:ilvl="2" w:tplc="FFFFFFFF">
      <w:start w:val="1"/>
      <w:numFmt w:val="lowerLetter"/>
      <w:lvlText w:val="(%3)"/>
      <w:lvlJc w:val="left"/>
      <w:pPr>
        <w:ind w:left="2340" w:hanging="36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5" w15:restartNumberingAfterBreak="0">
    <w:nsid w:val="6D5E0467"/>
    <w:multiLevelType w:val="multilevel"/>
    <w:tmpl w:val="26BC710A"/>
    <w:lvl w:ilvl="0">
      <w:start w:val="6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15:restartNumberingAfterBreak="0">
    <w:nsid w:val="6E701FFD"/>
    <w:multiLevelType w:val="multilevel"/>
    <w:tmpl w:val="9580BA06"/>
    <w:lvl w:ilvl="0">
      <w:start w:val="62"/>
      <w:numFmt w:val="decimal"/>
      <w:lvlText w:val="%1."/>
      <w:lvlJc w:val="left"/>
      <w:pPr>
        <w:tabs>
          <w:tab w:val="num" w:pos="720"/>
        </w:tabs>
        <w:ind w:left="720" w:hanging="360"/>
      </w:pPr>
    </w:lvl>
    <w:lvl w:ilvl="1">
      <w:start w:val="1"/>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15:restartNumberingAfterBreak="0">
    <w:nsid w:val="715A6121"/>
    <w:multiLevelType w:val="multilevel"/>
    <w:tmpl w:val="DCDC99CA"/>
    <w:lvl w:ilvl="0">
      <w:start w:val="5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15:restartNumberingAfterBreak="0">
    <w:nsid w:val="71BE603C"/>
    <w:multiLevelType w:val="multilevel"/>
    <w:tmpl w:val="31588E3A"/>
    <w:lvl w:ilvl="0">
      <w:start w:val="5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 w15:restartNumberingAfterBreak="0">
    <w:nsid w:val="74622CF9"/>
    <w:multiLevelType w:val="hybridMultilevel"/>
    <w:tmpl w:val="30B64360"/>
    <w:lvl w:ilvl="0" w:tplc="26CA7C9A">
      <w:start w:val="1"/>
      <w:numFmt w:val="lowerLetter"/>
      <w:lvlText w:val="%1)"/>
      <w:lvlJc w:val="left"/>
      <w:pPr>
        <w:ind w:left="862" w:hanging="720"/>
      </w:pPr>
      <w:rPr>
        <w:rFonts w:hint="default"/>
      </w:r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0" w15:restartNumberingAfterBreak="0">
    <w:nsid w:val="75D113CF"/>
    <w:multiLevelType w:val="multilevel"/>
    <w:tmpl w:val="5B3A5806"/>
    <w:lvl w:ilvl="0">
      <w:start w:val="2"/>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61" w15:restartNumberingAfterBreak="0">
    <w:nsid w:val="76987C76"/>
    <w:multiLevelType w:val="hybridMultilevel"/>
    <w:tmpl w:val="27D0CCE0"/>
    <w:lvl w:ilvl="0" w:tplc="4009000F">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2" w15:restartNumberingAfterBreak="0">
    <w:nsid w:val="79B149E6"/>
    <w:multiLevelType w:val="multilevel"/>
    <w:tmpl w:val="4860E91C"/>
    <w:lvl w:ilvl="0">
      <w:start w:val="7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3" w15:restartNumberingAfterBreak="0">
    <w:nsid w:val="7A8A5DF2"/>
    <w:multiLevelType w:val="hybridMultilevel"/>
    <w:tmpl w:val="D450939C"/>
    <w:lvl w:ilvl="0" w:tplc="4009000F">
      <w:start w:val="1"/>
      <w:numFmt w:val="decimal"/>
      <w:lvlText w:val="%1."/>
      <w:lvlJc w:val="left"/>
      <w:pPr>
        <w:ind w:left="770" w:hanging="360"/>
      </w:pPr>
    </w:lvl>
    <w:lvl w:ilvl="1" w:tplc="4009000F">
      <w:start w:val="1"/>
      <w:numFmt w:val="decimal"/>
      <w:lvlText w:val="%2."/>
      <w:lvlJc w:val="left"/>
      <w:pPr>
        <w:ind w:left="720" w:hanging="360"/>
      </w:pPr>
    </w:lvl>
    <w:lvl w:ilvl="2" w:tplc="4009001B" w:tentative="1">
      <w:start w:val="1"/>
      <w:numFmt w:val="lowerRoman"/>
      <w:lvlText w:val="%3."/>
      <w:lvlJc w:val="right"/>
      <w:pPr>
        <w:ind w:left="2210" w:hanging="180"/>
      </w:pPr>
    </w:lvl>
    <w:lvl w:ilvl="3" w:tplc="4009000F" w:tentative="1">
      <w:start w:val="1"/>
      <w:numFmt w:val="decimal"/>
      <w:lvlText w:val="%4."/>
      <w:lvlJc w:val="left"/>
      <w:pPr>
        <w:ind w:left="2930" w:hanging="360"/>
      </w:pPr>
    </w:lvl>
    <w:lvl w:ilvl="4" w:tplc="40090019" w:tentative="1">
      <w:start w:val="1"/>
      <w:numFmt w:val="lowerLetter"/>
      <w:lvlText w:val="%5."/>
      <w:lvlJc w:val="left"/>
      <w:pPr>
        <w:ind w:left="3650" w:hanging="360"/>
      </w:pPr>
    </w:lvl>
    <w:lvl w:ilvl="5" w:tplc="4009001B" w:tentative="1">
      <w:start w:val="1"/>
      <w:numFmt w:val="lowerRoman"/>
      <w:lvlText w:val="%6."/>
      <w:lvlJc w:val="right"/>
      <w:pPr>
        <w:ind w:left="4370" w:hanging="180"/>
      </w:pPr>
    </w:lvl>
    <w:lvl w:ilvl="6" w:tplc="4009000F" w:tentative="1">
      <w:start w:val="1"/>
      <w:numFmt w:val="decimal"/>
      <w:lvlText w:val="%7."/>
      <w:lvlJc w:val="left"/>
      <w:pPr>
        <w:ind w:left="5090" w:hanging="360"/>
      </w:pPr>
    </w:lvl>
    <w:lvl w:ilvl="7" w:tplc="40090019" w:tentative="1">
      <w:start w:val="1"/>
      <w:numFmt w:val="lowerLetter"/>
      <w:lvlText w:val="%8."/>
      <w:lvlJc w:val="left"/>
      <w:pPr>
        <w:ind w:left="5810" w:hanging="360"/>
      </w:pPr>
    </w:lvl>
    <w:lvl w:ilvl="8" w:tplc="4009001B" w:tentative="1">
      <w:start w:val="1"/>
      <w:numFmt w:val="lowerRoman"/>
      <w:lvlText w:val="%9."/>
      <w:lvlJc w:val="right"/>
      <w:pPr>
        <w:ind w:left="6530" w:hanging="180"/>
      </w:pPr>
    </w:lvl>
  </w:abstractNum>
  <w:abstractNum w:abstractNumId="64" w15:restartNumberingAfterBreak="0">
    <w:nsid w:val="7D0E45AB"/>
    <w:multiLevelType w:val="multilevel"/>
    <w:tmpl w:val="D842E8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7D8A600D"/>
    <w:multiLevelType w:val="hybridMultilevel"/>
    <w:tmpl w:val="385EC204"/>
    <w:lvl w:ilvl="0" w:tplc="40090013">
      <w:start w:val="1"/>
      <w:numFmt w:val="upperRoman"/>
      <w:lvlText w:val="%1."/>
      <w:lvlJc w:val="right"/>
      <w:pPr>
        <w:ind w:left="1440" w:hanging="360"/>
      </w:p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num w:numId="1" w16cid:durableId="647520421">
    <w:abstractNumId w:val="23"/>
  </w:num>
  <w:num w:numId="2" w16cid:durableId="2022512951">
    <w:abstractNumId w:val="45"/>
  </w:num>
  <w:num w:numId="3" w16cid:durableId="877595069">
    <w:abstractNumId w:val="49"/>
  </w:num>
  <w:num w:numId="4" w16cid:durableId="358971534">
    <w:abstractNumId w:val="20"/>
  </w:num>
  <w:num w:numId="5" w16cid:durableId="1055352415">
    <w:abstractNumId w:val="60"/>
  </w:num>
  <w:num w:numId="6" w16cid:durableId="304243854">
    <w:abstractNumId w:val="14"/>
  </w:num>
  <w:num w:numId="7" w16cid:durableId="1763531489">
    <w:abstractNumId w:val="35"/>
  </w:num>
  <w:num w:numId="8" w16cid:durableId="1778409311">
    <w:abstractNumId w:val="7"/>
  </w:num>
  <w:num w:numId="9" w16cid:durableId="2075464657">
    <w:abstractNumId w:val="15"/>
  </w:num>
  <w:num w:numId="10" w16cid:durableId="2026513565">
    <w:abstractNumId w:val="48"/>
  </w:num>
  <w:num w:numId="11" w16cid:durableId="1834644291">
    <w:abstractNumId w:val="51"/>
  </w:num>
  <w:num w:numId="12" w16cid:durableId="1997293182">
    <w:abstractNumId w:val="25"/>
  </w:num>
  <w:num w:numId="13" w16cid:durableId="1085997218">
    <w:abstractNumId w:val="0"/>
  </w:num>
  <w:num w:numId="14" w16cid:durableId="189026344">
    <w:abstractNumId w:val="2"/>
  </w:num>
  <w:num w:numId="15" w16cid:durableId="1090658953">
    <w:abstractNumId w:val="33"/>
  </w:num>
  <w:num w:numId="16" w16cid:durableId="1815757805">
    <w:abstractNumId w:val="3"/>
  </w:num>
  <w:num w:numId="17" w16cid:durableId="538444591">
    <w:abstractNumId w:val="8"/>
  </w:num>
  <w:num w:numId="18" w16cid:durableId="1735006563">
    <w:abstractNumId w:val="38"/>
  </w:num>
  <w:num w:numId="19" w16cid:durableId="772624948">
    <w:abstractNumId w:val="47"/>
  </w:num>
  <w:num w:numId="20" w16cid:durableId="1987468940">
    <w:abstractNumId w:val="36"/>
  </w:num>
  <w:num w:numId="21" w16cid:durableId="1937013670">
    <w:abstractNumId w:val="58"/>
  </w:num>
  <w:num w:numId="22" w16cid:durableId="183518908">
    <w:abstractNumId w:val="55"/>
  </w:num>
  <w:num w:numId="23" w16cid:durableId="394477355">
    <w:abstractNumId w:val="56"/>
  </w:num>
  <w:num w:numId="24" w16cid:durableId="128403739">
    <w:abstractNumId w:val="16"/>
  </w:num>
  <w:num w:numId="25" w16cid:durableId="487936808">
    <w:abstractNumId w:val="63"/>
  </w:num>
  <w:num w:numId="26" w16cid:durableId="318272260">
    <w:abstractNumId w:val="54"/>
  </w:num>
  <w:num w:numId="27" w16cid:durableId="777413450">
    <w:abstractNumId w:val="34"/>
  </w:num>
  <w:num w:numId="28" w16cid:durableId="1788623018">
    <w:abstractNumId w:val="6"/>
  </w:num>
  <w:num w:numId="29" w16cid:durableId="810295775">
    <w:abstractNumId w:val="64"/>
  </w:num>
  <w:num w:numId="30" w16cid:durableId="760640771">
    <w:abstractNumId w:val="52"/>
  </w:num>
  <w:num w:numId="31" w16cid:durableId="241062166">
    <w:abstractNumId w:val="9"/>
  </w:num>
  <w:num w:numId="32" w16cid:durableId="810444704">
    <w:abstractNumId w:val="29"/>
  </w:num>
  <w:num w:numId="33" w16cid:durableId="476339347">
    <w:abstractNumId w:val="18"/>
  </w:num>
  <w:num w:numId="34" w16cid:durableId="1305696237">
    <w:abstractNumId w:val="50"/>
  </w:num>
  <w:num w:numId="35" w16cid:durableId="1135636130">
    <w:abstractNumId w:val="65"/>
  </w:num>
  <w:num w:numId="36" w16cid:durableId="2050370872">
    <w:abstractNumId w:val="32"/>
  </w:num>
  <w:num w:numId="37" w16cid:durableId="735056702">
    <w:abstractNumId w:val="39"/>
  </w:num>
  <w:num w:numId="38" w16cid:durableId="1098332862">
    <w:abstractNumId w:val="53"/>
  </w:num>
  <w:num w:numId="39" w16cid:durableId="1252276032">
    <w:abstractNumId w:val="19"/>
  </w:num>
  <w:num w:numId="40" w16cid:durableId="555361006">
    <w:abstractNumId w:val="30"/>
  </w:num>
  <w:num w:numId="41" w16cid:durableId="1414281178">
    <w:abstractNumId w:val="21"/>
  </w:num>
  <w:num w:numId="42" w16cid:durableId="990988344">
    <w:abstractNumId w:val="1"/>
  </w:num>
  <w:num w:numId="43" w16cid:durableId="347101110">
    <w:abstractNumId w:val="41"/>
  </w:num>
  <w:num w:numId="44" w16cid:durableId="1198082517">
    <w:abstractNumId w:val="11"/>
  </w:num>
  <w:num w:numId="45" w16cid:durableId="532306370">
    <w:abstractNumId w:val="12"/>
  </w:num>
  <w:num w:numId="46" w16cid:durableId="249973959">
    <w:abstractNumId w:val="43"/>
  </w:num>
  <w:num w:numId="47" w16cid:durableId="2010056033">
    <w:abstractNumId w:val="4"/>
  </w:num>
  <w:num w:numId="48" w16cid:durableId="1531068215">
    <w:abstractNumId w:val="5"/>
  </w:num>
  <w:num w:numId="49" w16cid:durableId="1017539562">
    <w:abstractNumId w:val="57"/>
  </w:num>
  <w:num w:numId="50" w16cid:durableId="818234059">
    <w:abstractNumId w:val="28"/>
  </w:num>
  <w:num w:numId="51" w16cid:durableId="1354112580">
    <w:abstractNumId w:val="17"/>
  </w:num>
  <w:num w:numId="52" w16cid:durableId="1955089051">
    <w:abstractNumId w:val="40"/>
  </w:num>
  <w:num w:numId="53" w16cid:durableId="839542061">
    <w:abstractNumId w:val="46"/>
  </w:num>
  <w:num w:numId="54" w16cid:durableId="1176921941">
    <w:abstractNumId w:val="62"/>
  </w:num>
  <w:num w:numId="55" w16cid:durableId="703674419">
    <w:abstractNumId w:val="31"/>
  </w:num>
  <w:num w:numId="56" w16cid:durableId="1940790639">
    <w:abstractNumId w:val="44"/>
  </w:num>
  <w:num w:numId="57" w16cid:durableId="931550006">
    <w:abstractNumId w:val="10"/>
  </w:num>
  <w:num w:numId="58" w16cid:durableId="238641663">
    <w:abstractNumId w:val="26"/>
  </w:num>
  <w:num w:numId="59" w16cid:durableId="1703477472">
    <w:abstractNumId w:val="37"/>
  </w:num>
  <w:num w:numId="60" w16cid:durableId="2135057136">
    <w:abstractNumId w:val="42"/>
  </w:num>
  <w:num w:numId="61" w16cid:durableId="1020426522">
    <w:abstractNumId w:val="13"/>
  </w:num>
  <w:num w:numId="62" w16cid:durableId="1407220905">
    <w:abstractNumId w:val="24"/>
  </w:num>
  <w:num w:numId="63" w16cid:durableId="1165705349">
    <w:abstractNumId w:val="59"/>
  </w:num>
  <w:num w:numId="64" w16cid:durableId="473255136">
    <w:abstractNumId w:val="61"/>
  </w:num>
  <w:num w:numId="65" w16cid:durableId="1498031921">
    <w:abstractNumId w:val="22"/>
  </w:num>
  <w:num w:numId="66" w16cid:durableId="740256399">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16cid:durableId="725224268">
    <w:abstractNumId w:val="27"/>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4902"/>
    <w:rsid w:val="00005093"/>
    <w:rsid w:val="00017E77"/>
    <w:rsid w:val="000234CE"/>
    <w:rsid w:val="000273E7"/>
    <w:rsid w:val="00035789"/>
    <w:rsid w:val="00036A74"/>
    <w:rsid w:val="00036F38"/>
    <w:rsid w:val="000411F6"/>
    <w:rsid w:val="00043E1C"/>
    <w:rsid w:val="00044A72"/>
    <w:rsid w:val="000732CB"/>
    <w:rsid w:val="00090475"/>
    <w:rsid w:val="00097251"/>
    <w:rsid w:val="000A290F"/>
    <w:rsid w:val="000A3A8F"/>
    <w:rsid w:val="000A6176"/>
    <w:rsid w:val="000B3139"/>
    <w:rsid w:val="000B7616"/>
    <w:rsid w:val="000C2276"/>
    <w:rsid w:val="000C3AB2"/>
    <w:rsid w:val="000C42F0"/>
    <w:rsid w:val="000C77F2"/>
    <w:rsid w:val="000D5B7C"/>
    <w:rsid w:val="000E1AD7"/>
    <w:rsid w:val="000E653A"/>
    <w:rsid w:val="000F1AA2"/>
    <w:rsid w:val="000F22FA"/>
    <w:rsid w:val="000F3CBD"/>
    <w:rsid w:val="000F608C"/>
    <w:rsid w:val="000F7213"/>
    <w:rsid w:val="001043AC"/>
    <w:rsid w:val="00104FBF"/>
    <w:rsid w:val="0010798E"/>
    <w:rsid w:val="0011190E"/>
    <w:rsid w:val="00113313"/>
    <w:rsid w:val="00114676"/>
    <w:rsid w:val="00114C2A"/>
    <w:rsid w:val="00122CF8"/>
    <w:rsid w:val="001256DB"/>
    <w:rsid w:val="001351DF"/>
    <w:rsid w:val="0013739E"/>
    <w:rsid w:val="00150C68"/>
    <w:rsid w:val="001517FA"/>
    <w:rsid w:val="0015358A"/>
    <w:rsid w:val="00155CF1"/>
    <w:rsid w:val="00163850"/>
    <w:rsid w:val="00164902"/>
    <w:rsid w:val="00165F6F"/>
    <w:rsid w:val="00174522"/>
    <w:rsid w:val="00180C3B"/>
    <w:rsid w:val="0018161E"/>
    <w:rsid w:val="001944B0"/>
    <w:rsid w:val="001944EC"/>
    <w:rsid w:val="001A0C9B"/>
    <w:rsid w:val="001A5BCF"/>
    <w:rsid w:val="001A5F76"/>
    <w:rsid w:val="001A64E1"/>
    <w:rsid w:val="001B1288"/>
    <w:rsid w:val="001B5187"/>
    <w:rsid w:val="001B5AC2"/>
    <w:rsid w:val="001C72DE"/>
    <w:rsid w:val="001D4119"/>
    <w:rsid w:val="001D51D4"/>
    <w:rsid w:val="001D7ED4"/>
    <w:rsid w:val="001E6185"/>
    <w:rsid w:val="001E634B"/>
    <w:rsid w:val="001F20A0"/>
    <w:rsid w:val="001F2646"/>
    <w:rsid w:val="001F2A0A"/>
    <w:rsid w:val="001F2F95"/>
    <w:rsid w:val="001F3F52"/>
    <w:rsid w:val="002001C5"/>
    <w:rsid w:val="00203F24"/>
    <w:rsid w:val="002152D6"/>
    <w:rsid w:val="002166E0"/>
    <w:rsid w:val="0022440E"/>
    <w:rsid w:val="002266BF"/>
    <w:rsid w:val="0025034A"/>
    <w:rsid w:val="00250375"/>
    <w:rsid w:val="00255141"/>
    <w:rsid w:val="00264373"/>
    <w:rsid w:val="00274A99"/>
    <w:rsid w:val="00280350"/>
    <w:rsid w:val="00282706"/>
    <w:rsid w:val="00283385"/>
    <w:rsid w:val="00284859"/>
    <w:rsid w:val="00286730"/>
    <w:rsid w:val="00286FFB"/>
    <w:rsid w:val="00287706"/>
    <w:rsid w:val="00290983"/>
    <w:rsid w:val="002918B2"/>
    <w:rsid w:val="00295487"/>
    <w:rsid w:val="00297F4C"/>
    <w:rsid w:val="002A109B"/>
    <w:rsid w:val="002A11B0"/>
    <w:rsid w:val="002A212C"/>
    <w:rsid w:val="002A2890"/>
    <w:rsid w:val="002A3C86"/>
    <w:rsid w:val="002A60FE"/>
    <w:rsid w:val="002B3279"/>
    <w:rsid w:val="002B62E9"/>
    <w:rsid w:val="002B7C1B"/>
    <w:rsid w:val="002C594B"/>
    <w:rsid w:val="002C5DC4"/>
    <w:rsid w:val="002C6539"/>
    <w:rsid w:val="002C69C0"/>
    <w:rsid w:val="002D6CEF"/>
    <w:rsid w:val="002E0607"/>
    <w:rsid w:val="002E6E0F"/>
    <w:rsid w:val="002F452D"/>
    <w:rsid w:val="002F5526"/>
    <w:rsid w:val="00302C2D"/>
    <w:rsid w:val="00305D30"/>
    <w:rsid w:val="0031269B"/>
    <w:rsid w:val="00313313"/>
    <w:rsid w:val="00313915"/>
    <w:rsid w:val="003146F9"/>
    <w:rsid w:val="00321978"/>
    <w:rsid w:val="0032219C"/>
    <w:rsid w:val="00322723"/>
    <w:rsid w:val="0032622F"/>
    <w:rsid w:val="00360A8F"/>
    <w:rsid w:val="003652E6"/>
    <w:rsid w:val="00366F91"/>
    <w:rsid w:val="003719C7"/>
    <w:rsid w:val="00374F83"/>
    <w:rsid w:val="00375913"/>
    <w:rsid w:val="00386BEA"/>
    <w:rsid w:val="00386CBA"/>
    <w:rsid w:val="003874AC"/>
    <w:rsid w:val="00387525"/>
    <w:rsid w:val="003A2683"/>
    <w:rsid w:val="003A4343"/>
    <w:rsid w:val="003A4C59"/>
    <w:rsid w:val="003B11CB"/>
    <w:rsid w:val="003B5361"/>
    <w:rsid w:val="003C6391"/>
    <w:rsid w:val="003C6D59"/>
    <w:rsid w:val="003D4C8B"/>
    <w:rsid w:val="003D6A50"/>
    <w:rsid w:val="003D7F73"/>
    <w:rsid w:val="003D7FC8"/>
    <w:rsid w:val="003E451B"/>
    <w:rsid w:val="003F3031"/>
    <w:rsid w:val="00400792"/>
    <w:rsid w:val="0040589B"/>
    <w:rsid w:val="00406460"/>
    <w:rsid w:val="00416FA8"/>
    <w:rsid w:val="00424B7B"/>
    <w:rsid w:val="0042724D"/>
    <w:rsid w:val="00427668"/>
    <w:rsid w:val="00427C75"/>
    <w:rsid w:val="00432359"/>
    <w:rsid w:val="00435B16"/>
    <w:rsid w:val="004377B8"/>
    <w:rsid w:val="004505D6"/>
    <w:rsid w:val="00455A21"/>
    <w:rsid w:val="00456C80"/>
    <w:rsid w:val="00471458"/>
    <w:rsid w:val="00474CDC"/>
    <w:rsid w:val="00490A74"/>
    <w:rsid w:val="00497099"/>
    <w:rsid w:val="004A2A74"/>
    <w:rsid w:val="004B0A93"/>
    <w:rsid w:val="004B1C0C"/>
    <w:rsid w:val="004B1C5A"/>
    <w:rsid w:val="004B6753"/>
    <w:rsid w:val="004C05F4"/>
    <w:rsid w:val="004C5F87"/>
    <w:rsid w:val="004E4F05"/>
    <w:rsid w:val="004F3F27"/>
    <w:rsid w:val="004F7738"/>
    <w:rsid w:val="005055EB"/>
    <w:rsid w:val="00505A37"/>
    <w:rsid w:val="00507BDF"/>
    <w:rsid w:val="00515105"/>
    <w:rsid w:val="0051611C"/>
    <w:rsid w:val="00522193"/>
    <w:rsid w:val="00534FE9"/>
    <w:rsid w:val="00536FE0"/>
    <w:rsid w:val="00537910"/>
    <w:rsid w:val="005575C9"/>
    <w:rsid w:val="00557D12"/>
    <w:rsid w:val="00564403"/>
    <w:rsid w:val="00566222"/>
    <w:rsid w:val="00572A85"/>
    <w:rsid w:val="00574BCE"/>
    <w:rsid w:val="00575EEC"/>
    <w:rsid w:val="00583A0F"/>
    <w:rsid w:val="00583A28"/>
    <w:rsid w:val="00587B4A"/>
    <w:rsid w:val="0059396E"/>
    <w:rsid w:val="00594F5D"/>
    <w:rsid w:val="005958F4"/>
    <w:rsid w:val="00595DE8"/>
    <w:rsid w:val="005A319E"/>
    <w:rsid w:val="005A7AAF"/>
    <w:rsid w:val="005B06A9"/>
    <w:rsid w:val="005B0ED6"/>
    <w:rsid w:val="005B14D5"/>
    <w:rsid w:val="005B1851"/>
    <w:rsid w:val="005D7DD5"/>
    <w:rsid w:val="005E1D68"/>
    <w:rsid w:val="005E2A5F"/>
    <w:rsid w:val="005F3655"/>
    <w:rsid w:val="005F3814"/>
    <w:rsid w:val="006018E2"/>
    <w:rsid w:val="00603926"/>
    <w:rsid w:val="0060494F"/>
    <w:rsid w:val="006057F1"/>
    <w:rsid w:val="00616C55"/>
    <w:rsid w:val="00626B91"/>
    <w:rsid w:val="0063665D"/>
    <w:rsid w:val="0063673F"/>
    <w:rsid w:val="0064049F"/>
    <w:rsid w:val="006423FD"/>
    <w:rsid w:val="00645889"/>
    <w:rsid w:val="0065152D"/>
    <w:rsid w:val="006553E0"/>
    <w:rsid w:val="00664874"/>
    <w:rsid w:val="00670C29"/>
    <w:rsid w:val="006712BD"/>
    <w:rsid w:val="00671AC5"/>
    <w:rsid w:val="00676641"/>
    <w:rsid w:val="00682928"/>
    <w:rsid w:val="006859C3"/>
    <w:rsid w:val="00686F52"/>
    <w:rsid w:val="006879D0"/>
    <w:rsid w:val="006935D2"/>
    <w:rsid w:val="00695869"/>
    <w:rsid w:val="006A3FD0"/>
    <w:rsid w:val="006B26D2"/>
    <w:rsid w:val="006B6440"/>
    <w:rsid w:val="006C2D5D"/>
    <w:rsid w:val="006C4D04"/>
    <w:rsid w:val="006D4580"/>
    <w:rsid w:val="006D571E"/>
    <w:rsid w:val="006E0237"/>
    <w:rsid w:val="006E12A9"/>
    <w:rsid w:val="006E3CC1"/>
    <w:rsid w:val="006E5AB0"/>
    <w:rsid w:val="006E5DB1"/>
    <w:rsid w:val="006E68B1"/>
    <w:rsid w:val="006F211A"/>
    <w:rsid w:val="006F30EA"/>
    <w:rsid w:val="006F66AD"/>
    <w:rsid w:val="00701032"/>
    <w:rsid w:val="00701BE2"/>
    <w:rsid w:val="00712DC0"/>
    <w:rsid w:val="00715545"/>
    <w:rsid w:val="007245B0"/>
    <w:rsid w:val="0072464F"/>
    <w:rsid w:val="007248A5"/>
    <w:rsid w:val="00724C74"/>
    <w:rsid w:val="00726EC7"/>
    <w:rsid w:val="0072755E"/>
    <w:rsid w:val="007315B3"/>
    <w:rsid w:val="0073206D"/>
    <w:rsid w:val="00735421"/>
    <w:rsid w:val="007371CD"/>
    <w:rsid w:val="00742442"/>
    <w:rsid w:val="0074512A"/>
    <w:rsid w:val="00746312"/>
    <w:rsid w:val="0076756B"/>
    <w:rsid w:val="0077656B"/>
    <w:rsid w:val="0077660A"/>
    <w:rsid w:val="007770E0"/>
    <w:rsid w:val="0077725B"/>
    <w:rsid w:val="00777994"/>
    <w:rsid w:val="0077799E"/>
    <w:rsid w:val="007825D4"/>
    <w:rsid w:val="007829F4"/>
    <w:rsid w:val="00787C93"/>
    <w:rsid w:val="00791D50"/>
    <w:rsid w:val="007933DE"/>
    <w:rsid w:val="00793818"/>
    <w:rsid w:val="00797A6A"/>
    <w:rsid w:val="007A25FC"/>
    <w:rsid w:val="007B0815"/>
    <w:rsid w:val="007B0D9D"/>
    <w:rsid w:val="007B1BAC"/>
    <w:rsid w:val="007B3C1E"/>
    <w:rsid w:val="007C0B5D"/>
    <w:rsid w:val="007C0DCF"/>
    <w:rsid w:val="007C11A0"/>
    <w:rsid w:val="007C1733"/>
    <w:rsid w:val="007C4E37"/>
    <w:rsid w:val="007C55DD"/>
    <w:rsid w:val="007D0809"/>
    <w:rsid w:val="007D26AB"/>
    <w:rsid w:val="007D2EE4"/>
    <w:rsid w:val="007D3997"/>
    <w:rsid w:val="007D40BC"/>
    <w:rsid w:val="007D615F"/>
    <w:rsid w:val="007E3032"/>
    <w:rsid w:val="007E520E"/>
    <w:rsid w:val="007F2C71"/>
    <w:rsid w:val="007F4221"/>
    <w:rsid w:val="008000A7"/>
    <w:rsid w:val="008018DE"/>
    <w:rsid w:val="00801A36"/>
    <w:rsid w:val="00803F7A"/>
    <w:rsid w:val="008123F4"/>
    <w:rsid w:val="00812C67"/>
    <w:rsid w:val="008259E2"/>
    <w:rsid w:val="008300E8"/>
    <w:rsid w:val="00845524"/>
    <w:rsid w:val="00852718"/>
    <w:rsid w:val="0085699D"/>
    <w:rsid w:val="008579CC"/>
    <w:rsid w:val="00860844"/>
    <w:rsid w:val="00861600"/>
    <w:rsid w:val="00861D95"/>
    <w:rsid w:val="00863AD5"/>
    <w:rsid w:val="00867DFD"/>
    <w:rsid w:val="00871479"/>
    <w:rsid w:val="0087313D"/>
    <w:rsid w:val="008828F5"/>
    <w:rsid w:val="00886EB4"/>
    <w:rsid w:val="008B2A7D"/>
    <w:rsid w:val="008C15DC"/>
    <w:rsid w:val="008D45A9"/>
    <w:rsid w:val="008D572A"/>
    <w:rsid w:val="008E1321"/>
    <w:rsid w:val="008E210D"/>
    <w:rsid w:val="008E2A3E"/>
    <w:rsid w:val="008E3B34"/>
    <w:rsid w:val="009102D9"/>
    <w:rsid w:val="009129FA"/>
    <w:rsid w:val="00931797"/>
    <w:rsid w:val="0093333A"/>
    <w:rsid w:val="00937698"/>
    <w:rsid w:val="00960B2E"/>
    <w:rsid w:val="00963460"/>
    <w:rsid w:val="00964941"/>
    <w:rsid w:val="00965A5A"/>
    <w:rsid w:val="00976FE1"/>
    <w:rsid w:val="0098240D"/>
    <w:rsid w:val="00982B07"/>
    <w:rsid w:val="00992402"/>
    <w:rsid w:val="009978A5"/>
    <w:rsid w:val="00997DA4"/>
    <w:rsid w:val="009A32F9"/>
    <w:rsid w:val="009A4387"/>
    <w:rsid w:val="009A78EE"/>
    <w:rsid w:val="009B0F67"/>
    <w:rsid w:val="009C025C"/>
    <w:rsid w:val="009C5B9D"/>
    <w:rsid w:val="009D0C9E"/>
    <w:rsid w:val="009D41C0"/>
    <w:rsid w:val="009D510E"/>
    <w:rsid w:val="009E30AC"/>
    <w:rsid w:val="009E3803"/>
    <w:rsid w:val="009F295C"/>
    <w:rsid w:val="009F5905"/>
    <w:rsid w:val="00A05C28"/>
    <w:rsid w:val="00A13B2D"/>
    <w:rsid w:val="00A148E6"/>
    <w:rsid w:val="00A266C0"/>
    <w:rsid w:val="00A351F7"/>
    <w:rsid w:val="00A36232"/>
    <w:rsid w:val="00A412CF"/>
    <w:rsid w:val="00A45FA0"/>
    <w:rsid w:val="00A46539"/>
    <w:rsid w:val="00A47866"/>
    <w:rsid w:val="00A55F3A"/>
    <w:rsid w:val="00A56760"/>
    <w:rsid w:val="00A63E7C"/>
    <w:rsid w:val="00A73CF3"/>
    <w:rsid w:val="00A82F22"/>
    <w:rsid w:val="00A83649"/>
    <w:rsid w:val="00A85D2D"/>
    <w:rsid w:val="00A8668B"/>
    <w:rsid w:val="00A93D97"/>
    <w:rsid w:val="00AA0623"/>
    <w:rsid w:val="00AA2913"/>
    <w:rsid w:val="00AA5BC9"/>
    <w:rsid w:val="00AA617D"/>
    <w:rsid w:val="00AB62FC"/>
    <w:rsid w:val="00AC1D89"/>
    <w:rsid w:val="00AC4220"/>
    <w:rsid w:val="00AC7CB2"/>
    <w:rsid w:val="00AD7881"/>
    <w:rsid w:val="00AE393B"/>
    <w:rsid w:val="00AF2CD3"/>
    <w:rsid w:val="00AF3D6A"/>
    <w:rsid w:val="00B062A8"/>
    <w:rsid w:val="00B07595"/>
    <w:rsid w:val="00B13DC2"/>
    <w:rsid w:val="00B178AC"/>
    <w:rsid w:val="00B21DEC"/>
    <w:rsid w:val="00B23AB5"/>
    <w:rsid w:val="00B26CBD"/>
    <w:rsid w:val="00B33920"/>
    <w:rsid w:val="00B34D24"/>
    <w:rsid w:val="00B3753D"/>
    <w:rsid w:val="00B43C5B"/>
    <w:rsid w:val="00B45E2F"/>
    <w:rsid w:val="00B5100A"/>
    <w:rsid w:val="00B52716"/>
    <w:rsid w:val="00B55D1E"/>
    <w:rsid w:val="00B703A1"/>
    <w:rsid w:val="00B70A0B"/>
    <w:rsid w:val="00B77C0B"/>
    <w:rsid w:val="00B9252F"/>
    <w:rsid w:val="00B92874"/>
    <w:rsid w:val="00B964D9"/>
    <w:rsid w:val="00B96BB7"/>
    <w:rsid w:val="00B979EE"/>
    <w:rsid w:val="00BA1C8E"/>
    <w:rsid w:val="00BA3FB7"/>
    <w:rsid w:val="00BA4141"/>
    <w:rsid w:val="00BA42F6"/>
    <w:rsid w:val="00BA4AFE"/>
    <w:rsid w:val="00BA63A4"/>
    <w:rsid w:val="00BB07E8"/>
    <w:rsid w:val="00BB1A14"/>
    <w:rsid w:val="00BC1A4F"/>
    <w:rsid w:val="00BC5682"/>
    <w:rsid w:val="00BC5891"/>
    <w:rsid w:val="00BD08B8"/>
    <w:rsid w:val="00BD12CB"/>
    <w:rsid w:val="00BD2078"/>
    <w:rsid w:val="00BD3EF7"/>
    <w:rsid w:val="00BE1E6C"/>
    <w:rsid w:val="00BE3CC5"/>
    <w:rsid w:val="00BE4148"/>
    <w:rsid w:val="00BE766D"/>
    <w:rsid w:val="00BF4043"/>
    <w:rsid w:val="00BF52C8"/>
    <w:rsid w:val="00C056B7"/>
    <w:rsid w:val="00C06AD9"/>
    <w:rsid w:val="00C17227"/>
    <w:rsid w:val="00C20062"/>
    <w:rsid w:val="00C2102B"/>
    <w:rsid w:val="00C25DBB"/>
    <w:rsid w:val="00C3160D"/>
    <w:rsid w:val="00C460B7"/>
    <w:rsid w:val="00C57E12"/>
    <w:rsid w:val="00C63758"/>
    <w:rsid w:val="00C66F68"/>
    <w:rsid w:val="00C732B3"/>
    <w:rsid w:val="00C74314"/>
    <w:rsid w:val="00C7477E"/>
    <w:rsid w:val="00C900D3"/>
    <w:rsid w:val="00C90234"/>
    <w:rsid w:val="00C93292"/>
    <w:rsid w:val="00C93EBA"/>
    <w:rsid w:val="00CA122E"/>
    <w:rsid w:val="00CA4C73"/>
    <w:rsid w:val="00CA65E3"/>
    <w:rsid w:val="00CB62A4"/>
    <w:rsid w:val="00CB79AE"/>
    <w:rsid w:val="00CC0CFF"/>
    <w:rsid w:val="00CD368E"/>
    <w:rsid w:val="00CE0928"/>
    <w:rsid w:val="00CE207C"/>
    <w:rsid w:val="00CE2D3A"/>
    <w:rsid w:val="00CE4C34"/>
    <w:rsid w:val="00CE7183"/>
    <w:rsid w:val="00CF11D8"/>
    <w:rsid w:val="00CF5D41"/>
    <w:rsid w:val="00D01D33"/>
    <w:rsid w:val="00D07B4D"/>
    <w:rsid w:val="00D14C9B"/>
    <w:rsid w:val="00D21BCB"/>
    <w:rsid w:val="00D31AA1"/>
    <w:rsid w:val="00D33CB1"/>
    <w:rsid w:val="00D43584"/>
    <w:rsid w:val="00D57525"/>
    <w:rsid w:val="00D614C3"/>
    <w:rsid w:val="00D62D61"/>
    <w:rsid w:val="00D63BD2"/>
    <w:rsid w:val="00D67840"/>
    <w:rsid w:val="00D7047A"/>
    <w:rsid w:val="00D75175"/>
    <w:rsid w:val="00D771E1"/>
    <w:rsid w:val="00D80B2A"/>
    <w:rsid w:val="00D85A1C"/>
    <w:rsid w:val="00D923FB"/>
    <w:rsid w:val="00D96B0B"/>
    <w:rsid w:val="00D971B3"/>
    <w:rsid w:val="00D97953"/>
    <w:rsid w:val="00DA1357"/>
    <w:rsid w:val="00DB37A7"/>
    <w:rsid w:val="00DB7255"/>
    <w:rsid w:val="00DC115D"/>
    <w:rsid w:val="00DD2746"/>
    <w:rsid w:val="00DE5DAE"/>
    <w:rsid w:val="00DE7403"/>
    <w:rsid w:val="00DF5B04"/>
    <w:rsid w:val="00DF7CBA"/>
    <w:rsid w:val="00E02171"/>
    <w:rsid w:val="00E0452B"/>
    <w:rsid w:val="00E13E35"/>
    <w:rsid w:val="00E22444"/>
    <w:rsid w:val="00E26F3B"/>
    <w:rsid w:val="00E278F7"/>
    <w:rsid w:val="00E27B01"/>
    <w:rsid w:val="00E35986"/>
    <w:rsid w:val="00E36A86"/>
    <w:rsid w:val="00E406D7"/>
    <w:rsid w:val="00E418BA"/>
    <w:rsid w:val="00E41C5B"/>
    <w:rsid w:val="00E45B90"/>
    <w:rsid w:val="00E51E56"/>
    <w:rsid w:val="00E573C0"/>
    <w:rsid w:val="00E60971"/>
    <w:rsid w:val="00E674FF"/>
    <w:rsid w:val="00E70223"/>
    <w:rsid w:val="00E74747"/>
    <w:rsid w:val="00E831E0"/>
    <w:rsid w:val="00E866CB"/>
    <w:rsid w:val="00E87606"/>
    <w:rsid w:val="00E9216B"/>
    <w:rsid w:val="00E97885"/>
    <w:rsid w:val="00E97D64"/>
    <w:rsid w:val="00EA234F"/>
    <w:rsid w:val="00EA26A7"/>
    <w:rsid w:val="00EB0BC0"/>
    <w:rsid w:val="00EB2363"/>
    <w:rsid w:val="00EB5FE9"/>
    <w:rsid w:val="00EC7AAD"/>
    <w:rsid w:val="00ED2B57"/>
    <w:rsid w:val="00ED3CB7"/>
    <w:rsid w:val="00EE4415"/>
    <w:rsid w:val="00EE6303"/>
    <w:rsid w:val="00EF3732"/>
    <w:rsid w:val="00EF3F11"/>
    <w:rsid w:val="00EF645B"/>
    <w:rsid w:val="00F02872"/>
    <w:rsid w:val="00F0435A"/>
    <w:rsid w:val="00F05375"/>
    <w:rsid w:val="00F07925"/>
    <w:rsid w:val="00F236AA"/>
    <w:rsid w:val="00F32850"/>
    <w:rsid w:val="00F34353"/>
    <w:rsid w:val="00F42E63"/>
    <w:rsid w:val="00F433ED"/>
    <w:rsid w:val="00F446D2"/>
    <w:rsid w:val="00F46B27"/>
    <w:rsid w:val="00F51C6C"/>
    <w:rsid w:val="00F54B5C"/>
    <w:rsid w:val="00F54C3E"/>
    <w:rsid w:val="00F55740"/>
    <w:rsid w:val="00F60633"/>
    <w:rsid w:val="00F61814"/>
    <w:rsid w:val="00F70A97"/>
    <w:rsid w:val="00F75421"/>
    <w:rsid w:val="00F8055F"/>
    <w:rsid w:val="00F83D16"/>
    <w:rsid w:val="00F922A4"/>
    <w:rsid w:val="00F95969"/>
    <w:rsid w:val="00F96641"/>
    <w:rsid w:val="00FA01F1"/>
    <w:rsid w:val="00FA73CC"/>
    <w:rsid w:val="00FB0D70"/>
    <w:rsid w:val="00FB3B43"/>
    <w:rsid w:val="00FC26AB"/>
    <w:rsid w:val="00FC2A09"/>
    <w:rsid w:val="00FD0DAE"/>
    <w:rsid w:val="00FF13CC"/>
    <w:rsid w:val="00FF555E"/>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96BEF5"/>
  <w15:chartTrackingRefBased/>
  <w15:docId w15:val="{751DADB3-070B-457B-A5F3-7840D3A458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1"/>
        <w:lang w:val="en-IN" w:eastAsia="en-US" w:bidi="hi-IN"/>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160D"/>
    <w:rPr>
      <w:rFonts w:cs="Mangal"/>
    </w:rPr>
  </w:style>
  <w:style w:type="paragraph" w:styleId="Heading1">
    <w:name w:val="heading 1"/>
    <w:basedOn w:val="Normal"/>
    <w:next w:val="Normal"/>
    <w:link w:val="Heading1Char"/>
    <w:uiPriority w:val="9"/>
    <w:qFormat/>
    <w:rsid w:val="007C11A0"/>
    <w:pPr>
      <w:keepNext/>
      <w:keepLines/>
      <w:numPr>
        <w:numId w:val="55"/>
      </w:numPr>
      <w:spacing w:before="360" w:after="80"/>
      <w:ind w:left="0" w:firstLine="0"/>
      <w:jc w:val="center"/>
      <w:outlineLvl w:val="0"/>
    </w:pPr>
    <w:rPr>
      <w:rFonts w:ascii="Times New Roman" w:eastAsiaTheme="majorEastAsia" w:hAnsi="Times New Roman" w:cs="Times New Roman"/>
      <w:b/>
      <w:bCs/>
      <w:sz w:val="32"/>
      <w:szCs w:val="28"/>
    </w:rPr>
  </w:style>
  <w:style w:type="paragraph" w:styleId="Heading2">
    <w:name w:val="heading 2"/>
    <w:basedOn w:val="Normal"/>
    <w:next w:val="Normal"/>
    <w:link w:val="Heading2Char"/>
    <w:uiPriority w:val="9"/>
    <w:unhideWhenUsed/>
    <w:qFormat/>
    <w:rsid w:val="00FD0DAE"/>
    <w:pPr>
      <w:jc w:val="center"/>
      <w:outlineLvl w:val="1"/>
    </w:pPr>
    <w:rPr>
      <w:rFonts w:ascii="Times New Roman" w:hAnsi="Times New Roman" w:cs="Times New Roman"/>
      <w:b/>
      <w:bCs/>
      <w:sz w:val="28"/>
      <w:szCs w:val="22"/>
    </w:rPr>
  </w:style>
  <w:style w:type="paragraph" w:styleId="Heading3">
    <w:name w:val="heading 3"/>
    <w:basedOn w:val="Normal"/>
    <w:next w:val="Normal"/>
    <w:link w:val="Heading3Char"/>
    <w:uiPriority w:val="9"/>
    <w:unhideWhenUsed/>
    <w:qFormat/>
    <w:rsid w:val="00F07925"/>
    <w:pPr>
      <w:keepNext/>
      <w:numPr>
        <w:ilvl w:val="2"/>
        <w:numId w:val="55"/>
      </w:numPr>
      <w:spacing w:before="160" w:after="80" w:line="300" w:lineRule="exact"/>
      <w:ind w:left="0" w:firstLine="142"/>
      <w:jc w:val="both"/>
      <w:outlineLvl w:val="2"/>
    </w:pPr>
    <w:rPr>
      <w:rFonts w:ascii="Times New Roman" w:eastAsiaTheme="majorEastAsia" w:hAnsi="Times New Roman" w:cs="Times New Roman"/>
      <w:color w:val="000000" w:themeColor="text1"/>
      <w:sz w:val="28"/>
      <w:szCs w:val="25"/>
    </w:rPr>
  </w:style>
  <w:style w:type="paragraph" w:styleId="Heading4">
    <w:name w:val="heading 4"/>
    <w:basedOn w:val="Normal"/>
    <w:next w:val="Normal"/>
    <w:link w:val="Heading4Char"/>
    <w:uiPriority w:val="9"/>
    <w:unhideWhenUsed/>
    <w:qFormat/>
    <w:rsid w:val="008E2A3E"/>
    <w:pPr>
      <w:keepNext/>
      <w:keepLines/>
      <w:spacing w:before="80" w:after="40"/>
      <w:jc w:val="center"/>
      <w:outlineLvl w:val="3"/>
    </w:pPr>
    <w:rPr>
      <w:rFonts w:ascii="Times New Roman" w:eastAsiaTheme="majorEastAsia" w:hAnsi="Times New Roman" w:cs="Times New Roman"/>
      <w:b/>
      <w:bCs/>
    </w:rPr>
  </w:style>
  <w:style w:type="paragraph" w:styleId="Heading5">
    <w:name w:val="heading 5"/>
    <w:basedOn w:val="Heading4"/>
    <w:next w:val="Normal"/>
    <w:link w:val="Heading5Char"/>
    <w:uiPriority w:val="9"/>
    <w:unhideWhenUsed/>
    <w:qFormat/>
    <w:rsid w:val="0060494F"/>
    <w:pPr>
      <w:outlineLvl w:val="4"/>
    </w:pPr>
  </w:style>
  <w:style w:type="paragraph" w:styleId="Heading6">
    <w:name w:val="heading 6"/>
    <w:basedOn w:val="Normal"/>
    <w:next w:val="Normal"/>
    <w:link w:val="Heading6Char"/>
    <w:uiPriority w:val="9"/>
    <w:semiHidden/>
    <w:unhideWhenUsed/>
    <w:qFormat/>
    <w:rsid w:val="0016490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6490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6490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6490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C11A0"/>
    <w:rPr>
      <w:rFonts w:ascii="Times New Roman" w:eastAsiaTheme="majorEastAsia" w:hAnsi="Times New Roman" w:cs="Times New Roman"/>
      <w:b/>
      <w:bCs/>
      <w:sz w:val="32"/>
      <w:szCs w:val="28"/>
    </w:rPr>
  </w:style>
  <w:style w:type="character" w:customStyle="1" w:styleId="Heading2Char">
    <w:name w:val="Heading 2 Char"/>
    <w:basedOn w:val="DefaultParagraphFont"/>
    <w:link w:val="Heading2"/>
    <w:uiPriority w:val="9"/>
    <w:rsid w:val="00FD0DAE"/>
    <w:rPr>
      <w:rFonts w:ascii="Times New Roman" w:hAnsi="Times New Roman" w:cs="Times New Roman"/>
      <w:b/>
      <w:bCs/>
      <w:sz w:val="28"/>
      <w:szCs w:val="22"/>
    </w:rPr>
  </w:style>
  <w:style w:type="character" w:customStyle="1" w:styleId="Heading3Char">
    <w:name w:val="Heading 3 Char"/>
    <w:basedOn w:val="DefaultParagraphFont"/>
    <w:link w:val="Heading3"/>
    <w:uiPriority w:val="9"/>
    <w:rsid w:val="00F07925"/>
    <w:rPr>
      <w:rFonts w:ascii="Times New Roman" w:eastAsiaTheme="majorEastAsia" w:hAnsi="Times New Roman" w:cs="Times New Roman"/>
      <w:color w:val="000000" w:themeColor="text1"/>
      <w:sz w:val="28"/>
      <w:szCs w:val="25"/>
    </w:rPr>
  </w:style>
  <w:style w:type="character" w:customStyle="1" w:styleId="Heading4Char">
    <w:name w:val="Heading 4 Char"/>
    <w:basedOn w:val="DefaultParagraphFont"/>
    <w:link w:val="Heading4"/>
    <w:uiPriority w:val="9"/>
    <w:rsid w:val="008E2A3E"/>
    <w:rPr>
      <w:rFonts w:ascii="Times New Roman" w:eastAsiaTheme="majorEastAsia" w:hAnsi="Times New Roman" w:cs="Times New Roman"/>
      <w:b/>
      <w:bCs/>
    </w:rPr>
  </w:style>
  <w:style w:type="character" w:customStyle="1" w:styleId="Heading5Char">
    <w:name w:val="Heading 5 Char"/>
    <w:basedOn w:val="DefaultParagraphFont"/>
    <w:link w:val="Heading5"/>
    <w:uiPriority w:val="9"/>
    <w:rsid w:val="0060494F"/>
    <w:rPr>
      <w:rFonts w:ascii="Times New Roman" w:eastAsiaTheme="majorEastAsia" w:hAnsi="Times New Roman" w:cs="Times New Roman"/>
      <w:b/>
      <w:bCs/>
    </w:rPr>
  </w:style>
  <w:style w:type="character" w:customStyle="1" w:styleId="Heading6Char">
    <w:name w:val="Heading 6 Char"/>
    <w:basedOn w:val="DefaultParagraphFont"/>
    <w:link w:val="Heading6"/>
    <w:uiPriority w:val="9"/>
    <w:semiHidden/>
    <w:rsid w:val="0016490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6490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6490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64902"/>
    <w:rPr>
      <w:rFonts w:eastAsiaTheme="majorEastAsia" w:cstheme="majorBidi"/>
      <w:color w:val="272727" w:themeColor="text1" w:themeTint="D8"/>
    </w:rPr>
  </w:style>
  <w:style w:type="paragraph" w:styleId="Title">
    <w:name w:val="Title"/>
    <w:basedOn w:val="Normal"/>
    <w:next w:val="Normal"/>
    <w:link w:val="TitleChar"/>
    <w:uiPriority w:val="10"/>
    <w:qFormat/>
    <w:rsid w:val="00164902"/>
    <w:pPr>
      <w:spacing w:after="80" w:line="240" w:lineRule="auto"/>
      <w:contextualSpacing/>
    </w:pPr>
    <w:rPr>
      <w:rFonts w:asciiTheme="majorHAnsi" w:eastAsiaTheme="majorEastAsia" w:hAnsiTheme="majorHAnsi" w:cstheme="majorBidi"/>
      <w:spacing w:val="-10"/>
      <w:kern w:val="28"/>
      <w:sz w:val="56"/>
      <w:szCs w:val="50"/>
    </w:rPr>
  </w:style>
  <w:style w:type="character" w:customStyle="1" w:styleId="TitleChar">
    <w:name w:val="Title Char"/>
    <w:basedOn w:val="DefaultParagraphFont"/>
    <w:link w:val="Title"/>
    <w:uiPriority w:val="10"/>
    <w:rsid w:val="00164902"/>
    <w:rPr>
      <w:rFonts w:asciiTheme="majorHAnsi" w:eastAsiaTheme="majorEastAsia" w:hAnsiTheme="majorHAnsi" w:cstheme="majorBidi"/>
      <w:spacing w:val="-10"/>
      <w:kern w:val="28"/>
      <w:sz w:val="56"/>
      <w:szCs w:val="50"/>
    </w:rPr>
  </w:style>
  <w:style w:type="paragraph" w:styleId="Subtitle">
    <w:name w:val="Subtitle"/>
    <w:basedOn w:val="Normal"/>
    <w:next w:val="Normal"/>
    <w:link w:val="SubtitleChar"/>
    <w:uiPriority w:val="11"/>
    <w:qFormat/>
    <w:rsid w:val="00164902"/>
    <w:pPr>
      <w:numPr>
        <w:ilvl w:val="1"/>
      </w:numPr>
    </w:pPr>
    <w:rPr>
      <w:rFonts w:eastAsiaTheme="majorEastAsia" w:cstheme="majorBidi"/>
      <w:color w:val="595959" w:themeColor="text1" w:themeTint="A6"/>
      <w:spacing w:val="15"/>
      <w:sz w:val="28"/>
      <w:szCs w:val="25"/>
    </w:rPr>
  </w:style>
  <w:style w:type="character" w:customStyle="1" w:styleId="SubtitleChar">
    <w:name w:val="Subtitle Char"/>
    <w:basedOn w:val="DefaultParagraphFont"/>
    <w:link w:val="Subtitle"/>
    <w:uiPriority w:val="11"/>
    <w:rsid w:val="00164902"/>
    <w:rPr>
      <w:rFonts w:eastAsiaTheme="majorEastAsia" w:cstheme="majorBidi"/>
      <w:color w:val="595959" w:themeColor="text1" w:themeTint="A6"/>
      <w:spacing w:val="15"/>
      <w:sz w:val="28"/>
      <w:szCs w:val="25"/>
    </w:rPr>
  </w:style>
  <w:style w:type="paragraph" w:styleId="Quote">
    <w:name w:val="Quote"/>
    <w:basedOn w:val="Normal"/>
    <w:next w:val="Normal"/>
    <w:link w:val="QuoteChar"/>
    <w:uiPriority w:val="29"/>
    <w:qFormat/>
    <w:rsid w:val="00164902"/>
    <w:pPr>
      <w:spacing w:before="160"/>
      <w:jc w:val="center"/>
    </w:pPr>
    <w:rPr>
      <w:i/>
      <w:iCs/>
      <w:color w:val="404040" w:themeColor="text1" w:themeTint="BF"/>
    </w:rPr>
  </w:style>
  <w:style w:type="character" w:customStyle="1" w:styleId="QuoteChar">
    <w:name w:val="Quote Char"/>
    <w:basedOn w:val="DefaultParagraphFont"/>
    <w:link w:val="Quote"/>
    <w:uiPriority w:val="29"/>
    <w:rsid w:val="00164902"/>
    <w:rPr>
      <w:rFonts w:cs="Mangal"/>
      <w:i/>
      <w:iCs/>
      <w:color w:val="404040" w:themeColor="text1" w:themeTint="BF"/>
    </w:rPr>
  </w:style>
  <w:style w:type="paragraph" w:styleId="ListParagraph">
    <w:name w:val="List Paragraph"/>
    <w:basedOn w:val="Normal"/>
    <w:uiPriority w:val="34"/>
    <w:qFormat/>
    <w:rsid w:val="00164902"/>
    <w:pPr>
      <w:contextualSpacing/>
    </w:pPr>
  </w:style>
  <w:style w:type="character" w:styleId="IntenseEmphasis">
    <w:name w:val="Intense Emphasis"/>
    <w:basedOn w:val="DefaultParagraphFont"/>
    <w:uiPriority w:val="21"/>
    <w:qFormat/>
    <w:rsid w:val="00164902"/>
    <w:rPr>
      <w:i/>
      <w:iCs/>
      <w:color w:val="0F4761" w:themeColor="accent1" w:themeShade="BF"/>
    </w:rPr>
  </w:style>
  <w:style w:type="paragraph" w:styleId="IntenseQuote">
    <w:name w:val="Intense Quote"/>
    <w:basedOn w:val="Normal"/>
    <w:next w:val="Normal"/>
    <w:link w:val="IntenseQuoteChar"/>
    <w:uiPriority w:val="30"/>
    <w:qFormat/>
    <w:rsid w:val="0016490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64902"/>
    <w:rPr>
      <w:rFonts w:cs="Mangal"/>
      <w:i/>
      <w:iCs/>
      <w:color w:val="0F4761" w:themeColor="accent1" w:themeShade="BF"/>
    </w:rPr>
  </w:style>
  <w:style w:type="character" w:styleId="IntenseReference">
    <w:name w:val="Intense Reference"/>
    <w:basedOn w:val="DefaultParagraphFont"/>
    <w:uiPriority w:val="32"/>
    <w:qFormat/>
    <w:rsid w:val="00164902"/>
    <w:rPr>
      <w:b/>
      <w:bCs/>
      <w:smallCaps/>
      <w:color w:val="0F4761" w:themeColor="accent1" w:themeShade="BF"/>
      <w:spacing w:val="5"/>
    </w:rPr>
  </w:style>
  <w:style w:type="table" w:styleId="TableGrid">
    <w:name w:val="Table Grid"/>
    <w:basedOn w:val="TableNormal"/>
    <w:uiPriority w:val="39"/>
    <w:rsid w:val="001B128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g-star-inserted">
    <w:name w:val="ng-star-inserted"/>
    <w:basedOn w:val="DefaultParagraphFont"/>
    <w:rsid w:val="001B1288"/>
  </w:style>
  <w:style w:type="character" w:styleId="Hyperlink">
    <w:name w:val="Hyperlink"/>
    <w:basedOn w:val="DefaultParagraphFont"/>
    <w:uiPriority w:val="99"/>
    <w:unhideWhenUsed/>
    <w:rsid w:val="005B0ED6"/>
    <w:rPr>
      <w:color w:val="467886" w:themeColor="hyperlink"/>
      <w:u w:val="single"/>
    </w:rPr>
  </w:style>
  <w:style w:type="character" w:styleId="UnresolvedMention">
    <w:name w:val="Unresolved Mention"/>
    <w:basedOn w:val="DefaultParagraphFont"/>
    <w:uiPriority w:val="99"/>
    <w:semiHidden/>
    <w:unhideWhenUsed/>
    <w:rsid w:val="005B0ED6"/>
    <w:rPr>
      <w:color w:val="605E5C"/>
      <w:shd w:val="clear" w:color="auto" w:fill="E1DFDD"/>
    </w:rPr>
  </w:style>
  <w:style w:type="paragraph" w:styleId="FootnoteText">
    <w:name w:val="footnote text"/>
    <w:basedOn w:val="Normal"/>
    <w:link w:val="FootnoteTextChar"/>
    <w:uiPriority w:val="99"/>
    <w:semiHidden/>
    <w:unhideWhenUsed/>
    <w:rsid w:val="006423FD"/>
    <w:pPr>
      <w:spacing w:after="0" w:line="240" w:lineRule="auto"/>
    </w:pPr>
    <w:rPr>
      <w:sz w:val="20"/>
      <w:szCs w:val="18"/>
    </w:rPr>
  </w:style>
  <w:style w:type="character" w:customStyle="1" w:styleId="FootnoteTextChar">
    <w:name w:val="Footnote Text Char"/>
    <w:basedOn w:val="DefaultParagraphFont"/>
    <w:link w:val="FootnoteText"/>
    <w:uiPriority w:val="99"/>
    <w:semiHidden/>
    <w:rsid w:val="006423FD"/>
    <w:rPr>
      <w:rFonts w:cs="Mangal"/>
      <w:sz w:val="20"/>
      <w:szCs w:val="18"/>
    </w:rPr>
  </w:style>
  <w:style w:type="character" w:styleId="FootnoteReference">
    <w:name w:val="footnote reference"/>
    <w:basedOn w:val="DefaultParagraphFont"/>
    <w:uiPriority w:val="99"/>
    <w:semiHidden/>
    <w:unhideWhenUsed/>
    <w:rsid w:val="006423FD"/>
    <w:rPr>
      <w:vertAlign w:val="superscript"/>
    </w:rPr>
  </w:style>
  <w:style w:type="paragraph" w:styleId="Header">
    <w:name w:val="header"/>
    <w:basedOn w:val="Normal"/>
    <w:link w:val="HeaderChar"/>
    <w:uiPriority w:val="99"/>
    <w:unhideWhenUsed/>
    <w:rsid w:val="00255141"/>
    <w:pPr>
      <w:tabs>
        <w:tab w:val="center" w:pos="4513"/>
        <w:tab w:val="right" w:pos="9026"/>
      </w:tabs>
      <w:spacing w:after="0" w:line="240" w:lineRule="auto"/>
    </w:pPr>
  </w:style>
  <w:style w:type="character" w:customStyle="1" w:styleId="HeaderChar">
    <w:name w:val="Header Char"/>
    <w:basedOn w:val="DefaultParagraphFont"/>
    <w:link w:val="Header"/>
    <w:uiPriority w:val="99"/>
    <w:rsid w:val="00255141"/>
    <w:rPr>
      <w:rFonts w:cs="Mangal"/>
    </w:rPr>
  </w:style>
  <w:style w:type="paragraph" w:styleId="Footer">
    <w:name w:val="footer"/>
    <w:basedOn w:val="Normal"/>
    <w:link w:val="FooterChar"/>
    <w:uiPriority w:val="99"/>
    <w:unhideWhenUsed/>
    <w:rsid w:val="00255141"/>
    <w:pPr>
      <w:tabs>
        <w:tab w:val="center" w:pos="4513"/>
        <w:tab w:val="right" w:pos="9026"/>
      </w:tabs>
      <w:spacing w:after="0" w:line="240" w:lineRule="auto"/>
    </w:pPr>
  </w:style>
  <w:style w:type="character" w:customStyle="1" w:styleId="FooterChar">
    <w:name w:val="Footer Char"/>
    <w:basedOn w:val="DefaultParagraphFont"/>
    <w:link w:val="Footer"/>
    <w:uiPriority w:val="99"/>
    <w:rsid w:val="00255141"/>
    <w:rPr>
      <w:rFonts w:cs="Mangal"/>
    </w:rPr>
  </w:style>
  <w:style w:type="paragraph" w:styleId="NoSpacing">
    <w:name w:val="No Spacing"/>
    <w:uiPriority w:val="1"/>
    <w:qFormat/>
    <w:rsid w:val="00455A21"/>
    <w:pPr>
      <w:spacing w:after="0" w:line="240" w:lineRule="auto"/>
    </w:pPr>
    <w:rPr>
      <w:rFonts w:cs="Mangal"/>
    </w:rPr>
  </w:style>
  <w:style w:type="paragraph" w:styleId="NormalWeb">
    <w:name w:val="Normal (Web)"/>
    <w:basedOn w:val="Normal"/>
    <w:uiPriority w:val="99"/>
    <w:semiHidden/>
    <w:unhideWhenUsed/>
    <w:rsid w:val="00B21DEC"/>
    <w:rPr>
      <w:rFonts w:ascii="Times New Roman" w:hAnsi="Times New Roman"/>
    </w:rPr>
  </w:style>
  <w:style w:type="character" w:styleId="FollowedHyperlink">
    <w:name w:val="FollowedHyperlink"/>
    <w:basedOn w:val="DefaultParagraphFont"/>
    <w:uiPriority w:val="99"/>
    <w:semiHidden/>
    <w:unhideWhenUsed/>
    <w:rsid w:val="00701BE2"/>
    <w:rPr>
      <w:color w:val="954F72"/>
      <w:u w:val="single"/>
    </w:rPr>
  </w:style>
  <w:style w:type="paragraph" w:customStyle="1" w:styleId="msonormal0">
    <w:name w:val="msonormal"/>
    <w:basedOn w:val="Normal"/>
    <w:rsid w:val="00701BE2"/>
    <w:pPr>
      <w:spacing w:before="100" w:beforeAutospacing="1" w:after="100" w:afterAutospacing="1" w:line="240" w:lineRule="auto"/>
    </w:pPr>
    <w:rPr>
      <w:rFonts w:ascii="Times New Roman" w:eastAsia="Times New Roman" w:hAnsi="Times New Roman" w:cs="Times New Roman"/>
      <w:kern w:val="0"/>
      <w:szCs w:val="24"/>
      <w:lang w:eastAsia="en-IN"/>
      <w14:ligatures w14:val="none"/>
    </w:rPr>
  </w:style>
  <w:style w:type="paragraph" w:customStyle="1" w:styleId="xl65">
    <w:name w:val="xl65"/>
    <w:basedOn w:val="Normal"/>
    <w:rsid w:val="00701BE2"/>
    <w:pPr>
      <w:spacing w:before="100" w:beforeAutospacing="1" w:after="100" w:afterAutospacing="1" w:line="240" w:lineRule="auto"/>
      <w:jc w:val="center"/>
    </w:pPr>
    <w:rPr>
      <w:rFonts w:ascii="Times New Roman" w:eastAsia="Times New Roman" w:hAnsi="Times New Roman" w:cs="Times New Roman"/>
      <w:kern w:val="0"/>
      <w:szCs w:val="24"/>
      <w:lang w:eastAsia="en-IN"/>
      <w14:ligatures w14:val="none"/>
    </w:rPr>
  </w:style>
  <w:style w:type="paragraph" w:customStyle="1" w:styleId="xl66">
    <w:name w:val="xl66"/>
    <w:basedOn w:val="Normal"/>
    <w:rsid w:val="00701B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kern w:val="0"/>
      <w:szCs w:val="24"/>
      <w:lang w:eastAsia="en-IN"/>
      <w14:ligatures w14:val="none"/>
    </w:rPr>
  </w:style>
  <w:style w:type="character" w:customStyle="1" w:styleId="ng-star-inserted1">
    <w:name w:val="ng-star-inserted1"/>
    <w:basedOn w:val="DefaultParagraphFont"/>
    <w:rsid w:val="00701BE2"/>
  </w:style>
  <w:style w:type="paragraph" w:styleId="TOC1">
    <w:name w:val="toc 1"/>
    <w:basedOn w:val="Normal"/>
    <w:next w:val="Normal"/>
    <w:autoRedefine/>
    <w:uiPriority w:val="39"/>
    <w:unhideWhenUsed/>
    <w:rsid w:val="005958F4"/>
    <w:pPr>
      <w:spacing w:before="120" w:after="0"/>
    </w:pPr>
    <w:rPr>
      <w:b/>
      <w:bCs/>
      <w:i/>
      <w:iCs/>
      <w:szCs w:val="20"/>
    </w:rPr>
  </w:style>
  <w:style w:type="paragraph" w:styleId="TOC2">
    <w:name w:val="toc 2"/>
    <w:basedOn w:val="Normal"/>
    <w:next w:val="Normal"/>
    <w:autoRedefine/>
    <w:uiPriority w:val="39"/>
    <w:unhideWhenUsed/>
    <w:rsid w:val="005958F4"/>
    <w:pPr>
      <w:spacing w:before="120" w:after="0"/>
      <w:ind w:left="240"/>
    </w:pPr>
    <w:rPr>
      <w:b/>
      <w:bCs/>
      <w:sz w:val="22"/>
      <w:szCs w:val="18"/>
    </w:rPr>
  </w:style>
  <w:style w:type="paragraph" w:styleId="TOC3">
    <w:name w:val="toc 3"/>
    <w:basedOn w:val="Normal"/>
    <w:next w:val="Normal"/>
    <w:autoRedefine/>
    <w:uiPriority w:val="39"/>
    <w:unhideWhenUsed/>
    <w:rsid w:val="005958F4"/>
    <w:pPr>
      <w:spacing w:after="0"/>
      <w:ind w:left="480"/>
    </w:pPr>
    <w:rPr>
      <w:sz w:val="20"/>
      <w:szCs w:val="16"/>
    </w:rPr>
  </w:style>
  <w:style w:type="paragraph" w:styleId="TOC4">
    <w:name w:val="toc 4"/>
    <w:basedOn w:val="Normal"/>
    <w:next w:val="Normal"/>
    <w:autoRedefine/>
    <w:uiPriority w:val="39"/>
    <w:unhideWhenUsed/>
    <w:rsid w:val="005958F4"/>
    <w:pPr>
      <w:spacing w:after="0"/>
      <w:ind w:left="720"/>
    </w:pPr>
    <w:rPr>
      <w:sz w:val="20"/>
      <w:szCs w:val="16"/>
    </w:rPr>
  </w:style>
  <w:style w:type="paragraph" w:styleId="TOC5">
    <w:name w:val="toc 5"/>
    <w:basedOn w:val="Normal"/>
    <w:next w:val="Normal"/>
    <w:autoRedefine/>
    <w:uiPriority w:val="39"/>
    <w:unhideWhenUsed/>
    <w:rsid w:val="005958F4"/>
    <w:pPr>
      <w:spacing w:after="0"/>
      <w:ind w:left="960"/>
    </w:pPr>
    <w:rPr>
      <w:sz w:val="20"/>
      <w:szCs w:val="16"/>
    </w:rPr>
  </w:style>
  <w:style w:type="paragraph" w:styleId="TOC6">
    <w:name w:val="toc 6"/>
    <w:basedOn w:val="Normal"/>
    <w:next w:val="Normal"/>
    <w:autoRedefine/>
    <w:uiPriority w:val="39"/>
    <w:unhideWhenUsed/>
    <w:rsid w:val="005958F4"/>
    <w:pPr>
      <w:spacing w:after="0"/>
      <w:ind w:left="1200"/>
    </w:pPr>
    <w:rPr>
      <w:sz w:val="20"/>
      <w:szCs w:val="16"/>
    </w:rPr>
  </w:style>
  <w:style w:type="paragraph" w:styleId="TOC7">
    <w:name w:val="toc 7"/>
    <w:basedOn w:val="Normal"/>
    <w:next w:val="Normal"/>
    <w:autoRedefine/>
    <w:uiPriority w:val="39"/>
    <w:unhideWhenUsed/>
    <w:rsid w:val="005958F4"/>
    <w:pPr>
      <w:spacing w:after="0"/>
      <w:ind w:left="1440"/>
    </w:pPr>
    <w:rPr>
      <w:sz w:val="20"/>
      <w:szCs w:val="16"/>
    </w:rPr>
  </w:style>
  <w:style w:type="paragraph" w:styleId="TOC8">
    <w:name w:val="toc 8"/>
    <w:basedOn w:val="Normal"/>
    <w:next w:val="Normal"/>
    <w:autoRedefine/>
    <w:uiPriority w:val="39"/>
    <w:unhideWhenUsed/>
    <w:rsid w:val="005958F4"/>
    <w:pPr>
      <w:spacing w:after="0"/>
      <w:ind w:left="1680"/>
    </w:pPr>
    <w:rPr>
      <w:sz w:val="20"/>
      <w:szCs w:val="16"/>
    </w:rPr>
  </w:style>
  <w:style w:type="paragraph" w:styleId="TOC9">
    <w:name w:val="toc 9"/>
    <w:basedOn w:val="Normal"/>
    <w:next w:val="Normal"/>
    <w:autoRedefine/>
    <w:uiPriority w:val="39"/>
    <w:unhideWhenUsed/>
    <w:rsid w:val="005958F4"/>
    <w:pPr>
      <w:spacing w:after="0"/>
      <w:ind w:left="1920"/>
    </w:pPr>
    <w:rPr>
      <w:sz w:val="20"/>
      <w:szCs w:val="16"/>
    </w:rPr>
  </w:style>
  <w:style w:type="paragraph" w:customStyle="1" w:styleId="Sources">
    <w:name w:val="Sources"/>
    <w:basedOn w:val="Normal"/>
    <w:link w:val="SourcesChar"/>
    <w:qFormat/>
    <w:rsid w:val="00BA1C8E"/>
    <w:pPr>
      <w:tabs>
        <w:tab w:val="left" w:pos="3168"/>
      </w:tabs>
      <w:spacing w:after="0"/>
    </w:pPr>
    <w:rPr>
      <w:rFonts w:ascii="Times New Roman" w:hAnsi="Times New Roman" w:cs="Times New Roman"/>
      <w:sz w:val="20"/>
      <w:szCs w:val="18"/>
    </w:rPr>
  </w:style>
  <w:style w:type="character" w:customStyle="1" w:styleId="SourcesChar">
    <w:name w:val="Sources Char"/>
    <w:basedOn w:val="DefaultParagraphFont"/>
    <w:link w:val="Sources"/>
    <w:rsid w:val="00BA1C8E"/>
    <w:rPr>
      <w:rFonts w:ascii="Times New Roman" w:hAnsi="Times New Roman" w:cs="Times New Roman"/>
      <w:sz w:val="20"/>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6402797">
      <w:bodyDiv w:val="1"/>
      <w:marLeft w:val="0"/>
      <w:marRight w:val="0"/>
      <w:marTop w:val="0"/>
      <w:marBottom w:val="0"/>
      <w:divBdr>
        <w:top w:val="none" w:sz="0" w:space="0" w:color="auto"/>
        <w:left w:val="none" w:sz="0" w:space="0" w:color="auto"/>
        <w:bottom w:val="none" w:sz="0" w:space="0" w:color="auto"/>
        <w:right w:val="none" w:sz="0" w:space="0" w:color="auto"/>
      </w:divBdr>
      <w:divsChild>
        <w:div w:id="943074738">
          <w:marLeft w:val="0"/>
          <w:marRight w:val="0"/>
          <w:marTop w:val="0"/>
          <w:marBottom w:val="0"/>
          <w:divBdr>
            <w:top w:val="none" w:sz="0" w:space="0" w:color="auto"/>
            <w:left w:val="none" w:sz="0" w:space="0" w:color="auto"/>
            <w:bottom w:val="none" w:sz="0" w:space="0" w:color="auto"/>
            <w:right w:val="none" w:sz="0" w:space="0" w:color="auto"/>
          </w:divBdr>
        </w:div>
      </w:divsChild>
    </w:div>
    <w:div w:id="623344503">
      <w:bodyDiv w:val="1"/>
      <w:marLeft w:val="0"/>
      <w:marRight w:val="0"/>
      <w:marTop w:val="0"/>
      <w:marBottom w:val="0"/>
      <w:divBdr>
        <w:top w:val="none" w:sz="0" w:space="0" w:color="auto"/>
        <w:left w:val="none" w:sz="0" w:space="0" w:color="auto"/>
        <w:bottom w:val="none" w:sz="0" w:space="0" w:color="auto"/>
        <w:right w:val="none" w:sz="0" w:space="0" w:color="auto"/>
      </w:divBdr>
      <w:divsChild>
        <w:div w:id="1683824333">
          <w:marLeft w:val="0"/>
          <w:marRight w:val="0"/>
          <w:marTop w:val="0"/>
          <w:marBottom w:val="0"/>
          <w:divBdr>
            <w:top w:val="none" w:sz="0" w:space="0" w:color="auto"/>
            <w:left w:val="none" w:sz="0" w:space="0" w:color="auto"/>
            <w:bottom w:val="none" w:sz="0" w:space="0" w:color="auto"/>
            <w:right w:val="none" w:sz="0" w:space="0" w:color="auto"/>
          </w:divBdr>
        </w:div>
      </w:divsChild>
    </w:div>
    <w:div w:id="911816677">
      <w:bodyDiv w:val="1"/>
      <w:marLeft w:val="0"/>
      <w:marRight w:val="0"/>
      <w:marTop w:val="0"/>
      <w:marBottom w:val="0"/>
      <w:divBdr>
        <w:top w:val="none" w:sz="0" w:space="0" w:color="auto"/>
        <w:left w:val="none" w:sz="0" w:space="0" w:color="auto"/>
        <w:bottom w:val="none" w:sz="0" w:space="0" w:color="auto"/>
        <w:right w:val="none" w:sz="0" w:space="0" w:color="auto"/>
      </w:divBdr>
      <w:divsChild>
        <w:div w:id="1947106117">
          <w:marLeft w:val="0"/>
          <w:marRight w:val="0"/>
          <w:marTop w:val="0"/>
          <w:marBottom w:val="0"/>
          <w:divBdr>
            <w:top w:val="none" w:sz="0" w:space="0" w:color="auto"/>
            <w:left w:val="none" w:sz="0" w:space="0" w:color="auto"/>
            <w:bottom w:val="none" w:sz="0" w:space="0" w:color="auto"/>
            <w:right w:val="none" w:sz="0" w:space="0" w:color="auto"/>
          </w:divBdr>
        </w:div>
      </w:divsChild>
    </w:div>
    <w:div w:id="1268653800">
      <w:bodyDiv w:val="1"/>
      <w:marLeft w:val="0"/>
      <w:marRight w:val="0"/>
      <w:marTop w:val="0"/>
      <w:marBottom w:val="0"/>
      <w:divBdr>
        <w:top w:val="none" w:sz="0" w:space="0" w:color="auto"/>
        <w:left w:val="none" w:sz="0" w:space="0" w:color="auto"/>
        <w:bottom w:val="none" w:sz="0" w:space="0" w:color="auto"/>
        <w:right w:val="none" w:sz="0" w:space="0" w:color="auto"/>
      </w:divBdr>
      <w:divsChild>
        <w:div w:id="73624164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95A6E5-E14D-4FBF-A906-0BA9760A28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287</Pages>
  <Words>88315</Words>
  <Characters>503396</Characters>
  <Application>Microsoft Office Word</Application>
  <DocSecurity>0</DocSecurity>
  <Lines>4194</Lines>
  <Paragraphs>1181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590530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cp:lastPrinted>2026-02-04T12:23:00Z</cp:lastPrinted>
  <dcterms:created xsi:type="dcterms:W3CDTF">2026-02-04T12:23:00Z</dcterms:created>
  <dcterms:modified xsi:type="dcterms:W3CDTF">2026-02-04T12:25:00Z</dcterms:modified>
</cp:coreProperties>
</file>